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5B1165" w14:textId="77777777" w:rsidR="00DF6978" w:rsidRPr="00070ADE" w:rsidRDefault="00DF6978" w:rsidP="00B56F90">
      <w:pPr>
        <w:pStyle w:val="Iauiue"/>
        <w:jc w:val="both"/>
        <w:rPr>
          <w:b/>
          <w:color w:val="000000" w:themeColor="text1"/>
          <w:sz w:val="16"/>
          <w:szCs w:val="16"/>
        </w:rPr>
      </w:pPr>
      <w:r w:rsidRPr="00070ADE">
        <w:rPr>
          <w:b/>
          <w:color w:val="000000" w:themeColor="text1"/>
          <w:sz w:val="16"/>
          <w:szCs w:val="16"/>
        </w:rPr>
        <w:t>1944</w:t>
      </w:r>
    </w:p>
    <w:p w14:paraId="7BB74819" w14:textId="77777777" w:rsidR="004163F9" w:rsidRPr="00070ADE" w:rsidRDefault="004163F9" w:rsidP="00B56F90">
      <w:pPr>
        <w:pStyle w:val="Iauiue"/>
        <w:jc w:val="both"/>
        <w:rPr>
          <w:i/>
          <w:color w:val="000000" w:themeColor="text1"/>
          <w:sz w:val="16"/>
          <w:szCs w:val="16"/>
        </w:rPr>
      </w:pPr>
    </w:p>
    <w:p w14:paraId="4155E363" w14:textId="77777777" w:rsidR="00DF6978" w:rsidRPr="00070ADE" w:rsidRDefault="00694509" w:rsidP="00B56F90">
      <w:pPr>
        <w:pStyle w:val="Iauiue"/>
        <w:jc w:val="both"/>
        <w:rPr>
          <w:color w:val="000000" w:themeColor="text1"/>
          <w:sz w:val="16"/>
          <w:szCs w:val="16"/>
        </w:rPr>
      </w:pPr>
      <w:r w:rsidRPr="00070ADE">
        <w:rPr>
          <w:i/>
          <w:color w:val="000000" w:themeColor="text1"/>
          <w:sz w:val="16"/>
          <w:szCs w:val="16"/>
        </w:rPr>
        <w:t>Авиапромышленность:</w:t>
      </w:r>
    </w:p>
    <w:p w14:paraId="170133FE" w14:textId="77777777" w:rsidR="00DF6978" w:rsidRPr="00070ADE" w:rsidRDefault="00DF6978" w:rsidP="00B56F90">
      <w:pPr>
        <w:pStyle w:val="Iauiue"/>
        <w:jc w:val="both"/>
        <w:rPr>
          <w:color w:val="000000" w:themeColor="text1"/>
          <w:sz w:val="16"/>
          <w:szCs w:val="16"/>
        </w:rPr>
      </w:pPr>
    </w:p>
    <w:p w14:paraId="243467C0" w14:textId="77777777" w:rsidR="00282955" w:rsidRPr="00070ADE" w:rsidRDefault="00282955" w:rsidP="00B56F90">
      <w:pPr>
        <w:pStyle w:val="Iauiue"/>
        <w:jc w:val="both"/>
        <w:rPr>
          <w:color w:val="000000" w:themeColor="text1"/>
          <w:sz w:val="16"/>
          <w:szCs w:val="16"/>
        </w:rPr>
      </w:pPr>
      <w:r w:rsidRPr="00070ADE">
        <w:rPr>
          <w:color w:val="000000" w:themeColor="text1"/>
          <w:sz w:val="16"/>
          <w:szCs w:val="16"/>
        </w:rPr>
        <w:t>К 1944 г., обобщив и проанализировав опыт боевого применения ПТАБ-2,5-1,5, специалисты НИИ ВВС выдали задание ЦКБ-22 разработать противотанковую авиабомбу в габаритах 10-кг авиационного боеприпаса, но массой 2,5 кг (ПТАБ-10-2,5), способную пробивать броню толщиной до 160 мм. В этом же году такая авиабомба была полностью отработана и на первых же полигонных испытаниях показала положительные результаты по эффективности поражающего действия.</w:t>
      </w:r>
    </w:p>
    <w:p w14:paraId="097CE760" w14:textId="77777777" w:rsidR="00282955" w:rsidRPr="00070ADE" w:rsidRDefault="00282955" w:rsidP="00B56F90">
      <w:pPr>
        <w:pStyle w:val="Iauiue"/>
        <w:jc w:val="both"/>
        <w:rPr>
          <w:color w:val="000000" w:themeColor="text1"/>
          <w:sz w:val="16"/>
          <w:szCs w:val="16"/>
        </w:rPr>
      </w:pPr>
      <w:r w:rsidRPr="00070ADE">
        <w:rPr>
          <w:color w:val="000000" w:themeColor="text1"/>
          <w:sz w:val="16"/>
          <w:szCs w:val="16"/>
        </w:rPr>
        <w:t>По принципу действия и назначению основных узлов и элементов ПТАБ-10-2,5 была аналогична штатной ПТАБ-2,5-1,5 и отличалась от нее только формой и габаритами. К примеру, корпус авиабомбы из листовой стали толщиной 0,5 мм был выполнен коническим для того, чтобы не превысить заданных заказчиком ограничений по массе окончательно снаряженного боеприпаса. Однако, чтобы ПТАБ обладала требуемой броне-бойностью, диаметр кумулятивной воронки необходим был не менее 85 мм. Головная часть корпуса, отштампованная из листовой стали толщиной 1 мм, имела сферическую форму, радиус которой определяла величина фокуса кумулятивной воронки. Для усиления кумулятивного эффекта и возможности поражать живую силу на корпус авиабомбы была надета и приварена в одной точке осколочная рубашка из стали толщиной 2 мм. Перисто-цилиндрический сварной стабилизатор состоял из четырех одинаковых секторов, отштампованных с зигой на цилиндрической части и к корпусу бомбы крепился также посредством взрывателя (7453).</w:t>
      </w:r>
    </w:p>
    <w:p w14:paraId="17C51150" w14:textId="77777777" w:rsidR="00282955" w:rsidRPr="00070ADE" w:rsidRDefault="00282955" w:rsidP="00B56F90">
      <w:pPr>
        <w:pStyle w:val="Iauiue"/>
        <w:jc w:val="both"/>
        <w:rPr>
          <w:color w:val="000000" w:themeColor="text1"/>
          <w:sz w:val="16"/>
          <w:szCs w:val="16"/>
        </w:rPr>
      </w:pPr>
    </w:p>
    <w:p w14:paraId="7E35EFD1" w14:textId="77777777" w:rsidR="0059774D" w:rsidRPr="00070ADE" w:rsidRDefault="0059774D" w:rsidP="00B56F90">
      <w:pPr>
        <w:pStyle w:val="ae"/>
        <w:shd w:val="clear" w:color="auto" w:fill="FFFFFF"/>
        <w:spacing w:before="0" w:after="0"/>
        <w:jc w:val="both"/>
        <w:rPr>
          <w:color w:val="000000" w:themeColor="text1"/>
          <w:sz w:val="16"/>
          <w:szCs w:val="16"/>
        </w:rPr>
      </w:pPr>
      <w:r w:rsidRPr="00070ADE">
        <w:rPr>
          <w:color w:val="000000" w:themeColor="text1"/>
          <w:sz w:val="16"/>
          <w:szCs w:val="16"/>
        </w:rPr>
        <w:t>К 1944 г. на заводе № 293 были изготовлены еще пять самолетов БИ (№5...№9). Они были использованы для установки опытных двигателей РД-1 конструкции A.M. Исаева.</w:t>
      </w:r>
    </w:p>
    <w:p w14:paraId="763E293F" w14:textId="77777777" w:rsidR="0059774D" w:rsidRPr="00070ADE" w:rsidRDefault="0059774D" w:rsidP="00B56F90">
      <w:pPr>
        <w:pStyle w:val="ae"/>
        <w:shd w:val="clear" w:color="auto" w:fill="FFFFFF"/>
        <w:spacing w:before="0" w:after="0"/>
        <w:jc w:val="both"/>
        <w:rPr>
          <w:color w:val="000000" w:themeColor="text1"/>
          <w:sz w:val="16"/>
          <w:szCs w:val="16"/>
        </w:rPr>
      </w:pPr>
      <w:r w:rsidRPr="00070ADE">
        <w:rPr>
          <w:color w:val="000000" w:themeColor="text1"/>
          <w:sz w:val="16"/>
          <w:szCs w:val="16"/>
        </w:rPr>
        <w:t>На самолете БИ № 6 в виде эксперимента на концах кры ла были установлены два прямоточных воздушно-реактивных двигателя. При этом на БИ № 6 не был установлен основной ЖРД, поскольку от Д-1А-1100 отказались, а РД-1 еще не был доведен. Во время экспериментальных полетов на самолете БИ № 6 с ПВРД летчик Б.Н. Кудрин не смог добиться одно временного запуска этих двигателей после отцепления от бук сировщика Пе-2, и эксперименты были прекращены, а само лет был направлен для продувок в аэродинамической трубе в ЦАГИ (19586).</w:t>
      </w:r>
    </w:p>
    <w:p w14:paraId="49C14DB2" w14:textId="77777777" w:rsidR="0059774D" w:rsidRPr="00070ADE" w:rsidRDefault="0059774D" w:rsidP="00B56F90">
      <w:pPr>
        <w:pStyle w:val="ae"/>
        <w:shd w:val="clear" w:color="auto" w:fill="FFFFFF"/>
        <w:spacing w:before="0" w:after="0"/>
        <w:jc w:val="both"/>
        <w:rPr>
          <w:color w:val="000000" w:themeColor="text1"/>
          <w:sz w:val="16"/>
          <w:szCs w:val="16"/>
        </w:rPr>
      </w:pPr>
    </w:p>
    <w:p w14:paraId="2DE43238"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1944 г. на заводе № 293 были изготовлены еще пять са</w:t>
      </w:r>
      <w:r w:rsidRPr="00C94B78">
        <w:rPr>
          <w:rFonts w:ascii="Times New Roman" w:hAnsi="Times New Roman"/>
          <w:color w:val="0070C0"/>
          <w:sz w:val="16"/>
          <w:szCs w:val="16"/>
        </w:rPr>
        <w:softHyphen/>
        <w:t>молетов БИ (№5...№9). Они были использованы для установки опытных двигателей РД-1 конструкции A.M. Исаева.</w:t>
      </w:r>
    </w:p>
    <w:p w14:paraId="2667639D"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 самолете БИ № 6 в виде эксперимента на концах кры</w:t>
      </w:r>
      <w:r w:rsidRPr="00C94B78">
        <w:rPr>
          <w:rFonts w:ascii="Times New Roman" w:hAnsi="Times New Roman"/>
          <w:color w:val="0070C0"/>
          <w:sz w:val="16"/>
          <w:szCs w:val="16"/>
        </w:rPr>
        <w:softHyphen/>
        <w:t>ла были установлены два прямоточных воздушно-реактивных двигателя. При этом на БИ № 6 не был установлен основной ЖРД, поскольку от Д-1А-1100 отказались, а РД-1 еще не был доведен. Во время экспериментальных полетов на самолете БИ № 6 с ПВРД летчик Б.Н. Кудрин не смог добиться одно</w:t>
      </w:r>
      <w:r w:rsidRPr="00C94B78">
        <w:rPr>
          <w:rFonts w:ascii="Times New Roman" w:hAnsi="Times New Roman"/>
          <w:color w:val="0070C0"/>
          <w:sz w:val="16"/>
          <w:szCs w:val="16"/>
        </w:rPr>
        <w:softHyphen/>
        <w:t>временного запуска этих двигателей после отцепления от бук</w:t>
      </w:r>
      <w:r w:rsidRPr="00C94B78">
        <w:rPr>
          <w:rFonts w:ascii="Times New Roman" w:hAnsi="Times New Roman"/>
          <w:color w:val="0070C0"/>
          <w:sz w:val="16"/>
          <w:szCs w:val="16"/>
        </w:rPr>
        <w:softHyphen/>
        <w:t>сировщика Пе-2, и эксперименты были прекращены, а само</w:t>
      </w:r>
      <w:r w:rsidRPr="00C94B78">
        <w:rPr>
          <w:rFonts w:ascii="Times New Roman" w:hAnsi="Times New Roman"/>
          <w:color w:val="0070C0"/>
          <w:sz w:val="16"/>
          <w:szCs w:val="16"/>
        </w:rPr>
        <w:softHyphen/>
        <w:t>лет был направлен для продувок в аэродинамической трубе в ЦАГИ (24920).</w:t>
      </w:r>
    </w:p>
    <w:p w14:paraId="67654CA2" w14:textId="77777777" w:rsidR="00795D54" w:rsidRPr="00C94B78" w:rsidRDefault="00795D54" w:rsidP="00B56F90">
      <w:pPr>
        <w:spacing w:after="0" w:line="240" w:lineRule="auto"/>
        <w:jc w:val="both"/>
        <w:rPr>
          <w:rFonts w:ascii="Times New Roman" w:hAnsi="Times New Roman"/>
          <w:color w:val="0070C0"/>
          <w:sz w:val="16"/>
          <w:szCs w:val="16"/>
        </w:rPr>
      </w:pPr>
    </w:p>
    <w:p w14:paraId="5917CA03" w14:textId="77777777" w:rsidR="007C1115" w:rsidRPr="00070ADE" w:rsidRDefault="007C111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1944 г. После экспериментов в аэродинамических трубах, отработки моделей сбросом, исследований отдельных узлов на стенде, была отработана конструкция бомбы СБ-1М. Опытным производством ВЭИ к концу того же года была изготовлена партия бомб, из которых пять были переданы на испытания военным. Испытания СБ-1М проходили в несколько этапов на полигонах Военно-морских сил в 1945-46 гг. По результатам испытаний 1945 г. военные высказали ряд замечаний и рекомендовали изготовить партию в сто СБ-1М. Затем заказ сократили до тридцати штук, но и его опытная база ВЭИ выполнить в полном объёме не смогла.</w:t>
      </w:r>
    </w:p>
    <w:p w14:paraId="00ADC603" w14:textId="77777777" w:rsidR="007C1115" w:rsidRPr="00070ADE" w:rsidRDefault="007C111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Компоновочно СБ-1М была четырёхкрылым планером, снабженным парой горизонтальных и парой вертикальных рулей. Корпус бомбы представлял собой металлическую сигару с тупым передним концом и конусообразной задней частью. Средней частью бомбы являлась стальная труба для размещения необходимого заряда. На опытных образцах вместо заряда взрывчатки устанавливалась контрольно-записывающая аппаратура. К трубе крепились крылья и узлы («ушки») подвески под самолет. Передняя часть («приставка») состояла из двух отсеков – головки с расположенными в ней основными элементами системы самонаведения, а также «переходника» с размещёнными в нем элементами питания (аккумулятор 12-А-5 и 6 сухих батарей БАС-Г-80). В задней приставке располагались электромоторы управления рулями, редукторы, устройство, стабилизирующее работу автоматики. Крылья располагались по Х-образной схеме. Для устранения отмеченного на испытаниях 1945 г. вращения, в 1946 г. два крыла снабдили элеронами, управляемыми атоматическим стабилизатором крена, расположенным в одном из крыльев бомбы. Автомат состоял из свободного и прецессионного гироскопов, рулевой машинки и узлов питания сжатым воздухом. Запуск автомата с разгоном гироскопов осуществлялся сжатым воздухом из баллонов на самолетеносителе. Питание рулевой машинки осуществлялось от баллонов, расположенных в крыле СБ-1М. На другой паре крыльев имелись неуправляемые триммера для компенсации момента относительно продольной оси. Рули состояли из двух пар плоскостей симметричного профиля прямоугольной в плане формы, насаженных на оси редукторов электромоторов, и монтировались под углом 45 гр к крыльям при виде по оси аппарата.</w:t>
      </w:r>
    </w:p>
    <w:p w14:paraId="25920A4D" w14:textId="77777777" w:rsidR="007C1115" w:rsidRPr="00070ADE" w:rsidRDefault="007C111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Отладка и проверка в реальных условиях СБ-1М потребовали выполнения большого комплекса работ по сбору материалов реальных полётных испытаний. Для фиксации траектории полёта СБ-1М был использован смонтированный на самой бомбе кинорегистратор, переделанный из кинофотопулемёта ПАУ-22. Для защиты киноплёнки от сильных механических повреждений регистратор был размещён в массивном сварном стальном контейнере, установленном в центральной части корпуса вместо боезаряда. Проведёнными экспериментами было установлено, что разбухшая эмульсия кинопленки на краях лент препятствовала проникновению воды на внутреннюю рабочую поверхность. ВЭИ была предложена методика сматывания отснятого материала в плотные бобины, позволившая пленке сохраняться на дне моря в солёной воде несколько дней при давлении до трех атмосфер без существенных повреждений эмульсии. Для внешнего наблюдения служил выведенный в одно из крыльев перископ, изображение с которого передавалось на кинорегистратор. Кроме того была установлена оптическая система, в ходе испытаний она постоянно совершенствовалась и дополнялась, с проецированием на зеркало показаний приборов, установленных внутри корпуса бомбы. Кинорегистратор не только документировал траекторию полета образца к цели, но и фиксировал положение элеронов автомата крена и рулей по горению сигнальных ламп (они включались при срабатывании устройств бомбы, например, при перекладке рулей), подсвечивающих часы, а также записывал отрыв от носителя. Проведение испытаний было связано с рядом технических и организационных затруднений. Для обнаружения максимально точного места падения и дальнейшего подъема водолазами опытных бомб, поверхность моря окрашивалась находившимся на бомбе флуоресцином. Сама бомба была контрастно окрашена в черный и белый цвета для облегчения наблюдения за её движениями в полете. В ходе полигонных испытаний задействовались самолеты Ту-2 (испытание натурных образцов СБ-1М), Douglas А-20G и По-2 (сопровождение и съёмка) и North American В-25 (исследование аппаратуры СБ-1 в полете).</w:t>
      </w:r>
    </w:p>
    <w:p w14:paraId="6EA20210" w14:textId="77777777" w:rsidR="007C1115" w:rsidRPr="00070ADE" w:rsidRDefault="007C111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Ту-2 был подвергнут некоторым доработкам. На нем устанавливались дополнительные (состав в ходе работ менялся) контрольные приборы и кинорегистраторы. Также было испытано несколько вариантов подвески бомбы к специальной ферме (изготовитель, по заказу ВЭИ, завод №4 3 МАП) за пределами бомболюка. Ферма крепилась «ложными замками» к держателям в бомбоотсеке. По итогам испытаний 1945 г. была смонтирована пневматическая система для включения автомата крена СБ-1М. В самолете В-25 устанавливалась испытываемая аппаратура, а также осциллограф и кинорегистраторы. Основной задачей этой летающей лаборатории была проверка системы индикации цели на реальных боевых кораблях флота (23530).</w:t>
      </w:r>
    </w:p>
    <w:p w14:paraId="58362033" w14:textId="77777777" w:rsidR="007C1115" w:rsidRPr="00070ADE" w:rsidRDefault="007C1115" w:rsidP="00B56F90">
      <w:pPr>
        <w:spacing w:after="0" w:line="240" w:lineRule="auto"/>
        <w:jc w:val="both"/>
        <w:rPr>
          <w:rFonts w:ascii="Times New Roman" w:hAnsi="Times New Roman"/>
          <w:color w:val="000000" w:themeColor="text1"/>
          <w:sz w:val="16"/>
          <w:szCs w:val="16"/>
        </w:rPr>
      </w:pPr>
    </w:p>
    <w:p w14:paraId="17CE9097" w14:textId="77777777" w:rsidR="00282955"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A8DAC0C" w14:textId="77777777" w:rsidR="00282955" w:rsidRPr="00070ADE" w:rsidRDefault="00282955"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0E353B" w14:textId="77777777" w:rsidR="00282955" w:rsidRPr="00070ADE" w:rsidRDefault="00282955"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1944 году многие немецкие фирмы стали разрабатывать самолеты в инициативном порядке. К тому же обычной практикой было объявление Техническим управлением люфтваффе открытых конкурсов на разработку конкретных машин. На конкурс принимались только детально проработанные проекты, которые, в случае успеха, почти немедленно могли быть реализованы в опытные образцы или прототипы. В результате получалось, что конкурс выигрывал всего один проект, но на соискание подавалось несколько десятков вариантов. Например, на конкурс по созданию так называемого «Народного истребителя» («Volksjager») были одновременно выставлены проекты шести ведущих немецких конструкторских бюро: «Хейнкель», «Юнкерс», «Арадо», «Фокке-Вульф», «Блохм и Восс» и «Хортен». Нередко фирмы демонстрировали не просто проект, а одновременно несколько независимых его вариантов.</w:t>
      </w:r>
    </w:p>
    <w:p w14:paraId="341CEF5A" w14:textId="77777777" w:rsidR="00282955" w:rsidRPr="00070ADE" w:rsidRDefault="00282955"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Постоянное участие авиастроительных фирм и КБ Третьего Рейха в многочисленных конкурсах привело к появлению большого количества достаточно проработанных конструкций реактивных и ракетных самолетов. И по сей день в немецких архивах времен Второй мировой войны можно отыскать описания совершенно фантастических летательных аппаратов, которые при ином развитии истории вполне могли бы стать основой для космической программы Германии.</w:t>
      </w:r>
    </w:p>
    <w:p w14:paraId="55171E25" w14:textId="77777777" w:rsidR="00282955" w:rsidRPr="00070ADE" w:rsidRDefault="00282955"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Например, авиационная фирма «Арадо» представила вниманию руководителей Третьего рейха проект «Ar E-381». Это был одноместный истребитель, оснащенный ракетным двигателем «Walter HWK109-509А-2». Ракетоплан должен был подвешиваться под бомбардировочную версию самолета «Аr-234», с целью обеспечения истребительного прикрытия во время выполнения бомбардировочных задач. «E-381» был рассчитан на то, чтобы в случае столкновения с самолетами противника отсоединиться от носителя, набрать дополнительную высоту и выполнить атакующий маневр. Собственного ресурса топлива должно было хватить на повторный заход. Предполагалось, что далее пилот сможет развернуться и планировать в сторону ближайшего аэродрома, где совершит посадку на подфюзеляжную лыжу. Внутри ракетоплана пилот располагался в положении лежа и был защищен пятимиллиметровым стальным корпусом, а также плексигласовым фонарем толщиной 140 миллиметров. Вооружение состояло из пушки «МК-108». Для обеспечения комфорта летчика во время продолжительного полета на большой высоте предусматривалась возможность подачи теплого воздуха из самолета-носителя.</w:t>
      </w:r>
    </w:p>
    <w:p w14:paraId="72EC5219" w14:textId="77777777" w:rsidR="00282955" w:rsidRPr="00070ADE" w:rsidRDefault="00282955"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Весьма обширную реактивную программу проводила и авиационная фирма «Фокке-Вульф». Она принимала участие практически во всех крупных конкурсах Третьего рейха, а также спроектировала несколько машин в инициативном порядке.</w:t>
      </w:r>
    </w:p>
    <w:p w14:paraId="6F166F0F" w14:textId="77777777" w:rsidR="00282955" w:rsidRPr="00070ADE" w:rsidRDefault="00282955"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конкурс «Volksjager» («Народный истребитель») «Фокке-Вульф» представила самолет, напоминавший уменьшенную копию серийного истребителя «Та-183», но оснащенный жидкостным ракетным двигателем «Walter HWK 109-509». В корне крыла располагались две пушки «МК-108». Взлет планировалось осуществлять со стартовой тележки. Согласно расчетам, этот ракетоплан должен был набирать высоту 16,5 км за 100 секунд, а через 9 секунд после старта развивать скорость 650 км/ч (11688).</w:t>
      </w:r>
    </w:p>
    <w:p w14:paraId="4AAF7488" w14:textId="77777777" w:rsidR="00282955" w:rsidRPr="00070ADE" w:rsidRDefault="00282955" w:rsidP="00B56F90">
      <w:pPr>
        <w:autoSpaceDE w:val="0"/>
        <w:autoSpaceDN w:val="0"/>
        <w:adjustRightInd w:val="0"/>
        <w:spacing w:after="0" w:line="240" w:lineRule="auto"/>
        <w:jc w:val="both"/>
        <w:rPr>
          <w:rFonts w:ascii="Times New Roman" w:hAnsi="Times New Roman"/>
          <w:color w:val="000000" w:themeColor="text1"/>
          <w:sz w:val="16"/>
          <w:szCs w:val="16"/>
        </w:rPr>
      </w:pPr>
    </w:p>
    <w:p w14:paraId="48165667" w14:textId="77777777" w:rsidR="00282955" w:rsidRPr="00070ADE" w:rsidRDefault="00694509" w:rsidP="00B56F90">
      <w:pPr>
        <w:pStyle w:val="Iauiue"/>
        <w:jc w:val="both"/>
        <w:rPr>
          <w:color w:val="000000" w:themeColor="text1"/>
          <w:sz w:val="16"/>
          <w:szCs w:val="16"/>
        </w:rPr>
      </w:pPr>
      <w:r w:rsidRPr="00070ADE">
        <w:rPr>
          <w:i/>
          <w:color w:val="000000" w:themeColor="text1"/>
          <w:sz w:val="16"/>
          <w:szCs w:val="16"/>
        </w:rPr>
        <w:t>Авиапромышленность:</w:t>
      </w:r>
    </w:p>
    <w:p w14:paraId="1BFD94D2" w14:textId="77777777" w:rsidR="00282955" w:rsidRPr="00070ADE" w:rsidRDefault="00282955" w:rsidP="00B56F90">
      <w:pPr>
        <w:pStyle w:val="Iauiue"/>
        <w:jc w:val="both"/>
        <w:rPr>
          <w:color w:val="000000" w:themeColor="text1"/>
          <w:sz w:val="16"/>
          <w:szCs w:val="16"/>
        </w:rPr>
      </w:pPr>
    </w:p>
    <w:p w14:paraId="6A43093D" w14:textId="77777777" w:rsidR="00DF6978" w:rsidRPr="00070ADE" w:rsidRDefault="00DF6978"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началу 1944 г. многие недостатки Ил-4 уже были в значительной мере ус</w:t>
      </w:r>
      <w:r w:rsidRPr="00070ADE">
        <w:rPr>
          <w:rFonts w:ascii="Times New Roman" w:hAnsi="Times New Roman"/>
          <w:color w:val="000000" w:themeColor="text1"/>
          <w:sz w:val="16"/>
          <w:szCs w:val="16"/>
        </w:rPr>
        <w:softHyphen/>
        <w:t>транены. Жаль, что сам он к этому вре</w:t>
      </w:r>
      <w:r w:rsidRPr="00070ADE">
        <w:rPr>
          <w:rFonts w:ascii="Times New Roman" w:hAnsi="Times New Roman"/>
          <w:color w:val="000000" w:themeColor="text1"/>
          <w:sz w:val="16"/>
          <w:szCs w:val="16"/>
        </w:rPr>
        <w:softHyphen/>
        <w:t>мени устарел. Но замены ему пока не было. В АДД эти машины по численно</w:t>
      </w:r>
      <w:r w:rsidRPr="00070ADE">
        <w:rPr>
          <w:rFonts w:ascii="Times New Roman" w:hAnsi="Times New Roman"/>
          <w:color w:val="000000" w:themeColor="text1"/>
          <w:sz w:val="16"/>
          <w:szCs w:val="16"/>
        </w:rPr>
        <w:softHyphen/>
        <w:t>сти значительно- превосходили В-25 и Ли-2 (переоборудованный в бомбарди</w:t>
      </w:r>
      <w:r w:rsidRPr="00070ADE">
        <w:rPr>
          <w:rFonts w:ascii="Times New Roman" w:hAnsi="Times New Roman"/>
          <w:color w:val="000000" w:themeColor="text1"/>
          <w:sz w:val="16"/>
          <w:szCs w:val="16"/>
        </w:rPr>
        <w:softHyphen/>
        <w:t>ровщик транспортный ПС-84). Конструкторы сосредоточились на одном из до сих пор не устраненных де</w:t>
      </w:r>
      <w:r w:rsidRPr="00070ADE">
        <w:rPr>
          <w:rFonts w:ascii="Times New Roman" w:hAnsi="Times New Roman"/>
          <w:color w:val="000000" w:themeColor="text1"/>
          <w:sz w:val="16"/>
          <w:szCs w:val="16"/>
        </w:rPr>
        <w:softHyphen/>
        <w:t>фектов — уменьшении нагрузок на штурвал при полете на одном моторе (10734,80).</w:t>
      </w:r>
    </w:p>
    <w:p w14:paraId="28C657E8" w14:textId="77777777" w:rsidR="00DF6978" w:rsidRPr="00070ADE" w:rsidRDefault="00DF6978" w:rsidP="00B56F90">
      <w:pPr>
        <w:shd w:val="clear" w:color="auto" w:fill="FFFFFF"/>
        <w:spacing w:after="0" w:line="240" w:lineRule="auto"/>
        <w:jc w:val="both"/>
        <w:rPr>
          <w:rFonts w:ascii="Times New Roman" w:hAnsi="Times New Roman"/>
          <w:color w:val="000000" w:themeColor="text1"/>
          <w:sz w:val="16"/>
          <w:szCs w:val="16"/>
        </w:rPr>
      </w:pPr>
    </w:p>
    <w:p w14:paraId="5C272497"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К началу 1944 в планирующих полетах за СБ испытывался первый перехватчик 302 Бисновата и Костикова, 2-1 был покрашен, 3-й - находился на сборке, а 4-й - еще не запустили. Было ясно, что ТТТ не достигнет (2393,23).</w:t>
      </w:r>
    </w:p>
    <w:p w14:paraId="64B38F5E" w14:textId="77777777" w:rsidR="00DF6978" w:rsidRPr="00070ADE" w:rsidRDefault="00DF6978" w:rsidP="00B56F90">
      <w:pPr>
        <w:pStyle w:val="Iauiue"/>
        <w:jc w:val="both"/>
        <w:rPr>
          <w:color w:val="000000" w:themeColor="text1"/>
          <w:sz w:val="16"/>
          <w:szCs w:val="16"/>
        </w:rPr>
      </w:pPr>
    </w:p>
    <w:p w14:paraId="578FF32C" w14:textId="77777777"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К началу 1944 года ОКБ незваля были выполнены первые проработки по теме модификации Пе-8.</w:t>
      </w:r>
    </w:p>
    <w:p w14:paraId="4870B9A6" w14:textId="77777777"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По самолету был подготовлен эскизный проект. По сравнению с серийным Пе-8 проект предусматривал следующие изменения:</w:t>
      </w:r>
    </w:p>
    <w:p w14:paraId="278EE6E7" w14:textId="77777777"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1.Новую компоновку передней части фюзеляжа с целью расположения обоих летчиков рядом, с одновременным выносом их кабины вперед для улучшения обзора в стороны. Этим создавались лучшие условия для совместной работы летчиков, значительно упрощались монтаж управления самолетом и моторами, сокращалось количество приборов и некоторого оборудования. В связи с выносом летчиков вперед, изменялась также кабина штурманов. Сокращалась ее длина, штурманы были приближены к носу самолета, что значительно улучшило обзор. В носу фюзеляжа был установлен крупнокалиберный пулемет 12,7 мм на шаровой опоре, с конусом обстрела в 60 градусов, обслуживаемый помощником штурмана.</w:t>
      </w:r>
    </w:p>
    <w:p w14:paraId="303CFE57" w14:textId="77777777"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2.Увеличение длины бомбового отсека до размеров, обеспечивающих размещение: 1 бомбы ФАБ-5000, 2 бомб ФАБ-2000, 6 бомб ФАБ-1000, 9 бомб ФАБ-500, 16 бомб ФАБ-250, 32 бомб ФАБ-100.</w:t>
      </w:r>
    </w:p>
    <w:p w14:paraId="2EF621F4" w14:textId="77777777"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Увеличение емкости бомбового отсека достигалось за счет удлинения его вперед и в сторону хвостовой части фюзеляжа, с добавлением соответствующего количества балок с бомбодержателями.</w:t>
      </w:r>
    </w:p>
    <w:p w14:paraId="33815905" w14:textId="77777777"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связи с этим изменялось место радиста, его разместили позади первого пилота, рядом с бортмехаником.</w:t>
      </w:r>
    </w:p>
    <w:p w14:paraId="0440E452" w14:textId="77777777"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3.Улучшение аэродинамики самолета за счет:</w:t>
      </w:r>
    </w:p>
    <w:p w14:paraId="4883C68D" w14:textId="197D44F1"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а)</w:t>
      </w:r>
      <w:r w:rsidR="00B643A8" w:rsidRPr="00070ADE">
        <w:rPr>
          <w:color w:val="000000" w:themeColor="text1"/>
          <w:sz w:val="16"/>
          <w:szCs w:val="16"/>
        </w:rPr>
        <w:t xml:space="preserve"> </w:t>
      </w:r>
      <w:r w:rsidRPr="00070ADE">
        <w:rPr>
          <w:color w:val="000000" w:themeColor="text1"/>
          <w:sz w:val="16"/>
          <w:szCs w:val="16"/>
        </w:rPr>
        <w:t>уменьшения миделя фюзеляжа;</w:t>
      </w:r>
    </w:p>
    <w:p w14:paraId="0264E1DF" w14:textId="36285ADC"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б)</w:t>
      </w:r>
      <w:r w:rsidR="00B643A8" w:rsidRPr="00070ADE">
        <w:rPr>
          <w:color w:val="000000" w:themeColor="text1"/>
          <w:sz w:val="16"/>
          <w:szCs w:val="16"/>
        </w:rPr>
        <w:t xml:space="preserve"> </w:t>
      </w:r>
      <w:r w:rsidRPr="00070ADE">
        <w:rPr>
          <w:color w:val="000000" w:themeColor="text1"/>
          <w:sz w:val="16"/>
          <w:szCs w:val="16"/>
        </w:rPr>
        <w:t>уменьшения миделя туннелей водорадиаторов и обтекателей шасси;</w:t>
      </w:r>
    </w:p>
    <w:p w14:paraId="7339E8E6" w14:textId="44F7BB68"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w:t>
      </w:r>
      <w:r w:rsidR="00C63BA9">
        <w:rPr>
          <w:color w:val="000000" w:themeColor="text1"/>
          <w:sz w:val="16"/>
          <w:szCs w:val="16"/>
        </w:rPr>
        <w:t xml:space="preserve"> </w:t>
      </w:r>
      <w:r w:rsidRPr="00070ADE">
        <w:rPr>
          <w:color w:val="000000" w:themeColor="text1"/>
          <w:sz w:val="16"/>
          <w:szCs w:val="16"/>
        </w:rPr>
        <w:t>полного убирания шасси и хвостового колеса;</w:t>
      </w:r>
    </w:p>
    <w:p w14:paraId="0FA8A4F0" w14:textId="3FBCF1D4"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г)</w:t>
      </w:r>
      <w:r w:rsidR="00C63BA9">
        <w:rPr>
          <w:color w:val="000000" w:themeColor="text1"/>
          <w:sz w:val="16"/>
          <w:szCs w:val="16"/>
        </w:rPr>
        <w:t xml:space="preserve"> </w:t>
      </w:r>
      <w:r w:rsidRPr="00070ADE">
        <w:rPr>
          <w:color w:val="000000" w:themeColor="text1"/>
          <w:sz w:val="16"/>
          <w:szCs w:val="16"/>
        </w:rPr>
        <w:t>понижения уровня спинной турели;</w:t>
      </w:r>
    </w:p>
    <w:p w14:paraId="53CC4C73" w14:textId="7FF4ADE4"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д)</w:t>
      </w:r>
      <w:r w:rsidR="00B643A8" w:rsidRPr="00070ADE">
        <w:rPr>
          <w:color w:val="000000" w:themeColor="text1"/>
          <w:sz w:val="16"/>
          <w:szCs w:val="16"/>
        </w:rPr>
        <w:t xml:space="preserve"> </w:t>
      </w:r>
      <w:r w:rsidRPr="00070ADE">
        <w:rPr>
          <w:color w:val="000000" w:themeColor="text1"/>
          <w:sz w:val="16"/>
          <w:szCs w:val="16"/>
        </w:rPr>
        <w:t>потайной клепки по всему планеру самолета;</w:t>
      </w:r>
    </w:p>
    <w:p w14:paraId="5F9DB9A2" w14:textId="269BB8EF"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е)</w:t>
      </w:r>
      <w:r w:rsidR="00B643A8" w:rsidRPr="00070ADE">
        <w:rPr>
          <w:color w:val="000000" w:themeColor="text1"/>
          <w:sz w:val="16"/>
          <w:szCs w:val="16"/>
        </w:rPr>
        <w:t xml:space="preserve"> </w:t>
      </w:r>
      <w:r w:rsidRPr="00070ADE">
        <w:rPr>
          <w:color w:val="000000" w:themeColor="text1"/>
          <w:sz w:val="16"/>
          <w:szCs w:val="16"/>
        </w:rPr>
        <w:t>герметизации планера (не путать с герметическим фюзеляжем).</w:t>
      </w:r>
    </w:p>
    <w:p w14:paraId="40E75E3C" w14:textId="77777777"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4.Увеличение прочности лонжеронов центроплана, консолей крыла, фюзеляжа и шасси из расчета полетной массы 37500 кг, что позволяло перевозить вдвое большое количество бомб по сравнению с Пе-8 (4000 кг на 5000 км).</w:t>
      </w:r>
    </w:p>
    <w:p w14:paraId="0716EA3C" w14:textId="77777777"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При проектировании ОКБ закладывалось на использование двух типов двигателей: бензиновых с непосредственным впрыском типа АШ-82ФН с турбокомпрессором ТК-3 или дизельных двигателей М-31 (проект дальнейшего развития М-30). С этими двигателями модифицированный Пе-8 должен был обладать следующими летно-тактическими данными при полетной массе 30000 кг:</w:t>
      </w:r>
    </w:p>
    <w:p w14:paraId="1524A963" w14:textId="77777777"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С двигателями М-31 при полетной массе 37500 кг с 1000 кг бомб, при запасе топлива 11800 кг дальность самолета равнялась 7500 км; с 8000 кг бомб и запасом топлива 4800 кг - 2700 км. С двигателями АШ-82ФН с ТК-3 дальность при тех же бомбовых нагрузках и запасами топлива 11000 кг при полетной массе 33500 кг и 8000 кг при полетной массе 37500 кг равнялась соответственно 5300 км и 3150 км.</w:t>
      </w:r>
    </w:p>
    <w:p w14:paraId="3A82E72C" w14:textId="77777777"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По составу и размещению оборонительное пулеметно-пушечное вооружение самолета соответствовало Пе-8 4М-82.</w:t>
      </w:r>
    </w:p>
    <w:p w14:paraId="4AEB6344" w14:textId="77777777"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Проведенная модернизация, по сравнению с серийным Пе-8 4М-82 выпуска 1943 года, давала следующие преимущества:</w:t>
      </w:r>
    </w:p>
    <w:p w14:paraId="434C1134" w14:textId="707F54DA"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1.</w:t>
      </w:r>
      <w:r w:rsidR="00C63BA9">
        <w:rPr>
          <w:color w:val="000000" w:themeColor="text1"/>
          <w:sz w:val="16"/>
          <w:szCs w:val="16"/>
        </w:rPr>
        <w:t xml:space="preserve"> </w:t>
      </w:r>
      <w:r w:rsidRPr="00070ADE">
        <w:rPr>
          <w:color w:val="000000" w:themeColor="text1"/>
          <w:sz w:val="16"/>
          <w:szCs w:val="16"/>
        </w:rPr>
        <w:t>При равной бомбовой нагрузке один модифицированный Пе-8 мог заменять два серийных.</w:t>
      </w:r>
    </w:p>
    <w:p w14:paraId="583CC823" w14:textId="3FF311C1"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2.</w:t>
      </w:r>
      <w:r w:rsidR="00C63BA9">
        <w:rPr>
          <w:color w:val="000000" w:themeColor="text1"/>
          <w:sz w:val="16"/>
          <w:szCs w:val="16"/>
        </w:rPr>
        <w:t xml:space="preserve"> </w:t>
      </w:r>
      <w:r w:rsidRPr="00070ADE">
        <w:rPr>
          <w:color w:val="000000" w:themeColor="text1"/>
          <w:sz w:val="16"/>
          <w:szCs w:val="16"/>
        </w:rPr>
        <w:t>Размещение основной части бомб внутри фюзеляжа, а также другие улучшения аэродинамики снизили километровые расходы топлива на 10%.</w:t>
      </w:r>
    </w:p>
    <w:p w14:paraId="2ED6D529" w14:textId="72D94884"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3.</w:t>
      </w:r>
      <w:r w:rsidR="00B643A8" w:rsidRPr="00070ADE">
        <w:rPr>
          <w:color w:val="000000" w:themeColor="text1"/>
          <w:sz w:val="16"/>
          <w:szCs w:val="16"/>
        </w:rPr>
        <w:t xml:space="preserve"> </w:t>
      </w:r>
      <w:r w:rsidRPr="00070ADE">
        <w:rPr>
          <w:color w:val="000000" w:themeColor="text1"/>
          <w:sz w:val="16"/>
          <w:szCs w:val="16"/>
        </w:rPr>
        <w:t>Увеличение максимальной скорости на 13% дает возможность самолету решать ряд новых тактических задач.</w:t>
      </w:r>
    </w:p>
    <w:p w14:paraId="02BC55B2" w14:textId="05322A1E"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4.</w:t>
      </w:r>
      <w:r w:rsidR="00C63BA9">
        <w:rPr>
          <w:color w:val="000000" w:themeColor="text1"/>
          <w:sz w:val="16"/>
          <w:szCs w:val="16"/>
        </w:rPr>
        <w:t xml:space="preserve"> </w:t>
      </w:r>
      <w:r w:rsidRPr="00070ADE">
        <w:rPr>
          <w:color w:val="000000" w:themeColor="text1"/>
          <w:sz w:val="16"/>
          <w:szCs w:val="16"/>
        </w:rPr>
        <w:t>Расположение основного экипажа впереди двигателей, помимо улучшения обзора, намного улучшало условия его работы в полете (12187).</w:t>
      </w:r>
    </w:p>
    <w:p w14:paraId="0E30524D" w14:textId="77777777" w:rsidR="00DF6978" w:rsidRPr="00070ADE" w:rsidRDefault="00DF6978" w:rsidP="00B56F90">
      <w:pPr>
        <w:pStyle w:val="ae"/>
        <w:shd w:val="clear" w:color="auto" w:fill="FFFFFF"/>
        <w:spacing w:before="0" w:after="0"/>
        <w:jc w:val="both"/>
        <w:rPr>
          <w:color w:val="000000" w:themeColor="text1"/>
          <w:sz w:val="16"/>
          <w:szCs w:val="16"/>
        </w:rPr>
      </w:pPr>
    </w:p>
    <w:p w14:paraId="0D24389D"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 начало 1944 года каждый авиазавод производил несколько модификаций У-2, и введение подсборок упростило изготовле</w:t>
      </w:r>
      <w:r w:rsidRPr="00C94B78">
        <w:rPr>
          <w:rFonts w:ascii="Times New Roman" w:hAnsi="Times New Roman"/>
          <w:color w:val="0070C0"/>
          <w:sz w:val="16"/>
          <w:szCs w:val="16"/>
        </w:rPr>
        <w:softHyphen/>
        <w:t>ние существующих версий и создание но</w:t>
      </w:r>
      <w:r w:rsidRPr="00C94B78">
        <w:rPr>
          <w:rFonts w:ascii="Times New Roman" w:hAnsi="Times New Roman"/>
          <w:color w:val="0070C0"/>
          <w:sz w:val="16"/>
          <w:szCs w:val="16"/>
        </w:rPr>
        <w:softHyphen/>
        <w:t xml:space="preserve">вых разновидностей машины. </w:t>
      </w:r>
    </w:p>
    <w:p w14:paraId="419CA684"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Чтобы максимально приспособить У- 2ВС к требованиям серийного производства в военных условиях, конструкторское бюро завода 51 («родного» предприятия Поликар</w:t>
      </w:r>
      <w:r w:rsidRPr="00C94B78">
        <w:rPr>
          <w:rFonts w:ascii="Times New Roman" w:hAnsi="Times New Roman"/>
          <w:color w:val="0070C0"/>
          <w:sz w:val="16"/>
          <w:szCs w:val="16"/>
        </w:rPr>
        <w:softHyphen/>
        <w:t>пова) под руководством Натана Марковича Бахраха приступило к его модернизации. Самолет поделили на шесть подсборок, за каждую из которых отвечала соответству</w:t>
      </w:r>
      <w:r w:rsidRPr="00C94B78">
        <w:rPr>
          <w:rFonts w:ascii="Times New Roman" w:hAnsi="Times New Roman"/>
          <w:color w:val="0070C0"/>
          <w:sz w:val="16"/>
          <w:szCs w:val="16"/>
        </w:rPr>
        <w:softHyphen/>
        <w:t>ющая сборочная линия. Подсборки были следующими:</w:t>
      </w:r>
    </w:p>
    <w:p w14:paraId="31ACFABC" w14:textId="77777777" w:rsidR="00795D54" w:rsidRPr="00C94B78" w:rsidRDefault="00795D54" w:rsidP="00B56F90">
      <w:pPr>
        <w:widowControl w:val="0"/>
        <w:tabs>
          <w:tab w:val="left" w:pos="457"/>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силовая установка - двигатель, про</w:t>
      </w:r>
      <w:r w:rsidRPr="00C94B78">
        <w:rPr>
          <w:rFonts w:ascii="Times New Roman" w:hAnsi="Times New Roman"/>
          <w:color w:val="0070C0"/>
          <w:sz w:val="16"/>
          <w:szCs w:val="16"/>
        </w:rPr>
        <w:softHyphen/>
        <w:t>пеллер, панели капота, проводка и трубо</w:t>
      </w:r>
      <w:r w:rsidRPr="00C94B78">
        <w:rPr>
          <w:rFonts w:ascii="Times New Roman" w:hAnsi="Times New Roman"/>
          <w:color w:val="0070C0"/>
          <w:sz w:val="16"/>
          <w:szCs w:val="16"/>
        </w:rPr>
        <w:softHyphen/>
        <w:t>проводы,</w:t>
      </w:r>
    </w:p>
    <w:p w14:paraId="541BBD89" w14:textId="77777777" w:rsidR="00795D54" w:rsidRPr="00C94B78" w:rsidRDefault="00795D54" w:rsidP="00B56F90">
      <w:pPr>
        <w:widowControl w:val="0"/>
        <w:tabs>
          <w:tab w:val="left" w:pos="483"/>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фюзеляж с оборудованием.</w:t>
      </w:r>
    </w:p>
    <w:p w14:paraId="4743164C" w14:textId="77777777" w:rsidR="00795D54" w:rsidRPr="00C94B78" w:rsidRDefault="00795D54" w:rsidP="00B56F90">
      <w:pPr>
        <w:widowControl w:val="0"/>
        <w:tabs>
          <w:tab w:val="left" w:pos="483"/>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крылья,</w:t>
      </w:r>
    </w:p>
    <w:p w14:paraId="73BB402B" w14:textId="77777777" w:rsidR="00795D54" w:rsidRPr="00C94B78" w:rsidRDefault="00795D54" w:rsidP="00B56F90">
      <w:pPr>
        <w:widowControl w:val="0"/>
        <w:tabs>
          <w:tab w:val="left" w:pos="483"/>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подкосы и расчалки,</w:t>
      </w:r>
    </w:p>
    <w:p w14:paraId="7199944D" w14:textId="77777777" w:rsidR="00795D54" w:rsidRPr="00C94B78" w:rsidRDefault="00795D54" w:rsidP="00B56F90">
      <w:pPr>
        <w:widowControl w:val="0"/>
        <w:tabs>
          <w:tab w:val="left" w:pos="483"/>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хвостовое оперение,</w:t>
      </w:r>
    </w:p>
    <w:p w14:paraId="2BDB305B"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шасси</w:t>
      </w:r>
    </w:p>
    <w:p w14:paraId="12DAD992"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После запус</w:t>
      </w:r>
      <w:r w:rsidRPr="00C94B78">
        <w:rPr>
          <w:rFonts w:ascii="Times New Roman" w:hAnsi="Times New Roman"/>
          <w:color w:val="0070C0"/>
          <w:sz w:val="16"/>
          <w:szCs w:val="16"/>
        </w:rPr>
        <w:softHyphen/>
        <w:t>ка в производство У-2ВС, приспособленно</w:t>
      </w:r>
      <w:r w:rsidRPr="00C94B78">
        <w:rPr>
          <w:rFonts w:ascii="Times New Roman" w:hAnsi="Times New Roman"/>
          <w:color w:val="0070C0"/>
          <w:sz w:val="16"/>
          <w:szCs w:val="16"/>
        </w:rPr>
        <w:softHyphen/>
        <w:t>го для серии, на его базе были созданы сле</w:t>
      </w:r>
      <w:r w:rsidRPr="00C94B78">
        <w:rPr>
          <w:rFonts w:ascii="Times New Roman" w:hAnsi="Times New Roman"/>
          <w:color w:val="0070C0"/>
          <w:sz w:val="16"/>
          <w:szCs w:val="16"/>
        </w:rPr>
        <w:softHyphen/>
        <w:t>дующие модификации У-2НАК, У-2ГН, У- 2СС и У-2М. Последней модификацией, за</w:t>
      </w:r>
      <w:r w:rsidRPr="00C94B78">
        <w:rPr>
          <w:rFonts w:ascii="Times New Roman" w:hAnsi="Times New Roman"/>
          <w:color w:val="0070C0"/>
          <w:sz w:val="16"/>
          <w:szCs w:val="16"/>
        </w:rPr>
        <w:softHyphen/>
        <w:t>пущенной в серию незадолго до конца вой</w:t>
      </w:r>
      <w:r w:rsidRPr="00C94B78">
        <w:rPr>
          <w:rFonts w:ascii="Times New Roman" w:hAnsi="Times New Roman"/>
          <w:color w:val="0070C0"/>
          <w:sz w:val="16"/>
          <w:szCs w:val="16"/>
        </w:rPr>
        <w:softHyphen/>
        <w:t>ны, стал сельскохозяйственный У-2АП.</w:t>
      </w:r>
    </w:p>
    <w:p w14:paraId="70D96697"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Внешними отличиями У-2ВС образца 1944 года были триммер на левом руле вы</w:t>
      </w:r>
      <w:r w:rsidRPr="00C94B78">
        <w:rPr>
          <w:rFonts w:ascii="Times New Roman" w:hAnsi="Times New Roman"/>
          <w:color w:val="0070C0"/>
          <w:sz w:val="16"/>
          <w:szCs w:val="16"/>
        </w:rPr>
        <w:softHyphen/>
        <w:t>соты и пулемет ДТ на турели Тур-6 (однако продолжалась и постройка У-2ВС с пуле</w:t>
      </w:r>
      <w:r w:rsidRPr="00C94B78">
        <w:rPr>
          <w:rFonts w:ascii="Times New Roman" w:hAnsi="Times New Roman"/>
          <w:color w:val="0070C0"/>
          <w:sz w:val="16"/>
          <w:szCs w:val="16"/>
        </w:rPr>
        <w:softHyphen/>
        <w:t>метами ШКАС). В состав стандартного обо</w:t>
      </w:r>
      <w:r w:rsidRPr="00C94B78">
        <w:rPr>
          <w:rFonts w:ascii="Times New Roman" w:hAnsi="Times New Roman"/>
          <w:color w:val="0070C0"/>
          <w:sz w:val="16"/>
          <w:szCs w:val="16"/>
        </w:rPr>
        <w:softHyphen/>
        <w:t>рудования вошел генератор ГС-350 (ранее устанавливался только на ночных бомбар</w:t>
      </w:r>
      <w:r w:rsidRPr="00C94B78">
        <w:rPr>
          <w:rFonts w:ascii="Times New Roman" w:hAnsi="Times New Roman"/>
          <w:color w:val="0070C0"/>
          <w:sz w:val="16"/>
          <w:szCs w:val="16"/>
        </w:rPr>
        <w:softHyphen/>
        <w:t>дировщиках), который питал током лампы подсветки кабины, навигационные огни и посадочную фару. Последняя теперь входи</w:t>
      </w:r>
      <w:r w:rsidRPr="00C94B78">
        <w:rPr>
          <w:rFonts w:ascii="Times New Roman" w:hAnsi="Times New Roman"/>
          <w:color w:val="0070C0"/>
          <w:sz w:val="16"/>
          <w:szCs w:val="16"/>
        </w:rPr>
        <w:softHyphen/>
        <w:t>ла в состав стандартного оборудования, она устанавливалась под левым нижним кры</w:t>
      </w:r>
      <w:r w:rsidRPr="00C94B78">
        <w:rPr>
          <w:rFonts w:ascii="Times New Roman" w:hAnsi="Times New Roman"/>
          <w:color w:val="0070C0"/>
          <w:sz w:val="16"/>
          <w:szCs w:val="16"/>
        </w:rPr>
        <w:softHyphen/>
        <w:t>лом, заменив на части машин посадочные фальшфейры.</w:t>
      </w:r>
    </w:p>
    <w:p w14:paraId="5F41A3AB"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стандартному оборудованию панели приборов, включавшему компас, альтиметр, указатель скорости и указатель положения, добавили гирогоризонт, питание которого осуществлялось большой трубкой Вентури, крепившейся на левом борту фюзеляжа пе</w:t>
      </w:r>
      <w:r w:rsidRPr="00C94B78">
        <w:rPr>
          <w:rFonts w:ascii="Times New Roman" w:hAnsi="Times New Roman"/>
          <w:color w:val="0070C0"/>
          <w:sz w:val="16"/>
          <w:szCs w:val="16"/>
        </w:rPr>
        <w:softHyphen/>
        <w:t>ред передней кабиной. Ручка управления в задней кабине стала съемной. Также в со</w:t>
      </w:r>
      <w:r w:rsidRPr="00C94B78">
        <w:rPr>
          <w:rFonts w:ascii="Times New Roman" w:hAnsi="Times New Roman"/>
          <w:color w:val="0070C0"/>
          <w:sz w:val="16"/>
          <w:szCs w:val="16"/>
        </w:rPr>
        <w:softHyphen/>
        <w:t>став стандартного оборудования У-2ВС об</w:t>
      </w:r>
      <w:r w:rsidRPr="00C94B78">
        <w:rPr>
          <w:rFonts w:ascii="Times New Roman" w:hAnsi="Times New Roman"/>
          <w:color w:val="0070C0"/>
          <w:sz w:val="16"/>
          <w:szCs w:val="16"/>
        </w:rPr>
        <w:softHyphen/>
        <w:t>разца 1944 года входил шумопламегаситель ШПГ-2, установленный на выхлопном кол</w:t>
      </w:r>
      <w:r w:rsidRPr="00C94B78">
        <w:rPr>
          <w:rFonts w:ascii="Times New Roman" w:hAnsi="Times New Roman"/>
          <w:color w:val="0070C0"/>
          <w:sz w:val="16"/>
          <w:szCs w:val="16"/>
        </w:rPr>
        <w:softHyphen/>
        <w:t>лекторе, и прицел для ночного бомбомета</w:t>
      </w:r>
      <w:r w:rsidRPr="00C94B78">
        <w:rPr>
          <w:rFonts w:ascii="Times New Roman" w:hAnsi="Times New Roman"/>
          <w:color w:val="0070C0"/>
          <w:sz w:val="16"/>
          <w:szCs w:val="16"/>
        </w:rPr>
        <w:softHyphen/>
        <w:t>ния НКПБ-8, крепившийся к правому бор</w:t>
      </w:r>
      <w:r w:rsidRPr="00C94B78">
        <w:rPr>
          <w:rFonts w:ascii="Times New Roman" w:hAnsi="Times New Roman"/>
          <w:color w:val="0070C0"/>
          <w:sz w:val="16"/>
          <w:szCs w:val="16"/>
        </w:rPr>
        <w:softHyphen/>
        <w:t>ту фюзеляжа у передней кабины, с соответ</w:t>
      </w:r>
      <w:r w:rsidRPr="00C94B78">
        <w:rPr>
          <w:rFonts w:ascii="Times New Roman" w:hAnsi="Times New Roman"/>
          <w:color w:val="0070C0"/>
          <w:sz w:val="16"/>
          <w:szCs w:val="16"/>
        </w:rPr>
        <w:softHyphen/>
        <w:t>ствующим вырезом в нижнем крыле. Под крылом и фюзеляжем размещалось шесть держателей Дер-7 с тросовым спусковым механизмом, которые могли нести нагруз</w:t>
      </w:r>
      <w:r w:rsidRPr="00C94B78">
        <w:rPr>
          <w:rFonts w:ascii="Times New Roman" w:hAnsi="Times New Roman"/>
          <w:color w:val="0070C0"/>
          <w:sz w:val="16"/>
          <w:szCs w:val="16"/>
        </w:rPr>
        <w:softHyphen/>
        <w:t>ку общим весом до 300 кг.</w:t>
      </w:r>
    </w:p>
    <w:p w14:paraId="7430B7DA"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Со всеми этими доработками У-2ВС образца 1944 года успешно прошел государ</w:t>
      </w:r>
      <w:r w:rsidRPr="00C94B78">
        <w:rPr>
          <w:rFonts w:ascii="Times New Roman" w:hAnsi="Times New Roman"/>
          <w:color w:val="0070C0"/>
          <w:sz w:val="16"/>
          <w:szCs w:val="16"/>
        </w:rPr>
        <w:softHyphen/>
        <w:t>ственные испытания, в ходе которых было обнаружено снижение летных характерис</w:t>
      </w:r>
      <w:r w:rsidRPr="00C94B78">
        <w:rPr>
          <w:rFonts w:ascii="Times New Roman" w:hAnsi="Times New Roman"/>
          <w:color w:val="0070C0"/>
          <w:sz w:val="16"/>
          <w:szCs w:val="16"/>
        </w:rPr>
        <w:softHyphen/>
        <w:t>тик.</w:t>
      </w:r>
    </w:p>
    <w:p w14:paraId="0C0A1325"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Доработанный самолет весил на 388 кг больше, чем обычный У-2, но без бомбовой нагрузки он лишь незначительно уступал по скорости, скороподъемности и потолку сво</w:t>
      </w:r>
      <w:r w:rsidRPr="00C94B78">
        <w:rPr>
          <w:rFonts w:ascii="Times New Roman" w:hAnsi="Times New Roman"/>
          <w:color w:val="0070C0"/>
          <w:sz w:val="16"/>
          <w:szCs w:val="16"/>
        </w:rPr>
        <w:softHyphen/>
        <w:t>ему предшественнику. При подвеске бомб скорость самолета составляла 134 км/ч у земли, 100 км/ч на высоте 1000 м, а эксплу</w:t>
      </w:r>
      <w:r w:rsidRPr="00C94B78">
        <w:rPr>
          <w:rFonts w:ascii="Times New Roman" w:hAnsi="Times New Roman"/>
          <w:color w:val="0070C0"/>
          <w:sz w:val="16"/>
          <w:szCs w:val="16"/>
        </w:rPr>
        <w:softHyphen/>
        <w:t>атационный потолок не превышал 1550 м (25040).</w:t>
      </w:r>
    </w:p>
    <w:p w14:paraId="798D2A1C" w14:textId="77777777" w:rsidR="00795D54" w:rsidRPr="00C94B78" w:rsidRDefault="00795D54" w:rsidP="00B56F90">
      <w:pPr>
        <w:spacing w:after="0" w:line="240" w:lineRule="auto"/>
        <w:jc w:val="both"/>
        <w:rPr>
          <w:rFonts w:ascii="Times New Roman" w:hAnsi="Times New Roman"/>
          <w:color w:val="0070C0"/>
          <w:sz w:val="16"/>
          <w:szCs w:val="16"/>
        </w:rPr>
      </w:pPr>
    </w:p>
    <w:p w14:paraId="6ED21622"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К началу 1944 на 477 заводе Г.М.Б. был разработан макет ЛЛ-143 (2555,345).</w:t>
      </w:r>
    </w:p>
    <w:p w14:paraId="0CA8161C" w14:textId="77777777" w:rsidR="00DF6978" w:rsidRPr="00070ADE" w:rsidRDefault="00DF6978" w:rsidP="00B56F90">
      <w:pPr>
        <w:pStyle w:val="Iauiue"/>
        <w:jc w:val="both"/>
        <w:rPr>
          <w:color w:val="000000" w:themeColor="text1"/>
          <w:sz w:val="16"/>
          <w:szCs w:val="16"/>
        </w:rPr>
      </w:pPr>
    </w:p>
    <w:p w14:paraId="4DFC2AAE"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началу 1944 г. двигатель М-107 был доведен до возможности проведения летных испытаний.</w:t>
      </w:r>
    </w:p>
    <w:p w14:paraId="5DFE217D"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xml:space="preserve">Проведенные в апреле 1944 г. испытания истребителя Як-9У подтвердили его полное превосходство над образцом с двигателем М- 105ПФ-2, и новый самолет и двигатель были приняты в серийное производство. Еще более выдающимися данные показал истребителе Як-3 с двигателем ВК-107А. Однако большая частота вращения была и слабым местом конструкции. Даже в 1945 г. в инструкции по эксплуатации двигателя ВК-107А было указание, что после первых 5 ч работы заменить </w:t>
      </w:r>
      <w:r w:rsidRPr="00C94B78">
        <w:rPr>
          <w:rFonts w:ascii="Times New Roman" w:hAnsi="Times New Roman"/>
          <w:color w:val="0070C0"/>
          <w:sz w:val="16"/>
          <w:szCs w:val="16"/>
        </w:rPr>
        <w:lastRenderedPageBreak/>
        <w:t>масло в баке и картере, проверив отсутствие в масле следов разрушения вкладышей [7]. Данное предупреждение о возможности разрушения вкладышей говорит о недостаточной надежности двигателя ВК-107А в эксплуатации.</w:t>
      </w:r>
    </w:p>
    <w:p w14:paraId="79578ECD"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Освоение высоких оборотов коленчатого вала у двигателя ВК- 107А создавало возможность его дальнейшего Форсирования по увеличению среднего эффективного давления на поршень (у двигателя ВК-107А было всего 12,25 кг/см2, у АМ-42 - 15,4 кг/см2 и 16,1 кг/см2 - у АШ-82ФН) путем увеличения наддува. Проводились дальнейшие опытные работы по совершенствованию и увеличению мощности двигателя ВК-107А, была разработана и поставлена на летные испытания модификация ВК-107У с взлетной мощностью 1875 л.с., полученной за счет увеличения наддува. Столь сильное форсирование двигателя увеличило теплоотдачу в воду и масло и потребовало переделки самолетных радиаторов. Летные испытания самолета Як-9У с двигателем ВК-107У показали недостаточную надежность работы двигателя.</w:t>
      </w:r>
    </w:p>
    <w:p w14:paraId="2F0E38DF"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Развитием двигателей ВК-107А и ВК-107У был новый ВК-108 (25039).</w:t>
      </w:r>
    </w:p>
    <w:p w14:paraId="4FA89A27" w14:textId="77777777" w:rsidR="00795D54" w:rsidRPr="00C94B78" w:rsidRDefault="00795D54" w:rsidP="00B56F90">
      <w:pPr>
        <w:spacing w:after="0" w:line="240" w:lineRule="auto"/>
        <w:jc w:val="both"/>
        <w:rPr>
          <w:rFonts w:ascii="Times New Roman" w:hAnsi="Times New Roman"/>
          <w:color w:val="0070C0"/>
          <w:sz w:val="16"/>
          <w:szCs w:val="16"/>
        </w:rPr>
      </w:pPr>
    </w:p>
    <w:p w14:paraId="2764D81C" w14:textId="77777777" w:rsidR="00051986" w:rsidRPr="00070ADE" w:rsidRDefault="000519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началу 1944 г. специалисты БНТ ЦАГИ проанализировали работу механизмов управления фонарем кабины пилота разных типов истребителей и пришли к выводу, что одним из лучших решений стала конструкция фонаря истребителя FW 190. Механизм аварийного сброса фонаря приводился в действие пиропатроном (19727).</w:t>
      </w:r>
    </w:p>
    <w:p w14:paraId="62C37CE4" w14:textId="77777777" w:rsidR="00051986" w:rsidRPr="00070ADE" w:rsidRDefault="00051986" w:rsidP="00B56F90">
      <w:pPr>
        <w:spacing w:after="0" w:line="240" w:lineRule="auto"/>
        <w:jc w:val="both"/>
        <w:rPr>
          <w:rFonts w:ascii="Times New Roman" w:hAnsi="Times New Roman"/>
          <w:color w:val="000000" w:themeColor="text1"/>
          <w:sz w:val="16"/>
          <w:szCs w:val="16"/>
        </w:rPr>
      </w:pPr>
    </w:p>
    <w:p w14:paraId="517CB6B9"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началу 1944 г в ГА насчитыва</w:t>
      </w:r>
      <w:r w:rsidRPr="00C94B78">
        <w:rPr>
          <w:rFonts w:ascii="Times New Roman" w:hAnsi="Times New Roman"/>
          <w:color w:val="0070C0"/>
          <w:sz w:val="16"/>
          <w:szCs w:val="16"/>
        </w:rPr>
        <w:softHyphen/>
        <w:t>лось 17 ТБ-3. Работали они в основном в Сиби</w:t>
      </w:r>
      <w:r w:rsidRPr="00C94B78">
        <w:rPr>
          <w:rFonts w:ascii="Times New Roman" w:hAnsi="Times New Roman"/>
          <w:color w:val="0070C0"/>
          <w:sz w:val="16"/>
          <w:szCs w:val="16"/>
        </w:rPr>
        <w:softHyphen/>
        <w:t>ри и Средней Азии. Так, на них вывозили золото из района Магадана Из-за нехватки техники в тылу эксплуатировали самолеты очень интенсивно. Один только летчик В Т. Булгин в Сибири за три года войны перевез на своем самолете 700 т разных грузов и более 700 пассажиров.</w:t>
      </w:r>
    </w:p>
    <w:p w14:paraId="387AC102"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Интенсивное поступление Ли-2 и С-47 позволило в 1944 г. списать большое коли</w:t>
      </w:r>
      <w:r w:rsidRPr="00C94B78">
        <w:rPr>
          <w:rFonts w:ascii="Times New Roman" w:hAnsi="Times New Roman"/>
          <w:color w:val="0070C0"/>
          <w:sz w:val="16"/>
          <w:szCs w:val="16"/>
        </w:rPr>
        <w:softHyphen/>
        <w:t>чество устаревшей техники, в том числе 13 Г-2. На 1 января 1945 г. ГВФ располагали десятью Г-2, на 1 июня остались два, а на 1 декабря - один, последний. Он, еще исправный, возил серу в Туркмении. Этот самолет списали в августе 1946 г. (24938)</w:t>
      </w:r>
    </w:p>
    <w:p w14:paraId="584B2F7C" w14:textId="77777777" w:rsidR="00795D54" w:rsidRPr="00C94B78" w:rsidRDefault="00795D54" w:rsidP="00B56F90">
      <w:pPr>
        <w:spacing w:after="0" w:line="240" w:lineRule="auto"/>
        <w:jc w:val="both"/>
        <w:rPr>
          <w:rFonts w:ascii="Times New Roman" w:hAnsi="Times New Roman"/>
          <w:color w:val="0070C0"/>
          <w:sz w:val="16"/>
          <w:szCs w:val="16"/>
        </w:rPr>
      </w:pPr>
    </w:p>
    <w:p w14:paraId="009B250D" w14:textId="77777777" w:rsidR="009812BB" w:rsidRPr="00070ADE" w:rsidRDefault="009812B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AE91E9D" w14:textId="77777777" w:rsidR="009812BB" w:rsidRPr="00070ADE" w:rsidRDefault="009812B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F5C129"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shd w:val="clear" w:color="auto" w:fill="FFFFFF"/>
        </w:rPr>
        <w:t>К началу 1944 года, поскольку КВ-85 уже перестали выпускать, более это шасси не рассматривали как носитель более мощного, чем 85-мм системы, вооружения. Даже опытный образец КВ-85 со 100-мм орудием М-34, созданный в ЦАКБ являлся не более чем тестовой лабораторией для обкатки данной системы (24911).</w:t>
      </w:r>
    </w:p>
    <w:p w14:paraId="6DFFF06C" w14:textId="77777777" w:rsidR="00795D54" w:rsidRPr="00C94B78" w:rsidRDefault="00795D54" w:rsidP="00B56F90">
      <w:pPr>
        <w:spacing w:after="0" w:line="240" w:lineRule="auto"/>
        <w:jc w:val="both"/>
        <w:rPr>
          <w:rFonts w:ascii="Times New Roman" w:hAnsi="Times New Roman"/>
          <w:color w:val="0070C0"/>
          <w:sz w:val="16"/>
          <w:szCs w:val="16"/>
        </w:rPr>
      </w:pPr>
    </w:p>
    <w:p w14:paraId="3C486466" w14:textId="77777777" w:rsidR="009812BB" w:rsidRPr="00070ADE" w:rsidRDefault="009812BB"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 xml:space="preserve">К началу 1944 года на фоне обострившейся конкуренции между опытным заводом №100 и ЧКЗ (Челябинским Кировским заводом) наметилась тенденция к разделению работ. Ещё летом 1943 года СКБ-2 ЧКЗ начало инициативную разработку тяжёлого танка, который во многом соответствовал ТТТ от конца ноября 1943 года. В отличие от проекта модернизации </w:t>
      </w:r>
      <w:hyperlink r:id="rId8" w:history="1">
        <w:r w:rsidRPr="00070ADE">
          <w:rPr>
            <w:rFonts w:ascii="Times New Roman" w:eastAsia="Times New Roman" w:hAnsi="Times New Roman"/>
            <w:color w:val="000000" w:themeColor="text1"/>
            <w:sz w:val="16"/>
            <w:szCs w:val="16"/>
            <w:lang w:eastAsia="ru-RU"/>
          </w:rPr>
          <w:t>КВ-85</w:t>
        </w:r>
      </w:hyperlink>
      <w:r w:rsidRPr="00070ADE">
        <w:rPr>
          <w:rFonts w:ascii="Times New Roman" w:eastAsia="Times New Roman" w:hAnsi="Times New Roman"/>
          <w:color w:val="000000" w:themeColor="text1"/>
          <w:sz w:val="16"/>
          <w:szCs w:val="16"/>
          <w:lang w:eastAsia="ru-RU"/>
        </w:rPr>
        <w:t>, за который Зальцман и Махонин получили нагоняй от наркома танковой промышленности Малышева, эта разработка последним была одобрена. 56-тонный танк «К» вскоре превратился в Объект 701. Так наметились два направления работ: модернизация ИС-2 и создание потенциальной замены для него.</w:t>
      </w:r>
    </w:p>
    <w:p w14:paraId="4040698F" w14:textId="77777777" w:rsidR="009812BB" w:rsidRPr="00070ADE" w:rsidRDefault="009812BB"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Это разветвление стало одним из нескольких странных событий, происходивших в 1944 году на территории Челябинска (17756).</w:t>
      </w:r>
    </w:p>
    <w:p w14:paraId="021E57E3" w14:textId="77777777" w:rsidR="009812BB" w:rsidRPr="00070ADE" w:rsidRDefault="009812BB" w:rsidP="00B56F90">
      <w:pPr>
        <w:pStyle w:val="123"/>
        <w:shd w:val="clear" w:color="auto" w:fill="auto"/>
        <w:spacing w:after="0" w:line="240" w:lineRule="auto"/>
        <w:jc w:val="both"/>
        <w:rPr>
          <w:color w:val="000000" w:themeColor="text1"/>
          <w:sz w:val="16"/>
          <w:szCs w:val="16"/>
        </w:rPr>
      </w:pPr>
    </w:p>
    <w:p w14:paraId="20C4CE6C" w14:textId="77777777" w:rsidR="007C1115" w:rsidRPr="00070ADE" w:rsidRDefault="007C111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началу 1944 года на заводе №183 образовалось 154 пушки ЗИС-4, которые были уже не особо нужны. Начинался выпуск Т-34-85, поэтому 57-мм танковые пушки становились неактуальными. Неликвид завод начал постепенно разбирать, используя детали для комплектации 76-мм пушек Ф-34. К этому числу добавились еще и 12 ЗИС-4, оставшихся еще с 1941 года. К марту 1944 года общее число ЗИС-4, разных годов выпуска, достигло 160 штук. Было решено отправить их с завода, а заодно решить вопрос, что же делать с образовавшимся чемоданом без ручки.</w:t>
      </w:r>
    </w:p>
    <w:p w14:paraId="392FD748" w14:textId="77777777" w:rsidR="007C1115" w:rsidRPr="00070ADE" w:rsidRDefault="007C111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Между тем, ствол ЗИС-4, после некоторых нехитрых операций, мог быть установлен на люльку буксируемого орудия. В таком виде система вполне спокойно вставала в серийную самоходную артиллерийскую установку СУ-76М. Именно таким образом и решили трудоустроить задел по ЗИС-4. Инициатором работ по переделке СУ-76М стал начальник ГАУ КА, маршал артиллерии Н.Д. Яковлев. В апреле 1944 года у него состоялся разговор с С.А. Акоповым, наркомом среднего машиностроения. По результатам устных договоренностей ГАЗ им. Молотова получил срочное задание на разработку машины, которая получила обозначение СУ-57 (24276).</w:t>
      </w:r>
    </w:p>
    <w:p w14:paraId="7B62BB05" w14:textId="77777777" w:rsidR="007C1115" w:rsidRPr="00070ADE" w:rsidRDefault="007C1115" w:rsidP="00B56F90">
      <w:pPr>
        <w:spacing w:after="0" w:line="240" w:lineRule="auto"/>
        <w:jc w:val="both"/>
        <w:rPr>
          <w:rFonts w:ascii="Times New Roman" w:hAnsi="Times New Roman"/>
          <w:color w:val="000000" w:themeColor="text1"/>
          <w:sz w:val="16"/>
          <w:szCs w:val="16"/>
        </w:rPr>
      </w:pPr>
    </w:p>
    <w:p w14:paraId="58E47FAD" w14:textId="77777777" w:rsidR="005106D0" w:rsidRPr="00070ADE" w:rsidRDefault="005106D0" w:rsidP="00B56F90">
      <w:pPr>
        <w:pStyle w:val="article-renderblock"/>
        <w:shd w:val="clear" w:color="auto" w:fill="FFFFFF"/>
        <w:spacing w:before="0" w:beforeAutospacing="0" w:after="0" w:afterAutospacing="0"/>
        <w:jc w:val="both"/>
        <w:rPr>
          <w:color w:val="000000" w:themeColor="text1"/>
          <w:sz w:val="16"/>
          <w:szCs w:val="16"/>
        </w:rPr>
      </w:pPr>
      <w:r w:rsidRPr="00070ADE">
        <w:rPr>
          <w:color w:val="000000" w:themeColor="text1"/>
          <w:sz w:val="16"/>
          <w:szCs w:val="16"/>
        </w:rPr>
        <w:t>К началу 1944 года на территории БТРЗ №66 (Тбилиси) находилось 10 танков Т-50, плюс 1 они отремонтировали. В дальнейшем часть танков также была введена в строй, правда, уже не воевала. Во-вторых, один из танков 488-го ОТБ ныне является единственным Т-50, сохранившимся в России. Это та самая машина с серийным номером К-11232, которая успела повоевать в составе 150-й танковой бригады. Ныне машина находится в экспозиции парка "Патриот", недавно ее поставили на ход (21068).</w:t>
      </w:r>
    </w:p>
    <w:p w14:paraId="51030808" w14:textId="77777777" w:rsidR="005106D0" w:rsidRPr="00070ADE" w:rsidRDefault="005106D0" w:rsidP="00B56F90">
      <w:pPr>
        <w:pStyle w:val="article-renderblock"/>
        <w:shd w:val="clear" w:color="auto" w:fill="FFFFFF"/>
        <w:spacing w:before="0" w:beforeAutospacing="0" w:after="0" w:afterAutospacing="0"/>
        <w:jc w:val="both"/>
        <w:rPr>
          <w:color w:val="000000" w:themeColor="text1"/>
          <w:sz w:val="16"/>
          <w:szCs w:val="16"/>
        </w:rPr>
      </w:pPr>
    </w:p>
    <w:p w14:paraId="611E5723"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Даже к началу 1944 года Т-60 оставался довольно массовым явлением на поле боя. Из 1638 танков, числившихся на 1 января 1944 года, 684 всё ещё служили во фронтовых частях. Последним массовым случаем их боевого применения стали сражения на Ленинградском фронте летом-осенью 1944 года — не так уж и плохо для эрзац-танка, созданного за десять дней (19802).</w:t>
      </w:r>
    </w:p>
    <w:p w14:paraId="6401B1FB" w14:textId="77777777" w:rsidR="0059774D" w:rsidRPr="00070ADE" w:rsidRDefault="0059774D" w:rsidP="00B56F90">
      <w:pPr>
        <w:spacing w:after="0" w:line="240" w:lineRule="auto"/>
        <w:jc w:val="both"/>
        <w:rPr>
          <w:rFonts w:ascii="Times New Roman" w:hAnsi="Times New Roman"/>
          <w:color w:val="000000" w:themeColor="text1"/>
          <w:sz w:val="16"/>
          <w:szCs w:val="16"/>
        </w:rPr>
      </w:pPr>
    </w:p>
    <w:p w14:paraId="3015D9FA" w14:textId="77777777" w:rsidR="00DF6978" w:rsidRPr="00070ADE" w:rsidRDefault="00694509" w:rsidP="00B56F90">
      <w:pPr>
        <w:pStyle w:val="Iauiue"/>
        <w:jc w:val="both"/>
        <w:rPr>
          <w:color w:val="000000" w:themeColor="text1"/>
          <w:sz w:val="16"/>
          <w:szCs w:val="16"/>
        </w:rPr>
      </w:pPr>
      <w:r w:rsidRPr="00070ADE">
        <w:rPr>
          <w:i/>
          <w:color w:val="000000" w:themeColor="text1"/>
          <w:sz w:val="16"/>
          <w:szCs w:val="16"/>
        </w:rPr>
        <w:t>Армия:</w:t>
      </w:r>
    </w:p>
    <w:p w14:paraId="515825F5" w14:textId="77777777" w:rsidR="00DF6978" w:rsidRPr="00070ADE" w:rsidRDefault="00DF6978" w:rsidP="00B56F90">
      <w:pPr>
        <w:pStyle w:val="Iauiue"/>
        <w:jc w:val="both"/>
        <w:rPr>
          <w:color w:val="000000" w:themeColor="text1"/>
          <w:sz w:val="16"/>
          <w:szCs w:val="16"/>
        </w:rPr>
      </w:pPr>
    </w:p>
    <w:p w14:paraId="3DB5158D"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К началу 1944 доля штурмовиков составляла около 30% общего числа боевых самолетов, имевшихся в действующих воздушных армиях (337,76).</w:t>
      </w:r>
    </w:p>
    <w:p w14:paraId="67088B20" w14:textId="77777777" w:rsidR="00DF6978" w:rsidRPr="00070ADE" w:rsidRDefault="00DF6978" w:rsidP="00B56F90">
      <w:pPr>
        <w:pStyle w:val="Iauiue"/>
        <w:jc w:val="both"/>
        <w:rPr>
          <w:color w:val="000000" w:themeColor="text1"/>
          <w:sz w:val="16"/>
          <w:szCs w:val="16"/>
        </w:rPr>
      </w:pPr>
    </w:p>
    <w:p w14:paraId="56A8B8C2" w14:textId="77777777" w:rsidR="002B431A" w:rsidRPr="00070ADE" w:rsidRDefault="002B431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начало 1944 года в войсках числилось 2508 Т-70 и Т-70Б, из них 1284 на фронте. Годом спустя их было 1754 штуки, из них на фронте 272. Это явно намекало на то, что время 70-к прошло. Тем не менее, некоторое число Т-70 продолжали использовать как командирские танки в СПА-ах на СУ-76М. Некоторые танки умудрились дойти до Берлина, пройдя почти три года в боях. Одним словом, совсем не лишний танк. Сейчас известно более десятка Т-70, доживших до наших дней, из них несколько в ходовом состоянии. В отличие от Т-60, большинство Т-70 сохранилось в "чистом" виде, то есть как целые танки. Можно сказать, что судьба у них сложилась вполне успешно (24898).</w:t>
      </w:r>
    </w:p>
    <w:p w14:paraId="21C4BDCD" w14:textId="77777777" w:rsidR="002B431A" w:rsidRPr="00070ADE" w:rsidRDefault="002B431A" w:rsidP="00B56F90">
      <w:pPr>
        <w:spacing w:after="0" w:line="240" w:lineRule="auto"/>
        <w:jc w:val="both"/>
        <w:rPr>
          <w:rFonts w:ascii="Times New Roman" w:hAnsi="Times New Roman"/>
          <w:color w:val="000000" w:themeColor="text1"/>
          <w:sz w:val="16"/>
          <w:szCs w:val="16"/>
        </w:rPr>
      </w:pPr>
    </w:p>
    <w:p w14:paraId="4DCE40B6"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Силы МПВО, задействованные в прифронтовой полосе к началу 1944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2"/>
        <w:gridCol w:w="2032"/>
        <w:gridCol w:w="2032"/>
        <w:gridCol w:w="2032"/>
      </w:tblGrid>
      <w:tr w:rsidR="00B643A8" w:rsidRPr="00070ADE" w14:paraId="430276AF" w14:textId="77777777" w:rsidTr="00DF6978">
        <w:tc>
          <w:tcPr>
            <w:tcW w:w="392" w:type="dxa"/>
          </w:tcPr>
          <w:p w14:paraId="7C956A25"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п/п</w:t>
            </w:r>
          </w:p>
        </w:tc>
        <w:tc>
          <w:tcPr>
            <w:tcW w:w="2032" w:type="dxa"/>
          </w:tcPr>
          <w:p w14:paraId="0B15FA17"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Наименование </w:t>
            </w:r>
          </w:p>
        </w:tc>
        <w:tc>
          <w:tcPr>
            <w:tcW w:w="2032" w:type="dxa"/>
          </w:tcPr>
          <w:p w14:paraId="65280684"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Кол-во </w:t>
            </w:r>
          </w:p>
        </w:tc>
        <w:tc>
          <w:tcPr>
            <w:tcW w:w="2032" w:type="dxa"/>
          </w:tcPr>
          <w:p w14:paraId="4B8EDEB4"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Численность </w:t>
            </w:r>
          </w:p>
        </w:tc>
      </w:tr>
      <w:tr w:rsidR="00B643A8" w:rsidRPr="00070ADE" w14:paraId="7B32A1CE" w14:textId="77777777" w:rsidTr="00DF6978">
        <w:tc>
          <w:tcPr>
            <w:tcW w:w="392" w:type="dxa"/>
          </w:tcPr>
          <w:p w14:paraId="508FE280"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1 </w:t>
            </w:r>
          </w:p>
        </w:tc>
        <w:tc>
          <w:tcPr>
            <w:tcW w:w="2032" w:type="dxa"/>
          </w:tcPr>
          <w:p w14:paraId="3AF13AEB"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Инженерно-противохимические полки</w:t>
            </w:r>
          </w:p>
        </w:tc>
        <w:tc>
          <w:tcPr>
            <w:tcW w:w="2032" w:type="dxa"/>
          </w:tcPr>
          <w:p w14:paraId="536E0ADC"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7 </w:t>
            </w:r>
          </w:p>
        </w:tc>
        <w:tc>
          <w:tcPr>
            <w:tcW w:w="2032" w:type="dxa"/>
          </w:tcPr>
          <w:p w14:paraId="3FA36A52"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8372 </w:t>
            </w:r>
          </w:p>
        </w:tc>
      </w:tr>
      <w:tr w:rsidR="00B643A8" w:rsidRPr="00070ADE" w14:paraId="283C8308" w14:textId="77777777" w:rsidTr="00DF6978">
        <w:tc>
          <w:tcPr>
            <w:tcW w:w="392" w:type="dxa"/>
          </w:tcPr>
          <w:p w14:paraId="607649C1"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2 </w:t>
            </w:r>
          </w:p>
        </w:tc>
        <w:tc>
          <w:tcPr>
            <w:tcW w:w="2032" w:type="dxa"/>
          </w:tcPr>
          <w:p w14:paraId="34F85CF0"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Отд. инженерно-противохимические батальоны </w:t>
            </w:r>
          </w:p>
        </w:tc>
        <w:tc>
          <w:tcPr>
            <w:tcW w:w="2032" w:type="dxa"/>
          </w:tcPr>
          <w:p w14:paraId="37122546"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9 </w:t>
            </w:r>
          </w:p>
        </w:tc>
        <w:tc>
          <w:tcPr>
            <w:tcW w:w="2032" w:type="dxa"/>
          </w:tcPr>
          <w:p w14:paraId="4E2CD036"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3248 </w:t>
            </w:r>
          </w:p>
        </w:tc>
      </w:tr>
      <w:tr w:rsidR="00B643A8" w:rsidRPr="00070ADE" w14:paraId="2F5B375C" w14:textId="77777777" w:rsidTr="00DF6978">
        <w:tc>
          <w:tcPr>
            <w:tcW w:w="392" w:type="dxa"/>
          </w:tcPr>
          <w:p w14:paraId="347B9476"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3 </w:t>
            </w:r>
          </w:p>
        </w:tc>
        <w:tc>
          <w:tcPr>
            <w:tcW w:w="2032" w:type="dxa"/>
          </w:tcPr>
          <w:p w14:paraId="03FB4272"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Городские батальоны войск МПВО </w:t>
            </w:r>
          </w:p>
        </w:tc>
        <w:tc>
          <w:tcPr>
            <w:tcW w:w="2032" w:type="dxa"/>
          </w:tcPr>
          <w:p w14:paraId="5930BF24"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121 </w:t>
            </w:r>
          </w:p>
        </w:tc>
        <w:tc>
          <w:tcPr>
            <w:tcW w:w="2032" w:type="dxa"/>
          </w:tcPr>
          <w:p w14:paraId="3E21BCF7"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42030 </w:t>
            </w:r>
          </w:p>
        </w:tc>
      </w:tr>
      <w:tr w:rsidR="00B643A8" w:rsidRPr="00070ADE" w14:paraId="0404C008" w14:textId="77777777" w:rsidTr="00DF6978">
        <w:tc>
          <w:tcPr>
            <w:tcW w:w="392" w:type="dxa"/>
          </w:tcPr>
          <w:p w14:paraId="59677FEA"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4 </w:t>
            </w:r>
          </w:p>
        </w:tc>
        <w:tc>
          <w:tcPr>
            <w:tcW w:w="2032" w:type="dxa"/>
          </w:tcPr>
          <w:p w14:paraId="72A31663"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Отд. Городские роты </w:t>
            </w:r>
          </w:p>
        </w:tc>
        <w:tc>
          <w:tcPr>
            <w:tcW w:w="2032" w:type="dxa"/>
          </w:tcPr>
          <w:p w14:paraId="759EC0C2"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19 </w:t>
            </w:r>
          </w:p>
        </w:tc>
        <w:tc>
          <w:tcPr>
            <w:tcW w:w="2032" w:type="dxa"/>
          </w:tcPr>
          <w:p w14:paraId="6655C8C9"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2708 </w:t>
            </w:r>
          </w:p>
        </w:tc>
      </w:tr>
      <w:tr w:rsidR="00B643A8" w:rsidRPr="00070ADE" w14:paraId="537B29C1" w14:textId="77777777" w:rsidTr="00DF6978">
        <w:tc>
          <w:tcPr>
            <w:tcW w:w="392" w:type="dxa"/>
          </w:tcPr>
          <w:p w14:paraId="4547B3CB"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5 </w:t>
            </w:r>
          </w:p>
        </w:tc>
        <w:tc>
          <w:tcPr>
            <w:tcW w:w="2032" w:type="dxa"/>
          </w:tcPr>
          <w:p w14:paraId="6AC9581F"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Участковые формирования из приписного состава </w:t>
            </w:r>
          </w:p>
        </w:tc>
        <w:tc>
          <w:tcPr>
            <w:tcW w:w="2032" w:type="dxa"/>
          </w:tcPr>
          <w:p w14:paraId="4946943F"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228 </w:t>
            </w:r>
          </w:p>
        </w:tc>
        <w:tc>
          <w:tcPr>
            <w:tcW w:w="2032" w:type="dxa"/>
          </w:tcPr>
          <w:p w14:paraId="33B21FCF"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48146 </w:t>
            </w:r>
          </w:p>
        </w:tc>
      </w:tr>
      <w:tr w:rsidR="00B643A8" w:rsidRPr="00070ADE" w14:paraId="614ABBA0" w14:textId="77777777" w:rsidTr="00DF6978">
        <w:tc>
          <w:tcPr>
            <w:tcW w:w="392" w:type="dxa"/>
          </w:tcPr>
          <w:p w14:paraId="36FDBDFC"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6 </w:t>
            </w:r>
          </w:p>
        </w:tc>
        <w:tc>
          <w:tcPr>
            <w:tcW w:w="2032" w:type="dxa"/>
          </w:tcPr>
          <w:p w14:paraId="3F6E4377"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Объектовые формирования </w:t>
            </w:r>
          </w:p>
        </w:tc>
        <w:tc>
          <w:tcPr>
            <w:tcW w:w="2032" w:type="dxa"/>
          </w:tcPr>
          <w:p w14:paraId="041EFAAF"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3742 </w:t>
            </w:r>
          </w:p>
        </w:tc>
        <w:tc>
          <w:tcPr>
            <w:tcW w:w="2032" w:type="dxa"/>
          </w:tcPr>
          <w:p w14:paraId="3383C5DF"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492124 </w:t>
            </w:r>
          </w:p>
        </w:tc>
      </w:tr>
      <w:tr w:rsidR="00B643A8" w:rsidRPr="00070ADE" w14:paraId="1D0C8E93" w14:textId="77777777" w:rsidTr="00DF6978">
        <w:tc>
          <w:tcPr>
            <w:tcW w:w="392" w:type="dxa"/>
          </w:tcPr>
          <w:p w14:paraId="0B0CCB22"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7 </w:t>
            </w:r>
          </w:p>
        </w:tc>
        <w:tc>
          <w:tcPr>
            <w:tcW w:w="2032" w:type="dxa"/>
          </w:tcPr>
          <w:p w14:paraId="04D9A14F"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Унитарные команды </w:t>
            </w:r>
          </w:p>
        </w:tc>
        <w:tc>
          <w:tcPr>
            <w:tcW w:w="2032" w:type="dxa"/>
          </w:tcPr>
          <w:p w14:paraId="2C0E11E4"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908 </w:t>
            </w:r>
          </w:p>
        </w:tc>
        <w:tc>
          <w:tcPr>
            <w:tcW w:w="2032" w:type="dxa"/>
          </w:tcPr>
          <w:p w14:paraId="32D12887"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35412 </w:t>
            </w:r>
          </w:p>
        </w:tc>
      </w:tr>
      <w:tr w:rsidR="00B643A8" w:rsidRPr="00070ADE" w14:paraId="048F3F1B" w14:textId="77777777" w:rsidTr="00DF6978">
        <w:tc>
          <w:tcPr>
            <w:tcW w:w="392" w:type="dxa"/>
          </w:tcPr>
          <w:p w14:paraId="05C6547B"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8 </w:t>
            </w:r>
          </w:p>
        </w:tc>
        <w:tc>
          <w:tcPr>
            <w:tcW w:w="2032" w:type="dxa"/>
          </w:tcPr>
          <w:p w14:paraId="24A39334"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Группы самозащиты </w:t>
            </w:r>
          </w:p>
        </w:tc>
        <w:tc>
          <w:tcPr>
            <w:tcW w:w="2032" w:type="dxa"/>
          </w:tcPr>
          <w:p w14:paraId="32530549"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81132 </w:t>
            </w:r>
          </w:p>
        </w:tc>
        <w:tc>
          <w:tcPr>
            <w:tcW w:w="2032" w:type="dxa"/>
          </w:tcPr>
          <w:p w14:paraId="35FEA1BA"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4867920 </w:t>
            </w:r>
          </w:p>
        </w:tc>
      </w:tr>
      <w:tr w:rsidR="00B643A8" w:rsidRPr="00070ADE" w14:paraId="349AC15C" w14:textId="77777777" w:rsidTr="00DF6978">
        <w:tc>
          <w:tcPr>
            <w:tcW w:w="392" w:type="dxa"/>
          </w:tcPr>
          <w:p w14:paraId="06749CD2"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9 </w:t>
            </w:r>
          </w:p>
        </w:tc>
        <w:tc>
          <w:tcPr>
            <w:tcW w:w="2032" w:type="dxa"/>
          </w:tcPr>
          <w:p w14:paraId="42B0C5A2"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Отряды первой медицинской помощи </w:t>
            </w:r>
          </w:p>
        </w:tc>
        <w:tc>
          <w:tcPr>
            <w:tcW w:w="2032" w:type="dxa"/>
          </w:tcPr>
          <w:p w14:paraId="129AAB2D"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2469 </w:t>
            </w:r>
          </w:p>
        </w:tc>
        <w:tc>
          <w:tcPr>
            <w:tcW w:w="2032" w:type="dxa"/>
          </w:tcPr>
          <w:p w14:paraId="52A59039"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12335 </w:t>
            </w:r>
          </w:p>
        </w:tc>
      </w:tr>
      <w:tr w:rsidR="00B643A8" w:rsidRPr="00070ADE" w14:paraId="4CA57B7C" w14:textId="77777777" w:rsidTr="00DF6978">
        <w:tc>
          <w:tcPr>
            <w:tcW w:w="392" w:type="dxa"/>
          </w:tcPr>
          <w:p w14:paraId="2FF8BA6B"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10 </w:t>
            </w:r>
          </w:p>
        </w:tc>
        <w:tc>
          <w:tcPr>
            <w:tcW w:w="2032" w:type="dxa"/>
          </w:tcPr>
          <w:p w14:paraId="74146619"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Сандружины </w:t>
            </w:r>
          </w:p>
        </w:tc>
        <w:tc>
          <w:tcPr>
            <w:tcW w:w="2032" w:type="dxa"/>
          </w:tcPr>
          <w:p w14:paraId="4D9DB502"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1896 </w:t>
            </w:r>
          </w:p>
        </w:tc>
        <w:tc>
          <w:tcPr>
            <w:tcW w:w="2032" w:type="dxa"/>
          </w:tcPr>
          <w:p w14:paraId="3635E52B"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28440 </w:t>
            </w:r>
          </w:p>
        </w:tc>
      </w:tr>
      <w:tr w:rsidR="00B643A8" w:rsidRPr="00070ADE" w14:paraId="3AF97077" w14:textId="77777777" w:rsidTr="00DF6978">
        <w:tc>
          <w:tcPr>
            <w:tcW w:w="392" w:type="dxa"/>
          </w:tcPr>
          <w:p w14:paraId="037F2E39"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11 </w:t>
            </w:r>
          </w:p>
        </w:tc>
        <w:tc>
          <w:tcPr>
            <w:tcW w:w="2032" w:type="dxa"/>
          </w:tcPr>
          <w:p w14:paraId="411D02F2"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Комсомольско-молодежные противопож. Подразделения </w:t>
            </w:r>
          </w:p>
        </w:tc>
        <w:tc>
          <w:tcPr>
            <w:tcW w:w="2032" w:type="dxa"/>
          </w:tcPr>
          <w:p w14:paraId="1106C746"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327 </w:t>
            </w:r>
          </w:p>
        </w:tc>
        <w:tc>
          <w:tcPr>
            <w:tcW w:w="2032" w:type="dxa"/>
          </w:tcPr>
          <w:p w14:paraId="4C17753D"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1600 </w:t>
            </w:r>
          </w:p>
        </w:tc>
      </w:tr>
      <w:tr w:rsidR="00B643A8" w:rsidRPr="00070ADE" w14:paraId="241BD428" w14:textId="77777777" w:rsidTr="00DF6978">
        <w:tc>
          <w:tcPr>
            <w:tcW w:w="392" w:type="dxa"/>
          </w:tcPr>
          <w:p w14:paraId="0E5C4DC4"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12 </w:t>
            </w:r>
          </w:p>
        </w:tc>
        <w:tc>
          <w:tcPr>
            <w:tcW w:w="2032" w:type="dxa"/>
          </w:tcPr>
          <w:p w14:paraId="06200517"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Городские аварийно-</w:t>
            </w:r>
            <w:r w:rsidRPr="00070ADE">
              <w:rPr>
                <w:color w:val="000000" w:themeColor="text1"/>
                <w:sz w:val="16"/>
                <w:szCs w:val="16"/>
              </w:rPr>
              <w:lastRenderedPageBreak/>
              <w:t xml:space="preserve">восстановит. бригады </w:t>
            </w:r>
          </w:p>
        </w:tc>
        <w:tc>
          <w:tcPr>
            <w:tcW w:w="2032" w:type="dxa"/>
          </w:tcPr>
          <w:p w14:paraId="156FEF44"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lastRenderedPageBreak/>
              <w:t xml:space="preserve">755 </w:t>
            </w:r>
          </w:p>
        </w:tc>
        <w:tc>
          <w:tcPr>
            <w:tcW w:w="2032" w:type="dxa"/>
          </w:tcPr>
          <w:p w14:paraId="023AC81E"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20698 </w:t>
            </w:r>
          </w:p>
        </w:tc>
      </w:tr>
      <w:tr w:rsidR="00B643A8" w:rsidRPr="00070ADE" w14:paraId="08201CE6" w14:textId="77777777" w:rsidTr="00DF6978">
        <w:tc>
          <w:tcPr>
            <w:tcW w:w="392" w:type="dxa"/>
          </w:tcPr>
          <w:p w14:paraId="5AA6D148"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13 </w:t>
            </w:r>
          </w:p>
        </w:tc>
        <w:tc>
          <w:tcPr>
            <w:tcW w:w="2032" w:type="dxa"/>
          </w:tcPr>
          <w:p w14:paraId="4CB7A454"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Аварийно-восстановит. Отряды </w:t>
            </w:r>
          </w:p>
        </w:tc>
        <w:tc>
          <w:tcPr>
            <w:tcW w:w="2032" w:type="dxa"/>
          </w:tcPr>
          <w:p w14:paraId="3C27F6F1"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17 </w:t>
            </w:r>
          </w:p>
        </w:tc>
        <w:tc>
          <w:tcPr>
            <w:tcW w:w="2032" w:type="dxa"/>
          </w:tcPr>
          <w:p w14:paraId="64395FE1"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17600 </w:t>
            </w:r>
          </w:p>
        </w:tc>
      </w:tr>
      <w:tr w:rsidR="00B643A8" w:rsidRPr="00070ADE" w14:paraId="671D9481" w14:textId="77777777" w:rsidTr="00DF6978">
        <w:tc>
          <w:tcPr>
            <w:tcW w:w="392" w:type="dxa"/>
          </w:tcPr>
          <w:p w14:paraId="53015515"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14 </w:t>
            </w:r>
          </w:p>
        </w:tc>
        <w:tc>
          <w:tcPr>
            <w:tcW w:w="2032" w:type="dxa"/>
          </w:tcPr>
          <w:p w14:paraId="7529E2F0"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Аварийно-восстановит. батальоны </w:t>
            </w:r>
          </w:p>
        </w:tc>
        <w:tc>
          <w:tcPr>
            <w:tcW w:w="2032" w:type="dxa"/>
          </w:tcPr>
          <w:p w14:paraId="62F408FF"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565 </w:t>
            </w:r>
          </w:p>
        </w:tc>
        <w:tc>
          <w:tcPr>
            <w:tcW w:w="2032" w:type="dxa"/>
          </w:tcPr>
          <w:p w14:paraId="470A098F"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282166 </w:t>
            </w:r>
          </w:p>
        </w:tc>
      </w:tr>
      <w:tr w:rsidR="00B643A8" w:rsidRPr="00070ADE" w14:paraId="238F6F40" w14:textId="77777777" w:rsidTr="00DF6978">
        <w:tc>
          <w:tcPr>
            <w:tcW w:w="392" w:type="dxa"/>
          </w:tcPr>
          <w:p w14:paraId="74D705BB"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15 </w:t>
            </w:r>
          </w:p>
        </w:tc>
        <w:tc>
          <w:tcPr>
            <w:tcW w:w="2032" w:type="dxa"/>
          </w:tcPr>
          <w:p w14:paraId="7803D436"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Объектовые аварийно-восстановит. отряды </w:t>
            </w:r>
          </w:p>
        </w:tc>
        <w:tc>
          <w:tcPr>
            <w:tcW w:w="2032" w:type="dxa"/>
          </w:tcPr>
          <w:p w14:paraId="45F1106E"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980 </w:t>
            </w:r>
          </w:p>
        </w:tc>
        <w:tc>
          <w:tcPr>
            <w:tcW w:w="2032" w:type="dxa"/>
          </w:tcPr>
          <w:p w14:paraId="4C102CB1"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138050 </w:t>
            </w:r>
          </w:p>
        </w:tc>
      </w:tr>
      <w:tr w:rsidR="00B643A8" w:rsidRPr="00070ADE" w14:paraId="7313579F" w14:textId="77777777" w:rsidTr="00DF6978">
        <w:tc>
          <w:tcPr>
            <w:tcW w:w="392" w:type="dxa"/>
          </w:tcPr>
          <w:p w14:paraId="50ABA1C5"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16 </w:t>
            </w:r>
          </w:p>
        </w:tc>
        <w:tc>
          <w:tcPr>
            <w:tcW w:w="2032" w:type="dxa"/>
          </w:tcPr>
          <w:p w14:paraId="6369F342"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Группы ветеринарной помощи </w:t>
            </w:r>
          </w:p>
        </w:tc>
        <w:tc>
          <w:tcPr>
            <w:tcW w:w="2032" w:type="dxa"/>
          </w:tcPr>
          <w:p w14:paraId="72A60C02"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869 </w:t>
            </w:r>
          </w:p>
        </w:tc>
        <w:tc>
          <w:tcPr>
            <w:tcW w:w="2032" w:type="dxa"/>
          </w:tcPr>
          <w:p w14:paraId="67278B2E"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 xml:space="preserve">2755 </w:t>
            </w:r>
          </w:p>
        </w:tc>
      </w:tr>
      <w:tr w:rsidR="005106D0" w:rsidRPr="00070ADE" w14:paraId="1BD6D035" w14:textId="77777777" w:rsidTr="00DF6978">
        <w:tc>
          <w:tcPr>
            <w:tcW w:w="392" w:type="dxa"/>
          </w:tcPr>
          <w:p w14:paraId="48156EE4" w14:textId="77777777" w:rsidR="00DF6978" w:rsidRPr="00070ADE" w:rsidRDefault="00DF6978" w:rsidP="00B56F90">
            <w:pPr>
              <w:pStyle w:val="Iauiue"/>
              <w:jc w:val="both"/>
              <w:rPr>
                <w:color w:val="000000" w:themeColor="text1"/>
                <w:sz w:val="16"/>
                <w:szCs w:val="16"/>
              </w:rPr>
            </w:pPr>
          </w:p>
        </w:tc>
        <w:tc>
          <w:tcPr>
            <w:tcW w:w="2032" w:type="dxa"/>
          </w:tcPr>
          <w:p w14:paraId="794BEBAE"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ИТОГО</w:t>
            </w:r>
          </w:p>
        </w:tc>
        <w:tc>
          <w:tcPr>
            <w:tcW w:w="2032" w:type="dxa"/>
          </w:tcPr>
          <w:p w14:paraId="709D5DA8"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95044</w:t>
            </w:r>
          </w:p>
        </w:tc>
        <w:tc>
          <w:tcPr>
            <w:tcW w:w="2032" w:type="dxa"/>
          </w:tcPr>
          <w:p w14:paraId="601EE227" w14:textId="77777777" w:rsidR="00DF6978" w:rsidRPr="00070ADE" w:rsidRDefault="00DF6978" w:rsidP="00B56F90">
            <w:pPr>
              <w:pStyle w:val="Iauiue"/>
              <w:jc w:val="both"/>
              <w:rPr>
                <w:color w:val="000000" w:themeColor="text1"/>
                <w:sz w:val="16"/>
                <w:szCs w:val="16"/>
              </w:rPr>
            </w:pPr>
            <w:r w:rsidRPr="00070ADE">
              <w:rPr>
                <w:color w:val="000000" w:themeColor="text1"/>
                <w:sz w:val="16"/>
                <w:szCs w:val="16"/>
              </w:rPr>
              <w:t>(9453)</w:t>
            </w:r>
          </w:p>
        </w:tc>
      </w:tr>
    </w:tbl>
    <w:p w14:paraId="1AFE3329" w14:textId="77777777" w:rsidR="00DF6978" w:rsidRPr="00070ADE" w:rsidRDefault="00DF6978" w:rsidP="00B56F90">
      <w:pPr>
        <w:pStyle w:val="Iauiue"/>
        <w:jc w:val="both"/>
        <w:rPr>
          <w:color w:val="000000" w:themeColor="text1"/>
          <w:sz w:val="16"/>
          <w:szCs w:val="16"/>
        </w:rPr>
      </w:pPr>
    </w:p>
    <w:p w14:paraId="5FF29061" w14:textId="2867687F" w:rsidR="005106D0" w:rsidRPr="00070ADE" w:rsidRDefault="005106D0"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70ADE">
        <w:rPr>
          <w:rFonts w:ascii="Times New Roman" w:hAnsi="Times New Roman"/>
          <w:i/>
          <w:iCs/>
          <w:color w:val="000000" w:themeColor="text1"/>
          <w:sz w:val="16"/>
          <w:szCs w:val="16"/>
        </w:rPr>
        <w:t>За рубежом:</w:t>
      </w:r>
    </w:p>
    <w:p w14:paraId="5F5AEDB8" w14:textId="77777777" w:rsidR="005106D0" w:rsidRPr="00070ADE" w:rsidRDefault="005106D0"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220A2EF" w14:textId="77777777" w:rsidR="005106D0" w:rsidRPr="00070ADE" w:rsidRDefault="005106D0" w:rsidP="00B56F90">
      <w:pPr>
        <w:pStyle w:val="article-renderblock"/>
        <w:shd w:val="clear" w:color="auto" w:fill="FFFFFF"/>
        <w:spacing w:before="0" w:beforeAutospacing="0" w:after="0" w:afterAutospacing="0"/>
        <w:jc w:val="both"/>
        <w:rPr>
          <w:color w:val="000000" w:themeColor="text1"/>
          <w:sz w:val="16"/>
          <w:szCs w:val="16"/>
        </w:rPr>
      </w:pPr>
      <w:r w:rsidRPr="00070ADE">
        <w:rPr>
          <w:color w:val="000000" w:themeColor="text1"/>
          <w:sz w:val="16"/>
          <w:szCs w:val="16"/>
        </w:rPr>
        <w:t>К началу 1944 г. Опытные Ме 262 налетали 120 часов, осуществив 335 полетов. Однако оставалась проблема сложности взлета. Строевые летчики предложили изменить схему шасси. На Me 262V-5 установили неубирающуюся переднюю стойку, после чего улучшилась управляемость на взлете, но длина разбега не изменилась. Проблема была решена применением стартовых ускорителей, сокращавших разбег до 400 м. Испытания провел Карл Баур, после чего 2 июня 1943 г. было принято решение о начале серийного производства Me 262 в новой компоновке (22776).</w:t>
      </w:r>
    </w:p>
    <w:p w14:paraId="591779A6" w14:textId="77777777" w:rsidR="005106D0" w:rsidRPr="00070ADE" w:rsidRDefault="005106D0" w:rsidP="00B56F90">
      <w:pPr>
        <w:pStyle w:val="article-renderblock"/>
        <w:shd w:val="clear" w:color="auto" w:fill="FFFFFF"/>
        <w:spacing w:before="0" w:beforeAutospacing="0" w:after="0" w:afterAutospacing="0"/>
        <w:jc w:val="both"/>
        <w:rPr>
          <w:color w:val="000000" w:themeColor="text1"/>
          <w:sz w:val="16"/>
          <w:szCs w:val="16"/>
        </w:rPr>
      </w:pPr>
    </w:p>
    <w:p w14:paraId="1B796225" w14:textId="77777777" w:rsidR="004D4663" w:rsidRPr="00070ADE" w:rsidRDefault="004D46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на</w:t>
      </w:r>
      <w:r w:rsidRPr="00070ADE">
        <w:rPr>
          <w:rFonts w:ascii="Times New Roman" w:hAnsi="Times New Roman"/>
          <w:color w:val="000000" w:themeColor="text1"/>
          <w:sz w:val="16"/>
          <w:szCs w:val="16"/>
        </w:rPr>
        <w:softHyphen/>
        <w:t>чалу 1944 г. А-20Ж практически полностью заменили собой все машины предыдущих типов. По замыслу создате</w:t>
      </w:r>
      <w:r w:rsidRPr="00070ADE">
        <w:rPr>
          <w:rFonts w:ascii="Times New Roman" w:hAnsi="Times New Roman"/>
          <w:color w:val="000000" w:themeColor="text1"/>
          <w:sz w:val="16"/>
          <w:szCs w:val="16"/>
        </w:rPr>
        <w:softHyphen/>
        <w:t>лей новый самолет являлся уже не легким бомбардиров</w:t>
      </w:r>
      <w:r w:rsidRPr="00070ADE">
        <w:rPr>
          <w:rFonts w:ascii="Times New Roman" w:hAnsi="Times New Roman"/>
          <w:color w:val="000000" w:themeColor="text1"/>
          <w:sz w:val="16"/>
          <w:szCs w:val="16"/>
        </w:rPr>
        <w:softHyphen/>
        <w:t>щиком, а штурмовиком, что технически выражалось в отсутствии штурмана и за</w:t>
      </w:r>
      <w:r w:rsidRPr="00070ADE">
        <w:rPr>
          <w:rFonts w:ascii="Times New Roman" w:hAnsi="Times New Roman"/>
          <w:color w:val="000000" w:themeColor="text1"/>
          <w:sz w:val="16"/>
          <w:szCs w:val="16"/>
        </w:rPr>
        <w:softHyphen/>
        <w:t>стекленной кабины в носу, где он ранее находился. Ее место заняла батарея из че</w:t>
      </w:r>
      <w:r w:rsidRPr="00070ADE">
        <w:rPr>
          <w:rFonts w:ascii="Times New Roman" w:hAnsi="Times New Roman"/>
          <w:color w:val="000000" w:themeColor="text1"/>
          <w:sz w:val="16"/>
          <w:szCs w:val="16"/>
        </w:rPr>
        <w:softHyphen/>
        <w:t>тырех 20-мм пушек и двух 12,7-мм пулеметов (на серии G-5 и всех последующих - шесть крупнокалиберных пулеметов). Естественно, это не соответствовало отечест</w:t>
      </w:r>
      <w:r w:rsidRPr="00070ADE">
        <w:rPr>
          <w:rFonts w:ascii="Times New Roman" w:hAnsi="Times New Roman"/>
          <w:color w:val="000000" w:themeColor="text1"/>
          <w:sz w:val="16"/>
          <w:szCs w:val="16"/>
        </w:rPr>
        <w:softHyphen/>
        <w:t>венной концепции класси</w:t>
      </w:r>
      <w:r w:rsidRPr="00070ADE">
        <w:rPr>
          <w:rFonts w:ascii="Times New Roman" w:hAnsi="Times New Roman"/>
          <w:color w:val="000000" w:themeColor="text1"/>
          <w:sz w:val="16"/>
          <w:szCs w:val="16"/>
        </w:rPr>
        <w:softHyphen/>
        <w:t>ческого самолета-торпедо</w:t>
      </w:r>
      <w:r w:rsidRPr="00070ADE">
        <w:rPr>
          <w:rFonts w:ascii="Times New Roman" w:hAnsi="Times New Roman"/>
          <w:color w:val="000000" w:themeColor="text1"/>
          <w:sz w:val="16"/>
          <w:szCs w:val="16"/>
        </w:rPr>
        <w:softHyphen/>
        <w:t>носца, в которой пилот отве</w:t>
      </w:r>
      <w:r w:rsidRPr="00070ADE">
        <w:rPr>
          <w:rFonts w:ascii="Times New Roman" w:hAnsi="Times New Roman"/>
          <w:color w:val="000000" w:themeColor="text1"/>
          <w:sz w:val="16"/>
          <w:szCs w:val="16"/>
        </w:rPr>
        <w:softHyphen/>
        <w:t>чал только за пилотирование самолета в момент атаки, а штурман - за работу с тор</w:t>
      </w:r>
      <w:r w:rsidRPr="00070ADE">
        <w:rPr>
          <w:rFonts w:ascii="Times New Roman" w:hAnsi="Times New Roman"/>
          <w:color w:val="000000" w:themeColor="text1"/>
          <w:sz w:val="16"/>
          <w:szCs w:val="16"/>
        </w:rPr>
        <w:softHyphen/>
        <w:t>педным прицелом и выра</w:t>
      </w:r>
      <w:r w:rsidRPr="00070ADE">
        <w:rPr>
          <w:rFonts w:ascii="Times New Roman" w:hAnsi="Times New Roman"/>
          <w:color w:val="000000" w:themeColor="text1"/>
          <w:sz w:val="16"/>
          <w:szCs w:val="16"/>
        </w:rPr>
        <w:softHyphen/>
        <w:t>ботку боевого курса. Разра</w:t>
      </w:r>
      <w:r w:rsidRPr="00070ADE">
        <w:rPr>
          <w:rFonts w:ascii="Times New Roman" w:hAnsi="Times New Roman"/>
          <w:color w:val="000000" w:themeColor="text1"/>
          <w:sz w:val="16"/>
          <w:szCs w:val="16"/>
        </w:rPr>
        <w:softHyphen/>
        <w:t>ботали проект модификации А-20ДО, в соответствии с ко</w:t>
      </w:r>
      <w:r w:rsidRPr="00070ADE">
        <w:rPr>
          <w:rFonts w:ascii="Times New Roman" w:hAnsi="Times New Roman"/>
          <w:color w:val="000000" w:themeColor="text1"/>
          <w:sz w:val="16"/>
          <w:szCs w:val="16"/>
        </w:rPr>
        <w:softHyphen/>
        <w:t>торой закрытый нос с че</w:t>
      </w:r>
      <w:r w:rsidRPr="00070ADE">
        <w:rPr>
          <w:rFonts w:ascii="Times New Roman" w:hAnsi="Times New Roman"/>
          <w:color w:val="000000" w:themeColor="text1"/>
          <w:sz w:val="16"/>
          <w:szCs w:val="16"/>
        </w:rPr>
        <w:softHyphen/>
        <w:t>тырьмя пушками или пуле</w:t>
      </w:r>
      <w:r w:rsidRPr="00070ADE">
        <w:rPr>
          <w:rFonts w:ascii="Times New Roman" w:hAnsi="Times New Roman"/>
          <w:color w:val="000000" w:themeColor="text1"/>
          <w:sz w:val="16"/>
          <w:szCs w:val="16"/>
        </w:rPr>
        <w:softHyphen/>
        <w:t>метами убирался, и там обо</w:t>
      </w:r>
      <w:r w:rsidRPr="00070ADE">
        <w:rPr>
          <w:rFonts w:ascii="Times New Roman" w:hAnsi="Times New Roman"/>
          <w:color w:val="000000" w:themeColor="text1"/>
          <w:sz w:val="16"/>
          <w:szCs w:val="16"/>
        </w:rPr>
        <w:softHyphen/>
        <w:t>рудовалась застекленная ка</w:t>
      </w:r>
      <w:r w:rsidRPr="00070ADE">
        <w:rPr>
          <w:rFonts w:ascii="Times New Roman" w:hAnsi="Times New Roman"/>
          <w:color w:val="000000" w:themeColor="text1"/>
          <w:sz w:val="16"/>
          <w:szCs w:val="16"/>
        </w:rPr>
        <w:softHyphen/>
        <w:t>бина штурмана. Он требовал длительной переделки в ре</w:t>
      </w:r>
      <w:r w:rsidRPr="00070ADE">
        <w:rPr>
          <w:rFonts w:ascii="Times New Roman" w:hAnsi="Times New Roman"/>
          <w:color w:val="000000" w:themeColor="text1"/>
          <w:sz w:val="16"/>
          <w:szCs w:val="16"/>
        </w:rPr>
        <w:softHyphen/>
        <w:t>монтных мастерских, поэто</w:t>
      </w:r>
      <w:r w:rsidRPr="00070ADE">
        <w:rPr>
          <w:rFonts w:ascii="Times New Roman" w:hAnsi="Times New Roman"/>
          <w:color w:val="000000" w:themeColor="text1"/>
          <w:sz w:val="16"/>
          <w:szCs w:val="16"/>
        </w:rPr>
        <w:softHyphen/>
        <w:t>му намного более распрост</w:t>
      </w:r>
      <w:r w:rsidRPr="00070ADE">
        <w:rPr>
          <w:rFonts w:ascii="Times New Roman" w:hAnsi="Times New Roman"/>
          <w:color w:val="000000" w:themeColor="text1"/>
          <w:sz w:val="16"/>
          <w:szCs w:val="16"/>
        </w:rPr>
        <w:softHyphen/>
        <w:t>простейший реечный прицел ВЛ-1 по типу того, что устанавливался на ранних торпед</w:t>
      </w:r>
      <w:r w:rsidRPr="00070ADE">
        <w:rPr>
          <w:rFonts w:ascii="Times New Roman" w:hAnsi="Times New Roman"/>
          <w:color w:val="000000" w:themeColor="text1"/>
          <w:sz w:val="16"/>
          <w:szCs w:val="16"/>
        </w:rPr>
        <w:softHyphen/>
        <w:t>ных катерах. На А-20-топмачтовиках кроме того устанавливался прицел ПБП-1, кото</w:t>
      </w:r>
      <w:r w:rsidRPr="00070ADE">
        <w:rPr>
          <w:rFonts w:ascii="Times New Roman" w:hAnsi="Times New Roman"/>
          <w:color w:val="000000" w:themeColor="text1"/>
          <w:sz w:val="16"/>
          <w:szCs w:val="16"/>
        </w:rPr>
        <w:softHyphen/>
        <w:t>рым можно было измерить градусное расстояние между целью и визирной сеткой при</w:t>
      </w:r>
      <w:r w:rsidRPr="00070ADE">
        <w:rPr>
          <w:rFonts w:ascii="Times New Roman" w:hAnsi="Times New Roman"/>
          <w:color w:val="000000" w:themeColor="text1"/>
          <w:sz w:val="16"/>
          <w:szCs w:val="16"/>
        </w:rPr>
        <w:softHyphen/>
        <w:t>цела в горизонтальной плоскости (23464).</w:t>
      </w:r>
    </w:p>
    <w:p w14:paraId="1AB6E8F4" w14:textId="77777777" w:rsidR="004D4663" w:rsidRPr="00070ADE" w:rsidRDefault="004D4663" w:rsidP="00B56F90">
      <w:pPr>
        <w:spacing w:after="0" w:line="240" w:lineRule="auto"/>
        <w:jc w:val="both"/>
        <w:rPr>
          <w:rFonts w:ascii="Times New Roman" w:hAnsi="Times New Roman"/>
          <w:color w:val="000000" w:themeColor="text1"/>
          <w:sz w:val="16"/>
          <w:szCs w:val="16"/>
        </w:rPr>
      </w:pPr>
    </w:p>
    <w:p w14:paraId="7613A55D" w14:textId="77777777" w:rsidR="004D4663" w:rsidRPr="00070ADE" w:rsidRDefault="004D46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началу 1944 года у немцев в среднем имелось около 50% необходимых тягачей в рабочем состоянии. И если Красная Армия могла компенсировать потери за счет мобилизации народного хозяйства, плюс небольшой объем ленд-лиза, то немцам компенсировать оказалось нечем. Не говоря уже о том, что некоторые типы тягачей стали не очень нужными. Например, 1-тонный Sd.Kfz.10, который создавался для перевозки противотанковых орудий калибра 37 мм. Запущенную с 1942 года в серию противотанковую пушку 7,5 cm Pak 40 он тащил, но с трудом. В результате немцам пришлось делать эрзац-полугусы Sd.Kfz.3 (Maultier), примерно равнозначные нашему ЗИС-42. Также появились и Steyr RSO, которые также таскали 7,5 cm Pak 40 (24853).</w:t>
      </w:r>
    </w:p>
    <w:p w14:paraId="6ABBE0FC" w14:textId="77777777" w:rsidR="004D4663" w:rsidRPr="00070ADE" w:rsidRDefault="004D4663" w:rsidP="00B56F90">
      <w:pPr>
        <w:spacing w:after="0" w:line="240" w:lineRule="auto"/>
        <w:jc w:val="both"/>
        <w:rPr>
          <w:rFonts w:ascii="Times New Roman" w:hAnsi="Times New Roman"/>
          <w:color w:val="000000" w:themeColor="text1"/>
          <w:sz w:val="16"/>
          <w:szCs w:val="16"/>
        </w:rPr>
      </w:pPr>
    </w:p>
    <w:p w14:paraId="24FD5E53" w14:textId="7799B8FE" w:rsidR="00282955"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271852FF" w14:textId="77777777" w:rsidR="00282955" w:rsidRPr="00070ADE" w:rsidRDefault="00282955"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34C6FE" w14:textId="77777777" w:rsidR="00282955" w:rsidRPr="00070ADE" w:rsidRDefault="0028295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К январю 1944 г. представители УЗСиМ ГУЗ ВВС КА Фридман и Немчинский провели большую исследовательскую работу по изуче</w:t>
      </w:r>
      <w:r w:rsidRPr="00070ADE">
        <w:rPr>
          <w:rFonts w:ascii="Times New Roman" w:cs="Times New Roman"/>
          <w:color w:val="000000" w:themeColor="text1"/>
          <w:spacing w:val="0"/>
        </w:rPr>
        <w:softHyphen/>
        <w:t>нию</w:t>
      </w:r>
      <w:r w:rsidRPr="00070ADE">
        <w:rPr>
          <w:rStyle w:val="aff7"/>
          <w:rFonts w:ascii="Times New Roman" w:hAnsi="Times New Roman" w:cs="Times New Roman"/>
          <w:i w:val="0"/>
          <w:color w:val="000000" w:themeColor="text1"/>
          <w:spacing w:val="0"/>
        </w:rPr>
        <w:t xml:space="preserve"> «боевой службы бронезащиты самолета Ил-2»</w:t>
      </w:r>
      <w:r w:rsidRPr="00070ADE">
        <w:rPr>
          <w:rFonts w:ascii="Times New Roman" w:cs="Times New Roman"/>
          <w:color w:val="000000" w:themeColor="text1"/>
          <w:spacing w:val="0"/>
        </w:rPr>
        <w:t xml:space="preserve"> в 237-м, 672-м, 951-м, 955-м и 995-м шап, 815-й и 845-й ПАРМ-3 17ВА. Были ис</w:t>
      </w:r>
      <w:r w:rsidRPr="00070ADE">
        <w:rPr>
          <w:rFonts w:ascii="Times New Roman" w:cs="Times New Roman"/>
          <w:color w:val="000000" w:themeColor="text1"/>
          <w:spacing w:val="0"/>
        </w:rPr>
        <w:softHyphen/>
        <w:t>следованы все случаи поражения брони 120 штурмовиков Ил-2 и проведены совещания с летным и техническим составом (всего 100 человек) во всех пяти штурмовых авиаполках и двух ПАРМах воздушной армии.</w:t>
      </w:r>
    </w:p>
    <w:p w14:paraId="62C2ED9D" w14:textId="77777777" w:rsidR="00282955" w:rsidRPr="00070ADE" w:rsidRDefault="0028295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Основные выводы сводились к следую</w:t>
      </w:r>
      <w:r w:rsidRPr="00070ADE">
        <w:rPr>
          <w:rFonts w:ascii="Times New Roman" w:cs="Times New Roman"/>
          <w:color w:val="000000" w:themeColor="text1"/>
          <w:spacing w:val="0"/>
        </w:rPr>
        <w:softHyphen/>
        <w:t>щему. Броня самолета Ил-2 вполне надежно защищала от простых и бронебойных пуль ка</w:t>
      </w:r>
      <w:r w:rsidRPr="00070ADE">
        <w:rPr>
          <w:rFonts w:ascii="Times New Roman" w:cs="Times New Roman"/>
          <w:color w:val="000000" w:themeColor="text1"/>
          <w:spacing w:val="0"/>
        </w:rPr>
        <w:softHyphen/>
        <w:t>либра 7,92 мм, а цементованные детали тол</w:t>
      </w:r>
      <w:r w:rsidRPr="00070ADE">
        <w:rPr>
          <w:rFonts w:ascii="Times New Roman" w:cs="Times New Roman"/>
          <w:color w:val="000000" w:themeColor="text1"/>
          <w:spacing w:val="0"/>
        </w:rPr>
        <w:softHyphen/>
        <w:t>щиной 12 мм «держали» и пули крупного кали</w:t>
      </w:r>
      <w:r w:rsidRPr="00070ADE">
        <w:rPr>
          <w:rFonts w:ascii="Times New Roman" w:cs="Times New Roman"/>
          <w:color w:val="000000" w:themeColor="text1"/>
          <w:spacing w:val="0"/>
        </w:rPr>
        <w:softHyphen/>
        <w:t>бра</w:t>
      </w:r>
      <w:r w:rsidRPr="00070ADE">
        <w:rPr>
          <w:rStyle w:val="aff7"/>
          <w:rFonts w:ascii="Times New Roman" w:hAnsi="Times New Roman" w:cs="Times New Roman"/>
          <w:i w:val="0"/>
          <w:color w:val="000000" w:themeColor="text1"/>
          <w:spacing w:val="0"/>
        </w:rPr>
        <w:t xml:space="preserve"> «при попадании под углами и с дистанции в пределах действующих технических условий на авиаброню».</w:t>
      </w:r>
      <w:r w:rsidRPr="00070ADE">
        <w:rPr>
          <w:rFonts w:ascii="Times New Roman" w:cs="Times New Roman"/>
          <w:color w:val="000000" w:themeColor="text1"/>
          <w:spacing w:val="0"/>
        </w:rPr>
        <w:t xml:space="preserve"> Живучесть брони в отношении хрупких разрушений в виде расколов и трещин признавалась достаточной. В то же время бронекорпус неудовлетворительно защищал от широко применяемых противником пуль и сна</w:t>
      </w:r>
      <w:r w:rsidRPr="00070ADE">
        <w:rPr>
          <w:rFonts w:ascii="Times New Roman" w:cs="Times New Roman"/>
          <w:color w:val="000000" w:themeColor="text1"/>
          <w:spacing w:val="0"/>
        </w:rPr>
        <w:softHyphen/>
        <w:t>рядов калибра 15-20 мм.</w:t>
      </w:r>
    </w:p>
    <w:p w14:paraId="6B229D3D" w14:textId="77777777" w:rsidR="00282955" w:rsidRPr="00070ADE" w:rsidRDefault="0028295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Наибольшему воздействию зенитного огня подвергалась броня капота мотора и лобовые детали бронекорзины водомаслорадиаторов, особенно при подходе к цели и пикировании на нее. Весьма многочисленными были слу</w:t>
      </w:r>
      <w:r w:rsidRPr="00070ADE">
        <w:rPr>
          <w:rFonts w:ascii="Times New Roman" w:cs="Times New Roman"/>
          <w:color w:val="000000" w:themeColor="text1"/>
          <w:spacing w:val="0"/>
        </w:rPr>
        <w:softHyphen/>
        <w:t>чаи вывода из строя стрелков, особенно от огня истребителей,</w:t>
      </w:r>
      <w:r w:rsidRPr="00070ADE">
        <w:rPr>
          <w:rStyle w:val="aff7"/>
          <w:rFonts w:ascii="Times New Roman" w:hAnsi="Times New Roman" w:cs="Times New Roman"/>
          <w:i w:val="0"/>
          <w:color w:val="000000" w:themeColor="text1"/>
          <w:spacing w:val="0"/>
        </w:rPr>
        <w:t xml:space="preserve"> «при попадании в пол и по бортам кабины стрелка, совершенно не защи</w:t>
      </w:r>
      <w:r w:rsidRPr="00070ADE">
        <w:rPr>
          <w:rStyle w:val="aff7"/>
          <w:rFonts w:ascii="Times New Roman" w:hAnsi="Times New Roman" w:cs="Times New Roman"/>
          <w:i w:val="0"/>
          <w:color w:val="000000" w:themeColor="text1"/>
          <w:spacing w:val="0"/>
        </w:rPr>
        <w:softHyphen/>
        <w:t>щенные броней».</w:t>
      </w:r>
      <w:r w:rsidRPr="00070ADE">
        <w:rPr>
          <w:rFonts w:ascii="Times New Roman" w:cs="Times New Roman"/>
          <w:color w:val="000000" w:themeColor="text1"/>
          <w:spacing w:val="0"/>
        </w:rPr>
        <w:t xml:space="preserve"> Истребители противника при атаке штурмовика главным образом поража</w:t>
      </w:r>
      <w:r w:rsidRPr="00070ADE">
        <w:rPr>
          <w:rFonts w:ascii="Times New Roman" w:cs="Times New Roman"/>
          <w:color w:val="000000" w:themeColor="text1"/>
          <w:spacing w:val="0"/>
        </w:rPr>
        <w:softHyphen/>
        <w:t>ли задние детали бронекорзины радиатора и задний бензобак в его верхней части справа и слева.</w:t>
      </w:r>
    </w:p>
    <w:p w14:paraId="29F71B02" w14:textId="77777777" w:rsidR="00282955" w:rsidRPr="00070ADE" w:rsidRDefault="0028295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Весьма частыми были случаи ранения лет</w:t>
      </w:r>
      <w:r w:rsidRPr="00070ADE">
        <w:rPr>
          <w:rFonts w:ascii="Times New Roman" w:cs="Times New Roman"/>
          <w:color w:val="000000" w:themeColor="text1"/>
          <w:spacing w:val="0"/>
        </w:rPr>
        <w:softHyphen/>
        <w:t>чиков (головы и верхних конечностей) от попа</w:t>
      </w:r>
      <w:r w:rsidRPr="00070ADE">
        <w:rPr>
          <w:rFonts w:ascii="Times New Roman" w:cs="Times New Roman"/>
          <w:color w:val="000000" w:themeColor="text1"/>
          <w:spacing w:val="0"/>
        </w:rPr>
        <w:softHyphen/>
        <w:t>дания осколков снарядов и пуль огня истре</w:t>
      </w:r>
      <w:r w:rsidRPr="00070ADE">
        <w:rPr>
          <w:rFonts w:ascii="Times New Roman" w:cs="Times New Roman"/>
          <w:color w:val="000000" w:themeColor="text1"/>
          <w:spacing w:val="0"/>
        </w:rPr>
        <w:softHyphen/>
        <w:t>бителей через конструктивные зазоры между подвижной частью фонаря кабины и верхней броней над бензобаком.</w:t>
      </w:r>
    </w:p>
    <w:p w14:paraId="07D3DA4C" w14:textId="77777777" w:rsidR="00282955" w:rsidRPr="00070ADE" w:rsidRDefault="0028295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Наряду с этим, в бронекорпусе Ил-2 име</w:t>
      </w:r>
      <w:r w:rsidRPr="00070ADE">
        <w:rPr>
          <w:rFonts w:ascii="Times New Roman" w:cs="Times New Roman"/>
          <w:color w:val="000000" w:themeColor="text1"/>
          <w:spacing w:val="0"/>
        </w:rPr>
        <w:softHyphen/>
        <w:t>лись детали, попадания в которые были крайне редки или не наблюдались вовсе. К числу таких деталей, в первую очередь, относились: верх</w:t>
      </w:r>
      <w:r w:rsidRPr="00070ADE">
        <w:rPr>
          <w:rFonts w:ascii="Times New Roman" w:cs="Times New Roman"/>
          <w:color w:val="000000" w:themeColor="text1"/>
          <w:spacing w:val="0"/>
        </w:rPr>
        <w:softHyphen/>
        <w:t>няя броня капота мотора и кабины, лобовая броня переднего бензобака, нижние продоль- ные детали кабины, закрытые плоскостями, и боковые детали бронекорзины.</w:t>
      </w:r>
    </w:p>
    <w:p w14:paraId="656A3C6C" w14:textId="77777777" w:rsidR="00282955" w:rsidRPr="00070ADE" w:rsidRDefault="0028295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Поэтому</w:t>
      </w:r>
      <w:r w:rsidRPr="00070ADE">
        <w:rPr>
          <w:rStyle w:val="aff7"/>
          <w:rFonts w:ascii="Times New Roman" w:hAnsi="Times New Roman" w:cs="Times New Roman"/>
          <w:i w:val="0"/>
          <w:color w:val="000000" w:themeColor="text1"/>
          <w:spacing w:val="0"/>
        </w:rPr>
        <w:t xml:space="preserve"> «для обеспечения защиты стрел</w:t>
      </w:r>
      <w:r w:rsidRPr="00070ADE">
        <w:rPr>
          <w:rStyle w:val="aff7"/>
          <w:rFonts w:ascii="Times New Roman" w:hAnsi="Times New Roman" w:cs="Times New Roman"/>
          <w:i w:val="0"/>
          <w:color w:val="000000" w:themeColor="text1"/>
          <w:spacing w:val="0"/>
        </w:rPr>
        <w:softHyphen/>
        <w:t>ка и увеличения стойкости брони капота и во- домаслорадиатора, без увеличения общего веса бронезащиты Ил-2»</w:t>
      </w:r>
      <w:r w:rsidRPr="00070ADE">
        <w:rPr>
          <w:rFonts w:ascii="Times New Roman" w:cs="Times New Roman"/>
          <w:color w:val="000000" w:themeColor="text1"/>
          <w:spacing w:val="0"/>
        </w:rPr>
        <w:t xml:space="preserve"> считалось целесо</w:t>
      </w:r>
      <w:r w:rsidRPr="00070ADE">
        <w:rPr>
          <w:rFonts w:ascii="Times New Roman" w:cs="Times New Roman"/>
          <w:color w:val="000000" w:themeColor="text1"/>
          <w:spacing w:val="0"/>
        </w:rPr>
        <w:softHyphen/>
        <w:t>образным перераспределить толщину брони бронекорпуса самолета за счет уменьшения толщины или снятия бронедеталей в мало по</w:t>
      </w:r>
      <w:r w:rsidRPr="00070ADE">
        <w:rPr>
          <w:rFonts w:ascii="Times New Roman" w:cs="Times New Roman"/>
          <w:color w:val="000000" w:themeColor="text1"/>
          <w:spacing w:val="0"/>
        </w:rPr>
        <w:softHyphen/>
        <w:t>ражаемых местах. На этом экономилось</w:t>
      </w:r>
      <w:r w:rsidRPr="00070ADE">
        <w:rPr>
          <w:rStyle w:val="affa"/>
          <w:rFonts w:ascii="Times New Roman" w:cs="Times New Roman"/>
          <w:b w:val="0"/>
          <w:color w:val="000000" w:themeColor="text1"/>
          <w:spacing w:val="0"/>
          <w:sz w:val="16"/>
          <w:szCs w:val="16"/>
        </w:rPr>
        <w:t xml:space="preserve"> около </w:t>
      </w:r>
      <w:r w:rsidRPr="00070ADE">
        <w:rPr>
          <w:rFonts w:ascii="Times New Roman" w:cs="Times New Roman"/>
          <w:color w:val="000000" w:themeColor="text1"/>
          <w:spacing w:val="0"/>
        </w:rPr>
        <w:t>130 кг веса брони, что можно было</w:t>
      </w:r>
      <w:r w:rsidRPr="00070ADE">
        <w:rPr>
          <w:rStyle w:val="affa"/>
          <w:rFonts w:ascii="Times New Roman" w:cs="Times New Roman"/>
          <w:b w:val="0"/>
          <w:color w:val="000000" w:themeColor="text1"/>
          <w:spacing w:val="0"/>
          <w:sz w:val="16"/>
          <w:szCs w:val="16"/>
        </w:rPr>
        <w:t xml:space="preserve"> использо</w:t>
      </w:r>
      <w:r w:rsidRPr="00070ADE">
        <w:rPr>
          <w:rStyle w:val="affa"/>
          <w:rFonts w:ascii="Times New Roman" w:cs="Times New Roman"/>
          <w:b w:val="0"/>
          <w:color w:val="000000" w:themeColor="text1"/>
          <w:spacing w:val="0"/>
          <w:sz w:val="16"/>
          <w:szCs w:val="16"/>
        </w:rPr>
        <w:softHyphen/>
      </w:r>
      <w:r w:rsidRPr="00070ADE">
        <w:rPr>
          <w:rFonts w:ascii="Times New Roman" w:cs="Times New Roman"/>
          <w:color w:val="000000" w:themeColor="text1"/>
          <w:spacing w:val="0"/>
        </w:rPr>
        <w:t>вать</w:t>
      </w:r>
      <w:r w:rsidRPr="00070ADE">
        <w:rPr>
          <w:rStyle w:val="aff7"/>
          <w:rFonts w:ascii="Times New Roman" w:hAnsi="Times New Roman" w:cs="Times New Roman"/>
          <w:i w:val="0"/>
          <w:color w:val="000000" w:themeColor="text1"/>
          <w:spacing w:val="0"/>
        </w:rPr>
        <w:t xml:space="preserve"> «для увеличения защиты стрелка и увели</w:t>
      </w:r>
      <w:r w:rsidRPr="00070ADE">
        <w:rPr>
          <w:rStyle w:val="aff7"/>
          <w:rFonts w:ascii="Times New Roman" w:hAnsi="Times New Roman" w:cs="Times New Roman"/>
          <w:i w:val="0"/>
          <w:color w:val="000000" w:themeColor="text1"/>
          <w:spacing w:val="0"/>
        </w:rPr>
        <w:softHyphen/>
        <w:t>чения толщины брони капота мотора, а также лобовой и задней брони водомаслорадито- ров».</w:t>
      </w:r>
      <w:r w:rsidRPr="00070ADE">
        <w:rPr>
          <w:rFonts w:ascii="Times New Roman" w:cs="Times New Roman"/>
          <w:color w:val="000000" w:themeColor="text1"/>
          <w:spacing w:val="0"/>
        </w:rPr>
        <w:t xml:space="preserve"> Это могло существенно улучшить броне- защиту Ил-2 от пуль и снарядов калибра 15- 20 мм. По результатам обследования 25 янва</w:t>
      </w:r>
      <w:r w:rsidRPr="00070ADE">
        <w:rPr>
          <w:rFonts w:ascii="Times New Roman" w:cs="Times New Roman"/>
          <w:color w:val="000000" w:themeColor="text1"/>
          <w:spacing w:val="0"/>
        </w:rPr>
        <w:softHyphen/>
        <w:t>ря 1944 г. был составлен соответствующий акт.</w:t>
      </w:r>
    </w:p>
    <w:p w14:paraId="379CD885" w14:textId="77777777" w:rsidR="00282955" w:rsidRPr="00070ADE" w:rsidRDefault="00282955" w:rsidP="00B56F90">
      <w:pPr>
        <w:pStyle w:val="45"/>
        <w:shd w:val="clear" w:color="auto" w:fill="auto"/>
        <w:spacing w:before="0" w:line="240" w:lineRule="auto"/>
        <w:jc w:val="both"/>
        <w:rPr>
          <w:rFonts w:ascii="Times New Roman" w:cs="Times New Roman"/>
          <w:color w:val="000000" w:themeColor="text1"/>
          <w:sz w:val="16"/>
          <w:szCs w:val="16"/>
        </w:rPr>
      </w:pPr>
      <w:r w:rsidRPr="00070ADE">
        <w:rPr>
          <w:rStyle w:val="4c"/>
          <w:rFonts w:ascii="Times New Roman" w:hAnsi="Times New Roman" w:cs="Times New Roman"/>
          <w:i w:val="0"/>
          <w:color w:val="000000" w:themeColor="text1"/>
          <w:sz w:val="16"/>
          <w:szCs w:val="16"/>
        </w:rPr>
        <w:t>В сопроводительном письме генерал-пол- ковнику Репину и начальнику ГУЗ ВВС генерал- лейтенанту Селезневу заместитель командую</w:t>
      </w:r>
      <w:r w:rsidRPr="00070ADE">
        <w:rPr>
          <w:rStyle w:val="4c"/>
          <w:rFonts w:ascii="Times New Roman" w:hAnsi="Times New Roman" w:cs="Times New Roman"/>
          <w:i w:val="0"/>
          <w:color w:val="000000" w:themeColor="text1"/>
          <w:sz w:val="16"/>
          <w:szCs w:val="16"/>
        </w:rPr>
        <w:softHyphen/>
        <w:t xml:space="preserve">щего по инженерно-авиационной службе 17-й ВА инженер-полковник Шепелев указывал: </w:t>
      </w:r>
      <w:r w:rsidRPr="00070ADE">
        <w:rPr>
          <w:rFonts w:ascii="Times New Roman" w:cs="Times New Roman"/>
          <w:color w:val="000000" w:themeColor="text1"/>
          <w:sz w:val="16"/>
          <w:szCs w:val="16"/>
        </w:rPr>
        <w:t>«Представленные представителями УЗСиМ материалы обследования, поддержанные ко</w:t>
      </w:r>
      <w:r w:rsidRPr="00070ADE">
        <w:rPr>
          <w:rFonts w:ascii="Times New Roman" w:cs="Times New Roman"/>
          <w:color w:val="000000" w:themeColor="text1"/>
          <w:sz w:val="16"/>
          <w:szCs w:val="16"/>
        </w:rPr>
        <w:softHyphen/>
        <w:t>мандирами и инженерами частей, позволяют согласиться с выводами, вытекающими из прилагаемого Акта о необходимости перера</w:t>
      </w:r>
      <w:r w:rsidRPr="00070ADE">
        <w:rPr>
          <w:rFonts w:ascii="Times New Roman" w:cs="Times New Roman"/>
          <w:color w:val="000000" w:themeColor="text1"/>
          <w:sz w:val="16"/>
          <w:szCs w:val="16"/>
        </w:rPr>
        <w:softHyphen/>
        <w:t>спределения веса брони в целях более полной защиты стрелка и повышения стойкости брони капота мотора и водо-маслорадиатора» (17478).</w:t>
      </w:r>
    </w:p>
    <w:p w14:paraId="172B45A1" w14:textId="77777777" w:rsidR="00282955" w:rsidRPr="00070ADE" w:rsidRDefault="00282955" w:rsidP="00B56F90">
      <w:pPr>
        <w:pStyle w:val="45"/>
        <w:shd w:val="clear" w:color="auto" w:fill="auto"/>
        <w:spacing w:before="0" w:line="240" w:lineRule="auto"/>
        <w:jc w:val="both"/>
        <w:rPr>
          <w:rFonts w:ascii="Times New Roman" w:cs="Times New Roman"/>
          <w:color w:val="000000" w:themeColor="text1"/>
          <w:sz w:val="16"/>
          <w:szCs w:val="16"/>
        </w:rPr>
      </w:pPr>
    </w:p>
    <w:p w14:paraId="0F5DD93F" w14:textId="3AC601C1" w:rsidR="007C1115" w:rsidRPr="00070ADE" w:rsidRDefault="007C1115"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B87C048" w14:textId="77777777" w:rsidR="007C1115" w:rsidRPr="00070ADE" w:rsidRDefault="007C1115"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1E89035" w14:textId="77777777" w:rsidR="007C1115" w:rsidRPr="00070ADE" w:rsidRDefault="007C111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январю 1944 г. их накопилась некая критическая масса, которая заставила И.М. Зальцмана отправить в Нижний Тагил заместителя начальника производства Коробова и заместителя начальника ОТК Волощенко. 26 января они прибыли на УТЗ и осмотрели кировские двигатели, которые находились на складе и на потоке. Вместо детального анализа ситуации и выявления типичных дефектов кировчане решили сосредоточиться в основном на обследовании недавно созданного моторного склада [1069]. После завершения своих работ они составили соответствующий акт (правда, не стали его согласовывать ни с директором завода № 183 Ю.Е. Максаревым, ни с другими руководителями УТЗ). Эта командировка позволила Исааку Моисеевичу отчитаться перед наркомом В.А. Малышевым и «свалить» всю вину на руководство нижнетагильского завода. Якобы в основной массе дефектов был виноват сам УТЗ:</w:t>
      </w:r>
    </w:p>
    <w:p w14:paraId="71F0F314" w14:textId="77777777" w:rsidR="007C1115" w:rsidRPr="00070ADE" w:rsidRDefault="007C111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небрежные разгрузка и хранение моторов, что вызвало различные механические повреждения и попадание грязи внутрь;</w:t>
      </w:r>
    </w:p>
    <w:p w14:paraId="43AA3E73" w14:textId="77777777" w:rsidR="007C1115" w:rsidRPr="00070ADE" w:rsidRDefault="007C111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 14 случаях, когда мотор не развивал положенную мощность, необходимо было надлежащим образом регулировать тяги и устранять люфты;</w:t>
      </w:r>
    </w:p>
    <w:p w14:paraId="752AA91A" w14:textId="77777777" w:rsidR="007C1115" w:rsidRPr="00070ADE" w:rsidRDefault="007C111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небрежный монтаж и состояние документации.</w:t>
      </w:r>
    </w:p>
    <w:p w14:paraId="00A636CC" w14:textId="77777777" w:rsidR="007C1115" w:rsidRPr="00070ADE" w:rsidRDefault="007C111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действительно, на УЗТ относительно недавно был создан моторный склад, где были случаи плохой разгрузки и хранения. Уже 22 января меры были приняты, а виновные наказаны (то есть еще до приезда кировчан). 11 февраля Ю.Е. Максарев направил заместителю наркома танковой промышленности П.М. Зернову письмо, в котором представил свою точку зрения. УТЗ регулярно направлял в Челябинск рекламации на моторы, в ответ на которые Кировский завод все же провел некоторые мероприятия по улучшению, но значительная часть дефектов осталась. Прибывшие 26 января представители Кировского завода всё пытались трактовать неудовлетворительными условиями хранения В-2, но, по мнению Юрия Евгеньевича, основная причина дефектов заключалась в некачественной сборке и транспортировке моторов. Ю.Е. Максарев согласился, что случаи неудовлетворительной разгрузки были. За небрежность и халатность ответственный кладовщик был осужден, а заведующий складом получил выговор (23536).</w:t>
      </w:r>
    </w:p>
    <w:p w14:paraId="0390D667" w14:textId="77777777" w:rsidR="007C1115" w:rsidRPr="00070ADE" w:rsidRDefault="007C1115" w:rsidP="00B56F90">
      <w:pPr>
        <w:spacing w:after="0" w:line="240" w:lineRule="auto"/>
        <w:jc w:val="both"/>
        <w:rPr>
          <w:rFonts w:ascii="Times New Roman" w:hAnsi="Times New Roman"/>
          <w:color w:val="000000" w:themeColor="text1"/>
          <w:sz w:val="16"/>
          <w:szCs w:val="16"/>
        </w:rPr>
      </w:pPr>
    </w:p>
    <w:p w14:paraId="721AE6C2" w14:textId="1E63F3AC"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D13A6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DF9B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 январю 1944 года по данных Центрального штаба партизанского движения на временно оккупированной территории СССР партизанской разведкой было выявлено 22 склада с химическим имуществом, из них 3 в Ленинградской области и Прибалтике, 5 на Укранине, 14 в Белоруссии. ГУ МПВО НКВД СССР развернуло 32663 </w:t>
      </w:r>
      <w:r w:rsidRPr="00070ADE">
        <w:rPr>
          <w:rFonts w:ascii="Times New Roman" w:hAnsi="Times New Roman"/>
          <w:color w:val="000000" w:themeColor="text1"/>
          <w:sz w:val="16"/>
          <w:szCs w:val="16"/>
        </w:rPr>
        <w:lastRenderedPageBreak/>
        <w:t>метеохимических поста. В 15 точках СССР были сформированы токсикологические бригады. Всего за годы ВОВ было изготовлено 15695800 гражданских и 22930 конских противогазов, оборудовано газоубежищ на 6421 тыс. человек. Для дегазации местности сформировано 314 рот и 19 взводов. МПВО в ходе ВОВ обеспечила укрытиями 25,5 млн. человек, в т.ч. 6,4 млн. в газоубежищах. Медико-санитарная служба МПВО оказала помощь 135224 пострадавшим. Помощь оказывалась в среднем через 16 мин. с момента поражения. На завершающем этапе войны ряд частей МПВО привлекался к операциям по ликвидации бандитизма в западных районах страны. Было проведено более 400 самостоятельных и в составе сводных отрядов операций по разгрому бандформирований на территории Литвы и Западной Украины, в результате которых уничтожено и захвачено в плен 2800 бандитов и их пособников, задержано 2300 дезертиров и подозрительных лиц, уничтожено 600 убежищ и 26 складов, захвачено 29 пулеметов, 40 тыс. патронов, 4 рации (9453).</w:t>
      </w:r>
    </w:p>
    <w:p w14:paraId="2E56F10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743F58" w14:textId="2FFF92A5" w:rsidR="00795D54" w:rsidRPr="00070ADE" w:rsidRDefault="00795D54"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За рубежом</w:t>
      </w:r>
      <w:r w:rsidRPr="00070ADE">
        <w:rPr>
          <w:rFonts w:ascii="Times New Roman" w:hAnsi="Times New Roman"/>
          <w:i/>
          <w:iCs/>
          <w:color w:val="000000" w:themeColor="text1"/>
          <w:sz w:val="16"/>
          <w:szCs w:val="16"/>
        </w:rPr>
        <w:t>:</w:t>
      </w:r>
    </w:p>
    <w:p w14:paraId="03AEDFED" w14:textId="77777777" w:rsidR="00795D54" w:rsidRPr="00070ADE" w:rsidRDefault="00795D54"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96939B"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 xml:space="preserve">К январю 1944 года командование АМС доработало </w:t>
      </w:r>
      <w:r w:rsidRPr="00C94B78">
        <w:rPr>
          <w:rStyle w:val="aff1"/>
          <w:rFonts w:ascii="Times New Roman" w:hAnsi="Times New Roman" w:cs="Times New Roman"/>
          <w:color w:val="0070C0"/>
          <w:spacing w:val="0"/>
          <w:sz w:val="16"/>
          <w:szCs w:val="16"/>
          <w:lang w:val="en-US"/>
        </w:rPr>
        <w:t>RiP</w:t>
      </w:r>
      <w:r w:rsidRPr="00C94B78">
        <w:rPr>
          <w:rStyle w:val="aff1"/>
          <w:rFonts w:ascii="Times New Roman" w:hAnsi="Times New Roman" w:cs="Times New Roman"/>
          <w:color w:val="0070C0"/>
          <w:spacing w:val="0"/>
          <w:sz w:val="16"/>
          <w:szCs w:val="16"/>
        </w:rPr>
        <w:t>, а в январе 1945 года открыла проект МХ-472 «Предварительные проектные исследования нетрадиционного истребителя сопровождения», где спецификация теперь указывала на самолёт с реактивным двигателем. Габариты истребителя предлагалось ограничить размерами бомболюка носителя =- Б-36, самолет должен нести четыре крупнокалибер</w:t>
      </w:r>
      <w:r w:rsidRPr="00C94B78">
        <w:rPr>
          <w:rStyle w:val="aff1"/>
          <w:rFonts w:ascii="Times New Roman" w:hAnsi="Times New Roman" w:cs="Times New Roman"/>
          <w:color w:val="0070C0"/>
          <w:spacing w:val="0"/>
          <w:sz w:val="16"/>
          <w:szCs w:val="16"/>
        </w:rPr>
        <w:softHyphen/>
        <w:t>ных пулемёта, и выпускаться и приниматься на борт носителя на высоте 10 500 12 000 м в течение полугора минут (25618).</w:t>
      </w:r>
    </w:p>
    <w:p w14:paraId="7BA966C4" w14:textId="77777777" w:rsidR="00795D54" w:rsidRPr="00C94B78" w:rsidRDefault="00795D54" w:rsidP="00B56F90">
      <w:pPr>
        <w:spacing w:after="0" w:line="240" w:lineRule="auto"/>
        <w:jc w:val="both"/>
        <w:rPr>
          <w:rFonts w:ascii="Times New Roman" w:hAnsi="Times New Roman"/>
          <w:color w:val="0070C0"/>
          <w:sz w:val="16"/>
          <w:szCs w:val="16"/>
        </w:rPr>
      </w:pPr>
    </w:p>
    <w:p w14:paraId="5869A1FC"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77837D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807D11"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г. главный конструктор ОКБ-155 Ми</w:t>
      </w:r>
      <w:r w:rsidRPr="00070ADE">
        <w:rPr>
          <w:rFonts w:ascii="Times New Roman" w:hAnsi="Times New Roman"/>
          <w:color w:val="000000" w:themeColor="text1"/>
          <w:sz w:val="16"/>
          <w:szCs w:val="16"/>
        </w:rPr>
        <w:softHyphen/>
        <w:t>коян доложил наркому Шахурину:</w:t>
      </w:r>
    </w:p>
    <w:p w14:paraId="054ABEFC"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«Доношу, что Правительственное за</w:t>
      </w:r>
      <w:r w:rsidRPr="00070ADE">
        <w:rPr>
          <w:rFonts w:ascii="Times New Roman" w:hAnsi="Times New Roman"/>
          <w:color w:val="000000" w:themeColor="text1"/>
          <w:sz w:val="16"/>
          <w:szCs w:val="16"/>
        </w:rPr>
        <w:softHyphen/>
        <w:t>дание № 2946сс от 26 февраля 1943 о по</w:t>
      </w:r>
      <w:r w:rsidRPr="00070ADE">
        <w:rPr>
          <w:rFonts w:ascii="Times New Roman" w:hAnsi="Times New Roman"/>
          <w:color w:val="000000" w:themeColor="text1"/>
          <w:sz w:val="16"/>
          <w:szCs w:val="16"/>
        </w:rPr>
        <w:softHyphen/>
        <w:t>стройке 6 самолетов МиГ-3 (улучшенный), вверенным мне заводом выполнено и само</w:t>
      </w:r>
      <w:r w:rsidRPr="00070ADE">
        <w:rPr>
          <w:rFonts w:ascii="Times New Roman" w:hAnsi="Times New Roman"/>
          <w:color w:val="000000" w:themeColor="text1"/>
          <w:sz w:val="16"/>
          <w:szCs w:val="16"/>
        </w:rPr>
        <w:softHyphen/>
        <w:t>леты переданы в войсковую часть в июне, где они находятся в эксплуатации».</w:t>
      </w:r>
    </w:p>
    <w:p w14:paraId="1F8D79CE"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был в курсе действитель</w:t>
      </w:r>
      <w:r w:rsidRPr="00070ADE">
        <w:rPr>
          <w:rFonts w:ascii="Times New Roman" w:hAnsi="Times New Roman"/>
          <w:color w:val="000000" w:themeColor="text1"/>
          <w:sz w:val="16"/>
          <w:szCs w:val="16"/>
        </w:rPr>
        <w:softHyphen/>
        <w:t>ного положения дел, но не имел причин ловить подчиненного на слове. Три са</w:t>
      </w:r>
      <w:r w:rsidRPr="00070ADE">
        <w:rPr>
          <w:rFonts w:ascii="Times New Roman" w:hAnsi="Times New Roman"/>
          <w:color w:val="000000" w:themeColor="text1"/>
          <w:sz w:val="16"/>
          <w:szCs w:val="16"/>
        </w:rPr>
        <w:softHyphen/>
        <w:t>молета МиГ-3У действительно находи</w:t>
      </w:r>
      <w:r w:rsidRPr="00070ADE">
        <w:rPr>
          <w:rFonts w:ascii="Times New Roman" w:hAnsi="Times New Roman"/>
          <w:color w:val="000000" w:themeColor="text1"/>
          <w:sz w:val="16"/>
          <w:szCs w:val="16"/>
        </w:rPr>
        <w:softHyphen/>
        <w:t>лись во 2-й эскадрилье 12-го Гвардейско</w:t>
      </w:r>
      <w:r w:rsidRPr="00070ADE">
        <w:rPr>
          <w:rFonts w:ascii="Times New Roman" w:hAnsi="Times New Roman"/>
          <w:color w:val="000000" w:themeColor="text1"/>
          <w:sz w:val="16"/>
          <w:szCs w:val="16"/>
        </w:rPr>
        <w:softHyphen/>
        <w:t>го ИАП ПВО постоянно, на двух остальных машинах, первой и второй с «длинным» крылом, также иногда летали строевые летчики из того же подразделения. Другое дело, что работы в то время у них было пока немного (23396).</w:t>
      </w:r>
    </w:p>
    <w:p w14:paraId="1186866A" w14:textId="77777777" w:rsidR="00E946AF" w:rsidRPr="00070ADE" w:rsidRDefault="00E946AF" w:rsidP="00B56F90">
      <w:pPr>
        <w:spacing w:after="0" w:line="240" w:lineRule="auto"/>
        <w:jc w:val="both"/>
        <w:rPr>
          <w:rFonts w:ascii="Times New Roman" w:hAnsi="Times New Roman"/>
          <w:color w:val="000000" w:themeColor="text1"/>
          <w:sz w:val="16"/>
          <w:szCs w:val="16"/>
        </w:rPr>
      </w:pPr>
    </w:p>
    <w:p w14:paraId="0A02C6D1"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г. численности работающих в авиастроительной отрасли составида 640213 человек (вырасла на 17% по сравнению с 1941 г.), на 24,5% возросла средняя продолжительность рабочей смены — с 7,7 ч в 1940 г. до 9,5 ч в 1943 г. (РГАЭ. Ф. 8044. Оп.1. Д. 1314. А. 192-196: Д. 6; Л. 52, 58, 63.) (18305).</w:t>
      </w:r>
    </w:p>
    <w:p w14:paraId="2791EAA3" w14:textId="77777777" w:rsidR="0059774D" w:rsidRPr="00070ADE" w:rsidRDefault="0059774D" w:rsidP="00B56F90">
      <w:pPr>
        <w:spacing w:after="0" w:line="240" w:lineRule="auto"/>
        <w:jc w:val="both"/>
        <w:rPr>
          <w:rFonts w:ascii="Times New Roman" w:hAnsi="Times New Roman"/>
          <w:color w:val="000000" w:themeColor="text1"/>
          <w:sz w:val="16"/>
          <w:szCs w:val="16"/>
        </w:rPr>
      </w:pPr>
    </w:p>
    <w:p w14:paraId="6C9DC20F"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г. в АП работало 640213 человек, на 24,5% возросла средняя продолжительность рабочей смены — с 7,7 ч в 1940 г. до 9,5 ч в 1943 г. (23472).</w:t>
      </w:r>
    </w:p>
    <w:p w14:paraId="7B2AB9DF" w14:textId="77777777" w:rsidR="00E946AF" w:rsidRPr="00070ADE" w:rsidRDefault="00E946AF" w:rsidP="00B56F90">
      <w:pPr>
        <w:spacing w:after="0" w:line="240" w:lineRule="auto"/>
        <w:jc w:val="both"/>
        <w:rPr>
          <w:rFonts w:ascii="Times New Roman" w:hAnsi="Times New Roman"/>
          <w:color w:val="000000" w:themeColor="text1"/>
          <w:sz w:val="16"/>
          <w:szCs w:val="16"/>
        </w:rPr>
      </w:pPr>
    </w:p>
    <w:p w14:paraId="23E337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штатная потребность ВВС и учебных заведений ВВС была обеспечена более, чем на 100%.</w:t>
      </w:r>
    </w:p>
    <w:p w14:paraId="5ECA4E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1943 изготовили 35 тыс. боевых самолетов.</w:t>
      </w:r>
    </w:p>
    <w:p w14:paraId="1233CC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Новые самолеты - 86.7% в иа, 100% в ша, 74.3% в ба</w:t>
      </w:r>
    </w:p>
    <w:p w14:paraId="6848089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действующей армии было 6165 чел., 88900 орудий и минометов, 2167 катюш, 4900 танков и САУ, 8500 самолетов</w:t>
      </w:r>
    </w:p>
    <w:p w14:paraId="2E7F5B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немцев - 4906, 54000, 5400 и 3000</w:t>
      </w:r>
    </w:p>
    <w:p w14:paraId="66DEAB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Мы ставили задачи: главный удар - на ЮЗ и освобождение правобережной У и Крыма. На СЗ - снятие блокады и выход на Прибалтику. На З - освобождение части Белоруссии</w:t>
      </w:r>
    </w:p>
    <w:p w14:paraId="075BE5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Немцы ставили задачи: концентрация войск на направлениях наших ударов и остановка наступления за счет маневра резервами. На Западе - отражение десанта и захват инициативы (340,157).</w:t>
      </w:r>
    </w:p>
    <w:p w14:paraId="6B8DB9D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300363"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г. в ГВФ имелось 55 самолетов типа С-47, примерно поровну поделенных меж</w:t>
      </w:r>
      <w:r w:rsidRPr="00070ADE">
        <w:rPr>
          <w:rFonts w:ascii="Times New Roman" w:hAnsi="Times New Roman"/>
          <w:color w:val="000000" w:themeColor="text1"/>
          <w:sz w:val="16"/>
          <w:szCs w:val="16"/>
        </w:rPr>
        <w:softHyphen/>
        <w:t>ду частями на фронте и тыловыми управ</w:t>
      </w:r>
      <w:r w:rsidRPr="00070ADE">
        <w:rPr>
          <w:rFonts w:ascii="Times New Roman" w:hAnsi="Times New Roman"/>
          <w:color w:val="000000" w:themeColor="text1"/>
          <w:sz w:val="16"/>
          <w:szCs w:val="16"/>
        </w:rPr>
        <w:softHyphen/>
        <w:t>лениями. До конца года получили еще 159 С-47 — втрое больше, чем Ли-2. Правда, часть из них пришлось передать военным. За 1944 г. один С-47 получило Санитарное управление Красной Армии и пять — разведывательные управления фронтов. В том же году СССР стал раздавать С-47 союзникам в Восточной Европе: дюжину машин — Югославии и шесть — Польше. Американские машины от ГВФ получила и ведомственная авиация, например, один С-47 достался Наркомату вооружения.</w:t>
      </w:r>
    </w:p>
    <w:p w14:paraId="7BFEE12D"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в декабре 1944 г. ГВФ имел 140 С-47. Около трети из них, 59 самоле</w:t>
      </w:r>
      <w:r w:rsidRPr="00070ADE">
        <w:rPr>
          <w:rFonts w:ascii="Times New Roman" w:hAnsi="Times New Roman"/>
          <w:color w:val="000000" w:themeColor="text1"/>
          <w:sz w:val="16"/>
          <w:szCs w:val="16"/>
        </w:rPr>
        <w:softHyphen/>
        <w:t>тов, было сосредоточено в 10-й гв. атд, 30 — в 1-й над, 17 — в 19-м оап, осталь</w:t>
      </w:r>
      <w:r w:rsidRPr="00070ADE">
        <w:rPr>
          <w:rFonts w:ascii="Times New Roman" w:hAnsi="Times New Roman"/>
          <w:color w:val="000000" w:themeColor="text1"/>
          <w:sz w:val="16"/>
          <w:szCs w:val="16"/>
        </w:rPr>
        <w:softHyphen/>
        <w:t>ные распылены по одной-две машины. Например, 52-й и 97-й оап имели по два самолета. В январе 1945 г. С-47 в ГВФ ста</w:t>
      </w:r>
      <w:r w:rsidRPr="00070ADE">
        <w:rPr>
          <w:rFonts w:ascii="Times New Roman" w:hAnsi="Times New Roman"/>
          <w:color w:val="000000" w:themeColor="text1"/>
          <w:sz w:val="16"/>
          <w:szCs w:val="16"/>
        </w:rPr>
        <w:softHyphen/>
        <w:t>ло уже больше, чем отечественных Ли-2 — 175 против 156. Увеличение парка менных двухмоторных машин позволило списать большое количество изношенной и устаревшей техники (23513)</w:t>
      </w:r>
    </w:p>
    <w:p w14:paraId="7C11710F" w14:textId="77777777" w:rsidR="00E946AF" w:rsidRPr="00070ADE" w:rsidRDefault="00E946AF" w:rsidP="00B56F90">
      <w:pPr>
        <w:spacing w:after="0" w:line="240" w:lineRule="auto"/>
        <w:jc w:val="both"/>
        <w:rPr>
          <w:rFonts w:ascii="Times New Roman" w:hAnsi="Times New Roman"/>
          <w:color w:val="000000" w:themeColor="text1"/>
          <w:sz w:val="16"/>
          <w:szCs w:val="16"/>
        </w:rPr>
      </w:pPr>
    </w:p>
    <w:p w14:paraId="371FE2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г в строю числились 29 Ю-52 (в том числе 21 исправный). Потеряли же всего один (6393).</w:t>
      </w:r>
    </w:p>
    <w:p w14:paraId="5D3B377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CAABFD"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На 1 января 1944 года в строю числились двадцать девять Ю-52 (в том числе 21 исправный). Потеряли же всего один. 24 октября 1943 года самолёт Л-37 (пилот П.М. Никитин), совершая рейс Уфа – Челябинск, упал и сгорел у станции Аша. Экипаж погиб (19686).</w:t>
      </w:r>
    </w:p>
    <w:p w14:paraId="5134DCC1" w14:textId="77777777" w:rsidR="0059774D" w:rsidRPr="00070ADE" w:rsidRDefault="0059774D" w:rsidP="00B56F90">
      <w:pPr>
        <w:spacing w:after="0" w:line="240" w:lineRule="auto"/>
        <w:jc w:val="both"/>
        <w:rPr>
          <w:rFonts w:ascii="Times New Roman" w:hAnsi="Times New Roman"/>
          <w:color w:val="000000" w:themeColor="text1"/>
          <w:sz w:val="16"/>
          <w:szCs w:val="16"/>
        </w:rPr>
      </w:pPr>
    </w:p>
    <w:p w14:paraId="7405BBC4"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года от всех причин было потеряно и списано сорок восемь бомбарди</w:t>
      </w:r>
      <w:r w:rsidRPr="00070ADE">
        <w:rPr>
          <w:rFonts w:ascii="Times New Roman" w:hAnsi="Times New Roman"/>
          <w:color w:val="000000" w:themeColor="text1"/>
          <w:sz w:val="16"/>
          <w:szCs w:val="16"/>
        </w:rPr>
        <w:softHyphen/>
        <w:t>ровщиков Пе-8. До войны разбились в авариях и были списаны корабли с заводскими номерами: 4211,4213, 4220. После начала войны, в 1941 году, были потеряны ТБ-7 с заводскими номерами: 4216,4217, 4219,4222,4223, 4224, 4226, 42025, 42045, 42016, 42026, 42036, 42046,42056.</w:t>
      </w:r>
    </w:p>
    <w:p w14:paraId="1B013E60"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1942-м году были потеряны корабли с заводскими номе</w:t>
      </w:r>
      <w:r w:rsidRPr="00070ADE">
        <w:rPr>
          <w:rFonts w:ascii="Times New Roman" w:hAnsi="Times New Roman"/>
          <w:color w:val="000000" w:themeColor="text1"/>
          <w:sz w:val="16"/>
          <w:szCs w:val="16"/>
        </w:rPr>
        <w:softHyphen/>
        <w:t>рами 4227,42015,42035,42055,42066,42086,42096,42106,42017, 42027,42047,42018,42068, а в 1943-м году - с заводскими номе</w:t>
      </w:r>
      <w:r w:rsidRPr="00070ADE">
        <w:rPr>
          <w:rFonts w:ascii="Times New Roman" w:hAnsi="Times New Roman"/>
          <w:color w:val="000000" w:themeColor="text1"/>
          <w:sz w:val="16"/>
          <w:szCs w:val="16"/>
        </w:rPr>
        <w:softHyphen/>
        <w:t>рами 4201,4212,4215, 42037,42077, 42087,42097,42107,42048, 42058, 42108,42019,42049,42069,42079,42109,42110,42510.</w:t>
      </w:r>
    </w:p>
    <w:p w14:paraId="19C29935"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1944 году были выпущены последние пять бомбарди</w:t>
      </w:r>
      <w:r w:rsidRPr="00070ADE">
        <w:rPr>
          <w:rFonts w:ascii="Times New Roman" w:hAnsi="Times New Roman"/>
          <w:color w:val="000000" w:themeColor="text1"/>
          <w:sz w:val="16"/>
          <w:szCs w:val="16"/>
        </w:rPr>
        <w:softHyphen/>
        <w:t>ровщиков Пе-8, из них два в пассажирском варианте. Всего (вместе с двумя прототипами) было произведено 93 воздушных корабля. На первое января 1944 года в обоих полках, воо</w:t>
      </w:r>
      <w:r w:rsidRPr="00070ADE">
        <w:rPr>
          <w:rFonts w:ascii="Times New Roman" w:hAnsi="Times New Roman"/>
          <w:color w:val="000000" w:themeColor="text1"/>
          <w:sz w:val="16"/>
          <w:szCs w:val="16"/>
        </w:rPr>
        <w:softHyphen/>
        <w:t>руженных ПЕ-8, имелось двадцать бомбардировщиков Пе-8.</w:t>
      </w:r>
    </w:p>
    <w:p w14:paraId="597C3FCC"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Некоторое количество Пе-8 находилось в ремонте на заводе. А некоторые кора</w:t>
      </w:r>
      <w:r w:rsidRPr="00070ADE">
        <w:rPr>
          <w:rFonts w:ascii="Times New Roman" w:hAnsi="Times New Roman"/>
          <w:color w:val="000000" w:themeColor="text1"/>
          <w:sz w:val="16"/>
          <w:szCs w:val="16"/>
        </w:rPr>
        <w:softHyphen/>
        <w:t>бли хоть уже и были выпущены и сданы заводом, но все еще не были приняты представителями ВВС из-за дефектов и не поступили в авиаполки (порой между выпуском Пе-8 заводом и поступления его в авиаполк проходило несколько ме</w:t>
      </w:r>
      <w:r w:rsidRPr="00070ADE">
        <w:rPr>
          <w:rFonts w:ascii="Times New Roman" w:hAnsi="Times New Roman"/>
          <w:color w:val="000000" w:themeColor="text1"/>
          <w:sz w:val="16"/>
          <w:szCs w:val="16"/>
        </w:rPr>
        <w:softHyphen/>
        <w:t>сяцев. Так, Пе-8 с заводскими номерами 42811 и 42911, которые были выпущены в конце 1943 года, прибыли в 25-й гв, АПДД только 16-го февраля 1944 года. Пе-8 с заводскими номерами 42212 и 42312, которые также были выпущены в конце 1943 года, были переданы в 25-й гв. АПДД только 22-го мая 1944-го года.</w:t>
      </w:r>
    </w:p>
    <w:p w14:paraId="0EA86222"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Кстати, эти два Пе-8 были построены на деньги колхозников Татарской Авто</w:t>
      </w:r>
      <w:r w:rsidRPr="00070ADE">
        <w:rPr>
          <w:rFonts w:ascii="Times New Roman" w:hAnsi="Times New Roman"/>
          <w:color w:val="000000" w:themeColor="text1"/>
          <w:sz w:val="16"/>
          <w:szCs w:val="16"/>
        </w:rPr>
        <w:softHyphen/>
        <w:t>номной Советской Социалистической Республики и несли на фюзеляжах надписи: на одном было написано «Кайбинский колхозник», а на другом - «Бугульминский колхозник». 22-го мая на аэродроме оба этих корабля были пере</w:t>
      </w:r>
      <w:r w:rsidRPr="00070ADE">
        <w:rPr>
          <w:rFonts w:ascii="Times New Roman" w:hAnsi="Times New Roman"/>
          <w:color w:val="000000" w:themeColor="text1"/>
          <w:sz w:val="16"/>
          <w:szCs w:val="16"/>
        </w:rPr>
        <w:softHyphen/>
        <w:t>даны делегацией колхозников личному составу полка).</w:t>
      </w:r>
    </w:p>
    <w:p w14:paraId="6CC970D7"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Некоторые машины терпели аварии при перелете с завода изготовителя в полк или при заводских испытаниях. Так, 8 января 1944 года при перелете с завода на аэродром базирования полка потерпел аварию Пе-8 № 42511. К сча</w:t>
      </w:r>
      <w:r w:rsidRPr="00070ADE">
        <w:rPr>
          <w:rFonts w:ascii="Times New Roman" w:hAnsi="Times New Roman"/>
          <w:color w:val="000000" w:themeColor="text1"/>
          <w:sz w:val="16"/>
          <w:szCs w:val="16"/>
        </w:rPr>
        <w:softHyphen/>
        <w:t>стью, обошлось без жертв (19559).</w:t>
      </w:r>
    </w:p>
    <w:p w14:paraId="06FAD4AE" w14:textId="77777777" w:rsidR="0059774D" w:rsidRPr="00070ADE" w:rsidRDefault="0059774D" w:rsidP="00B56F90">
      <w:pPr>
        <w:spacing w:after="0" w:line="240" w:lineRule="auto"/>
        <w:jc w:val="both"/>
        <w:rPr>
          <w:rFonts w:ascii="Times New Roman" w:hAnsi="Times New Roman"/>
          <w:color w:val="000000" w:themeColor="text1"/>
          <w:sz w:val="16"/>
          <w:szCs w:val="16"/>
        </w:rPr>
      </w:pPr>
    </w:p>
    <w:p w14:paraId="5FBDD2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г. объем работ по сборке самолета дублера ДВБ-102 , который первоначально рассчитывался под двигатель МБ-100 и проектировался и строился параллельно с доводками первой опытной? был выполнен на 54%, однако замена передней кабины на первой машине, изменение конструкции крыла дублера с деревянной на металлическую и последующее перебазирование в Москву затормозило его постройку. Уже в Москве дублер пытались приспособить под двигатели АМ-46ТК, но в окончательном виде выпустили с учетом возможной установки звездообразного АШ-72. ДВБ-102 с двигателями М-71Ф, вследствие выхода из строя одного из них и отсутствия новых в промышленности, и его дублер законсервировали вместе с другими самолетами КБ Мясищева (3337).</w:t>
      </w:r>
    </w:p>
    <w:p w14:paraId="103AC6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DAD1E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года объем работ по сбор</w:t>
      </w:r>
      <w:r w:rsidRPr="00070ADE">
        <w:rPr>
          <w:rFonts w:ascii="Times New Roman" w:hAnsi="Times New Roman"/>
          <w:color w:val="000000" w:themeColor="text1"/>
          <w:sz w:val="16"/>
          <w:szCs w:val="16"/>
        </w:rPr>
        <w:softHyphen/>
        <w:t>ке самолета-дуб</w:t>
      </w:r>
      <w:r w:rsidRPr="00070ADE">
        <w:rPr>
          <w:rFonts w:ascii="Times New Roman" w:hAnsi="Times New Roman"/>
          <w:color w:val="000000" w:themeColor="text1"/>
          <w:sz w:val="16"/>
          <w:szCs w:val="16"/>
        </w:rPr>
        <w:softHyphen/>
        <w:t>лера ДВБ-102, первоначально рассчитывавшегося под двига</w:t>
      </w:r>
      <w:r w:rsidRPr="00070ADE">
        <w:rPr>
          <w:rFonts w:ascii="Times New Roman" w:hAnsi="Times New Roman"/>
          <w:color w:val="000000" w:themeColor="text1"/>
          <w:sz w:val="16"/>
          <w:szCs w:val="16"/>
        </w:rPr>
        <w:softHyphen/>
        <w:t>тель МБ-100, выполнили на 54 процента, однако заме</w:t>
      </w:r>
      <w:r w:rsidRPr="00070ADE">
        <w:rPr>
          <w:rFonts w:ascii="Times New Roman" w:hAnsi="Times New Roman"/>
          <w:color w:val="000000" w:themeColor="text1"/>
          <w:sz w:val="16"/>
          <w:szCs w:val="16"/>
        </w:rPr>
        <w:softHyphen/>
        <w:t>на передней кабины на первой машине, изменение конструкции крыла дублера с деревянной на металли</w:t>
      </w:r>
      <w:r w:rsidRPr="00070ADE">
        <w:rPr>
          <w:rFonts w:ascii="Times New Roman" w:hAnsi="Times New Roman"/>
          <w:color w:val="000000" w:themeColor="text1"/>
          <w:sz w:val="16"/>
          <w:szCs w:val="16"/>
        </w:rPr>
        <w:softHyphen/>
        <w:t>ческую и последующее перебазирование в Москву за</w:t>
      </w:r>
      <w:r w:rsidRPr="00070ADE">
        <w:rPr>
          <w:rFonts w:ascii="Times New Roman" w:hAnsi="Times New Roman"/>
          <w:color w:val="000000" w:themeColor="text1"/>
          <w:sz w:val="16"/>
          <w:szCs w:val="16"/>
        </w:rPr>
        <w:softHyphen/>
        <w:t>тормозили его постройку. Еще до войны рассматри</w:t>
      </w:r>
      <w:r w:rsidRPr="00070ADE">
        <w:rPr>
          <w:rFonts w:ascii="Times New Roman" w:hAnsi="Times New Roman"/>
          <w:color w:val="000000" w:themeColor="text1"/>
          <w:sz w:val="16"/>
          <w:szCs w:val="16"/>
        </w:rPr>
        <w:softHyphen/>
        <w:t>вался поплавковый вариант гидросамолета ДВБ-102. Уже в Москве дублер пытались приспособить под двигатели АМ-46ТК, но в окончательном виде выпус</w:t>
      </w:r>
      <w:r w:rsidRPr="00070ADE">
        <w:rPr>
          <w:rFonts w:ascii="Times New Roman" w:hAnsi="Times New Roman"/>
          <w:color w:val="000000" w:themeColor="text1"/>
          <w:sz w:val="16"/>
          <w:szCs w:val="16"/>
        </w:rPr>
        <w:softHyphen/>
        <w:t>тили с учетом возможной установки на бомбардиров</w:t>
      </w:r>
      <w:r w:rsidRPr="00070ADE">
        <w:rPr>
          <w:rFonts w:ascii="Times New Roman" w:hAnsi="Times New Roman"/>
          <w:color w:val="000000" w:themeColor="text1"/>
          <w:sz w:val="16"/>
          <w:szCs w:val="16"/>
        </w:rPr>
        <w:softHyphen/>
        <w:t>щике звездообразных АШ-72. ДВБ-102 с двигателями М-71Ф, вследствие выхо</w:t>
      </w:r>
      <w:r w:rsidRPr="00070ADE">
        <w:rPr>
          <w:rFonts w:ascii="Times New Roman" w:hAnsi="Times New Roman"/>
          <w:color w:val="000000" w:themeColor="text1"/>
          <w:sz w:val="16"/>
          <w:szCs w:val="16"/>
        </w:rPr>
        <w:softHyphen/>
        <w:t>да из строя одного из них и отсутствия новых моторов, законсервировали вместе с другими машинами КБ Мясищева. Простояв долгое время около ангара заво</w:t>
      </w:r>
      <w:r w:rsidRPr="00070ADE">
        <w:rPr>
          <w:rFonts w:ascii="Times New Roman" w:hAnsi="Times New Roman"/>
          <w:color w:val="000000" w:themeColor="text1"/>
          <w:sz w:val="16"/>
          <w:szCs w:val="16"/>
        </w:rPr>
        <w:softHyphen/>
        <w:t>да № 240 на Центральном аэродроме имени Фрунзе, эти самолеты списали, пустив на металлолом. Но идеи, заложенные в ДВБ-102, не погибли. Достаточно отме</w:t>
      </w:r>
      <w:r w:rsidRPr="00070ADE">
        <w:rPr>
          <w:rFonts w:ascii="Times New Roman" w:hAnsi="Times New Roman"/>
          <w:color w:val="000000" w:themeColor="text1"/>
          <w:sz w:val="16"/>
          <w:szCs w:val="16"/>
        </w:rPr>
        <w:softHyphen/>
        <w:t>тить, что еще осенью 1942 года приказом НКАП дирек</w:t>
      </w:r>
      <w:r w:rsidRPr="00070ADE">
        <w:rPr>
          <w:rFonts w:ascii="Times New Roman" w:hAnsi="Times New Roman"/>
          <w:color w:val="000000" w:themeColor="text1"/>
          <w:sz w:val="16"/>
          <w:szCs w:val="16"/>
        </w:rPr>
        <w:softHyphen/>
        <w:t>тору завода № 282 предписывалось передать в ОКБ С.В. Ильюшина полный комплект рабочей документа</w:t>
      </w:r>
      <w:r w:rsidRPr="00070ADE">
        <w:rPr>
          <w:rFonts w:ascii="Times New Roman" w:hAnsi="Times New Roman"/>
          <w:color w:val="000000" w:themeColor="text1"/>
          <w:sz w:val="16"/>
          <w:szCs w:val="16"/>
        </w:rPr>
        <w:softHyphen/>
        <w:t>ции на герметические кабины ДВБ-102 и их оборудо</w:t>
      </w:r>
      <w:r w:rsidRPr="00070ADE">
        <w:rPr>
          <w:rFonts w:ascii="Times New Roman" w:hAnsi="Times New Roman"/>
          <w:color w:val="000000" w:themeColor="text1"/>
          <w:sz w:val="16"/>
          <w:szCs w:val="16"/>
        </w:rPr>
        <w:softHyphen/>
        <w:t>вание для создания высотных бомбардировщика и ис</w:t>
      </w:r>
      <w:r w:rsidRPr="00070ADE">
        <w:rPr>
          <w:rFonts w:ascii="Times New Roman" w:hAnsi="Times New Roman"/>
          <w:color w:val="000000" w:themeColor="text1"/>
          <w:sz w:val="16"/>
          <w:szCs w:val="16"/>
        </w:rPr>
        <w:softHyphen/>
        <w:t>требителя на базе серийных самолетов. Впоследствии конструктивная особенность крыла ДВБ-102 вместе с коллективом конструкторов ОКБ-482 перекочевала в ОКБ-240. Крыло с технологическим разъемом по ли</w:t>
      </w:r>
      <w:r w:rsidRPr="00070ADE">
        <w:rPr>
          <w:rFonts w:ascii="Times New Roman" w:hAnsi="Times New Roman"/>
          <w:color w:val="000000" w:themeColor="text1"/>
          <w:sz w:val="16"/>
          <w:szCs w:val="16"/>
        </w:rPr>
        <w:softHyphen/>
        <w:t>нии хорд вдоль его размаха использовалось на бом</w:t>
      </w:r>
      <w:r w:rsidRPr="00070ADE">
        <w:rPr>
          <w:rFonts w:ascii="Times New Roman" w:hAnsi="Times New Roman"/>
          <w:color w:val="000000" w:themeColor="text1"/>
          <w:sz w:val="16"/>
          <w:szCs w:val="16"/>
        </w:rPr>
        <w:softHyphen/>
        <w:t>бардировщиках Ил-22 и Ил-28 (11446).</w:t>
      </w:r>
    </w:p>
    <w:p w14:paraId="1AB3A5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E9680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 января 1944 КБ С.В.И. приступило к проектированию самолета Ил-12 АЧ-30Б. В середине октября 1944 проектирование было в основном закончено и опытное производство приступило к оснастке и постройке самолета. Техническая готовность самолета на 1 января 1945 по постройке равна 30% (2217).</w:t>
      </w:r>
    </w:p>
    <w:p w14:paraId="2D48826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BF633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г. по приказу НКАП 19с ОКБ-3 гл. конструктора И.П. Братухина переведено на территорию филиала завода № 381 НКАП (Тушино, транспортно-эксплуатационная база при 11ГУ). Здесь организовано ОКБ- 3 при 7ГУ с собственной производственной базой. Работы по доводке и испытаниям геликоптера «Омега-2». Производство планировалось организовать на заводе № 82 НКАП.</w:t>
      </w:r>
    </w:p>
    <w:p w14:paraId="364D040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НКАП № 4с от 10.01.1946 г. для расширения опытной базы и опытных работ по геликоптеростроению и ввиду неприспособленности завода № 381 ОКБ-3 перебазировано на площадку филиала № 1 завода № 381 НКАП ( г. Москва ул. 2-я Рыбинская, 17). Филиал передан как опытная база со всем имуществом и личным составом в подчинение ОКБ-3 из 1ГУ в 7ГУ.</w:t>
      </w:r>
    </w:p>
    <w:p w14:paraId="439F4C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1948 г. ОКБ-3 МАИ Братухина переведено в МАП и образовано ОКБ-3 МАП под его руководством. На базе ОКБ-3 в соответствии с пост. СМ СССР № 3658-1485 от 29.09.1948 г. и приказом № 772 от 4.10.1948 г. вновь образован завод № 3 МАП.</w:t>
      </w:r>
    </w:p>
    <w:p w14:paraId="514645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МАП от 05.1948 г. задавалась разработка реактивного вертолета с ПВРД или ПуВРД. Для этого распоряжением МАП от 12.1948 г. из состава ОКБ-3 выделена группа конструкторов СБИЖ (Ю.Л. Старинин- военпред ОКБ, Ю.С. Брагинский, Б</w:t>
      </w:r>
      <w:r w:rsidRPr="00070ADE">
        <w:rPr>
          <w:rFonts w:ascii="Times New Roman" w:hAnsi="Times New Roman"/>
          <w:iCs/>
          <w:color w:val="000000" w:themeColor="text1"/>
          <w:sz w:val="16"/>
          <w:szCs w:val="16"/>
        </w:rPr>
        <w:t xml:space="preserve"> .Я.</w:t>
      </w:r>
      <w:r w:rsidRPr="00070ADE">
        <w:rPr>
          <w:rFonts w:ascii="Times New Roman" w:hAnsi="Times New Roman"/>
          <w:color w:val="000000" w:themeColor="text1"/>
          <w:sz w:val="16"/>
          <w:szCs w:val="16"/>
        </w:rPr>
        <w:t xml:space="preserve"> Жеребцов), работавшая при ГСОЗ № 3 МАП.</w:t>
      </w:r>
    </w:p>
    <w:p w14:paraId="0FD5F3A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10.1951 г. после совещания авиастроителей в Кремле, где была поставлена задача создания тяжелого вертолета, ОКБ-3 Братухина закрыто, завод передан Милю. После закрытия ОКБ Братухин назначен начальником вертолетного отдела БНТИ ЦАГИ, затем- на преподавательской работе.</w:t>
      </w:r>
    </w:p>
    <w:p w14:paraId="1DF1152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(1944-51 г.)- И.П. Братухин.</w:t>
      </w:r>
    </w:p>
    <w:p w14:paraId="44C53795" w14:textId="721CCDAE"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Ведущие инженеры по испытаниям: (-1946-47 г.-)- Д.Т. Мацицкий, (1947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Г.В. Ремезов.</w:t>
      </w:r>
    </w:p>
    <w:p w14:paraId="5CF234B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w:t>
      </w:r>
      <w:r w:rsidRPr="00070ADE">
        <w:rPr>
          <w:rFonts w:ascii="Times New Roman" w:hAnsi="Times New Roman"/>
          <w:color w:val="000000" w:themeColor="text1"/>
          <w:sz w:val="16"/>
          <w:szCs w:val="16"/>
        </w:rPr>
        <w:t xml:space="preserve"> опытные вертолеты: «Омега» (08.1941 г.), «Омега II», Г-3, Г-4, Б-5, Б-9, Б-10, Б-11 (11982).</w:t>
      </w:r>
    </w:p>
    <w:p w14:paraId="52DDCF76" w14:textId="77777777" w:rsidR="00820285" w:rsidRPr="00070ADE" w:rsidRDefault="00820285" w:rsidP="00B56F90">
      <w:pPr>
        <w:autoSpaceDE w:val="0"/>
        <w:autoSpaceDN w:val="0"/>
        <w:adjustRightInd w:val="0"/>
        <w:spacing w:after="0" w:line="240" w:lineRule="auto"/>
        <w:jc w:val="both"/>
        <w:rPr>
          <w:rFonts w:ascii="Times New Roman" w:hAnsi="Times New Roman"/>
          <w:color w:val="000000" w:themeColor="text1"/>
          <w:sz w:val="16"/>
          <w:szCs w:val="16"/>
        </w:rPr>
      </w:pPr>
    </w:p>
    <w:p w14:paraId="226CC06E" w14:textId="76F93050"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г. по приказу № 19с на территорию завода № 381 (Завод № 381 НКАП, МАП /г. Ленинград ст. Ижора;</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Нижний Тагил Свердловской обл.;</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Москва Ленинградское ш., 31/33/) переведено ОКБ-3 НКАП гл. конструктора И.П. Братухина. По приказу № 4с от 10.01.1946 г. ОКБ-3 НКАП перебазировано на площадь Филиала № 1 завода № 381 НКАП, который в 1948 г. преобразован в завод № 3 МАП.</w:t>
      </w:r>
    </w:p>
    <w:p w14:paraId="411EF84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5C279E1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76E90A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1.12.1946 г. завод передан из 1ГУ в ЮГУ, затем с 1.11.1948 г. обратно, из ЮГУ в 1ГУ.</w:t>
      </w:r>
    </w:p>
    <w:p w14:paraId="655460B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710F1ED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6C1E766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(05.1943-10.1946 г.)- П.Д. Грушин, (1947 г.)- В.И. Засульский.</w:t>
      </w:r>
    </w:p>
    <w:p w14:paraId="67B0D05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цехов: (1945 г.)- А.К. Кулагин.</w:t>
      </w:r>
    </w:p>
    <w:p w14:paraId="053576B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 самолеты:</w:t>
      </w:r>
      <w:r w:rsidRPr="00070ADE">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6F192865" w14:textId="77777777" w:rsidR="003712D9" w:rsidRPr="00070ADE" w:rsidRDefault="003712D9" w:rsidP="00B56F90">
      <w:pPr>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Cs/>
          <w:color w:val="000000" w:themeColor="text1"/>
          <w:sz w:val="16"/>
          <w:szCs w:val="16"/>
        </w:rPr>
        <w:t>Заводской номер: Ил-2 М 381355 (11982).</w:t>
      </w:r>
    </w:p>
    <w:p w14:paraId="332F8E9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27D55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г. в районе п. Старобовылье на шоссе Витебск-Орша был захвачен в плен немецкий ефрейтор Франц Варнбрунн - водитель штабной автомашины. Оказалось, что после окончания инженерной школы с декабря 1941 г. по апрель 1942 г. он работал в группе доктора Охайна на фирме "Хейнкель", проектировавшей ВРД с центробежным компрессором. Пленный сообщил, что двигатель тягой 600 кг прошел испытания в воздухе. В ходе допроса он нарисовал схему двигателя, а также изобразил истребитель He 280 с двумя ТКВРД. Варнбрунн сообщил нашим контрразведчикам, что работа по созданию аналогичного истребителя велась и фирмой "Мессершмитт". Материалы допроса были направлены для ознакомления в НИИ-1 (9018).</w:t>
      </w:r>
    </w:p>
    <w:p w14:paraId="5D5250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F577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1 января 1944 года завод № 293 МАП работал по тематике утвержденной 7 гл. управлением НКАП с 1 мая 1944 года, находился в системе 8 гл. управления НКАП и занимался проектированием и строительством реактивных самолетов и двигателей разных типов под руководством гл. конструктора и директора завода Болховитинова В.Ф. и гл. инженера Волкова Н.В. (9360).</w:t>
      </w:r>
    </w:p>
    <w:p w14:paraId="18EF45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4563B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г. непосредственно в авиастроении работало 640 213 чел., в том числе — 435 385 рабочих. Таким образом, за 1941—1943 гг. численность персонала отрасли возросла на 17 %. За этот же период средняя продолжительность рабочей смены возрос</w:t>
      </w:r>
      <w:r w:rsidRPr="00070ADE">
        <w:rPr>
          <w:rFonts w:ascii="Times New Roman" w:hAnsi="Times New Roman"/>
          <w:color w:val="000000" w:themeColor="text1"/>
          <w:sz w:val="16"/>
          <w:szCs w:val="16"/>
        </w:rPr>
        <w:softHyphen/>
        <w:t>ла с 7,66 ч. до 9,54 ч., то есть на 24,5 % (Самолётостроение в СССР. 1917—1945. Кн. 2. М., 1994. С. 226). Если в 1940 г. на 1 тыс. сотрудников НКАП приходилось 35,6 самолёта годового авиавыпуска, то в 1943-м — уже 78,8 самолёта. Несмотря на существенный рост численности персонала авиастроително- го комплекса, удельный вес персонала промышленных пред</w:t>
      </w:r>
      <w:r w:rsidRPr="00070ADE">
        <w:rPr>
          <w:rFonts w:ascii="Times New Roman" w:hAnsi="Times New Roman"/>
          <w:color w:val="000000" w:themeColor="text1"/>
          <w:sz w:val="16"/>
          <w:szCs w:val="16"/>
        </w:rPr>
        <w:softHyphen/>
        <w:t>приятий даже несколько вырос.</w:t>
      </w:r>
    </w:p>
    <w:p w14:paraId="3710512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Распределение по областям занятости (РГАЭ. Ф. 8044. On. 1. Д. 2878. Л. 56)</w:t>
      </w:r>
    </w:p>
    <w:tbl>
      <w:tblPr>
        <w:tblW w:w="0" w:type="auto"/>
        <w:tblInd w:w="8" w:type="dxa"/>
        <w:tblLayout w:type="fixed"/>
        <w:tblCellMar>
          <w:left w:w="0" w:type="dxa"/>
          <w:right w:w="0" w:type="dxa"/>
        </w:tblCellMar>
        <w:tblLook w:val="0000" w:firstRow="0" w:lastRow="0" w:firstColumn="0" w:lastColumn="0" w:noHBand="0" w:noVBand="0"/>
      </w:tblPr>
      <w:tblGrid>
        <w:gridCol w:w="1858"/>
        <w:gridCol w:w="696"/>
        <w:gridCol w:w="878"/>
        <w:gridCol w:w="600"/>
        <w:gridCol w:w="883"/>
        <w:gridCol w:w="1032"/>
      </w:tblGrid>
      <w:tr w:rsidR="00CB5308" w:rsidRPr="00070ADE" w14:paraId="076A21EC" w14:textId="77777777">
        <w:trPr>
          <w:trHeight w:val="326"/>
        </w:trPr>
        <w:tc>
          <w:tcPr>
            <w:tcW w:w="1858" w:type="dxa"/>
            <w:tcBorders>
              <w:top w:val="single" w:sz="6" w:space="0" w:color="auto"/>
              <w:left w:val="single" w:sz="6" w:space="0" w:color="auto"/>
              <w:bottom w:val="nil"/>
              <w:right w:val="single" w:sz="6" w:space="0" w:color="auto"/>
            </w:tcBorders>
            <w:shd w:val="clear" w:color="auto" w:fill="FFFFFF"/>
          </w:tcPr>
          <w:p w14:paraId="0805486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Сфера заштосги</w:t>
            </w:r>
          </w:p>
        </w:tc>
        <w:tc>
          <w:tcPr>
            <w:tcW w:w="1574" w:type="dxa"/>
            <w:gridSpan w:val="2"/>
            <w:tcBorders>
              <w:top w:val="single" w:sz="6" w:space="0" w:color="auto"/>
              <w:left w:val="single" w:sz="6" w:space="0" w:color="auto"/>
              <w:bottom w:val="single" w:sz="6" w:space="0" w:color="auto"/>
              <w:right w:val="single" w:sz="6" w:space="0" w:color="auto"/>
            </w:tcBorders>
            <w:shd w:val="clear" w:color="auto" w:fill="FFFFFF"/>
          </w:tcPr>
          <w:p w14:paraId="4DB7D3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Июнь 1941 г.</w:t>
            </w:r>
          </w:p>
        </w:tc>
        <w:tc>
          <w:tcPr>
            <w:tcW w:w="2515" w:type="dxa"/>
            <w:gridSpan w:val="3"/>
            <w:tcBorders>
              <w:top w:val="single" w:sz="6" w:space="0" w:color="auto"/>
              <w:left w:val="single" w:sz="6" w:space="0" w:color="auto"/>
              <w:bottom w:val="single" w:sz="6" w:space="0" w:color="auto"/>
              <w:right w:val="single" w:sz="6" w:space="0" w:color="auto"/>
            </w:tcBorders>
            <w:shd w:val="clear" w:color="auto" w:fill="FFFFFF"/>
          </w:tcPr>
          <w:p w14:paraId="2044B89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Январь 1944 г.</w:t>
            </w:r>
          </w:p>
        </w:tc>
      </w:tr>
      <w:tr w:rsidR="00CB5308" w:rsidRPr="00070ADE" w14:paraId="3F5406F0" w14:textId="77777777">
        <w:trPr>
          <w:trHeight w:val="523"/>
        </w:trPr>
        <w:tc>
          <w:tcPr>
            <w:tcW w:w="1858" w:type="dxa"/>
            <w:tcBorders>
              <w:top w:val="nil"/>
              <w:left w:val="single" w:sz="6" w:space="0" w:color="auto"/>
              <w:bottom w:val="single" w:sz="6" w:space="0" w:color="auto"/>
              <w:right w:val="single" w:sz="6" w:space="0" w:color="auto"/>
            </w:tcBorders>
            <w:shd w:val="clear" w:color="auto" w:fill="FFFFFF"/>
          </w:tcPr>
          <w:p w14:paraId="0DA3FC8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671B9DC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Человек</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2981F51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Удельный вес, %</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79A3C2C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Человек</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1A7517B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Удельный вее, %</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191B172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Отношенке к нюню 1941 г, %</w:t>
            </w:r>
          </w:p>
        </w:tc>
      </w:tr>
      <w:tr w:rsidR="00CB5308" w:rsidRPr="00070ADE" w14:paraId="15A1EE4D" w14:textId="77777777">
        <w:trPr>
          <w:trHeight w:val="480"/>
        </w:trPr>
        <w:tc>
          <w:tcPr>
            <w:tcW w:w="1858" w:type="dxa"/>
            <w:tcBorders>
              <w:top w:val="single" w:sz="6" w:space="0" w:color="auto"/>
              <w:left w:val="single" w:sz="6" w:space="0" w:color="auto"/>
              <w:bottom w:val="single" w:sz="6" w:space="0" w:color="auto"/>
              <w:right w:val="single" w:sz="6" w:space="0" w:color="auto"/>
            </w:tcBorders>
            <w:shd w:val="clear" w:color="auto" w:fill="FFFFFF"/>
          </w:tcPr>
          <w:p w14:paraId="159B01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Весь персонал В т.ч.:</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76A3BC4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590310</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027BAC3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5D8A968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685851</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28BD2C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7C59A1D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116,2</w:t>
            </w:r>
          </w:p>
        </w:tc>
      </w:tr>
      <w:tr w:rsidR="00CB5308" w:rsidRPr="00070ADE" w14:paraId="566B4135" w14:textId="77777777">
        <w:trPr>
          <w:trHeight w:val="322"/>
        </w:trPr>
        <w:tc>
          <w:tcPr>
            <w:tcW w:w="1858" w:type="dxa"/>
            <w:tcBorders>
              <w:top w:val="single" w:sz="6" w:space="0" w:color="auto"/>
              <w:left w:val="single" w:sz="6" w:space="0" w:color="auto"/>
              <w:bottom w:val="single" w:sz="6" w:space="0" w:color="auto"/>
              <w:right w:val="single" w:sz="6" w:space="0" w:color="auto"/>
            </w:tcBorders>
            <w:shd w:val="clear" w:color="auto" w:fill="FFFFFF"/>
          </w:tcPr>
          <w:p w14:paraId="003FC0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Промышленные предприятия</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28D97D2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547418</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3AA3CD7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92,7</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390F07B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640213</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10A86A2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93,3</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27FE00A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117,0</w:t>
            </w:r>
          </w:p>
        </w:tc>
      </w:tr>
      <w:tr w:rsidR="00CB5308" w:rsidRPr="00070ADE" w14:paraId="78847AEB" w14:textId="77777777">
        <w:trPr>
          <w:trHeight w:val="475"/>
        </w:trPr>
        <w:tc>
          <w:tcPr>
            <w:tcW w:w="1858" w:type="dxa"/>
            <w:tcBorders>
              <w:top w:val="single" w:sz="6" w:space="0" w:color="auto"/>
              <w:left w:val="single" w:sz="6" w:space="0" w:color="auto"/>
              <w:bottom w:val="single" w:sz="6" w:space="0" w:color="auto"/>
              <w:right w:val="single" w:sz="6" w:space="0" w:color="auto"/>
            </w:tcBorders>
            <w:shd w:val="clear" w:color="auto" w:fill="FFFFFF"/>
          </w:tcPr>
          <w:p w14:paraId="6BB17FD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Научно-исследовательские органязацщ</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1382696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28473</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0D121F2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0B41343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31059</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5F7D0C2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5B481C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109,1</w:t>
            </w:r>
          </w:p>
        </w:tc>
      </w:tr>
      <w:tr w:rsidR="00CB5308" w:rsidRPr="00070ADE" w14:paraId="0F289FAC" w14:textId="77777777">
        <w:trPr>
          <w:trHeight w:val="288"/>
        </w:trPr>
        <w:tc>
          <w:tcPr>
            <w:tcW w:w="1858" w:type="dxa"/>
            <w:tcBorders>
              <w:top w:val="single" w:sz="6" w:space="0" w:color="auto"/>
              <w:left w:val="single" w:sz="6" w:space="0" w:color="auto"/>
              <w:bottom w:val="single" w:sz="6" w:space="0" w:color="auto"/>
              <w:right w:val="single" w:sz="6" w:space="0" w:color="auto"/>
            </w:tcBorders>
            <w:shd w:val="clear" w:color="auto" w:fill="FFFFFF"/>
          </w:tcPr>
          <w:p w14:paraId="0D6C82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Учебные заведения</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16E6C9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5833</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2ED607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U</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63F4B53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4239</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3DD8854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0,6</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367DB22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72,7</w:t>
            </w:r>
          </w:p>
        </w:tc>
      </w:tr>
      <w:tr w:rsidR="00CB5308" w:rsidRPr="00070ADE" w14:paraId="23EF4D22" w14:textId="77777777">
        <w:trPr>
          <w:trHeight w:val="470"/>
        </w:trPr>
        <w:tc>
          <w:tcPr>
            <w:tcW w:w="1858" w:type="dxa"/>
            <w:tcBorders>
              <w:top w:val="single" w:sz="6" w:space="0" w:color="auto"/>
              <w:left w:val="single" w:sz="6" w:space="0" w:color="auto"/>
              <w:bottom w:val="single" w:sz="6" w:space="0" w:color="auto"/>
              <w:right w:val="single" w:sz="6" w:space="0" w:color="auto"/>
            </w:tcBorders>
            <w:shd w:val="clear" w:color="auto" w:fill="FFFFFF"/>
          </w:tcPr>
          <w:p w14:paraId="2482359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Снабжение, екдадооое и транс</w:t>
            </w:r>
            <w:r w:rsidRPr="00070ADE">
              <w:rPr>
                <w:rFonts w:ascii="Times New Roman" w:hAnsi="Times New Roman"/>
                <w:color w:val="000000" w:themeColor="text1"/>
                <w:sz w:val="16"/>
                <w:szCs w:val="16"/>
              </w:rPr>
              <w:softHyphen/>
              <w:t>портное хозяйство</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324FC7B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4860</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39AD7E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0,8</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4FE3E88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5646</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755C9B5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0,8</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7CC16FE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116,2</w:t>
            </w:r>
          </w:p>
        </w:tc>
      </w:tr>
      <w:tr w:rsidR="00CB5308" w:rsidRPr="00070ADE" w14:paraId="1D0513E1" w14:textId="77777777">
        <w:trPr>
          <w:trHeight w:val="278"/>
        </w:trPr>
        <w:tc>
          <w:tcPr>
            <w:tcW w:w="1858" w:type="dxa"/>
            <w:tcBorders>
              <w:top w:val="single" w:sz="6" w:space="0" w:color="auto"/>
              <w:left w:val="single" w:sz="6" w:space="0" w:color="auto"/>
              <w:bottom w:val="single" w:sz="6" w:space="0" w:color="auto"/>
              <w:right w:val="single" w:sz="6" w:space="0" w:color="auto"/>
            </w:tcBorders>
            <w:shd w:val="clear" w:color="auto" w:fill="FFFFFF"/>
          </w:tcPr>
          <w:p w14:paraId="2E6EE53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Центральный аппарат</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6F5B92D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1433</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271C4C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03A00B6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1308</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2DE29B0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69632EB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9U</w:t>
            </w:r>
          </w:p>
        </w:tc>
      </w:tr>
      <w:tr w:rsidR="00CB5308" w:rsidRPr="00070ADE" w14:paraId="3696663B" w14:textId="77777777">
        <w:trPr>
          <w:trHeight w:val="341"/>
        </w:trPr>
        <w:tc>
          <w:tcPr>
            <w:tcW w:w="1858" w:type="dxa"/>
            <w:tcBorders>
              <w:top w:val="single" w:sz="6" w:space="0" w:color="auto"/>
              <w:left w:val="single" w:sz="6" w:space="0" w:color="auto"/>
              <w:bottom w:val="single" w:sz="6" w:space="0" w:color="auto"/>
              <w:right w:val="single" w:sz="6" w:space="0" w:color="auto"/>
            </w:tcBorders>
            <w:shd w:val="clear" w:color="auto" w:fill="FFFFFF"/>
          </w:tcPr>
          <w:p w14:paraId="66D864F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Детские учреждения</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16A5795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2014</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652C1DB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0,3</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687D215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3386</w:t>
            </w:r>
          </w:p>
        </w:tc>
        <w:tc>
          <w:tcPr>
            <w:tcW w:w="883" w:type="dxa"/>
            <w:tcBorders>
              <w:top w:val="single" w:sz="6" w:space="0" w:color="auto"/>
              <w:left w:val="single" w:sz="6" w:space="0" w:color="auto"/>
              <w:bottom w:val="single" w:sz="6" w:space="0" w:color="auto"/>
              <w:right w:val="single" w:sz="6" w:space="0" w:color="auto"/>
            </w:tcBorders>
            <w:shd w:val="clear" w:color="auto" w:fill="FFFFFF"/>
          </w:tcPr>
          <w:p w14:paraId="2375E0D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0,6</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14:paraId="7C3FCC8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168,1</w:t>
            </w:r>
          </w:p>
        </w:tc>
      </w:tr>
    </w:tbl>
    <w:p w14:paraId="42DCC3C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Использование трудовых ресурсов (РГАЭ. Ф. 8044. On. 1. Д. 2878. Л. 60,62,64,66,68)</w:t>
      </w:r>
    </w:p>
    <w:tbl>
      <w:tblPr>
        <w:tblW w:w="0" w:type="auto"/>
        <w:tblInd w:w="8" w:type="dxa"/>
        <w:tblLayout w:type="fixed"/>
        <w:tblCellMar>
          <w:left w:w="0" w:type="dxa"/>
          <w:right w:w="0" w:type="dxa"/>
        </w:tblCellMar>
        <w:tblLook w:val="0000" w:firstRow="0" w:lastRow="0" w:firstColumn="0" w:lastColumn="0" w:noHBand="0" w:noVBand="0"/>
      </w:tblPr>
      <w:tblGrid>
        <w:gridCol w:w="3638"/>
        <w:gridCol w:w="571"/>
        <w:gridCol w:w="566"/>
        <w:gridCol w:w="571"/>
        <w:gridCol w:w="595"/>
      </w:tblGrid>
      <w:tr w:rsidR="00CB5308" w:rsidRPr="00070ADE" w14:paraId="0F059F5A" w14:textId="77777777">
        <w:trPr>
          <w:trHeight w:val="245"/>
        </w:trPr>
        <w:tc>
          <w:tcPr>
            <w:tcW w:w="3638" w:type="dxa"/>
            <w:tcBorders>
              <w:top w:val="single" w:sz="6" w:space="0" w:color="auto"/>
              <w:left w:val="single" w:sz="6" w:space="0" w:color="auto"/>
              <w:bottom w:val="single" w:sz="6" w:space="0" w:color="auto"/>
              <w:right w:val="single" w:sz="6" w:space="0" w:color="auto"/>
            </w:tcBorders>
            <w:shd w:val="clear" w:color="auto" w:fill="FFFFFF"/>
          </w:tcPr>
          <w:p w14:paraId="2A4F2A5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A183A4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E80742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0F41AF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1942</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1FBC1F3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w:t>
            </w:r>
          </w:p>
        </w:tc>
      </w:tr>
      <w:tr w:rsidR="00CB5308" w:rsidRPr="00070ADE" w14:paraId="44155815" w14:textId="77777777">
        <w:trPr>
          <w:trHeight w:val="221"/>
        </w:trPr>
        <w:tc>
          <w:tcPr>
            <w:tcW w:w="3638" w:type="dxa"/>
            <w:tcBorders>
              <w:top w:val="single" w:sz="6" w:space="0" w:color="auto"/>
              <w:left w:val="single" w:sz="6" w:space="0" w:color="auto"/>
              <w:bottom w:val="single" w:sz="6" w:space="0" w:color="auto"/>
              <w:right w:val="single" w:sz="6" w:space="0" w:color="auto"/>
            </w:tcBorders>
            <w:shd w:val="clear" w:color="auto" w:fill="FFFFFF"/>
          </w:tcPr>
          <w:p w14:paraId="65BEFF8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Отработано на 1 рабочего в кесяц рабочих дней</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B5DFB5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F7F36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23,4</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E560D1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24,2</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6640193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24,0</w:t>
            </w:r>
          </w:p>
        </w:tc>
      </w:tr>
      <w:tr w:rsidR="00CB5308" w:rsidRPr="00070ADE" w14:paraId="577EEE2A" w14:textId="77777777">
        <w:trPr>
          <w:trHeight w:val="221"/>
        </w:trPr>
        <w:tc>
          <w:tcPr>
            <w:tcW w:w="3638" w:type="dxa"/>
            <w:tcBorders>
              <w:top w:val="single" w:sz="6" w:space="0" w:color="auto"/>
              <w:left w:val="single" w:sz="6" w:space="0" w:color="auto"/>
              <w:bottom w:val="single" w:sz="6" w:space="0" w:color="auto"/>
              <w:right w:val="single" w:sz="6" w:space="0" w:color="auto"/>
            </w:tcBorders>
            <w:shd w:val="clear" w:color="auto" w:fill="FFFFFF"/>
          </w:tcPr>
          <w:p w14:paraId="01E1017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Отработано часов в месяц</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000D71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170,0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B47758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204,2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F7592E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228,1</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0C91FC0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228,0</w:t>
            </w:r>
          </w:p>
        </w:tc>
      </w:tr>
      <w:tr w:rsidR="00CB5308" w:rsidRPr="00070ADE" w14:paraId="3AF0B2DA" w14:textId="77777777">
        <w:trPr>
          <w:trHeight w:val="221"/>
        </w:trPr>
        <w:tc>
          <w:tcPr>
            <w:tcW w:w="3638" w:type="dxa"/>
            <w:tcBorders>
              <w:top w:val="single" w:sz="6" w:space="0" w:color="auto"/>
              <w:left w:val="single" w:sz="6" w:space="0" w:color="auto"/>
              <w:bottom w:val="single" w:sz="6" w:space="0" w:color="auto"/>
              <w:right w:val="single" w:sz="6" w:space="0" w:color="auto"/>
            </w:tcBorders>
            <w:shd w:val="clear" w:color="auto" w:fill="FFFFFF"/>
          </w:tcPr>
          <w:p w14:paraId="3B8395A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Продолжительность рабочего дня, часов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210093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C3D967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8,75</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1C2EC4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9,49</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0DEF934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9,54</w:t>
            </w:r>
          </w:p>
        </w:tc>
      </w:tr>
      <w:tr w:rsidR="00CB5308" w:rsidRPr="00070ADE" w14:paraId="450A1DF8" w14:textId="77777777">
        <w:trPr>
          <w:trHeight w:val="221"/>
        </w:trPr>
        <w:tc>
          <w:tcPr>
            <w:tcW w:w="3638" w:type="dxa"/>
            <w:tcBorders>
              <w:top w:val="single" w:sz="6" w:space="0" w:color="auto"/>
              <w:left w:val="single" w:sz="6" w:space="0" w:color="auto"/>
              <w:bottom w:val="single" w:sz="6" w:space="0" w:color="auto"/>
              <w:right w:val="single" w:sz="6" w:space="0" w:color="auto"/>
            </w:tcBorders>
            <w:shd w:val="clear" w:color="auto" w:fill="FFFFFF"/>
          </w:tcPr>
          <w:p w14:paraId="3F0A1C4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Часовая выработка на 1 рабочего, валовая продукция (руб.)</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1EC9E4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11,46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D80B74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E03DC1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11,39</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751F18D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13,22</w:t>
            </w:r>
          </w:p>
        </w:tc>
      </w:tr>
      <w:tr w:rsidR="00CB5308" w:rsidRPr="00070ADE" w14:paraId="66B9E0C9" w14:textId="77777777">
        <w:trPr>
          <w:trHeight w:val="245"/>
        </w:trPr>
        <w:tc>
          <w:tcPr>
            <w:tcW w:w="3638" w:type="dxa"/>
            <w:tcBorders>
              <w:top w:val="single" w:sz="6" w:space="0" w:color="auto"/>
              <w:left w:val="single" w:sz="6" w:space="0" w:color="auto"/>
              <w:bottom w:val="single" w:sz="6" w:space="0" w:color="auto"/>
              <w:right w:val="single" w:sz="6" w:space="0" w:color="auto"/>
            </w:tcBorders>
            <w:shd w:val="clear" w:color="auto" w:fill="FFFFFF"/>
          </w:tcPr>
          <w:p w14:paraId="302C8FC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Средняя часовая зарплата (руб.)</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894B99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CA05F5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2,49</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F779BF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5AA77ED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w:t>
            </w:r>
          </w:p>
        </w:tc>
      </w:tr>
    </w:tbl>
    <w:p w14:paraId="03F161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Среднегодовая зарплата рабочих на авиазаводе № 153 ()</w:t>
      </w:r>
    </w:p>
    <w:tbl>
      <w:tblPr>
        <w:tblW w:w="0" w:type="auto"/>
        <w:tblInd w:w="8" w:type="dxa"/>
        <w:tblLayout w:type="fixed"/>
        <w:tblCellMar>
          <w:left w:w="0" w:type="dxa"/>
          <w:right w:w="0" w:type="dxa"/>
        </w:tblCellMar>
        <w:tblLook w:val="0000" w:firstRow="0" w:lastRow="0" w:firstColumn="0" w:lastColumn="0" w:noHBand="0" w:noVBand="0"/>
      </w:tblPr>
      <w:tblGrid>
        <w:gridCol w:w="1195"/>
        <w:gridCol w:w="1190"/>
        <w:gridCol w:w="1186"/>
        <w:gridCol w:w="1186"/>
        <w:gridCol w:w="1195"/>
      </w:tblGrid>
      <w:tr w:rsidR="00CB5308" w:rsidRPr="00070ADE" w14:paraId="750C472E" w14:textId="77777777">
        <w:trPr>
          <w:trHeight w:val="235"/>
        </w:trPr>
        <w:tc>
          <w:tcPr>
            <w:tcW w:w="1195" w:type="dxa"/>
            <w:tcBorders>
              <w:top w:val="single" w:sz="6" w:space="0" w:color="auto"/>
              <w:left w:val="single" w:sz="6" w:space="0" w:color="auto"/>
              <w:bottom w:val="single" w:sz="6" w:space="0" w:color="auto"/>
              <w:right w:val="single" w:sz="6" w:space="0" w:color="auto"/>
            </w:tcBorders>
            <w:shd w:val="clear" w:color="auto" w:fill="FFFFFF"/>
          </w:tcPr>
          <w:p w14:paraId="5E2F92F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1941</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62267B4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1942</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79533EC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099D6F0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77B8511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1945</w:t>
            </w:r>
          </w:p>
        </w:tc>
      </w:tr>
      <w:tr w:rsidR="00CB5308" w:rsidRPr="00070ADE" w14:paraId="60BED035" w14:textId="77777777">
        <w:trPr>
          <w:trHeight w:val="240"/>
        </w:trPr>
        <w:tc>
          <w:tcPr>
            <w:tcW w:w="1195" w:type="dxa"/>
            <w:tcBorders>
              <w:top w:val="single" w:sz="6" w:space="0" w:color="auto"/>
              <w:left w:val="single" w:sz="6" w:space="0" w:color="auto"/>
              <w:bottom w:val="single" w:sz="6" w:space="0" w:color="auto"/>
              <w:right w:val="single" w:sz="6" w:space="0" w:color="auto"/>
            </w:tcBorders>
            <w:shd w:val="clear" w:color="auto" w:fill="FFFFFF"/>
          </w:tcPr>
          <w:p w14:paraId="7313AF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6923</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555075C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7985(15,3)</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0AC24D8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8230(3,1)</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5B25C4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9460(14,9)</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5300CCD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8251 (-12,8)</w:t>
            </w:r>
          </w:p>
        </w:tc>
      </w:tr>
    </w:tbl>
    <w:p w14:paraId="1346706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Для наглядности в скобках приводится рост (в %) по отношению к предыдущему году.</w:t>
      </w:r>
    </w:p>
    <w:p w14:paraId="1051D4A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Сравнение динамики среднегодовой зарплаты на авиаза</w:t>
      </w:r>
      <w:r w:rsidRPr="00070ADE">
        <w:rPr>
          <w:rFonts w:ascii="Times New Roman" w:hAnsi="Times New Roman"/>
          <w:color w:val="000000" w:themeColor="text1"/>
          <w:sz w:val="16"/>
          <w:szCs w:val="16"/>
        </w:rPr>
        <w:softHyphen/>
        <w:t>воде № 153 с динамикой среднемесячной зарплаты по НКАП в целом за 1941—1944 гг., позволяет предположить, что уро</w:t>
      </w:r>
      <w:r w:rsidRPr="00070ADE">
        <w:rPr>
          <w:rFonts w:ascii="Times New Roman" w:hAnsi="Times New Roman"/>
          <w:color w:val="000000" w:themeColor="text1"/>
          <w:sz w:val="16"/>
          <w:szCs w:val="16"/>
        </w:rPr>
        <w:softHyphen/>
        <w:t>вень среднемесячной зарплаты рабочих (и, вероятно, всего персонала в целом) резко снизился в 1945 г.</w:t>
      </w:r>
    </w:p>
    <w:p w14:paraId="2E5843A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фоне постоянного роста как численности авиавыпуска, так и численности персонала авиаиндустрии характерной тенденцией было постоянное снижение средней зарплаты, приходящейся на 1 самолёт.</w:t>
      </w:r>
    </w:p>
    <w:p w14:paraId="0B28BCA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Динамика средней зарплаты на изготовление 1 самолёта, производительности труда и среднемесячной зарплаты, (руб.) (РГАЭ. Ф. 8044. On. 1. Д. 2976. Л. 33,36)</w:t>
      </w:r>
    </w:p>
    <w:tbl>
      <w:tblPr>
        <w:tblW w:w="0" w:type="auto"/>
        <w:tblInd w:w="8" w:type="dxa"/>
        <w:tblLayout w:type="fixed"/>
        <w:tblCellMar>
          <w:left w:w="0" w:type="dxa"/>
          <w:right w:w="0" w:type="dxa"/>
        </w:tblCellMar>
        <w:tblLook w:val="0000" w:firstRow="0" w:lastRow="0" w:firstColumn="0" w:lastColumn="0" w:noHBand="0" w:noVBand="0"/>
      </w:tblPr>
      <w:tblGrid>
        <w:gridCol w:w="2515"/>
        <w:gridCol w:w="571"/>
        <w:gridCol w:w="571"/>
        <w:gridCol w:w="566"/>
        <w:gridCol w:w="566"/>
        <w:gridCol w:w="571"/>
        <w:gridCol w:w="586"/>
      </w:tblGrid>
      <w:tr w:rsidR="00CB5308" w:rsidRPr="00070ADE" w14:paraId="08347BED" w14:textId="77777777">
        <w:trPr>
          <w:trHeight w:val="326"/>
        </w:trPr>
        <w:tc>
          <w:tcPr>
            <w:tcW w:w="2515" w:type="dxa"/>
            <w:tcBorders>
              <w:top w:val="single" w:sz="6" w:space="0" w:color="auto"/>
              <w:left w:val="single" w:sz="6" w:space="0" w:color="auto"/>
              <w:bottom w:val="single" w:sz="6" w:space="0" w:color="auto"/>
              <w:right w:val="single" w:sz="6" w:space="0" w:color="auto"/>
            </w:tcBorders>
            <w:shd w:val="clear" w:color="auto" w:fill="FFFFFF"/>
          </w:tcPr>
          <w:p w14:paraId="34DA421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42623A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1939</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632997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E35E4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48D3D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96DE66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82D2D6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w:t>
            </w:r>
          </w:p>
        </w:tc>
      </w:tr>
      <w:tr w:rsidR="00CB5308" w:rsidRPr="00070ADE" w14:paraId="048EEA72" w14:textId="77777777">
        <w:trPr>
          <w:trHeight w:val="302"/>
        </w:trPr>
        <w:tc>
          <w:tcPr>
            <w:tcW w:w="2515" w:type="dxa"/>
            <w:tcBorders>
              <w:top w:val="single" w:sz="6" w:space="0" w:color="auto"/>
              <w:left w:val="single" w:sz="6" w:space="0" w:color="auto"/>
              <w:bottom w:val="single" w:sz="6" w:space="0" w:color="auto"/>
              <w:right w:val="single" w:sz="6" w:space="0" w:color="auto"/>
            </w:tcBorders>
            <w:shd w:val="clear" w:color="auto" w:fill="FFFFFF"/>
          </w:tcPr>
          <w:p w14:paraId="6082F7F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Зарплата всего персонала / самолёт</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B6F49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217</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75313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247</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930438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B9ADF5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168</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F7601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D20209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127</w:t>
            </w:r>
          </w:p>
        </w:tc>
      </w:tr>
      <w:tr w:rsidR="00CB5308" w:rsidRPr="00070ADE" w14:paraId="729CDB4D" w14:textId="77777777">
        <w:trPr>
          <w:trHeight w:val="293"/>
        </w:trPr>
        <w:tc>
          <w:tcPr>
            <w:tcW w:w="2515" w:type="dxa"/>
            <w:tcBorders>
              <w:top w:val="single" w:sz="6" w:space="0" w:color="auto"/>
              <w:left w:val="single" w:sz="6" w:space="0" w:color="auto"/>
              <w:bottom w:val="single" w:sz="6" w:space="0" w:color="auto"/>
              <w:right w:val="single" w:sz="6" w:space="0" w:color="auto"/>
            </w:tcBorders>
            <w:shd w:val="clear" w:color="auto" w:fill="FFFFFF"/>
          </w:tcPr>
          <w:p w14:paraId="79C4C3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Зарплата рабочих / самолёт</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C946AE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4D678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2DAFE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65BBF3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8C2C3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72D1B86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w:t>
            </w:r>
          </w:p>
        </w:tc>
      </w:tr>
      <w:tr w:rsidR="00CB5308" w:rsidRPr="00070ADE" w14:paraId="2A7A5518" w14:textId="77777777">
        <w:trPr>
          <w:trHeight w:val="293"/>
        </w:trPr>
        <w:tc>
          <w:tcPr>
            <w:tcW w:w="2515" w:type="dxa"/>
            <w:tcBorders>
              <w:top w:val="single" w:sz="6" w:space="0" w:color="auto"/>
              <w:left w:val="single" w:sz="6" w:space="0" w:color="auto"/>
              <w:bottom w:val="single" w:sz="6" w:space="0" w:color="auto"/>
              <w:right w:val="single" w:sz="6" w:space="0" w:color="auto"/>
            </w:tcBorders>
            <w:shd w:val="clear" w:color="auto" w:fill="FFFFFF"/>
          </w:tcPr>
          <w:p w14:paraId="069611B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Среднемесгшая выработка на 1 рабочего</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631320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1899</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8590D0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B54F7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2009</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59826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2611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91304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3027</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99C411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3315</w:t>
            </w:r>
          </w:p>
        </w:tc>
      </w:tr>
      <w:tr w:rsidR="00CB5308" w:rsidRPr="00070ADE" w14:paraId="6AD8362D" w14:textId="77777777">
        <w:trPr>
          <w:trHeight w:val="331"/>
        </w:trPr>
        <w:tc>
          <w:tcPr>
            <w:tcW w:w="2515" w:type="dxa"/>
            <w:tcBorders>
              <w:top w:val="single" w:sz="6" w:space="0" w:color="auto"/>
              <w:left w:val="single" w:sz="6" w:space="0" w:color="auto"/>
              <w:bottom w:val="single" w:sz="6" w:space="0" w:color="auto"/>
              <w:right w:val="single" w:sz="6" w:space="0" w:color="auto"/>
            </w:tcBorders>
            <w:shd w:val="clear" w:color="auto" w:fill="FFFFFF"/>
          </w:tcPr>
          <w:p w14:paraId="321F3A9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Среднемесячная зарплата ИГР</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31831A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866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236FD9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892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2AA41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977</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8ADE99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2E6638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1185</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4B85E6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1286</w:t>
            </w:r>
          </w:p>
        </w:tc>
      </w:tr>
      <w:tr w:rsidR="00CB5308" w:rsidRPr="00070ADE" w14:paraId="0733AE3C" w14:textId="77777777">
        <w:trPr>
          <w:trHeight w:val="245"/>
        </w:trPr>
        <w:tc>
          <w:tcPr>
            <w:tcW w:w="2515" w:type="dxa"/>
            <w:tcBorders>
              <w:top w:val="single" w:sz="6" w:space="0" w:color="auto"/>
              <w:left w:val="single" w:sz="6" w:space="0" w:color="auto"/>
              <w:bottom w:val="single" w:sz="6" w:space="0" w:color="auto"/>
              <w:right w:val="single" w:sz="6" w:space="0" w:color="auto"/>
            </w:tcBorders>
            <w:shd w:val="clear" w:color="auto" w:fill="FFFFFF"/>
          </w:tcPr>
          <w:p w14:paraId="03A33CE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Среднемесячная зарплата рабочего</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865558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464</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28FA29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473</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B5D66A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938E34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674BC8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618</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1771E38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686</w:t>
            </w:r>
          </w:p>
        </w:tc>
      </w:tr>
    </w:tbl>
    <w:p w14:paraId="64AFD9A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Очевидно, что, пройдя период освоения новой техники в 1940 г. — что отразилось в росте средних зарплат на 1 са</w:t>
      </w:r>
      <w:r w:rsidRPr="00070ADE">
        <w:rPr>
          <w:rFonts w:ascii="Times New Roman" w:hAnsi="Times New Roman"/>
          <w:color w:val="000000" w:themeColor="text1"/>
          <w:sz w:val="16"/>
          <w:szCs w:val="16"/>
        </w:rPr>
        <w:softHyphen/>
        <w:t>молёт, в дальнейшем этот параметр постоянно снижался. На фоне постоянного роста среднемесячных зарплат и выработ</w:t>
      </w:r>
      <w:r w:rsidRPr="00070ADE">
        <w:rPr>
          <w:rFonts w:ascii="Times New Roman" w:hAnsi="Times New Roman"/>
          <w:color w:val="000000" w:themeColor="text1"/>
          <w:sz w:val="16"/>
          <w:szCs w:val="16"/>
        </w:rPr>
        <w:softHyphen/>
        <w:t>ки это могло объясняться только постоянным снижением се</w:t>
      </w:r>
      <w:r w:rsidRPr="00070ADE">
        <w:rPr>
          <w:rFonts w:ascii="Times New Roman" w:hAnsi="Times New Roman"/>
          <w:color w:val="000000" w:themeColor="text1"/>
          <w:sz w:val="16"/>
          <w:szCs w:val="16"/>
        </w:rPr>
        <w:softHyphen/>
        <w:t>бестоимости продукции.</w:t>
      </w:r>
    </w:p>
    <w:p w14:paraId="493D11A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сравнения можно указать, что на 1944 г. среднемесяч- . ная зарплата рабочего в промышленности союзного подчи</w:t>
      </w:r>
      <w:r w:rsidRPr="00070ADE">
        <w:rPr>
          <w:rFonts w:ascii="Times New Roman" w:hAnsi="Times New Roman"/>
          <w:color w:val="000000" w:themeColor="text1"/>
          <w:sz w:val="16"/>
          <w:szCs w:val="16"/>
        </w:rPr>
        <w:softHyphen/>
        <w:t>нения составила в среднем 573 рубля (в угольной промыш</w:t>
      </w:r>
      <w:r w:rsidRPr="00070ADE">
        <w:rPr>
          <w:rFonts w:ascii="Times New Roman" w:hAnsi="Times New Roman"/>
          <w:color w:val="000000" w:themeColor="text1"/>
          <w:sz w:val="16"/>
          <w:szCs w:val="16"/>
        </w:rPr>
        <w:softHyphen/>
        <w:t>ленности — 729 руб., а в чёрной металлургии — 697 руб.), ИТР —1209 руб. (соответственно в угольной промышленно</w:t>
      </w:r>
      <w:r w:rsidRPr="00070ADE">
        <w:rPr>
          <w:rFonts w:ascii="Times New Roman" w:hAnsi="Times New Roman"/>
          <w:color w:val="000000" w:themeColor="text1"/>
          <w:sz w:val="16"/>
          <w:szCs w:val="16"/>
        </w:rPr>
        <w:softHyphen/>
        <w:t>сти и чёрной металлургии — 1502 и 1725 руб.) (</w:t>
      </w:r>
      <w:r w:rsidRPr="00070ADE">
        <w:rPr>
          <w:rFonts w:ascii="Times New Roman" w:hAnsi="Times New Roman"/>
          <w:iCs/>
          <w:color w:val="000000" w:themeColor="text1"/>
          <w:sz w:val="16"/>
          <w:szCs w:val="16"/>
        </w:rPr>
        <w:t>Вознесенский Н.А.</w:t>
      </w:r>
      <w:r w:rsidRPr="00070ADE">
        <w:rPr>
          <w:rFonts w:ascii="Times New Roman" w:hAnsi="Times New Roman"/>
          <w:color w:val="000000" w:themeColor="text1"/>
          <w:sz w:val="16"/>
          <w:szCs w:val="16"/>
        </w:rPr>
        <w:t xml:space="preserve"> Указ. соч. С. 117—118). Таким обра</w:t>
      </w:r>
      <w:r w:rsidRPr="00070ADE">
        <w:rPr>
          <w:rFonts w:ascii="Times New Roman" w:hAnsi="Times New Roman"/>
          <w:color w:val="000000" w:themeColor="text1"/>
          <w:sz w:val="16"/>
          <w:szCs w:val="16"/>
        </w:rPr>
        <w:softHyphen/>
        <w:t>зом, оклады инженеров и рабочих авиапромышленности хотя и были выше, чем в среднем по СССР, однако не составляли ничего исключительного (12011).</w:t>
      </w:r>
    </w:p>
    <w:p w14:paraId="46DA88B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8BC6B1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г. при списке работающих на заводе № 22 в 26030 человек (из них 19379 рабочих и 3779 ИТР), уволено за год в ряды РККА - 716, по семейным обстоятельствам - 554, по болезни и инвалидности - 415, ввиду смерти - 308, переведено на другие предприятия - 539 и на учебу - 133, самовольно оставило производство - 2365 (394 дезертира возвращено), уволено в связи с арестом 368 человек. Итого 5421 работнику, четверти заводского штата, надо было срочно искать замену.</w:t>
      </w:r>
    </w:p>
    <w:p w14:paraId="7F642BA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Фактические затраты на постройку одного Пе-2 составляли 10 тысяч часов, на Пе-8 145 тысяч. Количество рабочих дней - 27 в месяц, по 10 часов в день. В среднем на одного работника приходилось 4 кв. метра жилья (12049).</w:t>
      </w:r>
    </w:p>
    <w:p w14:paraId="40ECE7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B86E1F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года была закончена первая очередь строительства и монтажа и с пуском ее завод № 268 приказом НКАП от 4 января 1944 года № 5с был выделен в самостоятельную хозяйственную единицу, вступив в строй действующих предприятий НКАП.</w:t>
      </w:r>
    </w:p>
    <w:p w14:paraId="6097D0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1944 году выпускались лопасти, профили и прутки.</w:t>
      </w:r>
    </w:p>
    <w:p w14:paraId="3B18E8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1945 года Комиссией НКАП 268 завод был принят, а 11 июля 1945 года приказом НКАП введен в эксплуатацию. С начала 1945 года завод начинает выпуск продукции проката.</w:t>
      </w:r>
    </w:p>
    <w:p w14:paraId="459273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1946 году определился на ближайшее время производственный профиль завода, для комплексного металлургического предприятия, организованного в сочетании трех основных производств: прокатного, прессового, кузнечно-прессового (9599).</w:t>
      </w:r>
    </w:p>
    <w:p w14:paraId="1E5F51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C3C2BA" w14:textId="5BBBDA85" w:rsidR="00820285" w:rsidRPr="00070ADE" w:rsidRDefault="008202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 января 1944 года по март 1945 года были захвачены или уничтожены дополнительные 141 установка ("Катюша"). Согласно иностранным данным за время войны в Советским Союзе было изготовлено следующее количество установок ("Катюш"): 1941 года - 980 шт, 1942 год - 3227 штук, 1943 год - приблизительно 3340, 1944 года - приблизительно 2870, 1945 год - приблизительно 770 штук (15981).</w:t>
      </w:r>
      <w:r w:rsidR="00B643A8" w:rsidRPr="00070ADE">
        <w:rPr>
          <w:rFonts w:ascii="Times New Roman" w:hAnsi="Times New Roman"/>
          <w:color w:val="000000" w:themeColor="text1"/>
          <w:sz w:val="16"/>
          <w:szCs w:val="16"/>
        </w:rPr>
        <w:t xml:space="preserve"> </w:t>
      </w:r>
    </w:p>
    <w:p w14:paraId="76122445" w14:textId="77777777" w:rsidR="00820285" w:rsidRPr="00070ADE" w:rsidRDefault="00820285" w:rsidP="00B56F90">
      <w:pPr>
        <w:spacing w:after="0" w:line="240" w:lineRule="auto"/>
        <w:jc w:val="both"/>
        <w:rPr>
          <w:rFonts w:ascii="Times New Roman" w:hAnsi="Times New Roman"/>
          <w:color w:val="000000" w:themeColor="text1"/>
          <w:sz w:val="16"/>
          <w:szCs w:val="16"/>
        </w:rPr>
      </w:pPr>
    </w:p>
    <w:p w14:paraId="31066EF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EDAE1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8765C7" w14:textId="77777777" w:rsidR="00795D54" w:rsidRPr="00070ADE" w:rsidRDefault="00795D54"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г. пушка С-53 бы</w:t>
      </w:r>
      <w:r w:rsidRPr="00070ADE">
        <w:rPr>
          <w:rFonts w:ascii="Times New Roman" w:hAnsi="Times New Roman"/>
          <w:color w:val="000000" w:themeColor="text1"/>
          <w:sz w:val="16"/>
          <w:szCs w:val="16"/>
        </w:rPr>
        <w:softHyphen/>
        <w:t>ла принята на вооружение. При постановке на производство эта пушка заводом № 92 была переработана и поэтому получила наименование ЗИС-С-53. Эта пушка постановлением ГКО от 23 января 1944 г. была принята на вооружение танка Т-34-85 обр. 1944 г., а затем и среднего танка Т-44 (10703).</w:t>
      </w:r>
    </w:p>
    <w:p w14:paraId="17585B1D" w14:textId="77777777" w:rsidR="00795D54" w:rsidRPr="00070ADE" w:rsidRDefault="00795D54"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AC1684" w14:textId="77777777" w:rsidR="00795D54" w:rsidRPr="00070ADE" w:rsidRDefault="00795D54"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г. постановлением ГКО 85-мм танковая пушка С-53 (с учетом уст</w:t>
      </w:r>
      <w:r w:rsidRPr="00070ADE">
        <w:rPr>
          <w:rFonts w:ascii="Times New Roman" w:hAnsi="Times New Roman"/>
          <w:color w:val="000000" w:themeColor="text1"/>
          <w:sz w:val="16"/>
          <w:szCs w:val="16"/>
        </w:rPr>
        <w:softHyphen/>
        <w:t>ранения недостатков, выявленных во время испытаний) была принята вооружение танков Т-34, диаметр опоры башни которых был как, так и 1600 мм (10703).</w:t>
      </w:r>
    </w:p>
    <w:p w14:paraId="6BE89B85" w14:textId="77777777" w:rsidR="00795D54" w:rsidRPr="00070ADE" w:rsidRDefault="00795D54"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A327CA" w14:textId="77777777" w:rsidR="00795D54" w:rsidRPr="00070ADE" w:rsidRDefault="00795D54"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года Постановлением ГКО 85-мм танковая пушка С-53 была принята на вооружение (3861).</w:t>
      </w:r>
    </w:p>
    <w:p w14:paraId="6F3A4E91" w14:textId="77777777" w:rsidR="00795D54" w:rsidRPr="00070ADE" w:rsidRDefault="00795D54"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E4F6E1" w14:textId="77777777" w:rsidR="00795D54" w:rsidRPr="00070ADE" w:rsidRDefault="00795D54"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г. завершилась эпопея и с 85-мм пушкой С-53 выходом постановления ГКО № 4873сс о принятии ее на вооружение. Пушка продемонстрировала свои преиму</w:t>
      </w:r>
      <w:r w:rsidRPr="00070ADE">
        <w:rPr>
          <w:rFonts w:ascii="Times New Roman" w:hAnsi="Times New Roman"/>
          <w:color w:val="000000" w:themeColor="text1"/>
          <w:sz w:val="16"/>
          <w:szCs w:val="16"/>
        </w:rPr>
        <w:softHyphen/>
        <w:t>щества перед всеми конкурентами и 23 января на вооруже</w:t>
      </w:r>
      <w:r w:rsidRPr="00070ADE">
        <w:rPr>
          <w:rFonts w:ascii="Times New Roman" w:hAnsi="Times New Roman"/>
          <w:color w:val="000000" w:themeColor="text1"/>
          <w:sz w:val="16"/>
          <w:szCs w:val="16"/>
        </w:rPr>
        <w:softHyphen/>
        <w:t>ние мотомехвойск РККА был принят танк Т-34-85, воору</w:t>
      </w:r>
      <w:r w:rsidRPr="00070ADE">
        <w:rPr>
          <w:rFonts w:ascii="Times New Roman" w:hAnsi="Times New Roman"/>
          <w:color w:val="000000" w:themeColor="text1"/>
          <w:sz w:val="16"/>
          <w:szCs w:val="16"/>
        </w:rPr>
        <w:softHyphen/>
        <w:t>женный именно этим орудием. 15 января началось серийное производство орудий С-53 и тут случилось ЧП. В ходе испы</w:t>
      </w:r>
      <w:r w:rsidRPr="00070ADE">
        <w:rPr>
          <w:rFonts w:ascii="Times New Roman" w:hAnsi="Times New Roman"/>
          <w:color w:val="000000" w:themeColor="text1"/>
          <w:sz w:val="16"/>
          <w:szCs w:val="16"/>
        </w:rPr>
        <w:softHyphen/>
        <w:t>таний на отказ на 470-м выстреле у орудия заклинило тормоз отката. ЦАКБ «умыло руки», так как серийное орудие в ме</w:t>
      </w:r>
      <w:r w:rsidRPr="00070ADE">
        <w:rPr>
          <w:rFonts w:ascii="Times New Roman" w:hAnsi="Times New Roman"/>
          <w:color w:val="000000" w:themeColor="text1"/>
          <w:sz w:val="16"/>
          <w:szCs w:val="16"/>
        </w:rPr>
        <w:softHyphen/>
        <w:t>лочах сильно отличалось от разработанного здесь. Поэтому исправлять указанный дефект пришлось заводскому КБ.</w:t>
      </w:r>
    </w:p>
    <w:p w14:paraId="2CDFE64A" w14:textId="77777777" w:rsidR="00795D54" w:rsidRPr="00070ADE" w:rsidRDefault="00795D54"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Именения, внесенные ОКБ-92 в противооткатный меха</w:t>
      </w:r>
      <w:r w:rsidRPr="00070ADE">
        <w:rPr>
          <w:rFonts w:ascii="Times New Roman" w:hAnsi="Times New Roman"/>
          <w:color w:val="000000" w:themeColor="text1"/>
          <w:sz w:val="16"/>
          <w:szCs w:val="16"/>
        </w:rPr>
        <w:softHyphen/>
        <w:t>низм С-53, оказались действенными и 30 января указанная пушка прошла отстрел как в штатной, так и в увеличенной башне Т-34, после чего ее производству была дана «зеленая улица». Новые орудия были очень дешевы и просты в массо</w:t>
      </w:r>
      <w:r w:rsidRPr="00070ADE">
        <w:rPr>
          <w:rFonts w:ascii="Times New Roman" w:hAnsi="Times New Roman"/>
          <w:color w:val="000000" w:themeColor="text1"/>
          <w:sz w:val="16"/>
          <w:szCs w:val="16"/>
        </w:rPr>
        <w:softHyphen/>
        <w:t>вом производстве, тем более что серийное орудие имело цельнолитую люльку и муфтовое соединение ствола с казен</w:t>
      </w:r>
      <w:r w:rsidRPr="00070ADE">
        <w:rPr>
          <w:rFonts w:ascii="Times New Roman" w:hAnsi="Times New Roman"/>
          <w:color w:val="000000" w:themeColor="text1"/>
          <w:sz w:val="16"/>
          <w:szCs w:val="16"/>
        </w:rPr>
        <w:softHyphen/>
        <w:t>ником. Вполне понятно, что вскоре масштабы их производ</w:t>
      </w:r>
      <w:r w:rsidRPr="00070ADE">
        <w:rPr>
          <w:rFonts w:ascii="Times New Roman" w:hAnsi="Times New Roman"/>
          <w:color w:val="000000" w:themeColor="text1"/>
          <w:sz w:val="16"/>
          <w:szCs w:val="16"/>
        </w:rPr>
        <w:softHyphen/>
        <w:t>ства превысили Д-5, которые целиком съедала программа из</w:t>
      </w:r>
      <w:r w:rsidRPr="00070ADE">
        <w:rPr>
          <w:rFonts w:ascii="Times New Roman" w:hAnsi="Times New Roman"/>
          <w:color w:val="000000" w:themeColor="text1"/>
          <w:sz w:val="16"/>
          <w:szCs w:val="16"/>
        </w:rPr>
        <w:softHyphen/>
        <w:t>готовления самоходно-артиллерийских установок СУ-85 (11135).</w:t>
      </w:r>
    </w:p>
    <w:p w14:paraId="2492627A" w14:textId="77777777" w:rsidR="00795D54" w:rsidRPr="00070ADE" w:rsidRDefault="00795D54"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D8A1A3" w14:textId="77777777" w:rsidR="00795D54" w:rsidRPr="00070ADE" w:rsidRDefault="00795D54"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постановлением ГКО 85-мм танковая пушка была принята на вооружение КА (4390).</w:t>
      </w:r>
    </w:p>
    <w:p w14:paraId="77BDB058" w14:textId="77777777" w:rsidR="00795D54" w:rsidRPr="00070ADE" w:rsidRDefault="00795D54"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2320C5" w14:textId="77777777" w:rsidR="00795D54" w:rsidRPr="00070ADE" w:rsidRDefault="00795D5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года постановлением ГКО № 4873сс танковую пушку С-53 (ведущие конструкторы ЦАКБ НКВ Т. Сергеев и Г. Шабаров) приняли на вооружение для танков Т-34 со штатным и расширенным погонами (12217).</w:t>
      </w:r>
    </w:p>
    <w:p w14:paraId="35AD08B3" w14:textId="77777777" w:rsidR="00795D54" w:rsidRPr="00070ADE" w:rsidRDefault="00795D54" w:rsidP="00B56F90">
      <w:pPr>
        <w:spacing w:after="0" w:line="240" w:lineRule="auto"/>
        <w:jc w:val="both"/>
        <w:rPr>
          <w:rFonts w:ascii="Times New Roman" w:hAnsi="Times New Roman"/>
          <w:color w:val="000000" w:themeColor="text1"/>
          <w:sz w:val="16"/>
          <w:szCs w:val="16"/>
        </w:rPr>
      </w:pPr>
    </w:p>
    <w:p w14:paraId="4A337A6B" w14:textId="77777777" w:rsidR="00795D54" w:rsidRPr="00070ADE" w:rsidRDefault="00795D54" w:rsidP="00B56F90">
      <w:pPr>
        <w:pStyle w:val="a3"/>
        <w:rPr>
          <w:color w:val="000000" w:themeColor="text1"/>
          <w:lang w:val="ru-RU"/>
        </w:rPr>
      </w:pPr>
      <w:r w:rsidRPr="00070ADE">
        <w:rPr>
          <w:color w:val="000000" w:themeColor="text1"/>
          <w:lang w:val="ru-RU"/>
        </w:rPr>
        <w:t>1 января 1944 танк с пушкой С-53 был принят на вооружение. Его производство должно было начаться с 1 марта. У С-53 испытания тоже выявили ряд недостатков, но их удалось устранить на её новой модификации. Новая пушка была в срочном порядке установлена в танк на заводе № 112, затем испытана с 30 января по 2 февраля 1944 года на Гороховецком артиллерийском полигоне и принята на вооружение. Кроме того, испытания выявили допустимость установки 85-мм пушки в танк с обычным погоном только как временной меры. Ещё одни сравнительные испытания танков с расширенной и обычной башнями, вооруженных 85-мм пушкой, были проведены в начале февраля и показали, что танк со старой башней значительно уступает по скорострельности орудия. Переход к производству танков с увеличенной башней был необходим и неизбежен (12290).</w:t>
      </w:r>
    </w:p>
    <w:p w14:paraId="33EC27F9" w14:textId="77777777" w:rsidR="00795D54" w:rsidRPr="00070ADE" w:rsidRDefault="00795D54" w:rsidP="00B56F90">
      <w:pPr>
        <w:spacing w:after="0" w:line="240" w:lineRule="auto"/>
        <w:jc w:val="both"/>
        <w:rPr>
          <w:rFonts w:ascii="Times New Roman" w:hAnsi="Times New Roman"/>
          <w:color w:val="000000" w:themeColor="text1"/>
          <w:sz w:val="16"/>
          <w:szCs w:val="16"/>
        </w:rPr>
      </w:pPr>
    </w:p>
    <w:p w14:paraId="05C651C7" w14:textId="77777777" w:rsidR="00795D54" w:rsidRPr="00070ADE" w:rsidRDefault="00795D54"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1 января 1944 года 85-мм систему С-53 приняли на вооружение Красной Армии. Разработали ее, под общим руководством В.Г. Грабина, начальник 17-го отдела ЦАКБ П.Ф. Муравьев и начальник 3-го отдела ЦАКБ Е.В. Синильщиков. Это те же люди, которые создали С-31. Во главу угла поставили уже не взаимозаменяемость с 76-мм орудием ЗИС-5, а компактность системы и обеспечение максимального внутреннего объема внутри боевого отделения. То самое, чего так не хватало С-31. Поначалу испытания С-53, изначально установленной в башню Т-34 с диаметром погона 1420 мм, шли не очень хорошо. Но далее выяснилось, что С-53 имеет перспективы, а завод №9, производитель 85-мм систем Д-5Т, стал готовиться к массовому выпуску 122-мм орудий Д-25Т. И если 85-мм самоходные орудия Д-5С-85 сохранялись в гамме завода №9 (да и то, вскоре их выпуск освоили на заводе №8), то для вооружения Т-34-85 пушка ЦАКБ, организацию выпуска которой брал на себя завод №92, орудие С-53 оказывалось оптимальным (21485).</w:t>
      </w:r>
    </w:p>
    <w:p w14:paraId="243BFC5D" w14:textId="77777777" w:rsidR="00795D54" w:rsidRPr="00070ADE" w:rsidRDefault="00795D54"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lastRenderedPageBreak/>
        <w:t>В конце января 1944 года появились идеи о перевооружении на С-53 ремонтных КВ-1. Идея исходила от ЦАКБ, и выглядела она вполне разумно. Более компактная система, в отличие от С-31, вполне вписывалась в штатные башни, требовалось только поменять орудийную установку, которая всё равно крепилась на болтах. Но в феврале 1944 года было не до того, да и у С-53 обнаружились дефекты.</w:t>
      </w:r>
    </w:p>
    <w:p w14:paraId="2C4D30B0" w14:textId="77777777" w:rsidR="00795D54" w:rsidRPr="00070ADE" w:rsidRDefault="00795D54"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В практическую фазу идея с перевооружением КВ-1с на орудие С-53 перешла только летом 1944 года. Главным тормозящим фактором были работы по модернизации орудия. Только в июне 1944 года, когда запустили в серию ЗИС-С-53, дали отмашку на изготовление С-28. Представляла она собой уже не С-53, а улучшенную версию орудия, то есть ЗИС-С-53. При изготовлении орудийной установки С-28 во главу угла поставили адаптацию ЗИС-С-53, с минимальными изменениями. В этом было существенное отличие от С-31, которую постарались вписать в штатную бронировку ЗИС-5. Почти весь съемный узел, который крепился на болтах к башни КВ-1с, оказался новым. С другой стороны, он спокойно ставился в штатную амбразуру башни танка. С точки зрения Главного Управления Ремонта Танков КА, это выглядело более важным. Боевая масса машины составила 43 тонны, то есть лишь чуть больше обычного КВ-1с. (21485).</w:t>
      </w:r>
    </w:p>
    <w:p w14:paraId="28518C8E" w14:textId="77777777" w:rsidR="00795D54" w:rsidRPr="00070ADE" w:rsidRDefault="00795D54"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B89FB67" w14:textId="77777777" w:rsidR="00795D54" w:rsidRPr="00070ADE" w:rsidRDefault="00795D54" w:rsidP="00B56F90">
      <w:pPr>
        <w:pStyle w:val="ae"/>
        <w:shd w:val="clear" w:color="auto" w:fill="FFFFFF"/>
        <w:spacing w:before="0" w:after="0"/>
        <w:jc w:val="both"/>
        <w:rPr>
          <w:color w:val="000000" w:themeColor="text1"/>
          <w:sz w:val="16"/>
          <w:szCs w:val="16"/>
        </w:rPr>
      </w:pPr>
      <w:r w:rsidRPr="00070ADE">
        <w:rPr>
          <w:color w:val="000000" w:themeColor="text1"/>
          <w:sz w:val="16"/>
          <w:szCs w:val="16"/>
        </w:rPr>
        <w:t>К 1 января 1944 года были изготовлены первые два ствола Д-25 с клиновым затвором. 4 января они отправились на заводские испытания. Результаты испытаний оказались неоднозначными. У первого орудия вышел из строя дульный тормоз: судя по всему, именно это и стало причиной появления 7-го варианта этого устройства. На второй системе после 401 выстрела была обнаружена трещина в казённике.</w:t>
      </w:r>
    </w:p>
    <w:p w14:paraId="577E73C3" w14:textId="77777777" w:rsidR="00795D54" w:rsidRPr="00070ADE" w:rsidRDefault="00795D54" w:rsidP="00B56F90">
      <w:pPr>
        <w:pStyle w:val="ae"/>
        <w:shd w:val="clear" w:color="auto" w:fill="FFFFFF"/>
        <w:spacing w:before="0" w:after="0"/>
        <w:jc w:val="both"/>
        <w:rPr>
          <w:color w:val="000000" w:themeColor="text1"/>
          <w:sz w:val="16"/>
          <w:szCs w:val="16"/>
        </w:rPr>
      </w:pPr>
      <w:r w:rsidRPr="00070ADE">
        <w:rPr>
          <w:color w:val="000000" w:themeColor="text1"/>
          <w:sz w:val="16"/>
          <w:szCs w:val="16"/>
        </w:rPr>
        <w:t>Система с новым дульным тормозом, испытанная 115 выстрелами с усиленным зарядом, 24 января отправилась на завод №100. Заводские испытания продолжились, система их выдержала, а новый тип дульного тормоза был признан более удачным. Уже в начале февраля завод №9 начал производство Д-25 с дульным тормозом нового типа и клиновым затвором.</w:t>
      </w:r>
    </w:p>
    <w:p w14:paraId="292BD569" w14:textId="77777777" w:rsidR="00795D54" w:rsidRPr="00070ADE" w:rsidRDefault="00795D54"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По вине завода №9 произошла задержка с отправкой опытной системы, и её установка в ИС-2 затянулась. При монтаже системы с клиновым затвором на заводе №100 была увеличена высота амбразуры башни с 590 до 610 мм. Это позволило установить пушку без съёма ограждения. Для уравновешенности системы пришлось установить дополнительный груз массой 80 кг (17721).</w:t>
      </w:r>
    </w:p>
    <w:p w14:paraId="11A6E142" w14:textId="77777777" w:rsidR="00795D54" w:rsidRPr="00070ADE" w:rsidRDefault="00795D54" w:rsidP="00B56F90">
      <w:pPr>
        <w:pStyle w:val="123"/>
        <w:shd w:val="clear" w:color="auto" w:fill="auto"/>
        <w:spacing w:after="0" w:line="240" w:lineRule="auto"/>
        <w:jc w:val="both"/>
        <w:rPr>
          <w:color w:val="000000" w:themeColor="text1"/>
          <w:sz w:val="16"/>
          <w:szCs w:val="16"/>
        </w:rPr>
      </w:pPr>
    </w:p>
    <w:p w14:paraId="4A1C58B9" w14:textId="77777777" w:rsidR="00795D54" w:rsidRPr="00070ADE" w:rsidRDefault="00795D54"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 1 января 1944 года были изготовлены первые два ствола Д-25 с клиновым затвором. Также разработали новый дульный тормоз, похожий на тот, что еще осенью 1942 года Петров предполагал ставить на будущую Д-2 (всего же за всё время было создано 8 типов дульного тормоза для Д-25). С февраля 1944 года орудие с клиновым затвором и новым дульным тормозом стали ставить на </w:t>
      </w:r>
      <w:hyperlink r:id="rId9" w:tgtFrame="_self" w:history="1">
        <w:r w:rsidRPr="00070ADE">
          <w:rPr>
            <w:rStyle w:val="a5"/>
            <w:rFonts w:ascii="Times New Roman" w:hAnsi="Times New Roman"/>
            <w:color w:val="000000" w:themeColor="text1"/>
            <w:sz w:val="16"/>
            <w:szCs w:val="16"/>
          </w:rPr>
          <w:t>ИС-2</w:t>
        </w:r>
      </w:hyperlink>
      <w:r w:rsidRPr="00070ADE">
        <w:rPr>
          <w:rFonts w:ascii="Times New Roman" w:hAnsi="Times New Roman"/>
          <w:color w:val="000000" w:themeColor="text1"/>
          <w:sz w:val="16"/>
          <w:szCs w:val="16"/>
        </w:rPr>
        <w:t>. Что же касается орудий с поршневым затвором, то их выпустили всего 106 штук, это можно легко посчитать по числу полученных с завода №172 казенных частей. Их на заводе №9 не выпускали. А вот орудие с клиновым затвором уже полностью производилось в Свердловске (19840).</w:t>
      </w:r>
    </w:p>
    <w:p w14:paraId="3C849071" w14:textId="77777777" w:rsidR="00795D54" w:rsidRPr="00070ADE" w:rsidRDefault="00795D54" w:rsidP="00B56F90">
      <w:pPr>
        <w:spacing w:after="0" w:line="240" w:lineRule="auto"/>
        <w:jc w:val="both"/>
        <w:rPr>
          <w:rFonts w:ascii="Times New Roman" w:eastAsia="Times New Roman" w:hAnsi="Times New Roman"/>
          <w:color w:val="000000" w:themeColor="text1"/>
          <w:sz w:val="16"/>
          <w:szCs w:val="16"/>
          <w:shd w:val="clear" w:color="auto" w:fill="DCDCDC"/>
          <w:lang w:eastAsia="ru-RU"/>
        </w:rPr>
      </w:pPr>
    </w:p>
    <w:p w14:paraId="101313CF"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1 января 1944 г. пушка С-53 постановлением ГКО была принята на вооружение. Но уже в начале 1944 г. при полигонных испытаниях у нее выявились существенные дефекты противооткатных устройств. Объединенными усилиями завода № 92 и ЦАКБ пушка была доработана и поставлена на производство под индексом ЗИС-С-53.</w:t>
      </w:r>
    </w:p>
    <w:p w14:paraId="46EBA9DD" w14:textId="77777777" w:rsidR="00795D54" w:rsidRPr="00C94B78" w:rsidRDefault="00795D54"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Пушка ЗИС-С-53 была установлена на большинстве танков Т-34-85, а также на танках Т-44.</w:t>
      </w:r>
    </w:p>
    <w:p w14:paraId="59E06FEE"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1945 г. ЦАКБ разработало модификацию ЗИС-С-53, снабженную одноплоскостным гироскопическим стабилизатором, однако в серию эта система не пошла.</w:t>
      </w:r>
    </w:p>
    <w:p w14:paraId="1232E5D7"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Пушки С-53 изготавливали только в 1944 г. — их было выпущено 11 518 шт., а в 1945 г. сделали 14 265 пушек ЗИС-С-53.</w:t>
      </w:r>
    </w:p>
    <w:p w14:paraId="45A81D8E"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Ствол пушки С-53 состоял из трубы-моноблока и казенника. Затвор — вертикальный клиновой с полуавтоматикой механического (копирного) типа. При выстреле противооткатные устройства откатывались вместе со стволом.</w:t>
      </w:r>
    </w:p>
    <w:p w14:paraId="5D82B01E"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Люлька обойменного типа представляла собой стальную отливку. Конструктивно интересным было расположение тормоза отката и накатника под казенником, что благодаря люльке обойменного типа обеспечивало весьма плотную компоновку качающейся части и облегчало получение естественного уравновешивания качающейся части относительно оси цапф.</w:t>
      </w:r>
    </w:p>
    <w:p w14:paraId="79AB5F70"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Подъемный механизм имел один сектор, расположенный слева от пушки. Прицелы марок ТШ-15 и ТШ-16.</w:t>
      </w:r>
    </w:p>
    <w:p w14:paraId="3E794526"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Полная длина ствола составляла 54,6 калибра. Угол вертикального наведения составляла от —5° до +25°. Длина отката 280—320 мм. Вес качающейся части без бронировки 1150 кг. Практическая скорострельность достигала 5 выстрелов в минуту (25440).</w:t>
      </w:r>
    </w:p>
    <w:p w14:paraId="4D5E8737" w14:textId="77777777" w:rsidR="00795D54" w:rsidRPr="00C94B78" w:rsidRDefault="00795D54" w:rsidP="00B56F90">
      <w:pPr>
        <w:spacing w:after="0" w:line="240" w:lineRule="auto"/>
        <w:jc w:val="both"/>
        <w:rPr>
          <w:rFonts w:ascii="Times New Roman" w:hAnsi="Times New Roman"/>
          <w:color w:val="0070C0"/>
          <w:sz w:val="16"/>
          <w:szCs w:val="16"/>
        </w:rPr>
      </w:pPr>
    </w:p>
    <w:p w14:paraId="3E761C9A" w14:textId="77777777" w:rsidR="00795D54" w:rsidRPr="00C94B78" w:rsidRDefault="00795D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1 января 1944 года на заводе № 9 в Свердловске изготовили первые 2 ствола Д-25 с клиновым затвором, а 4 января они отправились на заводские испытания. Их итоги оказались неоднозначными. У первого орудия вышел из строя дульный тормоз, судя по всему, именно это стало причиной появления 7-го варианта дульного тормоза. На второй системе после 401 выстрела обнаружилась трещина в казеннике. В итоге система с новым дульным тормозом, испытанная 115 выстрелами с усиленным зарядом, 24 января отправилась на завод №100. В дальнейшем заводские испытания продолжились, по их итогам система испытания выдержала, а новый тип дульного тормоза признали более удачным. По этой причине уже с начала февраля завод №9 начал производство Д-25 с дульным тормозом нового типа и клиновым затвором (25541).</w:t>
      </w:r>
    </w:p>
    <w:p w14:paraId="54340EB2" w14:textId="77777777" w:rsidR="00795D54" w:rsidRPr="00C94B78" w:rsidRDefault="00795D54" w:rsidP="00B56F90">
      <w:pPr>
        <w:spacing w:after="0" w:line="240" w:lineRule="auto"/>
        <w:jc w:val="both"/>
        <w:rPr>
          <w:rFonts w:ascii="Times New Roman" w:hAnsi="Times New Roman"/>
          <w:color w:val="0070C0"/>
          <w:sz w:val="16"/>
          <w:szCs w:val="16"/>
        </w:rPr>
      </w:pPr>
    </w:p>
    <w:p w14:paraId="0E05FB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вышло Постановление ГКО № 4873 О вооружении танков Т-34 85 мм пушкой взамен 76 мм Ф-34. РГАНИР, Фонд ГКО, д. 184, лл. 282-283 (11012).</w:t>
      </w:r>
    </w:p>
    <w:p w14:paraId="169595E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3A3DE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г. орудие С-53 было принято на вооружение танка Т-34 как с нор</w:t>
      </w:r>
      <w:r w:rsidRPr="00070ADE">
        <w:rPr>
          <w:rFonts w:ascii="Times New Roman" w:hAnsi="Times New Roman"/>
          <w:color w:val="000000" w:themeColor="text1"/>
          <w:sz w:val="16"/>
          <w:szCs w:val="16"/>
        </w:rPr>
        <w:softHyphen/>
        <w:t>мальным, так и расширенным погоном. Но серийное про</w:t>
      </w:r>
      <w:r w:rsidRPr="00070ADE">
        <w:rPr>
          <w:rFonts w:ascii="Times New Roman" w:hAnsi="Times New Roman"/>
          <w:color w:val="000000" w:themeColor="text1"/>
          <w:sz w:val="16"/>
          <w:szCs w:val="16"/>
        </w:rPr>
        <w:softHyphen/>
        <w:t>изводство Т-34-85 должно было начаться только с 1 марта 1944 г., а до того времени выпуск танков указанного типа ограничивался производившимися на заводе № 112 ма</w:t>
      </w:r>
      <w:r w:rsidRPr="00070ADE">
        <w:rPr>
          <w:rFonts w:ascii="Times New Roman" w:hAnsi="Times New Roman"/>
          <w:color w:val="000000" w:themeColor="text1"/>
          <w:sz w:val="16"/>
          <w:szCs w:val="16"/>
        </w:rPr>
        <w:softHyphen/>
        <w:t>шинами с 85-мм орудием Д-5Т. После войны некоторые издания живописали, что пер</w:t>
      </w:r>
      <w:r w:rsidRPr="00070ADE">
        <w:rPr>
          <w:rFonts w:ascii="Times New Roman" w:hAnsi="Times New Roman"/>
          <w:color w:val="000000" w:themeColor="text1"/>
          <w:sz w:val="16"/>
          <w:szCs w:val="16"/>
        </w:rPr>
        <w:softHyphen/>
        <w:t>вые Т-34-85 были изготовлены и поступили на фронт уже осенью 1943 г. Это неверно, так как в указанный срок в СССР для них не было ни башен, ни орудий (11135).</w:t>
      </w:r>
    </w:p>
    <w:p w14:paraId="408CBE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F21AF7"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г. ГКО принял на вооружение новый вариант среднего танка: Т-34 с 85-миллиметровой пушкой С-53 образца 1944 года. Однако на этом этапе его конструкция и дальнейшее будущее еще не были окончательно утверждены. Пока же новый танк должен был вооружаться новой пушкой, установленной в штатный погон башни взамен 76,2-миллиметровой пушки Ф-34. Первоначальный план перехода подразумевал постепенное увеличение выпуска новых образцов на всех заводах, выпускавших Т-34, с 25 штук в январе до 800 штук в апреле 1944 г. Только с мая 1944 г. танковая промышленность должна была полностью перейти на новую пушку: с января выпуск начинался на заводе № 112, с февраля - на заводе № 183, с марта - на заводе № 174 и Кировском заводе. Причем только в марте УЗТМ должен был начать изготавливать Т-34 с расширенным до 1600 мм погоном: в марте - 10 штук, а в апреле - 50[1009].</w:t>
      </w:r>
    </w:p>
    <w:p w14:paraId="32012A1B"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Скорее всего, это была попытка оставить весовые характеристики танка на прежнем уровне и сохранить прежний объем производства. Однако старая башня не могла использоваться для новой пушки, так как была слишком мала. Уже 23 января 1944 г. ГКО частично пересмотрел свое решение и утвердил новый график выпуска Т-34 с пушкой С-53 - с новыми башнями под широкий погон, конструкция которых была окончательно утверждена ГКО в середине декабря 1943 г.[1010] С конца января 1944 г. первым производство новой башни должен был начать восстанавливаемый в Харькове объединенный завод № 75 НКТП для завода № 112: 75 башен с расширенным погоном в феврале и 100 - в марте[1011]. Сталинское руководство все же оставило для завода № 112 в плане на февраль (был утвержден 5 февраля) 25 танков Т-34-85 с «нормальным погоном» против 75 Т-34-85 с «расширенным погоном». Все остальные заводы должны были продолжать выпускать средний танк старого образца[1012] (23536).</w:t>
      </w:r>
    </w:p>
    <w:p w14:paraId="71B9265F" w14:textId="77777777" w:rsidR="00E946AF" w:rsidRPr="00070ADE" w:rsidRDefault="00E946AF" w:rsidP="00B56F90">
      <w:pPr>
        <w:spacing w:after="0" w:line="240" w:lineRule="auto"/>
        <w:jc w:val="both"/>
        <w:rPr>
          <w:rFonts w:ascii="Times New Roman" w:hAnsi="Times New Roman"/>
          <w:color w:val="000000" w:themeColor="text1"/>
          <w:sz w:val="16"/>
          <w:szCs w:val="16"/>
        </w:rPr>
      </w:pPr>
    </w:p>
    <w:p w14:paraId="6701FF2C"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января 1944 г.Постановление ГКО № 4873 «О вооружении танков Т—34 85—мм пушкой взамен 76—мм Ф—34»</w:t>
      </w:r>
    </w:p>
    <w:p w14:paraId="52A73425"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РГАСПИ. Ф. 644. Оп. 2. Л. 104—105. Подлинник. Машинописный текст. Подписи — автографы И.В. Сталина, Л.П. Берии, Д.Ф. Устинова, В.А Малышева, Н.Д. Яковлева, Я.Н. Федоренко.</w:t>
      </w:r>
    </w:p>
    <w:p w14:paraId="73883E43"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 секретно</w:t>
      </w:r>
    </w:p>
    <w:p w14:paraId="4CC993D7"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усиления артиллерийского вооружения танков Т-34, Государственный Комитет Обороны ПОСТАНОВЛЯЕТ:</w:t>
      </w:r>
    </w:p>
    <w:p w14:paraId="6C39708D"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Принять на вооружение Красной армии 85 мм танковую пушку конструкции ЦАКБ Наркомвооружения (т. Грабина) и присвоить ей наименование «с85 мм танковая пушка образца 1944 года (С-53)».</w:t>
      </w:r>
    </w:p>
    <w:p w14:paraId="729FBC11"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Вооружать танки Т-34, начиная с января 1944 года 85 мм танковыми пушками г. (С-53) образца 1944, устанавливающимися в штатный погон башни, взамен 76 мм пушек Ф-34.</w:t>
      </w:r>
    </w:p>
    <w:p w14:paraId="74FED946"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Установить следующий план перехода заводов Наркомтанкпрома на выпуск танков Т-34 с 85 мм пушкой , в следующих количествах и сроки:</w:t>
      </w:r>
    </w:p>
    <w:p w14:paraId="6FE2516E"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январь — 25 штук</w:t>
      </w:r>
    </w:p>
    <w:p w14:paraId="585AE4AB"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 - 100 штук</w:t>
      </w:r>
    </w:p>
    <w:p w14:paraId="320349C4"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март - 300 штук</w:t>
      </w:r>
    </w:p>
    <w:p w14:paraId="4331AF48"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апрель - 800 штук</w:t>
      </w:r>
    </w:p>
    <w:p w14:paraId="641E3725"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начиная с мая 1944 года все танки Т—34 выпускать с 85 мм пушками</w:t>
      </w:r>
    </w:p>
    <w:p w14:paraId="7636660C"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4. Обязать НКО - тт. Яковлева и Федоренко обеспечить поставку танковым заводам, а Наркомвооружения — т. Устинова изготовить следующее количество 85 мм пушек для вооружения танков Т—34 и артиллерийских самоходных установок СУ-85 на базе танка Т-34:</w:t>
      </w:r>
    </w:p>
    <w:p w14:paraId="1FF5D1DF"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 270 штук</w:t>
      </w:r>
    </w:p>
    <w:p w14:paraId="34812710"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 400 штук</w:t>
      </w:r>
    </w:p>
    <w:p w14:paraId="59C45C7D"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 650 штук</w:t>
      </w:r>
    </w:p>
    <w:p w14:paraId="5D1D12C8"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 1000 штук</w:t>
      </w:r>
    </w:p>
    <w:p w14:paraId="3F6667A9"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- 1650 штук</w:t>
      </w:r>
    </w:p>
    <w:p w14:paraId="56A3928A"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Для обеспечения выпуска танков Т-34 и самоходных установок на базе танка Т-34 установить следующий план перехода заводов Наркомвооружения на изготовление 85 мм танковых пушек взамен 76 мм пушек Ф—34, в следующих количествах и сроки:</w:t>
      </w:r>
    </w:p>
    <w:p w14:paraId="5C39914C"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w:t>
      </w:r>
      <w:r w:rsidRPr="00070ADE">
        <w:rPr>
          <w:rFonts w:ascii="Times New Roman" w:hAnsi="Times New Roman"/>
          <w:color w:val="000000" w:themeColor="text1"/>
          <w:sz w:val="16"/>
          <w:szCs w:val="16"/>
        </w:rPr>
        <w:tab/>
        <w:t>Наименование систем</w:t>
      </w:r>
      <w:r w:rsidRPr="00070ADE">
        <w:rPr>
          <w:rFonts w:ascii="Times New Roman" w:hAnsi="Times New Roman"/>
          <w:color w:val="000000" w:themeColor="text1"/>
          <w:sz w:val="16"/>
          <w:szCs w:val="16"/>
        </w:rPr>
        <w:tab/>
        <w:t>Январь</w:t>
      </w:r>
      <w:r w:rsidRPr="00070ADE">
        <w:rPr>
          <w:rFonts w:ascii="Times New Roman" w:hAnsi="Times New Roman"/>
          <w:color w:val="000000" w:themeColor="text1"/>
          <w:sz w:val="16"/>
          <w:szCs w:val="16"/>
        </w:rPr>
        <w:tab/>
        <w:t>Февраль</w:t>
      </w:r>
      <w:r w:rsidRPr="00070ADE">
        <w:rPr>
          <w:rFonts w:ascii="Times New Roman" w:hAnsi="Times New Roman"/>
          <w:color w:val="000000" w:themeColor="text1"/>
          <w:sz w:val="16"/>
          <w:szCs w:val="16"/>
        </w:rPr>
        <w:tab/>
        <w:t>Март</w:t>
      </w:r>
      <w:r w:rsidRPr="00070ADE">
        <w:rPr>
          <w:rFonts w:ascii="Times New Roman" w:hAnsi="Times New Roman"/>
          <w:color w:val="000000" w:themeColor="text1"/>
          <w:sz w:val="16"/>
          <w:szCs w:val="16"/>
        </w:rPr>
        <w:tab/>
        <w:t>Апрель</w:t>
      </w:r>
      <w:r w:rsidRPr="00070ADE">
        <w:rPr>
          <w:rFonts w:ascii="Times New Roman" w:hAnsi="Times New Roman"/>
          <w:color w:val="000000" w:themeColor="text1"/>
          <w:sz w:val="16"/>
          <w:szCs w:val="16"/>
        </w:rPr>
        <w:tab/>
      </w:r>
    </w:p>
    <w:p w14:paraId="2787F04B"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w:t>
      </w:r>
      <w:r w:rsidRPr="00070ADE">
        <w:rPr>
          <w:rFonts w:ascii="Times New Roman" w:hAnsi="Times New Roman"/>
          <w:color w:val="000000" w:themeColor="text1"/>
          <w:sz w:val="16"/>
          <w:szCs w:val="16"/>
        </w:rPr>
        <w:tab/>
        <w:t>76 мм дивизион, пушки ЗИС—3</w:t>
      </w:r>
      <w:r w:rsidRPr="00070ADE">
        <w:rPr>
          <w:rFonts w:ascii="Times New Roman" w:hAnsi="Times New Roman"/>
          <w:color w:val="000000" w:themeColor="text1"/>
          <w:sz w:val="16"/>
          <w:szCs w:val="16"/>
        </w:rPr>
        <w:tab/>
        <w:t>1100</w:t>
      </w:r>
      <w:r w:rsidRPr="00070ADE">
        <w:rPr>
          <w:rFonts w:ascii="Times New Roman" w:hAnsi="Times New Roman"/>
          <w:color w:val="000000" w:themeColor="text1"/>
          <w:sz w:val="16"/>
          <w:szCs w:val="16"/>
        </w:rPr>
        <w:tab/>
        <w:t>1100</w:t>
      </w:r>
      <w:r w:rsidRPr="00070ADE">
        <w:rPr>
          <w:rFonts w:ascii="Times New Roman" w:hAnsi="Times New Roman"/>
          <w:color w:val="000000" w:themeColor="text1"/>
          <w:sz w:val="16"/>
          <w:szCs w:val="16"/>
        </w:rPr>
        <w:tab/>
        <w:t>1100</w:t>
      </w:r>
      <w:r w:rsidRPr="00070ADE">
        <w:rPr>
          <w:rFonts w:ascii="Times New Roman" w:hAnsi="Times New Roman"/>
          <w:color w:val="000000" w:themeColor="text1"/>
          <w:sz w:val="16"/>
          <w:szCs w:val="16"/>
        </w:rPr>
        <w:tab/>
        <w:t>1100</w:t>
      </w:r>
      <w:r w:rsidRPr="00070ADE">
        <w:rPr>
          <w:rFonts w:ascii="Times New Roman" w:hAnsi="Times New Roman"/>
          <w:color w:val="000000" w:themeColor="text1"/>
          <w:sz w:val="16"/>
          <w:szCs w:val="16"/>
        </w:rPr>
        <w:tab/>
        <w:t>1100</w:t>
      </w:r>
    </w:p>
    <w:p w14:paraId="251A455D"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ab/>
        <w:t>57 мм противотанков. пушки ЗИС-2</w:t>
      </w:r>
      <w:r w:rsidRPr="00070ADE">
        <w:rPr>
          <w:rFonts w:ascii="Times New Roman" w:hAnsi="Times New Roman"/>
          <w:color w:val="000000" w:themeColor="text1"/>
          <w:sz w:val="16"/>
          <w:szCs w:val="16"/>
        </w:rPr>
        <w:tab/>
        <w:t>200</w:t>
      </w:r>
      <w:r w:rsidRPr="00070ADE">
        <w:rPr>
          <w:rFonts w:ascii="Times New Roman" w:hAnsi="Times New Roman"/>
          <w:color w:val="000000" w:themeColor="text1"/>
          <w:sz w:val="16"/>
          <w:szCs w:val="16"/>
        </w:rPr>
        <w:tab/>
        <w:t>200</w:t>
      </w:r>
      <w:r w:rsidRPr="00070ADE">
        <w:rPr>
          <w:rFonts w:ascii="Times New Roman" w:hAnsi="Times New Roman"/>
          <w:color w:val="000000" w:themeColor="text1"/>
          <w:sz w:val="16"/>
          <w:szCs w:val="16"/>
        </w:rPr>
        <w:tab/>
        <w:t>200</w:t>
      </w:r>
      <w:r w:rsidRPr="00070ADE">
        <w:rPr>
          <w:rFonts w:ascii="Times New Roman" w:hAnsi="Times New Roman"/>
          <w:color w:val="000000" w:themeColor="text1"/>
          <w:sz w:val="16"/>
          <w:szCs w:val="16"/>
        </w:rPr>
        <w:tab/>
        <w:t>200</w:t>
      </w:r>
      <w:r w:rsidRPr="00070ADE">
        <w:rPr>
          <w:rFonts w:ascii="Times New Roman" w:hAnsi="Times New Roman"/>
          <w:color w:val="000000" w:themeColor="text1"/>
          <w:sz w:val="16"/>
          <w:szCs w:val="16"/>
        </w:rPr>
        <w:tab/>
        <w:t>200</w:t>
      </w:r>
    </w:p>
    <w:p w14:paraId="7BE3CBA3"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ab/>
        <w:t>76 мм танковые пушки Ф-34</w:t>
      </w:r>
      <w:r w:rsidRPr="00070ADE">
        <w:rPr>
          <w:rFonts w:ascii="Times New Roman" w:hAnsi="Times New Roman"/>
          <w:color w:val="000000" w:themeColor="text1"/>
          <w:sz w:val="16"/>
          <w:szCs w:val="16"/>
        </w:rPr>
        <w:tab/>
        <w:t>1150</w:t>
      </w:r>
      <w:r w:rsidRPr="00070ADE">
        <w:rPr>
          <w:rFonts w:ascii="Times New Roman" w:hAnsi="Times New Roman"/>
          <w:color w:val="000000" w:themeColor="text1"/>
          <w:sz w:val="16"/>
          <w:szCs w:val="16"/>
        </w:rPr>
        <w:tab/>
        <w:t>1000</w:t>
      </w:r>
      <w:r w:rsidRPr="00070ADE">
        <w:rPr>
          <w:rFonts w:ascii="Times New Roman" w:hAnsi="Times New Roman"/>
          <w:color w:val="000000" w:themeColor="text1"/>
          <w:sz w:val="16"/>
          <w:szCs w:val="16"/>
        </w:rPr>
        <w:tab/>
        <w:t>700</w:t>
      </w:r>
      <w:r w:rsidRPr="00070ADE">
        <w:rPr>
          <w:rFonts w:ascii="Times New Roman" w:hAnsi="Times New Roman"/>
          <w:color w:val="000000" w:themeColor="text1"/>
          <w:sz w:val="16"/>
          <w:szCs w:val="16"/>
        </w:rPr>
        <w:tab/>
        <w:t>400</w:t>
      </w:r>
      <w:r w:rsidRPr="00070ADE">
        <w:rPr>
          <w:rFonts w:ascii="Times New Roman" w:hAnsi="Times New Roman"/>
          <w:color w:val="000000" w:themeColor="text1"/>
          <w:sz w:val="16"/>
          <w:szCs w:val="16"/>
        </w:rPr>
        <w:tab/>
        <w:t>—</w:t>
      </w:r>
    </w:p>
    <w:p w14:paraId="6D0817A9"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ab/>
        <w:t>85 мм танковые пушки образца</w:t>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p>
    <w:p w14:paraId="6A809A84"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ab/>
        <w:t>1944 г. (С-53)</w:t>
      </w:r>
      <w:r w:rsidRPr="00070ADE">
        <w:rPr>
          <w:rFonts w:ascii="Times New Roman" w:hAnsi="Times New Roman"/>
          <w:color w:val="000000" w:themeColor="text1"/>
          <w:sz w:val="16"/>
          <w:szCs w:val="16"/>
        </w:rPr>
        <w:tab/>
        <w:t>35</w:t>
      </w:r>
      <w:r w:rsidRPr="00070ADE">
        <w:rPr>
          <w:rFonts w:ascii="Times New Roman" w:hAnsi="Times New Roman"/>
          <w:color w:val="000000" w:themeColor="text1"/>
          <w:sz w:val="16"/>
          <w:szCs w:val="16"/>
        </w:rPr>
        <w:tab/>
        <w:t>150</w:t>
      </w:r>
      <w:r w:rsidRPr="00070ADE">
        <w:rPr>
          <w:rFonts w:ascii="Times New Roman" w:hAnsi="Times New Roman"/>
          <w:color w:val="000000" w:themeColor="text1"/>
          <w:sz w:val="16"/>
          <w:szCs w:val="16"/>
        </w:rPr>
        <w:tab/>
        <w:t>300</w:t>
      </w:r>
      <w:r w:rsidRPr="00070ADE">
        <w:rPr>
          <w:rFonts w:ascii="Times New Roman" w:hAnsi="Times New Roman"/>
          <w:color w:val="000000" w:themeColor="text1"/>
          <w:sz w:val="16"/>
          <w:szCs w:val="16"/>
        </w:rPr>
        <w:tab/>
        <w:t>600</w:t>
      </w:r>
      <w:r w:rsidRPr="00070ADE">
        <w:rPr>
          <w:rFonts w:ascii="Times New Roman" w:hAnsi="Times New Roman"/>
          <w:color w:val="000000" w:themeColor="text1"/>
          <w:sz w:val="16"/>
          <w:szCs w:val="16"/>
        </w:rPr>
        <w:tab/>
        <w:t>950</w:t>
      </w:r>
    </w:p>
    <w:p w14:paraId="62B497FD"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r w:rsidRPr="00070ADE">
        <w:rPr>
          <w:rFonts w:ascii="Times New Roman" w:hAnsi="Times New Roman"/>
          <w:color w:val="000000" w:themeColor="text1"/>
          <w:sz w:val="16"/>
          <w:szCs w:val="16"/>
        </w:rPr>
        <w:tab/>
        <w:t>76 мм танков, пушки Ф-34</w:t>
      </w:r>
      <w:r w:rsidRPr="00070ADE">
        <w:rPr>
          <w:rFonts w:ascii="Times New Roman" w:hAnsi="Times New Roman"/>
          <w:color w:val="000000" w:themeColor="text1"/>
          <w:sz w:val="16"/>
          <w:szCs w:val="16"/>
        </w:rPr>
        <w:tab/>
        <w:t>400</w:t>
      </w:r>
      <w:r w:rsidRPr="00070ADE">
        <w:rPr>
          <w:rFonts w:ascii="Times New Roman" w:hAnsi="Times New Roman"/>
          <w:color w:val="000000" w:themeColor="text1"/>
          <w:sz w:val="16"/>
          <w:szCs w:val="16"/>
        </w:rPr>
        <w:tab/>
        <w:t>200</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r>
    </w:p>
    <w:p w14:paraId="45379D2D"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ab/>
        <w:t>85 мм танков, пушки образца</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50</w:t>
      </w:r>
      <w:r w:rsidRPr="00070ADE">
        <w:rPr>
          <w:rFonts w:ascii="Times New Roman" w:hAnsi="Times New Roman"/>
          <w:color w:val="000000" w:themeColor="text1"/>
          <w:sz w:val="16"/>
          <w:szCs w:val="16"/>
        </w:rPr>
        <w:tab/>
        <w:t>150</w:t>
      </w:r>
      <w:r w:rsidRPr="00070ADE">
        <w:rPr>
          <w:rFonts w:ascii="Times New Roman" w:hAnsi="Times New Roman"/>
          <w:color w:val="000000" w:themeColor="text1"/>
          <w:sz w:val="16"/>
          <w:szCs w:val="16"/>
        </w:rPr>
        <w:tab/>
        <w:t>250</w:t>
      </w:r>
      <w:r w:rsidRPr="00070ADE">
        <w:rPr>
          <w:rFonts w:ascii="Times New Roman" w:hAnsi="Times New Roman"/>
          <w:color w:val="000000" w:themeColor="text1"/>
          <w:sz w:val="16"/>
          <w:szCs w:val="16"/>
        </w:rPr>
        <w:tab/>
        <w:t>400</w:t>
      </w:r>
    </w:p>
    <w:p w14:paraId="0195A024"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ab/>
        <w:t>1944 г. (С-53)</w:t>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p>
    <w:p w14:paraId="642D41EB"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r w:rsidRPr="00070ADE">
        <w:rPr>
          <w:rFonts w:ascii="Times New Roman" w:hAnsi="Times New Roman"/>
          <w:color w:val="000000" w:themeColor="text1"/>
          <w:sz w:val="16"/>
          <w:szCs w:val="16"/>
        </w:rPr>
        <w:tab/>
        <w:t>85 мм зенитн. пушки</w:t>
      </w:r>
      <w:r w:rsidRPr="00070ADE">
        <w:rPr>
          <w:rFonts w:ascii="Times New Roman" w:hAnsi="Times New Roman"/>
          <w:color w:val="000000" w:themeColor="text1"/>
          <w:sz w:val="16"/>
          <w:szCs w:val="16"/>
        </w:rPr>
        <w:tab/>
        <w:t>200</w:t>
      </w:r>
      <w:r w:rsidRPr="00070ADE">
        <w:rPr>
          <w:rFonts w:ascii="Times New Roman" w:hAnsi="Times New Roman"/>
          <w:color w:val="000000" w:themeColor="text1"/>
          <w:sz w:val="16"/>
          <w:szCs w:val="16"/>
        </w:rPr>
        <w:tab/>
        <w:t>200</w:t>
      </w:r>
      <w:r w:rsidRPr="00070ADE">
        <w:rPr>
          <w:rFonts w:ascii="Times New Roman" w:hAnsi="Times New Roman"/>
          <w:color w:val="000000" w:themeColor="text1"/>
          <w:sz w:val="16"/>
          <w:szCs w:val="16"/>
        </w:rPr>
        <w:tab/>
        <w:t>200</w:t>
      </w:r>
      <w:r w:rsidRPr="00070ADE">
        <w:rPr>
          <w:rFonts w:ascii="Times New Roman" w:hAnsi="Times New Roman"/>
          <w:color w:val="000000" w:themeColor="text1"/>
          <w:sz w:val="16"/>
          <w:szCs w:val="16"/>
        </w:rPr>
        <w:tab/>
        <w:t>200</w:t>
      </w:r>
      <w:r w:rsidRPr="00070ADE">
        <w:rPr>
          <w:rFonts w:ascii="Times New Roman" w:hAnsi="Times New Roman"/>
          <w:color w:val="000000" w:themeColor="text1"/>
          <w:sz w:val="16"/>
          <w:szCs w:val="16"/>
        </w:rPr>
        <w:tab/>
        <w:t>200</w:t>
      </w:r>
    </w:p>
    <w:p w14:paraId="3746C118"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ab/>
        <w:t>85 мм танков, пушки «Д—5»</w:t>
      </w:r>
      <w:r w:rsidRPr="00070ADE">
        <w:rPr>
          <w:rFonts w:ascii="Times New Roman" w:hAnsi="Times New Roman"/>
          <w:color w:val="000000" w:themeColor="text1"/>
          <w:sz w:val="16"/>
          <w:szCs w:val="16"/>
        </w:rPr>
        <w:tab/>
        <w:t>35</w:t>
      </w:r>
      <w:r w:rsidRPr="00070ADE">
        <w:rPr>
          <w:rFonts w:ascii="Times New Roman" w:hAnsi="Times New Roman"/>
          <w:color w:val="000000" w:themeColor="text1"/>
          <w:sz w:val="16"/>
          <w:szCs w:val="16"/>
        </w:rPr>
        <w:tab/>
        <w:t>50</w:t>
      </w:r>
      <w:r w:rsidRPr="00070ADE">
        <w:rPr>
          <w:rFonts w:ascii="Times New Roman" w:hAnsi="Times New Roman"/>
          <w:color w:val="000000" w:themeColor="text1"/>
          <w:sz w:val="16"/>
          <w:szCs w:val="16"/>
        </w:rPr>
        <w:tab/>
        <w:t>100</w:t>
      </w:r>
      <w:r w:rsidRPr="00070ADE">
        <w:rPr>
          <w:rFonts w:ascii="Times New Roman" w:hAnsi="Times New Roman"/>
          <w:color w:val="000000" w:themeColor="text1"/>
          <w:sz w:val="16"/>
          <w:szCs w:val="16"/>
        </w:rPr>
        <w:tab/>
        <w:t>150</w:t>
      </w:r>
      <w:r w:rsidRPr="00070ADE">
        <w:rPr>
          <w:rFonts w:ascii="Times New Roman" w:hAnsi="Times New Roman"/>
          <w:color w:val="000000" w:themeColor="text1"/>
          <w:sz w:val="16"/>
          <w:szCs w:val="16"/>
        </w:rPr>
        <w:tab/>
        <w:t>300</w:t>
      </w:r>
    </w:p>
    <w:p w14:paraId="306A8A2A"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r w:rsidRPr="00070ADE">
        <w:rPr>
          <w:rFonts w:ascii="Times New Roman" w:hAnsi="Times New Roman"/>
          <w:color w:val="000000" w:themeColor="text1"/>
          <w:sz w:val="16"/>
          <w:szCs w:val="16"/>
        </w:rPr>
        <w:tab/>
        <w:t>122 мм гаубицы М—30</w:t>
      </w:r>
      <w:r w:rsidRPr="00070ADE">
        <w:rPr>
          <w:rFonts w:ascii="Times New Roman" w:hAnsi="Times New Roman"/>
          <w:color w:val="000000" w:themeColor="text1"/>
          <w:sz w:val="16"/>
          <w:szCs w:val="16"/>
        </w:rPr>
        <w:tab/>
        <w:t>300</w:t>
      </w:r>
      <w:r w:rsidRPr="00070ADE">
        <w:rPr>
          <w:rFonts w:ascii="Times New Roman" w:hAnsi="Times New Roman"/>
          <w:color w:val="000000" w:themeColor="text1"/>
          <w:sz w:val="16"/>
          <w:szCs w:val="16"/>
        </w:rPr>
        <w:tab/>
        <w:t>300</w:t>
      </w:r>
      <w:r w:rsidRPr="00070ADE">
        <w:rPr>
          <w:rFonts w:ascii="Times New Roman" w:hAnsi="Times New Roman"/>
          <w:color w:val="000000" w:themeColor="text1"/>
          <w:sz w:val="16"/>
          <w:szCs w:val="16"/>
        </w:rPr>
        <w:tab/>
        <w:t>300</w:t>
      </w:r>
      <w:r w:rsidRPr="00070ADE">
        <w:rPr>
          <w:rFonts w:ascii="Times New Roman" w:hAnsi="Times New Roman"/>
          <w:color w:val="000000" w:themeColor="text1"/>
          <w:sz w:val="16"/>
          <w:szCs w:val="16"/>
        </w:rPr>
        <w:tab/>
        <w:t>300</w:t>
      </w:r>
      <w:r w:rsidRPr="00070ADE">
        <w:rPr>
          <w:rFonts w:ascii="Times New Roman" w:hAnsi="Times New Roman"/>
          <w:color w:val="000000" w:themeColor="text1"/>
          <w:sz w:val="16"/>
          <w:szCs w:val="16"/>
        </w:rPr>
        <w:tab/>
        <w:t>300</w:t>
      </w:r>
    </w:p>
    <w:p w14:paraId="02433BF0"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ab/>
        <w:t>85 мм пушки «Д»5.</w:t>
      </w:r>
      <w:r w:rsidRPr="00070ADE">
        <w:rPr>
          <w:rFonts w:ascii="Times New Roman" w:hAnsi="Times New Roman"/>
          <w:color w:val="000000" w:themeColor="text1"/>
          <w:sz w:val="16"/>
          <w:szCs w:val="16"/>
        </w:rPr>
        <w:tab/>
        <w:t>150</w:t>
      </w:r>
      <w:r w:rsidRPr="00070ADE">
        <w:rPr>
          <w:rFonts w:ascii="Times New Roman" w:hAnsi="Times New Roman"/>
          <w:color w:val="000000" w:themeColor="text1"/>
          <w:sz w:val="16"/>
          <w:szCs w:val="16"/>
        </w:rPr>
        <w:tab/>
        <w:t>150</w:t>
      </w:r>
      <w:r w:rsidRPr="00070ADE">
        <w:rPr>
          <w:rFonts w:ascii="Times New Roman" w:hAnsi="Times New Roman"/>
          <w:color w:val="000000" w:themeColor="text1"/>
          <w:sz w:val="16"/>
          <w:szCs w:val="16"/>
        </w:rPr>
        <w:tab/>
        <w:t>100</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r>
    </w:p>
    <w:p w14:paraId="685F0F05"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ab/>
        <w:t>122 мм танковые пушки Д-25</w:t>
      </w:r>
      <w:r w:rsidRPr="00070ADE">
        <w:rPr>
          <w:rFonts w:ascii="Times New Roman" w:hAnsi="Times New Roman"/>
          <w:color w:val="000000" w:themeColor="text1"/>
          <w:sz w:val="16"/>
          <w:szCs w:val="16"/>
        </w:rPr>
        <w:tab/>
        <w:t>40</w:t>
      </w:r>
      <w:r w:rsidRPr="00070ADE">
        <w:rPr>
          <w:rFonts w:ascii="Times New Roman" w:hAnsi="Times New Roman"/>
          <w:color w:val="000000" w:themeColor="text1"/>
          <w:sz w:val="16"/>
          <w:szCs w:val="16"/>
        </w:rPr>
        <w:tab/>
        <w:t>70</w:t>
      </w:r>
      <w:r w:rsidRPr="00070ADE">
        <w:rPr>
          <w:rFonts w:ascii="Times New Roman" w:hAnsi="Times New Roman"/>
          <w:color w:val="000000" w:themeColor="text1"/>
          <w:sz w:val="16"/>
          <w:szCs w:val="16"/>
        </w:rPr>
        <w:tab/>
        <w:t>125</w:t>
      </w:r>
      <w:r w:rsidRPr="00070ADE">
        <w:rPr>
          <w:rFonts w:ascii="Times New Roman" w:hAnsi="Times New Roman"/>
          <w:color w:val="000000" w:themeColor="text1"/>
          <w:sz w:val="16"/>
          <w:szCs w:val="16"/>
        </w:rPr>
        <w:tab/>
        <w:t>160</w:t>
      </w:r>
      <w:r w:rsidRPr="00070ADE">
        <w:rPr>
          <w:rFonts w:ascii="Times New Roman" w:hAnsi="Times New Roman"/>
          <w:color w:val="000000" w:themeColor="text1"/>
          <w:sz w:val="16"/>
          <w:szCs w:val="16"/>
        </w:rPr>
        <w:tab/>
        <w:t>160</w:t>
      </w:r>
    </w:p>
    <w:p w14:paraId="21D032CC"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ab/>
        <w:t>152 мм гаубицы Д-1</w:t>
      </w:r>
      <w:r w:rsidRPr="00070ADE">
        <w:rPr>
          <w:rFonts w:ascii="Times New Roman" w:hAnsi="Times New Roman"/>
          <w:color w:val="000000" w:themeColor="text1"/>
          <w:sz w:val="16"/>
          <w:szCs w:val="16"/>
        </w:rPr>
        <w:tab/>
        <w:t>15</w:t>
      </w:r>
      <w:r w:rsidRPr="00070ADE">
        <w:rPr>
          <w:rFonts w:ascii="Times New Roman" w:hAnsi="Times New Roman"/>
          <w:color w:val="000000" w:themeColor="text1"/>
          <w:sz w:val="16"/>
          <w:szCs w:val="16"/>
        </w:rPr>
        <w:tab/>
        <w:t>15</w:t>
      </w:r>
      <w:r w:rsidRPr="00070ADE">
        <w:rPr>
          <w:rFonts w:ascii="Times New Roman" w:hAnsi="Times New Roman"/>
          <w:color w:val="000000" w:themeColor="text1"/>
          <w:sz w:val="16"/>
          <w:szCs w:val="16"/>
        </w:rPr>
        <w:tab/>
        <w:t>15</w:t>
      </w:r>
      <w:r w:rsidRPr="00070ADE">
        <w:rPr>
          <w:rFonts w:ascii="Times New Roman" w:hAnsi="Times New Roman"/>
          <w:color w:val="000000" w:themeColor="text1"/>
          <w:sz w:val="16"/>
          <w:szCs w:val="16"/>
        </w:rPr>
        <w:tab/>
        <w:t>15</w:t>
      </w:r>
      <w:r w:rsidRPr="00070ADE">
        <w:rPr>
          <w:rFonts w:ascii="Times New Roman" w:hAnsi="Times New Roman"/>
          <w:color w:val="000000" w:themeColor="text1"/>
          <w:sz w:val="16"/>
          <w:szCs w:val="16"/>
        </w:rPr>
        <w:tab/>
        <w:t>15</w:t>
      </w:r>
    </w:p>
    <w:p w14:paraId="4B398FE1"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ГОСУДАРСТВЕННОГО КОМИТЕТА ОБОРОНЫ И. Сталин</w:t>
      </w:r>
    </w:p>
    <w:p w14:paraId="7A51876C"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Подписи о согласии: Берия, Устинов, Малышев, Яковлев, Федоренко</w:t>
      </w:r>
    </w:p>
    <w:p w14:paraId="24C52E86" w14:textId="77777777" w:rsidR="00E946AF" w:rsidRPr="00070ADE" w:rsidRDefault="00E946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Выписки: Молотову, Берия, Малышеву, Устинову, Яковлеву, Федоренко, Жукову (23996).</w:t>
      </w:r>
    </w:p>
    <w:p w14:paraId="3B96A0EC" w14:textId="77777777" w:rsidR="00E946AF" w:rsidRPr="00070ADE" w:rsidRDefault="00E946AF" w:rsidP="00B56F90">
      <w:pPr>
        <w:spacing w:after="0" w:line="240" w:lineRule="auto"/>
        <w:jc w:val="both"/>
        <w:rPr>
          <w:rFonts w:ascii="Times New Roman" w:hAnsi="Times New Roman"/>
          <w:color w:val="000000" w:themeColor="text1"/>
          <w:sz w:val="16"/>
          <w:szCs w:val="16"/>
        </w:rPr>
      </w:pPr>
    </w:p>
    <w:p w14:paraId="143622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пе</w:t>
      </w:r>
      <w:r w:rsidRPr="00070ADE">
        <w:rPr>
          <w:rFonts w:ascii="Times New Roman" w:hAnsi="Times New Roman"/>
          <w:color w:val="000000" w:themeColor="text1"/>
          <w:sz w:val="16"/>
          <w:szCs w:val="16"/>
        </w:rPr>
        <w:softHyphen/>
        <w:t>риод с 1 января 1944 г. по 1 января 1945 г. были введены: двигатель В-2 со всережимным регулятором числа оборотов; воздухоочиститель типа "Мультициклон"; установка двух вентиляторов в банше; крепление пя</w:t>
      </w:r>
      <w:r w:rsidRPr="00070ADE">
        <w:rPr>
          <w:rFonts w:ascii="Times New Roman" w:hAnsi="Times New Roman"/>
          <w:color w:val="000000" w:themeColor="text1"/>
          <w:sz w:val="16"/>
          <w:szCs w:val="16"/>
        </w:rPr>
        <w:softHyphen/>
        <w:t>ти запасных траков на переднем лобовом листе корпуса; прицел ТШ-15; электрорспуск пушки и пулемета; щитки отверстий прицелов ТШ-15 и пулемета ДТ и радиостанция 9РС. Кроме того, была улучшена конст</w:t>
      </w:r>
      <w:r w:rsidRPr="00070ADE">
        <w:rPr>
          <w:rFonts w:ascii="Times New Roman" w:hAnsi="Times New Roman"/>
          <w:color w:val="000000" w:themeColor="text1"/>
          <w:sz w:val="16"/>
          <w:szCs w:val="16"/>
        </w:rPr>
        <w:softHyphen/>
        <w:t>рукция механизма поворота башни и введена установка дымовых ша</w:t>
      </w:r>
      <w:r w:rsidRPr="00070ADE">
        <w:rPr>
          <w:rFonts w:ascii="Times New Roman" w:hAnsi="Times New Roman"/>
          <w:color w:val="000000" w:themeColor="text1"/>
          <w:sz w:val="16"/>
          <w:szCs w:val="16"/>
        </w:rPr>
        <w:softHyphen/>
        <w:t>шек (МДШ) на корме машины. В январе 1945 г. двухстворчатая крыш</w:t>
      </w:r>
      <w:r w:rsidRPr="00070ADE">
        <w:rPr>
          <w:rFonts w:ascii="Times New Roman" w:hAnsi="Times New Roman"/>
          <w:color w:val="000000" w:themeColor="text1"/>
          <w:sz w:val="16"/>
          <w:szCs w:val="16"/>
        </w:rPr>
        <w:softHyphen/>
        <w:t>ка люка командирской башенки была заменена на одностворчатую (10703).</w:t>
      </w:r>
    </w:p>
    <w:p w14:paraId="7BCC65B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66D201" w14:textId="5B737401" w:rsidR="009812BB" w:rsidRPr="00070ADE" w:rsidRDefault="009812BB"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К 1 января 1944 года, согласно отчёту помощника командующего БТ и МВ Дальневосточного Фронта инженер-полковника Рогачёва,</w:t>
      </w:r>
      <w:r w:rsidR="00C63BA9">
        <w:rPr>
          <w:rFonts w:ascii="Times New Roman" w:eastAsia="Times New Roman" w:hAnsi="Times New Roman"/>
          <w:color w:val="000000" w:themeColor="text1"/>
          <w:sz w:val="16"/>
          <w:szCs w:val="16"/>
          <w:lang w:eastAsia="ru-RU"/>
        </w:rPr>
        <w:t xml:space="preserve"> </w:t>
      </w:r>
      <w:r w:rsidRPr="00070ADE">
        <w:rPr>
          <w:rFonts w:ascii="Times New Roman" w:eastAsia="Times New Roman" w:hAnsi="Times New Roman"/>
          <w:color w:val="000000" w:themeColor="text1"/>
          <w:sz w:val="16"/>
          <w:szCs w:val="16"/>
          <w:lang w:eastAsia="ru-RU"/>
        </w:rPr>
        <w:t>было перевооружено 97 Т-37 и Т-38. За январь 1944 года удалось перевооружить ещё 2 Т-37 и 11 Т-38, за февраль было отгружено 10 Т-38 с новым вооружением. На этом отчёты БТРЗ №105 снова пропадают из переписки. Опираясь на эти цифры, можно говорить как минимум о 120 танках, хотя итоговое их количество может быть гораздо большим.</w:t>
      </w:r>
    </w:p>
    <w:p w14:paraId="629356F0" w14:textId="77777777" w:rsidR="009812BB" w:rsidRPr="00070ADE" w:rsidRDefault="009812BB"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 xml:space="preserve">Опасения насчёт того, что при перевооружении Т-37 и Т-38 на ТНШ придётся переделывать систему питания пушки боеприпасами, оказались напрасными. Судя по танку, который сохранился в экспозиции ЦМВС, проблем с этим не возникло. Не было и особых проблем и с установкой вооружения, поскольку по ширине лобовой детали башни Т-38 и Т-37 практически совпадали с башней </w:t>
      </w:r>
      <w:hyperlink r:id="rId10" w:history="1">
        <w:r w:rsidRPr="00070ADE">
          <w:rPr>
            <w:rFonts w:ascii="Times New Roman" w:eastAsia="Times New Roman" w:hAnsi="Times New Roman"/>
            <w:color w:val="000000" w:themeColor="text1"/>
            <w:sz w:val="16"/>
            <w:szCs w:val="16"/>
            <w:lang w:eastAsia="ru-RU"/>
          </w:rPr>
          <w:t>танка Т-60</w:t>
        </w:r>
      </w:hyperlink>
      <w:r w:rsidRPr="00070ADE">
        <w:rPr>
          <w:rFonts w:ascii="Times New Roman" w:eastAsia="Times New Roman" w:hAnsi="Times New Roman"/>
          <w:color w:val="000000" w:themeColor="text1"/>
          <w:sz w:val="16"/>
          <w:szCs w:val="16"/>
          <w:lang w:eastAsia="ru-RU"/>
        </w:rPr>
        <w:t>. Орудийная маска во многом напоминала ту, что ставилась на Т-60. Это же было справедливо и в отношении расположения самой пушки ТНШ, пулемёта ДТ, а также прицела ТМФП-1. Что же касается бронировки маски, то она напоминала ту, которая использовалась на Т-30.</w:t>
      </w:r>
    </w:p>
    <w:p w14:paraId="497B28A7" w14:textId="77777777" w:rsidR="009812BB" w:rsidRPr="00070ADE" w:rsidRDefault="009812BB"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Меньшие, чем у Т-60, размеры башни частично компенсировались тем, что на плавающих танках отсутствовали громоздкие механизмы наведения. Наведение по вертикали осуществлялось при помощи плечевого упора. Удалось обойтись и без механизма горизонтальной наводки: как и на обычном Т-38, башня перевооружённого танка вращалась командиром (он же наводчик и заряжающий) вручную безо всяких маховиков. Боезапас к пулемёту ДТ был сокращён до 1260 патронов (20 дисков). Для ТНШ боезапас оказался равен 4 коробкам (240 снарядов), размещались они в ящике позади башни (17660).</w:t>
      </w:r>
    </w:p>
    <w:p w14:paraId="14D364FD" w14:textId="77777777" w:rsidR="009812BB" w:rsidRPr="00070ADE" w:rsidRDefault="009812BB" w:rsidP="00B56F90">
      <w:pPr>
        <w:spacing w:after="0" w:line="240" w:lineRule="auto"/>
        <w:jc w:val="both"/>
        <w:rPr>
          <w:rFonts w:ascii="Times New Roman" w:eastAsia="Times New Roman" w:hAnsi="Times New Roman"/>
          <w:color w:val="000000" w:themeColor="text1"/>
          <w:sz w:val="16"/>
          <w:szCs w:val="16"/>
          <w:lang w:eastAsia="ru-RU"/>
        </w:rPr>
      </w:pPr>
    </w:p>
    <w:p w14:paraId="0CD5FAF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ПОСТУПЛЕНИЕ ИМПОРТНЫХ ТАНКОВ ЗА ПЕРИОД С 1 ИЮЛЯ 1941 г. ПО 1 ЯНВАРЯ 1944 г.</w:t>
      </w:r>
    </w:p>
    <w:tbl>
      <w:tblPr>
        <w:tblW w:w="0" w:type="auto"/>
        <w:tblInd w:w="40" w:type="dxa"/>
        <w:tblLayout w:type="fixed"/>
        <w:tblCellMar>
          <w:left w:w="40" w:type="dxa"/>
          <w:right w:w="40" w:type="dxa"/>
        </w:tblCellMar>
        <w:tblLook w:val="0000" w:firstRow="0" w:lastRow="0" w:firstColumn="0" w:lastColumn="0" w:noHBand="0" w:noVBand="0"/>
      </w:tblPr>
      <w:tblGrid>
        <w:gridCol w:w="1718"/>
        <w:gridCol w:w="1709"/>
        <w:gridCol w:w="1709"/>
        <w:gridCol w:w="1709"/>
        <w:gridCol w:w="1738"/>
      </w:tblGrid>
      <w:tr w:rsidR="00CB5308" w:rsidRPr="00070ADE" w14:paraId="0EEE486D" w14:textId="77777777">
        <w:trPr>
          <w:trHeight w:val="278"/>
        </w:trPr>
        <w:tc>
          <w:tcPr>
            <w:tcW w:w="1718" w:type="dxa"/>
            <w:tcBorders>
              <w:top w:val="single" w:sz="6" w:space="0" w:color="auto"/>
              <w:left w:val="single" w:sz="6" w:space="0" w:color="auto"/>
              <w:bottom w:val="single" w:sz="6" w:space="0" w:color="auto"/>
              <w:right w:val="single" w:sz="6" w:space="0" w:color="auto"/>
            </w:tcBorders>
          </w:tcPr>
          <w:p w14:paraId="080A24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w:t>
            </w:r>
          </w:p>
          <w:p w14:paraId="08171C9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79B164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1.7.41 г. по 1.1.42 г.</w:t>
            </w:r>
          </w:p>
          <w:p w14:paraId="2568E4C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41C95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1942 г.</w:t>
            </w:r>
          </w:p>
          <w:p w14:paraId="17A9FE8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6F9767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 г.</w:t>
            </w:r>
          </w:p>
          <w:p w14:paraId="1E6D52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2F00E3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2E5F09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611FFC3" w14:textId="77777777">
        <w:trPr>
          <w:trHeight w:val="278"/>
        </w:trPr>
        <w:tc>
          <w:tcPr>
            <w:tcW w:w="1718" w:type="dxa"/>
            <w:tcBorders>
              <w:top w:val="single" w:sz="6" w:space="0" w:color="auto"/>
              <w:left w:val="single" w:sz="6" w:space="0" w:color="auto"/>
              <w:bottom w:val="single" w:sz="6" w:space="0" w:color="auto"/>
              <w:right w:val="single" w:sz="6" w:space="0" w:color="auto"/>
            </w:tcBorders>
          </w:tcPr>
          <w:p w14:paraId="665D46B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Тяжелых танков</w:t>
            </w:r>
          </w:p>
          <w:p w14:paraId="236F32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7BE5A63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42593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209B25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84</w:t>
            </w:r>
          </w:p>
          <w:p w14:paraId="7B0ABF6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665E99A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169</w:t>
            </w:r>
          </w:p>
          <w:p w14:paraId="563898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42CCC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253</w:t>
            </w:r>
          </w:p>
          <w:p w14:paraId="55A2152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1BB9F02" w14:textId="77777777">
        <w:trPr>
          <w:trHeight w:val="269"/>
        </w:trPr>
        <w:tc>
          <w:tcPr>
            <w:tcW w:w="1718" w:type="dxa"/>
            <w:tcBorders>
              <w:top w:val="single" w:sz="6" w:space="0" w:color="auto"/>
              <w:left w:val="single" w:sz="6" w:space="0" w:color="auto"/>
              <w:bottom w:val="single" w:sz="6" w:space="0" w:color="auto"/>
              <w:right w:val="single" w:sz="6" w:space="0" w:color="auto"/>
            </w:tcBorders>
          </w:tcPr>
          <w:p w14:paraId="3B8DB51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Средних танков</w:t>
            </w:r>
          </w:p>
          <w:p w14:paraId="4668A6E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37D859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145</w:t>
            </w:r>
          </w:p>
          <w:p w14:paraId="01E9366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6AD7E8C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1474</w:t>
            </w:r>
          </w:p>
          <w:p w14:paraId="780AD7D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3073C1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749</w:t>
            </w:r>
          </w:p>
          <w:p w14:paraId="5798B78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8C5EEA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2368</w:t>
            </w:r>
          </w:p>
          <w:p w14:paraId="7C61DF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5962538" w14:textId="77777777">
        <w:trPr>
          <w:trHeight w:val="278"/>
        </w:trPr>
        <w:tc>
          <w:tcPr>
            <w:tcW w:w="1718" w:type="dxa"/>
            <w:tcBorders>
              <w:top w:val="single" w:sz="6" w:space="0" w:color="auto"/>
              <w:left w:val="single" w:sz="6" w:space="0" w:color="auto"/>
              <w:bottom w:val="single" w:sz="6" w:space="0" w:color="auto"/>
              <w:right w:val="single" w:sz="6" w:space="0" w:color="auto"/>
            </w:tcBorders>
          </w:tcPr>
          <w:p w14:paraId="25CFEB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Легких танков</w:t>
            </w:r>
          </w:p>
          <w:p w14:paraId="3490ADB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2D6591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216</w:t>
            </w:r>
          </w:p>
          <w:p w14:paraId="2C91D91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7242E36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1956</w:t>
            </w:r>
          </w:p>
          <w:p w14:paraId="0B1AFDA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2580ABE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2036</w:t>
            </w:r>
          </w:p>
          <w:p w14:paraId="544EBEE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BFDF6B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4208</w:t>
            </w:r>
          </w:p>
          <w:p w14:paraId="08EF76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1A57D6E" w14:textId="77777777">
        <w:trPr>
          <w:trHeight w:val="298"/>
        </w:trPr>
        <w:tc>
          <w:tcPr>
            <w:tcW w:w="1718" w:type="dxa"/>
            <w:tcBorders>
              <w:top w:val="single" w:sz="6" w:space="0" w:color="auto"/>
              <w:left w:val="single" w:sz="6" w:space="0" w:color="auto"/>
              <w:bottom w:val="single" w:sz="6" w:space="0" w:color="auto"/>
              <w:right w:val="single" w:sz="6" w:space="0" w:color="auto"/>
            </w:tcBorders>
          </w:tcPr>
          <w:p w14:paraId="4C1EB30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p w14:paraId="50C609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859E4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361</w:t>
            </w:r>
          </w:p>
          <w:p w14:paraId="0B9459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54824E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3514</w:t>
            </w:r>
          </w:p>
          <w:p w14:paraId="4BBBFB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05B59B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2954</w:t>
            </w:r>
          </w:p>
          <w:p w14:paraId="232380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23FF60A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6829</w:t>
            </w:r>
          </w:p>
          <w:p w14:paraId="172C82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4C9A5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5-го отдела танкового управления ГБТУ КА инженер-майор Билеткин</w:t>
      </w:r>
    </w:p>
    <w:p w14:paraId="26D83C1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656. Л. 2. Подлинник (11403).</w:t>
      </w:r>
    </w:p>
    <w:p w14:paraId="5087120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CA98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ПОСТУПЛЕНИЕ ИМПОРТНОГО ВООРУЖЕНИЯ ЗА ПЕРИОД С 1 ИЮЛЯ 1941 г. ПО 1 ЯНВАРЯ 1944 г.</w:t>
      </w:r>
    </w:p>
    <w:tbl>
      <w:tblPr>
        <w:tblW w:w="0" w:type="auto"/>
        <w:tblInd w:w="40" w:type="dxa"/>
        <w:tblLayout w:type="fixed"/>
        <w:tblCellMar>
          <w:left w:w="40" w:type="dxa"/>
          <w:right w:w="40" w:type="dxa"/>
        </w:tblCellMar>
        <w:tblLook w:val="0000" w:firstRow="0" w:lastRow="0" w:firstColumn="0" w:lastColumn="0" w:noHBand="0" w:noVBand="0"/>
      </w:tblPr>
      <w:tblGrid>
        <w:gridCol w:w="2928"/>
        <w:gridCol w:w="1440"/>
        <w:gridCol w:w="1709"/>
        <w:gridCol w:w="1546"/>
        <w:gridCol w:w="1536"/>
      </w:tblGrid>
      <w:tr w:rsidR="00CB5308" w:rsidRPr="00070ADE" w14:paraId="7807CDB3" w14:textId="77777777">
        <w:trPr>
          <w:trHeight w:val="278"/>
        </w:trPr>
        <w:tc>
          <w:tcPr>
            <w:tcW w:w="2928" w:type="dxa"/>
            <w:tcBorders>
              <w:top w:val="single" w:sz="6" w:space="0" w:color="auto"/>
              <w:left w:val="single" w:sz="6" w:space="0" w:color="auto"/>
              <w:bottom w:val="nil"/>
              <w:right w:val="single" w:sz="6" w:space="0" w:color="auto"/>
            </w:tcBorders>
          </w:tcPr>
          <w:p w14:paraId="3F4F85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w:t>
            </w:r>
          </w:p>
          <w:p w14:paraId="68C548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737F05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поступило</w:t>
            </w:r>
          </w:p>
          <w:p w14:paraId="6B0C6D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91" w:type="dxa"/>
            <w:gridSpan w:val="3"/>
            <w:tcBorders>
              <w:top w:val="single" w:sz="6" w:space="0" w:color="auto"/>
              <w:left w:val="single" w:sz="6" w:space="0" w:color="auto"/>
              <w:bottom w:val="single" w:sz="6" w:space="0" w:color="auto"/>
              <w:right w:val="single" w:sz="6" w:space="0" w:color="auto"/>
            </w:tcBorders>
          </w:tcPr>
          <w:p w14:paraId="56CC88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них:</w:t>
            </w:r>
          </w:p>
          <w:p w14:paraId="7F8DA5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A242EDD" w14:textId="77777777">
        <w:trPr>
          <w:trHeight w:val="259"/>
        </w:trPr>
        <w:tc>
          <w:tcPr>
            <w:tcW w:w="2928" w:type="dxa"/>
            <w:tcBorders>
              <w:top w:val="nil"/>
              <w:left w:val="single" w:sz="6" w:space="0" w:color="auto"/>
              <w:bottom w:val="single" w:sz="6" w:space="0" w:color="auto"/>
              <w:right w:val="single" w:sz="6" w:space="0" w:color="auto"/>
            </w:tcBorders>
          </w:tcPr>
          <w:p w14:paraId="5E6B382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255E7D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44ABFB5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4D7444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216421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1.7.41 г. по 1.1.42 г.</w:t>
            </w:r>
          </w:p>
          <w:p w14:paraId="1959A81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1F91838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1942 г.</w:t>
            </w:r>
          </w:p>
          <w:p w14:paraId="2C6F5C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472998A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1943 г.</w:t>
            </w:r>
          </w:p>
          <w:p w14:paraId="21D16B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30A3017" w14:textId="77777777">
        <w:trPr>
          <w:trHeight w:val="269"/>
        </w:trPr>
        <w:tc>
          <w:tcPr>
            <w:tcW w:w="2928" w:type="dxa"/>
            <w:tcBorders>
              <w:top w:val="single" w:sz="6" w:space="0" w:color="auto"/>
              <w:left w:val="single" w:sz="6" w:space="0" w:color="auto"/>
              <w:bottom w:val="single" w:sz="6" w:space="0" w:color="auto"/>
              <w:right w:val="single" w:sz="6" w:space="0" w:color="auto"/>
            </w:tcBorders>
          </w:tcPr>
          <w:p w14:paraId="5926C0D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Самоходная установка «СУ-57»</w:t>
            </w:r>
          </w:p>
          <w:p w14:paraId="3EC1730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E672C8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241</w:t>
            </w:r>
          </w:p>
          <w:p w14:paraId="77245E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955F9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248D6C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F63B2A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EC8C8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27CA14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241</w:t>
            </w:r>
          </w:p>
          <w:p w14:paraId="0E7B16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F0778D6"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58E3B8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Бронетранспортер «Брен»</w:t>
            </w:r>
          </w:p>
          <w:p w14:paraId="333361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553B33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1636</w:t>
            </w:r>
          </w:p>
          <w:p w14:paraId="5B268F4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71525E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330</w:t>
            </w:r>
          </w:p>
          <w:p w14:paraId="0001E1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6338820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903</w:t>
            </w:r>
          </w:p>
          <w:p w14:paraId="09E0F9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16BF130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403</w:t>
            </w:r>
          </w:p>
          <w:p w14:paraId="3B49F34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F33F42C"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7CB3757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Бронетранспортер « МЗА1 »</w:t>
            </w:r>
          </w:p>
          <w:p w14:paraId="0BAF551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0611A9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869</w:t>
            </w:r>
          </w:p>
          <w:p w14:paraId="08450F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C6258C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3F3AF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6B1837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261</w:t>
            </w:r>
          </w:p>
          <w:p w14:paraId="130E7B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2DB3FB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608</w:t>
            </w:r>
          </w:p>
          <w:p w14:paraId="6CC7FCA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A032A47"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172B18A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Бронетранспортер «М-2»</w:t>
            </w:r>
          </w:p>
          <w:p w14:paraId="6B5E4C6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BA62E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113</w:t>
            </w:r>
          </w:p>
          <w:p w14:paraId="514E68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80BDC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A2475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3C36F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w:t>
            </w:r>
          </w:p>
          <w:p w14:paraId="6BA997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418E5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2A235F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D42F845" w14:textId="77777777">
        <w:trPr>
          <w:trHeight w:val="269"/>
        </w:trPr>
        <w:tc>
          <w:tcPr>
            <w:tcW w:w="2928" w:type="dxa"/>
            <w:tcBorders>
              <w:top w:val="single" w:sz="6" w:space="0" w:color="auto"/>
              <w:left w:val="single" w:sz="6" w:space="0" w:color="auto"/>
              <w:bottom w:val="single" w:sz="6" w:space="0" w:color="auto"/>
              <w:right w:val="single" w:sz="6" w:space="0" w:color="auto"/>
            </w:tcBorders>
          </w:tcPr>
          <w:p w14:paraId="5679BF7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Ремонтные мастерские</w:t>
            </w:r>
          </w:p>
          <w:p w14:paraId="17B3BB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537C94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311</w:t>
            </w:r>
          </w:p>
          <w:p w14:paraId="2831E9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1DD2413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61CD0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A6ADE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0F089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16E52D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311</w:t>
            </w:r>
          </w:p>
          <w:p w14:paraId="71177D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BF810BF"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7D3B493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Трайлеры 40 тонн</w:t>
            </w:r>
          </w:p>
          <w:p w14:paraId="66743D6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465BA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w:t>
            </w:r>
          </w:p>
          <w:p w14:paraId="1DB9E8B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00205D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4AA7F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4BF656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458086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00473C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w:t>
            </w:r>
          </w:p>
          <w:p w14:paraId="47F70E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2FAAD29" w14:textId="77777777">
        <w:trPr>
          <w:trHeight w:val="298"/>
        </w:trPr>
        <w:tc>
          <w:tcPr>
            <w:tcW w:w="2928" w:type="dxa"/>
            <w:tcBorders>
              <w:top w:val="single" w:sz="6" w:space="0" w:color="auto"/>
              <w:left w:val="single" w:sz="6" w:space="0" w:color="auto"/>
              <w:bottom w:val="single" w:sz="6" w:space="0" w:color="auto"/>
              <w:right w:val="single" w:sz="6" w:space="0" w:color="auto"/>
            </w:tcBorders>
          </w:tcPr>
          <w:p w14:paraId="26A75FB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Трайлеры 20 тонн</w:t>
            </w:r>
          </w:p>
          <w:p w14:paraId="7E0F610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2F09D4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w:t>
            </w:r>
          </w:p>
          <w:p w14:paraId="272960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796BDFB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A716A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2C1A60A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AFA08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3532A9E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w:t>
            </w:r>
          </w:p>
          <w:p w14:paraId="73ABDA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5D1C9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5-го отдела танкового управления ГБТУ КА</w:t>
      </w:r>
    </w:p>
    <w:p w14:paraId="5C2BF18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инженер-майор Билеткин</w:t>
      </w:r>
    </w:p>
    <w:p w14:paraId="1CDE244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656. Л. 4. Подлинник (11403).</w:t>
      </w:r>
    </w:p>
    <w:p w14:paraId="1121CBC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8923B12" w14:textId="77777777" w:rsidR="009812BB" w:rsidRPr="00070ADE" w:rsidRDefault="009812BB"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lastRenderedPageBreak/>
        <w:t>На 1 января 1944 года в частях числилось 424 танка Light Tank M3, то есть треть от поставленных танков этого семейства. К 1 июня был потерян 141 танк, а уцелевшие машины продолжали использоваться. В некоторых частях они провоевали до самого конца войны. Несложно представить, какую оценку танк разработки 1941 года получит в 1944-м (17653).</w:t>
      </w:r>
    </w:p>
    <w:p w14:paraId="7CF115D3" w14:textId="77777777" w:rsidR="009812BB" w:rsidRPr="00070ADE" w:rsidRDefault="009812BB" w:rsidP="00B56F90">
      <w:pPr>
        <w:spacing w:after="0" w:line="240" w:lineRule="auto"/>
        <w:jc w:val="both"/>
        <w:rPr>
          <w:rFonts w:ascii="Times New Roman" w:eastAsia="Times New Roman" w:hAnsi="Times New Roman"/>
          <w:color w:val="000000" w:themeColor="text1"/>
          <w:sz w:val="16"/>
          <w:szCs w:val="16"/>
          <w:lang w:eastAsia="ru-RU"/>
        </w:rPr>
      </w:pPr>
    </w:p>
    <w:p w14:paraId="47DF3C42" w14:textId="77777777" w:rsidR="009812BB" w:rsidRPr="00070ADE" w:rsidRDefault="009812BB" w:rsidP="00B56F90">
      <w:pPr>
        <w:pStyle w:val="ae"/>
        <w:shd w:val="clear" w:color="auto" w:fill="FFFFFF"/>
        <w:spacing w:before="0" w:after="0"/>
        <w:jc w:val="both"/>
        <w:rPr>
          <w:color w:val="000000" w:themeColor="text1"/>
          <w:sz w:val="16"/>
          <w:szCs w:val="16"/>
        </w:rPr>
      </w:pPr>
      <w:r w:rsidRPr="00070ADE">
        <w:rPr>
          <w:color w:val="000000" w:themeColor="text1"/>
          <w:sz w:val="16"/>
          <w:szCs w:val="16"/>
        </w:rPr>
        <w:t>На 1 января 1944 года было потеряно 676 из 957 прибывших в СССР танков М3. В строю осталась 281 машина. На первый взгляд, не много, но если просмотреть аналогичную статистику по другим танкам, то выходит, что соотношение безвозвратно потерянных машин к оставшимся в строю у иностранных машин в Красной армии примерно одинаковое. Исключением будут только «Валентайны» и М4А2, но лишь потому, что их поставки к этому времени продолжались. Для тех же танков, поставки которых прекратились весной 1943 года, соотношение выходит очень похожим. При этом про ту же «Матильду» как про гроб на гусеницах мало кто пишет, хотя её боевая эффективность к началу 1943 года была куда ниже.</w:t>
      </w:r>
    </w:p>
    <w:p w14:paraId="5A178C83" w14:textId="77777777" w:rsidR="009812BB" w:rsidRPr="00070ADE" w:rsidRDefault="009812BB" w:rsidP="00B56F90">
      <w:pPr>
        <w:pStyle w:val="ae"/>
        <w:shd w:val="clear" w:color="auto" w:fill="FFFFFF"/>
        <w:spacing w:before="0" w:after="0"/>
        <w:jc w:val="both"/>
        <w:rPr>
          <w:color w:val="000000" w:themeColor="text1"/>
          <w:sz w:val="16"/>
          <w:szCs w:val="16"/>
        </w:rPr>
      </w:pPr>
      <w:r w:rsidRPr="00070ADE">
        <w:rPr>
          <w:color w:val="000000" w:themeColor="text1"/>
          <w:sz w:val="16"/>
          <w:szCs w:val="16"/>
        </w:rPr>
        <w:t xml:space="preserve">Ещё более интересным соотношение иностранных танков выглядит по состоянию на 1 июня 1944 года. «Матильд» в действующей армии оставалось 48 штук, «Черчиллей» — 31 штука, М3л — 191 штука, а М3Ср — 143 штуки (включая 12 танков, поднятых с затонувшего транспорта в 1943 году). При этом, появление «Матильд» на фронте было эпизодическим, а «Черчилли» </w:t>
      </w:r>
      <w:hyperlink r:id="rId11" w:history="1">
        <w:r w:rsidRPr="00070ADE">
          <w:rPr>
            <w:rStyle w:val="a5"/>
            <w:rFonts w:eastAsiaTheme="majorEastAsia"/>
            <w:color w:val="000000" w:themeColor="text1"/>
            <w:sz w:val="16"/>
            <w:szCs w:val="16"/>
            <w:u w:val="none"/>
          </w:rPr>
          <w:t>воевали севернее Ленинграда</w:t>
        </w:r>
      </w:hyperlink>
      <w:r w:rsidRPr="00070ADE">
        <w:rPr>
          <w:color w:val="000000" w:themeColor="text1"/>
          <w:sz w:val="16"/>
          <w:szCs w:val="16"/>
        </w:rPr>
        <w:t>. «Неудачные» американские средние танки к этому времени всё ещё встречались в танковых бригадах (17705).</w:t>
      </w:r>
    </w:p>
    <w:p w14:paraId="547663F1" w14:textId="77777777" w:rsidR="009812BB" w:rsidRPr="00070ADE" w:rsidRDefault="009812BB" w:rsidP="00B56F90">
      <w:pPr>
        <w:spacing w:after="0" w:line="240" w:lineRule="auto"/>
        <w:jc w:val="both"/>
        <w:rPr>
          <w:rFonts w:ascii="Times New Roman" w:eastAsia="Times New Roman" w:hAnsi="Times New Roman"/>
          <w:color w:val="000000" w:themeColor="text1"/>
          <w:sz w:val="16"/>
          <w:szCs w:val="16"/>
          <w:lang w:eastAsia="ru-RU"/>
        </w:rPr>
      </w:pPr>
    </w:p>
    <w:p w14:paraId="5CE4F309" w14:textId="77777777" w:rsidR="009812BB" w:rsidRPr="00070ADE" w:rsidRDefault="009812BB"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К 1 января 1944 года безвозвратные потери составили 160 танков Черчиль, к 1 июня было потеряно еще 27 машин. Из 66 оставшихся танков в частях находилась 31 штука. Сосредоточены они были, в основном, на Ленинградском фронте, где самым активным образом использовались в операциях. Например, 16 июня 1944 года 260-й гвардейский тяжелый танковый полк получил 6 «Черчиллей», которые использовал в ходе боев за Выборг. В сентябре 1944 года 82-й танковый полк, имевший в своем составе 10 «Черчиллей» и 11 КВ-1с, участвовал в освобождении Таллина. К 1 января 1945 года в войсках еще имелось 63 танка данного типа, из которых 9 было потеряно в течение оставшихся месяцев войны. К 1 июня в Красной армии оставалось 54 «Черчилля», но в действующих частях их было всего 3 штуки (17691).</w:t>
      </w:r>
    </w:p>
    <w:p w14:paraId="564C7BFB" w14:textId="77777777" w:rsidR="009812BB" w:rsidRPr="00070ADE" w:rsidRDefault="009812BB" w:rsidP="00B56F90">
      <w:pPr>
        <w:spacing w:after="0" w:line="240" w:lineRule="auto"/>
        <w:jc w:val="both"/>
        <w:rPr>
          <w:rFonts w:ascii="Times New Roman" w:eastAsia="Times New Roman" w:hAnsi="Times New Roman"/>
          <w:color w:val="000000" w:themeColor="text1"/>
          <w:sz w:val="16"/>
          <w:szCs w:val="16"/>
          <w:lang w:eastAsia="ru-RU"/>
        </w:rPr>
      </w:pPr>
    </w:p>
    <w:p w14:paraId="7447047C" w14:textId="77777777" w:rsidR="004A1DB1" w:rsidRPr="00C94B78" w:rsidRDefault="004A1DB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1 января 1944 года безвозвратные потери составили 160 танков</w:t>
      </w:r>
      <w:r w:rsidRPr="00C94B78">
        <w:rPr>
          <w:rFonts w:ascii="Times New Roman" w:hAnsi="Times New Roman"/>
          <w:color w:val="0070C0"/>
          <w:sz w:val="16"/>
          <w:szCs w:val="16"/>
          <w:shd w:val="clear" w:color="auto" w:fill="FFFFFF"/>
        </w:rPr>
        <w:t xml:space="preserve"> </w:t>
      </w:r>
      <w:r w:rsidRPr="00C94B78">
        <w:rPr>
          <w:rFonts w:ascii="Times New Roman" w:hAnsi="Times New Roman"/>
          <w:color w:val="0070C0"/>
          <w:sz w:val="16"/>
          <w:szCs w:val="16"/>
        </w:rPr>
        <w:t>«Черчилль», к 1 июня было потеряно еще 27 машин. Из 66 оставшихся танков в частях находилась 31 штука. Сосредоточены они были, в основном, на Ленинградском фронте, где самым активным образом использовались в операциях (25369).</w:t>
      </w:r>
    </w:p>
    <w:p w14:paraId="6383F970" w14:textId="77777777" w:rsidR="004A1DB1" w:rsidRPr="00C94B78" w:rsidRDefault="004A1DB1" w:rsidP="00B56F90">
      <w:pPr>
        <w:spacing w:after="0" w:line="240" w:lineRule="auto"/>
        <w:jc w:val="both"/>
        <w:rPr>
          <w:rFonts w:ascii="Times New Roman" w:hAnsi="Times New Roman"/>
          <w:color w:val="0070C0"/>
          <w:sz w:val="16"/>
          <w:szCs w:val="16"/>
        </w:rPr>
      </w:pPr>
    </w:p>
    <w:p w14:paraId="4F3D329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вышло Распоряжение ГКО № 4865 [О продлении до 1 мая 1944 г. срока работы 150 пеших рабочих и 25 возчиков с лошадьми на реконструкции плотины Белохолуницкого завода НКТМ.] (7166, 174).</w:t>
      </w:r>
    </w:p>
    <w:p w14:paraId="79CB701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99533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вышло Постановление ГКО № 4866 Об увеличении выработки оконного стекла в 1944 году. (7166, 175-179,180-221).</w:t>
      </w:r>
    </w:p>
    <w:p w14:paraId="711A4BD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DCF9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вышло Распоряжение ГКО № 4867 О поставках предприятиям НКРП и НКЛП СССР газовой сажи в I кв. 1944 г. РГАНИР, Фонд ГКО, д. 184, лл. 222-223 (11012).</w:t>
      </w:r>
    </w:p>
    <w:p w14:paraId="705AE2B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9B908F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вышло Распоряжение ГКО № 4868. О плане производства разборных деревянных хранилищ и разборных брусчатых домов на предприятиях ГАУ КА в 1944 г. РГАНИР, Фонд ГКО, д. 184, лл. 224,225 (11012).</w:t>
      </w:r>
    </w:p>
    <w:p w14:paraId="7A9A787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30D8EE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вышло Распоряжение ГКО № 4869 [О передаче Мариупольскому заводу им. Ильича турбоагрегата мощностью 4 тыс. Квт.] (7166, 226).</w:t>
      </w:r>
    </w:p>
    <w:p w14:paraId="0A2F399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C00B6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вышло Распоряжение ГКО № 4870. О переносе мобилизации 3 тыс. чел. для работы на торфопредприятиях НКЭС из Татарской АССР в другие области и республики. РГАНИР, Фонд ГКО, д. 184, лл. 227 (11012).</w:t>
      </w:r>
    </w:p>
    <w:p w14:paraId="728229D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68BD22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вышло Постановление ГКО № 4871 О производстве и поставке в I квартале 1944 г. медико-санитарного имущества для Красной Армии, НКВоенморфлота и войск НКВД СССР. (7166, 228-229,230-260).</w:t>
      </w:r>
    </w:p>
    <w:p w14:paraId="3D0A131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8B029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вышло Постановление ГКО № 4872 О подготовке квалифицированных рабочих для шахт и заводов Наркомугля. РГАНИР, Фонд ГКО, д. 184, лл. 261-266,267-281 (11012).</w:t>
      </w:r>
    </w:p>
    <w:p w14:paraId="5DEE4A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9B736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вышло Постановление ГКО № 4874 О завозе зерна, муки, крупы и бобовых в г. Москву и Московскую область в январе 1944 года. РГАНИР, Фонд ГКО, д. 184, лл. 284-286,287-290 (11012).</w:t>
      </w:r>
    </w:p>
    <w:p w14:paraId="24A2F7F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B103A0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Производственно-технические паспорта заводов НКМВ:</w:t>
      </w:r>
    </w:p>
    <w:p w14:paraId="588F74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Главное управление</w:t>
      </w:r>
    </w:p>
    <w:p w14:paraId="126283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Завод № 702 им. К.Е Ворошилова </w:t>
      </w:r>
      <w:r w:rsidRPr="00070ADE">
        <w:rPr>
          <w:rFonts w:ascii="Times New Roman" w:hAnsi="Times New Roman"/>
          <w:iCs/>
          <w:color w:val="000000" w:themeColor="text1"/>
          <w:sz w:val="16"/>
          <w:szCs w:val="16"/>
        </w:rPr>
        <w:t>п/я 237</w:t>
      </w:r>
    </w:p>
    <w:p w14:paraId="686A6B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Ташкент, ул. Сельмаша, д. 2 (6495).</w:t>
      </w:r>
    </w:p>
    <w:p w14:paraId="55A794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704 (Главсельмаш).</w:t>
      </w:r>
    </w:p>
    <w:p w14:paraId="18E8A3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Белинская Пензенской области, п/я № 200</w:t>
      </w:r>
    </w:p>
    <w:p w14:paraId="2FD71B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708 им. Сталина</w:t>
      </w:r>
    </w:p>
    <w:p w14:paraId="6A4168A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Ташкент 13, Текстильная, 7, п/я 243</w:t>
      </w:r>
    </w:p>
    <w:p w14:paraId="6A5956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Курганский машиностроительный завод № 709 (во 2 Гл. управлении).</w:t>
      </w:r>
    </w:p>
    <w:p w14:paraId="005AC8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площадей Музыкальной фабрики Облместпрома и литейной артели “Металлист”</w:t>
      </w:r>
    </w:p>
    <w:p w14:paraId="35C9B4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Курган Челябинской области</w:t>
      </w:r>
    </w:p>
    <w:p w14:paraId="162FDD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725</w:t>
      </w:r>
    </w:p>
    <w:p w14:paraId="45448B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площадей Химаппаратуры</w:t>
      </w:r>
    </w:p>
    <w:p w14:paraId="71A4742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Щелково Московской области, п/я 50</w:t>
      </w:r>
    </w:p>
    <w:p w14:paraId="4D0A2E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743 (3 Гл. управление).</w:t>
      </w:r>
    </w:p>
    <w:p w14:paraId="1AB069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Иваново, Загородная, 28</w:t>
      </w:r>
    </w:p>
    <w:p w14:paraId="7CC7316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750</w:t>
      </w:r>
    </w:p>
    <w:p w14:paraId="00BE6E9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площадей прежнего Климовского завода</w:t>
      </w:r>
    </w:p>
    <w:p w14:paraId="24A495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color w:val="000000" w:themeColor="text1"/>
          <w:sz w:val="16"/>
          <w:szCs w:val="16"/>
        </w:rPr>
        <w:t xml:space="preserve">Климовск Московской области, п/я № 45 </w:t>
      </w:r>
      <w:r w:rsidRPr="00070ADE">
        <w:rPr>
          <w:rFonts w:ascii="Times New Roman" w:hAnsi="Times New Roman"/>
          <w:iCs/>
          <w:color w:val="000000" w:themeColor="text1"/>
          <w:sz w:val="16"/>
          <w:szCs w:val="16"/>
        </w:rPr>
        <w:t>ст. Гривно</w:t>
      </w:r>
    </w:p>
    <w:p w14:paraId="58FAE9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755</w:t>
      </w:r>
    </w:p>
    <w:p w14:paraId="2CD38A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color w:val="000000" w:themeColor="text1"/>
          <w:sz w:val="16"/>
          <w:szCs w:val="16"/>
        </w:rPr>
        <w:t xml:space="preserve">Москва 22, 2-я Звенигородская ул., д. 7 </w:t>
      </w:r>
      <w:r w:rsidRPr="00070ADE">
        <w:rPr>
          <w:rFonts w:ascii="Times New Roman" w:hAnsi="Times New Roman"/>
          <w:iCs/>
          <w:color w:val="000000" w:themeColor="text1"/>
          <w:sz w:val="16"/>
          <w:szCs w:val="16"/>
        </w:rPr>
        <w:t>п/я 3800</w:t>
      </w:r>
    </w:p>
    <w:p w14:paraId="4A74C9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849 (нет).</w:t>
      </w:r>
    </w:p>
    <w:p w14:paraId="7D55E5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Орехово-Зуево Московской области, Ликинское шоссе</w:t>
      </w:r>
    </w:p>
    <w:p w14:paraId="633F89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Главное управление</w:t>
      </w:r>
    </w:p>
    <w:p w14:paraId="179DB0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67 им. Тимошенко</w:t>
      </w:r>
    </w:p>
    <w:p w14:paraId="1781BB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58, п/я 2350З</w:t>
      </w:r>
    </w:p>
    <w:p w14:paraId="66F511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716</w:t>
      </w:r>
    </w:p>
    <w:p w14:paraId="62BC52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Организован в 1942 году на базе площадей Дмитровского механического завода НКОМ</w:t>
      </w:r>
    </w:p>
    <w:p w14:paraId="6DB266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Дмитров, п/я 10</w:t>
      </w:r>
    </w:p>
    <w:p w14:paraId="700A8D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723 им. Коминтерна</w:t>
      </w:r>
    </w:p>
    <w:p w14:paraId="5FDDB4B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Организован в 1943 году на базе площадей завода им. Коминтерна, построенного в 1916 году</w:t>
      </w:r>
    </w:p>
    <w:p w14:paraId="576A0C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Воронеж</w:t>
      </w:r>
    </w:p>
    <w:p w14:paraId="1A696E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727 им. Ленина ( не функционирует).</w:t>
      </w:r>
    </w:p>
    <w:p w14:paraId="59B0DFB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Воронеж, ул. К. Маркса, 87</w:t>
      </w:r>
    </w:p>
    <w:p w14:paraId="718433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Горьковский машиностроительный завод № 729 (нет).</w:t>
      </w:r>
    </w:p>
    <w:p w14:paraId="77C2EBC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площадей строящегося вагоноремонтного завода</w:t>
      </w:r>
    </w:p>
    <w:p w14:paraId="0BDCEC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Горький, Чебоксарская ул, 9</w:t>
      </w:r>
    </w:p>
    <w:p w14:paraId="355EE4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Завод № 731</w:t>
      </w:r>
    </w:p>
    <w:p w14:paraId="1474D3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Организован в 1943 году на базе площадей Госзавода дезоборудования Нкздрава СССР</w:t>
      </w:r>
    </w:p>
    <w:p w14:paraId="60F58E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Пенза, Механический порядок, 26</w:t>
      </w:r>
    </w:p>
    <w:p w14:paraId="475F9C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764</w:t>
      </w:r>
    </w:p>
    <w:p w14:paraId="39F52D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Организован в 1919 году</w:t>
      </w:r>
    </w:p>
    <w:p w14:paraId="0DEAD1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Ставрополь, п/я 6</w:t>
      </w:r>
    </w:p>
    <w:p w14:paraId="04727A5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766</w:t>
      </w:r>
    </w:p>
    <w:p w14:paraId="36CCAA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площадей новостроящегося завода “Механик”</w:t>
      </w:r>
    </w:p>
    <w:p w14:paraId="64B23E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Cs/>
          <w:color w:val="000000" w:themeColor="text1"/>
          <w:sz w:val="16"/>
          <w:szCs w:val="16"/>
        </w:rPr>
        <w:t>(Организован в 1941 году на базе площадей бывшего завода “Новый механик).</w:t>
      </w:r>
    </w:p>
    <w:p w14:paraId="25095C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color w:val="000000" w:themeColor="text1"/>
          <w:sz w:val="16"/>
          <w:szCs w:val="16"/>
        </w:rPr>
        <w:t xml:space="preserve">Тюмень, </w:t>
      </w:r>
      <w:r w:rsidRPr="00070ADE">
        <w:rPr>
          <w:rFonts w:ascii="Times New Roman" w:hAnsi="Times New Roman"/>
          <w:iCs/>
          <w:color w:val="000000" w:themeColor="text1"/>
          <w:sz w:val="16"/>
          <w:szCs w:val="16"/>
        </w:rPr>
        <w:t>п/я 50</w:t>
      </w:r>
    </w:p>
    <w:p w14:paraId="7336635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Тюменский экскаваторный завод № 769</w:t>
      </w:r>
    </w:p>
    <w:p w14:paraId="088E0DC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площадей Тюменских государственных конюшен</w:t>
      </w:r>
    </w:p>
    <w:p w14:paraId="4CB320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color w:val="000000" w:themeColor="text1"/>
          <w:sz w:val="16"/>
          <w:szCs w:val="16"/>
        </w:rPr>
        <w:t xml:space="preserve">Тюмень Омской области, ул. Семакова, 22, </w:t>
      </w:r>
      <w:r w:rsidRPr="00070ADE">
        <w:rPr>
          <w:rFonts w:ascii="Times New Roman" w:hAnsi="Times New Roman"/>
          <w:iCs/>
          <w:color w:val="000000" w:themeColor="text1"/>
          <w:sz w:val="16"/>
          <w:szCs w:val="16"/>
        </w:rPr>
        <w:t>п/я 15а</w:t>
      </w:r>
    </w:p>
    <w:p w14:paraId="0EF291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788 им. Маленкова (Главармалит).</w:t>
      </w:r>
    </w:p>
    <w:p w14:paraId="0AC42A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113, М. Красносельская, 2/8</w:t>
      </w:r>
    </w:p>
    <w:p w14:paraId="22A7CB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802 (Главармалит).</w:t>
      </w:r>
    </w:p>
    <w:p w14:paraId="1A37EF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Гусь-Хрустальный Ивановской области</w:t>
      </w:r>
    </w:p>
    <w:p w14:paraId="6EEA27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822 (4 Гл. управление).</w:t>
      </w:r>
    </w:p>
    <w:p w14:paraId="27EDFB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Поселок Сысерть Свердловской области, п/я 102</w:t>
      </w:r>
    </w:p>
    <w:p w14:paraId="6FC639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Главное управление</w:t>
      </w:r>
    </w:p>
    <w:p w14:paraId="22A0AF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Московский завод трикотажных машин № 738 (нет).</w:t>
      </w:r>
    </w:p>
    <w:p w14:paraId="0987ACB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Калужский переулок, д. 4</w:t>
      </w:r>
    </w:p>
    <w:p w14:paraId="34F8E2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color w:val="000000" w:themeColor="text1"/>
          <w:sz w:val="16"/>
          <w:szCs w:val="16"/>
        </w:rPr>
        <w:t xml:space="preserve">Завод № 760 </w:t>
      </w:r>
      <w:r w:rsidRPr="00070ADE">
        <w:rPr>
          <w:rFonts w:ascii="Times New Roman" w:hAnsi="Times New Roman"/>
          <w:iCs/>
          <w:color w:val="000000" w:themeColor="text1"/>
          <w:sz w:val="16"/>
          <w:szCs w:val="16"/>
        </w:rPr>
        <w:t>и филиал</w:t>
      </w:r>
    </w:p>
    <w:p w14:paraId="4B10B8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площадей учебного корпуса Уральского индустриального института им. Кирова (в 1942 году на базе площадей Дормашзавода ГУШОСДОРа НКВД).</w:t>
      </w:r>
    </w:p>
    <w:p w14:paraId="5B704E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Свердловск, Втузгородок (Свердловск).</w:t>
      </w:r>
    </w:p>
    <w:p w14:paraId="7E6FA9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763</w:t>
      </w:r>
    </w:p>
    <w:p w14:paraId="1CB857B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 ул. Коммуны, 52, п/я 240</w:t>
      </w:r>
    </w:p>
    <w:p w14:paraId="6709E3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color w:val="000000" w:themeColor="text1"/>
          <w:sz w:val="16"/>
          <w:szCs w:val="16"/>
        </w:rPr>
        <w:t xml:space="preserve">Завод № 819 </w:t>
      </w:r>
      <w:r w:rsidRPr="00070ADE">
        <w:rPr>
          <w:rFonts w:ascii="Times New Roman" w:hAnsi="Times New Roman"/>
          <w:iCs/>
          <w:color w:val="000000" w:themeColor="text1"/>
          <w:sz w:val="16"/>
          <w:szCs w:val="16"/>
        </w:rPr>
        <w:t>им. Фридриха Энгельса</w:t>
      </w:r>
    </w:p>
    <w:p w14:paraId="0171D4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color w:val="000000" w:themeColor="text1"/>
          <w:sz w:val="16"/>
          <w:szCs w:val="16"/>
        </w:rPr>
        <w:t xml:space="preserve">На базе площадей бывшего граммофонного завода </w:t>
      </w:r>
      <w:r w:rsidRPr="00070ADE">
        <w:rPr>
          <w:rFonts w:ascii="Times New Roman" w:hAnsi="Times New Roman"/>
          <w:iCs/>
          <w:color w:val="000000" w:themeColor="text1"/>
          <w:sz w:val="16"/>
          <w:szCs w:val="16"/>
        </w:rPr>
        <w:t>(с 1942 года).</w:t>
      </w:r>
    </w:p>
    <w:p w14:paraId="06EB3CC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color w:val="000000" w:themeColor="text1"/>
          <w:sz w:val="16"/>
          <w:szCs w:val="16"/>
        </w:rPr>
        <w:t>Коломна Московской области</w:t>
      </w:r>
      <w:r w:rsidRPr="00070ADE">
        <w:rPr>
          <w:rFonts w:ascii="Times New Roman" w:hAnsi="Times New Roman"/>
          <w:iCs/>
          <w:color w:val="000000" w:themeColor="text1"/>
          <w:sz w:val="16"/>
          <w:szCs w:val="16"/>
        </w:rPr>
        <w:t>, п/я 135</w:t>
      </w:r>
    </w:p>
    <w:p w14:paraId="0986B8B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Пензенский литейно-механический завод № 821</w:t>
      </w:r>
    </w:p>
    <w:p w14:paraId="106837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площадей Чугунно-литейного завода Наркомпищепрома РСФСР ( с 1941 года).</w:t>
      </w:r>
    </w:p>
    <w:p w14:paraId="09375F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color w:val="000000" w:themeColor="text1"/>
          <w:sz w:val="16"/>
          <w:szCs w:val="16"/>
        </w:rPr>
        <w:t xml:space="preserve">Пенза, Каракозовская ул., д. 26, </w:t>
      </w:r>
      <w:r w:rsidRPr="00070ADE">
        <w:rPr>
          <w:rFonts w:ascii="Times New Roman" w:hAnsi="Times New Roman"/>
          <w:iCs/>
          <w:color w:val="000000" w:themeColor="text1"/>
          <w:sz w:val="16"/>
          <w:szCs w:val="16"/>
        </w:rPr>
        <w:t>п/я 61</w:t>
      </w:r>
    </w:p>
    <w:p w14:paraId="2C472C6A" w14:textId="77777777" w:rsidR="00820285"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828</w:t>
      </w:r>
    </w:p>
    <w:p w14:paraId="417FABC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Cs/>
          <w:color w:val="000000" w:themeColor="text1"/>
          <w:sz w:val="16"/>
          <w:szCs w:val="16"/>
        </w:rPr>
        <w:t>Организован в 1942 году на базе площадей завода № 161 НКАП</w:t>
      </w:r>
    </w:p>
    <w:p w14:paraId="59EE85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п/я 1543</w:t>
      </w:r>
    </w:p>
    <w:p w14:paraId="2E8AB71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829 (нет).</w:t>
      </w:r>
    </w:p>
    <w:p w14:paraId="1A9F53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5, Ольховская ул., 27</w:t>
      </w:r>
    </w:p>
    <w:p w14:paraId="6D4BE8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830 (нет).</w:t>
      </w:r>
    </w:p>
    <w:p w14:paraId="14365CA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71, 4-ый Михайловский проезд, д. 8а</w:t>
      </w:r>
    </w:p>
    <w:p w14:paraId="048E0AD4" w14:textId="77777777" w:rsidR="00820285"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847</w:t>
      </w:r>
    </w:p>
    <w:p w14:paraId="584220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Cs/>
          <w:color w:val="000000" w:themeColor="text1"/>
          <w:sz w:val="16"/>
          <w:szCs w:val="16"/>
        </w:rPr>
        <w:t>Организован в 1941 году</w:t>
      </w:r>
    </w:p>
    <w:p w14:paraId="7BE23B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color w:val="000000" w:themeColor="text1"/>
          <w:sz w:val="16"/>
          <w:szCs w:val="16"/>
        </w:rPr>
        <w:t xml:space="preserve">Москва 23, Б. Семеновская ул., д. 11, </w:t>
      </w:r>
      <w:r w:rsidRPr="00070ADE">
        <w:rPr>
          <w:rFonts w:ascii="Times New Roman" w:hAnsi="Times New Roman"/>
          <w:iCs/>
          <w:color w:val="000000" w:themeColor="text1"/>
          <w:sz w:val="16"/>
          <w:szCs w:val="16"/>
        </w:rPr>
        <w:t>п/я 291</w:t>
      </w:r>
    </w:p>
    <w:p w14:paraId="31070D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“Молот”</w:t>
      </w:r>
    </w:p>
    <w:p w14:paraId="7690F0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Организован в 1922 году на базе площадей Ейского Промкомбината</w:t>
      </w:r>
    </w:p>
    <w:p w14:paraId="315717B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Ейск Краснодарского края, Карла Либкнехта, 11</w:t>
      </w:r>
    </w:p>
    <w:p w14:paraId="7535A9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Главное управление</w:t>
      </w:r>
    </w:p>
    <w:p w14:paraId="26B10A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726</w:t>
      </w:r>
    </w:p>
    <w:p w14:paraId="70EC6C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строительства Уралтяжхиммаша (с 1941 года).</w:t>
      </w:r>
    </w:p>
    <w:p w14:paraId="390F07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color w:val="000000" w:themeColor="text1"/>
          <w:sz w:val="16"/>
          <w:szCs w:val="16"/>
        </w:rPr>
        <w:t xml:space="preserve">Свердловск, Н. Исетск </w:t>
      </w:r>
      <w:r w:rsidRPr="00070ADE">
        <w:rPr>
          <w:rFonts w:ascii="Times New Roman" w:hAnsi="Times New Roman"/>
          <w:iCs/>
          <w:color w:val="000000" w:themeColor="text1"/>
          <w:sz w:val="16"/>
          <w:szCs w:val="16"/>
        </w:rPr>
        <w:t>Свердловск, п/я 1077137).</w:t>
      </w:r>
    </w:p>
    <w:p w14:paraId="10ACB0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733</w:t>
      </w:r>
    </w:p>
    <w:p w14:paraId="4BF91F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бывшего завода “Компрессор”</w:t>
      </w:r>
    </w:p>
    <w:p w14:paraId="2F4BFC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color w:val="000000" w:themeColor="text1"/>
          <w:sz w:val="16"/>
          <w:szCs w:val="16"/>
        </w:rPr>
        <w:t xml:space="preserve">Москва 24, п/я 3093 (Донгауэровская слобода, д. 20) </w:t>
      </w:r>
      <w:r w:rsidRPr="00070ADE">
        <w:rPr>
          <w:rFonts w:ascii="Times New Roman" w:hAnsi="Times New Roman"/>
          <w:iCs/>
          <w:color w:val="000000" w:themeColor="text1"/>
          <w:sz w:val="16"/>
          <w:szCs w:val="16"/>
        </w:rPr>
        <w:t>(п/я 2428).</w:t>
      </w:r>
    </w:p>
    <w:p w14:paraId="1120D1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822</w:t>
      </w:r>
    </w:p>
    <w:p w14:paraId="33008A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Поселок Сысерть Свердловской области, п/я 102</w:t>
      </w:r>
    </w:p>
    <w:p w14:paraId="36C2ECB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Главное управление</w:t>
      </w:r>
    </w:p>
    <w:p w14:paraId="6F00240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728</w:t>
      </w:r>
    </w:p>
    <w:p w14:paraId="73735B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Организован в 1942 году</w:t>
      </w:r>
    </w:p>
    <w:p w14:paraId="2B810C0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Орск, ул. Энгельса, 22, п/я 37</w:t>
      </w:r>
    </w:p>
    <w:p w14:paraId="10B8528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753 им. Калинина</w:t>
      </w:r>
    </w:p>
    <w:p w14:paraId="0A42A5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color w:val="000000" w:themeColor="text1"/>
          <w:sz w:val="16"/>
          <w:szCs w:val="16"/>
        </w:rPr>
        <w:t xml:space="preserve">Москва 83, 2-я Хуторская, 38а, </w:t>
      </w:r>
      <w:r w:rsidRPr="00070ADE">
        <w:rPr>
          <w:rFonts w:ascii="Times New Roman" w:hAnsi="Times New Roman"/>
          <w:iCs/>
          <w:color w:val="000000" w:themeColor="text1"/>
          <w:sz w:val="16"/>
          <w:szCs w:val="16"/>
        </w:rPr>
        <w:t>п/я 470</w:t>
      </w:r>
    </w:p>
    <w:p w14:paraId="39D658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836 (6 Гл. управление).</w:t>
      </w:r>
    </w:p>
    <w:p w14:paraId="6F15F7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площадей эвакуированного завода “Манометр”</w:t>
      </w:r>
    </w:p>
    <w:p w14:paraId="38D67AE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120, п/я 1532</w:t>
      </w:r>
    </w:p>
    <w:p w14:paraId="17359E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838 (6 Гл. управление).</w:t>
      </w:r>
    </w:p>
    <w:p w14:paraId="7EFB34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площадей Ликероводочного завода (с 1941 года).</w:t>
      </w:r>
    </w:p>
    <w:p w14:paraId="0620A0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Томск, пр. Тимирязева, 68</w:t>
      </w:r>
    </w:p>
    <w:p w14:paraId="2CA8C6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840 (6 Гл. управление).</w:t>
      </w:r>
    </w:p>
    <w:p w14:paraId="61C2A4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п/я 2304, Кудринский пер., д. 10</w:t>
      </w:r>
    </w:p>
    <w:p w14:paraId="032BFE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843 “Готовальня” (6 Гл. управление).</w:t>
      </w:r>
    </w:p>
    <w:p w14:paraId="49C1523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площадей бывшего ОКБ-3 (с 1935 года).</w:t>
      </w:r>
    </w:p>
    <w:p w14:paraId="187AF4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23, Электрозаводская ул., д. 52</w:t>
      </w:r>
    </w:p>
    <w:p w14:paraId="400677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845 1-й Московский государственный часовой завод (с 1942 года).</w:t>
      </w:r>
    </w:p>
    <w:p w14:paraId="531FCB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color w:val="000000" w:themeColor="text1"/>
          <w:sz w:val="16"/>
          <w:szCs w:val="16"/>
        </w:rPr>
        <w:t xml:space="preserve">Москва 4, Воронцовская ул., д. 35б </w:t>
      </w:r>
      <w:r w:rsidRPr="00070ADE">
        <w:rPr>
          <w:rFonts w:ascii="Times New Roman" w:hAnsi="Times New Roman"/>
          <w:iCs/>
          <w:color w:val="000000" w:themeColor="text1"/>
          <w:sz w:val="16"/>
          <w:szCs w:val="16"/>
        </w:rPr>
        <w:t>п/я 1159</w:t>
      </w:r>
    </w:p>
    <w:p w14:paraId="05C3CF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846 (заводы, подчиненные НКМВ).</w:t>
      </w:r>
    </w:p>
    <w:p w14:paraId="43EFD5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15, Панская ул., д. 14</w:t>
      </w:r>
    </w:p>
    <w:p w14:paraId="62D110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856</w:t>
      </w:r>
    </w:p>
    <w:p w14:paraId="098289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площадей Старой текстильной фабрики (с 1932 года).</w:t>
      </w:r>
    </w:p>
    <w:p w14:paraId="6FCF5E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color w:val="000000" w:themeColor="text1"/>
          <w:sz w:val="16"/>
          <w:szCs w:val="16"/>
        </w:rPr>
        <w:t xml:space="preserve">Орехово-Зуево Московской области, улица Техники безопасности, д. 15, </w:t>
      </w:r>
      <w:r w:rsidRPr="00070ADE">
        <w:rPr>
          <w:rFonts w:ascii="Times New Roman" w:hAnsi="Times New Roman"/>
          <w:iCs/>
          <w:color w:val="000000" w:themeColor="text1"/>
          <w:sz w:val="16"/>
          <w:szCs w:val="16"/>
        </w:rPr>
        <w:t>п/я 23</w:t>
      </w:r>
    </w:p>
    <w:p w14:paraId="016964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857 (нет).</w:t>
      </w:r>
    </w:p>
    <w:p w14:paraId="435313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4-й Рощинский пер., д. 21</w:t>
      </w:r>
    </w:p>
    <w:p w14:paraId="650CB4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Дом звукозаписи</w:t>
      </w:r>
    </w:p>
    <w:p w14:paraId="33748A9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Малая Никитская ул., д. 24</w:t>
      </w:r>
    </w:p>
    <w:p w14:paraId="18F53C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Апрелевский завод грампластинок</w:t>
      </w:r>
    </w:p>
    <w:p w14:paraId="132F8F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Апрелевка Московской области</w:t>
      </w:r>
    </w:p>
    <w:p w14:paraId="22A55E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Завод Государственной союзной конторы “Электрочасофикация”</w:t>
      </w:r>
    </w:p>
    <w:p w14:paraId="3D21F7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Организован в 1936 году</w:t>
      </w:r>
    </w:p>
    <w:p w14:paraId="5B31B0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ул. Кирова, Бобров пер., 2</w:t>
      </w:r>
    </w:p>
    <w:p w14:paraId="1C4ABB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НИИ № 5</w:t>
      </w:r>
    </w:p>
    <w:p w14:paraId="7A02B0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69, п/я 4004</w:t>
      </w:r>
    </w:p>
    <w:p w14:paraId="542FB2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Главное управление</w:t>
      </w:r>
    </w:p>
    <w:p w14:paraId="44D74E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774</w:t>
      </w:r>
    </w:p>
    <w:p w14:paraId="12FA7FC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Организован в 1888 году</w:t>
      </w:r>
    </w:p>
    <w:p w14:paraId="2F0403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Армавир, ул. К. Маркса, 72</w:t>
      </w:r>
    </w:p>
    <w:p w14:paraId="4811BC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776 (бывший “Краснолит”).</w:t>
      </w:r>
    </w:p>
    <w:p w14:paraId="6B66AD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Организован в 1943 году на базе площадей завода “Краснолит”</w:t>
      </w:r>
    </w:p>
    <w:p w14:paraId="5D1390F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Краснодар</w:t>
      </w:r>
    </w:p>
    <w:p w14:paraId="52ACD8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849</w:t>
      </w:r>
    </w:p>
    <w:p w14:paraId="4BED1F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Орехово-Зуево, п/я 25</w:t>
      </w:r>
    </w:p>
    <w:p w14:paraId="62D0932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Главсельмаш</w:t>
      </w:r>
    </w:p>
    <w:p w14:paraId="76AA084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“Красный Аксай” им. Фрунзе</w:t>
      </w:r>
    </w:p>
    <w:p w14:paraId="740D303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Организован в 1896 году</w:t>
      </w:r>
    </w:p>
    <w:p w14:paraId="39006B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Ростов-на-Дону, 35 линия, 91</w:t>
      </w:r>
    </w:p>
    <w:p w14:paraId="60384B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“Ростсельмаш” им. Сталина</w:t>
      </w:r>
    </w:p>
    <w:p w14:paraId="6AB035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Организован в 1930-1943 году</w:t>
      </w:r>
    </w:p>
    <w:p w14:paraId="050D05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Ростов-на-Дону</w:t>
      </w:r>
    </w:p>
    <w:p w14:paraId="5FA4DE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“Алтайсельмаш”</w:t>
      </w:r>
    </w:p>
    <w:p w14:paraId="52FB50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Организован в 1941 году на базе строительства сахарного завода</w:t>
      </w:r>
    </w:p>
    <w:p w14:paraId="0E5F04D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Рубцовск Алтайского края</w:t>
      </w:r>
    </w:p>
    <w:p w14:paraId="6E4909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им. Октябрьской Революции (нет).</w:t>
      </w:r>
    </w:p>
    <w:p w14:paraId="03067D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бывшего строящегося Сахарного завода законсервированного в 1932 году</w:t>
      </w:r>
    </w:p>
    <w:p w14:paraId="2AF6932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Рубцовск Алтайского края п/я 50</w:t>
      </w:r>
    </w:p>
    <w:p w14:paraId="507879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“Казахсельмаш”</w:t>
      </w:r>
    </w:p>
    <w:p w14:paraId="38CC44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Акмолинск, Октябрьская, 96</w:t>
      </w:r>
    </w:p>
    <w:p w14:paraId="0F6BD3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“Чирчиксельмаш”</w:t>
      </w:r>
    </w:p>
    <w:p w14:paraId="369C39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площадей гаража Чирчиктранса</w:t>
      </w:r>
    </w:p>
    <w:p w14:paraId="224C14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УзССР, Чирчик</w:t>
      </w:r>
    </w:p>
    <w:p w14:paraId="5BA82B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Ташкентский завод запчастей с/хмаш. “Ташзапсельмаш”</w:t>
      </w:r>
    </w:p>
    <w:p w14:paraId="5D8A5B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организован в 1942 году на базе площадей авторемонтного завода НКАТ УзССР и 3-го филиала завода № 708</w:t>
      </w:r>
    </w:p>
    <w:p w14:paraId="1FF3EC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Ташкент, ул. Жуковская, 52</w:t>
      </w:r>
    </w:p>
    <w:p w14:paraId="6BBE3C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735</w:t>
      </w:r>
    </w:p>
    <w:p w14:paraId="7C2B14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Организован в 1941 году на базе площадей Кондитерского комбината</w:t>
      </w:r>
    </w:p>
    <w:p w14:paraId="1BBFBB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Ташкент, 17, п/я 247</w:t>
      </w:r>
    </w:p>
    <w:p w14:paraId="25887D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“Рязсельмаш”</w:t>
      </w:r>
    </w:p>
    <w:p w14:paraId="004968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Организован в 1904 году</w:t>
      </w:r>
    </w:p>
    <w:p w14:paraId="1B333C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Рязань, п/я 5</w:t>
      </w:r>
    </w:p>
    <w:p w14:paraId="17AE3F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Институт с/х машиностроения</w:t>
      </w:r>
    </w:p>
    <w:p w14:paraId="12B40C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108, Листвиничная аллея, д. 6А</w:t>
      </w:r>
    </w:p>
    <w:p w14:paraId="205E4BA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Производственный филиал ВИСХОМа (1941 год) (нет).</w:t>
      </w:r>
    </w:p>
    <w:p w14:paraId="5C894F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107, Лихаческое шоссе, д. 6</w:t>
      </w:r>
    </w:p>
    <w:p w14:paraId="1ACB7C5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Главхиммаш</w:t>
      </w:r>
    </w:p>
    <w:p w14:paraId="0B6E79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“Комсомолец”</w:t>
      </w:r>
    </w:p>
    <w:p w14:paraId="2830CC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организован в 1932 году на базе Аппаратно-строительных мастерских завода № 204</w:t>
      </w:r>
    </w:p>
    <w:p w14:paraId="7313CE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Тамбов, Лермонтовская, 4</w:t>
      </w:r>
    </w:p>
    <w:p w14:paraId="59DA6D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Машиностроительный завод им. Калинина</w:t>
      </w:r>
    </w:p>
    <w:p w14:paraId="2BB79F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площадей металлозавода № 12</w:t>
      </w:r>
    </w:p>
    <w:p w14:paraId="3E773D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Кинешма Ивановской области, </w:t>
      </w:r>
      <w:r w:rsidRPr="00070ADE">
        <w:rPr>
          <w:rFonts w:ascii="Times New Roman" w:hAnsi="Times New Roman"/>
          <w:iCs/>
          <w:color w:val="000000" w:themeColor="text1"/>
          <w:sz w:val="16"/>
          <w:szCs w:val="16"/>
        </w:rPr>
        <w:t>1-ая</w:t>
      </w:r>
      <w:r w:rsidRPr="00070ADE">
        <w:rPr>
          <w:rFonts w:ascii="Times New Roman" w:hAnsi="Times New Roman"/>
          <w:color w:val="000000" w:themeColor="text1"/>
          <w:sz w:val="16"/>
          <w:szCs w:val="16"/>
        </w:rPr>
        <w:t xml:space="preserve"> Железнодорожная ул., 38</w:t>
      </w:r>
    </w:p>
    <w:p w14:paraId="7F7B2693" w14:textId="77777777" w:rsidR="00820285"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Насосокомпрессорный завод</w:t>
      </w:r>
    </w:p>
    <w:p w14:paraId="3283E2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Cs/>
          <w:color w:val="000000" w:themeColor="text1"/>
          <w:sz w:val="16"/>
          <w:szCs w:val="16"/>
        </w:rPr>
        <w:t>Организован в 1941 году</w:t>
      </w:r>
    </w:p>
    <w:p w14:paraId="088C37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color w:val="000000" w:themeColor="text1"/>
          <w:sz w:val="16"/>
          <w:szCs w:val="16"/>
        </w:rPr>
        <w:t xml:space="preserve">Ст. Катайск Челябинской области </w:t>
      </w:r>
      <w:r w:rsidRPr="00070ADE">
        <w:rPr>
          <w:rFonts w:ascii="Times New Roman" w:hAnsi="Times New Roman"/>
          <w:iCs/>
          <w:color w:val="000000" w:themeColor="text1"/>
          <w:sz w:val="16"/>
          <w:szCs w:val="16"/>
        </w:rPr>
        <w:t>(Курганская область).</w:t>
      </w:r>
    </w:p>
    <w:p w14:paraId="062B9A1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Производственные мастерские Н.И. Гидромашиностроит. (4 Гл. управление).</w:t>
      </w:r>
    </w:p>
    <w:p w14:paraId="51C371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площадей ЦАГИ</w:t>
      </w:r>
    </w:p>
    <w:p w14:paraId="51F53C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Н. Кирочный, д. 6</w:t>
      </w:r>
    </w:p>
    <w:p w14:paraId="4822B4B0" w14:textId="77777777" w:rsidR="00820285"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“Смычка” (4 Гл. управление).</w:t>
      </w:r>
    </w:p>
    <w:p w14:paraId="767AAE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Cs/>
          <w:color w:val="000000" w:themeColor="text1"/>
          <w:sz w:val="16"/>
          <w:szCs w:val="16"/>
        </w:rPr>
        <w:t>Организован в 1943 году на базе площадей бывшей артели “Смычка” Металлопромсоюза</w:t>
      </w:r>
    </w:p>
    <w:p w14:paraId="5B84B02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color w:val="000000" w:themeColor="text1"/>
          <w:sz w:val="16"/>
          <w:szCs w:val="16"/>
        </w:rPr>
        <w:t xml:space="preserve">Свердловск, Н. Исетск, </w:t>
      </w:r>
      <w:r w:rsidRPr="00070ADE">
        <w:rPr>
          <w:rFonts w:ascii="Times New Roman" w:hAnsi="Times New Roman"/>
          <w:iCs/>
          <w:color w:val="000000" w:themeColor="text1"/>
          <w:sz w:val="16"/>
          <w:szCs w:val="16"/>
        </w:rPr>
        <w:t>Красноармейская, 15</w:t>
      </w:r>
    </w:p>
    <w:p w14:paraId="0C6596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Центральная научно-исследовательская лаборатория ВТК</w:t>
      </w:r>
    </w:p>
    <w:p w14:paraId="305785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Верхние Котлы, Речной поселок, д. 17</w:t>
      </w:r>
    </w:p>
    <w:p w14:paraId="28AC34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Главармалит</w:t>
      </w:r>
    </w:p>
    <w:p w14:paraId="7160C29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Арматурный завод им. Ленина</w:t>
      </w:r>
    </w:p>
    <w:p w14:paraId="28155A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Георгиевск Ставропольского края, Ленинградская, 117</w:t>
      </w:r>
    </w:p>
    <w:p w14:paraId="563D6C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Усманский механический завод</w:t>
      </w:r>
    </w:p>
    <w:p w14:paraId="0D7AB3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Усмань, Воронежской области, ул. Шмидта, 3</w:t>
      </w:r>
    </w:p>
    <w:p w14:paraId="3745BBA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Ливенский машиностроительный завод (не функционирует).</w:t>
      </w:r>
    </w:p>
    <w:p w14:paraId="093DA4D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Ливны Орловской области, Гражданская, 23</w:t>
      </w:r>
    </w:p>
    <w:p w14:paraId="1CE92F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Орский механический завод по производству бурового оборудования (нет).</w:t>
      </w:r>
    </w:p>
    <w:p w14:paraId="38D812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площадей склада “Союзсельхозмашснаба” и гаража линейного узла связи ( с 1942 года).</w:t>
      </w:r>
    </w:p>
    <w:p w14:paraId="5450CA6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Орск Чкаловской области, ул. Петрашевцев, 40</w:t>
      </w:r>
    </w:p>
    <w:p w14:paraId="3A7229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Филиал Уральского завода литейного и лабораторного оборудования (нет).</w:t>
      </w:r>
    </w:p>
    <w:p w14:paraId="48A99A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площадей Уральского механического завода им. Ленина НКЭП</w:t>
      </w:r>
    </w:p>
    <w:p w14:paraId="2DABE3A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Уральск Казахской ССР, ул. Советская, 217</w:t>
      </w:r>
    </w:p>
    <w:p w14:paraId="364A692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Толкинский завод противопожарного оборудования</w:t>
      </w:r>
    </w:p>
    <w:p w14:paraId="5FB08F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площадей ремонтной мастерской совхоза № 170</w:t>
      </w:r>
    </w:p>
    <w:p w14:paraId="1381D4A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Cs/>
          <w:color w:val="000000" w:themeColor="text1"/>
          <w:sz w:val="16"/>
          <w:szCs w:val="16"/>
        </w:rPr>
        <w:t>Толки</w:t>
      </w:r>
      <w:r w:rsidRPr="00070ADE">
        <w:rPr>
          <w:rFonts w:ascii="Times New Roman" w:hAnsi="Times New Roman"/>
          <w:color w:val="000000" w:themeColor="text1"/>
          <w:sz w:val="16"/>
          <w:szCs w:val="16"/>
        </w:rPr>
        <w:t xml:space="preserve"> Новосибирской области </w:t>
      </w:r>
      <w:r w:rsidRPr="00070ADE">
        <w:rPr>
          <w:rFonts w:ascii="Times New Roman" w:hAnsi="Times New Roman"/>
          <w:iCs/>
          <w:color w:val="000000" w:themeColor="text1"/>
          <w:sz w:val="16"/>
          <w:szCs w:val="16"/>
        </w:rPr>
        <w:t>(Кемеровской области).</w:t>
      </w:r>
    </w:p>
    <w:p w14:paraId="76C7A5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Щучанский ППО (нет).</w:t>
      </w:r>
    </w:p>
    <w:p w14:paraId="642A6D6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Чумляк Челябинской области</w:t>
      </w:r>
    </w:p>
    <w:p w14:paraId="4AB3E6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Чумлянский завод</w:t>
      </w:r>
    </w:p>
    <w:p w14:paraId="72A847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Чумляк Курганской области</w:t>
      </w:r>
    </w:p>
    <w:p w14:paraId="3CDABE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Шумихинский завод противопожарного оборудования</w:t>
      </w:r>
    </w:p>
    <w:p w14:paraId="2EBD03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color w:val="000000" w:themeColor="text1"/>
          <w:sz w:val="16"/>
          <w:szCs w:val="16"/>
        </w:rPr>
        <w:t xml:space="preserve">Поселок Шумиха Челябинской области (с 1941 года) </w:t>
      </w:r>
      <w:r w:rsidRPr="00070ADE">
        <w:rPr>
          <w:rFonts w:ascii="Times New Roman" w:hAnsi="Times New Roman"/>
          <w:iCs/>
          <w:color w:val="000000" w:themeColor="text1"/>
          <w:sz w:val="16"/>
          <w:szCs w:val="16"/>
        </w:rPr>
        <w:t>(Курганской области).</w:t>
      </w:r>
    </w:p>
    <w:p w14:paraId="242DEE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Беловский граммпластинок завод № 842 (нет).</w:t>
      </w:r>
    </w:p>
    <w:p w14:paraId="1126FC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Белово Новосибирской области, п/я 17</w:t>
      </w:r>
    </w:p>
    <w:p w14:paraId="1FAD1A2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Главэнергопром</w:t>
      </w:r>
    </w:p>
    <w:p w14:paraId="4ED179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Электромеханический завод</w:t>
      </w:r>
    </w:p>
    <w:p w14:paraId="5531DE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Бакунинская ул., 14</w:t>
      </w:r>
    </w:p>
    <w:p w14:paraId="7539AB9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738</w:t>
      </w:r>
    </w:p>
    <w:p w14:paraId="407847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п/я 3090</w:t>
      </w:r>
    </w:p>
    <w:p w14:paraId="615041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829</w:t>
      </w:r>
    </w:p>
    <w:p w14:paraId="5EFBF9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5, п/я 1545</w:t>
      </w:r>
    </w:p>
    <w:p w14:paraId="03A930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Заводы, подчиненные НКМВ</w:t>
      </w:r>
    </w:p>
    <w:p w14:paraId="0CBAC62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НИИ № 1 (бывший завод “Стекломашина”).</w:t>
      </w:r>
    </w:p>
    <w:p w14:paraId="7450E58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Организован в 1942 году</w:t>
      </w:r>
    </w:p>
    <w:p w14:paraId="5E82C66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152, п/я 1129, Загородное шоссе, 5</w:t>
      </w:r>
    </w:p>
    <w:p w14:paraId="5A0183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ГСКБ-47</w:t>
      </w:r>
    </w:p>
    <w:p w14:paraId="071067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Организовано в 1942 году</w:t>
      </w:r>
    </w:p>
    <w:p w14:paraId="1B6148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58, п/я 4095</w:t>
      </w:r>
    </w:p>
    <w:p w14:paraId="7E28B8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КБ-35</w:t>
      </w:r>
    </w:p>
    <w:p w14:paraId="7B3886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Организовано в 1943 году</w:t>
      </w:r>
    </w:p>
    <w:p w14:paraId="428D4A1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Верхняя Масловка, 98 (6495).</w:t>
      </w:r>
    </w:p>
    <w:p w14:paraId="41607A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4182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Завод № 549 НКБ согласно отчету за 1943 год</w:t>
      </w:r>
    </w:p>
    <w:p w14:paraId="4535FD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Челябинск, п/я 171 (10060).</w:t>
      </w:r>
    </w:p>
    <w:p w14:paraId="4339809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06E2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Завод № 737 НКБ согласно отчету за 1943 год</w:t>
      </w:r>
    </w:p>
    <w:p w14:paraId="7328FA3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 Курицын, Демченко (10062).</w:t>
      </w:r>
    </w:p>
    <w:p w14:paraId="0614C8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4BAF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Завод № 549 НКБ согласно отчету за 1943 год</w:t>
      </w:r>
    </w:p>
    <w:p w14:paraId="0096E4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 Ильин</w:t>
      </w:r>
    </w:p>
    <w:p w14:paraId="37C280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Челябинск (10061).</w:t>
      </w:r>
    </w:p>
    <w:p w14:paraId="3BB541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A9B3C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Завод № 311 НКБ согласно отчету за 1943 год</w:t>
      </w:r>
    </w:p>
    <w:p w14:paraId="1061D6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 Паськов</w:t>
      </w:r>
    </w:p>
    <w:p w14:paraId="1481ACF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Саратов, п/я 95 (10063).</w:t>
      </w:r>
    </w:p>
    <w:p w14:paraId="4DD609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42D78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Завод № 317 им. ОГПУ согласно отчету НКБ за 1943 год</w:t>
      </w:r>
    </w:p>
    <w:p w14:paraId="4A5389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Акмолинск</w:t>
      </w:r>
    </w:p>
    <w:p w14:paraId="01C8E8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 Муравьев (10064).</w:t>
      </w:r>
    </w:p>
    <w:p w14:paraId="1386E0C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69CD1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был подготовлен Отчет завода № 515 НКБ за 1943 год</w:t>
      </w:r>
    </w:p>
    <w:p w14:paraId="4DEEE9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 Ф. Валеев</w:t>
      </w:r>
    </w:p>
    <w:p w14:paraId="618BC7D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Постановления СНК № 146-48сс от 10 февраля 1943 года и решения Военсовета ДВ фронта и НКБ в декабре 1942 года приступили к проектированию снаряжательного завода.</w:t>
      </w:r>
    </w:p>
    <w:p w14:paraId="4A7D8A2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Постановлению Правительства завод должен был быть пущен в эксплуатацию к 1 июля 1943 года.</w:t>
      </w:r>
    </w:p>
    <w:p w14:paraId="4D2A8D6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Сроки ввода были не выполнены (10218).</w:t>
      </w:r>
    </w:p>
    <w:p w14:paraId="747EA27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92AD1F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был подготовлен Отчет завода № 515 НКБ за 1943 год</w:t>
      </w:r>
    </w:p>
    <w:p w14:paraId="3AC5055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202 НКСП (10218).</w:t>
      </w:r>
    </w:p>
    <w:p w14:paraId="336B691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AABB34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был подготовлен Отчет завода № 121 НКБ за 1943 год</w:t>
      </w:r>
    </w:p>
    <w:p w14:paraId="6809AAC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 В. Мейпариани</w:t>
      </w:r>
    </w:p>
    <w:p w14:paraId="55E92A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приступил к восстановительным работам по пуску завода с 1 октября 1943 года.</w:t>
      </w:r>
    </w:p>
    <w:p w14:paraId="6D17D46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Сельцо Брянское (10219).</w:t>
      </w:r>
    </w:p>
    <w:p w14:paraId="463CD9F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782FBD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был подготовлен Отчет завода № 107 НКБ за 1943 год</w:t>
      </w:r>
    </w:p>
    <w:p w14:paraId="67049E3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 Демин</w:t>
      </w:r>
    </w:p>
    <w:p w14:paraId="3737149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Сталино, п/я 25 (10220).</w:t>
      </w:r>
    </w:p>
    <w:p w14:paraId="571D2E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5979CC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был подготовлен Отчет завода № 105 НКБ за 1943 год</w:t>
      </w:r>
    </w:p>
    <w:p w14:paraId="746618A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Горький 37, п/я 827</w:t>
      </w:r>
    </w:p>
    <w:p w14:paraId="0BCD2F9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 Шейнин</w:t>
      </w:r>
    </w:p>
    <w:p w14:paraId="59A6804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начал свою деятельность в 1943 году.</w:t>
      </w:r>
    </w:p>
    <w:p w14:paraId="6393086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1943 года состоялось решение Правительства о вынесении с территории завода № 80 производства снаряжения порохами реактивных снарядов.</w:t>
      </w:r>
    </w:p>
    <w:p w14:paraId="1AB5C8C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решению ГКО для этого производства было предоставлено ранее принадлежавшая заводу № 112 промплощадка и складской корпус в Горьком – Сормово.</w:t>
      </w:r>
    </w:p>
    <w:p w14:paraId="4AE576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структурном отношении производство до 1 сентября входило в состав завода № 80 как филиал, а с 1 сентября по решению Правительства выделено в самостоятельный завод № 105 (10221).</w:t>
      </w:r>
    </w:p>
    <w:p w14:paraId="601058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E11073B"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E4F53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37B39A" w14:textId="77777777" w:rsidR="00820285" w:rsidRPr="00070ADE" w:rsidRDefault="008202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47F20040" w14:textId="77777777" w:rsidR="00820285" w:rsidRPr="00070ADE" w:rsidRDefault="008202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 января западнее и северо-западнее Невеля наши войска с боями продвинулись вперёд и заняли 28 населённых пунктов, в том числе Осиповка, Замошье, Нивье, Заворуи, Устьдолыссы.</w:t>
      </w:r>
    </w:p>
    <w:p w14:paraId="2A0060E8" w14:textId="77777777" w:rsidR="00820285" w:rsidRPr="00070ADE" w:rsidRDefault="008202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продолжая развивать наступление, с боями овладели районным центром Житомирской области Бараши, районным центром Винницкойобласти Самгородок, районными центрами Киевской области Володарка, Гребенки, узловыми железнодорожными станциями Белокоровичи, Погребище, а также заняли более 300 других населённых пунктов, среди которых крупные населённые пункты Белокоровичи, Мяколовичи, Осовка, Горбово, Аполоновка, Бобрица, Киянка, Янушевка, Соколов, Курное, Старый Майдан, Стрибеж, Новый Завод, Перловка, Великий Шумск, Великая Татариновка, Старый Солотвин, Гальчинец, Иванновцы, Глуховцы, Кумановка, Кордышевка, Юзефовка, Ширмовка, Станиловка, Белашки, Павловка, Дзюньков, Капустинцы, Воробьёвка, Антонов, Березно, Яблоновка и железнодорожные станции Кремно, Яблонец, Богунский, Дубовецкий, Курное, Глуховцы.</w:t>
      </w:r>
    </w:p>
    <w:p w14:paraId="6B926CF6" w14:textId="77777777" w:rsidR="00820285" w:rsidRPr="00070ADE" w:rsidRDefault="008202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6B6AFA8C" w14:textId="77777777" w:rsidR="00820285" w:rsidRPr="00070ADE" w:rsidRDefault="008202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31 декабря наши войска на всех фронтах подбили и уничтожили 78 немецких танков. В воздушных боях и огнём зенитной артиллерии сбито 8 самолётов противника.</w:t>
      </w:r>
    </w:p>
    <w:p w14:paraId="021ABD55" w14:textId="77777777" w:rsidR="00820285" w:rsidRPr="00070ADE" w:rsidRDefault="008202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северо-западнее Невеля наши войска продолжали вести наступательные бои. Части Н-ского соединения решительной атакой выбили противника из сильно укреплённых опорных пунктов и значительно улучшили свои позиции. Уничтожено до батальона гитлеровцев. На другом участке советские части, преодолевая упорное сопротивление немцев, овладели рядом населённых пунктов. На поле боя осталось более 800 вражеских трупов. Захвачены трофеи и пленные.</w:t>
      </w:r>
    </w:p>
    <w:p w14:paraId="56DE0BB7" w14:textId="77777777" w:rsidR="00820285" w:rsidRPr="00070ADE" w:rsidRDefault="008202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Войска 1-го Украинского фронта продолжали успешное наступление. Стремительно продвигаясь вперёд, танкисты Н-ской части наносили тяжёлые удары отступающим колоннам противника. Наши бойцы истребили до полка немецкой пехоты и разгромили штаб немецкой дивизии. Захвачены трофеи, в том числе 4 </w:t>
      </w:r>
      <w:r w:rsidRPr="00070ADE">
        <w:rPr>
          <w:rFonts w:ascii="Times New Roman" w:hAnsi="Times New Roman"/>
          <w:color w:val="000000" w:themeColor="text1"/>
          <w:sz w:val="16"/>
          <w:szCs w:val="16"/>
        </w:rPr>
        <w:lastRenderedPageBreak/>
        <w:t>исправных танка, несколько артиллерийских батарей, более 100 автомашин, 350 повозок и 600 лошадей. В результате совместных действий танкистов и пехотинцев занят районный центр Житомирской области Бараши. Преодолевая сопротивление противника, части Н-ского соединения овладели рядом населённых пунктов, в том числе районным центром Винницкой области Самгородок. В бою за Самгородок уничтожено до 1.000 гитлеровцев и захвачено 22 орудия, 89 пулемётов, 15 миномётов, 65 автомашин и 6 радиостанций. Взято большое количество пленных. Части другого нашего соединения, успешно продвигаясь вперёд, выбили немцев из районных центров Киевской области —Гребенки и Володарка. В происходящих боях противник несёт огромные потери. Разбитые немецкие части и соединения, поспешно отступая под ударами наших войск,бросают артиллерию, автомашины, боеприпасы и различные военные материалы. Захвачено несколько крупных складов с продовольствием, вооружением и военным имуществом.</w:t>
      </w:r>
    </w:p>
    <w:p w14:paraId="1F746146" w14:textId="77777777" w:rsidR="00820285" w:rsidRPr="00070ADE" w:rsidRDefault="008202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Три партизана-подрывника из отряда, действующего в Каменец-Подольской области, организовали крушение немецких воинских поездов на важном участке железной дороги. На рассвете восьмого декабря советские патриоты взорвали эшелон противника с артиллерией и прожекторными установками. Десятого декабря партизаны пустили под откос железнодорожный состав с автомашинами. Одиннадцатого декабря на минах, поставленных партизанами, подорвался немецкий эшелон с танками. Всего за неделю три народных мстителя пустили под откос семь вражеских эшелонов, следовавших к линии фронта. В результате крушений разбито 6 паровозов и 55 вагонов и платформ. Железнодорожное сообщение на этом участке дороги было прекращено на несколько дней.</w:t>
      </w:r>
    </w:p>
    <w:p w14:paraId="4EC4733A" w14:textId="77777777" w:rsidR="00820285" w:rsidRPr="00070ADE" w:rsidRDefault="008202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Перешедший на сторону Красной Армии лейтенант 7 немецкой танковой дивизии Генрих В. рассказал: «После того, как немецкие войска заняли Житомир, мы несколько воспрянули духом. Появились проблески надежды, что нам удастся опять зацепиться за Днепр и удержать за собой хотя бы часть Украины. В связи сзанятием Житомира Гитлер издал приказ, в котором требовал развивать наступление и во что бы то ни стало занять Киев. Эта задача была возложена на сильную войсковую группировку в составе танковых и пехотных дивизий. Мы продвигались вперёд с огромным трудом и несли исключительно тяжёлые потери. К концу ноября наша дивизия потеряла не менее 70 процентов личного состава и почти весь танковый парк. Ожесточённая битва поглощала все силы. Пополнения не покрывали наших потерь. Обескровленные и измотанные части выдохлись и не в состоянии были продолжать атаки. Зимний поход на Киев был нашей последней надеждой. Он закончился позорным поражением. Стремительное контрнаступление русских войск спутало все планы немецкого командования. Не только солдаты, но даже и офицеры считают, что немецкая армия уже никогда не оправится от ударов, нанесённых ей в 1943 году на Восточном фронте».</w:t>
      </w:r>
    </w:p>
    <w:p w14:paraId="618545C5" w14:textId="77777777" w:rsidR="00820285" w:rsidRPr="00070ADE" w:rsidRDefault="008202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Жители села Пшеничники, Киевской области, Петриченко Т.П. и Петриченко А.Т.рассказали о зверствах немецко-фашистских мерзавцев: «Свыше двух лет немецкие злодеи издевались и глумились над населением нашего села. За время оккупации фашистские палачи расстреляли 195 мирных граждан села Пшеничники. Особенно зверствовали немцы перед отступлением. Они выгнали из домов всех жителей, невзирая на их возраст, и под конвоем погнали в тыл. Больных и стариков, которые не могли передвигаться, гитлеровцы расстреливали. Они убили восьмидесятилетнего колхозника Гаврилу Нестеренко, семидесятипятилетнюю колхозницу Анфису Шевченко и других. В одном селе колонна остановилась. Несколько дней мы находились под открытым небом. Здесь немцы обобрали нас до нитки, а потом загнали в сортировочный лагерь. Немецкие изверги насильно разлучили родителей с детьми. Трудоспособное взрослое население немцы отправили на каторгу в Германию, а детей оставили в лагере. Что с ними стало — неизвестно. По дороге нам удалось бежать и пробраться в наше село, теперь освобождённое от немецких захватчиков» (14996).</w:t>
      </w:r>
    </w:p>
    <w:p w14:paraId="50D27E44" w14:textId="77777777" w:rsidR="00820285" w:rsidRPr="00070ADE" w:rsidRDefault="00820285" w:rsidP="00B56F90">
      <w:pPr>
        <w:spacing w:after="0" w:line="240" w:lineRule="auto"/>
        <w:jc w:val="both"/>
        <w:rPr>
          <w:rFonts w:ascii="Times New Roman" w:hAnsi="Times New Roman"/>
          <w:color w:val="000000" w:themeColor="text1"/>
          <w:sz w:val="16"/>
          <w:szCs w:val="16"/>
        </w:rPr>
      </w:pPr>
    </w:p>
    <w:p w14:paraId="3642DF8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г. в строю на западных флотах находились 58 ДБ-3/Ил-4 и 55А-20. На Балтике еще летали три старые машины. В 1943-45 годах Ил-4 вносил немалый вклад в войну на море. Интенсивность торпедных атак и мин</w:t>
      </w:r>
      <w:r w:rsidRPr="00070ADE">
        <w:rPr>
          <w:rFonts w:ascii="Times New Roman" w:hAnsi="Times New Roman"/>
          <w:color w:val="000000" w:themeColor="text1"/>
          <w:sz w:val="16"/>
          <w:szCs w:val="16"/>
        </w:rPr>
        <w:softHyphen/>
        <w:t>ных постановок постоянно возрастала. Проводились крупные комбинирован</w:t>
      </w:r>
      <w:r w:rsidRPr="00070ADE">
        <w:rPr>
          <w:rFonts w:ascii="Times New Roman" w:hAnsi="Times New Roman"/>
          <w:color w:val="000000" w:themeColor="text1"/>
          <w:sz w:val="16"/>
          <w:szCs w:val="16"/>
        </w:rPr>
        <w:softHyphen/>
        <w:t>ные операции с участием различных ро</w:t>
      </w:r>
      <w:r w:rsidRPr="00070ADE">
        <w:rPr>
          <w:rFonts w:ascii="Times New Roman" w:hAnsi="Times New Roman"/>
          <w:color w:val="000000" w:themeColor="text1"/>
          <w:sz w:val="16"/>
          <w:szCs w:val="16"/>
        </w:rPr>
        <w:softHyphen/>
        <w:t>дов авиации. Пример таковой можно считать налет на Констанцу 20 августа 1944 г., когда совместно действовали истребители, бомбардировщики, торпедоносцы и штурмовики. Из состава 5-го мтап были привлечены 14 Ил-4. Про</w:t>
      </w:r>
      <w:r w:rsidRPr="00070ADE">
        <w:rPr>
          <w:rFonts w:ascii="Times New Roman" w:hAnsi="Times New Roman"/>
          <w:color w:val="000000" w:themeColor="text1"/>
          <w:sz w:val="16"/>
          <w:szCs w:val="16"/>
        </w:rPr>
        <w:softHyphen/>
        <w:t>тивник понес большие потери. Таким образом действовали и по ко</w:t>
      </w:r>
      <w:r w:rsidRPr="00070ADE">
        <w:rPr>
          <w:rFonts w:ascii="Times New Roman" w:hAnsi="Times New Roman"/>
          <w:color w:val="000000" w:themeColor="text1"/>
          <w:sz w:val="16"/>
          <w:szCs w:val="16"/>
        </w:rPr>
        <w:softHyphen/>
        <w:t>раблям в море (10734,85).</w:t>
      </w:r>
    </w:p>
    <w:p w14:paraId="3E861C4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F8A325" w14:textId="39C6D4AF" w:rsidR="0059774D" w:rsidRPr="00070ADE" w:rsidRDefault="0059774D" w:rsidP="00B56F90">
      <w:pPr>
        <w:pStyle w:val="ae"/>
        <w:spacing w:before="0" w:after="0"/>
        <w:jc w:val="both"/>
        <w:textAlignment w:val="baseline"/>
        <w:rPr>
          <w:color w:val="000000" w:themeColor="text1"/>
          <w:sz w:val="16"/>
          <w:szCs w:val="16"/>
        </w:rPr>
      </w:pPr>
      <w:r w:rsidRPr="00070ADE">
        <w:rPr>
          <w:color w:val="000000" w:themeColor="text1"/>
          <w:sz w:val="16"/>
          <w:szCs w:val="16"/>
        </w:rPr>
        <w:t>К 1 января 1944</w:t>
      </w:r>
      <w:r w:rsidR="00B643A8" w:rsidRPr="00070ADE">
        <w:rPr>
          <w:color w:val="000000" w:themeColor="text1"/>
          <w:sz w:val="16"/>
          <w:szCs w:val="16"/>
        </w:rPr>
        <w:t xml:space="preserve"> </w:t>
      </w:r>
      <w:r w:rsidRPr="00070ADE">
        <w:rPr>
          <w:color w:val="000000" w:themeColor="text1"/>
          <w:sz w:val="16"/>
          <w:szCs w:val="16"/>
        </w:rPr>
        <w:t>г., несмотря на непрерывное пополнение, численность штурмовиков на фронте уменьшилась до 2413 штук. Это неудивительно, так как согласно советским данным в течение 1943</w:t>
      </w:r>
      <w:r w:rsidR="00B643A8" w:rsidRPr="00070ADE">
        <w:rPr>
          <w:color w:val="000000" w:themeColor="text1"/>
          <w:sz w:val="16"/>
          <w:szCs w:val="16"/>
        </w:rPr>
        <w:t xml:space="preserve"> </w:t>
      </w:r>
      <w:r w:rsidRPr="00070ADE">
        <w:rPr>
          <w:color w:val="000000" w:themeColor="text1"/>
          <w:sz w:val="16"/>
          <w:szCs w:val="16"/>
        </w:rPr>
        <w:t>г. было потеряно в общей сложности 3515 Ил-2 (19522).</w:t>
      </w:r>
    </w:p>
    <w:p w14:paraId="12978EDF" w14:textId="77777777" w:rsidR="0059774D" w:rsidRPr="00070ADE" w:rsidRDefault="0059774D" w:rsidP="00B56F90">
      <w:pPr>
        <w:pStyle w:val="ae"/>
        <w:spacing w:before="0" w:after="0"/>
        <w:jc w:val="both"/>
        <w:textAlignment w:val="baseline"/>
        <w:rPr>
          <w:color w:val="000000" w:themeColor="text1"/>
          <w:sz w:val="16"/>
          <w:szCs w:val="16"/>
        </w:rPr>
      </w:pPr>
    </w:p>
    <w:p w14:paraId="5B50BE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г. в строю на западных флотах находились 58 ДБ-З/Ил-4 и 55А- 20. На Балтике еше летали три старых машины (12021).</w:t>
      </w:r>
    </w:p>
    <w:p w14:paraId="43BB5E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774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 января 1944 было 13 ДБ-3Ф и Ил-4 + 3 ДБ-3 торпедоносцев на БФ (и 12 А-20), 15 Ил-4 на СФ (и 23 А-20), 27 Ил-4 на ЧФ (и 18 А-20) (561,22).</w:t>
      </w:r>
    </w:p>
    <w:p w14:paraId="188546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EBBB6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 января 1944 года в 1 гап оставались один А-20С и один Ил-4. Лейтенант Карабанов однажды привез на аэродром застрявший в крыле кусок мачты с клотиком! (3457,109).</w:t>
      </w:r>
    </w:p>
    <w:p w14:paraId="2D816F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A44E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года в строю на всех флотах числилось 73 "Бостона", большую часть из них составляли торпедоносцы, а уже в июне только одна 8-я минно-торпедная дивизия на Балтике имела около 70 таких машин. При переделке A-20G в торпедоносец, так же как и в разведчик, в бомбоотсеке устанавливался дополнительный бензобак, что позволяло примерно уравнять дальность "Бостона" и Ил-4. В носовой части иногда делали штурманскую кабину. Второй распространенный вариант имел место штурмана за задней стрелковой точкой. Для штурмана прорезались боковые окна, а сверху над ними находился небольшой прозрачный куполок. Надо сказать, что такое размещение места штурмана было не очень удобно из-за сильно ограниченного обзора, зато при этом стандартная носовая часть A-20G сохранялась. В атаке такие машины обычно пускали первыми для подавления зенитного огня кораблей. Торпед они не несли. На Северном флоте в группу, наносящую удар, входило примерно поровну "Бостонов” - торнедоносцев и штурмовиков, на Черном море - три-четыре машины с мощным носовым вооружением на шесть-десять торпедоносцев. Черноморцы дополняли пушечно-пулеметный огонь еще и сбросом большого количества мелких осколочных бомб АО-2,5. "Бостоны" обычно действовали в качестве так называемых низких торпедоносцев. Они сбрасывали торпеду на дистанции 600-800 м от цели с высоты 25-30 м. Скорость самолета при этом равнялась примерно 300 км/ч (3457,107).</w:t>
      </w:r>
    </w:p>
    <w:p w14:paraId="0F541FE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F949E3" w14:textId="77777777" w:rsidR="00143067" w:rsidRPr="00070ADE" w:rsidRDefault="0014306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г. в строю на всех флотах числилось 73 «Бостона», большую часть из них составляли тор</w:t>
      </w:r>
      <w:r w:rsidRPr="00070ADE">
        <w:rPr>
          <w:rFonts w:ascii="Times New Roman" w:hAnsi="Times New Roman"/>
          <w:color w:val="000000" w:themeColor="text1"/>
          <w:sz w:val="16"/>
          <w:szCs w:val="16"/>
        </w:rPr>
        <w:softHyphen/>
        <w:t>педоносцы, а уже в июне только одна 8-я мтад на Балтике имела около 70 таких ма</w:t>
      </w:r>
      <w:r w:rsidRPr="00070ADE">
        <w:rPr>
          <w:rFonts w:ascii="Times New Roman" w:hAnsi="Times New Roman"/>
          <w:color w:val="000000" w:themeColor="text1"/>
          <w:sz w:val="16"/>
          <w:szCs w:val="16"/>
        </w:rPr>
        <w:softHyphen/>
        <w:t>шин. При переделке A-20G в торпедоносец, так же как и в разведчик, в бомбоотсеке устанавливался дополнительный бензо</w:t>
      </w:r>
      <w:r w:rsidRPr="00070ADE">
        <w:rPr>
          <w:rFonts w:ascii="Times New Roman" w:hAnsi="Times New Roman"/>
          <w:color w:val="000000" w:themeColor="text1"/>
          <w:sz w:val="16"/>
          <w:szCs w:val="16"/>
        </w:rPr>
        <w:softHyphen/>
        <w:t>бак, что позволяло примерно уравнять дальность «Бостона» и Ил-4. В носовой части иногда, как у бомбардировщиков, делали штурманскую кабину. Второй распространенный вариант имел ме</w:t>
      </w:r>
      <w:r w:rsidRPr="00070ADE">
        <w:rPr>
          <w:rFonts w:ascii="Times New Roman" w:hAnsi="Times New Roman"/>
          <w:color w:val="000000" w:themeColor="text1"/>
          <w:sz w:val="16"/>
          <w:szCs w:val="16"/>
        </w:rPr>
        <w:softHyphen/>
        <w:t>сто штурмана в кабине стрелка-радиста. Его спроектировали на заводе № 89. Для штурмана по бортам прорезались два окна, к которым добавили еще одно окно уступом вверх. Над кабиной находился прозрачный люк с куполком-блистером. У штурмана ставили приборную доску, укороченный бомбовый прицел ОПБ-1м и пульт управления радиополукомпасом. Прицеливание при торпедометании при этом осуществлял пилот. Как и у А-20В, переделывали кислородную систему. Баллоны для кислорода чаще всего брали со списанных «Харрикейнов». Надо ска</w:t>
      </w:r>
      <w:r w:rsidRPr="00070ADE">
        <w:rPr>
          <w:rFonts w:ascii="Times New Roman" w:hAnsi="Times New Roman"/>
          <w:color w:val="000000" w:themeColor="text1"/>
          <w:sz w:val="16"/>
          <w:szCs w:val="16"/>
        </w:rPr>
        <w:softHyphen/>
        <w:t>зать, что такое размещение места штур</w:t>
      </w:r>
      <w:r w:rsidRPr="00070ADE">
        <w:rPr>
          <w:rFonts w:ascii="Times New Roman" w:hAnsi="Times New Roman"/>
          <w:color w:val="000000" w:themeColor="text1"/>
          <w:sz w:val="16"/>
          <w:szCs w:val="16"/>
        </w:rPr>
        <w:softHyphen/>
        <w:t>мана было не очень удобно из-за сильно ограниченного обзора. Зато при этом стандартная носовая часть A-20G сохра</w:t>
      </w:r>
      <w:r w:rsidRPr="00070ADE">
        <w:rPr>
          <w:rFonts w:ascii="Times New Roman" w:hAnsi="Times New Roman"/>
          <w:color w:val="000000" w:themeColor="text1"/>
          <w:sz w:val="16"/>
          <w:szCs w:val="16"/>
        </w:rPr>
        <w:softHyphen/>
        <w:t>нялась. В атаке такие машины обычно пускали первыми для подавления зенит</w:t>
      </w:r>
      <w:r w:rsidRPr="00070ADE">
        <w:rPr>
          <w:rFonts w:ascii="Times New Roman" w:hAnsi="Times New Roman"/>
          <w:color w:val="000000" w:themeColor="text1"/>
          <w:sz w:val="16"/>
          <w:szCs w:val="16"/>
        </w:rPr>
        <w:softHyphen/>
        <w:t>ного огня кораблей. Торпед они не несли. В отзыве из 51-го мтап особо отмечалась мощь носового залпа, особенно эффек</w:t>
      </w:r>
      <w:r w:rsidRPr="00070ADE">
        <w:rPr>
          <w:rFonts w:ascii="Times New Roman" w:hAnsi="Times New Roman"/>
          <w:color w:val="000000" w:themeColor="text1"/>
          <w:sz w:val="16"/>
          <w:szCs w:val="16"/>
        </w:rPr>
        <w:softHyphen/>
        <w:t>тивная при групповых атаках. Но вот бро- незащиту машины балтийские летчики сочли явно недостаточной (23513).</w:t>
      </w:r>
    </w:p>
    <w:p w14:paraId="16945A9D" w14:textId="77777777" w:rsidR="00143067" w:rsidRPr="00070ADE" w:rsidRDefault="00143067" w:rsidP="00B56F90">
      <w:pPr>
        <w:spacing w:after="0" w:line="240" w:lineRule="auto"/>
        <w:jc w:val="both"/>
        <w:rPr>
          <w:rFonts w:ascii="Times New Roman" w:hAnsi="Times New Roman"/>
          <w:color w:val="000000" w:themeColor="text1"/>
          <w:sz w:val="16"/>
          <w:szCs w:val="16"/>
        </w:rPr>
      </w:pPr>
    </w:p>
    <w:p w14:paraId="29586AB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г. в составе ВВС СФ числилось только 40 торпедоносцев. Однако в июле с Черного моря был переброшен вооруженный "Бостонами", имевший богатый боевой опыт 36-й МТАП, который включили в состав 5-й МТАД. Подкрепление позволило минно-торпедной авиации флота совершить в 1944 г. рекордные на этом ТВД 1110 самолето-вылетов и выполнить 215 атак, при этом потери составили всего 38 самолетов. В общей сложности за годы войны торпедоносцы СФ выполнили 1559 боевых вылетов, в которых израсходовали 400 торпед и потеряли 71 самолет (2867,31).</w:t>
      </w:r>
    </w:p>
    <w:p w14:paraId="400380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5CA5F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на флотах:</w:t>
      </w:r>
    </w:p>
    <w:p w14:paraId="3A57D8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Данные о числе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CB5308" w:rsidRPr="00070ADE" w14:paraId="205EB994" w14:textId="77777777">
        <w:tc>
          <w:tcPr>
            <w:tcW w:w="1401" w:type="dxa"/>
            <w:tcBorders>
              <w:top w:val="single" w:sz="12" w:space="0" w:color="auto"/>
            </w:tcBorders>
          </w:tcPr>
          <w:p w14:paraId="572656F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74E4328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1.05.42</w:t>
            </w:r>
          </w:p>
        </w:tc>
        <w:tc>
          <w:tcPr>
            <w:tcW w:w="1401" w:type="dxa"/>
            <w:tcBorders>
              <w:top w:val="single" w:sz="12" w:space="0" w:color="auto"/>
            </w:tcBorders>
          </w:tcPr>
          <w:p w14:paraId="7173403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1.07.42</w:t>
            </w:r>
          </w:p>
        </w:tc>
        <w:tc>
          <w:tcPr>
            <w:tcW w:w="1401" w:type="dxa"/>
            <w:tcBorders>
              <w:top w:val="single" w:sz="12" w:space="0" w:color="auto"/>
            </w:tcBorders>
          </w:tcPr>
          <w:p w14:paraId="6D73F38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18.11.42</w:t>
            </w:r>
          </w:p>
        </w:tc>
        <w:tc>
          <w:tcPr>
            <w:tcW w:w="1401" w:type="dxa"/>
            <w:tcBorders>
              <w:top w:val="single" w:sz="12" w:space="0" w:color="auto"/>
            </w:tcBorders>
          </w:tcPr>
          <w:p w14:paraId="1452184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1.07.43</w:t>
            </w:r>
          </w:p>
        </w:tc>
        <w:tc>
          <w:tcPr>
            <w:tcW w:w="1401" w:type="dxa"/>
            <w:tcBorders>
              <w:top w:val="single" w:sz="12" w:space="0" w:color="auto"/>
            </w:tcBorders>
          </w:tcPr>
          <w:p w14:paraId="2C7AF3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1.01.44</w:t>
            </w:r>
          </w:p>
        </w:tc>
        <w:tc>
          <w:tcPr>
            <w:tcW w:w="1401" w:type="dxa"/>
            <w:tcBorders>
              <w:top w:val="single" w:sz="12" w:space="0" w:color="auto"/>
            </w:tcBorders>
          </w:tcPr>
          <w:p w14:paraId="03DC51D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1.06.44</w:t>
            </w:r>
          </w:p>
        </w:tc>
        <w:tc>
          <w:tcPr>
            <w:tcW w:w="1401" w:type="dxa"/>
            <w:tcBorders>
              <w:top w:val="single" w:sz="12" w:space="0" w:color="auto"/>
            </w:tcBorders>
          </w:tcPr>
          <w:p w14:paraId="363B6A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1.01.45</w:t>
            </w:r>
          </w:p>
        </w:tc>
      </w:tr>
      <w:tr w:rsidR="00CB5308" w:rsidRPr="00070ADE" w14:paraId="61E0D0F3" w14:textId="77777777">
        <w:tc>
          <w:tcPr>
            <w:tcW w:w="1401" w:type="dxa"/>
          </w:tcPr>
          <w:p w14:paraId="6D0216F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ВВС СФ</w:t>
            </w:r>
          </w:p>
        </w:tc>
        <w:tc>
          <w:tcPr>
            <w:tcW w:w="1401" w:type="dxa"/>
          </w:tcPr>
          <w:p w14:paraId="0438D8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12/3</w:t>
            </w:r>
          </w:p>
        </w:tc>
        <w:tc>
          <w:tcPr>
            <w:tcW w:w="1401" w:type="dxa"/>
          </w:tcPr>
          <w:p w14:paraId="13E5EC7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w:t>
            </w:r>
          </w:p>
        </w:tc>
        <w:tc>
          <w:tcPr>
            <w:tcW w:w="1401" w:type="dxa"/>
          </w:tcPr>
          <w:p w14:paraId="76AD3C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w:t>
            </w:r>
          </w:p>
        </w:tc>
        <w:tc>
          <w:tcPr>
            <w:tcW w:w="1401" w:type="dxa"/>
          </w:tcPr>
          <w:p w14:paraId="6F03D30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1401" w:type="dxa"/>
          </w:tcPr>
          <w:p w14:paraId="00C2B18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c>
          <w:tcPr>
            <w:tcW w:w="1401" w:type="dxa"/>
          </w:tcPr>
          <w:p w14:paraId="4821F5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w:t>
            </w:r>
          </w:p>
        </w:tc>
        <w:tc>
          <w:tcPr>
            <w:tcW w:w="1401" w:type="dxa"/>
          </w:tcPr>
          <w:p w14:paraId="59DF2D7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r>
      <w:tr w:rsidR="00CB5308" w:rsidRPr="00070ADE" w14:paraId="6E735C0A" w14:textId="77777777">
        <w:tc>
          <w:tcPr>
            <w:tcW w:w="1401" w:type="dxa"/>
          </w:tcPr>
          <w:p w14:paraId="08BCF1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ВВС КБФ</w:t>
            </w:r>
          </w:p>
        </w:tc>
        <w:tc>
          <w:tcPr>
            <w:tcW w:w="1401" w:type="dxa"/>
          </w:tcPr>
          <w:p w14:paraId="538921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52/17</w:t>
            </w:r>
          </w:p>
        </w:tc>
        <w:tc>
          <w:tcPr>
            <w:tcW w:w="1401" w:type="dxa"/>
          </w:tcPr>
          <w:p w14:paraId="4EE5639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23/7</w:t>
            </w:r>
          </w:p>
        </w:tc>
        <w:tc>
          <w:tcPr>
            <w:tcW w:w="1401" w:type="dxa"/>
          </w:tcPr>
          <w:p w14:paraId="51299FA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28/11</w:t>
            </w:r>
          </w:p>
        </w:tc>
        <w:tc>
          <w:tcPr>
            <w:tcW w:w="1401" w:type="dxa"/>
          </w:tcPr>
          <w:p w14:paraId="44DF55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21/3</w:t>
            </w:r>
          </w:p>
        </w:tc>
        <w:tc>
          <w:tcPr>
            <w:tcW w:w="1401" w:type="dxa"/>
          </w:tcPr>
          <w:p w14:paraId="46ECD01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w:t>
            </w:r>
          </w:p>
        </w:tc>
        <w:tc>
          <w:tcPr>
            <w:tcW w:w="1401" w:type="dxa"/>
          </w:tcPr>
          <w:p w14:paraId="05F85BB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23E39FB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CB5308" w:rsidRPr="00070ADE" w14:paraId="4BEAA0B1" w14:textId="77777777">
        <w:tc>
          <w:tcPr>
            <w:tcW w:w="1401" w:type="dxa"/>
          </w:tcPr>
          <w:p w14:paraId="5A9ED1A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ВВС ЧФ</w:t>
            </w:r>
          </w:p>
        </w:tc>
        <w:tc>
          <w:tcPr>
            <w:tcW w:w="1401" w:type="dxa"/>
          </w:tcPr>
          <w:p w14:paraId="19DF0FB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w:t>
            </w:r>
          </w:p>
        </w:tc>
        <w:tc>
          <w:tcPr>
            <w:tcW w:w="1401" w:type="dxa"/>
          </w:tcPr>
          <w:p w14:paraId="1D6A19C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14/8</w:t>
            </w:r>
          </w:p>
        </w:tc>
        <w:tc>
          <w:tcPr>
            <w:tcW w:w="1401" w:type="dxa"/>
          </w:tcPr>
          <w:p w14:paraId="0A6C83C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w:t>
            </w:r>
          </w:p>
        </w:tc>
        <w:tc>
          <w:tcPr>
            <w:tcW w:w="1401" w:type="dxa"/>
          </w:tcPr>
          <w:p w14:paraId="0008F70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w:t>
            </w:r>
          </w:p>
        </w:tc>
        <w:tc>
          <w:tcPr>
            <w:tcW w:w="1401" w:type="dxa"/>
          </w:tcPr>
          <w:p w14:paraId="72F9EA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w:t>
            </w:r>
          </w:p>
        </w:tc>
        <w:tc>
          <w:tcPr>
            <w:tcW w:w="1401" w:type="dxa"/>
          </w:tcPr>
          <w:p w14:paraId="78A6800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1401" w:type="dxa"/>
          </w:tcPr>
          <w:p w14:paraId="268B5FE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CB5308" w:rsidRPr="00070ADE" w14:paraId="2AE402CA" w14:textId="77777777">
        <w:tc>
          <w:tcPr>
            <w:tcW w:w="1401" w:type="dxa"/>
            <w:tcBorders>
              <w:bottom w:val="single" w:sz="12" w:space="0" w:color="auto"/>
            </w:tcBorders>
          </w:tcPr>
          <w:p w14:paraId="0323919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tc>
        <w:tc>
          <w:tcPr>
            <w:tcW w:w="1401" w:type="dxa"/>
            <w:tcBorders>
              <w:bottom w:val="single" w:sz="12" w:space="0" w:color="auto"/>
            </w:tcBorders>
          </w:tcPr>
          <w:p w14:paraId="0695789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91/27</w:t>
            </w:r>
          </w:p>
        </w:tc>
        <w:tc>
          <w:tcPr>
            <w:tcW w:w="1401" w:type="dxa"/>
            <w:tcBorders>
              <w:bottom w:val="single" w:sz="12" w:space="0" w:color="auto"/>
            </w:tcBorders>
          </w:tcPr>
          <w:p w14:paraId="2F411DA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45/18</w:t>
            </w:r>
          </w:p>
        </w:tc>
        <w:tc>
          <w:tcPr>
            <w:tcW w:w="1401" w:type="dxa"/>
            <w:tcBorders>
              <w:bottom w:val="single" w:sz="12" w:space="0" w:color="auto"/>
            </w:tcBorders>
          </w:tcPr>
          <w:p w14:paraId="701BF2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46/19</w:t>
            </w:r>
          </w:p>
        </w:tc>
        <w:tc>
          <w:tcPr>
            <w:tcW w:w="1401" w:type="dxa"/>
            <w:tcBorders>
              <w:bottom w:val="single" w:sz="12" w:space="0" w:color="auto"/>
            </w:tcBorders>
          </w:tcPr>
          <w:p w14:paraId="7B3489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29/4 1</w:t>
            </w:r>
          </w:p>
        </w:tc>
        <w:tc>
          <w:tcPr>
            <w:tcW w:w="1401" w:type="dxa"/>
            <w:tcBorders>
              <w:bottom w:val="single" w:sz="12" w:space="0" w:color="auto"/>
            </w:tcBorders>
          </w:tcPr>
          <w:p w14:paraId="298776C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9/4</w:t>
            </w:r>
          </w:p>
        </w:tc>
        <w:tc>
          <w:tcPr>
            <w:tcW w:w="1401" w:type="dxa"/>
            <w:tcBorders>
              <w:bottom w:val="single" w:sz="12" w:space="0" w:color="auto"/>
            </w:tcBorders>
          </w:tcPr>
          <w:p w14:paraId="4CE3913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15/1</w:t>
            </w:r>
          </w:p>
        </w:tc>
        <w:tc>
          <w:tcPr>
            <w:tcW w:w="1401" w:type="dxa"/>
            <w:tcBorders>
              <w:bottom w:val="single" w:sz="12" w:space="0" w:color="auto"/>
            </w:tcBorders>
          </w:tcPr>
          <w:p w14:paraId="5146F9A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r>
    </w:tbl>
    <w:p w14:paraId="084BBCA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числителе - всего машин; в знаменателе - в том числе неисправных на данный момент (12015).</w:t>
      </w:r>
    </w:p>
    <w:p w14:paraId="5C9202A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87C9748" w14:textId="77777777" w:rsidR="00DF6978" w:rsidRPr="00070ADE" w:rsidRDefault="00DF69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г. на передовой находилось 13 ПС-7. Несмотря на малочисленность, эти машины вносили свой посильный вклад в обеспечение нужд фронта. Самолёты, принадлежавшие 87-му гв. отрап, за войну перевезли 12 688 человек и 1057,7 т грузов, налетали 2607 ч днём и ночью. За это время полк потерял пять ПС-</w:t>
      </w:r>
      <w:r w:rsidRPr="00070ADE">
        <w:rPr>
          <w:rFonts w:ascii="Times New Roman" w:hAnsi="Times New Roman"/>
          <w:color w:val="000000" w:themeColor="text1"/>
          <w:sz w:val="16"/>
          <w:szCs w:val="16"/>
        </w:rPr>
        <w:lastRenderedPageBreak/>
        <w:t>7, в том числе два, уничтоженных противником. Летали и в немецкий тыл к партизанам, нагруженные взрывчаткой, патронами, оружием. Возвращались, вывозя раненых партизан или экипажи сбитых за линией фронта самолётов (12264).</w:t>
      </w:r>
    </w:p>
    <w:p w14:paraId="0EC4A476" w14:textId="77777777" w:rsidR="00DF6978" w:rsidRPr="00070ADE" w:rsidRDefault="00DF6978" w:rsidP="00B56F90">
      <w:pPr>
        <w:spacing w:after="0" w:line="240" w:lineRule="auto"/>
        <w:jc w:val="both"/>
        <w:rPr>
          <w:rFonts w:ascii="Times New Roman" w:hAnsi="Times New Roman"/>
          <w:color w:val="000000" w:themeColor="text1"/>
          <w:sz w:val="16"/>
          <w:szCs w:val="16"/>
        </w:rPr>
      </w:pPr>
    </w:p>
    <w:p w14:paraId="28E60DA6" w14:textId="77777777" w:rsidR="00DF6978" w:rsidRPr="00070ADE" w:rsidRDefault="00DF69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г. в тылу эксплуатировалось 19 машин типа Р-6 и КР-6, из них к концу года пустили на слом по износу 13 и из-за аварии - один. Пять самолётов передали в ведомственную авиацию. С января 1945 г. ПС-7 даже не фигурируют в отчётности ГВФ отдельной графой, а данные о них приводятся вместе с Г-1 - такими же «могиканами» первой пятилетки.</w:t>
      </w:r>
    </w:p>
    <w:p w14:paraId="1CA6576C" w14:textId="77777777" w:rsidR="00DF6978" w:rsidRPr="00070ADE" w:rsidRDefault="00DF69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полярной авиации ПС-7 летали всю войну. Они эксплуатировались в Московской и Чукотской авиагруппах до конца 1944 г.</w:t>
      </w:r>
    </w:p>
    <w:p w14:paraId="347493F7" w14:textId="77777777" w:rsidR="00DF6978" w:rsidRPr="00070ADE" w:rsidRDefault="00DF69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Тихоокеанском флоте в годы войны КР-ба использовали как транспортные самолёты, по-видимому, на колёсах. Последний из них списали весной 1944 г. (12264).</w:t>
      </w:r>
    </w:p>
    <w:p w14:paraId="775D3A60" w14:textId="77777777" w:rsidR="00DF6978" w:rsidRPr="00070ADE" w:rsidRDefault="00DF6978" w:rsidP="00B56F90">
      <w:pPr>
        <w:spacing w:after="0" w:line="240" w:lineRule="auto"/>
        <w:jc w:val="both"/>
        <w:rPr>
          <w:rFonts w:ascii="Times New Roman" w:hAnsi="Times New Roman"/>
          <w:color w:val="000000" w:themeColor="text1"/>
          <w:sz w:val="16"/>
          <w:szCs w:val="16"/>
        </w:rPr>
      </w:pPr>
    </w:p>
    <w:p w14:paraId="4E95784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w:t>
      </w:r>
      <w:r w:rsidR="00DF6978" w:rsidRPr="00070ADE">
        <w:rPr>
          <w:rFonts w:ascii="Times New Roman" w:hAnsi="Times New Roman"/>
          <w:color w:val="000000" w:themeColor="text1"/>
          <w:sz w:val="16"/>
          <w:szCs w:val="16"/>
        </w:rPr>
        <w:t xml:space="preserve"> января </w:t>
      </w:r>
      <w:r w:rsidRPr="00070ADE">
        <w:rPr>
          <w:rFonts w:ascii="Times New Roman" w:hAnsi="Times New Roman"/>
          <w:color w:val="000000" w:themeColor="text1"/>
          <w:sz w:val="16"/>
          <w:szCs w:val="16"/>
        </w:rPr>
        <w:t>1941 г. ПО 1</w:t>
      </w:r>
      <w:r w:rsidR="00DF6978" w:rsidRPr="00070ADE">
        <w:rPr>
          <w:rFonts w:ascii="Times New Roman" w:hAnsi="Times New Roman"/>
          <w:color w:val="000000" w:themeColor="text1"/>
          <w:sz w:val="16"/>
          <w:szCs w:val="16"/>
        </w:rPr>
        <w:t xml:space="preserve"> января 1</w:t>
      </w:r>
      <w:r w:rsidRPr="00070ADE">
        <w:rPr>
          <w:rFonts w:ascii="Times New Roman" w:hAnsi="Times New Roman"/>
          <w:color w:val="000000" w:themeColor="text1"/>
          <w:sz w:val="16"/>
          <w:szCs w:val="16"/>
        </w:rPr>
        <w:t>944 г. НАЛИЧИЕ ТАНКОВ В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413"/>
        <w:gridCol w:w="826"/>
        <w:gridCol w:w="1085"/>
        <w:gridCol w:w="1085"/>
        <w:gridCol w:w="902"/>
        <w:gridCol w:w="902"/>
        <w:gridCol w:w="902"/>
        <w:gridCol w:w="797"/>
        <w:gridCol w:w="893"/>
        <w:gridCol w:w="912"/>
        <w:gridCol w:w="922"/>
      </w:tblGrid>
      <w:tr w:rsidR="00CB5308" w:rsidRPr="00070ADE" w14:paraId="7F4C650C" w14:textId="77777777">
        <w:trPr>
          <w:trHeight w:val="835"/>
        </w:trPr>
        <w:tc>
          <w:tcPr>
            <w:tcW w:w="413" w:type="dxa"/>
            <w:tcBorders>
              <w:top w:val="single" w:sz="6" w:space="0" w:color="auto"/>
              <w:left w:val="single" w:sz="6" w:space="0" w:color="auto"/>
              <w:bottom w:val="single" w:sz="6" w:space="0" w:color="auto"/>
              <w:right w:val="single" w:sz="6" w:space="0" w:color="auto"/>
            </w:tcBorders>
          </w:tcPr>
          <w:p w14:paraId="5734EC8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п/п</w:t>
            </w:r>
          </w:p>
          <w:p w14:paraId="2462C69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C6A71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танков</w:t>
            </w:r>
          </w:p>
          <w:p w14:paraId="1A90BD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DBAF43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Наличие по переучетным данным по состоянию на 1.01.1941 г.</w:t>
            </w:r>
          </w:p>
          <w:p w14:paraId="483883A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B1F80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Выпущено заводами про-мышлен. за 1-е полугодие 1941 г.</w:t>
            </w:r>
          </w:p>
          <w:p w14:paraId="4280392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C1D837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танков на 1.07.1941 г.</w:t>
            </w:r>
          </w:p>
          <w:p w14:paraId="2349D8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2FA15E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Выпущено за 2-е полугодие 1941 г.</w:t>
            </w:r>
          </w:p>
          <w:p w14:paraId="2F26DBB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0C6E58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танков на 1.01.1942 г.</w:t>
            </w:r>
          </w:p>
          <w:p w14:paraId="69611A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D3AF2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Выпущено за 1942 г.</w:t>
            </w:r>
          </w:p>
          <w:p w14:paraId="6967F8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4C1241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танков на 1.01.1943 г.</w:t>
            </w:r>
          </w:p>
          <w:p w14:paraId="10919E9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D7D7E0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Выпущено за 1943 г.</w:t>
            </w:r>
          </w:p>
          <w:p w14:paraId="125828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B1CA0A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танков на 1.01.1944 г.</w:t>
            </w:r>
          </w:p>
          <w:p w14:paraId="744B140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78C1C16"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30CD7E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566DCE0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D85A1E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w:t>
            </w:r>
          </w:p>
          <w:p w14:paraId="1AA21A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7EFCC6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581E1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2C58F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01D11C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63F174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D6D84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D87679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E9DF30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C81585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925F0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F7B8C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1C012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09542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918C21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5D9DA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w:t>
            </w:r>
          </w:p>
          <w:p w14:paraId="519F20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0A7540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w:t>
            </w:r>
          </w:p>
          <w:p w14:paraId="0E50A9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9D53E0D"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651E57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581C1FB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9F925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ИС-2</w:t>
            </w:r>
          </w:p>
          <w:p w14:paraId="761B4CF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0651E1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2410B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46E02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B5A129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989136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ABA7F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FAA1DA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C412F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C9BC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5475AB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D6FB6D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1C5E49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FDE6AB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2AFBDE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B140F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p w14:paraId="3B9D7C1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3AD3B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p w14:paraId="47C3B3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5662442"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4BA41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38662D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2FA233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КВ-1</w:t>
            </w:r>
          </w:p>
          <w:p w14:paraId="1124F99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287500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141</w:t>
            </w:r>
          </w:p>
          <w:p w14:paraId="2C15C4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A30B4A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282</w:t>
            </w:r>
          </w:p>
          <w:p w14:paraId="198E59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51ED5B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423</w:t>
            </w:r>
          </w:p>
          <w:p w14:paraId="0AF8A3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F98877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933</w:t>
            </w:r>
          </w:p>
          <w:p w14:paraId="199251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D5BD0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1356</w:t>
            </w:r>
          </w:p>
          <w:p w14:paraId="6651D5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C7312A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1802</w:t>
            </w:r>
          </w:p>
          <w:p w14:paraId="159F37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814C7A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3158</w:t>
            </w:r>
          </w:p>
          <w:p w14:paraId="703B8F9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800190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6CCE9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E288F0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3158</w:t>
            </w:r>
          </w:p>
          <w:p w14:paraId="6504D4D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80F5200"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3A89BDE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514672F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6B6900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КВ-2</w:t>
            </w:r>
          </w:p>
          <w:p w14:paraId="74C146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5C3E92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w:t>
            </w:r>
          </w:p>
          <w:p w14:paraId="37D52A7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7CA8C7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w:t>
            </w:r>
          </w:p>
          <w:p w14:paraId="007A9EE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2E9AD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213</w:t>
            </w:r>
          </w:p>
          <w:p w14:paraId="45F740A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9778F7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AC6E7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A3409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213</w:t>
            </w:r>
          </w:p>
          <w:p w14:paraId="40F2E59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15E6C7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E738A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194A9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213</w:t>
            </w:r>
          </w:p>
          <w:p w14:paraId="0F473AF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AAD0D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BEF0BC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CA2EA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213</w:t>
            </w:r>
          </w:p>
          <w:p w14:paraId="510215E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44DCC5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5EC9B9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7BD83BA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175A24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КВ-1 с</w:t>
            </w:r>
          </w:p>
          <w:p w14:paraId="08E050F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09005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021893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19924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B1CD3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FCD69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DC2391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F155B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171D0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652E6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56E66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76F5B0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624</w:t>
            </w:r>
          </w:p>
          <w:p w14:paraId="760305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CE9E0E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624</w:t>
            </w:r>
          </w:p>
          <w:p w14:paraId="636573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6072C8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463</w:t>
            </w:r>
          </w:p>
          <w:p w14:paraId="1C43C89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F729C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1087</w:t>
            </w:r>
          </w:p>
          <w:p w14:paraId="1AED7FD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3D77465"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57A52E2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p w14:paraId="76E7598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461F9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КВ-8</w:t>
            </w:r>
          </w:p>
          <w:p w14:paraId="5DA477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97BD7A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F0CFC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0363A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B7322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0CD7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6A75B8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D6EE1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1CAB9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93AAE5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B407B0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3BCB9F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w:t>
            </w:r>
          </w:p>
          <w:p w14:paraId="0A3663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3870B7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w:t>
            </w:r>
          </w:p>
          <w:p w14:paraId="4ECF99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D3F3DC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E31C3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6158A3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w:t>
            </w:r>
          </w:p>
          <w:p w14:paraId="63634EE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3797D2E"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2B993D8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p w14:paraId="30DA41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003531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КВ-8с</w:t>
            </w:r>
          </w:p>
          <w:p w14:paraId="5A97308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52CC9E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24BC6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008B73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96899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CE821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0582E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20AB85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04DC1B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20D252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D563D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08DC10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793233F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600FE4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3F269D9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7796AF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180AA61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B93421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p w14:paraId="0B5C00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4AAF4A5"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6C444D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p w14:paraId="72920B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7C96E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КВ-85</w:t>
            </w:r>
          </w:p>
          <w:p w14:paraId="35ADA8A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22B45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1064EF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A0FF16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0AD0BE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9AE970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9E5AA6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AC74C2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AC104A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9DC53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46953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7B49B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6B02E1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FE4C77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6C46F3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8EBE60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148</w:t>
            </w:r>
          </w:p>
          <w:p w14:paraId="7CE377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D667A0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148</w:t>
            </w:r>
          </w:p>
          <w:p w14:paraId="1F636F2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19A5010"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6D78257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p w14:paraId="354364E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58213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Т-35</w:t>
            </w:r>
          </w:p>
          <w:p w14:paraId="1A3BE0C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62ADEE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w:t>
            </w:r>
          </w:p>
          <w:p w14:paraId="35B514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ED257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677CD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D1EC1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w:t>
            </w:r>
          </w:p>
          <w:p w14:paraId="3FF54CF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0977A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E3AACA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FDE7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w:t>
            </w:r>
          </w:p>
          <w:p w14:paraId="56B702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5D98B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5BEDE6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665EC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w:t>
            </w:r>
          </w:p>
          <w:p w14:paraId="4F2D07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D7F6F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CDF5B8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FC7651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w:t>
            </w:r>
          </w:p>
          <w:p w14:paraId="2F7D365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B8FC418"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7FE795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0880C38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ED93D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Т-28</w:t>
            </w:r>
          </w:p>
          <w:p w14:paraId="7F08DC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1FF986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502</w:t>
            </w:r>
          </w:p>
          <w:p w14:paraId="15867D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39B185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001908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71188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502</w:t>
            </w:r>
          </w:p>
          <w:p w14:paraId="26C05F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D1697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6B440E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C2A6D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502</w:t>
            </w:r>
          </w:p>
          <w:p w14:paraId="32AC3F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5197D1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DDF888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384B7D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502</w:t>
            </w:r>
          </w:p>
          <w:p w14:paraId="258CCF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61097E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59F46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A699CC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502</w:t>
            </w:r>
          </w:p>
          <w:p w14:paraId="30AF2E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6177F0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6562A6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p w14:paraId="148E2E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D91D4B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Т-29</w:t>
            </w:r>
          </w:p>
          <w:p w14:paraId="4E99A36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71D9D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4633DC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EACBB8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3A277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ACB19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7C94E2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6BB72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030FF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2C35B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5B9DF1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545703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3EEF6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167E4E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69C585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98F203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2D3B08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E28F18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33C5CB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D55F3F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0E71445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p w14:paraId="2A58007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D17CCC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65178A1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3197D1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115</w:t>
            </w:r>
          </w:p>
          <w:p w14:paraId="13E14C1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5314C6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1110</w:t>
            </w:r>
          </w:p>
          <w:p w14:paraId="0F4BCA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9B4CDF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1225</w:t>
            </w:r>
          </w:p>
          <w:p w14:paraId="584DB3A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7F2C9D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1886</w:t>
            </w:r>
          </w:p>
          <w:p w14:paraId="7837113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39BE3A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3111</w:t>
            </w:r>
          </w:p>
          <w:p w14:paraId="3E78C5D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A4AE36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12211</w:t>
            </w:r>
          </w:p>
          <w:p w14:paraId="660200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5D4E0D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15322</w:t>
            </w:r>
          </w:p>
          <w:p w14:paraId="02C2E8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A66359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15218</w:t>
            </w:r>
          </w:p>
          <w:p w14:paraId="0E234A9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AF12DB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30540</w:t>
            </w:r>
          </w:p>
          <w:p w14:paraId="11733F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5EE2FAF"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357D5F1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p w14:paraId="25B5C1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8D51A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Т-О34</w:t>
            </w:r>
          </w:p>
          <w:p w14:paraId="3257B0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926F31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648261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8EA732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54FC85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0C504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144AF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3046A8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B7727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52939E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9A059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79439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309</w:t>
            </w:r>
          </w:p>
          <w:p w14:paraId="0C61D6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06BE9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309</w:t>
            </w:r>
          </w:p>
          <w:p w14:paraId="66DFBA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0067FE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478</w:t>
            </w:r>
          </w:p>
          <w:p w14:paraId="0466D37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7CA1A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787</w:t>
            </w:r>
          </w:p>
          <w:p w14:paraId="1F6662E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9485CCC"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0DA823A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w:t>
            </w:r>
          </w:p>
          <w:p w14:paraId="066C26F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E1FAA2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БТ-7</w:t>
            </w:r>
          </w:p>
          <w:p w14:paraId="1FCF34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B1130A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4675</w:t>
            </w:r>
          </w:p>
          <w:p w14:paraId="0D8491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1CD8C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5A41BE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3CED1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4675</w:t>
            </w:r>
          </w:p>
          <w:p w14:paraId="60505C2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5EC3BF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2C5D0A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9E30A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4675</w:t>
            </w:r>
          </w:p>
          <w:p w14:paraId="661EB2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2BC1F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621BF6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7B9D43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4675</w:t>
            </w:r>
          </w:p>
          <w:p w14:paraId="4F0F72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EB462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93FA9D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A62921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4675</w:t>
            </w:r>
          </w:p>
          <w:p w14:paraId="628C3E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5AD2E0B"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281CD31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p w14:paraId="74DA7F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D549E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БТ-7М</w:t>
            </w:r>
          </w:p>
          <w:p w14:paraId="325BEE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BCCB2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708</w:t>
            </w:r>
          </w:p>
          <w:p w14:paraId="46DC37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95A2ED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3C3498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5E91A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708</w:t>
            </w:r>
          </w:p>
          <w:p w14:paraId="6AB4665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5C6AD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1F1A9C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F0AE0E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708</w:t>
            </w:r>
          </w:p>
          <w:p w14:paraId="1F61EA5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A66B8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1D35E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4E42F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708</w:t>
            </w:r>
          </w:p>
          <w:p w14:paraId="010B79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049F11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FB310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395308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708</w:t>
            </w:r>
          </w:p>
          <w:p w14:paraId="7D72BC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56560FA"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FCC3A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p w14:paraId="68E0DCE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587CD8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БТ-2-5</w:t>
            </w:r>
          </w:p>
          <w:p w14:paraId="15E5A4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5E627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2434</w:t>
            </w:r>
          </w:p>
          <w:p w14:paraId="09921CB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563B31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CDACF8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15740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2434</w:t>
            </w:r>
          </w:p>
          <w:p w14:paraId="5B4A01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131AB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99F09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543481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2434</w:t>
            </w:r>
          </w:p>
          <w:p w14:paraId="1131086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11B0DF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5F279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22ABC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2434</w:t>
            </w:r>
          </w:p>
          <w:p w14:paraId="1C99AD8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EA328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465E2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3BD1F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2434</w:t>
            </w:r>
          </w:p>
          <w:p w14:paraId="796150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975032C"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3D46199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w:t>
            </w:r>
          </w:p>
          <w:p w14:paraId="45503CE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23D20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Т-50</w:t>
            </w:r>
          </w:p>
          <w:p w14:paraId="6E0AB87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C52EA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3E89E5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E0FC9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EA0AFD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586CD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F7A44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094D8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1935C13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E421B7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092599A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28540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p w14:paraId="4D106F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A8591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w:t>
            </w:r>
          </w:p>
          <w:p w14:paraId="4128D40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65B94D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269FD0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71DF31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w:t>
            </w:r>
          </w:p>
          <w:p w14:paraId="23031C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83AD34C"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29077DE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w:t>
            </w:r>
          </w:p>
          <w:p w14:paraId="1F752B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D075D8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Т-26</w:t>
            </w:r>
          </w:p>
          <w:p w14:paraId="4E9B021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BAD143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11090</w:t>
            </w:r>
          </w:p>
          <w:p w14:paraId="29EE2B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111121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116</w:t>
            </w:r>
          </w:p>
          <w:p w14:paraId="76EF85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DDB796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11206</w:t>
            </w:r>
          </w:p>
          <w:p w14:paraId="47CC54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4C64FA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6EAF6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EF6497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11206</w:t>
            </w:r>
          </w:p>
          <w:p w14:paraId="096C83D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30A986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884DA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BB2730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11206</w:t>
            </w:r>
          </w:p>
          <w:p w14:paraId="17F45B8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467AD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88052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DF245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11206</w:t>
            </w:r>
          </w:p>
          <w:p w14:paraId="726A6F4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40E0014"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03C8FD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w:t>
            </w:r>
          </w:p>
          <w:p w14:paraId="50C2358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58D54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Т-80</w:t>
            </w:r>
          </w:p>
          <w:p w14:paraId="59FD78A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C0B6F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DB79B0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7C33E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853B1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DD5C2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C9FF0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EDBE0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44C36A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AD942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BE419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8C530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FD2928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C4C63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99B3F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3CF879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0B91242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A2437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3A7A61F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B004D99"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2825B8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p w14:paraId="4A272A9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B9A6D8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Т-70</w:t>
            </w:r>
          </w:p>
          <w:p w14:paraId="4E68992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DC74C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1D2599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DC468D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2F728F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EEC993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5BF10C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DF359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BBB11E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2AA9A3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5EA2A8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36E90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4883</w:t>
            </w:r>
          </w:p>
          <w:p w14:paraId="23A4C1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2A358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4883</w:t>
            </w:r>
          </w:p>
          <w:p w14:paraId="4F90C5F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0079D7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3343</w:t>
            </w:r>
          </w:p>
          <w:p w14:paraId="3F312E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CDB8F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8226</w:t>
            </w:r>
          </w:p>
          <w:p w14:paraId="6E179D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13CD2D8"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75ADB4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w:t>
            </w:r>
          </w:p>
          <w:p w14:paraId="23E4561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9C887C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Т-40-60</w:t>
            </w:r>
          </w:p>
          <w:p w14:paraId="6D0CBC3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C9CB6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w:t>
            </w:r>
          </w:p>
          <w:p w14:paraId="43042C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23808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181</w:t>
            </w:r>
          </w:p>
          <w:p w14:paraId="0A9A729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22A82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222</w:t>
            </w:r>
          </w:p>
          <w:p w14:paraId="13CA9C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EE8C4A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1873</w:t>
            </w:r>
          </w:p>
          <w:p w14:paraId="22CC280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D28A90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2095</w:t>
            </w:r>
          </w:p>
          <w:p w14:paraId="6BEA320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28D723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4474</w:t>
            </w:r>
          </w:p>
          <w:p w14:paraId="5763424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5F294A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6569</w:t>
            </w:r>
          </w:p>
          <w:p w14:paraId="163CC17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3D728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p w14:paraId="6043603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3CFBBC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6624</w:t>
            </w:r>
          </w:p>
          <w:p w14:paraId="2362D2C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DD71E82"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357164F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w:t>
            </w:r>
          </w:p>
          <w:p w14:paraId="5A3A15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1470AC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Т-38</w:t>
            </w:r>
          </w:p>
          <w:p w14:paraId="1D74AF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083B18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1142</w:t>
            </w:r>
          </w:p>
          <w:p w14:paraId="773F345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EC6F19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12DF3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ADDE6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1142</w:t>
            </w:r>
          </w:p>
          <w:p w14:paraId="4DD884D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66E064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5F38C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54EDD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1142</w:t>
            </w:r>
          </w:p>
          <w:p w14:paraId="74352EF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75890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BB044F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4530D4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1142</w:t>
            </w:r>
          </w:p>
          <w:p w14:paraId="51312A3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62C8BF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603623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ADBDB1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1142</w:t>
            </w:r>
          </w:p>
          <w:p w14:paraId="3F716FB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A4F1863"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0BA646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w:t>
            </w:r>
          </w:p>
          <w:p w14:paraId="49AB858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42EAD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Т-37</w:t>
            </w:r>
          </w:p>
          <w:p w14:paraId="1DCC04C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6DF12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2418</w:t>
            </w:r>
          </w:p>
          <w:p w14:paraId="26D43B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6FA35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7D2E28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0486F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2418</w:t>
            </w:r>
          </w:p>
          <w:p w14:paraId="65E810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2C25FA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5DD3FF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3EB076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2418</w:t>
            </w:r>
          </w:p>
          <w:p w14:paraId="7A8892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46071A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2F5E99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F0E32D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2418</w:t>
            </w:r>
          </w:p>
          <w:p w14:paraId="2EC17A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F77593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0A7992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8AA7FA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2418</w:t>
            </w:r>
          </w:p>
          <w:p w14:paraId="2FEEE18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9C7DCC0"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767831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p w14:paraId="691C6C8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27B93B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Т-27</w:t>
            </w:r>
          </w:p>
          <w:p w14:paraId="59DDA6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7427A6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2581</w:t>
            </w:r>
          </w:p>
          <w:p w14:paraId="3C5E670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CA37E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743DFE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1F1769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2581</w:t>
            </w:r>
          </w:p>
          <w:p w14:paraId="275E3D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568DF3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34726E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BAD40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2581</w:t>
            </w:r>
          </w:p>
          <w:p w14:paraId="20A043A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F5024B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09CC8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9BF49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2581</w:t>
            </w:r>
          </w:p>
          <w:p w14:paraId="5A6F3E3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8B3CF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53472F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82ABB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2581</w:t>
            </w:r>
          </w:p>
          <w:p w14:paraId="4A6BEF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526AE0B" w14:textId="77777777">
        <w:trPr>
          <w:trHeight w:val="221"/>
        </w:trPr>
        <w:tc>
          <w:tcPr>
            <w:tcW w:w="1239" w:type="dxa"/>
            <w:gridSpan w:val="2"/>
            <w:tcBorders>
              <w:top w:val="single" w:sz="6" w:space="0" w:color="auto"/>
              <w:left w:val="single" w:sz="6" w:space="0" w:color="auto"/>
              <w:bottom w:val="single" w:sz="6" w:space="0" w:color="auto"/>
              <w:right w:val="single" w:sz="6" w:space="0" w:color="auto"/>
            </w:tcBorders>
          </w:tcPr>
          <w:p w14:paraId="736C76A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танков</w:t>
            </w:r>
          </w:p>
          <w:p w14:paraId="2311F59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3083A0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26013</w:t>
            </w:r>
          </w:p>
          <w:p w14:paraId="6DA664D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377B7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1800</w:t>
            </w:r>
          </w:p>
          <w:p w14:paraId="42D7901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2C03E9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27813</w:t>
            </w:r>
          </w:p>
          <w:p w14:paraId="042D039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DEF73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4742</w:t>
            </w:r>
          </w:p>
          <w:p w14:paraId="76233FF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15A022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32555</w:t>
            </w:r>
          </w:p>
          <w:p w14:paraId="3510A1B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A18379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24445</w:t>
            </w:r>
          </w:p>
          <w:p w14:paraId="6E1903A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0AE04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57000</w:t>
            </w:r>
          </w:p>
          <w:p w14:paraId="3EE2D20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EA0C3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19892</w:t>
            </w:r>
          </w:p>
          <w:p w14:paraId="1877936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E5EDB3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76892</w:t>
            </w:r>
          </w:p>
          <w:p w14:paraId="580BBB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7EFC1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танкового управления ГБТУ КА генерал-майор инженерно-танковой службы Афонин</w:t>
      </w:r>
    </w:p>
    <w:p w14:paraId="53CED10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663. Л. 9. Подлинник (11403).</w:t>
      </w:r>
    </w:p>
    <w:p w14:paraId="40355B7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A03F73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СПРАВКА ГАВТУ КА О НАЛИЧИИ В КРАСНОЙ АРМИИ ИМПОРТНЫХ АВТОМАШИН И ИХ ТЕХНИЧЕСКОМ СОСТОЯНИИ НА 1.01.1944 г. №1200344</w:t>
      </w:r>
    </w:p>
    <w:tbl>
      <w:tblPr>
        <w:tblW w:w="0" w:type="auto"/>
        <w:tblInd w:w="40" w:type="dxa"/>
        <w:tblLayout w:type="fixed"/>
        <w:tblCellMar>
          <w:left w:w="40" w:type="dxa"/>
          <w:right w:w="40" w:type="dxa"/>
        </w:tblCellMar>
        <w:tblLook w:val="0000" w:firstRow="0" w:lastRow="0" w:firstColumn="0" w:lastColumn="0" w:noHBand="0" w:noVBand="0"/>
      </w:tblPr>
      <w:tblGrid>
        <w:gridCol w:w="480"/>
        <w:gridCol w:w="1978"/>
        <w:gridCol w:w="854"/>
        <w:gridCol w:w="1565"/>
        <w:gridCol w:w="1555"/>
        <w:gridCol w:w="1690"/>
      </w:tblGrid>
      <w:tr w:rsidR="00CB5308" w:rsidRPr="00070ADE" w14:paraId="59A39A13" w14:textId="77777777">
        <w:trPr>
          <w:trHeight w:val="230"/>
        </w:trPr>
        <w:tc>
          <w:tcPr>
            <w:tcW w:w="480" w:type="dxa"/>
            <w:tcBorders>
              <w:top w:val="single" w:sz="6" w:space="0" w:color="auto"/>
              <w:left w:val="single" w:sz="6" w:space="0" w:color="auto"/>
              <w:bottom w:val="nil"/>
              <w:right w:val="single" w:sz="6" w:space="0" w:color="auto"/>
            </w:tcBorders>
          </w:tcPr>
          <w:p w14:paraId="652F0D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п/п</w:t>
            </w:r>
          </w:p>
          <w:p w14:paraId="592FA8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nil"/>
              <w:right w:val="single" w:sz="6" w:space="0" w:color="auto"/>
            </w:tcBorders>
          </w:tcPr>
          <w:p w14:paraId="1450415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Марка машины</w:t>
            </w:r>
          </w:p>
          <w:p w14:paraId="65E6746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nil"/>
              <w:right w:val="single" w:sz="6" w:space="0" w:color="auto"/>
            </w:tcBorders>
          </w:tcPr>
          <w:p w14:paraId="550D55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Наличие</w:t>
            </w:r>
          </w:p>
          <w:p w14:paraId="7B9CFD7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10" w:type="dxa"/>
            <w:gridSpan w:val="3"/>
            <w:tcBorders>
              <w:top w:val="single" w:sz="6" w:space="0" w:color="auto"/>
              <w:left w:val="single" w:sz="6" w:space="0" w:color="auto"/>
              <w:bottom w:val="single" w:sz="6" w:space="0" w:color="auto"/>
              <w:right w:val="single" w:sz="6" w:space="0" w:color="auto"/>
            </w:tcBorders>
          </w:tcPr>
          <w:p w14:paraId="50B5288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них:</w:t>
            </w:r>
          </w:p>
          <w:p w14:paraId="50E0C2F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ACF539F" w14:textId="77777777">
        <w:trPr>
          <w:trHeight w:val="211"/>
        </w:trPr>
        <w:tc>
          <w:tcPr>
            <w:tcW w:w="480" w:type="dxa"/>
            <w:tcBorders>
              <w:top w:val="nil"/>
              <w:left w:val="single" w:sz="6" w:space="0" w:color="auto"/>
              <w:bottom w:val="single" w:sz="6" w:space="0" w:color="auto"/>
              <w:right w:val="single" w:sz="6" w:space="0" w:color="auto"/>
            </w:tcBorders>
          </w:tcPr>
          <w:p w14:paraId="745AB4C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6D6030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nil"/>
              <w:left w:val="single" w:sz="6" w:space="0" w:color="auto"/>
              <w:bottom w:val="single" w:sz="6" w:space="0" w:color="auto"/>
              <w:right w:val="single" w:sz="6" w:space="0" w:color="auto"/>
            </w:tcBorders>
          </w:tcPr>
          <w:p w14:paraId="6B3EB0A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F0BEEB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nil"/>
              <w:left w:val="single" w:sz="6" w:space="0" w:color="auto"/>
              <w:bottom w:val="single" w:sz="6" w:space="0" w:color="auto"/>
              <w:right w:val="single" w:sz="6" w:space="0" w:color="auto"/>
            </w:tcBorders>
          </w:tcPr>
          <w:p w14:paraId="67D148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2E7AE9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6D22F3A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исправных</w:t>
            </w:r>
          </w:p>
          <w:p w14:paraId="70E980F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490477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среднего ремонта</w:t>
            </w:r>
          </w:p>
          <w:p w14:paraId="4B6509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7E19FE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капитального ремонта</w:t>
            </w:r>
          </w:p>
          <w:p w14:paraId="463C1A7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B4D99A3"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4EC7A3D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5BE49D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C86E4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Бантам</w:t>
            </w:r>
          </w:p>
          <w:p w14:paraId="0E0ABE9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D3F294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201</w:t>
            </w:r>
          </w:p>
          <w:p w14:paraId="0B1F9B5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697B0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96</w:t>
            </w:r>
          </w:p>
          <w:p w14:paraId="145FB74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3707E2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w:t>
            </w:r>
          </w:p>
          <w:p w14:paraId="447FDD4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7859152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p w14:paraId="0C8D7EF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50B18C5"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B0BC10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6CF825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06C157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Виллис</w:t>
            </w:r>
          </w:p>
          <w:p w14:paraId="42405EA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A7CE3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9215</w:t>
            </w:r>
          </w:p>
          <w:p w14:paraId="64409C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1DC9EDD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6181</w:t>
            </w:r>
          </w:p>
          <w:p w14:paraId="66B6B35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0A09EC3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2010</w:t>
            </w:r>
          </w:p>
          <w:p w14:paraId="39B7BFE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94953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824</w:t>
            </w:r>
          </w:p>
          <w:p w14:paraId="6D0FDF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96109B1"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65C1F3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5C99810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07F882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Бедфорд</w:t>
            </w:r>
          </w:p>
          <w:p w14:paraId="63B14E7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41D14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638</w:t>
            </w:r>
          </w:p>
          <w:p w14:paraId="0A9581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49886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425</w:t>
            </w:r>
          </w:p>
          <w:p w14:paraId="0A7242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5C60C6A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159</w:t>
            </w:r>
          </w:p>
          <w:p w14:paraId="07B2EC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7622558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w:t>
            </w:r>
          </w:p>
          <w:p w14:paraId="1E37AF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5CB863D"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7ABDB5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5AEAAB6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77BF60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Додж</w:t>
            </w:r>
          </w:p>
          <w:p w14:paraId="03DD119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2F844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6288</w:t>
            </w:r>
          </w:p>
          <w:p w14:paraId="1973D40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0B9AA1F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4628</w:t>
            </w:r>
          </w:p>
          <w:p w14:paraId="4644066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3AB755F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1185</w:t>
            </w:r>
          </w:p>
          <w:p w14:paraId="2668F0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22D73C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475</w:t>
            </w:r>
          </w:p>
          <w:p w14:paraId="36423A8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10E76D1"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0BE993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5.</w:t>
            </w:r>
          </w:p>
          <w:p w14:paraId="1ABB18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6B0DB4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Остин</w:t>
            </w:r>
          </w:p>
          <w:p w14:paraId="19D9441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F1594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181</w:t>
            </w:r>
          </w:p>
          <w:p w14:paraId="39FB29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7366E0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w:t>
            </w:r>
          </w:p>
          <w:p w14:paraId="4CCB5A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304905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w:t>
            </w:r>
          </w:p>
          <w:p w14:paraId="7C7136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1E3A79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p w14:paraId="445AF8F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B496215"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2F134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p w14:paraId="0A7CABF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BDE651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Форд</w:t>
            </w:r>
          </w:p>
          <w:p w14:paraId="4DD92A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1F38AB0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13731</w:t>
            </w:r>
          </w:p>
          <w:p w14:paraId="5C0725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192A418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9561</w:t>
            </w:r>
          </w:p>
          <w:p w14:paraId="0520E6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5A4541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2907</w:t>
            </w:r>
          </w:p>
          <w:p w14:paraId="2DE882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4BD0C45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1263</w:t>
            </w:r>
          </w:p>
          <w:p w14:paraId="230A40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C49D503"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2944B48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p w14:paraId="4BCE139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3BD1F6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Мармон</w:t>
            </w:r>
          </w:p>
          <w:p w14:paraId="00EF14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EE495D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w:t>
            </w:r>
          </w:p>
          <w:p w14:paraId="525682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BD2885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w:t>
            </w:r>
          </w:p>
          <w:p w14:paraId="36C5317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4606B2F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w:t>
            </w:r>
          </w:p>
          <w:p w14:paraId="0A0C6B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197E0E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p w14:paraId="13FDD7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CA0F1E6"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077D90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p w14:paraId="7728277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A7DEB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Шевроле</w:t>
            </w:r>
          </w:p>
          <w:p w14:paraId="2BB7B26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142CD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7689</w:t>
            </w:r>
          </w:p>
          <w:p w14:paraId="3AD117B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0288686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5339</w:t>
            </w:r>
          </w:p>
          <w:p w14:paraId="461A20D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736AC7C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1727</w:t>
            </w:r>
          </w:p>
          <w:p w14:paraId="627DF3F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1504C4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623</w:t>
            </w:r>
          </w:p>
          <w:p w14:paraId="72EDECC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0B0667F"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56CBE2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p w14:paraId="27C891F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494DE3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Интернационал</w:t>
            </w:r>
          </w:p>
          <w:p w14:paraId="6E1CC46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0A6C1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2343</w:t>
            </w:r>
          </w:p>
          <w:p w14:paraId="7859A2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1C7ED9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1815</w:t>
            </w:r>
          </w:p>
          <w:p w14:paraId="0DF18BA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06872D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480</w:t>
            </w:r>
          </w:p>
          <w:p w14:paraId="0AD946F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4C83238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w:t>
            </w:r>
          </w:p>
          <w:p w14:paraId="5DF6D0A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3D00672"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6A58F4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71A1D3F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84E87D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Студебеккер</w:t>
            </w:r>
          </w:p>
          <w:p w14:paraId="27BD67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8317B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25811</w:t>
            </w:r>
          </w:p>
          <w:p w14:paraId="0D4B49E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1C5F70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23412</w:t>
            </w:r>
          </w:p>
          <w:p w14:paraId="147807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5BD0F3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2026</w:t>
            </w:r>
          </w:p>
          <w:p w14:paraId="7A2705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4609DDA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373</w:t>
            </w:r>
          </w:p>
          <w:p w14:paraId="038942B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A394054"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1E94193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p w14:paraId="3297DF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075D2B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Джиемси</w:t>
            </w:r>
          </w:p>
          <w:p w14:paraId="1C66AA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9B7E9D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3637</w:t>
            </w:r>
          </w:p>
          <w:p w14:paraId="0F92A93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08732B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2273</w:t>
            </w:r>
          </w:p>
          <w:p w14:paraId="454F28E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08E089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931</w:t>
            </w:r>
          </w:p>
          <w:p w14:paraId="28FD13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0FEB37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433</w:t>
            </w:r>
          </w:p>
          <w:p w14:paraId="4DB0299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F3BDDF5"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0165BD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p w14:paraId="37282DD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B7369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Додж ѕ</w:t>
            </w:r>
          </w:p>
          <w:p w14:paraId="35B544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61A9A8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p w14:paraId="45A698F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346FB7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239</w:t>
            </w:r>
          </w:p>
          <w:p w14:paraId="752B00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0DC7548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3303B0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2FA8C45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78819B9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2B65ABE"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6BEC6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p w14:paraId="6FD8263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2402B7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Прочие иномарки</w:t>
            </w:r>
          </w:p>
          <w:p w14:paraId="02D008F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1F591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2089</w:t>
            </w:r>
          </w:p>
          <w:p w14:paraId="44D9C3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713A0DF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10096</w:t>
            </w:r>
          </w:p>
          <w:p w14:paraId="5B37E9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0B0487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1431</w:t>
            </w:r>
          </w:p>
          <w:p w14:paraId="47DF2E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81015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561</w:t>
            </w:r>
          </w:p>
          <w:p w14:paraId="7C0FBC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32835F8" w14:textId="77777777">
        <w:trPr>
          <w:trHeight w:val="250"/>
        </w:trPr>
        <w:tc>
          <w:tcPr>
            <w:tcW w:w="480" w:type="dxa"/>
            <w:tcBorders>
              <w:top w:val="single" w:sz="6" w:space="0" w:color="auto"/>
              <w:left w:val="single" w:sz="6" w:space="0" w:color="auto"/>
              <w:bottom w:val="single" w:sz="6" w:space="0" w:color="auto"/>
              <w:right w:val="single" w:sz="6" w:space="0" w:color="auto"/>
            </w:tcBorders>
          </w:tcPr>
          <w:p w14:paraId="28C3DD0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0228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6E2909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p w14:paraId="4CD0C8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0A29E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82184</w:t>
            </w:r>
          </w:p>
          <w:p w14:paraId="799DE5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397F05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64469</w:t>
            </w:r>
          </w:p>
          <w:p w14:paraId="5913B3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63D0DA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13019</w:t>
            </w:r>
          </w:p>
          <w:p w14:paraId="5E5A12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4079EC6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4696</w:t>
            </w:r>
          </w:p>
          <w:p w14:paraId="206DE64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8AB2E7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ГАВТУ КА генерал-майор технических войск Мизонов</w:t>
      </w:r>
    </w:p>
    <w:p w14:paraId="4A21FD4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41. Оп. 11584. Д. 175. Л. 13. Копия (11403).</w:t>
      </w:r>
    </w:p>
    <w:p w14:paraId="14FF08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6EF4F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СПРАВКА О НАЛИЧИИ АВТОМОБИЛЕЙ ИНОМАРОК В ВОЙСКАХ КРАСНОЙ АРМИИ ПО СОСТОЯНИЮ НА 1 ЯНВАРЯ 1944 г.</w:t>
      </w:r>
    </w:p>
    <w:tbl>
      <w:tblPr>
        <w:tblW w:w="0" w:type="auto"/>
        <w:tblInd w:w="40" w:type="dxa"/>
        <w:tblLayout w:type="fixed"/>
        <w:tblCellMar>
          <w:left w:w="40" w:type="dxa"/>
          <w:right w:w="40" w:type="dxa"/>
        </w:tblCellMar>
        <w:tblLook w:val="0000" w:firstRow="0" w:lastRow="0" w:firstColumn="0" w:lastColumn="0" w:noHBand="0" w:noVBand="0"/>
      </w:tblPr>
      <w:tblGrid>
        <w:gridCol w:w="2362"/>
        <w:gridCol w:w="1450"/>
        <w:gridCol w:w="970"/>
        <w:gridCol w:w="970"/>
        <w:gridCol w:w="950"/>
        <w:gridCol w:w="998"/>
        <w:gridCol w:w="979"/>
        <w:gridCol w:w="931"/>
      </w:tblGrid>
      <w:tr w:rsidR="00CB5308" w:rsidRPr="00070ADE" w14:paraId="049B1EF7" w14:textId="77777777">
        <w:trPr>
          <w:trHeight w:val="230"/>
        </w:trPr>
        <w:tc>
          <w:tcPr>
            <w:tcW w:w="2362" w:type="dxa"/>
            <w:tcBorders>
              <w:top w:val="single" w:sz="6" w:space="0" w:color="auto"/>
              <w:left w:val="single" w:sz="6" w:space="0" w:color="auto"/>
              <w:bottom w:val="nil"/>
              <w:right w:val="single" w:sz="6" w:space="0" w:color="auto"/>
            </w:tcBorders>
          </w:tcPr>
          <w:p w14:paraId="75C75C1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 фронта</w:t>
            </w:r>
          </w:p>
          <w:p w14:paraId="7C25E25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nil"/>
              <w:right w:val="single" w:sz="6" w:space="0" w:color="auto"/>
            </w:tcBorders>
          </w:tcPr>
          <w:p w14:paraId="5468C56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иномарок на 1.01.1944 г.</w:t>
            </w:r>
          </w:p>
          <w:p w14:paraId="5269B0E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98" w:type="dxa"/>
            <w:gridSpan w:val="6"/>
            <w:tcBorders>
              <w:top w:val="single" w:sz="6" w:space="0" w:color="auto"/>
              <w:left w:val="single" w:sz="6" w:space="0" w:color="auto"/>
              <w:bottom w:val="single" w:sz="6" w:space="0" w:color="auto"/>
              <w:right w:val="single" w:sz="6" w:space="0" w:color="auto"/>
            </w:tcBorders>
          </w:tcPr>
          <w:p w14:paraId="3BB42F0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том числе по маркам</w:t>
            </w:r>
          </w:p>
          <w:p w14:paraId="0A7D51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AD6C8D8" w14:textId="77777777">
        <w:trPr>
          <w:trHeight w:val="211"/>
        </w:trPr>
        <w:tc>
          <w:tcPr>
            <w:tcW w:w="2362" w:type="dxa"/>
            <w:tcBorders>
              <w:top w:val="nil"/>
              <w:left w:val="single" w:sz="6" w:space="0" w:color="auto"/>
              <w:bottom w:val="single" w:sz="6" w:space="0" w:color="auto"/>
              <w:right w:val="single" w:sz="6" w:space="0" w:color="auto"/>
            </w:tcBorders>
          </w:tcPr>
          <w:p w14:paraId="4DFFA8E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3FF37C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nil"/>
              <w:left w:val="single" w:sz="6" w:space="0" w:color="auto"/>
              <w:bottom w:val="single" w:sz="6" w:space="0" w:color="auto"/>
              <w:right w:val="single" w:sz="6" w:space="0" w:color="auto"/>
            </w:tcBorders>
          </w:tcPr>
          <w:p w14:paraId="510AA36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02C954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967378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Виллис</w:t>
            </w:r>
          </w:p>
          <w:p w14:paraId="37CA307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2B28A8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Форд-6</w:t>
            </w:r>
          </w:p>
          <w:p w14:paraId="7678CDC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37A633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Додж</w:t>
            </w:r>
          </w:p>
          <w:p w14:paraId="593D29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A79316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Студебекер</w:t>
            </w:r>
          </w:p>
          <w:p w14:paraId="3669226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A595EB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Шевроле</w:t>
            </w:r>
          </w:p>
          <w:p w14:paraId="5192C2F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64EFB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Прочие</w:t>
            </w:r>
          </w:p>
          <w:p w14:paraId="1F1F32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863BFB0"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6CE3BD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Карельский</w:t>
            </w:r>
          </w:p>
          <w:p w14:paraId="77F9A3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F0B22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195</w:t>
            </w:r>
          </w:p>
          <w:p w14:paraId="292A68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AE55B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2BF766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D17C0A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p w14:paraId="2346037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FFF7B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1743921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649452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3EE51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8B6397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41C711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CEBA74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w:t>
            </w:r>
          </w:p>
          <w:p w14:paraId="477BEDE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43F9513"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25BDC94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Ленинградский</w:t>
            </w:r>
          </w:p>
          <w:p w14:paraId="7CDFC33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F51230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1213</w:t>
            </w:r>
          </w:p>
          <w:p w14:paraId="56BA45D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315678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w:t>
            </w:r>
          </w:p>
          <w:p w14:paraId="2732530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0A8265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w:t>
            </w:r>
          </w:p>
          <w:p w14:paraId="5DD36F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35E266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p w14:paraId="1DF4620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361CF9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403</w:t>
            </w:r>
          </w:p>
          <w:p w14:paraId="1A65589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D03EA4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p w14:paraId="5A3E73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28EEC9B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458</w:t>
            </w:r>
          </w:p>
          <w:p w14:paraId="6BBE07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08D6166"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4646EF5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Волховский</w:t>
            </w:r>
          </w:p>
          <w:p w14:paraId="2A57C2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03C12AB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248F82D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09A86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237</w:t>
            </w:r>
          </w:p>
          <w:p w14:paraId="333288D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4B891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w:t>
            </w:r>
          </w:p>
          <w:p w14:paraId="27B481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2E641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w:t>
            </w:r>
          </w:p>
          <w:p w14:paraId="66695D3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3293C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w:t>
            </w:r>
          </w:p>
          <w:p w14:paraId="1002E59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A2E01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w:t>
            </w:r>
          </w:p>
          <w:p w14:paraId="320082E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8AAD1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w:t>
            </w:r>
          </w:p>
          <w:p w14:paraId="2C4079C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73CFDFE" w14:textId="77777777">
        <w:trPr>
          <w:trHeight w:val="221"/>
        </w:trPr>
        <w:tc>
          <w:tcPr>
            <w:tcW w:w="2362" w:type="dxa"/>
            <w:tcBorders>
              <w:top w:val="single" w:sz="6" w:space="0" w:color="auto"/>
              <w:left w:val="single" w:sz="6" w:space="0" w:color="auto"/>
              <w:bottom w:val="single" w:sz="6" w:space="0" w:color="auto"/>
              <w:right w:val="single" w:sz="6" w:space="0" w:color="auto"/>
            </w:tcBorders>
          </w:tcPr>
          <w:p w14:paraId="0ADE5B2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Прибалтийский</w:t>
            </w:r>
          </w:p>
          <w:p w14:paraId="0F5C8E0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CC0D98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6250</w:t>
            </w:r>
          </w:p>
          <w:p w14:paraId="3D6746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E00BB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599</w:t>
            </w:r>
          </w:p>
          <w:p w14:paraId="3D2550C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B9895C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1467</w:t>
            </w:r>
          </w:p>
          <w:p w14:paraId="07B678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E2F95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718</w:t>
            </w:r>
          </w:p>
          <w:p w14:paraId="028910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F48D78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2038</w:t>
            </w:r>
          </w:p>
          <w:p w14:paraId="088148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2C2CF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506</w:t>
            </w:r>
          </w:p>
          <w:p w14:paraId="669EB9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724D29C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922</w:t>
            </w:r>
          </w:p>
          <w:p w14:paraId="15479C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7236949" w14:textId="77777777">
        <w:trPr>
          <w:trHeight w:val="240"/>
        </w:trPr>
        <w:tc>
          <w:tcPr>
            <w:tcW w:w="2362" w:type="dxa"/>
            <w:tcBorders>
              <w:top w:val="single" w:sz="6" w:space="0" w:color="auto"/>
              <w:left w:val="single" w:sz="6" w:space="0" w:color="auto"/>
              <w:bottom w:val="single" w:sz="6" w:space="0" w:color="auto"/>
              <w:right w:val="single" w:sz="6" w:space="0" w:color="auto"/>
            </w:tcBorders>
          </w:tcPr>
          <w:p w14:paraId="79E8E3F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2-й Прибалтийский</w:t>
            </w:r>
          </w:p>
          <w:p w14:paraId="767E941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104C9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4171</w:t>
            </w:r>
          </w:p>
          <w:p w14:paraId="5FA460B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01FE83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657</w:t>
            </w:r>
          </w:p>
          <w:p w14:paraId="231D1A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E98AA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479</w:t>
            </w:r>
          </w:p>
          <w:p w14:paraId="31C9D7F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76ED4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313</w:t>
            </w:r>
          </w:p>
          <w:p w14:paraId="61DF08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460F5F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1897</w:t>
            </w:r>
          </w:p>
          <w:p w14:paraId="56C9C5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59C2AC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348</w:t>
            </w:r>
          </w:p>
          <w:p w14:paraId="2321D91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491A4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477</w:t>
            </w:r>
          </w:p>
          <w:p w14:paraId="425B64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FCCD826"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348AFF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Западный</w:t>
            </w:r>
          </w:p>
          <w:p w14:paraId="5382F1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181FE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5001</w:t>
            </w:r>
          </w:p>
          <w:p w14:paraId="530064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127FA9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760</w:t>
            </w:r>
          </w:p>
          <w:p w14:paraId="05C659B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56B8A0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859</w:t>
            </w:r>
          </w:p>
          <w:p w14:paraId="299C22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5D5830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403</w:t>
            </w:r>
          </w:p>
          <w:p w14:paraId="4B0FC0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660EFE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1515</w:t>
            </w:r>
          </w:p>
          <w:p w14:paraId="3FE0D0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E9D5FF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558</w:t>
            </w:r>
          </w:p>
          <w:p w14:paraId="6676BE9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7479EA5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906</w:t>
            </w:r>
          </w:p>
          <w:p w14:paraId="041EE1E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2915052"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608CE7F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Белорусский</w:t>
            </w:r>
          </w:p>
          <w:p w14:paraId="18ACF25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DD998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7800</w:t>
            </w:r>
          </w:p>
          <w:p w14:paraId="5FC69B0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1353C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1263</w:t>
            </w:r>
          </w:p>
          <w:p w14:paraId="5255104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45E7A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1289</w:t>
            </w:r>
          </w:p>
          <w:p w14:paraId="5789245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3430BC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781</w:t>
            </w:r>
          </w:p>
          <w:p w14:paraId="7E2858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CE41D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2432</w:t>
            </w:r>
          </w:p>
          <w:p w14:paraId="0642D3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CAA59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1239</w:t>
            </w:r>
          </w:p>
          <w:p w14:paraId="3E32AC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3916968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796</w:t>
            </w:r>
          </w:p>
          <w:p w14:paraId="329894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61CB4BA" w14:textId="77777777">
        <w:trPr>
          <w:trHeight w:val="221"/>
        </w:trPr>
        <w:tc>
          <w:tcPr>
            <w:tcW w:w="2362" w:type="dxa"/>
            <w:tcBorders>
              <w:top w:val="single" w:sz="6" w:space="0" w:color="auto"/>
              <w:left w:val="single" w:sz="6" w:space="0" w:color="auto"/>
              <w:bottom w:val="single" w:sz="6" w:space="0" w:color="auto"/>
              <w:right w:val="single" w:sz="6" w:space="0" w:color="auto"/>
            </w:tcBorders>
          </w:tcPr>
          <w:p w14:paraId="3BC3171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Украинский</w:t>
            </w:r>
          </w:p>
          <w:p w14:paraId="46594A6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A895AF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9540</w:t>
            </w:r>
          </w:p>
          <w:p w14:paraId="3272A87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3B6B48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1228</w:t>
            </w:r>
          </w:p>
          <w:p w14:paraId="433969B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C98E8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2222</w:t>
            </w:r>
          </w:p>
          <w:p w14:paraId="61109C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55B7D9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670</w:t>
            </w:r>
          </w:p>
          <w:p w14:paraId="31EE21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782AA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3116</w:t>
            </w:r>
          </w:p>
          <w:p w14:paraId="0AE329A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7C194F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1050</w:t>
            </w:r>
          </w:p>
          <w:p w14:paraId="687C31B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7F8B90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1254</w:t>
            </w:r>
          </w:p>
          <w:p w14:paraId="283EA3C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8E3E161" w14:textId="77777777">
        <w:trPr>
          <w:trHeight w:val="240"/>
        </w:trPr>
        <w:tc>
          <w:tcPr>
            <w:tcW w:w="2362" w:type="dxa"/>
            <w:tcBorders>
              <w:top w:val="single" w:sz="6" w:space="0" w:color="auto"/>
              <w:left w:val="single" w:sz="6" w:space="0" w:color="auto"/>
              <w:bottom w:val="single" w:sz="6" w:space="0" w:color="auto"/>
              <w:right w:val="single" w:sz="6" w:space="0" w:color="auto"/>
            </w:tcBorders>
          </w:tcPr>
          <w:p w14:paraId="164DEA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2-й Украинский</w:t>
            </w:r>
          </w:p>
          <w:p w14:paraId="463C8D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C1AC8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7868</w:t>
            </w:r>
          </w:p>
          <w:p w14:paraId="4A99FE3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0B9611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1144</w:t>
            </w:r>
          </w:p>
          <w:p w14:paraId="32CE67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3590F8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1339</w:t>
            </w:r>
          </w:p>
          <w:p w14:paraId="7AB664C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244BD8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405</w:t>
            </w:r>
          </w:p>
          <w:p w14:paraId="62277D2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FF8C88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2664</w:t>
            </w:r>
          </w:p>
          <w:p w14:paraId="26311B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503D1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881</w:t>
            </w:r>
          </w:p>
          <w:p w14:paraId="3E95636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412E81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1435</w:t>
            </w:r>
          </w:p>
          <w:p w14:paraId="645DAD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C2603B1" w14:textId="77777777">
        <w:trPr>
          <w:trHeight w:val="221"/>
        </w:trPr>
        <w:tc>
          <w:tcPr>
            <w:tcW w:w="2362" w:type="dxa"/>
            <w:tcBorders>
              <w:top w:val="single" w:sz="6" w:space="0" w:color="auto"/>
              <w:left w:val="single" w:sz="6" w:space="0" w:color="auto"/>
              <w:bottom w:val="single" w:sz="6" w:space="0" w:color="auto"/>
              <w:right w:val="single" w:sz="6" w:space="0" w:color="auto"/>
            </w:tcBorders>
          </w:tcPr>
          <w:p w14:paraId="594A4E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3-й Украинский</w:t>
            </w:r>
          </w:p>
          <w:p w14:paraId="12A821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57142D1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3627</w:t>
            </w:r>
          </w:p>
          <w:p w14:paraId="3C12E2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B93168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656</w:t>
            </w:r>
          </w:p>
          <w:p w14:paraId="14D42D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AD90C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665</w:t>
            </w:r>
          </w:p>
          <w:p w14:paraId="63B7D3D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E4671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347</w:t>
            </w:r>
          </w:p>
          <w:p w14:paraId="0F78C91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7C767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1072</w:t>
            </w:r>
          </w:p>
          <w:p w14:paraId="27D2B6B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9B73C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601</w:t>
            </w:r>
          </w:p>
          <w:p w14:paraId="65A74D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E50E45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286</w:t>
            </w:r>
          </w:p>
          <w:p w14:paraId="6055F1B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74DD838"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396888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4-й Украинский</w:t>
            </w:r>
          </w:p>
          <w:p w14:paraId="7A55D33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49954A5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6445</w:t>
            </w:r>
          </w:p>
          <w:p w14:paraId="7F519F3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9567A0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753</w:t>
            </w:r>
          </w:p>
          <w:p w14:paraId="0594C9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7F55F7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1559</w:t>
            </w:r>
          </w:p>
          <w:p w14:paraId="5B5D307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118972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608</w:t>
            </w:r>
          </w:p>
          <w:p w14:paraId="476B71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FF9E6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2188</w:t>
            </w:r>
          </w:p>
          <w:p w14:paraId="3106972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4E0D3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624</w:t>
            </w:r>
          </w:p>
          <w:p w14:paraId="201298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462EC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713</w:t>
            </w:r>
          </w:p>
          <w:p w14:paraId="621B95C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1D8AC6C"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606CCFE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Закавказский</w:t>
            </w:r>
          </w:p>
          <w:p w14:paraId="496FEE6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6192B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3637</w:t>
            </w:r>
          </w:p>
          <w:p w14:paraId="6E9DF8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D4283A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96</w:t>
            </w:r>
          </w:p>
          <w:p w14:paraId="3BC0C79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DB5378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526</w:t>
            </w:r>
          </w:p>
          <w:p w14:paraId="5C2124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E8885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338</w:t>
            </w:r>
          </w:p>
          <w:p w14:paraId="5667B74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3EFD1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1814</w:t>
            </w:r>
          </w:p>
          <w:p w14:paraId="025539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A8AE8F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84</w:t>
            </w:r>
          </w:p>
          <w:p w14:paraId="5E1932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7BE4A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779</w:t>
            </w:r>
          </w:p>
          <w:p w14:paraId="2A2B7FF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C55F702"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505BA3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Резервные армии</w:t>
            </w:r>
          </w:p>
          <w:p w14:paraId="66AD46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06E7A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10555</w:t>
            </w:r>
          </w:p>
          <w:p w14:paraId="4967C08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C51343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521</w:t>
            </w:r>
          </w:p>
          <w:p w14:paraId="424DC90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D26B6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1012</w:t>
            </w:r>
          </w:p>
          <w:p w14:paraId="113D414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5FE52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669</w:t>
            </w:r>
          </w:p>
          <w:p w14:paraId="389FAA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06927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554</w:t>
            </w:r>
          </w:p>
          <w:p w14:paraId="3D15E68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C3A9BC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w:t>
            </w:r>
          </w:p>
          <w:p w14:paraId="3F779C2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AAE631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7449</w:t>
            </w:r>
          </w:p>
          <w:p w14:paraId="3F1CBB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82DF13E" w14:textId="77777777">
        <w:trPr>
          <w:trHeight w:val="432"/>
        </w:trPr>
        <w:tc>
          <w:tcPr>
            <w:tcW w:w="2362" w:type="dxa"/>
            <w:tcBorders>
              <w:top w:val="single" w:sz="6" w:space="0" w:color="auto"/>
              <w:left w:val="single" w:sz="6" w:space="0" w:color="auto"/>
              <w:bottom w:val="single" w:sz="6" w:space="0" w:color="auto"/>
              <w:right w:val="single" w:sz="6" w:space="0" w:color="auto"/>
            </w:tcBorders>
          </w:tcPr>
          <w:p w14:paraId="18F1EF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 по фронтам Итого по округам</w:t>
            </w:r>
          </w:p>
          <w:p w14:paraId="147B116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50583A7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66977 9879</w:t>
            </w:r>
          </w:p>
          <w:p w14:paraId="63C8E0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C6A70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8191 1087</w:t>
            </w:r>
          </w:p>
          <w:p w14:paraId="0A649DF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10BBBF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11633 2435</w:t>
            </w:r>
          </w:p>
          <w:p w14:paraId="4A3764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A07093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5364 1355</w:t>
            </w:r>
          </w:p>
          <w:p w14:paraId="0AF954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A28C47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19766 2278</w:t>
            </w:r>
          </w:p>
          <w:p w14:paraId="2905240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54304F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6332 601</w:t>
            </w:r>
          </w:p>
          <w:p w14:paraId="37235A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25FD5E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15691 2123</w:t>
            </w:r>
          </w:p>
          <w:p w14:paraId="119DA77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97C80C7" w14:textId="77777777">
        <w:trPr>
          <w:trHeight w:val="250"/>
        </w:trPr>
        <w:tc>
          <w:tcPr>
            <w:tcW w:w="2362" w:type="dxa"/>
            <w:tcBorders>
              <w:top w:val="single" w:sz="6" w:space="0" w:color="auto"/>
              <w:left w:val="single" w:sz="6" w:space="0" w:color="auto"/>
              <w:bottom w:val="single" w:sz="6" w:space="0" w:color="auto"/>
              <w:right w:val="single" w:sz="6" w:space="0" w:color="auto"/>
            </w:tcBorders>
          </w:tcPr>
          <w:p w14:paraId="458CCB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 по Красной Армии</w:t>
            </w:r>
          </w:p>
          <w:p w14:paraId="4559E1F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43EC24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76856</w:t>
            </w:r>
          </w:p>
          <w:p w14:paraId="16B020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DCEED8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9278</w:t>
            </w:r>
          </w:p>
          <w:p w14:paraId="067C5B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BDF1F9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14068</w:t>
            </w:r>
          </w:p>
          <w:p w14:paraId="69CC8A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6E366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6719</w:t>
            </w:r>
          </w:p>
          <w:p w14:paraId="3CD84AC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0B96D9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22044</w:t>
            </w:r>
          </w:p>
          <w:p w14:paraId="74AEF8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772BB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6933</w:t>
            </w:r>
          </w:p>
          <w:p w14:paraId="077D9A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7896C8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17814</w:t>
            </w:r>
          </w:p>
          <w:p w14:paraId="4B8D5ED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86512E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2 отдела РУ ГАВТУ КА инженер-полковник Васильев</w:t>
      </w:r>
    </w:p>
    <w:p w14:paraId="2892319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41. Оп. 11580. Д. 148. Л. 38. Подлинник (11403).</w:t>
      </w:r>
    </w:p>
    <w:p w14:paraId="0B85E86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E42D238" w14:textId="77777777" w:rsidR="00143067" w:rsidRPr="00070ADE" w:rsidRDefault="0014306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состоянию на 1 января 1944 года в войсках числилось 414 СУ-152, из них 317 во фронтовых частях. Процент потерь достаточно высокий, но если не сравнивать с другой советской САУ - СУ-122. Тех на 1 января числилось 286 штук из 638 построенных. СУ-152 продолжали самым активным образом воевать и далее. 7 февраля 1944 года был введен новый штат - №010/461. По опыту боёв ТСАП-ы укрупнили: помимо командирской машины (СУ-152 или КВ-1с), имелось 4 батареи по 5 САУ в каждой. В таком же составе формировали полки на ИСУ-152 (23476).</w:t>
      </w:r>
    </w:p>
    <w:p w14:paraId="4487A57B" w14:textId="77777777" w:rsidR="00143067" w:rsidRPr="00070ADE" w:rsidRDefault="00143067" w:rsidP="00B56F90">
      <w:pPr>
        <w:spacing w:after="0" w:line="240" w:lineRule="auto"/>
        <w:jc w:val="both"/>
        <w:rPr>
          <w:rFonts w:ascii="Times New Roman" w:hAnsi="Times New Roman"/>
          <w:color w:val="000000" w:themeColor="text1"/>
          <w:sz w:val="16"/>
          <w:szCs w:val="16"/>
        </w:rPr>
      </w:pPr>
    </w:p>
    <w:p w14:paraId="22E4322F" w14:textId="77777777" w:rsidR="00143067" w:rsidRPr="00070ADE" w:rsidRDefault="0014306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года в Красной Армии числилось 286 СУ-122, из них на фронте 194 штуки. СУ-85, к тому моменту, числилось 498 штук, из них на фронте 366 штук. К 1 января 1945 года СУ-122 осталось 241 штука, из них на фронте 100 штук. Сражались они до самого конца войны. Например, в составе 222-го танкового полка на момент прибытия в состав 6-й армии (начало марта 1945 года) имелось 5 Т-34, 2 ИС-2, 1 ИСУ-122 и 4 СУ-122. Данный полк принял самое активное участие в штурме Бреслау. В ходе месячных боев за укрепленный город полк безвозвратно потерял 3 СУ-122.</w:t>
      </w:r>
    </w:p>
    <w:p w14:paraId="2765E807" w14:textId="77777777" w:rsidR="00143067" w:rsidRPr="00070ADE" w:rsidRDefault="0014306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Ныне в комплектном состоянии находится только один образец СУ-122. Это САУ с серийным номером 305320, выпущенная в мае 1943 года. Она воевала в составе 1418-го САП. Машина из 4-й батареи под командованием лейтенанта В.С. Принорова участвовала в наступательных боях второй половины июля 1943 года. 24 июля в ходе боя за село Никольское Свердловского района Орловской области машина была подбита. Замковой и наводчик погибли, командир и механик-водитель были ранены. Далее САУ ушла в ремонт, после чего еще провоевала 1,5 года (где, неизвестно). За время эксплуатации ее не раз дорабатывали, горе тому моделисту, кто ее решил использовать "как есть". Еще один образец СУ-122, бывший тактический объект, ныне можно увидеть в Верхней Пышме (23512).</w:t>
      </w:r>
    </w:p>
    <w:p w14:paraId="0B831BCE" w14:textId="77777777" w:rsidR="00143067" w:rsidRPr="00070ADE" w:rsidRDefault="00143067" w:rsidP="00B56F90">
      <w:pPr>
        <w:spacing w:after="0" w:line="240" w:lineRule="auto"/>
        <w:jc w:val="both"/>
        <w:rPr>
          <w:rFonts w:ascii="Times New Roman" w:hAnsi="Times New Roman"/>
          <w:color w:val="000000" w:themeColor="text1"/>
          <w:sz w:val="16"/>
          <w:szCs w:val="16"/>
        </w:rPr>
      </w:pPr>
    </w:p>
    <w:p w14:paraId="2B3213EF" w14:textId="77777777" w:rsidR="00820285" w:rsidRPr="00070ADE" w:rsidRDefault="0082028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На 1 января 1944 года 10 фронтов распола</w:t>
      </w:r>
      <w:r w:rsidRPr="00070ADE">
        <w:rPr>
          <w:rFonts w:ascii="Times New Roman" w:cs="Times New Roman"/>
          <w:color w:val="000000" w:themeColor="text1"/>
          <w:spacing w:val="0"/>
        </w:rPr>
        <w:softHyphen/>
        <w:t>гали 25 полками прорыва, из них по 4 было на Волховском и 3-м Украинском (здесь сле</w:t>
      </w:r>
      <w:r w:rsidRPr="00070ADE">
        <w:rPr>
          <w:rFonts w:ascii="Times New Roman" w:cs="Times New Roman"/>
          <w:color w:val="000000" w:themeColor="text1"/>
          <w:spacing w:val="0"/>
        </w:rPr>
        <w:softHyphen/>
        <w:t>дует учитывать, что речь идет обо всех гвар</w:t>
      </w:r>
      <w:r w:rsidRPr="00070ADE">
        <w:rPr>
          <w:rFonts w:ascii="Times New Roman" w:cs="Times New Roman"/>
          <w:color w:val="000000" w:themeColor="text1"/>
          <w:spacing w:val="0"/>
        </w:rPr>
        <w:softHyphen/>
        <w:t>дейских танковых полках прорыва, а не толь</w:t>
      </w:r>
      <w:r w:rsidRPr="00070ADE">
        <w:rPr>
          <w:rFonts w:ascii="Times New Roman" w:cs="Times New Roman"/>
          <w:color w:val="000000" w:themeColor="text1"/>
          <w:spacing w:val="0"/>
        </w:rPr>
        <w:softHyphen/>
        <w:t>ко о тех, которые имени на вооружении КВ-1С/КВ-85). С принятием на вооружение Красной Ар</w:t>
      </w:r>
      <w:r w:rsidRPr="00070ADE">
        <w:rPr>
          <w:rFonts w:ascii="Times New Roman" w:cs="Times New Roman"/>
          <w:color w:val="000000" w:themeColor="text1"/>
          <w:spacing w:val="0"/>
        </w:rPr>
        <w:softHyphen/>
        <w:t>мии тяжелых самоходных установок СУ-152, а затем танков ИС и САУ ИСУ-122/152, гвар</w:t>
      </w:r>
      <w:r w:rsidRPr="00070ADE">
        <w:rPr>
          <w:rFonts w:ascii="Times New Roman" w:cs="Times New Roman"/>
          <w:color w:val="000000" w:themeColor="text1"/>
          <w:spacing w:val="0"/>
        </w:rPr>
        <w:softHyphen/>
        <w:t>дейские танковые полки прорыва стали пе</w:t>
      </w:r>
      <w:r w:rsidRPr="00070ADE">
        <w:rPr>
          <w:rFonts w:ascii="Times New Roman" w:cs="Times New Roman"/>
          <w:color w:val="000000" w:themeColor="text1"/>
          <w:spacing w:val="0"/>
        </w:rPr>
        <w:softHyphen/>
        <w:t>реформировываться в гвардейские тяжелые танковые или гвардейские тяжелые самоходно-артиллерийские полки.</w:t>
      </w:r>
    </w:p>
    <w:p w14:paraId="3B33811B" w14:textId="77777777" w:rsidR="00820285" w:rsidRPr="00070ADE" w:rsidRDefault="0082028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lastRenderedPageBreak/>
        <w:t>Оставшиеся в строю КВ-1С передавались в состав обычных танковых полков и бри</w:t>
      </w:r>
      <w:r w:rsidRPr="00070ADE">
        <w:rPr>
          <w:rFonts w:ascii="Times New Roman" w:cs="Times New Roman"/>
          <w:color w:val="000000" w:themeColor="text1"/>
          <w:spacing w:val="0"/>
        </w:rPr>
        <w:softHyphen/>
        <w:t>гад - в сентябре 1944 года в составе 8-й ар</w:t>
      </w:r>
      <w:r w:rsidRPr="00070ADE">
        <w:rPr>
          <w:rFonts w:ascii="Times New Roman" w:cs="Times New Roman"/>
          <w:color w:val="000000" w:themeColor="text1"/>
          <w:spacing w:val="0"/>
        </w:rPr>
        <w:softHyphen/>
        <w:t>мии Ленинградского фронта имелся 82-й танковый полк, в составе которого числилось 10 КВ-1С и 11 «черчиллей». Полк участвовал в боях за Эстонию, освобождал Таллин. От</w:t>
      </w:r>
      <w:r w:rsidRPr="00070ADE">
        <w:rPr>
          <w:rFonts w:ascii="Times New Roman" w:cs="Times New Roman"/>
          <w:color w:val="000000" w:themeColor="text1"/>
          <w:spacing w:val="0"/>
        </w:rPr>
        <w:softHyphen/>
        <w:t>дельные машины дошли до конца войны - например, в 68-я танковой бригаде, участво</w:t>
      </w:r>
      <w:r w:rsidRPr="00070ADE">
        <w:rPr>
          <w:rFonts w:ascii="Times New Roman" w:cs="Times New Roman"/>
          <w:color w:val="000000" w:themeColor="text1"/>
          <w:spacing w:val="0"/>
        </w:rPr>
        <w:softHyphen/>
        <w:t xml:space="preserve">вавшей в боях на Кюстринском плацдарме в феврале 1945 года, имелось два </w:t>
      </w:r>
      <w:r w:rsidRPr="00070ADE">
        <w:rPr>
          <w:rFonts w:ascii="Times New Roman" w:cs="Times New Roman"/>
          <w:color w:val="000000" w:themeColor="text1"/>
          <w:spacing w:val="0"/>
          <w:lang w:val="en-US"/>
        </w:rPr>
        <w:t>KB</w:t>
      </w:r>
      <w:r w:rsidRPr="00070ADE">
        <w:rPr>
          <w:rFonts w:ascii="Times New Roman" w:cs="Times New Roman"/>
          <w:color w:val="000000" w:themeColor="text1"/>
          <w:spacing w:val="0"/>
        </w:rPr>
        <w:t>-1С.</w:t>
      </w:r>
    </w:p>
    <w:p w14:paraId="41ECB503" w14:textId="77777777" w:rsidR="00820285" w:rsidRPr="00070ADE" w:rsidRDefault="0082028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 xml:space="preserve">Кроме танковых, </w:t>
      </w:r>
      <w:r w:rsidRPr="00070ADE">
        <w:rPr>
          <w:rFonts w:ascii="Times New Roman" w:cs="Times New Roman"/>
          <w:color w:val="000000" w:themeColor="text1"/>
          <w:spacing w:val="0"/>
          <w:lang w:val="en-US"/>
        </w:rPr>
        <w:t>KB</w:t>
      </w:r>
      <w:r w:rsidRPr="00070ADE">
        <w:rPr>
          <w:rFonts w:ascii="Times New Roman" w:cs="Times New Roman"/>
          <w:color w:val="000000" w:themeColor="text1"/>
          <w:spacing w:val="0"/>
        </w:rPr>
        <w:t>-1С использовались в качестве командирских машин в тяжелых самоходно-артиллерийских полках СУ-152 (по штату - 12 СУ-152 и 1 КВ-1С) (15226).</w:t>
      </w:r>
    </w:p>
    <w:p w14:paraId="30E90384" w14:textId="77777777" w:rsidR="00820285" w:rsidRPr="00070ADE" w:rsidRDefault="00820285" w:rsidP="00B56F90">
      <w:pPr>
        <w:pStyle w:val="27"/>
        <w:shd w:val="clear" w:color="auto" w:fill="auto"/>
        <w:spacing w:after="0" w:line="240" w:lineRule="auto"/>
        <w:ind w:firstLine="0"/>
        <w:rPr>
          <w:rFonts w:ascii="Times New Roman" w:cs="Times New Roman"/>
          <w:color w:val="000000" w:themeColor="text1"/>
          <w:spacing w:val="0"/>
        </w:rPr>
      </w:pPr>
    </w:p>
    <w:p w14:paraId="7638A71B"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766FB3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56E537" w14:textId="199B855B"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на складах наркомата заготовок было примерно 4 миллиона тонн зерна неприкосновенного госзапаса.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 1941-45 гг. от голода в СССР погибло 1,5 миллиона человек. Из них 70% - жители села и эвакуированные беженцы (18406).</w:t>
      </w:r>
    </w:p>
    <w:p w14:paraId="3EA43F87" w14:textId="77777777" w:rsidR="0059774D" w:rsidRPr="00070ADE" w:rsidRDefault="0059774D" w:rsidP="00B56F90">
      <w:pPr>
        <w:spacing w:after="0" w:line="240" w:lineRule="auto"/>
        <w:jc w:val="both"/>
        <w:rPr>
          <w:rFonts w:ascii="Times New Roman" w:hAnsi="Times New Roman"/>
          <w:color w:val="000000" w:themeColor="text1"/>
          <w:sz w:val="16"/>
          <w:szCs w:val="16"/>
        </w:rPr>
      </w:pPr>
    </w:p>
    <w:p w14:paraId="3E2601FF"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В полночь по радио впервые прозвучал новый Государственный гимн СССР. Исполнил его оркестр Большого театра под управлением А. Мелик-Пашаева. С начала года в московских школах, домах пионеров, домах художественного воспитания детей начали разучивать новый гимн.</w:t>
      </w:r>
    </w:p>
    <w:p w14:paraId="53277950"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Писатель Корней Чуковский записывает: "Был вчера у Михалкова, он всю ночь провел у Иос Вис. - вернулся домой в несказанном восторге. Он читал Ст[алин]у много стихов, прочел даже шуточные, откровенно сказал вождю: "Я, И. В. ч[елове]к необразованный и часто пишу очень плохие стихи. Про гимн М[ихалков] говорит: "Ну что ж, все гимны такие. Здесь критерии искусства неприменимы! Но зато другие стихи я буду писать - во!" И действительно, его стихи превосходны -особенно о старике, продававшем корову" (18692).</w:t>
      </w:r>
    </w:p>
    <w:p w14:paraId="2C65DE8F" w14:textId="77777777" w:rsidR="0059774D" w:rsidRPr="00070ADE" w:rsidRDefault="0059774D" w:rsidP="00B56F90">
      <w:pPr>
        <w:spacing w:after="0" w:line="240" w:lineRule="auto"/>
        <w:jc w:val="both"/>
        <w:rPr>
          <w:rFonts w:ascii="Times New Roman" w:hAnsi="Times New Roman"/>
          <w:color w:val="000000" w:themeColor="text1"/>
          <w:sz w:val="16"/>
          <w:szCs w:val="16"/>
        </w:rPr>
      </w:pPr>
    </w:p>
    <w:p w14:paraId="5B17EE6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ОТЧЕТ НКВД НАЧАЛЬНИКУ ТЫЛА КАА.В. ХРУЛЕВУ О НАЛИЧИИ, ТЕХНИЧЕСКОМ СОСТОЯНИИ И ИСПОЛЬЗОВАНИИ АВТОМОБИЛЬНОГО ПАРКА НАРОДНОГО ХОЗЯЙСТВА СССР НА 1 ЯНВАРЯ 1944 Г. № 1/6467</w:t>
      </w:r>
    </w:p>
    <w:p w14:paraId="40212F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Наличие и техническое состояние автомотопарка</w:t>
      </w:r>
    </w:p>
    <w:p w14:paraId="5415B1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Численность автомотопарка</w:t>
      </w:r>
    </w:p>
    <w:p w14:paraId="5F4B32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Автомотопарк народного хозяйства Союза ССР на 1 января 1944 г. составляет 220142 машины, в том числе:</w:t>
      </w:r>
    </w:p>
    <w:p w14:paraId="62D0719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автомобилей - 206420 мотоциклов - 12455 тягачей и тракторов на резиновом ходу - 1267</w:t>
      </w:r>
    </w:p>
    <w:p w14:paraId="71A188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состав автомобильного парка входят:</w:t>
      </w:r>
    </w:p>
    <w:p w14:paraId="5CF562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грузовые бензиновые автомобили - 113807</w:t>
      </w:r>
    </w:p>
    <w:p w14:paraId="4CC56C6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грузовые газогенераторные автомобили - 33619</w:t>
      </w:r>
    </w:p>
    <w:p w14:paraId="4CDDCE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грузовые газобаллонные автомобили - 629</w:t>
      </w:r>
    </w:p>
    <w:p w14:paraId="74502E0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легковые автомобили - 36836</w:t>
      </w:r>
    </w:p>
    <w:p w14:paraId="4301A8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специальные автомобили - 16780</w:t>
      </w:r>
    </w:p>
    <w:p w14:paraId="31BAF1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автобусы - 4749</w:t>
      </w:r>
    </w:p>
    <w:p w14:paraId="6BD388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в народном хозяйстве имеется 15928 автомобильных прицепов.</w:t>
      </w:r>
    </w:p>
    <w:p w14:paraId="2D33CA8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с 1 августа 1943 года по 1 января 1944 года численность автопарка увеличилась на 1056 единиц или на 0,5% к общему наличию автопарка.</w:t>
      </w:r>
    </w:p>
    <w:p w14:paraId="36ECB3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Изменения в количественном составе автомотопарка по типам машин характеризуется следую</w:t>
      </w:r>
      <w:r w:rsidRPr="00070ADE">
        <w:rPr>
          <w:rFonts w:ascii="Times New Roman" w:hAnsi="Times New Roman"/>
          <w:color w:val="000000" w:themeColor="text1"/>
          <w:sz w:val="16"/>
          <w:szCs w:val="16"/>
        </w:rPr>
        <w:softHyphen/>
        <w:t>щими данными:</w:t>
      </w:r>
    </w:p>
    <w:tbl>
      <w:tblPr>
        <w:tblW w:w="0" w:type="auto"/>
        <w:tblInd w:w="40" w:type="dxa"/>
        <w:tblLayout w:type="fixed"/>
        <w:tblCellMar>
          <w:left w:w="40" w:type="dxa"/>
          <w:right w:w="40" w:type="dxa"/>
        </w:tblCellMar>
        <w:tblLook w:val="0000" w:firstRow="0" w:lastRow="0" w:firstColumn="0" w:lastColumn="0" w:noHBand="0" w:noVBand="0"/>
      </w:tblPr>
      <w:tblGrid>
        <w:gridCol w:w="3466"/>
        <w:gridCol w:w="1008"/>
        <w:gridCol w:w="998"/>
        <w:gridCol w:w="1008"/>
        <w:gridCol w:w="1008"/>
        <w:gridCol w:w="998"/>
        <w:gridCol w:w="1027"/>
      </w:tblGrid>
      <w:tr w:rsidR="00CB5308" w:rsidRPr="00070ADE" w14:paraId="7EF89FF2" w14:textId="77777777">
        <w:trPr>
          <w:trHeight w:val="221"/>
        </w:trPr>
        <w:tc>
          <w:tcPr>
            <w:tcW w:w="3466" w:type="dxa"/>
            <w:tcBorders>
              <w:top w:val="single" w:sz="6" w:space="0" w:color="auto"/>
              <w:left w:val="single" w:sz="6" w:space="0" w:color="auto"/>
              <w:bottom w:val="nil"/>
              <w:right w:val="single" w:sz="6" w:space="0" w:color="auto"/>
            </w:tcBorders>
          </w:tcPr>
          <w:p w14:paraId="31A81F5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Типы машин</w:t>
            </w:r>
          </w:p>
          <w:p w14:paraId="19C627B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gridSpan w:val="2"/>
            <w:tcBorders>
              <w:top w:val="single" w:sz="6" w:space="0" w:color="auto"/>
              <w:left w:val="single" w:sz="6" w:space="0" w:color="auto"/>
              <w:bottom w:val="single" w:sz="6" w:space="0" w:color="auto"/>
              <w:right w:val="single" w:sz="6" w:space="0" w:color="auto"/>
            </w:tcBorders>
          </w:tcPr>
          <w:p w14:paraId="61ED6C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Наличие машин</w:t>
            </w:r>
          </w:p>
          <w:p w14:paraId="6C738A2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16" w:type="dxa"/>
            <w:gridSpan w:val="2"/>
            <w:tcBorders>
              <w:top w:val="single" w:sz="6" w:space="0" w:color="auto"/>
              <w:left w:val="single" w:sz="6" w:space="0" w:color="auto"/>
              <w:bottom w:val="single" w:sz="6" w:space="0" w:color="auto"/>
              <w:right w:val="single" w:sz="6" w:space="0" w:color="auto"/>
            </w:tcBorders>
          </w:tcPr>
          <w:p w14:paraId="2786DA6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Увеличение</w:t>
            </w:r>
          </w:p>
          <w:p w14:paraId="7B7631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5" w:type="dxa"/>
            <w:gridSpan w:val="2"/>
            <w:tcBorders>
              <w:top w:val="single" w:sz="6" w:space="0" w:color="auto"/>
              <w:left w:val="single" w:sz="6" w:space="0" w:color="auto"/>
              <w:bottom w:val="single" w:sz="6" w:space="0" w:color="auto"/>
              <w:right w:val="single" w:sz="6" w:space="0" w:color="auto"/>
            </w:tcBorders>
          </w:tcPr>
          <w:p w14:paraId="0049AA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Уменьшение</w:t>
            </w:r>
          </w:p>
          <w:p w14:paraId="25245C6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675C280" w14:textId="77777777">
        <w:trPr>
          <w:trHeight w:val="374"/>
        </w:trPr>
        <w:tc>
          <w:tcPr>
            <w:tcW w:w="3466" w:type="dxa"/>
            <w:tcBorders>
              <w:top w:val="nil"/>
              <w:left w:val="single" w:sz="6" w:space="0" w:color="auto"/>
              <w:bottom w:val="single" w:sz="6" w:space="0" w:color="auto"/>
              <w:right w:val="single" w:sz="6" w:space="0" w:color="auto"/>
            </w:tcBorders>
          </w:tcPr>
          <w:p w14:paraId="231D03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B22A19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A9E225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1.08.1943 г.</w:t>
            </w:r>
          </w:p>
          <w:p w14:paraId="4F97CFC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E09CD6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1.01.1944 г.</w:t>
            </w:r>
          </w:p>
          <w:p w14:paraId="291A65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4B2D5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Абсолютное количество</w:t>
            </w:r>
          </w:p>
          <w:p w14:paraId="0BC7B29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719F09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092FA6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404E8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Абсолютное количество</w:t>
            </w:r>
          </w:p>
          <w:p w14:paraId="4B4DC1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0FD84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18D8F68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F15EC6E"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7EB395B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Грузовые бензиновые автомобили</w:t>
            </w:r>
          </w:p>
          <w:p w14:paraId="4A8323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4019B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111679</w:t>
            </w:r>
          </w:p>
          <w:p w14:paraId="6CA9468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502DD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113807</w:t>
            </w:r>
          </w:p>
          <w:p w14:paraId="49F047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1F9E7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2128</w:t>
            </w:r>
          </w:p>
          <w:p w14:paraId="0B3F63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9E429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w:t>
            </w:r>
          </w:p>
          <w:p w14:paraId="612958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A2FDD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95F980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358A44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AA320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E39FD53"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371C3D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Грузовые газогенераторные автомобили</w:t>
            </w:r>
          </w:p>
          <w:p w14:paraId="517DEB2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6B3F76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33231</w:t>
            </w:r>
          </w:p>
          <w:p w14:paraId="21275D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E434F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33619</w:t>
            </w:r>
          </w:p>
          <w:p w14:paraId="7743802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397F31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388</w:t>
            </w:r>
          </w:p>
          <w:p w14:paraId="2754B51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7B4B6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p w14:paraId="6ABFE5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EC3FC9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FBF16C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0D8F6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E7F21A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AC329E0"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61B824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Грузовые газобаллонные автомобили</w:t>
            </w:r>
          </w:p>
          <w:p w14:paraId="7057153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7D63E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443</w:t>
            </w:r>
          </w:p>
          <w:p w14:paraId="5130DB0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A4E9E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629</w:t>
            </w:r>
          </w:p>
          <w:p w14:paraId="151495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1C4B0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186</w:t>
            </w:r>
          </w:p>
          <w:p w14:paraId="01C4FFF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D9C8E9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42,0</w:t>
            </w:r>
          </w:p>
          <w:p w14:paraId="7A16BA8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4FEBA1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B34DC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60532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063AB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7E62716"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4C2A2B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Легковые автомобили</w:t>
            </w:r>
          </w:p>
          <w:p w14:paraId="08D95EC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61548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37037</w:t>
            </w:r>
          </w:p>
          <w:p w14:paraId="4987E1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CEB608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36836</w:t>
            </w:r>
          </w:p>
          <w:p w14:paraId="6CE3119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E2642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CCDD8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FEE45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2E669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C7C7A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201</w:t>
            </w:r>
          </w:p>
          <w:p w14:paraId="1E671E6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50564D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0,5</w:t>
            </w:r>
          </w:p>
          <w:p w14:paraId="6AFBC5F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A66867B"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337664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Специальные автомобили</w:t>
            </w:r>
          </w:p>
          <w:p w14:paraId="5FED6B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248FCE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17877</w:t>
            </w:r>
          </w:p>
          <w:p w14:paraId="351B0C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9AB0C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16780</w:t>
            </w:r>
          </w:p>
          <w:p w14:paraId="6216A40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9A0A4E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2E2D00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253EA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84D575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A1C54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1097</w:t>
            </w:r>
          </w:p>
          <w:p w14:paraId="7BED74F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FAE03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w:t>
            </w:r>
          </w:p>
          <w:p w14:paraId="31BC93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EFBAAA9"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3A41D6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Автобусы</w:t>
            </w:r>
          </w:p>
          <w:p w14:paraId="0ACCFBB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4E100E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5097</w:t>
            </w:r>
          </w:p>
          <w:p w14:paraId="76EBA5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9366A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4749</w:t>
            </w:r>
          </w:p>
          <w:p w14:paraId="4793BB2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980991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57E0F3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019FD6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01C400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6D00E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348</w:t>
            </w:r>
          </w:p>
          <w:p w14:paraId="36BBB2F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9CD0A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w:t>
            </w:r>
          </w:p>
          <w:p w14:paraId="2A21D5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AC489B8"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47CEFFA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 автомобилей:</w:t>
            </w:r>
          </w:p>
          <w:p w14:paraId="6B3226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DF404C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205364</w:t>
            </w:r>
          </w:p>
          <w:p w14:paraId="156838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A3D60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206420</w:t>
            </w:r>
          </w:p>
          <w:p w14:paraId="7FB41E7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C01170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1056</w:t>
            </w:r>
          </w:p>
          <w:p w14:paraId="10DDBE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5EE05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0,5</w:t>
            </w:r>
          </w:p>
          <w:p w14:paraId="3760A9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25E85F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F456D6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582F6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C288D6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FA5BA2A"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20E43CC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Мотоциклы</w:t>
            </w:r>
          </w:p>
          <w:p w14:paraId="6EFC451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EF3FA1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11938</w:t>
            </w:r>
          </w:p>
          <w:p w14:paraId="50CE4A1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4FDAA0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12455</w:t>
            </w:r>
          </w:p>
          <w:p w14:paraId="6271900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9B0796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517</w:t>
            </w:r>
          </w:p>
          <w:p w14:paraId="422E11C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C6BC8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w:t>
            </w:r>
          </w:p>
          <w:p w14:paraId="4DF675A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30BEA8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B30D7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BBF3B9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25D482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7178F88"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33E3A7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Тягачи и тракторы на резиновом ходу</w:t>
            </w:r>
          </w:p>
          <w:p w14:paraId="3F9866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4B0E77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1378</w:t>
            </w:r>
          </w:p>
          <w:p w14:paraId="21AC8C8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3972D9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1267</w:t>
            </w:r>
          </w:p>
          <w:p w14:paraId="09BDF0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6CB994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BC30F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53A81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08AD8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98F1B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w:t>
            </w:r>
          </w:p>
          <w:p w14:paraId="422A605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EBEAD6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w:t>
            </w:r>
          </w:p>
          <w:p w14:paraId="240FA41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CFF6149" w14:textId="77777777">
        <w:trPr>
          <w:trHeight w:val="250"/>
        </w:trPr>
        <w:tc>
          <w:tcPr>
            <w:tcW w:w="3466" w:type="dxa"/>
            <w:tcBorders>
              <w:top w:val="single" w:sz="6" w:space="0" w:color="auto"/>
              <w:left w:val="single" w:sz="6" w:space="0" w:color="auto"/>
              <w:bottom w:val="single" w:sz="6" w:space="0" w:color="auto"/>
              <w:right w:val="single" w:sz="6" w:space="0" w:color="auto"/>
            </w:tcBorders>
          </w:tcPr>
          <w:p w14:paraId="2DEA013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машин:</w:t>
            </w:r>
          </w:p>
          <w:p w14:paraId="053D66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F89C7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218675</w:t>
            </w:r>
          </w:p>
          <w:p w14:paraId="03A610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4E5CC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220142</w:t>
            </w:r>
          </w:p>
          <w:p w14:paraId="4EDDF68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4489F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1467</w:t>
            </w:r>
          </w:p>
          <w:p w14:paraId="611E72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82685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0,7</w:t>
            </w:r>
          </w:p>
          <w:p w14:paraId="28DE47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2721A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E8217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FD70C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7FCEC3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C43FCD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Общее увеличение автомотопарка произошло за счет поступления в народное хозяйство новых, в основном импортных, грузовых автомобилей и, частично, за счет восстановления автомобилей и мотоциклов в областях, освобожденных от немецких захватчиков.</w:t>
      </w:r>
    </w:p>
    <w:p w14:paraId="4748B8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это же время было выбраковано 7218 автомобилей, как нерентабельных к восстановлению, вследствие своей изношенности.</w:t>
      </w:r>
    </w:p>
    <w:p w14:paraId="4BCF576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Отчет по материалам технического осмотра, произведенного органами Госавтоинспекции, приводится с сокращениями.</w:t>
      </w:r>
    </w:p>
    <w:p w14:paraId="6C59640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Уменьшение количества легковых, специальных автомобилей и автобусов объясняется мобилизаци</w:t>
      </w:r>
      <w:r w:rsidRPr="00070ADE">
        <w:rPr>
          <w:rFonts w:ascii="Times New Roman" w:hAnsi="Times New Roman"/>
          <w:color w:val="000000" w:themeColor="text1"/>
          <w:sz w:val="16"/>
          <w:szCs w:val="16"/>
        </w:rPr>
        <w:softHyphen/>
        <w:t>ей некоторой части их в Красную Армию и выбраковкой непригодных к дальнейшему использованию. Увеличение числа мотоциклов произошло за счет восстановления трофейных машин.</w:t>
      </w:r>
    </w:p>
    <w:p w14:paraId="3C5E8D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Категорийность автомотопарка</w:t>
      </w:r>
    </w:p>
    <w:p w14:paraId="1259BE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Сравнительные данные категорийности автопарка по результатам двух последних технических осмотров указаны в следующей таблице:</w:t>
      </w:r>
    </w:p>
    <w:tbl>
      <w:tblPr>
        <w:tblW w:w="0" w:type="auto"/>
        <w:tblInd w:w="40" w:type="dxa"/>
        <w:tblLayout w:type="fixed"/>
        <w:tblCellMar>
          <w:left w:w="40" w:type="dxa"/>
          <w:right w:w="40" w:type="dxa"/>
        </w:tblCellMar>
        <w:tblLook w:val="0000" w:firstRow="0" w:lastRow="0" w:firstColumn="0" w:lastColumn="0" w:noHBand="0" w:noVBand="0"/>
      </w:tblPr>
      <w:tblGrid>
        <w:gridCol w:w="1776"/>
        <w:gridCol w:w="1171"/>
        <w:gridCol w:w="835"/>
        <w:gridCol w:w="826"/>
        <w:gridCol w:w="835"/>
        <w:gridCol w:w="835"/>
        <w:gridCol w:w="835"/>
        <w:gridCol w:w="826"/>
        <w:gridCol w:w="835"/>
        <w:gridCol w:w="835"/>
      </w:tblGrid>
      <w:tr w:rsidR="00CB5308" w:rsidRPr="00070ADE" w14:paraId="1278399F" w14:textId="77777777">
        <w:trPr>
          <w:trHeight w:val="230"/>
        </w:trPr>
        <w:tc>
          <w:tcPr>
            <w:tcW w:w="2947" w:type="dxa"/>
            <w:gridSpan w:val="2"/>
            <w:tcBorders>
              <w:top w:val="single" w:sz="6" w:space="0" w:color="auto"/>
              <w:left w:val="single" w:sz="6" w:space="0" w:color="auto"/>
              <w:bottom w:val="nil"/>
              <w:right w:val="single" w:sz="6" w:space="0" w:color="auto"/>
            </w:tcBorders>
          </w:tcPr>
          <w:p w14:paraId="17E84A7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машины</w:t>
            </w:r>
          </w:p>
          <w:p w14:paraId="457E049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2" w:type="dxa"/>
            <w:gridSpan w:val="8"/>
            <w:tcBorders>
              <w:top w:val="single" w:sz="6" w:space="0" w:color="auto"/>
              <w:left w:val="single" w:sz="6" w:space="0" w:color="auto"/>
              <w:bottom w:val="single" w:sz="6" w:space="0" w:color="auto"/>
              <w:right w:val="single" w:sz="6" w:space="0" w:color="auto"/>
            </w:tcBorders>
          </w:tcPr>
          <w:p w14:paraId="0E83A9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автомобилей по категориям</w:t>
            </w:r>
          </w:p>
          <w:p w14:paraId="6C15916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3FB8127" w14:textId="77777777">
        <w:trPr>
          <w:trHeight w:val="211"/>
        </w:trPr>
        <w:tc>
          <w:tcPr>
            <w:tcW w:w="2947" w:type="dxa"/>
            <w:gridSpan w:val="2"/>
            <w:tcBorders>
              <w:top w:val="nil"/>
              <w:left w:val="single" w:sz="6" w:space="0" w:color="auto"/>
              <w:bottom w:val="nil"/>
              <w:right w:val="single" w:sz="6" w:space="0" w:color="auto"/>
            </w:tcBorders>
          </w:tcPr>
          <w:p w14:paraId="29473F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D5D3C2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331" w:type="dxa"/>
            <w:gridSpan w:val="4"/>
            <w:tcBorders>
              <w:top w:val="single" w:sz="6" w:space="0" w:color="auto"/>
              <w:left w:val="single" w:sz="6" w:space="0" w:color="auto"/>
              <w:bottom w:val="single" w:sz="6" w:space="0" w:color="auto"/>
              <w:right w:val="single" w:sz="6" w:space="0" w:color="auto"/>
            </w:tcBorders>
          </w:tcPr>
          <w:p w14:paraId="6CD914F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августа 1943 г.</w:t>
            </w:r>
          </w:p>
          <w:p w14:paraId="5F05D9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31" w:type="dxa"/>
            <w:gridSpan w:val="4"/>
            <w:tcBorders>
              <w:top w:val="single" w:sz="6" w:space="0" w:color="auto"/>
              <w:left w:val="single" w:sz="6" w:space="0" w:color="auto"/>
              <w:bottom w:val="single" w:sz="6" w:space="0" w:color="auto"/>
              <w:right w:val="single" w:sz="6" w:space="0" w:color="auto"/>
            </w:tcBorders>
          </w:tcPr>
          <w:p w14:paraId="7E7E0B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г.</w:t>
            </w:r>
          </w:p>
          <w:p w14:paraId="449505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1135CBA" w14:textId="77777777">
        <w:trPr>
          <w:trHeight w:val="221"/>
        </w:trPr>
        <w:tc>
          <w:tcPr>
            <w:tcW w:w="2947" w:type="dxa"/>
            <w:gridSpan w:val="2"/>
            <w:tcBorders>
              <w:top w:val="nil"/>
              <w:left w:val="single" w:sz="6" w:space="0" w:color="auto"/>
              <w:bottom w:val="single" w:sz="6" w:space="0" w:color="auto"/>
              <w:right w:val="single" w:sz="6" w:space="0" w:color="auto"/>
            </w:tcBorders>
          </w:tcPr>
          <w:p w14:paraId="029669C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F6471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B69BB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w:t>
            </w:r>
          </w:p>
          <w:p w14:paraId="1255F8D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73937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w:t>
            </w:r>
          </w:p>
          <w:p w14:paraId="3908E9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5FDC0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w:t>
            </w:r>
          </w:p>
          <w:p w14:paraId="12DF16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35E7F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2B4BCF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66F6C0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w:t>
            </w:r>
          </w:p>
          <w:p w14:paraId="4B8EF9E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7157B0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w:t>
            </w:r>
          </w:p>
          <w:p w14:paraId="1E1D24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F0CC5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w:t>
            </w:r>
          </w:p>
          <w:p w14:paraId="07F4D79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6FF94F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2601E0A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8C8A22E" w14:textId="77777777">
        <w:trPr>
          <w:trHeight w:val="221"/>
        </w:trPr>
        <w:tc>
          <w:tcPr>
            <w:tcW w:w="1776" w:type="dxa"/>
            <w:tcBorders>
              <w:top w:val="single" w:sz="6" w:space="0" w:color="auto"/>
              <w:left w:val="single" w:sz="6" w:space="0" w:color="auto"/>
              <w:bottom w:val="nil"/>
              <w:right w:val="single" w:sz="6" w:space="0" w:color="auto"/>
            </w:tcBorders>
          </w:tcPr>
          <w:p w14:paraId="4ED9160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Грузовые бензин.</w:t>
            </w:r>
          </w:p>
          <w:p w14:paraId="792FB9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6E5A5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p w14:paraId="2313C5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87CA1C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8189</w:t>
            </w:r>
          </w:p>
          <w:p w14:paraId="70571F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95C1F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15746</w:t>
            </w:r>
          </w:p>
          <w:p w14:paraId="3E3E2C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248DE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87730</w:t>
            </w:r>
          </w:p>
          <w:p w14:paraId="709C33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37007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111665</w:t>
            </w:r>
          </w:p>
          <w:p w14:paraId="6BE4F8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A1B84F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11224</w:t>
            </w:r>
          </w:p>
          <w:p w14:paraId="1CC85B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D5EEC0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14580</w:t>
            </w:r>
          </w:p>
          <w:p w14:paraId="4D9257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22A63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88003</w:t>
            </w:r>
          </w:p>
          <w:p w14:paraId="2F27E9E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94440F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113807</w:t>
            </w:r>
          </w:p>
          <w:p w14:paraId="3A7E42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EFC5D18" w14:textId="77777777">
        <w:trPr>
          <w:trHeight w:val="230"/>
        </w:trPr>
        <w:tc>
          <w:tcPr>
            <w:tcW w:w="1776" w:type="dxa"/>
            <w:tcBorders>
              <w:top w:val="nil"/>
              <w:left w:val="single" w:sz="6" w:space="0" w:color="auto"/>
              <w:bottom w:val="single" w:sz="6" w:space="0" w:color="auto"/>
              <w:right w:val="single" w:sz="6" w:space="0" w:color="auto"/>
            </w:tcBorders>
          </w:tcPr>
          <w:p w14:paraId="640275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D53881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897C6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119F2E7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2C5A74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w:t>
            </w:r>
          </w:p>
          <w:p w14:paraId="13AF1CC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FF074F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14,1</w:t>
            </w:r>
          </w:p>
          <w:p w14:paraId="06C3B3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CC416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78,6</w:t>
            </w:r>
          </w:p>
          <w:p w14:paraId="29A8BCA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95A3FC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264D07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42BC6D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9,9</w:t>
            </w:r>
          </w:p>
          <w:p w14:paraId="4E782E4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39328B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12,8</w:t>
            </w:r>
          </w:p>
          <w:p w14:paraId="6F8EAC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F70528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77,3</w:t>
            </w:r>
          </w:p>
          <w:p w14:paraId="231ADB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866DB7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7CFE332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958C4BD" w14:textId="77777777">
        <w:trPr>
          <w:trHeight w:val="230"/>
        </w:trPr>
        <w:tc>
          <w:tcPr>
            <w:tcW w:w="1776" w:type="dxa"/>
            <w:tcBorders>
              <w:top w:val="single" w:sz="6" w:space="0" w:color="auto"/>
              <w:left w:val="single" w:sz="6" w:space="0" w:color="auto"/>
              <w:bottom w:val="nil"/>
              <w:right w:val="single" w:sz="6" w:space="0" w:color="auto"/>
            </w:tcBorders>
          </w:tcPr>
          <w:p w14:paraId="728C2EF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Грузовые газоген.</w:t>
            </w:r>
          </w:p>
          <w:p w14:paraId="06F2C4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A6365A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p w14:paraId="42403B1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526F53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2988</w:t>
            </w:r>
          </w:p>
          <w:p w14:paraId="329AD48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8D79DF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10765</w:t>
            </w:r>
          </w:p>
          <w:p w14:paraId="02D53BD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96693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19478</w:t>
            </w:r>
          </w:p>
          <w:p w14:paraId="7F403B3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E2CC2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33231</w:t>
            </w:r>
          </w:p>
          <w:p w14:paraId="763B70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152C42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1689</w:t>
            </w:r>
          </w:p>
          <w:p w14:paraId="3F3CE0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D747C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9256</w:t>
            </w:r>
          </w:p>
          <w:p w14:paraId="18D729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156AEE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22674</w:t>
            </w:r>
          </w:p>
          <w:p w14:paraId="457FC8C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24648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33619</w:t>
            </w:r>
          </w:p>
          <w:p w14:paraId="6D5322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76B97D8" w14:textId="77777777">
        <w:trPr>
          <w:trHeight w:val="230"/>
        </w:trPr>
        <w:tc>
          <w:tcPr>
            <w:tcW w:w="1776" w:type="dxa"/>
            <w:tcBorders>
              <w:top w:val="nil"/>
              <w:left w:val="single" w:sz="6" w:space="0" w:color="auto"/>
              <w:bottom w:val="single" w:sz="6" w:space="0" w:color="auto"/>
              <w:right w:val="single" w:sz="6" w:space="0" w:color="auto"/>
            </w:tcBorders>
          </w:tcPr>
          <w:p w14:paraId="4D80406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C34978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8A5C8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2AFD075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80E85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w:t>
            </w:r>
          </w:p>
          <w:p w14:paraId="701B6F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79332A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32,4</w:t>
            </w:r>
          </w:p>
          <w:p w14:paraId="150A7CE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E6623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58,6</w:t>
            </w:r>
          </w:p>
          <w:p w14:paraId="3F66019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757E0E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115C296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7AE323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10C80B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55B7F6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27,5</w:t>
            </w:r>
          </w:p>
          <w:p w14:paraId="023382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D1A0BA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3B3CE28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9CC1B7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1647B1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15D663C" w14:textId="77777777">
        <w:trPr>
          <w:trHeight w:val="230"/>
        </w:trPr>
        <w:tc>
          <w:tcPr>
            <w:tcW w:w="1776" w:type="dxa"/>
            <w:tcBorders>
              <w:top w:val="single" w:sz="6" w:space="0" w:color="auto"/>
              <w:left w:val="single" w:sz="6" w:space="0" w:color="auto"/>
              <w:bottom w:val="nil"/>
              <w:right w:val="single" w:sz="6" w:space="0" w:color="auto"/>
            </w:tcBorders>
          </w:tcPr>
          <w:p w14:paraId="55AD249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Грузовые газобал.</w:t>
            </w:r>
          </w:p>
          <w:p w14:paraId="6E62917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67495A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p w14:paraId="519DB2F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9E8316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p w14:paraId="4BBD388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52E7EA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149</w:t>
            </w:r>
          </w:p>
          <w:p w14:paraId="53BD2D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B78EC6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273</w:t>
            </w:r>
          </w:p>
          <w:p w14:paraId="09122C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93183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443</w:t>
            </w:r>
          </w:p>
          <w:p w14:paraId="1B94AB0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1732E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p w14:paraId="2ADBF0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2AEACA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w:t>
            </w:r>
          </w:p>
          <w:p w14:paraId="1221FBB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CC1DFF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431</w:t>
            </w:r>
          </w:p>
          <w:p w14:paraId="74BABE3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B1FD4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629</w:t>
            </w:r>
          </w:p>
          <w:p w14:paraId="4F1B32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56EB245" w14:textId="77777777">
        <w:trPr>
          <w:trHeight w:val="230"/>
        </w:trPr>
        <w:tc>
          <w:tcPr>
            <w:tcW w:w="1776" w:type="dxa"/>
            <w:tcBorders>
              <w:top w:val="nil"/>
              <w:left w:val="single" w:sz="6" w:space="0" w:color="auto"/>
              <w:bottom w:val="single" w:sz="6" w:space="0" w:color="auto"/>
              <w:right w:val="single" w:sz="6" w:space="0" w:color="auto"/>
            </w:tcBorders>
          </w:tcPr>
          <w:p w14:paraId="5727E9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131296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60EDF6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439CB9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E956E3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75B2523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5096CE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33,6</w:t>
            </w:r>
          </w:p>
          <w:p w14:paraId="65A3170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CB679B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61,4</w:t>
            </w:r>
          </w:p>
          <w:p w14:paraId="3F6796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415E6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572D262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A1D175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8,7</w:t>
            </w:r>
          </w:p>
          <w:p w14:paraId="4914F3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3BDAF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22,7</w:t>
            </w:r>
          </w:p>
          <w:p w14:paraId="5EF980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4B9C1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68,6</w:t>
            </w:r>
          </w:p>
          <w:p w14:paraId="054A22C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824680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77B7E8E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14CA9A5" w14:textId="77777777">
        <w:trPr>
          <w:trHeight w:val="230"/>
        </w:trPr>
        <w:tc>
          <w:tcPr>
            <w:tcW w:w="1776" w:type="dxa"/>
            <w:tcBorders>
              <w:top w:val="single" w:sz="6" w:space="0" w:color="auto"/>
              <w:left w:val="single" w:sz="6" w:space="0" w:color="auto"/>
              <w:bottom w:val="nil"/>
              <w:right w:val="single" w:sz="6" w:space="0" w:color="auto"/>
            </w:tcBorders>
          </w:tcPr>
          <w:p w14:paraId="62B9DE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Легковые</w:t>
            </w:r>
          </w:p>
          <w:p w14:paraId="0F99C1C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8AA8F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p w14:paraId="625ACB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04BBF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2325</w:t>
            </w:r>
          </w:p>
          <w:p w14:paraId="050A89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041F0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7379</w:t>
            </w:r>
          </w:p>
          <w:p w14:paraId="7CAD26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9B446A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27290</w:t>
            </w:r>
          </w:p>
          <w:p w14:paraId="34065D3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333C3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36994</w:t>
            </w:r>
          </w:p>
          <w:p w14:paraId="23D943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0EC874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2190</w:t>
            </w:r>
          </w:p>
          <w:p w14:paraId="6D0FA48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C27F68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7012</w:t>
            </w:r>
          </w:p>
          <w:p w14:paraId="7428B1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83C66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27634</w:t>
            </w:r>
          </w:p>
          <w:p w14:paraId="204514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521BF6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36836</w:t>
            </w:r>
          </w:p>
          <w:p w14:paraId="4AB9B4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1091F69" w14:textId="77777777">
        <w:trPr>
          <w:trHeight w:val="230"/>
        </w:trPr>
        <w:tc>
          <w:tcPr>
            <w:tcW w:w="1776" w:type="dxa"/>
            <w:tcBorders>
              <w:top w:val="nil"/>
              <w:left w:val="single" w:sz="6" w:space="0" w:color="auto"/>
              <w:bottom w:val="single" w:sz="6" w:space="0" w:color="auto"/>
              <w:right w:val="single" w:sz="6" w:space="0" w:color="auto"/>
            </w:tcBorders>
          </w:tcPr>
          <w:p w14:paraId="0515012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1DAD3D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2FDDD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302D6E3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9EA1B4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w:t>
            </w:r>
          </w:p>
          <w:p w14:paraId="05266BB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DFDE51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19,9</w:t>
            </w:r>
          </w:p>
          <w:p w14:paraId="0049F53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050839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73,8</w:t>
            </w:r>
          </w:p>
          <w:p w14:paraId="1BD4039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F9A2B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48949AF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809A4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w:t>
            </w:r>
          </w:p>
          <w:p w14:paraId="74E9B0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42D67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19,0</w:t>
            </w:r>
          </w:p>
          <w:p w14:paraId="1CF8A3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9B570C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75,1</w:t>
            </w:r>
          </w:p>
          <w:p w14:paraId="10B32B5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491E4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2BE952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5AAFE60" w14:textId="77777777">
        <w:trPr>
          <w:trHeight w:val="230"/>
        </w:trPr>
        <w:tc>
          <w:tcPr>
            <w:tcW w:w="1776" w:type="dxa"/>
            <w:tcBorders>
              <w:top w:val="single" w:sz="6" w:space="0" w:color="auto"/>
              <w:left w:val="single" w:sz="6" w:space="0" w:color="auto"/>
              <w:bottom w:val="nil"/>
              <w:right w:val="single" w:sz="6" w:space="0" w:color="auto"/>
            </w:tcBorders>
          </w:tcPr>
          <w:p w14:paraId="4606DB6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Специальные</w:t>
            </w:r>
          </w:p>
          <w:p w14:paraId="101B091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83833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p w14:paraId="1F125F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D3C4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5969</w:t>
            </w:r>
          </w:p>
          <w:p w14:paraId="3D1C43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04EFD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4626</w:t>
            </w:r>
          </w:p>
          <w:p w14:paraId="716B5B9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EA694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7281</w:t>
            </w:r>
          </w:p>
          <w:p w14:paraId="1799856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79F65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17876</w:t>
            </w:r>
          </w:p>
          <w:p w14:paraId="390322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85BC7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5483</w:t>
            </w:r>
          </w:p>
          <w:p w14:paraId="040ECF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7471B5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4277</w:t>
            </w:r>
          </w:p>
          <w:p w14:paraId="0DF04B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68463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7020</w:t>
            </w:r>
          </w:p>
          <w:p w14:paraId="2FDD3E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5C4609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16780</w:t>
            </w:r>
          </w:p>
          <w:p w14:paraId="69BB68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11CEEF0" w14:textId="77777777">
        <w:trPr>
          <w:trHeight w:val="230"/>
        </w:trPr>
        <w:tc>
          <w:tcPr>
            <w:tcW w:w="1776" w:type="dxa"/>
            <w:tcBorders>
              <w:top w:val="nil"/>
              <w:left w:val="single" w:sz="6" w:space="0" w:color="auto"/>
              <w:bottom w:val="single" w:sz="6" w:space="0" w:color="auto"/>
              <w:right w:val="single" w:sz="6" w:space="0" w:color="auto"/>
            </w:tcBorders>
          </w:tcPr>
          <w:p w14:paraId="1BED80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16EDBA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4ED1E8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67B84BB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43CFBA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33,4</w:t>
            </w:r>
          </w:p>
          <w:p w14:paraId="528E8A0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153463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25,9</w:t>
            </w:r>
          </w:p>
          <w:p w14:paraId="32BA04A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552200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40,7</w:t>
            </w:r>
          </w:p>
          <w:p w14:paraId="5AA2F1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81D4F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579258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467890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32,7</w:t>
            </w:r>
          </w:p>
          <w:p w14:paraId="33007F4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51E8C7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25,5</w:t>
            </w:r>
          </w:p>
          <w:p w14:paraId="6FFED53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469D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41,8</w:t>
            </w:r>
          </w:p>
          <w:p w14:paraId="1605237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E2D86B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1395B3B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C2DA598" w14:textId="77777777">
        <w:trPr>
          <w:trHeight w:val="230"/>
        </w:trPr>
        <w:tc>
          <w:tcPr>
            <w:tcW w:w="1776" w:type="dxa"/>
            <w:tcBorders>
              <w:top w:val="single" w:sz="6" w:space="0" w:color="auto"/>
              <w:left w:val="single" w:sz="6" w:space="0" w:color="auto"/>
              <w:bottom w:val="nil"/>
              <w:right w:val="single" w:sz="6" w:space="0" w:color="auto"/>
            </w:tcBorders>
          </w:tcPr>
          <w:p w14:paraId="7E075D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Автобусы</w:t>
            </w:r>
          </w:p>
          <w:p w14:paraId="7B9B02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4BB738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p w14:paraId="264B5D6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44B191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534</w:t>
            </w:r>
          </w:p>
          <w:p w14:paraId="400DD3E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D8640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1213</w:t>
            </w:r>
          </w:p>
          <w:p w14:paraId="526EA9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A6353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3350</w:t>
            </w:r>
          </w:p>
          <w:p w14:paraId="4F7CFC7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8EE28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5097</w:t>
            </w:r>
          </w:p>
          <w:p w14:paraId="339F92C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BCE4AB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419</w:t>
            </w:r>
          </w:p>
          <w:p w14:paraId="0414017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E8980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1107</w:t>
            </w:r>
          </w:p>
          <w:p w14:paraId="4C0E177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3A8475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3223</w:t>
            </w:r>
          </w:p>
          <w:p w14:paraId="79C4C2A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C6C141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4749</w:t>
            </w:r>
          </w:p>
          <w:p w14:paraId="294AF8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C3A3761" w14:textId="77777777">
        <w:trPr>
          <w:trHeight w:val="230"/>
        </w:trPr>
        <w:tc>
          <w:tcPr>
            <w:tcW w:w="1776" w:type="dxa"/>
            <w:tcBorders>
              <w:top w:val="nil"/>
              <w:left w:val="single" w:sz="6" w:space="0" w:color="auto"/>
              <w:bottom w:val="single" w:sz="6" w:space="0" w:color="auto"/>
              <w:right w:val="single" w:sz="6" w:space="0" w:color="auto"/>
            </w:tcBorders>
          </w:tcPr>
          <w:p w14:paraId="3E367B6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B2A022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5A262A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w:t>
            </w:r>
          </w:p>
          <w:p w14:paraId="61B030A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F47848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w:t>
            </w:r>
          </w:p>
          <w:p w14:paraId="35B343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923CD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23,8</w:t>
            </w:r>
          </w:p>
          <w:p w14:paraId="2D7ECA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43930E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65,7</w:t>
            </w:r>
          </w:p>
          <w:p w14:paraId="5116566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0FE702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1C20AEB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CDB0D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w:t>
            </w:r>
          </w:p>
          <w:p w14:paraId="6AB026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2B2006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23,3</w:t>
            </w:r>
          </w:p>
          <w:p w14:paraId="01C6EE5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7B1BD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67,9</w:t>
            </w:r>
          </w:p>
          <w:p w14:paraId="08C91F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6D6B2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159911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6F5D753" w14:textId="77777777">
        <w:trPr>
          <w:trHeight w:val="230"/>
        </w:trPr>
        <w:tc>
          <w:tcPr>
            <w:tcW w:w="1776" w:type="dxa"/>
            <w:tcBorders>
              <w:top w:val="single" w:sz="6" w:space="0" w:color="auto"/>
              <w:left w:val="single" w:sz="6" w:space="0" w:color="auto"/>
              <w:bottom w:val="nil"/>
              <w:right w:val="single" w:sz="6" w:space="0" w:color="auto"/>
            </w:tcBorders>
          </w:tcPr>
          <w:p w14:paraId="506B4D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 автомобилей</w:t>
            </w:r>
          </w:p>
          <w:p w14:paraId="3F9253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B8C026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p w14:paraId="754565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25EC2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20027</w:t>
            </w:r>
          </w:p>
          <w:p w14:paraId="086183B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0078A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39878</w:t>
            </w:r>
          </w:p>
          <w:p w14:paraId="5C4CF11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ECA3A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145401</w:t>
            </w:r>
          </w:p>
          <w:p w14:paraId="7F2CED2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991D67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205306</w:t>
            </w:r>
          </w:p>
          <w:p w14:paraId="6ADC839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8B130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21060</w:t>
            </w:r>
          </w:p>
          <w:p w14:paraId="309576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0F57EE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36375</w:t>
            </w:r>
          </w:p>
          <w:p w14:paraId="1511E0B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9E5EDD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148985</w:t>
            </w:r>
          </w:p>
          <w:p w14:paraId="34E267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CB74E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206420</w:t>
            </w:r>
          </w:p>
          <w:p w14:paraId="4F4937F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3A228B5" w14:textId="77777777">
        <w:trPr>
          <w:trHeight w:val="230"/>
        </w:trPr>
        <w:tc>
          <w:tcPr>
            <w:tcW w:w="1776" w:type="dxa"/>
            <w:tcBorders>
              <w:top w:val="nil"/>
              <w:left w:val="single" w:sz="6" w:space="0" w:color="auto"/>
              <w:bottom w:val="single" w:sz="6" w:space="0" w:color="auto"/>
              <w:right w:val="single" w:sz="6" w:space="0" w:color="auto"/>
            </w:tcBorders>
          </w:tcPr>
          <w:p w14:paraId="6052730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612BDC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806B7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24C83A7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078461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w:t>
            </w:r>
          </w:p>
          <w:p w14:paraId="1124DB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E0BA1E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w:t>
            </w:r>
          </w:p>
          <w:p w14:paraId="2F5028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13C74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70,8</w:t>
            </w:r>
          </w:p>
          <w:p w14:paraId="7748D1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F9DD5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25078C6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DA1B3E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w:t>
            </w:r>
          </w:p>
          <w:p w14:paraId="2F7F0A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7BBB3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17,6</w:t>
            </w:r>
          </w:p>
          <w:p w14:paraId="36D3831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B596A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72,2</w:t>
            </w:r>
          </w:p>
          <w:p w14:paraId="604F7D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494A21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351A790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FE9A8F1" w14:textId="77777777">
        <w:trPr>
          <w:trHeight w:val="230"/>
        </w:trPr>
        <w:tc>
          <w:tcPr>
            <w:tcW w:w="1776" w:type="dxa"/>
            <w:tcBorders>
              <w:top w:val="single" w:sz="6" w:space="0" w:color="auto"/>
              <w:left w:val="single" w:sz="6" w:space="0" w:color="auto"/>
              <w:bottom w:val="nil"/>
              <w:right w:val="single" w:sz="6" w:space="0" w:color="auto"/>
            </w:tcBorders>
          </w:tcPr>
          <w:p w14:paraId="0F008A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Мотоциклы</w:t>
            </w:r>
          </w:p>
          <w:p w14:paraId="22DA05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12465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p w14:paraId="0C610C8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229BE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1049</w:t>
            </w:r>
          </w:p>
          <w:p w14:paraId="1671B43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31B831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2524</w:t>
            </w:r>
          </w:p>
          <w:p w14:paraId="7180E3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8A1667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8362</w:t>
            </w:r>
          </w:p>
          <w:p w14:paraId="62E416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34E8C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11935</w:t>
            </w:r>
          </w:p>
          <w:p w14:paraId="5762B86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148851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880</w:t>
            </w:r>
          </w:p>
          <w:p w14:paraId="562740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AD55F8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2494</w:t>
            </w:r>
          </w:p>
          <w:p w14:paraId="26BF96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F0892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9081</w:t>
            </w:r>
          </w:p>
          <w:p w14:paraId="26F4D75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9F694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12455</w:t>
            </w:r>
          </w:p>
          <w:p w14:paraId="23B8498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3A55813" w14:textId="77777777">
        <w:trPr>
          <w:trHeight w:val="230"/>
        </w:trPr>
        <w:tc>
          <w:tcPr>
            <w:tcW w:w="1776" w:type="dxa"/>
            <w:tcBorders>
              <w:top w:val="nil"/>
              <w:left w:val="single" w:sz="6" w:space="0" w:color="auto"/>
              <w:bottom w:val="single" w:sz="6" w:space="0" w:color="auto"/>
              <w:right w:val="single" w:sz="6" w:space="0" w:color="auto"/>
            </w:tcBorders>
          </w:tcPr>
          <w:p w14:paraId="72030AC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9C15D6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A29A5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7AC741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91D85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w:t>
            </w:r>
          </w:p>
          <w:p w14:paraId="0C931FF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33E7A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21,1</w:t>
            </w:r>
          </w:p>
          <w:p w14:paraId="0EF657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B7983F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70,1</w:t>
            </w:r>
          </w:p>
          <w:p w14:paraId="1FC8E96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9AE2D1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2A04B9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23BFE9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w:t>
            </w:r>
          </w:p>
          <w:p w14:paraId="22A1C8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3888B5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18553B4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8D0DE8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72,9</w:t>
            </w:r>
          </w:p>
          <w:p w14:paraId="1FF4B31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986292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7AE4B9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2B4E42C" w14:textId="77777777">
        <w:trPr>
          <w:trHeight w:val="230"/>
        </w:trPr>
        <w:tc>
          <w:tcPr>
            <w:tcW w:w="1776" w:type="dxa"/>
            <w:tcBorders>
              <w:top w:val="single" w:sz="6" w:space="0" w:color="auto"/>
              <w:left w:val="single" w:sz="6" w:space="0" w:color="auto"/>
              <w:bottom w:val="nil"/>
              <w:right w:val="single" w:sz="6" w:space="0" w:color="auto"/>
            </w:tcBorders>
          </w:tcPr>
          <w:p w14:paraId="6930A50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Тягачи и трактора на резиновом ходу</w:t>
            </w:r>
          </w:p>
          <w:p w14:paraId="0A38968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7F372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p w14:paraId="117731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4C235C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w:t>
            </w:r>
          </w:p>
          <w:p w14:paraId="4995B2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EDB09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w:t>
            </w:r>
          </w:p>
          <w:p w14:paraId="03F77AD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8303D4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1177</w:t>
            </w:r>
          </w:p>
          <w:p w14:paraId="7DABCF5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33D40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1373</w:t>
            </w:r>
          </w:p>
          <w:p w14:paraId="1FD896C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31D0AB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w:t>
            </w:r>
          </w:p>
          <w:p w14:paraId="1C31C23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BF46B6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w:t>
            </w:r>
          </w:p>
          <w:p w14:paraId="2AC859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316E2D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1066</w:t>
            </w:r>
          </w:p>
          <w:p w14:paraId="00096CB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49B44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1267</w:t>
            </w:r>
          </w:p>
          <w:p w14:paraId="53AD196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CDD6C80" w14:textId="77777777">
        <w:trPr>
          <w:trHeight w:val="230"/>
        </w:trPr>
        <w:tc>
          <w:tcPr>
            <w:tcW w:w="1776" w:type="dxa"/>
            <w:tcBorders>
              <w:top w:val="nil"/>
              <w:left w:val="single" w:sz="6" w:space="0" w:color="auto"/>
              <w:bottom w:val="single" w:sz="6" w:space="0" w:color="auto"/>
              <w:right w:val="single" w:sz="6" w:space="0" w:color="auto"/>
            </w:tcBorders>
          </w:tcPr>
          <w:p w14:paraId="60A24C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D5D55D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0B1F6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165652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8B214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w:t>
            </w:r>
          </w:p>
          <w:p w14:paraId="32D4D0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93D17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w:t>
            </w:r>
          </w:p>
          <w:p w14:paraId="27BF22D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AA99A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85,7</w:t>
            </w:r>
          </w:p>
          <w:p w14:paraId="078ACB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29B28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457DE91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A63B48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w:t>
            </w:r>
          </w:p>
          <w:p w14:paraId="2E10859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AE1CBB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14,2</w:t>
            </w:r>
          </w:p>
          <w:p w14:paraId="53503D5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84DE5A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84,1</w:t>
            </w:r>
          </w:p>
          <w:p w14:paraId="6F6F46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AE039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26F840D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072B64C" w14:textId="77777777">
        <w:trPr>
          <w:trHeight w:val="221"/>
        </w:trPr>
        <w:tc>
          <w:tcPr>
            <w:tcW w:w="1776" w:type="dxa"/>
            <w:tcBorders>
              <w:top w:val="single" w:sz="6" w:space="0" w:color="auto"/>
              <w:left w:val="single" w:sz="6" w:space="0" w:color="auto"/>
              <w:bottom w:val="nil"/>
              <w:right w:val="single" w:sz="6" w:space="0" w:color="auto"/>
            </w:tcBorders>
          </w:tcPr>
          <w:p w14:paraId="75983AE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6C185F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E1751F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p w14:paraId="5FB00F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05BFA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21120</w:t>
            </w:r>
          </w:p>
          <w:p w14:paraId="6399791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1C78B6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42554</w:t>
            </w:r>
          </w:p>
          <w:p w14:paraId="2F3ABB3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B2C0E0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154940</w:t>
            </w:r>
          </w:p>
          <w:p w14:paraId="642425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9B8AC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218614</w:t>
            </w:r>
          </w:p>
          <w:p w14:paraId="1CCE0C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7B920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21961</w:t>
            </w:r>
          </w:p>
          <w:p w14:paraId="042E6C7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40300B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39049</w:t>
            </w:r>
          </w:p>
          <w:p w14:paraId="023E77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1848E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159132</w:t>
            </w:r>
          </w:p>
          <w:p w14:paraId="4548E8B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91403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220142</w:t>
            </w:r>
          </w:p>
          <w:p w14:paraId="2FCAC1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7C42947" w14:textId="77777777">
        <w:trPr>
          <w:trHeight w:val="250"/>
        </w:trPr>
        <w:tc>
          <w:tcPr>
            <w:tcW w:w="1776" w:type="dxa"/>
            <w:tcBorders>
              <w:top w:val="nil"/>
              <w:left w:val="single" w:sz="6" w:space="0" w:color="auto"/>
              <w:bottom w:val="single" w:sz="6" w:space="0" w:color="auto"/>
              <w:right w:val="single" w:sz="6" w:space="0" w:color="auto"/>
            </w:tcBorders>
          </w:tcPr>
          <w:p w14:paraId="1BC84AA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DE5396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DD899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498BAF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ED8A9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w:t>
            </w:r>
          </w:p>
          <w:p w14:paraId="28F6F1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494941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19,5</w:t>
            </w:r>
          </w:p>
          <w:p w14:paraId="7301B3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34D7FF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70,8</w:t>
            </w:r>
          </w:p>
          <w:p w14:paraId="6F3219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008C18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1AF622D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FA3DCE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7C5FB18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E2BBB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17,7</w:t>
            </w:r>
          </w:p>
          <w:p w14:paraId="6EB798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472297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72,3</w:t>
            </w:r>
          </w:p>
          <w:p w14:paraId="7AACA53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C4A64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5CFE6D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B703E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Увеличение числа машин первой категории среди грузовых бензиновых автомобилей объясня</w:t>
      </w:r>
      <w:r w:rsidRPr="00070ADE">
        <w:rPr>
          <w:rFonts w:ascii="Times New Roman" w:hAnsi="Times New Roman"/>
          <w:color w:val="000000" w:themeColor="text1"/>
          <w:sz w:val="16"/>
          <w:szCs w:val="16"/>
        </w:rPr>
        <w:softHyphen/>
        <w:t>ется, как это отмечалось ранее, пополнением парка новыми импортными автомашинами.</w:t>
      </w:r>
    </w:p>
    <w:p w14:paraId="0C26B0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ухудшение категорийности газогенераторных машин повлияла неудовлетворительная обе</w:t>
      </w:r>
      <w:r w:rsidRPr="00070ADE">
        <w:rPr>
          <w:rFonts w:ascii="Times New Roman" w:hAnsi="Times New Roman"/>
          <w:color w:val="000000" w:themeColor="text1"/>
          <w:sz w:val="16"/>
          <w:szCs w:val="16"/>
        </w:rPr>
        <w:softHyphen/>
        <w:t>спеченность машин этого типа запасными частями, в результате чего автомобили своевременно не ремонтировались.</w:t>
      </w:r>
    </w:p>
    <w:p w14:paraId="4347E05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Техническое состояние автопарка</w:t>
      </w:r>
    </w:p>
    <w:p w14:paraId="3775F7D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общего количества, находящихся в народном хозяйстве Союза ССР, на 1 января 1944 года, 206420 автомобилей, органами Госавтоинспекции осмотрено 195926 автомашин или 97,9% всего автопарка. Из общего количества осмотренных автомашин оказалось:</w:t>
      </w:r>
    </w:p>
    <w:p w14:paraId="43B1E09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 ходу (в эксплуатации) 120492 автомобиля или 61,5%;</w:t>
      </w:r>
    </w:p>
    <w:p w14:paraId="1A014FB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не на ходу (простаивает по различным причинам) 75434 автомобилей или 38,5%. Техническое состояние ходовых автомобилей следующее:</w:t>
      </w:r>
    </w:p>
    <w:tbl>
      <w:tblPr>
        <w:tblW w:w="0" w:type="auto"/>
        <w:tblInd w:w="40" w:type="dxa"/>
        <w:tblLayout w:type="fixed"/>
        <w:tblCellMar>
          <w:left w:w="40" w:type="dxa"/>
          <w:right w:w="40" w:type="dxa"/>
        </w:tblCellMar>
        <w:tblLook w:val="0000" w:firstRow="0" w:lastRow="0" w:firstColumn="0" w:lastColumn="0" w:noHBand="0" w:noVBand="0"/>
      </w:tblPr>
      <w:tblGrid>
        <w:gridCol w:w="3254"/>
        <w:gridCol w:w="1699"/>
        <w:gridCol w:w="1805"/>
        <w:gridCol w:w="1824"/>
      </w:tblGrid>
      <w:tr w:rsidR="00CB5308" w:rsidRPr="00070ADE" w14:paraId="0300E787" w14:textId="77777777">
        <w:trPr>
          <w:trHeight w:val="269"/>
        </w:trPr>
        <w:tc>
          <w:tcPr>
            <w:tcW w:w="3254" w:type="dxa"/>
            <w:tcBorders>
              <w:top w:val="single" w:sz="6" w:space="0" w:color="auto"/>
              <w:left w:val="single" w:sz="6" w:space="0" w:color="auto"/>
              <w:bottom w:val="nil"/>
              <w:right w:val="single" w:sz="6" w:space="0" w:color="auto"/>
            </w:tcBorders>
          </w:tcPr>
          <w:p w14:paraId="3F5B803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Состояние автомобилей</w:t>
            </w:r>
          </w:p>
          <w:p w14:paraId="345361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nil"/>
              <w:right w:val="single" w:sz="6" w:space="0" w:color="auto"/>
            </w:tcBorders>
          </w:tcPr>
          <w:p w14:paraId="7DCE68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автомобилей</w:t>
            </w:r>
          </w:p>
          <w:p w14:paraId="729CE28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29" w:type="dxa"/>
            <w:gridSpan w:val="2"/>
            <w:tcBorders>
              <w:top w:val="single" w:sz="6" w:space="0" w:color="auto"/>
              <w:left w:val="single" w:sz="6" w:space="0" w:color="auto"/>
              <w:bottom w:val="single" w:sz="6" w:space="0" w:color="auto"/>
              <w:right w:val="single" w:sz="6" w:space="0" w:color="auto"/>
            </w:tcBorders>
          </w:tcPr>
          <w:p w14:paraId="07AB54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52CFA5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3BEDB12" w14:textId="77777777">
        <w:trPr>
          <w:trHeight w:val="269"/>
        </w:trPr>
        <w:tc>
          <w:tcPr>
            <w:tcW w:w="3254" w:type="dxa"/>
            <w:tcBorders>
              <w:top w:val="nil"/>
              <w:left w:val="single" w:sz="6" w:space="0" w:color="auto"/>
              <w:bottom w:val="single" w:sz="6" w:space="0" w:color="auto"/>
              <w:right w:val="single" w:sz="6" w:space="0" w:color="auto"/>
            </w:tcBorders>
          </w:tcPr>
          <w:p w14:paraId="54BEC54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5A377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nil"/>
              <w:left w:val="single" w:sz="6" w:space="0" w:color="auto"/>
              <w:bottom w:val="single" w:sz="6" w:space="0" w:color="auto"/>
              <w:right w:val="single" w:sz="6" w:space="0" w:color="auto"/>
            </w:tcBorders>
          </w:tcPr>
          <w:p w14:paraId="5B3BEFD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56C44C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45963E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ходовому парку</w:t>
            </w:r>
          </w:p>
          <w:p w14:paraId="2FD89EA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244AF2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осмотренному парку</w:t>
            </w:r>
          </w:p>
          <w:p w14:paraId="6A51EB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FD07AC0" w14:textId="77777777">
        <w:trPr>
          <w:trHeight w:val="278"/>
        </w:trPr>
        <w:tc>
          <w:tcPr>
            <w:tcW w:w="3254" w:type="dxa"/>
            <w:tcBorders>
              <w:top w:val="single" w:sz="6" w:space="0" w:color="auto"/>
              <w:left w:val="single" w:sz="6" w:space="0" w:color="auto"/>
              <w:bottom w:val="single" w:sz="6" w:space="0" w:color="auto"/>
              <w:right w:val="single" w:sz="6" w:space="0" w:color="auto"/>
            </w:tcBorders>
          </w:tcPr>
          <w:p w14:paraId="2BE739A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ходовых автомашин</w:t>
            </w:r>
          </w:p>
          <w:p w14:paraId="609B75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6FDC4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120492</w:t>
            </w:r>
          </w:p>
          <w:p w14:paraId="10761E6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1E7990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38BB200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7DC7C31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61,5</w:t>
            </w:r>
          </w:p>
          <w:p w14:paraId="739540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40D0283" w14:textId="77777777">
        <w:trPr>
          <w:trHeight w:val="269"/>
        </w:trPr>
        <w:tc>
          <w:tcPr>
            <w:tcW w:w="3254" w:type="dxa"/>
            <w:tcBorders>
              <w:top w:val="single" w:sz="6" w:space="0" w:color="auto"/>
              <w:left w:val="single" w:sz="6" w:space="0" w:color="auto"/>
              <w:bottom w:val="single" w:sz="6" w:space="0" w:color="auto"/>
              <w:right w:val="single" w:sz="6" w:space="0" w:color="auto"/>
            </w:tcBorders>
          </w:tcPr>
          <w:p w14:paraId="3C01FB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них:</w:t>
            </w:r>
          </w:p>
          <w:p w14:paraId="330DEEF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895A97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9205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5CE9FB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56F5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7E2163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FD0DF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7A1A873" w14:textId="77777777">
        <w:trPr>
          <w:trHeight w:val="278"/>
        </w:trPr>
        <w:tc>
          <w:tcPr>
            <w:tcW w:w="3254" w:type="dxa"/>
            <w:tcBorders>
              <w:top w:val="single" w:sz="6" w:space="0" w:color="auto"/>
              <w:left w:val="single" w:sz="6" w:space="0" w:color="auto"/>
              <w:bottom w:val="single" w:sz="6" w:space="0" w:color="auto"/>
              <w:right w:val="single" w:sz="6" w:space="0" w:color="auto"/>
            </w:tcBorders>
          </w:tcPr>
          <w:p w14:paraId="422630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 исправных</w:t>
            </w:r>
          </w:p>
          <w:p w14:paraId="4E16378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55E2B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83402</w:t>
            </w:r>
          </w:p>
          <w:p w14:paraId="48C298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6C6B230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69,2</w:t>
            </w:r>
          </w:p>
          <w:p w14:paraId="652C2B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6A85D56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42,6</w:t>
            </w:r>
          </w:p>
          <w:p w14:paraId="2B58C5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070ADE" w14:paraId="654CF6FC" w14:textId="77777777">
        <w:trPr>
          <w:trHeight w:val="298"/>
        </w:trPr>
        <w:tc>
          <w:tcPr>
            <w:tcW w:w="3254" w:type="dxa"/>
            <w:tcBorders>
              <w:top w:val="single" w:sz="6" w:space="0" w:color="auto"/>
              <w:left w:val="single" w:sz="6" w:space="0" w:color="auto"/>
              <w:bottom w:val="single" w:sz="6" w:space="0" w:color="auto"/>
              <w:right w:val="single" w:sz="6" w:space="0" w:color="auto"/>
            </w:tcBorders>
          </w:tcPr>
          <w:p w14:paraId="5FC7EE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Требующих текущего ремонта</w:t>
            </w:r>
          </w:p>
          <w:p w14:paraId="142078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CCAEE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19862</w:t>
            </w:r>
          </w:p>
          <w:p w14:paraId="502370F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7AB141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16,5</w:t>
            </w:r>
          </w:p>
          <w:p w14:paraId="7D1A0FC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6BDB2C3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w:t>
            </w:r>
          </w:p>
          <w:p w14:paraId="523C105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4ABFFA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3235"/>
        <w:gridCol w:w="1699"/>
        <w:gridCol w:w="1805"/>
        <w:gridCol w:w="1824"/>
      </w:tblGrid>
      <w:tr w:rsidR="00CB5308" w:rsidRPr="00070ADE" w14:paraId="219CDA25" w14:textId="77777777">
        <w:trPr>
          <w:trHeight w:val="269"/>
        </w:trPr>
        <w:tc>
          <w:tcPr>
            <w:tcW w:w="3235" w:type="dxa"/>
            <w:tcBorders>
              <w:top w:val="single" w:sz="6" w:space="0" w:color="auto"/>
              <w:left w:val="single" w:sz="6" w:space="0" w:color="auto"/>
              <w:bottom w:val="nil"/>
              <w:right w:val="single" w:sz="6" w:space="0" w:color="auto"/>
            </w:tcBorders>
          </w:tcPr>
          <w:p w14:paraId="657BAF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Состояние автомобилей</w:t>
            </w:r>
          </w:p>
          <w:p w14:paraId="54FF985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nil"/>
              <w:right w:val="single" w:sz="6" w:space="0" w:color="auto"/>
            </w:tcBorders>
          </w:tcPr>
          <w:p w14:paraId="6C85581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автомобилей</w:t>
            </w:r>
          </w:p>
          <w:p w14:paraId="5291538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29" w:type="dxa"/>
            <w:gridSpan w:val="2"/>
            <w:tcBorders>
              <w:top w:val="single" w:sz="6" w:space="0" w:color="auto"/>
              <w:left w:val="single" w:sz="6" w:space="0" w:color="auto"/>
              <w:bottom w:val="single" w:sz="6" w:space="0" w:color="auto"/>
              <w:right w:val="single" w:sz="6" w:space="0" w:color="auto"/>
            </w:tcBorders>
          </w:tcPr>
          <w:p w14:paraId="2C3F49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12ECCD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988A832" w14:textId="77777777">
        <w:trPr>
          <w:trHeight w:val="259"/>
        </w:trPr>
        <w:tc>
          <w:tcPr>
            <w:tcW w:w="3235" w:type="dxa"/>
            <w:tcBorders>
              <w:top w:val="nil"/>
              <w:left w:val="single" w:sz="6" w:space="0" w:color="auto"/>
              <w:bottom w:val="single" w:sz="6" w:space="0" w:color="auto"/>
              <w:right w:val="single" w:sz="6" w:space="0" w:color="auto"/>
            </w:tcBorders>
          </w:tcPr>
          <w:p w14:paraId="1969902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1CC631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nil"/>
              <w:left w:val="single" w:sz="6" w:space="0" w:color="auto"/>
              <w:bottom w:val="single" w:sz="6" w:space="0" w:color="auto"/>
              <w:right w:val="single" w:sz="6" w:space="0" w:color="auto"/>
            </w:tcBorders>
          </w:tcPr>
          <w:p w14:paraId="190330C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A73ACB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32B6F3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ходовому парку</w:t>
            </w:r>
          </w:p>
          <w:p w14:paraId="2FA586D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7C32FC0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осмотренному парку</w:t>
            </w:r>
          </w:p>
          <w:p w14:paraId="4AFBD0D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B75A7C6" w14:textId="77777777">
        <w:trPr>
          <w:trHeight w:val="278"/>
        </w:trPr>
        <w:tc>
          <w:tcPr>
            <w:tcW w:w="3235" w:type="dxa"/>
            <w:tcBorders>
              <w:top w:val="single" w:sz="6" w:space="0" w:color="auto"/>
              <w:left w:val="single" w:sz="6" w:space="0" w:color="auto"/>
              <w:bottom w:val="single" w:sz="6" w:space="0" w:color="auto"/>
              <w:right w:val="single" w:sz="6" w:space="0" w:color="auto"/>
            </w:tcBorders>
          </w:tcPr>
          <w:p w14:paraId="4AA94DF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Требующих среднего ремонта</w:t>
            </w:r>
          </w:p>
          <w:p w14:paraId="5C20173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626FB0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13271</w:t>
            </w:r>
          </w:p>
          <w:p w14:paraId="307862C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1571569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w:t>
            </w:r>
          </w:p>
          <w:p w14:paraId="3813957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625A531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w:t>
            </w:r>
          </w:p>
          <w:p w14:paraId="3E3392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6269936" w14:textId="77777777">
        <w:trPr>
          <w:trHeight w:val="298"/>
        </w:trPr>
        <w:tc>
          <w:tcPr>
            <w:tcW w:w="3235" w:type="dxa"/>
            <w:tcBorders>
              <w:top w:val="single" w:sz="6" w:space="0" w:color="auto"/>
              <w:left w:val="single" w:sz="6" w:space="0" w:color="auto"/>
              <w:bottom w:val="single" w:sz="6" w:space="0" w:color="auto"/>
              <w:right w:val="single" w:sz="6" w:space="0" w:color="auto"/>
            </w:tcBorders>
          </w:tcPr>
          <w:p w14:paraId="4BB24E9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Требующих капитального ремонта</w:t>
            </w:r>
          </w:p>
          <w:p w14:paraId="127DD3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0031E90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3957</w:t>
            </w:r>
          </w:p>
          <w:p w14:paraId="15C5C82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5F9C37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w:t>
            </w:r>
          </w:p>
          <w:p w14:paraId="0705DA8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069CC8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p w14:paraId="47B858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1D0672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приведенного видно, что исправных автомашин имеется лишь 83402 единицы или 69,2% от общего числа ходовых машин; остальные 37090 автомашин (30,8%) эксплуатировались в неисправ</w:t>
      </w:r>
      <w:r w:rsidRPr="00070ADE">
        <w:rPr>
          <w:rFonts w:ascii="Times New Roman" w:hAnsi="Times New Roman"/>
          <w:color w:val="000000" w:themeColor="text1"/>
          <w:sz w:val="16"/>
          <w:szCs w:val="16"/>
        </w:rPr>
        <w:softHyphen/>
        <w:t>ном состоянии.</w:t>
      </w:r>
    </w:p>
    <w:p w14:paraId="03117E3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Техническое состояние простаивающих (неходовых) автомобилей приводится ниже:</w:t>
      </w:r>
    </w:p>
    <w:tbl>
      <w:tblPr>
        <w:tblW w:w="0" w:type="auto"/>
        <w:tblInd w:w="40" w:type="dxa"/>
        <w:tblLayout w:type="fixed"/>
        <w:tblCellMar>
          <w:left w:w="40" w:type="dxa"/>
          <w:right w:w="40" w:type="dxa"/>
        </w:tblCellMar>
        <w:tblLook w:val="0000" w:firstRow="0" w:lastRow="0" w:firstColumn="0" w:lastColumn="0" w:noHBand="0" w:noVBand="0"/>
      </w:tblPr>
      <w:tblGrid>
        <w:gridCol w:w="4330"/>
        <w:gridCol w:w="1498"/>
        <w:gridCol w:w="1622"/>
        <w:gridCol w:w="1651"/>
      </w:tblGrid>
      <w:tr w:rsidR="00CB5308" w:rsidRPr="00070ADE" w14:paraId="28821ACC" w14:textId="77777777">
        <w:trPr>
          <w:trHeight w:val="192"/>
        </w:trPr>
        <w:tc>
          <w:tcPr>
            <w:tcW w:w="4330" w:type="dxa"/>
            <w:tcBorders>
              <w:top w:val="single" w:sz="6" w:space="0" w:color="auto"/>
              <w:left w:val="single" w:sz="6" w:space="0" w:color="auto"/>
              <w:bottom w:val="nil"/>
              <w:right w:val="single" w:sz="6" w:space="0" w:color="auto"/>
            </w:tcBorders>
          </w:tcPr>
          <w:p w14:paraId="5124997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Состояние автомобилей</w:t>
            </w:r>
          </w:p>
          <w:p w14:paraId="041F4F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nil"/>
              <w:right w:val="single" w:sz="6" w:space="0" w:color="auto"/>
            </w:tcBorders>
          </w:tcPr>
          <w:p w14:paraId="402B95F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автомобилей</w:t>
            </w:r>
          </w:p>
          <w:p w14:paraId="632594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73" w:type="dxa"/>
            <w:gridSpan w:val="2"/>
            <w:tcBorders>
              <w:top w:val="single" w:sz="6" w:space="0" w:color="auto"/>
              <w:left w:val="single" w:sz="6" w:space="0" w:color="auto"/>
              <w:bottom w:val="single" w:sz="6" w:space="0" w:color="auto"/>
              <w:right w:val="single" w:sz="6" w:space="0" w:color="auto"/>
            </w:tcBorders>
          </w:tcPr>
          <w:p w14:paraId="33C775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05F5246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7087664" w14:textId="77777777">
        <w:trPr>
          <w:trHeight w:val="182"/>
        </w:trPr>
        <w:tc>
          <w:tcPr>
            <w:tcW w:w="4330" w:type="dxa"/>
            <w:tcBorders>
              <w:top w:val="nil"/>
              <w:left w:val="single" w:sz="6" w:space="0" w:color="auto"/>
              <w:bottom w:val="single" w:sz="6" w:space="0" w:color="auto"/>
              <w:right w:val="single" w:sz="6" w:space="0" w:color="auto"/>
            </w:tcBorders>
          </w:tcPr>
          <w:p w14:paraId="224AD15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B4E9AA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nil"/>
              <w:left w:val="single" w:sz="6" w:space="0" w:color="auto"/>
              <w:bottom w:val="single" w:sz="6" w:space="0" w:color="auto"/>
              <w:right w:val="single" w:sz="6" w:space="0" w:color="auto"/>
            </w:tcBorders>
          </w:tcPr>
          <w:p w14:paraId="0190BA0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83DC74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512F11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неходовому парку</w:t>
            </w:r>
          </w:p>
          <w:p w14:paraId="22B8063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8D2472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осмотренному парку</w:t>
            </w:r>
          </w:p>
          <w:p w14:paraId="05FFF2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607D340"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2AB2C7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неходовых автомобилей</w:t>
            </w:r>
          </w:p>
          <w:p w14:paraId="279C45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13379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75434</w:t>
            </w:r>
          </w:p>
          <w:p w14:paraId="1EC62C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33AFC00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7865C2A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2EA38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38,5</w:t>
            </w:r>
          </w:p>
          <w:p w14:paraId="1E7E80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4B72895" w14:textId="77777777">
        <w:trPr>
          <w:trHeight w:val="202"/>
        </w:trPr>
        <w:tc>
          <w:tcPr>
            <w:tcW w:w="4330" w:type="dxa"/>
            <w:tcBorders>
              <w:top w:val="single" w:sz="6" w:space="0" w:color="auto"/>
              <w:left w:val="single" w:sz="6" w:space="0" w:color="auto"/>
              <w:bottom w:val="single" w:sz="6" w:space="0" w:color="auto"/>
              <w:right w:val="single" w:sz="6" w:space="0" w:color="auto"/>
            </w:tcBorders>
          </w:tcPr>
          <w:p w14:paraId="2540321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них:</w:t>
            </w:r>
          </w:p>
          <w:p w14:paraId="2ACE6F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C90B9B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32363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C55C7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E385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20880D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8A24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54201BE"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719CB4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 исправных, простаивающих без резины</w:t>
            </w:r>
          </w:p>
          <w:p w14:paraId="23C43F5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ABF3E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1825</w:t>
            </w:r>
          </w:p>
          <w:p w14:paraId="55DE05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177A69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p w14:paraId="263DF1E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174F9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0,9</w:t>
            </w:r>
          </w:p>
          <w:p w14:paraId="6F85A61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D5152C0"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0049CF3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текущем ремонте</w:t>
            </w:r>
          </w:p>
          <w:p w14:paraId="2A9E0CF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C64909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5676</w:t>
            </w:r>
          </w:p>
          <w:p w14:paraId="090ABFF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C72ACB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565991D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453DEF4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w:t>
            </w:r>
          </w:p>
          <w:p w14:paraId="74124E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35BCA0B" w14:textId="77777777">
        <w:trPr>
          <w:trHeight w:val="202"/>
        </w:trPr>
        <w:tc>
          <w:tcPr>
            <w:tcW w:w="4330" w:type="dxa"/>
            <w:tcBorders>
              <w:top w:val="single" w:sz="6" w:space="0" w:color="auto"/>
              <w:left w:val="single" w:sz="6" w:space="0" w:color="auto"/>
              <w:bottom w:val="single" w:sz="6" w:space="0" w:color="auto"/>
              <w:right w:val="single" w:sz="6" w:space="0" w:color="auto"/>
            </w:tcBorders>
          </w:tcPr>
          <w:p w14:paraId="33E09E0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среднем ремонте</w:t>
            </w:r>
          </w:p>
          <w:p w14:paraId="4B1BBD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2315A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11165</w:t>
            </w:r>
          </w:p>
          <w:p w14:paraId="3A73FB6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E7F7A7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14,8</w:t>
            </w:r>
          </w:p>
          <w:p w14:paraId="4B8A7AA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1A912F5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w:t>
            </w:r>
          </w:p>
          <w:p w14:paraId="4ED1028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8178302"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3362D4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капитальном ремонте</w:t>
            </w:r>
          </w:p>
          <w:p w14:paraId="717657D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413FD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11109</w:t>
            </w:r>
          </w:p>
          <w:p w14:paraId="6DF8201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2F3829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14,9</w:t>
            </w:r>
          </w:p>
          <w:p w14:paraId="32E6E2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5E80D9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5,7</w:t>
            </w:r>
          </w:p>
          <w:p w14:paraId="10354E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888837D"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6909C6D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ожидании текущего ремонта</w:t>
            </w:r>
          </w:p>
          <w:p w14:paraId="371EA55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DB8BB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4898</w:t>
            </w:r>
          </w:p>
          <w:p w14:paraId="22F1109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515BA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w:t>
            </w:r>
          </w:p>
          <w:p w14:paraId="7DAD58A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E2E6E8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56543BD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A6C2300" w14:textId="77777777">
        <w:trPr>
          <w:trHeight w:val="202"/>
        </w:trPr>
        <w:tc>
          <w:tcPr>
            <w:tcW w:w="4330" w:type="dxa"/>
            <w:tcBorders>
              <w:top w:val="single" w:sz="6" w:space="0" w:color="auto"/>
              <w:left w:val="single" w:sz="6" w:space="0" w:color="auto"/>
              <w:bottom w:val="single" w:sz="6" w:space="0" w:color="auto"/>
              <w:right w:val="single" w:sz="6" w:space="0" w:color="auto"/>
            </w:tcBorders>
          </w:tcPr>
          <w:p w14:paraId="2829513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ожидании среднего ремонта</w:t>
            </w:r>
          </w:p>
          <w:p w14:paraId="541C85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52D773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10859</w:t>
            </w:r>
          </w:p>
          <w:p w14:paraId="1C438C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67DEF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w:t>
            </w:r>
          </w:p>
          <w:p w14:paraId="0867C52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100266A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p w14:paraId="472891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B8E494A"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2187B64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ожидании капитального ремонта</w:t>
            </w:r>
          </w:p>
          <w:p w14:paraId="6E69993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426B1E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26952</w:t>
            </w:r>
          </w:p>
          <w:p w14:paraId="3B8317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F1EC3A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35,7</w:t>
            </w:r>
          </w:p>
          <w:p w14:paraId="4A4548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5EF80D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13,8</w:t>
            </w:r>
          </w:p>
          <w:p w14:paraId="6D3594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8369343" w14:textId="77777777">
        <w:trPr>
          <w:trHeight w:val="221"/>
        </w:trPr>
        <w:tc>
          <w:tcPr>
            <w:tcW w:w="4330" w:type="dxa"/>
            <w:tcBorders>
              <w:top w:val="single" w:sz="6" w:space="0" w:color="auto"/>
              <w:left w:val="single" w:sz="6" w:space="0" w:color="auto"/>
              <w:bottom w:val="single" w:sz="6" w:space="0" w:color="auto"/>
              <w:right w:val="single" w:sz="6" w:space="0" w:color="auto"/>
            </w:tcBorders>
          </w:tcPr>
          <w:p w14:paraId="5C9E799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Нерентабельных к восстановлению</w:t>
            </w:r>
          </w:p>
          <w:p w14:paraId="46AC852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37D12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2950</w:t>
            </w:r>
          </w:p>
          <w:p w14:paraId="50395A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35B98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w:t>
            </w:r>
          </w:p>
          <w:p w14:paraId="2C06646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C46DF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p w14:paraId="15F30C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0BC30B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75434 простаивающих автомобилей 70859 машин находились в ремонте или в ожидании ремонта.</w:t>
      </w:r>
    </w:p>
    <w:p w14:paraId="5EA6430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сравнении технического состояния автопарка на 1 января 1944 года с результатами пред</w:t>
      </w:r>
      <w:r w:rsidRPr="00070ADE">
        <w:rPr>
          <w:rFonts w:ascii="Times New Roman" w:hAnsi="Times New Roman"/>
          <w:color w:val="000000" w:themeColor="text1"/>
          <w:sz w:val="16"/>
          <w:szCs w:val="16"/>
        </w:rPr>
        <w:softHyphen/>
        <w:t>ыдущих технических осмотров видно некоторое улучшение его, так, например:</w:t>
      </w:r>
    </w:p>
    <w:tbl>
      <w:tblPr>
        <w:tblW w:w="0" w:type="auto"/>
        <w:tblInd w:w="40" w:type="dxa"/>
        <w:tblLayout w:type="fixed"/>
        <w:tblCellMar>
          <w:left w:w="40" w:type="dxa"/>
          <w:right w:w="40" w:type="dxa"/>
        </w:tblCellMar>
        <w:tblLook w:val="0000" w:firstRow="0" w:lastRow="0" w:firstColumn="0" w:lastColumn="0" w:noHBand="0" w:noVBand="0"/>
      </w:tblPr>
      <w:tblGrid>
        <w:gridCol w:w="3312"/>
        <w:gridCol w:w="1037"/>
        <w:gridCol w:w="1046"/>
        <w:gridCol w:w="1046"/>
        <w:gridCol w:w="1046"/>
        <w:gridCol w:w="1037"/>
        <w:gridCol w:w="1066"/>
      </w:tblGrid>
      <w:tr w:rsidR="00CB5308" w:rsidRPr="00070ADE" w14:paraId="335DE6E8" w14:textId="77777777">
        <w:trPr>
          <w:trHeight w:val="192"/>
        </w:trPr>
        <w:tc>
          <w:tcPr>
            <w:tcW w:w="3312" w:type="dxa"/>
            <w:tcBorders>
              <w:top w:val="single" w:sz="6" w:space="0" w:color="auto"/>
              <w:left w:val="single" w:sz="6" w:space="0" w:color="auto"/>
              <w:bottom w:val="nil"/>
              <w:right w:val="single" w:sz="6" w:space="0" w:color="auto"/>
            </w:tcBorders>
          </w:tcPr>
          <w:p w14:paraId="2B66869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Состояние автомобилей</w:t>
            </w:r>
          </w:p>
          <w:p w14:paraId="17460B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83" w:type="dxa"/>
            <w:gridSpan w:val="2"/>
            <w:tcBorders>
              <w:top w:val="single" w:sz="6" w:space="0" w:color="auto"/>
              <w:left w:val="single" w:sz="6" w:space="0" w:color="auto"/>
              <w:bottom w:val="single" w:sz="6" w:space="0" w:color="auto"/>
              <w:right w:val="single" w:sz="6" w:space="0" w:color="auto"/>
            </w:tcBorders>
          </w:tcPr>
          <w:p w14:paraId="754437F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1.01.1943 г.</w:t>
            </w:r>
          </w:p>
          <w:p w14:paraId="5525149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2" w:type="dxa"/>
            <w:gridSpan w:val="2"/>
            <w:tcBorders>
              <w:top w:val="single" w:sz="6" w:space="0" w:color="auto"/>
              <w:left w:val="single" w:sz="6" w:space="0" w:color="auto"/>
              <w:bottom w:val="single" w:sz="6" w:space="0" w:color="auto"/>
              <w:right w:val="single" w:sz="6" w:space="0" w:color="auto"/>
            </w:tcBorders>
          </w:tcPr>
          <w:p w14:paraId="0A94C9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1.08.1943 г.</w:t>
            </w:r>
          </w:p>
          <w:p w14:paraId="08FAF8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3" w:type="dxa"/>
            <w:gridSpan w:val="2"/>
            <w:tcBorders>
              <w:top w:val="single" w:sz="6" w:space="0" w:color="auto"/>
              <w:left w:val="single" w:sz="6" w:space="0" w:color="auto"/>
              <w:bottom w:val="single" w:sz="6" w:space="0" w:color="auto"/>
              <w:right w:val="single" w:sz="6" w:space="0" w:color="auto"/>
            </w:tcBorders>
          </w:tcPr>
          <w:p w14:paraId="1F10679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1.01.1944 г.</w:t>
            </w:r>
          </w:p>
          <w:p w14:paraId="5363B68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707B09B" w14:textId="77777777">
        <w:trPr>
          <w:trHeight w:val="336"/>
        </w:trPr>
        <w:tc>
          <w:tcPr>
            <w:tcW w:w="3312" w:type="dxa"/>
            <w:tcBorders>
              <w:top w:val="nil"/>
              <w:left w:val="single" w:sz="6" w:space="0" w:color="auto"/>
              <w:bottom w:val="single" w:sz="6" w:space="0" w:color="auto"/>
              <w:right w:val="single" w:sz="6" w:space="0" w:color="auto"/>
            </w:tcBorders>
          </w:tcPr>
          <w:p w14:paraId="34701C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C11ED3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6C51C6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автомобилей</w:t>
            </w:r>
          </w:p>
          <w:p w14:paraId="32DFB70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B7E051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 к осмо</w:t>
            </w:r>
            <w:r w:rsidRPr="00070ADE">
              <w:rPr>
                <w:rFonts w:ascii="Times New Roman" w:hAnsi="Times New Roman"/>
                <w:color w:val="000000" w:themeColor="text1"/>
                <w:sz w:val="16"/>
                <w:szCs w:val="16"/>
              </w:rPr>
              <w:softHyphen/>
              <w:t>тренному парку</w:t>
            </w:r>
          </w:p>
          <w:p w14:paraId="3C9683B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54727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автомобилей</w:t>
            </w:r>
          </w:p>
          <w:p w14:paraId="45D33D8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3ED730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 к осмо</w:t>
            </w:r>
            <w:r w:rsidRPr="00070ADE">
              <w:rPr>
                <w:rFonts w:ascii="Times New Roman" w:hAnsi="Times New Roman"/>
                <w:color w:val="000000" w:themeColor="text1"/>
                <w:sz w:val="16"/>
                <w:szCs w:val="16"/>
              </w:rPr>
              <w:softHyphen/>
              <w:t>тренному парку</w:t>
            </w:r>
          </w:p>
          <w:p w14:paraId="576303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C7DA6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автомобилей</w:t>
            </w:r>
          </w:p>
          <w:p w14:paraId="4B5DA5A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2A7E6A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 к осмо</w:t>
            </w:r>
            <w:r w:rsidRPr="00070ADE">
              <w:rPr>
                <w:rFonts w:ascii="Times New Roman" w:hAnsi="Times New Roman"/>
                <w:color w:val="000000" w:themeColor="text1"/>
                <w:sz w:val="16"/>
                <w:szCs w:val="16"/>
              </w:rPr>
              <w:softHyphen/>
              <w:t>тренному парку</w:t>
            </w:r>
          </w:p>
          <w:p w14:paraId="5E498F3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49E6511" w14:textId="77777777">
        <w:trPr>
          <w:trHeight w:val="202"/>
        </w:trPr>
        <w:tc>
          <w:tcPr>
            <w:tcW w:w="3312" w:type="dxa"/>
            <w:tcBorders>
              <w:top w:val="single" w:sz="6" w:space="0" w:color="auto"/>
              <w:left w:val="single" w:sz="6" w:space="0" w:color="auto"/>
              <w:bottom w:val="single" w:sz="6" w:space="0" w:color="auto"/>
              <w:right w:val="single" w:sz="6" w:space="0" w:color="auto"/>
            </w:tcBorders>
          </w:tcPr>
          <w:p w14:paraId="0D0F07A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 исправных на ходу</w:t>
            </w:r>
          </w:p>
          <w:p w14:paraId="14A6116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1F64D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65323</w:t>
            </w:r>
          </w:p>
          <w:p w14:paraId="210AB9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38986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31,8</w:t>
            </w:r>
          </w:p>
          <w:p w14:paraId="3DE8FC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E36973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74300</w:t>
            </w:r>
          </w:p>
          <w:p w14:paraId="7F53FDE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440A0D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38,0</w:t>
            </w:r>
          </w:p>
          <w:p w14:paraId="4E6675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BBF27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83402</w:t>
            </w:r>
          </w:p>
          <w:p w14:paraId="7F59608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2D947F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42,6</w:t>
            </w:r>
          </w:p>
          <w:p w14:paraId="04AB245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9BFC303" w14:textId="77777777">
        <w:trPr>
          <w:trHeight w:val="394"/>
        </w:trPr>
        <w:tc>
          <w:tcPr>
            <w:tcW w:w="3312" w:type="dxa"/>
            <w:tcBorders>
              <w:top w:val="single" w:sz="6" w:space="0" w:color="auto"/>
              <w:left w:val="single" w:sz="6" w:space="0" w:color="auto"/>
              <w:bottom w:val="single" w:sz="6" w:space="0" w:color="auto"/>
              <w:right w:val="single" w:sz="6" w:space="0" w:color="auto"/>
            </w:tcBorders>
          </w:tcPr>
          <w:p w14:paraId="3B9804E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 исправных простаивающих без резины</w:t>
            </w:r>
          </w:p>
          <w:p w14:paraId="5200256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AA879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7098</w:t>
            </w:r>
          </w:p>
          <w:p w14:paraId="5C48FD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7361D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w:t>
            </w:r>
          </w:p>
          <w:p w14:paraId="721CF4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BD6E2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2778</w:t>
            </w:r>
          </w:p>
          <w:p w14:paraId="5DB2D5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0B242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w:t>
            </w:r>
          </w:p>
          <w:p w14:paraId="41B710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6FFB43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1825</w:t>
            </w:r>
          </w:p>
          <w:p w14:paraId="3AB0AB8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6B0E0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0,9</w:t>
            </w:r>
          </w:p>
          <w:p w14:paraId="6AA0E6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5110560" w14:textId="77777777">
        <w:trPr>
          <w:trHeight w:val="192"/>
        </w:trPr>
        <w:tc>
          <w:tcPr>
            <w:tcW w:w="3312" w:type="dxa"/>
            <w:tcBorders>
              <w:top w:val="single" w:sz="6" w:space="0" w:color="auto"/>
              <w:left w:val="single" w:sz="6" w:space="0" w:color="auto"/>
              <w:bottom w:val="single" w:sz="6" w:space="0" w:color="auto"/>
              <w:right w:val="single" w:sz="6" w:space="0" w:color="auto"/>
            </w:tcBorders>
          </w:tcPr>
          <w:p w14:paraId="0CA91D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Ходовых машин, требующих ремонта</w:t>
            </w:r>
          </w:p>
          <w:p w14:paraId="4ED73E8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28612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39674</w:t>
            </w:r>
          </w:p>
          <w:p w14:paraId="5C7B4D6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1555D8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w:t>
            </w:r>
          </w:p>
          <w:p w14:paraId="42F2009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90CDCE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39439</w:t>
            </w:r>
          </w:p>
          <w:p w14:paraId="5D832C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C41FB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20,2</w:t>
            </w:r>
          </w:p>
          <w:p w14:paraId="5A4B2F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16347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37090</w:t>
            </w:r>
          </w:p>
          <w:p w14:paraId="28CB92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4B7DB0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18,9</w:t>
            </w:r>
          </w:p>
          <w:p w14:paraId="3C5A73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6340B1F" w14:textId="77777777">
        <w:trPr>
          <w:trHeight w:val="202"/>
        </w:trPr>
        <w:tc>
          <w:tcPr>
            <w:tcW w:w="3312" w:type="dxa"/>
            <w:tcBorders>
              <w:top w:val="single" w:sz="6" w:space="0" w:color="auto"/>
              <w:left w:val="single" w:sz="6" w:space="0" w:color="auto"/>
              <w:bottom w:val="single" w:sz="6" w:space="0" w:color="auto"/>
              <w:right w:val="single" w:sz="6" w:space="0" w:color="auto"/>
            </w:tcBorders>
          </w:tcPr>
          <w:p w14:paraId="2908237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Автомашин, находящихся в ремонте</w:t>
            </w:r>
          </w:p>
          <w:p w14:paraId="384491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99740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29455</w:t>
            </w:r>
          </w:p>
          <w:p w14:paraId="7A9ABC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D4C6B5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w:t>
            </w:r>
          </w:p>
          <w:p w14:paraId="17BDAD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2C1BE8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28473</w:t>
            </w:r>
          </w:p>
          <w:p w14:paraId="3DB83E0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0316B3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14,6</w:t>
            </w:r>
          </w:p>
          <w:p w14:paraId="62EAE56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870C5F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27950</w:t>
            </w:r>
          </w:p>
          <w:p w14:paraId="49676B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F856E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w:t>
            </w:r>
          </w:p>
          <w:p w14:paraId="5CF3208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D0C400C" w14:textId="77777777">
        <w:trPr>
          <w:trHeight w:val="192"/>
        </w:trPr>
        <w:tc>
          <w:tcPr>
            <w:tcW w:w="3312" w:type="dxa"/>
            <w:tcBorders>
              <w:top w:val="single" w:sz="6" w:space="0" w:color="auto"/>
              <w:left w:val="single" w:sz="6" w:space="0" w:color="auto"/>
              <w:bottom w:val="single" w:sz="6" w:space="0" w:color="auto"/>
              <w:right w:val="single" w:sz="6" w:space="0" w:color="auto"/>
            </w:tcBorders>
          </w:tcPr>
          <w:p w14:paraId="459B9EE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Автомашин в ожидании ремонта</w:t>
            </w:r>
          </w:p>
          <w:p w14:paraId="7E2C84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CE5CD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55782</w:t>
            </w:r>
          </w:p>
          <w:p w14:paraId="6700A4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EBF83C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w:t>
            </w:r>
          </w:p>
          <w:p w14:paraId="342E1B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7E07F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44316</w:t>
            </w:r>
          </w:p>
          <w:p w14:paraId="2A82280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E45DB2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22,8</w:t>
            </w:r>
          </w:p>
          <w:p w14:paraId="38F5156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D42C6A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42709</w:t>
            </w:r>
          </w:p>
          <w:p w14:paraId="75CC55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AE8BAA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21,8</w:t>
            </w:r>
          </w:p>
          <w:p w14:paraId="0D4C8EB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FBDA913" w14:textId="77777777">
        <w:trPr>
          <w:trHeight w:val="413"/>
        </w:trPr>
        <w:tc>
          <w:tcPr>
            <w:tcW w:w="3312" w:type="dxa"/>
            <w:tcBorders>
              <w:top w:val="single" w:sz="6" w:space="0" w:color="auto"/>
              <w:left w:val="single" w:sz="6" w:space="0" w:color="auto"/>
              <w:bottom w:val="single" w:sz="6" w:space="0" w:color="auto"/>
              <w:right w:val="single" w:sz="6" w:space="0" w:color="auto"/>
            </w:tcBorders>
          </w:tcPr>
          <w:p w14:paraId="6A01FB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Автомашин нерентабельных к восстанов</w:t>
            </w:r>
            <w:r w:rsidRPr="00070ADE">
              <w:rPr>
                <w:rFonts w:ascii="Times New Roman" w:hAnsi="Times New Roman"/>
                <w:color w:val="000000" w:themeColor="text1"/>
                <w:sz w:val="16"/>
                <w:szCs w:val="16"/>
              </w:rPr>
              <w:softHyphen/>
              <w:t>лению</w:t>
            </w:r>
          </w:p>
          <w:p w14:paraId="69139FB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0E397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8034</w:t>
            </w:r>
          </w:p>
          <w:p w14:paraId="2627EBC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48D01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w:t>
            </w:r>
          </w:p>
          <w:p w14:paraId="107B39D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2669E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5971</w:t>
            </w:r>
          </w:p>
          <w:p w14:paraId="15E648E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E87B5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774A41A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6C52A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2950</w:t>
            </w:r>
          </w:p>
          <w:p w14:paraId="04FBC5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9CBA30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p w14:paraId="243A683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A0C319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Сопоставленные в таблице данные свидетельствуют об увеличении числа ходовых, технически исправных автомобилей. Так, на 1 января 1943 года, они составляли 31,8% наличия автопарка, на 1 января 1944 года 42,6%, по данным же на 1 мая 1942 года их было лишь 24,9%.</w:t>
      </w:r>
    </w:p>
    <w:p w14:paraId="20D7591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Растущая потребность в автотранспорте заставила руководителей многих предприятий серьез</w:t>
      </w:r>
      <w:r w:rsidRPr="00070ADE">
        <w:rPr>
          <w:rFonts w:ascii="Times New Roman" w:hAnsi="Times New Roman"/>
          <w:color w:val="000000" w:themeColor="text1"/>
          <w:sz w:val="16"/>
          <w:szCs w:val="16"/>
        </w:rPr>
        <w:softHyphen/>
        <w:t>нее заняться ремонтом автомобилей, ранее длительное время простаивающих в ожидании ремонта, вследствие чего число таких машин на 1 января 1944 года снизилось.</w:t>
      </w:r>
    </w:p>
    <w:p w14:paraId="00812B5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технически исправных автомобилей, простаивающих из-за отсутствия резины, сокращается. Так, на 1 мая 1942 года простаивало без резины 4,4% автомашин, на 1 января 1943 года — 3,4%, на 1 января 1944 года их осталось 0,9%.</w:t>
      </w:r>
    </w:p>
    <w:p w14:paraId="766838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Наряду с общим улучшением технического состояния автопарка, в ряде Наркоматов подведом</w:t>
      </w:r>
      <w:r w:rsidRPr="00070ADE">
        <w:rPr>
          <w:rFonts w:ascii="Times New Roman" w:hAnsi="Times New Roman"/>
          <w:color w:val="000000" w:themeColor="text1"/>
          <w:sz w:val="16"/>
          <w:szCs w:val="16"/>
        </w:rPr>
        <w:softHyphen/>
        <w:t>ственный им автотранспорт продолжает оставаться на крайне низком уровне. Например:</w:t>
      </w:r>
    </w:p>
    <w:tbl>
      <w:tblPr>
        <w:tblW w:w="0" w:type="auto"/>
        <w:tblInd w:w="40" w:type="dxa"/>
        <w:tblLayout w:type="fixed"/>
        <w:tblCellMar>
          <w:left w:w="40" w:type="dxa"/>
          <w:right w:w="40" w:type="dxa"/>
        </w:tblCellMar>
        <w:tblLook w:val="0000" w:firstRow="0" w:lastRow="0" w:firstColumn="0" w:lastColumn="0" w:noHBand="0" w:noVBand="0"/>
      </w:tblPr>
      <w:tblGrid>
        <w:gridCol w:w="3917"/>
        <w:gridCol w:w="9"/>
        <w:gridCol w:w="1085"/>
        <w:gridCol w:w="1008"/>
        <w:gridCol w:w="10"/>
        <w:gridCol w:w="758"/>
        <w:gridCol w:w="10"/>
        <w:gridCol w:w="1017"/>
        <w:gridCol w:w="20"/>
        <w:gridCol w:w="1113"/>
        <w:gridCol w:w="39"/>
      </w:tblGrid>
      <w:tr w:rsidR="00CB5308" w:rsidRPr="00070ADE" w14:paraId="5A6CFDD7" w14:textId="77777777">
        <w:trPr>
          <w:trHeight w:val="346"/>
        </w:trPr>
        <w:tc>
          <w:tcPr>
            <w:tcW w:w="3926" w:type="dxa"/>
            <w:gridSpan w:val="2"/>
            <w:tcBorders>
              <w:top w:val="single" w:sz="6" w:space="0" w:color="auto"/>
              <w:left w:val="single" w:sz="6" w:space="0" w:color="auto"/>
              <w:bottom w:val="nil"/>
              <w:right w:val="single" w:sz="6" w:space="0" w:color="auto"/>
            </w:tcBorders>
          </w:tcPr>
          <w:p w14:paraId="174361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 Наркоматов и ведомств</w:t>
            </w:r>
          </w:p>
          <w:p w14:paraId="0EF1AE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nil"/>
              <w:right w:val="single" w:sz="6" w:space="0" w:color="auto"/>
            </w:tcBorders>
          </w:tcPr>
          <w:p w14:paraId="68B35B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проверенных автомобилей</w:t>
            </w:r>
          </w:p>
          <w:p w14:paraId="43BD7FA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gridSpan w:val="4"/>
            <w:tcBorders>
              <w:top w:val="single" w:sz="6" w:space="0" w:color="auto"/>
              <w:left w:val="single" w:sz="6" w:space="0" w:color="auto"/>
              <w:bottom w:val="single" w:sz="6" w:space="0" w:color="auto"/>
              <w:right w:val="single" w:sz="6" w:space="0" w:color="auto"/>
            </w:tcBorders>
          </w:tcPr>
          <w:p w14:paraId="57D5F2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них на ходу</w:t>
            </w:r>
          </w:p>
          <w:p w14:paraId="45C0DB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4"/>
            <w:tcBorders>
              <w:top w:val="single" w:sz="6" w:space="0" w:color="auto"/>
              <w:left w:val="single" w:sz="6" w:space="0" w:color="auto"/>
              <w:bottom w:val="single" w:sz="6" w:space="0" w:color="auto"/>
              <w:right w:val="single" w:sz="6" w:space="0" w:color="auto"/>
            </w:tcBorders>
          </w:tcPr>
          <w:p w14:paraId="12A9947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числа ходовых исправных автомобилей</w:t>
            </w:r>
          </w:p>
          <w:p w14:paraId="0EB1EA0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660456D" w14:textId="77777777">
        <w:trPr>
          <w:trHeight w:val="509"/>
        </w:trPr>
        <w:tc>
          <w:tcPr>
            <w:tcW w:w="3926" w:type="dxa"/>
            <w:gridSpan w:val="2"/>
            <w:tcBorders>
              <w:top w:val="nil"/>
              <w:left w:val="single" w:sz="6" w:space="0" w:color="auto"/>
              <w:bottom w:val="single" w:sz="6" w:space="0" w:color="auto"/>
              <w:right w:val="single" w:sz="6" w:space="0" w:color="auto"/>
            </w:tcBorders>
          </w:tcPr>
          <w:p w14:paraId="22530A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6C20C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single" w:sz="6" w:space="0" w:color="auto"/>
              <w:right w:val="single" w:sz="6" w:space="0" w:color="auto"/>
            </w:tcBorders>
          </w:tcPr>
          <w:p w14:paraId="3D77745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AB7BC1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65B7DA4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абсолютное количество</w:t>
            </w:r>
          </w:p>
          <w:p w14:paraId="593DD5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343EC9B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w:t>
            </w:r>
          </w:p>
          <w:p w14:paraId="67CC976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2ED9B0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абсолютное количество</w:t>
            </w:r>
          </w:p>
          <w:p w14:paraId="706716C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3DE18D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 ко всему осмотренному парку</w:t>
            </w:r>
          </w:p>
          <w:p w14:paraId="10F8DDC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BD1ACF3" w14:textId="77777777">
        <w:trPr>
          <w:trHeight w:val="192"/>
        </w:trPr>
        <w:tc>
          <w:tcPr>
            <w:tcW w:w="3926" w:type="dxa"/>
            <w:gridSpan w:val="2"/>
            <w:tcBorders>
              <w:top w:val="single" w:sz="6" w:space="0" w:color="auto"/>
              <w:left w:val="single" w:sz="6" w:space="0" w:color="auto"/>
              <w:bottom w:val="single" w:sz="6" w:space="0" w:color="auto"/>
              <w:right w:val="single" w:sz="6" w:space="0" w:color="auto"/>
            </w:tcBorders>
          </w:tcPr>
          <w:p w14:paraId="26543A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Наркомавтотранспорта Таджикской ССР</w:t>
            </w:r>
          </w:p>
          <w:p w14:paraId="084D24F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28FE9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503</w:t>
            </w:r>
          </w:p>
          <w:p w14:paraId="36084D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7784FD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94</w:t>
            </w:r>
          </w:p>
          <w:p w14:paraId="440C6E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2BF2C68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18,6</w:t>
            </w:r>
          </w:p>
          <w:p w14:paraId="1BB6A2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48942F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w:t>
            </w:r>
          </w:p>
          <w:p w14:paraId="77ECCC6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526986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15,7</w:t>
            </w:r>
          </w:p>
          <w:p w14:paraId="3550E7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D27106D" w14:textId="77777777">
        <w:trPr>
          <w:trHeight w:val="192"/>
        </w:trPr>
        <w:tc>
          <w:tcPr>
            <w:tcW w:w="3926" w:type="dxa"/>
            <w:gridSpan w:val="2"/>
            <w:tcBorders>
              <w:top w:val="single" w:sz="6" w:space="0" w:color="auto"/>
              <w:left w:val="single" w:sz="6" w:space="0" w:color="auto"/>
              <w:bottom w:val="single" w:sz="6" w:space="0" w:color="auto"/>
              <w:right w:val="single" w:sz="6" w:space="0" w:color="auto"/>
            </w:tcBorders>
          </w:tcPr>
          <w:p w14:paraId="35E4D4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Наркомхоз Узбекской ССР</w:t>
            </w:r>
          </w:p>
          <w:p w14:paraId="26B32D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2EE18C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99</w:t>
            </w:r>
          </w:p>
          <w:p w14:paraId="43396C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0D10AF0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w:t>
            </w:r>
          </w:p>
          <w:p w14:paraId="541740E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1B2117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28,2</w:t>
            </w:r>
          </w:p>
          <w:p w14:paraId="5F9A53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3E78F1A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w:t>
            </w:r>
          </w:p>
          <w:p w14:paraId="40DA81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19A63D4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18,1</w:t>
            </w:r>
          </w:p>
          <w:p w14:paraId="19898E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2CDC6A9" w14:textId="77777777">
        <w:trPr>
          <w:trHeight w:val="202"/>
        </w:trPr>
        <w:tc>
          <w:tcPr>
            <w:tcW w:w="3926" w:type="dxa"/>
            <w:gridSpan w:val="2"/>
            <w:tcBorders>
              <w:top w:val="single" w:sz="6" w:space="0" w:color="auto"/>
              <w:left w:val="single" w:sz="6" w:space="0" w:color="auto"/>
              <w:bottom w:val="single" w:sz="6" w:space="0" w:color="auto"/>
              <w:right w:val="single" w:sz="6" w:space="0" w:color="auto"/>
            </w:tcBorders>
          </w:tcPr>
          <w:p w14:paraId="6EADF77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Колхозы</w:t>
            </w:r>
          </w:p>
          <w:p w14:paraId="22FC8B1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D6FF36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6837</w:t>
            </w:r>
          </w:p>
          <w:p w14:paraId="5AD983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658EBC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2300</w:t>
            </w:r>
          </w:p>
          <w:p w14:paraId="2FCFFB9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58F469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33,6</w:t>
            </w:r>
          </w:p>
          <w:p w14:paraId="338C17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2077C3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1083</w:t>
            </w:r>
          </w:p>
          <w:p w14:paraId="2D8BE3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6AB585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15,8</w:t>
            </w:r>
          </w:p>
          <w:p w14:paraId="50C0E2E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3B5860A" w14:textId="77777777">
        <w:trPr>
          <w:trHeight w:val="211"/>
        </w:trPr>
        <w:tc>
          <w:tcPr>
            <w:tcW w:w="3926" w:type="dxa"/>
            <w:gridSpan w:val="2"/>
            <w:tcBorders>
              <w:top w:val="single" w:sz="6" w:space="0" w:color="auto"/>
              <w:left w:val="single" w:sz="6" w:space="0" w:color="auto"/>
              <w:bottom w:val="single" w:sz="6" w:space="0" w:color="auto"/>
              <w:right w:val="single" w:sz="6" w:space="0" w:color="auto"/>
            </w:tcBorders>
          </w:tcPr>
          <w:p w14:paraId="7B4AF5D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Наркомавтотранспорта Казахской ССР</w:t>
            </w:r>
          </w:p>
          <w:p w14:paraId="05C63F0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16BD3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899</w:t>
            </w:r>
          </w:p>
          <w:p w14:paraId="40A22E7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28DD4B7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352</w:t>
            </w:r>
          </w:p>
          <w:p w14:paraId="4CA421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4FA3BB6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39,1</w:t>
            </w:r>
          </w:p>
          <w:p w14:paraId="57591F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111E58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542A5C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7831D22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22,2</w:t>
            </w:r>
          </w:p>
          <w:p w14:paraId="2A5902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D174EB2" w14:textId="77777777">
        <w:trPr>
          <w:gridAfter w:val="1"/>
          <w:wAfter w:w="39" w:type="dxa"/>
          <w:trHeight w:val="182"/>
        </w:trPr>
        <w:tc>
          <w:tcPr>
            <w:tcW w:w="3917" w:type="dxa"/>
            <w:tcBorders>
              <w:top w:val="single" w:sz="6" w:space="0" w:color="auto"/>
              <w:left w:val="single" w:sz="6" w:space="0" w:color="auto"/>
              <w:bottom w:val="single" w:sz="6" w:space="0" w:color="auto"/>
              <w:right w:val="single" w:sz="6" w:space="0" w:color="auto"/>
            </w:tcBorders>
          </w:tcPr>
          <w:p w14:paraId="55E3F39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Центросоюз</w:t>
            </w:r>
          </w:p>
          <w:p w14:paraId="2505C0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68C622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2298</w:t>
            </w:r>
          </w:p>
          <w:p w14:paraId="1433E33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5A126B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916</w:t>
            </w:r>
          </w:p>
          <w:p w14:paraId="325679D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3A8C2A2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39,8</w:t>
            </w:r>
          </w:p>
          <w:p w14:paraId="2E3920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60A8AF1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492</w:t>
            </w:r>
          </w:p>
          <w:p w14:paraId="425228C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64F313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21,4</w:t>
            </w:r>
          </w:p>
          <w:p w14:paraId="5C4CE5C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01B5BCB" w14:textId="77777777">
        <w:trPr>
          <w:gridAfter w:val="1"/>
          <w:wAfter w:w="39" w:type="dxa"/>
          <w:trHeight w:val="202"/>
        </w:trPr>
        <w:tc>
          <w:tcPr>
            <w:tcW w:w="3917" w:type="dxa"/>
            <w:tcBorders>
              <w:top w:val="single" w:sz="6" w:space="0" w:color="auto"/>
              <w:left w:val="single" w:sz="6" w:space="0" w:color="auto"/>
              <w:bottom w:val="single" w:sz="6" w:space="0" w:color="auto"/>
              <w:right w:val="single" w:sz="6" w:space="0" w:color="auto"/>
            </w:tcBorders>
          </w:tcPr>
          <w:p w14:paraId="5232C8D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Управление промкооперации при СНК РСФСР</w:t>
            </w:r>
          </w:p>
          <w:p w14:paraId="0150F46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19BD8B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828</w:t>
            </w:r>
          </w:p>
          <w:p w14:paraId="17A93D0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295DBD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369</w:t>
            </w:r>
          </w:p>
          <w:p w14:paraId="5A1F971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08F4368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44,5</w:t>
            </w:r>
          </w:p>
          <w:p w14:paraId="1BDDC05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252808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230</w:t>
            </w:r>
          </w:p>
          <w:p w14:paraId="0BE349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2979E3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27,7</w:t>
            </w:r>
          </w:p>
          <w:p w14:paraId="440C8A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93E4F99" w14:textId="77777777">
        <w:trPr>
          <w:gridAfter w:val="1"/>
          <w:wAfter w:w="39" w:type="dxa"/>
          <w:trHeight w:val="192"/>
        </w:trPr>
        <w:tc>
          <w:tcPr>
            <w:tcW w:w="3917" w:type="dxa"/>
            <w:tcBorders>
              <w:top w:val="single" w:sz="6" w:space="0" w:color="auto"/>
              <w:left w:val="single" w:sz="6" w:space="0" w:color="auto"/>
              <w:bottom w:val="single" w:sz="6" w:space="0" w:color="auto"/>
              <w:right w:val="single" w:sz="6" w:space="0" w:color="auto"/>
            </w:tcBorders>
          </w:tcPr>
          <w:p w14:paraId="249D4B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Наркомлес СССР</w:t>
            </w:r>
          </w:p>
          <w:p w14:paraId="416F9F6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7243E5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3013</w:t>
            </w:r>
          </w:p>
          <w:p w14:paraId="31CA1A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16B71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1522</w:t>
            </w:r>
          </w:p>
          <w:p w14:paraId="01F854A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2ED46C7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50,5</w:t>
            </w:r>
          </w:p>
          <w:p w14:paraId="2651533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18F160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952</w:t>
            </w:r>
          </w:p>
          <w:p w14:paraId="7F0A6F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4E74D46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31,5</w:t>
            </w:r>
          </w:p>
          <w:p w14:paraId="73045B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5435CB2" w14:textId="77777777">
        <w:trPr>
          <w:gridAfter w:val="1"/>
          <w:wAfter w:w="39" w:type="dxa"/>
          <w:trHeight w:val="211"/>
        </w:trPr>
        <w:tc>
          <w:tcPr>
            <w:tcW w:w="3917" w:type="dxa"/>
            <w:tcBorders>
              <w:top w:val="single" w:sz="6" w:space="0" w:color="auto"/>
              <w:left w:val="single" w:sz="6" w:space="0" w:color="auto"/>
              <w:bottom w:val="single" w:sz="6" w:space="0" w:color="auto"/>
              <w:right w:val="single" w:sz="6" w:space="0" w:color="auto"/>
            </w:tcBorders>
          </w:tcPr>
          <w:p w14:paraId="368060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Наркомзем СССР</w:t>
            </w:r>
          </w:p>
          <w:p w14:paraId="75FCFFE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05F275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14276</w:t>
            </w:r>
          </w:p>
          <w:p w14:paraId="419AF9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157D05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7876</w:t>
            </w:r>
          </w:p>
          <w:p w14:paraId="50E0117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3F09D7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55,1</w:t>
            </w:r>
          </w:p>
          <w:p w14:paraId="779632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58132D7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3605</w:t>
            </w:r>
          </w:p>
          <w:p w14:paraId="72C5566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17906B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w:t>
            </w:r>
          </w:p>
          <w:p w14:paraId="1A6BD1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447F3D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Врио начальника Главного управления милиции НКВД СССР комиссар милиции 3 ранга Лобуренко</w:t>
      </w:r>
    </w:p>
    <w:p w14:paraId="0762CE3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Госавтоинспекции комиссар милиции 3 ранга Соколов</w:t>
      </w:r>
    </w:p>
    <w:p w14:paraId="748DA33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41. Оп, 11584. Д. 127. Л. 1-9. Подлинник (11403).</w:t>
      </w:r>
    </w:p>
    <w:p w14:paraId="78BA63C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9255C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впервые официально исполнен Государственный Гимн СССР (4962).</w:t>
      </w:r>
    </w:p>
    <w:p w14:paraId="05F2A69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ECBD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сменился официальный гимн СССР. На смену интернационалу пришел Союз нерушимый... (2070,173). Повсеместно начали исполнять с 15 марта 1944 (3398,9).</w:t>
      </w:r>
    </w:p>
    <w:p w14:paraId="3D2613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D646DA" w14:textId="77777777" w:rsidR="00820285" w:rsidRPr="00070ADE" w:rsidRDefault="008202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января</w:t>
      </w:r>
      <w:r w:rsidRPr="00070ADE">
        <w:rPr>
          <w:rFonts w:ascii="Times New Roman" w:hAnsi="Times New Roman"/>
          <w:color w:val="000000" w:themeColor="text1"/>
          <w:sz w:val="16"/>
          <w:szCs w:val="16"/>
        </w:rPr>
        <w:t xml:space="preserve"> в 1944 году впервые прозвучал по радио новый Государственный гимн «Союз нерушимых республик свободных» (музыка А.В.Александрова, текст С.В.Михалкова и Г.А.Эль-Регистана). Ранее Государственным гимном СССР был «Интернационал». В Российской Федерации музыкальной основой гимна государства является «Патриотическая песня» М.И.Глинки. Положение о гимне государства утверждено Указом президента 11 декабря 1993 г. В настоящее время восстановлена музыка А.В.Александрова в качестве гимна России с другими словами. Официально используется с 15 марта 1944 (14996).</w:t>
      </w:r>
    </w:p>
    <w:p w14:paraId="4F691367" w14:textId="77777777" w:rsidR="00820285" w:rsidRPr="00070ADE" w:rsidRDefault="00820285" w:rsidP="00B56F90">
      <w:pPr>
        <w:spacing w:after="0" w:line="240" w:lineRule="auto"/>
        <w:jc w:val="both"/>
        <w:rPr>
          <w:rFonts w:ascii="Times New Roman" w:hAnsi="Times New Roman"/>
          <w:color w:val="000000" w:themeColor="text1"/>
          <w:sz w:val="16"/>
          <w:szCs w:val="16"/>
        </w:rPr>
      </w:pPr>
    </w:p>
    <w:p w14:paraId="0D1A3A27" w14:textId="77777777" w:rsidR="00820285" w:rsidRPr="00070ADE" w:rsidRDefault="008202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января</w:t>
      </w:r>
      <w:r w:rsidRPr="00070ADE">
        <w:rPr>
          <w:rFonts w:ascii="Times New Roman" w:hAnsi="Times New Roman"/>
          <w:color w:val="000000" w:themeColor="text1"/>
          <w:sz w:val="16"/>
          <w:szCs w:val="16"/>
        </w:rPr>
        <w:t xml:space="preserve"> в 1944 году численность ВКП (б) составила 4919 тысяч членов и кандидатов (14996).</w:t>
      </w:r>
    </w:p>
    <w:p w14:paraId="42359494" w14:textId="77777777" w:rsidR="00820285" w:rsidRPr="00070ADE" w:rsidRDefault="00820285" w:rsidP="00B56F90">
      <w:pPr>
        <w:spacing w:after="0" w:line="240" w:lineRule="auto"/>
        <w:jc w:val="both"/>
        <w:rPr>
          <w:rFonts w:ascii="Times New Roman" w:hAnsi="Times New Roman"/>
          <w:color w:val="000000" w:themeColor="text1"/>
          <w:sz w:val="16"/>
          <w:szCs w:val="16"/>
        </w:rPr>
      </w:pPr>
    </w:p>
    <w:p w14:paraId="1C91C44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 января 1944 года в ИТЛ содержалось 663 594 заключенных (7560).</w:t>
      </w:r>
    </w:p>
    <w:p w14:paraId="1F2317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Поквартальная численность заключенных ИТК в 1943 году составляла: на 1 января - 500 208 человек, на 1 апреля - 537 284, на 1 июля - 534 845, на 1 октября - 550 379 человек; поквартальная численность заключенных тюрем: на 1 января - 237 534 человека, на 1 апреля - 244 409, на 1 июля - 212 928, на 1 октября - 163 246 человек </w:t>
      </w:r>
      <w:r w:rsidRPr="00070ADE">
        <w:rPr>
          <w:rFonts w:ascii="Times New Roman" w:hAnsi="Times New Roman"/>
          <w:color w:val="000000" w:themeColor="text1"/>
          <w:sz w:val="16"/>
          <w:szCs w:val="16"/>
        </w:rPr>
        <w:lastRenderedPageBreak/>
        <w:t>(7560).</w:t>
      </w:r>
    </w:p>
    <w:p w14:paraId="204F4F4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1944 ГОДА поток осужденных рос: в первом полугодии в лагеря и колонии ГУЛАГа поступило 468 693 человека, во втором - 691 738. Смертность в ИТЛ и ИТК удалось сбить с 22,4 процента (1943) до 9,2 процента (правда, изменилась методика подсчета, на чем мы специально остановимся ниже) (7560).</w:t>
      </w:r>
    </w:p>
    <w:p w14:paraId="1DA199C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9473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состоянию на 1 января 1944 года лагерная система имела следующий вид:</w:t>
      </w:r>
    </w:p>
    <w:p w14:paraId="690FAAA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Актюбинский ИТЛ - 11 831 заключенный, умерло в течение 1944 года - 361 человек;</w:t>
      </w:r>
    </w:p>
    <w:p w14:paraId="19134B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Алтайский ИТЛ (станция Кулунда Омской железной дороги, строительство ветки Кулунда - Михайловское) - 6473, умерло - 271;</w:t>
      </w:r>
    </w:p>
    <w:p w14:paraId="143A83A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Архбумлаг (местечко Мечка-Полой, строительство Архангельского целлюлозно-бумажного комбината) - 1649, умерло - 71;</w:t>
      </w:r>
    </w:p>
    <w:p w14:paraId="23D9A0B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Астраханский ИТЛ (Астрахань, рыбная ловля) - 4695, умерло - 1044;</w:t>
      </w:r>
    </w:p>
    <w:p w14:paraId="6EF780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Безымянский ИТЛ (станция Кряж Куйбышевской железной дороги, строительство нефтекомбината) - 5990, умерло - 116;</w:t>
      </w:r>
    </w:p>
    <w:p w14:paraId="2813DBD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Богословский ИТЛ (станция Туринские рудники Свердловской железной дороги) - 12 891, умерло - 1500;</w:t>
      </w:r>
    </w:p>
    <w:p w14:paraId="1CE470B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Воркуто-Печорский ИТЛ - 25 827, умерло - 3144;</w:t>
      </w:r>
    </w:p>
    <w:p w14:paraId="02C5C2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Восточный ИТЛ (строительство № 500 - железная дорога Комсомольск - Советская Гавань) - 13 100, умерло - 578;</w:t>
      </w:r>
    </w:p>
    <w:p w14:paraId="77C938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Восточно-Уральский ИТЛ (город Тавда, лесозаготовки) - 9036, умерло - 1060;</w:t>
      </w:r>
    </w:p>
    <w:p w14:paraId="7D94791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Вятский ИТЛ (Волосница Кайского района Кировской области, лесозаготовки) - 11 979, умерло - 1549;</w:t>
      </w:r>
    </w:p>
    <w:p w14:paraId="43F68B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Джидинский ИТЛ (поселок Джидастрой Закаменского района Бурят-Монгольской АССР, добыча молибдена и вольфрама) - 8196, умерло - 617;</w:t>
      </w:r>
    </w:p>
    <w:p w14:paraId="6447ED2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Ивдельский ИТЛ (Свердловская область, лесозаготовки) - 14 166, умерло - 2268;</w:t>
      </w:r>
    </w:p>
    <w:p w14:paraId="366132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Интинский ИТЛ (Коми АССР, добыча угля) - 7536, умерло - 911;</w:t>
      </w:r>
    </w:p>
    <w:p w14:paraId="49ED83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Каменский ИТЛ (село Гримм Красноармейского района Саратовской области, сельхозработы) - 6840, умерло - 477;</w:t>
      </w:r>
    </w:p>
    <w:p w14:paraId="37E6274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Карагандинский ИТЛ (сельхозработы) - 50 425, умерло - 5520;</w:t>
      </w:r>
    </w:p>
    <w:p w14:paraId="137E17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Каргопольский ИТЛ (лесозаготовки) - 15 758, умерло - 1243;</w:t>
      </w:r>
    </w:p>
    <w:p w14:paraId="674DE1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Красноярский ИТЛ (город Канск, лесозаготовки) - 14 190, умерло - 1099;</w:t>
      </w:r>
    </w:p>
    <w:p w14:paraId="31D614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Котласский ИТЛ (сельхозработы) - 8629, умерло - 1624;</w:t>
      </w:r>
    </w:p>
    <w:p w14:paraId="7CE4820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Нижне-Амурский ИТЛ (железнодорожное строительство) - 33 746, умерло - 830;</w:t>
      </w:r>
    </w:p>
    <w:p w14:paraId="655DE5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Норильский ИТЛ - 34 572, умерло - 1535;</w:t>
      </w:r>
    </w:p>
    <w:p w14:paraId="5E3DCC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Приволжский ИТЛ (Саратов, строительство железной дороги Свияжск - Ульяновск) - 8783, умерло - 492;</w:t>
      </w:r>
    </w:p>
    <w:p w14:paraId="03ECE3E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Волжский ИТЛ (достройка Угличского и Рыбинского гидроузлов) - 519, умерло - 1;</w:t>
      </w:r>
    </w:p>
    <w:p w14:paraId="31F06D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Свободненский ИТЛ (город Свободный Амурской области, лесозаготовки) - 9875, умерло - 580;</w:t>
      </w:r>
    </w:p>
    <w:p w14:paraId="6F95C0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Сибирский ИТЛ (город Мариинск, сельхозработы, лесозаготовки) - 29 627, умерло - 2907;</w:t>
      </w:r>
    </w:p>
    <w:p w14:paraId="5EF7A0D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Северо-Двинский ИТЛ (город Вельск, железнодорожное строительство) - 9549, умерло - 712;</w:t>
      </w:r>
    </w:p>
    <w:p w14:paraId="5CE2AB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Северный железнодорожный ИТЛ (поселок Княж-Погост Коми АССР) - 14 757, умерло - 1294;</w:t>
      </w:r>
    </w:p>
    <w:p w14:paraId="7ED391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Северо-Печорский ИТЛ - 23 019, умерло - 821;</w:t>
      </w:r>
    </w:p>
    <w:p w14:paraId="157184C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Северо-Уральский ИТЛ (Ирбит, лесозаготовки) - 6133, умерло - 455;</w:t>
      </w:r>
    </w:p>
    <w:p w14:paraId="3EFECDE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Соликамский ИТЛ (село Усть-Боровое, строительство целлюлозно-бумажного комбината) - 2343, умерло - 111;</w:t>
      </w:r>
    </w:p>
    <w:p w14:paraId="502D34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Средне-Бельский ИТЛ (станция Средне-Белая Хабаровской железной дороги, сельхозработы) - 4283, умерло - 255;</w:t>
      </w:r>
    </w:p>
    <w:p w14:paraId="7153B8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Северо-Восточный ИТЛ (Дальстрой) - 81 491, умерло - 7322;</w:t>
      </w:r>
    </w:p>
    <w:p w14:paraId="33D4D3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 Тавдинский ИТЛ (Свердловская область) - 2349, умерло - 336;</w:t>
      </w:r>
    </w:p>
    <w:p w14:paraId="06BB13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 Тагилстрой (Нижний Тагил, строительство металлургического завода) - 25 712, умерло - 869;</w:t>
      </w:r>
    </w:p>
    <w:p w14:paraId="51DC90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 Темниковский ИТЛ (поселок Явас Мордовской АССР, лесозаготовки) - 11 688, умерло - 1675;</w:t>
      </w:r>
    </w:p>
    <w:p w14:paraId="15A9ED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 Тырны-Аузский ИТЛ (Кабардино-Балкария, производство вольфрамового концентрата) - 1582, умерло - 455;</w:t>
      </w:r>
    </w:p>
    <w:p w14:paraId="331A086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 Унженский ИТЛ (Сухобезводное Горьковской области, лесозаготовки) - 17 488, умерло - 2855;</w:t>
      </w:r>
    </w:p>
    <w:p w14:paraId="08C00B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 Усольский ИТЛ (Соликамск, лесозаготовки) - 20 601, умерло - 4017;</w:t>
      </w:r>
    </w:p>
    <w:p w14:paraId="4A92FD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 Усть-Вымский ИТЛ (поселок Вожаель Коми АССР, лесозаготовки) - 13 615, умерло - 1343;</w:t>
      </w:r>
    </w:p>
    <w:p w14:paraId="040427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 Ухто-Ижемский ИТЛ (Ухта Коми АССР, добыча нефти) - 15 304, умерло - 743;</w:t>
      </w:r>
    </w:p>
    <w:p w14:paraId="2E79E7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 Челябметаллургстрой (строительство металлургического завода) - 11 482, умерло - 488;</w:t>
      </w:r>
    </w:p>
    <w:p w14:paraId="15C09A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 Ягринский ИТЛ (Молотовск (ныне Северодвинск), строительство № 203 - город и верфи) - 4844, умерло - 668;</w:t>
      </w:r>
    </w:p>
    <w:p w14:paraId="18F791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 ИТЛ и строительство Красноярского аффинажного завода - 1349, умерло - 53;</w:t>
      </w:r>
    </w:p>
    <w:p w14:paraId="6C951AD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 Лобвинский ИТЛ (Свердловская область, строительство гидролизного завода) - 1735, умерло - 66;</w:t>
      </w:r>
    </w:p>
    <w:p w14:paraId="2F3366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 Опокский ИТЛ (деревня Пороги Вологодской области, строительство гидроузла на Сухоне) - 831, умерло - 534;</w:t>
      </w:r>
    </w:p>
    <w:p w14:paraId="62013E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Понышский ИТЛ (город Чусовой, строительство ГЭС) - 3866, умер - 91;</w:t>
      </w:r>
    </w:p>
    <w:p w14:paraId="64CCBC3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 Знаменитстрой (деревня Шера Вологодской области, реконструкция шлюза № 7 Северодвинской системы) - 423, умерло - 3;</w:t>
      </w:r>
    </w:p>
    <w:p w14:paraId="1D5CA0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 Широковский ИТЛ (город Кизел, строительство ГЭС на реках Косьва и Усьва) - 2241, умерло - 233;</w:t>
      </w:r>
    </w:p>
    <w:p w14:paraId="0593D1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 Строительство № 1 ГУШОСДОР (Беднодемьяновск Пензенской области, шоссе Рязань-Шацк и Нижний Ломов-Пенза) - 6738, умерло - 585;</w:t>
      </w:r>
    </w:p>
    <w:p w14:paraId="12D7AF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 Строительство № 2 ГУШОСДОР (Голицыно Московской области, восстановление шоссе Москва-Минск) - 4225, умерло - 355;</w:t>
      </w:r>
    </w:p>
    <w:p w14:paraId="776B0F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 Строительство № 3 ГУШОСДОР (Орел, шоссе Щекино-Орел) - 2769 (на 1 апреля), умерло - 385;</w:t>
      </w:r>
    </w:p>
    <w:p w14:paraId="612F45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 Каспийский ИТЛ (Баку, строительство нефтепроводов) - 3818, умерло - 274;</w:t>
      </w:r>
    </w:p>
    <w:p w14:paraId="6D778BE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 Строительство № 4 ГУШОСДОР (Чебоксары, шоссе Горький-Казань) - 2887, умер - 131;</w:t>
      </w:r>
    </w:p>
    <w:p w14:paraId="1E4035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 Химкинский лагерный участок (Москва, село Никольское) - 1176, умерло - 136 (7560).</w:t>
      </w:r>
    </w:p>
    <w:p w14:paraId="2059FB9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в ИТЛ содержалось 663 594 заключенных, в течение года из них умерло 60 948 человек (7560).</w:t>
      </w:r>
    </w:p>
    <w:p w14:paraId="37165D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174C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насчитывался 981 каторжанин, из них в Воркутинском ИТЛ - 494, в Карлаге - 345. В течение года в лагеря поступило 13 869 каторжан, убыло - 2431 (освобожден 21 человек, умерло - 2136, бежало - 25). Смертность среди каторжан в силу особо жесткого режима заметно превышала общую смертность в ИТЛ (к 1 января 1945-го в пяти ИТЛ будет содержаться 12 254 каторжанина) (7560).</w:t>
      </w:r>
    </w:p>
    <w:p w14:paraId="48E12A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Колыме (Дальстрой) на 1 января 1944 года числился 81 491 заключенный, прибыло за год - 56 160, убыло - 46 435 (освобождено - 12 947, умерло - 7322, бежало - 470), к началу 1945-го в лагерях Дальстроя числилось 91 216 заключенных (7560).</w:t>
      </w:r>
    </w:p>
    <w:p w14:paraId="013773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5012B7"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5EACEF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12F940" w14:textId="77777777" w:rsidR="00820285" w:rsidRPr="00070ADE" w:rsidRDefault="008202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января</w:t>
      </w:r>
      <w:r w:rsidRPr="00070ADE">
        <w:rPr>
          <w:rFonts w:ascii="Times New Roman" w:hAnsi="Times New Roman"/>
          <w:color w:val="000000" w:themeColor="text1"/>
          <w:sz w:val="16"/>
          <w:szCs w:val="16"/>
        </w:rPr>
        <w:t xml:space="preserve"> в 1944 году первый полёт опытного скоростного бомбардировщика «Mosquito» «В.Mk.XVI» (компания «De Havilland», Великобритания). Самолет получил новые моторы «Merlin 76/77» и гермокабину. Мог развивать скорость до 655 км/ч (14996).</w:t>
      </w:r>
    </w:p>
    <w:p w14:paraId="7EF1016F" w14:textId="77777777" w:rsidR="00820285" w:rsidRPr="00070ADE" w:rsidRDefault="00820285" w:rsidP="00B56F90">
      <w:pPr>
        <w:spacing w:after="0" w:line="240" w:lineRule="auto"/>
        <w:jc w:val="both"/>
        <w:rPr>
          <w:rFonts w:ascii="Times New Roman" w:hAnsi="Times New Roman"/>
          <w:color w:val="000000" w:themeColor="text1"/>
          <w:sz w:val="16"/>
          <w:szCs w:val="16"/>
        </w:rPr>
      </w:pPr>
    </w:p>
    <w:p w14:paraId="702FCB81" w14:textId="77777777" w:rsidR="008A3F77" w:rsidRPr="00070ADE" w:rsidRDefault="008A3F7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года был облетан опытный самолет - модификация G4M3 модель 34, но из-за значительного изменения конструкции и задержки поставок моторов MK4T серия пошла только в октябре 1944 года.</w:t>
      </w:r>
    </w:p>
    <w:p w14:paraId="749EF7AA" w14:textId="77777777" w:rsidR="008A3F77" w:rsidRPr="00070ADE" w:rsidRDefault="008A3F7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Планер облегчили, сделав новое однолонжеронное крыло с дополнительными силовыми стенками. Хвостовую часть фюзеляжа укоротили — и центр масс занял нормальное положение. Выявленное в эксплуатации «затенение» стабилизатора крылом на взлете и посадке было устранено установкой консолей с небольшим углом поперечного V. Кессоны заменили полностью протектированными мягкими вкладными баками, внешний протектор сняли, и скорость повысилась до 480 км/ч. Бортовые гнезда пушек Тип 99 модель 2 были переделаны по образцу В-17Е и наконец-то стали удобны в обращении.</w:t>
      </w:r>
    </w:p>
    <w:p w14:paraId="119032DE" w14:textId="77777777" w:rsidR="008A3F77" w:rsidRPr="00070ADE" w:rsidRDefault="008A3F7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в пригороде Нагоя Кагамигахара построил около 90 самолетов, еще с полдесятка сдал завод в Мисушиме (точные данные утеряны, выпуск после землетрясения практически остановился). Часть из них поставлялись в вариантах G4M3а Тип 1 модель 34-Otsu и -Hei, аналогичных G4M2a (22842).</w:t>
      </w:r>
    </w:p>
    <w:p w14:paraId="63FC16BC" w14:textId="77777777" w:rsidR="008A3F77" w:rsidRPr="00070ADE" w:rsidRDefault="008A3F77" w:rsidP="00B56F90">
      <w:pPr>
        <w:spacing w:after="0" w:line="240" w:lineRule="auto"/>
        <w:jc w:val="both"/>
        <w:rPr>
          <w:rFonts w:ascii="Times New Roman" w:hAnsi="Times New Roman"/>
          <w:color w:val="000000" w:themeColor="text1"/>
          <w:sz w:val="16"/>
          <w:szCs w:val="16"/>
        </w:rPr>
      </w:pPr>
    </w:p>
    <w:p w14:paraId="59010AF4" w14:textId="77777777" w:rsidR="008A3F77" w:rsidRPr="00070ADE" w:rsidRDefault="008A3F7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(ночь) 1944 421 британский бомбардировщик Avro Lancaster атакует Берлин, Германия. Немецкие ночные истребители перехватывают их, и 28 «Ланкастеров» (6,7% сил) не возвращаются (20373).</w:t>
      </w:r>
    </w:p>
    <w:p w14:paraId="180E189F" w14:textId="77777777" w:rsidR="008A3F77" w:rsidRPr="00070ADE" w:rsidRDefault="008A3F77" w:rsidP="00B56F90">
      <w:pPr>
        <w:spacing w:after="0" w:line="240" w:lineRule="auto"/>
        <w:jc w:val="both"/>
        <w:rPr>
          <w:rFonts w:ascii="Times New Roman" w:hAnsi="Times New Roman"/>
          <w:color w:val="000000" w:themeColor="text1"/>
          <w:sz w:val="16"/>
          <w:szCs w:val="16"/>
        </w:rPr>
      </w:pPr>
    </w:p>
    <w:p w14:paraId="691E97C2" w14:textId="77777777" w:rsidR="008A3F77" w:rsidRPr="00070ADE" w:rsidRDefault="008A3F7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января1944 Военно-воздушные силы армии США (USAAF) создают Стратегические военно-воздушные силы США в Европе (USSAFE) (20373).</w:t>
      </w:r>
    </w:p>
    <w:p w14:paraId="55B0D94C" w14:textId="77777777" w:rsidR="008A3F77" w:rsidRPr="00070ADE" w:rsidRDefault="008A3F77" w:rsidP="00B56F90">
      <w:pPr>
        <w:spacing w:after="0" w:line="240" w:lineRule="auto"/>
        <w:jc w:val="both"/>
        <w:rPr>
          <w:rFonts w:ascii="Times New Roman" w:hAnsi="Times New Roman"/>
          <w:color w:val="000000" w:themeColor="text1"/>
          <w:sz w:val="16"/>
          <w:szCs w:val="16"/>
        </w:rPr>
      </w:pPr>
    </w:p>
    <w:p w14:paraId="7ED102D2" w14:textId="77777777" w:rsidR="00820285" w:rsidRPr="00070ADE" w:rsidRDefault="008202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lastRenderedPageBreak/>
        <w:t>1 января</w:t>
      </w:r>
      <w:r w:rsidRPr="00070ADE">
        <w:rPr>
          <w:rFonts w:ascii="Times New Roman" w:hAnsi="Times New Roman"/>
          <w:color w:val="000000" w:themeColor="text1"/>
          <w:sz w:val="16"/>
          <w:szCs w:val="16"/>
        </w:rPr>
        <w:t xml:space="preserve"> в 1944 году очередная немецкая ракета "A-4"/SS-1/Scunner/ (Фау-2) пущенная по Антверпену угодила в Borgerhout в Wynegemstraat-Florastraat. В результате было убито 45 и ранено 33 человека, полностью разрушено 21 дом (14996).</w:t>
      </w:r>
    </w:p>
    <w:p w14:paraId="33662A1A" w14:textId="77777777" w:rsidR="00820285" w:rsidRPr="00070ADE" w:rsidRDefault="00820285" w:rsidP="00B56F90">
      <w:pPr>
        <w:spacing w:after="0" w:line="240" w:lineRule="auto"/>
        <w:jc w:val="both"/>
        <w:rPr>
          <w:rFonts w:ascii="Times New Roman" w:hAnsi="Times New Roman"/>
          <w:color w:val="000000" w:themeColor="text1"/>
          <w:sz w:val="16"/>
          <w:szCs w:val="16"/>
        </w:rPr>
      </w:pPr>
    </w:p>
    <w:p w14:paraId="7169EC01" w14:textId="77777777" w:rsidR="00D4630C" w:rsidRPr="00070ADE" w:rsidRDefault="00D4630C" w:rsidP="00B56F90">
      <w:pPr>
        <w:pStyle w:val="ae"/>
        <w:shd w:val="clear" w:color="auto" w:fill="FFFFFF"/>
        <w:spacing w:before="0" w:after="0"/>
        <w:jc w:val="both"/>
        <w:rPr>
          <w:color w:val="000000" w:themeColor="text1"/>
          <w:sz w:val="16"/>
          <w:szCs w:val="16"/>
        </w:rPr>
      </w:pPr>
      <w:r w:rsidRPr="00070ADE">
        <w:rPr>
          <w:rStyle w:val="a7"/>
          <w:b w:val="0"/>
          <w:color w:val="000000" w:themeColor="text1"/>
          <w:sz w:val="16"/>
          <w:szCs w:val="16"/>
        </w:rPr>
        <w:t xml:space="preserve">1-2, 2-3, 20-21, 27-28, 28-29, 30-31 января </w:t>
      </w:r>
      <w:r w:rsidRPr="00070ADE">
        <w:rPr>
          <w:color w:val="000000" w:themeColor="text1"/>
          <w:sz w:val="16"/>
          <w:szCs w:val="16"/>
        </w:rPr>
        <w:t>1944 год год начался ночными рейдами на Берлин. Несмотря на большое количество задействованных бомбардировщиков (3314 самолетов), из-за плотной облачности и нулевой видимости январские налеты не принесли особых результатов. На земле были повреждены здания Рейхканцелярии и Министерства пропаганды, убиты 1603 человека, потери бомбардировщиков составили 156 машин – большая часть из которых была утеряна по небоевым причинам.</w:t>
      </w:r>
    </w:p>
    <w:p w14:paraId="078FC3EC" w14:textId="77777777" w:rsidR="00D4630C" w:rsidRPr="00070ADE" w:rsidRDefault="00D4630C" w:rsidP="00B56F90">
      <w:pPr>
        <w:pStyle w:val="ae"/>
        <w:shd w:val="clear" w:color="auto" w:fill="FFFFFF"/>
        <w:spacing w:before="0" w:after="0"/>
        <w:jc w:val="both"/>
        <w:rPr>
          <w:color w:val="000000" w:themeColor="text1"/>
          <w:sz w:val="16"/>
          <w:szCs w:val="16"/>
        </w:rPr>
      </w:pPr>
      <w:r w:rsidRPr="00070ADE">
        <w:rPr>
          <w:color w:val="000000" w:themeColor="text1"/>
          <w:sz w:val="16"/>
          <w:szCs w:val="16"/>
        </w:rPr>
        <w:t xml:space="preserve">Рейды возобновились не скоро, за два последующих месяца их было также 2: </w:t>
      </w:r>
      <w:r w:rsidRPr="00070ADE">
        <w:rPr>
          <w:rStyle w:val="a7"/>
          <w:b w:val="0"/>
          <w:color w:val="000000" w:themeColor="text1"/>
          <w:sz w:val="16"/>
          <w:szCs w:val="16"/>
        </w:rPr>
        <w:t>15-16 февраля</w:t>
      </w:r>
      <w:r w:rsidRPr="00070ADE">
        <w:rPr>
          <w:color w:val="000000" w:themeColor="text1"/>
          <w:sz w:val="16"/>
          <w:szCs w:val="16"/>
        </w:rPr>
        <w:t xml:space="preserve"> (891 самолет), </w:t>
      </w:r>
      <w:r w:rsidRPr="00070ADE">
        <w:rPr>
          <w:rStyle w:val="a7"/>
          <w:b w:val="0"/>
          <w:color w:val="000000" w:themeColor="text1"/>
          <w:sz w:val="16"/>
          <w:szCs w:val="16"/>
        </w:rPr>
        <w:t>24-25 марта</w:t>
      </w:r>
      <w:r w:rsidRPr="00070ADE">
        <w:rPr>
          <w:color w:val="000000" w:themeColor="text1"/>
          <w:sz w:val="16"/>
          <w:szCs w:val="16"/>
        </w:rPr>
        <w:t xml:space="preserve"> (811 самолетов). Оба рейда практически не принесли эффекта (потери на земле – 529 убитых и незначительные разрушения построек), зато стоили в общей сложности 115 сбитых бомбардировщика.</w:t>
      </w:r>
    </w:p>
    <w:p w14:paraId="315BFB65" w14:textId="77777777" w:rsidR="00D4630C" w:rsidRPr="00070ADE" w:rsidRDefault="00D4630C" w:rsidP="00B56F90">
      <w:pPr>
        <w:pStyle w:val="ae"/>
        <w:shd w:val="clear" w:color="auto" w:fill="FFFFFF"/>
        <w:spacing w:before="0" w:after="0"/>
        <w:jc w:val="both"/>
        <w:rPr>
          <w:color w:val="000000" w:themeColor="text1"/>
          <w:sz w:val="16"/>
          <w:szCs w:val="16"/>
        </w:rPr>
      </w:pPr>
      <w:r w:rsidRPr="00070ADE">
        <w:rPr>
          <w:color w:val="000000" w:themeColor="text1"/>
          <w:sz w:val="16"/>
          <w:szCs w:val="16"/>
        </w:rPr>
        <w:t>Хотя Берлин был серьезно поврежден, на него (за 41 только крупный вылет) было сброшено 45000 тонн бомб, что повлекло гибель тысяч гражданских лиц и разрушения 326 заводов, до победы было совсем не близко.</w:t>
      </w:r>
    </w:p>
    <w:p w14:paraId="30C8102F" w14:textId="77777777" w:rsidR="00D4630C" w:rsidRPr="00070ADE" w:rsidRDefault="00D4630C" w:rsidP="00B56F90">
      <w:pPr>
        <w:pStyle w:val="ae"/>
        <w:shd w:val="clear" w:color="auto" w:fill="FFFFFF"/>
        <w:spacing w:before="0" w:after="0"/>
        <w:jc w:val="both"/>
        <w:rPr>
          <w:color w:val="000000" w:themeColor="text1"/>
          <w:sz w:val="16"/>
          <w:szCs w:val="16"/>
        </w:rPr>
      </w:pPr>
      <w:r w:rsidRPr="00070ADE">
        <w:rPr>
          <w:color w:val="000000" w:themeColor="text1"/>
          <w:sz w:val="16"/>
          <w:szCs w:val="16"/>
        </w:rPr>
        <w:t xml:space="preserve">Общие потери у английской авиации к этому моменту составили </w:t>
      </w:r>
      <w:r w:rsidRPr="00070ADE">
        <w:rPr>
          <w:rStyle w:val="a7"/>
          <w:b w:val="0"/>
          <w:color w:val="000000" w:themeColor="text1"/>
          <w:sz w:val="16"/>
          <w:szCs w:val="16"/>
        </w:rPr>
        <w:t>495 самолетов и 2938 членов экипажей</w:t>
      </w:r>
      <w:r w:rsidRPr="00070ADE">
        <w:rPr>
          <w:color w:val="000000" w:themeColor="text1"/>
          <w:sz w:val="16"/>
          <w:szCs w:val="16"/>
        </w:rPr>
        <w:t xml:space="preserve"> – намного больше, чем могла себе позволить Англия.</w:t>
      </w:r>
    </w:p>
    <w:p w14:paraId="0621A149" w14:textId="77777777" w:rsidR="00D4630C" w:rsidRPr="00070ADE" w:rsidRDefault="00D4630C" w:rsidP="00B56F90">
      <w:pPr>
        <w:pStyle w:val="ae"/>
        <w:shd w:val="clear" w:color="auto" w:fill="FFFFFF"/>
        <w:spacing w:before="0" w:after="0"/>
        <w:jc w:val="both"/>
        <w:rPr>
          <w:color w:val="000000" w:themeColor="text1"/>
          <w:sz w:val="16"/>
          <w:szCs w:val="16"/>
        </w:rPr>
      </w:pPr>
      <w:r w:rsidRPr="00070ADE">
        <w:rPr>
          <w:color w:val="000000" w:themeColor="text1"/>
          <w:sz w:val="16"/>
          <w:szCs w:val="16"/>
        </w:rPr>
        <w:t>Бомбардировки теперь осуществлялись с большой высоты – ночью действовали тяжелые английские бомбардировщики «Либерейтор» В-24, днем подключались американские «Ле</w:t>
      </w:r>
      <w:r w:rsidRPr="00070ADE">
        <w:rPr>
          <w:color w:val="000000" w:themeColor="text1"/>
          <w:sz w:val="16"/>
          <w:szCs w:val="16"/>
        </w:rPr>
        <w:softHyphen/>
        <w:t>тающие крепости» В-17.</w:t>
      </w:r>
    </w:p>
    <w:p w14:paraId="53352890" w14:textId="02C05016" w:rsidR="00D4630C" w:rsidRPr="00070ADE" w:rsidRDefault="00D4630C" w:rsidP="00B56F90">
      <w:pPr>
        <w:pStyle w:val="ae"/>
        <w:shd w:val="clear" w:color="auto" w:fill="FFFFFF"/>
        <w:spacing w:before="0" w:after="0"/>
        <w:jc w:val="both"/>
        <w:rPr>
          <w:color w:val="000000" w:themeColor="text1"/>
          <w:sz w:val="16"/>
          <w:szCs w:val="16"/>
        </w:rPr>
      </w:pPr>
      <w:r w:rsidRPr="00070ADE">
        <w:rPr>
          <w:rStyle w:val="a7"/>
          <w:b w:val="0"/>
          <w:color w:val="000000" w:themeColor="text1"/>
          <w:sz w:val="16"/>
          <w:szCs w:val="16"/>
        </w:rPr>
        <w:t>22 марта 1944 года</w:t>
      </w:r>
      <w:r w:rsidRPr="00070ADE">
        <w:rPr>
          <w:color w:val="000000" w:themeColor="text1"/>
          <w:sz w:val="16"/>
          <w:szCs w:val="16"/>
        </w:rPr>
        <w:t xml:space="preserve"> Берлин атаковали уже американцы: 460 В-17 и 197 </w:t>
      </w:r>
      <w:hyperlink r:id="rId12" w:history="1">
        <w:r w:rsidRPr="00070ADE">
          <w:rPr>
            <w:rStyle w:val="a5"/>
            <w:rFonts w:eastAsia="Times New Roman"/>
            <w:color w:val="000000" w:themeColor="text1"/>
            <w:sz w:val="16"/>
            <w:szCs w:val="16"/>
            <w:u w:val="none"/>
          </w:rPr>
          <w:t xml:space="preserve">B-24 </w:t>
        </w:r>
      </w:hyperlink>
      <w:r w:rsidRPr="00070ADE">
        <w:rPr>
          <w:color w:val="000000" w:themeColor="text1"/>
          <w:sz w:val="16"/>
          <w:szCs w:val="16"/>
        </w:rPr>
        <w:t>нанесли удар по авиационным заводам Ораниенбурга и Бадсдорфа. Почти 1,5 миллиона жителей города остались без крова, однако это было только начало. Американцы пока только пробовали силы. До начала мая они потеряли</w:t>
      </w:r>
      <w:r w:rsidR="00B643A8" w:rsidRPr="00070ADE">
        <w:rPr>
          <w:color w:val="000000" w:themeColor="text1"/>
          <w:sz w:val="16"/>
          <w:szCs w:val="16"/>
        </w:rPr>
        <w:t xml:space="preserve"> </w:t>
      </w:r>
      <w:r w:rsidRPr="00070ADE">
        <w:rPr>
          <w:color w:val="000000" w:themeColor="text1"/>
          <w:sz w:val="16"/>
          <w:szCs w:val="16"/>
        </w:rPr>
        <w:t>38</w:t>
      </w:r>
      <w:hyperlink r:id="rId13" w:history="1">
        <w:r w:rsidRPr="00070ADE">
          <w:rPr>
            <w:rStyle w:val="a5"/>
            <w:rFonts w:eastAsia="Times New Roman"/>
            <w:color w:val="000000" w:themeColor="text1"/>
            <w:sz w:val="16"/>
            <w:szCs w:val="16"/>
            <w:u w:val="none"/>
          </w:rPr>
          <w:t xml:space="preserve"> «Летающих крепостей» B-17</w:t>
        </w:r>
      </w:hyperlink>
      <w:r w:rsidRPr="00070ADE">
        <w:rPr>
          <w:color w:val="000000" w:themeColor="text1"/>
          <w:sz w:val="16"/>
          <w:szCs w:val="16"/>
        </w:rPr>
        <w:t xml:space="preserve"> и 25 </w:t>
      </w:r>
      <w:hyperlink r:id="rId14" w:history="1">
        <w:r w:rsidRPr="00070ADE">
          <w:rPr>
            <w:rStyle w:val="a5"/>
            <w:rFonts w:eastAsia="Times New Roman"/>
            <w:color w:val="000000" w:themeColor="text1"/>
            <w:sz w:val="16"/>
            <w:szCs w:val="16"/>
            <w:u w:val="none"/>
          </w:rPr>
          <w:t>B-24</w:t>
        </w:r>
      </w:hyperlink>
      <w:r w:rsidRPr="00070ADE">
        <w:rPr>
          <w:color w:val="000000" w:themeColor="text1"/>
          <w:sz w:val="16"/>
          <w:szCs w:val="16"/>
        </w:rPr>
        <w:t>.</w:t>
      </w:r>
    </w:p>
    <w:p w14:paraId="3961FB3F" w14:textId="77777777" w:rsidR="00D4630C" w:rsidRPr="00070ADE" w:rsidRDefault="00D4630C" w:rsidP="00B56F90">
      <w:pPr>
        <w:pStyle w:val="ae"/>
        <w:shd w:val="clear" w:color="auto" w:fill="FFFFFF"/>
        <w:spacing w:before="0" w:after="0"/>
        <w:jc w:val="both"/>
        <w:rPr>
          <w:color w:val="000000" w:themeColor="text1"/>
          <w:sz w:val="16"/>
          <w:szCs w:val="16"/>
        </w:rPr>
      </w:pPr>
      <w:r w:rsidRPr="00070ADE">
        <w:rPr>
          <w:rStyle w:val="a7"/>
          <w:b w:val="0"/>
          <w:color w:val="000000" w:themeColor="text1"/>
          <w:sz w:val="16"/>
          <w:szCs w:val="16"/>
        </w:rPr>
        <w:t>7 мая 1944 года</w:t>
      </w:r>
      <w:r w:rsidRPr="00070ADE">
        <w:rPr>
          <w:color w:val="000000" w:themeColor="text1"/>
          <w:sz w:val="16"/>
          <w:szCs w:val="16"/>
        </w:rPr>
        <w:t xml:space="preserve"> 600 самоле</w:t>
      </w:r>
      <w:r w:rsidRPr="00070ADE">
        <w:rPr>
          <w:color w:val="000000" w:themeColor="text1"/>
          <w:sz w:val="16"/>
          <w:szCs w:val="16"/>
        </w:rPr>
        <w:softHyphen/>
        <w:t xml:space="preserve">тов сбросили 1246 тонн бомб на центр Берлина, потеряв 6 машин. </w:t>
      </w:r>
      <w:r w:rsidRPr="00070ADE">
        <w:rPr>
          <w:rStyle w:val="a7"/>
          <w:b w:val="0"/>
          <w:color w:val="000000" w:themeColor="text1"/>
          <w:sz w:val="16"/>
          <w:szCs w:val="16"/>
        </w:rPr>
        <w:t>8 мая</w:t>
      </w:r>
      <w:r w:rsidRPr="00070ADE">
        <w:rPr>
          <w:color w:val="000000" w:themeColor="text1"/>
          <w:sz w:val="16"/>
          <w:szCs w:val="16"/>
        </w:rPr>
        <w:t xml:space="preserve"> 386 самолетов (25 сбито), а </w:t>
      </w:r>
      <w:r w:rsidRPr="00070ADE">
        <w:rPr>
          <w:rStyle w:val="a7"/>
          <w:b w:val="0"/>
          <w:color w:val="000000" w:themeColor="text1"/>
          <w:sz w:val="16"/>
          <w:szCs w:val="16"/>
        </w:rPr>
        <w:t>19 мая</w:t>
      </w:r>
      <w:r w:rsidRPr="00070ADE">
        <w:rPr>
          <w:color w:val="000000" w:themeColor="text1"/>
          <w:sz w:val="16"/>
          <w:szCs w:val="16"/>
        </w:rPr>
        <w:t xml:space="preserve"> 465 самолетов продолжили бомбардировку жилых районов. Всего до </w:t>
      </w:r>
      <w:r w:rsidRPr="00070ADE">
        <w:rPr>
          <w:rStyle w:val="a7"/>
          <w:b w:val="0"/>
          <w:color w:val="000000" w:themeColor="text1"/>
          <w:sz w:val="16"/>
          <w:szCs w:val="16"/>
        </w:rPr>
        <w:t>21 июня 1944 года</w:t>
      </w:r>
      <w:r w:rsidRPr="00070ADE">
        <w:rPr>
          <w:color w:val="000000" w:themeColor="text1"/>
          <w:sz w:val="16"/>
          <w:szCs w:val="16"/>
        </w:rPr>
        <w:t xml:space="preserve"> они потеряли 113 бомбардировщиков, из них 44 машины были уничтожены на земле, на дозаправке.</w:t>
      </w:r>
    </w:p>
    <w:p w14:paraId="7EF07F0B" w14:textId="77777777" w:rsidR="00D4630C" w:rsidRPr="00070ADE" w:rsidRDefault="00D4630C" w:rsidP="00B56F90">
      <w:pPr>
        <w:pStyle w:val="ae"/>
        <w:shd w:val="clear" w:color="auto" w:fill="FFFFFF"/>
        <w:spacing w:before="0" w:after="0"/>
        <w:jc w:val="both"/>
        <w:rPr>
          <w:color w:val="000000" w:themeColor="text1"/>
          <w:sz w:val="16"/>
          <w:szCs w:val="16"/>
        </w:rPr>
      </w:pPr>
      <w:r w:rsidRPr="00070ADE">
        <w:rPr>
          <w:color w:val="000000" w:themeColor="text1"/>
          <w:sz w:val="16"/>
          <w:szCs w:val="16"/>
        </w:rPr>
        <w:t>До самой осени продолжалось относительное затишье, вызванное высадкой союзных войск в Нормандии, куда была отвлечена значительная часть бомбардировочной авиации. Немецкая столица все же была атакована:</w:t>
      </w:r>
    </w:p>
    <w:p w14:paraId="6B46BD0F" w14:textId="77777777" w:rsidR="00D4630C" w:rsidRPr="00070ADE" w:rsidRDefault="00D4630C" w:rsidP="00B56F90">
      <w:pPr>
        <w:pStyle w:val="ae"/>
        <w:shd w:val="clear" w:color="auto" w:fill="FFFFFF"/>
        <w:spacing w:before="0" w:after="0"/>
        <w:jc w:val="both"/>
        <w:rPr>
          <w:color w:val="000000" w:themeColor="text1"/>
          <w:sz w:val="16"/>
          <w:szCs w:val="16"/>
        </w:rPr>
      </w:pPr>
      <w:r w:rsidRPr="00070ADE">
        <w:rPr>
          <w:rStyle w:val="a7"/>
          <w:b w:val="0"/>
          <w:color w:val="000000" w:themeColor="text1"/>
          <w:sz w:val="16"/>
          <w:szCs w:val="16"/>
        </w:rPr>
        <w:t>6 августа 1944 г.</w:t>
      </w:r>
      <w:r w:rsidRPr="00070ADE">
        <w:rPr>
          <w:color w:val="000000" w:themeColor="text1"/>
          <w:sz w:val="16"/>
          <w:szCs w:val="16"/>
        </w:rPr>
        <w:t xml:space="preserve">, 128 B-17, а затем </w:t>
      </w:r>
      <w:r w:rsidRPr="00070ADE">
        <w:rPr>
          <w:rStyle w:val="a7"/>
          <w:b w:val="0"/>
          <w:color w:val="000000" w:themeColor="text1"/>
          <w:sz w:val="16"/>
          <w:szCs w:val="16"/>
        </w:rPr>
        <w:t>6 октября</w:t>
      </w:r>
      <w:r w:rsidRPr="00070ADE">
        <w:rPr>
          <w:color w:val="000000" w:themeColor="text1"/>
          <w:sz w:val="16"/>
          <w:szCs w:val="16"/>
        </w:rPr>
        <w:t xml:space="preserve"> 382 B-17 бомбили Берлин и танковые заводы в Тегеле и Шпандау. За это время было потеряно 17 машин. Ещё раз эти цели и другие заводы подверглись атаке с воздуха </w:t>
      </w:r>
      <w:r w:rsidRPr="00070ADE">
        <w:rPr>
          <w:rStyle w:val="a7"/>
          <w:b w:val="0"/>
          <w:color w:val="000000" w:themeColor="text1"/>
          <w:sz w:val="16"/>
          <w:szCs w:val="16"/>
        </w:rPr>
        <w:t>5 декабря</w:t>
      </w:r>
      <w:r w:rsidRPr="00070ADE">
        <w:rPr>
          <w:color w:val="000000" w:themeColor="text1"/>
          <w:sz w:val="16"/>
          <w:szCs w:val="16"/>
        </w:rPr>
        <w:t xml:space="preserve"> того же года, силами 404 В-17 (17416).</w:t>
      </w:r>
    </w:p>
    <w:p w14:paraId="13CFD03A" w14:textId="77777777" w:rsidR="00D4630C" w:rsidRPr="00070ADE" w:rsidRDefault="00D4630C" w:rsidP="00B56F90">
      <w:pPr>
        <w:pStyle w:val="ae"/>
        <w:shd w:val="clear" w:color="auto" w:fill="FFFFFF"/>
        <w:spacing w:before="0" w:after="0"/>
        <w:jc w:val="both"/>
        <w:rPr>
          <w:color w:val="000000" w:themeColor="text1"/>
          <w:sz w:val="16"/>
          <w:szCs w:val="16"/>
        </w:rPr>
      </w:pPr>
    </w:p>
    <w:p w14:paraId="26740A94" w14:textId="77777777" w:rsidR="00820285" w:rsidRPr="00070ADE" w:rsidRDefault="00820285"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Образование Крайовой Рады Народовой - высшего представительного подпольного органа демократических сил Польши (7451).</w:t>
      </w:r>
    </w:p>
    <w:p w14:paraId="4CC68A82" w14:textId="77777777" w:rsidR="00820285" w:rsidRPr="00070ADE" w:rsidRDefault="00820285"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BC86A6" w14:textId="77777777" w:rsidR="00820285" w:rsidRPr="00070ADE" w:rsidRDefault="008202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января</w:t>
      </w:r>
      <w:r w:rsidRPr="00070ADE">
        <w:rPr>
          <w:rFonts w:ascii="Times New Roman" w:hAnsi="Times New Roman"/>
          <w:color w:val="000000" w:themeColor="text1"/>
          <w:sz w:val="16"/>
          <w:szCs w:val="16"/>
        </w:rPr>
        <w:t xml:space="preserve"> в 1944 году образование Крайовой Рады Народовой — высшего представительного подпольного органа левых патриотических сил Польши во главе с Б.Берутом. Декрет Крайовой Рады Народовой о создании Армии Людовой (14996).</w:t>
      </w:r>
    </w:p>
    <w:p w14:paraId="16867DF3" w14:textId="77777777" w:rsidR="00820285" w:rsidRPr="00070ADE" w:rsidRDefault="00820285" w:rsidP="00B56F90">
      <w:pPr>
        <w:spacing w:after="0" w:line="240" w:lineRule="auto"/>
        <w:jc w:val="both"/>
        <w:rPr>
          <w:rFonts w:ascii="Times New Roman" w:hAnsi="Times New Roman"/>
          <w:color w:val="000000" w:themeColor="text1"/>
          <w:sz w:val="16"/>
          <w:szCs w:val="16"/>
        </w:rPr>
      </w:pPr>
    </w:p>
    <w:p w14:paraId="409A9FA1" w14:textId="77777777" w:rsidR="00820285" w:rsidRPr="00070ADE" w:rsidRDefault="00820285"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Декрет Крайовой Рады Народовой о создании Армии Людовой (7451).</w:t>
      </w:r>
    </w:p>
    <w:p w14:paraId="06EAC0DA" w14:textId="77777777" w:rsidR="00820285" w:rsidRPr="00070ADE" w:rsidRDefault="00820285"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F52B1B" w14:textId="77777777" w:rsidR="00820285" w:rsidRPr="00070ADE" w:rsidRDefault="008202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января</w:t>
      </w:r>
      <w:r w:rsidRPr="00070ADE">
        <w:rPr>
          <w:rFonts w:ascii="Times New Roman" w:hAnsi="Times New Roman"/>
          <w:color w:val="000000" w:themeColor="text1"/>
          <w:sz w:val="16"/>
          <w:szCs w:val="16"/>
        </w:rPr>
        <w:t xml:space="preserve"> в 1944 году основывается Армия Людова (польское название - Armia Ludowa — Народная армия) в результате реорганизации Гвардии Людовой (Gwardia Ludowa). Она будет действовать под руководством Крайовой Рады Народовой в оккупированной фашистской Германией Польше. В июле 1944 объединится с 1-й Польской армией в Войско Польское (14996).</w:t>
      </w:r>
    </w:p>
    <w:p w14:paraId="3683A8B0" w14:textId="77777777" w:rsidR="00820285" w:rsidRPr="00070ADE" w:rsidRDefault="00820285" w:rsidP="00B56F90">
      <w:pPr>
        <w:spacing w:after="0" w:line="240" w:lineRule="auto"/>
        <w:jc w:val="both"/>
        <w:rPr>
          <w:rFonts w:ascii="Times New Roman" w:hAnsi="Times New Roman"/>
          <w:color w:val="000000" w:themeColor="text1"/>
          <w:sz w:val="16"/>
          <w:szCs w:val="16"/>
        </w:rPr>
      </w:pPr>
    </w:p>
    <w:p w14:paraId="73EB47C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January 1, 1944: Field Marshal Rommel is appointed C-in-C of Heeresgruppe B, the German forces in France north of the Loire river (3819).</w:t>
      </w:r>
    </w:p>
    <w:p w14:paraId="242D36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59534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 фм Роммель был назначен ГК Группы В во Франции на Луаре (3819).</w:t>
      </w:r>
    </w:p>
    <w:p w14:paraId="780CCC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0C349E" w14:textId="77777777" w:rsidR="00820285" w:rsidRPr="00070ADE" w:rsidRDefault="008202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января</w:t>
      </w:r>
      <w:r w:rsidRPr="00070ADE">
        <w:rPr>
          <w:rFonts w:ascii="Times New Roman" w:hAnsi="Times New Roman"/>
          <w:color w:val="000000" w:themeColor="text1"/>
          <w:sz w:val="16"/>
          <w:szCs w:val="16"/>
        </w:rPr>
        <w:t xml:space="preserve"> в 1944 году американское командование располагает на Тихоокеанском театре военных действий 16 дивизиями, а также имеет 13 линкоров, 28 авианосцев, 32 крейсера, 123 подводные лодки, 188 эсминцев и 57 миноносцев. Эти военно-морские силы располагают 6676 самолетами (14996).</w:t>
      </w:r>
    </w:p>
    <w:p w14:paraId="554B46F9" w14:textId="77777777" w:rsidR="00820285" w:rsidRPr="00070ADE" w:rsidRDefault="00820285" w:rsidP="00B56F90">
      <w:pPr>
        <w:spacing w:after="0" w:line="240" w:lineRule="auto"/>
        <w:jc w:val="both"/>
        <w:rPr>
          <w:rFonts w:ascii="Times New Roman" w:hAnsi="Times New Roman"/>
          <w:color w:val="000000" w:themeColor="text1"/>
          <w:sz w:val="16"/>
          <w:szCs w:val="16"/>
        </w:rPr>
      </w:pPr>
    </w:p>
    <w:p w14:paraId="43EE936D" w14:textId="77777777" w:rsidR="00820285" w:rsidRPr="00070ADE" w:rsidRDefault="008202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января</w:t>
      </w:r>
      <w:r w:rsidRPr="00070ADE">
        <w:rPr>
          <w:rFonts w:ascii="Times New Roman" w:hAnsi="Times New Roman"/>
          <w:color w:val="000000" w:themeColor="text1"/>
          <w:sz w:val="16"/>
          <w:szCs w:val="16"/>
        </w:rPr>
        <w:t xml:space="preserve"> в 1944 году военно-морские силы Японии, действующие против американской армии, располагают 9 линкорами, 13 авианосцами, 31 крейсером, 78 миноносцами, 72 подводными лодками и более 3 тысячами самолетов (14996).</w:t>
      </w:r>
    </w:p>
    <w:p w14:paraId="329A95B0" w14:textId="77777777" w:rsidR="00820285" w:rsidRPr="00070ADE" w:rsidRDefault="00820285" w:rsidP="00B56F90">
      <w:pPr>
        <w:spacing w:after="0" w:line="240" w:lineRule="auto"/>
        <w:jc w:val="both"/>
        <w:rPr>
          <w:rFonts w:ascii="Times New Roman" w:hAnsi="Times New Roman"/>
          <w:color w:val="000000" w:themeColor="text1"/>
          <w:sz w:val="16"/>
          <w:szCs w:val="16"/>
        </w:rPr>
      </w:pPr>
    </w:p>
    <w:p w14:paraId="6F6D59A6"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11537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0E89D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 по 25 января 1944 проводились гос. испытания на земле, а с 17 января по 11 марта В.И.Хомяков облетал Як-9У с ВК-105ПФ2 с ВЯ как эталон на 1944 (65,146).</w:t>
      </w:r>
    </w:p>
    <w:p w14:paraId="66CAA6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5B4786" w14:textId="77777777" w:rsidR="00916E94" w:rsidRPr="00070ADE" w:rsidRDefault="00916E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 января</w:t>
      </w:r>
      <w:r w:rsidRPr="00070ADE">
        <w:rPr>
          <w:rFonts w:ascii="Times New Roman" w:hAnsi="Times New Roman"/>
          <w:color w:val="000000" w:themeColor="text1"/>
          <w:sz w:val="16"/>
          <w:szCs w:val="16"/>
        </w:rPr>
        <w:t xml:space="preserve"> в 1944 году начались Госиспытания истребителя «Як-9УВК-105ПФ2» с винтом «ВИШ-105В-01» - это последняя и наиболее совершенная во всех отношениях, кроме вооружения, модификация «Як-9» с двигателем «М-105» (14997).</w:t>
      </w:r>
    </w:p>
    <w:p w14:paraId="53D387D7" w14:textId="77777777" w:rsidR="00916E94" w:rsidRPr="00070ADE" w:rsidRDefault="00916E94" w:rsidP="00B56F90">
      <w:pPr>
        <w:spacing w:after="0" w:line="240" w:lineRule="auto"/>
        <w:jc w:val="both"/>
        <w:rPr>
          <w:rFonts w:ascii="Times New Roman" w:hAnsi="Times New Roman"/>
          <w:color w:val="000000" w:themeColor="text1"/>
          <w:sz w:val="16"/>
          <w:szCs w:val="16"/>
        </w:rPr>
      </w:pPr>
    </w:p>
    <w:p w14:paraId="750F2A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января 1944 в НИИ ВВС на гос. испытания поступил Як-9У, сделанный в ноябре 1943 в ОКБ А.С.Я. в одном экземпляре с Вя-23 вместо Н-37 и до 25 января 1944 проводили доводку вооружения (65,146).</w:t>
      </w:r>
    </w:p>
    <w:p w14:paraId="61E729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3B0C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января 1944-го Як-9У с мотором М-105ПФ и винтом ВИШ-105-СВ-01, ставший эталоном, поступил в НИИ ВВС. Ведущими на этапе государственных испытаний были инженер М.А. Пронин и летчик В.И. Хомяков. Облетали Як-9У Ю.А. Анти- пов, А.Г. Прошаков, Г.И. Седов и Гриднев. Летные испытания из-за доводки вооружения начались лишь 17 мая и затянулись почти на два месяца.</w:t>
      </w:r>
    </w:p>
    <w:p w14:paraId="006B41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мнению летчиков-испытателей, Як-9У по технике пилотирования ничем не отличался от серийного Як-9 и по летным данным превосходил последний. В то же время, бронезашита нового истребителя по сравнению с серийным Як-9, хотя и была улучшена, но требованиям заказчика не удовлетворяла. Дальность, полученная при полете на наивыгоднейшем режиме, не превышала 850 км и не соответствовала октябрьскому 1943 года постановлению ГКО (1400 км для всех серийных вариантов Як-9) (12046).</w:t>
      </w:r>
    </w:p>
    <w:p w14:paraId="2DB7EE1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4789CC5" w14:textId="77777777" w:rsidR="004A1DB1" w:rsidRPr="00C94B78" w:rsidRDefault="004A1DB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 января 1944 г. опытный самолет Як-9У зав. №09-23 по</w:t>
      </w:r>
      <w:r w:rsidRPr="00C94B78">
        <w:rPr>
          <w:rFonts w:ascii="Times New Roman" w:hAnsi="Times New Roman"/>
          <w:color w:val="0070C0"/>
          <w:sz w:val="16"/>
          <w:szCs w:val="16"/>
        </w:rPr>
        <w:softHyphen/>
        <w:t>ступил в НИИ ВВС на государственные испы</w:t>
      </w:r>
      <w:r w:rsidRPr="00C94B78">
        <w:rPr>
          <w:rFonts w:ascii="Times New Roman" w:hAnsi="Times New Roman"/>
          <w:color w:val="0070C0"/>
          <w:sz w:val="16"/>
          <w:szCs w:val="16"/>
        </w:rPr>
        <w:softHyphen/>
        <w:t>тания. До 25 января устраня</w:t>
      </w:r>
      <w:r w:rsidRPr="00C94B78">
        <w:rPr>
          <w:rFonts w:ascii="Times New Roman" w:hAnsi="Times New Roman"/>
          <w:color w:val="0070C0"/>
          <w:sz w:val="16"/>
          <w:szCs w:val="16"/>
        </w:rPr>
        <w:softHyphen/>
        <w:t>лись выявленные при приемке дефекты винто-моторной группы (24971).</w:t>
      </w:r>
    </w:p>
    <w:p w14:paraId="0223264F" w14:textId="77777777" w:rsidR="004A1DB1" w:rsidRPr="00C94B78" w:rsidRDefault="004A1DB1" w:rsidP="00B56F90">
      <w:pPr>
        <w:spacing w:after="0" w:line="240" w:lineRule="auto"/>
        <w:jc w:val="both"/>
        <w:rPr>
          <w:rFonts w:ascii="Times New Roman" w:hAnsi="Times New Roman"/>
          <w:color w:val="0070C0"/>
          <w:sz w:val="16"/>
          <w:szCs w:val="16"/>
        </w:rPr>
      </w:pPr>
    </w:p>
    <w:p w14:paraId="19815807" w14:textId="77777777" w:rsidR="004A1DB1" w:rsidRPr="00C94B78" w:rsidRDefault="004A1DB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Со 2 января по 11 марта 1944 года Як-9У с двигателем ВК</w:t>
      </w:r>
      <w:r w:rsidRPr="00C94B78">
        <w:rPr>
          <w:rFonts w:ascii="Times New Roman" w:hAnsi="Times New Roman"/>
          <w:color w:val="0070C0"/>
          <w:sz w:val="16"/>
          <w:szCs w:val="16"/>
        </w:rPr>
        <w:noBreakHyphen/>
        <w:t>105ПФ2, построенный в одном экземпляре, прошел государственные испытания в НИИ ВВС.</w:t>
      </w:r>
    </w:p>
    <w:p w14:paraId="121AC849" w14:textId="77777777" w:rsidR="004A1DB1" w:rsidRPr="00C94B78" w:rsidRDefault="004A1DB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У самолета была изменена форма крыльев вблизи фюзеляжа, так как в их носки были перенесены воздухозаборники радиаторов масла (исчезла характерная «борода» под двигателем). Замки щитков шасси переместили в крыло, ранее они находились на щитках.</w:t>
      </w:r>
    </w:p>
    <w:p w14:paraId="2882446E" w14:textId="77777777" w:rsidR="004A1DB1" w:rsidRPr="00C94B78" w:rsidRDefault="004A1DB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Фюзеляж: полотняная обшивка заменена на фанерную, толщиной 2 мм. Бронеспинка пилота стала ниже, но зато были установлены заднее и переднее бронестекла. Левая рука, которой пилот управлял сектором газа, получила защиту из броневого подлокотника. Водяные радиаторы, по которым было легко различить Як</w:t>
      </w:r>
      <w:r w:rsidRPr="00C94B78">
        <w:rPr>
          <w:rFonts w:ascii="Times New Roman" w:hAnsi="Times New Roman"/>
          <w:color w:val="0070C0"/>
          <w:sz w:val="16"/>
          <w:szCs w:val="16"/>
        </w:rPr>
        <w:noBreakHyphen/>
        <w:t>1 и 3 от Як</w:t>
      </w:r>
      <w:r w:rsidRPr="00C94B78">
        <w:rPr>
          <w:rFonts w:ascii="Times New Roman" w:hAnsi="Times New Roman"/>
          <w:color w:val="0070C0"/>
          <w:sz w:val="16"/>
          <w:szCs w:val="16"/>
        </w:rPr>
        <w:noBreakHyphen/>
        <w:t>7 и 9, перенесли назад.</w:t>
      </w:r>
    </w:p>
    <w:p w14:paraId="2887F45F" w14:textId="77777777" w:rsidR="004A1DB1" w:rsidRPr="00C94B78" w:rsidRDefault="004A1DB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Двигательная установка и топливная система: двигатель ВК</w:t>
      </w:r>
      <w:r w:rsidRPr="00C94B78">
        <w:rPr>
          <w:rFonts w:ascii="Times New Roman" w:hAnsi="Times New Roman"/>
          <w:color w:val="0070C0"/>
          <w:sz w:val="16"/>
          <w:szCs w:val="16"/>
        </w:rPr>
        <w:noBreakHyphen/>
        <w:t>105ПФ2 приводил во вращение винт типа ВИШ</w:t>
      </w:r>
      <w:r w:rsidRPr="00C94B78">
        <w:rPr>
          <w:rFonts w:ascii="Times New Roman" w:hAnsi="Times New Roman"/>
          <w:color w:val="0070C0"/>
          <w:sz w:val="16"/>
          <w:szCs w:val="16"/>
        </w:rPr>
        <w:noBreakHyphen/>
        <w:t>105СВ</w:t>
      </w:r>
      <w:r w:rsidRPr="00C94B78">
        <w:rPr>
          <w:rFonts w:ascii="Times New Roman" w:hAnsi="Times New Roman"/>
          <w:color w:val="0070C0"/>
          <w:sz w:val="16"/>
          <w:szCs w:val="16"/>
        </w:rPr>
        <w:noBreakHyphen/>
        <w:t>01. Улучшено протектирирование топливных баков. Запас топлива уменьшен примерно до 430 л, а масла с 40 до 25 кг.</w:t>
      </w:r>
    </w:p>
    <w:p w14:paraId="02B6B423" w14:textId="77777777" w:rsidR="004A1DB1" w:rsidRPr="00C94B78" w:rsidRDefault="004A1DB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Вооружение: Пушка ВЯ</w:t>
      </w:r>
      <w:r w:rsidRPr="00C94B78">
        <w:rPr>
          <w:rFonts w:ascii="Times New Roman" w:hAnsi="Times New Roman"/>
          <w:color w:val="0070C0"/>
          <w:sz w:val="16"/>
          <w:szCs w:val="16"/>
        </w:rPr>
        <w:noBreakHyphen/>
        <w:t>23 с боекомплектом в 60 снарядов и два пулемета УБС калибра 12,7 мм с общим запасом патронов – 340 штук. Предусматривалась возможность установки пушек ШВАК, Б</w:t>
      </w:r>
      <w:r w:rsidRPr="00C94B78">
        <w:rPr>
          <w:rFonts w:ascii="Times New Roman" w:hAnsi="Times New Roman"/>
          <w:color w:val="0070C0"/>
          <w:sz w:val="16"/>
          <w:szCs w:val="16"/>
        </w:rPr>
        <w:noBreakHyphen/>
        <w:t>20 и НС</w:t>
      </w:r>
      <w:r w:rsidRPr="00C94B78">
        <w:rPr>
          <w:rFonts w:ascii="Times New Roman" w:hAnsi="Times New Roman"/>
          <w:color w:val="0070C0"/>
          <w:sz w:val="16"/>
          <w:szCs w:val="16"/>
        </w:rPr>
        <w:noBreakHyphen/>
        <w:t>37. В последнем случае снимался правый пулемет УБС. Однако, вначале состав вооружения был оставлен таким же, как на уже выпускавшихся Яках. Хотя попадание снаряда пушки ВЯ</w:t>
      </w:r>
      <w:r w:rsidRPr="00C94B78">
        <w:rPr>
          <w:rFonts w:ascii="Times New Roman" w:hAnsi="Times New Roman"/>
          <w:color w:val="0070C0"/>
          <w:sz w:val="16"/>
          <w:szCs w:val="16"/>
        </w:rPr>
        <w:noBreakHyphen/>
        <w:t>23 в крыло самолета приводило к пробоине размером 7x8 сантиметров, но ВВС отказались от этой пушки из</w:t>
      </w:r>
      <w:r w:rsidRPr="00C94B78">
        <w:rPr>
          <w:rFonts w:ascii="Times New Roman" w:hAnsi="Times New Roman"/>
          <w:color w:val="0070C0"/>
          <w:sz w:val="16"/>
          <w:szCs w:val="16"/>
        </w:rPr>
        <w:noBreakHyphen/>
        <w:t>за ее низкой скорострельности и большой массы.</w:t>
      </w:r>
    </w:p>
    <w:p w14:paraId="36294B1A" w14:textId="77777777" w:rsidR="004A1DB1" w:rsidRPr="00C94B78" w:rsidRDefault="004A1DB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Повысились не только летные характеристики, но и эксплуатационные свойства. Новый истребитель был быстрее своих предшественников, лучшими были скороподъемность (соответственно на 0,7 и 1.3 мин выше чем у Як</w:t>
      </w:r>
      <w:r w:rsidRPr="00C94B78">
        <w:rPr>
          <w:rFonts w:ascii="Times New Roman" w:hAnsi="Times New Roman"/>
          <w:color w:val="0070C0"/>
          <w:sz w:val="16"/>
          <w:szCs w:val="16"/>
        </w:rPr>
        <w:noBreakHyphen/>
        <w:t>9Т и Як</w:t>
      </w:r>
      <w:r w:rsidRPr="00C94B78">
        <w:rPr>
          <w:rFonts w:ascii="Times New Roman" w:hAnsi="Times New Roman"/>
          <w:color w:val="0070C0"/>
          <w:sz w:val="16"/>
          <w:szCs w:val="16"/>
        </w:rPr>
        <w:noBreakHyphen/>
        <w:t>9М и только на 0,3 мин хуже чем у Як</w:t>
      </w:r>
      <w:r w:rsidRPr="00C94B78">
        <w:rPr>
          <w:rFonts w:ascii="Times New Roman" w:hAnsi="Times New Roman"/>
          <w:color w:val="0070C0"/>
          <w:sz w:val="16"/>
          <w:szCs w:val="16"/>
        </w:rPr>
        <w:noBreakHyphen/>
        <w:t>3) и маневренность. Улучшение летных характеристик стало результатом снижения стартовой массы, установки более мощного двигателя и лучшей аэродинамики. Пилоты с удовлетворением восприняли автоматическое управление заслонками радиаторов, а также перемещение переключателя радиостанции на рукоятку сектора газа. Пилотирование машины было легким и приятным.</w:t>
      </w:r>
    </w:p>
    <w:p w14:paraId="6932FA9D" w14:textId="77777777" w:rsidR="004A1DB1" w:rsidRPr="00C94B78" w:rsidRDefault="004A1DB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Тем не менее, Як</w:t>
      </w:r>
      <w:r w:rsidRPr="00C94B78">
        <w:rPr>
          <w:rFonts w:ascii="Times New Roman" w:hAnsi="Times New Roman"/>
          <w:color w:val="0070C0"/>
          <w:sz w:val="16"/>
          <w:szCs w:val="16"/>
        </w:rPr>
        <w:noBreakHyphen/>
        <w:t>9У с двигателем ВК</w:t>
      </w:r>
      <w:r w:rsidRPr="00C94B78">
        <w:rPr>
          <w:rFonts w:ascii="Times New Roman" w:hAnsi="Times New Roman"/>
          <w:color w:val="0070C0"/>
          <w:sz w:val="16"/>
          <w:szCs w:val="16"/>
        </w:rPr>
        <w:noBreakHyphen/>
        <w:t>105ПФ2 не удовлетворил одному очень важному требованию. ВВС желали, чтобы дальность Як</w:t>
      </w:r>
      <w:r w:rsidRPr="00C94B78">
        <w:rPr>
          <w:rFonts w:ascii="Times New Roman" w:hAnsi="Times New Roman"/>
          <w:color w:val="0070C0"/>
          <w:sz w:val="16"/>
          <w:szCs w:val="16"/>
        </w:rPr>
        <w:noBreakHyphen/>
        <w:t>9У составляла 1400 км, в то время как он, в наиболее экономичном режиме, покрывал только 850 км. В результате военные отклонили самолет, приветствуя, однако все проведенные на нем изменения. Интересно, что как оказалось впоследствии, ни одна из будущих версий Як</w:t>
      </w:r>
      <w:r w:rsidRPr="00C94B78">
        <w:rPr>
          <w:rFonts w:ascii="Times New Roman" w:hAnsi="Times New Roman"/>
          <w:color w:val="0070C0"/>
          <w:sz w:val="16"/>
          <w:szCs w:val="16"/>
        </w:rPr>
        <w:noBreakHyphen/>
        <w:t>9 по дальности даже и близко не подошла к рубежу 1400 км (25077).</w:t>
      </w:r>
    </w:p>
    <w:p w14:paraId="63C54588" w14:textId="77777777" w:rsidR="004A1DB1" w:rsidRPr="00C94B78" w:rsidRDefault="004A1DB1" w:rsidP="00B56F90">
      <w:pPr>
        <w:spacing w:after="0" w:line="240" w:lineRule="auto"/>
        <w:jc w:val="both"/>
        <w:rPr>
          <w:rFonts w:ascii="Times New Roman" w:hAnsi="Times New Roman"/>
          <w:color w:val="0070C0"/>
          <w:sz w:val="16"/>
          <w:szCs w:val="16"/>
        </w:rPr>
      </w:pPr>
    </w:p>
    <w:p w14:paraId="0435EF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января 1944 г. в НИИ ВВС закончились госиспытания И-220 №01 после ремонта, которые проходили с 22 октября 1943 г. Ответственными за их проведение назначили ведущего инженера А.С.Розанова и летчика-испытателя П.М.Стефановского. Максимальная скорость самолета с мотором АМ-38Ф на номинальном режиме составила 572 км/ч у земли и 622 км/ч на высоте 2600 м, а на боевом режиме 608 км/ч и 652 км/ч соответственно. По отзывам ведущего летчика и летчиков облета, самолет И-220 был прост в пилотировании, обладал высокими летными характеристиками и мощным вооружением. В акте по испытаниям было отмечено, что даже с двигателем АМ-38Ф летные данные И-220 до высоты 3500 м выше летных данных всех опытных самолетов, прошедших госиспытания в НИИ ВВС. Установка мотора АМ-39 еще больше расширяла возможности самолета. В связи с этим военные просили ускорить доводку этих моторов и предъявить И-220 с АМ-39 на государственные испытания. К основным недостаткам самолета в НИИ ВВС отнесли выявленные на испытаниях незначительный бафтинг хвостового оперения и явление сваливания на крыло при полетах на больших углах атаки (5669).</w:t>
      </w:r>
    </w:p>
    <w:p w14:paraId="244426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7EE7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января 1944 г. в НИИ ВВС закончились госиспытания И—220 зав. № 01 после ремонта, которые проходили с 22 октября 1943 г. Ведущим инженером стал А.С.Розановым, а летчиком-испытателем П.М.Стефановским. Последнему удалось получить следующие максимальные скорости самолета с мото</w:t>
      </w:r>
      <w:r w:rsidRPr="00070ADE">
        <w:rPr>
          <w:rFonts w:ascii="Times New Roman" w:hAnsi="Times New Roman"/>
          <w:color w:val="000000" w:themeColor="text1"/>
          <w:sz w:val="16"/>
          <w:szCs w:val="16"/>
        </w:rPr>
        <w:softHyphen/>
        <w:t>ром АМ—38Ф на номинальном режиме: 572 км/ч у земли, 622 км/ч на высоте 2600 м, а на боевом режи</w:t>
      </w:r>
      <w:r w:rsidRPr="00070ADE">
        <w:rPr>
          <w:rFonts w:ascii="Times New Roman" w:hAnsi="Times New Roman"/>
          <w:color w:val="000000" w:themeColor="text1"/>
          <w:sz w:val="16"/>
          <w:szCs w:val="16"/>
        </w:rPr>
        <w:softHyphen/>
        <w:t>ме — 608 км/ч и 652 км/ч, соответственно. По отзывам пилотов, самолет И—220 был прост в пилотировании, обладал высокими летными харак</w:t>
      </w:r>
      <w:r w:rsidRPr="00070ADE">
        <w:rPr>
          <w:rFonts w:ascii="Times New Roman" w:hAnsi="Times New Roman"/>
          <w:color w:val="000000" w:themeColor="text1"/>
          <w:sz w:val="16"/>
          <w:szCs w:val="16"/>
        </w:rPr>
        <w:softHyphen/>
        <w:t>теристиками и мощным вооружением. В акте по ис</w:t>
      </w:r>
      <w:r w:rsidRPr="00070ADE">
        <w:rPr>
          <w:rFonts w:ascii="Times New Roman" w:hAnsi="Times New Roman"/>
          <w:color w:val="000000" w:themeColor="text1"/>
          <w:sz w:val="16"/>
          <w:szCs w:val="16"/>
        </w:rPr>
        <w:softHyphen/>
        <w:t>пытаниям отмечалось, что даже с двигателем АМ—38Ф летные данные И—220 до высоты 3500 м выше, чем у всех опытных самолетов, прошедших к тому времени госиспытания в НИИ ВВС. Установка мотора АМ—39 должна была способствовать еще большему расширению возможностей самолета. Специалисты НИИ ВВС рекомендовали ускорить доводку мотора и предъявить И—220 с АМ—39 на го</w:t>
      </w:r>
      <w:r w:rsidRPr="00070ADE">
        <w:rPr>
          <w:rFonts w:ascii="Times New Roman" w:hAnsi="Times New Roman"/>
          <w:color w:val="000000" w:themeColor="text1"/>
          <w:sz w:val="16"/>
          <w:szCs w:val="16"/>
        </w:rPr>
        <w:softHyphen/>
        <w:t>сударственные испытания. К основным недостаткам самолета в НИИ ВВС отнесли выявленные на испытаниях небольшой баф-тинг хвостового оперения и тенденцию к сваливанию на крыло при полетах на больших углах атаки. Было установлено, что бафтинг возникал при пара</w:t>
      </w:r>
      <w:r w:rsidRPr="00070ADE">
        <w:rPr>
          <w:rFonts w:ascii="Times New Roman" w:hAnsi="Times New Roman"/>
          <w:color w:val="000000" w:themeColor="text1"/>
          <w:sz w:val="16"/>
          <w:szCs w:val="16"/>
        </w:rPr>
        <w:softHyphen/>
        <w:t>шютировании самолета с приборной скоростью 175—180 км/ч. Кроме того, бафтинг появлялся и в го</w:t>
      </w:r>
      <w:r w:rsidRPr="00070ADE">
        <w:rPr>
          <w:rFonts w:ascii="Times New Roman" w:hAnsi="Times New Roman"/>
          <w:color w:val="000000" w:themeColor="text1"/>
          <w:sz w:val="16"/>
          <w:szCs w:val="16"/>
        </w:rPr>
        <w:softHyphen/>
        <w:t>ризонтальном полете с приборной скоростью 250—260 км/ч и ниже при полностью открытых за</w:t>
      </w:r>
      <w:r w:rsidRPr="00070ADE">
        <w:rPr>
          <w:rFonts w:ascii="Times New Roman" w:hAnsi="Times New Roman"/>
          <w:color w:val="000000" w:themeColor="text1"/>
          <w:sz w:val="16"/>
          <w:szCs w:val="16"/>
        </w:rPr>
        <w:softHyphen/>
        <w:t>слонках водорадиатора. После переделки зализов центроплана бафтинг был устранен (9984).</w:t>
      </w:r>
    </w:p>
    <w:p w14:paraId="508300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BE152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января 1944 закончились гос. испытания И-220 МиГ с АМ-38Ф, которые начались с 23 октября 1943 (766,10).</w:t>
      </w:r>
    </w:p>
    <w:p w14:paraId="333DB8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января 1944 А.E.Репин утвердил Акт по результатам гос. испытаний И-220 с АМ-38Ф и винтом АВ-5-Л126 (с-т конструкции М и Г производства з-да 155. Вариант И200 с высотным АМ-39. Летал П.М.Стефановский</w:t>
      </w:r>
    </w:p>
    <w:p w14:paraId="61D0909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 исполнитель: Пом нач. 3 отд. НИИ ВВС КА и-к А.С.Розанов</w:t>
      </w:r>
    </w:p>
    <w:p w14:paraId="1947A1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Л-к-исп. 3 отд. П П.М.Стефановский</w:t>
      </w:r>
    </w:p>
    <w:p w14:paraId="6C0527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Цель испытаний: определить ЛТД с-та И-220 с АМ-38Ф, как промежуточного вар-та с-та И-220 с мотором АМ-39, проверить работу вооружения и спецоборудования. Дать оценку конструктивного и производственного выполнения с-та</w:t>
      </w:r>
    </w:p>
    <w:p w14:paraId="1CD1C8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Объект испытаний: опытный с-т И-220 проектировался с высотным мотором АМ-39 как истребитель ведения активного воздушного боя на всех высотах.С-т построен заводом в конце 1942. По приказу НКАП А.И.Ш. на с-т установлен невысотный мотор АМ-38Ф для проведения первого этапа испытаний и получения предварительных рез-тов с последующей заменой мотора АМ-38Ф на мотор АМ-39. С-т представляет собой низкоплан смешанной конструкции с убирающимся в полете шасси и хвостовым колесом. Головная часть - металлическая, хвостовая - деревянная. Центроплан металлический, консоли - деревянные с металлическим лонжероном. Шасси - оригинальной конструкции: обжатие аммортизаторов увеличивается прогрессивно углу стоянки. С-т снабжен щитками Шренк и автоматическими предкрылками по всему размаху. Хвостовое оперение однокилевое со свободнонесущим стабилизатором.Ручное управление - жесткое, ножное - троссовое. Рули высоты, поворота, элероны снабжены аэродинамической и весовой компенсацией и имеют триммеры для балансировки по всем осям. Управление посадочными щитками, уборкой и выпуском шасси и тормозами - пневматическое.На с-те предусмотрен сброс подвижной части фонаря кабины л.</w:t>
      </w:r>
    </w:p>
    <w:p w14:paraId="371851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ВМГ. На с-те установлен серийный мотор АМ-38Ф с винтом АВ-5Л-126 диаметром 3.2 м.</w:t>
      </w:r>
    </w:p>
    <w:p w14:paraId="3AF0E4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Взлетная мощность мотора (разрешено применять 3:20 за 100 часов ресурса) составляет 1700 л/с при 2350 оборотах и Рк 1360 мм. Номинальная мощность у земли 1500 л/с при 2050 и Рк 1200 мм. В целях проверки лтд на режимах мотора АМ-39 на низких высотах мотору АМ-38Ф, при снятии летных характеристик, давались обороты 2150 при Рк 1180-1200 в соответствии с письмом-разрешением Зам. ГК з-да № 300 от 15 октября 1943.</w:t>
      </w:r>
    </w:p>
    <w:p w14:paraId="466F79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Полная заправка горючего 464 л (346 кг) в одном баке мягкой конструкции типа ВИАМ-А3. Бак расположен в фюзеляже позади кабины л. Бак заполняется выхлопными газами от мотора. Кроме того, на с-те предусмотрена установка двух крыльевых баков общей емкостью 173 л (128 кг).</w:t>
      </w:r>
    </w:p>
    <w:p w14:paraId="3D8E6E9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трубчать-пластинчатых водяных радиаторов типа ОП-429 (фронт 18,2 дм2, поверхность 32,8) расположены в носке цп в правой и левой его частях. Управление заслонками - электрическое (от УР-2) или автоматическое от автомата МТ-41.</w:t>
      </w:r>
    </w:p>
    <w:p w14:paraId="1C34B5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Сотовый м/р типа 553 (фронт 10,4, пов. 10,8) расположен в правом переднем зализе цп. Заслонка управляется вручную агрегатом УР-2.</w:t>
      </w:r>
    </w:p>
    <w:p w14:paraId="2D3030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Пушечное вооружение: На с-те в нормальном варианте вооружения установлено 2 синхронных пушки ШВАК 20мм, располагаемые под мотором с запасом патронов 150 на каждую. Перегрукзочный вариант предусматривает установку еще 2-х синхронных ШВАК над мотором с таким же б/з. Управление огнем - электропневматическое с пом. ПЭС-1 от э/кнопок на ручке управления. Стрельбу возможно вести только залпом (верхними или нижними пушками). Перезарядка пушек - пневматическая. На земле имеется механическая перезарядка. Гильзы и звенья выбрасываются наружу.</w:t>
      </w:r>
    </w:p>
    <w:p w14:paraId="2CCFD7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Бомбовое вооружение - с-т оборудован 2-мя балками для подвески по одной 100 кг бомбе. Управление троссовое или механическое АСИ-140 от кнопки на ручке. Прицел ПБП-1А (для стрельбы и бомбометания с пикирования).</w:t>
      </w:r>
    </w:p>
    <w:p w14:paraId="3C8425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Чпецоборудование с-т тмеет обычное для истребителя пилотажно-навигационное оборудование и оборудования контроля ВМГ. Особенностью является наличие автоматического электрорегулирования температуры воды (АРТ-41).</w:t>
      </w:r>
    </w:p>
    <w:p w14:paraId="349AC3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Электрооборудование выполнено по однопроводной схеме с частичной электроизоляцией (зажигание мотора и проводка от генератора к щитку).</w:t>
      </w:r>
    </w:p>
    <w:p w14:paraId="305431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Источник тока - генератор ГС-350 и аккумуляторная батарея А2А-10. Система защиты централизована (на электрощитке в кабине пилота) и осуществляется плавкими вставками.</w:t>
      </w:r>
    </w:p>
    <w:p w14:paraId="28EDA86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ночных полетов установлены фары ФС-150 и ВНО. Освещение приборов в кабине двумя кабинными лампами и двумя лампами УФО</w:t>
      </w:r>
    </w:p>
    <w:p w14:paraId="4062B3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Имеется электрообогрев трубки Пито и часов.</w:t>
      </w:r>
    </w:p>
    <w:p w14:paraId="2598189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Средства радиосвязи состоят из приемо-передатчика РСИ-4, установленной в хвостовой части фюзеляжа. Управление р/п дистанционное при помощи гибкого валика конструкции НИСО НКАП. Включение р/п в полете осуществляется кнопкой на сектиоре газа.</w:t>
      </w:r>
    </w:p>
    <w:p w14:paraId="56F401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Антенна наружная однолучевая. (без мачты), протянутая от киля к штырю, расположенному за кабиной.</w:t>
      </w:r>
    </w:p>
    <w:p w14:paraId="69FA5C8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Кислородное оборудование состоит из прибора КПА-3бис и 4-х литрового баллона, а также штуцера бортовой заправки.</w:t>
      </w:r>
    </w:p>
    <w:p w14:paraId="44BC7D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Вспомогательное оборудование - сигнальный пистолет КП-3 на 6 шпангоуте и малая аптечка</w:t>
      </w:r>
    </w:p>
    <w:p w14:paraId="0E3355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Бронирование: бронеспинка 8 мм и бронезаголовник 13 мм</w:t>
      </w:r>
    </w:p>
    <w:p w14:paraId="6253A2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Сккорострельность пушки ШВАК 757 выст/м Продолжительность непрерывной стрельбы 11,4 с. Вес секундного залпа 2-х пушек - 2,518 кг. Вес снаряда - 96 г.</w:t>
      </w:r>
    </w:p>
    <w:p w14:paraId="3D9977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начаты 23 октября 1943 и закончены 2 января 1944. Выполнен 31 полет с налетом 31:11</w:t>
      </w:r>
    </w:p>
    <w:p w14:paraId="4391F7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испытаний:</w:t>
      </w:r>
    </w:p>
    <w:p w14:paraId="51C087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2936, центровка при выпущенных шасси 14,6, капотажный угол 23:35</w:t>
      </w:r>
    </w:p>
    <w:p w14:paraId="620A77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 полетный - 3574 - 23,6 - 29:25</w:t>
      </w:r>
    </w:p>
    <w:p w14:paraId="46A9CC1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Перегрузочный - 3720 - 23,2 28:3</w:t>
      </w:r>
    </w:p>
    <w:p w14:paraId="7B07B4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Нормальная нагрузка:</w:t>
      </w:r>
    </w:p>
    <w:p w14:paraId="71B1B3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- 90</w:t>
      </w:r>
    </w:p>
    <w:p w14:paraId="49416C5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Горючее (уд. Вес 0,745) 346</w:t>
      </w:r>
    </w:p>
    <w:p w14:paraId="6DE6B3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Масло - 40</w:t>
      </w:r>
    </w:p>
    <w:p w14:paraId="469269C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- 78</w:t>
      </w:r>
    </w:p>
    <w:p w14:paraId="79F03A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б/з - 68</w:t>
      </w:r>
    </w:p>
    <w:p w14:paraId="1007DA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Оборудование - 16 (рация, кислородный баллон)</w:t>
      </w:r>
    </w:p>
    <w:p w14:paraId="185E46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638</w:t>
      </w:r>
    </w:p>
    <w:p w14:paraId="73BA89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Доп. Нагрузка - 2хШВАК - 78, б/з - 68, всего 146 кг</w:t>
      </w:r>
    </w:p>
    <w:p w14:paraId="5647404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у земли 572 (при 2150 Рк 1180 или 608 при форсаже (2350 Рк 1350</w:t>
      </w:r>
    </w:p>
    <w:p w14:paraId="067A5DD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Максю. Скорость на гр. высотности 2600 - 622 и 652</w:t>
      </w:r>
    </w:p>
    <w:p w14:paraId="1F6E6D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Скороподъемность не определялась ввиду того, что для уборки шасси требовалось уменьшить скорость набора высоты до 220 км/час по приборами создавать </w:t>
      </w:r>
      <w:r w:rsidRPr="00070ADE">
        <w:rPr>
          <w:rFonts w:ascii="Times New Roman" w:hAnsi="Times New Roman"/>
          <w:color w:val="000000" w:themeColor="text1"/>
          <w:sz w:val="16"/>
          <w:szCs w:val="16"/>
        </w:rPr>
        <w:lastRenderedPageBreak/>
        <w:t>отрицательную перегрузку - делать клевок.</w:t>
      </w:r>
    </w:p>
    <w:p w14:paraId="6A5965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Разбег - 295, скорость отрыва 160, взлетная дистанция 920</w:t>
      </w:r>
    </w:p>
    <w:p w14:paraId="029051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Пробег 445, скорость посадочная 130, дистанция 960 по бетону</w:t>
      </w:r>
    </w:p>
    <w:p w14:paraId="758AF8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Маневр 1000 м вращение одинарное - левый на 350-340 - 19</w:t>
      </w:r>
    </w:p>
    <w:p w14:paraId="6F7A41F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правый на 350-340 - 20</w:t>
      </w:r>
    </w:p>
    <w:p w14:paraId="40410E6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Набор высоты за боевой разворот - 1000 м с 500</w:t>
      </w:r>
    </w:p>
    <w:p w14:paraId="1AD13F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двухсторонней радиосвязи с р/с 11-К на 1000 м - до 25 км, на 2000 - до 20 км</w:t>
      </w:r>
    </w:p>
    <w:p w14:paraId="687F294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Летчики облета - Стефановский, Кочетков, Хоияков, Кубышкин - дали положительную оценку. Хорошие лтд, мощное ворружение, прост в пилотировании.</w:t>
      </w:r>
    </w:p>
    <w:p w14:paraId="715EB58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форсеже имеет преимущества перед Ме-109 -G2 до 5000 м. С-т желательно иметь на вооружении ВВС КА</w:t>
      </w:r>
    </w:p>
    <w:p w14:paraId="59679D4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Эксплуатационная оценка - ст т-исп. 3 отд. НИИ ВВС КА безбаш от 5 января - в целом эксплуатация не сложнее эксплуатации истребителей, состоящих на вооружении ВВС</w:t>
      </w:r>
    </w:p>
    <w:p w14:paraId="770918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3303046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дефекты:</w:t>
      </w:r>
    </w:p>
    <w:p w14:paraId="15CBA4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наличие несильного бафтинга хвостового оперения при парашютировании</w:t>
      </w:r>
    </w:p>
    <w:p w14:paraId="407B42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потеря эффективности РВ на посадке, усложняет исправление грубой посадки </w:t>
      </w:r>
    </w:p>
    <w:p w14:paraId="53C039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неудовлетворительный обзор задней и средней п/с и искажения козырька прри обзоре вперед</w:t>
      </w:r>
    </w:p>
    <w:p w14:paraId="105986B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малый радиус действия</w:t>
      </w:r>
    </w:p>
    <w:p w14:paraId="55929A0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большая нагрузка на колеса для размера 650х200</w:t>
      </w:r>
    </w:p>
    <w:p w14:paraId="742D21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недорустимо большая девиация магнитного компаса, что усложняет ориентирование.</w:t>
      </w:r>
    </w:p>
    <w:p w14:paraId="0266E16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Подписали 5 января Кочетков и Хомяков.</w:t>
      </w:r>
    </w:p>
    <w:p w14:paraId="3FE211C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w:t>
      </w:r>
    </w:p>
    <w:p w14:paraId="5ED18FB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установке на с-т мотора АМ-39 и АМ-39ТК с-т И-220 может быть успешно использован в качестве высотного истребителя, т.к. по данным заводских испытаний имеет преимущества в максимальной скорости по сравнению с Ла-5ФН и ЯК-3ПФ с высот 5000-6000 м и по сравнению с Як-3 107А с высот 7000-75000 м</w:t>
      </w:r>
    </w:p>
    <w:p w14:paraId="2883FA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Такой с-т как специальный тип крайне необходим ВВС</w:t>
      </w:r>
    </w:p>
    <w:p w14:paraId="6A3BA2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Просить НКАП т. А.И.Ш. дать указания об ускорении доводки АМ-39 по предъявлению с-та И-220 с этим мотором на ГИ. От 1 января 1944 (766,5).</w:t>
      </w:r>
    </w:p>
    <w:p w14:paraId="0CD283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18A5F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января 1944 Дир. и ГК завода 155 А.И.М. писал НКАП А.И.Ш. записку:</w:t>
      </w:r>
    </w:p>
    <w:p w14:paraId="63A322C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"Доношу, что Правительственное задание N 2946сс от 26 февраля 1943 о постройке 6 самолетов МиГ-3 (улучшенный), вверенным мне заводом выполнено и самолеты переданы в войсковую часть в июне, где они находятся в эксплуатации." (2562,37).</w:t>
      </w:r>
    </w:p>
    <w:p w14:paraId="047951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2F2738"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5006B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349D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января 1944 г. была подготовлена ДОКЛАДНАЯ ЗАПИСКА КОМАНДУЮЩЕГО БТ и МВ КА НАРОДНОМУ КОМИССАРУ ОБОРОНЫ МАРШАЛУ СОВЕТСКОГО СОЮЗА И.В. СТАЛИНУ О ВЫПУСКЕ ТАНКОВ И БРОНЕАВТОМОБИЛЕЙ № 520007</w:t>
      </w:r>
    </w:p>
    <w:p w14:paraId="59804FF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 о сдаче танков и бронеавтомобилей заводами Наркомата танковой промышленно</w:t>
      </w:r>
      <w:r w:rsidRPr="00070ADE">
        <w:rPr>
          <w:rFonts w:ascii="Times New Roman" w:hAnsi="Times New Roman"/>
          <w:color w:val="000000" w:themeColor="text1"/>
          <w:sz w:val="16"/>
          <w:szCs w:val="16"/>
        </w:rPr>
        <w:softHyphen/>
        <w:t>сти и Наркомата среднего машиностроения за декабрь месяц 1943 года:</w:t>
      </w:r>
    </w:p>
    <w:tbl>
      <w:tblPr>
        <w:tblW w:w="0" w:type="auto"/>
        <w:tblInd w:w="40" w:type="dxa"/>
        <w:tblLayout w:type="fixed"/>
        <w:tblCellMar>
          <w:left w:w="40" w:type="dxa"/>
          <w:right w:w="40" w:type="dxa"/>
        </w:tblCellMar>
        <w:tblLook w:val="0000" w:firstRow="0" w:lastRow="0" w:firstColumn="0" w:lastColumn="0" w:noHBand="0" w:noVBand="0"/>
      </w:tblPr>
      <w:tblGrid>
        <w:gridCol w:w="432"/>
        <w:gridCol w:w="2554"/>
        <w:gridCol w:w="1133"/>
        <w:gridCol w:w="1133"/>
        <w:gridCol w:w="1565"/>
        <w:gridCol w:w="1594"/>
      </w:tblGrid>
      <w:tr w:rsidR="00CB5308" w:rsidRPr="00070ADE" w14:paraId="19CC1444" w14:textId="77777777">
        <w:trPr>
          <w:trHeight w:val="442"/>
        </w:trPr>
        <w:tc>
          <w:tcPr>
            <w:tcW w:w="432" w:type="dxa"/>
            <w:tcBorders>
              <w:top w:val="single" w:sz="6" w:space="0" w:color="auto"/>
              <w:left w:val="single" w:sz="6" w:space="0" w:color="auto"/>
              <w:bottom w:val="nil"/>
              <w:right w:val="single" w:sz="6" w:space="0" w:color="auto"/>
            </w:tcBorders>
          </w:tcPr>
          <w:p w14:paraId="2A87F89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п/п</w:t>
            </w:r>
          </w:p>
          <w:p w14:paraId="3D5988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nil"/>
              <w:right w:val="single" w:sz="6" w:space="0" w:color="auto"/>
            </w:tcBorders>
          </w:tcPr>
          <w:p w14:paraId="2EE8FF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изготовитель</w:t>
            </w:r>
          </w:p>
          <w:p w14:paraId="3B94C3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nil"/>
              <w:right w:val="single" w:sz="6" w:space="0" w:color="auto"/>
            </w:tcBorders>
          </w:tcPr>
          <w:p w14:paraId="5512F3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танка</w:t>
            </w:r>
          </w:p>
          <w:p w14:paraId="5316FDE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nil"/>
              <w:right w:val="single" w:sz="6" w:space="0" w:color="auto"/>
            </w:tcBorders>
          </w:tcPr>
          <w:p w14:paraId="34178D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 на декабрь месяц</w:t>
            </w:r>
          </w:p>
          <w:p w14:paraId="0693375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59" w:type="dxa"/>
            <w:gridSpan w:val="2"/>
            <w:tcBorders>
              <w:top w:val="single" w:sz="6" w:space="0" w:color="auto"/>
              <w:left w:val="single" w:sz="6" w:space="0" w:color="auto"/>
              <w:bottom w:val="single" w:sz="6" w:space="0" w:color="auto"/>
              <w:right w:val="single" w:sz="6" w:space="0" w:color="auto"/>
            </w:tcBorders>
          </w:tcPr>
          <w:p w14:paraId="58BE723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Принято танков военпредами ГБТУ КА за декабрь 1943 г.</w:t>
            </w:r>
          </w:p>
          <w:p w14:paraId="1D31C7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016D2AC" w14:textId="77777777">
        <w:trPr>
          <w:trHeight w:val="422"/>
        </w:trPr>
        <w:tc>
          <w:tcPr>
            <w:tcW w:w="432" w:type="dxa"/>
            <w:tcBorders>
              <w:top w:val="nil"/>
              <w:left w:val="single" w:sz="6" w:space="0" w:color="auto"/>
              <w:bottom w:val="single" w:sz="6" w:space="0" w:color="auto"/>
              <w:right w:val="single" w:sz="6" w:space="0" w:color="auto"/>
            </w:tcBorders>
          </w:tcPr>
          <w:p w14:paraId="45323F0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3A8F6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nil"/>
              <w:left w:val="single" w:sz="6" w:space="0" w:color="auto"/>
              <w:bottom w:val="single" w:sz="6" w:space="0" w:color="auto"/>
              <w:right w:val="single" w:sz="6" w:space="0" w:color="auto"/>
            </w:tcBorders>
          </w:tcPr>
          <w:p w14:paraId="741637A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361825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nil"/>
              <w:left w:val="single" w:sz="6" w:space="0" w:color="auto"/>
              <w:bottom w:val="single" w:sz="6" w:space="0" w:color="auto"/>
              <w:right w:val="single" w:sz="6" w:space="0" w:color="auto"/>
            </w:tcBorders>
          </w:tcPr>
          <w:p w14:paraId="1ED235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16985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nil"/>
              <w:left w:val="single" w:sz="6" w:space="0" w:color="auto"/>
              <w:bottom w:val="single" w:sz="6" w:space="0" w:color="auto"/>
              <w:right w:val="single" w:sz="6" w:space="0" w:color="auto"/>
            </w:tcBorders>
          </w:tcPr>
          <w:p w14:paraId="4843AD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76D00E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BC9848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p w14:paraId="5CEDEF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2F00840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 месячному плану</w:t>
            </w:r>
          </w:p>
          <w:p w14:paraId="41D4E9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F82C886"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269CC5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3EC43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6DFAD1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Танки</w:t>
            </w:r>
          </w:p>
          <w:p w14:paraId="4A43A2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FB40B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37702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ED7613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B93F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8D5D20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E7C8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4FFA8B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B8543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7DFD602" w14:textId="77777777">
        <w:trPr>
          <w:trHeight w:val="269"/>
        </w:trPr>
        <w:tc>
          <w:tcPr>
            <w:tcW w:w="432" w:type="dxa"/>
            <w:tcBorders>
              <w:top w:val="single" w:sz="6" w:space="0" w:color="auto"/>
              <w:left w:val="single" w:sz="6" w:space="0" w:color="auto"/>
              <w:bottom w:val="single" w:sz="6" w:space="0" w:color="auto"/>
              <w:right w:val="single" w:sz="6" w:space="0" w:color="auto"/>
            </w:tcBorders>
          </w:tcPr>
          <w:p w14:paraId="275385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4A3B7B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66EDDAE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 завод</w:t>
            </w:r>
          </w:p>
          <w:p w14:paraId="4DF3969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4E46A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w:t>
            </w:r>
          </w:p>
          <w:p w14:paraId="19CD2C3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F24E87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p w14:paraId="75F7959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3633ADA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p w14:paraId="7798F49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41EC55C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22A3256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3D2F892"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1121FDE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6015F4A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4556DEC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 завод</w:t>
            </w:r>
          </w:p>
          <w:p w14:paraId="30ACDEF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2F29A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ИС-2</w:t>
            </w:r>
          </w:p>
          <w:p w14:paraId="6029619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E92DE9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p w14:paraId="5372FC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7D46434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p w14:paraId="0B9000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2E63316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2E6A6C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DDC092C"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0F96DE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DC9FA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0FE485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 танков</w:t>
            </w:r>
          </w:p>
          <w:p w14:paraId="4CEE110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40FB6D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w:t>
            </w:r>
          </w:p>
          <w:p w14:paraId="49E667F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73047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0241421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1C91930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17C1194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65F3A51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4F1042B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5BC9982"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3D58BAA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0FFD27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7DE9F7F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 завод</w:t>
            </w:r>
          </w:p>
          <w:p w14:paraId="13DAA0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53B5D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118C5E7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110049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355</w:t>
            </w:r>
          </w:p>
          <w:p w14:paraId="6E8E0CF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A9566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360</w:t>
            </w:r>
          </w:p>
          <w:p w14:paraId="307DE0E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682AEB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101,4</w:t>
            </w:r>
          </w:p>
          <w:p w14:paraId="51A1C2D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CFAFD81" w14:textId="77777777">
        <w:trPr>
          <w:trHeight w:val="269"/>
        </w:trPr>
        <w:tc>
          <w:tcPr>
            <w:tcW w:w="432" w:type="dxa"/>
            <w:tcBorders>
              <w:top w:val="single" w:sz="6" w:space="0" w:color="auto"/>
              <w:left w:val="single" w:sz="6" w:space="0" w:color="auto"/>
              <w:bottom w:val="single" w:sz="6" w:space="0" w:color="auto"/>
              <w:right w:val="single" w:sz="6" w:space="0" w:color="auto"/>
            </w:tcBorders>
          </w:tcPr>
          <w:p w14:paraId="6F59DD2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6586F61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059BBC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№183</w:t>
            </w:r>
          </w:p>
          <w:p w14:paraId="428EF2C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1055DE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45EFCF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BEE481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1F50024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B75386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677</w:t>
            </w:r>
          </w:p>
          <w:p w14:paraId="3B01F8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55A05C5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100,3</w:t>
            </w:r>
          </w:p>
          <w:p w14:paraId="040488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28A122C"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03DC16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2D5268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4D7B9B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№112</w:t>
            </w:r>
          </w:p>
          <w:p w14:paraId="19FCAE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DBDF0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4AAD625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8A2160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275</w:t>
            </w:r>
          </w:p>
          <w:p w14:paraId="7D34828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6281646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276</w:t>
            </w:r>
          </w:p>
          <w:p w14:paraId="18F626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363C51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100,4</w:t>
            </w:r>
          </w:p>
          <w:p w14:paraId="43042EF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51984C7"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55E7D90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p w14:paraId="3A7EDB5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2FB11F4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№174</w:t>
            </w:r>
          </w:p>
          <w:p w14:paraId="3909A0A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1646F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451FC6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F18C8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155</w:t>
            </w:r>
          </w:p>
          <w:p w14:paraId="24C4866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264A9E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155</w:t>
            </w:r>
          </w:p>
          <w:p w14:paraId="0AD7F61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1A098A8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7B144EA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18835D3"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4F079DB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3B0E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5E9B25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 танков</w:t>
            </w:r>
          </w:p>
          <w:p w14:paraId="00E9E5D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823AC8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7B9E39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00BA25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1460</w:t>
            </w:r>
          </w:p>
          <w:p w14:paraId="595F443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36C8A15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1468</w:t>
            </w:r>
          </w:p>
          <w:p w14:paraId="49E23F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07BB3F3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100,5</w:t>
            </w:r>
          </w:p>
          <w:p w14:paraId="3574EB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34F0690"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4185CBA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E189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1B5750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танков</w:t>
            </w:r>
          </w:p>
          <w:p w14:paraId="7FB21C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EEE07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B076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8AF0A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1535</w:t>
            </w:r>
          </w:p>
          <w:p w14:paraId="4E4107E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FD8B1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1543</w:t>
            </w:r>
          </w:p>
          <w:p w14:paraId="272B29D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3DF0374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100,5</w:t>
            </w:r>
          </w:p>
          <w:p w14:paraId="43857E6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6F162D4" w14:textId="77777777">
        <w:trPr>
          <w:trHeight w:val="278"/>
        </w:trPr>
        <w:tc>
          <w:tcPr>
            <w:tcW w:w="432" w:type="dxa"/>
            <w:tcBorders>
              <w:top w:val="single" w:sz="6" w:space="0" w:color="auto"/>
              <w:left w:val="single" w:sz="6" w:space="0" w:color="auto"/>
              <w:bottom w:val="single" w:sz="6" w:space="0" w:color="auto"/>
              <w:right w:val="single" w:sz="6" w:space="0" w:color="auto"/>
            </w:tcBorders>
          </w:tcPr>
          <w:p w14:paraId="39BBB7A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81468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077B80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Бронеавтомобили</w:t>
            </w:r>
          </w:p>
          <w:p w14:paraId="27EE8E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5E59C1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A296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C6C96F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E81B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1F71307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5E0A0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36B431A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E165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FB367BA" w14:textId="77777777">
        <w:trPr>
          <w:trHeight w:val="288"/>
        </w:trPr>
        <w:tc>
          <w:tcPr>
            <w:tcW w:w="432" w:type="dxa"/>
            <w:tcBorders>
              <w:top w:val="single" w:sz="6" w:space="0" w:color="auto"/>
              <w:left w:val="single" w:sz="6" w:space="0" w:color="auto"/>
              <w:bottom w:val="single" w:sz="6" w:space="0" w:color="auto"/>
              <w:right w:val="single" w:sz="6" w:space="0" w:color="auto"/>
            </w:tcBorders>
          </w:tcPr>
          <w:p w14:paraId="45692F9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6F528B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6" w:space="0" w:color="auto"/>
              <w:left w:val="single" w:sz="6" w:space="0" w:color="auto"/>
              <w:bottom w:val="single" w:sz="6" w:space="0" w:color="auto"/>
              <w:right w:val="single" w:sz="6" w:space="0" w:color="auto"/>
            </w:tcBorders>
          </w:tcPr>
          <w:p w14:paraId="4CB5956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ГАЗ им. Молотова</w:t>
            </w:r>
          </w:p>
          <w:p w14:paraId="6D3096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C1664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БА-64</w:t>
            </w:r>
          </w:p>
          <w:p w14:paraId="021E6D3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451C2C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p w14:paraId="2FA961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1000C30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p w14:paraId="08469D5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180DE1A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67958F9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09F47C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БТ и МВ КА генерал-полковник танковых войск Федоренко</w:t>
      </w:r>
    </w:p>
    <w:p w14:paraId="099164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 военного совета генерал-лейтенант танковых войск Бирюков</w:t>
      </w:r>
    </w:p>
    <w:p w14:paraId="29D6C49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2503. Л. 1. Копия (11403).</w:t>
      </w:r>
    </w:p>
    <w:p w14:paraId="2F40434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F60AD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января 1944 г. была подготовлена ДОКЛАДНАЯ ЗАПИСКА КОМАНДУЮЩЕГО БТ и МВ КА НАРОДНОМУ КОМИССАРУ ОБОРОНЫ СССР МАРШАЛУ СОВЕТСКОГО СОЮЗА И. В. СТАЛИНУ О ВЫПУСКЕ САМОХОДНЫХ АРТИЛЛЕРИЙСКИХ УСТАНОВОК</w:t>
      </w:r>
    </w:p>
    <w:p w14:paraId="4AF7F96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 о сдаче самоходных артиллерийских установок заводами Наркомата танковой про</w:t>
      </w:r>
      <w:r w:rsidRPr="00070ADE">
        <w:rPr>
          <w:rFonts w:ascii="Times New Roman" w:hAnsi="Times New Roman"/>
          <w:color w:val="000000" w:themeColor="text1"/>
          <w:sz w:val="16"/>
          <w:szCs w:val="16"/>
        </w:rPr>
        <w:softHyphen/>
        <w:t>мышленности и Наркомата среднего машиностроения за декабрь месяц 1943 года.</w:t>
      </w:r>
    </w:p>
    <w:tbl>
      <w:tblPr>
        <w:tblW w:w="0" w:type="auto"/>
        <w:tblInd w:w="40" w:type="dxa"/>
        <w:tblLayout w:type="fixed"/>
        <w:tblCellMar>
          <w:left w:w="40" w:type="dxa"/>
          <w:right w:w="40" w:type="dxa"/>
        </w:tblCellMar>
        <w:tblLook w:val="0000" w:firstRow="0" w:lastRow="0" w:firstColumn="0" w:lastColumn="0" w:noHBand="0" w:noVBand="0"/>
      </w:tblPr>
      <w:tblGrid>
        <w:gridCol w:w="480"/>
        <w:gridCol w:w="2285"/>
        <w:gridCol w:w="960"/>
        <w:gridCol w:w="1325"/>
        <w:gridCol w:w="1622"/>
        <w:gridCol w:w="1632"/>
        <w:gridCol w:w="1286"/>
      </w:tblGrid>
      <w:tr w:rsidR="00CB5308" w:rsidRPr="00070ADE" w14:paraId="76ED2FCC" w14:textId="77777777">
        <w:trPr>
          <w:trHeight w:val="384"/>
        </w:trPr>
        <w:tc>
          <w:tcPr>
            <w:tcW w:w="480" w:type="dxa"/>
            <w:tcBorders>
              <w:top w:val="single" w:sz="6" w:space="0" w:color="auto"/>
              <w:left w:val="single" w:sz="6" w:space="0" w:color="auto"/>
              <w:bottom w:val="nil"/>
              <w:right w:val="single" w:sz="6" w:space="0" w:color="auto"/>
            </w:tcBorders>
          </w:tcPr>
          <w:p w14:paraId="2628725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п/п</w:t>
            </w:r>
          </w:p>
          <w:p w14:paraId="78B624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nil"/>
              <w:right w:val="single" w:sz="6" w:space="0" w:color="auto"/>
            </w:tcBorders>
          </w:tcPr>
          <w:p w14:paraId="7EB19FF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изготовитель</w:t>
            </w:r>
          </w:p>
          <w:p w14:paraId="7F525A2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nil"/>
              <w:right w:val="single" w:sz="6" w:space="0" w:color="auto"/>
            </w:tcBorders>
          </w:tcPr>
          <w:p w14:paraId="1558CC5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СУ</w:t>
            </w:r>
          </w:p>
          <w:p w14:paraId="0AA4783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nil"/>
              <w:right w:val="single" w:sz="6" w:space="0" w:color="auto"/>
            </w:tcBorders>
          </w:tcPr>
          <w:p w14:paraId="62A5399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 на декабрь месяц</w:t>
            </w:r>
          </w:p>
          <w:p w14:paraId="77A00F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gridSpan w:val="2"/>
            <w:tcBorders>
              <w:top w:val="single" w:sz="6" w:space="0" w:color="auto"/>
              <w:left w:val="single" w:sz="6" w:space="0" w:color="auto"/>
              <w:bottom w:val="single" w:sz="6" w:space="0" w:color="auto"/>
              <w:right w:val="single" w:sz="6" w:space="0" w:color="auto"/>
            </w:tcBorders>
          </w:tcPr>
          <w:p w14:paraId="52714F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Принято СУ военпредами ГБТУ КА за декабрь месяц 1943 г.</w:t>
            </w:r>
          </w:p>
          <w:p w14:paraId="600ADF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nil"/>
              <w:right w:val="single" w:sz="6" w:space="0" w:color="auto"/>
            </w:tcBorders>
          </w:tcPr>
          <w:p w14:paraId="1C3076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w:t>
            </w:r>
          </w:p>
          <w:p w14:paraId="0A4793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74B5F1E" w14:textId="77777777">
        <w:trPr>
          <w:trHeight w:val="221"/>
        </w:trPr>
        <w:tc>
          <w:tcPr>
            <w:tcW w:w="480" w:type="dxa"/>
            <w:tcBorders>
              <w:top w:val="nil"/>
              <w:left w:val="single" w:sz="6" w:space="0" w:color="auto"/>
              <w:bottom w:val="single" w:sz="6" w:space="0" w:color="auto"/>
              <w:right w:val="single" w:sz="6" w:space="0" w:color="auto"/>
            </w:tcBorders>
          </w:tcPr>
          <w:p w14:paraId="044F9D3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D4F4DC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nil"/>
              <w:left w:val="single" w:sz="6" w:space="0" w:color="auto"/>
              <w:bottom w:val="single" w:sz="6" w:space="0" w:color="auto"/>
              <w:right w:val="single" w:sz="6" w:space="0" w:color="auto"/>
            </w:tcBorders>
          </w:tcPr>
          <w:p w14:paraId="66679C5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FE68A4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single" w:sz="6" w:space="0" w:color="auto"/>
              <w:right w:val="single" w:sz="6" w:space="0" w:color="auto"/>
            </w:tcBorders>
          </w:tcPr>
          <w:p w14:paraId="3A54A9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CE8315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single" w:sz="6" w:space="0" w:color="auto"/>
              <w:right w:val="single" w:sz="6" w:space="0" w:color="auto"/>
            </w:tcBorders>
          </w:tcPr>
          <w:p w14:paraId="52B8FFB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E35E8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5187C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p w14:paraId="6765AF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430AA2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 месячному плану</w:t>
            </w:r>
          </w:p>
          <w:p w14:paraId="0A017E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single" w:sz="6" w:space="0" w:color="auto"/>
              <w:right w:val="single" w:sz="6" w:space="0" w:color="auto"/>
            </w:tcBorders>
          </w:tcPr>
          <w:p w14:paraId="765537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2C5F2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DF3D1FF"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18CD6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03161C0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023CE6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 завод НКТП</w:t>
            </w:r>
          </w:p>
          <w:p w14:paraId="756730B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2C4784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ИС-152</w:t>
            </w:r>
          </w:p>
          <w:p w14:paraId="1646F69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B6FAF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469BE45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59383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6734DB3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71C9C0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63F3051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nil"/>
              <w:right w:val="single" w:sz="6" w:space="0" w:color="auto"/>
            </w:tcBorders>
          </w:tcPr>
          <w:p w14:paraId="7D184B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Кировским заводом сдано 4 СУ-1 52</w:t>
            </w:r>
          </w:p>
          <w:p w14:paraId="28194EE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E8E237B"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DCC0F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588283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2203E6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Уралмашзавод НКТП</w:t>
            </w:r>
          </w:p>
          <w:p w14:paraId="0ABB740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45F645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СУ-85</w:t>
            </w:r>
          </w:p>
          <w:p w14:paraId="6A9A67F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092D48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175</w:t>
            </w:r>
          </w:p>
          <w:p w14:paraId="5BEF430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4EB98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176</w:t>
            </w:r>
          </w:p>
          <w:p w14:paraId="5D546C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0ACE25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100,5</w:t>
            </w:r>
          </w:p>
          <w:p w14:paraId="217A861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74770F3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90DD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52A0B52"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DF4176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3</w:t>
            </w:r>
          </w:p>
          <w:p w14:paraId="5833801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4AC60E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№38 НКТП</w:t>
            </w:r>
          </w:p>
          <w:p w14:paraId="2B1BD9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68333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СУ-76</w:t>
            </w:r>
          </w:p>
          <w:p w14:paraId="52674B3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FBD4D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w:t>
            </w:r>
          </w:p>
          <w:p w14:paraId="7C56F7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F6FE1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136</w:t>
            </w:r>
          </w:p>
          <w:p w14:paraId="721F74E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3BD4F3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100,7</w:t>
            </w:r>
          </w:p>
          <w:p w14:paraId="738E3BD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329B2F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8987C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5BCBD9C"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19012D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5D3DF94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2D90FE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№40 НКСМ</w:t>
            </w:r>
          </w:p>
          <w:p w14:paraId="2E796E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38B2F0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97686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48CD08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2928526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AED72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w:t>
            </w:r>
          </w:p>
          <w:p w14:paraId="524172B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33DA14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w:t>
            </w:r>
          </w:p>
          <w:p w14:paraId="505B97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64E0D23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EE58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2CBAFCF"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04C2D72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41C49F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2F2BA5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ГАЗ им. Молотова НКСМ</w:t>
            </w:r>
          </w:p>
          <w:p w14:paraId="388353B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12EF1C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СУ-76</w:t>
            </w:r>
          </w:p>
          <w:p w14:paraId="20FDA9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E64D68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330</w:t>
            </w:r>
          </w:p>
          <w:p w14:paraId="3D87CFD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E3D45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360</w:t>
            </w:r>
          </w:p>
          <w:p w14:paraId="2F9369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4537968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109,1</w:t>
            </w:r>
          </w:p>
          <w:p w14:paraId="009794F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52397C6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6549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7E69B00" w14:textId="77777777">
        <w:trPr>
          <w:trHeight w:val="250"/>
        </w:trPr>
        <w:tc>
          <w:tcPr>
            <w:tcW w:w="480" w:type="dxa"/>
            <w:tcBorders>
              <w:top w:val="single" w:sz="6" w:space="0" w:color="auto"/>
              <w:left w:val="single" w:sz="6" w:space="0" w:color="auto"/>
              <w:bottom w:val="single" w:sz="6" w:space="0" w:color="auto"/>
              <w:right w:val="single" w:sz="6" w:space="0" w:color="auto"/>
            </w:tcBorders>
          </w:tcPr>
          <w:p w14:paraId="5B2456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0D624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45" w:type="dxa"/>
            <w:gridSpan w:val="2"/>
            <w:tcBorders>
              <w:top w:val="single" w:sz="6" w:space="0" w:color="auto"/>
              <w:left w:val="single" w:sz="6" w:space="0" w:color="auto"/>
              <w:bottom w:val="single" w:sz="6" w:space="0" w:color="auto"/>
              <w:right w:val="single" w:sz="6" w:space="0" w:color="auto"/>
            </w:tcBorders>
          </w:tcPr>
          <w:p w14:paraId="48804D9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СУ</w:t>
            </w:r>
          </w:p>
          <w:p w14:paraId="7D2D166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5C186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770</w:t>
            </w:r>
          </w:p>
          <w:p w14:paraId="2C4BD3D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40A61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772</w:t>
            </w:r>
          </w:p>
          <w:p w14:paraId="4D4B648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605BB68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100,2</w:t>
            </w:r>
          </w:p>
          <w:p w14:paraId="39772B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single" w:sz="6" w:space="0" w:color="auto"/>
              <w:right w:val="single" w:sz="6" w:space="0" w:color="auto"/>
            </w:tcBorders>
          </w:tcPr>
          <w:p w14:paraId="2BCF4C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B835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4D500E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Основными причинами невыполнения плана по выпуску СУ заводом №40 НКСМ являются:</w:t>
      </w:r>
    </w:p>
    <w:p w14:paraId="7A9076B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большой процент брака при изготовлении бортовых и главных передач, осей балансиров, осей катков балансиров, торсионов, поддерживающих опорных катков и др. агрегатов и деталей вслед</w:t>
      </w:r>
      <w:r w:rsidRPr="00070ADE">
        <w:rPr>
          <w:rFonts w:ascii="Times New Roman" w:hAnsi="Times New Roman"/>
          <w:color w:val="000000" w:themeColor="text1"/>
          <w:sz w:val="16"/>
          <w:szCs w:val="16"/>
        </w:rPr>
        <w:softHyphen/>
        <w:t>ствие низкой технологической дисциплины заготовительных цехов и особенно термического цеха;</w:t>
      </w:r>
    </w:p>
    <w:p w14:paraId="1326E0F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несвоевременная поставка моторов заводом ГАЗ им. Молотова.</w:t>
      </w:r>
    </w:p>
    <w:p w14:paraId="559103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БТ и МВ КА генерал-полковник танковых войск Федоренко</w:t>
      </w:r>
    </w:p>
    <w:p w14:paraId="3748BF8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 военного совета генерал-лейтенант танковых войск Бирюков</w:t>
      </w:r>
    </w:p>
    <w:p w14:paraId="7CE95AE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11369. Д. 403. Л. 1-2. Копия (11403).</w:t>
      </w:r>
    </w:p>
    <w:p w14:paraId="1F51A2E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C452CA" w14:textId="77777777" w:rsidR="00A955A3" w:rsidRPr="00070ADE" w:rsidRDefault="00A955A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января 1944 начались испытания опытного об</w:t>
      </w:r>
      <w:r w:rsidRPr="00070ADE">
        <w:rPr>
          <w:rFonts w:ascii="Times New Roman" w:hAnsi="Times New Roman"/>
          <w:color w:val="000000" w:themeColor="text1"/>
          <w:sz w:val="16"/>
          <w:szCs w:val="16"/>
        </w:rPr>
        <w:softHyphen/>
        <w:t>разца компактной 76-мм самоходной артиллерий</w:t>
      </w:r>
      <w:r w:rsidRPr="00070ADE">
        <w:rPr>
          <w:rFonts w:ascii="Times New Roman" w:hAnsi="Times New Roman"/>
          <w:color w:val="000000" w:themeColor="text1"/>
          <w:sz w:val="16"/>
          <w:szCs w:val="16"/>
        </w:rPr>
        <w:softHyphen/>
        <w:t>ской установки СУ-76БМ с двумя двигателями мощ</w:t>
      </w:r>
      <w:r w:rsidRPr="00070ADE">
        <w:rPr>
          <w:rFonts w:ascii="Times New Roman" w:hAnsi="Times New Roman"/>
          <w:color w:val="000000" w:themeColor="text1"/>
          <w:sz w:val="16"/>
          <w:szCs w:val="16"/>
        </w:rPr>
        <w:softHyphen/>
        <w:t>ностью 100 л.с. и пушкой С-54.</w:t>
      </w:r>
    </w:p>
    <w:p w14:paraId="34A8D691" w14:textId="77777777" w:rsidR="00A955A3" w:rsidRPr="00070ADE" w:rsidRDefault="00A955A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Полигонные испытания проводились по програм</w:t>
      </w:r>
      <w:r w:rsidRPr="00070ADE">
        <w:rPr>
          <w:rFonts w:ascii="Times New Roman" w:hAnsi="Times New Roman"/>
          <w:color w:val="000000" w:themeColor="text1"/>
          <w:sz w:val="16"/>
          <w:szCs w:val="16"/>
        </w:rPr>
        <w:softHyphen/>
        <w:t>ме Главного бронетанкового управления и Главного артиллерийского управления Красной армии. Ходо</w:t>
      </w:r>
      <w:r w:rsidRPr="00070ADE">
        <w:rPr>
          <w:rFonts w:ascii="Times New Roman" w:hAnsi="Times New Roman"/>
          <w:color w:val="000000" w:themeColor="text1"/>
          <w:sz w:val="16"/>
          <w:szCs w:val="16"/>
        </w:rPr>
        <w:softHyphen/>
        <w:t>вые- на Кубинском НИБТ полигоне ГБТУ КА, стрель</w:t>
      </w:r>
      <w:r w:rsidRPr="00070ADE">
        <w:rPr>
          <w:rFonts w:ascii="Times New Roman" w:hAnsi="Times New Roman"/>
          <w:color w:val="000000" w:themeColor="text1"/>
          <w:sz w:val="16"/>
          <w:szCs w:val="16"/>
        </w:rPr>
        <w:softHyphen/>
        <w:t>ба - на Гороховецком АНИОПе. Испытания проводились до 15 января. Представите</w:t>
      </w:r>
      <w:r w:rsidRPr="00070ADE">
        <w:rPr>
          <w:rFonts w:ascii="Times New Roman" w:hAnsi="Times New Roman"/>
          <w:color w:val="000000" w:themeColor="text1"/>
          <w:sz w:val="16"/>
          <w:szCs w:val="16"/>
        </w:rPr>
        <w:softHyphen/>
        <w:t>лем института на испытаниях был старший инженер Сазонов. Пред</w:t>
      </w:r>
      <w:r w:rsidRPr="00070ADE">
        <w:rPr>
          <w:rFonts w:ascii="Times New Roman" w:hAnsi="Times New Roman"/>
          <w:color w:val="000000" w:themeColor="text1"/>
          <w:sz w:val="16"/>
          <w:szCs w:val="16"/>
        </w:rPr>
        <w:softHyphen/>
        <w:t>седатель комиссии должен был ежедневно представлять началь</w:t>
      </w:r>
      <w:r w:rsidRPr="00070ADE">
        <w:rPr>
          <w:rFonts w:ascii="Times New Roman" w:hAnsi="Times New Roman"/>
          <w:color w:val="000000" w:themeColor="text1"/>
          <w:sz w:val="16"/>
          <w:szCs w:val="16"/>
        </w:rPr>
        <w:softHyphen/>
        <w:t>нику управления самоходной ар</w:t>
      </w:r>
      <w:r w:rsidRPr="00070ADE">
        <w:rPr>
          <w:rFonts w:ascii="Times New Roman" w:hAnsi="Times New Roman"/>
          <w:color w:val="000000" w:themeColor="text1"/>
          <w:sz w:val="16"/>
          <w:szCs w:val="16"/>
        </w:rPr>
        <w:softHyphen/>
        <w:t>тиллерией ГБТУ КА сводку о ходе испытаний.</w:t>
      </w:r>
    </w:p>
    <w:p w14:paraId="4C3C4195" w14:textId="77777777" w:rsidR="00A955A3" w:rsidRPr="00070ADE" w:rsidRDefault="00A955A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Самоходная пушка прошла ис</w:t>
      </w:r>
      <w:r w:rsidRPr="00070ADE">
        <w:rPr>
          <w:rFonts w:ascii="Times New Roman" w:hAnsi="Times New Roman"/>
          <w:color w:val="000000" w:themeColor="text1"/>
          <w:sz w:val="16"/>
          <w:szCs w:val="16"/>
        </w:rPr>
        <w:softHyphen/>
        <w:t>пытания пробегом в 200 км. Затем самоходка была передана для под</w:t>
      </w:r>
      <w:r w:rsidRPr="00070ADE">
        <w:rPr>
          <w:rFonts w:ascii="Times New Roman" w:hAnsi="Times New Roman"/>
          <w:color w:val="000000" w:themeColor="text1"/>
          <w:sz w:val="16"/>
          <w:szCs w:val="16"/>
        </w:rPr>
        <w:softHyphen/>
        <w:t>готовки производства в г. Котлас.</w:t>
      </w:r>
    </w:p>
    <w:p w14:paraId="3EACC0DA" w14:textId="77777777" w:rsidR="00A955A3" w:rsidRPr="00070ADE" w:rsidRDefault="00A955A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заводские испытания опытных образцов выявили корен</w:t>
      </w:r>
      <w:r w:rsidRPr="00070ADE">
        <w:rPr>
          <w:rFonts w:ascii="Times New Roman" w:hAnsi="Times New Roman"/>
          <w:color w:val="000000" w:themeColor="text1"/>
          <w:sz w:val="16"/>
          <w:szCs w:val="16"/>
        </w:rPr>
        <w:softHyphen/>
        <w:t>ной дефект: систематическое раз</w:t>
      </w:r>
      <w:r w:rsidRPr="00070ADE">
        <w:rPr>
          <w:rFonts w:ascii="Times New Roman" w:hAnsi="Times New Roman"/>
          <w:color w:val="000000" w:themeColor="text1"/>
          <w:sz w:val="16"/>
          <w:szCs w:val="16"/>
        </w:rPr>
        <w:softHyphen/>
        <w:t>рушение коробок передач после 100-200 км пробега. Подготовка производства самоходной уста</w:t>
      </w:r>
      <w:r w:rsidRPr="00070ADE">
        <w:rPr>
          <w:rFonts w:ascii="Times New Roman" w:hAnsi="Times New Roman"/>
          <w:color w:val="000000" w:themeColor="text1"/>
          <w:sz w:val="16"/>
          <w:szCs w:val="16"/>
        </w:rPr>
        <w:softHyphen/>
        <w:t>новки была прекращена (22518).</w:t>
      </w:r>
    </w:p>
    <w:p w14:paraId="046F4F3B" w14:textId="77777777" w:rsidR="00A955A3" w:rsidRPr="00070ADE" w:rsidRDefault="00A955A3" w:rsidP="00B56F90">
      <w:pPr>
        <w:spacing w:after="0" w:line="240" w:lineRule="auto"/>
        <w:jc w:val="both"/>
        <w:rPr>
          <w:rFonts w:ascii="Times New Roman" w:hAnsi="Times New Roman"/>
          <w:color w:val="000000" w:themeColor="text1"/>
          <w:sz w:val="16"/>
          <w:szCs w:val="16"/>
        </w:rPr>
      </w:pPr>
    </w:p>
    <w:p w14:paraId="19E3D808" w14:textId="77777777" w:rsidR="0059774D" w:rsidRPr="00070ADE" w:rsidRDefault="0059774D"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2 января 1944 года в завпромотделом Краснодарского крайкома ВКП(б) пришла пояснительная записка. Писал бригадир ремонтных работ Бойко Михаил Васильевич, г. Сочи, эвакуационный госпиталь №2434. Для понимания всей эпичности этой работы приводим текст без купюр:</w:t>
      </w:r>
    </w:p>
    <w:p w14:paraId="54E36965" w14:textId="77777777" w:rsidR="0059774D" w:rsidRPr="00070ADE" w:rsidRDefault="0059774D" w:rsidP="00B56F90">
      <w:pPr>
        <w:pStyle w:val="ae"/>
        <w:shd w:val="clear" w:color="auto" w:fill="FFFFFF"/>
        <w:spacing w:before="0" w:after="0"/>
        <w:jc w:val="both"/>
        <w:textAlignment w:val="baseline"/>
        <w:rPr>
          <w:iCs/>
          <w:color w:val="000000" w:themeColor="text1"/>
          <w:sz w:val="16"/>
          <w:szCs w:val="16"/>
        </w:rPr>
      </w:pPr>
      <w:r w:rsidRPr="00070ADE">
        <w:rPr>
          <w:iCs/>
          <w:color w:val="000000" w:themeColor="text1"/>
          <w:sz w:val="16"/>
          <w:szCs w:val="16"/>
          <w:bdr w:val="none" w:sz="0" w:space="0" w:color="auto" w:frame="1"/>
        </w:rPr>
        <w:t>«Довожу до Вашего сведения о том, что я в течение с 1939 года по настоящее время работаю над изобретением новых конструкций Военного значения.</w:t>
      </w:r>
    </w:p>
    <w:p w14:paraId="334F3443" w14:textId="77777777" w:rsidR="0059774D" w:rsidRPr="00070ADE" w:rsidRDefault="0059774D" w:rsidP="00B56F90">
      <w:pPr>
        <w:pStyle w:val="ae"/>
        <w:shd w:val="clear" w:color="auto" w:fill="FFFFFF"/>
        <w:spacing w:before="0" w:after="0"/>
        <w:jc w:val="both"/>
        <w:textAlignment w:val="baseline"/>
        <w:rPr>
          <w:iCs/>
          <w:color w:val="000000" w:themeColor="text1"/>
          <w:sz w:val="16"/>
          <w:szCs w:val="16"/>
        </w:rPr>
      </w:pPr>
      <w:r w:rsidRPr="00070ADE">
        <w:rPr>
          <w:iCs/>
          <w:color w:val="000000" w:themeColor="text1"/>
          <w:sz w:val="16"/>
          <w:szCs w:val="16"/>
          <w:bdr w:val="none" w:sz="0" w:space="0" w:color="auto" w:frame="1"/>
        </w:rPr>
        <w:t>а) (тип танка) Наземный Бронеогненосец «АН» (броненепроницаемая облицовка, броневая чешуя, системы компрессорных магазиных поршнево-пружиных устройств), при броневой чешуи подвижной, при наличии изоляционного материала, при специальной изоляционной камерной облицовки «АН» отбрасывает от себя снаряды с разрывом до 860 кгр. и является огнебронециемыми. «АН» устроен на 3-х гусеничной тяге, причем все стороны гусеницы — разбирают отдельно при надобности повернуть и от рельефно условно местности.</w:t>
      </w:r>
    </w:p>
    <w:p w14:paraId="0094CFC0" w14:textId="77777777" w:rsidR="0059774D" w:rsidRPr="00070ADE" w:rsidRDefault="0059774D" w:rsidP="00B56F90">
      <w:pPr>
        <w:pStyle w:val="ae"/>
        <w:shd w:val="clear" w:color="auto" w:fill="FFFFFF"/>
        <w:spacing w:before="0" w:after="0"/>
        <w:jc w:val="both"/>
        <w:textAlignment w:val="baseline"/>
        <w:rPr>
          <w:iCs/>
          <w:color w:val="000000" w:themeColor="text1"/>
          <w:sz w:val="16"/>
          <w:szCs w:val="16"/>
        </w:rPr>
      </w:pPr>
      <w:r w:rsidRPr="00070ADE">
        <w:rPr>
          <w:iCs/>
          <w:color w:val="000000" w:themeColor="text1"/>
          <w:sz w:val="16"/>
          <w:szCs w:val="16"/>
          <w:bdr w:val="none" w:sz="0" w:space="0" w:color="auto" w:frame="1"/>
        </w:rPr>
        <w:t>«АН» улавливает снаряды миноуловительной компрессорно-пневматической электро-сеткой. Взрывающееся минное поле (не принося себе ущерб) благодаря атмосферному пневматическому сопротивлению своей конструкции броненепроницаемой сетки и броневой чешуи:</w:t>
      </w:r>
    </w:p>
    <w:p w14:paraId="67F2B152" w14:textId="77777777" w:rsidR="0059774D" w:rsidRPr="00070ADE" w:rsidRDefault="0059774D" w:rsidP="00B56F90">
      <w:pPr>
        <w:pStyle w:val="ae"/>
        <w:shd w:val="clear" w:color="auto" w:fill="FFFFFF"/>
        <w:spacing w:before="0" w:after="0"/>
        <w:jc w:val="both"/>
        <w:textAlignment w:val="baseline"/>
        <w:rPr>
          <w:iCs/>
          <w:color w:val="000000" w:themeColor="text1"/>
          <w:sz w:val="16"/>
          <w:szCs w:val="16"/>
        </w:rPr>
      </w:pPr>
      <w:r w:rsidRPr="00070ADE">
        <w:rPr>
          <w:iCs/>
          <w:color w:val="000000" w:themeColor="text1"/>
          <w:sz w:val="16"/>
          <w:szCs w:val="16"/>
          <w:bdr w:val="none" w:sz="0" w:space="0" w:color="auto" w:frame="1"/>
        </w:rPr>
        <w:t>«АН» снарядом 3-мя носорогами системы М.В.Б. благодаря компессорной пневматической пружиной — цилиндровых поршней каждый носорог расчетом на сопротивление может до тоннах всего 24 тонны — сопротивления.</w:t>
      </w:r>
    </w:p>
    <w:p w14:paraId="648975F2" w14:textId="77777777" w:rsidR="0059774D" w:rsidRPr="00070ADE" w:rsidRDefault="0059774D" w:rsidP="00B56F90">
      <w:pPr>
        <w:pStyle w:val="ae"/>
        <w:shd w:val="clear" w:color="auto" w:fill="FFFFFF"/>
        <w:spacing w:before="0" w:after="0"/>
        <w:jc w:val="both"/>
        <w:textAlignment w:val="baseline"/>
        <w:rPr>
          <w:iCs/>
          <w:color w:val="000000" w:themeColor="text1"/>
          <w:sz w:val="16"/>
          <w:szCs w:val="16"/>
        </w:rPr>
      </w:pPr>
      <w:r w:rsidRPr="00070ADE">
        <w:rPr>
          <w:iCs/>
          <w:color w:val="000000" w:themeColor="text1"/>
          <w:sz w:val="16"/>
          <w:szCs w:val="16"/>
          <w:bdr w:val="none" w:sz="0" w:space="0" w:color="auto" w:frame="1"/>
        </w:rPr>
        <w:t>«АН» вооружен — 24 распределительными бронебойными огнеметами фугасного жидкого огня, 2-мя дальнобойными стволами — бронебоевыми огнеметами фугасного жидкого огня. 10 бронебойных огнеметов в боковых нишах «АН» снарядам с 4-мя башнями, в которых помещается до 2-х башен 4-6 тн ствольных торпедометров, 2-х башен 4-6 тн ствольных минометов, 2 гнезда зенитных пулеметов, 8 пулеметных гнезд, 2 гнезда противотанкового огня. Всего 96 огневых точек.</w:t>
      </w:r>
    </w:p>
    <w:p w14:paraId="087EC472" w14:textId="77777777" w:rsidR="0059774D" w:rsidRPr="00070ADE" w:rsidRDefault="0059774D" w:rsidP="00B56F90">
      <w:pPr>
        <w:pStyle w:val="ae"/>
        <w:shd w:val="clear" w:color="auto" w:fill="FFFFFF"/>
        <w:spacing w:before="0" w:after="0"/>
        <w:jc w:val="both"/>
        <w:textAlignment w:val="baseline"/>
        <w:rPr>
          <w:iCs/>
          <w:color w:val="000000" w:themeColor="text1"/>
          <w:sz w:val="16"/>
          <w:szCs w:val="16"/>
        </w:rPr>
      </w:pPr>
      <w:r w:rsidRPr="00070ADE">
        <w:rPr>
          <w:iCs/>
          <w:color w:val="000000" w:themeColor="text1"/>
          <w:sz w:val="16"/>
          <w:szCs w:val="16"/>
          <w:bdr w:val="none" w:sz="0" w:space="0" w:color="auto" w:frame="1"/>
        </w:rPr>
        <w:t>«АН» имеет специальные камеры огнеприпасов, «АН» не боится зенитных снарядов, бутылок с горючей жидкостью.</w:t>
      </w:r>
    </w:p>
    <w:p w14:paraId="024302BD" w14:textId="77777777" w:rsidR="0059774D" w:rsidRPr="00070ADE" w:rsidRDefault="0059774D" w:rsidP="00B56F90">
      <w:pPr>
        <w:pStyle w:val="ae"/>
        <w:shd w:val="clear" w:color="auto" w:fill="FFFFFF"/>
        <w:spacing w:before="0" w:after="0"/>
        <w:jc w:val="both"/>
        <w:textAlignment w:val="baseline"/>
        <w:rPr>
          <w:iCs/>
          <w:color w:val="000000" w:themeColor="text1"/>
          <w:sz w:val="16"/>
          <w:szCs w:val="16"/>
        </w:rPr>
      </w:pPr>
      <w:r w:rsidRPr="00070ADE">
        <w:rPr>
          <w:iCs/>
          <w:color w:val="000000" w:themeColor="text1"/>
          <w:sz w:val="16"/>
          <w:szCs w:val="16"/>
          <w:bdr w:val="none" w:sz="0" w:space="0" w:color="auto" w:frame="1"/>
        </w:rPr>
        <w:t>«АН» снаряжен специальными зеркальными увеличительным иллюминаторами с объективами «Цейс», они являются, благодаря системы «БКР», броненепроницаемыми.</w:t>
      </w:r>
    </w:p>
    <w:p w14:paraId="5FCCBE69" w14:textId="77777777" w:rsidR="0059774D" w:rsidRPr="00070ADE" w:rsidRDefault="0059774D" w:rsidP="00B56F90">
      <w:pPr>
        <w:pStyle w:val="ae"/>
        <w:shd w:val="clear" w:color="auto" w:fill="FFFFFF"/>
        <w:spacing w:before="0" w:after="0"/>
        <w:jc w:val="both"/>
        <w:textAlignment w:val="baseline"/>
        <w:rPr>
          <w:iCs/>
          <w:color w:val="000000" w:themeColor="text1"/>
          <w:sz w:val="16"/>
          <w:szCs w:val="16"/>
        </w:rPr>
      </w:pPr>
      <w:r w:rsidRPr="00070ADE">
        <w:rPr>
          <w:iCs/>
          <w:color w:val="000000" w:themeColor="text1"/>
          <w:sz w:val="16"/>
          <w:szCs w:val="16"/>
          <w:bdr w:val="none" w:sz="0" w:space="0" w:color="auto" w:frame="1"/>
        </w:rPr>
        <w:t>«АН» при своем движении действует, помимо своего огня — облицовки, психическое значение: морально парализует неприятеля, как живую силу, так и вооружение, ибо «АН» не боится огноевых препятствий и при своем движении является огневым «смерчем».</w:t>
      </w:r>
    </w:p>
    <w:p w14:paraId="4CB1B35D" w14:textId="77777777" w:rsidR="0059774D" w:rsidRPr="00070ADE" w:rsidRDefault="0059774D" w:rsidP="00B56F90">
      <w:pPr>
        <w:pStyle w:val="ae"/>
        <w:shd w:val="clear" w:color="auto" w:fill="FFFFFF"/>
        <w:spacing w:before="0" w:after="0"/>
        <w:jc w:val="both"/>
        <w:textAlignment w:val="baseline"/>
        <w:rPr>
          <w:iCs/>
          <w:color w:val="000000" w:themeColor="text1"/>
          <w:sz w:val="16"/>
          <w:szCs w:val="16"/>
        </w:rPr>
      </w:pPr>
      <w:r w:rsidRPr="00070ADE">
        <w:rPr>
          <w:iCs/>
          <w:color w:val="000000" w:themeColor="text1"/>
          <w:sz w:val="16"/>
          <w:szCs w:val="16"/>
          <w:bdr w:val="none" w:sz="0" w:space="0" w:color="auto" w:frame="1"/>
        </w:rPr>
        <w:t>«АН» не боится преград, мин и других препятствий. «АН» сжигает живое и мертвое своим фугасным огнем с бронебоевой жидкостью «S.F.L. «АН» всегда также готов на случай химической войны».</w:t>
      </w:r>
    </w:p>
    <w:p w14:paraId="583AD2DF" w14:textId="21DD5708" w:rsidR="0059774D" w:rsidRPr="00070ADE" w:rsidRDefault="0059774D"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Никаких размерных характеристик автор не приводил, но само упоминание о том, что «Бронеогненосец АН» предназначен для</w:t>
      </w:r>
      <w:r w:rsidR="00B643A8" w:rsidRPr="00070ADE">
        <w:rPr>
          <w:color w:val="000000" w:themeColor="text1"/>
          <w:sz w:val="16"/>
          <w:szCs w:val="16"/>
        </w:rPr>
        <w:t xml:space="preserve"> </w:t>
      </w:r>
      <w:r w:rsidRPr="00070ADE">
        <w:rPr>
          <w:iCs/>
          <w:color w:val="000000" w:themeColor="text1"/>
          <w:sz w:val="16"/>
          <w:szCs w:val="16"/>
          <w:bdr w:val="none" w:sz="0" w:space="0" w:color="auto" w:frame="1"/>
        </w:rPr>
        <w:t>«психотравматической атаки и контратаки»</w:t>
      </w:r>
      <w:r w:rsidRPr="00070ADE">
        <w:rPr>
          <w:color w:val="000000" w:themeColor="text1"/>
          <w:sz w:val="16"/>
          <w:szCs w:val="16"/>
        </w:rPr>
        <w:t>, а также 96 огневых точек заставляет задуматься о том, что Бойко предложил что-то неординарное. В марте 1944 года от Бойко пришло второе письмо, с более подробным описанием «Бронеогненосца АН». Полностью приводить его не будем, один отрывок говорит обо всём:</w:t>
      </w:r>
    </w:p>
    <w:p w14:paraId="63B897EA" w14:textId="6B279D8D" w:rsidR="0059774D" w:rsidRPr="00070ADE" w:rsidRDefault="0059774D" w:rsidP="00B56F90">
      <w:pPr>
        <w:pStyle w:val="ae"/>
        <w:shd w:val="clear" w:color="auto" w:fill="FFFFFF"/>
        <w:spacing w:before="0" w:after="0"/>
        <w:jc w:val="both"/>
        <w:textAlignment w:val="baseline"/>
        <w:rPr>
          <w:iCs/>
          <w:color w:val="000000" w:themeColor="text1"/>
          <w:sz w:val="16"/>
          <w:szCs w:val="16"/>
        </w:rPr>
      </w:pPr>
      <w:r w:rsidRPr="00070ADE">
        <w:rPr>
          <w:iCs/>
          <w:color w:val="000000" w:themeColor="text1"/>
          <w:sz w:val="16"/>
          <w:szCs w:val="16"/>
          <w:bdr w:val="none" w:sz="0" w:space="0" w:color="auto" w:frame="1"/>
        </w:rPr>
        <w:t>«Первое основное мною конструированы новый мощный мирового значения модернизированный</w:t>
      </w:r>
      <w:r w:rsidR="00B643A8" w:rsidRPr="00070ADE">
        <w:rPr>
          <w:iCs/>
          <w:color w:val="000000" w:themeColor="text1"/>
          <w:sz w:val="16"/>
          <w:szCs w:val="16"/>
          <w:bdr w:val="none" w:sz="0" w:space="0" w:color="auto" w:frame="1"/>
        </w:rPr>
        <w:t xml:space="preserve"> </w:t>
      </w:r>
      <w:r w:rsidRPr="00070ADE">
        <w:rPr>
          <w:iCs/>
          <w:color w:val="000000" w:themeColor="text1"/>
          <w:sz w:val="16"/>
          <w:szCs w:val="16"/>
          <w:bdr w:val="none" w:sz="0" w:space="0" w:color="auto" w:frame="1"/>
        </w:rPr>
        <w:t>Наземный бронеогненосец «АН» (подвижная неуязвимая крепость). В виде огневого Смерча бронеогненосец «АН» все на своем пути сжигает, воспламеняет, сносит, сбивает — разрушает, взрывает, умертвляет, действует морально, вносит травматично и действует на психику, деморализует неприятеля, его живую силу, технику и укрепления и далеко вносит вглубь его резервов сражения с Психической деморализацией. «АН» все на своем пути действий уничтожает: живое и мертвое.</w:t>
      </w:r>
    </w:p>
    <w:p w14:paraId="3BA8E338" w14:textId="77777777" w:rsidR="0059774D" w:rsidRPr="00070ADE" w:rsidRDefault="0059774D" w:rsidP="00B56F90">
      <w:pPr>
        <w:pStyle w:val="ae"/>
        <w:shd w:val="clear" w:color="auto" w:fill="FFFFFF"/>
        <w:spacing w:before="0" w:after="0"/>
        <w:jc w:val="both"/>
        <w:textAlignment w:val="baseline"/>
        <w:rPr>
          <w:iCs/>
          <w:color w:val="000000" w:themeColor="text1"/>
          <w:sz w:val="16"/>
          <w:szCs w:val="16"/>
        </w:rPr>
      </w:pPr>
      <w:r w:rsidRPr="00070ADE">
        <w:rPr>
          <w:iCs/>
          <w:color w:val="000000" w:themeColor="text1"/>
          <w:sz w:val="16"/>
          <w:szCs w:val="16"/>
          <w:bdr w:val="none" w:sz="0" w:space="0" w:color="auto" w:frame="1"/>
        </w:rPr>
        <w:t>&lt;…&gt;</w:t>
      </w:r>
    </w:p>
    <w:p w14:paraId="5921B4CF" w14:textId="77777777" w:rsidR="0059774D" w:rsidRPr="00070ADE" w:rsidRDefault="0059774D" w:rsidP="00B56F90">
      <w:pPr>
        <w:pStyle w:val="ae"/>
        <w:shd w:val="clear" w:color="auto" w:fill="FFFFFF"/>
        <w:spacing w:before="0" w:after="0"/>
        <w:jc w:val="both"/>
        <w:textAlignment w:val="baseline"/>
        <w:rPr>
          <w:iCs/>
          <w:color w:val="000000" w:themeColor="text1"/>
          <w:sz w:val="16"/>
          <w:szCs w:val="16"/>
        </w:rPr>
      </w:pPr>
      <w:r w:rsidRPr="00070ADE">
        <w:rPr>
          <w:iCs/>
          <w:color w:val="000000" w:themeColor="text1"/>
          <w:sz w:val="16"/>
          <w:szCs w:val="16"/>
          <w:bdr w:val="none" w:sz="0" w:space="0" w:color="auto" w:frame="1"/>
        </w:rPr>
        <w:t>АН» системой изоляции В.Л.Р. изолирован от воды, огня, шума, газа. «АН» имеет облицовку броненепроницаемость в 490 м./м. Конструкция КТК(б) и Т.3.4. — толщина от скелета всей облицовки 55 м./м. включая броневую облицовку броневой чешуи в 40 м./м. при нападении снарядов с разрывной силой — броневая и остальная броненепроницаемость, облицовка системы КТК(б) Т.3.4. отбрасывает от себя снаряды до 360 кг в сторону до 5метров. Чем сильнее удар им, быстрее удар — тем сильнее и быстрей его снаряда отбрасывает в сторону, что не причиняет никакого вреда «АН». Как сверху и кругом, — устройство верхней части чешуи сделано наклонно. Снаряд попадает в сторону сколза. «АН» своими гусеницами и тяжестью под собой сдавливает до 60 000 атмосфер. «АН» имеет круговертящуюся башню верхнего с 2-мя стволами — брандспойтов, выпускающих жидкого фугасного огня до 500 метров, боковые стволы до 300 метров. Зонты распыляются до 150 метров вокруг себя огня фугасного «АН» на своем пути следования все сжигают, воспламеняет приводит все в уголь. (т.к. фугас насыщен достаточным количеством окиси углерода, углекислого калия, формалина, перигидроля, формальдегида, серной кислоты, и белого фосфора с наличием бертолетового раствора).</w:t>
      </w:r>
    </w:p>
    <w:p w14:paraId="7D223E64" w14:textId="77777777" w:rsidR="0059774D" w:rsidRPr="00070ADE" w:rsidRDefault="0059774D" w:rsidP="00B56F90">
      <w:pPr>
        <w:pStyle w:val="ae"/>
        <w:shd w:val="clear" w:color="auto" w:fill="FFFFFF"/>
        <w:spacing w:before="0" w:after="0"/>
        <w:jc w:val="both"/>
        <w:textAlignment w:val="baseline"/>
        <w:rPr>
          <w:iCs/>
          <w:color w:val="000000" w:themeColor="text1"/>
          <w:sz w:val="16"/>
          <w:szCs w:val="16"/>
        </w:rPr>
      </w:pPr>
      <w:r w:rsidRPr="00070ADE">
        <w:rPr>
          <w:iCs/>
          <w:color w:val="000000" w:themeColor="text1"/>
          <w:sz w:val="16"/>
          <w:szCs w:val="16"/>
          <w:bdr w:val="none" w:sz="0" w:space="0" w:color="auto" w:frame="1"/>
        </w:rPr>
        <w:t>«АН» имеет предельную скорость до 120 км в час. «АН» имеет 8-ми осевую систему и по бокам 3-х гусеничную систему тяги, делящих на основную, головную по длине всего бронеогненосца, 2-3 гусенницы рядом с половиной головной, Г. и 3-я хвостовая ряда со 2-ой четвертой части головной Г. вес гусеницы и бронеогненосца облицован броненепроницаемой системой Т.3.4. «АН» снаряжен 4-мя Гул — сиренами, и свистками. «АН» является оружием не только огневого — разрывного, но действует своей массивностью и своими разнородными снаряжениями, является психическим оружием, действующим на травматику и психику, деморализовывает неприятеля (никакие танки вроде немецких тигров) ничего не представляет для «АН». Тигры останутся для «АН» в вида самого незначительно мелочи и ничего незначущие — «АН» неуязвим, не знает никаких преград — ни волчьих ям, минного поля, ни пуль, ни снарядов, ни огня, ни воды, ни блиндажей, рвов, дзотов, траншей. «АН» все умертвляет, все сжигает, воспламеняет, все взрывает, сбивает, сносит, опрокидывает, все приводит в уголь, тления, живое и мертвое на своем пути, и вносит к тому же психическую панику. «АН» действует впереди всех войск, авангардом имея в помощь себе и прикрытия Воздушных Сил как вспомогатель — в борьбе воздухе.</w:t>
      </w:r>
    </w:p>
    <w:p w14:paraId="25C07053" w14:textId="77777777" w:rsidR="0059774D" w:rsidRPr="00070ADE" w:rsidRDefault="0059774D" w:rsidP="00B56F90">
      <w:pPr>
        <w:pStyle w:val="ae"/>
        <w:shd w:val="clear" w:color="auto" w:fill="FFFFFF"/>
        <w:spacing w:before="0" w:after="0"/>
        <w:jc w:val="both"/>
        <w:textAlignment w:val="baseline"/>
        <w:rPr>
          <w:iCs/>
          <w:color w:val="000000" w:themeColor="text1"/>
          <w:sz w:val="16"/>
          <w:szCs w:val="16"/>
        </w:rPr>
      </w:pPr>
      <w:r w:rsidRPr="00070ADE">
        <w:rPr>
          <w:iCs/>
          <w:color w:val="000000" w:themeColor="text1"/>
          <w:sz w:val="16"/>
          <w:szCs w:val="16"/>
          <w:bdr w:val="none" w:sz="0" w:space="0" w:color="auto" w:frame="1"/>
        </w:rPr>
        <w:t>«АН» двигается в виде огневого кольцевого смерча! И является оружием для прорывов, как в лобовую часть, так и флангового обхода «АН» действительно вооружение достойно звания оружия Мирового Значения. «АН» своим фугасным огнем сжигает в ширину фронта 512 метров и в длину 12 000 метров, при своей предельной скорости, торпеды, мины, пулеметы, и другого родов Вооружения, взрывают и уничтожают на своем пути, очищают территории в радиусе ширину фронта — 14 000 метров, а в глубь фронта 120 000 метров, в течение одного часа при предельной скорости 120 км/час (представить, если иметь звено — в 10 единиц бронеогненосцев, даже предельную скорость сократив словами до одной четвертой части = т.е. с 120 до 30 км территория освобождается в ширину фронта при сомкнутом строе 10-ти бронеогненосцев), включая ширину «АН» — 6 300 метров — а в глубину 30 000 метров, что составляет очищенная территория от неприятеля в 189 000 метров, если учесть то, что это звено действует совместно со всеми силами родов войск на участке боя. Можно считать, что пребывание врага на нашей территории не только будет уничтожен и изгнан — враг будет полностью деморализован, смят и в политическом, психическом, построении откатиться (не хуже в дни эпохи Александра Невского к Чудскому озеру.), но теперь и не докатится и до своей земли».</w:t>
      </w:r>
    </w:p>
    <w:p w14:paraId="62A1EC81" w14:textId="3228461E"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Из текста описания, а также схем, прилагавшихся к проекту «Бронеогненосца АН», можно сделать кое-какие выводы насчёт его характеристик. Итак,</w:t>
      </w:r>
      <w:r w:rsidR="00B643A8" w:rsidRPr="00070ADE">
        <w:rPr>
          <w:rFonts w:ascii="Times New Roman" w:hAnsi="Times New Roman"/>
          <w:color w:val="000000" w:themeColor="text1"/>
          <w:sz w:val="16"/>
          <w:szCs w:val="16"/>
          <w:shd w:val="clear" w:color="auto" w:fill="FFFFFF"/>
        </w:rPr>
        <w:t xml:space="preserve"> </w:t>
      </w:r>
      <w:r w:rsidRPr="00070ADE">
        <w:rPr>
          <w:rFonts w:ascii="Times New Roman" w:hAnsi="Times New Roman"/>
          <w:iCs/>
          <w:color w:val="000000" w:themeColor="text1"/>
          <w:sz w:val="16"/>
          <w:szCs w:val="16"/>
          <w:bdr w:val="none" w:sz="0" w:space="0" w:color="auto" w:frame="1"/>
          <w:shd w:val="clear" w:color="auto" w:fill="FFFFFF"/>
        </w:rPr>
        <w:t>«вносить травматично»</w:t>
      </w:r>
      <w:r w:rsidR="00B643A8" w:rsidRPr="00070ADE">
        <w:rPr>
          <w:rFonts w:ascii="Times New Roman" w:hAnsi="Times New Roman"/>
          <w:color w:val="000000" w:themeColor="text1"/>
          <w:sz w:val="16"/>
          <w:szCs w:val="16"/>
          <w:shd w:val="clear" w:color="auto" w:fill="FFFFFF"/>
        </w:rPr>
        <w:t xml:space="preserve"> </w:t>
      </w:r>
      <w:r w:rsidRPr="00070ADE">
        <w:rPr>
          <w:rFonts w:ascii="Times New Roman" w:hAnsi="Times New Roman"/>
          <w:color w:val="000000" w:themeColor="text1"/>
          <w:sz w:val="16"/>
          <w:szCs w:val="16"/>
          <w:shd w:val="clear" w:color="auto" w:fill="FFFFFF"/>
        </w:rPr>
        <w:t xml:space="preserve">эта машина могла на скорости до 120 км/ч. Относительно массы в 60 т автор явно где-то описа́лся, поскольку из его же текста следует, что одна только </w:t>
      </w:r>
      <w:r w:rsidRPr="00070ADE">
        <w:rPr>
          <w:rFonts w:ascii="Times New Roman" w:hAnsi="Times New Roman"/>
          <w:color w:val="000000" w:themeColor="text1"/>
          <w:sz w:val="16"/>
          <w:szCs w:val="16"/>
          <w:shd w:val="clear" w:color="auto" w:fill="FFFFFF"/>
        </w:rPr>
        <w:lastRenderedPageBreak/>
        <w:t>толщина бронирования достигала порядка 500 мм, а «Тигры», по его же словам, были сущей мелочью. Длина каркаса корпуса «Бронеогненосца АН» должна была достигать 285 м, так что на этом фоне любой немецкий танк действительно выглядел бы назойливым тараканом. Приводимая автором схема</w:t>
      </w:r>
      <w:r w:rsidR="00B643A8" w:rsidRPr="00070ADE">
        <w:rPr>
          <w:rFonts w:ascii="Times New Roman" w:hAnsi="Times New Roman"/>
          <w:color w:val="000000" w:themeColor="text1"/>
          <w:sz w:val="16"/>
          <w:szCs w:val="16"/>
          <w:shd w:val="clear" w:color="auto" w:fill="FFFFFF"/>
        </w:rPr>
        <w:t xml:space="preserve"> </w:t>
      </w:r>
      <w:r w:rsidRPr="00070ADE">
        <w:rPr>
          <w:rFonts w:ascii="Times New Roman" w:hAnsi="Times New Roman"/>
          <w:iCs/>
          <w:color w:val="000000" w:themeColor="text1"/>
          <w:sz w:val="16"/>
          <w:szCs w:val="16"/>
          <w:bdr w:val="none" w:sz="0" w:space="0" w:color="auto" w:frame="1"/>
          <w:shd w:val="clear" w:color="auto" w:fill="FFFFFF"/>
        </w:rPr>
        <w:t>«теневого барельефа»</w:t>
      </w:r>
      <w:r w:rsidR="00B643A8" w:rsidRPr="00070ADE">
        <w:rPr>
          <w:rFonts w:ascii="Times New Roman" w:hAnsi="Times New Roman"/>
          <w:color w:val="000000" w:themeColor="text1"/>
          <w:sz w:val="16"/>
          <w:szCs w:val="16"/>
          <w:shd w:val="clear" w:color="auto" w:fill="FFFFFF"/>
        </w:rPr>
        <w:t xml:space="preserve"> </w:t>
      </w:r>
      <w:r w:rsidRPr="00070ADE">
        <w:rPr>
          <w:rFonts w:ascii="Times New Roman" w:hAnsi="Times New Roman"/>
          <w:color w:val="000000" w:themeColor="text1"/>
          <w:sz w:val="16"/>
          <w:szCs w:val="16"/>
          <w:shd w:val="clear" w:color="auto" w:fill="FFFFFF"/>
        </w:rPr>
        <w:t xml:space="preserve">чудо-машины конструкции Бойко наглядно показывает, что только своим видом она могла устроить панику. Огромная бесформенная масса с таранами, изрыгающая пламя во все стороны и двигающаяся на огромной скорости — такого более не предлагал никто. Поспорить с этим монстром может разве что «Обой» Семчишина, предложенный ещё в 1915 году </w:t>
      </w:r>
      <w:r w:rsidRPr="00070ADE">
        <w:rPr>
          <w:rFonts w:ascii="Times New Roman" w:hAnsi="Times New Roman"/>
          <w:color w:val="000000" w:themeColor="text1"/>
          <w:sz w:val="16"/>
          <w:szCs w:val="16"/>
        </w:rPr>
        <w:t>(19738).</w:t>
      </w:r>
    </w:p>
    <w:p w14:paraId="78FAEE39" w14:textId="77777777" w:rsidR="0059774D" w:rsidRPr="00070ADE" w:rsidRDefault="0059774D" w:rsidP="00B56F90">
      <w:pPr>
        <w:spacing w:after="0" w:line="240" w:lineRule="auto"/>
        <w:jc w:val="both"/>
        <w:rPr>
          <w:rFonts w:ascii="Times New Roman" w:hAnsi="Times New Roman"/>
          <w:color w:val="000000" w:themeColor="text1"/>
          <w:sz w:val="16"/>
          <w:szCs w:val="16"/>
        </w:rPr>
      </w:pPr>
    </w:p>
    <w:p w14:paraId="4D91E6F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января 1944 вышло Постановление ГКО № 4876 О немедленном начале восстановления плотины и здания Днепрогэса. РГАНИР, Фонд ГКО, д. 185 Л.2 (11012).</w:t>
      </w:r>
    </w:p>
    <w:p w14:paraId="7157292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7D20A8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января 1944 вышло Постановление ГКО № 4878 О неотложной помощи Всесоюзному научно-исследовательскому институту радиолокации - НИИ-108 Наркомэлектропрома. РГАНИР, Фонд ГКО, д. 185, лл. 6-8 (11012).</w:t>
      </w:r>
    </w:p>
    <w:p w14:paraId="0FEA4BE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A6E0674" w14:textId="53E0DE57" w:rsidR="00916E94" w:rsidRPr="00070ADE" w:rsidRDefault="00916E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января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вышло Постановление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4878 «О неотложной помощи Всесоюзному научно-исследовательскому институту радиолокации – НИИ-108 Наркомэлектропрома» (15736).</w:t>
      </w:r>
    </w:p>
    <w:p w14:paraId="59FA5273" w14:textId="77777777" w:rsidR="00916E94" w:rsidRPr="00070ADE" w:rsidRDefault="00916E94" w:rsidP="00B56F90">
      <w:pPr>
        <w:spacing w:after="0" w:line="240" w:lineRule="auto"/>
        <w:jc w:val="both"/>
        <w:rPr>
          <w:rFonts w:ascii="Times New Roman" w:hAnsi="Times New Roman"/>
          <w:color w:val="000000" w:themeColor="text1"/>
          <w:sz w:val="16"/>
          <w:szCs w:val="16"/>
        </w:rPr>
      </w:pPr>
    </w:p>
    <w:p w14:paraId="7339FC76" w14:textId="77777777" w:rsidR="00916E94"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2973048" w14:textId="77777777" w:rsidR="00916E94" w:rsidRPr="00070ADE" w:rsidRDefault="00916E94"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2405E9" w14:textId="77777777" w:rsidR="00916E94" w:rsidRPr="00070ADE" w:rsidRDefault="00916E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7A03879E" w14:textId="77777777" w:rsidR="00916E94" w:rsidRPr="00070ADE" w:rsidRDefault="00916E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 января севернее и северо-западнее Невеля наши войска вели наступательные бои, в ходе которых заняли более 40 населённых пунктов и среди них Верхитно, Лахны, Барканы, Бугаевка, Кубок, Рожново, Жуково.</w:t>
      </w:r>
    </w:p>
    <w:p w14:paraId="7476BFA4" w14:textId="77777777" w:rsidR="00916E94" w:rsidRPr="00070ADE" w:rsidRDefault="00916E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продолжая развивать наступление, с боями овладели районными центрами Житомирской области Мархлевск, Троянов, а такжезаняли более 150 других населённых пунктов, в том числе крупные населённые пункты Радовель, Мокляки, Кулиши, Слободка, Андреевичи, Немелянка, Ужачин, Романовецкая Слободка, Романовка, Броники, Черница, Дзигунка, Каменный Брод, Дерманка, Прутовка, Жёлтый Брод, Денеши, Железняки, Гваздава, Рея, Семаки, Хажин, Жежелево, Флориановка, Губин, Овсяники, Степанки, Черемошное, Малинки, Борщаговка, Мармулиевка, Рубченки, Рогозно, Городище, Черепин, Лобачёв, Фастовка, Щербаки, Фесюры и железнодорожные станции Дровяной Пост, Радовельская, Пояски, Веровка, Рыхальская, Вершница, Кордышевка.</w:t>
      </w:r>
    </w:p>
    <w:p w14:paraId="0AA2F18A" w14:textId="77777777" w:rsidR="00916E94" w:rsidRPr="00070ADE" w:rsidRDefault="00916E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2818F175" w14:textId="77777777" w:rsidR="00916E94" w:rsidRPr="00070ADE" w:rsidRDefault="00916E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 января наши войска на всех фронтах подбили и уничтожили 85 немецких танков. В воздушных боях и огнём зенитной артиллерии сбито 11 самолётов противника.</w:t>
      </w:r>
    </w:p>
    <w:p w14:paraId="5FF3E36D" w14:textId="77777777" w:rsidR="00916E94" w:rsidRPr="00070ADE" w:rsidRDefault="00916E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северо-западнее Невеля наши войска вели наступательные бои. Н-ская гвардейская часть рано утром нанесла противнику внезапный удар и в результате ожесточённого боя заняла несколько его опорных пунктов. В другом районе части Н-ского соединения, с боями продвигаясь вперёд, заняли более 40 населённых пунктов. За три дня боёв на этом участке уничтожено до полка пехоты противника. Захвачено у немцев 34 орудия, много миномётов, пулемётов и боеприпасов.</w:t>
      </w:r>
    </w:p>
    <w:p w14:paraId="2A68C934" w14:textId="77777777" w:rsidR="00916E94" w:rsidRPr="00070ADE" w:rsidRDefault="00916E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успешное наступление. Части Н-ского соединения овладели районным центром Житомирской области Мархлевск. На другом участке советские бойцы, сломив сопротивление противника, заняли районный центр Житомирской области Троянов. Немцы спешно подтянули резервы и на ряде участков неоднократно предпринимали контратаки. Наши войска отбили все вражеские контратаки и, быстро продвигаясь вперёд, освободили от немецко-фашистских захватчиков более 150 населённых пунктов и несколько железнодорожных станций. Противник несёт тяжёлые потери в людях и технике. За день боёв истреблено свыше 4.000 немецких солдат и офицеров, уничтожено 68 танков, 29 полевых и самоходных орудий и 9 бронетранспортёров. Наши бойцы захватили трофеи, в том числе 14 полностью исправных танков, 12 бронетранспортёров, 60 орудий, более 200 пулемётов, 580 автомашин, до 400 железнодорожных вагонов, 4 железнодорожных состава и 7 складов с военными материалами, боеприпасами и снаряжением. Взято значительное количество пленных.</w:t>
      </w:r>
    </w:p>
    <w:p w14:paraId="10FBAC5B" w14:textId="77777777" w:rsidR="00916E94" w:rsidRPr="00070ADE" w:rsidRDefault="00916E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Береговые батареи Северного флота потопили самоходную баржу и сторожевой катер противника.</w:t>
      </w:r>
    </w:p>
    <w:p w14:paraId="220FD815" w14:textId="77777777" w:rsidR="00916E94" w:rsidRPr="00070ADE" w:rsidRDefault="00916E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одном из районов Ровенской области, 13 декабря заминировал участок шоссейной дороги. На поставленных партизанами минах взорвались 8 немецких танков и одна танкетка. Группа партизан 14 декабря уничтожила 8 грузовых автомашин с боеприпасами. Кроме того, советские патриоты пустили под откос немецкий эшелон с горючим, следовавший к линии фронта.</w:t>
      </w:r>
    </w:p>
    <w:p w14:paraId="54E159DF" w14:textId="77777777" w:rsidR="00916E94" w:rsidRPr="00070ADE" w:rsidRDefault="00916E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Захваченный в плен на 1-м Прибалтийском фронте командир 2 дивизиона 47 немецкого артиллерийского полка резерва главного командования капитан Гейнц Норден рассказал: «Непрерывное отступление немецкой армии, сопровождавшееся огромными потерями, подорвало боевой дух войск. Особенно тяжёлое впечатление на офицеров произвело успешное форсирование русскими Днепра. А прорыв немецкой обороны в районе Невеля, где у нас было очень много артиллерии, породил панические настроения. После Сталинграда солдаты очень боятся обхода с флангов и окружения. В офицерской среде считают, что через непродолжительное время война будет перенесена на немецкую территорию. Линия фронта не сокращается, а, напротив, удлиняется и передвигается всё дальше и дальше на запад. Военные события 1943 года меня окончательно убедили в том, что для Германии война проиграна. Никакие силы в мире уже не могут предотвратить разгром немецкой армии. Чем дольше война затянется, тем страшнее будет катастрофа, которая постигнет Германию».</w:t>
      </w:r>
    </w:p>
    <w:p w14:paraId="64419B59" w14:textId="77777777" w:rsidR="00916E94" w:rsidRPr="00070ADE" w:rsidRDefault="00916E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публикуется акт о чудовищных зверствах немецко-фашистских мерзавцев в хуторах Ленинский, Дьяки и Вдовин Хутор, Кировоградской области: «Девятнадцатого октября 1943 года немцы сожгли дотла населённые пункты Вдовин Хутор, Дьяки и Ленинский и истребили почти всех мирных жителей. Огнём уничтожено 276 домов со всеми надворными постройками и имуществом колхозников. Гитлеровцы расстреляли, сожгли и удушили 1.070 женщин, стариков и детей. Анну Семениченко и её шестилетнего сына Андрея немцы бросили живьём в колодец. На глазах Ульяны Чепола гитлеровские изверги убили её годовалого ребёнка, а потом расстреляли и мать. Мы выражаем твёрдую уверенность в том, что фашистские убийцы предстанут перед судоми получат сполна за свои чудовищные преступления».</w:t>
      </w:r>
    </w:p>
    <w:p w14:paraId="43F18F48" w14:textId="77777777" w:rsidR="00916E94" w:rsidRPr="00070ADE" w:rsidRDefault="00916E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майор Гридюшко, майор Поляков, капитан медицинской службы Ващенко, старший лейтенант Барахта, жители хуторов — Лука Ворона, Давыд Семениченко, Василий Ворона, Николай Семениченко, Тимофей Семениченко.» (14997).</w:t>
      </w:r>
    </w:p>
    <w:p w14:paraId="251290DA" w14:textId="77777777" w:rsidR="00916E94" w:rsidRPr="00070ADE" w:rsidRDefault="00916E94" w:rsidP="00B56F90">
      <w:pPr>
        <w:spacing w:after="0" w:line="240" w:lineRule="auto"/>
        <w:jc w:val="both"/>
        <w:rPr>
          <w:rFonts w:ascii="Times New Roman" w:hAnsi="Times New Roman"/>
          <w:color w:val="000000" w:themeColor="text1"/>
          <w:sz w:val="16"/>
          <w:szCs w:val="16"/>
        </w:rPr>
      </w:pPr>
    </w:p>
    <w:p w14:paraId="544BD0EA"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7B9A73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3CB5F4"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января 1944 вышло Распоряжение ГКО № 4875 [О мерах по укреплению кадрами милиции Москвы.] (7167, 1).</w:t>
      </w:r>
    </w:p>
    <w:p w14:paraId="071D31C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0B549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января 1944 вышло Постановление ГКО № 4877 О мероприятиях по предупреждению и ликвидации сыпного тифа в освобожденных районах БССР. (7167, 3-5).</w:t>
      </w:r>
    </w:p>
    <w:p w14:paraId="7BB81E2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68E7EC"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109646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17354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января 1944 англичане впервые использовали в военных целях вертолеты (4962).</w:t>
      </w:r>
    </w:p>
    <w:p w14:paraId="4562F10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6D446A" w14:textId="4F99EA55" w:rsidR="00A955A3" w:rsidRPr="00070ADE" w:rsidRDefault="00A955A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января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Первое в мире боевое применение вертолетов — три вертолета И.И.Сикорского сопровождали британский атлантический конвой (22682).</w:t>
      </w:r>
    </w:p>
    <w:p w14:paraId="79E63E4B" w14:textId="77777777" w:rsidR="00A955A3" w:rsidRPr="00070ADE" w:rsidRDefault="00A955A3" w:rsidP="00B56F90">
      <w:pPr>
        <w:spacing w:after="0" w:line="240" w:lineRule="auto"/>
        <w:jc w:val="both"/>
        <w:rPr>
          <w:rFonts w:ascii="Times New Roman" w:hAnsi="Times New Roman"/>
          <w:color w:val="000000" w:themeColor="text1"/>
          <w:sz w:val="16"/>
          <w:szCs w:val="16"/>
        </w:rPr>
      </w:pPr>
    </w:p>
    <w:p w14:paraId="7FC58177" w14:textId="77777777" w:rsidR="00916E94" w:rsidRPr="00070ADE" w:rsidRDefault="00916E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 января</w:t>
      </w:r>
      <w:r w:rsidRPr="00070ADE">
        <w:rPr>
          <w:rFonts w:ascii="Times New Roman" w:hAnsi="Times New Roman"/>
          <w:color w:val="000000" w:themeColor="text1"/>
          <w:sz w:val="16"/>
          <w:szCs w:val="16"/>
        </w:rPr>
        <w:t xml:space="preserve"> в 1944 году первое в мире боевое применение вертолетов - три вертолета И.И.Сикорского сопровождали британский атлантический конвой. Вертолеты Сикорского первыми стали применять англичане. Когда в январе 1944 г. в Европу отправлялся очередной конвой, на палубе транспорта «Дагестан» на специально оборудованной площадке нашлось место для нескольких вертолетов из числа заказанных королевскими вооруженными силами опытных «YR-4B». В океане летчики впервые применили их для наблюдения за подводными лодками противника. В дальнейшем англичане еще не раз совмещали таким образом перевозку вертолетов с противолодочными операциями. По прибытии вертолетов в Великобританию «YR-4B» поступили сначала в различные исследовательские и учебные центры, а затем в знаменитый 529-й эскадрон, где они заменили автожиры «С-30», применявшиеся для калибровки радаров, а также для связи и наблюдения (14997).</w:t>
      </w:r>
    </w:p>
    <w:p w14:paraId="5704AFF6" w14:textId="77777777" w:rsidR="00916E94" w:rsidRPr="00070ADE" w:rsidRDefault="00916E94" w:rsidP="00B56F90">
      <w:pPr>
        <w:spacing w:after="0" w:line="240" w:lineRule="auto"/>
        <w:jc w:val="both"/>
        <w:rPr>
          <w:rFonts w:ascii="Times New Roman" w:hAnsi="Times New Roman"/>
          <w:color w:val="000000" w:themeColor="text1"/>
          <w:sz w:val="16"/>
          <w:szCs w:val="16"/>
        </w:rPr>
      </w:pPr>
    </w:p>
    <w:p w14:paraId="5BB72C28" w14:textId="77777777" w:rsidR="00A955A3" w:rsidRPr="00070ADE" w:rsidRDefault="00A955A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января (ночь) 1944 383 британских бомбардировщика совершают налет на Берлин. Немецкие ночные истребители в основном перехватывают их над целью, и 27 британских бомбардировщиков, все Ланкастеры, потеряны (20373).</w:t>
      </w:r>
    </w:p>
    <w:p w14:paraId="1D25DD84" w14:textId="77777777" w:rsidR="00A955A3" w:rsidRPr="00070ADE" w:rsidRDefault="00A955A3" w:rsidP="00B56F90">
      <w:pPr>
        <w:spacing w:after="0" w:line="240" w:lineRule="auto"/>
        <w:jc w:val="both"/>
        <w:rPr>
          <w:rFonts w:ascii="Times New Roman" w:hAnsi="Times New Roman"/>
          <w:color w:val="000000" w:themeColor="text1"/>
          <w:sz w:val="16"/>
          <w:szCs w:val="16"/>
        </w:rPr>
      </w:pPr>
    </w:p>
    <w:p w14:paraId="50AFC268" w14:textId="77777777" w:rsidR="00A955A3" w:rsidRPr="00070ADE" w:rsidRDefault="00A955A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января 1944 японские зенитные орудия сбили три B-24 «Освободителя» ВВС США над Малоэлапом во время дневного налета, вынуждая B-24 переключиться на ночные налеты, в которых их бомбардировка гораздо менее точна (20373).</w:t>
      </w:r>
    </w:p>
    <w:p w14:paraId="01C1E521" w14:textId="77777777" w:rsidR="00A955A3" w:rsidRPr="00070ADE" w:rsidRDefault="00A955A3" w:rsidP="00B56F90">
      <w:pPr>
        <w:spacing w:after="0" w:line="240" w:lineRule="auto"/>
        <w:jc w:val="both"/>
        <w:rPr>
          <w:rFonts w:ascii="Times New Roman" w:hAnsi="Times New Roman"/>
          <w:color w:val="000000" w:themeColor="text1"/>
          <w:sz w:val="16"/>
          <w:szCs w:val="16"/>
        </w:rPr>
      </w:pPr>
    </w:p>
    <w:p w14:paraId="067FD232" w14:textId="77777777" w:rsidR="00A955A3" w:rsidRPr="00070ADE" w:rsidRDefault="00A955A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2–13 января 1944 авиация союзников систематически атакует железнодорожные пути в центральной Италии в безуспешной попытке помешать Германии снабжать и подкреплять свои силы, сражающиеся на юге Италии (20373).</w:t>
      </w:r>
    </w:p>
    <w:p w14:paraId="70AF8C46" w14:textId="77777777" w:rsidR="00A955A3" w:rsidRPr="00070ADE" w:rsidRDefault="00A955A3" w:rsidP="00B56F90">
      <w:pPr>
        <w:spacing w:after="0" w:line="240" w:lineRule="auto"/>
        <w:jc w:val="both"/>
        <w:rPr>
          <w:rFonts w:ascii="Times New Roman" w:hAnsi="Times New Roman"/>
          <w:color w:val="000000" w:themeColor="text1"/>
          <w:sz w:val="16"/>
          <w:szCs w:val="16"/>
        </w:rPr>
      </w:pPr>
    </w:p>
    <w:p w14:paraId="69DF4269"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lastRenderedPageBreak/>
        <w:t>Авиапромышленность:</w:t>
      </w:r>
    </w:p>
    <w:p w14:paraId="3503B26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DEEC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января 1944 года начальник ЛИИ проф. Чесалов А.В. писал письмо N 2с Шахурину.</w:t>
      </w:r>
    </w:p>
    <w:p w14:paraId="283181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Довожу для Вашего сведения результаты контрольных испытаний серийных самолетов, проведенных в декабре 1943 года в соответствии с приказом N 915с.</w:t>
      </w:r>
    </w:p>
    <w:p w14:paraId="0E43B8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Як-7Б N 54110 производства завода N 153</w:t>
      </w:r>
    </w:p>
    <w:p w14:paraId="570D65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выпуска ноября 1943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CB5308" w:rsidRPr="00070ADE" w14:paraId="3BC4CCC8" w14:textId="77777777">
        <w:tc>
          <w:tcPr>
            <w:tcW w:w="5636" w:type="dxa"/>
          </w:tcPr>
          <w:p w14:paraId="380747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w:t>
            </w:r>
          </w:p>
        </w:tc>
        <w:tc>
          <w:tcPr>
            <w:tcW w:w="5636" w:type="dxa"/>
          </w:tcPr>
          <w:p w14:paraId="0A495E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2998 кг</w:t>
            </w:r>
          </w:p>
        </w:tc>
      </w:tr>
      <w:tr w:rsidR="00CB5308" w:rsidRPr="00070ADE" w14:paraId="67762303" w14:textId="77777777">
        <w:tc>
          <w:tcPr>
            <w:tcW w:w="5636" w:type="dxa"/>
          </w:tcPr>
          <w:p w14:paraId="07F0F7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w:t>
            </w:r>
          </w:p>
        </w:tc>
        <w:tc>
          <w:tcPr>
            <w:tcW w:w="5636" w:type="dxa"/>
          </w:tcPr>
          <w:p w14:paraId="4244E0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543 км/час</w:t>
            </w:r>
          </w:p>
        </w:tc>
      </w:tr>
      <w:tr w:rsidR="00CB5308" w:rsidRPr="00070ADE" w14:paraId="05D012D3" w14:textId="77777777">
        <w:tc>
          <w:tcPr>
            <w:tcW w:w="5636" w:type="dxa"/>
          </w:tcPr>
          <w:p w14:paraId="3A2A23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2-й</w:t>
            </w:r>
          </w:p>
        </w:tc>
        <w:tc>
          <w:tcPr>
            <w:tcW w:w="5636" w:type="dxa"/>
          </w:tcPr>
          <w:p w14:paraId="7D9CDCD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0F48EEF" w14:textId="77777777">
        <w:tc>
          <w:tcPr>
            <w:tcW w:w="5636" w:type="dxa"/>
          </w:tcPr>
          <w:p w14:paraId="1A6ED4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границе высотности (Н=4000 м)</w:t>
            </w:r>
          </w:p>
        </w:tc>
        <w:tc>
          <w:tcPr>
            <w:tcW w:w="5636" w:type="dxa"/>
          </w:tcPr>
          <w:p w14:paraId="28DA7CD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601 км/час</w:t>
            </w:r>
          </w:p>
        </w:tc>
      </w:tr>
      <w:tr w:rsidR="00CB5308" w:rsidRPr="00070ADE" w14:paraId="66555319" w14:textId="77777777">
        <w:tc>
          <w:tcPr>
            <w:tcW w:w="5636" w:type="dxa"/>
          </w:tcPr>
          <w:p w14:paraId="211C5B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50000 м</w:t>
            </w:r>
          </w:p>
        </w:tc>
        <w:tc>
          <w:tcPr>
            <w:tcW w:w="5636" w:type="dxa"/>
          </w:tcPr>
          <w:p w14:paraId="57F17D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 мин.</w:t>
            </w:r>
          </w:p>
        </w:tc>
      </w:tr>
      <w:tr w:rsidR="00CB5308" w:rsidRPr="00070ADE" w14:paraId="68F47DF3" w14:textId="77777777">
        <w:tc>
          <w:tcPr>
            <w:tcW w:w="5636" w:type="dxa"/>
          </w:tcPr>
          <w:p w14:paraId="7261C7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Самолет Як-9Т N 0901 производства завода N 153 </w:t>
            </w:r>
          </w:p>
        </w:tc>
        <w:tc>
          <w:tcPr>
            <w:tcW w:w="5636" w:type="dxa"/>
          </w:tcPr>
          <w:p w14:paraId="2C3784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957C12A" w14:textId="77777777">
        <w:tc>
          <w:tcPr>
            <w:tcW w:w="5636" w:type="dxa"/>
          </w:tcPr>
          <w:p w14:paraId="0690B00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выпуска декабря 1943 года</w:t>
            </w:r>
          </w:p>
        </w:tc>
        <w:tc>
          <w:tcPr>
            <w:tcW w:w="5636" w:type="dxa"/>
          </w:tcPr>
          <w:p w14:paraId="77BE448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0667322" w14:textId="77777777">
        <w:tc>
          <w:tcPr>
            <w:tcW w:w="5636" w:type="dxa"/>
          </w:tcPr>
          <w:p w14:paraId="169A451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w:t>
            </w:r>
          </w:p>
        </w:tc>
        <w:tc>
          <w:tcPr>
            <w:tcW w:w="5636" w:type="dxa"/>
          </w:tcPr>
          <w:p w14:paraId="3759859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3015 кг</w:t>
            </w:r>
          </w:p>
        </w:tc>
      </w:tr>
      <w:tr w:rsidR="00CB5308" w:rsidRPr="00070ADE" w14:paraId="28AE04DF" w14:textId="77777777">
        <w:tc>
          <w:tcPr>
            <w:tcW w:w="5636" w:type="dxa"/>
          </w:tcPr>
          <w:p w14:paraId="755B963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w:t>
            </w:r>
          </w:p>
        </w:tc>
        <w:tc>
          <w:tcPr>
            <w:tcW w:w="5636" w:type="dxa"/>
          </w:tcPr>
          <w:p w14:paraId="559DFA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532 км/час</w:t>
            </w:r>
          </w:p>
        </w:tc>
      </w:tr>
      <w:tr w:rsidR="00CB5308" w:rsidRPr="00070ADE" w14:paraId="1990CD32" w14:textId="77777777">
        <w:tc>
          <w:tcPr>
            <w:tcW w:w="5636" w:type="dxa"/>
          </w:tcPr>
          <w:p w14:paraId="36FD99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2-й</w:t>
            </w:r>
          </w:p>
        </w:tc>
        <w:tc>
          <w:tcPr>
            <w:tcW w:w="5636" w:type="dxa"/>
          </w:tcPr>
          <w:p w14:paraId="3A062A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B323E77" w14:textId="77777777">
        <w:tc>
          <w:tcPr>
            <w:tcW w:w="5636" w:type="dxa"/>
          </w:tcPr>
          <w:p w14:paraId="631CC41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границе высотности (Н=3850 м)</w:t>
            </w:r>
          </w:p>
        </w:tc>
        <w:tc>
          <w:tcPr>
            <w:tcW w:w="5636" w:type="dxa"/>
          </w:tcPr>
          <w:p w14:paraId="619C7B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591 км/час</w:t>
            </w:r>
          </w:p>
        </w:tc>
      </w:tr>
      <w:tr w:rsidR="00CB5308" w:rsidRPr="00070ADE" w14:paraId="737F3B05" w14:textId="77777777">
        <w:tc>
          <w:tcPr>
            <w:tcW w:w="5636" w:type="dxa"/>
          </w:tcPr>
          <w:p w14:paraId="619335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50000 м</w:t>
            </w:r>
          </w:p>
        </w:tc>
        <w:tc>
          <w:tcPr>
            <w:tcW w:w="5636" w:type="dxa"/>
          </w:tcPr>
          <w:p w14:paraId="6781A40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 мин.</w:t>
            </w:r>
          </w:p>
        </w:tc>
      </w:tr>
      <w:tr w:rsidR="00CB5308" w:rsidRPr="00070ADE" w14:paraId="7D7488C5" w14:textId="77777777">
        <w:tc>
          <w:tcPr>
            <w:tcW w:w="5636" w:type="dxa"/>
          </w:tcPr>
          <w:p w14:paraId="730826C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Як-9 N 13036 производства завода N 153</w:t>
            </w:r>
          </w:p>
        </w:tc>
        <w:tc>
          <w:tcPr>
            <w:tcW w:w="5636" w:type="dxa"/>
          </w:tcPr>
          <w:p w14:paraId="1AC472C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6D99093" w14:textId="77777777">
        <w:tc>
          <w:tcPr>
            <w:tcW w:w="5636" w:type="dxa"/>
          </w:tcPr>
          <w:p w14:paraId="7AAFE2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выпуска декабря 1943 года</w:t>
            </w:r>
          </w:p>
        </w:tc>
        <w:tc>
          <w:tcPr>
            <w:tcW w:w="5636" w:type="dxa"/>
          </w:tcPr>
          <w:p w14:paraId="4883E4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31F8E16" w14:textId="77777777">
        <w:tc>
          <w:tcPr>
            <w:tcW w:w="5636" w:type="dxa"/>
          </w:tcPr>
          <w:p w14:paraId="638C18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w:t>
            </w:r>
          </w:p>
        </w:tc>
        <w:tc>
          <w:tcPr>
            <w:tcW w:w="5636" w:type="dxa"/>
          </w:tcPr>
          <w:p w14:paraId="10A3B3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3018 кг</w:t>
            </w:r>
          </w:p>
        </w:tc>
      </w:tr>
      <w:tr w:rsidR="00CB5308" w:rsidRPr="00070ADE" w14:paraId="46A302AE" w14:textId="77777777">
        <w:tc>
          <w:tcPr>
            <w:tcW w:w="5636" w:type="dxa"/>
          </w:tcPr>
          <w:p w14:paraId="1C9ACF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w:t>
            </w:r>
          </w:p>
        </w:tc>
        <w:tc>
          <w:tcPr>
            <w:tcW w:w="5636" w:type="dxa"/>
          </w:tcPr>
          <w:p w14:paraId="7A2709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544 км/час</w:t>
            </w:r>
          </w:p>
        </w:tc>
      </w:tr>
      <w:tr w:rsidR="00CB5308" w:rsidRPr="00070ADE" w14:paraId="688DFB6C" w14:textId="77777777">
        <w:tc>
          <w:tcPr>
            <w:tcW w:w="5636" w:type="dxa"/>
          </w:tcPr>
          <w:p w14:paraId="76AAAF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2-й</w:t>
            </w:r>
          </w:p>
        </w:tc>
        <w:tc>
          <w:tcPr>
            <w:tcW w:w="5636" w:type="dxa"/>
          </w:tcPr>
          <w:p w14:paraId="0D0DE1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5990257" w14:textId="77777777">
        <w:tc>
          <w:tcPr>
            <w:tcW w:w="5636" w:type="dxa"/>
          </w:tcPr>
          <w:p w14:paraId="29F33C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границе высотности (Н=3650 м)</w:t>
            </w:r>
          </w:p>
        </w:tc>
        <w:tc>
          <w:tcPr>
            <w:tcW w:w="5636" w:type="dxa"/>
          </w:tcPr>
          <w:p w14:paraId="73649A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603 км/час</w:t>
            </w:r>
          </w:p>
        </w:tc>
      </w:tr>
      <w:tr w:rsidR="00CB5308" w:rsidRPr="00070ADE" w14:paraId="70331DF1" w14:textId="77777777">
        <w:tc>
          <w:tcPr>
            <w:tcW w:w="5636" w:type="dxa"/>
          </w:tcPr>
          <w:p w14:paraId="09FBA7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50000 м</w:t>
            </w:r>
          </w:p>
        </w:tc>
        <w:tc>
          <w:tcPr>
            <w:tcW w:w="5636" w:type="dxa"/>
          </w:tcPr>
          <w:p w14:paraId="16665E0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 мин.</w:t>
            </w:r>
          </w:p>
        </w:tc>
      </w:tr>
    </w:tbl>
    <w:p w14:paraId="7410A5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Охлаждение воды и масла недостаточно.</w:t>
      </w:r>
    </w:p>
    <w:p w14:paraId="3D9ACE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Обработка результатов испытаний самолета Як-9 проведена по средней тарировочной кривой ряда самолетов, поэтому величины максимальной скорости приведены с точностью до 6 км/час.</w:t>
      </w:r>
    </w:p>
    <w:p w14:paraId="76F8BDC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Як-7Б производства завода N 82</w:t>
      </w:r>
    </w:p>
    <w:p w14:paraId="3F94AA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выпуска ноября 1943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CB5308" w:rsidRPr="00070ADE" w14:paraId="3273B7F9" w14:textId="77777777">
        <w:tc>
          <w:tcPr>
            <w:tcW w:w="5636" w:type="dxa"/>
          </w:tcPr>
          <w:p w14:paraId="4564513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w:t>
            </w:r>
          </w:p>
        </w:tc>
        <w:tc>
          <w:tcPr>
            <w:tcW w:w="5636" w:type="dxa"/>
          </w:tcPr>
          <w:p w14:paraId="348D79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3026 кг</w:t>
            </w:r>
          </w:p>
        </w:tc>
      </w:tr>
      <w:tr w:rsidR="00CB5308" w:rsidRPr="00070ADE" w14:paraId="3FD6592D" w14:textId="77777777">
        <w:tc>
          <w:tcPr>
            <w:tcW w:w="5636" w:type="dxa"/>
          </w:tcPr>
          <w:p w14:paraId="1C6590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w:t>
            </w:r>
          </w:p>
        </w:tc>
        <w:tc>
          <w:tcPr>
            <w:tcW w:w="5636" w:type="dxa"/>
          </w:tcPr>
          <w:p w14:paraId="7F78295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525 км/час</w:t>
            </w:r>
          </w:p>
        </w:tc>
      </w:tr>
      <w:tr w:rsidR="00CB5308" w:rsidRPr="00070ADE" w14:paraId="2ACDCC80" w14:textId="77777777">
        <w:tc>
          <w:tcPr>
            <w:tcW w:w="5636" w:type="dxa"/>
          </w:tcPr>
          <w:p w14:paraId="1D27EF4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2-й</w:t>
            </w:r>
          </w:p>
        </w:tc>
        <w:tc>
          <w:tcPr>
            <w:tcW w:w="5636" w:type="dxa"/>
          </w:tcPr>
          <w:p w14:paraId="201398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F511BD2" w14:textId="77777777">
        <w:tc>
          <w:tcPr>
            <w:tcW w:w="5636" w:type="dxa"/>
          </w:tcPr>
          <w:p w14:paraId="342B23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границе высотности (Н=3600 м)</w:t>
            </w:r>
          </w:p>
        </w:tc>
        <w:tc>
          <w:tcPr>
            <w:tcW w:w="5636" w:type="dxa"/>
          </w:tcPr>
          <w:p w14:paraId="75F2D1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580 км/час</w:t>
            </w:r>
          </w:p>
        </w:tc>
      </w:tr>
      <w:tr w:rsidR="00CB5308" w:rsidRPr="00070ADE" w14:paraId="40B0459A" w14:textId="77777777">
        <w:tc>
          <w:tcPr>
            <w:tcW w:w="5636" w:type="dxa"/>
          </w:tcPr>
          <w:p w14:paraId="65A5366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Самолет Як-1 N 12163 производства завода N 292 </w:t>
            </w:r>
          </w:p>
        </w:tc>
        <w:tc>
          <w:tcPr>
            <w:tcW w:w="5636" w:type="dxa"/>
          </w:tcPr>
          <w:p w14:paraId="0E251C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910ED5A" w14:textId="77777777">
        <w:tc>
          <w:tcPr>
            <w:tcW w:w="5636" w:type="dxa"/>
          </w:tcPr>
          <w:p w14:paraId="456B0C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выпуска ноября 1943 года.</w:t>
            </w:r>
          </w:p>
        </w:tc>
        <w:tc>
          <w:tcPr>
            <w:tcW w:w="5636" w:type="dxa"/>
          </w:tcPr>
          <w:p w14:paraId="36D3DE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475CD6E" w14:textId="77777777">
        <w:tc>
          <w:tcPr>
            <w:tcW w:w="5636" w:type="dxa"/>
          </w:tcPr>
          <w:p w14:paraId="196E83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 не определялся из-за неисправности весов на заводе.</w:t>
            </w:r>
          </w:p>
        </w:tc>
        <w:tc>
          <w:tcPr>
            <w:tcW w:w="5636" w:type="dxa"/>
          </w:tcPr>
          <w:p w14:paraId="3FADAA9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8F03DF9" w14:textId="77777777">
        <w:tc>
          <w:tcPr>
            <w:tcW w:w="5636" w:type="dxa"/>
          </w:tcPr>
          <w:p w14:paraId="3656AA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w:t>
            </w:r>
          </w:p>
        </w:tc>
        <w:tc>
          <w:tcPr>
            <w:tcW w:w="5636" w:type="dxa"/>
          </w:tcPr>
          <w:p w14:paraId="35D35E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2998 кг</w:t>
            </w:r>
          </w:p>
        </w:tc>
      </w:tr>
      <w:tr w:rsidR="00CB5308" w:rsidRPr="00070ADE" w14:paraId="15CAF043" w14:textId="77777777">
        <w:tc>
          <w:tcPr>
            <w:tcW w:w="5636" w:type="dxa"/>
          </w:tcPr>
          <w:p w14:paraId="03862B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w:t>
            </w:r>
          </w:p>
        </w:tc>
        <w:tc>
          <w:tcPr>
            <w:tcW w:w="5636" w:type="dxa"/>
          </w:tcPr>
          <w:p w14:paraId="4D2EC1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108899B" w14:textId="77777777">
        <w:tc>
          <w:tcPr>
            <w:tcW w:w="5636" w:type="dxa"/>
          </w:tcPr>
          <w:p w14:paraId="256FFF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оборотах мотора 2700 об/мин.</w:t>
            </w:r>
          </w:p>
        </w:tc>
        <w:tc>
          <w:tcPr>
            <w:tcW w:w="5636" w:type="dxa"/>
          </w:tcPr>
          <w:p w14:paraId="549E1E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522 км/час</w:t>
            </w:r>
          </w:p>
        </w:tc>
      </w:tr>
      <w:tr w:rsidR="00CB5308" w:rsidRPr="00070ADE" w14:paraId="0A5B3DCA" w14:textId="77777777">
        <w:tc>
          <w:tcPr>
            <w:tcW w:w="5636" w:type="dxa"/>
          </w:tcPr>
          <w:p w14:paraId="4F93D7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-"- 2550 об/мин.</w:t>
            </w:r>
          </w:p>
        </w:tc>
        <w:tc>
          <w:tcPr>
            <w:tcW w:w="5636" w:type="dxa"/>
          </w:tcPr>
          <w:p w14:paraId="75C7BAE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527 км/час</w:t>
            </w:r>
          </w:p>
        </w:tc>
      </w:tr>
      <w:tr w:rsidR="00CB5308" w:rsidRPr="00070ADE" w14:paraId="577DC1BE" w14:textId="77777777">
        <w:tc>
          <w:tcPr>
            <w:tcW w:w="5636" w:type="dxa"/>
          </w:tcPr>
          <w:p w14:paraId="695E35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2-й</w:t>
            </w:r>
          </w:p>
        </w:tc>
        <w:tc>
          <w:tcPr>
            <w:tcW w:w="5636" w:type="dxa"/>
          </w:tcPr>
          <w:p w14:paraId="5E3CA4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35BDCFB" w14:textId="77777777">
        <w:tc>
          <w:tcPr>
            <w:tcW w:w="5636" w:type="dxa"/>
          </w:tcPr>
          <w:p w14:paraId="0E7E7A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границе высотности (Н=4050 м)</w:t>
            </w:r>
          </w:p>
        </w:tc>
        <w:tc>
          <w:tcPr>
            <w:tcW w:w="5636" w:type="dxa"/>
          </w:tcPr>
          <w:p w14:paraId="252B90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589 км/час</w:t>
            </w:r>
          </w:p>
        </w:tc>
      </w:tr>
      <w:tr w:rsidR="00CB5308" w:rsidRPr="00070ADE" w14:paraId="2818AA6A" w14:textId="77777777">
        <w:tc>
          <w:tcPr>
            <w:tcW w:w="5636" w:type="dxa"/>
          </w:tcPr>
          <w:p w14:paraId="46393F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50000 м</w:t>
            </w:r>
          </w:p>
        </w:tc>
        <w:tc>
          <w:tcPr>
            <w:tcW w:w="5636" w:type="dxa"/>
          </w:tcPr>
          <w:p w14:paraId="1D462C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 мин.</w:t>
            </w:r>
          </w:p>
        </w:tc>
      </w:tr>
    </w:tbl>
    <w:p w14:paraId="554E5A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Предъявленные заводом N 292 самолеты N 17162 и 20162 испытания не выдержали из-за плохой работы ВМГ (течь воды через прокладку рубашки цилиндров в картер, недодача оборотов мотора).</w:t>
      </w:r>
    </w:p>
    <w:p w14:paraId="39F6CBB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самолетов заводов N 21 и N 381 не окончены из-за отсутствия летной погоды (1821,1).</w:t>
      </w:r>
    </w:p>
    <w:p w14:paraId="4BF127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94CA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января 1944 вышел приказ НКАП № 4с:</w:t>
      </w:r>
    </w:p>
    <w:p w14:paraId="502DF9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организации пр-ва бомбоампульных связок БАС-1 и ремонта установок вооружения, радиаторов, баков:</w:t>
      </w:r>
    </w:p>
    <w:p w14:paraId="0EC39F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киевских з-в бывшего 454 и 455 организовать ремонтные мастерские № 1 и № 2, подчинив их 2 ГУ (1674, 39).</w:t>
      </w:r>
    </w:p>
    <w:p w14:paraId="01BE65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35A12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января 1944 вышло Постановление ГКО № 4879 Об организации авиаремонтного завода № 473 Наркомавиапрома в г. Киеве. РГАНИР, Фонд ГКО, д. 185, лл. 9,10-11 (11012).</w:t>
      </w:r>
    </w:p>
    <w:p w14:paraId="2474C53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EBFA51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января 1944 года вышло решение ГКО за № 4979сс и 4 января 1944 года вышел приказ НКАП от № 6, которым б. Заводу № 43, восстановленному в конце 1942, был присвоен номер 473. Директором завода был назначен Пиняк В.М.</w:t>
      </w:r>
    </w:p>
    <w:p w14:paraId="092D87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1945 по 1946 гг. – директор Дудник Е.П.</w:t>
      </w:r>
    </w:p>
    <w:p w14:paraId="32C357E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1946 по 1950 гг. – директор Миронов М.Р.</w:t>
      </w:r>
    </w:p>
    <w:p w14:paraId="0B0FE82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1950 по 1954 гг. – директор Шелест П.Е.</w:t>
      </w:r>
    </w:p>
    <w:p w14:paraId="7C48D7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1954 по 1958 гг. – директор Степанченко В.А.</w:t>
      </w:r>
    </w:p>
    <w:p w14:paraId="118925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1958 года – директор Ивченко А.Г.</w:t>
      </w:r>
    </w:p>
    <w:p w14:paraId="556CE6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1945 года завод № 473 занимал следующие промплощадки:</w:t>
      </w:r>
    </w:p>
    <w:p w14:paraId="4DC0FC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Промплощадку № 1 – бывш. строительство фабрики клавишных музыкальных инструментов</w:t>
      </w:r>
    </w:p>
    <w:p w14:paraId="7F9514D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Промплощадку № 2 – территорию бывш. завода № 43 и 6-го ж/д полка</w:t>
      </w:r>
    </w:p>
    <w:p w14:paraId="154D65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Промплощадку № 3 – бывш. опытный завод гл. конструктора Таирова В.К.</w:t>
      </w:r>
    </w:p>
    <w:p w14:paraId="55343C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Промплощадку № 4 – аэродром КВО</w:t>
      </w:r>
    </w:p>
    <w:p w14:paraId="4FF17D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распоряжению СНК от 23 октября 1945 года № 15327-Р промплощадки №№ 2 и 3 переданы НК гражданстрою.</w:t>
      </w:r>
    </w:p>
    <w:p w14:paraId="7E6732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находится в 9 км от центра Киева и граничит:</w:t>
      </w:r>
    </w:p>
    <w:p w14:paraId="58184DE9" w14:textId="77777777" w:rsidR="003712D9" w:rsidRPr="00070ADE" w:rsidRDefault="003712D9" w:rsidP="00B56F90">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севера – с аэродромом завода № 473</w:t>
      </w:r>
    </w:p>
    <w:p w14:paraId="3771D1DD" w14:textId="77777777" w:rsidR="003712D9" w:rsidRPr="00070ADE" w:rsidRDefault="003712D9" w:rsidP="00B56F90">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востока – с Гостомельским шоссе</w:t>
      </w:r>
    </w:p>
    <w:p w14:paraId="248CEC8B" w14:textId="77777777" w:rsidR="003712D9" w:rsidRPr="00070ADE" w:rsidRDefault="003712D9" w:rsidP="00B56F90">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юга – с Брест-Литовским шоссе</w:t>
      </w:r>
    </w:p>
    <w:p w14:paraId="4D5B617E" w14:textId="77777777" w:rsidR="003712D9" w:rsidRPr="00070ADE" w:rsidRDefault="003712D9" w:rsidP="00B56F90">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запада – с ж/д линией Гомель-Коростень</w:t>
      </w:r>
    </w:p>
    <w:p w14:paraId="45B806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переиод с 1920 по 1941 гг. производственная деятельность завода заключалась в ремонте самолетов и моторов, гл. образом иностранных марок. Наряду с ремонтом, начиная с 1926 года, завод приступил к созданию отечественной авиатехники, как опытных образцов, так и малых серий. Этапными вехами являются:</w:t>
      </w:r>
    </w:p>
    <w:p w14:paraId="3FD1B94D" w14:textId="77777777" w:rsidR="003712D9" w:rsidRPr="00070ADE" w:rsidRDefault="003712D9" w:rsidP="00B56F90">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“К-1” – 1925-1926 гг.</w:t>
      </w:r>
    </w:p>
    <w:p w14:paraId="6BBE875A" w14:textId="77777777" w:rsidR="003712D9" w:rsidRPr="00070ADE" w:rsidRDefault="003712D9" w:rsidP="00B56F90">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Серия автожиров “ЭА4” – 1932-1933 гг.</w:t>
      </w:r>
    </w:p>
    <w:p w14:paraId="075B735F" w14:textId="77777777" w:rsidR="003712D9" w:rsidRPr="00070ADE" w:rsidRDefault="003712D9" w:rsidP="00B56F90">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Серия первых советских скоростных пассажирских самолетов “ХАИ-1” – 1934-1936 гг.</w:t>
      </w:r>
    </w:p>
    <w:p w14:paraId="5A65B7BC" w14:textId="77777777" w:rsidR="003712D9" w:rsidRPr="00070ADE" w:rsidRDefault="003712D9" w:rsidP="00B56F90">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Строительство опытных самолетов “ОКО-1” и “ОКО-6” конструкции Таирова В.К. – 1937-1941 гг.</w:t>
      </w:r>
    </w:p>
    <w:p w14:paraId="0B46984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июня 1941 года завод был разрушен с воздуха.</w:t>
      </w:r>
    </w:p>
    <w:p w14:paraId="2E4D256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был эвакуирован в гг. Новосибирск и Куйбышев.</w:t>
      </w:r>
    </w:p>
    <w:p w14:paraId="60A198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ВОВ завод стал крупносерийным.</w:t>
      </w:r>
    </w:p>
    <w:p w14:paraId="3266E7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Адрес: Киев, Брест-Литовское шоссе, 146</w:t>
      </w:r>
    </w:p>
    <w:p w14:paraId="30DCC64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выпускал:</w:t>
      </w:r>
    </w:p>
    <w:p w14:paraId="20AFF880" w14:textId="77777777" w:rsidR="003712D9" w:rsidRPr="00070ADE" w:rsidRDefault="003712D9" w:rsidP="00B56F90">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Малые серии геликоптеров конструкции Братухина И.П.</w:t>
      </w:r>
    </w:p>
    <w:p w14:paraId="19DD0465" w14:textId="77777777" w:rsidR="003712D9" w:rsidRPr="00070ADE" w:rsidRDefault="003712D9" w:rsidP="00B56F90">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Опытный образец вертолета конструкции М.А. Миля.</w:t>
      </w:r>
    </w:p>
    <w:p w14:paraId="4EFE4B84" w14:textId="77777777" w:rsidR="003712D9" w:rsidRPr="00070ADE" w:rsidRDefault="003712D9" w:rsidP="00B56F90">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1949 года перешел на производство самолетов АН-2 конструкции О.К. Антонова (9609).</w:t>
      </w:r>
    </w:p>
    <w:p w14:paraId="0CA3E2F8" w14:textId="77777777" w:rsidR="003712D9" w:rsidRPr="00070ADE" w:rsidRDefault="003712D9" w:rsidP="00B56F90">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286A023" w14:textId="65C3F1E8" w:rsidR="005163E5" w:rsidRPr="00070ADE" w:rsidRDefault="005163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lang w:eastAsia="ru-RU" w:bidi="ru-RU"/>
        </w:rPr>
        <w:t>3 января 1944 г. было принято решение о восстановлении авиазавода в Киеве. Предприятие, которому присвоили № 473, должно было занять тер</w:t>
      </w:r>
      <w:r w:rsidRPr="00070ADE">
        <w:rPr>
          <w:rFonts w:ascii="Times New Roman" w:hAnsi="Times New Roman"/>
          <w:color w:val="000000" w:themeColor="text1"/>
          <w:sz w:val="16"/>
          <w:szCs w:val="16"/>
          <w:lang w:eastAsia="ru-RU" w:bidi="ru-RU"/>
        </w:rPr>
        <w:softHyphen/>
        <w:t>риторию довоенного авиазавода № 43, но поскольку его производственные помещения были полностью разрушены, завод временно расположился в нескольких ангарах на Жулянском аэродроме. Как и в Харькове, на заво</w:t>
      </w:r>
      <w:r w:rsidRPr="00070ADE">
        <w:rPr>
          <w:rFonts w:ascii="Times New Roman" w:hAnsi="Times New Roman"/>
          <w:color w:val="000000" w:themeColor="text1"/>
          <w:sz w:val="16"/>
          <w:szCs w:val="16"/>
          <w:lang w:eastAsia="ru-RU" w:bidi="ru-RU"/>
        </w:rPr>
        <w:softHyphen/>
        <w:t>де № 473 наладили ремонт самолетов, а затем сборку истребителей Як-1, Як-7 и Як-9 (910 экземпляров в течение 1944 г.). Но уже в начале 1945 г. объемы производства резко упали, а к лету сборка истребителей практиче</w:t>
      </w:r>
      <w:r w:rsidRPr="00070ADE">
        <w:rPr>
          <w:rFonts w:ascii="Times New Roman" w:hAnsi="Times New Roman"/>
          <w:color w:val="000000" w:themeColor="text1"/>
          <w:sz w:val="16"/>
          <w:szCs w:val="16"/>
          <w:lang w:eastAsia="ru-RU" w:bidi="ru-RU"/>
        </w:rPr>
        <w:softHyphen/>
        <w:t>ски прекратилась (23180).</w:t>
      </w:r>
    </w:p>
    <w:p w14:paraId="21BA3050" w14:textId="77777777" w:rsidR="005163E5" w:rsidRPr="00070ADE" w:rsidRDefault="005163E5" w:rsidP="00B56F90">
      <w:pPr>
        <w:spacing w:after="0" w:line="240" w:lineRule="auto"/>
        <w:jc w:val="both"/>
        <w:rPr>
          <w:rFonts w:ascii="Times New Roman" w:hAnsi="Times New Roman"/>
          <w:color w:val="000000" w:themeColor="text1"/>
          <w:sz w:val="16"/>
          <w:szCs w:val="16"/>
        </w:rPr>
      </w:pPr>
    </w:p>
    <w:p w14:paraId="0646F9AC" w14:textId="7251597C"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января 1944 г. на площадке эвакуированного завода № 454 в Киеве по приказу № 4с организованы Ремонтные мастерские № 1 при 2ГУ НКАП для ремонта установок вооружения и производства ампульных связок ВАС-1. Затем на базе мастерских образован Завод № 483 при 2ГУ НКАП (Завод № 483 НКАП, МАЦ, МОП /Украина</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Киев/). Производство агрегатов хим. вооружения.</w:t>
      </w:r>
    </w:p>
    <w:p w14:paraId="6BE4EA1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 34с от 30.01.1945 г. завод № 483 с 1.01.1945 г. передан из 2ГУ в 17ГУ для организации выпуска РЛ опознавательных приборов. В соответствии с пост. СМ СССР № 713-342 от 26.06.1957 г. передан в ведение СНХ УССР.</w:t>
      </w:r>
    </w:p>
    <w:p w14:paraId="47F54D7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1946 г. заводу поставлено 34 трофейных металлорежущих станка.</w:t>
      </w:r>
    </w:p>
    <w:p w14:paraId="28A8E73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Возможно, затем завод передан в МОП и далее это- завод № 784 (завод «Арсенал»).</w:t>
      </w:r>
    </w:p>
    <w:p w14:paraId="72BA99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(03.1946 г.)- И.И. Копошилко, (1951 г.)- Данилич.</w:t>
      </w:r>
    </w:p>
    <w:p w14:paraId="7B901A7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ответчик СОД-57М; РВ-2; «Натрий», ПСБН-М; РЛГС: ПАРГ-13ВВ для К-13Р, ТГС-59 для К- 55; прицельно-вычислительное устройство «Ландыш» для Ми-14; станция РЛ разведки и постановки помех IIP-1 (1954).</w:t>
      </w:r>
    </w:p>
    <w:p w14:paraId="62532A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Киевский завод «Коммунист», ПО «Коммунист», Государственное ПО (ГПО) «Радар»,</w:t>
      </w:r>
    </w:p>
    <w:p w14:paraId="2B832B8C" w14:textId="3A6C5AB2"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ОАО «Киевский завод «Радар» /Украина</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Киев а/я 601/ /Украина 01650 (03680)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Киев ул. Предславинская, 35 тел. 269-93-03/</w:t>
      </w:r>
    </w:p>
    <w:p w14:paraId="622A564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«Коммунист» основан в 1930 г. Далее - завод № 454, после восстановления -- завод № 483 НКАП.</w:t>
      </w:r>
    </w:p>
    <w:p w14:paraId="0D3BBE8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(2003 г.): метео РЛ-комплексы ЛА; УКВ-системы управления посадкой; аппаратура опознавания; высокочастотные антенны; ГСН.</w:t>
      </w:r>
    </w:p>
    <w:p w14:paraId="4808FC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(2002 г.)- Т.П. Майоров.</w:t>
      </w:r>
    </w:p>
    <w:p w14:paraId="1BC7366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директора по экономике и ВЭС (2002 г.)- B.C. Майстренко.</w:t>
      </w:r>
      <w:r w:rsidRPr="00070ADE">
        <w:rPr>
          <w:rFonts w:ascii="Times New Roman" w:hAnsi="Times New Roman"/>
          <w:color w:val="000000" w:themeColor="text1"/>
          <w:sz w:val="16"/>
          <w:szCs w:val="16"/>
          <w:vertAlign w:val="superscript"/>
        </w:rPr>
        <w:t>69</w:t>
      </w:r>
    </w:p>
    <w:p w14:paraId="447F28D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прицельно-навигационные системы ПНС-24 «Пума» для Су-24, ПНС-24М для Су-24М, ПНС- 24ПМ для Су-24МП (1970-е), IIHC-24MP для Су-24МР (1970-е); бытовой дозиметр СИМ-05 «Юпитер»; </w:t>
      </w:r>
      <w:r w:rsidRPr="00070ADE">
        <w:rPr>
          <w:rFonts w:ascii="Times New Roman" w:hAnsi="Times New Roman"/>
          <w:iCs/>
          <w:color w:val="000000" w:themeColor="text1"/>
          <w:sz w:val="16"/>
          <w:szCs w:val="16"/>
        </w:rPr>
        <w:t>магнитофоны:</w:t>
      </w:r>
      <w:r w:rsidRPr="00070ADE">
        <w:rPr>
          <w:rFonts w:ascii="Times New Roman" w:hAnsi="Times New Roman"/>
          <w:color w:val="000000" w:themeColor="text1"/>
          <w:sz w:val="16"/>
          <w:szCs w:val="16"/>
        </w:rPr>
        <w:t xml:space="preserve"> «Мр1я», «Юпитер-201С, -202С, -203С, МК-203С, -204С, -101С, МК-106С, -001С, -002С, 003С, - 004-квадро».</w:t>
      </w:r>
    </w:p>
    <w:p w14:paraId="5D4DCF7D" w14:textId="585AB040"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ОКБ-483 МАП /Украина</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Киев/</w:t>
      </w:r>
    </w:p>
    <w:p w14:paraId="0D1DC80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Разработка прицелов и систем управления УРВП. Велась отработка РЛ-прицелов ПСБН-М (1950 г.), ПСБН- МА (1954 г.-), созданных в ЦНИИ-108. В 08.1957 г.- в ведении 4ГУ ГКАТ.</w:t>
      </w:r>
    </w:p>
    <w:p w14:paraId="4A8F71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Возможно, затем ОКБ передано в МОП и далее это- ЦКБ «Арсенал».</w:t>
      </w:r>
    </w:p>
    <w:p w14:paraId="7BFAC97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(-1950-57 г.-) - В.П. Островский.</w:t>
      </w:r>
    </w:p>
    <w:p w14:paraId="5F0F343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(-1950-57 г.-) - В.П. Островский.</w:t>
      </w:r>
    </w:p>
    <w:p w14:paraId="655404E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w:t>
      </w:r>
      <w:r w:rsidRPr="00070ADE">
        <w:rPr>
          <w:rFonts w:ascii="Times New Roman" w:hAnsi="Times New Roman"/>
          <w:color w:val="000000" w:themeColor="text1"/>
          <w:sz w:val="16"/>
          <w:szCs w:val="16"/>
        </w:rPr>
        <w:t xml:space="preserve"> РЛ прицелы: РБП-3, «Инициатива», «Инициатива-2» для Ту-98 и Ил-54 (1955-), «Инициатива-4» для Як-28И (середина 1950-х)</w:t>
      </w:r>
      <w:r w:rsidRPr="00070ADE">
        <w:rPr>
          <w:rFonts w:ascii="Times New Roman" w:hAnsi="Times New Roman"/>
          <w:color w:val="000000" w:themeColor="text1"/>
          <w:sz w:val="16"/>
          <w:szCs w:val="16"/>
          <w:vertAlign w:val="superscript"/>
        </w:rPr>
        <w:t>74</w:t>
      </w:r>
      <w:r w:rsidRPr="00070ADE">
        <w:rPr>
          <w:rFonts w:ascii="Times New Roman" w:hAnsi="Times New Roman"/>
          <w:color w:val="000000" w:themeColor="text1"/>
          <w:sz w:val="16"/>
          <w:szCs w:val="16"/>
        </w:rPr>
        <w:t>, «Самшит» для Ил-28 и Ил-54 (1955-); РЛ-ответчик «Штырь» (1955) (11982).</w:t>
      </w:r>
    </w:p>
    <w:p w14:paraId="634D6F67" w14:textId="77777777" w:rsidR="00414BE3" w:rsidRPr="00070ADE" w:rsidRDefault="00414BE3" w:rsidP="00B56F90">
      <w:pPr>
        <w:autoSpaceDE w:val="0"/>
        <w:autoSpaceDN w:val="0"/>
        <w:adjustRightInd w:val="0"/>
        <w:spacing w:after="0" w:line="240" w:lineRule="auto"/>
        <w:jc w:val="both"/>
        <w:rPr>
          <w:rFonts w:ascii="Times New Roman" w:hAnsi="Times New Roman"/>
          <w:color w:val="000000" w:themeColor="text1"/>
          <w:sz w:val="16"/>
          <w:szCs w:val="16"/>
        </w:rPr>
      </w:pPr>
    </w:p>
    <w:p w14:paraId="2CB7BFE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января 1944 г. на площадке эвакуированного завода № 455 им. Артема в Киеве по приказу № 4с от были сформированы Ремонтные мастерские № 1 при 2ГУ НКАП для производства ампульных связок ВАС-1 и ремонта установок вооружения. В том же году мастерские преобразованы в новый Завод № 485 им. Артема при 2ГУ НКАП.</w:t>
      </w:r>
    </w:p>
    <w:p w14:paraId="204AA41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1958 г. началось производство УРВВ.</w:t>
      </w:r>
    </w:p>
    <w:p w14:paraId="6A85DAA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12.1971 г. образован филиал № 3 КПО (далее- самостоятельный ЩЭМЗ).</w:t>
      </w:r>
    </w:p>
    <w:p w14:paraId="2C21F96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состав ПО входили (1990-е г.): ГосККБ «Луч», ЖМЗ, Красиловский агрегатный завод, ЩЭМЗ, завод «Красное знамя».</w:t>
      </w:r>
    </w:p>
    <w:p w14:paraId="2E69E23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(2003 г.): электрооборудование ЛА (электродвигатели, электромеханизмы дистанционного управления, электромагнитные контакторы); авиационные ПУ, балочные и кассетные держатели, рейки; ТНП.</w:t>
      </w:r>
    </w:p>
    <w:p w14:paraId="2F187D9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Работали: Дунаев.</w:t>
      </w:r>
    </w:p>
    <w:p w14:paraId="5996343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(-12.1945-54 г.-)- Власов.</w:t>
      </w:r>
    </w:p>
    <w:p w14:paraId="725DE4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Производство: УРВВ: РС-2-У (К-5М, 1958-59), РС-2-УС (К-51, 1959-61-), К-8М (1960-), Р-98, К-13 (1960-), К-13Р (Р-3Р), "46" (К-40), Р-23Т, Р-23Р, Р-24Т, Р-24Р, Р-27; балочные держатели БД3-58-21; ПУ для ракет КАРС-160 (АПУ-14), АРС-212М (ПУ-12-40)., Власов (1954г). </w:t>
      </w:r>
    </w:p>
    <w:p w14:paraId="170901B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485 им. Артема НКАП, МАП, Киевский завод им. Артема, ГП «Киевское ПО (КПО) им. Артема», Государственная акционерная холдинговая компания (ГАХК) «Артем»</w:t>
      </w:r>
    </w:p>
    <w:p w14:paraId="4F93034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Украина 252050 г. Киев ул. Мельникова, 2/10 тел. 213-21-24</w:t>
      </w:r>
    </w:p>
    <w:p w14:paraId="55F166B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Государственное Киевское КБ (ГосККБ) «Луч» </w:t>
      </w:r>
    </w:p>
    <w:p w14:paraId="28FDCBC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Украина 252050 г. Киев ул. Мельникова, 2 тел. 213-07-45</w:t>
      </w:r>
    </w:p>
    <w:p w14:paraId="2B804B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ГосККБ «Луч» создано в 1965 г.</w:t>
      </w:r>
    </w:p>
    <w:p w14:paraId="73CDA67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Направления работ (1990-е г.): разработка и изготовление опытных партий: систем автоматизированного контроля и диагностики (АСКД) РЭО ЛА, судов; следящих электроприводных агрегатов для авиационных и зенитных ракет, торпед.</w:t>
      </w:r>
    </w:p>
    <w:p w14:paraId="33781FC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(1996 г.)- Л.А. Семенов.</w:t>
      </w:r>
    </w:p>
    <w:p w14:paraId="2267517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(1996 г.)- Л.А. Семенов.</w:t>
      </w:r>
    </w:p>
    <w:p w14:paraId="70ADCD1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АСКД: «Ингул», «Трубок», «Гурт», АК-ИПС; блок электронных рулевых приводов БЭРП-170.</w:t>
      </w:r>
    </w:p>
    <w:p w14:paraId="56A31E9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ГП «Жулянский машиностроительный завод (ЖМЗ) «Визар»</w:t>
      </w:r>
    </w:p>
    <w:p w14:paraId="4ADA4CB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Украина 08132 г. Вишневый Киевской обл. ул. Ломоносова, 1 тел. 52-933</w:t>
      </w:r>
    </w:p>
    <w:p w14:paraId="33BE06F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Создан в 1968 г. на базе филиала завода им. Артема. </w:t>
      </w:r>
    </w:p>
    <w:p w14:paraId="1C1DD63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Производство изделий для комплекса С-300. </w:t>
      </w:r>
    </w:p>
    <w:p w14:paraId="3FB00DC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(2002 г.): бытовые счетчики газа, стабилизаторы давления газа, медицинские инструменты, автопринадлежности, сельхозтехника, деревообрабатывающий инструмент.</w:t>
      </w:r>
    </w:p>
    <w:p w14:paraId="600DEA5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(2002 г.): 1223 чел.</w:t>
      </w:r>
    </w:p>
    <w:p w14:paraId="10E4751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(2002 г.)- А.А. Коваль.</w:t>
      </w:r>
    </w:p>
    <w:p w14:paraId="276C802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Директора (2002 г.)- В.А. Бутенко, (2002 г.)- М.М. Таланов.</w:t>
      </w:r>
    </w:p>
    <w:p w14:paraId="087DCD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(2002 г.)- Ю.Г. Лабай.</w:t>
      </w:r>
    </w:p>
    <w:p w14:paraId="5D4C5B8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Щорский электромеханический завод (ЩЭМЗ)</w:t>
      </w:r>
    </w:p>
    <w:p w14:paraId="55603D2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Украина 251530 г. Щорс Черниговской обл. ул. 30 лет Победы, 39</w:t>
      </w:r>
    </w:p>
    <w:p w14:paraId="68161B3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образован в 12.1971 г. как филиал № 3 КПО им. Артема. 19.05.1993 г. филиал преобразован в ЩЭМЗ при Министерстве машиностроения, ВПК и конверсии.</w:t>
      </w:r>
    </w:p>
    <w:p w14:paraId="331DF87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авиационного оборудования (контейнерная и кабельная продукция), ТНП.</w:t>
      </w:r>
    </w:p>
    <w:p w14:paraId="1FD2135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(1996 г.)- С.Н. Макаров.</w:t>
      </w:r>
    </w:p>
    <w:p w14:paraId="593D0B8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(1996 г.)- И.И. Пискунов.</w:t>
      </w:r>
    </w:p>
    <w:p w14:paraId="15F138B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ГП «Красиловский агрегатный завод» </w:t>
      </w:r>
    </w:p>
    <w:p w14:paraId="62191D5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Украина 281500 г. Красилов Хмельницкой обл. тел. 21-453</w:t>
      </w:r>
    </w:p>
    <w:p w14:paraId="7888800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1990-е г. завод входил в КПО им. Артема.</w:t>
      </w:r>
    </w:p>
    <w:p w14:paraId="27A4876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Производство: механизмы держателей, авиационные ПУ (2002 г.).69 </w:t>
      </w:r>
    </w:p>
    <w:p w14:paraId="6DEC363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ОАО «Завод «Красное знамя» </w:t>
      </w:r>
    </w:p>
    <w:p w14:paraId="19E9B39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Рязань</w:t>
      </w:r>
    </w:p>
    <w:p w14:paraId="359BF51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3B16142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Гендиректор (2005 г.)- А. Мороз (10776).</w:t>
      </w:r>
    </w:p>
    <w:p w14:paraId="5910CB4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4524C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января 1944 года приказом НКАП за № 12сс в целях создания производственно-экспериментальной базы в области опытного винтостроения на базе объединения ОКБ заводов за №№ 28, 35 и 132 был создан на производственных площадях винтового производства бывш. комбината № 150 в Ступино Московской области опытный завод № 25, который просуществовал до конца первого квартала 1945 года. Директором опытного завода № 25 был назначен Бандолетов М.С., гл. конструктором Жданов К.И.</w:t>
      </w:r>
    </w:p>
    <w:p w14:paraId="144763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НКАП за № 151 от 20 апреля 1945 года опытный завод № 25 был реорганизован в ОКБ завода № 150.</w:t>
      </w:r>
    </w:p>
    <w:p w14:paraId="11B83A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создания производственно-технической базы приказом МАП за № 155с от 25 марта 1946 года ОКБ завода № 150 было вторично реорганизовано в опытный завод по винтам и регуляторам под № 120. Директором и гл. конструктором опытного завода № 120 был назначен Жданов К.И. Завод выпускал малые серии воздушных винтов и регуляторов, необходимых для окончательной их обработки перед запуском в серийное производство.</w:t>
      </w:r>
    </w:p>
    <w:p w14:paraId="63B420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МАП за № 417 от 17 июня 1948 года опытный завод № 120 был реорганизован в серийный завод по производству воздушных винтов за № 120. Директором завода № 120 был назначен Терентьев Н.В., гл. конструктором Жданов К.И. (9679).</w:t>
      </w:r>
    </w:p>
    <w:p w14:paraId="104A66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4A363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января 1944 г. на площадке эвакуированного завода № 455 в Киеве (ГС Завод № 455 ИМ. Артема НКАП, АО «Днепровский машиностроительный завод в Киеве», Днепровский машиностроительный завод «Венглинский, Ольшанский и К°», Завод «Млошевский и К</w:t>
      </w:r>
      <w:r w:rsidRPr="00070ADE">
        <w:rPr>
          <w:rFonts w:ascii="Times New Roman" w:hAnsi="Times New Roman"/>
          <w:color w:val="000000" w:themeColor="text1"/>
          <w:sz w:val="16"/>
          <w:szCs w:val="16"/>
          <w:vertAlign w:val="superscript"/>
        </w:rPr>
        <w:t>0</w:t>
      </w:r>
      <w:r w:rsidRPr="00070ADE">
        <w:rPr>
          <w:rFonts w:ascii="Times New Roman" w:hAnsi="Times New Roman"/>
          <w:color w:val="000000" w:themeColor="text1"/>
          <w:sz w:val="16"/>
          <w:szCs w:val="16"/>
        </w:rPr>
        <w:t>», Машиностроительный завод им. Артема, Завод им. Артема НКОМ /г. Киев/) по приказу № 4с были сформированы Ремонтные мастерские, которые в том же году преобразованы в новый Завод № 485 им. Артема НКАП.</w:t>
      </w:r>
    </w:p>
    <w:p w14:paraId="670F3C1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(10.1940 г.-)- Е.А. Рогов (11982).</w:t>
      </w:r>
    </w:p>
    <w:p w14:paraId="4E81233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B3094D3" w14:textId="6E2F325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января 1944 г. по приказу № 4с на площадке эвакуированного завода № 455 им. Артема в Киеве были сформированы Ремонтные мастерские № 1 при 2ГУ НКАП для производства ампульных связок ВАС-1 и ремонта установок вооружения. В том же году мастерские преобразованы в новый Завод № 485 им. Артема при 2ГУ НКАП (Завод № 485 ИМ. Артема НКАП, МАП, Киевский завод им. Артема, ГП «Киевское ордена Трудового Красного Знамени ПО (КПО) им. Артема», Государственная акционерная холдинговая компания (ГАХК) «Артем» /Украина 04050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Киев ул. Мельникова, 2/10 тел. 213-21-24/). Изготавливал приборы и вооружение для самолетов, в т.ч. ПУ для РС-82 и PC-132 для Ил-2 и Ил-10.</w:t>
      </w:r>
    </w:p>
    <w:p w14:paraId="21CA441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1946 г. заводу поставлено 169 трофейных металлорежущих станков.</w:t>
      </w:r>
    </w:p>
    <w:p w14:paraId="67A1D2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СМ СССР № 713-342 от 26.06.1957 г. передан в ведение СНХ УССР.</w:t>
      </w:r>
    </w:p>
    <w:p w14:paraId="4610D8C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1958 г. начато освоение производства УРВВ.</w:t>
      </w:r>
    </w:p>
    <w:p w14:paraId="0F587E8B" w14:textId="556DE874"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1965 г. начато строительство филиала № 1 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Вишневом Киевской обл. (с 1968 г.- ЖМЗ); в 1969 г.- филиала № 2 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Красилове Хмельницкой обл. (затем- Красиловский агрегатный завод); в 12.1971 г. образован филиал № 3 (далее- самостоятельный ЩЭМЗ).</w:t>
      </w:r>
    </w:p>
    <w:p w14:paraId="50FB5BD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1975 г. на базе головного завода им. Артема создано КПО им. Артема, в состав которого вошли все три филиала и ККБ «Луч».</w:t>
      </w:r>
    </w:p>
    <w:p w14:paraId="55FEE33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1991 г. КПО - в ведении Министерства промышленной политики Украины. Ведущее предприятие СССР и Украины по производству УРВВ. В 1996 г. КПО преобразовано в ГАХК «Артем», в состав которой вошли 16 ОАО.</w:t>
      </w:r>
    </w:p>
    <w:p w14:paraId="2E5F2027" w14:textId="42A278EC"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состав ПО входили (1990-е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ГосККБ «Луч», ЖМЗ, Красиловский агрегатный завод, ЩЭМЗ, завод «Красное знамя»; (2002 г.)- научно-технический испытательный центр «Спектр-Т», экспериментальное производство, 12 дочерних предприятий.</w:t>
      </w:r>
    </w:p>
    <w:p w14:paraId="12613EF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(2003 г.): УРВВ; электрооборудование ЛА (электродвигатели, электромеханизмы дистанционного управления, электромагнитные контакторы); авиационные ПУ, балочные и кассетные держатели, рейки; автоматы пассивных помех; элетрооборудование для техники и транспорта; сложные штампы и пресс- формы; ТИП.</w:t>
      </w:r>
    </w:p>
    <w:p w14:paraId="37B9C93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(2002 г.)- 4650 чел.</w:t>
      </w:r>
    </w:p>
    <w:p w14:paraId="6D6A5A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(1944-74 г.)- В.И. Власов, (1975-87 г.)- А.И. Кочетков.</w:t>
      </w:r>
    </w:p>
    <w:p w14:paraId="2413D22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по вопросам производства, МТО и транспорта (2002 г.)- С.Н. Смаль. Директор по маркетингу и техническому развитию (2002 г.)- В.И. Сейгов.</w:t>
      </w:r>
    </w:p>
    <w:p w14:paraId="277160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 УРВВ:</w:t>
      </w:r>
      <w:r w:rsidRPr="00070ADE">
        <w:rPr>
          <w:rFonts w:ascii="Times New Roman" w:hAnsi="Times New Roman"/>
          <w:color w:val="000000" w:themeColor="text1"/>
          <w:sz w:val="16"/>
          <w:szCs w:val="16"/>
        </w:rPr>
        <w:t xml:space="preserve"> РС-2-У (К-5М, 1958-59), РС-2-УС (К-51, 1959-61-), К-8М (I960-), Р-98, К-13 (I960-), К- 13Р (Р-ЗР), «46» (К-40), Р-23Т, Р-23Р, Р-24Т, Р-24Р, Р-27; балочные держатели БДЗ-58-21; ПУ для ракет КАРС- 160 (АПУ-14), АРС-212М (ПУ-12-40); автоматизированный комплекс «Гурт» для подготовки, контроля и техобслуживания УРВВ и бомб (2002); инвалидные коляски.</w:t>
      </w:r>
      <w:r w:rsidRPr="00070ADE">
        <w:rPr>
          <w:rFonts w:ascii="Times New Roman" w:hAnsi="Times New Roman"/>
          <w:color w:val="000000" w:themeColor="text1"/>
          <w:sz w:val="16"/>
          <w:szCs w:val="16"/>
          <w:vertAlign w:val="superscript"/>
        </w:rPr>
        <w:t>69</w:t>
      </w:r>
    </w:p>
    <w:p w14:paraId="4399B65D" w14:textId="7168FB85" w:rsidR="003712D9" w:rsidRPr="00070ADE" w:rsidRDefault="003712D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Государственное Киевское КБ (ГосККБ) «Луч» /Украина 04050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Киев ул. Мельникова, 2 тел. 213-07-45</w:t>
      </w:r>
      <w:r w:rsidR="000D5A0D" w:rsidRPr="00070ADE">
        <w:rPr>
          <w:rFonts w:ascii="Times New Roman" w:hAnsi="Times New Roman"/>
          <w:color w:val="000000" w:themeColor="text1"/>
          <w:sz w:val="16"/>
          <w:szCs w:val="16"/>
        </w:rPr>
        <w:t>.</w:t>
      </w:r>
    </w:p>
    <w:p w14:paraId="7AF5D6F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ГосККБ «Луч» создано в 1965 г. Имело в своем составе приборостроительный завод (с 1995 г.- ОАО «Проминь»).</w:t>
      </w:r>
    </w:p>
    <w:p w14:paraId="444593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1979 г. разрабатывает блоки следящих электрических приводов СУ авиационных, зенитных ракет и торпед. Создано более 10 типов рулевых отсеков.</w:t>
      </w:r>
    </w:p>
    <w:p w14:paraId="3C38B5C6" w14:textId="26CBFB3E"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Направления работ (1990-е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разработка и изготовление опытных партий: систем автоматизированного контроля и диагностики (АСКД) РЭО ЛА, судов; следящих электроприводных агрегатов для авиационных и зенитных ракет, торпед; НИОКР по созданию перспективных образцов высокоточного оружия; системы контроля и управления технологическими процессами в промышленности.</w:t>
      </w:r>
    </w:p>
    <w:p w14:paraId="66A234B5" w14:textId="0E17926B"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1990-е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ГосККБ - головное предприятие по продлению ресурсов авиационных, зенитных ракет, минно- торпедного оружия.</w:t>
      </w:r>
    </w:p>
    <w:p w14:paraId="77CD046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(1996 г.)- Л.А. Семенов. Директор (2002 г.)- Л.А. Семенов.</w:t>
      </w:r>
    </w:p>
    <w:p w14:paraId="0F2EDEE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(-1996-2002 г.-)- Л.А. Семенов.</w:t>
      </w:r>
    </w:p>
    <w:p w14:paraId="142A0496" w14:textId="1F3F44AD"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зам. директора (2002 г.)- О.П. Коростелев. Зам. директора по маркетингу и ВЭС (2002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Г.С. Петров.</w:t>
      </w:r>
    </w:p>
    <w:p w14:paraId="2AFE989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зам. гл. конструктора (2002 г.)- О.П. Коростелев.</w:t>
      </w:r>
    </w:p>
    <w:p w14:paraId="043128E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w:t>
      </w:r>
      <w:r w:rsidRPr="00070ADE">
        <w:rPr>
          <w:rFonts w:ascii="Times New Roman" w:hAnsi="Times New Roman"/>
          <w:color w:val="000000" w:themeColor="text1"/>
          <w:sz w:val="16"/>
          <w:szCs w:val="16"/>
        </w:rPr>
        <w:t xml:space="preserve"> подвижная позиция предварительной подготовки ППП-ЗСМ для УРВБ на шасси УАЗ (1965); система автоматизированного контроля САК-46 для авиационных ракет, автоматическая контрольно- испытательная подвижная станция АКИПС-80 для противолодочных ракет (1965-69), АКИПС-125, АКИПС-4У для подводных ракет (ракето-торпеды «Шквал») (1977), АКИПС-1, АКИПС-3.2 для авиационных противолодочных ракет (1989); АСКД для авиационных ракет: «Ингул» на шасси ГАЗ-66 (1968-72), «Трубеж» (1977), «Ингул-А», «Трубеж-А» (1977-80), «Гурт» (1983), АК-ШТС; самолетный регистратор текущей информации РИУ (1975-77); блок электронных рулевых приводов БЭРП-170,</w:t>
      </w:r>
      <w:r w:rsidRPr="00070ADE">
        <w:rPr>
          <w:rFonts w:ascii="Times New Roman" w:hAnsi="Times New Roman"/>
          <w:color w:val="000000" w:themeColor="text1"/>
          <w:sz w:val="16"/>
          <w:szCs w:val="16"/>
          <w:vertAlign w:val="superscript"/>
        </w:rPr>
        <w:t>69</w:t>
      </w:r>
      <w:r w:rsidRPr="00070ADE">
        <w:rPr>
          <w:rFonts w:ascii="Times New Roman" w:hAnsi="Times New Roman"/>
          <w:color w:val="000000" w:themeColor="text1"/>
          <w:sz w:val="16"/>
          <w:szCs w:val="16"/>
        </w:rPr>
        <w:t xml:space="preserve"> блок для УРВБ Р-77 (1986); артиллерийский ракетно-космический комплекс суборбитального мониторинга «Сокол» (2000-е).</w:t>
      </w:r>
    </w:p>
    <w:p w14:paraId="6CFC1C4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ОАО «Проминь» /Украина пгт. Иванково ул. Фрунзе, 53 тел. 53-505/</w:t>
      </w:r>
    </w:p>
    <w:p w14:paraId="1ED4FC1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ОАО создано в 1995 г. на базе приборостроительного завода КБ «Луч».</w:t>
      </w:r>
    </w:p>
    <w:p w14:paraId="6BD8291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(2002 г.): бортовая аппаратура встроенного контроля и предупреждения экипажа JIA «Экран»; блоки предельных команд БПК-88.</w:t>
      </w:r>
      <w:r w:rsidRPr="00070ADE">
        <w:rPr>
          <w:rFonts w:ascii="Times New Roman" w:hAnsi="Times New Roman"/>
          <w:color w:val="000000" w:themeColor="text1"/>
          <w:sz w:val="16"/>
          <w:szCs w:val="16"/>
          <w:vertAlign w:val="superscript"/>
        </w:rPr>
        <w:t>69</w:t>
      </w:r>
    </w:p>
    <w:p w14:paraId="5EAE3C2A" w14:textId="312B9E83"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Филиал № 1 Завода им. Артема, ГП «Жулянский машиностроительный завод (ЖМЗ) «Визар» /Украина 08132</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Вишневый Киевской обл. ул. Ломоносова, 1 тел. 52-933/</w:t>
      </w:r>
    </w:p>
    <w:p w14:paraId="5D46F03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Филиал № 1 завода им. Артема создан в 1965 г., с 1968 г. - самостоятельный ЖМЗ. В 1975 г. вошел в состав КПО им. Артема (и в 1990-е).</w:t>
      </w:r>
    </w:p>
    <w:p w14:paraId="05799F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(2002 г.): бытовые счетчики газа, стабилизаторы давления газа, медицинские инструменты, автопринадлежности, сельхозтехника, деревообрабатывающий инструмент.</w:t>
      </w:r>
    </w:p>
    <w:p w14:paraId="25E157D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(2002 г.): 1223 чел.</w:t>
      </w:r>
    </w:p>
    <w:p w14:paraId="50F2B6A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(2002 г.)- А.А. Коваль.</w:t>
      </w:r>
    </w:p>
    <w:p w14:paraId="0A561AA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Директора (2002 г.)- В.А. Бутенко, (2002 г.)- М.М. Таланов.</w:t>
      </w:r>
    </w:p>
    <w:p w14:paraId="244A624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(2002 г.)- Ю Г. Лабай.</w:t>
      </w:r>
      <w:r w:rsidRPr="00070ADE">
        <w:rPr>
          <w:rFonts w:ascii="Times New Roman" w:hAnsi="Times New Roman"/>
          <w:color w:val="000000" w:themeColor="text1"/>
          <w:sz w:val="16"/>
          <w:szCs w:val="16"/>
          <w:vertAlign w:val="superscript"/>
        </w:rPr>
        <w:t>69</w:t>
      </w:r>
    </w:p>
    <w:p w14:paraId="54A8E1D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изделия для комплекса С-300; противоракета А-350 системы А-35 -10, имитаторы противоракеты; авиационные ПУ УРВБ, УРВП для Су-30.</w:t>
      </w:r>
    </w:p>
    <w:p w14:paraId="6DEC9060" w14:textId="7539F6DC"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Филиал № 2 Завода им. Артема, ГП «Красиловский агрегатный завод» /Украина 281500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Красилов Хмельницкой обл. тел. 21-453/</w:t>
      </w:r>
    </w:p>
    <w:p w14:paraId="276BB793" w14:textId="2B226D7B" w:rsidR="003712D9" w:rsidRPr="00070ADE" w:rsidRDefault="003712D9" w:rsidP="00B56F90">
      <w:pPr>
        <w:tabs>
          <w:tab w:val="left" w:pos="6322"/>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Филиал № 2 Завода им. Артема создан в 1969 г. С 1975 г. (и в 1990-е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Красиловский агрегатный завод входил в КПО им. Артема.</w:t>
      </w:r>
    </w:p>
    <w:p w14:paraId="6A6E504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механизмы держателей, авиационные ПУ (2002 г.).</w:t>
      </w:r>
      <w:r w:rsidRPr="00070ADE">
        <w:rPr>
          <w:rFonts w:ascii="Times New Roman" w:hAnsi="Times New Roman"/>
          <w:color w:val="000000" w:themeColor="text1"/>
          <w:sz w:val="16"/>
          <w:szCs w:val="16"/>
          <w:vertAlign w:val="superscript"/>
        </w:rPr>
        <w:t>69</w:t>
      </w:r>
    </w:p>
    <w:p w14:paraId="25099CE4" w14:textId="312277BB"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Филиал № 3 КПО им. Артема, Щорский электромеханический завод (ЩЭМЗ), ОАО «ЩЭМЗ» /Украина 251530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Щорс Черниговской обл. ул. 30 лет Победы, 39 тел. 22-803/</w:t>
      </w:r>
    </w:p>
    <w:p w14:paraId="7CD4910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образован в 12.1971 г. как филиал № 3 КПО им. Артема. В 1975 г. вошел в состав КПО им. Артема (и в 1990-е). 19.05.1993 г. филиал преобразован в ЩЭМЗ при Министерстве машиностроения, ВПК и конверсии.</w:t>
      </w:r>
    </w:p>
    <w:p w14:paraId="01CD585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Специализировался на холодной обработке металла, полуавтоматической сварке, штамповке, переработке пластмасс на термопластавтоматах. Производство авиационного оборудования (контейнерная и кабельная продукция), ТНП; (2002 г.): спецтехника к пусковым установкам; комбинированные отопительные котлы.</w:t>
      </w:r>
    </w:p>
    <w:p w14:paraId="3DC3F44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(2002 г.)- 486 чел.</w:t>
      </w:r>
    </w:p>
    <w:p w14:paraId="217F116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(1996 г.)- С.Н. Макаров.</w:t>
      </w:r>
    </w:p>
    <w:p w14:paraId="22CA689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(1996 г.)- И.И. Пискунов.</w:t>
      </w:r>
    </w:p>
    <w:p w14:paraId="4A1B45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(2002 г.): сварочные полуавтоматы: промышленный А-547УМ; бытовой «Сновь» (11982).</w:t>
      </w:r>
    </w:p>
    <w:p w14:paraId="13367433" w14:textId="77777777" w:rsidR="000D5A0D" w:rsidRPr="00070ADE" w:rsidRDefault="000D5A0D"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B14912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F109F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9E336A" w14:textId="1D82DA58" w:rsidR="00F35A6E" w:rsidRPr="00C94B78" w:rsidRDefault="00F35A6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период с 3 по 16 января 1944 года дульный тормоз №</w:t>
      </w:r>
      <w:r>
        <w:rPr>
          <w:rFonts w:ascii="Times New Roman" w:hAnsi="Times New Roman"/>
          <w:color w:val="0070C0"/>
          <w:sz w:val="16"/>
          <w:szCs w:val="16"/>
        </w:rPr>
        <w:t xml:space="preserve"> </w:t>
      </w:r>
      <w:r w:rsidRPr="00C94B78">
        <w:rPr>
          <w:rFonts w:ascii="Times New Roman" w:hAnsi="Times New Roman"/>
          <w:color w:val="0070C0"/>
          <w:sz w:val="16"/>
          <w:szCs w:val="16"/>
        </w:rPr>
        <w:t>7 для 122 мм танковой Д-25 испытали на заводском полигоне на заводе № 9 в Свердловске. После 300 выстрелов усиленными зарядами к конструкции дульного тормоза замечаний к его конструкции не возникло. Существовал еще один, восьмой вариант дульного тормоза. Конструктивно он повторял дульный тормоз №7, но был кованым. От его постройки на заводе №9 отказались в виду производственных возможностей, в ГАУ по этому поводу не возражали. По итогам испытаний дульный тормоз №7 утвердили как штатный для Д-25Т с клиновым затвором (25541).</w:t>
      </w:r>
    </w:p>
    <w:p w14:paraId="31273B8E" w14:textId="77777777" w:rsidR="00F35A6E" w:rsidRPr="00C94B78" w:rsidRDefault="00F35A6E" w:rsidP="00B56F90">
      <w:pPr>
        <w:spacing w:after="0" w:line="240" w:lineRule="auto"/>
        <w:jc w:val="both"/>
        <w:rPr>
          <w:rFonts w:ascii="Times New Roman" w:hAnsi="Times New Roman"/>
          <w:color w:val="0070C0"/>
          <w:sz w:val="16"/>
          <w:szCs w:val="16"/>
        </w:rPr>
      </w:pPr>
    </w:p>
    <w:p w14:paraId="4BC64B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января 1944 г. была подготовлена СПРАВКА О ВЫПОЛНЕНИИ ПОСТАНОВЛЕНИЙ ПРАВИТЕЛЬСТВА ПО ТУ ГБТУ КА НА 1.01.1944 г.</w:t>
      </w:r>
    </w:p>
    <w:p w14:paraId="1157C8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Краткое содержание постановлений, их № и дата</w:t>
      </w:r>
    </w:p>
    <w:p w14:paraId="6FBF30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 сделано по постановлению</w:t>
      </w:r>
    </w:p>
    <w:p w14:paraId="14B7318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 ГОКО №3374 от 20.07.1943 г.</w:t>
      </w:r>
    </w:p>
    <w:p w14:paraId="52F49FE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обязать НКО (т. Федоренко) провести до 25.10.1943 г. поли</w:t>
      </w:r>
      <w:r w:rsidRPr="00070ADE">
        <w:rPr>
          <w:rFonts w:ascii="Times New Roman" w:hAnsi="Times New Roman"/>
          <w:color w:val="000000" w:themeColor="text1"/>
          <w:sz w:val="16"/>
          <w:szCs w:val="16"/>
        </w:rPr>
        <w:softHyphen/>
        <w:t>гонные испытания танка КВ с электрической тягой и результаты испытаний к 1.11.1943 г. доложить ГОКО</w:t>
      </w:r>
    </w:p>
    <w:p w14:paraId="0DA724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 в срок не выполнено. О невыполнении постановления доложено т. Берии письмом №1142255 от 2.12.1943 года. При заводских испытаниях электродвига</w:t>
      </w:r>
      <w:r w:rsidRPr="00070ADE">
        <w:rPr>
          <w:rFonts w:ascii="Times New Roman" w:hAnsi="Times New Roman"/>
          <w:color w:val="000000" w:themeColor="text1"/>
          <w:sz w:val="16"/>
          <w:szCs w:val="16"/>
        </w:rPr>
        <w:softHyphen/>
        <w:t>телей 27 декабря 1943 года поломались зубья солнечной шестерни бортовой передачи танка, вследствие чего испы</w:t>
      </w:r>
      <w:r w:rsidRPr="00070ADE">
        <w:rPr>
          <w:rFonts w:ascii="Times New Roman" w:hAnsi="Times New Roman"/>
          <w:color w:val="000000" w:themeColor="text1"/>
          <w:sz w:val="16"/>
          <w:szCs w:val="16"/>
        </w:rPr>
        <w:softHyphen/>
        <w:t>тания электромоторов задерживаются</w:t>
      </w:r>
    </w:p>
    <w:p w14:paraId="603BBC0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Распоряжение ГОКО №4251 от 5.10.1943 г.</w:t>
      </w:r>
    </w:p>
    <w:p w14:paraId="6EA9B73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обязать ГБТУ КА т. Вершинина совместно с НКАП прове</w:t>
      </w:r>
      <w:r w:rsidRPr="00070ADE">
        <w:rPr>
          <w:rFonts w:ascii="Times New Roman" w:hAnsi="Times New Roman"/>
          <w:color w:val="000000" w:themeColor="text1"/>
          <w:sz w:val="16"/>
          <w:szCs w:val="16"/>
        </w:rPr>
        <w:softHyphen/>
        <w:t>сти полигонные испытания опытных образцов дистанционных тахометров и к 1.02.1944 г. представить свои соображения о постановке их на серийное производство</w:t>
      </w:r>
    </w:p>
    <w:p w14:paraId="7FE725F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Тахометры изготовлены, испытания будут проводиться в январе</w:t>
      </w:r>
    </w:p>
    <w:p w14:paraId="61A8D60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Распоряжение ГОКО №4442 от 28.10.1943 г.</w:t>
      </w:r>
    </w:p>
    <w:p w14:paraId="25281E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Изготовить 7 танковых моторов В-2 с коленчатыми валами, главными и прицепными шатунами и крышками к главным шатунам из стали ЭИ-500 и к 1.01.1944 г. НКТП совместно с ГБТУ КА провести дополнительные стендовые испытания 2 моторов и ходовые испытания 5 моторов.</w:t>
      </w:r>
    </w:p>
    <w:p w14:paraId="0F38C1B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испытаний представить 15.01.1944 г. в Госплан</w:t>
      </w:r>
    </w:p>
    <w:p w14:paraId="0F6BACF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Моторы не собраны к сроку. Вместо 25.11.1943 г. сборка начата 14.12.1943 г. В связи с этим сроки изготовления образцов и испытаний их соответственно затягиваются. Написано письмо т. Микояну</w:t>
      </w:r>
    </w:p>
    <w:p w14:paraId="30D68D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Распоряжение СНК №22664 от 28.11.1943 г.</w:t>
      </w:r>
    </w:p>
    <w:p w14:paraId="31F5486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Обязать НКТП (т. Котина) изготовить на заводе №100 по чер</w:t>
      </w:r>
      <w:r w:rsidRPr="00070ADE">
        <w:rPr>
          <w:rFonts w:ascii="Times New Roman" w:hAnsi="Times New Roman"/>
          <w:color w:val="000000" w:themeColor="text1"/>
          <w:sz w:val="16"/>
          <w:szCs w:val="16"/>
        </w:rPr>
        <w:softHyphen/>
        <w:t>тежам ГБТУ КА и ЦНИПО НКВД СССР опытную партию автома</w:t>
      </w:r>
      <w:r w:rsidRPr="00070ADE">
        <w:rPr>
          <w:rFonts w:ascii="Times New Roman" w:hAnsi="Times New Roman"/>
          <w:color w:val="000000" w:themeColor="text1"/>
          <w:sz w:val="16"/>
          <w:szCs w:val="16"/>
        </w:rPr>
        <w:softHyphen/>
        <w:t>тических углекислотных огнегасительных установок и оборудо</w:t>
      </w:r>
      <w:r w:rsidRPr="00070ADE">
        <w:rPr>
          <w:rFonts w:ascii="Times New Roman" w:hAnsi="Times New Roman"/>
          <w:color w:val="000000" w:themeColor="text1"/>
          <w:sz w:val="16"/>
          <w:szCs w:val="16"/>
        </w:rPr>
        <w:softHyphen/>
        <w:t>вать ими в декабре 1943 г. - январе 1944 г. 100 танков Т-34</w:t>
      </w:r>
    </w:p>
    <w:p w14:paraId="29E6AEA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Распоряжение выполняется</w:t>
      </w:r>
    </w:p>
    <w:p w14:paraId="11C7B28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 ГОКО №4851 от 27.12.1943 г.</w:t>
      </w:r>
    </w:p>
    <w:p w14:paraId="3517FDA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Проведение полигонных испытаний 85-мм пушек С-53 и С-50 в танке Т-34 закончить до 30 декабря, результаты доло</w:t>
      </w:r>
      <w:r w:rsidRPr="00070ADE">
        <w:rPr>
          <w:rFonts w:ascii="Times New Roman" w:hAnsi="Times New Roman"/>
          <w:color w:val="000000" w:themeColor="text1"/>
          <w:sz w:val="16"/>
          <w:szCs w:val="16"/>
        </w:rPr>
        <w:softHyphen/>
        <w:t>жить ГОКО 2.01.1944 г.</w:t>
      </w:r>
    </w:p>
    <w:p w14:paraId="746A63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 1 января 1944 г. представить на испытания 100-мм пушки С-34 конструкции Грабина. Полигонные испытания про</w:t>
      </w:r>
      <w:r w:rsidRPr="00070ADE">
        <w:rPr>
          <w:rFonts w:ascii="Times New Roman" w:hAnsi="Times New Roman"/>
          <w:color w:val="000000" w:themeColor="text1"/>
          <w:sz w:val="16"/>
          <w:szCs w:val="16"/>
        </w:rPr>
        <w:softHyphen/>
        <w:t>вести до 5.01.1944 г. доложить в ГОКО к 7.01.1944 г.</w:t>
      </w:r>
    </w:p>
    <w:p w14:paraId="307082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Испытания закончены, результаты испытаний будут представлены в срок.</w:t>
      </w:r>
    </w:p>
    <w:p w14:paraId="67438B3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Система смонтирована в танк. Танк подготовлен к отправке</w:t>
      </w:r>
    </w:p>
    <w:p w14:paraId="254126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танкового управления ГБТУ КА генерал-майор инженерно-танковой службы Афонин</w:t>
      </w:r>
    </w:p>
    <w:p w14:paraId="4F6770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6 отдела ТУ ГБТУ КА инженер-подполковник Солонин</w:t>
      </w:r>
    </w:p>
    <w:p w14:paraId="4E4C1E6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11389. Д. 24. Л. 2-3. Подлинник (11403).</w:t>
      </w:r>
    </w:p>
    <w:p w14:paraId="5936320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F28FDC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января 1944 г. вышло РАСПОРЯЖЕНИЕ ЗАМЕСТИТЕЛЯ НАЧАЛЬНИКА ГБТУ КА НАЧАЛЬНИКУ НИБТ ПОЛИГОНА ГБТУ КА ОБ ИСПЫТАНИЯХ УСТРОЙСТВ ДЛЯ ОБЛЕГЧЕНИЯ ЗАПУСКА ДВИГАТЕЛЯ ТАНКА В ЗИМНЕЕ ВРЕМЯ</w:t>
      </w:r>
    </w:p>
    <w:p w14:paraId="329C4B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Устанавливаемые в танках Т-34 маслоперепускное устройство и калорифер для облегчения запуска двигателя в зимнее время недостаточно проверены при эксплуатации в войсках.</w:t>
      </w:r>
    </w:p>
    <w:p w14:paraId="30FFCA8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установления эффективности маслоперепускного устройства и калорифера и правил поль</w:t>
      </w:r>
      <w:r w:rsidRPr="00070ADE">
        <w:rPr>
          <w:rFonts w:ascii="Times New Roman" w:hAnsi="Times New Roman"/>
          <w:color w:val="000000" w:themeColor="text1"/>
          <w:sz w:val="16"/>
          <w:szCs w:val="16"/>
        </w:rPr>
        <w:softHyphen/>
        <w:t>зования ими при заводке холодного двигателя проведите испытания на гарантийных танках Т-34 выпуска декабря месяца 1943 года заводов №183, Кировского, №112 и №174 по прилагаемой про</w:t>
      </w:r>
      <w:r w:rsidRPr="00070ADE">
        <w:rPr>
          <w:rFonts w:ascii="Times New Roman" w:hAnsi="Times New Roman"/>
          <w:color w:val="000000" w:themeColor="text1"/>
          <w:sz w:val="16"/>
          <w:szCs w:val="16"/>
        </w:rPr>
        <w:softHyphen/>
        <w:t>грамме испытаний.</w:t>
      </w:r>
    </w:p>
    <w:p w14:paraId="6009E66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основе проведенных испытаний составить для войск инструкцию по запуску холодного дви</w:t>
      </w:r>
      <w:r w:rsidRPr="00070ADE">
        <w:rPr>
          <w:rFonts w:ascii="Times New Roman" w:hAnsi="Times New Roman"/>
          <w:color w:val="000000" w:themeColor="text1"/>
          <w:sz w:val="16"/>
          <w:szCs w:val="16"/>
        </w:rPr>
        <w:softHyphen/>
        <w:t>гателя В-2-34 танков Т-34 и представить ее на утверждение.</w:t>
      </w:r>
    </w:p>
    <w:p w14:paraId="76D7CD5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Отчет по испытаниям и инструкцию по запуску двигателя представить к 25 января 1944 года. Приложение: «Программа испытания маслоперепускного устройства и калорифера, установ</w:t>
      </w:r>
      <w:r w:rsidRPr="00070ADE">
        <w:rPr>
          <w:rFonts w:ascii="Times New Roman" w:hAnsi="Times New Roman"/>
          <w:color w:val="000000" w:themeColor="text1"/>
          <w:sz w:val="16"/>
          <w:szCs w:val="16"/>
        </w:rPr>
        <w:softHyphen/>
        <w:t>ленных в танках Т-34».</w:t>
      </w:r>
    </w:p>
    <w:p w14:paraId="4FED3BA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ГБТУ Красной Армии генерал-лейтенант инженерно-танковой службы Лебедев</w:t>
      </w:r>
    </w:p>
    <w:p w14:paraId="5B154B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танкового управления ГБТУ Красной Армии генерал-майор инженерно-танковой службы Афонин</w:t>
      </w:r>
    </w:p>
    <w:p w14:paraId="5B0A002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2507. Л. 39. Копия (11403).</w:t>
      </w:r>
    </w:p>
    <w:p w14:paraId="29B44AE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AA7A5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января 1944 г. была подготовлена СВОДКА ТУ ГБТУ КА О НАЛИЧИИ ТАНКОВ В КРАСНОЙ АРМИИ ЗА ПЕРИОД С 1.01.1941 г. ПО 1.01.1944 г.</w:t>
      </w:r>
    </w:p>
    <w:tbl>
      <w:tblPr>
        <w:tblW w:w="0" w:type="auto"/>
        <w:tblInd w:w="40" w:type="dxa"/>
        <w:tblLayout w:type="fixed"/>
        <w:tblCellMar>
          <w:left w:w="40" w:type="dxa"/>
          <w:right w:w="40" w:type="dxa"/>
        </w:tblCellMar>
        <w:tblLook w:val="0000" w:firstRow="0" w:lastRow="0" w:firstColumn="0" w:lastColumn="0" w:noHBand="0" w:noVBand="0"/>
      </w:tblPr>
      <w:tblGrid>
        <w:gridCol w:w="413"/>
        <w:gridCol w:w="826"/>
        <w:gridCol w:w="1085"/>
        <w:gridCol w:w="1085"/>
        <w:gridCol w:w="902"/>
        <w:gridCol w:w="902"/>
        <w:gridCol w:w="902"/>
        <w:gridCol w:w="797"/>
        <w:gridCol w:w="893"/>
        <w:gridCol w:w="912"/>
        <w:gridCol w:w="922"/>
      </w:tblGrid>
      <w:tr w:rsidR="00CB5308" w:rsidRPr="00070ADE" w14:paraId="3FC7D0CD" w14:textId="77777777">
        <w:trPr>
          <w:trHeight w:val="835"/>
        </w:trPr>
        <w:tc>
          <w:tcPr>
            <w:tcW w:w="413" w:type="dxa"/>
            <w:tcBorders>
              <w:top w:val="single" w:sz="6" w:space="0" w:color="auto"/>
              <w:left w:val="single" w:sz="6" w:space="0" w:color="auto"/>
              <w:bottom w:val="single" w:sz="6" w:space="0" w:color="auto"/>
              <w:right w:val="single" w:sz="6" w:space="0" w:color="auto"/>
            </w:tcBorders>
          </w:tcPr>
          <w:p w14:paraId="1B24A0E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п/п</w:t>
            </w:r>
          </w:p>
          <w:p w14:paraId="673D2EA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132D49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танков</w:t>
            </w:r>
          </w:p>
          <w:p w14:paraId="061299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29B35E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Наличие по переучетным данным по состоянию на 1.01.1941 г.</w:t>
            </w:r>
          </w:p>
          <w:p w14:paraId="676FEF6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C3F3DD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Выпущено заводами про-мышлен. за 1-е полугодие 1941 г.</w:t>
            </w:r>
          </w:p>
          <w:p w14:paraId="313561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7E9CB3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танков на 1.07.1941 г.</w:t>
            </w:r>
          </w:p>
          <w:p w14:paraId="0F257F1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C88FF6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Выпущено за 2-е полугодие 1941 г.</w:t>
            </w:r>
          </w:p>
          <w:p w14:paraId="1EBAE3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2C1A0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танков на 1.01.1942 г.</w:t>
            </w:r>
          </w:p>
          <w:p w14:paraId="592E090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61E01F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Выпущено за 1942 г.</w:t>
            </w:r>
          </w:p>
          <w:p w14:paraId="583EC4E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B1415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танков на 1.01.1943 г.</w:t>
            </w:r>
          </w:p>
          <w:p w14:paraId="4C9BE5A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3C6C6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Выпущено за 1943 г.</w:t>
            </w:r>
          </w:p>
          <w:p w14:paraId="4BC6C0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2E445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танков на 1.01.1944 г.</w:t>
            </w:r>
          </w:p>
          <w:p w14:paraId="2A454D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AD4894E"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6FA21B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3916D3B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BC5650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w:t>
            </w:r>
          </w:p>
          <w:p w14:paraId="1EC2A5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C5F698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360923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AD66C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F05866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2024C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D2D5E4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085A6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24105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36FE31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666CF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1372B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C83FE9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ECA986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D44C3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21F996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w:t>
            </w:r>
          </w:p>
          <w:p w14:paraId="114CCB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A343B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w:t>
            </w:r>
          </w:p>
          <w:p w14:paraId="50DA1E9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C527CFD"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26A458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09DA136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E25FCF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ИС-2</w:t>
            </w:r>
          </w:p>
          <w:p w14:paraId="6266D8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E79D9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389ED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D63265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FC24A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BBC25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BEE5B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22C8D0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22B7B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923E5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130A8C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2C7811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AB0C61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AAC660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2D2F6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23B22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p w14:paraId="019AB5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726166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p w14:paraId="7B35718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3CEEFA7"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1391C5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5A5A9BC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115FD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КВ-1</w:t>
            </w:r>
          </w:p>
          <w:p w14:paraId="23A24F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4C46F0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141</w:t>
            </w:r>
          </w:p>
          <w:p w14:paraId="1EE344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FBFBD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282</w:t>
            </w:r>
          </w:p>
          <w:p w14:paraId="49CDF47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D2823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423</w:t>
            </w:r>
          </w:p>
          <w:p w14:paraId="07DDBD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0C429C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933</w:t>
            </w:r>
          </w:p>
          <w:p w14:paraId="608309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E13A0F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1356</w:t>
            </w:r>
          </w:p>
          <w:p w14:paraId="7213565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AE4E27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1802</w:t>
            </w:r>
          </w:p>
          <w:p w14:paraId="69D0970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23E5FA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3158</w:t>
            </w:r>
          </w:p>
          <w:p w14:paraId="2DE946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9525B6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78921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2C80C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3158</w:t>
            </w:r>
          </w:p>
          <w:p w14:paraId="4FA123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E721A77"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64CCD20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20A13F6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50A91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КВ-2</w:t>
            </w:r>
          </w:p>
          <w:p w14:paraId="6170A37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93B31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w:t>
            </w:r>
          </w:p>
          <w:p w14:paraId="2EE3AA0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EFE349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w:t>
            </w:r>
          </w:p>
          <w:p w14:paraId="2935711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2400A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213</w:t>
            </w:r>
          </w:p>
          <w:p w14:paraId="6DEBEC1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ECDD58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9846C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842BAD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213</w:t>
            </w:r>
          </w:p>
          <w:p w14:paraId="7306DC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9496A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093A56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B3C185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213</w:t>
            </w:r>
          </w:p>
          <w:p w14:paraId="4B7F5C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FF9A9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7F3AE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A70E7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213</w:t>
            </w:r>
          </w:p>
          <w:p w14:paraId="187A7F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781D400"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6A6E263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1EBDD8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41F587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КВ-1 с</w:t>
            </w:r>
          </w:p>
          <w:p w14:paraId="71918E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82598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568B32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CADF7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8FCA7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FB442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15EB1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8D5C9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C956B9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B4C8E0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2F1F2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70100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624</w:t>
            </w:r>
          </w:p>
          <w:p w14:paraId="1C83EE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C6EF14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624</w:t>
            </w:r>
          </w:p>
          <w:p w14:paraId="172BAA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142862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463</w:t>
            </w:r>
          </w:p>
          <w:p w14:paraId="7021706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DE2821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1087</w:t>
            </w:r>
          </w:p>
          <w:p w14:paraId="05A50A1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49D1E32"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3AAED93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p w14:paraId="60CF1A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443D0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КВ-8</w:t>
            </w:r>
          </w:p>
          <w:p w14:paraId="38A11C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7C4C3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28704D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0D1D8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D71D7E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373E90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0C033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8741ED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9D00E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DBAAA4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D2453A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5AA9F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w:t>
            </w:r>
          </w:p>
          <w:p w14:paraId="6DA5F2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24C34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w:t>
            </w:r>
          </w:p>
          <w:p w14:paraId="1090BB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B6FA95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5BF18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F0BDC6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w:t>
            </w:r>
          </w:p>
          <w:p w14:paraId="7513688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AFC8FA2"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1A9C050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p w14:paraId="6E7AE0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AFC9BC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КВ-8с</w:t>
            </w:r>
          </w:p>
          <w:p w14:paraId="47F01F9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1F8D4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1EAC0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5F32B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CC75C8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7347EF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3F82C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2DFDC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120F61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88DC12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136C1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CA122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3CC7790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B7C08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7052B90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09240F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75D295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AC3E6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p w14:paraId="386738D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072D7F6"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761F198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p w14:paraId="222374F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54AD3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КВ-85</w:t>
            </w:r>
          </w:p>
          <w:p w14:paraId="62979FA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DD3F2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6FAB62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B2A6B0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557DC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6BEA3B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A9AF4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59CF0D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0D15C2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AC80B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76FBE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4DD71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E45AAC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1B5659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7072EC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999F80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148</w:t>
            </w:r>
          </w:p>
          <w:p w14:paraId="42CD3B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662FE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148</w:t>
            </w:r>
          </w:p>
          <w:p w14:paraId="2EC617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1491C60"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50D3B2F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p w14:paraId="648562D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C2E48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Т-35</w:t>
            </w:r>
          </w:p>
          <w:p w14:paraId="46A1E6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C0CB7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w:t>
            </w:r>
          </w:p>
          <w:p w14:paraId="1EE36F1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62A56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144168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C2035B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w:t>
            </w:r>
          </w:p>
          <w:p w14:paraId="5AB8B79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690CF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822BD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7C67E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w:t>
            </w:r>
          </w:p>
          <w:p w14:paraId="54E49BA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134652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21983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7CEFD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w:t>
            </w:r>
          </w:p>
          <w:p w14:paraId="7AE60A5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626C20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7EE89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51B9A6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w:t>
            </w:r>
          </w:p>
          <w:p w14:paraId="5EFF40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5058B6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6CD246B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59EF00D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10120B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Т-28</w:t>
            </w:r>
          </w:p>
          <w:p w14:paraId="6351AF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FBB2E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502</w:t>
            </w:r>
          </w:p>
          <w:p w14:paraId="5AFCE22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27BBAD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FBAD1E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D1417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502</w:t>
            </w:r>
          </w:p>
          <w:p w14:paraId="16C6845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8D056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BA565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345E1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502</w:t>
            </w:r>
          </w:p>
          <w:p w14:paraId="4AE0B9E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A49EE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15AF44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95B39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502</w:t>
            </w:r>
          </w:p>
          <w:p w14:paraId="4BB0B2F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4CE1EE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284126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FC1EF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502</w:t>
            </w:r>
          </w:p>
          <w:p w14:paraId="6E04463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894F253"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30C20B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p w14:paraId="1F362A0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BF74CF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Т-29</w:t>
            </w:r>
          </w:p>
          <w:p w14:paraId="594FCA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50B769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03D2383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2C3148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0F87A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77F93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545AE3B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DDF73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0522A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38A0E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36815A5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B72A9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8D1BF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1B9DC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123E678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F159C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B1AFB8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530997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447BB3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A472CED"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6521507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p w14:paraId="4A18B7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15013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6812BC9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1DAA34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115</w:t>
            </w:r>
          </w:p>
          <w:p w14:paraId="2BB6EF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412B6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1110</w:t>
            </w:r>
          </w:p>
          <w:p w14:paraId="7CF982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AFDE2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1225</w:t>
            </w:r>
          </w:p>
          <w:p w14:paraId="48E10C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CA6B63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1886</w:t>
            </w:r>
          </w:p>
          <w:p w14:paraId="22A96F8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927E7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3111</w:t>
            </w:r>
          </w:p>
          <w:p w14:paraId="6AE7387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36CFE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12211</w:t>
            </w:r>
          </w:p>
          <w:p w14:paraId="4774D7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87DF59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15322</w:t>
            </w:r>
          </w:p>
          <w:p w14:paraId="43448D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7F494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15218</w:t>
            </w:r>
          </w:p>
          <w:p w14:paraId="3CFC821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E187A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30540</w:t>
            </w:r>
          </w:p>
          <w:p w14:paraId="4C32F75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E616D04"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779371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13</w:t>
            </w:r>
          </w:p>
          <w:p w14:paraId="6E63760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8B3C0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Т-О34</w:t>
            </w:r>
          </w:p>
          <w:p w14:paraId="22F7BB8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4E31D0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7DCE18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FC5691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35D57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EFDE8A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DD41E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D9A2CB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EB20E5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FDC2F3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D0C192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42D2A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309</w:t>
            </w:r>
          </w:p>
          <w:p w14:paraId="73C3978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19A31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309</w:t>
            </w:r>
          </w:p>
          <w:p w14:paraId="0377371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F88238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478</w:t>
            </w:r>
          </w:p>
          <w:p w14:paraId="74C6B24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5B314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787</w:t>
            </w:r>
          </w:p>
          <w:p w14:paraId="42310A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7B4A2B7"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2AA0238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w:t>
            </w:r>
          </w:p>
          <w:p w14:paraId="5C7F82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2CDAC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БТ-7</w:t>
            </w:r>
          </w:p>
          <w:p w14:paraId="476899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2E1A18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4675</w:t>
            </w:r>
          </w:p>
          <w:p w14:paraId="74FE46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9EF1E5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56C7A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DB2B9D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4675</w:t>
            </w:r>
          </w:p>
          <w:p w14:paraId="7C905E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9851B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26BAC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7C557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4675</w:t>
            </w:r>
          </w:p>
          <w:p w14:paraId="78C47C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4DE933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9C360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76589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4675</w:t>
            </w:r>
          </w:p>
          <w:p w14:paraId="7D68AFF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434A93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34DA70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50DD33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4675</w:t>
            </w:r>
          </w:p>
          <w:p w14:paraId="6E6DDC9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2359423"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37D304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p w14:paraId="3569EB0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B6B3F7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БТ-7М</w:t>
            </w:r>
          </w:p>
          <w:p w14:paraId="1C6FA2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1BD17D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708</w:t>
            </w:r>
          </w:p>
          <w:p w14:paraId="4E48EB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E79976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9B2A5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5816AB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708</w:t>
            </w:r>
          </w:p>
          <w:p w14:paraId="60E6DA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3535E3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051AA8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807313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708</w:t>
            </w:r>
          </w:p>
          <w:p w14:paraId="26F7EB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01AA0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88A34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91B01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708</w:t>
            </w:r>
          </w:p>
          <w:p w14:paraId="3C10290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30295A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5343D0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015033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708</w:t>
            </w:r>
          </w:p>
          <w:p w14:paraId="2129232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BABD623"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1C80D2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p w14:paraId="152456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E06C89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БТ-2-5</w:t>
            </w:r>
          </w:p>
          <w:p w14:paraId="5549C0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95822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2434</w:t>
            </w:r>
          </w:p>
          <w:p w14:paraId="153672A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4D85E0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B9C47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55E980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2434</w:t>
            </w:r>
          </w:p>
          <w:p w14:paraId="68FA80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D15584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6E892A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34E07A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2434</w:t>
            </w:r>
          </w:p>
          <w:p w14:paraId="6387567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A0E2A0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C6ED1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25B1F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2434</w:t>
            </w:r>
          </w:p>
          <w:p w14:paraId="2CE0233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DB4A95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6D026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A6F22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2434</w:t>
            </w:r>
          </w:p>
          <w:p w14:paraId="149BE4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7BD8A03"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4A42C0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w:t>
            </w:r>
          </w:p>
          <w:p w14:paraId="7DE39D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010A66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Т-50</w:t>
            </w:r>
          </w:p>
          <w:p w14:paraId="39CC90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7E21B8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8464AE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BB36E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DB38E7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C6CEAD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97AB0E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2E20D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453270D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B1F08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3087735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75FAD0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p w14:paraId="0C7E1E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D63A02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w:t>
            </w:r>
          </w:p>
          <w:p w14:paraId="5204121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13619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38992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FD7C30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w:t>
            </w:r>
          </w:p>
          <w:p w14:paraId="3360E8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5E07076"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2D646C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w:t>
            </w:r>
          </w:p>
          <w:p w14:paraId="00ABA5F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40A27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Т-26</w:t>
            </w:r>
          </w:p>
          <w:p w14:paraId="24AC18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92BDB1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11090</w:t>
            </w:r>
          </w:p>
          <w:p w14:paraId="2281F5C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EBD974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116</w:t>
            </w:r>
          </w:p>
          <w:p w14:paraId="7A62228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1D4D42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11206</w:t>
            </w:r>
          </w:p>
          <w:p w14:paraId="7CDB3D3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1C88C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5D126D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3CC128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11206</w:t>
            </w:r>
          </w:p>
          <w:p w14:paraId="06EF78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BE65C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F723F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CF89B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11206</w:t>
            </w:r>
          </w:p>
          <w:p w14:paraId="087FF7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03A52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873AB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88D56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11206</w:t>
            </w:r>
          </w:p>
          <w:p w14:paraId="014A991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A022C9E"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2E47159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w:t>
            </w:r>
          </w:p>
          <w:p w14:paraId="7813319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361F1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Т-80</w:t>
            </w:r>
          </w:p>
          <w:p w14:paraId="2F774E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F0364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032258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ED6DF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45185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683784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CAAEC0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42CA78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0238C5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ECB6B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CF17A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6F70D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EDFDD6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D3C96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86672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D3A2BF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4BB467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2F2DCF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1A1385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D43FF97"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4076AD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p w14:paraId="23E5043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3DFF73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Т-70</w:t>
            </w:r>
          </w:p>
          <w:p w14:paraId="621AEFA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E681C1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B09F9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8AC82E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D2723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183ED1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D2B6A7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59F37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82BDF7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62933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5B3EE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2CBA7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4883</w:t>
            </w:r>
          </w:p>
          <w:p w14:paraId="39EF14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403312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4883</w:t>
            </w:r>
          </w:p>
          <w:p w14:paraId="29806E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F2457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3343</w:t>
            </w:r>
          </w:p>
          <w:p w14:paraId="703898C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649C5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8226</w:t>
            </w:r>
          </w:p>
          <w:p w14:paraId="1735928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20CBCED"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34B131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w:t>
            </w:r>
          </w:p>
          <w:p w14:paraId="0CD5247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7E5D5F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Т-40-60</w:t>
            </w:r>
          </w:p>
          <w:p w14:paraId="774EE0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80FA0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w:t>
            </w:r>
          </w:p>
          <w:p w14:paraId="7A9A930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7083AF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181</w:t>
            </w:r>
          </w:p>
          <w:p w14:paraId="31CB805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7070B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222</w:t>
            </w:r>
          </w:p>
          <w:p w14:paraId="145E95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B9141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1873</w:t>
            </w:r>
          </w:p>
          <w:p w14:paraId="5E7EFF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927E66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2095</w:t>
            </w:r>
          </w:p>
          <w:p w14:paraId="1ABF37E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4D0E9D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4474</w:t>
            </w:r>
          </w:p>
          <w:p w14:paraId="4DA6E0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605257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6569</w:t>
            </w:r>
          </w:p>
          <w:p w14:paraId="5E7ADB9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A46DA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p w14:paraId="7B35F4F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00292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6624</w:t>
            </w:r>
          </w:p>
          <w:p w14:paraId="5DBFCC4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9924851"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5DB8909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w:t>
            </w:r>
          </w:p>
          <w:p w14:paraId="0C90999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2605B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Т-38</w:t>
            </w:r>
          </w:p>
          <w:p w14:paraId="659A28C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61A40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1142</w:t>
            </w:r>
          </w:p>
          <w:p w14:paraId="183931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538EC7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3D4DE1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858BCB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1142</w:t>
            </w:r>
          </w:p>
          <w:p w14:paraId="6F4BD6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B644A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17F55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D0E59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1142</w:t>
            </w:r>
          </w:p>
          <w:p w14:paraId="5A9CB3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8B1B12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3E4E5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F4B070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1142</w:t>
            </w:r>
          </w:p>
          <w:p w14:paraId="5C590C0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F2E5D4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0BC46C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1F320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1142</w:t>
            </w:r>
          </w:p>
          <w:p w14:paraId="07260B7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454C77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5BED29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w:t>
            </w:r>
          </w:p>
          <w:p w14:paraId="346ACB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00D3E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Т-37</w:t>
            </w:r>
          </w:p>
          <w:p w14:paraId="172732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5C168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2418</w:t>
            </w:r>
          </w:p>
          <w:p w14:paraId="77DB63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69495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D4096F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1ECB43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2418</w:t>
            </w:r>
          </w:p>
          <w:p w14:paraId="60CA48D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B5A50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2DE891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E3EAC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2418</w:t>
            </w:r>
          </w:p>
          <w:p w14:paraId="1578D0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6D9160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12F56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01ECFE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2418</w:t>
            </w:r>
          </w:p>
          <w:p w14:paraId="691B6CF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C30570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586DD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1F298D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2418</w:t>
            </w:r>
          </w:p>
          <w:p w14:paraId="32DEB1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D59F05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6375287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p w14:paraId="209DA6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AFC39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Т-27</w:t>
            </w:r>
          </w:p>
          <w:p w14:paraId="19301B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59A76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2581</w:t>
            </w:r>
          </w:p>
          <w:p w14:paraId="71CC76C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BF4B39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59B5E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47CDE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2581</w:t>
            </w:r>
          </w:p>
          <w:p w14:paraId="357489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2D529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6938D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5A22B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2581</w:t>
            </w:r>
          </w:p>
          <w:p w14:paraId="696619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CE75CB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2DC12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FAD3A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2581</w:t>
            </w:r>
          </w:p>
          <w:p w14:paraId="639A552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2C0A5A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39F1F1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A790D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2581</w:t>
            </w:r>
          </w:p>
          <w:p w14:paraId="0114284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64DF1B4" w14:textId="77777777">
        <w:trPr>
          <w:trHeight w:val="221"/>
        </w:trPr>
        <w:tc>
          <w:tcPr>
            <w:tcW w:w="1239" w:type="dxa"/>
            <w:gridSpan w:val="2"/>
            <w:tcBorders>
              <w:top w:val="single" w:sz="6" w:space="0" w:color="auto"/>
              <w:left w:val="single" w:sz="6" w:space="0" w:color="auto"/>
              <w:bottom w:val="single" w:sz="6" w:space="0" w:color="auto"/>
              <w:right w:val="single" w:sz="6" w:space="0" w:color="auto"/>
            </w:tcBorders>
          </w:tcPr>
          <w:p w14:paraId="7E668E4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танков</w:t>
            </w:r>
          </w:p>
          <w:p w14:paraId="3F6C25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2ED9A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26013</w:t>
            </w:r>
          </w:p>
          <w:p w14:paraId="6046BC3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4AE93A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1800</w:t>
            </w:r>
          </w:p>
          <w:p w14:paraId="0863E8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D0E27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27813</w:t>
            </w:r>
          </w:p>
          <w:p w14:paraId="178DEB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A8D34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4742</w:t>
            </w:r>
          </w:p>
          <w:p w14:paraId="56194C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3880E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32555</w:t>
            </w:r>
          </w:p>
          <w:p w14:paraId="359F4FA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BBFBF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24445</w:t>
            </w:r>
          </w:p>
          <w:p w14:paraId="4630675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9F9373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57000</w:t>
            </w:r>
          </w:p>
          <w:p w14:paraId="78C825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147144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19892</w:t>
            </w:r>
          </w:p>
          <w:p w14:paraId="0EE1B50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3EB4B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76892</w:t>
            </w:r>
          </w:p>
          <w:p w14:paraId="74B2B16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73E3BF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танкового управления ГБТУ КА генерал-майор инженерно-танковой службы Афонин</w:t>
      </w:r>
    </w:p>
    <w:p w14:paraId="298F47B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663. Л. 9. Подлинник (11403).</w:t>
      </w:r>
    </w:p>
    <w:p w14:paraId="78BE774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DF2525B"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3 января по 8 марта 1944 года прошли испытания СУ-85 ГАЗ, имевшая также заводской индекс ГАЗ-75 - развитие САУ ГАЗ-74, которая отличаясь от неё не только более мощным орудием, но и усиленной броневой защитой. При боевой массе машины 14,5 тонн толщина её верхнего лобового листа составляла 82 мм. Испытания в целом закончились успешно, но дорабатывать машину не стали.</w:t>
      </w:r>
    </w:p>
    <w:p w14:paraId="144E4135"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Причиной тому стало «торпедирование» А.А. Липгартом детища Астрова. Главный конструктор с конца 1943 года начал тихую (а местами и совсем не тихую) войну с военным производством на ГАЗ. Нет, Андрей Александрович не был диверсантом: им двигала необходимость переориентирования завода на производство «мирной» продукции. Кроме того, поскольку САУ ГАЗ-75 была во многом новой машиной, для её производства требовалась серьёзная перестройка мощностей завода. Поскольку объём выпуска САУ требовалось наращивать, внедрение ГАЗ-75 в серию оказалось невозможным (18098).</w:t>
      </w:r>
    </w:p>
    <w:p w14:paraId="1928410F" w14:textId="77777777" w:rsidR="0059774D" w:rsidRPr="00070ADE" w:rsidRDefault="0059774D" w:rsidP="00B56F90">
      <w:pPr>
        <w:spacing w:after="0" w:line="240" w:lineRule="auto"/>
        <w:jc w:val="both"/>
        <w:rPr>
          <w:rFonts w:ascii="Times New Roman" w:hAnsi="Times New Roman"/>
          <w:color w:val="000000" w:themeColor="text1"/>
          <w:sz w:val="16"/>
          <w:szCs w:val="16"/>
        </w:rPr>
      </w:pPr>
    </w:p>
    <w:p w14:paraId="385495C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января 1944 вышло Постановление ГКО № 4880 О частичном восстановлении энергетического хозяйства гор. Киева. (7167, 12-13,14-30).</w:t>
      </w:r>
    </w:p>
    <w:p w14:paraId="20027EA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C2CA6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января 1944 вышло Постановление ГКО № 4881 О расширении производства синтетического ацетона и строительства заводов по выработке синтетического ацетона и вторичного бутилового спирта на базе использования отходящих газов нефтепереработки. (7167, 31-38,39-46).</w:t>
      </w:r>
    </w:p>
    <w:p w14:paraId="3DDCA30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67C8F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января 1944 вышло Постановление ГКО № 4882 О неотложных мерах по восстановлению заводов Наркомата боеприпасов и Наркомата минометного вооружения в районах Украинской ССР и Ростовской области под производство снарядов, мин, авиабомб, порохов и взрывчатых веществ. РГАНИР, Фонд ГКО, д. 185, лл. 47-60 (11012).</w:t>
      </w:r>
    </w:p>
    <w:p w14:paraId="2C95A21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379327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B90CE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5C44B4"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37C4A07B"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3 января в районе к северу от Невеля наши войска с боями продвигались вперёд и заняли 70 населённых пунктов, в том числе населённые пункты Акулино, Корзино, Сидорово, Трушкова, Леонцево, Лобачёво, Мече-Новка, Макулино, Печурино, Кожемячкино, Пунище, Мамонькино, Передельники, Богданово, Краснобаиха, Смольно, Апонасенки и железнодорожные станции Горушки, Каратай.</w:t>
      </w:r>
    </w:p>
    <w:p w14:paraId="0D4D6887"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успешно развивать наступление и врезультате штурма овладели городом и железнодорожным узлом Новоград-Волынский, а также с боями заняли более 170 других населённых пунктов, в том числе районные центры Житомирской области Олевск, Эмильчино, Барановка, Дзержинск, районный центр Киевской области Тетиев, крупные населённые пункты Кишин, Подлубы, Середы, Катериновка, Гульск, Кануны, Киянка, Рогачёв, Клименталь, Людвиновка, Высокаяпечь, Крутая, Рудня Городище, Михайлин, Сопин, Спичинцы, Должек, Наказное,Тележинцы, Кашперовка, Скибинцы, Пятигоры, Сухой Яр, Торчица, Войнаровка,Кривец, Янышевка, Острая Могила, Пархомовка, Езерно, Корживка, Сорокотяги, Ольшанка, Соколовка, Юзефовка и железнодорожные станции Гарты, Эмильчино, Роскопано, Кашперовка, Друцкая.</w:t>
      </w:r>
    </w:p>
    <w:p w14:paraId="6DAFAE59"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07C08C17"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 января наши войска на всех фронтах подбили и уничтожили 31 немецкий танк. В воздушных боях сбито 9 самолетов противника.</w:t>
      </w:r>
    </w:p>
    <w:p w14:paraId="00CAF64C"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северу от Невеля наши войска продолжали вести наступательные бои. Части Н-ского соединения сломили сопротивление немцев и, продвигаясь вперёд, заняли 70 населённых пунктов. В боях за эти пункты уничтожено до 800 гитлеровцев. Наши бойцы захватили 2 танка, 22 орудия, 12 миномётов, 32 пулемёта, 400 автоматов ивинтовок, много снарядов и патронов. На другом участке бойцы Н-ской гвардейской части форсировали озеро и внезапно ворвались в расположение противника. Немцы были застигнуты врасплох и в беспорядке отступили. Наши гвардейцы заняли несколько сильно укреплённых пунктов, уничтожив при этом до батальона вражеской пехоты. Захвачены трофеи и пленные.</w:t>
      </w:r>
    </w:p>
    <w:p w14:paraId="05576DF9"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успешное наступление. Стремительно продвигаясь вперёд, наши танковые части форсировали реку Случь, разгромили группу войск противника и прорвались к городу Новоград-Волынский. Советские танкисты окружили немецкий гарнизон и завязали уличные бои. Сегодня, 3 января, наши танкисты и пехотинцы решительным штурмом разгромили вражеский гарнизон и овладели городом Новоград-Волынский — крупным железнодорожным узлом и важным опорным пунктом обороны немцев. На подступах к городу и в уличных боях противник понёс тяжёлые потери. Остатки разбитого немецкого гарнизона взяты в плен. Наши бойцы захватили много орудий и стрелкового оружия, большое число автомашин и несколько крупных складов с военным имуществом. Части Н-ского соединения, преодолевая сопротивление противника, овладели районным центром Житомирской области и железнодорожной станцией Олевск. В боях за Олевск уничтожен батальон гитлеровцев. На других участках наши войска, продолжая развивать наступление, заняли районные центры Житомирской области Дзержинск, Барановку, Эмильчино, районный центр Киевской области Тетиев и свыше 170 других населённых пунктов. За день боёв уничтожено свыше 5 тысяч немецких солдат и офицеров. Захвачены 25 немецких танков, 6 бронемашин, 10 самоходных орудий, 640 автомашин и другие трофеи. В районе Эмильчино на сторону Красной Армии перешли в полном составе две роты немецкой пехоты.</w:t>
      </w:r>
    </w:p>
    <w:p w14:paraId="06228AF4"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Минской области, в декабре пустил под откос 6 железнодорожных эшелонов противника. Разбито 5 паровозов, 17 платформ с орудиями и автомашинами, 2 платформы с танками, 13 вагонов с боеприпасами и 18 вагонов с солдатами и офицерами. Под обломками вагонов погибло много гитлеровцев. Движение поездов на этом участке железной дороги было прервано на семь суток.</w:t>
      </w:r>
    </w:p>
    <w:p w14:paraId="76397907"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Пленные ефрейторы Ганс Шмидт, Пауль Краузе и унтер-офицер Виллибальд Рихтер 5 роты 239 полка 106 немецкой пехотной дивизии рассказали: «Непрерывные бои обескровили нашу дивизию. В конце октября был расформирован 240 полк. В 239 полку формально числится два батальона, но эти батальоны по своей численности уступают обычной роте. От писарей штаба дивизии, переведённых на передовую, солдаты узнали содержание донесения командира дивизии генерал-лейтенанта Форста командованию 11 армейского корпуса. В этом донесении Форст сообщил, что за время с 29 сентября по 25 октября дивизия потеряла убитыми и тяжело ранеными 4.328 человек. Генерал далее указывал, что без крупных пополнений дивизия не всостоянии будет оборонять занимаемые ею позиции».</w:t>
      </w:r>
    </w:p>
    <w:p w14:paraId="15E4FFED"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Ниже публикуется акт о зверствах немецко-фашистских мерзавцев в станице Голубицкая, Краснодарского края. В акте говорится: «Озверелые немецкие оккупанты грабили и убивали мирное население. Они открыли в станице три тюрьмы и два концлагеря. В этих застенках гестаповцы мучили и пытали арестованных советских граждан. Массовые расстрелы мирных жителей происходили на голубицком кладбище и в других местах. От рук гитлеровских палачей погибли колхозники Григорий Штеба, Николай Штеба, Едена Хамчук, Матрёна Пимахина, Тамара Леурда и многие другие. Отступая под ударами Красной Армии, немецкие захватчики насильно угнали большую часть населения. Специальные команды солдат из 646 немецкого инженерно-строительного батальона под командованием майора Штройта врывались в дома и прикладами выгоняли колхозников на большак. Здесь немцы объявили всем жителям, что они арестованы, и под усиленным конвоем угнали их к Керченскому проливу. Гитлеровцы разрушили все школы станицы, здание станичного совета, разобрали церковь, сожгли и разрушили 168 домов колхозников. В рыболовецком колхозе «Труженик моря» немцы вывели из строя весь парусно-гребной флот, 7 моторных катеров и уничтожили 3 тысячи сетей. Фашистские дикари вырубили в садах 4 тысячи фруктовых деревьев и уничтожили виноградники. Виновниками всех этих преступлений мы считаем майора Штройта, коменданта станицы Гауптмана и солда т646 немецкого инженерно-строительного батальона».</w:t>
      </w:r>
    </w:p>
    <w:p w14:paraId="0D3AEB36"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жители станицы: Яков Капуста, Лука Пащенко, Захар Гриценко,Мария Костенко, Иван Миггель.» (14998).</w:t>
      </w:r>
    </w:p>
    <w:p w14:paraId="285E2E5E" w14:textId="77777777" w:rsidR="00414BE3" w:rsidRPr="00070ADE" w:rsidRDefault="00414BE3" w:rsidP="00B56F90">
      <w:pPr>
        <w:spacing w:after="0" w:line="240" w:lineRule="auto"/>
        <w:jc w:val="both"/>
        <w:rPr>
          <w:rFonts w:ascii="Times New Roman" w:hAnsi="Times New Roman"/>
          <w:color w:val="000000" w:themeColor="text1"/>
          <w:sz w:val="16"/>
          <w:szCs w:val="16"/>
        </w:rPr>
      </w:pPr>
    </w:p>
    <w:p w14:paraId="40258505"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 января</w:t>
      </w:r>
      <w:r w:rsidRPr="00070ADE">
        <w:rPr>
          <w:rFonts w:ascii="Times New Roman" w:hAnsi="Times New Roman"/>
          <w:color w:val="000000" w:themeColor="text1"/>
          <w:sz w:val="16"/>
          <w:szCs w:val="16"/>
        </w:rPr>
        <w:t xml:space="preserve"> в 1944 году в СССР сформирована 2-я чехословацкая пехотная бригада (14998).</w:t>
      </w:r>
    </w:p>
    <w:p w14:paraId="7A6CE57B" w14:textId="77777777" w:rsidR="00414BE3" w:rsidRPr="00070ADE" w:rsidRDefault="00414BE3" w:rsidP="00B56F90">
      <w:pPr>
        <w:spacing w:after="0" w:line="240" w:lineRule="auto"/>
        <w:jc w:val="both"/>
        <w:rPr>
          <w:rFonts w:ascii="Times New Roman" w:hAnsi="Times New Roman"/>
          <w:color w:val="000000" w:themeColor="text1"/>
          <w:sz w:val="16"/>
          <w:szCs w:val="16"/>
        </w:rPr>
      </w:pPr>
    </w:p>
    <w:p w14:paraId="3EACA9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rPr>
        <w:t>3 января 1944 согласно сообщению Совинформбюро группа и под командой ст.л. С.И.Маковского произвела налет на аэродром, где сбила в воздушном бою 4 и сожгла на земле 3. Был подбит с Кузнецова и Маковский, приземлившись рядом, принял и вывез его. СталГСС</w:t>
      </w:r>
      <w:r w:rsidRPr="00070ADE">
        <w:rPr>
          <w:rFonts w:ascii="Times New Roman" w:hAnsi="Times New Roman"/>
          <w:color w:val="000000" w:themeColor="text1"/>
          <w:sz w:val="16"/>
          <w:szCs w:val="16"/>
          <w:lang w:val="en-US"/>
        </w:rPr>
        <w:t xml:space="preserve"> (438,892).</w:t>
      </w:r>
    </w:p>
    <w:p w14:paraId="00F4486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68A52C3"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070ADE">
        <w:rPr>
          <w:rFonts w:ascii="Times New Roman" w:hAnsi="Times New Roman"/>
          <w:i/>
          <w:iCs/>
          <w:color w:val="000000" w:themeColor="text1"/>
          <w:sz w:val="16"/>
          <w:szCs w:val="16"/>
        </w:rPr>
        <w:t>Зарубежом</w:t>
      </w:r>
      <w:r w:rsidRPr="00070ADE">
        <w:rPr>
          <w:rFonts w:ascii="Times New Roman" w:hAnsi="Times New Roman"/>
          <w:i/>
          <w:iCs/>
          <w:color w:val="000000" w:themeColor="text1"/>
          <w:sz w:val="16"/>
          <w:szCs w:val="16"/>
          <w:lang w:val="en-US"/>
        </w:rPr>
        <w:t>:</w:t>
      </w:r>
    </w:p>
    <w:p w14:paraId="7395D7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5670E5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January 3, 1944: The US Fifth Army (Clark) begins an offensive against the German forces in Italy (Kesselring) entrenched in the Gustav Line along the Rapido river, with its center at Cassino (3819).</w:t>
      </w:r>
    </w:p>
    <w:p w14:paraId="44274B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28E15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января 1944 5А США (Кларк) начала наступление против немцев, закрепившихся на линии Густава с центром в Монте Кассино (3819).</w:t>
      </w:r>
    </w:p>
    <w:p w14:paraId="0FDD41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F7E14D" w14:textId="77777777"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3 января 1944 стрелок из его шаровой башни </w:t>
      </w:r>
      <w:r w:rsidRPr="00070ADE">
        <w:rPr>
          <w:rFonts w:ascii="Times New Roman" w:hAnsi="Times New Roman"/>
          <w:color w:val="000000" w:themeColor="text1"/>
          <w:sz w:val="16"/>
          <w:szCs w:val="16"/>
          <w:lang w:val="en-US"/>
        </w:rPr>
        <w:t>B</w:t>
      </w:r>
      <w:r w:rsidRPr="00070ADE">
        <w:rPr>
          <w:rFonts w:ascii="Times New Roman" w:hAnsi="Times New Roman"/>
          <w:color w:val="000000" w:themeColor="text1"/>
          <w:sz w:val="16"/>
          <w:szCs w:val="16"/>
        </w:rPr>
        <w:t>-17</w:t>
      </w:r>
      <w:r w:rsidRPr="00070ADE">
        <w:rPr>
          <w:rFonts w:ascii="Times New Roman" w:hAnsi="Times New Roman"/>
          <w:color w:val="000000" w:themeColor="text1"/>
          <w:sz w:val="16"/>
          <w:szCs w:val="16"/>
          <w:lang w:val="en-US"/>
        </w:rPr>
        <w:t>F</w:t>
      </w:r>
      <w:r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lang w:val="en-US"/>
        </w:rPr>
        <w:t>Flying</w:t>
      </w:r>
      <w:r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lang w:val="en-US"/>
        </w:rPr>
        <w:t>Fortress</w:t>
      </w:r>
      <w:r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lang w:val="en-US"/>
        </w:rPr>
        <w:t>Snap</w:t>
      </w:r>
      <w:r w:rsidRPr="00070ADE">
        <w:rPr>
          <w:rFonts w:ascii="Times New Roman" w:hAnsi="Times New Roman"/>
          <w:color w:val="000000" w:themeColor="text1"/>
          <w:sz w:val="16"/>
          <w:szCs w:val="16"/>
        </w:rPr>
        <w:t>! Треск! Поп!, сбитого Фокке-Вульф Fw 190 над Сен-Назером, Франция, старший сержант Алан Маги прыгает или сбрасывается с самолета без парашюта и падает четыре мили (6,4 км), проникая сквозь стеклянный потолок вокзала Сен-Назер. Он чудом выжил и провел остаток Второй мировой войны в качестве военнопленного (29373).</w:t>
      </w:r>
    </w:p>
    <w:p w14:paraId="238B26A8" w14:textId="77777777" w:rsidR="00EB290F" w:rsidRPr="00070ADE" w:rsidRDefault="00EB290F" w:rsidP="00B56F90">
      <w:pPr>
        <w:spacing w:after="0" w:line="240" w:lineRule="auto"/>
        <w:jc w:val="both"/>
        <w:rPr>
          <w:rFonts w:ascii="Times New Roman" w:hAnsi="Times New Roman"/>
          <w:color w:val="000000" w:themeColor="text1"/>
          <w:sz w:val="16"/>
          <w:szCs w:val="16"/>
        </w:rPr>
      </w:pPr>
    </w:p>
    <w:p w14:paraId="3617407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3 января 1944 года было прямое попадание в здание имперской канцелярии. Через два дня из убежища, находящегося на глубине 20 метров, был извлечен персонал канцелярии, ввиду прочности убежища оставшийся невредимым. Работающему и связанному с противовоздушной обороной населению выезд из Берлина запрещен. С 17 ноября 1943 господствует усталое и летаргическое настроение. В ноябре попаданием многих фугасных бомб разрушена станция метро "Виттенбергплац". Дома вблизи (например, мининдела) сгорели. Главный почтамт на Дессауэрштрассе сгорел. Почти все телефоны не работают. Прием телеграмм ограничен. Материалы министерств своевременно укрыты. Книги и дела больших банков почти полностью уничтожены бомбежками. С конца ноября нормальная работа банков невозможна. Погибла большая часть материалов муниципальных органов и учетные материалы военнообязанных. </w:t>
      </w:r>
    </w:p>
    <w:p w14:paraId="3511BE2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После десятого налета число оставшихся без крова исчисляется в два миллиона человек, причем они спасли только то, что имели при себе. Несмотря на драконовские меры и казни, угрожающие плакаты на разных языках, происходят грабежи и кражи, в которых участвуют иностранные рабочие. Отпускников специальными плакатами призывают владеть своими нервами и поспешить в свои части, где их ждут товарищи, иначе они будут подвергнуты строгому наказанию. Улицы Берлина кишат военными патрулями и полицейскими отрядами. Учащаются случаи невозвращения отпускников на фронт. </w:t>
      </w:r>
    </w:p>
    <w:p w14:paraId="04B971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ответ на обращение Геббельса слышны открытые насмешки или ругательства. Прессе дано указание критиковать второстепенные власти. За критику Гитлера люди исчезают. </w:t>
      </w:r>
    </w:p>
    <w:p w14:paraId="594DD5C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Сотни тысяч иностранных рабочих висят дамокловым мечом над Берлином. Они все расхищают. По ночам на затемненных улицах открывают канализационные люки, чтобы проваливались люди. Приводят в негодность телефонные автоматы. Перед ними не меньший страх, чем перед гестапо... </w:t>
      </w:r>
    </w:p>
    <w:p w14:paraId="1A0FE76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Все ждут и надеются на уничтожение промышленных районов Берлина и удивляются, что бомбы вместо этого попадают туда, где это вообще на военную машину влияния не оказывает. Вероятно, вследствие ошибочных наблюдений или неправильного представления больше всего пострадала та часть города, существование которой на ход войны едва ли оказывает существенное влияние. Промышленные сооружения востока, севера, Эркнер, Шпандау, Сименсштадт до сих пор почти не пострадали. Фюрстенвальд, самый большой центр военной промышленности берлинского района, вряд ли видел хотя бы один английский самолет... Налеты большей частью производились на юго-западную часть Берлина. Хотя они и причинили очень тяжелый ущерб, но для ведения войны они почти не имели значения. Юго-западные кварталы уничтожены, как и район Гедехтновкирхе, но шестиэтажное бетонное сооружение в непосредственной близости от зоологического сада, откуда управляется вся противовоздушная оборона Берлина, осталось невредимым... Тем, что бомбардировке подвергаются западные кварталы Берлина Грюнвальд, южное и западное предместья, положение правителей Берлина только облегчается, так как для гражданского населения меньше требуется электричества, воды, угля, продуктов. </w:t>
      </w:r>
    </w:p>
    <w:p w14:paraId="6F2D0A4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сообщения британского разведчика в Берлине, переданного советской агентурой в Москву, 1944 г. (11652).</w:t>
      </w:r>
    </w:p>
    <w:p w14:paraId="2DF0E2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C1C15A4" w14:textId="77777777"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января 1944 в условиях снежных шквалов и сильных порывов ветра, которые оставляют на земле все другие самолеты в этом районе, пилот береговой охраны США коммандер Фрэнк А. Эриксон, который пилотирует вертолет Сикорский HNS-1 совершает полет от Floyd Bennett Field в Бруклине, Нью - Йорк, в Бэттери - парк в Манхэттене, где он принимает лва контейнера, содержащие более 40 единиц плазмы крови , которые привязанные к поплавкам вертолету. Затем он летит для доставки плазмы в Sandy Hook, Нью - Джерси, где она используется для лечения пострадавших эсминца ВМС США USS Turner (DD-648), перевернувшегося и затонувшего в Атлантическом океане около гавани Нью – Йорк в то утро после серии сильных внутренних взрывов. Это и первый в истории полет вертолета в таких неблагоприятных погодных условиях, и первый в истории случай «спасательной операции» на вертолете (20373).</w:t>
      </w:r>
    </w:p>
    <w:p w14:paraId="6C772558" w14:textId="77777777" w:rsidR="00EB290F" w:rsidRPr="00070ADE" w:rsidRDefault="00EB290F" w:rsidP="00B56F90">
      <w:pPr>
        <w:spacing w:after="0" w:line="240" w:lineRule="auto"/>
        <w:jc w:val="both"/>
        <w:rPr>
          <w:rFonts w:ascii="Times New Roman" w:hAnsi="Times New Roman"/>
          <w:color w:val="000000" w:themeColor="text1"/>
          <w:sz w:val="16"/>
          <w:szCs w:val="16"/>
        </w:rPr>
      </w:pPr>
    </w:p>
    <w:p w14:paraId="31E088F8" w14:textId="77777777"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3 января 1944 на эсминце «Тэрнер», находившемся на траверзе Нью-Йорка, произошел взрыв. После ликвидации возникшего пожара на борту, кроме погибших, оказалось много раненых, в том числе обожженных. Срочно требовалась плазма крови, доставить которую из госпиталя ВМС мешал шторм. На помощь пришел командир отряда вертолетов береговой охраны коммандер Ф. Эриксон. Пилот вылетел с авиастанции в районе Бруклина, совершил посадку на вертолете Сикорского </w:t>
      </w:r>
      <w:r w:rsidRPr="00070ADE">
        <w:rPr>
          <w:rFonts w:ascii="Times New Roman" w:hAnsi="Times New Roman"/>
          <w:color w:val="000000" w:themeColor="text1"/>
          <w:sz w:val="16"/>
          <w:szCs w:val="16"/>
          <w:lang w:val="en-US"/>
        </w:rPr>
        <w:t>S</w:t>
      </w:r>
      <w:r w:rsidRPr="00070ADE">
        <w:rPr>
          <w:rFonts w:ascii="Times New Roman" w:hAnsi="Times New Roman"/>
          <w:color w:val="000000" w:themeColor="text1"/>
          <w:sz w:val="16"/>
          <w:szCs w:val="16"/>
        </w:rPr>
        <w:t>-47 во дворе госпиталя, забрал приготовленную плазму и через 14 минут доставил ее по назначению, что позволило спасти пострадавших моряков (22830).</w:t>
      </w:r>
    </w:p>
    <w:p w14:paraId="0DF3706F" w14:textId="77777777" w:rsidR="00EB290F" w:rsidRPr="00070ADE" w:rsidRDefault="00EB290F" w:rsidP="00B56F90">
      <w:pPr>
        <w:spacing w:after="0" w:line="240" w:lineRule="auto"/>
        <w:jc w:val="both"/>
        <w:rPr>
          <w:rFonts w:ascii="Times New Roman" w:hAnsi="Times New Roman"/>
          <w:color w:val="000000" w:themeColor="text1"/>
          <w:sz w:val="16"/>
          <w:szCs w:val="16"/>
        </w:rPr>
      </w:pPr>
    </w:p>
    <w:p w14:paraId="6676E70F" w14:textId="77777777"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января 1944 ас Грегори «Паппи» Boyington сбит над Rapopo Аэродром, Новой Британии на F4U Corsair Корпуса морской пехоты США с 24 победамиу. Считается, что он погиб, и 15 марта он получит «посмертную» Почетную медаль; на самом деле он выживает и проведет 20 месяцев в качестве военнопленного в Рабауле и Японии (20373).</w:t>
      </w:r>
    </w:p>
    <w:p w14:paraId="7A8B2268" w14:textId="77777777" w:rsidR="00EB290F" w:rsidRPr="00070ADE" w:rsidRDefault="00EB290F" w:rsidP="00B56F90">
      <w:pPr>
        <w:spacing w:after="0" w:line="240" w:lineRule="auto"/>
        <w:jc w:val="both"/>
        <w:rPr>
          <w:rFonts w:ascii="Times New Roman" w:hAnsi="Times New Roman"/>
          <w:color w:val="000000" w:themeColor="text1"/>
          <w:sz w:val="16"/>
          <w:szCs w:val="16"/>
        </w:rPr>
      </w:pPr>
    </w:p>
    <w:p w14:paraId="0D1DAC13"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65F1F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383B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января 1944 г. С.В.И. утвердил проект четырехдвигательного Ил-12. В первом варианте проекта Ил-12 форма носовой части фюзеляжа была оптимизирована для восприятия нагрузок от избыточного давления в герметичной кабине и представляла собой полусферу с вписанным в нее остеклением. Такие обводы затем применялись на ранней версии Ил-18 (с поршневыми двигателями) и опытном реактивном бомбардировщике Ил-22. Проектируя Ил-12, ильюшинцы впервые в своей практике решили применить носовое колесо, как улучшающее безопасность взлета и посадки, т.к. радикально решало проблему капотирования самолета. Каждая опора оснащалась одним колесом большого диаметра. Убирались “ноги” назад: передняя - в негерметичный отсек под полом пассажирской кабины, основные - в гондолы внутренних двигателей. Под хвостовой частью фюзеляжа размещалось небольшое, полуутопленное в фюзеляж колесо (5156).</w:t>
      </w:r>
    </w:p>
    <w:p w14:paraId="6A5812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DA1AE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января 1944 г. С.В.Ильюшин утвердил проект высотного варианта Ил-12 с четырьмя моторами М-88В. Как вспоминал А.С.Яковлев, в то время заместитель наркома авиапромышленности по опытному строительству, в один из январских вечеров об этом проекте доложили И.В.Сталину. Тот поддержал инициативу Ильюшина и одобрил создание Ил-12 (9528).</w:t>
      </w:r>
    </w:p>
    <w:p w14:paraId="7D4815B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7523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января 1944 С.В.И. утвердил вариант Ил-12 с 4хМ-88В (3846,19).</w:t>
      </w:r>
    </w:p>
    <w:p w14:paraId="15DE18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6257F0" w14:textId="77777777" w:rsidR="00414BE3" w:rsidRPr="00070ADE" w:rsidRDefault="00414BE3" w:rsidP="00B56F90">
      <w:pPr>
        <w:pStyle w:val="a3"/>
        <w:rPr>
          <w:rStyle w:val="152"/>
          <w:rFonts w:ascii="Times New Roman" w:hAnsi="Times New Roman" w:cs="Times New Roman"/>
          <w:i w:val="0"/>
          <w:color w:val="000000" w:themeColor="text1"/>
          <w:sz w:val="16"/>
          <w:szCs w:val="16"/>
          <w:lang w:val="ru-RU"/>
        </w:rPr>
      </w:pPr>
      <w:r w:rsidRPr="00070ADE">
        <w:rPr>
          <w:rStyle w:val="221"/>
          <w:rFonts w:ascii="Times New Roman" w:hAnsi="Times New Roman" w:cs="Times New Roman"/>
          <w:b w:val="0"/>
          <w:color w:val="000000" w:themeColor="text1"/>
          <w:sz w:val="16"/>
          <w:szCs w:val="16"/>
          <w:lang w:val="ru-RU"/>
        </w:rPr>
        <w:t>4 января</w:t>
      </w:r>
      <w:r w:rsidRPr="00070ADE">
        <w:rPr>
          <w:color w:val="000000" w:themeColor="text1"/>
          <w:lang w:val="ru-RU"/>
        </w:rPr>
        <w:t xml:space="preserve"> 1944 г. двухмоторный транспортный самолет Ил-АЧ-31 был утвержден главным конструктором, и в этом же месяце по</w:t>
      </w:r>
      <w:r w:rsidRPr="00070ADE">
        <w:rPr>
          <w:color w:val="000000" w:themeColor="text1"/>
          <w:lang w:val="ru-RU"/>
        </w:rPr>
        <w:softHyphen/>
      </w:r>
      <w:r w:rsidRPr="00070ADE">
        <w:rPr>
          <w:rStyle w:val="221"/>
          <w:rFonts w:ascii="Times New Roman" w:hAnsi="Times New Roman" w:cs="Times New Roman"/>
          <w:b w:val="0"/>
          <w:color w:val="000000" w:themeColor="text1"/>
          <w:sz w:val="16"/>
          <w:szCs w:val="16"/>
          <w:lang w:val="ru-RU"/>
        </w:rPr>
        <w:t>лучил</w:t>
      </w:r>
      <w:r w:rsidRPr="00070ADE">
        <w:rPr>
          <w:color w:val="000000" w:themeColor="text1"/>
          <w:lang w:val="ru-RU"/>
        </w:rPr>
        <w:t xml:space="preserve"> положительную оценку И.В. </w:t>
      </w:r>
      <w:r w:rsidRPr="00070ADE">
        <w:rPr>
          <w:color w:val="000000" w:themeColor="text1"/>
          <w:lang w:val="ru-RU"/>
        </w:rPr>
        <w:lastRenderedPageBreak/>
        <w:t>Ста</w:t>
      </w:r>
      <w:r w:rsidRPr="00070ADE">
        <w:rPr>
          <w:color w:val="000000" w:themeColor="text1"/>
          <w:lang w:val="ru-RU"/>
        </w:rPr>
        <w:softHyphen/>
        <w:t>лина, о чем в своей книге «Цель жизни» упоминает А.С. Яковлев. Немало хлопот конструкторскому коллективу доста</w:t>
      </w:r>
      <w:r w:rsidRPr="00070ADE">
        <w:rPr>
          <w:color w:val="000000" w:themeColor="text1"/>
          <w:lang w:val="ru-RU"/>
        </w:rPr>
        <w:softHyphen/>
        <w:t>вила работа над эскизным проектом самолета. Позднее С.В. Ильюшин, вспо</w:t>
      </w:r>
      <w:r w:rsidRPr="00070ADE">
        <w:rPr>
          <w:color w:val="000000" w:themeColor="text1"/>
          <w:lang w:val="ru-RU"/>
        </w:rPr>
        <w:softHyphen/>
      </w:r>
      <w:r w:rsidRPr="00070ADE">
        <w:rPr>
          <w:rStyle w:val="221"/>
          <w:rFonts w:ascii="Times New Roman" w:hAnsi="Times New Roman" w:cs="Times New Roman"/>
          <w:b w:val="0"/>
          <w:color w:val="000000" w:themeColor="text1"/>
          <w:sz w:val="16"/>
          <w:szCs w:val="16"/>
          <w:lang w:val="ru-RU"/>
        </w:rPr>
        <w:t>миная</w:t>
      </w:r>
      <w:r w:rsidRPr="00070ADE">
        <w:rPr>
          <w:color w:val="000000" w:themeColor="text1"/>
          <w:lang w:val="ru-RU"/>
        </w:rPr>
        <w:t xml:space="preserve"> о том периоде, говорил:</w:t>
      </w:r>
      <w:r w:rsidRPr="00070ADE">
        <w:rPr>
          <w:rStyle w:val="152"/>
          <w:rFonts w:ascii="Times New Roman" w:hAnsi="Times New Roman" w:cs="Times New Roman"/>
          <w:i w:val="0"/>
          <w:color w:val="000000" w:themeColor="text1"/>
          <w:sz w:val="16"/>
          <w:szCs w:val="16"/>
          <w:lang w:val="ru-RU"/>
        </w:rPr>
        <w:t xml:space="preserve"> «Тща</w:t>
      </w:r>
      <w:r w:rsidRPr="00070ADE">
        <w:rPr>
          <w:rStyle w:val="152"/>
          <w:rFonts w:ascii="Times New Roman" w:hAnsi="Times New Roman" w:cs="Times New Roman"/>
          <w:i w:val="0"/>
          <w:color w:val="000000" w:themeColor="text1"/>
          <w:sz w:val="16"/>
          <w:szCs w:val="16"/>
          <w:lang w:val="ru-RU"/>
        </w:rPr>
        <w:softHyphen/>
        <w:t>тельно разработанных требований к транспортному самолету тогда не было и</w:t>
      </w:r>
      <w:r w:rsidRPr="00070ADE">
        <w:rPr>
          <w:rStyle w:val="230"/>
          <w:rFonts w:ascii="Times New Roman" w:hAnsi="Times New Roman" w:cs="Times New Roman"/>
          <w:b w:val="0"/>
          <w:i w:val="0"/>
          <w:color w:val="000000" w:themeColor="text1"/>
          <w:sz w:val="16"/>
          <w:szCs w:val="16"/>
          <w:lang w:val="ru-RU"/>
        </w:rPr>
        <w:t xml:space="preserve"> в</w:t>
      </w:r>
      <w:r w:rsidRPr="00070ADE">
        <w:rPr>
          <w:rStyle w:val="152"/>
          <w:rFonts w:ascii="Times New Roman" w:hAnsi="Times New Roman" w:cs="Times New Roman"/>
          <w:i w:val="0"/>
          <w:color w:val="000000" w:themeColor="text1"/>
          <w:sz w:val="16"/>
          <w:szCs w:val="16"/>
          <w:lang w:val="ru-RU"/>
        </w:rPr>
        <w:t xml:space="preserve"> помине. Конструкторам приходилось проектировать самолет на свой страх и риск. Когда мы начали работать над проектом, многого из того, что требу</w:t>
      </w:r>
      <w:r w:rsidRPr="00070ADE">
        <w:rPr>
          <w:rStyle w:val="152"/>
          <w:rFonts w:ascii="Times New Roman" w:hAnsi="Times New Roman" w:cs="Times New Roman"/>
          <w:i w:val="0"/>
          <w:color w:val="000000" w:themeColor="text1"/>
          <w:sz w:val="16"/>
          <w:szCs w:val="16"/>
          <w:lang w:val="ru-RU"/>
        </w:rPr>
        <w:softHyphen/>
        <w:t>ется для оснащения современного воз</w:t>
      </w:r>
      <w:r w:rsidRPr="00070ADE">
        <w:rPr>
          <w:rStyle w:val="152"/>
          <w:rFonts w:ascii="Times New Roman" w:hAnsi="Times New Roman" w:cs="Times New Roman"/>
          <w:i w:val="0"/>
          <w:color w:val="000000" w:themeColor="text1"/>
          <w:sz w:val="16"/>
          <w:szCs w:val="16"/>
          <w:lang w:val="ru-RU"/>
        </w:rPr>
        <w:softHyphen/>
        <w:t>душного корабля не было. Однако это нас не обескуражило. Мы знали, что как только кончится война, у нас будут все возможности для оснащения граждан</w:t>
      </w:r>
      <w:r w:rsidRPr="00070ADE">
        <w:rPr>
          <w:rStyle w:val="152"/>
          <w:rFonts w:ascii="Times New Roman" w:hAnsi="Times New Roman" w:cs="Times New Roman"/>
          <w:i w:val="0"/>
          <w:color w:val="000000" w:themeColor="text1"/>
          <w:sz w:val="16"/>
          <w:szCs w:val="16"/>
          <w:lang w:val="ru-RU"/>
        </w:rPr>
        <w:softHyphen/>
        <w:t>ских самолетов самым довременным оборудованием» (15749).</w:t>
      </w:r>
    </w:p>
    <w:p w14:paraId="4BD44810" w14:textId="77777777" w:rsidR="00414BE3" w:rsidRPr="00070ADE" w:rsidRDefault="00414BE3" w:rsidP="00B56F90">
      <w:pPr>
        <w:pStyle w:val="a3"/>
        <w:rPr>
          <w:color w:val="000000" w:themeColor="text1"/>
          <w:lang w:val="ru-RU"/>
        </w:rPr>
      </w:pPr>
    </w:p>
    <w:p w14:paraId="5077C11D" w14:textId="77777777" w:rsidR="005A3D52" w:rsidRPr="00C94B78" w:rsidRDefault="005A3D52"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 xml:space="preserve">4 января 1944 г. С.В. Ильюшин утвердил проект четырёхмоторного варианта Ил-12 </w:t>
      </w:r>
      <w:r w:rsidRPr="00C94B78">
        <w:rPr>
          <w:rStyle w:val="aff1"/>
          <w:rFonts w:ascii="Times New Roman" w:hAnsi="Times New Roman" w:cs="Times New Roman"/>
          <w:color w:val="0070C0"/>
          <w:spacing w:val="0"/>
          <w:sz w:val="16"/>
          <w:szCs w:val="16"/>
          <w:lang w:val="en-US"/>
        </w:rPr>
        <w:t>c</w:t>
      </w:r>
      <w:r w:rsidRPr="00C94B78">
        <w:rPr>
          <w:rStyle w:val="aff1"/>
          <w:rFonts w:ascii="Times New Roman" w:hAnsi="Times New Roman" w:cs="Times New Roman"/>
          <w:color w:val="0070C0"/>
          <w:spacing w:val="0"/>
          <w:sz w:val="16"/>
          <w:szCs w:val="16"/>
        </w:rPr>
        <w:t xml:space="preserve"> двигате</w:t>
      </w:r>
      <w:r w:rsidRPr="00C94B78">
        <w:rPr>
          <w:rStyle w:val="aff1"/>
          <w:rFonts w:ascii="Times New Roman" w:hAnsi="Times New Roman" w:cs="Times New Roman"/>
          <w:color w:val="0070C0"/>
          <w:spacing w:val="0"/>
          <w:sz w:val="16"/>
          <w:szCs w:val="16"/>
        </w:rPr>
        <w:softHyphen/>
        <w:t>лями М-88Б. О проекте доложили И.В. Сталину, и он поддержал инициативу Ильюшина. Однако уже в конце января началась прора</w:t>
      </w:r>
      <w:r w:rsidRPr="00C94B78">
        <w:rPr>
          <w:rStyle w:val="aff1"/>
          <w:rFonts w:ascii="Times New Roman" w:hAnsi="Times New Roman" w:cs="Times New Roman"/>
          <w:color w:val="0070C0"/>
          <w:spacing w:val="0"/>
          <w:sz w:val="16"/>
          <w:szCs w:val="16"/>
        </w:rPr>
        <w:softHyphen/>
        <w:t>ботка самолёта с двумя новыми дизельными двигателями АЧ-31, выбор которых объяснялся соображениями экономичности. Интересно, что в некоторых документах этот проект проходил как Ил-12 АЧ-30Б (эти сери йные дви гатели имел и мощность 1250/1500 л.с.), однако ставка была сделана на более мощные моторы АЧ-31 (1500/1900 л.с.), являвшиеся дальнейшим развитием варианта АЧ-30БФ. Двигатели АЧ-31 выпустили в 1950 г. малой серией на заводе № 500.</w:t>
      </w:r>
    </w:p>
    <w:p w14:paraId="1D386854" w14:textId="77777777" w:rsidR="005A3D52" w:rsidRPr="00C94B78" w:rsidRDefault="005A3D52"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Именно с этими двигателями и был построен прото</w:t>
      </w:r>
      <w:r w:rsidRPr="00C94B78">
        <w:rPr>
          <w:rStyle w:val="aff1"/>
          <w:rFonts w:ascii="Times New Roman" w:hAnsi="Times New Roman" w:cs="Times New Roman"/>
          <w:color w:val="0070C0"/>
          <w:spacing w:val="0"/>
          <w:sz w:val="16"/>
          <w:szCs w:val="16"/>
        </w:rPr>
        <w:softHyphen/>
        <w:t>тип Ил-12, впервые поднявшийся в воздух 15 августа 1945 года. Как известно, задержки с доводкой дизелей АЧ-31 заставили Ильюшина отказаться от них в пользу уже хорошо отработанного бензинового двигателя АШ-82ФН, с которым самолёт и пошёл в серию (25711).</w:t>
      </w:r>
    </w:p>
    <w:p w14:paraId="18071C7C" w14:textId="77777777" w:rsidR="005A3D52" w:rsidRPr="00C94B78" w:rsidRDefault="005A3D52" w:rsidP="00B56F90">
      <w:pPr>
        <w:spacing w:after="0" w:line="240" w:lineRule="auto"/>
        <w:jc w:val="both"/>
        <w:rPr>
          <w:rFonts w:ascii="Times New Roman" w:hAnsi="Times New Roman"/>
          <w:color w:val="0070C0"/>
          <w:sz w:val="16"/>
          <w:szCs w:val="16"/>
        </w:rPr>
      </w:pPr>
    </w:p>
    <w:p w14:paraId="29DD584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января 1944 года гл. конструктор Мясищев писал письмо N 1сс Сталину.</w:t>
      </w:r>
    </w:p>
    <w:p w14:paraId="2B90FDD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анализа конструкции самолета Пе-2, выпускаемого в серии на заводе N 22, получено, что на базе этого самолета, путем некоторых изменений и установки моторов М-107А, можно создать тип самолета "Дневной скоростной бомбардировщик" с максимальной скоростью 640 км/час и дальностью 2400 км и поместить внутри фюзеляжа бомбы всех калибров до 1000 кг включительно.</w:t>
      </w:r>
    </w:p>
    <w:p w14:paraId="74676E6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Высокие летные и тактические данные этого самолета ставят его выше лучших современных бомбардировщиков этого класса.</w:t>
      </w:r>
    </w:p>
    <w:p w14:paraId="3F03804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его незначительно уступает скоростям новейших одномоторных истребителей, что позволит производить вторжение в оперативный и глубокий тылы противника без сопровождения истребителями для бомбардирования с горизонтального и пикирующего полетов.</w:t>
      </w:r>
    </w:p>
    <w:p w14:paraId="045DA8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Предлагаемый самолет, обладая высокими летными данными, может быть также использован в варианте дальнего истребителя или истребителя патрулирования; для этого в самолете предусматривается сильное пушечное вооружение, вплоть до пушек калибра 45 мм.</w:t>
      </w:r>
    </w:p>
    <w:p w14:paraId="1814DA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Переход от бомбардировщика и истребителю может производиться силами строевых частей в полевых условиях.</w:t>
      </w:r>
    </w:p>
    <w:p w14:paraId="731561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форсировании проектирования и постройки опытного самолета этого типа выпуск серийных самолетов может начаться во второй половине этого года.</w:t>
      </w:r>
    </w:p>
    <w:p w14:paraId="16550E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прилагаемом альбоме представлен материал, отражающий основные летно-тактические данные этого самолета и его конструктивные и технологические особенности (2562,8).</w:t>
      </w:r>
    </w:p>
    <w:p w14:paraId="5809AF4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959EA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января 1944 года В.М. Мясищев в письме И.В. Сталину сообщал:</w:t>
      </w:r>
    </w:p>
    <w:p w14:paraId="34F4CD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анализа конструкции самолета Пе-2, выпускаемого в серии на заводе № 22, получено, что на базе этого самолета, путем некоторых изменений и уста</w:t>
      </w:r>
      <w:r w:rsidRPr="00070ADE">
        <w:rPr>
          <w:rFonts w:ascii="Times New Roman" w:hAnsi="Times New Roman"/>
          <w:color w:val="000000" w:themeColor="text1"/>
          <w:sz w:val="16"/>
          <w:szCs w:val="16"/>
        </w:rPr>
        <w:softHyphen/>
        <w:t>новки моторов ВК-107А, можно создать тип самолета «Дневной скоростной бомбардировщик» с максимальной скоростью 640 км/ч и дальностью 2400 км и поместить внутри фюзеляжа бомбы всех калибров до 1000 кг вклю</w:t>
      </w:r>
      <w:r w:rsidRPr="00070ADE">
        <w:rPr>
          <w:rFonts w:ascii="Times New Roman" w:hAnsi="Times New Roman"/>
          <w:color w:val="000000" w:themeColor="text1"/>
          <w:sz w:val="16"/>
          <w:szCs w:val="16"/>
        </w:rPr>
        <w:softHyphen/>
        <w:t>чительно. ..</w:t>
      </w:r>
    </w:p>
    <w:p w14:paraId="2E72125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его незначительно уступает скорости новей</w:t>
      </w:r>
      <w:r w:rsidRPr="00070ADE">
        <w:rPr>
          <w:rFonts w:ascii="Times New Roman" w:hAnsi="Times New Roman"/>
          <w:color w:val="000000" w:themeColor="text1"/>
          <w:sz w:val="16"/>
          <w:szCs w:val="16"/>
        </w:rPr>
        <w:softHyphen/>
        <w:t>ших одномоторных истребителей, что позволит произво</w:t>
      </w:r>
      <w:r w:rsidRPr="00070ADE">
        <w:rPr>
          <w:rFonts w:ascii="Times New Roman" w:hAnsi="Times New Roman"/>
          <w:color w:val="000000" w:themeColor="text1"/>
          <w:sz w:val="16"/>
          <w:szCs w:val="16"/>
        </w:rPr>
        <w:softHyphen/>
        <w:t>дить вторжение в оперативный и глубокий тылы противни</w:t>
      </w:r>
      <w:r w:rsidRPr="00070ADE">
        <w:rPr>
          <w:rFonts w:ascii="Times New Roman" w:hAnsi="Times New Roman"/>
          <w:color w:val="000000" w:themeColor="text1"/>
          <w:sz w:val="16"/>
          <w:szCs w:val="16"/>
        </w:rPr>
        <w:softHyphen/>
        <w:t>ка без сопровождения истребителями для бомбардирова-ния с горизонтального и пикирующего полетов.</w:t>
      </w:r>
    </w:p>
    <w:p w14:paraId="69379A5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Предлагаемый самолет, обладая высокими летными данными, может быть также использован в варианте даль</w:t>
      </w:r>
      <w:r w:rsidRPr="00070ADE">
        <w:rPr>
          <w:rFonts w:ascii="Times New Roman" w:hAnsi="Times New Roman"/>
          <w:color w:val="000000" w:themeColor="text1"/>
          <w:sz w:val="16"/>
          <w:szCs w:val="16"/>
        </w:rPr>
        <w:softHyphen/>
        <w:t>него истребителя или истребителя патрулирования; для этого в самолете предусматривается сильное пушечное вооружение, вплоть до пушек калибра 45 мм.</w:t>
      </w:r>
    </w:p>
    <w:p w14:paraId="152978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Переход от бомбардировщика к истребителю может производиться силами строевых частей в полевых усло</w:t>
      </w:r>
      <w:r w:rsidRPr="00070ADE">
        <w:rPr>
          <w:rFonts w:ascii="Times New Roman" w:hAnsi="Times New Roman"/>
          <w:color w:val="000000" w:themeColor="text1"/>
          <w:sz w:val="16"/>
          <w:szCs w:val="16"/>
        </w:rPr>
        <w:softHyphen/>
        <w:t>виях...».</w:t>
      </w:r>
    </w:p>
    <w:p w14:paraId="7308CE4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Вот откуда в названии новой машины появилась буква «И»</w:t>
      </w:r>
    </w:p>
    <w:p w14:paraId="33DE9D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Особенностью проекта стала дистанционно управ</w:t>
      </w:r>
      <w:r w:rsidRPr="00070ADE">
        <w:rPr>
          <w:rFonts w:ascii="Times New Roman" w:hAnsi="Times New Roman"/>
          <w:color w:val="000000" w:themeColor="text1"/>
          <w:sz w:val="16"/>
          <w:szCs w:val="16"/>
        </w:rPr>
        <w:softHyphen/>
        <w:t>ляемая стрелковая установка ДЭУ, разработанная под руководством инженера-конструктора А. Журавленко. По сравнению с установкой ДУС-1 для бомбардиров</w:t>
      </w:r>
      <w:r w:rsidRPr="00070ADE">
        <w:rPr>
          <w:rFonts w:ascii="Times New Roman" w:hAnsi="Times New Roman"/>
          <w:color w:val="000000" w:themeColor="text1"/>
          <w:sz w:val="16"/>
          <w:szCs w:val="16"/>
        </w:rPr>
        <w:softHyphen/>
        <w:t>щика ДВБ-102 она имела значительно больший парал</w:t>
      </w:r>
      <w:r w:rsidRPr="00070ADE">
        <w:rPr>
          <w:rFonts w:ascii="Times New Roman" w:hAnsi="Times New Roman"/>
          <w:color w:val="000000" w:themeColor="text1"/>
          <w:sz w:val="16"/>
          <w:szCs w:val="16"/>
        </w:rPr>
        <w:softHyphen/>
        <w:t>лакс между линией прицеливания и оружием, что впо</w:t>
      </w:r>
      <w:r w:rsidRPr="00070ADE">
        <w:rPr>
          <w:rFonts w:ascii="Times New Roman" w:hAnsi="Times New Roman"/>
          <w:color w:val="000000" w:themeColor="text1"/>
          <w:sz w:val="16"/>
          <w:szCs w:val="16"/>
        </w:rPr>
        <w:softHyphen/>
        <w:t>следствии в некоторой степени повлияло на судьбу машины (11446).</w:t>
      </w:r>
    </w:p>
    <w:p w14:paraId="7E3F20A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D497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января 1944 вышел приказ НКАП N 8с:</w:t>
      </w:r>
    </w:p>
    <w:p w14:paraId="34D0C4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решением 1 конференции по поточным методам производства и приказом НКАП N 727 от 3 декабря 1943:</w:t>
      </w:r>
    </w:p>
    <w:p w14:paraId="481BD0A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Принять предложение директора и ГК завода 51 Н.Н.П. о переводе на поток производства У2 на заводе 464 (1674,91).</w:t>
      </w:r>
    </w:p>
    <w:p w14:paraId="6E2190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C3CA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января 1944 вышел приказ НКАП № 6с:</w:t>
      </w:r>
    </w:p>
    <w:p w14:paraId="2A4F5C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исполнение постановления ГКО № 4879сс от 3 января 1944:</w:t>
      </w:r>
    </w:p>
    <w:p w14:paraId="41892A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6 ГУ Комарову организовать на базе бывего самолетостроительного з-да 43 в Киеве з-д по ремонту с-в Ил-2 и Як-1 и 7 с программой выпуска в 1 кв. 150 в т.ч. в январе - 10, феврале - 50, марте -90,</w:t>
      </w:r>
    </w:p>
    <w:p w14:paraId="463B69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Вновь организованному з-ду присвоить № 473 и подчинить его 6 ГУ.</w:t>
      </w:r>
    </w:p>
    <w:p w14:paraId="7049CB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Шахурин (1674, 51).</w:t>
      </w:r>
    </w:p>
    <w:p w14:paraId="5A0377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1020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января 1944 по приказу НКАП № 6с на площадке бывшего завода № 43 началось формирование нового завода № 473 (образован от 4.01.1944 г.).</w:t>
      </w:r>
    </w:p>
    <w:p w14:paraId="4FAC07B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оборудования: (11.1940 г.)-105 металлорежущих станков.</w:t>
      </w:r>
    </w:p>
    <w:p w14:paraId="15AFFC6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(-06.1937-07.1940 г.)- В.В. Смирнов, (07-10.1940 г.-)- В.М. Пенек.</w:t>
      </w:r>
    </w:p>
    <w:p w14:paraId="1B71B802" w14:textId="561F7119"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директора по техчасти (-5.04.1937 г.)- В.А. Таиров, (5.04.1937 г.-)- М. Г. Жужунава. Помощник директора по найму и увольнению (28.09.1938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Г.П. Царев.</w:t>
      </w:r>
    </w:p>
    <w:p w14:paraId="74ACE2F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Технический директор (08.1937 г.)- М. Г. Жужунава.</w:t>
      </w:r>
    </w:p>
    <w:p w14:paraId="278D01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(1937-40 г.)- М. Г. Жужунава.</w:t>
      </w:r>
    </w:p>
    <w:p w14:paraId="679042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(03.1923-25 г.)- К.А. Калинин, (-04.1937-1940 г.-)- В.К. Таиров.</w:t>
      </w:r>
    </w:p>
    <w:p w14:paraId="2444F18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самолеты: К-1 (1925)- 1, Р-10 (1934-37)- 38, ХАИ-1 (-1934-37-), ОКО-1; автожир ЦАГИ А-4 (1932-)- 12; крылья и оперение для МиГ-1 (1940-41) (11982).</w:t>
      </w:r>
    </w:p>
    <w:p w14:paraId="03F3B61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79C9014" w14:textId="09CD4CF4"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января 1944 г. приказом № 6с в соответствии с пост. ГКО № 4879сс от 3.01.1944 г. завод, созданный в ноябре 1943 на площадке эвакуированного завода № 43, стал Авиаремонтным завод № 473 НКАП (Завод № 473 НКАП, МАП, Киевского СНХ, Завод «Труд», Киевский авиационный завод (КиАЗ), Киевское авиационное ПО (КиАПО), Киевский Государственный авиазавод (КиГАЗ), КиГАЗ «Авиант», ГП «Киевский авиационный завод «Авиант» /Украина 03062</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Киев, пр. Победы, 100/1 тел. 441-51-64, 454-52-01/) в системе 6ГУ НКАП для ремонта самолетов Ил-2, Як-1, Як-7. Формировался из местных кадров и оборудования заводов № 292, № 39, № 153, № 22, № 1.</w:t>
      </w:r>
    </w:p>
    <w:p w14:paraId="0C502A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1.03.1946 г. завод №473 передан из 6ГУ в ИГУ, с 1.03.1951 г. передан из 11ГУ в 1ГУ.</w:t>
      </w:r>
    </w:p>
    <w:p w14:paraId="7A73C06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1944-45 г. осуществлялась сборка Як-9 и Як-3 из готовых узлов, в 1945 г. строились опытные вертолеты Братухина. Затем было подготовлено производство Ми-1, но не выпускался. Занимался ремонтом самолетов, производством запчастей для тракторов, трамваев.</w:t>
      </w:r>
    </w:p>
    <w:p w14:paraId="45A9605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СМ СССР № 3187 от 23.08.1948 г. началась подготовка к производству Ан-2. На 1949 г. был выдан план выпустить 50 Ан-2. Завод в это время был маломощным предприятием, требовавшим реконструкции. В 1948-49 г. созданы новые цеха- плазово-шаблонный, кузнечный, агрегатно-сборочные, малярный, литейная мастерская.</w:t>
      </w:r>
    </w:p>
    <w:p w14:paraId="0DE1247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 563 от 19.05.1952 г. на заводе было организовано представительство ОКБ-153 под руководством Е.К. Сенчука. По приказу № 1369 от 2.12.1952 г. ОКБ-153 полностью перебазировано в Киев.</w:t>
      </w:r>
    </w:p>
    <w:p w14:paraId="1140108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12.1952 г. вышло постановление правительства о прекращении производства Ан-2 и подготовке производства фюзеляжей Ил-28. В 1953 г. выпуск Ан-2 возобновлен. В 1959 г. производство Ан-2 было передано в Польшу, для этого был передан эталонный Ан-2 № 111519, получивший бортовой № SP-ANA.</w:t>
      </w:r>
    </w:p>
    <w:p w14:paraId="61C66F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05.1957 г. построен цех по изготовлению крупногабаритных и длинномерных деталей для Ан-8. Были расширены производственные помещения сборочных цехов на территории «Б».</w:t>
      </w:r>
    </w:p>
    <w:p w14:paraId="14AC4E8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СМ СССР № 713-342 от 26.06.1957 г. передан в ведение Киевского СНХ УССР.</w:t>
      </w:r>
    </w:p>
    <w:p w14:paraId="314E87C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ПСМ № 756-323 от 19.08.1961 г. начата организация производства Ан-24.</w:t>
      </w:r>
    </w:p>
    <w:p w14:paraId="2CBB061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1974 г.- Киевский авиационный завод, с 1974 г.- КиАПО.</w:t>
      </w:r>
    </w:p>
    <w:p w14:paraId="1DE4F69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Подготовка к производству Ан-26 началась в 1968 г. По приказу МАП № 301 в 1970 г. развернуто полномасштабное производство Ан-26.</w:t>
      </w:r>
    </w:p>
    <w:p w14:paraId="73D604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1973 г. началась постройка сборочного цеха № 10 для Ан-124 с пролетом 100 м. С 1979 г. началась подготовка производства Ан-124, планировалось выпустить 36 машин. В 1981 г. введена должность представителя Ген. конструктора, назначен В.И. Чебанюк.</w:t>
      </w:r>
    </w:p>
    <w:p w14:paraId="7488102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1978 г. началась подготовка к производству Ан-72. По приказу МАП № 63с от 03.1979 г. производство Ан-72 было передано с КиАПО на ХАПО. По приказу МАП № 15с от 13.01.1982 г. техдокументация, оснастка и незавершенное производство по Ан-72 переданы на ХАПО.</w:t>
      </w:r>
    </w:p>
    <w:p w14:paraId="22DF8A9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годы выпуска Ан-32 (с 1980-х) на заводе была организована индийская лаборатория по радионавигационному оборудованию для устранения неисправностей своего оборудования.</w:t>
      </w:r>
    </w:p>
    <w:p w14:paraId="74D4C38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Подготовлено производство для выпуска самолетов Ту-334 (затем документация передана в РСК «МиГ») и Ан-70.</w:t>
      </w:r>
    </w:p>
    <w:p w14:paraId="215D275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2005 г. в производстве находилось 14 планеров Ан-32. В 2006 г. велась постройка первых пяти серийных Ан- 7Q ю.04.06 g 2007 г. подписан контракт на выпуск 15 Ан-148 для Казахстана.</w:t>
      </w:r>
    </w:p>
    <w:p w14:paraId="0DBB420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11.01.2005 г. КиГАЗ переименован в ГП «Киевский авиационный завод «Авиант». В 06.2005 г. «Авиант» вместе с АНТК, ХГАПП и Заводом № 410 ГА вошел в созданное ННПО «Антонов». Пост. Правительства № 998 от 3.10.2005 г. утвержден Устав Государственной самолетостроительной корпорации (ГСК) «Национальное объединение «Антонов». В 02.2007 г. завод вошел также в концерн «Авиация Украины».</w:t>
      </w:r>
    </w:p>
    <w:p w14:paraId="63DFA4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(01-03.1944 г.-)- В.М. Пенек, (03.1945 г.)- Дудник, (-06.1946-49 г.-)- М. Г. Миронов, (1950-54 г.)- П.Е. Шелест, (-1955-68 г.-; 1975 г.)- В.А. Степанченко, (1974 г.)- Лисицын. Гендиректор (1979-84 г.-)- В. Г. Олешко, (1994-10.1999 Г.)- А.И. Харлов , (-2001-07.2003 г.)- В.К. Пелых, (07.2003-07 г.-)- О.С. Шевченко.</w:t>
      </w:r>
    </w:p>
    <w:p w14:paraId="15A7A32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Гендиректора (2002 г.)- Б.Н. Сорока, (2002 г.)- Н.В. Жданов, (2002 г.)- О.Р. Басенко.</w:t>
      </w:r>
    </w:p>
    <w:p w14:paraId="5B2B1F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(1949 г.)- Я.К. Руденко, (1975 г.)- В. Г. Олешко.</w:t>
      </w:r>
    </w:p>
    <w:p w14:paraId="205DC5A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технолог (1949 г.)- А. Г. Ивченко.</w:t>
      </w:r>
    </w:p>
    <w:p w14:paraId="4873DC2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(2002 г.)- B.C. Подольский.</w:t>
      </w:r>
    </w:p>
    <w:p w14:paraId="1FD27BA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СКБ (1949 г.)- А.Н. Попов.</w:t>
      </w:r>
    </w:p>
    <w:p w14:paraId="68DE45D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департамента маркетинга и продаж (2005 г.)- B.C. Кузенков.</w:t>
      </w:r>
    </w:p>
    <w:p w14:paraId="322A9F0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Летчики-испытатели: (1970-е)- Б.З. Попков, (1970-е)- С.И. Савченков.</w:t>
      </w:r>
    </w:p>
    <w:p w14:paraId="2823996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Ведущие конструкторы: (1980-е)- В.В. Литвинов.</w:t>
      </w:r>
    </w:p>
    <w:p w14:paraId="78C1A1D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 самолеты:</w:t>
      </w:r>
      <w:r w:rsidRPr="00070ADE">
        <w:rPr>
          <w:rFonts w:ascii="Times New Roman" w:hAnsi="Times New Roman"/>
          <w:color w:val="000000" w:themeColor="text1"/>
          <w:sz w:val="16"/>
          <w:szCs w:val="16"/>
        </w:rPr>
        <w:t xml:space="preserve"> Як-9 (1944-45), Як-3 (1944-45), Г-3 (1946)- 7, Г-4 (1947)- 4, ГМ-1 (1948-49)- 3, Ан-2 (1949-62)- 3167 (3164), Ан-8 (1956-59), Ан-24 (1959-79)- 1028, Ан-26 (1969- 86)- 1398(1402), Ан-30 (1971-80)- 123, Ан-32 (1982-2005-)- 357 (до 2000), Ан-72 (1976-80), Ан-124 (1982-85; 1991-2005-)- 19 (по 2004), Ан-225 -1, Ту-334 (2002-05-)- 1, Ан-70 (-2005-06-), Ан-148 (2005); доработка Ан-2 в Ан-3 (2005), модернизация Ан-124 (2005);</w:t>
      </w:r>
    </w:p>
    <w:p w14:paraId="3769CA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(2004): троллейбус К-12 «Киевский», барокамеры, стиральная машина «Лебедь».</w:t>
      </w:r>
    </w:p>
    <w:p w14:paraId="707B5F5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Заводские номера: Ан-24 № 57302003:</w:t>
      </w:r>
      <w:r w:rsidRPr="00070ADE">
        <w:rPr>
          <w:rFonts w:ascii="Times New Roman" w:hAnsi="Times New Roman"/>
          <w:color w:val="000000" w:themeColor="text1"/>
          <w:sz w:val="16"/>
          <w:szCs w:val="16"/>
        </w:rPr>
        <w:t xml:space="preserve"> 5- год выпуска, 73- шифр завода, 020- серия, 03- № самолета в серии. </w:t>
      </w:r>
      <w:r w:rsidRPr="00070ADE">
        <w:rPr>
          <w:rFonts w:ascii="Times New Roman" w:hAnsi="Times New Roman"/>
          <w:iCs/>
          <w:color w:val="000000" w:themeColor="text1"/>
          <w:sz w:val="16"/>
          <w:szCs w:val="16"/>
        </w:rPr>
        <w:t>Ан-2 № 11047303:</w:t>
      </w:r>
      <w:r w:rsidRPr="00070ADE">
        <w:rPr>
          <w:rFonts w:ascii="Times New Roman" w:hAnsi="Times New Roman"/>
          <w:color w:val="000000" w:themeColor="text1"/>
          <w:sz w:val="16"/>
          <w:szCs w:val="16"/>
        </w:rPr>
        <w:t xml:space="preserve"> 1- просто цифра (или заводское обозначение типа самолета), 10- серия, 473- № завода, 03- № самолета в серии. В номерах экспортных машин был опущен № завода.</w:t>
      </w:r>
      <w:r w:rsidRPr="00070ADE">
        <w:rPr>
          <w:rFonts w:ascii="Times New Roman" w:hAnsi="Times New Roman"/>
          <w:iCs/>
          <w:color w:val="000000" w:themeColor="text1"/>
          <w:sz w:val="16"/>
          <w:szCs w:val="16"/>
        </w:rPr>
        <w:t xml:space="preserve"> Ан-2 (экспортный) № 12801:</w:t>
      </w:r>
      <w:r w:rsidRPr="00070ADE">
        <w:rPr>
          <w:rFonts w:ascii="Times New Roman" w:hAnsi="Times New Roman"/>
          <w:color w:val="000000" w:themeColor="text1"/>
          <w:sz w:val="16"/>
          <w:szCs w:val="16"/>
        </w:rPr>
        <w:t xml:space="preserve"> 1- просто цифра, 28- серия, 01- № самолета в серии.</w:t>
      </w:r>
    </w:p>
    <w:p w14:paraId="4804D41C" w14:textId="45B4758B"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ГС ОКБ-473 МАП, ГС Опытный завод № 473 МАП, Киевский механический завод (КМЗ), КМЗ им. O.K. Антонова, Киевский АНТК им. O.K. Антонова, ГП «АНТК им. O.K. Антонова», ННПО «Антонов» /Украина, 252062; 03062</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Киев, ул. Туполева, 1 тел. 442-73-04,449-99-96/ /Московское представительство: 101000 ул. Мясницкая, 7 к. 3 тел. 928-00-97/</w:t>
      </w:r>
    </w:p>
    <w:p w14:paraId="7C4A11C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19.05.1952 г. вышел приказ МАП № 563 о создании на заводе № 473 филиала ОКБ-153 во главе с Е.К. Сенчуком. Затем по приказу МАП № 1369 от 2.12.1952 г. ОКБ O.K. Антонова полностью перебазировалось с завода № 153 в Киев на завод № 473. 11.12.1953 г. получило название ГС ОКБ-473. В 08.1957 г.- в ведении 1ГУ МАП. С 8.01.1965 г.- ГС 03 № 473, с 30.04.1966 г.- Киевский механический завод (КМЗ). С 19.11.1984 г.- КМЗ им. O.K. Антонова, с 3.03.1991 г.- АНТК им. O.K. Антонова.</w:t>
      </w:r>
    </w:p>
    <w:p w14:paraId="409A11A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~1962 г. из состава ОКБ выделено самостоятельное КБ контрольных приборов (далее - НПО «Электронприбор»).</w:t>
      </w:r>
    </w:p>
    <w:p w14:paraId="71A443C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Продолжены работы по модификациям Ан-2. В соответствии с Г1СМ от 4.06.1958 г. создан Ан-2 А для уничтожения высотных аэростатов. 21.10.1964 г. вышло распоряжение СМ СССР № 2226-рс о сохранении производства Ан-2 для экспорта их из Польши в СССР.</w:t>
      </w:r>
    </w:p>
    <w:p w14:paraId="45C8284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1952 г. велись работы по повышению потолка Ли-2.</w:t>
      </w:r>
    </w:p>
    <w:p w14:paraId="2ABD9AF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ПСМ № 2922-125(0) от 11.12.1953 г. и приказом МАП № 278 от 23.12.1953 г. ОКБ получило задание на проектирование первого в СССР специализированного военно-транспортного и десантного самолета Ан-8. Пост. № 373-184 от 4.04.1957 г. было предписано устранить недостатки, установить двигатели АИ-20Д и запустить самолет в серию на заводе № 84. В соответствии с ПСМ от 20.06.1958 г. разработан проект противолодочного Ан-8ПЛО, не реализован. В соответствии с ПСМ от 31.07.1958 г. и приказом ГКАТ от 8.08.1958 г. создан проект поисково-спасательного Ан-8ПС. В соответствии с Г1СМ от 18.03.1959 г. разработан проект учебно-штурманского Ан-8Ш, не реализован.</w:t>
      </w:r>
    </w:p>
    <w:p w14:paraId="46EDA1A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1954 г., в связи с началом работ по Ан-8, были созданы конструкторские бригады: гидравлики, воздушных систем, электрооборудования, радиооборудования, десантно-транспортного оборудования, наземного оборудования. Были организованы новые подразделения: основное производство, технологический отдел, ОТК, отдел капстроительства.</w:t>
      </w:r>
      <w:r w:rsidRPr="00070ADE">
        <w:rPr>
          <w:rFonts w:ascii="Times New Roman" w:hAnsi="Times New Roman"/>
          <w:color w:val="000000" w:themeColor="text1"/>
          <w:sz w:val="16"/>
          <w:szCs w:val="16"/>
          <w:vertAlign w:val="superscript"/>
        </w:rPr>
        <w:t>85</w:t>
      </w:r>
      <w:r w:rsidRPr="00070ADE">
        <w:rPr>
          <w:rFonts w:ascii="Times New Roman" w:hAnsi="Times New Roman"/>
          <w:color w:val="000000" w:themeColor="text1"/>
          <w:sz w:val="16"/>
          <w:szCs w:val="16"/>
        </w:rPr>
        <w:t xml:space="preserve"> Один из цехов завода № 473 в 1954 г. был передан в ОКБ в качестве опытного производства.</w:t>
      </w:r>
    </w:p>
    <w:p w14:paraId="25608E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СМ СССР от 30.11.1955 г. о создании 4-моторного пассажирского самолета началась разработка Ан-10 и его транспортного варианта Ан-12. Задание также было выдано Ильюшину и Туполеву. Работы по Ан-10 возглавил Н.С. Трунченков, по Ан-12- В.Н. Гельприн. В 1957 г. Ан-10 запущен в серию на заводе № 64. 11.04.1958 г. вышло распоряжение правительства № 1144-рс о доработке Ан-10 под десантное и санитарное оборудование; 6.10.1958 г. вышло распоряжение правительства № 3263-рс о выпуске Ан-ЮТС. В соответствии с ПСМ № 274-130 от 24.03.1962 г. Ан-12 пнв. В 1973 г. после ряда катастроф из-за конструктивных недостатков Ан-10 снят с эксплуатации. В соответствии с ПСМ от 23.05.1964 г. разработан проект Ан-12Д, не реализован.</w:t>
      </w:r>
    </w:p>
    <w:p w14:paraId="0451C70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1956 г. численность работников ОКБ составляла 1500 чел., в т.ч. 250 конструкторов. Создана бригада пассажирского оборудования.</w:t>
      </w:r>
    </w:p>
    <w:p w14:paraId="504D1881" w14:textId="7CAB1839"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время выпуска Ан-12 (1957-62 г.) на заводе № 39 организовано представительство ОКБ-473, которое возглавляли А.И. Швирин, A.M. Леонтьев, В.З. Брагилевский,</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Г.А. Луговой. Во время выпуска Ан-10 и Ан-12 на заводе № 64 (1957-65 г.) было организовано представительство ОКБ-473. По приказу ГКАТ от 29.07.1959 г. образован филиал ОКБ-473 на заводе № 84 (численность- 150 чел.), в 1973 г. он преобразован в КО завода. Начальник филиала: (1959 г.-)- В.Ф. Ерошин, (1961-65 г.)- П.В. Балабуев, Х. Г. Сарымсаков, Н.А. Погорелов, Я.Н. Приходько. В 1980-х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организовано представительство ОКБ на заводе № 84, руководитель- И. Г. Ермохин.</w:t>
      </w:r>
    </w:p>
    <w:p w14:paraId="38B1F93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ПСМ от 24.05.1956 г. начата разработка Ан-14. Пост, правительства в 05.1964 г. самолет запущен в серию на заводе № 116. В соответствии с ПСМ от 6.08.1964 г. и приказом МАП от 16.06.1966 г. был построен опытный Ан-14М. В 1970 г. построен экспериментальный Ан-714.</w:t>
      </w:r>
    </w:p>
    <w:p w14:paraId="1EB2591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приказом МАП от 20.08.1975 г. группой из 8 чел. под руководством Б.М. Коломийца велись работы по Ан-14Ш- экспериментальному самолету с ШВП.</w:t>
      </w:r>
    </w:p>
    <w:p w14:paraId="3B11BF3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ПСМ № 1417-656 от 18.12.1957 г. начата разработка Ан-24. Пост. № 756-323 от 19.08.1961 г. он запущен в серию. По решению ВПК от 12.12.1964 г. создан ледовый разведчик Ан-24ЛР «Торос». По приказу МАП от 13.02.1965 г. создан военно-транспортный Ан-24Т, приказом № 181 от 29.07.1965 г. он запущен в серию на заводе № 39.</w:t>
      </w:r>
    </w:p>
    <w:p w14:paraId="32E0BF3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1959 г. началось строительство Летно-испытательной и доводочной базы ОКБ в Гостомеле.</w:t>
      </w:r>
    </w:p>
    <w:p w14:paraId="7313DF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выпуска Ан-2 в Мелеце (Польша) существовало представительство ОКБ, которое возглавляли: А.А. Батумов, А.Д. Плотников, В.А. Бессонов, В.Т. Чмиль, И.Д. Радченко.</w:t>
      </w:r>
    </w:p>
    <w:p w14:paraId="5C7D47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ПСМ № 1117-465 от 13.10.1960 г. и приказом от 9.11.1960 г. начата разработка Ан-22 («100»), пост. № 4-2 от 3.01.1974 г. он пнв. В соответствии с ПСМ от 26.10.1965 г. разрабатывался проект Ан-22ПЛО с ЯСУ, не реализован.</w:t>
      </w:r>
    </w:p>
    <w:p w14:paraId="4D2E360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ПСМ № 95-29 от 23.01.1964 г. начата разработка Ан-2М.</w:t>
      </w:r>
    </w:p>
    <w:p w14:paraId="00DC5E0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ПСМ от 6.07.1964 г. начата разработка Ан-24ФК (Ан-30).</w:t>
      </w:r>
    </w:p>
    <w:p w14:paraId="2110DD9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ПСМ от 6.08.1964 г. совместно с ОКБ-49 разработан проект самолета МВЛ Ан-Бе-20 (в 1967 г., возможно, на базе этого проекта, построен Як-40).</w:t>
      </w:r>
    </w:p>
    <w:p w14:paraId="1F11743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ПСМ от 28.11.1967 г. начата разработка ВТС УВП «200», в 1972 г. на его базе начато создание Ан-72. В 1978 г. начата подготовка к серийному выпуску на КиАПО.</w:t>
      </w:r>
    </w:p>
    <w:p w14:paraId="7BA38A0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решению МАП и ВВС от 12.03.1968 г. начата разработка Ан-26. По приказу МАП № 301 в 1970 г. начато его серийное производство на заводе № 473. По решению СМ СССР № 76 от 29.03.1972 г. создан опытный Ан- 26РЭП.</w:t>
      </w:r>
    </w:p>
    <w:p w14:paraId="4BF3FB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решением ВПК № 206 от 24.08.1966 г. и приказами МАП № 352 от 5.08.1966 г. и № 413 от 13.09.1966 г. началась разработка тяжелых транспортных самолетов «122», «124», «126». В соответствии с Пост. СМ СССР № 79-23 от 01.1977 г. началась разработка проекта «400»- прототипа Ан-124. При создании Ан-124 было построено 44 натурных стенда для отработки систем. 1.12.1998 г. вышло распоряжение правительства РФ № 1702-р о переоборудовании 4 Ан-124-100 в носители РН «Полет» Ан-124ВС («Воздушный старт»).</w:t>
      </w:r>
    </w:p>
    <w:p w14:paraId="6A0F353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1983 г., после принятия решения о выпуске Ан-124 на УАПК, на заводе организовано представительство ОКБ (руководитель- В.И. Новиков).</w:t>
      </w:r>
    </w:p>
    <w:p w14:paraId="64789D9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МАП от 16.06.1975 г. началась разработка Ан-32 для Индии. 30.12.1980 г. вышло соответствующее распоряжение СМ СССР № 2743-рс. По решению ВПК № 216 от 11.05.1987 г. создан Ан-32Б для МО СССР.</w:t>
      </w:r>
    </w:p>
    <w:p w14:paraId="0241E526" w14:textId="3C0BDEBE"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на базе Ан-2 построен опытный Ан-3 с ТВ Д. С 1993 г. начата подготовка к его серийному выпуску на заводе «Полет».</w:t>
      </w:r>
    </w:p>
    <w:p w14:paraId="3500A6F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9.01.1984 г. вышло Постановление СМ СССР о создании самолета ДРЛО Ан-71.</w:t>
      </w:r>
    </w:p>
    <w:p w14:paraId="75131CF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20.05.1987 г. вышло Постановление СМ СССР № 587-132 о создании Ан-225.</w:t>
      </w:r>
    </w:p>
    <w:p w14:paraId="794C080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ОКБ принимало участие в программе создания ОК «Буран».</w:t>
      </w:r>
    </w:p>
    <w:p w14:paraId="74DCC098" w14:textId="23C53CC8"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1990-х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создана бригада по продлению ресурса Ан-12.</w:t>
      </w:r>
    </w:p>
    <w:p w14:paraId="53D56F25" w14:textId="47E34F45"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(1990-е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по проектам пассажирских Ан-218, Ан-180, Ан-140; (2002 г.): по транспортному Ан-70, модернизация Ан-124-100, Ан-38, доработки Ан-3, модификация Ан-74.</w:t>
      </w:r>
    </w:p>
    <w:p w14:paraId="3E15B5E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2004 г. всего было разработано более 100 типов и модификаций самолетов, построено более 22.000 самолетов марки «Ан».</w:t>
      </w:r>
    </w:p>
    <w:p w14:paraId="61EF77F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АНТК включает в свой состав ОКБ с экспериментально-лабораторным корпусом, опытный завод, ЛИиДБ в Гостомеле, авиакомпанию «Авиалинии Антонова» (создана в 1989 г.). АНТК имело отделение Сверхлегкой авиации, на базе которого позднее образовано ОКБ АОН.</w:t>
      </w:r>
    </w:p>
    <w:p w14:paraId="3ADA28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06.2005 г. на базе АНТК создано Национальное НПО (ННПО) «Антонов», в которое вошли также «Авиант», ХГАПП и завод № 410 ГА. По приказу Минпромполитики № 63-Д от 25.05.2005 г. и.о. ген. конструктора назначен Д.С. Кива. В 02.2007 г. АНТК вошел также в концерн «Авиация Украины».</w:t>
      </w:r>
    </w:p>
    <w:p w14:paraId="5E600E8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опытном заводе изготовлялись мотогондолы, элементы интерьера самолета Ан-140 для «Авиакора» (2004 г.).</w:t>
      </w:r>
    </w:p>
    <w:p w14:paraId="2619CD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авиационной техники, создан (2000-е) единственный в СНГ низкопольный трамвай, семейство троллейбусов, спортивные велосипеды для сборной Украины. В 11.2005 г. подписано лицензионное соглашение о производстве Ан-148 на ВАСО.</w:t>
      </w:r>
    </w:p>
    <w:p w14:paraId="46F412A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(1953 г.)~ 100 чел., (1956 г.)~ 1500 чел., (2002 г.) ~ 7300 чел.</w:t>
      </w:r>
      <w:r w:rsidRPr="00070ADE">
        <w:rPr>
          <w:rFonts w:ascii="Times New Roman" w:hAnsi="Times New Roman"/>
          <w:color w:val="000000" w:themeColor="text1"/>
          <w:sz w:val="16"/>
          <w:szCs w:val="16"/>
          <w:vertAlign w:val="superscript"/>
        </w:rPr>
        <w:t>69</w:t>
      </w:r>
    </w:p>
    <w:p w14:paraId="1C7C825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(1952-67 г.)- O.K. Антонов. Ген. Конструктор (1967-84 г.)- O.K. Антонов {7.02.1906-4.04.1984}, (1984-31.05.2005 г.)- П.В. Балабуев (уволен из-за несогласия с политикой правительства) {23.05.1931-17.05.2007}; и.о. (25.05.2005-20.01.2006 г.)- Д.С. Кива; (20.01.2006 г.-)- Д.С. Кива.</w:t>
      </w:r>
    </w:p>
    <w:p w14:paraId="6FA0E5C5" w14:textId="6853E9C9"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зам. Ген. конструктора (-1973-79 г.-)- П.В. Балабуев, (-2000-05 г.-)- Д.С. Кива. Зам. гл., ген. конструктора (1956 г.)- Н.С. Трунченков, (1956 г.)- В.Н. Гельприн; по системам (-1957-1970-е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Н.П. Смирнов; по летным испытаниям (1955 г.)- А.Я. Белолипецкий, (1964 г.)- А.Н. Грацианский; (1970-е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В.Ф. Ерошин, В.Н. Шаталов, (- 1976-84 г.-)- Л.Д. Голобородько, (-1956-66 г.-)- А.Я. Белолипецкий, В.П. Теплов, A.M. Кондратьев, П.В. Балабуев, В.П. Островский, В.П. Рычик, (-1968-84 г.-&gt; В.А. Гарвардт, (2001 г.)- А. Г. Вовнянко, (2002 г.)- В.Н. Король, (2004 г.)- А. Г. Буланенко, (2004 г.)- А.Д. Кива; по эксплуатации (2004 г.)- А.Е. Климов; (2006 г.)- О. Богданов. Директор (1965 г.-)- П.В. Балабуев, (1975 г.)- А.Д. Донец. Гендиректор (-2002-07 г.-&gt; В.Н. Король. Зам. гендиректора (1997 г.)- В. Кулаков; по кадрам (2004 г.)- В.Е. Маевский. Коммерческий директор (2002 г.)- О. Г. Уськов.</w:t>
      </w:r>
    </w:p>
    <w:p w14:paraId="0A9BB02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(2002 г.)- С.А. Бычков. Начальник производства (1954 г.-)- М.С. Рожков, (1980 г.)- О. Котляр. Начальники отделов (бригад): проектов (1948 г.)- Н.С. Трунченков; перспективного проектирования (1967 г.)- В.Ф. Ерошин, О .Я. Шматко, (1983 г.)- О.К. Богданов; общих видов (1956 г.)- Н.А. Нечаев, В.Ф. Ерошин, (1983 г.)- О.Я. Шматко; фюзеляжа (1956 г.)- С.Д. Ельмесев; крыла (1956 г.)- А.А. Батумов; силовых установок (1975 г.)- В. Г. Анисенко; планерного- В.З. Брагилевский; шасси (1956 г.)- Н.П. Смирнов; гидравлики (1954-56 г.-)- А.Н(М). Кондратьев; воздушных систем (1954 г.-)- В.Ф. Садовый; систем- Н.П. Смирнов; электрооборудования (1954-56 г.- )- И.А. Пашинин(Пашкин), М.С. Гальперин; радиооборудования (1954 г.-)- В.И. Баклайкин, (1956 г.)- В.А. Данильченко; десантно-транспортного оборудования (1954 г.-)- В.Н. Гельприн; пассажирского оборудования (1956 г.-)- Н.А. Погорелов; наземного оборудования (1954 г.-)- A.M. Леонтьев; аэродинамики (-1966-68 г.-)- Ю.Ф. Красонтович, Ковальский, (1982 г.)- А.П. Леоненко; оборудования- Богайчук; прочности- Е.А. Шахатуни; технологии (1954 г.-)- Щучинский, Павлов; техобслуживания- В.П. Рычик; эксплуатации (1964 г.)- А.Г1. Эскин; эксплуатационно-технической документации (ЭТД) (1973 г.)- В.А. Сумцов; ЛИиДБ (1980 г.)- В. Шаталов, (2004 г.)- А. Г. Буланенко; ОТК (1954 г.-)- Н.И. Назаров; маркетинга и продаж (2004 г.)- А.Д. Кива; (1968 г.)- А.П. Сошин. Гл. конструкторы: (1979 г.)- А.Д. Киселев, (1987-2004 г.)- Д.С. Кива (Ан-28, Ан-38, Ан-72, Ан-74), (1990-е)- В.И. Толмачев (Ан-124, -225).</w:t>
      </w:r>
    </w:p>
    <w:p w14:paraId="11C280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конструкторов: (1979-87 г.)- Д.С. Кива (Ан-2, Ан-3, Ан-14, Ан-28).</w:t>
      </w:r>
    </w:p>
    <w:p w14:paraId="6DCFF80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Ведущие конструкторы: (-1952-53 г.-)- Н.А. Нечаев, (1953 г.)- АЛ. Белолипецкий (Ан-8), (1958 г.)- А.И. Шиврин (Ан-24), (1961 г.)- В.А. Сумцов (Ан-24Т), (-05.1969 г.)- В.Е. Линкевич (Ан-14М, умер), (-1968-70 г.-&gt; В.А. Гарвардт (Ан-26, Ан-30), (1969-72 г.-&gt; Я. Г. Орлов (Ан-26, Ан-72); (1974 г.)- В. Г. Анисенко, В.Н. Шаталов, В.И. Кабаев, В.П. Рычик (Ан-22); (-1975-90-е)- Ю.П. Сердечный (Ан-32), (1979 г.)- Н.В. Руденко, (10.1982 г.-)- А.И. Науменко (Ан-71), (-1987 г.)- Д.С. Кива (Ан-28, Ан-124), (1980-е)- С.П. Федин (РЭО Ан-71), (1990-е)- В.И. Назимов, Ю.И. Хоролец (постройка Ан-71), С.А. Филь (испытания Ан-71), Э.А. Шоломицкий (СКВ Ан-71), В.И. Толмачев (Ан-124), Ю.М. Киржнер (экспериментальные работы по Ан-124), А. Г. Вовнянко, Р.В. Сакач. Начальники цехов: П.В. Балабуев. Зам. начальника ЛИиДБ (1984 г.)- И. Д. Бабенко.</w:t>
      </w:r>
    </w:p>
    <w:p w14:paraId="5E6B8D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Руководители представительств на заводах: № 64- Н.П. Соболь, Леонтьев, A.M. Кондратьев, В.П. Теплов, Я.Д. Голобородько.</w:t>
      </w:r>
    </w:p>
    <w:p w14:paraId="5F20105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Ведущие инженеры: (1956 г.)- Ю.М. Киржнер (Ан-14), В.И. Линкевич (Ан-14); (1956 г.)- Евдокимов (Ан-8); (1959 г.)- Сорокин (Ан-10), (1964 г.)- В.Н. Шаталов (Ан-22), (1969 г.)- А.К. Середа (Ан-26), (1977 г.)- А. Романюк (Ан-72), Д. С. Кива (Ан-28); (1980-е)- И.И. Радауцан, А.Ю. Доленко, (1976 г.)- A.M. Загуменный (Ан-32), (1976 г.)-A.Г.Буланенко (Ан-32), М.Н. Березюк (испытания Ан-71); (-1983-88 г.-)- М. Г. Харченко (Ан-124, Ан-225), (1983 г.)- B.C. Михайлов (Ан-124), (-6.07.1994 г.)- А.В. Ларионов (погиб в катастрофе Ан-32П), (2006 г.)- Н.И. Онопченко (Ан-148).</w:t>
      </w:r>
    </w:p>
    <w:p w14:paraId="6C1F8CDB" w14:textId="0F66C840"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Летчики-испытатели: (-1969-71 г.-)- В.А. Богданов, Я.И. Верников, (1975-91 г.)- А.В. Галуненко, (2006 г.)- Е.А. Галуненко, (-1957-64 г.-)- И.Е. Давыдов, (1983 г.)- В.В. Добровольский, (-1969-71 г.-)- В.А. Залубовский, (1957 г.)-B.А.Калинин, (-1966-69 г.-&gt; Ю.Н. Кетов, (1985 г.)- П.К. Киричук, (1959 г.)- Кузнецов, (-1959-85 г.-&gt; Ю.В. Курлин, (1959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Г.И. Лысенко, (1993 г.)- А.В. Слободянюк, (1974 г.)- Б. Степанов, (1993 г.)- В.И. Терский, (1976 г.)- В.А. Ткаченко, (1985 г.)- А.В. Ткаченко, (1959 г.)- Федоров, (1962 г.)- A.M. Цыганков.</w:t>
      </w:r>
    </w:p>
    <w:p w14:paraId="116B90B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Штурманы-испытатели: (1959 г.)- Васильев, (1959 г.)- Житник, (1959 г.)- Зацепа.</w:t>
      </w:r>
    </w:p>
    <w:p w14:paraId="669A95C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 самолеты:</w:t>
      </w:r>
      <w:r w:rsidRPr="00070ADE">
        <w:rPr>
          <w:rFonts w:ascii="Times New Roman" w:hAnsi="Times New Roman"/>
          <w:color w:val="000000" w:themeColor="text1"/>
          <w:sz w:val="16"/>
          <w:szCs w:val="16"/>
        </w:rPr>
        <w:t xml:space="preserve"> многоцелевые Ан-2М (20.05.1964 г.), Ан-3 (13.05.1980 г.); транспортные Ан-8 (11.02.1956 г.), Ан-12 (16.12.1957 г., пнв 24.03.1962 г.), Ан-12ПС (пнв 17.04.1985 г.), Ан-14 (14.03.1958 г.), Ан-14М (30.04.1969 г.), Ан-22 «Антей» (27.02.1965г„ пнв 3.01.1974 г.), Ан-26 (21.05.1969 г.), Ан-32 (9.07.1976 г.), Ан-32П (16.02.1993 г.), Ан-70 (16.12.1994 г.), Ан-72 (31.08.1977 г.), Ан-74 (29.09.1983 г.), Ан-74ГЕС-300 (20.04.2001 г.), Ан- 124 «Руслан» (24.12.1982 г., пнв 28.03.1991 г.), Ан-225 «Мрия» (21.12.1988 г.); пассажирские Ан-10 (7.03.1957 г.), Ан-24 (20.12.1959 г.), Ан-28 (29.01.1973 г.), Ан-38 (23.06.1994 г.), Ан-38-200 (11.12.2001 г.), Ан-138, Ан-140 (17.09.1997 г.), региональные Ан-148 (17.12.2004 г.), Ан-158 (2010); аэрофотосъемочный Ан-30 (21.08.1967 г.); самолет ДРЛО Ан-71 (12.07.1985 г.); планер А-11 (2.07.1957 г.).</w:t>
      </w:r>
    </w:p>
    <w:p w14:paraId="53705446" w14:textId="74E300DB"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КБ контрольных приборов (КБКП), п/я 21, НПО «Электронпрнбор», Научно-технический комплекс (НТК) «Электронпрнбор», ОАО «НТК «Электронпрнбор» («Электронпрнлад») /Украина 04116</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Киев ул. Ванды Василевской, 27/29 тел. 236-90-22/</w:t>
      </w:r>
    </w:p>
    <w:p w14:paraId="175DD3A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~1962 г. КБ выделено из состава ОКБ-473 для разработки бортовых средств регистрации полетной информации самолетов фронтовой авиации и средств дешифровки. С 1964 г. имело наименование «предприятие- п/я 21», с 1967 г. - КБКП. В 1975 г. преобразовано в НПО «Электронпрнбор». В состав объединения входили также заводы «Луч» ( г. Иванков Киевской обл.), «Точприбор» ( г. Мукачево) и «Электроавтоматика» ( г. Буштын Закарпатской обл.).</w:t>
      </w:r>
    </w:p>
    <w:p w14:paraId="058C84E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1968 г. организована летно-испытательная станция на аэродроме ОКБ O.K. Антонова.</w:t>
      </w:r>
    </w:p>
    <w:p w14:paraId="7AD4763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1993 г. НПО преобразовано в НТК «Электронпрнбор». В 1999 г. акционировано и преобразовано в ОАО.</w:t>
      </w:r>
    </w:p>
    <w:p w14:paraId="43C77744" w14:textId="2582F26A"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Разработка и изготовление бортовых систем регистрации параметров полета, наземных систем обработки полетной информации, аварийных радиомаркеров; диагностических систем контроля тракторов, приборов контроля состояния горных выработок. В конце 1980-х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совместно с ЦНИИЧермет и Институтом металлофизики разработан термостойкий носитель информации на основе кобальта, обеспечивавший сохранность информации после длительного воздействия (не менее 10 часов) температуры до 700°С. После 1992 г. работы прекращены.</w:t>
      </w:r>
    </w:p>
    <w:p w14:paraId="5637458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(2003 г.): разработка, производство, обслуживание и ремонт устройств регистрации полетной информации, бортовых систем встроенного контроля, систем управления двигателями, топливно-измерительных систем, авиационных кабинных индикаторов, химических источников тока спецназначения.</w:t>
      </w:r>
    </w:p>
    <w:p w14:paraId="2173B72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Руководитель (1962 г.-)- И.А. Ястребов. Гендиректор (-1988 г.)- И.А. Ястребов, (2002 г.)- Е. Г. Исак.</w:t>
      </w:r>
    </w:p>
    <w:p w14:paraId="6F46C60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гендиректора: по науке (2002 г.)- Л.Д. Яцко; по производству (2002 г.)- В.В. Иванов.</w:t>
      </w:r>
    </w:p>
    <w:p w14:paraId="09272F5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(1962-88 г.)- И.А. Ястребов, (2002 г.)- В.Г1. Дробинов.</w:t>
      </w:r>
    </w:p>
    <w:p w14:paraId="3F4F022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отделов: Л.Н. Бахов, В. Г. Братко, В.А. Смилянец.</w:t>
      </w:r>
    </w:p>
    <w:p w14:paraId="55136AB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КБ- В.З. Кедров, (1980-е)- Е. Г. Исак.</w:t>
      </w:r>
    </w:p>
    <w:p w14:paraId="64F0C2D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бригад: конструкторской- А.Н. Абрамов.</w:t>
      </w:r>
    </w:p>
    <w:p w14:paraId="036EC6D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Ведущие конструкторы: В.В. Бендеровский («Тестер»), В.А. Берлинских, В. Г. Братко («Тестер»), В.И. Гриневский («Луч-71К»), В.П. Дробинов, (1968 г.)- В.М. Корнейчук («Тестер»), А.Е. Мостовский, В.К. Олейник («Тестер»), В.М. Сахошко, (1980-е)- В.В. Хомяк («Полярник»), В. Г. Чиренко («Луч-71 К»), Л.Д. Яцко («Тестер»).</w:t>
      </w:r>
    </w:p>
    <w:p w14:paraId="4BCDC8D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w:t>
      </w:r>
      <w:r w:rsidRPr="00070ADE">
        <w:rPr>
          <w:rFonts w:ascii="Times New Roman" w:hAnsi="Times New Roman"/>
          <w:color w:val="000000" w:themeColor="text1"/>
          <w:sz w:val="16"/>
          <w:szCs w:val="16"/>
        </w:rPr>
        <w:t xml:space="preserve"> бортовые системы регистрации полетной информации: «Тестер-УЗ» серии Л, 2, ЗК для Як-38, Ка-27, Су-27К и МиГ-29К, «Опушка ВМ» для Як-38М; блоки («черные ящики»): СБН-ВМ для Як-38М, 6МБ-01 для МиГ-29К, Су-25УТГ и Су-27К, для МиГ-23, -25, -27, Су-24, -25, Ка-27; системы дешифровки: корабельные «Луч- 71К» для ТАКР пр. 1143 и 11433 (1971), «Полярник» для ТАКР пр. 11435 (1985); бортовые обобщающие системы встроенного контроля: «Экран-100», «Экран-14М-2, «Экран-УБ-06ЭК», БАСК.</w:t>
      </w:r>
      <w:r w:rsidRPr="00070ADE">
        <w:rPr>
          <w:rFonts w:ascii="Times New Roman" w:hAnsi="Times New Roman"/>
          <w:color w:val="000000" w:themeColor="text1"/>
          <w:sz w:val="16"/>
          <w:szCs w:val="16"/>
          <w:vertAlign w:val="superscript"/>
        </w:rPr>
        <w:t>142</w:t>
      </w:r>
    </w:p>
    <w:p w14:paraId="309ED18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бортовые устройства регистрации полетной информации: БУР-92, БУР-4, «Тестер-УЗ», ЗБН- 24МТ (2002); бортовые обобщающие системы встроенного контроля «Экран-100», «Экран-14М-2, «Экран-УБ- 06ЭК» (2002); бортовые системы контроля и управления СУ: БСКД-27, БПК-88, БУК-140М, БУК-9М, БУК-20-38, БСКД-436 (2002); топливоизмерительная система ТИС-140; авиационные кабинные индикаторы ИПМ-140, ИКМРТ-140, ИЧЖ-1, ИЧЖ-2В, ИТЖ-1, АВЭ-1В, ИТЦ-9, ИРЦ-9, БИП-38, ИПСУ-4, СВЗ-1 (2002).</w:t>
      </w:r>
      <w:r w:rsidRPr="00070ADE">
        <w:rPr>
          <w:rFonts w:ascii="Times New Roman" w:hAnsi="Times New Roman"/>
          <w:color w:val="000000" w:themeColor="text1"/>
          <w:sz w:val="16"/>
          <w:szCs w:val="16"/>
          <w:vertAlign w:val="superscript"/>
        </w:rPr>
        <w:t>69</w:t>
      </w:r>
    </w:p>
    <w:p w14:paraId="57D9C1D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ГП «Авиация общего назначения» (АОН) ОКБ» /Украина 08130 с. Петропавловская Борщаговка Киевской обл., ул. Академика Антонова, 10 тел. 443-34-37/</w:t>
      </w:r>
    </w:p>
    <w:p w14:paraId="57EE817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Образовано на базе отделения Сверхлегкой авиации АНТК им. Антонова.</w:t>
      </w:r>
    </w:p>
    <w:p w14:paraId="73E89D3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Гл. конструктор (2002 г.)- А.Н. Дашивец.</w:t>
      </w:r>
    </w:p>
    <w:p w14:paraId="3DE37C8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(2002 г.)- А.Е. Закревский.</w:t>
      </w:r>
    </w:p>
    <w:p w14:paraId="5B2C25B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конструктора (2002 г.)- В.В. Сухов.</w:t>
      </w:r>
    </w:p>
    <w:p w14:paraId="47B0014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w:t>
      </w:r>
      <w:r w:rsidRPr="00070ADE">
        <w:rPr>
          <w:rFonts w:ascii="Times New Roman" w:hAnsi="Times New Roman"/>
          <w:color w:val="000000" w:themeColor="text1"/>
          <w:sz w:val="16"/>
          <w:szCs w:val="16"/>
        </w:rPr>
        <w:t xml:space="preserve"> мотодельтаплан Т-22М, сверхлегкий вертолет ВТ-28, многоцелевые самолеты Т-12, Т-16.</w:t>
      </w:r>
      <w:r w:rsidRPr="00070ADE">
        <w:rPr>
          <w:rFonts w:ascii="Times New Roman" w:hAnsi="Times New Roman"/>
          <w:color w:val="000000" w:themeColor="text1"/>
          <w:sz w:val="16"/>
          <w:szCs w:val="16"/>
          <w:vertAlign w:val="superscript"/>
        </w:rPr>
        <w:t>69</w:t>
      </w:r>
    </w:p>
    <w:p w14:paraId="462DB6D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Государственная самолетостроительная корпорация (ГСК) «Национальное научно- производственное .объединение (ННПО) «Антонов»</w:t>
      </w:r>
    </w:p>
    <w:p w14:paraId="62CB485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Создана в 06.2005 г. В нее вошли завод «Авиант», АНТК им. O.K. Антонова, ХГАПП и Завод № 410 ГА. В 2007 г. входил также Украинский НИИ авиационной технологии. Пост. Правительства № 998 от 3.10.2005 г. утвержден Устав Государственной самолетостроительной корпорации (ГСК) «ННПО «Антонов». В 2007 г. корпорация ликвидирована, вместо нее создан ГАК «Авиация Украины».</w:t>
      </w:r>
    </w:p>
    <w:p w14:paraId="2BA318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Гендиректор (11.2005-06 г.-)- А. Мялица. Президент (2010 г.)- Д. Кива.</w:t>
      </w:r>
    </w:p>
    <w:p w14:paraId="2AE94FD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Государственный авиастроительный концерн «Авиация Украины»</w:t>
      </w:r>
    </w:p>
    <w:p w14:paraId="53A8D89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 14.02.2007 г., утвержден пост, правительства Украины в 03.2007 г. В него вошло 10 предприятий: «Авиант», АНТК им. Антонова, ХГАПП, АРЗ-410, НИИ «Буран», ГП «Новатор», ЗМКБ «Прогресс», Харьковский завод ФЭД, Харьковское агрегатное КБ, «Радиоизмеритель».</w:t>
      </w:r>
    </w:p>
    <w:p w14:paraId="0F8967B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Гендиректор /председатель правления (02.2007 г.-)- О.С. Шевченко (11982).</w:t>
      </w:r>
    </w:p>
    <w:p w14:paraId="255C383D" w14:textId="77777777" w:rsidR="00414BE3" w:rsidRPr="00070ADE" w:rsidRDefault="00414BE3"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E639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января 1944 года вышел приказ № 5 НКАП</w:t>
      </w:r>
    </w:p>
    <w:p w14:paraId="6436E0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приказом НКАП № 642 от 27 декабря 1943 года организовать на площадях бывш. завода № 165 завод по изготовлению нестандартного оборудования и именовать его “Завод № 12 треста № 41 НКАП” (8937).</w:t>
      </w:r>
    </w:p>
    <w:p w14:paraId="28607A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498C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января 1944 года завод № 268 приказом НКАП № 5с был выделен в самостоятельную хозяйственную единицу, вступив в строй действующих предприятий НКАП.</w:t>
      </w:r>
    </w:p>
    <w:p w14:paraId="5899FD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1944 году выпускались лопасти, профили и прутки.</w:t>
      </w:r>
    </w:p>
    <w:p w14:paraId="268FFF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1945 года Комиссией НКАП 268 завод был принят, а 11 июля 1945 года приказом НКАП введен в эксплуатацию. С начала 1945 года завод начинает выпуск продукции проката.</w:t>
      </w:r>
    </w:p>
    <w:p w14:paraId="7D4F73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1946 году определился на ближайшее время производственный профиль завода, для комплексного металлургического предприятия, организованного в сочетании трех основных производств: прокатного, прессового, кузнечно-прессового (9599).</w:t>
      </w:r>
    </w:p>
    <w:p w14:paraId="6C0ADF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34D986"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E89E1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9C635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января 1944 года И.К. Кикоин и А.И. Алиханов направили М.Г. Первухину записку "Состояние проблемы разделения изотопов урана" по итогам работы за 1943 год. В записке отмечается, что по представленным разведматериалам и данным собственных исследований эта задача принципиально и технически вполне осуществима. Наиболее приемлемым с технической точки зрения был признан газодиффузионный метод разделения изотопов урана с использованием в этих целях UF</w:t>
      </w:r>
      <w:r w:rsidRPr="00070ADE">
        <w:rPr>
          <w:rFonts w:ascii="Times New Roman" w:hAnsi="Times New Roman"/>
          <w:color w:val="000000" w:themeColor="text1"/>
          <w:sz w:val="16"/>
          <w:szCs w:val="16"/>
          <w:vertAlign w:val="subscript"/>
        </w:rPr>
        <w:t>6</w:t>
      </w:r>
      <w:r w:rsidRPr="00070ADE">
        <w:rPr>
          <w:rFonts w:ascii="Times New Roman" w:hAnsi="Times New Roman"/>
          <w:color w:val="000000" w:themeColor="text1"/>
          <w:sz w:val="16"/>
          <w:szCs w:val="16"/>
        </w:rPr>
        <w:t xml:space="preserve">. В качестве основных задач, рассмотрение которых определяет возможность осуществления проекта, отмечались: </w:t>
      </w:r>
    </w:p>
    <w:p w14:paraId="4C9B956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проектирование газодиффузионной установки; </w:t>
      </w:r>
    </w:p>
    <w:p w14:paraId="07C0B03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проблема технологии промышленного изготовления сеток; </w:t>
      </w:r>
    </w:p>
    <w:p w14:paraId="0634451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получение гексафторида урана и стойких в его среде вспомогательных материалов (10549).</w:t>
      </w:r>
    </w:p>
    <w:p w14:paraId="1E4B051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F0EB0EC"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31A633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1AAF1F"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4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2ABD2895"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4 января к северу от Невеля наши войска продолжали вести наступательные бои, в ходе которых заняли более 100 населённых пунктов и среди них Плосково, Алексеевское, Гришанки, Чернухи, Татырино, Горы, Тре-Халево, Тыково, Фенево и железнодорожную станцию Изоча. Нашими войсками полностью очищена от противника железная дорога Великие Луки-Невель.</w:t>
      </w:r>
    </w:p>
    <w:p w14:paraId="35CA9A52"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после ожесточённых четырёхдневных боёв сегодня, 4 января, штурмом овладели городом и крупной железнодорожной станцией Белая Церковь. В течение 4 января войска фронта, продолжая наступление, овладели районным центром Винницкой области Плисков, районным центром Киевской области Ставище, а также заняли более 40 других населённых пунктов и среди них Стриева, Смолдырев, Полянки, Садки, Сиряки, Пилипы, Сосновка, Слободище, Ротмистровка, Чернявка, Скоморошки, Скала, Бугаевка, Росишки, Дубровка, Антоновка, Ясиновка, Плоское, Ружки, Севери-Новка, Потеевка, Скребеши, Олейникова Слобода, Красное.</w:t>
      </w:r>
    </w:p>
    <w:p w14:paraId="388F0C7D"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62DEE2F0"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3 января наши войска на всех фронтах подбили и уничтожили 81 немецкий танк. В воздушных боях и огнём зенитной артиллерии сбито 36 самолетов противника.</w:t>
      </w:r>
    </w:p>
    <w:p w14:paraId="1BB4EEA0"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северу от Невеля наши войска продолжали с боями продвигаться вперёд и заняли более 100 населённых пунктов. В результате успешных действий советских войск железная дорога Великие Луки —Невель полностью очищена от немецко-фашистских захватчиков. Части Н-ского соединения, овладев несколькими сильно укреплёнными опорными пунктами обороны противника, уничтожили 400 немецких солдат и офицеров, 3 артиллерийские и 2 миномётные батареи. В другом районе наши бойцы сломили упорное сопротивление противника и, продвигаясь вперёд, уничтожили до батальона гитлеровцев. Захвачены трофеи, в числе которых 13 немецких танков, 10 орудий, несколько тягачей и автомашин. Взяты пленные.</w:t>
      </w:r>
    </w:p>
    <w:p w14:paraId="07333703"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успешное наступление. Особенно ожесточённые бои в течение последних дней происходили в районе города Белая Церковь. Противник сосредоточил здесь крупные силы и пытался любой ценой удержать этот важный пункт своей обороны. После четырёхдневных упорных боёв наши войска сегодня штурмом овладели городом и крупной железнодорожной станцией Белая Церковь. Очищены от немцев районный центр Винницкой области Плисков, районный центр Киевской области Ставище и более 40 других населённых пунктов. В районе Новоград-Волынский гитлеровцы предприняли контратаку. Двум батальонам немецкой пехоты удалось прорваться в расположение советских войск. Наши части окружили прорвавшегося противника и уничтожили гитлеровцев. Взято свыше 400 пленных.Всего за день боёв советские войска истребили более 4 тысяч немецких солдат и офицеров, подбили и сожгли 65 танков, уничтожили 22 полевых и самоходных орудияи 180 автомашин противника. Захвачено у немцев 7 танков, 36 полевых и 11 самоходных орудий, 42 миномёта, более 150 пулемётов, 2 мощные радиостанции и другие трофеи.</w:t>
      </w:r>
    </w:p>
    <w:p w14:paraId="52D21B1F"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Группа наших лётчиков под командованием старшего лейтенанта Маковского произвела вчера налёт на один из аэродромов противника. Не доходя до цели, советские самолёты были встречены истребителями противника. В завязавшемся воздушном бою сбито 4 немецких самолёта. Кроме того, сожжено 3 самолёта противника из числа находившихся на аэродроме. Во время штурмовки вражеского аэродрома огнём зенитной артиллерии был подбит самолёт летчика Кузнецова, и он произвёл вынужденную посадку на территории противника. Советские лётчики не оставили своего товарища. Командир группы приземлился рядом с подбитым самолётом, помог сжечь повреждённую машину и на своём самолёте вывез Кузнецова на свой аэродром.</w:t>
      </w:r>
    </w:p>
    <w:p w14:paraId="61675478"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Пинской области, в декабре совершил несколько нападений на колонны войск противника. При первом налёте на колонну гитлеровцев партизаны истребили до роты вражеских солдат и взорвали 8 автомашин.Через несколько дней советские патриоты рассеяли двигавшееся по шоссе подразделение противника и уничтожили 40 немцев. Десять гитлеровцев взяты вплен. В конце декабря пинские партизаны пустили под откос 5 немецких воинских эшелонов, следовавших к линии фронта.</w:t>
      </w:r>
    </w:p>
    <w:p w14:paraId="54206220"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Солдат 5 роты 2 батальона испанского легиона Хесус Перес Санчес, взятый в плен на Волховском фронте в конце декабря 1943 года, рассказал: «В сентябре 1943 года меня в составе маршевого батальона направили в Россию на пополнение 250 испанской дивизии. Через непродолжительное время прибыли один за другим ещё два маршевых батальона численностью по 1.000 человек каждый. Вскоре 250 дивизия была отведена в резерв. К 15 ноября из полков дивизии был сформирован испанский легион. Легионом командует полковник дон Гарсия Наварро. 15 декабря второй батальон легиона подучил зимнее обмундирование и был переброшен на волховский участок фронта».</w:t>
      </w:r>
    </w:p>
    <w:p w14:paraId="796139FE"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Показания пленного испанского солдата Хесуса Переса Санчеса представляют определённый интерес. В Испании в последнее время было объявлено, что все испанские войска, находившиеся на советско-германском фронте, отозваны на родину. На самом же деле произведена лишь смена вывесок: раньше была «Голубая дивизия», затем 250 дивизия, а теперь появился испанский легион.</w:t>
      </w:r>
    </w:p>
    <w:p w14:paraId="21FAB358"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Испанские пособники Гитлера в начале войны всячески хвастались тем, что они сражаются в России на стороне немцев. Однако с тех пор утекло много воды. Немецко-фашистские мерзавцы, как и их подручные, испытали на себе силу ударов Красной Армии. Теперь, когда дело приближается к полному разгрому немецкойармии, испанские холуи Гитлера решили перестроиться. Они сейчас на весь мирт рубят о том, что Испания якобы соблюдает нейтралитет, а испанские войска, сражавшиеся на стороне немцев, отозваны с советско-германского фронта. Некоторая часть деморализованных и разложившихся испанских солдат, по-видимому, возвращенана родину. Но, отозвав потерявших боеспособность солдат, испанская правящая клика в то же время втихомолку сформировала так называемый испанский легион, укомплектованный из маршевых батальонов, прибывших на советско-германский фронтв сентябре и октябре 1943 года. Испанский легион находится теперь на одном </w:t>
      </w:r>
      <w:r w:rsidRPr="00070ADE">
        <w:rPr>
          <w:rFonts w:ascii="Times New Roman" w:hAnsi="Times New Roman"/>
          <w:color w:val="000000" w:themeColor="text1"/>
          <w:sz w:val="16"/>
          <w:szCs w:val="16"/>
        </w:rPr>
        <w:lastRenderedPageBreak/>
        <w:t>из участков Волховского фронта, и наши войска за последние дни уже взяли в плен нескольких солдат из состава этого легиона. Таким образом, с полной несомненностью установлено, что испанские мошенники и лакеи Гитлера продолжают явно и тайно поддерживать немецко-фашистских захватчиков.» (14999).</w:t>
      </w:r>
    </w:p>
    <w:p w14:paraId="29BF0A5E" w14:textId="77777777" w:rsidR="00414BE3" w:rsidRPr="00070ADE" w:rsidRDefault="00414BE3" w:rsidP="00B56F90">
      <w:pPr>
        <w:spacing w:after="0" w:line="240" w:lineRule="auto"/>
        <w:jc w:val="both"/>
        <w:rPr>
          <w:rFonts w:ascii="Times New Roman" w:hAnsi="Times New Roman"/>
          <w:color w:val="000000" w:themeColor="text1"/>
          <w:sz w:val="16"/>
          <w:szCs w:val="16"/>
        </w:rPr>
      </w:pPr>
    </w:p>
    <w:p w14:paraId="20FD71FF"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4 января</w:t>
      </w:r>
      <w:r w:rsidRPr="00070ADE">
        <w:rPr>
          <w:rFonts w:ascii="Times New Roman" w:hAnsi="Times New Roman"/>
          <w:color w:val="000000" w:themeColor="text1"/>
          <w:sz w:val="16"/>
          <w:szCs w:val="16"/>
        </w:rPr>
        <w:t xml:space="preserve"> в 1944 году советские войска вступают в Польшу (14999).</w:t>
      </w:r>
    </w:p>
    <w:p w14:paraId="360AFFCE" w14:textId="77777777" w:rsidR="00414BE3" w:rsidRPr="00070ADE" w:rsidRDefault="00414BE3" w:rsidP="00B56F90">
      <w:pPr>
        <w:spacing w:after="0" w:line="240" w:lineRule="auto"/>
        <w:jc w:val="both"/>
        <w:rPr>
          <w:rFonts w:ascii="Times New Roman" w:hAnsi="Times New Roman"/>
          <w:color w:val="000000" w:themeColor="text1"/>
          <w:sz w:val="16"/>
          <w:szCs w:val="16"/>
        </w:rPr>
      </w:pPr>
    </w:p>
    <w:p w14:paraId="5F0456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января 1944 КА вышла к польской границе (1348,224).</w:t>
      </w:r>
    </w:p>
    <w:p w14:paraId="446BF6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EE0EA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января 1944 советские войска вступили в Польшу (4962).</w:t>
      </w:r>
    </w:p>
    <w:p w14:paraId="53B64F2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0858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January 4, 1944: On the southern front in the Ukraine, Soviet forces cross the old Polish-Russian border in Volhynia (3819).</w:t>
      </w:r>
    </w:p>
    <w:p w14:paraId="1F27AB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FF92AC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января 1944 Гитлер отверг план фельдмаршала фон Манштейна вывести немецкие войска с Украины для борьбы на северном фронте (4962).</w:t>
      </w:r>
    </w:p>
    <w:p w14:paraId="24EA166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6AB45A"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F95C4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18DCFA" w14:textId="77777777"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января 1944 539 бомбардировщиков 8 - й воздушной армии США совершили налет на Киль и Мюнсте , Германия, в сопровождении 155 истребителей. Погибли девятнадцать бомбардировщиков и два истребителя. Бомбардировщики и истребители заявляют, что 12 немецких самолетов сбиты, 13, вероятно, сбиты, а 10 повреждены (20373).</w:t>
      </w:r>
    </w:p>
    <w:p w14:paraId="43E2291A" w14:textId="77777777" w:rsidR="00EB290F" w:rsidRPr="00070ADE" w:rsidRDefault="00EB290F" w:rsidP="00B56F90">
      <w:pPr>
        <w:spacing w:after="0" w:line="240" w:lineRule="auto"/>
        <w:jc w:val="both"/>
        <w:rPr>
          <w:rFonts w:ascii="Times New Roman" w:hAnsi="Times New Roman"/>
          <w:color w:val="000000" w:themeColor="text1"/>
          <w:sz w:val="16"/>
          <w:szCs w:val="16"/>
        </w:rPr>
      </w:pPr>
    </w:p>
    <w:p w14:paraId="564FB2D2" w14:textId="77777777"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января (ночь) 1944 80 британских бомбардировщиков без потерь совершили налет на две немецкие пусковые площадки летающих бомб Фау-1 в Па-де-Кале и Бристильери (20373).</w:t>
      </w:r>
    </w:p>
    <w:p w14:paraId="4A8BFD1A" w14:textId="77777777" w:rsidR="00EB290F" w:rsidRPr="00070ADE" w:rsidRDefault="00EB290F" w:rsidP="00B56F90">
      <w:pPr>
        <w:spacing w:after="0" w:line="240" w:lineRule="auto"/>
        <w:jc w:val="both"/>
        <w:rPr>
          <w:rFonts w:ascii="Times New Roman" w:hAnsi="Times New Roman"/>
          <w:color w:val="000000" w:themeColor="text1"/>
          <w:sz w:val="16"/>
          <w:szCs w:val="16"/>
        </w:rPr>
      </w:pPr>
    </w:p>
    <w:p w14:paraId="5F9A7A80" w14:textId="77777777" w:rsidR="0059774D" w:rsidRPr="00070ADE" w:rsidRDefault="0059774D" w:rsidP="00B56F9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4 января 1944 108 «летающих крепостей» В-17 вылетели бомбить Софию, но из-за сильного тумана бомбили город Дупница в 49 км от болгарской столицы. В Дупнице было разрушено 40 зда</w:t>
      </w:r>
      <w:r w:rsidRPr="00070ADE">
        <w:rPr>
          <w:rFonts w:ascii="Times New Roman" w:hAnsi="Times New Roman" w:cs="Times New Roman"/>
          <w:color w:val="000000" w:themeColor="text1"/>
          <w:sz w:val="16"/>
          <w:szCs w:val="16"/>
        </w:rPr>
        <w:softHyphen/>
        <w:t>ний, убито 59 и ранено 33 жителя. К счастью для местного населе</w:t>
      </w:r>
      <w:r w:rsidRPr="00070ADE">
        <w:rPr>
          <w:rFonts w:ascii="Times New Roman" w:hAnsi="Times New Roman" w:cs="Times New Roman"/>
          <w:color w:val="000000" w:themeColor="text1"/>
          <w:sz w:val="16"/>
          <w:szCs w:val="16"/>
        </w:rPr>
        <w:softHyphen/>
        <w:t>ния, значительная часть бомб упала вне города (19104).</w:t>
      </w:r>
    </w:p>
    <w:p w14:paraId="445A5731" w14:textId="77777777" w:rsidR="0059774D" w:rsidRPr="00070ADE" w:rsidRDefault="0059774D" w:rsidP="00B56F90">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58CFD2B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января 1944 войска союзников начали секретную операцию по снабжению оружием и боеприпасами антифашистов-подпольщиков в Голландии, Бельгии, Франции и Италии (4962).</w:t>
      </w:r>
    </w:p>
    <w:p w14:paraId="37D356C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B4CE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января 1944 британская 5 армия начала атаки Монте Кассино (2100).</w:t>
      </w:r>
    </w:p>
    <w:p w14:paraId="506DBB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B4817B"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4 января</w:t>
      </w:r>
      <w:r w:rsidRPr="00070ADE">
        <w:rPr>
          <w:rFonts w:ascii="Times New Roman" w:hAnsi="Times New Roman"/>
          <w:color w:val="000000" w:themeColor="text1"/>
          <w:sz w:val="16"/>
          <w:szCs w:val="16"/>
        </w:rPr>
        <w:t xml:space="preserve"> в 1944 году британской Пятой Армией в Италии предпринимается попытка атаки на Monte Cassino (14999).</w:t>
      </w:r>
    </w:p>
    <w:p w14:paraId="53D80441" w14:textId="77777777" w:rsidR="00414BE3" w:rsidRPr="00070ADE" w:rsidRDefault="00414BE3" w:rsidP="00B56F90">
      <w:pPr>
        <w:spacing w:after="0" w:line="240" w:lineRule="auto"/>
        <w:jc w:val="both"/>
        <w:rPr>
          <w:rFonts w:ascii="Times New Roman" w:hAnsi="Times New Roman"/>
          <w:color w:val="000000" w:themeColor="text1"/>
          <w:sz w:val="16"/>
          <w:szCs w:val="16"/>
        </w:rPr>
      </w:pPr>
    </w:p>
    <w:p w14:paraId="212810C6"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4 января</w:t>
      </w:r>
      <w:r w:rsidRPr="00070ADE">
        <w:rPr>
          <w:rFonts w:ascii="Times New Roman" w:hAnsi="Times New Roman"/>
          <w:color w:val="000000" w:themeColor="text1"/>
          <w:sz w:val="16"/>
          <w:szCs w:val="16"/>
        </w:rPr>
        <w:t xml:space="preserve"> в 1944 году Адольф Гитлер отвергает план фельдмаршала фон Манштейна вывести немецкие войска с Украины для борьбы на северном фронте (14999).</w:t>
      </w:r>
    </w:p>
    <w:p w14:paraId="191849A2" w14:textId="77777777" w:rsidR="00414BE3" w:rsidRPr="00070ADE" w:rsidRDefault="00414BE3" w:rsidP="00B56F90">
      <w:pPr>
        <w:spacing w:after="0" w:line="240" w:lineRule="auto"/>
        <w:jc w:val="both"/>
        <w:rPr>
          <w:rFonts w:ascii="Times New Roman" w:hAnsi="Times New Roman"/>
          <w:color w:val="000000" w:themeColor="text1"/>
          <w:sz w:val="16"/>
          <w:szCs w:val="16"/>
        </w:rPr>
      </w:pPr>
    </w:p>
    <w:p w14:paraId="7748D51E" w14:textId="77777777"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4 января 1944 американские самолеты устанавливают мины на базе на атолле Тарава в канале на Jaluit, заставляя японцкв прекратить использование лагуны атолла лагуны и вывестиа большинства японских гидросамолетов оттуда (20373). </w:t>
      </w:r>
    </w:p>
    <w:p w14:paraId="4024D9E2" w14:textId="77777777" w:rsidR="00EB290F" w:rsidRPr="00070ADE" w:rsidRDefault="00EB290F" w:rsidP="00B56F90">
      <w:pPr>
        <w:spacing w:after="0" w:line="240" w:lineRule="auto"/>
        <w:jc w:val="both"/>
        <w:rPr>
          <w:rFonts w:ascii="Times New Roman" w:hAnsi="Times New Roman"/>
          <w:color w:val="000000" w:themeColor="text1"/>
          <w:sz w:val="16"/>
          <w:szCs w:val="16"/>
        </w:rPr>
      </w:pPr>
    </w:p>
    <w:p w14:paraId="53CD8D30"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FAE534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BD0F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А.И.Ш., Дементьев, С.В.И., Никитин, Репин, Шиманов писали И.В.С. письмо N 138:</w:t>
      </w:r>
    </w:p>
    <w:p w14:paraId="490C4D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самолетах Ил-2, оборудованных 2 местом для заднего стрелка центр тяжести передвинулся назад и составляет 31.5-32%.</w:t>
      </w:r>
    </w:p>
    <w:p w14:paraId="780FB1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Ил-2 в 2-х местном варианте при стрельбе по земным целям на крутом пикировании быстрее набирает скорость и при выводе из пикирования, в связи с задней центровкой, получаются большие перегрузки.</w:t>
      </w:r>
    </w:p>
    <w:p w14:paraId="0D1ADF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ГК С.В.И. в целях приведения устойчивости самолета в прежнее состояние, предложил концы крыльев самолета отнести назад, создал стрельчатую конструкцию крыльев, т.е. центр тяжести самолета передвинулся вперед и равен 28%. Такой самолет изготовлен, прошел в НИИ ВВС гос. испытания и получил хорошую оценку.</w:t>
      </w:r>
    </w:p>
    <w:p w14:paraId="5AFB941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Одновременно с просьбой о запуске в производство на заводах 1, 18 и 30 самолетов Ил-2 со стрельчатым крылом, С.В.И. поставил вопрос о прекращении производства деревянных крыльев и о выпуске самолетов Ил-2 на заводах 1 и 30 с металлическими крыльями, такие как выпускаются сейчас на заводе 18.</w:t>
      </w:r>
    </w:p>
    <w:p w14:paraId="006D61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Необходимость такой замены С.В.И. мотивирует следующими соображениями:</w:t>
      </w:r>
    </w:p>
    <w:p w14:paraId="7F5332B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 условиях боевой работы деревянные крылья на самолетах Ил-2 менее надежны, чем металлические. С боевых операций самолеты с металлическими крыльями возвращаются с большим количеством прострелов, в т.ч. и от крупнокалиберных снарядов, чем самолеты Ил-2 с деревянными крыльями.</w:t>
      </w:r>
    </w:p>
    <w:p w14:paraId="35CE74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Самолеты с металлическими крыльями в полевых условиях при любой обстановке легко подвергаются ремонту и в наикратчайший срок вводятся вновь в боевую работу. Самолеты же с деревянными крыльями в полевых условиях трудно ремонтировать, ввиду необходимости создания спец. условий для склейки и просушки древесины и тем более, что ремонт дерева в полевых условиях не дает необходимой надежной прочности.</w:t>
      </w:r>
    </w:p>
    <w:p w14:paraId="4C6575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переходе на производство самолетов Ил-2 с металлическими крыльями увеличение расхода дюраля на один самолет выразится в 370 кг.</w:t>
      </w:r>
    </w:p>
    <w:p w14:paraId="6B5329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тем, что увеличение расхода дюраля небольшое, а надежность увеличивается значительно, считаем предложение С.В.И. правильным и своевременным - просим разрешить на заводах 1 и 30 перейти к производству крыльев стрельчатой конструкции для всех самолетов Ил-2.</w:t>
      </w:r>
    </w:p>
    <w:p w14:paraId="705F81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Переход на металлические стрельчатые крылья может быть осуществлен в течение 5 месяцев без снижения выпуска самолетов (1757,18).</w:t>
      </w:r>
    </w:p>
    <w:p w14:paraId="1AF364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Приложено: Заключение по результатам гос. испытаний на устойчивость и управляемость самолета Ил-2 с увеличенной стрельчатостью крыла и улучшенной аэродинамикой, с АМ-38Ф и винтом АВ-5Л-158В (самолет Ил-2 N 6767 производства завода 18):</w:t>
      </w:r>
    </w:p>
    <w:p w14:paraId="067451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Самолет Ил-2 с увеличенной стрельчатостью крыла и улучшенной аэродинамикой, как имеющий лучшую продольную устойчивость и управляемость, рекомендовать для внедрения в серийное производство вместо серийных самолетов Ил-2.</w:t>
      </w:r>
    </w:p>
    <w:p w14:paraId="376302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Увеличение стрельчатости крыла на 6 гр. улучшило продольную устойчивость и управляемость самолета. Самолет стал проще и приятнее в пилотировании.</w:t>
      </w:r>
    </w:p>
    <w:p w14:paraId="6C69A9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Мероприятия, проведенные ГК самолета по улучшению продольной устойчивости, хотя и значительно улучшили устойчивость и управляемость самолета, но являются еще недостаточными.</w:t>
      </w:r>
    </w:p>
    <w:p w14:paraId="2C9DE4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Целесообразно для получения положительных запасов продольной устойчивости сдвинуть центровку вперед еще на 2-3% САХ.</w:t>
      </w:r>
    </w:p>
    <w:p w14:paraId="405E64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Установку контрбалансира и амортизатора с систему управления РВ не самолет с увеличенной стрельчатостью крыла считать целесообразной. Врид. нач. НИИ ВВС П.Федоров N 186 от 7 января 1944 (1757,22).</w:t>
      </w:r>
    </w:p>
    <w:p w14:paraId="005019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DFB15F"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5 января 1944 было письмо №138 И.В.Сталину от от А.И.Шахурина, П.В.Дементьева, С.В.Ильюшина и др.</w:t>
      </w:r>
    </w:p>
    <w:p w14:paraId="6FA44275"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На самолетах Ил-2, оборудованных 2 местом для заднего стрелка центр тяжести передвинулся назад и составляет 31.5-32%.</w:t>
      </w:r>
    </w:p>
    <w:p w14:paraId="0B966C88"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Самолеты Ил-2 в 2-х местном варианте при стрельбе по земным целям на крутом пикировании быстрее набирает скорость и при выводе из пикирования, в связи с задней центровкой, получаются большие перегрузки.</w:t>
      </w:r>
    </w:p>
    <w:p w14:paraId="24CE51C8"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Главный конструктор С.В.Ильюшин в целях приведения устойчивости самолета в прежнее состояние, предложил концы крыльев самолета отнести назад, создал стрельчатую конструкцию крыльев, т.е. центр тяжести самолета передвинулся вперед и равен 28%. Такой самолет изготовлен, прошел в НИИ ВВС гос. испытания и получил хорошую оценку.</w:t>
      </w:r>
    </w:p>
    <w:p w14:paraId="1A243E39"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Одновременно с просьбой о запуске в производство на заводах 1, 18 и 30 самолетов Ил-2 со стрельчатым крылом, С.В.Ильюшин поставил вопрос о прекращении производства деревянных крыльев и о выпуске самолетов Ил-2 на заводах 1 и 30 с металлическими крыльями, такие как выпускаются сейчас на заводе 18.</w:t>
      </w:r>
    </w:p>
    <w:p w14:paraId="7B73DF01"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Необходимость такой замены С.В.Ильюшин мотивирует следующими соображениями:</w:t>
      </w:r>
    </w:p>
    <w:p w14:paraId="273F2273"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1. В условиях боевой работы деревянные крылья на самолетах Ил-2 менее надежны, чем металлические. С боевых операций самолеты с металлическими крыльями возвращаются с большим количеством прострелов, в т.ч. и от крупнокалиберных снарядов, чем самолеты Ил-2 с деревянными крыльями.</w:t>
      </w:r>
    </w:p>
    <w:p w14:paraId="3C195DA2"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2. Самолеты с металлическими крыльями в полевых условиях при любой обстановке легко подвергаются ремонту и в наикратчайший срок вводятся вновь в боевую работу. Самолеты же с деревянными крыльями в полевых условиях трудно ремонтировать, ввиду необходимости создания спец. условий для склейки и просушки древесины и тем более, что ремонт дерева в полевых условиях не дает необходимой надежной прочности.</w:t>
      </w:r>
    </w:p>
    <w:p w14:paraId="3429F11C"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При переходе на производство самолетов Ил-2 с металлическими крыльями увеличение расхода дюраля на один самолет выразится в 370 кг.</w:t>
      </w:r>
    </w:p>
    <w:p w14:paraId="4813902B"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lastRenderedPageBreak/>
        <w:t>В связи с тем, что увеличение расхода дюраля небольшое, а надежность увеличивается значительно, считаем предложение С.В.Ильюшина правильным и своевременным - просим разрешить на заводах 1 и 30 перейти к производству крыльев стрельчатой конструкции для всех самолетов Ил-2.</w:t>
      </w:r>
    </w:p>
    <w:p w14:paraId="318EA906"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Переход на металлические стрельчатые крылья может быть осуществлен в течение 5 месяцев без снижения выпуска самолетов.</w:t>
      </w:r>
    </w:p>
    <w:p w14:paraId="48F71821"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Приложено: Заключение по результатам гос. испытаний на устойчивость и управляемость самолета Ил-2 с увеличенной стрельчатостью крыла и улучшенной аэродинамикой, с АМ-38Ф и винтом АВ-5Л-158В (самолет Ил-2 N 6767 производства завода 18) (19206)/</w:t>
      </w:r>
    </w:p>
    <w:p w14:paraId="4A6598BB" w14:textId="77777777" w:rsidR="0059774D" w:rsidRPr="00070ADE" w:rsidRDefault="0059774D" w:rsidP="00B56F90">
      <w:pPr>
        <w:spacing w:after="0" w:line="240" w:lineRule="auto"/>
        <w:jc w:val="both"/>
        <w:rPr>
          <w:rFonts w:ascii="Times New Roman" w:hAnsi="Times New Roman"/>
          <w:color w:val="000000" w:themeColor="text1"/>
          <w:sz w:val="16"/>
          <w:szCs w:val="16"/>
        </w:rPr>
      </w:pPr>
    </w:p>
    <w:p w14:paraId="36A129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5 января 1944 года по 12 января 1944 года на Як-9У с ВЯ был начат отстрел вооружения на земле, принявший затяжной характер в связи с поломками пушек ВЯ (за это время было сменено 2 пушки) и наличием значительного количества недоработок. Все это вынудило прекратить временно дальнейшие испытания вооружения (1821,34).</w:t>
      </w:r>
    </w:p>
    <w:p w14:paraId="5FC5F9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0DD7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был подписан отчет по результатам гос. испытаний И-220 с АМ-38Ф и винтом АВ-5-Л126 (с-т конструкции М и Г производства з-да 155. Вариант И200 с высотным АМ-39.</w:t>
      </w:r>
    </w:p>
    <w:p w14:paraId="3309F2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января 1944 А.E.Репин утвердил Акт по результатам гос. испытаний И-220 с АМ-38Ф и винтом АВ-5-Л126 (с-т конструкции М и Г производства з-да 155. Вариант И200 с высотным АМ-39. Летал П.М.Стефановский</w:t>
      </w:r>
    </w:p>
    <w:p w14:paraId="1FB19B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 исполнитель: Пом нач. 3 отд. НИИ ВВС КА и-к А.С.Розанов</w:t>
      </w:r>
    </w:p>
    <w:p w14:paraId="7B9A93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Л-к-исп. 3 отд. П П.М.Стефановский</w:t>
      </w:r>
    </w:p>
    <w:p w14:paraId="7407DF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Цель испытаний: определить ЛТД с-та И-220 с АМ-38Ф, как промежуточного вар-та с-та И-220 с мотором АМ-39, проверить работу вооружения и спецоборудования. Дать оценку конструктивного и производственного выполнения с-та</w:t>
      </w:r>
    </w:p>
    <w:p w14:paraId="6D0FFE6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Объект испытаний: опытный с-т И-220 проектировался с высотным мотором АМ-39 как истребитель ведения активного воздушного боя на всех высотах.С-т построен заводом в конце 1942. По приказу НКАП А.И.Ш. на с-т установлен невысотный мотор АМ-38Ф для проведения первого этапа испытаний и получения предварительных рез-тов с последующей заменой мотора АМ-38Ф на мотор АМ-39. С-т представляет собой низкоплан смешанной конструкции с убирающимся в полете шасси и хвостовым колесом. Головная часть - металлическая, хвостовая - деревянная. Центроплан металлический, консоли - деревянные с металлическим лонжероном. Шасси - оригинальной конструкции: обжатие аммортизаторов увеличивается прогрессивно углу стоянки. С-т снабжен щитками Шренк и автоматическими предкрылками по всему размаху. Хвостовое оперение однокилевое со свободнонесущим стабилизатором.Ручное управление - жесткое, ножное - троссовое. Рули высоты, поворота, элероны снабжены аэродинамической и весовой компенсацией и имеют триммеры для балансировки по всем осям. Управление посадочными щитками, уборкой и выпуском шасси и тормозами - пневматическое.На с-те предусмотрен сброс подвижной части фонаря кабины л.</w:t>
      </w:r>
    </w:p>
    <w:p w14:paraId="19A04B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ВМГ. На с-те установлен серийный мотор АМ-38Ф с винтом АВ-5Л-126 диаметром 3.2 м.</w:t>
      </w:r>
    </w:p>
    <w:p w14:paraId="3587E3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Взлетная мощность мотора (разрешено применять 3:20 за 100 часов ресурса) составляет 1700 л/с при 2350 оборотах и Рк 1360 мм. Номинальная мощность у земли 1500 л/с при 2050 и Рк 1200 мм. В целях проверки лтд на режимах мотора АМ-39 на низких высотах мотору АМ-38Ф, при снятии летных характеристик, давались обороты 2150 при Рк 1180-1200 в соответствии с письмом-разрешением Зам. ГК з-да № 300 от 15 октября 1943.</w:t>
      </w:r>
    </w:p>
    <w:p w14:paraId="392956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Полная заправка горючего 464 л (346 кг) в одном баке мягкой конструкции типа ВИАМ-А3. Бак расположен в фюзеляже позади кабины л. Бак заполняется выхлопными газами от мотора. Кроме того, на с-те предусмотрена установка двух крыльевых баков общей емкостью 173 л (128 кг).</w:t>
      </w:r>
    </w:p>
    <w:p w14:paraId="01E73F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трубчать-пластинчатых водяных радиаторов типа ОП-429 (фронт 18,2 дм2, поверхность 32,8) расположены в носке цп в правой и левой его частях. Управление заслонками - электрическое (от УР-2) или автоматическое от автомата МТ-41.</w:t>
      </w:r>
    </w:p>
    <w:p w14:paraId="1F8CCE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Сотовый м/р типа 553 (фронт 10,4, пов. 10,8) расположен в правом переднем зализе цп. Заслонка управляется вручную агрегатом УР-2.</w:t>
      </w:r>
    </w:p>
    <w:p w14:paraId="77CE75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Пушечное вооружение: На с-те в нормальном варианте вооружения установлено 2 синхронных пушки ШВАК 20мм, располагаемые под мотором с запасом патронов 150 на каждую. Перегрукзочный вариант предусматривает установку еще 2-х синхронных ШВАК над мотором с таким же б/з. Управление огнем - электропневматическое с пом. ПЭС-1 от э/кнопок на ручке управления. Стрельбу возможно вести только залпом (верхними или нижними пушками). Перезарядка пушек - пневматическая. На земле имеется механическая перезарядка. Гильзы и звенья выбрасываются наружу.</w:t>
      </w:r>
    </w:p>
    <w:p w14:paraId="466E84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Бомбовое вооружение - с-т оборудован 2-мя балками для подвески по одной 100 кг бомбе. Управление троссовое или механическое АСИ-140 от кнопки на ручке. Прицел ПБП-1А (для стрельбы и бомбометания с пикирования).</w:t>
      </w:r>
    </w:p>
    <w:p w14:paraId="18D306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Чпецоборудование с-т тмеет обычное для истребителя пилотажно-навигационное оборудование и оборудования контроля ВМГ. Особенностью является наличие автоматического электрорегулирования температуры воды (АРТ-41).</w:t>
      </w:r>
    </w:p>
    <w:p w14:paraId="72BB91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Электрооборудование выполнено по однопроводной схеме с частичной электроизоляцией (зажигание мотора и проводка от генератора к щитку).</w:t>
      </w:r>
    </w:p>
    <w:p w14:paraId="20C991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Источник тока - генератор ГС-350 и аккумуляторная батарея А2А-10. Система защиты централизована (на электрощитке в кабине пилота) и осуществляется плавкими вставками.</w:t>
      </w:r>
    </w:p>
    <w:p w14:paraId="6FF1D9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ночных полетов установлены фары ФС-150 и ВНО. Освещение приборов в кабине двумя кабинными лампами и двумя лампами УФО</w:t>
      </w:r>
    </w:p>
    <w:p w14:paraId="2C2DCCA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Имеется электрообогрев трубки Пито и часов.</w:t>
      </w:r>
    </w:p>
    <w:p w14:paraId="741148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Средства радиосвязи состоят из приемо-передатчика РСИ-4, установленной в хвостовой части фюзеляжа. Управление р/п дистанционное при помощи гибкого валика конструкции НИСО НКАП. Включение р/п в полете осуществляется кнопкой на сектиоре газа.</w:t>
      </w:r>
    </w:p>
    <w:p w14:paraId="561C55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Антенна наружная однолучевая. (без мачты), протянутая от киля к штырю, расположенному за кабиной.</w:t>
      </w:r>
    </w:p>
    <w:p w14:paraId="18090A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Кислородное оборудование состоит из прибора КПА-3бис и 4-х литрового баллона, а также штуцера бортовой заправки.</w:t>
      </w:r>
    </w:p>
    <w:p w14:paraId="2DD1C7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Вспомогательное оборудование - сигнальный пистолет КП-3 на 6 шпангоуте и малая аптечка</w:t>
      </w:r>
    </w:p>
    <w:p w14:paraId="63EE55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Бронирование: бронеспинка 8 мм и бронезаголовник 13 мм</w:t>
      </w:r>
    </w:p>
    <w:p w14:paraId="49535A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Сккорострельность пушки ШВАК 757 выст/м Продолжительность непрерывной стрельбы 11,4 с. Вес секундного залпа 2-х пушек - 2,518 кг. Вес снаряда - 96 г.</w:t>
      </w:r>
    </w:p>
    <w:p w14:paraId="1DCB9C9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начаты 23 октября 1943 и закончены 2 января 1944. Выполнен 31 полет с налетом 31:11</w:t>
      </w:r>
    </w:p>
    <w:p w14:paraId="2743D1C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испытаний:</w:t>
      </w:r>
    </w:p>
    <w:p w14:paraId="6FD2C5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2936, центровка при выпущенных шасси 14,6, капотажный угол 23:35</w:t>
      </w:r>
    </w:p>
    <w:p w14:paraId="03DFAD0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 полетный - 3574 - 23,6 - 29:25</w:t>
      </w:r>
    </w:p>
    <w:p w14:paraId="36FD4B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Перегрузочный - 3720 - 23,2 28:3</w:t>
      </w:r>
    </w:p>
    <w:p w14:paraId="2E592B7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Нормальная нагрузка:</w:t>
      </w:r>
    </w:p>
    <w:p w14:paraId="2DE42B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- 90</w:t>
      </w:r>
    </w:p>
    <w:p w14:paraId="255A104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Горючее (уд. Вес 0,745) 346</w:t>
      </w:r>
    </w:p>
    <w:p w14:paraId="0B2E67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Масло - 40</w:t>
      </w:r>
    </w:p>
    <w:p w14:paraId="0E439E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- 78</w:t>
      </w:r>
    </w:p>
    <w:p w14:paraId="53306A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б/з - 68</w:t>
      </w:r>
    </w:p>
    <w:p w14:paraId="0383E0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Оборудование - 16 (рация, кислородный баллон)</w:t>
      </w:r>
    </w:p>
    <w:p w14:paraId="755670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638</w:t>
      </w:r>
    </w:p>
    <w:p w14:paraId="1022EB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Доп. Нагрузка - 2хШВАК - 78, б/з - 68, всего 146 кг</w:t>
      </w:r>
    </w:p>
    <w:p w14:paraId="26AD62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у земли 572 (при 2150 Рк 1180 или 608 при форсаже (2350 Рк 1350</w:t>
      </w:r>
    </w:p>
    <w:p w14:paraId="64B135A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Максю. Скорость на гр. высотности 2600 - 622 и 652</w:t>
      </w:r>
    </w:p>
    <w:p w14:paraId="7D6488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Скороподъемность не определялась ввиду того, что для уборки шасси требовалось уменьшить скорость набора высоты до 220 км/час по приборами создавать отрицательную перегрузку - делать клевок.</w:t>
      </w:r>
    </w:p>
    <w:p w14:paraId="14C858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Разбег - 295, скорость отрыва 160, взлетная дистанция 920</w:t>
      </w:r>
    </w:p>
    <w:p w14:paraId="650084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Пробег 445, скорость посадочная 130, дистанция 960 по бетону</w:t>
      </w:r>
    </w:p>
    <w:p w14:paraId="5FDAA8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Маневр 1000 м вращение одинарное - левый на 350-340 - 19</w:t>
      </w:r>
    </w:p>
    <w:p w14:paraId="628F87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правый на 350-340 - 20</w:t>
      </w:r>
    </w:p>
    <w:p w14:paraId="374880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Набор высоты за боевой разворот - 1000 м с 500</w:t>
      </w:r>
    </w:p>
    <w:p w14:paraId="736A41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двухсторонней радиосвязи с р/с 11-К на 1000 м - до 25 км, на 2000 - до 20 км</w:t>
      </w:r>
    </w:p>
    <w:p w14:paraId="4E6173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Летчики облета - Стефановский, Кочетков, Хоияков, Кубышкин - дали положительную оценку. Хорошие лтд, мощное ворружение, прост в пилотировании.</w:t>
      </w:r>
    </w:p>
    <w:p w14:paraId="0BA14E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форсеже имеет преимущества перед Ме-109 -G2 до 5000 м. С-т желательно иметь на вооружении ВВС КА</w:t>
      </w:r>
    </w:p>
    <w:p w14:paraId="4647E4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Эксплуатационная оценка - ст т-исп. 3 отд. НИИ ВВС КА безбаш от 5 января - в целом эксплуатация не сложнее эксплуатации истребителей, состоящих на вооружении ВВС</w:t>
      </w:r>
    </w:p>
    <w:p w14:paraId="4F0A95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64107E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дефекты:</w:t>
      </w:r>
    </w:p>
    <w:p w14:paraId="67C668E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 наличие несильного бафтинга хвостового оперения при парашютировании</w:t>
      </w:r>
    </w:p>
    <w:p w14:paraId="41B45C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потеря эффективности РВ на посадке, усложняет исправление грубой посадки </w:t>
      </w:r>
    </w:p>
    <w:p w14:paraId="3F557B5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неудовлетворительный обзор задней и средней п/с и искажения козырька прри обзоре вперед</w:t>
      </w:r>
    </w:p>
    <w:p w14:paraId="4D68E4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малый радиус действия</w:t>
      </w:r>
    </w:p>
    <w:p w14:paraId="4C0E7D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большая нагрузка на колеса для размера 650х200</w:t>
      </w:r>
    </w:p>
    <w:p w14:paraId="62F1D2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недорустимо большая девиация магнитного компаса, что усложняет ориентирование.</w:t>
      </w:r>
    </w:p>
    <w:p w14:paraId="722060C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Подписали 5 января Кочетков и Хомяков.</w:t>
      </w:r>
    </w:p>
    <w:p w14:paraId="5F2E6D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w:t>
      </w:r>
    </w:p>
    <w:p w14:paraId="132F20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установке на с-т мотора АМ-39 и АМ-39ТК с-т И-220 может быть успешно использован в качестве высотного истребителя, т.к. по данным заводских испытаний имеет преимущества в максимальной скорости по сравнению с Ла-5ФН и ЯК-3ПФ с высот 5000-6000 м и по сравнению с Як-3 107А с высот 7000-75000 м</w:t>
      </w:r>
    </w:p>
    <w:p w14:paraId="120D4E9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Такой с-т как специальный тип крайне необходим ВВС</w:t>
      </w:r>
    </w:p>
    <w:p w14:paraId="238C3A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Просить НКАП т. А.И.Ш. дать указания об ускорении доводки АМ-39 по предъявлению с-та И-220 с этим мотором на ГИ. От 1 января 1944 (766,5).</w:t>
      </w:r>
    </w:p>
    <w:p w14:paraId="55A8D1C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8411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года зам. начальника 7-го гл. управления Алексеев писал письмо зам. начальника 8 гл. управления Воликову.</w:t>
      </w:r>
    </w:p>
    <w:p w14:paraId="0DB1E8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Сообщаю потребность в моторах АМ-39 на 5-ое января с.г.</w:t>
      </w:r>
    </w:p>
    <w:p w14:paraId="7D2AAF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Заводу N 51 (Поликарпову)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2118"/>
        <w:gridCol w:w="2118"/>
      </w:tblGrid>
      <w:tr w:rsidR="00CB5308" w:rsidRPr="00070ADE" w14:paraId="4DA185ED" w14:textId="77777777">
        <w:tc>
          <w:tcPr>
            <w:tcW w:w="4219" w:type="dxa"/>
          </w:tcPr>
          <w:p w14:paraId="69A79B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АМ-39 с ред 0,59</w:t>
            </w:r>
          </w:p>
        </w:tc>
        <w:tc>
          <w:tcPr>
            <w:tcW w:w="2118" w:type="dxa"/>
          </w:tcPr>
          <w:p w14:paraId="5E0453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мотора</w:t>
            </w:r>
          </w:p>
        </w:tc>
        <w:tc>
          <w:tcPr>
            <w:tcW w:w="2118" w:type="dxa"/>
          </w:tcPr>
          <w:p w14:paraId="670F36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срочно</w:t>
            </w:r>
          </w:p>
        </w:tc>
      </w:tr>
      <w:tr w:rsidR="00CB5308" w:rsidRPr="00070ADE" w14:paraId="74BA28B3" w14:textId="77777777">
        <w:tc>
          <w:tcPr>
            <w:tcW w:w="4219" w:type="dxa"/>
          </w:tcPr>
          <w:p w14:paraId="489BA9E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АМ-39А -"- 0,59</w:t>
            </w:r>
          </w:p>
        </w:tc>
        <w:tc>
          <w:tcPr>
            <w:tcW w:w="2118" w:type="dxa"/>
          </w:tcPr>
          <w:p w14:paraId="16D267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мотора</w:t>
            </w:r>
          </w:p>
        </w:tc>
        <w:tc>
          <w:tcPr>
            <w:tcW w:w="2118" w:type="dxa"/>
          </w:tcPr>
          <w:p w14:paraId="20DA60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1 марта 1944 года</w:t>
            </w:r>
          </w:p>
        </w:tc>
      </w:tr>
      <w:tr w:rsidR="00CB5308" w:rsidRPr="00070ADE" w14:paraId="1C97553F" w14:textId="77777777">
        <w:tc>
          <w:tcPr>
            <w:tcW w:w="4219" w:type="dxa"/>
          </w:tcPr>
          <w:p w14:paraId="24B852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Заводу N 156 (Туполеву)</w:t>
            </w:r>
          </w:p>
        </w:tc>
        <w:tc>
          <w:tcPr>
            <w:tcW w:w="2118" w:type="dxa"/>
          </w:tcPr>
          <w:p w14:paraId="4E51A6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18" w:type="dxa"/>
          </w:tcPr>
          <w:p w14:paraId="2D6BD3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5EDC3A7" w14:textId="77777777">
        <w:tc>
          <w:tcPr>
            <w:tcW w:w="4219" w:type="dxa"/>
          </w:tcPr>
          <w:p w14:paraId="74AE24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АМ-39 с ред 0,59</w:t>
            </w:r>
          </w:p>
        </w:tc>
        <w:tc>
          <w:tcPr>
            <w:tcW w:w="2118" w:type="dxa"/>
          </w:tcPr>
          <w:p w14:paraId="57CABC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мотора</w:t>
            </w:r>
          </w:p>
        </w:tc>
        <w:tc>
          <w:tcPr>
            <w:tcW w:w="2118" w:type="dxa"/>
          </w:tcPr>
          <w:p w14:paraId="179B8F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срочно</w:t>
            </w:r>
          </w:p>
        </w:tc>
      </w:tr>
      <w:tr w:rsidR="00CB5308" w:rsidRPr="00070ADE" w14:paraId="6C8BF491" w14:textId="77777777">
        <w:tc>
          <w:tcPr>
            <w:tcW w:w="4219" w:type="dxa"/>
          </w:tcPr>
          <w:p w14:paraId="4D77B2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АМ-39 с ред 0,59</w:t>
            </w:r>
          </w:p>
        </w:tc>
        <w:tc>
          <w:tcPr>
            <w:tcW w:w="2118" w:type="dxa"/>
          </w:tcPr>
          <w:p w14:paraId="04158FE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мотор</w:t>
            </w:r>
          </w:p>
        </w:tc>
        <w:tc>
          <w:tcPr>
            <w:tcW w:w="2118" w:type="dxa"/>
          </w:tcPr>
          <w:p w14:paraId="4A3EF6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февраля 1944 года</w:t>
            </w:r>
          </w:p>
        </w:tc>
      </w:tr>
      <w:tr w:rsidR="00CB5308" w:rsidRPr="00070ADE" w14:paraId="79DDE1BA" w14:textId="77777777">
        <w:tc>
          <w:tcPr>
            <w:tcW w:w="4219" w:type="dxa"/>
          </w:tcPr>
          <w:p w14:paraId="503244F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Заводу N 155 (Микояну)</w:t>
            </w:r>
          </w:p>
        </w:tc>
        <w:tc>
          <w:tcPr>
            <w:tcW w:w="2118" w:type="dxa"/>
          </w:tcPr>
          <w:p w14:paraId="338C1C3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18" w:type="dxa"/>
          </w:tcPr>
          <w:p w14:paraId="2123EA3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74B4167" w14:textId="77777777">
        <w:tc>
          <w:tcPr>
            <w:tcW w:w="4219" w:type="dxa"/>
          </w:tcPr>
          <w:p w14:paraId="502985E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Ам-39 с воздухо-воздушными радиаторами</w:t>
            </w:r>
          </w:p>
        </w:tc>
        <w:tc>
          <w:tcPr>
            <w:tcW w:w="2118" w:type="dxa"/>
          </w:tcPr>
          <w:p w14:paraId="6403713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18" w:type="dxa"/>
          </w:tcPr>
          <w:p w14:paraId="731A69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983EE9C" w14:textId="77777777">
        <w:tc>
          <w:tcPr>
            <w:tcW w:w="4219" w:type="dxa"/>
          </w:tcPr>
          <w:p w14:paraId="7D18FF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ред 0,59</w:t>
            </w:r>
          </w:p>
        </w:tc>
        <w:tc>
          <w:tcPr>
            <w:tcW w:w="2118" w:type="dxa"/>
          </w:tcPr>
          <w:p w14:paraId="430658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мотора</w:t>
            </w:r>
          </w:p>
        </w:tc>
        <w:tc>
          <w:tcPr>
            <w:tcW w:w="2118" w:type="dxa"/>
          </w:tcPr>
          <w:p w14:paraId="657C38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1 февраля 1944 года</w:t>
            </w:r>
          </w:p>
        </w:tc>
      </w:tr>
      <w:tr w:rsidR="00CB5308" w:rsidRPr="00070ADE" w14:paraId="6D7D0B22" w14:textId="77777777">
        <w:tc>
          <w:tcPr>
            <w:tcW w:w="4219" w:type="dxa"/>
          </w:tcPr>
          <w:p w14:paraId="0565D5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АМ-39 с ред 0,59</w:t>
            </w:r>
          </w:p>
        </w:tc>
        <w:tc>
          <w:tcPr>
            <w:tcW w:w="2118" w:type="dxa"/>
          </w:tcPr>
          <w:p w14:paraId="2EC8E2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мотора</w:t>
            </w:r>
          </w:p>
        </w:tc>
        <w:tc>
          <w:tcPr>
            <w:tcW w:w="2118" w:type="dxa"/>
          </w:tcPr>
          <w:p w14:paraId="6BB3D8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требуются</w:t>
            </w:r>
          </w:p>
        </w:tc>
      </w:tr>
      <w:tr w:rsidR="005106D0" w:rsidRPr="00070ADE" w14:paraId="62A06306" w14:textId="77777777">
        <w:tc>
          <w:tcPr>
            <w:tcW w:w="4219" w:type="dxa"/>
          </w:tcPr>
          <w:p w14:paraId="7121148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АМ-39 с ред 0,732</w:t>
            </w:r>
          </w:p>
        </w:tc>
        <w:tc>
          <w:tcPr>
            <w:tcW w:w="2118" w:type="dxa"/>
          </w:tcPr>
          <w:p w14:paraId="1D1E79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мотор</w:t>
            </w:r>
          </w:p>
        </w:tc>
        <w:tc>
          <w:tcPr>
            <w:tcW w:w="2118" w:type="dxa"/>
          </w:tcPr>
          <w:p w14:paraId="352835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срочно (1825,7)</w:t>
            </w:r>
          </w:p>
        </w:tc>
      </w:tr>
    </w:tbl>
    <w:p w14:paraId="3E03BE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C1BEC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г. по приказу № 13с ОКБ -250 введено в состав завода № 36.</w:t>
      </w:r>
    </w:p>
    <w:p w14:paraId="13C0C9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25.06.1946 г. получило название ОКБ-36-1 при заводе № 36. С 1947 г. получило название Щербаковское предприятие п/я 106 - ОКБ-36 МАП, с 1957 г.- Рыбинское предприятие п/я 106 - ОКБ-36 МАП. В 08.1957 г.- в ведении ЗГУ МАП.</w:t>
      </w:r>
    </w:p>
    <w:p w14:paraId="65F3EC3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 правительства от 1.04.1952 г. ОКБ выдано задание на разработку ВД-5. Пост, от 6.07.1952 г. выдано задание на разработку ВД-7. Пост. СМ СССР от 30.07.1954 г. задавалось создание на базе ВД-5 двигателей ВД-5М и ВД-5Ф, пост, от 07.1955 г. их разработка прекращена в пользу ВД-7.</w:t>
      </w:r>
    </w:p>
    <w:p w14:paraId="59B8E9E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1.10.1966 г.- РКБМ (по приказу от 30.04.1966 г.), А-7970 (А-7470) (1967-69 г.), в 1984-89г,- Андроповское КБМ (АКБМ). С 1.12.1992 г.- АООТ «РКБМ», с 1996 г.- ОАО. 28.02.1997 г. влилось в ОАО «Рыбинские моторы». Численность работников (весна 1952 г.)- 1500 чел.</w:t>
      </w:r>
    </w:p>
    <w:p w14:paraId="25F1C4B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(11.1941-56 г.)- В.А. Добрынин {28.05.1895-78 г.}, (1960-84 г.)- П.А. Колесов {1915-}, (1984- 88 г.)- В.И. Галигузов, (1988-97 г.)- А.С. Новиков, М.Л. Кузменко. Ген. конструктор (12.1956-60 г.)- В.А. Добрынин {28.05.1895-78 г.}, (1966 г.-)- С.А. Гаврилов {1914-83 г.}.</w:t>
      </w:r>
    </w:p>
    <w:p w14:paraId="471488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Ответственный руководитель (1943-60 г.)- В.А. Добрынин, (1960-84 г.)- П.А. Колесов, (1984-88 г.)- В.И. Галигузов. Гендиректор (1994-98 г.)- А.С. Новиков.</w:t>
      </w:r>
    </w:p>
    <w:p w14:paraId="79B655A9" w14:textId="7322A628"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зам. гл. конструктора (1986 г.-)- А.С. Новиков. Зам. гл. конструктора (1944-46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Г.С. Скубачевский, (1950- е)- Е.М. Бермант; по расчетно-исследовательским работам (1984 г.-)- А.С. Новиков. Гл. конструкторы: (1962-66 г.)- С.А. Гаврилов, (1979 г.)- А.Л. Дынкин (РД-38). Начальник КО (1950-е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В.Н. Кувыркин.</w:t>
      </w:r>
    </w:p>
    <w:p w14:paraId="63013D2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авиационные двигатели ВД-ЗТК (М-251ТК, 1948), ВД-4К (М-253К, 1952), ВД-5 (1954), ВД-7 (1957), ВД-7М (1960), ВД-19 (1963), РД-7М2 (1963), РД36-35 (1964), РД36-41 (1968), РД36-51 (1969), РД-38 для Як-38 (1980), РД-41 (1982), РД-43, РД-51, РД-600В (1988), ТВД-1500 (1991), PM3-320; ТРДЦ для БПЛА 36, 36МТ (2001); судовой дизель Д65А-С, дизели для экскаваторов Д65П, Д75П; маломощный авиационный дизель ДН-200 (1991) (11982).</w:t>
      </w:r>
    </w:p>
    <w:p w14:paraId="4193549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C20D56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5 января 1944 г. Казанская шарашка на заводе № 16 прекратила свое существование. На основании приказа по МАП № 00446/262 от 18.06.44 г. начальник ОКБ 4-го Спецотдела НКВД СССР на заводе № 16 Бекетов В. А. передал директору завода № 16 Лукину М. М.: </w:t>
      </w:r>
    </w:p>
    <w:p w14:paraId="22A7EB9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 Группу работников реактивных двигателей в количестве 85 человек, завершивших впервые в СССР плановое задание по созданию опытных образцов нового типа авиационных двигателей - реактивного двигателя РД-1 с тягой 300 кг. </w:t>
      </w:r>
    </w:p>
    <w:p w14:paraId="1F0606E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 Группу работников в количестве 150 человек по созданию опытных образцов, 24-цилиндровый бензиновый двигателей мощностью 2200 л. с. МБ-100 и МБ-102. Двигатели требовали дальнейшей доводки. </w:t>
      </w:r>
    </w:p>
    <w:p w14:paraId="4542A55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3. Группа работников по созданию дизельных двигателей изъята из структуры завода № 16 и направлена на Тушинский авиамоторный завод № 82. </w:t>
      </w:r>
    </w:p>
    <w:p w14:paraId="28CE4FB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Директором завода № 16 М. М. Лукиным были продолжены работы, начатые под руководством ОКБ 4-го Спецотдела НКВД СССР. </w:t>
      </w:r>
    </w:p>
    <w:p w14:paraId="0DD4765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декабре 1944 г. на заводе № 16 была проведена реорганизация. На базе группы реактивных двигателей было создано ОКБ специальных двигателей - ОКБ СД. В секретных документах его называли ОКБ реактивных двигателей - ОКБ РД. Главным конструктором назначили Глушко, а Королев стал его заместителем. </w:t>
      </w:r>
    </w:p>
    <w:p w14:paraId="2ACCF28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Первоначально Королев работал по отработке и испытанию двигателей РД-1ХЗ. Его группа состояла из четырех бригад, включавших 16 человек. Пять человек были специалисты 4-го Спецотдела НКВД Тушинского ОТБ-82, а остальные одиннадцать - вольнонаемные. </w:t>
      </w:r>
    </w:p>
    <w:p w14:paraId="1380CF6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достигнутые успехи Глушко включил Королева в сталинский приказ об освобождении и награждении орденом "Знак Почета" (12107).</w:t>
      </w:r>
    </w:p>
    <w:p w14:paraId="4FA087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C8547A3" w14:textId="2702B98C"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Казанская шарашка на заводе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16 прекратила свое существование. На основании приказа по МАП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00446/262 от 18.06.44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начальник ОКБ 4-го Спецотдела НКВД СССР на заводе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16 Бекетов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 передал директору завода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16 Лукину 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w:t>
      </w:r>
    </w:p>
    <w:p w14:paraId="001A2577" w14:textId="006BEC81"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Группу работников реактивных двигателей в количестве 85 человек, завершивших впервые в СССР плановое задание по созданию опытных образцов нового типа авиационных двигателей — реактивного двигателя РД-1 с тягой 300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кг. </w:t>
      </w:r>
    </w:p>
    <w:p w14:paraId="061BF344" w14:textId="05EC338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Группу работников в количестве 150 человек по созданию опытных образцов, 24-цилиндровый бензиновый двигателей мощностью 2200 л.</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с. МБ-100 и МБ-102. Двигатели требовали дальнейшей доводки. </w:t>
      </w:r>
    </w:p>
    <w:p w14:paraId="7950318C" w14:textId="1EFB1E68"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Группа работников по созданию дизельных двигателей изъята из структуры завода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16 и направлена на Тушинский авиамоторный завод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82.</w:t>
      </w:r>
    </w:p>
    <w:p w14:paraId="1489B8C4" w14:textId="04467F3B"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Директором завода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16 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Лукиным были продолжены работы, начатые под руководством ОКБ 4-го Спецотдела НКВД СССР (18668).</w:t>
      </w:r>
    </w:p>
    <w:p w14:paraId="0281EFEE" w14:textId="77777777" w:rsidR="0059774D" w:rsidRPr="00070ADE" w:rsidRDefault="0059774D" w:rsidP="00B56F90">
      <w:pPr>
        <w:spacing w:after="0" w:line="240" w:lineRule="auto"/>
        <w:jc w:val="both"/>
        <w:rPr>
          <w:rFonts w:ascii="Times New Roman" w:hAnsi="Times New Roman"/>
          <w:color w:val="000000" w:themeColor="text1"/>
          <w:sz w:val="16"/>
          <w:szCs w:val="16"/>
        </w:rPr>
      </w:pPr>
    </w:p>
    <w:p w14:paraId="4DDE1D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вышел приказ НКАП N 12сс об организации на площадях винтового производства 150 завода в Ступино опытного завода 25 с директором М.С.Бондалетовым (1665,9).</w:t>
      </w:r>
    </w:p>
    <w:p w14:paraId="5D2B39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8 ГУ на площадях з-да 150, ранее занимаемой винтомоторным пр-вом, организовать на основе объединения ОКБ з-в 28, 35 и 132 опытный з-д по пр-ву новых винтов и регуляторов ВИШ, присвоив данному з-ду № 25 (Ступино).</w:t>
      </w:r>
    </w:p>
    <w:p w14:paraId="5E56C63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Назначить директором з-да № 25 М.С.Бондалетова (1665, 9-10).</w:t>
      </w:r>
    </w:p>
    <w:p w14:paraId="41FE44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A547F9" w14:textId="153854A2"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г. в соответствии с приказом № 12с 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Ступино на площадке бывшего завода № 150 НКАП из переведенных сюда ОКБ завода № 35, ОКБ завода № 28 и ОКБ завода № 132 НКАП в 8ГУ НКАП.</w:t>
      </w:r>
    </w:p>
    <w:p w14:paraId="29C70C4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05.1944 г. продолжена работа по автоматам совместного управления винтом и газом («ВГ») конструкции ЦИАМ.</w:t>
      </w:r>
    </w:p>
    <w:p w14:paraId="542FAE9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НКАП № 161с от 20.04.1945 г. завод № 25 объединен с заводом № 150 НКАП 9ГУ. Основной состав коллектива влился в ОКБ завода № 150 НКАП.</w:t>
      </w:r>
    </w:p>
    <w:p w14:paraId="44493DF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(1944 г.-)- М.С. Бондалетов.</w:t>
      </w:r>
    </w:p>
    <w:p w14:paraId="48DB94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(1944 г.-)- Д.М. Дубровский.</w:t>
      </w:r>
    </w:p>
    <w:p w14:paraId="2AD66C0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(1944 г.-)- К.И. Жданов.</w:t>
      </w:r>
    </w:p>
    <w:p w14:paraId="7EFB18A3" w14:textId="6207357C"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конструктора: по НИР (1944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Г.И. Кузьмин; по винтам (1944 г.-)- Н.Н. Петров; по регуляторам (1944 г.-)- А.Н. Петелин (11982).</w:t>
      </w:r>
    </w:p>
    <w:p w14:paraId="01ED2C17" w14:textId="77777777" w:rsidR="00414BE3" w:rsidRPr="00070ADE" w:rsidRDefault="00414BE3" w:rsidP="00B56F90">
      <w:pPr>
        <w:autoSpaceDE w:val="0"/>
        <w:autoSpaceDN w:val="0"/>
        <w:adjustRightInd w:val="0"/>
        <w:spacing w:after="0" w:line="240" w:lineRule="auto"/>
        <w:jc w:val="both"/>
        <w:rPr>
          <w:rFonts w:ascii="Times New Roman" w:hAnsi="Times New Roman"/>
          <w:color w:val="000000" w:themeColor="text1"/>
          <w:sz w:val="16"/>
          <w:szCs w:val="16"/>
        </w:rPr>
      </w:pPr>
    </w:p>
    <w:p w14:paraId="02C12009" w14:textId="776C29F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г. по приказу НКАП № 12с коллектив ОКБ завода № 35 переведен 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Ступино и влит в состав вновь образованного Завода № 25 НКАП.</w:t>
      </w:r>
    </w:p>
    <w:p w14:paraId="45F6BD2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(-01.1944 г.)- К.И. Жданов. Зам. гл. конструктора (-01.1944 г.)- Д.М. Дубровский (11982).</w:t>
      </w:r>
    </w:p>
    <w:p w14:paraId="25C387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93B122F" w14:textId="1E91840D"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5 января 1944 г. ОКБ гл. конструктора</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Г.И. Кузмина завода № 28 было влито в состав вновь образованного опытного завода № 25 НКАГ1 в Ступино.</w:t>
      </w:r>
    </w:p>
    <w:p w14:paraId="4A357B93" w14:textId="0BC44E65"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(04.1941-01.1944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Г.И. Кузмин.</w:t>
      </w:r>
    </w:p>
    <w:p w14:paraId="00D2A2D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конструктора (04.1941-01.1944 г.)- Н.Н. Петров.</w:t>
      </w:r>
    </w:p>
    <w:p w14:paraId="2BBD4C20" w14:textId="77777777" w:rsidR="00414BE3" w:rsidRPr="00070ADE" w:rsidRDefault="00414BE3"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1E2871" w14:textId="77777777" w:rsidR="00DF6978" w:rsidRPr="00070ADE" w:rsidRDefault="00DF6978"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вышло Постановление ГКО № 4891 О выпуске опытной серии радиолокационной аппаратуры для ночных истребителей. (7167, 170-171, 172-178).</w:t>
      </w:r>
    </w:p>
    <w:p w14:paraId="58023A99" w14:textId="77777777" w:rsidR="00DF6978" w:rsidRPr="00070ADE" w:rsidRDefault="00DF6978"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8EE2F9" w14:textId="7280213B" w:rsidR="00DF6978" w:rsidRPr="00070ADE" w:rsidRDefault="00DF6978" w:rsidP="00B56F90">
      <w:pPr>
        <w:spacing w:after="0" w:line="240" w:lineRule="auto"/>
        <w:jc w:val="both"/>
        <w:rPr>
          <w:rFonts w:ascii="Times New Roman" w:eastAsia="Arial Unicode MS" w:hAnsi="Times New Roman"/>
          <w:color w:val="000000" w:themeColor="text1"/>
          <w:sz w:val="16"/>
          <w:szCs w:val="16"/>
        </w:rPr>
      </w:pPr>
      <w:r w:rsidRPr="00070ADE">
        <w:rPr>
          <w:rFonts w:ascii="Times New Roman" w:eastAsia="Arial Unicode MS" w:hAnsi="Times New Roman"/>
          <w:color w:val="000000" w:themeColor="text1"/>
          <w:sz w:val="16"/>
          <w:szCs w:val="16"/>
        </w:rPr>
        <w:t>5 января 1944 г.</w:t>
      </w:r>
      <w:r w:rsidR="00C63BA9">
        <w:rPr>
          <w:rFonts w:ascii="Times New Roman" w:eastAsia="Arial Unicode MS" w:hAnsi="Times New Roman"/>
          <w:color w:val="000000" w:themeColor="text1"/>
          <w:sz w:val="16"/>
          <w:szCs w:val="16"/>
        </w:rPr>
        <w:t xml:space="preserve"> </w:t>
      </w:r>
      <w:r w:rsidRPr="00070ADE">
        <w:rPr>
          <w:rFonts w:ascii="Times New Roman" w:eastAsia="Arial Unicode MS" w:hAnsi="Times New Roman"/>
          <w:color w:val="000000" w:themeColor="text1"/>
          <w:sz w:val="16"/>
          <w:szCs w:val="16"/>
        </w:rPr>
        <w:t>ГОСУДАРСТВЕННЫЙ КОМИТЕТ ОБОРОНЫ ПОСТАНОВЛЕНИЕ № ГКО-4891сс</w:t>
      </w:r>
    </w:p>
    <w:p w14:paraId="4CA65574" w14:textId="77777777" w:rsidR="00DF6978" w:rsidRPr="00070ADE" w:rsidRDefault="00DF6978" w:rsidP="00B56F90">
      <w:pPr>
        <w:spacing w:after="0" w:line="240" w:lineRule="auto"/>
        <w:jc w:val="both"/>
        <w:rPr>
          <w:rFonts w:ascii="Times New Roman" w:eastAsia="Arial Unicode MS" w:hAnsi="Times New Roman"/>
          <w:color w:val="000000" w:themeColor="text1"/>
          <w:sz w:val="16"/>
          <w:szCs w:val="16"/>
        </w:rPr>
      </w:pPr>
      <w:r w:rsidRPr="00070ADE">
        <w:rPr>
          <w:rFonts w:ascii="Times New Roman" w:eastAsia="Arial Unicode MS" w:hAnsi="Times New Roman"/>
          <w:color w:val="000000" w:themeColor="text1"/>
          <w:sz w:val="16"/>
          <w:szCs w:val="16"/>
        </w:rPr>
        <w:t xml:space="preserve">г. Москва, Кремль </w:t>
      </w:r>
    </w:p>
    <w:p w14:paraId="24292BAB" w14:textId="77777777" w:rsidR="00DF6978" w:rsidRPr="00070ADE" w:rsidRDefault="00DF6978" w:rsidP="00B56F90">
      <w:pPr>
        <w:spacing w:after="0" w:line="240" w:lineRule="auto"/>
        <w:jc w:val="both"/>
        <w:rPr>
          <w:rFonts w:ascii="Times New Roman" w:eastAsia="Arial Unicode MS" w:hAnsi="Times New Roman"/>
          <w:color w:val="000000" w:themeColor="text1"/>
          <w:sz w:val="16"/>
          <w:szCs w:val="16"/>
        </w:rPr>
      </w:pPr>
      <w:r w:rsidRPr="00070ADE">
        <w:rPr>
          <w:rFonts w:ascii="Times New Roman" w:eastAsia="Arial Unicode MS" w:hAnsi="Times New Roman"/>
          <w:color w:val="000000" w:themeColor="text1"/>
          <w:sz w:val="16"/>
          <w:szCs w:val="16"/>
        </w:rPr>
        <w:t>О выпуске опытной серии радиолокационной аппаратуры для ночных истребителей</w:t>
      </w:r>
    </w:p>
    <w:p w14:paraId="5A7D0182" w14:textId="77777777" w:rsidR="00DF6978" w:rsidRPr="00070ADE" w:rsidRDefault="00DF6978" w:rsidP="00B56F90">
      <w:pPr>
        <w:spacing w:after="0" w:line="240" w:lineRule="auto"/>
        <w:jc w:val="both"/>
        <w:rPr>
          <w:rFonts w:ascii="Times New Roman" w:eastAsia="Arial Unicode MS" w:hAnsi="Times New Roman"/>
          <w:color w:val="000000" w:themeColor="text1"/>
          <w:sz w:val="16"/>
          <w:szCs w:val="16"/>
        </w:rPr>
      </w:pPr>
      <w:r w:rsidRPr="00070ADE">
        <w:rPr>
          <w:rFonts w:ascii="Times New Roman" w:eastAsia="Arial Unicode MS" w:hAnsi="Times New Roman"/>
          <w:color w:val="000000" w:themeColor="text1"/>
          <w:sz w:val="16"/>
          <w:szCs w:val="16"/>
        </w:rPr>
        <w:t>Государственный Комитет Обороны постановляет:</w:t>
      </w:r>
    </w:p>
    <w:p w14:paraId="08AFAF86" w14:textId="77777777" w:rsidR="00DF6978" w:rsidRPr="00070ADE" w:rsidRDefault="00DF6978" w:rsidP="00B56F90">
      <w:pPr>
        <w:spacing w:after="0" w:line="240" w:lineRule="auto"/>
        <w:jc w:val="both"/>
        <w:rPr>
          <w:rFonts w:ascii="Times New Roman" w:eastAsia="Arial Unicode MS" w:hAnsi="Times New Roman"/>
          <w:color w:val="000000" w:themeColor="text1"/>
          <w:sz w:val="16"/>
          <w:szCs w:val="16"/>
        </w:rPr>
      </w:pPr>
      <w:r w:rsidRPr="00070ADE">
        <w:rPr>
          <w:rFonts w:ascii="Times New Roman" w:eastAsia="Arial Unicode MS" w:hAnsi="Times New Roman"/>
          <w:color w:val="000000" w:themeColor="text1"/>
          <w:sz w:val="16"/>
          <w:szCs w:val="16"/>
        </w:rPr>
        <w:t xml:space="preserve">1. Обязать Наркомат внутренних дел Союза ССР (т. Берия): </w:t>
      </w:r>
    </w:p>
    <w:p w14:paraId="56ED4C3E" w14:textId="77777777" w:rsidR="00DF6978" w:rsidRPr="00070ADE" w:rsidRDefault="00DF6978" w:rsidP="00B56F90">
      <w:pPr>
        <w:spacing w:after="0" w:line="240" w:lineRule="auto"/>
        <w:jc w:val="both"/>
        <w:rPr>
          <w:rFonts w:ascii="Times New Roman" w:eastAsia="Arial Unicode MS" w:hAnsi="Times New Roman"/>
          <w:color w:val="000000" w:themeColor="text1"/>
          <w:sz w:val="16"/>
          <w:szCs w:val="16"/>
        </w:rPr>
      </w:pPr>
      <w:r w:rsidRPr="00070ADE">
        <w:rPr>
          <w:rFonts w:ascii="Times New Roman" w:eastAsia="Arial Unicode MS" w:hAnsi="Times New Roman"/>
          <w:color w:val="000000" w:themeColor="text1"/>
          <w:sz w:val="16"/>
          <w:szCs w:val="16"/>
        </w:rPr>
        <w:t xml:space="preserve">а) изготовить по тактико-техническим условиям Авиации Дальнего Действия 10 комплектов радиолокационной аппаратуры типа "ПНБ", разработанной 4-м Спецотделом НКВД, в следующие сроки: 5 комплектов аппаратов к 30 апреля 1944 г. и 5 комплектов аппаратов к 30 мая 1944 г.; </w:t>
      </w:r>
    </w:p>
    <w:p w14:paraId="6892D8F0" w14:textId="77777777" w:rsidR="00DF6978" w:rsidRPr="00070ADE" w:rsidRDefault="00DF6978" w:rsidP="00B56F90">
      <w:pPr>
        <w:spacing w:after="0" w:line="240" w:lineRule="auto"/>
        <w:jc w:val="both"/>
        <w:rPr>
          <w:rFonts w:ascii="Times New Roman" w:eastAsia="Arial Unicode MS" w:hAnsi="Times New Roman"/>
          <w:color w:val="000000" w:themeColor="text1"/>
          <w:sz w:val="16"/>
          <w:szCs w:val="16"/>
        </w:rPr>
      </w:pPr>
      <w:r w:rsidRPr="00070ADE">
        <w:rPr>
          <w:rFonts w:ascii="Times New Roman" w:eastAsia="Arial Unicode MS" w:hAnsi="Times New Roman"/>
          <w:color w:val="000000" w:themeColor="text1"/>
          <w:sz w:val="16"/>
          <w:szCs w:val="16"/>
        </w:rPr>
        <w:t xml:space="preserve">б) разработать и изготовить до июля 1944 года два новых образца радиолокационных аппаратов с использованием дециметрового диапазона волн (50 см.) </w:t>
      </w:r>
    </w:p>
    <w:p w14:paraId="64995709" w14:textId="4B98E0F5" w:rsidR="00DF6978" w:rsidRPr="00070ADE" w:rsidRDefault="00DF6978" w:rsidP="00B56F90">
      <w:pPr>
        <w:spacing w:after="0" w:line="240" w:lineRule="auto"/>
        <w:jc w:val="both"/>
        <w:rPr>
          <w:rFonts w:ascii="Times New Roman" w:eastAsia="Arial Unicode MS" w:hAnsi="Times New Roman"/>
          <w:color w:val="000000" w:themeColor="text1"/>
          <w:sz w:val="16"/>
          <w:szCs w:val="16"/>
        </w:rPr>
      </w:pPr>
      <w:r w:rsidRPr="00070ADE">
        <w:rPr>
          <w:rFonts w:ascii="Times New Roman" w:eastAsia="Arial Unicode MS" w:hAnsi="Times New Roman"/>
          <w:color w:val="000000" w:themeColor="text1"/>
          <w:sz w:val="16"/>
          <w:szCs w:val="16"/>
        </w:rPr>
        <w:t>2. Обязать Наркомэлектропром (т. Кабанова) поставить Наркомату внутренних дел детали, полуфабрикаты и узлы в количествах и в сроки, согласно приложению № 1</w:t>
      </w:r>
      <w:r w:rsidR="00B643A8" w:rsidRPr="00070ADE">
        <w:rPr>
          <w:rFonts w:ascii="Times New Roman" w:eastAsia="Arial Unicode MS" w:hAnsi="Times New Roman"/>
          <w:color w:val="000000" w:themeColor="text1"/>
          <w:sz w:val="16"/>
          <w:szCs w:val="16"/>
        </w:rPr>
        <w:t xml:space="preserve"> </w:t>
      </w:r>
      <w:hyperlink r:id="rId15" w:anchor="1" w:history="1">
        <w:r w:rsidRPr="00070ADE">
          <w:rPr>
            <w:rStyle w:val="a5"/>
            <w:rFonts w:ascii="Times New Roman" w:eastAsia="Arial Unicode MS" w:hAnsi="Times New Roman"/>
            <w:color w:val="000000" w:themeColor="text1"/>
            <w:sz w:val="16"/>
            <w:szCs w:val="16"/>
            <w:u w:val="none"/>
          </w:rPr>
          <w:t>*</w:t>
        </w:r>
      </w:hyperlink>
      <w:r w:rsidRPr="00070ADE">
        <w:rPr>
          <w:rFonts w:ascii="Times New Roman" w:eastAsia="Arial Unicode MS" w:hAnsi="Times New Roman"/>
          <w:color w:val="000000" w:themeColor="text1"/>
          <w:sz w:val="16"/>
          <w:szCs w:val="16"/>
        </w:rPr>
        <w:t xml:space="preserve">. </w:t>
      </w:r>
    </w:p>
    <w:p w14:paraId="69ACEB07" w14:textId="77777777" w:rsidR="00DF6978" w:rsidRPr="00070ADE" w:rsidRDefault="00DF6978" w:rsidP="00B56F90">
      <w:pPr>
        <w:spacing w:after="0" w:line="240" w:lineRule="auto"/>
        <w:jc w:val="both"/>
        <w:rPr>
          <w:rFonts w:ascii="Times New Roman" w:eastAsia="Arial Unicode MS" w:hAnsi="Times New Roman"/>
          <w:color w:val="000000" w:themeColor="text1"/>
          <w:sz w:val="16"/>
          <w:szCs w:val="16"/>
        </w:rPr>
      </w:pPr>
      <w:r w:rsidRPr="00070ADE">
        <w:rPr>
          <w:rFonts w:ascii="Times New Roman" w:eastAsia="Arial Unicode MS" w:hAnsi="Times New Roman"/>
          <w:color w:val="000000" w:themeColor="text1"/>
          <w:sz w:val="16"/>
          <w:szCs w:val="16"/>
        </w:rPr>
        <w:t xml:space="preserve">3. Обязать Наркомавиапром (т. Шахурина) поставить Наркомату внутренних дел радиомашины и электроизмерительные приборы в количествах и в сроки, согласно приложению № 2. </w:t>
      </w:r>
    </w:p>
    <w:p w14:paraId="29C167ED" w14:textId="77777777" w:rsidR="00DF6978" w:rsidRPr="00070ADE" w:rsidRDefault="00DF6978" w:rsidP="00B56F90">
      <w:pPr>
        <w:spacing w:after="0" w:line="240" w:lineRule="auto"/>
        <w:jc w:val="both"/>
        <w:rPr>
          <w:rFonts w:ascii="Times New Roman" w:eastAsia="Arial Unicode MS" w:hAnsi="Times New Roman"/>
          <w:color w:val="000000" w:themeColor="text1"/>
          <w:sz w:val="16"/>
          <w:szCs w:val="16"/>
        </w:rPr>
      </w:pPr>
      <w:r w:rsidRPr="00070ADE">
        <w:rPr>
          <w:rFonts w:ascii="Times New Roman" w:eastAsia="Arial Unicode MS" w:hAnsi="Times New Roman"/>
          <w:color w:val="000000" w:themeColor="text1"/>
          <w:sz w:val="16"/>
          <w:szCs w:val="16"/>
        </w:rPr>
        <w:t xml:space="preserve">4. Обязать Наркомат внешней торговли (т. Микояна) из первых импортных поступлений выделить и поставить Наркомату внутренних дел станки, согласно приложению № 3, а также выявлить инструмент на сумму 6000 долларов. </w:t>
      </w:r>
    </w:p>
    <w:p w14:paraId="7BBCB6A7" w14:textId="77777777" w:rsidR="00DF6978" w:rsidRPr="00070ADE" w:rsidRDefault="00DF6978" w:rsidP="00B56F90">
      <w:pPr>
        <w:spacing w:after="0" w:line="240" w:lineRule="auto"/>
        <w:jc w:val="both"/>
        <w:rPr>
          <w:rFonts w:ascii="Times New Roman" w:eastAsia="Arial Unicode MS" w:hAnsi="Times New Roman"/>
          <w:color w:val="000000" w:themeColor="text1"/>
          <w:sz w:val="16"/>
          <w:szCs w:val="16"/>
        </w:rPr>
      </w:pPr>
      <w:r w:rsidRPr="00070ADE">
        <w:rPr>
          <w:rFonts w:ascii="Times New Roman" w:eastAsia="Arial Unicode MS" w:hAnsi="Times New Roman"/>
          <w:color w:val="000000" w:themeColor="text1"/>
          <w:sz w:val="16"/>
          <w:szCs w:val="16"/>
        </w:rPr>
        <w:t xml:space="preserve">5. Обязать Наркомат по станкостроению (т. Ефремова) поставить Наркомату внутренних дел в 1 квартале 1944 г. целевым назначением станки, согласно приложению № 4. </w:t>
      </w:r>
    </w:p>
    <w:p w14:paraId="11B8106B" w14:textId="77777777" w:rsidR="00DF6978" w:rsidRPr="00070ADE" w:rsidRDefault="00DF6978" w:rsidP="00B56F90">
      <w:pPr>
        <w:spacing w:after="0" w:line="240" w:lineRule="auto"/>
        <w:jc w:val="both"/>
        <w:rPr>
          <w:rFonts w:ascii="Times New Roman" w:eastAsia="Arial Unicode MS" w:hAnsi="Times New Roman"/>
          <w:color w:val="000000" w:themeColor="text1"/>
          <w:sz w:val="16"/>
          <w:szCs w:val="16"/>
        </w:rPr>
      </w:pPr>
      <w:r w:rsidRPr="00070ADE">
        <w:rPr>
          <w:rFonts w:ascii="Times New Roman" w:eastAsia="Arial Unicode MS" w:hAnsi="Times New Roman"/>
          <w:color w:val="000000" w:themeColor="text1"/>
          <w:sz w:val="16"/>
          <w:szCs w:val="16"/>
        </w:rPr>
        <w:t xml:space="preserve">6. Обязать Командующего Авиацией Дальнего Действия ВВС КА Маршала Авиации т. Голованова: </w:t>
      </w:r>
    </w:p>
    <w:p w14:paraId="5D5A9423" w14:textId="77777777" w:rsidR="00DF6978" w:rsidRPr="00070ADE" w:rsidRDefault="00DF6978" w:rsidP="00B56F90">
      <w:pPr>
        <w:spacing w:after="0" w:line="240" w:lineRule="auto"/>
        <w:jc w:val="both"/>
        <w:rPr>
          <w:rFonts w:ascii="Times New Roman" w:eastAsia="Arial Unicode MS" w:hAnsi="Times New Roman"/>
          <w:color w:val="000000" w:themeColor="text1"/>
          <w:sz w:val="16"/>
          <w:szCs w:val="16"/>
        </w:rPr>
      </w:pPr>
      <w:r w:rsidRPr="00070ADE">
        <w:rPr>
          <w:rFonts w:ascii="Times New Roman" w:eastAsia="Arial Unicode MS" w:hAnsi="Times New Roman"/>
          <w:color w:val="000000" w:themeColor="text1"/>
          <w:sz w:val="16"/>
          <w:szCs w:val="16"/>
        </w:rPr>
        <w:t xml:space="preserve">а) выделить в январе 1944 г. в распоряжение 4 Спецотдела НКВД один самолет с экипажем для летных испытаний аппаратуры во всех стадиях ее разработки; </w:t>
      </w:r>
    </w:p>
    <w:p w14:paraId="76F1F68D" w14:textId="77777777" w:rsidR="00DF6978" w:rsidRPr="00070ADE" w:rsidRDefault="00DF6978" w:rsidP="00B56F90">
      <w:pPr>
        <w:spacing w:after="0" w:line="240" w:lineRule="auto"/>
        <w:jc w:val="both"/>
        <w:rPr>
          <w:rFonts w:ascii="Times New Roman" w:eastAsia="Arial Unicode MS" w:hAnsi="Times New Roman"/>
          <w:color w:val="000000" w:themeColor="text1"/>
          <w:sz w:val="16"/>
          <w:szCs w:val="16"/>
        </w:rPr>
      </w:pPr>
      <w:r w:rsidRPr="00070ADE">
        <w:rPr>
          <w:rFonts w:ascii="Times New Roman" w:eastAsia="Arial Unicode MS" w:hAnsi="Times New Roman"/>
          <w:color w:val="000000" w:themeColor="text1"/>
          <w:sz w:val="16"/>
          <w:szCs w:val="16"/>
        </w:rPr>
        <w:t xml:space="preserve">б) обеспечить на одном из подмосковных аэродромов возможность проведения наземных и летных испытаний радиолокационной аппаратуры, разработанной и изготовленной НКВД; </w:t>
      </w:r>
    </w:p>
    <w:p w14:paraId="3B8C7862" w14:textId="77777777" w:rsidR="00DF6978" w:rsidRPr="00070ADE" w:rsidRDefault="00DF69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прикомандировать к Наркомату внутренних дел в январе 1944 г. 8 человек квалифицированных специалистов для изучения радиолокационной аппаратуры и для ее освоения, начиная с лабораторной разработки.</w:t>
      </w:r>
    </w:p>
    <w:p w14:paraId="16F31681" w14:textId="77777777" w:rsidR="00DF6978" w:rsidRPr="00070ADE" w:rsidRDefault="00DF69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ПРЕДСЕДАТЕЛЯ ГОСУДАРСТВЕННОГО КОМИТЕТА ОБОРОНЫ В. МОЛОТОВ (12637).</w:t>
      </w:r>
    </w:p>
    <w:p w14:paraId="06B3109C" w14:textId="77777777" w:rsidR="00DF6978" w:rsidRPr="00070ADE" w:rsidRDefault="00DF6978" w:rsidP="00B56F90">
      <w:pPr>
        <w:spacing w:after="0" w:line="240" w:lineRule="auto"/>
        <w:jc w:val="both"/>
        <w:rPr>
          <w:rFonts w:ascii="Times New Roman" w:hAnsi="Times New Roman"/>
          <w:color w:val="000000" w:themeColor="text1"/>
          <w:sz w:val="16"/>
          <w:szCs w:val="16"/>
        </w:rPr>
      </w:pPr>
    </w:p>
    <w:p w14:paraId="1E90D790"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35AA6D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2C3F1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вышло Постановление ГКО № 4883 О завершении строительства цеха по производству тетрила на заводе № 319 Наркомбоеприпасов. РГАНИР, Фонд ГКО, д. 185, лл. 109-111,112-115 (11012).</w:t>
      </w:r>
    </w:p>
    <w:p w14:paraId="4A7CBE4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E9C85B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вышло Распоряжение ГКО № 4884. О продлении до 1 апреля 1944 г. срока заготовки и вывозки деловой древесины трестом "Магнитострой" НКЧМ в Ильменском заповеднике Челябинской обл. РГАНИР, Фонд ГКО, д. 185, лл. 116 (11012).</w:t>
      </w:r>
    </w:p>
    <w:p w14:paraId="45C32BE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B78160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вышло Распоряжение ГКО № 4885. О мерах по обеспечению производства 25 мм зенитных патронов на вновь организуемом заводе № 248 НКБ (Подольск Московской обл.). РГАНИР, Фонд ГКО, д. 185, лл. 117 (11012).</w:t>
      </w:r>
    </w:p>
    <w:p w14:paraId="78F1237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5E9824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вышло Распоряжение ГКО № 4886. О поставке водорода для аэростатных частей Красной Армии. РГАНИР, Фонд ГКО, д. 185, лл. 118,119-120 (11012).</w:t>
      </w:r>
    </w:p>
    <w:p w14:paraId="7A381B6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581674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вышло Распоряжение ГКО № 4887. Об отпуске НКсвязи в I полугодии 1944 г. для восстановительных работ ежемесячно 70 т автобензина. РГАНИР, Фонд ГКО, д. 185, лл. 121 (11012).</w:t>
      </w:r>
    </w:p>
    <w:p w14:paraId="60634B9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C576F9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вышло Постановление ГКО № 4889 О восстановлении производства отопительных приборов. РГАНИР, Фонд ГКО, д. 185, лл. 151-157,158-166 (11012).</w:t>
      </w:r>
    </w:p>
    <w:p w14:paraId="2160D33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A94ADC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вышло Постановление ГКО № 4889 О восстановлении производства отопительных приборов. (7167, 151-157,158-166).</w:t>
      </w:r>
    </w:p>
    <w:p w14:paraId="54DB138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897F1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вышло Постановление ГКО № 4890 Об акустических взрывателях снарядов зенитной артиллерии и искателях повреждений в коротких электрических линиях, разработанных Всесоюзном научно-исследовательским институтом метрологии. РГАНИР, Фонд ГКО, д. 185, лл. 167-169 (11012).</w:t>
      </w:r>
    </w:p>
    <w:p w14:paraId="7CDD1C5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99471F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вышло Постановление ГКО № 4892 О ремонте бронепоездов в I полугодии 1944 г. (7167, 179-180,181).</w:t>
      </w:r>
    </w:p>
    <w:p w14:paraId="5EE42A0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2C4113"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вышло Постановление ГКО № 4893 О производстве радиолокационных установок для артиллерии главного калибра и радиолокационных станций обнаружения для кораблей Военно-Морского Флота (линкоров, крейсеров, эсминцев) на заводе № 703 НКСП. (7167, 182-184,185-196).</w:t>
      </w:r>
    </w:p>
    <w:p w14:paraId="26C9788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20B76B" w14:textId="6D0D8D70"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вышло Постановление ГКО за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4893 «О производстве радиолокационных установок для артиллерии главного калибра и радиолокационных станций обнаружения для кораблей Военно-Морского Флота (линкоров, крейсеров, эсминцев) на заводе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703 НКСП» (15736).</w:t>
      </w:r>
    </w:p>
    <w:p w14:paraId="74295371" w14:textId="77777777" w:rsidR="00414BE3" w:rsidRPr="00070ADE" w:rsidRDefault="00414BE3" w:rsidP="00B56F90">
      <w:pPr>
        <w:spacing w:after="0" w:line="240" w:lineRule="auto"/>
        <w:jc w:val="both"/>
        <w:rPr>
          <w:rFonts w:ascii="Times New Roman" w:hAnsi="Times New Roman"/>
          <w:color w:val="000000" w:themeColor="text1"/>
          <w:sz w:val="16"/>
          <w:szCs w:val="16"/>
        </w:rPr>
      </w:pPr>
    </w:p>
    <w:p w14:paraId="70731281" w14:textId="4BA7FD8C"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г. в соответствии с пост. ГКО № 4893 о производстве РЛ установок и РЛС обнаружения для кораблей ВМФ на заводе (Завод № 703 НКСП, МЗ «Салют» МРП, Московское производственно-техническое объединение (МПТО), НПО «Салют», Государственный Московский Завод (ГМЗ) «Салют», А-3046, А-3819, ФГУП «ГМЗ «Салют» Россудостроения, ФАП /г. Москва, Перово Поле, пос. Владимирский, 1/ /111123</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Москва ул. Плеханова, 6 тел. 672-73-23/) профиль работы завода изменен: началось освоение производства электронной техники для радиолокации. Был организован новый цех № 10 по регулировке РЛС. В 02.1944 г. получено задание на выпуск в 1-м полугодии 5 комплектов РЛС «Пегматит».</w:t>
      </w:r>
    </w:p>
    <w:p w14:paraId="0999D3D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07.1946 г. в составе КО завода № 703 образовано ОКБ.</w:t>
      </w:r>
    </w:p>
    <w:p w14:paraId="6D603452" w14:textId="77777777" w:rsidR="003712D9" w:rsidRPr="00070ADE" w:rsidRDefault="003712D9" w:rsidP="00B56F90">
      <w:pPr>
        <w:tabs>
          <w:tab w:val="left" w:pos="1173"/>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ГКС в 04.1958 г. завод № 703 с ОКБ были переданы НИИ-10 в качестве опытного завода для отработки корабельной СУ «Бином». При этом прежняя производственная программа завода оставлена без изменений.</w:t>
      </w:r>
    </w:p>
    <w:p w14:paraId="1EC4127F" w14:textId="706B9ED2"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1966 г. завод № 703 переименован в Московский завод «Салют» в ведении МРП. Имел наименование А- 3046. В 1970-79 г. - в ведении 11ГУ МСП. По приказу МСП от 15.12.1971 г. на базе МЗ «Салют» как головного предприятия создано МПТО «Салют», в которое также вошли: ОКБ завода «Салют», филиал завода 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Бендеры, новый строящийся завод 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Бендеры. ПО имело наименование «п/я А-3819». В 1976 г. филиал и новый строящийся завод объединены в один завод «Прибор».</w:t>
      </w:r>
    </w:p>
    <w:p w14:paraId="63064A68" w14:textId="2ECEF300" w:rsidR="003712D9" w:rsidRPr="00070ADE" w:rsidRDefault="003712D9" w:rsidP="00B56F90">
      <w:pPr>
        <w:tabs>
          <w:tab w:val="left" w:pos="1446"/>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1960-е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завод выпускал бортовую аппаратуру для КА. .</w:t>
      </w:r>
      <w:r w:rsidRPr="00070ADE">
        <w:rPr>
          <w:rFonts w:ascii="Times New Roman" w:hAnsi="Times New Roman"/>
          <w:color w:val="000000" w:themeColor="text1"/>
          <w:sz w:val="16"/>
          <w:szCs w:val="16"/>
        </w:rPr>
        <w:tab/>
        <w:t>В 1970 г. для реализации гибридно-пленочной технологии в цехе № 14 созданы участки изготовления фотошаблонов, вакуумного напыления, фотолитографии, монтажа бескорпусных электрорадиоизоляторов. В 1969-74 г. проведены работы по миниатюризации СВЧ-устройств. В 1978 г. создана лабораторная база микроэлектроники. Имелись: корпус № 30, цех электроэлементов.</w:t>
      </w:r>
    </w:p>
    <w:p w14:paraId="0361616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1979 г. в состав МПТО «Салют» вошла ремонтная база «Волна» ( г. Владивосток; численность персонала (1.01.1981 г.)- 218 чел.), в 1992 г. она была закрыта. В 1992 г. МПТО расформировано, завод в 02.1992 г. переименован в ГМЗ «Салют». С 1998 г.- ГУП «ГМЗ «Салют», а с 2000 г.- ФГУП. В 2000-03 г.- в ведении Россудостроения. По Указу Президента РФ № 1009 от 4.08.2004 г. вошло в перечень стратегических оборонных предприятий. По Указу Президента РФ от 22.03.2007 г. завод вошел в состав Концерна «Моринформсистема- Агат».</w:t>
      </w:r>
    </w:p>
    <w:p w14:paraId="49E39725" w14:textId="2D39B20E"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началу 2000-х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построено более 1500 PJIC.</w:t>
      </w:r>
    </w:p>
    <w:p w14:paraId="3B2A4CA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(2005 г.): разработка и производство трехкоординатных PJIC обнаружения для кораблей ВМФ.</w:t>
      </w:r>
    </w:p>
    <w:p w14:paraId="60CB267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(1942 г.)-189 чел., (1.01.1981 г.)- 4878 чел.</w:t>
      </w:r>
    </w:p>
    <w:p w14:paraId="6C906D5D" w14:textId="0F77CAD3"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(1942-46 г.)- С.М. Владимирский, (1946-49 г.)- С.М. Иванов, (1949-59 г.)- Р. Г. Сомхиян, (1959-62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Г.Ф. Черкасов, (1962-69 г.)- И.И. Дуганов, (01.1970-76 г.)- М.Ф. Панченко. Гендиректор (08.1976-12.2003 г.)- В.П. Олеванов, (2004-07 г.-)- В.А. Панин.</w:t>
      </w:r>
    </w:p>
    <w:p w14:paraId="7BC06E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1-й зам. директора (1995-2004 г.)- В.А. Панин, (2004-07 г.-)- В.П. Олеванов. Зам. директора, ген. директора: по ВЭД и гособоронзаказу (2007 г.)- В. Беляев; (-1987 г.)- JI.A. Родионов, (2004 г.-)- В.Т. Ковалев.</w:t>
      </w:r>
    </w:p>
    <w:p w14:paraId="205A917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(1942 г.-)- М. Г. Нестеров, (1954-; 1964-66 г.)- А.И. Патрикеев,</w:t>
      </w:r>
      <w:r w:rsidRPr="00070ADE">
        <w:rPr>
          <w:rFonts w:ascii="Times New Roman" w:hAnsi="Times New Roman"/>
          <w:color w:val="000000" w:themeColor="text1"/>
          <w:sz w:val="16"/>
          <w:szCs w:val="16"/>
          <w:vertAlign w:val="superscript"/>
        </w:rPr>
        <w:t>130</w:t>
      </w:r>
      <w:r w:rsidRPr="00070ADE">
        <w:rPr>
          <w:rFonts w:ascii="Times New Roman" w:hAnsi="Times New Roman"/>
          <w:color w:val="000000" w:themeColor="text1"/>
          <w:sz w:val="16"/>
          <w:szCs w:val="16"/>
        </w:rPr>
        <w:t xml:space="preserve"> (1959-62 г.)- В.М. Ястребилов, (1969 г.)- М.Ф. Панченко, (1969-2004 г.-&gt; Е.А. Печинко.</w:t>
      </w:r>
    </w:p>
    <w:p w14:paraId="4D8A572B" w14:textId="5C728609"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инженера (1970 г.)- к2р</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Г.С. Саранцев.</w:t>
      </w:r>
    </w:p>
    <w:p w14:paraId="4F3EF28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(1942 г.-)- Б.П. Капелин.</w:t>
      </w:r>
    </w:p>
    <w:p w14:paraId="3CEAD9B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технолог- В.И. Шокин.</w:t>
      </w:r>
    </w:p>
    <w:p w14:paraId="18AF35EC" w14:textId="27FB13F8"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цехов: № 10 (1944-49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Г.Н. Сомов; сборочного (1942 г.-&gt; Б.И. Бутырин; нестандартного оборудования (1942 г.-)- В.И. Шокин.</w:t>
      </w:r>
    </w:p>
    <w:p w14:paraId="14B45C8E" w14:textId="5441E3AA"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отделов: КО (1946 г.)- Б.П. Капелин; № 5- В.Н. Герасименко; ОТК (1950-е)-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Г.Н. Сомов.</w:t>
      </w:r>
      <w:r w:rsidRPr="00070ADE">
        <w:rPr>
          <w:rFonts w:ascii="Times New Roman" w:hAnsi="Times New Roman"/>
          <w:color w:val="000000" w:themeColor="text1"/>
          <w:sz w:val="16"/>
          <w:szCs w:val="16"/>
          <w:vertAlign w:val="superscript"/>
        </w:rPr>
        <w:t>103</w:t>
      </w:r>
    </w:p>
    <w:p w14:paraId="664F617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лабораторий: (1944-60 г.)- JI.M. Рогов.</w:t>
      </w:r>
    </w:p>
    <w:p w14:paraId="0E5A0C3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корпуса противотанковых мин МЗ-2, МЗ-З, пороховые камеры для РС-82 «Катюша» (1942-44); приборы: управления зенитным огнем; управления кораблем; слабого тока (ВОВ);</w:t>
      </w:r>
    </w:p>
    <w:p w14:paraId="2F9242A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РЛС ПВО:</w:t>
      </w:r>
      <w:r w:rsidRPr="00070ADE">
        <w:rPr>
          <w:rFonts w:ascii="Times New Roman" w:hAnsi="Times New Roman"/>
          <w:color w:val="000000" w:themeColor="text1"/>
          <w:sz w:val="16"/>
          <w:szCs w:val="16"/>
        </w:rPr>
        <w:t xml:space="preserve"> «Пегматит» (РУС-2с) (1944)- 52, «Пегматит-2м» (П-2м) (1944-45)-50;</w:t>
      </w:r>
      <w:r w:rsidRPr="00070ADE">
        <w:rPr>
          <w:rFonts w:ascii="Times New Roman" w:hAnsi="Times New Roman"/>
          <w:iCs/>
          <w:color w:val="000000" w:themeColor="text1"/>
          <w:sz w:val="16"/>
          <w:szCs w:val="16"/>
        </w:rPr>
        <w:t xml:space="preserve"> корабельные РЛС:</w:t>
      </w:r>
      <w:r w:rsidRPr="00070ADE">
        <w:rPr>
          <w:rFonts w:ascii="Times New Roman" w:hAnsi="Times New Roman"/>
          <w:color w:val="000000" w:themeColor="text1"/>
          <w:sz w:val="16"/>
          <w:szCs w:val="16"/>
        </w:rPr>
        <w:t xml:space="preserve"> «Гюйс- 1М» (1945)- 9, «Гюйс-2» (1948-57), «Редан-2» (1945-)- 14, «Риф» (1948-50-е), «Риф-Щ» (1958-), «Вымпел-2Д» (1950-е), «Зарница» (1949)- 10, «Якорь», «Фут-Н», «Ангара», «Кактус» (1957-63), «Бином» I960-), «Рубка», «Киль», «Кливер» (1980-е), «Восход» (1966-83), «Фрегат», «Фрегат-М» (-1985), «Фрегат-МА» (1982-), «Флаг» (1980-е), «Подберезовик» (1980-е); бортовая аппаратура для КА: «Астра», «Север» (1960-е); наземная станция для связи с КА «Подснежник» (1960-е); системы управления огнем: для ЗРК «Шторм» (1960-е), «Гром» для ЗРК «Шквал» (-1976-86), «Гром-М» (1980-е); система обработки PJI информации и целеуказания МРО 310А, «Пойма» (1980-е), «Пойма-М, -Э» (2000-е); приборы КИА, КИПС-П-35 (1970-е), АРК (1970-е), КИА-В2, МПУ-170, «Бегония», «Покос», МПЦ-401 (1980-е), АКИА-ДОН (1970-е); средства связи и антенны спутниковых навигационных систем (2000-е).</w:t>
      </w:r>
      <w:r w:rsidRPr="00070ADE">
        <w:rPr>
          <w:rFonts w:ascii="Times New Roman" w:hAnsi="Times New Roman"/>
          <w:color w:val="000000" w:themeColor="text1"/>
          <w:sz w:val="16"/>
          <w:szCs w:val="16"/>
          <w:vertAlign w:val="superscript"/>
        </w:rPr>
        <w:t>35,1&lt;ь</w:t>
      </w:r>
    </w:p>
    <w:p w14:paraId="19133FB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ОКБ (особое КБ) завода № 703 МСП, (ЖБ-703 МСП, А- 3543, КБ ГМЗ «Салют» /г. Москва/</w:t>
      </w:r>
    </w:p>
    <w:p w14:paraId="127FCA1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в 07.1946 г. в составе КО завода № 703. ОКБ стало одним из основных разработчиков средств обнаружения и целеуказания для надводных кораблей ВМФ. Кроме того, велась отработка документации и модернизация выпускаемых заводом РЛС.</w:t>
      </w:r>
    </w:p>
    <w:p w14:paraId="4B7884D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правительства от 18.09.1953 г. началась разработка корабельной РЛС «Кактус». В соответствии с ПСМ № 248-160сс от 15.02.1956 г. комплексная РЛС «Фут» пнв. В соответствии с пост, правительства от 7.05.1957 г. задана разработка РЛС «Киль», «Кливер» и «Рубка».</w:t>
      </w:r>
    </w:p>
    <w:p w14:paraId="698CCD3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1957 г. выполнена НИР «Диаграмма» по уменьшению бокового и заднего излучения антенн РЛС (И.Ф. Соколов).</w:t>
      </w:r>
    </w:p>
    <w:p w14:paraId="59A9E87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1960 г. из ЦНИИ-10 сюда переданы разработки РЛС обнаружения воздушных целей. В 1962 г. начата разработка РЛС «Восход»- первой отечественной станции с программируемым управлением положением луча. В соответствии с пост.ениями правительства от 5.05.1968 г. и от 9.12.1971 г. разрабатывалась РЛС «Фрегат». Затем разработана «Фрегат-М». Разработка «Фрегат-МА» началась по решению ВПК от 16.07.1976 г., «Фрегат-MAl»- в соответствии с пост. СМ СССР от 4.03.1983 г.</w:t>
      </w:r>
    </w:p>
    <w:p w14:paraId="6648C2A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правительства от 27.05.1969 г. начата разработка РЛС целеуказания для ЗРК С-300Ф «Флаг», с пост, от 1977 г.- РЛС дальнего обнаружения воздушных целей «Подберезовик».</w:t>
      </w:r>
    </w:p>
    <w:p w14:paraId="10603FD6" w14:textId="50FF096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1970-х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сюда из ЦНИИ «Альтаир» передана разработка систем автоматической обработки РЛ информации. По решению ВМФ, МСП и МРП от 1.01.1977 г. начата разработка системы «Пойма».</w:t>
      </w:r>
    </w:p>
    <w:p w14:paraId="577DACF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Имело наименование «п/я А-3543».</w:t>
      </w:r>
    </w:p>
    <w:p w14:paraId="0B6055D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1987 г. разработано, принято на вооружение и запущено в серию 14 типов станций.</w:t>
      </w:r>
    </w:p>
    <w:p w14:paraId="09CB07F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(1.01.1981 г.)-1162 чел.</w:t>
      </w:r>
    </w:p>
    <w:p w14:paraId="4CFD01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(1946-52 г.)- Б.П. Капелин, (1952-56 г.)- А.П. Алексеев, (1956-60; 1970-73 г.)- В.П. Антонов, (1960- 63 г.)- П.С. Ключарев, (1963-66 г.)- А.К. Николаев, (1966-69 г.)- М.Ф. Панченко, (1973-74 г.)- Б.М. Пономарев, (1974-87 Г.)- Л.А. Родионов, (1987-95 г.)- В.В. Шлепнин, (1995-2004 г.)- В.А. Панин, (2004-07 г.-&gt; В.Т. Ковалев.</w:t>
      </w:r>
    </w:p>
    <w:p w14:paraId="212E2CA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Ш.И. Глейзер, Л.А. Родионов, (2004-07г,-)- В.Т. Ковалев.</w:t>
      </w:r>
    </w:p>
    <w:p w14:paraId="037447F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конструктора- В.И. Шокин.</w:t>
      </w:r>
    </w:p>
    <w:p w14:paraId="1EF93F7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(1974-87 г.)- В.В. Шлепнин, (1987-2004 г.)- В.Т. Ковалев, (-2005-07 г.-&gt; М. Исаков.</w:t>
      </w:r>
    </w:p>
    <w:p w14:paraId="5B03D02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конструкторы: (1947-48 г.-)- А.И. Патрикеев («Гюйс-2»), (-1956-69 г.-)- В.П. Антонов («Кактус», «Кливер», «Флаг»), (1957 г.)- Л.М. Рогов («Киль»), (1959 г.)- В.А. Кузнецов («Рубка»), (1960-е)- М.Ф. Панченко («Флаг»), (-1966-77 г.-)- Ш.И. Глейзер («Восход», «Подберезовик»), (-1976-87 г.)- ДА. Родионов («Фрегат», -М, -М2), (-1977- 90 г.-)- B.C. Беляев («Пойма», -М), (1973-80 г.-)- В.В. Шлепнин («Флаг»), (-1980-87 г.-)- В.Т. Ковалев («Фрегат- МА», -МА1), Н.Д. Бородин («063»), В.Ф. Куликова («Кливер»), В.А. Панин («Фрегат-МАЭ-4К»), (2000 г.)- В.П. Кревс («Пойма-Э»).</w:t>
      </w:r>
    </w:p>
    <w:p w14:paraId="3C555C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конструкторов: В.П. Антонов («Гюйс-2»), В.А. Кузнецов («Гюйс-2»), (1956 г.)- А.Э. Атовмьян («Кактус»), (1956 г.)- П.В. Кузяков («Кактус»), (-1956-66 г.-)- В.Т. Павленко («Кактус», «Восход»), (1956 г.)- JI.M. Рогов («Кактус»), (1957 г.)- С.М. Зябриков («Киль»), (-1957-66 г.-&gt; Н.И. Пирогов («Киль», «Восход»), (1959 г.)- И.З. Свердлов («Рубка»), (1960 г.)- Ю.П. Зверев («Кливер»), (1960 г.)- Л.С. Ратников («Кливер»), (1966 г.)- И.С. Загородников («Восход»), (1966 г.)- Н.Д. Бородин («Восход»), (1966 г.)- В.И. Шокин («Восход»), (-1976-84 г.-)- В.В. Шлепнин («Фрегат», -М), (-1976-87 г.-)- М.Р. Шемтов («Фрегат», -М, -MA, -MAI, М2), (-1976-87 г.-&gt; В.И. Мунистов («Фрегат», -М, -МА1, -М2, «Подберезовик»), (-1976-86 г.-)- В.И. Родионов («Фрегат», -М, -МА, -М2), (1970-86 г.-)- Д.К. Гринь («Фрегат», -М, -МА, -М2, «Флаг»), (1977 г.)- С.Е. Москалев («Подберезовик»), (1977 г.)- В.Д. Тарасов («Подберезовик»), (1977 г.)- Н.Ш. Милявский («Подберезовик»), (1977 г.)- М.Н. Широков («Подберезовик»), (-1977-90 г.-)- Ю. Г. Колесников («Пойма», -М), (-1977-90 г.-)- Ю. Г. Мешман («Пойма», -М), (1977 г.)- Л.А. Кайдановская («Пойма»), (-1977-90 г.-)- О.А. Отаров («Пойма», -М), (-1977-90 г.-)- С.В. Королев («Пойма», -М), (-1980-87 г.-&gt; В.А. Панин («Флаг», «Фрегат-MAl»), (1980 г.)- А.А. Бабанов («Флаг»), (1980 г.)- А.И. Диковский («Флаг»), (1980 г.)- Р.С. Табачник («Флаг»), (-1980-87 г.-)- А.В. Лобанов («Фрегат-МА», -МА1, - М2), (-1977-87 Г.-)- A.M. Эфендиев («Фрегат-МА», -МА1, -М2, «Подберезовик»), (-1980-86 г.-&gt; B.C. Беляев («Фрегат-МА», -М2), (1986 г.)- В.Т. Ковалев («Фрегат-М2»), (1987 г.)- В.И. Зуев («Фрегат-MAl»), (1990 г.)- В .А. Новоженин («Пойма-М»),</w:t>
      </w:r>
    </w:p>
    <w:p w14:paraId="31DA09F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отделов: проектного (1949 г.-)- А.И. Патрикеев; КО- А.И. Диковский; (1980 г.-)- Д.К. Гринь.</w:t>
      </w:r>
      <w:r w:rsidRPr="00070ADE">
        <w:rPr>
          <w:rFonts w:ascii="Times New Roman" w:hAnsi="Times New Roman"/>
          <w:color w:val="000000" w:themeColor="text1"/>
          <w:sz w:val="16"/>
          <w:szCs w:val="16"/>
          <w:vertAlign w:val="superscript"/>
        </w:rPr>
        <w:t>103</w:t>
      </w:r>
    </w:p>
    <w:p w14:paraId="14BD593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лабораторий: АФУ (1959 г.-)- Н.Д. Бородин; комплексного проектирования- В.В. Шлепнин, (- 1974 г.)- Л.А. Родионов, (1975 г.-)- В.Т. Ковалев; сварки и пайки- Б.Ш. Шеер; В.А. Панин.</w:t>
      </w:r>
      <w:r w:rsidRPr="00070ADE">
        <w:rPr>
          <w:rFonts w:ascii="Times New Roman" w:hAnsi="Times New Roman"/>
          <w:color w:val="000000" w:themeColor="text1"/>
          <w:sz w:val="16"/>
          <w:szCs w:val="16"/>
          <w:vertAlign w:val="superscript"/>
        </w:rPr>
        <w:t>130</w:t>
      </w:r>
    </w:p>
    <w:p w14:paraId="3F138E6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секторов: антенных устройств- А.И. Диковский, Б.М. Герцовский; (1946 г.-)- В.П. Антонов, (1978 г.)- Н.С. Боровиков, (1978 г.)- В.И. Гилюк, (1978 г.)- А.Ф. Смирнов, (2005 г.)- Б.М. Герцовский, (2005 г.)- М. Исаков, (2005 г.)- М. Каширин, (2006 г.)- А. Немоляев.</w:t>
      </w:r>
    </w:p>
    <w:p w14:paraId="6C4C05C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 корабельные PJIC:</w:t>
      </w:r>
      <w:r w:rsidRPr="00070ADE">
        <w:rPr>
          <w:rFonts w:ascii="Times New Roman" w:hAnsi="Times New Roman"/>
          <w:color w:val="000000" w:themeColor="text1"/>
          <w:sz w:val="16"/>
          <w:szCs w:val="16"/>
        </w:rPr>
        <w:t xml:space="preserve"> обнаружения воздушных и надводных целей: «Гюйс-2», для больших и средних кораблей «Кактус» (1953-56), дальнего обнаружения «Киль» (1960) и «Кливер» (1960, пнв в 1965 г.), для малых кораблей «Рубка» (пнв в 1960 г.), для ТАКР и БПЛК «Восход» (пнв в 1968 г.), для ТАКР и эсминцев «Фрегат» (пнв в 1978 г.), МР-700М «Фрегат-М» (пнв в 1980 г.), «Фрегат-МА» с СОИ «Пойма» (пнв в 1987 г.), «Фрегат-MAl» (пнв в 1988 г.), «Фрегат-М2» (пнв в 1988 г.), для ракетных крейсеров «Флаг» (пнв в 1982 г.), для больших и средних кораблей «Подберезовик» (пнв в 1991 г.); «Редан», «Вымпел», «Якорь», «Фут» (пнв 15.02.1956 г.), «Бином»; экспортные варианты «Фрегат-МАЭ», «Подберезовик-Э»; СОИ «Пойма-М» (пнв в 1990 г.), экспортная «Пойма- Э» (2000); радиоизмерительные приборы РТ-10, ГСС-10, ГС-10 (1950-е); контрольно-регулировочные станции «Пирс» (1950-е); волноводные: циркуляторы для РЛС ФЦ-1, ФЦ-2, ФЦ-3, 4ЦВФ, 15ЦВФ, 35ЦВФ; вентили ФР-1, ФР-2, ВКР-1, ВКР-2, ВКР-3, ВВР-3, ВВР-5, 25ВВР; вращающиеся сочленения 4ВВС, 15ВВС, 35ВВС, ВВС-4-12, КВС-2, КВС-3, ВКВС-5; переключатель мощности 15ЦПБ.</w:t>
      </w:r>
    </w:p>
    <w:p w14:paraId="3B875C45" w14:textId="3EB1DBAF"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«Прибор» МСП /Молдавия</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Бендеры/</w:t>
      </w:r>
    </w:p>
    <w:p w14:paraId="52EB91F7" w14:textId="04E3B7B6"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1970 г. разработан и представлен в МСП проект филиала завода «Салют» 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Бендеры (Молдавия). В 12.1971 г. построен и введен в строй корпус № 1 филиала площадью 5000 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 Одновременно здесь же строился новый завод. В 1976 г. филиал и новый строящийся завод объединены в один завод «Прибор» (возможно, это Бендерский машиностроительный завод). В 2000-е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завод вошел в состав ГМЗ «Салют» (входил в 2005 г.).</w:t>
      </w:r>
    </w:p>
    <w:p w14:paraId="324B94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(1.01.1981 г.)- 1400 чел.</w:t>
      </w:r>
    </w:p>
    <w:p w14:paraId="1899A2FF" w14:textId="6642745A"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(1970-75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Г.С. Саранцев, (1975-79 г.)- С.И. Чеботарь, (1980-88 г.)- А.В. Горенкин, (1988-99 г.)- А.Х. Бикбов (11982).</w:t>
      </w:r>
    </w:p>
    <w:p w14:paraId="590ECE8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815EC3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вышло Постановление ГКО № 4894 Об обеспечении рабочей силой, балансами и дровами заводов Наркомбумпрома, производящих пороховую целлюлозу и обтюраторный картон. РГАНИР, Фонд ГКО, д. 185, лл. 197-200 (11012).</w:t>
      </w:r>
    </w:p>
    <w:p w14:paraId="6C146F7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7044459"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9BF05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4C03B8"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5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1F377E71"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5 января наши войска к северу от Невеля продолжали вести наступательные бои, в ходе которых заняли более 90 населённых пунктов, в том числе Кожино, Петрова, Порохово, Мятьково, Бабино, Толстоухово, Осницы, Большое Нарично, Теплухина, Борщанка, Окни, Власьево и железнодорожную станцию Власье.</w:t>
      </w:r>
    </w:p>
    <w:p w14:paraId="2EFA6B4D"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Войска 1-го Украинского фронта после многодневных ожесточённых боёв 5 января овладели городом и крупным железнодорожным узлом Бердичев, а также с боями заняли более 60 других населённых пунктов и среди них районный центр Киевскойобласти город Тараща, крупные населённые пункты Большие Козары, Врублёвка, Дрыглов, Новосёлки, Городище, Тютюники, Малые Коро-Винцы, Малая Татариновка, Очеретня, Очитков, Горошков, Кривчунка, Тихий Хутор, Скибин, Чернин, Насташка, Шкаровка и железнодорожные станции Денгофовка, Кривчунка.</w:t>
      </w:r>
    </w:p>
    <w:p w14:paraId="57F32FEE"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разведка и артиллерийско-миномётная перестрелка.</w:t>
      </w:r>
    </w:p>
    <w:p w14:paraId="278297D4"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4 января наши войска на всех фронтах подбили и уничтожили 37 немецких танков. В воздушных боях и огнём зенитной артиллерии сбито 30 самолётов противника.</w:t>
      </w:r>
    </w:p>
    <w:p w14:paraId="580755BD"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северу от Невеля наши войска вели наступательные бои, в результате которых заняли более 90 населённых пунктов. Части Н-ского соединения овладели сильно укреплёнными позициями противника, уничтожив при этом свыше 400 немецких солдати офицеров. На другом участке противник предпринял несколько контратак силами пехоты и танков. Все контратаки гитлеровцев отбиты с большими для них потерями.Подбито и сожжено 14 немецких танков и 2 самоходных орудия. Захвачено у немцев 2 танка, артиллерийская батарея, 77 пулемётов, склад боеприпасов и другиетрофеи.</w:t>
      </w:r>
    </w:p>
    <w:p w14:paraId="2C711691"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успешное наступление. Крупные силы пехоты и танков противника, опираясь на выгодные для обороны рубежи на подступахк городу Бердичев, оказывали упорное сопротивление. После многодневных ожесточённых боёв наши пехотинцы и танкисты ворвались в город. В это время другие наши части усилили нажим на фланги немецких войск. В результате ожесточённых боёв наши войска сегодня, 5 января, форсировали реку Гнилопять и штурмом овладели городом и крупным железнодорожным узлом Бердичев. На подступах к городу и в уличных боях противник понёс тяжёлые потери. Нашими частями захвачены большие трофеи и значительное количество пленных. Наши войска заняли также районный центр Киевской области город Тараща и более 60 других населённых пунктов. За день боёв уничтожено до 4 тысяч немецких солдат и офицеров, подбито много танков и самоходных орудий противника. По неполным данным, захвачено у немцев 3 исправных танка, 20 орудий, 80 автомашин, 6 радиостанций, 9 складов с боеприпасами и военным имуществом.</w:t>
      </w:r>
    </w:p>
    <w:p w14:paraId="097B8987"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Чёрном море потоплен транспорт противника водоизмещением в З.000 тонн и быстроходная десантная баржа. Кроме того, повреждены вражеский транспорт и два сторожевых катера.</w:t>
      </w:r>
    </w:p>
    <w:p w14:paraId="6357B324"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Отряд ленинградских партизан 29 декабря вёл ожесточённый бой против крупной карательной экспедиции немцев. Советские патриоты нанесли противнику сильный удар и вынудили его отступить. В бою истреблено до 160 гитлеровцев.</w:t>
      </w:r>
    </w:p>
    <w:p w14:paraId="368067A3"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Партизаны захватили гранатомёты, автоматы, винтовки и склад боеприпасов. Ружейно-пулемётным огнём сбит немецкий самолёт. Партизанский отряд, действующий в одном из районов Калининской области, на шоссейной дороге взорвал на минах 14 немецких автомашин с боеприпасами, следовавших к линии фронта. Кроме того, партизаны разрушили мост и несколько километров телеграфно-телефонной линии связи противника.</w:t>
      </w:r>
    </w:p>
    <w:p w14:paraId="77149FD8"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унтер-офицер 2 роты 534 полка 384 немецкой пехотной дивизии Фриц Байер рассказал: «Я участвовал в боях в районе Сталинграда. Незадолго до окружения немецких армий был ранен и отправлен в госпиталь. После выздоровленияя попал в 384 дивизию, сформированную во Франции, а в октябре снова оказался вРоссии. На фронте мне бросились в глаза перемены, происшедшие за истекшее время. Большинство хорошо обученных кадровых солдат погибло в боях. На их место пришли необученные и даже непригодные к военной службе люди. Чтобы восполнить всё возрастающие потери, на фронт гонят всё менее и менее подготовленные пополнения. А людей с каждым днём требуется всё больше и больше. Это видно на примере нашего полка, находящегося на франте около двух месяцев. Первый батальон разгромлен. В первой роте осталось 16 человек, в 3-й роте всего лишь 9 солдат. Второй батальон понёс ещё более тяжёлые потери. Командир полка требовал держаться до последнего человека, но это бессмысленно. В последнем бою мой взвод атаковали русские танки. Я отдал своим солдатам приказ сложить оружие, и они охотно выполнили этот приказ».</w:t>
      </w:r>
    </w:p>
    <w:p w14:paraId="6D45142E"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публикуется акт о зверствах немецко-фашистских мерзавцев в селе Василица, Киевской области: «13 октября 1943 года немцы угнали большинство жителей Василицы на каторгу в Германию. Гитлеровцы оставили в селе 50 человек для рытья окопов и установили для них тюремный режим. Накануне отступления немецкие злодеи учинили зверскую расправу над мирными советскими людьми. Гитлеровские палачи убили и зверски замучили В.Клиницкого, В.Клиницкую, И.Сотченко, В.Чемерис, Е.Шендрика и других. Остались в живых лишь те жители, которые убежали из села».</w:t>
      </w:r>
    </w:p>
    <w:p w14:paraId="0E242C83"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капитан Орлов, капитан Заробняев, капитан юстиции Потапкин, жители села Василица Елена Гонтарь, Яков Бондаренко, Фёдор Гонтарь.» (15000).</w:t>
      </w:r>
    </w:p>
    <w:p w14:paraId="1CCC648D" w14:textId="77777777" w:rsidR="00414BE3" w:rsidRPr="00070ADE" w:rsidRDefault="00414BE3" w:rsidP="00B56F90">
      <w:pPr>
        <w:spacing w:after="0" w:line="240" w:lineRule="auto"/>
        <w:jc w:val="both"/>
        <w:rPr>
          <w:rFonts w:ascii="Times New Roman" w:hAnsi="Times New Roman"/>
          <w:color w:val="000000" w:themeColor="text1"/>
          <w:sz w:val="16"/>
          <w:szCs w:val="16"/>
        </w:rPr>
      </w:pPr>
    </w:p>
    <w:p w14:paraId="683A2939" w14:textId="77777777" w:rsidR="00414BE3" w:rsidRPr="00070ADE" w:rsidRDefault="00414BE3"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началась Кировоградская операция 2УФ (И.С.Конев) против 8А, которая завершилась 16 января 1944 и Кировоград освободили 8 января 1944 (3398,12).</w:t>
      </w:r>
    </w:p>
    <w:p w14:paraId="1A4C4BCC" w14:textId="77777777" w:rsidR="00414BE3" w:rsidRPr="00070ADE" w:rsidRDefault="00414BE3"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048DA6"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5 января</w:t>
      </w:r>
      <w:r w:rsidRPr="00070ADE">
        <w:rPr>
          <w:rFonts w:ascii="Times New Roman" w:hAnsi="Times New Roman"/>
          <w:color w:val="000000" w:themeColor="text1"/>
          <w:sz w:val="16"/>
          <w:szCs w:val="16"/>
        </w:rPr>
        <w:t xml:space="preserve"> в 1944 году войска 2-го Украинского фронта (генерал армии И.С.Конев) начали Кировоградскую наступательную операцию В ходе операции, завершившейся 16 января, советские войска нанесли поражение 8-й немецко-фашистской армии, освободили Кировоград (8 января) и более 80 других населенных пунктов (15000).</w:t>
      </w:r>
    </w:p>
    <w:p w14:paraId="55BB1084" w14:textId="77777777" w:rsidR="00414BE3" w:rsidRPr="00070ADE" w:rsidRDefault="00414BE3" w:rsidP="00B56F90">
      <w:pPr>
        <w:spacing w:after="0" w:line="240" w:lineRule="auto"/>
        <w:jc w:val="both"/>
        <w:rPr>
          <w:rFonts w:ascii="Times New Roman" w:hAnsi="Times New Roman"/>
          <w:color w:val="000000" w:themeColor="text1"/>
          <w:sz w:val="16"/>
          <w:szCs w:val="16"/>
        </w:rPr>
      </w:pPr>
    </w:p>
    <w:p w14:paraId="0475717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советские войска освободили от фашистов Бердичев (4962).</w:t>
      </w:r>
    </w:p>
    <w:p w14:paraId="288FCAF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691C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5 по 16 января 1944 состоялась Кировоградская операция и продвинулись на 40-50 км (2438,315).</w:t>
      </w:r>
    </w:p>
    <w:p w14:paraId="6E7ECB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5B84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начал наступать 2УФ, поддерживаемый 5ВА (г С.К.Горюнов) - к середине января освободили Кировоград (340,163).</w:t>
      </w:r>
    </w:p>
    <w:p w14:paraId="7F08566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E6F45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2037DE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5C15E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польское правительство в изгнании обратилось к полякам с просьбой содействовать освобождающей их от фашистов Красной Армии (4962).</w:t>
      </w:r>
    </w:p>
    <w:p w14:paraId="59C1C5E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D29146"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5 января</w:t>
      </w:r>
      <w:r w:rsidRPr="00070ADE">
        <w:rPr>
          <w:rFonts w:ascii="Times New Roman" w:hAnsi="Times New Roman"/>
          <w:color w:val="000000" w:themeColor="text1"/>
          <w:sz w:val="16"/>
          <w:szCs w:val="16"/>
        </w:rPr>
        <w:t xml:space="preserve"> в 1944 году польское правительство в изгнании обращается к полякам с просьбой содействовать освобождающей их от фашистов Красной Армии (15000).</w:t>
      </w:r>
    </w:p>
    <w:p w14:paraId="1E1C2085" w14:textId="77777777" w:rsidR="00414BE3" w:rsidRPr="00070ADE" w:rsidRDefault="00414BE3" w:rsidP="00B56F90">
      <w:pPr>
        <w:spacing w:after="0" w:line="240" w:lineRule="auto"/>
        <w:jc w:val="both"/>
        <w:rPr>
          <w:rFonts w:ascii="Times New Roman" w:hAnsi="Times New Roman"/>
          <w:color w:val="000000" w:themeColor="text1"/>
          <w:sz w:val="16"/>
          <w:szCs w:val="16"/>
        </w:rPr>
      </w:pPr>
    </w:p>
    <w:p w14:paraId="38184BFC"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5 января</w:t>
      </w:r>
      <w:r w:rsidRPr="00070ADE">
        <w:rPr>
          <w:rFonts w:ascii="Times New Roman" w:hAnsi="Times New Roman"/>
          <w:color w:val="000000" w:themeColor="text1"/>
          <w:sz w:val="16"/>
          <w:szCs w:val="16"/>
        </w:rPr>
        <w:t xml:space="preserve"> в 1944 году польское эмигранское правительство потребовало установить свою администрацию на территориях Западной Украины и Западной Белоруссии немедленно после освобождения их Советской армией и таким образом подтвердило претензии на восстановление восточных границ Польши 1939 года (15000).</w:t>
      </w:r>
    </w:p>
    <w:p w14:paraId="1727C8D5" w14:textId="77777777" w:rsidR="00414BE3" w:rsidRPr="00070ADE" w:rsidRDefault="00414BE3" w:rsidP="00B56F90">
      <w:pPr>
        <w:spacing w:after="0" w:line="240" w:lineRule="auto"/>
        <w:jc w:val="both"/>
        <w:rPr>
          <w:rFonts w:ascii="Times New Roman" w:hAnsi="Times New Roman"/>
          <w:color w:val="000000" w:themeColor="text1"/>
          <w:sz w:val="16"/>
          <w:szCs w:val="16"/>
        </w:rPr>
      </w:pPr>
    </w:p>
    <w:p w14:paraId="6C505563"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0E8B8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96D3D7" w14:textId="77777777"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235 бомбардировщиков ВВС США в сопровождении 111 истребителей совершили налет на верфь и промышленные районы Киля, потеряв 10 бомбардировщиков и семь истребителей. Бомбардировщики и истребители заявляют, что 63 немецких самолета сбиты, семь, вероятно, сбитых, а 21 - поврежденных. Еще 78 бомбардировщиков совершили налеты на Нойс, Гейленкирхен, Дюссельдорф и Вассенбург, Германия, потеряв два самолета и заявив, что два немецких самолета сбиты, пять, вероятно, сбиты, а два повреждены. 196 бомбардировщиков B-17 Flying Fortress в сопровождении 225 истребителей P-47 Thunderbolt атаковали два немецких аэродрома во Франции, при этом было потеряно 12 B-17 и пять P-47. Бомбардировщики и истребители заявляют, что 55 немецких самолетов сбиты, 10 вероятно сбиты и 10 повреждены (20373).</w:t>
      </w:r>
    </w:p>
    <w:p w14:paraId="2349BDF7" w14:textId="77777777" w:rsidR="00EB290F" w:rsidRPr="00070ADE" w:rsidRDefault="00EB290F" w:rsidP="00B56F90">
      <w:pPr>
        <w:spacing w:after="0" w:line="240" w:lineRule="auto"/>
        <w:jc w:val="both"/>
        <w:rPr>
          <w:rFonts w:ascii="Times New Roman" w:hAnsi="Times New Roman"/>
          <w:color w:val="000000" w:themeColor="text1"/>
          <w:sz w:val="16"/>
          <w:szCs w:val="16"/>
        </w:rPr>
      </w:pPr>
    </w:p>
    <w:p w14:paraId="5F0984EB" w14:textId="45AD67C6"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 января (ночь) 1944 358 британских бомбардировщиков совершают первый крупный налет на Штеттин, Германия, с сентября 1941 года. Большинство отправленных в воздух немецких истребителей не смогли их перехватить, но 16 бомбардировщиков (4,5 процента сил) потеряны (20373).</w:t>
      </w:r>
    </w:p>
    <w:p w14:paraId="0B3D238F" w14:textId="77777777" w:rsidR="00EB290F" w:rsidRPr="00070ADE" w:rsidRDefault="00EB290F" w:rsidP="00B56F90">
      <w:pPr>
        <w:spacing w:after="0" w:line="240" w:lineRule="auto"/>
        <w:jc w:val="both"/>
        <w:rPr>
          <w:rFonts w:ascii="Times New Roman" w:hAnsi="Times New Roman"/>
          <w:color w:val="000000" w:themeColor="text1"/>
          <w:sz w:val="16"/>
          <w:szCs w:val="16"/>
        </w:rPr>
      </w:pPr>
    </w:p>
    <w:p w14:paraId="5AED1C9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января 1944 фашистами убит датский поэт-антифашист Кай Мунк (4962).</w:t>
      </w:r>
    </w:p>
    <w:p w14:paraId="556F7D3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237A14"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90F15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B5B354"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января 1944 года в связи с переходом Ил-4 на металл, Наркомфин разрешил заводу №83 утилизировать деревянные заготовки, готовые агрегаты и оснастку на сумму 4.674.220 рублей (24140).</w:t>
      </w:r>
    </w:p>
    <w:p w14:paraId="2CAD752F" w14:textId="77777777" w:rsidR="00021CBD" w:rsidRPr="00070ADE" w:rsidRDefault="00021CBD" w:rsidP="00B56F90">
      <w:pPr>
        <w:spacing w:after="0" w:line="240" w:lineRule="auto"/>
        <w:jc w:val="both"/>
        <w:rPr>
          <w:rFonts w:ascii="Times New Roman" w:hAnsi="Times New Roman"/>
          <w:color w:val="000000" w:themeColor="text1"/>
          <w:sz w:val="16"/>
          <w:szCs w:val="16"/>
        </w:rPr>
      </w:pPr>
    </w:p>
    <w:p w14:paraId="12BC81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января 1944 был готов Як-3-1 с М-107А смешанной конструкции (65,185).</w:t>
      </w:r>
    </w:p>
    <w:p w14:paraId="64C49D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D940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6 января 1944 года Як-3 с мотором ВК-107А выкатили на аэродром. Дорабатывали на опытном заводе №115 с 22 ноября 1943-го. Доработки в основном были связаны с заменой вооружения на два синхронных орудия Б-20С.Чтобы выдержать требуемый противокапотажный угол, кабину пилота, как и на Як-9, сместили назад на 400 мм. На самолет установили облегченный винт ВИШ-107 с обтекателями комлей лопастей и изготовили два варианта всасывающих патрубков нагнетателя и входных туннелей маслорадиатора. Для испытаний подготовили также два варианта установки вооружения. 13 января 1944 года Як-3 №1 с двигателем ВК-107А и снятым </w:t>
      </w:r>
      <w:r w:rsidRPr="00070ADE">
        <w:rPr>
          <w:rFonts w:ascii="Times New Roman" w:hAnsi="Times New Roman"/>
          <w:color w:val="000000" w:themeColor="text1"/>
          <w:sz w:val="16"/>
          <w:szCs w:val="16"/>
        </w:rPr>
        <w:lastRenderedPageBreak/>
        <w:t>вооружением (взлетный вес 2800 кг) был поднят в воздух летчиком-испытателем генерал-майором инженерно-авиационной службы П.Я. Федрови (ведущий инженер - A.M. Дружинин).</w:t>
      </w:r>
    </w:p>
    <w:p w14:paraId="5A9CE9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заводских испытаний трижды меняли двигатели, выполнив 38 полетов обшей продолжительностью 14 часов 50 минут. Причиной тому было недостаточное охлаждение мотора. Фактически основные усилия испытателей были направлены на доводку силовой установки, и лишь после 25 полетов удалось приступить к снятию летных характеристик. К этому времени взлетный вес машины возросло 2984 кг, но продолжал оставаться рекордно низким по сравнению с самолетами противника, а нагрузка на взлетную мощность двигателя у него не превышала 1,81 кг/л.с. В то же время у трехточечного Bfl09G-2 она составляла 1,95 кг/л.с., у Bf 109G-6 - 1,97 кг/л.с., а у FW190A-4 и его варианта "А-8" - 2,52 кг/л.с.</w:t>
      </w:r>
    </w:p>
    <w:p w14:paraId="50C3AED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в сочетании с хорошей отделкой планера, позволило получить у земли скорость 611 км/ч, а на 2-й границе высотности (5750 метров) - 720 км/ч. Самолет поднимался на высоту 5000 метров за 3,9 минуты и за боевой разворот (с высоты 1000 метров) набирал 1500 метров, превзойдя Як-3 с мотором ВК-105ПФ2. Практический потолок машины составил 11 800 метров. По времени виража (17 - 18 секунд на высоте 1000 метров) самолет был сопоставим с Як-3 с двигателем ВК-105ПФ2. Правда, взлетно-посадочные данные ухудшились. Так, длина разбега возросла с 275 до 345 метров, а пробега - с 485 до 590 метров.</w:t>
      </w:r>
    </w:p>
    <w:p w14:paraId="7E17C18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технике пилотирования истребитель, как и его предшественник, был прост и доступен пилотам средней квалификации. Пилотажно-навигационное и специальное оборудование машины позволяло эксплуатировать его лишь в простых метеоусловиях при видимости земных ориентиров. Но был и положительный момент. Дальность устойчивой радиосвязи возросла как минимум до 100 км и отвечала требованиям заказчика.</w:t>
      </w:r>
    </w:p>
    <w:p w14:paraId="70692EB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заводских испытаний дали о себе знать и дефекты вооружения. После 329 выстрелов сломался передний шкворень крепления правой пушки. Помимо этого, отмечался недостаточный противокапо- тажный угол (20,5 - 23,5 градуса) при требуемом 26,5 градуса.</w:t>
      </w:r>
    </w:p>
    <w:p w14:paraId="0E3108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все эти достижения "тонули" на фоне тяжелого температурного режима и низкого ресурса двигателя. Свою негативную роль сыграла и плохая герметизация его трущихся частей. Достаточно сказать, что на высотах более 8200 метров падало давление бензина и масла ниже минимального предела 3,5 кг/см2 (12047).</w:t>
      </w:r>
    </w:p>
    <w:p w14:paraId="0A200C5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260A3F4" w14:textId="77777777" w:rsidR="00006B7E" w:rsidRPr="00C94B78" w:rsidRDefault="00006B7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6 января 1944 года закончили первого прототипа Як-3 с ВК-107А. Было построено два экземпляра: № 1 и «дублер». Сборку, а заводские испытания проводились с 15 апреля по 20 ноября 1944 года. Летчик</w:t>
      </w:r>
      <w:r w:rsidRPr="00C94B78">
        <w:rPr>
          <w:rFonts w:ascii="Times New Roman" w:hAnsi="Times New Roman"/>
          <w:color w:val="0070C0"/>
          <w:sz w:val="16"/>
          <w:szCs w:val="16"/>
        </w:rPr>
        <w:noBreakHyphen/>
        <w:t>испытатель П.Ю. Федоров (25076).</w:t>
      </w:r>
    </w:p>
    <w:p w14:paraId="207E80D0" w14:textId="77777777" w:rsidR="00006B7E" w:rsidRPr="00C94B78" w:rsidRDefault="00006B7E" w:rsidP="00B56F90">
      <w:pPr>
        <w:spacing w:after="0" w:line="240" w:lineRule="auto"/>
        <w:jc w:val="both"/>
        <w:rPr>
          <w:rFonts w:ascii="Times New Roman" w:hAnsi="Times New Roman"/>
          <w:color w:val="0070C0"/>
          <w:sz w:val="16"/>
          <w:szCs w:val="16"/>
        </w:rPr>
      </w:pPr>
    </w:p>
    <w:p w14:paraId="0A871AE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января 1944 согласно журнала наблюдения за проектированием, постройкой и испытаниями МиГ-3 от 10 января 1944 на МиГ-3 2Д произвели полет на определение макс. скорости по высотам. Результаты: макс. скорость 603 км/час по приборам на 1000 м и 615 км/час. По приборам на 300 м. С начала летных испытаний 23 ноября 1943 провизведено 6 полетов (992,12).</w:t>
      </w:r>
    </w:p>
    <w:p w14:paraId="7C202F4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9C3112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B752A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FAD85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января 1944 вышло Постановление ГКО № 4895 О мероприятиях по обеспечению производства тяжелых танков, САУ и корпусов к ним и выпуска артиллерийского вооружения и боеприпасов для НКТП. РГАНИР, Фонд ГКО, д. 185, лл. 201,202-245 (11012).</w:t>
      </w:r>
    </w:p>
    <w:p w14:paraId="7A4B9E2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1FF6914" w14:textId="3217747A"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января 1944 года группа советских инженеров и сотрудников Наркомвнешторга посетила британский полигон с целью провести совещание, посвящённое конструкции танков Т-34 и КВ. С английской стороны присутствовали порядка 15 высокопоставленных офицеров, начальников различных отделов и групп. Похоже, что тема советских танков для британских танкистов была интересной. В ходе совещания был задан 41 вопрос, как конкретно о танках Т-34 и КВ, так и о различных вопросах конструирования танков. Вопросы были актуальными для британских конструкторов. Например, у советской делегации спросили, как они справились с газами, выходящими из казённика после выстрела из 76-мм пушки — проблема, с которой в это время</w:t>
      </w:r>
      <w:r w:rsidR="00B643A8" w:rsidRPr="00070ADE">
        <w:rPr>
          <w:rFonts w:ascii="Times New Roman" w:hAnsi="Times New Roman"/>
          <w:color w:val="000000" w:themeColor="text1"/>
          <w:sz w:val="16"/>
          <w:szCs w:val="16"/>
        </w:rPr>
        <w:t xml:space="preserve"> </w:t>
      </w:r>
      <w:hyperlink r:id="rId16" w:history="1">
        <w:r w:rsidRPr="00070ADE">
          <w:rPr>
            <w:rStyle w:val="a5"/>
            <w:rFonts w:ascii="Times New Roman" w:hAnsi="Times New Roman"/>
            <w:color w:val="000000" w:themeColor="text1"/>
            <w:sz w:val="16"/>
            <w:szCs w:val="16"/>
            <w:u w:val="none"/>
          </w:rPr>
          <w:t>боролись конструкторы «Файрфлая»</w:t>
        </w:r>
      </w:hyperlink>
      <w:r w:rsidRPr="00070ADE">
        <w:rPr>
          <w:rFonts w:ascii="Times New Roman" w:hAnsi="Times New Roman"/>
          <w:color w:val="000000" w:themeColor="text1"/>
          <w:sz w:val="16"/>
          <w:szCs w:val="16"/>
        </w:rPr>
        <w:t>.</w:t>
      </w:r>
    </w:p>
    <w:p w14:paraId="7E6F0A8A"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Также было много вопросов об эксплуатации танков зимой, особенно о поведении брони и сварных швов при обстреле при низких температурах, о сроках службы танков и различных агрегатов, о заклинивании башенного погона после попаданий снарядов или перекашивания корпуса. В отчёте о беседе, составленном членами комиссии для ГАБТУ, было сказано, что, по их мнению, англичанам танк понравился, особенно его вооружение. Не понравилось британцам сиденье заряжающего, которое нельзя было сложить, отсутствие клинометра для стрельбы с закрытых позиций и большой разрыв между скоростями при 3-й и 4-й передачах.</w:t>
      </w:r>
    </w:p>
    <w:p w14:paraId="04F44E04"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Комиссией были замечены признаки того, что англичане собираются производить Т-34 на собственных заводах, заменив пушку Ф-34 на 17-фунтовку, поставив более совершенную коробку передач, механизмы поворота и воздухоочистители. В отчёте говорилось, что англичане почти не скрывают этого факта, и что рабочие британских танковых заводов признаются, что вот-вот начнут собирать «тридцатьчетвёрки».</w:t>
      </w:r>
    </w:p>
    <w:p w14:paraId="2B61A8ED" w14:textId="4771EFF4"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 Т-34 в Англии так и не состоялся, но единственный экземпляр оказался довольно востребованным. «Тридцатьчетвёрку» заказали на Полигоне боевых машин (FVPE — Fighting Vehicles Proving Establishment) летом 1944 года для сравнительных</w:t>
      </w:r>
      <w:r w:rsidR="00B643A8" w:rsidRPr="00070ADE">
        <w:rPr>
          <w:rFonts w:ascii="Times New Roman" w:hAnsi="Times New Roman"/>
          <w:color w:val="000000" w:themeColor="text1"/>
          <w:sz w:val="16"/>
          <w:szCs w:val="16"/>
        </w:rPr>
        <w:t xml:space="preserve"> </w:t>
      </w:r>
      <w:hyperlink r:id="rId17" w:history="1">
        <w:r w:rsidRPr="00070ADE">
          <w:rPr>
            <w:rStyle w:val="a5"/>
            <w:rFonts w:ascii="Times New Roman" w:hAnsi="Times New Roman"/>
            <w:color w:val="000000" w:themeColor="text1"/>
            <w:sz w:val="16"/>
            <w:szCs w:val="16"/>
            <w:u w:val="none"/>
          </w:rPr>
          <w:t>испытаний с «Пантерой»</w:t>
        </w:r>
      </w:hyperlink>
      <w:r w:rsidRPr="00070ADE">
        <w:rPr>
          <w:rFonts w:ascii="Times New Roman" w:hAnsi="Times New Roman"/>
          <w:color w:val="000000" w:themeColor="text1"/>
          <w:sz w:val="16"/>
          <w:szCs w:val="16"/>
        </w:rPr>
        <w:t>, но так и не дождались, и испытания немецкой машины провели без Т-34. Советский танк туда всё-таки попал к концу года, и на полигоне получили возможность сравнить ходовые качества «тридцатьчетвёрки» с другими британскими и зарубежными машинами</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(18249).</w:t>
      </w:r>
    </w:p>
    <w:p w14:paraId="5C9A4BC9" w14:textId="77777777" w:rsidR="0059774D" w:rsidRPr="00070ADE" w:rsidRDefault="0059774D" w:rsidP="00B56F90">
      <w:pPr>
        <w:spacing w:after="0" w:line="240" w:lineRule="auto"/>
        <w:jc w:val="both"/>
        <w:rPr>
          <w:rFonts w:ascii="Times New Roman" w:hAnsi="Times New Roman"/>
          <w:color w:val="000000" w:themeColor="text1"/>
          <w:sz w:val="16"/>
          <w:szCs w:val="16"/>
        </w:rPr>
      </w:pPr>
    </w:p>
    <w:p w14:paraId="175A682F" w14:textId="77777777" w:rsidR="00E35A28" w:rsidRPr="00C94B78" w:rsidRDefault="00E35A2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6 января 1944 года группа советских инженеров и сотрудников Наркомвнешторга посетила британский полигон с целью провести совещание, посвящённое конструкции танков Т-34 и КВ. С английской стороны присутствовали порядка 15 высокопоставленных офицеров, начальников различных отделов и групп. Похоже, что тема советских танков для британских танкистов была интересной. В ходе совещания был задан 41 вопрос, как конкретно о танках Т-34 и КВ, так и о различных вопросах конструирования танков. Вопросы были актуальными для британских конструкторов. Например, у советской делегации спросили, как они справились с газами, выходящими из казённика после выстрела из 76-мм пушки — проблема, с которой в это время боролись конструкторы «Файрфлая».</w:t>
      </w:r>
    </w:p>
    <w:p w14:paraId="025B8894" w14:textId="77777777" w:rsidR="00E35A28" w:rsidRPr="00C94B78" w:rsidRDefault="00E35A2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Также было много вопросов об эксплуатации танков зимой, особенно о поведении брони и сварных швов при обстреле при низких температурах, о сроках службы танков и различных агрегатов, о заклинивании башенного погона после попаданий снарядов или перекашивания корпуса. В отчёте о беседе, составленном членами комиссии для ГАБТУ, было сказано, что, по их мнению, англичанам танк понравился, особенно его вооружение. Не понравилось британцам сиденье заряжающего, которое нельзя было сложить, отсутствие клинометра для стрельбы с закрытых позиций и большой разрыв между скоростями при 3-й и 4-й передачах (25534).</w:t>
      </w:r>
    </w:p>
    <w:p w14:paraId="0C933D68" w14:textId="77777777" w:rsidR="00E35A28" w:rsidRPr="00C94B78" w:rsidRDefault="00E35A28" w:rsidP="00B56F90">
      <w:pPr>
        <w:spacing w:after="0" w:line="240" w:lineRule="auto"/>
        <w:jc w:val="both"/>
        <w:rPr>
          <w:rFonts w:ascii="Times New Roman" w:hAnsi="Times New Roman"/>
          <w:color w:val="0070C0"/>
          <w:sz w:val="16"/>
          <w:szCs w:val="16"/>
        </w:rPr>
      </w:pPr>
    </w:p>
    <w:p w14:paraId="265A46F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января 1944 вышло Постановление ГКО № 4896 О строительстве Волчанского угольного разреза на Урале. (7167, 246-249,250-254).</w:t>
      </w:r>
    </w:p>
    <w:p w14:paraId="70626A7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9B6287"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61F7BE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E23DB8"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6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026670AC"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6 января к северу от Невеля наши войска,преодолевая сопротивление и контратаки противника, продолжали вести наступательные бои, в ходе которых заняли несколько населённых пунктов.</w:t>
      </w:r>
    </w:p>
    <w:p w14:paraId="2EFD2C23"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наступление и овладели районнымицентрами Житомирской области городом Чуднов, Городница, районным центром Ровенской области и железнодорожной станцией Рокитно, районными центрами Киевской области Жашков, Узин, а также заняли более 80 других населённых пунктов и среди них крупные населённые пункты Новый Мирополь, Старый Мирополь, Печановка, Городиевка, Романовка, Большие Коровинцы, Голодьки, Зозов, Росоше, Медовка, Великая Растовка, Салогубовка, Журавлиха, Юшков Рог, Салиха, Синява,Остров, Житнегоры, Савинцы, Розалеевка, Мировка и железнодорожные станции Мирополь, Печановка, Разино, Михайленки, Липовец, Томиловка, Сухолесы.</w:t>
      </w:r>
    </w:p>
    <w:p w14:paraId="4192FBCA"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и артиллерийско-миномётнаяперестрелка.</w:t>
      </w:r>
    </w:p>
    <w:p w14:paraId="3ED240FF"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5 января наши войска на всех фронтах подбили и уничтожили 110 немецких танков. В воздушных боях и огнём зенитной артиллерии сбито 19 самолётов противника.</w:t>
      </w:r>
    </w:p>
    <w:p w14:paraId="2314593F"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северу от Невеля противник подтянул резервы и оказывает упорное сопротивление. Части Н-ского соединения в течение дня отбили две контратакинемцев и, с боям продвигаясь вперёд, заняли несколько населённых пунктов. На другом участке наши бойцы ночью атаковали противника и в результате рукопашнойсхватки овладели выгодными позициями. Захвачено у немцев 5 орудий, 10 миномётов, 26 пулемётов и склад боеприпасов.</w:t>
      </w:r>
    </w:p>
    <w:p w14:paraId="5EB07ADC"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развивать наступление. Части Н-ского соединения, разгромив пехоту противника, пытавшуюся закрепиться напромежуточном оборонительном рубеже, решительным ударом овладели районным центром Житомирской области и важным узлом шоссейных дорог — городом Чуднов.Отступая в беспорядке, гитлеровцы бросили много оружия и военных материалов. Нашими войсками заняты также районный центр Ровенской области Рокитно, районныйцентр Житомирской области Городница, районные центры Киевской области Жашков, Узин и свыше 80 других населённых пунктов. Продвигаясь вперёд, советские части наносят противнику тяжёлые потери. За день боёв уничтожено свыше 3.000 немецкихсолдат и офицеров, 83 танка, 68 полевых и 13 самоходных орудий, более 200 миномётов, 175 автомашин и 180 повозок. Захвачены трофеи, в числе которых 16 бронемашин, 63 орудия, 120 пулемётов, свыше 1.000 автоматов и винтовок, 70 автомашин и 8 складов с вооружением, боеприпасами и различным военнымимуществом. Взято значительное количество пленных.</w:t>
      </w:r>
    </w:p>
    <w:p w14:paraId="336633DF"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Западнее Пропойска наш лыжный батальон скрытно проник в тыл противника и форсировал реку Днепр. Советские лыжники внезапно ворвались в деревню, в которой находился штаб немецкой пехотной дивизии. Смелой атакой наши бойцы уничтожили охрану и много штабных офицеров. Разгромив штаб и захватив пленных, в том числе несколько немецких офицеров, лыжники благополучно вернулись в свою часть.</w:t>
      </w:r>
    </w:p>
    <w:p w14:paraId="72E0C5B4"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Чёрном море потоплена одна и серьёзно повреждены 6 быстроходных десантных барж противника.</w:t>
      </w:r>
    </w:p>
    <w:p w14:paraId="340D8679"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одном из районов Полесской области, заминировал участок железной дороги. На мины наскочил немецкий воинский эшелон.Взрывом сброшен с рельсов паровоз и разбито 9 платформ вместе с находившимися на них 14 автомашинами. Кроме того, советские патриоты совершили несколько смелых нападений на немецкие маршевые подразделения, следовавшие да фронт. В ходе этихопераций уничтожено до двух рот гитлеровцев. Ружейно-пулемётным огнём партизаны сбили двухмоторный бомбардировщик противника.</w:t>
      </w:r>
    </w:p>
    <w:p w14:paraId="05ECA202"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солдат 14 полка 78 немецкой пехотной дивизии Гейнц Бейке рассказал: «До августа 1943 года я работал жестянщиком на различных предприятиях в городе Ганновере и соприкасался с русскими, насильно привезёнными в Германию. Для них установлен четырнадцатичасовой рабочий день. Живут они в бараках, обнесённых двумя рядами колючей проволоки. На работу и с работы их сопровождает вооружённый конвой. В течение суток русский рабочий получает один раз небольшой кусочек эрзац-хлеба и тарелку супа, приготовленного из кормовой свёклы. От голода и непосильного труда рабочие с трудом держатся на ногах, а многие умирают. За невыполнение норм выработки русских жестоко избивают или отправляют в штрафные концлагери. Одно только упоминание об этих лагерях приводит людей в ужас. Все знают, что посылка в эти лагери равносильна смерти. Оттуда уже нет возврата».</w:t>
      </w:r>
    </w:p>
    <w:p w14:paraId="620FD63B"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ефрейтор 2 роты 426 полка 126 немецкой пехотной дивизии Вильгельм Хоппе сообщил: «Я работал на заводе Мюллера в Гавельбурге. В прошлом году назавод пригнали 200 русских девушек из Курской области, Крыма и Украины. Среди них были студентки медицинских институтов, учительницы, крестьянки. Жизнь русских людей в Германии до того тяжка и невыносима, что даже физически очень крепкий человек не может долго выдержать. Многие девушки открыто протестовали против режима, установленного для них. Голод, побои и издевательства не сломили их воли. Они говорят: «Всё равно Красная Армия освободит нас из плена».</w:t>
      </w:r>
    </w:p>
    <w:p w14:paraId="149A756B" w14:textId="77777777" w:rsidR="00414BE3" w:rsidRPr="00070ADE" w:rsidRDefault="00414B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Насильный угон мирных советских жителей на каторгу в Германию является одним из самых чудовищных злодеяний правящей гитлеровской клики. Грубо и нагло попирая все законы и обычаи ведения войны, немецко-фашистские мерзавцы отрывают советских граждан от своих родных мест, от своих семей, разлучают отцов иматерей со своими детьми. Немцы превращают мирных и свободных советских граждан в «военнопленных», в своих рабов, калечат их и морят голодом, выматывают у них все силы. Под гнётом каторжного режима, от голода и непосильного труда гибнут многие тысячи советских граждан. Перед этими зверствами фашистских извергов бледнеют даже самые страшные преступления, какие знал когда-либо мир. Красная Армия, народы Советского Союза исполнены жгучей ненависти к подлому врагу ижажды мести за советских людей, загубленных гитлеровскими палачами. Немецко-фашистские работорговцы будут нести ответственность за каждого гражданина СССР, замученного в фашистской неволе, за все страдания советских людей, насильно угнанных на каторжные работы в Германию.» (15001).</w:t>
      </w:r>
    </w:p>
    <w:p w14:paraId="04975780" w14:textId="77777777" w:rsidR="00414BE3" w:rsidRPr="00070ADE" w:rsidRDefault="00414BE3" w:rsidP="00B56F90">
      <w:pPr>
        <w:spacing w:after="0" w:line="240" w:lineRule="auto"/>
        <w:jc w:val="both"/>
        <w:rPr>
          <w:rFonts w:ascii="Times New Roman" w:hAnsi="Times New Roman"/>
          <w:color w:val="000000" w:themeColor="text1"/>
          <w:sz w:val="16"/>
          <w:szCs w:val="16"/>
        </w:rPr>
      </w:pPr>
    </w:p>
    <w:p w14:paraId="3D0483D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января 1944 авиаторы нанесли несколько мощных ударов по опорным пунктам и узлам сопротивления немцев, а также по железнодорожным и автомобильным дорогам на Кировоград. Особенно успешно действовали штурмовики 1-го штурмового корпуса.</w:t>
      </w:r>
    </w:p>
    <w:p w14:paraId="7143C89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Например, 12 Ил-2 от 800-го шап 292-й шад (ведущий капитан Пошивальников) весьма успешно отработали по танкам и артиллерии в районе юго-западнее Аджамки. В результате было уничтожено пять автомашин. На выходе из третьего захода Пошивальников заметил в воздухе 4 Bf 109, идущих на сближение с группой Ил-2. Не растерявшись, он быстро построил группу в оборонительный круг. В последовавшем воздушном бою огнем штурмовиков и истребителей прикрытия один "мессер" был сбит.</w:t>
      </w:r>
    </w:p>
    <w:p w14:paraId="50734D1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Группа в составе 18 Ил-2 от 673-го шап 266-й шад (ведущий майор Матиков) нанесли весьма эффективный удар по немецким танкам, автомашинам и живой силе в районе Завадовки. Экипажи доложили, что ими уничтожено семь автомашин и около сотни солдат и офицеров противника.</w:t>
      </w:r>
    </w:p>
    <w:p w14:paraId="7261CF3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районе Обозновки 12 Ил-2 от 800-го шап (ведущий капитан Степанов) в нескольких заходах уничтожили два танка, три автомашины, создали два взрыва большой силы, а также подавили огонь двух батарей полевой артиллерии на южной окраине Марьевки.</w:t>
      </w:r>
    </w:p>
    <w:p w14:paraId="2D57329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Семерка Ил-2 от 66-го шап 266-й шад (ведущий лейтенант Пушкин) уничтожили на автодороге между Братолюбовкой и Гуровкой шесть автомашин и взорвали склад с боеприпасами.</w:t>
      </w:r>
    </w:p>
    <w:p w14:paraId="053DB5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Наиболее ожесточенные бои с широким применением танков развернулись в районе Новгородки, причем обе стороны активно использовали авиацию. Экипажи 1-го шак не только атаковали наземные цели, но и нередко вели воздушные бои.</w:t>
      </w:r>
    </w:p>
    <w:p w14:paraId="2B71BB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Например, четверка Ил-2 от 735-го шап 266-й шад после удара по немецким танкам нос к носу столкнулась с тремя группами пикировщиков Люфтваффе Ju 87, которые находились несколько выше штурмовиков и уже перестраивались в круг для бомбометания по боевым порядкам наших войск. Ведущий группы лейтенант Филатов принял решение атаковать немецкие самолеты. В завязавшемся воздушном бою штурмовики сбили два "юнкерса". Причем один из них сбил лично Филатов. Немецкие пилоты беспорядочно побросали бомбы и поспешили выйти из боя на свою территорию.</w:t>
      </w:r>
    </w:p>
    <w:p w14:paraId="4522903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Девятка Ил-2 от 66-го шап (ведущий капитан Девятьяров) выдержала тяжелый воздушный бой с восьмеркой Bf 109. Немецкие пилоты атаковали штурмовики на выходе из первой атаки. Одна четверка Bf 109 связала боем истребители прикрытия, а вторая атаковала Ил-2 на встречных курсах. Пилотам Люфтваффе не повезло, их вовремя заметили. В результате сосредоточенным огнем воздушных стрелков сержанта Манашкина и красноармейца Баранникова три "мес- сершмитта" были сбиты.</w:t>
      </w:r>
    </w:p>
    <w:p w14:paraId="5A0325F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Эти примеры показывают, насколько повысилась тактическая грамотность и боевое мастерство летчиков-штурмовиков. В каждом боевом вылете они действовали строго сообразуясь с текущей обстановкой и наносили врагу большой урон в живой силе и боевой технике при минимальных своих потерях.</w:t>
      </w:r>
    </w:p>
    <w:p w14:paraId="45D406A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в этот день экипажи 1-го шак выполнили 348 вылетов и уничтожили 26 танков, 112 автомашин, 7 батарей полевой и зенитной артиллерии и сбили в воздушных боях семь самолетов противника, потеряв при этом только 2 Ил-2.</w:t>
      </w:r>
    </w:p>
    <w:p w14:paraId="720F84D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Повышение активности авиации сразу же сказалось на общей обстановке и привело к прорыву обороны противника. К исходу дня оперативное окружение немецких войск в районе Лепековки и Балки-Злодейки было завершено. В котел попали до 15000 немецких солдат.</w:t>
      </w:r>
    </w:p>
    <w:p w14:paraId="5868F0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Противник пытался деблокировать эту группировку, для чего активно контратаковал и подтягивал к району окружения значительные силы танков и мотопехоты.</w:t>
      </w:r>
    </w:p>
    <w:p w14:paraId="4CDE11D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авиаразведкой было обнаружено выдвижение из Новониколаевки и района Пя- тихаток в направление на Обозновку двух больших колонн немецких танков и автомашин. Для их уничтожения срочно были подняты в воздух штурмовики I -го шак. Первую семерку Ил-2 повел один из наиболее опытных летчиков 292-й шад командир эскадрильи 667-го шап капитан Компанией. Несмотря на густой туман, экипажи обнаружили противника на юго-западной окраине Лепековки и в нескольких заходах уничтожили пять танков, 10 автомашин и около двух рот пехоты. Вскоре над полем боя появилась вторая семерка Ил-2, которую вел командир эскадрильи этого же полка капитан Красота. В течение 20 минут экипажи штурмовали противника. В результате было уничтожено 16 автомашин с пехотой.</w:t>
      </w:r>
    </w:p>
    <w:p w14:paraId="7E606F8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Налеты штурмовиков помогли частям 29-го тк отразить контратаки противника, перейти в наступление и отбить несколько населенных пунктов (12020).</w:t>
      </w:r>
    </w:p>
    <w:p w14:paraId="54A36D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CBB108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января 1944 хмурым облачным днем 52 машины из 67 вылетевших "пешек" 301-й бад 3-го бак нанесли удар по железнодорожной станции Калинковичи, а остальные бомбили запасные цели. "Густые темно-оранжевые облака поднялись кверху, заволакивая город, - вспоминал генерал А.З. Каравацкий. - А в небе то и дело появлялись разрывы зенитных снарядов. Они казались такими безобидными, что даже не верилось, будто могли сразить тяжелый самолет. Между тем каждый из этих разрывов таил в себе смертельную опасность. К счастью, полег обошелся без потерь".</w:t>
      </w:r>
    </w:p>
    <w:p w14:paraId="4F74EE7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Группа бомбардировщиков вернулась, а на станции горели вагоны и платформы с грузами, в десятке мест было разрушено железнодорожное полотно. Артерия, питавшая группировку врага, оказалась разорвана на сутки.</w:t>
      </w:r>
    </w:p>
    <w:p w14:paraId="53EC4D2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B57A9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января 1944 г. была подготовлена ДОКЛАДНАЯ ЗАПИСКА НАЧАЛЬНИКА ТУ ГБТУ КА НАЧАЛЬНИКУ ГУФ и БП БТ и МВ КА О ПОДГОТОВКЕ ЭКИПАЖЕЙ НА НОВЫЕ ТЯЖЕЛЫЕ ТАНКИ МАРКИ ИС И ИС-2 № 520095</w:t>
      </w:r>
    </w:p>
    <w:p w14:paraId="5D1ED9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ноябре 1943 года заводы промышленности начали выпуск новых тяжелых танков марки ИС и ИС-2. Конструкция этих танков в значительной степени отличается от ранее выпускавшихся тяже</w:t>
      </w:r>
      <w:r w:rsidRPr="00070ADE">
        <w:rPr>
          <w:rFonts w:ascii="Times New Roman" w:hAnsi="Times New Roman"/>
          <w:color w:val="000000" w:themeColor="text1"/>
          <w:sz w:val="16"/>
          <w:szCs w:val="16"/>
        </w:rPr>
        <w:softHyphen/>
        <w:t>лых танков: двигатель танка В-2 ИС имеет всережимный регулятор числа оборотов, корректор пода</w:t>
      </w:r>
      <w:r w:rsidRPr="00070ADE">
        <w:rPr>
          <w:rFonts w:ascii="Times New Roman" w:hAnsi="Times New Roman"/>
          <w:color w:val="000000" w:themeColor="text1"/>
          <w:sz w:val="16"/>
          <w:szCs w:val="16"/>
        </w:rPr>
        <w:softHyphen/>
        <w:t>чи топлива и электро-инерционный стартер.</w:t>
      </w:r>
    </w:p>
    <w:p w14:paraId="037C1C9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Механизмы поворота выполнены по типу планетарных. На танке ИС-2 устанавливается новая 122-мм пушка.</w:t>
      </w:r>
    </w:p>
    <w:p w14:paraId="4B613AF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Первый опыт получения частями новых танков показал, что подготовка экипажей в учебных частях не является удовлетворительной. Так, при получении эшелона с танками ИС 58-м гв. тяжелым танковым полком прорыва на ст. Пушкино оказалось, что водители, прибывшие с эшелоном не в состоянии разгрузить машины с ж.д. платформ, что было выполнено заводской бригадой. На марше к району сосредоточения и на ротных учениях было выведено из строя 6 машин из 21.</w:t>
      </w:r>
    </w:p>
    <w:p w14:paraId="6C1F464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ваших указаний начальнику УФиУ БТ и МВ КА командирам учебных частей и соедине</w:t>
      </w:r>
      <w:r w:rsidRPr="00070ADE">
        <w:rPr>
          <w:rFonts w:ascii="Times New Roman" w:hAnsi="Times New Roman"/>
          <w:color w:val="000000" w:themeColor="text1"/>
          <w:sz w:val="16"/>
          <w:szCs w:val="16"/>
        </w:rPr>
        <w:softHyphen/>
        <w:t>ний, готовящих экипажи для танков ИС и ИС-2, об укомплектовании их составом, имеющим боевой опыт и работавшим ранее на танках КВ или, в крайнем случае, на танках Т-34, причем водителям необходимо предоставить практику вождения танка ИС в количестве 6-10 часов каждому.</w:t>
      </w:r>
    </w:p>
    <w:p w14:paraId="06D909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ТУ ГБТУ Красной Армии генерал-майор инженерно-танковой службы Афонин</w:t>
      </w:r>
    </w:p>
    <w:p w14:paraId="4F5C099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2515. Л. 1. Копия (11403).</w:t>
      </w:r>
    </w:p>
    <w:p w14:paraId="18E81F4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0496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lastRenderedPageBreak/>
        <w:t>Jan 6 1944 Soviet troops advance into Poland (1050).</w:t>
      </w:r>
    </w:p>
    <w:p w14:paraId="7703E1B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AF747F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января 1944 советские войска вошли в Польшу (1050).</w:t>
      </w:r>
    </w:p>
    <w:p w14:paraId="2B903C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5D760C"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37869F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A95ABD"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6 января</w:t>
      </w:r>
      <w:r w:rsidRPr="00070ADE">
        <w:rPr>
          <w:rFonts w:ascii="Times New Roman" w:hAnsi="Times New Roman"/>
          <w:color w:val="000000" w:themeColor="text1"/>
          <w:sz w:val="16"/>
          <w:szCs w:val="16"/>
        </w:rPr>
        <w:t xml:space="preserve"> 1944. впервые поднялся в воздух (на год позже запланированного) опытный экземпляр самолёта, спроектированного как истребитель бомбардировщиков ХP-67 Bat (компания McDonnell, США).</w:t>
      </w:r>
    </w:p>
    <w:p w14:paraId="760ACDCA"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ХР-67 представлял собой цельнометаллический двухмоторный среднеплан. Весьма необычный вид истребителю обеспечивал внешний вид фюзеляжа и гондол двигателей.</w:t>
      </w:r>
    </w:p>
    <w:p w14:paraId="1785A304"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Дело в том, что в соответствии с тогдашними представлениями о аэродинамике им придали форму напоминающую профиль крыла. В носовой части фюзеляжа полумонококовой конструкции располагалась ниша носовой стойки шасси, а за ней просторная кабина пилота со сдвижным фонарем. По проекту она должна была быть герметичной, но для ускорения темпов испытаний на прототипе ее решили установить позже. Крыло - двухлонжеронное, целиком выполнено из легких сплавов. Оно имело поперечное V – 3О, ширину в корне 3,25 м и 2,37 м на конце. Каждая консоль крыла состояла из двух частей - внутренней и внешней. Внутренняя конструктивно входила в состав фюзеляжа и включала в себя отсек вооружения и мотогондолу. В корневой части имелись большие зализы, которые обеспечивали плавное соединение фюзеляжа с крылом и придавали последнему весьма необычный вид в плане. Внешняя часть имела трапециевидную форму и стыковалась с внутренней в районе мотогондолы. Горизонтальное оперение имело поперечное V – 5О. Все управляющие поверхности имели металлическую обшивку и были выполнены по единой схеме - работающий на кручение носок кессонного типа с нервюрами и обшивкой. Силовая установка состояла из двух двенадцатицилиндровых двигателей водяного охлаждения Континенталь XI-1430-17 (правый) и -19 (левый), вращавших четырехлопастные винты изменяемого шага Кер-тисс-Электрик диаметром 3,25 м. Моторы оснащались турбонагнетателями Дженерал Электрик D-23 и имели взлетную мощность по 1350 л.с. Был предусмотрен боевой режим, при котором моторы могли в течении 5 мин. развивать 1600 л.с. на высоте 7600 м. Топливо размещалось в четырех протектированых топливных баках в крыле и фюзеляже, суммарной емкостью 2780 л. За свой необычный внешний вид истребитель получил неофициальное название "Мунбэт" - разновидность ночной летучей мыши-вампира. Здесь очевидно сказалось студенческое увлечение "Мистера Мака" оккультизмом и его шотландское происхождение (ну любят "Горцы" всякую нечисть). Эта традиция продолжалась и в дальнейшем, достаточно вспомнить названия его последующих самолетов - "Фантом", "Баныши", "Демон"... Как уже упоминалось выше, на самолете отсутствовала гермокабина, а вместо вооружения были установлены баки с углекислым газом для системы пожаротушения. Как показал первый полёт эта предосторожность оказалась нелишней, он продолжался всего шесть минут, так как обнаружились неполадки в силовой установке. Наземный осмотр показал, что причиной являлся перегрев трубопроводов выхлопной системы (15001).</w:t>
      </w:r>
    </w:p>
    <w:p w14:paraId="7CCB81D4" w14:textId="77777777" w:rsidR="00264F92" w:rsidRPr="00070ADE" w:rsidRDefault="00264F92" w:rsidP="00B56F90">
      <w:pPr>
        <w:spacing w:after="0" w:line="240" w:lineRule="auto"/>
        <w:jc w:val="both"/>
        <w:rPr>
          <w:rFonts w:ascii="Times New Roman" w:hAnsi="Times New Roman"/>
          <w:color w:val="000000" w:themeColor="text1"/>
          <w:sz w:val="16"/>
          <w:szCs w:val="16"/>
        </w:rPr>
      </w:pPr>
    </w:p>
    <w:p w14:paraId="1D8D31C0" w14:textId="77777777"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января 1944 первый полет McDonnell XP-67 Bat (20373).</w:t>
      </w:r>
    </w:p>
    <w:p w14:paraId="4CBA4DCB" w14:textId="77777777" w:rsidR="00EB290F" w:rsidRPr="00070ADE" w:rsidRDefault="00EB290F" w:rsidP="00B56F90">
      <w:pPr>
        <w:spacing w:after="0" w:line="240" w:lineRule="auto"/>
        <w:jc w:val="both"/>
        <w:rPr>
          <w:rFonts w:ascii="Times New Roman" w:hAnsi="Times New Roman"/>
          <w:color w:val="000000" w:themeColor="text1"/>
          <w:sz w:val="16"/>
          <w:szCs w:val="16"/>
        </w:rPr>
      </w:pPr>
    </w:p>
    <w:p w14:paraId="224743AF" w14:textId="63DB9FE9"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января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Впервые поднялся в воздух (на год позже запланированного) опытный экземпляр самолёта, спроектированного как истребитель бомбардировщиков ХP-67 Bat (компания McDonnell, США). Это был самый первый самолет, спроектированный Джеймсом Макдоннеллом (22678).</w:t>
      </w:r>
    </w:p>
    <w:p w14:paraId="22FC495F" w14:textId="77777777" w:rsidR="00EB290F" w:rsidRPr="00070ADE" w:rsidRDefault="00EB290F" w:rsidP="00B56F90">
      <w:pPr>
        <w:spacing w:after="0" w:line="240" w:lineRule="auto"/>
        <w:jc w:val="both"/>
        <w:rPr>
          <w:rFonts w:ascii="Times New Roman" w:hAnsi="Times New Roman"/>
          <w:color w:val="000000" w:themeColor="text1"/>
          <w:sz w:val="16"/>
          <w:szCs w:val="16"/>
        </w:rPr>
      </w:pPr>
    </w:p>
    <w:p w14:paraId="43978F36" w14:textId="70EC43C9"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января 1944 года — первый полёт перехватчика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McDonnell XP-67 "Bat"</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(или "Moonbat"). /США/</w:t>
      </w:r>
    </w:p>
    <w:p w14:paraId="285DF252" w14:textId="1DCFC73A"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1939 году ВВС США опубликовали требования к</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дальнему скоростному перехватчику для уничтожения вражеских бомбардировщиков. Среди 23 участников конкурса была и молодая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McDonnell Aircraft. Хотя её проект и занял 21-е место, но ВВС выделили небольшое финансирование для продолжения работ. Так началась история будущего XP-67 "Bat", который стал первым самолётом компании.</w:t>
      </w:r>
    </w:p>
    <w:p w14:paraId="3725F640" w14:textId="672EEF9F"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XP-67 "Bat" был</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необычным среднепланом c обтекаемыми гондолами двигателей и фюзеляжем узкого сечения. 2 × двигателя Continental XIV-1430-17/19 (1350 л.с.) позволяли развить максимальную скорость в 650 км/ч. Дальность полёта — 3837 км. Вооружение — 6 × 37-мм пушек M4.</w:t>
      </w:r>
    </w:p>
    <w:p w14:paraId="4664D382" w14:textId="2DD7BD61"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выявили ряд проблем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недостаточная мощность двигателей, плохая управляемость на некоторых режимах полёта, перегрев двигателей и т.д. Полностью устранить их не удалось.</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Единственный прототип XP-67 сгорел</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 сентябре 1944 года после возгорания правого двигателя. После этого проект закрыли (22300).</w:t>
      </w:r>
    </w:p>
    <w:p w14:paraId="25130F66" w14:textId="77777777" w:rsidR="00EB290F" w:rsidRPr="00070ADE" w:rsidRDefault="00EB290F" w:rsidP="00B56F90">
      <w:pPr>
        <w:spacing w:after="0" w:line="240" w:lineRule="auto"/>
        <w:jc w:val="both"/>
        <w:rPr>
          <w:rFonts w:ascii="Times New Roman" w:hAnsi="Times New Roman"/>
          <w:color w:val="000000" w:themeColor="text1"/>
          <w:sz w:val="16"/>
          <w:szCs w:val="16"/>
        </w:rPr>
      </w:pPr>
    </w:p>
    <w:p w14:paraId="264096C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января 1944 США и Англия объявили о плане создания ими совместного реактивного самолета (4962).</w:t>
      </w:r>
    </w:p>
    <w:p w14:paraId="16E443F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0FB950"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C450B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D52F5E" w14:textId="77777777" w:rsidR="000D5A0D" w:rsidRPr="00070ADE" w:rsidRDefault="000D5A0D"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в первые дни января 1944 г. для этой ра</w:t>
      </w:r>
      <w:r w:rsidRPr="00070ADE">
        <w:rPr>
          <w:color w:val="000000" w:themeColor="text1"/>
          <w:sz w:val="16"/>
          <w:szCs w:val="16"/>
        </w:rPr>
        <w:softHyphen/>
        <w:t>боты по ПВРД был выделен самолет Як-7Б №820803.</w:t>
      </w:r>
    </w:p>
    <w:p w14:paraId="0086F4E8" w14:textId="77777777" w:rsidR="000D5A0D" w:rsidRPr="00070ADE" w:rsidRDefault="000D5A0D"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Истребитель Як-7 сочетал хорошую скорость, устойчивость и управляемость, а за креслом пилота оставалось сво</w:t>
      </w:r>
      <w:r w:rsidRPr="00070ADE">
        <w:rPr>
          <w:rFonts w:ascii="Times New Roman" w:hAnsi="Times New Roman" w:cs="Times New Roman"/>
          <w:color w:val="000000" w:themeColor="text1"/>
          <w:sz w:val="16"/>
          <w:szCs w:val="16"/>
        </w:rPr>
        <w:softHyphen/>
        <w:t>бодное место, на котором при переба</w:t>
      </w:r>
      <w:r w:rsidRPr="00070ADE">
        <w:rPr>
          <w:rFonts w:ascii="Times New Roman" w:hAnsi="Times New Roman" w:cs="Times New Roman"/>
          <w:color w:val="000000" w:themeColor="text1"/>
          <w:sz w:val="16"/>
          <w:szCs w:val="16"/>
        </w:rPr>
        <w:softHyphen/>
        <w:t>зировании обычно возили аэродромное имущество и даже механиков. Там можно было разместить инженера-эксперимен</w:t>
      </w:r>
      <w:r w:rsidRPr="00070ADE">
        <w:rPr>
          <w:rFonts w:ascii="Times New Roman" w:hAnsi="Times New Roman" w:cs="Times New Roman"/>
          <w:color w:val="000000" w:themeColor="text1"/>
          <w:sz w:val="16"/>
          <w:szCs w:val="16"/>
        </w:rPr>
        <w:softHyphen/>
        <w:t>татора с органами управления контроля работы ПВРД и стандартный набор са</w:t>
      </w:r>
      <w:r w:rsidRPr="00070ADE">
        <w:rPr>
          <w:rFonts w:ascii="Times New Roman" w:hAnsi="Times New Roman" w:cs="Times New Roman"/>
          <w:color w:val="000000" w:themeColor="text1"/>
          <w:sz w:val="16"/>
          <w:szCs w:val="16"/>
        </w:rPr>
        <w:softHyphen/>
        <w:t>мописцев. В сдвижной фанерной крышке этой кабины не составляло труда про</w:t>
      </w:r>
      <w:r w:rsidRPr="00070ADE">
        <w:rPr>
          <w:rFonts w:ascii="Times New Roman" w:hAnsi="Times New Roman" w:cs="Times New Roman"/>
          <w:color w:val="000000" w:themeColor="text1"/>
          <w:sz w:val="16"/>
          <w:szCs w:val="16"/>
        </w:rPr>
        <w:softHyphen/>
        <w:t>резать окна и зашить их целлулоидом, чтобы видеть состояние двигателей под крылом. Из всех советских самолетов того времени, Як-7 лучше всего подходил для такой работы. Но теперь о плохом.</w:t>
      </w:r>
    </w:p>
    <w:p w14:paraId="546E0DE5" w14:textId="77777777" w:rsidR="000D5A0D" w:rsidRPr="00070ADE" w:rsidRDefault="000D5A0D"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Взятый самолет был выпуска завода №82, качество самолетов которого было самым низким среди продукции всех трех производителей машин этого типа. Эта машина отлетала уже два года, практи</w:t>
      </w:r>
      <w:r w:rsidRPr="00070ADE">
        <w:rPr>
          <w:rFonts w:ascii="Times New Roman" w:hAnsi="Times New Roman" w:cs="Times New Roman"/>
          <w:color w:val="000000" w:themeColor="text1"/>
          <w:sz w:val="16"/>
          <w:szCs w:val="16"/>
        </w:rPr>
        <w:softHyphen/>
        <w:t>чески исчерпав свой ресурс, она успела пройти доработку для испытаний бомбо</w:t>
      </w:r>
      <w:r w:rsidRPr="00070ADE">
        <w:rPr>
          <w:rFonts w:ascii="Times New Roman" w:hAnsi="Times New Roman" w:cs="Times New Roman"/>
          <w:color w:val="000000" w:themeColor="text1"/>
          <w:sz w:val="16"/>
          <w:szCs w:val="16"/>
        </w:rPr>
        <w:softHyphen/>
        <w:t>вого вооружения и ремонт после поломки, что тоже не улучшало ее летные качества. И наконец, основной мотор М-105ПФ не имел положенной мощности - нагнетатель недодавал давления наддува.</w:t>
      </w:r>
    </w:p>
    <w:p w14:paraId="1D17EB14" w14:textId="77777777" w:rsidR="000D5A0D" w:rsidRPr="00070ADE" w:rsidRDefault="000D5A0D"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Но как бы то ни было, в начале 1944 г. на заводе №482 под руководством Б.А. Николаевского, ведущего инженера СКБ Меркулова, данный Як-7Б начали до</w:t>
      </w:r>
      <w:r w:rsidRPr="00070ADE">
        <w:rPr>
          <w:rFonts w:ascii="Times New Roman" w:hAnsi="Times New Roman" w:cs="Times New Roman"/>
          <w:color w:val="000000" w:themeColor="text1"/>
          <w:sz w:val="16"/>
          <w:szCs w:val="16"/>
        </w:rPr>
        <w:softHyphen/>
        <w:t>рабатывать, подрезав ему на 500 мм по</w:t>
      </w:r>
      <w:r w:rsidRPr="00070ADE">
        <w:rPr>
          <w:rFonts w:ascii="Times New Roman" w:hAnsi="Times New Roman" w:cs="Times New Roman"/>
          <w:color w:val="000000" w:themeColor="text1"/>
          <w:sz w:val="16"/>
          <w:szCs w:val="16"/>
        </w:rPr>
        <w:softHyphen/>
        <w:t>садочные щитки и установив под крыло прибывшие из Ташкента модифицирован</w:t>
      </w:r>
      <w:r w:rsidRPr="00070ADE">
        <w:rPr>
          <w:rFonts w:ascii="Times New Roman" w:hAnsi="Times New Roman" w:cs="Times New Roman"/>
          <w:color w:val="000000" w:themeColor="text1"/>
          <w:sz w:val="16"/>
          <w:szCs w:val="16"/>
        </w:rPr>
        <w:softHyphen/>
        <w:t>ные прямоточные воздушно-реактивные двигатели ДМ-4с (17742).</w:t>
      </w:r>
    </w:p>
    <w:p w14:paraId="39A217E3" w14:textId="77777777" w:rsidR="000D5A0D" w:rsidRPr="00070ADE" w:rsidRDefault="000D5A0D" w:rsidP="00B56F90">
      <w:pPr>
        <w:pStyle w:val="123"/>
        <w:shd w:val="clear" w:color="auto" w:fill="auto"/>
        <w:spacing w:after="0" w:line="240" w:lineRule="auto"/>
        <w:jc w:val="both"/>
        <w:rPr>
          <w:color w:val="000000" w:themeColor="text1"/>
          <w:sz w:val="16"/>
          <w:szCs w:val="16"/>
        </w:rPr>
      </w:pPr>
    </w:p>
    <w:p w14:paraId="1A7B2D1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января 1944 был готов Як-3Т - переделка серийного Як-3 с двумя синхронными п Б-20С с боезапасом по 100 снарядов и одной центральной Н-37 с 25 снарядами. Машину предельно облегчили сняв все лишнее. Начались заводские испытания (1728,33).</w:t>
      </w:r>
    </w:p>
    <w:p w14:paraId="027DAC1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FB4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ВС ВВС рассмотрел оснащение фронтовой авиации новыми типами самолетов и пришел к заключению о необходимости продолжать перевооружение на Д/Востоке для замены И-16, И-153 и И-15бис (340,160).</w:t>
      </w:r>
    </w:p>
    <w:p w14:paraId="690D39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536F3C"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ADF28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2BA4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января 1944 г. опытный образец самоходной установки СУ-85 с пушкой Д-5С-85БМ прошел заводские испытания и в том же месяце был отправлен на Гороховецкий АНИОП на государственные испытания, которые выдержал (10703).</w:t>
      </w:r>
    </w:p>
    <w:p w14:paraId="5B4406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BD93B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января 1944 года опытный образец самохода СУ-85 с пушкой Д-5С-85БМ прошел заводские испытания, после чего его отправили в Гороховец на государственные, которые он выдержал, но на вооружение принят не был (9637).</w:t>
      </w:r>
    </w:p>
    <w:p w14:paraId="12D8AA8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139842D"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января 1944 г. на своем первом заседании в этом году коллегия Наркомата танкопрома подвела итоги работы своих предприятий. Все танковые заводы страны в целом декабрь 1943 г. закончили либо с выполнением, либо с перевыполнением производственной программы. План по самоходкам и танкам был выполнен на 100,8 %, по дизельным двигателям - на 102,9 %. Подавляющее большинство заводов стабильно наращивали задел (узлы и агрегаты) для сборки основной продукции в следующем периоде. В качестве негативного момента коллегия отметила то, что завод № 174 закончил год совершенно без заделов (но с полным выполнением плана), а все дизельные заводы (Кировский, № 76 и 77) плохо наращивали заделы по узлам[583].</w:t>
      </w:r>
    </w:p>
    <w:p w14:paraId="56909B8C"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1943 г. дальнейший эффективный рост выпуска бронетанковой техники совершенно неожиданно стал тормозиться разразившимся к концу 1942 г. кризисом заготовительного производства в танковой промышленности и невоенных отраслях, в строительстве и на транспорте. Отчасти этот процесс был отражен в протоколе заседания январской коллегии НКТП: все заводы в той или иной степени не выполнили план по выплавке стали и производству стального литья[584]. В 1943 г. вся танковая промышленность и снабжающие ее предприятия других ведомств столкнулись с фактами износа оборудования, дефицита ресурсов или работников основного производства. Без эффективного решения этой проблемы наращивание выпуска и дальнейшее удержание производства бронетанковой техники на достигнутом уровне было невозможно (23536).</w:t>
      </w:r>
    </w:p>
    <w:p w14:paraId="04AC249A" w14:textId="77777777" w:rsidR="00021CBD" w:rsidRPr="00070ADE" w:rsidRDefault="00021CBD" w:rsidP="00B56F90">
      <w:pPr>
        <w:spacing w:after="0" w:line="240" w:lineRule="auto"/>
        <w:jc w:val="both"/>
        <w:rPr>
          <w:rFonts w:ascii="Times New Roman" w:hAnsi="Times New Roman"/>
          <w:color w:val="000000" w:themeColor="text1"/>
          <w:sz w:val="16"/>
          <w:szCs w:val="16"/>
        </w:rPr>
      </w:pPr>
    </w:p>
    <w:p w14:paraId="1D139940"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3EADE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5F16B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начале января 1944 г. на вооружении 45-й авиадивизии значились 20 Пе-8. В феврале большинство из них участвовало в стратегической операции Красной Армии по выводу Финляндии из войны, основным инструментом которой предстояло стать бомбардировщикам АДД. Главной целью бомбардировок стал город Хельсинки, на который было совершено 3 массированных ночных налета. В первом налете на финскую столицу, предпринятом в ночь на 7 февраля 1944 г. участвовало свыше 200 дальних бомбардировщиков. Из Кратово в эту ночь стартовали 16 Пе-8. Два из них доставили по 5-тонной бомбе, которые сбросили на кабельный завод, железнодорожные склады и бараки. Остальные четырехмоторные бомбовозы высыпали на финскую столицу 75 бомб калибром от 100 до 2000 кг. </w:t>
      </w:r>
    </w:p>
    <w:p w14:paraId="3EF6ABF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830F66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2968CF8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EEB4FB" w14:textId="77777777" w:rsidR="000D5A0D" w:rsidRPr="00070ADE" w:rsidRDefault="000D5A0D"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период с 7 по 14 января и с 31 января по 8 февраля 1944 г. проводилась наземная часть про</w:t>
      </w:r>
      <w:r w:rsidRPr="00070ADE">
        <w:rPr>
          <w:color w:val="000000" w:themeColor="text1"/>
          <w:sz w:val="16"/>
          <w:szCs w:val="16"/>
        </w:rPr>
        <w:softHyphen/>
        <w:t>граммы государственных испытаний 111П на Ил-2 № 303124. Перерывы в испытаниях были связаны с несвоевременной подачей боеприпасов и необходимостью доводки автоматики пушки. В заключении отчета по резуль</w:t>
      </w:r>
      <w:r w:rsidRPr="00070ADE">
        <w:rPr>
          <w:color w:val="000000" w:themeColor="text1"/>
          <w:sz w:val="16"/>
          <w:szCs w:val="16"/>
        </w:rPr>
        <w:softHyphen/>
        <w:t>татам испытаний отмечалось, что «пушки 45 мм /.../ конструкции Нудельмана—Суранова (ОКБ-16 НКВ), установленные под крылом самолета Ил-2 зав. № 303124, наземные госиспытания выдержа</w:t>
      </w:r>
      <w:r w:rsidRPr="00070ADE">
        <w:rPr>
          <w:color w:val="000000" w:themeColor="text1"/>
          <w:sz w:val="16"/>
          <w:szCs w:val="16"/>
        </w:rPr>
        <w:softHyphen/>
        <w:t>ли». Предлагалось «просить ОКБ-16 НКВ провести работу по уменьшению реакции на цапфы 45 мм до 4000 кг. 2 крыльевые пушки с уменьшенной реак</w:t>
      </w:r>
      <w:r w:rsidRPr="00070ADE">
        <w:rPr>
          <w:color w:val="000000" w:themeColor="text1"/>
          <w:sz w:val="16"/>
          <w:szCs w:val="16"/>
        </w:rPr>
        <w:softHyphen/>
        <w:t>цией на цапфы представить в НИИ АВ на государ</w:t>
      </w:r>
      <w:r w:rsidRPr="00070ADE">
        <w:rPr>
          <w:color w:val="000000" w:themeColor="text1"/>
          <w:sz w:val="16"/>
          <w:szCs w:val="16"/>
        </w:rPr>
        <w:softHyphen/>
        <w:t>ственные воздушные испытания на самолете Ил-2». К этому времени на самолете было выполнено все</w:t>
      </w:r>
      <w:r w:rsidRPr="00070ADE">
        <w:rPr>
          <w:color w:val="000000" w:themeColor="text1"/>
          <w:sz w:val="16"/>
          <w:szCs w:val="16"/>
        </w:rPr>
        <w:softHyphen/>
        <w:t>го 3 полета с суммарным налетом 1 ч 10 мин. По</w:t>
      </w:r>
      <w:r w:rsidRPr="00070ADE">
        <w:rPr>
          <w:color w:val="000000" w:themeColor="text1"/>
          <w:sz w:val="16"/>
          <w:szCs w:val="16"/>
        </w:rPr>
        <w:softHyphen/>
        <w:t>летов со стрельбой из пушек НС-45 «ни на заводе № 240, ни в НИИ АВ не производилось».</w:t>
      </w:r>
    </w:p>
    <w:p w14:paraId="44A1BE7A" w14:textId="77777777" w:rsidR="000D5A0D" w:rsidRPr="00070ADE" w:rsidRDefault="000D5A0D"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Здесь следует сказать, что С. В. Ильюшин не давал своего согласия «на проведение испытаний 45-мм пушек ОКБ-15 и 16 на самолете Ил-2 (стрель</w:t>
      </w:r>
      <w:r w:rsidRPr="00070ADE">
        <w:rPr>
          <w:color w:val="000000" w:themeColor="text1"/>
          <w:sz w:val="16"/>
          <w:szCs w:val="16"/>
        </w:rPr>
        <w:softHyphen/>
        <w:t>бой в воздухе</w:t>
      </w:r>
      <w:r w:rsidRPr="00070ADE">
        <w:rPr>
          <w:rStyle w:val="BodytextItalic"/>
          <w:i w:val="0"/>
          <w:color w:val="000000" w:themeColor="text1"/>
          <w:sz w:val="16"/>
          <w:szCs w:val="16"/>
        </w:rPr>
        <w:t>),</w:t>
      </w:r>
      <w:r w:rsidRPr="00070ADE">
        <w:rPr>
          <w:color w:val="000000" w:themeColor="text1"/>
          <w:sz w:val="16"/>
          <w:szCs w:val="16"/>
        </w:rPr>
        <w:t xml:space="preserve"> мотивируя это увеличенной силой отдачи по сравнению с ТТТ ВВС КА».</w:t>
      </w:r>
    </w:p>
    <w:p w14:paraId="0C151821" w14:textId="77777777" w:rsidR="000D5A0D" w:rsidRPr="00070ADE" w:rsidRDefault="000D5A0D"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Учитывая результаты длительных ресурсных ис</w:t>
      </w:r>
      <w:r w:rsidRPr="00070ADE">
        <w:rPr>
          <w:color w:val="000000" w:themeColor="text1"/>
          <w:sz w:val="16"/>
          <w:szCs w:val="16"/>
        </w:rPr>
        <w:softHyphen/>
        <w:t>пытаний пушек 11П стрельбой на самолете Ил-2, имелись опасения, что серийное крыло (без тща</w:t>
      </w:r>
      <w:r w:rsidRPr="00070ADE">
        <w:rPr>
          <w:color w:val="000000" w:themeColor="text1"/>
          <w:sz w:val="16"/>
          <w:szCs w:val="16"/>
        </w:rPr>
        <w:softHyphen/>
        <w:t>тельного контроля в производстве) может не вы</w:t>
      </w:r>
      <w:r w:rsidRPr="00070ADE">
        <w:rPr>
          <w:color w:val="000000" w:themeColor="text1"/>
          <w:sz w:val="16"/>
          <w:szCs w:val="16"/>
        </w:rPr>
        <w:softHyphen/>
        <w:t>держать нагрузок при стрельбе из более мощных пушек 111П и разрушиться.</w:t>
      </w:r>
    </w:p>
    <w:p w14:paraId="204B5A3F" w14:textId="77777777" w:rsidR="000D5A0D" w:rsidRPr="00070ADE" w:rsidRDefault="000D5A0D"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Дискуссия специалистов НИИ АВ ВВС и ОКБ-240 по этому вопросу положительных результатов не дала. Обе стороны остались при своем мнении. «Главный конструктор самолета тов. Ильюшин» так и не дал разрешение на полеты Ил-2 со стрельбой в воздухе из пушек калибра 45 мм.</w:t>
      </w:r>
    </w:p>
    <w:p w14:paraId="05D1D578" w14:textId="77777777" w:rsidR="000D5A0D" w:rsidRPr="00070ADE" w:rsidRDefault="000D5A0D"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К этому времени пришло понимание, что повы</w:t>
      </w:r>
      <w:r w:rsidRPr="00070ADE">
        <w:rPr>
          <w:color w:val="000000" w:themeColor="text1"/>
          <w:sz w:val="16"/>
          <w:szCs w:val="16"/>
        </w:rPr>
        <w:softHyphen/>
        <w:t>шение могущества бронебойного снаряда к ави</w:t>
      </w:r>
      <w:r w:rsidRPr="00070ADE">
        <w:rPr>
          <w:color w:val="000000" w:themeColor="text1"/>
          <w:sz w:val="16"/>
          <w:szCs w:val="16"/>
        </w:rPr>
        <w:softHyphen/>
        <w:t>ационным пушкам калибра 45 мм Ш-45 и 111П может быть обеспечено лишь при использовании твердосплавного металлокерамического сердечни</w:t>
      </w:r>
      <w:r w:rsidRPr="00070ADE">
        <w:rPr>
          <w:color w:val="000000" w:themeColor="text1"/>
          <w:sz w:val="16"/>
          <w:szCs w:val="16"/>
        </w:rPr>
        <w:softHyphen/>
        <w:t>ка из карбида вольфрама, что по экономическим соображениям было неприемлемо. В то же время Ил-2 с пушками калибра 45 мм и боекомплектом, состоящим только из осколочно-зажигательных снарядов, по всему комплексу летно-боевых ка</w:t>
      </w:r>
      <w:r w:rsidRPr="00070ADE">
        <w:rPr>
          <w:color w:val="000000" w:themeColor="text1"/>
          <w:sz w:val="16"/>
          <w:szCs w:val="16"/>
        </w:rPr>
        <w:softHyphen/>
        <w:t>честв не имеет явных преимуществ в бою перед Ил-2 с 11П при наличии проблем, связанных с по</w:t>
      </w:r>
      <w:r w:rsidRPr="00070ADE">
        <w:rPr>
          <w:color w:val="000000" w:themeColor="text1"/>
          <w:sz w:val="16"/>
          <w:szCs w:val="16"/>
        </w:rPr>
        <w:softHyphen/>
        <w:t>вышенной отдачей при стрельбе из «главного ка</w:t>
      </w:r>
      <w:r w:rsidRPr="00070ADE">
        <w:rPr>
          <w:color w:val="000000" w:themeColor="text1"/>
          <w:sz w:val="16"/>
          <w:szCs w:val="16"/>
        </w:rPr>
        <w:softHyphen/>
        <w:t>либра».</w:t>
      </w:r>
    </w:p>
    <w:p w14:paraId="5DF70102" w14:textId="77777777" w:rsidR="000D5A0D" w:rsidRPr="00070ADE" w:rsidRDefault="000D5A0D"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Следствием этого стало решение о прекра</w:t>
      </w:r>
      <w:r w:rsidRPr="00070ADE">
        <w:rPr>
          <w:color w:val="000000" w:themeColor="text1"/>
          <w:sz w:val="16"/>
          <w:szCs w:val="16"/>
        </w:rPr>
        <w:softHyphen/>
        <w:t>щении всех работ по самолетам Ил-2 с крупнока</w:t>
      </w:r>
      <w:r w:rsidRPr="00070ADE">
        <w:rPr>
          <w:color w:val="000000" w:themeColor="text1"/>
          <w:sz w:val="16"/>
          <w:szCs w:val="16"/>
        </w:rPr>
        <w:softHyphen/>
        <w:t>либерными пушками. В этой связи не был прояв</w:t>
      </w:r>
      <w:r w:rsidRPr="00070ADE">
        <w:rPr>
          <w:color w:val="000000" w:themeColor="text1"/>
          <w:sz w:val="16"/>
          <w:szCs w:val="16"/>
        </w:rPr>
        <w:softHyphen/>
        <w:t>лен интерес и к модернизированной пушке 11ПМ (НС-37М), показавшей при испытаниях «на крылье</w:t>
      </w:r>
      <w:r w:rsidRPr="00070ADE">
        <w:rPr>
          <w:color w:val="000000" w:themeColor="text1"/>
          <w:sz w:val="16"/>
          <w:szCs w:val="16"/>
        </w:rPr>
        <w:softHyphen/>
        <w:t>вой установке самолета Ил-2» почти на 40% мень</w:t>
      </w:r>
      <w:r w:rsidRPr="00070ADE">
        <w:rPr>
          <w:color w:val="000000" w:themeColor="text1"/>
          <w:sz w:val="16"/>
          <w:szCs w:val="16"/>
        </w:rPr>
        <w:softHyphen/>
        <w:t>шее усилие отдачи при откате и на 20% при накате по сравнению с серийными пушками (17500).</w:t>
      </w:r>
    </w:p>
    <w:p w14:paraId="67EE8E34" w14:textId="77777777" w:rsidR="000D5A0D" w:rsidRPr="00070ADE" w:rsidRDefault="000D5A0D" w:rsidP="00B56F90">
      <w:pPr>
        <w:pStyle w:val="123"/>
        <w:shd w:val="clear" w:color="auto" w:fill="auto"/>
        <w:spacing w:after="0" w:line="240" w:lineRule="auto"/>
        <w:jc w:val="both"/>
        <w:rPr>
          <w:color w:val="000000" w:themeColor="text1"/>
          <w:sz w:val="16"/>
          <w:szCs w:val="16"/>
        </w:rPr>
      </w:pPr>
    </w:p>
    <w:p w14:paraId="45D250FC" w14:textId="77777777" w:rsidR="000D5A0D" w:rsidRPr="00070ADE" w:rsidRDefault="000D5A0D"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К 7 января 1944 г. в НИИ АВ ВВС завершились испытания пушки Ш-45 в моторном варианте, «уста</w:t>
      </w:r>
      <w:r w:rsidRPr="00070ADE">
        <w:rPr>
          <w:color w:val="000000" w:themeColor="text1"/>
          <w:sz w:val="16"/>
          <w:szCs w:val="16"/>
        </w:rPr>
        <w:softHyphen/>
        <w:t>новленной на специальном станке, жестко укре</w:t>
      </w:r>
      <w:r w:rsidRPr="00070ADE">
        <w:rPr>
          <w:color w:val="000000" w:themeColor="text1"/>
          <w:sz w:val="16"/>
          <w:szCs w:val="16"/>
        </w:rPr>
        <w:softHyphen/>
        <w:t>пленном на фундаменте». Оказалось, что «величи</w:t>
      </w:r>
      <w:r w:rsidRPr="00070ADE">
        <w:rPr>
          <w:color w:val="000000" w:themeColor="text1"/>
          <w:sz w:val="16"/>
          <w:szCs w:val="16"/>
        </w:rPr>
        <w:softHyphen/>
        <w:t>на максимального значения реакции в креплении пушки» достигает 6000 кг. Однако, как указывал генерал-майор М. В. Гуревич в своем докладе глав</w:t>
      </w:r>
      <w:r w:rsidRPr="00070ADE">
        <w:rPr>
          <w:color w:val="000000" w:themeColor="text1"/>
          <w:sz w:val="16"/>
          <w:szCs w:val="16"/>
        </w:rPr>
        <w:softHyphen/>
        <w:t>ному инженеру ВВС генерал-лейтенанту А. К. Репи</w:t>
      </w:r>
      <w:r w:rsidRPr="00070ADE">
        <w:rPr>
          <w:color w:val="000000" w:themeColor="text1"/>
          <w:sz w:val="16"/>
          <w:szCs w:val="16"/>
        </w:rPr>
        <w:softHyphen/>
        <w:t>ну, «условия стрельбы на специальном станке не соответствуют эксплуатационным условиям». В ре</w:t>
      </w:r>
      <w:r w:rsidRPr="00070ADE">
        <w:rPr>
          <w:color w:val="000000" w:themeColor="text1"/>
          <w:sz w:val="16"/>
          <w:szCs w:val="16"/>
        </w:rPr>
        <w:softHyphen/>
        <w:t>альности «сила отдачи пушки под крылом самолета Ил-2 будет меньше, так как жесткость самолетной установки меньше жесткости станка».</w:t>
      </w:r>
    </w:p>
    <w:p w14:paraId="3079A332" w14:textId="77777777" w:rsidR="000D5A0D" w:rsidRPr="00070ADE" w:rsidRDefault="000D5A0D"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По просьбе Б. Г. Шпитального в НИИ АВ нача</w:t>
      </w:r>
      <w:r w:rsidRPr="00070ADE">
        <w:rPr>
          <w:color w:val="000000" w:themeColor="text1"/>
          <w:sz w:val="16"/>
          <w:szCs w:val="16"/>
        </w:rPr>
        <w:softHyphen/>
        <w:t>лись работы «над противооткатным приспособле</w:t>
      </w:r>
      <w:r w:rsidRPr="00070ADE">
        <w:rPr>
          <w:color w:val="000000" w:themeColor="text1"/>
          <w:sz w:val="16"/>
          <w:szCs w:val="16"/>
        </w:rPr>
        <w:softHyphen/>
        <w:t>нием 45-мм крыльевой пушки, с целью уменьшения силы отдачи». В этой связи «передача 45-мм пушки ОКБ-15 на самолете Ил-2 на государственные испы</w:t>
      </w:r>
      <w:r w:rsidRPr="00070ADE">
        <w:rPr>
          <w:color w:val="000000" w:themeColor="text1"/>
          <w:sz w:val="16"/>
          <w:szCs w:val="16"/>
        </w:rPr>
        <w:softHyphen/>
        <w:t>тания задерживается». Одновременно ВВС потре</w:t>
      </w:r>
      <w:r w:rsidRPr="00070ADE">
        <w:rPr>
          <w:color w:val="000000" w:themeColor="text1"/>
          <w:sz w:val="16"/>
          <w:szCs w:val="16"/>
        </w:rPr>
        <w:softHyphen/>
        <w:t>бовали установить доработанные пушки Ш-45 на двухместный самолет Ил-2 как основной тип штур</w:t>
      </w:r>
      <w:r w:rsidRPr="00070ADE">
        <w:rPr>
          <w:color w:val="000000" w:themeColor="text1"/>
          <w:sz w:val="16"/>
          <w:szCs w:val="16"/>
        </w:rPr>
        <w:softHyphen/>
        <w:t>мового самолета.</w:t>
      </w:r>
    </w:p>
    <w:p w14:paraId="4576923A" w14:textId="77777777" w:rsidR="000D5A0D" w:rsidRPr="00070ADE" w:rsidRDefault="000D5A0D"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Серийный самолет Ил-2 производства завода № 30, предназначенный для доработки под уста</w:t>
      </w:r>
      <w:r w:rsidRPr="00070ADE">
        <w:rPr>
          <w:color w:val="000000" w:themeColor="text1"/>
          <w:sz w:val="16"/>
          <w:szCs w:val="16"/>
        </w:rPr>
        <w:softHyphen/>
        <w:t>новку 45-мм авиапушек 111П, поступил на опыт</w:t>
      </w:r>
      <w:r w:rsidRPr="00070ADE">
        <w:rPr>
          <w:color w:val="000000" w:themeColor="text1"/>
          <w:sz w:val="16"/>
          <w:szCs w:val="16"/>
        </w:rPr>
        <w:softHyphen/>
        <w:t>ный завод № 240 лишь 11 октября 1943 г. При его подготовке к работам по вооружению было вы</w:t>
      </w:r>
      <w:r w:rsidRPr="00070ADE">
        <w:rPr>
          <w:color w:val="000000" w:themeColor="text1"/>
          <w:sz w:val="16"/>
          <w:szCs w:val="16"/>
        </w:rPr>
        <w:softHyphen/>
        <w:t>явлено большое количество дефектов. Самолет возвратили заводу № 30. Взамен 20 октября завод № 240 получил серийный Ил-2 зав. № 303124, ко</w:t>
      </w:r>
      <w:r w:rsidRPr="00070ADE">
        <w:rPr>
          <w:color w:val="000000" w:themeColor="text1"/>
          <w:sz w:val="16"/>
          <w:szCs w:val="16"/>
        </w:rPr>
        <w:softHyphen/>
        <w:t>торый был построен 19 октября 1943 г. с пушками 11 П. В течение последующих 10 дней на самолет вместо 11П установили пушки 111П с боекомплек</w:t>
      </w:r>
      <w:r w:rsidRPr="00070ADE">
        <w:rPr>
          <w:color w:val="000000" w:themeColor="text1"/>
          <w:sz w:val="16"/>
          <w:szCs w:val="16"/>
        </w:rPr>
        <w:softHyphen/>
        <w:t>том по 50 снарядов на каждую и отстреляли все вооружение в тире летно-испытательной станции завода. 1 ноября самолет перегнали в НИИ АВ для проведения заводских и государственных испыта</w:t>
      </w:r>
      <w:r w:rsidRPr="00070ADE">
        <w:rPr>
          <w:color w:val="000000" w:themeColor="text1"/>
          <w:sz w:val="16"/>
          <w:szCs w:val="16"/>
        </w:rPr>
        <w:softHyphen/>
        <w:t>ний. На следующий день самолет официально был принят на испытания. В период с 10 по 17 ноября был проведен «заводской отстрел пушек» и подго</w:t>
      </w:r>
      <w:r w:rsidRPr="00070ADE">
        <w:rPr>
          <w:color w:val="000000" w:themeColor="text1"/>
          <w:sz w:val="16"/>
          <w:szCs w:val="16"/>
        </w:rPr>
        <w:softHyphen/>
        <w:t>товка самолета для передачи на государственные испытания. Этап государственных испытаний про</w:t>
      </w:r>
      <w:r w:rsidRPr="00070ADE">
        <w:rPr>
          <w:color w:val="000000" w:themeColor="text1"/>
          <w:sz w:val="16"/>
          <w:szCs w:val="16"/>
        </w:rPr>
        <w:softHyphen/>
        <w:t>должался до 2 декабря, когда забарахлил мотор. Кроме того, при контрольном осмотре самолета обнаружилась поломка болта стыковочного узла правой плоскости крыла. По этой причине испы</w:t>
      </w:r>
      <w:r w:rsidRPr="00070ADE">
        <w:rPr>
          <w:color w:val="000000" w:themeColor="text1"/>
          <w:sz w:val="16"/>
          <w:szCs w:val="16"/>
        </w:rPr>
        <w:softHyphen/>
        <w:t>тания были приостановлены. После ремонта до</w:t>
      </w:r>
      <w:r w:rsidRPr="00070ADE">
        <w:rPr>
          <w:color w:val="000000" w:themeColor="text1"/>
          <w:sz w:val="16"/>
          <w:szCs w:val="16"/>
        </w:rPr>
        <w:softHyphen/>
        <w:t>полнительно отстреляли 574 снаряда — из правой пушки (№ МЛ-209) и 506 снарядов — из левой пушки (№ СТ-348). Затем обе консоли отсоединили от центроплана. По результатам осмотра «с при</w:t>
      </w:r>
      <w:r w:rsidRPr="00070ADE">
        <w:rPr>
          <w:color w:val="000000" w:themeColor="text1"/>
          <w:sz w:val="16"/>
          <w:szCs w:val="16"/>
        </w:rPr>
        <w:softHyphen/>
        <w:t>страстием» стыковочных узлов был сделан вывод, что их прочность вполне «удовлетворительная без аэродинамической нагрузки». Общий настрел на каждую пушку составил свыше 2000 выстрелов.</w:t>
      </w:r>
    </w:p>
    <w:p w14:paraId="70D48579" w14:textId="77777777" w:rsidR="000D5A0D" w:rsidRPr="00070ADE" w:rsidRDefault="000D5A0D"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Замер усилия отдачи пушки 111П при стрельбе показал, что «максимальное значение силы отда</w:t>
      </w:r>
      <w:r w:rsidRPr="00070ADE">
        <w:rPr>
          <w:color w:val="000000" w:themeColor="text1"/>
          <w:sz w:val="16"/>
          <w:szCs w:val="16"/>
        </w:rPr>
        <w:softHyphen/>
        <w:t>чи равно 6750 кг при откате ствола 210 мм» (в ги</w:t>
      </w:r>
      <w:r w:rsidRPr="00070ADE">
        <w:rPr>
          <w:color w:val="000000" w:themeColor="text1"/>
          <w:sz w:val="16"/>
          <w:szCs w:val="16"/>
        </w:rPr>
        <w:softHyphen/>
        <w:t>дротормоз пушки был залит керосин сорта «А»</w:t>
      </w:r>
      <w:r w:rsidRPr="00070ADE">
        <w:rPr>
          <w:rStyle w:val="BodytextItalic"/>
          <w:i w:val="0"/>
          <w:color w:val="000000" w:themeColor="text1"/>
          <w:sz w:val="16"/>
          <w:szCs w:val="16"/>
        </w:rPr>
        <w:t>).</w:t>
      </w:r>
      <w:r w:rsidRPr="00070ADE">
        <w:rPr>
          <w:color w:val="000000" w:themeColor="text1"/>
          <w:sz w:val="16"/>
          <w:szCs w:val="16"/>
        </w:rPr>
        <w:t xml:space="preserve"> В моторном варианте на самолете Як-9т отдача пушки МП-45 была определена на уровне 6975 кг (17500).</w:t>
      </w:r>
    </w:p>
    <w:p w14:paraId="24115AF6" w14:textId="77777777" w:rsidR="000D5A0D" w:rsidRPr="00070ADE" w:rsidRDefault="000D5A0D" w:rsidP="00B56F90">
      <w:pPr>
        <w:pStyle w:val="123"/>
        <w:shd w:val="clear" w:color="auto" w:fill="auto"/>
        <w:spacing w:after="0" w:line="240" w:lineRule="auto"/>
        <w:jc w:val="both"/>
        <w:rPr>
          <w:color w:val="000000" w:themeColor="text1"/>
          <w:sz w:val="16"/>
          <w:szCs w:val="16"/>
        </w:rPr>
      </w:pPr>
    </w:p>
    <w:p w14:paraId="2DD6C4B5" w14:textId="77777777" w:rsidR="00E35A28" w:rsidRPr="00C94B78" w:rsidRDefault="00E35A2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7 по 14 января 1944 г. проходила наземная часть программы госиспытаний Ил-2 №303124 с 45 мм пушками 111. Затем был небольшой перерыв, когда доводили автоматику пушки и ожидали поступление боеприпасов. 31 января испытания продолжились, вплоть до 8 февраля 1944 г.</w:t>
      </w:r>
    </w:p>
    <w:p w14:paraId="23452CFF" w14:textId="77777777" w:rsidR="00E35A28" w:rsidRPr="00C94B78" w:rsidRDefault="00E35A2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 самолете совершили три полета налетав 1 час 10 мин. Стрельбы из пушек 111П в воздухе не проводили. Были опасения, что крыло Ил-2 может не выдержать нагрузок и разрушиться (с учетом максимальной силы отдачи 45-мм пушки равной 6750 кг). По итогам испытаний отмечалось, что 45-мм пушки Нудельмана-Суранова, установленные под крылом штурмовика Ил-2 №303124, выдержали наземные государственные испытания (25114).</w:t>
      </w:r>
    </w:p>
    <w:p w14:paraId="2FDBF2ED" w14:textId="77777777" w:rsidR="00E35A28" w:rsidRPr="00C94B78" w:rsidRDefault="00E35A28" w:rsidP="00B56F90">
      <w:pPr>
        <w:spacing w:after="0" w:line="240" w:lineRule="auto"/>
        <w:jc w:val="both"/>
        <w:rPr>
          <w:rFonts w:ascii="Times New Roman" w:hAnsi="Times New Roman"/>
          <w:color w:val="0070C0"/>
          <w:sz w:val="16"/>
          <w:szCs w:val="16"/>
        </w:rPr>
      </w:pPr>
    </w:p>
    <w:p w14:paraId="3F0CACDB" w14:textId="77777777" w:rsidR="00D5495D" w:rsidRPr="00070ADE" w:rsidRDefault="00D549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7 января 1944 г. экземпляр мотора АМ-42 для Су-6 уже был изготовлен мо</w:t>
      </w:r>
      <w:r w:rsidRPr="00070ADE">
        <w:rPr>
          <w:rFonts w:ascii="Times New Roman" w:hAnsi="Times New Roman"/>
          <w:color w:val="000000" w:themeColor="text1"/>
          <w:sz w:val="16"/>
          <w:szCs w:val="16"/>
        </w:rPr>
        <w:softHyphen/>
        <w:t>торным заводом, но его еще не отгрузили заводу №289.</w:t>
      </w:r>
    </w:p>
    <w:p w14:paraId="64501171" w14:textId="77777777" w:rsidR="00D5495D" w:rsidRPr="00070ADE" w:rsidRDefault="00D549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Вскоре после некоторой «актив</w:t>
      </w:r>
      <w:r w:rsidRPr="00070ADE">
        <w:rPr>
          <w:rFonts w:ascii="Times New Roman" w:hAnsi="Times New Roman"/>
          <w:color w:val="000000" w:themeColor="text1"/>
          <w:sz w:val="16"/>
          <w:szCs w:val="16"/>
        </w:rPr>
        <w:softHyphen/>
        <w:t>ности» военных долгожданный мотор (зав. №4252) и водовоздушный радиа</w:t>
      </w:r>
      <w:r w:rsidRPr="00070ADE">
        <w:rPr>
          <w:rFonts w:ascii="Times New Roman" w:hAnsi="Times New Roman"/>
          <w:color w:val="000000" w:themeColor="text1"/>
          <w:sz w:val="16"/>
          <w:szCs w:val="16"/>
        </w:rPr>
        <w:softHyphen/>
        <w:t>тор типа «606», наконец, поступили. Не</w:t>
      </w:r>
      <w:r w:rsidRPr="00070ADE">
        <w:rPr>
          <w:rFonts w:ascii="Times New Roman" w:hAnsi="Times New Roman"/>
          <w:color w:val="000000" w:themeColor="text1"/>
          <w:sz w:val="16"/>
          <w:szCs w:val="16"/>
        </w:rPr>
        <w:softHyphen/>
        <w:t>замедлительно начались работы по их монтажу на самолет. На мотор устано</w:t>
      </w:r>
      <w:r w:rsidRPr="00070ADE">
        <w:rPr>
          <w:rFonts w:ascii="Times New Roman" w:hAnsi="Times New Roman"/>
          <w:color w:val="000000" w:themeColor="text1"/>
          <w:sz w:val="16"/>
          <w:szCs w:val="16"/>
        </w:rPr>
        <w:softHyphen/>
        <w:t>вили четырехлопастный воздушный винт АВ-9Л-172Д диаметром 3,4 м (19853).</w:t>
      </w:r>
    </w:p>
    <w:p w14:paraId="6EBA0B9E" w14:textId="77777777" w:rsidR="00D5495D" w:rsidRPr="00070ADE" w:rsidRDefault="00D5495D" w:rsidP="00B56F90">
      <w:pPr>
        <w:spacing w:after="0" w:line="240" w:lineRule="auto"/>
        <w:jc w:val="both"/>
        <w:rPr>
          <w:rFonts w:ascii="Times New Roman" w:hAnsi="Times New Roman"/>
          <w:color w:val="000000" w:themeColor="text1"/>
          <w:sz w:val="16"/>
          <w:szCs w:val="16"/>
        </w:rPr>
      </w:pPr>
    </w:p>
    <w:p w14:paraId="48DB47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января 1944 А.E.Репин утвердил Акт по результатам гос. испытаний И-220 с АМ-38Ф и винтом АВ-5-Л126 (с-т конструкции М и Г производства з-да 155. Вариант И200 с высотным АМ-39. Летал П.М.Стефановский</w:t>
      </w:r>
    </w:p>
    <w:p w14:paraId="1F4CA26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 исполнитель: Пом нач. 3 отд. НИИ ВВС КА и-к А.С.Розанов</w:t>
      </w:r>
    </w:p>
    <w:p w14:paraId="59FE51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Л-к-исп. 3 отд. П П.М.Стефановский</w:t>
      </w:r>
    </w:p>
    <w:p w14:paraId="0C9915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Цель испытаний: определить ЛТД с-та И-220 с АМ-38Ф, как промежуточного вар-та с-та И-220 с мотором АМ-39, проверить работу вооружения и спецоборудования. Дать оценку конструктивного и производственного выполнения с-та</w:t>
      </w:r>
    </w:p>
    <w:p w14:paraId="67ED43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Объект испытаний: опытный с-т И-220 проектировался с высотным мотором АМ-39 как истребитель ведения активного воздушного боя на всех высотах.С-т построен заводом в конце 1942. По приказу НКАП А.И.Ш. на с-т установлен невысотный мотор АМ-38Ф для проведения первого этапа испытаний и получения предварительных рез-тов с последующей заменой мотора АМ-38Ф на мотор АМ-39. С-т представляет собой низкоплан смешанной конструкции с убирающимся в полете шасси и хвостовым колесом. Головная часть - металлическая, хвостовая - деревянная. Центроплан металлический, консоли - деревянные с металлическим лонжероном. Шасси - оригинальной конструкции: обжатие аммортизаторов увеличивается прогрессивно углу стоянки. С-т снабжен щитками Шренк и автоматическими предкрылками по всему размаху. Хвостовое оперение однокилевое со свободнонесущим стабилизатором.Ручное управление - жесткое, ножное - троссовое. Рули высоты, поворота, элероны снабжены аэродинамической и весовой компенсацией и имеют триммеры для балансировки по всем осям. Управление посадочными щитками, уборкой и выпуском шасси и тормозами - пневматическое.На с-те предусмотрен сброс подвижной части фонаря кабины л.</w:t>
      </w:r>
    </w:p>
    <w:p w14:paraId="143725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ВМГ. На с-те установлен серийный мотор АМ-38Ф с винтом АВ-5Л-126 диаметром 3.2 м.</w:t>
      </w:r>
    </w:p>
    <w:p w14:paraId="22A1189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Взлетная мощность мотора (разрешено применять 3:20 за 100 часов ресурса) составляет 1700 л/с при 2350 оборотах и Рк 1360 мм. Номинальная мощность у земли 1500 л/с при 2050 и Рк 1200 мм. В целях проверки лтд на режимах мотора АМ-39 на низких высотах мотору АМ-38Ф, при снятии летных характеристик, давались обороты 2150 при Рк 1180-1200 в соответствии с письмом-разрешением Зам. ГК з-да № 300 от 15 октября 1943.</w:t>
      </w:r>
    </w:p>
    <w:p w14:paraId="1939D8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Полная заправка горючего 464 л (346 кг) в одном баке мягкой конструкции типа ВИАМ-А3. Бак расположен в фюзеляже позади кабины л. Бак заполняется выхлопными газами от мотора. Кроме того, на с-те предусмотрена установка двух крыльевых баков общей емкостью 173 л (128 кг).</w:t>
      </w:r>
    </w:p>
    <w:p w14:paraId="5B33EA2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трубчать-пластинчатых водяных радиаторов типа ОП-429 (фронт 18,2 дм2, поверхность 32,8) расположены в носке цп в правой и левой его частях. Управление заслонками - электрическое (от УР-2) или автоматическое от автомата МТ-41.</w:t>
      </w:r>
    </w:p>
    <w:p w14:paraId="71AA24A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Сотовый м/р типа 553 (фронт 10,4, пов. 10,8) расположен в правом переднем зализе цп. Заслонка управляется вручную агрегатом УР-2.</w:t>
      </w:r>
    </w:p>
    <w:p w14:paraId="274D99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Пушечное вооружение: На с-те в нормальном варианте вооружения установлено 2 синхронных пушки ШВАК 20мм, располагаемые под мотором с запасом патронов 150 на каждую. Перегрукзочный вариант предусматривает установку еще 2-х синхронных ШВАК над мотором с таким же б/з. Управление огнем - электропневматическое с пом. ПЭС-1 от э/кнопок на ручке управления. Стрельбу возможно вести только залпом (верхними или нижними пушками). Перезарядка </w:t>
      </w:r>
      <w:r w:rsidRPr="00070ADE">
        <w:rPr>
          <w:rFonts w:ascii="Times New Roman" w:hAnsi="Times New Roman"/>
          <w:color w:val="000000" w:themeColor="text1"/>
          <w:sz w:val="16"/>
          <w:szCs w:val="16"/>
        </w:rPr>
        <w:lastRenderedPageBreak/>
        <w:t>пушек - пневматическая. На земле имеется механическая перезарядка. Гильзы и звенья выбрасываются наружу.</w:t>
      </w:r>
    </w:p>
    <w:p w14:paraId="671213A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Бомбовое вооружение - с-т оборудован 2-мя балками для подвески по одной 100 кг бомбе. Управление троссовое или механическое АСИ-140 от кнопки на ручке. Прицел ПБП-1А (для стрельбы и бомбометания с пикирования).</w:t>
      </w:r>
    </w:p>
    <w:p w14:paraId="3B89DB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Чпецоборудование с-т тмеет обычное для истребителя пилотажно-навигационное оборудование и оборудования контроля ВМГ. Особенностью является наличие автоматического электрорегулирования температуры воды (АРТ-41).</w:t>
      </w:r>
    </w:p>
    <w:p w14:paraId="32BB1B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Электрооборудование выполнено по однопроводной схеме с частичной электроизоляцией (зажигание мотора и проводка от генератора к щитку).</w:t>
      </w:r>
    </w:p>
    <w:p w14:paraId="4F146B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Источник тока - генератор ГС-350 и аккумуляторная батарея А2А-10. Система защиты централизована (на электрощитке в кабине пилота) и осуществляется плавкими вставками.</w:t>
      </w:r>
    </w:p>
    <w:p w14:paraId="5D5B2C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ночных полетов установлены фары ФС-150 и ВНО. Освещение приборов в кабине двумя кабинными лампами и двумя лампами УФО</w:t>
      </w:r>
    </w:p>
    <w:p w14:paraId="0DC0A09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Имеется электрообогрев трубки Пито и часов.</w:t>
      </w:r>
    </w:p>
    <w:p w14:paraId="31DD36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Средства радиосвязи состоят из приемо-передатчика РСИ-4, установленной в хвостовой части фюзеляжа. Управление р/п дистанционное при помощи гибкого валика конструкции НИСО НКАП. Включение р/п в полете осуществляется кнопкой на сектиоре газа.</w:t>
      </w:r>
    </w:p>
    <w:p w14:paraId="0E841D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Антенна наружная однолучевая. (без мачты), протянутая от киля к штырю, расположенному за кабиной.</w:t>
      </w:r>
    </w:p>
    <w:p w14:paraId="7D5DCE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Кислородное оборудование состоит из прибора КПА-3бис и 4-х литрового баллона, а также штуцера бортовой заправки.</w:t>
      </w:r>
    </w:p>
    <w:p w14:paraId="12CFC22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Вспомогательное оборудование - сигнальный пистолет КП-3 на 6 шпангоуте и малая аптечка</w:t>
      </w:r>
    </w:p>
    <w:p w14:paraId="475943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Бронирование: бронеспинка 8 мм и бронезаголовник 13 мм</w:t>
      </w:r>
    </w:p>
    <w:p w14:paraId="466DB8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Сккорострельность пушки ШВАК 757 выст/м Продолжительность непрерывной стрельбы 11,4 с. Вес секундного залпа 2-х пушек - 2,518 кг. Вес снаряда - 96 г.</w:t>
      </w:r>
    </w:p>
    <w:p w14:paraId="7A56F5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начаты 23 октября 1943 и закончены 2 января 1944. Выполнен 31 полет с налетом 31:11</w:t>
      </w:r>
    </w:p>
    <w:p w14:paraId="750C5AB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испытаний:</w:t>
      </w:r>
    </w:p>
    <w:p w14:paraId="7601FC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2936, центровка при выпущенных шасси 14,6, капотажный угол 23:35</w:t>
      </w:r>
    </w:p>
    <w:p w14:paraId="453F728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 полетный - 3574 - 23,6 - 29:25</w:t>
      </w:r>
    </w:p>
    <w:p w14:paraId="2E19139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Перегрузочный - 3720 - 23,2 28:3</w:t>
      </w:r>
    </w:p>
    <w:p w14:paraId="13112E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Нормальная нагрузка:</w:t>
      </w:r>
    </w:p>
    <w:p w14:paraId="1543B2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- 90</w:t>
      </w:r>
    </w:p>
    <w:p w14:paraId="6132A3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Горючее (уд. Вес 0,745) 346</w:t>
      </w:r>
    </w:p>
    <w:p w14:paraId="6EBD1A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Масло - 40</w:t>
      </w:r>
    </w:p>
    <w:p w14:paraId="67BA22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- 78</w:t>
      </w:r>
    </w:p>
    <w:p w14:paraId="6ABF2F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б/з - 68</w:t>
      </w:r>
    </w:p>
    <w:p w14:paraId="4385C9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Оборудование - 16 (рация, кислородный баллон)</w:t>
      </w:r>
    </w:p>
    <w:p w14:paraId="7E9BA5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638</w:t>
      </w:r>
    </w:p>
    <w:p w14:paraId="343650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Доп. Нагрузка - 2хШВАК - 78, б/з - 68, всего 146 кг</w:t>
      </w:r>
    </w:p>
    <w:p w14:paraId="22C0A9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у земли 572 (при 2150 Рк 1180 или 608 при форсаже (2350 Рк 1350</w:t>
      </w:r>
    </w:p>
    <w:p w14:paraId="543277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Максю. Скорость на гр. высотности 2600 - 622 и 652</w:t>
      </w:r>
    </w:p>
    <w:p w14:paraId="2F1F3C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Скороподъемность не определялась ввиду того, что для уборки шасси требовалось уменьшить скорость набора высоты до 220 км/час по приборами создавать отрицательную перегрузку - делать клевок.</w:t>
      </w:r>
    </w:p>
    <w:p w14:paraId="5C647D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Разбег - 295, скорость отрыва 160, взлетная дистанция 920</w:t>
      </w:r>
    </w:p>
    <w:p w14:paraId="163F6D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Пробег 445, скорость посадочная 130, дистанция 960 по бетону</w:t>
      </w:r>
    </w:p>
    <w:p w14:paraId="1A46520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Маневр 1000 м вращение одинарное - левый на 350-340 - 19</w:t>
      </w:r>
    </w:p>
    <w:p w14:paraId="16C692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правый на 350-340 - 20</w:t>
      </w:r>
    </w:p>
    <w:p w14:paraId="5AEFAA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Набор высоты за боевой разворот - 1000 м с 500</w:t>
      </w:r>
    </w:p>
    <w:p w14:paraId="377EBD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двухсторонней радиосвязи с р/с 11-К на 1000 м - до 25 км, на 2000 - до 20 км</w:t>
      </w:r>
    </w:p>
    <w:p w14:paraId="1445C1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Летчики облета - Стефановский, Кочетков, Хоияков, Кубышкин - дали положительную оценку. Хорошие лтд, мощное ворружение, прост в пилотировании.</w:t>
      </w:r>
    </w:p>
    <w:p w14:paraId="531BBC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форсеже имеет преимущества перед Ме-109 -G2 до 5000 м. С-т желательно иметь на вооружении ВВС КА</w:t>
      </w:r>
    </w:p>
    <w:p w14:paraId="6A14FB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Эксплуатационная оценка - ст т-исп. 3 отд. НИИ ВВС КА безбаш от 5 января - в целом эксплуатация не сложнее эксплуатации истребителей, состоящих на вооружении ВВС</w:t>
      </w:r>
    </w:p>
    <w:p w14:paraId="41FC33F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03627D6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дефекты:</w:t>
      </w:r>
    </w:p>
    <w:p w14:paraId="74707B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наличие несильного бафтинга хвостового оперения при парашютировании</w:t>
      </w:r>
    </w:p>
    <w:p w14:paraId="1A4E37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потеря эффективности РВ на посадке, усложняет исправление грубой посадки </w:t>
      </w:r>
    </w:p>
    <w:p w14:paraId="45ACF5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неудовлетворительный обзор задней и средней п/с и искажения козырька прри обзоре вперед</w:t>
      </w:r>
    </w:p>
    <w:p w14:paraId="17559F0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малый радиус действия</w:t>
      </w:r>
    </w:p>
    <w:p w14:paraId="4AC2CA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большая нагрузка на колеса для размера 650х200</w:t>
      </w:r>
    </w:p>
    <w:p w14:paraId="2DD3ED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недорустимо большая девиация магнитного компаса, что усложняет ориентирование.</w:t>
      </w:r>
    </w:p>
    <w:p w14:paraId="365010E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Подписали 5 января Кочетков и Хомяков.</w:t>
      </w:r>
    </w:p>
    <w:p w14:paraId="38A653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w:t>
      </w:r>
    </w:p>
    <w:p w14:paraId="5FD7815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установке на с-т мотора АМ-39 и АМ-39ТК с-т И-220 может быть успешно использован в качестве высотного истребителя, т.к. по данным заводских испытаний имеет преимущества в максимальной скорости по сравнению с Ла-5ФН и ЯК-3ПФ с высот 5000-6000 м и по сравнению с Як-3 107А с высот 7000-75000 м</w:t>
      </w:r>
    </w:p>
    <w:p w14:paraId="698935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Такой с-т как специальный тип крайне необходим ВВС</w:t>
      </w:r>
    </w:p>
    <w:p w14:paraId="4FDFF6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Просить НКАП т. А.И.Ш. дать указания об ускорении доводки АМ-39 по предъявлению с-та И-220 с этим мотором на ГИ. От 1 января 1944 (766,5).</w:t>
      </w:r>
    </w:p>
    <w:p w14:paraId="5DFF2CC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6526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января 1944 года прошел государственные испытания в НИИ ВВС опытный самолет-истребитель Миг конструкции Микояна и Гуревича с мотором АМ-38Ф, построенный на опытном заводе Микояна (1825,214).</w:t>
      </w:r>
    </w:p>
    <w:p w14:paraId="408311C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4D12B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января 1944 года П. Дементьев писал в ЦК ВКП(б) Григорьяну Г.М.</w:t>
      </w:r>
    </w:p>
    <w:p w14:paraId="4AD415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включить в проект постановления по обеспечению в I квартале 1944 года “Материально-технического снабжения НКАП” пункт:</w:t>
      </w:r>
    </w:p>
    <w:p w14:paraId="4548D4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Специализировать завод № 218 НКАП в Ленинграде на производстве тепловых приборов (перевод производства тепловых приборов с завода № 149 на завод № 218) (8925).</w:t>
      </w:r>
    </w:p>
    <w:p w14:paraId="160330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585C2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января 1944 закончились повторные испытания Бостона с РЛС, которые шли с 16 декабря 1943. Станция испытывалась при работе на высотах от 50 до 3000 м. С увеличением высоты полета заметно понижалось влияние паразитных помех, возникавших за счет отражения от поверхности моря, что положительно сказалось на основных показателях. Теперь дальность обнаружения 1000-тонного корабля определили в 25 км, 60-тонного катера - в 8-10 км, а ширину просматриваемой полосы - в 20 км.</w:t>
      </w:r>
    </w:p>
    <w:p w14:paraId="3FD381A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Официального приказа о проведении войсковых испытаний обнаружить не удалось, но они. несомненно, проводились на базе 1-го гмтап ВВС КБФ. По отчету ВВС КБФ за войну, первый комплект "Гнейс-2" появился на флоте в январе 1944 г. Торпедоносец А-20, пилотируемый самим командиром полка И.И. Борзовым. в ночь на 7.4.1944 в крейсерском полете в Рижский залив сумел обнаружить и потопить (по донесению) вражеский танкер в 12 000 т. Конвой противника был обнаружен сначала при помощи РЛС, а затем визуально на лунной дорожке, что и позволило осуществить атаку. 15 октября того же года тот же экипаж, по-видимому, на том же самолете продемонстрировал возможность успешного применения станции днем в сложных метеоусловиях (облачность 10 баллов, высота нижней кромки - 50-100 м, видимость от 100 до 500 м). Тем не менее, широкого распространения эти станции не получили - видимо, сказывались трудности с промышленным освоением, а также надежды, связанные с разработкой новой, более совершенной станции "Гнейс-5". К этому надо добавить, что даже те станции, которые имелись, в частях практически не использовались. Так, ни одна другая, кроме двух вышеописанных атак Борзова в 1944 г., не проводилась с использованием РЛС. Летчик 5-го гмтап ВВС ЧФ лейтенант В.И. Минаков перед ночным вылетом на "охоту" 8.6.1944 на Ил-4 распорядился снять с самолета антенну станции, чтобы она не создавала лишних проблем. Все это говорит о том, что, помимо конструирования и производства нового оружия и технических средств, командование должно еще распорядиться и о переподготовке летного состава. Кстати, и самому командованию необходимо ознакомиться с новой аппаратурой, чтобы представлять ее боевые возможности и особенности применения. Ведь если оно не будет ставить задачи летчикам с упором на использование возможностей новой техники, те так и будут воевать по старинке (12002).</w:t>
      </w:r>
    </w:p>
    <w:p w14:paraId="3020F24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AFC54A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 7 января по 20 мая 1944 проходили наземные и летные испытания моторизованного аэростата “Малыш”</w:t>
      </w:r>
    </w:p>
    <w:p w14:paraId="3D478A7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Т Ч Е ТО НАЗЕМНЫХ И ЛЕТНЫХ ИСПЫТАНИЯХ МОТОРИЗОВАННОГО АЭРОСТАТА “МАЛЫШ”</w:t>
      </w:r>
    </w:p>
    <w:p w14:paraId="7C97D9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января – 20 мая 1944 года/</w:t>
      </w:r>
    </w:p>
    <w:p w14:paraId="6878A2F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Специфичность работы воздухоплавательных отрядов иногда требует частой перебазировки аэростата при непродолжительной его работе в данном месте.</w:t>
      </w:r>
    </w:p>
    <w:p w14:paraId="77117DF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вызывает необходимость проведения весьма трудоемких работ, связанных с разоружением аэростата, выпуском /потерей/ газа, быстрым износом материальной части и транспортными перевозками по неудобным проселочным дорогам.</w:t>
      </w:r>
    </w:p>
    <w:p w14:paraId="751AD74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данном случае моторизованный аэростат полностью решает проблему быстрой перебазировки отрядов при исключительно эффективном использовании аэростата по его боевой работе с частями Воздушно-Десантных Войск Красной Армии.</w:t>
      </w:r>
    </w:p>
    <w:p w14:paraId="21C0C72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Силами 1-го Отдельного Воздухоплавательного Дивизиона ВДВ КА был спроектирован, построен и успешно прошел наземные и летные испытания моторизованный аэростат “МАЛЫШ” объемом 1030 куб. метров, особенность которого заключается в максимальном использовании типовых конструкций аэростата типа БД и фюзеляжа самолета У-2.</w:t>
      </w:r>
    </w:p>
    <w:p w14:paraId="7BA43A3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Последнее позволяет довольно просто организовать постройку серии моторизованных аэростатов при минимальных затратах производственных средств и рабочей силы.</w:t>
      </w:r>
    </w:p>
    <w:p w14:paraId="665957A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Наличие моторизованного аэростата в системе ВДВ КА позволяет быстрое перебазирование воздухоплавательного отряда без разоружения аэростата и потери газа.</w:t>
      </w:r>
    </w:p>
    <w:p w14:paraId="0C8439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тех пунктах, где требуется эпизодическое обслуживание относительно незначительного количества парашютистов /1000-1200 чел./, работа воздухоплавательного отряда заключается в следующем: Аэростат “МАЛЫШ” прилетает к месту работы, куда одновременно приходит автолебедка с обслуживающей командой, и, проработав 2-3 дня, улетает обратно на базу.</w:t>
      </w:r>
    </w:p>
    <w:p w14:paraId="47ACED3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Превращение аэростата из привязного состояния в моторизованный занимает не более 20-30 минут.</w:t>
      </w:r>
    </w:p>
    <w:p w14:paraId="501427B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Вся работа по эксплуатации моторизованного аэростата упрощает организацию бивачной службы и полностью устраняет потерю газа и транспортные перевозки при перебазировках отряда</w:t>
      </w:r>
    </w:p>
    <w:p w14:paraId="3044C38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Моторизованный аэростат может быть использован с успехом в воздухоплавательных частях Артиллерии Красной Армии и Военно-Морского Флота, а также по разведке проходов во льдах при проводке судов в Арктике.</w:t>
      </w:r>
    </w:p>
    <w:p w14:paraId="590D7A9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ТЕХНИЧЕСКОЕ ОПИСАНИЕ</w:t>
      </w:r>
    </w:p>
    <w:p w14:paraId="7524D25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моторизованного аэростата “МАЛЫШ”</w:t>
      </w:r>
    </w:p>
    <w:p w14:paraId="20A530A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Моторизованный аэростат “МАЛЫШ” /по конструкторскому бюро имеет индекс “Н”/ представляет собой мягкий аэростат, спроектированный и построенный на базе типового аэростата “БД”, в оболочку которого внесены следующие изменения:</w:t>
      </w:r>
    </w:p>
    <w:p w14:paraId="7C47B481" w14:textId="77777777" w:rsidR="003712D9" w:rsidRPr="00070ADE" w:rsidRDefault="003712D9" w:rsidP="00B56F9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Вклеен баллонет; </w:t>
      </w:r>
    </w:p>
    <w:p w14:paraId="65E4AA27" w14:textId="77777777" w:rsidR="003712D9" w:rsidRPr="00070ADE" w:rsidRDefault="003712D9" w:rsidP="00B56F9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Изменена стягивающая система; </w:t>
      </w:r>
    </w:p>
    <w:p w14:paraId="10608C96" w14:textId="77777777" w:rsidR="003712D9" w:rsidRPr="00070ADE" w:rsidRDefault="003712D9" w:rsidP="00B56F9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Поставлено жесткое оперение; </w:t>
      </w:r>
    </w:p>
    <w:p w14:paraId="62FE17FA" w14:textId="77777777" w:rsidR="003712D9" w:rsidRPr="00070ADE" w:rsidRDefault="003712D9" w:rsidP="00B56F9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Изменена подвеска. </w:t>
      </w:r>
    </w:p>
    <w:p w14:paraId="48EAC89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Конструкция аэростата весьма проста и дешева в изготовлении. Все агрегаты, за исключением оперения, берутся готовыми и подвергаются лишь некоторым конструктивным изменениям. Это позволяет легко реализовывать серийную постройку аэростатов “МАЛЫШ” на базе стандартного аэростата “БД” и фюзеляжей самолетов У-2.</w:t>
      </w:r>
    </w:p>
    <w:p w14:paraId="721DD22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ОБЩИЕ ДАННЫЕ АЭРОСТАТА</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CB5308" w:rsidRPr="00070ADE" w14:paraId="33230F0D" w14:textId="77777777">
        <w:tc>
          <w:tcPr>
            <w:tcW w:w="6926" w:type="dxa"/>
            <w:tcBorders>
              <w:top w:val="single" w:sz="12" w:space="0" w:color="auto"/>
            </w:tcBorders>
          </w:tcPr>
          <w:p w14:paraId="7D13C35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Газовый объем</w:t>
            </w:r>
          </w:p>
        </w:tc>
        <w:tc>
          <w:tcPr>
            <w:tcW w:w="2433" w:type="dxa"/>
            <w:tcBorders>
              <w:top w:val="single" w:sz="12" w:space="0" w:color="auto"/>
            </w:tcBorders>
          </w:tcPr>
          <w:p w14:paraId="7A3A8C3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U</w:t>
            </w:r>
            <w:r w:rsidRPr="00070ADE">
              <w:rPr>
                <w:rFonts w:ascii="Times New Roman" w:hAnsi="Times New Roman"/>
                <w:color w:val="000000" w:themeColor="text1"/>
                <w:sz w:val="16"/>
                <w:szCs w:val="16"/>
                <w:vertAlign w:val="subscript"/>
              </w:rPr>
              <w:t>г</w:t>
            </w:r>
            <w:r w:rsidRPr="00070ADE">
              <w:rPr>
                <w:rFonts w:ascii="Times New Roman" w:hAnsi="Times New Roman"/>
                <w:color w:val="000000" w:themeColor="text1"/>
                <w:sz w:val="16"/>
                <w:szCs w:val="16"/>
              </w:rPr>
              <w:t xml:space="preserve"> = 1030 м</w:t>
            </w:r>
            <w:r w:rsidRPr="00070ADE">
              <w:rPr>
                <w:rFonts w:ascii="Times New Roman" w:hAnsi="Times New Roman"/>
                <w:color w:val="000000" w:themeColor="text1"/>
                <w:sz w:val="16"/>
                <w:szCs w:val="16"/>
                <w:vertAlign w:val="superscript"/>
              </w:rPr>
              <w:t>3</w:t>
            </w:r>
          </w:p>
        </w:tc>
      </w:tr>
      <w:tr w:rsidR="00CB5308" w:rsidRPr="00070ADE" w14:paraId="4B7FB70D" w14:textId="77777777">
        <w:tc>
          <w:tcPr>
            <w:tcW w:w="6926" w:type="dxa"/>
          </w:tcPr>
          <w:p w14:paraId="6305282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Длина</w:t>
            </w:r>
          </w:p>
        </w:tc>
        <w:tc>
          <w:tcPr>
            <w:tcW w:w="2433" w:type="dxa"/>
          </w:tcPr>
          <w:p w14:paraId="57E371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L = 30 м</w:t>
            </w:r>
          </w:p>
        </w:tc>
      </w:tr>
      <w:tr w:rsidR="00CB5308" w:rsidRPr="00070ADE" w14:paraId="6B240295" w14:textId="77777777">
        <w:tc>
          <w:tcPr>
            <w:tcW w:w="6926" w:type="dxa"/>
          </w:tcPr>
          <w:p w14:paraId="7D9E3A2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Диаметр в миделе</w:t>
            </w:r>
          </w:p>
        </w:tc>
        <w:tc>
          <w:tcPr>
            <w:tcW w:w="2433" w:type="dxa"/>
          </w:tcPr>
          <w:p w14:paraId="3A29A82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w:t>
            </w:r>
            <w:r w:rsidRPr="00070ADE">
              <w:rPr>
                <w:rFonts w:ascii="Times New Roman" w:hAnsi="Times New Roman"/>
                <w:color w:val="000000" w:themeColor="text1"/>
                <w:sz w:val="16"/>
                <w:szCs w:val="16"/>
                <w:vertAlign w:val="subscript"/>
              </w:rPr>
              <w:t>м</w:t>
            </w:r>
            <w:r w:rsidRPr="00070ADE">
              <w:rPr>
                <w:rFonts w:ascii="Times New Roman" w:hAnsi="Times New Roman"/>
                <w:color w:val="000000" w:themeColor="text1"/>
                <w:sz w:val="16"/>
                <w:szCs w:val="16"/>
              </w:rPr>
              <w:t xml:space="preserve"> = 8,62 м</w:t>
            </w:r>
          </w:p>
        </w:tc>
      </w:tr>
      <w:tr w:rsidR="00CB5308" w:rsidRPr="00070ADE" w14:paraId="7D233D01" w14:textId="77777777">
        <w:tc>
          <w:tcPr>
            <w:tcW w:w="6926" w:type="dxa"/>
          </w:tcPr>
          <w:p w14:paraId="5F83ECF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Удлинение</w:t>
            </w:r>
          </w:p>
        </w:tc>
        <w:tc>
          <w:tcPr>
            <w:tcW w:w="2433" w:type="dxa"/>
          </w:tcPr>
          <w:p w14:paraId="63277E4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 3,48</w:t>
            </w:r>
          </w:p>
        </w:tc>
      </w:tr>
      <w:tr w:rsidR="00CB5308" w:rsidRPr="00070ADE" w14:paraId="4B6BE6F0" w14:textId="77777777">
        <w:tc>
          <w:tcPr>
            <w:tcW w:w="6926" w:type="dxa"/>
          </w:tcPr>
          <w:p w14:paraId="4BE854C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Поверхность оболочки</w:t>
            </w:r>
          </w:p>
        </w:tc>
        <w:tc>
          <w:tcPr>
            <w:tcW w:w="2433" w:type="dxa"/>
          </w:tcPr>
          <w:p w14:paraId="2B0A765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S</w:t>
            </w:r>
            <w:r w:rsidRPr="00070ADE">
              <w:rPr>
                <w:rFonts w:ascii="Times New Roman" w:hAnsi="Times New Roman"/>
                <w:color w:val="000000" w:themeColor="text1"/>
                <w:sz w:val="16"/>
                <w:szCs w:val="16"/>
                <w:vertAlign w:val="subscript"/>
              </w:rPr>
              <w:t>б</w:t>
            </w:r>
            <w:r w:rsidRPr="00070ADE">
              <w:rPr>
                <w:rFonts w:ascii="Times New Roman" w:hAnsi="Times New Roman"/>
                <w:color w:val="000000" w:themeColor="text1"/>
                <w:sz w:val="16"/>
                <w:szCs w:val="16"/>
              </w:rPr>
              <w:t xml:space="preserve"> = 605 м</w:t>
            </w:r>
            <w:r w:rsidRPr="00070ADE">
              <w:rPr>
                <w:rFonts w:ascii="Times New Roman" w:hAnsi="Times New Roman"/>
                <w:color w:val="000000" w:themeColor="text1"/>
                <w:sz w:val="16"/>
                <w:szCs w:val="16"/>
                <w:vertAlign w:val="superscript"/>
              </w:rPr>
              <w:t>2</w:t>
            </w:r>
          </w:p>
        </w:tc>
      </w:tr>
      <w:tr w:rsidR="00CB5308" w:rsidRPr="00070ADE" w14:paraId="76013D0F" w14:textId="77777777">
        <w:tc>
          <w:tcPr>
            <w:tcW w:w="6926" w:type="dxa"/>
          </w:tcPr>
          <w:p w14:paraId="0587698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Объем баллонета</w:t>
            </w:r>
          </w:p>
        </w:tc>
        <w:tc>
          <w:tcPr>
            <w:tcW w:w="2433" w:type="dxa"/>
          </w:tcPr>
          <w:p w14:paraId="36E7CF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U</w:t>
            </w:r>
            <w:r w:rsidRPr="00070ADE">
              <w:rPr>
                <w:rFonts w:ascii="Times New Roman" w:hAnsi="Times New Roman"/>
                <w:color w:val="000000" w:themeColor="text1"/>
                <w:sz w:val="16"/>
                <w:szCs w:val="16"/>
                <w:vertAlign w:val="subscript"/>
              </w:rPr>
              <w:t xml:space="preserve">б </w:t>
            </w:r>
            <w:r w:rsidRPr="00070ADE">
              <w:rPr>
                <w:rFonts w:ascii="Times New Roman" w:hAnsi="Times New Roman"/>
                <w:color w:val="000000" w:themeColor="text1"/>
                <w:sz w:val="16"/>
                <w:szCs w:val="16"/>
              </w:rPr>
              <w:t>= 110 м</w:t>
            </w:r>
            <w:r w:rsidRPr="00070ADE">
              <w:rPr>
                <w:rFonts w:ascii="Times New Roman" w:hAnsi="Times New Roman"/>
                <w:color w:val="000000" w:themeColor="text1"/>
                <w:sz w:val="16"/>
                <w:szCs w:val="16"/>
                <w:vertAlign w:val="superscript"/>
              </w:rPr>
              <w:t>2</w:t>
            </w:r>
          </w:p>
        </w:tc>
      </w:tr>
      <w:tr w:rsidR="00CB5308" w:rsidRPr="00070ADE" w14:paraId="5B26A963" w14:textId="77777777">
        <w:tc>
          <w:tcPr>
            <w:tcW w:w="6926" w:type="dxa"/>
          </w:tcPr>
          <w:p w14:paraId="28906B2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Площадь оперения:</w:t>
            </w:r>
          </w:p>
        </w:tc>
        <w:tc>
          <w:tcPr>
            <w:tcW w:w="2433" w:type="dxa"/>
          </w:tcPr>
          <w:p w14:paraId="476A7C1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5981B86" w14:textId="77777777">
        <w:tc>
          <w:tcPr>
            <w:tcW w:w="6926" w:type="dxa"/>
          </w:tcPr>
          <w:p w14:paraId="753D158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бокового</w:t>
            </w:r>
          </w:p>
        </w:tc>
        <w:tc>
          <w:tcPr>
            <w:tcW w:w="2433" w:type="dxa"/>
          </w:tcPr>
          <w:p w14:paraId="4370B3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х 14,875 = 29,75 м</w:t>
            </w:r>
            <w:r w:rsidRPr="00070ADE">
              <w:rPr>
                <w:rFonts w:ascii="Times New Roman" w:hAnsi="Times New Roman"/>
                <w:color w:val="000000" w:themeColor="text1"/>
                <w:sz w:val="16"/>
                <w:szCs w:val="16"/>
                <w:vertAlign w:val="superscript"/>
              </w:rPr>
              <w:t>2</w:t>
            </w:r>
          </w:p>
        </w:tc>
      </w:tr>
      <w:tr w:rsidR="00CB5308" w:rsidRPr="00070ADE" w14:paraId="08321CC9" w14:textId="77777777">
        <w:tc>
          <w:tcPr>
            <w:tcW w:w="6926" w:type="dxa"/>
            <w:tcBorders>
              <w:bottom w:val="single" w:sz="12" w:space="0" w:color="auto"/>
            </w:tcBorders>
          </w:tcPr>
          <w:p w14:paraId="4764B5A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вертикального</w:t>
            </w:r>
          </w:p>
        </w:tc>
        <w:tc>
          <w:tcPr>
            <w:tcW w:w="2433" w:type="dxa"/>
            <w:tcBorders>
              <w:bottom w:val="single" w:sz="12" w:space="0" w:color="auto"/>
            </w:tcBorders>
          </w:tcPr>
          <w:p w14:paraId="7D99969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14,875 м</w:t>
            </w:r>
            <w:r w:rsidRPr="00070ADE">
              <w:rPr>
                <w:rFonts w:ascii="Times New Roman" w:hAnsi="Times New Roman"/>
                <w:color w:val="000000" w:themeColor="text1"/>
                <w:sz w:val="16"/>
                <w:szCs w:val="16"/>
                <w:vertAlign w:val="superscript"/>
              </w:rPr>
              <w:t>2</w:t>
            </w:r>
          </w:p>
        </w:tc>
      </w:tr>
    </w:tbl>
    <w:p w14:paraId="0586F1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ВИНТОМОТОРНАЯ ГРУППА</w:t>
      </w:r>
    </w:p>
    <w:p w14:paraId="24FB35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Мотор М 11 д – воздушного охлаждения.</w:t>
      </w:r>
    </w:p>
    <w:p w14:paraId="5441A3F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Максимальная мощность N</w:t>
      </w:r>
      <w:r w:rsidRPr="00070ADE">
        <w:rPr>
          <w:rFonts w:ascii="Times New Roman" w:hAnsi="Times New Roman"/>
          <w:color w:val="000000" w:themeColor="text1"/>
          <w:sz w:val="16"/>
          <w:szCs w:val="16"/>
          <w:vertAlign w:val="subscript"/>
        </w:rPr>
        <w:t>max</w:t>
      </w:r>
      <w:r w:rsidRPr="00070ADE">
        <w:rPr>
          <w:rFonts w:ascii="Times New Roman" w:hAnsi="Times New Roman"/>
          <w:color w:val="000000" w:themeColor="text1"/>
          <w:sz w:val="16"/>
          <w:szCs w:val="16"/>
        </w:rPr>
        <w:t xml:space="preserve"> = 126 л.с. при n = 1760 об.м.</w:t>
      </w:r>
    </w:p>
    <w:p w14:paraId="753BCA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Номинальная мощность N</w:t>
      </w:r>
      <w:r w:rsidRPr="00070ADE">
        <w:rPr>
          <w:rFonts w:ascii="Times New Roman" w:hAnsi="Times New Roman"/>
          <w:color w:val="000000" w:themeColor="text1"/>
          <w:sz w:val="16"/>
          <w:szCs w:val="16"/>
          <w:vertAlign w:val="subscript"/>
        </w:rPr>
        <w:t>ном</w:t>
      </w:r>
      <w:r w:rsidRPr="00070ADE">
        <w:rPr>
          <w:rFonts w:ascii="Times New Roman" w:hAnsi="Times New Roman"/>
          <w:color w:val="000000" w:themeColor="text1"/>
          <w:sz w:val="16"/>
          <w:szCs w:val="16"/>
        </w:rPr>
        <w:t xml:space="preserve"> = 115л.с. при n = 1700 об.м.</w:t>
      </w:r>
    </w:p>
    <w:p w14:paraId="11C1D7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Эксплуатационная мощность N</w:t>
      </w:r>
      <w:r w:rsidRPr="00070ADE">
        <w:rPr>
          <w:rFonts w:ascii="Times New Roman" w:hAnsi="Times New Roman"/>
          <w:color w:val="000000" w:themeColor="text1"/>
          <w:sz w:val="16"/>
          <w:szCs w:val="16"/>
          <w:vertAlign w:val="subscript"/>
        </w:rPr>
        <w:t>экс</w:t>
      </w:r>
      <w:r w:rsidRPr="00070ADE">
        <w:rPr>
          <w:rFonts w:ascii="Times New Roman" w:hAnsi="Times New Roman"/>
          <w:color w:val="000000" w:themeColor="text1"/>
          <w:sz w:val="16"/>
          <w:szCs w:val="16"/>
        </w:rPr>
        <w:t xml:space="preserve"> = 103л.с. при n = 1640 об.м.</w:t>
      </w:r>
    </w:p>
    <w:p w14:paraId="5470EC5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Винт, тянущий от У-2 диаметр Д = 2,4 м, шаг Н = 1,62 м</w:t>
      </w:r>
    </w:p>
    <w:p w14:paraId="0B28D89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Система питания – самотеком.</w:t>
      </w:r>
    </w:p>
    <w:p w14:paraId="39092DA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ЛЕТНО-ЭКСПЛУАТАЦИОННЫЕ ХАРАКТЕРИСТИКИ</w:t>
      </w:r>
    </w:p>
    <w:p w14:paraId="30287C7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/пересчитанные для стенд. условий/</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CB5308" w:rsidRPr="00070ADE" w14:paraId="78F47B8E" w14:textId="77777777">
        <w:tc>
          <w:tcPr>
            <w:tcW w:w="6926" w:type="dxa"/>
            <w:tcBorders>
              <w:top w:val="single" w:sz="12" w:space="0" w:color="auto"/>
            </w:tcBorders>
          </w:tcPr>
          <w:p w14:paraId="1C3BA83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Максимальная скорость на номин. режиме мотора V</w:t>
            </w:r>
            <w:r w:rsidRPr="00070ADE">
              <w:rPr>
                <w:rFonts w:ascii="Times New Roman" w:hAnsi="Times New Roman"/>
                <w:color w:val="000000" w:themeColor="text1"/>
                <w:sz w:val="16"/>
                <w:szCs w:val="16"/>
                <w:vertAlign w:val="subscript"/>
              </w:rPr>
              <w:t>max</w:t>
            </w:r>
            <w:r w:rsidRPr="00070ADE">
              <w:rPr>
                <w:rFonts w:ascii="Times New Roman" w:hAnsi="Times New Roman"/>
                <w:color w:val="000000" w:themeColor="text1"/>
                <w:sz w:val="16"/>
                <w:szCs w:val="16"/>
              </w:rPr>
              <w:t xml:space="preserve"> = 80 км/ч</w:t>
            </w:r>
          </w:p>
        </w:tc>
        <w:tc>
          <w:tcPr>
            <w:tcW w:w="2433" w:type="dxa"/>
            <w:tcBorders>
              <w:top w:val="single" w:sz="12" w:space="0" w:color="auto"/>
            </w:tcBorders>
          </w:tcPr>
          <w:p w14:paraId="37B013C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N</w:t>
            </w:r>
            <w:r w:rsidRPr="00070ADE">
              <w:rPr>
                <w:rFonts w:ascii="Times New Roman" w:hAnsi="Times New Roman"/>
                <w:color w:val="000000" w:themeColor="text1"/>
                <w:sz w:val="16"/>
                <w:szCs w:val="16"/>
                <w:vertAlign w:val="subscript"/>
              </w:rPr>
              <w:t>max</w:t>
            </w:r>
            <w:r w:rsidRPr="00070ADE">
              <w:rPr>
                <w:rFonts w:ascii="Times New Roman" w:hAnsi="Times New Roman"/>
                <w:color w:val="000000" w:themeColor="text1"/>
                <w:sz w:val="16"/>
                <w:szCs w:val="16"/>
              </w:rPr>
              <w:t xml:space="preserve"> = 1550 об.мин.</w:t>
            </w:r>
          </w:p>
        </w:tc>
      </w:tr>
      <w:tr w:rsidR="00CB5308" w:rsidRPr="00070ADE" w14:paraId="519B803F" w14:textId="77777777">
        <w:tc>
          <w:tcPr>
            <w:tcW w:w="6926" w:type="dxa"/>
          </w:tcPr>
          <w:p w14:paraId="5634FFD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Крейсерская скорость V</w:t>
            </w:r>
            <w:r w:rsidRPr="00070ADE">
              <w:rPr>
                <w:rFonts w:ascii="Times New Roman" w:hAnsi="Times New Roman"/>
                <w:color w:val="000000" w:themeColor="text1"/>
                <w:sz w:val="16"/>
                <w:szCs w:val="16"/>
                <w:vertAlign w:val="subscript"/>
              </w:rPr>
              <w:t>кр</w:t>
            </w:r>
            <w:r w:rsidRPr="00070ADE">
              <w:rPr>
                <w:rFonts w:ascii="Times New Roman" w:hAnsi="Times New Roman"/>
                <w:color w:val="000000" w:themeColor="text1"/>
                <w:sz w:val="16"/>
                <w:szCs w:val="16"/>
              </w:rPr>
              <w:t xml:space="preserve"> = 73 км/ч</w:t>
            </w:r>
          </w:p>
        </w:tc>
        <w:tc>
          <w:tcPr>
            <w:tcW w:w="2433" w:type="dxa"/>
          </w:tcPr>
          <w:p w14:paraId="4A48456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N = 1400 об.мин.</w:t>
            </w:r>
          </w:p>
        </w:tc>
      </w:tr>
      <w:tr w:rsidR="00CB5308" w:rsidRPr="00070ADE" w14:paraId="514265B1" w14:textId="77777777">
        <w:tc>
          <w:tcPr>
            <w:tcW w:w="6926" w:type="dxa"/>
          </w:tcPr>
          <w:p w14:paraId="5593C61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Дальность при двух пилотах на крейсерской скорости</w:t>
            </w:r>
          </w:p>
        </w:tc>
        <w:tc>
          <w:tcPr>
            <w:tcW w:w="2433" w:type="dxa"/>
          </w:tcPr>
          <w:p w14:paraId="2122DB4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L = 110 км</w:t>
            </w:r>
          </w:p>
        </w:tc>
      </w:tr>
      <w:tr w:rsidR="00CB5308" w:rsidRPr="00070ADE" w14:paraId="1BB70714" w14:textId="77777777">
        <w:tc>
          <w:tcPr>
            <w:tcW w:w="6926" w:type="dxa"/>
          </w:tcPr>
          <w:p w14:paraId="7B4414A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Дальность при одном пилоте на крейсерской скорости</w:t>
            </w:r>
          </w:p>
        </w:tc>
        <w:tc>
          <w:tcPr>
            <w:tcW w:w="2433" w:type="dxa"/>
          </w:tcPr>
          <w:p w14:paraId="7DD97DA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L = 365 км</w:t>
            </w:r>
          </w:p>
        </w:tc>
      </w:tr>
      <w:tr w:rsidR="00CB5308" w:rsidRPr="00070ADE" w14:paraId="7EC74607" w14:textId="77777777">
        <w:tc>
          <w:tcPr>
            <w:tcW w:w="6926" w:type="dxa"/>
          </w:tcPr>
          <w:p w14:paraId="57974AC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Автономия при одном пилоте на крейсерской скорости</w:t>
            </w:r>
          </w:p>
        </w:tc>
        <w:tc>
          <w:tcPr>
            <w:tcW w:w="2433" w:type="dxa"/>
          </w:tcPr>
          <w:p w14:paraId="621C9D3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 5 час</w:t>
            </w:r>
          </w:p>
        </w:tc>
      </w:tr>
      <w:tr w:rsidR="00CB5308" w:rsidRPr="00070ADE" w14:paraId="7062DF5D" w14:textId="77777777">
        <w:tc>
          <w:tcPr>
            <w:tcW w:w="6926" w:type="dxa"/>
          </w:tcPr>
          <w:p w14:paraId="3DD6639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Автономия при двух пилотах на крейсерской скорости</w:t>
            </w:r>
          </w:p>
        </w:tc>
        <w:tc>
          <w:tcPr>
            <w:tcW w:w="2433" w:type="dxa"/>
          </w:tcPr>
          <w:p w14:paraId="64B78B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 1,5 часа</w:t>
            </w:r>
          </w:p>
        </w:tc>
      </w:tr>
      <w:tr w:rsidR="00CB5308" w:rsidRPr="00070ADE" w14:paraId="35B7A859" w14:textId="77777777">
        <w:tc>
          <w:tcPr>
            <w:tcW w:w="6926" w:type="dxa"/>
          </w:tcPr>
          <w:p w14:paraId="1C1FDE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Стратегический потолок /вариант дирижабля/</w:t>
            </w:r>
          </w:p>
        </w:tc>
        <w:tc>
          <w:tcPr>
            <w:tcW w:w="2433" w:type="dxa"/>
          </w:tcPr>
          <w:p w14:paraId="0DA609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w:t>
            </w:r>
            <w:r w:rsidRPr="00070ADE">
              <w:rPr>
                <w:rFonts w:ascii="Times New Roman" w:hAnsi="Times New Roman"/>
                <w:color w:val="000000" w:themeColor="text1"/>
                <w:sz w:val="16"/>
                <w:szCs w:val="16"/>
                <w:vertAlign w:val="subscript"/>
              </w:rPr>
              <w:t xml:space="preserve">ст. </w:t>
            </w:r>
            <w:r w:rsidRPr="00070ADE">
              <w:rPr>
                <w:rFonts w:ascii="Times New Roman" w:hAnsi="Times New Roman"/>
                <w:color w:val="000000" w:themeColor="text1"/>
                <w:sz w:val="16"/>
                <w:szCs w:val="16"/>
              </w:rPr>
              <w:t>= 900 м</w:t>
            </w:r>
          </w:p>
        </w:tc>
      </w:tr>
      <w:tr w:rsidR="00CB5308" w:rsidRPr="00070ADE" w14:paraId="4B84F03B" w14:textId="77777777">
        <w:tc>
          <w:tcPr>
            <w:tcW w:w="6926" w:type="dxa"/>
          </w:tcPr>
          <w:p w14:paraId="61C234D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Статический потолок с одним наблюдателем /вариант привязника/</w:t>
            </w:r>
          </w:p>
        </w:tc>
        <w:tc>
          <w:tcPr>
            <w:tcW w:w="2433" w:type="dxa"/>
          </w:tcPr>
          <w:p w14:paraId="7273475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w:t>
            </w:r>
            <w:r w:rsidRPr="00070ADE">
              <w:rPr>
                <w:rFonts w:ascii="Times New Roman" w:hAnsi="Times New Roman"/>
                <w:color w:val="000000" w:themeColor="text1"/>
                <w:sz w:val="16"/>
                <w:szCs w:val="16"/>
                <w:vertAlign w:val="subscript"/>
              </w:rPr>
              <w:t>ст.</w:t>
            </w:r>
            <w:r w:rsidRPr="00070ADE">
              <w:rPr>
                <w:rFonts w:ascii="Times New Roman" w:hAnsi="Times New Roman"/>
                <w:color w:val="000000" w:themeColor="text1"/>
                <w:sz w:val="16"/>
                <w:szCs w:val="16"/>
              </w:rPr>
              <w:t xml:space="preserve"> = 2200 м</w:t>
            </w:r>
          </w:p>
        </w:tc>
      </w:tr>
      <w:tr w:rsidR="00CB5308" w:rsidRPr="00070ADE" w14:paraId="56052FBF" w14:textId="77777777">
        <w:tc>
          <w:tcPr>
            <w:tcW w:w="6926" w:type="dxa"/>
          </w:tcPr>
          <w:p w14:paraId="4600EB9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Статический потолок с двумя наблюдателями</w:t>
            </w:r>
          </w:p>
        </w:tc>
        <w:tc>
          <w:tcPr>
            <w:tcW w:w="2433" w:type="dxa"/>
          </w:tcPr>
          <w:p w14:paraId="2C5BBA4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w:t>
            </w:r>
            <w:r w:rsidRPr="00070ADE">
              <w:rPr>
                <w:rFonts w:ascii="Times New Roman" w:hAnsi="Times New Roman"/>
                <w:color w:val="000000" w:themeColor="text1"/>
                <w:sz w:val="16"/>
                <w:szCs w:val="16"/>
                <w:vertAlign w:val="subscript"/>
              </w:rPr>
              <w:t>ст.</w:t>
            </w:r>
            <w:r w:rsidRPr="00070ADE">
              <w:rPr>
                <w:rFonts w:ascii="Times New Roman" w:hAnsi="Times New Roman"/>
                <w:color w:val="000000" w:themeColor="text1"/>
                <w:sz w:val="16"/>
                <w:szCs w:val="16"/>
              </w:rPr>
              <w:t xml:space="preserve"> = 1600 м</w:t>
            </w:r>
          </w:p>
        </w:tc>
      </w:tr>
      <w:tr w:rsidR="00CB5308" w:rsidRPr="00070ADE" w14:paraId="2015618D" w14:textId="77777777">
        <w:tc>
          <w:tcPr>
            <w:tcW w:w="6926" w:type="dxa"/>
            <w:tcBorders>
              <w:bottom w:val="single" w:sz="12" w:space="0" w:color="auto"/>
            </w:tcBorders>
          </w:tcPr>
          <w:p w14:paraId="20058DF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Количество сбрасываемых парашютов при работе в качестве тренировочного аэростата на рабочей высоте</w:t>
            </w:r>
          </w:p>
          <w:p w14:paraId="10237BC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штиль – 3 человека</w:t>
            </w:r>
          </w:p>
          <w:p w14:paraId="3C4FFB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ветре более 3 м/сек – 4 чел.</w:t>
            </w:r>
          </w:p>
        </w:tc>
        <w:tc>
          <w:tcPr>
            <w:tcW w:w="2433" w:type="dxa"/>
            <w:tcBorders>
              <w:bottom w:val="single" w:sz="12" w:space="0" w:color="auto"/>
            </w:tcBorders>
          </w:tcPr>
          <w:p w14:paraId="637F7D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CFA79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 = 460 м</w:t>
            </w:r>
          </w:p>
        </w:tc>
      </w:tr>
    </w:tbl>
    <w:p w14:paraId="6F4C1D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IV. ВЕСОВЫЕ ХАРАКТЕРИСТИКИ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14"/>
        <w:gridCol w:w="2430"/>
      </w:tblGrid>
      <w:tr w:rsidR="00CB5308" w:rsidRPr="00070ADE" w14:paraId="70D67BCC" w14:textId="77777777" w:rsidTr="00264F92">
        <w:tc>
          <w:tcPr>
            <w:tcW w:w="6914" w:type="dxa"/>
            <w:tcBorders>
              <w:top w:val="single" w:sz="12" w:space="0" w:color="auto"/>
            </w:tcBorders>
          </w:tcPr>
          <w:p w14:paraId="56131D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Полная подъемная сила на уровне моря при Ф = 1,1 кг/м</w:t>
            </w:r>
            <w:r w:rsidRPr="00070ADE">
              <w:rPr>
                <w:rFonts w:ascii="Times New Roman" w:hAnsi="Times New Roman"/>
                <w:color w:val="000000" w:themeColor="text1"/>
                <w:sz w:val="16"/>
                <w:szCs w:val="16"/>
                <w:vertAlign w:val="superscript"/>
              </w:rPr>
              <w:t>3</w:t>
            </w:r>
          </w:p>
        </w:tc>
        <w:tc>
          <w:tcPr>
            <w:tcW w:w="2430" w:type="dxa"/>
            <w:tcBorders>
              <w:top w:val="single" w:sz="12" w:space="0" w:color="auto"/>
            </w:tcBorders>
          </w:tcPr>
          <w:p w14:paraId="365B8A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F</w:t>
            </w:r>
            <w:r w:rsidRPr="00070ADE">
              <w:rPr>
                <w:rFonts w:ascii="Times New Roman" w:hAnsi="Times New Roman"/>
                <w:color w:val="000000" w:themeColor="text1"/>
                <w:sz w:val="16"/>
                <w:szCs w:val="16"/>
                <w:vertAlign w:val="subscript"/>
              </w:rPr>
              <w:t>n</w:t>
            </w:r>
            <w:r w:rsidRPr="00070ADE">
              <w:rPr>
                <w:rFonts w:ascii="Times New Roman" w:hAnsi="Times New Roman"/>
                <w:color w:val="000000" w:themeColor="text1"/>
                <w:sz w:val="16"/>
                <w:szCs w:val="16"/>
              </w:rPr>
              <w:t xml:space="preserve"> = 1130 кг</w:t>
            </w:r>
          </w:p>
        </w:tc>
      </w:tr>
      <w:tr w:rsidR="00CB5308" w:rsidRPr="00070ADE" w14:paraId="30FEC24B" w14:textId="77777777" w:rsidTr="00264F92">
        <w:tc>
          <w:tcPr>
            <w:tcW w:w="6914" w:type="dxa"/>
          </w:tcPr>
          <w:p w14:paraId="6F5845A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Мертвый вес</w:t>
            </w:r>
          </w:p>
        </w:tc>
        <w:tc>
          <w:tcPr>
            <w:tcW w:w="2430" w:type="dxa"/>
          </w:tcPr>
          <w:p w14:paraId="287524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G</w:t>
            </w:r>
            <w:r w:rsidRPr="00070ADE">
              <w:rPr>
                <w:rFonts w:ascii="Times New Roman" w:hAnsi="Times New Roman"/>
                <w:color w:val="000000" w:themeColor="text1"/>
                <w:sz w:val="16"/>
                <w:szCs w:val="16"/>
                <w:vertAlign w:val="subscript"/>
              </w:rPr>
              <w:t>m</w:t>
            </w:r>
            <w:r w:rsidRPr="00070ADE">
              <w:rPr>
                <w:rFonts w:ascii="Times New Roman" w:hAnsi="Times New Roman"/>
                <w:color w:val="000000" w:themeColor="text1"/>
                <w:sz w:val="16"/>
                <w:szCs w:val="16"/>
              </w:rPr>
              <w:t xml:space="preserve"> = 910 кг</w:t>
            </w:r>
          </w:p>
        </w:tc>
      </w:tr>
      <w:tr w:rsidR="00CB5308" w:rsidRPr="00070ADE" w14:paraId="677F7C36" w14:textId="77777777" w:rsidTr="00264F92">
        <w:tc>
          <w:tcPr>
            <w:tcW w:w="6914" w:type="dxa"/>
          </w:tcPr>
          <w:p w14:paraId="387077A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Полезная нагрузка</w:t>
            </w:r>
          </w:p>
        </w:tc>
        <w:tc>
          <w:tcPr>
            <w:tcW w:w="2430" w:type="dxa"/>
          </w:tcPr>
          <w:p w14:paraId="4DAC568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BA7D517" w14:textId="77777777" w:rsidTr="00264F92">
        <w:tc>
          <w:tcPr>
            <w:tcW w:w="6914" w:type="dxa"/>
          </w:tcPr>
          <w:p w14:paraId="20CD0C4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экипаж 1 человек</w:t>
            </w:r>
          </w:p>
        </w:tc>
        <w:tc>
          <w:tcPr>
            <w:tcW w:w="2430" w:type="dxa"/>
          </w:tcPr>
          <w:p w14:paraId="755D699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 кг</w:t>
            </w:r>
          </w:p>
        </w:tc>
      </w:tr>
      <w:tr w:rsidR="00CB5308" w:rsidRPr="00070ADE" w14:paraId="2D28AFB0" w14:textId="77777777" w:rsidTr="00264F92">
        <w:tc>
          <w:tcPr>
            <w:tcW w:w="6914" w:type="dxa"/>
          </w:tcPr>
          <w:p w14:paraId="10A69F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балласт</w:t>
            </w:r>
          </w:p>
        </w:tc>
        <w:tc>
          <w:tcPr>
            <w:tcW w:w="2430" w:type="dxa"/>
          </w:tcPr>
          <w:p w14:paraId="6332C12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кг</w:t>
            </w:r>
          </w:p>
        </w:tc>
      </w:tr>
      <w:tr w:rsidR="00CB5308" w:rsidRPr="00070ADE" w14:paraId="6DBDE1E1" w14:textId="77777777" w:rsidTr="00264F92">
        <w:tc>
          <w:tcPr>
            <w:tcW w:w="6914" w:type="dxa"/>
          </w:tcPr>
          <w:p w14:paraId="0CE8C7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горючее и смазочное</w:t>
            </w:r>
          </w:p>
        </w:tc>
        <w:tc>
          <w:tcPr>
            <w:tcW w:w="2430" w:type="dxa"/>
          </w:tcPr>
          <w:p w14:paraId="5938A92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 кг</w:t>
            </w:r>
          </w:p>
        </w:tc>
      </w:tr>
      <w:tr w:rsidR="00CB5308" w:rsidRPr="00070ADE" w14:paraId="692BFEBF" w14:textId="77777777" w:rsidTr="00264F92">
        <w:tc>
          <w:tcPr>
            <w:tcW w:w="6914" w:type="dxa"/>
            <w:tcBorders>
              <w:bottom w:val="single" w:sz="12" w:space="0" w:color="auto"/>
            </w:tcBorders>
          </w:tcPr>
          <w:p w14:paraId="288F75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Весовая отдача</w:t>
            </w:r>
          </w:p>
        </w:tc>
        <w:tc>
          <w:tcPr>
            <w:tcW w:w="2430" w:type="dxa"/>
            <w:tcBorders>
              <w:bottom w:val="single" w:sz="12" w:space="0" w:color="auto"/>
            </w:tcBorders>
          </w:tcPr>
          <w:p w14:paraId="228BD30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 18,6 %</w:t>
            </w:r>
          </w:p>
        </w:tc>
      </w:tr>
    </w:tbl>
    <w:p w14:paraId="57D8D69A" w14:textId="77777777" w:rsidR="003712D9" w:rsidRPr="00070ADE" w:rsidRDefault="003712D9" w:rsidP="00B56F9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ОПИСАНИЕ КОНСТРУКЦИИ АЭРОСТАТА </w:t>
      </w:r>
    </w:p>
    <w:p w14:paraId="34ADBD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Матерчатая группа</w:t>
      </w:r>
    </w:p>
    <w:p w14:paraId="0847914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Оболочка аэростата представляет из себя тело вращения, имеющее следующие основные характеристики: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CB5308" w:rsidRPr="00070ADE" w14:paraId="4D812082" w14:textId="77777777">
        <w:tc>
          <w:tcPr>
            <w:tcW w:w="6926" w:type="dxa"/>
            <w:tcBorders>
              <w:top w:val="single" w:sz="12" w:space="0" w:color="auto"/>
            </w:tcBorders>
          </w:tcPr>
          <w:p w14:paraId="3C9E06F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Длина</w:t>
            </w:r>
          </w:p>
        </w:tc>
        <w:tc>
          <w:tcPr>
            <w:tcW w:w="2433" w:type="dxa"/>
            <w:tcBorders>
              <w:top w:val="single" w:sz="12" w:space="0" w:color="auto"/>
            </w:tcBorders>
          </w:tcPr>
          <w:p w14:paraId="157F3E2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L = 30 м</w:t>
            </w:r>
          </w:p>
        </w:tc>
      </w:tr>
      <w:tr w:rsidR="00CB5308" w:rsidRPr="00070ADE" w14:paraId="411608D3" w14:textId="77777777">
        <w:tc>
          <w:tcPr>
            <w:tcW w:w="6926" w:type="dxa"/>
          </w:tcPr>
          <w:p w14:paraId="6DC9051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Диаметр миделя</w:t>
            </w:r>
          </w:p>
        </w:tc>
        <w:tc>
          <w:tcPr>
            <w:tcW w:w="2433" w:type="dxa"/>
          </w:tcPr>
          <w:p w14:paraId="53D5832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w:t>
            </w:r>
            <w:r w:rsidRPr="00070ADE">
              <w:rPr>
                <w:rFonts w:ascii="Times New Roman" w:hAnsi="Times New Roman"/>
                <w:color w:val="000000" w:themeColor="text1"/>
                <w:sz w:val="16"/>
                <w:szCs w:val="16"/>
                <w:vertAlign w:val="subscript"/>
              </w:rPr>
              <w:t>м</w:t>
            </w:r>
            <w:r w:rsidRPr="00070ADE">
              <w:rPr>
                <w:rFonts w:ascii="Times New Roman" w:hAnsi="Times New Roman"/>
                <w:color w:val="000000" w:themeColor="text1"/>
                <w:sz w:val="16"/>
                <w:szCs w:val="16"/>
              </w:rPr>
              <w:t xml:space="preserve"> = 8,62 м</w:t>
            </w:r>
          </w:p>
        </w:tc>
      </w:tr>
      <w:tr w:rsidR="00CB5308" w:rsidRPr="00070ADE" w14:paraId="7C693FB8" w14:textId="77777777">
        <w:tc>
          <w:tcPr>
            <w:tcW w:w="6926" w:type="dxa"/>
          </w:tcPr>
          <w:p w14:paraId="055D58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Удлинение</w:t>
            </w:r>
          </w:p>
        </w:tc>
        <w:tc>
          <w:tcPr>
            <w:tcW w:w="2433" w:type="dxa"/>
          </w:tcPr>
          <w:p w14:paraId="691241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 3,48</w:t>
            </w:r>
          </w:p>
        </w:tc>
      </w:tr>
      <w:tr w:rsidR="00CB5308" w:rsidRPr="00070ADE" w14:paraId="27C734CC" w14:textId="77777777">
        <w:tc>
          <w:tcPr>
            <w:tcW w:w="6926" w:type="dxa"/>
          </w:tcPr>
          <w:p w14:paraId="6CBE67F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Поверхность</w:t>
            </w:r>
          </w:p>
        </w:tc>
        <w:tc>
          <w:tcPr>
            <w:tcW w:w="2433" w:type="dxa"/>
          </w:tcPr>
          <w:p w14:paraId="5FA7146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S</w:t>
            </w:r>
            <w:r w:rsidRPr="00070ADE">
              <w:rPr>
                <w:rFonts w:ascii="Times New Roman" w:hAnsi="Times New Roman"/>
                <w:color w:val="000000" w:themeColor="text1"/>
                <w:sz w:val="16"/>
                <w:szCs w:val="16"/>
                <w:vertAlign w:val="subscript"/>
              </w:rPr>
              <w:t>об</w:t>
            </w:r>
            <w:r w:rsidRPr="00070ADE">
              <w:rPr>
                <w:rFonts w:ascii="Times New Roman" w:hAnsi="Times New Roman"/>
                <w:color w:val="000000" w:themeColor="text1"/>
                <w:sz w:val="16"/>
                <w:szCs w:val="16"/>
              </w:rPr>
              <w:t>. = 605 м</w:t>
            </w:r>
            <w:r w:rsidRPr="00070ADE">
              <w:rPr>
                <w:rFonts w:ascii="Times New Roman" w:hAnsi="Times New Roman"/>
                <w:color w:val="000000" w:themeColor="text1"/>
                <w:sz w:val="16"/>
                <w:szCs w:val="16"/>
                <w:vertAlign w:val="superscript"/>
              </w:rPr>
              <w:t>2</w:t>
            </w:r>
          </w:p>
        </w:tc>
      </w:tr>
      <w:tr w:rsidR="00CB5308" w:rsidRPr="00070ADE" w14:paraId="0F5C1347" w14:textId="77777777">
        <w:tc>
          <w:tcPr>
            <w:tcW w:w="6926" w:type="dxa"/>
          </w:tcPr>
          <w:p w14:paraId="20414D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Расстояние миделя от носа</w:t>
            </w:r>
          </w:p>
        </w:tc>
        <w:tc>
          <w:tcPr>
            <w:tcW w:w="2433" w:type="dxa"/>
          </w:tcPr>
          <w:p w14:paraId="0446133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l = 7,6 м</w:t>
            </w:r>
          </w:p>
        </w:tc>
      </w:tr>
      <w:tr w:rsidR="00CB5308" w:rsidRPr="00070ADE" w14:paraId="6584CD0E" w14:textId="77777777">
        <w:tc>
          <w:tcPr>
            <w:tcW w:w="6926" w:type="dxa"/>
            <w:tcBorders>
              <w:bottom w:val="single" w:sz="12" w:space="0" w:color="auto"/>
            </w:tcBorders>
          </w:tcPr>
          <w:p w14:paraId="5A5C4CA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6. Абсцисса центра объема</w:t>
            </w:r>
          </w:p>
        </w:tc>
        <w:tc>
          <w:tcPr>
            <w:tcW w:w="2433" w:type="dxa"/>
            <w:tcBorders>
              <w:bottom w:val="single" w:sz="12" w:space="0" w:color="auto"/>
            </w:tcBorders>
          </w:tcPr>
          <w:p w14:paraId="21F595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x = 12,115 м</w:t>
            </w:r>
          </w:p>
        </w:tc>
      </w:tr>
    </w:tbl>
    <w:p w14:paraId="32BB81E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Баллон аэростата изготовлен из двухслойной прорезиненной и алюминированной диагонально-дублированной материи ГА 220 /по заводской номенклатуре № 500/, состоящей из двух перкалей В.</w:t>
      </w:r>
    </w:p>
    <w:p w14:paraId="5E726E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Характеристики материи: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CB5308" w:rsidRPr="00070ADE" w14:paraId="35FA454E" w14:textId="77777777">
        <w:tc>
          <w:tcPr>
            <w:tcW w:w="6926" w:type="dxa"/>
            <w:tcBorders>
              <w:top w:val="single" w:sz="12" w:space="0" w:color="auto"/>
            </w:tcBorders>
          </w:tcPr>
          <w:p w14:paraId="671474E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Прочность по основе</w:t>
            </w:r>
          </w:p>
        </w:tc>
        <w:tc>
          <w:tcPr>
            <w:tcW w:w="2433" w:type="dxa"/>
            <w:tcBorders>
              <w:top w:val="single" w:sz="12" w:space="0" w:color="auto"/>
            </w:tcBorders>
          </w:tcPr>
          <w:p w14:paraId="16D64AA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 кг/м</w:t>
            </w:r>
          </w:p>
        </w:tc>
      </w:tr>
      <w:tr w:rsidR="00CB5308" w:rsidRPr="00070ADE" w14:paraId="2E0F1551" w14:textId="77777777">
        <w:tc>
          <w:tcPr>
            <w:tcW w:w="6926" w:type="dxa"/>
          </w:tcPr>
          <w:p w14:paraId="5D417F0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квадр. Метра</w:t>
            </w:r>
          </w:p>
        </w:tc>
        <w:tc>
          <w:tcPr>
            <w:tcW w:w="2433" w:type="dxa"/>
          </w:tcPr>
          <w:p w14:paraId="34B20FA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0,264 кг/м</w:t>
            </w:r>
            <w:r w:rsidRPr="00070ADE">
              <w:rPr>
                <w:rFonts w:ascii="Times New Roman" w:hAnsi="Times New Roman"/>
                <w:color w:val="000000" w:themeColor="text1"/>
                <w:sz w:val="16"/>
                <w:szCs w:val="16"/>
                <w:vertAlign w:val="superscript"/>
              </w:rPr>
              <w:t>2</w:t>
            </w:r>
          </w:p>
        </w:tc>
      </w:tr>
      <w:tr w:rsidR="00CB5308" w:rsidRPr="00070ADE" w14:paraId="707164D7" w14:textId="77777777">
        <w:tc>
          <w:tcPr>
            <w:tcW w:w="6926" w:type="dxa"/>
            <w:tcBorders>
              <w:bottom w:val="single" w:sz="12" w:space="0" w:color="auto"/>
            </w:tcBorders>
          </w:tcPr>
          <w:p w14:paraId="13B19F3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Газопроницаемость</w:t>
            </w:r>
          </w:p>
        </w:tc>
        <w:tc>
          <w:tcPr>
            <w:tcW w:w="2433" w:type="dxa"/>
            <w:tcBorders>
              <w:bottom w:val="single" w:sz="12" w:space="0" w:color="auto"/>
            </w:tcBorders>
          </w:tcPr>
          <w:p w14:paraId="2036C6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л/м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 xml:space="preserve"> в сутки</w:t>
            </w:r>
          </w:p>
        </w:tc>
      </w:tr>
    </w:tbl>
    <w:p w14:paraId="4936859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Раскрой оболочки трапециевидный, с разбивкой на 6 одинаковых полотнищ. Каждое полотнище состоит из 40 трапеций, расположенных по оболочке в шахматном порядке. На всех полотнищах основа направлена перпендикулярно меридианам. Трапеции между собой соединены двухрядным швом нитками № 3 с пересклейкой 20 мм.</w:t>
      </w:r>
    </w:p>
    <w:p w14:paraId="4BAED01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Снаружи на швы наклеена одна лента, с внутренней стороны – 2 ленты.</w:t>
      </w:r>
    </w:p>
    <w:p w14:paraId="0C71AF9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 аэростате имеется один баллонет объемом 110 м</w:t>
      </w:r>
      <w:r w:rsidRPr="00070ADE">
        <w:rPr>
          <w:rFonts w:ascii="Times New Roman" w:hAnsi="Times New Roman"/>
          <w:color w:val="000000" w:themeColor="text1"/>
          <w:sz w:val="16"/>
          <w:szCs w:val="16"/>
          <w:vertAlign w:val="superscript"/>
        </w:rPr>
        <w:t>3</w:t>
      </w:r>
      <w:r w:rsidRPr="00070ADE">
        <w:rPr>
          <w:rFonts w:ascii="Times New Roman" w:hAnsi="Times New Roman"/>
          <w:color w:val="000000" w:themeColor="text1"/>
          <w:sz w:val="16"/>
          <w:szCs w:val="16"/>
        </w:rPr>
        <w:t>. Баллонет состоит из центральной части, имеющей форму цилиндра и 2-х торцов, образованных как части торов. Материалом для баллонета служит материя ГА 220, по конструкции аналогичная материи самой оболочки, но не алюминированная.</w:t>
      </w:r>
    </w:p>
    <w:p w14:paraId="006AE8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Баллонет снабжен аппендиксом для наполнения его вентилятором, воздушным клапаном для выпуска воздуха и [неразборчиво] воздухоулавливателя для наполнения баллонета воздухом во время полета.</w:t>
      </w:r>
    </w:p>
    <w:p w14:paraId="20713D3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Для маневрирования аэростата на земле на оболочке имеется 6 поясных по 3 с каждого борта, присоединенных к параболическим мостикам.</w:t>
      </w:r>
    </w:p>
    <w:p w14:paraId="33452FE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привязном варианте к 1-му и 3-му мостику крепятся уздечки привязного троса, а ко 2-му и 4-му мостику – подвесные стропы десантной гондолы ДТГ-1.</w:t>
      </w:r>
    </w:p>
    <w:p w14:paraId="004CAC7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моторизованном состоянии мотогондола подвешивается к 1, 2, 3 и 4 мостикам.</w:t>
      </w:r>
    </w:p>
    <w:p w14:paraId="1881421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Наполнение оболочки газом производится через аппендикс диаметром 550 мм, находящийся снизу в носовой части оболочки перед баллонетом.</w:t>
      </w:r>
    </w:p>
    <w:p w14:paraId="31D20B7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Разрывное приспособление нормального типа БД в нижней носовой части оболочки.</w:t>
      </w:r>
    </w:p>
    <w:p w14:paraId="620DE7C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 Стягивающая система состоит из [неразборчиво] шнуров /по типу аэростата “540”/. Для крепления шнуров использованы пояса нормальной оболочки “БД”. Стягивающая система начинается от носа и кончается на 1 метр впереди оперения.</w:t>
      </w:r>
    </w:p>
    <w:p w14:paraId="4A80A87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кормовая часть оболочки имеет неизменяемую форму, что является необходимым условием для правильной работы расчалок оперения. Длины шнуров выбраны из расчета полной вытяжки при сверхдавлении 40 мм. вод. столба, что соответствует высоте подъема 600 мтр.</w:t>
      </w:r>
    </w:p>
    <w:p w14:paraId="44CC80E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Минимальный объем /на земле/ имеет место при сверхдавлении 20 мм. водяного столба.</w:t>
      </w:r>
    </w:p>
    <w:p w14:paraId="747AE2C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 Носовое усиление аэростата было предусмотрено проектом в двух вариантах – в виде нормального усиления из деревянных реек и в виде внутреннего пневматического усиления из шлангов, надутых воздухом. Однако испытания показали, что носовое усиление вообще является излишним, ибо при полетном сверхдавлении - 40 мм. водяного столба /ложка/ не образуется, даже при максимальной скорости полета.</w:t>
      </w:r>
    </w:p>
    <w:p w14:paraId="295BE97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Мотогондола</w:t>
      </w:r>
    </w:p>
    <w:p w14:paraId="4617E14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Гондола аэростата переделана из фюзеляжа самолета У-2. От фюзеляжа отнимается по плоскости разъема хвостовая часть /начиная от рамы № 2/. Разрез зашивается фанерной стенкой.</w:t>
      </w:r>
    </w:p>
    <w:p w14:paraId="1D2A4E5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Впереди рамы № 1 крепится бензобак емкостью 90 кг и маслобак на 10 кг. Вся винто-моторная группа: моторама с мотором, капот, газоуправление, зажигание, бензомаслосхема и т.д. взята целиком от самолета У-2.</w:t>
      </w:r>
    </w:p>
    <w:p w14:paraId="7B0C28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Винт типа У-2 диаметром 2,4 м и с шагом Н-1,52 метра.</w:t>
      </w:r>
    </w:p>
    <w:p w14:paraId="1C7AF95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Гондола снабжена пуфом диаметром 900 мм., прикрепленным под гондолой и представляющим собой тело вращения, образованное в средней части цилиндром с двумя торцами в виде полушарий.</w:t>
      </w:r>
    </w:p>
    <w:p w14:paraId="34BB56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Оборудование</w:t>
      </w:r>
    </w:p>
    <w:p w14:paraId="11E29D0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Управление аэростатом сосредоточено у первого пилота. Перед ним размещены:</w:t>
      </w:r>
    </w:p>
    <w:p w14:paraId="3DADF16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Приборы на приборной доске:</w:t>
      </w:r>
    </w:p>
    <w:p w14:paraId="5511CA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компас;</w:t>
      </w:r>
    </w:p>
    <w:p w14:paraId="2699A1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указатель скорости;</w:t>
      </w:r>
    </w:p>
    <w:p w14:paraId="6ED469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альтиметр;</w:t>
      </w:r>
    </w:p>
    <w:p w14:paraId="65D236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вариометр;</w:t>
      </w:r>
    </w:p>
    <w:p w14:paraId="4C8D8D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аэротермометр.</w:t>
      </w:r>
    </w:p>
    <w:p w14:paraId="6D8C5D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Газовый и воздушный манометры укреплены перед пилотом справа на стойке воздухоулавливателя.</w:t>
      </w:r>
    </w:p>
    <w:p w14:paraId="3CDB970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Сектора управления газом, опережением, подогревом, пожарным краном.</w:t>
      </w:r>
    </w:p>
    <w:p w14:paraId="4F3D4A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Переключатель зажигания.</w:t>
      </w:r>
    </w:p>
    <w:p w14:paraId="7D676B1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Воздухоулавливатель находится над гондолой перед пилотом и укреплен на дюралевых трубчатых стойках. Ручка управления воздухоулавителем расположена над головой пилота.</w:t>
      </w:r>
    </w:p>
    <w:p w14:paraId="03858A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Под левой рукой пилота около сидения находится кольцо управления сбрасыванием гайдропа, укрепленного специальным поясом к днищу гондолы и ее кормовой части.</w:t>
      </w:r>
    </w:p>
    <w:p w14:paraId="350C516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Над головой пилота расположена тяга к разрывному полотнищу, справа тяга к воздушному клапану /находящемуся в нижней части баллонета/ и слева над головой – тяга к газовому клапану /расположенному на левом борту оболочки/. Оба клапана одинаковые типа КГ-16.</w:t>
      </w:r>
    </w:p>
    <w:p w14:paraId="349BE51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Управление рулями высоты осуществляется при помощи штурвала, укрепленного на правом борту кабины. Управление рулями направления педального типа.</w:t>
      </w:r>
    </w:p>
    <w:p w14:paraId="5BB062D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Оперение</w:t>
      </w:r>
    </w:p>
    <w:p w14:paraId="18CBE65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Оперение – жесткое. Выполнено в виде трех одинаковых планов, расположенных друг к другу под углом в 120° . Общая площадь оперения – 44,52 кв. метра. Площадь стабилизатора – 11,58 кв.м. и площадь руля – 3,26 кв. м.</w:t>
      </w:r>
    </w:p>
    <w:p w14:paraId="6151299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Конструкция оперения – деревянная. Нервюры и лонжероны выполнены в виде двух поясных раскосных фермочек.</w:t>
      </w:r>
    </w:p>
    <w:p w14:paraId="01B6763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толщина оперения – 180 мм. Шарниры рулей осуществлены по типу планерных – в виде ушковых и вильчатых болтов. Оперение обтянуто материей АСТ-100 и покрыто бесцветным и алюминированным лаком. Внутренний обвод стабилизатора пятью брезентовыми ремнями с пряжками присоединен к поясам, наклеенным на оболочку; дополнительно каждый стабилизатор укреплен шестью тросовыми расчалками – с тендерами, крепящимися к трубам, зашпагованным в поясах, наклеенных на оболочку.</w:t>
      </w:r>
    </w:p>
    <w:p w14:paraId="4FE180A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ЭКСПЛУАТАЦИЯ АЭРОСТАТА</w:t>
      </w:r>
    </w:p>
    <w:p w14:paraId="1910953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привязном варианте эксплуатация аэростата “МАЛЫШ” производится аналогично эксплуатации нормального “БД”.</w:t>
      </w:r>
    </w:p>
    <w:p w14:paraId="2C39C2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подтягивания к земле следует также применять систему механического подтягивания МПА-1, значительно облегчающую эту трудоемкую операцию.</w:t>
      </w:r>
    </w:p>
    <w:p w14:paraId="3EF193D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биваке, для предохранения нижнего стабилизатора, под оболочку подводится газгольдер, наполненный воздухом до такой степени, чтобы стабилизатор не доходил до земли на 0,5 – 0,7 м. В таком положении аэростат закрепляется.</w:t>
      </w:r>
    </w:p>
    <w:p w14:paraId="54C2B47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привязном варианте рули закреплены при помощи специального троса замками патефонного типа, присоединяемых к тросам штурпроводки к переднему ребру нижнего стабилизатора.</w:t>
      </w:r>
    </w:p>
    <w:p w14:paraId="4C922CF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Трансформация в мотовариант производится на 15-20 минут путем освобождения рулей присоединения на карабинах строп гондолы, присоединения штурпроводки, шланга воздухоулавливателя и тяг к клапанам и разрывному.</w:t>
      </w:r>
    </w:p>
    <w:p w14:paraId="1ED4FE7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Эксплуатация “МАЛЫША” в мотоварианте, как показали испытания, требует незначительного количества команды и аналогична эксплуатации дирижабля минимального объема.</w:t>
      </w:r>
    </w:p>
    <w:p w14:paraId="6C32EE2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НАЗЕМНЫХ И ЛЕТНЫХ</w:t>
      </w:r>
    </w:p>
    <w:p w14:paraId="78E811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ИСПЫТАНИЙ</w:t>
      </w:r>
    </w:p>
    <w:p w14:paraId="79E5343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моторизованного аэростата “МАЛЫШ” проводились по специальной программе, при сем прилагаемой, утвержденной командиром 1 ОВД ВДВ КА – капитаном Фадеевым.</w:t>
      </w:r>
    </w:p>
    <w:p w14:paraId="691102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процессе проведения испытаний были допущены некоторые отклонения от программы в части последовательности отдельных испытаний. Однако все пункты программы были выполнены.</w:t>
      </w:r>
    </w:p>
    <w:p w14:paraId="4C8AEE2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выявившейся необходимостью некоторых конструктивных переделок /перенесения оперения вперед/ отдельные испытательные полеты были повторены. Протоколы всех испытаний прилагаются.</w:t>
      </w:r>
    </w:p>
    <w:p w14:paraId="08DFED7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Следует также отметить, что кроме двух испытаний в привязном варианте /при старом и новом положении оперения/ аэростат использовался на нормальной эксплуатации по сбрасыванию парашютистов. Всего было произведено 68 подъемов, во время которых сброшено 192 парашютиста.</w:t>
      </w:r>
    </w:p>
    <w:p w14:paraId="11A4F1A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Подъемы производились в различных метеоусловиях на обычной лебедке ЛВ-2 с привязным тросом диаметром 6,5 мм.</w:t>
      </w:r>
    </w:p>
    <w:p w14:paraId="7FD65E5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Прыжки производились с гондолы ДТГ-1. Рабочая высота – 400 м. Сила ветра была от 0 до 12 м/сек.</w:t>
      </w:r>
    </w:p>
    <w:p w14:paraId="5DEE19E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всех подъемах объект обнаруживал хорошую устойчивость, отсутствие бочения и малый снос.</w:t>
      </w:r>
    </w:p>
    <w:p w14:paraId="12658FB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Наземные испытания проводились: инж. капитаном ГАРФ, инж. капитаном УСТИНОВИЧ, ст. техником-лейтенантом КАРАМЫШЕВЫМ, мл. лейтенантом ИВАНОВЫМ, лейтенантом КОГАН, ст. лейтенантом РОЩИНЫМ.</w:t>
      </w:r>
    </w:p>
    <w:p w14:paraId="5D47013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проведения летных испытаний объекта приказом по части была назначена комиссия в составе:</w:t>
      </w:r>
    </w:p>
    <w:p w14:paraId="0805D1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комиссии: командир 1 ОВД капитан Фадеев;</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52"/>
        <w:gridCol w:w="7207"/>
      </w:tblGrid>
      <w:tr w:rsidR="00CB5308" w:rsidRPr="00070ADE" w14:paraId="0E33F945" w14:textId="77777777">
        <w:tc>
          <w:tcPr>
            <w:tcW w:w="2152" w:type="dxa"/>
            <w:tcBorders>
              <w:top w:val="single" w:sz="12" w:space="0" w:color="auto"/>
            </w:tcBorders>
          </w:tcPr>
          <w:p w14:paraId="623C482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Члены комиссии:</w:t>
            </w:r>
          </w:p>
        </w:tc>
        <w:tc>
          <w:tcPr>
            <w:tcW w:w="7207" w:type="dxa"/>
            <w:tcBorders>
              <w:top w:val="single" w:sz="12" w:space="0" w:color="auto"/>
            </w:tcBorders>
          </w:tcPr>
          <w:p w14:paraId="3DA8C2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объекта инж. капитан Гарф;</w:t>
            </w:r>
          </w:p>
        </w:tc>
      </w:tr>
      <w:tr w:rsidR="00CB5308" w:rsidRPr="00070ADE" w14:paraId="299B3FBB" w14:textId="77777777">
        <w:tc>
          <w:tcPr>
            <w:tcW w:w="2152" w:type="dxa"/>
          </w:tcPr>
          <w:p w14:paraId="7AEE7CF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207" w:type="dxa"/>
          </w:tcPr>
          <w:p w14:paraId="2A3E0D9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инженер дивизиона – пилот объекта инж. капитан Устинович;</w:t>
            </w:r>
          </w:p>
        </w:tc>
      </w:tr>
      <w:tr w:rsidR="00CB5308" w:rsidRPr="00070ADE" w14:paraId="2FB739DF" w14:textId="77777777">
        <w:tc>
          <w:tcPr>
            <w:tcW w:w="2152" w:type="dxa"/>
          </w:tcPr>
          <w:p w14:paraId="43E8AA6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207" w:type="dxa"/>
          </w:tcPr>
          <w:p w14:paraId="4FDEC1A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мастерских – ст. т/л-т Степанов</w:t>
            </w:r>
          </w:p>
        </w:tc>
      </w:tr>
      <w:tr w:rsidR="00CB5308" w:rsidRPr="00070ADE" w14:paraId="69A2BDB7" w14:textId="77777777">
        <w:tc>
          <w:tcPr>
            <w:tcW w:w="2152" w:type="dxa"/>
            <w:tcBorders>
              <w:bottom w:val="single" w:sz="12" w:space="0" w:color="auto"/>
            </w:tcBorders>
          </w:tcPr>
          <w:p w14:paraId="2333E79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207" w:type="dxa"/>
            <w:tcBorders>
              <w:bottom w:val="single" w:sz="12" w:space="0" w:color="auto"/>
            </w:tcBorders>
          </w:tcPr>
          <w:p w14:paraId="1947916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Командир дирижабля В-12 ст. л-т Рощин</w:t>
            </w:r>
          </w:p>
        </w:tc>
      </w:tr>
    </w:tbl>
    <w:p w14:paraId="2354FB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Полеты производились утром от 6 до 10 ч.</w:t>
      </w:r>
    </w:p>
    <w:p w14:paraId="0E3CB9A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Ввод и вывод объекта из эллинга производился стартовой командой в составе не более 12-14 человек.</w:t>
      </w:r>
    </w:p>
    <w:p w14:paraId="4AAA96A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всего периода испытаний пришлось несколько раз трансформировать объект из привязника в дирижабль и обратно.</w:t>
      </w:r>
    </w:p>
    <w:p w14:paraId="0D6268D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Трансформация занимала каждый раз менее часа. При этом следует отметить, что все соединения отъемных частей осуществлялись не по проекту в виде легко разъемных конструкций /карабины/, а при помощи мальей и тендеров, что, конечно, сказывалось на времени трансформации.</w:t>
      </w:r>
    </w:p>
    <w:p w14:paraId="135D210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условии замены этих соединений на легкоразъемные, время трансформации может быть доведено до 15-20 мин.</w:t>
      </w:r>
    </w:p>
    <w:p w14:paraId="76C9CFD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проведенных испытаний комиссия пришла к следующим выводам:</w:t>
      </w:r>
    </w:p>
    <w:p w14:paraId="3737E01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 привязном варианте объект обладает хорошей устойчивостью и не обнаруживает склонности к бочению или клевкам. Снос незначительный. Натяжение троса также не превышает нормы.</w:t>
      </w:r>
    </w:p>
    <w:p w14:paraId="759DDD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эти характеристики у “МАЛЫША” значительно лучше, чем у нормального аэростата “БД”.</w:t>
      </w:r>
    </w:p>
    <w:p w14:paraId="4456BC3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Подъемная сила объекта в привязном варианте достаточна для нормальной выброски 3 человек парашютистов в штиль /летом/. При наличии ветра это количество повышается до 4-5 человек.</w:t>
      </w:r>
    </w:p>
    <w:p w14:paraId="4E7E4C3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 моторизованном варианте объект обладает хорошей устойчивостью и управляемостью как в вертикальной, так и в горизонтальной плоскостях.</w:t>
      </w:r>
    </w:p>
    <w:p w14:paraId="5E3DA39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Затруднение поворота влево не является органическим дефектом конструкции и может быть устранено переклейкой пояса крепления стабилизатора.</w:t>
      </w:r>
    </w:p>
    <w:p w14:paraId="7DBA46C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Оригинальную схему трех жестких планов, расположенных под 120° друг к другу следует признать удачной.</w:t>
      </w:r>
    </w:p>
    <w:p w14:paraId="6E3B09F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Педальное управление, впервые примененное для дирижабля, оправдывает себя полностью. Усилия на педали несколько высоки, особенно на левую ногу /вследствие большого угла отклонения руля влево/. Однако эти усилия легко уменьшить установкой компенсатора на руле направления, что может быть легко сделано без всякого изменения конструкции руля.</w:t>
      </w:r>
    </w:p>
    <w:p w14:paraId="69FA9E0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Конструкцию остальной матчасти объекта /клапана, улавливатель, подвеска гондолы, управление сбрасыванием гайдропа/ следует признать удачной и вполне отвечающей требованиям, предъявляемым к этим агрегатам.</w:t>
      </w:r>
    </w:p>
    <w:p w14:paraId="4E8E37A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Весовые и летно-эксплуатационные характеристики объекта соответствуют расчетным данным.</w:t>
      </w:r>
    </w:p>
    <w:p w14:paraId="40FA073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w:t>
      </w:r>
    </w:p>
    <w:p w14:paraId="52F2B0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Моторизованный аэростат “МАЛЫШ” конструкции инженер-капитана ГАРФ Б.А., спроектированный и построенный силами 1-го Отдельного Воздухоплавательного дивизиона ВДВ КА может быть допущен к нормальной эксплуатации в качестве привязного аэростата по тренировке парашютистов частей ВДВ КА.</w:t>
      </w:r>
    </w:p>
    <w:p w14:paraId="436A063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моторизованном варианте аэростат “МАЛЫШ” может быть использован для быстрой перебазировки отрядов, также для связи между отрядами.</w:t>
      </w:r>
    </w:p>
    <w:p w14:paraId="557CBB5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Моторизованный аэростат “МАЛЫШ” с незначительными конструктивными изменениями может также быть применен в других организациях, а именно:</w:t>
      </w:r>
    </w:p>
    <w:p w14:paraId="2D2C49F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 системе ГАУ КА, с использованием в качестве аэростата наблюдения и корректировки артиллерийской стрельбы.</w:t>
      </w:r>
    </w:p>
    <w:p w14:paraId="171E02D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этом случае необходимо изменить стягивающую систему для повышения зоны полной вытяжки шнуров.</w:t>
      </w:r>
    </w:p>
    <w:p w14:paraId="755EB1F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 системе [неразборчиво] ВМФ для конвоирования судов и обнаружения подводных лодок противника. Аэростат может при этом эксплуатироваться как в привязном варианте /на борту морского судна/, так и в моторизованном варианте.</w:t>
      </w:r>
    </w:p>
    <w:p w14:paraId="4CDF1B3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последнем случае необходимо установить на борту рацию истребительного типа для связи с землей или с кораблями флота.</w:t>
      </w:r>
    </w:p>
    <w:p w14:paraId="2624D5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 системе ГУСМП для ледовой разведки и проводки судов с базированием на палубе ледокола.</w:t>
      </w:r>
    </w:p>
    <w:p w14:paraId="6E1B3C2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Аэростат при этом используется как в привязном, так и в моторизованном варианте для совершения кратковременных эпизодических полетов.</w:t>
      </w:r>
    </w:p>
    <w:p w14:paraId="25E0D5A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рации в данном случае также необходима.</w:t>
      </w:r>
    </w:p>
    <w:p w14:paraId="3D7053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Для постройки серии пробных аэростатов, необходимо провести следующие доводки и усовершенствование материальной части аэростата “МАЛЫШ”.</w:t>
      </w:r>
    </w:p>
    <w:p w14:paraId="193BC4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установить обтекатель к корме гондолы;</w:t>
      </w:r>
    </w:p>
    <w:p w14:paraId="24FD6D6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установить реперную ленту к стягивающей системе и к баллонету;</w:t>
      </w:r>
    </w:p>
    <w:p w14:paraId="295B6EC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усовершенствовать размещение балласта и управление сбрасыванием;</w:t>
      </w:r>
    </w:p>
    <w:p w14:paraId="33B47D2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укоротить шланг воздухоподачи;</w:t>
      </w:r>
    </w:p>
    <w:p w14:paraId="2E327DB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уменьшить вес оперения;</w:t>
      </w:r>
    </w:p>
    <w:p w14:paraId="620CA3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 упростить процесс трансформации за счет использования легко разъемных деталей /карабинов, накладных замков и т.д./.</w:t>
      </w:r>
    </w:p>
    <w:p w14:paraId="19D8FD7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 целью еще большего повышения эффективности работы моторизованного аэростата, комиссия считает необходимым приступить в ближайшее время к постройке аэростата подобного же типа /объемом в 1200 м</w:t>
      </w:r>
      <w:r w:rsidRPr="00070ADE">
        <w:rPr>
          <w:rFonts w:ascii="Times New Roman" w:hAnsi="Times New Roman"/>
          <w:color w:val="000000" w:themeColor="text1"/>
          <w:sz w:val="16"/>
          <w:szCs w:val="16"/>
          <w:vertAlign w:val="superscript"/>
        </w:rPr>
        <w:t>3</w:t>
      </w:r>
      <w:r w:rsidRPr="00070ADE">
        <w:rPr>
          <w:rFonts w:ascii="Times New Roman" w:hAnsi="Times New Roman"/>
          <w:color w:val="000000" w:themeColor="text1"/>
          <w:sz w:val="16"/>
          <w:szCs w:val="16"/>
        </w:rPr>
        <w:t>/, с использованием готовых частей конструкции:</w:t>
      </w:r>
    </w:p>
    <w:p w14:paraId="347FEDA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оболочки, имеющейся в распоряжении 1 ОВД;</w:t>
      </w:r>
    </w:p>
    <w:p w14:paraId="2ACE224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оперения от дирижабля В-12, имеющегося в распоряжении 1 ОВД;</w:t>
      </w:r>
    </w:p>
    <w:p w14:paraId="4106A1A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фюзеляжа и винтомоторной группы самолета У-2, которые необходимо передать в распоряжение 1 ОВД.</w:t>
      </w:r>
    </w:p>
    <w:tbl>
      <w:tblPr>
        <w:tblW w:w="0" w:type="auto"/>
        <w:tblInd w:w="10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4785"/>
        <w:gridCol w:w="4785"/>
      </w:tblGrid>
      <w:tr w:rsidR="00CB5308" w:rsidRPr="00070ADE" w14:paraId="012C29C0" w14:textId="77777777">
        <w:tc>
          <w:tcPr>
            <w:tcW w:w="4785" w:type="dxa"/>
            <w:tcBorders>
              <w:top w:val="single" w:sz="12" w:space="0" w:color="auto"/>
            </w:tcBorders>
          </w:tcPr>
          <w:p w14:paraId="3673D6D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комиссии:</w:t>
            </w:r>
          </w:p>
          <w:p w14:paraId="15069E4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Командир 1 ОВД ВДВ КА капитан</w:t>
            </w:r>
          </w:p>
        </w:tc>
        <w:tc>
          <w:tcPr>
            <w:tcW w:w="4785" w:type="dxa"/>
            <w:tcBorders>
              <w:top w:val="single" w:sz="12" w:space="0" w:color="auto"/>
            </w:tcBorders>
          </w:tcPr>
          <w:p w14:paraId="39F3A46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2F7A2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/ФАДЕЕВ/</w:t>
            </w:r>
          </w:p>
        </w:tc>
      </w:tr>
      <w:tr w:rsidR="00CB5308" w:rsidRPr="00070ADE" w14:paraId="684E2BC1" w14:textId="77777777">
        <w:tc>
          <w:tcPr>
            <w:tcW w:w="4785" w:type="dxa"/>
          </w:tcPr>
          <w:p w14:paraId="164A577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Члены комиссии:</w:t>
            </w:r>
          </w:p>
        </w:tc>
        <w:tc>
          <w:tcPr>
            <w:tcW w:w="4785" w:type="dxa"/>
          </w:tcPr>
          <w:p w14:paraId="3D0AF4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13C8CE9" w14:textId="77777777">
        <w:tc>
          <w:tcPr>
            <w:tcW w:w="4785" w:type="dxa"/>
          </w:tcPr>
          <w:p w14:paraId="19F16C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инженер 1 ОВД пилот аэростата</w:t>
            </w:r>
          </w:p>
          <w:p w14:paraId="5DE2C8F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 капитан</w:t>
            </w:r>
          </w:p>
        </w:tc>
        <w:tc>
          <w:tcPr>
            <w:tcW w:w="4785" w:type="dxa"/>
          </w:tcPr>
          <w:p w14:paraId="60458F3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793194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/УСТИНОВИЧ/</w:t>
            </w:r>
          </w:p>
        </w:tc>
      </w:tr>
      <w:tr w:rsidR="00CB5308" w:rsidRPr="00070ADE" w14:paraId="7BD8C4C8" w14:textId="77777777">
        <w:tc>
          <w:tcPr>
            <w:tcW w:w="4785" w:type="dxa"/>
          </w:tcPr>
          <w:p w14:paraId="5AF6864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Главный конструктор аэростата</w:t>
            </w:r>
          </w:p>
          <w:p w14:paraId="3E8973F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 капитан</w:t>
            </w:r>
          </w:p>
        </w:tc>
        <w:tc>
          <w:tcPr>
            <w:tcW w:w="4785" w:type="dxa"/>
          </w:tcPr>
          <w:p w14:paraId="3A3354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E3D970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/ГАРФ/</w:t>
            </w:r>
          </w:p>
        </w:tc>
      </w:tr>
      <w:tr w:rsidR="00CB5308" w:rsidRPr="00070ADE" w14:paraId="5FA6C2D4" w14:textId="77777777">
        <w:tc>
          <w:tcPr>
            <w:tcW w:w="4785" w:type="dxa"/>
          </w:tcPr>
          <w:p w14:paraId="46021E8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Командир дирижабля В-12</w:t>
            </w:r>
          </w:p>
          <w:p w14:paraId="5A5ABE4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л-т</w:t>
            </w:r>
          </w:p>
        </w:tc>
        <w:tc>
          <w:tcPr>
            <w:tcW w:w="4785" w:type="dxa"/>
          </w:tcPr>
          <w:p w14:paraId="6643307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AA825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/РОЩИН/</w:t>
            </w:r>
          </w:p>
        </w:tc>
      </w:tr>
      <w:tr w:rsidR="00CB5308" w:rsidRPr="00070ADE" w14:paraId="75474D4B" w14:textId="77777777">
        <w:tc>
          <w:tcPr>
            <w:tcW w:w="4785" w:type="dxa"/>
          </w:tcPr>
          <w:p w14:paraId="1B8D218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мастерских 1 ОВД</w:t>
            </w:r>
          </w:p>
          <w:p w14:paraId="104CCC3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т/л-т</w:t>
            </w:r>
          </w:p>
        </w:tc>
        <w:tc>
          <w:tcPr>
            <w:tcW w:w="4785" w:type="dxa"/>
          </w:tcPr>
          <w:p w14:paraId="6D43BB2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A6F276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/СТЕПАНОВ/</w:t>
            </w:r>
          </w:p>
        </w:tc>
      </w:tr>
      <w:tr w:rsidR="00CB5308" w:rsidRPr="00070ADE" w14:paraId="51A25A9E" w14:textId="77777777">
        <w:tc>
          <w:tcPr>
            <w:tcW w:w="4785" w:type="dxa"/>
            <w:tcBorders>
              <w:bottom w:val="single" w:sz="12" w:space="0" w:color="auto"/>
            </w:tcBorders>
          </w:tcPr>
          <w:p w14:paraId="4B6D1C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утверждению согласен.:</w:t>
            </w:r>
          </w:p>
          <w:p w14:paraId="33FA77B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Главный инженер авиации ВДВ КА</w:t>
            </w:r>
          </w:p>
          <w:p w14:paraId="2ACEE73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Инженер-подполковник</w:t>
            </w:r>
          </w:p>
        </w:tc>
        <w:tc>
          <w:tcPr>
            <w:tcW w:w="4785" w:type="dxa"/>
            <w:tcBorders>
              <w:bottom w:val="single" w:sz="12" w:space="0" w:color="auto"/>
            </w:tcBorders>
          </w:tcPr>
          <w:p w14:paraId="5E88227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79FC72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7A8611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/НАХВАНОВИЧ/</w:t>
            </w:r>
          </w:p>
        </w:tc>
      </w:tr>
    </w:tbl>
    <w:p w14:paraId="5C7B4B5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(11080)</w:t>
      </w:r>
    </w:p>
    <w:p w14:paraId="01074B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61F6584" w14:textId="77777777"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января — 20 мая 1944 г. «Малыш» проходил государственные испытания. Пилотом-испыта</w:t>
      </w:r>
      <w:r w:rsidRPr="00070ADE">
        <w:rPr>
          <w:rFonts w:ascii="Times New Roman" w:hAnsi="Times New Roman"/>
          <w:color w:val="000000" w:themeColor="text1"/>
          <w:sz w:val="16"/>
          <w:szCs w:val="16"/>
        </w:rPr>
        <w:softHyphen/>
        <w:t>телем был старший инженер дивизиона капи</w:t>
      </w:r>
      <w:r w:rsidRPr="00070ADE">
        <w:rPr>
          <w:rFonts w:ascii="Times New Roman" w:hAnsi="Times New Roman"/>
          <w:color w:val="000000" w:themeColor="text1"/>
          <w:sz w:val="16"/>
          <w:szCs w:val="16"/>
        </w:rPr>
        <w:softHyphen/>
        <w:t>тан В.А. Устинович. Аэростат выполнил 70 при</w:t>
      </w:r>
      <w:r w:rsidRPr="00070ADE">
        <w:rPr>
          <w:rFonts w:ascii="Times New Roman" w:hAnsi="Times New Roman"/>
          <w:color w:val="000000" w:themeColor="text1"/>
          <w:sz w:val="16"/>
          <w:szCs w:val="16"/>
        </w:rPr>
        <w:softHyphen/>
        <w:t>вязных подъёмов, при которых было сброшено 192 парашютистов. Прыжки выполнялись с вы</w:t>
      </w:r>
      <w:r w:rsidRPr="00070ADE">
        <w:rPr>
          <w:rFonts w:ascii="Times New Roman" w:hAnsi="Times New Roman"/>
          <w:color w:val="000000" w:themeColor="text1"/>
          <w:sz w:val="16"/>
          <w:szCs w:val="16"/>
        </w:rPr>
        <w:softHyphen/>
        <w:t>соты 400 м.</w:t>
      </w:r>
    </w:p>
    <w:p w14:paraId="0D86630E" w14:textId="77777777"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Управляемых полётов, по свидетельству В.А. Устиновича, было всего четыре-пять. В по</w:t>
      </w:r>
      <w:r w:rsidRPr="00070ADE">
        <w:rPr>
          <w:rFonts w:ascii="Times New Roman" w:hAnsi="Times New Roman"/>
          <w:color w:val="000000" w:themeColor="text1"/>
          <w:sz w:val="16"/>
          <w:szCs w:val="16"/>
        </w:rPr>
        <w:softHyphen/>
        <w:t>следнем полёте в качестве пассажира взяли Б.А. Гарфа. Перетяжелённый аэростат двух че</w:t>
      </w:r>
      <w:r w:rsidRPr="00070ADE">
        <w:rPr>
          <w:rFonts w:ascii="Times New Roman" w:hAnsi="Times New Roman"/>
          <w:color w:val="000000" w:themeColor="text1"/>
          <w:sz w:val="16"/>
          <w:szCs w:val="16"/>
        </w:rPr>
        <w:softHyphen/>
        <w:t>ловек поднять не мог. Тогда стартовая команда на руках раскачала «Малыша» и подбросила его вместе с экипажем. В.А. Устинович дал полный газ, и аэростат поднялся. После выработки то</w:t>
      </w:r>
      <w:r w:rsidRPr="00070ADE">
        <w:rPr>
          <w:rFonts w:ascii="Times New Roman" w:hAnsi="Times New Roman"/>
          <w:color w:val="000000" w:themeColor="text1"/>
          <w:sz w:val="16"/>
          <w:szCs w:val="16"/>
        </w:rPr>
        <w:softHyphen/>
        <w:t>плива он посадил «Малыша». По наблюдениям пилота в полёте «Малыш» вёл себя хорошо, но его управляемость из-за малой площади опере</w:t>
      </w:r>
      <w:r w:rsidRPr="00070ADE">
        <w:rPr>
          <w:rFonts w:ascii="Times New Roman" w:hAnsi="Times New Roman"/>
          <w:color w:val="000000" w:themeColor="text1"/>
          <w:sz w:val="16"/>
          <w:szCs w:val="16"/>
        </w:rPr>
        <w:softHyphen/>
        <w:t>ния по сравнению с «СССР В-1» была хуже.</w:t>
      </w:r>
    </w:p>
    <w:p w14:paraId="7792CB5A" w14:textId="77777777"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1944 г. по инициативе Б.А. Гарфа 1-й ОВД ВДВ спроектировал, построил и успешно испытал моторизованный аэростат «Малыш», предназначавшийся для обучения парашютистов-десантников. В его конструкции использовались агрегаты серийно выпускавших</w:t>
      </w:r>
      <w:r w:rsidRPr="00070ADE">
        <w:rPr>
          <w:rFonts w:ascii="Times New Roman" w:hAnsi="Times New Roman"/>
          <w:color w:val="000000" w:themeColor="text1"/>
          <w:sz w:val="16"/>
          <w:szCs w:val="16"/>
        </w:rPr>
        <w:softHyphen/>
        <w:t>ся аппаратов: оболочка аэростата наблюдения ДАГ-2 с вклеенным в неё воздушным баллонетом и фюзеляж самолёта По-2.</w:t>
      </w:r>
    </w:p>
    <w:p w14:paraId="55902F89" w14:textId="77777777"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«Малыш» при объёме оболочки 1030 м3 имел длину 30 м и диаметр 9,6 м. Двигатель — М-11Д с максимальной мощностью 120 л.с. Максималь</w:t>
      </w:r>
      <w:r w:rsidRPr="00070ADE">
        <w:rPr>
          <w:rFonts w:ascii="Times New Roman" w:hAnsi="Times New Roman"/>
          <w:color w:val="000000" w:themeColor="text1"/>
          <w:sz w:val="16"/>
          <w:szCs w:val="16"/>
        </w:rPr>
        <w:softHyphen/>
        <w:t>ная скорость — 80 км/ч, крейсерская — 73 км/ч. Дальность полёта с одним пилотом на крейсер</w:t>
      </w:r>
      <w:r w:rsidRPr="00070ADE">
        <w:rPr>
          <w:rFonts w:ascii="Times New Roman" w:hAnsi="Times New Roman"/>
          <w:color w:val="000000" w:themeColor="text1"/>
          <w:sz w:val="16"/>
          <w:szCs w:val="16"/>
        </w:rPr>
        <w:softHyphen/>
        <w:t>ской скорости была 365 км, статический потолок в режиме привязного аэростата с одним наблю</w:t>
      </w:r>
      <w:r w:rsidRPr="00070ADE">
        <w:rPr>
          <w:rFonts w:ascii="Times New Roman" w:hAnsi="Times New Roman"/>
          <w:color w:val="000000" w:themeColor="text1"/>
          <w:sz w:val="16"/>
          <w:szCs w:val="16"/>
        </w:rPr>
        <w:softHyphen/>
        <w:t>дателем — 2200 м (с двумя — 1600 м). Коли</w:t>
      </w:r>
      <w:r w:rsidRPr="00070ADE">
        <w:rPr>
          <w:rFonts w:ascii="Times New Roman" w:hAnsi="Times New Roman"/>
          <w:color w:val="000000" w:themeColor="text1"/>
          <w:sz w:val="16"/>
          <w:szCs w:val="16"/>
        </w:rPr>
        <w:softHyphen/>
        <w:t>чество сбрасываемых парашютистов с аэростата в привязном варианте — четыре человека. Вес конструкции — 910 кг.</w:t>
      </w:r>
    </w:p>
    <w:p w14:paraId="177C6DB8" w14:textId="77777777"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Воздушный баллонет имел аппендикс для на</w:t>
      </w:r>
      <w:r w:rsidRPr="00070ADE">
        <w:rPr>
          <w:rFonts w:ascii="Times New Roman" w:hAnsi="Times New Roman"/>
          <w:color w:val="000000" w:themeColor="text1"/>
          <w:sz w:val="16"/>
          <w:szCs w:val="16"/>
        </w:rPr>
        <w:softHyphen/>
        <w:t>полнения вентилятором на земле, воздушный клапан и воздухоулавливатель для наполнения воздухом в полёте.</w:t>
      </w:r>
    </w:p>
    <w:p w14:paraId="1B89E23F" w14:textId="77777777"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осуществления персоналом маневриро</w:t>
      </w:r>
      <w:r w:rsidRPr="00070ADE">
        <w:rPr>
          <w:rFonts w:ascii="Times New Roman" w:hAnsi="Times New Roman"/>
          <w:color w:val="000000" w:themeColor="text1"/>
          <w:sz w:val="16"/>
          <w:szCs w:val="16"/>
        </w:rPr>
        <w:softHyphen/>
        <w:t>вания на земле на оболочке имелись шесть пояс</w:t>
      </w:r>
      <w:r w:rsidRPr="00070ADE">
        <w:rPr>
          <w:rFonts w:ascii="Times New Roman" w:hAnsi="Times New Roman"/>
          <w:color w:val="000000" w:themeColor="text1"/>
          <w:sz w:val="16"/>
          <w:szCs w:val="16"/>
        </w:rPr>
        <w:softHyphen/>
        <w:t>ных верёвок, по три с каждого борта, присоеди</w:t>
      </w:r>
      <w:r w:rsidRPr="00070ADE">
        <w:rPr>
          <w:rFonts w:ascii="Times New Roman" w:hAnsi="Times New Roman"/>
          <w:color w:val="000000" w:themeColor="text1"/>
          <w:sz w:val="16"/>
          <w:szCs w:val="16"/>
        </w:rPr>
        <w:softHyphen/>
        <w:t>нённых к параболическим мостикам. В привяз</w:t>
      </w:r>
      <w:r w:rsidRPr="00070ADE">
        <w:rPr>
          <w:rFonts w:ascii="Times New Roman" w:hAnsi="Times New Roman"/>
          <w:color w:val="000000" w:themeColor="text1"/>
          <w:sz w:val="16"/>
          <w:szCs w:val="16"/>
        </w:rPr>
        <w:softHyphen/>
        <w:t>ном варианте к первому и третьему мостикам крепились уздечки привязного троса, а ко второ</w:t>
      </w:r>
      <w:r w:rsidRPr="00070ADE">
        <w:rPr>
          <w:rFonts w:ascii="Times New Roman" w:hAnsi="Times New Roman"/>
          <w:color w:val="000000" w:themeColor="text1"/>
          <w:sz w:val="16"/>
          <w:szCs w:val="16"/>
        </w:rPr>
        <w:softHyphen/>
        <w:t>му и четвёртому — подвесные стропы десантной гондолы ДТГ-1. В моторизованном варианте мо</w:t>
      </w:r>
      <w:r w:rsidRPr="00070ADE">
        <w:rPr>
          <w:rFonts w:ascii="Times New Roman" w:hAnsi="Times New Roman"/>
          <w:color w:val="000000" w:themeColor="text1"/>
          <w:sz w:val="16"/>
          <w:szCs w:val="16"/>
        </w:rPr>
        <w:softHyphen/>
        <w:t>тогондола подвешивалась ко всем четырём мос</w:t>
      </w:r>
      <w:r w:rsidRPr="00070ADE">
        <w:rPr>
          <w:rFonts w:ascii="Times New Roman" w:hAnsi="Times New Roman"/>
          <w:color w:val="000000" w:themeColor="text1"/>
          <w:sz w:val="16"/>
          <w:szCs w:val="16"/>
        </w:rPr>
        <w:softHyphen/>
        <w:t>тикам.</w:t>
      </w:r>
    </w:p>
    <w:p w14:paraId="13B9396C" w14:textId="77777777"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Газовый аппендикс диаметром 55 см нахо</w:t>
      </w:r>
      <w:r w:rsidRPr="00070ADE">
        <w:rPr>
          <w:rFonts w:ascii="Times New Roman" w:hAnsi="Times New Roman"/>
          <w:color w:val="000000" w:themeColor="text1"/>
          <w:sz w:val="16"/>
          <w:szCs w:val="16"/>
        </w:rPr>
        <w:softHyphen/>
        <w:t>дился снизу в носовой части оболочки перед баллонетом. Там же располагалось и разрывное устройство. Стягивающая система из резиновых жгутов начиналась от носовой части и оканчива</w:t>
      </w:r>
      <w:r w:rsidRPr="00070ADE">
        <w:rPr>
          <w:rFonts w:ascii="Times New Roman" w:hAnsi="Times New Roman"/>
          <w:color w:val="000000" w:themeColor="text1"/>
          <w:sz w:val="16"/>
          <w:szCs w:val="16"/>
        </w:rPr>
        <w:softHyphen/>
        <w:t>лась за 1 м впереди оперения.</w:t>
      </w:r>
    </w:p>
    <w:p w14:paraId="43DC8FFE" w14:textId="77777777"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носового усиления спроектировали и изготовили деревянные рейки и внутренние пневматические шланги, но лётные испытания показали, что усиление не нужно, так как при нормальном избыточном давлении 40 мм. рт. ст. «ложки» не образовывались даже при макси</w:t>
      </w:r>
      <w:r w:rsidRPr="00070ADE">
        <w:rPr>
          <w:rFonts w:ascii="Times New Roman" w:hAnsi="Times New Roman"/>
          <w:color w:val="000000" w:themeColor="text1"/>
          <w:sz w:val="16"/>
          <w:szCs w:val="16"/>
        </w:rPr>
        <w:softHyphen/>
        <w:t>мальной скорости полёта.</w:t>
      </w:r>
    </w:p>
    <w:p w14:paraId="7F8CE01B" w14:textId="77777777"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приборной доске пилота размещались ком</w:t>
      </w:r>
      <w:r w:rsidRPr="00070ADE">
        <w:rPr>
          <w:rFonts w:ascii="Times New Roman" w:hAnsi="Times New Roman"/>
          <w:color w:val="000000" w:themeColor="text1"/>
          <w:sz w:val="16"/>
          <w:szCs w:val="16"/>
        </w:rPr>
        <w:softHyphen/>
        <w:t>пас, указатель скорости, альтиметр, аэротермо</w:t>
      </w:r>
      <w:r w:rsidRPr="00070ADE">
        <w:rPr>
          <w:rFonts w:ascii="Times New Roman" w:hAnsi="Times New Roman"/>
          <w:color w:val="000000" w:themeColor="text1"/>
          <w:sz w:val="16"/>
          <w:szCs w:val="16"/>
        </w:rPr>
        <w:softHyphen/>
        <w:t>метр. Газовый и воздушный манометры крепи</w:t>
      </w:r>
      <w:r w:rsidRPr="00070ADE">
        <w:rPr>
          <w:rFonts w:ascii="Times New Roman" w:hAnsi="Times New Roman"/>
          <w:color w:val="000000" w:themeColor="text1"/>
          <w:sz w:val="16"/>
          <w:szCs w:val="16"/>
        </w:rPr>
        <w:softHyphen/>
        <w:t>лись справа на стойке воздухоулавливателя. Под левой рукой пилота находилось кольцо управ</w:t>
      </w:r>
      <w:r w:rsidRPr="00070ADE">
        <w:rPr>
          <w:rFonts w:ascii="Times New Roman" w:hAnsi="Times New Roman"/>
          <w:color w:val="000000" w:themeColor="text1"/>
          <w:sz w:val="16"/>
          <w:szCs w:val="16"/>
        </w:rPr>
        <w:softHyphen/>
        <w:t>ления сбрасыванием гайдропа, прикреплённого к днищу гондолы в её кормовой части. Над голо</w:t>
      </w:r>
      <w:r w:rsidRPr="00070ADE">
        <w:rPr>
          <w:rFonts w:ascii="Times New Roman" w:hAnsi="Times New Roman"/>
          <w:color w:val="000000" w:themeColor="text1"/>
          <w:sz w:val="16"/>
          <w:szCs w:val="16"/>
        </w:rPr>
        <w:softHyphen/>
        <w:t>вой пилота размещалась тяга к разрывному полотнищу, справа — тяга к воздушному клапану, который установили в нижней части баллонета, слева над головой — тяга к газовому клапану. Управление рулями высоты осуществлялась при помощи штурвала, укреплённого на правом бор</w:t>
      </w:r>
      <w:r w:rsidRPr="00070ADE">
        <w:rPr>
          <w:rFonts w:ascii="Times New Roman" w:hAnsi="Times New Roman"/>
          <w:color w:val="000000" w:themeColor="text1"/>
          <w:sz w:val="16"/>
          <w:szCs w:val="16"/>
        </w:rPr>
        <w:softHyphen/>
        <w:t>ту гондолы, рулями направления — при помощи педалей. Конструкция оперения была деревян</w:t>
      </w:r>
      <w:r w:rsidRPr="00070ADE">
        <w:rPr>
          <w:rFonts w:ascii="Times New Roman" w:hAnsi="Times New Roman"/>
          <w:color w:val="000000" w:themeColor="text1"/>
          <w:sz w:val="16"/>
          <w:szCs w:val="16"/>
        </w:rPr>
        <w:softHyphen/>
        <w:t>ной, его каркас был обтянут материей, покрытой лаком.</w:t>
      </w:r>
    </w:p>
    <w:p w14:paraId="5A7E6E08" w14:textId="77777777"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биваке для предохранения нижнего стаби</w:t>
      </w:r>
      <w:r w:rsidRPr="00070ADE">
        <w:rPr>
          <w:rFonts w:ascii="Times New Roman" w:hAnsi="Times New Roman"/>
          <w:color w:val="000000" w:themeColor="text1"/>
          <w:sz w:val="16"/>
          <w:szCs w:val="16"/>
        </w:rPr>
        <w:softHyphen/>
        <w:t>лизатора под оболочку подводился газгольдер, наполненный воздухом с расчётом, чтобы киль не доходил до земли на 0,5-0,75 м. В таком поло</w:t>
      </w:r>
      <w:r w:rsidRPr="00070ADE">
        <w:rPr>
          <w:rFonts w:ascii="Times New Roman" w:hAnsi="Times New Roman"/>
          <w:color w:val="000000" w:themeColor="text1"/>
          <w:sz w:val="16"/>
          <w:szCs w:val="16"/>
        </w:rPr>
        <w:softHyphen/>
        <w:t>жении аэростат закрепляли.</w:t>
      </w:r>
    </w:p>
    <w:p w14:paraId="3F501D6C" w14:textId="77777777"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Государственная комиссия отметила, что при небольших изменениях в конструкции, мотори</w:t>
      </w:r>
      <w:r w:rsidRPr="00070ADE">
        <w:rPr>
          <w:rFonts w:ascii="Times New Roman" w:hAnsi="Times New Roman"/>
          <w:color w:val="000000" w:themeColor="text1"/>
          <w:sz w:val="16"/>
          <w:szCs w:val="16"/>
        </w:rPr>
        <w:softHyphen/>
        <w:t>зованный аэростат можно применять для кор</w:t>
      </w:r>
      <w:r w:rsidRPr="00070ADE">
        <w:rPr>
          <w:rFonts w:ascii="Times New Roman" w:hAnsi="Times New Roman"/>
          <w:color w:val="000000" w:themeColor="text1"/>
          <w:sz w:val="16"/>
          <w:szCs w:val="16"/>
        </w:rPr>
        <w:softHyphen/>
        <w:t>ректирования артиллерийского огня, детальной разведки переднего края, конвоирования мор</w:t>
      </w:r>
      <w:r w:rsidRPr="00070ADE">
        <w:rPr>
          <w:rFonts w:ascii="Times New Roman" w:hAnsi="Times New Roman"/>
          <w:color w:val="000000" w:themeColor="text1"/>
          <w:sz w:val="16"/>
          <w:szCs w:val="16"/>
        </w:rPr>
        <w:softHyphen/>
        <w:t>ских судов и обнаружения подводных лодок про</w:t>
      </w:r>
      <w:r w:rsidRPr="00070ADE">
        <w:rPr>
          <w:rFonts w:ascii="Times New Roman" w:hAnsi="Times New Roman"/>
          <w:color w:val="000000" w:themeColor="text1"/>
          <w:sz w:val="16"/>
          <w:szCs w:val="16"/>
        </w:rPr>
        <w:softHyphen/>
        <w:t>тивника, а также для ледовой разведки.</w:t>
      </w:r>
    </w:p>
    <w:p w14:paraId="7F857D04" w14:textId="77777777" w:rsidR="00EB290F" w:rsidRPr="00070ADE" w:rsidRDefault="00EB29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Служба аэростата оказалась непродолжитель</w:t>
      </w:r>
      <w:r w:rsidRPr="00070ADE">
        <w:rPr>
          <w:rFonts w:ascii="Times New Roman" w:hAnsi="Times New Roman"/>
          <w:color w:val="000000" w:themeColor="text1"/>
          <w:sz w:val="16"/>
          <w:szCs w:val="16"/>
        </w:rPr>
        <w:softHyphen/>
        <w:t>ной. Командование находившегося в годы войны в Нахабино воздушно-десантного училища обра</w:t>
      </w:r>
      <w:r w:rsidRPr="00070ADE">
        <w:rPr>
          <w:rFonts w:ascii="Times New Roman" w:hAnsi="Times New Roman"/>
          <w:color w:val="000000" w:themeColor="text1"/>
          <w:sz w:val="16"/>
          <w:szCs w:val="16"/>
        </w:rPr>
        <w:softHyphen/>
        <w:t>тилось в 1-й ОВД ВДВ с просьбой предоставить в его распоряжение «Малыша» для парашютного сброса очередных групп выпускников. К концу третьего дня работы поднялся ветер. Стартовая команда не придала этому значения и задержа</w:t>
      </w:r>
      <w:r w:rsidRPr="00070ADE">
        <w:rPr>
          <w:rFonts w:ascii="Times New Roman" w:hAnsi="Times New Roman"/>
          <w:color w:val="000000" w:themeColor="text1"/>
          <w:sz w:val="16"/>
          <w:szCs w:val="16"/>
        </w:rPr>
        <w:softHyphen/>
        <w:t>лась со спуском аэростата. Ветер бросил «Ма</w:t>
      </w:r>
      <w:r w:rsidRPr="00070ADE">
        <w:rPr>
          <w:rFonts w:ascii="Times New Roman" w:hAnsi="Times New Roman"/>
          <w:color w:val="000000" w:themeColor="text1"/>
          <w:sz w:val="16"/>
          <w:szCs w:val="16"/>
        </w:rPr>
        <w:softHyphen/>
        <w:t>лыша» на деревья. Его оболочка была изорвана, а оперение — повреждено и ремонту уже не под</w:t>
      </w:r>
      <w:r w:rsidRPr="00070ADE">
        <w:rPr>
          <w:rFonts w:ascii="Times New Roman" w:hAnsi="Times New Roman"/>
          <w:color w:val="000000" w:themeColor="text1"/>
          <w:sz w:val="16"/>
          <w:szCs w:val="16"/>
        </w:rPr>
        <w:softHyphen/>
        <w:t>лежало (20120).</w:t>
      </w:r>
    </w:p>
    <w:p w14:paraId="3F19F8EA" w14:textId="77777777" w:rsidR="00EB290F" w:rsidRPr="00070ADE" w:rsidRDefault="00EB290F" w:rsidP="00B56F90">
      <w:pPr>
        <w:spacing w:after="0" w:line="240" w:lineRule="auto"/>
        <w:jc w:val="both"/>
        <w:rPr>
          <w:rFonts w:ascii="Times New Roman" w:hAnsi="Times New Roman"/>
          <w:color w:val="000000" w:themeColor="text1"/>
          <w:sz w:val="16"/>
          <w:szCs w:val="16"/>
        </w:rPr>
      </w:pPr>
    </w:p>
    <w:p w14:paraId="0FE9A050"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0B7D2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2137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января 1944 г. было подготовлено ЗАКЛЮЧЕНИЕ 6-го ОТДЕЛА ТУ ГБТУ КА ПО АНГЛИЙСКИМ ТАНКАМ СО СБРАСЫВАЮЩИМИСЯ МОСТАМИ ДЛЯ ПРЕОДОЛЕНИЯ ПРОТИВОТАНКОВЫХ ПРЕПЯТСТВИЙ</w:t>
      </w:r>
    </w:p>
    <w:p w14:paraId="505339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рассмотрение были представлены следующие материалы: фотографии танка, моста, две схемы и выписка из докладной записки об их демонстрации.</w:t>
      </w:r>
    </w:p>
    <w:p w14:paraId="23E452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Насколько можно судить по предоставленному материалу, танки со сбрасывающими мостами представляют известную ценность, так как для их наведения не требуется выхода экипажа из танка. Время, затрачиваемое на наведение моста, невелико.</w:t>
      </w:r>
    </w:p>
    <w:p w14:paraId="094AB0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Снижение тактико-технических свойств танков-мостов, по сравнению с линейными танками соответствующих типов, незначительное.</w:t>
      </w:r>
    </w:p>
    <w:p w14:paraId="116FCEF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Наряду с отмеченными положительными свойствами, необходимо указать на следующие недо</w:t>
      </w:r>
      <w:r w:rsidRPr="00070ADE">
        <w:rPr>
          <w:rFonts w:ascii="Times New Roman" w:hAnsi="Times New Roman"/>
          <w:color w:val="000000" w:themeColor="text1"/>
          <w:sz w:val="16"/>
          <w:szCs w:val="16"/>
        </w:rPr>
        <w:softHyphen/>
        <w:t>статки:</w:t>
      </w:r>
    </w:p>
    <w:p w14:paraId="096310C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Танк-мост становится специальной саперной машиной.</w:t>
      </w:r>
    </w:p>
    <w:p w14:paraId="388672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Необходимость выхода экипажа из танка для съема моста с препятствия.</w:t>
      </w:r>
    </w:p>
    <w:p w14:paraId="18EC801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Необходимость дополнительной команды людей для съема перекошенного моста.</w:t>
      </w:r>
    </w:p>
    <w:p w14:paraId="43FB04D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Сложность переоборудования серийного танка в танк-мост.</w:t>
      </w:r>
    </w:p>
    <w:p w14:paraId="0FF58A1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Сложность устройства привода моста.</w:t>
      </w:r>
    </w:p>
    <w:p w14:paraId="59BE7F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Уязвимость механизмов привода моста от огня противника.</w:t>
      </w:r>
    </w:p>
    <w:p w14:paraId="7C2D21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Невозможность эвакуации моста в случае неудачной операции.</w:t>
      </w:r>
    </w:p>
    <w:p w14:paraId="6A79247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Одновременно сообщаю, что изготовленный в 1940 году опытный образец танка-моста ИТ-28, который прошел испытания на НИБТ ГБТУ КА, обладает рядом преимуществ по сравнению с пред</w:t>
      </w:r>
      <w:r w:rsidRPr="00070ADE">
        <w:rPr>
          <w:rFonts w:ascii="Times New Roman" w:hAnsi="Times New Roman"/>
          <w:color w:val="000000" w:themeColor="text1"/>
          <w:sz w:val="16"/>
          <w:szCs w:val="16"/>
        </w:rPr>
        <w:softHyphen/>
        <w:t>ставленными на рассмотрение английскими танками-мостами.</w:t>
      </w:r>
    </w:p>
    <w:p w14:paraId="44794CA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Преимущества эти следующие:</w:t>
      </w:r>
    </w:p>
    <w:p w14:paraId="7C7DEDC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Установка и съем моста с препятствия производится без выхода экипажа из танка.</w:t>
      </w:r>
    </w:p>
    <w:p w14:paraId="06176F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Мост позволяет преодолевать препятствия: горизонтальные до 12 м шириной и вертикальные до 4,5 м высотой.</w:t>
      </w:r>
    </w:p>
    <w:p w14:paraId="4C144F4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Грузоподъемность моста 50 тонн.</w:t>
      </w:r>
    </w:p>
    <w:p w14:paraId="423347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начала войны разместить заказы на изготовление этих мостов заводам промышленности не удалось, а с началом войны и перебазированием заводов дальнейшие работы по ИТ-28 были пре</w:t>
      </w:r>
      <w:r w:rsidRPr="00070ADE">
        <w:rPr>
          <w:rFonts w:ascii="Times New Roman" w:hAnsi="Times New Roman"/>
          <w:color w:val="000000" w:themeColor="text1"/>
          <w:sz w:val="16"/>
          <w:szCs w:val="16"/>
        </w:rPr>
        <w:softHyphen/>
        <w:t>кращены.</w:t>
      </w:r>
    </w:p>
    <w:p w14:paraId="445406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выпуск танков Т-28 прекращен. Поэтому желательно дальнейшую работу по мосту ИТ-28 проводить на базе танка Т-34.</w:t>
      </w:r>
    </w:p>
    <w:p w14:paraId="669520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6-го отдела ТУ ГБТУ КА инженер-майор Ворошилов</w:t>
      </w:r>
    </w:p>
    <w:p w14:paraId="0217C2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 начальника 6-го отдела ТУ ГБТУ КА инженер-капитан Кузнецов</w:t>
      </w:r>
    </w:p>
    <w:p w14:paraId="647CFA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11353. Д. 611. Л. 3. Подлинник (11403).</w:t>
      </w:r>
    </w:p>
    <w:p w14:paraId="29A17D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3577E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января 1944 года была подготовлена справка:</w:t>
      </w:r>
    </w:p>
    <w:p w14:paraId="3E99CB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Ведение восстановительных работ по заводу № 13-ф – Брянск (9277).</w:t>
      </w:r>
    </w:p>
    <w:p w14:paraId="2D22C3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621 НК легпрома (9277).</w:t>
      </w:r>
    </w:p>
    <w:p w14:paraId="29B8B8E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9B6571" w14:textId="3198FFA5"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января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вышло Постановление ГКО за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50312 «О производстве морских артиллерийских и гироскопических систем, обеспечивающих совместную работу с радиолокационными установками, на заводе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706 Наркомсудпрома»,</w:t>
      </w:r>
    </w:p>
    <w:p w14:paraId="1A8F77DF" w14:textId="77777777" w:rsidR="00264F92" w:rsidRPr="00070ADE" w:rsidRDefault="00264F92" w:rsidP="00B56F90">
      <w:pPr>
        <w:spacing w:after="0" w:line="240" w:lineRule="auto"/>
        <w:jc w:val="both"/>
        <w:rPr>
          <w:rFonts w:ascii="Times New Roman" w:hAnsi="Times New Roman"/>
          <w:color w:val="000000" w:themeColor="text1"/>
          <w:sz w:val="16"/>
          <w:szCs w:val="16"/>
        </w:rPr>
      </w:pPr>
    </w:p>
    <w:p w14:paraId="0CF654FF"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января 1944 г. ПИСЬМО ГРУ ГЕНШТАБА КРАСНОЙ АРМИИ № 365088 С. В. КАФТАНОВУ1 О ХОДЕ РАБОТ В США</w:t>
      </w:r>
    </w:p>
    <w:p w14:paraId="612769D7"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агентурным данным, в настоящее время в США разрабатывается вопрос использования атомной энергии урана.</w:t>
      </w:r>
    </w:p>
    <w:p w14:paraId="40144794"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Разработка вопроса проводится по двум основным направлениям:</w:t>
      </w:r>
    </w:p>
    <w:p w14:paraId="650AD6E0"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получение атомной энергии отделением изотопов из шестифтористого урана путем термической диффузии, проводимой в медных тру</w:t>
      </w:r>
      <w:r w:rsidRPr="00070ADE">
        <w:rPr>
          <w:rFonts w:ascii="Times New Roman" w:hAnsi="Times New Roman"/>
          <w:color w:val="000000" w:themeColor="text1"/>
          <w:sz w:val="16"/>
          <w:szCs w:val="16"/>
        </w:rPr>
        <w:softHyphen/>
        <w:t>бах, покрытых никелем;</w:t>
      </w:r>
    </w:p>
    <w:p w14:paraId="6BE22E9B"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получение атомной энергии без отделения изотопов, из графит</w:t>
      </w:r>
      <w:r w:rsidRPr="00070ADE">
        <w:rPr>
          <w:rFonts w:ascii="Times New Roman" w:hAnsi="Times New Roman"/>
          <w:color w:val="000000" w:themeColor="text1"/>
          <w:sz w:val="16"/>
          <w:szCs w:val="16"/>
        </w:rPr>
        <w:softHyphen/>
        <w:t>ной или угольной смеси с ураном, которая под действием сильных ней</w:t>
      </w:r>
      <w:r w:rsidRPr="00070ADE">
        <w:rPr>
          <w:rFonts w:ascii="Times New Roman" w:hAnsi="Times New Roman"/>
          <w:color w:val="000000" w:themeColor="text1"/>
          <w:sz w:val="16"/>
          <w:szCs w:val="16"/>
        </w:rPr>
        <w:softHyphen/>
        <w:t>тронов приостанавливает последовательную реакцию. Последняя была предложена Энрико Ферми.</w:t>
      </w:r>
    </w:p>
    <w:p w14:paraId="5F22EB57"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по первому направлению проводятся в Колумбийском уни</w:t>
      </w:r>
      <w:r w:rsidRPr="00070ADE">
        <w:rPr>
          <w:rFonts w:ascii="Times New Roman" w:hAnsi="Times New Roman"/>
          <w:color w:val="000000" w:themeColor="text1"/>
          <w:sz w:val="16"/>
          <w:szCs w:val="16"/>
        </w:rPr>
        <w:softHyphen/>
        <w:t>верситете, этой же работой занята «Коллекс Корп[орейшен]» в Нью-Джерси; второе направление отрабатывается в Чикаго.</w:t>
      </w:r>
    </w:p>
    <w:p w14:paraId="59AB4C55"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Предполагается постройка опытного завода на 100.000.000 киловатт продукции.</w:t>
      </w:r>
    </w:p>
    <w:p w14:paraId="1B9C5004"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начальника Главразведуправления Красной Армии генерал-майор танковых войск В. Хлопов2</w:t>
      </w:r>
    </w:p>
    <w:p w14:paraId="56B67BF3"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документе имеется помета: ознакомить академика Курчатова, переслать тов. Васину (15493).</w:t>
      </w:r>
    </w:p>
    <w:p w14:paraId="31BDF298" w14:textId="77777777" w:rsidR="00264F92" w:rsidRPr="00070ADE" w:rsidRDefault="00264F92" w:rsidP="00B56F90">
      <w:pPr>
        <w:spacing w:after="0" w:line="240" w:lineRule="auto"/>
        <w:jc w:val="both"/>
        <w:rPr>
          <w:rFonts w:ascii="Times New Roman" w:hAnsi="Times New Roman"/>
          <w:color w:val="000000" w:themeColor="text1"/>
          <w:sz w:val="16"/>
          <w:szCs w:val="16"/>
        </w:rPr>
      </w:pPr>
    </w:p>
    <w:p w14:paraId="5F107879"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5EAB03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7639C4"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7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3D92F89C"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7 января войска 1-го Украинского фронта продолжали наступление и овладели районным центром Ровенской области Клесов, районным центром Житомирской области городом Янушполь, районными центрами Винницкой области Комсомольское, Липовец, Оратов, районными центрами Киевской области городом Ржищев, Ракитно, а также с боями заняли более 70 других населённых пунктов, среди которых крупные населённые пункты Привитов, Мани, Красновулька, Ольшанка, Бабушки, Бейзымовка, Галиевка, Малая Волица, Озадовка, Радянске, Терехова, Бродецкое, Нападовка, Скитка, Тягун, Бабин, Дубровицы, Оратовка, Юшкивцы, Малая Березянка, Лукьяновка, Кисловка, Степок, Болкун, Руссы, Ольшаница, Шпендовка, Ставы, Гороховатка, Черняхов, Стритовка, Хальча, Ульяники и железнодорожные станции Чуднов-Волынский, Демчин, Оратов, Ракитно, Ольшаница. Войска 1-го Украинского фронта соединились с нашими войсками, занимающимиплацдарм на правом берегу Днепра, южнее Киева.</w:t>
      </w:r>
    </w:p>
    <w:p w14:paraId="4A583B6F"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Войска 2-го Украинского фронта под командованием генерала армии Конева 5 января перешли в наступление и прорвали оборону противника на Кировоградском направлении. За три дня наступления наши войска расширили прорыв по фронту до 100 километров и в глубину свыше 40 километров, освободили более 120 населённыхпунктов и среди них районные центры Кировоградской области Аджамка, Новгородка, крупные населённые пункты Суботцы, Григоровка, Червонный Яр, Новая Андреевка, Казарна, Черняковка, Гаевка, Покровское, Любонадеждовка, Ново-Водяное,Марьевка, Ново-Григорь-Евка, Клинцы, Калинобка, Козыревка, Тарасовка, Оситняжка, Подмогильна, Северинка, Большая Мамайка, Густой Гай, Неопалимовка, Первозвановка, Коноплянка, Осиковата, Обозновка, Грузное, Зава Дьевка, Фёдоровкаи железнодорожные станции Треповка, Канатово, Леле-Ковка.</w:t>
      </w:r>
    </w:p>
    <w:p w14:paraId="35ECE518"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Город Кировоград со всех сторон окружён нашими войсками.</w:t>
      </w:r>
    </w:p>
    <w:p w14:paraId="5C1DA667"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боях разгромлены три пехотные, одна танковая и одна моторизованная дивизии немцев. Противник понёс большие потери в живой силе и технике.</w:t>
      </w:r>
    </w:p>
    <w:p w14:paraId="7885B1B4"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3BFF42FF"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6 января наши войска на всех фронтах подбили и уничтожили 141 немецкий танк. В воздушных боях и огнём зенитной артиллерии сбит 51 самолёт противника.</w:t>
      </w:r>
    </w:p>
    <w:p w14:paraId="4ABA0D2C"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успешное наступление. Части Н-ского соединения, продвигаясь вдоль железной дороги Коростень-Сарны, овладели районным центром Ровенской области Клесов. На другом участке наши войска сломили упорное сопротивление противника, стремительно продвинулись вперёд и с боями заняли районный центр Житомирской области город Янушполь. Советские танки и мотопехота разгромили немецкие части, оборонявшие этот город, и захватили большие трофеи. На подступах к городу противник оставил свыше 26 подбитых и сожжённых танков. Советские части заняли также районные центры Винницкой области Комсомольское, Липовец и Оратов. Войска 1-го Украинского фронта, наступающие вдоль правого берега Днепра, южнее Киева, овладели районным центром Киевской области городом Ржищев и соединились с нашими войсками, занимавшими Букринский плацдарм (на правом берегу Днепра, юго-западнее города Переяслава-Хмельницкого). Занят также районный центр Киевской области Ракитно и свыше 70 других населённых пунктов. За день боёв уничтожено до 5 тысяч немецких солдат и офицеров и взято много пленных. Уничтожено 110 немецких танков и бронемашин, 14 самоходных и 84 полевых орудия, 21 бронетранспортёр, до 200 пулемётов и более 300 автомашин. По неполным данным, нашими частями захвачено у немцев несколько исправных танков, 6 самоходных орудий, 92 полевых орудия, 5 складов с боеприпасами и 34 склада с вооружением, продовольствием и военным имуществом.</w:t>
      </w:r>
    </w:p>
    <w:p w14:paraId="5E983756"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5 января перешли в наступление на Кировоградском направлении. В ходе наступления наши войска на широком фронте прорвали оборону немцев и заняли более 120 населённых пунктов, в числе которых районные центры Кировоградской области Аджамка и Новгородка. Части Н-ского соединения, действующие севернее Кировограда, продвигаясь вперёд, форсировали реку Ингул, стремительным броском заняли населённый пункт Грузное и перерезали железную дорогу Кировоград-Ново-Украинка. Развивая успех, ваши подвижные частио владели станцией Делековка и южнее этой станции соединились с войсками, наступавшими юго-западнее Кировограда. Тем самым наши войска полностью окружили город Кировоград и немецкие части, обороняющие этот город. Противник несёт тяжёлые потери. Только сегодня советские танкисты и артиллеристы уничтожали 28 немецких танков, 13 бронетранспортёров и более 40 орудий. Отступая под ударами советских войск, разгромленные соединения противника бросают военную технику и военное имущество. Захвачено большое число пленных.</w:t>
      </w:r>
    </w:p>
    <w:p w14:paraId="108FBCBB"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Отряд крымских партизан в ночь на 27 декабря подорвал на минах бронепоезд противника. Бронепоезд свалился под откос. Другой отряд крымских партизан проник в одно село и напал на гитлеровцев, грабивших мирных жителей. Советские патриоты истребили более 100 немецких и румынских солдат.</w:t>
      </w:r>
    </w:p>
    <w:p w14:paraId="75480748"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одном участке 1-го Украинского фронта сдались в плен два офицера и 135 солдат 504 полка 291 немецкой пехотной дивизии. Обер-лейтенант Гейнц Цинке рассказал: «Второго января наш полк был разгромлен. Командир полка куда-то исчез, и я принял на себя командование оставшимися солдатами. Убедившись в том, что дальнейшее сопротивление бессмысленно, я приказал сложить оружие и сдаться в плен. Солдаты с большой охотой выполнили этот приказ. Мы принесли и сдали русским 16 пулемётов, 105 винтовок и много боеприпасов».</w:t>
      </w:r>
    </w:p>
    <w:p w14:paraId="674C3B95"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публикуется акт о зверствах немцев в деревне Гута, Полесской области:.</w:t>
      </w:r>
    </w:p>
    <w:p w14:paraId="7296A8A7"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«Отступая под ударами Красной Армии, немецкие захватчики учинили зверскую расправу над населением деревни. Гитлеровцы загоняли мирных жителей в дома и поджигали постройки. В огне сгорели Анна Бондарь, Александра Жолудь, Ольга Дасько и многие другие взрослые и дети. Мы просим бойцов Красной Армии отомстить немецким извергам за все злодеяния, которые они совершили на советской земле». Акт подписали: Тит Дасько, Клавдия Дасько, Лидия Галушкевич, Софья Дасько и другие жители деревни Гута.» (15002).</w:t>
      </w:r>
    </w:p>
    <w:p w14:paraId="18D11398" w14:textId="77777777" w:rsidR="00264F92" w:rsidRPr="00070ADE" w:rsidRDefault="00264F92" w:rsidP="00B56F90">
      <w:pPr>
        <w:spacing w:after="0" w:line="240" w:lineRule="auto"/>
        <w:jc w:val="both"/>
        <w:rPr>
          <w:rFonts w:ascii="Times New Roman" w:hAnsi="Times New Roman"/>
          <w:color w:val="000000" w:themeColor="text1"/>
          <w:sz w:val="16"/>
          <w:szCs w:val="16"/>
        </w:rPr>
      </w:pPr>
    </w:p>
    <w:p w14:paraId="27E96A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января 1944 6-ка Ил-2 под командованием л И.М.Долгова нанесла удар по эшелонам на ст. Шепетовка и уничтожила 14 (до 460 вагонов и платформ и два паровоза). От взрыва вагонов с толом разрушило 5 путей, водонапорная башня и т.п. Повреждения не смогли ликвидировать до 11 февраля, момента прихода наших войск. Получил Осув. 3-й степени (438,892).</w:t>
      </w:r>
    </w:p>
    <w:p w14:paraId="40AEAB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024E8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января 1944 части 1-го шак продолжали наносить удары по окруженным частям вермахта. Учитывая сложную наземную обстановку, действиями штурмовиков над полем боя с КП командующего 5-й гв. А лично руководил командир 1 -го шак генерал Рязанов. Несмотря на сложные метеоусловия и близость целей от линии боевого соприкосновения, летчики корпуса продемонстрировали высокое летное мастерство - в течение дня не было зафиксировано ни одного удара по своим войскам, тогда как противник понес большой урон в живой силе и боевой технике.</w:t>
      </w:r>
    </w:p>
    <w:p w14:paraId="5B8ACC6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Девятка Ил-2 от 673-го шап (ведущий ст. лейтенант Александров) в 2-х километрах юго-западнее Лепековки атаковала колонну автомашин и уничтожила 10 из них. Группа в составе 8 Ил-2 от 800-го шап (ведущий капитан Пошивальников) в оврагах юго-западнее Лепековки сожгла 10 автомашин и одну бензоцистерну. В этом же районе 9 Ил-2 от 667-го шап (ведущий капитан Лопатин) в шести заходах уничтожили 18 автомашин и одну минометную батарею (12020).</w:t>
      </w:r>
    </w:p>
    <w:p w14:paraId="76D0A34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D157B9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7C3245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99ED8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января 1944 года нарком Берия подписал приказ № 0013 “Об организации специального Черногорского лагеря в Красноярском крае”, гласивший:</w:t>
      </w:r>
    </w:p>
    <w:p w14:paraId="3F39F1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“Органами НКВД СССР на Украине выявлено значительное количество предателей и пособников немецко-фашистских оккупантов из числа лиц, именующихся “фольксдейче”, которые находились под особым покровительством немецкого командования и были наиболее тесно связаны с оккупантами. Наркомвнуделом дано указание всех “фольксдейче” арестовывать и судить Особым Совещанием НКВД СССР. Осужденных направлять в специальный лагерь. В целях обеспечения особого режима охраны и содержания осужденных предателей и пособников немецко-фашистских оккупантов “фольксдейче”, приказываю:</w:t>
      </w:r>
    </w:p>
    <w:p w14:paraId="2CE0F1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организовать специальный лагерь на базе Черногорской колонии УНКВД Красноярского края по добыче угля. Лагерь именовать: Черногорский специальный исправительно-трудовой лагерь НКВД. Начальником лагеря назначить капитана госбезопасности Зубова Н. И. Черногорский спецлагерь подчинить УИТЛК Красноярского края;</w:t>
      </w:r>
    </w:p>
    <w:p w14:paraId="4CA88E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установить в Черногорском спецлагере НКВД особострогий режим для заключенных из состава “фольксдейче”, обеспечивающий надлежащую охрану заключенных и наиболее полное использование заключенных на работе по добыче угля и другим работам в лагере. Ныне работавших в колонии заключенных заменять постепенно по мере прибытия новых заключенных по настоящему приказу;</w:t>
      </w:r>
    </w:p>
    <w:p w14:paraId="79604C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Наркому внутренних дел УССР комиссару гб 3 ранга Рясному и начальнику 1 с/о НКВД СССР полковнику гб Кузнецову всех осужденных ОСО для заключения в лагере немецких пособников “фольксдейче” немедленно направлять в Черногорский лагерь НКВД (станция Черногорск Красноярской ж. д.);</w:t>
      </w:r>
    </w:p>
    <w:p w14:paraId="7E5E929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начальнику Управления конвойных войск НКВД СССР генерал-майору Бочкову обеспечить перевозку “фольксдейче” вагонзаками в Черногорский спецлагерь” (7560).</w:t>
      </w:r>
    </w:p>
    <w:p w14:paraId="0D2A2F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6485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января 1944 циркуляром НКВД № 6 разрешалось “всем заключенным переводить своим родственникам не свыше 50% денежной суммы, находящейся на их лицевых счетах, с таким расчетом, чтобы у каждого заключенного к моменту его освобождения из исправительно-трудового лагеря - колонии оставалась сумма, достаточная на первое время после освобождения из заключения” (7560).</w:t>
      </w:r>
    </w:p>
    <w:p w14:paraId="796F7B2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D425D0"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19BB81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694BB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января 1944 было объявлено начало производства первого реактивного истребителя США Aircomet P-59 (2100).</w:t>
      </w:r>
    </w:p>
    <w:p w14:paraId="67899A5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9AB1B9" w14:textId="77777777" w:rsidR="00D5495D" w:rsidRPr="00070ADE" w:rsidRDefault="00D549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января 1944 множество бомбардировщики 502-го полка в сопровождении 571 истребителя бомбят завод IG Farben в Людвигсхафене , Германия, при этом потеряно 19 бомбардировщиков и шесть истребителей. Бомбардировщики и истребители заявили, что 37 немецких самолетов сбиты, шесть вероятно сбиты и 20 повреждены (20373).</w:t>
      </w:r>
    </w:p>
    <w:p w14:paraId="72A0D5A1" w14:textId="77777777" w:rsidR="00D5495D" w:rsidRPr="00070ADE" w:rsidRDefault="00D5495D" w:rsidP="00B56F90">
      <w:pPr>
        <w:spacing w:after="0" w:line="240" w:lineRule="auto"/>
        <w:jc w:val="both"/>
        <w:rPr>
          <w:rFonts w:ascii="Times New Roman" w:hAnsi="Times New Roman"/>
          <w:color w:val="000000" w:themeColor="text1"/>
          <w:sz w:val="16"/>
          <w:szCs w:val="16"/>
        </w:rPr>
      </w:pPr>
    </w:p>
    <w:p w14:paraId="24F30207"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9A19B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C96A5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января 1944 Дементьев писал Г.М.М. письмо N Н-26/116:</w:t>
      </w:r>
    </w:p>
    <w:p w14:paraId="3500DF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"По письму Абакумова о состоянии самолетов Ил-2 в ВВС ДВФ, сообщаю Вам о принятых мерах:</w:t>
      </w:r>
    </w:p>
    <w:p w14:paraId="7D89FF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подлежат ремонту 485 самолетов Ил-2 по лакокрасочным покрытиям или по фанерной обшивке крыльев и хвостов..." (1814,8).</w:t>
      </w:r>
    </w:p>
    <w:p w14:paraId="3214C8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6B1C5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8 января по 19 января 1944 согласно журнала наблюдения за проектированием, постройкой и испытаниями МиГ-3 на МиГ-3 2Д произвели 8 полетов. 8 января 1944 произвели полет на определение макс. скорости по высотам. Задание не выполнено изза ненормальной работы мотора. Облет выполнен л Якимовым. Замечено тяжелое управление ручкой по сравнению с ножным управлением. Осталось произвести 2 полета на определение макс. скорости на форсаже (992,12).</w:t>
      </w:r>
    </w:p>
    <w:p w14:paraId="422BA6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FADB4B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января 1944 была подготовлена справка о выпуске заводами НКАП самолетов и моторов в 1943: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tblGrid>
      <w:tr w:rsidR="00CB5308" w:rsidRPr="00070ADE" w14:paraId="1EFCC55A" w14:textId="77777777">
        <w:tc>
          <w:tcPr>
            <w:tcW w:w="1878" w:type="dxa"/>
          </w:tcPr>
          <w:p w14:paraId="65FACC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180C2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3B705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w:t>
            </w:r>
          </w:p>
        </w:tc>
        <w:tc>
          <w:tcPr>
            <w:tcW w:w="1878" w:type="dxa"/>
          </w:tcPr>
          <w:p w14:paraId="3F5B2B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Факт</w:t>
            </w:r>
          </w:p>
        </w:tc>
        <w:tc>
          <w:tcPr>
            <w:tcW w:w="1878" w:type="dxa"/>
          </w:tcPr>
          <w:p w14:paraId="279F228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CB5308" w:rsidRPr="00070ADE" w14:paraId="5385C590" w14:textId="77777777">
        <w:tc>
          <w:tcPr>
            <w:tcW w:w="1878" w:type="dxa"/>
          </w:tcPr>
          <w:p w14:paraId="622BD0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Заводы </w:t>
            </w:r>
          </w:p>
        </w:tc>
        <w:tc>
          <w:tcPr>
            <w:tcW w:w="1878" w:type="dxa"/>
          </w:tcPr>
          <w:p w14:paraId="45EBCC2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w:t>
            </w:r>
          </w:p>
        </w:tc>
        <w:tc>
          <w:tcPr>
            <w:tcW w:w="1878" w:type="dxa"/>
          </w:tcPr>
          <w:p w14:paraId="020380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B529B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B122E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2F9102C" w14:textId="77777777">
        <w:tc>
          <w:tcPr>
            <w:tcW w:w="1878" w:type="dxa"/>
          </w:tcPr>
          <w:p w14:paraId="4DF8FD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w:t>
            </w:r>
          </w:p>
        </w:tc>
        <w:tc>
          <w:tcPr>
            <w:tcW w:w="1878" w:type="dxa"/>
          </w:tcPr>
          <w:p w14:paraId="64220FA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w:t>
            </w:r>
          </w:p>
        </w:tc>
        <w:tc>
          <w:tcPr>
            <w:tcW w:w="1878" w:type="dxa"/>
          </w:tcPr>
          <w:p w14:paraId="09C093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4231</w:t>
            </w:r>
          </w:p>
        </w:tc>
        <w:tc>
          <w:tcPr>
            <w:tcW w:w="1878" w:type="dxa"/>
          </w:tcPr>
          <w:p w14:paraId="3BF6CA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4619</w:t>
            </w:r>
          </w:p>
        </w:tc>
        <w:tc>
          <w:tcPr>
            <w:tcW w:w="1878" w:type="dxa"/>
          </w:tcPr>
          <w:p w14:paraId="05D2CC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109.2</w:t>
            </w:r>
          </w:p>
        </w:tc>
      </w:tr>
      <w:tr w:rsidR="00CB5308" w:rsidRPr="00070ADE" w14:paraId="1C0CDA42" w14:textId="77777777">
        <w:tc>
          <w:tcPr>
            <w:tcW w:w="1878" w:type="dxa"/>
          </w:tcPr>
          <w:p w14:paraId="27EE1F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99</w:t>
            </w:r>
          </w:p>
        </w:tc>
        <w:tc>
          <w:tcPr>
            <w:tcW w:w="1878" w:type="dxa"/>
          </w:tcPr>
          <w:p w14:paraId="7541484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w:t>
            </w:r>
          </w:p>
        </w:tc>
        <w:tc>
          <w:tcPr>
            <w:tcW w:w="1878" w:type="dxa"/>
          </w:tcPr>
          <w:p w14:paraId="647F7B6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167</w:t>
            </w:r>
          </w:p>
        </w:tc>
        <w:tc>
          <w:tcPr>
            <w:tcW w:w="1878" w:type="dxa"/>
          </w:tcPr>
          <w:p w14:paraId="09ADF88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184</w:t>
            </w:r>
          </w:p>
        </w:tc>
        <w:tc>
          <w:tcPr>
            <w:tcW w:w="1878" w:type="dxa"/>
          </w:tcPr>
          <w:p w14:paraId="72254D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110.2</w:t>
            </w:r>
          </w:p>
        </w:tc>
      </w:tr>
      <w:tr w:rsidR="00CB5308" w:rsidRPr="00070ADE" w14:paraId="32FDDA12" w14:textId="77777777">
        <w:tc>
          <w:tcPr>
            <w:tcW w:w="1878" w:type="dxa"/>
          </w:tcPr>
          <w:p w14:paraId="341DE5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381</w:t>
            </w:r>
          </w:p>
        </w:tc>
        <w:tc>
          <w:tcPr>
            <w:tcW w:w="1878" w:type="dxa"/>
          </w:tcPr>
          <w:p w14:paraId="7A04C7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w:t>
            </w:r>
          </w:p>
        </w:tc>
        <w:tc>
          <w:tcPr>
            <w:tcW w:w="1878" w:type="dxa"/>
          </w:tcPr>
          <w:p w14:paraId="2476B7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428</w:t>
            </w:r>
          </w:p>
        </w:tc>
        <w:tc>
          <w:tcPr>
            <w:tcW w:w="1878" w:type="dxa"/>
          </w:tcPr>
          <w:p w14:paraId="796F379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239</w:t>
            </w:r>
          </w:p>
        </w:tc>
        <w:tc>
          <w:tcPr>
            <w:tcW w:w="1878" w:type="dxa"/>
          </w:tcPr>
          <w:p w14:paraId="3AB453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55.8</w:t>
            </w:r>
          </w:p>
        </w:tc>
      </w:tr>
      <w:tr w:rsidR="00CB5308" w:rsidRPr="00070ADE" w14:paraId="597C4526" w14:textId="77777777">
        <w:tc>
          <w:tcPr>
            <w:tcW w:w="1878" w:type="dxa"/>
          </w:tcPr>
          <w:p w14:paraId="4FA3BE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w:t>
            </w:r>
          </w:p>
        </w:tc>
        <w:tc>
          <w:tcPr>
            <w:tcW w:w="1878" w:type="dxa"/>
          </w:tcPr>
          <w:p w14:paraId="57DF80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w:t>
            </w:r>
          </w:p>
        </w:tc>
        <w:tc>
          <w:tcPr>
            <w:tcW w:w="1878" w:type="dxa"/>
          </w:tcPr>
          <w:p w14:paraId="343E89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78" w:type="dxa"/>
          </w:tcPr>
          <w:p w14:paraId="5E24EC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1878" w:type="dxa"/>
          </w:tcPr>
          <w:p w14:paraId="49A1A6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CE17396" w14:textId="77777777">
        <w:tc>
          <w:tcPr>
            <w:tcW w:w="1878" w:type="dxa"/>
          </w:tcPr>
          <w:p w14:paraId="0F75B0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10C74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ЛаГГ-3</w:t>
            </w:r>
          </w:p>
        </w:tc>
        <w:tc>
          <w:tcPr>
            <w:tcW w:w="1878" w:type="dxa"/>
          </w:tcPr>
          <w:p w14:paraId="45EAA0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1111</w:t>
            </w:r>
          </w:p>
        </w:tc>
        <w:tc>
          <w:tcPr>
            <w:tcW w:w="1878" w:type="dxa"/>
          </w:tcPr>
          <w:p w14:paraId="550979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1065</w:t>
            </w:r>
          </w:p>
        </w:tc>
        <w:tc>
          <w:tcPr>
            <w:tcW w:w="1878" w:type="dxa"/>
          </w:tcPr>
          <w:p w14:paraId="6781E2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96.3</w:t>
            </w:r>
          </w:p>
        </w:tc>
      </w:tr>
      <w:tr w:rsidR="00CB5308" w:rsidRPr="00070ADE" w14:paraId="6A6FD739" w14:textId="77777777">
        <w:tc>
          <w:tcPr>
            <w:tcW w:w="1878" w:type="dxa"/>
          </w:tcPr>
          <w:p w14:paraId="701C4D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w:t>
            </w:r>
          </w:p>
        </w:tc>
        <w:tc>
          <w:tcPr>
            <w:tcW w:w="1878" w:type="dxa"/>
          </w:tcPr>
          <w:p w14:paraId="08E5A6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Як-7</w:t>
            </w:r>
          </w:p>
        </w:tc>
        <w:tc>
          <w:tcPr>
            <w:tcW w:w="1878" w:type="dxa"/>
          </w:tcPr>
          <w:p w14:paraId="6D2DB7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703</w:t>
            </w:r>
          </w:p>
        </w:tc>
        <w:tc>
          <w:tcPr>
            <w:tcW w:w="1878" w:type="dxa"/>
          </w:tcPr>
          <w:p w14:paraId="0DEA58C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640</w:t>
            </w:r>
          </w:p>
        </w:tc>
        <w:tc>
          <w:tcPr>
            <w:tcW w:w="1878" w:type="dxa"/>
          </w:tcPr>
          <w:p w14:paraId="725CBA9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w:t>
            </w:r>
          </w:p>
        </w:tc>
      </w:tr>
      <w:tr w:rsidR="00CB5308" w:rsidRPr="00070ADE" w14:paraId="5C5B4CF0" w14:textId="77777777">
        <w:tc>
          <w:tcPr>
            <w:tcW w:w="1878" w:type="dxa"/>
          </w:tcPr>
          <w:p w14:paraId="5FA09CE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153</w:t>
            </w:r>
          </w:p>
        </w:tc>
        <w:tc>
          <w:tcPr>
            <w:tcW w:w="1878" w:type="dxa"/>
          </w:tcPr>
          <w:p w14:paraId="2FB0BCD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Як-7</w:t>
            </w:r>
          </w:p>
        </w:tc>
        <w:tc>
          <w:tcPr>
            <w:tcW w:w="1878" w:type="dxa"/>
          </w:tcPr>
          <w:p w14:paraId="2A4932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2531</w:t>
            </w:r>
          </w:p>
        </w:tc>
        <w:tc>
          <w:tcPr>
            <w:tcW w:w="1878" w:type="dxa"/>
          </w:tcPr>
          <w:p w14:paraId="5533E8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2656</w:t>
            </w:r>
          </w:p>
        </w:tc>
        <w:tc>
          <w:tcPr>
            <w:tcW w:w="1878" w:type="dxa"/>
          </w:tcPr>
          <w:p w14:paraId="43778C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104.9</w:t>
            </w:r>
          </w:p>
        </w:tc>
      </w:tr>
      <w:tr w:rsidR="00CB5308" w:rsidRPr="00070ADE" w14:paraId="5DCA6AF4" w14:textId="77777777">
        <w:tc>
          <w:tcPr>
            <w:tcW w:w="1878" w:type="dxa"/>
          </w:tcPr>
          <w:p w14:paraId="35A379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B77A1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w:t>
            </w:r>
          </w:p>
        </w:tc>
        <w:tc>
          <w:tcPr>
            <w:tcW w:w="1878" w:type="dxa"/>
          </w:tcPr>
          <w:p w14:paraId="1784FC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1876</w:t>
            </w:r>
          </w:p>
        </w:tc>
        <w:tc>
          <w:tcPr>
            <w:tcW w:w="1878" w:type="dxa"/>
          </w:tcPr>
          <w:p w14:paraId="63CCD6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1761</w:t>
            </w:r>
          </w:p>
        </w:tc>
        <w:tc>
          <w:tcPr>
            <w:tcW w:w="1878" w:type="dxa"/>
          </w:tcPr>
          <w:p w14:paraId="4449C9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93.9</w:t>
            </w:r>
          </w:p>
        </w:tc>
      </w:tr>
      <w:tr w:rsidR="00CB5308" w:rsidRPr="00070ADE" w14:paraId="69314EEB" w14:textId="77777777">
        <w:tc>
          <w:tcPr>
            <w:tcW w:w="1878" w:type="dxa"/>
          </w:tcPr>
          <w:p w14:paraId="3975F79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878" w:type="dxa"/>
          </w:tcPr>
          <w:p w14:paraId="7DA769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1A7C40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4407</w:t>
            </w:r>
          </w:p>
        </w:tc>
        <w:tc>
          <w:tcPr>
            <w:tcW w:w="1878" w:type="dxa"/>
          </w:tcPr>
          <w:p w14:paraId="2BBA50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4417</w:t>
            </w:r>
          </w:p>
        </w:tc>
        <w:tc>
          <w:tcPr>
            <w:tcW w:w="1878" w:type="dxa"/>
          </w:tcPr>
          <w:p w14:paraId="259F3E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100.2</w:t>
            </w:r>
          </w:p>
        </w:tc>
      </w:tr>
      <w:tr w:rsidR="00CB5308" w:rsidRPr="00070ADE" w14:paraId="67465AE1" w14:textId="77777777">
        <w:tc>
          <w:tcPr>
            <w:tcW w:w="1878" w:type="dxa"/>
          </w:tcPr>
          <w:p w14:paraId="23AD77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166</w:t>
            </w:r>
          </w:p>
        </w:tc>
        <w:tc>
          <w:tcPr>
            <w:tcW w:w="1878" w:type="dxa"/>
          </w:tcPr>
          <w:p w14:paraId="50C758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 М-105</w:t>
            </w:r>
          </w:p>
        </w:tc>
        <w:tc>
          <w:tcPr>
            <w:tcW w:w="1878" w:type="dxa"/>
          </w:tcPr>
          <w:p w14:paraId="0A9A62C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721</w:t>
            </w:r>
          </w:p>
        </w:tc>
        <w:tc>
          <w:tcPr>
            <w:tcW w:w="1878" w:type="dxa"/>
          </w:tcPr>
          <w:p w14:paraId="5FCBCB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721</w:t>
            </w:r>
          </w:p>
        </w:tc>
        <w:tc>
          <w:tcPr>
            <w:tcW w:w="1878" w:type="dxa"/>
          </w:tcPr>
          <w:p w14:paraId="28412C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r>
      <w:tr w:rsidR="00CB5308" w:rsidRPr="00070ADE" w14:paraId="75616B5D" w14:textId="77777777">
        <w:tc>
          <w:tcPr>
            <w:tcW w:w="1878" w:type="dxa"/>
          </w:tcPr>
          <w:p w14:paraId="11195D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152D89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 М-107А</w:t>
            </w:r>
          </w:p>
        </w:tc>
        <w:tc>
          <w:tcPr>
            <w:tcW w:w="1878" w:type="dxa"/>
          </w:tcPr>
          <w:p w14:paraId="0EF93BE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w:t>
            </w:r>
          </w:p>
        </w:tc>
        <w:tc>
          <w:tcPr>
            <w:tcW w:w="1878" w:type="dxa"/>
          </w:tcPr>
          <w:p w14:paraId="0A7C84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1878" w:type="dxa"/>
          </w:tcPr>
          <w:p w14:paraId="65EAA2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22.4</w:t>
            </w:r>
          </w:p>
        </w:tc>
      </w:tr>
      <w:tr w:rsidR="00CB5308" w:rsidRPr="00070ADE" w14:paraId="60251E34" w14:textId="77777777">
        <w:tc>
          <w:tcPr>
            <w:tcW w:w="1878" w:type="dxa"/>
          </w:tcPr>
          <w:p w14:paraId="3560D7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F3C22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Ту-2</w:t>
            </w:r>
          </w:p>
        </w:tc>
        <w:tc>
          <w:tcPr>
            <w:tcW w:w="1878" w:type="dxa"/>
          </w:tcPr>
          <w:p w14:paraId="21122B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78" w:type="dxa"/>
          </w:tcPr>
          <w:p w14:paraId="5122C9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1878" w:type="dxa"/>
          </w:tcPr>
          <w:p w14:paraId="3E9E76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CB5308" w:rsidRPr="00070ADE" w14:paraId="18BEAE91" w14:textId="77777777">
        <w:tc>
          <w:tcPr>
            <w:tcW w:w="1878" w:type="dxa"/>
          </w:tcPr>
          <w:p w14:paraId="0B04A6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878" w:type="dxa"/>
          </w:tcPr>
          <w:p w14:paraId="4C7569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F61FE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770</w:t>
            </w:r>
          </w:p>
        </w:tc>
        <w:tc>
          <w:tcPr>
            <w:tcW w:w="1878" w:type="dxa"/>
          </w:tcPr>
          <w:p w14:paraId="7D5F44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733</w:t>
            </w:r>
          </w:p>
        </w:tc>
        <w:tc>
          <w:tcPr>
            <w:tcW w:w="1878" w:type="dxa"/>
          </w:tcPr>
          <w:p w14:paraId="4AD2EC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95.2</w:t>
            </w:r>
          </w:p>
        </w:tc>
      </w:tr>
      <w:tr w:rsidR="00CB5308" w:rsidRPr="00070ADE" w14:paraId="280C2A8C" w14:textId="77777777">
        <w:tc>
          <w:tcPr>
            <w:tcW w:w="1878" w:type="dxa"/>
          </w:tcPr>
          <w:p w14:paraId="663BBD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292</w:t>
            </w:r>
          </w:p>
        </w:tc>
        <w:tc>
          <w:tcPr>
            <w:tcW w:w="1878" w:type="dxa"/>
          </w:tcPr>
          <w:p w14:paraId="1CE3B2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Як-1</w:t>
            </w:r>
          </w:p>
        </w:tc>
        <w:tc>
          <w:tcPr>
            <w:tcW w:w="1878" w:type="dxa"/>
          </w:tcPr>
          <w:p w14:paraId="6630736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2535</w:t>
            </w:r>
          </w:p>
        </w:tc>
        <w:tc>
          <w:tcPr>
            <w:tcW w:w="1878" w:type="dxa"/>
          </w:tcPr>
          <w:p w14:paraId="6BC91D1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2720</w:t>
            </w:r>
          </w:p>
        </w:tc>
        <w:tc>
          <w:tcPr>
            <w:tcW w:w="1878" w:type="dxa"/>
          </w:tcPr>
          <w:p w14:paraId="1D6E35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107.3</w:t>
            </w:r>
          </w:p>
        </w:tc>
      </w:tr>
      <w:tr w:rsidR="00CB5308" w:rsidRPr="00070ADE" w14:paraId="1901410E" w14:textId="77777777">
        <w:tc>
          <w:tcPr>
            <w:tcW w:w="1878" w:type="dxa"/>
          </w:tcPr>
          <w:p w14:paraId="75C8F4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155</w:t>
            </w:r>
          </w:p>
        </w:tc>
        <w:tc>
          <w:tcPr>
            <w:tcW w:w="1878" w:type="dxa"/>
          </w:tcPr>
          <w:p w14:paraId="394B7E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МиГ-3</w:t>
            </w:r>
          </w:p>
        </w:tc>
        <w:tc>
          <w:tcPr>
            <w:tcW w:w="1878" w:type="dxa"/>
          </w:tcPr>
          <w:p w14:paraId="2039D6E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78" w:type="dxa"/>
          </w:tcPr>
          <w:p w14:paraId="65F5F7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1878" w:type="dxa"/>
          </w:tcPr>
          <w:p w14:paraId="282470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CB5308" w:rsidRPr="00070ADE" w14:paraId="6422516F" w14:textId="77777777">
        <w:tc>
          <w:tcPr>
            <w:tcW w:w="1878" w:type="dxa"/>
          </w:tcPr>
          <w:p w14:paraId="60297F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878" w:type="dxa"/>
          </w:tcPr>
          <w:p w14:paraId="331C24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9AF02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14352</w:t>
            </w:r>
          </w:p>
        </w:tc>
        <w:tc>
          <w:tcPr>
            <w:tcW w:w="1878" w:type="dxa"/>
          </w:tcPr>
          <w:p w14:paraId="29FA27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14627</w:t>
            </w:r>
          </w:p>
        </w:tc>
        <w:tc>
          <w:tcPr>
            <w:tcW w:w="1878" w:type="dxa"/>
          </w:tcPr>
          <w:p w14:paraId="7CD721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101.9</w:t>
            </w:r>
          </w:p>
        </w:tc>
      </w:tr>
      <w:tr w:rsidR="00CB5308" w:rsidRPr="00070ADE" w14:paraId="41BEEDB6" w14:textId="77777777">
        <w:tc>
          <w:tcPr>
            <w:tcW w:w="1878" w:type="dxa"/>
          </w:tcPr>
          <w:p w14:paraId="139B05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1878" w:type="dxa"/>
          </w:tcPr>
          <w:p w14:paraId="3D2891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w:t>
            </w:r>
          </w:p>
        </w:tc>
        <w:tc>
          <w:tcPr>
            <w:tcW w:w="1878" w:type="dxa"/>
          </w:tcPr>
          <w:p w14:paraId="585B27B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4169</w:t>
            </w:r>
          </w:p>
        </w:tc>
        <w:tc>
          <w:tcPr>
            <w:tcW w:w="1878" w:type="dxa"/>
          </w:tcPr>
          <w:p w14:paraId="3C1065A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4257</w:t>
            </w:r>
          </w:p>
        </w:tc>
        <w:tc>
          <w:tcPr>
            <w:tcW w:w="1878" w:type="dxa"/>
          </w:tcPr>
          <w:p w14:paraId="5C18E2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102.1</w:t>
            </w:r>
          </w:p>
        </w:tc>
      </w:tr>
      <w:tr w:rsidR="00CB5308" w:rsidRPr="00070ADE" w14:paraId="663B73B6" w14:textId="77777777">
        <w:tc>
          <w:tcPr>
            <w:tcW w:w="1878" w:type="dxa"/>
          </w:tcPr>
          <w:p w14:paraId="54B227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w:t>
            </w:r>
          </w:p>
        </w:tc>
        <w:tc>
          <w:tcPr>
            <w:tcW w:w="1878" w:type="dxa"/>
          </w:tcPr>
          <w:p w14:paraId="519F3E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w:t>
            </w:r>
          </w:p>
        </w:tc>
        <w:tc>
          <w:tcPr>
            <w:tcW w:w="1878" w:type="dxa"/>
          </w:tcPr>
          <w:p w14:paraId="653E5B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4541</w:t>
            </w:r>
          </w:p>
        </w:tc>
        <w:tc>
          <w:tcPr>
            <w:tcW w:w="1878" w:type="dxa"/>
          </w:tcPr>
          <w:p w14:paraId="245570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4702</w:t>
            </w:r>
          </w:p>
        </w:tc>
        <w:tc>
          <w:tcPr>
            <w:tcW w:w="1878" w:type="dxa"/>
          </w:tcPr>
          <w:p w14:paraId="7CDA85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103.5</w:t>
            </w:r>
          </w:p>
        </w:tc>
      </w:tr>
      <w:tr w:rsidR="00CB5308" w:rsidRPr="00070ADE" w14:paraId="29BB1986" w14:textId="77777777">
        <w:tc>
          <w:tcPr>
            <w:tcW w:w="1878" w:type="dxa"/>
          </w:tcPr>
          <w:p w14:paraId="11D304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tc>
        <w:tc>
          <w:tcPr>
            <w:tcW w:w="1878" w:type="dxa"/>
          </w:tcPr>
          <w:p w14:paraId="674E64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w:t>
            </w:r>
          </w:p>
        </w:tc>
        <w:tc>
          <w:tcPr>
            <w:tcW w:w="1878" w:type="dxa"/>
          </w:tcPr>
          <w:p w14:paraId="457241D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2271</w:t>
            </w:r>
          </w:p>
        </w:tc>
        <w:tc>
          <w:tcPr>
            <w:tcW w:w="1878" w:type="dxa"/>
          </w:tcPr>
          <w:p w14:paraId="4B53B50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2234</w:t>
            </w:r>
          </w:p>
        </w:tc>
        <w:tc>
          <w:tcPr>
            <w:tcW w:w="1878" w:type="dxa"/>
          </w:tcPr>
          <w:p w14:paraId="6555DA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98.4</w:t>
            </w:r>
          </w:p>
        </w:tc>
      </w:tr>
      <w:tr w:rsidR="00CB5308" w:rsidRPr="00070ADE" w14:paraId="7FDB1299" w14:textId="77777777">
        <w:tc>
          <w:tcPr>
            <w:tcW w:w="1878" w:type="dxa"/>
          </w:tcPr>
          <w:p w14:paraId="09CEE21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878" w:type="dxa"/>
          </w:tcPr>
          <w:p w14:paraId="60C4D0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98606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10891</w:t>
            </w:r>
          </w:p>
        </w:tc>
        <w:tc>
          <w:tcPr>
            <w:tcW w:w="1878" w:type="dxa"/>
          </w:tcPr>
          <w:p w14:paraId="25A37A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11193</w:t>
            </w:r>
          </w:p>
        </w:tc>
        <w:tc>
          <w:tcPr>
            <w:tcW w:w="1878" w:type="dxa"/>
          </w:tcPr>
          <w:p w14:paraId="0BA97A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101.9</w:t>
            </w:r>
          </w:p>
        </w:tc>
      </w:tr>
      <w:tr w:rsidR="00CB5308" w:rsidRPr="00070ADE" w14:paraId="1AA7EA4A" w14:textId="77777777">
        <w:tc>
          <w:tcPr>
            <w:tcW w:w="1878" w:type="dxa"/>
          </w:tcPr>
          <w:p w14:paraId="12657F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w:t>
            </w:r>
          </w:p>
        </w:tc>
        <w:tc>
          <w:tcPr>
            <w:tcW w:w="1878" w:type="dxa"/>
          </w:tcPr>
          <w:p w14:paraId="5ACADF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w:t>
            </w:r>
          </w:p>
        </w:tc>
        <w:tc>
          <w:tcPr>
            <w:tcW w:w="1878" w:type="dxa"/>
          </w:tcPr>
          <w:p w14:paraId="33DD67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2371</w:t>
            </w:r>
          </w:p>
        </w:tc>
        <w:tc>
          <w:tcPr>
            <w:tcW w:w="1878" w:type="dxa"/>
          </w:tcPr>
          <w:p w14:paraId="4FE5B8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2423</w:t>
            </w:r>
          </w:p>
        </w:tc>
        <w:tc>
          <w:tcPr>
            <w:tcW w:w="1878" w:type="dxa"/>
          </w:tcPr>
          <w:p w14:paraId="3ADBBB2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102.2</w:t>
            </w:r>
          </w:p>
        </w:tc>
      </w:tr>
      <w:tr w:rsidR="00CB5308" w:rsidRPr="00070ADE" w14:paraId="48E04C6E" w14:textId="77777777">
        <w:tc>
          <w:tcPr>
            <w:tcW w:w="1878" w:type="dxa"/>
          </w:tcPr>
          <w:p w14:paraId="36D3DCE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8CEFA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Пе-8</w:t>
            </w:r>
          </w:p>
        </w:tc>
        <w:tc>
          <w:tcPr>
            <w:tcW w:w="1878" w:type="dxa"/>
          </w:tcPr>
          <w:p w14:paraId="376D56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w:t>
            </w:r>
          </w:p>
        </w:tc>
        <w:tc>
          <w:tcPr>
            <w:tcW w:w="1878" w:type="dxa"/>
          </w:tcPr>
          <w:p w14:paraId="78AD565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w:t>
            </w:r>
          </w:p>
        </w:tc>
        <w:tc>
          <w:tcPr>
            <w:tcW w:w="1878" w:type="dxa"/>
          </w:tcPr>
          <w:p w14:paraId="2CD6D61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90.6</w:t>
            </w:r>
          </w:p>
        </w:tc>
      </w:tr>
      <w:tr w:rsidR="00CB5308" w:rsidRPr="00070ADE" w14:paraId="79A10F89" w14:textId="77777777">
        <w:tc>
          <w:tcPr>
            <w:tcW w:w="1878" w:type="dxa"/>
          </w:tcPr>
          <w:p w14:paraId="5FE0FF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878" w:type="dxa"/>
          </w:tcPr>
          <w:p w14:paraId="55B71F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D3F71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2403</w:t>
            </w:r>
          </w:p>
        </w:tc>
        <w:tc>
          <w:tcPr>
            <w:tcW w:w="1878" w:type="dxa"/>
          </w:tcPr>
          <w:p w14:paraId="35FE71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2452</w:t>
            </w:r>
          </w:p>
        </w:tc>
        <w:tc>
          <w:tcPr>
            <w:tcW w:w="1878" w:type="dxa"/>
          </w:tcPr>
          <w:p w14:paraId="7D5D26A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w:t>
            </w:r>
          </w:p>
        </w:tc>
      </w:tr>
      <w:tr w:rsidR="00CB5308" w:rsidRPr="00070ADE" w14:paraId="113D1826" w14:textId="77777777">
        <w:tc>
          <w:tcPr>
            <w:tcW w:w="1878" w:type="dxa"/>
          </w:tcPr>
          <w:p w14:paraId="32DDFB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w:t>
            </w:r>
          </w:p>
        </w:tc>
        <w:tc>
          <w:tcPr>
            <w:tcW w:w="1878" w:type="dxa"/>
          </w:tcPr>
          <w:p w14:paraId="0908F3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Ил-4</w:t>
            </w:r>
          </w:p>
        </w:tc>
        <w:tc>
          <w:tcPr>
            <w:tcW w:w="1878" w:type="dxa"/>
          </w:tcPr>
          <w:p w14:paraId="37659E6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240</w:t>
            </w:r>
          </w:p>
        </w:tc>
        <w:tc>
          <w:tcPr>
            <w:tcW w:w="1878" w:type="dxa"/>
          </w:tcPr>
          <w:p w14:paraId="507995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257</w:t>
            </w:r>
          </w:p>
        </w:tc>
        <w:tc>
          <w:tcPr>
            <w:tcW w:w="1878" w:type="dxa"/>
          </w:tcPr>
          <w:p w14:paraId="637B6E2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107.1</w:t>
            </w:r>
          </w:p>
        </w:tc>
      </w:tr>
      <w:tr w:rsidR="00CB5308" w:rsidRPr="00070ADE" w14:paraId="3C0F3829" w14:textId="77777777">
        <w:tc>
          <w:tcPr>
            <w:tcW w:w="1878" w:type="dxa"/>
          </w:tcPr>
          <w:p w14:paraId="6FD41E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7AAC2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Ту-2</w:t>
            </w:r>
          </w:p>
        </w:tc>
        <w:tc>
          <w:tcPr>
            <w:tcW w:w="1878" w:type="dxa"/>
          </w:tcPr>
          <w:p w14:paraId="2CEF8E6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w:t>
            </w:r>
          </w:p>
        </w:tc>
        <w:tc>
          <w:tcPr>
            <w:tcW w:w="1878" w:type="dxa"/>
          </w:tcPr>
          <w:p w14:paraId="7D36E1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tc>
        <w:tc>
          <w:tcPr>
            <w:tcW w:w="1878" w:type="dxa"/>
          </w:tcPr>
          <w:p w14:paraId="3D7E946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r>
      <w:tr w:rsidR="00CB5308" w:rsidRPr="00070ADE" w14:paraId="34F01C5D" w14:textId="77777777">
        <w:tc>
          <w:tcPr>
            <w:tcW w:w="1878" w:type="dxa"/>
          </w:tcPr>
          <w:p w14:paraId="2EEA5E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878" w:type="dxa"/>
          </w:tcPr>
          <w:p w14:paraId="70364E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E740D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w:t>
            </w:r>
          </w:p>
        </w:tc>
        <w:tc>
          <w:tcPr>
            <w:tcW w:w="1878" w:type="dxa"/>
          </w:tcPr>
          <w:p w14:paraId="752C12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273</w:t>
            </w:r>
          </w:p>
        </w:tc>
        <w:tc>
          <w:tcPr>
            <w:tcW w:w="1878" w:type="dxa"/>
          </w:tcPr>
          <w:p w14:paraId="36C1694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100.4</w:t>
            </w:r>
          </w:p>
        </w:tc>
      </w:tr>
      <w:tr w:rsidR="00CB5308" w:rsidRPr="00070ADE" w14:paraId="63ABC57B" w14:textId="77777777">
        <w:tc>
          <w:tcPr>
            <w:tcW w:w="1878" w:type="dxa"/>
          </w:tcPr>
          <w:p w14:paraId="7A7CDA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w:t>
            </w:r>
          </w:p>
        </w:tc>
        <w:tc>
          <w:tcPr>
            <w:tcW w:w="1878" w:type="dxa"/>
          </w:tcPr>
          <w:p w14:paraId="22CE9C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Ер-2</w:t>
            </w:r>
          </w:p>
        </w:tc>
        <w:tc>
          <w:tcPr>
            <w:tcW w:w="1878" w:type="dxa"/>
          </w:tcPr>
          <w:p w14:paraId="6B438D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1878" w:type="dxa"/>
          </w:tcPr>
          <w:p w14:paraId="19978D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1878" w:type="dxa"/>
          </w:tcPr>
          <w:p w14:paraId="661F8E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r>
      <w:tr w:rsidR="00CB5308" w:rsidRPr="00070ADE" w14:paraId="6F9ECF25" w14:textId="77777777">
        <w:tc>
          <w:tcPr>
            <w:tcW w:w="1878" w:type="dxa"/>
          </w:tcPr>
          <w:p w14:paraId="4FC3E3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90969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Ил-4</w:t>
            </w:r>
          </w:p>
        </w:tc>
        <w:tc>
          <w:tcPr>
            <w:tcW w:w="1878" w:type="dxa"/>
          </w:tcPr>
          <w:p w14:paraId="692159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667</w:t>
            </w:r>
          </w:p>
        </w:tc>
        <w:tc>
          <w:tcPr>
            <w:tcW w:w="1878" w:type="dxa"/>
          </w:tcPr>
          <w:p w14:paraId="3F8667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698</w:t>
            </w:r>
          </w:p>
        </w:tc>
        <w:tc>
          <w:tcPr>
            <w:tcW w:w="1878" w:type="dxa"/>
          </w:tcPr>
          <w:p w14:paraId="2231E80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104.6</w:t>
            </w:r>
          </w:p>
        </w:tc>
      </w:tr>
      <w:tr w:rsidR="00CB5308" w:rsidRPr="00070ADE" w14:paraId="0B9302E0" w14:textId="77777777">
        <w:tc>
          <w:tcPr>
            <w:tcW w:w="1878" w:type="dxa"/>
          </w:tcPr>
          <w:p w14:paraId="3A7DBBA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49496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w:t>
            </w:r>
          </w:p>
        </w:tc>
        <w:tc>
          <w:tcPr>
            <w:tcW w:w="1878" w:type="dxa"/>
          </w:tcPr>
          <w:p w14:paraId="536C61A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78" w:type="dxa"/>
          </w:tcPr>
          <w:p w14:paraId="7FEBBE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1878" w:type="dxa"/>
          </w:tcPr>
          <w:p w14:paraId="11FBFFD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CB5308" w:rsidRPr="00070ADE" w14:paraId="5E31F483" w14:textId="77777777">
        <w:tc>
          <w:tcPr>
            <w:tcW w:w="1878" w:type="dxa"/>
          </w:tcPr>
          <w:p w14:paraId="21E1F3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43777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Пе-3Б</w:t>
            </w:r>
          </w:p>
        </w:tc>
        <w:tc>
          <w:tcPr>
            <w:tcW w:w="1878" w:type="dxa"/>
          </w:tcPr>
          <w:p w14:paraId="0EE3A7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78" w:type="dxa"/>
          </w:tcPr>
          <w:p w14:paraId="4E9256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tc>
        <w:tc>
          <w:tcPr>
            <w:tcW w:w="1878" w:type="dxa"/>
          </w:tcPr>
          <w:p w14:paraId="5EFAFF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CB5308" w:rsidRPr="00070ADE" w14:paraId="26D5F7EB" w14:textId="77777777">
        <w:tc>
          <w:tcPr>
            <w:tcW w:w="1878" w:type="dxa"/>
          </w:tcPr>
          <w:p w14:paraId="3D7E33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878" w:type="dxa"/>
          </w:tcPr>
          <w:p w14:paraId="2D824E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B050D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669</w:t>
            </w:r>
          </w:p>
        </w:tc>
        <w:tc>
          <w:tcPr>
            <w:tcW w:w="1878" w:type="dxa"/>
          </w:tcPr>
          <w:p w14:paraId="0BDACE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718</w:t>
            </w:r>
          </w:p>
        </w:tc>
        <w:tc>
          <w:tcPr>
            <w:tcW w:w="1878" w:type="dxa"/>
          </w:tcPr>
          <w:p w14:paraId="64302A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107.3</w:t>
            </w:r>
          </w:p>
        </w:tc>
      </w:tr>
      <w:tr w:rsidR="00CB5308" w:rsidRPr="00070ADE" w14:paraId="7E9379A7" w14:textId="77777777">
        <w:tc>
          <w:tcPr>
            <w:tcW w:w="1878" w:type="dxa"/>
          </w:tcPr>
          <w:p w14:paraId="7994CC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w:t>
            </w:r>
          </w:p>
        </w:tc>
        <w:tc>
          <w:tcPr>
            <w:tcW w:w="1878" w:type="dxa"/>
          </w:tcPr>
          <w:p w14:paraId="5C8204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Ил-4</w:t>
            </w:r>
          </w:p>
        </w:tc>
        <w:tc>
          <w:tcPr>
            <w:tcW w:w="1878" w:type="dxa"/>
          </w:tcPr>
          <w:p w14:paraId="02EA10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604</w:t>
            </w:r>
          </w:p>
        </w:tc>
        <w:tc>
          <w:tcPr>
            <w:tcW w:w="1878" w:type="dxa"/>
          </w:tcPr>
          <w:p w14:paraId="6889AA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613</w:t>
            </w:r>
          </w:p>
        </w:tc>
        <w:tc>
          <w:tcPr>
            <w:tcW w:w="1878" w:type="dxa"/>
          </w:tcPr>
          <w:p w14:paraId="044C4F8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101.5</w:t>
            </w:r>
          </w:p>
        </w:tc>
      </w:tr>
      <w:tr w:rsidR="00CB5308" w:rsidRPr="00070ADE" w14:paraId="2B018B01" w14:textId="77777777">
        <w:tc>
          <w:tcPr>
            <w:tcW w:w="1878" w:type="dxa"/>
          </w:tcPr>
          <w:p w14:paraId="7AAF01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878" w:type="dxa"/>
          </w:tcPr>
          <w:p w14:paraId="26E481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74D5F2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3948</w:t>
            </w:r>
          </w:p>
        </w:tc>
        <w:tc>
          <w:tcPr>
            <w:tcW w:w="1878" w:type="dxa"/>
          </w:tcPr>
          <w:p w14:paraId="5E47D2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4057</w:t>
            </w:r>
          </w:p>
        </w:tc>
        <w:tc>
          <w:tcPr>
            <w:tcW w:w="1878" w:type="dxa"/>
          </w:tcPr>
          <w:p w14:paraId="046829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102.8</w:t>
            </w:r>
          </w:p>
        </w:tc>
      </w:tr>
      <w:tr w:rsidR="00CB5308" w:rsidRPr="00070ADE" w14:paraId="5248386E" w14:textId="77777777">
        <w:tc>
          <w:tcPr>
            <w:tcW w:w="1878" w:type="dxa"/>
          </w:tcPr>
          <w:p w14:paraId="753E7A6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878" w:type="dxa"/>
          </w:tcPr>
          <w:p w14:paraId="78EAC7D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20157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29281</w:t>
            </w:r>
          </w:p>
        </w:tc>
        <w:tc>
          <w:tcPr>
            <w:tcW w:w="1878" w:type="dxa"/>
          </w:tcPr>
          <w:p w14:paraId="68940A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29877</w:t>
            </w:r>
          </w:p>
        </w:tc>
        <w:tc>
          <w:tcPr>
            <w:tcW w:w="1878" w:type="dxa"/>
          </w:tcPr>
          <w:p w14:paraId="1261F03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w:t>
            </w:r>
          </w:p>
        </w:tc>
      </w:tr>
      <w:tr w:rsidR="00CB5308" w:rsidRPr="00070ADE" w14:paraId="034B749C" w14:textId="77777777">
        <w:tc>
          <w:tcPr>
            <w:tcW w:w="1878" w:type="dxa"/>
          </w:tcPr>
          <w:p w14:paraId="37A9A9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84</w:t>
            </w:r>
          </w:p>
        </w:tc>
        <w:tc>
          <w:tcPr>
            <w:tcW w:w="1878" w:type="dxa"/>
          </w:tcPr>
          <w:p w14:paraId="02D3CA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Ли-2</w:t>
            </w:r>
          </w:p>
        </w:tc>
        <w:tc>
          <w:tcPr>
            <w:tcW w:w="1878" w:type="dxa"/>
          </w:tcPr>
          <w:p w14:paraId="1216F4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584</w:t>
            </w:r>
          </w:p>
        </w:tc>
        <w:tc>
          <w:tcPr>
            <w:tcW w:w="1878" w:type="dxa"/>
          </w:tcPr>
          <w:p w14:paraId="15A64C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618</w:t>
            </w:r>
          </w:p>
        </w:tc>
        <w:tc>
          <w:tcPr>
            <w:tcW w:w="1878" w:type="dxa"/>
          </w:tcPr>
          <w:p w14:paraId="27D7224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105.8</w:t>
            </w:r>
          </w:p>
        </w:tc>
      </w:tr>
      <w:tr w:rsidR="00CB5308" w:rsidRPr="00070ADE" w14:paraId="03B9F1D3" w14:textId="77777777">
        <w:tc>
          <w:tcPr>
            <w:tcW w:w="1878" w:type="dxa"/>
          </w:tcPr>
          <w:p w14:paraId="00C544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w:t>
            </w:r>
          </w:p>
        </w:tc>
        <w:tc>
          <w:tcPr>
            <w:tcW w:w="1878" w:type="dxa"/>
          </w:tcPr>
          <w:p w14:paraId="2AE506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Ще-2</w:t>
            </w:r>
          </w:p>
        </w:tc>
        <w:tc>
          <w:tcPr>
            <w:tcW w:w="1878" w:type="dxa"/>
          </w:tcPr>
          <w:p w14:paraId="2F24718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1878" w:type="dxa"/>
          </w:tcPr>
          <w:p w14:paraId="242544C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78" w:type="dxa"/>
          </w:tcPr>
          <w:p w14:paraId="44CCE6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CB5308" w:rsidRPr="00070ADE" w14:paraId="239CC02D" w14:textId="77777777">
        <w:tc>
          <w:tcPr>
            <w:tcW w:w="1878" w:type="dxa"/>
          </w:tcPr>
          <w:p w14:paraId="0F7ED0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F06C0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Як-6</w:t>
            </w:r>
          </w:p>
        </w:tc>
        <w:tc>
          <w:tcPr>
            <w:tcW w:w="1878" w:type="dxa"/>
          </w:tcPr>
          <w:p w14:paraId="110FCA8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242</w:t>
            </w:r>
          </w:p>
        </w:tc>
        <w:tc>
          <w:tcPr>
            <w:tcW w:w="1878" w:type="dxa"/>
          </w:tcPr>
          <w:p w14:paraId="25DA06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224</w:t>
            </w:r>
          </w:p>
        </w:tc>
        <w:tc>
          <w:tcPr>
            <w:tcW w:w="1878" w:type="dxa"/>
          </w:tcPr>
          <w:p w14:paraId="384755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92.6</w:t>
            </w:r>
          </w:p>
        </w:tc>
      </w:tr>
      <w:tr w:rsidR="00CB5308" w:rsidRPr="00070ADE" w14:paraId="54248022" w14:textId="77777777">
        <w:tc>
          <w:tcPr>
            <w:tcW w:w="1878" w:type="dxa"/>
          </w:tcPr>
          <w:p w14:paraId="4F8543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464</w:t>
            </w:r>
          </w:p>
        </w:tc>
        <w:tc>
          <w:tcPr>
            <w:tcW w:w="1878" w:type="dxa"/>
          </w:tcPr>
          <w:p w14:paraId="46843E6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По-2</w:t>
            </w:r>
          </w:p>
        </w:tc>
        <w:tc>
          <w:tcPr>
            <w:tcW w:w="1878" w:type="dxa"/>
          </w:tcPr>
          <w:p w14:paraId="5A5B4E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w:t>
            </w:r>
          </w:p>
        </w:tc>
        <w:tc>
          <w:tcPr>
            <w:tcW w:w="1878" w:type="dxa"/>
          </w:tcPr>
          <w:p w14:paraId="7BDBED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w:t>
            </w:r>
          </w:p>
        </w:tc>
        <w:tc>
          <w:tcPr>
            <w:tcW w:w="1878" w:type="dxa"/>
          </w:tcPr>
          <w:p w14:paraId="3F26F22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88.7</w:t>
            </w:r>
          </w:p>
        </w:tc>
      </w:tr>
      <w:tr w:rsidR="00CB5308" w:rsidRPr="00070ADE" w14:paraId="6D0D8ADA" w14:textId="77777777">
        <w:tc>
          <w:tcPr>
            <w:tcW w:w="1878" w:type="dxa"/>
          </w:tcPr>
          <w:p w14:paraId="17547A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1EECA5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Як-6</w:t>
            </w:r>
          </w:p>
        </w:tc>
        <w:tc>
          <w:tcPr>
            <w:tcW w:w="1878" w:type="dxa"/>
          </w:tcPr>
          <w:p w14:paraId="77874C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w:t>
            </w:r>
          </w:p>
        </w:tc>
        <w:tc>
          <w:tcPr>
            <w:tcW w:w="1878" w:type="dxa"/>
          </w:tcPr>
          <w:p w14:paraId="1C8385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w:t>
            </w:r>
          </w:p>
        </w:tc>
        <w:tc>
          <w:tcPr>
            <w:tcW w:w="1878" w:type="dxa"/>
          </w:tcPr>
          <w:p w14:paraId="7C94A1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84.2</w:t>
            </w:r>
          </w:p>
        </w:tc>
      </w:tr>
      <w:tr w:rsidR="00CB5308" w:rsidRPr="00070ADE" w14:paraId="6EA9D3B3" w14:textId="77777777">
        <w:tc>
          <w:tcPr>
            <w:tcW w:w="1878" w:type="dxa"/>
          </w:tcPr>
          <w:p w14:paraId="3B94BA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878" w:type="dxa"/>
          </w:tcPr>
          <w:p w14:paraId="53B8B4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0011B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w:t>
            </w:r>
          </w:p>
        </w:tc>
        <w:tc>
          <w:tcPr>
            <w:tcW w:w="1878" w:type="dxa"/>
          </w:tcPr>
          <w:p w14:paraId="7595249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119</w:t>
            </w:r>
          </w:p>
        </w:tc>
        <w:tc>
          <w:tcPr>
            <w:tcW w:w="1878" w:type="dxa"/>
          </w:tcPr>
          <w:p w14:paraId="75A8FAC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86.9</w:t>
            </w:r>
          </w:p>
        </w:tc>
      </w:tr>
      <w:tr w:rsidR="00CB5308" w:rsidRPr="00070ADE" w14:paraId="2E1E443C" w14:textId="77777777">
        <w:tc>
          <w:tcPr>
            <w:tcW w:w="1878" w:type="dxa"/>
          </w:tcPr>
          <w:p w14:paraId="042B5C6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471</w:t>
            </w:r>
          </w:p>
        </w:tc>
        <w:tc>
          <w:tcPr>
            <w:tcW w:w="1878" w:type="dxa"/>
          </w:tcPr>
          <w:p w14:paraId="0E84EE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Як-6</w:t>
            </w:r>
          </w:p>
        </w:tc>
        <w:tc>
          <w:tcPr>
            <w:tcW w:w="1878" w:type="dxa"/>
          </w:tcPr>
          <w:p w14:paraId="1CC4539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w:t>
            </w:r>
          </w:p>
        </w:tc>
        <w:tc>
          <w:tcPr>
            <w:tcW w:w="1878" w:type="dxa"/>
          </w:tcPr>
          <w:p w14:paraId="32C76F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w:t>
            </w:r>
          </w:p>
        </w:tc>
        <w:tc>
          <w:tcPr>
            <w:tcW w:w="1878" w:type="dxa"/>
          </w:tcPr>
          <w:p w14:paraId="281E51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w:t>
            </w:r>
          </w:p>
        </w:tc>
      </w:tr>
      <w:tr w:rsidR="00CB5308" w:rsidRPr="00070ADE" w14:paraId="3E806F8B" w14:textId="77777777">
        <w:tc>
          <w:tcPr>
            <w:tcW w:w="1878" w:type="dxa"/>
          </w:tcPr>
          <w:p w14:paraId="5A2C6D7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56F52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У-2</w:t>
            </w:r>
          </w:p>
        </w:tc>
        <w:tc>
          <w:tcPr>
            <w:tcW w:w="1878" w:type="dxa"/>
          </w:tcPr>
          <w:p w14:paraId="4AA9D4E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w:t>
            </w:r>
          </w:p>
        </w:tc>
        <w:tc>
          <w:tcPr>
            <w:tcW w:w="1878" w:type="dxa"/>
          </w:tcPr>
          <w:p w14:paraId="705A0C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w:t>
            </w:r>
          </w:p>
        </w:tc>
        <w:tc>
          <w:tcPr>
            <w:tcW w:w="1878" w:type="dxa"/>
          </w:tcPr>
          <w:p w14:paraId="499399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62.3</w:t>
            </w:r>
          </w:p>
        </w:tc>
      </w:tr>
      <w:tr w:rsidR="00CB5308" w:rsidRPr="00070ADE" w14:paraId="0CFB73F5" w14:textId="77777777">
        <w:tc>
          <w:tcPr>
            <w:tcW w:w="1878" w:type="dxa"/>
          </w:tcPr>
          <w:p w14:paraId="6043FD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878" w:type="dxa"/>
          </w:tcPr>
          <w:p w14:paraId="2B50394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FB283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158</w:t>
            </w:r>
          </w:p>
        </w:tc>
        <w:tc>
          <w:tcPr>
            <w:tcW w:w="1878" w:type="dxa"/>
          </w:tcPr>
          <w:p w14:paraId="3E7096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134</w:t>
            </w:r>
          </w:p>
        </w:tc>
        <w:tc>
          <w:tcPr>
            <w:tcW w:w="1878" w:type="dxa"/>
          </w:tcPr>
          <w:p w14:paraId="00530B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84.8</w:t>
            </w:r>
          </w:p>
        </w:tc>
      </w:tr>
      <w:tr w:rsidR="00CB5308" w:rsidRPr="00070ADE" w14:paraId="476A407C" w14:textId="77777777">
        <w:tc>
          <w:tcPr>
            <w:tcW w:w="1878" w:type="dxa"/>
          </w:tcPr>
          <w:p w14:paraId="259C40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494</w:t>
            </w:r>
          </w:p>
        </w:tc>
        <w:tc>
          <w:tcPr>
            <w:tcW w:w="1878" w:type="dxa"/>
          </w:tcPr>
          <w:p w14:paraId="767061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С-2</w:t>
            </w:r>
          </w:p>
        </w:tc>
        <w:tc>
          <w:tcPr>
            <w:tcW w:w="1878" w:type="dxa"/>
          </w:tcPr>
          <w:p w14:paraId="504E8C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248</w:t>
            </w:r>
          </w:p>
        </w:tc>
        <w:tc>
          <w:tcPr>
            <w:tcW w:w="1878" w:type="dxa"/>
          </w:tcPr>
          <w:p w14:paraId="70667E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w:t>
            </w:r>
          </w:p>
        </w:tc>
        <w:tc>
          <w:tcPr>
            <w:tcW w:w="1878" w:type="dxa"/>
          </w:tcPr>
          <w:p w14:paraId="270D61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108.9</w:t>
            </w:r>
          </w:p>
        </w:tc>
      </w:tr>
      <w:tr w:rsidR="00CB5308" w:rsidRPr="00070ADE" w14:paraId="6538F1A0" w14:textId="77777777">
        <w:tc>
          <w:tcPr>
            <w:tcW w:w="1878" w:type="dxa"/>
          </w:tcPr>
          <w:p w14:paraId="5238A5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878" w:type="dxa"/>
          </w:tcPr>
          <w:p w14:paraId="623E3B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88867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1209</w:t>
            </w:r>
          </w:p>
        </w:tc>
        <w:tc>
          <w:tcPr>
            <w:tcW w:w="1878" w:type="dxa"/>
          </w:tcPr>
          <w:p w14:paraId="73F115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1241</w:t>
            </w:r>
          </w:p>
        </w:tc>
        <w:tc>
          <w:tcPr>
            <w:tcW w:w="1878" w:type="dxa"/>
          </w:tcPr>
          <w:p w14:paraId="02D29F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102.6</w:t>
            </w:r>
          </w:p>
        </w:tc>
      </w:tr>
      <w:tr w:rsidR="00CB5308" w:rsidRPr="00070ADE" w14:paraId="1BE0DA5D" w14:textId="77777777">
        <w:tc>
          <w:tcPr>
            <w:tcW w:w="1878" w:type="dxa"/>
          </w:tcPr>
          <w:p w14:paraId="549A79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116</w:t>
            </w:r>
          </w:p>
        </w:tc>
        <w:tc>
          <w:tcPr>
            <w:tcW w:w="1878" w:type="dxa"/>
          </w:tcPr>
          <w:p w14:paraId="4532C2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Ут-2</w:t>
            </w:r>
          </w:p>
        </w:tc>
        <w:tc>
          <w:tcPr>
            <w:tcW w:w="1878" w:type="dxa"/>
          </w:tcPr>
          <w:p w14:paraId="474DC4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598</w:t>
            </w:r>
          </w:p>
        </w:tc>
        <w:tc>
          <w:tcPr>
            <w:tcW w:w="1878" w:type="dxa"/>
          </w:tcPr>
          <w:p w14:paraId="0D72872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702</w:t>
            </w:r>
          </w:p>
        </w:tc>
        <w:tc>
          <w:tcPr>
            <w:tcW w:w="1878" w:type="dxa"/>
          </w:tcPr>
          <w:p w14:paraId="7DB8214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117.4</w:t>
            </w:r>
          </w:p>
        </w:tc>
      </w:tr>
      <w:tr w:rsidR="00CB5308" w:rsidRPr="00070ADE" w14:paraId="6E8A8192" w14:textId="77777777">
        <w:tc>
          <w:tcPr>
            <w:tcW w:w="1878" w:type="dxa"/>
          </w:tcPr>
          <w:p w14:paraId="1C25DF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168</w:t>
            </w:r>
          </w:p>
        </w:tc>
        <w:tc>
          <w:tcPr>
            <w:tcW w:w="1878" w:type="dxa"/>
          </w:tcPr>
          <w:p w14:paraId="73EEAB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Ут-2</w:t>
            </w:r>
          </w:p>
        </w:tc>
        <w:tc>
          <w:tcPr>
            <w:tcW w:w="1878" w:type="dxa"/>
          </w:tcPr>
          <w:p w14:paraId="26470F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196</w:t>
            </w:r>
          </w:p>
        </w:tc>
        <w:tc>
          <w:tcPr>
            <w:tcW w:w="1878" w:type="dxa"/>
          </w:tcPr>
          <w:p w14:paraId="0F1918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207</w:t>
            </w:r>
          </w:p>
        </w:tc>
        <w:tc>
          <w:tcPr>
            <w:tcW w:w="1878" w:type="dxa"/>
          </w:tcPr>
          <w:p w14:paraId="50D74B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105.6</w:t>
            </w:r>
          </w:p>
        </w:tc>
      </w:tr>
      <w:tr w:rsidR="00CB5308" w:rsidRPr="00070ADE" w14:paraId="6172C53B" w14:textId="77777777">
        <w:tc>
          <w:tcPr>
            <w:tcW w:w="1878" w:type="dxa"/>
          </w:tcPr>
          <w:p w14:paraId="5299B0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387</w:t>
            </w:r>
          </w:p>
        </w:tc>
        <w:tc>
          <w:tcPr>
            <w:tcW w:w="1878" w:type="dxa"/>
          </w:tcPr>
          <w:p w14:paraId="6D105A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У-2</w:t>
            </w:r>
          </w:p>
        </w:tc>
        <w:tc>
          <w:tcPr>
            <w:tcW w:w="1878" w:type="dxa"/>
          </w:tcPr>
          <w:p w14:paraId="2763EB8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2595</w:t>
            </w:r>
          </w:p>
        </w:tc>
        <w:tc>
          <w:tcPr>
            <w:tcW w:w="1878" w:type="dxa"/>
          </w:tcPr>
          <w:p w14:paraId="3F4F41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2733</w:t>
            </w:r>
          </w:p>
        </w:tc>
        <w:tc>
          <w:tcPr>
            <w:tcW w:w="1878" w:type="dxa"/>
          </w:tcPr>
          <w:p w14:paraId="5E864E3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105.3</w:t>
            </w:r>
          </w:p>
        </w:tc>
      </w:tr>
      <w:tr w:rsidR="00CB5308" w:rsidRPr="00070ADE" w14:paraId="1B0C863A" w14:textId="77777777">
        <w:tc>
          <w:tcPr>
            <w:tcW w:w="1878" w:type="dxa"/>
          </w:tcPr>
          <w:p w14:paraId="0B0545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878" w:type="dxa"/>
          </w:tcPr>
          <w:p w14:paraId="645922C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A9788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3554</w:t>
            </w:r>
          </w:p>
        </w:tc>
        <w:tc>
          <w:tcPr>
            <w:tcW w:w="1878" w:type="dxa"/>
          </w:tcPr>
          <w:p w14:paraId="325B90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3766</w:t>
            </w:r>
          </w:p>
        </w:tc>
        <w:tc>
          <w:tcPr>
            <w:tcW w:w="1878" w:type="dxa"/>
          </w:tcPr>
          <w:p w14:paraId="7DD2CCE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w:t>
            </w:r>
          </w:p>
        </w:tc>
      </w:tr>
      <w:tr w:rsidR="00CB5308" w:rsidRPr="00070ADE" w14:paraId="2E7F4CEC" w14:textId="77777777">
        <w:tc>
          <w:tcPr>
            <w:tcW w:w="1878" w:type="dxa"/>
          </w:tcPr>
          <w:p w14:paraId="4A8628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tc>
        <w:tc>
          <w:tcPr>
            <w:tcW w:w="1878" w:type="dxa"/>
          </w:tcPr>
          <w:p w14:paraId="17D530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8A8E8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34044</w:t>
            </w:r>
          </w:p>
        </w:tc>
        <w:tc>
          <w:tcPr>
            <w:tcW w:w="1878" w:type="dxa"/>
          </w:tcPr>
          <w:p w14:paraId="32E9B45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34884</w:t>
            </w:r>
          </w:p>
        </w:tc>
        <w:tc>
          <w:tcPr>
            <w:tcW w:w="1878" w:type="dxa"/>
          </w:tcPr>
          <w:p w14:paraId="4AB8CC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102.5</w:t>
            </w:r>
          </w:p>
        </w:tc>
      </w:tr>
      <w:tr w:rsidR="00CB5308" w:rsidRPr="00070ADE" w14:paraId="64A0EB3C" w14:textId="77777777">
        <w:tc>
          <w:tcPr>
            <w:tcW w:w="1878" w:type="dxa"/>
          </w:tcPr>
          <w:p w14:paraId="64B6C5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Моторы</w:t>
            </w:r>
          </w:p>
        </w:tc>
        <w:tc>
          <w:tcPr>
            <w:tcW w:w="1878" w:type="dxa"/>
          </w:tcPr>
          <w:p w14:paraId="52C8D8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E1842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3C0EFC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1BBAB4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DBBE581" w14:textId="77777777">
        <w:tc>
          <w:tcPr>
            <w:tcW w:w="1878" w:type="dxa"/>
          </w:tcPr>
          <w:p w14:paraId="0C6D58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tc>
        <w:tc>
          <w:tcPr>
            <w:tcW w:w="1878" w:type="dxa"/>
          </w:tcPr>
          <w:p w14:paraId="59EEE2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w:t>
            </w:r>
          </w:p>
        </w:tc>
        <w:tc>
          <w:tcPr>
            <w:tcW w:w="1878" w:type="dxa"/>
          </w:tcPr>
          <w:p w14:paraId="3C6794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346</w:t>
            </w:r>
          </w:p>
        </w:tc>
        <w:tc>
          <w:tcPr>
            <w:tcW w:w="1878" w:type="dxa"/>
          </w:tcPr>
          <w:p w14:paraId="6CADE0D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458</w:t>
            </w:r>
          </w:p>
        </w:tc>
        <w:tc>
          <w:tcPr>
            <w:tcW w:w="1878" w:type="dxa"/>
          </w:tcPr>
          <w:p w14:paraId="6597704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132.4</w:t>
            </w:r>
          </w:p>
        </w:tc>
      </w:tr>
      <w:tr w:rsidR="00CB5308" w:rsidRPr="00070ADE" w14:paraId="2E42181B" w14:textId="77777777">
        <w:tc>
          <w:tcPr>
            <w:tcW w:w="1878" w:type="dxa"/>
          </w:tcPr>
          <w:p w14:paraId="2C60742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B550AC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М-105ПФ</w:t>
            </w:r>
          </w:p>
        </w:tc>
        <w:tc>
          <w:tcPr>
            <w:tcW w:w="1878" w:type="dxa"/>
          </w:tcPr>
          <w:p w14:paraId="588A81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3856</w:t>
            </w:r>
          </w:p>
        </w:tc>
        <w:tc>
          <w:tcPr>
            <w:tcW w:w="1878" w:type="dxa"/>
          </w:tcPr>
          <w:p w14:paraId="549141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3994</w:t>
            </w:r>
          </w:p>
        </w:tc>
        <w:tc>
          <w:tcPr>
            <w:tcW w:w="1878" w:type="dxa"/>
          </w:tcPr>
          <w:p w14:paraId="638988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103.6</w:t>
            </w:r>
          </w:p>
        </w:tc>
      </w:tr>
      <w:tr w:rsidR="00CB5308" w:rsidRPr="00070ADE" w14:paraId="55F7BBFB" w14:textId="77777777">
        <w:tc>
          <w:tcPr>
            <w:tcW w:w="1878" w:type="dxa"/>
          </w:tcPr>
          <w:p w14:paraId="38A38A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878" w:type="dxa"/>
          </w:tcPr>
          <w:p w14:paraId="7517FB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40BE37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4202</w:t>
            </w:r>
          </w:p>
        </w:tc>
        <w:tc>
          <w:tcPr>
            <w:tcW w:w="1878" w:type="dxa"/>
          </w:tcPr>
          <w:p w14:paraId="4720FD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4452</w:t>
            </w:r>
          </w:p>
        </w:tc>
        <w:tc>
          <w:tcPr>
            <w:tcW w:w="1878" w:type="dxa"/>
          </w:tcPr>
          <w:p w14:paraId="57A452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w:t>
            </w:r>
          </w:p>
        </w:tc>
      </w:tr>
      <w:tr w:rsidR="00CB5308" w:rsidRPr="00070ADE" w14:paraId="07E33659" w14:textId="77777777">
        <w:tc>
          <w:tcPr>
            <w:tcW w:w="1878" w:type="dxa"/>
          </w:tcPr>
          <w:p w14:paraId="1BF367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w:t>
            </w:r>
          </w:p>
        </w:tc>
        <w:tc>
          <w:tcPr>
            <w:tcW w:w="1878" w:type="dxa"/>
          </w:tcPr>
          <w:p w14:paraId="63C324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М-105ПФ</w:t>
            </w:r>
          </w:p>
        </w:tc>
        <w:tc>
          <w:tcPr>
            <w:tcW w:w="1878" w:type="dxa"/>
          </w:tcPr>
          <w:p w14:paraId="504F762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11470</w:t>
            </w:r>
          </w:p>
        </w:tc>
        <w:tc>
          <w:tcPr>
            <w:tcW w:w="1878" w:type="dxa"/>
          </w:tcPr>
          <w:p w14:paraId="1374FC5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11902</w:t>
            </w:r>
          </w:p>
        </w:tc>
        <w:tc>
          <w:tcPr>
            <w:tcW w:w="1878" w:type="dxa"/>
          </w:tcPr>
          <w:p w14:paraId="0A01F3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103.8</w:t>
            </w:r>
          </w:p>
        </w:tc>
      </w:tr>
      <w:tr w:rsidR="00CB5308" w:rsidRPr="00070ADE" w14:paraId="6F470557" w14:textId="77777777">
        <w:tc>
          <w:tcPr>
            <w:tcW w:w="1878" w:type="dxa"/>
          </w:tcPr>
          <w:p w14:paraId="32A8A0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A2F2D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М-106П</w:t>
            </w:r>
          </w:p>
        </w:tc>
        <w:tc>
          <w:tcPr>
            <w:tcW w:w="1878" w:type="dxa"/>
          </w:tcPr>
          <w:p w14:paraId="4F00A99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222</w:t>
            </w:r>
          </w:p>
        </w:tc>
        <w:tc>
          <w:tcPr>
            <w:tcW w:w="1878" w:type="dxa"/>
          </w:tcPr>
          <w:p w14:paraId="677617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157</w:t>
            </w:r>
          </w:p>
        </w:tc>
        <w:tc>
          <w:tcPr>
            <w:tcW w:w="1878" w:type="dxa"/>
          </w:tcPr>
          <w:p w14:paraId="387B5A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70.7</w:t>
            </w:r>
          </w:p>
        </w:tc>
      </w:tr>
      <w:tr w:rsidR="00CB5308" w:rsidRPr="00070ADE" w14:paraId="3742B6C3" w14:textId="77777777">
        <w:tc>
          <w:tcPr>
            <w:tcW w:w="1878" w:type="dxa"/>
          </w:tcPr>
          <w:p w14:paraId="12A4CD1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75D00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М-107А</w:t>
            </w:r>
          </w:p>
        </w:tc>
        <w:tc>
          <w:tcPr>
            <w:tcW w:w="1878" w:type="dxa"/>
          </w:tcPr>
          <w:p w14:paraId="25EA7A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502</w:t>
            </w:r>
          </w:p>
        </w:tc>
        <w:tc>
          <w:tcPr>
            <w:tcW w:w="1878" w:type="dxa"/>
          </w:tcPr>
          <w:p w14:paraId="2F66E48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303</w:t>
            </w:r>
          </w:p>
        </w:tc>
        <w:tc>
          <w:tcPr>
            <w:tcW w:w="1878" w:type="dxa"/>
          </w:tcPr>
          <w:p w14:paraId="195A46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60.4</w:t>
            </w:r>
          </w:p>
        </w:tc>
      </w:tr>
      <w:tr w:rsidR="00CB5308" w:rsidRPr="00070ADE" w14:paraId="5B6CDF14" w14:textId="77777777">
        <w:tc>
          <w:tcPr>
            <w:tcW w:w="1878" w:type="dxa"/>
          </w:tcPr>
          <w:p w14:paraId="156A3A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878" w:type="dxa"/>
          </w:tcPr>
          <w:p w14:paraId="274764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8E5C3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12191</w:t>
            </w:r>
          </w:p>
        </w:tc>
        <w:tc>
          <w:tcPr>
            <w:tcW w:w="1878" w:type="dxa"/>
          </w:tcPr>
          <w:p w14:paraId="218DE8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12362</w:t>
            </w:r>
          </w:p>
        </w:tc>
        <w:tc>
          <w:tcPr>
            <w:tcW w:w="1878" w:type="dxa"/>
          </w:tcPr>
          <w:p w14:paraId="5C26E6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101.4</w:t>
            </w:r>
          </w:p>
        </w:tc>
      </w:tr>
      <w:tr w:rsidR="00CB5308" w:rsidRPr="00070ADE" w14:paraId="605CAAB7" w14:textId="77777777">
        <w:tc>
          <w:tcPr>
            <w:tcW w:w="1878" w:type="dxa"/>
          </w:tcPr>
          <w:p w14:paraId="7AB6E6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466</w:t>
            </w:r>
          </w:p>
        </w:tc>
        <w:tc>
          <w:tcPr>
            <w:tcW w:w="1878" w:type="dxa"/>
          </w:tcPr>
          <w:p w14:paraId="55BEF71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М-105ПФ</w:t>
            </w:r>
          </w:p>
        </w:tc>
        <w:tc>
          <w:tcPr>
            <w:tcW w:w="1878" w:type="dxa"/>
          </w:tcPr>
          <w:p w14:paraId="1A1B09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2707</w:t>
            </w:r>
          </w:p>
        </w:tc>
        <w:tc>
          <w:tcPr>
            <w:tcW w:w="1878" w:type="dxa"/>
          </w:tcPr>
          <w:p w14:paraId="1A4A1CE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2729</w:t>
            </w:r>
          </w:p>
        </w:tc>
        <w:tc>
          <w:tcPr>
            <w:tcW w:w="1878" w:type="dxa"/>
          </w:tcPr>
          <w:p w14:paraId="284454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100.8</w:t>
            </w:r>
          </w:p>
        </w:tc>
      </w:tr>
      <w:tr w:rsidR="00CB5308" w:rsidRPr="00070ADE" w14:paraId="30298F4E" w14:textId="77777777">
        <w:tc>
          <w:tcPr>
            <w:tcW w:w="1878" w:type="dxa"/>
          </w:tcPr>
          <w:p w14:paraId="5E0E0CD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tc>
        <w:tc>
          <w:tcPr>
            <w:tcW w:w="1878" w:type="dxa"/>
          </w:tcPr>
          <w:p w14:paraId="5C0E7B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АМ-38Ф</w:t>
            </w:r>
          </w:p>
        </w:tc>
        <w:tc>
          <w:tcPr>
            <w:tcW w:w="1878" w:type="dxa"/>
          </w:tcPr>
          <w:p w14:paraId="32AC70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11033</w:t>
            </w:r>
          </w:p>
        </w:tc>
        <w:tc>
          <w:tcPr>
            <w:tcW w:w="1878" w:type="dxa"/>
          </w:tcPr>
          <w:p w14:paraId="1C6C41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10690</w:t>
            </w:r>
          </w:p>
        </w:tc>
        <w:tc>
          <w:tcPr>
            <w:tcW w:w="1878" w:type="dxa"/>
          </w:tcPr>
          <w:p w14:paraId="001491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96.9</w:t>
            </w:r>
          </w:p>
        </w:tc>
      </w:tr>
      <w:tr w:rsidR="00CB5308" w:rsidRPr="00070ADE" w14:paraId="30E62966" w14:textId="77777777">
        <w:tc>
          <w:tcPr>
            <w:tcW w:w="1878" w:type="dxa"/>
          </w:tcPr>
          <w:p w14:paraId="456B818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854BF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АМ-42</w:t>
            </w:r>
          </w:p>
        </w:tc>
        <w:tc>
          <w:tcPr>
            <w:tcW w:w="1878" w:type="dxa"/>
          </w:tcPr>
          <w:p w14:paraId="7636345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163</w:t>
            </w:r>
          </w:p>
        </w:tc>
        <w:tc>
          <w:tcPr>
            <w:tcW w:w="1878" w:type="dxa"/>
          </w:tcPr>
          <w:p w14:paraId="1882495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tc>
        <w:tc>
          <w:tcPr>
            <w:tcW w:w="1878" w:type="dxa"/>
          </w:tcPr>
          <w:p w14:paraId="59446BB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33.7</w:t>
            </w:r>
          </w:p>
        </w:tc>
      </w:tr>
      <w:tr w:rsidR="00CB5308" w:rsidRPr="00070ADE" w14:paraId="2A79A560" w14:textId="77777777">
        <w:tc>
          <w:tcPr>
            <w:tcW w:w="1878" w:type="dxa"/>
          </w:tcPr>
          <w:p w14:paraId="08CEEB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5301E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АМ-35А</w:t>
            </w:r>
          </w:p>
        </w:tc>
        <w:tc>
          <w:tcPr>
            <w:tcW w:w="1878" w:type="dxa"/>
          </w:tcPr>
          <w:p w14:paraId="221876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294</w:t>
            </w:r>
          </w:p>
        </w:tc>
        <w:tc>
          <w:tcPr>
            <w:tcW w:w="1878" w:type="dxa"/>
          </w:tcPr>
          <w:p w14:paraId="1F73DE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206</w:t>
            </w:r>
          </w:p>
        </w:tc>
        <w:tc>
          <w:tcPr>
            <w:tcW w:w="1878" w:type="dxa"/>
          </w:tcPr>
          <w:p w14:paraId="3B28E2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70.1</w:t>
            </w:r>
          </w:p>
        </w:tc>
      </w:tr>
      <w:tr w:rsidR="00CB5308" w:rsidRPr="00070ADE" w14:paraId="4E901485" w14:textId="77777777">
        <w:tc>
          <w:tcPr>
            <w:tcW w:w="1878" w:type="dxa"/>
          </w:tcPr>
          <w:p w14:paraId="17CA23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878" w:type="dxa"/>
          </w:tcPr>
          <w:p w14:paraId="40B6294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759A3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11490</w:t>
            </w:r>
          </w:p>
        </w:tc>
        <w:tc>
          <w:tcPr>
            <w:tcW w:w="1878" w:type="dxa"/>
          </w:tcPr>
          <w:p w14:paraId="34F03B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10951</w:t>
            </w:r>
          </w:p>
        </w:tc>
        <w:tc>
          <w:tcPr>
            <w:tcW w:w="1878" w:type="dxa"/>
          </w:tcPr>
          <w:p w14:paraId="7F327A7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95.3</w:t>
            </w:r>
          </w:p>
        </w:tc>
      </w:tr>
      <w:tr w:rsidR="00CB5308" w:rsidRPr="00070ADE" w14:paraId="491BA132" w14:textId="77777777">
        <w:tc>
          <w:tcPr>
            <w:tcW w:w="1878" w:type="dxa"/>
          </w:tcPr>
          <w:p w14:paraId="087019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c>
          <w:tcPr>
            <w:tcW w:w="1878" w:type="dxa"/>
          </w:tcPr>
          <w:p w14:paraId="4F9494E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АМ-38</w:t>
            </w:r>
          </w:p>
        </w:tc>
        <w:tc>
          <w:tcPr>
            <w:tcW w:w="1878" w:type="dxa"/>
          </w:tcPr>
          <w:p w14:paraId="122214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773</w:t>
            </w:r>
          </w:p>
        </w:tc>
        <w:tc>
          <w:tcPr>
            <w:tcW w:w="1878" w:type="dxa"/>
          </w:tcPr>
          <w:p w14:paraId="407D1C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808</w:t>
            </w:r>
          </w:p>
        </w:tc>
        <w:tc>
          <w:tcPr>
            <w:tcW w:w="1878" w:type="dxa"/>
          </w:tcPr>
          <w:p w14:paraId="1AC9C1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104.5</w:t>
            </w:r>
          </w:p>
        </w:tc>
      </w:tr>
      <w:tr w:rsidR="00CB5308" w:rsidRPr="00070ADE" w14:paraId="3770F9FC" w14:textId="77777777">
        <w:tc>
          <w:tcPr>
            <w:tcW w:w="1878" w:type="dxa"/>
          </w:tcPr>
          <w:p w14:paraId="4403D3F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1E71A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АМ-38Ф</w:t>
            </w:r>
          </w:p>
        </w:tc>
        <w:tc>
          <w:tcPr>
            <w:tcW w:w="1878" w:type="dxa"/>
          </w:tcPr>
          <w:p w14:paraId="79FDBD3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2105</w:t>
            </w:r>
          </w:p>
        </w:tc>
        <w:tc>
          <w:tcPr>
            <w:tcW w:w="1878" w:type="dxa"/>
          </w:tcPr>
          <w:p w14:paraId="164FC9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2250</w:t>
            </w:r>
          </w:p>
        </w:tc>
        <w:tc>
          <w:tcPr>
            <w:tcW w:w="1878" w:type="dxa"/>
          </w:tcPr>
          <w:p w14:paraId="0DFCD4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106.9</w:t>
            </w:r>
          </w:p>
        </w:tc>
      </w:tr>
      <w:tr w:rsidR="00CB5308" w:rsidRPr="00070ADE" w14:paraId="623B06E6" w14:textId="77777777">
        <w:tc>
          <w:tcPr>
            <w:tcW w:w="1878" w:type="dxa"/>
          </w:tcPr>
          <w:p w14:paraId="0432F6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878" w:type="dxa"/>
          </w:tcPr>
          <w:p w14:paraId="323920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4B2AF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2878</w:t>
            </w:r>
          </w:p>
        </w:tc>
        <w:tc>
          <w:tcPr>
            <w:tcW w:w="1878" w:type="dxa"/>
          </w:tcPr>
          <w:p w14:paraId="660845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3058</w:t>
            </w:r>
          </w:p>
        </w:tc>
        <w:tc>
          <w:tcPr>
            <w:tcW w:w="1878" w:type="dxa"/>
          </w:tcPr>
          <w:p w14:paraId="66583D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106.2</w:t>
            </w:r>
          </w:p>
        </w:tc>
      </w:tr>
      <w:tr w:rsidR="00CB5308" w:rsidRPr="00070ADE" w14:paraId="2A23E28A" w14:textId="77777777">
        <w:tc>
          <w:tcPr>
            <w:tcW w:w="1878" w:type="dxa"/>
          </w:tcPr>
          <w:p w14:paraId="0D848B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w:t>
            </w:r>
          </w:p>
        </w:tc>
        <w:tc>
          <w:tcPr>
            <w:tcW w:w="1878" w:type="dxa"/>
          </w:tcPr>
          <w:p w14:paraId="30E402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М-82Ф</w:t>
            </w:r>
          </w:p>
        </w:tc>
        <w:tc>
          <w:tcPr>
            <w:tcW w:w="1878" w:type="dxa"/>
          </w:tcPr>
          <w:p w14:paraId="364752A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2567</w:t>
            </w:r>
          </w:p>
        </w:tc>
        <w:tc>
          <w:tcPr>
            <w:tcW w:w="1878" w:type="dxa"/>
          </w:tcPr>
          <w:p w14:paraId="693BC1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3148</w:t>
            </w:r>
          </w:p>
        </w:tc>
        <w:tc>
          <w:tcPr>
            <w:tcW w:w="1878" w:type="dxa"/>
          </w:tcPr>
          <w:p w14:paraId="34688E3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122.6</w:t>
            </w:r>
          </w:p>
        </w:tc>
      </w:tr>
      <w:tr w:rsidR="00CB5308" w:rsidRPr="00070ADE" w14:paraId="5DD9FE73" w14:textId="77777777">
        <w:tc>
          <w:tcPr>
            <w:tcW w:w="1878" w:type="dxa"/>
          </w:tcPr>
          <w:p w14:paraId="3DB6A1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26ADF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М-82ФН</w:t>
            </w:r>
          </w:p>
        </w:tc>
        <w:tc>
          <w:tcPr>
            <w:tcW w:w="1878" w:type="dxa"/>
          </w:tcPr>
          <w:p w14:paraId="7908BA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2483</w:t>
            </w:r>
          </w:p>
        </w:tc>
        <w:tc>
          <w:tcPr>
            <w:tcW w:w="1878" w:type="dxa"/>
          </w:tcPr>
          <w:p w14:paraId="5EEB4D0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1520</w:t>
            </w:r>
          </w:p>
        </w:tc>
        <w:tc>
          <w:tcPr>
            <w:tcW w:w="1878" w:type="dxa"/>
          </w:tcPr>
          <w:p w14:paraId="03F80B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61.2</w:t>
            </w:r>
          </w:p>
        </w:tc>
      </w:tr>
      <w:tr w:rsidR="00CB5308" w:rsidRPr="00070ADE" w14:paraId="404C5EA0" w14:textId="77777777">
        <w:tc>
          <w:tcPr>
            <w:tcW w:w="1878" w:type="dxa"/>
          </w:tcPr>
          <w:p w14:paraId="0F037D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13E094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М-62ИР</w:t>
            </w:r>
          </w:p>
        </w:tc>
        <w:tc>
          <w:tcPr>
            <w:tcW w:w="1878" w:type="dxa"/>
          </w:tcPr>
          <w:p w14:paraId="29A99D2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1443</w:t>
            </w:r>
          </w:p>
        </w:tc>
        <w:tc>
          <w:tcPr>
            <w:tcW w:w="1878" w:type="dxa"/>
          </w:tcPr>
          <w:p w14:paraId="6AFF30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1443</w:t>
            </w:r>
          </w:p>
        </w:tc>
        <w:tc>
          <w:tcPr>
            <w:tcW w:w="1878" w:type="dxa"/>
          </w:tcPr>
          <w:p w14:paraId="5AE5E3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r>
      <w:tr w:rsidR="00CB5308" w:rsidRPr="00070ADE" w14:paraId="7E8AAA9F" w14:textId="77777777">
        <w:tc>
          <w:tcPr>
            <w:tcW w:w="1878" w:type="dxa"/>
          </w:tcPr>
          <w:p w14:paraId="4CD6FF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F1220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М-71</w:t>
            </w:r>
          </w:p>
        </w:tc>
        <w:tc>
          <w:tcPr>
            <w:tcW w:w="1878" w:type="dxa"/>
          </w:tcPr>
          <w:p w14:paraId="25875C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tc>
        <w:tc>
          <w:tcPr>
            <w:tcW w:w="1878" w:type="dxa"/>
          </w:tcPr>
          <w:p w14:paraId="5500F46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tc>
        <w:tc>
          <w:tcPr>
            <w:tcW w:w="1878" w:type="dxa"/>
          </w:tcPr>
          <w:p w14:paraId="20ABEC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68.6</w:t>
            </w:r>
          </w:p>
        </w:tc>
      </w:tr>
      <w:tr w:rsidR="00CB5308" w:rsidRPr="00070ADE" w14:paraId="5FB0C875" w14:textId="77777777">
        <w:tc>
          <w:tcPr>
            <w:tcW w:w="1878" w:type="dxa"/>
          </w:tcPr>
          <w:p w14:paraId="28C08D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878" w:type="dxa"/>
          </w:tcPr>
          <w:p w14:paraId="7DEFE5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74F6D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6528</w:t>
            </w:r>
          </w:p>
        </w:tc>
        <w:tc>
          <w:tcPr>
            <w:tcW w:w="1878" w:type="dxa"/>
          </w:tcPr>
          <w:p w14:paraId="3D34D9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6135</w:t>
            </w:r>
          </w:p>
        </w:tc>
        <w:tc>
          <w:tcPr>
            <w:tcW w:w="1878" w:type="dxa"/>
          </w:tcPr>
          <w:p w14:paraId="2F86C14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94</w:t>
            </w:r>
          </w:p>
        </w:tc>
      </w:tr>
      <w:tr w:rsidR="00CB5308" w:rsidRPr="00070ADE" w14:paraId="259B50D1" w14:textId="77777777">
        <w:tc>
          <w:tcPr>
            <w:tcW w:w="1878" w:type="dxa"/>
          </w:tcPr>
          <w:p w14:paraId="1C0715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w:t>
            </w:r>
          </w:p>
        </w:tc>
        <w:tc>
          <w:tcPr>
            <w:tcW w:w="1878" w:type="dxa"/>
          </w:tcPr>
          <w:p w14:paraId="56C850C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М-88</w:t>
            </w:r>
          </w:p>
        </w:tc>
        <w:tc>
          <w:tcPr>
            <w:tcW w:w="1878" w:type="dxa"/>
          </w:tcPr>
          <w:p w14:paraId="5DCF08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3531</w:t>
            </w:r>
          </w:p>
        </w:tc>
        <w:tc>
          <w:tcPr>
            <w:tcW w:w="1878" w:type="dxa"/>
          </w:tcPr>
          <w:p w14:paraId="6A72ECE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3580</w:t>
            </w:r>
          </w:p>
        </w:tc>
        <w:tc>
          <w:tcPr>
            <w:tcW w:w="1878" w:type="dxa"/>
          </w:tcPr>
          <w:p w14:paraId="55F7FC6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101.4</w:t>
            </w:r>
          </w:p>
        </w:tc>
      </w:tr>
      <w:tr w:rsidR="00CB5308" w:rsidRPr="00070ADE" w14:paraId="592B3A64" w14:textId="77777777">
        <w:tc>
          <w:tcPr>
            <w:tcW w:w="1878" w:type="dxa"/>
          </w:tcPr>
          <w:p w14:paraId="527821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5A5CD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М-88Ф</w:t>
            </w:r>
          </w:p>
        </w:tc>
        <w:tc>
          <w:tcPr>
            <w:tcW w:w="1878" w:type="dxa"/>
          </w:tcPr>
          <w:p w14:paraId="24C594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1878" w:type="dxa"/>
          </w:tcPr>
          <w:p w14:paraId="4AD53F0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78" w:type="dxa"/>
          </w:tcPr>
          <w:p w14:paraId="71E0D3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CB5308" w:rsidRPr="00070ADE" w14:paraId="59FB78D0" w14:textId="77777777">
        <w:tc>
          <w:tcPr>
            <w:tcW w:w="1878" w:type="dxa"/>
          </w:tcPr>
          <w:p w14:paraId="6A6BE82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8B68B4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М-90</w:t>
            </w:r>
          </w:p>
        </w:tc>
        <w:tc>
          <w:tcPr>
            <w:tcW w:w="1878" w:type="dxa"/>
          </w:tcPr>
          <w:p w14:paraId="1E0A95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tc>
        <w:tc>
          <w:tcPr>
            <w:tcW w:w="1878" w:type="dxa"/>
          </w:tcPr>
          <w:p w14:paraId="171B5C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1878" w:type="dxa"/>
          </w:tcPr>
          <w:p w14:paraId="0FB626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23.1</w:t>
            </w:r>
          </w:p>
        </w:tc>
      </w:tr>
      <w:tr w:rsidR="00CB5308" w:rsidRPr="00070ADE" w14:paraId="34B1E291" w14:textId="77777777">
        <w:tc>
          <w:tcPr>
            <w:tcW w:w="1878" w:type="dxa"/>
          </w:tcPr>
          <w:p w14:paraId="1F56A4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9EF7DE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М-82ФН</w:t>
            </w:r>
          </w:p>
        </w:tc>
        <w:tc>
          <w:tcPr>
            <w:tcW w:w="1878" w:type="dxa"/>
          </w:tcPr>
          <w:p w14:paraId="53BF0F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175</w:t>
            </w:r>
          </w:p>
        </w:tc>
        <w:tc>
          <w:tcPr>
            <w:tcW w:w="1878" w:type="dxa"/>
          </w:tcPr>
          <w:p w14:paraId="63C139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1878" w:type="dxa"/>
          </w:tcPr>
          <w:p w14:paraId="06CE55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w:t>
            </w:r>
          </w:p>
        </w:tc>
      </w:tr>
      <w:tr w:rsidR="00CB5308" w:rsidRPr="00070ADE" w14:paraId="1FD12410" w14:textId="77777777">
        <w:tc>
          <w:tcPr>
            <w:tcW w:w="1878" w:type="dxa"/>
          </w:tcPr>
          <w:p w14:paraId="274DA5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878" w:type="dxa"/>
          </w:tcPr>
          <w:p w14:paraId="68DF5E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C3E0B3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3729</w:t>
            </w:r>
          </w:p>
        </w:tc>
        <w:tc>
          <w:tcPr>
            <w:tcW w:w="1878" w:type="dxa"/>
          </w:tcPr>
          <w:p w14:paraId="53406C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3588</w:t>
            </w:r>
          </w:p>
        </w:tc>
        <w:tc>
          <w:tcPr>
            <w:tcW w:w="1878" w:type="dxa"/>
          </w:tcPr>
          <w:p w14:paraId="69954D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96.2</w:t>
            </w:r>
          </w:p>
        </w:tc>
      </w:tr>
      <w:tr w:rsidR="00CB5308" w:rsidRPr="00070ADE" w14:paraId="60692984" w14:textId="77777777">
        <w:tc>
          <w:tcPr>
            <w:tcW w:w="1878" w:type="dxa"/>
          </w:tcPr>
          <w:p w14:paraId="356141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w:t>
            </w:r>
          </w:p>
        </w:tc>
        <w:tc>
          <w:tcPr>
            <w:tcW w:w="1878" w:type="dxa"/>
          </w:tcPr>
          <w:p w14:paraId="6F0FDF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М-11</w:t>
            </w:r>
          </w:p>
        </w:tc>
        <w:tc>
          <w:tcPr>
            <w:tcW w:w="1878" w:type="dxa"/>
          </w:tcPr>
          <w:p w14:paraId="4EF0C4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1432</w:t>
            </w:r>
          </w:p>
        </w:tc>
        <w:tc>
          <w:tcPr>
            <w:tcW w:w="1878" w:type="dxa"/>
          </w:tcPr>
          <w:p w14:paraId="05BE440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1131</w:t>
            </w:r>
          </w:p>
        </w:tc>
        <w:tc>
          <w:tcPr>
            <w:tcW w:w="1878" w:type="dxa"/>
          </w:tcPr>
          <w:p w14:paraId="6F45B6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w:t>
            </w:r>
          </w:p>
        </w:tc>
      </w:tr>
      <w:tr w:rsidR="00CB5308" w:rsidRPr="00070ADE" w14:paraId="327E6425" w14:textId="77777777">
        <w:tc>
          <w:tcPr>
            <w:tcW w:w="1878" w:type="dxa"/>
          </w:tcPr>
          <w:p w14:paraId="3D6A8DD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154</w:t>
            </w:r>
          </w:p>
        </w:tc>
        <w:tc>
          <w:tcPr>
            <w:tcW w:w="1878" w:type="dxa"/>
          </w:tcPr>
          <w:p w14:paraId="3BD01F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М-11</w:t>
            </w:r>
          </w:p>
        </w:tc>
        <w:tc>
          <w:tcPr>
            <w:tcW w:w="1878" w:type="dxa"/>
          </w:tcPr>
          <w:p w14:paraId="3A4C22F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4472</w:t>
            </w:r>
          </w:p>
        </w:tc>
        <w:tc>
          <w:tcPr>
            <w:tcW w:w="1878" w:type="dxa"/>
          </w:tcPr>
          <w:p w14:paraId="15E6E8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4676</w:t>
            </w:r>
          </w:p>
        </w:tc>
        <w:tc>
          <w:tcPr>
            <w:tcW w:w="1878" w:type="dxa"/>
          </w:tcPr>
          <w:p w14:paraId="56771C1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104.6</w:t>
            </w:r>
          </w:p>
        </w:tc>
      </w:tr>
      <w:tr w:rsidR="00CB5308" w:rsidRPr="00070ADE" w14:paraId="53F60B83" w14:textId="77777777">
        <w:tc>
          <w:tcPr>
            <w:tcW w:w="1878" w:type="dxa"/>
          </w:tcPr>
          <w:p w14:paraId="35D4B0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1878" w:type="dxa"/>
          </w:tcPr>
          <w:p w14:paraId="3B875FD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М-30Б</w:t>
            </w:r>
          </w:p>
        </w:tc>
        <w:tc>
          <w:tcPr>
            <w:tcW w:w="1878" w:type="dxa"/>
          </w:tcPr>
          <w:p w14:paraId="537433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w:t>
            </w:r>
          </w:p>
        </w:tc>
        <w:tc>
          <w:tcPr>
            <w:tcW w:w="1878" w:type="dxa"/>
          </w:tcPr>
          <w:p w14:paraId="2BD8C2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w:t>
            </w:r>
          </w:p>
        </w:tc>
        <w:tc>
          <w:tcPr>
            <w:tcW w:w="1878" w:type="dxa"/>
          </w:tcPr>
          <w:p w14:paraId="35A9F3A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30.5</w:t>
            </w:r>
          </w:p>
        </w:tc>
      </w:tr>
      <w:tr w:rsidR="005106D0" w:rsidRPr="00070ADE" w14:paraId="350F9A08" w14:textId="77777777">
        <w:tc>
          <w:tcPr>
            <w:tcW w:w="1878" w:type="dxa"/>
          </w:tcPr>
          <w:p w14:paraId="21248E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878" w:type="dxa"/>
          </w:tcPr>
          <w:p w14:paraId="12763D3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D17EA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49737</w:t>
            </w:r>
          </w:p>
        </w:tc>
        <w:tc>
          <w:tcPr>
            <w:tcW w:w="1878" w:type="dxa"/>
          </w:tcPr>
          <w:p w14:paraId="797EE5A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49114</w:t>
            </w:r>
          </w:p>
        </w:tc>
        <w:tc>
          <w:tcPr>
            <w:tcW w:w="1878" w:type="dxa"/>
          </w:tcPr>
          <w:p w14:paraId="143E4CA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98.8 (2563,16)</w:t>
            </w:r>
          </w:p>
        </w:tc>
      </w:tr>
    </w:tbl>
    <w:p w14:paraId="3294E5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4641DE"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января 1944 отчет об аварии Пе-8 (с сохранением орфографии исходников)</w:t>
      </w:r>
    </w:p>
    <w:p w14:paraId="4359AA07"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КОМАНДИР КОРАБЛЯ ГВАРДИИ МАЙОР МАКАРЕНКО С.М.</w:t>
      </w:r>
    </w:p>
    <w:p w14:paraId="61DCBA37"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1АЭ 25 ГВ</w:t>
      </w:r>
    </w:p>
    <w:p w14:paraId="6BE0AA7E"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8.1.44 Г. Кратово КОМАНДИРУ 25 ГВ. АПДД ГВАРДИИ ПОДПОЛКОВНИКУ АБРАМОВУ</w:t>
      </w:r>
    </w:p>
    <w:p w14:paraId="24F98DCD"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8.1.44 г. получив самолет № 42511 на заводе № 22 для перегонки в часть, вылетел с заводского аэродрома. В 12.29 сделал два круга над аэродромом для просмотра правильной работы матчасти, после того как. убедился, что матчасть работает исправно, лег на курс 260° и пошел по маршруту Казань-Раменское, по маршруту погода была Н-500-400мт„ видимость 5-10 км., по маршруту моторы работали нормально, дойдя в р-он Арзамас с 1-го мотора, с дренажа начало сильно бить масло, я убрал наддув до 600 мм, масло перестало бить. После осмотра б/тек. 1-го мотора он доложил, что с мотором все в порядке, можно давать нормальный наддув, я дал нормальный наддув Рк 800, масло перестало бить. Подойдя к р. Ока я отдал приказание радисту запросить погоду аэродрома Раменское. Радист передал, что погода Раменское - Н=600 м„ видимость 4-6 км. Подойдя к Раменскому за 25 км, я снова отдал приказание радисту вторично запросить погоду на аэродроме Раменское, радист пере</w:t>
      </w:r>
      <w:r w:rsidRPr="00070ADE">
        <w:rPr>
          <w:rFonts w:ascii="Times New Roman" w:hAnsi="Times New Roman"/>
          <w:color w:val="000000" w:themeColor="text1"/>
          <w:sz w:val="16"/>
          <w:szCs w:val="16"/>
        </w:rPr>
        <w:softHyphen/>
        <w:t>дал - Н=150 м„ видимость 1-2 км. Выйдя на Раменский аэродром я увидел свободный аэродром 'от препятствий, прошел через аэродром, сделал левый разворот под 90°, отдал приказание б.технику выпустить шасси, проверил воздух в тормозах, начал делать второй разворот. На 5-ем развороте начали останавливаться все 4 мотора, после того, как посмотрел на приборы б/тех. и увидел, что упал наддув и обороты на всех моторах Рк до 550, обороты до 1600-1700, после того как я спросил у б/техника что с мотором, б/тех. доложил, что все нормально, но наддув и обороты падают, машина начала резко терять высоту. Т.к. я вышел в направлении Раменское и посадка неизбежна на город, я принял решение отвернуться вправо до 25-50°, Н=150 мт„ после чего забрали с одной стороны моторы правые, машина на двух мо</w:t>
      </w:r>
      <w:r w:rsidRPr="00070ADE">
        <w:rPr>
          <w:rFonts w:ascii="Times New Roman" w:hAnsi="Times New Roman"/>
          <w:color w:val="000000" w:themeColor="text1"/>
          <w:sz w:val="16"/>
          <w:szCs w:val="16"/>
        </w:rPr>
        <w:softHyphen/>
        <w:t>торах с одной стороны горизонтально не пошла и начала терять резко высоту со свалива</w:t>
      </w:r>
      <w:r w:rsidRPr="00070ADE">
        <w:rPr>
          <w:rFonts w:ascii="Times New Roman" w:hAnsi="Times New Roman"/>
          <w:color w:val="000000" w:themeColor="text1"/>
          <w:sz w:val="16"/>
          <w:szCs w:val="16"/>
        </w:rPr>
        <w:softHyphen/>
        <w:t>нием влево. Впереди нас шла линия высокого напряжения тока и завод. Старался перетянуть препятствие правыми моторами. После пролета препятствий вследствие сильной тяги провых моторов, создался сильный левый снос и машину начало валить в левый штопор, видя, что машина на двух моторах правой группы не идет, а все время продолжает валиться на нос и на левое крыло, я убрал газ правой группе моторов, машину вывел перед самой землей с левого крена, машина ударилась правым колесом, затем левым колесом и после вторичного прикосновения левым колесом, подломилось левое шасси, машина пробежала на правом колесе 200 м, подломилось правое шасси, машину развернуло вправо на 25° и остановилась. Левая ' группа моторов с момента отказов не работала до приземления, в результате машина поло</w:t>
      </w:r>
      <w:r w:rsidRPr="00070ADE">
        <w:rPr>
          <w:rFonts w:ascii="Times New Roman" w:hAnsi="Times New Roman"/>
          <w:color w:val="000000" w:themeColor="text1"/>
          <w:sz w:val="16"/>
          <w:szCs w:val="16"/>
        </w:rPr>
        <w:softHyphen/>
        <w:t>мана. Экипаж невредим.</w:t>
      </w:r>
    </w:p>
    <w:p w14:paraId="14C1A5DA"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ГВ. МАЙОР МАКАРЕНКО</w:t>
      </w:r>
    </w:p>
    <w:p w14:paraId="64044E65"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аварии было проведено расследование. Далее приводится акт комиссии, проводившей расследование.</w:t>
      </w:r>
    </w:p>
    <w:p w14:paraId="14406D5C"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w:t>
      </w:r>
    </w:p>
    <w:p w14:paraId="06B00EC9"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Комиссия, назначенная приказанием командира 45 АД ДД</w:t>
      </w:r>
    </w:p>
    <w:p w14:paraId="2B33D684"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Генерал-майора авиации тов. ЛЕБЕДЕВА в составе председателя:</w:t>
      </w:r>
    </w:p>
    <w:p w14:paraId="7EB940D8"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Старшего инженера 45 АД ДД инженера-подполковника АНУРОВА и членов: командира 25 Гв. АПДД гвардии подполковника АБРАМОВА, инспектора по технике пилотирования 45 АД ДД под</w:t>
      </w:r>
      <w:r w:rsidRPr="00070ADE">
        <w:rPr>
          <w:rFonts w:ascii="Times New Roman" w:hAnsi="Times New Roman"/>
          <w:color w:val="000000" w:themeColor="text1"/>
          <w:sz w:val="16"/>
          <w:szCs w:val="16"/>
        </w:rPr>
        <w:softHyphen/>
        <w:t>полковника КОНДРАТЬЕВА, зам. старшего инженера 45 АД ДД по эксплуатации инженер-майора ЗОЛОТАРЕВА и старшего инженера 25 Гв. АПДД гвардии инженер-майора СТОЛЯРОВА, произвела рас</w:t>
      </w:r>
      <w:r w:rsidRPr="00070ADE">
        <w:rPr>
          <w:rFonts w:ascii="Times New Roman" w:hAnsi="Times New Roman"/>
          <w:color w:val="000000" w:themeColor="text1"/>
          <w:sz w:val="16"/>
          <w:szCs w:val="16"/>
        </w:rPr>
        <w:softHyphen/>
        <w:t>следование причин аварии самолета Пе-8 4М-82 № 42511.</w:t>
      </w:r>
    </w:p>
    <w:p w14:paraId="23F995D5"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Пе-8 № 42511 перегонялся с аэродрома завода № 22 НКАП г. Казань на аэродром Кратово 8.1.1944 года, экипажем в составе:</w:t>
      </w:r>
    </w:p>
    <w:p w14:paraId="38F5CD7E"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Командир корабля - гв. майор МАКАРЕНКО</w:t>
      </w:r>
    </w:p>
    <w:p w14:paraId="48D92EB1"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2.2-й летчик - гв. лейтенант ГРИГОРЬЕВ</w:t>
      </w:r>
    </w:p>
    <w:p w14:paraId="4EE126EC"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техник бортовой - гв. ст. т/л-нт НОВИКОВ</w:t>
      </w:r>
    </w:p>
    <w:p w14:paraId="2E9F17C8"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 борттехника - гв. ст. т/л-нт АНИКЕЕНКО</w:t>
      </w:r>
    </w:p>
    <w:p w14:paraId="28602AA6"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Штурман - гв. ст. л-нт ДОКУНИХИН</w:t>
      </w:r>
    </w:p>
    <w:p w14:paraId="0C50F7BA"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Радист - гв. ст. сержант АБДУЛА</w:t>
      </w:r>
    </w:p>
    <w:p w14:paraId="193C50BF"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Техник авиационный - гв. мл. т/л-нт КИРИЛЮК</w:t>
      </w:r>
    </w:p>
    <w:p w14:paraId="39F26F60"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Воздушный стрелок - гв. старшина ВЕТРЕНКО</w:t>
      </w:r>
    </w:p>
    <w:p w14:paraId="24A7945D"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Воздушный стрелок - гв.ст. сержант СТОЛЯРЧУК</w:t>
      </w:r>
    </w:p>
    <w:p w14:paraId="4BF36922"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взлетел с аэродрома завода № 22 в 12 ч. 29 м. и сде</w:t>
      </w:r>
      <w:r w:rsidRPr="00070ADE">
        <w:rPr>
          <w:rFonts w:ascii="Times New Roman" w:hAnsi="Times New Roman"/>
          <w:color w:val="000000" w:themeColor="text1"/>
          <w:sz w:val="16"/>
          <w:szCs w:val="16"/>
        </w:rPr>
        <w:softHyphen/>
        <w:t>лав два круга над аэродромом, для проверки работы моторов, в 12 ч. 40 м. лег на курс.</w:t>
      </w:r>
    </w:p>
    <w:p w14:paraId="541523C7"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донесению экипажа, погода по маршруту была хорошей, - до района АРЗАМАС-ГОРЬКИЙ Н-300-400 м. при видимости 5-6 клм. В районе АРЗАМАС высота облачности снизилась до 200 мт. при наличии слабых осадков.</w:t>
      </w:r>
    </w:p>
    <w:p w14:paraId="4A0A6EBF"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14.57 самолет вышел на аэродром Кратово. За 10 минут до выхода на аэродром самолет попал в полосу снегопада. Вследствие плохой видимости аэродрома, летчик не зашел на посадку с первого круга и стал заходить вторично. На третьем развороте, в усло</w:t>
      </w:r>
      <w:r w:rsidRPr="00070ADE">
        <w:rPr>
          <w:rFonts w:ascii="Times New Roman" w:hAnsi="Times New Roman"/>
          <w:color w:val="000000" w:themeColor="text1"/>
          <w:sz w:val="16"/>
          <w:szCs w:val="16"/>
        </w:rPr>
        <w:softHyphen/>
        <w:t>виях сильного снегопада, начали сдавать все четыре мотора, наддув снизился до 600 мм. рт. столба, а обороты до 1600-1700 об/мин, все моторы сильно дымили. Второй мотор давал хлопки, начавшиеся еще до сдачи всех моторов, и машина пошла со снижением. Летчик на высоте Н=150 м. отвернул машину вправо на 25-30°, чтобы избе</w:t>
      </w:r>
      <w:r w:rsidRPr="00070ADE">
        <w:rPr>
          <w:rFonts w:ascii="Times New Roman" w:hAnsi="Times New Roman"/>
          <w:color w:val="000000" w:themeColor="text1"/>
          <w:sz w:val="16"/>
          <w:szCs w:val="16"/>
        </w:rPr>
        <w:softHyphen/>
        <w:t>жать посадки в населенном пункте РАМЕНСКОЕ, при этом моторы правой группы вновь заработали и машина начала сваливаться влево, резко теряя высоту. Чтобы перетянуть линию высокого на</w:t>
      </w:r>
      <w:r w:rsidRPr="00070ADE">
        <w:rPr>
          <w:rFonts w:ascii="Times New Roman" w:hAnsi="Times New Roman"/>
          <w:color w:val="000000" w:themeColor="text1"/>
          <w:sz w:val="16"/>
          <w:szCs w:val="16"/>
        </w:rPr>
        <w:softHyphen/>
        <w:t>пряжения и не врезаться в лес, правым моторам был дан форсаж, но увидев, что машина пошла с большим креном, опуская нос, летчик убрал газ всем моторам и вывел машину из крена у самой земли.</w:t>
      </w:r>
    </w:p>
    <w:p w14:paraId="0D476CFB"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со сносом ударился о землю, снес левое колесо, через 150 метров сломалась правая нога и лег на фюзеляж.</w:t>
      </w:r>
    </w:p>
    <w:p w14:paraId="082C99A0"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повреждений не получил. На самолете повреждены сле</w:t>
      </w:r>
      <w:r w:rsidRPr="00070ADE">
        <w:rPr>
          <w:rFonts w:ascii="Times New Roman" w:hAnsi="Times New Roman"/>
          <w:color w:val="000000" w:themeColor="text1"/>
          <w:sz w:val="16"/>
          <w:szCs w:val="16"/>
        </w:rPr>
        <w:softHyphen/>
        <w:t>дующие основные детали:</w:t>
      </w:r>
    </w:p>
    <w:p w14:paraId="320E4AB2"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снесены шасси и подшассийные гондолы,</w:t>
      </w:r>
    </w:p>
    <w:p w14:paraId="695451A6"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Смята нижняя часть Ф-1,</w:t>
      </w:r>
    </w:p>
    <w:p w14:paraId="62CD35FA"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Погнуты лопасти воздушных винтов,</w:t>
      </w:r>
    </w:p>
    <w:p w14:paraId="759CAE81"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Лопнул нижний пояс переднего лонжерона левой плоскости у 13-й нервюры и 3 раскоса «змейки».</w:t>
      </w:r>
    </w:p>
    <w:p w14:paraId="16DF8047"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Повреждена «змейка» заднего лонжерона,</w:t>
      </w:r>
    </w:p>
    <w:p w14:paraId="1748EF8C"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Смяты бомболюки.</w:t>
      </w:r>
    </w:p>
    <w:p w14:paraId="641A99D6"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детальном осмотре самолета и моторов, дефектов, могущих вызвать одновременный отказ всех 4-х моторов, не об</w:t>
      </w:r>
      <w:r w:rsidRPr="00070ADE">
        <w:rPr>
          <w:rFonts w:ascii="Times New Roman" w:hAnsi="Times New Roman"/>
          <w:color w:val="000000" w:themeColor="text1"/>
          <w:sz w:val="16"/>
          <w:szCs w:val="16"/>
        </w:rPr>
        <w:softHyphen/>
        <w:t>наружено.</w:t>
      </w:r>
    </w:p>
    <w:p w14:paraId="6B8C879F"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высотных корректорах карбюраторов АК-82 БП обнаружено:</w:t>
      </w:r>
    </w:p>
    <w:p w14:paraId="093BD9A6"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r w:rsidRPr="00070ADE">
        <w:rPr>
          <w:rFonts w:ascii="Times New Roman" w:hAnsi="Times New Roman"/>
          <w:color w:val="000000" w:themeColor="text1"/>
          <w:sz w:val="16"/>
          <w:szCs w:val="16"/>
        </w:rPr>
        <w:tab/>
        <w:t>В карбюраторе 2-го мотора корпус высотного корректора заполнен льдом на 2/3 (см. фото). Воздушное отверстие к игле корректора заморожено. Воздушные отверстия верхней пустоте</w:t>
      </w:r>
      <w:r w:rsidRPr="00070ADE">
        <w:rPr>
          <w:rFonts w:ascii="Times New Roman" w:hAnsi="Times New Roman"/>
          <w:color w:val="000000" w:themeColor="text1"/>
          <w:sz w:val="16"/>
          <w:szCs w:val="16"/>
        </w:rPr>
        <w:softHyphen/>
        <w:t>лой крышки карбюратора также были заполнены льдом.</w:t>
      </w:r>
    </w:p>
    <w:p w14:paraId="58196495"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r w:rsidRPr="00070ADE">
        <w:rPr>
          <w:rFonts w:ascii="Times New Roman" w:hAnsi="Times New Roman"/>
          <w:color w:val="000000" w:themeColor="text1"/>
          <w:sz w:val="16"/>
          <w:szCs w:val="16"/>
        </w:rPr>
        <w:tab/>
        <w:t>В карбюраторе 1-го мотора корпус автокорректора засо</w:t>
      </w:r>
      <w:r w:rsidRPr="00070ADE">
        <w:rPr>
          <w:rFonts w:ascii="Times New Roman" w:hAnsi="Times New Roman"/>
          <w:color w:val="000000" w:themeColor="text1"/>
          <w:sz w:val="16"/>
          <w:szCs w:val="16"/>
        </w:rPr>
        <w:softHyphen/>
        <w:t>рен порошкообразным веществом, повидимому образовавшемся вследствие коррозии деталей.</w:t>
      </w:r>
    </w:p>
    <w:p w14:paraId="61349992"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r w:rsidRPr="00070ADE">
        <w:rPr>
          <w:rFonts w:ascii="Times New Roman" w:hAnsi="Times New Roman"/>
          <w:color w:val="000000" w:themeColor="text1"/>
          <w:sz w:val="16"/>
          <w:szCs w:val="16"/>
        </w:rPr>
        <w:tab/>
        <w:t>В корпусе высотного корректора 4-го мотора имелся лед, но отверстие к игле корректора не было перекрыто.</w:t>
      </w:r>
    </w:p>
    <w:p w14:paraId="39F45007"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Свечи 1-го мотора имели следы работы на переобогащенной смеси, свечи 2-го мотора работали на обедненной смеси. На мо</w:t>
      </w:r>
      <w:r w:rsidRPr="00070ADE">
        <w:rPr>
          <w:rFonts w:ascii="Times New Roman" w:hAnsi="Times New Roman"/>
          <w:color w:val="000000" w:themeColor="text1"/>
          <w:sz w:val="16"/>
          <w:szCs w:val="16"/>
        </w:rPr>
        <w:softHyphen/>
        <w:t>тор № 1 был установлен винт (с 4-го мотора) мотор подогрет и опробован. Мотор работал при пробе на всех режимах хорошо, показания приборов были нормальные. Бензин и масло в самолете находились в достаточном количестве для продолжения полета (на аэродроме завода в самолет было залито для перелета 6500 лтр. бензина Б-100) 1000 литров бензина было слито из самолета после поломки, и часть бензина вытекла через поврежденную бен- зопроводку.</w:t>
      </w:r>
    </w:p>
    <w:p w14:paraId="6CAEFC26"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объему полученных повреждений самолет подлежит вос</w:t>
      </w:r>
      <w:r w:rsidRPr="00070ADE">
        <w:rPr>
          <w:rFonts w:ascii="Times New Roman" w:hAnsi="Times New Roman"/>
          <w:color w:val="000000" w:themeColor="text1"/>
          <w:sz w:val="16"/>
          <w:szCs w:val="16"/>
        </w:rPr>
        <w:softHyphen/>
        <w:t>становительному ремонту в мастерских с заменой шасси и шас- сийных гондол.</w:t>
      </w:r>
    </w:p>
    <w:p w14:paraId="100C3552"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3F66337A"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Причиной аварии самолета явился отказ моторов ш за</w:t>
      </w:r>
      <w:r w:rsidRPr="00070ADE">
        <w:rPr>
          <w:rFonts w:ascii="Times New Roman" w:hAnsi="Times New Roman"/>
          <w:color w:val="000000" w:themeColor="text1"/>
          <w:sz w:val="16"/>
          <w:szCs w:val="16"/>
        </w:rPr>
        <w:softHyphen/>
        <w:t>ходе на посадку, вследствие забивания снегом карбюраторов в полете при сильном снегоподе.</w:t>
      </w:r>
    </w:p>
    <w:p w14:paraId="4ED19AFF"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Командир самолета гвардии майор Макаренко в создавшихся трудных условиях действовал правильно.</w:t>
      </w:r>
    </w:p>
    <w:p w14:paraId="5A341402"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предупреждения случаев отказе тг-црое обле</w:t>
      </w:r>
      <w:r w:rsidRPr="00070ADE">
        <w:rPr>
          <w:rFonts w:ascii="Times New Roman" w:hAnsi="Times New Roman"/>
          <w:color w:val="000000" w:themeColor="text1"/>
          <w:sz w:val="16"/>
          <w:szCs w:val="16"/>
        </w:rPr>
        <w:softHyphen/>
        <w:t>денения карбюраторов, необходимо ставить кар</w:t>
      </w:r>
      <w:r w:rsidRPr="00070ADE">
        <w:rPr>
          <w:rFonts w:ascii="Times New Roman" w:hAnsi="Times New Roman"/>
          <w:color w:val="000000" w:themeColor="text1"/>
          <w:sz w:val="16"/>
          <w:szCs w:val="16"/>
        </w:rPr>
        <w:softHyphen/>
        <w:t>бюраторы АК-82П5 и автоматически васотный корректор.</w:t>
      </w:r>
    </w:p>
    <w:p w14:paraId="1AF075BC"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Как временное мероприятие для обеспечения боевой работы рекомендуется:</w:t>
      </w:r>
    </w:p>
    <w:p w14:paraId="15E15B15"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Снять сетки с всасывающего патрубка,</w:t>
      </w:r>
    </w:p>
    <w:p w14:paraId="016FE76F"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Запретить на самолетах Пе-8 4М-82 входить в снегопад ливневого характера.</w:t>
      </w:r>
    </w:p>
    <w:p w14:paraId="3D0E46A5"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КОМИССИИ:</w:t>
      </w:r>
    </w:p>
    <w:p w14:paraId="67B9000E"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 ПОДПОЛКОВНИК - _/АНУРОВ/</w:t>
      </w:r>
    </w:p>
    <w:p w14:paraId="3F4415C4"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ЧЛЕНЫ: ГВАРДИИ ПОДПОЛКОВНИК</w:t>
      </w:r>
      <w:r w:rsidRPr="00070ADE">
        <w:rPr>
          <w:rFonts w:ascii="Times New Roman" w:hAnsi="Times New Roman"/>
          <w:color w:val="000000" w:themeColor="text1"/>
          <w:sz w:val="16"/>
          <w:szCs w:val="16"/>
        </w:rPr>
        <w:tab/>
        <w:t>/АБРАМОВ/</w:t>
      </w:r>
    </w:p>
    <w:p w14:paraId="3203E3A2" w14:textId="77777777" w:rsidR="0059774D" w:rsidRPr="00070ADE" w:rsidRDefault="0059774D" w:rsidP="00B56F90">
      <w:pPr>
        <w:spacing w:after="0" w:line="240" w:lineRule="auto"/>
        <w:jc w:val="both"/>
        <w:rPr>
          <w:rFonts w:ascii="Times New Roman" w:hAnsi="Times New Roman"/>
          <w:color w:val="000000" w:themeColor="text1"/>
          <w:sz w:val="16"/>
          <w:szCs w:val="16"/>
        </w:rPr>
      </w:pPr>
      <w:bookmarkStart w:id="0" w:name="bookmark18"/>
      <w:r w:rsidRPr="00070ADE">
        <w:rPr>
          <w:rFonts w:ascii="Times New Roman" w:hAnsi="Times New Roman"/>
          <w:color w:val="000000" w:themeColor="text1"/>
          <w:sz w:val="16"/>
          <w:szCs w:val="16"/>
        </w:rPr>
        <w:t>подполковник</w:t>
      </w:r>
      <w:r w:rsidRPr="00070ADE">
        <w:rPr>
          <w:rFonts w:ascii="Times New Roman" w:hAnsi="Times New Roman"/>
          <w:color w:val="000000" w:themeColor="text1"/>
          <w:sz w:val="16"/>
          <w:szCs w:val="16"/>
        </w:rPr>
        <w:tab/>
        <w:t>/кондратьев/</w:t>
      </w:r>
      <w:bookmarkEnd w:id="0"/>
    </w:p>
    <w:p w14:paraId="5A40991D" w14:textId="77777777" w:rsidR="0059774D" w:rsidRPr="00070ADE" w:rsidRDefault="0059774D" w:rsidP="00B56F90">
      <w:pPr>
        <w:spacing w:after="0" w:line="240" w:lineRule="auto"/>
        <w:jc w:val="both"/>
        <w:rPr>
          <w:rFonts w:ascii="Times New Roman" w:hAnsi="Times New Roman"/>
          <w:color w:val="000000" w:themeColor="text1"/>
          <w:sz w:val="16"/>
          <w:szCs w:val="16"/>
        </w:rPr>
      </w:pPr>
      <w:bookmarkStart w:id="1" w:name="bookmark19"/>
      <w:r w:rsidRPr="00070ADE">
        <w:rPr>
          <w:rFonts w:ascii="Times New Roman" w:hAnsi="Times New Roman"/>
          <w:color w:val="000000" w:themeColor="text1"/>
          <w:sz w:val="16"/>
          <w:szCs w:val="16"/>
        </w:rPr>
        <w:t>инженер-майор</w:t>
      </w:r>
      <w:r w:rsidRPr="00070ADE">
        <w:rPr>
          <w:rFonts w:ascii="Times New Roman" w:hAnsi="Times New Roman"/>
          <w:color w:val="000000" w:themeColor="text1"/>
          <w:sz w:val="16"/>
          <w:szCs w:val="16"/>
        </w:rPr>
        <w:tab/>
        <w:t>/чеботарев/</w:t>
      </w:r>
      <w:bookmarkEnd w:id="1"/>
    </w:p>
    <w:p w14:paraId="7B3ED083" w14:textId="77777777" w:rsidR="0059774D" w:rsidRPr="00070ADE" w:rsidRDefault="0059774D" w:rsidP="00B56F90">
      <w:pPr>
        <w:spacing w:after="0" w:line="240" w:lineRule="auto"/>
        <w:jc w:val="both"/>
        <w:rPr>
          <w:rFonts w:ascii="Times New Roman" w:hAnsi="Times New Roman"/>
          <w:color w:val="000000" w:themeColor="text1"/>
          <w:sz w:val="16"/>
          <w:szCs w:val="16"/>
        </w:rPr>
      </w:pPr>
      <w:bookmarkStart w:id="2" w:name="bookmark20"/>
      <w:r w:rsidRPr="00070ADE">
        <w:rPr>
          <w:rFonts w:ascii="Times New Roman" w:hAnsi="Times New Roman"/>
          <w:color w:val="000000" w:themeColor="text1"/>
          <w:sz w:val="16"/>
          <w:szCs w:val="16"/>
        </w:rPr>
        <w:t>гвардии инженер</w:t>
      </w:r>
      <w:r w:rsidRPr="00070ADE">
        <w:rPr>
          <w:rFonts w:ascii="Times New Roman" w:hAnsi="Times New Roman"/>
          <w:color w:val="000000" w:themeColor="text1"/>
          <w:sz w:val="16"/>
          <w:szCs w:val="16"/>
        </w:rPr>
        <w:tab/>
        <w:t>/столяров/</w:t>
      </w:r>
      <w:bookmarkEnd w:id="2"/>
    </w:p>
    <w:p w14:paraId="33D22FC5"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этой аварии Пе-8 42511 был отремонтирован (19559).</w:t>
      </w:r>
    </w:p>
    <w:p w14:paraId="217F6DE9" w14:textId="77777777" w:rsidR="0059774D" w:rsidRPr="00070ADE" w:rsidRDefault="0059774D" w:rsidP="00B56F90">
      <w:pPr>
        <w:spacing w:after="0" w:line="240" w:lineRule="auto"/>
        <w:jc w:val="both"/>
        <w:rPr>
          <w:rFonts w:ascii="Times New Roman" w:hAnsi="Times New Roman"/>
          <w:color w:val="000000" w:themeColor="text1"/>
          <w:sz w:val="16"/>
          <w:szCs w:val="16"/>
        </w:rPr>
      </w:pPr>
    </w:p>
    <w:p w14:paraId="2D6F348D" w14:textId="77777777" w:rsidR="00E35A28" w:rsidRPr="00C94B78" w:rsidRDefault="00E35A2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8 января по 13 февраля 1944 г. были проведены 400-часовые испытания двигателя М-11Ф. Двигатель М-11Ф имел номинальную мощность на земле 140 л.с. В конструкцию двигателя внесены изменения, связанные с увеличением мощности,</w:t>
      </w:r>
      <w:r w:rsidRPr="00C94B78">
        <w:rPr>
          <w:rFonts w:ascii="Times New Roman" w:hAnsi="Times New Roman"/>
          <w:color w:val="0070C0"/>
          <w:sz w:val="16"/>
          <w:szCs w:val="16"/>
        </w:rPr>
        <w:tab/>
        <w:t>улучшением условий эксплуатации Распространения двигатель не получил (25039).</w:t>
      </w:r>
    </w:p>
    <w:p w14:paraId="1E3FC567" w14:textId="77777777" w:rsidR="00E35A28" w:rsidRPr="00C94B78" w:rsidRDefault="00E35A28" w:rsidP="00B56F90">
      <w:pPr>
        <w:spacing w:after="0" w:line="240" w:lineRule="auto"/>
        <w:jc w:val="both"/>
        <w:rPr>
          <w:rFonts w:ascii="Times New Roman" w:hAnsi="Times New Roman"/>
          <w:color w:val="0070C0"/>
          <w:sz w:val="16"/>
          <w:szCs w:val="16"/>
        </w:rPr>
      </w:pPr>
    </w:p>
    <w:p w14:paraId="30A859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января 1944 г. и 26.02.1944 г. на основании приказов НКАП № 16с и № 146с при заводе № 41 в составе 8ГУ образовано ОКБ с опытной базой для работ по маломощным моторам.</w:t>
      </w:r>
    </w:p>
    <w:p w14:paraId="45735717" w14:textId="5643C58C"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приказа № 146с от 26.02.1944 г. на территорию завода № 41 было переведено в течение месяца ОКБ завода № 154 НКАП из</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Андижана со всеми кадрами и оборудованием для концентрации работ по легким моторам.</w:t>
      </w:r>
    </w:p>
    <w:p w14:paraId="74E0EB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Модификации мотора М-11: М-11Ф (испытан в 02.1945 г., ведущий конструктор- A.M. Власенко), М-11Я, М- 12 (испытан в 05.1945 г., ведущий конструктор- A.M. Власенко).</w:t>
      </w:r>
    </w:p>
    <w:p w14:paraId="73B613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04.1946 г. в МАП сделан вывод о неудовлетворительной работе ОКБ. Планировалось его ликвидировать и объединить с заводом № 41 с 1.09.1946 г., а работы по модернизации М-11 прекратить (приказ МАП № 414с от 1.07.1946 г.). Е.В. Урмин освобожден от должности (04.1946 г. или ранее), далее снова работал в ЦИАМ и на преподавательской работе. Однако работы по М-11 были продолжены. Их руководителем и начальником ОКБ назначен И.А. Мужилов (до ВОВ работал на заводе № 16, с 11.1940 г. был начальником СКО завода № 451 НКАП. затем работал на заводе № 41). Работы по М-11ФР. В связи с развертыванием работ по ГТД производство моторов М-11 перевели на завод № 154, туда же планировалось перевести и ОКБ (приказ № 546сс от 15.08.1946 г.). Однако ОКБ осталось на заводе, были проведены испытания и доводка М-11ФРВ, создан опытный М-13, в 1947-48 г. построено 3 экземпляра, проведены заводские и гос. стендовые испытания.</w:t>
      </w:r>
    </w:p>
    <w:p w14:paraId="2B1590F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1948 г. ОКБ ликвидировано (в рамках сокращения опытных работ), работы по М-13 прекращены.</w:t>
      </w:r>
    </w:p>
    <w:p w14:paraId="75678B1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(1944-46 г.)- Е.В. Урмин.</w:t>
      </w:r>
    </w:p>
    <w:p w14:paraId="204F6A5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(1946-48 г.)- И.А. Мужилов (11982).</w:t>
      </w:r>
    </w:p>
    <w:p w14:paraId="21AE563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82DEC3F"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4CD01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B328D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января 1944 вышло Постановление ГКО № 4897 О плане распределения нефтепродуктов на I квартал 1944 г. РГАНИР, Фонд ГКО, д. 186, лл. 1-2,3-35 (11012).</w:t>
      </w:r>
    </w:p>
    <w:p w14:paraId="0F318B0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AAE7E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ян</w:t>
      </w:r>
      <w:r w:rsidRPr="00070ADE">
        <w:rPr>
          <w:rFonts w:ascii="Times New Roman" w:hAnsi="Times New Roman"/>
          <w:color w:val="000000" w:themeColor="text1"/>
          <w:sz w:val="16"/>
          <w:szCs w:val="16"/>
        </w:rPr>
        <w:softHyphen/>
        <w:t>варя 1944 г. бьш утвержден улучшенный вариант тральщика пр. 253Л для второй серии малых базовых тральщиков типа МТ-2. Для повышения живу</w:t>
      </w:r>
      <w:r w:rsidRPr="00070ADE">
        <w:rPr>
          <w:rFonts w:ascii="Times New Roman" w:hAnsi="Times New Roman"/>
          <w:color w:val="000000" w:themeColor="text1"/>
          <w:sz w:val="16"/>
          <w:szCs w:val="16"/>
        </w:rPr>
        <w:softHyphen/>
        <w:t>чести один из трех импортных дизелей мощностью 230 л. с. пере</w:t>
      </w:r>
      <w:r w:rsidRPr="00070ADE">
        <w:rPr>
          <w:rFonts w:ascii="Times New Roman" w:hAnsi="Times New Roman"/>
          <w:color w:val="000000" w:themeColor="text1"/>
          <w:sz w:val="16"/>
          <w:szCs w:val="16"/>
        </w:rPr>
        <w:softHyphen/>
        <w:t>несли из машинного отделения в тральный трюм, установили тре</w:t>
      </w:r>
      <w:r w:rsidRPr="00070ADE">
        <w:rPr>
          <w:rFonts w:ascii="Times New Roman" w:hAnsi="Times New Roman"/>
          <w:color w:val="000000" w:themeColor="text1"/>
          <w:sz w:val="16"/>
          <w:szCs w:val="16"/>
        </w:rPr>
        <w:softHyphen/>
        <w:t>тий дизель-генератор (15 кВт), штурманскую рубку, гирокомпас, усиленное зенитное вооружение: два автомата 70К и два спаренных пулемета. Теперь применение КЭМТ-2 обеспечивалось питанием с одного тральщика (3898).</w:t>
      </w:r>
    </w:p>
    <w:p w14:paraId="132D61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F8703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января 1944 Утвержден проект ТЩ типа МТ-2 (II серия МТ), в котором был учтен опыт боевого использования кораблей I серии. Основные характеристики нового ТЩ: нормальное водоизмещение 129 т, осадка 1,35 м, вооружение - два орудия калибра 37 мм, два пулемета. За счет введения двух машинных отделений улучшена живучесть катера, повышены мореходные качества, установка третьего дизель-генератора мощностью 15 кВт обеспечила питанием петлевой трал от одного тральщика (10671).</w:t>
      </w:r>
    </w:p>
    <w:p w14:paraId="2BF524D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6938E3E"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5C4D2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CEC9D6"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8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2A21E352"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8 января войска 1-го Украинского фронта,продолжая наступление, овладели районным центром Винницкой области Ильинцы, а также с боями заняли более 60 других населённых пунктов, среди которых крупные населённые пункты Виры, Ленчи, Чудель, Рудня Боровская, Сивки, Бельчаки, Новая Чартория, Коростки, Липно, Михайловка, Красносёлка, Райгородок, Обуховка, Маркуши, Новая Гребля, Кошланы, Лукашовка, Шуляки, Пугачовка, Житники, Ольшанка,Марейка, Сорокатяги, Тетеревка, Красиловка, Станиславчик, Чапаевка, Переселение, Кагарлыкская Слобода, Великие Прицьки и железнодорожные станции Страшов, Бродецкое, Голендры.</w:t>
      </w:r>
    </w:p>
    <w:p w14:paraId="711A8CB0"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в результате умелого обходного манёвра 8 января овладели крупным областным и промышленным центром Украины городом Кировоград, а также с боями заняли более 80 других населённых пунктов и среди них крупные населённые пункты Полудневка, Матвеевка, Высшие Верещаки, Низшие Верещаки, Сосновка, Тарасовка, Букварка, Ульяновка, Покликтаровка, Мелековка, Александровка, Безводная, Маровка, Зелёная, Ворошилова. Губовка.</w:t>
      </w:r>
    </w:p>
    <w:p w14:paraId="22943C38"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2BD6E29F"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7 января наши войска на всех фронтах подбили и уничтожили 74 немецких танка. В воздушных боях и огнём зенитной артиллерии сбито 28 самолётов противника.</w:t>
      </w:r>
    </w:p>
    <w:p w14:paraId="6DC0C307"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наступление. Части Н-ского соединения, при активном содействии ровенских партизан, заняли железнодорожную станцию Страшов. В другом районе наши войска встретили упорное сопротивление немцев на заранее подготовленных ими позициях. Совершив стремительный манёвр, советские танки и пехота нанесли противнику удар с фланга и отбросили его с этого оборонительного рубежа. На поле боя осталось свыше 700 вражеских трупов. Захвачено 17 полевых и 2 самоходных орудия, 64 пулемёта, 12 миномётов, 46 автомашин, склад с горючим и два склада с боеприпасами. Наши войска, продвигаясь вперёд, с боями овладели районным центром Винницкой области Ильинцы и заняли более 60 других населённых пунктов. За день боёв уничтожено до полка пехоты противника, сожжено и подбито 19 танков, 5 самоходных орудий и 6 бронетранспортёров. Захвачено у немцев 22 полевых и 7 зенитных орудий, большой обоз с военным имуществом и 7 разных складов. Взяты пленные.</w:t>
      </w:r>
    </w:p>
    <w:p w14:paraId="1706D882"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лётчики наносили удары по боевым порядкам и коммуникациям противника. В результате действий авиации уничтожено 20 вражеских танков, до 150 автомашин, 10 паровозов, 60 вагонов, 11 цистерн с горючим и взорван склад боеприпасов.</w:t>
      </w:r>
    </w:p>
    <w:p w14:paraId="7CACBB87"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окружив вчера город Кировоград, в течение ночи вели бои по ликвидации немецких войск, засевших в городе. Советские танкисты ворвались на юго-западную и юго-восточную окраины Кировограда. В это же время пехотные части, тесня гитлеровцев, вышли к Северо-западной окраине городаи завязали уличные бои. Продолжая сжимать кольцо окружения, наши войска быстро подавили очаги сопротивления немцев и сегодня полностью овладели областным центром Украины городом Кировоград. В боях на подступах к городу и на его улицах противник понёс огромные потери. Многие немецкие подразделения прекратили сопротивление, сложили оружие и сдались в плен. Советскими войсками захвачены большие трофеи, в числе которых танки, самоходные и полевые орудия, многострелкового вооружения, паровозы, вагоны, автомашины, склады с боеприпасами, продовольствием и военным имуществом. Овладев Кировоградом, войска 2-гоУкраинского фронта продолжали наступление и заняли более 80 других населённых пунктов. В боях за эти пункты наши танкисты истребили два батальона гитлеровцев, сожгли и подбили 32 танка и 3 самоходных орудия противника. Советская авиация активно поддерживала наступление наземных войск. В течение дня наши лётчики ввоздушных боях сбили 22 немецких самолёта.</w:t>
      </w:r>
    </w:p>
    <w:p w14:paraId="09A3351D"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партизанских отрядов, действующих в Брестской области, в начале января вели бои с немецкой карательной экспедицией. Советские патриоты истребилидо 150 гитлеровцев и взяли в плен 36 немецких солдат. Ружейно-пулемётным огнём сбит транспортный самолёт противника. Группа брестских партизан проникла в крупный населённый пункт и взорвала две немецкие казармы, уничтожив при этом свыше 40 офицеров и солдат противника. Много гитлеровцев, находившихся в казармах, ранено.</w:t>
      </w:r>
    </w:p>
    <w:p w14:paraId="553951CE"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Пленный солдат 18 финской пехотной дивизии Альберт Андерс Гуннар рассказал:«Я добровольно поступил в финскую армию 16 июля 1941 года и был зачислен в шюцкоровскую роту, которая находилась в Восточной Карелии. В октябре 1942 года меня перевели в 18 пехотную дивизию. Находясь в шюцкоровской роте в Виэль-Ярви, мы охраняли лагерь советских военнопленных. Пленные влачили жалкое и голодное существование. На завтрак они получали воду и крошечный кусочек хлеба с большой примесью древесной муки. После этого пленных угоняли на работу. Надсмотрщики подгоняли их и избивали. На обед пленным выдавали несколько ложек </w:t>
      </w:r>
      <w:r w:rsidRPr="00070ADE">
        <w:rPr>
          <w:rFonts w:ascii="Times New Roman" w:hAnsi="Times New Roman"/>
          <w:color w:val="000000" w:themeColor="text1"/>
          <w:sz w:val="16"/>
          <w:szCs w:val="16"/>
        </w:rPr>
        <w:lastRenderedPageBreak/>
        <w:t>несъедобной каши из отходов ржаной муки или похлебки из картофельных отбросов. Только очень изголодавшийся человек мог есть такую пищу. Из числа солдат, охранявших лагерь, я знаю Пааво Оландера и Эркки Ехюдениуса из Оулункюля, Бертола Нюмаша из Хельсинки. Они могут подтвердить, что я говорю правду. Лагерь военнопленных имеется также около Маткасельке. Заключённые в этом лагере работают на лесозаготовках. Проездом я видел их за работой. У пленных был крайне измождённый вид. Несмотря на сильный мороз, они были одеты в тряпьё. О расстрелах русских военнопленных мне рассказывали многие финские солдаты».</w:t>
      </w:r>
    </w:p>
    <w:p w14:paraId="1304357D"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финский солдат Альберт Андерс Гуннар, как явствует из его показаний, находился в охране лагеря советских военнопленных в Финляндии. Надо полагать, что этот матёрый шюцкоровец не сообщил и десятой доли того, что ему известно. Но даже и из его показаний очевидно, что белофинны голодом, каторжным режимом и непосильным трудом обрекают советских военнопленных на медленную смерть. Лагери для советских военнопленных в Финляндии построены по образу и подобию немецких лагерей. Финские сообщники Гитлера стараются во всём следовать немецко-фашистским мерзавцам. Советский народ не забудет этих преступленийбелофиннов. Гитлеровские пособники из правящей клики Финляндии, как инепосредственные виновники в издевательствах над советскими военнопленными, будут сурово наказаны.» (15003).</w:t>
      </w:r>
    </w:p>
    <w:p w14:paraId="2384B43C" w14:textId="77777777" w:rsidR="00264F92" w:rsidRPr="00070ADE" w:rsidRDefault="00264F92" w:rsidP="00B56F90">
      <w:pPr>
        <w:spacing w:after="0" w:line="240" w:lineRule="auto"/>
        <w:jc w:val="both"/>
        <w:rPr>
          <w:rFonts w:ascii="Times New Roman" w:hAnsi="Times New Roman"/>
          <w:color w:val="000000" w:themeColor="text1"/>
          <w:sz w:val="16"/>
          <w:szCs w:val="16"/>
        </w:rPr>
      </w:pPr>
    </w:p>
    <w:p w14:paraId="350321A3"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8 января</w:t>
      </w:r>
      <w:r w:rsidRPr="00070ADE">
        <w:rPr>
          <w:rFonts w:ascii="Times New Roman" w:hAnsi="Times New Roman"/>
          <w:color w:val="000000" w:themeColor="text1"/>
          <w:sz w:val="16"/>
          <w:szCs w:val="16"/>
        </w:rPr>
        <w:t xml:space="preserve"> в 1944 году (8 – 24 января) безуспешное наступление войск Западного фронта на богушевском направлении (15003).</w:t>
      </w:r>
    </w:p>
    <w:p w14:paraId="542E3AC3" w14:textId="77777777" w:rsidR="00264F92" w:rsidRPr="00070ADE" w:rsidRDefault="00264F92" w:rsidP="00B56F90">
      <w:pPr>
        <w:spacing w:after="0" w:line="240" w:lineRule="auto"/>
        <w:jc w:val="both"/>
        <w:rPr>
          <w:rFonts w:ascii="Times New Roman" w:hAnsi="Times New Roman"/>
          <w:color w:val="000000" w:themeColor="text1"/>
          <w:sz w:val="16"/>
          <w:szCs w:val="16"/>
        </w:rPr>
      </w:pPr>
    </w:p>
    <w:p w14:paraId="0C912EC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января 1944 года 19-й КИАП (с августа 1944 года - 176-й ГИАП) под командованием Героя Советского Союза полковника Л.Л. Шестакова в составе 40 экипажей, полностью укомплектованный и оттренированныи, убыл на 1-й Украинский фронт и при</w:t>
      </w:r>
      <w:r w:rsidRPr="00070ADE">
        <w:rPr>
          <w:rFonts w:ascii="Times New Roman" w:hAnsi="Times New Roman"/>
          <w:color w:val="000000" w:themeColor="text1"/>
          <w:sz w:val="16"/>
          <w:szCs w:val="16"/>
        </w:rPr>
        <w:softHyphen/>
        <w:t>ступил к боевым действиям с аэро</w:t>
      </w:r>
      <w:r w:rsidRPr="00070ADE">
        <w:rPr>
          <w:rFonts w:ascii="Times New Roman" w:hAnsi="Times New Roman"/>
          <w:color w:val="000000" w:themeColor="text1"/>
          <w:sz w:val="16"/>
          <w:szCs w:val="16"/>
        </w:rPr>
        <w:softHyphen/>
        <w:t>дрома Журбинцы 20 января 1944 года (10714).</w:t>
      </w:r>
    </w:p>
    <w:p w14:paraId="38BD076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D2A6BB" w14:textId="77777777" w:rsidR="0059774D" w:rsidRPr="00070ADE" w:rsidRDefault="005977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января 1944 года 19-й КИАП (с августа 1944 г. — 176-й ГИАП) под командованием Героя Советского Союза полковника Л.Л. Шестакова в составе 40 экипажей, полностью укомплектованный и оттренированный, убыл на 1-й Украинский фронт и 20 января 1944 г. приступил к боевым действиям с аэродрома Журбинцы (15829).</w:t>
      </w:r>
    </w:p>
    <w:p w14:paraId="1A532E60" w14:textId="77777777" w:rsidR="0059774D" w:rsidRPr="00070ADE" w:rsidRDefault="0059774D" w:rsidP="00B56F90">
      <w:pPr>
        <w:spacing w:after="0" w:line="240" w:lineRule="auto"/>
        <w:jc w:val="both"/>
        <w:rPr>
          <w:rFonts w:ascii="Times New Roman" w:hAnsi="Times New Roman"/>
          <w:color w:val="000000" w:themeColor="text1"/>
          <w:sz w:val="16"/>
          <w:szCs w:val="16"/>
        </w:rPr>
      </w:pPr>
    </w:p>
    <w:p w14:paraId="0426D59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января 1944 советские войска освободили от фашистов Кировоград (4962).</w:t>
      </w:r>
    </w:p>
    <w:p w14:paraId="60DBFA7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2452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января 1944 в ходе Кировоградская операция 2УФ (И.С.Конев) против 8А, которая началась 5 января 1944 и завершилась 16 января 1944, был освобожден Кировоград (3398,12).</w:t>
      </w:r>
    </w:p>
    <w:p w14:paraId="766E124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C0D4A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070ADE">
        <w:rPr>
          <w:rFonts w:ascii="Times New Roman" w:hAnsi="Times New Roman"/>
          <w:i/>
          <w:iCs/>
          <w:color w:val="000000" w:themeColor="text1"/>
          <w:sz w:val="16"/>
          <w:szCs w:val="16"/>
        </w:rPr>
        <w:t>За</w:t>
      </w:r>
      <w:r w:rsidRPr="00070ADE">
        <w:rPr>
          <w:rFonts w:ascii="Times New Roman" w:hAnsi="Times New Roman"/>
          <w:i/>
          <w:iCs/>
          <w:color w:val="000000" w:themeColor="text1"/>
          <w:sz w:val="16"/>
          <w:szCs w:val="16"/>
          <w:lang w:val="en-US"/>
        </w:rPr>
        <w:t xml:space="preserve"> </w:t>
      </w:r>
      <w:r w:rsidRPr="00070ADE">
        <w:rPr>
          <w:rFonts w:ascii="Times New Roman" w:hAnsi="Times New Roman"/>
          <w:i/>
          <w:iCs/>
          <w:color w:val="000000" w:themeColor="text1"/>
          <w:sz w:val="16"/>
          <w:szCs w:val="16"/>
        </w:rPr>
        <w:t>рубежом</w:t>
      </w:r>
      <w:r w:rsidRPr="00070ADE">
        <w:rPr>
          <w:rFonts w:ascii="Times New Roman" w:hAnsi="Times New Roman"/>
          <w:i/>
          <w:iCs/>
          <w:color w:val="000000" w:themeColor="text1"/>
          <w:sz w:val="16"/>
          <w:szCs w:val="16"/>
          <w:lang w:val="en-US"/>
        </w:rPr>
        <w:t>:</w:t>
      </w:r>
    </w:p>
    <w:p w14:paraId="3BAA41C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0DA9B9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January 8, 1944. Developed in only 143 days, the prototype Lockheed XP-80 Shooting Star, Lulu Belle, makes its first flight at Muroc Dry Lake (later Edwards AFB), Calif., with Milo Burcham at the controls. It is the first American fighter to exceed 500 mph in level flight (1089).</w:t>
      </w:r>
    </w:p>
    <w:p w14:paraId="434C664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4FD33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января 1944 прототип Lockheed XP-80 Shooting Star выполнил первый полет (1089).</w:t>
      </w:r>
    </w:p>
    <w:p w14:paraId="60B235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BE27F0"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8 января</w:t>
      </w:r>
      <w:r w:rsidRPr="00070ADE">
        <w:rPr>
          <w:rFonts w:ascii="Times New Roman" w:hAnsi="Times New Roman"/>
          <w:color w:val="000000" w:themeColor="text1"/>
          <w:sz w:val="16"/>
          <w:szCs w:val="16"/>
        </w:rPr>
        <w:t xml:space="preserve"> в 1944 году первый полет самолета «ХР-80», одного из прототипов </w:t>
      </w:r>
      <w:hyperlink r:id="rId18" w:tgtFrame="_blank" w:history="1">
        <w:r w:rsidRPr="00070ADE">
          <w:rPr>
            <w:rFonts w:ascii="Times New Roman" w:hAnsi="Times New Roman"/>
            <w:color w:val="000000" w:themeColor="text1"/>
            <w:sz w:val="16"/>
            <w:szCs w:val="16"/>
          </w:rPr>
          <w:t xml:space="preserve">«Локхид» «F-80» «Шутинг Стар» («Lockheed F-80 Shooting Star») </w:t>
        </w:r>
      </w:hyperlink>
      <w:r w:rsidRPr="00070ADE">
        <w:rPr>
          <w:rFonts w:ascii="Times New Roman" w:hAnsi="Times New Roman"/>
          <w:color w:val="000000" w:themeColor="text1"/>
          <w:sz w:val="16"/>
          <w:szCs w:val="16"/>
        </w:rPr>
        <w:t>под управлением летчика-испытателя Майло Берхэма. Полет был прерван через пять минут после того, как пилоту не удалось убрать стойки шасси. Кроме того выявилась излишняя чувствительность элеронов. Самолет быстро отремонтировали, и Майло тут же взлетел. В течение 20 минут полета Майло проверил самолет на скороподъемность, срывные характеристики, прокрутил бочки, сделал несколько "горок". Только на посадке произошла небольшая неприятность - не полностью выпустились закрылки. Очевидцы вспоминали, что такую скорость крена, как на «ХР-80», им видеть еще не приходилось - "бочка" выполнялась за секунду! Летчик-испытатель доложил: "Это было новое чувство полета!" Скорость полета доходила до 750 км/ч. К 15 января уже было выполнено пять полетов с налетом в 1,67 часа. Но последующие полеты показали плохие штопорные характеристики и высокую скорость срыва самолета - после выпуска закрылков самолет мог без предупреждения свалиться вправо. Кроме того, были велики нагрузки на ручке управления, неудовлетворительно работала топливная система, а двигатель отличался низкой надежностью, да и его мощности явно не хватало. Несколько странно вел себя руль направления - в зависимости от скорости для прямолинейного полета приходилось давать то правую, то левую ногу. 17 января был взят "тайм-аут" на десять дней для доработок самолета. Проблемы решались одна за другой: "обрубленные" законцовки крыла и стабилизатора были заменены на скругленные; зализы в корне крыла получили острую переднюю кромку; V-образность стабилизатора была увеличена на полтора градуса. Считая модель бесперспективной 8 ноября 1946 г. «ХР-80» был передан в экспозицию Смитсоновского института. 21 января было решено начать работы над двумя «L-141» («ХР-80» под двигатель «Дженерал-Электрик 1-40», позже названный «J33»), и восемью предсерийными «YP-80». Армейским ВВС США проект понравился, и были заказаны два самолета, 31 января получивших официальное обозначение «ХР-80А». В 1946 г. "Шутинг стары" поступили на вооружение 38-й эскадрильи 55-й истребительной группы и 27-й, 71-й и 94-й эскадрилий 1-й истребительной группы в Штатах, а также 31-й истребительной группы (307-я, 308-я и 309-я эскадрильи), расквартированной в Германии, и 18-го истребительно-бомбардировочного крыла (12-я, 44-я и 67-я эскадрильи), расквартированного на Окинаве. В июне 1948 г «Р-80А» и «FP-80A» были переименованы соответственно в «F-80A» и «RF-80A» (15003).</w:t>
      </w:r>
    </w:p>
    <w:p w14:paraId="2D0EEC5E" w14:textId="77777777" w:rsidR="00264F92" w:rsidRPr="00070ADE" w:rsidRDefault="00264F92" w:rsidP="00B56F90">
      <w:pPr>
        <w:spacing w:after="0" w:line="240" w:lineRule="auto"/>
        <w:jc w:val="both"/>
        <w:rPr>
          <w:rFonts w:ascii="Times New Roman" w:hAnsi="Times New Roman"/>
          <w:color w:val="000000" w:themeColor="text1"/>
          <w:sz w:val="16"/>
          <w:szCs w:val="16"/>
        </w:rPr>
      </w:pPr>
    </w:p>
    <w:p w14:paraId="7826AAC9" w14:textId="77777777" w:rsidR="007F6D1D" w:rsidRPr="00070ADE" w:rsidRDefault="007F6D1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января 1944 первый полет Lockheed XP-80, прототипа P-80 Shooting Star (20373).</w:t>
      </w:r>
    </w:p>
    <w:p w14:paraId="7E72E351" w14:textId="77777777" w:rsidR="007F6D1D" w:rsidRPr="00070ADE" w:rsidRDefault="007F6D1D" w:rsidP="00B56F90">
      <w:pPr>
        <w:spacing w:after="0" w:line="240" w:lineRule="auto"/>
        <w:jc w:val="both"/>
        <w:rPr>
          <w:rFonts w:ascii="Times New Roman" w:hAnsi="Times New Roman"/>
          <w:color w:val="000000" w:themeColor="text1"/>
          <w:sz w:val="16"/>
          <w:szCs w:val="16"/>
        </w:rPr>
      </w:pPr>
    </w:p>
    <w:p w14:paraId="4163BE00" w14:textId="77777777" w:rsidR="00E35A28" w:rsidRPr="00C94B78" w:rsidRDefault="00E35A28"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 xml:space="preserve">8 января 1944 г. будущий </w:t>
      </w:r>
      <w:r w:rsidRPr="00C94B78">
        <w:rPr>
          <w:rStyle w:val="aff1"/>
          <w:rFonts w:ascii="Times New Roman" w:hAnsi="Times New Roman" w:cs="Times New Roman"/>
          <w:color w:val="0070C0"/>
          <w:spacing w:val="0"/>
          <w:sz w:val="16"/>
          <w:szCs w:val="16"/>
          <w:lang w:val="en-US"/>
        </w:rPr>
        <w:t>P</w:t>
      </w:r>
      <w:r w:rsidRPr="00C94B78">
        <w:rPr>
          <w:rStyle w:val="aff1"/>
          <w:rFonts w:ascii="Times New Roman" w:hAnsi="Times New Roman" w:cs="Times New Roman"/>
          <w:color w:val="0070C0"/>
          <w:spacing w:val="0"/>
          <w:sz w:val="16"/>
          <w:szCs w:val="16"/>
        </w:rPr>
        <w:t>-80</w:t>
      </w:r>
      <w:r w:rsidRPr="00C94B78">
        <w:rPr>
          <w:rStyle w:val="aff1"/>
          <w:rFonts w:ascii="Times New Roman" w:hAnsi="Times New Roman" w:cs="Times New Roman"/>
          <w:color w:val="0070C0"/>
          <w:spacing w:val="0"/>
          <w:sz w:val="16"/>
          <w:szCs w:val="16"/>
          <w:lang w:val="en-US"/>
        </w:rPr>
        <w:t>R</w:t>
      </w:r>
      <w:r w:rsidRPr="00C94B78">
        <w:rPr>
          <w:rStyle w:val="aff1"/>
          <w:rFonts w:ascii="Times New Roman" w:hAnsi="Times New Roman" w:cs="Times New Roman"/>
          <w:color w:val="0070C0"/>
          <w:spacing w:val="0"/>
          <w:sz w:val="16"/>
          <w:szCs w:val="16"/>
        </w:rPr>
        <w:t xml:space="preserve"> «Шутинг Стар» поднялась в воздух. Началась напряженная программа испыта</w:t>
      </w:r>
      <w:r w:rsidRPr="00C94B78">
        <w:rPr>
          <w:rStyle w:val="aff1"/>
          <w:rFonts w:ascii="Times New Roman" w:hAnsi="Times New Roman" w:cs="Times New Roman"/>
          <w:color w:val="0070C0"/>
          <w:spacing w:val="0"/>
          <w:sz w:val="16"/>
          <w:szCs w:val="16"/>
        </w:rPr>
        <w:softHyphen/>
        <w:t>ний. 10 июня к первому самолету присоединился второй опыт</w:t>
      </w:r>
      <w:r w:rsidRPr="00C94B78">
        <w:rPr>
          <w:rStyle w:val="aff1"/>
          <w:rFonts w:ascii="Times New Roman" w:hAnsi="Times New Roman" w:cs="Times New Roman"/>
          <w:color w:val="0070C0"/>
          <w:spacing w:val="0"/>
          <w:sz w:val="16"/>
          <w:szCs w:val="16"/>
        </w:rPr>
        <w:softHyphen/>
        <w:t>ный образец.</w:t>
      </w:r>
    </w:p>
    <w:p w14:paraId="2A7CD2A7" w14:textId="77777777" w:rsidR="00E35A28" w:rsidRPr="00C94B78" w:rsidRDefault="00E35A28"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ходе работ выяснилось, что Р-80 оказался неожиданно простым в производстве. При его создании было выполнено всего 700 чертежей, а на производство одного самолета уходило в три раза меньше времени, чем на изготовление его предше</w:t>
      </w:r>
      <w:r w:rsidRPr="00C94B78">
        <w:rPr>
          <w:rStyle w:val="aff1"/>
          <w:rFonts w:ascii="Times New Roman" w:hAnsi="Times New Roman" w:cs="Times New Roman"/>
          <w:color w:val="0070C0"/>
          <w:spacing w:val="0"/>
          <w:sz w:val="16"/>
          <w:szCs w:val="16"/>
        </w:rPr>
        <w:softHyphen/>
        <w:t>ственника — истребителя Р-38 «Лайтнинг» (25675).</w:t>
      </w:r>
    </w:p>
    <w:p w14:paraId="11AA238B" w14:textId="77777777" w:rsidR="00E35A28" w:rsidRPr="00C94B78" w:rsidRDefault="00E35A28" w:rsidP="00B56F90">
      <w:pPr>
        <w:spacing w:after="0" w:line="240" w:lineRule="auto"/>
        <w:jc w:val="both"/>
        <w:rPr>
          <w:rFonts w:ascii="Times New Roman" w:hAnsi="Times New Roman"/>
          <w:color w:val="0070C0"/>
          <w:sz w:val="16"/>
          <w:szCs w:val="16"/>
        </w:rPr>
      </w:pPr>
    </w:p>
    <w:p w14:paraId="188795D6" w14:textId="77777777" w:rsidR="007F6D1D" w:rsidRPr="00070ADE" w:rsidRDefault="007F6D1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января 1944 года, в 9 часов утра, «Лулу» - Lulu Belle поднялась в воздух на авиабазе Мюрок. Следующий полет XР-80 совершил через час. Началась напряженная программа испытаний (22848).</w:t>
      </w:r>
    </w:p>
    <w:p w14:paraId="248BEC84" w14:textId="77777777" w:rsidR="007F6D1D" w:rsidRPr="00070ADE" w:rsidRDefault="007F6D1D" w:rsidP="00B56F90">
      <w:pPr>
        <w:spacing w:after="0" w:line="240" w:lineRule="auto"/>
        <w:jc w:val="both"/>
        <w:rPr>
          <w:rFonts w:ascii="Times New Roman" w:hAnsi="Times New Roman"/>
          <w:color w:val="000000" w:themeColor="text1"/>
          <w:sz w:val="16"/>
          <w:szCs w:val="16"/>
        </w:rPr>
      </w:pPr>
    </w:p>
    <w:p w14:paraId="308EA53F"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8 января</w:t>
      </w:r>
      <w:r w:rsidRPr="00070ADE">
        <w:rPr>
          <w:rFonts w:ascii="Times New Roman" w:hAnsi="Times New Roman"/>
          <w:color w:val="000000" w:themeColor="text1"/>
          <w:sz w:val="16"/>
          <w:szCs w:val="16"/>
        </w:rPr>
        <w:t xml:space="preserve"> в 1944 году первый безмоторный полёт истребителя-перехватчика «J8M1». Для более тщательного изучения управляемости будущего перехватчика при полной нагрузке компания «Мицубиси» первые два «J8M1» выполнила в планерном варианте с балластом вместо двигателя и топлива. В первый безмотоный полет «J8M1» был поднят на буксире за «B6N1» (15003).</w:t>
      </w:r>
    </w:p>
    <w:p w14:paraId="6B662638" w14:textId="77777777" w:rsidR="00264F92" w:rsidRPr="00070ADE" w:rsidRDefault="00264F92" w:rsidP="00B56F90">
      <w:pPr>
        <w:spacing w:after="0" w:line="240" w:lineRule="auto"/>
        <w:jc w:val="both"/>
        <w:rPr>
          <w:rFonts w:ascii="Times New Roman" w:hAnsi="Times New Roman"/>
          <w:color w:val="000000" w:themeColor="text1"/>
          <w:sz w:val="16"/>
          <w:szCs w:val="16"/>
        </w:rPr>
      </w:pPr>
    </w:p>
    <w:p w14:paraId="48D5255C"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4070D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98AB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января 1944 года решением ГОКО мастерская НКАП, организованная 9 сентября 1943 года в Киеве в Шевченковском районе, по ул. Мельника, д. 12 и Глубочице, 1 на площадке бывш. завода № 455 им. Артема НКАП, эвакуированного в 1941 году в Куйбышев, сразу после освобождения Киева от оккупации, была была реорганизована как завод под № 485 (директор Власов).</w:t>
      </w:r>
    </w:p>
    <w:p w14:paraId="3507DE8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Первой продукцией мастерских, организованных как уже сказано 9 сентября 1943 года были детали и крепеж для восстанавливаемых (взорванных немцами) днепровских мостов Киева, а затем со второго квартала 1944 года по 1947 год завод (первоначально мастерские) организовалпроизводство агрегатов бомбардировочного вооружения для самолетов: счетчик остатка патронов УСБ-1, балочный держатель БД2-45, электромеханический привод и др. С 1948 года завод приступил к изготовлению более сложных агрегатов бомбардировочного вооружения для самолета ТУ-14. Адрес: Киев, п/я 50 (9856).</w:t>
      </w:r>
    </w:p>
    <w:p w14:paraId="09F1264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556874"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E94DF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365C7D" w14:textId="77777777" w:rsidR="00E35A28" w:rsidRPr="00C94B78" w:rsidRDefault="00E35A28"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9 января 1944 г. вышло заключение АК ГАУ, согласно которому 85 мм противотанковая пушка ЦАКБ и завода № 92 ЗИС-С-8 полигонные испытания не выдержала. Тем не менее она еще несколько раз проходила полигонные и даже войсковые испытания, но на вооружение ее так и не приняли.</w:t>
      </w:r>
    </w:p>
    <w:p w14:paraId="0586DCFD" w14:textId="77777777" w:rsidR="00E35A28" w:rsidRPr="00C94B78" w:rsidRDefault="00E35A28"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Основными недостатками, выявленными в ходе испытаний ЗИС-С-8, были недостаточная прочность и надежность дульного тормоза, а также сильное воздействие его на орудийный расчет; плохая экстракция гильзы и неудовлетворительная работа противооткатных устройств при длительной стрельбе; неудовлетворительная работа подъемного механизма.</w:t>
      </w:r>
    </w:p>
    <w:p w14:paraId="21D88485" w14:textId="77777777" w:rsidR="00E35A28" w:rsidRPr="00C94B78" w:rsidRDefault="00E35A28"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Это не слишком серьезные недостатки для опытной артсистемы. И до, и после 1944 г. инженеры выправляли и не такие конструктивные изъяны. Но у Грабина были мощные конкуренты. ОКБ-172, в котором трудились заключенные, представило опытный образец 85-мм противотанковой пушки БЛ-25, а в КБ завода № 172 (им. Молотова) был создан опытный образец 85-мм противотанковой пушки ЗИС-Д-44. Проект ее назывался Д-44, а делали опытный образец на заводе № 92 (горьковчане и тут использовали свой индекс).</w:t>
      </w:r>
    </w:p>
    <w:p w14:paraId="0A60950C" w14:textId="77777777" w:rsidR="00E35A28" w:rsidRPr="00C94B78" w:rsidRDefault="00E35A28"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lastRenderedPageBreak/>
        <w:t>Обе пушки-соперницы имели одну и ту же баллистику и боеприпасы, что и ЗИС-С-8, а у пушки БЛ-25 затвор и полуавтоматика были взяты от грабинской 85-мм танковой пушки ЗИС-С-58. Данные опытных образцов интересующиеся могут найти в таблице № 24 Приложений.</w:t>
      </w:r>
    </w:p>
    <w:p w14:paraId="36429FB6" w14:textId="77777777" w:rsidR="00E35A28" w:rsidRPr="00C94B78" w:rsidRDefault="00E35A28"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Испытания всех трех пушек проводились бронебойными снарядами весом 9,2 кг и осколочно-фугасными снарядами весом 9,54 кг. Имея одинаковые каналы, все три пушки дали одинаковую начальную скорость: для бронебойного снаряда 792—800 м/с, для осколочно-фугасного 792— 793 м/с. Была достигнута дальность 15 100—15 630 м. Бронепробиваемость на дистанции 500 м по нормали составила 111 мм, при угле встречи 30° — 90 мм, на дистанции 1500 м при угле встречи 30° — 75 мм.</w:t>
      </w:r>
    </w:p>
    <w:p w14:paraId="34F5E55B" w14:textId="77777777" w:rsidR="00E35A28" w:rsidRPr="00C94B78" w:rsidRDefault="00E35A28"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Данные испытаний у всех пушек были примерно одинаковы. При этом не следует забывать, что грабинская пушка опередила конкурентов на год- полтора. И в ходе полигонных испытаний у обоих конкурентов выявились те же «болезни», что и у ЗИС-С-8 (25440).</w:t>
      </w:r>
    </w:p>
    <w:p w14:paraId="586C9E89" w14:textId="77777777" w:rsidR="00E35A28" w:rsidRPr="00C94B78" w:rsidRDefault="00E35A28" w:rsidP="00B56F90">
      <w:pPr>
        <w:spacing w:after="0" w:line="240" w:lineRule="auto"/>
        <w:jc w:val="both"/>
        <w:rPr>
          <w:rFonts w:ascii="Times New Roman" w:hAnsi="Times New Roman"/>
          <w:color w:val="0070C0"/>
          <w:sz w:val="16"/>
          <w:szCs w:val="16"/>
        </w:rPr>
      </w:pPr>
    </w:p>
    <w:p w14:paraId="3054649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января 1944 года состоялись первые испытания БА-64 с двигателем С.С.Неждановского, получившей обозначение БА-64З (буква "З" - зимний), закончившиеся неудачно: бронеавтомобиль застрял. Его удалось вытащить грузовиком ГАЗ-62 (3862).</w:t>
      </w:r>
    </w:p>
    <w:p w14:paraId="30A375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F1ED7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января 1944 вышло Постановление ГКО № 4898 О восстановлении ж.д. направлений Правобережной Украины в пределах 1-го Украинского фронта. (7168, 36-38).</w:t>
      </w:r>
    </w:p>
    <w:p w14:paraId="212F821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9E650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января 1944 вышло Постановление ГКО № 4899 О плане снабжения горюче-смазочными материалами Красной Армии и Военно-Морского Флота на январь 1944 года. РГАНИР, Фонд ГКО, д. 186, лл. 39-40,41-72 (11012).</w:t>
      </w:r>
    </w:p>
    <w:p w14:paraId="7595972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6D3969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января 1944 вышло Постановление ГКО № 4900 О плане распределения электроэнергии на I квартал 1944 года. РГАНИР, Фонд ГКО, д. 186, лл. 73-74,75-134 (11012).</w:t>
      </w:r>
    </w:p>
    <w:p w14:paraId="7E4420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6AF0AC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января 1944 вышло Распоряжение ГКО № 4901 [Об утверждении Образцова М.М. уполномоченным ГКО по отгрузке хлебопродуктов в Москву по Ульяновской обл.] (7168, 135).</w:t>
      </w:r>
    </w:p>
    <w:p w14:paraId="543DF5A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069ED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января 1944 вышло Распоряжение ГКО № 4902 [О поставках НКГБ материалов, инструмента и оборудования.] (7168, 136,137-145).</w:t>
      </w:r>
    </w:p>
    <w:p w14:paraId="6108E31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FCD7A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января 1944 вышло Постановление ГКО № 4903 [О разгрузке прифронтовых железных дорог от чрезмерного скопления подвижного состава.] (7168, 146-152).</w:t>
      </w:r>
    </w:p>
    <w:p w14:paraId="7AE9E38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CAA54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января 1944 вышло Распоряжение ГКО № 4904. О выделении НКМВ 2 автомобилей ЗИС-5. РГАНИР, Фонд ГКО, д. 186, лл. 153 (11012).</w:t>
      </w:r>
    </w:p>
    <w:p w14:paraId="6E33A31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E04341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января 1944 вышло Постановление ГКО № 4905 О мероприятиях по обеспечению топливом электростанций Кировэнерго НКЭС в первом полугодии 1944 года. РГАНИР, Фонд ГКО, д. 186, лл. 154-159,160-161 (11012).</w:t>
      </w:r>
    </w:p>
    <w:p w14:paraId="124E6F7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6178C7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января 1944 вышло Постановление ГКО № 4906 Об освобождении т. Кесельмана М.А. от обязанностей уполномоченного ГОКО по дровозаготовкам для железнодорожного транспорта по Чувашской АССР и о назначении т. Ковылина Д.Т. уполномоченным ГОКО по дровозаготовкам для железнодорожного транспорта по Чувашской АССР. (7168, 162).</w:t>
      </w:r>
    </w:p>
    <w:p w14:paraId="30746F5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E0730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января 1944 вышло Распоряжение ГКО № 4907 [О возвращении Ивановскому энергетическому институту учебных и служебных помещений, занятых под эвакогоспиталь № 2224.] (7168, 163).</w:t>
      </w:r>
    </w:p>
    <w:p w14:paraId="26AAFC7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A4180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января 1944 вышло Распоряжение ГКО № 4908. О перепрофилировании завода № 636 НКХП с производства этиловой жидкости на производство бакелитовых смол. РГАНИР, Фонд ГКО, д. 186, лл. 164 (11012).</w:t>
      </w:r>
    </w:p>
    <w:p w14:paraId="1A39AF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217A32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января 1944 вышло Распоряжение ГКО № 4909. О выделении 1,7 тыс., чел. военнообязанных старших возрастов и выписываемых из госпиталей, годных к нестроевой службе, в Распоряжение НКБ для укомплектования охраны восстанавливаемых заводов. РГАНИР, Фонд ГКО, д. 186, лл. 165 (11012).</w:t>
      </w:r>
    </w:p>
    <w:p w14:paraId="4FDBD40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F630DB4"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января 1944 вышло Постановление ГКО № 4910 О плане производства и распределения запасных частей к тракторам и сельскохозяйственным машинам на I квартал 1944 г. (7168, 166-167,168-169).</w:t>
      </w:r>
    </w:p>
    <w:p w14:paraId="56118C74"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4624B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января 1944 вышло Постановление ГКО № 4911 О подготовке шоферов для Красной Армии в 1944 г. РГАНИР, Фонд ГКО, д. 186, лл. 170-174,175 (11012).</w:t>
      </w:r>
    </w:p>
    <w:p w14:paraId="6FFB73D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C99015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января 1944 вышло Постановление ГКО № 4912 О первоочередных мероприятиях по восстановлению Харьковского велосипедного завода Наркомсредмаша. РГАНИР, Фонд ГКО, д. 186, лл. 176-181,182-186 (11012).</w:t>
      </w:r>
    </w:p>
    <w:p w14:paraId="34D60E0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2E5C43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января 1944 вышло Постановление ГКО № 4913 Об увеличении мощностей по изготовлению и монтажу металлоконструкций для восстановительных работ. (7168, 187-194,195-199).</w:t>
      </w:r>
    </w:p>
    <w:p w14:paraId="13A5545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A23A3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января 1944 вышло Постановление ГКО № 4914 О мероприятиях по восстановлению сталелитейного завода Наркомсредмаша в г. Бежица. РГАНИР, Фонд ГКО, д. 186, лл. 200-207,208-219 (11012).</w:t>
      </w:r>
    </w:p>
    <w:p w14:paraId="12A0464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9B57DD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января 1944 вышло Распоряжение ГКО № 4915. Об отнесении расходов по обеспечению офицеров Красной Армии и ВМФ, работающих в Госплане, всеми видами довольствия за счет Госплана. РГАНИР, Фонд ГКО, д. 186, лл. 220 (11012).</w:t>
      </w:r>
    </w:p>
    <w:p w14:paraId="32A89B3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95729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января 1944 вышло Постановление ГКО № 4916 О плане заказов НКО, НКВМФ и НКВД СССР по вещевому имуществу и снаряжению на I квартал 1944 г. и о ремонте летнего обмундирования, кожаной обуви, находившихся в носке летом 1943 года. РГАНИР, Фонд ГКО, д. 186, лл. 221-224,225-308 (11012).</w:t>
      </w:r>
    </w:p>
    <w:p w14:paraId="6FE9A15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0E034DD" w14:textId="3CE63ACD"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января 1944 г. Распоряжением ГКО № 4908 завод № 636 НКХП (Завод № 636 НКХП, Тюменский завод пластмасс, ЗАО «Тюменский завод пластмасс» /625000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Тюмень ул. Первомайская, 52/) был перепрофилирован с производства этиловой жидкости на бакелитовые смолы.</w:t>
      </w:r>
    </w:p>
    <w:p w14:paraId="6458F89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(2000-е): этиловые жидкости; смолы: бакелитовые, фенолформальдегидные, карбамидные; лаки бакелитовые; бакелиты жидкие; замазка «Арзамит-5».</w:t>
      </w:r>
    </w:p>
    <w:p w14:paraId="4445D83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2005 г. планировался перенос производственных мощностей в пригород Тюмени.</w:t>
      </w:r>
    </w:p>
    <w:p w14:paraId="46851052" w14:textId="7F2345BB"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(2000-е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г.)- 250 чел.</w:t>
      </w:r>
    </w:p>
    <w:p w14:paraId="79CFFF2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Гендиректор (2000-е)- С.И. Хачко (11982).</w:t>
      </w:r>
    </w:p>
    <w:p w14:paraId="3B7CE53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1736672" w14:textId="77777777" w:rsidR="00264F92"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32E04FA" w14:textId="77777777" w:rsidR="00264F92" w:rsidRPr="00070ADE" w:rsidRDefault="00264F92"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818AF8"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9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5FBCFCA6"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продолжая наступление,овладели районным центром Каменец-Подольской области городом и крупной железнодорожной станцией Полонное, районными центрами Киевской области Буки, Кагарлык, а также заняли более 70 других населённых пунктов, среди которых крупные населённые пункты Суемцы, Середня, Дертка, Тирановка, Когелянка, Старая Чартория, Троща, Поличинцы, Счастливая, Александровка, Ободное, Воловодовка, Жорнище, Балабановка, Корытна, Княже-Крыныця, Ивахны, Бузовка, Вороное, Хижна, Красный, Павловка, Вотылёвка, Телешовка, Винцетовка, Пивцы, Липовый Рог.</w:t>
      </w:r>
    </w:p>
    <w:p w14:paraId="703551C1"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продолжали наступление и овладели районным центром Кировоградской области Александровка, а также с боями заняли более 40 других населённых пунктов, в том числе Чубовка, Куликовка, Лубенцы, Замятница, Медведовка, Мельники, Головковка, Яновка, Иван-Город, Болтышка, Голиково, Еразмовка, Крымки, Ново-Павловка, Ивановка, Карловка, Анниска и железнодорожная станция Фундуклеевка.</w:t>
      </w:r>
    </w:p>
    <w:p w14:paraId="488E5711"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17AF0E0E"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8 января наши войска на всех фронтах подбили и уничтожили 62 немецких танка. В воздушных боях и огнём зенитной артиллерии сбито 57 самолётов противника.</w:t>
      </w:r>
    </w:p>
    <w:p w14:paraId="31BAF1A0"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Войска 1-го Украинского фронта продолжали наступление. Части Н-ского соединения после ожесточённых боёв овладели районным центром Каменец-Подольской области городом и крупной железнодорожной станцией Полонное. В другом районе крупные силы пехоты, танков и самоходных орудий противника перешли в </w:t>
      </w:r>
      <w:r w:rsidRPr="00070ADE">
        <w:rPr>
          <w:rFonts w:ascii="Times New Roman" w:hAnsi="Times New Roman"/>
          <w:color w:val="000000" w:themeColor="text1"/>
          <w:sz w:val="16"/>
          <w:szCs w:val="16"/>
        </w:rPr>
        <w:lastRenderedPageBreak/>
        <w:t>контратаку. Советские артиллеристы, действующие в боевых порядках пехоты, мощным огнём подбили 18 вражеских танков и 6 самоходных орудий. Воспользовавшись замешательством среди немцев, советские танки и пехота нанесли противнику внезапный удар и заняли несколько населённых пунктов. На поле боя осталось 800 убитых немецких солдат и офицеров. Захвачены трофеи, в числе которых 4 самоходных орудия и 9 бронетранспортёров. Южнее Киева наши войска, преодолевая сопротивление гитлеровцев, овладели рядом населённых пунктов, в том числе районными центрами Киевской области Буки и Кагарлык. В происходящих боях противник несёт большие потери в живой силе и технике.</w:t>
      </w:r>
    </w:p>
    <w:p w14:paraId="6BD445FD"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Советская авиация активно поддерживала боевые действия наземных войск. В воздушных боях наши лётчики сбили 8 самолётов противника. Кроме того, 13 немецких самолётов уничтожены в результате налёта нашей авиации на Винницкий аэродром. Наши истребители принудили к посадке на советском аэродроме немецкий самолёт «Фокке-Вульф-190».</w:t>
      </w:r>
    </w:p>
    <w:p w14:paraId="498DE3F6"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овладев городом Кировоград, продолжали наступление. Сегодня наши войска выбили немцев из районного центра Кировоградской области Александровка, а также очистили от противника более 40 других населённых пунктов. Части Н-ского соединения, продвигаясь вперёд, уничтожили до 1.500 немецких солдат и офицеров. Захвачено у немцев 3 артиллерийские батареи, 70 пулемётов, 123 миномёта, 60 автомашин и несколько складов с боеприпасами и продовольствием. Взято значительное число пленных. На другом участке противник, бросив в бой крупные силы танков и пехоты, предпринял несколько контратак. Наши артиллеристы, танкисты и пехотинцы успешно отбили контратаки гитлеровцев и уничтожили 25 танков и 8 самоходных орудий противника. Измотав и обескровив немцев, советские части к исходу дня вновь перешли в наступление и успешно продвигались вперёд.</w:t>
      </w:r>
    </w:p>
    <w:p w14:paraId="636F2151"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партизанских отрядов Ленинградской области с 27 по 31 декабря пустили под откос 30 воинских эшелонов и один бронепоезд противника. В результате крушений разбито более 20 паровозов и до 250 вагонов и платформ. Советские патриоты за это же время подожгли 5 немецких складов с боеприпасами, 2 склада с продовольствием и взорвали 38 автомашин. Партизанами взято в плен 17 гитлеровцев, в том числе один немецкий майор. В ночь на первое января партизаны одного отряда совершили налёт на вражеский гарнизон и уничтожили 85 гитлеровцев. Взято 40 пленных, среди которых несколько испанских солдат.</w:t>
      </w:r>
    </w:p>
    <w:p w14:paraId="395E0F2C"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1-м Украинском фронте нашим бойцам сдались в плен 130 солдат и офицеров 338 полка 208 немецкой пехотной дивизии. Пленный командир 2 батальона обер-лейтенант Альберт Бергман рассказал: «Наша дивизия понесла тяжёлые потери. В ней осталось всего лишь 550 солдат и офицеров. Несмотря на неоднократные и настойчивые требования, дивизия не получила пополнения. Когда русские прорвали нашу оборону, командир дивизии отдал приказ об отступлении. Танки беспрерывно преследовали нас, и многие солдаты разбежались. Возле одного села я собрал 130 человек и приказал им сдаться в плен. Я принял это решение без колебаний, потому что считал дальнейшее сопротивление не только безумием, но и преступлением против своих солдат. Солдаты и офицеры не должны расплачиваться жизнью за ошибки своего бездарного командования, не желающего понять, что Германия уже войну проиграла. Не только солдаты, но и офицеры, находившиеся со мной, одобрили мой приказ. Несколько миномётов и орудий, пулемёты и винтовки мы в полной исправности передали русским офицерам».</w:t>
      </w:r>
    </w:p>
    <w:p w14:paraId="6878D04A"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оккупации деревень Шиловичи и Шерихов, Гомельской области, немецко-фашистские мерзавцы расстреливали мирных советских жителей. От рук гитлеровских палачей погибли М.Драбушевский, П.Драбушевский, Т.Сосновский, А.Шилович, Г.Сосновский, Г.Хилькевич и многие другие колхозники. Немцы разорили крестьян, сожгли десятки жилых домов и насильно угнали на каторгу большое число взрослых мужчин и женщин.» (15004).</w:t>
      </w:r>
    </w:p>
    <w:p w14:paraId="7DDBA7C2" w14:textId="77777777" w:rsidR="00264F92" w:rsidRPr="00070ADE" w:rsidRDefault="00264F92" w:rsidP="00B56F90">
      <w:pPr>
        <w:spacing w:after="0" w:line="240" w:lineRule="auto"/>
        <w:jc w:val="both"/>
        <w:rPr>
          <w:rFonts w:ascii="Times New Roman" w:hAnsi="Times New Roman"/>
          <w:color w:val="000000" w:themeColor="text1"/>
          <w:sz w:val="16"/>
          <w:szCs w:val="16"/>
        </w:rPr>
      </w:pPr>
    </w:p>
    <w:p w14:paraId="6EBFA77F"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989B43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D460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10 января 1944 г. новый мотор АМ-42 был установлен на Ил-2 (РК). Для подстраховки на самолет Ил-2М монтировался АМ-38ф. Опробование нового экземпляра мотора АМ-42 (зав. № 4240) на зем</w:t>
      </w:r>
      <w:r w:rsidRPr="00070ADE">
        <w:rPr>
          <w:rFonts w:ascii="Times New Roman" w:hAnsi="Times New Roman"/>
          <w:color w:val="000000" w:themeColor="text1"/>
          <w:sz w:val="16"/>
          <w:szCs w:val="16"/>
        </w:rPr>
        <w:softHyphen/>
        <w:t>ле и в полете показало, что мотор дымит, его трясет, хотя и меньше. К 20 января мотор был вновь заменен. С шестыдл по счету мотором (зав. № 4248) "с алиссоновскими всасываю</w:t>
      </w:r>
      <w:r w:rsidRPr="00070ADE">
        <w:rPr>
          <w:rFonts w:ascii="Times New Roman" w:hAnsi="Times New Roman"/>
          <w:color w:val="000000" w:themeColor="text1"/>
          <w:sz w:val="16"/>
          <w:szCs w:val="16"/>
        </w:rPr>
        <w:softHyphen/>
        <w:t>щими патрубками" результаты ока</w:t>
      </w:r>
      <w:r w:rsidRPr="00070ADE">
        <w:rPr>
          <w:rFonts w:ascii="Times New Roman" w:hAnsi="Times New Roman"/>
          <w:color w:val="000000" w:themeColor="text1"/>
          <w:sz w:val="16"/>
          <w:szCs w:val="16"/>
        </w:rPr>
        <w:softHyphen/>
        <w:t>зались лучше. Появилась надежда завершить всю программу заводских испытаний и подготовить "следопыт" к передаче в НИИ ВВС для произ</w:t>
      </w:r>
      <w:r w:rsidRPr="00070ADE">
        <w:rPr>
          <w:rFonts w:ascii="Times New Roman" w:hAnsi="Times New Roman"/>
          <w:color w:val="000000" w:themeColor="text1"/>
          <w:sz w:val="16"/>
          <w:szCs w:val="16"/>
        </w:rPr>
        <w:softHyphen/>
        <w:t>водства государственных испытаний.</w:t>
      </w:r>
    </w:p>
    <w:p w14:paraId="68926D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этому времени Ил-2М в оче</w:t>
      </w:r>
      <w:r w:rsidRPr="00070ADE">
        <w:rPr>
          <w:rFonts w:ascii="Times New Roman" w:hAnsi="Times New Roman"/>
          <w:color w:val="000000" w:themeColor="text1"/>
          <w:sz w:val="16"/>
          <w:szCs w:val="16"/>
        </w:rPr>
        <w:softHyphen/>
        <w:t>редной раз был "подан в сборочный цех завода № 240". На самолете предполагалось установить дорабо</w:t>
      </w:r>
      <w:r w:rsidRPr="00070ADE">
        <w:rPr>
          <w:rFonts w:ascii="Times New Roman" w:hAnsi="Times New Roman"/>
          <w:color w:val="000000" w:themeColor="text1"/>
          <w:sz w:val="16"/>
          <w:szCs w:val="16"/>
        </w:rPr>
        <w:softHyphen/>
        <w:t>танный мотор АМ-42, новые бензо</w:t>
      </w:r>
      <w:r w:rsidRPr="00070ADE">
        <w:rPr>
          <w:rFonts w:ascii="Times New Roman" w:hAnsi="Times New Roman"/>
          <w:color w:val="000000" w:themeColor="text1"/>
          <w:sz w:val="16"/>
          <w:szCs w:val="16"/>
        </w:rPr>
        <w:softHyphen/>
        <w:t>баки с увеличенным до 1020 л объе</w:t>
      </w:r>
      <w:r w:rsidRPr="00070ADE">
        <w:rPr>
          <w:rFonts w:ascii="Times New Roman" w:hAnsi="Times New Roman"/>
          <w:color w:val="000000" w:themeColor="text1"/>
          <w:sz w:val="16"/>
          <w:szCs w:val="16"/>
        </w:rPr>
        <w:softHyphen/>
        <w:t>мом, цельнометаллическую хвосто</w:t>
      </w:r>
      <w:r w:rsidRPr="00070ADE">
        <w:rPr>
          <w:rFonts w:ascii="Times New Roman" w:hAnsi="Times New Roman"/>
          <w:color w:val="000000" w:themeColor="text1"/>
          <w:sz w:val="16"/>
          <w:szCs w:val="16"/>
        </w:rPr>
        <w:softHyphen/>
        <w:t>вую часть фюзеляжа и хвостовое опе</w:t>
      </w:r>
      <w:r w:rsidRPr="00070ADE">
        <w:rPr>
          <w:rFonts w:ascii="Times New Roman" w:hAnsi="Times New Roman"/>
          <w:color w:val="000000" w:themeColor="text1"/>
          <w:sz w:val="16"/>
          <w:szCs w:val="16"/>
        </w:rPr>
        <w:softHyphen/>
        <w:t>рение, а также цельнометаллическое крыло с двумя пушками 11 П (90 сна</w:t>
      </w:r>
      <w:r w:rsidRPr="00070ADE">
        <w:rPr>
          <w:rFonts w:ascii="Times New Roman" w:hAnsi="Times New Roman"/>
          <w:color w:val="000000" w:themeColor="text1"/>
          <w:sz w:val="16"/>
          <w:szCs w:val="16"/>
        </w:rPr>
        <w:softHyphen/>
        <w:t>рядов) и двумя пулеметами ШКАС (1500 патронов). При этом 11 П, в отличие от серийного Ил-2 с такими же пушками, размещались внутри крыла и ближе к оси самолета, а пу</w:t>
      </w:r>
      <w:r w:rsidRPr="00070ADE">
        <w:rPr>
          <w:rFonts w:ascii="Times New Roman" w:hAnsi="Times New Roman"/>
          <w:color w:val="000000" w:themeColor="text1"/>
          <w:sz w:val="16"/>
          <w:szCs w:val="16"/>
        </w:rPr>
        <w:softHyphen/>
        <w:t>леметы ШКАС дальше. Нормальная бомбовая нагрузка составляла 400 кг. В перегрузку допускалась под</w:t>
      </w:r>
      <w:r w:rsidRPr="00070ADE">
        <w:rPr>
          <w:rFonts w:ascii="Times New Roman" w:hAnsi="Times New Roman"/>
          <w:color w:val="000000" w:themeColor="text1"/>
          <w:sz w:val="16"/>
          <w:szCs w:val="16"/>
        </w:rPr>
        <w:softHyphen/>
        <w:t>веска еще 400 кг бомб. Кроме это</w:t>
      </w:r>
      <w:r w:rsidRPr="00070ADE">
        <w:rPr>
          <w:rFonts w:ascii="Times New Roman" w:hAnsi="Times New Roman"/>
          <w:color w:val="000000" w:themeColor="text1"/>
          <w:sz w:val="16"/>
          <w:szCs w:val="16"/>
        </w:rPr>
        <w:softHyphen/>
        <w:t>го, для защиты задней нижней полу</w:t>
      </w:r>
      <w:r w:rsidRPr="00070ADE">
        <w:rPr>
          <w:rFonts w:ascii="Times New Roman" w:hAnsi="Times New Roman"/>
          <w:color w:val="000000" w:themeColor="text1"/>
          <w:sz w:val="16"/>
          <w:szCs w:val="16"/>
        </w:rPr>
        <w:softHyphen/>
        <w:t>сферы в хвостовой части устанавли</w:t>
      </w:r>
      <w:r w:rsidRPr="00070ADE">
        <w:rPr>
          <w:rFonts w:ascii="Times New Roman" w:hAnsi="Times New Roman"/>
          <w:color w:val="000000" w:themeColor="text1"/>
          <w:sz w:val="16"/>
          <w:szCs w:val="16"/>
        </w:rPr>
        <w:softHyphen/>
        <w:t>валась кассета ДАГ-10 с десятью авиационными гранатами АГ-2. Ра</w:t>
      </w:r>
      <w:r w:rsidRPr="00070ADE">
        <w:rPr>
          <w:rFonts w:ascii="Times New Roman" w:hAnsi="Times New Roman"/>
          <w:color w:val="000000" w:themeColor="text1"/>
          <w:sz w:val="16"/>
          <w:szCs w:val="16"/>
        </w:rPr>
        <w:softHyphen/>
        <w:t>кетное оружие отсутствовало. Сталь</w:t>
      </w:r>
      <w:r w:rsidRPr="00070ADE">
        <w:rPr>
          <w:rFonts w:ascii="Times New Roman" w:hAnsi="Times New Roman"/>
          <w:color w:val="000000" w:themeColor="text1"/>
          <w:sz w:val="16"/>
          <w:szCs w:val="16"/>
        </w:rPr>
        <w:softHyphen/>
        <w:t>ная бронебашня, которая имела пло</w:t>
      </w:r>
      <w:r w:rsidRPr="00070ADE">
        <w:rPr>
          <w:rFonts w:ascii="Times New Roman" w:hAnsi="Times New Roman"/>
          <w:color w:val="000000" w:themeColor="text1"/>
          <w:sz w:val="16"/>
          <w:szCs w:val="16"/>
        </w:rPr>
        <w:softHyphen/>
        <w:t>хой обзор, была переделана с це</w:t>
      </w:r>
      <w:r w:rsidRPr="00070ADE">
        <w:rPr>
          <w:rFonts w:ascii="Times New Roman" w:hAnsi="Times New Roman"/>
          <w:color w:val="000000" w:themeColor="text1"/>
          <w:sz w:val="16"/>
          <w:szCs w:val="16"/>
        </w:rPr>
        <w:softHyphen/>
        <w:t>лью увеличения обзора, "для чего примерно 50% стольной броневой поверхности башни заменяется бро</w:t>
      </w:r>
      <w:r w:rsidRPr="00070ADE">
        <w:rPr>
          <w:rFonts w:ascii="Times New Roman" w:hAnsi="Times New Roman"/>
          <w:color w:val="000000" w:themeColor="text1"/>
          <w:sz w:val="16"/>
          <w:szCs w:val="16"/>
        </w:rPr>
        <w:softHyphen/>
        <w:t>невым стеклом", и установлена на самолет. Впрочем, вскоре вновь за</w:t>
      </w:r>
      <w:r w:rsidRPr="00070ADE">
        <w:rPr>
          <w:rFonts w:ascii="Times New Roman" w:hAnsi="Times New Roman"/>
          <w:color w:val="000000" w:themeColor="text1"/>
          <w:sz w:val="16"/>
          <w:szCs w:val="16"/>
        </w:rPr>
        <w:softHyphen/>
        <w:t>говорили о "возвращении" брони башни на прежнее место, но решили повременить, до тех пор, пока окончательно не прояснится позиция военных по этому вопросу. Дело в том, что в Постановлении ГОКО от 26 октября 1943 г. о ней ничего не говорилось. На это обстоятельство неоднократно указывали военпреды завода. В конце концов, как следует из документов, к 10 марта броне</w:t>
      </w:r>
      <w:r w:rsidRPr="00070ADE">
        <w:rPr>
          <w:rFonts w:ascii="Times New Roman" w:hAnsi="Times New Roman"/>
          <w:color w:val="000000" w:themeColor="text1"/>
          <w:sz w:val="16"/>
          <w:szCs w:val="16"/>
        </w:rPr>
        <w:softHyphen/>
        <w:t>башня была заменена установкой ВУ-8 с пулеметом УБК.</w:t>
      </w:r>
    </w:p>
    <w:p w14:paraId="5488E0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Изменялось и бронирование ма</w:t>
      </w:r>
      <w:r w:rsidRPr="00070ADE">
        <w:rPr>
          <w:rFonts w:ascii="Times New Roman" w:hAnsi="Times New Roman"/>
          <w:color w:val="000000" w:themeColor="text1"/>
          <w:sz w:val="16"/>
          <w:szCs w:val="16"/>
        </w:rPr>
        <w:softHyphen/>
        <w:t>шины. В отличие от Ил-2 (РК) на штур</w:t>
      </w:r>
      <w:r w:rsidRPr="00070ADE">
        <w:rPr>
          <w:rFonts w:ascii="Times New Roman" w:hAnsi="Times New Roman"/>
          <w:color w:val="000000" w:themeColor="text1"/>
          <w:sz w:val="16"/>
          <w:szCs w:val="16"/>
        </w:rPr>
        <w:softHyphen/>
        <w:t>мовике-бомбардировщике летчик со стороны задней полусферы защи</w:t>
      </w:r>
      <w:r w:rsidRPr="00070ADE">
        <w:rPr>
          <w:rFonts w:ascii="Times New Roman" w:hAnsi="Times New Roman"/>
          <w:color w:val="000000" w:themeColor="text1"/>
          <w:sz w:val="16"/>
          <w:szCs w:val="16"/>
        </w:rPr>
        <w:softHyphen/>
        <w:t>щался двумя разнесенными 8-мм бро-неплитами: одна плита являлась зад</w:t>
      </w:r>
      <w:r w:rsidRPr="00070ADE">
        <w:rPr>
          <w:rFonts w:ascii="Times New Roman" w:hAnsi="Times New Roman"/>
          <w:color w:val="000000" w:themeColor="text1"/>
          <w:sz w:val="16"/>
          <w:szCs w:val="16"/>
        </w:rPr>
        <w:softHyphen/>
        <w:t>ней стенкой кабины пилота, а вто</w:t>
      </w:r>
      <w:r w:rsidRPr="00070ADE">
        <w:rPr>
          <w:rFonts w:ascii="Times New Roman" w:hAnsi="Times New Roman"/>
          <w:color w:val="000000" w:themeColor="text1"/>
          <w:sz w:val="16"/>
          <w:szCs w:val="16"/>
        </w:rPr>
        <w:softHyphen/>
        <w:t xml:space="preserve">рая </w:t>
      </w:r>
      <w:r w:rsidRPr="00070ADE">
        <w:rPr>
          <w:rFonts w:ascii="Times New Roman" w:hAnsi="Times New Roman"/>
          <w:color w:val="000000" w:themeColor="text1"/>
          <w:sz w:val="16"/>
          <w:szCs w:val="16"/>
          <w:vertAlign w:val="superscript"/>
        </w:rPr>
        <w:t>-</w:t>
      </w:r>
      <w:r w:rsidRPr="00070ADE">
        <w:rPr>
          <w:rFonts w:ascii="Times New Roman" w:hAnsi="Times New Roman"/>
          <w:color w:val="000000" w:themeColor="text1"/>
          <w:sz w:val="16"/>
          <w:szCs w:val="16"/>
        </w:rPr>
        <w:t xml:space="preserve"> передней стенкой кабины стрелка. Две разнесенные на неболь</w:t>
      </w:r>
      <w:r w:rsidRPr="00070ADE">
        <w:rPr>
          <w:rFonts w:ascii="Times New Roman" w:hAnsi="Times New Roman"/>
          <w:color w:val="000000" w:themeColor="text1"/>
          <w:sz w:val="16"/>
          <w:szCs w:val="16"/>
        </w:rPr>
        <w:softHyphen/>
        <w:t>шое расстояние бронеплиты толщи</w:t>
      </w:r>
      <w:r w:rsidRPr="00070ADE">
        <w:rPr>
          <w:rFonts w:ascii="Times New Roman" w:hAnsi="Times New Roman"/>
          <w:color w:val="000000" w:themeColor="text1"/>
          <w:sz w:val="16"/>
          <w:szCs w:val="16"/>
        </w:rPr>
        <w:softHyphen/>
        <w:t>ной по 8 мм устанавливались и вме</w:t>
      </w:r>
      <w:r w:rsidRPr="00070ADE">
        <w:rPr>
          <w:rFonts w:ascii="Times New Roman" w:hAnsi="Times New Roman"/>
          <w:color w:val="000000" w:themeColor="text1"/>
          <w:sz w:val="16"/>
          <w:szCs w:val="16"/>
        </w:rPr>
        <w:softHyphen/>
        <w:t>сто задней 12-мм бронестенки ка</w:t>
      </w:r>
      <w:r w:rsidRPr="00070ADE">
        <w:rPr>
          <w:rFonts w:ascii="Times New Roman" w:hAnsi="Times New Roman"/>
          <w:color w:val="000000" w:themeColor="text1"/>
          <w:sz w:val="16"/>
          <w:szCs w:val="16"/>
        </w:rPr>
        <w:softHyphen/>
        <w:t>бины стрелка. Для связи с землей монтировалась истребительная ра</w:t>
      </w:r>
      <w:r w:rsidRPr="00070ADE">
        <w:rPr>
          <w:rFonts w:ascii="Times New Roman" w:hAnsi="Times New Roman"/>
          <w:color w:val="000000" w:themeColor="text1"/>
          <w:sz w:val="16"/>
          <w:szCs w:val="16"/>
        </w:rPr>
        <w:softHyphen/>
        <w:t>диостанция РСИ-4 с дистанционным тросовым управлением. Фиксирова</w:t>
      </w:r>
      <w:r w:rsidRPr="00070ADE">
        <w:rPr>
          <w:rFonts w:ascii="Times New Roman" w:hAnsi="Times New Roman"/>
          <w:color w:val="000000" w:themeColor="text1"/>
          <w:sz w:val="16"/>
          <w:szCs w:val="16"/>
        </w:rPr>
        <w:softHyphen/>
        <w:t>ние результатов атаки обеспечива</w:t>
      </w:r>
      <w:r w:rsidRPr="00070ADE">
        <w:rPr>
          <w:rFonts w:ascii="Times New Roman" w:hAnsi="Times New Roman"/>
          <w:color w:val="000000" w:themeColor="text1"/>
          <w:sz w:val="16"/>
          <w:szCs w:val="16"/>
        </w:rPr>
        <w:softHyphen/>
        <w:t>лось фотокинопулеметом ПАУ-22 и киноаппаратом КС-5, расположен</w:t>
      </w:r>
      <w:r w:rsidRPr="00070ADE">
        <w:rPr>
          <w:rFonts w:ascii="Times New Roman" w:hAnsi="Times New Roman"/>
          <w:color w:val="000000" w:themeColor="text1"/>
          <w:sz w:val="16"/>
          <w:szCs w:val="16"/>
        </w:rPr>
        <w:softHyphen/>
        <w:t>ными в обтекателях шасси, а также фотоаппаратом АФА-ИМ в хвосто</w:t>
      </w:r>
      <w:r w:rsidRPr="00070ADE">
        <w:rPr>
          <w:rFonts w:ascii="Times New Roman" w:hAnsi="Times New Roman"/>
          <w:color w:val="000000" w:themeColor="text1"/>
          <w:sz w:val="16"/>
          <w:szCs w:val="16"/>
        </w:rPr>
        <w:softHyphen/>
        <w:t>вой части фюзеляжа. К 28 февраля Ил-2М был "полностью подготовлен к пробному полету" (11427).</w:t>
      </w:r>
    </w:p>
    <w:p w14:paraId="221E22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18DACA" w14:textId="2DB3BA1F" w:rsidR="007A3260" w:rsidRPr="00070ADE" w:rsidRDefault="007A32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10 января 1944 года новый мотор АМ-42 (зав.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4240) был установлен на Ил-2 (РК). Для подстраховки на самолет Ил-2М решили поставить АМ-38ф.</w:t>
      </w:r>
    </w:p>
    <w:p w14:paraId="498E8080" w14:textId="11F2ED2F" w:rsidR="007A3260" w:rsidRPr="00070ADE" w:rsidRDefault="007A32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Опробование нового экземпляра мотора АМ-42 на земле и в полете показало, что мотор дымит, его трясет, хотя и меньше. К 20 января мотор был вновь заменен. С шестым по счету мотором (зав.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4248) «с алиссоновскими всасывающими патрубками» результаты оказались лучше. Появилась надежда завершить всю программу заводских испытаний и подготовить «следопыт» к</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передаче в НИИ ВВС для производства государственных испытаний.</w:t>
      </w:r>
    </w:p>
    <w:p w14:paraId="7AE497EC" w14:textId="22E95429" w:rsidR="007A3260" w:rsidRPr="00070ADE" w:rsidRDefault="007A32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этому времени Ил-2М в очередной раз был «подан в сборочный цех завода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240». На самолете предполагалось установить доработанный мотор АМ-42, новые бензобаки с увеличенным до 1020 л объемом, цельнометаллическую хвостовую часть фюзеляжа и хвостовое оперение, а также цельнометаллическое крыло с двумя пушками 11П (90 снарядов) и двумя пулеметами ШКАС (1500 патронов). При этом 11П, в отличие от серийного Ил-2 с такими же пушками, размещались внутри крыла и ближе к оси самолета, а пулеметы ШКАС дальше. Нормальная бомбовая нагрузка составляла 400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В перегрузку допускалась подвеска еще 400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Кроме этого, для защиты задней нижней полусферы в хвостовой части устанавливалась кассета ДАГ-10 с десятью авиационными гранатами АГ-2. Ракетное оружие отсутствовало. Стальная бронебашня, которая имела плохой обзор, была переделана с целью увеличения обзора («для чего примерно 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стальной броневой поверхности башни заменяется броневым стеклом») и установлена на самолет. Впрочем, вскоре вновь заговорили о «возвращении» брони башни на прежнее место, но решили повременить, до тех пор, пока окончательно не прояснится позиция военных по этому вопросу. Дело в том, что в постановлении ГКО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4427сс от 26 октября 1943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ней ничего не говорилось. На это обстоятельство неоднократно указывали военпреды завода. В конце концов, как следует из документов, к 10 марта 1944 года бронебашню заменили установкой ВУ-8 с пулеметом УБК.</w:t>
      </w:r>
    </w:p>
    <w:p w14:paraId="2EA52861" w14:textId="2CDD214D" w:rsidR="007A3260" w:rsidRPr="00070ADE" w:rsidRDefault="007A32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Изменялось и бронирование машины. В отличие от Ил-2 (РК), на штурмовике-бомбардировщике летчик и воздушный стрелок со стороны задней полусферы защищались экранированной броней, состоящей из двух 8-мм броневых листов с небольшим воздушным промежутком между ними. Такая броня более эффективно «держала» удар боеприпасов немецких авиапушек и осколков зенитных снарядов. Бронеплита экрана изготавливалась из брони марки ХД, а основная бронеплита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из брони марки АБ-2. Как показали полигонные испытания, броневая система 8+8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не пробивалась 15-мм бронебойной пулей с 200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по нормали и со 100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под углом 20–25° к нормали, а бронебойно-разрывной снаряд калибра 20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удерживался при стрельбе с 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по нормали.</w:t>
      </w:r>
    </w:p>
    <w:p w14:paraId="110ADD98" w14:textId="77777777" w:rsidR="007A3260" w:rsidRPr="00070ADE" w:rsidRDefault="007A32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связи с землей монтировалась истребительная радиостанция РСИ-4 с дистанционным тросовым управлением. Фиксирование результатов атаки обеспечивалось фотокинопулеметом ПАУ-22 и киноаппаратом КС-5, расположенными в обтекателях шасси, а также фотоаппаратом АФА-ИМ в хвостовой части фюзеляжа. К 28 февраля Ил-2М был «полностью подготовлен к пробному полету» (17490).</w:t>
      </w:r>
    </w:p>
    <w:p w14:paraId="68E3C737" w14:textId="77777777" w:rsidR="007A3260" w:rsidRPr="00070ADE" w:rsidRDefault="007A3260" w:rsidP="00B56F90">
      <w:pPr>
        <w:spacing w:after="0" w:line="240" w:lineRule="auto"/>
        <w:jc w:val="both"/>
        <w:rPr>
          <w:rFonts w:ascii="Times New Roman" w:hAnsi="Times New Roman"/>
          <w:color w:val="000000" w:themeColor="text1"/>
          <w:sz w:val="16"/>
          <w:szCs w:val="16"/>
        </w:rPr>
      </w:pPr>
    </w:p>
    <w:p w14:paraId="055E6F4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10 января 1944 г. удалось завершить доработку Ил-2 (РК) и отладку винтомоторной установки лишь Общий вес брони составил 1180 кг. На самолете была смонтирована оборонительная установка ВУ-8 с пулеметом УБК (12020).</w:t>
      </w:r>
    </w:p>
    <w:p w14:paraId="12DF0E7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23BD79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10 января 1944 согласно журнала наблюдения за проектированием, постройкой и испытаниями высотного истребителя МиГ-1 И-221 с начала олетных испытаний 22 ноября 1943 было выполнено 5 полетов до высоты 5000 м. Полеты производились только на 1-й скорости нагнетателя. Использование 2-й скорости запрещено ГК АМ-39 т. Микулиным. Л Журавлев. Испытания задерживаются отсутствием высоты.</w:t>
      </w:r>
    </w:p>
    <w:p w14:paraId="1CCB3B5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И-222 - готовы чертежи. Центроплан, шасси, фюзеляж - находятся в сборке. Для производства гермокабины изготавливались шаблоны. Срок окончания сборки - март 1944 (991,10).</w:t>
      </w:r>
    </w:p>
    <w:p w14:paraId="3BB1216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55B0B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января 1944 Нач. ЛИИ Чесалов писал Кузнецову письмо N 15с с отчетом об основных работах, выполненных ЛИИ за декабрь 1943:</w:t>
      </w:r>
    </w:p>
    <w:p w14:paraId="60E3E8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По самолету Як-7.</w:t>
      </w:r>
    </w:p>
    <w:p w14:paraId="225737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Контрольные испытания серийных самолетов Як-7.</w:t>
      </w:r>
    </w:p>
    <w:p w14:paraId="07071C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Проведены испытания самолета Як-7Б N 54110 производства завода N 153 выпуска ноября 1943 года.</w:t>
      </w:r>
    </w:p>
    <w:p w14:paraId="36EDDC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CB5308" w:rsidRPr="00070ADE" w14:paraId="0F681BBA" w14:textId="77777777">
        <w:tc>
          <w:tcPr>
            <w:tcW w:w="5636" w:type="dxa"/>
          </w:tcPr>
          <w:p w14:paraId="5E22DF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w:t>
            </w:r>
          </w:p>
        </w:tc>
        <w:tc>
          <w:tcPr>
            <w:tcW w:w="5636" w:type="dxa"/>
          </w:tcPr>
          <w:p w14:paraId="7AF7CC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543 км/час</w:t>
            </w:r>
          </w:p>
        </w:tc>
      </w:tr>
      <w:tr w:rsidR="00CB5308" w:rsidRPr="00070ADE" w14:paraId="4CFA5403" w14:textId="77777777">
        <w:tc>
          <w:tcPr>
            <w:tcW w:w="5636" w:type="dxa"/>
          </w:tcPr>
          <w:p w14:paraId="27FC5F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2-й</w:t>
            </w:r>
          </w:p>
        </w:tc>
        <w:tc>
          <w:tcPr>
            <w:tcW w:w="5636" w:type="dxa"/>
          </w:tcPr>
          <w:p w14:paraId="17E87C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C96A74B" w14:textId="77777777">
        <w:tc>
          <w:tcPr>
            <w:tcW w:w="5636" w:type="dxa"/>
          </w:tcPr>
          <w:p w14:paraId="3A75DE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границе высотности (Н=4000 м)</w:t>
            </w:r>
          </w:p>
        </w:tc>
        <w:tc>
          <w:tcPr>
            <w:tcW w:w="5636" w:type="dxa"/>
          </w:tcPr>
          <w:p w14:paraId="56F693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601 км/час</w:t>
            </w:r>
          </w:p>
        </w:tc>
      </w:tr>
      <w:tr w:rsidR="00CB5308" w:rsidRPr="00070ADE" w14:paraId="545408D8" w14:textId="77777777">
        <w:tc>
          <w:tcPr>
            <w:tcW w:w="5636" w:type="dxa"/>
          </w:tcPr>
          <w:p w14:paraId="4A9CD62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 м</w:t>
            </w:r>
          </w:p>
        </w:tc>
        <w:tc>
          <w:tcPr>
            <w:tcW w:w="5636" w:type="dxa"/>
          </w:tcPr>
          <w:p w14:paraId="7DD0F5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 мин.</w:t>
            </w:r>
          </w:p>
        </w:tc>
      </w:tr>
    </w:tbl>
    <w:p w14:paraId="36E42C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Проведены испытания самолета Як-7Б производства завода N 82 выпуска ноября 1943 года.</w:t>
      </w:r>
    </w:p>
    <w:p w14:paraId="6A89F36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CB5308" w:rsidRPr="00070ADE" w14:paraId="04BAC1FA" w14:textId="77777777">
        <w:tc>
          <w:tcPr>
            <w:tcW w:w="5636" w:type="dxa"/>
          </w:tcPr>
          <w:p w14:paraId="494C403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w:t>
            </w:r>
          </w:p>
        </w:tc>
        <w:tc>
          <w:tcPr>
            <w:tcW w:w="5636" w:type="dxa"/>
          </w:tcPr>
          <w:p w14:paraId="0D4755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525 км/час</w:t>
            </w:r>
          </w:p>
        </w:tc>
      </w:tr>
      <w:tr w:rsidR="00CB5308" w:rsidRPr="00070ADE" w14:paraId="0F0AA26F" w14:textId="77777777">
        <w:tc>
          <w:tcPr>
            <w:tcW w:w="5636" w:type="dxa"/>
          </w:tcPr>
          <w:p w14:paraId="0BB038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2-й</w:t>
            </w:r>
          </w:p>
        </w:tc>
        <w:tc>
          <w:tcPr>
            <w:tcW w:w="5636" w:type="dxa"/>
          </w:tcPr>
          <w:p w14:paraId="0286F8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4B85387" w14:textId="77777777">
        <w:tc>
          <w:tcPr>
            <w:tcW w:w="5636" w:type="dxa"/>
          </w:tcPr>
          <w:p w14:paraId="260629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границе высотности (Н=3600 м)</w:t>
            </w:r>
          </w:p>
        </w:tc>
        <w:tc>
          <w:tcPr>
            <w:tcW w:w="5636" w:type="dxa"/>
          </w:tcPr>
          <w:p w14:paraId="556D7F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580 км/час</w:t>
            </w:r>
          </w:p>
        </w:tc>
      </w:tr>
    </w:tbl>
    <w:p w14:paraId="0E695D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самолету Як-9.</w:t>
      </w:r>
    </w:p>
    <w:p w14:paraId="7B38A4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Контрольные испытания серийных самолетов Як-9.</w:t>
      </w:r>
    </w:p>
    <w:p w14:paraId="470E8E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Проведены испытания самолета Як-9Т N 0901 производства завода N 153 выпуска декабря 1943 года.</w:t>
      </w:r>
    </w:p>
    <w:p w14:paraId="146EF2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CB5308" w:rsidRPr="00070ADE" w14:paraId="26F1971A" w14:textId="77777777">
        <w:tc>
          <w:tcPr>
            <w:tcW w:w="5636" w:type="dxa"/>
          </w:tcPr>
          <w:p w14:paraId="7F5394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w:t>
            </w:r>
          </w:p>
        </w:tc>
        <w:tc>
          <w:tcPr>
            <w:tcW w:w="5636" w:type="dxa"/>
          </w:tcPr>
          <w:p w14:paraId="4466630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532 км/час</w:t>
            </w:r>
          </w:p>
        </w:tc>
      </w:tr>
      <w:tr w:rsidR="00CB5308" w:rsidRPr="00070ADE" w14:paraId="08034053" w14:textId="77777777">
        <w:tc>
          <w:tcPr>
            <w:tcW w:w="5636" w:type="dxa"/>
          </w:tcPr>
          <w:p w14:paraId="1D3E839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2-й</w:t>
            </w:r>
          </w:p>
        </w:tc>
        <w:tc>
          <w:tcPr>
            <w:tcW w:w="5636" w:type="dxa"/>
          </w:tcPr>
          <w:p w14:paraId="024ABB6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2A5524C" w14:textId="77777777">
        <w:tc>
          <w:tcPr>
            <w:tcW w:w="5636" w:type="dxa"/>
          </w:tcPr>
          <w:p w14:paraId="7FC7599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границе высотности (Н=3850 м)</w:t>
            </w:r>
          </w:p>
        </w:tc>
        <w:tc>
          <w:tcPr>
            <w:tcW w:w="5636" w:type="dxa"/>
          </w:tcPr>
          <w:p w14:paraId="1DC4D1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591 км/час</w:t>
            </w:r>
          </w:p>
        </w:tc>
      </w:tr>
      <w:tr w:rsidR="00CB5308" w:rsidRPr="00070ADE" w14:paraId="6D224514" w14:textId="77777777">
        <w:tc>
          <w:tcPr>
            <w:tcW w:w="5636" w:type="dxa"/>
          </w:tcPr>
          <w:p w14:paraId="3B52F5B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 м</w:t>
            </w:r>
          </w:p>
        </w:tc>
        <w:tc>
          <w:tcPr>
            <w:tcW w:w="5636" w:type="dxa"/>
          </w:tcPr>
          <w:p w14:paraId="78A8571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 мин.</w:t>
            </w:r>
          </w:p>
        </w:tc>
      </w:tr>
    </w:tbl>
    <w:p w14:paraId="56C0F8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Проведены испытания самолета Як-9Т N 13036 производства завода N 166 выпуска декабря 1943 года.</w:t>
      </w:r>
    </w:p>
    <w:p w14:paraId="441546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CB5308" w:rsidRPr="00070ADE" w14:paraId="01558059" w14:textId="77777777">
        <w:tc>
          <w:tcPr>
            <w:tcW w:w="5636" w:type="dxa"/>
          </w:tcPr>
          <w:p w14:paraId="7F333D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w:t>
            </w:r>
          </w:p>
        </w:tc>
        <w:tc>
          <w:tcPr>
            <w:tcW w:w="5636" w:type="dxa"/>
          </w:tcPr>
          <w:p w14:paraId="6BCBB7C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544 км/час</w:t>
            </w:r>
          </w:p>
        </w:tc>
      </w:tr>
      <w:tr w:rsidR="00CB5308" w:rsidRPr="00070ADE" w14:paraId="4529A143" w14:textId="77777777">
        <w:tc>
          <w:tcPr>
            <w:tcW w:w="5636" w:type="dxa"/>
          </w:tcPr>
          <w:p w14:paraId="482974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2-й</w:t>
            </w:r>
          </w:p>
        </w:tc>
        <w:tc>
          <w:tcPr>
            <w:tcW w:w="5636" w:type="dxa"/>
          </w:tcPr>
          <w:p w14:paraId="79797F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045D4AD" w14:textId="77777777">
        <w:tc>
          <w:tcPr>
            <w:tcW w:w="5636" w:type="dxa"/>
          </w:tcPr>
          <w:p w14:paraId="691C58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границе высотности (Н=3650 м)</w:t>
            </w:r>
          </w:p>
        </w:tc>
        <w:tc>
          <w:tcPr>
            <w:tcW w:w="5636" w:type="dxa"/>
          </w:tcPr>
          <w:p w14:paraId="7F7B826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603 км/час</w:t>
            </w:r>
          </w:p>
        </w:tc>
      </w:tr>
      <w:tr w:rsidR="00CB5308" w:rsidRPr="00070ADE" w14:paraId="5F33CD55" w14:textId="77777777">
        <w:tc>
          <w:tcPr>
            <w:tcW w:w="5636" w:type="dxa"/>
          </w:tcPr>
          <w:p w14:paraId="51FCBA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 м</w:t>
            </w:r>
          </w:p>
        </w:tc>
        <w:tc>
          <w:tcPr>
            <w:tcW w:w="5636" w:type="dxa"/>
          </w:tcPr>
          <w:p w14:paraId="677A70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 мин.</w:t>
            </w:r>
          </w:p>
        </w:tc>
      </w:tr>
    </w:tbl>
    <w:p w14:paraId="615924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Охлаждение воды и масла недостаточно.</w:t>
      </w:r>
    </w:p>
    <w:p w14:paraId="33C7D4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Обработка результатов испытаний проведена по средней тарировочной кривой ряда самолетов, поэтому величины максимальной скорости приведены до 6 км/час.</w:t>
      </w:r>
    </w:p>
    <w:p w14:paraId="142ED4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самолету Як-1.</w:t>
      </w:r>
    </w:p>
    <w:p w14:paraId="63A331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Контрольные испытания серийных самолетов Як-1.</w:t>
      </w:r>
    </w:p>
    <w:p w14:paraId="06A128E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Проведены контрольные испытания серийного самолета Як-1 N 12163 производства завода 292 ноябрьского выпуска.</w:t>
      </w:r>
    </w:p>
    <w:p w14:paraId="6FAB75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Получены данные:</w:t>
      </w:r>
    </w:p>
    <w:tbl>
      <w:tblPr>
        <w:tblW w:w="0" w:type="auto"/>
        <w:tblLayout w:type="fixed"/>
        <w:tblLook w:val="0000" w:firstRow="0" w:lastRow="0" w:firstColumn="0" w:lastColumn="0" w:noHBand="0" w:noVBand="0"/>
      </w:tblPr>
      <w:tblGrid>
        <w:gridCol w:w="5636"/>
        <w:gridCol w:w="5636"/>
      </w:tblGrid>
      <w:tr w:rsidR="00CB5308" w:rsidRPr="00070ADE" w14:paraId="55A02A5B" w14:textId="77777777">
        <w:tc>
          <w:tcPr>
            <w:tcW w:w="5636" w:type="dxa"/>
            <w:tcBorders>
              <w:top w:val="single" w:sz="6" w:space="0" w:color="auto"/>
              <w:left w:val="single" w:sz="6" w:space="0" w:color="auto"/>
              <w:bottom w:val="single" w:sz="6" w:space="0" w:color="auto"/>
              <w:right w:val="single" w:sz="6" w:space="0" w:color="auto"/>
            </w:tcBorders>
          </w:tcPr>
          <w:p w14:paraId="1FDA7B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 при n=2700 об/мин.</w:t>
            </w:r>
          </w:p>
        </w:tc>
        <w:tc>
          <w:tcPr>
            <w:tcW w:w="5636" w:type="dxa"/>
            <w:tcBorders>
              <w:top w:val="single" w:sz="6" w:space="0" w:color="auto"/>
              <w:left w:val="single" w:sz="6" w:space="0" w:color="auto"/>
              <w:bottom w:val="single" w:sz="6" w:space="0" w:color="auto"/>
              <w:right w:val="single" w:sz="6" w:space="0" w:color="auto"/>
            </w:tcBorders>
          </w:tcPr>
          <w:p w14:paraId="1BB04D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522 км/час</w:t>
            </w:r>
          </w:p>
        </w:tc>
      </w:tr>
      <w:tr w:rsidR="00CB5308" w:rsidRPr="00070ADE" w14:paraId="290615ED" w14:textId="77777777">
        <w:tc>
          <w:tcPr>
            <w:tcW w:w="5636" w:type="dxa"/>
            <w:tcBorders>
              <w:top w:val="single" w:sz="6" w:space="0" w:color="auto"/>
              <w:left w:val="single" w:sz="6" w:space="0" w:color="auto"/>
              <w:bottom w:val="single" w:sz="6" w:space="0" w:color="auto"/>
              <w:right w:val="single" w:sz="6" w:space="0" w:color="auto"/>
            </w:tcBorders>
          </w:tcPr>
          <w:p w14:paraId="7C85B6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 при n=2555 об/мин.</w:t>
            </w:r>
          </w:p>
        </w:tc>
        <w:tc>
          <w:tcPr>
            <w:tcW w:w="5636" w:type="dxa"/>
            <w:tcBorders>
              <w:top w:val="single" w:sz="6" w:space="0" w:color="auto"/>
              <w:left w:val="single" w:sz="6" w:space="0" w:color="auto"/>
              <w:bottom w:val="single" w:sz="6" w:space="0" w:color="auto"/>
              <w:right w:val="single" w:sz="6" w:space="0" w:color="auto"/>
            </w:tcBorders>
          </w:tcPr>
          <w:p w14:paraId="30B19D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527 км/час</w:t>
            </w:r>
          </w:p>
        </w:tc>
      </w:tr>
      <w:tr w:rsidR="00CB5308" w:rsidRPr="00070ADE" w14:paraId="4628CC9A" w14:textId="77777777">
        <w:tc>
          <w:tcPr>
            <w:tcW w:w="5636" w:type="dxa"/>
            <w:tcBorders>
              <w:top w:val="single" w:sz="6" w:space="0" w:color="auto"/>
              <w:left w:val="single" w:sz="6" w:space="0" w:color="auto"/>
              <w:bottom w:val="single" w:sz="6" w:space="0" w:color="auto"/>
              <w:right w:val="single" w:sz="6" w:space="0" w:color="auto"/>
            </w:tcBorders>
          </w:tcPr>
          <w:p w14:paraId="6983EE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2-й границе высотности (Н=4050 м)</w:t>
            </w:r>
          </w:p>
        </w:tc>
        <w:tc>
          <w:tcPr>
            <w:tcW w:w="5636" w:type="dxa"/>
            <w:tcBorders>
              <w:top w:val="single" w:sz="6" w:space="0" w:color="auto"/>
              <w:left w:val="single" w:sz="6" w:space="0" w:color="auto"/>
              <w:bottom w:val="single" w:sz="6" w:space="0" w:color="auto"/>
              <w:right w:val="single" w:sz="6" w:space="0" w:color="auto"/>
            </w:tcBorders>
          </w:tcPr>
          <w:p w14:paraId="0573CA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589 км/час</w:t>
            </w:r>
          </w:p>
        </w:tc>
      </w:tr>
      <w:tr w:rsidR="00CB5308" w:rsidRPr="00070ADE" w14:paraId="75D18E1E" w14:textId="77777777">
        <w:tc>
          <w:tcPr>
            <w:tcW w:w="5636" w:type="dxa"/>
            <w:tcBorders>
              <w:top w:val="single" w:sz="6" w:space="0" w:color="auto"/>
              <w:left w:val="single" w:sz="6" w:space="0" w:color="auto"/>
              <w:bottom w:val="single" w:sz="6" w:space="0" w:color="auto"/>
              <w:right w:val="single" w:sz="6" w:space="0" w:color="auto"/>
            </w:tcBorders>
          </w:tcPr>
          <w:p w14:paraId="263DFB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 м</w:t>
            </w:r>
          </w:p>
        </w:tc>
        <w:tc>
          <w:tcPr>
            <w:tcW w:w="5636" w:type="dxa"/>
            <w:tcBorders>
              <w:top w:val="single" w:sz="6" w:space="0" w:color="auto"/>
              <w:left w:val="single" w:sz="6" w:space="0" w:color="auto"/>
              <w:bottom w:val="single" w:sz="6" w:space="0" w:color="auto"/>
              <w:right w:val="single" w:sz="6" w:space="0" w:color="auto"/>
            </w:tcBorders>
          </w:tcPr>
          <w:p w14:paraId="32D6CF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 мин.</w:t>
            </w:r>
          </w:p>
        </w:tc>
      </w:tr>
    </w:tbl>
    <w:p w14:paraId="03460C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 аэродинамическим дефектом, ухудшающим летные данные самолета, является плохая отделка поверхности крыла - выступает строение перкаля, вследствие чего крыло шероховатое.</w:t>
      </w:r>
    </w:p>
    <w:p w14:paraId="316546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Предъявленные заводом самолеты N 17162 и 20162 испытания не выдержали из-за плохой работы ВМГ.</w:t>
      </w:r>
    </w:p>
    <w:p w14:paraId="154D66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Испытания самолета Як-1 с мотором М-105ПФ для определения расхода горючего.</w:t>
      </w:r>
    </w:p>
    <w:p w14:paraId="555F45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проведены с целью получения материала для дачи указаний строевым частям ВВС по подсчету дальности и продолжительности полета самолета Як-1 с М-105 ПФ.</w:t>
      </w:r>
    </w:p>
    <w:p w14:paraId="42FE15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показали целесообразность пользования высотным корректором "на слух" на режимах 0,9 Vmax и ниже на всех высотах полета.</w:t>
      </w:r>
    </w:p>
    <w:p w14:paraId="28828F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Испытания винтов АВ-5НВ-Д-85 на самолете Ли-2.</w:t>
      </w:r>
    </w:p>
    <w:p w14:paraId="33D714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Проведенными испытаниями установлено:</w:t>
      </w:r>
    </w:p>
    <w:p w14:paraId="5D493A5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На взлете, наборе высоты, горизонтальном полете, планировании и различных эволюциях самолета винты работают устойчиво.</w:t>
      </w:r>
    </w:p>
    <w:p w14:paraId="5D5092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При дачах газа за время 2,5 сек. забросы оборотов как в горизонтальном полете, так и на планировании не превышают допустимых и равны 350 об/мин.</w:t>
      </w:r>
    </w:p>
    <w:p w14:paraId="7710D9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уборке газа ненормальностей в работе механизма винта не обнаружено.</w:t>
      </w:r>
    </w:p>
    <w:p w14:paraId="5C6268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Максимальные скорости самолета Ли-2 2М-62 в диапазоне высот от 0 до 3000 м при полетном весе 10500 кг с винтами АВ-5НВ-85 на 9 км/час (3%) меньше, чем с серийными винтами ВИШ-21.</w:t>
      </w:r>
    </w:p>
    <w:p w14:paraId="4644BFE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Скороподъемность самолета Ли-2 при полетном весе 10500 кг с винтами АВ-5НВ-Д-85 и винтами ВИШ-21 практически одинакова.</w:t>
      </w:r>
    </w:p>
    <w:p w14:paraId="5682C4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Длина разбега самолета с винтами АВ-5НВ-Д-85 по сравнению с винтами ВИШ-21 уменьшается на 80 м (14%).</w:t>
      </w:r>
    </w:p>
    <w:p w14:paraId="71A81D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Расходы горючего на крейсерском режиме полета самолета Ли-2, с винтами ВИШ-21, вследствие чего дальность будет меньше, примерно, на 4-5%.</w:t>
      </w:r>
    </w:p>
    <w:p w14:paraId="597A34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Полет на одном моторе самолета Ли-2 с полетным весом 10000 кг с винтами АВ-5НВ-Д-85 в диапазоне скоростей от 160 до 180 км/час по прибору возможен при некоторых переделках управления регуляторами, позволяющими затяжелять винт задросселированном моторе по номинальных оборотов (700 об/мин.).</w:t>
      </w:r>
    </w:p>
    <w:p w14:paraId="403624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Винты АВ-5НВ-Д-85 рекомендуются к запуску в малую серию для производства войсковых испытаний.</w:t>
      </w:r>
    </w:p>
    <w:p w14:paraId="7813CC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Испытания РПКМ N 26-С Бендикс на самолете Ли-2.</w:t>
      </w:r>
    </w:p>
    <w:p w14:paraId="2A8695B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Проведенными испытаниями установлено, что дальность действия РПКМ N 26-С Бендикс на 20-30% больше, чем дальность действия РПК-2. Чувствительность приемника РАК м N 26-С на частоте от 200 до 750 kz в 1,5 раза лучше чувствительности приемника РПК-2.</w:t>
      </w:r>
    </w:p>
    <w:p w14:paraId="082B36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Приемник РПК М N 26-С Бендикс рекомендован для установки на самолете.</w:t>
      </w:r>
    </w:p>
    <w:p w14:paraId="7CE4E0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Контрольные испытания системы НГ на серийных самолетах истребителях.</w:t>
      </w:r>
    </w:p>
    <w:p w14:paraId="737AFB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Закончены контрольные испытания систем НГ на самолетах Як-7 заводов NN 82 и 153, Як-9 заводов NN 153 и 166, Ла-5 и ЛАГГ-3.</w:t>
      </w:r>
    </w:p>
    <w:p w14:paraId="500B21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системы зажигания.</w:t>
      </w:r>
    </w:p>
    <w:p w14:paraId="5621E2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Проведены лабораторные испытания системы зажигания с магнето БСМ-12 и свечами Бендикс с целью определения максимально-допустимых температур нагрева.</w:t>
      </w:r>
    </w:p>
    <w:p w14:paraId="6D0310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Сняты границы бесперебойной работы системы в зависимости от нагрева как отдельных элементов, так и при одновременном нагреве всей системы (1821,39).</w:t>
      </w:r>
    </w:p>
    <w:p w14:paraId="299DA53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самолету Ил-2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7903"/>
      </w:tblGrid>
      <w:tr w:rsidR="00CB5308" w:rsidRPr="00070ADE" w14:paraId="3A3D618E" w14:textId="77777777">
        <w:tc>
          <w:tcPr>
            <w:tcW w:w="3369" w:type="dxa"/>
          </w:tcPr>
          <w:p w14:paraId="1FD731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Летные испытания</w:t>
            </w:r>
          </w:p>
        </w:tc>
        <w:tc>
          <w:tcPr>
            <w:tcW w:w="7903" w:type="dxa"/>
          </w:tcPr>
          <w:p w14:paraId="1D9D65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Внутрисамолетная связь на самолете Ил-2 работает неудовлетворительно</w:t>
            </w:r>
          </w:p>
        </w:tc>
      </w:tr>
      <w:tr w:rsidR="00CB5308" w:rsidRPr="00070ADE" w14:paraId="252041F0" w14:textId="77777777">
        <w:tc>
          <w:tcPr>
            <w:tcW w:w="3369" w:type="dxa"/>
          </w:tcPr>
          <w:p w14:paraId="5FD451C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внутрисамолетной связи на</w:t>
            </w:r>
          </w:p>
        </w:tc>
        <w:tc>
          <w:tcPr>
            <w:tcW w:w="7903" w:type="dxa"/>
          </w:tcPr>
          <w:p w14:paraId="6F5183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из-за большого уровня акустических шумов в кабинах самолетов.</w:t>
            </w:r>
          </w:p>
        </w:tc>
      </w:tr>
      <w:tr w:rsidR="00CB5308" w:rsidRPr="00070ADE" w14:paraId="19E340BB" w14:textId="77777777">
        <w:tc>
          <w:tcPr>
            <w:tcW w:w="3369" w:type="dxa"/>
          </w:tcPr>
          <w:p w14:paraId="618E49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самолете Ил-2</w:t>
            </w:r>
          </w:p>
        </w:tc>
        <w:tc>
          <w:tcPr>
            <w:tcW w:w="7903" w:type="dxa"/>
          </w:tcPr>
          <w:p w14:paraId="2AA513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выяснения возможности улучшения работу переговорного устройства была</w:t>
            </w:r>
          </w:p>
        </w:tc>
      </w:tr>
      <w:tr w:rsidR="00CB5308" w:rsidRPr="00070ADE" w14:paraId="53D76B24" w14:textId="77777777">
        <w:tc>
          <w:tcPr>
            <w:tcW w:w="3369" w:type="dxa"/>
          </w:tcPr>
          <w:p w14:paraId="3E36F6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5DA667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проверена работа СПУФ при звукоизоляции ларингофонов и кабины при закрытом</w:t>
            </w:r>
          </w:p>
        </w:tc>
      </w:tr>
      <w:tr w:rsidR="00CB5308" w:rsidRPr="00070ADE" w14:paraId="1DCCD17D" w14:textId="77777777">
        <w:tc>
          <w:tcPr>
            <w:tcW w:w="3369" w:type="dxa"/>
          </w:tcPr>
          <w:p w14:paraId="0A362B8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5B31BA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фонаре.</w:t>
            </w:r>
          </w:p>
        </w:tc>
      </w:tr>
      <w:tr w:rsidR="00CB5308" w:rsidRPr="00070ADE" w14:paraId="08DBCC8A" w14:textId="77777777">
        <w:tc>
          <w:tcPr>
            <w:tcW w:w="3369" w:type="dxa"/>
          </w:tcPr>
          <w:p w14:paraId="558D6E1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2DC565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Улучшение звукоизоляции кабины обеспечило удовлетворительную работу СПУ</w:t>
            </w:r>
          </w:p>
        </w:tc>
      </w:tr>
      <w:tr w:rsidR="00CB5308" w:rsidRPr="00070ADE" w14:paraId="31103C93" w14:textId="77777777">
        <w:tc>
          <w:tcPr>
            <w:tcW w:w="3369" w:type="dxa"/>
          </w:tcPr>
          <w:p w14:paraId="734280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594116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Заводам 30, 16 18 рекомендованы мероприятия по снижению уровня акустических</w:t>
            </w:r>
          </w:p>
        </w:tc>
      </w:tr>
      <w:tr w:rsidR="00CB5308" w:rsidRPr="00070ADE" w14:paraId="172AD777" w14:textId="77777777">
        <w:tc>
          <w:tcPr>
            <w:tcW w:w="3369" w:type="dxa"/>
          </w:tcPr>
          <w:p w14:paraId="56F096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66D1BC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шумов кабины самолета, а частям ВВС - мероприятия по улучшению силами техсостава</w:t>
            </w:r>
          </w:p>
        </w:tc>
      </w:tr>
      <w:tr w:rsidR="00CB5308" w:rsidRPr="00070ADE" w14:paraId="774D3490" w14:textId="77777777">
        <w:tc>
          <w:tcPr>
            <w:tcW w:w="3369" w:type="dxa"/>
          </w:tcPr>
          <w:p w14:paraId="6198C0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3C2876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частей внутрисамолетной связи самолетов Ил-2, находящихся в эксплуатации.</w:t>
            </w:r>
          </w:p>
        </w:tc>
      </w:tr>
      <w:tr w:rsidR="00CB5308" w:rsidRPr="00070ADE" w14:paraId="44E7D745" w14:textId="77777777">
        <w:tc>
          <w:tcPr>
            <w:tcW w:w="3369" w:type="dxa"/>
          </w:tcPr>
          <w:p w14:paraId="67E664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Летные испытания радиостанции</w:t>
            </w:r>
          </w:p>
        </w:tc>
        <w:tc>
          <w:tcPr>
            <w:tcW w:w="7903" w:type="dxa"/>
          </w:tcPr>
          <w:p w14:paraId="0CB633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Проведены испытания с целью определения дальности 2-х сторонней связи</w:t>
            </w:r>
          </w:p>
        </w:tc>
      </w:tr>
      <w:tr w:rsidR="00CB5308" w:rsidRPr="00070ADE" w14:paraId="5AE3BAD0" w14:textId="77777777">
        <w:tc>
          <w:tcPr>
            <w:tcW w:w="3369" w:type="dxa"/>
          </w:tcPr>
          <w:p w14:paraId="0D3A50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SCR-274w на самолете Ил-2</w:t>
            </w:r>
          </w:p>
        </w:tc>
        <w:tc>
          <w:tcPr>
            <w:tcW w:w="7903" w:type="dxa"/>
          </w:tcPr>
          <w:p w14:paraId="113C8C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радиостанции SCR-274w, установленной на самолете Ил-2, с наземной радиостанцией</w:t>
            </w:r>
          </w:p>
        </w:tc>
      </w:tr>
      <w:tr w:rsidR="00CB5308" w:rsidRPr="00070ADE" w14:paraId="161FDAB0" w14:textId="77777777">
        <w:tc>
          <w:tcPr>
            <w:tcW w:w="3369" w:type="dxa"/>
          </w:tcPr>
          <w:p w14:paraId="6D82A4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47EE25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11Ак. Испытаниями установлено, что радиостанция более мощная, чем РСИ-4,</w:t>
            </w:r>
          </w:p>
        </w:tc>
      </w:tr>
      <w:tr w:rsidR="00CB5308" w:rsidRPr="00070ADE" w14:paraId="36A7D031" w14:textId="77777777">
        <w:tc>
          <w:tcPr>
            <w:tcW w:w="3369" w:type="dxa"/>
          </w:tcPr>
          <w:p w14:paraId="5F155B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5175FE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обеспечивает дальность действия на расстоянии 150 км. Рекомендована к</w:t>
            </w:r>
          </w:p>
        </w:tc>
      </w:tr>
      <w:tr w:rsidR="00CB5308" w:rsidRPr="00070ADE" w14:paraId="3B4FBAFA" w14:textId="77777777">
        <w:tc>
          <w:tcPr>
            <w:tcW w:w="3369" w:type="dxa"/>
          </w:tcPr>
          <w:p w14:paraId="5EEAB3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6CFCDA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установке на самолетах штурмовой и истребительной авиации.</w:t>
            </w:r>
          </w:p>
        </w:tc>
      </w:tr>
      <w:tr w:rsidR="00CB5308" w:rsidRPr="00070ADE" w14:paraId="38577747" w14:textId="77777777">
        <w:tc>
          <w:tcPr>
            <w:tcW w:w="3369" w:type="dxa"/>
          </w:tcPr>
          <w:p w14:paraId="7CC4DE2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278BC6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отчете об испытаниях указаны необходимые мероприятия по приспособлению</w:t>
            </w:r>
          </w:p>
        </w:tc>
      </w:tr>
      <w:tr w:rsidR="00CB5308" w:rsidRPr="00070ADE" w14:paraId="7C94D97A" w14:textId="77777777">
        <w:tc>
          <w:tcPr>
            <w:tcW w:w="3369" w:type="dxa"/>
          </w:tcPr>
          <w:p w14:paraId="0E87A4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04BDB3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отечественных шлемофонов, тангет ларингофонов и монтажных плат для приемника</w:t>
            </w:r>
          </w:p>
        </w:tc>
      </w:tr>
      <w:tr w:rsidR="00CB5308" w:rsidRPr="00070ADE" w14:paraId="09436D19" w14:textId="77777777">
        <w:tc>
          <w:tcPr>
            <w:tcW w:w="3369" w:type="dxa"/>
          </w:tcPr>
          <w:p w14:paraId="756820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36A8EAC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передатчика.</w:t>
            </w:r>
          </w:p>
        </w:tc>
      </w:tr>
      <w:tr w:rsidR="00CB5308" w:rsidRPr="00070ADE" w14:paraId="53D04256" w14:textId="77777777">
        <w:tc>
          <w:tcPr>
            <w:tcW w:w="3369" w:type="dxa"/>
          </w:tcPr>
          <w:p w14:paraId="7ABD10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Испытания опытной системы НГ</w:t>
            </w:r>
          </w:p>
        </w:tc>
        <w:tc>
          <w:tcPr>
            <w:tcW w:w="7903" w:type="dxa"/>
          </w:tcPr>
          <w:p w14:paraId="422656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опытной системы НГ завода 18 проводились с целью определения ее</w:t>
            </w:r>
          </w:p>
        </w:tc>
      </w:tr>
      <w:tr w:rsidR="00CB5308" w:rsidRPr="00070ADE" w14:paraId="518573C6" w14:textId="77777777">
        <w:tc>
          <w:tcPr>
            <w:tcW w:w="3369" w:type="dxa"/>
          </w:tcPr>
          <w:p w14:paraId="778DCA0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самолетах Ил-2</w:t>
            </w:r>
          </w:p>
        </w:tc>
        <w:tc>
          <w:tcPr>
            <w:tcW w:w="7903" w:type="dxa"/>
          </w:tcPr>
          <w:p w14:paraId="158CB19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пригодности для внедрения в серию. После устранения дефектов, выявленных при</w:t>
            </w:r>
          </w:p>
        </w:tc>
      </w:tr>
      <w:tr w:rsidR="00CB5308" w:rsidRPr="00070ADE" w14:paraId="73A44EFA" w14:textId="77777777">
        <w:tc>
          <w:tcPr>
            <w:tcW w:w="3369" w:type="dxa"/>
          </w:tcPr>
          <w:p w14:paraId="07B75A2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200B7C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испытаниях (перестановка газозаборника и устранение утечки в газопроводе)</w:t>
            </w:r>
          </w:p>
        </w:tc>
      </w:tr>
      <w:tr w:rsidR="00CB5308" w:rsidRPr="00070ADE" w14:paraId="70D85B81" w14:textId="77777777">
        <w:tc>
          <w:tcPr>
            <w:tcW w:w="3369" w:type="dxa"/>
          </w:tcPr>
          <w:p w14:paraId="0176B7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4273D5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система работает удовлетворительно и предъявлена на гос. испытания в НИИ ВВС.</w:t>
            </w:r>
          </w:p>
        </w:tc>
      </w:tr>
      <w:tr w:rsidR="00CB5308" w:rsidRPr="00070ADE" w14:paraId="7445D282" w14:textId="77777777">
        <w:tc>
          <w:tcPr>
            <w:tcW w:w="3369" w:type="dxa"/>
          </w:tcPr>
          <w:p w14:paraId="373B68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Увеличение дальности</w:t>
            </w:r>
          </w:p>
        </w:tc>
        <w:tc>
          <w:tcPr>
            <w:tcW w:w="7903" w:type="dxa"/>
          </w:tcPr>
          <w:p w14:paraId="7D244A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проведена работа по выяснению возможности увеличения дальности радиосвязи в</w:t>
            </w:r>
          </w:p>
        </w:tc>
      </w:tr>
      <w:tr w:rsidR="00CB5308" w:rsidRPr="00070ADE" w14:paraId="0AC4E29E" w14:textId="77777777">
        <w:tc>
          <w:tcPr>
            <w:tcW w:w="3369" w:type="dxa"/>
          </w:tcPr>
          <w:p w14:paraId="35A9C7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радиосвязи в штурмовой</w:t>
            </w:r>
          </w:p>
        </w:tc>
        <w:tc>
          <w:tcPr>
            <w:tcW w:w="7903" w:type="dxa"/>
          </w:tcPr>
          <w:p w14:paraId="4D63DA9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штурмовой авиации путем использования наземной радиостанцией горизонтальной</w:t>
            </w:r>
          </w:p>
        </w:tc>
      </w:tr>
      <w:tr w:rsidR="00CB5308" w:rsidRPr="00070ADE" w14:paraId="6AB1B837" w14:textId="77777777">
        <w:tc>
          <w:tcPr>
            <w:tcW w:w="3369" w:type="dxa"/>
          </w:tcPr>
          <w:p w14:paraId="3E3677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авиации</w:t>
            </w:r>
          </w:p>
        </w:tc>
        <w:tc>
          <w:tcPr>
            <w:tcW w:w="7903" w:type="dxa"/>
          </w:tcPr>
          <w:p w14:paraId="4A84FB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антенны и ведения связи на отраженном луче.</w:t>
            </w:r>
          </w:p>
        </w:tc>
      </w:tr>
      <w:tr w:rsidR="00CB5308" w:rsidRPr="00070ADE" w14:paraId="384F250F" w14:textId="77777777">
        <w:tc>
          <w:tcPr>
            <w:tcW w:w="3369" w:type="dxa"/>
          </w:tcPr>
          <w:p w14:paraId="3EF4F7D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56D4AF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радиосвязи в штурмовой авиации при полетах на высоте полрядка 100 м</w:t>
            </w:r>
          </w:p>
        </w:tc>
      </w:tr>
      <w:tr w:rsidR="00CB5308" w:rsidRPr="00070ADE" w14:paraId="1BB62969" w14:textId="77777777">
        <w:tc>
          <w:tcPr>
            <w:tcW w:w="3369" w:type="dxa"/>
          </w:tcPr>
          <w:p w14:paraId="4F4D80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6B439B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 не превышает 30-40 км. Результаты работы показали, что использование</w:t>
            </w:r>
          </w:p>
        </w:tc>
      </w:tr>
      <w:tr w:rsidR="00CB5308" w:rsidRPr="00070ADE" w14:paraId="1B8B3DC1" w14:textId="77777777">
        <w:tc>
          <w:tcPr>
            <w:tcW w:w="3369" w:type="dxa"/>
          </w:tcPr>
          <w:p w14:paraId="365F645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0499CE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отраженного луча увеличивает дальность связи. На существующей серийной аппаратуре</w:t>
            </w:r>
          </w:p>
        </w:tc>
      </w:tr>
      <w:tr w:rsidR="00CB5308" w:rsidRPr="00070ADE" w14:paraId="7CB6F28E" w14:textId="77777777">
        <w:tc>
          <w:tcPr>
            <w:tcW w:w="3369" w:type="dxa"/>
          </w:tcPr>
          <w:p w14:paraId="47CCE5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1A8509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была достигнута дальность более 100 км. В отдельных полетах на высоте 100-200 м имело</w:t>
            </w:r>
          </w:p>
        </w:tc>
      </w:tr>
      <w:tr w:rsidR="005106D0" w:rsidRPr="00070ADE" w14:paraId="37E385D6" w14:textId="77777777">
        <w:tc>
          <w:tcPr>
            <w:tcW w:w="3369" w:type="dxa"/>
          </w:tcPr>
          <w:p w14:paraId="11841C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03" w:type="dxa"/>
          </w:tcPr>
          <w:p w14:paraId="143B09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место непрерывная связь на расстоянии до 200 км. Работа продолжается (1821,38)</w:t>
            </w:r>
          </w:p>
        </w:tc>
      </w:tr>
    </w:tbl>
    <w:p w14:paraId="2E9234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E340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10 января 1944 состояние опытного строительства на 21 заводе было следующим:</w:t>
      </w:r>
    </w:p>
    <w:p w14:paraId="5E2FF75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 М-71 - стыковочные узлы консолей заменены на усиленные. Работы будут продолжены после окончания работ нп с-те Ла-5 с 3-мя точками.</w:t>
      </w:r>
    </w:p>
    <w:p w14:paraId="71301B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 ФНА (трехточечный - будущий Ла-7). Фюзеляж состыкован с центропланом. Идет навеска мотора.</w:t>
      </w:r>
    </w:p>
    <w:p w14:paraId="5D97CF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Внедрение металлических лрнжеронов.</w:t>
      </w:r>
    </w:p>
    <w:p w14:paraId="23F7AB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Закончено изготовление 3-х каркасов консолей крыла из деталей з-да № 381.</w:t>
      </w:r>
    </w:p>
    <w:p w14:paraId="6F82510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цехе сборки лонжеронов установлено 3 станка для лонжеронов консолей и 2 стапеля для лонжеронов центроплана.</w:t>
      </w:r>
    </w:p>
    <w:p w14:paraId="756C89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Закончена установка станков для строжки и фрезерования полок лонжеронов. Прибыли поковки стыковочных узлов с завода № 150.</w:t>
      </w:r>
    </w:p>
    <w:p w14:paraId="5FDB91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Доводка серийных с-тов.</w:t>
      </w:r>
    </w:p>
    <w:p w14:paraId="05680A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КП-12 (приказ комисси НКАП, ГУЗ ВВС и НИИ).</w:t>
      </w:r>
    </w:p>
    <w:p w14:paraId="03697CE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с-тах “Ф” вместо шинельного сукна ставится герметизация из губчатой резины.</w:t>
      </w:r>
    </w:p>
    <w:p w14:paraId="00EA17F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производство спущены чертежи на новые облегченные на 4 кг рули высоты. При статистических испытаниях на отрыв обшивки (слачай А) крыло с металлическими лонжеронами конструкции завода № 381 выдержало 100% (738,12).</w:t>
      </w:r>
    </w:p>
    <w:p w14:paraId="2FA63B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3F65E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января 1944 года гл. конструктор завода N 477 Бериев писал письмо зам. наркома Авиапрома Кузнецову А.И.</w:t>
      </w:r>
    </w:p>
    <w:p w14:paraId="76361A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Вашего указания, при сем препровождаю основные летно-технические данные опытной летающей лодки ЛЛ-143-2М71Ф, спроектированной по тактико-техническим требованиям ВВС ВМФ.</w:t>
      </w:r>
    </w:p>
    <w:p w14:paraId="14B53A1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CB5308" w:rsidRPr="00070ADE" w14:paraId="05B9B633" w14:textId="77777777">
        <w:tc>
          <w:tcPr>
            <w:tcW w:w="5636" w:type="dxa"/>
          </w:tcPr>
          <w:p w14:paraId="0782DA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 5000 м</w:t>
            </w:r>
          </w:p>
        </w:tc>
        <w:tc>
          <w:tcPr>
            <w:tcW w:w="5636" w:type="dxa"/>
          </w:tcPr>
          <w:p w14:paraId="42139E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 км/час</w:t>
            </w:r>
          </w:p>
        </w:tc>
      </w:tr>
      <w:tr w:rsidR="00CB5308" w:rsidRPr="00070ADE" w14:paraId="5EE8C59C" w14:textId="77777777">
        <w:tc>
          <w:tcPr>
            <w:tcW w:w="5636" w:type="dxa"/>
          </w:tcPr>
          <w:p w14:paraId="408F73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w:t>
            </w:r>
          </w:p>
        </w:tc>
        <w:tc>
          <w:tcPr>
            <w:tcW w:w="5636" w:type="dxa"/>
          </w:tcPr>
          <w:p w14:paraId="5A6139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18500-23000 кг</w:t>
            </w:r>
          </w:p>
        </w:tc>
      </w:tr>
      <w:tr w:rsidR="00CB5308" w:rsidRPr="00070ADE" w14:paraId="4FB9E175" w14:textId="77777777">
        <w:tc>
          <w:tcPr>
            <w:tcW w:w="5636" w:type="dxa"/>
          </w:tcPr>
          <w:p w14:paraId="22F1DC2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дальность</w:t>
            </w:r>
          </w:p>
        </w:tc>
        <w:tc>
          <w:tcPr>
            <w:tcW w:w="5636" w:type="dxa"/>
          </w:tcPr>
          <w:p w14:paraId="339755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7619683" w14:textId="77777777">
        <w:tc>
          <w:tcPr>
            <w:tcW w:w="5636" w:type="dxa"/>
          </w:tcPr>
          <w:p w14:paraId="290B1A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полета</w:t>
            </w:r>
          </w:p>
        </w:tc>
        <w:tc>
          <w:tcPr>
            <w:tcW w:w="5636" w:type="dxa"/>
          </w:tcPr>
          <w:p w14:paraId="29F7ED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5600 км</w:t>
            </w:r>
          </w:p>
        </w:tc>
      </w:tr>
      <w:tr w:rsidR="00CB5308" w:rsidRPr="00070ADE" w14:paraId="29EC90EE" w14:textId="77777777">
        <w:tc>
          <w:tcPr>
            <w:tcW w:w="5636" w:type="dxa"/>
          </w:tcPr>
          <w:p w14:paraId="65D7FA5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Продолжительность полета</w:t>
            </w:r>
          </w:p>
        </w:tc>
        <w:tc>
          <w:tcPr>
            <w:tcW w:w="5636" w:type="dxa"/>
          </w:tcPr>
          <w:p w14:paraId="29AB41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16-18 часов</w:t>
            </w:r>
          </w:p>
        </w:tc>
      </w:tr>
      <w:tr w:rsidR="00CB5308" w:rsidRPr="00070ADE" w14:paraId="1D09CACC" w14:textId="77777777">
        <w:tc>
          <w:tcPr>
            <w:tcW w:w="5636" w:type="dxa"/>
          </w:tcPr>
          <w:p w14:paraId="7380CD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Потолок</w:t>
            </w:r>
          </w:p>
        </w:tc>
        <w:tc>
          <w:tcPr>
            <w:tcW w:w="5636" w:type="dxa"/>
          </w:tcPr>
          <w:p w14:paraId="2F4C4BE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8000 м</w:t>
            </w:r>
          </w:p>
        </w:tc>
      </w:tr>
      <w:tr w:rsidR="00CB5308" w:rsidRPr="00070ADE" w14:paraId="66388861" w14:textId="77777777">
        <w:tc>
          <w:tcPr>
            <w:tcW w:w="5636" w:type="dxa"/>
          </w:tcPr>
          <w:p w14:paraId="1BB5A5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Бомбовая и минно-торпедная</w:t>
            </w:r>
          </w:p>
        </w:tc>
        <w:tc>
          <w:tcPr>
            <w:tcW w:w="5636" w:type="dxa"/>
          </w:tcPr>
          <w:p w14:paraId="22A31A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791BA36" w14:textId="77777777">
        <w:tc>
          <w:tcPr>
            <w:tcW w:w="5636" w:type="dxa"/>
          </w:tcPr>
          <w:p w14:paraId="21D4DC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нагрузка</w:t>
            </w:r>
          </w:p>
        </w:tc>
        <w:tc>
          <w:tcPr>
            <w:tcW w:w="5636" w:type="dxa"/>
          </w:tcPr>
          <w:p w14:paraId="7E1A71E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600-4000 кг</w:t>
            </w:r>
          </w:p>
        </w:tc>
      </w:tr>
      <w:tr w:rsidR="00CB5308" w:rsidRPr="00070ADE" w14:paraId="1B09B2B5" w14:textId="77777777">
        <w:tc>
          <w:tcPr>
            <w:tcW w:w="5636" w:type="dxa"/>
          </w:tcPr>
          <w:p w14:paraId="0CA182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Стрелково-артиллерийское</w:t>
            </w:r>
          </w:p>
        </w:tc>
        <w:tc>
          <w:tcPr>
            <w:tcW w:w="5636" w:type="dxa"/>
          </w:tcPr>
          <w:p w14:paraId="2B0933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2C1E002" w14:textId="77777777">
        <w:tc>
          <w:tcPr>
            <w:tcW w:w="5636" w:type="dxa"/>
          </w:tcPr>
          <w:p w14:paraId="5E19913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w:t>
            </w:r>
          </w:p>
        </w:tc>
        <w:tc>
          <w:tcPr>
            <w:tcW w:w="5636" w:type="dxa"/>
          </w:tcPr>
          <w:p w14:paraId="15E58F9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пуш. ВЯ кал. 23 мм</w:t>
            </w:r>
          </w:p>
        </w:tc>
      </w:tr>
      <w:tr w:rsidR="00CB5308" w:rsidRPr="00070ADE" w14:paraId="4EAE00A6" w14:textId="77777777">
        <w:tc>
          <w:tcPr>
            <w:tcW w:w="5636" w:type="dxa"/>
          </w:tcPr>
          <w:p w14:paraId="02BB6B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B26E8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пул. 4БТ кал. 12,7 мм</w:t>
            </w:r>
          </w:p>
        </w:tc>
      </w:tr>
      <w:tr w:rsidR="00CB5308" w:rsidRPr="00070ADE" w14:paraId="7393F6FB" w14:textId="77777777">
        <w:tc>
          <w:tcPr>
            <w:tcW w:w="5636" w:type="dxa"/>
          </w:tcPr>
          <w:p w14:paraId="045BB3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Размах самолета</w:t>
            </w:r>
          </w:p>
        </w:tc>
        <w:tc>
          <w:tcPr>
            <w:tcW w:w="5636" w:type="dxa"/>
          </w:tcPr>
          <w:p w14:paraId="4CF87B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 м</w:t>
            </w:r>
          </w:p>
        </w:tc>
      </w:tr>
      <w:tr w:rsidR="00CB5308" w:rsidRPr="00070ADE" w14:paraId="286069DE" w14:textId="77777777">
        <w:tc>
          <w:tcPr>
            <w:tcW w:w="5636" w:type="dxa"/>
          </w:tcPr>
          <w:p w14:paraId="0E76F3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w:t>
            </w:r>
          </w:p>
        </w:tc>
        <w:tc>
          <w:tcPr>
            <w:tcW w:w="5636" w:type="dxa"/>
          </w:tcPr>
          <w:p w14:paraId="046EC3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w:t>
            </w:r>
          </w:p>
        </w:tc>
      </w:tr>
      <w:tr w:rsidR="00CB5308" w:rsidRPr="00070ADE" w14:paraId="0144784C" w14:textId="77777777">
        <w:tc>
          <w:tcPr>
            <w:tcW w:w="5636" w:type="dxa"/>
          </w:tcPr>
          <w:p w14:paraId="15CA37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w:t>
            </w:r>
          </w:p>
        </w:tc>
        <w:tc>
          <w:tcPr>
            <w:tcW w:w="5636" w:type="dxa"/>
          </w:tcPr>
          <w:p w14:paraId="09C5B8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 м</w:t>
            </w:r>
          </w:p>
        </w:tc>
      </w:tr>
    </w:tbl>
    <w:p w14:paraId="3AC7B5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Макет самолета ЛЛ-143 утвержден макетной комиссией ВВС ВМФ и одобрен Наркомом ВМФ адмиралом Кузнецовым.</w:t>
      </w:r>
    </w:p>
    <w:p w14:paraId="1A77C6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выпуска 1 экз. опытного самолета на заводские испытания 1 августа 1944 года (1825).</w:t>
      </w:r>
    </w:p>
    <w:p w14:paraId="0004FB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43634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января 1946 г. по приказу НКАП № 4с для расширения опытной базы и опытных работ по геликоптеростроению и ввиду неприспособленности завода № 381 ОКБ-3 перебазировано на площадку филиала № 1 завода № 381 НКАП ( г. Москва ул. 2-я Рыбинская, 17). Филиал передан как опытная база со всем имуществом и личным составом в подчинение ОКБ-3 из 1ГУ в 7ГУ.</w:t>
      </w:r>
    </w:p>
    <w:p w14:paraId="6643D91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1948 г. ОКБ-3 МАИ Братухина переведено в МАП и образовано ОКБ-3 МАП под его руководством. На базе ОКБ-3 в соответствии с пост. СМ СССР № 3658-1485 от 29.09.1948 г. и приказом № 772 от 4.10.1948 г. вновь образован завод № 3 МАП.</w:t>
      </w:r>
    </w:p>
    <w:p w14:paraId="53EBD6D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МАП от 05.1948 г. задавалась разработка реактивного вертолета с ПВРД или ПуВРД. Для этого распоряжением МАП от 12.1948 г. из состава ОКБ-3 выделена группа конструкторов СБИЖ (Ю.Л. Старинин- военпред ОКБ, Ю.С. Брагинский, Б</w:t>
      </w:r>
      <w:r w:rsidRPr="00070ADE">
        <w:rPr>
          <w:rFonts w:ascii="Times New Roman" w:hAnsi="Times New Roman"/>
          <w:iCs/>
          <w:color w:val="000000" w:themeColor="text1"/>
          <w:sz w:val="16"/>
          <w:szCs w:val="16"/>
        </w:rPr>
        <w:t xml:space="preserve"> .Я.</w:t>
      </w:r>
      <w:r w:rsidRPr="00070ADE">
        <w:rPr>
          <w:rFonts w:ascii="Times New Roman" w:hAnsi="Times New Roman"/>
          <w:color w:val="000000" w:themeColor="text1"/>
          <w:sz w:val="16"/>
          <w:szCs w:val="16"/>
        </w:rPr>
        <w:t xml:space="preserve"> Жеребцов), работавшая при ГСОЗ № 3 МАП.</w:t>
      </w:r>
    </w:p>
    <w:p w14:paraId="199ECD2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10.1951 г. после совещания авиастроителей в Кремле, где была поставлена задача создания тяжелого вертолета, ОКБ-3 Братухина закрыто, завод передан Милю. После закрытия ОКБ Братухин назначен начальником вертолетного отдела БНТИ ЦАГИ, затем- на преподавательской работе.</w:t>
      </w:r>
    </w:p>
    <w:p w14:paraId="7C30339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(1944-51 г.)- И.П. Братухин.</w:t>
      </w:r>
    </w:p>
    <w:p w14:paraId="6038286E" w14:textId="6965358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Ведущие инженеры по испытаниям: (-1946-47 г.-)- Д.Т. Мацицкий, (1947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Г.В. Ремезов.</w:t>
      </w:r>
    </w:p>
    <w:p w14:paraId="6573F87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w:t>
      </w:r>
      <w:r w:rsidRPr="00070ADE">
        <w:rPr>
          <w:rFonts w:ascii="Times New Roman" w:hAnsi="Times New Roman"/>
          <w:color w:val="000000" w:themeColor="text1"/>
          <w:sz w:val="16"/>
          <w:szCs w:val="16"/>
        </w:rPr>
        <w:t xml:space="preserve"> опытные вертолеты: «Омега» (08.1941 г.), «Омега II», Г-3, Г-4, Б-5, Б-9, Б-10, Б-11 (11982).</w:t>
      </w:r>
    </w:p>
    <w:p w14:paraId="2D10251B" w14:textId="77777777" w:rsidR="00264F92" w:rsidRPr="00070ADE" w:rsidRDefault="00264F92"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6C4C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января 1944 Нач. 1 отдела НИИ ВВС Рудинцев письмом N 1/03 направил в Секретариат НКАП А.И.Ш. для включения в Альбом по самолетам 1943 дополнительно карточки, составленные по результатам испытаний самолетов:</w:t>
      </w:r>
    </w:p>
    <w:p w14:paraId="58CF40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Пе-2 2М-105ПФ N 3/198</w:t>
      </w:r>
    </w:p>
    <w:p w14:paraId="21F55D6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Харрикейн П Д N КХ-305 (1821,36).</w:t>
      </w:r>
    </w:p>
    <w:p w14:paraId="5D0DE2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B678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января 1944 Нач. 1 отдела НИИ ВВС Рудинцев письмом N 1/03 направил в Секретариат НКАП А.И.Ш. для включения в Альбом по самолетам 1943 дополнительно карточки, составленные по результатам испытаний самолетов:</w:t>
      </w:r>
    </w:p>
    <w:p w14:paraId="0B301AD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Як-3 М-105ПФ с норм. наддувом</w:t>
      </w:r>
    </w:p>
    <w:p w14:paraId="4F82CA6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Як-7Б М-105ПФ N 821536</w:t>
      </w:r>
    </w:p>
    <w:p w14:paraId="679AB3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Дуглас А-20-G N 253553</w:t>
      </w:r>
    </w:p>
    <w:p w14:paraId="34D2A11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Дуглас А-20-G N 253914</w:t>
      </w:r>
    </w:p>
    <w:p w14:paraId="0F7B5DE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Дуглас А-20-G N 286564</w:t>
      </w:r>
    </w:p>
    <w:p w14:paraId="0ACF34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Ме-109С-4</w:t>
      </w:r>
    </w:p>
    <w:p w14:paraId="4A0F801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Мотопланер МП 2М-11Ф (1821,33).</w:t>
      </w:r>
    </w:p>
    <w:p w14:paraId="4FB21C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EBA1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января 1944 был отпечатан Отчет завода № 21 по основной деятельности за 1943</w:t>
      </w:r>
    </w:p>
    <w:p w14:paraId="30B1B99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2-м квартале 1943 по решению ГКО завод должен был освоить производство модифицированного с-та Ла-5 с М-82ФН не снижая графика.</w:t>
      </w:r>
    </w:p>
    <w:p w14:paraId="2D2940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постановление ГКО от 17 июля 1943 № 375 в 3-м квартале 1943 завод д.б. увеличить выпуск боевых машин с резким переходом на модификацию с-та Ла-5 с М-82 ФН с металлическим лонжероном.</w:t>
      </w:r>
    </w:p>
    <w:p w14:paraId="22A7D0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Суточный выпуск д.б. доведен до 15 вместо 11-12 в конце 1942</w:t>
      </w:r>
    </w:p>
    <w:p w14:paraId="1AFFBB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Годовая программа по сдаче выполнена на 110,3%</w:t>
      </w:r>
    </w:p>
    <w:p w14:paraId="5FC70D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 М-82 и М-82Ф план - 3173, выполнен 3661 - 115,2%</w:t>
      </w:r>
    </w:p>
    <w:p w14:paraId="727042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Ла-5ФН план - 1058, выпущено 991 (94%)</w:t>
      </w:r>
    </w:p>
    <w:p w14:paraId="57C387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ЛаГГ-3 - план -, выпущено 17</w:t>
      </w:r>
    </w:p>
    <w:p w14:paraId="0328EC3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план 4231, выпуск - 4669 - 110,3%</w:t>
      </w:r>
    </w:p>
    <w:p w14:paraId="53F98E8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Недовыполнение плана по Ла-5ФН - трудности завода № 19 по выпуску М-82ФН</w:t>
      </w:r>
    </w:p>
    <w:p w14:paraId="27DEC2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1942 выпуск вырос на 58,2% (696,13).</w:t>
      </w:r>
    </w:p>
    <w:p w14:paraId="27D366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0BE6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января 1944 года нарком текстильной промышленности Акимов писал письмо №Т-109-20 зам. председателя СНК Косыгину А.Н.</w:t>
      </w:r>
    </w:p>
    <w:p w14:paraId="07A1B2C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 текстиль просит поставить перед ГОКО вопрос о возвращении в НК текстиль, переданные в наркоматы оборонного значения:</w:t>
      </w:r>
    </w:p>
    <w:p w14:paraId="6153EBE2" w14:textId="77777777" w:rsidR="003712D9" w:rsidRPr="00070ADE" w:rsidRDefault="003712D9" w:rsidP="00B56F90">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Бывш. завод им. XIII годовщины Октября, ныне завод № 746 НКМВ.</w:t>
      </w:r>
    </w:p>
    <w:p w14:paraId="6B8D1F68" w14:textId="77777777" w:rsidR="003712D9" w:rsidRPr="00070ADE" w:rsidRDefault="003712D9" w:rsidP="00B56F90">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Бывш. Киевский экспериментальный завод, ныне филиал завода № 454 НКАП (8933).</w:t>
      </w:r>
    </w:p>
    <w:p w14:paraId="1FFABE9C" w14:textId="77777777" w:rsidR="003712D9" w:rsidRPr="00070ADE" w:rsidRDefault="003712D9" w:rsidP="00B56F90">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16F3AD0"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3303D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A47B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января 1944 г. было подготовлено ЗАКЛЮЧЕНИЕ ПО ПРЕДЛОЖЕНИЮ тт. ЯНОВА И БОРОДИНА -«МЕТАЛЛИЧЕСКИЕ СЕТКИ ДЛЯ ЗАЩИТЫ ТАНКОВ ОТ ОГНЕСМЕСЕЙ»</w:t>
      </w:r>
    </w:p>
    <w:p w14:paraId="4D16C6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Авторы предлагают все щели и окна в корпусе танка закрывать изнутри металлической сеткой для предотвращения проникновения огня внутрь танка, вместе с горючей жидкостью.</w:t>
      </w:r>
    </w:p>
    <w:p w14:paraId="7DC9928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заявлению авторов, сетки не должны иметь на своей поверхности порошкообразных веществ.</w:t>
      </w:r>
    </w:p>
    <w:p w14:paraId="3907658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Соблюсти это требование в действительных условиях эксплуатации и боевого использования танков — невозможно, вследствие неизбежности попадания на сетку пыли.</w:t>
      </w:r>
    </w:p>
    <w:p w14:paraId="6BCF3B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Поэтому проведение дальнейших экспериментов по данному предложению нецелесообразно.</w:t>
      </w:r>
    </w:p>
    <w:p w14:paraId="083C74F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8-го отдела ТУ ГБТУ КА инженер-подполковник Фролов</w:t>
      </w:r>
    </w:p>
    <w:p w14:paraId="125FA92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11350. Д. 2140. Л. 11. Подлинник (11403).</w:t>
      </w:r>
    </w:p>
    <w:p w14:paraId="7AE9285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16C69BC"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января 1944 г. Докладная записка инженер-майора И. И. Антошина об изготовлении опытных образцов окопной и самолетной громкоговорящих установок</w:t>
      </w:r>
    </w:p>
    <w:p w14:paraId="172146CA"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Инженер-майор Антошин И. И.</w:t>
      </w:r>
    </w:p>
    <w:p w14:paraId="72A55FAA"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Начальнику VII отдела ГлавПУРККА полковнику тов. Бурцеву</w:t>
      </w:r>
    </w:p>
    <w:p w14:paraId="4D53E402"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ДОКЛАДНАЯ ЗАПИСКА</w:t>
      </w:r>
    </w:p>
    <w:p w14:paraId="265F0642"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последних числах декабря 1943 года 8-м отделом НИИС-КА (ст. Мытищи Ярославск. ж.д.) были закончены изготовлением опытных образцов окопных и самолетной громкоговорящих установок:</w:t>
      </w:r>
    </w:p>
    <w:p w14:paraId="267FCA2D"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ОГУ — стандартного, серийного типа с полным питанием от ножного привода отечественной конструкции.</w:t>
      </w:r>
    </w:p>
    <w:p w14:paraId="0F7BDCAB"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ОГУ — несколько пониженной мощности, по сравнению с существующим типом, с полным питанием от ручного привода американской конструкции.</w:t>
      </w:r>
    </w:p>
    <w:p w14:paraId="1DCD4811"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ОГУ — оригинальной конструкции, монтированная в упаковке ящика патефона с полным питанием от</w:t>
      </w:r>
    </w:p>
    <w:p w14:paraId="675273A3"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ручного привода американской конструкции.</w:t>
      </w:r>
    </w:p>
    <w:p w14:paraId="612B2EA5"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Также ОГУ с полным питанием от ручного привода отечественной конструкции.</w:t>
      </w:r>
    </w:p>
    <w:p w14:paraId="50A96880"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Оригинальная СГУ (самолетная громкоговорящая установка), изготовленная ОКБ завода № 51 — НКАП по данным НИИС-КА и моему предложению.</w:t>
      </w:r>
    </w:p>
    <w:p w14:paraId="0E1ADA4F"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Указанные установки подготовлены, в течение настоящей недели, для демонстрации Вам, тов. Мануильскому, генерал-майору т. Лосикову. Прошу назначить день Вашего выезда на демонстрацию в работе указанных конструкций.</w:t>
      </w:r>
    </w:p>
    <w:p w14:paraId="3735BA14"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Антошин</w:t>
      </w:r>
    </w:p>
    <w:p w14:paraId="23305FA5"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РФ. Фонд 32. Опись 11306. Дело 394. Лист 61 (23938).</w:t>
      </w:r>
    </w:p>
    <w:p w14:paraId="11D1F045" w14:textId="77777777" w:rsidR="00021CBD" w:rsidRPr="00070ADE" w:rsidRDefault="00021CBD" w:rsidP="00B56F90">
      <w:pPr>
        <w:spacing w:after="0" w:line="240" w:lineRule="auto"/>
        <w:jc w:val="both"/>
        <w:rPr>
          <w:rFonts w:ascii="Times New Roman" w:hAnsi="Times New Roman"/>
          <w:color w:val="000000" w:themeColor="text1"/>
          <w:sz w:val="16"/>
          <w:szCs w:val="16"/>
        </w:rPr>
      </w:pPr>
    </w:p>
    <w:p w14:paraId="5DBC7B8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января 1944 вышло Постановление ГКО № 4917 Об ускорении погрузочно-разгрузочных работ и сокращении простоя вагонов на подъездных путях промышленных предприятий. (7169, 1-5,6-43).</w:t>
      </w:r>
    </w:p>
    <w:p w14:paraId="22DBA444"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397D59"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3B8AA5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FA6972"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10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31AC227E"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продолжая наступление,овладели районными центрами Ровенской области Березно, Людвиполь, районным центром Житомирской области Любар, районными центрами Винницкой области Вороновица, Немиров, районным центром Киевской области Маньковка, а также с боями заняли более 60 других населённых пунктов, в том числе крупные населённые пункты Глезна, Великие Деревичи, Стрижевка, Коваленки, Мотрунки, Полеваяслободка, Подорожна, Крапивна, Фридрово, Юровка, Волчинец, Чернички, Комаров, Степановка, Байраковка, Хвостовцы, Яры, Бандуровка, Красненькое, Подвысокое, Владиславчик, Поповка Конела, Соколовка, Нестеровка, Ивановка, Подобна, Крачковка и железнодорожную станцию Яроватка. Железная дорога Смела—Христиновка перерезана нашими войсками.</w:t>
      </w:r>
    </w:p>
    <w:p w14:paraId="33B3FAB7"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северо-западнее и западнее Кировограда продолжали наступление и овладели районным центром Кировоградской области Каменка-Шевченковская, а также с боями заняли более 50 других населённых пунктов и среди них крупные населённые пункты Малый Бузуков, Головятино, Сунки, Плискачёвка, Завадовка, Михайловка, Грушевка, Ребедайловка, Пляковка, Томашевка, Бондырево, Ставидло, Шпаково, Сентово, Аврамовка, Алексеевка и железнодорожную станцию Каменка.</w:t>
      </w:r>
    </w:p>
    <w:p w14:paraId="1AA60823"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Окружённые в районе севернее Кировограда остатки разгромленных трёх танковых, одной моторизованной и одной пехотной дивизий немцев, ввиду отказа сложить оружие, большей частью, уничтожены нашими войсками; лишь незначительным и разрозненным группам противника удалось разбежаться. В этом районе нашими войсками захвачено у немцев 90 танков, 114 орудий разных калибров, из них 26 самоходных, 124 миномёта, 287 пулемётов и другие трофеи. На поле боя осталосьсвыше 8.000 трупов немецких солдат и офицеров.</w:t>
      </w:r>
    </w:p>
    <w:p w14:paraId="6E92EF65"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15F6D6E0"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9 января наши войска на всех фронтах подбили и уничтожили 58 немецких танков. В воздушных боях и огнём зенитной артиллерии сбито 32 самолёта противника.</w:t>
      </w:r>
    </w:p>
    <w:p w14:paraId="399E197B"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наступление. Части Н-ского соединения, успешно продвигаясь вперед, заняли ряд населённых пунктов, в том числе районные центры Ровенской области Березно и Людвиполь. В бою за один опорный пункт наши бойцы совместно с ровенским партизанским отрядом уничтожили батальон немецкой пехоты, захватили 12 орудий и большой склад боеприпасов. Взяты в плен две роты гитлеровцев. В результате ожесточённых боёв наши войска овладели важным узлом грунтовых дорог, районным центром Житомирской области Любар. Противник, пытаясь восстановить положение в этом районе, предпринял несколько ожесточённых контратак, но был отброшен с большими для него потерями.</w:t>
      </w:r>
    </w:p>
    <w:p w14:paraId="01444FD1"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развивая наступление в южном направлении, заняли районный центрКиевской области Маньковка, районные центры Винницкой области Вореповица и Немиров. Овладев станцией Яроватка, советские войска перерезали важнейшую коммуникацию немцев — железную дорогу Смела-Христиновка. За день боёв уничтоженодо 4 тысяч немецких солдат и офицеров, сожжено и подбито 30 танков и самоходных орудий. Захвачено много трофеев и пленных.</w:t>
      </w:r>
    </w:p>
    <w:p w14:paraId="34B6A705"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Кировограда наши войска окружили группу войск противника, состоявшую из остатков разгромленных 3 танковых, одной моторизованной и одной пехотной немецких дивизий. В течение трёх дней немцы, пытаясь вырваться из окружения, предпринимали отчаянные контратаки, но каждый раз отбрасывались назад, оставляя на поле боя тысячи трупов своих солдат и офицеров. Сегодня наши войска нанесли противнику, отказавшемуся сложить оружие, решающий удар и ликвидировали окружённую группу немецких войск.</w:t>
      </w:r>
    </w:p>
    <w:p w14:paraId="5E323718"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Развивая наступление советские войска овладели районным центром Кировоградской области Каменка-Шевченковская и заняли более 50 других населённых пунктов. Части Н-ского соединения западнее города Кировограда уничтожили до полка немецкой пехоты, сожгли и подбили 27 танков, 3 самоходных орудия и 14 бронетранспортёров. Захвачены трофеи, в числе которых 48 орудий, много автомашини крупные склады противника. Взято большое число пленных.</w:t>
      </w:r>
    </w:p>
    <w:p w14:paraId="4778759D"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Одесской области, пустил под откос два немецких воинских эшелона, следовавших к линии фронта. В результате крушений убито и ранено до 200 гитлеровцев. Движение поездов на этом участке было прервано в течение суток. Группа молдавских партизан взорвала железнодорожный мост и огнём из противотанковых ружей вывела из строя четыре паровоза.</w:t>
      </w:r>
    </w:p>
    <w:p w14:paraId="7344DAC1"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Среди немецких документов, захваченных нашими войсками, обнаружено секретное предписание командования 8 немецкой армии за № 1930/43 от 12 сентября 1943 г., адресованное командованию 11 немецкого армейского корпуса. В этом документе говорится: «Подготовительные работы по разрушению Карловки возглавляет капитанКлинг — командир 2-й роты 407 моторизованного мостостроительного батальона, уже находящийся со своей командой севернее моста на восточной окраине Карловки. Приказ о разрушении должен быть отдан командованием 11 армейского корпуса». На этом документе имеется собственноручная резолюция командующего 11 армейским корпусом генерала Рауса: «Начальнику инженерной службы. Прошу заблаговременно представить план разрушения. Раус».</w:t>
      </w:r>
    </w:p>
    <w:p w14:paraId="33890C55"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 же из себя представляет Карловка, о разрушении которой заботились столь высокие чины германской армии? Село Карловка — районный центр Полтавскойобласти. Его жители занимаются земледелием. В селе не было и нет никаких военных объектов. Немецкий генерал, таким образом, приказал сжечь жилые дома мирных жителей этого села. Впрочем, немецкие генералы не только утверждают разбойничьи планы и издают преступные приказы. Например, командир 106 немецкой пехотнойдивизии генерал Форст давал своим солдатам наглядные уроки, как сжигать дома мирных советских граждан. Пленный обер-ефрейтор Карл Буккем рассказал: «Я сам видел, как командир 106 пехотной дивизии генерал-лейтенант Форст поджёг жилойдом, в котором находились женщины и дети. После этого Форст приказал солдатам сжечь все остальные дома».</w:t>
      </w:r>
    </w:p>
    <w:p w14:paraId="2BAAFA36"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Придёт время, когда генералы Раус и Форст, как и другие гитлеровские бандиты, будут посажены на скамью подсудимых. Тогда они ответят за все злодеяния,совершённые ими на советской земле.» (15005).</w:t>
      </w:r>
    </w:p>
    <w:p w14:paraId="594DC195" w14:textId="77777777" w:rsidR="00264F92" w:rsidRPr="00070ADE" w:rsidRDefault="00264F92" w:rsidP="00B56F90">
      <w:pPr>
        <w:spacing w:after="0" w:line="240" w:lineRule="auto"/>
        <w:jc w:val="both"/>
        <w:rPr>
          <w:rFonts w:ascii="Times New Roman" w:hAnsi="Times New Roman"/>
          <w:color w:val="000000" w:themeColor="text1"/>
          <w:sz w:val="16"/>
          <w:szCs w:val="16"/>
        </w:rPr>
      </w:pPr>
    </w:p>
    <w:p w14:paraId="1708546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января 1944 окруженные части противника были ликвидированы. Генерал Рязанов лично осмотрел поле боя и установил, что в районах Лепековки и Балки Злодейки штурмовиками корпуса уничтожено и повреждено около 400 автомашин, 52 танка, 50 самоходных орудий.</w:t>
      </w:r>
    </w:p>
    <w:p w14:paraId="359B0D7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 оставались без внимания и коммуникации противника. Когда разведка установила скопление эшелонов с боевой техникой на ст. Смела, генерал Рязанов, несмотря на сплошной туман и проливной дождь, принял решение послать двух-трех добровольцев из числа наиболее опытных летчиков. Дело в том, что нужно было не только нанести удар по станции, но и в такую погоду вернуться на свой аэродром.</w:t>
      </w:r>
    </w:p>
    <w:p w14:paraId="18609FD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боевое задание вылетела пара от 667-го шап в составе лейтенантов Михай- личенко и Чечелашвили. Для обеспечения внезапности налета маршрут проложили с таким расчетом, чтобы большую часть времени лететь над лесом, а выход на станцию выполнить со стороны территории противника.</w:t>
      </w:r>
    </w:p>
    <w:p w14:paraId="4DDFEBF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самой цели штурмовики шли на бреющем. Подняться выше мешали облака. Километра за три до станции Михайличенко заметил паровозные дымы. Ориентируясь по ним, экипажи выполнили небольшую горку и перевели самолеты в пологое планирование. Сначала эшелоны обстреляли реактивными снарядами и пулеметно-пушечным огнем, а затем сбросили бомбы. Когда Ил-2 уходили от цели, на станции бушевали пожары и рвались боеприпасы. Зенитный огонь немцы открыть так и не успели...</w:t>
      </w:r>
    </w:p>
    <w:p w14:paraId="226D4BA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Второй удар по ст. Смела показал, что противник ошибок не прощает. Перед вылетом летчики решили не менять маршрут. И за это поплатились. Именно с опушки леса на подходе к станции их встретил плотный зенитный огонь. Самолет Михайличенко получил повреждения. Летчик развернул Ил-2 в сторону своей территории. На подходе к Днепру мотор остановился. Пришлось садиться на нейтральной полосе. Немцы сразу же накрыли самолет минометным огнем. Однако Михайличенко и воздушному стрелку удалось добраться до своих окопов (12020).</w:t>
      </w:r>
    </w:p>
    <w:p w14:paraId="55FC6A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СПРАВКА НАЧАЛЬНИКА ГБТУ КА О НАЛИЧИИ АЭРОСАННЫХ ЧАСТЕЙ НА 10.01.1944 г.</w:t>
      </w:r>
    </w:p>
    <w:tbl>
      <w:tblPr>
        <w:tblW w:w="0" w:type="auto"/>
        <w:tblInd w:w="40" w:type="dxa"/>
        <w:tblLayout w:type="fixed"/>
        <w:tblCellMar>
          <w:left w:w="40" w:type="dxa"/>
          <w:right w:w="40" w:type="dxa"/>
        </w:tblCellMar>
        <w:tblLook w:val="0000" w:firstRow="0" w:lastRow="0" w:firstColumn="0" w:lastColumn="0" w:noHBand="0" w:noVBand="0"/>
      </w:tblPr>
      <w:tblGrid>
        <w:gridCol w:w="1632"/>
        <w:gridCol w:w="1699"/>
        <w:gridCol w:w="1699"/>
        <w:gridCol w:w="1843"/>
        <w:gridCol w:w="1872"/>
      </w:tblGrid>
      <w:tr w:rsidR="00CB5308" w:rsidRPr="00070ADE" w14:paraId="5FEDC99A" w14:textId="77777777">
        <w:trPr>
          <w:trHeight w:val="269"/>
        </w:trPr>
        <w:tc>
          <w:tcPr>
            <w:tcW w:w="1632" w:type="dxa"/>
            <w:tcBorders>
              <w:top w:val="single" w:sz="6" w:space="0" w:color="auto"/>
              <w:left w:val="single" w:sz="6" w:space="0" w:color="auto"/>
              <w:bottom w:val="nil"/>
              <w:right w:val="single" w:sz="6" w:space="0" w:color="auto"/>
            </w:tcBorders>
          </w:tcPr>
          <w:p w14:paraId="4F9A6D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Где находятся</w:t>
            </w:r>
          </w:p>
          <w:p w14:paraId="7277F80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98" w:type="dxa"/>
            <w:gridSpan w:val="2"/>
            <w:tcBorders>
              <w:top w:val="single" w:sz="6" w:space="0" w:color="auto"/>
              <w:left w:val="single" w:sz="6" w:space="0" w:color="auto"/>
              <w:bottom w:val="single" w:sz="6" w:space="0" w:color="auto"/>
              <w:right w:val="single" w:sz="6" w:space="0" w:color="auto"/>
            </w:tcBorders>
          </w:tcPr>
          <w:p w14:paraId="7F7444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Отдельные аэросанные батальоны</w:t>
            </w:r>
          </w:p>
          <w:p w14:paraId="2A84D3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nil"/>
              <w:right w:val="single" w:sz="6" w:space="0" w:color="auto"/>
            </w:tcBorders>
          </w:tcPr>
          <w:p w14:paraId="44BC21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Резервные аэросанные роты</w:t>
            </w:r>
          </w:p>
          <w:p w14:paraId="005560F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72" w:type="dxa"/>
            <w:tcBorders>
              <w:top w:val="single" w:sz="6" w:space="0" w:color="auto"/>
              <w:left w:val="single" w:sz="6" w:space="0" w:color="auto"/>
              <w:bottom w:val="nil"/>
              <w:right w:val="single" w:sz="6" w:space="0" w:color="auto"/>
            </w:tcBorders>
          </w:tcPr>
          <w:p w14:paraId="667476E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Отдельные ремонтные аэросанные роты</w:t>
            </w:r>
          </w:p>
          <w:p w14:paraId="1D018F9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6A8C9F55" w14:textId="77777777">
        <w:trPr>
          <w:trHeight w:val="259"/>
        </w:trPr>
        <w:tc>
          <w:tcPr>
            <w:tcW w:w="1632" w:type="dxa"/>
            <w:tcBorders>
              <w:top w:val="nil"/>
              <w:left w:val="single" w:sz="6" w:space="0" w:color="auto"/>
              <w:bottom w:val="single" w:sz="6" w:space="0" w:color="auto"/>
              <w:right w:val="single" w:sz="6" w:space="0" w:color="auto"/>
            </w:tcBorders>
          </w:tcPr>
          <w:p w14:paraId="405BF28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2753B1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0668540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Боевые</w:t>
            </w:r>
          </w:p>
          <w:p w14:paraId="6B6C10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BD1DDB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Транспортные</w:t>
            </w:r>
          </w:p>
          <w:p w14:paraId="2D328C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nil"/>
              <w:left w:val="single" w:sz="6" w:space="0" w:color="auto"/>
              <w:bottom w:val="single" w:sz="6" w:space="0" w:color="auto"/>
              <w:right w:val="single" w:sz="6" w:space="0" w:color="auto"/>
            </w:tcBorders>
          </w:tcPr>
          <w:p w14:paraId="073FCD6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B8182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72" w:type="dxa"/>
            <w:tcBorders>
              <w:top w:val="nil"/>
              <w:left w:val="single" w:sz="6" w:space="0" w:color="auto"/>
              <w:bottom w:val="single" w:sz="6" w:space="0" w:color="auto"/>
              <w:right w:val="single" w:sz="6" w:space="0" w:color="auto"/>
            </w:tcBorders>
          </w:tcPr>
          <w:p w14:paraId="72825B7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FAD36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FD1443E" w14:textId="77777777">
        <w:trPr>
          <w:trHeight w:val="278"/>
        </w:trPr>
        <w:tc>
          <w:tcPr>
            <w:tcW w:w="1632" w:type="dxa"/>
            <w:tcBorders>
              <w:top w:val="single" w:sz="6" w:space="0" w:color="auto"/>
              <w:left w:val="single" w:sz="6" w:space="0" w:color="auto"/>
              <w:bottom w:val="single" w:sz="6" w:space="0" w:color="auto"/>
              <w:right w:val="single" w:sz="6" w:space="0" w:color="auto"/>
            </w:tcBorders>
          </w:tcPr>
          <w:p w14:paraId="2FC971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фронтах</w:t>
            </w:r>
          </w:p>
          <w:p w14:paraId="5E0D30C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B1521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p w14:paraId="34C26C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1B8972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w:t>
            </w:r>
          </w:p>
          <w:p w14:paraId="418B77E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1E82BBD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p w14:paraId="186E184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72" w:type="dxa"/>
            <w:tcBorders>
              <w:top w:val="single" w:sz="6" w:space="0" w:color="auto"/>
              <w:left w:val="single" w:sz="6" w:space="0" w:color="auto"/>
              <w:bottom w:val="single" w:sz="6" w:space="0" w:color="auto"/>
              <w:right w:val="single" w:sz="6" w:space="0" w:color="auto"/>
            </w:tcBorders>
          </w:tcPr>
          <w:p w14:paraId="52A6337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4D10FD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3F62AF23" w14:textId="77777777">
        <w:trPr>
          <w:trHeight w:val="278"/>
        </w:trPr>
        <w:tc>
          <w:tcPr>
            <w:tcW w:w="1632" w:type="dxa"/>
            <w:tcBorders>
              <w:top w:val="single" w:sz="6" w:space="0" w:color="auto"/>
              <w:left w:val="single" w:sz="6" w:space="0" w:color="auto"/>
              <w:bottom w:val="single" w:sz="6" w:space="0" w:color="auto"/>
              <w:right w:val="single" w:sz="6" w:space="0" w:color="auto"/>
            </w:tcBorders>
          </w:tcPr>
          <w:p w14:paraId="3A33C1E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округах</w:t>
            </w:r>
          </w:p>
          <w:p w14:paraId="6EA1E0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324FFB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4D7220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E5BDAC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p w14:paraId="14E5911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45FADB3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w:t>
            </w:r>
          </w:p>
          <w:p w14:paraId="43B7D2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72" w:type="dxa"/>
            <w:tcBorders>
              <w:top w:val="single" w:sz="6" w:space="0" w:color="auto"/>
              <w:left w:val="single" w:sz="6" w:space="0" w:color="auto"/>
              <w:bottom w:val="single" w:sz="6" w:space="0" w:color="auto"/>
              <w:right w:val="single" w:sz="6" w:space="0" w:color="auto"/>
            </w:tcBorders>
          </w:tcPr>
          <w:p w14:paraId="7E1246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1E2653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90290A3" w14:textId="77777777">
        <w:trPr>
          <w:trHeight w:val="298"/>
        </w:trPr>
        <w:tc>
          <w:tcPr>
            <w:tcW w:w="1632" w:type="dxa"/>
            <w:tcBorders>
              <w:top w:val="single" w:sz="6" w:space="0" w:color="auto"/>
              <w:left w:val="single" w:sz="6" w:space="0" w:color="auto"/>
              <w:bottom w:val="single" w:sz="6" w:space="0" w:color="auto"/>
              <w:right w:val="single" w:sz="6" w:space="0" w:color="auto"/>
            </w:tcBorders>
          </w:tcPr>
          <w:p w14:paraId="47E5AA4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50C25A7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B150D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01A931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2ED325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70B19E0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690971F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2A6562A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72" w:type="dxa"/>
            <w:tcBorders>
              <w:top w:val="single" w:sz="6" w:space="0" w:color="auto"/>
              <w:left w:val="single" w:sz="6" w:space="0" w:color="auto"/>
              <w:bottom w:val="single" w:sz="6" w:space="0" w:color="auto"/>
              <w:right w:val="single" w:sz="6" w:space="0" w:color="auto"/>
            </w:tcBorders>
          </w:tcPr>
          <w:p w14:paraId="0E865F5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54032DD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273768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w:t>
      </w:r>
    </w:p>
    <w:p w14:paraId="72973DE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Аэросаней в частях (в батальонах и резервных ротах) - 2716</w:t>
      </w:r>
    </w:p>
    <w:p w14:paraId="2F2DF8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Резерв аэросаней - 614</w:t>
      </w:r>
    </w:p>
    <w:p w14:paraId="119C26F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Общее количество аэросаней - 3330</w:t>
      </w:r>
    </w:p>
    <w:p w14:paraId="2E8F04D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ГБТУ КА генерал-лейтенант танковых войск Вершинин</w:t>
      </w:r>
    </w:p>
    <w:p w14:paraId="3FBA11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11358. Д. 212. Л. 28. Подлинник (11403).</w:t>
      </w:r>
    </w:p>
    <w:p w14:paraId="603CB5C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41692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10-11 января 1944 предприняли наступление 3 и 4УФ с целью разгрома противника на никопольском плацдарме. Фронты поддерживали и прикрывали 17ВА (г В.А.Судец) и 8ВА (г Т.Т.Хобкин) (340,163).</w:t>
      </w:r>
    </w:p>
    <w:p w14:paraId="40F742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CD8056" w14:textId="77777777" w:rsidR="0054491A" w:rsidRPr="00070ADE" w:rsidRDefault="0054491A"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2EC151D6" w14:textId="77777777" w:rsidR="0054491A" w:rsidRPr="00070ADE" w:rsidRDefault="0054491A"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6D5C7A" w14:textId="77777777" w:rsidR="0054491A" w:rsidRPr="00070ADE" w:rsidRDefault="0054491A" w:rsidP="00B56F9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10 января 1944 состоялся двойной налет на Софию. Около полудня над Софией появились 180 «летающих крепостей» В-17 под при</w:t>
      </w:r>
      <w:r w:rsidRPr="00070ADE">
        <w:rPr>
          <w:rFonts w:ascii="Times New Roman" w:hAnsi="Times New Roman" w:cs="Times New Roman"/>
          <w:color w:val="000000" w:themeColor="text1"/>
          <w:sz w:val="16"/>
          <w:szCs w:val="16"/>
        </w:rPr>
        <w:softHyphen/>
        <w:t>крытием дальних истребителей. Вечером город бомбили 80 бри</w:t>
      </w:r>
      <w:r w:rsidRPr="00070ADE">
        <w:rPr>
          <w:rFonts w:ascii="Times New Roman" w:hAnsi="Times New Roman" w:cs="Times New Roman"/>
          <w:color w:val="000000" w:themeColor="text1"/>
          <w:sz w:val="16"/>
          <w:szCs w:val="16"/>
        </w:rPr>
        <w:softHyphen/>
        <w:t>танских бомбардировщиков. В отражении обоих налетов приняли участие 70 болгарских истребителей. Согласно бюллетеню мини</w:t>
      </w:r>
      <w:r w:rsidRPr="00070ADE">
        <w:rPr>
          <w:rFonts w:ascii="Times New Roman" w:hAnsi="Times New Roman" w:cs="Times New Roman"/>
          <w:color w:val="000000" w:themeColor="text1"/>
          <w:sz w:val="16"/>
          <w:szCs w:val="16"/>
        </w:rPr>
        <w:softHyphen/>
        <w:t>стерства обороны Болгарии, было сбито 12 бомбардировщиков и 6 истребителей Р-38.</w:t>
      </w:r>
    </w:p>
    <w:p w14:paraId="03819714" w14:textId="77777777" w:rsidR="0054491A" w:rsidRPr="00070ADE" w:rsidRDefault="0054491A" w:rsidP="00B56F9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Американское командование объявило о сбитии 10 января 1944 г. не менее 31 истребителя, что не соответствует действитель</w:t>
      </w:r>
      <w:r w:rsidRPr="00070ADE">
        <w:rPr>
          <w:rFonts w:ascii="Times New Roman" w:hAnsi="Times New Roman" w:cs="Times New Roman"/>
          <w:color w:val="000000" w:themeColor="text1"/>
          <w:sz w:val="16"/>
          <w:szCs w:val="16"/>
        </w:rPr>
        <w:softHyphen/>
        <w:t>ности, так как болгарская авиация в 1943-1944 г. всего потеряла в боях 24 истребителя, а еще 18, получив повреждения, совершили вынужденные посадки. Но это были лишь самолеты, упавшие на болгарской территории, всего на авиабазы не вернулся 31 самолет.</w:t>
      </w:r>
    </w:p>
    <w:p w14:paraId="1D8D9D2E" w14:textId="77777777" w:rsidR="0054491A" w:rsidRPr="00070ADE" w:rsidRDefault="0054491A" w:rsidP="00B56F9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Софии в тот день было убито 447 и ранено 611 человек (по другим сведениям 750 и 710 человек соответственно).</w:t>
      </w:r>
    </w:p>
    <w:p w14:paraId="5CD3A90D" w14:textId="77777777" w:rsidR="0054491A" w:rsidRPr="00070ADE" w:rsidRDefault="0054491A" w:rsidP="00B56F9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Двойной налет произвел удручающее впечатление на жите</w:t>
      </w:r>
      <w:r w:rsidRPr="00070ADE">
        <w:rPr>
          <w:rFonts w:ascii="Times New Roman" w:hAnsi="Times New Roman" w:cs="Times New Roman"/>
          <w:color w:val="000000" w:themeColor="text1"/>
          <w:sz w:val="16"/>
          <w:szCs w:val="16"/>
        </w:rPr>
        <w:softHyphen/>
        <w:t>лей столицы. Многие горожане (до 300 тысяч) покинули Софию, в том числе и большая часть чиновников. Закрылись школы и государственные учреждения. 23 января немецкий посол отпра</w:t>
      </w:r>
      <w:r w:rsidRPr="00070ADE">
        <w:rPr>
          <w:rFonts w:ascii="Times New Roman" w:hAnsi="Times New Roman" w:cs="Times New Roman"/>
          <w:color w:val="000000" w:themeColor="text1"/>
          <w:sz w:val="16"/>
          <w:szCs w:val="16"/>
        </w:rPr>
        <w:softHyphen/>
        <w:t>вил телеграмму в Берлин: «Работы по ликвидации последствий продвигаются чрезвычайно медленно. Вода и электричество подаются лишь частично, телефон не работает. Большинство ма</w:t>
      </w:r>
      <w:r w:rsidRPr="00070ADE">
        <w:rPr>
          <w:rFonts w:ascii="Times New Roman" w:hAnsi="Times New Roman" w:cs="Times New Roman"/>
          <w:color w:val="000000" w:themeColor="text1"/>
          <w:sz w:val="16"/>
          <w:szCs w:val="16"/>
        </w:rPr>
        <w:softHyphen/>
        <w:t>газинов закрыто» (19104).</w:t>
      </w:r>
    </w:p>
    <w:p w14:paraId="3F095288" w14:textId="77777777" w:rsidR="0054491A" w:rsidRPr="00070ADE" w:rsidRDefault="0054491A" w:rsidP="00B56F9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24 января 1944 г. состоялся новый налет на Софию, в котором участвовало 300 американских бомбардировщиков. Однако из-за тумана янки отбомбились по городу Враца в 60 км к северу от Софии, а также по сельской местности. Было разрушено 234 зда</w:t>
      </w:r>
      <w:r w:rsidRPr="00070ADE">
        <w:rPr>
          <w:rFonts w:ascii="Times New Roman" w:hAnsi="Times New Roman" w:cs="Times New Roman"/>
          <w:color w:val="000000" w:themeColor="text1"/>
          <w:sz w:val="16"/>
          <w:szCs w:val="16"/>
        </w:rPr>
        <w:softHyphen/>
        <w:t>ния, погибло 126 человек и 97 получили ранения.</w:t>
      </w:r>
    </w:p>
    <w:p w14:paraId="63AFFA14" w14:textId="77777777" w:rsidR="0054491A" w:rsidRPr="00070ADE" w:rsidRDefault="0054491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Затем наступила пауза до 16 марта 1944 г., когда 50 британских бомбардировщиков совершили ночной налет на Софию. Разрушено 72 здания, убито 43 человека и ранено 58 (19104).</w:t>
      </w:r>
    </w:p>
    <w:p w14:paraId="7119C6D3" w14:textId="77777777" w:rsidR="0054491A" w:rsidRPr="00070ADE" w:rsidRDefault="0054491A" w:rsidP="00B56F90">
      <w:pPr>
        <w:spacing w:after="0" w:line="240" w:lineRule="auto"/>
        <w:jc w:val="both"/>
        <w:rPr>
          <w:rFonts w:ascii="Times New Roman" w:hAnsi="Times New Roman"/>
          <w:color w:val="000000" w:themeColor="text1"/>
          <w:sz w:val="16"/>
          <w:szCs w:val="16"/>
        </w:rPr>
      </w:pPr>
    </w:p>
    <w:p w14:paraId="04ED8CA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2838DF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F000CC"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г. Выписка из приказа Народного Комиссара авиационной промышленности СССР о плане производства самолетов и авиамоторов на первый квартал 1944 года</w:t>
      </w:r>
    </w:p>
    <w:p w14:paraId="1D5B4969"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исполнение постановления Государственного Комитета Обороны от 11 января 1944 года № ГОКО-4918сс, приказываю:</w:t>
      </w:r>
    </w:p>
    <w:p w14:paraId="521BF691"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Заместителю Народного Комиссара - начальнику Десятого Главного Управления НКАП тов. Кузнецову А.И. и директору завода № 39 обеспечить выпуск самолетов в первом квартале 1944 года в следующих количествах:</w:t>
      </w:r>
    </w:p>
    <w:p w14:paraId="15CF0613"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r w:rsidRPr="00070ADE">
        <w:rPr>
          <w:rFonts w:ascii="Times New Roman" w:hAnsi="Times New Roman"/>
          <w:color w:val="000000" w:themeColor="text1"/>
          <w:sz w:val="16"/>
          <w:szCs w:val="16"/>
        </w:rPr>
        <w:tab/>
        <w:t>Тип самолета</w:t>
      </w:r>
      <w:r w:rsidRPr="00070ADE">
        <w:rPr>
          <w:rFonts w:ascii="Times New Roman" w:hAnsi="Times New Roman"/>
          <w:color w:val="000000" w:themeColor="text1"/>
          <w:sz w:val="16"/>
          <w:szCs w:val="16"/>
        </w:rPr>
        <w:tab/>
        <w:t>Всего на</w:t>
      </w:r>
      <w:r w:rsidRPr="00070ADE">
        <w:rPr>
          <w:rFonts w:ascii="Times New Roman" w:hAnsi="Times New Roman"/>
          <w:color w:val="000000" w:themeColor="text1"/>
          <w:sz w:val="16"/>
          <w:szCs w:val="16"/>
        </w:rPr>
        <w:tab/>
        <w:t>По месяцам</w:t>
      </w:r>
    </w:p>
    <w:p w14:paraId="4228C1DF"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завода</w:t>
      </w:r>
      <w:r w:rsidRPr="00070ADE">
        <w:rPr>
          <w:rFonts w:ascii="Times New Roman" w:hAnsi="Times New Roman"/>
          <w:color w:val="000000" w:themeColor="text1"/>
          <w:sz w:val="16"/>
          <w:szCs w:val="16"/>
        </w:rPr>
        <w:tab/>
        <w:t>квартал январь февраль март</w:t>
      </w:r>
    </w:p>
    <w:p w14:paraId="30A25FFB"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w:t>
      </w:r>
      <w:r w:rsidRPr="00070ADE">
        <w:rPr>
          <w:rFonts w:ascii="Times New Roman" w:hAnsi="Times New Roman"/>
          <w:color w:val="000000" w:themeColor="text1"/>
          <w:sz w:val="16"/>
          <w:szCs w:val="16"/>
        </w:rPr>
        <w:tab/>
        <w:t>Ер-2 2М-30Б</w:t>
      </w:r>
      <w:r w:rsidRPr="00070ADE">
        <w:rPr>
          <w:rFonts w:ascii="Times New Roman" w:hAnsi="Times New Roman"/>
          <w:color w:val="000000" w:themeColor="text1"/>
          <w:sz w:val="16"/>
          <w:szCs w:val="16"/>
        </w:rPr>
        <w:tab/>
        <w:t>33</w:t>
      </w:r>
      <w:r w:rsidRPr="00070ADE">
        <w:rPr>
          <w:rFonts w:ascii="Times New Roman" w:hAnsi="Times New Roman"/>
          <w:color w:val="000000" w:themeColor="text1"/>
          <w:sz w:val="16"/>
          <w:szCs w:val="16"/>
        </w:rPr>
        <w:tab/>
        <w:t>5</w:t>
      </w:r>
      <w:r w:rsidRPr="00070ADE">
        <w:rPr>
          <w:rFonts w:ascii="Times New Roman" w:hAnsi="Times New Roman"/>
          <w:color w:val="000000" w:themeColor="text1"/>
          <w:sz w:val="16"/>
          <w:szCs w:val="16"/>
        </w:rPr>
        <w:tab/>
        <w:t>10</w:t>
      </w:r>
      <w:r w:rsidRPr="00070ADE">
        <w:rPr>
          <w:rFonts w:ascii="Times New Roman" w:hAnsi="Times New Roman"/>
          <w:color w:val="000000" w:themeColor="text1"/>
          <w:sz w:val="16"/>
          <w:szCs w:val="16"/>
        </w:rPr>
        <w:tab/>
        <w:t>18</w:t>
      </w:r>
    </w:p>
    <w:p w14:paraId="6048DD19"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r w:rsidRPr="00070ADE">
        <w:rPr>
          <w:rFonts w:ascii="Times New Roman" w:hAnsi="Times New Roman"/>
          <w:color w:val="000000" w:themeColor="text1"/>
          <w:sz w:val="16"/>
          <w:szCs w:val="16"/>
        </w:rPr>
        <w:tab/>
        <w:t>Ил-4 2М-88Б</w:t>
      </w:r>
      <w:r w:rsidRPr="00070ADE">
        <w:rPr>
          <w:rFonts w:ascii="Times New Roman" w:hAnsi="Times New Roman"/>
          <w:color w:val="000000" w:themeColor="text1"/>
          <w:sz w:val="16"/>
          <w:szCs w:val="16"/>
        </w:rPr>
        <w:tab/>
        <w:t>55</w:t>
      </w:r>
      <w:r w:rsidRPr="00070ADE">
        <w:rPr>
          <w:rFonts w:ascii="Times New Roman" w:hAnsi="Times New Roman"/>
          <w:color w:val="000000" w:themeColor="text1"/>
          <w:sz w:val="16"/>
          <w:szCs w:val="16"/>
        </w:rPr>
        <w:tab/>
        <w:t>20</w:t>
      </w:r>
      <w:r w:rsidRPr="00070ADE">
        <w:rPr>
          <w:rFonts w:ascii="Times New Roman" w:hAnsi="Times New Roman"/>
          <w:color w:val="000000" w:themeColor="text1"/>
          <w:sz w:val="16"/>
          <w:szCs w:val="16"/>
        </w:rPr>
        <w:tab/>
        <w:t>20</w:t>
      </w:r>
      <w:r w:rsidRPr="00070ADE">
        <w:rPr>
          <w:rFonts w:ascii="Times New Roman" w:hAnsi="Times New Roman"/>
          <w:color w:val="000000" w:themeColor="text1"/>
          <w:sz w:val="16"/>
          <w:szCs w:val="16"/>
        </w:rPr>
        <w:tab/>
        <w:t>15</w:t>
      </w:r>
    </w:p>
    <w:p w14:paraId="6656FBC5"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Народный Комиссар авиационной промышленности А. Шахурин</w:t>
      </w:r>
    </w:p>
    <w:p w14:paraId="32059FCA"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ГАНИИО. Ф. 127. Оп. 14. Д. 7. Л. 25 (23860).</w:t>
      </w:r>
    </w:p>
    <w:p w14:paraId="1CCFDF74" w14:textId="77777777" w:rsidR="00021CBD" w:rsidRPr="00070ADE" w:rsidRDefault="00021CBD" w:rsidP="00B56F90">
      <w:pPr>
        <w:spacing w:after="0" w:line="240" w:lineRule="auto"/>
        <w:jc w:val="both"/>
        <w:rPr>
          <w:rFonts w:ascii="Times New Roman" w:hAnsi="Times New Roman"/>
          <w:color w:val="000000" w:themeColor="text1"/>
          <w:sz w:val="16"/>
          <w:szCs w:val="16"/>
        </w:rPr>
      </w:pPr>
    </w:p>
    <w:p w14:paraId="28E79627"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11 января 1944 г. главный инжене</w:t>
      </w:r>
      <w:r w:rsidRPr="00070ADE">
        <w:rPr>
          <w:rFonts w:ascii="Times New Roman" w:hAnsi="Times New Roman" w:cs="Times New Roman"/>
          <w:color w:val="000000" w:themeColor="text1"/>
          <w:sz w:val="16"/>
          <w:szCs w:val="16"/>
        </w:rPr>
        <w:softHyphen/>
        <w:t>р ВВС КА генерал-полковник А.К. Ре</w:t>
      </w:r>
      <w:r w:rsidRPr="00070ADE">
        <w:rPr>
          <w:rFonts w:ascii="Times New Roman" w:hAnsi="Times New Roman" w:cs="Times New Roman"/>
          <w:color w:val="000000" w:themeColor="text1"/>
          <w:sz w:val="16"/>
          <w:szCs w:val="16"/>
        </w:rPr>
        <w:softHyphen/>
        <w:t>пин утвердил Акт по испытаниям двух противотанковых самолетов «Харрикейн» 1Ю зав. №№ КХ-171 и КХ-305.</w:t>
      </w:r>
    </w:p>
    <w:p w14:paraId="57782345"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lastRenderedPageBreak/>
        <w:t>23 декабря 1943 были закончены испытания двух противотанковых самолетов «Харрикейн» 1Ю зав. №№ КХ-171 и КХ-305, которые шли сначала в НИИ ВВС, а затем в НИИАВ с 13 ноября 1943. Машины прибыли на аэродром Чкаловское 26 августа 1943 г., но начало испытаний отложили из-за задержки правых пушек и боезапаса.</w:t>
      </w:r>
    </w:p>
    <w:p w14:paraId="36EDE462"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 завершению полетов в НИИ ВВС са</w:t>
      </w:r>
      <w:r w:rsidRPr="00070ADE">
        <w:rPr>
          <w:rFonts w:ascii="Times New Roman" w:hAnsi="Times New Roman" w:cs="Times New Roman"/>
          <w:color w:val="000000" w:themeColor="text1"/>
          <w:sz w:val="16"/>
          <w:szCs w:val="16"/>
        </w:rPr>
        <w:softHyphen/>
        <w:t>молет зав. № КХ-305 в феврале 1944 г. по</w:t>
      </w:r>
      <w:r w:rsidRPr="00070ADE">
        <w:rPr>
          <w:rFonts w:ascii="Times New Roman" w:hAnsi="Times New Roman" w:cs="Times New Roman"/>
          <w:color w:val="000000" w:themeColor="text1"/>
          <w:sz w:val="16"/>
          <w:szCs w:val="16"/>
        </w:rPr>
        <w:softHyphen/>
        <w:t>ступил в НИИ АВ ВВС для производства кон</w:t>
      </w:r>
      <w:r w:rsidRPr="00070ADE">
        <w:rPr>
          <w:rFonts w:ascii="Times New Roman" w:hAnsi="Times New Roman" w:cs="Times New Roman"/>
          <w:color w:val="000000" w:themeColor="text1"/>
          <w:sz w:val="16"/>
          <w:szCs w:val="16"/>
        </w:rPr>
        <w:softHyphen/>
        <w:t>трольных испытаний вооружения. Отчет по испытаниям утвержден начальником НИИ АВ генерал-майором М.В. Гуревичем 17 марта.</w:t>
      </w:r>
    </w:p>
    <w:p w14:paraId="5F5F6708"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Испытания в НИИ ВВС проводились объединенной бригадой специалистов 3-го и 4-го отделов института. Ведущим инженером по испытаниям был назначен инженер-капитан Рабкин (3-й отдел), его помощником - инженер-капитан Колосов (4-й отдел). На самолетах летали: летчик- испытатель 3-го отдела майор Голофастов и летчик-испытатель 4-го отдела старший лейтенант Поминальный.</w:t>
      </w:r>
    </w:p>
    <w:p w14:paraId="6A00792B"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НИИ АВ к испытаниям привлекались специалисты 7-го отдела института: майор В.С. Полубиченко - ответственный по ис</w:t>
      </w:r>
      <w:r w:rsidRPr="00070ADE">
        <w:rPr>
          <w:rFonts w:ascii="Times New Roman" w:hAnsi="Times New Roman" w:cs="Times New Roman"/>
          <w:color w:val="000000" w:themeColor="text1"/>
          <w:sz w:val="16"/>
          <w:szCs w:val="16"/>
        </w:rPr>
        <w:softHyphen/>
        <w:t>пытаниям, старший техник-лейтенант Ф.Ф. Сивцов, летчик-испытатель капитан А.В. Кусакин и механик по вооружению старший сержант Ф.Я. Анохин.</w:t>
      </w:r>
    </w:p>
    <w:p w14:paraId="2F35499A"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Всего в НИИ ВВС было выполнено 27 полетов с суммарным налетом 18 ч 40 мин, втом числе: на самолете зав. N9 КХ-305 -16 полетов (12 ч 10 мин), на самолете зав. № КХ-171 - 11 полетов (6 ч 30 мин). С начала эксплуатации мотор «Мерлин» XX №87591 на самолете зав. № КХ-305 наработал 52 ч 14 мин, а мотор № 87437 на самолете зав. № КХ-171 -71 ч 11 мин.</w:t>
      </w:r>
    </w:p>
    <w:p w14:paraId="2A5570C3"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НИИ АВ ВВС на самолете зав. № КХ- 305 выполнили еще 9 контрольных полетов на отстрел вооружения в воздухе по воз</w:t>
      </w:r>
      <w:r w:rsidRPr="00070ADE">
        <w:rPr>
          <w:rFonts w:ascii="Times New Roman" w:hAnsi="Times New Roman" w:cs="Times New Roman"/>
          <w:color w:val="000000" w:themeColor="text1"/>
          <w:sz w:val="16"/>
          <w:szCs w:val="16"/>
        </w:rPr>
        <w:softHyphen/>
        <w:t>душным и наземным целям.</w:t>
      </w:r>
    </w:p>
    <w:p w14:paraId="2AD3BE2F"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Судя по песчаному камуфляжу, само</w:t>
      </w:r>
      <w:r w:rsidRPr="00070ADE">
        <w:rPr>
          <w:rFonts w:ascii="Times New Roman" w:hAnsi="Times New Roman" w:cs="Times New Roman"/>
          <w:color w:val="000000" w:themeColor="text1"/>
          <w:sz w:val="16"/>
          <w:szCs w:val="16"/>
        </w:rPr>
        <w:softHyphen/>
        <w:t>леты применялись в Северной Африке.</w:t>
      </w:r>
    </w:p>
    <w:p w14:paraId="1833E6A5"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Истребители оснащались пылефильтром, установленным на всасывающем патрубке мотора.</w:t>
      </w:r>
    </w:p>
    <w:p w14:paraId="1A240C0E"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Штурмовой вариант самолета «Харрикейн» 1Ю представлял собой серийный самолет «Харрикейн» НС с усиленным бро</w:t>
      </w:r>
      <w:r w:rsidRPr="00070ADE">
        <w:rPr>
          <w:rFonts w:ascii="Times New Roman" w:hAnsi="Times New Roman" w:cs="Times New Roman"/>
          <w:color w:val="000000" w:themeColor="text1"/>
          <w:sz w:val="16"/>
          <w:szCs w:val="16"/>
        </w:rPr>
        <w:softHyphen/>
        <w:t>нированием, доработанный под установку крупнокалиберных пушек.</w:t>
      </w:r>
    </w:p>
    <w:p w14:paraId="73EF2CD4"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На самолете устанавливался дере</w:t>
      </w:r>
      <w:r w:rsidRPr="00070ADE">
        <w:rPr>
          <w:rFonts w:ascii="Times New Roman" w:hAnsi="Times New Roman" w:cs="Times New Roman"/>
          <w:color w:val="000000" w:themeColor="text1"/>
          <w:sz w:val="16"/>
          <w:szCs w:val="16"/>
        </w:rPr>
        <w:softHyphen/>
        <w:t>вянный трехлопастный воздушный винт изменяемого в полете шага фирмы Ротол Н5-5/3 диаметром 3,43 м. Система разжи</w:t>
      </w:r>
      <w:r w:rsidRPr="00070ADE">
        <w:rPr>
          <w:rFonts w:ascii="Times New Roman" w:hAnsi="Times New Roman" w:cs="Times New Roman"/>
          <w:color w:val="000000" w:themeColor="text1"/>
          <w:sz w:val="16"/>
          <w:szCs w:val="16"/>
        </w:rPr>
        <w:softHyphen/>
        <w:t>жения масла бензином, невыключаемый воздушный фильтр и другие агрегаты си</w:t>
      </w:r>
      <w:r w:rsidRPr="00070ADE">
        <w:rPr>
          <w:rFonts w:ascii="Times New Roman" w:hAnsi="Times New Roman" w:cs="Times New Roman"/>
          <w:color w:val="000000" w:themeColor="text1"/>
          <w:sz w:val="16"/>
          <w:szCs w:val="16"/>
        </w:rPr>
        <w:softHyphen/>
        <w:t>стемы винтомоторной группы такие же, как у Мк.ПС. Вместо двух кислородных балло</w:t>
      </w:r>
      <w:r w:rsidRPr="00070ADE">
        <w:rPr>
          <w:rFonts w:ascii="Times New Roman" w:hAnsi="Times New Roman" w:cs="Times New Roman"/>
          <w:color w:val="000000" w:themeColor="text1"/>
          <w:sz w:val="16"/>
          <w:szCs w:val="16"/>
        </w:rPr>
        <w:softHyphen/>
        <w:t>нов оставлен один.</w:t>
      </w:r>
    </w:p>
    <w:p w14:paraId="3997C69D"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Под крылом Мк.1Ю размещались две пушки Виккерс 5 калибра 40 мм с суммар</w:t>
      </w:r>
      <w:r w:rsidRPr="00070ADE">
        <w:rPr>
          <w:rFonts w:ascii="Times New Roman" w:hAnsi="Times New Roman" w:cs="Times New Roman"/>
          <w:color w:val="000000" w:themeColor="text1"/>
          <w:sz w:val="16"/>
          <w:szCs w:val="16"/>
        </w:rPr>
        <w:softHyphen/>
        <w:t>ным боекомплектом 30 снарядов и в кры</w:t>
      </w:r>
      <w:r w:rsidRPr="00070ADE">
        <w:rPr>
          <w:rFonts w:ascii="Times New Roman" w:hAnsi="Times New Roman" w:cs="Times New Roman"/>
          <w:color w:val="000000" w:themeColor="text1"/>
          <w:sz w:val="16"/>
          <w:szCs w:val="16"/>
        </w:rPr>
        <w:softHyphen/>
        <w:t>ле два пулемета Кольт-Браунинг калибра 7,69 мм с боекомплектом 1300 патронов. Вместо пушек допускалась подвеска до</w:t>
      </w:r>
      <w:r w:rsidRPr="00070ADE">
        <w:rPr>
          <w:rFonts w:ascii="Times New Roman" w:hAnsi="Times New Roman" w:cs="Times New Roman"/>
          <w:color w:val="000000" w:themeColor="text1"/>
          <w:sz w:val="16"/>
          <w:szCs w:val="16"/>
        </w:rPr>
        <w:softHyphen/>
        <w:t>полнительных бензобаков.</w:t>
      </w:r>
    </w:p>
    <w:p w14:paraId="0EAB49C8"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правом крыле предусматривалась установка фотокинопулемета для учебных целей и для контроля результатов стрельб, но на поступивших в НИИ ВВС самолетах фотокинопулеметы отсутствовали.</w:t>
      </w:r>
    </w:p>
    <w:p w14:paraId="5C3A41D7"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Управление огнем пушек и пулеме</w:t>
      </w:r>
      <w:r w:rsidRPr="00070ADE">
        <w:rPr>
          <w:rFonts w:ascii="Times New Roman" w:hAnsi="Times New Roman" w:cs="Times New Roman"/>
          <w:color w:val="000000" w:themeColor="text1"/>
          <w:sz w:val="16"/>
          <w:szCs w:val="16"/>
        </w:rPr>
        <w:softHyphen/>
        <w:t>тов раздельное," электропневматическое. Стрельба из пулеметов велась с помощью электрокнопки, смонтированной на ручке управления, а из пушек, также электрокноп</w:t>
      </w:r>
      <w:r w:rsidRPr="00070ADE">
        <w:rPr>
          <w:rFonts w:ascii="Times New Roman" w:hAnsi="Times New Roman" w:cs="Times New Roman"/>
          <w:color w:val="000000" w:themeColor="text1"/>
          <w:sz w:val="16"/>
          <w:szCs w:val="16"/>
        </w:rPr>
        <w:softHyphen/>
        <w:t>кой, но смонтированной на секторе газа.</w:t>
      </w:r>
    </w:p>
    <w:p w14:paraId="41FCBA2F"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Для прицеливания при стрельбе ис</w:t>
      </w:r>
      <w:r w:rsidRPr="00070ADE">
        <w:rPr>
          <w:rFonts w:ascii="Times New Roman" w:hAnsi="Times New Roman" w:cs="Times New Roman"/>
          <w:color w:val="000000" w:themeColor="text1"/>
          <w:sz w:val="16"/>
          <w:szCs w:val="16"/>
        </w:rPr>
        <w:softHyphen/>
        <w:t>пользовался коллиматорный прицел Реф</w:t>
      </w:r>
      <w:r w:rsidRPr="00070ADE">
        <w:rPr>
          <w:rFonts w:ascii="Times New Roman" w:hAnsi="Times New Roman" w:cs="Times New Roman"/>
          <w:color w:val="000000" w:themeColor="text1"/>
          <w:sz w:val="16"/>
          <w:szCs w:val="16"/>
        </w:rPr>
        <w:softHyphen/>
        <w:t>лектор Сайт Мк.115 с электрической под</w:t>
      </w:r>
      <w:r w:rsidRPr="00070ADE">
        <w:rPr>
          <w:rFonts w:ascii="Times New Roman" w:hAnsi="Times New Roman" w:cs="Times New Roman"/>
          <w:color w:val="000000" w:themeColor="text1"/>
          <w:sz w:val="16"/>
          <w:szCs w:val="16"/>
        </w:rPr>
        <w:softHyphen/>
        <w:t>светкой.</w:t>
      </w:r>
    </w:p>
    <w:p w14:paraId="177F7831"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Установка пулеметов Кольт-Баунинг ничем не отличалась от установки на се</w:t>
      </w:r>
      <w:r w:rsidRPr="00070ADE">
        <w:rPr>
          <w:rFonts w:ascii="Times New Roman" w:hAnsi="Times New Roman" w:cs="Times New Roman"/>
          <w:color w:val="000000" w:themeColor="text1"/>
          <w:sz w:val="16"/>
          <w:szCs w:val="16"/>
        </w:rPr>
        <w:softHyphen/>
        <w:t>рийном самолете типа Мк.ПС, за исклю</w:t>
      </w:r>
      <w:r w:rsidRPr="00070ADE">
        <w:rPr>
          <w:rFonts w:ascii="Times New Roman" w:hAnsi="Times New Roman" w:cs="Times New Roman"/>
          <w:color w:val="000000" w:themeColor="text1"/>
          <w:sz w:val="16"/>
          <w:szCs w:val="16"/>
        </w:rPr>
        <w:softHyphen/>
        <w:t>чением увеличенного боезапаса (лента в патронном ящике).</w:t>
      </w:r>
    </w:p>
    <w:p w14:paraId="10329E7C"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Пушки помещались в специальном об</w:t>
      </w:r>
      <w:r w:rsidRPr="00070ADE">
        <w:rPr>
          <w:rFonts w:ascii="Times New Roman" w:hAnsi="Times New Roman" w:cs="Times New Roman"/>
          <w:color w:val="000000" w:themeColor="text1"/>
          <w:sz w:val="16"/>
          <w:szCs w:val="16"/>
        </w:rPr>
        <w:softHyphen/>
        <w:t>текателе под крылом и крепились на двух узлах, из которых передний являлся сило</w:t>
      </w:r>
      <w:r w:rsidRPr="00070ADE">
        <w:rPr>
          <w:rFonts w:ascii="Times New Roman" w:hAnsi="Times New Roman" w:cs="Times New Roman"/>
          <w:color w:val="000000" w:themeColor="text1"/>
          <w:sz w:val="16"/>
          <w:szCs w:val="16"/>
        </w:rPr>
        <w:softHyphen/>
        <w:t>вым, а задний - регулировочным. При этом стволы пушек на 1080 мм выступали за переднюю кромку крыла.</w:t>
      </w:r>
    </w:p>
    <w:p w14:paraId="00F6B4BF"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Автоматика пушек Виккерс 8 работала на принципе отдачи с длинным ходом ство</w:t>
      </w:r>
      <w:r w:rsidRPr="00070ADE">
        <w:rPr>
          <w:rFonts w:ascii="Times New Roman" w:hAnsi="Times New Roman" w:cs="Times New Roman"/>
          <w:color w:val="000000" w:themeColor="text1"/>
          <w:sz w:val="16"/>
          <w:szCs w:val="16"/>
        </w:rPr>
        <w:softHyphen/>
        <w:t>ла, запирание клиновое. Сила отдачи при стрельбе поглощалась работой автомати</w:t>
      </w:r>
      <w:r w:rsidRPr="00070ADE">
        <w:rPr>
          <w:rFonts w:ascii="Times New Roman" w:hAnsi="Times New Roman" w:cs="Times New Roman"/>
          <w:color w:val="000000" w:themeColor="text1"/>
          <w:sz w:val="16"/>
          <w:szCs w:val="16"/>
        </w:rPr>
        <w:softHyphen/>
        <w:t>ки, возвратной и буферной пружинами и гидравлическим тормозом. В гидротормоз заливалось веретенное масло или смесь веретенного масла с техническим кероси</w:t>
      </w:r>
      <w:r w:rsidRPr="00070ADE">
        <w:rPr>
          <w:rFonts w:ascii="Times New Roman" w:hAnsi="Times New Roman" w:cs="Times New Roman"/>
          <w:color w:val="000000" w:themeColor="text1"/>
          <w:sz w:val="16"/>
          <w:szCs w:val="16"/>
        </w:rPr>
        <w:softHyphen/>
        <w:t>ном (в соотношении 60/40).</w:t>
      </w:r>
    </w:p>
    <w:p w14:paraId="1380B19F"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Питание пушек - магазинное. Магазин на 15 снарядов жестко крепился к пушке болтами. Зарядка магазина производи</w:t>
      </w:r>
      <w:r w:rsidRPr="00070ADE">
        <w:rPr>
          <w:rFonts w:ascii="Times New Roman" w:hAnsi="Times New Roman" w:cs="Times New Roman"/>
          <w:color w:val="000000" w:themeColor="text1"/>
          <w:sz w:val="16"/>
          <w:szCs w:val="16"/>
        </w:rPr>
        <w:softHyphen/>
        <w:t>лась непосредственно на самолете.</w:t>
      </w:r>
    </w:p>
    <w:p w14:paraId="4B2AD703"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Перезарядка пушек осуществлялась вручную с помощью специальной рукоятки с цепной передачей. Перезаряжать пушку можно было только на земле. В воздухе летчик имел возможность лишь повторно взвести ударник. Для этого на левом бор</w:t>
      </w:r>
      <w:r w:rsidRPr="00070ADE">
        <w:rPr>
          <w:rFonts w:ascii="Times New Roman" w:hAnsi="Times New Roman" w:cs="Times New Roman"/>
          <w:color w:val="000000" w:themeColor="text1"/>
          <w:sz w:val="16"/>
          <w:szCs w:val="16"/>
        </w:rPr>
        <w:softHyphen/>
        <w:t>ту располагалась гашетка пневмовзвода ударников пушек. С ее помощью летчик в полете мог повторно взвести ударники пу</w:t>
      </w:r>
      <w:r w:rsidRPr="00070ADE">
        <w:rPr>
          <w:rFonts w:ascii="Times New Roman" w:hAnsi="Times New Roman" w:cs="Times New Roman"/>
          <w:color w:val="000000" w:themeColor="text1"/>
          <w:sz w:val="16"/>
          <w:szCs w:val="16"/>
        </w:rPr>
        <w:softHyphen/>
        <w:t>шек и продолжить стрельбу.</w:t>
      </w:r>
    </w:p>
    <w:p w14:paraId="4587608C"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Длина пушки достигала 2970 мм, при высоте с магазином 533 мм (без магазина 278 мм) и ширине 210 мм. Общий вес пуш</w:t>
      </w:r>
      <w:r w:rsidRPr="00070ADE">
        <w:rPr>
          <w:rFonts w:ascii="Times New Roman" w:hAnsi="Times New Roman" w:cs="Times New Roman"/>
          <w:color w:val="000000" w:themeColor="text1"/>
          <w:sz w:val="16"/>
          <w:szCs w:val="16"/>
        </w:rPr>
        <w:softHyphen/>
        <w:t>ки с магазином и 15 бронебойными снаря</w:t>
      </w:r>
      <w:r w:rsidRPr="00070ADE">
        <w:rPr>
          <w:rFonts w:ascii="Times New Roman" w:hAnsi="Times New Roman" w:cs="Times New Roman"/>
          <w:color w:val="000000" w:themeColor="text1"/>
          <w:sz w:val="16"/>
          <w:szCs w:val="16"/>
        </w:rPr>
        <w:softHyphen/>
        <w:t>дами составлял 180,2 кг, в том числе: сама пушка - 141,7 кг, магазин без патронов - 16,0 кг, боекомплект - 22,5 кг.</w:t>
      </w:r>
    </w:p>
    <w:p w14:paraId="758FC3E8"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Броней на самолете защищались: летчик, мотор, водо- и маслорадиаторы. Общий вес брони достигал 185 кг.</w:t>
      </w:r>
    </w:p>
    <w:p w14:paraId="275B8E73"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Бронекозырек кабины летчика состоял из трех плит пулестойкого стекла. Средняя плита имела толщину 35 мм, а боковые</w:t>
      </w:r>
    </w:p>
    <w:p w14:paraId="7E748C4B" w14:textId="77777777" w:rsidR="00903E13" w:rsidRPr="00070ADE" w:rsidRDefault="00903E13" w:rsidP="00B56F90">
      <w:pPr>
        <w:pStyle w:val="47"/>
        <w:numPr>
          <w:ilvl w:val="0"/>
          <w:numId w:val="1"/>
        </w:numPr>
        <w:shd w:val="clear" w:color="auto" w:fill="auto"/>
        <w:tabs>
          <w:tab w:val="left" w:pos="169"/>
        </w:tabs>
        <w:autoSpaceDE/>
        <w:autoSpaceDN/>
        <w:adjustRightInd/>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 32 мм. Спереди сверху летчик защи</w:t>
      </w:r>
      <w:r w:rsidRPr="00070ADE">
        <w:rPr>
          <w:rFonts w:ascii="Times New Roman" w:hAnsi="Times New Roman" w:cs="Times New Roman"/>
          <w:color w:val="000000" w:themeColor="text1"/>
          <w:sz w:val="16"/>
          <w:szCs w:val="16"/>
        </w:rPr>
        <w:softHyphen/>
        <w:t>щался двумя бронеплитами толщиной по 4,75 мм, одна из которых устанавливалась перед расширительным бачком, а вторая</w:t>
      </w:r>
    </w:p>
    <w:p w14:paraId="58371421" w14:textId="77777777" w:rsidR="00903E13" w:rsidRPr="00070ADE" w:rsidRDefault="00903E13" w:rsidP="00B56F90">
      <w:pPr>
        <w:pStyle w:val="47"/>
        <w:numPr>
          <w:ilvl w:val="0"/>
          <w:numId w:val="1"/>
        </w:numPr>
        <w:shd w:val="clear" w:color="auto" w:fill="auto"/>
        <w:tabs>
          <w:tab w:val="left" w:pos="222"/>
        </w:tabs>
        <w:autoSpaceDE/>
        <w:autoSpaceDN/>
        <w:adjustRightInd/>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перед резервным бензобаком. Снизу спереди летчика прикрывали две бронеплиты по 4,75 мм под боковыми капотами мотора, по одной с каждой стороны. Под сиденьем располагалась бронеплита тол</w:t>
      </w:r>
      <w:r w:rsidRPr="00070ADE">
        <w:rPr>
          <w:rFonts w:ascii="Times New Roman" w:hAnsi="Times New Roman" w:cs="Times New Roman"/>
          <w:color w:val="000000" w:themeColor="text1"/>
          <w:sz w:val="16"/>
          <w:szCs w:val="16"/>
        </w:rPr>
        <w:softHyphen/>
        <w:t>щиной 7,5 мм. Со стороны задней полу</w:t>
      </w:r>
      <w:r w:rsidRPr="00070ADE">
        <w:rPr>
          <w:rFonts w:ascii="Times New Roman" w:hAnsi="Times New Roman" w:cs="Times New Roman"/>
          <w:color w:val="000000" w:themeColor="text1"/>
          <w:sz w:val="16"/>
          <w:szCs w:val="16"/>
        </w:rPr>
        <w:softHyphen/>
        <w:t>сферы летчик защищался бронеспинкой, состоящей из четырех 4,75-мм бронеплит и бронезаголовника толщиной 10,25 мм.</w:t>
      </w:r>
    </w:p>
    <w:p w14:paraId="540C0BA1"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Водо- и маслорадиаторы защища</w:t>
      </w:r>
      <w:r w:rsidRPr="00070ADE">
        <w:rPr>
          <w:rFonts w:ascii="Times New Roman" w:hAnsi="Times New Roman" w:cs="Times New Roman"/>
          <w:color w:val="000000" w:themeColor="text1"/>
          <w:sz w:val="16"/>
          <w:szCs w:val="16"/>
        </w:rPr>
        <w:softHyphen/>
        <w:t>лись снизу пятью 4,5-мм бронеплитами. Бронирование мотора включало четыре бронеплиты с левой стороны толщиной 4,25 и 4,75 мм, три плиты с правой сто</w:t>
      </w:r>
      <w:r w:rsidRPr="00070ADE">
        <w:rPr>
          <w:rFonts w:ascii="Times New Roman" w:hAnsi="Times New Roman" w:cs="Times New Roman"/>
          <w:color w:val="000000" w:themeColor="text1"/>
          <w:sz w:val="16"/>
          <w:szCs w:val="16"/>
        </w:rPr>
        <w:softHyphen/>
        <w:t>роны толщиной 4,75, 5,25 и 6,75 мм и три бронеплиты снизу толщиной 7,5 мм, 5,25 и 4,75 мм. Все плиты крепились к подкосам моторной рамы и закрывались капотами мотора.</w:t>
      </w:r>
    </w:p>
    <w:p w14:paraId="6D2710ED"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Масса пустого самолета составлял 2763 кг. Нормальный полетный вес - 3650 кг.</w:t>
      </w:r>
    </w:p>
    <w:p w14:paraId="0EC15474"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На номинальном режиме работы мо</w:t>
      </w:r>
      <w:r w:rsidRPr="00070ADE">
        <w:rPr>
          <w:rFonts w:ascii="Times New Roman" w:hAnsi="Times New Roman" w:cs="Times New Roman"/>
          <w:color w:val="000000" w:themeColor="text1"/>
          <w:sz w:val="16"/>
          <w:szCs w:val="16"/>
        </w:rPr>
        <w:softHyphen/>
        <w:t>тора максимальная скорость самолета «Харрикейн» 1Ю зав. № КХ-305 достигала 398 км/ч - у земли, 460 км/ч - на 1-й гра</w:t>
      </w:r>
      <w:r w:rsidRPr="00070ADE">
        <w:rPr>
          <w:rFonts w:ascii="Times New Roman" w:hAnsi="Times New Roman" w:cs="Times New Roman"/>
          <w:color w:val="000000" w:themeColor="text1"/>
          <w:sz w:val="16"/>
          <w:szCs w:val="16"/>
        </w:rPr>
        <w:softHyphen/>
        <w:t>нице высотности (3400 м), 478 км/ч - на 2-й границе высотности (5300 м). На бое</w:t>
      </w:r>
      <w:r w:rsidRPr="00070ADE">
        <w:rPr>
          <w:rFonts w:ascii="Times New Roman" w:hAnsi="Times New Roman" w:cs="Times New Roman"/>
          <w:color w:val="000000" w:themeColor="text1"/>
          <w:sz w:val="16"/>
          <w:szCs w:val="16"/>
        </w:rPr>
        <w:softHyphen/>
        <w:t>вом режиме работы мотора, который мож</w:t>
      </w:r>
      <w:r w:rsidRPr="00070ADE">
        <w:rPr>
          <w:rFonts w:ascii="Times New Roman" w:hAnsi="Times New Roman" w:cs="Times New Roman"/>
          <w:color w:val="000000" w:themeColor="text1"/>
          <w:sz w:val="16"/>
          <w:szCs w:val="16"/>
        </w:rPr>
        <w:softHyphen/>
        <w:t>но было использовать в течение не более 5 мин, скорость самолета на высоте воз</w:t>
      </w:r>
      <w:r w:rsidRPr="00070ADE">
        <w:rPr>
          <w:rFonts w:ascii="Times New Roman" w:hAnsi="Times New Roman" w:cs="Times New Roman"/>
          <w:color w:val="000000" w:themeColor="text1"/>
          <w:sz w:val="16"/>
          <w:szCs w:val="16"/>
        </w:rPr>
        <w:softHyphen/>
        <w:t>растала на 6-8 км/ч. При этом границы вы</w:t>
      </w:r>
      <w:r w:rsidRPr="00070ADE">
        <w:rPr>
          <w:rFonts w:ascii="Times New Roman" w:hAnsi="Times New Roman" w:cs="Times New Roman"/>
          <w:color w:val="000000" w:themeColor="text1"/>
          <w:sz w:val="16"/>
          <w:szCs w:val="16"/>
        </w:rPr>
        <w:softHyphen/>
        <w:t>сотности несколько смещались вверх на 300-350 м. Практический потолок - 9650 м.</w:t>
      </w:r>
    </w:p>
    <w:p w14:paraId="29D19F76"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Вертикальная скорость у земли состав</w:t>
      </w:r>
      <w:r w:rsidRPr="00070ADE">
        <w:rPr>
          <w:rFonts w:ascii="Times New Roman" w:hAnsi="Times New Roman" w:cs="Times New Roman"/>
          <w:color w:val="000000" w:themeColor="text1"/>
          <w:sz w:val="16"/>
          <w:szCs w:val="16"/>
        </w:rPr>
        <w:softHyphen/>
        <w:t>ляла 9,7 м/с, на высоте 2000 м - 10,5 м/с, а на 3000 м -11,2 м/с. Соответственно, на вы</w:t>
      </w:r>
      <w:r w:rsidRPr="00070ADE">
        <w:rPr>
          <w:rFonts w:ascii="Times New Roman" w:hAnsi="Times New Roman" w:cs="Times New Roman"/>
          <w:color w:val="000000" w:themeColor="text1"/>
          <w:sz w:val="16"/>
          <w:szCs w:val="16"/>
        </w:rPr>
        <w:softHyphen/>
        <w:t>соту 1000 м самолет забирался за 1,8 мин, на 3000 м - за 5,0 мин, а на 5000 м - за 8,5 мин.</w:t>
      </w:r>
    </w:p>
    <w:p w14:paraId="69DF49FB"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Самолет на высоте 1000 м разгонялся при даче полного газа от скорости 0,7 до 0,95 максимальной за 0,72 мин, а тормо</w:t>
      </w:r>
      <w:r w:rsidRPr="00070ADE">
        <w:rPr>
          <w:rFonts w:ascii="Times New Roman" w:hAnsi="Times New Roman" w:cs="Times New Roman"/>
          <w:color w:val="000000" w:themeColor="text1"/>
          <w:sz w:val="16"/>
          <w:szCs w:val="16"/>
        </w:rPr>
        <w:softHyphen/>
        <w:t>зил при сбросе газа до скорости 0,7 макси</w:t>
      </w:r>
      <w:r w:rsidRPr="00070ADE">
        <w:rPr>
          <w:rFonts w:ascii="Times New Roman" w:hAnsi="Times New Roman" w:cs="Times New Roman"/>
          <w:color w:val="000000" w:themeColor="text1"/>
          <w:sz w:val="16"/>
          <w:szCs w:val="16"/>
        </w:rPr>
        <w:softHyphen/>
        <w:t>мальной за 0,48 мин.</w:t>
      </w:r>
    </w:p>
    <w:p w14:paraId="36261367"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Скорость, скороподъемность и раз</w:t>
      </w:r>
      <w:r w:rsidRPr="00070ADE">
        <w:rPr>
          <w:rFonts w:ascii="Times New Roman" w:hAnsi="Times New Roman" w:cs="Times New Roman"/>
          <w:color w:val="000000" w:themeColor="text1"/>
          <w:sz w:val="16"/>
          <w:szCs w:val="16"/>
        </w:rPr>
        <w:softHyphen/>
        <w:t>гонные характеристики замерялись с пылефильтром, установленным на всасы</w:t>
      </w:r>
      <w:r w:rsidRPr="00070ADE">
        <w:rPr>
          <w:rFonts w:ascii="Times New Roman" w:hAnsi="Times New Roman" w:cs="Times New Roman"/>
          <w:color w:val="000000" w:themeColor="text1"/>
          <w:sz w:val="16"/>
          <w:szCs w:val="16"/>
        </w:rPr>
        <w:softHyphen/>
        <w:t>вающем патрубке мотора, при закрытом фонаре и полностью открытой заслонке радиаторов.</w:t>
      </w:r>
    </w:p>
    <w:p w14:paraId="6DC31B80"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За один боевой разворот (левый и пра</w:t>
      </w:r>
      <w:r w:rsidRPr="00070ADE">
        <w:rPr>
          <w:rFonts w:ascii="Times New Roman" w:hAnsi="Times New Roman" w:cs="Times New Roman"/>
          <w:color w:val="000000" w:themeColor="text1"/>
          <w:sz w:val="16"/>
          <w:szCs w:val="16"/>
        </w:rPr>
        <w:softHyphen/>
        <w:t>вый) с высоты 5000 м при скорости ввода 412 км/ч самолет набирал 460 м. Скорость выхода в горизонтальный полет - 267 км/ч. На выполнение маневра затрачивалось 28 сек.</w:t>
      </w:r>
    </w:p>
    <w:p w14:paraId="7102E978"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При выполнении правого переворота при скорости ввода 207-215 км/ч самолет терял до 700 м высоты, а при выполнении левого переворота - 830 м. Скорость на выходе из переворота - 309-329 км/ч.</w:t>
      </w:r>
    </w:p>
    <w:p w14:paraId="17C3970F"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Виражи самолет выполнял устойчиво и легко сохранял заданный крен. Время полного виража на высоте 1000 м состав</w:t>
      </w:r>
      <w:r w:rsidRPr="00070ADE">
        <w:rPr>
          <w:rFonts w:ascii="Times New Roman" w:hAnsi="Times New Roman" w:cs="Times New Roman"/>
          <w:color w:val="000000" w:themeColor="text1"/>
          <w:sz w:val="16"/>
          <w:szCs w:val="16"/>
        </w:rPr>
        <w:softHyphen/>
        <w:t>ляло 22 с при выполнении левого виража и 29-30 с при выполнении правого вира</w:t>
      </w:r>
      <w:r w:rsidRPr="00070ADE">
        <w:rPr>
          <w:rFonts w:ascii="Times New Roman" w:hAnsi="Times New Roman" w:cs="Times New Roman"/>
          <w:color w:val="000000" w:themeColor="text1"/>
          <w:sz w:val="16"/>
          <w:szCs w:val="16"/>
        </w:rPr>
        <w:softHyphen/>
        <w:t>жа. При этом радиус виража не превышал 315 и 470 м, соответственно.</w:t>
      </w:r>
    </w:p>
    <w:p w14:paraId="4586D4AB"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Разбег самолета при взлете находил</w:t>
      </w:r>
      <w:r w:rsidRPr="00070ADE">
        <w:rPr>
          <w:rFonts w:ascii="Times New Roman" w:hAnsi="Times New Roman" w:cs="Times New Roman"/>
          <w:color w:val="000000" w:themeColor="text1"/>
          <w:sz w:val="16"/>
          <w:szCs w:val="16"/>
        </w:rPr>
        <w:softHyphen/>
        <w:t>ся в пределах 420 м. Скорость отрыва - 152 км/ч. Посадочная скорость равнялась 123 км/ч. Пробег при посадке со щитками, отклоненными на 80', не превышал 440 м.</w:t>
      </w:r>
    </w:p>
    <w:p w14:paraId="60998321"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Максимальная дальность полета на высоте 910-950 м при скорости полета 265 км/ч достигала 825 км (3 ч).</w:t>
      </w:r>
    </w:p>
    <w:p w14:paraId="7C486F1D"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ходе испытаний было выполнено че</w:t>
      </w:r>
      <w:r w:rsidRPr="00070ADE">
        <w:rPr>
          <w:rFonts w:ascii="Times New Roman" w:hAnsi="Times New Roman" w:cs="Times New Roman"/>
          <w:color w:val="000000" w:themeColor="text1"/>
          <w:sz w:val="16"/>
          <w:szCs w:val="16"/>
        </w:rPr>
        <w:softHyphen/>
        <w:t>тыре полета на пикирование под углами от 30' до 55°. Максимальная скорость на пики</w:t>
      </w:r>
      <w:r w:rsidRPr="00070ADE">
        <w:rPr>
          <w:rFonts w:ascii="Times New Roman" w:hAnsi="Times New Roman" w:cs="Times New Roman"/>
          <w:color w:val="000000" w:themeColor="text1"/>
          <w:sz w:val="16"/>
          <w:szCs w:val="16"/>
        </w:rPr>
        <w:softHyphen/>
        <w:t>ровании доводилась до 630 км/ч (скорость ввода 380 км/ч), а перегрузка на выводе из пикирования до 3 единиц.</w:t>
      </w:r>
    </w:p>
    <w:p w14:paraId="01DB9B7B"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Пикировал самолет устойчиво. Поведение самолета с триммерами руля поворота, установленными нейтрально, было нормальным, тенденции к затяги</w:t>
      </w:r>
      <w:r w:rsidRPr="00070ADE">
        <w:rPr>
          <w:rFonts w:ascii="Times New Roman" w:hAnsi="Times New Roman" w:cs="Times New Roman"/>
          <w:color w:val="000000" w:themeColor="text1"/>
          <w:sz w:val="16"/>
          <w:szCs w:val="16"/>
        </w:rPr>
        <w:softHyphen/>
        <w:t>ванию в пикирование не наблюдалось. Усилия на рули нормальные. Однако при достижении скорости 610-620 км/ч из-за отсасывания и срыва воздушного потока с замков обтекателей подкрыльевых пушек появлялась заметная тряска плоскостей и вибрация педалей ножного управления.</w:t>
      </w:r>
    </w:p>
    <w:p w14:paraId="60E87F8B"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Летчики, облетавшие «Харрикейн» 1Ю, отмечали хороший обзор вперед, в сторону и вверх и неудовлетворительный - вперед- вниз и назад. Габариты кабины позволяли летчику наклоняться в стороны, что сочли недостатком самолета. Бронестекло ко</w:t>
      </w:r>
      <w:r w:rsidRPr="00070ADE">
        <w:rPr>
          <w:rFonts w:ascii="Times New Roman" w:hAnsi="Times New Roman" w:cs="Times New Roman"/>
          <w:color w:val="000000" w:themeColor="text1"/>
          <w:sz w:val="16"/>
          <w:szCs w:val="16"/>
        </w:rPr>
        <w:softHyphen/>
        <w:t>зырька фонаря и целлулоид подвижной части имели удовлетворительную про</w:t>
      </w:r>
      <w:r w:rsidRPr="00070ADE">
        <w:rPr>
          <w:rFonts w:ascii="Times New Roman" w:hAnsi="Times New Roman" w:cs="Times New Roman"/>
          <w:color w:val="000000" w:themeColor="text1"/>
          <w:sz w:val="16"/>
          <w:szCs w:val="16"/>
        </w:rPr>
        <w:softHyphen/>
        <w:t>зрачность и почти не давали искажений. Случаев отколов и обмерзания бронестек</w:t>
      </w:r>
      <w:r w:rsidRPr="00070ADE">
        <w:rPr>
          <w:rFonts w:ascii="Times New Roman" w:hAnsi="Times New Roman" w:cs="Times New Roman"/>
          <w:color w:val="000000" w:themeColor="text1"/>
          <w:sz w:val="16"/>
          <w:szCs w:val="16"/>
        </w:rPr>
        <w:softHyphen/>
        <w:t>ла и целлулоида при полетах в условиях зимы не наблюдалось. Размещение не</w:t>
      </w:r>
      <w:r w:rsidRPr="00070ADE">
        <w:rPr>
          <w:rFonts w:ascii="Times New Roman" w:hAnsi="Times New Roman" w:cs="Times New Roman"/>
          <w:color w:val="000000" w:themeColor="text1"/>
          <w:sz w:val="16"/>
          <w:szCs w:val="16"/>
        </w:rPr>
        <w:softHyphen/>
        <w:t>которых приборов на приборной доске и рычагов управления оказалось неудобным (например, рычаг управления уборкой и выпуском шасси).</w:t>
      </w:r>
    </w:p>
    <w:p w14:paraId="5271EABD"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Анализ схемы бронирования показал, что броня прикрывала летчика в горизон</w:t>
      </w:r>
      <w:r w:rsidRPr="00070ADE">
        <w:rPr>
          <w:rFonts w:ascii="Times New Roman" w:hAnsi="Times New Roman" w:cs="Times New Roman"/>
          <w:color w:val="000000" w:themeColor="text1"/>
          <w:sz w:val="16"/>
          <w:szCs w:val="16"/>
        </w:rPr>
        <w:softHyphen/>
        <w:t>тальной плоскости в угловом конусе 30-40° и в вертикальной плоскости до 10-15" вверх и 15-20° вниз по отношению к продольной оси самолета. В этом диапазоне углов вполне обеспечивалась защита от пора</w:t>
      </w:r>
      <w:r w:rsidRPr="00070ADE">
        <w:rPr>
          <w:rFonts w:ascii="Times New Roman" w:hAnsi="Times New Roman" w:cs="Times New Roman"/>
          <w:color w:val="000000" w:themeColor="text1"/>
          <w:sz w:val="16"/>
          <w:szCs w:val="16"/>
        </w:rPr>
        <w:softHyphen/>
        <w:t>жения бронебойными пулями нормально</w:t>
      </w:r>
      <w:r w:rsidRPr="00070ADE">
        <w:rPr>
          <w:rFonts w:ascii="Times New Roman" w:hAnsi="Times New Roman" w:cs="Times New Roman"/>
          <w:color w:val="000000" w:themeColor="text1"/>
          <w:sz w:val="16"/>
          <w:szCs w:val="16"/>
        </w:rPr>
        <w:softHyphen/>
        <w:t>го калибра при стрельбе с дистанции не менее 100-150 м и бронебойными пулями крупного калибра с дистанции 400-500 м и более. Между тем летчик не имел броне</w:t>
      </w:r>
      <w:r w:rsidRPr="00070ADE">
        <w:rPr>
          <w:rFonts w:ascii="Times New Roman" w:hAnsi="Times New Roman" w:cs="Times New Roman"/>
          <w:color w:val="000000" w:themeColor="text1"/>
          <w:sz w:val="16"/>
          <w:szCs w:val="16"/>
        </w:rPr>
        <w:softHyphen/>
        <w:t>вой защиты сбоку и сверху. Совершенно не были защищены бензо- и маслобаки. Защита мотора, водо- и маслорадиатора считалась недостаточной. Мотор не имел брони сверху, водо- и маслорадиаторы не защищались со стороны входа и выхода воздушного тоннеля.</w:t>
      </w:r>
    </w:p>
    <w:p w14:paraId="77472D13"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 общему мнению летчиков увели</w:t>
      </w:r>
      <w:r w:rsidRPr="00070ADE">
        <w:rPr>
          <w:rFonts w:ascii="Times New Roman" w:hAnsi="Times New Roman" w:cs="Times New Roman"/>
          <w:color w:val="000000" w:themeColor="text1"/>
          <w:sz w:val="16"/>
          <w:szCs w:val="16"/>
        </w:rPr>
        <w:softHyphen/>
        <w:t>чение полетного веса и ухудшение аэро</w:t>
      </w:r>
      <w:r w:rsidRPr="00070ADE">
        <w:rPr>
          <w:rFonts w:ascii="Times New Roman" w:hAnsi="Times New Roman" w:cs="Times New Roman"/>
          <w:color w:val="000000" w:themeColor="text1"/>
          <w:sz w:val="16"/>
          <w:szCs w:val="16"/>
        </w:rPr>
        <w:softHyphen/>
        <w:t>динамики самолета Мк.1Ю по сравнению с Мк.НС привело к заметному понижению летных данных и маневренности самолета, как в вертикальной, так и в горизонталь</w:t>
      </w:r>
      <w:r w:rsidRPr="00070ADE">
        <w:rPr>
          <w:rFonts w:ascii="Times New Roman" w:hAnsi="Times New Roman" w:cs="Times New Roman"/>
          <w:color w:val="000000" w:themeColor="text1"/>
          <w:sz w:val="16"/>
          <w:szCs w:val="16"/>
        </w:rPr>
        <w:softHyphen/>
        <w:t>ной плоскости. Для выполнения фигур, «скорости приходится держать больше на 5-7 миль/ч, так как самолет тяжелее и инер</w:t>
      </w:r>
      <w:r w:rsidRPr="00070ADE">
        <w:rPr>
          <w:rFonts w:ascii="Times New Roman" w:hAnsi="Times New Roman" w:cs="Times New Roman"/>
          <w:color w:val="000000" w:themeColor="text1"/>
          <w:sz w:val="16"/>
          <w:szCs w:val="16"/>
        </w:rPr>
        <w:softHyphen/>
        <w:t>тнее». Продольная и поперечная устойчи</w:t>
      </w:r>
      <w:r w:rsidRPr="00070ADE">
        <w:rPr>
          <w:rFonts w:ascii="Times New Roman" w:hAnsi="Times New Roman" w:cs="Times New Roman"/>
          <w:color w:val="000000" w:themeColor="text1"/>
          <w:sz w:val="16"/>
          <w:szCs w:val="16"/>
        </w:rPr>
        <w:softHyphen/>
        <w:t xml:space="preserve">вость самолета оставляла желать лучшего. Сбалансированность самолета в </w:t>
      </w:r>
      <w:r w:rsidRPr="00070ADE">
        <w:rPr>
          <w:rFonts w:ascii="Times New Roman" w:hAnsi="Times New Roman" w:cs="Times New Roman"/>
          <w:color w:val="000000" w:themeColor="text1"/>
          <w:sz w:val="16"/>
          <w:szCs w:val="16"/>
        </w:rPr>
        <w:lastRenderedPageBreak/>
        <w:t>горизон</w:t>
      </w:r>
      <w:r w:rsidRPr="00070ADE">
        <w:rPr>
          <w:rFonts w:ascii="Times New Roman" w:hAnsi="Times New Roman" w:cs="Times New Roman"/>
          <w:color w:val="000000" w:themeColor="text1"/>
          <w:sz w:val="16"/>
          <w:szCs w:val="16"/>
        </w:rPr>
        <w:softHyphen/>
        <w:t>тальном полете была затруднена и требо</w:t>
      </w:r>
      <w:r w:rsidRPr="00070ADE">
        <w:rPr>
          <w:rFonts w:ascii="Times New Roman" w:hAnsi="Times New Roman" w:cs="Times New Roman"/>
          <w:color w:val="000000" w:themeColor="text1"/>
          <w:sz w:val="16"/>
          <w:szCs w:val="16"/>
        </w:rPr>
        <w:softHyphen/>
        <w:t>вала постоянной регулировки положения триммера при изменении скорости поле</w:t>
      </w:r>
      <w:r w:rsidRPr="00070ADE">
        <w:rPr>
          <w:rFonts w:ascii="Times New Roman" w:hAnsi="Times New Roman" w:cs="Times New Roman"/>
          <w:color w:val="000000" w:themeColor="text1"/>
          <w:sz w:val="16"/>
          <w:szCs w:val="16"/>
        </w:rPr>
        <w:softHyphen/>
        <w:t>та. На вертикальных фигурах самолет бы</w:t>
      </w:r>
      <w:r w:rsidRPr="00070ADE">
        <w:rPr>
          <w:rFonts w:ascii="Times New Roman" w:hAnsi="Times New Roman" w:cs="Times New Roman"/>
          <w:color w:val="000000" w:themeColor="text1"/>
          <w:sz w:val="16"/>
          <w:szCs w:val="16"/>
        </w:rPr>
        <w:softHyphen/>
        <w:t>стро терял скорость, набор высоты на им</w:t>
      </w:r>
      <w:r w:rsidRPr="00070ADE">
        <w:rPr>
          <w:rFonts w:ascii="Times New Roman" w:hAnsi="Times New Roman" w:cs="Times New Roman"/>
          <w:color w:val="000000" w:themeColor="text1"/>
          <w:sz w:val="16"/>
          <w:szCs w:val="16"/>
        </w:rPr>
        <w:softHyphen/>
        <w:t>мельмане и боевом развороте сократился. В то же время техника пилотирования Мк.1Ю практически ничем не отличалась от самолетов «Харрикейн» НС или ИВ.</w:t>
      </w:r>
    </w:p>
    <w:p w14:paraId="009918A2"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Проведенный 27 декабря 1943 г. учеб</w:t>
      </w:r>
      <w:r w:rsidRPr="00070ADE">
        <w:rPr>
          <w:rFonts w:ascii="Times New Roman" w:hAnsi="Times New Roman" w:cs="Times New Roman"/>
          <w:color w:val="000000" w:themeColor="text1"/>
          <w:sz w:val="16"/>
          <w:szCs w:val="16"/>
        </w:rPr>
        <w:softHyphen/>
        <w:t>ный воздушный бой с трофейным истре</w:t>
      </w:r>
      <w:r w:rsidRPr="00070ADE">
        <w:rPr>
          <w:rFonts w:ascii="Times New Roman" w:hAnsi="Times New Roman" w:cs="Times New Roman"/>
          <w:color w:val="000000" w:themeColor="text1"/>
          <w:sz w:val="16"/>
          <w:szCs w:val="16"/>
        </w:rPr>
        <w:softHyphen/>
        <w:t>бителем В1109С-4 показал, что самолет «Харрикейн» 1Ю воздушный бой с ним вести не может. Причем не только наступатель</w:t>
      </w:r>
      <w:r w:rsidRPr="00070ADE">
        <w:rPr>
          <w:rFonts w:ascii="Times New Roman" w:hAnsi="Times New Roman" w:cs="Times New Roman"/>
          <w:color w:val="000000" w:themeColor="text1"/>
          <w:sz w:val="16"/>
          <w:szCs w:val="16"/>
        </w:rPr>
        <w:softHyphen/>
        <w:t>ный бой, но и оборонительный. Немецкий истребитель имел явное преимущество в горизонтальной и в вертикальной плоско</w:t>
      </w:r>
      <w:r w:rsidRPr="00070ADE">
        <w:rPr>
          <w:rFonts w:ascii="Times New Roman" w:hAnsi="Times New Roman" w:cs="Times New Roman"/>
          <w:color w:val="000000" w:themeColor="text1"/>
          <w:sz w:val="16"/>
          <w:szCs w:val="16"/>
        </w:rPr>
        <w:softHyphen/>
        <w:t>сти. На виражах «мессер» заходил в хвост «Харрикейну» уже после первого виража на левом вираже и после двух виражей - на правом. При атаках ВШ9С-4 сверху-сза</w:t>
      </w:r>
      <w:r w:rsidRPr="00070ADE">
        <w:rPr>
          <w:rFonts w:ascii="Times New Roman" w:hAnsi="Times New Roman" w:cs="Times New Roman"/>
          <w:color w:val="000000" w:themeColor="text1"/>
          <w:sz w:val="16"/>
          <w:szCs w:val="16"/>
        </w:rPr>
        <w:softHyphen/>
        <w:t>ди старшему лейтенанту Поминальному, пилотировавшему «Харрикейн», удавалось вывернуться только из-под первой атаки «мессершмитта», уйти от последующих атак не получалось. Подавляющее пре</w:t>
      </w:r>
      <w:r w:rsidRPr="00070ADE">
        <w:rPr>
          <w:rFonts w:ascii="Times New Roman" w:hAnsi="Times New Roman" w:cs="Times New Roman"/>
          <w:color w:val="000000" w:themeColor="text1"/>
          <w:sz w:val="16"/>
          <w:szCs w:val="16"/>
        </w:rPr>
        <w:softHyphen/>
        <w:t>имущество в вертикальном маневре не</w:t>
      </w:r>
      <w:r w:rsidRPr="00070ADE">
        <w:rPr>
          <w:rFonts w:ascii="Times New Roman" w:hAnsi="Times New Roman" w:cs="Times New Roman"/>
          <w:color w:val="000000" w:themeColor="text1"/>
          <w:sz w:val="16"/>
          <w:szCs w:val="16"/>
        </w:rPr>
        <w:softHyphen/>
        <w:t>мецкого истребителя позволяло капитану Кувшинову, который летал на ВГ109С-4, свободно занимать выгодную для ата</w:t>
      </w:r>
      <w:r w:rsidRPr="00070ADE">
        <w:rPr>
          <w:rFonts w:ascii="Times New Roman" w:hAnsi="Times New Roman" w:cs="Times New Roman"/>
          <w:color w:val="000000" w:themeColor="text1"/>
          <w:sz w:val="16"/>
          <w:szCs w:val="16"/>
        </w:rPr>
        <w:softHyphen/>
        <w:t>ки позицию и атаковать «Харрикейн» Поминального из любого положения.</w:t>
      </w:r>
    </w:p>
    <w:p w14:paraId="0C52B388"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После обмена мнениями летчика</w:t>
      </w:r>
      <w:r w:rsidRPr="00070ADE">
        <w:rPr>
          <w:rFonts w:ascii="Times New Roman" w:hAnsi="Times New Roman" w:cs="Times New Roman"/>
          <w:color w:val="000000" w:themeColor="text1"/>
          <w:sz w:val="16"/>
          <w:szCs w:val="16"/>
        </w:rPr>
        <w:softHyphen/>
        <w:t>ми был сделан вывод о недопустимости воздушного боя одиночного самолета «Харрикейн» 1Ю не только с группой но даже и с одиночным истребителем про</w:t>
      </w:r>
      <w:r w:rsidRPr="00070ADE">
        <w:rPr>
          <w:rFonts w:ascii="Times New Roman" w:hAnsi="Times New Roman" w:cs="Times New Roman"/>
          <w:color w:val="000000" w:themeColor="text1"/>
          <w:sz w:val="16"/>
          <w:szCs w:val="16"/>
        </w:rPr>
        <w:softHyphen/>
        <w:t>тивника. Рекомендовалось боевые зада-.' выполнять только группой и воздушньГ- бой вести в боевом порядке круг или вы</w:t>
      </w:r>
      <w:r w:rsidRPr="00070ADE">
        <w:rPr>
          <w:rFonts w:ascii="Times New Roman" w:hAnsi="Times New Roman" w:cs="Times New Roman"/>
          <w:color w:val="000000" w:themeColor="text1"/>
          <w:sz w:val="16"/>
          <w:szCs w:val="16"/>
        </w:rPr>
        <w:softHyphen/>
        <w:t>полняя ножницы с оттягиванием на свою территорию.</w:t>
      </w:r>
    </w:p>
    <w:p w14:paraId="5BBE101E"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Вооружение самолета отстрели</w:t>
      </w:r>
      <w:r w:rsidRPr="00070ADE">
        <w:rPr>
          <w:rFonts w:ascii="Times New Roman" w:hAnsi="Times New Roman" w:cs="Times New Roman"/>
          <w:color w:val="000000" w:themeColor="text1"/>
          <w:sz w:val="16"/>
          <w:szCs w:val="16"/>
        </w:rPr>
        <w:softHyphen/>
        <w:t>валось как на земле, так и в воздухе. Стрельба велась снарядами, «снаряжен</w:t>
      </w:r>
      <w:r w:rsidRPr="00070ADE">
        <w:rPr>
          <w:rFonts w:ascii="Times New Roman" w:hAnsi="Times New Roman" w:cs="Times New Roman"/>
          <w:color w:val="000000" w:themeColor="text1"/>
          <w:sz w:val="16"/>
          <w:szCs w:val="16"/>
        </w:rPr>
        <w:softHyphen/>
        <w:t>ными стальными корпусами бронебойных снарядов, так как других боекомплектов для пушек МК-Н - 40 мм, в снабжающих организациях ВВС не имелось». При этом в снарядах отсутствовали «разрывной заряд ВВ и донный взрыватель, заглуш</w:t>
      </w:r>
      <w:r w:rsidRPr="00070ADE">
        <w:rPr>
          <w:rFonts w:ascii="Times New Roman" w:hAnsi="Times New Roman" w:cs="Times New Roman"/>
          <w:color w:val="000000" w:themeColor="text1"/>
          <w:sz w:val="16"/>
          <w:szCs w:val="16"/>
        </w:rPr>
        <w:softHyphen/>
        <w:t>ка вместо него не поставлена», так что внутренняя полость снаряда сообщалась с зарядной каморой патрона. То есть, снаряды «не имели ни фугасного, ни за</w:t>
      </w:r>
      <w:r w:rsidRPr="00070ADE">
        <w:rPr>
          <w:rFonts w:ascii="Times New Roman" w:hAnsi="Times New Roman" w:cs="Times New Roman"/>
          <w:color w:val="000000" w:themeColor="text1"/>
          <w:sz w:val="16"/>
          <w:szCs w:val="16"/>
        </w:rPr>
        <w:softHyphen/>
        <w:t>жигательного действия, а внутренняя и внешняя баллистика его отличалась от баллистики боевого снаряда». Очевидно, такие снаряды боевого значения не име</w:t>
      </w:r>
      <w:r w:rsidRPr="00070ADE">
        <w:rPr>
          <w:rFonts w:ascii="Times New Roman" w:hAnsi="Times New Roman" w:cs="Times New Roman"/>
          <w:color w:val="000000" w:themeColor="text1"/>
          <w:sz w:val="16"/>
          <w:szCs w:val="16"/>
        </w:rPr>
        <w:softHyphen/>
        <w:t>ли, их использование ограничивалось только учебными целями. Но других сна</w:t>
      </w:r>
      <w:r w:rsidRPr="00070ADE">
        <w:rPr>
          <w:rFonts w:ascii="Times New Roman" w:hAnsi="Times New Roman" w:cs="Times New Roman"/>
          <w:color w:val="000000" w:themeColor="text1"/>
          <w:sz w:val="16"/>
          <w:szCs w:val="16"/>
        </w:rPr>
        <w:softHyphen/>
        <w:t>рядов союзники не поставили!</w:t>
      </w:r>
    </w:p>
    <w:p w14:paraId="257D3E95"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общей сложности из пушек было вы</w:t>
      </w:r>
      <w:r w:rsidRPr="00070ADE">
        <w:rPr>
          <w:rFonts w:ascii="Times New Roman" w:hAnsi="Times New Roman" w:cs="Times New Roman"/>
          <w:color w:val="000000" w:themeColor="text1"/>
          <w:sz w:val="16"/>
          <w:szCs w:val="16"/>
        </w:rPr>
        <w:softHyphen/>
        <w:t>полнено 620 выстрелов, в том числе 212 выстрелов на земле и 408 в воздухе.</w:t>
      </w:r>
    </w:p>
    <w:p w14:paraId="50D696AC"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Пушки пристреливались сходящимся веером на стандартную для ВВС КА дистан</w:t>
      </w:r>
      <w:r w:rsidRPr="00070ADE">
        <w:rPr>
          <w:rFonts w:ascii="Times New Roman" w:hAnsi="Times New Roman" w:cs="Times New Roman"/>
          <w:color w:val="000000" w:themeColor="text1"/>
          <w:sz w:val="16"/>
          <w:szCs w:val="16"/>
        </w:rPr>
        <w:softHyphen/>
        <w:t>цию - 400 м. Рассеивание определялось стрельбой на земле и в воздухе по щитам. Стрельба велась одиночно и очередями.</w:t>
      </w:r>
    </w:p>
    <w:p w14:paraId="535F1555"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На земле рассеивание определялось одиночной стрельбой на дальность 50 и 400 м по щиту 2x2 м, поставленному верти</w:t>
      </w:r>
      <w:r w:rsidRPr="00070ADE">
        <w:rPr>
          <w:rFonts w:ascii="Times New Roman" w:hAnsi="Times New Roman" w:cs="Times New Roman"/>
          <w:color w:val="000000" w:themeColor="text1"/>
          <w:sz w:val="16"/>
          <w:szCs w:val="16"/>
        </w:rPr>
        <w:softHyphen/>
        <w:t>кально. При стрельбе овальных отверстий в щите обнаружено не было, что характе</w:t>
      </w:r>
      <w:r w:rsidRPr="00070ADE">
        <w:rPr>
          <w:rFonts w:ascii="Times New Roman" w:hAnsi="Times New Roman" w:cs="Times New Roman"/>
          <w:color w:val="000000" w:themeColor="text1"/>
          <w:sz w:val="16"/>
          <w:szCs w:val="16"/>
        </w:rPr>
        <w:softHyphen/>
        <w:t>ризовало хорошую устойчивость снаряда в полете на данных дистанциях.</w:t>
      </w:r>
    </w:p>
    <w:p w14:paraId="01C23759"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Для левой пушки боковое отклоне</w:t>
      </w:r>
      <w:r w:rsidRPr="00070ADE">
        <w:rPr>
          <w:rFonts w:ascii="Times New Roman" w:hAnsi="Times New Roman" w:cs="Times New Roman"/>
          <w:color w:val="000000" w:themeColor="text1"/>
          <w:sz w:val="16"/>
          <w:szCs w:val="16"/>
        </w:rPr>
        <w:softHyphen/>
        <w:t>ние на дистанции 400 м составило всего 10,3 см, вертикальное - 17,0 см, а для пра</w:t>
      </w:r>
      <w:r w:rsidRPr="00070ADE">
        <w:rPr>
          <w:rFonts w:ascii="Times New Roman" w:hAnsi="Times New Roman" w:cs="Times New Roman"/>
          <w:color w:val="000000" w:themeColor="text1"/>
          <w:sz w:val="16"/>
          <w:szCs w:val="16"/>
        </w:rPr>
        <w:softHyphen/>
        <w:t>вой пушки -13,0 и 16,2 см, соответственно. При стрельбе пулеметов Кольт-Браунинг отклонение оказалось даже выше, чем при стрельбе из пушек: боковое и вертикаль</w:t>
      </w:r>
      <w:r w:rsidRPr="00070ADE">
        <w:rPr>
          <w:rFonts w:ascii="Times New Roman" w:hAnsi="Times New Roman" w:cs="Times New Roman"/>
          <w:color w:val="000000" w:themeColor="text1"/>
          <w:sz w:val="16"/>
          <w:szCs w:val="16"/>
        </w:rPr>
        <w:softHyphen/>
        <w:t>ное отклонения для левого пулемета рав</w:t>
      </w:r>
      <w:r w:rsidRPr="00070ADE">
        <w:rPr>
          <w:rFonts w:ascii="Times New Roman" w:hAnsi="Times New Roman" w:cs="Times New Roman"/>
          <w:color w:val="000000" w:themeColor="text1"/>
          <w:sz w:val="16"/>
          <w:szCs w:val="16"/>
        </w:rPr>
        <w:softHyphen/>
        <w:t>нялись 23,6 и 26,7 см, для правого пулеме</w:t>
      </w:r>
      <w:r w:rsidRPr="00070ADE">
        <w:rPr>
          <w:rFonts w:ascii="Times New Roman" w:hAnsi="Times New Roman" w:cs="Times New Roman"/>
          <w:color w:val="000000" w:themeColor="text1"/>
          <w:sz w:val="16"/>
          <w:szCs w:val="16"/>
        </w:rPr>
        <w:softHyphen/>
        <w:t>та-20,6 и 35,8 см.</w:t>
      </w:r>
    </w:p>
    <w:p w14:paraId="12D2002A"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Коэффициент искажения рассеивания с увеличением дистанции стрельбы до</w:t>
      </w:r>
      <w:r w:rsidRPr="00070ADE">
        <w:rPr>
          <w:rFonts w:ascii="Times New Roman" w:hAnsi="Times New Roman" w:cs="Times New Roman"/>
          <w:color w:val="000000" w:themeColor="text1"/>
          <w:sz w:val="16"/>
          <w:szCs w:val="16"/>
        </w:rPr>
        <w:softHyphen/>
        <w:t>стигал величин 0,63-1,32 - у пушек и 0,78- 1,77 - у пулеметов, что «указывает на невы</w:t>
      </w:r>
      <w:r w:rsidRPr="00070ADE">
        <w:rPr>
          <w:rFonts w:ascii="Times New Roman" w:hAnsi="Times New Roman" w:cs="Times New Roman"/>
          <w:color w:val="000000" w:themeColor="text1"/>
          <w:sz w:val="16"/>
          <w:szCs w:val="16"/>
        </w:rPr>
        <w:softHyphen/>
        <w:t>сокие баллистические качества оружия на данной установке».</w:t>
      </w:r>
    </w:p>
    <w:p w14:paraId="1D5D12E5"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воздухе пушки отстреляли капитаны Голофастов, Кувшинов, Пикуленко, Кусакин и старший лейтенант Поминальный. Стрельба велась в горизонтальном полете, на виражах, на наборе высоты, а после вы</w:t>
      </w:r>
      <w:r w:rsidRPr="00070ADE">
        <w:rPr>
          <w:rFonts w:ascii="Times New Roman" w:hAnsi="Times New Roman" w:cs="Times New Roman"/>
          <w:color w:val="000000" w:themeColor="text1"/>
          <w:sz w:val="16"/>
          <w:szCs w:val="16"/>
        </w:rPr>
        <w:softHyphen/>
        <w:t>полнения пилотажа и по наземной цели с пикирования (по щитам и контуру самоле</w:t>
      </w:r>
      <w:r w:rsidRPr="00070ADE">
        <w:rPr>
          <w:rFonts w:ascii="Times New Roman" w:hAnsi="Times New Roman" w:cs="Times New Roman"/>
          <w:color w:val="000000" w:themeColor="text1"/>
          <w:sz w:val="16"/>
          <w:szCs w:val="16"/>
        </w:rPr>
        <w:softHyphen/>
        <w:t>та:. Кроме того, один полет был выполнен для стрельбы на большой высоте.</w:t>
      </w:r>
    </w:p>
    <w:p w14:paraId="16AA9830"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Пушки при стрельбе в воздухе пока</w:t>
      </w:r>
      <w:r w:rsidRPr="00070ADE">
        <w:rPr>
          <w:rFonts w:ascii="Times New Roman" w:hAnsi="Times New Roman" w:cs="Times New Roman"/>
          <w:color w:val="000000" w:themeColor="text1"/>
          <w:sz w:val="16"/>
          <w:szCs w:val="16"/>
        </w:rPr>
        <w:softHyphen/>
        <w:t>зан/ себя, как надежное и безотказное оружие. Отдача при стрельбе из пушек более мягкая, чем при стрельбе из 37-мм -ушек НС-37 на самолетах Як-9т и ЛаГГ-3. С/нхронность стрельбы оценивалась как отличная.</w:t>
      </w:r>
    </w:p>
    <w:p w14:paraId="299D175F"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При стрельбе в горизонтальном поле</w:t>
      </w:r>
      <w:r w:rsidRPr="00070ADE">
        <w:rPr>
          <w:rFonts w:ascii="Times New Roman" w:hAnsi="Times New Roman" w:cs="Times New Roman"/>
          <w:color w:val="000000" w:themeColor="text1"/>
          <w:sz w:val="16"/>
          <w:szCs w:val="16"/>
        </w:rPr>
        <w:softHyphen/>
        <w:t>те самолет «ощущает толчки и зарывается носом вниз». Такие же толчки имели место и на всех других режимах. На пикировании самолет во время стрельбы стремился увеличить угол пикирования и «его необ</w:t>
      </w:r>
      <w:r w:rsidRPr="00070ADE">
        <w:rPr>
          <w:rFonts w:ascii="Times New Roman" w:hAnsi="Times New Roman" w:cs="Times New Roman"/>
          <w:color w:val="000000" w:themeColor="text1"/>
          <w:sz w:val="16"/>
          <w:szCs w:val="16"/>
        </w:rPr>
        <w:softHyphen/>
        <w:t>ходимо удерживать ручкой управления». Сила отдачи при стрельбе «несколько при</w:t>
      </w:r>
      <w:r w:rsidRPr="00070ADE">
        <w:rPr>
          <w:rFonts w:ascii="Times New Roman" w:hAnsi="Times New Roman" w:cs="Times New Roman"/>
          <w:color w:val="000000" w:themeColor="text1"/>
          <w:sz w:val="16"/>
          <w:szCs w:val="16"/>
        </w:rPr>
        <w:softHyphen/>
        <w:t>тормаживает самолет, снижая скорость самолета на пикировании». При стрельбе во время набора высоты наблюдалось не</w:t>
      </w:r>
      <w:r w:rsidRPr="00070ADE">
        <w:rPr>
          <w:rFonts w:ascii="Times New Roman" w:hAnsi="Times New Roman" w:cs="Times New Roman"/>
          <w:color w:val="000000" w:themeColor="text1"/>
          <w:sz w:val="16"/>
          <w:szCs w:val="16"/>
        </w:rPr>
        <w:softHyphen/>
        <w:t>которое уменьшение угла.</w:t>
      </w:r>
    </w:p>
    <w:p w14:paraId="0A965841"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Чем длиннее очередь из пушек, «тем опускание носа самолета и толчки более за</w:t>
      </w:r>
      <w:r w:rsidRPr="00070ADE">
        <w:rPr>
          <w:rFonts w:ascii="Times New Roman" w:hAnsi="Times New Roman" w:cs="Times New Roman"/>
          <w:color w:val="000000" w:themeColor="text1"/>
          <w:sz w:val="16"/>
          <w:szCs w:val="16"/>
        </w:rPr>
        <w:softHyphen/>
        <w:t>метны». При очередях свыше 5-6 снарядов «удержать самолет от зарывания носом ста</w:t>
      </w:r>
      <w:r w:rsidRPr="00070ADE">
        <w:rPr>
          <w:rFonts w:ascii="Times New Roman" w:hAnsi="Times New Roman" w:cs="Times New Roman"/>
          <w:color w:val="000000" w:themeColor="text1"/>
          <w:sz w:val="16"/>
          <w:szCs w:val="16"/>
        </w:rPr>
        <w:softHyphen/>
        <w:t>новится затруднительно», «самолет начина</w:t>
      </w:r>
      <w:r w:rsidRPr="00070ADE">
        <w:rPr>
          <w:rFonts w:ascii="Times New Roman" w:hAnsi="Times New Roman" w:cs="Times New Roman"/>
          <w:color w:val="000000" w:themeColor="text1"/>
          <w:sz w:val="16"/>
          <w:szCs w:val="16"/>
        </w:rPr>
        <w:softHyphen/>
        <w:t>ет раскачиваться в полете» и «прицельная стрельба становится"'невозможной».</w:t>
      </w:r>
    </w:p>
    <w:p w14:paraId="44C466B1"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Для обеспечения более точного по</w:t>
      </w:r>
      <w:r w:rsidRPr="00070ADE">
        <w:rPr>
          <w:rFonts w:ascii="Times New Roman" w:hAnsi="Times New Roman" w:cs="Times New Roman"/>
          <w:color w:val="000000" w:themeColor="text1"/>
          <w:sz w:val="16"/>
          <w:szCs w:val="16"/>
        </w:rPr>
        <w:softHyphen/>
        <w:t>ражения цели рекомендовалось произво</w:t>
      </w:r>
      <w:r w:rsidRPr="00070ADE">
        <w:rPr>
          <w:rFonts w:ascii="Times New Roman" w:hAnsi="Times New Roman" w:cs="Times New Roman"/>
          <w:color w:val="000000" w:themeColor="text1"/>
          <w:sz w:val="16"/>
          <w:szCs w:val="16"/>
        </w:rPr>
        <w:softHyphen/>
        <w:t>дить стрельбу очередями по 2-3 максимум 4 снаряда из каждой пушки. При этом ко</w:t>
      </w:r>
      <w:r w:rsidRPr="00070ADE">
        <w:rPr>
          <w:rFonts w:ascii="Times New Roman" w:hAnsi="Times New Roman" w:cs="Times New Roman"/>
          <w:color w:val="000000" w:themeColor="text1"/>
          <w:sz w:val="16"/>
          <w:szCs w:val="16"/>
        </w:rPr>
        <w:softHyphen/>
        <w:t>роткая очередь была рациональна и с точки зрения тактического применения самолета (более экономного расхода небольшого боекомплекта к пушкам).</w:t>
      </w:r>
    </w:p>
    <w:p w14:paraId="3DA46D2B"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При стрельбе из одной пушки (правой или левой) самолет разворачивался в сто</w:t>
      </w:r>
      <w:r w:rsidRPr="00070ADE">
        <w:rPr>
          <w:rFonts w:ascii="Times New Roman" w:hAnsi="Times New Roman" w:cs="Times New Roman"/>
          <w:color w:val="000000" w:themeColor="text1"/>
          <w:sz w:val="16"/>
          <w:szCs w:val="16"/>
        </w:rPr>
        <w:softHyphen/>
        <w:t>рону стреляющей пушки, а так как «темп стрельбы очень мал, то держать самолет ногой, парируя рулями его отход от цели, почти невозможно». По заявлениям летчи</w:t>
      </w:r>
      <w:r w:rsidRPr="00070ADE">
        <w:rPr>
          <w:rFonts w:ascii="Times New Roman" w:hAnsi="Times New Roman" w:cs="Times New Roman"/>
          <w:color w:val="000000" w:themeColor="text1"/>
          <w:sz w:val="16"/>
          <w:szCs w:val="16"/>
        </w:rPr>
        <w:softHyphen/>
        <w:t>ков «получается разбалтывание самолета относительно вертикальной оси на ли</w:t>
      </w:r>
      <w:r w:rsidRPr="00070ADE">
        <w:rPr>
          <w:rFonts w:ascii="Times New Roman" w:hAnsi="Times New Roman" w:cs="Times New Roman"/>
          <w:color w:val="000000" w:themeColor="text1"/>
          <w:sz w:val="16"/>
          <w:szCs w:val="16"/>
        </w:rPr>
        <w:softHyphen/>
        <w:t>нии прицеливания, что ухудшает качество стрельбы». То есть прицельным был только первый снаряд в очереди.</w:t>
      </w:r>
    </w:p>
    <w:p w14:paraId="67FCCE6E"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Наиболее удобными углами пикирова</w:t>
      </w:r>
      <w:r w:rsidRPr="00070ADE">
        <w:rPr>
          <w:rFonts w:ascii="Times New Roman" w:hAnsi="Times New Roman" w:cs="Times New Roman"/>
          <w:color w:val="000000" w:themeColor="text1"/>
          <w:sz w:val="16"/>
          <w:szCs w:val="16"/>
        </w:rPr>
        <w:softHyphen/>
        <w:t>ния при стрельбе по наземной цели с точки зрения потери высоты и увеличения скоро</w:t>
      </w:r>
      <w:r w:rsidRPr="00070ADE">
        <w:rPr>
          <w:rFonts w:ascii="Times New Roman" w:hAnsi="Times New Roman" w:cs="Times New Roman"/>
          <w:color w:val="000000" w:themeColor="text1"/>
          <w:sz w:val="16"/>
          <w:szCs w:val="16"/>
        </w:rPr>
        <w:softHyphen/>
        <w:t>сти на пикировании, а также удобства при</w:t>
      </w:r>
      <w:r w:rsidRPr="00070ADE">
        <w:rPr>
          <w:rFonts w:ascii="Times New Roman" w:hAnsi="Times New Roman" w:cs="Times New Roman"/>
          <w:color w:val="000000" w:themeColor="text1"/>
          <w:sz w:val="16"/>
          <w:szCs w:val="16"/>
        </w:rPr>
        <w:softHyphen/>
        <w:t>целивания считался диапазон 35-45°. При высоте ввода в пикирование 500-550 м дистанция огня составляла 500-700 м, что было более чем достаточно для прицели</w:t>
      </w:r>
      <w:r w:rsidRPr="00070ADE">
        <w:rPr>
          <w:rFonts w:ascii="Times New Roman" w:hAnsi="Times New Roman" w:cs="Times New Roman"/>
          <w:color w:val="000000" w:themeColor="text1"/>
          <w:sz w:val="16"/>
          <w:szCs w:val="16"/>
        </w:rPr>
        <w:softHyphen/>
        <w:t>вания и производства 2-3 очередей.</w:t>
      </w:r>
    </w:p>
    <w:p w14:paraId="68883A8F"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Важно отметить, что при стрельбе в воздухе по наземной цели «Харрикейн» допускал перенос огня от первоначальной точки наводки в боковом направлении и по дальности в пределах 10-15°, «что было за</w:t>
      </w:r>
      <w:r w:rsidRPr="00070ADE">
        <w:rPr>
          <w:rFonts w:ascii="Times New Roman" w:hAnsi="Times New Roman" w:cs="Times New Roman"/>
          <w:color w:val="000000" w:themeColor="text1"/>
          <w:sz w:val="16"/>
          <w:szCs w:val="16"/>
        </w:rPr>
        <w:softHyphen/>
        <w:t>труднено, а порой неосуществимо, на са</w:t>
      </w:r>
      <w:r w:rsidRPr="00070ADE">
        <w:rPr>
          <w:rFonts w:ascii="Times New Roman" w:hAnsi="Times New Roman" w:cs="Times New Roman"/>
          <w:color w:val="000000" w:themeColor="text1"/>
          <w:sz w:val="16"/>
          <w:szCs w:val="16"/>
        </w:rPr>
        <w:softHyphen/>
        <w:t>молете Ил-2 с 37-мм пушками».</w:t>
      </w:r>
    </w:p>
    <w:p w14:paraId="4D3B6FAB"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Летчикам понравилось удобное распо</w:t>
      </w:r>
      <w:r w:rsidRPr="00070ADE">
        <w:rPr>
          <w:rFonts w:ascii="Times New Roman" w:hAnsi="Times New Roman" w:cs="Times New Roman"/>
          <w:color w:val="000000" w:themeColor="text1"/>
          <w:sz w:val="16"/>
          <w:szCs w:val="16"/>
        </w:rPr>
        <w:softHyphen/>
        <w:t>ложение электрокнопки управления огнем из пушек на секторе газа под левую руку. Поскольку пулеметы приводились в дей</w:t>
      </w:r>
      <w:r w:rsidRPr="00070ADE">
        <w:rPr>
          <w:rFonts w:ascii="Times New Roman" w:hAnsi="Times New Roman" w:cs="Times New Roman"/>
          <w:color w:val="000000" w:themeColor="text1"/>
          <w:sz w:val="16"/>
          <w:szCs w:val="16"/>
        </w:rPr>
        <w:softHyphen/>
        <w:t>ствие кнопкой на ручке управления само</w:t>
      </w:r>
      <w:r w:rsidRPr="00070ADE">
        <w:rPr>
          <w:rFonts w:ascii="Times New Roman" w:hAnsi="Times New Roman" w:cs="Times New Roman"/>
          <w:color w:val="000000" w:themeColor="text1"/>
          <w:sz w:val="16"/>
          <w:szCs w:val="16"/>
        </w:rPr>
        <w:softHyphen/>
        <w:t>летом, то такое расположение управления пушками позволяло вести одновременный огонь из пушек и пулеметов.</w:t>
      </w:r>
    </w:p>
    <w:p w14:paraId="7C37C64A"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Существенным недостатком системы управления вооружением посчитали от</w:t>
      </w:r>
      <w:r w:rsidRPr="00070ADE">
        <w:rPr>
          <w:rFonts w:ascii="Times New Roman" w:hAnsi="Times New Roman" w:cs="Times New Roman"/>
          <w:color w:val="000000" w:themeColor="text1"/>
          <w:sz w:val="16"/>
          <w:szCs w:val="16"/>
        </w:rPr>
        <w:softHyphen/>
        <w:t>сутствие приспособления перезарядки пушек в воздухе. По этой причине устра</w:t>
      </w:r>
      <w:r w:rsidRPr="00070ADE">
        <w:rPr>
          <w:rFonts w:ascii="Times New Roman" w:hAnsi="Times New Roman" w:cs="Times New Roman"/>
          <w:color w:val="000000" w:themeColor="text1"/>
          <w:sz w:val="16"/>
          <w:szCs w:val="16"/>
        </w:rPr>
        <w:softHyphen/>
        <w:t>нить возможные задержки в стрельбе лет</w:t>
      </w:r>
      <w:r w:rsidRPr="00070ADE">
        <w:rPr>
          <w:rFonts w:ascii="Times New Roman" w:hAnsi="Times New Roman" w:cs="Times New Roman"/>
          <w:color w:val="000000" w:themeColor="text1"/>
          <w:sz w:val="16"/>
          <w:szCs w:val="16"/>
        </w:rPr>
        <w:softHyphen/>
        <w:t>чик не мог. В полете в случае осечки лет</w:t>
      </w:r>
      <w:r w:rsidRPr="00070ADE">
        <w:rPr>
          <w:rFonts w:ascii="Times New Roman" w:hAnsi="Times New Roman" w:cs="Times New Roman"/>
          <w:color w:val="000000" w:themeColor="text1"/>
          <w:sz w:val="16"/>
          <w:szCs w:val="16"/>
        </w:rPr>
        <w:softHyphen/>
        <w:t>чик мог только повторно взвести ударный механизм, «что отсутствие системы пере</w:t>
      </w:r>
      <w:r w:rsidRPr="00070ADE">
        <w:rPr>
          <w:rFonts w:ascii="Times New Roman" w:hAnsi="Times New Roman" w:cs="Times New Roman"/>
          <w:color w:val="000000" w:themeColor="text1"/>
          <w:sz w:val="16"/>
          <w:szCs w:val="16"/>
        </w:rPr>
        <w:softHyphen/>
        <w:t>зарядки не компенсирует». В то же время взведение ударника (с помощью гашетки на левом борту) и контроль давления в воздушной системе управления оружием (с помощью манометра) осуществлялось просто и удобно.</w:t>
      </w:r>
    </w:p>
    <w:p w14:paraId="02BEF68E"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Прицеливание при помощи прицела Рефлектор Сайт Мк.115 простое. Включать прицел и регулировать накал лампы под</w:t>
      </w:r>
      <w:r w:rsidRPr="00070ADE">
        <w:rPr>
          <w:rFonts w:ascii="Times New Roman" w:hAnsi="Times New Roman" w:cs="Times New Roman"/>
          <w:color w:val="000000" w:themeColor="text1"/>
          <w:sz w:val="16"/>
          <w:szCs w:val="16"/>
        </w:rPr>
        <w:softHyphen/>
        <w:t>светки удобно.</w:t>
      </w:r>
    </w:p>
    <w:p w14:paraId="730547D3"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Попытка отстрелять все вооружение самолета на высоте 7500-8000 м оказа</w:t>
      </w:r>
      <w:r w:rsidRPr="00070ADE">
        <w:rPr>
          <w:rFonts w:ascii="Times New Roman" w:hAnsi="Times New Roman" w:cs="Times New Roman"/>
          <w:color w:val="000000" w:themeColor="text1"/>
          <w:sz w:val="16"/>
          <w:szCs w:val="16"/>
        </w:rPr>
        <w:softHyphen/>
        <w:t>лась неудачной. Из-за низкой температу</w:t>
      </w:r>
      <w:r w:rsidRPr="00070ADE">
        <w:rPr>
          <w:rFonts w:ascii="Times New Roman" w:hAnsi="Times New Roman" w:cs="Times New Roman"/>
          <w:color w:val="000000" w:themeColor="text1"/>
          <w:sz w:val="16"/>
          <w:szCs w:val="16"/>
        </w:rPr>
        <w:softHyphen/>
        <w:t>ры воздуха - около -54°С, оружие отказало в действии. На земле были определены не</w:t>
      </w:r>
      <w:r w:rsidRPr="00070ADE">
        <w:rPr>
          <w:rFonts w:ascii="Times New Roman" w:hAnsi="Times New Roman" w:cs="Times New Roman"/>
          <w:color w:val="000000" w:themeColor="text1"/>
          <w:sz w:val="16"/>
          <w:szCs w:val="16"/>
        </w:rPr>
        <w:softHyphen/>
        <w:t>отдачи в пушках и пулеметах, хотя оружие было смазано незамерзающей смазкой.</w:t>
      </w:r>
    </w:p>
    <w:p w14:paraId="2CA16A3C"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Летчики сочли, что «боекомплект 15 снарядов на пушку и темп стрельбы 100-110 выстрелов в минуту не могут удовлетворить ТТТ, предъявляемым ВВС к самолету-истребителю». Боекомплект к пулеметам был вполне достаточным.</w:t>
      </w:r>
    </w:p>
    <w:p w14:paraId="47753EA9"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Основные результаты при стрельбе по щиту с пикирования под углом 45° с дистан</w:t>
      </w:r>
      <w:r w:rsidRPr="00070ADE">
        <w:rPr>
          <w:rFonts w:ascii="Times New Roman" w:hAnsi="Times New Roman" w:cs="Times New Roman"/>
          <w:color w:val="000000" w:themeColor="text1"/>
          <w:sz w:val="16"/>
          <w:szCs w:val="16"/>
        </w:rPr>
        <w:softHyphen/>
        <w:t>ции 500-700 м сводились к следующему. Боковое отклонение и отклонение по даль</w:t>
      </w:r>
      <w:r w:rsidRPr="00070ADE">
        <w:rPr>
          <w:rFonts w:ascii="Times New Roman" w:hAnsi="Times New Roman" w:cs="Times New Roman"/>
          <w:color w:val="000000" w:themeColor="text1"/>
          <w:sz w:val="16"/>
          <w:szCs w:val="16"/>
        </w:rPr>
        <w:softHyphen/>
        <w:t>ности достигали: короткая очередь (2-3 снаряда) -1,08 и 1,70 м, длинная очередь (6-7 снарядов) - 1,51 и 2,39 м, рассеива</w:t>
      </w:r>
      <w:r w:rsidRPr="00070ADE">
        <w:rPr>
          <w:rFonts w:ascii="Times New Roman" w:hAnsi="Times New Roman" w:cs="Times New Roman"/>
          <w:color w:val="000000" w:themeColor="text1"/>
          <w:sz w:val="16"/>
          <w:szCs w:val="16"/>
        </w:rPr>
        <w:softHyphen/>
        <w:t>ние коротких очередей (5 очередей) - 1,55 и 3,11 м, рассеивание длинных очередей (2 очереди)-2,02 и 5,32 м.</w:t>
      </w:r>
    </w:p>
    <w:p w14:paraId="77F1C271"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Наблюдались значительные отклоне</w:t>
      </w:r>
      <w:r w:rsidRPr="00070ADE">
        <w:rPr>
          <w:rFonts w:ascii="Times New Roman" w:hAnsi="Times New Roman" w:cs="Times New Roman"/>
          <w:color w:val="000000" w:themeColor="text1"/>
          <w:sz w:val="16"/>
          <w:szCs w:val="16"/>
        </w:rPr>
        <w:softHyphen/>
        <w:t>ния центра группирования в вертикальной плоскости (по дальности) с увеличением длины очереди. Если при стрельбе корот</w:t>
      </w:r>
      <w:r w:rsidRPr="00070ADE">
        <w:rPr>
          <w:rFonts w:ascii="Times New Roman" w:hAnsi="Times New Roman" w:cs="Times New Roman"/>
          <w:color w:val="000000" w:themeColor="text1"/>
          <w:sz w:val="16"/>
          <w:szCs w:val="16"/>
        </w:rPr>
        <w:softHyphen/>
        <w:t>кими очередями рассеивание центра груп</w:t>
      </w:r>
      <w:r w:rsidRPr="00070ADE">
        <w:rPr>
          <w:rFonts w:ascii="Times New Roman" w:hAnsi="Times New Roman" w:cs="Times New Roman"/>
          <w:color w:val="000000" w:themeColor="text1"/>
          <w:sz w:val="16"/>
          <w:szCs w:val="16"/>
        </w:rPr>
        <w:softHyphen/>
        <w:t>пирования очереди находилось в пределах от -1,1 до -2,4 м, то при переходе к стрель</w:t>
      </w:r>
      <w:r w:rsidRPr="00070ADE">
        <w:rPr>
          <w:rFonts w:ascii="Times New Roman" w:hAnsi="Times New Roman" w:cs="Times New Roman"/>
          <w:color w:val="000000" w:themeColor="text1"/>
          <w:sz w:val="16"/>
          <w:szCs w:val="16"/>
        </w:rPr>
        <w:softHyphen/>
        <w:t>бе длинными очередями резко возраста</w:t>
      </w:r>
      <w:r w:rsidRPr="00070ADE">
        <w:rPr>
          <w:rFonts w:ascii="Times New Roman" w:hAnsi="Times New Roman" w:cs="Times New Roman"/>
          <w:color w:val="000000" w:themeColor="text1"/>
          <w:sz w:val="16"/>
          <w:szCs w:val="16"/>
        </w:rPr>
        <w:softHyphen/>
        <w:t>ло - до -3,12-4,47 м. Это обстоятельство вполне соответствовало показаниям лет</w:t>
      </w:r>
      <w:r w:rsidRPr="00070ADE">
        <w:rPr>
          <w:rFonts w:ascii="Times New Roman" w:hAnsi="Times New Roman" w:cs="Times New Roman"/>
          <w:color w:val="000000" w:themeColor="text1"/>
          <w:sz w:val="16"/>
          <w:szCs w:val="16"/>
        </w:rPr>
        <w:softHyphen/>
        <w:t>чиков о стремлении самолета «зарываться носом при стрельбе на пикировании».</w:t>
      </w:r>
    </w:p>
    <w:p w14:paraId="10BD5C38"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При стрельбе из одной пушки с увели</w:t>
      </w:r>
      <w:r w:rsidRPr="00070ADE">
        <w:rPr>
          <w:rFonts w:ascii="Times New Roman" w:hAnsi="Times New Roman" w:cs="Times New Roman"/>
          <w:color w:val="000000" w:themeColor="text1"/>
          <w:sz w:val="16"/>
          <w:szCs w:val="16"/>
        </w:rPr>
        <w:softHyphen/>
        <w:t>чением длины очереди центр группирова</w:t>
      </w:r>
      <w:r w:rsidRPr="00070ADE">
        <w:rPr>
          <w:rFonts w:ascii="Times New Roman" w:hAnsi="Times New Roman" w:cs="Times New Roman"/>
          <w:color w:val="000000" w:themeColor="text1"/>
          <w:sz w:val="16"/>
          <w:szCs w:val="16"/>
        </w:rPr>
        <w:softHyphen/>
        <w:t>ния очереди «резко смещался в сторону стреляющей пушки под самолет», причем «тенденция эта одинаковая как для правой, так и для левой пушки».</w:t>
      </w:r>
    </w:p>
    <w:tbl>
      <w:tblPr>
        <w:tblW w:w="0" w:type="auto"/>
        <w:tblLayout w:type="fixed"/>
        <w:tblCellMar>
          <w:left w:w="10" w:type="dxa"/>
          <w:right w:w="10" w:type="dxa"/>
        </w:tblCellMar>
        <w:tblLook w:val="04A0" w:firstRow="1" w:lastRow="0" w:firstColumn="1" w:lastColumn="0" w:noHBand="0" w:noVBand="1"/>
      </w:tblPr>
      <w:tblGrid>
        <w:gridCol w:w="2050"/>
        <w:gridCol w:w="926"/>
        <w:gridCol w:w="922"/>
        <w:gridCol w:w="926"/>
        <w:gridCol w:w="922"/>
        <w:gridCol w:w="931"/>
      </w:tblGrid>
      <w:tr w:rsidR="00CB5308" w:rsidRPr="00070ADE" w14:paraId="2CE21646" w14:textId="77777777" w:rsidTr="00903E13">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4B878ADD"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Характеристика/тип пушки</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9E714CE"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НС-45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115F87B"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«Виккерс» 3</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2EA51C3"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М4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24F7FD4"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НС-37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EE7C7A0"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ВЯ</w:t>
            </w:r>
          </w:p>
        </w:tc>
      </w:tr>
      <w:tr w:rsidR="00CB5308" w:rsidRPr="00070ADE" w14:paraId="4FA4270D"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787D4A67"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Калибр, мм</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99C3C7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79C976FA"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0E6407E"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C44FC5C"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5D92466A"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23</w:t>
            </w:r>
          </w:p>
        </w:tc>
      </w:tr>
      <w:tr w:rsidR="00CB5308" w:rsidRPr="00070ADE" w14:paraId="12476518" w14:textId="77777777" w:rsidTr="00903E13">
        <w:trPr>
          <w:trHeight w:val="226"/>
        </w:trPr>
        <w:tc>
          <w:tcPr>
            <w:tcW w:w="2050" w:type="dxa"/>
            <w:tcBorders>
              <w:top w:val="single" w:sz="4" w:space="0" w:color="auto"/>
              <w:left w:val="single" w:sz="4" w:space="0" w:color="auto"/>
              <w:right w:val="single" w:sz="4" w:space="0" w:color="auto"/>
            </w:tcBorders>
            <w:shd w:val="clear" w:color="auto" w:fill="FFFFFF"/>
          </w:tcPr>
          <w:p w14:paraId="677AEFB1" w14:textId="77777777" w:rsidR="00903E13" w:rsidRPr="00070ADE" w:rsidRDefault="00903E13" w:rsidP="00B56F90">
            <w:pPr>
              <w:spacing w:after="0" w:line="240" w:lineRule="auto"/>
              <w:jc w:val="both"/>
              <w:rPr>
                <w:rFonts w:ascii="Times New Roman" w:hAnsi="Times New Roman"/>
                <w:color w:val="000000" w:themeColor="text1"/>
                <w:sz w:val="16"/>
                <w:szCs w:val="16"/>
              </w:rPr>
            </w:pPr>
          </w:p>
        </w:tc>
        <w:tc>
          <w:tcPr>
            <w:tcW w:w="926" w:type="dxa"/>
            <w:tcBorders>
              <w:top w:val="single" w:sz="4" w:space="0" w:color="auto"/>
              <w:left w:val="single" w:sz="4" w:space="0" w:color="auto"/>
              <w:right w:val="single" w:sz="4" w:space="0" w:color="auto"/>
            </w:tcBorders>
            <w:shd w:val="clear" w:color="auto" w:fill="FFFFFF"/>
          </w:tcPr>
          <w:p w14:paraId="724A4E90"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27B4CE6B"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Отдача при</w:t>
            </w:r>
          </w:p>
        </w:tc>
        <w:tc>
          <w:tcPr>
            <w:tcW w:w="926" w:type="dxa"/>
            <w:tcBorders>
              <w:top w:val="single" w:sz="4" w:space="0" w:color="auto"/>
              <w:left w:val="single" w:sz="4" w:space="0" w:color="auto"/>
              <w:right w:val="single" w:sz="4" w:space="0" w:color="auto"/>
            </w:tcBorders>
            <w:shd w:val="clear" w:color="auto" w:fill="FFFFFF"/>
          </w:tcPr>
          <w:p w14:paraId="5E5FAC1F"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175B0585"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Отдача при</w:t>
            </w:r>
          </w:p>
        </w:tc>
        <w:tc>
          <w:tcPr>
            <w:tcW w:w="931" w:type="dxa"/>
            <w:tcBorders>
              <w:top w:val="single" w:sz="4" w:space="0" w:color="auto"/>
              <w:left w:val="single" w:sz="4" w:space="0" w:color="auto"/>
              <w:right w:val="single" w:sz="4" w:space="0" w:color="auto"/>
            </w:tcBorders>
            <w:shd w:val="clear" w:color="auto" w:fill="FFFFFF"/>
          </w:tcPr>
          <w:p w14:paraId="19EF7425"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Отвод газов</w:t>
            </w:r>
          </w:p>
        </w:tc>
      </w:tr>
      <w:tr w:rsidR="00CB5308" w:rsidRPr="00070ADE" w14:paraId="7A986673" w14:textId="77777777" w:rsidTr="00903E13">
        <w:trPr>
          <w:trHeight w:val="197"/>
        </w:trPr>
        <w:tc>
          <w:tcPr>
            <w:tcW w:w="2050" w:type="dxa"/>
            <w:tcBorders>
              <w:left w:val="single" w:sz="4" w:space="0" w:color="auto"/>
              <w:right w:val="single" w:sz="4" w:space="0" w:color="auto"/>
            </w:tcBorders>
            <w:shd w:val="clear" w:color="auto" w:fill="FFFFFF"/>
          </w:tcPr>
          <w:p w14:paraId="57FDFF4B"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Принцип действия</w:t>
            </w:r>
          </w:p>
        </w:tc>
        <w:tc>
          <w:tcPr>
            <w:tcW w:w="926" w:type="dxa"/>
            <w:tcBorders>
              <w:left w:val="single" w:sz="4" w:space="0" w:color="auto"/>
              <w:right w:val="single" w:sz="4" w:space="0" w:color="auto"/>
            </w:tcBorders>
            <w:shd w:val="clear" w:color="auto" w:fill="FFFFFF"/>
          </w:tcPr>
          <w:p w14:paraId="4637B537"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коротком</w:t>
            </w:r>
          </w:p>
        </w:tc>
        <w:tc>
          <w:tcPr>
            <w:tcW w:w="922" w:type="dxa"/>
            <w:tcBorders>
              <w:left w:val="single" w:sz="4" w:space="0" w:color="auto"/>
              <w:right w:val="single" w:sz="4" w:space="0" w:color="auto"/>
            </w:tcBorders>
            <w:shd w:val="clear" w:color="auto" w:fill="FFFFFF"/>
          </w:tcPr>
          <w:p w14:paraId="622FD812"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длинном</w:t>
            </w:r>
          </w:p>
        </w:tc>
        <w:tc>
          <w:tcPr>
            <w:tcW w:w="926" w:type="dxa"/>
            <w:tcBorders>
              <w:left w:val="single" w:sz="4" w:space="0" w:color="auto"/>
              <w:right w:val="single" w:sz="4" w:space="0" w:color="auto"/>
            </w:tcBorders>
            <w:shd w:val="clear" w:color="auto" w:fill="FFFFFF"/>
          </w:tcPr>
          <w:p w14:paraId="60810341"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коротком</w:t>
            </w:r>
          </w:p>
        </w:tc>
        <w:tc>
          <w:tcPr>
            <w:tcW w:w="922" w:type="dxa"/>
            <w:tcBorders>
              <w:left w:val="single" w:sz="4" w:space="0" w:color="auto"/>
              <w:right w:val="single" w:sz="4" w:space="0" w:color="auto"/>
            </w:tcBorders>
            <w:shd w:val="clear" w:color="auto" w:fill="FFFFFF"/>
          </w:tcPr>
          <w:p w14:paraId="5066B0D9"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коротком</w:t>
            </w:r>
          </w:p>
        </w:tc>
        <w:tc>
          <w:tcPr>
            <w:tcW w:w="931" w:type="dxa"/>
            <w:tcBorders>
              <w:left w:val="single" w:sz="4" w:space="0" w:color="auto"/>
              <w:right w:val="single" w:sz="4" w:space="0" w:color="auto"/>
            </w:tcBorders>
            <w:shd w:val="clear" w:color="auto" w:fill="FFFFFF"/>
          </w:tcPr>
          <w:p w14:paraId="0E9B65A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из канала</w:t>
            </w:r>
          </w:p>
        </w:tc>
      </w:tr>
      <w:tr w:rsidR="00CB5308" w:rsidRPr="00070ADE" w14:paraId="0D4BF288" w14:textId="77777777" w:rsidTr="00903E13">
        <w:trPr>
          <w:trHeight w:val="163"/>
        </w:trPr>
        <w:tc>
          <w:tcPr>
            <w:tcW w:w="2050" w:type="dxa"/>
            <w:tcBorders>
              <w:left w:val="single" w:sz="4" w:space="0" w:color="auto"/>
              <w:bottom w:val="single" w:sz="4" w:space="0" w:color="auto"/>
              <w:right w:val="single" w:sz="4" w:space="0" w:color="auto"/>
            </w:tcBorders>
            <w:shd w:val="clear" w:color="auto" w:fill="FFFFFF"/>
          </w:tcPr>
          <w:p w14:paraId="439F4A5B" w14:textId="77777777" w:rsidR="00903E13" w:rsidRPr="00070ADE" w:rsidRDefault="00903E13" w:rsidP="00B56F90">
            <w:pPr>
              <w:spacing w:after="0" w:line="240" w:lineRule="auto"/>
              <w:jc w:val="both"/>
              <w:rPr>
                <w:rFonts w:ascii="Times New Roman" w:hAnsi="Times New Roman"/>
                <w:color w:val="000000" w:themeColor="text1"/>
                <w:sz w:val="16"/>
                <w:szCs w:val="16"/>
              </w:rPr>
            </w:pPr>
          </w:p>
        </w:tc>
        <w:tc>
          <w:tcPr>
            <w:tcW w:w="926" w:type="dxa"/>
            <w:tcBorders>
              <w:left w:val="single" w:sz="4" w:space="0" w:color="auto"/>
              <w:bottom w:val="single" w:sz="4" w:space="0" w:color="auto"/>
              <w:right w:val="single" w:sz="4" w:space="0" w:color="auto"/>
            </w:tcBorders>
            <w:shd w:val="clear" w:color="auto" w:fill="FFFFFF"/>
          </w:tcPr>
          <w:p w14:paraId="50F45335"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48290367"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ходе ствола</w:t>
            </w:r>
          </w:p>
        </w:tc>
        <w:tc>
          <w:tcPr>
            <w:tcW w:w="926" w:type="dxa"/>
            <w:tcBorders>
              <w:left w:val="single" w:sz="4" w:space="0" w:color="auto"/>
              <w:bottom w:val="single" w:sz="4" w:space="0" w:color="auto"/>
              <w:right w:val="single" w:sz="4" w:space="0" w:color="auto"/>
            </w:tcBorders>
            <w:shd w:val="clear" w:color="auto" w:fill="FFFFFF"/>
          </w:tcPr>
          <w:p w14:paraId="68745684"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5227E67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ходе ствола</w:t>
            </w:r>
          </w:p>
        </w:tc>
        <w:tc>
          <w:tcPr>
            <w:tcW w:w="931" w:type="dxa"/>
            <w:tcBorders>
              <w:left w:val="single" w:sz="4" w:space="0" w:color="auto"/>
              <w:bottom w:val="single" w:sz="4" w:space="0" w:color="auto"/>
              <w:right w:val="single" w:sz="4" w:space="0" w:color="auto"/>
            </w:tcBorders>
            <w:shd w:val="clear" w:color="auto" w:fill="FFFFFF"/>
          </w:tcPr>
          <w:p w14:paraId="5FC114E8"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ствола</w:t>
            </w:r>
          </w:p>
        </w:tc>
      </w:tr>
      <w:tr w:rsidR="00CB5308" w:rsidRPr="00070ADE" w14:paraId="1C268950"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35A4149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Питание</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2B79044"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Звеньевое</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7267A9E"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Магазин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A3AA0E4"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Магазин</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63B2C15"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Звеньевое</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071718FE"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Зеньевое</w:t>
            </w:r>
          </w:p>
        </w:tc>
      </w:tr>
      <w:tr w:rsidR="00CB5308" w:rsidRPr="00070ADE" w14:paraId="3B5DD73D"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0D6E8F04"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Темп стрельбы, выстр./мин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57154D5"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7D05B0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110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1F41DC3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CAAD3D2"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250</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008CF9F5"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600</w:t>
            </w:r>
          </w:p>
        </w:tc>
      </w:tr>
      <w:tr w:rsidR="00CB5308" w:rsidRPr="00070ADE" w14:paraId="63ED2312"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A17119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Начальная скорость, м/с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20A5EF1"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781</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2E906E9"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585</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0BAFDC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610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0A77432"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878</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73216A04"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915</w:t>
            </w:r>
          </w:p>
        </w:tc>
      </w:tr>
      <w:tr w:rsidR="00CB5308" w:rsidRPr="00070ADE" w14:paraId="7125A9E2"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B67610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Вес пушки,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802FEB2"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163,8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5F1DDBC"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157,7</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AD464CA"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108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12B7E04"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162,5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7C8E10C1"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66</w:t>
            </w:r>
          </w:p>
        </w:tc>
      </w:tr>
      <w:tr w:rsidR="00CB5308" w:rsidRPr="00070ADE" w14:paraId="158C0ED1"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4CF32C8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Вес снаряда,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800006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31C1C3A"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1,041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873A861"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80F3368"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0,732</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5A33F00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0,197</w:t>
            </w:r>
          </w:p>
        </w:tc>
      </w:tr>
      <w:tr w:rsidR="00CB5308" w:rsidRPr="00070ADE" w14:paraId="7BB3DBFD"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39212C5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Вес секундного залпа,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8AEB2D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4,44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71109708"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1,91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47F0A70"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1,63</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8C04055"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3,05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270C7F5"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1,97</w:t>
            </w:r>
          </w:p>
        </w:tc>
      </w:tr>
      <w:tr w:rsidR="00CB5308" w:rsidRPr="00070ADE" w14:paraId="1AA837F9"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3E0B7EE2"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Дульная энергия,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A0F753F"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33110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E11E73A"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18158</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FE060C8"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12327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DEDA1C9"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28761</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306480A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8406</w:t>
            </w:r>
          </w:p>
        </w:tc>
      </w:tr>
      <w:tr w:rsidR="00CB5308" w:rsidRPr="00070ADE" w14:paraId="7267C6AB"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427812D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Дульная мощность, кг/с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13788619"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137956</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1BD3072"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33289</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1F84435"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30819</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C5D60F9"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119837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355E0161"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84064</w:t>
            </w:r>
          </w:p>
        </w:tc>
      </w:tr>
      <w:tr w:rsidR="00CB5308" w:rsidRPr="00070ADE" w14:paraId="605B8A63" w14:textId="77777777" w:rsidTr="00903E13">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23D858F"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Показатель качества оружия</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D39871B"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842</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300ED94"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211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5A70747"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285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3CF17B3"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737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3ACCDD88"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1274</w:t>
            </w:r>
          </w:p>
        </w:tc>
      </w:tr>
    </w:tbl>
    <w:p w14:paraId="32D8EBF4"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Как положительный факт отмечалась простая эксплуатация пушек: «пушки ос</w:t>
      </w:r>
      <w:r w:rsidRPr="00070ADE">
        <w:rPr>
          <w:rFonts w:ascii="Times New Roman" w:hAnsi="Times New Roman" w:cs="Times New Roman"/>
          <w:color w:val="000000" w:themeColor="text1"/>
          <w:sz w:val="16"/>
          <w:szCs w:val="16"/>
        </w:rPr>
        <w:softHyphen/>
        <w:t>ваиваются техническим составом легко и быстро». Подходы к пушкам удобные. Зарядка магазина производилась непо</w:t>
      </w:r>
      <w:r w:rsidRPr="00070ADE">
        <w:rPr>
          <w:rFonts w:ascii="Times New Roman" w:hAnsi="Times New Roman" w:cs="Times New Roman"/>
          <w:color w:val="000000" w:themeColor="text1"/>
          <w:sz w:val="16"/>
          <w:szCs w:val="16"/>
        </w:rPr>
        <w:softHyphen/>
        <w:t>средственно на самолете. При двух рабо</w:t>
      </w:r>
      <w:r w:rsidRPr="00070ADE">
        <w:rPr>
          <w:rFonts w:ascii="Times New Roman" w:hAnsi="Times New Roman" w:cs="Times New Roman"/>
          <w:color w:val="000000" w:themeColor="text1"/>
          <w:sz w:val="16"/>
          <w:szCs w:val="16"/>
        </w:rPr>
        <w:softHyphen/>
        <w:t xml:space="preserve">тающих техниках на приведение в боевую готовность одной пушки после стрельбы (снятие </w:t>
      </w:r>
      <w:r w:rsidRPr="00070ADE">
        <w:rPr>
          <w:rFonts w:ascii="Times New Roman" w:hAnsi="Times New Roman" w:cs="Times New Roman"/>
          <w:color w:val="000000" w:themeColor="text1"/>
          <w:sz w:val="16"/>
          <w:szCs w:val="16"/>
        </w:rPr>
        <w:lastRenderedPageBreak/>
        <w:t>обтекателя пушки, частичная раз</w:t>
      </w:r>
      <w:r w:rsidRPr="00070ADE">
        <w:rPr>
          <w:rFonts w:ascii="Times New Roman" w:hAnsi="Times New Roman" w:cs="Times New Roman"/>
          <w:color w:val="000000" w:themeColor="text1"/>
          <w:sz w:val="16"/>
          <w:szCs w:val="16"/>
        </w:rPr>
        <w:softHyphen/>
        <w:t>борка, чистка и смазка пушки, зарядка ма</w:t>
      </w:r>
      <w:r w:rsidRPr="00070ADE">
        <w:rPr>
          <w:rFonts w:ascii="Times New Roman" w:hAnsi="Times New Roman" w:cs="Times New Roman"/>
          <w:color w:val="000000" w:themeColor="text1"/>
          <w:sz w:val="16"/>
          <w:szCs w:val="16"/>
        </w:rPr>
        <w:softHyphen/>
        <w:t>газина, постановка обтекателя) уходило не более 26 мин, в том числе всего 2 мин - на зарядку пушки.</w:t>
      </w:r>
    </w:p>
    <w:p w14:paraId="46E0D05F"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тронного ящика, чистка, смазка, укладка ленты в ящик, зарядка пулемета и закрытие лючка) около 20 мин, подготовка оружия занимала не более полутора часов.</w:t>
      </w:r>
    </w:p>
    <w:p w14:paraId="39A6B975"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ходе стрельб пушки и пушечные установки показали высокую надежность. Если исключить из рассмотрения резуль</w:t>
      </w:r>
      <w:r w:rsidRPr="00070ADE">
        <w:rPr>
          <w:rFonts w:ascii="Times New Roman" w:hAnsi="Times New Roman" w:cs="Times New Roman"/>
          <w:color w:val="000000" w:themeColor="text1"/>
          <w:sz w:val="16"/>
          <w:szCs w:val="16"/>
        </w:rPr>
        <w:softHyphen/>
        <w:t>таты стрельбы на большой высоте (7500- 8000 м), то процент задержек в стрельбе по вине пушек составил всего 0,16%, а пулеметов 0,13% от общего числа выстре</w:t>
      </w:r>
      <w:r w:rsidRPr="00070ADE">
        <w:rPr>
          <w:rFonts w:ascii="Times New Roman" w:hAnsi="Times New Roman" w:cs="Times New Roman"/>
          <w:color w:val="000000" w:themeColor="text1"/>
          <w:sz w:val="16"/>
          <w:szCs w:val="16"/>
        </w:rPr>
        <w:softHyphen/>
        <w:t>лов. При этом после устранения дефекта, вызвавшего задержку в стрельбе пушки, отказы пушек больше не повторялись. По пулеметам все отказы относились только к правому пулемету, который имел «не</w:t>
      </w:r>
      <w:r w:rsidRPr="00070ADE">
        <w:rPr>
          <w:rFonts w:ascii="Times New Roman" w:hAnsi="Times New Roman" w:cs="Times New Roman"/>
          <w:color w:val="000000" w:themeColor="text1"/>
          <w:sz w:val="16"/>
          <w:szCs w:val="16"/>
        </w:rPr>
        <w:softHyphen/>
        <w:t>устранимый дефект - тугой ход подвиж</w:t>
      </w:r>
      <w:r w:rsidRPr="00070ADE">
        <w:rPr>
          <w:rFonts w:ascii="Times New Roman" w:hAnsi="Times New Roman" w:cs="Times New Roman"/>
          <w:color w:val="000000" w:themeColor="text1"/>
          <w:sz w:val="16"/>
          <w:szCs w:val="16"/>
        </w:rPr>
        <w:softHyphen/>
        <w:t>ных частей, не зависящий от конструкции оружия».</w:t>
      </w:r>
    </w:p>
    <w:p w14:paraId="4C259B63"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 вине пушечной установки задержек не было вовсе. Пневмосистема и электроп</w:t>
      </w:r>
      <w:r w:rsidRPr="00070ADE">
        <w:rPr>
          <w:rFonts w:ascii="Times New Roman" w:hAnsi="Times New Roman" w:cs="Times New Roman"/>
          <w:color w:val="000000" w:themeColor="text1"/>
          <w:sz w:val="16"/>
          <w:szCs w:val="16"/>
        </w:rPr>
        <w:softHyphen/>
        <w:t>невматическое управление вооружением работали надежно и безотказно.</w:t>
      </w:r>
    </w:p>
    <w:p w14:paraId="59C715A8"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Имелись и недостатки. Пушки было трудно снаряжать - «стеснен подход к ру</w:t>
      </w:r>
      <w:r w:rsidRPr="00070ADE">
        <w:rPr>
          <w:rFonts w:ascii="Times New Roman" w:hAnsi="Times New Roman" w:cs="Times New Roman"/>
          <w:color w:val="000000" w:themeColor="text1"/>
          <w:sz w:val="16"/>
          <w:szCs w:val="16"/>
        </w:rPr>
        <w:softHyphen/>
        <w:t>коятке магазина при заряжании, особенно при зимней эксплуатации». Конструкция защелок, фиксирующих положение руко</w:t>
      </w:r>
      <w:r w:rsidRPr="00070ADE">
        <w:rPr>
          <w:rFonts w:ascii="Times New Roman" w:hAnsi="Times New Roman" w:cs="Times New Roman"/>
          <w:color w:val="000000" w:themeColor="text1"/>
          <w:sz w:val="16"/>
          <w:szCs w:val="16"/>
        </w:rPr>
        <w:softHyphen/>
        <w:t>ятки магазина, оказалась неудачной и не</w:t>
      </w:r>
      <w:r w:rsidRPr="00070ADE">
        <w:rPr>
          <w:rFonts w:ascii="Times New Roman" w:hAnsi="Times New Roman" w:cs="Times New Roman"/>
          <w:color w:val="000000" w:themeColor="text1"/>
          <w:sz w:val="16"/>
          <w:szCs w:val="16"/>
        </w:rPr>
        <w:softHyphen/>
        <w:t>прочной. Окно магазина пушки распола</w:t>
      </w:r>
      <w:r w:rsidRPr="00070ADE">
        <w:rPr>
          <w:rFonts w:ascii="Times New Roman" w:hAnsi="Times New Roman" w:cs="Times New Roman"/>
          <w:color w:val="000000" w:themeColor="text1"/>
          <w:sz w:val="16"/>
          <w:szCs w:val="16"/>
        </w:rPr>
        <w:softHyphen/>
        <w:t>галось крайне неудобно, что затрудняло работу при снаряжении магазина патро</w:t>
      </w:r>
      <w:r w:rsidRPr="00070ADE">
        <w:rPr>
          <w:rFonts w:ascii="Times New Roman" w:hAnsi="Times New Roman" w:cs="Times New Roman"/>
          <w:color w:val="000000" w:themeColor="text1"/>
          <w:sz w:val="16"/>
          <w:szCs w:val="16"/>
        </w:rPr>
        <w:softHyphen/>
        <w:t>нами. К тому же можно было повредить руки. Гильзоотводное окно имело разме</w:t>
      </w:r>
      <w:r w:rsidRPr="00070ADE">
        <w:rPr>
          <w:rFonts w:ascii="Times New Roman" w:hAnsi="Times New Roman" w:cs="Times New Roman"/>
          <w:color w:val="000000" w:themeColor="text1"/>
          <w:sz w:val="16"/>
          <w:szCs w:val="16"/>
        </w:rPr>
        <w:softHyphen/>
        <w:t>ры ровно под размер гильзы, поэтому для извлечения гильзы или снаряда из патрон</w:t>
      </w:r>
      <w:r w:rsidRPr="00070ADE">
        <w:rPr>
          <w:rFonts w:ascii="Times New Roman" w:hAnsi="Times New Roman" w:cs="Times New Roman"/>
          <w:color w:val="000000" w:themeColor="text1"/>
          <w:sz w:val="16"/>
          <w:szCs w:val="16"/>
        </w:rPr>
        <w:softHyphen/>
        <w:t>ника необходимо было производить не</w:t>
      </w:r>
      <w:r w:rsidRPr="00070ADE">
        <w:rPr>
          <w:rFonts w:ascii="Times New Roman" w:hAnsi="Times New Roman" w:cs="Times New Roman"/>
          <w:color w:val="000000" w:themeColor="text1"/>
          <w:sz w:val="16"/>
          <w:szCs w:val="16"/>
        </w:rPr>
        <w:softHyphen/>
        <w:t>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Как следствие, открывание и закрывание лючков становилось затруднительным. Обтекатели пушек оказались недостаточ</w:t>
      </w:r>
      <w:r w:rsidRPr="00070ADE">
        <w:rPr>
          <w:rFonts w:ascii="Times New Roman" w:hAnsi="Times New Roman" w:cs="Times New Roman"/>
          <w:color w:val="000000" w:themeColor="text1"/>
          <w:sz w:val="16"/>
          <w:szCs w:val="16"/>
        </w:rPr>
        <w:softHyphen/>
        <w:t>но жесткими и при резком выводе из пики</w:t>
      </w:r>
      <w:r w:rsidRPr="00070ADE">
        <w:rPr>
          <w:rFonts w:ascii="Times New Roman" w:hAnsi="Times New Roman" w:cs="Times New Roman"/>
          <w:color w:val="000000" w:themeColor="text1"/>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070ADE">
        <w:rPr>
          <w:rFonts w:ascii="Times New Roman" w:hAnsi="Times New Roman" w:cs="Times New Roman"/>
          <w:color w:val="000000" w:themeColor="text1"/>
          <w:sz w:val="16"/>
          <w:szCs w:val="16"/>
        </w:rPr>
        <w:softHyphen/>
        <w:t>мировались.</w:t>
      </w:r>
    </w:p>
    <w:p w14:paraId="4596AF10"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Сравнение летно-боевых качеств «Харрикейн» 1Ю с советскими истребите</w:t>
      </w:r>
      <w:r w:rsidRPr="00070ADE">
        <w:rPr>
          <w:rFonts w:ascii="Times New Roman" w:hAnsi="Times New Roman" w:cs="Times New Roman"/>
          <w:color w:val="000000" w:themeColor="text1"/>
          <w:sz w:val="16"/>
          <w:szCs w:val="16"/>
        </w:rPr>
        <w:softHyphen/>
        <w:t>лями Як-9т, ЛаГГ-3 и штурмовиком Ил-2, вооруженных пушками калибра 37 мм НС- 37, оказалось не в пользу «англичанина».</w:t>
      </w:r>
    </w:p>
    <w:p w14:paraId="40C6DB45"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Отмечалось, что «пушка Виккерс 5 калибра 40 мм по темпу стрельбы и на</w:t>
      </w:r>
      <w:r w:rsidRPr="00070ADE">
        <w:rPr>
          <w:rFonts w:ascii="Times New Roman" w:hAnsi="Times New Roman" w:cs="Times New Roman"/>
          <w:color w:val="000000" w:themeColor="text1"/>
          <w:sz w:val="16"/>
          <w:szCs w:val="16"/>
        </w:rPr>
        <w:softHyphen/>
        <w:t>чальной скорости снаряда стоит ниже современных систем авиационных авто</w:t>
      </w:r>
      <w:r w:rsidRPr="00070ADE">
        <w:rPr>
          <w:rFonts w:ascii="Times New Roman" w:hAnsi="Times New Roman" w:cs="Times New Roman"/>
          <w:color w:val="000000" w:themeColor="text1"/>
          <w:sz w:val="16"/>
          <w:szCs w:val="16"/>
        </w:rPr>
        <w:softHyphen/>
        <w:t>матических пушек и значительно ниже от</w:t>
      </w:r>
      <w:r w:rsidRPr="00070ADE">
        <w:rPr>
          <w:rFonts w:ascii="Times New Roman" w:hAnsi="Times New Roman" w:cs="Times New Roman"/>
          <w:color w:val="000000" w:themeColor="text1"/>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070ADE">
        <w:rPr>
          <w:rFonts w:ascii="Times New Roman" w:hAnsi="Times New Roman" w:cs="Times New Roman"/>
          <w:color w:val="000000" w:themeColor="text1"/>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CB5308" w:rsidRPr="00070ADE" w14:paraId="681CDFB0"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27D6B378"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72AFCE6B"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5D8ED82E"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4C08398C"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72948BB8"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47C10635"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5317FC8A"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5A401971"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20</w:t>
            </w:r>
          </w:p>
        </w:tc>
      </w:tr>
      <w:tr w:rsidR="00CB5308" w:rsidRPr="00070ADE" w14:paraId="2AA3A24E"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36BE426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3C060644"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4E2B35EB"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6AC062B1"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719716D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4C53F738"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4C3FF357"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4C671BD5"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МП-20</w:t>
            </w:r>
          </w:p>
        </w:tc>
      </w:tr>
      <w:tr w:rsidR="00CB5308" w:rsidRPr="00070ADE" w14:paraId="15082BAE" w14:textId="77777777" w:rsidTr="00903E13">
        <w:trPr>
          <w:trHeight w:val="600"/>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629661B3"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3E2F084A"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2D5DC6D1"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01A101CB"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18CE6F43"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428F1EC1"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079BA70C"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796439BE"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19</w:t>
            </w:r>
          </w:p>
        </w:tc>
      </w:tr>
    </w:tbl>
    <w:p w14:paraId="75807D36"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Несмотря на больший калибр, броне- пробиваемость английской пушки оказа</w:t>
      </w:r>
      <w:r w:rsidRPr="00070ADE">
        <w:rPr>
          <w:rFonts w:ascii="Times New Roman" w:hAnsi="Times New Roman" w:cs="Times New Roman"/>
          <w:color w:val="000000" w:themeColor="text1"/>
          <w:sz w:val="16"/>
          <w:szCs w:val="16"/>
        </w:rPr>
        <w:softHyphen/>
        <w:t>лась хуже отечественной пушки калибра 37 мм НС-37. С дистанции 300 м броне</w:t>
      </w:r>
      <w:r w:rsidRPr="00070ADE">
        <w:rPr>
          <w:rFonts w:ascii="Times New Roman" w:hAnsi="Times New Roman" w:cs="Times New Roman"/>
          <w:color w:val="000000" w:themeColor="text1"/>
          <w:sz w:val="16"/>
          <w:szCs w:val="16"/>
        </w:rPr>
        <w:softHyphen/>
        <w:t>бойный снаряд к пушке НС-37 пробивал при нормальном попадании до 48,3 мм гомогенной танковой брони, тогда как бронебойный снаряд к пушке Виккерс 5 - только 38-41 мм.</w:t>
      </w:r>
    </w:p>
    <w:p w14:paraId="5D507A00"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Советские истребители Як-9т и ЛаГГ- 3, хотя и имели несколько меньший вес се</w:t>
      </w:r>
      <w:r w:rsidRPr="00070ADE">
        <w:rPr>
          <w:rFonts w:ascii="Times New Roman" w:hAnsi="Times New Roman" w:cs="Times New Roman"/>
          <w:color w:val="000000" w:themeColor="text1"/>
          <w:sz w:val="16"/>
          <w:szCs w:val="16"/>
        </w:rPr>
        <w:softHyphen/>
        <w:t>кундного залпа, но заметно превосходили английский истребитель танков по летным данным.</w:t>
      </w:r>
    </w:p>
    <w:p w14:paraId="736535BA"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Наступательное стрелково-пушечное вооружение Ил-2 по сравнению с оружи</w:t>
      </w:r>
      <w:r w:rsidRPr="00070ADE">
        <w:rPr>
          <w:rFonts w:ascii="Times New Roman" w:hAnsi="Times New Roman" w:cs="Times New Roman"/>
          <w:color w:val="000000" w:themeColor="text1"/>
          <w:sz w:val="16"/>
          <w:szCs w:val="16"/>
        </w:rPr>
        <w:softHyphen/>
        <w:t>ем «Харрикейн» 1Ю имело почти в 1,5 раза больший вес секундного залпа. При этом боекомплект к пушкам у Ил-2 по времени непрерывной стрельбы был также больше. Если принять во внимание значительно лучшее бронирование самолета Ил-2, на</w:t>
      </w:r>
      <w:r w:rsidRPr="00070ADE">
        <w:rPr>
          <w:rFonts w:ascii="Times New Roman" w:hAnsi="Times New Roman" w:cs="Times New Roman"/>
          <w:color w:val="000000" w:themeColor="text1"/>
          <w:sz w:val="16"/>
          <w:szCs w:val="16"/>
        </w:rPr>
        <w:softHyphen/>
        <w:t>личие обороны задней полусферы и бом</w:t>
      </w:r>
      <w:r w:rsidRPr="00070ADE">
        <w:rPr>
          <w:rFonts w:ascii="Times New Roman" w:hAnsi="Times New Roman" w:cs="Times New Roman"/>
          <w:color w:val="000000" w:themeColor="text1"/>
          <w:sz w:val="16"/>
          <w:szCs w:val="16"/>
        </w:rPr>
        <w:softHyphen/>
        <w:t>бового вооружения, то преимущество его системы вооружения считались несомнен</w:t>
      </w:r>
      <w:r w:rsidRPr="00070ADE">
        <w:rPr>
          <w:rFonts w:ascii="Times New Roman" w:hAnsi="Times New Roman" w:cs="Times New Roman"/>
          <w:color w:val="000000" w:themeColor="text1"/>
          <w:sz w:val="16"/>
          <w:szCs w:val="16"/>
        </w:rPr>
        <w:softHyphen/>
        <w:t>ными.</w:t>
      </w:r>
    </w:p>
    <w:p w14:paraId="0CCB17B6"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Зато у «Харрикейна» было другое пре</w:t>
      </w:r>
      <w:r w:rsidRPr="00070ADE">
        <w:rPr>
          <w:rFonts w:ascii="Times New Roman" w:hAnsi="Times New Roman" w:cs="Times New Roman"/>
          <w:color w:val="000000" w:themeColor="text1"/>
          <w:sz w:val="16"/>
          <w:szCs w:val="16"/>
        </w:rPr>
        <w:softHyphen/>
        <w:t>имущество. Рассеивание нескольких оче</w:t>
      </w:r>
      <w:r w:rsidRPr="00070ADE">
        <w:rPr>
          <w:rFonts w:ascii="Times New Roman" w:hAnsi="Times New Roman" w:cs="Times New Roman"/>
          <w:color w:val="000000" w:themeColor="text1"/>
          <w:sz w:val="16"/>
          <w:szCs w:val="16"/>
        </w:rPr>
        <w:softHyphen/>
        <w:t>редей при стрельбе в воздухе из пушек по полотнищам, расположенным на земле, у самолета «Харрикейн» оказалось при</w:t>
      </w:r>
      <w:r w:rsidRPr="00070ADE">
        <w:rPr>
          <w:rFonts w:ascii="Times New Roman" w:hAnsi="Times New Roman" w:cs="Times New Roman"/>
          <w:color w:val="000000" w:themeColor="text1"/>
          <w:sz w:val="16"/>
          <w:szCs w:val="16"/>
        </w:rPr>
        <w:softHyphen/>
        <w:t>мерно в 2-2,5 раза меньше, чем у само</w:t>
      </w:r>
      <w:r w:rsidRPr="00070ADE">
        <w:rPr>
          <w:rFonts w:ascii="Times New Roman" w:hAnsi="Times New Roman" w:cs="Times New Roman"/>
          <w:color w:val="000000" w:themeColor="text1"/>
          <w:sz w:val="16"/>
          <w:szCs w:val="16"/>
        </w:rPr>
        <w:softHyphen/>
        <w:t>летов ЛаГГ-3 и Як-9т с пушкой НС-37, и в 6-6,5 раз меньше, чем у самолета Ил-2 с пушками НС-37. Смещение центров груп</w:t>
      </w:r>
      <w:r w:rsidRPr="00070ADE">
        <w:rPr>
          <w:rFonts w:ascii="Times New Roman" w:hAnsi="Times New Roman" w:cs="Times New Roman"/>
          <w:color w:val="000000" w:themeColor="text1"/>
          <w:sz w:val="16"/>
          <w:szCs w:val="16"/>
        </w:rPr>
        <w:softHyphen/>
        <w:t>пирования попаданий по отношению точки наводки прицела у самолета «Харрикейн» меньше, чем у Ил-2 с НС-37 примерно в 4-11 раз меньше.</w:t>
      </w:r>
    </w:p>
    <w:p w14:paraId="66594D66"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Рассеивание при стрельбе в воздухе из пушек у самолета «Харрикейн» 1Ю, по сравнению с рассеиванием при стрельбе на земле, возрастало в 10-18 раз, а у само</w:t>
      </w:r>
      <w:r w:rsidRPr="00070ADE">
        <w:rPr>
          <w:rFonts w:ascii="Times New Roman" w:hAnsi="Times New Roman" w:cs="Times New Roman"/>
          <w:color w:val="000000" w:themeColor="text1"/>
          <w:sz w:val="16"/>
          <w:szCs w:val="16"/>
        </w:rPr>
        <w:softHyphen/>
        <w:t>лета Ил-2 - в 30-100 раз. Следовательно, ведение прицельного огня в воздухе с самолета «Харрикейн» 1Ю «значительно удобнее и точнее, чем со сравниваемыми отечественными самолетами».к правому пулемету, который имел «не</w:t>
      </w:r>
      <w:r w:rsidRPr="00070ADE">
        <w:rPr>
          <w:rFonts w:ascii="Times New Roman" w:hAnsi="Times New Roman" w:cs="Times New Roman"/>
          <w:color w:val="000000" w:themeColor="text1"/>
          <w:sz w:val="16"/>
          <w:szCs w:val="16"/>
        </w:rPr>
        <w:softHyphen/>
        <w:t>устранимый дефект - тугой ход подвиж</w:t>
      </w:r>
      <w:r w:rsidRPr="00070ADE">
        <w:rPr>
          <w:rFonts w:ascii="Times New Roman" w:hAnsi="Times New Roman" w:cs="Times New Roman"/>
          <w:color w:val="000000" w:themeColor="text1"/>
          <w:sz w:val="16"/>
          <w:szCs w:val="16"/>
        </w:rPr>
        <w:softHyphen/>
        <w:t>ных частей, не зависящий от конструкции оружия».</w:t>
      </w:r>
    </w:p>
    <w:p w14:paraId="0AFB294F"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 вине пушечной установки задержек не было вовсе. Пневмосистема и электроп</w:t>
      </w:r>
      <w:r w:rsidRPr="00070ADE">
        <w:rPr>
          <w:rFonts w:ascii="Times New Roman" w:hAnsi="Times New Roman" w:cs="Times New Roman"/>
          <w:color w:val="000000" w:themeColor="text1"/>
          <w:sz w:val="16"/>
          <w:szCs w:val="16"/>
        </w:rPr>
        <w:softHyphen/>
        <w:t>невматическое управление вооружением работали надежно и безотказно.</w:t>
      </w:r>
    </w:p>
    <w:p w14:paraId="606C7AB6"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Имелись и недостатки. Пушки было трудно снаряжать - «стеснен подход к ру</w:t>
      </w:r>
      <w:r w:rsidRPr="00070ADE">
        <w:rPr>
          <w:rFonts w:ascii="Times New Roman" w:hAnsi="Times New Roman" w:cs="Times New Roman"/>
          <w:color w:val="000000" w:themeColor="text1"/>
          <w:sz w:val="16"/>
          <w:szCs w:val="16"/>
        </w:rPr>
        <w:softHyphen/>
        <w:t>коятке магазина при заряжании, особенно при зимней эксплуатации». Конструкция защелок, фиксирующих положение руко</w:t>
      </w:r>
      <w:r w:rsidRPr="00070ADE">
        <w:rPr>
          <w:rFonts w:ascii="Times New Roman" w:hAnsi="Times New Roman" w:cs="Times New Roman"/>
          <w:color w:val="000000" w:themeColor="text1"/>
          <w:sz w:val="16"/>
          <w:szCs w:val="16"/>
        </w:rPr>
        <w:softHyphen/>
        <w:t>ятки магазина, оказалась неудачной и не</w:t>
      </w:r>
      <w:r w:rsidRPr="00070ADE">
        <w:rPr>
          <w:rFonts w:ascii="Times New Roman" w:hAnsi="Times New Roman" w:cs="Times New Roman"/>
          <w:color w:val="000000" w:themeColor="text1"/>
          <w:sz w:val="16"/>
          <w:szCs w:val="16"/>
        </w:rPr>
        <w:softHyphen/>
        <w:t>прочной. Окно магазина пушки распола</w:t>
      </w:r>
      <w:r w:rsidRPr="00070ADE">
        <w:rPr>
          <w:rFonts w:ascii="Times New Roman" w:hAnsi="Times New Roman" w:cs="Times New Roman"/>
          <w:color w:val="000000" w:themeColor="text1"/>
          <w:sz w:val="16"/>
          <w:szCs w:val="16"/>
        </w:rPr>
        <w:softHyphen/>
        <w:t>галось крайне неудобно, что затрудняло работу при снаряжении магазина патро</w:t>
      </w:r>
      <w:r w:rsidRPr="00070ADE">
        <w:rPr>
          <w:rFonts w:ascii="Times New Roman" w:hAnsi="Times New Roman" w:cs="Times New Roman"/>
          <w:color w:val="000000" w:themeColor="text1"/>
          <w:sz w:val="16"/>
          <w:szCs w:val="16"/>
        </w:rPr>
        <w:softHyphen/>
        <w:t>нами. К тому же можно было повредить руки. Гильзоотводное окно имело разме</w:t>
      </w:r>
      <w:r w:rsidRPr="00070ADE">
        <w:rPr>
          <w:rFonts w:ascii="Times New Roman" w:hAnsi="Times New Roman" w:cs="Times New Roman"/>
          <w:color w:val="000000" w:themeColor="text1"/>
          <w:sz w:val="16"/>
          <w:szCs w:val="16"/>
        </w:rPr>
        <w:softHyphen/>
        <w:t>ры ровно под размер гильзы, поэтому для извлечения гильзы или снаряда из патрон</w:t>
      </w:r>
      <w:r w:rsidRPr="00070ADE">
        <w:rPr>
          <w:rFonts w:ascii="Times New Roman" w:hAnsi="Times New Roman" w:cs="Times New Roman"/>
          <w:color w:val="000000" w:themeColor="text1"/>
          <w:sz w:val="16"/>
          <w:szCs w:val="16"/>
        </w:rPr>
        <w:softHyphen/>
        <w:t>ника необходимо было производить не</w:t>
      </w:r>
      <w:r w:rsidRPr="00070ADE">
        <w:rPr>
          <w:rFonts w:ascii="Times New Roman" w:hAnsi="Times New Roman" w:cs="Times New Roman"/>
          <w:color w:val="000000" w:themeColor="text1"/>
          <w:sz w:val="16"/>
          <w:szCs w:val="16"/>
        </w:rPr>
        <w:softHyphen/>
        <w:t>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Как следствие, открывание и закрывание лючков становилось затруднительным. Обтекатели пушек оказались недостаточ</w:t>
      </w:r>
      <w:r w:rsidRPr="00070ADE">
        <w:rPr>
          <w:rFonts w:ascii="Times New Roman" w:hAnsi="Times New Roman" w:cs="Times New Roman"/>
          <w:color w:val="000000" w:themeColor="text1"/>
          <w:sz w:val="16"/>
          <w:szCs w:val="16"/>
        </w:rPr>
        <w:softHyphen/>
        <w:t>но жесткими и при резком выводе из пики</w:t>
      </w:r>
      <w:r w:rsidRPr="00070ADE">
        <w:rPr>
          <w:rFonts w:ascii="Times New Roman" w:hAnsi="Times New Roman" w:cs="Times New Roman"/>
          <w:color w:val="000000" w:themeColor="text1"/>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070ADE">
        <w:rPr>
          <w:rFonts w:ascii="Times New Roman" w:hAnsi="Times New Roman" w:cs="Times New Roman"/>
          <w:color w:val="000000" w:themeColor="text1"/>
          <w:sz w:val="16"/>
          <w:szCs w:val="16"/>
        </w:rPr>
        <w:softHyphen/>
        <w:t>мировались.</w:t>
      </w:r>
    </w:p>
    <w:p w14:paraId="3CAC8F1B"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Сравнение летно-боевых качеств «Харрикейн» 1Ю с советскими истребите</w:t>
      </w:r>
      <w:r w:rsidRPr="00070ADE">
        <w:rPr>
          <w:rFonts w:ascii="Times New Roman" w:hAnsi="Times New Roman" w:cs="Times New Roman"/>
          <w:color w:val="000000" w:themeColor="text1"/>
          <w:sz w:val="16"/>
          <w:szCs w:val="16"/>
        </w:rPr>
        <w:softHyphen/>
        <w:t>лями Як-9т, ЛаГГ-3 и штурмовиком Ил-2, вооруженных пушками калибра 37 мм НС- 37, оказалось не в пользу «англичанина».</w:t>
      </w:r>
    </w:p>
    <w:p w14:paraId="42FAC35E"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Отмечалось, что «пушка Виккерс 3 калибра 40 мм по темпу стрельбы и на</w:t>
      </w:r>
      <w:r w:rsidRPr="00070ADE">
        <w:rPr>
          <w:rFonts w:ascii="Times New Roman" w:hAnsi="Times New Roman" w:cs="Times New Roman"/>
          <w:color w:val="000000" w:themeColor="text1"/>
          <w:sz w:val="16"/>
          <w:szCs w:val="16"/>
        </w:rPr>
        <w:softHyphen/>
        <w:t>чальной скорости снаряда стоит ниже современных систем авиационных авто</w:t>
      </w:r>
      <w:r w:rsidRPr="00070ADE">
        <w:rPr>
          <w:rFonts w:ascii="Times New Roman" w:hAnsi="Times New Roman" w:cs="Times New Roman"/>
          <w:color w:val="000000" w:themeColor="text1"/>
          <w:sz w:val="16"/>
          <w:szCs w:val="16"/>
        </w:rPr>
        <w:softHyphen/>
        <w:t>матических пушек и значительно ниже от</w:t>
      </w:r>
      <w:r w:rsidRPr="00070ADE">
        <w:rPr>
          <w:rFonts w:ascii="Times New Roman" w:hAnsi="Times New Roman" w:cs="Times New Roman"/>
          <w:color w:val="000000" w:themeColor="text1"/>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070ADE">
        <w:rPr>
          <w:rFonts w:ascii="Times New Roman" w:hAnsi="Times New Roman" w:cs="Times New Roman"/>
          <w:color w:val="000000" w:themeColor="text1"/>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p w14:paraId="2925CEB5" w14:textId="77777777" w:rsidR="00903E13" w:rsidRPr="00070ADE" w:rsidRDefault="00903E13" w:rsidP="00B56F90">
      <w:pPr>
        <w:pStyle w:val="aff2"/>
        <w:shd w:val="clear" w:color="auto" w:fill="auto"/>
        <w:spacing w:line="240" w:lineRule="auto"/>
        <w:rPr>
          <w:rFonts w:ascii="Times New Roman" w:hAnsi="Times New Roman" w:cs="Times New Roman"/>
          <w:i w:val="0"/>
          <w:color w:val="000000" w:themeColor="text1"/>
          <w:sz w:val="16"/>
          <w:szCs w:val="16"/>
          <w:lang w:val="ru-RU"/>
        </w:rPr>
      </w:pPr>
      <w:r w:rsidRPr="00070ADE">
        <w:rPr>
          <w:rFonts w:ascii="Times New Roman" w:hAnsi="Times New Roman" w:cs="Times New Roman"/>
          <w:i w:val="0"/>
          <w:color w:val="000000" w:themeColor="text1"/>
          <w:sz w:val="16"/>
          <w:szCs w:val="16"/>
          <w:lang w:val="ru-RU"/>
        </w:rPr>
        <w:t>Деформация обтекателей правой и левой пушек после пикирования и резкого вывода 19.12.43 (старший лейтенант Поминальный)</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CB5308" w:rsidRPr="00070ADE" w14:paraId="40C4FB2E"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2A77BC43"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E7E2D42"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599B0B6D"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2C123542"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5191E497"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64FB56DC"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1940263E"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4D07D6B7"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20</w:t>
            </w:r>
          </w:p>
        </w:tc>
      </w:tr>
      <w:tr w:rsidR="00CB5308" w:rsidRPr="00070ADE" w14:paraId="493E0386"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5FE4DF3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6A550498"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5A9E2877"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008330A1"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3ED4A55"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0149816A"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7BF678F9"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398BF4E0"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МП-20</w:t>
            </w:r>
          </w:p>
        </w:tc>
      </w:tr>
      <w:tr w:rsidR="00CB5308" w:rsidRPr="00070ADE" w14:paraId="3B387065" w14:textId="77777777" w:rsidTr="00903E13">
        <w:trPr>
          <w:trHeight w:val="595"/>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6B1A16D3"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62EA931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5C1AA01E"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047D7DE9"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5D541368"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7D796CB8"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364CDD49"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3DD1F889"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19</w:t>
            </w:r>
          </w:p>
        </w:tc>
      </w:tr>
    </w:tbl>
    <w:p w14:paraId="7F3C973F"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 результатам испытаний самолета «Харрикейн» 1Ю и его вооружения управ</w:t>
      </w:r>
      <w:r w:rsidRPr="00070ADE">
        <w:rPr>
          <w:rFonts w:ascii="Times New Roman" w:hAnsi="Times New Roman" w:cs="Times New Roman"/>
          <w:color w:val="000000" w:themeColor="text1"/>
          <w:sz w:val="16"/>
          <w:szCs w:val="16"/>
        </w:rPr>
        <w:softHyphen/>
        <w:t>ление технической эксплуатации ВВС КА в марте 1944 г. специальным информа</w:t>
      </w:r>
      <w:r w:rsidRPr="00070ADE">
        <w:rPr>
          <w:rFonts w:ascii="Times New Roman" w:hAnsi="Times New Roman" w:cs="Times New Roman"/>
          <w:color w:val="000000" w:themeColor="text1"/>
          <w:sz w:val="16"/>
          <w:szCs w:val="16"/>
        </w:rPr>
        <w:softHyphen/>
        <w:t>ционным письмом довело до сведения летного и технического состава строевых полков ВВС КА особенности техники пи-</w:t>
      </w:r>
    </w:p>
    <w:p w14:paraId="528353CE"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лотирования самолета и его основные летные данные. Указывалось, что по тех</w:t>
      </w:r>
      <w:r w:rsidRPr="00070ADE">
        <w:rPr>
          <w:rFonts w:ascii="Times New Roman" w:hAnsi="Times New Roman" w:cs="Times New Roman"/>
          <w:color w:val="000000" w:themeColor="text1"/>
          <w:sz w:val="16"/>
          <w:szCs w:val="16"/>
        </w:rPr>
        <w:softHyphen/>
        <w:t>нике пилотирования самолет «Харрикейн» 1Ю не отличается от «Харрикейна» ПС. Дальность и продолжительность полета «Харрикейна» 1Ю и Харрикейна» ПС прак</w:t>
      </w:r>
      <w:r w:rsidRPr="00070ADE">
        <w:rPr>
          <w:rFonts w:ascii="Times New Roman" w:hAnsi="Times New Roman" w:cs="Times New Roman"/>
          <w:color w:val="000000" w:themeColor="text1"/>
          <w:sz w:val="16"/>
          <w:szCs w:val="16"/>
        </w:rPr>
        <w:softHyphen/>
        <w:t>тически равны. В связи с появлением тря</w:t>
      </w:r>
      <w:r w:rsidRPr="00070ADE">
        <w:rPr>
          <w:rFonts w:ascii="Times New Roman" w:hAnsi="Times New Roman" w:cs="Times New Roman"/>
          <w:color w:val="000000" w:themeColor="text1"/>
          <w:sz w:val="16"/>
          <w:szCs w:val="16"/>
        </w:rPr>
        <w:softHyphen/>
        <w:t>ски при скорости порядка 380-385 миль/ч (610-620 км/ч) скорость пикирования са</w:t>
      </w:r>
      <w:r w:rsidRPr="00070ADE">
        <w:rPr>
          <w:rFonts w:ascii="Times New Roman" w:hAnsi="Times New Roman" w:cs="Times New Roman"/>
          <w:color w:val="000000" w:themeColor="text1"/>
          <w:sz w:val="16"/>
          <w:szCs w:val="16"/>
        </w:rPr>
        <w:softHyphen/>
        <w:t>молета «Харрикейн» НО ограничивалась 375 миль/ч (600 км/ч).</w:t>
      </w:r>
    </w:p>
    <w:p w14:paraId="1332F2DC"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17 мая 1944 г. заместитель начальни</w:t>
      </w:r>
      <w:r w:rsidRPr="00070ADE">
        <w:rPr>
          <w:rFonts w:ascii="Times New Roman" w:hAnsi="Times New Roman" w:cs="Times New Roman"/>
          <w:color w:val="000000" w:themeColor="text1"/>
          <w:sz w:val="16"/>
          <w:szCs w:val="16"/>
        </w:rPr>
        <w:softHyphen/>
        <w:t>ка оперативного управления ВВС КА ге- нерал-майор А.П. Некрасов направил на</w:t>
      </w:r>
      <w:r w:rsidRPr="00070ADE">
        <w:rPr>
          <w:rFonts w:ascii="Times New Roman" w:hAnsi="Times New Roman" w:cs="Times New Roman"/>
          <w:color w:val="000000" w:themeColor="text1"/>
          <w:sz w:val="16"/>
          <w:szCs w:val="16"/>
        </w:rPr>
        <w:softHyphen/>
        <w:t>чальнику штаба ВВС генерал-полковнику С.А. Худякову заключение о боевых воз</w:t>
      </w:r>
      <w:r w:rsidRPr="00070ADE">
        <w:rPr>
          <w:rFonts w:ascii="Times New Roman" w:hAnsi="Times New Roman" w:cs="Times New Roman"/>
          <w:color w:val="000000" w:themeColor="text1"/>
          <w:sz w:val="16"/>
          <w:szCs w:val="16"/>
        </w:rPr>
        <w:softHyphen/>
        <w:t>можностях самолета «Харрикейн» !Ю.</w:t>
      </w:r>
    </w:p>
    <w:p w14:paraId="249BA06A"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документе констатировалось, что «вследствие слабого могущества выстре</w:t>
      </w:r>
      <w:r w:rsidRPr="00070ADE">
        <w:rPr>
          <w:rFonts w:ascii="Times New Roman" w:hAnsi="Times New Roman" w:cs="Times New Roman"/>
          <w:color w:val="000000" w:themeColor="text1"/>
          <w:sz w:val="16"/>
          <w:szCs w:val="16"/>
        </w:rPr>
        <w:softHyphen/>
        <w:t>ла стрелково-пушечного оружия, отсут</w:t>
      </w:r>
      <w:r w:rsidRPr="00070ADE">
        <w:rPr>
          <w:rFonts w:ascii="Times New Roman" w:hAnsi="Times New Roman" w:cs="Times New Roman"/>
          <w:color w:val="000000" w:themeColor="text1"/>
          <w:sz w:val="16"/>
          <w:szCs w:val="16"/>
        </w:rPr>
        <w:softHyphen/>
        <w:t>ствия бомбардировочного вооружения и недостаточного бронирования, самолет «Харрикейн» 1Ю не может быть эффек</w:t>
      </w:r>
      <w:r w:rsidRPr="00070ADE">
        <w:rPr>
          <w:rFonts w:ascii="Times New Roman" w:hAnsi="Times New Roman" w:cs="Times New Roman"/>
          <w:color w:val="000000" w:themeColor="text1"/>
          <w:sz w:val="16"/>
          <w:szCs w:val="16"/>
        </w:rPr>
        <w:softHyphen/>
        <w:t>тивно использован, как истребитель тан</w:t>
      </w:r>
      <w:r w:rsidRPr="00070ADE">
        <w:rPr>
          <w:rFonts w:ascii="Times New Roman" w:hAnsi="Times New Roman" w:cs="Times New Roman"/>
          <w:color w:val="000000" w:themeColor="text1"/>
          <w:sz w:val="16"/>
          <w:szCs w:val="16"/>
        </w:rPr>
        <w:softHyphen/>
        <w:t>ков или штурмовик». Боеприпасы пушек НС-37 калибра 37 мм и ВЯ калибра 23 мм, состоящие из осколочно-зажигательных и бронебойно-зажигательных снарядов, имеют больший разрушающий эффект у цели по сравнению с боеприпасами к пуш</w:t>
      </w:r>
      <w:r w:rsidRPr="00070ADE">
        <w:rPr>
          <w:rFonts w:ascii="Times New Roman" w:hAnsi="Times New Roman" w:cs="Times New Roman"/>
          <w:color w:val="000000" w:themeColor="text1"/>
          <w:sz w:val="16"/>
          <w:szCs w:val="16"/>
        </w:rPr>
        <w:softHyphen/>
        <w:t>ке Виккерс 5, а бронебойный снаряд пушки НС-37 обладает к тому же еще и большей бронепробиваемостью.</w:t>
      </w:r>
    </w:p>
    <w:p w14:paraId="0165C8B8"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 xml:space="preserve">Внимание руководства обращалось на ненормальную ситуацию со снабжением ВВС КА снарядами к пушкам Виккерс 5. По этому поводу в докладе указывалось: </w:t>
      </w:r>
      <w:r w:rsidRPr="00070ADE">
        <w:rPr>
          <w:rStyle w:val="aff7"/>
          <w:rFonts w:ascii="Times New Roman" w:hAnsi="Times New Roman" w:cs="Times New Roman"/>
          <w:i w:val="0"/>
          <w:color w:val="000000" w:themeColor="text1"/>
        </w:rPr>
        <w:t>«Получаемые нами бронебойные снаряды от англичан, являются недозаряженны- ми (нет взрывчатого вещества и донного взрывателя), вследствие чего баллистиче</w:t>
      </w:r>
      <w:r w:rsidRPr="00070ADE">
        <w:rPr>
          <w:rStyle w:val="aff7"/>
          <w:rFonts w:ascii="Times New Roman" w:hAnsi="Times New Roman" w:cs="Times New Roman"/>
          <w:i w:val="0"/>
          <w:color w:val="000000" w:themeColor="text1"/>
        </w:rPr>
        <w:softHyphen/>
        <w:t>ские характеристики снарядов плохие и не отвечают тактико-техническим требовани</w:t>
      </w:r>
      <w:r w:rsidRPr="00070ADE">
        <w:rPr>
          <w:rStyle w:val="aff7"/>
          <w:rFonts w:ascii="Times New Roman" w:hAnsi="Times New Roman" w:cs="Times New Roman"/>
          <w:i w:val="0"/>
          <w:color w:val="000000" w:themeColor="text1"/>
        </w:rPr>
        <w:softHyphen/>
        <w:t>ям к боеприпасам воздушного боя. Такой тип снаряда не в состоянии пробить броню среднего танка в 45 мм на дистанции 300 м под углом встречи к нормали 30°, а бронь толщиной меньше, чем 30 мм, или пла</w:t>
      </w:r>
      <w:r w:rsidRPr="00070ADE">
        <w:rPr>
          <w:rStyle w:val="aff7"/>
          <w:rFonts w:ascii="Times New Roman" w:hAnsi="Times New Roman" w:cs="Times New Roman"/>
          <w:i w:val="0"/>
          <w:color w:val="000000" w:themeColor="text1"/>
        </w:rPr>
        <w:softHyphen/>
        <w:t>нер самолета, он способен пробить, но не разрушить, так как снаряд не имеет ни за</w:t>
      </w:r>
      <w:r w:rsidRPr="00070ADE">
        <w:rPr>
          <w:rStyle w:val="aff7"/>
          <w:rFonts w:ascii="Times New Roman" w:hAnsi="Times New Roman" w:cs="Times New Roman"/>
          <w:i w:val="0"/>
          <w:color w:val="000000" w:themeColor="text1"/>
        </w:rPr>
        <w:softHyphen/>
        <w:t>жигательного, ни фугасного снаряжения. Поэтому такие снаряды могут быть исполь</w:t>
      </w:r>
      <w:r w:rsidRPr="00070ADE">
        <w:rPr>
          <w:rStyle w:val="aff7"/>
          <w:rFonts w:ascii="Times New Roman" w:hAnsi="Times New Roman" w:cs="Times New Roman"/>
          <w:i w:val="0"/>
          <w:color w:val="000000" w:themeColor="text1"/>
        </w:rPr>
        <w:softHyphen/>
        <w:t>зованы для учебных целей или каклафето- пробные. Для поражения самолетов в воз</w:t>
      </w:r>
      <w:r w:rsidRPr="00070ADE">
        <w:rPr>
          <w:rStyle w:val="aff7"/>
          <w:rFonts w:ascii="Times New Roman" w:hAnsi="Times New Roman" w:cs="Times New Roman"/>
          <w:i w:val="0"/>
          <w:color w:val="000000" w:themeColor="text1"/>
        </w:rPr>
        <w:softHyphen/>
        <w:t>духе нужны снаряды осколочно-фугасного действия».</w:t>
      </w:r>
    </w:p>
    <w:p w14:paraId="38D1F5E3"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lastRenderedPageBreak/>
        <w:t>При сопоставимых летных данных у земли основной ударный самолет ВВС КА штурмовик Ил-2 имел значительно более сильное бронирование, бомбардировоч</w:t>
      </w:r>
      <w:r w:rsidRPr="00070ADE">
        <w:rPr>
          <w:rFonts w:ascii="Times New Roman" w:hAnsi="Times New Roman" w:cs="Times New Roman"/>
          <w:color w:val="000000" w:themeColor="text1"/>
          <w:sz w:val="16"/>
          <w:szCs w:val="16"/>
        </w:rPr>
        <w:softHyphen/>
        <w:t>ное вооружение и воздушного стрелка для защиты от атак истребителей против</w:t>
      </w:r>
      <w:r w:rsidRPr="00070ADE">
        <w:rPr>
          <w:rFonts w:ascii="Times New Roman" w:hAnsi="Times New Roman" w:cs="Times New Roman"/>
          <w:color w:val="000000" w:themeColor="text1"/>
          <w:sz w:val="16"/>
          <w:szCs w:val="16"/>
        </w:rPr>
        <w:softHyphen/>
        <w:t>ника со стороны задней полусферы. По этим причинам боевые качества Ил-2 оценивались специалистами оператив</w:t>
      </w:r>
      <w:r w:rsidRPr="00070ADE">
        <w:rPr>
          <w:rFonts w:ascii="Times New Roman" w:hAnsi="Times New Roman" w:cs="Times New Roman"/>
          <w:color w:val="000000" w:themeColor="text1"/>
          <w:sz w:val="16"/>
          <w:szCs w:val="16"/>
        </w:rPr>
        <w:softHyphen/>
        <w:t>ного управления значительно выше, чем «Харрикейна»1Ю.</w:t>
      </w:r>
    </w:p>
    <w:p w14:paraId="69D2E466"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На основании этого делался вывод, что «самолет «Харрикейн» НО в качестве штурмовика применять нецелесообразно, вследствие слабого могущества выстре</w:t>
      </w:r>
      <w:r w:rsidRPr="00070ADE">
        <w:rPr>
          <w:rFonts w:ascii="Times New Roman" w:hAnsi="Times New Roman" w:cs="Times New Roman"/>
          <w:color w:val="000000" w:themeColor="text1"/>
          <w:sz w:val="16"/>
          <w:szCs w:val="16"/>
        </w:rPr>
        <w:softHyphen/>
        <w:t>ла стрелково-пушечного вооружения, от</w:t>
      </w:r>
      <w:r w:rsidRPr="00070ADE">
        <w:rPr>
          <w:rFonts w:ascii="Times New Roman" w:hAnsi="Times New Roman" w:cs="Times New Roman"/>
          <w:color w:val="000000" w:themeColor="text1"/>
          <w:sz w:val="16"/>
          <w:szCs w:val="16"/>
        </w:rPr>
        <w:softHyphen/>
        <w:t>сутствия бомбардировочного вооружения и слабого бронирования». Истребитель предлагалось использовать в системе ПВО страны в качестве истребителя-перехват- чика, но при условии использования бое</w:t>
      </w:r>
      <w:r w:rsidRPr="00070ADE">
        <w:rPr>
          <w:rFonts w:ascii="Times New Roman" w:hAnsi="Times New Roman" w:cs="Times New Roman"/>
          <w:color w:val="000000" w:themeColor="text1"/>
          <w:sz w:val="16"/>
          <w:szCs w:val="16"/>
        </w:rPr>
        <w:softHyphen/>
        <w:t>припасов «осколочно-трассирующего или осколочно-зажигательного снаряжения».</w:t>
      </w:r>
    </w:p>
    <w:p w14:paraId="5A9107AD"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Известна резолюция генерала Худяко</w:t>
      </w:r>
      <w:r w:rsidRPr="00070ADE">
        <w:rPr>
          <w:rStyle w:val="2f1"/>
          <w:rFonts w:ascii="Times New Roman" w:hAnsi="Times New Roman" w:cs="Times New Roman"/>
          <w:i w:val="0"/>
          <w:color w:val="000000" w:themeColor="text1"/>
          <w:sz w:val="16"/>
          <w:szCs w:val="16"/>
        </w:rPr>
        <w:t>ва, которую тот наложил на документ:</w:t>
      </w:r>
      <w:r w:rsidRPr="00070ADE">
        <w:rPr>
          <w:rFonts w:ascii="Times New Roman" w:hAnsi="Times New Roman"/>
          <w:color w:val="000000" w:themeColor="text1"/>
          <w:sz w:val="16"/>
          <w:szCs w:val="16"/>
        </w:rPr>
        <w:t xml:space="preserve"> «ОУ. Подготовить справку такого же содержа</w:t>
      </w:r>
      <w:r w:rsidRPr="00070ADE">
        <w:rPr>
          <w:rFonts w:ascii="Times New Roman" w:hAnsi="Times New Roman"/>
          <w:color w:val="000000" w:themeColor="text1"/>
          <w:sz w:val="16"/>
          <w:szCs w:val="16"/>
        </w:rPr>
        <w:softHyphen/>
        <w:t>ния главному инженеру ВВС за моей под</w:t>
      </w:r>
      <w:r w:rsidRPr="00070ADE">
        <w:rPr>
          <w:rFonts w:ascii="Times New Roman" w:hAnsi="Times New Roman"/>
          <w:color w:val="000000" w:themeColor="text1"/>
          <w:sz w:val="16"/>
          <w:szCs w:val="16"/>
        </w:rPr>
        <w:softHyphen/>
        <w:t>писью».</w:t>
      </w:r>
      <w:r w:rsidRPr="00070ADE">
        <w:rPr>
          <w:rStyle w:val="2f1"/>
          <w:rFonts w:ascii="Times New Roman" w:hAnsi="Times New Roman" w:cs="Times New Roman"/>
          <w:i w:val="0"/>
          <w:color w:val="000000" w:themeColor="text1"/>
          <w:sz w:val="16"/>
          <w:szCs w:val="16"/>
        </w:rPr>
        <w:t xml:space="preserve"> Уже 23 мая справка ушла в аппарат генерала Репина.</w:t>
      </w:r>
    </w:p>
    <w:p w14:paraId="08E063E6"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Пока «Харрикейны» 1Ю зав. №№ КХ-171 и КХ-305 испытывались и принималось ре</w:t>
      </w:r>
      <w:r w:rsidRPr="00070ADE">
        <w:rPr>
          <w:rFonts w:ascii="Times New Roman" w:hAnsi="Times New Roman" w:cs="Times New Roman"/>
          <w:color w:val="000000" w:themeColor="text1"/>
          <w:sz w:val="16"/>
          <w:szCs w:val="16"/>
        </w:rPr>
        <w:softHyphen/>
        <w:t>шение о целесообразности применения самолетов этого типа в ВВС КА, личный состав 246-го иап начиная с октября 1943 г. прошел полный курс переучивания на английский противотанковый истребитель в 25-м запасном истребительном авиапол</w:t>
      </w:r>
      <w:r w:rsidRPr="00070ADE">
        <w:rPr>
          <w:rFonts w:ascii="Times New Roman" w:hAnsi="Times New Roman" w:cs="Times New Roman"/>
          <w:color w:val="000000" w:themeColor="text1"/>
          <w:sz w:val="16"/>
          <w:szCs w:val="16"/>
        </w:rPr>
        <w:softHyphen/>
        <w:t>ку ВВС Закавказского военного округа (г. Аджи-Кабул) (12735).</w:t>
      </w:r>
    </w:p>
    <w:p w14:paraId="23651F2F"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p>
    <w:p w14:paraId="796A237D"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11 января 1944 г. главный инженер ВВС КА генерал-полковник А. К. Репин утвердил Акт по испытаниям (все</w:t>
      </w:r>
      <w:r w:rsidRPr="00070ADE">
        <w:rPr>
          <w:color w:val="000000" w:themeColor="text1"/>
          <w:sz w:val="16"/>
          <w:szCs w:val="16"/>
        </w:rPr>
        <w:softHyphen/>
        <w:t>сторонние исследования летно-боевых качеств и вооружения) 2 самолетов «Хар</w:t>
      </w:r>
      <w:r w:rsidRPr="00070ADE">
        <w:rPr>
          <w:color w:val="000000" w:themeColor="text1"/>
          <w:sz w:val="16"/>
          <w:szCs w:val="16"/>
        </w:rPr>
        <w:softHyphen/>
        <w:t xml:space="preserve">рикейн» </w:t>
      </w:r>
      <w:r w:rsidRPr="00070ADE">
        <w:rPr>
          <w:color w:val="000000" w:themeColor="text1"/>
          <w:sz w:val="16"/>
          <w:szCs w:val="16"/>
          <w:lang w:val="en-US"/>
        </w:rPr>
        <w:t>IID</w:t>
      </w:r>
      <w:r w:rsidRPr="00070ADE">
        <w:rPr>
          <w:color w:val="000000" w:themeColor="text1"/>
          <w:sz w:val="16"/>
          <w:szCs w:val="16"/>
        </w:rPr>
        <w:t xml:space="preserve"> зав. № КХ-171 и № КХ-305, которые шли с 13 ноября 1944 по 23 декабря 1944. </w:t>
      </w:r>
    </w:p>
    <w:p w14:paraId="77E0754F"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Машины поступили в НИИ ВВС 26 августа 1943 г. и затем в НИИ АВ ВВС. Испытания были на</w:t>
      </w:r>
      <w:r w:rsidRPr="00070ADE">
        <w:rPr>
          <w:color w:val="000000" w:themeColor="text1"/>
          <w:sz w:val="16"/>
          <w:szCs w:val="16"/>
        </w:rPr>
        <w:softHyphen/>
        <w:t>чаты с опозданием из-за задерж</w:t>
      </w:r>
      <w:r w:rsidRPr="00070ADE">
        <w:rPr>
          <w:color w:val="000000" w:themeColor="text1"/>
          <w:sz w:val="16"/>
          <w:szCs w:val="16"/>
        </w:rPr>
        <w:softHyphen/>
        <w:t>ки правых пушек и боезапаса.</w:t>
      </w:r>
    </w:p>
    <w:p w14:paraId="79013E1F"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По завершении полетов в НИИ ВВС самолет зав. № КХ-305 в феврале 1944 г. поступил в НИИ АВ ВВС для производства контрольных испытаний вооружения. Отчет по испытаниям утвержден на</w:t>
      </w:r>
      <w:r w:rsidRPr="00070ADE">
        <w:rPr>
          <w:color w:val="000000" w:themeColor="text1"/>
          <w:sz w:val="16"/>
          <w:szCs w:val="16"/>
        </w:rPr>
        <w:softHyphen/>
        <w:t>чальником НИИ АВ генерал-майором М. В. Гуреви- чем 17 марта.</w:t>
      </w:r>
    </w:p>
    <w:p w14:paraId="3FB93727" w14:textId="77777777" w:rsidR="008F6356" w:rsidRPr="00070ADE" w:rsidRDefault="008F635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в НИИ ВВС проводились объединен</w:t>
      </w:r>
      <w:r w:rsidRPr="00070ADE">
        <w:rPr>
          <w:rFonts w:ascii="Times New Roman" w:hAnsi="Times New Roman"/>
          <w:color w:val="000000" w:themeColor="text1"/>
          <w:sz w:val="16"/>
          <w:szCs w:val="16"/>
        </w:rPr>
        <w:softHyphen/>
        <w:t>ной бригадой специалистов 3-го и 4-го отделов ин</w:t>
      </w:r>
      <w:r w:rsidRPr="00070ADE">
        <w:rPr>
          <w:rFonts w:ascii="Times New Roman" w:hAnsi="Times New Roman"/>
          <w:color w:val="000000" w:themeColor="text1"/>
          <w:sz w:val="16"/>
          <w:szCs w:val="16"/>
        </w:rPr>
        <w:softHyphen/>
        <w:t>ститута. Ведущим инженером по испытаниям был назначен инженер-капитан Рабкин (3-й отдел), его помощником — инженер-капитан Колосов (4-й от</w:t>
      </w:r>
      <w:r w:rsidRPr="00070ADE">
        <w:rPr>
          <w:rFonts w:ascii="Times New Roman" w:hAnsi="Times New Roman"/>
          <w:color w:val="000000" w:themeColor="text1"/>
          <w:sz w:val="16"/>
          <w:szCs w:val="16"/>
        </w:rPr>
        <w:softHyphen/>
        <w:t>дел). На самолетах летали: летчик-испытатель 3-го отдела майор Голофастов и летчик-испытатель 4-го отдела старший лейтенант Поминальный.</w:t>
      </w:r>
    </w:p>
    <w:p w14:paraId="3F85B1CE"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НИИ АВ к испытаниям при</w:t>
      </w:r>
      <w:r w:rsidRPr="00070ADE">
        <w:rPr>
          <w:color w:val="000000" w:themeColor="text1"/>
          <w:sz w:val="16"/>
          <w:szCs w:val="16"/>
        </w:rPr>
        <w:softHyphen/>
        <w:t>влекались специалисты 7-го отдела института: майор В. С. Полубиченко — ответственный по испыта</w:t>
      </w:r>
      <w:r w:rsidRPr="00070ADE">
        <w:rPr>
          <w:color w:val="000000" w:themeColor="text1"/>
          <w:sz w:val="16"/>
          <w:szCs w:val="16"/>
        </w:rPr>
        <w:softHyphen/>
        <w:t>ниям, старший техник-лейтенант Ф. Ф. Сивцов, летчик-испытатель капитан А.В. Кусакин и механик по вооружению старший сержант Ф. Я. Анохин.</w:t>
      </w:r>
    </w:p>
    <w:p w14:paraId="0702EF20"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Всего в НИИ ВВС было выпол</w:t>
      </w:r>
      <w:r w:rsidRPr="00070ADE">
        <w:rPr>
          <w:color w:val="000000" w:themeColor="text1"/>
          <w:sz w:val="16"/>
          <w:szCs w:val="16"/>
        </w:rPr>
        <w:softHyphen/>
        <w:t>нено 27 полетов с суммарным на</w:t>
      </w:r>
      <w:r w:rsidRPr="00070ADE">
        <w:rPr>
          <w:color w:val="000000" w:themeColor="text1"/>
          <w:sz w:val="16"/>
          <w:szCs w:val="16"/>
        </w:rPr>
        <w:softHyphen/>
        <w:t>летом 18 ч 40 мин, в том числе на самолете зав. № КХ-305 — 16 по</w:t>
      </w:r>
      <w:r w:rsidRPr="00070ADE">
        <w:rPr>
          <w:color w:val="000000" w:themeColor="text1"/>
          <w:sz w:val="16"/>
          <w:szCs w:val="16"/>
        </w:rPr>
        <w:softHyphen/>
        <w:t>летов (12 ч 10 мин), на самолете зав. № КХ-171 — 11 полетов (6 ч 30 мин).</w:t>
      </w:r>
    </w:p>
    <w:p w14:paraId="169C5673"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НИИ АВ ВВС на самолете зав. № КХ-305 выполнили еще 9 кон</w:t>
      </w:r>
      <w:r w:rsidRPr="00070ADE">
        <w:rPr>
          <w:color w:val="000000" w:themeColor="text1"/>
          <w:sz w:val="16"/>
          <w:szCs w:val="16"/>
        </w:rPr>
        <w:softHyphen/>
        <w:t>трольных полетов на отстрел во</w:t>
      </w:r>
      <w:r w:rsidRPr="00070ADE">
        <w:rPr>
          <w:color w:val="000000" w:themeColor="text1"/>
          <w:sz w:val="16"/>
          <w:szCs w:val="16"/>
        </w:rPr>
        <w:softHyphen/>
        <w:t>оружения в воздухе по воздушным и наземным целям.</w:t>
      </w:r>
    </w:p>
    <w:p w14:paraId="06AD399F"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 xml:space="preserve">Штурмовой вариант самолета «Харрикейн» </w:t>
      </w:r>
      <w:r w:rsidRPr="00070ADE">
        <w:rPr>
          <w:color w:val="000000" w:themeColor="text1"/>
          <w:sz w:val="16"/>
          <w:szCs w:val="16"/>
          <w:lang w:val="en-US"/>
        </w:rPr>
        <w:t>IID</w:t>
      </w:r>
      <w:r w:rsidRPr="00070ADE">
        <w:rPr>
          <w:color w:val="000000" w:themeColor="text1"/>
          <w:sz w:val="16"/>
          <w:szCs w:val="16"/>
        </w:rPr>
        <w:t xml:space="preserve"> представлял собой серийный самолет «Харрикейн» </w:t>
      </w:r>
      <w:r w:rsidRPr="00070ADE">
        <w:rPr>
          <w:color w:val="000000" w:themeColor="text1"/>
          <w:sz w:val="16"/>
          <w:szCs w:val="16"/>
          <w:lang w:val="en-US"/>
        </w:rPr>
        <w:t>IIC</w:t>
      </w:r>
      <w:r w:rsidRPr="00070ADE">
        <w:rPr>
          <w:color w:val="000000" w:themeColor="text1"/>
          <w:sz w:val="16"/>
          <w:szCs w:val="16"/>
        </w:rPr>
        <w:t xml:space="preserve"> с усиленным бронированием и до</w:t>
      </w:r>
      <w:r w:rsidRPr="00070ADE">
        <w:rPr>
          <w:color w:val="000000" w:themeColor="text1"/>
          <w:sz w:val="16"/>
          <w:szCs w:val="16"/>
        </w:rPr>
        <w:softHyphen/>
        <w:t>работанный под установку крупно</w:t>
      </w:r>
      <w:r w:rsidRPr="00070ADE">
        <w:rPr>
          <w:color w:val="000000" w:themeColor="text1"/>
          <w:sz w:val="16"/>
          <w:szCs w:val="16"/>
        </w:rPr>
        <w:softHyphen/>
        <w:t>калиберных пушек.</w:t>
      </w:r>
    </w:p>
    <w:p w14:paraId="3E8832F2"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Броней на самолете защища</w:t>
      </w:r>
      <w:r w:rsidRPr="00070ADE">
        <w:rPr>
          <w:color w:val="000000" w:themeColor="text1"/>
          <w:sz w:val="16"/>
          <w:szCs w:val="16"/>
        </w:rPr>
        <w:softHyphen/>
        <w:t>лись: летчик, мотор, водо- и масло- радиаторы. Общий вес брони достигал 185 кг.</w:t>
      </w:r>
    </w:p>
    <w:p w14:paraId="0A1751DF"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 xml:space="preserve">Под крылом </w:t>
      </w:r>
      <w:r w:rsidRPr="00070ADE">
        <w:rPr>
          <w:color w:val="000000" w:themeColor="text1"/>
          <w:sz w:val="16"/>
          <w:szCs w:val="16"/>
          <w:lang w:val="en-US"/>
        </w:rPr>
        <w:t>Mk</w:t>
      </w:r>
      <w:r w:rsidRPr="00070ADE">
        <w:rPr>
          <w:color w:val="000000" w:themeColor="text1"/>
          <w:sz w:val="16"/>
          <w:szCs w:val="16"/>
        </w:rPr>
        <w:t>.</w:t>
      </w:r>
      <w:r w:rsidRPr="00070ADE">
        <w:rPr>
          <w:color w:val="000000" w:themeColor="text1"/>
          <w:sz w:val="16"/>
          <w:szCs w:val="16"/>
          <w:lang w:val="en-US"/>
        </w:rPr>
        <w:t>IID</w:t>
      </w:r>
      <w:r w:rsidRPr="00070ADE">
        <w:rPr>
          <w:color w:val="000000" w:themeColor="text1"/>
          <w:sz w:val="16"/>
          <w:szCs w:val="16"/>
        </w:rPr>
        <w:t xml:space="preserve"> размещались 2 пушки Вик- керс </w:t>
      </w:r>
      <w:r w:rsidRPr="00070ADE">
        <w:rPr>
          <w:color w:val="000000" w:themeColor="text1"/>
          <w:sz w:val="16"/>
          <w:szCs w:val="16"/>
          <w:lang w:val="en-US"/>
        </w:rPr>
        <w:t>S</w:t>
      </w:r>
      <w:r w:rsidRPr="00070ADE">
        <w:rPr>
          <w:color w:val="000000" w:themeColor="text1"/>
          <w:sz w:val="16"/>
          <w:szCs w:val="16"/>
        </w:rPr>
        <w:t xml:space="preserve"> калибра 40 мм с суммарным боекомплектом 30 снарядов и в крыле 2 пулемета Кольт-Браунинг калибра 7,69 мм с боекомплектом 1300 патронов. Вместо пушек допускалась подвеска дополнитель</w:t>
      </w:r>
      <w:r w:rsidRPr="00070ADE">
        <w:rPr>
          <w:color w:val="000000" w:themeColor="text1"/>
          <w:sz w:val="16"/>
          <w:szCs w:val="16"/>
        </w:rPr>
        <w:softHyphen/>
        <w:t>ных бензобаков.</w:t>
      </w:r>
    </w:p>
    <w:p w14:paraId="3BAC9754"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Пушки помещались в специальном обтекателе и крепились на 2 узлах, из которых передний яв</w:t>
      </w:r>
      <w:r w:rsidRPr="00070ADE">
        <w:rPr>
          <w:color w:val="000000" w:themeColor="text1"/>
          <w:sz w:val="16"/>
          <w:szCs w:val="16"/>
        </w:rPr>
        <w:softHyphen/>
        <w:t>лялся силовым, а задний — регулировочным. При этом стволы пушек на 1080 мм выступали за перед</w:t>
      </w:r>
      <w:r w:rsidRPr="00070ADE">
        <w:rPr>
          <w:color w:val="000000" w:themeColor="text1"/>
          <w:sz w:val="16"/>
          <w:szCs w:val="16"/>
        </w:rPr>
        <w:softHyphen/>
        <w:t>нюю кромку крыла.</w:t>
      </w:r>
    </w:p>
    <w:p w14:paraId="673637A5"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 xml:space="preserve">Автоматика пушек Виккерс </w:t>
      </w:r>
      <w:r w:rsidRPr="00070ADE">
        <w:rPr>
          <w:color w:val="000000" w:themeColor="text1"/>
          <w:sz w:val="16"/>
          <w:szCs w:val="16"/>
          <w:lang w:val="en-US"/>
        </w:rPr>
        <w:t>S</w:t>
      </w:r>
      <w:r w:rsidRPr="00070ADE">
        <w:rPr>
          <w:color w:val="000000" w:themeColor="text1"/>
          <w:sz w:val="16"/>
          <w:szCs w:val="16"/>
        </w:rPr>
        <w:t xml:space="preserve"> работала на прин</w:t>
      </w:r>
      <w:r w:rsidRPr="00070ADE">
        <w:rPr>
          <w:color w:val="000000" w:themeColor="text1"/>
          <w:sz w:val="16"/>
          <w:szCs w:val="16"/>
        </w:rPr>
        <w:softHyphen/>
        <w:t>ципе отдачи с длинным ходом ствола, запирание клиновое. Сила отдачи при стрельбе поглощалась работой автоматики, возвратной и буферной пру</w:t>
      </w:r>
      <w:r w:rsidRPr="00070ADE">
        <w:rPr>
          <w:color w:val="000000" w:themeColor="text1"/>
          <w:sz w:val="16"/>
          <w:szCs w:val="16"/>
        </w:rPr>
        <w:softHyphen/>
        <w:t>жинами и гидравлическим тормозом. В гидротор</w:t>
      </w:r>
      <w:r w:rsidRPr="00070ADE">
        <w:rPr>
          <w:color w:val="000000" w:themeColor="text1"/>
          <w:sz w:val="16"/>
          <w:szCs w:val="16"/>
        </w:rPr>
        <w:softHyphen/>
        <w:t>моз заливалось веретенное масло или смесь вере</w:t>
      </w:r>
      <w:r w:rsidRPr="00070ADE">
        <w:rPr>
          <w:color w:val="000000" w:themeColor="text1"/>
          <w:sz w:val="16"/>
          <w:szCs w:val="16"/>
        </w:rPr>
        <w:softHyphen/>
        <w:t>тенного масла с техническим керосином (в соотно</w:t>
      </w:r>
      <w:r w:rsidRPr="00070ADE">
        <w:rPr>
          <w:color w:val="000000" w:themeColor="text1"/>
          <w:sz w:val="16"/>
          <w:szCs w:val="16"/>
        </w:rPr>
        <w:softHyphen/>
        <w:t>шении 60/40).</w:t>
      </w:r>
    </w:p>
    <w:p w14:paraId="2601B5BF"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Питание пушек — магазинное. Магазин на 15 снарядов жестко крепился к пушке болтами. За</w:t>
      </w:r>
      <w:r w:rsidRPr="00070ADE">
        <w:rPr>
          <w:color w:val="000000" w:themeColor="text1"/>
          <w:sz w:val="16"/>
          <w:szCs w:val="16"/>
        </w:rPr>
        <w:softHyphen/>
        <w:t>рядка магазина производилась непосредственно на самолете.</w:t>
      </w:r>
    </w:p>
    <w:p w14:paraId="2AA61D15"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Перезарядка пушек осуществлялась вручную с помощью специальной рукоятки с цепной пере</w:t>
      </w:r>
      <w:r w:rsidRPr="00070ADE">
        <w:rPr>
          <w:color w:val="000000" w:themeColor="text1"/>
          <w:sz w:val="16"/>
          <w:szCs w:val="16"/>
        </w:rPr>
        <w:softHyphen/>
        <w:t>дачей. Перезаряжать пушку можно было только на земле. В воздухе летчик имел возможность лишь повторно взвести ударник. Для этого на левом борту располагалась гашетка пневмовзвода удар</w:t>
      </w:r>
      <w:r w:rsidRPr="00070ADE">
        <w:rPr>
          <w:color w:val="000000" w:themeColor="text1"/>
          <w:sz w:val="16"/>
          <w:szCs w:val="16"/>
        </w:rPr>
        <w:softHyphen/>
        <w:t>ников пушек. С ее помощью летчик в полете мог повторно взвести ударники пушек и продолжить стрельбу.</w:t>
      </w:r>
    </w:p>
    <w:p w14:paraId="41B6670D"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Длина пушки достигала 2970 мм, при высоте с магазином 533 мм (без магазина 278 мм) и ши</w:t>
      </w:r>
      <w:r w:rsidRPr="00070ADE">
        <w:rPr>
          <w:color w:val="000000" w:themeColor="text1"/>
          <w:sz w:val="16"/>
          <w:szCs w:val="16"/>
        </w:rPr>
        <w:softHyphen/>
        <w:t>рине 210 мм. Общий вес пушки с магазином и 15 бронебойными снарядами составлял 180,2 кг, в том числе сама пушка — 141,7 кг, магазин без патро</w:t>
      </w:r>
      <w:r w:rsidRPr="00070ADE">
        <w:rPr>
          <w:color w:val="000000" w:themeColor="text1"/>
          <w:sz w:val="16"/>
          <w:szCs w:val="16"/>
        </w:rPr>
        <w:softHyphen/>
        <w:t>нов — 16,0 кг, боекомплект — 22,5 кг.</w:t>
      </w:r>
    </w:p>
    <w:p w14:paraId="0D9C2EF3"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По общему мнению летчиков, увеличение по</w:t>
      </w:r>
      <w:r w:rsidRPr="00070ADE">
        <w:rPr>
          <w:color w:val="000000" w:themeColor="text1"/>
          <w:sz w:val="16"/>
          <w:szCs w:val="16"/>
        </w:rPr>
        <w:softHyphen/>
        <w:t xml:space="preserve">летного веса и ухудшение аэродинамики самолета </w:t>
      </w:r>
      <w:r w:rsidRPr="00070ADE">
        <w:rPr>
          <w:color w:val="000000" w:themeColor="text1"/>
          <w:sz w:val="16"/>
          <w:szCs w:val="16"/>
          <w:lang w:val="en-US"/>
        </w:rPr>
        <w:t>Mk</w:t>
      </w:r>
      <w:r w:rsidRPr="00070ADE">
        <w:rPr>
          <w:color w:val="000000" w:themeColor="text1"/>
          <w:sz w:val="16"/>
          <w:szCs w:val="16"/>
        </w:rPr>
        <w:t>.</w:t>
      </w:r>
      <w:r w:rsidRPr="00070ADE">
        <w:rPr>
          <w:color w:val="000000" w:themeColor="text1"/>
          <w:sz w:val="16"/>
          <w:szCs w:val="16"/>
          <w:lang w:val="en-US"/>
        </w:rPr>
        <w:t>IID</w:t>
      </w:r>
      <w:r w:rsidRPr="00070ADE">
        <w:rPr>
          <w:color w:val="000000" w:themeColor="text1"/>
          <w:sz w:val="16"/>
          <w:szCs w:val="16"/>
        </w:rPr>
        <w:t xml:space="preserve"> по сравнению с </w:t>
      </w:r>
      <w:r w:rsidRPr="00070ADE">
        <w:rPr>
          <w:color w:val="000000" w:themeColor="text1"/>
          <w:sz w:val="16"/>
          <w:szCs w:val="16"/>
          <w:lang w:val="en-US"/>
        </w:rPr>
        <w:t>Mk</w:t>
      </w:r>
      <w:r w:rsidRPr="00070ADE">
        <w:rPr>
          <w:color w:val="000000" w:themeColor="text1"/>
          <w:sz w:val="16"/>
          <w:szCs w:val="16"/>
        </w:rPr>
        <w:t>.</w:t>
      </w:r>
      <w:r w:rsidRPr="00070ADE">
        <w:rPr>
          <w:color w:val="000000" w:themeColor="text1"/>
          <w:sz w:val="16"/>
          <w:szCs w:val="16"/>
          <w:lang w:val="en-US"/>
        </w:rPr>
        <w:t>IIC</w:t>
      </w:r>
      <w:r w:rsidRPr="00070ADE">
        <w:rPr>
          <w:color w:val="000000" w:themeColor="text1"/>
          <w:sz w:val="16"/>
          <w:szCs w:val="16"/>
        </w:rPr>
        <w:t xml:space="preserve"> привело к заметному понижению летных данных и маневренности само</w:t>
      </w:r>
      <w:r w:rsidRPr="00070ADE">
        <w:rPr>
          <w:color w:val="000000" w:themeColor="text1"/>
          <w:sz w:val="16"/>
          <w:szCs w:val="16"/>
        </w:rPr>
        <w:softHyphen/>
        <w:t>лета как в вертикальной, так и в горизонтальной плоскости. Для выполнения фигур «скорости при</w:t>
      </w:r>
      <w:r w:rsidRPr="00070ADE">
        <w:rPr>
          <w:color w:val="000000" w:themeColor="text1"/>
          <w:sz w:val="16"/>
          <w:szCs w:val="16"/>
        </w:rPr>
        <w:softHyphen/>
        <w:t>ходится держать больше на 5—7 миль/ч, так как самолет тяжелее и инертнее». Продольная и по</w:t>
      </w:r>
      <w:r w:rsidRPr="00070ADE">
        <w:rPr>
          <w:color w:val="000000" w:themeColor="text1"/>
          <w:sz w:val="16"/>
          <w:szCs w:val="16"/>
        </w:rPr>
        <w:softHyphen/>
        <w:t>перечная устойчивость самолета оставляла желать лучшего. Сбалансированность самолета в горизон</w:t>
      </w:r>
      <w:r w:rsidRPr="00070ADE">
        <w:rPr>
          <w:color w:val="000000" w:themeColor="text1"/>
          <w:sz w:val="16"/>
          <w:szCs w:val="16"/>
        </w:rPr>
        <w:softHyphen/>
        <w:t>тальном полете была затруднена и требовала по</w:t>
      </w:r>
      <w:r w:rsidRPr="00070ADE">
        <w:rPr>
          <w:color w:val="000000" w:themeColor="text1"/>
          <w:sz w:val="16"/>
          <w:szCs w:val="16"/>
        </w:rPr>
        <w:softHyphen/>
        <w:t>стоянной регулировки положения триммера при изменении скорости полета. На вертикальных фи</w:t>
      </w:r>
      <w:r w:rsidRPr="00070ADE">
        <w:rPr>
          <w:color w:val="000000" w:themeColor="text1"/>
          <w:sz w:val="16"/>
          <w:szCs w:val="16"/>
        </w:rPr>
        <w:softHyphen/>
        <w:t>гурах самолет быстро терял скорость, набор высо</w:t>
      </w:r>
      <w:r w:rsidRPr="00070ADE">
        <w:rPr>
          <w:color w:val="000000" w:themeColor="text1"/>
          <w:sz w:val="16"/>
          <w:szCs w:val="16"/>
        </w:rPr>
        <w:softHyphen/>
        <w:t xml:space="preserve">ты на иммельмане и боевом развороте сократился. В то же время техника пилотирования </w:t>
      </w:r>
      <w:r w:rsidRPr="00070ADE">
        <w:rPr>
          <w:color w:val="000000" w:themeColor="text1"/>
          <w:sz w:val="16"/>
          <w:szCs w:val="16"/>
          <w:lang w:val="en-US"/>
        </w:rPr>
        <w:t>Mk</w:t>
      </w:r>
      <w:r w:rsidRPr="00070ADE">
        <w:rPr>
          <w:color w:val="000000" w:themeColor="text1"/>
          <w:sz w:val="16"/>
          <w:szCs w:val="16"/>
        </w:rPr>
        <w:t>.</w:t>
      </w:r>
      <w:r w:rsidRPr="00070ADE">
        <w:rPr>
          <w:color w:val="000000" w:themeColor="text1"/>
          <w:sz w:val="16"/>
          <w:szCs w:val="16"/>
          <w:lang w:val="en-US"/>
        </w:rPr>
        <w:t>IID</w:t>
      </w:r>
      <w:r w:rsidRPr="00070ADE">
        <w:rPr>
          <w:color w:val="000000" w:themeColor="text1"/>
          <w:sz w:val="16"/>
          <w:szCs w:val="16"/>
        </w:rPr>
        <w:t xml:space="preserve"> прак</w:t>
      </w:r>
      <w:r w:rsidRPr="00070ADE">
        <w:rPr>
          <w:color w:val="000000" w:themeColor="text1"/>
          <w:sz w:val="16"/>
          <w:szCs w:val="16"/>
        </w:rPr>
        <w:softHyphen/>
        <w:t xml:space="preserve">тически ничем не отличалась от самолетов «Харри- кейн» </w:t>
      </w:r>
      <w:r w:rsidRPr="00070ADE">
        <w:rPr>
          <w:color w:val="000000" w:themeColor="text1"/>
          <w:sz w:val="16"/>
          <w:szCs w:val="16"/>
          <w:lang w:val="en-US"/>
        </w:rPr>
        <w:t>IIC</w:t>
      </w:r>
      <w:r w:rsidRPr="00070ADE">
        <w:rPr>
          <w:color w:val="000000" w:themeColor="text1"/>
          <w:sz w:val="16"/>
          <w:szCs w:val="16"/>
        </w:rPr>
        <w:t xml:space="preserve"> или </w:t>
      </w:r>
      <w:r w:rsidRPr="00070ADE">
        <w:rPr>
          <w:color w:val="000000" w:themeColor="text1"/>
          <w:sz w:val="16"/>
          <w:szCs w:val="16"/>
          <w:lang w:val="en-US"/>
        </w:rPr>
        <w:t>IIB</w:t>
      </w:r>
      <w:r w:rsidRPr="00070ADE">
        <w:rPr>
          <w:color w:val="000000" w:themeColor="text1"/>
          <w:sz w:val="16"/>
          <w:szCs w:val="16"/>
        </w:rPr>
        <w:t>.</w:t>
      </w:r>
    </w:p>
    <w:p w14:paraId="3BC1CFDB"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Вооружение самолета отстреливалось как на земле, так и в воздухе. Стрельба велась снарядами, «снаряженными стальными корпусами бронебой</w:t>
      </w:r>
      <w:r w:rsidRPr="00070ADE">
        <w:rPr>
          <w:color w:val="000000" w:themeColor="text1"/>
          <w:sz w:val="16"/>
          <w:szCs w:val="16"/>
        </w:rPr>
        <w:softHyphen/>
        <w:t xml:space="preserve">ных снарядов, так как других боекомплектов для пушек </w:t>
      </w:r>
      <w:r w:rsidRPr="00070ADE">
        <w:rPr>
          <w:color w:val="000000" w:themeColor="text1"/>
          <w:sz w:val="16"/>
          <w:szCs w:val="16"/>
          <w:lang w:val="en-US"/>
        </w:rPr>
        <w:t>MK</w:t>
      </w:r>
      <w:r w:rsidRPr="00070ADE">
        <w:rPr>
          <w:color w:val="000000" w:themeColor="text1"/>
          <w:sz w:val="16"/>
          <w:szCs w:val="16"/>
        </w:rPr>
        <w:t>-</w:t>
      </w:r>
      <w:r w:rsidRPr="00070ADE">
        <w:rPr>
          <w:color w:val="000000" w:themeColor="text1"/>
          <w:sz w:val="16"/>
          <w:szCs w:val="16"/>
          <w:lang w:val="en-US"/>
        </w:rPr>
        <w:t>II</w:t>
      </w:r>
      <w:r w:rsidRPr="00070ADE">
        <w:rPr>
          <w:color w:val="000000" w:themeColor="text1"/>
          <w:sz w:val="16"/>
          <w:szCs w:val="16"/>
        </w:rPr>
        <w:t xml:space="preserve"> — 40 мм в снабжающих организациях ВВС не имелось». При этом в снарядах отсутство</w:t>
      </w:r>
      <w:r w:rsidRPr="00070ADE">
        <w:rPr>
          <w:color w:val="000000" w:themeColor="text1"/>
          <w:sz w:val="16"/>
          <w:szCs w:val="16"/>
        </w:rPr>
        <w:softHyphen/>
        <w:t>вали «разрывной заряд ВВ и донный взрыватель, заглушка вместо него не поставлена», так что вну</w:t>
      </w:r>
      <w:r w:rsidRPr="00070ADE">
        <w:rPr>
          <w:color w:val="000000" w:themeColor="text1"/>
          <w:sz w:val="16"/>
          <w:szCs w:val="16"/>
        </w:rPr>
        <w:softHyphen/>
        <w:t>тренняя полость снаряда сообщалась с зарядной каморой патрона. То есть снаряды «не имели ни фугасного, ни зажигательного действия, а внутрен</w:t>
      </w:r>
      <w:r w:rsidRPr="00070ADE">
        <w:rPr>
          <w:color w:val="000000" w:themeColor="text1"/>
          <w:sz w:val="16"/>
          <w:szCs w:val="16"/>
        </w:rPr>
        <w:softHyphen/>
        <w:t>няя и внешняя баллистика его отличается от балли</w:t>
      </w:r>
      <w:r w:rsidRPr="00070ADE">
        <w:rPr>
          <w:color w:val="000000" w:themeColor="text1"/>
          <w:sz w:val="16"/>
          <w:szCs w:val="16"/>
        </w:rPr>
        <w:softHyphen/>
        <w:t>стики боевого снаряда». Очевидно, такие снаряды боевого значения не имели — их использование ограничивалось только учебными целями. Но дру</w:t>
      </w:r>
      <w:r w:rsidRPr="00070ADE">
        <w:rPr>
          <w:color w:val="000000" w:themeColor="text1"/>
          <w:sz w:val="16"/>
          <w:szCs w:val="16"/>
        </w:rPr>
        <w:softHyphen/>
        <w:t>гих снарядов союзники не поставили.</w:t>
      </w:r>
    </w:p>
    <w:p w14:paraId="154FEB83"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общей сложности из пушек было выполнено 620 выстрелов, в том числе 212 выстрелов на земле и 408 в воздухе.</w:t>
      </w:r>
    </w:p>
    <w:p w14:paraId="360ACA18"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воздухе пушки отстреляли капитаны Голо- фастов, Кувшинов, Пикуленко, Кусакин и старший лейтенант Поминальный. Стрельба велась в гори</w:t>
      </w:r>
      <w:r w:rsidRPr="00070ADE">
        <w:rPr>
          <w:color w:val="000000" w:themeColor="text1"/>
          <w:sz w:val="16"/>
          <w:szCs w:val="16"/>
        </w:rPr>
        <w:softHyphen/>
        <w:t>зонтальном полете, на виражах, на наборе высо</w:t>
      </w:r>
      <w:r w:rsidRPr="00070ADE">
        <w:rPr>
          <w:color w:val="000000" w:themeColor="text1"/>
          <w:sz w:val="16"/>
          <w:szCs w:val="16"/>
        </w:rPr>
        <w:softHyphen/>
        <w:t>ты, а после выполнения пилотажа и по наземной цели — с пикирования (по щитам и контуру само</w:t>
      </w:r>
      <w:r w:rsidRPr="00070ADE">
        <w:rPr>
          <w:color w:val="000000" w:themeColor="text1"/>
          <w:sz w:val="16"/>
          <w:szCs w:val="16"/>
        </w:rPr>
        <w:softHyphen/>
        <w:t>лета). Кроме того, один полет был выполнен для стрельбы на большой высоте.</w:t>
      </w:r>
    </w:p>
    <w:p w14:paraId="56F7DBD3"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Пушки при стрельбе в воздухе показали себя как надежное и безотказное оружие. Отдача при стрельбе из пушек более мягкая, чем при стрель</w:t>
      </w:r>
      <w:r w:rsidRPr="00070ADE">
        <w:rPr>
          <w:color w:val="000000" w:themeColor="text1"/>
          <w:sz w:val="16"/>
          <w:szCs w:val="16"/>
        </w:rPr>
        <w:softHyphen/>
        <w:t>бе из 37-мм пушек 11П на самолетах Як-9т и ЛаГГ-3. Синхронность стрельбы оценивалась как отличная.</w:t>
      </w:r>
    </w:p>
    <w:p w14:paraId="7DB91713"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При стрельбе в горизонтальном полете самолет «ощущает толчки и зарывается носом вниз». Такие же толчки имели место и на всех других режимах. На пикировании самолет во время стрельбы стре</w:t>
      </w:r>
      <w:r w:rsidRPr="00070ADE">
        <w:rPr>
          <w:color w:val="000000" w:themeColor="text1"/>
          <w:sz w:val="16"/>
          <w:szCs w:val="16"/>
        </w:rPr>
        <w:softHyphen/>
        <w:t>мился увеличить угол пикирования и «его необхо</w:t>
      </w:r>
      <w:r w:rsidRPr="00070ADE">
        <w:rPr>
          <w:color w:val="000000" w:themeColor="text1"/>
          <w:sz w:val="16"/>
          <w:szCs w:val="16"/>
        </w:rPr>
        <w:softHyphen/>
        <w:t>димо удерживать ручкой управления». Сила отдачи при стрельбе «несколько притормаживает самолет, снижая скорость самолета на пикировании». При стрельбе во время набора высоты наблюдалось не</w:t>
      </w:r>
      <w:r w:rsidRPr="00070ADE">
        <w:rPr>
          <w:color w:val="000000" w:themeColor="text1"/>
          <w:sz w:val="16"/>
          <w:szCs w:val="16"/>
        </w:rPr>
        <w:softHyphen/>
        <w:t>которое уменьшение угла.</w:t>
      </w:r>
    </w:p>
    <w:p w14:paraId="40B7238C"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Чем длиннее очередь из пушек, «тем опуска</w:t>
      </w:r>
      <w:r w:rsidRPr="00070ADE">
        <w:rPr>
          <w:color w:val="000000" w:themeColor="text1"/>
          <w:sz w:val="16"/>
          <w:szCs w:val="16"/>
        </w:rPr>
        <w:softHyphen/>
        <w:t>ние носа самолета и толчки более заметны». При очередях свыше 5—6 снарядов «удержать самолет от зарывания носом становится затруднительно», «самолет начинает раскачиваться в полете» и «при</w:t>
      </w:r>
      <w:r w:rsidRPr="00070ADE">
        <w:rPr>
          <w:color w:val="000000" w:themeColor="text1"/>
          <w:sz w:val="16"/>
          <w:szCs w:val="16"/>
        </w:rPr>
        <w:softHyphen/>
        <w:t>цельная стрельба становится невозможной».</w:t>
      </w:r>
    </w:p>
    <w:p w14:paraId="4CDB7E36"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Для обеспечения более точного поражения це</w:t>
      </w:r>
      <w:r w:rsidRPr="00070ADE">
        <w:rPr>
          <w:color w:val="000000" w:themeColor="text1"/>
          <w:sz w:val="16"/>
          <w:szCs w:val="16"/>
        </w:rPr>
        <w:softHyphen/>
        <w:t>ли рекомендовалось производить стрельбу очере</w:t>
      </w:r>
      <w:r w:rsidRPr="00070ADE">
        <w:rPr>
          <w:color w:val="000000" w:themeColor="text1"/>
          <w:sz w:val="16"/>
          <w:szCs w:val="16"/>
        </w:rPr>
        <w:softHyphen/>
        <w:t>дями по 2—3, максимум 4 снаряда из каждой пуш</w:t>
      </w:r>
      <w:r w:rsidRPr="00070ADE">
        <w:rPr>
          <w:color w:val="000000" w:themeColor="text1"/>
          <w:sz w:val="16"/>
          <w:szCs w:val="16"/>
        </w:rPr>
        <w:softHyphen/>
        <w:t>ки. При этом короткая очередь была рациональна и с точки зрения тактического применения самоле</w:t>
      </w:r>
      <w:r w:rsidRPr="00070ADE">
        <w:rPr>
          <w:color w:val="000000" w:themeColor="text1"/>
          <w:sz w:val="16"/>
          <w:szCs w:val="16"/>
        </w:rPr>
        <w:softHyphen/>
        <w:t>та (более экономного расхода небольшого боеком</w:t>
      </w:r>
      <w:r w:rsidRPr="00070ADE">
        <w:rPr>
          <w:color w:val="000000" w:themeColor="text1"/>
          <w:sz w:val="16"/>
          <w:szCs w:val="16"/>
        </w:rPr>
        <w:softHyphen/>
        <w:t>плекта к пушкам).</w:t>
      </w:r>
    </w:p>
    <w:p w14:paraId="1B85BAFB"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При стрельбе из одной пушки (правой или ле</w:t>
      </w:r>
      <w:r w:rsidRPr="00070ADE">
        <w:rPr>
          <w:color w:val="000000" w:themeColor="text1"/>
          <w:sz w:val="16"/>
          <w:szCs w:val="16"/>
        </w:rPr>
        <w:softHyphen/>
        <w:t>вой) самолет разворачивался в сторону стреляю</w:t>
      </w:r>
      <w:r w:rsidRPr="00070ADE">
        <w:rPr>
          <w:color w:val="000000" w:themeColor="text1"/>
          <w:sz w:val="16"/>
          <w:szCs w:val="16"/>
        </w:rPr>
        <w:softHyphen/>
        <w:t>щей пушки, а так как «темп стрельбы очень мал, то держать самолет ногой, парируя рулями его отход от цели, почти невозможно». По заявлениям летчи</w:t>
      </w:r>
      <w:r w:rsidRPr="00070ADE">
        <w:rPr>
          <w:color w:val="000000" w:themeColor="text1"/>
          <w:sz w:val="16"/>
          <w:szCs w:val="16"/>
        </w:rPr>
        <w:softHyphen/>
        <w:t>ков, «получается разбалтывание самолета относи</w:t>
      </w:r>
      <w:r w:rsidRPr="00070ADE">
        <w:rPr>
          <w:color w:val="000000" w:themeColor="text1"/>
          <w:sz w:val="16"/>
          <w:szCs w:val="16"/>
        </w:rPr>
        <w:softHyphen/>
        <w:t>тельно вертикальной оси на линии прицеливания, что ухудшает качество стрельбы». То есть прицель</w:t>
      </w:r>
      <w:r w:rsidRPr="00070ADE">
        <w:rPr>
          <w:color w:val="000000" w:themeColor="text1"/>
          <w:sz w:val="16"/>
          <w:szCs w:val="16"/>
        </w:rPr>
        <w:softHyphen/>
        <w:t>ным был только первый снаряд в очереди.</w:t>
      </w:r>
    </w:p>
    <w:p w14:paraId="7462EF18" w14:textId="77777777" w:rsidR="008F6356" w:rsidRPr="00070ADE" w:rsidRDefault="008F635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Наиболее удобными углами пикирования при стрельбе по наземной цели с точки зрения потери высоты и увеличения скорости на пикировании, а также удобства прицеливания считался диа</w:t>
      </w:r>
      <w:r w:rsidRPr="00070ADE">
        <w:rPr>
          <w:rFonts w:ascii="Times New Roman" w:hAnsi="Times New Roman"/>
          <w:color w:val="000000" w:themeColor="text1"/>
          <w:sz w:val="16"/>
          <w:szCs w:val="16"/>
        </w:rPr>
        <w:softHyphen/>
        <w:t>пазон 35—45°. При высоте ввода в пикирование 500—550 м дистанция огня составляла 500—700 м, что было более чем достаточно для прицеливания и производства 2—3 очередей.</w:t>
      </w:r>
    </w:p>
    <w:p w14:paraId="127B699A"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Важно отметить, при стрельбе в воздухе по на</w:t>
      </w:r>
      <w:r w:rsidRPr="00070ADE">
        <w:rPr>
          <w:color w:val="000000" w:themeColor="text1"/>
          <w:sz w:val="16"/>
          <w:szCs w:val="16"/>
        </w:rPr>
        <w:softHyphen/>
        <w:t>земной цели «Харрикейн» допускал перенос огня от первоначальной точки наводки в боковом направлении и по дальности в пределах 10—15 , «что было затруднено, а порой неосуществимо на самолете Ил-2 с 37-мм пушками».</w:t>
      </w:r>
    </w:p>
    <w:p w14:paraId="238EF26B"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Летчикам понравилось удобное расположение электрокнопки управления огнем из пушек на сек</w:t>
      </w:r>
      <w:r w:rsidRPr="00070ADE">
        <w:rPr>
          <w:color w:val="000000" w:themeColor="text1"/>
          <w:sz w:val="16"/>
          <w:szCs w:val="16"/>
        </w:rPr>
        <w:softHyphen/>
        <w:t>торе газа под левую руку. Поскольку пулеметы при</w:t>
      </w:r>
      <w:r w:rsidRPr="00070ADE">
        <w:rPr>
          <w:color w:val="000000" w:themeColor="text1"/>
          <w:sz w:val="16"/>
          <w:szCs w:val="16"/>
        </w:rPr>
        <w:softHyphen/>
        <w:t>водились в действие кнопкой на ручке управления самолетом, то такое расположение управления пушками позволяло вести одновременный огонь из пушек и пулеметов.</w:t>
      </w:r>
    </w:p>
    <w:p w14:paraId="3DF6B290"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Для прицеливания при стрельбе использовал</w:t>
      </w:r>
      <w:r w:rsidRPr="00070ADE">
        <w:rPr>
          <w:color w:val="000000" w:themeColor="text1"/>
          <w:sz w:val="16"/>
          <w:szCs w:val="16"/>
        </w:rPr>
        <w:softHyphen/>
        <w:t xml:space="preserve">ся коллиматорный прицел Рефлектор Сайт </w:t>
      </w:r>
      <w:r w:rsidRPr="00070ADE">
        <w:rPr>
          <w:color w:val="000000" w:themeColor="text1"/>
          <w:sz w:val="16"/>
          <w:szCs w:val="16"/>
          <w:lang w:val="en-US"/>
        </w:rPr>
        <w:t>Mk</w:t>
      </w:r>
      <w:r w:rsidRPr="00070ADE">
        <w:rPr>
          <w:color w:val="000000" w:themeColor="text1"/>
          <w:sz w:val="16"/>
          <w:szCs w:val="16"/>
        </w:rPr>
        <w:t>.</w:t>
      </w:r>
      <w:r w:rsidRPr="00070ADE">
        <w:rPr>
          <w:color w:val="000000" w:themeColor="text1"/>
          <w:sz w:val="16"/>
          <w:szCs w:val="16"/>
          <w:lang w:val="en-US"/>
        </w:rPr>
        <w:t>IIS</w:t>
      </w:r>
      <w:r w:rsidRPr="00070ADE">
        <w:rPr>
          <w:color w:val="000000" w:themeColor="text1"/>
          <w:sz w:val="16"/>
          <w:szCs w:val="16"/>
        </w:rPr>
        <w:t xml:space="preserve"> с электрической подсветкой. Пользоваться им в воздухе было удобно.</w:t>
      </w:r>
    </w:p>
    <w:p w14:paraId="3C2D00ED"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Отмечалась простая эксплуатация пушек: «пуш</w:t>
      </w:r>
      <w:r w:rsidRPr="00070ADE">
        <w:rPr>
          <w:color w:val="000000" w:themeColor="text1"/>
          <w:sz w:val="16"/>
          <w:szCs w:val="16"/>
        </w:rPr>
        <w:softHyphen/>
        <w:t>ки осваиваются техническим составом легко и бы</w:t>
      </w:r>
      <w:r w:rsidRPr="00070ADE">
        <w:rPr>
          <w:color w:val="000000" w:themeColor="text1"/>
          <w:sz w:val="16"/>
          <w:szCs w:val="16"/>
        </w:rPr>
        <w:softHyphen/>
        <w:t>стро». Подходы к пушкам удобные. Зарядка мага</w:t>
      </w:r>
      <w:r w:rsidRPr="00070ADE">
        <w:rPr>
          <w:color w:val="000000" w:themeColor="text1"/>
          <w:sz w:val="16"/>
          <w:szCs w:val="16"/>
        </w:rPr>
        <w:softHyphen/>
        <w:t>зина производилась непосредственно на самолете.</w:t>
      </w:r>
    </w:p>
    <w:p w14:paraId="258949EF"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Имелись и недостатки. Пушки было трудно сна</w:t>
      </w:r>
      <w:r w:rsidRPr="00070ADE">
        <w:rPr>
          <w:color w:val="000000" w:themeColor="text1"/>
          <w:sz w:val="16"/>
          <w:szCs w:val="16"/>
        </w:rPr>
        <w:softHyphen/>
        <w:t>ряжать — «стеснен подход к рукоятке магазина при заряжании, особенно при зимней эксплуатации». Регулировочное приспособление пушек было вы</w:t>
      </w:r>
      <w:r w:rsidRPr="00070ADE">
        <w:rPr>
          <w:color w:val="000000" w:themeColor="text1"/>
          <w:sz w:val="16"/>
          <w:szCs w:val="16"/>
        </w:rPr>
        <w:softHyphen/>
        <w:t>полнено неудачно — «при снятии пушки с самолета нарушается пристрелка». Легкосъемные замки кры</w:t>
      </w:r>
      <w:r w:rsidRPr="00070ADE">
        <w:rPr>
          <w:color w:val="000000" w:themeColor="text1"/>
          <w:sz w:val="16"/>
          <w:szCs w:val="16"/>
        </w:rPr>
        <w:softHyphen/>
        <w:t>шек лючков пулеметов в ходе эксплуатации быстро деформировались. Как следствие, открывание и за</w:t>
      </w:r>
      <w:r w:rsidRPr="00070ADE">
        <w:rPr>
          <w:color w:val="000000" w:themeColor="text1"/>
          <w:sz w:val="16"/>
          <w:szCs w:val="16"/>
        </w:rPr>
        <w:softHyphen/>
        <w:t>крывание лючков становилось затруднительным.</w:t>
      </w:r>
    </w:p>
    <w:p w14:paraId="1EE61464"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Отсутствовали приспособления перезарядки пушек в воздухе. По этой причине устранить воз</w:t>
      </w:r>
      <w:r w:rsidRPr="00070ADE">
        <w:rPr>
          <w:color w:val="000000" w:themeColor="text1"/>
          <w:sz w:val="16"/>
          <w:szCs w:val="16"/>
        </w:rPr>
        <w:softHyphen/>
        <w:t>можные задержки в стрельбе летчик не мог. В по</w:t>
      </w:r>
      <w:r w:rsidRPr="00070ADE">
        <w:rPr>
          <w:color w:val="000000" w:themeColor="text1"/>
          <w:sz w:val="16"/>
          <w:szCs w:val="16"/>
        </w:rPr>
        <w:softHyphen/>
        <w:t>лете в случае осечки летчик мог только повторно взвести ударный механизм, «что отсутствие систе</w:t>
      </w:r>
      <w:r w:rsidRPr="00070ADE">
        <w:rPr>
          <w:color w:val="000000" w:themeColor="text1"/>
          <w:sz w:val="16"/>
          <w:szCs w:val="16"/>
        </w:rPr>
        <w:softHyphen/>
        <w:t>мы перезарядки не компенсирует».</w:t>
      </w:r>
    </w:p>
    <w:p w14:paraId="7BA90D80"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Обтекатели пушек оказались недостаточно жесткими и при резком выводе из пикирования деформировались. Так, старший лейтенант Поми</w:t>
      </w:r>
      <w:r w:rsidRPr="00070ADE">
        <w:rPr>
          <w:color w:val="000000" w:themeColor="text1"/>
          <w:sz w:val="16"/>
          <w:szCs w:val="16"/>
        </w:rPr>
        <w:softHyphen/>
        <w:t>нальный 12 декабря при пикировании под углом 55° на выходе из пикирования создал перегрузку близкой к 3 единицам и обтекатели пушек дефор</w:t>
      </w:r>
      <w:r w:rsidRPr="00070ADE">
        <w:rPr>
          <w:color w:val="000000" w:themeColor="text1"/>
          <w:sz w:val="16"/>
          <w:szCs w:val="16"/>
        </w:rPr>
        <w:softHyphen/>
        <w:t>мировались.</w:t>
      </w:r>
    </w:p>
    <w:p w14:paraId="1F77EB27"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lastRenderedPageBreak/>
        <w:t>К тому же «боекомплект 15 нарядов на пуш</w:t>
      </w:r>
      <w:r w:rsidRPr="00070ADE">
        <w:rPr>
          <w:color w:val="000000" w:themeColor="text1"/>
          <w:sz w:val="16"/>
          <w:szCs w:val="16"/>
        </w:rPr>
        <w:softHyphen/>
        <w:t>ку и темп стрельбы 100—110 выстр./мин не могут удовлетворить ТТТ, предъявляемым ВВС к самоле</w:t>
      </w:r>
      <w:r w:rsidRPr="00070ADE">
        <w:rPr>
          <w:color w:val="000000" w:themeColor="text1"/>
          <w:sz w:val="16"/>
          <w:szCs w:val="16"/>
        </w:rPr>
        <w:softHyphen/>
        <w:t>ту-истребителю».</w:t>
      </w:r>
    </w:p>
    <w:p w14:paraId="5684F030"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По всему комплексу летно-боевых качеств «ан</w:t>
      </w:r>
      <w:r w:rsidRPr="00070ADE">
        <w:rPr>
          <w:color w:val="000000" w:themeColor="text1"/>
          <w:sz w:val="16"/>
          <w:szCs w:val="16"/>
        </w:rPr>
        <w:softHyphen/>
        <w:t>гличанин» оценивался ниже не только противотан</w:t>
      </w:r>
      <w:r w:rsidRPr="00070ADE">
        <w:rPr>
          <w:color w:val="000000" w:themeColor="text1"/>
          <w:sz w:val="16"/>
          <w:szCs w:val="16"/>
        </w:rPr>
        <w:softHyphen/>
        <w:t>ковых истребителей ЛаГГ-3 и Як-9т, но и штурмови</w:t>
      </w:r>
      <w:r w:rsidRPr="00070ADE">
        <w:rPr>
          <w:color w:val="000000" w:themeColor="text1"/>
          <w:sz w:val="16"/>
          <w:szCs w:val="16"/>
        </w:rPr>
        <w:softHyphen/>
        <w:t>ка Ил-2 с НС-37.</w:t>
      </w:r>
    </w:p>
    <w:p w14:paraId="44FF440B"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 xml:space="preserve">Отмечалось, что «пушка Виккерс </w:t>
      </w:r>
      <w:r w:rsidRPr="00070ADE">
        <w:rPr>
          <w:color w:val="000000" w:themeColor="text1"/>
          <w:sz w:val="16"/>
          <w:szCs w:val="16"/>
          <w:lang w:val="en-US"/>
        </w:rPr>
        <w:t>S</w:t>
      </w:r>
      <w:r w:rsidRPr="00070ADE">
        <w:rPr>
          <w:color w:val="000000" w:themeColor="text1"/>
          <w:sz w:val="16"/>
          <w:szCs w:val="16"/>
        </w:rPr>
        <w:t xml:space="preserve"> калибра 40 мм по темпу стрельбы и начальной скорости снаряда стоит ниже современных систем авиаци</w:t>
      </w:r>
      <w:r w:rsidRPr="00070ADE">
        <w:rPr>
          <w:color w:val="000000" w:themeColor="text1"/>
          <w:sz w:val="16"/>
          <w:szCs w:val="16"/>
        </w:rPr>
        <w:softHyphen/>
        <w:t xml:space="preserve">онных автоматических пушек и значительно ниже отечественной 37-мм пушки НС-37 ОКБ-16». Пушка имеет большой относительный вес. Коэффициент использования металла по отношению к дульной мощности (показатель качества оружия) у Виккерс </w:t>
      </w:r>
      <w:r w:rsidRPr="00070ADE">
        <w:rPr>
          <w:color w:val="000000" w:themeColor="text1"/>
          <w:sz w:val="16"/>
          <w:szCs w:val="16"/>
          <w:lang w:val="en-US"/>
        </w:rPr>
        <w:t>S</w:t>
      </w:r>
      <w:r w:rsidRPr="00070ADE">
        <w:rPr>
          <w:color w:val="000000" w:themeColor="text1"/>
          <w:sz w:val="16"/>
          <w:szCs w:val="16"/>
        </w:rPr>
        <w:t xml:space="preserve"> в 1,35 раза меньше, чем у американской 37-мм пушки М-4, в 3,5 раза меньше, чем у НС-37, и в 4 раза меньше, чем у НС-45.</w:t>
      </w:r>
    </w:p>
    <w:p w14:paraId="0FE23556"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Несмотря на больший калибр, бронепроби- ваемость английской пушки оказалась хуже оте</w:t>
      </w:r>
      <w:r w:rsidRPr="00070ADE">
        <w:rPr>
          <w:color w:val="000000" w:themeColor="text1"/>
          <w:sz w:val="16"/>
          <w:szCs w:val="16"/>
        </w:rPr>
        <w:softHyphen/>
        <w:t>чественной пушки калибра 37 мм НС-37. С дис</w:t>
      </w:r>
      <w:r w:rsidRPr="00070ADE">
        <w:rPr>
          <w:color w:val="000000" w:themeColor="text1"/>
          <w:sz w:val="16"/>
          <w:szCs w:val="16"/>
        </w:rPr>
        <w:softHyphen/>
        <w:t>танции 300 м бронебойный снаряд к пушке НС-37 пробивал при нормальном попадании до 48,3 мм гомогенной танковой брони, тогда как броне</w:t>
      </w:r>
      <w:r w:rsidRPr="00070ADE">
        <w:rPr>
          <w:color w:val="000000" w:themeColor="text1"/>
          <w:sz w:val="16"/>
          <w:szCs w:val="16"/>
        </w:rPr>
        <w:softHyphen/>
        <w:t xml:space="preserve">бойный снаряд к пушке Виккерс </w:t>
      </w:r>
      <w:r w:rsidRPr="00070ADE">
        <w:rPr>
          <w:color w:val="000000" w:themeColor="text1"/>
          <w:sz w:val="16"/>
          <w:szCs w:val="16"/>
          <w:lang w:val="en-US"/>
        </w:rPr>
        <w:t>S</w:t>
      </w:r>
      <w:r w:rsidRPr="00070ADE">
        <w:rPr>
          <w:color w:val="000000" w:themeColor="text1"/>
          <w:sz w:val="16"/>
          <w:szCs w:val="16"/>
        </w:rPr>
        <w:t xml:space="preserve"> — только 38—41 мм, а к американской 37-мм пушке М-4 — 40—43 мм.</w:t>
      </w:r>
    </w:p>
    <w:p w14:paraId="7424E7D3"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Советские истребители Як-9т и ЛаГГ-3 хотя и имели несколько меньший вес секундного залпа, но заметно превосходили английский истребитель танков по летным данным.</w:t>
      </w:r>
    </w:p>
    <w:p w14:paraId="46DE83B6" w14:textId="77777777" w:rsidR="008F6356" w:rsidRPr="00070ADE" w:rsidRDefault="008F635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Наступательное стрелково-пушечное вооруже</w:t>
      </w:r>
      <w:r w:rsidRPr="00070ADE">
        <w:rPr>
          <w:rFonts w:ascii="Times New Roman" w:hAnsi="Times New Roman"/>
          <w:color w:val="000000" w:themeColor="text1"/>
          <w:sz w:val="16"/>
          <w:szCs w:val="16"/>
        </w:rPr>
        <w:softHyphen/>
        <w:t xml:space="preserve">ние Ил-2 по сравнению с оружием «Харрикейн» </w:t>
      </w:r>
      <w:r w:rsidRPr="00070ADE">
        <w:rPr>
          <w:rFonts w:ascii="Times New Roman" w:hAnsi="Times New Roman"/>
          <w:color w:val="000000" w:themeColor="text1"/>
          <w:sz w:val="16"/>
          <w:szCs w:val="16"/>
          <w:lang w:val="en-US"/>
        </w:rPr>
        <w:t>IID</w:t>
      </w:r>
      <w:r w:rsidRPr="00070ADE">
        <w:rPr>
          <w:rFonts w:ascii="Times New Roman" w:hAnsi="Times New Roman"/>
          <w:color w:val="000000" w:themeColor="text1"/>
          <w:sz w:val="16"/>
          <w:szCs w:val="16"/>
        </w:rPr>
        <w:t xml:space="preserve"> имело почти в 1,5 раза больший вес секундного залпа. При этом боекомплект к пушкам у Ил-2 по времени непрерывной стрельбы был также боль</w:t>
      </w:r>
      <w:r w:rsidRPr="00070ADE">
        <w:rPr>
          <w:rFonts w:ascii="Times New Roman" w:hAnsi="Times New Roman"/>
          <w:color w:val="000000" w:themeColor="text1"/>
          <w:sz w:val="16"/>
          <w:szCs w:val="16"/>
        </w:rPr>
        <w:softHyphen/>
        <w:t>ше. Если принять во внимание значительно лучшее бронирование самолета Ил-2, наличие обороны задней полусферы и бомбового вооружения, то преимущество его системы вооружения считалось несомненным.</w:t>
      </w:r>
    </w:p>
    <w:p w14:paraId="616FB2E9"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Рассеивание нескольких очередей при стрельбе в воздухе из пушек по полотнищам, расположен</w:t>
      </w:r>
      <w:r w:rsidRPr="00070ADE">
        <w:rPr>
          <w:color w:val="000000" w:themeColor="text1"/>
          <w:sz w:val="16"/>
          <w:szCs w:val="16"/>
        </w:rPr>
        <w:softHyphen/>
        <w:t>ным на земле, у самолета «Харрикейн» примерно в 2—2,5 раза меньше, чем у самолетов ЛаГГ-3 и Як-9т с пушкой НС-37, и в 6—6,5 раза меньше, чем у самолета Ил-2 с пушками НС-37. Смещение центров группирования попаданий по отношению точки на</w:t>
      </w:r>
      <w:r w:rsidRPr="00070ADE">
        <w:rPr>
          <w:color w:val="000000" w:themeColor="text1"/>
          <w:sz w:val="16"/>
          <w:szCs w:val="16"/>
        </w:rPr>
        <w:softHyphen/>
        <w:t>водки прицела у самолета «Харрикейн» меньше, чем у Ил-2 с НС-37, примерно в 4—11 раз.</w:t>
      </w:r>
    </w:p>
    <w:p w14:paraId="152F6DAA"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 xml:space="preserve">Рассеивание при стрельбе в воздухе из пушек у самолета «Харрикейн» </w:t>
      </w:r>
      <w:r w:rsidRPr="00070ADE">
        <w:rPr>
          <w:color w:val="000000" w:themeColor="text1"/>
          <w:sz w:val="16"/>
          <w:szCs w:val="16"/>
          <w:lang w:val="en-US"/>
        </w:rPr>
        <w:t>IID</w:t>
      </w:r>
      <w:r w:rsidRPr="00070ADE">
        <w:rPr>
          <w:color w:val="000000" w:themeColor="text1"/>
          <w:sz w:val="16"/>
          <w:szCs w:val="16"/>
        </w:rPr>
        <w:t>, по сравнению с рассе</w:t>
      </w:r>
      <w:r w:rsidRPr="00070ADE">
        <w:rPr>
          <w:color w:val="000000" w:themeColor="text1"/>
          <w:sz w:val="16"/>
          <w:szCs w:val="16"/>
        </w:rPr>
        <w:softHyphen/>
        <w:t>иванием при стрельбе на земле, возрастало в 10— 18 раз, а у самолета Ил-2 — в 30—100 раз. Сле</w:t>
      </w:r>
      <w:r w:rsidRPr="00070ADE">
        <w:rPr>
          <w:color w:val="000000" w:themeColor="text1"/>
          <w:sz w:val="16"/>
          <w:szCs w:val="16"/>
        </w:rPr>
        <w:softHyphen/>
        <w:t xml:space="preserve">довательно, ведение прицельного огня в воздухе с самолета «Харрикейн» </w:t>
      </w:r>
      <w:r w:rsidRPr="00070ADE">
        <w:rPr>
          <w:color w:val="000000" w:themeColor="text1"/>
          <w:sz w:val="16"/>
          <w:szCs w:val="16"/>
          <w:lang w:val="en-US"/>
        </w:rPr>
        <w:t>IID</w:t>
      </w:r>
      <w:r w:rsidRPr="00070ADE">
        <w:rPr>
          <w:color w:val="000000" w:themeColor="text1"/>
          <w:sz w:val="16"/>
          <w:szCs w:val="16"/>
        </w:rPr>
        <w:t xml:space="preserve"> «значительно удобнее и точнее, чем со сравниваемыми отечественными самолетами».</w:t>
      </w:r>
    </w:p>
    <w:p w14:paraId="578EBE24"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Считалось, что такой результат англичанам уда</w:t>
      </w:r>
      <w:r w:rsidRPr="00070ADE">
        <w:rPr>
          <w:color w:val="000000" w:themeColor="text1"/>
          <w:sz w:val="16"/>
          <w:szCs w:val="16"/>
        </w:rPr>
        <w:softHyphen/>
        <w:t>лось получить за счет «удачного расположения центра тяжести самолета, что почти не снизило его летно-пилотажные качества», хорошей конструк</w:t>
      </w:r>
      <w:r w:rsidRPr="00070ADE">
        <w:rPr>
          <w:color w:val="000000" w:themeColor="text1"/>
          <w:sz w:val="16"/>
          <w:szCs w:val="16"/>
        </w:rPr>
        <w:softHyphen/>
        <w:t>ции прицела, обеспечивающего точность при при</w:t>
      </w:r>
      <w:r w:rsidRPr="00070ADE">
        <w:rPr>
          <w:color w:val="000000" w:themeColor="text1"/>
          <w:sz w:val="16"/>
          <w:szCs w:val="16"/>
        </w:rPr>
        <w:softHyphen/>
        <w:t xml:space="preserve">целивании, и удобного расположения механизмов управления огнем оружия. То есть «Харрикейн» </w:t>
      </w:r>
      <w:r w:rsidRPr="00070ADE">
        <w:rPr>
          <w:color w:val="000000" w:themeColor="text1"/>
          <w:sz w:val="16"/>
          <w:szCs w:val="16"/>
          <w:lang w:val="en-US"/>
        </w:rPr>
        <w:t>IID</w:t>
      </w:r>
      <w:r w:rsidRPr="00070ADE">
        <w:rPr>
          <w:color w:val="000000" w:themeColor="text1"/>
          <w:sz w:val="16"/>
          <w:szCs w:val="16"/>
        </w:rPr>
        <w:t xml:space="preserve"> наглядно продемонстрировал возможность уста</w:t>
      </w:r>
      <w:r w:rsidRPr="00070ADE">
        <w:rPr>
          <w:color w:val="000000" w:themeColor="text1"/>
          <w:sz w:val="16"/>
          <w:szCs w:val="16"/>
        </w:rPr>
        <w:softHyphen/>
        <w:t>новки крупнокалиберных авиапушек на одномо</w:t>
      </w:r>
      <w:r w:rsidRPr="00070ADE">
        <w:rPr>
          <w:color w:val="000000" w:themeColor="text1"/>
          <w:sz w:val="16"/>
          <w:szCs w:val="16"/>
        </w:rPr>
        <w:softHyphen/>
        <w:t>торный самолет без снижения его летных качеств и «с достаточной точностью ведения прицельного огня».</w:t>
      </w:r>
    </w:p>
    <w:p w14:paraId="1A214B70"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 xml:space="preserve">По результатам испытаний был сделан вывод, что «по объему и качеству бронирования «Харри- кейн» </w:t>
      </w:r>
      <w:r w:rsidRPr="00070ADE">
        <w:rPr>
          <w:color w:val="000000" w:themeColor="text1"/>
          <w:sz w:val="16"/>
          <w:szCs w:val="16"/>
          <w:lang w:val="en-US"/>
        </w:rPr>
        <w:t>IID</w:t>
      </w:r>
      <w:r w:rsidRPr="00070ADE">
        <w:rPr>
          <w:color w:val="000000" w:themeColor="text1"/>
          <w:sz w:val="16"/>
          <w:szCs w:val="16"/>
        </w:rPr>
        <w:t xml:space="preserve"> значительно уступает Ил-2», вследствие чего «будет нести значительные потери при штур</w:t>
      </w:r>
      <w:r w:rsidRPr="00070ADE">
        <w:rPr>
          <w:color w:val="000000" w:themeColor="text1"/>
          <w:sz w:val="16"/>
          <w:szCs w:val="16"/>
        </w:rPr>
        <w:softHyphen/>
        <w:t>мовых атаках». Целесообразность боевого приме</w:t>
      </w:r>
      <w:r w:rsidRPr="00070ADE">
        <w:rPr>
          <w:color w:val="000000" w:themeColor="text1"/>
          <w:sz w:val="16"/>
          <w:szCs w:val="16"/>
        </w:rPr>
        <w:softHyphen/>
        <w:t>нения противотанкового «Харрикейна» была по</w:t>
      </w:r>
      <w:r w:rsidRPr="00070ADE">
        <w:rPr>
          <w:color w:val="000000" w:themeColor="text1"/>
          <w:sz w:val="16"/>
          <w:szCs w:val="16"/>
        </w:rPr>
        <w:softHyphen/>
        <w:t>ставлена под сомнение.</w:t>
      </w:r>
    </w:p>
    <w:p w14:paraId="0A57D1CC"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Как истребитель использовать его было нель</w:t>
      </w:r>
      <w:r w:rsidRPr="00070ADE">
        <w:rPr>
          <w:color w:val="000000" w:themeColor="text1"/>
          <w:sz w:val="16"/>
          <w:szCs w:val="16"/>
        </w:rPr>
        <w:softHyphen/>
        <w:t xml:space="preserve">зя — он не мог догнать даже </w:t>
      </w:r>
      <w:r w:rsidRPr="00070ADE">
        <w:rPr>
          <w:color w:val="000000" w:themeColor="text1"/>
          <w:sz w:val="16"/>
          <w:szCs w:val="16"/>
          <w:lang w:val="en-US"/>
        </w:rPr>
        <w:t>Ju</w:t>
      </w:r>
      <w:r w:rsidRPr="00070ADE">
        <w:rPr>
          <w:color w:val="000000" w:themeColor="text1"/>
          <w:sz w:val="16"/>
          <w:szCs w:val="16"/>
        </w:rPr>
        <w:t>88, а для штурмо</w:t>
      </w:r>
      <w:r w:rsidRPr="00070ADE">
        <w:rPr>
          <w:color w:val="000000" w:themeColor="text1"/>
          <w:sz w:val="16"/>
          <w:szCs w:val="16"/>
        </w:rPr>
        <w:softHyphen/>
        <w:t xml:space="preserve">вых действий он был совершенно непригоден из-за слабого бронирования и вооружения. Воздушный бой одиночного «Харрикейн» </w:t>
      </w:r>
      <w:r w:rsidRPr="00070ADE">
        <w:rPr>
          <w:color w:val="000000" w:themeColor="text1"/>
          <w:sz w:val="16"/>
          <w:szCs w:val="16"/>
          <w:lang w:val="en-US"/>
        </w:rPr>
        <w:t>IID</w:t>
      </w:r>
      <w:r w:rsidRPr="00070ADE">
        <w:rPr>
          <w:color w:val="000000" w:themeColor="text1"/>
          <w:sz w:val="16"/>
          <w:szCs w:val="16"/>
        </w:rPr>
        <w:t xml:space="preserve"> не только с груп</w:t>
      </w:r>
      <w:r w:rsidRPr="00070ADE">
        <w:rPr>
          <w:color w:val="000000" w:themeColor="text1"/>
          <w:sz w:val="16"/>
          <w:szCs w:val="16"/>
        </w:rPr>
        <w:softHyphen/>
        <w:t>пой, но даже и с одиночным истребителем против</w:t>
      </w:r>
      <w:r w:rsidRPr="00070ADE">
        <w:rPr>
          <w:color w:val="000000" w:themeColor="text1"/>
          <w:sz w:val="16"/>
          <w:szCs w:val="16"/>
        </w:rPr>
        <w:softHyphen/>
        <w:t>ника был недопустим. Боевые задачи можно было выполнять только группой и воздушный бой вести в боевом порядке круг или выполняя ножницы с оттягиванием на свою территорию.</w:t>
      </w:r>
    </w:p>
    <w:p w14:paraId="661824DF"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По результатам испытаний самолета «Харри</w:t>
      </w:r>
      <w:r w:rsidRPr="00070ADE">
        <w:rPr>
          <w:color w:val="000000" w:themeColor="text1"/>
          <w:sz w:val="16"/>
          <w:szCs w:val="16"/>
        </w:rPr>
        <w:softHyphen/>
        <w:t xml:space="preserve">кейн» </w:t>
      </w:r>
      <w:r w:rsidRPr="00070ADE">
        <w:rPr>
          <w:color w:val="000000" w:themeColor="text1"/>
          <w:sz w:val="16"/>
          <w:szCs w:val="16"/>
          <w:lang w:val="en-US"/>
        </w:rPr>
        <w:t>IID</w:t>
      </w:r>
      <w:r w:rsidRPr="00070ADE">
        <w:rPr>
          <w:color w:val="000000" w:themeColor="text1"/>
          <w:sz w:val="16"/>
          <w:szCs w:val="16"/>
        </w:rPr>
        <w:t xml:space="preserve"> и его вооружения заместитель начальни</w:t>
      </w:r>
      <w:r w:rsidRPr="00070ADE">
        <w:rPr>
          <w:color w:val="000000" w:themeColor="text1"/>
          <w:sz w:val="16"/>
          <w:szCs w:val="16"/>
        </w:rPr>
        <w:softHyphen/>
        <w:t>ка оперативного управления ВВС КА генерал-майор А. П. Некрасов 17 мая 1944 г. направил начальнику штаба ВВС генерал-полковнику С. А. Худякову за</w:t>
      </w:r>
      <w:r w:rsidRPr="00070ADE">
        <w:rPr>
          <w:color w:val="000000" w:themeColor="text1"/>
          <w:sz w:val="16"/>
          <w:szCs w:val="16"/>
        </w:rPr>
        <w:softHyphen/>
        <w:t>ключение о боевых возможностях самолета «Хар</w:t>
      </w:r>
      <w:r w:rsidRPr="00070ADE">
        <w:rPr>
          <w:color w:val="000000" w:themeColor="text1"/>
          <w:sz w:val="16"/>
          <w:szCs w:val="16"/>
        </w:rPr>
        <w:softHyphen/>
        <w:t xml:space="preserve">рикейн» </w:t>
      </w:r>
      <w:r w:rsidRPr="00070ADE">
        <w:rPr>
          <w:color w:val="000000" w:themeColor="text1"/>
          <w:sz w:val="16"/>
          <w:szCs w:val="16"/>
          <w:lang w:val="en-US"/>
        </w:rPr>
        <w:t>IID</w:t>
      </w:r>
      <w:r w:rsidRPr="00070ADE">
        <w:rPr>
          <w:color w:val="000000" w:themeColor="text1"/>
          <w:sz w:val="16"/>
          <w:szCs w:val="16"/>
        </w:rPr>
        <w:t>.</w:t>
      </w:r>
    </w:p>
    <w:p w14:paraId="474B6DD5"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документе констатировалось, что «вследствие слабого могущества выстрела стрелково-пушечно- го оружия, отсутствия бомбардировочного воору</w:t>
      </w:r>
      <w:r w:rsidRPr="00070ADE">
        <w:rPr>
          <w:color w:val="000000" w:themeColor="text1"/>
          <w:sz w:val="16"/>
          <w:szCs w:val="16"/>
        </w:rPr>
        <w:softHyphen/>
        <w:t xml:space="preserve">жения и недостаточного бронирования, самолет «Харрикейн» </w:t>
      </w:r>
      <w:r w:rsidRPr="00070ADE">
        <w:rPr>
          <w:color w:val="000000" w:themeColor="text1"/>
          <w:sz w:val="16"/>
          <w:szCs w:val="16"/>
          <w:lang w:val="en-US"/>
        </w:rPr>
        <w:t>IID</w:t>
      </w:r>
      <w:r w:rsidRPr="00070ADE">
        <w:rPr>
          <w:color w:val="000000" w:themeColor="text1"/>
          <w:sz w:val="16"/>
          <w:szCs w:val="16"/>
        </w:rPr>
        <w:t xml:space="preserve"> не может быть эффективно исполь</w:t>
      </w:r>
      <w:r w:rsidRPr="00070ADE">
        <w:rPr>
          <w:color w:val="000000" w:themeColor="text1"/>
          <w:sz w:val="16"/>
          <w:szCs w:val="16"/>
        </w:rPr>
        <w:softHyphen/>
        <w:t>зован как истребитель танков или штурмовик». Бо</w:t>
      </w:r>
      <w:r w:rsidRPr="00070ADE">
        <w:rPr>
          <w:color w:val="000000" w:themeColor="text1"/>
          <w:sz w:val="16"/>
          <w:szCs w:val="16"/>
        </w:rPr>
        <w:softHyphen/>
        <w:t>еприпасы пушек НС-37 калибра 37 мм и ВЯ калибра 23 мм, состоящие из осколочно-зажигательных и бронебойно-зажигательных снарядов, имеют боль</w:t>
      </w:r>
      <w:r w:rsidRPr="00070ADE">
        <w:rPr>
          <w:color w:val="000000" w:themeColor="text1"/>
          <w:sz w:val="16"/>
          <w:szCs w:val="16"/>
        </w:rPr>
        <w:softHyphen/>
        <w:t xml:space="preserve">ший разрушающий эффект у цели по сравнению с боеприпасами к пушке Виккерс </w:t>
      </w:r>
      <w:r w:rsidRPr="00070ADE">
        <w:rPr>
          <w:color w:val="000000" w:themeColor="text1"/>
          <w:sz w:val="16"/>
          <w:szCs w:val="16"/>
          <w:lang w:val="en-US"/>
        </w:rPr>
        <w:t>S</w:t>
      </w:r>
      <w:r w:rsidRPr="00070ADE">
        <w:rPr>
          <w:color w:val="000000" w:themeColor="text1"/>
          <w:sz w:val="16"/>
          <w:szCs w:val="16"/>
        </w:rPr>
        <w:t>, а бронебой</w:t>
      </w:r>
      <w:r w:rsidRPr="00070ADE">
        <w:rPr>
          <w:color w:val="000000" w:themeColor="text1"/>
          <w:sz w:val="16"/>
          <w:szCs w:val="16"/>
        </w:rPr>
        <w:softHyphen/>
        <w:t>ный снаряд пушки НС-37 обладает к тому же еще и большей бронепробиваемостью.</w:t>
      </w:r>
    </w:p>
    <w:p w14:paraId="33C150A8"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Внимание руководства обращалось на ненор</w:t>
      </w:r>
      <w:r w:rsidRPr="00070ADE">
        <w:rPr>
          <w:color w:val="000000" w:themeColor="text1"/>
          <w:sz w:val="16"/>
          <w:szCs w:val="16"/>
        </w:rPr>
        <w:softHyphen/>
        <w:t>мальную ситуацию со снабжением ВВС КА снаряда</w:t>
      </w:r>
      <w:r w:rsidRPr="00070ADE">
        <w:rPr>
          <w:color w:val="000000" w:themeColor="text1"/>
          <w:sz w:val="16"/>
          <w:szCs w:val="16"/>
        </w:rPr>
        <w:softHyphen/>
        <w:t xml:space="preserve">ми к пушкам Виккерс </w:t>
      </w:r>
      <w:r w:rsidRPr="00070ADE">
        <w:rPr>
          <w:color w:val="000000" w:themeColor="text1"/>
          <w:sz w:val="16"/>
          <w:szCs w:val="16"/>
          <w:lang w:val="en-US"/>
        </w:rPr>
        <w:t>S</w:t>
      </w:r>
      <w:r w:rsidRPr="00070ADE">
        <w:rPr>
          <w:color w:val="000000" w:themeColor="text1"/>
          <w:sz w:val="16"/>
          <w:szCs w:val="16"/>
        </w:rPr>
        <w:t>. По этому поводу в докла</w:t>
      </w:r>
      <w:r w:rsidRPr="00070ADE">
        <w:rPr>
          <w:color w:val="000000" w:themeColor="text1"/>
          <w:sz w:val="16"/>
          <w:szCs w:val="16"/>
        </w:rPr>
        <w:softHyphen/>
        <w:t>де указывалось: «Получаемые нами бронебойные снаряды от англичан являются недоснаряженными (нет взрывчатого вещества и донного взрывателя), вследствие чего баллистические характеристики снарядов — плохие и не отвечают тактико-техни</w:t>
      </w:r>
      <w:r w:rsidRPr="00070ADE">
        <w:rPr>
          <w:color w:val="000000" w:themeColor="text1"/>
          <w:sz w:val="16"/>
          <w:szCs w:val="16"/>
        </w:rPr>
        <w:softHyphen/>
        <w:t>ческим требованиям к боеприпасам воздушного боя. Такой тип снаряда не в состоянии пробить броню среднего танка в 45 мм на дистанции 300 м под углом встречи к нормали 30°, а бронь толщи</w:t>
      </w:r>
      <w:r w:rsidRPr="00070ADE">
        <w:rPr>
          <w:color w:val="000000" w:themeColor="text1"/>
          <w:sz w:val="16"/>
          <w:szCs w:val="16"/>
        </w:rPr>
        <w:softHyphen/>
        <w:t>ной меньше чем 30 мм или планер самолета, он способен пробить, но не разрушить, так как снаряд не имеет ни зажигательного, ни фугасного снаряже</w:t>
      </w:r>
      <w:r w:rsidRPr="00070ADE">
        <w:rPr>
          <w:color w:val="000000" w:themeColor="text1"/>
          <w:sz w:val="16"/>
          <w:szCs w:val="16"/>
        </w:rPr>
        <w:softHyphen/>
        <w:t>ния. Поэтому такие снаряды могут быть использо</w:t>
      </w:r>
      <w:r w:rsidRPr="00070ADE">
        <w:rPr>
          <w:color w:val="000000" w:themeColor="text1"/>
          <w:sz w:val="16"/>
          <w:szCs w:val="16"/>
        </w:rPr>
        <w:softHyphen/>
        <w:t>ваны для учебных целей или как лафетопробные. Для поражения самолетов в воздухе нужны снаря</w:t>
      </w:r>
      <w:r w:rsidRPr="00070ADE">
        <w:rPr>
          <w:color w:val="000000" w:themeColor="text1"/>
          <w:sz w:val="16"/>
          <w:szCs w:val="16"/>
        </w:rPr>
        <w:softHyphen/>
        <w:t>ды осколочно-фугасного действия».</w:t>
      </w:r>
    </w:p>
    <w:p w14:paraId="1A40136D"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При сопоставимых летных данных у земли ос</w:t>
      </w:r>
      <w:r w:rsidRPr="00070ADE">
        <w:rPr>
          <w:color w:val="000000" w:themeColor="text1"/>
          <w:sz w:val="16"/>
          <w:szCs w:val="16"/>
        </w:rPr>
        <w:softHyphen/>
        <w:t>новной ударный самолет ВВС КА штурмовик Ил-2 имел значительно более сильное бронирование, бомбардировочное вооружение и воздушного стрелка для защиты от атак истребителей против</w:t>
      </w:r>
      <w:r w:rsidRPr="00070ADE">
        <w:rPr>
          <w:color w:val="000000" w:themeColor="text1"/>
          <w:sz w:val="16"/>
          <w:szCs w:val="16"/>
        </w:rPr>
        <w:softHyphen/>
        <w:t>ника со стороны задней полусферы. По этим при</w:t>
      </w:r>
      <w:r w:rsidRPr="00070ADE">
        <w:rPr>
          <w:color w:val="000000" w:themeColor="text1"/>
          <w:sz w:val="16"/>
          <w:szCs w:val="16"/>
        </w:rPr>
        <w:softHyphen/>
        <w:t>чинам боевые качества Ил-2 оценивались специ</w:t>
      </w:r>
      <w:r w:rsidRPr="00070ADE">
        <w:rPr>
          <w:color w:val="000000" w:themeColor="text1"/>
          <w:sz w:val="16"/>
          <w:szCs w:val="16"/>
        </w:rPr>
        <w:softHyphen/>
        <w:t xml:space="preserve">алистами оперативного управления значительно выше, чем «Харрикейна» </w:t>
      </w:r>
      <w:r w:rsidRPr="00070ADE">
        <w:rPr>
          <w:color w:val="000000" w:themeColor="text1"/>
          <w:sz w:val="16"/>
          <w:szCs w:val="16"/>
          <w:lang w:val="en-US"/>
        </w:rPr>
        <w:t>IID</w:t>
      </w:r>
      <w:r w:rsidRPr="00070ADE">
        <w:rPr>
          <w:color w:val="000000" w:themeColor="text1"/>
          <w:sz w:val="16"/>
          <w:szCs w:val="16"/>
        </w:rPr>
        <w:t>.</w:t>
      </w:r>
    </w:p>
    <w:p w14:paraId="273600A2"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На основании этого делался вывод, что «самолет «Харрикейн» 11Д в качестве штурмовика применять нецелесообразно, вследствие слабого могущества выстрела стрелково-пушечного вооружения, отсут</w:t>
      </w:r>
      <w:r w:rsidRPr="00070ADE">
        <w:rPr>
          <w:color w:val="000000" w:themeColor="text1"/>
          <w:sz w:val="16"/>
          <w:szCs w:val="16"/>
        </w:rPr>
        <w:softHyphen/>
        <w:t>ствия бомбардировочного вооружения и слабого бронирования». Истребитель предлагалось исполь</w:t>
      </w:r>
      <w:r w:rsidRPr="00070ADE">
        <w:rPr>
          <w:color w:val="000000" w:themeColor="text1"/>
          <w:sz w:val="16"/>
          <w:szCs w:val="16"/>
        </w:rPr>
        <w:softHyphen/>
        <w:t>зовать в системе ПВО страны в качестве истреби</w:t>
      </w:r>
      <w:r w:rsidRPr="00070ADE">
        <w:rPr>
          <w:color w:val="000000" w:themeColor="text1"/>
          <w:sz w:val="16"/>
          <w:szCs w:val="16"/>
        </w:rPr>
        <w:softHyphen/>
        <w:t>теля-перехватчика, но при условии использования боеприпасов «осколочно-трассирующего или осколочно-зажигательного снаряжения».</w:t>
      </w:r>
    </w:p>
    <w:p w14:paraId="5DC31DFE" w14:textId="77777777" w:rsidR="008F6356" w:rsidRPr="00070ADE" w:rsidRDefault="008F635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Известна резолюция генерала Худякова, которую тот наложил на документ: «ОУ. Подготовить справ</w:t>
      </w:r>
      <w:r w:rsidRPr="00070ADE">
        <w:rPr>
          <w:color w:val="000000" w:themeColor="text1"/>
          <w:sz w:val="16"/>
          <w:szCs w:val="16"/>
        </w:rPr>
        <w:softHyphen/>
        <w:t>ку такого же содержания главному инженеру ВВС за моей подписью». Уже 23 мая справка ушла в аппарат генерала Репина (17500).</w:t>
      </w:r>
    </w:p>
    <w:p w14:paraId="21627CA1" w14:textId="77777777" w:rsidR="008F6356" w:rsidRPr="00070ADE" w:rsidRDefault="008F6356" w:rsidP="00B56F90">
      <w:pPr>
        <w:spacing w:after="0" w:line="240" w:lineRule="auto"/>
        <w:jc w:val="both"/>
        <w:rPr>
          <w:rFonts w:ascii="Times New Roman" w:hAnsi="Times New Roman"/>
          <w:color w:val="000000" w:themeColor="text1"/>
          <w:sz w:val="16"/>
          <w:szCs w:val="16"/>
        </w:rPr>
      </w:pPr>
    </w:p>
    <w:p w14:paraId="305B5790" w14:textId="77777777" w:rsidR="00403B2B" w:rsidRPr="00C94B78" w:rsidRDefault="00403B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11 января 1944 г. нарком А.И.Шахурин отдал приказ № 19c:</w:t>
      </w:r>
    </w:p>
    <w:p w14:paraId="3B3AEFE7" w14:textId="77777777" w:rsidR="00403B2B" w:rsidRPr="00C94B78" w:rsidRDefault="00403B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целях развития опытных работ по ге</w:t>
      </w:r>
      <w:r w:rsidRPr="00C94B78">
        <w:rPr>
          <w:rFonts w:ascii="Times New Roman" w:hAnsi="Times New Roman"/>
          <w:color w:val="0070C0"/>
          <w:sz w:val="16"/>
          <w:szCs w:val="16"/>
        </w:rPr>
        <w:softHyphen/>
        <w:t>ликоптерам и скорейшей доводки построен</w:t>
      </w:r>
      <w:r w:rsidRPr="00C94B78">
        <w:rPr>
          <w:rFonts w:ascii="Times New Roman" w:hAnsi="Times New Roman"/>
          <w:color w:val="0070C0"/>
          <w:sz w:val="16"/>
          <w:szCs w:val="16"/>
        </w:rPr>
        <w:softHyphen/>
        <w:t>ного геликоптера «Омега»</w:t>
      </w:r>
    </w:p>
    <w:p w14:paraId="5F123A6C" w14:textId="77777777" w:rsidR="00403B2B" w:rsidRPr="00C94B78" w:rsidRDefault="00403B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ПРИКАЗЫВАЮ</w:t>
      </w:r>
    </w:p>
    <w:p w14:paraId="59582257" w14:textId="77777777" w:rsidR="00403B2B" w:rsidRPr="00C94B78" w:rsidRDefault="00403B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 Начальнику 7 ГУ т. Шишкину переве</w:t>
      </w:r>
      <w:r w:rsidRPr="00C94B78">
        <w:rPr>
          <w:rFonts w:ascii="Times New Roman" w:hAnsi="Times New Roman"/>
          <w:color w:val="0070C0"/>
          <w:sz w:val="16"/>
          <w:szCs w:val="16"/>
        </w:rPr>
        <w:softHyphen/>
        <w:t>сти ОКБ-3 из МАИ на площадь филиала заво</w:t>
      </w:r>
      <w:r w:rsidRPr="00C94B78">
        <w:rPr>
          <w:rFonts w:ascii="Times New Roman" w:hAnsi="Times New Roman"/>
          <w:color w:val="0070C0"/>
          <w:sz w:val="16"/>
          <w:szCs w:val="16"/>
        </w:rPr>
        <w:softHyphen/>
        <w:t>да №381, занимаемую транспортно-эксплуа</w:t>
      </w:r>
      <w:r w:rsidRPr="00C94B78">
        <w:rPr>
          <w:rFonts w:ascii="Times New Roman" w:hAnsi="Times New Roman"/>
          <w:color w:val="0070C0"/>
          <w:sz w:val="16"/>
          <w:szCs w:val="16"/>
        </w:rPr>
        <w:softHyphen/>
        <w:t>тационной базой 11 ГУ, и организовать на этой площади самостоятельное ОКБ первой категории по геликоптерам с соответствую</w:t>
      </w:r>
      <w:r w:rsidRPr="00C94B78">
        <w:rPr>
          <w:rFonts w:ascii="Times New Roman" w:hAnsi="Times New Roman"/>
          <w:color w:val="0070C0"/>
          <w:sz w:val="16"/>
          <w:szCs w:val="16"/>
        </w:rPr>
        <w:softHyphen/>
        <w:t>щей производственной базой…</w:t>
      </w:r>
    </w:p>
    <w:p w14:paraId="252A4D08" w14:textId="77777777" w:rsidR="00403B2B" w:rsidRPr="00C94B78" w:rsidRDefault="00403B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3. Директору завода № 381 Журавлеву и начальнику И ГУ Куликову передать не позднее 15.01.44 г. 7 ГУ двухэтажное произ</w:t>
      </w:r>
      <w:r w:rsidRPr="00C94B78">
        <w:rPr>
          <w:rFonts w:ascii="Times New Roman" w:hAnsi="Times New Roman"/>
          <w:color w:val="0070C0"/>
          <w:sz w:val="16"/>
          <w:szCs w:val="16"/>
        </w:rPr>
        <w:softHyphen/>
        <w:t>водственное здание (бывшие мастерские по выпуску упаковочных ящиков), зда</w:t>
      </w:r>
      <w:r w:rsidRPr="00C94B78">
        <w:rPr>
          <w:rFonts w:ascii="Times New Roman" w:hAnsi="Times New Roman"/>
          <w:color w:val="0070C0"/>
          <w:sz w:val="16"/>
          <w:szCs w:val="16"/>
        </w:rPr>
        <w:softHyphen/>
        <w:t>ния складов (небольшой каменный дом с де</w:t>
      </w:r>
      <w:r w:rsidRPr="00C94B78">
        <w:rPr>
          <w:rFonts w:ascii="Times New Roman" w:hAnsi="Times New Roman"/>
          <w:color w:val="0070C0"/>
          <w:sz w:val="16"/>
          <w:szCs w:val="16"/>
        </w:rPr>
        <w:softHyphen/>
        <w:t>ревянным навесом) и всего гаража для ОКБ-3» На 2-й Рыбинской улице впервые обосновались советские вертолетчики. Чис</w:t>
      </w:r>
      <w:r w:rsidRPr="00C94B78">
        <w:rPr>
          <w:rFonts w:ascii="Times New Roman" w:hAnsi="Times New Roman"/>
          <w:color w:val="0070C0"/>
          <w:sz w:val="16"/>
          <w:szCs w:val="16"/>
        </w:rPr>
        <w:softHyphen/>
        <w:t>ленность сотрудников ОКБ-3 достигла 130 человек. Героическими усилиями они со</w:t>
      </w:r>
      <w:r w:rsidRPr="00C94B78">
        <w:rPr>
          <w:rFonts w:ascii="Times New Roman" w:hAnsi="Times New Roman"/>
          <w:color w:val="0070C0"/>
          <w:sz w:val="16"/>
          <w:szCs w:val="16"/>
        </w:rPr>
        <w:softHyphen/>
        <w:t>брали на новой территории вертолет 2МГ в новой модификации «Омега-П». Эта маши</w:t>
      </w:r>
      <w:r w:rsidRPr="00C94B78">
        <w:rPr>
          <w:rFonts w:ascii="Times New Roman" w:hAnsi="Times New Roman"/>
          <w:color w:val="0070C0"/>
          <w:sz w:val="16"/>
          <w:szCs w:val="16"/>
        </w:rPr>
        <w:softHyphen/>
        <w:t>на стала первым винтокрылым летательным аппаратом, собранным на территории буду</w:t>
      </w:r>
      <w:r w:rsidRPr="00C94B78">
        <w:rPr>
          <w:rFonts w:ascii="Times New Roman" w:hAnsi="Times New Roman"/>
          <w:color w:val="0070C0"/>
          <w:sz w:val="16"/>
          <w:szCs w:val="16"/>
        </w:rPr>
        <w:softHyphen/>
        <w:t>щего МВЗ им. М.Л.Миля. Только трудности военного времени помешали запустить его в серийное производство. За создание пер</w:t>
      </w:r>
      <w:r w:rsidRPr="00C94B78">
        <w:rPr>
          <w:rFonts w:ascii="Times New Roman" w:hAnsi="Times New Roman"/>
          <w:color w:val="0070C0"/>
          <w:sz w:val="16"/>
          <w:szCs w:val="16"/>
        </w:rPr>
        <w:softHyphen/>
        <w:t>вого отечественного работоспособного вертолета И.П.Братухин и Б.Н.Юрьев удос</w:t>
      </w:r>
      <w:r w:rsidRPr="00C94B78">
        <w:rPr>
          <w:rFonts w:ascii="Times New Roman" w:hAnsi="Times New Roman"/>
          <w:color w:val="0070C0"/>
          <w:sz w:val="16"/>
          <w:szCs w:val="16"/>
        </w:rPr>
        <w:softHyphen/>
        <w:t>тоились Сталинской премии. Впервые такая награда досталась авиационным конструк</w:t>
      </w:r>
      <w:r w:rsidRPr="00C94B78">
        <w:rPr>
          <w:rFonts w:ascii="Times New Roman" w:hAnsi="Times New Roman"/>
          <w:color w:val="0070C0"/>
          <w:sz w:val="16"/>
          <w:szCs w:val="16"/>
        </w:rPr>
        <w:softHyphen/>
        <w:t>торам за создание винтокрылой машины (25032).</w:t>
      </w:r>
    </w:p>
    <w:p w14:paraId="62D9F52F" w14:textId="77777777" w:rsidR="00403B2B" w:rsidRPr="00C94B78" w:rsidRDefault="00403B2B" w:rsidP="00B56F90">
      <w:pPr>
        <w:spacing w:after="0" w:line="240" w:lineRule="auto"/>
        <w:jc w:val="both"/>
        <w:rPr>
          <w:rFonts w:ascii="Times New Roman" w:hAnsi="Times New Roman"/>
          <w:color w:val="0070C0"/>
          <w:sz w:val="16"/>
          <w:szCs w:val="16"/>
        </w:rPr>
      </w:pPr>
    </w:p>
    <w:p w14:paraId="5A5400C8" w14:textId="77777777" w:rsidR="00264F92"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вышло Постановление ГКО № 4918 О плане производства самолетов и авиамоторов на I квартал 1944 года. РГАНИР, Фонд ГКО, д. 187, лл. 44-48 (11012).</w:t>
      </w:r>
    </w:p>
    <w:p w14:paraId="63AEDFC1" w14:textId="77777777" w:rsidR="00264F92"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вышло:</w:t>
      </w:r>
    </w:p>
    <w:p w14:paraId="46CAECEB" w14:textId="77777777" w:rsidR="00264F92"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 ГОСУДАРСТВЕННОГО КОМИТЕТА ОБОРОНЫ № 4918сс</w:t>
      </w:r>
    </w:p>
    <w:p w14:paraId="71EFCC3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 производстве самолетов и авиамоторов на 1 квартал 1944 года. </w:t>
      </w:r>
    </w:p>
    <w:p w14:paraId="177B03F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Государственный Комитет Обороны постановляет: 1. Установить Наркомавиапрому на 1 квартал 1944 года план производства самолетов в количестве 9886, из них 8313 боевых, в том числе по типам:</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165"/>
        <w:gridCol w:w="2880"/>
        <w:gridCol w:w="1260"/>
        <w:gridCol w:w="1260"/>
        <w:gridCol w:w="1005"/>
      </w:tblGrid>
      <w:tr w:rsidR="00CB5308" w:rsidRPr="00070ADE" w14:paraId="79DF826A" w14:textId="77777777" w:rsidTr="003712D9">
        <w:trPr>
          <w:jc w:val="center"/>
        </w:trPr>
        <w:tc>
          <w:tcPr>
            <w:tcW w:w="3165" w:type="dxa"/>
            <w:tcBorders>
              <w:top w:val="single" w:sz="12" w:space="0" w:color="auto"/>
            </w:tcBorders>
          </w:tcPr>
          <w:p w14:paraId="655429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самолета</w:t>
            </w:r>
          </w:p>
        </w:tc>
        <w:tc>
          <w:tcPr>
            <w:tcW w:w="2880" w:type="dxa"/>
            <w:tcBorders>
              <w:top w:val="single" w:sz="12" w:space="0" w:color="auto"/>
            </w:tcBorders>
          </w:tcPr>
          <w:p w14:paraId="68D33AE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на квартал</w:t>
            </w:r>
          </w:p>
        </w:tc>
        <w:tc>
          <w:tcPr>
            <w:tcW w:w="1260" w:type="dxa"/>
            <w:gridSpan w:val="3"/>
            <w:tcBorders>
              <w:top w:val="single" w:sz="12" w:space="0" w:color="auto"/>
            </w:tcBorders>
          </w:tcPr>
          <w:p w14:paraId="0A870BE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месяцам</w:t>
            </w:r>
          </w:p>
        </w:tc>
      </w:tr>
      <w:tr w:rsidR="00CB5308" w:rsidRPr="00070ADE" w14:paraId="6D5360DF" w14:textId="77777777">
        <w:trPr>
          <w:jc w:val="center"/>
        </w:trPr>
        <w:tc>
          <w:tcPr>
            <w:tcW w:w="3165" w:type="dxa"/>
          </w:tcPr>
          <w:p w14:paraId="0E9B07E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Pr>
          <w:p w14:paraId="6C8A27D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Pr>
          <w:p w14:paraId="0B26580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январь </w:t>
            </w:r>
          </w:p>
        </w:tc>
        <w:tc>
          <w:tcPr>
            <w:tcW w:w="1260" w:type="dxa"/>
          </w:tcPr>
          <w:p w14:paraId="590C4CA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февраль </w:t>
            </w:r>
          </w:p>
        </w:tc>
        <w:tc>
          <w:tcPr>
            <w:tcW w:w="1005" w:type="dxa"/>
          </w:tcPr>
          <w:p w14:paraId="47E668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март</w:t>
            </w:r>
          </w:p>
        </w:tc>
      </w:tr>
      <w:tr w:rsidR="00CB5308" w:rsidRPr="00070ADE" w14:paraId="365FA676" w14:textId="77777777">
        <w:trPr>
          <w:jc w:val="center"/>
        </w:trPr>
        <w:tc>
          <w:tcPr>
            <w:tcW w:w="3165" w:type="dxa"/>
          </w:tcPr>
          <w:p w14:paraId="32B84DF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истребителей</w:t>
            </w:r>
          </w:p>
        </w:tc>
        <w:tc>
          <w:tcPr>
            <w:tcW w:w="2880" w:type="dxa"/>
          </w:tcPr>
          <w:p w14:paraId="6394A9D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4268</w:t>
            </w:r>
          </w:p>
        </w:tc>
        <w:tc>
          <w:tcPr>
            <w:tcW w:w="1260" w:type="dxa"/>
          </w:tcPr>
          <w:p w14:paraId="594584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1400</w:t>
            </w:r>
          </w:p>
        </w:tc>
        <w:tc>
          <w:tcPr>
            <w:tcW w:w="1260" w:type="dxa"/>
          </w:tcPr>
          <w:p w14:paraId="5AE6432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1375</w:t>
            </w:r>
          </w:p>
        </w:tc>
        <w:tc>
          <w:tcPr>
            <w:tcW w:w="1005" w:type="dxa"/>
          </w:tcPr>
          <w:p w14:paraId="4EABF84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1493</w:t>
            </w:r>
          </w:p>
        </w:tc>
      </w:tr>
      <w:tr w:rsidR="00CB5308" w:rsidRPr="00070ADE" w14:paraId="1F435831" w14:textId="77777777">
        <w:trPr>
          <w:jc w:val="center"/>
        </w:trPr>
        <w:tc>
          <w:tcPr>
            <w:tcW w:w="3165" w:type="dxa"/>
          </w:tcPr>
          <w:p w14:paraId="0E81D65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них: ЯК-1</w:t>
            </w:r>
          </w:p>
        </w:tc>
        <w:tc>
          <w:tcPr>
            <w:tcW w:w="2880" w:type="dxa"/>
          </w:tcPr>
          <w:p w14:paraId="260850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702</w:t>
            </w:r>
          </w:p>
        </w:tc>
        <w:tc>
          <w:tcPr>
            <w:tcW w:w="1260" w:type="dxa"/>
          </w:tcPr>
          <w:p w14:paraId="27F4B0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260</w:t>
            </w:r>
          </w:p>
        </w:tc>
        <w:tc>
          <w:tcPr>
            <w:tcW w:w="1260" w:type="dxa"/>
          </w:tcPr>
          <w:p w14:paraId="7125441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235</w:t>
            </w:r>
          </w:p>
        </w:tc>
        <w:tc>
          <w:tcPr>
            <w:tcW w:w="1005" w:type="dxa"/>
          </w:tcPr>
          <w:p w14:paraId="3DB3369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207</w:t>
            </w:r>
          </w:p>
        </w:tc>
      </w:tr>
      <w:tr w:rsidR="00CB5308" w:rsidRPr="00070ADE" w14:paraId="2EBEF470" w14:textId="77777777">
        <w:trPr>
          <w:jc w:val="center"/>
        </w:trPr>
        <w:tc>
          <w:tcPr>
            <w:tcW w:w="3165" w:type="dxa"/>
          </w:tcPr>
          <w:p w14:paraId="759B0EE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ЯК-3</w:t>
            </w:r>
          </w:p>
        </w:tc>
        <w:tc>
          <w:tcPr>
            <w:tcW w:w="2880" w:type="dxa"/>
          </w:tcPr>
          <w:p w14:paraId="5897186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155</w:t>
            </w:r>
          </w:p>
        </w:tc>
        <w:tc>
          <w:tcPr>
            <w:tcW w:w="1260" w:type="dxa"/>
          </w:tcPr>
          <w:p w14:paraId="3790A7C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c>
          <w:tcPr>
            <w:tcW w:w="1260" w:type="dxa"/>
          </w:tcPr>
          <w:p w14:paraId="4380334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c>
          <w:tcPr>
            <w:tcW w:w="1005" w:type="dxa"/>
          </w:tcPr>
          <w:p w14:paraId="283C5CC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r>
      <w:tr w:rsidR="00CB5308" w:rsidRPr="00070ADE" w14:paraId="3F4CEA44" w14:textId="77777777">
        <w:trPr>
          <w:jc w:val="center"/>
        </w:trPr>
        <w:tc>
          <w:tcPr>
            <w:tcW w:w="3165" w:type="dxa"/>
          </w:tcPr>
          <w:p w14:paraId="6EB4397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ЯК-7</w:t>
            </w:r>
          </w:p>
        </w:tc>
        <w:tc>
          <w:tcPr>
            <w:tcW w:w="2880" w:type="dxa"/>
          </w:tcPr>
          <w:p w14:paraId="130E513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211</w:t>
            </w:r>
          </w:p>
        </w:tc>
        <w:tc>
          <w:tcPr>
            <w:tcW w:w="1260" w:type="dxa"/>
          </w:tcPr>
          <w:p w14:paraId="274E9EE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tc>
        <w:tc>
          <w:tcPr>
            <w:tcW w:w="1260" w:type="dxa"/>
          </w:tcPr>
          <w:p w14:paraId="0E3290F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w:t>
            </w:r>
          </w:p>
        </w:tc>
        <w:tc>
          <w:tcPr>
            <w:tcW w:w="1005" w:type="dxa"/>
          </w:tcPr>
          <w:p w14:paraId="44EFD1B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w:t>
            </w:r>
          </w:p>
        </w:tc>
      </w:tr>
      <w:tr w:rsidR="00CB5308" w:rsidRPr="00070ADE" w14:paraId="3FEB1E6B" w14:textId="77777777">
        <w:trPr>
          <w:jc w:val="center"/>
        </w:trPr>
        <w:tc>
          <w:tcPr>
            <w:tcW w:w="3165" w:type="dxa"/>
          </w:tcPr>
          <w:p w14:paraId="04C4008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ЯК-7</w:t>
            </w:r>
          </w:p>
        </w:tc>
        <w:tc>
          <w:tcPr>
            <w:tcW w:w="2880" w:type="dxa"/>
          </w:tcPr>
          <w:p w14:paraId="6E5616D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1560</w:t>
            </w:r>
          </w:p>
        </w:tc>
        <w:tc>
          <w:tcPr>
            <w:tcW w:w="1260" w:type="dxa"/>
          </w:tcPr>
          <w:p w14:paraId="77B7D6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1260" w:type="dxa"/>
          </w:tcPr>
          <w:p w14:paraId="62ACF1F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505</w:t>
            </w:r>
          </w:p>
        </w:tc>
        <w:tc>
          <w:tcPr>
            <w:tcW w:w="1005" w:type="dxa"/>
          </w:tcPr>
          <w:p w14:paraId="1FCABE1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555</w:t>
            </w:r>
          </w:p>
        </w:tc>
      </w:tr>
      <w:tr w:rsidR="00CB5308" w:rsidRPr="00070ADE" w14:paraId="6F8E0465" w14:textId="77777777">
        <w:trPr>
          <w:jc w:val="center"/>
        </w:trPr>
        <w:tc>
          <w:tcPr>
            <w:tcW w:w="3165" w:type="dxa"/>
          </w:tcPr>
          <w:p w14:paraId="39FAD33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w:t>
            </w:r>
          </w:p>
        </w:tc>
        <w:tc>
          <w:tcPr>
            <w:tcW w:w="2880" w:type="dxa"/>
          </w:tcPr>
          <w:p w14:paraId="66852DA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1490</w:t>
            </w:r>
          </w:p>
        </w:tc>
        <w:tc>
          <w:tcPr>
            <w:tcW w:w="1260" w:type="dxa"/>
          </w:tcPr>
          <w:p w14:paraId="1E366A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475</w:t>
            </w:r>
          </w:p>
        </w:tc>
        <w:tc>
          <w:tcPr>
            <w:tcW w:w="1260" w:type="dxa"/>
          </w:tcPr>
          <w:p w14:paraId="289F338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475</w:t>
            </w:r>
          </w:p>
        </w:tc>
        <w:tc>
          <w:tcPr>
            <w:tcW w:w="1005" w:type="dxa"/>
          </w:tcPr>
          <w:p w14:paraId="7E892C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540</w:t>
            </w:r>
          </w:p>
        </w:tc>
      </w:tr>
      <w:tr w:rsidR="00CB5308" w:rsidRPr="00070ADE" w14:paraId="443BAD20" w14:textId="77777777">
        <w:trPr>
          <w:jc w:val="center"/>
        </w:trPr>
        <w:tc>
          <w:tcPr>
            <w:tcW w:w="3165" w:type="dxa"/>
          </w:tcPr>
          <w:p w14:paraId="364B97C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Лагг-3</w:t>
            </w:r>
          </w:p>
        </w:tc>
        <w:tc>
          <w:tcPr>
            <w:tcW w:w="2880" w:type="dxa"/>
          </w:tcPr>
          <w:p w14:paraId="0D0B1F6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c>
          <w:tcPr>
            <w:tcW w:w="1260" w:type="dxa"/>
          </w:tcPr>
          <w:p w14:paraId="7EBFEE3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tc>
        <w:tc>
          <w:tcPr>
            <w:tcW w:w="1260" w:type="dxa"/>
          </w:tcPr>
          <w:p w14:paraId="2423426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1005" w:type="dxa"/>
          </w:tcPr>
          <w:p w14:paraId="77B70B5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r>
      <w:tr w:rsidR="00CB5308" w:rsidRPr="00070ADE" w14:paraId="310C32A6" w14:textId="77777777">
        <w:trPr>
          <w:jc w:val="center"/>
        </w:trPr>
        <w:tc>
          <w:tcPr>
            <w:tcW w:w="3165" w:type="dxa"/>
          </w:tcPr>
          <w:p w14:paraId="406D834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штурмовиков</w:t>
            </w:r>
          </w:p>
        </w:tc>
        <w:tc>
          <w:tcPr>
            <w:tcW w:w="2880" w:type="dxa"/>
          </w:tcPr>
          <w:p w14:paraId="445164A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3013</w:t>
            </w:r>
          </w:p>
        </w:tc>
        <w:tc>
          <w:tcPr>
            <w:tcW w:w="1260" w:type="dxa"/>
          </w:tcPr>
          <w:p w14:paraId="018E2C5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975</w:t>
            </w:r>
          </w:p>
        </w:tc>
        <w:tc>
          <w:tcPr>
            <w:tcW w:w="1260" w:type="dxa"/>
          </w:tcPr>
          <w:p w14:paraId="4646B8E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975</w:t>
            </w:r>
          </w:p>
        </w:tc>
        <w:tc>
          <w:tcPr>
            <w:tcW w:w="1005" w:type="dxa"/>
          </w:tcPr>
          <w:p w14:paraId="223046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1063</w:t>
            </w:r>
          </w:p>
        </w:tc>
      </w:tr>
      <w:tr w:rsidR="00CB5308" w:rsidRPr="00070ADE" w14:paraId="3752AB7D" w14:textId="77777777">
        <w:trPr>
          <w:jc w:val="center"/>
        </w:trPr>
        <w:tc>
          <w:tcPr>
            <w:tcW w:w="3165" w:type="dxa"/>
          </w:tcPr>
          <w:p w14:paraId="3BFFE7F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бомбардировщиков</w:t>
            </w:r>
          </w:p>
        </w:tc>
        <w:tc>
          <w:tcPr>
            <w:tcW w:w="2880" w:type="dxa"/>
          </w:tcPr>
          <w:p w14:paraId="6372CA8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1032</w:t>
            </w:r>
          </w:p>
        </w:tc>
        <w:tc>
          <w:tcPr>
            <w:tcW w:w="1260" w:type="dxa"/>
          </w:tcPr>
          <w:p w14:paraId="45D0175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321</w:t>
            </w:r>
          </w:p>
        </w:tc>
        <w:tc>
          <w:tcPr>
            <w:tcW w:w="1260" w:type="dxa"/>
          </w:tcPr>
          <w:p w14:paraId="5B1C92A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333</w:t>
            </w:r>
          </w:p>
        </w:tc>
        <w:tc>
          <w:tcPr>
            <w:tcW w:w="1005" w:type="dxa"/>
          </w:tcPr>
          <w:p w14:paraId="72335BB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378</w:t>
            </w:r>
          </w:p>
        </w:tc>
      </w:tr>
      <w:tr w:rsidR="00CB5308" w:rsidRPr="00070ADE" w14:paraId="536771C9" w14:textId="77777777">
        <w:trPr>
          <w:jc w:val="center"/>
        </w:trPr>
        <w:tc>
          <w:tcPr>
            <w:tcW w:w="3165" w:type="dxa"/>
          </w:tcPr>
          <w:p w14:paraId="7989A7C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них: ПЕ-2</w:t>
            </w:r>
          </w:p>
        </w:tc>
        <w:tc>
          <w:tcPr>
            <w:tcW w:w="2880" w:type="dxa"/>
          </w:tcPr>
          <w:p w14:paraId="30F7A26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573</w:t>
            </w:r>
          </w:p>
        </w:tc>
        <w:tc>
          <w:tcPr>
            <w:tcW w:w="1260" w:type="dxa"/>
          </w:tcPr>
          <w:p w14:paraId="271DA94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205</w:t>
            </w:r>
          </w:p>
        </w:tc>
        <w:tc>
          <w:tcPr>
            <w:tcW w:w="1260" w:type="dxa"/>
          </w:tcPr>
          <w:p w14:paraId="37F3BF3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190</w:t>
            </w:r>
          </w:p>
        </w:tc>
        <w:tc>
          <w:tcPr>
            <w:tcW w:w="1005" w:type="dxa"/>
          </w:tcPr>
          <w:p w14:paraId="1CFA8F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178</w:t>
            </w:r>
          </w:p>
        </w:tc>
      </w:tr>
      <w:tr w:rsidR="00CB5308" w:rsidRPr="00070ADE" w14:paraId="4A5265EF" w14:textId="77777777">
        <w:trPr>
          <w:jc w:val="center"/>
        </w:trPr>
        <w:tc>
          <w:tcPr>
            <w:tcW w:w="3165" w:type="dxa"/>
          </w:tcPr>
          <w:p w14:paraId="428508D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ПЕ-3</w:t>
            </w:r>
          </w:p>
        </w:tc>
        <w:tc>
          <w:tcPr>
            <w:tcW w:w="2880" w:type="dxa"/>
          </w:tcPr>
          <w:p w14:paraId="04B1956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tc>
        <w:tc>
          <w:tcPr>
            <w:tcW w:w="1260" w:type="dxa"/>
          </w:tcPr>
          <w:p w14:paraId="2BBE1E3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1260" w:type="dxa"/>
          </w:tcPr>
          <w:p w14:paraId="379AC10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tc>
        <w:tc>
          <w:tcPr>
            <w:tcW w:w="1005" w:type="dxa"/>
          </w:tcPr>
          <w:p w14:paraId="46EB421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w:t>
            </w:r>
          </w:p>
        </w:tc>
      </w:tr>
      <w:tr w:rsidR="00CB5308" w:rsidRPr="00070ADE" w14:paraId="6962B494" w14:textId="77777777">
        <w:trPr>
          <w:jc w:val="center"/>
        </w:trPr>
        <w:tc>
          <w:tcPr>
            <w:tcW w:w="3165" w:type="dxa"/>
          </w:tcPr>
          <w:p w14:paraId="561D60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ПЕ-8</w:t>
            </w:r>
          </w:p>
        </w:tc>
        <w:tc>
          <w:tcPr>
            <w:tcW w:w="2880" w:type="dxa"/>
          </w:tcPr>
          <w:p w14:paraId="401B916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tc>
        <w:tc>
          <w:tcPr>
            <w:tcW w:w="1260" w:type="dxa"/>
          </w:tcPr>
          <w:p w14:paraId="7CA4FB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1260" w:type="dxa"/>
          </w:tcPr>
          <w:p w14:paraId="6058C41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1005" w:type="dxa"/>
          </w:tcPr>
          <w:p w14:paraId="48686E7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r>
      <w:tr w:rsidR="00CB5308" w:rsidRPr="00070ADE" w14:paraId="3CB526FA" w14:textId="77777777">
        <w:trPr>
          <w:jc w:val="center"/>
        </w:trPr>
        <w:tc>
          <w:tcPr>
            <w:tcW w:w="3165" w:type="dxa"/>
          </w:tcPr>
          <w:p w14:paraId="0AB67A7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ИЛ-4</w:t>
            </w:r>
          </w:p>
        </w:tc>
        <w:tc>
          <w:tcPr>
            <w:tcW w:w="2880" w:type="dxa"/>
          </w:tcPr>
          <w:p w14:paraId="1584116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209</w:t>
            </w:r>
          </w:p>
        </w:tc>
        <w:tc>
          <w:tcPr>
            <w:tcW w:w="1260" w:type="dxa"/>
          </w:tcPr>
          <w:p w14:paraId="069B5E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w:t>
            </w:r>
          </w:p>
        </w:tc>
        <w:tc>
          <w:tcPr>
            <w:tcW w:w="1260" w:type="dxa"/>
          </w:tcPr>
          <w:p w14:paraId="119575C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w:t>
            </w:r>
          </w:p>
        </w:tc>
        <w:tc>
          <w:tcPr>
            <w:tcW w:w="1005" w:type="dxa"/>
          </w:tcPr>
          <w:p w14:paraId="2DD4184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w:t>
            </w:r>
          </w:p>
        </w:tc>
      </w:tr>
      <w:tr w:rsidR="00CB5308" w:rsidRPr="00070ADE" w14:paraId="163F9693" w14:textId="77777777">
        <w:trPr>
          <w:jc w:val="center"/>
        </w:trPr>
        <w:tc>
          <w:tcPr>
            <w:tcW w:w="3165" w:type="dxa"/>
          </w:tcPr>
          <w:p w14:paraId="0CA518F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ТУ-2</w:t>
            </w:r>
          </w:p>
        </w:tc>
        <w:tc>
          <w:tcPr>
            <w:tcW w:w="2880" w:type="dxa"/>
          </w:tcPr>
          <w:p w14:paraId="34BB94E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w:t>
            </w:r>
          </w:p>
        </w:tc>
        <w:tc>
          <w:tcPr>
            <w:tcW w:w="1260" w:type="dxa"/>
          </w:tcPr>
          <w:p w14:paraId="1B4BF4E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w:t>
            </w:r>
          </w:p>
        </w:tc>
        <w:tc>
          <w:tcPr>
            <w:tcW w:w="1260" w:type="dxa"/>
          </w:tcPr>
          <w:p w14:paraId="4BFE0D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1005" w:type="dxa"/>
          </w:tcPr>
          <w:p w14:paraId="6C5865A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r>
      <w:tr w:rsidR="00CB5308" w:rsidRPr="00070ADE" w14:paraId="5784E83D" w14:textId="77777777">
        <w:trPr>
          <w:jc w:val="center"/>
        </w:trPr>
        <w:tc>
          <w:tcPr>
            <w:tcW w:w="3165" w:type="dxa"/>
          </w:tcPr>
          <w:p w14:paraId="20804B2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ЕР-2</w:t>
            </w:r>
          </w:p>
        </w:tc>
        <w:tc>
          <w:tcPr>
            <w:tcW w:w="2880" w:type="dxa"/>
          </w:tcPr>
          <w:p w14:paraId="74D041D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w:t>
            </w:r>
          </w:p>
        </w:tc>
        <w:tc>
          <w:tcPr>
            <w:tcW w:w="1260" w:type="dxa"/>
          </w:tcPr>
          <w:p w14:paraId="747B3FD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1260" w:type="dxa"/>
          </w:tcPr>
          <w:p w14:paraId="374D918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1005" w:type="dxa"/>
          </w:tcPr>
          <w:p w14:paraId="35D56B5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w:t>
            </w:r>
          </w:p>
        </w:tc>
      </w:tr>
      <w:tr w:rsidR="00CB5308" w:rsidRPr="00070ADE" w14:paraId="4BBAC301" w14:textId="77777777">
        <w:trPr>
          <w:jc w:val="center"/>
        </w:trPr>
        <w:tc>
          <w:tcPr>
            <w:tcW w:w="3165" w:type="dxa"/>
          </w:tcPr>
          <w:p w14:paraId="20CE460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транспортных</w:t>
            </w:r>
          </w:p>
        </w:tc>
        <w:tc>
          <w:tcPr>
            <w:tcW w:w="2880" w:type="dxa"/>
          </w:tcPr>
          <w:p w14:paraId="24603FA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314</w:t>
            </w:r>
          </w:p>
        </w:tc>
        <w:tc>
          <w:tcPr>
            <w:tcW w:w="1260" w:type="dxa"/>
          </w:tcPr>
          <w:p w14:paraId="1B7782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w:t>
            </w:r>
          </w:p>
        </w:tc>
        <w:tc>
          <w:tcPr>
            <w:tcW w:w="1260" w:type="dxa"/>
          </w:tcPr>
          <w:p w14:paraId="52E4999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1005" w:type="dxa"/>
          </w:tcPr>
          <w:p w14:paraId="26E574B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124</w:t>
            </w:r>
          </w:p>
        </w:tc>
      </w:tr>
      <w:tr w:rsidR="00CB5308" w:rsidRPr="00070ADE" w14:paraId="5422B117" w14:textId="77777777">
        <w:trPr>
          <w:jc w:val="center"/>
        </w:trPr>
        <w:tc>
          <w:tcPr>
            <w:tcW w:w="3165" w:type="dxa"/>
          </w:tcPr>
          <w:p w14:paraId="56D7DE3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них: ЛИ-2</w:t>
            </w:r>
          </w:p>
        </w:tc>
        <w:tc>
          <w:tcPr>
            <w:tcW w:w="2880" w:type="dxa"/>
          </w:tcPr>
          <w:p w14:paraId="3275EB6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154</w:t>
            </w:r>
          </w:p>
        </w:tc>
        <w:tc>
          <w:tcPr>
            <w:tcW w:w="1260" w:type="dxa"/>
          </w:tcPr>
          <w:p w14:paraId="70D4CA6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1260" w:type="dxa"/>
          </w:tcPr>
          <w:p w14:paraId="2E6682A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1005" w:type="dxa"/>
          </w:tcPr>
          <w:p w14:paraId="2DB000F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w:t>
            </w:r>
          </w:p>
        </w:tc>
      </w:tr>
      <w:tr w:rsidR="00CB5308" w:rsidRPr="00070ADE" w14:paraId="1DD53F8A" w14:textId="77777777">
        <w:trPr>
          <w:jc w:val="center"/>
        </w:trPr>
        <w:tc>
          <w:tcPr>
            <w:tcW w:w="3165" w:type="dxa"/>
          </w:tcPr>
          <w:p w14:paraId="51F0AEA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ЩЕ-2</w:t>
            </w:r>
          </w:p>
        </w:tc>
        <w:tc>
          <w:tcPr>
            <w:tcW w:w="2880" w:type="dxa"/>
          </w:tcPr>
          <w:p w14:paraId="1967FFD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tc>
        <w:tc>
          <w:tcPr>
            <w:tcW w:w="1260" w:type="dxa"/>
          </w:tcPr>
          <w:p w14:paraId="45CF0BD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1260" w:type="dxa"/>
          </w:tcPr>
          <w:p w14:paraId="3306E39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1005" w:type="dxa"/>
          </w:tcPr>
          <w:p w14:paraId="2A551A0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r>
      <w:tr w:rsidR="00CB5308" w:rsidRPr="00070ADE" w14:paraId="5958E651" w14:textId="77777777">
        <w:trPr>
          <w:jc w:val="center"/>
        </w:trPr>
        <w:tc>
          <w:tcPr>
            <w:tcW w:w="3165" w:type="dxa"/>
          </w:tcPr>
          <w:p w14:paraId="18F34A4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С-2</w:t>
            </w:r>
          </w:p>
        </w:tc>
        <w:tc>
          <w:tcPr>
            <w:tcW w:w="2880" w:type="dxa"/>
          </w:tcPr>
          <w:p w14:paraId="48765C8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w:t>
            </w:r>
          </w:p>
        </w:tc>
        <w:tc>
          <w:tcPr>
            <w:tcW w:w="1260" w:type="dxa"/>
          </w:tcPr>
          <w:p w14:paraId="7FC8070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tc>
        <w:tc>
          <w:tcPr>
            <w:tcW w:w="1260" w:type="dxa"/>
          </w:tcPr>
          <w:p w14:paraId="37C3420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c>
          <w:tcPr>
            <w:tcW w:w="1005" w:type="dxa"/>
          </w:tcPr>
          <w:p w14:paraId="58CA061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r>
      <w:tr w:rsidR="00CB5308" w:rsidRPr="00070ADE" w14:paraId="62B0B602" w14:textId="77777777">
        <w:trPr>
          <w:jc w:val="center"/>
        </w:trPr>
        <w:tc>
          <w:tcPr>
            <w:tcW w:w="3165" w:type="dxa"/>
          </w:tcPr>
          <w:p w14:paraId="4288873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учебных</w:t>
            </w:r>
          </w:p>
        </w:tc>
        <w:tc>
          <w:tcPr>
            <w:tcW w:w="2880" w:type="dxa"/>
          </w:tcPr>
          <w:p w14:paraId="0AB8485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1259</w:t>
            </w:r>
          </w:p>
        </w:tc>
        <w:tc>
          <w:tcPr>
            <w:tcW w:w="1260" w:type="dxa"/>
          </w:tcPr>
          <w:p w14:paraId="5ABCC3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395</w:t>
            </w:r>
          </w:p>
        </w:tc>
        <w:tc>
          <w:tcPr>
            <w:tcW w:w="1260" w:type="dxa"/>
          </w:tcPr>
          <w:p w14:paraId="169828F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405</w:t>
            </w:r>
          </w:p>
        </w:tc>
        <w:tc>
          <w:tcPr>
            <w:tcW w:w="1005" w:type="dxa"/>
          </w:tcPr>
          <w:p w14:paraId="6668EF4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459</w:t>
            </w:r>
          </w:p>
        </w:tc>
      </w:tr>
      <w:tr w:rsidR="00CB5308" w:rsidRPr="00070ADE" w14:paraId="0D64190D" w14:textId="77777777">
        <w:trPr>
          <w:jc w:val="center"/>
        </w:trPr>
        <w:tc>
          <w:tcPr>
            <w:tcW w:w="3165" w:type="dxa"/>
          </w:tcPr>
          <w:p w14:paraId="3043598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них: У-2</w:t>
            </w:r>
          </w:p>
        </w:tc>
        <w:tc>
          <w:tcPr>
            <w:tcW w:w="2880" w:type="dxa"/>
          </w:tcPr>
          <w:p w14:paraId="22CF1C2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1028</w:t>
            </w:r>
          </w:p>
        </w:tc>
        <w:tc>
          <w:tcPr>
            <w:tcW w:w="1260" w:type="dxa"/>
          </w:tcPr>
          <w:p w14:paraId="7E7741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w:t>
            </w:r>
          </w:p>
        </w:tc>
        <w:tc>
          <w:tcPr>
            <w:tcW w:w="1260" w:type="dxa"/>
          </w:tcPr>
          <w:p w14:paraId="4009933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330</w:t>
            </w:r>
          </w:p>
        </w:tc>
        <w:tc>
          <w:tcPr>
            <w:tcW w:w="1005" w:type="dxa"/>
          </w:tcPr>
          <w:p w14:paraId="4A612F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378</w:t>
            </w:r>
          </w:p>
        </w:tc>
      </w:tr>
      <w:tr w:rsidR="00CB5308" w:rsidRPr="00070ADE" w14:paraId="482A6025" w14:textId="77777777">
        <w:trPr>
          <w:jc w:val="center"/>
        </w:trPr>
        <w:tc>
          <w:tcPr>
            <w:tcW w:w="3165" w:type="dxa"/>
          </w:tcPr>
          <w:p w14:paraId="5421B5A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УТ-2</w:t>
            </w:r>
          </w:p>
        </w:tc>
        <w:tc>
          <w:tcPr>
            <w:tcW w:w="2880" w:type="dxa"/>
          </w:tcPr>
          <w:p w14:paraId="2C42AEC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231</w:t>
            </w:r>
          </w:p>
        </w:tc>
        <w:tc>
          <w:tcPr>
            <w:tcW w:w="1260" w:type="dxa"/>
          </w:tcPr>
          <w:p w14:paraId="153793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tc>
        <w:tc>
          <w:tcPr>
            <w:tcW w:w="1260" w:type="dxa"/>
          </w:tcPr>
          <w:p w14:paraId="100F8C9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tc>
        <w:tc>
          <w:tcPr>
            <w:tcW w:w="1005" w:type="dxa"/>
          </w:tcPr>
          <w:p w14:paraId="3F91670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w:t>
            </w:r>
          </w:p>
        </w:tc>
      </w:tr>
      <w:tr w:rsidR="00CB5308" w:rsidRPr="00070ADE" w14:paraId="30F6793F" w14:textId="77777777">
        <w:trPr>
          <w:jc w:val="center"/>
        </w:trPr>
        <w:tc>
          <w:tcPr>
            <w:tcW w:w="3165" w:type="dxa"/>
          </w:tcPr>
          <w:p w14:paraId="1CB734C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самолетов:</w:t>
            </w:r>
          </w:p>
        </w:tc>
        <w:tc>
          <w:tcPr>
            <w:tcW w:w="2880" w:type="dxa"/>
          </w:tcPr>
          <w:p w14:paraId="3B71494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9886</w:t>
            </w:r>
          </w:p>
        </w:tc>
        <w:tc>
          <w:tcPr>
            <w:tcW w:w="1260" w:type="dxa"/>
          </w:tcPr>
          <w:p w14:paraId="04151A7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3181</w:t>
            </w:r>
          </w:p>
        </w:tc>
        <w:tc>
          <w:tcPr>
            <w:tcW w:w="1260" w:type="dxa"/>
          </w:tcPr>
          <w:p w14:paraId="38A4E96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3188</w:t>
            </w:r>
          </w:p>
        </w:tc>
        <w:tc>
          <w:tcPr>
            <w:tcW w:w="1005" w:type="dxa"/>
          </w:tcPr>
          <w:p w14:paraId="299AC14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3517</w:t>
            </w:r>
          </w:p>
        </w:tc>
      </w:tr>
      <w:tr w:rsidR="00CB5308" w:rsidRPr="00070ADE" w14:paraId="47B816B8" w14:textId="77777777">
        <w:trPr>
          <w:jc w:val="center"/>
        </w:trPr>
        <w:tc>
          <w:tcPr>
            <w:tcW w:w="3165" w:type="dxa"/>
            <w:tcBorders>
              <w:bottom w:val="single" w:sz="12" w:space="0" w:color="auto"/>
            </w:tcBorders>
          </w:tcPr>
          <w:p w14:paraId="7A962A4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том числе боевых:</w:t>
            </w:r>
          </w:p>
        </w:tc>
        <w:tc>
          <w:tcPr>
            <w:tcW w:w="2880" w:type="dxa"/>
            <w:tcBorders>
              <w:bottom w:val="single" w:sz="12" w:space="0" w:color="auto"/>
            </w:tcBorders>
          </w:tcPr>
          <w:p w14:paraId="6DE1793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8313</w:t>
            </w:r>
          </w:p>
        </w:tc>
        <w:tc>
          <w:tcPr>
            <w:tcW w:w="1260" w:type="dxa"/>
            <w:tcBorders>
              <w:bottom w:val="single" w:sz="12" w:space="0" w:color="auto"/>
            </w:tcBorders>
          </w:tcPr>
          <w:p w14:paraId="7DF49B2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2696</w:t>
            </w:r>
          </w:p>
        </w:tc>
        <w:tc>
          <w:tcPr>
            <w:tcW w:w="1260" w:type="dxa"/>
            <w:tcBorders>
              <w:bottom w:val="single" w:sz="12" w:space="0" w:color="auto"/>
            </w:tcBorders>
          </w:tcPr>
          <w:p w14:paraId="2BF2305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2683</w:t>
            </w:r>
          </w:p>
        </w:tc>
        <w:tc>
          <w:tcPr>
            <w:tcW w:w="1005" w:type="dxa"/>
            <w:tcBorders>
              <w:bottom w:val="single" w:sz="12" w:space="0" w:color="auto"/>
            </w:tcBorders>
          </w:tcPr>
          <w:p w14:paraId="05346FF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2934</w:t>
            </w:r>
          </w:p>
        </w:tc>
      </w:tr>
    </w:tbl>
    <w:p w14:paraId="7C4C6F5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Установить Наркомавиапрому на 1 квартал 1944 года план производства авиационных моторов в количестве 14404 шт., в том числе по типам:</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165"/>
        <w:gridCol w:w="2880"/>
        <w:gridCol w:w="1260"/>
        <w:gridCol w:w="1260"/>
        <w:gridCol w:w="1005"/>
      </w:tblGrid>
      <w:tr w:rsidR="00CB5308" w:rsidRPr="00070ADE" w14:paraId="09F7F973" w14:textId="77777777" w:rsidTr="003712D9">
        <w:trPr>
          <w:jc w:val="center"/>
        </w:trPr>
        <w:tc>
          <w:tcPr>
            <w:tcW w:w="3165" w:type="dxa"/>
            <w:tcBorders>
              <w:top w:val="single" w:sz="12" w:space="0" w:color="auto"/>
            </w:tcBorders>
          </w:tcPr>
          <w:p w14:paraId="1B57C53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мотора</w:t>
            </w:r>
          </w:p>
        </w:tc>
        <w:tc>
          <w:tcPr>
            <w:tcW w:w="2880" w:type="dxa"/>
            <w:tcBorders>
              <w:top w:val="single" w:sz="12" w:space="0" w:color="auto"/>
            </w:tcBorders>
          </w:tcPr>
          <w:p w14:paraId="113628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на квартал</w:t>
            </w:r>
          </w:p>
        </w:tc>
        <w:tc>
          <w:tcPr>
            <w:tcW w:w="1260" w:type="dxa"/>
            <w:gridSpan w:val="3"/>
            <w:tcBorders>
              <w:top w:val="single" w:sz="12" w:space="0" w:color="auto"/>
            </w:tcBorders>
          </w:tcPr>
          <w:p w14:paraId="65BC759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месяцам</w:t>
            </w:r>
          </w:p>
        </w:tc>
      </w:tr>
      <w:tr w:rsidR="00CB5308" w:rsidRPr="00070ADE" w14:paraId="5096B7FE" w14:textId="77777777">
        <w:trPr>
          <w:jc w:val="center"/>
        </w:trPr>
        <w:tc>
          <w:tcPr>
            <w:tcW w:w="3165" w:type="dxa"/>
          </w:tcPr>
          <w:p w14:paraId="0929713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Pr>
          <w:p w14:paraId="15E92CE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Pr>
          <w:p w14:paraId="2D6CCFF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январь </w:t>
            </w:r>
          </w:p>
        </w:tc>
        <w:tc>
          <w:tcPr>
            <w:tcW w:w="1260" w:type="dxa"/>
          </w:tcPr>
          <w:p w14:paraId="42742BF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февраль </w:t>
            </w:r>
          </w:p>
        </w:tc>
        <w:tc>
          <w:tcPr>
            <w:tcW w:w="1005" w:type="dxa"/>
          </w:tcPr>
          <w:p w14:paraId="7DC6D99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март</w:t>
            </w:r>
          </w:p>
        </w:tc>
      </w:tr>
      <w:tr w:rsidR="00CB5308" w:rsidRPr="00070ADE" w14:paraId="73F68A9C" w14:textId="77777777">
        <w:trPr>
          <w:jc w:val="center"/>
        </w:trPr>
        <w:tc>
          <w:tcPr>
            <w:tcW w:w="3165" w:type="dxa"/>
          </w:tcPr>
          <w:p w14:paraId="411D7D6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М-105ПФ</w:t>
            </w:r>
          </w:p>
        </w:tc>
        <w:tc>
          <w:tcPr>
            <w:tcW w:w="2880" w:type="dxa"/>
          </w:tcPr>
          <w:p w14:paraId="236031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4948</w:t>
            </w:r>
          </w:p>
        </w:tc>
        <w:tc>
          <w:tcPr>
            <w:tcW w:w="1260" w:type="dxa"/>
          </w:tcPr>
          <w:p w14:paraId="3C505E3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1592</w:t>
            </w:r>
          </w:p>
        </w:tc>
        <w:tc>
          <w:tcPr>
            <w:tcW w:w="1260" w:type="dxa"/>
          </w:tcPr>
          <w:p w14:paraId="723B5ED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1625</w:t>
            </w:r>
          </w:p>
        </w:tc>
        <w:tc>
          <w:tcPr>
            <w:tcW w:w="1005" w:type="dxa"/>
          </w:tcPr>
          <w:p w14:paraId="6AB319E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1731</w:t>
            </w:r>
          </w:p>
        </w:tc>
      </w:tr>
      <w:tr w:rsidR="00CB5308" w:rsidRPr="00070ADE" w14:paraId="2DD6213B" w14:textId="77777777">
        <w:trPr>
          <w:jc w:val="center"/>
        </w:trPr>
        <w:tc>
          <w:tcPr>
            <w:tcW w:w="3165" w:type="dxa"/>
          </w:tcPr>
          <w:p w14:paraId="543089F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М-82ФН</w:t>
            </w:r>
          </w:p>
        </w:tc>
        <w:tc>
          <w:tcPr>
            <w:tcW w:w="2880" w:type="dxa"/>
          </w:tcPr>
          <w:p w14:paraId="652AB0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1204</w:t>
            </w:r>
          </w:p>
        </w:tc>
        <w:tc>
          <w:tcPr>
            <w:tcW w:w="1260" w:type="dxa"/>
          </w:tcPr>
          <w:p w14:paraId="31D1BA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317</w:t>
            </w:r>
          </w:p>
        </w:tc>
        <w:tc>
          <w:tcPr>
            <w:tcW w:w="1260" w:type="dxa"/>
          </w:tcPr>
          <w:p w14:paraId="55DD610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390</w:t>
            </w:r>
          </w:p>
        </w:tc>
        <w:tc>
          <w:tcPr>
            <w:tcW w:w="1005" w:type="dxa"/>
          </w:tcPr>
          <w:p w14:paraId="28DFD40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497</w:t>
            </w:r>
          </w:p>
        </w:tc>
      </w:tr>
      <w:tr w:rsidR="00CB5308" w:rsidRPr="00070ADE" w14:paraId="4065FCE1" w14:textId="77777777">
        <w:trPr>
          <w:jc w:val="center"/>
        </w:trPr>
        <w:tc>
          <w:tcPr>
            <w:tcW w:w="3165" w:type="dxa"/>
          </w:tcPr>
          <w:p w14:paraId="0AC5A49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М-82Ф</w:t>
            </w:r>
          </w:p>
        </w:tc>
        <w:tc>
          <w:tcPr>
            <w:tcW w:w="2880" w:type="dxa"/>
          </w:tcPr>
          <w:p w14:paraId="5B48B5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768</w:t>
            </w:r>
          </w:p>
        </w:tc>
        <w:tc>
          <w:tcPr>
            <w:tcW w:w="1260" w:type="dxa"/>
          </w:tcPr>
          <w:p w14:paraId="0F72B3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275</w:t>
            </w:r>
          </w:p>
        </w:tc>
        <w:tc>
          <w:tcPr>
            <w:tcW w:w="1260" w:type="dxa"/>
          </w:tcPr>
          <w:p w14:paraId="3E6DE8D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1005" w:type="dxa"/>
          </w:tcPr>
          <w:p w14:paraId="1989394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243</w:t>
            </w:r>
          </w:p>
        </w:tc>
      </w:tr>
      <w:tr w:rsidR="00CB5308" w:rsidRPr="00070ADE" w14:paraId="241D9B8B" w14:textId="77777777">
        <w:trPr>
          <w:jc w:val="center"/>
        </w:trPr>
        <w:tc>
          <w:tcPr>
            <w:tcW w:w="3165" w:type="dxa"/>
          </w:tcPr>
          <w:p w14:paraId="23A3192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АМ-38Ф</w:t>
            </w:r>
          </w:p>
        </w:tc>
        <w:tc>
          <w:tcPr>
            <w:tcW w:w="2880" w:type="dxa"/>
          </w:tcPr>
          <w:p w14:paraId="4308F01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3860</w:t>
            </w:r>
          </w:p>
        </w:tc>
        <w:tc>
          <w:tcPr>
            <w:tcW w:w="1260" w:type="dxa"/>
          </w:tcPr>
          <w:p w14:paraId="48EEA28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1250</w:t>
            </w:r>
          </w:p>
        </w:tc>
        <w:tc>
          <w:tcPr>
            <w:tcW w:w="1260" w:type="dxa"/>
          </w:tcPr>
          <w:p w14:paraId="05DDF38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1260</w:t>
            </w:r>
          </w:p>
        </w:tc>
        <w:tc>
          <w:tcPr>
            <w:tcW w:w="1005" w:type="dxa"/>
          </w:tcPr>
          <w:p w14:paraId="2ED45D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1350</w:t>
            </w:r>
          </w:p>
        </w:tc>
      </w:tr>
      <w:tr w:rsidR="00CB5308" w:rsidRPr="00070ADE" w14:paraId="313E5806" w14:textId="77777777">
        <w:trPr>
          <w:jc w:val="center"/>
        </w:trPr>
        <w:tc>
          <w:tcPr>
            <w:tcW w:w="3165" w:type="dxa"/>
          </w:tcPr>
          <w:p w14:paraId="1EE4E29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М-88Б</w:t>
            </w:r>
          </w:p>
        </w:tc>
        <w:tc>
          <w:tcPr>
            <w:tcW w:w="2880" w:type="dxa"/>
          </w:tcPr>
          <w:p w14:paraId="4DD56C1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690</w:t>
            </w:r>
          </w:p>
        </w:tc>
        <w:tc>
          <w:tcPr>
            <w:tcW w:w="1260" w:type="dxa"/>
          </w:tcPr>
          <w:p w14:paraId="0FA0486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1260" w:type="dxa"/>
          </w:tcPr>
          <w:p w14:paraId="130785E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w:t>
            </w:r>
          </w:p>
        </w:tc>
        <w:tc>
          <w:tcPr>
            <w:tcW w:w="1005" w:type="dxa"/>
          </w:tcPr>
          <w:p w14:paraId="22A8652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w:t>
            </w:r>
          </w:p>
        </w:tc>
      </w:tr>
      <w:tr w:rsidR="00CB5308" w:rsidRPr="00070ADE" w14:paraId="0E5BCC85" w14:textId="77777777">
        <w:trPr>
          <w:jc w:val="center"/>
        </w:trPr>
        <w:tc>
          <w:tcPr>
            <w:tcW w:w="3165" w:type="dxa"/>
          </w:tcPr>
          <w:p w14:paraId="3FC3AE8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М-107А</w:t>
            </w:r>
          </w:p>
        </w:tc>
        <w:tc>
          <w:tcPr>
            <w:tcW w:w="2880" w:type="dxa"/>
          </w:tcPr>
          <w:p w14:paraId="510A59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370</w:t>
            </w:r>
          </w:p>
        </w:tc>
        <w:tc>
          <w:tcPr>
            <w:tcW w:w="1260" w:type="dxa"/>
          </w:tcPr>
          <w:p w14:paraId="152831B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1260" w:type="dxa"/>
          </w:tcPr>
          <w:p w14:paraId="4206F1F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tc>
        <w:tc>
          <w:tcPr>
            <w:tcW w:w="1005" w:type="dxa"/>
          </w:tcPr>
          <w:p w14:paraId="1F7CB5E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r>
      <w:tr w:rsidR="00CB5308" w:rsidRPr="00070ADE" w14:paraId="64C7B3FB" w14:textId="77777777">
        <w:trPr>
          <w:jc w:val="center"/>
        </w:trPr>
        <w:tc>
          <w:tcPr>
            <w:tcW w:w="3165" w:type="dxa"/>
          </w:tcPr>
          <w:p w14:paraId="72C1BD1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М-30Б</w:t>
            </w:r>
          </w:p>
        </w:tc>
        <w:tc>
          <w:tcPr>
            <w:tcW w:w="2880" w:type="dxa"/>
          </w:tcPr>
          <w:p w14:paraId="0D81079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w:t>
            </w:r>
          </w:p>
        </w:tc>
        <w:tc>
          <w:tcPr>
            <w:tcW w:w="1260" w:type="dxa"/>
          </w:tcPr>
          <w:p w14:paraId="2A0CB75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1260" w:type="dxa"/>
          </w:tcPr>
          <w:p w14:paraId="44E1969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tc>
        <w:tc>
          <w:tcPr>
            <w:tcW w:w="1005" w:type="dxa"/>
          </w:tcPr>
          <w:p w14:paraId="1D5BC60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r>
      <w:tr w:rsidR="00CB5308" w:rsidRPr="00070ADE" w14:paraId="13EC5363" w14:textId="77777777">
        <w:trPr>
          <w:jc w:val="center"/>
        </w:trPr>
        <w:tc>
          <w:tcPr>
            <w:tcW w:w="3165" w:type="dxa"/>
          </w:tcPr>
          <w:p w14:paraId="5C50970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АМ-42</w:t>
            </w:r>
          </w:p>
        </w:tc>
        <w:tc>
          <w:tcPr>
            <w:tcW w:w="2880" w:type="dxa"/>
          </w:tcPr>
          <w:p w14:paraId="1ABF92A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w:t>
            </w:r>
          </w:p>
        </w:tc>
        <w:tc>
          <w:tcPr>
            <w:tcW w:w="1260" w:type="dxa"/>
          </w:tcPr>
          <w:p w14:paraId="426A151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1260" w:type="dxa"/>
          </w:tcPr>
          <w:p w14:paraId="7AB7057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tc>
        <w:tc>
          <w:tcPr>
            <w:tcW w:w="1005" w:type="dxa"/>
          </w:tcPr>
          <w:p w14:paraId="5A5898D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r>
      <w:tr w:rsidR="00CB5308" w:rsidRPr="00070ADE" w14:paraId="7437C48A" w14:textId="77777777">
        <w:trPr>
          <w:jc w:val="center"/>
        </w:trPr>
        <w:tc>
          <w:tcPr>
            <w:tcW w:w="3165" w:type="dxa"/>
          </w:tcPr>
          <w:p w14:paraId="6C47CA4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АМ-35А</w:t>
            </w:r>
          </w:p>
        </w:tc>
        <w:tc>
          <w:tcPr>
            <w:tcW w:w="2880" w:type="dxa"/>
          </w:tcPr>
          <w:p w14:paraId="192864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c>
          <w:tcPr>
            <w:tcW w:w="1260" w:type="dxa"/>
          </w:tcPr>
          <w:p w14:paraId="3D9536F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c>
          <w:tcPr>
            <w:tcW w:w="1260" w:type="dxa"/>
          </w:tcPr>
          <w:p w14:paraId="2069EBA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c>
          <w:tcPr>
            <w:tcW w:w="1005" w:type="dxa"/>
          </w:tcPr>
          <w:p w14:paraId="1A817A2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r>
      <w:tr w:rsidR="00CB5308" w:rsidRPr="00070ADE" w14:paraId="029020FD" w14:textId="77777777">
        <w:trPr>
          <w:jc w:val="center"/>
        </w:trPr>
        <w:tc>
          <w:tcPr>
            <w:tcW w:w="3165" w:type="dxa"/>
          </w:tcPr>
          <w:p w14:paraId="1A7BDF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М-62ИР</w:t>
            </w:r>
          </w:p>
        </w:tc>
        <w:tc>
          <w:tcPr>
            <w:tcW w:w="2880" w:type="dxa"/>
          </w:tcPr>
          <w:p w14:paraId="1D4AD32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395</w:t>
            </w:r>
          </w:p>
        </w:tc>
        <w:tc>
          <w:tcPr>
            <w:tcW w:w="1260" w:type="dxa"/>
          </w:tcPr>
          <w:p w14:paraId="5A9263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w:t>
            </w:r>
          </w:p>
        </w:tc>
        <w:tc>
          <w:tcPr>
            <w:tcW w:w="1260" w:type="dxa"/>
          </w:tcPr>
          <w:p w14:paraId="3D0A3AA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w:t>
            </w:r>
          </w:p>
        </w:tc>
        <w:tc>
          <w:tcPr>
            <w:tcW w:w="1005" w:type="dxa"/>
          </w:tcPr>
          <w:p w14:paraId="4C7A154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145</w:t>
            </w:r>
          </w:p>
        </w:tc>
      </w:tr>
      <w:tr w:rsidR="00CB5308" w:rsidRPr="00070ADE" w14:paraId="6AE0A8B2" w14:textId="77777777">
        <w:trPr>
          <w:jc w:val="center"/>
        </w:trPr>
        <w:tc>
          <w:tcPr>
            <w:tcW w:w="3165" w:type="dxa"/>
            <w:tcBorders>
              <w:bottom w:val="single" w:sz="12" w:space="0" w:color="auto"/>
            </w:tcBorders>
          </w:tcPr>
          <w:p w14:paraId="6E4E409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М-11</w:t>
            </w:r>
          </w:p>
        </w:tc>
        <w:tc>
          <w:tcPr>
            <w:tcW w:w="2880" w:type="dxa"/>
            <w:tcBorders>
              <w:bottom w:val="single" w:sz="12" w:space="0" w:color="auto"/>
            </w:tcBorders>
          </w:tcPr>
          <w:p w14:paraId="4B116B1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1914</w:t>
            </w:r>
          </w:p>
        </w:tc>
        <w:tc>
          <w:tcPr>
            <w:tcW w:w="1260" w:type="dxa"/>
            <w:tcBorders>
              <w:bottom w:val="single" w:sz="12" w:space="0" w:color="auto"/>
            </w:tcBorders>
          </w:tcPr>
          <w:p w14:paraId="7645B6E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607</w:t>
            </w:r>
          </w:p>
        </w:tc>
        <w:tc>
          <w:tcPr>
            <w:tcW w:w="1260" w:type="dxa"/>
            <w:tcBorders>
              <w:bottom w:val="single" w:sz="12" w:space="0" w:color="auto"/>
            </w:tcBorders>
          </w:tcPr>
          <w:p w14:paraId="6B86B78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625</w:t>
            </w:r>
          </w:p>
        </w:tc>
        <w:tc>
          <w:tcPr>
            <w:tcW w:w="1005" w:type="dxa"/>
            <w:tcBorders>
              <w:bottom w:val="single" w:sz="12" w:space="0" w:color="auto"/>
            </w:tcBorders>
          </w:tcPr>
          <w:p w14:paraId="2A3C6AF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682</w:t>
            </w:r>
          </w:p>
        </w:tc>
      </w:tr>
    </w:tbl>
    <w:p w14:paraId="47B4B77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Установить заводам Наркомавиапрому программу выпуска самолетов на 1 квартал 1944 года в следующих количествах: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85"/>
        <w:gridCol w:w="2970"/>
        <w:gridCol w:w="2130"/>
        <w:gridCol w:w="1155"/>
        <w:gridCol w:w="1230"/>
        <w:gridCol w:w="900"/>
      </w:tblGrid>
      <w:tr w:rsidR="00CB5308" w:rsidRPr="00070ADE" w14:paraId="112816C7" w14:textId="77777777" w:rsidTr="003712D9">
        <w:trPr>
          <w:jc w:val="center"/>
        </w:trPr>
        <w:tc>
          <w:tcPr>
            <w:tcW w:w="1185" w:type="dxa"/>
            <w:tcBorders>
              <w:top w:val="single" w:sz="12" w:space="0" w:color="auto"/>
            </w:tcBorders>
          </w:tcPr>
          <w:p w14:paraId="7AF015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заводов</w:t>
            </w:r>
          </w:p>
        </w:tc>
        <w:tc>
          <w:tcPr>
            <w:tcW w:w="2970" w:type="dxa"/>
            <w:tcBorders>
              <w:top w:val="single" w:sz="12" w:space="0" w:color="auto"/>
            </w:tcBorders>
          </w:tcPr>
          <w:p w14:paraId="6786AF1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самолета</w:t>
            </w:r>
          </w:p>
        </w:tc>
        <w:tc>
          <w:tcPr>
            <w:tcW w:w="2130" w:type="dxa"/>
            <w:tcBorders>
              <w:top w:val="single" w:sz="12" w:space="0" w:color="auto"/>
            </w:tcBorders>
          </w:tcPr>
          <w:p w14:paraId="34F7FEF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на квартал</w:t>
            </w:r>
          </w:p>
        </w:tc>
        <w:tc>
          <w:tcPr>
            <w:tcW w:w="1155" w:type="dxa"/>
            <w:gridSpan w:val="3"/>
            <w:tcBorders>
              <w:top w:val="single" w:sz="12" w:space="0" w:color="auto"/>
            </w:tcBorders>
          </w:tcPr>
          <w:p w14:paraId="28FD1C0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месяцам</w:t>
            </w:r>
          </w:p>
        </w:tc>
      </w:tr>
      <w:tr w:rsidR="00CB5308" w:rsidRPr="00070ADE" w14:paraId="3A5CA9AA" w14:textId="77777777">
        <w:trPr>
          <w:jc w:val="center"/>
        </w:trPr>
        <w:tc>
          <w:tcPr>
            <w:tcW w:w="1185" w:type="dxa"/>
          </w:tcPr>
          <w:p w14:paraId="49FE7D8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970" w:type="dxa"/>
          </w:tcPr>
          <w:p w14:paraId="432358F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3E191EA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55" w:type="dxa"/>
          </w:tcPr>
          <w:p w14:paraId="64B8B59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январь </w:t>
            </w:r>
          </w:p>
        </w:tc>
        <w:tc>
          <w:tcPr>
            <w:tcW w:w="1230" w:type="dxa"/>
          </w:tcPr>
          <w:p w14:paraId="1D1C51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февраль </w:t>
            </w:r>
          </w:p>
        </w:tc>
        <w:tc>
          <w:tcPr>
            <w:tcW w:w="900" w:type="dxa"/>
          </w:tcPr>
          <w:p w14:paraId="627EED2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март</w:t>
            </w:r>
          </w:p>
        </w:tc>
      </w:tr>
      <w:tr w:rsidR="00CB5308" w:rsidRPr="00070ADE" w14:paraId="223F2BFE" w14:textId="77777777">
        <w:trPr>
          <w:jc w:val="center"/>
        </w:trPr>
        <w:tc>
          <w:tcPr>
            <w:tcW w:w="1185" w:type="dxa"/>
          </w:tcPr>
          <w:p w14:paraId="0FE5B6F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970" w:type="dxa"/>
          </w:tcPr>
          <w:p w14:paraId="7AA85A1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истребителей</w:t>
            </w:r>
          </w:p>
        </w:tc>
        <w:tc>
          <w:tcPr>
            <w:tcW w:w="2130" w:type="dxa"/>
          </w:tcPr>
          <w:p w14:paraId="2795586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55" w:type="dxa"/>
          </w:tcPr>
          <w:p w14:paraId="276D7A3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2DF5F05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4F12E09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846A051" w14:textId="77777777">
        <w:trPr>
          <w:jc w:val="center"/>
        </w:trPr>
        <w:tc>
          <w:tcPr>
            <w:tcW w:w="1185" w:type="dxa"/>
          </w:tcPr>
          <w:p w14:paraId="6C87840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w:t>
            </w:r>
          </w:p>
        </w:tc>
        <w:tc>
          <w:tcPr>
            <w:tcW w:w="2970" w:type="dxa"/>
          </w:tcPr>
          <w:p w14:paraId="25E0780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 М-82Ф и ФН</w:t>
            </w:r>
          </w:p>
        </w:tc>
        <w:tc>
          <w:tcPr>
            <w:tcW w:w="2130" w:type="dxa"/>
          </w:tcPr>
          <w:p w14:paraId="2F687D3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1232</w:t>
            </w:r>
          </w:p>
        </w:tc>
        <w:tc>
          <w:tcPr>
            <w:tcW w:w="1155" w:type="dxa"/>
          </w:tcPr>
          <w:p w14:paraId="5699031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tc>
        <w:tc>
          <w:tcPr>
            <w:tcW w:w="1230" w:type="dxa"/>
          </w:tcPr>
          <w:p w14:paraId="4719891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tc>
        <w:tc>
          <w:tcPr>
            <w:tcW w:w="900" w:type="dxa"/>
          </w:tcPr>
          <w:p w14:paraId="39AC0B9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432</w:t>
            </w:r>
          </w:p>
        </w:tc>
      </w:tr>
      <w:tr w:rsidR="00CB5308" w:rsidRPr="00070ADE" w14:paraId="07FAD465" w14:textId="77777777">
        <w:trPr>
          <w:jc w:val="center"/>
        </w:trPr>
        <w:tc>
          <w:tcPr>
            <w:tcW w:w="1185" w:type="dxa"/>
          </w:tcPr>
          <w:p w14:paraId="6880F6D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w:t>
            </w:r>
          </w:p>
        </w:tc>
        <w:tc>
          <w:tcPr>
            <w:tcW w:w="2970" w:type="dxa"/>
          </w:tcPr>
          <w:p w14:paraId="3689EDB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Лагг-3 М-105ПФ</w:t>
            </w:r>
          </w:p>
        </w:tc>
        <w:tc>
          <w:tcPr>
            <w:tcW w:w="2130" w:type="dxa"/>
          </w:tcPr>
          <w:p w14:paraId="6471895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c>
          <w:tcPr>
            <w:tcW w:w="1155" w:type="dxa"/>
          </w:tcPr>
          <w:p w14:paraId="72AF35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tc>
        <w:tc>
          <w:tcPr>
            <w:tcW w:w="1230" w:type="dxa"/>
          </w:tcPr>
          <w:p w14:paraId="46B3FAE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900" w:type="dxa"/>
          </w:tcPr>
          <w:p w14:paraId="01ADEA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r>
      <w:tr w:rsidR="00CB5308" w:rsidRPr="00070ADE" w14:paraId="72A73BB2" w14:textId="77777777">
        <w:trPr>
          <w:jc w:val="center"/>
        </w:trPr>
        <w:tc>
          <w:tcPr>
            <w:tcW w:w="1185" w:type="dxa"/>
          </w:tcPr>
          <w:p w14:paraId="3CB2DE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w:t>
            </w:r>
          </w:p>
        </w:tc>
        <w:tc>
          <w:tcPr>
            <w:tcW w:w="2970" w:type="dxa"/>
          </w:tcPr>
          <w:p w14:paraId="3503C54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ЯК-3 М-105ПФ</w:t>
            </w:r>
          </w:p>
        </w:tc>
        <w:tc>
          <w:tcPr>
            <w:tcW w:w="2130" w:type="dxa"/>
          </w:tcPr>
          <w:p w14:paraId="6CB50A0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1155" w:type="dxa"/>
          </w:tcPr>
          <w:p w14:paraId="784E1CA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30" w:type="dxa"/>
          </w:tcPr>
          <w:p w14:paraId="67AD635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900" w:type="dxa"/>
          </w:tcPr>
          <w:p w14:paraId="01C80CF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r>
      <w:tr w:rsidR="00CB5308" w:rsidRPr="00070ADE" w14:paraId="24EB38C1" w14:textId="77777777">
        <w:trPr>
          <w:jc w:val="center"/>
        </w:trPr>
        <w:tc>
          <w:tcPr>
            <w:tcW w:w="1185" w:type="dxa"/>
          </w:tcPr>
          <w:p w14:paraId="14AA0A3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w:t>
            </w:r>
          </w:p>
        </w:tc>
        <w:tc>
          <w:tcPr>
            <w:tcW w:w="2970" w:type="dxa"/>
          </w:tcPr>
          <w:p w14:paraId="5A559AD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ЯК-7 М-105ПФ</w:t>
            </w:r>
          </w:p>
        </w:tc>
        <w:tc>
          <w:tcPr>
            <w:tcW w:w="2130" w:type="dxa"/>
          </w:tcPr>
          <w:p w14:paraId="21222E4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211</w:t>
            </w:r>
          </w:p>
        </w:tc>
        <w:tc>
          <w:tcPr>
            <w:tcW w:w="1155" w:type="dxa"/>
          </w:tcPr>
          <w:p w14:paraId="3756438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tc>
        <w:tc>
          <w:tcPr>
            <w:tcW w:w="1230" w:type="dxa"/>
          </w:tcPr>
          <w:p w14:paraId="036904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w:t>
            </w:r>
          </w:p>
        </w:tc>
        <w:tc>
          <w:tcPr>
            <w:tcW w:w="900" w:type="dxa"/>
          </w:tcPr>
          <w:p w14:paraId="6ECF61E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w:t>
            </w:r>
          </w:p>
        </w:tc>
      </w:tr>
      <w:tr w:rsidR="00CB5308" w:rsidRPr="00070ADE" w14:paraId="3885761B" w14:textId="77777777">
        <w:trPr>
          <w:jc w:val="center"/>
        </w:trPr>
        <w:tc>
          <w:tcPr>
            <w:tcW w:w="1185" w:type="dxa"/>
          </w:tcPr>
          <w:p w14:paraId="6EECFE2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w:t>
            </w:r>
          </w:p>
        </w:tc>
        <w:tc>
          <w:tcPr>
            <w:tcW w:w="2970" w:type="dxa"/>
          </w:tcPr>
          <w:p w14:paraId="14E0222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 М-107А</w:t>
            </w:r>
          </w:p>
        </w:tc>
        <w:tc>
          <w:tcPr>
            <w:tcW w:w="2130" w:type="dxa"/>
          </w:tcPr>
          <w:p w14:paraId="758AD3F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1155" w:type="dxa"/>
          </w:tcPr>
          <w:p w14:paraId="69F25B2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30" w:type="dxa"/>
          </w:tcPr>
          <w:p w14:paraId="119F0E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900" w:type="dxa"/>
          </w:tcPr>
          <w:p w14:paraId="1DF76FB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r>
      <w:tr w:rsidR="00CB5308" w:rsidRPr="00070ADE" w14:paraId="169C406D" w14:textId="77777777">
        <w:trPr>
          <w:jc w:val="center"/>
        </w:trPr>
        <w:tc>
          <w:tcPr>
            <w:tcW w:w="1185" w:type="dxa"/>
          </w:tcPr>
          <w:p w14:paraId="7310AD3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99</w:t>
            </w:r>
          </w:p>
        </w:tc>
        <w:tc>
          <w:tcPr>
            <w:tcW w:w="2970" w:type="dxa"/>
          </w:tcPr>
          <w:p w14:paraId="61D30FA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 М-82Ф</w:t>
            </w:r>
          </w:p>
        </w:tc>
        <w:tc>
          <w:tcPr>
            <w:tcW w:w="2130" w:type="dxa"/>
          </w:tcPr>
          <w:p w14:paraId="790C0AF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w:t>
            </w:r>
          </w:p>
        </w:tc>
        <w:tc>
          <w:tcPr>
            <w:tcW w:w="1155" w:type="dxa"/>
          </w:tcPr>
          <w:p w14:paraId="5E0DF11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1230" w:type="dxa"/>
          </w:tcPr>
          <w:p w14:paraId="57E6B1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900" w:type="dxa"/>
          </w:tcPr>
          <w:p w14:paraId="4844E89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w:t>
            </w:r>
          </w:p>
        </w:tc>
      </w:tr>
      <w:tr w:rsidR="00CB5308" w:rsidRPr="00070ADE" w14:paraId="218B88FA" w14:textId="77777777">
        <w:trPr>
          <w:jc w:val="center"/>
        </w:trPr>
        <w:tc>
          <w:tcPr>
            <w:tcW w:w="1185" w:type="dxa"/>
          </w:tcPr>
          <w:p w14:paraId="03605F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153</w:t>
            </w:r>
          </w:p>
        </w:tc>
        <w:tc>
          <w:tcPr>
            <w:tcW w:w="2970" w:type="dxa"/>
          </w:tcPr>
          <w:p w14:paraId="2335E9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 М-105Ф</w:t>
            </w:r>
          </w:p>
        </w:tc>
        <w:tc>
          <w:tcPr>
            <w:tcW w:w="2130" w:type="dxa"/>
          </w:tcPr>
          <w:p w14:paraId="663ECD5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1232</w:t>
            </w:r>
          </w:p>
        </w:tc>
        <w:tc>
          <w:tcPr>
            <w:tcW w:w="1155" w:type="dxa"/>
          </w:tcPr>
          <w:p w14:paraId="12578D3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tc>
        <w:tc>
          <w:tcPr>
            <w:tcW w:w="1230" w:type="dxa"/>
          </w:tcPr>
          <w:p w14:paraId="43D078C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tc>
        <w:tc>
          <w:tcPr>
            <w:tcW w:w="900" w:type="dxa"/>
          </w:tcPr>
          <w:p w14:paraId="2FB72EC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432</w:t>
            </w:r>
          </w:p>
        </w:tc>
      </w:tr>
      <w:tr w:rsidR="00CB5308" w:rsidRPr="00070ADE" w14:paraId="1021ABA2" w14:textId="77777777">
        <w:trPr>
          <w:jc w:val="center"/>
        </w:trPr>
        <w:tc>
          <w:tcPr>
            <w:tcW w:w="1185" w:type="dxa"/>
          </w:tcPr>
          <w:p w14:paraId="0112A72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166</w:t>
            </w:r>
          </w:p>
        </w:tc>
        <w:tc>
          <w:tcPr>
            <w:tcW w:w="2970" w:type="dxa"/>
          </w:tcPr>
          <w:p w14:paraId="43A25B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 М-105Ф</w:t>
            </w:r>
          </w:p>
        </w:tc>
        <w:tc>
          <w:tcPr>
            <w:tcW w:w="2130" w:type="dxa"/>
          </w:tcPr>
          <w:p w14:paraId="4696842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258</w:t>
            </w:r>
          </w:p>
        </w:tc>
        <w:tc>
          <w:tcPr>
            <w:tcW w:w="1155" w:type="dxa"/>
          </w:tcPr>
          <w:p w14:paraId="17589AE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1230" w:type="dxa"/>
          </w:tcPr>
          <w:p w14:paraId="3D3BFF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w:t>
            </w:r>
          </w:p>
        </w:tc>
        <w:tc>
          <w:tcPr>
            <w:tcW w:w="900" w:type="dxa"/>
          </w:tcPr>
          <w:p w14:paraId="41C726A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w:t>
            </w:r>
          </w:p>
        </w:tc>
      </w:tr>
      <w:tr w:rsidR="00CB5308" w:rsidRPr="00070ADE" w14:paraId="7855817C" w14:textId="77777777">
        <w:trPr>
          <w:jc w:val="center"/>
        </w:trPr>
        <w:tc>
          <w:tcPr>
            <w:tcW w:w="1185" w:type="dxa"/>
          </w:tcPr>
          <w:p w14:paraId="76C221B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166</w:t>
            </w:r>
          </w:p>
        </w:tc>
        <w:tc>
          <w:tcPr>
            <w:tcW w:w="2970" w:type="dxa"/>
          </w:tcPr>
          <w:p w14:paraId="10946EB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 М-107А</w:t>
            </w:r>
          </w:p>
        </w:tc>
        <w:tc>
          <w:tcPr>
            <w:tcW w:w="2130" w:type="dxa"/>
          </w:tcPr>
          <w:p w14:paraId="2967C7B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1155" w:type="dxa"/>
          </w:tcPr>
          <w:p w14:paraId="0D6630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30" w:type="dxa"/>
          </w:tcPr>
          <w:p w14:paraId="2466D5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c>
          <w:tcPr>
            <w:tcW w:w="900" w:type="dxa"/>
          </w:tcPr>
          <w:p w14:paraId="1814FDB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w:t>
            </w:r>
          </w:p>
        </w:tc>
      </w:tr>
      <w:tr w:rsidR="00CB5308" w:rsidRPr="00070ADE" w14:paraId="5570ADB0" w14:textId="77777777">
        <w:trPr>
          <w:jc w:val="center"/>
        </w:trPr>
        <w:tc>
          <w:tcPr>
            <w:tcW w:w="1185" w:type="dxa"/>
          </w:tcPr>
          <w:p w14:paraId="03555A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292</w:t>
            </w:r>
          </w:p>
        </w:tc>
        <w:tc>
          <w:tcPr>
            <w:tcW w:w="2970" w:type="dxa"/>
          </w:tcPr>
          <w:p w14:paraId="7C7D9C1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ЯК-1 М-105ПФ</w:t>
            </w:r>
          </w:p>
        </w:tc>
        <w:tc>
          <w:tcPr>
            <w:tcW w:w="2130" w:type="dxa"/>
          </w:tcPr>
          <w:p w14:paraId="79D9218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702</w:t>
            </w:r>
          </w:p>
        </w:tc>
        <w:tc>
          <w:tcPr>
            <w:tcW w:w="1155" w:type="dxa"/>
          </w:tcPr>
          <w:p w14:paraId="19E8116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260</w:t>
            </w:r>
          </w:p>
        </w:tc>
        <w:tc>
          <w:tcPr>
            <w:tcW w:w="1230" w:type="dxa"/>
          </w:tcPr>
          <w:p w14:paraId="76F19D9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235</w:t>
            </w:r>
          </w:p>
        </w:tc>
        <w:tc>
          <w:tcPr>
            <w:tcW w:w="900" w:type="dxa"/>
          </w:tcPr>
          <w:p w14:paraId="2E38D5D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207</w:t>
            </w:r>
          </w:p>
        </w:tc>
      </w:tr>
      <w:tr w:rsidR="00CB5308" w:rsidRPr="00070ADE" w14:paraId="2AA99CB7" w14:textId="77777777">
        <w:trPr>
          <w:jc w:val="center"/>
        </w:trPr>
        <w:tc>
          <w:tcPr>
            <w:tcW w:w="1185" w:type="dxa"/>
          </w:tcPr>
          <w:p w14:paraId="5EC41A3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292</w:t>
            </w:r>
          </w:p>
        </w:tc>
        <w:tc>
          <w:tcPr>
            <w:tcW w:w="2970" w:type="dxa"/>
          </w:tcPr>
          <w:p w14:paraId="242DC12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ЯК-3 М-105ПФ</w:t>
            </w:r>
          </w:p>
        </w:tc>
        <w:tc>
          <w:tcPr>
            <w:tcW w:w="2130" w:type="dxa"/>
          </w:tcPr>
          <w:p w14:paraId="0A58294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145</w:t>
            </w:r>
          </w:p>
        </w:tc>
        <w:tc>
          <w:tcPr>
            <w:tcW w:w="1155" w:type="dxa"/>
          </w:tcPr>
          <w:p w14:paraId="7335158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c>
          <w:tcPr>
            <w:tcW w:w="1230" w:type="dxa"/>
          </w:tcPr>
          <w:p w14:paraId="5688FDB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c>
          <w:tcPr>
            <w:tcW w:w="900" w:type="dxa"/>
          </w:tcPr>
          <w:p w14:paraId="60795B1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w:t>
            </w:r>
          </w:p>
        </w:tc>
      </w:tr>
      <w:tr w:rsidR="00CB5308" w:rsidRPr="00070ADE" w14:paraId="6D334732" w14:textId="77777777">
        <w:trPr>
          <w:jc w:val="center"/>
        </w:trPr>
        <w:tc>
          <w:tcPr>
            <w:tcW w:w="1185" w:type="dxa"/>
          </w:tcPr>
          <w:p w14:paraId="47EDD3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381</w:t>
            </w:r>
          </w:p>
        </w:tc>
        <w:tc>
          <w:tcPr>
            <w:tcW w:w="2970" w:type="dxa"/>
          </w:tcPr>
          <w:p w14:paraId="09E6F9F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 М-82Ф и ФН</w:t>
            </w:r>
          </w:p>
        </w:tc>
        <w:tc>
          <w:tcPr>
            <w:tcW w:w="2130" w:type="dxa"/>
          </w:tcPr>
          <w:p w14:paraId="7D1069A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181</w:t>
            </w:r>
          </w:p>
        </w:tc>
        <w:tc>
          <w:tcPr>
            <w:tcW w:w="1155" w:type="dxa"/>
          </w:tcPr>
          <w:p w14:paraId="79B1D4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1230" w:type="dxa"/>
          </w:tcPr>
          <w:p w14:paraId="364091F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900" w:type="dxa"/>
          </w:tcPr>
          <w:p w14:paraId="662D26B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w:t>
            </w:r>
          </w:p>
        </w:tc>
      </w:tr>
      <w:tr w:rsidR="005106D0" w:rsidRPr="00070ADE" w14:paraId="3C600FD4" w14:textId="77777777">
        <w:trPr>
          <w:jc w:val="center"/>
        </w:trPr>
        <w:tc>
          <w:tcPr>
            <w:tcW w:w="1185" w:type="dxa"/>
            <w:tcBorders>
              <w:bottom w:val="single" w:sz="12" w:space="0" w:color="auto"/>
            </w:tcBorders>
          </w:tcPr>
          <w:p w14:paraId="633F27A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970" w:type="dxa"/>
            <w:tcBorders>
              <w:bottom w:val="single" w:sz="12" w:space="0" w:color="auto"/>
            </w:tcBorders>
          </w:tcPr>
          <w:p w14:paraId="08E0E7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 истребителей</w:t>
            </w:r>
          </w:p>
        </w:tc>
        <w:tc>
          <w:tcPr>
            <w:tcW w:w="2130" w:type="dxa"/>
            <w:tcBorders>
              <w:bottom w:val="single" w:sz="12" w:space="0" w:color="auto"/>
            </w:tcBorders>
          </w:tcPr>
          <w:p w14:paraId="370E4AC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4268</w:t>
            </w:r>
          </w:p>
        </w:tc>
        <w:tc>
          <w:tcPr>
            <w:tcW w:w="1155" w:type="dxa"/>
            <w:tcBorders>
              <w:bottom w:val="single" w:sz="12" w:space="0" w:color="auto"/>
            </w:tcBorders>
          </w:tcPr>
          <w:p w14:paraId="3A56891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w:t>
            </w:r>
          </w:p>
        </w:tc>
        <w:tc>
          <w:tcPr>
            <w:tcW w:w="1230" w:type="dxa"/>
            <w:tcBorders>
              <w:bottom w:val="single" w:sz="12" w:space="0" w:color="auto"/>
            </w:tcBorders>
          </w:tcPr>
          <w:p w14:paraId="24D5C29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1375</w:t>
            </w:r>
          </w:p>
        </w:tc>
        <w:tc>
          <w:tcPr>
            <w:tcW w:w="900" w:type="dxa"/>
            <w:tcBorders>
              <w:bottom w:val="single" w:sz="12" w:space="0" w:color="auto"/>
            </w:tcBorders>
          </w:tcPr>
          <w:p w14:paraId="379724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1493</w:t>
            </w:r>
          </w:p>
        </w:tc>
      </w:tr>
    </w:tbl>
    <w:p w14:paraId="4C4BFC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A30F47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85"/>
        <w:gridCol w:w="2970"/>
        <w:gridCol w:w="2130"/>
        <w:gridCol w:w="1155"/>
        <w:gridCol w:w="1230"/>
        <w:gridCol w:w="900"/>
      </w:tblGrid>
      <w:tr w:rsidR="00CB5308" w:rsidRPr="00070ADE" w14:paraId="19D78B89" w14:textId="77777777" w:rsidTr="003712D9">
        <w:trPr>
          <w:jc w:val="center"/>
        </w:trPr>
        <w:tc>
          <w:tcPr>
            <w:tcW w:w="1185" w:type="dxa"/>
            <w:tcBorders>
              <w:top w:val="single" w:sz="12" w:space="0" w:color="auto"/>
            </w:tcBorders>
          </w:tcPr>
          <w:p w14:paraId="631E6F7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заводов</w:t>
            </w:r>
          </w:p>
        </w:tc>
        <w:tc>
          <w:tcPr>
            <w:tcW w:w="2970" w:type="dxa"/>
            <w:tcBorders>
              <w:top w:val="single" w:sz="12" w:space="0" w:color="auto"/>
            </w:tcBorders>
          </w:tcPr>
          <w:p w14:paraId="21A5F4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самолета</w:t>
            </w:r>
          </w:p>
        </w:tc>
        <w:tc>
          <w:tcPr>
            <w:tcW w:w="2130" w:type="dxa"/>
            <w:tcBorders>
              <w:top w:val="single" w:sz="12" w:space="0" w:color="auto"/>
            </w:tcBorders>
          </w:tcPr>
          <w:p w14:paraId="769270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на квартал</w:t>
            </w:r>
          </w:p>
        </w:tc>
        <w:tc>
          <w:tcPr>
            <w:tcW w:w="1155" w:type="dxa"/>
            <w:gridSpan w:val="3"/>
            <w:tcBorders>
              <w:top w:val="single" w:sz="12" w:space="0" w:color="auto"/>
            </w:tcBorders>
          </w:tcPr>
          <w:p w14:paraId="6AE622F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месяцам</w:t>
            </w:r>
          </w:p>
        </w:tc>
      </w:tr>
      <w:tr w:rsidR="00CB5308" w:rsidRPr="00070ADE" w14:paraId="309251D5" w14:textId="77777777">
        <w:trPr>
          <w:jc w:val="center"/>
        </w:trPr>
        <w:tc>
          <w:tcPr>
            <w:tcW w:w="1185" w:type="dxa"/>
          </w:tcPr>
          <w:p w14:paraId="7D10D6B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970" w:type="dxa"/>
          </w:tcPr>
          <w:p w14:paraId="0A0A236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41FD79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55" w:type="dxa"/>
          </w:tcPr>
          <w:p w14:paraId="343BE3A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январь </w:t>
            </w:r>
          </w:p>
        </w:tc>
        <w:tc>
          <w:tcPr>
            <w:tcW w:w="1230" w:type="dxa"/>
          </w:tcPr>
          <w:p w14:paraId="7898392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февраль </w:t>
            </w:r>
          </w:p>
        </w:tc>
        <w:tc>
          <w:tcPr>
            <w:tcW w:w="900" w:type="dxa"/>
          </w:tcPr>
          <w:p w14:paraId="02D4963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март</w:t>
            </w:r>
          </w:p>
        </w:tc>
      </w:tr>
      <w:tr w:rsidR="00CB5308" w:rsidRPr="00070ADE" w14:paraId="6A24BA69" w14:textId="77777777">
        <w:trPr>
          <w:jc w:val="center"/>
        </w:trPr>
        <w:tc>
          <w:tcPr>
            <w:tcW w:w="1185" w:type="dxa"/>
          </w:tcPr>
          <w:p w14:paraId="785A1A2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970" w:type="dxa"/>
          </w:tcPr>
          <w:p w14:paraId="33AAC0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штурмовиков</w:t>
            </w:r>
          </w:p>
        </w:tc>
        <w:tc>
          <w:tcPr>
            <w:tcW w:w="2130" w:type="dxa"/>
          </w:tcPr>
          <w:p w14:paraId="38A9043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55" w:type="dxa"/>
          </w:tcPr>
          <w:p w14:paraId="4714620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7401F7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0A75F4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E82FE86" w14:textId="77777777">
        <w:trPr>
          <w:jc w:val="center"/>
        </w:trPr>
        <w:tc>
          <w:tcPr>
            <w:tcW w:w="1185" w:type="dxa"/>
          </w:tcPr>
          <w:p w14:paraId="1E102F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2970" w:type="dxa"/>
          </w:tcPr>
          <w:p w14:paraId="6DEBD3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 АМ-38Ф</w:t>
            </w:r>
          </w:p>
        </w:tc>
        <w:tc>
          <w:tcPr>
            <w:tcW w:w="2130" w:type="dxa"/>
          </w:tcPr>
          <w:p w14:paraId="0B2E495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1078</w:t>
            </w:r>
          </w:p>
        </w:tc>
        <w:tc>
          <w:tcPr>
            <w:tcW w:w="1155" w:type="dxa"/>
          </w:tcPr>
          <w:p w14:paraId="09C0A6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w:t>
            </w:r>
          </w:p>
        </w:tc>
        <w:tc>
          <w:tcPr>
            <w:tcW w:w="1230" w:type="dxa"/>
          </w:tcPr>
          <w:p w14:paraId="3ECB437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w:t>
            </w:r>
          </w:p>
        </w:tc>
        <w:tc>
          <w:tcPr>
            <w:tcW w:w="900" w:type="dxa"/>
          </w:tcPr>
          <w:p w14:paraId="16E8DD6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378</w:t>
            </w:r>
          </w:p>
        </w:tc>
      </w:tr>
      <w:tr w:rsidR="00CB5308" w:rsidRPr="00070ADE" w14:paraId="287A5E11" w14:textId="77777777">
        <w:trPr>
          <w:jc w:val="center"/>
        </w:trPr>
        <w:tc>
          <w:tcPr>
            <w:tcW w:w="1185" w:type="dxa"/>
          </w:tcPr>
          <w:p w14:paraId="026B64C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w:t>
            </w:r>
          </w:p>
        </w:tc>
        <w:tc>
          <w:tcPr>
            <w:tcW w:w="2970" w:type="dxa"/>
          </w:tcPr>
          <w:p w14:paraId="6D05D0C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 АМ-38Ф</w:t>
            </w:r>
          </w:p>
        </w:tc>
        <w:tc>
          <w:tcPr>
            <w:tcW w:w="2130" w:type="dxa"/>
          </w:tcPr>
          <w:p w14:paraId="13273BC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1155</w:t>
            </w:r>
          </w:p>
        </w:tc>
        <w:tc>
          <w:tcPr>
            <w:tcW w:w="1155" w:type="dxa"/>
          </w:tcPr>
          <w:p w14:paraId="632C6DB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375</w:t>
            </w:r>
          </w:p>
        </w:tc>
        <w:tc>
          <w:tcPr>
            <w:tcW w:w="1230" w:type="dxa"/>
          </w:tcPr>
          <w:p w14:paraId="3A7B244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375</w:t>
            </w:r>
          </w:p>
        </w:tc>
        <w:tc>
          <w:tcPr>
            <w:tcW w:w="900" w:type="dxa"/>
          </w:tcPr>
          <w:p w14:paraId="212BCD9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405</w:t>
            </w:r>
          </w:p>
        </w:tc>
      </w:tr>
      <w:tr w:rsidR="00CB5308" w:rsidRPr="00070ADE" w14:paraId="72443983" w14:textId="77777777">
        <w:trPr>
          <w:jc w:val="center"/>
        </w:trPr>
        <w:tc>
          <w:tcPr>
            <w:tcW w:w="1185" w:type="dxa"/>
          </w:tcPr>
          <w:p w14:paraId="7977679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tc>
        <w:tc>
          <w:tcPr>
            <w:tcW w:w="2970" w:type="dxa"/>
          </w:tcPr>
          <w:p w14:paraId="74CE45F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 АМ-38Ф</w:t>
            </w:r>
          </w:p>
        </w:tc>
        <w:tc>
          <w:tcPr>
            <w:tcW w:w="2130" w:type="dxa"/>
          </w:tcPr>
          <w:p w14:paraId="285F692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780</w:t>
            </w:r>
          </w:p>
        </w:tc>
        <w:tc>
          <w:tcPr>
            <w:tcW w:w="1155" w:type="dxa"/>
          </w:tcPr>
          <w:p w14:paraId="6F51D53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1230" w:type="dxa"/>
          </w:tcPr>
          <w:p w14:paraId="316D3C8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900" w:type="dxa"/>
          </w:tcPr>
          <w:p w14:paraId="46B6EA3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w:t>
            </w:r>
          </w:p>
        </w:tc>
      </w:tr>
      <w:tr w:rsidR="005106D0" w:rsidRPr="00070ADE" w14:paraId="17CB1704" w14:textId="77777777">
        <w:trPr>
          <w:jc w:val="center"/>
        </w:trPr>
        <w:tc>
          <w:tcPr>
            <w:tcW w:w="1185" w:type="dxa"/>
            <w:tcBorders>
              <w:bottom w:val="single" w:sz="12" w:space="0" w:color="auto"/>
            </w:tcBorders>
          </w:tcPr>
          <w:p w14:paraId="3E5F484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970" w:type="dxa"/>
            <w:tcBorders>
              <w:bottom w:val="single" w:sz="12" w:space="0" w:color="auto"/>
            </w:tcBorders>
          </w:tcPr>
          <w:p w14:paraId="6863D49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 штурмовиков</w:t>
            </w:r>
          </w:p>
        </w:tc>
        <w:tc>
          <w:tcPr>
            <w:tcW w:w="2130" w:type="dxa"/>
            <w:tcBorders>
              <w:bottom w:val="single" w:sz="12" w:space="0" w:color="auto"/>
            </w:tcBorders>
          </w:tcPr>
          <w:p w14:paraId="58DF325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3013</w:t>
            </w:r>
          </w:p>
        </w:tc>
        <w:tc>
          <w:tcPr>
            <w:tcW w:w="1155" w:type="dxa"/>
            <w:tcBorders>
              <w:bottom w:val="single" w:sz="12" w:space="0" w:color="auto"/>
            </w:tcBorders>
          </w:tcPr>
          <w:p w14:paraId="059B281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975</w:t>
            </w:r>
          </w:p>
        </w:tc>
        <w:tc>
          <w:tcPr>
            <w:tcW w:w="1230" w:type="dxa"/>
            <w:tcBorders>
              <w:bottom w:val="single" w:sz="12" w:space="0" w:color="auto"/>
            </w:tcBorders>
          </w:tcPr>
          <w:p w14:paraId="2C5EF20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975</w:t>
            </w:r>
          </w:p>
        </w:tc>
        <w:tc>
          <w:tcPr>
            <w:tcW w:w="900" w:type="dxa"/>
            <w:tcBorders>
              <w:bottom w:val="single" w:sz="12" w:space="0" w:color="auto"/>
            </w:tcBorders>
          </w:tcPr>
          <w:p w14:paraId="5178867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1063</w:t>
            </w:r>
          </w:p>
        </w:tc>
      </w:tr>
    </w:tbl>
    <w:p w14:paraId="653EA62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85"/>
        <w:gridCol w:w="3420"/>
        <w:gridCol w:w="1665"/>
        <w:gridCol w:w="1155"/>
        <w:gridCol w:w="1230"/>
        <w:gridCol w:w="900"/>
      </w:tblGrid>
      <w:tr w:rsidR="00CB5308" w:rsidRPr="00070ADE" w14:paraId="63DDEE96" w14:textId="77777777" w:rsidTr="003712D9">
        <w:trPr>
          <w:jc w:val="center"/>
        </w:trPr>
        <w:tc>
          <w:tcPr>
            <w:tcW w:w="1185" w:type="dxa"/>
            <w:tcBorders>
              <w:top w:val="single" w:sz="12" w:space="0" w:color="auto"/>
            </w:tcBorders>
          </w:tcPr>
          <w:p w14:paraId="2F782A3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заводов</w:t>
            </w:r>
          </w:p>
        </w:tc>
        <w:tc>
          <w:tcPr>
            <w:tcW w:w="3420" w:type="dxa"/>
            <w:tcBorders>
              <w:top w:val="single" w:sz="12" w:space="0" w:color="auto"/>
            </w:tcBorders>
          </w:tcPr>
          <w:p w14:paraId="2FF92F5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самолета</w:t>
            </w:r>
          </w:p>
        </w:tc>
        <w:tc>
          <w:tcPr>
            <w:tcW w:w="1665" w:type="dxa"/>
            <w:tcBorders>
              <w:top w:val="single" w:sz="12" w:space="0" w:color="auto"/>
            </w:tcBorders>
          </w:tcPr>
          <w:p w14:paraId="059AEE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на квартал</w:t>
            </w:r>
          </w:p>
        </w:tc>
        <w:tc>
          <w:tcPr>
            <w:tcW w:w="1155" w:type="dxa"/>
            <w:gridSpan w:val="3"/>
            <w:tcBorders>
              <w:top w:val="single" w:sz="12" w:space="0" w:color="auto"/>
            </w:tcBorders>
          </w:tcPr>
          <w:p w14:paraId="23B7F92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месяцам</w:t>
            </w:r>
          </w:p>
        </w:tc>
      </w:tr>
      <w:tr w:rsidR="00CB5308" w:rsidRPr="00070ADE" w14:paraId="23175B7A" w14:textId="77777777">
        <w:trPr>
          <w:jc w:val="center"/>
        </w:trPr>
        <w:tc>
          <w:tcPr>
            <w:tcW w:w="1185" w:type="dxa"/>
          </w:tcPr>
          <w:p w14:paraId="5416CAC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Pr>
          <w:p w14:paraId="096E2FC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65" w:type="dxa"/>
          </w:tcPr>
          <w:p w14:paraId="632BA5F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55" w:type="dxa"/>
          </w:tcPr>
          <w:p w14:paraId="1C8A787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январь </w:t>
            </w:r>
          </w:p>
        </w:tc>
        <w:tc>
          <w:tcPr>
            <w:tcW w:w="1230" w:type="dxa"/>
          </w:tcPr>
          <w:p w14:paraId="073CBD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февраль </w:t>
            </w:r>
          </w:p>
        </w:tc>
        <w:tc>
          <w:tcPr>
            <w:tcW w:w="900" w:type="dxa"/>
          </w:tcPr>
          <w:p w14:paraId="4037432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март</w:t>
            </w:r>
          </w:p>
        </w:tc>
      </w:tr>
      <w:tr w:rsidR="00CB5308" w:rsidRPr="00070ADE" w14:paraId="5526888D" w14:textId="77777777">
        <w:trPr>
          <w:jc w:val="center"/>
        </w:trPr>
        <w:tc>
          <w:tcPr>
            <w:tcW w:w="1185" w:type="dxa"/>
          </w:tcPr>
          <w:p w14:paraId="521D0EE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Pr>
          <w:p w14:paraId="3FD21EA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бомбардировщиков</w:t>
            </w:r>
          </w:p>
        </w:tc>
        <w:tc>
          <w:tcPr>
            <w:tcW w:w="1665" w:type="dxa"/>
          </w:tcPr>
          <w:p w14:paraId="7AEF630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55" w:type="dxa"/>
          </w:tcPr>
          <w:p w14:paraId="4CB70CB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2570789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66D0039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0DE1048" w14:textId="77777777">
        <w:trPr>
          <w:jc w:val="center"/>
        </w:trPr>
        <w:tc>
          <w:tcPr>
            <w:tcW w:w="1185" w:type="dxa"/>
          </w:tcPr>
          <w:p w14:paraId="42517B1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w:t>
            </w:r>
          </w:p>
        </w:tc>
        <w:tc>
          <w:tcPr>
            <w:tcW w:w="3420" w:type="dxa"/>
          </w:tcPr>
          <w:p w14:paraId="4AECE4F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 2М-105ПФ</w:t>
            </w:r>
          </w:p>
        </w:tc>
        <w:tc>
          <w:tcPr>
            <w:tcW w:w="1665" w:type="dxa"/>
          </w:tcPr>
          <w:p w14:paraId="7D18EB5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573</w:t>
            </w:r>
          </w:p>
        </w:tc>
        <w:tc>
          <w:tcPr>
            <w:tcW w:w="1155" w:type="dxa"/>
          </w:tcPr>
          <w:p w14:paraId="40093C0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205</w:t>
            </w:r>
          </w:p>
        </w:tc>
        <w:tc>
          <w:tcPr>
            <w:tcW w:w="1230" w:type="dxa"/>
          </w:tcPr>
          <w:p w14:paraId="3D4FAC4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190</w:t>
            </w:r>
          </w:p>
        </w:tc>
        <w:tc>
          <w:tcPr>
            <w:tcW w:w="900" w:type="dxa"/>
          </w:tcPr>
          <w:p w14:paraId="34912FA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178</w:t>
            </w:r>
          </w:p>
        </w:tc>
      </w:tr>
      <w:tr w:rsidR="00CB5308" w:rsidRPr="00070ADE" w14:paraId="54CDA78A" w14:textId="77777777">
        <w:trPr>
          <w:jc w:val="center"/>
        </w:trPr>
        <w:tc>
          <w:tcPr>
            <w:tcW w:w="1185" w:type="dxa"/>
          </w:tcPr>
          <w:p w14:paraId="2223623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w:t>
            </w:r>
          </w:p>
        </w:tc>
        <w:tc>
          <w:tcPr>
            <w:tcW w:w="3420" w:type="dxa"/>
          </w:tcPr>
          <w:p w14:paraId="427C8DF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ПЕ-3 2М-105ПФ</w:t>
            </w:r>
          </w:p>
        </w:tc>
        <w:tc>
          <w:tcPr>
            <w:tcW w:w="1665" w:type="dxa"/>
          </w:tcPr>
          <w:p w14:paraId="3F5EDB0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tc>
        <w:tc>
          <w:tcPr>
            <w:tcW w:w="1155" w:type="dxa"/>
          </w:tcPr>
          <w:p w14:paraId="3504778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1230" w:type="dxa"/>
          </w:tcPr>
          <w:p w14:paraId="076A386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tc>
        <w:tc>
          <w:tcPr>
            <w:tcW w:w="900" w:type="dxa"/>
          </w:tcPr>
          <w:p w14:paraId="1103AB4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w:t>
            </w:r>
          </w:p>
        </w:tc>
      </w:tr>
      <w:tr w:rsidR="00CB5308" w:rsidRPr="00070ADE" w14:paraId="3DC2EE35" w14:textId="77777777">
        <w:trPr>
          <w:jc w:val="center"/>
        </w:trPr>
        <w:tc>
          <w:tcPr>
            <w:tcW w:w="1185" w:type="dxa"/>
          </w:tcPr>
          <w:p w14:paraId="70A14B8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w:t>
            </w:r>
          </w:p>
        </w:tc>
        <w:tc>
          <w:tcPr>
            <w:tcW w:w="3420" w:type="dxa"/>
          </w:tcPr>
          <w:p w14:paraId="76DC21B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ПЕ-8 4М-82Ф</w:t>
            </w:r>
          </w:p>
        </w:tc>
        <w:tc>
          <w:tcPr>
            <w:tcW w:w="1665" w:type="dxa"/>
          </w:tcPr>
          <w:p w14:paraId="760613A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tc>
        <w:tc>
          <w:tcPr>
            <w:tcW w:w="1155" w:type="dxa"/>
          </w:tcPr>
          <w:p w14:paraId="622D44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1230" w:type="dxa"/>
          </w:tcPr>
          <w:p w14:paraId="7DB4BF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900" w:type="dxa"/>
          </w:tcPr>
          <w:p w14:paraId="1A2CA50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r>
      <w:tr w:rsidR="00CB5308" w:rsidRPr="00070ADE" w14:paraId="50D72565" w14:textId="77777777">
        <w:trPr>
          <w:jc w:val="center"/>
        </w:trPr>
        <w:tc>
          <w:tcPr>
            <w:tcW w:w="1185" w:type="dxa"/>
          </w:tcPr>
          <w:p w14:paraId="7A392EB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w:t>
            </w:r>
          </w:p>
        </w:tc>
        <w:tc>
          <w:tcPr>
            <w:tcW w:w="3420" w:type="dxa"/>
          </w:tcPr>
          <w:p w14:paraId="7EC2C71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ТУ-2 2М-82Ф</w:t>
            </w:r>
          </w:p>
        </w:tc>
        <w:tc>
          <w:tcPr>
            <w:tcW w:w="1665" w:type="dxa"/>
          </w:tcPr>
          <w:p w14:paraId="115C099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w:t>
            </w:r>
          </w:p>
        </w:tc>
        <w:tc>
          <w:tcPr>
            <w:tcW w:w="1155" w:type="dxa"/>
          </w:tcPr>
          <w:p w14:paraId="12E85F5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w:t>
            </w:r>
          </w:p>
        </w:tc>
        <w:tc>
          <w:tcPr>
            <w:tcW w:w="1230" w:type="dxa"/>
          </w:tcPr>
          <w:p w14:paraId="779E47A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900" w:type="dxa"/>
          </w:tcPr>
          <w:p w14:paraId="0E2F8A3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r>
      <w:tr w:rsidR="00CB5308" w:rsidRPr="00070ADE" w14:paraId="7ADE6FDE" w14:textId="77777777">
        <w:trPr>
          <w:jc w:val="center"/>
        </w:trPr>
        <w:tc>
          <w:tcPr>
            <w:tcW w:w="1185" w:type="dxa"/>
          </w:tcPr>
          <w:p w14:paraId="68C2685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w:t>
            </w:r>
          </w:p>
        </w:tc>
        <w:tc>
          <w:tcPr>
            <w:tcW w:w="3420" w:type="dxa"/>
          </w:tcPr>
          <w:p w14:paraId="052A750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ЕР-2 2М-30Б</w:t>
            </w:r>
          </w:p>
        </w:tc>
        <w:tc>
          <w:tcPr>
            <w:tcW w:w="1665" w:type="dxa"/>
          </w:tcPr>
          <w:p w14:paraId="48D76A3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w:t>
            </w:r>
          </w:p>
        </w:tc>
        <w:tc>
          <w:tcPr>
            <w:tcW w:w="1155" w:type="dxa"/>
          </w:tcPr>
          <w:p w14:paraId="0B12014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1230" w:type="dxa"/>
          </w:tcPr>
          <w:p w14:paraId="4CC7664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900" w:type="dxa"/>
          </w:tcPr>
          <w:p w14:paraId="18AB335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w:t>
            </w:r>
          </w:p>
        </w:tc>
      </w:tr>
      <w:tr w:rsidR="00CB5308" w:rsidRPr="00070ADE" w14:paraId="05FD25D7" w14:textId="77777777">
        <w:trPr>
          <w:jc w:val="center"/>
        </w:trPr>
        <w:tc>
          <w:tcPr>
            <w:tcW w:w="1185" w:type="dxa"/>
          </w:tcPr>
          <w:p w14:paraId="427685D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w:t>
            </w:r>
          </w:p>
        </w:tc>
        <w:tc>
          <w:tcPr>
            <w:tcW w:w="3420" w:type="dxa"/>
          </w:tcPr>
          <w:p w14:paraId="57FA76F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ИЛ-4 2М-88Б</w:t>
            </w:r>
          </w:p>
        </w:tc>
        <w:tc>
          <w:tcPr>
            <w:tcW w:w="1665" w:type="dxa"/>
          </w:tcPr>
          <w:p w14:paraId="3EB3532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tc>
        <w:tc>
          <w:tcPr>
            <w:tcW w:w="1155" w:type="dxa"/>
          </w:tcPr>
          <w:p w14:paraId="0089BC1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1230" w:type="dxa"/>
          </w:tcPr>
          <w:p w14:paraId="3F01655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900" w:type="dxa"/>
          </w:tcPr>
          <w:p w14:paraId="3398BFA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r>
      <w:tr w:rsidR="00CB5308" w:rsidRPr="00070ADE" w14:paraId="6492C169" w14:textId="77777777">
        <w:trPr>
          <w:jc w:val="center"/>
        </w:trPr>
        <w:tc>
          <w:tcPr>
            <w:tcW w:w="1185" w:type="dxa"/>
          </w:tcPr>
          <w:p w14:paraId="5BA157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w:t>
            </w:r>
          </w:p>
        </w:tc>
        <w:tc>
          <w:tcPr>
            <w:tcW w:w="3420" w:type="dxa"/>
          </w:tcPr>
          <w:p w14:paraId="5797BB3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ИЛ-4 2М-88Б</w:t>
            </w:r>
          </w:p>
        </w:tc>
        <w:tc>
          <w:tcPr>
            <w:tcW w:w="1665" w:type="dxa"/>
          </w:tcPr>
          <w:p w14:paraId="72F70CD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154</w:t>
            </w:r>
          </w:p>
        </w:tc>
        <w:tc>
          <w:tcPr>
            <w:tcW w:w="1155" w:type="dxa"/>
          </w:tcPr>
          <w:p w14:paraId="0AB493B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1230" w:type="dxa"/>
          </w:tcPr>
          <w:p w14:paraId="4C936D7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900" w:type="dxa"/>
          </w:tcPr>
          <w:p w14:paraId="4EDBE2A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w:t>
            </w:r>
          </w:p>
        </w:tc>
      </w:tr>
      <w:tr w:rsidR="00CB5308" w:rsidRPr="00070ADE" w14:paraId="2244F809" w14:textId="77777777">
        <w:trPr>
          <w:jc w:val="center"/>
        </w:trPr>
        <w:tc>
          <w:tcPr>
            <w:tcW w:w="1185" w:type="dxa"/>
          </w:tcPr>
          <w:p w14:paraId="6D12C17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Pr>
          <w:p w14:paraId="0394064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 бомбардировщиков</w:t>
            </w:r>
          </w:p>
        </w:tc>
        <w:tc>
          <w:tcPr>
            <w:tcW w:w="1665" w:type="dxa"/>
          </w:tcPr>
          <w:p w14:paraId="60C0F5B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1032</w:t>
            </w:r>
          </w:p>
        </w:tc>
        <w:tc>
          <w:tcPr>
            <w:tcW w:w="1155" w:type="dxa"/>
          </w:tcPr>
          <w:p w14:paraId="659EF18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321</w:t>
            </w:r>
          </w:p>
        </w:tc>
        <w:tc>
          <w:tcPr>
            <w:tcW w:w="1230" w:type="dxa"/>
          </w:tcPr>
          <w:p w14:paraId="1DA49A8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333</w:t>
            </w:r>
          </w:p>
        </w:tc>
        <w:tc>
          <w:tcPr>
            <w:tcW w:w="900" w:type="dxa"/>
          </w:tcPr>
          <w:p w14:paraId="4EC9797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378</w:t>
            </w:r>
          </w:p>
        </w:tc>
      </w:tr>
      <w:tr w:rsidR="00CB5308" w:rsidRPr="00070ADE" w14:paraId="5DB14983" w14:textId="77777777">
        <w:trPr>
          <w:jc w:val="center"/>
        </w:trPr>
        <w:tc>
          <w:tcPr>
            <w:tcW w:w="1185" w:type="dxa"/>
          </w:tcPr>
          <w:p w14:paraId="4AEC412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Pr>
          <w:p w14:paraId="648BF40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транспортных</w:t>
            </w:r>
          </w:p>
        </w:tc>
        <w:tc>
          <w:tcPr>
            <w:tcW w:w="1665" w:type="dxa"/>
          </w:tcPr>
          <w:p w14:paraId="681E2E6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55" w:type="dxa"/>
          </w:tcPr>
          <w:p w14:paraId="68E6E82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7D6600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4D2D4B5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CC71150" w14:textId="77777777">
        <w:trPr>
          <w:jc w:val="center"/>
        </w:trPr>
        <w:tc>
          <w:tcPr>
            <w:tcW w:w="1185" w:type="dxa"/>
          </w:tcPr>
          <w:p w14:paraId="755E03C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84</w:t>
            </w:r>
          </w:p>
        </w:tc>
        <w:tc>
          <w:tcPr>
            <w:tcW w:w="3420" w:type="dxa"/>
          </w:tcPr>
          <w:p w14:paraId="32C4A7D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Ли-2 2М-62ИР</w:t>
            </w:r>
          </w:p>
        </w:tc>
        <w:tc>
          <w:tcPr>
            <w:tcW w:w="1665" w:type="dxa"/>
          </w:tcPr>
          <w:p w14:paraId="3D66B6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154</w:t>
            </w:r>
          </w:p>
        </w:tc>
        <w:tc>
          <w:tcPr>
            <w:tcW w:w="1155" w:type="dxa"/>
          </w:tcPr>
          <w:p w14:paraId="287026B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1230" w:type="dxa"/>
          </w:tcPr>
          <w:p w14:paraId="718B2FF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900" w:type="dxa"/>
          </w:tcPr>
          <w:p w14:paraId="03BD35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w:t>
            </w:r>
          </w:p>
        </w:tc>
      </w:tr>
      <w:tr w:rsidR="00CB5308" w:rsidRPr="00070ADE" w14:paraId="4A3EF09E" w14:textId="77777777">
        <w:trPr>
          <w:jc w:val="center"/>
        </w:trPr>
        <w:tc>
          <w:tcPr>
            <w:tcW w:w="1185" w:type="dxa"/>
          </w:tcPr>
          <w:p w14:paraId="4BEFD0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w:t>
            </w:r>
          </w:p>
        </w:tc>
        <w:tc>
          <w:tcPr>
            <w:tcW w:w="3420" w:type="dxa"/>
          </w:tcPr>
          <w:p w14:paraId="4A2CFEA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Ще-2 2М-11</w:t>
            </w:r>
          </w:p>
        </w:tc>
        <w:tc>
          <w:tcPr>
            <w:tcW w:w="1665" w:type="dxa"/>
          </w:tcPr>
          <w:p w14:paraId="3B3278B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tc>
        <w:tc>
          <w:tcPr>
            <w:tcW w:w="1155" w:type="dxa"/>
          </w:tcPr>
          <w:p w14:paraId="1A4D6D0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1230" w:type="dxa"/>
          </w:tcPr>
          <w:p w14:paraId="275C850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900" w:type="dxa"/>
          </w:tcPr>
          <w:p w14:paraId="23673A9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r>
      <w:tr w:rsidR="00CB5308" w:rsidRPr="00070ADE" w14:paraId="35475C4F" w14:textId="77777777">
        <w:trPr>
          <w:jc w:val="center"/>
        </w:trPr>
        <w:tc>
          <w:tcPr>
            <w:tcW w:w="1185" w:type="dxa"/>
          </w:tcPr>
          <w:p w14:paraId="6BA1C7B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494</w:t>
            </w:r>
          </w:p>
        </w:tc>
        <w:tc>
          <w:tcPr>
            <w:tcW w:w="3420" w:type="dxa"/>
          </w:tcPr>
          <w:p w14:paraId="3877D4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С-2 М-11</w:t>
            </w:r>
          </w:p>
        </w:tc>
        <w:tc>
          <w:tcPr>
            <w:tcW w:w="1665" w:type="dxa"/>
          </w:tcPr>
          <w:p w14:paraId="681B74D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w:t>
            </w:r>
          </w:p>
        </w:tc>
        <w:tc>
          <w:tcPr>
            <w:tcW w:w="1155" w:type="dxa"/>
          </w:tcPr>
          <w:p w14:paraId="005F242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tc>
        <w:tc>
          <w:tcPr>
            <w:tcW w:w="1230" w:type="dxa"/>
          </w:tcPr>
          <w:p w14:paraId="5CFA5B7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c>
          <w:tcPr>
            <w:tcW w:w="900" w:type="dxa"/>
          </w:tcPr>
          <w:p w14:paraId="0B93844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r>
      <w:tr w:rsidR="00CB5308" w:rsidRPr="00070ADE" w14:paraId="0C9018DC" w14:textId="77777777">
        <w:trPr>
          <w:jc w:val="center"/>
        </w:trPr>
        <w:tc>
          <w:tcPr>
            <w:tcW w:w="1185" w:type="dxa"/>
          </w:tcPr>
          <w:p w14:paraId="0DAD10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Pr>
          <w:p w14:paraId="435DE0A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 транспортных</w:t>
            </w:r>
          </w:p>
        </w:tc>
        <w:tc>
          <w:tcPr>
            <w:tcW w:w="1665" w:type="dxa"/>
          </w:tcPr>
          <w:p w14:paraId="037F3ED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314</w:t>
            </w:r>
          </w:p>
        </w:tc>
        <w:tc>
          <w:tcPr>
            <w:tcW w:w="1155" w:type="dxa"/>
          </w:tcPr>
          <w:p w14:paraId="439A29A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90 </w:t>
            </w:r>
          </w:p>
        </w:tc>
        <w:tc>
          <w:tcPr>
            <w:tcW w:w="1230" w:type="dxa"/>
          </w:tcPr>
          <w:p w14:paraId="0C3CAEF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900" w:type="dxa"/>
          </w:tcPr>
          <w:p w14:paraId="0F10A4D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124</w:t>
            </w:r>
          </w:p>
        </w:tc>
      </w:tr>
      <w:tr w:rsidR="00CB5308" w:rsidRPr="00070ADE" w14:paraId="23B68A35" w14:textId="77777777">
        <w:trPr>
          <w:jc w:val="center"/>
        </w:trPr>
        <w:tc>
          <w:tcPr>
            <w:tcW w:w="1185" w:type="dxa"/>
          </w:tcPr>
          <w:p w14:paraId="0F165A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Pr>
          <w:p w14:paraId="678BA1C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учебных</w:t>
            </w:r>
          </w:p>
        </w:tc>
        <w:tc>
          <w:tcPr>
            <w:tcW w:w="1665" w:type="dxa"/>
          </w:tcPr>
          <w:p w14:paraId="72C99B8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55" w:type="dxa"/>
          </w:tcPr>
          <w:p w14:paraId="3B60037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30" w:type="dxa"/>
          </w:tcPr>
          <w:p w14:paraId="6D712D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Pr>
          <w:p w14:paraId="29E07A0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526AB7A" w14:textId="77777777">
        <w:trPr>
          <w:jc w:val="center"/>
        </w:trPr>
        <w:tc>
          <w:tcPr>
            <w:tcW w:w="1185" w:type="dxa"/>
          </w:tcPr>
          <w:p w14:paraId="2CE0CC0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387</w:t>
            </w:r>
          </w:p>
        </w:tc>
        <w:tc>
          <w:tcPr>
            <w:tcW w:w="3420" w:type="dxa"/>
          </w:tcPr>
          <w:p w14:paraId="4700DC6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У-2 М-11</w:t>
            </w:r>
          </w:p>
        </w:tc>
        <w:tc>
          <w:tcPr>
            <w:tcW w:w="1665" w:type="dxa"/>
          </w:tcPr>
          <w:p w14:paraId="071502F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770</w:t>
            </w:r>
          </w:p>
        </w:tc>
        <w:tc>
          <w:tcPr>
            <w:tcW w:w="1155" w:type="dxa"/>
          </w:tcPr>
          <w:p w14:paraId="4C1E73A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1230" w:type="dxa"/>
          </w:tcPr>
          <w:p w14:paraId="4747859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900" w:type="dxa"/>
          </w:tcPr>
          <w:p w14:paraId="1DDBD27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w:t>
            </w:r>
          </w:p>
        </w:tc>
      </w:tr>
      <w:tr w:rsidR="00CB5308" w:rsidRPr="00070ADE" w14:paraId="59B57BCA" w14:textId="77777777">
        <w:trPr>
          <w:jc w:val="center"/>
        </w:trPr>
        <w:tc>
          <w:tcPr>
            <w:tcW w:w="1185" w:type="dxa"/>
          </w:tcPr>
          <w:p w14:paraId="078D254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116</w:t>
            </w:r>
          </w:p>
        </w:tc>
        <w:tc>
          <w:tcPr>
            <w:tcW w:w="3420" w:type="dxa"/>
          </w:tcPr>
          <w:p w14:paraId="4CDC43A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УТ-2 М-11</w:t>
            </w:r>
          </w:p>
        </w:tc>
        <w:tc>
          <w:tcPr>
            <w:tcW w:w="1665" w:type="dxa"/>
          </w:tcPr>
          <w:p w14:paraId="391D1B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154</w:t>
            </w:r>
          </w:p>
        </w:tc>
        <w:tc>
          <w:tcPr>
            <w:tcW w:w="1155" w:type="dxa"/>
          </w:tcPr>
          <w:p w14:paraId="2CBDFDF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1230" w:type="dxa"/>
          </w:tcPr>
          <w:p w14:paraId="0FC50A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900" w:type="dxa"/>
          </w:tcPr>
          <w:p w14:paraId="15402AC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w:t>
            </w:r>
          </w:p>
        </w:tc>
      </w:tr>
      <w:tr w:rsidR="00CB5308" w:rsidRPr="00070ADE" w14:paraId="5C2ED56E" w14:textId="77777777">
        <w:trPr>
          <w:jc w:val="center"/>
        </w:trPr>
        <w:tc>
          <w:tcPr>
            <w:tcW w:w="1185" w:type="dxa"/>
          </w:tcPr>
          <w:p w14:paraId="225AE56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168</w:t>
            </w:r>
          </w:p>
        </w:tc>
        <w:tc>
          <w:tcPr>
            <w:tcW w:w="3420" w:type="dxa"/>
          </w:tcPr>
          <w:p w14:paraId="141E6A6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УТ-2 М-11</w:t>
            </w:r>
          </w:p>
        </w:tc>
        <w:tc>
          <w:tcPr>
            <w:tcW w:w="1665" w:type="dxa"/>
          </w:tcPr>
          <w:p w14:paraId="6DE55CD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w:t>
            </w:r>
          </w:p>
        </w:tc>
        <w:tc>
          <w:tcPr>
            <w:tcW w:w="1155" w:type="dxa"/>
          </w:tcPr>
          <w:p w14:paraId="1327995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1230" w:type="dxa"/>
          </w:tcPr>
          <w:p w14:paraId="71338F5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900" w:type="dxa"/>
          </w:tcPr>
          <w:p w14:paraId="620E5DB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w:t>
            </w:r>
          </w:p>
        </w:tc>
      </w:tr>
      <w:tr w:rsidR="00CB5308" w:rsidRPr="00070ADE" w14:paraId="2957B5D2" w14:textId="77777777">
        <w:trPr>
          <w:jc w:val="center"/>
        </w:trPr>
        <w:tc>
          <w:tcPr>
            <w:tcW w:w="1185" w:type="dxa"/>
          </w:tcPr>
          <w:p w14:paraId="0BBEB88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464</w:t>
            </w:r>
          </w:p>
        </w:tc>
        <w:tc>
          <w:tcPr>
            <w:tcW w:w="3420" w:type="dxa"/>
          </w:tcPr>
          <w:p w14:paraId="2EB9C52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У-2</w:t>
            </w:r>
          </w:p>
        </w:tc>
        <w:tc>
          <w:tcPr>
            <w:tcW w:w="1665" w:type="dxa"/>
          </w:tcPr>
          <w:p w14:paraId="27CDF05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129</w:t>
            </w:r>
          </w:p>
        </w:tc>
        <w:tc>
          <w:tcPr>
            <w:tcW w:w="1155" w:type="dxa"/>
          </w:tcPr>
          <w:p w14:paraId="22892A4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tc>
        <w:tc>
          <w:tcPr>
            <w:tcW w:w="1230" w:type="dxa"/>
          </w:tcPr>
          <w:p w14:paraId="0327608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c>
          <w:tcPr>
            <w:tcW w:w="900" w:type="dxa"/>
          </w:tcPr>
          <w:p w14:paraId="18AFBFA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w:t>
            </w:r>
          </w:p>
        </w:tc>
      </w:tr>
      <w:tr w:rsidR="00CB5308" w:rsidRPr="00070ADE" w14:paraId="331AEEE7" w14:textId="77777777">
        <w:trPr>
          <w:jc w:val="center"/>
        </w:trPr>
        <w:tc>
          <w:tcPr>
            <w:tcW w:w="1185" w:type="dxa"/>
          </w:tcPr>
          <w:p w14:paraId="24E70F7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471</w:t>
            </w:r>
          </w:p>
        </w:tc>
        <w:tc>
          <w:tcPr>
            <w:tcW w:w="3420" w:type="dxa"/>
          </w:tcPr>
          <w:p w14:paraId="4F48D0F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У-2</w:t>
            </w:r>
          </w:p>
        </w:tc>
        <w:tc>
          <w:tcPr>
            <w:tcW w:w="1665" w:type="dxa"/>
          </w:tcPr>
          <w:p w14:paraId="3786AA2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129</w:t>
            </w:r>
          </w:p>
        </w:tc>
        <w:tc>
          <w:tcPr>
            <w:tcW w:w="1155" w:type="dxa"/>
          </w:tcPr>
          <w:p w14:paraId="443A09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tc>
        <w:tc>
          <w:tcPr>
            <w:tcW w:w="1230" w:type="dxa"/>
          </w:tcPr>
          <w:p w14:paraId="0183FA9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c>
          <w:tcPr>
            <w:tcW w:w="900" w:type="dxa"/>
          </w:tcPr>
          <w:p w14:paraId="3F30182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w:t>
            </w:r>
          </w:p>
        </w:tc>
      </w:tr>
      <w:tr w:rsidR="00CB5308" w:rsidRPr="00070ADE" w14:paraId="13F8EE70" w14:textId="77777777">
        <w:trPr>
          <w:jc w:val="center"/>
        </w:trPr>
        <w:tc>
          <w:tcPr>
            <w:tcW w:w="1185" w:type="dxa"/>
          </w:tcPr>
          <w:p w14:paraId="2B4BE05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Pr>
          <w:p w14:paraId="18EA744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 учебных</w:t>
            </w:r>
          </w:p>
        </w:tc>
        <w:tc>
          <w:tcPr>
            <w:tcW w:w="1665" w:type="dxa"/>
          </w:tcPr>
          <w:p w14:paraId="757C69C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1259</w:t>
            </w:r>
          </w:p>
        </w:tc>
        <w:tc>
          <w:tcPr>
            <w:tcW w:w="1155" w:type="dxa"/>
          </w:tcPr>
          <w:p w14:paraId="40F25C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395</w:t>
            </w:r>
          </w:p>
        </w:tc>
        <w:tc>
          <w:tcPr>
            <w:tcW w:w="1230" w:type="dxa"/>
          </w:tcPr>
          <w:p w14:paraId="2CC3E1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405</w:t>
            </w:r>
          </w:p>
        </w:tc>
        <w:tc>
          <w:tcPr>
            <w:tcW w:w="900" w:type="dxa"/>
          </w:tcPr>
          <w:p w14:paraId="719FA13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459</w:t>
            </w:r>
          </w:p>
        </w:tc>
      </w:tr>
      <w:tr w:rsidR="00CB5308" w:rsidRPr="00070ADE" w14:paraId="6691D0D1" w14:textId="77777777">
        <w:trPr>
          <w:jc w:val="center"/>
        </w:trPr>
        <w:tc>
          <w:tcPr>
            <w:tcW w:w="1185" w:type="dxa"/>
          </w:tcPr>
          <w:p w14:paraId="4FDFF35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Pr>
          <w:p w14:paraId="5D8804D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самолетов</w:t>
            </w:r>
          </w:p>
        </w:tc>
        <w:tc>
          <w:tcPr>
            <w:tcW w:w="1665" w:type="dxa"/>
          </w:tcPr>
          <w:p w14:paraId="462F501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9886</w:t>
            </w:r>
          </w:p>
        </w:tc>
        <w:tc>
          <w:tcPr>
            <w:tcW w:w="1155" w:type="dxa"/>
          </w:tcPr>
          <w:p w14:paraId="2020C9A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3181</w:t>
            </w:r>
          </w:p>
        </w:tc>
        <w:tc>
          <w:tcPr>
            <w:tcW w:w="1230" w:type="dxa"/>
          </w:tcPr>
          <w:p w14:paraId="24E55EE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3188</w:t>
            </w:r>
          </w:p>
        </w:tc>
        <w:tc>
          <w:tcPr>
            <w:tcW w:w="900" w:type="dxa"/>
          </w:tcPr>
          <w:p w14:paraId="0E762C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3517</w:t>
            </w:r>
          </w:p>
        </w:tc>
      </w:tr>
      <w:tr w:rsidR="00CB5308" w:rsidRPr="00070ADE" w14:paraId="69AE956F" w14:textId="77777777">
        <w:trPr>
          <w:jc w:val="center"/>
        </w:trPr>
        <w:tc>
          <w:tcPr>
            <w:tcW w:w="1185" w:type="dxa"/>
            <w:tcBorders>
              <w:bottom w:val="single" w:sz="12" w:space="0" w:color="auto"/>
            </w:tcBorders>
          </w:tcPr>
          <w:p w14:paraId="0304CFA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Borders>
              <w:bottom w:val="single" w:sz="12" w:space="0" w:color="auto"/>
            </w:tcBorders>
          </w:tcPr>
          <w:p w14:paraId="6A9DDD9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том числе боевых</w:t>
            </w:r>
          </w:p>
        </w:tc>
        <w:tc>
          <w:tcPr>
            <w:tcW w:w="1665" w:type="dxa"/>
            <w:tcBorders>
              <w:bottom w:val="single" w:sz="12" w:space="0" w:color="auto"/>
            </w:tcBorders>
          </w:tcPr>
          <w:p w14:paraId="454B4AC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8313</w:t>
            </w:r>
          </w:p>
        </w:tc>
        <w:tc>
          <w:tcPr>
            <w:tcW w:w="1155" w:type="dxa"/>
            <w:tcBorders>
              <w:bottom w:val="single" w:sz="12" w:space="0" w:color="auto"/>
            </w:tcBorders>
          </w:tcPr>
          <w:p w14:paraId="7481232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2696</w:t>
            </w:r>
          </w:p>
        </w:tc>
        <w:tc>
          <w:tcPr>
            <w:tcW w:w="1230" w:type="dxa"/>
            <w:tcBorders>
              <w:bottom w:val="single" w:sz="12" w:space="0" w:color="auto"/>
            </w:tcBorders>
          </w:tcPr>
          <w:p w14:paraId="192EDEC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2683</w:t>
            </w:r>
          </w:p>
        </w:tc>
        <w:tc>
          <w:tcPr>
            <w:tcW w:w="900" w:type="dxa"/>
            <w:tcBorders>
              <w:bottom w:val="single" w:sz="12" w:space="0" w:color="auto"/>
            </w:tcBorders>
          </w:tcPr>
          <w:p w14:paraId="3625F82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2934</w:t>
            </w:r>
          </w:p>
        </w:tc>
      </w:tr>
    </w:tbl>
    <w:p w14:paraId="69A7C14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Утвердить заводам Наркомавиапрому программу выпуска авиационных моторов на 1 квартал 1944 года в следующих количествах: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85"/>
        <w:gridCol w:w="3420"/>
        <w:gridCol w:w="1665"/>
        <w:gridCol w:w="1155"/>
        <w:gridCol w:w="1230"/>
        <w:gridCol w:w="900"/>
      </w:tblGrid>
      <w:tr w:rsidR="00CB5308" w:rsidRPr="00070ADE" w14:paraId="120945CC" w14:textId="77777777" w:rsidTr="003712D9">
        <w:trPr>
          <w:jc w:val="center"/>
        </w:trPr>
        <w:tc>
          <w:tcPr>
            <w:tcW w:w="1185" w:type="dxa"/>
            <w:tcBorders>
              <w:top w:val="single" w:sz="12" w:space="0" w:color="auto"/>
            </w:tcBorders>
          </w:tcPr>
          <w:p w14:paraId="63AEA79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заводов</w:t>
            </w:r>
          </w:p>
        </w:tc>
        <w:tc>
          <w:tcPr>
            <w:tcW w:w="3420" w:type="dxa"/>
            <w:tcBorders>
              <w:top w:val="single" w:sz="12" w:space="0" w:color="auto"/>
            </w:tcBorders>
          </w:tcPr>
          <w:p w14:paraId="3E60542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мотора</w:t>
            </w:r>
          </w:p>
        </w:tc>
        <w:tc>
          <w:tcPr>
            <w:tcW w:w="1665" w:type="dxa"/>
            <w:tcBorders>
              <w:top w:val="single" w:sz="12" w:space="0" w:color="auto"/>
            </w:tcBorders>
          </w:tcPr>
          <w:p w14:paraId="10891F2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на квартал</w:t>
            </w:r>
          </w:p>
        </w:tc>
        <w:tc>
          <w:tcPr>
            <w:tcW w:w="1155" w:type="dxa"/>
            <w:gridSpan w:val="3"/>
            <w:tcBorders>
              <w:top w:val="single" w:sz="12" w:space="0" w:color="auto"/>
            </w:tcBorders>
          </w:tcPr>
          <w:p w14:paraId="777D03D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месяцам</w:t>
            </w:r>
          </w:p>
        </w:tc>
      </w:tr>
      <w:tr w:rsidR="00CB5308" w:rsidRPr="00070ADE" w14:paraId="45E646CD" w14:textId="77777777">
        <w:trPr>
          <w:jc w:val="center"/>
        </w:trPr>
        <w:tc>
          <w:tcPr>
            <w:tcW w:w="1185" w:type="dxa"/>
          </w:tcPr>
          <w:p w14:paraId="08C74BC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Pr>
          <w:p w14:paraId="60B39C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65" w:type="dxa"/>
          </w:tcPr>
          <w:p w14:paraId="6592B66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55" w:type="dxa"/>
          </w:tcPr>
          <w:p w14:paraId="486BFF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январь </w:t>
            </w:r>
          </w:p>
        </w:tc>
        <w:tc>
          <w:tcPr>
            <w:tcW w:w="1230" w:type="dxa"/>
          </w:tcPr>
          <w:p w14:paraId="722F340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февраль </w:t>
            </w:r>
          </w:p>
        </w:tc>
        <w:tc>
          <w:tcPr>
            <w:tcW w:w="900" w:type="dxa"/>
          </w:tcPr>
          <w:p w14:paraId="17EBA35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март</w:t>
            </w:r>
          </w:p>
        </w:tc>
      </w:tr>
      <w:tr w:rsidR="00CB5308" w:rsidRPr="00070ADE" w14:paraId="2739693D" w14:textId="77777777">
        <w:trPr>
          <w:jc w:val="center"/>
        </w:trPr>
        <w:tc>
          <w:tcPr>
            <w:tcW w:w="1185" w:type="dxa"/>
          </w:tcPr>
          <w:p w14:paraId="2E370C8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tc>
        <w:tc>
          <w:tcPr>
            <w:tcW w:w="3420" w:type="dxa"/>
          </w:tcPr>
          <w:p w14:paraId="10E859A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М-105ПФ</w:t>
            </w:r>
          </w:p>
        </w:tc>
        <w:tc>
          <w:tcPr>
            <w:tcW w:w="1665" w:type="dxa"/>
          </w:tcPr>
          <w:p w14:paraId="3CC447D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1368</w:t>
            </w:r>
          </w:p>
        </w:tc>
        <w:tc>
          <w:tcPr>
            <w:tcW w:w="1155" w:type="dxa"/>
          </w:tcPr>
          <w:p w14:paraId="5105CE3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432</w:t>
            </w:r>
          </w:p>
        </w:tc>
        <w:tc>
          <w:tcPr>
            <w:tcW w:w="1230" w:type="dxa"/>
          </w:tcPr>
          <w:p w14:paraId="66C4E12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w:t>
            </w:r>
          </w:p>
        </w:tc>
        <w:tc>
          <w:tcPr>
            <w:tcW w:w="900" w:type="dxa"/>
          </w:tcPr>
          <w:p w14:paraId="29FE98D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486</w:t>
            </w:r>
          </w:p>
        </w:tc>
      </w:tr>
      <w:tr w:rsidR="00CB5308" w:rsidRPr="00070ADE" w14:paraId="74E727DE" w14:textId="77777777">
        <w:trPr>
          <w:jc w:val="center"/>
        </w:trPr>
        <w:tc>
          <w:tcPr>
            <w:tcW w:w="1185" w:type="dxa"/>
          </w:tcPr>
          <w:p w14:paraId="6086FE6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w:t>
            </w:r>
          </w:p>
        </w:tc>
        <w:tc>
          <w:tcPr>
            <w:tcW w:w="3420" w:type="dxa"/>
          </w:tcPr>
          <w:p w14:paraId="35DBC7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М-82ФН</w:t>
            </w:r>
          </w:p>
        </w:tc>
        <w:tc>
          <w:tcPr>
            <w:tcW w:w="1665" w:type="dxa"/>
          </w:tcPr>
          <w:p w14:paraId="4B8C2D3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1047</w:t>
            </w:r>
          </w:p>
        </w:tc>
        <w:tc>
          <w:tcPr>
            <w:tcW w:w="1155" w:type="dxa"/>
          </w:tcPr>
          <w:p w14:paraId="5BB007A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285</w:t>
            </w:r>
          </w:p>
        </w:tc>
        <w:tc>
          <w:tcPr>
            <w:tcW w:w="1230" w:type="dxa"/>
          </w:tcPr>
          <w:p w14:paraId="0B2255A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340</w:t>
            </w:r>
          </w:p>
        </w:tc>
        <w:tc>
          <w:tcPr>
            <w:tcW w:w="900" w:type="dxa"/>
          </w:tcPr>
          <w:p w14:paraId="3F3BD1A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422</w:t>
            </w:r>
          </w:p>
        </w:tc>
      </w:tr>
      <w:tr w:rsidR="00CB5308" w:rsidRPr="00070ADE" w14:paraId="47693239" w14:textId="77777777">
        <w:trPr>
          <w:jc w:val="center"/>
        </w:trPr>
        <w:tc>
          <w:tcPr>
            <w:tcW w:w="1185" w:type="dxa"/>
          </w:tcPr>
          <w:p w14:paraId="62F169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w:t>
            </w:r>
          </w:p>
        </w:tc>
        <w:tc>
          <w:tcPr>
            <w:tcW w:w="3420" w:type="dxa"/>
          </w:tcPr>
          <w:p w14:paraId="6279BA1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М-82Ф</w:t>
            </w:r>
          </w:p>
        </w:tc>
        <w:tc>
          <w:tcPr>
            <w:tcW w:w="1665" w:type="dxa"/>
          </w:tcPr>
          <w:p w14:paraId="72E4A3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768</w:t>
            </w:r>
          </w:p>
        </w:tc>
        <w:tc>
          <w:tcPr>
            <w:tcW w:w="1155" w:type="dxa"/>
          </w:tcPr>
          <w:p w14:paraId="4867FAD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275</w:t>
            </w:r>
          </w:p>
        </w:tc>
        <w:tc>
          <w:tcPr>
            <w:tcW w:w="1230" w:type="dxa"/>
          </w:tcPr>
          <w:p w14:paraId="580EDF9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900" w:type="dxa"/>
          </w:tcPr>
          <w:p w14:paraId="4DA4D41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243</w:t>
            </w:r>
          </w:p>
        </w:tc>
      </w:tr>
      <w:tr w:rsidR="00CB5308" w:rsidRPr="00070ADE" w14:paraId="07D4FE45" w14:textId="77777777">
        <w:trPr>
          <w:jc w:val="center"/>
        </w:trPr>
        <w:tc>
          <w:tcPr>
            <w:tcW w:w="1185" w:type="dxa"/>
          </w:tcPr>
          <w:p w14:paraId="29B8939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w:t>
            </w:r>
          </w:p>
        </w:tc>
        <w:tc>
          <w:tcPr>
            <w:tcW w:w="3420" w:type="dxa"/>
          </w:tcPr>
          <w:p w14:paraId="2901F9D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М-62ИР</w:t>
            </w:r>
          </w:p>
        </w:tc>
        <w:tc>
          <w:tcPr>
            <w:tcW w:w="1665" w:type="dxa"/>
          </w:tcPr>
          <w:p w14:paraId="4BDB8B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385</w:t>
            </w:r>
          </w:p>
        </w:tc>
        <w:tc>
          <w:tcPr>
            <w:tcW w:w="1155" w:type="dxa"/>
          </w:tcPr>
          <w:p w14:paraId="408261E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w:t>
            </w:r>
          </w:p>
        </w:tc>
        <w:tc>
          <w:tcPr>
            <w:tcW w:w="1230" w:type="dxa"/>
          </w:tcPr>
          <w:p w14:paraId="64F360B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w:t>
            </w:r>
          </w:p>
        </w:tc>
        <w:tc>
          <w:tcPr>
            <w:tcW w:w="900" w:type="dxa"/>
          </w:tcPr>
          <w:p w14:paraId="67D23F5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w:t>
            </w:r>
          </w:p>
        </w:tc>
      </w:tr>
      <w:tr w:rsidR="00CB5308" w:rsidRPr="00070ADE" w14:paraId="133FDE79" w14:textId="77777777">
        <w:trPr>
          <w:jc w:val="center"/>
        </w:trPr>
        <w:tc>
          <w:tcPr>
            <w:tcW w:w="1185" w:type="dxa"/>
          </w:tcPr>
          <w:p w14:paraId="112B54B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tc>
        <w:tc>
          <w:tcPr>
            <w:tcW w:w="3420" w:type="dxa"/>
          </w:tcPr>
          <w:p w14:paraId="465EAEE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АМ-38Ф</w:t>
            </w:r>
          </w:p>
        </w:tc>
        <w:tc>
          <w:tcPr>
            <w:tcW w:w="1665" w:type="dxa"/>
          </w:tcPr>
          <w:p w14:paraId="396992E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2745</w:t>
            </w:r>
          </w:p>
        </w:tc>
        <w:tc>
          <w:tcPr>
            <w:tcW w:w="1155" w:type="dxa"/>
          </w:tcPr>
          <w:p w14:paraId="2234F1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tc>
        <w:tc>
          <w:tcPr>
            <w:tcW w:w="1230" w:type="dxa"/>
          </w:tcPr>
          <w:p w14:paraId="642819D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tc>
        <w:tc>
          <w:tcPr>
            <w:tcW w:w="900" w:type="dxa"/>
          </w:tcPr>
          <w:p w14:paraId="71743C7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945</w:t>
            </w:r>
          </w:p>
        </w:tc>
      </w:tr>
      <w:tr w:rsidR="00CB5308" w:rsidRPr="00070ADE" w14:paraId="6F9C22F3" w14:textId="77777777">
        <w:trPr>
          <w:jc w:val="center"/>
        </w:trPr>
        <w:tc>
          <w:tcPr>
            <w:tcW w:w="1185" w:type="dxa"/>
          </w:tcPr>
          <w:p w14:paraId="1446819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tc>
        <w:tc>
          <w:tcPr>
            <w:tcW w:w="3420" w:type="dxa"/>
          </w:tcPr>
          <w:p w14:paraId="6FE5D86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АМ-42</w:t>
            </w:r>
          </w:p>
        </w:tc>
        <w:tc>
          <w:tcPr>
            <w:tcW w:w="1665" w:type="dxa"/>
          </w:tcPr>
          <w:p w14:paraId="5FAB550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w:t>
            </w:r>
          </w:p>
        </w:tc>
        <w:tc>
          <w:tcPr>
            <w:tcW w:w="1155" w:type="dxa"/>
          </w:tcPr>
          <w:p w14:paraId="4AEB0D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1230" w:type="dxa"/>
          </w:tcPr>
          <w:p w14:paraId="3670997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tc>
        <w:tc>
          <w:tcPr>
            <w:tcW w:w="900" w:type="dxa"/>
          </w:tcPr>
          <w:p w14:paraId="18BB96F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r>
      <w:tr w:rsidR="00CB5308" w:rsidRPr="00070ADE" w14:paraId="0E90BF6E" w14:textId="77777777">
        <w:trPr>
          <w:jc w:val="center"/>
        </w:trPr>
        <w:tc>
          <w:tcPr>
            <w:tcW w:w="1185" w:type="dxa"/>
          </w:tcPr>
          <w:p w14:paraId="53F5C99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tc>
        <w:tc>
          <w:tcPr>
            <w:tcW w:w="3420" w:type="dxa"/>
          </w:tcPr>
          <w:p w14:paraId="1742EBA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АМ-35А</w:t>
            </w:r>
          </w:p>
        </w:tc>
        <w:tc>
          <w:tcPr>
            <w:tcW w:w="1665" w:type="dxa"/>
          </w:tcPr>
          <w:p w14:paraId="7D56A0E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c>
          <w:tcPr>
            <w:tcW w:w="1155" w:type="dxa"/>
          </w:tcPr>
          <w:p w14:paraId="7F66E1A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c>
          <w:tcPr>
            <w:tcW w:w="1230" w:type="dxa"/>
          </w:tcPr>
          <w:p w14:paraId="28ECB97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c>
          <w:tcPr>
            <w:tcW w:w="900" w:type="dxa"/>
          </w:tcPr>
          <w:p w14:paraId="1C94ABD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r>
      <w:tr w:rsidR="00CB5308" w:rsidRPr="00070ADE" w14:paraId="5F3264A0" w14:textId="77777777">
        <w:trPr>
          <w:jc w:val="center"/>
        </w:trPr>
        <w:tc>
          <w:tcPr>
            <w:tcW w:w="1185" w:type="dxa"/>
          </w:tcPr>
          <w:p w14:paraId="620CA98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w:t>
            </w:r>
          </w:p>
        </w:tc>
        <w:tc>
          <w:tcPr>
            <w:tcW w:w="3420" w:type="dxa"/>
          </w:tcPr>
          <w:p w14:paraId="1ACFFC8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М-105Ф</w:t>
            </w:r>
          </w:p>
        </w:tc>
        <w:tc>
          <w:tcPr>
            <w:tcW w:w="1665" w:type="dxa"/>
          </w:tcPr>
          <w:p w14:paraId="38179D2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2.730</w:t>
            </w:r>
          </w:p>
        </w:tc>
        <w:tc>
          <w:tcPr>
            <w:tcW w:w="1155" w:type="dxa"/>
          </w:tcPr>
          <w:p w14:paraId="7CF4163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tc>
        <w:tc>
          <w:tcPr>
            <w:tcW w:w="1230" w:type="dxa"/>
          </w:tcPr>
          <w:p w14:paraId="3B0609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tc>
        <w:tc>
          <w:tcPr>
            <w:tcW w:w="900" w:type="dxa"/>
          </w:tcPr>
          <w:p w14:paraId="71B245F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930</w:t>
            </w:r>
          </w:p>
        </w:tc>
      </w:tr>
      <w:tr w:rsidR="00CB5308" w:rsidRPr="00070ADE" w14:paraId="39780E76" w14:textId="77777777">
        <w:trPr>
          <w:jc w:val="center"/>
        </w:trPr>
        <w:tc>
          <w:tcPr>
            <w:tcW w:w="1185" w:type="dxa"/>
          </w:tcPr>
          <w:p w14:paraId="2B4B36F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w:t>
            </w:r>
          </w:p>
        </w:tc>
        <w:tc>
          <w:tcPr>
            <w:tcW w:w="3420" w:type="dxa"/>
          </w:tcPr>
          <w:p w14:paraId="7F87E6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М-107А</w:t>
            </w:r>
          </w:p>
        </w:tc>
        <w:tc>
          <w:tcPr>
            <w:tcW w:w="1665" w:type="dxa"/>
          </w:tcPr>
          <w:p w14:paraId="1BA402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370</w:t>
            </w:r>
          </w:p>
        </w:tc>
        <w:tc>
          <w:tcPr>
            <w:tcW w:w="1155" w:type="dxa"/>
          </w:tcPr>
          <w:p w14:paraId="7E11A40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1230" w:type="dxa"/>
          </w:tcPr>
          <w:p w14:paraId="05CF720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tc>
        <w:tc>
          <w:tcPr>
            <w:tcW w:w="900" w:type="dxa"/>
          </w:tcPr>
          <w:p w14:paraId="025607D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r>
      <w:tr w:rsidR="00CB5308" w:rsidRPr="00070ADE" w14:paraId="3D95521D" w14:textId="77777777">
        <w:trPr>
          <w:jc w:val="center"/>
        </w:trPr>
        <w:tc>
          <w:tcPr>
            <w:tcW w:w="1185" w:type="dxa"/>
          </w:tcPr>
          <w:p w14:paraId="4DCF9DA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w:t>
            </w:r>
          </w:p>
        </w:tc>
        <w:tc>
          <w:tcPr>
            <w:tcW w:w="3420" w:type="dxa"/>
          </w:tcPr>
          <w:p w14:paraId="30E0303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М-82ФН</w:t>
            </w:r>
          </w:p>
        </w:tc>
        <w:tc>
          <w:tcPr>
            <w:tcW w:w="1665" w:type="dxa"/>
          </w:tcPr>
          <w:p w14:paraId="23A777D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157</w:t>
            </w:r>
          </w:p>
        </w:tc>
        <w:tc>
          <w:tcPr>
            <w:tcW w:w="1155" w:type="dxa"/>
          </w:tcPr>
          <w:p w14:paraId="6AAC56B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w:t>
            </w:r>
          </w:p>
        </w:tc>
        <w:tc>
          <w:tcPr>
            <w:tcW w:w="1230" w:type="dxa"/>
          </w:tcPr>
          <w:p w14:paraId="70881A8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900" w:type="dxa"/>
          </w:tcPr>
          <w:p w14:paraId="306F6C2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tc>
      </w:tr>
      <w:tr w:rsidR="00CB5308" w:rsidRPr="00070ADE" w14:paraId="6968C2D5" w14:textId="77777777">
        <w:trPr>
          <w:jc w:val="center"/>
        </w:trPr>
        <w:tc>
          <w:tcPr>
            <w:tcW w:w="1185" w:type="dxa"/>
          </w:tcPr>
          <w:p w14:paraId="247BE79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w:t>
            </w:r>
          </w:p>
        </w:tc>
        <w:tc>
          <w:tcPr>
            <w:tcW w:w="3420" w:type="dxa"/>
          </w:tcPr>
          <w:p w14:paraId="4071845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М-88Б</w:t>
            </w:r>
          </w:p>
        </w:tc>
        <w:tc>
          <w:tcPr>
            <w:tcW w:w="1665" w:type="dxa"/>
          </w:tcPr>
          <w:p w14:paraId="5DF000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690</w:t>
            </w:r>
          </w:p>
        </w:tc>
        <w:tc>
          <w:tcPr>
            <w:tcW w:w="1155" w:type="dxa"/>
          </w:tcPr>
          <w:p w14:paraId="5B5161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1230" w:type="dxa"/>
          </w:tcPr>
          <w:p w14:paraId="5C0EEFD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w:t>
            </w:r>
          </w:p>
        </w:tc>
        <w:tc>
          <w:tcPr>
            <w:tcW w:w="900" w:type="dxa"/>
          </w:tcPr>
          <w:p w14:paraId="4414B4C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w:t>
            </w:r>
          </w:p>
        </w:tc>
      </w:tr>
      <w:tr w:rsidR="00CB5308" w:rsidRPr="00070ADE" w14:paraId="7D0C02BC" w14:textId="77777777">
        <w:trPr>
          <w:jc w:val="center"/>
        </w:trPr>
        <w:tc>
          <w:tcPr>
            <w:tcW w:w="1185" w:type="dxa"/>
          </w:tcPr>
          <w:p w14:paraId="7307659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w:t>
            </w:r>
          </w:p>
        </w:tc>
        <w:tc>
          <w:tcPr>
            <w:tcW w:w="3420" w:type="dxa"/>
          </w:tcPr>
          <w:p w14:paraId="7DD0D6C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М-62ИР</w:t>
            </w:r>
          </w:p>
        </w:tc>
        <w:tc>
          <w:tcPr>
            <w:tcW w:w="1665" w:type="dxa"/>
          </w:tcPr>
          <w:p w14:paraId="4FCD50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1155" w:type="dxa"/>
          </w:tcPr>
          <w:p w14:paraId="12835F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_.</w:t>
            </w:r>
          </w:p>
        </w:tc>
        <w:tc>
          <w:tcPr>
            <w:tcW w:w="1230" w:type="dxa"/>
          </w:tcPr>
          <w:p w14:paraId="54ECE3F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_</w:t>
            </w:r>
          </w:p>
        </w:tc>
        <w:tc>
          <w:tcPr>
            <w:tcW w:w="900" w:type="dxa"/>
          </w:tcPr>
          <w:p w14:paraId="1EF3763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r>
      <w:tr w:rsidR="00CB5308" w:rsidRPr="00070ADE" w14:paraId="23DBB58F" w14:textId="77777777">
        <w:trPr>
          <w:jc w:val="center"/>
        </w:trPr>
        <w:tc>
          <w:tcPr>
            <w:tcW w:w="1185" w:type="dxa"/>
          </w:tcPr>
          <w:p w14:paraId="50D1DAC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w:t>
            </w:r>
          </w:p>
        </w:tc>
        <w:tc>
          <w:tcPr>
            <w:tcW w:w="3420" w:type="dxa"/>
          </w:tcPr>
          <w:p w14:paraId="1DC4226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М-11</w:t>
            </w:r>
          </w:p>
        </w:tc>
        <w:tc>
          <w:tcPr>
            <w:tcW w:w="1665" w:type="dxa"/>
          </w:tcPr>
          <w:p w14:paraId="0869604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682</w:t>
            </w:r>
          </w:p>
        </w:tc>
        <w:tc>
          <w:tcPr>
            <w:tcW w:w="1155" w:type="dxa"/>
          </w:tcPr>
          <w:p w14:paraId="4DA0465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207</w:t>
            </w:r>
          </w:p>
        </w:tc>
        <w:tc>
          <w:tcPr>
            <w:tcW w:w="1230" w:type="dxa"/>
          </w:tcPr>
          <w:p w14:paraId="18B80FD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225</w:t>
            </w:r>
          </w:p>
        </w:tc>
        <w:tc>
          <w:tcPr>
            <w:tcW w:w="900" w:type="dxa"/>
          </w:tcPr>
          <w:p w14:paraId="68446B7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r>
      <w:tr w:rsidR="00CB5308" w:rsidRPr="00070ADE" w14:paraId="7F5BADA2" w14:textId="77777777">
        <w:trPr>
          <w:jc w:val="center"/>
        </w:trPr>
        <w:tc>
          <w:tcPr>
            <w:tcW w:w="1185" w:type="dxa"/>
          </w:tcPr>
          <w:p w14:paraId="3ED0F60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c>
          <w:tcPr>
            <w:tcW w:w="3420" w:type="dxa"/>
          </w:tcPr>
          <w:p w14:paraId="717C5F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АМ-38Ф</w:t>
            </w:r>
          </w:p>
        </w:tc>
        <w:tc>
          <w:tcPr>
            <w:tcW w:w="1665" w:type="dxa"/>
          </w:tcPr>
          <w:p w14:paraId="4B642CC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1115</w:t>
            </w:r>
          </w:p>
        </w:tc>
        <w:tc>
          <w:tcPr>
            <w:tcW w:w="1155" w:type="dxa"/>
          </w:tcPr>
          <w:p w14:paraId="5D17E4E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w:t>
            </w:r>
          </w:p>
        </w:tc>
        <w:tc>
          <w:tcPr>
            <w:tcW w:w="1230" w:type="dxa"/>
          </w:tcPr>
          <w:p w14:paraId="78B64F3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360</w:t>
            </w:r>
          </w:p>
        </w:tc>
        <w:tc>
          <w:tcPr>
            <w:tcW w:w="900" w:type="dxa"/>
          </w:tcPr>
          <w:p w14:paraId="050A834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405</w:t>
            </w:r>
          </w:p>
        </w:tc>
      </w:tr>
      <w:tr w:rsidR="00CB5308" w:rsidRPr="00070ADE" w14:paraId="6C71090A" w14:textId="77777777">
        <w:trPr>
          <w:jc w:val="center"/>
        </w:trPr>
        <w:tc>
          <w:tcPr>
            <w:tcW w:w="1185" w:type="dxa"/>
          </w:tcPr>
          <w:p w14:paraId="7B21147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154</w:t>
            </w:r>
          </w:p>
        </w:tc>
        <w:tc>
          <w:tcPr>
            <w:tcW w:w="3420" w:type="dxa"/>
          </w:tcPr>
          <w:p w14:paraId="3F19FEC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М-11</w:t>
            </w:r>
          </w:p>
        </w:tc>
        <w:tc>
          <w:tcPr>
            <w:tcW w:w="1665" w:type="dxa"/>
          </w:tcPr>
          <w:p w14:paraId="6350F0E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1232</w:t>
            </w:r>
          </w:p>
        </w:tc>
        <w:tc>
          <w:tcPr>
            <w:tcW w:w="1155" w:type="dxa"/>
          </w:tcPr>
          <w:p w14:paraId="33361C5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tc>
        <w:tc>
          <w:tcPr>
            <w:tcW w:w="1230" w:type="dxa"/>
          </w:tcPr>
          <w:p w14:paraId="3DE91FD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tc>
        <w:tc>
          <w:tcPr>
            <w:tcW w:w="900" w:type="dxa"/>
          </w:tcPr>
          <w:p w14:paraId="3376B7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432</w:t>
            </w:r>
          </w:p>
        </w:tc>
      </w:tr>
      <w:tr w:rsidR="00CB5308" w:rsidRPr="00070ADE" w14:paraId="2101BCDE" w14:textId="77777777">
        <w:trPr>
          <w:jc w:val="center"/>
        </w:trPr>
        <w:tc>
          <w:tcPr>
            <w:tcW w:w="1185" w:type="dxa"/>
          </w:tcPr>
          <w:p w14:paraId="4774B06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466</w:t>
            </w:r>
          </w:p>
        </w:tc>
        <w:tc>
          <w:tcPr>
            <w:tcW w:w="3420" w:type="dxa"/>
          </w:tcPr>
          <w:p w14:paraId="629F5AD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М-105ПФ</w:t>
            </w:r>
          </w:p>
        </w:tc>
        <w:tc>
          <w:tcPr>
            <w:tcW w:w="1665" w:type="dxa"/>
          </w:tcPr>
          <w:p w14:paraId="166DEA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850</w:t>
            </w:r>
          </w:p>
        </w:tc>
        <w:tc>
          <w:tcPr>
            <w:tcW w:w="1155" w:type="dxa"/>
          </w:tcPr>
          <w:p w14:paraId="11C9903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260</w:t>
            </w:r>
          </w:p>
        </w:tc>
        <w:tc>
          <w:tcPr>
            <w:tcW w:w="1230" w:type="dxa"/>
          </w:tcPr>
          <w:p w14:paraId="7CAE10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275</w:t>
            </w:r>
          </w:p>
        </w:tc>
        <w:tc>
          <w:tcPr>
            <w:tcW w:w="900" w:type="dxa"/>
          </w:tcPr>
          <w:p w14:paraId="3CABAC6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315</w:t>
            </w:r>
          </w:p>
        </w:tc>
      </w:tr>
      <w:tr w:rsidR="00CB5308" w:rsidRPr="00070ADE" w14:paraId="7719126E" w14:textId="77777777">
        <w:trPr>
          <w:jc w:val="center"/>
        </w:trPr>
        <w:tc>
          <w:tcPr>
            <w:tcW w:w="1185" w:type="dxa"/>
          </w:tcPr>
          <w:p w14:paraId="5AB7552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3420" w:type="dxa"/>
          </w:tcPr>
          <w:p w14:paraId="4649D3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М-30б</w:t>
            </w:r>
          </w:p>
        </w:tc>
        <w:tc>
          <w:tcPr>
            <w:tcW w:w="1665" w:type="dxa"/>
          </w:tcPr>
          <w:p w14:paraId="19548F2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w:t>
            </w:r>
          </w:p>
        </w:tc>
        <w:tc>
          <w:tcPr>
            <w:tcW w:w="1155" w:type="dxa"/>
          </w:tcPr>
          <w:p w14:paraId="5C05AE4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1230" w:type="dxa"/>
          </w:tcPr>
          <w:p w14:paraId="60FAC59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tc>
        <w:tc>
          <w:tcPr>
            <w:tcW w:w="900" w:type="dxa"/>
          </w:tcPr>
          <w:p w14:paraId="0F7ADA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r>
      <w:tr w:rsidR="00CB5308" w:rsidRPr="00070ADE" w14:paraId="44CCEB4E" w14:textId="77777777">
        <w:trPr>
          <w:jc w:val="center"/>
        </w:trPr>
        <w:tc>
          <w:tcPr>
            <w:tcW w:w="1185" w:type="dxa"/>
            <w:tcBorders>
              <w:bottom w:val="single" w:sz="12" w:space="0" w:color="auto"/>
            </w:tcBorders>
          </w:tcPr>
          <w:p w14:paraId="17E4F99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Borders>
              <w:bottom w:val="single" w:sz="12" w:space="0" w:color="auto"/>
            </w:tcBorders>
          </w:tcPr>
          <w:p w14:paraId="464760B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моторов</w:t>
            </w:r>
          </w:p>
        </w:tc>
        <w:tc>
          <w:tcPr>
            <w:tcW w:w="1665" w:type="dxa"/>
            <w:tcBorders>
              <w:bottom w:val="single" w:sz="12" w:space="0" w:color="auto"/>
            </w:tcBorders>
          </w:tcPr>
          <w:p w14:paraId="3B56C81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14404</w:t>
            </w:r>
          </w:p>
        </w:tc>
        <w:tc>
          <w:tcPr>
            <w:tcW w:w="1155" w:type="dxa"/>
            <w:tcBorders>
              <w:bottom w:val="single" w:sz="12" w:space="0" w:color="auto"/>
            </w:tcBorders>
          </w:tcPr>
          <w:p w14:paraId="0B46F24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4576</w:t>
            </w:r>
          </w:p>
        </w:tc>
        <w:tc>
          <w:tcPr>
            <w:tcW w:w="1230" w:type="dxa"/>
            <w:tcBorders>
              <w:bottom w:val="single" w:sz="12" w:space="0" w:color="auto"/>
            </w:tcBorders>
          </w:tcPr>
          <w:p w14:paraId="3BC8373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4695</w:t>
            </w:r>
          </w:p>
        </w:tc>
        <w:tc>
          <w:tcPr>
            <w:tcW w:w="900" w:type="dxa"/>
            <w:tcBorders>
              <w:bottom w:val="single" w:sz="12" w:space="0" w:color="auto"/>
            </w:tcBorders>
          </w:tcPr>
          <w:p w14:paraId="0AFA70F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5133</w:t>
            </w:r>
          </w:p>
        </w:tc>
      </w:tr>
    </w:tbl>
    <w:p w14:paraId="046BE9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ГОСУДАРСТВЕННОГО КОМИТЕТА ОБОРОНЫ – И.В. Сталин (11813).</w:t>
      </w:r>
    </w:p>
    <w:p w14:paraId="3AF9F3B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Товарищу СТАЛИНУ</w:t>
      </w:r>
    </w:p>
    <w:p w14:paraId="2207FD1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Представляем на Ваше рассмотрение проект постановления Государственного Комитета Обороны о плане производства самолётов и авиамоторов на первый квартал 1944 года. </w:t>
      </w:r>
    </w:p>
    <w:p w14:paraId="278613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первом квартале предусматривается выпуск 9.886 самолётов, в том числе боевых - 8.313 и авиационных моторов - 14.404 штук. Производство самолётов в первом квартале предполагается сохранить на уровне фактического выпуска в четвертом квартале; авиационных моторов намечено выпустить на 625 штук больше, чем в I четвертом квартале.</w:t>
      </w:r>
    </w:p>
    <w:p w14:paraId="5DA7312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Характерной особенностью первого квартала является перевод большинства основных авиационных заводов на выпуск новых или модернизированных боевых самолётов и моторов для них:</w:t>
      </w:r>
    </w:p>
    <w:p w14:paraId="72147CB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292 в Саратове внедряет в производство новый истребитель Як-3, вместо выпускаемого Як-1.</w:t>
      </w:r>
    </w:p>
    <w:p w14:paraId="1701DF3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Заводы № 21 в Горьком и № 381 в Москве переходят на выпуск облегченного истребителя Ла-5 с металлическими лонжеронами, вместо деревянных.</w:t>
      </w:r>
    </w:p>
    <w:p w14:paraId="3DDBF26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Заводы № 82 в Москве и № 166 в г. Омске переводятся на производство новых истребителей Як-9 с новым мотором М-107А, вместо истребителей Як-7 и Як-9 с мотором М-105ПФ.</w:t>
      </w:r>
    </w:p>
    <w:p w14:paraId="39EF3B9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31 в Тбилиси переводится на производство новых истребителей Як-3, вместо выпускаемых Лагг-3.</w:t>
      </w:r>
    </w:p>
    <w:p w14:paraId="29CD4E4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39 в Иркутске приступил к серийному производству бомбардировщиков Ер-2, за счет сокращения выпуска бомбардировщиков Ил-4.</w:t>
      </w:r>
    </w:p>
    <w:p w14:paraId="44416F8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23 в Москве внедряет в серийное производство бомбардировщик Ту-2.</w:t>
      </w:r>
    </w:p>
    <w:p w14:paraId="1D61926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авиамоторном заводе № 26 в г. Уфе организуется серийное производство нового мотора М-107А.</w:t>
      </w:r>
    </w:p>
    <w:p w14:paraId="433A17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29 в Омске внедряет в серийное производство новый для него мотор М-82ФН.</w:t>
      </w:r>
    </w:p>
    <w:p w14:paraId="26A5E3B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Перевод заводов на выпуск новых или модернизированных самолётов и моторов будет производиться без снижения достигнутого выпуска самолётов и моторов, что связано с большим напряжением работы заводов в первом квартале.</w:t>
      </w:r>
    </w:p>
    <w:p w14:paraId="451DFA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Просим утвердить прилагаемый проект постановления ГОКО.</w:t>
      </w:r>
    </w:p>
    <w:p w14:paraId="2A2CBA4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Подпись: Маленков, Шахурин (11813).</w:t>
      </w:r>
    </w:p>
    <w:p w14:paraId="10F3547F" w14:textId="77777777" w:rsidR="00264F92" w:rsidRPr="00070ADE" w:rsidRDefault="00264F92" w:rsidP="00B56F90">
      <w:pPr>
        <w:autoSpaceDE w:val="0"/>
        <w:autoSpaceDN w:val="0"/>
        <w:adjustRightInd w:val="0"/>
        <w:spacing w:after="0" w:line="240" w:lineRule="auto"/>
        <w:jc w:val="both"/>
        <w:rPr>
          <w:rFonts w:ascii="Times New Roman" w:hAnsi="Times New Roman"/>
          <w:color w:val="000000" w:themeColor="text1"/>
          <w:sz w:val="16"/>
          <w:szCs w:val="16"/>
        </w:rPr>
      </w:pPr>
    </w:p>
    <w:p w14:paraId="61FD34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вышло Постановление ГКО № 4922 О материально-техническом обеспечении Наркомавиапрома в первом квартале 1944 г. РГАНИР, Фонд ГКО, д. 187, лл. 143-151,152-321 (11012).</w:t>
      </w:r>
    </w:p>
    <w:p w14:paraId="49DA8E9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09D041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года на основании Постановления ГКО № 4922сс и 16 января 1944 года согласно выписки из приказа НКАП от № 24с было решено организовать в Запорожье на базе бывш. завода № 29 авиаремонтный завод.</w:t>
      </w:r>
    </w:p>
    <w:p w14:paraId="02B364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Присвоить организованному авиаремонтному заводу № 478.</w:t>
      </w:r>
    </w:p>
    <w:p w14:paraId="371295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24 сентября 1944 года – директор Авраменко А.К.</w:t>
      </w:r>
    </w:p>
    <w:p w14:paraId="5EEAFD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НКАП № 193с от 5 мая 1945 года на заводе № 478 было положено начало организации ОКБ, на которое возлагались функции внедрения в серийное производство авиамоторов М-88б и создание новых и модифицированных моторов. Начальником ОКБ был назначен Ивченко А.Г.</w:t>
      </w:r>
    </w:p>
    <w:p w14:paraId="77F94F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Выпиской из приказа МАП № 25сс от 23 января 1947 года завод № 478 обязывался приступить к подготовке и выпуску в серийном производстве авиамоторов М11-ФР, прекратив производство мотоциклетного мотора М-72.</w:t>
      </w:r>
    </w:p>
    <w:p w14:paraId="3259B1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8 мая 1947 года – директор Шубин И.М.</w:t>
      </w:r>
    </w:p>
    <w:p w14:paraId="36072C3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УССР, Запорожье, пл. им. Шевченко</w:t>
      </w:r>
    </w:p>
    <w:p w14:paraId="4C370D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1947 года завод приступил к подготовке производства по запуску в серийные цехи вертолетных моторов воздушного охлаждения конструкции ОКБ завода АИ-26ГРФ, успешно прошедшего госиспытания в 1947 году.</w:t>
      </w:r>
    </w:p>
    <w:p w14:paraId="76FC56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Постановления СМ от 7 сентября 1948 года № 3761-1349сс завод обязывался организовать серийное производство по выпуску реактивных двигателей конструкции Микулина (9612).</w:t>
      </w:r>
    </w:p>
    <w:p w14:paraId="498F88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68F7C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г. вышел приказ Наркома авиационной промышлен</w:t>
      </w:r>
      <w:r w:rsidRPr="00070ADE">
        <w:rPr>
          <w:rFonts w:ascii="Times New Roman" w:hAnsi="Times New Roman"/>
          <w:color w:val="000000" w:themeColor="text1"/>
          <w:sz w:val="16"/>
          <w:szCs w:val="16"/>
        </w:rPr>
        <w:softHyphen/>
        <w:t>ности А. И. Шахурина, в котором указыва</w:t>
      </w:r>
      <w:r w:rsidRPr="00070ADE">
        <w:rPr>
          <w:rFonts w:ascii="Times New Roman" w:hAnsi="Times New Roman"/>
          <w:color w:val="000000" w:themeColor="text1"/>
          <w:sz w:val="16"/>
          <w:szCs w:val="16"/>
        </w:rPr>
        <w:softHyphen/>
        <w:t>лось: «В целях развития опытных работ по геликоптерам и скорей</w:t>
      </w:r>
      <w:r w:rsidRPr="00070ADE">
        <w:rPr>
          <w:rFonts w:ascii="Times New Roman" w:hAnsi="Times New Roman"/>
          <w:color w:val="000000" w:themeColor="text1"/>
          <w:sz w:val="16"/>
          <w:szCs w:val="16"/>
        </w:rPr>
        <w:softHyphen/>
        <w:t>шей доводки построенного геликоптера «Омега» приказываю:</w:t>
      </w:r>
    </w:p>
    <w:p w14:paraId="2FF557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Начальнику 7 ГУ т. Шишкину перевести ОКБ-3 из МАИ на площадь филиала завода 381, занимаемую транспортно-эксплуата-ционной базой 11 ГУ, и организовать на этой площади самостоя</w:t>
      </w:r>
      <w:r w:rsidRPr="00070ADE">
        <w:rPr>
          <w:rFonts w:ascii="Times New Roman" w:hAnsi="Times New Roman"/>
          <w:color w:val="000000" w:themeColor="text1"/>
          <w:sz w:val="16"/>
          <w:szCs w:val="16"/>
        </w:rPr>
        <w:softHyphen/>
        <w:t>тельное ОКБ первой категории по геликоптерам с соответствую</w:t>
      </w:r>
      <w:r w:rsidRPr="00070ADE">
        <w:rPr>
          <w:rFonts w:ascii="Times New Roman" w:hAnsi="Times New Roman"/>
          <w:color w:val="000000" w:themeColor="text1"/>
          <w:sz w:val="16"/>
          <w:szCs w:val="16"/>
        </w:rPr>
        <w:softHyphen/>
        <w:t>щей производственной базой.</w:t>
      </w:r>
    </w:p>
    <w:p w14:paraId="7236C9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Директору завода 381 Журавлеву передать не позднее 15 ян</w:t>
      </w:r>
      <w:r w:rsidRPr="00070ADE">
        <w:rPr>
          <w:rFonts w:ascii="Times New Roman" w:hAnsi="Times New Roman"/>
          <w:color w:val="000000" w:themeColor="text1"/>
          <w:sz w:val="16"/>
          <w:szCs w:val="16"/>
        </w:rPr>
        <w:softHyphen/>
        <w:t>варя 1944 года в распоряжение 7 ГУ двухэтажное производствен</w:t>
      </w:r>
      <w:r w:rsidRPr="00070ADE">
        <w:rPr>
          <w:rFonts w:ascii="Times New Roman" w:hAnsi="Times New Roman"/>
          <w:color w:val="000000" w:themeColor="text1"/>
          <w:sz w:val="16"/>
          <w:szCs w:val="16"/>
        </w:rPr>
        <w:softHyphen/>
        <w:t>ное задание, здания складов и всего гаража для ОКБ-3».</w:t>
      </w:r>
    </w:p>
    <w:p w14:paraId="3AD5DA7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Этим приказом ОКБ-3 обрело свое новое место, на котором впоследствии разместился Московский вертолетный завод (10736).</w:t>
      </w:r>
    </w:p>
    <w:p w14:paraId="392B610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36E45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г. нарком А.И.Шахурин отдал следующий приказ №19с:</w:t>
      </w:r>
    </w:p>
    <w:p w14:paraId="64E20B4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развития опытных работ по геликоптерам и скорейшей доводки построенного геликоптера «Омега» ПРИКАЗЫВАЮ:</w:t>
      </w:r>
    </w:p>
    <w:p w14:paraId="4ED6CB4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Начальнику 7 ГУ т. Шишкину перевести ОКБ-3 из МАИ на площадь филиала завода №381, занимаемую транспортно-эксплуатационной базой 11 ГУ, и организовать на этой площади самостоятельное ОКБ первой категории по геликоптерам с соответствующей производственной базой.</w:t>
      </w:r>
    </w:p>
    <w:p w14:paraId="214136A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Директору завода №381 Журавлеву и начальнику 11 ГУ Куликову передать не позднее 15.01.44 г. 7 ГУ двухэтажное производственное здание (бывшие мастерские по выпуску упаковочных ящиков. — Автор), здания складов (небольшой каменный дом с деревянным навесом. — Автор) и всего гаража для ОКБ-3».</w:t>
      </w:r>
    </w:p>
    <w:p w14:paraId="5DD9EED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Так на 2-й Рыбинской улице впервые обосновались советские вертолетчики. Численность сотрудников ОКБ-3 достигла 130 человек. Героическими усилиями они собрали на новой территории вертолет 2МГ в новой модификации «Омега-II. Эта машина стала первым винтокрылым летательным аппаратом, собранным на территории будущего МВЗ им. М.Л.Миля. Только трудности военного времени помешали запустить его в серийное производство. За создание первого отечественного работоспособного вертолета И.П.Братухин и Б.Н.Юрьев удостоились Сталинской премии. Впервые такая награда досталась авиационным конструкторам за создание винтокрылой машины. Успешное завершение испытаний «Омеги» было выдающимся достижением молодого конструкторского коллектива и заложило основы всего отечественного вертолетостроения. С этого времени опытно-конструкторские и научно-исследовательские работы по вертолетной технике навсегда вошли в перечень </w:t>
      </w:r>
      <w:r w:rsidRPr="00070ADE">
        <w:rPr>
          <w:rFonts w:ascii="Times New Roman" w:hAnsi="Times New Roman"/>
          <w:color w:val="000000" w:themeColor="text1"/>
          <w:sz w:val="16"/>
          <w:szCs w:val="16"/>
        </w:rPr>
        <w:lastRenderedPageBreak/>
        <w:t>работ Наркомата авиационной промышленности. К сожалению, выделенные в 1944 г. для ОКБ-3 помещения были не приспособлены для опытно-конструкторской работы. В них было сыро, холодно и грязно. Строить или ремонтировать вертолеты в них не позволяло слабое технологическое оборудование. Новый вертолет Г-3 пришлось строить в 1945 г. совместно с тушинским авиазаводом № 82 и рядом других предприятий-субподрядчиков, а выпуск первой опытной партии таких машин вообще разместить на только что восстановленном после оккупации киевском авиазаводе №473. Такая разбросанность территорий значительно усложняла работу конструкторского коллектива, срывала планы и сроки. Соратники Братухина с завистью смотрели на оставшиеся по другую сторону 2-й Рыбинской улицы основные производственные цеха бывшей мебельной фабрики, но там по-прежнему находился Филиал №1 завода №381 (10752).</w:t>
      </w:r>
    </w:p>
    <w:p w14:paraId="0CADAAD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D7EEA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г. нарком А.И.Шахурин отдал следующий приказ №19с:</w:t>
      </w:r>
    </w:p>
    <w:p w14:paraId="08F8AF7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развития опытных работ по геликоптерам и скорейшей доводки построенного геликоптера «Омега» ПРИКАЗЫВАЮ:</w:t>
      </w:r>
    </w:p>
    <w:p w14:paraId="476F26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Начальнику 7 ГУ т. Шишкину перевести ОКБ-3 из МАИ на площадь филиала завода №381, занимаемую транспортно-эксплуатационной базой 11 ГУ, и организовать на этой площади самостоятельное ОКБ первой категории по геликоптерам с соответствующей производственной базой.</w:t>
      </w:r>
    </w:p>
    <w:p w14:paraId="0E26679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Директору завода №381 Журавлеву и начальнику 11 ГУ Куликову передать не позднее 15.01.44 г. 7 ГУ двухэтажное производственное здание (бывшие мастерские по выпуску упаковочных ящиков), здания складов (небольшой каменный дом с деревянным навесом. — Автор) и всего гаража для ОКБ-3».</w:t>
      </w:r>
    </w:p>
    <w:p w14:paraId="726084B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на 2-й Рыбинской улице впервые обосновались советские вертолетчики. Численность сотрудников ОКБ-3 достигла 130 человек. Героическими усилиями они собрали на новой территории вертолет 2МГ в новой модификации «Омега-II. Эта машина стала первым винтокрылым летательным аппаратом, собранным на территории будущего МВЗ им. М.Л.Миля. Только трудности военного времени помешали запустить его в серийное производство. За создание первого отечественного работоспособного вертолета И.П.Братухин и Б.Н.Юрьев удостоились Сталинской премии. Впервые такая награда досталась авиационным конструкторам за создание винтокрылой машины.</w:t>
      </w:r>
    </w:p>
    <w:p w14:paraId="7BD116A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Успешное завершение испытаний «Омеги» было выдающимся достижением молодого конструкторского коллектива и заложило основы всего отечественного вертолетостроения. С этого времени опытно-конструкторские и научно-исследовательские работы по вертолетной технике навсегда вошли в перечень работ Наркомата авиационной промышленности.</w:t>
      </w:r>
    </w:p>
    <w:p w14:paraId="1F60111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сожалению, выделенные в 1944 г. для ОКБ-3 помещения были не приспособлены для опытно-конструкторской работы. В них было сыро, холодно и грязно. Строить или ремонтировать вертолеты в них не позволяло слабое технологическое оборудование. Новый вертолет Г-3 пришлось строить в 1945 г. совместно с тушинским авиазаводом №82 и рядом других предприятий-субподрядчиков, а выпуск первой опытной партии таких машин вообще разместить на только что восстановленном после оккупации киевском авиазаводе №473. Такая разбросанность территорий значительно усложняла работу конструкторского коллектива, срывала планы и сроки. Соратники Братухина с завистью смотрели на оставшиеся по другую сторону 2-й Рыбинской улицы основные производственные цеха бывшей мебельной фабрики, но там по-прежнему находился Филиал №1 завода №381.</w:t>
      </w:r>
    </w:p>
    <w:p w14:paraId="437D61C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Ситуация коренным образом изменилась в 1945 г. С прекращением боевых действий правительственный заказ на истребители резко упал. Вместо сотен Ла-7 завод №381 получил приказ освоить выпуск только опытной серии истребителя И-250 со смешаной силовой установкой. В то же время предприятие получило большой заказ на производство изделий ширпотреба самого разнообразного вида. В него входили: пассажирские катера, байдарки, кровати, ложки, столы, стулья, ручки, скамейки, табуретки и т.д. Все деревянные части этих изделий начали выпускать на Филиале №1 (11242).</w:t>
      </w:r>
    </w:p>
    <w:p w14:paraId="3C1CB36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41B8BC0"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FCD1E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29B7E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вышло Постановление ГКО № 4919 О плане добычи угля по Наркомуглю на I квартал 1944 года и мерах по материально-техническому обеспечению угольной промышленности. РГАНИР, Фонд ГКО, д. 187, лл. 49-77,78-108 (11012).</w:t>
      </w:r>
    </w:p>
    <w:p w14:paraId="2A801DE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0075D9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вышло Постановление ГКО № 4920 О мероприятиях по развитию добычи природного газа и производства искусственного жидкого топлива в I квартале 1944 года. РГАНИР, Фонд ГКО, д. 187, лл. 109-115,116-129 (11012).</w:t>
      </w:r>
    </w:p>
    <w:p w14:paraId="059D3DD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C5979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вышло Постановление ГКО № 4921 О добыче нефти и выработке нефтепродуктов в январе и I квартале 1944 года. РГАНИР, Фонд ГКО, д. 187, лл. 130-140,141-142 (11012).</w:t>
      </w:r>
    </w:p>
    <w:p w14:paraId="0F9075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402A98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вышло Постановление ГКО № 4922 О материально-техническом обеспечении Наркомавиапрома в первом квартале 1944 г. РГАНИР, Фонд ГКО, д. 187, лл. 143-151,152-321 (11012).</w:t>
      </w:r>
    </w:p>
    <w:p w14:paraId="652FA61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004BE9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вышло Постановление ГКО № 4923 О плане производства танков, самоходных установок, дизелей, запасных частей к ним и ремонте танков, самоходных установок и дизелей на I квартал и январь месяц 1944 года. РГАНИР, Фонд ГКО, д. 188, лл. 1-8,9-209 (11012).</w:t>
      </w:r>
    </w:p>
    <w:p w14:paraId="010F893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C0F89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вышло Постановление ГКО № 4924 О плане производства и поставок НКО и НКВМФ артиллерийского, минометного и стрелкового вооружения и военных приборов на январь и I квартал 1944 года. РГАНИР, Фонд ГКО, д. 188, лл. 210-244,245-347 (11012).</w:t>
      </w:r>
    </w:p>
    <w:p w14:paraId="0B1AC5C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D220CC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вышло Постановление ГКО № 4925 О плане производства и поставок патронов и звеньев Наркоматом вооружения в I квартале 1944 года. РГАНИР, Фонд ГКО, д. 188, лл. 348-356,357-366 (11012).</w:t>
      </w:r>
    </w:p>
    <w:p w14:paraId="3E52067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BCDDB1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вышло Постановление ГКО № 4926 О плане производства и поставок пулеметов-пистолетов Шпагина и ПП-43 в январе и I квартале 1944 года. РГАНИР, Фонд ГКО, д. 188, лл. 367-375,376-386 (11012).</w:t>
      </w:r>
    </w:p>
    <w:p w14:paraId="535AEA7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1E2448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вышло Постановление ГКО № 4927 О плане производства боеприпасов в I квартале 1944 года. РГАНИР, Фонд ГКО, д. 189, лл. 1-20,21-455 (11012).</w:t>
      </w:r>
    </w:p>
    <w:p w14:paraId="406BD2B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37EE6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вышло Постановление ГКО № 4928 О плане производства важнейших химикатов для боеприпасов и народного хозяйства на I квартал 1944 года. РГАНИР, Фонд ГКО, д. 189, лл. 456-469,470-477 (11012).</w:t>
      </w:r>
    </w:p>
    <w:p w14:paraId="366A4FF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78BC29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вышло Постановление ГКО № 4929 Об общем плане перевозок народнохозяйственных и воинских грузов по железнодорожному и водному транспорту на январь 1944 года. РГАНИР, Фонд ГКО, д. 189, лл. 478 (11012).</w:t>
      </w:r>
    </w:p>
    <w:p w14:paraId="37B4728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09B22F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вышло Постановление ГКО № 4929 Об общем плане перевозок народнохозяйственных и воинских грузов по железнодорожному и водному транспорту на январь 1944 г. (7170, 478).</w:t>
      </w:r>
    </w:p>
    <w:p w14:paraId="7A999A8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CAE2D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вышло Постановление ГКО № 4930 О плане перевозок народнохозяйственных грузов по железнодорожному и водному транспорту на январь 1944 г. (7171, 1-8,9-178).</w:t>
      </w:r>
    </w:p>
    <w:p w14:paraId="0F6E622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B81D4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вышло Распоряжение ГКО № 4931 [Об исключении бригады разграждения, занятой на строительстве объектов Ново-Тагильского завода, из списков войсковых частей и о направлении на восстановление Харьковского турбогенераторного завода 1500 военнообязанных, не годных к строевой службе.] (7172, 1).</w:t>
      </w:r>
    </w:p>
    <w:p w14:paraId="6A470B1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8198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вышло Постановление ГКО № 4932 О плане распределения угля на I квартал 1944 года. РГАНИР, Фонд ГКО, д. 191, лл. 2-4,5-93 (11012).</w:t>
      </w:r>
    </w:p>
    <w:p w14:paraId="00CAC91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E923413"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11 января</w:t>
      </w:r>
      <w:r w:rsidRPr="00070ADE">
        <w:rPr>
          <w:rFonts w:ascii="Times New Roman" w:hAnsi="Times New Roman"/>
          <w:color w:val="000000" w:themeColor="text1"/>
          <w:sz w:val="16"/>
          <w:szCs w:val="16"/>
        </w:rPr>
        <w:t xml:space="preserve"> в 1944 году отравление 7 человек на заводе по производству химического оружия N 148 в Дзержинске (нынешний завод "Оргстекло", Нижегородская область) при производстве ремонтных работ в цехе сточных вод. Двое рабочих погибли. Главный инженер завода - Б.П.Зверев (15006).</w:t>
      </w:r>
    </w:p>
    <w:p w14:paraId="49E4B53D" w14:textId="77777777" w:rsidR="00E00646" w:rsidRPr="00070ADE" w:rsidRDefault="00E00646" w:rsidP="00B56F90">
      <w:pPr>
        <w:spacing w:after="0" w:line="240" w:lineRule="auto"/>
        <w:jc w:val="both"/>
        <w:rPr>
          <w:rFonts w:ascii="Times New Roman" w:hAnsi="Times New Roman"/>
          <w:color w:val="000000" w:themeColor="text1"/>
          <w:sz w:val="16"/>
          <w:szCs w:val="16"/>
        </w:rPr>
      </w:pPr>
    </w:p>
    <w:p w14:paraId="6609BF99" w14:textId="77777777" w:rsidR="00DF6978"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F0833A4" w14:textId="77777777" w:rsidR="00264F92" w:rsidRPr="00070ADE" w:rsidRDefault="00264F92" w:rsidP="00B56F90">
      <w:pPr>
        <w:spacing w:after="0" w:line="240" w:lineRule="auto"/>
        <w:jc w:val="both"/>
        <w:rPr>
          <w:rFonts w:ascii="Times New Roman" w:hAnsi="Times New Roman"/>
          <w:color w:val="000000" w:themeColor="text1"/>
          <w:sz w:val="16"/>
          <w:szCs w:val="16"/>
        </w:rPr>
      </w:pPr>
    </w:p>
    <w:p w14:paraId="18B1D300"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11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78F87838"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11 января наши войска в направлении города Сарны форсировали реку Случь и заняли севернее города Сарны железнодорожную станцию Стшельск и южнее города — железнодорожную станцию Немовичи.</w:t>
      </w:r>
    </w:p>
    <w:p w14:paraId="6F28F8A6"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Юго-западнее и южнее Новоград-Волынский наши войска вели наступательные бои, в ходе которых овладели районным центром Житомирской области Ярунь, а также заняли более 30 других населённых пунктов, среди которых крупные населённые пункты Курмань, Колоденка. Радулин, Мирославль. Свинобычи, Жары, Понинка, Желобное, Мокрое, Дубровка, Буртын и железнодорожные станции Орелы. Колоденка, Радулино.</w:t>
      </w:r>
    </w:p>
    <w:p w14:paraId="11D7DF56"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Бердичева наши войска, преодолевая сопротивление и контратаки противника, овладели несколькими населёнными пунктами, в том числе Авратин, Кириевка, Стетковцы, Молочки, Бурковцы, Краснополь, Жеребки, Погорелое, Листопадовка.</w:t>
      </w:r>
    </w:p>
    <w:p w14:paraId="219F906E"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Белая Церковь наши войска с боями продвигались вперёд и заняли несколько населённых пунктов.</w:t>
      </w:r>
    </w:p>
    <w:p w14:paraId="0174898E"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северо-западнее Кировограда наши войска продолжали вести наступательные бои, в ходе которых выбили противника из нескольких населённых пунктов. По уточнённым данным, в районе Кировограда за время боёв с 5 по 8 января включительно нашими войсками уничтожено: танков — 293, орудий разных —296, самоходных орудий — 40, миномётов — 121, пулемётов — 445, бронемашин — 94, автомашин — 978.</w:t>
      </w:r>
    </w:p>
    <w:p w14:paraId="6ECDCBE6"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Противник потерял только убитыми свыше 15.000 солдат и офицеров.</w:t>
      </w:r>
    </w:p>
    <w:p w14:paraId="6814230D"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Нашими войсками захвачены следующие трофеи: танков — 150, орудий разного калибра — 188, миномётов — 242, пулемётов — 429, бронемашин и бронетранспортёров— 25, автомашин — 2.009, складов с боеприпасами, продовольствием и другим военным имуществом — 19.</w:t>
      </w:r>
    </w:p>
    <w:p w14:paraId="67918FB3"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5642A808"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10 января наши войска на всех фронтах подбили и уничтожили 70 немецких танков. В воздушных боях и огнём зенитной артиллерии сбито 78 самолётов противника.</w:t>
      </w:r>
    </w:p>
    <w:p w14:paraId="56352B39"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действующие в направлении города Сарны, переправились через реку Случь и, с боями продвигаясь вперёд, заняли железнодорожную станцию Стшельск (севернее города Сарны). Сопротивление противника в этом районе было сломлено совместными действиями бойцов Красной Армии и ровенских партизан. Южнее города Сарны наши бойцы стремительной атакой овладели железнодорожной станцией Немовичи. В боях за эти станции противник потерял убитыми до 800 солдат и офицеров.</w:t>
      </w:r>
    </w:p>
    <w:p w14:paraId="50C80E43"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Новоград-Волынский части Н-ского соединения сломили сопротивление немцев и, продвигаясь вперёд, заняли районный центр Житомирской области Ярунь и более 30 других населённых пунктов. В одном районе в лесу советские бойцы окружили группу немецких солдат и офицеров. Сжимая кольцо, наши подразделения полностью разгромили эту группу противника. Захвачено у немцев 6 танков, 7 оружий, 19 миномётов, 35 пулемётов и другие трофеи. Противник потерял только убитыми свыше 400 солдат и офицеров. Значительное число немецких и венгерских солдат сдалось в плен. Части другого нашего соединения, преследуя противника, уничтожили до батальона гитлеровцев и захватили крупный обоз с боеприпасами.</w:t>
      </w:r>
    </w:p>
    <w:p w14:paraId="25D7F10A"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Белая Церковь наши войска с боями продвигались вперёд. Советские подвижные части, действующие в районе железной дороги Смела-Христиновка, нанесли ряд ударов по подходящим резервам противника. Захватив врага врасплох, наши бойцы уничтожили 8 немецких железнодорожных эшелонов с живой силой, танками, боеприпасами и горючим. Выбегавшие из вагонов гитлеровцы попали под пулемётныйогонь. Железнодорожное полотно усеяно трупами немецких солдат и офицеров, разбитыми танками и автомашинами. Огнём и взрывами уничтожено много военного имущества противника. Части Н-ского соединения, продолжая наступление, заняли несколько населённых пунктов.</w:t>
      </w:r>
    </w:p>
    <w:p w14:paraId="6846D829"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северо-западнее Кировограда наши войска умелым манёвром вышли на фланги противника, оборонявшего выгодные позиции. Советские пехотинцы и танкисты нанесли врагу удары с трёх сторон и в результате короткого боя обратили немцев в бегство. Преследуя противника, наши части заняли несколько населённых пунктов и захватили 3 исправных немецких танка, 9 бронетранспортёров, несколько артиллерийских батарей, 2 склада боеприпасов и склад с инженерным имуществом. В течение дня на всех участках нашими войсками подбито и уничтожено до 40 немецких танков и самоходных орудий.</w:t>
      </w:r>
    </w:p>
    <w:p w14:paraId="00DF7A56"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января Советское Информбюро опубликовало показания Хесуса Переса Санчеса —пленного солдата 2 батальона испанского легиона, действующего на советско-германском фронте. Испанские пособники Гитлера утверждали, что все испанские войска, сражавшиеся в России на стороне немцев, отозваны в Испанию. Сам факт взятия в плен испанского солдата на Волховском фронте уличал правящую клику Испании в грубой лжи.</w:t>
      </w:r>
    </w:p>
    <w:p w14:paraId="1864D5C4"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первых числах января 1944 года наши бойцы захватили в плен ещё группу солдат испанского легиона. В числе пленных - шофёр командира испанского легиона Отеро Гарсия Эрнандес, солдаты штабной роты 1-го батальона испанского легиона Леопольд Сантьяго Инохоса и Хосе Абас Передо. Пленные подтвердили, что испанский легион находится на передовых позициях, и что все они были зачислены в этот легион помимо их води и желания. Пленный испанский солдат Леопольд СантьягоИнохоса сообщил: «В конце августа 1943 года я в составе маршевого батальона прибыл на советско-германский фронт. В то время 250 испанская дивизия находилась под Ленинградом. Солдаты открыто заявляли, что они не желают воевать за интересы Германии. Многие солдаты дезертировали или наносили себе увечья, чтобы попасть в госпиталь. Осенью дивизию отвели в тыл и из ее состава сформировали испанский легион. В середине декабря 2-й батальон легиона отправился на Волховский участок фронта. Вслед за ним был выдвинут на передовые позиции и наш 1-й батальон, сменивший немецкую часть».</w:t>
      </w:r>
    </w:p>
    <w:p w14:paraId="6F696D3C"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испанский солдат Хосе Абас Передо заявил: «Я прибыл на фронт в сентябре 1943 года. Мне известно, что в конце сентября и в октябре прибыли из Испании ещё два маршевых батальона. Легион формировался из солдат 250 дивизии.Вначале предложили вступить в легион добровольно, но добровольцев нашлось очень мало. Тогда офицеры объявили, что мы зачислены в состав легиона».</w:t>
      </w:r>
    </w:p>
    <w:p w14:paraId="3A908282"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полную очевидность фактов, в Мадриде попытались опровергнуть сообщение Советского Информбюро от 4 января сего года. Испанские гитлеровцы вначале заявили, что последние контингенты испанской «Голубой дивизии» вернулись на родину. Но факты — упрямая вещь. Испанский легион в мешке не утаишь. Пойманные с поличным официальные представители Испании начали осторожно признаваться, что часть испанских солдат якобы добровольно осталась на Восточном фронте.</w:t>
      </w:r>
    </w:p>
    <w:p w14:paraId="54EB8014"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Жалкие увёртки испанских пособников Гитлера никого не обманут. Отзывая деморализованных и небоеспособных солдат из России, они в то же время посылают на смену им новые и новые маршевые батальоны. Теперь неопровержимо доказано, что испанские части, как бы их ни называли, по-прежнему сражаются на советско-германском фронте на стороне немцев. Испанские двурушники хотят и невинность соблюсти и капитал приобрести. Прикрываясь маской нейтралитета, онипродолжают верно служить Гитлеру.» (15006).</w:t>
      </w:r>
    </w:p>
    <w:p w14:paraId="699D6AB6" w14:textId="77777777" w:rsidR="00264F92" w:rsidRPr="00070ADE" w:rsidRDefault="00264F92" w:rsidP="00B56F90">
      <w:pPr>
        <w:spacing w:after="0" w:line="240" w:lineRule="auto"/>
        <w:jc w:val="both"/>
        <w:rPr>
          <w:rFonts w:ascii="Times New Roman" w:hAnsi="Times New Roman"/>
          <w:color w:val="000000" w:themeColor="text1"/>
          <w:sz w:val="16"/>
          <w:szCs w:val="16"/>
        </w:rPr>
      </w:pPr>
    </w:p>
    <w:p w14:paraId="5713B416"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11 января</w:t>
      </w:r>
      <w:r w:rsidRPr="00070ADE">
        <w:rPr>
          <w:rFonts w:ascii="Times New Roman" w:hAnsi="Times New Roman"/>
          <w:color w:val="000000" w:themeColor="text1"/>
          <w:sz w:val="16"/>
          <w:szCs w:val="16"/>
        </w:rPr>
        <w:t xml:space="preserve"> в 1944 году (11-12 января) контрудар немецких войск под Винницей, остановивший наступление советских войск (15006).</w:t>
      </w:r>
    </w:p>
    <w:p w14:paraId="29F0A661" w14:textId="77777777" w:rsidR="00E00646" w:rsidRPr="00070ADE" w:rsidRDefault="00E00646" w:rsidP="00B56F90">
      <w:pPr>
        <w:spacing w:after="0" w:line="240" w:lineRule="auto"/>
        <w:jc w:val="both"/>
        <w:rPr>
          <w:rFonts w:ascii="Times New Roman" w:hAnsi="Times New Roman"/>
          <w:color w:val="000000" w:themeColor="text1"/>
          <w:sz w:val="16"/>
          <w:szCs w:val="16"/>
        </w:rPr>
      </w:pPr>
    </w:p>
    <w:p w14:paraId="102BB0C8" w14:textId="77777777" w:rsidR="00DF6978" w:rsidRPr="00070ADE" w:rsidRDefault="00DF69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года у села Карловка (в районе Кировограда) экипаж Т-34 капитана Г.И. Пенежко 31-й танковой бригады 29-го танкового корпуса подбил и уничтожил 7 танков, 8 бронетранспортеров и 2 орудия (12217).</w:t>
      </w:r>
    </w:p>
    <w:p w14:paraId="77299E74" w14:textId="77777777" w:rsidR="00DF6978" w:rsidRPr="00070ADE" w:rsidRDefault="00DF6978"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B0B204" w14:textId="77777777" w:rsidR="00E00646"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1FAA1042" w14:textId="77777777" w:rsidR="00E00646" w:rsidRPr="00070ADE" w:rsidRDefault="00E00646"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3E6E6B" w14:textId="77777777" w:rsidR="00264F92" w:rsidRPr="00070ADE" w:rsidRDefault="00264F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11 января</w:t>
      </w:r>
      <w:r w:rsidRPr="00070ADE">
        <w:rPr>
          <w:rFonts w:ascii="Times New Roman" w:hAnsi="Times New Roman"/>
          <w:color w:val="000000" w:themeColor="text1"/>
          <w:sz w:val="16"/>
          <w:szCs w:val="16"/>
        </w:rPr>
        <w:t xml:space="preserve"> в 1944 году советское правительство выступило с заявлением, в котором подчеркнуло, что возрождение Польши должно произойти не путем захвата белорусских и украинских земель, а путем присоединения к ней восточных территорий Германии, отнятых у Польши несколько веков назад. Границы на востоке могут быть исправлены в пользу Польши за счет передачи ей районов, где преобладает польское население, и в целом совпадать с т.н. «линией Керзона» (15006).</w:t>
      </w:r>
    </w:p>
    <w:p w14:paraId="281EF2C9" w14:textId="77777777" w:rsidR="00264F92" w:rsidRPr="00070ADE" w:rsidRDefault="00264F92" w:rsidP="00B56F90">
      <w:pPr>
        <w:spacing w:after="0" w:line="240" w:lineRule="auto"/>
        <w:jc w:val="both"/>
        <w:rPr>
          <w:rFonts w:ascii="Times New Roman" w:hAnsi="Times New Roman"/>
          <w:color w:val="000000" w:themeColor="text1"/>
          <w:sz w:val="16"/>
          <w:szCs w:val="16"/>
        </w:rPr>
      </w:pPr>
    </w:p>
    <w:p w14:paraId="4654E2C9"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070ADE">
        <w:rPr>
          <w:rFonts w:ascii="Times New Roman" w:hAnsi="Times New Roman"/>
          <w:i/>
          <w:iCs/>
          <w:color w:val="000000" w:themeColor="text1"/>
          <w:sz w:val="16"/>
          <w:szCs w:val="16"/>
        </w:rPr>
        <w:t>За</w:t>
      </w:r>
      <w:r w:rsidRPr="00070ADE">
        <w:rPr>
          <w:rFonts w:ascii="Times New Roman" w:hAnsi="Times New Roman"/>
          <w:i/>
          <w:iCs/>
          <w:color w:val="000000" w:themeColor="text1"/>
          <w:sz w:val="16"/>
          <w:szCs w:val="16"/>
          <w:lang w:val="en-US"/>
        </w:rPr>
        <w:t xml:space="preserve"> </w:t>
      </w:r>
      <w:r w:rsidRPr="00070ADE">
        <w:rPr>
          <w:rFonts w:ascii="Times New Roman" w:hAnsi="Times New Roman"/>
          <w:i/>
          <w:iCs/>
          <w:color w:val="000000" w:themeColor="text1"/>
          <w:sz w:val="16"/>
          <w:szCs w:val="16"/>
        </w:rPr>
        <w:t>рубежом</w:t>
      </w:r>
      <w:r w:rsidRPr="00070ADE">
        <w:rPr>
          <w:rFonts w:ascii="Times New Roman" w:hAnsi="Times New Roman"/>
          <w:i/>
          <w:iCs/>
          <w:color w:val="000000" w:themeColor="text1"/>
          <w:sz w:val="16"/>
          <w:szCs w:val="16"/>
          <w:lang w:val="en-US"/>
        </w:rPr>
        <w:t>:</w:t>
      </w:r>
    </w:p>
    <w:p w14:paraId="418D03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59D4ADB7" w14:textId="77777777" w:rsidR="00E00646" w:rsidRPr="00070ADE" w:rsidRDefault="00E00646"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January 11 1944 The first U.S. attack with forward-firing rockets was made against a German U-boat by two TBF-1C's of Composite Squadron 58 from the escort carrier Block Island (1090).</w:t>
      </w:r>
    </w:p>
    <w:p w14:paraId="4F1939B2" w14:textId="77777777" w:rsidR="00E00646" w:rsidRPr="00070ADE" w:rsidRDefault="00E00646"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5C730F1" w14:textId="77777777" w:rsidR="00E00646" w:rsidRPr="00070ADE" w:rsidRDefault="00E00646"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американская авиация впервые атаковала немецкую подлодку и использованием ракет (1090).</w:t>
      </w:r>
    </w:p>
    <w:p w14:paraId="15AD47C6" w14:textId="77777777" w:rsidR="00E00646" w:rsidRPr="00070ADE" w:rsidRDefault="00E00646"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A72F94"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11 января</w:t>
      </w:r>
      <w:r w:rsidRPr="00070ADE">
        <w:rPr>
          <w:rFonts w:ascii="Times New Roman" w:hAnsi="Times New Roman"/>
          <w:color w:val="000000" w:themeColor="text1"/>
          <w:sz w:val="16"/>
          <w:szCs w:val="16"/>
        </w:rPr>
        <w:t xml:space="preserve"> в 1944 году первое боевое использование авиационных ракет с американского самолёта «TBF-1C» «Avenger». Это была 5-ти дюймовая HVAR (High-Velocity Aircraft Rocket – высокоскоростные авиационные ракеты), прозванная "Святой Мосес". Обладала скоростью 1530 км/ч, дальность действия - 5 км, а боеголовка - 20 кг (15006).</w:t>
      </w:r>
    </w:p>
    <w:p w14:paraId="2FD90088" w14:textId="77777777" w:rsidR="00E00646" w:rsidRPr="00070ADE" w:rsidRDefault="00E00646" w:rsidP="00B56F90">
      <w:pPr>
        <w:spacing w:after="0" w:line="240" w:lineRule="auto"/>
        <w:jc w:val="both"/>
        <w:rPr>
          <w:rFonts w:ascii="Times New Roman" w:hAnsi="Times New Roman"/>
          <w:color w:val="000000" w:themeColor="text1"/>
          <w:sz w:val="16"/>
          <w:szCs w:val="16"/>
        </w:rPr>
      </w:pPr>
    </w:p>
    <w:p w14:paraId="47097018" w14:textId="28B37FE5" w:rsidR="007F6D1D" w:rsidRPr="00070ADE" w:rsidRDefault="007F6D1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Первое боевое использование авиационных ракет с американского самолёта TBF-1C Avenger. TBF-1C из эскадрильи VC-58, вооруженный двумя ракетами, под управлением младшего лейтенанта Л.Л. Макфорда, обнаружил немецкую подводную лодку (U-758) находящуюся на поверхности. Эвенджер добился двух вероятных и двух несомненных ракетных попаданий в подводную лодку, а затем провел атаку глубинными бомбами. На Тихоокеанском театре военных действий авиационные ракеты впервые были использованы в бою 31 января 1944 года, когда Эвенджеры из VC-7 базировавшейся на борту авианосца USS Manila Bay (CVE-61) атаковали склады топлива и боеприпасов на Маршалловых островах (22671).</w:t>
      </w:r>
    </w:p>
    <w:p w14:paraId="501E2E8C" w14:textId="77777777" w:rsidR="007F6D1D" w:rsidRPr="00070ADE" w:rsidRDefault="007F6D1D" w:rsidP="00B56F90">
      <w:pPr>
        <w:spacing w:after="0" w:line="240" w:lineRule="auto"/>
        <w:jc w:val="both"/>
        <w:rPr>
          <w:rFonts w:ascii="Times New Roman" w:hAnsi="Times New Roman"/>
          <w:color w:val="000000" w:themeColor="text1"/>
          <w:sz w:val="16"/>
          <w:szCs w:val="16"/>
        </w:rPr>
      </w:pPr>
    </w:p>
    <w:p w14:paraId="30EC84EE" w14:textId="77777777" w:rsidR="007F6D1D" w:rsidRPr="00070ADE" w:rsidRDefault="007F6D1D" w:rsidP="00B56F90">
      <w:pPr>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rPr>
        <w:t xml:space="preserve">11 января 1944 в ходе одного из крупнейших на сегодняшний день налетов ВВС США 663 бомбардировщика в сопровождении 592 истребителей нанесли удар по объектам авиационной промышленности в Брауншвейге, Хальберштадте, Ошерслебене и Оснабрюке, Германия, встретив серьезное сопротивление в виде примерно </w:t>
      </w:r>
      <w:r w:rsidRPr="00070ADE">
        <w:rPr>
          <w:rFonts w:ascii="Times New Roman" w:hAnsi="Times New Roman"/>
          <w:color w:val="000000" w:themeColor="text1"/>
          <w:sz w:val="16"/>
          <w:szCs w:val="16"/>
        </w:rPr>
        <w:lastRenderedPageBreak/>
        <w:t>500 немецких истребителей. и потеряв 60 бомбардировщиков и 5 истребителей. Вместе бомбардировщики и истребители заявляют, что 258 немецких самолетов сбитых, 72, вероятно, сбитых и 114 поврежденых. Управляя P-51 Mustang , майор Джеймс Х. Ховард в одиночку защищает группу B-17 от 30 немецких истребителей и заявляет, что два немецких самолета сбиты, один, вероятно, сбит, и два повреждены без потерь для B-17. Он</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получает</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Почетную</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медаль</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за</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свои</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действия</w:t>
      </w:r>
      <w:r w:rsidRPr="00070ADE">
        <w:rPr>
          <w:rFonts w:ascii="Times New Roman" w:hAnsi="Times New Roman"/>
          <w:color w:val="000000" w:themeColor="text1"/>
          <w:sz w:val="16"/>
          <w:szCs w:val="16"/>
          <w:lang w:val="en-US"/>
        </w:rPr>
        <w:t xml:space="preserve"> (20373).</w:t>
      </w:r>
    </w:p>
    <w:p w14:paraId="7CB470A7" w14:textId="77777777" w:rsidR="007F6D1D" w:rsidRPr="00070ADE" w:rsidRDefault="007F6D1D" w:rsidP="00B56F90">
      <w:pPr>
        <w:spacing w:after="0" w:line="240" w:lineRule="auto"/>
        <w:jc w:val="both"/>
        <w:rPr>
          <w:rFonts w:ascii="Times New Roman" w:hAnsi="Times New Roman"/>
          <w:color w:val="000000" w:themeColor="text1"/>
          <w:sz w:val="16"/>
          <w:szCs w:val="16"/>
          <w:lang w:val="en-US"/>
        </w:rPr>
      </w:pPr>
    </w:p>
    <w:p w14:paraId="32F62A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January 11, 1944: 660 heavy bombers of the US 8th Air Force carry out attacks against industrial targets at Braunschweig, Magdeburg and Ascherleben (3819).</w:t>
      </w:r>
    </w:p>
    <w:p w14:paraId="28DBED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837D2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660 американских бомбардировщиков 8ВА совершили налеты на промышленные объекты в Брауншвейге, Магдебурге и Ашерлебене (3819).</w:t>
      </w:r>
    </w:p>
    <w:p w14:paraId="30829FD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5F37D5" w14:textId="77777777" w:rsidR="007F6D1D" w:rsidRPr="00070ADE" w:rsidRDefault="007F6D1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десять PB4Y-1 Освободители ВМС США бомбят лагуны Кваджалейн, потопив японскую канонерскую лодку (20373).</w:t>
      </w:r>
    </w:p>
    <w:p w14:paraId="4CEDC803" w14:textId="77777777" w:rsidR="007F6D1D" w:rsidRPr="00070ADE" w:rsidRDefault="007F6D1D" w:rsidP="00B56F90">
      <w:pPr>
        <w:spacing w:after="0" w:line="240" w:lineRule="auto"/>
        <w:jc w:val="both"/>
        <w:rPr>
          <w:rFonts w:ascii="Times New Roman" w:hAnsi="Times New Roman"/>
          <w:color w:val="000000" w:themeColor="text1"/>
          <w:sz w:val="16"/>
          <w:szCs w:val="16"/>
        </w:rPr>
      </w:pPr>
    </w:p>
    <w:p w14:paraId="1E3A771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расстреляны пять итальянских заговорщиков, арестовавших Муссолини (4962).</w:t>
      </w:r>
    </w:p>
    <w:p w14:paraId="43F65BA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261F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был приговорен к смертной казни и расстрелян в Вероне граф Галеацци Чиано, итальянский дипломат и политик - начальник госсекратариата по печати и пропаганде и министр иностранных дел (был отправлен в отставку за критику военной политики Муссолини) (3186).</w:t>
      </w:r>
    </w:p>
    <w:p w14:paraId="1AA1E6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0B64E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в Лионе фашистами расстрелян 84-летний Виктор Басх, бывший президент Лиги прав человека (4962).</w:t>
      </w:r>
    </w:p>
    <w:p w14:paraId="602B574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BFF25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января 1944 в Тихом океане английской подлодкой затоплен японский крейсер “Кума” (4962).</w:t>
      </w:r>
    </w:p>
    <w:p w14:paraId="53C0F29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282004"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11 января</w:t>
      </w:r>
      <w:r w:rsidRPr="00070ADE">
        <w:rPr>
          <w:rFonts w:ascii="Times New Roman" w:hAnsi="Times New Roman"/>
          <w:color w:val="000000" w:themeColor="text1"/>
          <w:sz w:val="16"/>
          <w:szCs w:val="16"/>
        </w:rPr>
        <w:t xml:space="preserve"> в 1944 году в Тихом океане английской подлодкой затопляется японский крейсер "Кума" (15006).</w:t>
      </w:r>
    </w:p>
    <w:p w14:paraId="1A610F06" w14:textId="77777777" w:rsidR="00E00646" w:rsidRPr="00070ADE" w:rsidRDefault="00E00646" w:rsidP="00B56F90">
      <w:pPr>
        <w:spacing w:after="0" w:line="240" w:lineRule="auto"/>
        <w:jc w:val="both"/>
        <w:rPr>
          <w:rFonts w:ascii="Times New Roman" w:hAnsi="Times New Roman"/>
          <w:color w:val="000000" w:themeColor="text1"/>
          <w:sz w:val="16"/>
          <w:szCs w:val="16"/>
        </w:rPr>
      </w:pPr>
    </w:p>
    <w:p w14:paraId="188A1D4B"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11 января</w:t>
      </w:r>
      <w:r w:rsidRPr="00070ADE">
        <w:rPr>
          <w:rFonts w:ascii="Times New Roman" w:hAnsi="Times New Roman"/>
          <w:color w:val="000000" w:themeColor="text1"/>
          <w:sz w:val="16"/>
          <w:szCs w:val="16"/>
        </w:rPr>
        <w:t xml:space="preserve"> в 1944 году в послании Конгрессу президент США Рузвельт предуспредил об опасности «крайне правой реакции» в стране и указал: «Если эта реакция разовьется, если истории суждено повториться, и мы вернемся к так называемым стабильным временам двадцатых годов, тогда очевидно, что, даже сокрушив наших врагов на поле брани за пределами страны, мы отступим перед духом фашизма у себя в стране» (15006).</w:t>
      </w:r>
    </w:p>
    <w:p w14:paraId="05927DFF" w14:textId="77777777" w:rsidR="00E00646" w:rsidRPr="00070ADE" w:rsidRDefault="00E00646" w:rsidP="00B56F90">
      <w:pPr>
        <w:spacing w:after="0" w:line="240" w:lineRule="auto"/>
        <w:jc w:val="both"/>
        <w:rPr>
          <w:rFonts w:ascii="Times New Roman" w:hAnsi="Times New Roman"/>
          <w:color w:val="000000" w:themeColor="text1"/>
          <w:sz w:val="16"/>
          <w:szCs w:val="16"/>
        </w:rPr>
      </w:pPr>
    </w:p>
    <w:p w14:paraId="5FF8588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56847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9AFFC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письмом N 1/70с Дир. и ГК завода 240 С.В.И. просил Зам. НКАП Дементьева дать указание заводу N 35 спроектировать и изготовить на самолет Ил-2 с Ам-38ф два винта с новыми лопастями, с улучшенным качеством по взлету и сохранению существующей максимальной скорости. Это дало бы возможность вернуться к бомбовой нагрузке самолета в 400 кг (2562,49).</w:t>
      </w:r>
    </w:p>
    <w:p w14:paraId="015311C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DD66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года Сандлер писал письмо N Н-10/183 10 гл. управлению НКАП и центральную бухгалтерию НКАП.</w:t>
      </w:r>
    </w:p>
    <w:p w14:paraId="4AC304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письму Наркомфина от 6 января 1944 года N 5-966/1-с разрешается списать с баланса завода N 83 по статье "изделия, снятые с производства" затраты по деревянным агрегатам к самолету ИЛ-4: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CB5308" w:rsidRPr="00070ADE" w14:paraId="67E8D644" w14:textId="77777777">
        <w:tc>
          <w:tcPr>
            <w:tcW w:w="5636" w:type="dxa"/>
          </w:tcPr>
          <w:p w14:paraId="3681CCB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готовым изделиям</w:t>
            </w:r>
          </w:p>
        </w:tc>
        <w:tc>
          <w:tcPr>
            <w:tcW w:w="5636" w:type="dxa"/>
          </w:tcPr>
          <w:p w14:paraId="2C9840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 1630344</w:t>
            </w:r>
          </w:p>
        </w:tc>
      </w:tr>
      <w:tr w:rsidR="00CB5308" w:rsidRPr="00070ADE" w14:paraId="4B574BFA" w14:textId="77777777">
        <w:tc>
          <w:tcPr>
            <w:tcW w:w="5636" w:type="dxa"/>
          </w:tcPr>
          <w:p w14:paraId="6A70E34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оснастке</w:t>
            </w:r>
          </w:p>
        </w:tc>
        <w:tc>
          <w:tcPr>
            <w:tcW w:w="5636" w:type="dxa"/>
          </w:tcPr>
          <w:p w14:paraId="07CC80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 276000</w:t>
            </w:r>
          </w:p>
        </w:tc>
      </w:tr>
      <w:tr w:rsidR="00CB5308" w:rsidRPr="00070ADE" w14:paraId="4B20FF4A" w14:textId="77777777">
        <w:tc>
          <w:tcPr>
            <w:tcW w:w="5636" w:type="dxa"/>
          </w:tcPr>
          <w:p w14:paraId="6F0A96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незавершенному произв.</w:t>
            </w:r>
          </w:p>
        </w:tc>
        <w:tc>
          <w:tcPr>
            <w:tcW w:w="5636" w:type="dxa"/>
          </w:tcPr>
          <w:p w14:paraId="04444B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 2847876</w:t>
            </w:r>
          </w:p>
        </w:tc>
      </w:tr>
      <w:tr w:rsidR="00CB5308" w:rsidRPr="00070ADE" w14:paraId="0F0DA1AC" w14:textId="77777777">
        <w:tc>
          <w:tcPr>
            <w:tcW w:w="5636" w:type="dxa"/>
          </w:tcPr>
          <w:p w14:paraId="4BEE84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5636" w:type="dxa"/>
          </w:tcPr>
          <w:p w14:paraId="186FAB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 4954220</w:t>
            </w:r>
          </w:p>
        </w:tc>
      </w:tr>
      <w:tr w:rsidR="00CB5308" w:rsidRPr="00070ADE" w14:paraId="07C316B6" w14:textId="77777777">
        <w:tc>
          <w:tcPr>
            <w:tcW w:w="5636" w:type="dxa"/>
          </w:tcPr>
          <w:p w14:paraId="18FFEE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исключением отходов</w:t>
            </w:r>
          </w:p>
        </w:tc>
        <w:tc>
          <w:tcPr>
            <w:tcW w:w="5636" w:type="dxa"/>
          </w:tcPr>
          <w:p w14:paraId="2D649C0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 280000</w:t>
            </w:r>
          </w:p>
        </w:tc>
      </w:tr>
      <w:tr w:rsidR="00CB5308" w:rsidRPr="00070ADE" w14:paraId="7E8DED99" w14:textId="77777777">
        <w:tc>
          <w:tcPr>
            <w:tcW w:w="5636" w:type="dxa"/>
          </w:tcPr>
          <w:p w14:paraId="624AE6E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5636" w:type="dxa"/>
          </w:tcPr>
          <w:p w14:paraId="6E8850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 4674220</w:t>
            </w:r>
          </w:p>
        </w:tc>
      </w:tr>
    </w:tbl>
    <w:p w14:paraId="25E0F4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Списание отразите по балансу за январь 1944 г. (1823,1).</w:t>
      </w:r>
    </w:p>
    <w:p w14:paraId="4210BE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6238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вышло постановление ГКО N 4934 "О постройке самолетов Пе-2 с 2 моторами М-107А в варианте дневного бомбардировщика" (1664,20). Это было про Пе-2И В.М.М. (2471,36).</w:t>
      </w:r>
    </w:p>
    <w:p w14:paraId="2E145D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64C1F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вышло Постановление ГКО № 4934 О постройке самолетов Пе-2 с двумя моторами М-107 А в варианте дневного бомбардировщика. РГАНИР, Фонд ГКО, д. 191, лл. 98-99 (11012).</w:t>
      </w:r>
    </w:p>
    <w:p w14:paraId="5A71EB4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F5C1F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г. вышло постановление ГКО № 4934, содержащее задание на постройку двух опытных образцов Пе-2И (хотя к проектированию машины коллектив ОКО-22 приступил поздней осенью 1943 г.). Макетная комиссия по самолету Пе-2И работала в конце февраля 1944 г., когда первый экземпляр самолета был уже готов на 70 %. Замечания комиссии в основном были связаны со стрелковым вооружением, которое признали недостаточным (как указывалось выше, на первом опытном Пе-2И в неподвижной установке стоял пулемет УБК вместо обещанной В.М. Мясищевым пушки УБ-20), а также с размещением спецоборудования. Комиссия приняла решение на первом опытном Пе-2И ничего не менять, а все замечания потребовала устранить на “дублере” и первых серийных машинах (4476).</w:t>
      </w:r>
    </w:p>
    <w:p w14:paraId="6C21B1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AF47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вышло постановление ГКО № 4943 и 14 января — приказ НКАП № 22 о разработке Пе-2И. Через два дня в ОКБ завода № 22 разверну</w:t>
      </w:r>
      <w:r w:rsidRPr="00070ADE">
        <w:rPr>
          <w:rFonts w:ascii="Times New Roman" w:hAnsi="Times New Roman"/>
          <w:color w:val="000000" w:themeColor="text1"/>
          <w:sz w:val="16"/>
          <w:szCs w:val="16"/>
        </w:rPr>
        <w:softHyphen/>
        <w:t>лись проектные работы по новой машине, закончив</w:t>
      </w:r>
      <w:r w:rsidRPr="00070ADE">
        <w:rPr>
          <w:rFonts w:ascii="Times New Roman" w:hAnsi="Times New Roman"/>
          <w:color w:val="000000" w:themeColor="text1"/>
          <w:sz w:val="16"/>
          <w:szCs w:val="16"/>
        </w:rPr>
        <w:softHyphen/>
        <w:t>шиеся 22 февраля. Через неделю Государственная ко</w:t>
      </w:r>
      <w:r w:rsidRPr="00070ADE">
        <w:rPr>
          <w:rFonts w:ascii="Times New Roman" w:hAnsi="Times New Roman"/>
          <w:color w:val="000000" w:themeColor="text1"/>
          <w:sz w:val="16"/>
          <w:szCs w:val="16"/>
        </w:rPr>
        <w:softHyphen/>
        <w:t>миссия приняла макет самолета (11446).</w:t>
      </w:r>
    </w:p>
    <w:p w14:paraId="5646FE9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A2D54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г. вышло постановление ГКО № 4934, содержащее задание на постройку двух опытных образцов Пе-2И, хотя работа ОКО-22 велась уже с поздней осени 1943.</w:t>
      </w:r>
    </w:p>
    <w:p w14:paraId="0DDC00F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Новую, по существу, машину назвали модификацией старой - Пе-2И (много лет спустя аналогичный маневр осуществит Туполев с Ту-22М). Часть узлов и агрегатов действительно заимствовали от серийной "пешки": консоли крыла, хвостовую часть фюзеляжа, оперение... Это заимствование фактически было уступкой серийному производству, а в дальнейшем планировалось пересмотреть конструкцию консолей, увеличить размеры килей и т.п. Практическое руководство созданием "суперпешки" Мясишев поручил Л.Л.Селякову.</w:t>
      </w:r>
    </w:p>
    <w:p w14:paraId="4C1EFD2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Пе-2И представлял собой свободнонесу- щий цельнометаллический моноплан со средним расположением крыла, площадь которого была увеличена на 1,2 м2 (в основном за счет наплывов в передней части центроплана). Центроплан имел профиль NACA-230 с небольшими отступлениями из-за размещения в носке воздухозаборников водорадиаторов. Профиль консолей был смешанного типа: от носка до первого лонжерона - NACA-230, а далее до задней кромки, подобно обычной "пешке", комбинация "B-BS". В целом конструкция отъемных частей крыла почти не отличалась от серийно выпускавшихся и не требовала серьезных переделок стендов и технологического оборудования. В мотогондолах устанавливались двигатели BK-I07A, развивавшие мощность 1500 л. с. на высоте 4500 м. По сравнению с Пе-2Ф моторы сместили вперед на 200 мм. Винты поставили трехлопастные, типа ВИШ-107ТЛ5, диаметром 3,1 м. Индивидуальные выхлопные патрубки моторов размещались в четыре ряда - два ряда сверху и по одному на боковых поверхностях капотов. Колеса основных стоек шасси при сохранении прежних размеров усилили с учетом увеличившейся полетной массы.</w:t>
      </w:r>
    </w:p>
    <w:p w14:paraId="5BE24B5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Стабилизатор, как и на обычных "пешках", выполнялся подвижным. Тормозных решеток и автомата пикирования опытный Пе-2И не имел. Пятнадцать протектиро- ванных бензобаков вмещали максимально 1844 кг горючего и размещались в центроплане, консолях, средней части фюзеляжа и мотогондолах. Маслобаки емкостью 160 л находились в мотогондолах. Водяные радиаторы смонтировали в носке центроплана, а маслорадиаторы и всасывающие патрубки - в носках консолей. В отличие от серийных Пе-2 выход воздуха из тоннелей радиаторов осуществлялся вниз, под крыло. На выходе из тоннелей имелись заслонки с электромеханическим управлением, обеспечивавшие эффективное регулирование температуры воды. Первый опытный экземпляр самолета имел систему нейтрального газа "первой зоны", при этом охлажденные выхлопные газы подавались только внутрь бензобаков. На "дублере" и серийных Пе-2И предусматривалось создание "второй зоны" в отсеках с баками, куда могли попасть пары бензина при простреле крыла.</w:t>
      </w:r>
    </w:p>
    <w:p w14:paraId="1371D6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Характерной особенностью Пе-2И можно считать четыре ряда выхлопных патрубков на каждой мотогондоле</w:t>
      </w:r>
    </w:p>
    <w:p w14:paraId="114D09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Экипаж состоял из двух человек - летчика и штурмана. Фонарь кабины хорошо обтекаемой формы обеспечивал пилоту удобную посадку и отличный обзор. Неподвижная пушка УБ-20 (на опытных машинах вместо нее установили пулемет УБК) размещалась под сидением летчика, что исключало его ослепление при ночной стрельбе - пламя от выстрелов закрывал нос самолета. Дистанционно управляемый пулемет УБК с боекомплектом 100 патронов устанавливался в хвостовом коке и обеспечивал углы обстрела вверх - 18°, вниз - 12° и влево-впра- во - по 16°. Электромеханическая система позволяла отслеживать стволом пулемета прицельную линию. Для отражения атак истребителей в нижней полусфере штурман управлял оптическим прицелом перископом ОПСК. Наблюдение в верхней полусфере </w:t>
      </w:r>
      <w:r w:rsidRPr="00070ADE">
        <w:rPr>
          <w:rFonts w:ascii="Times New Roman" w:hAnsi="Times New Roman"/>
          <w:color w:val="000000" w:themeColor="text1"/>
          <w:sz w:val="16"/>
          <w:szCs w:val="16"/>
        </w:rPr>
        <w:lastRenderedPageBreak/>
        <w:t>производилось через остекление фонаря, а прицеливание с использованием коллима- торного прицела К8-Т. Хотя углы обстрела подвижной установки были сравнительно невелики, нос учетом большой скорости полета бомбардировщика они, по расчетам, обеспечивали удовлетворительную защиту сзади.</w:t>
      </w:r>
    </w:p>
    <w:p w14:paraId="5378CB1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Защита экипажа самолета от огня противника включала бронеспинку, заголовник и бронированное сидение летчика, а также две вертикальные плиты, прикрывавшие штурмана, т.е. радикально не отличалась от серийного Пе-2. Дополнительные оборонительные возможности обеспечивали два держателя авиационных фанат ДАГ-10.</w:t>
      </w:r>
    </w:p>
    <w:p w14:paraId="5C14601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исключения перекосов ленты при питании пулемета патронный ящик смонтировали вместе с оружием на подвижном лафете.</w:t>
      </w:r>
    </w:p>
    <w:p w14:paraId="14B71C5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Бомбоотсек Пе-2И по сравнению с Пе-2Ф удлинили: в него можно было упрятать одну бомбу ФАБ-1000М43 (для этого пришлось немного укоротить стабилизатор), одну ФАБ-500М43 (тоже "обрезанную"), пару штатных ФАБ-250 или девять ФАБ-100. Большая часть вариантов предусматривала применение их как с горизонтального полета, так и с пикирования под углом 40-70°. На внешней подвеске два замка МДЗ-40 обеспечивали возможность установки еще двух ФАБ-500 (или бомб меньшего калибра). Максимальная бомбовая нагрузка по сравнению с сериинои "пешкой" возрастала в полтора раза, зато нормальная, при которой впоследствии снимали летно- технические характеристики, даже уменьшилась до 500 кг (12042).</w:t>
      </w:r>
    </w:p>
    <w:p w14:paraId="4FC5E7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45794F" w14:textId="77777777" w:rsidR="00E00646" w:rsidRPr="00070ADE" w:rsidRDefault="00E00646" w:rsidP="00B56F90">
      <w:pPr>
        <w:spacing w:after="0" w:line="240" w:lineRule="auto"/>
        <w:jc w:val="both"/>
        <w:rPr>
          <w:rFonts w:ascii="Times New Roman" w:hAnsi="Times New Roman"/>
          <w:bCs/>
          <w:color w:val="000000" w:themeColor="text1"/>
          <w:sz w:val="16"/>
          <w:szCs w:val="16"/>
        </w:rPr>
      </w:pPr>
      <w:r w:rsidRPr="00070ADE">
        <w:rPr>
          <w:rFonts w:ascii="Times New Roman" w:hAnsi="Times New Roman"/>
          <w:bCs/>
          <w:color w:val="000000" w:themeColor="text1"/>
          <w:sz w:val="16"/>
          <w:szCs w:val="16"/>
        </w:rPr>
        <w:t>12 января</w:t>
      </w:r>
      <w:r w:rsidRPr="00070ADE">
        <w:rPr>
          <w:rFonts w:ascii="Times New Roman" w:hAnsi="Times New Roman"/>
          <w:color w:val="000000" w:themeColor="text1"/>
          <w:sz w:val="16"/>
          <w:szCs w:val="16"/>
        </w:rPr>
        <w:t xml:space="preserve"> в 1944 году Постановление Государственного Комитета Обороны № 4934 «О постройке самолетов «Пе-2» с двумя моторами «М-107 А» в варианте дневного бомбардировщика». Исходным этапом для нового «Пе-2И» стал «Пе-2Ф». Самолёт оснащался двигателями «М-107А» и по своим характеристикам превосходил серийные экземпляры, но выявленные при испытаниях многочисленные дефекты винтомоторной группы и малый ресурс двигателей не позволил запустить «Пе-2Ф» в серию. Следующий опытный образец («Пе-2Д») имел тот же мотор, но фонарь кабины пилотов сильно изменили и установили турель типа «ФЗ». В ноябре 1943 года завод №22 начал изготовление узлов и агрегатов для этой машины, но вскоре работы по ней свернули, сконцентрировавшись на гораздо более совершенной модификации – «Пе-2И». При этом «Пе-2Ф» продолжали использовать в качестве опытно-эксперементальной машины для опробации нововведений, примененных затем на «Пе-2И» и «ДВБ-108».</w:t>
      </w:r>
    </w:p>
    <w:p w14:paraId="624BBD97"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Общее с обычным «Пе-2» было только обозначение. Самолёт подвергли переработке, существенно изменив его конструкцию. По сути «Пе-2И» представлял собой совершенно новую машину - частично изменили профиль и площадь крыла, улучшили аэродинамику фюзеляжа, установили двигатели «ВК-107А» (1500 л.с.) в новых капотах и винты «ВИШ-107ТЛ5», экипаж сократили до двух человек за счет отказа от штатного места стрелка-радиста. Вооружение состояло из носового орудия «УБ-20» (на опытных самолётах вместо него стоял пулемет УБК) и дистанционно управляемого пулемета УБК в хвостовом коке. В бомбоотсеке можно было разместить либо одну бомбу типа «ФАБ-1000», или две «ФАБ-500», или девять «ФАБ-100». В хвостовой части фюзеляжа располагались два держателя для авиагранат «ДАГ-10».Макет самолёта представили в феврале 1944 года, а 6 апреля первый Пе-2И был облётан капитаном А.Г.Васильченко. В середине апреля удалось достигнуть скорости 654 км\ч и расчетной дальности полёта, но при этом моторы «ВК-107А» работали отвратительно заставив заводскую бригаду менять их в общей сложности (с апреля по июль 1944 г.) пять раз! Тем не менее, в конце мая ГОКО принял решение о постройке малой серии «Пе-2И» на заводе № 22. Планируемые пять самолётов так и не были сделаны, ограничившись изготовлением всего двух «Пе-2И». Наибольшие трудности при производстве вызвала ДЭУ, работу которой так и не смогли довести до требуемого уровня надежности. Работы продолжились с созданием модификации «Пе-2М». Самолёт снова стал трехместным, ДЭУ заменили на обычное штурманское орудие «УБ-20» на подвижной установке «ВУ-5-20». Стрелок также получил пушку «УБ-20» в установке «ЛУС-20». К июлю 1945 года построили всего четыре «Пе-2М», в строевые части которые не передавались (15007).</w:t>
      </w:r>
    </w:p>
    <w:p w14:paraId="0EB5274B" w14:textId="77777777" w:rsidR="00E00646" w:rsidRPr="00070ADE" w:rsidRDefault="00E00646" w:rsidP="00B56F90">
      <w:pPr>
        <w:spacing w:after="0" w:line="240" w:lineRule="auto"/>
        <w:jc w:val="both"/>
        <w:rPr>
          <w:rFonts w:ascii="Times New Roman" w:hAnsi="Times New Roman"/>
          <w:color w:val="000000" w:themeColor="text1"/>
          <w:sz w:val="16"/>
          <w:szCs w:val="16"/>
        </w:rPr>
      </w:pPr>
    </w:p>
    <w:p w14:paraId="56B12F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12 января по 8 апреля 1944 л В.Е.Голофастов и и М.А.Пронин проводил испытания Як-9К с ВК-105ПФ и ВИШ-62П диаметром 3.0 м и с НС-45 и в апреле-июле 1944 сделали войсковую серию из 53 машин. Большой серии не было, так как пушка была ненадежна. НС-45 была с дульным тормозом, выступающим на 370 мм, и 29 снарядами и в дополнение ставился УБС. Прицельная стрельба была возможна на скорости, больше 350 км/час очередями по 2-3 выстрела (65,131).</w:t>
      </w:r>
    </w:p>
    <w:p w14:paraId="6669D86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9F07D0" w14:textId="34FCA952" w:rsidR="00292637" w:rsidRPr="00070ADE" w:rsidRDefault="00292637" w:rsidP="00B56F9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С 12 января по 8 апреля 1944 г. Як-9К проходил государственные испытания (летчик В. Е. Голофастов, инженер М.А.Пронин). Поскольку пушка НС-45, крепившаяся в двигателе М-105ПФ в трех точках — двух передних и одной задней весила даже меньше, чем НС-37, летные характеристики Яка практически остались неизменными.</w:t>
      </w:r>
      <w:r w:rsidR="00B643A8" w:rsidRPr="00070ADE">
        <w:rPr>
          <w:rFonts w:ascii="Times New Roman" w:eastAsia="Times New Roman" w:hAnsi="Times New Roman"/>
          <w:color w:val="000000" w:themeColor="text1"/>
          <w:sz w:val="16"/>
          <w:szCs w:val="16"/>
          <w:lang w:eastAsia="ru-RU"/>
        </w:rPr>
        <w:t xml:space="preserve"> </w:t>
      </w:r>
      <w:r w:rsidRPr="00070ADE">
        <w:rPr>
          <w:rFonts w:ascii="Times New Roman" w:eastAsia="Times New Roman" w:hAnsi="Times New Roman"/>
          <w:color w:val="000000" w:themeColor="text1"/>
          <w:sz w:val="16"/>
          <w:szCs w:val="16"/>
          <w:lang w:eastAsia="ru-RU"/>
        </w:rPr>
        <w:t>Несколько портил аэродинамику мощный дульный тормоз, выступавший из кока винта на 370 мм, из-за чего машина стала чуть более инертной в маневре и динамике. Боезапас пушки составлял 29 выстрелов. Вооружение Як-9К дополнял синхронный пулемет УБС с боекомплектом 200 патронов. Гильзы и звенья пушки и пулемета собирались в специальные сборники. На приборной доске в кабине летчика был установлен счетчик снарядов пушки. Управление огнем — комбинированное пневмоэлектрическое. Стрельбу из пушки и пулемета можно было вести раздельно и одновременно от двух электрокнопок, расположенных на ручке управления самолетом. Имелся коллиматорный прицел ПБП-1а.</w:t>
      </w:r>
    </w:p>
    <w:p w14:paraId="40FB72BB" w14:textId="77777777" w:rsidR="00292637" w:rsidRPr="00070ADE" w:rsidRDefault="00292637" w:rsidP="00B56F9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При стрельбе из пушки НС-45 отдача воздействовала на самолет значительно больше, чем при калибре 37 мм. Чем больше была скорость полета и угол пикирования, тем меньшее влияние на самолет оказывала отдача. При стрельбе на скорости меньше 350 км/ч самолет резко разворачивался, а летчик при этом на своем сидении совершал резкие движения вперед-назад. Прицельная стрельба была возможна и эффективна на скоростях, больших 350 км/ч, и при коротких очередях в 2-3 выстрела. Большая сила отдачи пушки НС-45 оказывала существенное влияние на конструкцию самолета, приводя к течи масла и воды через различные уплотнения и трещины в трубопроводах, радиаторах и т.д.</w:t>
      </w:r>
    </w:p>
    <w:p w14:paraId="096D444E" w14:textId="77777777" w:rsidR="00292637" w:rsidRPr="00070ADE" w:rsidRDefault="00292637" w:rsidP="00B56F9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Тем не менее, испытания, в целом, были признаны удовлетворительными и в период апреля — июля 1944 года была построена войсковая серия из 53 Як-9К (19200).</w:t>
      </w:r>
    </w:p>
    <w:p w14:paraId="3FE22C0B" w14:textId="77777777" w:rsidR="00292637" w:rsidRPr="00070ADE" w:rsidRDefault="00292637" w:rsidP="00B56F90">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17117209" w14:textId="77777777" w:rsidR="00E5377A" w:rsidRPr="00C94B78" w:rsidRDefault="00E5377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12 января по 8 апреля 1944 года в НИИ ВСС проходили государственные испытания Як-9К. Но мощь огня Як</w:t>
      </w:r>
      <w:r w:rsidRPr="00C94B78">
        <w:rPr>
          <w:rFonts w:ascii="Times New Roman" w:hAnsi="Times New Roman"/>
          <w:color w:val="0070C0"/>
          <w:sz w:val="16"/>
          <w:szCs w:val="16"/>
        </w:rPr>
        <w:noBreakHyphen/>
        <w:t>9К была так велика, что в период с апреля по июль 1944 года было построено 53 машины, 44 из которых передали в два истребительных полка.</w:t>
      </w:r>
    </w:p>
    <w:p w14:paraId="13507300" w14:textId="77777777" w:rsidR="00E5377A" w:rsidRPr="00C94B78" w:rsidRDefault="00E5377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Вначале, в период с 13 августа по 18 сентября 1944 года, они проходили испытания в 274 ИАП из 278 ИАД, а позднее, с 15 января по 15 февраля 1945 года в знаменитом 812</w:t>
      </w:r>
      <w:r w:rsidRPr="00C94B78">
        <w:rPr>
          <w:rFonts w:ascii="Times New Roman" w:hAnsi="Times New Roman"/>
          <w:color w:val="0070C0"/>
          <w:sz w:val="16"/>
          <w:szCs w:val="16"/>
        </w:rPr>
        <w:noBreakHyphen/>
        <w:t>ом ИАП. В отчетах об испытаниях упомянуто о 340 боевых вылетах, во время которых был проведен 51 воздушный бой. Пилоты на Як</w:t>
      </w:r>
      <w:r w:rsidRPr="00C94B78">
        <w:rPr>
          <w:rFonts w:ascii="Times New Roman" w:hAnsi="Times New Roman"/>
          <w:color w:val="0070C0"/>
          <w:sz w:val="16"/>
          <w:szCs w:val="16"/>
        </w:rPr>
        <w:noBreakHyphen/>
        <w:t>9К сбили 12 истребителей врага и таранили один. Не отмечено встреч с бомбардировщиками и возможно это была одна из основных причин прекращения производства этой модификации. Официальная формулировка – недоведенность конструкции пушки НС</w:t>
      </w:r>
      <w:r w:rsidRPr="00C94B78">
        <w:rPr>
          <w:rFonts w:ascii="Times New Roman" w:hAnsi="Times New Roman"/>
          <w:color w:val="0070C0"/>
          <w:sz w:val="16"/>
          <w:szCs w:val="16"/>
        </w:rPr>
        <w:noBreakHyphen/>
        <w:t>45.</w:t>
      </w:r>
    </w:p>
    <w:p w14:paraId="10589587" w14:textId="77777777" w:rsidR="00E5377A" w:rsidRPr="00C94B78" w:rsidRDefault="00E5377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Строевые пилоты рекомендовали использовать модификацию «К» как основной ударный истребитель, предназначенный для борьбы с бомбардировщиками и блокирования аэродромов. Однако ему был необходим эскорт из более легких машин: Як</w:t>
      </w:r>
      <w:r w:rsidRPr="00C94B78">
        <w:rPr>
          <w:rFonts w:ascii="Times New Roman" w:hAnsi="Times New Roman"/>
          <w:color w:val="0070C0"/>
          <w:sz w:val="16"/>
          <w:szCs w:val="16"/>
        </w:rPr>
        <w:noBreakHyphen/>
        <w:t>1 или Як</w:t>
      </w:r>
      <w:r w:rsidRPr="00C94B78">
        <w:rPr>
          <w:rFonts w:ascii="Times New Roman" w:hAnsi="Times New Roman"/>
          <w:color w:val="0070C0"/>
          <w:sz w:val="16"/>
          <w:szCs w:val="16"/>
        </w:rPr>
        <w:noBreakHyphen/>
        <w:t>3. Тем не менее, истребителей Як</w:t>
      </w:r>
      <w:r w:rsidRPr="00C94B78">
        <w:rPr>
          <w:rFonts w:ascii="Times New Roman" w:hAnsi="Times New Roman"/>
          <w:color w:val="0070C0"/>
          <w:sz w:val="16"/>
          <w:szCs w:val="16"/>
        </w:rPr>
        <w:noBreakHyphen/>
        <w:t>9К так и осталось только 53 экземпляра, которые все же внесли свою лепту в победы в воздушных битвах над Донбассом, Крымом и Берлином (25077).</w:t>
      </w:r>
    </w:p>
    <w:p w14:paraId="316D1D4F" w14:textId="77777777" w:rsidR="00E5377A" w:rsidRPr="00C94B78" w:rsidRDefault="00E5377A" w:rsidP="00B56F90">
      <w:pPr>
        <w:spacing w:after="0" w:line="240" w:lineRule="auto"/>
        <w:jc w:val="both"/>
        <w:rPr>
          <w:rFonts w:ascii="Times New Roman" w:hAnsi="Times New Roman"/>
          <w:color w:val="0070C0"/>
          <w:sz w:val="16"/>
          <w:szCs w:val="16"/>
        </w:rPr>
      </w:pPr>
    </w:p>
    <w:p w14:paraId="420A1B31" w14:textId="77777777" w:rsidR="00E5377A" w:rsidRPr="00C94B78" w:rsidRDefault="00E5377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12 января по 8 апреля 1944 г. 45-мм пушка МП-45 проходила на самолете Як-9Т контрольные государст</w:t>
      </w:r>
      <w:r w:rsidRPr="00C94B78">
        <w:rPr>
          <w:rFonts w:ascii="Times New Roman" w:hAnsi="Times New Roman"/>
          <w:color w:val="0070C0"/>
          <w:sz w:val="16"/>
          <w:szCs w:val="16"/>
        </w:rPr>
        <w:softHyphen/>
        <w:t>венные испытания.</w:t>
      </w:r>
    </w:p>
    <w:p w14:paraId="18C2092F" w14:textId="77777777" w:rsidR="00E5377A" w:rsidRPr="00C94B78" w:rsidRDefault="00E5377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дополнение к МП-45, на Як-9Т устанав</w:t>
      </w:r>
      <w:r w:rsidRPr="00C94B78">
        <w:rPr>
          <w:rFonts w:ascii="Times New Roman" w:hAnsi="Times New Roman"/>
          <w:color w:val="0070C0"/>
          <w:sz w:val="16"/>
          <w:szCs w:val="16"/>
        </w:rPr>
        <w:softHyphen/>
        <w:t>ливался синхронный пулемет УБС калибра 12,7 мм с боекомплектом 200 патронов.</w:t>
      </w:r>
    </w:p>
    <w:p w14:paraId="66E71681" w14:textId="77777777" w:rsidR="00E5377A" w:rsidRPr="00C94B78" w:rsidRDefault="00E5377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Для уменьшения силы отдачи на МП-45 имелся дульный тормоз («по данным НИИ АВ отчет № 228 от 15.12.43 сила отдачи пушки увеличилась на 1475 кг по сравнению с 37 мм пушкой и составляет 6975 кг»}. По сравне</w:t>
      </w:r>
      <w:r w:rsidRPr="00C94B78">
        <w:rPr>
          <w:rFonts w:ascii="Times New Roman" w:hAnsi="Times New Roman"/>
          <w:color w:val="0070C0"/>
          <w:sz w:val="16"/>
          <w:szCs w:val="16"/>
        </w:rPr>
        <w:softHyphen/>
        <w:t>нию с МП-37 вес пушки МП-45 (с установ</w:t>
      </w:r>
      <w:r w:rsidRPr="00C94B78">
        <w:rPr>
          <w:rFonts w:ascii="Times New Roman" w:hAnsi="Times New Roman"/>
          <w:color w:val="0070C0"/>
          <w:sz w:val="16"/>
          <w:szCs w:val="16"/>
        </w:rPr>
        <w:softHyphen/>
        <w:t>кой и баллоном для сжатого воздуха) вырос на 8,9 кг и достиг 191,1 кг.</w:t>
      </w:r>
    </w:p>
    <w:p w14:paraId="4A57492D" w14:textId="77777777" w:rsidR="00E5377A" w:rsidRPr="00C94B78" w:rsidRDefault="00E5377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 приборной доске в кабине летчи</w:t>
      </w:r>
      <w:r w:rsidRPr="00C94B78">
        <w:rPr>
          <w:rFonts w:ascii="Times New Roman" w:hAnsi="Times New Roman"/>
          <w:color w:val="0070C0"/>
          <w:sz w:val="16"/>
          <w:szCs w:val="16"/>
        </w:rPr>
        <w:softHyphen/>
        <w:t>ка имелся счетчик оставшихся патронов. Управление огнем - электропневматическое, при помощи кнопки, расположенной на ручке управления. Прицел - коллиматорный ПБП-1а. Вес секундного залпа - 5,531 кг.</w:t>
      </w:r>
    </w:p>
    <w:p w14:paraId="119F15EC" w14:textId="77777777" w:rsidR="00E5377A" w:rsidRPr="00C94B78" w:rsidRDefault="00E5377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Летные данные, маневренность и взлет</w:t>
      </w:r>
      <w:r w:rsidRPr="00C94B78">
        <w:rPr>
          <w:rFonts w:ascii="Times New Roman" w:hAnsi="Times New Roman"/>
          <w:color w:val="0070C0"/>
          <w:sz w:val="16"/>
          <w:szCs w:val="16"/>
        </w:rPr>
        <w:softHyphen/>
        <w:t>но-посадочные характеристики Як-9Т с МП-45 несколько ухудшились, но по технике пилотиро</w:t>
      </w:r>
      <w:r w:rsidRPr="00C94B78">
        <w:rPr>
          <w:rFonts w:ascii="Times New Roman" w:hAnsi="Times New Roman"/>
          <w:color w:val="0070C0"/>
          <w:sz w:val="16"/>
          <w:szCs w:val="16"/>
        </w:rPr>
        <w:softHyphen/>
        <w:t>вания он ничем не отличался от обычных Як-9Т.</w:t>
      </w:r>
    </w:p>
    <w:p w14:paraId="1F18B8A8" w14:textId="77777777" w:rsidR="00E5377A" w:rsidRPr="00C94B78" w:rsidRDefault="00E5377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Питание пушки осуществлялось от рас</w:t>
      </w:r>
      <w:r w:rsidRPr="00C94B78">
        <w:rPr>
          <w:rFonts w:ascii="Times New Roman" w:hAnsi="Times New Roman"/>
          <w:color w:val="0070C0"/>
          <w:sz w:val="16"/>
          <w:szCs w:val="16"/>
        </w:rPr>
        <w:softHyphen/>
        <w:t>сыпной ленты из металлических звеньев. Бое</w:t>
      </w:r>
      <w:r w:rsidRPr="00C94B78">
        <w:rPr>
          <w:rFonts w:ascii="Times New Roman" w:hAnsi="Times New Roman"/>
          <w:color w:val="0070C0"/>
          <w:sz w:val="16"/>
          <w:szCs w:val="16"/>
        </w:rPr>
        <w:softHyphen/>
        <w:t>комплект включал 29 патронов. Гильзы и зве</w:t>
      </w:r>
      <w:r w:rsidRPr="00C94B78">
        <w:rPr>
          <w:rFonts w:ascii="Times New Roman" w:hAnsi="Times New Roman"/>
          <w:color w:val="0070C0"/>
          <w:sz w:val="16"/>
          <w:szCs w:val="16"/>
        </w:rPr>
        <w:softHyphen/>
        <w:t>нья собирались в специальные сборники под пушкой. Начальная скорость осколочно</w:t>
      </w:r>
      <w:r w:rsidRPr="00C94B78">
        <w:rPr>
          <w:rFonts w:ascii="Times New Roman" w:hAnsi="Times New Roman"/>
          <w:color w:val="0070C0"/>
          <w:sz w:val="16"/>
          <w:szCs w:val="16"/>
        </w:rPr>
        <w:softHyphen/>
        <w:t>го снаряда составляла 785 м/с. Средний темп стрельбы, зафиксированный в ходе испытаний, равнялся 270 выстр./мин.</w:t>
      </w:r>
    </w:p>
    <w:p w14:paraId="1270C82C" w14:textId="77777777" w:rsidR="00E5377A" w:rsidRPr="00C94B78" w:rsidRDefault="00E5377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основным недостаткам МП-45 отнесли излишне большую силу отдачи при стрельбе - на 22% выше, чем у Ш-45. Как отмечалось в отчете, стрельба из МП-45 при скорости по</w:t>
      </w:r>
      <w:r w:rsidRPr="00C94B78">
        <w:rPr>
          <w:rFonts w:ascii="Times New Roman" w:hAnsi="Times New Roman"/>
          <w:color w:val="0070C0"/>
          <w:sz w:val="16"/>
          <w:szCs w:val="16"/>
        </w:rPr>
        <w:softHyphen/>
        <w:t>лета менее 350 км/ч «сопровождается силь</w:t>
      </w:r>
      <w:r w:rsidRPr="00C94B78">
        <w:rPr>
          <w:rFonts w:ascii="Times New Roman" w:hAnsi="Times New Roman"/>
          <w:color w:val="0070C0"/>
          <w:sz w:val="16"/>
          <w:szCs w:val="16"/>
        </w:rPr>
        <w:softHyphen/>
        <w:t>ной отдачей, самолет раскачивается, летчик движется вперед-назад, что затрудняет при</w:t>
      </w:r>
      <w:r w:rsidRPr="00C94B78">
        <w:rPr>
          <w:rFonts w:ascii="Times New Roman" w:hAnsi="Times New Roman"/>
          <w:color w:val="0070C0"/>
          <w:sz w:val="16"/>
          <w:szCs w:val="16"/>
        </w:rPr>
        <w:softHyphen/>
        <w:t>цельную стрельбу». Фактически стрельбу мож</w:t>
      </w:r>
      <w:r w:rsidRPr="00C94B78">
        <w:rPr>
          <w:rFonts w:ascii="Times New Roman" w:hAnsi="Times New Roman"/>
          <w:color w:val="0070C0"/>
          <w:sz w:val="16"/>
          <w:szCs w:val="16"/>
        </w:rPr>
        <w:softHyphen/>
        <w:t>но было вести лишь одиночными выстрелами на скоростях, близких к максимальной скоро</w:t>
      </w:r>
      <w:r w:rsidRPr="00C94B78">
        <w:rPr>
          <w:rFonts w:ascii="Times New Roman" w:hAnsi="Times New Roman"/>
          <w:color w:val="0070C0"/>
          <w:sz w:val="16"/>
          <w:szCs w:val="16"/>
        </w:rPr>
        <w:softHyphen/>
        <w:t>сти полета самолета.</w:t>
      </w:r>
    </w:p>
    <w:p w14:paraId="0BBBE9DF" w14:textId="77777777" w:rsidR="00E5377A" w:rsidRPr="00C94B78" w:rsidRDefault="00E5377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Рассеивание при стрельбе в воздухе по наземной цели с пикирования (угол пи</w:t>
      </w:r>
      <w:r w:rsidRPr="00C94B78">
        <w:rPr>
          <w:rFonts w:ascii="Times New Roman" w:hAnsi="Times New Roman"/>
          <w:color w:val="0070C0"/>
          <w:sz w:val="16"/>
          <w:szCs w:val="16"/>
        </w:rPr>
        <w:softHyphen/>
        <w:t>кирования - 45°, дистанция стрельбы - 800</w:t>
      </w:r>
      <w:r w:rsidRPr="00C94B78">
        <w:rPr>
          <w:rFonts w:ascii="Times New Roman" w:hAnsi="Times New Roman"/>
          <w:color w:val="0070C0"/>
          <w:sz w:val="16"/>
          <w:szCs w:val="16"/>
        </w:rPr>
        <w:softHyphen/>
        <w:t>400 м, мишень 12*12 м) характеризовалось следующими средними значениями: вероят</w:t>
      </w:r>
      <w:r w:rsidRPr="00C94B78">
        <w:rPr>
          <w:rFonts w:ascii="Times New Roman" w:hAnsi="Times New Roman"/>
          <w:color w:val="0070C0"/>
          <w:sz w:val="16"/>
          <w:szCs w:val="16"/>
        </w:rPr>
        <w:softHyphen/>
        <w:t>ное боковое отклонение - 3,5 м, вероятное отклонение по дальности - 6,0 м.</w:t>
      </w:r>
    </w:p>
    <w:p w14:paraId="4307D818" w14:textId="77777777" w:rsidR="00E5377A" w:rsidRPr="00C94B78" w:rsidRDefault="00E5377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Большая сила отдачи МП-45 существен</w:t>
      </w:r>
      <w:r w:rsidRPr="00C94B78">
        <w:rPr>
          <w:rFonts w:ascii="Times New Roman" w:hAnsi="Times New Roman"/>
          <w:color w:val="0070C0"/>
          <w:sz w:val="16"/>
          <w:szCs w:val="16"/>
        </w:rPr>
        <w:softHyphen/>
        <w:t>но влияла на конструкцию самолета, вызывая течь масла и воды через различные уплотне</w:t>
      </w:r>
      <w:r w:rsidRPr="00C94B78">
        <w:rPr>
          <w:rFonts w:ascii="Times New Roman" w:hAnsi="Times New Roman"/>
          <w:color w:val="0070C0"/>
          <w:sz w:val="16"/>
          <w:szCs w:val="16"/>
        </w:rPr>
        <w:softHyphen/>
        <w:t>ния и трещины в трубопроводах, радиаторах и т.д. При стрельбе из пушки в кабину летчи</w:t>
      </w:r>
      <w:r w:rsidRPr="00C94B78">
        <w:rPr>
          <w:rFonts w:ascii="Times New Roman" w:hAnsi="Times New Roman"/>
          <w:color w:val="0070C0"/>
          <w:sz w:val="16"/>
          <w:szCs w:val="16"/>
        </w:rPr>
        <w:softHyphen/>
        <w:t>ка проникало очень много пороховых газов. В то же время автоматика пушки работала хо</w:t>
      </w:r>
      <w:r w:rsidRPr="00C94B78">
        <w:rPr>
          <w:rFonts w:ascii="Times New Roman" w:hAnsi="Times New Roman"/>
          <w:color w:val="0070C0"/>
          <w:sz w:val="16"/>
          <w:szCs w:val="16"/>
        </w:rPr>
        <w:softHyphen/>
        <w:t>рошо при всех условиях полета и стрельбы в воздухе. Надежность и живучесть деталей и узлов пушки находились в пределах уста</w:t>
      </w:r>
      <w:r w:rsidRPr="00C94B78">
        <w:rPr>
          <w:rFonts w:ascii="Times New Roman" w:hAnsi="Times New Roman"/>
          <w:color w:val="0070C0"/>
          <w:sz w:val="16"/>
          <w:szCs w:val="16"/>
        </w:rPr>
        <w:softHyphen/>
        <w:t>новленных требований.</w:t>
      </w:r>
    </w:p>
    <w:p w14:paraId="1EF9E085" w14:textId="77777777" w:rsidR="00E5377A" w:rsidRPr="00C94B78" w:rsidRDefault="00E5377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Осколочно-трассирующий снаряд к МП-45 по осколочно-фугасному действию практи</w:t>
      </w:r>
      <w:r w:rsidRPr="00C94B78">
        <w:rPr>
          <w:rFonts w:ascii="Times New Roman" w:hAnsi="Times New Roman"/>
          <w:color w:val="0070C0"/>
          <w:sz w:val="16"/>
          <w:szCs w:val="16"/>
        </w:rPr>
        <w:softHyphen/>
        <w:t>чески не отличался от снаряда этого типа к Ш-45, подкалиберный бронебойный сна</w:t>
      </w:r>
      <w:r w:rsidRPr="00C94B78">
        <w:rPr>
          <w:rFonts w:ascii="Times New Roman" w:hAnsi="Times New Roman"/>
          <w:color w:val="0070C0"/>
          <w:sz w:val="16"/>
          <w:szCs w:val="16"/>
        </w:rPr>
        <w:softHyphen/>
        <w:t>ряд с дистанции стрельбы 600 м при попада</w:t>
      </w:r>
      <w:r w:rsidRPr="00C94B78">
        <w:rPr>
          <w:rFonts w:ascii="Times New Roman" w:hAnsi="Times New Roman"/>
          <w:color w:val="0070C0"/>
          <w:sz w:val="16"/>
          <w:szCs w:val="16"/>
        </w:rPr>
        <w:softHyphen/>
        <w:t>нии под углом 20° к нормали гарантирован</w:t>
      </w:r>
      <w:r w:rsidRPr="00C94B78">
        <w:rPr>
          <w:rFonts w:ascii="Times New Roman" w:hAnsi="Times New Roman"/>
          <w:color w:val="0070C0"/>
          <w:sz w:val="16"/>
          <w:szCs w:val="16"/>
        </w:rPr>
        <w:softHyphen/>
        <w:t>но пробивал 40-мм броневой лист, а калиберный бронебойный снаряд в этих же условиях стрельбы пробивал его только в 66,6% слу</w:t>
      </w:r>
      <w:r w:rsidRPr="00C94B78">
        <w:rPr>
          <w:rFonts w:ascii="Times New Roman" w:hAnsi="Times New Roman"/>
          <w:color w:val="0070C0"/>
          <w:sz w:val="16"/>
          <w:szCs w:val="16"/>
        </w:rPr>
        <w:softHyphen/>
        <w:t>чаев. Штатный бронебойный снаряд к пуш</w:t>
      </w:r>
      <w:r w:rsidRPr="00C94B78">
        <w:rPr>
          <w:rFonts w:ascii="Times New Roman" w:hAnsi="Times New Roman"/>
          <w:color w:val="0070C0"/>
          <w:sz w:val="16"/>
          <w:szCs w:val="16"/>
        </w:rPr>
        <w:softHyphen/>
        <w:t>ке 11П при этих же условиях стрельбы броню толщиной 40 мм не пробивал.</w:t>
      </w:r>
    </w:p>
    <w:p w14:paraId="732712F3" w14:textId="77777777" w:rsidR="00E5377A" w:rsidRPr="00C94B78" w:rsidRDefault="00E5377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Достоинствами пушки являлись техно</w:t>
      </w:r>
      <w:r w:rsidRPr="00C94B78">
        <w:rPr>
          <w:rFonts w:ascii="Times New Roman" w:hAnsi="Times New Roman"/>
          <w:color w:val="0070C0"/>
          <w:sz w:val="16"/>
          <w:szCs w:val="16"/>
        </w:rPr>
        <w:softHyphen/>
        <w:t>логическая преемственность с серийной МП-37, легкое освоение в войсках и над</w:t>
      </w:r>
      <w:r w:rsidRPr="00C94B78">
        <w:rPr>
          <w:rFonts w:ascii="Times New Roman" w:hAnsi="Times New Roman"/>
          <w:color w:val="0070C0"/>
          <w:sz w:val="16"/>
          <w:szCs w:val="16"/>
        </w:rPr>
        <w:softHyphen/>
        <w:t>ежность 37-мм пушечной установки, про</w:t>
      </w:r>
      <w:r w:rsidRPr="00C94B78">
        <w:rPr>
          <w:rFonts w:ascii="Times New Roman" w:hAnsi="Times New Roman"/>
          <w:color w:val="0070C0"/>
          <w:sz w:val="16"/>
          <w:szCs w:val="16"/>
        </w:rPr>
        <w:softHyphen/>
        <w:t>веренная в боях. Самолет Як-9Т с пуш</w:t>
      </w:r>
      <w:r w:rsidRPr="00C94B78">
        <w:rPr>
          <w:rFonts w:ascii="Times New Roman" w:hAnsi="Times New Roman"/>
          <w:color w:val="0070C0"/>
          <w:sz w:val="16"/>
          <w:szCs w:val="16"/>
        </w:rPr>
        <w:softHyphen/>
        <w:t>кой МП-45 рекомендовался «в малую се</w:t>
      </w:r>
      <w:r w:rsidRPr="00C94B78">
        <w:rPr>
          <w:rFonts w:ascii="Times New Roman" w:hAnsi="Times New Roman"/>
          <w:color w:val="0070C0"/>
          <w:sz w:val="16"/>
          <w:szCs w:val="16"/>
        </w:rPr>
        <w:softHyphen/>
        <w:t>рию для дальнейших войсковых испытаний во фронтовых условиях» (24963).</w:t>
      </w:r>
    </w:p>
    <w:p w14:paraId="3D0EDCCE" w14:textId="77777777" w:rsidR="00E5377A" w:rsidRPr="00C94B78" w:rsidRDefault="00E5377A" w:rsidP="00B56F90">
      <w:pPr>
        <w:spacing w:after="0" w:line="240" w:lineRule="auto"/>
        <w:jc w:val="both"/>
        <w:rPr>
          <w:rFonts w:ascii="Times New Roman" w:hAnsi="Times New Roman"/>
          <w:color w:val="0070C0"/>
          <w:sz w:val="16"/>
          <w:szCs w:val="16"/>
        </w:rPr>
      </w:pPr>
    </w:p>
    <w:p w14:paraId="62C075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12 января 1944 года по 18 января 1944 года, заводом N 115 доводились установки вооружения на Як-9У с ВЯ, причем одновременно устранялись и некоторые дефекты по планеру и ВМГ (вывод трубки суфлера за капот, неуборка хвостового колеса, тряска мотора из-за плохой балансировки винта) (1821,34).</w:t>
      </w:r>
    </w:p>
    <w:p w14:paraId="0C617DA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1EC96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на 292 заводе началось серийное производство Як-3 (2989).</w:t>
      </w:r>
    </w:p>
    <w:p w14:paraId="1F2195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814507" w14:textId="77777777" w:rsidR="00F16AE1" w:rsidRPr="00070ADE" w:rsidRDefault="00F16A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г. саратовский завод № 292 начал изготовление первых деталей на Як-3, 1 марта закончили сборку самолета 06-01 (6-я машина 1-й серии поспела первой: пока самолет строился не на конвейере), а 8-го он сделал первый 10-минутный полет вокруг заводского аэродрома (22751).</w:t>
      </w:r>
    </w:p>
    <w:p w14:paraId="6941E745" w14:textId="77777777" w:rsidR="00F16AE1" w:rsidRPr="00070ADE" w:rsidRDefault="00F16AE1" w:rsidP="00B56F90">
      <w:pPr>
        <w:spacing w:after="0" w:line="240" w:lineRule="auto"/>
        <w:jc w:val="both"/>
        <w:rPr>
          <w:rFonts w:ascii="Times New Roman" w:hAnsi="Times New Roman"/>
          <w:color w:val="000000" w:themeColor="text1"/>
          <w:sz w:val="16"/>
          <w:szCs w:val="16"/>
        </w:rPr>
      </w:pPr>
    </w:p>
    <w:p w14:paraId="02222EA2" w14:textId="77777777" w:rsidR="00253A8A" w:rsidRPr="00C94B78" w:rsidRDefault="00253A8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12 января 1944 года Г-1 с бортовым номером СССР-Н-317 выполнял перелет из Туруханска в Игарку с 11 пассажирами. В ус</w:t>
      </w:r>
      <w:r w:rsidRPr="00C94B78">
        <w:rPr>
          <w:rFonts w:ascii="Times New Roman" w:hAnsi="Times New Roman"/>
          <w:color w:val="0070C0"/>
          <w:sz w:val="16"/>
          <w:szCs w:val="16"/>
        </w:rPr>
        <w:softHyphen/>
        <w:t>ловиях плохой видимости экипаж потерял ориентировку и совершил вынужденную посадку на замерзшее озеро. Никто не по</w:t>
      </w:r>
      <w:r w:rsidRPr="00C94B78">
        <w:rPr>
          <w:rFonts w:ascii="Times New Roman" w:hAnsi="Times New Roman"/>
          <w:color w:val="0070C0"/>
          <w:sz w:val="16"/>
          <w:szCs w:val="16"/>
        </w:rPr>
        <w:softHyphen/>
        <w:t>страдал, но у самолета была повреждена носовая часть кабины, сломаны лыжи, и его решили бросить. Летом 1983 года газета «Воздушный транспорт» организовала экс</w:t>
      </w:r>
      <w:r w:rsidRPr="00C94B78">
        <w:rPr>
          <w:rFonts w:ascii="Times New Roman" w:hAnsi="Times New Roman"/>
          <w:color w:val="0070C0"/>
          <w:sz w:val="16"/>
          <w:szCs w:val="16"/>
        </w:rPr>
        <w:softHyphen/>
        <w:t>педицию по поиску этого самолета. Нашли и доставили на внешней подвеске вертолета Ми-6 в Игарку. Там отсоединили крылья и двигатели, а затем на Ил-76 переправили в Выборг. Реставрация проводилась до лета 1985 года в Выборгском авиационно-техниче</w:t>
      </w:r>
      <w:r w:rsidRPr="00C94B78">
        <w:rPr>
          <w:rFonts w:ascii="Times New Roman" w:hAnsi="Times New Roman"/>
          <w:color w:val="0070C0"/>
          <w:sz w:val="16"/>
          <w:szCs w:val="16"/>
        </w:rPr>
        <w:softHyphen/>
        <w:t>ском училище. При этом были использованы кабина и двигатели с однотипного самолета с регистрационным номером СССР-Н-227. Восстановленный Г-1 (АНТ-4) водным транс</w:t>
      </w:r>
      <w:r w:rsidRPr="00C94B78">
        <w:rPr>
          <w:rFonts w:ascii="Times New Roman" w:hAnsi="Times New Roman"/>
          <w:color w:val="0070C0"/>
          <w:sz w:val="16"/>
          <w:szCs w:val="16"/>
        </w:rPr>
        <w:softHyphen/>
        <w:t>портом перевезли в Ульяновск, где он и стоит по сей день (24914).</w:t>
      </w:r>
    </w:p>
    <w:p w14:paraId="7463A755" w14:textId="77777777" w:rsidR="00253A8A" w:rsidRPr="00C94B78" w:rsidRDefault="00253A8A" w:rsidP="00B56F90">
      <w:pPr>
        <w:spacing w:after="0" w:line="240" w:lineRule="auto"/>
        <w:jc w:val="both"/>
        <w:rPr>
          <w:rFonts w:ascii="Times New Roman" w:hAnsi="Times New Roman"/>
          <w:color w:val="0070C0"/>
          <w:sz w:val="16"/>
          <w:szCs w:val="16"/>
        </w:rPr>
      </w:pPr>
    </w:p>
    <w:p w14:paraId="6663514E"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B33054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5DB2B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г. была подготовлена СПРАВКА ГБТУ О ПОСТУПЛЕНИИ ИМПОРТНЫХ ТАНКОВ ЗА ПЕРИОД С 1 ИЮЛЯ 1941 г. ПО 1 ЯНВАРЯ 1944 г.</w:t>
      </w:r>
    </w:p>
    <w:tbl>
      <w:tblPr>
        <w:tblW w:w="0" w:type="auto"/>
        <w:tblInd w:w="40" w:type="dxa"/>
        <w:tblLayout w:type="fixed"/>
        <w:tblCellMar>
          <w:left w:w="40" w:type="dxa"/>
          <w:right w:w="40" w:type="dxa"/>
        </w:tblCellMar>
        <w:tblLook w:val="0000" w:firstRow="0" w:lastRow="0" w:firstColumn="0" w:lastColumn="0" w:noHBand="0" w:noVBand="0"/>
      </w:tblPr>
      <w:tblGrid>
        <w:gridCol w:w="1718"/>
        <w:gridCol w:w="1709"/>
        <w:gridCol w:w="1709"/>
        <w:gridCol w:w="1709"/>
        <w:gridCol w:w="1738"/>
      </w:tblGrid>
      <w:tr w:rsidR="00CB5308" w:rsidRPr="00070ADE" w14:paraId="1691D188" w14:textId="77777777">
        <w:trPr>
          <w:trHeight w:val="278"/>
        </w:trPr>
        <w:tc>
          <w:tcPr>
            <w:tcW w:w="1718" w:type="dxa"/>
            <w:tcBorders>
              <w:top w:val="single" w:sz="6" w:space="0" w:color="auto"/>
              <w:left w:val="single" w:sz="6" w:space="0" w:color="auto"/>
              <w:bottom w:val="single" w:sz="6" w:space="0" w:color="auto"/>
              <w:right w:val="single" w:sz="6" w:space="0" w:color="auto"/>
            </w:tcBorders>
          </w:tcPr>
          <w:p w14:paraId="089D9BA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w:t>
            </w:r>
          </w:p>
          <w:p w14:paraId="21691D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8A15E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1.7.41 г. по 1.1.42 г.</w:t>
            </w:r>
          </w:p>
          <w:p w14:paraId="41BEF8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63FD8A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1942 г.</w:t>
            </w:r>
          </w:p>
          <w:p w14:paraId="6A6854A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3F83F1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 г.</w:t>
            </w:r>
          </w:p>
          <w:p w14:paraId="43DCE70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C97C0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34BECB8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72D903C6" w14:textId="77777777">
        <w:trPr>
          <w:trHeight w:val="278"/>
        </w:trPr>
        <w:tc>
          <w:tcPr>
            <w:tcW w:w="1718" w:type="dxa"/>
            <w:tcBorders>
              <w:top w:val="single" w:sz="6" w:space="0" w:color="auto"/>
              <w:left w:val="single" w:sz="6" w:space="0" w:color="auto"/>
              <w:bottom w:val="single" w:sz="6" w:space="0" w:color="auto"/>
              <w:right w:val="single" w:sz="6" w:space="0" w:color="auto"/>
            </w:tcBorders>
          </w:tcPr>
          <w:p w14:paraId="732014B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Тяжелых танков</w:t>
            </w:r>
          </w:p>
          <w:p w14:paraId="30C68C5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C01B3F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86157C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97159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84</w:t>
            </w:r>
          </w:p>
          <w:p w14:paraId="1C8B950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31E0F5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169</w:t>
            </w:r>
          </w:p>
          <w:p w14:paraId="1E304B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DCB03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253</w:t>
            </w:r>
          </w:p>
          <w:p w14:paraId="30456F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16CC041" w14:textId="77777777">
        <w:trPr>
          <w:trHeight w:val="269"/>
        </w:trPr>
        <w:tc>
          <w:tcPr>
            <w:tcW w:w="1718" w:type="dxa"/>
            <w:tcBorders>
              <w:top w:val="single" w:sz="6" w:space="0" w:color="auto"/>
              <w:left w:val="single" w:sz="6" w:space="0" w:color="auto"/>
              <w:bottom w:val="single" w:sz="6" w:space="0" w:color="auto"/>
              <w:right w:val="single" w:sz="6" w:space="0" w:color="auto"/>
            </w:tcBorders>
          </w:tcPr>
          <w:p w14:paraId="0A72C64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Средних танков</w:t>
            </w:r>
          </w:p>
          <w:p w14:paraId="702D7B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1BEE1B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145</w:t>
            </w:r>
          </w:p>
          <w:p w14:paraId="18AF2DA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1377F1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1474</w:t>
            </w:r>
          </w:p>
          <w:p w14:paraId="7B6B64E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620B7FF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749</w:t>
            </w:r>
          </w:p>
          <w:p w14:paraId="6E38CC1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3FB8D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2368</w:t>
            </w:r>
          </w:p>
          <w:p w14:paraId="34663E3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2549431" w14:textId="77777777">
        <w:trPr>
          <w:trHeight w:val="278"/>
        </w:trPr>
        <w:tc>
          <w:tcPr>
            <w:tcW w:w="1718" w:type="dxa"/>
            <w:tcBorders>
              <w:top w:val="single" w:sz="6" w:space="0" w:color="auto"/>
              <w:left w:val="single" w:sz="6" w:space="0" w:color="auto"/>
              <w:bottom w:val="single" w:sz="6" w:space="0" w:color="auto"/>
              <w:right w:val="single" w:sz="6" w:space="0" w:color="auto"/>
            </w:tcBorders>
          </w:tcPr>
          <w:p w14:paraId="5418716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Легких танков</w:t>
            </w:r>
          </w:p>
          <w:p w14:paraId="48C262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6438F9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216</w:t>
            </w:r>
          </w:p>
          <w:p w14:paraId="78B9F7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1146761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1956</w:t>
            </w:r>
          </w:p>
          <w:p w14:paraId="572C891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629467E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2036</w:t>
            </w:r>
          </w:p>
          <w:p w14:paraId="7262473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F528AA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4208</w:t>
            </w:r>
          </w:p>
          <w:p w14:paraId="5C9D1C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2799DED" w14:textId="77777777">
        <w:trPr>
          <w:trHeight w:val="298"/>
        </w:trPr>
        <w:tc>
          <w:tcPr>
            <w:tcW w:w="1718" w:type="dxa"/>
            <w:tcBorders>
              <w:top w:val="single" w:sz="6" w:space="0" w:color="auto"/>
              <w:left w:val="single" w:sz="6" w:space="0" w:color="auto"/>
              <w:bottom w:val="single" w:sz="6" w:space="0" w:color="auto"/>
              <w:right w:val="single" w:sz="6" w:space="0" w:color="auto"/>
            </w:tcBorders>
          </w:tcPr>
          <w:p w14:paraId="51C5CE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p w14:paraId="2C9C69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077E3B4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361</w:t>
            </w:r>
          </w:p>
          <w:p w14:paraId="10B4DEC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05D30C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3514</w:t>
            </w:r>
          </w:p>
          <w:p w14:paraId="0C916C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1F475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2954</w:t>
            </w:r>
          </w:p>
          <w:p w14:paraId="5A4309B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8D7A5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6829</w:t>
            </w:r>
          </w:p>
          <w:p w14:paraId="63ECE7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EAC35B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5-го отдела танкового управления ГБТУ КА инженер-майор Билеткин</w:t>
      </w:r>
    </w:p>
    <w:p w14:paraId="0F954B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656. Л. 2. Подлинник (11403).</w:t>
      </w:r>
    </w:p>
    <w:p w14:paraId="6D8ACD2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ECE9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г. была подготовлена СПРАВКА ГБТУ О ПОСТУПЛЕНИИ ИМПОРТНОГО ВООРУЖЕНИЯ ЗА ПЕРИОД С 1 ИЮЛЯ 1941 г. ПО 1 ЯНВАРЯ 1944 г.</w:t>
      </w:r>
    </w:p>
    <w:tbl>
      <w:tblPr>
        <w:tblW w:w="0" w:type="auto"/>
        <w:tblInd w:w="40" w:type="dxa"/>
        <w:tblLayout w:type="fixed"/>
        <w:tblCellMar>
          <w:left w:w="40" w:type="dxa"/>
          <w:right w:w="40" w:type="dxa"/>
        </w:tblCellMar>
        <w:tblLook w:val="0000" w:firstRow="0" w:lastRow="0" w:firstColumn="0" w:lastColumn="0" w:noHBand="0" w:noVBand="0"/>
      </w:tblPr>
      <w:tblGrid>
        <w:gridCol w:w="2928"/>
        <w:gridCol w:w="1440"/>
        <w:gridCol w:w="1709"/>
        <w:gridCol w:w="1546"/>
        <w:gridCol w:w="1536"/>
      </w:tblGrid>
      <w:tr w:rsidR="00CB5308" w:rsidRPr="00070ADE" w14:paraId="20F3F1A3" w14:textId="77777777">
        <w:trPr>
          <w:trHeight w:val="278"/>
        </w:trPr>
        <w:tc>
          <w:tcPr>
            <w:tcW w:w="2928" w:type="dxa"/>
            <w:tcBorders>
              <w:top w:val="single" w:sz="6" w:space="0" w:color="auto"/>
              <w:left w:val="single" w:sz="6" w:space="0" w:color="auto"/>
              <w:bottom w:val="nil"/>
              <w:right w:val="single" w:sz="6" w:space="0" w:color="auto"/>
            </w:tcBorders>
          </w:tcPr>
          <w:p w14:paraId="1BB62F4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w:t>
            </w:r>
          </w:p>
          <w:p w14:paraId="3740AB8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470165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поступило</w:t>
            </w:r>
          </w:p>
          <w:p w14:paraId="1BA3710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91" w:type="dxa"/>
            <w:gridSpan w:val="3"/>
            <w:tcBorders>
              <w:top w:val="single" w:sz="6" w:space="0" w:color="auto"/>
              <w:left w:val="single" w:sz="6" w:space="0" w:color="auto"/>
              <w:bottom w:val="single" w:sz="6" w:space="0" w:color="auto"/>
              <w:right w:val="single" w:sz="6" w:space="0" w:color="auto"/>
            </w:tcBorders>
          </w:tcPr>
          <w:p w14:paraId="683305B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них:</w:t>
            </w:r>
          </w:p>
          <w:p w14:paraId="086EE2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F15D6B3" w14:textId="77777777">
        <w:trPr>
          <w:trHeight w:val="259"/>
        </w:trPr>
        <w:tc>
          <w:tcPr>
            <w:tcW w:w="2928" w:type="dxa"/>
            <w:tcBorders>
              <w:top w:val="nil"/>
              <w:left w:val="single" w:sz="6" w:space="0" w:color="auto"/>
              <w:bottom w:val="single" w:sz="6" w:space="0" w:color="auto"/>
              <w:right w:val="single" w:sz="6" w:space="0" w:color="auto"/>
            </w:tcBorders>
          </w:tcPr>
          <w:p w14:paraId="4989C95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5FDE14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37B73B8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B7282E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313C2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1.7.41 г. по 1.1.42 г.</w:t>
            </w:r>
          </w:p>
          <w:p w14:paraId="68142E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6942C78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1942 г.</w:t>
            </w:r>
          </w:p>
          <w:p w14:paraId="41ED4C8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479E942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1943 г.</w:t>
            </w:r>
          </w:p>
          <w:p w14:paraId="29A5F78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19C939B" w14:textId="77777777">
        <w:trPr>
          <w:trHeight w:val="269"/>
        </w:trPr>
        <w:tc>
          <w:tcPr>
            <w:tcW w:w="2928" w:type="dxa"/>
            <w:tcBorders>
              <w:top w:val="single" w:sz="6" w:space="0" w:color="auto"/>
              <w:left w:val="single" w:sz="6" w:space="0" w:color="auto"/>
              <w:bottom w:val="single" w:sz="6" w:space="0" w:color="auto"/>
              <w:right w:val="single" w:sz="6" w:space="0" w:color="auto"/>
            </w:tcBorders>
          </w:tcPr>
          <w:p w14:paraId="63DA770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Самоходная установка «СУ-57»</w:t>
            </w:r>
          </w:p>
          <w:p w14:paraId="4F1443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57695D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241</w:t>
            </w:r>
          </w:p>
          <w:p w14:paraId="003382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32D29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6A6436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3737F5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0E8C85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2D5A204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241</w:t>
            </w:r>
          </w:p>
          <w:p w14:paraId="7595DF1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EF71E3F"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3ED76CC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Бронетранспортер «Брен»</w:t>
            </w:r>
          </w:p>
          <w:p w14:paraId="69744B4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2D79E0B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1636</w:t>
            </w:r>
          </w:p>
          <w:p w14:paraId="37AE2C6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2FEA9B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330</w:t>
            </w:r>
          </w:p>
          <w:p w14:paraId="566AB1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561AD1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903</w:t>
            </w:r>
          </w:p>
          <w:p w14:paraId="5DDC504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800EE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403</w:t>
            </w:r>
          </w:p>
          <w:p w14:paraId="06BCAAF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86EAF38"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395014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Бронетранспортер « МЗА1 »</w:t>
            </w:r>
          </w:p>
          <w:p w14:paraId="503FB1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367EAB7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869</w:t>
            </w:r>
          </w:p>
          <w:p w14:paraId="3485440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778ECE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C9AB2E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15CE71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261</w:t>
            </w:r>
          </w:p>
          <w:p w14:paraId="2BD8D8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38E5BC4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608</w:t>
            </w:r>
          </w:p>
          <w:p w14:paraId="60758B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9DCBF65"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6944B6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Бронетранспортер «М-2»</w:t>
            </w:r>
          </w:p>
          <w:p w14:paraId="0C1797E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02BD2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113</w:t>
            </w:r>
          </w:p>
          <w:p w14:paraId="2C43312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28C0A8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206E2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5D2495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w:t>
            </w:r>
          </w:p>
          <w:p w14:paraId="5F961C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1CD8C31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42C13A0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6BFC02E" w14:textId="77777777">
        <w:trPr>
          <w:trHeight w:val="269"/>
        </w:trPr>
        <w:tc>
          <w:tcPr>
            <w:tcW w:w="2928" w:type="dxa"/>
            <w:tcBorders>
              <w:top w:val="single" w:sz="6" w:space="0" w:color="auto"/>
              <w:left w:val="single" w:sz="6" w:space="0" w:color="auto"/>
              <w:bottom w:val="single" w:sz="6" w:space="0" w:color="auto"/>
              <w:right w:val="single" w:sz="6" w:space="0" w:color="auto"/>
            </w:tcBorders>
          </w:tcPr>
          <w:p w14:paraId="74A741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Ремонтные мастерские</w:t>
            </w:r>
          </w:p>
          <w:p w14:paraId="4F9389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A0BC02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311</w:t>
            </w:r>
          </w:p>
          <w:p w14:paraId="5FD6D8A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04171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99DD4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6E4B69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F3D14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537DB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311</w:t>
            </w:r>
          </w:p>
          <w:p w14:paraId="2AE2B8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EED3406"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153C82E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Трайлеры 40 тонн</w:t>
            </w:r>
          </w:p>
          <w:p w14:paraId="4D76716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53E9003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w:t>
            </w:r>
          </w:p>
          <w:p w14:paraId="2CBB081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1E33263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B4DD2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63827C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0013F8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AEE635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w:t>
            </w:r>
          </w:p>
          <w:p w14:paraId="56672B1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4DF0DC2" w14:textId="77777777">
        <w:trPr>
          <w:trHeight w:val="298"/>
        </w:trPr>
        <w:tc>
          <w:tcPr>
            <w:tcW w:w="2928" w:type="dxa"/>
            <w:tcBorders>
              <w:top w:val="single" w:sz="6" w:space="0" w:color="auto"/>
              <w:left w:val="single" w:sz="6" w:space="0" w:color="auto"/>
              <w:bottom w:val="single" w:sz="6" w:space="0" w:color="auto"/>
              <w:right w:val="single" w:sz="6" w:space="0" w:color="auto"/>
            </w:tcBorders>
          </w:tcPr>
          <w:p w14:paraId="7CF1B1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Трайлеры 20 тонн</w:t>
            </w:r>
          </w:p>
          <w:p w14:paraId="5F252ED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308368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w:t>
            </w:r>
          </w:p>
          <w:p w14:paraId="3C560B0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4BF2DD3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F1E86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11194F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2FDA5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27B9FA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w:t>
            </w:r>
          </w:p>
          <w:p w14:paraId="24C5D73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C1FBA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5-го отдела танкового управления ГБТУ КА</w:t>
      </w:r>
    </w:p>
    <w:p w14:paraId="383222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инженер-майор Билеткин</w:t>
      </w:r>
    </w:p>
    <w:p w14:paraId="7659BA2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656. Л. 4. Подлинник (11403).</w:t>
      </w:r>
    </w:p>
    <w:p w14:paraId="6B48865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856E61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вышло Постановление ГКО № 4933 О мероприятиях по обеспечению работы Марийского целлюлозно-бумажного комбината Наркомбумпрома. Д.191, 94-97).</w:t>
      </w:r>
    </w:p>
    <w:p w14:paraId="18C6C20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0E31B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вышло Постановление ГКО № 4935 О т.т. Кириченко А.И., Субботине Н.Е., Черешнюк В.И. РГАНИР, Фонд ГКО, д. 191, лл. 100 (11012).</w:t>
      </w:r>
    </w:p>
    <w:p w14:paraId="679591D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008E1E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вышло Распоряжение ГКО № 4936 [Об изготовлении и установке ротора к генератору турбины завода "Ростсельмаш".] (7172, 101).</w:t>
      </w:r>
    </w:p>
    <w:p w14:paraId="1FD07F3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AC4D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вышло Распоряжение ГКО № 4938. О передаче НКЭП для НКЭС генератора мощностью 12 тыс. квт. РГАНИР, Фонд ГКО, д. 191, лл. 103 (11012).</w:t>
      </w:r>
    </w:p>
    <w:p w14:paraId="193534E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93ADB7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вышло Постановление ГКО № 4939 Об освобождении т. Пантина К.М. от обязанностей уполномоченного ГОКО по лесозаготовкам по Молотовской области и о назначении т. Борисова В.А. уполномоченным ГОКО по лесозаготовкам по Молотовской области. (7172, 104).</w:t>
      </w:r>
    </w:p>
    <w:p w14:paraId="5202D08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07AD6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вышло Постановление ГКО № 4940 О частичном восстановлении Днепродзержинской электростанции, электросетей и подстанций Днепроэнерго. РГАНИР, Фонд ГКО, д. 191, лл. 105-106,107-113 (11012).</w:t>
      </w:r>
    </w:p>
    <w:p w14:paraId="2E933B4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154FE5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вышло Постановление ГКО № 4941 О плане распределения тракторов на I квартал 1944 года. РГАНИР, Фонд ГКО, д. 191, лл. 114-115,116-117 (11012).</w:t>
      </w:r>
    </w:p>
    <w:p w14:paraId="14AEEFC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63195C3"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вышло Постановление ГКО № 4942 О плане производства и распределения подвижных ремонтных мастерских на I квартал 1944 г. (7172, 118-120,121-132).</w:t>
      </w:r>
    </w:p>
    <w:p w14:paraId="074B25F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FC638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вышло Постановление ГКО № 4943 О плане распределения автомобильных запасных частей на I квартал 1944 г. (7172, 133-134,135-151).</w:t>
      </w:r>
    </w:p>
    <w:p w14:paraId="3583E48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E1D8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года была подготовлена справка:</w:t>
      </w:r>
    </w:p>
    <w:p w14:paraId="364A8D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ВОВ основным заводом выпускавшим энергооборудование для крупных электростанций, был Ленинградский (бывш. Металлический) завод им. Сталина, ныне завод № 371.</w:t>
      </w:r>
    </w:p>
    <w:p w14:paraId="6518C1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Самым старым производством на ЛМЗ являлось котлостроение.</w:t>
      </w:r>
    </w:p>
    <w:p w14:paraId="01B917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период с 1880 года до 1941 года заводом построено 3300 котлов.</w:t>
      </w:r>
    </w:p>
    <w:p w14:paraId="34D97F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Паротурбостроение было начато на заводе в 1907 году и всего было выпущено 370 паровых турбин.</w:t>
      </w:r>
    </w:p>
    <w:p w14:paraId="1706CF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Насосостроение было начато на заводе в 1905 году и изготовлено 4650 насосов.</w:t>
      </w:r>
    </w:p>
    <w:p w14:paraId="7B60CC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Гидротурбостроение возникло на заводе с 1923 года. Всего выпущено 152 турбины.</w:t>
      </w:r>
    </w:p>
    <w:p w14:paraId="4B977F6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революции завод в основном выпускал мелкие агрегаты по иностранным чертежам.</w:t>
      </w:r>
    </w:p>
    <w:p w14:paraId="0DFE70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1938 году ЛМЗ был передан в НКВ ввиду намеченного расширения башенного производства. Развитие энергомашиностроения, естественно было задержано ……..</w:t>
      </w:r>
    </w:p>
    <w:p w14:paraId="753FE36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был эвакуирован, но часть станков осталась ……….</w:t>
      </w:r>
    </w:p>
    <w:p w14:paraId="2F03F1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основан в 1857 году</w:t>
      </w:r>
    </w:p>
    <w:p w14:paraId="455120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ВОВ на заводе было полностью прекращено энергопроизводство. В дальнейшем при эвакуации оборудования в первую очередь вывозилось оборудование турбинных и котельного цехов (9277).</w:t>
      </w:r>
    </w:p>
    <w:p w14:paraId="546772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AD7BCC"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D7304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8DB41A"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12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774316EB"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Мозырьском направлении наши войска 11 января перешли в наступление и за два дня упорных боёв прорвали сильно укреплённую оборонительную полосу противника протяжением по фронту свыше 30 километров и в глубину до 15 километров. Нашими войсками освобождено более 30 населённых пунктов и среди них Козловичи, Давидовичи, Холодники, Домановичи, Ланпеки, Уболоть, Зеленочи, Кощичи, Бобровичи, Горочичи, Прудок, Шарейки и железнодорожная станция Горочичи.</w:t>
      </w:r>
    </w:p>
    <w:p w14:paraId="63D32E87"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форсировав реку Случь, вчера, 11 января, штурмом овладели городом Сарны — крупным железнодорожным узлом и важным опорным пунктом обороны немцев на Полесском направлении, а также с боями заняли несколько других населённых пунктов и среди них районный центр Ровенской области город и крупную железнодорожную станцию Домбровица.</w:t>
      </w:r>
    </w:p>
    <w:p w14:paraId="37ACE64E"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Новоград-Волынский наши войска продолжали наступление и заняли более 50 населённых пунктов, в том числе Мужиловичи, Пищев, Дуплинки, Тожир, Токарев, Закреничье, Вересна, Конотопы, Анусино.</w:t>
      </w:r>
    </w:p>
    <w:p w14:paraId="7F0C2270"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Восточнее Винницы наши войска отбивали контратаки крупных сил пехоты и танков противника.</w:t>
      </w:r>
    </w:p>
    <w:p w14:paraId="0F92164E"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Белая Церковь наши войска продолжали наступление и заняли несколько населённых пунктов.</w:t>
      </w:r>
    </w:p>
    <w:p w14:paraId="726E6C4D"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северо-западнее Кировограда наши войска вели наступательные бои, входе которых выбили противника из нескольких сильно укреплённых опорных пунктов его обороны.</w:t>
      </w:r>
    </w:p>
    <w:p w14:paraId="113DA822"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0567D208"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11 января наши войска на всех фронтах подбили и уничтожили 178 немецких танков. В воздушных боях и огнём зенитной артиллерии сбито 36 самолётов противника.</w:t>
      </w:r>
    </w:p>
    <w:p w14:paraId="7AF140CA"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Мозырьском направлении наши войска после артиллерийской подготовки перешли в наступление. За два дня ожесточённых боёв советские пехотинцы и танкисты прорвали оборону немцев и заняли более 30 населённых пунктов. Неоднократные контратаки противника, пытавшегося восстановить положение, успеха не имели. В течение дня нашими частями уничтожено до 2 тысяч немецких солдат и офицеров, подбито и сожжено 22 танка, подавлен огонь 20 артиллерийских и миномётных батарей противника. Захвачены трофеи и пленные.</w:t>
      </w:r>
    </w:p>
    <w:p w14:paraId="144F74F4"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развивая наступление, вчера, 11 января, штурмом овладели городом Сарны. Немцы, стремясь любой ценой удержать в своих руках этот крупный железнодорожный узел, оказывали упорное сопротивление. Советские части обошли Сарны с севера и юга, а передовые отряды вместе с партизанами прорвались на подступы к городу с запада. Этими ударами оборона противника была дезорганизована. Наши войска решительной атакой ворвалась в город и разгромили немецкий гарнизон. Овладев городом Сарны, наши бойцы захватили много трофеев, в том числе 30 орудий, 90 пулемётов, 80 грузовыхавтомашин, 300 лошадей, 200 повозок с грузами, склад винтовок и склад с вещевыми муществом. Севернее Сарны советские войска заняли районный центр Ровенской области город Домбровица. На станции Домбровица захвачены у немцев склады с военным имуществом и много железнодорожных вагонов.</w:t>
      </w:r>
    </w:p>
    <w:p w14:paraId="474679F3"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Новоград-Волынский наши войска с боями продвигались вперед и заняли более 50 населённых пунктов. Преследуя отступающегопротивника, части Н-ского соединения захватили 4 исправных немецких танка, 3 бронетранспортёра, 14 орудий, 67 пулемётов и два склада с боеприпасами.</w:t>
      </w:r>
    </w:p>
    <w:p w14:paraId="75C139CA"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Восточнее Винницы немцы подтянули крупные силы пехоты и танков и предприняли ряд ожесточённых контратак. Наши войска активными действиями и мощным огнём из всех видов оружия отбросили противника на исходные рубежи. В бесплодных контратаках немцы потеряли убитыми свыше 2 тысяч солдат и офицеров. Огнём артиллерии и бронебойщиков, а также в танковых боях подбито и уничтожено 86 вражеских танков, 8 самоходных орудий, 10 бронетранспортеров и 140 автомашин. На одной железнодорожной станции наши танкисты уничтожили только что прибывший немецкий воинский эшелон. В составе этого эшелона было 10 цистерн с горючим, 12 вагонов с боеприпасами и на платформах 6 самоходных орудий «Фердинанд».</w:t>
      </w:r>
    </w:p>
    <w:p w14:paraId="10D2E469"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северо-западнее Кировограда наши войска вели наступательные бои и выбили немцев из нескольких сильно укреплённых пунктов. В течение дня уничтоженодо 1.000 гитлеровцев и 36 немецких танков. В одном районе советский моторизованный отряд прорвался во вражеский тыл. Стремительно продвигаясь вперёд, наши бойцы на одном из аэродромов сожгли 40 немецких самолётов. Действуя по тылам, этот же отряд разгромил штаб крупного соединения противника. Успешно выполнив поставленную перед ним задачу, отряд вернулся в расположение наших войск.</w:t>
      </w:r>
    </w:p>
    <w:p w14:paraId="05914486"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Группа ленинградских партизанских отрядов рассеяла немецкие подразделения, которые пытались угнать на каторгу в Германию жителей более 100 сёл и деревень. Гитлеровцы спешно сформировали крупную карательную экспедицию и 4 января направили её в населённые пункты, находившиеся под охраной партизан. Завязался ожесточённый бой, неоднократно переходивший в рукопашные схватки. Партизаны в течение двух дней сдерживали противника и дали возможность всем жителям эвакуироваться в безопасное место. В этом бою советские патриоты истребили свыше 400 немецких солдат и офицеров.</w:t>
      </w:r>
    </w:p>
    <w:p w14:paraId="30FE7AE2" w14:textId="040717A6"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Жители города Кировограда — железнодорожный рабочий Андрей Колесников, служащий Василий Сидляров и другие — рассказали о чудовищных злодеяниях немецко-фашистских мерзавцев: «В первые же дни оккупации Кировограда немцы расстреляли несколько тысяч мирных жителей города. Гитлеровцы построили на базарной площади три виселицы, на которых вешали мирных советских граждан. Грабежи, аресты и убийства ни в чём не повинных людей не прекращались ни на один день. Седьмого ноября 1943 года гестаповцы устроили облавы в городе и произвели многочисленные аресты. Бандиты никого не щадили, они хватали больных, стариков,</w:t>
      </w:r>
      <w:r w:rsidR="00253A8A">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женщин и детей и бросали их в тюрьму. За две недели гитлеровские палачи расстреляли во дворе тюрьмы свыше двух тысяч человек. Недавно немцы согнали в Кировоград тысячи жителей окрестных сел для отправки их на каторгу в Германию.Успешное наступление войск Красной Армии, окруживших город, сорвало подлые замыслы немецких оккупантов. Красная Армия спасла многих жителей Кировограда и несколько тысяч колхозников от фашистского рабства» (15007).</w:t>
      </w:r>
    </w:p>
    <w:p w14:paraId="2DBCFE67" w14:textId="77777777" w:rsidR="00E00646" w:rsidRPr="00070ADE" w:rsidRDefault="00E00646" w:rsidP="00B56F90">
      <w:pPr>
        <w:spacing w:after="0" w:line="240" w:lineRule="auto"/>
        <w:jc w:val="both"/>
        <w:rPr>
          <w:rFonts w:ascii="Times New Roman" w:hAnsi="Times New Roman"/>
          <w:color w:val="000000" w:themeColor="text1"/>
          <w:sz w:val="16"/>
          <w:szCs w:val="16"/>
        </w:rPr>
      </w:pPr>
    </w:p>
    <w:p w14:paraId="46788824"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12 января</w:t>
      </w:r>
      <w:r w:rsidRPr="00070ADE">
        <w:rPr>
          <w:rFonts w:ascii="Times New Roman" w:hAnsi="Times New Roman"/>
          <w:color w:val="000000" w:themeColor="text1"/>
          <w:sz w:val="16"/>
          <w:szCs w:val="16"/>
        </w:rPr>
        <w:t xml:space="preserve"> в 1944 году войска 2-го Прибалтийского фронта перешли в наступление из района западнее города Новосокольники с целью разгромить немецкую 16-ю армию. Англо-американские войска начали наступление в Центральной Италии в районе города Кассино (15007).</w:t>
      </w:r>
    </w:p>
    <w:p w14:paraId="190B94F0" w14:textId="77777777" w:rsidR="00E00646" w:rsidRPr="00070ADE" w:rsidRDefault="00E00646" w:rsidP="00B56F90">
      <w:pPr>
        <w:spacing w:after="0" w:line="240" w:lineRule="auto"/>
        <w:jc w:val="both"/>
        <w:rPr>
          <w:rFonts w:ascii="Times New Roman" w:hAnsi="Times New Roman"/>
          <w:color w:val="000000" w:themeColor="text1"/>
          <w:sz w:val="16"/>
          <w:szCs w:val="16"/>
        </w:rPr>
      </w:pPr>
    </w:p>
    <w:p w14:paraId="6C5D76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года 3-ю группу усилили 2 А-200, 5 Ил-2 и 2 Пе-2. 5 и 6 февраля в состав группы включили третью эскадрилью 11-го ГИАП, а также 4 Ил-2 и 1 А-200. Затем группу еще усилили немного. К моменту своего расформирования, 30 марта 1944 года группа потопила 11 транспортов и 20 самоходных барж, сбив при этом 78 самолетов. Потери группы составили 6 Ил4, 6 А-200, 6 Пе-2, 8 Ил-2, 7 Р-39 и один разведывательный самолет (2691).</w:t>
      </w:r>
    </w:p>
    <w:p w14:paraId="5887D4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F4E5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г. была подготовлена СПРАВКА НАЧАЛЬНИКА ГБТУ КА О НАЛИЧИИ АЭРОСАННЫХ ЧАСТЕЙ НА 10.01.1944 г.</w:t>
      </w:r>
    </w:p>
    <w:tbl>
      <w:tblPr>
        <w:tblW w:w="0" w:type="auto"/>
        <w:tblInd w:w="40" w:type="dxa"/>
        <w:tblLayout w:type="fixed"/>
        <w:tblCellMar>
          <w:left w:w="40" w:type="dxa"/>
          <w:right w:w="40" w:type="dxa"/>
        </w:tblCellMar>
        <w:tblLook w:val="0000" w:firstRow="0" w:lastRow="0" w:firstColumn="0" w:lastColumn="0" w:noHBand="0" w:noVBand="0"/>
      </w:tblPr>
      <w:tblGrid>
        <w:gridCol w:w="1632"/>
        <w:gridCol w:w="1699"/>
        <w:gridCol w:w="1699"/>
        <w:gridCol w:w="1843"/>
        <w:gridCol w:w="1872"/>
      </w:tblGrid>
      <w:tr w:rsidR="00CB5308" w:rsidRPr="00070ADE" w14:paraId="6B4D38B2" w14:textId="77777777">
        <w:trPr>
          <w:trHeight w:val="269"/>
        </w:trPr>
        <w:tc>
          <w:tcPr>
            <w:tcW w:w="1632" w:type="dxa"/>
            <w:tcBorders>
              <w:top w:val="single" w:sz="6" w:space="0" w:color="auto"/>
              <w:left w:val="single" w:sz="6" w:space="0" w:color="auto"/>
              <w:bottom w:val="nil"/>
              <w:right w:val="single" w:sz="6" w:space="0" w:color="auto"/>
            </w:tcBorders>
          </w:tcPr>
          <w:p w14:paraId="671918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Где находятся</w:t>
            </w:r>
          </w:p>
          <w:p w14:paraId="48DBC0E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98" w:type="dxa"/>
            <w:gridSpan w:val="2"/>
            <w:tcBorders>
              <w:top w:val="single" w:sz="6" w:space="0" w:color="auto"/>
              <w:left w:val="single" w:sz="6" w:space="0" w:color="auto"/>
              <w:bottom w:val="single" w:sz="6" w:space="0" w:color="auto"/>
              <w:right w:val="single" w:sz="6" w:space="0" w:color="auto"/>
            </w:tcBorders>
          </w:tcPr>
          <w:p w14:paraId="3184705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Отдельные аэросанные батальоны</w:t>
            </w:r>
          </w:p>
          <w:p w14:paraId="40D61D8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nil"/>
              <w:right w:val="single" w:sz="6" w:space="0" w:color="auto"/>
            </w:tcBorders>
          </w:tcPr>
          <w:p w14:paraId="7136D9A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Резервные аэросанные роты</w:t>
            </w:r>
          </w:p>
          <w:p w14:paraId="60486B7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72" w:type="dxa"/>
            <w:tcBorders>
              <w:top w:val="single" w:sz="6" w:space="0" w:color="auto"/>
              <w:left w:val="single" w:sz="6" w:space="0" w:color="auto"/>
              <w:bottom w:val="nil"/>
              <w:right w:val="single" w:sz="6" w:space="0" w:color="auto"/>
            </w:tcBorders>
          </w:tcPr>
          <w:p w14:paraId="55500D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Отдельные ремонтные аэросанные роты</w:t>
            </w:r>
          </w:p>
          <w:p w14:paraId="7B2C3D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21EA979" w14:textId="77777777">
        <w:trPr>
          <w:trHeight w:val="259"/>
        </w:trPr>
        <w:tc>
          <w:tcPr>
            <w:tcW w:w="1632" w:type="dxa"/>
            <w:tcBorders>
              <w:top w:val="nil"/>
              <w:left w:val="single" w:sz="6" w:space="0" w:color="auto"/>
              <w:bottom w:val="single" w:sz="6" w:space="0" w:color="auto"/>
              <w:right w:val="single" w:sz="6" w:space="0" w:color="auto"/>
            </w:tcBorders>
          </w:tcPr>
          <w:p w14:paraId="0C84EB8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24CF6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D8A560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Боевые</w:t>
            </w:r>
          </w:p>
          <w:p w14:paraId="7F1249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B928F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Транспортные</w:t>
            </w:r>
          </w:p>
          <w:p w14:paraId="4094FFA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nil"/>
              <w:left w:val="single" w:sz="6" w:space="0" w:color="auto"/>
              <w:bottom w:val="single" w:sz="6" w:space="0" w:color="auto"/>
              <w:right w:val="single" w:sz="6" w:space="0" w:color="auto"/>
            </w:tcBorders>
          </w:tcPr>
          <w:p w14:paraId="2F2130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4C39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72" w:type="dxa"/>
            <w:tcBorders>
              <w:top w:val="nil"/>
              <w:left w:val="single" w:sz="6" w:space="0" w:color="auto"/>
              <w:bottom w:val="single" w:sz="6" w:space="0" w:color="auto"/>
              <w:right w:val="single" w:sz="6" w:space="0" w:color="auto"/>
            </w:tcBorders>
          </w:tcPr>
          <w:p w14:paraId="324373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B671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BCECA37" w14:textId="77777777">
        <w:trPr>
          <w:trHeight w:val="278"/>
        </w:trPr>
        <w:tc>
          <w:tcPr>
            <w:tcW w:w="1632" w:type="dxa"/>
            <w:tcBorders>
              <w:top w:val="single" w:sz="6" w:space="0" w:color="auto"/>
              <w:left w:val="single" w:sz="6" w:space="0" w:color="auto"/>
              <w:bottom w:val="single" w:sz="6" w:space="0" w:color="auto"/>
              <w:right w:val="single" w:sz="6" w:space="0" w:color="auto"/>
            </w:tcBorders>
          </w:tcPr>
          <w:p w14:paraId="7D5860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фронтах</w:t>
            </w:r>
          </w:p>
          <w:p w14:paraId="4277E4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0C8317A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p w14:paraId="1C2FCE7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10F9E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w:t>
            </w:r>
          </w:p>
          <w:p w14:paraId="7F38638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314F52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p w14:paraId="4B2CB43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72" w:type="dxa"/>
            <w:tcBorders>
              <w:top w:val="single" w:sz="6" w:space="0" w:color="auto"/>
              <w:left w:val="single" w:sz="6" w:space="0" w:color="auto"/>
              <w:bottom w:val="single" w:sz="6" w:space="0" w:color="auto"/>
              <w:right w:val="single" w:sz="6" w:space="0" w:color="auto"/>
            </w:tcBorders>
          </w:tcPr>
          <w:p w14:paraId="0D0BBB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162671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F8CF520" w14:textId="77777777">
        <w:trPr>
          <w:trHeight w:val="278"/>
        </w:trPr>
        <w:tc>
          <w:tcPr>
            <w:tcW w:w="1632" w:type="dxa"/>
            <w:tcBorders>
              <w:top w:val="single" w:sz="6" w:space="0" w:color="auto"/>
              <w:left w:val="single" w:sz="6" w:space="0" w:color="auto"/>
              <w:bottom w:val="single" w:sz="6" w:space="0" w:color="auto"/>
              <w:right w:val="single" w:sz="6" w:space="0" w:color="auto"/>
            </w:tcBorders>
          </w:tcPr>
          <w:p w14:paraId="273087E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округах</w:t>
            </w:r>
          </w:p>
          <w:p w14:paraId="0BDAA6A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E3800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256C92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1496A8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p w14:paraId="088816D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67E0AA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w:t>
            </w:r>
          </w:p>
          <w:p w14:paraId="3104F72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72" w:type="dxa"/>
            <w:tcBorders>
              <w:top w:val="single" w:sz="6" w:space="0" w:color="auto"/>
              <w:left w:val="single" w:sz="6" w:space="0" w:color="auto"/>
              <w:bottom w:val="single" w:sz="6" w:space="0" w:color="auto"/>
              <w:right w:val="single" w:sz="6" w:space="0" w:color="auto"/>
            </w:tcBorders>
          </w:tcPr>
          <w:p w14:paraId="268B53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4A0EA99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DF041F8" w14:textId="77777777">
        <w:trPr>
          <w:trHeight w:val="298"/>
        </w:trPr>
        <w:tc>
          <w:tcPr>
            <w:tcW w:w="1632" w:type="dxa"/>
            <w:tcBorders>
              <w:top w:val="single" w:sz="6" w:space="0" w:color="auto"/>
              <w:left w:val="single" w:sz="6" w:space="0" w:color="auto"/>
              <w:bottom w:val="single" w:sz="6" w:space="0" w:color="auto"/>
              <w:right w:val="single" w:sz="6" w:space="0" w:color="auto"/>
            </w:tcBorders>
          </w:tcPr>
          <w:p w14:paraId="4DA49C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3F0EE6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9A8441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0748288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648840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56FE2C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7009A5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3D0F3D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72" w:type="dxa"/>
            <w:tcBorders>
              <w:top w:val="single" w:sz="6" w:space="0" w:color="auto"/>
              <w:left w:val="single" w:sz="6" w:space="0" w:color="auto"/>
              <w:bottom w:val="single" w:sz="6" w:space="0" w:color="auto"/>
              <w:right w:val="single" w:sz="6" w:space="0" w:color="auto"/>
            </w:tcBorders>
          </w:tcPr>
          <w:p w14:paraId="0CB418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742080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51F891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w:t>
      </w:r>
    </w:p>
    <w:p w14:paraId="45DBAB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Аэросаней в частях (в батальонах и резервных ротах) - 2716</w:t>
      </w:r>
    </w:p>
    <w:p w14:paraId="1753D24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б) Резерв аэросаней - 614</w:t>
      </w:r>
    </w:p>
    <w:p w14:paraId="05B777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Общее количество аэросаней - 3330</w:t>
      </w:r>
    </w:p>
    <w:p w14:paraId="6A7B537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ГБТУ КА генерал-лейтенант танковых войск Вершинин</w:t>
      </w:r>
    </w:p>
    <w:p w14:paraId="183E5A0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11358. Д. 212. Л. 28. Подлинник (11403).</w:t>
      </w:r>
    </w:p>
    <w:p w14:paraId="2B103E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939547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вышло Распоряжение ГКО № 4937 [О выделении НКВД для укомплектования конвойных войск 8 тыс. военнообязанных, годных к нестроевой службе.] (7172, 102).</w:t>
      </w:r>
    </w:p>
    <w:p w14:paraId="176A2F0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9AD23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517E99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22F467" w14:textId="77777777" w:rsidR="00253A8A" w:rsidRPr="00C94B78" w:rsidRDefault="00253A8A" w:rsidP="00B56F90">
      <w:pPr>
        <w:spacing w:after="0" w:line="240" w:lineRule="auto"/>
        <w:jc w:val="both"/>
        <w:rPr>
          <w:rFonts w:ascii="Times New Roman" w:hAnsi="Times New Roman"/>
          <w:color w:val="0070C0"/>
          <w:sz w:val="16"/>
          <w:szCs w:val="16"/>
        </w:rPr>
      </w:pPr>
      <w:r w:rsidRPr="00C94B78">
        <w:rPr>
          <w:rStyle w:val="35"/>
          <w:rFonts w:ascii="Times New Roman" w:cs="Times New Roman"/>
          <w:color w:val="0070C0"/>
          <w:spacing w:val="0"/>
          <w:sz w:val="16"/>
          <w:szCs w:val="16"/>
        </w:rPr>
        <w:t xml:space="preserve">12 января 1944 года взлетел первый серийный «Метеор» </w:t>
      </w:r>
      <w:r w:rsidRPr="00C94B78">
        <w:rPr>
          <w:rStyle w:val="35"/>
          <w:rFonts w:ascii="Times New Roman" w:cs="Times New Roman"/>
          <w:color w:val="0070C0"/>
          <w:spacing w:val="0"/>
          <w:sz w:val="16"/>
          <w:szCs w:val="16"/>
          <w:lang w:val="en-US"/>
        </w:rPr>
        <w:t>F</w:t>
      </w:r>
      <w:r w:rsidRPr="00C94B78">
        <w:rPr>
          <w:rStyle w:val="35"/>
          <w:rFonts w:ascii="Times New Roman" w:cs="Times New Roman"/>
          <w:color w:val="0070C0"/>
          <w:spacing w:val="0"/>
          <w:sz w:val="16"/>
          <w:szCs w:val="16"/>
        </w:rPr>
        <w:t>.</w:t>
      </w:r>
      <w:r w:rsidRPr="00C94B78">
        <w:rPr>
          <w:rStyle w:val="35"/>
          <w:rFonts w:ascii="Times New Roman" w:cs="Times New Roman"/>
          <w:color w:val="0070C0"/>
          <w:spacing w:val="0"/>
          <w:sz w:val="16"/>
          <w:szCs w:val="16"/>
          <w:lang w:val="en-US"/>
        </w:rPr>
        <w:t>l</w:t>
      </w:r>
      <w:r w:rsidRPr="00C94B78">
        <w:rPr>
          <w:rStyle w:val="35"/>
          <w:rFonts w:ascii="Times New Roman" w:cs="Times New Roman"/>
          <w:color w:val="0070C0"/>
          <w:spacing w:val="0"/>
          <w:sz w:val="16"/>
          <w:szCs w:val="16"/>
        </w:rPr>
        <w:t xml:space="preserve"> с двига</w:t>
      </w:r>
      <w:r w:rsidRPr="00C94B78">
        <w:rPr>
          <w:rStyle w:val="35"/>
          <w:rFonts w:ascii="Times New Roman" w:cs="Times New Roman"/>
          <w:color w:val="0070C0"/>
          <w:spacing w:val="0"/>
          <w:sz w:val="16"/>
          <w:szCs w:val="16"/>
        </w:rPr>
        <w:softHyphen/>
        <w:t xml:space="preserve">телями </w:t>
      </w:r>
      <w:r w:rsidRPr="00C94B78">
        <w:rPr>
          <w:rStyle w:val="35"/>
          <w:rFonts w:ascii="Times New Roman" w:cs="Times New Roman"/>
          <w:color w:val="0070C0"/>
          <w:spacing w:val="0"/>
          <w:sz w:val="16"/>
          <w:szCs w:val="16"/>
          <w:lang w:val="en-US"/>
        </w:rPr>
        <w:t>W</w:t>
      </w:r>
      <w:r w:rsidRPr="00C94B78">
        <w:rPr>
          <w:rStyle w:val="35"/>
          <w:rFonts w:ascii="Times New Roman" w:cs="Times New Roman"/>
          <w:color w:val="0070C0"/>
          <w:spacing w:val="0"/>
          <w:sz w:val="16"/>
          <w:szCs w:val="16"/>
        </w:rPr>
        <w:t xml:space="preserve"> 1 В. Он мало отличался от </w:t>
      </w:r>
      <w:r w:rsidRPr="00C94B78">
        <w:rPr>
          <w:rStyle w:val="35"/>
          <w:rFonts w:ascii="Times New Roman" w:cs="Times New Roman"/>
          <w:color w:val="0070C0"/>
          <w:spacing w:val="0"/>
          <w:sz w:val="16"/>
          <w:szCs w:val="16"/>
          <w:lang w:val="en-US"/>
        </w:rPr>
        <w:t>F</w:t>
      </w:r>
      <w:r w:rsidRPr="00C94B78">
        <w:rPr>
          <w:rStyle w:val="35"/>
          <w:rFonts w:ascii="Times New Roman" w:cs="Times New Roman"/>
          <w:color w:val="0070C0"/>
          <w:spacing w:val="0"/>
          <w:sz w:val="16"/>
          <w:szCs w:val="16"/>
        </w:rPr>
        <w:t>.9/40, разве что установ</w:t>
      </w:r>
      <w:r w:rsidRPr="00C94B78">
        <w:rPr>
          <w:rStyle w:val="35"/>
          <w:rFonts w:ascii="Times New Roman" w:cs="Times New Roman"/>
          <w:color w:val="0070C0"/>
          <w:spacing w:val="0"/>
          <w:sz w:val="16"/>
          <w:szCs w:val="16"/>
        </w:rPr>
        <w:softHyphen/>
        <w:t>кой из четырёх пушек калибра 20 мм в носо</w:t>
      </w:r>
      <w:r w:rsidRPr="00C94B78">
        <w:rPr>
          <w:rStyle w:val="35"/>
          <w:rFonts w:ascii="Times New Roman" w:cs="Times New Roman"/>
          <w:color w:val="0070C0"/>
          <w:spacing w:val="0"/>
          <w:sz w:val="16"/>
          <w:szCs w:val="16"/>
        </w:rPr>
        <w:softHyphen/>
        <w:t>вой части фюзеляжа.</w:t>
      </w:r>
    </w:p>
    <w:p w14:paraId="1B06D6A2" w14:textId="77777777" w:rsidR="00253A8A" w:rsidRPr="00C94B78" w:rsidRDefault="00253A8A" w:rsidP="00B56F90">
      <w:pPr>
        <w:spacing w:after="0" w:line="240" w:lineRule="auto"/>
        <w:jc w:val="both"/>
        <w:rPr>
          <w:rFonts w:ascii="Times New Roman" w:hAnsi="Times New Roman"/>
          <w:color w:val="0070C0"/>
          <w:sz w:val="16"/>
          <w:szCs w:val="16"/>
        </w:rPr>
      </w:pPr>
      <w:r w:rsidRPr="00C94B78">
        <w:rPr>
          <w:rStyle w:val="35"/>
          <w:rFonts w:ascii="Times New Roman" w:cs="Times New Roman"/>
          <w:color w:val="0070C0"/>
          <w:spacing w:val="0"/>
          <w:sz w:val="16"/>
          <w:szCs w:val="16"/>
        </w:rPr>
        <w:t>Маневренные характе</w:t>
      </w:r>
      <w:r w:rsidRPr="00C94B78">
        <w:rPr>
          <w:rStyle w:val="35"/>
          <w:rFonts w:ascii="Times New Roman" w:cs="Times New Roman"/>
          <w:color w:val="0070C0"/>
          <w:spacing w:val="0"/>
          <w:sz w:val="16"/>
          <w:szCs w:val="16"/>
        </w:rPr>
        <w:softHyphen/>
        <w:t>ристики самолёта не произвели впечатления на военных, но Министерство авиации все же рассматривало «Метеор» как противовес Ме.262 (25113).</w:t>
      </w:r>
    </w:p>
    <w:p w14:paraId="7064B5B4" w14:textId="77777777" w:rsidR="00253A8A" w:rsidRPr="00C94B78" w:rsidRDefault="00253A8A" w:rsidP="00B56F90">
      <w:pPr>
        <w:spacing w:after="0" w:line="240" w:lineRule="auto"/>
        <w:jc w:val="both"/>
        <w:rPr>
          <w:rFonts w:ascii="Times New Roman" w:hAnsi="Times New Roman"/>
          <w:color w:val="0070C0"/>
          <w:sz w:val="16"/>
          <w:szCs w:val="16"/>
        </w:rPr>
      </w:pPr>
    </w:p>
    <w:p w14:paraId="00E360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состоялась первая атака против Монте-Кассино и общее наступление в Италии (2247,1).</w:t>
      </w:r>
    </w:p>
    <w:p w14:paraId="2DE6D0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D857B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января 1944 в Маракеше (Марокко) началась встреча Уинстона Черчилля и Шарля де Голля (4962).</w:t>
      </w:r>
    </w:p>
    <w:p w14:paraId="28AA282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D3AE2F"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2DCE17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76E9E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января 1944 был подготовлен проект Постановления ГКО О постройке модифицированного самолета Пе-8 с мотором М-82ФН на заводе № 22</w:t>
      </w:r>
    </w:p>
    <w:p w14:paraId="2AF8B00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улучшения летно-тактических данных самолета Пе-8 Государственный Комитет Обороны Постановляет:</w:t>
      </w:r>
    </w:p>
    <w:p w14:paraId="2185E20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Обязать Наркомавиапром тов. ШАХУРИНА, директора завода № 22 тов. ОКУЛОВА и главного конструктрора тов. НЕЗВАЛЬ</w:t>
      </w:r>
    </w:p>
    <w:p w14:paraId="283BCB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спроектнровать и построить один модернизированный самолет Пе-8 с моторами М-82ФН с ТК-3 с улучшенными азродинамическими данными и увеличенной бом</w:t>
      </w:r>
      <w:r w:rsidRPr="00070ADE">
        <w:rPr>
          <w:rFonts w:ascii="Times New Roman" w:hAnsi="Times New Roman"/>
          <w:color w:val="000000" w:themeColor="text1"/>
          <w:sz w:val="16"/>
          <w:szCs w:val="16"/>
        </w:rPr>
        <w:softHyphen/>
        <w:t>бовой нагрувкой. Самолет выпустить, внеся в него ,следующие изменения:</w:t>
      </w:r>
    </w:p>
    <w:p w14:paraId="18F056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установить моторы М-82ФН с редукцией 9/16, оборудованные турбокомпрессорами ТК-3;</w:t>
      </w:r>
    </w:p>
    <w:p w14:paraId="57418A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увеличить бомболюк в фюзеляже для внутренней подвески бомбы калибром 5000 кг или 6 бомб- по 1000 кг;</w:t>
      </w:r>
    </w:p>
    <w:p w14:paraId="087C28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увеличить угол обстрела носовой стрелковой точки до 110°;</w:t>
      </w:r>
    </w:p>
    <w:p w14:paraId="1E39E8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установить дополнительно две бортовые стрелковые точки;</w:t>
      </w:r>
    </w:p>
    <w:p w14:paraId="2E8EEF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уменьшить мидель фюзеляжа, переделать его носовую часть, обеспечив размещение обоих пилотов рядом и более переднее их расположение;</w:t>
      </w:r>
    </w:p>
    <w:p w14:paraId="3C90B48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 закапотировать полностью колеса в убранном положении;</w:t>
      </w:r>
    </w:p>
    <w:p w14:paraId="166A6A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 произвести герметизацию самолета.</w:t>
      </w:r>
    </w:p>
    <w:p w14:paraId="0B8D003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пред'явить на летные испытания к 1-му июля 1944 года со следующими летно-тактическими данными при .полетном весе 28 тонн: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CB5308" w:rsidRPr="00070ADE" w14:paraId="1C64EC78" w14:textId="77777777">
        <w:tc>
          <w:tcPr>
            <w:tcW w:w="4788" w:type="dxa"/>
            <w:tcBorders>
              <w:top w:val="single" w:sz="12" w:space="0" w:color="auto"/>
            </w:tcBorders>
            <w:shd w:val="clear" w:color="auto" w:fill="FFFFFF"/>
          </w:tcPr>
          <w:p w14:paraId="3B4E22F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у земли</w:t>
            </w:r>
          </w:p>
        </w:tc>
        <w:tc>
          <w:tcPr>
            <w:tcW w:w="4788" w:type="dxa"/>
            <w:tcBorders>
              <w:top w:val="single" w:sz="12" w:space="0" w:color="auto"/>
            </w:tcBorders>
            <w:shd w:val="clear" w:color="auto" w:fill="FFFFFF"/>
          </w:tcPr>
          <w:p w14:paraId="3FA0F1B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390 км/час</w:t>
            </w:r>
          </w:p>
        </w:tc>
      </w:tr>
      <w:tr w:rsidR="00CB5308" w:rsidRPr="00070ADE" w14:paraId="44672B7A" w14:textId="77777777">
        <w:tc>
          <w:tcPr>
            <w:tcW w:w="4788" w:type="dxa"/>
            <w:shd w:val="clear" w:color="auto" w:fill="FFFFFF"/>
          </w:tcPr>
          <w:p w14:paraId="66D070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высоте 9000 мт</w:t>
            </w:r>
          </w:p>
        </w:tc>
        <w:tc>
          <w:tcPr>
            <w:tcW w:w="4788" w:type="dxa"/>
            <w:shd w:val="clear" w:color="auto" w:fill="FFFFFF"/>
          </w:tcPr>
          <w:p w14:paraId="6588991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r>
      <w:tr w:rsidR="00CB5308" w:rsidRPr="00070ADE" w14:paraId="0254AF60" w14:textId="77777777">
        <w:tc>
          <w:tcPr>
            <w:tcW w:w="4788" w:type="dxa"/>
            <w:shd w:val="clear" w:color="auto" w:fill="FFFFFF"/>
          </w:tcPr>
          <w:p w14:paraId="44FBD2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под'ема на высоту 6000 мт</w:t>
            </w:r>
          </w:p>
        </w:tc>
        <w:tc>
          <w:tcPr>
            <w:tcW w:w="4788" w:type="dxa"/>
            <w:shd w:val="clear" w:color="auto" w:fill="FFFFFF"/>
          </w:tcPr>
          <w:p w14:paraId="0BD1952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мин.</w:t>
            </w:r>
          </w:p>
        </w:tc>
      </w:tr>
      <w:tr w:rsidR="00CB5308" w:rsidRPr="00070ADE" w14:paraId="450565F8" w14:textId="77777777">
        <w:tc>
          <w:tcPr>
            <w:tcW w:w="4788" w:type="dxa"/>
            <w:shd w:val="clear" w:color="auto" w:fill="FFFFFF"/>
          </w:tcPr>
          <w:p w14:paraId="05D8A90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w:t>
            </w:r>
          </w:p>
        </w:tc>
        <w:tc>
          <w:tcPr>
            <w:tcW w:w="4788" w:type="dxa"/>
            <w:shd w:val="clear" w:color="auto" w:fill="FFFFFF"/>
          </w:tcPr>
          <w:p w14:paraId="63DA33E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11000 мт</w:t>
            </w:r>
          </w:p>
        </w:tc>
      </w:tr>
      <w:tr w:rsidR="00CB5308" w:rsidRPr="00070ADE" w14:paraId="31A2065D" w14:textId="77777777">
        <w:tc>
          <w:tcPr>
            <w:tcW w:w="4788" w:type="dxa"/>
            <w:shd w:val="clear" w:color="auto" w:fill="FFFFFF"/>
          </w:tcPr>
          <w:p w14:paraId="7B25B5D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Техническая дальность по боевому профилю с 2000 кг бомб при весе 35000 кг</w:t>
            </w:r>
          </w:p>
        </w:tc>
        <w:tc>
          <w:tcPr>
            <w:tcW w:w="4788" w:type="dxa"/>
            <w:shd w:val="clear" w:color="auto" w:fill="FFFFFF"/>
          </w:tcPr>
          <w:p w14:paraId="70BD84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5000 км</w:t>
            </w:r>
          </w:p>
        </w:tc>
      </w:tr>
      <w:tr w:rsidR="00CB5308" w:rsidRPr="00070ADE" w14:paraId="13402771" w14:textId="77777777">
        <w:tc>
          <w:tcPr>
            <w:tcW w:w="4788" w:type="dxa"/>
            <w:shd w:val="clear" w:color="auto" w:fill="FFFFFF"/>
          </w:tcPr>
          <w:p w14:paraId="2FDAFE8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с дополнительными, баками при весе 37500 кг</w:t>
            </w:r>
          </w:p>
        </w:tc>
        <w:tc>
          <w:tcPr>
            <w:tcW w:w="4788" w:type="dxa"/>
            <w:shd w:val="clear" w:color="auto" w:fill="FFFFFF"/>
          </w:tcPr>
          <w:p w14:paraId="7F62FAE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6000</w:t>
            </w:r>
          </w:p>
        </w:tc>
      </w:tr>
      <w:tr w:rsidR="00CB5308" w:rsidRPr="00070ADE" w14:paraId="5AB32969" w14:textId="77777777">
        <w:tc>
          <w:tcPr>
            <w:tcW w:w="4788" w:type="dxa"/>
            <w:shd w:val="clear" w:color="auto" w:fill="FFFFFF"/>
          </w:tcPr>
          <w:p w14:paraId="1F35E47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Техническая дальность по боевому профилю с 6000 кг бомб</w:t>
            </w:r>
          </w:p>
        </w:tc>
        <w:tc>
          <w:tcPr>
            <w:tcW w:w="4788" w:type="dxa"/>
            <w:shd w:val="clear" w:color="auto" w:fill="FFFFFF"/>
          </w:tcPr>
          <w:p w14:paraId="718A1E2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4200 км</w:t>
            </w:r>
          </w:p>
        </w:tc>
      </w:tr>
      <w:tr w:rsidR="00CB5308" w:rsidRPr="00070ADE" w14:paraId="365EC23F" w14:textId="77777777">
        <w:tc>
          <w:tcPr>
            <w:tcW w:w="4788" w:type="dxa"/>
            <w:shd w:val="clear" w:color="auto" w:fill="FFFFFF"/>
          </w:tcPr>
          <w:p w14:paraId="2648955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Техническая дальность по боевому профилю с 8000 кг бомб</w:t>
            </w:r>
          </w:p>
        </w:tc>
        <w:tc>
          <w:tcPr>
            <w:tcW w:w="4788" w:type="dxa"/>
            <w:shd w:val="clear" w:color="auto" w:fill="FFFFFF"/>
          </w:tcPr>
          <w:p w14:paraId="4996B9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3100</w:t>
            </w:r>
          </w:p>
        </w:tc>
      </w:tr>
      <w:tr w:rsidR="00CB5308" w:rsidRPr="00070ADE" w14:paraId="28AADF72" w14:textId="77777777">
        <w:tc>
          <w:tcPr>
            <w:tcW w:w="4788" w:type="dxa"/>
            <w:tcBorders>
              <w:bottom w:val="single" w:sz="12" w:space="0" w:color="auto"/>
            </w:tcBorders>
            <w:shd w:val="clear" w:color="auto" w:fill="FFFFFF"/>
          </w:tcPr>
          <w:p w14:paraId="6C4EC9E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Разбег при максимальной полетном весе 37500 кг</w:t>
            </w:r>
          </w:p>
        </w:tc>
        <w:tc>
          <w:tcPr>
            <w:tcW w:w="4788" w:type="dxa"/>
            <w:tcBorders>
              <w:bottom w:val="single" w:sz="12" w:space="0" w:color="auto"/>
            </w:tcBorders>
            <w:shd w:val="clear" w:color="auto" w:fill="FFFFFF"/>
          </w:tcPr>
          <w:p w14:paraId="25A43C5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 мт</w:t>
            </w:r>
          </w:p>
        </w:tc>
      </w:tr>
    </w:tbl>
    <w:p w14:paraId="3E4AE11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СТРЕЛКОВОЕ ВООРУЖЕНИЕ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CB5308" w:rsidRPr="00070ADE" w14:paraId="5F36006F" w14:textId="77777777">
        <w:tc>
          <w:tcPr>
            <w:tcW w:w="4788" w:type="dxa"/>
            <w:tcBorders>
              <w:top w:val="single" w:sz="12" w:space="0" w:color="auto"/>
            </w:tcBorders>
            <w:shd w:val="clear" w:color="auto" w:fill="FFFFFF"/>
          </w:tcPr>
          <w:p w14:paraId="59AA36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Носовая установка</w:t>
            </w:r>
          </w:p>
        </w:tc>
        <w:tc>
          <w:tcPr>
            <w:tcW w:w="4788" w:type="dxa"/>
            <w:tcBorders>
              <w:top w:val="single" w:sz="12" w:space="0" w:color="auto"/>
            </w:tcBorders>
            <w:shd w:val="clear" w:color="auto" w:fill="FFFFFF"/>
          </w:tcPr>
          <w:p w14:paraId="720905F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 пул.кал.12,7 им с ко-нусои обстрела до 110° с боезапасом 200 патронов.</w:t>
            </w:r>
          </w:p>
        </w:tc>
      </w:tr>
      <w:tr w:rsidR="00CB5308" w:rsidRPr="00070ADE" w14:paraId="2275071E" w14:textId="77777777">
        <w:tc>
          <w:tcPr>
            <w:tcW w:w="4788" w:type="dxa"/>
            <w:shd w:val="clear" w:color="auto" w:fill="FFFFFF"/>
          </w:tcPr>
          <w:p w14:paraId="35BB955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Кормовая установка</w:t>
            </w:r>
          </w:p>
        </w:tc>
        <w:tc>
          <w:tcPr>
            <w:tcW w:w="4788" w:type="dxa"/>
            <w:shd w:val="clear" w:color="auto" w:fill="FFFFFF"/>
          </w:tcPr>
          <w:p w14:paraId="785CFD7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 пушка кал.20 мм для об</w:t>
            </w:r>
            <w:r w:rsidRPr="00070ADE">
              <w:rPr>
                <w:rFonts w:ascii="Times New Roman" w:hAnsi="Times New Roman"/>
                <w:color w:val="000000" w:themeColor="text1"/>
                <w:sz w:val="16"/>
                <w:szCs w:val="16"/>
              </w:rPr>
              <w:softHyphen/>
              <w:t>стрела .задней полусферы с ооезапасом 400 патронов.</w:t>
            </w:r>
          </w:p>
        </w:tc>
      </w:tr>
      <w:tr w:rsidR="00CB5308" w:rsidRPr="00070ADE" w14:paraId="4E26FA57" w14:textId="77777777">
        <w:tc>
          <w:tcPr>
            <w:tcW w:w="4788" w:type="dxa"/>
            <w:shd w:val="clear" w:color="auto" w:fill="FFFFFF"/>
          </w:tcPr>
          <w:p w14:paraId="7E9EBC9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Верхняя установка</w:t>
            </w:r>
          </w:p>
        </w:tc>
        <w:tc>
          <w:tcPr>
            <w:tcW w:w="4788" w:type="dxa"/>
            <w:shd w:val="clear" w:color="auto" w:fill="FFFFFF"/>
          </w:tcPr>
          <w:p w14:paraId="2AB71ED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 пушка кал.20 мм для об</w:t>
            </w:r>
            <w:r w:rsidRPr="00070ADE">
              <w:rPr>
                <w:rFonts w:ascii="Times New Roman" w:hAnsi="Times New Roman"/>
                <w:color w:val="000000" w:themeColor="text1"/>
                <w:sz w:val="16"/>
                <w:szCs w:val="16"/>
              </w:rPr>
              <w:softHyphen/>
              <w:t>стрела верхней полусферы с боезапасом 400 снарядов.</w:t>
            </w:r>
          </w:p>
        </w:tc>
      </w:tr>
      <w:tr w:rsidR="00CB5308" w:rsidRPr="00070ADE" w14:paraId="6CA529D0" w14:textId="77777777">
        <w:tc>
          <w:tcPr>
            <w:tcW w:w="4788" w:type="dxa"/>
            <w:shd w:val="clear" w:color="auto" w:fill="FFFFFF"/>
          </w:tcPr>
          <w:p w14:paraId="485ECC7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Бортовая установка</w:t>
            </w:r>
          </w:p>
        </w:tc>
        <w:tc>
          <w:tcPr>
            <w:tcW w:w="4788" w:type="dxa"/>
            <w:shd w:val="clear" w:color="auto" w:fill="FFFFFF"/>
          </w:tcPr>
          <w:p w14:paraId="77D6206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пул.кал.12,7 мм для об</w:t>
            </w:r>
            <w:r w:rsidRPr="00070ADE">
              <w:rPr>
                <w:rFonts w:ascii="Times New Roman" w:hAnsi="Times New Roman"/>
                <w:color w:val="000000" w:themeColor="text1"/>
                <w:sz w:val="16"/>
                <w:szCs w:val="16"/>
              </w:rPr>
              <w:softHyphen/>
              <w:t>стрела вниз-назад с бое</w:t>
            </w:r>
            <w:r w:rsidRPr="00070ADE">
              <w:rPr>
                <w:rFonts w:ascii="Times New Roman" w:hAnsi="Times New Roman"/>
                <w:color w:val="000000" w:themeColor="text1"/>
                <w:sz w:val="16"/>
                <w:szCs w:val="16"/>
              </w:rPr>
              <w:softHyphen/>
              <w:t>запасом 800 патронов.</w:t>
            </w:r>
          </w:p>
        </w:tc>
      </w:tr>
      <w:tr w:rsidR="00CB5308" w:rsidRPr="00070ADE" w14:paraId="026AC3B2" w14:textId="77777777">
        <w:tc>
          <w:tcPr>
            <w:tcW w:w="4788" w:type="dxa"/>
            <w:tcBorders>
              <w:bottom w:val="single" w:sz="12" w:space="0" w:color="auto"/>
            </w:tcBorders>
            <w:shd w:val="clear" w:color="auto" w:fill="FFFFFF"/>
          </w:tcPr>
          <w:p w14:paraId="1742051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в обтекателях шасси</w:t>
            </w:r>
          </w:p>
        </w:tc>
        <w:tc>
          <w:tcPr>
            <w:tcW w:w="4788" w:type="dxa"/>
            <w:tcBorders>
              <w:bottom w:val="single" w:sz="12" w:space="0" w:color="auto"/>
            </w:tcBorders>
            <w:shd w:val="clear" w:color="auto" w:fill="FFFFFF"/>
          </w:tcPr>
          <w:p w14:paraId="5AC9952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- 2 пул.кал.12,7 мм для об</w:t>
            </w:r>
            <w:r w:rsidRPr="00070ADE">
              <w:rPr>
                <w:rFonts w:ascii="Times New Roman" w:hAnsi="Times New Roman"/>
                <w:color w:val="000000" w:themeColor="text1"/>
                <w:sz w:val="16"/>
                <w:szCs w:val="16"/>
              </w:rPr>
              <w:softHyphen/>
              <w:t>стрела вперед-вниз и на</w:t>
            </w:r>
            <w:r w:rsidRPr="00070ADE">
              <w:rPr>
                <w:rFonts w:ascii="Times New Roman" w:hAnsi="Times New Roman"/>
                <w:color w:val="000000" w:themeColor="text1"/>
                <w:sz w:val="16"/>
                <w:szCs w:val="16"/>
              </w:rPr>
              <w:softHyphen/>
              <w:t>зад-вниз с боезапасом 400 патронов.</w:t>
            </w:r>
          </w:p>
        </w:tc>
      </w:tr>
    </w:tbl>
    <w:p w14:paraId="54E239B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Калибр подвешиваемых бомб от 100 кг до 5000 кг.</w:t>
      </w:r>
    </w:p>
    <w:p w14:paraId="05CBED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Для отработки винтомоторной группы самолета Пе-8 с моторами М-82ФН выпустить на летные испытания к 15-му Февраля 1944 года с этими моторами серийный самолет.</w:t>
      </w:r>
    </w:p>
    <w:p w14:paraId="7B5D936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НаркомфинуСССР тов. ЗВЕРЕВУ выделить НКАП из резервного фонда СНК СССР:</w:t>
      </w:r>
    </w:p>
    <w:p w14:paraId="4FED8E7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пять милионов рублей на проектирование и пос</w:t>
      </w:r>
      <w:r w:rsidRPr="00070ADE">
        <w:rPr>
          <w:rFonts w:ascii="Times New Roman" w:hAnsi="Times New Roman"/>
          <w:color w:val="000000" w:themeColor="text1"/>
          <w:sz w:val="16"/>
          <w:szCs w:val="16"/>
        </w:rPr>
        <w:softHyphen/>
        <w:t>тройку модернизированного самолета Пе-8.</w:t>
      </w:r>
    </w:p>
    <w:p w14:paraId="6780662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для поощрения работников ОКБ и завода за выпол</w:t>
      </w:r>
      <w:r w:rsidRPr="00070ADE">
        <w:rPr>
          <w:rFonts w:ascii="Times New Roman" w:hAnsi="Times New Roman"/>
          <w:color w:val="000000" w:themeColor="text1"/>
          <w:sz w:val="16"/>
          <w:szCs w:val="16"/>
        </w:rPr>
        <w:softHyphen/>
        <w:t>нение задания в установленный срок 500 тыс.рублей (1825).</w:t>
      </w:r>
    </w:p>
    <w:p w14:paraId="43DB62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55E02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января 1944 года Як-3 №1 с двигателем ВК-107А и снятым вооружением (взлетный вес 2800 кг) был поднят в воздух летчиком-испытателем генерал-майором инженерно-авиационной службы П.Я. Федрови (ведущий инженер - A.M. Дружинин).</w:t>
      </w:r>
    </w:p>
    <w:p w14:paraId="4386533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заводских испытаний трижды меняли двигатели, выполнив 38 полетов обшей продолжительностью 14 часов 50 минут. Причиной тому было недостаточное охлаждение мотора. Фактически основные усилия испытателей были направлены на доводку силовой установки, и лишь после 25 полетов удалось приступить к снятию летных характеристик. К этому времени взлетный вес машины возросло 2984 кг, но продолжал оставаться рекордно низким по сравнению с самолетами противника, а нагрузка на взлетную мощность двигателя у него не превышала 1,81 кг/л.с. В то же время у трехточечного Bfl09G-2 она составляла 1,95 кг/л.с., у Bf 109G-6 - 1,97 кг/л.с., а у FW190A-4 и его варианта "А-8" - 2,52 кг/л.с.</w:t>
      </w:r>
    </w:p>
    <w:p w14:paraId="13339DF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в сочетании с хорошей отделкой планера, позволило получить у земли скорость 611 км/ч, а на 2-й границе высотности (5750 метров) - 720 км/ч. Самолет поднимался на высоту 5000 метров за 3,9 минуты и за боевой разворот (с высоты 1000 метров) набирал 1500 метров, превзойдя Як-3 с мотором ВК-105ПФ2. Практический потолок машины составил 11 800 метров. По времени виража (17 - 18 секунд на высоте 1000 метров) самолет был сопоставим с Як-3 с двигателем ВК-105ПФ2. Правда, взлетно-посадочные данные ухудшились. Так, длина разбега возросла с 275 до 345 метров, а пробега - с 485 до 590 метров.</w:t>
      </w:r>
    </w:p>
    <w:p w14:paraId="3E406BB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технике пилотирования истребитель, как и его предшественник, был прост и доступен пилотам средней квалификации. Пилотажно-навигационное и специальное оборудование машины позволяло эксплуатировать его лишь в простых метеоусловиях при видимости земных ориентиров. Но был и положительный момент. Дальность устойчивой радиосвязи возросла как минимум до 100 км и отвечала требованиям заказчика.</w:t>
      </w:r>
    </w:p>
    <w:p w14:paraId="48713A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заводских испытаний дали о себе знать и дефекты вооружения. После 329 выстрелов сломался передний шкворень крепления правой пушки. Помимо этого, отмечался недостаточный противокапо- тажный угол (20,5 - 23,5 градуса) при требуемом 26,5 градуса.</w:t>
      </w:r>
    </w:p>
    <w:p w14:paraId="3AED67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все эти достижения "тонули" на фоне тяжелого температурного режима и низкого ресурса двигателя. Свою негативную роль сыграла и плохая герметизация его трущихся частей. Достаточно сказать, что на высотах более 8200 метров падало давление бензина и масла ниже минимального предела 3,5 кг/см2 (12047).</w:t>
      </w:r>
    </w:p>
    <w:p w14:paraId="409D84C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5FB40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13 января 1944 второй экз. планера А-7М О.К.А., переделанный под 12-14 бойцов вместо 11 А.С.Москалевым был передан в ОИП ВДВ на войсковые испытания. Сохранилась тенденция сваливания в штопор. Выпустили небольшую серию и по предложению О.К.А. назвали АМ-14 (Антонов-Москалев) на 14 человек. В то же </w:t>
      </w:r>
      <w:r w:rsidRPr="00070ADE">
        <w:rPr>
          <w:rFonts w:ascii="Times New Roman" w:hAnsi="Times New Roman"/>
          <w:color w:val="000000" w:themeColor="text1"/>
          <w:sz w:val="16"/>
          <w:szCs w:val="16"/>
        </w:rPr>
        <w:lastRenderedPageBreak/>
        <w:t>время возобновили производство однотипного Г-11 (94,75).</w:t>
      </w:r>
    </w:p>
    <w:p w14:paraId="42EA0E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4AFF0D" w14:textId="77777777" w:rsidR="00DF6978" w:rsidRPr="00070ADE" w:rsidRDefault="00DF69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января 1944 г. А-7М передали на войсковые испытания. По устойчивос</w:t>
      </w:r>
      <w:r w:rsidRPr="00070ADE">
        <w:rPr>
          <w:rFonts w:ascii="Times New Roman" w:hAnsi="Times New Roman"/>
          <w:color w:val="000000" w:themeColor="text1"/>
          <w:sz w:val="16"/>
          <w:szCs w:val="16"/>
        </w:rPr>
        <w:softHyphen/>
        <w:t>ти и управляемости второй экземпляр оказался аналогичен серийному А-7, в том числе он демонстрировал тенден</w:t>
      </w:r>
      <w:r w:rsidRPr="00070ADE">
        <w:rPr>
          <w:rFonts w:ascii="Times New Roman" w:hAnsi="Times New Roman"/>
          <w:color w:val="000000" w:themeColor="text1"/>
          <w:sz w:val="16"/>
          <w:szCs w:val="16"/>
        </w:rPr>
        <w:softHyphen/>
        <w:t>цию к сваливанию в штопор на малых скоростях. Из недостатков отметили также тесноту грузовой кабины, в кото</w:t>
      </w:r>
      <w:r w:rsidRPr="00070ADE">
        <w:rPr>
          <w:rFonts w:ascii="Times New Roman" w:hAnsi="Times New Roman"/>
          <w:color w:val="000000" w:themeColor="text1"/>
          <w:sz w:val="16"/>
          <w:szCs w:val="16"/>
        </w:rPr>
        <w:softHyphen/>
        <w:t>рой десантники размещались слишком плотно.</w:t>
      </w:r>
    </w:p>
    <w:p w14:paraId="6027599B" w14:textId="77777777" w:rsidR="00DF6978" w:rsidRPr="00070ADE" w:rsidRDefault="00DF69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 не менее, А-7М запустили в се</w:t>
      </w:r>
      <w:r w:rsidRPr="00070ADE">
        <w:rPr>
          <w:rFonts w:ascii="Times New Roman" w:hAnsi="Times New Roman"/>
          <w:color w:val="000000" w:themeColor="text1"/>
          <w:sz w:val="16"/>
          <w:szCs w:val="16"/>
        </w:rPr>
        <w:softHyphen/>
        <w:t>рийное производство. Он выпускался в 1944 г. под обозначением АМ-14 тем же заводом в Заводоуковске (12266).</w:t>
      </w:r>
    </w:p>
    <w:p w14:paraId="60A57EE0" w14:textId="77777777" w:rsidR="00DF6978" w:rsidRPr="00070ADE" w:rsidRDefault="00DF6978" w:rsidP="00B56F90">
      <w:pPr>
        <w:spacing w:after="0" w:line="240" w:lineRule="auto"/>
        <w:jc w:val="both"/>
        <w:rPr>
          <w:rFonts w:ascii="Times New Roman" w:hAnsi="Times New Roman"/>
          <w:color w:val="000000" w:themeColor="text1"/>
          <w:sz w:val="16"/>
          <w:szCs w:val="16"/>
        </w:rPr>
      </w:pPr>
    </w:p>
    <w:p w14:paraId="480142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января 1944 года вышел приказ НКАП:</w:t>
      </w:r>
    </w:p>
    <w:p w14:paraId="73731E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 директором завода № 464 Агуреева А.В., освободить Шелухина М.И. (8925)</w:t>
      </w:r>
    </w:p>
    <w:p w14:paraId="2252D42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 директором завода № 65 Каваля Б.А.</w:t>
      </w:r>
    </w:p>
    <w:p w14:paraId="5EA169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 директором завода № 451 Исакова И.А., освободить Герасимова П.И.</w:t>
      </w:r>
    </w:p>
    <w:p w14:paraId="7167BF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 директором завода № 339 Форштера А.А., освободить Домбровского И.И. и утвердить его директором завода № 282 (8925)</w:t>
      </w:r>
    </w:p>
    <w:p w14:paraId="3435AD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4F0BB5" w14:textId="77777777" w:rsidR="009B6B5E" w:rsidRPr="00070ADE" w:rsidRDefault="009B6B5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С 13 по 17 января и с 23 января по 29 марта 1944 почти параллельно с пушкой Ш-45 и опытными 45-мм патронами в НИИ АВ ВВС проходила испытания мотор-пушка 111П (МП-45), установленная на се</w:t>
      </w:r>
      <w:r w:rsidRPr="00070ADE">
        <w:rPr>
          <w:color w:val="000000" w:themeColor="text1"/>
          <w:sz w:val="16"/>
          <w:szCs w:val="16"/>
        </w:rPr>
        <w:softHyphen/>
        <w:t>рийном самолете Як-9т зав. № 01-21 производства завода № 153. Ответственным исполнителем был ведущий инженер 3-го отдела института инже</w:t>
      </w:r>
      <w:r w:rsidRPr="00070ADE">
        <w:rPr>
          <w:color w:val="000000" w:themeColor="text1"/>
          <w:sz w:val="16"/>
          <w:szCs w:val="16"/>
        </w:rPr>
        <w:softHyphen/>
        <w:t>нер-майор А. Т. Степанец, ведущий летчик-испыта</w:t>
      </w:r>
      <w:r w:rsidRPr="00070ADE">
        <w:rPr>
          <w:color w:val="000000" w:themeColor="text1"/>
          <w:sz w:val="16"/>
          <w:szCs w:val="16"/>
        </w:rPr>
        <w:softHyphen/>
        <w:t>тель — майор В. Е. Голофастов. Всего выполнено 19 полетов с налетом 12 ч 16 мин. Отчет по испытани</w:t>
      </w:r>
      <w:r w:rsidRPr="00070ADE">
        <w:rPr>
          <w:color w:val="000000" w:themeColor="text1"/>
          <w:sz w:val="16"/>
          <w:szCs w:val="16"/>
        </w:rPr>
        <w:softHyphen/>
        <w:t>ям утвержден 9 апреля 1944 г. (17500).</w:t>
      </w:r>
    </w:p>
    <w:p w14:paraId="1580D54E" w14:textId="77777777" w:rsidR="009B6B5E" w:rsidRPr="00070ADE" w:rsidRDefault="009B6B5E" w:rsidP="00B56F90">
      <w:pPr>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hAnsi="Times New Roman"/>
          <w:color w:val="000000" w:themeColor="text1"/>
          <w:sz w:val="16"/>
          <w:szCs w:val="16"/>
        </w:rPr>
        <w:t>Пушка МП-45 располагалась в развале блока цилиндров мотора и крепилась в 3 точках на мото</w:t>
      </w:r>
      <w:r w:rsidRPr="00070ADE">
        <w:rPr>
          <w:rFonts w:ascii="Times New Roman" w:hAnsi="Times New Roman"/>
          <w:color w:val="000000" w:themeColor="text1"/>
          <w:sz w:val="16"/>
          <w:szCs w:val="16"/>
        </w:rPr>
        <w:softHyphen/>
        <w:t>ре — 2 передних и 1 заднего. Ствол проходил через полый вал редуктора мотора и втулку винта. Ради</w:t>
      </w:r>
      <w:r w:rsidRPr="00070ADE">
        <w:rPr>
          <w:rFonts w:ascii="Times New Roman" w:hAnsi="Times New Roman"/>
          <w:color w:val="000000" w:themeColor="text1"/>
          <w:sz w:val="16"/>
          <w:szCs w:val="16"/>
        </w:rPr>
        <w:softHyphen/>
        <w:t>альный зазор между стволом пушки и внутренней стенкой вала редуктора мотора составлял всего 0,75 мм. По этой причине на втулке винта имелось специальное приспособление с шарикоподшипни</w:t>
      </w:r>
      <w:r w:rsidRPr="00070ADE">
        <w:rPr>
          <w:rFonts w:ascii="Times New Roman" w:hAnsi="Times New Roman"/>
          <w:color w:val="000000" w:themeColor="text1"/>
          <w:sz w:val="16"/>
          <w:szCs w:val="16"/>
        </w:rPr>
        <w:softHyphen/>
        <w:t>ком, которое центрировало ствол пушки по оси ва</w:t>
      </w:r>
      <w:r w:rsidRPr="00070ADE">
        <w:rPr>
          <w:rFonts w:ascii="Times New Roman" w:hAnsi="Times New Roman"/>
          <w:color w:val="000000" w:themeColor="text1"/>
          <w:sz w:val="16"/>
          <w:szCs w:val="16"/>
        </w:rPr>
        <w:softHyphen/>
        <w:t>ла редуктора мотора. Ствол пушки был сделан бо</w:t>
      </w:r>
      <w:r w:rsidRPr="00070ADE">
        <w:rPr>
          <w:rFonts w:ascii="Times New Roman" w:hAnsi="Times New Roman"/>
          <w:color w:val="000000" w:themeColor="text1"/>
          <w:sz w:val="16"/>
          <w:szCs w:val="16"/>
        </w:rPr>
        <w:softHyphen/>
        <w:t>лее тонким. На расстоянии 650 мм от дульного сре</w:t>
      </w:r>
      <w:r w:rsidRPr="00070ADE">
        <w:rPr>
          <w:rFonts w:ascii="Times New Roman" w:hAnsi="Times New Roman"/>
          <w:color w:val="000000" w:themeColor="text1"/>
          <w:sz w:val="16"/>
          <w:szCs w:val="16"/>
        </w:rPr>
        <w:softHyphen/>
        <w:t>за толщина стенки ствола пушки равнялась 3,75 мм против 7,1 мм у штатного ствола пушки 11П. Пушка оснащалась дульным тормозом, поглощавшим зна</w:t>
      </w:r>
      <w:r w:rsidRPr="00070ADE">
        <w:rPr>
          <w:rFonts w:ascii="Times New Roman" w:hAnsi="Times New Roman"/>
          <w:color w:val="000000" w:themeColor="text1"/>
          <w:sz w:val="16"/>
          <w:szCs w:val="16"/>
        </w:rPr>
        <w:softHyphen/>
        <w:t>чительную часть энергии отдачи (до 85%).</w:t>
      </w:r>
    </w:p>
    <w:p w14:paraId="0A83CDCF" w14:textId="77777777" w:rsidR="009B6B5E" w:rsidRPr="00070ADE" w:rsidRDefault="009B6B5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Средний темп стрельбы, зафиксированный в хо</w:t>
      </w:r>
      <w:r w:rsidRPr="00070ADE">
        <w:rPr>
          <w:color w:val="000000" w:themeColor="text1"/>
          <w:sz w:val="16"/>
          <w:szCs w:val="16"/>
        </w:rPr>
        <w:softHyphen/>
        <w:t>де испытаний, равнялся 270 выстр./мин. Питание пушки МП-45 выполнялось от рассыпной ленты из металлических звеньев. Боекомплект к пушке включал 29 снарядов. Вес пушки с агрегатами — 163,8 кг, общий вес пушки с уста</w:t>
      </w:r>
      <w:r w:rsidRPr="00070ADE">
        <w:rPr>
          <w:color w:val="000000" w:themeColor="text1"/>
          <w:sz w:val="16"/>
          <w:szCs w:val="16"/>
        </w:rPr>
        <w:softHyphen/>
        <w:t>новкой — 191,1 кг, вес боезапаса — 69 кг. Гильзы и звенья собирались в специальные сборники под пуш</w:t>
      </w:r>
      <w:r w:rsidRPr="00070ADE">
        <w:rPr>
          <w:color w:val="000000" w:themeColor="text1"/>
          <w:sz w:val="16"/>
          <w:szCs w:val="16"/>
        </w:rPr>
        <w:softHyphen/>
        <w:t>кой. На приборной доске в кабине летчика имелся счетчик оставших</w:t>
      </w:r>
      <w:r w:rsidRPr="00070ADE">
        <w:rPr>
          <w:color w:val="000000" w:themeColor="text1"/>
          <w:sz w:val="16"/>
          <w:szCs w:val="16"/>
        </w:rPr>
        <w:softHyphen/>
        <w:t>ся снарядов пушки. Управление ог</w:t>
      </w:r>
      <w:r w:rsidRPr="00070ADE">
        <w:rPr>
          <w:color w:val="000000" w:themeColor="text1"/>
          <w:sz w:val="16"/>
          <w:szCs w:val="16"/>
        </w:rPr>
        <w:softHyphen/>
        <w:t>нем — электропневматическое при помощи кнопки, расположенной на ручке управления. Прицел кол- лиматорный ПБП-1а. Нормальный полетный вес Як-9т с МП-45 состав</w:t>
      </w:r>
      <w:r w:rsidRPr="00070ADE">
        <w:rPr>
          <w:color w:val="000000" w:themeColor="text1"/>
          <w:sz w:val="16"/>
          <w:szCs w:val="16"/>
        </w:rPr>
        <w:softHyphen/>
        <w:t>лял 3028 кг (вес топлива 322 кг). Вес секундного залпа достигал 5,531 кг.</w:t>
      </w:r>
    </w:p>
    <w:p w14:paraId="7D7B21B6" w14:textId="77777777" w:rsidR="009B6B5E" w:rsidRPr="00070ADE" w:rsidRDefault="009B6B5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Летные данные, маневренность и взлетно-посадочные характеристики Як-9т с пуш</w:t>
      </w:r>
      <w:r w:rsidRPr="00070ADE">
        <w:rPr>
          <w:color w:val="000000" w:themeColor="text1"/>
          <w:sz w:val="16"/>
          <w:szCs w:val="16"/>
        </w:rPr>
        <w:softHyphen/>
        <w:t>кой МП-45 несколько ухудшились, но по технике пилотирования самолет ничем не отличался от обычных Як-9т.</w:t>
      </w:r>
    </w:p>
    <w:p w14:paraId="77C94710" w14:textId="77777777" w:rsidR="009B6B5E" w:rsidRPr="00070ADE" w:rsidRDefault="009B6B5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Максимальная скорость у земли составила 516 км/ч, на высоте 3900 м — 573 км/ч, на 5000 м — 566 км/ч. Время подъема на 5000 м — 5,7 мин. Вре</w:t>
      </w:r>
      <w:r w:rsidRPr="00070ADE">
        <w:rPr>
          <w:color w:val="000000" w:themeColor="text1"/>
          <w:sz w:val="16"/>
          <w:szCs w:val="16"/>
        </w:rPr>
        <w:softHyphen/>
        <w:t>мя виража на 1000 м — 21,4 с. Набор высоты за бо</w:t>
      </w:r>
      <w:r w:rsidRPr="00070ADE">
        <w:rPr>
          <w:color w:val="000000" w:themeColor="text1"/>
          <w:sz w:val="16"/>
          <w:szCs w:val="16"/>
        </w:rPr>
        <w:softHyphen/>
        <w:t>евой разворот с высоты 1000—1050 м. Дальность полета — 598 км.</w:t>
      </w:r>
    </w:p>
    <w:p w14:paraId="7FB82C11" w14:textId="77777777" w:rsidR="009B6B5E" w:rsidRPr="00070ADE" w:rsidRDefault="009B6B5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Стрельба из пушки МП-45 при скорости полета менее 350 км/ч «сопровождается сильной отдачей (сила отдачи 6975 кг. —</w:t>
      </w:r>
      <w:r w:rsidRPr="00070ADE">
        <w:rPr>
          <w:rStyle w:val="BodytextItalic"/>
          <w:i w:val="0"/>
          <w:color w:val="000000" w:themeColor="text1"/>
          <w:sz w:val="16"/>
          <w:szCs w:val="16"/>
        </w:rPr>
        <w:t xml:space="preserve"> Авт.),</w:t>
      </w:r>
      <w:r w:rsidRPr="00070ADE">
        <w:rPr>
          <w:color w:val="000000" w:themeColor="text1"/>
          <w:sz w:val="16"/>
          <w:szCs w:val="16"/>
        </w:rPr>
        <w:t xml:space="preserve"> самолет раскачива</w:t>
      </w:r>
      <w:r w:rsidRPr="00070ADE">
        <w:rPr>
          <w:color w:val="000000" w:themeColor="text1"/>
          <w:sz w:val="16"/>
          <w:szCs w:val="16"/>
        </w:rPr>
        <w:softHyphen/>
        <w:t>ется, летчик движется вперед-назад, что затрудняет прицельную стрельбу». Как отмечалось в отчете по испытаниям, «прицельным может быть только пер</w:t>
      </w:r>
      <w:r w:rsidRPr="00070ADE">
        <w:rPr>
          <w:color w:val="000000" w:themeColor="text1"/>
          <w:sz w:val="16"/>
          <w:szCs w:val="16"/>
        </w:rPr>
        <w:softHyphen/>
        <w:t>вый выстрел». Чем больше была скорость полета и угол пикирования, тем меньшее влияние на само</w:t>
      </w:r>
      <w:r w:rsidRPr="00070ADE">
        <w:rPr>
          <w:color w:val="000000" w:themeColor="text1"/>
          <w:sz w:val="16"/>
          <w:szCs w:val="16"/>
        </w:rPr>
        <w:softHyphen/>
        <w:t>лет оказывала отдача. Прицельная стрельба была возможна и эффективна только на скоростях более 350 км/ч и при коротких очередях в 2—3 снаряда. Фактически стрельбу из пушки МП-45 можно было вести лишь одиночными выстрелами на скоростях, близких к максимальной скорости. Однако благо</w:t>
      </w:r>
      <w:r w:rsidRPr="00070ADE">
        <w:rPr>
          <w:color w:val="000000" w:themeColor="text1"/>
          <w:sz w:val="16"/>
          <w:szCs w:val="16"/>
        </w:rPr>
        <w:softHyphen/>
        <w:t>даря наличию дымного следа от трассера снаряда бледно-розового цвета, хорошо видимого как днем, так и в вечерние и утренние сумерки, вероятность попадания в цель не уменьшалась.</w:t>
      </w:r>
    </w:p>
    <w:p w14:paraId="577F80BC" w14:textId="77777777" w:rsidR="009B6B5E" w:rsidRPr="00070ADE" w:rsidRDefault="009B6B5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Большая сила отдачи пушки МП-45 оказывала существенное влияние на конструкцию самоле</w:t>
      </w:r>
      <w:r w:rsidRPr="00070ADE">
        <w:rPr>
          <w:color w:val="000000" w:themeColor="text1"/>
          <w:sz w:val="16"/>
          <w:szCs w:val="16"/>
        </w:rPr>
        <w:softHyphen/>
        <w:t>та, приводя к течи масла и воды через различные уплотнения и трещины в трубопроводах, радиато</w:t>
      </w:r>
      <w:r w:rsidRPr="00070ADE">
        <w:rPr>
          <w:color w:val="000000" w:themeColor="text1"/>
          <w:sz w:val="16"/>
          <w:szCs w:val="16"/>
        </w:rPr>
        <w:softHyphen/>
        <w:t>рах и т.д. В кабину летчика при стрельбе из пушки проникало очень много пороховых газов.</w:t>
      </w:r>
    </w:p>
    <w:p w14:paraId="517A902D" w14:textId="77777777" w:rsidR="009B6B5E" w:rsidRPr="00070ADE" w:rsidRDefault="009B6B5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то же время автоматика пушки работала хоро</w:t>
      </w:r>
      <w:r w:rsidRPr="00070ADE">
        <w:rPr>
          <w:color w:val="000000" w:themeColor="text1"/>
          <w:sz w:val="16"/>
          <w:szCs w:val="16"/>
        </w:rPr>
        <w:softHyphen/>
        <w:t>шо при всех условиях полета и стрельбы в возду</w:t>
      </w:r>
      <w:r w:rsidRPr="00070ADE">
        <w:rPr>
          <w:color w:val="000000" w:themeColor="text1"/>
          <w:sz w:val="16"/>
          <w:szCs w:val="16"/>
        </w:rPr>
        <w:softHyphen/>
        <w:t>хе. Надежность и живучесть деталей и узлов пушки были в пределах установленных требований.</w:t>
      </w:r>
    </w:p>
    <w:p w14:paraId="65F9ED0E" w14:textId="77777777" w:rsidR="009B6B5E" w:rsidRPr="00070ADE" w:rsidRDefault="009B6B5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К числу основных недостатков пушки МП-45 и пушечной установки на Як-9т относились из</w:t>
      </w:r>
      <w:r w:rsidRPr="00070ADE">
        <w:rPr>
          <w:color w:val="000000" w:themeColor="text1"/>
          <w:sz w:val="16"/>
          <w:szCs w:val="16"/>
        </w:rPr>
        <w:softHyphen/>
        <w:t>лишне большая сила отдачи пушки при стрельбе, ненадежное соединение штока гидротормоза со ствольной коробкой, а также имевшее место разъ</w:t>
      </w:r>
      <w:r w:rsidRPr="00070ADE">
        <w:rPr>
          <w:color w:val="000000" w:themeColor="text1"/>
          <w:sz w:val="16"/>
          <w:szCs w:val="16"/>
        </w:rPr>
        <w:softHyphen/>
        <w:t>единение цилиндра подачи приемника с рычагом подачи.</w:t>
      </w:r>
    </w:p>
    <w:p w14:paraId="400822B4" w14:textId="77777777" w:rsidR="009B6B5E" w:rsidRPr="00070ADE" w:rsidRDefault="009B6B5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Начальник НИИ АВ генерал-майор М. В. Гуревич в своем докладе заместителю председателя СНК СССР маршалу К. Е. Ворошилову констатиро</w:t>
      </w:r>
      <w:r w:rsidRPr="00070ADE">
        <w:rPr>
          <w:color w:val="000000" w:themeColor="text1"/>
          <w:sz w:val="16"/>
          <w:szCs w:val="16"/>
        </w:rPr>
        <w:softHyphen/>
        <w:t>вал: «В результате сравнительных испытаний 45-мм авиапушек ОКБ-15 и ОКБ-16 выявлены преимуще</w:t>
      </w:r>
      <w:r w:rsidRPr="00070ADE">
        <w:rPr>
          <w:color w:val="000000" w:themeColor="text1"/>
          <w:sz w:val="16"/>
          <w:szCs w:val="16"/>
        </w:rPr>
        <w:softHyphen/>
        <w:t>ства пушки ОКБ-16 и как удовлетворяющая ТТТ ВВС КА государственные испытания выдержала. Пушка ОКБ-15 из-за малой живучести испытаний не вы</w:t>
      </w:r>
      <w:r w:rsidRPr="00070ADE">
        <w:rPr>
          <w:color w:val="000000" w:themeColor="text1"/>
          <w:sz w:val="16"/>
          <w:szCs w:val="16"/>
        </w:rPr>
        <w:softHyphen/>
        <w:t>держала».</w:t>
      </w:r>
    </w:p>
    <w:p w14:paraId="13282D75" w14:textId="77777777" w:rsidR="009B6B5E" w:rsidRPr="00070ADE" w:rsidRDefault="009B6B5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Самолет Як-9т с пушкой МП-45 рекомендовался «в малую серию для дальнейших войсковых испы</w:t>
      </w:r>
      <w:r w:rsidRPr="00070ADE">
        <w:rPr>
          <w:color w:val="000000" w:themeColor="text1"/>
          <w:sz w:val="16"/>
          <w:szCs w:val="16"/>
        </w:rPr>
        <w:softHyphen/>
        <w:t>таний во фронтовых условиях» (17500).</w:t>
      </w:r>
    </w:p>
    <w:p w14:paraId="0764A1B9" w14:textId="77777777" w:rsidR="009B6B5E" w:rsidRPr="00070ADE" w:rsidRDefault="009B6B5E" w:rsidP="00B56F90">
      <w:pPr>
        <w:spacing w:after="0" w:line="240" w:lineRule="auto"/>
        <w:jc w:val="both"/>
        <w:rPr>
          <w:rFonts w:ascii="Times New Roman" w:eastAsia="Times New Roman" w:hAnsi="Times New Roman"/>
          <w:color w:val="000000" w:themeColor="text1"/>
          <w:sz w:val="16"/>
          <w:szCs w:val="16"/>
          <w:lang w:eastAsia="ru-RU"/>
        </w:rPr>
      </w:pPr>
    </w:p>
    <w:p w14:paraId="3A9CDCDF"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2ED226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167EF9" w14:textId="77777777" w:rsidR="00292637" w:rsidRPr="00070ADE" w:rsidRDefault="0029263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13 января 1944 года ОКБ-172 начало работу по проекту, получившему обозначение МЛ-20см. Руководил работами главный конструктор ОКБ-172 по сухопутной артиллерии М.Ю. Цирульников. В проекте МЛ-20см частично выполнили требования ГАУ КА: дульный тормоз ликвидировали, люльку и противооткатные устройства укоротили, а также ввели тормоз отката более простой конструкции (18636).</w:t>
      </w:r>
    </w:p>
    <w:p w14:paraId="2D11F159" w14:textId="77777777" w:rsidR="00292637" w:rsidRPr="00070ADE" w:rsidRDefault="00292637" w:rsidP="00B56F90">
      <w:pPr>
        <w:spacing w:after="0" w:line="240" w:lineRule="auto"/>
        <w:jc w:val="both"/>
        <w:rPr>
          <w:rFonts w:ascii="Times New Roman" w:hAnsi="Times New Roman"/>
          <w:color w:val="000000" w:themeColor="text1"/>
          <w:sz w:val="16"/>
          <w:szCs w:val="16"/>
        </w:rPr>
      </w:pPr>
    </w:p>
    <w:p w14:paraId="2464A3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января 1944 испытания БА-64 с двигателем С.С.Неждановского, получившей обозначение БА-64З (буква "З" - зимний), продолжили, теперь уже с полевым орудием на буксире. Машина двигалась хорошо, но попав в кювет, вывернула передние лыжи (3862).</w:t>
      </w:r>
    </w:p>
    <w:p w14:paraId="43E01F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12AF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января 1944 года была подготовлена справка:</w:t>
      </w:r>
    </w:p>
    <w:p w14:paraId="4FF3D7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Постановлением ГОКО № 4507сс от 6 ноября 1943 года в ведение НКВ передан Крюковский стекольный завод для восстановления его и организации производства, на правах филиала завода № 393 (9277)</w:t>
      </w:r>
    </w:p>
    <w:p w14:paraId="58AEE40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6FC1D4"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января 1944 года вышел приказ НКБ № 17с</w:t>
      </w:r>
    </w:p>
    <w:p w14:paraId="026BCC9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Передать завод № 607 из 2 Гл. управления в 6 Гл. управление (5950, 21).</w:t>
      </w:r>
    </w:p>
    <w:p w14:paraId="7C939563"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D6F871"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января 1944 г. СПЕЦСООБЩЕНИЕ№4/8/2б2 3-го 0ТДЕЛА4-Г0 УПРАВЛЕНИЯ НКГБ СССР В НКГБ СССР 0 ПОЛУЧЕННЫХ ОБРАЗЦАХ НЕМЕЦКОГО ХИМИЧЕСКОГО ОРУЖИЯ</w:t>
      </w:r>
    </w:p>
    <w:p w14:paraId="0605F32D"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Руководитель оперативной группы, действующей в Ровенской об</w:t>
      </w:r>
      <w:r w:rsidRPr="00070ADE">
        <w:rPr>
          <w:rFonts w:ascii="Times New Roman" w:hAnsi="Times New Roman"/>
          <w:color w:val="000000" w:themeColor="text1"/>
          <w:sz w:val="16"/>
          <w:szCs w:val="16"/>
        </w:rPr>
        <w:softHyphen/>
        <w:t>ласти УССР, подполковник государственной безопасности тов. Медве</w:t>
      </w:r>
      <w:r w:rsidRPr="00070ADE">
        <w:rPr>
          <w:rFonts w:ascii="Times New Roman" w:hAnsi="Times New Roman"/>
          <w:color w:val="000000" w:themeColor="text1"/>
          <w:sz w:val="16"/>
          <w:szCs w:val="16"/>
        </w:rPr>
        <w:softHyphen/>
        <w:t>дев1сообщает, что агентурой группы в г. Ровно в комендатуре штаба свя</w:t>
      </w:r>
      <w:r w:rsidRPr="00070ADE">
        <w:rPr>
          <w:rFonts w:ascii="Times New Roman" w:hAnsi="Times New Roman"/>
          <w:color w:val="000000" w:themeColor="text1"/>
          <w:sz w:val="16"/>
          <w:szCs w:val="16"/>
        </w:rPr>
        <w:softHyphen/>
        <w:t>зи похищена коробка с особо засекреченными химическими вещества</w:t>
      </w:r>
      <w:r w:rsidRPr="00070ADE">
        <w:rPr>
          <w:rFonts w:ascii="Times New Roman" w:hAnsi="Times New Roman"/>
          <w:color w:val="000000" w:themeColor="text1"/>
          <w:sz w:val="16"/>
          <w:szCs w:val="16"/>
        </w:rPr>
        <w:softHyphen/>
        <w:t>ми, на коробке наклеена инструкция следующего содержания:</w:t>
      </w:r>
    </w:p>
    <w:p w14:paraId="2D4EBCF2"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«Коробка содержит по два газовых пакета с желтым, зеленым, голу</w:t>
      </w:r>
      <w:r w:rsidRPr="00070ADE">
        <w:rPr>
          <w:rFonts w:ascii="Times New Roman" w:hAnsi="Times New Roman"/>
          <w:color w:val="000000" w:themeColor="text1"/>
          <w:sz w:val="16"/>
          <w:szCs w:val="16"/>
        </w:rPr>
        <w:softHyphen/>
        <w:t>бым и белым крестами и имеет 9 зажигательных трубок.</w:t>
      </w:r>
    </w:p>
    <w:p w14:paraId="40B36136"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Меры предосторожности:</w:t>
      </w:r>
    </w:p>
    <w:p w14:paraId="3CA53187"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 порядке получения и использования газовых пакетов ознако</w:t>
      </w:r>
      <w:r w:rsidRPr="00070ADE">
        <w:rPr>
          <w:rFonts w:ascii="Times New Roman" w:hAnsi="Times New Roman"/>
          <w:color w:val="000000" w:themeColor="text1"/>
          <w:sz w:val="16"/>
          <w:szCs w:val="16"/>
        </w:rPr>
        <w:softHyphen/>
        <w:t>миться в специальных инструкциях.</w:t>
      </w:r>
    </w:p>
    <w:p w14:paraId="2869EAE0"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Химические вещества должны быть закупорены. Выдача только по приказанию командира роты и выше.</w:t>
      </w:r>
    </w:p>
    <w:p w14:paraId="02645D42"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Запрещается: а) зажигать газовые пакеты в закрытом помещении ближе чем на 200 метров от построек, б) зажигать больше двух газовых пакетов сразу, в) находиться ближе, чем на 10 метров от зажигательного газового пакета.</w:t>
      </w:r>
    </w:p>
    <w:p w14:paraId="5F5A6432"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Способ употребления:</w:t>
      </w:r>
    </w:p>
    <w:p w14:paraId="29C2CD5A"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Избегать местности с переменным или вертикальным ветром. Упот</w:t>
      </w:r>
      <w:r w:rsidRPr="00070ADE">
        <w:rPr>
          <w:rFonts w:ascii="Times New Roman" w:hAnsi="Times New Roman"/>
          <w:color w:val="000000" w:themeColor="text1"/>
          <w:sz w:val="16"/>
          <w:szCs w:val="16"/>
        </w:rPr>
        <w:softHyphen/>
        <w:t>реблять только при ветре от 1 до 4 метров в секунду.</w:t>
      </w:r>
    </w:p>
    <w:p w14:paraId="314CB17D"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Предохранительный колпачок с теркой, снятый тут же, и упако</w:t>
      </w:r>
      <w:r w:rsidRPr="00070ADE">
        <w:rPr>
          <w:rFonts w:ascii="Times New Roman" w:hAnsi="Times New Roman"/>
          <w:color w:val="000000" w:themeColor="text1"/>
          <w:sz w:val="16"/>
          <w:szCs w:val="16"/>
        </w:rPr>
        <w:softHyphen/>
        <w:t>ванную зажигательную трубку после снятия с нее предохранительного колпачка вогнать глубоко вниз белой головкой в открытую гильзу.</w:t>
      </w:r>
    </w:p>
    <w:p w14:paraId="6641E04D"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Выглядывающую красную зажигательною головку зажигательной трубки потереть теркой, при этом колпачок с теркой и пакет с зажига</w:t>
      </w:r>
      <w:r w:rsidRPr="00070ADE">
        <w:rPr>
          <w:rFonts w:ascii="Times New Roman" w:hAnsi="Times New Roman"/>
          <w:color w:val="000000" w:themeColor="text1"/>
          <w:sz w:val="16"/>
          <w:szCs w:val="16"/>
        </w:rPr>
        <w:softHyphen/>
        <w:t>тельной трубкой держать подальше от тела.</w:t>
      </w:r>
    </w:p>
    <w:p w14:paraId="0846C64A"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Зажженный пакет поставить на землю без растительности цвет</w:t>
      </w:r>
      <w:r w:rsidRPr="00070ADE">
        <w:rPr>
          <w:rFonts w:ascii="Times New Roman" w:hAnsi="Times New Roman"/>
          <w:color w:val="000000" w:themeColor="text1"/>
          <w:sz w:val="16"/>
          <w:szCs w:val="16"/>
        </w:rPr>
        <w:softHyphen/>
        <w:t>ным крестом кверху, в противном случае неопасно2.</w:t>
      </w:r>
    </w:p>
    <w:p w14:paraId="1E31AFF8"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Боевое вещество выделяется через 30-40 секунд после зажигания через место, отмеченное цветным крестом, в течение 30-50 секунд.</w:t>
      </w:r>
    </w:p>
    <w:p w14:paraId="73388193"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Использованные пакеты зарыть. Отказавшие пакеты собрать не ранее, как через 20 минут после зажигания, предохранители спрятать и упакованные в жестяной банке отправить на О. К. Г.</w:t>
      </w:r>
    </w:p>
    <w:p w14:paraId="59CFE55A"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7. Изготовитель ГБЦ, часть 126,1941 год».</w:t>
      </w:r>
    </w:p>
    <w:p w14:paraId="179E9EC4" w14:textId="69F74AA4"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См. том 2 настоящего сборника, документ №291; том 3, документы № 767,804.</w:t>
      </w:r>
    </w:p>
    <w:p w14:paraId="3B3D7C5A" w14:textId="013E4715"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Так в тексте документа.</w:t>
      </w:r>
    </w:p>
    <w:p w14:paraId="40D8568C"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Пакеты металлические, имеют круглую форму 6 сантиметров в диа</w:t>
      </w:r>
      <w:r w:rsidRPr="00070ADE">
        <w:rPr>
          <w:rFonts w:ascii="Times New Roman" w:hAnsi="Times New Roman"/>
          <w:color w:val="000000" w:themeColor="text1"/>
          <w:sz w:val="16"/>
          <w:szCs w:val="16"/>
        </w:rPr>
        <w:softHyphen/>
        <w:t>метре и 3 сантиметра толщиной, упакованы в парафинированной кар</w:t>
      </w:r>
      <w:r w:rsidRPr="00070ADE">
        <w:rPr>
          <w:rFonts w:ascii="Times New Roman" w:hAnsi="Times New Roman"/>
          <w:color w:val="000000" w:themeColor="text1"/>
          <w:sz w:val="16"/>
          <w:szCs w:val="16"/>
        </w:rPr>
        <w:softHyphen/>
        <w:t>тонной коробке и переложены гофрированным картоном. На пакетах написано: «В закрытом помещении не зажигать, опасно для жизни».</w:t>
      </w:r>
    </w:p>
    <w:p w14:paraId="467D0822"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словам агентов, похитивших эти коробки, немцы, находившиеся в помещении, где хранились коробки, предупреждали всех о том, чтобы к коробкам близко не подходили и не трогали их, т. к. это грозит смертью.</w:t>
      </w:r>
    </w:p>
    <w:p w14:paraId="45ADE0EF"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Тов. Медведеву дано указание — коробки с химическими вещества</w:t>
      </w:r>
      <w:r w:rsidRPr="00070ADE">
        <w:rPr>
          <w:rFonts w:ascii="Times New Roman" w:hAnsi="Times New Roman"/>
          <w:color w:val="000000" w:themeColor="text1"/>
          <w:sz w:val="16"/>
          <w:szCs w:val="16"/>
        </w:rPr>
        <w:softHyphen/>
        <w:t>ми при первой возможности доставить в Москву1.</w:t>
      </w:r>
    </w:p>
    <w:p w14:paraId="3A9B0FD5" w14:textId="35260AD5"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3 отдела 4 Управления НКГБ СССР</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Сташко2</w:t>
      </w:r>
    </w:p>
    <w:p w14:paraId="69BB4481"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 ФСБ России (15493).</w:t>
      </w:r>
    </w:p>
    <w:p w14:paraId="503FF8CE" w14:textId="77777777" w:rsidR="00E00646" w:rsidRPr="00070ADE" w:rsidRDefault="00E00646" w:rsidP="00B56F90">
      <w:pPr>
        <w:spacing w:after="0" w:line="240" w:lineRule="auto"/>
        <w:jc w:val="both"/>
        <w:rPr>
          <w:rFonts w:ascii="Times New Roman" w:hAnsi="Times New Roman"/>
          <w:color w:val="000000" w:themeColor="text1"/>
          <w:sz w:val="16"/>
          <w:szCs w:val="16"/>
        </w:rPr>
      </w:pPr>
    </w:p>
    <w:p w14:paraId="4138DEE9"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3DCC75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D5B4EE"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13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0C8AFD82"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13 января на Мозырьском направлении войска Белорусского фронта под командованием генерала армии Рокоссовского продолжали развивать наступление и с боями заняли более 40 населённых пунктов, в том числе крупные населённые пункты Шиичи, Туровичи, Суховичи, Дудичи, Буда, Гулевичи, Пенница, Михалки, Бибики, Тавричевка, Каменка, Зимовище, Моисеевка, Прудок, Нагорное и железнодорожные станции Юшки, Голевицы, Мытва, Михалки. Наши войска вплотную подошли к областному центру Белорусской ССР городу Мозырь, городу и крупному железнодорожному узлу Калинковичи.</w:t>
      </w:r>
    </w:p>
    <w:p w14:paraId="4B2C1F0B"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Сарны наши войска с боями продвигались вперёд, заняли несколько населённых пунктов и железнодорожные станции Тутовичи, Графский Курень, Малыньск. В боях за город Сарны нашими войсками захвачены следующие трофеи: орудий разного калибра — 38, миномётов — 53, пулемётов — 140, автомашин— 193, повозок с грузами — 420, лошадей — 800 и 6 складов с оружием, боеприпасами и продовольствием.</w:t>
      </w:r>
    </w:p>
    <w:p w14:paraId="76AFD963"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Новоград-Волынский наши войска, продолжая наступление, овладели районным центром Ровенской области городом Корец, районным центром Каменец-Подольской области Берездов, а также с боями заняли более 60 других населённых пунктов, в том числе крупные населённые пункты Медведовка, Большая Солпа, Железнице, Даничув, Головница, Брыков, Поддубцы, Киликиев, Мухарев, Кутки, Красностав, Манятин, Яблоновка, Сенигов, Городневка, Купино и железнодорожную станцию Майданвила.</w:t>
      </w:r>
    </w:p>
    <w:p w14:paraId="5333967C"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Бердичева наши войска вели наступательные бои, в ходе которых заняли несколько населённых пунктов.</w:t>
      </w:r>
    </w:p>
    <w:p w14:paraId="7D21060F"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Восточнее Винницы наши войска отбивали контратаки крупных сил пехоты и танков противника.</w:t>
      </w:r>
    </w:p>
    <w:p w14:paraId="76F266AE"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северо-западнее Кировограда наши войска в результате боёв улучшили свои позиции.</w:t>
      </w:r>
    </w:p>
    <w:p w14:paraId="4C5A1D84"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382B37FB"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12 января наши войска на всех фронтах подбили и уничтожили 87 немецких танков. В воздушных боях и огнём зенитной артиллерии сбито 102 самолёта противника.</w:t>
      </w:r>
    </w:p>
    <w:p w14:paraId="6D0F68A7"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Мозырьском направлении наши войска продолжали наступление. Придавая огромное значение району Мозырь-Калинковичи, немцы создали здесь мощную оборонительную полосу и насытили её огневыми средствами. На одном узком участке противник сосредоточил около 200 полевых и противотанковых орудий, много миномётов и сотни пулемётов. В глубине обороны немцы построили опорные пункты, приспособленные для круговой обороны. Преодолевая сопротивление противника, наши войска совершили глубокий обходный манёвр и ударом с фланга и тыла нанесли гитлеровцам тяжёлый урон. Другие наши части, действующие с юга, прорвали оборону немцев и, развивая наступление, заняли населённые пункты Зимовище, Моисеевку, Прудок, расположенные западнее Мозыря. Всего в течение дня очищено от немцев более 40 населённых пунктов. Решающую роль в прорыве обороны немцев сыграла наша артиллерия, которая мощным огнём подавила вражеские батареи. В ходе боёв уничтожено свыше 1.500 немецких солдат и офицеров, 11 танков и самоходныхорудий, много артиллерийских и миномётных батарей. Захвачены трофеи и пленные. На одном участке советские кавалеристы прорвались во вражеский тыл и в крупном населённом пункте изрубили немецкий гарнизон.</w:t>
      </w:r>
    </w:p>
    <w:p w14:paraId="032ED205"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Новоград-Волынский советские танкисты и пехотинцы, стремительно продвигаясь вперёд, овладели районным центром Ровенской области городом Корец. Другие наши части заняли районный центр Каменец-Подольской области Берездов и более 60 других населённых пунктов. В боях за эти пункты уничтожено свыше 1.000 гитлеровцев. Наши войска захватили много трофеев, в том числе 5 танков, 16 орудий, 127 пулемётов, 80 автомашин и 5 радиостанций. Несколько сот немцев взято в плен.</w:t>
      </w:r>
    </w:p>
    <w:p w14:paraId="363BCD54"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Восточнее Винницы наши войска продолжали вести бои с крупными силами танков и пехоты противника. На различных участках немцы предприняли ряд ожесточённых контратак, пытаясь прорваться через боевые порядки советских частей. Бои приняли крайне ожесточённый характер. Отдельные населённые пункты по нескольку раз переходили из рук в руки. Противник понёс тяжёлые потери, но не добился никакого успеха. Умело маневрируя, советские пехотинцы, артиллеристы и танкисты наносили врагу ответные удары и истребили свыше 2.000 немецких солдат и офицеров. Сожжено 59 вражеских танков и самоходных орудий. В одном районе наши войска окружили и уничтожили немецкий горнострелковый полк. На поле боя осталось до 1.000 убитых гитлеровцев. Захвачено большое число пленных и много вооружения.</w:t>
      </w:r>
    </w:p>
    <w:p w14:paraId="2F40DC3F"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северо-западнее Кировограда наши войска в ходе боёв с противником улучшили свои позиции. В одном районе немецкая пехота, поддержанная танками, пять раз бросалась в контратаки, пытаясь вернуть утраченный вчера крупный населённый пункт. Все контратаки гитлеровцев отбиты с большими для них потерями. Подбито 13 танков и истреблено до 400 немецких солдат и офицеров. На другом участке советские части ворвались на железнодорожную станцию и очищают её от противника. Захвачены трофеи и пленные.</w:t>
      </w:r>
    </w:p>
    <w:p w14:paraId="664E275D"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Молдавские партизаны, действующие в районе важной шоссейной дороги, сожгли 9 танков и 60 автомашин противника. Путём подрыва автомашин на минах и ружейно-пулемётным огнём истреблено свыше 200 гитлеровцев. Взято в плен 22 немецких солдата. В другом районе отряд молдавских партизан совершил налёт на аэродром противника. Уничтожив охрану, советские патриоты сожгли 10 немецких самолётов, 20 тонн бензина, 2 полевых телефонных станции и взорвали склад авиабомб.</w:t>
      </w:r>
    </w:p>
    <w:p w14:paraId="5F4909C1"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солдат 10 роты 3 батальона 3 финской пехотной бригады Лаури Тойвонвирта рассказал: «18 июня 1941 года меня мобилизовали в армию, и с тех поря почти непрерывно нахожусь на фронте. За что воевал всё это время? Разъясняя цели войны, наши газеты писали, что мы воюем за «Великую Финляндию». В начале войны я, как и многие другие, верил, что в результате этой войны к нам отойдёт Карелия, Мурманский край и Ленинград. Об этом говорили открыто везде и всюду. Война затянулась, и счастье повернулось на сторону русских. Теперь уже все видят, что Германия, а стало быть и Финляндия, неизбежно потерпят поражение. Шумиха вокруг планов о «Великой Финляндии» утихла. Газеты и официальные лица ныне заговорили о том, что Финляндия ведёт якобы оборонительную войну. Однако офицеры думают иначе. Недавно командир 3-го батальона майор Иконен провёл с нами беседу. Он демонстрировал карту послевоенной Финляндии, включающую всю Карелию, Ленинград, Мурманск и Мурманскую железную дорогу. Майор призывал нас учиться у немцев. Он заявил: «Немцы борются за Великую Германию, а мы должны бороться вместе с ними за «Великую Финляндию». Но всё это одни слова. Теперь даже самым тупоголовым шюцкоровцам становится ясно, что война с Россией является авантюрой, обречённой на провал. За эту авантюру Финляндии придётся ещё расплачиваться» (15008).</w:t>
      </w:r>
    </w:p>
    <w:p w14:paraId="10080B55" w14:textId="77777777" w:rsidR="00E00646" w:rsidRPr="00070ADE" w:rsidRDefault="00E00646" w:rsidP="00B56F90">
      <w:pPr>
        <w:spacing w:after="0" w:line="240" w:lineRule="auto"/>
        <w:jc w:val="both"/>
        <w:rPr>
          <w:rFonts w:ascii="Times New Roman" w:hAnsi="Times New Roman"/>
          <w:color w:val="000000" w:themeColor="text1"/>
          <w:sz w:val="16"/>
          <w:szCs w:val="16"/>
        </w:rPr>
      </w:pPr>
    </w:p>
    <w:p w14:paraId="1FA763A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Вечером 13 января 1944 на разведку погоды с двумя минами АМД-500 вылетел Ил-4, пилотируемый Бунимовичем. По всей видимости, ему удалось выполнить задание, но при возвращении выяснилось, что все полковые аэродромы в районе Ленинграда закрыты туманом. Оповещение об этом и приказ сесть на кронштад-ском аэродроме Бычье Поле были посланы своевременно, и Юрий подтвердил их получение. Несмотря на это «Ильюшин» внезапно появился над Каменкой. Очевидно, пилот не захотел садится на незнакомом аэродроме с короткой ВПП и решил, что сумеет посадить машину на родной базе. Выбежавшие с КП летчики так вспоминали эту картину: «Поёжившись от холода, смотрим в ту точку, откуда должны показаться огни самолета. Снова слышится гул. Приближаясь, он нарастает и ширится, сотрясает насыщенный влагой морозный воздух. Вдалеке над землей появляется красный глазок. Цепляясь за нижнюю кромку тумана, он притухает и загорается снова, становится ближе с каждой секундой. - Все... Теперь сядет, - облегченно вздыхает Васильев. И тут же взревели моторы, ударили в землю форсажным звенящим грохотом. Красный глазок заметался, запрыгал, дернулся вверх и стремительно ринулся вниз. Пламя огромного взрыва озарило пурпуром нависшую рваную облачность и скорбно поникшие ветви одинокого дерева...». Весь экипаж погиб, самолет полностью сгорел (9965).</w:t>
      </w:r>
    </w:p>
    <w:p w14:paraId="73A75BE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67DA360" w14:textId="77777777" w:rsidR="00E00646" w:rsidRPr="00070ADE" w:rsidRDefault="00E00646"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Вечером 13 января 1944 года командир 44-го отдельного аэросанного батальона получил приказ командира 58-й отдельной стрелковой бригады полковника Себова о передислокации. К этому времени части отдельной 58-й стрелковой бригады овладели на берегу озера Ильмень несколькими населенными пунктами и, преодолевая сопротивление противника, вклинились в глубину вражеской обороны.</w:t>
      </w:r>
    </w:p>
    <w:p w14:paraId="4CF1A0D2" w14:textId="77777777" w:rsidR="00E00646" w:rsidRPr="00070ADE" w:rsidRDefault="00E00646"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Противник спешно предпринимал меры, готовясь нанести удар с целью отрезать наши части, завладевшие плацдармом на побережье.</w:t>
      </w:r>
    </w:p>
    <w:p w14:paraId="6CB3775F" w14:textId="77777777" w:rsidR="00E00646" w:rsidRPr="00070ADE" w:rsidRDefault="00E00646"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Завершив передислокацию к утру 14 января, 44-й отдельный аэросанный батальон получил распоряжение выдвинуть роту боевых аэросаней в населенный пункт Береговые Морины с целью отражения контратак противника в районе населенных пунктов Самокраж и Козынево.</w:t>
      </w:r>
    </w:p>
    <w:p w14:paraId="3BF7649C" w14:textId="77777777" w:rsidR="00E00646" w:rsidRPr="00070ADE" w:rsidRDefault="00E00646"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Выполняя этот приказ командования, 3-я рота старшего лейтенанта Шлычкова в составе 11 боевых аэросаней прибыла на исходные позиции в населенный пункт Береговые Морины и с хода произвела смелый огневой налет на пехоту противника, наступающего из района населенных пунктов Самокраж и Козынево. В результате </w:t>
      </w:r>
      <w:r w:rsidRPr="00070ADE">
        <w:rPr>
          <w:rFonts w:ascii="Times New Roman" w:hAnsi="Times New Roman"/>
          <w:color w:val="000000" w:themeColor="text1"/>
          <w:sz w:val="16"/>
          <w:szCs w:val="16"/>
        </w:rPr>
        <w:lastRenderedPageBreak/>
        <w:t>противник был вынужден в беспорядке отойти обратно в район Козынево.</w:t>
      </w:r>
    </w:p>
    <w:p w14:paraId="1CDB7A22" w14:textId="77777777" w:rsidR="00E00646" w:rsidRPr="00070ADE" w:rsidRDefault="00E00646"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боя ротой боевых аэросаней было уничтожено до 300 немецких солдат и офицеров, а также выполнен приказ командования: вражеская пехота прекратила атаки и перешла к обороне на прежних позициях в районе населенных пунктов Самокраж – Козынево.</w:t>
      </w:r>
    </w:p>
    <w:p w14:paraId="2AE92C71" w14:textId="77777777" w:rsidR="00E00646" w:rsidRPr="00070ADE" w:rsidRDefault="00E00646"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44-й отдельный аэросанный батальон, действуя с частями 58-й отдельной стрелковой бригады и 225-й стрелковой дивизии, успешно выполнил ряд заданий командования в период захвата плацдармов на западном берегу озера Ильмень, южнее города Новгород.</w:t>
      </w:r>
    </w:p>
    <w:p w14:paraId="4E5AA678" w14:textId="77777777" w:rsidR="00E00646" w:rsidRPr="00070ADE" w:rsidRDefault="00E00646"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Личный состав батальона, действуя в исключительно тяжелых условиях, проявил самоотверженность и решительность при выполнении задач. За отличные действия личный состав был награжден орденами и медалями, а 44-й отдельный аэросанный батальон получил почетное наименование «Новгородский» (15218).</w:t>
      </w:r>
    </w:p>
    <w:p w14:paraId="06B12503" w14:textId="77777777" w:rsidR="00E00646" w:rsidRPr="00070ADE" w:rsidRDefault="00E00646" w:rsidP="00B56F90">
      <w:pPr>
        <w:widowControl w:val="0"/>
        <w:spacing w:after="0" w:line="240" w:lineRule="auto"/>
        <w:jc w:val="both"/>
        <w:rPr>
          <w:rFonts w:ascii="Times New Roman" w:hAnsi="Times New Roman"/>
          <w:color w:val="000000" w:themeColor="text1"/>
          <w:sz w:val="16"/>
          <w:szCs w:val="16"/>
        </w:rPr>
      </w:pPr>
    </w:p>
    <w:p w14:paraId="54E5884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января 1944 вышло Постановление ГКО № 4945 [О расформировании Центрального штаба партизанского движения.] (7172, 154-155,156-159).</w:t>
      </w:r>
    </w:p>
    <w:p w14:paraId="04AA01B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1139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января 1944 в соответствии с постановлением ГКО расформировали Центральный штаб партизанского движения и руководство отрядами поручили ЦК компартий союзных республик и соответствующим штабам (3398,25).</w:t>
      </w:r>
    </w:p>
    <w:p w14:paraId="74C590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34C3CD"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13 января</w:t>
      </w:r>
      <w:r w:rsidRPr="00070ADE">
        <w:rPr>
          <w:rFonts w:ascii="Times New Roman" w:hAnsi="Times New Roman"/>
          <w:color w:val="000000" w:themeColor="text1"/>
          <w:sz w:val="16"/>
          <w:szCs w:val="16"/>
        </w:rPr>
        <w:t xml:space="preserve"> в 1944 году постановление ГКО о расформировании Центрального штаба партизанского движения и передаче руководства партизанским движением Центральным Комитетам коммунистических партий союзных республик, областным комитетам партии и соответствующим штабам партизанского движения (15008).</w:t>
      </w:r>
    </w:p>
    <w:p w14:paraId="35487168" w14:textId="77777777" w:rsidR="00E00646" w:rsidRPr="00070ADE" w:rsidRDefault="00E00646" w:rsidP="00B56F90">
      <w:pPr>
        <w:spacing w:after="0" w:line="240" w:lineRule="auto"/>
        <w:jc w:val="both"/>
        <w:rPr>
          <w:rFonts w:ascii="Times New Roman" w:hAnsi="Times New Roman"/>
          <w:color w:val="000000" w:themeColor="text1"/>
          <w:sz w:val="16"/>
          <w:szCs w:val="16"/>
        </w:rPr>
      </w:pPr>
    </w:p>
    <w:p w14:paraId="373365C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49D3F8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FFA00F" w14:textId="77777777" w:rsidR="00E00646" w:rsidRPr="00070ADE" w:rsidRDefault="00E0064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13 января</w:t>
      </w:r>
      <w:r w:rsidRPr="00070ADE">
        <w:rPr>
          <w:rFonts w:ascii="Times New Roman" w:hAnsi="Times New Roman"/>
          <w:color w:val="000000" w:themeColor="text1"/>
          <w:sz w:val="16"/>
          <w:szCs w:val="16"/>
        </w:rPr>
        <w:t xml:space="preserve"> в 1944 году целой группе старинных городских магистралей возвращены исторические названия. В их числе - Нарвский проспект (до этого - проспект 25-го Октября), Большой проспект Петроградской стороны (проспект Карла Либкнехта), Литейный проспект (проспект Володарского), Дворцовая площадь (площадь Урицкого), Исаакиевская площадь (площадь Воровского), Пискаревский проспект (проспект Ленина) (15008).</w:t>
      </w:r>
    </w:p>
    <w:p w14:paraId="60AC54DC" w14:textId="77777777" w:rsidR="00E00646" w:rsidRPr="00070ADE" w:rsidRDefault="00E00646" w:rsidP="00B56F90">
      <w:pPr>
        <w:spacing w:after="0" w:line="240" w:lineRule="auto"/>
        <w:jc w:val="both"/>
        <w:rPr>
          <w:rFonts w:ascii="Times New Roman" w:hAnsi="Times New Roman"/>
          <w:color w:val="000000" w:themeColor="text1"/>
          <w:sz w:val="16"/>
          <w:szCs w:val="16"/>
        </w:rPr>
      </w:pPr>
    </w:p>
    <w:p w14:paraId="4E406DF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января 1944 вышло Постановление ГКО № 4944 О назначении правительственной комиссии по приемке в эксплуатацию Покровского радиуса III очереди Московского метрополитена им. л. М. Кагановича. (7172, 152-153).</w:t>
      </w:r>
    </w:p>
    <w:p w14:paraId="18C761B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FD74AA"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1D7171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2B8416"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13 января</w:t>
      </w:r>
      <w:r w:rsidRPr="00070ADE">
        <w:rPr>
          <w:rFonts w:ascii="Times New Roman" w:hAnsi="Times New Roman"/>
          <w:color w:val="000000" w:themeColor="text1"/>
          <w:sz w:val="16"/>
          <w:szCs w:val="16"/>
        </w:rPr>
        <w:t xml:space="preserve"> в 1944 году состоялась первая проба двигателя I-40 на стенде фирмы «Дженерал электрик» (15008).</w:t>
      </w:r>
    </w:p>
    <w:p w14:paraId="3476F950" w14:textId="77777777" w:rsidR="00184F39" w:rsidRPr="00070ADE" w:rsidRDefault="00184F39" w:rsidP="00B56F90">
      <w:pPr>
        <w:spacing w:after="0" w:line="240" w:lineRule="auto"/>
        <w:jc w:val="both"/>
        <w:rPr>
          <w:rFonts w:ascii="Times New Roman" w:hAnsi="Times New Roman"/>
          <w:color w:val="000000" w:themeColor="text1"/>
          <w:sz w:val="16"/>
          <w:szCs w:val="16"/>
        </w:rPr>
      </w:pPr>
    </w:p>
    <w:p w14:paraId="53474A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января 1944 американская авиация разбомбила три немецких авиазавода потеряв 64 машины (2100).</w:t>
      </w:r>
    </w:p>
    <w:p w14:paraId="70F591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6DEA95" w14:textId="77777777" w:rsidR="00F16AE1" w:rsidRPr="00070ADE" w:rsidRDefault="00F16A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13–19 января 1944 Воздушные силы союзников атакуют цели в Италии, чтобы перекрыть плацдарм для предстоящего вторжения в Анцио , уделяя особое внимание аэродромам вокруг Рима и по всей центральной Италии (20373).</w:t>
      </w:r>
    </w:p>
    <w:p w14:paraId="14CD513D" w14:textId="77777777" w:rsidR="00F16AE1" w:rsidRPr="00070ADE" w:rsidRDefault="00F16AE1" w:rsidP="00B56F90">
      <w:pPr>
        <w:spacing w:after="0" w:line="240" w:lineRule="auto"/>
        <w:jc w:val="both"/>
        <w:rPr>
          <w:rFonts w:ascii="Times New Roman" w:hAnsi="Times New Roman"/>
          <w:color w:val="000000" w:themeColor="text1"/>
          <w:sz w:val="16"/>
          <w:szCs w:val="16"/>
        </w:rPr>
      </w:pPr>
    </w:p>
    <w:p w14:paraId="30867C21" w14:textId="77777777" w:rsidR="00F16AE1" w:rsidRPr="00070ADE" w:rsidRDefault="00F16A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января 1944 первая авиационная миссия из США прибывает в Венесуэлу. Она начинает оценку оборудования, помещений и персонала вооруженных сил Венесуэлы, которые не получали никаких запчастей для своих самолетов с начала Второй мировой войны (20373).</w:t>
      </w:r>
    </w:p>
    <w:p w14:paraId="3254CA44" w14:textId="77777777" w:rsidR="00F16AE1" w:rsidRPr="00070ADE" w:rsidRDefault="00F16AE1" w:rsidP="00B56F90">
      <w:pPr>
        <w:spacing w:after="0" w:line="240" w:lineRule="auto"/>
        <w:jc w:val="both"/>
        <w:rPr>
          <w:rFonts w:ascii="Times New Roman" w:hAnsi="Times New Roman"/>
          <w:color w:val="000000" w:themeColor="text1"/>
          <w:sz w:val="16"/>
          <w:szCs w:val="16"/>
        </w:rPr>
      </w:pPr>
    </w:p>
    <w:p w14:paraId="17DE2CC3"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167FA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059D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января 1944 вышел приказ N 3 7 ГУ:</w:t>
      </w:r>
    </w:p>
    <w:p w14:paraId="6B79AE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"Рассмотрев годовой отчет и доклад ГК завода 240 С.В.И. о производственной деятельности за 1943 год, балансовая комиссия установила:</w:t>
      </w:r>
    </w:p>
    <w:p w14:paraId="36337E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Обратить внимание С.В.И.:</w:t>
      </w:r>
    </w:p>
    <w:p w14:paraId="708ED5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 многотемность опытных работ, в результате чего отчетный год завершен с незначительным выпуском оконченных работ</w:t>
      </w:r>
    </w:p>
    <w:p w14:paraId="32AF492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 слабый контроль над работами, сданными заводам - смежникам в части сроков и качества выполнения, а также их стоимости.</w:t>
      </w:r>
    </w:p>
    <w:p w14:paraId="0996AD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Немедленно представить акты на списание прекращенных работ:</w:t>
      </w:r>
    </w:p>
    <w:p w14:paraId="749DCC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 Ил-6 2М-71</w:t>
      </w:r>
    </w:p>
    <w:p w14:paraId="64A911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 одноместному бронированному истребителю с АМ-42</w:t>
      </w:r>
    </w:p>
    <w:p w14:paraId="451D60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 модификации Ил-2 АМ-42 в варианте истребителя</w:t>
      </w:r>
    </w:p>
    <w:p w14:paraId="1313DB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представить материалы на получение разрешения о прекращении опытных работ по Ил-4 с М-90." Зам. Нач. 7 ГУ Алексеев (2529,5).</w:t>
      </w:r>
    </w:p>
    <w:p w14:paraId="7BCBCB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3E4CE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января 1944 года Як-9у с М-107А прибыл в НИИ ВВС (1821,128).</w:t>
      </w:r>
    </w:p>
    <w:p w14:paraId="7519CF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4C86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14 января по 26 февраля 1944 проходили контрольные гос. испытания Як-9Д ПФ с винтом ВИШ-61В N 08-85 153 завода, построенного в ноябре 1943 и собранного на заводе 301 в декабре 1943. Летали Рабкин и М.М.Галлай. 26 полетов, 21 час 33 мин. (712,4).</w:t>
      </w:r>
    </w:p>
    <w:p w14:paraId="64C857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D8EB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января 1944 вышел приказ НКАП N 22сс "О постройке самолетов Пе-2 с 2 моторами М-107А в варианте дневного бомбардировщика"</w:t>
      </w:r>
    </w:p>
    <w:p w14:paraId="40D180A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исполнение постановления ГКО N 4934 от 12 января 1944:</w:t>
      </w:r>
    </w:p>
    <w:p w14:paraId="404147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Нач. 10 ГУ, зам. наркома А.И.Кузнецову и директору завода 22 Окулову и ГК В.М.М. построить два экз. модифицированного самолета Пе-2 с 2хМ-107А со следующими ЛТД: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CB5308" w:rsidRPr="00070ADE" w14:paraId="6CA52932" w14:textId="77777777">
        <w:tc>
          <w:tcPr>
            <w:tcW w:w="5636" w:type="dxa"/>
          </w:tcPr>
          <w:p w14:paraId="234ED8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у земли</w:t>
            </w:r>
          </w:p>
        </w:tc>
        <w:tc>
          <w:tcPr>
            <w:tcW w:w="5636" w:type="dxa"/>
          </w:tcPr>
          <w:p w14:paraId="22E2AA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525 км/час</w:t>
            </w:r>
          </w:p>
        </w:tc>
      </w:tr>
      <w:tr w:rsidR="00CB5308" w:rsidRPr="00070ADE" w14:paraId="549CC04C" w14:textId="77777777">
        <w:tc>
          <w:tcPr>
            <w:tcW w:w="5636" w:type="dxa"/>
          </w:tcPr>
          <w:p w14:paraId="172A5D6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высоте 5800 м</w:t>
            </w:r>
          </w:p>
        </w:tc>
        <w:tc>
          <w:tcPr>
            <w:tcW w:w="5636" w:type="dxa"/>
          </w:tcPr>
          <w:p w14:paraId="4F4CE9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640 км/час</w:t>
            </w:r>
          </w:p>
        </w:tc>
      </w:tr>
      <w:tr w:rsidR="00CB5308" w:rsidRPr="00070ADE" w14:paraId="3F22E9E2" w14:textId="77777777">
        <w:tc>
          <w:tcPr>
            <w:tcW w:w="5636" w:type="dxa"/>
          </w:tcPr>
          <w:p w14:paraId="1C89F6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 тех. дальность полета с нагр. 1000 кг</w:t>
            </w:r>
          </w:p>
        </w:tc>
        <w:tc>
          <w:tcPr>
            <w:tcW w:w="5636" w:type="dxa"/>
          </w:tcPr>
          <w:p w14:paraId="73B343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1700 км</w:t>
            </w:r>
          </w:p>
        </w:tc>
      </w:tr>
      <w:tr w:rsidR="00CB5308" w:rsidRPr="00070ADE" w14:paraId="4D86D987" w14:textId="77777777">
        <w:tc>
          <w:tcPr>
            <w:tcW w:w="5636" w:type="dxa"/>
          </w:tcPr>
          <w:p w14:paraId="397353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 тех. дальность полета с нагр. 500 кг</w:t>
            </w:r>
          </w:p>
        </w:tc>
        <w:tc>
          <w:tcPr>
            <w:tcW w:w="5636" w:type="dxa"/>
          </w:tcPr>
          <w:p w14:paraId="1845EC4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2400 км</w:t>
            </w:r>
          </w:p>
        </w:tc>
      </w:tr>
    </w:tbl>
    <w:p w14:paraId="4953F9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Стрелковое вооружение: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CB5308" w:rsidRPr="00070ADE" w14:paraId="07800254" w14:textId="77777777">
        <w:tc>
          <w:tcPr>
            <w:tcW w:w="3757" w:type="dxa"/>
          </w:tcPr>
          <w:p w14:paraId="359919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вперед</w:t>
            </w:r>
          </w:p>
        </w:tc>
        <w:tc>
          <w:tcPr>
            <w:tcW w:w="3757" w:type="dxa"/>
          </w:tcPr>
          <w:p w14:paraId="4D7D7C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пушка 20 мм</w:t>
            </w:r>
          </w:p>
        </w:tc>
        <w:tc>
          <w:tcPr>
            <w:tcW w:w="3757" w:type="dxa"/>
          </w:tcPr>
          <w:p w14:paraId="621CD7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r>
      <w:tr w:rsidR="00CB5308" w:rsidRPr="00070ADE" w14:paraId="6A91274D" w14:textId="77777777">
        <w:tc>
          <w:tcPr>
            <w:tcW w:w="3757" w:type="dxa"/>
          </w:tcPr>
          <w:p w14:paraId="54E612A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назад</w:t>
            </w:r>
          </w:p>
        </w:tc>
        <w:tc>
          <w:tcPr>
            <w:tcW w:w="3757" w:type="dxa"/>
          </w:tcPr>
          <w:p w14:paraId="19675F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пулемет 12.7 мм</w:t>
            </w:r>
          </w:p>
        </w:tc>
        <w:tc>
          <w:tcPr>
            <w:tcW w:w="3757" w:type="dxa"/>
          </w:tcPr>
          <w:p w14:paraId="2DCB47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r>
    </w:tbl>
    <w:p w14:paraId="5D9DA7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самолета в составе 2 чел. 1 л и 1 ш</w:t>
      </w:r>
    </w:p>
    <w:p w14:paraId="042B68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Директору завода 22 и ГК В.М.М. предъявить на гос. испытания 1 экз. к 25 марта, 2-й к 15 апреля 1944</w:t>
      </w:r>
    </w:p>
    <w:p w14:paraId="1060EA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Разрешить ГК В.М.М. использовать находящееся в производстве согласно постановлению ГОКО N 4849 от 27 декабря 1943 опытные самолеты Пе-2 для внесения в них всех изменений, в соответствии с настоящим постановлением</w:t>
      </w:r>
    </w:p>
    <w:p w14:paraId="710A48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ГК В.М.М. при проектировании предусмотреть, чтобы модифицированный самолет Пе-2 без конструктивных переделок мог бы взять вместо бомб внутрь фюзеляжа доп. вооружение: 3х20 мм или 1х45 мм (1664,20).</w:t>
      </w:r>
    </w:p>
    <w:p w14:paraId="327F87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Иногда пишут про 2хНС-45 по этому приказу (2471,39).</w:t>
      </w:r>
    </w:p>
    <w:p w14:paraId="617FA4F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E80D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января 1944 года гл. конструктор самолета Пе-8 Незваль писал письмо Шахурину.</w:t>
      </w:r>
    </w:p>
    <w:p w14:paraId="794B0D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Докладная записка</w:t>
      </w:r>
    </w:p>
    <w:p w14:paraId="4F43D3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вопросу модификации серийного самолета Пе-8 докладываю:</w:t>
      </w:r>
    </w:p>
    <w:p w14:paraId="780A43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Сравнение летно-тактических данных отечественного тяжелого бомбардировщика Пе-8 с четырьмя моторами М-82 с аналогичными американскими и английским серийными самолетами, проведенное на основании данных БНТ НКАП, показывает, что самолет Пе-8 по своим размерам и полетному весу является самолетом более тяжелым, а по скорости менее быстроходным и при этом с меньшей рабочей высотой. В то же время самолет Пе-8 способен поднимать большую бомбовую нагрузку тяжелого калибра и обеспечивать при этом большую дальность полета.</w:t>
      </w:r>
    </w:p>
    <w:p w14:paraId="3CCBE4D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лучшие американские серийные тяжелые самолеты "Либерейтор" фирмы Консолидейтед и "Летающая крепость" фирмы Боинг и английский бомбардировщик "Ланкастер-1" фирмы Авро по сравнению с самолетом Пе-8 имеют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937"/>
        <w:gridCol w:w="937"/>
        <w:gridCol w:w="937"/>
        <w:gridCol w:w="937"/>
        <w:gridCol w:w="937"/>
        <w:gridCol w:w="937"/>
        <w:gridCol w:w="937"/>
        <w:gridCol w:w="937"/>
        <w:gridCol w:w="937"/>
      </w:tblGrid>
      <w:tr w:rsidR="00CB5308" w:rsidRPr="00070ADE" w14:paraId="0352FEB7" w14:textId="77777777">
        <w:tc>
          <w:tcPr>
            <w:tcW w:w="1809" w:type="dxa"/>
          </w:tcPr>
          <w:p w14:paraId="751691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w:t>
            </w:r>
          </w:p>
        </w:tc>
        <w:tc>
          <w:tcPr>
            <w:tcW w:w="937" w:type="dxa"/>
          </w:tcPr>
          <w:p w14:paraId="7DE157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w:t>
            </w:r>
          </w:p>
        </w:tc>
        <w:tc>
          <w:tcPr>
            <w:tcW w:w="937" w:type="dxa"/>
          </w:tcPr>
          <w:p w14:paraId="48F7D4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w:t>
            </w:r>
          </w:p>
        </w:tc>
        <w:tc>
          <w:tcPr>
            <w:tcW w:w="937" w:type="dxa"/>
          </w:tcPr>
          <w:p w14:paraId="66B065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w:t>
            </w:r>
          </w:p>
        </w:tc>
        <w:tc>
          <w:tcPr>
            <w:tcW w:w="937" w:type="dxa"/>
          </w:tcPr>
          <w:p w14:paraId="182880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w:t>
            </w:r>
          </w:p>
        </w:tc>
        <w:tc>
          <w:tcPr>
            <w:tcW w:w="937" w:type="dxa"/>
          </w:tcPr>
          <w:p w14:paraId="64C9D5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Нагр.</w:t>
            </w:r>
          </w:p>
        </w:tc>
        <w:tc>
          <w:tcPr>
            <w:tcW w:w="937" w:type="dxa"/>
          </w:tcPr>
          <w:p w14:paraId="2E106E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Удлинен.</w:t>
            </w:r>
          </w:p>
        </w:tc>
        <w:tc>
          <w:tcPr>
            <w:tcW w:w="937" w:type="dxa"/>
          </w:tcPr>
          <w:p w14:paraId="4760D7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w:t>
            </w:r>
          </w:p>
        </w:tc>
        <w:tc>
          <w:tcPr>
            <w:tcW w:w="937" w:type="dxa"/>
          </w:tcPr>
          <w:p w14:paraId="694660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Расчет.</w:t>
            </w:r>
          </w:p>
        </w:tc>
        <w:tc>
          <w:tcPr>
            <w:tcW w:w="937" w:type="dxa"/>
          </w:tcPr>
          <w:p w14:paraId="4BE09F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w:t>
            </w:r>
          </w:p>
        </w:tc>
      </w:tr>
      <w:tr w:rsidR="00CB5308" w:rsidRPr="00070ADE" w14:paraId="0A319267" w14:textId="77777777">
        <w:tc>
          <w:tcPr>
            <w:tcW w:w="1809" w:type="dxa"/>
          </w:tcPr>
          <w:p w14:paraId="22025B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4F7BCBC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5B45A98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мотора</w:t>
            </w:r>
          </w:p>
        </w:tc>
        <w:tc>
          <w:tcPr>
            <w:tcW w:w="937" w:type="dxa"/>
          </w:tcPr>
          <w:p w14:paraId="1A863D4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с-та</w:t>
            </w:r>
          </w:p>
        </w:tc>
        <w:tc>
          <w:tcPr>
            <w:tcW w:w="937" w:type="dxa"/>
          </w:tcPr>
          <w:p w14:paraId="2AEA53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крыла</w:t>
            </w:r>
          </w:p>
        </w:tc>
        <w:tc>
          <w:tcPr>
            <w:tcW w:w="937" w:type="dxa"/>
          </w:tcPr>
          <w:p w14:paraId="7A91DC2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 кв.</w:t>
            </w:r>
          </w:p>
        </w:tc>
        <w:tc>
          <w:tcPr>
            <w:tcW w:w="937" w:type="dxa"/>
          </w:tcPr>
          <w:p w14:paraId="48B83D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5F28D0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w:t>
            </w:r>
          </w:p>
        </w:tc>
        <w:tc>
          <w:tcPr>
            <w:tcW w:w="937" w:type="dxa"/>
          </w:tcPr>
          <w:p w14:paraId="3BD55F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w:t>
            </w:r>
          </w:p>
        </w:tc>
        <w:tc>
          <w:tcPr>
            <w:tcW w:w="937" w:type="dxa"/>
          </w:tcPr>
          <w:p w14:paraId="03B3222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потолок</w:t>
            </w:r>
          </w:p>
        </w:tc>
      </w:tr>
      <w:tr w:rsidR="00CB5308" w:rsidRPr="00070ADE" w14:paraId="738A4BB6" w14:textId="77777777">
        <w:tc>
          <w:tcPr>
            <w:tcW w:w="1809" w:type="dxa"/>
          </w:tcPr>
          <w:p w14:paraId="2ACA2C4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29121FE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375E8E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418F82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398C5D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58F399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крыла</w:t>
            </w:r>
          </w:p>
        </w:tc>
        <w:tc>
          <w:tcPr>
            <w:tcW w:w="937" w:type="dxa"/>
          </w:tcPr>
          <w:p w14:paraId="145E796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07631F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км/час.</w:t>
            </w:r>
          </w:p>
        </w:tc>
        <w:tc>
          <w:tcPr>
            <w:tcW w:w="937" w:type="dxa"/>
          </w:tcPr>
          <w:p w14:paraId="00C80A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1536D4B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BC086CC" w14:textId="77777777">
        <w:tc>
          <w:tcPr>
            <w:tcW w:w="1809" w:type="dxa"/>
          </w:tcPr>
          <w:p w14:paraId="1B87806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Консолидейтед</w:t>
            </w:r>
          </w:p>
        </w:tc>
        <w:tc>
          <w:tcPr>
            <w:tcW w:w="937" w:type="dxa"/>
          </w:tcPr>
          <w:p w14:paraId="385624F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R-1830</w:t>
            </w:r>
          </w:p>
        </w:tc>
        <w:tc>
          <w:tcPr>
            <w:tcW w:w="937" w:type="dxa"/>
          </w:tcPr>
          <w:p w14:paraId="5BD51C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19AD95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335B32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4C9CE7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3A5FA4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023A0C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0807D7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2FEABF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46A2B4F5" w14:textId="77777777">
        <w:tc>
          <w:tcPr>
            <w:tcW w:w="1809" w:type="dxa"/>
          </w:tcPr>
          <w:p w14:paraId="040028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В-24Д и</w:t>
            </w:r>
          </w:p>
        </w:tc>
        <w:tc>
          <w:tcPr>
            <w:tcW w:w="937" w:type="dxa"/>
          </w:tcPr>
          <w:p w14:paraId="152807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 с</w:t>
            </w:r>
          </w:p>
        </w:tc>
        <w:tc>
          <w:tcPr>
            <w:tcW w:w="937" w:type="dxa"/>
          </w:tcPr>
          <w:p w14:paraId="3BB275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483FAA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4D7692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58E178A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5CDF60E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009693B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2BAE3DC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5684FB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24444DF1" w14:textId="77777777">
        <w:tc>
          <w:tcPr>
            <w:tcW w:w="1809" w:type="dxa"/>
          </w:tcPr>
          <w:p w14:paraId="6B04F1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Либерейтор</w:t>
            </w:r>
          </w:p>
        </w:tc>
        <w:tc>
          <w:tcPr>
            <w:tcW w:w="937" w:type="dxa"/>
          </w:tcPr>
          <w:p w14:paraId="37AABA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ТК</w:t>
            </w:r>
          </w:p>
        </w:tc>
        <w:tc>
          <w:tcPr>
            <w:tcW w:w="937" w:type="dxa"/>
          </w:tcPr>
          <w:p w14:paraId="2BB6D1A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1200</w:t>
            </w:r>
          </w:p>
        </w:tc>
        <w:tc>
          <w:tcPr>
            <w:tcW w:w="937" w:type="dxa"/>
          </w:tcPr>
          <w:p w14:paraId="1F96EA2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26800</w:t>
            </w:r>
          </w:p>
        </w:tc>
        <w:tc>
          <w:tcPr>
            <w:tcW w:w="937" w:type="dxa"/>
          </w:tcPr>
          <w:p w14:paraId="7BA1FA9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97,5</w:t>
            </w:r>
          </w:p>
        </w:tc>
        <w:tc>
          <w:tcPr>
            <w:tcW w:w="937" w:type="dxa"/>
          </w:tcPr>
          <w:p w14:paraId="1017489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260</w:t>
            </w:r>
          </w:p>
        </w:tc>
        <w:tc>
          <w:tcPr>
            <w:tcW w:w="937" w:type="dxa"/>
          </w:tcPr>
          <w:p w14:paraId="684801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11,5</w:t>
            </w:r>
          </w:p>
        </w:tc>
        <w:tc>
          <w:tcPr>
            <w:tcW w:w="937" w:type="dxa"/>
          </w:tcPr>
          <w:p w14:paraId="2D6C6EA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937" w:type="dxa"/>
          </w:tcPr>
          <w:p w14:paraId="33DD8F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7600</w:t>
            </w:r>
          </w:p>
        </w:tc>
        <w:tc>
          <w:tcPr>
            <w:tcW w:w="937" w:type="dxa"/>
          </w:tcPr>
          <w:p w14:paraId="55E744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10350</w:t>
            </w:r>
          </w:p>
        </w:tc>
      </w:tr>
      <w:tr w:rsidR="00CB5308" w:rsidRPr="00070ADE" w14:paraId="30835B13" w14:textId="77777777">
        <w:tc>
          <w:tcPr>
            <w:tcW w:w="1809" w:type="dxa"/>
          </w:tcPr>
          <w:p w14:paraId="6B6EDD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Боинг В-17F</w:t>
            </w:r>
          </w:p>
        </w:tc>
        <w:tc>
          <w:tcPr>
            <w:tcW w:w="937" w:type="dxa"/>
          </w:tcPr>
          <w:p w14:paraId="17263F3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Райт</w:t>
            </w:r>
          </w:p>
        </w:tc>
        <w:tc>
          <w:tcPr>
            <w:tcW w:w="937" w:type="dxa"/>
          </w:tcPr>
          <w:p w14:paraId="3154D1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1DF869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5DED00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683516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57B9B1A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09E26B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4E3A616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30B87C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000176A4" w14:textId="77777777">
        <w:tc>
          <w:tcPr>
            <w:tcW w:w="1809" w:type="dxa"/>
          </w:tcPr>
          <w:p w14:paraId="3A49A7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"Летающая</w:t>
            </w:r>
          </w:p>
        </w:tc>
        <w:tc>
          <w:tcPr>
            <w:tcW w:w="937" w:type="dxa"/>
          </w:tcPr>
          <w:p w14:paraId="36B4F49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R-1820</w:t>
            </w:r>
          </w:p>
        </w:tc>
        <w:tc>
          <w:tcPr>
            <w:tcW w:w="937" w:type="dxa"/>
          </w:tcPr>
          <w:p w14:paraId="571768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3823BDF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4E3AFFC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487329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0506DE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73874F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2908711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43E695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5C111D32" w14:textId="77777777">
        <w:tc>
          <w:tcPr>
            <w:tcW w:w="1809" w:type="dxa"/>
          </w:tcPr>
          <w:p w14:paraId="533114B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крепость"</w:t>
            </w:r>
          </w:p>
        </w:tc>
        <w:tc>
          <w:tcPr>
            <w:tcW w:w="937" w:type="dxa"/>
          </w:tcPr>
          <w:p w14:paraId="1CF4B7F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w:t>
            </w:r>
          </w:p>
        </w:tc>
        <w:tc>
          <w:tcPr>
            <w:tcW w:w="937" w:type="dxa"/>
          </w:tcPr>
          <w:p w14:paraId="7341DC8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1200</w:t>
            </w:r>
          </w:p>
        </w:tc>
        <w:tc>
          <w:tcPr>
            <w:tcW w:w="937" w:type="dxa"/>
          </w:tcPr>
          <w:p w14:paraId="40B760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25000</w:t>
            </w:r>
          </w:p>
        </w:tc>
        <w:tc>
          <w:tcPr>
            <w:tcW w:w="937" w:type="dxa"/>
          </w:tcPr>
          <w:p w14:paraId="560750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118,5</w:t>
            </w:r>
          </w:p>
        </w:tc>
        <w:tc>
          <w:tcPr>
            <w:tcW w:w="937" w:type="dxa"/>
          </w:tcPr>
          <w:p w14:paraId="71A966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211</w:t>
            </w:r>
          </w:p>
        </w:tc>
        <w:tc>
          <w:tcPr>
            <w:tcW w:w="937" w:type="dxa"/>
          </w:tcPr>
          <w:p w14:paraId="0AD7721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8,55</w:t>
            </w:r>
          </w:p>
        </w:tc>
        <w:tc>
          <w:tcPr>
            <w:tcW w:w="937" w:type="dxa"/>
          </w:tcPr>
          <w:p w14:paraId="0640F24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490</w:t>
            </w:r>
          </w:p>
        </w:tc>
        <w:tc>
          <w:tcPr>
            <w:tcW w:w="937" w:type="dxa"/>
          </w:tcPr>
          <w:p w14:paraId="049BC6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8250</w:t>
            </w:r>
          </w:p>
        </w:tc>
        <w:tc>
          <w:tcPr>
            <w:tcW w:w="937" w:type="dxa"/>
          </w:tcPr>
          <w:p w14:paraId="670C40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10700</w:t>
            </w:r>
          </w:p>
        </w:tc>
      </w:tr>
      <w:tr w:rsidR="00CB5308" w:rsidRPr="00070ADE" w14:paraId="4C4A1D98" w14:textId="77777777">
        <w:tc>
          <w:tcPr>
            <w:tcW w:w="1809" w:type="dxa"/>
          </w:tcPr>
          <w:p w14:paraId="1799E1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Авро </w:t>
            </w:r>
          </w:p>
        </w:tc>
        <w:tc>
          <w:tcPr>
            <w:tcW w:w="937" w:type="dxa"/>
          </w:tcPr>
          <w:p w14:paraId="056AF4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"Мерлин"</w:t>
            </w:r>
          </w:p>
        </w:tc>
        <w:tc>
          <w:tcPr>
            <w:tcW w:w="937" w:type="dxa"/>
          </w:tcPr>
          <w:p w14:paraId="73296F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179449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2EE173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1A27501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713926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38759F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13722F9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7" w:type="dxa"/>
          </w:tcPr>
          <w:p w14:paraId="1E981AD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CB5308" w:rsidRPr="00070ADE" w14:paraId="1FE9C4CA" w14:textId="77777777">
        <w:tc>
          <w:tcPr>
            <w:tcW w:w="1809" w:type="dxa"/>
          </w:tcPr>
          <w:p w14:paraId="525E1D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"Ланкастер-1"</w:t>
            </w:r>
          </w:p>
        </w:tc>
        <w:tc>
          <w:tcPr>
            <w:tcW w:w="937" w:type="dxa"/>
          </w:tcPr>
          <w:p w14:paraId="7F94C9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ХХ</w:t>
            </w:r>
          </w:p>
        </w:tc>
        <w:tc>
          <w:tcPr>
            <w:tcW w:w="937" w:type="dxa"/>
          </w:tcPr>
          <w:p w14:paraId="09F8EA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1170</w:t>
            </w:r>
          </w:p>
        </w:tc>
        <w:tc>
          <w:tcPr>
            <w:tcW w:w="937" w:type="dxa"/>
          </w:tcPr>
          <w:p w14:paraId="2D4333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27300</w:t>
            </w:r>
          </w:p>
        </w:tc>
        <w:tc>
          <w:tcPr>
            <w:tcW w:w="937" w:type="dxa"/>
          </w:tcPr>
          <w:p w14:paraId="061691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120,5</w:t>
            </w:r>
          </w:p>
        </w:tc>
        <w:tc>
          <w:tcPr>
            <w:tcW w:w="937" w:type="dxa"/>
          </w:tcPr>
          <w:p w14:paraId="2ADC0B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218</w:t>
            </w:r>
          </w:p>
        </w:tc>
        <w:tc>
          <w:tcPr>
            <w:tcW w:w="937" w:type="dxa"/>
          </w:tcPr>
          <w:p w14:paraId="56B899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w:t>
            </w:r>
          </w:p>
        </w:tc>
        <w:tc>
          <w:tcPr>
            <w:tcW w:w="937" w:type="dxa"/>
          </w:tcPr>
          <w:p w14:paraId="02ED6E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480</w:t>
            </w:r>
          </w:p>
        </w:tc>
        <w:tc>
          <w:tcPr>
            <w:tcW w:w="937" w:type="dxa"/>
          </w:tcPr>
          <w:p w14:paraId="69B5E63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6400</w:t>
            </w:r>
          </w:p>
        </w:tc>
        <w:tc>
          <w:tcPr>
            <w:tcW w:w="937" w:type="dxa"/>
          </w:tcPr>
          <w:p w14:paraId="024EB10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CB5308" w:rsidRPr="00070ADE" w14:paraId="3431A40D" w14:textId="77777777">
        <w:tc>
          <w:tcPr>
            <w:tcW w:w="1809" w:type="dxa"/>
          </w:tcPr>
          <w:p w14:paraId="662F472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Серийный Пе-8</w:t>
            </w:r>
          </w:p>
        </w:tc>
        <w:tc>
          <w:tcPr>
            <w:tcW w:w="937" w:type="dxa"/>
          </w:tcPr>
          <w:p w14:paraId="3EC9CF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М-82</w:t>
            </w:r>
          </w:p>
        </w:tc>
        <w:tc>
          <w:tcPr>
            <w:tcW w:w="937" w:type="dxa"/>
          </w:tcPr>
          <w:p w14:paraId="5F1ED9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1330</w:t>
            </w:r>
          </w:p>
        </w:tc>
        <w:tc>
          <w:tcPr>
            <w:tcW w:w="937" w:type="dxa"/>
          </w:tcPr>
          <w:p w14:paraId="3D8BEF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36000</w:t>
            </w:r>
          </w:p>
        </w:tc>
        <w:tc>
          <w:tcPr>
            <w:tcW w:w="937" w:type="dxa"/>
          </w:tcPr>
          <w:p w14:paraId="3C6FEB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188,6</w:t>
            </w:r>
          </w:p>
        </w:tc>
        <w:tc>
          <w:tcPr>
            <w:tcW w:w="937" w:type="dxa"/>
          </w:tcPr>
          <w:p w14:paraId="2C9A0F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190</w:t>
            </w:r>
          </w:p>
        </w:tc>
        <w:tc>
          <w:tcPr>
            <w:tcW w:w="937" w:type="dxa"/>
          </w:tcPr>
          <w:p w14:paraId="2D42DC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w:t>
            </w:r>
          </w:p>
        </w:tc>
        <w:tc>
          <w:tcPr>
            <w:tcW w:w="937" w:type="dxa"/>
          </w:tcPr>
          <w:p w14:paraId="790746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420</w:t>
            </w:r>
          </w:p>
        </w:tc>
        <w:tc>
          <w:tcPr>
            <w:tcW w:w="937" w:type="dxa"/>
          </w:tcPr>
          <w:p w14:paraId="27370D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5600</w:t>
            </w:r>
          </w:p>
        </w:tc>
        <w:tc>
          <w:tcPr>
            <w:tcW w:w="937" w:type="dxa"/>
          </w:tcPr>
          <w:p w14:paraId="0602CA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8000</w:t>
            </w:r>
          </w:p>
        </w:tc>
      </w:tr>
    </w:tbl>
    <w:p w14:paraId="6F6F48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приведенной таблицы видно, что самолеты "Либерейтор" и "Летающая крепость" имеют моторы, оборудованные турбокомпрессорами, что обеспечивает им большую высотность и позволяет получить им более высокие скорости на большой высоте.</w:t>
      </w:r>
    </w:p>
    <w:p w14:paraId="1B34EF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Меньшая максимальная скорость самолета Пе-8, как самолета более раннего выпуска, объясняется не только значительно меньшей высотностью установленных на нем моторов, но также более низким уровнем аэродинамического совершенства отдельных его частей.</w:t>
      </w:r>
    </w:p>
    <w:p w14:paraId="58E3A9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 касается бомбовой нагрузки самолета Пе-8 и его дальности полета, то они не уступают ни одному из упомянутых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tblGrid>
      <w:tr w:rsidR="00CB5308" w:rsidRPr="00070ADE" w14:paraId="45D533F2" w14:textId="77777777">
        <w:tc>
          <w:tcPr>
            <w:tcW w:w="1878" w:type="dxa"/>
          </w:tcPr>
          <w:p w14:paraId="30EADC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w:t>
            </w:r>
          </w:p>
        </w:tc>
        <w:tc>
          <w:tcPr>
            <w:tcW w:w="1878" w:type="dxa"/>
          </w:tcPr>
          <w:p w14:paraId="3D1854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w:t>
            </w:r>
          </w:p>
        </w:tc>
        <w:tc>
          <w:tcPr>
            <w:tcW w:w="1878" w:type="dxa"/>
          </w:tcPr>
          <w:p w14:paraId="696E0D0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Бомбовая</w:t>
            </w:r>
          </w:p>
        </w:tc>
        <w:tc>
          <w:tcPr>
            <w:tcW w:w="1878" w:type="dxa"/>
          </w:tcPr>
          <w:p w14:paraId="3DF6F3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w:t>
            </w:r>
          </w:p>
        </w:tc>
      </w:tr>
      <w:tr w:rsidR="00CB5308" w:rsidRPr="00070ADE" w14:paraId="0EC7E531" w14:textId="77777777">
        <w:tc>
          <w:tcPr>
            <w:tcW w:w="1878" w:type="dxa"/>
          </w:tcPr>
          <w:p w14:paraId="1F36A8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EF68A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w:t>
            </w:r>
          </w:p>
        </w:tc>
        <w:tc>
          <w:tcPr>
            <w:tcW w:w="1878" w:type="dxa"/>
          </w:tcPr>
          <w:p w14:paraId="2337BB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нагрузка</w:t>
            </w:r>
          </w:p>
        </w:tc>
        <w:tc>
          <w:tcPr>
            <w:tcW w:w="1878" w:type="dxa"/>
          </w:tcPr>
          <w:p w14:paraId="2C2126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полета</w:t>
            </w:r>
          </w:p>
        </w:tc>
      </w:tr>
      <w:tr w:rsidR="00CB5308" w:rsidRPr="00070ADE" w14:paraId="0C0D4055" w14:textId="77777777">
        <w:tc>
          <w:tcPr>
            <w:tcW w:w="1878" w:type="dxa"/>
          </w:tcPr>
          <w:p w14:paraId="25B054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"Либерейтор"</w:t>
            </w:r>
          </w:p>
        </w:tc>
        <w:tc>
          <w:tcPr>
            <w:tcW w:w="1878" w:type="dxa"/>
          </w:tcPr>
          <w:p w14:paraId="78AB77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25000</w:t>
            </w:r>
          </w:p>
        </w:tc>
        <w:tc>
          <w:tcPr>
            <w:tcW w:w="1878" w:type="dxa"/>
          </w:tcPr>
          <w:p w14:paraId="6511BA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1810</w:t>
            </w:r>
          </w:p>
        </w:tc>
        <w:tc>
          <w:tcPr>
            <w:tcW w:w="1878" w:type="dxa"/>
          </w:tcPr>
          <w:p w14:paraId="741CB3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4430</w:t>
            </w:r>
          </w:p>
        </w:tc>
      </w:tr>
      <w:tr w:rsidR="00CB5308" w:rsidRPr="00070ADE" w14:paraId="3A4584AE" w14:textId="77777777">
        <w:tc>
          <w:tcPr>
            <w:tcW w:w="1878" w:type="dxa"/>
          </w:tcPr>
          <w:p w14:paraId="7369AB4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7DBED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26800</w:t>
            </w:r>
          </w:p>
        </w:tc>
        <w:tc>
          <w:tcPr>
            <w:tcW w:w="1878" w:type="dxa"/>
          </w:tcPr>
          <w:p w14:paraId="0B3412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3620</w:t>
            </w:r>
          </w:p>
        </w:tc>
        <w:tc>
          <w:tcPr>
            <w:tcW w:w="1878" w:type="dxa"/>
          </w:tcPr>
          <w:p w14:paraId="67C637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4200</w:t>
            </w:r>
          </w:p>
        </w:tc>
      </w:tr>
      <w:tr w:rsidR="00CB5308" w:rsidRPr="00070ADE" w14:paraId="745582A0" w14:textId="77777777">
        <w:tc>
          <w:tcPr>
            <w:tcW w:w="1878" w:type="dxa"/>
          </w:tcPr>
          <w:p w14:paraId="17FFE80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"Летающая</w:t>
            </w:r>
          </w:p>
        </w:tc>
        <w:tc>
          <w:tcPr>
            <w:tcW w:w="1878" w:type="dxa"/>
          </w:tcPr>
          <w:p w14:paraId="4F74D5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25000</w:t>
            </w:r>
          </w:p>
        </w:tc>
        <w:tc>
          <w:tcPr>
            <w:tcW w:w="1878" w:type="dxa"/>
          </w:tcPr>
          <w:p w14:paraId="502A50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2720</w:t>
            </w:r>
          </w:p>
        </w:tc>
        <w:tc>
          <w:tcPr>
            <w:tcW w:w="1878" w:type="dxa"/>
          </w:tcPr>
          <w:p w14:paraId="026EEB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4350</w:t>
            </w:r>
          </w:p>
        </w:tc>
      </w:tr>
      <w:tr w:rsidR="00CB5308" w:rsidRPr="00070ADE" w14:paraId="295B667D" w14:textId="77777777">
        <w:tc>
          <w:tcPr>
            <w:tcW w:w="1878" w:type="dxa"/>
          </w:tcPr>
          <w:p w14:paraId="0F81285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крепость"</w:t>
            </w:r>
          </w:p>
        </w:tc>
        <w:tc>
          <w:tcPr>
            <w:tcW w:w="1878" w:type="dxa"/>
          </w:tcPr>
          <w:p w14:paraId="68F577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25000</w:t>
            </w:r>
          </w:p>
        </w:tc>
        <w:tc>
          <w:tcPr>
            <w:tcW w:w="1878" w:type="dxa"/>
          </w:tcPr>
          <w:p w14:paraId="2C04F0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5800</w:t>
            </w:r>
          </w:p>
        </w:tc>
        <w:tc>
          <w:tcPr>
            <w:tcW w:w="1878" w:type="dxa"/>
          </w:tcPr>
          <w:p w14:paraId="548FBD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2130</w:t>
            </w:r>
          </w:p>
        </w:tc>
      </w:tr>
      <w:tr w:rsidR="00CB5308" w:rsidRPr="00070ADE" w14:paraId="77EA898E" w14:textId="77777777">
        <w:tc>
          <w:tcPr>
            <w:tcW w:w="1878" w:type="dxa"/>
          </w:tcPr>
          <w:p w14:paraId="32778C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"Ланкастер-1"</w:t>
            </w:r>
          </w:p>
        </w:tc>
        <w:tc>
          <w:tcPr>
            <w:tcW w:w="1878" w:type="dxa"/>
          </w:tcPr>
          <w:p w14:paraId="2F4388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27300</w:t>
            </w:r>
          </w:p>
        </w:tc>
        <w:tc>
          <w:tcPr>
            <w:tcW w:w="1878" w:type="dxa"/>
          </w:tcPr>
          <w:p w14:paraId="4CC5C00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1800</w:t>
            </w:r>
          </w:p>
        </w:tc>
        <w:tc>
          <w:tcPr>
            <w:tcW w:w="1878" w:type="dxa"/>
          </w:tcPr>
          <w:p w14:paraId="59644C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3200</w:t>
            </w:r>
          </w:p>
        </w:tc>
      </w:tr>
      <w:tr w:rsidR="00CB5308" w:rsidRPr="00070ADE" w14:paraId="1153D971" w14:textId="77777777">
        <w:tc>
          <w:tcPr>
            <w:tcW w:w="1878" w:type="dxa"/>
          </w:tcPr>
          <w:p w14:paraId="7BAC12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134549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27300</w:t>
            </w:r>
          </w:p>
        </w:tc>
        <w:tc>
          <w:tcPr>
            <w:tcW w:w="1878" w:type="dxa"/>
          </w:tcPr>
          <w:p w14:paraId="6425EB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5450</w:t>
            </w:r>
          </w:p>
        </w:tc>
        <w:tc>
          <w:tcPr>
            <w:tcW w:w="1878" w:type="dxa"/>
          </w:tcPr>
          <w:p w14:paraId="1DCB0A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1930</w:t>
            </w:r>
          </w:p>
        </w:tc>
      </w:tr>
      <w:tr w:rsidR="00CB5308" w:rsidRPr="00070ADE" w14:paraId="5BA37EEF" w14:textId="77777777">
        <w:tc>
          <w:tcPr>
            <w:tcW w:w="1878" w:type="dxa"/>
          </w:tcPr>
          <w:p w14:paraId="58C9886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Пе-8</w:t>
            </w:r>
          </w:p>
        </w:tc>
        <w:tc>
          <w:tcPr>
            <w:tcW w:w="1878" w:type="dxa"/>
          </w:tcPr>
          <w:p w14:paraId="46820A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36000</w:t>
            </w:r>
          </w:p>
        </w:tc>
        <w:tc>
          <w:tcPr>
            <w:tcW w:w="1878" w:type="dxa"/>
          </w:tcPr>
          <w:p w14:paraId="05DE22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2000</w:t>
            </w:r>
          </w:p>
        </w:tc>
        <w:tc>
          <w:tcPr>
            <w:tcW w:w="1878" w:type="dxa"/>
          </w:tcPr>
          <w:p w14:paraId="35D586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5400</w:t>
            </w:r>
          </w:p>
        </w:tc>
      </w:tr>
      <w:tr w:rsidR="00CB5308" w:rsidRPr="00070ADE" w14:paraId="02B19091" w14:textId="77777777">
        <w:tc>
          <w:tcPr>
            <w:tcW w:w="1878" w:type="dxa"/>
          </w:tcPr>
          <w:p w14:paraId="2A498E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2FD47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36000</w:t>
            </w:r>
          </w:p>
        </w:tc>
        <w:tc>
          <w:tcPr>
            <w:tcW w:w="1878" w:type="dxa"/>
          </w:tcPr>
          <w:p w14:paraId="29A0A0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6000</w:t>
            </w:r>
          </w:p>
        </w:tc>
        <w:tc>
          <w:tcPr>
            <w:tcW w:w="1878" w:type="dxa"/>
          </w:tcPr>
          <w:p w14:paraId="122DD0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3500</w:t>
            </w:r>
          </w:p>
        </w:tc>
      </w:tr>
    </w:tbl>
    <w:p w14:paraId="7103B09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таблицы видно, что наибольшую бомбовую нагрузку в 6000 кг несет самолет Пе-8 и обладает при этом дальностью в 3500 км.</w:t>
      </w:r>
    </w:p>
    <w:p w14:paraId="359A67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сравнения огневой защиты самолета Пе-8 с иностранными видно, что по своему стрелковому вооружению самолет Пе-8 также не уступает американским и превосходит английские, причем схема размещения его стрелковых точек аналогична с иностранными.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960"/>
        <w:gridCol w:w="960"/>
        <w:gridCol w:w="1208"/>
        <w:gridCol w:w="1063"/>
        <w:gridCol w:w="1196"/>
      </w:tblGrid>
      <w:tr w:rsidR="00CB5308" w:rsidRPr="00070ADE" w14:paraId="4867BB7B" w14:textId="77777777">
        <w:tc>
          <w:tcPr>
            <w:tcW w:w="1384" w:type="dxa"/>
          </w:tcPr>
          <w:p w14:paraId="7F77DD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w:t>
            </w:r>
          </w:p>
        </w:tc>
        <w:tc>
          <w:tcPr>
            <w:tcW w:w="960" w:type="dxa"/>
          </w:tcPr>
          <w:p w14:paraId="34712D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74FCF4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Пе-8</w:t>
            </w:r>
          </w:p>
        </w:tc>
        <w:tc>
          <w:tcPr>
            <w:tcW w:w="1208" w:type="dxa"/>
          </w:tcPr>
          <w:p w14:paraId="2736430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"Либерейтор"</w:t>
            </w:r>
          </w:p>
        </w:tc>
        <w:tc>
          <w:tcPr>
            <w:tcW w:w="1063" w:type="dxa"/>
          </w:tcPr>
          <w:p w14:paraId="67B688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"Летающая</w:t>
            </w:r>
          </w:p>
        </w:tc>
        <w:tc>
          <w:tcPr>
            <w:tcW w:w="1196" w:type="dxa"/>
          </w:tcPr>
          <w:p w14:paraId="609828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"Ланкастер-1"</w:t>
            </w:r>
          </w:p>
        </w:tc>
      </w:tr>
      <w:tr w:rsidR="004D4663" w:rsidRPr="00070ADE" w14:paraId="17D938F1" w14:textId="77777777">
        <w:tc>
          <w:tcPr>
            <w:tcW w:w="1384" w:type="dxa"/>
          </w:tcPr>
          <w:p w14:paraId="4E9049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стрелковой </w:t>
            </w:r>
          </w:p>
        </w:tc>
        <w:tc>
          <w:tcPr>
            <w:tcW w:w="960" w:type="dxa"/>
          </w:tcPr>
          <w:p w14:paraId="105822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20381B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8" w:type="dxa"/>
          </w:tcPr>
          <w:p w14:paraId="237741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крепость"</w:t>
            </w:r>
          </w:p>
        </w:tc>
        <w:tc>
          <w:tcPr>
            <w:tcW w:w="1063" w:type="dxa"/>
          </w:tcPr>
          <w:p w14:paraId="310FEF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96" w:type="dxa"/>
          </w:tcPr>
          <w:p w14:paraId="4B65B4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891406B" w14:textId="77777777">
        <w:tc>
          <w:tcPr>
            <w:tcW w:w="1384" w:type="dxa"/>
          </w:tcPr>
          <w:p w14:paraId="036A2C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установки</w:t>
            </w:r>
          </w:p>
        </w:tc>
        <w:tc>
          <w:tcPr>
            <w:tcW w:w="960" w:type="dxa"/>
          </w:tcPr>
          <w:p w14:paraId="1B2D7D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3B3F4D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8" w:type="dxa"/>
          </w:tcPr>
          <w:p w14:paraId="0697A94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3" w:type="dxa"/>
          </w:tcPr>
          <w:p w14:paraId="0344F3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96" w:type="dxa"/>
          </w:tcPr>
          <w:p w14:paraId="074E0E8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826E96E" w14:textId="77777777">
        <w:tc>
          <w:tcPr>
            <w:tcW w:w="1384" w:type="dxa"/>
          </w:tcPr>
          <w:p w14:paraId="576129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Носовая</w:t>
            </w:r>
          </w:p>
        </w:tc>
        <w:tc>
          <w:tcPr>
            <w:tcW w:w="960" w:type="dxa"/>
          </w:tcPr>
          <w:p w14:paraId="458B49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Кол-во</w:t>
            </w:r>
          </w:p>
        </w:tc>
        <w:tc>
          <w:tcPr>
            <w:tcW w:w="960" w:type="dxa"/>
          </w:tcPr>
          <w:p w14:paraId="0B942C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пул.</w:t>
            </w:r>
          </w:p>
        </w:tc>
        <w:tc>
          <w:tcPr>
            <w:tcW w:w="1208" w:type="dxa"/>
          </w:tcPr>
          <w:p w14:paraId="4E749A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пул.</w:t>
            </w:r>
          </w:p>
        </w:tc>
        <w:tc>
          <w:tcPr>
            <w:tcW w:w="1063" w:type="dxa"/>
          </w:tcPr>
          <w:p w14:paraId="6A573AF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пул.</w:t>
            </w:r>
          </w:p>
        </w:tc>
        <w:tc>
          <w:tcPr>
            <w:tcW w:w="1196" w:type="dxa"/>
          </w:tcPr>
          <w:p w14:paraId="2F7E379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пул.</w:t>
            </w:r>
          </w:p>
        </w:tc>
      </w:tr>
      <w:tr w:rsidR="004D4663" w:rsidRPr="00070ADE" w14:paraId="7AE402C5" w14:textId="77777777">
        <w:tc>
          <w:tcPr>
            <w:tcW w:w="1384" w:type="dxa"/>
          </w:tcPr>
          <w:p w14:paraId="27D5F17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w:t>
            </w:r>
          </w:p>
        </w:tc>
        <w:tc>
          <w:tcPr>
            <w:tcW w:w="960" w:type="dxa"/>
          </w:tcPr>
          <w:p w14:paraId="559C0C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Калибр</w:t>
            </w:r>
          </w:p>
        </w:tc>
        <w:tc>
          <w:tcPr>
            <w:tcW w:w="960" w:type="dxa"/>
          </w:tcPr>
          <w:p w14:paraId="5E911C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12,7 мм</w:t>
            </w:r>
          </w:p>
        </w:tc>
        <w:tc>
          <w:tcPr>
            <w:tcW w:w="1208" w:type="dxa"/>
          </w:tcPr>
          <w:p w14:paraId="7FFF20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12,7 мм</w:t>
            </w:r>
          </w:p>
        </w:tc>
        <w:tc>
          <w:tcPr>
            <w:tcW w:w="1063" w:type="dxa"/>
          </w:tcPr>
          <w:p w14:paraId="798561E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7,62 мм</w:t>
            </w:r>
          </w:p>
        </w:tc>
        <w:tc>
          <w:tcPr>
            <w:tcW w:w="1196" w:type="dxa"/>
          </w:tcPr>
          <w:p w14:paraId="0D0B05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 мм</w:t>
            </w:r>
          </w:p>
        </w:tc>
      </w:tr>
      <w:tr w:rsidR="004D4663" w:rsidRPr="00070ADE" w14:paraId="627B2834" w14:textId="77777777">
        <w:tc>
          <w:tcPr>
            <w:tcW w:w="1384" w:type="dxa"/>
          </w:tcPr>
          <w:p w14:paraId="184B47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1B024D1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Обстрел</w:t>
            </w:r>
          </w:p>
        </w:tc>
        <w:tc>
          <w:tcPr>
            <w:tcW w:w="960" w:type="dxa"/>
          </w:tcPr>
          <w:p w14:paraId="42536A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вперед</w:t>
            </w:r>
          </w:p>
        </w:tc>
        <w:tc>
          <w:tcPr>
            <w:tcW w:w="1208" w:type="dxa"/>
          </w:tcPr>
          <w:p w14:paraId="15177B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переставн.</w:t>
            </w:r>
          </w:p>
        </w:tc>
        <w:tc>
          <w:tcPr>
            <w:tcW w:w="1063" w:type="dxa"/>
          </w:tcPr>
          <w:p w14:paraId="40DAE8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огранич.</w:t>
            </w:r>
          </w:p>
        </w:tc>
        <w:tc>
          <w:tcPr>
            <w:tcW w:w="1196" w:type="dxa"/>
          </w:tcPr>
          <w:p w14:paraId="292744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передн.</w:t>
            </w:r>
          </w:p>
        </w:tc>
      </w:tr>
      <w:tr w:rsidR="004D4663" w:rsidRPr="00070ADE" w14:paraId="0BA9EC71" w14:textId="77777777">
        <w:tc>
          <w:tcPr>
            <w:tcW w:w="1384" w:type="dxa"/>
          </w:tcPr>
          <w:p w14:paraId="29C246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1D28E65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конус</w:t>
            </w:r>
          </w:p>
        </w:tc>
        <w:tc>
          <w:tcPr>
            <w:tcW w:w="960" w:type="dxa"/>
          </w:tcPr>
          <w:p w14:paraId="451980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3-х</w:t>
            </w:r>
          </w:p>
        </w:tc>
        <w:tc>
          <w:tcPr>
            <w:tcW w:w="1208" w:type="dxa"/>
          </w:tcPr>
          <w:p w14:paraId="7E60DA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3" w:type="dxa"/>
          </w:tcPr>
          <w:p w14:paraId="64A083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вперед</w:t>
            </w:r>
          </w:p>
        </w:tc>
        <w:tc>
          <w:tcPr>
            <w:tcW w:w="1196" w:type="dxa"/>
          </w:tcPr>
          <w:p w14:paraId="7CE22B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п/сфера</w:t>
            </w:r>
          </w:p>
        </w:tc>
      </w:tr>
      <w:tr w:rsidR="004D4663" w:rsidRPr="00070ADE" w14:paraId="3B36FC14" w14:textId="77777777">
        <w:tc>
          <w:tcPr>
            <w:tcW w:w="1384" w:type="dxa"/>
          </w:tcPr>
          <w:p w14:paraId="10E062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0B382B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 град.</w:t>
            </w:r>
          </w:p>
        </w:tc>
        <w:tc>
          <w:tcPr>
            <w:tcW w:w="960" w:type="dxa"/>
          </w:tcPr>
          <w:p w14:paraId="04E899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гнездах</w:t>
            </w:r>
          </w:p>
        </w:tc>
        <w:tc>
          <w:tcPr>
            <w:tcW w:w="1208" w:type="dxa"/>
          </w:tcPr>
          <w:p w14:paraId="6A5F17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3" w:type="dxa"/>
          </w:tcPr>
          <w:p w14:paraId="5D18E8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96" w:type="dxa"/>
          </w:tcPr>
          <w:p w14:paraId="1F9F3E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2ECEE28" w14:textId="77777777">
        <w:tc>
          <w:tcPr>
            <w:tcW w:w="1384" w:type="dxa"/>
          </w:tcPr>
          <w:p w14:paraId="47716B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Верхняя</w:t>
            </w:r>
          </w:p>
        </w:tc>
        <w:tc>
          <w:tcPr>
            <w:tcW w:w="960" w:type="dxa"/>
          </w:tcPr>
          <w:p w14:paraId="652964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Кол-во</w:t>
            </w:r>
          </w:p>
        </w:tc>
        <w:tc>
          <w:tcPr>
            <w:tcW w:w="960" w:type="dxa"/>
          </w:tcPr>
          <w:p w14:paraId="7FEE5F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пушка</w:t>
            </w:r>
          </w:p>
        </w:tc>
        <w:tc>
          <w:tcPr>
            <w:tcW w:w="1208" w:type="dxa"/>
          </w:tcPr>
          <w:p w14:paraId="76C7AD8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пул.</w:t>
            </w:r>
          </w:p>
        </w:tc>
        <w:tc>
          <w:tcPr>
            <w:tcW w:w="1063" w:type="dxa"/>
          </w:tcPr>
          <w:p w14:paraId="6559DB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пул.</w:t>
            </w:r>
          </w:p>
        </w:tc>
        <w:tc>
          <w:tcPr>
            <w:tcW w:w="1196" w:type="dxa"/>
          </w:tcPr>
          <w:p w14:paraId="434E6E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пул.</w:t>
            </w:r>
          </w:p>
        </w:tc>
      </w:tr>
      <w:tr w:rsidR="004D4663" w:rsidRPr="00070ADE" w14:paraId="1B84BEC8" w14:textId="77777777">
        <w:tc>
          <w:tcPr>
            <w:tcW w:w="1384" w:type="dxa"/>
          </w:tcPr>
          <w:p w14:paraId="46793E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w:t>
            </w:r>
          </w:p>
        </w:tc>
        <w:tc>
          <w:tcPr>
            <w:tcW w:w="960" w:type="dxa"/>
          </w:tcPr>
          <w:p w14:paraId="345EFF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Калибр</w:t>
            </w:r>
          </w:p>
        </w:tc>
        <w:tc>
          <w:tcPr>
            <w:tcW w:w="960" w:type="dxa"/>
          </w:tcPr>
          <w:p w14:paraId="3B8087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мм</w:t>
            </w:r>
          </w:p>
        </w:tc>
        <w:tc>
          <w:tcPr>
            <w:tcW w:w="1208" w:type="dxa"/>
          </w:tcPr>
          <w:p w14:paraId="4CE090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12,7 мм</w:t>
            </w:r>
          </w:p>
        </w:tc>
        <w:tc>
          <w:tcPr>
            <w:tcW w:w="1063" w:type="dxa"/>
          </w:tcPr>
          <w:p w14:paraId="5E1329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12,7 мм</w:t>
            </w:r>
          </w:p>
        </w:tc>
        <w:tc>
          <w:tcPr>
            <w:tcW w:w="1196" w:type="dxa"/>
          </w:tcPr>
          <w:p w14:paraId="2019DE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 мм</w:t>
            </w:r>
          </w:p>
        </w:tc>
      </w:tr>
      <w:tr w:rsidR="004D4663" w:rsidRPr="00070ADE" w14:paraId="1AECDAB3" w14:textId="77777777">
        <w:tc>
          <w:tcPr>
            <w:tcW w:w="1384" w:type="dxa"/>
          </w:tcPr>
          <w:p w14:paraId="4E97B8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2D8DE9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Обстрел</w:t>
            </w:r>
          </w:p>
        </w:tc>
        <w:tc>
          <w:tcPr>
            <w:tcW w:w="960" w:type="dxa"/>
          </w:tcPr>
          <w:p w14:paraId="3831AC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круговой</w:t>
            </w:r>
          </w:p>
        </w:tc>
        <w:tc>
          <w:tcPr>
            <w:tcW w:w="1208" w:type="dxa"/>
          </w:tcPr>
          <w:p w14:paraId="64AAE7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круговой</w:t>
            </w:r>
          </w:p>
        </w:tc>
        <w:tc>
          <w:tcPr>
            <w:tcW w:w="1063" w:type="dxa"/>
          </w:tcPr>
          <w:p w14:paraId="0B7FEC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круговой</w:t>
            </w:r>
          </w:p>
        </w:tc>
        <w:tc>
          <w:tcPr>
            <w:tcW w:w="1196" w:type="dxa"/>
          </w:tcPr>
          <w:p w14:paraId="45AD0D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круговой</w:t>
            </w:r>
          </w:p>
        </w:tc>
      </w:tr>
      <w:tr w:rsidR="004D4663" w:rsidRPr="00070ADE" w14:paraId="6CAAA0FF" w14:textId="77777777">
        <w:tc>
          <w:tcPr>
            <w:tcW w:w="1384" w:type="dxa"/>
          </w:tcPr>
          <w:p w14:paraId="0B8EB2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7C68C8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5AE563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вверх</w:t>
            </w:r>
          </w:p>
        </w:tc>
        <w:tc>
          <w:tcPr>
            <w:tcW w:w="1208" w:type="dxa"/>
          </w:tcPr>
          <w:p w14:paraId="2D2E2E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вверх</w:t>
            </w:r>
          </w:p>
        </w:tc>
        <w:tc>
          <w:tcPr>
            <w:tcW w:w="1063" w:type="dxa"/>
          </w:tcPr>
          <w:p w14:paraId="5FB618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вверх</w:t>
            </w:r>
          </w:p>
        </w:tc>
        <w:tc>
          <w:tcPr>
            <w:tcW w:w="1196" w:type="dxa"/>
          </w:tcPr>
          <w:p w14:paraId="67C787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вверх</w:t>
            </w:r>
          </w:p>
        </w:tc>
      </w:tr>
      <w:tr w:rsidR="004D4663" w:rsidRPr="00070ADE" w14:paraId="5605542B" w14:textId="77777777">
        <w:tc>
          <w:tcPr>
            <w:tcW w:w="1384" w:type="dxa"/>
          </w:tcPr>
          <w:p w14:paraId="68EF46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Кормовая</w:t>
            </w:r>
          </w:p>
        </w:tc>
        <w:tc>
          <w:tcPr>
            <w:tcW w:w="960" w:type="dxa"/>
          </w:tcPr>
          <w:p w14:paraId="3E6AE4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Кол-во</w:t>
            </w:r>
          </w:p>
        </w:tc>
        <w:tc>
          <w:tcPr>
            <w:tcW w:w="960" w:type="dxa"/>
          </w:tcPr>
          <w:p w14:paraId="25C5569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пушка</w:t>
            </w:r>
          </w:p>
        </w:tc>
        <w:tc>
          <w:tcPr>
            <w:tcW w:w="1208" w:type="dxa"/>
          </w:tcPr>
          <w:p w14:paraId="1E9863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пул.</w:t>
            </w:r>
          </w:p>
        </w:tc>
        <w:tc>
          <w:tcPr>
            <w:tcW w:w="1063" w:type="dxa"/>
          </w:tcPr>
          <w:p w14:paraId="571DF0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пул.</w:t>
            </w:r>
          </w:p>
        </w:tc>
        <w:tc>
          <w:tcPr>
            <w:tcW w:w="1196" w:type="dxa"/>
          </w:tcPr>
          <w:p w14:paraId="329696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пул.</w:t>
            </w:r>
          </w:p>
        </w:tc>
      </w:tr>
      <w:tr w:rsidR="004D4663" w:rsidRPr="00070ADE" w14:paraId="0E47F204" w14:textId="77777777">
        <w:tc>
          <w:tcPr>
            <w:tcW w:w="1384" w:type="dxa"/>
          </w:tcPr>
          <w:p w14:paraId="257ACB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w:t>
            </w:r>
          </w:p>
        </w:tc>
        <w:tc>
          <w:tcPr>
            <w:tcW w:w="960" w:type="dxa"/>
          </w:tcPr>
          <w:p w14:paraId="72CEFB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Калибр</w:t>
            </w:r>
          </w:p>
        </w:tc>
        <w:tc>
          <w:tcPr>
            <w:tcW w:w="960" w:type="dxa"/>
          </w:tcPr>
          <w:p w14:paraId="098190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мм</w:t>
            </w:r>
          </w:p>
        </w:tc>
        <w:tc>
          <w:tcPr>
            <w:tcW w:w="1208" w:type="dxa"/>
          </w:tcPr>
          <w:p w14:paraId="4A9F4D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12,7 мм</w:t>
            </w:r>
          </w:p>
        </w:tc>
        <w:tc>
          <w:tcPr>
            <w:tcW w:w="1063" w:type="dxa"/>
          </w:tcPr>
          <w:p w14:paraId="5C623C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12,7 мм</w:t>
            </w:r>
          </w:p>
        </w:tc>
        <w:tc>
          <w:tcPr>
            <w:tcW w:w="1196" w:type="dxa"/>
          </w:tcPr>
          <w:p w14:paraId="3FB7EE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 мм</w:t>
            </w:r>
          </w:p>
        </w:tc>
      </w:tr>
      <w:tr w:rsidR="004D4663" w:rsidRPr="00070ADE" w14:paraId="5353931E" w14:textId="77777777">
        <w:tc>
          <w:tcPr>
            <w:tcW w:w="1384" w:type="dxa"/>
          </w:tcPr>
          <w:p w14:paraId="791C45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4CB3004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Обстрел</w:t>
            </w:r>
          </w:p>
        </w:tc>
        <w:tc>
          <w:tcPr>
            <w:tcW w:w="960" w:type="dxa"/>
          </w:tcPr>
          <w:p w14:paraId="0A1E1E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задняя</w:t>
            </w:r>
          </w:p>
        </w:tc>
        <w:tc>
          <w:tcPr>
            <w:tcW w:w="1208" w:type="dxa"/>
          </w:tcPr>
          <w:p w14:paraId="4072A6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задняя</w:t>
            </w:r>
          </w:p>
        </w:tc>
        <w:tc>
          <w:tcPr>
            <w:tcW w:w="1063" w:type="dxa"/>
          </w:tcPr>
          <w:p w14:paraId="096BFE9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задняя</w:t>
            </w:r>
          </w:p>
        </w:tc>
        <w:tc>
          <w:tcPr>
            <w:tcW w:w="1196" w:type="dxa"/>
          </w:tcPr>
          <w:p w14:paraId="0F127D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задняя</w:t>
            </w:r>
          </w:p>
        </w:tc>
      </w:tr>
      <w:tr w:rsidR="004D4663" w:rsidRPr="00070ADE" w14:paraId="579F90EE" w14:textId="77777777">
        <w:tc>
          <w:tcPr>
            <w:tcW w:w="1384" w:type="dxa"/>
          </w:tcPr>
          <w:p w14:paraId="483FBF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509D27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38138F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п/сфера</w:t>
            </w:r>
          </w:p>
        </w:tc>
        <w:tc>
          <w:tcPr>
            <w:tcW w:w="1208" w:type="dxa"/>
          </w:tcPr>
          <w:p w14:paraId="618111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п/сфера</w:t>
            </w:r>
          </w:p>
        </w:tc>
        <w:tc>
          <w:tcPr>
            <w:tcW w:w="1063" w:type="dxa"/>
          </w:tcPr>
          <w:p w14:paraId="2F80AE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п/сфера</w:t>
            </w:r>
          </w:p>
        </w:tc>
        <w:tc>
          <w:tcPr>
            <w:tcW w:w="1196" w:type="dxa"/>
          </w:tcPr>
          <w:p w14:paraId="76A5F4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п/сфера</w:t>
            </w:r>
          </w:p>
        </w:tc>
      </w:tr>
      <w:tr w:rsidR="004D4663" w:rsidRPr="00070ADE" w14:paraId="3B126046" w14:textId="77777777">
        <w:tc>
          <w:tcPr>
            <w:tcW w:w="1384" w:type="dxa"/>
          </w:tcPr>
          <w:p w14:paraId="1F87DA4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Нижняя</w:t>
            </w:r>
          </w:p>
        </w:tc>
        <w:tc>
          <w:tcPr>
            <w:tcW w:w="960" w:type="dxa"/>
          </w:tcPr>
          <w:p w14:paraId="39CE55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Кол-во</w:t>
            </w:r>
          </w:p>
        </w:tc>
        <w:tc>
          <w:tcPr>
            <w:tcW w:w="960" w:type="dxa"/>
          </w:tcPr>
          <w:p w14:paraId="3BAB2D9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пул.</w:t>
            </w:r>
          </w:p>
        </w:tc>
        <w:tc>
          <w:tcPr>
            <w:tcW w:w="1208" w:type="dxa"/>
          </w:tcPr>
          <w:p w14:paraId="310099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пул.</w:t>
            </w:r>
          </w:p>
        </w:tc>
        <w:tc>
          <w:tcPr>
            <w:tcW w:w="1063" w:type="dxa"/>
          </w:tcPr>
          <w:p w14:paraId="7F06EA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пул.</w:t>
            </w:r>
          </w:p>
        </w:tc>
        <w:tc>
          <w:tcPr>
            <w:tcW w:w="1196" w:type="dxa"/>
          </w:tcPr>
          <w:p w14:paraId="474EF4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пул.</w:t>
            </w:r>
          </w:p>
        </w:tc>
      </w:tr>
      <w:tr w:rsidR="004D4663" w:rsidRPr="00070ADE" w14:paraId="69C200CB" w14:textId="77777777">
        <w:tc>
          <w:tcPr>
            <w:tcW w:w="1384" w:type="dxa"/>
          </w:tcPr>
          <w:p w14:paraId="4B0424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w:t>
            </w:r>
          </w:p>
        </w:tc>
        <w:tc>
          <w:tcPr>
            <w:tcW w:w="960" w:type="dxa"/>
          </w:tcPr>
          <w:p w14:paraId="78F1E4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Калибр</w:t>
            </w:r>
          </w:p>
        </w:tc>
        <w:tc>
          <w:tcPr>
            <w:tcW w:w="960" w:type="dxa"/>
          </w:tcPr>
          <w:p w14:paraId="72D63C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12,7 мм</w:t>
            </w:r>
          </w:p>
        </w:tc>
        <w:tc>
          <w:tcPr>
            <w:tcW w:w="1208" w:type="dxa"/>
          </w:tcPr>
          <w:p w14:paraId="1FE3F4A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12,7 мм</w:t>
            </w:r>
          </w:p>
        </w:tc>
        <w:tc>
          <w:tcPr>
            <w:tcW w:w="1063" w:type="dxa"/>
          </w:tcPr>
          <w:p w14:paraId="072D58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12,7 мм</w:t>
            </w:r>
          </w:p>
        </w:tc>
        <w:tc>
          <w:tcPr>
            <w:tcW w:w="1196" w:type="dxa"/>
          </w:tcPr>
          <w:p w14:paraId="71B28C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 мм</w:t>
            </w:r>
          </w:p>
        </w:tc>
      </w:tr>
      <w:tr w:rsidR="004D4663" w:rsidRPr="00070ADE" w14:paraId="68C582AA" w14:textId="77777777">
        <w:tc>
          <w:tcPr>
            <w:tcW w:w="1384" w:type="dxa"/>
          </w:tcPr>
          <w:p w14:paraId="52A56BC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2F255B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Обстрел</w:t>
            </w:r>
          </w:p>
        </w:tc>
        <w:tc>
          <w:tcPr>
            <w:tcW w:w="960" w:type="dxa"/>
          </w:tcPr>
          <w:p w14:paraId="4728E1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задняя</w:t>
            </w:r>
          </w:p>
        </w:tc>
        <w:tc>
          <w:tcPr>
            <w:tcW w:w="1208" w:type="dxa"/>
          </w:tcPr>
          <w:p w14:paraId="066E8E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круговой</w:t>
            </w:r>
          </w:p>
        </w:tc>
        <w:tc>
          <w:tcPr>
            <w:tcW w:w="1063" w:type="dxa"/>
          </w:tcPr>
          <w:p w14:paraId="5A6E865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круговой</w:t>
            </w:r>
          </w:p>
        </w:tc>
        <w:tc>
          <w:tcPr>
            <w:tcW w:w="1196" w:type="dxa"/>
          </w:tcPr>
          <w:p w14:paraId="5D24D3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круговой</w:t>
            </w:r>
          </w:p>
        </w:tc>
      </w:tr>
      <w:tr w:rsidR="004D4663" w:rsidRPr="00070ADE" w14:paraId="38448156" w14:textId="77777777">
        <w:tc>
          <w:tcPr>
            <w:tcW w:w="1384" w:type="dxa"/>
          </w:tcPr>
          <w:p w14:paraId="7C32AB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3EE9E4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часть</w:t>
            </w:r>
          </w:p>
        </w:tc>
        <w:tc>
          <w:tcPr>
            <w:tcW w:w="960" w:type="dxa"/>
          </w:tcPr>
          <w:p w14:paraId="2DF5B9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8" w:type="dxa"/>
          </w:tcPr>
          <w:p w14:paraId="46D868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вниз</w:t>
            </w:r>
          </w:p>
        </w:tc>
        <w:tc>
          <w:tcPr>
            <w:tcW w:w="1063" w:type="dxa"/>
          </w:tcPr>
          <w:p w14:paraId="77288D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вниз</w:t>
            </w:r>
          </w:p>
        </w:tc>
        <w:tc>
          <w:tcPr>
            <w:tcW w:w="1196" w:type="dxa"/>
          </w:tcPr>
          <w:p w14:paraId="69D1FF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вниз</w:t>
            </w:r>
          </w:p>
        </w:tc>
      </w:tr>
      <w:tr w:rsidR="004D4663" w:rsidRPr="00070ADE" w14:paraId="5AC400AA" w14:textId="77777777">
        <w:tc>
          <w:tcPr>
            <w:tcW w:w="1384" w:type="dxa"/>
          </w:tcPr>
          <w:p w14:paraId="372288E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42EBA6E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нижней</w:t>
            </w:r>
          </w:p>
        </w:tc>
        <w:tc>
          <w:tcPr>
            <w:tcW w:w="960" w:type="dxa"/>
          </w:tcPr>
          <w:p w14:paraId="656F4F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8" w:type="dxa"/>
          </w:tcPr>
          <w:p w14:paraId="7A45E7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3" w:type="dxa"/>
          </w:tcPr>
          <w:p w14:paraId="66D1E5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96" w:type="dxa"/>
          </w:tcPr>
          <w:p w14:paraId="1D582D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0E51197" w14:textId="77777777">
        <w:tc>
          <w:tcPr>
            <w:tcW w:w="1384" w:type="dxa"/>
          </w:tcPr>
          <w:p w14:paraId="2C5A70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249B74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7ACACEC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п/сферы</w:t>
            </w:r>
          </w:p>
        </w:tc>
        <w:tc>
          <w:tcPr>
            <w:tcW w:w="1208" w:type="dxa"/>
          </w:tcPr>
          <w:p w14:paraId="516C53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3" w:type="dxa"/>
          </w:tcPr>
          <w:p w14:paraId="43D9DA3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96" w:type="dxa"/>
          </w:tcPr>
          <w:p w14:paraId="179457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0DA1BD1" w14:textId="77777777">
        <w:tc>
          <w:tcPr>
            <w:tcW w:w="1384" w:type="dxa"/>
          </w:tcPr>
          <w:p w14:paraId="5EE09CA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Бортовая</w:t>
            </w:r>
          </w:p>
        </w:tc>
        <w:tc>
          <w:tcPr>
            <w:tcW w:w="960" w:type="dxa"/>
          </w:tcPr>
          <w:p w14:paraId="69E79C5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Кол-во</w:t>
            </w:r>
          </w:p>
        </w:tc>
        <w:tc>
          <w:tcPr>
            <w:tcW w:w="960" w:type="dxa"/>
          </w:tcPr>
          <w:p w14:paraId="7565D3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08" w:type="dxa"/>
          </w:tcPr>
          <w:p w14:paraId="5E7784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063" w:type="dxa"/>
          </w:tcPr>
          <w:p w14:paraId="2A1A29D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пул.</w:t>
            </w:r>
          </w:p>
        </w:tc>
        <w:tc>
          <w:tcPr>
            <w:tcW w:w="1196" w:type="dxa"/>
          </w:tcPr>
          <w:p w14:paraId="48C4616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D6ED155" w14:textId="77777777">
        <w:tc>
          <w:tcPr>
            <w:tcW w:w="1384" w:type="dxa"/>
          </w:tcPr>
          <w:p w14:paraId="3A69E18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w:t>
            </w:r>
          </w:p>
        </w:tc>
        <w:tc>
          <w:tcPr>
            <w:tcW w:w="960" w:type="dxa"/>
          </w:tcPr>
          <w:p w14:paraId="0AFD4E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Калибр</w:t>
            </w:r>
          </w:p>
        </w:tc>
        <w:tc>
          <w:tcPr>
            <w:tcW w:w="960" w:type="dxa"/>
          </w:tcPr>
          <w:p w14:paraId="32B7BF9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08" w:type="dxa"/>
          </w:tcPr>
          <w:p w14:paraId="4E3EAD1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063" w:type="dxa"/>
          </w:tcPr>
          <w:p w14:paraId="558361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12,7 мм</w:t>
            </w:r>
          </w:p>
        </w:tc>
        <w:tc>
          <w:tcPr>
            <w:tcW w:w="1196" w:type="dxa"/>
          </w:tcPr>
          <w:p w14:paraId="2C3AF8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7547328" w14:textId="77777777">
        <w:tc>
          <w:tcPr>
            <w:tcW w:w="1384" w:type="dxa"/>
          </w:tcPr>
          <w:p w14:paraId="4F6198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6E2057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Обстрел</w:t>
            </w:r>
          </w:p>
        </w:tc>
        <w:tc>
          <w:tcPr>
            <w:tcW w:w="960" w:type="dxa"/>
          </w:tcPr>
          <w:p w14:paraId="69D8DA0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08" w:type="dxa"/>
          </w:tcPr>
          <w:p w14:paraId="3F3170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063" w:type="dxa"/>
          </w:tcPr>
          <w:p w14:paraId="66AA21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огранич.</w:t>
            </w:r>
          </w:p>
        </w:tc>
        <w:tc>
          <w:tcPr>
            <w:tcW w:w="1196" w:type="dxa"/>
          </w:tcPr>
          <w:p w14:paraId="27DBD3A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12ECC61" w14:textId="77777777">
        <w:tc>
          <w:tcPr>
            <w:tcW w:w="1384" w:type="dxa"/>
          </w:tcPr>
          <w:p w14:paraId="3DD2A1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547DCE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Pr>
          <w:p w14:paraId="7957BED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8" w:type="dxa"/>
          </w:tcPr>
          <w:p w14:paraId="3641155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3" w:type="dxa"/>
          </w:tcPr>
          <w:p w14:paraId="79DBD5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назад</w:t>
            </w:r>
          </w:p>
        </w:tc>
        <w:tc>
          <w:tcPr>
            <w:tcW w:w="1196" w:type="dxa"/>
          </w:tcPr>
          <w:p w14:paraId="018B89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5B63871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Приведенные данные показывают, что самолет Пе-8, будучи вооружен двумя пушками, имеет превосходство по мощности огневой защиты верхней и задней части сферы. Недостатком является ограниченная защита передней части нижней полусферы.</w:t>
      </w:r>
    </w:p>
    <w:p w14:paraId="144291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самолет Пе-8 может быть поставлен на один уровень с лучшими серийными четырехмоторными бомбардировщиками союзников при условии увеличения его максимальной скорости и соответствующего повышения рабочей высоты.</w:t>
      </w:r>
    </w:p>
    <w:p w14:paraId="58D726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основе проведенного изучения иностранных тяжелых бомбардировщиков, анализа вредных сопротивлений самолета Пе-8 и проведенных расчетов его летных характеристик с различными типами моторов, самолет Пе-8 может быть значительно улучшен по своим летным и тактическим данным и главным образом по максимальной скорости.</w:t>
      </w:r>
    </w:p>
    <w:p w14:paraId="50DD25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Повышение максимальной скорости может быть достигнуто за счет улучшения аэродинамики самолета, а также за счет улучшения аэродинамики самолета, а также за счет оборудования его более высотными моторами.</w:t>
      </w:r>
    </w:p>
    <w:p w14:paraId="4F060D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улучшения аэродинамических качеств самолета и уменьшения его вредных сопротивлений потребуется проведение ряда конструктивных изменений отдельных агрегатов, а именно:</w:t>
      </w:r>
    </w:p>
    <w:p w14:paraId="3641F8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Уменьшение миделя фюзеляжа.</w:t>
      </w:r>
    </w:p>
    <w:p w14:paraId="1BF8FE6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Полное убирание колес.</w:t>
      </w:r>
    </w:p>
    <w:p w14:paraId="3A44E4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Убирание хвостового колеса.</w:t>
      </w:r>
    </w:p>
    <w:p w14:paraId="7FFCF5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Устранение щелей и выступающих в поток деталей.</w:t>
      </w:r>
    </w:p>
    <w:p w14:paraId="26670F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Улучшение обтекания отдельных деталей.</w:t>
      </w:r>
    </w:p>
    <w:p w14:paraId="5AC5CE9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Герметизация самолета.</w:t>
      </w:r>
    </w:p>
    <w:p w14:paraId="71931B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Улучшение систем охлаждения, всасывания и выхлопа винто-моторной группы.</w:t>
      </w:r>
    </w:p>
    <w:p w14:paraId="33A109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Улучшение отделки поверхности самолета и др.</w:t>
      </w:r>
    </w:p>
    <w:p w14:paraId="43F6B5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сумме эти улучшения должны дать увеличение скорости до 35-40 км/час.</w:t>
      </w:r>
    </w:p>
    <w:p w14:paraId="6AA8DF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Применение высотных моторов М-82ФН, снабженных турбокомпрессорами позволит увеличить скорость на высоте еще на 40-45 км/час.</w:t>
      </w:r>
    </w:p>
    <w:p w14:paraId="6BA61C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в результате всех мероприятий максимальная скорость самолета может быть доведена до 500 км/час на высоте 9000 м, а практический потолок увеличен до 1100 м вместо имеющегося 8000 м.</w:t>
      </w:r>
    </w:p>
    <w:p w14:paraId="5EAA70F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Одновременно было обследовано влияние уменьшения площади крыла, причем выявлено, что уменьшение крыла до 160 м кв., давая прирост скорости порядка 15 км/час, значительно ухудшает взлет, увеличивая длину разбега с 730 до 860 м и требует полной переделки существующего крыла и изменения серийной оснастки.</w:t>
      </w:r>
    </w:p>
    <w:p w14:paraId="4BBC34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Наряду с этим, при значительной общей емкости бомбодержателей, имеется необходимость убирания большего количества бомб внутри самолета. При модификации </w:t>
      </w:r>
      <w:r w:rsidRPr="00070ADE">
        <w:rPr>
          <w:rFonts w:ascii="Times New Roman" w:hAnsi="Times New Roman"/>
          <w:color w:val="000000" w:themeColor="text1"/>
          <w:sz w:val="16"/>
          <w:szCs w:val="16"/>
        </w:rPr>
        <w:lastRenderedPageBreak/>
        <w:t>самолета бомбовый отсек внутри фюзеляжа может быть значительно увеличен до размеров, допускающих размещение в нем шести бомб до 1000 кг. При этом общая емкость бомбодержателей доводится до 8000 кг с набором калибров бомб от 100 кг до 5000 кг.</w:t>
      </w:r>
    </w:p>
    <w:p w14:paraId="0E2D85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большом увеличении полетного веса, дальность полета с 6000 кг бомб, получается равной 4200 км. При уменьшении бомбовой нагрузки до 2000 кг и установке в бомбовом отсеке (по примеру "Либерейтора") дополнительных съемных баков, дальность самолета может быть доведена до 600 км.</w:t>
      </w:r>
    </w:p>
    <w:p w14:paraId="037570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Сравнение этого самолета с иностранными дает: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tblGrid>
      <w:tr w:rsidR="004D4663" w:rsidRPr="00070ADE" w14:paraId="1C46FE3C" w14:textId="77777777">
        <w:tc>
          <w:tcPr>
            <w:tcW w:w="1409" w:type="dxa"/>
          </w:tcPr>
          <w:p w14:paraId="4B769D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w:t>
            </w:r>
          </w:p>
        </w:tc>
        <w:tc>
          <w:tcPr>
            <w:tcW w:w="1409" w:type="dxa"/>
          </w:tcPr>
          <w:p w14:paraId="208ED1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w:t>
            </w:r>
          </w:p>
        </w:tc>
        <w:tc>
          <w:tcPr>
            <w:tcW w:w="1409" w:type="dxa"/>
          </w:tcPr>
          <w:p w14:paraId="21F6B4B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Бомбовая</w:t>
            </w:r>
          </w:p>
        </w:tc>
        <w:tc>
          <w:tcPr>
            <w:tcW w:w="1409" w:type="dxa"/>
          </w:tcPr>
          <w:p w14:paraId="107EC3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w:t>
            </w:r>
          </w:p>
        </w:tc>
        <w:tc>
          <w:tcPr>
            <w:tcW w:w="1409" w:type="dxa"/>
          </w:tcPr>
          <w:p w14:paraId="6A1AAC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w:t>
            </w:r>
          </w:p>
        </w:tc>
      </w:tr>
      <w:tr w:rsidR="004D4663" w:rsidRPr="00070ADE" w14:paraId="5C258516" w14:textId="77777777">
        <w:tc>
          <w:tcPr>
            <w:tcW w:w="1409" w:type="dxa"/>
          </w:tcPr>
          <w:p w14:paraId="6A940E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CF482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w:t>
            </w:r>
          </w:p>
        </w:tc>
        <w:tc>
          <w:tcPr>
            <w:tcW w:w="1409" w:type="dxa"/>
          </w:tcPr>
          <w:p w14:paraId="5B3B5D4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нагрузка</w:t>
            </w:r>
          </w:p>
        </w:tc>
        <w:tc>
          <w:tcPr>
            <w:tcW w:w="1409" w:type="dxa"/>
          </w:tcPr>
          <w:p w14:paraId="0F75EE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A409F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бомбовая</w:t>
            </w:r>
          </w:p>
        </w:tc>
      </w:tr>
      <w:tr w:rsidR="004D4663" w:rsidRPr="00070ADE" w14:paraId="532786BD" w14:textId="77777777">
        <w:tc>
          <w:tcPr>
            <w:tcW w:w="1409" w:type="dxa"/>
          </w:tcPr>
          <w:p w14:paraId="266F7D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E2E6F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679EB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E47D7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52EE5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нагрузка</w:t>
            </w:r>
          </w:p>
        </w:tc>
      </w:tr>
      <w:tr w:rsidR="004D4663" w:rsidRPr="00070ADE" w14:paraId="6E2CB14B" w14:textId="77777777">
        <w:tc>
          <w:tcPr>
            <w:tcW w:w="1409" w:type="dxa"/>
          </w:tcPr>
          <w:p w14:paraId="2E68EAA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Пе-8 модифицир.</w:t>
            </w:r>
          </w:p>
        </w:tc>
        <w:tc>
          <w:tcPr>
            <w:tcW w:w="1409" w:type="dxa"/>
          </w:tcPr>
          <w:p w14:paraId="0A0016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37500</w:t>
            </w:r>
          </w:p>
        </w:tc>
        <w:tc>
          <w:tcPr>
            <w:tcW w:w="1409" w:type="dxa"/>
          </w:tcPr>
          <w:p w14:paraId="4061F3C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2000</w:t>
            </w:r>
          </w:p>
        </w:tc>
        <w:tc>
          <w:tcPr>
            <w:tcW w:w="1409" w:type="dxa"/>
          </w:tcPr>
          <w:p w14:paraId="08D12B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6000</w:t>
            </w:r>
          </w:p>
        </w:tc>
        <w:tc>
          <w:tcPr>
            <w:tcW w:w="1409" w:type="dxa"/>
          </w:tcPr>
          <w:p w14:paraId="5B8DE8E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8000</w:t>
            </w:r>
          </w:p>
        </w:tc>
      </w:tr>
      <w:tr w:rsidR="004D4663" w:rsidRPr="00070ADE" w14:paraId="3DC55BC0" w14:textId="77777777">
        <w:tc>
          <w:tcPr>
            <w:tcW w:w="1409" w:type="dxa"/>
          </w:tcPr>
          <w:p w14:paraId="439A80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931816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B3CF3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4000</w:t>
            </w:r>
          </w:p>
        </w:tc>
        <w:tc>
          <w:tcPr>
            <w:tcW w:w="1409" w:type="dxa"/>
          </w:tcPr>
          <w:p w14:paraId="0C47F5C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5000</w:t>
            </w:r>
          </w:p>
        </w:tc>
        <w:tc>
          <w:tcPr>
            <w:tcW w:w="1409" w:type="dxa"/>
          </w:tcPr>
          <w:p w14:paraId="3FABD2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2293232" w14:textId="77777777">
        <w:tc>
          <w:tcPr>
            <w:tcW w:w="1409" w:type="dxa"/>
          </w:tcPr>
          <w:p w14:paraId="575DAB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F788E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F03AB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6000</w:t>
            </w:r>
          </w:p>
        </w:tc>
        <w:tc>
          <w:tcPr>
            <w:tcW w:w="1409" w:type="dxa"/>
          </w:tcPr>
          <w:p w14:paraId="1AD9E3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4200</w:t>
            </w:r>
          </w:p>
        </w:tc>
        <w:tc>
          <w:tcPr>
            <w:tcW w:w="1409" w:type="dxa"/>
          </w:tcPr>
          <w:p w14:paraId="33E70E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B640636" w14:textId="77777777">
        <w:tc>
          <w:tcPr>
            <w:tcW w:w="1409" w:type="dxa"/>
          </w:tcPr>
          <w:p w14:paraId="41777D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"Либерейтор"</w:t>
            </w:r>
          </w:p>
        </w:tc>
        <w:tc>
          <w:tcPr>
            <w:tcW w:w="1409" w:type="dxa"/>
          </w:tcPr>
          <w:p w14:paraId="201F59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25000</w:t>
            </w:r>
          </w:p>
        </w:tc>
        <w:tc>
          <w:tcPr>
            <w:tcW w:w="1409" w:type="dxa"/>
          </w:tcPr>
          <w:p w14:paraId="6DB5C8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1810</w:t>
            </w:r>
          </w:p>
        </w:tc>
        <w:tc>
          <w:tcPr>
            <w:tcW w:w="1409" w:type="dxa"/>
          </w:tcPr>
          <w:p w14:paraId="71E8B20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4430</w:t>
            </w:r>
          </w:p>
        </w:tc>
        <w:tc>
          <w:tcPr>
            <w:tcW w:w="1409" w:type="dxa"/>
          </w:tcPr>
          <w:p w14:paraId="0703E48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3620</w:t>
            </w:r>
          </w:p>
        </w:tc>
      </w:tr>
      <w:tr w:rsidR="004D4663" w:rsidRPr="00070ADE" w14:paraId="3FC7B27D" w14:textId="77777777">
        <w:tc>
          <w:tcPr>
            <w:tcW w:w="1409" w:type="dxa"/>
          </w:tcPr>
          <w:p w14:paraId="074F0B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E715F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26800</w:t>
            </w:r>
          </w:p>
        </w:tc>
        <w:tc>
          <w:tcPr>
            <w:tcW w:w="1409" w:type="dxa"/>
          </w:tcPr>
          <w:p w14:paraId="5E7B5C2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3620</w:t>
            </w:r>
          </w:p>
        </w:tc>
        <w:tc>
          <w:tcPr>
            <w:tcW w:w="1409" w:type="dxa"/>
          </w:tcPr>
          <w:p w14:paraId="3D8AFA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4200</w:t>
            </w:r>
          </w:p>
        </w:tc>
        <w:tc>
          <w:tcPr>
            <w:tcW w:w="1409" w:type="dxa"/>
          </w:tcPr>
          <w:p w14:paraId="17B2C1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563C602" w14:textId="77777777">
        <w:tc>
          <w:tcPr>
            <w:tcW w:w="1409" w:type="dxa"/>
          </w:tcPr>
          <w:p w14:paraId="6B1741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"Летающая</w:t>
            </w:r>
          </w:p>
        </w:tc>
        <w:tc>
          <w:tcPr>
            <w:tcW w:w="1409" w:type="dxa"/>
          </w:tcPr>
          <w:p w14:paraId="762A28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25000</w:t>
            </w:r>
          </w:p>
        </w:tc>
        <w:tc>
          <w:tcPr>
            <w:tcW w:w="1409" w:type="dxa"/>
          </w:tcPr>
          <w:p w14:paraId="4A67CD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2720</w:t>
            </w:r>
          </w:p>
        </w:tc>
        <w:tc>
          <w:tcPr>
            <w:tcW w:w="1409" w:type="dxa"/>
          </w:tcPr>
          <w:p w14:paraId="0B422C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4350</w:t>
            </w:r>
          </w:p>
        </w:tc>
        <w:tc>
          <w:tcPr>
            <w:tcW w:w="1409" w:type="dxa"/>
          </w:tcPr>
          <w:p w14:paraId="04C003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5800</w:t>
            </w:r>
          </w:p>
        </w:tc>
      </w:tr>
      <w:tr w:rsidR="004D4663" w:rsidRPr="00070ADE" w14:paraId="0B3CEB16" w14:textId="77777777">
        <w:tc>
          <w:tcPr>
            <w:tcW w:w="1409" w:type="dxa"/>
          </w:tcPr>
          <w:p w14:paraId="6FB020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крепость"</w:t>
            </w:r>
          </w:p>
        </w:tc>
        <w:tc>
          <w:tcPr>
            <w:tcW w:w="1409" w:type="dxa"/>
          </w:tcPr>
          <w:p w14:paraId="52EC1B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25000</w:t>
            </w:r>
          </w:p>
        </w:tc>
        <w:tc>
          <w:tcPr>
            <w:tcW w:w="1409" w:type="dxa"/>
          </w:tcPr>
          <w:p w14:paraId="46D4FF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5800</w:t>
            </w:r>
          </w:p>
        </w:tc>
        <w:tc>
          <w:tcPr>
            <w:tcW w:w="1409" w:type="dxa"/>
          </w:tcPr>
          <w:p w14:paraId="74647BC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2130</w:t>
            </w:r>
          </w:p>
        </w:tc>
        <w:tc>
          <w:tcPr>
            <w:tcW w:w="1409" w:type="dxa"/>
          </w:tcPr>
          <w:p w14:paraId="4DECA9D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D498912" w14:textId="77777777">
        <w:tc>
          <w:tcPr>
            <w:tcW w:w="1409" w:type="dxa"/>
          </w:tcPr>
          <w:p w14:paraId="3B136B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"Ланкастер-1"</w:t>
            </w:r>
          </w:p>
        </w:tc>
        <w:tc>
          <w:tcPr>
            <w:tcW w:w="1409" w:type="dxa"/>
          </w:tcPr>
          <w:p w14:paraId="7301BD6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27300</w:t>
            </w:r>
          </w:p>
        </w:tc>
        <w:tc>
          <w:tcPr>
            <w:tcW w:w="1409" w:type="dxa"/>
          </w:tcPr>
          <w:p w14:paraId="24CC38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1800</w:t>
            </w:r>
          </w:p>
        </w:tc>
        <w:tc>
          <w:tcPr>
            <w:tcW w:w="1409" w:type="dxa"/>
          </w:tcPr>
          <w:p w14:paraId="49A4C6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3200</w:t>
            </w:r>
          </w:p>
        </w:tc>
        <w:tc>
          <w:tcPr>
            <w:tcW w:w="1409" w:type="dxa"/>
          </w:tcPr>
          <w:p w14:paraId="515AA3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5450</w:t>
            </w:r>
          </w:p>
        </w:tc>
      </w:tr>
      <w:tr w:rsidR="004D4663" w:rsidRPr="00070ADE" w14:paraId="41D47CC8" w14:textId="77777777">
        <w:tc>
          <w:tcPr>
            <w:tcW w:w="1409" w:type="dxa"/>
          </w:tcPr>
          <w:p w14:paraId="291C3C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B48CB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27300</w:t>
            </w:r>
          </w:p>
        </w:tc>
        <w:tc>
          <w:tcPr>
            <w:tcW w:w="1409" w:type="dxa"/>
          </w:tcPr>
          <w:p w14:paraId="72C6A7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5450</w:t>
            </w:r>
          </w:p>
        </w:tc>
        <w:tc>
          <w:tcPr>
            <w:tcW w:w="1409" w:type="dxa"/>
          </w:tcPr>
          <w:p w14:paraId="4A1631E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1930</w:t>
            </w:r>
          </w:p>
        </w:tc>
        <w:tc>
          <w:tcPr>
            <w:tcW w:w="1409" w:type="dxa"/>
          </w:tcPr>
          <w:p w14:paraId="50860E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0FC3C9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Параллельно с уменьшением миделя фюзеляжа возможно размещение обоих летчиков рядом, вместо имеющегося расположения один позади другого, продиктованное настоятельным требованием летного состава АДД, на основании эксплуатации самолета в многочисленных полетах, как дающее лучший обзор из кабины и создающее действительную взаимосвязь обоих пилотов.</w:t>
      </w:r>
    </w:p>
    <w:p w14:paraId="6516A40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усиления огневой защиты самолета от неожиданных атак истребителей спереди-снизу, на фюзеляже могут быть установлены две бортовых вращающихся точки под пулеметы УБТ-12,7 и увеличены углы обстрела вниз-вперед из носовой точки, а для получения возможности поражения противника с большей дистанции верхняя установка может быть оборудована пушкой ВЯ-23, после отработки последней в серии.</w:t>
      </w:r>
    </w:p>
    <w:p w14:paraId="309F30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предлагаемой модификации самолет Пе-8 будет обладать следующими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778"/>
        <w:gridCol w:w="934"/>
        <w:gridCol w:w="934"/>
        <w:gridCol w:w="934"/>
        <w:gridCol w:w="934"/>
        <w:gridCol w:w="934"/>
        <w:gridCol w:w="934"/>
        <w:gridCol w:w="2194"/>
      </w:tblGrid>
      <w:tr w:rsidR="004D4663" w:rsidRPr="00070ADE" w14:paraId="4ED54EF3" w14:textId="77777777">
        <w:tc>
          <w:tcPr>
            <w:tcW w:w="1024" w:type="dxa"/>
          </w:tcPr>
          <w:p w14:paraId="660913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w:t>
            </w:r>
          </w:p>
        </w:tc>
        <w:tc>
          <w:tcPr>
            <w:tcW w:w="1778" w:type="dxa"/>
          </w:tcPr>
          <w:p w14:paraId="05367E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w:t>
            </w:r>
          </w:p>
        </w:tc>
        <w:tc>
          <w:tcPr>
            <w:tcW w:w="934" w:type="dxa"/>
          </w:tcPr>
          <w:p w14:paraId="168F06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w:t>
            </w:r>
          </w:p>
        </w:tc>
        <w:tc>
          <w:tcPr>
            <w:tcW w:w="934" w:type="dxa"/>
          </w:tcPr>
          <w:p w14:paraId="0803C76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w:t>
            </w:r>
          </w:p>
        </w:tc>
        <w:tc>
          <w:tcPr>
            <w:tcW w:w="934" w:type="dxa"/>
          </w:tcPr>
          <w:p w14:paraId="14057C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Расчет.</w:t>
            </w:r>
          </w:p>
        </w:tc>
        <w:tc>
          <w:tcPr>
            <w:tcW w:w="934" w:type="dxa"/>
          </w:tcPr>
          <w:p w14:paraId="318082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w:t>
            </w:r>
          </w:p>
        </w:tc>
        <w:tc>
          <w:tcPr>
            <w:tcW w:w="934" w:type="dxa"/>
          </w:tcPr>
          <w:p w14:paraId="2A2ABB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w:t>
            </w:r>
          </w:p>
        </w:tc>
        <w:tc>
          <w:tcPr>
            <w:tcW w:w="934" w:type="dxa"/>
          </w:tcPr>
          <w:p w14:paraId="446AC0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w:t>
            </w:r>
          </w:p>
        </w:tc>
        <w:tc>
          <w:tcPr>
            <w:tcW w:w="2194" w:type="dxa"/>
          </w:tcPr>
          <w:p w14:paraId="4E5C87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w:t>
            </w:r>
          </w:p>
        </w:tc>
      </w:tr>
      <w:tr w:rsidR="004D4663" w:rsidRPr="00070ADE" w14:paraId="15F7AD0E" w14:textId="77777777">
        <w:tc>
          <w:tcPr>
            <w:tcW w:w="1024" w:type="dxa"/>
          </w:tcPr>
          <w:p w14:paraId="6842B16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8" w:type="dxa"/>
          </w:tcPr>
          <w:p w14:paraId="619D3A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67D458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58511D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w:t>
            </w:r>
          </w:p>
        </w:tc>
        <w:tc>
          <w:tcPr>
            <w:tcW w:w="934" w:type="dxa"/>
          </w:tcPr>
          <w:p w14:paraId="3ADBD6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w:t>
            </w:r>
          </w:p>
        </w:tc>
        <w:tc>
          <w:tcPr>
            <w:tcW w:w="934" w:type="dxa"/>
          </w:tcPr>
          <w:p w14:paraId="1ED1F2A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потолок</w:t>
            </w:r>
          </w:p>
        </w:tc>
        <w:tc>
          <w:tcPr>
            <w:tcW w:w="934" w:type="dxa"/>
          </w:tcPr>
          <w:p w14:paraId="7757E5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w:t>
            </w:r>
          </w:p>
        </w:tc>
        <w:tc>
          <w:tcPr>
            <w:tcW w:w="934" w:type="dxa"/>
          </w:tcPr>
          <w:p w14:paraId="020126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нагрузка</w:t>
            </w:r>
          </w:p>
        </w:tc>
        <w:tc>
          <w:tcPr>
            <w:tcW w:w="2194" w:type="dxa"/>
          </w:tcPr>
          <w:p w14:paraId="01402C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полета</w:t>
            </w:r>
          </w:p>
        </w:tc>
      </w:tr>
      <w:tr w:rsidR="004D4663" w:rsidRPr="00070ADE" w14:paraId="4EEA3269" w14:textId="77777777">
        <w:tc>
          <w:tcPr>
            <w:tcW w:w="1024" w:type="dxa"/>
          </w:tcPr>
          <w:p w14:paraId="59B69C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8" w:type="dxa"/>
          </w:tcPr>
          <w:p w14:paraId="4DAF8C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62A8D4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01F6CB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73E7E4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223E87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53D828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2693A69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w:t>
            </w:r>
          </w:p>
        </w:tc>
        <w:tc>
          <w:tcPr>
            <w:tcW w:w="2194" w:type="dxa"/>
          </w:tcPr>
          <w:p w14:paraId="096A52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6462C81" w14:textId="77777777">
        <w:tc>
          <w:tcPr>
            <w:tcW w:w="1024" w:type="dxa"/>
          </w:tcPr>
          <w:p w14:paraId="099CD3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Пе-8</w:t>
            </w:r>
          </w:p>
        </w:tc>
        <w:tc>
          <w:tcPr>
            <w:tcW w:w="1778" w:type="dxa"/>
          </w:tcPr>
          <w:p w14:paraId="605DD7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М-82ФН с ТК-3</w:t>
            </w:r>
          </w:p>
        </w:tc>
        <w:tc>
          <w:tcPr>
            <w:tcW w:w="934" w:type="dxa"/>
          </w:tcPr>
          <w:p w14:paraId="0B1239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1400</w:t>
            </w:r>
          </w:p>
        </w:tc>
        <w:tc>
          <w:tcPr>
            <w:tcW w:w="934" w:type="dxa"/>
          </w:tcPr>
          <w:p w14:paraId="553E0F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934" w:type="dxa"/>
          </w:tcPr>
          <w:p w14:paraId="48E2CD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9000</w:t>
            </w:r>
          </w:p>
        </w:tc>
        <w:tc>
          <w:tcPr>
            <w:tcW w:w="934" w:type="dxa"/>
          </w:tcPr>
          <w:p w14:paraId="4001A9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11000</w:t>
            </w:r>
          </w:p>
        </w:tc>
        <w:tc>
          <w:tcPr>
            <w:tcW w:w="934" w:type="dxa"/>
          </w:tcPr>
          <w:p w14:paraId="1ACAAF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37500</w:t>
            </w:r>
          </w:p>
        </w:tc>
        <w:tc>
          <w:tcPr>
            <w:tcW w:w="934" w:type="dxa"/>
          </w:tcPr>
          <w:p w14:paraId="6CB79D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6000</w:t>
            </w:r>
          </w:p>
        </w:tc>
        <w:tc>
          <w:tcPr>
            <w:tcW w:w="2194" w:type="dxa"/>
          </w:tcPr>
          <w:p w14:paraId="5B1DEE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4200</w:t>
            </w:r>
          </w:p>
        </w:tc>
      </w:tr>
      <w:tr w:rsidR="004D4663" w:rsidRPr="00070ADE" w14:paraId="5844C35A" w14:textId="77777777">
        <w:tc>
          <w:tcPr>
            <w:tcW w:w="1024" w:type="dxa"/>
          </w:tcPr>
          <w:p w14:paraId="6D261E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"Либерейтор"</w:t>
            </w:r>
          </w:p>
        </w:tc>
        <w:tc>
          <w:tcPr>
            <w:tcW w:w="1778" w:type="dxa"/>
          </w:tcPr>
          <w:p w14:paraId="6A7241E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R-1830-43 с ТК</w:t>
            </w:r>
          </w:p>
        </w:tc>
        <w:tc>
          <w:tcPr>
            <w:tcW w:w="934" w:type="dxa"/>
          </w:tcPr>
          <w:p w14:paraId="3C565F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1200</w:t>
            </w:r>
          </w:p>
        </w:tc>
        <w:tc>
          <w:tcPr>
            <w:tcW w:w="934" w:type="dxa"/>
          </w:tcPr>
          <w:p w14:paraId="58A920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934" w:type="dxa"/>
          </w:tcPr>
          <w:p w14:paraId="6B4A8F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7600</w:t>
            </w:r>
          </w:p>
        </w:tc>
        <w:tc>
          <w:tcPr>
            <w:tcW w:w="934" w:type="dxa"/>
          </w:tcPr>
          <w:p w14:paraId="2661E9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10350</w:t>
            </w:r>
          </w:p>
        </w:tc>
        <w:tc>
          <w:tcPr>
            <w:tcW w:w="934" w:type="dxa"/>
          </w:tcPr>
          <w:p w14:paraId="155772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26800</w:t>
            </w:r>
          </w:p>
        </w:tc>
        <w:tc>
          <w:tcPr>
            <w:tcW w:w="934" w:type="dxa"/>
          </w:tcPr>
          <w:p w14:paraId="56CF7C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3620</w:t>
            </w:r>
          </w:p>
        </w:tc>
        <w:tc>
          <w:tcPr>
            <w:tcW w:w="2194" w:type="dxa"/>
          </w:tcPr>
          <w:p w14:paraId="70DC8E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4200</w:t>
            </w:r>
          </w:p>
        </w:tc>
      </w:tr>
      <w:tr w:rsidR="004D4663" w:rsidRPr="00070ADE" w14:paraId="093DE2BD" w14:textId="77777777">
        <w:tc>
          <w:tcPr>
            <w:tcW w:w="1024" w:type="dxa"/>
          </w:tcPr>
          <w:p w14:paraId="610745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"Летающая</w:t>
            </w:r>
          </w:p>
        </w:tc>
        <w:tc>
          <w:tcPr>
            <w:tcW w:w="1778" w:type="dxa"/>
          </w:tcPr>
          <w:p w14:paraId="6EF7099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163727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5D0227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36AF530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7F10B92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3F9C4B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6A0E7B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94" w:type="dxa"/>
          </w:tcPr>
          <w:p w14:paraId="48B2AA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F200699" w14:textId="77777777">
        <w:tc>
          <w:tcPr>
            <w:tcW w:w="1024" w:type="dxa"/>
          </w:tcPr>
          <w:p w14:paraId="26302E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крепость"</w:t>
            </w:r>
          </w:p>
        </w:tc>
        <w:tc>
          <w:tcPr>
            <w:tcW w:w="1778" w:type="dxa"/>
          </w:tcPr>
          <w:p w14:paraId="216CF7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Райт R-1820-97</w:t>
            </w:r>
          </w:p>
        </w:tc>
        <w:tc>
          <w:tcPr>
            <w:tcW w:w="934" w:type="dxa"/>
          </w:tcPr>
          <w:p w14:paraId="6C70CC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1200</w:t>
            </w:r>
          </w:p>
        </w:tc>
        <w:tc>
          <w:tcPr>
            <w:tcW w:w="934" w:type="dxa"/>
          </w:tcPr>
          <w:p w14:paraId="3E696A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490</w:t>
            </w:r>
          </w:p>
        </w:tc>
        <w:tc>
          <w:tcPr>
            <w:tcW w:w="934" w:type="dxa"/>
          </w:tcPr>
          <w:p w14:paraId="6D2BA1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8250</w:t>
            </w:r>
          </w:p>
        </w:tc>
        <w:tc>
          <w:tcPr>
            <w:tcW w:w="934" w:type="dxa"/>
          </w:tcPr>
          <w:p w14:paraId="3DCFAE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10700</w:t>
            </w:r>
          </w:p>
        </w:tc>
        <w:tc>
          <w:tcPr>
            <w:tcW w:w="934" w:type="dxa"/>
          </w:tcPr>
          <w:p w14:paraId="6369E2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25000</w:t>
            </w:r>
          </w:p>
        </w:tc>
        <w:tc>
          <w:tcPr>
            <w:tcW w:w="934" w:type="dxa"/>
          </w:tcPr>
          <w:p w14:paraId="702C97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5800</w:t>
            </w:r>
          </w:p>
        </w:tc>
        <w:tc>
          <w:tcPr>
            <w:tcW w:w="2194" w:type="dxa"/>
          </w:tcPr>
          <w:p w14:paraId="79CE01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2130</w:t>
            </w:r>
          </w:p>
        </w:tc>
      </w:tr>
      <w:tr w:rsidR="004D4663" w:rsidRPr="00070ADE" w14:paraId="2743B6A6" w14:textId="77777777">
        <w:tc>
          <w:tcPr>
            <w:tcW w:w="1024" w:type="dxa"/>
          </w:tcPr>
          <w:p w14:paraId="3AAA08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"Ланкастер-1"</w:t>
            </w:r>
          </w:p>
        </w:tc>
        <w:tc>
          <w:tcPr>
            <w:tcW w:w="1778" w:type="dxa"/>
          </w:tcPr>
          <w:p w14:paraId="281321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"Мерлин" ХХ</w:t>
            </w:r>
          </w:p>
        </w:tc>
        <w:tc>
          <w:tcPr>
            <w:tcW w:w="934" w:type="dxa"/>
          </w:tcPr>
          <w:p w14:paraId="00EAEAC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1170</w:t>
            </w:r>
          </w:p>
        </w:tc>
        <w:tc>
          <w:tcPr>
            <w:tcW w:w="934" w:type="dxa"/>
          </w:tcPr>
          <w:p w14:paraId="4F3D64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480</w:t>
            </w:r>
          </w:p>
        </w:tc>
        <w:tc>
          <w:tcPr>
            <w:tcW w:w="934" w:type="dxa"/>
          </w:tcPr>
          <w:p w14:paraId="01361F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6400</w:t>
            </w:r>
          </w:p>
        </w:tc>
        <w:tc>
          <w:tcPr>
            <w:tcW w:w="934" w:type="dxa"/>
          </w:tcPr>
          <w:p w14:paraId="146EBF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934" w:type="dxa"/>
          </w:tcPr>
          <w:p w14:paraId="77A476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27300</w:t>
            </w:r>
          </w:p>
        </w:tc>
        <w:tc>
          <w:tcPr>
            <w:tcW w:w="934" w:type="dxa"/>
          </w:tcPr>
          <w:p w14:paraId="7B554A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5450</w:t>
            </w:r>
          </w:p>
        </w:tc>
        <w:tc>
          <w:tcPr>
            <w:tcW w:w="2194" w:type="dxa"/>
          </w:tcPr>
          <w:p w14:paraId="121E16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1930</w:t>
            </w:r>
          </w:p>
        </w:tc>
      </w:tr>
    </w:tbl>
    <w:p w14:paraId="6BC2BCC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Большинство мероприятий, улучшающих летно-тактические данные, как-то: изменение миделя фюзеляжа и размещение летчиков рядом, увеличение бомбового отсека, полное убирание шасси и хвостового колеса, частичное улучшение поверхности и др. проработаны конструкторским бюро на основании Вашего приказа за N 619с от 18 октября 1943 года (1825).</w:t>
      </w:r>
    </w:p>
    <w:p w14:paraId="28D1A4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998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января 1944 г. Незваль направил в наркомат докладную записку, в которой изложил свои взгляды на модернизацию бомбардировщика. Он утверждал, что совершенствование аэродинамики увеличит максимальную скорость на 35 - 40 км/ч, а турбонаддув даст еще 40 - 45 км/ч. В результате скорость самолёта может быть доведена до 500 км/ч на высоте 9000 м, а практический потолок увеличен до 11 000 м.</w:t>
      </w:r>
    </w:p>
    <w:p w14:paraId="588BE22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Изучалась возможность уменьшения площади крыла до 160 м2. Это обещало прирост скорости еще на 15 км/ч, но увеличивало длину разбега с 730 до 800 м и вдобавок требовало полного пересмотра конструкции крыла.</w:t>
      </w:r>
    </w:p>
    <w:p w14:paraId="0971001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Увеличение прочности лонжеронов центроплана, консолей, фюзеляжа и шасси под полётный вес 37 500 кг позволяло перевозить вдвое большее количество бомб, по сравнению с серийным Пе-8 (4000 кг на 5000 км). Предусматривались увеличение размеров бомбоотсека и доведение максимальной бомбовой нагрузки до 8000 кг, из них 6000 кг - внутри. При этом бомба ФАБ-5000 полностью умещалась внутри фюзеляжа. Поскольку отсек удлинялся вперёд и назад, место радиста перенесли, разместив его за командиром, рядом с бортмехаником.По расчётам, при небольшом увеличении полётного веса дальность с 6000 кг бомб получалась равной 4200 км. При уменьшении бомбовой нагрузки до 2000 кг и установке в бомбоотсеке дополнительных бензобаков дальность могла быть доведена до 6000 км.</w:t>
      </w:r>
    </w:p>
    <w:p w14:paraId="4F1E269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улучшения аэродинамики Незваль хотел "обжать" фюзеляж и мотогондолы, опустить вниз верхнюю турель. Клёпка обшивки должна была стать потайной по всем поверхностям. Предусматривалась полная уборка колёс. Кабина пилотов сдвигалась для улучшения обзора вперёд и перекомпоновывалась, оба лётчика размещались бок о бок.</w:t>
      </w:r>
    </w:p>
    <w:p w14:paraId="52BC12D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Обороноспособность усиливалась увеличением углов обстрела носовой установки, заменой пушки ШВАК в башне ТАТ на ВЯ-23 и введением бортовых огневых точек с пулемётами УБТ.</w:t>
      </w:r>
    </w:p>
    <w:p w14:paraId="142C096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Параллельно выполнялись расчёты для модификации Пе-8 с дизелями М-31. С ними скорость и потолок получались немного хуже, но дальность доходила до 7500 км (11996).</w:t>
      </w:r>
    </w:p>
    <w:p w14:paraId="787207A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99BFA2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января 1944 г. приказом № 23с в соответствии с пост. ГКО № 4922с от 11.01.1944 г. была оговорена организация производства на заводе № 487 в Тушино (Завод № 487 НКАП, МАП /г. Тушино Московской обл. (или р-н ст. Товарная-Бутырская)/) дизельной аппаратуры (топливных насосов ТН-12) для завода № 500 и планировалось сформировать филиал ОКБ завода № 500 с правами Серийного КБ по насосам (начальник- П.Ф. Ларкин). В связи с этим завод № 487 передан из 2ГУ в 4ГУ НКАП, производство вооружения передано на завод № 455 НКАП. Под новую тематику на завод переведено около 600 специалистов с заводов № 132, 33,266 и 306.</w:t>
      </w:r>
    </w:p>
    <w:p w14:paraId="7FD80FB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приказам № 171с от 8.03.1944 г. и № 206сс от 21.03.1944 г. завод № 487 НКАП со всеми кадрами, оборудованием и сооружениями вместе с ОКБ-487 влит в состав завода № 315. Его территория числилась как площадка № 2 завода № 315.</w:t>
      </w:r>
    </w:p>
    <w:p w14:paraId="1EDFDB1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1945 г. на площадку завода № 487 НКАП (площадка № 2 завода № 315 НКАП) переведен завод № 476 НКАП.</w:t>
      </w:r>
    </w:p>
    <w:p w14:paraId="0CE5B64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приказом МАГ1 № 171с от 8.03.1949 г. завод № 487 объединен с заводом № 315 МАП.</w:t>
      </w:r>
    </w:p>
    <w:p w14:paraId="638EE4AF" w14:textId="77777777" w:rsidR="00184F3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(02-10.1943 г.-)- Э.И. Озарский, (-01-03.1944 г.)- Давыдов.</w:t>
      </w:r>
    </w:p>
    <w:p w14:paraId="7BE8096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ОКБ завода № 487 НКАП гл. конструктора И.П. Шебанова, ОКБ-487 НКАП</w:t>
      </w:r>
    </w:p>
    <w:p w14:paraId="0FBEA4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КБ И.П. Шебанова, которое до эвакуации базировалось на заводе № 487 НКАП, было эвакуировано и работало на территории завода № 454 НКАП в Куйбышеве (как ОКБ-454 НКАП). По приказу № 272с от 6.05.1943 г. ОКБ-454 из Куйбышева переведено на вновь образованный завод № 487 НКАП и переименовано в ОКБ-487 НКАП.</w:t>
      </w:r>
    </w:p>
    <w:p w14:paraId="1FB84B7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по стрелковым установкам с УБТ для Пе-8 (10.1943 г.). С середины 1945 г. основной работой стали установки вооружения для Ту-4. По приказу № 298с от 13.07.1945 г. шли работы по заданиям ОКБ-ИО НКАП.</w:t>
      </w:r>
    </w:p>
    <w:p w14:paraId="7C33CCB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приказам № 171с от 8.03.1944 г. и № 206сс от 21.03.1944 г. ОКБ-487 вместе с заводом № 487 НКАП со всеми кадрами, оборудованием и сооружениями влито в состав завода № 315. В 01.1945 г. ОКБ-487 - в 7ГУ.</w:t>
      </w:r>
    </w:p>
    <w:p w14:paraId="6A41D3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 ОКБ была признана руководством малоэффективной (за 1942-45 г. создана только одна серийная установка- ТУМ-5 для Ер-2). По приказу № 447сс от 14.11.1945 г. в целях укрупнения конструкторских организаций основная часть личного состава (142 чел.), оборудования и материальных ценностей ОКБ-487 гл. конструктора И.П. Шебанова влита в состав объединенного ОКБ-43 НКАП, этим же приказом из ОКБ-487 НКАП в помощь вновь образованному заводу № 25 НКАП переведено 50 чел. ИТР и рабочих, занятых работами по агрегатам вооружения Ту-4. И.П. Шебанов назначен замом И.И. Торопова (11982).</w:t>
      </w:r>
    </w:p>
    <w:p w14:paraId="7A65B1B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A606798"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F72F4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FCF5EE" w14:textId="77777777" w:rsidR="00253A8A" w:rsidRPr="00C94B78" w:rsidRDefault="00253A8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период с 14 по 23 января 1944 года собра</w:t>
      </w:r>
      <w:r w:rsidRPr="00C94B78">
        <w:rPr>
          <w:rFonts w:ascii="Times New Roman" w:hAnsi="Times New Roman"/>
          <w:color w:val="0070C0"/>
          <w:sz w:val="16"/>
          <w:szCs w:val="16"/>
        </w:rPr>
        <w:softHyphen/>
        <w:t>ли первый образец танка Т-44 (№1), он получил башню с диаметром погона 1800 мм и 85-мм пушкой Д-5Т Танк Т-44 № 2 изгото</w:t>
      </w:r>
      <w:r w:rsidRPr="00C94B78">
        <w:rPr>
          <w:rFonts w:ascii="Times New Roman" w:hAnsi="Times New Roman"/>
          <w:color w:val="0070C0"/>
          <w:sz w:val="16"/>
          <w:szCs w:val="16"/>
        </w:rPr>
        <w:softHyphen/>
        <w:t>вили с 21 по 31 января, для него предпола</w:t>
      </w:r>
      <w:r w:rsidRPr="00C94B78">
        <w:rPr>
          <w:rFonts w:ascii="Times New Roman" w:hAnsi="Times New Roman"/>
          <w:color w:val="0070C0"/>
          <w:sz w:val="16"/>
          <w:szCs w:val="16"/>
        </w:rPr>
        <w:softHyphen/>
        <w:t xml:space="preserve">галось использовать башню с 85-мм пушкой и погоном 1600 мм. Однако для проведения заводских испытаний на </w:t>
      </w:r>
      <w:r w:rsidRPr="00C94B78">
        <w:rPr>
          <w:rFonts w:ascii="Times New Roman" w:hAnsi="Times New Roman"/>
          <w:color w:val="0070C0"/>
          <w:sz w:val="16"/>
          <w:szCs w:val="16"/>
        </w:rPr>
        <w:lastRenderedPageBreak/>
        <w:t>машину времен</w:t>
      </w:r>
      <w:r w:rsidRPr="00C94B78">
        <w:rPr>
          <w:rFonts w:ascii="Times New Roman" w:hAnsi="Times New Roman"/>
          <w:color w:val="0070C0"/>
          <w:sz w:val="16"/>
          <w:szCs w:val="16"/>
        </w:rPr>
        <w:softHyphen/>
        <w:t>но смонтировали башню со 122-мм пуш</w:t>
      </w:r>
      <w:r w:rsidRPr="00C94B78">
        <w:rPr>
          <w:rFonts w:ascii="Times New Roman" w:hAnsi="Times New Roman"/>
          <w:color w:val="0070C0"/>
          <w:sz w:val="16"/>
          <w:szCs w:val="16"/>
        </w:rPr>
        <w:softHyphen/>
        <w:t>кой Д-25 и погоном 1800 мм, изготовленную для третьего образца Т-44. Сборка последне</w:t>
      </w:r>
      <w:r w:rsidRPr="00C94B78">
        <w:rPr>
          <w:rFonts w:ascii="Times New Roman" w:hAnsi="Times New Roman"/>
          <w:color w:val="0070C0"/>
          <w:sz w:val="16"/>
          <w:szCs w:val="16"/>
        </w:rPr>
        <w:softHyphen/>
        <w:t>го началась 8 февраля 1944 года (25012).</w:t>
      </w:r>
    </w:p>
    <w:p w14:paraId="6473988E" w14:textId="77777777" w:rsidR="00253A8A" w:rsidRPr="00C94B78" w:rsidRDefault="00253A8A" w:rsidP="00B56F90">
      <w:pPr>
        <w:spacing w:after="0" w:line="240" w:lineRule="auto"/>
        <w:jc w:val="both"/>
        <w:rPr>
          <w:rFonts w:ascii="Times New Roman" w:hAnsi="Times New Roman"/>
          <w:color w:val="0070C0"/>
          <w:sz w:val="16"/>
          <w:szCs w:val="16"/>
        </w:rPr>
      </w:pPr>
    </w:p>
    <w:p w14:paraId="080A968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января 1944 вышло Распоряжение ГКО № 4946 [Об учете выполнения плана перевозок импортных грузов при выдаче премий работникам Кировской, Северной, Орджоникидзевской, Закавказской, Ашхабадской и Приморской железных дорог.] (7172, 160).</w:t>
      </w:r>
    </w:p>
    <w:p w14:paraId="193CBAA4"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D0EF0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января 1944 вышло Постановление ГКО № 4948 О снятии взыскания с бывшего директора завода № 76 НКТП Кочеткова. РГАНИР, Фонд ГКО, д. Е. РГАНИР, Фонд ГКО, д. 191, лл. 162 (11012).</w:t>
      </w:r>
    </w:p>
    <w:p w14:paraId="6F6DF9D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91780D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января 1944 вышло Постановление ГКО № 4949 О плане ремонте вооружения для Красной Армии на I квартал 1944 года. РГАНИР, Фонд ГКО, д. 191, лл. 163-168,169-258 (11012).</w:t>
      </w:r>
    </w:p>
    <w:p w14:paraId="45B6346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A0663F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января 1944 вышло Постановление ГКО № 4950 О тов. Васильеве Г.А. и Усенко А.С. РГАНИР, Фонд ГКО, д. 191, лл. 259 (11012).</w:t>
      </w:r>
    </w:p>
    <w:p w14:paraId="623696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332285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января 1944 вышло Постановление ГКО № 4951 Об отпуске продовольственных, госпитальных и фуражных пайков для Красной Армии, Военно-Морского Флота и войск НКВД в январе 1944 года. РГАНИР, Фонд ГКО, д. 191, лл. 260-263,264-265 (11012).</w:t>
      </w:r>
    </w:p>
    <w:p w14:paraId="1642C6A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ACB08B3"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7A1978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29AB98"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14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5FA8BCE9"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Белорусского фронта в результате умелого обходного манёвра сегодня, 14 января, овладели областным центром Белорусской ССР городом Мозырь, городом и крупным железнодорожным узлом Калинковичи, а также с боями заняли более 40 других населённых пунктов, среди которых крупные населённые пункты Горбовичи, Рудня Горбовичская, Бобры, Козинки, Борисковичи, Загорины, Костюковичи, Жаховичи, Скрыгалово, Беседки и железнодорожные станции Клинск, Качуры, Козинки.</w:t>
      </w:r>
    </w:p>
    <w:p w14:paraId="6764168D"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Сарны наши войска продолжали наступление и овладели районным центром Ровенской области Степань, а также заняли более 30 других населённых пунктов.</w:t>
      </w:r>
    </w:p>
    <w:p w14:paraId="05C20C3F"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Новоград-Волынский наши войска вели наступательные бои, в ходе которых заняли несколько населённых пунктов.</w:t>
      </w:r>
    </w:p>
    <w:p w14:paraId="005C8B62"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Восточнее Винницы наши войска продолжали успешно отбивать контратаки крупных сил пехоты и танков противника и нанесли ему большие потери в живой силе и технике.</w:t>
      </w:r>
    </w:p>
    <w:p w14:paraId="795BCE71"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520BCCD2"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13 января наши войска на всех фронтах подбили и уничтожили 96 немецких танков. В воздушных боях и огнём зенитной артиллерии сбито 37 самолётов противника.</w:t>
      </w:r>
    </w:p>
    <w:p w14:paraId="29BD819C"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Белорусского фронта продолжали наступление. Советские танкисты и пехотинцы, стремительно продвигаясь вперёд, северо-западнее города Калинковичи разгромили крупные силы противника. В бою около населённого пункта Горбовичи огнём наших танков и самоходных орудий было подбито и сожжено 27 немецких танков, уничтожено более 40 орудий и до полка пехоты противника. В этом же районе захвачено у немцев 11 исправных танков, 20 орудий, 10 бронетранспортёров и другие трофеи. Советские пехотные части, наступавшие с востока, подошли кмосту через реку Припять и отрезали противнику пути отхода. Сломив сопротивление немцев, наши бойцы ворвались в восточную часть города Мозырь и завязали уличные бои. Тем временем советские кавалеристы ворвались в город с юга. Другая кавалерийская часть форсировала реку Припять и перерезала железную дорогу западнее Калинковичи. Оборона врага, на которого обрушились удары со всех сторон, была дезорганизована. Сегодня советские войска нанесли противнику решающий удар и овладели областным центром Белоруссии — городом Мозырь, городом и крупным железнодорожным узлом Калинковичи. Противник понёс огромные потери в живой силе и технике. Поспешно отступая, немцы оставили много орудий, автомашин,склады с боеприпасами и военным имуществом. Взято значительное количествопленных.</w:t>
      </w:r>
    </w:p>
    <w:p w14:paraId="66221809"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Сарны наши войска продолжали наступление. Бойцы Н-ского соединения переправились через реку Горынь и в результате ожесточённого боя овладели районным центром Ровенской области Степань. За день наши войска заняли более 30 других населённых пунктов. Ровенские партизаны активно содействовали советским частям и разгромили двигавшуюся по шоссе колонну немецкой пехоты. Только в бою за районный центр Степань уничтожено до 600 немецких солдат и офицеров. Наши бойцы захватили крупный обоз с военным имуществом противника и другие трофеи.</w:t>
      </w:r>
    </w:p>
    <w:p w14:paraId="4500ED5B"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Новоград-Волынский наши войска, преодолевая сопротивление противника, продвигались вперёд. Части Н-ского соединения отбили несколько вражеских контратак и овладели выгодными позициями. На поле боя осталось до 400 вражеских трупов. Сожжено и подбито 6 немецких танков и 5 самоходных орудий. В другом районе наши автоматчики ворвались в населённый пункт, истребили роту гитлеровцев и захватили 2 немецких танка. Попытки подошедших частей противника вернуть этот населённый пункт успеха не имели.</w:t>
      </w:r>
    </w:p>
    <w:p w14:paraId="4F9E9EF7"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Восточнее Винницы продолжались ожесточённые бои. Пополнив свои потрёпанные части и подтянув крупные силы танков, противник в течение дня неоднократно предпринимал контратаки. На одном участке немцы бросили в бой свыше 100 танков и самоходных орудий. Советские артиллеристы и бронебойщики подбили и уничтожили 20 танков и 6 самоходных орудий противника. Немецкая пехота была встречена губительным миномётным и пулемётным огнём и в беспорядке отступила. На другом участке наши части, успешно отражая контратаки противника, истребили до 2.000 гитлеровцев, сожгли и подбили 35 танков и 29 бронемашин, уничтожили 9 бронетранспортёров и 120 автомашин. Захвачены трофеи и пленные.</w:t>
      </w:r>
    </w:p>
    <w:p w14:paraId="13453A95"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Чёрном море потоплены две баржи и транспорт противника водоизмещением в 1.500 тонн.</w:t>
      </w:r>
    </w:p>
    <w:p w14:paraId="61E5193A"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имени Гастелло напал на немцев, строивших укрепления в Барановичской области. Партизаны истребили 40 вражеских солдат и взорвали две автомашины. Группа подрывников этого же отряда пустила под откос железнодорожный эшелон с войсками противника. В результате крушения убито и ранено много гитлеровцев. Партизаны отряда имени Хмельницкого, действующего в Белостокской области, подожгли имение немецкого помещика. Огнём уничтожены склады с зерном.</w:t>
      </w:r>
    </w:p>
    <w:p w14:paraId="2D05C1A1"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районе города Новоград-Волынский сдались в плен 270 солдат 147 немецкой охранной дивизии. Пленный телефонист штаба дивизии солдат Артур Фрезе рассказал: «Стремительное наступление русских вызвало панику среди солдат и офицеров. Начальник тыла капитан Хайтле в присутствии солдат с возмущением говорил: «Зачем нас прислали сюда. Дивизия небоеспособна и не сможет удержать позиции. Русские всех нас уничтожат». Когда советские танки прорвались в наше расположение, мы стали отступать в южном направлении. Но оказалось, что русские автоматчики уже перерезали пути отхода. Офицеры бежали, бросив солдат на произвол судьбы. Я сам видел, как командир дивизии генерал-лейтенант Матершток сорвал с себя погоны и ордена. После этого он скрылся, и мы его больше не видели. Покинутые офицерами, мы всю ночь проблуждали в лесу и выбились из сил. Надо было что-то предпринять. Мы решили, что самое лучшее и самое разумное в нашем положении сдаться в плен. Всё оружие и боеприпасы мы передали русскому офицеру» (15009).</w:t>
      </w:r>
    </w:p>
    <w:p w14:paraId="50E2051E" w14:textId="77777777" w:rsidR="00184F39" w:rsidRPr="00070ADE" w:rsidRDefault="00184F39" w:rsidP="00B56F90">
      <w:pPr>
        <w:spacing w:after="0" w:line="240" w:lineRule="auto"/>
        <w:jc w:val="both"/>
        <w:rPr>
          <w:rFonts w:ascii="Times New Roman" w:hAnsi="Times New Roman"/>
          <w:color w:val="000000" w:themeColor="text1"/>
          <w:sz w:val="16"/>
          <w:szCs w:val="16"/>
        </w:rPr>
      </w:pPr>
    </w:p>
    <w:p w14:paraId="09EB429E"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14 января</w:t>
      </w:r>
      <w:r w:rsidRPr="00070ADE">
        <w:rPr>
          <w:rFonts w:ascii="Times New Roman" w:hAnsi="Times New Roman"/>
          <w:color w:val="000000" w:themeColor="text1"/>
          <w:sz w:val="16"/>
          <w:szCs w:val="16"/>
        </w:rPr>
        <w:t xml:space="preserve"> в 1944 году завершилась оборона Ленинграда во Второй Мировой войне. Боевые действия Советских войск и трудящихся в ожесточенных боях измотали противника - фашистские войска и остановили его продвижение (15009).</w:t>
      </w:r>
    </w:p>
    <w:p w14:paraId="21675E66" w14:textId="77777777" w:rsidR="00184F39" w:rsidRPr="00070ADE" w:rsidRDefault="00184F39" w:rsidP="00B56F90">
      <w:pPr>
        <w:spacing w:after="0" w:line="240" w:lineRule="auto"/>
        <w:jc w:val="both"/>
        <w:rPr>
          <w:rFonts w:ascii="Times New Roman" w:hAnsi="Times New Roman"/>
          <w:color w:val="000000" w:themeColor="text1"/>
          <w:sz w:val="16"/>
          <w:szCs w:val="16"/>
        </w:rPr>
      </w:pPr>
    </w:p>
    <w:p w14:paraId="65EBE137" w14:textId="77777777" w:rsidR="00F16AE1" w:rsidRPr="00070ADE" w:rsidRDefault="00F16A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января 1944 г. войска Ленин</w:t>
      </w:r>
      <w:r w:rsidRPr="00070ADE">
        <w:rPr>
          <w:rFonts w:ascii="Times New Roman" w:hAnsi="Times New Roman"/>
          <w:color w:val="000000" w:themeColor="text1"/>
          <w:sz w:val="16"/>
          <w:szCs w:val="16"/>
        </w:rPr>
        <w:softHyphen/>
        <w:t>градского, Волховского и 2-го Прибалтийского фронтов во взаимодействии с КБФ начали Ленинградско-Новгородскую операцию по полно</w:t>
      </w:r>
      <w:r w:rsidRPr="00070ADE">
        <w:rPr>
          <w:rFonts w:ascii="Times New Roman" w:hAnsi="Times New Roman"/>
          <w:color w:val="000000" w:themeColor="text1"/>
          <w:sz w:val="16"/>
          <w:szCs w:val="16"/>
        </w:rPr>
        <w:softHyphen/>
        <w:t>му снятию блокады Ленинграда и освобождению Ленинградской области. Ленинградская армия ПВО в это время не только охраняла небо города, но выделила около половины частей и соедине</w:t>
      </w:r>
      <w:r w:rsidRPr="00070ADE">
        <w:rPr>
          <w:rFonts w:ascii="Times New Roman" w:hAnsi="Times New Roman"/>
          <w:color w:val="000000" w:themeColor="text1"/>
          <w:sz w:val="16"/>
          <w:szCs w:val="16"/>
        </w:rPr>
        <w:softHyphen/>
        <w:t>ний армии для участия в прорыве блокады Ле</w:t>
      </w:r>
      <w:r w:rsidRPr="00070ADE">
        <w:rPr>
          <w:rFonts w:ascii="Times New Roman" w:hAnsi="Times New Roman"/>
          <w:color w:val="000000" w:themeColor="text1"/>
          <w:sz w:val="16"/>
          <w:szCs w:val="16"/>
        </w:rPr>
        <w:softHyphen/>
        <w:t>нинграда. Аэростаты заграждения вместе с зенит</w:t>
      </w:r>
      <w:r w:rsidRPr="00070ADE">
        <w:rPr>
          <w:rFonts w:ascii="Times New Roman" w:hAnsi="Times New Roman"/>
          <w:color w:val="000000" w:themeColor="text1"/>
          <w:sz w:val="16"/>
          <w:szCs w:val="16"/>
        </w:rPr>
        <w:softHyphen/>
        <w:t>ной артиллерией защищали атакующие войска и резервы от налётов авиации врага, прикрывали переправы войск на Ораниенбаумский плацдарм, в районах Лисий Нос, Горская, Сестрорецк.</w:t>
      </w:r>
    </w:p>
    <w:p w14:paraId="252BE1EF" w14:textId="77777777" w:rsidR="00F16AE1" w:rsidRPr="00070ADE" w:rsidRDefault="00F16A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снятия блокады и прекращения бом</w:t>
      </w:r>
      <w:r w:rsidRPr="00070ADE">
        <w:rPr>
          <w:rFonts w:ascii="Times New Roman" w:hAnsi="Times New Roman"/>
          <w:color w:val="000000" w:themeColor="text1"/>
          <w:sz w:val="16"/>
          <w:szCs w:val="16"/>
        </w:rPr>
        <w:softHyphen/>
        <w:t>бардировок города в феврале-марте 1944 г. 3-й и 11-й полки АЗ расформировали. На боевых позициях остался только 4-й полк (командир — полковник А.А. Торопов). Однако, уже в апреле начались налёты фашистской авиации на ком</w:t>
      </w:r>
      <w:r w:rsidRPr="00070ADE">
        <w:rPr>
          <w:rFonts w:ascii="Times New Roman" w:hAnsi="Times New Roman"/>
          <w:color w:val="000000" w:themeColor="text1"/>
          <w:sz w:val="16"/>
          <w:szCs w:val="16"/>
        </w:rPr>
        <w:softHyphen/>
        <w:t>муникации наступавших войск Ленинградского и Волховского фронтов. Для прикрытия желез</w:t>
      </w:r>
      <w:r w:rsidRPr="00070ADE">
        <w:rPr>
          <w:rFonts w:ascii="Times New Roman" w:hAnsi="Times New Roman"/>
          <w:color w:val="000000" w:themeColor="text1"/>
          <w:sz w:val="16"/>
          <w:szCs w:val="16"/>
        </w:rPr>
        <w:softHyphen/>
        <w:t>нодорожных узлов, фронтовых баз, мостов, мест дислокации войск и аэродромов сформировали 14-й полк АЗ (командир — майор В.М. Галкин). Отряды полка прикрывали участок Гатчина — Кингисепп (18 постов), железнодорожную стан</w:t>
      </w:r>
      <w:r w:rsidRPr="00070ADE">
        <w:rPr>
          <w:rFonts w:ascii="Times New Roman" w:hAnsi="Times New Roman"/>
          <w:color w:val="000000" w:themeColor="text1"/>
          <w:sz w:val="16"/>
          <w:szCs w:val="16"/>
        </w:rPr>
        <w:softHyphen/>
        <w:t>цию и мост в Толмачёво (9 постов), железнодо</w:t>
      </w:r>
      <w:r w:rsidRPr="00070ADE">
        <w:rPr>
          <w:rFonts w:ascii="Times New Roman" w:hAnsi="Times New Roman"/>
          <w:color w:val="000000" w:themeColor="text1"/>
          <w:sz w:val="16"/>
          <w:szCs w:val="16"/>
        </w:rPr>
        <w:softHyphen/>
        <w:t>рожные станции в Токсово, Любань (по 9 по</w:t>
      </w:r>
      <w:r w:rsidRPr="00070ADE">
        <w:rPr>
          <w:rFonts w:ascii="Times New Roman" w:hAnsi="Times New Roman"/>
          <w:color w:val="000000" w:themeColor="text1"/>
          <w:sz w:val="16"/>
          <w:szCs w:val="16"/>
        </w:rPr>
        <w:softHyphen/>
        <w:t>стов), мосты в г. Волхове (18 постов).</w:t>
      </w:r>
    </w:p>
    <w:p w14:paraId="1F875755" w14:textId="77777777" w:rsidR="00F16AE1" w:rsidRPr="00070ADE" w:rsidRDefault="00F16A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в мае-июле 1944 г. на баржах в Финском заливе и на его южном побережье развернули 36 постов аэростатов заграждения, обеспечивавших боевые действия кораблей Бал</w:t>
      </w:r>
      <w:r w:rsidRPr="00070ADE">
        <w:rPr>
          <w:rFonts w:ascii="Times New Roman" w:hAnsi="Times New Roman"/>
          <w:color w:val="000000" w:themeColor="text1"/>
          <w:sz w:val="16"/>
          <w:szCs w:val="16"/>
        </w:rPr>
        <w:softHyphen/>
        <w:t>тийского флота. Отряды и звенья 14-го полка АЗ принимали участие и в наступательных действи</w:t>
      </w:r>
      <w:r w:rsidRPr="00070ADE">
        <w:rPr>
          <w:rFonts w:ascii="Times New Roman" w:hAnsi="Times New Roman"/>
          <w:color w:val="000000" w:themeColor="text1"/>
          <w:sz w:val="16"/>
          <w:szCs w:val="16"/>
        </w:rPr>
        <w:softHyphen/>
        <w:t>ях наземных войск (20120).</w:t>
      </w:r>
    </w:p>
    <w:p w14:paraId="262E12A0" w14:textId="77777777" w:rsidR="00F16AE1" w:rsidRPr="00070ADE" w:rsidRDefault="00F16AE1" w:rsidP="00B56F90">
      <w:pPr>
        <w:pStyle w:val="233"/>
        <w:shd w:val="clear" w:color="auto" w:fill="auto"/>
        <w:spacing w:before="0" w:after="0" w:line="240" w:lineRule="auto"/>
        <w:ind w:firstLine="0"/>
        <w:jc w:val="both"/>
        <w:rPr>
          <w:rFonts w:ascii="Times New Roman" w:hAnsi="Times New Roman" w:cs="Times New Roman"/>
          <w:color w:val="000000" w:themeColor="text1"/>
          <w:sz w:val="16"/>
          <w:szCs w:val="16"/>
        </w:rPr>
      </w:pPr>
    </w:p>
    <w:p w14:paraId="159D2EF9"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14 января</w:t>
      </w:r>
      <w:r w:rsidRPr="00070ADE">
        <w:rPr>
          <w:rFonts w:ascii="Times New Roman" w:hAnsi="Times New Roman"/>
          <w:color w:val="000000" w:themeColor="text1"/>
          <w:sz w:val="16"/>
          <w:szCs w:val="16"/>
        </w:rPr>
        <w:t xml:space="preserve"> в 1944 году началась Красносельско-Ропшинская наступательная операция (часть Ленинградско-Новгородской стратегической наступательной операции) войск Ленинградского фронта (генерал армии Л.А.Говоров), Балтийского флота (адмирал В.Ф.Трибуц), соединений авиации дальнего действия и Ленинградской армии ПВО, продолжавшаяся до 30 января. Началась Новгородско-Лужская наступательная операция (часть Ленинградско-Новгородской стратегической </w:t>
      </w:r>
      <w:r w:rsidRPr="00070ADE">
        <w:rPr>
          <w:rFonts w:ascii="Times New Roman" w:hAnsi="Times New Roman"/>
          <w:color w:val="000000" w:themeColor="text1"/>
          <w:sz w:val="16"/>
          <w:szCs w:val="16"/>
        </w:rPr>
        <w:lastRenderedPageBreak/>
        <w:t>наступательной операции) войск Волховского фронта (генерал армии К.А.Мерецков), продолжавшаяся до 15 февраля. Войска 1-го Украинского фронта завершили Житомирско-Бердичевскую операцию, отодвинули на 80-200 км линию фронта в полосе шириной 700 км, почти полностью освободили Киевскую и Житомирскую области, ряд районов Винницкой и Ровенской областей, разгромили 6 дивизий противника (15009).</w:t>
      </w:r>
    </w:p>
    <w:p w14:paraId="4A1FB79C" w14:textId="77777777" w:rsidR="00184F39" w:rsidRPr="00070ADE" w:rsidRDefault="00184F39" w:rsidP="00B56F90">
      <w:pPr>
        <w:spacing w:after="0" w:line="240" w:lineRule="auto"/>
        <w:jc w:val="both"/>
        <w:rPr>
          <w:rFonts w:ascii="Times New Roman" w:hAnsi="Times New Roman"/>
          <w:color w:val="000000" w:themeColor="text1"/>
          <w:sz w:val="16"/>
          <w:szCs w:val="16"/>
        </w:rPr>
      </w:pPr>
    </w:p>
    <w:p w14:paraId="3DD3BB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14 января по 15 февраля 1944 состоялась Новгород-Лужская операция - часть Ленинградско-Новгородской операции. 20 января освободили Новгород и 12 февраля Лугу, продвинувшись на 150 км (2438,455).</w:t>
      </w:r>
    </w:p>
    <w:p w14:paraId="7ECD29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этой операции авиация широко использовалась как транспортное средство для снабжения танковых армий (518,168).</w:t>
      </w:r>
    </w:p>
    <w:p w14:paraId="1FCDDEF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F02F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января 1944 года началась Ленинградско-Петрозаводская операция, в ходе которой удалось снять блокаду с Ленинграда. В первый день наступления погода была нелетной и единственными самолетами, поднявшимися в воздух, были Ил-2 из 35-го ШАП и 7-го ГШАП. В тот день штурмовики совершили 75 боевых вылетов (2691).</w:t>
      </w:r>
    </w:p>
    <w:p w14:paraId="145961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EC85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C 14 января по 13 марта 1944 состоялась Ленинградско-Новгородская операция и группу Север отбросили на 220-280 км (2438,362).</w:t>
      </w:r>
    </w:p>
    <w:p w14:paraId="63D18E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rPr>
        <w:t xml:space="preserve">14 ВА проводили авиаподготовку накануне атаки продолжительностью </w:t>
      </w:r>
      <w:r w:rsidRPr="00070ADE">
        <w:rPr>
          <w:rFonts w:ascii="Times New Roman" w:hAnsi="Times New Roman"/>
          <w:color w:val="000000" w:themeColor="text1"/>
          <w:sz w:val="16"/>
          <w:szCs w:val="16"/>
          <w:lang w:val="en-US"/>
        </w:rPr>
        <w:t xml:space="preserve">10-30 </w:t>
      </w:r>
      <w:r w:rsidRPr="00070ADE">
        <w:rPr>
          <w:rFonts w:ascii="Times New Roman" w:hAnsi="Times New Roman"/>
          <w:color w:val="000000" w:themeColor="text1"/>
          <w:sz w:val="16"/>
          <w:szCs w:val="16"/>
        </w:rPr>
        <w:t>мин</w:t>
      </w:r>
      <w:r w:rsidRPr="00070ADE">
        <w:rPr>
          <w:rFonts w:ascii="Times New Roman" w:hAnsi="Times New Roman"/>
          <w:color w:val="000000" w:themeColor="text1"/>
          <w:sz w:val="16"/>
          <w:szCs w:val="16"/>
          <w:lang w:val="en-US"/>
        </w:rPr>
        <w:t xml:space="preserve"> (518,135).</w:t>
      </w:r>
    </w:p>
    <w:p w14:paraId="79585F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E4F86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January 14, 1944: South of Leningrad, the Red Army begins an offensive against the lines of Heeresgruppe Nord (von Kuchler) at Narva (3819).</w:t>
      </w:r>
    </w:p>
    <w:p w14:paraId="5BE963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3A793F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января 1944 при боях за освобождение Ленинграда взводный Мюллер на Тигре за один день сжег 25 советских танков, а два других Тигра - 13 и 3 (2118).</w:t>
      </w:r>
    </w:p>
    <w:p w14:paraId="6EE4E7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908D8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рассвете 14 января 1944 войска Ленинградского фронта перешли в решительное наступление на противника, продолжавшего осаждать «колыбель революции». В развернувшейся операции ВВС Балтфлота вновь отводилась весьма заметная роль. До конца февраля самолеты 1 -го ГМТАП наносили ночные удары по железнодорожным узлам Красногвардейск, Луга и Мга, аэродромам Кресты, Сиверская и Красногвардейск (9965).</w:t>
      </w:r>
    </w:p>
    <w:p w14:paraId="6A936BC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49BBB4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января 1944 началась наступательная операция по освобождению северо-запада и Прибалтики (2070,177). Это была Красносельско-Ропшинская операция, которая продолжалась с 14 по 30 января 1944 (2438,329).</w:t>
      </w:r>
    </w:p>
    <w:p w14:paraId="556BFC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B2D6C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января 1944 вышел приказ наркома ВМФ Н.К.Кузнецова N 018 об аварийности в частях ВВС Северного флота (2120).</w:t>
      </w:r>
    </w:p>
    <w:p w14:paraId="29E62A4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F15A3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января 1944 вышло Распоряжение ГКО № 4947 О переброске больших охотников за подводными лодками "Артиллерист", "Минер", "Торпедист", "Боцман" и "Зенитчик" из Каспийской военной флотилии в состав Черноморского флота. (7172, 161).</w:t>
      </w:r>
    </w:p>
    <w:p w14:paraId="2F1E90B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A2F19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001ABB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A8EC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января 1944 года</w:t>
      </w:r>
    </w:p>
    <w:p w14:paraId="1775D2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ЛИЧНО И СЕКРЕТНО ОТ ПРЕМЬЕРА И. В. СТАЛИНА ПРЕМЬЕР-МИНИСТРУ г-ну У. ЧЕРЧИЛЛЮ</w:t>
      </w:r>
    </w:p>
    <w:p w14:paraId="1E0CC3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Ваше послание от 12 января получил. Наши армии действительно имеют за последнее время успехи, но до Берлина нам еще очень далеко. К тому же немцы предпринимают сейчас довольно серьезные контратаки, особенно в районе восточнее Винницы. Это, конечно, не опасно, но все же немцам удалось здесь оттеснить наши передовые части и временно приостановить наше продвижение. Следовательно, Вы можете не ослаблять, а даже по возможности всемерно усиливать бомбардировки Берлина. Немцы еще успеют к нашему общему приходу в Берлин отстроить некоторые помещения, необходимые для нас с Вами.</w:t>
      </w:r>
    </w:p>
    <w:p w14:paraId="6AB392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Ваше послание к Тито, которого Вы так ободряете своей поддержкой, будет иметь большое значение.</w:t>
      </w:r>
    </w:p>
    <w:p w14:paraId="05F9FD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Надеюсь, что Ваша, вместе с американцами, подготовка к “Оверлорду” идет успешно вперед (7430).</w:t>
      </w:r>
    </w:p>
    <w:p w14:paraId="627AB36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415A9A"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1E3D73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D74EEA" w14:textId="77777777" w:rsidR="00F16AE1" w:rsidRPr="00070ADE" w:rsidRDefault="00F16A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января 1944 552 бомбардировщики 8-й воздушной армии в сопровождении 645 истребителей нанесли удар по 20 объектам летающих бомб Фау-1 в районе Па-де-Кале во Франции, при этом были потеряны три бомбардировщика и три истребителя. Бомбардировщики и истребители заявили, что 22 немецких самолета сбиты, один, вероятно, сбит, а один поврежден (20373).</w:t>
      </w:r>
    </w:p>
    <w:p w14:paraId="64FB2A4B" w14:textId="77777777" w:rsidR="00F16AE1" w:rsidRPr="00070ADE" w:rsidRDefault="00F16AE1" w:rsidP="00B56F90">
      <w:pPr>
        <w:spacing w:after="0" w:line="240" w:lineRule="auto"/>
        <w:jc w:val="both"/>
        <w:rPr>
          <w:rFonts w:ascii="Times New Roman" w:hAnsi="Times New Roman"/>
          <w:color w:val="000000" w:themeColor="text1"/>
          <w:sz w:val="16"/>
          <w:szCs w:val="16"/>
        </w:rPr>
      </w:pPr>
    </w:p>
    <w:p w14:paraId="12925D6F" w14:textId="77777777" w:rsidR="00F16AE1" w:rsidRPr="00070ADE" w:rsidRDefault="00F16A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14–15 января (ночь) 1944 458 британских бомбардировщиков совершили первый крупный налет на Брауншвейг, Германия во время Второй мировой войны. Немецкие ночные истребители перехватывают их, когда они пересекают границу Германии и продолжают атаковать, пока они не пересекут побережье Нидерландов по пути домой. 38 бомбардировщиков (7,6 процента сил), все Ланкастеры, будут потеряны. Большинство бомб падает в небольших городах и сельской местности, а в самом Брауншвейге разрушено только 10 домов и убито 14 человек (20373).</w:t>
      </w:r>
    </w:p>
    <w:p w14:paraId="14172B2B" w14:textId="77777777" w:rsidR="00F16AE1" w:rsidRPr="00070ADE" w:rsidRDefault="00F16AE1" w:rsidP="00B56F90">
      <w:pPr>
        <w:spacing w:after="0" w:line="240" w:lineRule="auto"/>
        <w:jc w:val="both"/>
        <w:rPr>
          <w:rFonts w:ascii="Times New Roman" w:hAnsi="Times New Roman"/>
          <w:color w:val="000000" w:themeColor="text1"/>
          <w:sz w:val="16"/>
          <w:szCs w:val="16"/>
        </w:rPr>
      </w:pPr>
    </w:p>
    <w:p w14:paraId="57DFBACE" w14:textId="77777777" w:rsidR="00F16AE1" w:rsidRPr="00070ADE" w:rsidRDefault="00F16A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14–15 января (ночь) 1944 82 британских бомбардировщика без потерь ударили по объектам немецких летающих бомб Фау-1 в Айли, Боннетоне и Бристильери, Франция (20373).</w:t>
      </w:r>
    </w:p>
    <w:p w14:paraId="3D0E54CA" w14:textId="77777777" w:rsidR="00F16AE1" w:rsidRPr="00070ADE" w:rsidRDefault="00F16AE1" w:rsidP="00B56F90">
      <w:pPr>
        <w:spacing w:after="0" w:line="240" w:lineRule="auto"/>
        <w:jc w:val="both"/>
        <w:rPr>
          <w:rFonts w:ascii="Times New Roman" w:hAnsi="Times New Roman"/>
          <w:color w:val="000000" w:themeColor="text1"/>
          <w:sz w:val="16"/>
          <w:szCs w:val="16"/>
        </w:rPr>
      </w:pPr>
    </w:p>
    <w:p w14:paraId="36905F9B"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14 января</w:t>
      </w:r>
      <w:r w:rsidRPr="00070ADE">
        <w:rPr>
          <w:rFonts w:ascii="Times New Roman" w:hAnsi="Times New Roman"/>
          <w:color w:val="000000" w:themeColor="text1"/>
          <w:sz w:val="16"/>
          <w:szCs w:val="16"/>
        </w:rPr>
        <w:t xml:space="preserve"> в 1944 году начало работы Европейской консультативной комиссии в Лондоне (15009).</w:t>
      </w:r>
    </w:p>
    <w:p w14:paraId="5BB098DF" w14:textId="77777777" w:rsidR="00184F39" w:rsidRPr="00070ADE" w:rsidRDefault="00184F39" w:rsidP="00B56F90">
      <w:pPr>
        <w:spacing w:after="0" w:line="240" w:lineRule="auto"/>
        <w:jc w:val="both"/>
        <w:rPr>
          <w:rFonts w:ascii="Times New Roman" w:hAnsi="Times New Roman"/>
          <w:color w:val="000000" w:themeColor="text1"/>
          <w:sz w:val="16"/>
          <w:szCs w:val="16"/>
        </w:rPr>
      </w:pPr>
    </w:p>
    <w:p w14:paraId="20E57B8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января 1944 немецкое командование приняло решение эвакуировать свои войска из Софии (4962).</w:t>
      </w:r>
    </w:p>
    <w:p w14:paraId="1EBFCB33"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E3140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288358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DBCE0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протяжении двух первых недель 1944 г. коллектив ЦАКБ НКВ устранил недостатки в конструкции пушки С-53 и оказывал помощь конструкторам и технологам завода № 92 НКВ в организации ее серийного производства. К 15 января на заводе № 92 была собрана первая пушка, которая отличалась от опытного образца, прежде всего, литой (а не сварной) конструкцией люльки и муфтовым (вместо резьбового) соединением ствола пушки с казенником. В период с 16 по 17 января 1944 г. пушка прошла испытания стрельбой на ГАНИОПе, во время которых произошло заклинивание поршня тормоза отката. Пушка была отправлена на доработку. На этот раз, на заводе М» 92 была изменена конструкция противооткатных устройств и произведена доработка отдельных деталей пушки С-53. Вот почему заслуги заводчан в усовершенствовании конструкции орудия были отмечены и в ее официальном названии с началом серийного производства на заводе № 92 (завод , Сталина) пушка получила наименование ЗИС-С-53. 23 января 1944 г. постановлением ГКО танк Т-34, оснащенный 85-мм пушкой ЗИС-С-53 под маркой Т-34-85 был принят на вооружение Красной Армии (10703).</w:t>
      </w:r>
    </w:p>
    <w:p w14:paraId="787BEE8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79D6C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E3088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74FDDF" w14:textId="77777777" w:rsidR="00253A8A" w:rsidRPr="00C94B78" w:rsidRDefault="00253A8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15 января 1944 года завод №30 полностью перешел к производству Ил-2 с пушками ВЯ. Общее количество выпущенных Илов с пушками НС-37 оценивается в 1000 с небольшим штук. Характерно, что к концу 1944 года они практически полностью исчезли из действующих частей (25270).</w:t>
      </w:r>
    </w:p>
    <w:p w14:paraId="033C3D97" w14:textId="77777777" w:rsidR="00253A8A" w:rsidRPr="00C94B78" w:rsidRDefault="00253A8A" w:rsidP="00B56F90">
      <w:pPr>
        <w:spacing w:after="0" w:line="240" w:lineRule="auto"/>
        <w:jc w:val="both"/>
        <w:rPr>
          <w:rFonts w:ascii="Times New Roman" w:hAnsi="Times New Roman"/>
          <w:color w:val="0070C0"/>
          <w:sz w:val="16"/>
          <w:szCs w:val="16"/>
        </w:rPr>
      </w:pPr>
    </w:p>
    <w:p w14:paraId="56FAF10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января 1944 года директор и гл. конструктор завода N 240 С.В.И. писал письмо N 8/86с зам. наркома Авиапрома В.П. Кузнецову и гл. конструктору завода N 500 А.Д. Чаромскому.</w:t>
      </w:r>
    </w:p>
    <w:p w14:paraId="73FDC4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проектируемых транспортных самолетов с герметической кабиной нами был выбран дизель-мотор М-30В, чертежи и основные данные которого были присланы нам гл. конструктором завода N 500 Чаромским А.Д. с письмом за N 723с от 11 декабря 1942 г.</w:t>
      </w:r>
    </w:p>
    <w:p w14:paraId="696C3C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согласно письма гл. конструктора завода N 500 за N 1517с от 2-го декабря 1943 г. а также личного заявления зам. гл. конструктора завода N 500 Тулупова, завод N 500 занимается только дизель-мотором М-31, данные которого отличны от мотора М-30В. Мотор М-31 нами может быть установлен на вышеуказанные самолеты только при условии изменения его данных до основных данных дизель-мотора М-30В.</w:t>
      </w:r>
    </w:p>
    <w:p w14:paraId="7849E0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для питания герметической кабины чистым воздухом на дизель-моторе М-31 необходимо установить дополнительный нагнетатель, данные которого должны удовлетворять следующим требованиям: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45F96D76" w14:textId="77777777">
        <w:tc>
          <w:tcPr>
            <w:tcW w:w="5636" w:type="dxa"/>
          </w:tcPr>
          <w:p w14:paraId="4534680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 Производительность на высоте Н=6000 м</w:t>
            </w:r>
          </w:p>
        </w:tc>
        <w:tc>
          <w:tcPr>
            <w:tcW w:w="5636" w:type="dxa"/>
          </w:tcPr>
          <w:p w14:paraId="0688B7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Ст=0,1+0,15 кг/сек.</w:t>
            </w:r>
          </w:p>
        </w:tc>
      </w:tr>
      <w:tr w:rsidR="004D4663" w:rsidRPr="00070ADE" w14:paraId="61A540F3" w14:textId="77777777">
        <w:tc>
          <w:tcPr>
            <w:tcW w:w="5636" w:type="dxa"/>
          </w:tcPr>
          <w:p w14:paraId="0CE916C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 Избыточное давление в герметической </w:t>
            </w:r>
          </w:p>
        </w:tc>
        <w:tc>
          <w:tcPr>
            <w:tcW w:w="5636" w:type="dxa"/>
          </w:tcPr>
          <w:p w14:paraId="651B41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9A4ED3C" w14:textId="77777777">
        <w:tc>
          <w:tcPr>
            <w:tcW w:w="5636" w:type="dxa"/>
          </w:tcPr>
          <w:p w14:paraId="1BB98E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кабине</w:t>
            </w:r>
          </w:p>
        </w:tc>
        <w:tc>
          <w:tcPr>
            <w:tcW w:w="5636" w:type="dxa"/>
          </w:tcPr>
          <w:p w14:paraId="389DD2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0,35 кг/см кв.</w:t>
            </w:r>
          </w:p>
        </w:tc>
      </w:tr>
      <w:tr w:rsidR="004D4663" w:rsidRPr="00070ADE" w14:paraId="7F0BA0C5" w14:textId="77777777">
        <w:tc>
          <w:tcPr>
            <w:tcW w:w="5636" w:type="dxa"/>
          </w:tcPr>
          <w:p w14:paraId="672DCC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Воздух, подаваемый этим нагнетателем,</w:t>
            </w:r>
          </w:p>
        </w:tc>
        <w:tc>
          <w:tcPr>
            <w:tcW w:w="5636" w:type="dxa"/>
          </w:tcPr>
          <w:p w14:paraId="63062D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00EF144" w14:textId="77777777">
        <w:tc>
          <w:tcPr>
            <w:tcW w:w="5636" w:type="dxa"/>
          </w:tcPr>
          <w:p w14:paraId="7C23A4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 должен содержать масло, масляные пары</w:t>
            </w:r>
          </w:p>
        </w:tc>
        <w:tc>
          <w:tcPr>
            <w:tcW w:w="5636" w:type="dxa"/>
          </w:tcPr>
          <w:p w14:paraId="7E702A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C93E6E1" w14:textId="77777777">
        <w:tc>
          <w:tcPr>
            <w:tcW w:w="5636" w:type="dxa"/>
          </w:tcPr>
          <w:p w14:paraId="484A8D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другие примеси, вредно действующие на</w:t>
            </w:r>
          </w:p>
        </w:tc>
        <w:tc>
          <w:tcPr>
            <w:tcW w:w="5636" w:type="dxa"/>
          </w:tcPr>
          <w:p w14:paraId="6F1D92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521334D" w14:textId="77777777">
        <w:tc>
          <w:tcPr>
            <w:tcW w:w="5636" w:type="dxa"/>
          </w:tcPr>
          <w:p w14:paraId="310D2D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организм человека.</w:t>
            </w:r>
          </w:p>
        </w:tc>
        <w:tc>
          <w:tcPr>
            <w:tcW w:w="5636" w:type="dxa"/>
          </w:tcPr>
          <w:p w14:paraId="61A369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75BA00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Исходя из вышеизложенного прошу Вашего указания заводу N 500 о проведении данных доработок на четырех дизель-моторах, которые нам потребуются:</w:t>
      </w:r>
    </w:p>
    <w:p w14:paraId="7B9F7A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мотора к 1-му августа 1944 года;</w:t>
      </w:r>
    </w:p>
    <w:p w14:paraId="303089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мотора к 1-му октября 1944 года.</w:t>
      </w:r>
    </w:p>
    <w:p w14:paraId="5110DA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Указанные выше транспортные самолеты с мотором М-30В включены в план опытного строительства 1944 г (2562,31).</w:t>
      </w:r>
    </w:p>
    <w:p w14:paraId="0EAE11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01E3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15 января 1944 года был построен макет модифицированного самолета Пе-8 4М-82ФН ТК-3, который представлял собой носовую часть фюзеляжа Ф-1 и среднюю фюзеляжную часть центроплана до разъема с Ф-3. На макете были отражены оборудование штурманской кабины, оборудование пилотского отсека, оборудование пульта механика, радиооборудование, рабочее место радиста, расположение балочных бомбодержателей, габариты основного бомбового отсека и люков для свето-бомб (7685).</w:t>
      </w:r>
    </w:p>
    <w:p w14:paraId="5A93FD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60F3D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15 января 1944 г. построили макет новой носовой и средней частей фюзеляжа Пе-8. На нём можно было увидеть оборудование кабин штурмана и пилотов, пульт механика, рабочее место радиста, расположение балочных бомбодержателей, габариты основного бом- боотсека и люков для осветительных бомб. Макетная комиссия под председательством генерала А.А. Лапина протоколом от 8 февраля утвердила комплектацию оборудования и его размещение.</w:t>
      </w:r>
    </w:p>
    <w:p w14:paraId="7478019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Рассмотрение проекта в НКАП и последовавшее за ним постановление ГКО от 20 февраля 1944 г. потребовало его дальнейших доработок. В частности, окончательно остановились на мотоустановке с ТК-3, кроме того, добавилось требование к усилению огневой защиты спереди-снизу (по предложению самого Незваля) (11996).</w:t>
      </w:r>
    </w:p>
    <w:p w14:paraId="3AE28AA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FECE495" w14:textId="77777777"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К 15 января 1944 года был построен макет модифицированного самолета Пе-8, который представлял собой носовую часть фюзеляжа Ф-1 и среднюю фюзеляжную часть центроплана до разъема с Ф-3. На макете были отражены оборудование штурманской кабины, оборудование пилотского отсека, оборудование пульта механика, радиооборудование, рабочее место радиста, расположение балочных бомбодержателей, габариты основного бомбового отсека и люков для светобомб.</w:t>
      </w:r>
    </w:p>
    <w:p w14:paraId="5E09F468" w14:textId="77777777"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Макетная комиссия, назначенная Приказом ГУ ИАС КА от 3 февраля 1944 года, под председательством генерала ИАС А.А.Лапина рассмотрела макет и соответствующим протоколом от 8 февраля 1944 года утвердила основное оборудование и его размещение.</w:t>
      </w:r>
    </w:p>
    <w:p w14:paraId="3EF2102D" w14:textId="77777777" w:rsidR="00DF6978" w:rsidRPr="00070ADE" w:rsidRDefault="00DF6978" w:rsidP="00B56F90">
      <w:pPr>
        <w:pStyle w:val="ae"/>
        <w:shd w:val="clear" w:color="auto" w:fill="FFFFFF"/>
        <w:spacing w:before="0" w:after="0"/>
        <w:jc w:val="both"/>
        <w:rPr>
          <w:color w:val="000000" w:themeColor="text1"/>
          <w:sz w:val="16"/>
          <w:szCs w:val="16"/>
        </w:rPr>
      </w:pPr>
      <w:r w:rsidRPr="00070ADE">
        <w:rPr>
          <w:color w:val="000000" w:themeColor="text1"/>
          <w:sz w:val="16"/>
          <w:szCs w:val="16"/>
        </w:rPr>
        <w:t>Конкретные требования комиссии по перекомпоновке оборудования выполнялись в присутствии макетной комиссии (12187).</w:t>
      </w:r>
    </w:p>
    <w:p w14:paraId="67635261" w14:textId="77777777" w:rsidR="00DF6978" w:rsidRPr="00070ADE" w:rsidRDefault="00DF6978" w:rsidP="00B56F90">
      <w:pPr>
        <w:pStyle w:val="ae"/>
        <w:shd w:val="clear" w:color="auto" w:fill="FFFFFF"/>
        <w:spacing w:before="0" w:after="0"/>
        <w:jc w:val="both"/>
        <w:rPr>
          <w:color w:val="000000" w:themeColor="text1"/>
          <w:sz w:val="16"/>
          <w:szCs w:val="16"/>
        </w:rPr>
      </w:pPr>
    </w:p>
    <w:p w14:paraId="685C50BE"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15 января 1944 года макет модифицированного самолета Пе-8 был построен и представлял собой носовую часть фюзеляжа Ф-1 и среднюю фюзеляжную часть центроплана до разъема с Ф-3. На макете были отражены оборудование штурманской кабины, оборудование пилотского отсека, оборудование пульта механика радиооборудование, рабочее место радиста, расположение балочных бомбодержателей, габариты основного бомбового отсека и люков для светобомб.</w:t>
      </w:r>
    </w:p>
    <w:p w14:paraId="38926C61"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Макетная комиссия, назначенная Приказом ГУ НАС К А от 3 февраля 1944 года, под председательством генерала НАС А.А.Лапина рассмотрела макет и соответствующим протоколом от 8 февраля 1944 года утвердила основное оборудование и его размещение.</w:t>
      </w:r>
    </w:p>
    <w:p w14:paraId="64549988"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Конкретные требования комиссии по перекомпоновке оборудования выполнялись в присутствии макетной комиссии.</w:t>
      </w:r>
    </w:p>
    <w:p w14:paraId="1C92DD83"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Рассмотрение проекта модифицированного Пе-8 4М-82ФН ТК-3 в НКАП и последовавшее за ним постановление ГОКО от 20 февраля 1944 года потребовало дальнейших доработок проекта. В частности после обсуждения НКАП окончательно решено было ставить ТК, добавилось требование к увеличению огневой защиты спереди- снизу (по предложению Незваля) (21726).</w:t>
      </w:r>
    </w:p>
    <w:p w14:paraId="49489BAB" w14:textId="77777777" w:rsidR="00903E13" w:rsidRPr="00070ADE" w:rsidRDefault="00903E13" w:rsidP="00B56F90">
      <w:pPr>
        <w:pStyle w:val="ae"/>
        <w:spacing w:before="0" w:after="0"/>
        <w:jc w:val="both"/>
        <w:rPr>
          <w:color w:val="000000" w:themeColor="text1"/>
          <w:sz w:val="16"/>
          <w:szCs w:val="16"/>
        </w:rPr>
      </w:pPr>
    </w:p>
    <w:p w14:paraId="71C617AF" w14:textId="77777777" w:rsidR="00253A8A" w:rsidRPr="00C94B78" w:rsidRDefault="00253A8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15 января 1944 года был построен макет модифицированного самолета Пе-8 и представлял собой носовую часть фюзеляжа Ф-1 и среднюю фюзеляжную часть центроплана до разъема с Ф-3. На макете были отражены оборудование штурманской кабины, оборудование пилотского отсека, оборудование пульта механика, радиооборудование, рабочее место радиста, расположение балочных бомбодержателей, габариты основного бомбового отсека и люков для светобомб (25286).</w:t>
      </w:r>
    </w:p>
    <w:p w14:paraId="57878F02" w14:textId="77777777" w:rsidR="00253A8A" w:rsidRPr="00C94B78" w:rsidRDefault="00253A8A" w:rsidP="00B56F90">
      <w:pPr>
        <w:spacing w:after="0" w:line="240" w:lineRule="auto"/>
        <w:jc w:val="both"/>
        <w:rPr>
          <w:rFonts w:ascii="Times New Roman" w:hAnsi="Times New Roman"/>
          <w:color w:val="0070C0"/>
          <w:sz w:val="16"/>
          <w:szCs w:val="16"/>
        </w:rPr>
      </w:pPr>
    </w:p>
    <w:p w14:paraId="379F17AB" w14:textId="77777777" w:rsidR="00253A8A" w:rsidRPr="00070ADE" w:rsidRDefault="00253A8A"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января 1944 был утвержден отчет о заводских испытаниях Як-9-ВК-107А (300,3).</w:t>
      </w:r>
    </w:p>
    <w:p w14:paraId="6D5BCA51" w14:textId="77777777" w:rsidR="00253A8A" w:rsidRPr="00070ADE" w:rsidRDefault="00253A8A"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88C7FD"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76CF8B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8E937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января 1944 г. для проверки эффективности проводимых ОКР по увеличению бронепробиваемости 85-мм танковых пушек за счет увеличения начальной скорости снаряда на первом этапе до 900 - 950 м/с и в последующем до 1030 -1100 м/с (за счет увеличения длины ствола и применения нового заря</w:t>
      </w:r>
      <w:r w:rsidRPr="00070ADE">
        <w:rPr>
          <w:rFonts w:ascii="Times New Roman" w:hAnsi="Times New Roman"/>
          <w:color w:val="000000" w:themeColor="text1"/>
          <w:sz w:val="16"/>
          <w:szCs w:val="16"/>
        </w:rPr>
        <w:softHyphen/>
        <w:t>да из трубчатого пороха. При начальной скорости снаряда 900 м/с на дальности 500 м бронебойный снаряд пробивал броневую плиту толщи</w:t>
      </w:r>
      <w:r w:rsidRPr="00070ADE">
        <w:rPr>
          <w:rFonts w:ascii="Times New Roman" w:hAnsi="Times New Roman"/>
          <w:color w:val="000000" w:themeColor="text1"/>
          <w:sz w:val="16"/>
          <w:szCs w:val="16"/>
        </w:rPr>
        <w:softHyphen/>
        <w:t>ной 131 мм, расположенную вертикально, а при 1030 м/с - 160 мм) с опытно</w:t>
      </w:r>
      <w:r w:rsidRPr="00070ADE">
        <w:rPr>
          <w:rFonts w:ascii="Times New Roman" w:hAnsi="Times New Roman"/>
          <w:color w:val="000000" w:themeColor="text1"/>
          <w:sz w:val="16"/>
          <w:szCs w:val="16"/>
        </w:rPr>
        <w:softHyphen/>
        <w:t>го танка "Объект 237" № 1 была демонтирована пушка Д-5Т-85, а вмес</w:t>
      </w:r>
      <w:r w:rsidRPr="00070ADE">
        <w:rPr>
          <w:rFonts w:ascii="Times New Roman" w:hAnsi="Times New Roman"/>
          <w:color w:val="000000" w:themeColor="text1"/>
          <w:sz w:val="16"/>
          <w:szCs w:val="16"/>
        </w:rPr>
        <w:softHyphen/>
        <w:t>то нее установлена пушка Д-5Т-85БМ с бронировкой амбразуры от тан</w:t>
      </w:r>
      <w:r w:rsidRPr="00070ADE">
        <w:rPr>
          <w:rFonts w:ascii="Times New Roman" w:hAnsi="Times New Roman"/>
          <w:color w:val="000000" w:themeColor="text1"/>
          <w:sz w:val="16"/>
          <w:szCs w:val="16"/>
        </w:rPr>
        <w:softHyphen/>
        <w:t>ка ИС-2 и с опытным телескопическим шарнирным прицелом ПТ-8 че</w:t>
      </w:r>
      <w:r w:rsidRPr="00070ADE">
        <w:rPr>
          <w:rFonts w:ascii="Times New Roman" w:hAnsi="Times New Roman"/>
          <w:color w:val="000000" w:themeColor="text1"/>
          <w:sz w:val="16"/>
          <w:szCs w:val="16"/>
        </w:rPr>
        <w:softHyphen/>
        <w:t>тырехкратного увеличения (10703).</w:t>
      </w:r>
    </w:p>
    <w:p w14:paraId="3ABB51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2B15D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15 января 1944 на заводе № 92 была собрана первая пушка С-53, которая отличалась от опытного образца, прежде всего, литой (а не сварной) конструкцией люльки и муфтовым (вместо резьбового) соединением ствола пушки с казенником. В период с 16 по 17 января 1944 г. пушка прошла испытания стрельбой на ГАНИОПе, во время которых произошло заклинивание поршня тормоза отката. Пушка была отправлена на доработку. На этот раз, на заводе М» 92 была изменена конструкция противооткатных устройств и произведена доработка отдельных деталей пушки С-53. Вот почему заслуги заводчан в усовершенствовании конструкции орудия были отмечены и в ее официальном названии с началом серийного производства на заводе № 92 (завод , Сталина) пушка получила наименование ЗИС-С-53. 23 января 1944 г. постановлением ГКО танк Т-34, оснащенный 85-мм пушкой ЗИС-С-53 под маркой Т-34-85 был принят на вооружение Красной Армии (10703).</w:t>
      </w:r>
    </w:p>
    <w:p w14:paraId="72F0F6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1F05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января 1944 началось серийное производство орудий С-53 и тут случилось ЧП. В ходе испы</w:t>
      </w:r>
      <w:r w:rsidRPr="00070ADE">
        <w:rPr>
          <w:rFonts w:ascii="Times New Roman" w:hAnsi="Times New Roman"/>
          <w:color w:val="000000" w:themeColor="text1"/>
          <w:sz w:val="16"/>
          <w:szCs w:val="16"/>
        </w:rPr>
        <w:softHyphen/>
        <w:t>таний на отказ на 470-м выстреле у орудия заклинило тормоз отката. ЦАКБ «умыло руки», так как серийное орудие в ме</w:t>
      </w:r>
      <w:r w:rsidRPr="00070ADE">
        <w:rPr>
          <w:rFonts w:ascii="Times New Roman" w:hAnsi="Times New Roman"/>
          <w:color w:val="000000" w:themeColor="text1"/>
          <w:sz w:val="16"/>
          <w:szCs w:val="16"/>
        </w:rPr>
        <w:softHyphen/>
        <w:t>лочах сильно отличалось от разработанного здесь. Поэтому исправлять указанный дефект пришлось заводскому КБ.</w:t>
      </w:r>
    </w:p>
    <w:p w14:paraId="3E225A9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Именения, внесенные ОКБ-92 в противооткатный меха</w:t>
      </w:r>
      <w:r w:rsidRPr="00070ADE">
        <w:rPr>
          <w:rFonts w:ascii="Times New Roman" w:hAnsi="Times New Roman"/>
          <w:color w:val="000000" w:themeColor="text1"/>
          <w:sz w:val="16"/>
          <w:szCs w:val="16"/>
        </w:rPr>
        <w:softHyphen/>
        <w:t>низм С-53, оказались действенными и 30 января указанная пушка прошла отстрел как в штатной, так и в увеличенной башне Т-34, после чего ее производству была дана «зеленая улица». Новые орудия были очень дешевы и просты в массо</w:t>
      </w:r>
      <w:r w:rsidRPr="00070ADE">
        <w:rPr>
          <w:rFonts w:ascii="Times New Roman" w:hAnsi="Times New Roman"/>
          <w:color w:val="000000" w:themeColor="text1"/>
          <w:sz w:val="16"/>
          <w:szCs w:val="16"/>
        </w:rPr>
        <w:softHyphen/>
        <w:t>вом производстве, тем более что серийное орудие имело цельнолитую люльку и муфтовое соединение ствола с казен</w:t>
      </w:r>
      <w:r w:rsidRPr="00070ADE">
        <w:rPr>
          <w:rFonts w:ascii="Times New Roman" w:hAnsi="Times New Roman"/>
          <w:color w:val="000000" w:themeColor="text1"/>
          <w:sz w:val="16"/>
          <w:szCs w:val="16"/>
        </w:rPr>
        <w:softHyphen/>
        <w:t>ником. Вполне понятно, что вскоре масштабы их производ</w:t>
      </w:r>
      <w:r w:rsidRPr="00070ADE">
        <w:rPr>
          <w:rFonts w:ascii="Times New Roman" w:hAnsi="Times New Roman"/>
          <w:color w:val="000000" w:themeColor="text1"/>
          <w:sz w:val="16"/>
          <w:szCs w:val="16"/>
        </w:rPr>
        <w:softHyphen/>
        <w:t>ства превысили Д-5, которые целиком съедала программа из</w:t>
      </w:r>
      <w:r w:rsidRPr="00070ADE">
        <w:rPr>
          <w:rFonts w:ascii="Times New Roman" w:hAnsi="Times New Roman"/>
          <w:color w:val="000000" w:themeColor="text1"/>
          <w:sz w:val="16"/>
          <w:szCs w:val="16"/>
        </w:rPr>
        <w:softHyphen/>
        <w:t>готовления самоходно-артиллерийских установок СУ-85 (11135).</w:t>
      </w:r>
    </w:p>
    <w:p w14:paraId="46F90B1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2B8E2E" w14:textId="77777777" w:rsidR="00DF6978" w:rsidRPr="00070ADE" w:rsidRDefault="00DF6978" w:rsidP="00B56F90">
      <w:pPr>
        <w:pStyle w:val="a3"/>
        <w:rPr>
          <w:color w:val="000000" w:themeColor="text1"/>
          <w:lang w:val="ru-RU"/>
        </w:rPr>
      </w:pPr>
      <w:r w:rsidRPr="00070ADE">
        <w:rPr>
          <w:color w:val="000000" w:themeColor="text1"/>
          <w:lang w:val="ru-RU"/>
        </w:rPr>
        <w:t>15 января 1944 Сталин вновь подробно расспросил Малышева о характеристиках Т-44 и сказал: «Так это будет очень хороший танк. Вы держите меня в курсе дела». 3 февраля Сталин просил Малышева ускорить испытания танка и подготовить предложения по его производству. 13 февраля Сталин от просьб перешёл к обвинениям: «тов. Сталин сказал, что мы затягиваем дело с этим танком, и предложил ускорить испытания и начать производство танков Т-44. Исключительно тяжелые задачи. Не знаю даже, как их можно выполнить. Сейчас буду советоваться с директорами заводов» («Пройдёт десяток лет, и этих встреч не восстановишь уже в памяти»//Источник. №5. 1997. С. 125).</w:t>
      </w:r>
    </w:p>
    <w:p w14:paraId="30FA5B38" w14:textId="77777777" w:rsidR="00DF6978" w:rsidRPr="00070ADE" w:rsidRDefault="00DF6978" w:rsidP="00B56F90">
      <w:pPr>
        <w:pStyle w:val="a3"/>
        <w:rPr>
          <w:color w:val="000000" w:themeColor="text1"/>
          <w:lang w:val="ru-RU"/>
        </w:rPr>
      </w:pPr>
      <w:r w:rsidRPr="00070ADE">
        <w:rPr>
          <w:color w:val="000000" w:themeColor="text1"/>
          <w:lang w:val="ru-RU"/>
        </w:rPr>
        <w:t>Но, когда танк был готов, Сталин и Малышев, видимо, так и не решились перестраивать для его производства основные танкостроительные предприятия (12290).</w:t>
      </w:r>
    </w:p>
    <w:p w14:paraId="0F8A4B63" w14:textId="77777777" w:rsidR="00DF6978" w:rsidRPr="00070ADE" w:rsidRDefault="00DF6978" w:rsidP="00B56F90">
      <w:pPr>
        <w:pStyle w:val="a3"/>
        <w:rPr>
          <w:color w:val="000000" w:themeColor="text1"/>
          <w:lang w:val="ru-RU"/>
        </w:rPr>
      </w:pPr>
    </w:p>
    <w:p w14:paraId="4F78AF28" w14:textId="77777777" w:rsidR="00253A8A" w:rsidRPr="00C94B78" w:rsidRDefault="00253A8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15 января 1944 года нар</w:t>
      </w:r>
      <w:r w:rsidRPr="00C94B78">
        <w:rPr>
          <w:rFonts w:ascii="Times New Roman" w:hAnsi="Times New Roman"/>
          <w:color w:val="0070C0"/>
          <w:sz w:val="16"/>
          <w:szCs w:val="16"/>
        </w:rPr>
        <w:softHyphen/>
        <w:t>ком танковой промышленности В. Малы</w:t>
      </w:r>
      <w:r w:rsidRPr="00C94B78">
        <w:rPr>
          <w:rFonts w:ascii="Times New Roman" w:hAnsi="Times New Roman"/>
          <w:color w:val="0070C0"/>
          <w:sz w:val="16"/>
          <w:szCs w:val="16"/>
        </w:rPr>
        <w:softHyphen/>
        <w:t>шев записал в своем дневнике:</w:t>
      </w:r>
    </w:p>
    <w:p w14:paraId="63E4642D" w14:textId="77777777" w:rsidR="00253A8A" w:rsidRPr="00C94B78" w:rsidRDefault="00253A8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«Звонил тов. Сталин - разговаривали до</w:t>
      </w:r>
      <w:r w:rsidRPr="00C94B78">
        <w:rPr>
          <w:rFonts w:ascii="Times New Roman" w:hAnsi="Times New Roman"/>
          <w:color w:val="0070C0"/>
          <w:sz w:val="16"/>
          <w:szCs w:val="16"/>
        </w:rPr>
        <w:softHyphen/>
        <w:t>вольно долго. Тов. Сталин интересовался хо</w:t>
      </w:r>
      <w:r w:rsidRPr="00C94B78">
        <w:rPr>
          <w:rFonts w:ascii="Times New Roman" w:hAnsi="Times New Roman"/>
          <w:color w:val="0070C0"/>
          <w:sz w:val="16"/>
          <w:szCs w:val="16"/>
        </w:rPr>
        <w:softHyphen/>
        <w:t>дом работ по опытному танку Т-44 завода 183, попросил вновь сообщить ему основную характеристику танка. После того как я под</w:t>
      </w:r>
      <w:r w:rsidRPr="00C94B78">
        <w:rPr>
          <w:rFonts w:ascii="Times New Roman" w:hAnsi="Times New Roman"/>
          <w:color w:val="0070C0"/>
          <w:sz w:val="16"/>
          <w:szCs w:val="16"/>
        </w:rPr>
        <w:softHyphen/>
        <w:t>робно рассказал, тов. Сталин сказал: «Так это будет очень хороший танк. Вы держите меня в курсе дела» (25012).</w:t>
      </w:r>
    </w:p>
    <w:p w14:paraId="4BE3F999" w14:textId="77777777" w:rsidR="00253A8A" w:rsidRPr="00C94B78" w:rsidRDefault="00253A8A" w:rsidP="00B56F90">
      <w:pPr>
        <w:spacing w:after="0" w:line="240" w:lineRule="auto"/>
        <w:jc w:val="both"/>
        <w:rPr>
          <w:rFonts w:ascii="Times New Roman" w:hAnsi="Times New Roman"/>
          <w:color w:val="0070C0"/>
          <w:sz w:val="16"/>
          <w:szCs w:val="16"/>
        </w:rPr>
      </w:pPr>
    </w:p>
    <w:p w14:paraId="477AD8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января 1944 г. была подготовлена ДОКЛАДНАЯ ЗАПИСКА ЗАМЕСТИТЕЛЯ КОМАНДУЮЩЕГО БТ и МВ КА ЧЛЕНУ ГКО Л.П.БЕРИИ О ХОДЕ ВЫПОЛНЕНИЯ ПОСТАНОВЛЕНИЯ ГКО ПО ИЗГОТОВЛЕНИЮ ЭЛЕКТРОТРАНСМИССИИ ДЛЯ ТАНКА КВ № 520260</w:t>
      </w:r>
    </w:p>
    <w:p w14:paraId="4EDDEC6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 о ходе выполнения Постановления ГОКО №3774с от 20 июля 1943 г. заводом №627 Наркомэлектропрома по изготовлению электротрансмиссии для танка КВ.</w:t>
      </w:r>
    </w:p>
    <w:p w14:paraId="32C2F0A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период с 23 по 25 декабря 1943 г. на заводе № 627 производились стендовые испытания элек</w:t>
      </w:r>
      <w:r w:rsidRPr="00070ADE">
        <w:rPr>
          <w:rFonts w:ascii="Times New Roman" w:hAnsi="Times New Roman"/>
          <w:color w:val="000000" w:themeColor="text1"/>
          <w:sz w:val="16"/>
          <w:szCs w:val="16"/>
        </w:rPr>
        <w:softHyphen/>
        <w:t>тродвигателей и бортовых редукторов к ним.</w:t>
      </w:r>
    </w:p>
    <w:p w14:paraId="7B970A3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время испытаний, после 3,5 часов работы на стенде, в одном бортовом редукторе произошла поломка зубьев солнечной шестерни.</w:t>
      </w:r>
    </w:p>
    <w:p w14:paraId="6C6FA7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втором редукторе, при вскрытии его, обнаружен большой износ зубьев солнечной шестерни.</w:t>
      </w:r>
    </w:p>
    <w:p w14:paraId="1283BE4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завод №627 принимает меры к быстрейшему восстановлению бортовых редукторов, после чего будут продолжены стендовые испытания.</w:t>
      </w:r>
    </w:p>
    <w:p w14:paraId="63278C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сообщению директора завода №627 т. Иосифья стендовые испытания электротрансмиссии предполагается окончить к 15 февраля 1944 г., после этого электротрансмиссия будет подвергнута ходовым испытаниям.</w:t>
      </w:r>
    </w:p>
    <w:p w14:paraId="7F561F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командующего БТ и МВ Красной Армии генерал-лейтенант танковых войск Коробков</w:t>
      </w:r>
    </w:p>
    <w:p w14:paraId="2602CB8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 военного совета генерал-лейтенант танковых войск Бирюков</w:t>
      </w:r>
    </w:p>
    <w:p w14:paraId="544636F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2722. Л. 9. Копия (11403).</w:t>
      </w:r>
    </w:p>
    <w:p w14:paraId="24B8259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869C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января 1944 г. была подготовлена ЗАЯВКА ЗАМЕСТИТЕЛЯ КОМАНДУЮЩЕГО БТ и МВ КА ПО АРТИЛЛЕРИИ НАРКОМУ ВООРУЖЕНИЯ СССР УСТИНОВУ И НАЧАЛЬНИКУ ГАУ КА ЯКОВЛЕВУ О ВКЛЮЧЕНИИ В ПЛАН ОПЫТНЫХ РАБОТ НКВ И ГАУ НА 1944 ГОД НОВЫХ ТЕМ</w:t>
      </w:r>
    </w:p>
    <w:p w14:paraId="1225E66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дальнейшего усиления вооружения танков и самоходов прошу включить в план опыт</w:t>
      </w:r>
      <w:r w:rsidRPr="00070ADE">
        <w:rPr>
          <w:rFonts w:ascii="Times New Roman" w:hAnsi="Times New Roman"/>
          <w:color w:val="000000" w:themeColor="text1"/>
          <w:sz w:val="16"/>
          <w:szCs w:val="16"/>
        </w:rPr>
        <w:softHyphen/>
        <w:t>ных работ НКВ и ГАУ на 1944 год следующие темы:</w:t>
      </w:r>
    </w:p>
    <w:p w14:paraId="5305918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Модернизация 85-мм танковой и самоходной пушки Д-5 с увеличением начальной скорости снаряда до 900-1000 м/с.</w:t>
      </w:r>
    </w:p>
    <w:p w14:paraId="17ACCF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Разработка 76-мм полуавтоматической танковой и самоходной пушки с начальной скоростью снаряда не менее 1000 м/с.</w:t>
      </w:r>
    </w:p>
    <w:p w14:paraId="5B9395E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Разработка клинового полуавтоматического затвора для 122-мм пушки Д-25 и 152-мм пушки-гаубицы МЛ-20.</w:t>
      </w:r>
    </w:p>
    <w:p w14:paraId="47E9D7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Разработка 122-мм пушки с начальной скоростью снаряда 950-1000 м/с для установки в само</w:t>
      </w:r>
      <w:r w:rsidRPr="00070ADE">
        <w:rPr>
          <w:rFonts w:ascii="Times New Roman" w:hAnsi="Times New Roman"/>
          <w:color w:val="000000" w:themeColor="text1"/>
          <w:sz w:val="16"/>
          <w:szCs w:val="16"/>
        </w:rPr>
        <w:softHyphen/>
        <w:t>ход ИС-152.</w:t>
      </w:r>
    </w:p>
    <w:p w14:paraId="710F08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Разработка 152-мм пушки с баллистикой пушки БР-2 и клиновым затвором.</w:t>
      </w:r>
    </w:p>
    <w:p w14:paraId="68D56E8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Разработка 100-мм пушки с начальной скоростью снаряда 900 м/с с клиновым полуавтомати</w:t>
      </w:r>
      <w:r w:rsidRPr="00070ADE">
        <w:rPr>
          <w:rFonts w:ascii="Times New Roman" w:hAnsi="Times New Roman"/>
          <w:color w:val="000000" w:themeColor="text1"/>
          <w:sz w:val="16"/>
          <w:szCs w:val="16"/>
        </w:rPr>
        <w:softHyphen/>
        <w:t>ческим затвором для установки в танк ИС.</w:t>
      </w:r>
    </w:p>
    <w:p w14:paraId="5EFDADA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Разработка более совершенных механических и электромагнитных спусков для танковых и самоходных артсистем.</w:t>
      </w:r>
    </w:p>
    <w:p w14:paraId="44FC72A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Разработка приспособлений для продувки канала ствола после выстрела у танковых и само</w:t>
      </w:r>
      <w:r w:rsidRPr="00070ADE">
        <w:rPr>
          <w:rFonts w:ascii="Times New Roman" w:hAnsi="Times New Roman"/>
          <w:color w:val="000000" w:themeColor="text1"/>
          <w:sz w:val="16"/>
          <w:szCs w:val="16"/>
        </w:rPr>
        <w:softHyphen/>
        <w:t>ходных артсистем.</w:t>
      </w:r>
    </w:p>
    <w:p w14:paraId="23C7625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Механизация подачи боеприпасов и заряжания в тяжелых танках и самоходных установках (85, 122 и 152-мм).</w:t>
      </w:r>
    </w:p>
    <w:p w14:paraId="331445C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Разработка зенитной установки 37-мм автоматической пушки обр. 1939 г. и морской 37-мм пушки 70к на шасси СУ-76.</w:t>
      </w:r>
    </w:p>
    <w:p w14:paraId="2BC5902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Разработка смотрового перископа для самоходов на базе «Перископа разведчика» ТР с пере</w:t>
      </w:r>
      <w:r w:rsidRPr="00070ADE">
        <w:rPr>
          <w:rFonts w:ascii="Times New Roman" w:hAnsi="Times New Roman"/>
          <w:color w:val="000000" w:themeColor="text1"/>
          <w:sz w:val="16"/>
          <w:szCs w:val="16"/>
        </w:rPr>
        <w:softHyphen/>
        <w:t>менным увеличением 1-х и 4-х при поле зрения 50°-60° и 15° соответственно.</w:t>
      </w:r>
    </w:p>
    <w:p w14:paraId="5538E09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Разработка ломающихся прицепов 2,5-х и 4-х увеличения для танковых и самоходных артси</w:t>
      </w:r>
      <w:r w:rsidRPr="00070ADE">
        <w:rPr>
          <w:rFonts w:ascii="Times New Roman" w:hAnsi="Times New Roman"/>
          <w:color w:val="000000" w:themeColor="text1"/>
          <w:sz w:val="16"/>
          <w:szCs w:val="16"/>
        </w:rPr>
        <w:softHyphen/>
        <w:t>стем (76-мм, 85-мм, 122-мм и 152-мм).</w:t>
      </w:r>
    </w:p>
    <w:p w14:paraId="020DF82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Ваши замечания и решения по данным вопросам прошу сообщить.</w:t>
      </w:r>
    </w:p>
    <w:p w14:paraId="6CF683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командующего БТ и МВ КА по артиллерии генерал-лейтенант артиллерии Таранович</w:t>
      </w:r>
    </w:p>
    <w:p w14:paraId="4823A00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11369. Д. 492. Л. 1-2. Копия (11403).</w:t>
      </w:r>
    </w:p>
    <w:p w14:paraId="19C04C9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1483C3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января 1944 вышло Постановление ГКО № 4952 О неудовлетворительном снабжении природным газом саратовских электростанций. РГАНИР, Фонд ГКО, д. 192, лл. 1-2 (11012).</w:t>
      </w:r>
    </w:p>
    <w:p w14:paraId="4B39E1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696FE5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января 1944 г. И.К. Кикоиным организовано Отделение молекулярной физики, основной задачей которого стало разделение изотопов урана с целью получения оружейного U-235. Была создана газодиффузионная технология разделения. Позднее Отделение преобразовано в ИМФ. В 1950-е г. были возобновлены работы по газовым центрифугам, которые доведены до серийного производства. В соответствии с пост. ГКО от 15.03.1944 г. в Ленинграде образован филиал лаборатории № 2, который возглавил И.К. Кикоин (11982).</w:t>
      </w:r>
    </w:p>
    <w:p w14:paraId="69A8F2C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769097" w14:textId="77777777" w:rsidR="00F3706C" w:rsidRPr="00070ADE" w:rsidRDefault="00F3706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15 января</w:t>
      </w:r>
      <w:r w:rsidRPr="00070ADE">
        <w:rPr>
          <w:rFonts w:ascii="Times New Roman" w:hAnsi="Times New Roman"/>
          <w:color w:val="000000" w:themeColor="text1"/>
          <w:sz w:val="16"/>
          <w:szCs w:val="16"/>
        </w:rPr>
        <w:t xml:space="preserve"> в 1944 году создано отделение молекулярной физики Института атомной энергии имени И.В.Курчатова, на основе которого впоследствии был образован Институт молекулярной физики РНЦ "Курчатовский институт».</w:t>
      </w:r>
    </w:p>
    <w:p w14:paraId="0C95B199" w14:textId="77777777" w:rsidR="00F3706C" w:rsidRPr="00070ADE" w:rsidRDefault="00F3706C" w:rsidP="00B56F90">
      <w:pPr>
        <w:spacing w:after="0" w:line="240" w:lineRule="auto"/>
        <w:jc w:val="both"/>
        <w:rPr>
          <w:rFonts w:ascii="Times New Roman" w:hAnsi="Times New Roman"/>
          <w:color w:val="000000" w:themeColor="text1"/>
          <w:sz w:val="16"/>
          <w:szCs w:val="16"/>
        </w:rPr>
      </w:pPr>
    </w:p>
    <w:p w14:paraId="65CAEBA8"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34BF8B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4E4D27"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15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5DF29367"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15 января западнее и северо-западнее города Калинковичи наши войска с боями продвигались вперёд и выбили противника из нескольких населённых пунктов.</w:t>
      </w:r>
    </w:p>
    <w:p w14:paraId="3E0DC623"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Восточнее Винницы и севернее Умани наши войска отбивали контратаки крупныхсил пехоты и танков противника и нанесли ему большие потери в живой cиле итехнике.</w:t>
      </w:r>
    </w:p>
    <w:p w14:paraId="3176FFE3"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в ряде пунктов бои местного значения.</w:t>
      </w:r>
    </w:p>
    <w:p w14:paraId="3D4372C5"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14 января наши войска на всех фронтах подбили и уничтожили 111 немецких танков. В воздушных боях и огнём зенитной артиллерии сбито 42 самолёта противника.</w:t>
      </w:r>
    </w:p>
    <w:p w14:paraId="5F96B818"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северо-западнее города Калинковичи наши войска с боямипродвигались вперёд. В последние дни противник понёс огромные потери и сегодня пытался под прикрытием артиллерийско-миномётного огня перегруппировать силы и привести себя в порядок. Не давая врагу опомниться, бойцы Н-ского соединения наносили немцам непрерывные удары и заняли ряд населённых пунктов. В одном районе советские кавалеристы прорвались в тыл противника и разгромили колонну гитлеровцев. Наши войска за день боёв уничтожили 1.500 немецких солдат иофицеров, сожгли 16 танков и 4 самоходных орудия. Захвачено у немцев 28 орудий, 3 склада с боеприпасами, вещевой склад, 40 железнодорожных вагонов, 200 повозок с грузами и другие трофеи.</w:t>
      </w:r>
    </w:p>
    <w:p w14:paraId="34216A54"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Советская авиация активно поддерживала действия наземных войск. Прямыми попаданиями бомб наши лётчики уничтожили немецкий бронепоезд.</w:t>
      </w:r>
    </w:p>
    <w:p w14:paraId="00F8EACB"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Восточнее Винницы и севернее Умани наши войска продолжали вести ожесточённые бои. Крупные силы пехоты и танков противника предприняли контратаку против частей Н-ского соединения. Несмотря на огромные потери, гитлеровцы лезли вперёд, стремясь любой ценой пробить брешь в советской обороне. Создав плотную огневую завесу, наши войска выдержали натиск противника и вынудили его отступить на исходные рубежи. Вскоре немцы, перегруппировав свои силы, опять перешли в атаку, но и на этот раз не добились успеха. Небольшая группа вражеских танков, прорвавшаяся к одному населённому пункту, была уничтожена нашими танками и самоходными орудиями, находившимися в засаде. В течение дня подбито и сожжено 70 немецких танков, 11 самоходных орудий и 16 бронетранспортёров. Уничтожено до 2.000 солдат и офицеров противника.</w:t>
      </w:r>
    </w:p>
    <w:p w14:paraId="68540BCA"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Чёрном море потоплены две быстроходные десантные баржи противника.</w:t>
      </w:r>
    </w:p>
    <w:p w14:paraId="7B553E5D"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Партизанские отряды имени 24 годовщины Красной Армии, имени Ворошилова иимени Будённого, действующие в Ровенской области, нанесли отступающим немцам внезапный удар. Партизаны разгромили батальон вражеской пехоты и заняли несколько населённых пунктов. Советские патриоты освободили тысячи советских граждан, которых немцы угоняли на каторгу в Германию.</w:t>
      </w:r>
    </w:p>
    <w:p w14:paraId="1046765E"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Перешедший на сторону Красной Армии ефрейтор 208 полка 79 немецкой пехотнойдивизии Ганс П. рассказал: «Наша дивизия потерпела тягчайшее поражение. Два полка — 226 и 212 — были уничтожены, а их обозы попали в руки русских. Крупные потери понёс и 208 полк. В его составе остался батальон численностью в 200 человек. Кроме того, из солдат нестроевых команд и обозов дивизии была создана «боевая группа», которой командовал капитан Винде. Это было всё, чем располагала дивизия. В последнем бою русские захватили в плен всех солдат «боевой группы». Был разгромлен и только что прибывший на фронт маршевый батальон, укомплектованный солдатами, призванными по тотальной мобилизации. Они плохо обучены военному делу и не хотят воевать. Теперь вся 79 дивизия кормится из двух полевых кухонь. После всего того, что мне довелось видеть и пережить в России, я понял, что Германия проиграла войну. Я решил, что продолжать борьбу бессмысленно, и перешёл на сторону русских».</w:t>
      </w:r>
    </w:p>
    <w:p w14:paraId="7A379BEF"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Жители деревни Еловка, Калининской области, Анастасия Фролова и Екатерина Горячева рассказали о кровавой расправе немецко-фашистских мерзавцев с мирными советскими гражданами: «Вечером седьмого ноября 1943 года в деревню Еловка прибыл немецкий карательный отряд. Гитлеровцы устроили облаву, схватили 30 человек и загнали в дом Дорофея Фролова. Через некоторое время один немец крикнул: «По два человека выходи!».</w:t>
      </w:r>
    </w:p>
    <w:p w14:paraId="42660AF9" w14:textId="77777777" w:rsidR="00184F39" w:rsidRPr="00070ADE" w:rsidRDefault="00184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Первым вышел старик Дорофей Фролов. На наших глазах немцы пристрелили его изавтомата. Вслед за Фроловым вышла семнадцатилетняя Евгения Шалд и шестилетняя Валентина Студёнова. Они также были расстреляны немцами. После этого немцы подожгли дом, а по окнам открыли стрельбу из автоматов. В огне погибли: Иван Фролов — 13 лет, Вера Шалд — 22 лет, Любовь Шалд — 16 лет, Валентина Шалд — 6 лет, Фёкла Фролова — 30 лет, Галина Фролова — 2 лет, Александра Фролова — 22 лет, Надежда Фролова — 6 лет и другие жители деревни» (15010).</w:t>
      </w:r>
    </w:p>
    <w:p w14:paraId="5FBFC2B4" w14:textId="77777777" w:rsidR="00184F39" w:rsidRPr="00070ADE" w:rsidRDefault="00184F39" w:rsidP="00B56F90">
      <w:pPr>
        <w:spacing w:after="0" w:line="240" w:lineRule="auto"/>
        <w:jc w:val="both"/>
        <w:rPr>
          <w:rFonts w:ascii="Times New Roman" w:hAnsi="Times New Roman"/>
          <w:color w:val="000000" w:themeColor="text1"/>
          <w:sz w:val="16"/>
          <w:szCs w:val="16"/>
        </w:rPr>
      </w:pPr>
    </w:p>
    <w:p w14:paraId="5A9D61D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15 января 1944 войска 2-го Украинского фронта начали наступление в направлении Ново- украинки. Прикрывая выдвижение пехоты и танков, Ил-2 1-го шак в 8.50 поставили дымовые завесы. Через 10 минут 6 девяток Пе-2 от 1-го бак бомбили войска противника в районе Большой Виски, Благодатное, Новоалександровка. В 9.50-10.40 четыре девятки Ил-2 нанесли бомбоштурмовые удары в районе Андреевка, Александровка, Ов- сяниковка. В 10.15-10.30 две девятки Пе-2 "отработали" по </w:t>
      </w:r>
      <w:r w:rsidRPr="00070ADE">
        <w:rPr>
          <w:rFonts w:ascii="Times New Roman" w:hAnsi="Times New Roman"/>
          <w:color w:val="000000" w:themeColor="text1"/>
          <w:sz w:val="16"/>
          <w:szCs w:val="16"/>
        </w:rPr>
        <w:lastRenderedPageBreak/>
        <w:t>позициям противника в районе Марьяновка, Федоровка. Одновременно с авиацией действовала артиллерия, а затем вперед пошла пехота и танки, которых поддерживали штурмовики 1 -го шак.</w:t>
      </w:r>
    </w:p>
    <w:p w14:paraId="62BF1E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 протяжении всего дня группы Ил-2 "проталкивали" войска через оборону противника. Например, в середине дня 7 Ил-2 от 800-го шап (ведущий капитан Пошиваль- ников) атаковали узел сопротивления противника на восточной окраине Александ- ровки. Летчики выполнили три захода и подожгли несколько автомашин, уничтожили до двух взводов пехоты. В 13.15-13.30 </w:t>
      </w:r>
    </w:p>
    <w:p w14:paraId="59037F2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Ил-2 от 667-го шап (ведущий ст. лейтенант Лопатин) штурмовали опорный пункт в районе Новоалександровки. После атаки штурмовиков наземные части подтвердили уничтожение трех автомашин, одного танка и батареи полевой артиллерии. Этой группе пришлось вступить в воздушный бой с четырьмя Bf 109, в котором удалось, не понеся потерь, сбить один "мессер".</w:t>
      </w:r>
    </w:p>
    <w:p w14:paraId="7630FD8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то, что уже в первый день наступления войска фронта овладели районом Благодатное-Ивановка, добиться перелома все же не удалось. Более того, немцы почти непрерывно контратаковали. Вдобавок 18 января испортилась погода. Резко потеплело, нижняя кромка облаков опустилась до 100-300 м, видимость упала до 500 м и менее, почти постоянно лил дождь или висел туман. Аэродромы размокли. От 5-й ВА могли работать только штурмовики парами и звеньями из наиболее опытных экипажей. В основном Ил-2 действовали над полем боя и в ближайшем тылу противника, осуществляя свободный поиск целей (12020).</w:t>
      </w:r>
    </w:p>
    <w:p w14:paraId="507A735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4A7A80D" w14:textId="77777777" w:rsidR="009B6B5E" w:rsidRPr="00070ADE" w:rsidRDefault="009B6B5E"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 xml:space="preserve">15 января 1944 года. 49-й гв. тп (точнее, к тому времени уже 49-й гв. ттп </w:t>
      </w:r>
      <w:r w:rsidRPr="00070ADE">
        <w:rPr>
          <w:rFonts w:ascii="Times New Roman" w:eastAsia="Times New Roman" w:hAnsi="Times New Roman"/>
          <w:iCs/>
          <w:color w:val="000000" w:themeColor="text1"/>
          <w:sz w:val="16"/>
          <w:szCs w:val="16"/>
          <w:lang w:eastAsia="ru-RU"/>
        </w:rPr>
        <w:t>—</w:t>
      </w:r>
      <w:r w:rsidRPr="00070ADE">
        <w:rPr>
          <w:rFonts w:ascii="Times New Roman" w:eastAsia="Times New Roman" w:hAnsi="Times New Roman"/>
          <w:color w:val="000000" w:themeColor="text1"/>
          <w:sz w:val="16"/>
          <w:szCs w:val="16"/>
          <w:lang w:eastAsia="ru-RU"/>
        </w:rPr>
        <w:t xml:space="preserve"> гвардейский тяжелый танковый полк) на Черчилях участвовал в окончательном снятии блокады Ленинграда. Для восполнения потерь 25 января полк получил 23 БТ-5 и 3 БТ-7. В таком крайне странном составе полк сражался до середины февраля 1944 года. К этому моменту в его составе находилось 13 «Черчиллей» и 16 БТ. Далее полк отправили в Тулу для получения тяжелых танков ИС-2 (17691).</w:t>
      </w:r>
    </w:p>
    <w:p w14:paraId="2EE6AD3A" w14:textId="77777777" w:rsidR="009B6B5E" w:rsidRPr="00070ADE" w:rsidRDefault="009B6B5E" w:rsidP="00B56F90">
      <w:pPr>
        <w:spacing w:after="0" w:line="240" w:lineRule="auto"/>
        <w:jc w:val="both"/>
        <w:rPr>
          <w:rFonts w:ascii="Times New Roman" w:eastAsia="Times New Roman" w:hAnsi="Times New Roman"/>
          <w:color w:val="000000" w:themeColor="text1"/>
          <w:sz w:val="16"/>
          <w:szCs w:val="16"/>
          <w:lang w:eastAsia="ru-RU"/>
        </w:rPr>
      </w:pPr>
    </w:p>
    <w:p w14:paraId="62904DE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550899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EF67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января 1944 года было получено:</w:t>
      </w:r>
    </w:p>
    <w:p w14:paraId="0C741B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ЛИЧНОЕ ПОСЛАНИЕ ОТ г-на УИНСТОНА ЧЕРЧИЛЛЯ ДЛЯ МАРШАЛА СТАЛИНА</w:t>
      </w:r>
    </w:p>
    <w:p w14:paraId="5D5148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Ноты, обещанные в Вашем послании от 2 января, в настоящее время получены, и Гимн будет исполнен полным симфоническим оркестром Британской Радиовещательной Корпорации перед передачей известий в 9 часов вечера в воскресенье (7430).</w:t>
      </w:r>
    </w:p>
    <w:p w14:paraId="1254B9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526C97"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101CAF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7749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января 1944 Европейская консультативная комиссия решила разделить Германию на части (2100).</w:t>
      </w:r>
    </w:p>
    <w:p w14:paraId="7647A1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1238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января 1944 RAF сбросил на Берлин 2800 т бомб (2247,1).</w:t>
      </w:r>
    </w:p>
    <w:p w14:paraId="17121B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C24A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January 15, 1944: In Italy, French troops under General Juin capture Monte Santa Croce (3819).</w:t>
      </w:r>
    </w:p>
    <w:p w14:paraId="34A219E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9C92E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января 1944 в Италии французские силы г Жупена заняли Монте санта Крос (3819).</w:t>
      </w:r>
    </w:p>
    <w:p w14:paraId="461C08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71D07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января 1944 на территории Китая, контролируемой коммунистами, японские диссиденты создали Японскую народно-освободительную Лигу (4962).</w:t>
      </w:r>
    </w:p>
    <w:p w14:paraId="7557D26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2EA8F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2A1491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0D75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Примерно с середины января ме</w:t>
      </w:r>
      <w:r w:rsidRPr="00070ADE">
        <w:rPr>
          <w:rFonts w:ascii="Times New Roman" w:hAnsi="Times New Roman"/>
          <w:color w:val="000000" w:themeColor="text1"/>
          <w:sz w:val="16"/>
          <w:szCs w:val="16"/>
        </w:rPr>
        <w:softHyphen/>
        <w:t>сяца 1944 вместо прежних обозначений опытных самолетов Ил-2 с мотором АМ-42 в переписке стали использо</w:t>
      </w:r>
      <w:r w:rsidRPr="00070ADE">
        <w:rPr>
          <w:rFonts w:ascii="Times New Roman" w:hAnsi="Times New Roman"/>
          <w:color w:val="000000" w:themeColor="text1"/>
          <w:sz w:val="16"/>
          <w:szCs w:val="16"/>
        </w:rPr>
        <w:softHyphen/>
        <w:t>вать одно единственное наименова</w:t>
      </w:r>
      <w:r w:rsidRPr="00070ADE">
        <w:rPr>
          <w:rFonts w:ascii="Times New Roman" w:hAnsi="Times New Roman"/>
          <w:color w:val="000000" w:themeColor="text1"/>
          <w:sz w:val="16"/>
          <w:szCs w:val="16"/>
        </w:rPr>
        <w:softHyphen/>
        <w:t>ние Ил-АМ-42 с добавлением штур</w:t>
      </w:r>
      <w:r w:rsidRPr="00070ADE">
        <w:rPr>
          <w:rFonts w:ascii="Times New Roman" w:hAnsi="Times New Roman"/>
          <w:color w:val="000000" w:themeColor="text1"/>
          <w:sz w:val="16"/>
          <w:szCs w:val="16"/>
        </w:rPr>
        <w:softHyphen/>
        <w:t>мовик или разведчик-корректиров</w:t>
      </w:r>
      <w:r w:rsidRPr="00070ADE">
        <w:rPr>
          <w:rFonts w:ascii="Times New Roman" w:hAnsi="Times New Roman"/>
          <w:color w:val="000000" w:themeColor="text1"/>
          <w:sz w:val="16"/>
          <w:szCs w:val="16"/>
        </w:rPr>
        <w:softHyphen/>
        <w:t>щик, иногда добавлялся номер за</w:t>
      </w:r>
      <w:r w:rsidRPr="00070ADE">
        <w:rPr>
          <w:rFonts w:ascii="Times New Roman" w:hAnsi="Times New Roman"/>
          <w:color w:val="000000" w:themeColor="text1"/>
          <w:sz w:val="16"/>
          <w:szCs w:val="16"/>
        </w:rPr>
        <w:softHyphen/>
        <w:t>вода. Несколько позже Ил-2 АМ-42 (РК) завода № 240 стал обозначаться как Ил-АМ-42 экз. № 1 (или Ил экз. № 1 АМ-42), а Ил-2М - как Ил-АМ-42 экз. № 2 (или Ил экз. № 2 АМ-42).</w:t>
      </w:r>
    </w:p>
    <w:p w14:paraId="096501D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неустойчивую рабо</w:t>
      </w:r>
      <w:r w:rsidRPr="00070ADE">
        <w:rPr>
          <w:rFonts w:ascii="Times New Roman" w:hAnsi="Times New Roman"/>
          <w:color w:val="000000" w:themeColor="text1"/>
          <w:sz w:val="16"/>
          <w:szCs w:val="16"/>
        </w:rPr>
        <w:softHyphen/>
        <w:t>ту мотора АМ-42, опытный развед</w:t>
      </w:r>
      <w:r w:rsidRPr="00070ADE">
        <w:rPr>
          <w:rFonts w:ascii="Times New Roman" w:hAnsi="Times New Roman"/>
          <w:color w:val="000000" w:themeColor="text1"/>
          <w:sz w:val="16"/>
          <w:szCs w:val="16"/>
        </w:rPr>
        <w:softHyphen/>
        <w:t>чик-корректировщик Ил-АМ-42 (экз. № 1) все же сумел успешно завер</w:t>
      </w:r>
      <w:r w:rsidRPr="00070ADE">
        <w:rPr>
          <w:rFonts w:ascii="Times New Roman" w:hAnsi="Times New Roman"/>
          <w:color w:val="000000" w:themeColor="text1"/>
          <w:sz w:val="16"/>
          <w:szCs w:val="16"/>
        </w:rPr>
        <w:softHyphen/>
        <w:t>шить программу заводских испыта</w:t>
      </w:r>
      <w:r w:rsidRPr="00070ADE">
        <w:rPr>
          <w:rFonts w:ascii="Times New Roman" w:hAnsi="Times New Roman"/>
          <w:color w:val="000000" w:themeColor="text1"/>
          <w:sz w:val="16"/>
          <w:szCs w:val="16"/>
        </w:rPr>
        <w:softHyphen/>
        <w:t>ний. Летал начальник ЛИС завода № 240 генерал-майор В. К. Кокки-наки. Испытания обеспечивались бригадой в составе: ведущего инже</w:t>
      </w:r>
      <w:r w:rsidRPr="00070ADE">
        <w:rPr>
          <w:rFonts w:ascii="Times New Roman" w:hAnsi="Times New Roman"/>
          <w:color w:val="000000" w:themeColor="text1"/>
          <w:sz w:val="16"/>
          <w:szCs w:val="16"/>
        </w:rPr>
        <w:softHyphen/>
        <w:t>нера по испытаниям А. П. Виногра</w:t>
      </w:r>
      <w:r w:rsidRPr="00070ADE">
        <w:rPr>
          <w:rFonts w:ascii="Times New Roman" w:hAnsi="Times New Roman"/>
          <w:color w:val="000000" w:themeColor="text1"/>
          <w:sz w:val="16"/>
          <w:szCs w:val="16"/>
        </w:rPr>
        <w:softHyphen/>
        <w:t>дова, инженера по винтомоторной группе В. В. Семенова и бортмеха</w:t>
      </w:r>
      <w:r w:rsidRPr="00070ADE">
        <w:rPr>
          <w:rFonts w:ascii="Times New Roman" w:hAnsi="Times New Roman"/>
          <w:color w:val="000000" w:themeColor="text1"/>
          <w:sz w:val="16"/>
          <w:szCs w:val="16"/>
        </w:rPr>
        <w:softHyphen/>
        <w:t>ника самолета И. Б. Кюсса. В общей сложности в период с 10 мая 1943 г. по 22 февраля 1944 г. было выпол</w:t>
      </w:r>
      <w:r w:rsidRPr="00070ADE">
        <w:rPr>
          <w:rFonts w:ascii="Times New Roman" w:hAnsi="Times New Roman"/>
          <w:color w:val="000000" w:themeColor="text1"/>
          <w:sz w:val="16"/>
          <w:szCs w:val="16"/>
        </w:rPr>
        <w:softHyphen/>
        <w:t>нено 40 полетов с суммарным нале</w:t>
      </w:r>
      <w:r w:rsidRPr="00070ADE">
        <w:rPr>
          <w:rFonts w:ascii="Times New Roman" w:hAnsi="Times New Roman"/>
          <w:color w:val="000000" w:themeColor="text1"/>
          <w:sz w:val="16"/>
          <w:szCs w:val="16"/>
        </w:rPr>
        <w:softHyphen/>
        <w:t>том 21 час 9 минут.</w:t>
      </w:r>
    </w:p>
    <w:p w14:paraId="030462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полетном весе 7200 кг с вин</w:t>
      </w:r>
      <w:r w:rsidRPr="00070ADE">
        <w:rPr>
          <w:rFonts w:ascii="Times New Roman" w:hAnsi="Times New Roman"/>
          <w:color w:val="000000" w:themeColor="text1"/>
          <w:sz w:val="16"/>
          <w:szCs w:val="16"/>
        </w:rPr>
        <w:softHyphen/>
        <w:t>том АВ-5л-18Б была получена до</w:t>
      </w:r>
      <w:r w:rsidRPr="00070ADE">
        <w:rPr>
          <w:rFonts w:ascii="Times New Roman" w:hAnsi="Times New Roman"/>
          <w:color w:val="000000" w:themeColor="text1"/>
          <w:sz w:val="16"/>
          <w:szCs w:val="16"/>
        </w:rPr>
        <w:softHyphen/>
        <w:t>вольно высокая скорость горизонтального полета: 470 км/ч - на вы</w:t>
      </w:r>
      <w:r w:rsidRPr="00070ADE">
        <w:rPr>
          <w:rFonts w:ascii="Times New Roman" w:hAnsi="Times New Roman"/>
          <w:color w:val="000000" w:themeColor="text1"/>
          <w:sz w:val="16"/>
          <w:szCs w:val="16"/>
        </w:rPr>
        <w:softHyphen/>
        <w:t>соте 2240 м и 434,5 км/ч - у земли. Вертикальная скорость у земли со</w:t>
      </w:r>
      <w:r w:rsidRPr="00070ADE">
        <w:rPr>
          <w:rFonts w:ascii="Times New Roman" w:hAnsi="Times New Roman"/>
          <w:color w:val="000000" w:themeColor="text1"/>
          <w:sz w:val="16"/>
          <w:szCs w:val="16"/>
        </w:rPr>
        <w:softHyphen/>
        <w:t>ставила 8,32 м/с, а время подъема на высоту 1000 м - 1,97 мин. Это были неплохие результаты. Как от</w:t>
      </w:r>
      <w:r w:rsidRPr="00070ADE">
        <w:rPr>
          <w:rFonts w:ascii="Times New Roman" w:hAnsi="Times New Roman"/>
          <w:color w:val="000000" w:themeColor="text1"/>
          <w:sz w:val="16"/>
          <w:szCs w:val="16"/>
        </w:rPr>
        <w:softHyphen/>
        <w:t>мечал Коккинаки, "...на всех режи</w:t>
      </w:r>
      <w:r w:rsidRPr="00070ADE">
        <w:rPr>
          <w:rFonts w:ascii="Times New Roman" w:hAnsi="Times New Roman"/>
          <w:color w:val="000000" w:themeColor="text1"/>
          <w:sz w:val="16"/>
          <w:szCs w:val="16"/>
        </w:rPr>
        <w:softHyphen/>
        <w:t>мах полета чувствуется большой за</w:t>
      </w:r>
      <w:r w:rsidRPr="00070ADE">
        <w:rPr>
          <w:rFonts w:ascii="Times New Roman" w:hAnsi="Times New Roman"/>
          <w:color w:val="000000" w:themeColor="text1"/>
          <w:sz w:val="16"/>
          <w:szCs w:val="16"/>
        </w:rPr>
        <w:softHyphen/>
        <w:t>пас мощности".</w:t>
      </w:r>
    </w:p>
    <w:p w14:paraId="5A4F608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имел удовлетворитель</w:t>
      </w:r>
      <w:r w:rsidRPr="00070ADE">
        <w:rPr>
          <w:rFonts w:ascii="Times New Roman" w:hAnsi="Times New Roman"/>
          <w:color w:val="000000" w:themeColor="text1"/>
          <w:sz w:val="16"/>
          <w:szCs w:val="16"/>
        </w:rPr>
        <w:softHyphen/>
        <w:t>ную устойчивость по всем направ</w:t>
      </w:r>
      <w:r w:rsidRPr="00070ADE">
        <w:rPr>
          <w:rFonts w:ascii="Times New Roman" w:hAnsi="Times New Roman"/>
          <w:color w:val="000000" w:themeColor="text1"/>
          <w:sz w:val="16"/>
          <w:szCs w:val="16"/>
        </w:rPr>
        <w:softHyphen/>
        <w:t>лениям. При соответствующей балан</w:t>
      </w:r>
      <w:r w:rsidRPr="00070ADE">
        <w:rPr>
          <w:rFonts w:ascii="Times New Roman" w:hAnsi="Times New Roman"/>
          <w:color w:val="000000" w:themeColor="text1"/>
          <w:sz w:val="16"/>
          <w:szCs w:val="16"/>
        </w:rPr>
        <w:softHyphen/>
        <w:t>сировке триммером самолет позво</w:t>
      </w:r>
      <w:r w:rsidRPr="00070ADE">
        <w:rPr>
          <w:rFonts w:ascii="Times New Roman" w:hAnsi="Times New Roman"/>
          <w:color w:val="000000" w:themeColor="text1"/>
          <w:sz w:val="16"/>
          <w:szCs w:val="16"/>
        </w:rPr>
        <w:softHyphen/>
        <w:t>лял полет с брошенной ручкой уп</w:t>
      </w:r>
      <w:r w:rsidRPr="00070ADE">
        <w:rPr>
          <w:rFonts w:ascii="Times New Roman" w:hAnsi="Times New Roman"/>
          <w:color w:val="000000" w:themeColor="text1"/>
          <w:sz w:val="16"/>
          <w:szCs w:val="16"/>
        </w:rPr>
        <w:softHyphen/>
        <w:t>равления. Виражил и пикировал ус</w:t>
      </w:r>
      <w:r w:rsidRPr="00070ADE">
        <w:rPr>
          <w:rFonts w:ascii="Times New Roman" w:hAnsi="Times New Roman"/>
          <w:color w:val="000000" w:themeColor="text1"/>
          <w:sz w:val="16"/>
          <w:szCs w:val="16"/>
        </w:rPr>
        <w:softHyphen/>
        <w:t>тойчиво, без рысканий. Это обеспе</w:t>
      </w:r>
      <w:r w:rsidRPr="00070ADE">
        <w:rPr>
          <w:rFonts w:ascii="Times New Roman" w:hAnsi="Times New Roman"/>
          <w:color w:val="000000" w:themeColor="text1"/>
          <w:sz w:val="16"/>
          <w:szCs w:val="16"/>
        </w:rPr>
        <w:softHyphen/>
        <w:t>чивало лучшие условия для прицели</w:t>
      </w:r>
      <w:r w:rsidRPr="00070ADE">
        <w:rPr>
          <w:rFonts w:ascii="Times New Roman" w:hAnsi="Times New Roman"/>
          <w:color w:val="000000" w:themeColor="text1"/>
          <w:sz w:val="16"/>
          <w:szCs w:val="16"/>
        </w:rPr>
        <w:softHyphen/>
        <w:t>вания и стрельбы.</w:t>
      </w:r>
    </w:p>
    <w:p w14:paraId="323750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пилотировании Ил-АМ-42 ни</w:t>
      </w:r>
      <w:r w:rsidRPr="00070ADE">
        <w:rPr>
          <w:rFonts w:ascii="Times New Roman" w:hAnsi="Times New Roman"/>
          <w:color w:val="000000" w:themeColor="text1"/>
          <w:sz w:val="16"/>
          <w:szCs w:val="16"/>
        </w:rPr>
        <w:softHyphen/>
        <w:t>чем не отличается от Ил-2. Для вы</w:t>
      </w:r>
      <w:r w:rsidRPr="00070ADE">
        <w:rPr>
          <w:rFonts w:ascii="Times New Roman" w:hAnsi="Times New Roman"/>
          <w:color w:val="000000" w:themeColor="text1"/>
          <w:sz w:val="16"/>
          <w:szCs w:val="16"/>
        </w:rPr>
        <w:softHyphen/>
        <w:t>лета на Ил-АМ-42 обучение и вы</w:t>
      </w:r>
      <w:r w:rsidRPr="00070ADE">
        <w:rPr>
          <w:rFonts w:ascii="Times New Roman" w:hAnsi="Times New Roman"/>
          <w:color w:val="000000" w:themeColor="text1"/>
          <w:sz w:val="16"/>
          <w:szCs w:val="16"/>
        </w:rPr>
        <w:softHyphen/>
        <w:t>возка излишни", — указывалось в от</w:t>
      </w:r>
      <w:r w:rsidRPr="00070ADE">
        <w:rPr>
          <w:rFonts w:ascii="Times New Roman" w:hAnsi="Times New Roman"/>
          <w:color w:val="000000" w:themeColor="text1"/>
          <w:sz w:val="16"/>
          <w:szCs w:val="16"/>
        </w:rPr>
        <w:softHyphen/>
        <w:t>чете по испытаниям.</w:t>
      </w:r>
    </w:p>
    <w:p w14:paraId="0F1BCC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Было решено готовить машину к государственным испытаниям. В этой связи 22 февраля на самолете был установлен винт диаметром 4,0 м и изменена компенсация элеронов с целью снижения нагрузок на ручку управления. Пробный полет показал, что новый винт "погоды не делает". Его срочно заменили "старым" про</w:t>
      </w:r>
      <w:r w:rsidRPr="00070ADE">
        <w:rPr>
          <w:rFonts w:ascii="Times New Roman" w:hAnsi="Times New Roman"/>
          <w:color w:val="000000" w:themeColor="text1"/>
          <w:sz w:val="16"/>
          <w:szCs w:val="16"/>
        </w:rPr>
        <w:softHyphen/>
        <w:t>веренным винтом АВ-5л-18Б, с кото</w:t>
      </w:r>
      <w:r w:rsidRPr="00070ADE">
        <w:rPr>
          <w:rFonts w:ascii="Times New Roman" w:hAnsi="Times New Roman"/>
          <w:color w:val="000000" w:themeColor="text1"/>
          <w:sz w:val="16"/>
          <w:szCs w:val="16"/>
        </w:rPr>
        <w:softHyphen/>
        <w:t>рым Ил-АМ-42 (экз. № 1) 26 февра</w:t>
      </w:r>
      <w:r w:rsidRPr="00070ADE">
        <w:rPr>
          <w:rFonts w:ascii="Times New Roman" w:hAnsi="Times New Roman"/>
          <w:color w:val="000000" w:themeColor="text1"/>
          <w:sz w:val="16"/>
          <w:szCs w:val="16"/>
        </w:rPr>
        <w:softHyphen/>
        <w:t>ля перелетел на аэродром НИИ ВВС, где официально был передан воен</w:t>
      </w:r>
      <w:r w:rsidRPr="00070ADE">
        <w:rPr>
          <w:rFonts w:ascii="Times New Roman" w:hAnsi="Times New Roman"/>
          <w:color w:val="000000" w:themeColor="text1"/>
          <w:sz w:val="16"/>
          <w:szCs w:val="16"/>
        </w:rPr>
        <w:softHyphen/>
        <w:t>ным специалистам для производства государственных летных испытаний (11427).</w:t>
      </w:r>
    </w:p>
    <w:p w14:paraId="38806E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2708A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Примерно с середины января 1944 вместо прежних обозначений самолетов Ил-2 с АМ-42 в переписке стали использовать одно наименование Ил-АМ-42 с добавлением штурмовик или разведчик-корректировщик, иногда добавлялся номер завода. Несколько позже, Ил-2 АМ-42 (РК) завода №240 стал обозначаться как Ил-АМ-42 экз. №1, а Ил-2М - как Ил-АМ-42 экз. №2 (12020).</w:t>
      </w:r>
    </w:p>
    <w:p w14:paraId="1E8313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3183D9F" w14:textId="77777777" w:rsidR="006B2E30" w:rsidRPr="00070ADE" w:rsidRDefault="006B2E30" w:rsidP="00B56F90">
      <w:pPr>
        <w:pStyle w:val="233"/>
        <w:shd w:val="clear" w:color="auto" w:fill="auto"/>
        <w:spacing w:before="0" w:after="0"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Примерно с середины января 1944 г. вместо прежних обозначений опытных самолетов Ил-2 с мотором АМ-42 в пе</w:t>
      </w:r>
      <w:r w:rsidRPr="00070ADE">
        <w:rPr>
          <w:rFonts w:ascii="Times New Roman" w:hAnsi="Times New Roman" w:cs="Times New Roman"/>
          <w:color w:val="000000" w:themeColor="text1"/>
          <w:sz w:val="16"/>
          <w:szCs w:val="16"/>
        </w:rPr>
        <w:softHyphen/>
        <w:t>реписке стали использовать одно един</w:t>
      </w:r>
      <w:r w:rsidRPr="00070ADE">
        <w:rPr>
          <w:rFonts w:ascii="Times New Roman" w:hAnsi="Times New Roman" w:cs="Times New Roman"/>
          <w:color w:val="000000" w:themeColor="text1"/>
          <w:sz w:val="16"/>
          <w:szCs w:val="16"/>
        </w:rPr>
        <w:softHyphen/>
        <w:t>ственное Ил-АМ-42 с добавлением штурмовик-бомбардировщик (ШБ) или разведчик-корректировщик (РК), иногда до</w:t>
      </w:r>
      <w:r w:rsidRPr="00070ADE">
        <w:rPr>
          <w:rFonts w:ascii="Times New Roman" w:hAnsi="Times New Roman" w:cs="Times New Roman"/>
          <w:color w:val="000000" w:themeColor="text1"/>
          <w:sz w:val="16"/>
          <w:szCs w:val="16"/>
        </w:rPr>
        <w:softHyphen/>
        <w:t>бавлялся номер завода. Несколько позже, Ил-2 АМ-42 (РК) стал обозначаться как Ил-АМ-42 экз. №1, а Ил-2М АМ-42 - как Ил-АМ-42 экз. №2.</w:t>
      </w:r>
    </w:p>
    <w:p w14:paraId="4400CE5C" w14:textId="77777777" w:rsidR="006B2E30" w:rsidRPr="00070ADE" w:rsidRDefault="006B2E30" w:rsidP="00B56F90">
      <w:pPr>
        <w:pStyle w:val="233"/>
        <w:shd w:val="clear" w:color="auto" w:fill="auto"/>
        <w:spacing w:before="0" w:after="0"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Надо полагать, смена обозначений должна была подчеркнуть универсаль</w:t>
      </w:r>
      <w:r w:rsidRPr="00070ADE">
        <w:rPr>
          <w:rFonts w:ascii="Times New Roman" w:hAnsi="Times New Roman" w:cs="Times New Roman"/>
          <w:color w:val="000000" w:themeColor="text1"/>
          <w:sz w:val="16"/>
          <w:szCs w:val="16"/>
        </w:rPr>
        <w:softHyphen/>
        <w:t>ность предлагаемого на вооружение ВВС самолета, а также его новизну - это уже не модификация серийного Ил-2, а новая боевая машина (19846).</w:t>
      </w:r>
    </w:p>
    <w:p w14:paraId="6DF971D7" w14:textId="77777777" w:rsidR="006B2E30" w:rsidRPr="00070ADE" w:rsidRDefault="006B2E30" w:rsidP="00B56F90">
      <w:pPr>
        <w:pStyle w:val="233"/>
        <w:shd w:val="clear" w:color="auto" w:fill="auto"/>
        <w:spacing w:before="0" w:after="0" w:line="240" w:lineRule="auto"/>
        <w:ind w:firstLine="0"/>
        <w:jc w:val="both"/>
        <w:rPr>
          <w:rFonts w:ascii="Times New Roman" w:hAnsi="Times New Roman" w:cs="Times New Roman"/>
          <w:color w:val="000000" w:themeColor="text1"/>
          <w:sz w:val="16"/>
          <w:szCs w:val="16"/>
        </w:rPr>
      </w:pPr>
    </w:p>
    <w:p w14:paraId="2580CE00" w14:textId="3F446B93" w:rsidR="00987BBD" w:rsidRPr="00070ADE" w:rsidRDefault="00987B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середины января 1944 вместо прежних обозначений опытных самолетов Ил-2 с мотором АМ-42 в переписке стали использовать одно-единственное наименование Ил-АМ-42 с добавлением «штурмовик» или «разведчик-корректировщик», иногда добавлялся номер завода. Несколько позже Ил-2 АМ-42 (РК) завода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240 стал обозначаться как Ил-АМ-42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(или Ил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АМ-42), а Ил-2М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как Ил-АМ-42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 (или Ил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 АМ-42).</w:t>
      </w:r>
    </w:p>
    <w:p w14:paraId="596B8BA6" w14:textId="265AF92B" w:rsidR="00987BBD" w:rsidRPr="00070ADE" w:rsidRDefault="00987B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Надо полагать, смена обозначений должна была подчеркнуть универсальность предлагаемого на вооружение ВВС самолета, а также его новизну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это уже не модификация серийного Ил-2, а новая ударная машина (17490).</w:t>
      </w:r>
    </w:p>
    <w:p w14:paraId="0DD93B3F" w14:textId="77777777" w:rsidR="00987BBD" w:rsidRPr="00070ADE" w:rsidRDefault="00987BBD" w:rsidP="00B56F90">
      <w:pPr>
        <w:spacing w:after="0" w:line="240" w:lineRule="auto"/>
        <w:jc w:val="both"/>
        <w:rPr>
          <w:rFonts w:ascii="Times New Roman" w:hAnsi="Times New Roman"/>
          <w:color w:val="000000" w:themeColor="text1"/>
          <w:sz w:val="16"/>
          <w:szCs w:val="16"/>
        </w:rPr>
      </w:pPr>
    </w:p>
    <w:p w14:paraId="61C28E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середине января 1944 г. начались государственные испытания опытной машины Як-9 М-107А в НИИ ВВС, в которых участвовала ведущая “яковлевская” бригада, возглавляемая опытными инженер-майором А.Г.Степанцом и летчиком майором А.Г.Прошаковым. Здесь уже была дана оценка самолета. Специалисты НИИ ВВС обратили внимание на то, что значительный рост летно-тактических данных достигнут не только путем установки более мощного и высотного двигателя, но и за счет множества мероприятий по улучшению аэродинамики. В частности, на крыльевые щитки шасси установили замки, улучшили по рекомендациям ЦАГИ внешние и внутренние обводы туннеля водорадиатора, отполировали переднюю кромку крыла, оперения и носовую часть капота мотора. С другой стороны, были отмечены многочисленные дефекты самолета, особенно его ВМГ. Например новый двигатель сохранил некоторые характерные недостатки предыдущей 105-й модели: выброс масла из суфлера и переднего уплотнения редуктора, падение давления масла ниже допустимого предела с подъемом самолета на высоту. Сохранялась и тряска мотора при работе на пониженных оборотах, а также при уборке и даче газа, имели место и массовые случаи выхода из строя свечей. Обычно, в задачу государственных испытаний входило снятие летно-тактических данных самолета и оценка его. Но здесь было не совсем так. Первоначально, по предложению А.Т.Степанца, винт АВ-10П-20 обратной схемы заменили на винт ВИШ-107Л прямой, т. к. первый сильно “забрасывал” обороты на переходных режимах. Затем, по просьбе А.С.Яковлева двигатель №347-54, поменяли на только что полученный ОКБ В.Я.Климова №417-50. Причина такой “рокировки” заключалась в том, что первый имел недостаточную высотность масло- и водосистем. Однако надежность второго оказалась недостаточной и он проработал на истребителе всего около девяти часов (4842).</w:t>
      </w:r>
    </w:p>
    <w:p w14:paraId="7FE150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E8070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D61673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C259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января 1944 закончились испытания самолета Пе-2 N 19/205, модифицированного ЦАГИ, которые начались 16 октября 1943 (541).</w:t>
      </w:r>
    </w:p>
    <w:p w14:paraId="26F5C83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0DAA9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января 1944 года вышел приказ НКАП № 24с во исполнение Постановления ГКО № 4922сс от 11 января 1944 года, которыми было решено организовать в Запорожье на базе бывш. завода № 29 авиаремонтный завод.</w:t>
      </w:r>
    </w:p>
    <w:p w14:paraId="2D560B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Присвоить организованному авиаремонтному заводу № 478.</w:t>
      </w:r>
    </w:p>
    <w:p w14:paraId="5902BF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24 сентября 1944 года – директор Авраменко А.К.</w:t>
      </w:r>
    </w:p>
    <w:p w14:paraId="5971DC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НКАП № 193с от 5 мая 1945 года на заводе № 478 было положено начало организации ОКБ, на которое возлагались функции внедрения в серийное производство авиамоторов М-88б и создание новых и модифицированных моторов. Начальником ОКБ был назначен Ивченко А.Г.</w:t>
      </w:r>
    </w:p>
    <w:p w14:paraId="0023A5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Выпиской из приказа МАП № 25сс от 23 января 1947 года завод № 478 обязывался приступить к подготовке и выпуску в серийном производстве авиамоторов М11-ФР, прекратив производство мотоциклетного мотора М-72.</w:t>
      </w:r>
    </w:p>
    <w:p w14:paraId="729EC09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8 мая 1947 года – директор Шубин И.М.</w:t>
      </w:r>
    </w:p>
    <w:p w14:paraId="4F4F28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УССР, Запорожье, пл. им. Шевченко</w:t>
      </w:r>
    </w:p>
    <w:p w14:paraId="2AC87E9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1947 года завод приступил к подготовке производства по запуску в серийные цехи вертолетных моторов воздушного охлаждения конструкции ОКБ завода АИ-26ГРФ, успешно прошедшего госиспытания в 1947 году.</w:t>
      </w:r>
    </w:p>
    <w:p w14:paraId="68AE12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Постановления СМ от 7 сентября 1948 года № 3761-1349сс завод обязывался организовать серийное производство по выпуску реактивных двигателей конструкции Микулина (9612).</w:t>
      </w:r>
    </w:p>
    <w:p w14:paraId="790B34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DA5A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января 1944 года Приказом НКАП № 24с ремонтно-механические мастерские, созданным на базе эвакуированного завода №462 в Днепропетровске, были переименованы в завод № 489 НКАП. С января 1944 года вновь организованный завод не имел профиля и делал различные работы и только 25 августа приказом НКАП за № 529с заводу был указан профиль и установлена номенклатура выпускаемых изделий: автоматы переключения скоростей нагнетателя 8-67 и гидравлических агрегатов объединенного управления винтов и газом, ВГЦИАМ-1744 для авиамоторов АН-38Ф и АШ-42. В 1946 году окончательно был установлен профиль завода как завода агрегатостроения. Директор – В. Еременко. Производственный профиль – агрегатный (9857).</w:t>
      </w:r>
    </w:p>
    <w:p w14:paraId="7CCA17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E7EE50"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2FAE72A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71CA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16 по 17 января 1944 г. пушка С-53 прошла испытания стрельбой на ГАНИОПе, во время которых произошло заклинивание поршня тормоза отката. Пушка была отправлена на доработку. На этот раз, на заводе М» 92 была изменена конструкция противооткатных устройств и произведена доработка отдельных деталей пушки С-53. Вот почему заслуги заводчан в усовершенствовании конструкции орудия были отмечены и в ее официальном названии с началом серийного производства на заводе № 92 (завод , Сталина) пушка получила наименование ЗИС-С-53. 23 января 1944 г. постановлением ГКО танк Т-34, оснащенный 85-мм пушкой ЗИС-С-53 под маркой Т-34-85 был принят на вооружение Красной Армии (10703).</w:t>
      </w:r>
    </w:p>
    <w:p w14:paraId="7271D20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928433"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января 1944 вышло Постановление ГКО № 4953 О направлении рабочей силы на авторемонтные предприятия Киевского, Белорусского и Харьковского военных округов. (7173, 3-4).</w:t>
      </w:r>
    </w:p>
    <w:p w14:paraId="76E65A8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2C3A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января 1944 вышло Распоряжение ГКО № 4954. О поставках угля и торфа Тюменской электростанции. РГАНИР, Фонд ГКО, д. 192, лл. 5 (11012).</w:t>
      </w:r>
    </w:p>
    <w:p w14:paraId="01DE357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4B5470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января 1944 вышло Распоряжение ГКО № 4955 [О выделении 1 тыс. военнообязанных, не годных к строевой службе, для укомплектования военизированной пожарной охраны Киева.] (7173, 6).</w:t>
      </w:r>
    </w:p>
    <w:p w14:paraId="7972D7F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D442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января 1944 вышло Постановление ГКО № 4956 О плане поставок военно-полевых средств и имущества связи на I квартал 1944 года. РГАНИР, Фонд ГКО, д. 192, лл. 7-9,10-43 (11012).</w:t>
      </w:r>
    </w:p>
    <w:p w14:paraId="7B0EAAC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CBB975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января 1944 вышло Постановление ГКО № 4957 О производстве и поставке перевязочных изделий, дезинфекционных установок и банно-прачечного имущества для Красной Армии, Военно-Морского Флота и войск НКВД СССР в I квартале 1944 года. РГАНИР, Фонд ГКО, д. 192, лл. 44-46,47-63 (11012).</w:t>
      </w:r>
    </w:p>
    <w:p w14:paraId="43AAFF2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20AC3A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января 1944 вышло Постановление ГКО № 4958 О производстве запасных частей к тракторам и сельскохозяйственным машинам на предприятиях союзной и местной промышленности в УССР для нужд сельского хозяйства Украинской ССР. (7173, 64-69,70-90).</w:t>
      </w:r>
    </w:p>
    <w:p w14:paraId="42007A4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60518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января 1944 вышло Постановление ГКО № 4959 Об обеспечении природным газом электростанций и оборонных предприятий г. Куйбышева в I полугодии 1944 года. РГАНИР, Фонд ГКО, д. 192, лл. 91-95,96-98 (11012).</w:t>
      </w:r>
    </w:p>
    <w:p w14:paraId="3525AB4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1286B7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января 1944 вышло Постановление ГКО № 4960 О плане снабжения торфом на I квартал 1944 года. РГАНИР, Фонд ГКО, д. 192, лл. 99-100,101-117 (11012).</w:t>
      </w:r>
    </w:p>
    <w:p w14:paraId="06B0195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CC9C9C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января 1944 вышло Постановление ГКО № 4961 О плане ремонта боевых кораблей, вспомогательных судов и оборудования береговых установок Военно-Морского Флота на 1944 г. и I квартал 1944 года. РГАНИР, Фонд ГКО, д. 192, лл. 118-123,124-154 (11012).</w:t>
      </w:r>
    </w:p>
    <w:p w14:paraId="544F614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452B70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января 1944 вышло Постановление ГКО № 4962 О производстве и поставке Наркомобороны, Наркомвоенморфлоту и войскам НКВД СССР средств инженерного вооружения в I квартале 1944 года. РГАНИР, Фонд ГКО, д. 192, лл. 155-159,160-211 (11012).</w:t>
      </w:r>
    </w:p>
    <w:p w14:paraId="7444FA9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54F15C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января 1944 вышло Постановление ГКО № 4963 О балансе и плане распределения лесных материалов и плане распределения вагонов для перевозок лесоматериалов на I квартал 1944 г. (7174, 1-4,5-70).</w:t>
      </w:r>
    </w:p>
    <w:p w14:paraId="16043F4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FD410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января 1944 вышло Распоряжение ГКО № 4964 [О мерах по обеспечению нормальной работы электростанции г. Йошкар-Ола Марийской АССР.] (7174, 71).</w:t>
      </w:r>
    </w:p>
    <w:p w14:paraId="7DB5153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FADC9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января 1944 вышло Распоряжение ГКО № 4965. О передаче НКЭС оборудования, транспортных средств и материалов, находящихся на территории, прилегающей к Днепрогэсу, для его восстановления. РГАНИР, Фонд ГКО, д. 193, лл. 72,73-74 (11012).</w:t>
      </w:r>
    </w:p>
    <w:p w14:paraId="00EDFE0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538071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января 1944 вышло Распоряжение ГКО № 4966 [Об утверждении уполномоченным ГКО по отгрузке хлебопродуктов в Москву и Московскую обл. по Алтайскому краю Крюкова П.И.] (7174, 75).</w:t>
      </w:r>
    </w:p>
    <w:p w14:paraId="117523C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EA322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491F5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87F813" w14:textId="77777777" w:rsidR="00FC4F14" w:rsidRPr="00070ADE" w:rsidRDefault="00FC4F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16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0144D6A9" w14:textId="77777777" w:rsidR="00FC4F14" w:rsidRPr="00070ADE" w:rsidRDefault="00FC4F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Новосокольники наши войска в результате трёхдневных наступательных боёв прорвали оборону противника шириною по фронту 15 километров и в глубину до 8 километров и заняли более 40 населённых пунктов, в том числе крупные населённые пункты Щенайлово, Полутина, Чёрное, Сопки, Волгино, Маноково, Михалкино, Чирки, Ровни, Заболотье и железнодорожную станцию Насва.Таким образом, наши войска перерезали железную дорогу Новосокольники—Дно.</w:t>
      </w:r>
    </w:p>
    <w:p w14:paraId="48EBB822" w14:textId="77777777" w:rsidR="00FC4F14" w:rsidRPr="00070ADE" w:rsidRDefault="00FC4F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16 января западнее и северо-западнее Калинкович наши войска с боями продвигались вперёд и заняли несколько населённых пунктов, в том числе крупные населённые пункты Новосёлки, Якимовичи, Клинск.</w:t>
      </w:r>
    </w:p>
    <w:p w14:paraId="1603C6AC" w14:textId="77777777" w:rsidR="00FC4F14" w:rsidRPr="00070ADE" w:rsidRDefault="00FC4F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Сарны наши войска вели бои местного значения, в ходе которых овладели районным центром Ровенской области городом и крупной железнодорожной станцией Костополь, а также заняли крупные населённые пункты Владимирец, Антонувка, Злотолин, Печалувка.</w:t>
      </w:r>
    </w:p>
    <w:p w14:paraId="29E97D04" w14:textId="77777777" w:rsidR="00FC4F14" w:rsidRPr="00070ADE" w:rsidRDefault="00FC4F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Восточнее Винницы и севернее Умани наши войска отражали контратаки крупныхсил пехоты и танков противника, подбив и уничтожив при этом 136 немецких танков.</w:t>
      </w:r>
    </w:p>
    <w:p w14:paraId="7D6DD5B2" w14:textId="77777777" w:rsidR="00FC4F14" w:rsidRPr="00070ADE" w:rsidRDefault="00FC4F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 других участках фронта в ряде пунктов шли бои местного значения.</w:t>
      </w:r>
    </w:p>
    <w:p w14:paraId="79AC064C" w14:textId="77777777" w:rsidR="00FC4F14" w:rsidRPr="00070ADE" w:rsidRDefault="00FC4F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15 января наши войска на всех фронтах подбили и уничтожили 190 немецких танков. В воздушных боях и огнём зенитной артиллерии сбито 60 самолётов противника.</w:t>
      </w:r>
    </w:p>
    <w:p w14:paraId="577A7C88" w14:textId="77777777" w:rsidR="00FC4F14" w:rsidRPr="00070ADE" w:rsidRDefault="00FC4F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Новосокольники наши войска вели наступательные бои и, прорвав оборону немцев, заняли более 40 населённых пунктов. Противник, опираясь на оборонительные сооружения, оказывал упорное сопротивление. Части Н-ского соединения ночной атакой овладели сильно укреплённым населённым пунктом Маноково и, развивая успех, нанесли удар гитлеровцам, оборонявшим железнодорожную станцию Насва. В ожесточённой схватке советские бойцы разгромили вражеский гарнизон и овладели станцией. Тем самым наши части перерезали железную дорогу Новосокольники—Дно, по которой немцы перебрасывали свои войска вдоль линии фронта. В происходящих боях противник несёт тяжёлые потери. Только в течение дня уничтожено до полка немецкой пехоты. Советская авиация наносила удары по боевым порядкам и путям сообщений противника. При налёте на железнодорожную станцию Идрица наши лётчики сожгли и взорвали много немецких воинских эшелонов.</w:t>
      </w:r>
    </w:p>
    <w:p w14:paraId="11084F0A" w14:textId="77777777" w:rsidR="00FC4F14" w:rsidRPr="00070ADE" w:rsidRDefault="00FC4F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северо-западнее города Калинковичи наши войска продолжали наступление. Немцы закрепились на рубеже реки Ипа, которая ещё не замёрзла. После ожесточённых боёв советские части переправились через реку и заняли несколько населённых пунктов на её западном берегу. В бою за крупный населённый пункт Новосёлки уничтожено до батальона гитлеровцев. Захвачены трофеи ипленные.</w:t>
      </w:r>
    </w:p>
    <w:p w14:paraId="06CD001D" w14:textId="77777777" w:rsidR="00FC4F14" w:rsidRPr="00070ADE" w:rsidRDefault="00FC4F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Сарны части Н-ского соединения с боями продвигались вперёд и овладели районным центром Ровенской области городом и крупной железнодорожной станцией Костополь. Противник контратаками пытался восстановить положение, но был отброшен с большими для него потерями. Уничтожено до 600 немецких солдат и офицеров и несколько артиллерийских батарей. Захвачены склады боеприпасов и продовольствия. На одном участке немцы укрепили населённые пунктыи рассчитывали сковать на этом рубеже советские части. Ровенские партизаны внезапно напали на эти опорные пункты и разгромили гарнизоны гитлеровцев.</w:t>
      </w:r>
    </w:p>
    <w:p w14:paraId="018A04F9" w14:textId="77777777" w:rsidR="00FC4F14" w:rsidRPr="00070ADE" w:rsidRDefault="00FC4F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Восточнее Винницы и севернее Умани наши войска продолжали отбивать контратаки крупных сил танков и пехоты противника. Рано утром на одном узком участке противник бросил в бой свыше 100 танков и несколько полков пехоты. Мощным огнём советской артиллерии гитлеровцы были остановлены. Подтянув подкрепления, враг снова возобновил контратаки. В ожесточённом бою советские части нанесли немцам большие потери и вынудили их отступить. Уничтожено до 2.000 гитлеровцев, 62 немецких танка, 9 самоходных орудий и 14 бронетранспортёров. В другом районе немцы шесть раз бросались в атаки, стремясь прорвать нашу оборону. Все контратаки противника отбиты с большими для него потерями. Перед нашими позициями осталось свыше 40 подбитых и сожжённых танков, 10 бронетранспортёров и 23 самоходных орудия. Всего в течение дня нашими артиллеристами, танкистами и пехотинцами подбито и уничтожено 136 немецких танков.</w:t>
      </w:r>
    </w:p>
    <w:p w14:paraId="26ED6CEC" w14:textId="77777777" w:rsidR="00FC4F14" w:rsidRPr="00070ADE" w:rsidRDefault="00FC4F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Украинские партизаны, действующие в Каменец-Подольской области, заминировали железнодорожное полотно. Немецкий эшелон с танками и автомашинами подорвался на поставленных партизанами минах. Разбитые платформы и танки загородили второй путь. Вскоре встречный поезд, следовавший на запад с награбленным на Украине зерном, на полном ходу наскочил на груду обломков и потерпел крушение. Движение поездов на этом участке железной дороги было приостановлено на пять суток.</w:t>
      </w:r>
    </w:p>
    <w:p w14:paraId="7D785081" w14:textId="77777777" w:rsidR="00FC4F14" w:rsidRPr="00070ADE" w:rsidRDefault="00FC4F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врач 1 батальона 427 полка 129 немецкой пехотной дивизии Гергарт Конради рассказал: «Наша дивизия имела приказ любой ценой удержать позиции у Городка, но не выполнила этой задачи. Огонь русской артиллерии причинил нам ужасные потери. Командные пункты, а также наблюдательные пункты нашей артиллерии были уничтожены. Я нахожусь на фронте долгое время, но артиллерийского огня такой силы никогда ещё не переживал. Попытки оторваться также не увенчались успехом. Отступавшие в беспорядке 428 и 430 полки и 3-й батальон 427 полка были окружены русскими. Лишь отдельным мелким группам и одиночкам удалось пробиться сквозь русское кольцо». В заключение Гергарт Конради заявил: «За последние днио фицеры почти не разговаривают между собой о положении на фронте. Многие потеряли веру в победу Германии и стараются как можно меньше говорить и думать об исходе войны».</w:t>
      </w:r>
    </w:p>
    <w:p w14:paraId="0BB5681B" w14:textId="77777777" w:rsidR="00FC4F14" w:rsidRPr="00070ADE" w:rsidRDefault="00FC4F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Жители села Паволоч, Житомирской области, на общем собрании составили акт о зверствах немецко-фашистских мерзавцев. В акте говорится: «26-го ноября 1943 года в четыре часа утра немцы оцепили село Паволоч и согнали всех граждан к церкви. В этот день фашистские изверги замучили насмерть и расстреляли 136 советских граждан. Учинив эту кровавую расправу над стариками, женщинами и подростками, немцы угнали с собой свыше 400 наших односельчан. Об их судьбе до сих пор ничего неизвестно». По поручению общего собрания акт подписали жителисела Паволоч: Дончик, Курсон, Чернуха, Карпица, Огородник.».</w:t>
      </w:r>
    </w:p>
    <w:p w14:paraId="496779A6" w14:textId="77777777" w:rsidR="00FC4F14" w:rsidRPr="00070ADE" w:rsidRDefault="00FC4F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Потери противника и трофеи войск 1-го Украинского фронта за период с 24 декабря 1943 года по 13 января 1944 года.</w:t>
      </w:r>
    </w:p>
    <w:p w14:paraId="21B2A4BB" w14:textId="77777777" w:rsidR="00FC4F14" w:rsidRPr="00070ADE" w:rsidRDefault="00FC4F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наступления с 24 декабря 1943 года по 13 января 1944 года войска 1-го Украинского фронта нанесли следующие потери немецко-фашистским войскам:</w:t>
      </w:r>
    </w:p>
    <w:p w14:paraId="5D666217" w14:textId="77777777" w:rsidR="00FC4F14" w:rsidRPr="00070ADE" w:rsidRDefault="00FC4F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Уничтожено: танков — 2.204, орудий разного калибра — 1.174, миномётов — 625, пулемётов — 3.173, бронемашин и бронетранспортёров — 348, автомашин — 4.686, бронепоездов — 2, складов с боеприпасами, вооружением и продовольствием — 27, железнодорожных эшелонов — 17, паровозов — 28, вагонов — 400, бензоцистерн — 40, повозок с грузами — 3.063.</w:t>
      </w:r>
    </w:p>
    <w:p w14:paraId="3BCDE31F" w14:textId="77777777" w:rsidR="00FC4F14" w:rsidRPr="00070ADE" w:rsidRDefault="00FC4F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Противник потерял только убитыми около 100.000 солдат и офицеров.</w:t>
      </w:r>
    </w:p>
    <w:p w14:paraId="648F0323" w14:textId="77777777" w:rsidR="00FC4F14" w:rsidRPr="00070ADE" w:rsidRDefault="00FC4F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это же время войсками фронта захвачены следующие трофеи: танков — 316, орудий разного калибра — 902, миномётов — 321, пулемётов — более 2.000, винтовоки автоматов — 11.500, бронемашин и бронетранспортёров — 157, автомашин — 3.514, тягачей и тракторов — 47, мотоциклов — 480, паровозов — 20, вагонов — более 1.000, эшелонов с грузами — 3, цистерн — 40, складов с боеприпасами, вооружением, продовольствием и другим военным имуществом — 230, повозок с грузами — 3.100, лошадей — 3.662, радиостанций — 40.</w:t>
      </w:r>
    </w:p>
    <w:p w14:paraId="5D783E9D" w14:textId="77777777" w:rsidR="00FC4F14" w:rsidRPr="00070ADE" w:rsidRDefault="00FC4F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Взято в плен более 7.000 немецких солдат и офицеров.» (15011).</w:t>
      </w:r>
    </w:p>
    <w:p w14:paraId="6906F243" w14:textId="77777777" w:rsidR="00FC4F14" w:rsidRPr="00070ADE" w:rsidRDefault="00FC4F14" w:rsidP="00B56F90">
      <w:pPr>
        <w:spacing w:after="0" w:line="240" w:lineRule="auto"/>
        <w:jc w:val="both"/>
        <w:rPr>
          <w:rFonts w:ascii="Times New Roman" w:hAnsi="Times New Roman"/>
          <w:color w:val="000000" w:themeColor="text1"/>
          <w:sz w:val="16"/>
          <w:szCs w:val="16"/>
        </w:rPr>
      </w:pPr>
    </w:p>
    <w:p w14:paraId="4A88DD64" w14:textId="77777777" w:rsidR="00FC4F14" w:rsidRPr="00070ADE" w:rsidRDefault="00FC4F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16 января</w:t>
      </w:r>
      <w:r w:rsidRPr="00070ADE">
        <w:rPr>
          <w:rFonts w:ascii="Times New Roman" w:hAnsi="Times New Roman"/>
          <w:color w:val="000000" w:themeColor="text1"/>
          <w:sz w:val="16"/>
          <w:szCs w:val="16"/>
        </w:rPr>
        <w:t xml:space="preserve"> в 1944 году корабли и авиация Северного флота начали специальную операцию «РВ-1» на морских коммуникациях немецкого флота у побережья Северной Норвегии. Войска 2-го Украинского фронта прекратили наступление в ходе Кировоградской операции на рубеже восточнее Смелы, западнее Кировограда, севернее Новгородки. Войска фронта продвинулись на запад до 40-50 км, разгромили при поддержке партизан кировоградскую группировку противника (15011).</w:t>
      </w:r>
    </w:p>
    <w:p w14:paraId="7FA21220" w14:textId="77777777" w:rsidR="00FC4F14" w:rsidRPr="00070ADE" w:rsidRDefault="00FC4F14" w:rsidP="00B56F90">
      <w:pPr>
        <w:spacing w:after="0" w:line="240" w:lineRule="auto"/>
        <w:jc w:val="both"/>
        <w:rPr>
          <w:rFonts w:ascii="Times New Roman" w:hAnsi="Times New Roman"/>
          <w:color w:val="000000" w:themeColor="text1"/>
          <w:sz w:val="16"/>
          <w:szCs w:val="16"/>
        </w:rPr>
      </w:pPr>
    </w:p>
    <w:p w14:paraId="079E5CC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января 1945 года, в сентябрьском номере журнала "Вестник Воздушного Флота" в статье "Советская авиация над восточной Пруссией" автор Т. Хркжин сообщал: “За один день летчики-истребители на самолетах Як-9 уничтожили 186 автомашин, 5 танков и 5 автоцистерн". В статье не конкретизируется вариант самолета, но, видимо, речь шла о Як-9Т, поскольку из пушки калибра 20 мм танк при всем желании подбить нереально (12046).</w:t>
      </w:r>
    </w:p>
    <w:p w14:paraId="615ACBA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343EC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января 1944 36 самолетов из 1-го ГМТАП бомбили немецкие укрепления в районе Ропши, уничтожив при этом командный пункт одной из немецких дивизий. До конца операции (1 марта 1944 года) морская авиация совершила 4487 боевых вылетов, из которых на долю истребителей пришлось 2372 вылета, штурмовики провели 1099 вылетов, а бомбардировщики и разведчики поднимались в воздух 1006 раз. В боях советские пилоты одержали 69 побед (1691).</w:t>
      </w:r>
    </w:p>
    <w:p w14:paraId="0FC7AB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0EEA2A" w14:textId="77777777" w:rsidR="00FC4F14" w:rsidRPr="00070ADE" w:rsidRDefault="00FC4F14"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Cs/>
          <w:color w:val="000000" w:themeColor="text1"/>
          <w:sz w:val="16"/>
          <w:szCs w:val="16"/>
        </w:rPr>
        <w:t>Векшняя политика:</w:t>
      </w:r>
    </w:p>
    <w:p w14:paraId="293A4871" w14:textId="77777777" w:rsidR="00FC4F14" w:rsidRPr="00070ADE" w:rsidRDefault="00FC4F14"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F9E234" w14:textId="77777777" w:rsidR="00FC4F14" w:rsidRPr="00070ADE" w:rsidRDefault="00FC4F14" w:rsidP="00B56F90">
      <w:pPr>
        <w:spacing w:after="0" w:line="240" w:lineRule="auto"/>
        <w:jc w:val="both"/>
        <w:rPr>
          <w:rFonts w:ascii="Times New Roman" w:hAnsi="Times New Roman"/>
          <w:color w:val="000000" w:themeColor="text1"/>
          <w:sz w:val="16"/>
          <w:szCs w:val="16"/>
          <w:lang w:val="en-US"/>
        </w:rPr>
      </w:pPr>
      <w:r w:rsidRPr="00070ADE">
        <w:rPr>
          <w:rFonts w:ascii="Times New Roman" w:hAnsi="Times New Roman"/>
          <w:bCs/>
          <w:color w:val="000000" w:themeColor="text1"/>
          <w:sz w:val="16"/>
          <w:szCs w:val="16"/>
        </w:rPr>
        <w:t>16 января</w:t>
      </w:r>
      <w:r w:rsidRPr="00070ADE">
        <w:rPr>
          <w:rFonts w:ascii="Times New Roman" w:hAnsi="Times New Roman"/>
          <w:color w:val="000000" w:themeColor="text1"/>
          <w:sz w:val="16"/>
          <w:szCs w:val="16"/>
        </w:rPr>
        <w:t xml:space="preserve"> в 1944 году британское правительство признало первостепенную роль СССР в определении условий перемирия с Румынией, поскольку советские войска первыми вступят на ее территорию </w:t>
      </w:r>
      <w:r w:rsidRPr="00070ADE">
        <w:rPr>
          <w:rFonts w:ascii="Times New Roman" w:hAnsi="Times New Roman"/>
          <w:color w:val="000000" w:themeColor="text1"/>
          <w:sz w:val="16"/>
          <w:szCs w:val="16"/>
          <w:lang w:val="en-US"/>
        </w:rPr>
        <w:t>(15011).</w:t>
      </w:r>
    </w:p>
    <w:p w14:paraId="7C67C5D8" w14:textId="77777777" w:rsidR="00FC4F14" w:rsidRPr="00070ADE" w:rsidRDefault="00FC4F14" w:rsidP="00B56F90">
      <w:pPr>
        <w:spacing w:after="0" w:line="240" w:lineRule="auto"/>
        <w:jc w:val="both"/>
        <w:rPr>
          <w:rFonts w:ascii="Times New Roman" w:hAnsi="Times New Roman"/>
          <w:color w:val="000000" w:themeColor="text1"/>
          <w:sz w:val="16"/>
          <w:szCs w:val="16"/>
          <w:lang w:val="en-US"/>
        </w:rPr>
      </w:pPr>
    </w:p>
    <w:p w14:paraId="341DF15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070ADE">
        <w:rPr>
          <w:rFonts w:ascii="Times New Roman" w:hAnsi="Times New Roman"/>
          <w:i/>
          <w:iCs/>
          <w:color w:val="000000" w:themeColor="text1"/>
          <w:sz w:val="16"/>
          <w:szCs w:val="16"/>
        </w:rPr>
        <w:t>За</w:t>
      </w:r>
      <w:r w:rsidRPr="00070ADE">
        <w:rPr>
          <w:rFonts w:ascii="Times New Roman" w:hAnsi="Times New Roman"/>
          <w:i/>
          <w:iCs/>
          <w:color w:val="000000" w:themeColor="text1"/>
          <w:sz w:val="16"/>
          <w:szCs w:val="16"/>
          <w:lang w:val="en-US"/>
        </w:rPr>
        <w:t xml:space="preserve"> </w:t>
      </w:r>
      <w:r w:rsidRPr="00070ADE">
        <w:rPr>
          <w:rFonts w:ascii="Times New Roman" w:hAnsi="Times New Roman"/>
          <w:i/>
          <w:iCs/>
          <w:color w:val="000000" w:themeColor="text1"/>
          <w:sz w:val="16"/>
          <w:szCs w:val="16"/>
        </w:rPr>
        <w:t>рубежом</w:t>
      </w:r>
      <w:r w:rsidRPr="00070ADE">
        <w:rPr>
          <w:rFonts w:ascii="Times New Roman" w:hAnsi="Times New Roman"/>
          <w:i/>
          <w:iCs/>
          <w:color w:val="000000" w:themeColor="text1"/>
          <w:sz w:val="16"/>
          <w:szCs w:val="16"/>
          <w:lang w:val="en-US"/>
        </w:rPr>
        <w:t>:</w:t>
      </w:r>
    </w:p>
    <w:p w14:paraId="7BBFA86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02ABB0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16 January 1944 Eisenhower assumes duties as Commander in Chief, Allied Expeditionary Force, for the invasion of France (270).</w:t>
      </w:r>
    </w:p>
    <w:p w14:paraId="0F9A98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8D200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января 1944 Д.Эйзенхауэр принял командование над войсками союзников в Европе (270).</w:t>
      </w:r>
    </w:p>
    <w:p w14:paraId="6B67D5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786EA6" w14:textId="77777777" w:rsidR="00FC4F14" w:rsidRPr="00070ADE" w:rsidRDefault="00FC4F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16 января</w:t>
      </w:r>
      <w:r w:rsidRPr="00070ADE">
        <w:rPr>
          <w:rFonts w:ascii="Times New Roman" w:hAnsi="Times New Roman"/>
          <w:color w:val="000000" w:themeColor="text1"/>
          <w:sz w:val="16"/>
          <w:szCs w:val="16"/>
        </w:rPr>
        <w:t xml:space="preserve"> в 1944 году американский генерал Дуайт Эйзенхауэр назначен главнокомандующим Экспедиционными силами союзников, призванными открыть второй фронт против фашистской Германии в Нормандии (15011).</w:t>
      </w:r>
    </w:p>
    <w:p w14:paraId="6C39837C" w14:textId="77777777" w:rsidR="00FC4F14" w:rsidRPr="00070ADE" w:rsidRDefault="00FC4F14" w:rsidP="00B56F90">
      <w:pPr>
        <w:spacing w:after="0" w:line="240" w:lineRule="auto"/>
        <w:jc w:val="both"/>
        <w:rPr>
          <w:rFonts w:ascii="Times New Roman" w:hAnsi="Times New Roman"/>
          <w:color w:val="000000" w:themeColor="text1"/>
          <w:sz w:val="16"/>
          <w:szCs w:val="16"/>
        </w:rPr>
      </w:pPr>
    </w:p>
    <w:p w14:paraId="75761A30"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ED7A43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C49B4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17 января по 11 марта л В.И.Хомяков и и М.А.Пронин после наземной части испытаний, проводимой с 2 по 25 января 1944, проводили летные гос. испытания Як-9У с ВК-105ПФ2 с ВЯ-23 эталона на 1944 (65,146).</w:t>
      </w:r>
    </w:p>
    <w:p w14:paraId="2E864B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84002D" w14:textId="77777777" w:rsidR="00137C18" w:rsidRPr="00C94B78" w:rsidRDefault="00137C1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17 января по 11 марта 1944. Як-9У проходил летные испытания. В акте НИИ ВВС отмечалось, что Як-9У с М-105ПФ2 по своим летно-боевым качест</w:t>
      </w:r>
      <w:r w:rsidRPr="00C94B78">
        <w:rPr>
          <w:rFonts w:ascii="Times New Roman" w:hAnsi="Times New Roman"/>
          <w:color w:val="0070C0"/>
          <w:sz w:val="16"/>
          <w:szCs w:val="16"/>
        </w:rPr>
        <w:softHyphen/>
        <w:t>вам превосходит все существующие серийные самолеты семейства «Як» - Як-1, Як-7Б, Як-9 и Як-9Т с мотором М-105ПФ. Максимальная скорость у земли составляла 558 км/ч, на вы</w:t>
      </w:r>
      <w:r w:rsidRPr="00C94B78">
        <w:rPr>
          <w:rFonts w:ascii="Times New Roman" w:hAnsi="Times New Roman"/>
          <w:color w:val="0070C0"/>
          <w:sz w:val="16"/>
          <w:szCs w:val="16"/>
        </w:rPr>
        <w:softHyphen/>
        <w:t>соте 1800 м - 600 км/ч, на 3850 м - 620 км/ч, на 5000 м - 615 км/ч. Время подъема на вы</w:t>
      </w:r>
      <w:r w:rsidRPr="00C94B78">
        <w:rPr>
          <w:rFonts w:ascii="Times New Roman" w:hAnsi="Times New Roman"/>
          <w:color w:val="0070C0"/>
          <w:sz w:val="16"/>
          <w:szCs w:val="16"/>
        </w:rPr>
        <w:softHyphen/>
        <w:t>соту 5000 м не превышало 4,8 мин, время ви</w:t>
      </w:r>
      <w:r w:rsidRPr="00C94B78">
        <w:rPr>
          <w:rFonts w:ascii="Times New Roman" w:hAnsi="Times New Roman"/>
          <w:color w:val="0070C0"/>
          <w:sz w:val="16"/>
          <w:szCs w:val="16"/>
        </w:rPr>
        <w:softHyphen/>
        <w:t>ража - 19,8 с. За боевой разворот с высоты 1000 м самолет набирал 1190 м высоты. Се</w:t>
      </w:r>
      <w:r w:rsidRPr="00C94B78">
        <w:rPr>
          <w:rFonts w:ascii="Times New Roman" w:hAnsi="Times New Roman"/>
          <w:color w:val="0070C0"/>
          <w:sz w:val="16"/>
          <w:szCs w:val="16"/>
        </w:rPr>
        <w:softHyphen/>
        <w:t>кундный залп достигал 3,43 кг.</w:t>
      </w:r>
    </w:p>
    <w:p w14:paraId="40077665" w14:textId="77777777" w:rsidR="00137C18" w:rsidRPr="00C94B78" w:rsidRDefault="00137C1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То есть, самолет получился весьма непло</w:t>
      </w:r>
      <w:r w:rsidRPr="00C94B78">
        <w:rPr>
          <w:rFonts w:ascii="Times New Roman" w:hAnsi="Times New Roman"/>
          <w:color w:val="0070C0"/>
          <w:sz w:val="16"/>
          <w:szCs w:val="16"/>
        </w:rPr>
        <w:softHyphen/>
        <w:t>хим воздушным «бойцом». Однако дальность полета на скорости 350 км/ч достигала 850 км и не соответствовала требованиям постанов</w:t>
      </w:r>
      <w:r w:rsidRPr="00C94B78">
        <w:rPr>
          <w:rFonts w:ascii="Times New Roman" w:hAnsi="Times New Roman"/>
          <w:color w:val="0070C0"/>
          <w:sz w:val="16"/>
          <w:szCs w:val="16"/>
        </w:rPr>
        <w:softHyphen/>
        <w:t>ления ГКО №4428сс - 1400 км для всех се</w:t>
      </w:r>
      <w:r w:rsidRPr="00C94B78">
        <w:rPr>
          <w:rFonts w:ascii="Times New Roman" w:hAnsi="Times New Roman"/>
          <w:color w:val="0070C0"/>
          <w:sz w:val="16"/>
          <w:szCs w:val="16"/>
        </w:rPr>
        <w:softHyphen/>
        <w:t>рийных Як-9.</w:t>
      </w:r>
    </w:p>
    <w:p w14:paraId="7955D56F" w14:textId="77777777" w:rsidR="00137C18" w:rsidRPr="00C94B78" w:rsidRDefault="00137C1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серийное производство этот вари</w:t>
      </w:r>
      <w:r w:rsidRPr="00C94B78">
        <w:rPr>
          <w:rFonts w:ascii="Times New Roman" w:hAnsi="Times New Roman"/>
          <w:color w:val="0070C0"/>
          <w:sz w:val="16"/>
          <w:szCs w:val="16"/>
        </w:rPr>
        <w:softHyphen/>
        <w:t>ант «девятки» не запускался. Решили массо</w:t>
      </w:r>
      <w:r w:rsidRPr="00C94B78">
        <w:rPr>
          <w:rFonts w:ascii="Times New Roman" w:hAnsi="Times New Roman"/>
          <w:color w:val="0070C0"/>
          <w:sz w:val="16"/>
          <w:szCs w:val="16"/>
        </w:rPr>
        <w:softHyphen/>
        <w:t>во строить Як-9У в варианте с более «легким» составом вооружения (пушка МП-20 и два пу</w:t>
      </w:r>
      <w:r w:rsidRPr="00C94B78">
        <w:rPr>
          <w:rFonts w:ascii="Times New Roman" w:hAnsi="Times New Roman"/>
          <w:color w:val="0070C0"/>
          <w:sz w:val="16"/>
          <w:szCs w:val="16"/>
        </w:rPr>
        <w:softHyphen/>
        <w:t>лемета УБС) и мотором М-107А, что сулило за</w:t>
      </w:r>
      <w:r w:rsidRPr="00C94B78">
        <w:rPr>
          <w:rFonts w:ascii="Times New Roman" w:hAnsi="Times New Roman"/>
          <w:color w:val="0070C0"/>
          <w:sz w:val="16"/>
          <w:szCs w:val="16"/>
        </w:rPr>
        <w:softHyphen/>
        <w:t>метный прирост летных данных (24971).</w:t>
      </w:r>
    </w:p>
    <w:p w14:paraId="6CE9F955" w14:textId="77777777" w:rsidR="00137C18" w:rsidRPr="00C94B78" w:rsidRDefault="00137C18" w:rsidP="00B56F90">
      <w:pPr>
        <w:spacing w:after="0" w:line="240" w:lineRule="auto"/>
        <w:jc w:val="both"/>
        <w:rPr>
          <w:rFonts w:ascii="Times New Roman" w:hAnsi="Times New Roman"/>
          <w:color w:val="0070C0"/>
          <w:sz w:val="16"/>
          <w:szCs w:val="16"/>
        </w:rPr>
      </w:pPr>
    </w:p>
    <w:p w14:paraId="71107950"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января 1944 г. Из докладной записки директора завода № 16 М. М. Лукина народному комиссару авиационной промышленности СССР А. И. Шахурину о работе завода в 1942-1943 гг.</w:t>
      </w:r>
    </w:p>
    <w:p w14:paraId="200AEEBF"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hyperlink r:id="rId19" w:anchor="_ftn1" w:history="1">
        <w:r w:rsidRPr="00070ADE">
          <w:rPr>
            <w:rFonts w:ascii="Times New Roman" w:hAnsi="Times New Roman"/>
            <w:color w:val="000000" w:themeColor="text1"/>
            <w:sz w:val="16"/>
            <w:szCs w:val="16"/>
          </w:rPr>
          <w:t>[1]</w:t>
        </w:r>
      </w:hyperlink>
      <w:r w:rsidRPr="00070ADE">
        <w:rPr>
          <w:rFonts w:ascii="Times New Roman" w:hAnsi="Times New Roman"/>
          <w:color w:val="000000" w:themeColor="text1"/>
          <w:sz w:val="16"/>
          <w:szCs w:val="16"/>
        </w:rPr>
        <w:t xml:space="preserve"> Свою работу в качестве директора завода № 16 в г. Казани я начал с мая месяца 1942 г. вместе с теми же руководящими работниками завода, которые работают и по сегодняшний день.</w:t>
      </w:r>
    </w:p>
    <w:p w14:paraId="5E75D274"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Исключительно трудные задачи стояли перед заводом в 1942 г. Ряд цехов завода находился в недостроенном виде, технологически цеха были разбросаны на нескольких участках, средний командный состав был расставлен неправильно, оснащенность производства была не многим выше 50 %.</w:t>
      </w:r>
    </w:p>
    <w:p w14:paraId="69178767"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эти задачи необходимо было решать, одновременно решая основную задачу – выпуск моторов для фронта.</w:t>
      </w:r>
    </w:p>
    <w:p w14:paraId="46B25D66"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этот же период перед заводом также стояла чрезвычайно большая задача – исправить положение с качеством моторов.</w:t>
      </w:r>
    </w:p>
    <w:p w14:paraId="43B5E9DF"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Вам известно, в мае месяце 1942 г. в связи с большим выходом из строя моторов на фронте, было принято решение Государственного Комитета Обороны о немедленно и резком улучшении качества выпускаемых заводом № 16 моторов.</w:t>
      </w:r>
    </w:p>
    <w:p w14:paraId="34D9E55B"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Эти задачи коллективом завода и руководящими работниками были решены в основном во втором полугодии 1942 г.</w:t>
      </w:r>
    </w:p>
    <w:p w14:paraId="2640A9A1"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Качество мотора, благодаря серьезным техническим мероприятиям, проведенным заводом, было резко улучшено и отношение к моторам выпуска завода № 16 в войсковых соединениях также изменилось (этот вопрос был предметом обсуждения в обкоме ВКП (б), где представителями воинских частей и руководством основного потребителя – завода № 22 работа завода № 16 по улучшению качества подтверждена).</w:t>
      </w:r>
    </w:p>
    <w:p w14:paraId="19B8499A"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Количественный рост выпуска моторов был также налицо, что подтверждается следующими данными:</w:t>
      </w:r>
    </w:p>
    <w:p w14:paraId="4DEC50B1"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 моторов в 1942 г. по кварталам:</w:t>
      </w:r>
    </w:p>
    <w:p w14:paraId="7DE07588"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квартал – 328 моторов,</w:t>
      </w:r>
    </w:p>
    <w:p w14:paraId="2709DD71"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квартал – 479 моторов,</w:t>
      </w:r>
    </w:p>
    <w:p w14:paraId="4080F56B"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квартал – 935 моторов,</w:t>
      </w:r>
    </w:p>
    <w:p w14:paraId="2E53DAA5"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IV квартал – 1174 мотора,</w:t>
      </w:r>
    </w:p>
    <w:p w14:paraId="61F7BE70"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 е. выпуск моторов во втором полугодии 1942 г. (одновременно с решением ряда производственных задач) составил более 250 % по сравнению с 1-м полугодием 1942 г.</w:t>
      </w:r>
    </w:p>
    <w:p w14:paraId="7851A800"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 месяц 1942 г. и I квартал 1943 г. для завода являлись переходным моментом на новый тип мотора – пушечный мотор М-105 ПФ.</w:t>
      </w:r>
    </w:p>
    <w:p w14:paraId="6FA6F59E"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Решая этот вопрос без достаточной помощи со стороны ведущего завода, руководство завода № 16 не допустило срыва поставок моторов как заводу № 22, так и в резерв армии, выпуская одновременно два типа моторов. Конец января, весь февраль и начало марта для завода были исключительно тяжелым периодом. Надо было выполнить решение ГКО о выпуске нового типа мотора, не снижая общего выпуска, значит, вести в производстве параллельно два мотора. Эта задача весьма трудная. […] Этот период был очень тяжелым еще и потому, что длительные перебои с электроэнергией, сплошные простои людей и оборудования тормозили решение большой задачи, стоящей перед заводом.</w:t>
      </w:r>
    </w:p>
    <w:p w14:paraId="7329A4B5"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несмотря на это, I квартал был решающим в освоении нового типа моторов, и руководством завода в последующие месяцы года было обеспечено полностью выполнение возложенных на завод задач по выполнению государственного плана. […]</w:t>
      </w:r>
    </w:p>
    <w:p w14:paraId="1FA0ACC4"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Выполнение плана по выпуску моторов в разрезе кварталов 1943 г. характеризуется следующими данными:</w:t>
      </w:r>
    </w:p>
    <w:p w14:paraId="72109C2A"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квартал – 902 мотора.</w:t>
      </w:r>
    </w:p>
    <w:p w14:paraId="0243E39C"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квартал – 1018 моторов.</w:t>
      </w:r>
    </w:p>
    <w:p w14:paraId="017F7DF7"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квартал – 1209 моторов.</w:t>
      </w:r>
    </w:p>
    <w:p w14:paraId="1310193E"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IV квартал – 1325 моторов.</w:t>
      </w:r>
    </w:p>
    <w:p w14:paraId="6BA525F3"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видно из этих данных, завод и в 1943 г. на месте не топтался, а из квартала в квартал увеличивал выпуск моторов, выполнив план 1943 г. на 1500 моторов более 1942 г. и более 250 моторов свыше плана 1943 г. […]</w:t>
      </w:r>
    </w:p>
    <w:p w14:paraId="39ADBE77"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области совершенствования техники и культурной организации производства заводом также проведено много работ, основными из которых являются:</w:t>
      </w:r>
    </w:p>
    <w:p w14:paraId="5970A988"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Проектирование, постройка, проведение длительных заводских испытаний и начало летных испытаний модернизированного мотора М-105 ПФ, более мощного и высотного авиамотора.</w:t>
      </w:r>
    </w:p>
    <w:p w14:paraId="52249920"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Вся эта огромная работа проведена инженерно-техническими работниками и рабочими серийного производства и никакими планами не предусматривалась.</w:t>
      </w:r>
    </w:p>
    <w:p w14:paraId="61134ED8"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мероприятие получило Ваше ободрение и одобрение в ЦК ВКП (б).</w:t>
      </w:r>
    </w:p>
    <w:p w14:paraId="3CC495BA"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 большим участием руководящих работников завода и работников серийного производства в 1943 г. проведена работа по созданию, впервые в Советском Союзе, реактивного двигателя РД-1, который закончил удовлетворительно совместные (НКО и НКАП) испытания, работа, которой правительством придается колоссальнейшее значение в будущем развитии авиации.</w:t>
      </w:r>
    </w:p>
    <w:p w14:paraId="5CB0D191"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 1943 г. на заводе № 16 закончена монтажом первая в Советском Союзе установка для испытания авиамоторов с рекуперацией энергии в электроэнергию.</w:t>
      </w:r>
    </w:p>
    <w:p w14:paraId="06648F15"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Этой работе правительством придается исключительное значение, и в самое ближайшее время этот вопрос будет решаться в союзном масштабе.</w:t>
      </w:r>
    </w:p>
    <w:p w14:paraId="5AD1BF37"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 эта представляется на соискание Сталинской премии.</w:t>
      </w:r>
    </w:p>
    <w:p w14:paraId="3BA18FBA"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Смонтирована и находится в эксплуатации установка для приготовления термопыли из торфа, как заменителя мазута.</w:t>
      </w:r>
    </w:p>
    <w:p w14:paraId="401397E1"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Заводом освоен ряд инструментов, получаемых ранее из-за границы и выпускаемых теперь большими сериями.</w:t>
      </w:r>
    </w:p>
    <w:p w14:paraId="4AB66D40"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Впервые в системе авиамоторного производства и, пожалуй, вообще впервые в литейном производстве, на заводе № 16 разработан и внедрен в серию метод отливки блоков вертикальной щелью, дающий огромный эффект экономии материалов и улучшающий качество.</w:t>
      </w:r>
    </w:p>
    <w:p w14:paraId="538A1A46"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Во втором полугодии разработаны и изготовлены свыше десяти кокилей на все сложные алюминиевые детали мотора.</w:t>
      </w:r>
    </w:p>
    <w:p w14:paraId="741ECA17"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Организован ряд поточных участков завода, давших большой производственный эффект, хотя этот вопрос требует еще больших доработок.</w:t>
      </w:r>
    </w:p>
    <w:p w14:paraId="5C3BCC50"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Литейный цех № 1 в настоящее время полностью переводится на поток.</w:t>
      </w:r>
    </w:p>
    <w:p w14:paraId="7D1A11EB"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Проведена огромная работа по механизации этого цеха.</w:t>
      </w:r>
    </w:p>
    <w:p w14:paraId="6C2E640C"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На заводе в 1943 г. организован цех станкостроения, выпустивший около 100 единиц оборудования для собственных нужд завода.</w:t>
      </w:r>
    </w:p>
    <w:p w14:paraId="4AC10DFB"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Заводом проведены большие работы по улучшению качества мотора, и в этой области достигнуты известные результаты. Увеличен ресурс мотора. Отношение к мотору в войсковых частях личного состава, как к надежному мотору, и старая «слава» о заводе № 16 в войсковых частях исчезла.</w:t>
      </w:r>
    </w:p>
    <w:p w14:paraId="6B422621"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Заводом отработана система впрыска воды на всасывании мотора и проведено длительное испытание на низкооктановом топливе (4Б-70). […]</w:t>
      </w:r>
    </w:p>
    <w:p w14:paraId="63BDB8EC"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завода № 16 М. Лукин</w:t>
      </w:r>
    </w:p>
    <w:p w14:paraId="006C162C" w14:textId="77777777" w:rsidR="006D5E32" w:rsidRPr="00070ADE" w:rsidRDefault="006D5E3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РТ. Ф. Р-5940. Оп. 1. Д. 161. Л. 74, 75, 77-79. Отпуск (15494).</w:t>
      </w:r>
    </w:p>
    <w:p w14:paraId="4D9B40B1" w14:textId="77777777" w:rsidR="006D5E32" w:rsidRPr="00070ADE" w:rsidRDefault="006D5E32" w:rsidP="00B56F90">
      <w:pPr>
        <w:spacing w:after="0" w:line="240" w:lineRule="auto"/>
        <w:jc w:val="both"/>
        <w:rPr>
          <w:rFonts w:ascii="Times New Roman" w:hAnsi="Times New Roman"/>
          <w:color w:val="000000" w:themeColor="text1"/>
          <w:sz w:val="16"/>
          <w:szCs w:val="16"/>
        </w:rPr>
      </w:pPr>
    </w:p>
    <w:p w14:paraId="2EB15847"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января 1944 г. Из докладной записки директора завода № 16 М. М. Лукина народному комиссару авиационной промышленности СССР А. И. Шахурину о работе завода в 1942-1943 гг.</w:t>
      </w:r>
    </w:p>
    <w:p w14:paraId="64945842"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[-,.]Свою работу в качестве директора завода № 16 в г. Казани я начал с мая месяца 1942 г. вместе с теми же руководящими работниками завода, которые работают и по сегодняшний день.</w:t>
      </w:r>
    </w:p>
    <w:p w14:paraId="2A0ACC39"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Исключительно трудные задачи стояли перед заводом в 1942 г.</w:t>
      </w:r>
    </w:p>
    <w:p w14:paraId="7B495DED"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Ряд цехов завода находился в недостроенном виде, технологически цеха были разбросаны на нескольких участках, средний командный состав был расставлен неправильно, оснащенность производства была не многим выше 50%.</w:t>
      </w:r>
    </w:p>
    <w:p w14:paraId="48A54848"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эти задачи необходимо было решать, одновременно решая основную задачу — выпуск моторов для фронта.</w:t>
      </w:r>
    </w:p>
    <w:p w14:paraId="07D2BD50"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этот же период перед заводом также стояла чрезвычайно большая задача — исправить положение с качеством моторов.</w:t>
      </w:r>
    </w:p>
    <w:p w14:paraId="3AB560A8"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Вам известно, в мае месяце 1942 г. в связи с большим выходом из строя моторов на фронте, было принято решение Государственного Комитета Обороны о немедленно и резком улучшении качества выпускаемых заводом № 16 моторов.</w:t>
      </w:r>
    </w:p>
    <w:p w14:paraId="5B49E884"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Эти задачи коллективом завода и руководящими работниками были решены в основном во втором полугодии 1942 г.</w:t>
      </w:r>
    </w:p>
    <w:p w14:paraId="3D6A07D7"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Качество мотора, благодаря серьезным техническим мероприятиям, проведенным заводом, было резко улучшено и отношение к моторам выпуска завода № 16 в войсковых соединениях также изменилось (этот вопрос был предметом обсуждения в обкоме ВКП (б), где представителями воинских частей и руководством основного потребителя — завода № 22 работа завода № 16 по улучшению качества подтверждена).</w:t>
      </w:r>
    </w:p>
    <w:p w14:paraId="27BB8E8F"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Количественный рост выпуска моторов был также налицо, что подтверждается следующими данными:</w:t>
      </w:r>
    </w:p>
    <w:p w14:paraId="6158DA6A"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 моторов в 1942 г. по кварталам:</w:t>
      </w:r>
    </w:p>
    <w:p w14:paraId="28C005E0"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I квартал — 328 моторов,</w:t>
      </w:r>
    </w:p>
    <w:p w14:paraId="69AE3565"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квартал — 479 моторов,</w:t>
      </w:r>
    </w:p>
    <w:p w14:paraId="5B43476B"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квартал — 935 моторов,</w:t>
      </w:r>
    </w:p>
    <w:p w14:paraId="3F17CB02"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IV квартал — 1174 мотора,</w:t>
      </w:r>
    </w:p>
    <w:p w14:paraId="0ED3DE3A"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 е. выпуск моторов во втором полугодии 1942 г. (одновременно с решением ряда производственных задач) составил более 250 % по сравнению с 1-м полугодием 1942 г.</w:t>
      </w:r>
    </w:p>
    <w:p w14:paraId="71010A05"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 месяц 1942 г. и I квартал 1943 г. для завода являлись переходным моментом на новый тип мотора — пушечный мотор М-105 ПФ.</w:t>
      </w:r>
    </w:p>
    <w:p w14:paraId="4FEA4F70"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Решая этот вопрос без достаточной помощи со стороны ведущего завода, руководство завода № 16 не допустило срыва поставок моторов как заводу № 22, так и в резерв армии, выпуская одновременно два типа моторов. Конец января, весь февраль и начало марта для завода были исключительно тяжелым периодом.</w:t>
      </w:r>
    </w:p>
    <w:p w14:paraId="6AF64BA2"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Надо было выполнить решение ГКО о выпуске нового типа мотора, не снижая общего выпуска, значит, вести в производстве параллельно два мотора. Эта задача весьма трудная. [...] Этот период был очень тяжелым еще и потому, что длительные перебои с электроэнергией, сплошные простои людей и оборудования тормозили решение большой задачи, стоящей перед заводом.</w:t>
      </w:r>
    </w:p>
    <w:p w14:paraId="05C07ECA"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несмотря на это, I квартал был решающим в освоении нового типа моторов, и руководством завода в последующие месяцы года было обеспечено полностью выполнение возложенных на завод задач по выполнению государственного плана. [...]</w:t>
      </w:r>
    </w:p>
    <w:p w14:paraId="44CCC574"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Выполнение плана по выпуску моторов в разрезе кварталов 1943 г. характеризуется следующими данными:</w:t>
      </w:r>
    </w:p>
    <w:p w14:paraId="7EBFC436"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квартал — 902 мотора.</w:t>
      </w:r>
    </w:p>
    <w:p w14:paraId="1DD739FD"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квартал — 1018 моторов.</w:t>
      </w:r>
    </w:p>
    <w:p w14:paraId="64D867D0"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квартал — 1209 моторов.</w:t>
      </w:r>
    </w:p>
    <w:p w14:paraId="5D138CA6"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IV квартал — 1325 моторов.</w:t>
      </w:r>
    </w:p>
    <w:p w14:paraId="5207A055"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видно из этих данных, завод и в 1943 г. на месте не топтался, а из квартала в квартал увеличивал выпуск моторов, выполнив план 1943 г. на 1500 моторов более 1942 г. и более 250 моторов свыше плана 1943 г. [...]</w:t>
      </w:r>
    </w:p>
    <w:p w14:paraId="099EC987"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области совершенствования техники и культурной организации производства заводом также проведено много работ, основными из которых являются:</w:t>
      </w:r>
    </w:p>
    <w:p w14:paraId="2BA6020E"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Проектирование, постройка, проведение длительных заводских испытаний и начало летных испытаний модернизированного мотора М-105 ПФ, более мощного и высотного авиамотора.</w:t>
      </w:r>
    </w:p>
    <w:p w14:paraId="1AA9ADE7"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Вся эта огромная работа проведена инженерно-техническими работниками и рабочими серийного производства и никакими планами не предусматривалась.</w:t>
      </w:r>
    </w:p>
    <w:p w14:paraId="7A813016"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мероприятие получило Ваше ободрение и одобрение в ЦК ВКП (б).</w:t>
      </w:r>
    </w:p>
    <w:p w14:paraId="491EAC89"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 большим участием руководящих работников завода и работников серийного производства в 1943 г. проведена работа по созданию, впервые в Советском Союзе, реактивного двигателя РД-1, который закончил удовлетворительно совместные (НКО и НКАП) испытания, работа, которой правительством придается колоссальнейшее значение в будущем развитии авиации.</w:t>
      </w:r>
    </w:p>
    <w:p w14:paraId="38CDD704"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 1943 г. на заводе № 16 закончена монтажом первая в Советском Союзе установка для испытания авиамоторов с рекуперацией энергии в электроэнергию.</w:t>
      </w:r>
    </w:p>
    <w:p w14:paraId="4BBE86B9"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Этой работе правительством придается исключительное значение, и в самое ближайшее время этот вопрос будет решаться в союзном масштабе.</w:t>
      </w:r>
    </w:p>
    <w:p w14:paraId="674351FA"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 эта представляется на соискание Сталинской премии.</w:t>
      </w:r>
    </w:p>
    <w:p w14:paraId="1CACDDCE"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Смонтирована и находится в эксплуатации установка для приготовления термопыли из торфа, как заменителя мазута.</w:t>
      </w:r>
    </w:p>
    <w:p w14:paraId="2EC5F696"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Заводом освоен ряд инструментов, получаемых ранее из-за границы и выпускаемых теперь большими сериями.</w:t>
      </w:r>
    </w:p>
    <w:p w14:paraId="7B91AEA8"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Впервые в системе авиамоторного производства и, пожалуй, вообще впервые в литейном производстве, на заводе № 16 разработан и внедрен в серию метод отливки блоков вертикальной щелью, дающий огромный эффект экономии материалов и улучшающий качество.</w:t>
      </w:r>
    </w:p>
    <w:p w14:paraId="1EE65EE4"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Во втором полугодии разработаны и изготовлены свыше десяти кокилей на все сложные алюминиевые детали мотора.</w:t>
      </w:r>
    </w:p>
    <w:p w14:paraId="06D30E0C"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Организован ряд поточных участков завода, давших большой производственный эффект, хотя этот вопрос требует еще больших доработок.</w:t>
      </w:r>
    </w:p>
    <w:p w14:paraId="69CEA531"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Литейный цех № 1 в настоящее время полностью переводится на поток. Проведена огромная работа по механизации этого цеха.</w:t>
      </w:r>
    </w:p>
    <w:p w14:paraId="37A449E7"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На заводе в 1943 г. организован цех станкостроения, выпустивший около 100 единиц оборудования для собственных нужд завода.</w:t>
      </w:r>
    </w:p>
    <w:p w14:paraId="34B3FB7C"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Заводом проведены большие работы по улучшению качества мотора, и в этой области достигнуты известные результаты. Увеличен ресурс мотора. Отношение к мотору в войсковых частях личного состава, как к надежному мотору, и старая «слава» о заводе № 16 в войсковых частях исчезла.</w:t>
      </w:r>
    </w:p>
    <w:p w14:paraId="77C39258"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Заводом отработана система впрыска воды на всасывании мотора и проведено длительное испытание на низкооктановом топливе (4Б-70).</w:t>
      </w:r>
    </w:p>
    <w:p w14:paraId="24D2330E"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EFD67F2" w14:textId="678DF98D"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завода № 16</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Лукин</w:t>
      </w:r>
    </w:p>
    <w:p w14:paraId="4A8969CF"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Здесь и далее опущены части текста о работе на заводе инвентаризационной комиссии, предварительные итоги по выпуску валовой, товарной и оборонной продукции за 1943 г. (по себестоимости продукции) и т. д.</w:t>
      </w:r>
    </w:p>
    <w:p w14:paraId="14ACFB33"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РТ Ф. P-5940. On. 1. Д 161. Л. 74, 75, 77-79. Отпуск (23739).</w:t>
      </w:r>
    </w:p>
    <w:p w14:paraId="4B2D9491" w14:textId="77777777" w:rsidR="00021CBD" w:rsidRPr="00070ADE" w:rsidRDefault="00021CBD" w:rsidP="00B56F90">
      <w:pPr>
        <w:spacing w:after="0" w:line="240" w:lineRule="auto"/>
        <w:jc w:val="both"/>
        <w:rPr>
          <w:rFonts w:ascii="Times New Roman" w:hAnsi="Times New Roman"/>
          <w:color w:val="000000" w:themeColor="text1"/>
          <w:sz w:val="16"/>
          <w:szCs w:val="16"/>
        </w:rPr>
      </w:pPr>
    </w:p>
    <w:p w14:paraId="580DB4AC"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20D8FEC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B2FF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января 1944 вышло Постановление ГКО № 4967 О принятии на вооружение Красной Армии и развертывании производства 7,62 мм карабина с неотъемным штыком конструкции т. Семина. РГАНИР, Фонд ГКО, д. 193, лл. 76 (11012).</w:t>
      </w:r>
    </w:p>
    <w:p w14:paraId="50FC9D2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624FA3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января 1944 вышло Постановление ГКО № 4968 О плане снабжения дровами на I квартал 1944 года. РГАНИР, Фонд ГКО, д. 193, лл. 77-79,80-116 (11012).</w:t>
      </w:r>
    </w:p>
    <w:p w14:paraId="539FFA2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B4C92C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января 1944 вышло Распоряжение ГКО № 4969. О поставках дров в Москву в I кв. 1944 г. РГАНИР, Фонд ГКО, д. 193, лл. 117-118 (11012).</w:t>
      </w:r>
    </w:p>
    <w:p w14:paraId="03A758E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60B28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января 1944 вышло Постановление ГКО № 4970 О строительстве Бакинского трубопрокатного завода Наркомчермета. РГАНИР, Фонд ГКО, д. 193, лл. 119-127 (11012).</w:t>
      </w:r>
    </w:p>
    <w:p w14:paraId="352D179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DEE9E0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января 1944 вышло Постановление ГКО № 4971 Об организации производства 160 мм минометов и мин к ним. РГАНИР, Фонд ГКО, д. 193, лл. 128-132,133-143 (11012).</w:t>
      </w:r>
    </w:p>
    <w:p w14:paraId="66311F6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58F6A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января 1944 года 160-мм миномет был принят на вооружение под названием "160-мм миномет обр. 1943 г." (3861).</w:t>
      </w:r>
    </w:p>
    <w:p w14:paraId="6A03B16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BA4FDB" w14:textId="5F5FE65E" w:rsidR="00DF6978" w:rsidRPr="00070ADE" w:rsidRDefault="00DF69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января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на вооружение был принят 160-мм миномет МТ-13 конструкции 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Теверовского, получивший название 160-мм миномет обр. 1943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 начале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миномет был запущен в серию на Тульском машиностроительном заводе. Уже в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 завода на фронт отправилось 350 минометов.</w:t>
      </w:r>
    </w:p>
    <w:p w14:paraId="4896534F" w14:textId="77777777" w:rsidR="00DF6978" w:rsidRPr="00070ADE" w:rsidRDefault="00DF69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Первые же стрельбы 160-мм минометов произвели на противника огромное психологическое воздействие. Выстрелы у МТ-13 глухие, мины летели по крутой траектории и падали почти отвесно, поэтому при первых же разрывах мин немцы стали подавать сигналы воздушной тревоги.</w:t>
      </w:r>
    </w:p>
    <w:p w14:paraId="4A06D3DE" w14:textId="1E9CAEE4" w:rsidR="00DF6978" w:rsidRPr="00070ADE" w:rsidRDefault="00DF69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Миномет МТ-13 стрелял двенадцатиперой фугасной миной, внешне очень похожей на 82–120-мм мины. 160-мм фугасная мина Ф-852 весила 40,9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и содержала 7,8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разрывного заряда.</w:t>
      </w:r>
    </w:p>
    <w:p w14:paraId="02FAC125" w14:textId="77777777" w:rsidR="00DF6978" w:rsidRPr="00070ADE" w:rsidRDefault="00DF69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Заряжание миномета производилось с казенной части, для чего ствол приводился в горизонтальное положение. После открывания затвора на полуоси клина ствола навешивался лоток, на который расчет укладывал мину и вручную вставлял ее в канал ствола. Затем на крылья стабилизатора надевалась гильза. Лишь после этого мина с гильзой досылалась до места.</w:t>
      </w:r>
    </w:p>
    <w:p w14:paraId="68D06595" w14:textId="77777777" w:rsidR="00DF6978" w:rsidRPr="00070ADE" w:rsidRDefault="00DF69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перевозки миномета использовались автомобили «ГАЗ-63», «ЗИС-150» и другие, а также тракторы.</w:t>
      </w:r>
    </w:p>
    <w:p w14:paraId="1DD5E75D" w14:textId="421FCE52" w:rsidR="00DF6978" w:rsidRPr="00070ADE" w:rsidRDefault="00DF69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160-мм миномета составлял 1170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в боевом положении и 1270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в походном. Угол возвышения +45°; +80°. Дальность стрельбы</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от 620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до 5100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(12705).</w:t>
      </w:r>
    </w:p>
    <w:p w14:paraId="3219AA49" w14:textId="77777777" w:rsidR="00DF6978" w:rsidRPr="00070ADE" w:rsidRDefault="00DF6978" w:rsidP="00B56F90">
      <w:pPr>
        <w:spacing w:after="0" w:line="240" w:lineRule="auto"/>
        <w:jc w:val="both"/>
        <w:rPr>
          <w:rFonts w:ascii="Times New Roman" w:hAnsi="Times New Roman"/>
          <w:color w:val="000000" w:themeColor="text1"/>
          <w:sz w:val="16"/>
          <w:szCs w:val="16"/>
        </w:rPr>
      </w:pPr>
    </w:p>
    <w:p w14:paraId="1DA681A5" w14:textId="77777777" w:rsidR="00EC515D" w:rsidRPr="00070ADE" w:rsidRDefault="00EC515D"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17 января 1944 года 160-мм миномет И.Г. Теверовского, получивший индекс МТ-13был принят на вооружение под названием «160-мм миномет обр. </w:t>
      </w:r>
      <w:smartTag w:uri="urn:schemas-microsoft-com:office:smarttags" w:element="metricconverter">
        <w:smartTagPr>
          <w:attr w:name="ProductID" w:val="1945 г"/>
        </w:smartTagPr>
        <w:r w:rsidRPr="00070ADE">
          <w:rPr>
            <w:rFonts w:ascii="Times New Roman" w:hAnsi="Times New Roman"/>
            <w:color w:val="000000" w:themeColor="text1"/>
            <w:sz w:val="16"/>
            <w:szCs w:val="16"/>
          </w:rPr>
          <w:t>1943 г</w:t>
        </w:r>
      </w:smartTag>
      <w:r w:rsidRPr="00070ADE">
        <w:rPr>
          <w:rFonts w:ascii="Times New Roman" w:hAnsi="Times New Roman"/>
          <w:color w:val="000000" w:themeColor="text1"/>
          <w:sz w:val="16"/>
          <w:szCs w:val="16"/>
        </w:rPr>
        <w:t>.». Уже в 1944 году на фронт отправили 350 минометов. Первые же стрельбы 160-мм минометов произвели на противника огромное психологическое воздействие. Выстрелы у МТ-13 глухие, мины летели по крутой траектории и падали почти отвесно, поэтому при первых же разрывах мин немцы стали подавать сигналы воздушной тревоги. Боевой опыт подтвердил ожидания создателей миномета. Тяжелые мины этого орудия разрушали прочные дерево-земляные и каменно-кирпичные сооружения полевого типа, деревянные и кирпичные здания и сооружения, приспособленные противником для обороны в населенных пунктах. 160-мм минометы образца 1943 года с успехом подавляли и уничтожали живую силу противника и его огневые средства.</w:t>
      </w:r>
    </w:p>
    <w:p w14:paraId="17C86997" w14:textId="77777777" w:rsidR="00EC515D" w:rsidRPr="00070ADE" w:rsidRDefault="00EC515D"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Тактико-технические характеристики миномета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2448"/>
      </w:tblGrid>
      <w:tr w:rsidR="004D4663" w:rsidRPr="00070ADE" w14:paraId="7D6D9C1D" w14:textId="77777777" w:rsidTr="00B73FE9">
        <w:tc>
          <w:tcPr>
            <w:tcW w:w="4140" w:type="dxa"/>
          </w:tcPr>
          <w:p w14:paraId="7E8786BD" w14:textId="77777777" w:rsidR="00EC515D" w:rsidRPr="00070ADE" w:rsidRDefault="00EC515D"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 xml:space="preserve">Вес в боевом положении </w:t>
            </w:r>
          </w:p>
        </w:tc>
        <w:tc>
          <w:tcPr>
            <w:tcW w:w="2448" w:type="dxa"/>
          </w:tcPr>
          <w:p w14:paraId="30490C67" w14:textId="77777777" w:rsidR="00EC515D" w:rsidRPr="00070ADE" w:rsidRDefault="00EC515D" w:rsidP="00B56F90">
            <w:pPr>
              <w:widowControl w:val="0"/>
              <w:spacing w:after="0" w:line="240" w:lineRule="auto"/>
              <w:jc w:val="both"/>
              <w:rPr>
                <w:rFonts w:ascii="Times New Roman" w:hAnsi="Times New Roman"/>
                <w:color w:val="000000" w:themeColor="text1"/>
                <w:sz w:val="16"/>
                <w:szCs w:val="16"/>
              </w:rPr>
            </w:pPr>
            <w:smartTag w:uri="urn:schemas-microsoft-com:office:smarttags" w:element="metricconverter">
              <w:smartTagPr>
                <w:attr w:name="ProductID" w:val="1945 г"/>
              </w:smartTagPr>
              <w:r w:rsidRPr="00070ADE">
                <w:rPr>
                  <w:rFonts w:ascii="Times New Roman" w:hAnsi="Times New Roman"/>
                  <w:color w:val="000000" w:themeColor="text1"/>
                  <w:sz w:val="16"/>
                  <w:szCs w:val="16"/>
                </w:rPr>
                <w:t>1170 кг</w:t>
              </w:r>
            </w:smartTag>
          </w:p>
        </w:tc>
      </w:tr>
      <w:tr w:rsidR="004D4663" w:rsidRPr="00070ADE" w14:paraId="2D74CD3A" w14:textId="77777777" w:rsidTr="00B73FE9">
        <w:tc>
          <w:tcPr>
            <w:tcW w:w="4140" w:type="dxa"/>
          </w:tcPr>
          <w:p w14:paraId="710AF66C" w14:textId="77777777" w:rsidR="00EC515D" w:rsidRPr="00070ADE" w:rsidRDefault="00EC515D"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Наибольшая дальность стрельбы </w:t>
            </w:r>
          </w:p>
        </w:tc>
        <w:tc>
          <w:tcPr>
            <w:tcW w:w="2448" w:type="dxa"/>
          </w:tcPr>
          <w:p w14:paraId="4C9C9108" w14:textId="77777777" w:rsidR="00EC515D" w:rsidRPr="00070ADE" w:rsidRDefault="00EC515D" w:rsidP="00B56F90">
            <w:pPr>
              <w:widowControl w:val="0"/>
              <w:spacing w:after="0" w:line="240" w:lineRule="auto"/>
              <w:jc w:val="both"/>
              <w:rPr>
                <w:rFonts w:ascii="Times New Roman" w:hAnsi="Times New Roman"/>
                <w:color w:val="000000" w:themeColor="text1"/>
                <w:sz w:val="16"/>
                <w:szCs w:val="16"/>
              </w:rPr>
            </w:pPr>
            <w:smartTag w:uri="urn:schemas-microsoft-com:office:smarttags" w:element="metricconverter">
              <w:smartTagPr>
                <w:attr w:name="ProductID" w:val="1945 г"/>
              </w:smartTagPr>
              <w:r w:rsidRPr="00070ADE">
                <w:rPr>
                  <w:rFonts w:ascii="Times New Roman" w:hAnsi="Times New Roman"/>
                  <w:color w:val="000000" w:themeColor="text1"/>
                  <w:sz w:val="16"/>
                  <w:szCs w:val="16"/>
                </w:rPr>
                <w:t>5100 м</w:t>
              </w:r>
            </w:smartTag>
          </w:p>
        </w:tc>
      </w:tr>
      <w:tr w:rsidR="004D4663" w:rsidRPr="00070ADE" w14:paraId="50808920" w14:textId="77777777" w:rsidTr="00B73FE9">
        <w:tc>
          <w:tcPr>
            <w:tcW w:w="4140" w:type="dxa"/>
          </w:tcPr>
          <w:p w14:paraId="74F2046E" w14:textId="77777777" w:rsidR="00EC515D" w:rsidRPr="00070ADE" w:rsidRDefault="00EC515D"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Наименьшая дальность стрельбы </w:t>
            </w:r>
          </w:p>
        </w:tc>
        <w:tc>
          <w:tcPr>
            <w:tcW w:w="2448" w:type="dxa"/>
          </w:tcPr>
          <w:p w14:paraId="03A0F26A" w14:textId="77777777" w:rsidR="00EC515D" w:rsidRPr="00070ADE" w:rsidRDefault="00EC515D" w:rsidP="00B56F90">
            <w:pPr>
              <w:widowControl w:val="0"/>
              <w:spacing w:after="0" w:line="240" w:lineRule="auto"/>
              <w:jc w:val="both"/>
              <w:rPr>
                <w:rFonts w:ascii="Times New Roman" w:hAnsi="Times New Roman"/>
                <w:color w:val="000000" w:themeColor="text1"/>
                <w:sz w:val="16"/>
                <w:szCs w:val="16"/>
              </w:rPr>
            </w:pPr>
            <w:smartTag w:uri="urn:schemas-microsoft-com:office:smarttags" w:element="metricconverter">
              <w:smartTagPr>
                <w:attr w:name="ProductID" w:val="1945 г"/>
              </w:smartTagPr>
              <w:r w:rsidRPr="00070ADE">
                <w:rPr>
                  <w:rFonts w:ascii="Times New Roman" w:hAnsi="Times New Roman"/>
                  <w:color w:val="000000" w:themeColor="text1"/>
                  <w:sz w:val="16"/>
                  <w:szCs w:val="16"/>
                </w:rPr>
                <w:t>620 м</w:t>
              </w:r>
            </w:smartTag>
          </w:p>
        </w:tc>
      </w:tr>
      <w:tr w:rsidR="004D4663" w:rsidRPr="00070ADE" w14:paraId="2BBED456" w14:textId="77777777" w:rsidTr="00B73FE9">
        <w:tc>
          <w:tcPr>
            <w:tcW w:w="4140" w:type="dxa"/>
          </w:tcPr>
          <w:p w14:paraId="6E196870" w14:textId="77777777" w:rsidR="00EC515D" w:rsidRPr="00070ADE" w:rsidRDefault="00EC515D"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Наибольший угол возвышения </w:t>
            </w:r>
          </w:p>
        </w:tc>
        <w:tc>
          <w:tcPr>
            <w:tcW w:w="2448" w:type="dxa"/>
          </w:tcPr>
          <w:p w14:paraId="5FC88C64" w14:textId="77777777" w:rsidR="00EC515D" w:rsidRPr="00070ADE" w:rsidRDefault="00EC515D"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+ 80 градусов</w:t>
            </w:r>
          </w:p>
        </w:tc>
      </w:tr>
      <w:tr w:rsidR="004D4663" w:rsidRPr="00070ADE" w14:paraId="69782AE6" w14:textId="77777777" w:rsidTr="00B73FE9">
        <w:tc>
          <w:tcPr>
            <w:tcW w:w="4140" w:type="dxa"/>
          </w:tcPr>
          <w:p w14:paraId="52E4B252" w14:textId="77777777" w:rsidR="00EC515D" w:rsidRPr="00070ADE" w:rsidRDefault="00EC515D"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Наименьший угол возвышения </w:t>
            </w:r>
          </w:p>
        </w:tc>
        <w:tc>
          <w:tcPr>
            <w:tcW w:w="2448" w:type="dxa"/>
          </w:tcPr>
          <w:p w14:paraId="2A99CDC8" w14:textId="77777777" w:rsidR="00EC515D" w:rsidRPr="00070ADE" w:rsidRDefault="00EC515D"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+ 45 градусов</w:t>
            </w:r>
          </w:p>
        </w:tc>
      </w:tr>
      <w:tr w:rsidR="004D4663" w:rsidRPr="00070ADE" w14:paraId="7382A4E0" w14:textId="77777777" w:rsidTr="00B73FE9">
        <w:tc>
          <w:tcPr>
            <w:tcW w:w="4140" w:type="dxa"/>
          </w:tcPr>
          <w:p w14:paraId="4212B111" w14:textId="77777777" w:rsidR="00EC515D" w:rsidRPr="00070ADE" w:rsidRDefault="00EC515D"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Скорострельность максимальная </w:t>
            </w:r>
          </w:p>
        </w:tc>
        <w:tc>
          <w:tcPr>
            <w:tcW w:w="2448" w:type="dxa"/>
          </w:tcPr>
          <w:p w14:paraId="621FA826" w14:textId="77777777" w:rsidR="00EC515D" w:rsidRPr="00070ADE" w:rsidRDefault="00EC515D"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выстрелов/мин</w:t>
            </w:r>
          </w:p>
        </w:tc>
      </w:tr>
      <w:tr w:rsidR="004D4663" w:rsidRPr="00070ADE" w14:paraId="7EA21488" w14:textId="77777777" w:rsidTr="00B73FE9">
        <w:tc>
          <w:tcPr>
            <w:tcW w:w="4140" w:type="dxa"/>
          </w:tcPr>
          <w:p w14:paraId="75FC14DE" w14:textId="77777777" w:rsidR="00EC515D" w:rsidRPr="00070ADE" w:rsidRDefault="00EC515D"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Скорость перевозки по шоссе </w:t>
            </w:r>
          </w:p>
        </w:tc>
        <w:tc>
          <w:tcPr>
            <w:tcW w:w="2448" w:type="dxa"/>
          </w:tcPr>
          <w:p w14:paraId="62B96D46" w14:textId="77777777" w:rsidR="00EC515D" w:rsidRPr="00070ADE" w:rsidRDefault="00EC515D"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до </w:t>
            </w:r>
            <w:smartTag w:uri="urn:schemas-microsoft-com:office:smarttags" w:element="metricconverter">
              <w:smartTagPr>
                <w:attr w:name="ProductID" w:val="1945 г"/>
              </w:smartTagPr>
              <w:r w:rsidRPr="00070ADE">
                <w:rPr>
                  <w:rFonts w:ascii="Times New Roman" w:hAnsi="Times New Roman"/>
                  <w:color w:val="000000" w:themeColor="text1"/>
                  <w:sz w:val="16"/>
                  <w:szCs w:val="16"/>
                </w:rPr>
                <w:t>50 км/ч</w:t>
              </w:r>
            </w:smartTag>
          </w:p>
        </w:tc>
      </w:tr>
    </w:tbl>
    <w:p w14:paraId="2AFA9A25" w14:textId="77777777" w:rsidR="00EC515D" w:rsidRPr="00070ADE" w:rsidRDefault="00EC515D"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Фугасная мина имела вес </w:t>
      </w:r>
      <w:smartTag w:uri="urn:schemas-microsoft-com:office:smarttags" w:element="metricconverter">
        <w:smartTagPr>
          <w:attr w:name="ProductID" w:val="1945 г"/>
        </w:smartTagPr>
        <w:r w:rsidRPr="00070ADE">
          <w:rPr>
            <w:rFonts w:ascii="Times New Roman" w:hAnsi="Times New Roman"/>
            <w:color w:val="000000" w:themeColor="text1"/>
            <w:sz w:val="16"/>
            <w:szCs w:val="16"/>
          </w:rPr>
          <w:t>48,865 кг</w:t>
        </w:r>
      </w:smartTag>
      <w:r w:rsidRPr="00070ADE">
        <w:rPr>
          <w:rFonts w:ascii="Times New Roman" w:hAnsi="Times New Roman"/>
          <w:color w:val="000000" w:themeColor="text1"/>
          <w:sz w:val="16"/>
          <w:szCs w:val="16"/>
        </w:rPr>
        <w:t>, начальная скорость максимальная – 245 м/сек, минимальная – 140 м/сек (15218).</w:t>
      </w:r>
    </w:p>
    <w:p w14:paraId="6AF85747" w14:textId="77777777" w:rsidR="00EC515D" w:rsidRPr="00070ADE" w:rsidRDefault="00EC515D" w:rsidP="00B56F90">
      <w:pPr>
        <w:widowControl w:val="0"/>
        <w:spacing w:after="0" w:line="240" w:lineRule="auto"/>
        <w:jc w:val="both"/>
        <w:rPr>
          <w:rFonts w:ascii="Times New Roman" w:hAnsi="Times New Roman"/>
          <w:color w:val="000000" w:themeColor="text1"/>
          <w:sz w:val="16"/>
          <w:szCs w:val="16"/>
        </w:rPr>
      </w:pPr>
    </w:p>
    <w:p w14:paraId="50AB93E5" w14:textId="77777777" w:rsidR="00137C18" w:rsidRPr="00C94B78" w:rsidRDefault="00137C18"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17 января 1944 года 160 мм миномет МТ-13 был принят на вооружение под названием «160-мм миномет обр. 1943 г.». Наркомат вооружений приказом от 22 января 1944 года обязал Тульский машиностроительный завод (ТМЗ) № 535 на</w:t>
      </w:r>
      <w:r w:rsidRPr="00C94B78">
        <w:rPr>
          <w:rStyle w:val="aff1"/>
          <w:rFonts w:ascii="Times New Roman" w:hAnsi="Times New Roman" w:cs="Times New Roman"/>
          <w:color w:val="0070C0"/>
          <w:spacing w:val="0"/>
          <w:sz w:val="16"/>
          <w:szCs w:val="16"/>
        </w:rPr>
        <w:softHyphen/>
        <w:t>чать производство МТ-13. Уже в 1944 году с завода на фронт от</w:t>
      </w:r>
      <w:r w:rsidRPr="00C94B78">
        <w:rPr>
          <w:rStyle w:val="aff1"/>
          <w:rFonts w:ascii="Times New Roman" w:hAnsi="Times New Roman" w:cs="Times New Roman"/>
          <w:color w:val="0070C0"/>
          <w:spacing w:val="0"/>
          <w:sz w:val="16"/>
          <w:szCs w:val="16"/>
        </w:rPr>
        <w:softHyphen/>
        <w:t>правили 350 минометов.</w:t>
      </w:r>
    </w:p>
    <w:p w14:paraId="6155A1D7" w14:textId="77777777" w:rsidR="00137C18" w:rsidRPr="00C94B78" w:rsidRDefault="00137C18"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Первые же стрельбы 160-мм минометов произвели на против</w:t>
      </w:r>
      <w:r w:rsidRPr="00C94B78">
        <w:rPr>
          <w:rStyle w:val="aff1"/>
          <w:rFonts w:ascii="Times New Roman" w:hAnsi="Times New Roman" w:cs="Times New Roman"/>
          <w:color w:val="0070C0"/>
          <w:spacing w:val="0"/>
          <w:sz w:val="16"/>
          <w:szCs w:val="16"/>
        </w:rPr>
        <w:softHyphen/>
        <w:t>ника огромное психологическое воздействие. Выстрелы у МТ-13 глухие, мины летели по крутой траектории и падали почти отвес</w:t>
      </w:r>
      <w:r w:rsidRPr="00C94B78">
        <w:rPr>
          <w:rStyle w:val="aff1"/>
          <w:rFonts w:ascii="Times New Roman" w:hAnsi="Times New Roman" w:cs="Times New Roman"/>
          <w:color w:val="0070C0"/>
          <w:spacing w:val="0"/>
          <w:sz w:val="16"/>
          <w:szCs w:val="16"/>
        </w:rPr>
        <w:softHyphen/>
        <w:t>но. поэтому при первых же разрывах мин немцы стали подавать сигналы воздушной тревоги.</w:t>
      </w:r>
    </w:p>
    <w:p w14:paraId="2D2E934B" w14:textId="77777777" w:rsidR="00137C18" w:rsidRPr="00C94B78" w:rsidRDefault="00137C18"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Миномет МТ-13 стрелял двенадцатиперой фугасной миной, внешне очень похожей на 82-120-мм мины. Принципиальным от</w:t>
      </w:r>
      <w:r w:rsidRPr="00C94B78">
        <w:rPr>
          <w:rStyle w:val="aff1"/>
          <w:rFonts w:ascii="Times New Roman" w:hAnsi="Times New Roman" w:cs="Times New Roman"/>
          <w:color w:val="0070C0"/>
          <w:spacing w:val="0"/>
          <w:sz w:val="16"/>
          <w:szCs w:val="16"/>
        </w:rPr>
        <w:softHyphen/>
        <w:t>личием минометного выстрела МТ-13 от всех других отечествен</w:t>
      </w:r>
      <w:r w:rsidRPr="00C94B78">
        <w:rPr>
          <w:rStyle w:val="aff1"/>
          <w:rFonts w:ascii="Times New Roman" w:hAnsi="Times New Roman" w:cs="Times New Roman"/>
          <w:color w:val="0070C0"/>
          <w:spacing w:val="0"/>
          <w:sz w:val="16"/>
          <w:szCs w:val="16"/>
        </w:rPr>
        <w:softHyphen/>
        <w:t>ных минометов была короткая гильза, в которую вставлялся ста</w:t>
      </w:r>
      <w:r w:rsidRPr="00C94B78">
        <w:rPr>
          <w:rStyle w:val="aff1"/>
          <w:rFonts w:ascii="Times New Roman" w:hAnsi="Times New Roman" w:cs="Times New Roman"/>
          <w:color w:val="0070C0"/>
          <w:spacing w:val="0"/>
          <w:sz w:val="16"/>
          <w:szCs w:val="16"/>
        </w:rPr>
        <w:softHyphen/>
        <w:t>билизатор мины. Гильза служила для предотвращения прорыва пороховых газов при выстреле (обтюрации).</w:t>
      </w:r>
    </w:p>
    <w:p w14:paraId="6ED56415" w14:textId="77777777" w:rsidR="00137C18" w:rsidRPr="00C94B78" w:rsidRDefault="00137C18"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Буксировка МТ-13 производилась автомобилями ГАЗ-63, ЗИС-150 или трактором (25439).</w:t>
      </w:r>
    </w:p>
    <w:p w14:paraId="0B6D708B" w14:textId="77777777" w:rsidR="00137C18" w:rsidRPr="00C94B78" w:rsidRDefault="00137C18" w:rsidP="00B56F90">
      <w:pPr>
        <w:spacing w:after="0" w:line="240" w:lineRule="auto"/>
        <w:jc w:val="both"/>
        <w:rPr>
          <w:rFonts w:ascii="Times New Roman" w:hAnsi="Times New Roman"/>
          <w:color w:val="0070C0"/>
          <w:sz w:val="16"/>
          <w:szCs w:val="16"/>
        </w:rPr>
      </w:pPr>
    </w:p>
    <w:p w14:paraId="543936D4" w14:textId="77777777" w:rsidR="00EC515D"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31F93C8E" w14:textId="77777777" w:rsidR="00EC515D" w:rsidRPr="00070ADE" w:rsidRDefault="00EC515D"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94EFBF"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17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09BE5C44"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17 января севернее Новосокольники наши войска вели наступательные бои, в ходе которых заняли несколько населённых пунктов и среди них Слобода, Киселевичи, Альхимово, Гвоздова, Курово.</w:t>
      </w:r>
    </w:p>
    <w:p w14:paraId="66E64310"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Новоград-Волынский наши войска овладели районным центром Ровенской области Тучин, а также заняли несколько других населённых пунктов.</w:t>
      </w:r>
    </w:p>
    <w:p w14:paraId="2AA7BD04"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Умани наши войска успешно отбили контратаки пехоты и танков противника.</w:t>
      </w:r>
    </w:p>
    <w:p w14:paraId="000B1421"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440FE904"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16 января наши войска на всех фронтах подбили и уничтожили 166 немецких танков. В воздушных боях и огнём зенитной артиллерии сбито 39 самолётовпротивника.</w:t>
      </w:r>
    </w:p>
    <w:p w14:paraId="316B0CAE"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Новосокольники наши войска вели наступательные бои. Части Н-скогосоединения сломили сопротивление противника и овладели сильно укреплённым опорным пунктом обороны немцев Киселевичами. В бою за Киселевичи уничтожено свыше 400 немецких солдат и офицеров, 2 танка, 7 орудий и 32 автомашины. Другое наше соединение выбило немцев из нескольких населённых пунктов. В боях за эти пункты уничтожено до батальона гитлеровцев. Захвачены трофеи и пленные.</w:t>
      </w:r>
    </w:p>
    <w:p w14:paraId="72D24899"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города Новоград-Волынский наши войска, продвигаясь вперёд, очистилиот немцев районный центр Ровенской области Тучин и несколько других населённых пунктов. Разведав огневые точки противника, наши подразделения обошли их, а затем неожиданно напали на немецкий гарнизон в селе Тучин. Воспользовавшись возникшей у немцев паникой, советские бойцы истребили до 300 гитлеровцев. Захвачено несколько орудий, 24 пулемёта и склад боеприпасов.</w:t>
      </w:r>
    </w:p>
    <w:p w14:paraId="08380A2D"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Умани противник предпринял ряд ожесточённых контратак. Наши артиллеристы, танкисты и пехотинцы сосредоточенным огнём успешно отразили все контратаки немцев и нанесли им большой урон. За день боёв подбито и уничтожено свыше 80 танков, 16 бронемашин, 6 самоходных орудий, 7 бронетранспортёров и 200 автомашин противника. На другом участке батальон пехоты и танки противника атаковали наши позиции. Немцам удалось продвинуться вперёд и занять один населённый пункт. Советские подразделения окружили вражескую группировку и ликвидировали её. На поле боя осталось 23 сожжённых немецких танка и до 800 трупов гитлеровцев.</w:t>
      </w:r>
    </w:p>
    <w:p w14:paraId="68EB05BC"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Ленинградские партизанские отряды с 1 по 10 января пустили под откос 37 немецких воинских эшелонов с боеприпасами, горючим и продовольствием. В результате крушений разбито около 300 вагонов и платформ. Партизаны разрушили 80 километров телеграфно-телефонной линии связи. Кроме того, советские патриоты разгромили два немецких гарнизона и уничтожили бронемашину, 4 орудия и гараж с автомашинами. Истреблено свыше 600 гитлеровцев.</w:t>
      </w:r>
    </w:p>
    <w:p w14:paraId="1B47EFA4"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последнее время участились случаи групповой сдачи в плен немецких солдат. На одном участке 1-го Украинского фронта сложила оружие группа солдат 168 немецкой пехотной дивизии. Перебежчик унтер-офицер Эмиль П. заявил: «Собрав своих людей, я им сказал: «Для Германии все уже потеряно, и нет никакого смысла приносить новые жертвы. Хотите ли вы сохранить свою жизнь, согласны ли вы перебежать к русским?» Все, как один, выразили согласие, и мы сдались в плен».</w:t>
      </w:r>
    </w:p>
    <w:p w14:paraId="31C12119"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Другой унтер-офицер той же дивизии Карл. Г., сдавшийся в плен вместе со своим отделением, рассказал: «В ожесточённом бою наш полк был разгромлен. Остатки его, преследуемые русскими танками, разбежались. Я и солдаты моего отделения спрятались в овраге. Утром мы увидели русских кавалеристов. Я приказал солдатам выйти из оврага, сложить на дороге оружие и поднять руки. Они охотно выполнили моё приказание. Очутившись в плену, солдаты поблагодарили меня за то, что я спас их от неминуемой гибели».</w:t>
      </w:r>
    </w:p>
    <w:p w14:paraId="591F909A"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другом участке 1-го Украинского фронта сдались в плен 72 солдата иунтер-офицера штурмовой бригады СС «Лангемарк». Пленные сообщили: «Бригада«Лангемарк» сформирована в Бельгии. В районе Чуднова бригада попала в окружение и понесла тяжёлые потери. Офицеры убежали, а мы остались на месте и сдались в плен». В этот же день на сторону Красной Армии перешли две группы солдат 198 немецкой пехотной дивизии. В первой группе 7 немцев, 2 австрийца, 2 чеха и один поляк. Перебежчики принесли с собою 2 пулемёта, 3 автомата, 8 винтовок, 3 пистолета и боеприпасы. Вторая группа перебежчиков, в количестве 7 человек,состоит из словенцев, насильно мобилизованных в немецкую армию.</w:t>
      </w:r>
    </w:p>
    <w:p w14:paraId="2AFB3997"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публикуется акт о зверствах немецко-фашистских мерзавцев в селе Марьевка, Запорожской области: «Незадолго до своего отступления немцы погнали всех жителей в возрасте от 14 до 70 лет из нашего села и окрестных деревень на строительство укреплений. Немецкие военные власти объявили, что всякий уклоняющийся от рытья окопов будет расстрелян. Свои угрозы гитлеровские мерзавцы привели в исполнение. Палачи расстреляли 37 мирных жителей Марьевки в соседнего села Беленькое, отказавшихся рыть окопы. У колхозницы Полины Волоченко заболели малолетние дети, и она не вышла на работу. Немецкий офицер до полусмерти избил её и запер вместе с детьми в сарай. Был мороз, и Волоченко вместе с детьми замёрзла. Трудно передать словами все зверства, которые творили у нас немецко-фашистские изверги». Акт подписали жители села Марьевка: СергейФеличенко, Анна Коваль, Вера Третьяк, Анисья Филиппенко, Варвара Родченко.» (15012).</w:t>
      </w:r>
    </w:p>
    <w:p w14:paraId="02DD20F0" w14:textId="77777777" w:rsidR="00EC515D" w:rsidRPr="00070ADE" w:rsidRDefault="00EC515D" w:rsidP="00B56F90">
      <w:pPr>
        <w:spacing w:after="0" w:line="240" w:lineRule="auto"/>
        <w:jc w:val="both"/>
        <w:rPr>
          <w:rFonts w:ascii="Times New Roman" w:hAnsi="Times New Roman"/>
          <w:color w:val="000000" w:themeColor="text1"/>
          <w:sz w:val="16"/>
          <w:szCs w:val="16"/>
        </w:rPr>
      </w:pPr>
    </w:p>
    <w:p w14:paraId="78454ACF"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1553ED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BE99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января 1944 года</w:t>
      </w:r>
    </w:p>
    <w:p w14:paraId="5E0879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ЛИЧНО И СТРОГО СЕКРЕТНО ПОСЛАНИЕ ОТ г-на ЧЕРЧИЛЛЯ МАРШАЛУ СТАЛИНУ</w:t>
      </w:r>
    </w:p>
    <w:p w14:paraId="0629BE8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 пришел к заключению, что могу составить дополнительный арктический конвой из двадцати судов, главным образом американских, который отправится из Соединенного Королевства приблизительно между 15 и 18 марта без ущерба для наших главных операций. Я надеюсь, что это будет Вам приятно.</w:t>
      </w:r>
    </w:p>
    <w:p w14:paraId="0A7FF0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 был весьма обрадован, когда узнал от адмирала Фрэзера, находившегося на корабле Его Величества “Герцог Йоркский”, об искренней и сердечной встрече с адмиралом Головко и всеми Вашими офицерами и матросами в Кольской бухте перед потоплением “Шарнгорста”. Он сообщил, как много доброжелательности демонстрировалось военнослужащими всех рангов наших двух военно-морских флотов.</w:t>
      </w:r>
    </w:p>
    <w:p w14:paraId="694010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 рад, что Вам понравилось мое послание маршалу Тито. Мы, конечно, будем продолжать бомбить Берлин неустанно. В настоящее время я нахожусь в море, но Вы можете быть уверены, что по прибытии домой моей первой заботой будет обеспечение успеха “Оверлорда” (7430).</w:t>
      </w:r>
    </w:p>
    <w:p w14:paraId="59D19C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6924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января 1944 проходили переговоры нашей миссии с представителями западных союзников в Бари (1138,292).</w:t>
      </w:r>
    </w:p>
    <w:p w14:paraId="31AA5EF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0974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января 1944 СССР отклонил польские предложения о восстановлении прежней границы (2100).</w:t>
      </w:r>
    </w:p>
    <w:p w14:paraId="35BFC0F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5B45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января 1944 на Ли-2 под управлением А.С.Шорникова вылетел с советской военной миссией для координации действий с И.Б.Тито из Москвы в Тегеран, а оттуда попал в Бари 23 февраля 1944 (455,151).</w:t>
      </w:r>
    </w:p>
    <w:p w14:paraId="008E19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754127"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070ADE">
        <w:rPr>
          <w:rFonts w:ascii="Times New Roman" w:hAnsi="Times New Roman"/>
          <w:i/>
          <w:iCs/>
          <w:color w:val="000000" w:themeColor="text1"/>
          <w:sz w:val="16"/>
          <w:szCs w:val="16"/>
        </w:rPr>
        <w:t>За</w:t>
      </w:r>
      <w:r w:rsidRPr="00070ADE">
        <w:rPr>
          <w:rFonts w:ascii="Times New Roman" w:hAnsi="Times New Roman"/>
          <w:i/>
          <w:iCs/>
          <w:color w:val="000000" w:themeColor="text1"/>
          <w:sz w:val="16"/>
          <w:szCs w:val="16"/>
          <w:lang w:val="en-US"/>
        </w:rPr>
        <w:t xml:space="preserve"> </w:t>
      </w:r>
      <w:r w:rsidRPr="00070ADE">
        <w:rPr>
          <w:rFonts w:ascii="Times New Roman" w:hAnsi="Times New Roman"/>
          <w:i/>
          <w:iCs/>
          <w:color w:val="000000" w:themeColor="text1"/>
          <w:sz w:val="16"/>
          <w:szCs w:val="16"/>
        </w:rPr>
        <w:t>рубежом</w:t>
      </w:r>
      <w:r w:rsidRPr="00070ADE">
        <w:rPr>
          <w:rFonts w:ascii="Times New Roman" w:hAnsi="Times New Roman"/>
          <w:i/>
          <w:iCs/>
          <w:color w:val="000000" w:themeColor="text1"/>
          <w:sz w:val="16"/>
          <w:szCs w:val="16"/>
          <w:lang w:val="en-US"/>
        </w:rPr>
        <w:t>:</w:t>
      </w:r>
    </w:p>
    <w:p w14:paraId="3B5166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3CD4946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Jan 17 1944 First attack toward Cassino, Italy (1050).</w:t>
      </w:r>
    </w:p>
    <w:p w14:paraId="424D53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B86AF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января 1944 состоялась первая атака против замка Монте Кассино в Италии (1050) - Линия Густава (3907,248).</w:t>
      </w:r>
    </w:p>
    <w:p w14:paraId="6902DE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2C170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января 1944 в Австралии введены ограничения на торговлю мясом (4962).</w:t>
      </w:r>
    </w:p>
    <w:p w14:paraId="6C7C4C7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8E8B21"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17 января</w:t>
      </w:r>
      <w:r w:rsidRPr="00070ADE">
        <w:rPr>
          <w:rFonts w:ascii="Times New Roman" w:hAnsi="Times New Roman"/>
          <w:color w:val="000000" w:themeColor="text1"/>
          <w:sz w:val="16"/>
          <w:szCs w:val="16"/>
        </w:rPr>
        <w:t xml:space="preserve"> в 1944 году в Нью-Йорке, в помещении театра "Метрополитен-опера" проходит первый джазовый концерт (15012).</w:t>
      </w:r>
    </w:p>
    <w:p w14:paraId="327C74CA" w14:textId="77777777" w:rsidR="00EC515D" w:rsidRPr="00070ADE" w:rsidRDefault="00EC515D" w:rsidP="00B56F90">
      <w:pPr>
        <w:spacing w:after="0" w:line="240" w:lineRule="auto"/>
        <w:jc w:val="both"/>
        <w:rPr>
          <w:rFonts w:ascii="Times New Roman" w:hAnsi="Times New Roman"/>
          <w:color w:val="000000" w:themeColor="text1"/>
          <w:sz w:val="16"/>
          <w:szCs w:val="16"/>
        </w:rPr>
      </w:pPr>
    </w:p>
    <w:p w14:paraId="6B993056"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EE053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022D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вышло Постановление ГКО № 4976 О выпуске самолетов Ил-2 с металлическими крыльями стрельчатой конструкции. РГАНИР, Фонд ГКО, д. 194, лл. 157-158 (11012).</w:t>
      </w:r>
    </w:p>
    <w:p w14:paraId="0191E07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45BD1E6" w14:textId="77777777" w:rsidR="00171DC6" w:rsidRPr="00070ADE" w:rsidRDefault="00171DC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вышло Постановление ГКО № 4976 О выпуске самолетов Ил-2 с металлическими крыльями стрельчатой конструкции</w:t>
      </w:r>
    </w:p>
    <w:p w14:paraId="61903AA6" w14:textId="77777777" w:rsidR="00171DC6" w:rsidRPr="00070ADE" w:rsidRDefault="00171DC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Государственный Комитет Обороны постановляет:</w:t>
      </w:r>
    </w:p>
    <w:p w14:paraId="7526CC4A" w14:textId="77777777" w:rsidR="00171DC6" w:rsidRPr="00070ADE" w:rsidRDefault="00171DC6" w:rsidP="00B56F90">
      <w:pPr>
        <w:tabs>
          <w:tab w:val="left" w:pos="97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Принять к сведению сообщение Наркомавиапрома - т .'Шахурина и т.Ильюшина и ВВС КА т.Никитина и т.Репина, что проведенвыни государственными испытаниями самолета Ил-2 с стрельчатой конструкцией консолей крыла подтверж</w:t>
      </w:r>
      <w:r w:rsidRPr="00070ADE">
        <w:rPr>
          <w:rFonts w:ascii="Times New Roman" w:hAnsi="Times New Roman"/>
          <w:color w:val="000000" w:themeColor="text1"/>
          <w:sz w:val="16"/>
          <w:szCs w:val="16"/>
        </w:rPr>
        <w:softHyphen/>
        <w:t>дено улучшение центровки самолета Ил-2 в двухместной ва</w:t>
      </w:r>
      <w:r w:rsidRPr="00070ADE">
        <w:rPr>
          <w:rFonts w:ascii="Times New Roman" w:hAnsi="Times New Roman"/>
          <w:color w:val="000000" w:themeColor="text1"/>
          <w:sz w:val="16"/>
          <w:szCs w:val="16"/>
        </w:rPr>
        <w:softHyphen/>
        <w:t>рианте и исправлено тем самым перемещение центровки са</w:t>
      </w:r>
      <w:r w:rsidRPr="00070ADE">
        <w:rPr>
          <w:rFonts w:ascii="Times New Roman" w:hAnsi="Times New Roman"/>
          <w:color w:val="000000" w:themeColor="text1"/>
          <w:sz w:val="16"/>
          <w:szCs w:val="16"/>
        </w:rPr>
        <w:softHyphen/>
        <w:t>молета Ил-2 назад, получившееся при переходе на двух</w:t>
      </w:r>
      <w:r w:rsidRPr="00070ADE">
        <w:rPr>
          <w:rFonts w:ascii="Times New Roman" w:hAnsi="Times New Roman"/>
          <w:color w:val="000000" w:themeColor="text1"/>
          <w:sz w:val="16"/>
          <w:szCs w:val="16"/>
        </w:rPr>
        <w:softHyphen/>
        <w:t>местный вариант.</w:t>
      </w:r>
    </w:p>
    <w:p w14:paraId="6C7838DA" w14:textId="77777777" w:rsidR="00171DC6" w:rsidRPr="00070ADE" w:rsidRDefault="00171DC6" w:rsidP="00B56F90">
      <w:pPr>
        <w:tabs>
          <w:tab w:val="left" w:pos="95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Обязать Наркомавиапром - т.Шахурина, директора завода № 18 т.Белянского перейти на заводе № 18 на произ</w:t>
      </w:r>
      <w:r w:rsidRPr="00070ADE">
        <w:rPr>
          <w:rFonts w:ascii="Times New Roman" w:hAnsi="Times New Roman"/>
          <w:color w:val="000000" w:themeColor="text1"/>
          <w:sz w:val="16"/>
          <w:szCs w:val="16"/>
        </w:rPr>
        <w:softHyphen/>
        <w:t>водство самолетов Ил-2 с крыльями стрельчатой конструк</w:t>
      </w:r>
      <w:r w:rsidRPr="00070ADE">
        <w:rPr>
          <w:rFonts w:ascii="Times New Roman" w:hAnsi="Times New Roman"/>
          <w:color w:val="000000" w:themeColor="text1"/>
          <w:sz w:val="16"/>
          <w:szCs w:val="16"/>
        </w:rPr>
        <w:softHyphen/>
        <w:t>ции. Полный переход на производство оамолетов Ил-2 с крыльями стрельчатой конструкции осуществить до 15 ап</w:t>
      </w:r>
      <w:r w:rsidRPr="00070ADE">
        <w:rPr>
          <w:rFonts w:ascii="Times New Roman" w:hAnsi="Times New Roman"/>
          <w:color w:val="000000" w:themeColor="text1"/>
          <w:sz w:val="16"/>
          <w:szCs w:val="16"/>
        </w:rPr>
        <w:softHyphen/>
        <w:t>реля с.г., без снижения достигнутого уровня выпуска са</w:t>
      </w:r>
      <w:r w:rsidRPr="00070ADE">
        <w:rPr>
          <w:rFonts w:ascii="Times New Roman" w:hAnsi="Times New Roman"/>
          <w:color w:val="000000" w:themeColor="text1"/>
          <w:sz w:val="16"/>
          <w:szCs w:val="16"/>
        </w:rPr>
        <w:softHyphen/>
        <w:t>молетов.</w:t>
      </w:r>
    </w:p>
    <w:p w14:paraId="5B29FAB4" w14:textId="77777777" w:rsidR="00171DC6" w:rsidRPr="00070ADE" w:rsidRDefault="00171DC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Обязать Наркомавиапром - т. Шахурина, директора завода 1 т.Третьякова и директора завода 30 т.Смир</w:t>
      </w:r>
      <w:r w:rsidRPr="00070ADE">
        <w:rPr>
          <w:rFonts w:ascii="Times New Roman" w:hAnsi="Times New Roman"/>
          <w:color w:val="000000" w:themeColor="text1"/>
          <w:sz w:val="16"/>
          <w:szCs w:val="16"/>
        </w:rPr>
        <w:softHyphen/>
        <w:t>нова перейти на заводах №№ 1 и 30 на производство само</w:t>
      </w:r>
      <w:r w:rsidRPr="00070ADE">
        <w:rPr>
          <w:rFonts w:ascii="Times New Roman" w:hAnsi="Times New Roman"/>
          <w:color w:val="000000" w:themeColor="text1"/>
          <w:sz w:val="16"/>
          <w:szCs w:val="16"/>
        </w:rPr>
        <w:softHyphen/>
        <w:t>летов Ил-2 с металлическими крыльями стрельчатой конструкции. Полный переход на производство самолетов Ил-2 с металлическими крыльями стрельчатой конструкции осу</w:t>
      </w:r>
      <w:r w:rsidRPr="00070ADE">
        <w:rPr>
          <w:rFonts w:ascii="Times New Roman" w:hAnsi="Times New Roman"/>
          <w:color w:val="000000" w:themeColor="text1"/>
          <w:sz w:val="16"/>
          <w:szCs w:val="16"/>
        </w:rPr>
        <w:softHyphen/>
        <w:t>ществить до 15 мая с.г. без снижения достигнутого уров</w:t>
      </w:r>
      <w:r w:rsidRPr="00070ADE">
        <w:rPr>
          <w:rFonts w:ascii="Times New Roman" w:hAnsi="Times New Roman"/>
          <w:color w:val="000000" w:themeColor="text1"/>
          <w:sz w:val="16"/>
          <w:szCs w:val="16"/>
        </w:rPr>
        <w:softHyphen/>
        <w:t>ня выпуска самолетов (19438).</w:t>
      </w:r>
    </w:p>
    <w:p w14:paraId="7483C0CD" w14:textId="77777777" w:rsidR="00171DC6" w:rsidRPr="00070ADE" w:rsidRDefault="00171DC6" w:rsidP="00B56F90">
      <w:pPr>
        <w:autoSpaceDE w:val="0"/>
        <w:autoSpaceDN w:val="0"/>
        <w:adjustRightInd w:val="0"/>
        <w:spacing w:after="0" w:line="240" w:lineRule="auto"/>
        <w:jc w:val="both"/>
        <w:rPr>
          <w:rFonts w:ascii="Times New Roman" w:hAnsi="Times New Roman"/>
          <w:color w:val="000000" w:themeColor="text1"/>
          <w:sz w:val="16"/>
          <w:szCs w:val="16"/>
        </w:rPr>
      </w:pPr>
    </w:p>
    <w:p w14:paraId="7D886A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вышло постановление ГКО N 4976сс, отметившее, что гос. испытания самолета Ил-2 со стрельчатой конструкцией консолей крыла подтвердили улучшение центровки самолета Ил-2 в двухместном варианте и исправлено тем самым перемещение центровки самолета Ил-2 назад, получившееся при переходе на двухместный вариант.</w:t>
      </w:r>
    </w:p>
    <w:p w14:paraId="756B0F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2F9830" w14:textId="77777777" w:rsidR="00292637" w:rsidRPr="00070ADE" w:rsidRDefault="00292637" w:rsidP="00B56F90">
      <w:pPr>
        <w:pStyle w:val="184"/>
        <w:shd w:val="clear" w:color="auto" w:fill="auto"/>
        <w:spacing w:before="0" w:after="0" w:line="240" w:lineRule="auto"/>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18 января 1944 г. вышло по</w:t>
      </w:r>
      <w:r w:rsidRPr="00070ADE">
        <w:rPr>
          <w:rFonts w:ascii="Times New Roman" w:hAnsi="Times New Roman" w:cs="Times New Roman"/>
          <w:color w:val="000000" w:themeColor="text1"/>
          <w:sz w:val="16"/>
          <w:szCs w:val="16"/>
        </w:rPr>
        <w:softHyphen/>
        <w:t>становление ГКО, согласно которому все три авиазавода к началу лета должны были полностью перейти на выпуск Ил-2 с металлическим крылом «со стрелкой»: завод №18 - до 15 апреля, а 1-й и 30-й авиазаводы - до 15 мая. При этом сни</w:t>
      </w:r>
      <w:r w:rsidRPr="00070ADE">
        <w:rPr>
          <w:rFonts w:ascii="Times New Roman" w:hAnsi="Times New Roman" w:cs="Times New Roman"/>
          <w:color w:val="000000" w:themeColor="text1"/>
          <w:sz w:val="16"/>
          <w:szCs w:val="16"/>
        </w:rPr>
        <w:softHyphen/>
        <w:t>жать достигнутый уровень производства самолетов запрещалось. Соответствую</w:t>
      </w:r>
      <w:r w:rsidRPr="00070ADE">
        <w:rPr>
          <w:rFonts w:ascii="Times New Roman" w:hAnsi="Times New Roman" w:cs="Times New Roman"/>
          <w:color w:val="000000" w:themeColor="text1"/>
          <w:sz w:val="16"/>
          <w:szCs w:val="16"/>
        </w:rPr>
        <w:softHyphen/>
        <w:t>щий приказ НКАП был подписан на сле</w:t>
      </w:r>
      <w:r w:rsidRPr="00070ADE">
        <w:rPr>
          <w:rFonts w:ascii="Times New Roman" w:hAnsi="Times New Roman" w:cs="Times New Roman"/>
          <w:color w:val="000000" w:themeColor="text1"/>
          <w:sz w:val="16"/>
          <w:szCs w:val="16"/>
        </w:rPr>
        <w:softHyphen/>
        <w:t>дующий день (19558).</w:t>
      </w:r>
    </w:p>
    <w:p w14:paraId="67EE3C62" w14:textId="77777777" w:rsidR="00292637" w:rsidRPr="00070ADE" w:rsidRDefault="00292637" w:rsidP="00B56F90">
      <w:pPr>
        <w:pStyle w:val="184"/>
        <w:shd w:val="clear" w:color="auto" w:fill="auto"/>
        <w:spacing w:before="0" w:after="0" w:line="240" w:lineRule="auto"/>
        <w:rPr>
          <w:rFonts w:ascii="Times New Roman" w:hAnsi="Times New Roman" w:cs="Times New Roman"/>
          <w:color w:val="000000" w:themeColor="text1"/>
          <w:sz w:val="16"/>
          <w:szCs w:val="16"/>
        </w:rPr>
      </w:pPr>
    </w:p>
    <w:p w14:paraId="398F58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г. Поста</w:t>
      </w:r>
      <w:r w:rsidRPr="00070ADE">
        <w:rPr>
          <w:rFonts w:ascii="Times New Roman" w:hAnsi="Times New Roman"/>
          <w:color w:val="000000" w:themeColor="text1"/>
          <w:sz w:val="16"/>
          <w:szCs w:val="16"/>
        </w:rPr>
        <w:softHyphen/>
        <w:t>новлением ГКО № 4976 авиазаводы обязывались, в соответствии с от 18 января, к лету 1944 г. полностью перейти на вы</w:t>
      </w:r>
      <w:r w:rsidRPr="00070ADE">
        <w:rPr>
          <w:rFonts w:ascii="Times New Roman" w:hAnsi="Times New Roman"/>
          <w:color w:val="000000" w:themeColor="text1"/>
          <w:sz w:val="16"/>
          <w:szCs w:val="16"/>
        </w:rPr>
        <w:softHyphen/>
        <w:t>пуск Ил-2 с металлическим крылом стрельчатой конструкции (угол стреловидности по передней кромке консолей 15°): завод № 18 - к 15 апреля, а 1-й и 30-й авиазаводы - к 15 мая (6467).</w:t>
      </w:r>
    </w:p>
    <w:p w14:paraId="4B3DBCA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7C315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г. вышло По</w:t>
      </w:r>
      <w:r w:rsidRPr="00070ADE">
        <w:rPr>
          <w:rFonts w:ascii="Times New Roman" w:hAnsi="Times New Roman"/>
          <w:color w:val="000000" w:themeColor="text1"/>
          <w:sz w:val="16"/>
          <w:szCs w:val="16"/>
        </w:rPr>
        <w:softHyphen/>
        <w:t>становление ГОКО, которое обязывало все три авиазавода к началу лета пол</w:t>
      </w:r>
      <w:r w:rsidRPr="00070ADE">
        <w:rPr>
          <w:rFonts w:ascii="Times New Roman" w:hAnsi="Times New Roman"/>
          <w:color w:val="000000" w:themeColor="text1"/>
          <w:sz w:val="16"/>
          <w:szCs w:val="16"/>
        </w:rPr>
        <w:softHyphen/>
        <w:t>ностью перейти на выпуск Ил-2 с ме</w:t>
      </w:r>
      <w:r w:rsidRPr="00070ADE">
        <w:rPr>
          <w:rFonts w:ascii="Times New Roman" w:hAnsi="Times New Roman"/>
          <w:color w:val="000000" w:themeColor="text1"/>
          <w:sz w:val="16"/>
          <w:szCs w:val="16"/>
        </w:rPr>
        <w:softHyphen/>
        <w:t>таллическим крылом «со стрелкой» (угол стреловидности по передней кромке консолей 15°): завод № 18 -до 15 апреля, а 1-й и 30-й авиазаводы - до 15 мая. При этом снижать достиг</w:t>
      </w:r>
      <w:r w:rsidRPr="00070ADE">
        <w:rPr>
          <w:rFonts w:ascii="Times New Roman" w:hAnsi="Times New Roman"/>
          <w:color w:val="000000" w:themeColor="text1"/>
          <w:sz w:val="16"/>
          <w:szCs w:val="16"/>
        </w:rPr>
        <w:softHyphen/>
        <w:t>нутый уровень производства самоле</w:t>
      </w:r>
      <w:r w:rsidRPr="00070ADE">
        <w:rPr>
          <w:rFonts w:ascii="Times New Roman" w:hAnsi="Times New Roman"/>
          <w:color w:val="000000" w:themeColor="text1"/>
          <w:sz w:val="16"/>
          <w:szCs w:val="16"/>
        </w:rPr>
        <w:softHyphen/>
        <w:t>тов запрещалось.</w:t>
      </w:r>
    </w:p>
    <w:p w14:paraId="297D66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 ГОКО, помимо уста</w:t>
      </w:r>
      <w:r w:rsidRPr="00070ADE">
        <w:rPr>
          <w:rFonts w:ascii="Times New Roman" w:hAnsi="Times New Roman"/>
          <w:color w:val="000000" w:themeColor="text1"/>
          <w:sz w:val="16"/>
          <w:szCs w:val="16"/>
        </w:rPr>
        <w:softHyphen/>
        <w:t>новления сроков выпуска модифици</w:t>
      </w:r>
      <w:r w:rsidRPr="00070ADE">
        <w:rPr>
          <w:rFonts w:ascii="Times New Roman" w:hAnsi="Times New Roman"/>
          <w:color w:val="000000" w:themeColor="text1"/>
          <w:sz w:val="16"/>
          <w:szCs w:val="16"/>
        </w:rPr>
        <w:softHyphen/>
        <w:t>рованных Ил-2 и повышения ответ</w:t>
      </w:r>
      <w:r w:rsidRPr="00070ADE">
        <w:rPr>
          <w:rFonts w:ascii="Times New Roman" w:hAnsi="Times New Roman"/>
          <w:color w:val="000000" w:themeColor="text1"/>
          <w:sz w:val="16"/>
          <w:szCs w:val="16"/>
        </w:rPr>
        <w:softHyphen/>
        <w:t>ственности руководства авиазаводов, давало наркомату авиапромышленно</w:t>
      </w:r>
      <w:r w:rsidRPr="00070ADE">
        <w:rPr>
          <w:rFonts w:ascii="Times New Roman" w:hAnsi="Times New Roman"/>
          <w:color w:val="000000" w:themeColor="text1"/>
          <w:sz w:val="16"/>
          <w:szCs w:val="16"/>
        </w:rPr>
        <w:softHyphen/>
        <w:t>сти и определенные преимущества при решении ряда вопросов материально-технического снабжения авиазаводов.</w:t>
      </w:r>
    </w:p>
    <w:p w14:paraId="4ADA56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Внедрение в серийное производ</w:t>
      </w:r>
      <w:r w:rsidRPr="00070ADE">
        <w:rPr>
          <w:rFonts w:ascii="Times New Roman" w:hAnsi="Times New Roman"/>
          <w:color w:val="000000" w:themeColor="text1"/>
          <w:sz w:val="16"/>
          <w:szCs w:val="16"/>
        </w:rPr>
        <w:softHyphen/>
        <w:t xml:space="preserve">ство Ил-2 с новым крылом все же шло «со </w:t>
      </w:r>
      <w:r w:rsidRPr="00070ADE">
        <w:rPr>
          <w:rFonts w:ascii="Times New Roman" w:hAnsi="Times New Roman"/>
          <w:iCs/>
          <w:color w:val="000000" w:themeColor="text1"/>
          <w:sz w:val="16"/>
          <w:szCs w:val="16"/>
        </w:rPr>
        <w:t>скрипом». К 1 апреля «завод № 1 сдал по сборке 20 самолетов, завод № 18-4 самолета, завод № 30 - 22 само</w:t>
      </w:r>
      <w:r w:rsidRPr="00070ADE">
        <w:rPr>
          <w:rFonts w:ascii="Times New Roman" w:hAnsi="Times New Roman"/>
          <w:iCs/>
          <w:color w:val="000000" w:themeColor="text1"/>
          <w:sz w:val="16"/>
          <w:szCs w:val="16"/>
        </w:rPr>
        <w:softHyphen/>
        <w:t xml:space="preserve">лета». </w:t>
      </w:r>
      <w:r w:rsidRPr="00070ADE">
        <w:rPr>
          <w:rFonts w:ascii="Times New Roman" w:hAnsi="Times New Roman"/>
          <w:color w:val="000000" w:themeColor="text1"/>
          <w:sz w:val="16"/>
          <w:szCs w:val="16"/>
        </w:rPr>
        <w:t>Возникла, как писал начальник ГУЗ ВВС генерал-лейтенант Н. П. Селез</w:t>
      </w:r>
      <w:r w:rsidRPr="00070ADE">
        <w:rPr>
          <w:rFonts w:ascii="Times New Roman" w:hAnsi="Times New Roman"/>
          <w:color w:val="000000" w:themeColor="text1"/>
          <w:sz w:val="16"/>
          <w:szCs w:val="16"/>
        </w:rPr>
        <w:softHyphen/>
        <w:t xml:space="preserve">нев, </w:t>
      </w:r>
      <w:r w:rsidRPr="00070ADE">
        <w:rPr>
          <w:rFonts w:ascii="Times New Roman" w:hAnsi="Times New Roman"/>
          <w:iCs/>
          <w:color w:val="000000" w:themeColor="text1"/>
          <w:sz w:val="16"/>
          <w:szCs w:val="16"/>
        </w:rPr>
        <w:t xml:space="preserve">«угроза срыва сроков выполнения решения». </w:t>
      </w:r>
      <w:r w:rsidRPr="00070ADE">
        <w:rPr>
          <w:rFonts w:ascii="Times New Roman" w:hAnsi="Times New Roman"/>
          <w:color w:val="000000" w:themeColor="text1"/>
          <w:sz w:val="16"/>
          <w:szCs w:val="16"/>
        </w:rPr>
        <w:t xml:space="preserve">Он требовал срочно </w:t>
      </w:r>
      <w:r w:rsidRPr="00070ADE">
        <w:rPr>
          <w:rFonts w:ascii="Times New Roman" w:hAnsi="Times New Roman"/>
          <w:iCs/>
          <w:color w:val="000000" w:themeColor="text1"/>
          <w:sz w:val="16"/>
          <w:szCs w:val="16"/>
        </w:rPr>
        <w:t>«при</w:t>
      </w:r>
      <w:r w:rsidRPr="00070ADE">
        <w:rPr>
          <w:rFonts w:ascii="Times New Roman" w:hAnsi="Times New Roman"/>
          <w:iCs/>
          <w:color w:val="000000" w:themeColor="text1"/>
          <w:sz w:val="16"/>
          <w:szCs w:val="16"/>
        </w:rPr>
        <w:softHyphen/>
        <w:t>нять меры по разворачиванию произ</w:t>
      </w:r>
      <w:r w:rsidRPr="00070ADE">
        <w:rPr>
          <w:rFonts w:ascii="Times New Roman" w:hAnsi="Times New Roman"/>
          <w:iCs/>
          <w:color w:val="000000" w:themeColor="text1"/>
          <w:sz w:val="16"/>
          <w:szCs w:val="16"/>
        </w:rPr>
        <w:softHyphen/>
        <w:t>водства металлических крыльев стрельчатой конструкции».</w:t>
      </w:r>
    </w:p>
    <w:p w14:paraId="352F3BF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вышло Постановление ГОКО, которое требовало от директо</w:t>
      </w:r>
      <w:r w:rsidRPr="00070ADE">
        <w:rPr>
          <w:rFonts w:ascii="Times New Roman" w:hAnsi="Times New Roman"/>
          <w:color w:val="000000" w:themeColor="text1"/>
          <w:sz w:val="16"/>
          <w:szCs w:val="16"/>
        </w:rPr>
        <w:softHyphen/>
        <w:t>ров авиазаводов № 1 и 30 ускорить внедрение в серийное производство штурмовиков Ил-2 с металлическим крылом «стрельчатой конструкции».</w:t>
      </w:r>
    </w:p>
    <w:p w14:paraId="701C76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«Послабление» в отношении 18-го авиазавода объясняется следующим образом. Дело в том, что 30 марта бри</w:t>
      </w:r>
      <w:r w:rsidRPr="00070ADE">
        <w:rPr>
          <w:rFonts w:ascii="Times New Roman" w:hAnsi="Times New Roman"/>
          <w:color w:val="000000" w:themeColor="text1"/>
          <w:sz w:val="16"/>
          <w:szCs w:val="16"/>
        </w:rPr>
        <w:softHyphen/>
        <w:t>гада испытателей НИИ ВВС рапортова</w:t>
      </w:r>
      <w:r w:rsidRPr="00070ADE">
        <w:rPr>
          <w:rFonts w:ascii="Times New Roman" w:hAnsi="Times New Roman"/>
          <w:color w:val="000000" w:themeColor="text1"/>
          <w:sz w:val="16"/>
          <w:szCs w:val="16"/>
        </w:rPr>
        <w:softHyphen/>
        <w:t>ла руководству об успешном заверше</w:t>
      </w:r>
      <w:r w:rsidRPr="00070ADE">
        <w:rPr>
          <w:rFonts w:ascii="Times New Roman" w:hAnsi="Times New Roman"/>
          <w:color w:val="000000" w:themeColor="text1"/>
          <w:sz w:val="16"/>
          <w:szCs w:val="16"/>
        </w:rPr>
        <w:softHyphen/>
        <w:t>нии государственных летных испыта</w:t>
      </w:r>
      <w:r w:rsidRPr="00070ADE">
        <w:rPr>
          <w:rFonts w:ascii="Times New Roman" w:hAnsi="Times New Roman"/>
          <w:color w:val="000000" w:themeColor="text1"/>
          <w:sz w:val="16"/>
          <w:szCs w:val="16"/>
        </w:rPr>
        <w:softHyphen/>
        <w:t>ний опытного штурмовика Ил-8 АМ-42 с более высокими, чем у Ил-2, летными данными. Самолет имел много общего с Ил-2, и в случае внедрения его в мас</w:t>
      </w:r>
      <w:r w:rsidRPr="00070ADE">
        <w:rPr>
          <w:rFonts w:ascii="Times New Roman" w:hAnsi="Times New Roman"/>
          <w:color w:val="000000" w:themeColor="text1"/>
          <w:sz w:val="16"/>
          <w:szCs w:val="16"/>
        </w:rPr>
        <w:softHyphen/>
        <w:t>совое производство можно было ис</w:t>
      </w:r>
      <w:r w:rsidRPr="00070ADE">
        <w:rPr>
          <w:rFonts w:ascii="Times New Roman" w:hAnsi="Times New Roman"/>
          <w:color w:val="000000" w:themeColor="text1"/>
          <w:sz w:val="16"/>
          <w:szCs w:val="16"/>
        </w:rPr>
        <w:softHyphen/>
        <w:t>пользовать те же конвейеры и боль</w:t>
      </w:r>
      <w:r w:rsidRPr="00070ADE">
        <w:rPr>
          <w:rFonts w:ascii="Times New Roman" w:hAnsi="Times New Roman"/>
          <w:color w:val="000000" w:themeColor="text1"/>
          <w:sz w:val="16"/>
          <w:szCs w:val="16"/>
        </w:rPr>
        <w:softHyphen/>
        <w:t>шую часть имеющейся оснастки. По этой причине наркомат авиапромыш</w:t>
      </w:r>
      <w:r w:rsidRPr="00070ADE">
        <w:rPr>
          <w:rFonts w:ascii="Times New Roman" w:hAnsi="Times New Roman"/>
          <w:color w:val="000000" w:themeColor="text1"/>
          <w:sz w:val="16"/>
          <w:szCs w:val="16"/>
        </w:rPr>
        <w:softHyphen/>
        <w:t>ленности вынашивал планы перевода производства авиазавода № 18 на се</w:t>
      </w:r>
      <w:r w:rsidRPr="00070ADE">
        <w:rPr>
          <w:rFonts w:ascii="Times New Roman" w:hAnsi="Times New Roman"/>
          <w:color w:val="000000" w:themeColor="text1"/>
          <w:sz w:val="16"/>
          <w:szCs w:val="16"/>
        </w:rPr>
        <w:softHyphen/>
        <w:t>рийный выпуск Ил-8 уже с лета 1944 г., а авиазаводов № 1 и № 30 - в первом полугодии следующего года. Кроме этого, на завершающей стадии заводс</w:t>
      </w:r>
      <w:r w:rsidRPr="00070ADE">
        <w:rPr>
          <w:rFonts w:ascii="Times New Roman" w:hAnsi="Times New Roman"/>
          <w:color w:val="000000" w:themeColor="text1"/>
          <w:sz w:val="16"/>
          <w:szCs w:val="16"/>
        </w:rPr>
        <w:softHyphen/>
        <w:t>ких испытаний находился опытный штурмовик ОКБ П. 0. Сухого Су-б, кото</w:t>
      </w:r>
      <w:r w:rsidRPr="00070ADE">
        <w:rPr>
          <w:rFonts w:ascii="Times New Roman" w:hAnsi="Times New Roman"/>
          <w:color w:val="000000" w:themeColor="text1"/>
          <w:sz w:val="16"/>
          <w:szCs w:val="16"/>
        </w:rPr>
        <w:softHyphen/>
        <w:t>рый лучше подходил для боя, чем Ил-8. На подходе был еще один опытный штурмовик-Ил-10 АМ-42. Учитывая эти обстоятельства, было решено с форси</w:t>
      </w:r>
      <w:r w:rsidRPr="00070ADE">
        <w:rPr>
          <w:rFonts w:ascii="Times New Roman" w:hAnsi="Times New Roman"/>
          <w:color w:val="000000" w:themeColor="text1"/>
          <w:sz w:val="16"/>
          <w:szCs w:val="16"/>
        </w:rPr>
        <w:softHyphen/>
        <w:t>рованием выпуска модифицированно</w:t>
      </w:r>
      <w:r w:rsidRPr="00070ADE">
        <w:rPr>
          <w:rFonts w:ascii="Times New Roman" w:hAnsi="Times New Roman"/>
          <w:color w:val="000000" w:themeColor="text1"/>
          <w:sz w:val="16"/>
          <w:szCs w:val="16"/>
        </w:rPr>
        <w:softHyphen/>
        <w:t>го Ил-2 на 18-м авиазаводе подождать до тех пор, пока не станет ясно, какой из трех опытных штурмовиков будет поставлен на вооружение ВВС.</w:t>
      </w:r>
    </w:p>
    <w:p w14:paraId="0EF366A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Авиазавод № 18 вышел на плано</w:t>
      </w:r>
      <w:r w:rsidRPr="00070ADE">
        <w:rPr>
          <w:rFonts w:ascii="Times New Roman" w:hAnsi="Times New Roman"/>
          <w:color w:val="000000" w:themeColor="text1"/>
          <w:sz w:val="16"/>
          <w:szCs w:val="16"/>
        </w:rPr>
        <w:softHyphen/>
        <w:t>вый уровень производства самолетов Ил-2 с металлическим крылом «стрель</w:t>
      </w:r>
      <w:r w:rsidRPr="00070ADE">
        <w:rPr>
          <w:rFonts w:ascii="Times New Roman" w:hAnsi="Times New Roman"/>
          <w:color w:val="000000" w:themeColor="text1"/>
          <w:sz w:val="16"/>
          <w:szCs w:val="16"/>
        </w:rPr>
        <w:softHyphen/>
        <w:t>чатой конструкции» лишь к июню, а 1-й и 30-й заводы - к сентябрю 1944 г. В общей сложности к концу года в стро</w:t>
      </w:r>
      <w:r w:rsidRPr="00070ADE">
        <w:rPr>
          <w:rFonts w:ascii="Times New Roman" w:hAnsi="Times New Roman"/>
          <w:color w:val="000000" w:themeColor="text1"/>
          <w:sz w:val="16"/>
          <w:szCs w:val="16"/>
        </w:rPr>
        <w:softHyphen/>
        <w:t xml:space="preserve">евые части ВВС было отправлено 7377 Ил-2 </w:t>
      </w:r>
      <w:r w:rsidRPr="00070ADE">
        <w:rPr>
          <w:rFonts w:ascii="Times New Roman" w:hAnsi="Times New Roman"/>
          <w:iCs/>
          <w:color w:val="000000" w:themeColor="text1"/>
          <w:sz w:val="16"/>
          <w:szCs w:val="16"/>
        </w:rPr>
        <w:t xml:space="preserve">«крыло со стрелкой». </w:t>
      </w:r>
      <w:r w:rsidRPr="00070ADE">
        <w:rPr>
          <w:rFonts w:ascii="Times New Roman" w:hAnsi="Times New Roman"/>
          <w:color w:val="000000" w:themeColor="text1"/>
          <w:sz w:val="16"/>
          <w:szCs w:val="16"/>
        </w:rPr>
        <w:t>При этом авиазаводы № 1 и № 30 выпускали са</w:t>
      </w:r>
      <w:r w:rsidRPr="00070ADE">
        <w:rPr>
          <w:rFonts w:ascii="Times New Roman" w:hAnsi="Times New Roman"/>
          <w:color w:val="000000" w:themeColor="text1"/>
          <w:sz w:val="16"/>
          <w:szCs w:val="16"/>
        </w:rPr>
        <w:softHyphen/>
        <w:t>молеты и с металлическим, и с дере</w:t>
      </w:r>
      <w:r w:rsidRPr="00070ADE">
        <w:rPr>
          <w:rFonts w:ascii="Times New Roman" w:hAnsi="Times New Roman"/>
          <w:color w:val="000000" w:themeColor="text1"/>
          <w:sz w:val="16"/>
          <w:szCs w:val="16"/>
        </w:rPr>
        <w:softHyphen/>
        <w:t>вянным крылом. Все самолеты имели «стандартное» для 1944 г. наступатель</w:t>
      </w:r>
      <w:r w:rsidRPr="00070ADE">
        <w:rPr>
          <w:rFonts w:ascii="Times New Roman" w:hAnsi="Times New Roman"/>
          <w:color w:val="000000" w:themeColor="text1"/>
          <w:sz w:val="16"/>
          <w:szCs w:val="16"/>
        </w:rPr>
        <w:softHyphen/>
        <w:t>ное вооружение: пушки ВЯ, пулеметы ШКАС, «эрэсы» и бомбы (11215).</w:t>
      </w:r>
    </w:p>
    <w:p w14:paraId="2AB6DA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F02B4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г. вышло Постановление ГКО, которое обязывало все три авиазавода к началу лета полностью перейти на выпуск Ил-2 с металлическим крылом "со стрелкой" (угол стреловидности по передней кромке консолей 15°): завод № 18 - до 15 апреля, а 1-й и 30-й авиазаводы - до 15 мая. При этом снижать достигнутый уровень производства самолетов запрещалось. Соответствующий приказ НКАП был подписан на следующий день.</w:t>
      </w:r>
    </w:p>
    <w:p w14:paraId="6FB8925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Следует отметить, что Постановление ГКО, помимо установления сроков выпуска модифицированных Ил-2 и повышения ответственности руководства авиазаводов, давало наркомату авиапромышленности и определенные преимущества при решении ряда вопросов материально-технического снабжения авиазаводов.</w:t>
      </w:r>
    </w:p>
    <w:p w14:paraId="16D1F34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предпринятые шаги, внедрение в серийное производство Ил-2 с новым крылом все же шло "со скрипом". К 1 апреля "завод № 1 сдал по сборке 20 самолетов, завод № 18 - 4 самолета, завод № 30 - 22 самолета". Возникла, как писал начальник Главного управления заказов ВВС генерал-лейтенант Н. П. Селезнев, "угроза срыва сроков выполнения решения". Он требовал срочно "принять меры по разворачиванию производства металлических крыльев стрельчатой конструкции" (12020).</w:t>
      </w:r>
    </w:p>
    <w:p w14:paraId="0F6E0F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C6504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года гл. конструктор по моторостроению Урмин писал письмо Шахурину и гл. конструктору завода NN 19 и 29 Швецову А.Д.</w:t>
      </w:r>
    </w:p>
    <w:p w14:paraId="1A68D9C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качестве гл. конструктора завода N 29 в период 1940-1943 г.г. мною были проведены и начаты ряд работ и в частности:</w:t>
      </w:r>
    </w:p>
    <w:p w14:paraId="4377F9B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М-95 - трехрядная 27-цилиндровая звезда мощностью 3000 л.с. и выше оригинальной конструктивной схемы, с трехклапанной головкой, двумя спереди расположеннными трехскоростными нагнетателями, вентилятором, коленвалом с двумя демпферами и виброизолятором, со стальным картером и т.д. Данная конструктивная схема применима и к другой размерности цилиндра. Заканчивается компоновка мотора, начата лабораторная отработка элементов.</w:t>
      </w:r>
    </w:p>
    <w:p w14:paraId="6CB2D6F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Треxклапанная головка - упомянутая выше (два клапана всасывания и один клапан выхлопа), раэработанная применительно к размерности диам. 146 мм (3МФ, 4М, М-95) и диам. 155.5 мм (М-84). Проведены лабораторные испытания макетов головок, заканчивается изготовяейие цилиндра ЗМФ.</w:t>
      </w:r>
    </w:p>
    <w:p w14:paraId="23EC94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Агрегат КНВ - карбюратор с непосредствевнным впрыском топлива в полость импеллера нагнетателя через форсунку , регулируемуюконичесйсй иглой. Ход иглы ретулируехся в зависимости от давления, температуры воздуха и оборотов с помощью регулятора РС-2 (но с камерами, герметизированными резиновыми диафрагмами, вместо металлических анероидов) и с помощью центробежного регулятора типа Р-2. Агрегат прошел 50-час. испытания на одноцилиндровом двигателе, отрегулирован на спец. установке и полностью подготовлен для длительных испытаний на моторе. Агрегат запроектирован применительно к моторам М-92, М-95, ЭМФ. Имеется помпоновка установки агрегата на моторах типа М-82.</w:t>
      </w:r>
    </w:p>
    <w:p w14:paraId="460F67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М-89 - развитие мотора М-88, полностью перепороектированный в ноябре 1940 года (новые цилиндровая группа, шатунно-кривошипный механизм, редуктор, картер, нагнетатель, задняя крышка с центрифугой). Мотор в июле 1941 г. прошел гос. стендовые и летные испытания, выпущен заводом в эксплуатацию в количестве 100 единиц.</w:t>
      </w:r>
    </w:p>
    <w:p w14:paraId="5808C9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Модификация мотора М-89.</w:t>
      </w:r>
    </w:p>
    <w:p w14:paraId="6436D1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а) М-89 НВ - с непосредственным впрыском топлива во всасывающий патрубок. Прошел совместные 50-часовые испытания в июле 1941 г.</w:t>
      </w:r>
    </w:p>
    <w:p w14:paraId="26189D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М-89 Б - с данными на 1-й скорости выше на 250 л.с. Прошел внутризаводское 100-часовое испытание в июле 1944 года.</w:t>
      </w:r>
    </w:p>
    <w:p w14:paraId="195ECB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3-МФ - с литым стальным картером, стальными крышками картера, трехклапанной головкой цилиндра, усиленным коленвалом. Мотор заканчивается производством для опытных испытаний. Намечаемые данные - мощность на взлете около 1800 л.с. и соответственный прирост на других высотах.</w:t>
      </w:r>
    </w:p>
    <w:p w14:paraId="64A6815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М-90 - полностью переконструированный в период февраль-апрель 1941 г. (новые цилиндровая группа, редуктор, шатунно-кривошипный механизм, задняя крышка и нагнетатель). В результате проведенных мероприятий без изменения размерностей цилиндров и без повышения числа оборотов и наддува, при уменьшенных размерах клапанов всасывания и выхлопа</w:t>
      </w:r>
    </w:p>
    <w:p w14:paraId="62BC3B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габарит мотора снижен с 1300 до 1286 мм</w:t>
      </w:r>
    </w:p>
    <w:p w14:paraId="6A444C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мощность мотора на взлете повысилась с 1650-1700 л.с.</w:t>
      </w:r>
    </w:p>
    <w:p w14:paraId="5938065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2000 л.с. на госисипытании, т.е. на 300-350 л.с.; на 250-300 на номинале 1-й скорости и на 100 л.с. на номинале 2-й скорости вместе с повышением высотности, примерно, на 500 м.</w:t>
      </w:r>
    </w:p>
    <w:p w14:paraId="555846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августе 1942 г. закончены совместные 50 часовые испытания и в период октябрь-декабрь 1943 г. проведены гос. стендовые 100-часовые испытания, вопрос о зачете которых сейчас решается.</w:t>
      </w:r>
    </w:p>
    <w:p w14:paraId="3686D9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Модификация мотора М-90:</w:t>
      </w:r>
    </w:p>
    <w:p w14:paraId="6E46328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М-92 - с новой трехклапанной головкой и трехскоростным нагнетателем. Ведется изготовление цилиндровой группы и лабораторная отработка элементов мотора.</w:t>
      </w:r>
    </w:p>
    <w:p w14:paraId="160CE16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Возобновление в ноябре 1940 г. серийного выпуска мотора М-88Б с последующим увеличением ресурса работы до 250 часов: начало отработки ресурса в 400 часов.</w:t>
      </w:r>
    </w:p>
    <w:p w14:paraId="072ED7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Ваших указаний о признании за мной в соответствии с существующем в НКАП положением, доли участия в этих работах - в случае их дальнейшего развития (1825,10).</w:t>
      </w:r>
    </w:p>
    <w:p w14:paraId="2B046E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1572D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18 января по 20 апреля 1944 А.Г.Прошаков проводил гос. испытания Як-9У с ВК-107А. Строили серийно с апреля 1944 по август 1945 и сделали 3921 (65,148).</w:t>
      </w:r>
    </w:p>
    <w:p w14:paraId="25E3F6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83D0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года производился отстрел вооружения после доводок установок на Як-9У с ВЯ. Вновь выявлен крупный дефект - деформация взрывателей снарядов ВЯ в патронном рукаве. С 18 января 1944 года по 22 января 1944 года заводом N 115 заменялась передняя верхняя крышка капота мотора, газоотводные трубы (установлены большого диаметра), кронштейны их и несколько изменен патронный рукав ВЯ (1821,34).</w:t>
      </w:r>
    </w:p>
    <w:p w14:paraId="1CDD4E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17D41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18 января по 20 апреля 1944 летчики-испытатели НИИ ВВС 45 раз поднимались на Як-9У в воздух, налетав 22 часа 5 минут. Самолет поступил на испытания в январе с винтом обратной схемы АВ-10П-20, замененным впоследствии ВИШ-107Л5. Ведущими по машине были инженер А.Т. Степанец и летчик А.Г. Прошаков. Самолет облетали Ю.А. Антипов и А.Г. Кубышкин.</w:t>
      </w:r>
    </w:p>
    <w:p w14:paraId="3A2F69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плане НКАП на 1943 год числился Як-9 с двигателем М-107А со следующими данными: максимальная скорость у земли - 580 км/ч, а на высоте 5900 м - 590 км/ч, при посадочной - 147 км/ч; время виража на высоте 1000 м - 18 секунд и практический потолок - 11 500 м. Его вооружение ограничивалось 20-миллиметровой пушкой с боезапасом 120 патронов и пулеметом калибром 12,7 мм с 200 патронами. На государственные испытания машину предписывалось передать к 15 июня 1943 г. Однако из-за трудностей с доводкой двигателя создание этого истребителя затянулось.</w:t>
      </w:r>
    </w:p>
    <w:p w14:paraId="47FA4D8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 с мотором ВК-107А построили в соответствие декабрьским 1943 года постановлением ГКО на базе пушечного Як-9Т. При этом заимствовали ряд технических решений с истребителя Як-3 с двигателем ВК-105ПФ.</w:t>
      </w:r>
    </w:p>
    <w:p w14:paraId="687C805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тому времени ВК-107А прошел 100-часовые стендовые испытания и развивал мощность 1650 л.с. на первой границе высотности (1800 м) и 1500 л.с. на 4500 м (вторая граница высотности). Новый двигатель потребовал изменения конструкции подмо- торной рамы и фермы крепления оружия из-за установки второго пулемета (на Як-9Т устанавливали 37-миллиметровую пушку и пулемет БС). Вооружение Як-9У с двигателем ВК-107А состояло из мотор-пушки МП-20 и двух синхронных пулеметов УБС.</w:t>
      </w:r>
    </w:p>
    <w:p w14:paraId="0B547D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предшественником, на новой машине установили маслорадиатор с большей теплоотдачей и перенесли его в центроплан крыла по типу Як-3. При этом укоротили трубки водорадиатора и улучшили внешние и внутренние обводы его тоннеля.</w:t>
      </w:r>
    </w:p>
    <w:p w14:paraId="434EF1D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Тогда же доработали нижнюю панель фюзеляжа между вторым и четвертым шпангоутами из-за размещения нового водорадиатора и вала ручного управления машиной, смонтированного на каркасе фюзеляжа.</w:t>
      </w:r>
    </w:p>
    <w:p w14:paraId="46A141F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фонаре кабины пилота появился механизм аварийного сброса его сдвижной части, а с козырька сняли лобовое бронестекло, сделав его более обтекаемым из гнутого плексигласа. Но, как выяснилось позже, снижение аэродинамического сопротивления фонаря сильно исказило изображение передней полусферы.</w:t>
      </w:r>
    </w:p>
    <w:p w14:paraId="336D622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Убрали подлокотники для летчика, оказавшиеся лишними в непродолжительном полете и утяжелявшие истребитель. От Як-3 так же заимствовали бронеспинку, заголовник из прозрачной брони, надголовник и полуавтоматический стопор костыльной опоры.</w:t>
      </w:r>
    </w:p>
    <w:p w14:paraId="065C14F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семилитровых воздушных баллона заменили одним - объемом восемь литров. Сняли грузы весовой компенсации элеронов и на 200 мм увеличили размах аэродинамического компенсатора руля высоты.</w:t>
      </w:r>
    </w:p>
    <w:p w14:paraId="159D1F8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известно различные щели в планере приводят не только к задуванию кабины, но и к увеличению аэродинамического сопротивления. В связи с этим, заделали щели (герметизировали) в противопожарной перегородке, крыле, кабине, хвостовой части фюзеляжа, отсеках бензобаков и в тоннеле маслорадиатора.</w:t>
      </w:r>
    </w:p>
    <w:p w14:paraId="47D0133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Полотняными перегородками закрыли щели между крылом и элеронами, что исключило перетекание воздуха и, как следствие, улучшило аэродинамику машины. Также отполировали передние кромки крыла, оперения и носовой части капота мотора.</w:t>
      </w:r>
    </w:p>
    <w:p w14:paraId="147D87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своих выводах специалисты института отмечали, в частности, что опытный Як-9У с ВК-107А по максимальной скорости горизонтального полета, скороподъемности и вертикальной маневренности в диапазоне высот до 6000 м является лучшим из известных отечественных и иностранных истребителей.</w:t>
      </w:r>
    </w:p>
    <w:p w14:paraId="2EC27DF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горизонтального полета на боевом режиме составляла: у земли (на высоте 5000 м) 600 км/ч (690 км/ч), что больше, чем у трехточечного Me-109G-2 на 76 км/ч (80 км/ч), у FW-190A-4 - на 90 км/ч (102 км/ч), Як-9Т - на 67 км/ч (105 км/ч), Як-9У эталона 1944 года - на 42 км/ч (75 км/ч), Як-3 "Дублера" - на 30 км/ч (42 км/ч) и Ла-7 эталона 1944 года - на 29 км/ч.</w:t>
      </w:r>
    </w:p>
    <w:p w14:paraId="7667BDE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 м на боевом режиме не превышало 4,1 минуты, что было почти как у Як-3 "Дублер" и меньше на 0,3 минуты, по сравнению с трехточечным Ме- 109G-2. Дольше набирали эту высоту FW190A-4 - на 2,7 минуты, Як-9Т - на 1,4 минуты, Як-9У с мотором М-105ПФ - на 0,7 минуты и Ла-7 - на 0,35 минуты. Последние две машины стали эталонами 1944 г.</w:t>
      </w:r>
    </w:p>
    <w:p w14:paraId="04EE32B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двигателя ВК-107А не усложнила технику пилотирования. Самолет оставался простым в управлении и доступным для летчиков средней квалификации.</w:t>
      </w:r>
    </w:p>
    <w:p w14:paraId="411BAB6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Заказчик посчитал бронезашиту летчика недостаточной и не отвечавшей, предъявлявшимся к ней требованиям. Военные испытатели отметили и отсутствие зеркала, что затрудняло обзор задней полусферы.</w:t>
      </w:r>
    </w:p>
    <w:p w14:paraId="5D8B9F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заключение "Акта по результатам государственных испытаний..." отмечалось: "Для быстрейшей доводки и ввода в строй Як-9У необходимо срочно провести войсковые и эксплуатационные испытания самолета..." (12046).</w:t>
      </w:r>
    </w:p>
    <w:p w14:paraId="506C3E9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данные унифицированных истребителей Як-9У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4D4663" w:rsidRPr="00070ADE" w14:paraId="009F353B" w14:textId="77777777">
        <w:tc>
          <w:tcPr>
            <w:tcW w:w="1868" w:type="dxa"/>
            <w:tcBorders>
              <w:top w:val="single" w:sz="12" w:space="0" w:color="auto"/>
            </w:tcBorders>
          </w:tcPr>
          <w:p w14:paraId="63AA28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w:t>
            </w:r>
          </w:p>
        </w:tc>
        <w:tc>
          <w:tcPr>
            <w:tcW w:w="1868" w:type="dxa"/>
            <w:tcBorders>
              <w:top w:val="single" w:sz="12" w:space="0" w:color="auto"/>
            </w:tcBorders>
          </w:tcPr>
          <w:p w14:paraId="11DA19E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772152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w:t>
            </w:r>
          </w:p>
        </w:tc>
        <w:tc>
          <w:tcPr>
            <w:tcW w:w="1868" w:type="dxa"/>
            <w:tcBorders>
              <w:top w:val="single" w:sz="12" w:space="0" w:color="auto"/>
            </w:tcBorders>
          </w:tcPr>
          <w:p w14:paraId="54720A5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3603884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ЯК-9УТ</w:t>
            </w:r>
          </w:p>
        </w:tc>
        <w:tc>
          <w:tcPr>
            <w:tcW w:w="1868" w:type="dxa"/>
            <w:tcBorders>
              <w:top w:val="single" w:sz="12" w:space="0" w:color="auto"/>
            </w:tcBorders>
          </w:tcPr>
          <w:p w14:paraId="4090732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ЯК-9УВ</w:t>
            </w:r>
          </w:p>
        </w:tc>
      </w:tr>
      <w:tr w:rsidR="004D4663" w:rsidRPr="00070ADE" w14:paraId="2E7AED9A" w14:textId="77777777">
        <w:tc>
          <w:tcPr>
            <w:tcW w:w="1868" w:type="dxa"/>
          </w:tcPr>
          <w:p w14:paraId="76C9CE8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70516C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948319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 г.</w:t>
            </w:r>
          </w:p>
        </w:tc>
        <w:tc>
          <w:tcPr>
            <w:tcW w:w="1868" w:type="dxa"/>
          </w:tcPr>
          <w:p w14:paraId="41A3C23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25E15E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40-022</w:t>
            </w:r>
          </w:p>
        </w:tc>
        <w:tc>
          <w:tcPr>
            <w:tcW w:w="1868" w:type="dxa"/>
          </w:tcPr>
          <w:p w14:paraId="2E7A8CD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09187C6" w14:textId="77777777">
        <w:tc>
          <w:tcPr>
            <w:tcW w:w="1868" w:type="dxa"/>
          </w:tcPr>
          <w:p w14:paraId="3CF9F5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w:t>
            </w:r>
          </w:p>
        </w:tc>
        <w:tc>
          <w:tcPr>
            <w:tcW w:w="1868" w:type="dxa"/>
          </w:tcPr>
          <w:p w14:paraId="5C455CD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C06E52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М-105ПФ21</w:t>
            </w:r>
          </w:p>
        </w:tc>
        <w:tc>
          <w:tcPr>
            <w:tcW w:w="1868" w:type="dxa"/>
          </w:tcPr>
          <w:p w14:paraId="5F92664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ВК-107А</w:t>
            </w:r>
          </w:p>
        </w:tc>
        <w:tc>
          <w:tcPr>
            <w:tcW w:w="1868" w:type="dxa"/>
          </w:tcPr>
          <w:p w14:paraId="0E6AB2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ВК-107А</w:t>
            </w:r>
          </w:p>
        </w:tc>
        <w:tc>
          <w:tcPr>
            <w:tcW w:w="1868" w:type="dxa"/>
          </w:tcPr>
          <w:p w14:paraId="2E5DD3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C693BE5" w14:textId="77777777">
        <w:tc>
          <w:tcPr>
            <w:tcW w:w="1868" w:type="dxa"/>
          </w:tcPr>
          <w:p w14:paraId="4A12B0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Размах крыла, м</w:t>
            </w:r>
          </w:p>
        </w:tc>
        <w:tc>
          <w:tcPr>
            <w:tcW w:w="1868" w:type="dxa"/>
          </w:tcPr>
          <w:p w14:paraId="49F751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FF724F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c>
          <w:tcPr>
            <w:tcW w:w="1868" w:type="dxa"/>
          </w:tcPr>
          <w:p w14:paraId="37519C0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0DA936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c>
          <w:tcPr>
            <w:tcW w:w="1868" w:type="dxa"/>
          </w:tcPr>
          <w:p w14:paraId="6C55A35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r>
      <w:tr w:rsidR="004D4663" w:rsidRPr="00070ADE" w14:paraId="39576904" w14:textId="77777777">
        <w:tc>
          <w:tcPr>
            <w:tcW w:w="1868" w:type="dxa"/>
          </w:tcPr>
          <w:p w14:paraId="5C2B85A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м</w:t>
            </w:r>
          </w:p>
        </w:tc>
        <w:tc>
          <w:tcPr>
            <w:tcW w:w="1868" w:type="dxa"/>
          </w:tcPr>
          <w:p w14:paraId="0CB319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DEFE2E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w:t>
            </w:r>
          </w:p>
        </w:tc>
        <w:tc>
          <w:tcPr>
            <w:tcW w:w="1868" w:type="dxa"/>
          </w:tcPr>
          <w:p w14:paraId="06E0469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50172D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8,55</w:t>
            </w:r>
          </w:p>
        </w:tc>
        <w:tc>
          <w:tcPr>
            <w:tcW w:w="1868" w:type="dxa"/>
          </w:tcPr>
          <w:p w14:paraId="03A057D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8,55</w:t>
            </w:r>
          </w:p>
        </w:tc>
      </w:tr>
      <w:tr w:rsidR="004D4663" w:rsidRPr="00070ADE" w14:paraId="7C1C8051" w14:textId="77777777">
        <w:tc>
          <w:tcPr>
            <w:tcW w:w="1868" w:type="dxa"/>
          </w:tcPr>
          <w:p w14:paraId="69648CF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Площадь крыла, мг</w:t>
            </w:r>
          </w:p>
        </w:tc>
        <w:tc>
          <w:tcPr>
            <w:tcW w:w="1868" w:type="dxa"/>
          </w:tcPr>
          <w:p w14:paraId="51813A7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5AC094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c>
          <w:tcPr>
            <w:tcW w:w="1868" w:type="dxa"/>
          </w:tcPr>
          <w:p w14:paraId="13EC7E7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2BBC83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c>
          <w:tcPr>
            <w:tcW w:w="1868" w:type="dxa"/>
          </w:tcPr>
          <w:p w14:paraId="28FC8F9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r>
      <w:tr w:rsidR="004D4663" w:rsidRPr="00070ADE" w14:paraId="2DA58BCD" w14:textId="77777777">
        <w:tc>
          <w:tcPr>
            <w:tcW w:w="1868" w:type="dxa"/>
          </w:tcPr>
          <w:p w14:paraId="6C73B10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Взлетный вес, кг</w:t>
            </w:r>
          </w:p>
        </w:tc>
        <w:tc>
          <w:tcPr>
            <w:tcW w:w="1868" w:type="dxa"/>
          </w:tcPr>
          <w:p w14:paraId="2D5BB22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1CEAD8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0E3FDB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5884D7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911743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B847EFC" w14:textId="77777777">
        <w:tc>
          <w:tcPr>
            <w:tcW w:w="1868" w:type="dxa"/>
          </w:tcPr>
          <w:p w14:paraId="42F0F52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w:t>
            </w:r>
          </w:p>
        </w:tc>
        <w:tc>
          <w:tcPr>
            <w:tcW w:w="1868" w:type="dxa"/>
          </w:tcPr>
          <w:p w14:paraId="30F92C5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227ADC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2900</w:t>
            </w:r>
          </w:p>
        </w:tc>
        <w:tc>
          <w:tcPr>
            <w:tcW w:w="1868" w:type="dxa"/>
          </w:tcPr>
          <w:p w14:paraId="274345E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ADE4E4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3260</w:t>
            </w:r>
          </w:p>
        </w:tc>
        <w:tc>
          <w:tcPr>
            <w:tcW w:w="1868" w:type="dxa"/>
          </w:tcPr>
          <w:p w14:paraId="1D6D773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3128</w:t>
            </w:r>
          </w:p>
        </w:tc>
      </w:tr>
      <w:tr w:rsidR="004D4663" w:rsidRPr="00070ADE" w14:paraId="7B3197F3" w14:textId="77777777">
        <w:tc>
          <w:tcPr>
            <w:tcW w:w="1868" w:type="dxa"/>
          </w:tcPr>
          <w:p w14:paraId="75084DE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кг</w:t>
            </w:r>
          </w:p>
        </w:tc>
        <w:tc>
          <w:tcPr>
            <w:tcW w:w="1868" w:type="dxa"/>
          </w:tcPr>
          <w:p w14:paraId="5AA0A3C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FB6F60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2244</w:t>
            </w:r>
          </w:p>
        </w:tc>
        <w:tc>
          <w:tcPr>
            <w:tcW w:w="1868" w:type="dxa"/>
          </w:tcPr>
          <w:p w14:paraId="090A7A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1FF3E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2467</w:t>
            </w:r>
          </w:p>
        </w:tc>
        <w:tc>
          <w:tcPr>
            <w:tcW w:w="1868" w:type="dxa"/>
          </w:tcPr>
          <w:p w14:paraId="680DF9B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2505</w:t>
            </w:r>
          </w:p>
        </w:tc>
      </w:tr>
      <w:tr w:rsidR="004D4663" w:rsidRPr="00070ADE" w14:paraId="44B88B3E" w14:textId="77777777">
        <w:tc>
          <w:tcPr>
            <w:tcW w:w="1868" w:type="dxa"/>
          </w:tcPr>
          <w:p w14:paraId="389F478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топлива, кг</w:t>
            </w:r>
          </w:p>
        </w:tc>
        <w:tc>
          <w:tcPr>
            <w:tcW w:w="1868" w:type="dxa"/>
          </w:tcPr>
          <w:p w14:paraId="5186EE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065D43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318</w:t>
            </w:r>
          </w:p>
        </w:tc>
        <w:tc>
          <w:tcPr>
            <w:tcW w:w="1868" w:type="dxa"/>
          </w:tcPr>
          <w:p w14:paraId="1D8BF84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DBFDC7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380</w:t>
            </w:r>
          </w:p>
        </w:tc>
        <w:tc>
          <w:tcPr>
            <w:tcW w:w="1868" w:type="dxa"/>
          </w:tcPr>
          <w:p w14:paraId="647A591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346</w:t>
            </w:r>
          </w:p>
        </w:tc>
      </w:tr>
      <w:tr w:rsidR="004D4663" w:rsidRPr="00070ADE" w14:paraId="28E2EA0A" w14:textId="77777777">
        <w:tc>
          <w:tcPr>
            <w:tcW w:w="1868" w:type="dxa"/>
          </w:tcPr>
          <w:p w14:paraId="76C292B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км/ч</w:t>
            </w:r>
          </w:p>
        </w:tc>
        <w:tc>
          <w:tcPr>
            <w:tcW w:w="1868" w:type="dxa"/>
          </w:tcPr>
          <w:p w14:paraId="2183D5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995A62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D14876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79B54B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D0D78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87A73C2" w14:textId="77777777">
        <w:tc>
          <w:tcPr>
            <w:tcW w:w="1868" w:type="dxa"/>
          </w:tcPr>
          <w:p w14:paraId="243952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w:t>
            </w:r>
          </w:p>
        </w:tc>
        <w:tc>
          <w:tcPr>
            <w:tcW w:w="1868" w:type="dxa"/>
          </w:tcPr>
          <w:p w14:paraId="460FB2C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34AFF8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558</w:t>
            </w:r>
          </w:p>
        </w:tc>
        <w:tc>
          <w:tcPr>
            <w:tcW w:w="1868" w:type="dxa"/>
          </w:tcPr>
          <w:p w14:paraId="4F3A639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E0C825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578</w:t>
            </w:r>
          </w:p>
        </w:tc>
        <w:tc>
          <w:tcPr>
            <w:tcW w:w="1868" w:type="dxa"/>
          </w:tcPr>
          <w:p w14:paraId="10F1D4B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564</w:t>
            </w:r>
          </w:p>
        </w:tc>
      </w:tr>
      <w:tr w:rsidR="004D4663" w:rsidRPr="00070ADE" w14:paraId="6605CD58" w14:textId="77777777">
        <w:tc>
          <w:tcPr>
            <w:tcW w:w="1868" w:type="dxa"/>
          </w:tcPr>
          <w:p w14:paraId="7CB795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1-й гр. высотности, м</w:t>
            </w:r>
          </w:p>
        </w:tc>
        <w:tc>
          <w:tcPr>
            <w:tcW w:w="1868" w:type="dxa"/>
          </w:tcPr>
          <w:p w14:paraId="2A002EC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40FFF7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600/1800</w:t>
            </w:r>
          </w:p>
        </w:tc>
        <w:tc>
          <w:tcPr>
            <w:tcW w:w="1868" w:type="dxa"/>
          </w:tcPr>
          <w:p w14:paraId="54C8F47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625/2200</w:t>
            </w:r>
          </w:p>
        </w:tc>
        <w:tc>
          <w:tcPr>
            <w:tcW w:w="1868" w:type="dxa"/>
          </w:tcPr>
          <w:p w14:paraId="3C5655F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572CA0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5103645" w14:textId="77777777">
        <w:tc>
          <w:tcPr>
            <w:tcW w:w="1868" w:type="dxa"/>
          </w:tcPr>
          <w:p w14:paraId="07A39E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2-й гр. высотности, м</w:t>
            </w:r>
          </w:p>
        </w:tc>
        <w:tc>
          <w:tcPr>
            <w:tcW w:w="1868" w:type="dxa"/>
          </w:tcPr>
          <w:p w14:paraId="2AF181E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E123AB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620/3850</w:t>
            </w:r>
          </w:p>
        </w:tc>
        <w:tc>
          <w:tcPr>
            <w:tcW w:w="1868" w:type="dxa"/>
          </w:tcPr>
          <w:p w14:paraId="6C633B3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671/4900</w:t>
            </w:r>
          </w:p>
        </w:tc>
        <w:tc>
          <w:tcPr>
            <w:tcW w:w="1868" w:type="dxa"/>
          </w:tcPr>
          <w:p w14:paraId="35E4C5A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623/4100</w:t>
            </w:r>
          </w:p>
        </w:tc>
        <w:tc>
          <w:tcPr>
            <w:tcW w:w="1868" w:type="dxa"/>
          </w:tcPr>
          <w:p w14:paraId="247EF1D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3D21F8D" w14:textId="77777777">
        <w:tc>
          <w:tcPr>
            <w:tcW w:w="1868" w:type="dxa"/>
          </w:tcPr>
          <w:p w14:paraId="49FED04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w:t>
            </w:r>
          </w:p>
        </w:tc>
        <w:tc>
          <w:tcPr>
            <w:tcW w:w="1868" w:type="dxa"/>
          </w:tcPr>
          <w:p w14:paraId="4F8829A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5B1BB1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E6229C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6E9B6C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F14962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61281A3" w14:textId="77777777">
        <w:tc>
          <w:tcPr>
            <w:tcW w:w="1868" w:type="dxa"/>
          </w:tcPr>
          <w:p w14:paraId="5F1150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высоты 5000 м, мин</w:t>
            </w:r>
          </w:p>
        </w:tc>
        <w:tc>
          <w:tcPr>
            <w:tcW w:w="1868" w:type="dxa"/>
          </w:tcPr>
          <w:p w14:paraId="365B1CF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07333C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w:t>
            </w:r>
          </w:p>
        </w:tc>
        <w:tc>
          <w:tcPr>
            <w:tcW w:w="1868" w:type="dxa"/>
          </w:tcPr>
          <w:p w14:paraId="3E954EE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100BAF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w:t>
            </w:r>
          </w:p>
        </w:tc>
        <w:tc>
          <w:tcPr>
            <w:tcW w:w="1868" w:type="dxa"/>
          </w:tcPr>
          <w:p w14:paraId="1410DD9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tc>
      </w:tr>
      <w:tr w:rsidR="004D4663" w:rsidRPr="00070ADE" w14:paraId="4926DA3D" w14:textId="77777777">
        <w:tc>
          <w:tcPr>
            <w:tcW w:w="1868" w:type="dxa"/>
          </w:tcPr>
          <w:p w14:paraId="6F0438F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Практический потолок, м</w:t>
            </w:r>
          </w:p>
        </w:tc>
        <w:tc>
          <w:tcPr>
            <w:tcW w:w="1868" w:type="dxa"/>
          </w:tcPr>
          <w:p w14:paraId="100B6AA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1073E3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10400</w:t>
            </w:r>
          </w:p>
        </w:tc>
        <w:tc>
          <w:tcPr>
            <w:tcW w:w="1868" w:type="dxa"/>
          </w:tcPr>
          <w:p w14:paraId="2DEBA5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438ABD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10700</w:t>
            </w:r>
          </w:p>
        </w:tc>
        <w:tc>
          <w:tcPr>
            <w:tcW w:w="1868" w:type="dxa"/>
          </w:tcPr>
          <w:p w14:paraId="4D26160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11300</w:t>
            </w:r>
          </w:p>
        </w:tc>
      </w:tr>
      <w:tr w:rsidR="004D4663" w:rsidRPr="00070ADE" w14:paraId="1F45E753" w14:textId="77777777">
        <w:tc>
          <w:tcPr>
            <w:tcW w:w="1868" w:type="dxa"/>
          </w:tcPr>
          <w:p w14:paraId="728F20A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виража</w:t>
            </w:r>
          </w:p>
        </w:tc>
        <w:tc>
          <w:tcPr>
            <w:tcW w:w="1868" w:type="dxa"/>
          </w:tcPr>
          <w:p w14:paraId="77E3FC2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04E715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C5FD1F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30751D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ADA99A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EE8FD43" w14:textId="77777777">
        <w:tc>
          <w:tcPr>
            <w:tcW w:w="1868" w:type="dxa"/>
          </w:tcPr>
          <w:p w14:paraId="57C8297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 1000 м,</w:t>
            </w:r>
          </w:p>
        </w:tc>
        <w:tc>
          <w:tcPr>
            <w:tcW w:w="1868" w:type="dxa"/>
          </w:tcPr>
          <w:p w14:paraId="34EB19D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A4BFB2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19,5</w:t>
            </w:r>
          </w:p>
        </w:tc>
        <w:tc>
          <w:tcPr>
            <w:tcW w:w="1868" w:type="dxa"/>
          </w:tcPr>
          <w:p w14:paraId="0FEE755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A18353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1DBF4C9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r>
      <w:tr w:rsidR="004D4663" w:rsidRPr="00070ADE" w14:paraId="0F6E46BA" w14:textId="77777777">
        <w:tc>
          <w:tcPr>
            <w:tcW w:w="1868" w:type="dxa"/>
          </w:tcPr>
          <w:p w14:paraId="5B48E21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макс, км</w:t>
            </w:r>
          </w:p>
        </w:tc>
        <w:tc>
          <w:tcPr>
            <w:tcW w:w="1868" w:type="dxa"/>
          </w:tcPr>
          <w:p w14:paraId="16162B4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B88037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850</w:t>
            </w:r>
          </w:p>
        </w:tc>
        <w:tc>
          <w:tcPr>
            <w:tcW w:w="1868" w:type="dxa"/>
          </w:tcPr>
          <w:p w14:paraId="5BFA961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75C0B4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690</w:t>
            </w:r>
          </w:p>
        </w:tc>
        <w:tc>
          <w:tcPr>
            <w:tcW w:w="1868" w:type="dxa"/>
          </w:tcPr>
          <w:p w14:paraId="61297B5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tc>
      </w:tr>
      <w:tr w:rsidR="004D4663" w:rsidRPr="00070ADE" w14:paraId="5E7193BE" w14:textId="77777777">
        <w:tc>
          <w:tcPr>
            <w:tcW w:w="1868" w:type="dxa"/>
            <w:tcBorders>
              <w:bottom w:val="single" w:sz="12" w:space="0" w:color="auto"/>
            </w:tcBorders>
          </w:tcPr>
          <w:p w14:paraId="149BF9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Разбег/пробег, м</w:t>
            </w:r>
          </w:p>
        </w:tc>
        <w:tc>
          <w:tcPr>
            <w:tcW w:w="1868" w:type="dxa"/>
            <w:tcBorders>
              <w:bottom w:val="single" w:sz="12" w:space="0" w:color="auto"/>
            </w:tcBorders>
          </w:tcPr>
          <w:p w14:paraId="3ECFE75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48E9EFA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320/575</w:t>
            </w:r>
          </w:p>
        </w:tc>
        <w:tc>
          <w:tcPr>
            <w:tcW w:w="1868" w:type="dxa"/>
            <w:tcBorders>
              <w:bottom w:val="single" w:sz="12" w:space="0" w:color="auto"/>
            </w:tcBorders>
          </w:tcPr>
          <w:p w14:paraId="519CDD9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09ED117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Borders>
              <w:bottom w:val="single" w:sz="12" w:space="0" w:color="auto"/>
            </w:tcBorders>
          </w:tcPr>
          <w:p w14:paraId="66C2E90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390/560</w:t>
            </w:r>
          </w:p>
        </w:tc>
      </w:tr>
    </w:tbl>
    <w:p w14:paraId="463DCB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Наддув двигателя 1100 мм рт. ст. (12046).</w:t>
      </w:r>
    </w:p>
    <w:p w14:paraId="4BBC462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данные истребителей Як-9У с двигателями М-107А (ВК-107А)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4D4663" w:rsidRPr="00070ADE" w14:paraId="36E4A42B" w14:textId="77777777">
        <w:tc>
          <w:tcPr>
            <w:tcW w:w="1868" w:type="dxa"/>
            <w:tcBorders>
              <w:top w:val="single" w:sz="12" w:space="0" w:color="auto"/>
            </w:tcBorders>
          </w:tcPr>
          <w:p w14:paraId="10DD166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w:t>
            </w:r>
          </w:p>
        </w:tc>
        <w:tc>
          <w:tcPr>
            <w:tcW w:w="1868" w:type="dxa"/>
            <w:tcBorders>
              <w:top w:val="single" w:sz="12" w:space="0" w:color="auto"/>
            </w:tcBorders>
          </w:tcPr>
          <w:p w14:paraId="0CB0152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w:t>
            </w:r>
          </w:p>
        </w:tc>
        <w:tc>
          <w:tcPr>
            <w:tcW w:w="1868" w:type="dxa"/>
            <w:tcBorders>
              <w:top w:val="single" w:sz="12" w:space="0" w:color="auto"/>
            </w:tcBorders>
          </w:tcPr>
          <w:p w14:paraId="5A2930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w:t>
            </w:r>
          </w:p>
        </w:tc>
        <w:tc>
          <w:tcPr>
            <w:tcW w:w="1868" w:type="dxa"/>
            <w:tcBorders>
              <w:top w:val="single" w:sz="12" w:space="0" w:color="auto"/>
            </w:tcBorders>
          </w:tcPr>
          <w:p w14:paraId="794786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Як-9У2</w:t>
            </w:r>
          </w:p>
        </w:tc>
        <w:tc>
          <w:tcPr>
            <w:tcW w:w="1868" w:type="dxa"/>
            <w:tcBorders>
              <w:top w:val="single" w:sz="12" w:space="0" w:color="auto"/>
            </w:tcBorders>
          </w:tcPr>
          <w:p w14:paraId="47F9639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w:t>
            </w:r>
          </w:p>
        </w:tc>
        <w:tc>
          <w:tcPr>
            <w:tcW w:w="1868" w:type="dxa"/>
            <w:tcBorders>
              <w:top w:val="single" w:sz="12" w:space="0" w:color="auto"/>
            </w:tcBorders>
          </w:tcPr>
          <w:p w14:paraId="456E63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w:t>
            </w:r>
          </w:p>
        </w:tc>
      </w:tr>
      <w:tr w:rsidR="004D4663" w:rsidRPr="00070ADE" w14:paraId="17A6FC0F" w14:textId="77777777">
        <w:tc>
          <w:tcPr>
            <w:tcW w:w="1868" w:type="dxa"/>
          </w:tcPr>
          <w:p w14:paraId="7C7AD09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w:t>
            </w:r>
          </w:p>
        </w:tc>
        <w:tc>
          <w:tcPr>
            <w:tcW w:w="1868" w:type="dxa"/>
          </w:tcPr>
          <w:p w14:paraId="0EA25D2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115</w:t>
            </w:r>
          </w:p>
        </w:tc>
        <w:tc>
          <w:tcPr>
            <w:tcW w:w="1868" w:type="dxa"/>
          </w:tcPr>
          <w:p w14:paraId="05DC382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166</w:t>
            </w:r>
          </w:p>
        </w:tc>
        <w:tc>
          <w:tcPr>
            <w:tcW w:w="1868" w:type="dxa"/>
          </w:tcPr>
          <w:p w14:paraId="6C63C0C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166 и 115</w:t>
            </w:r>
          </w:p>
        </w:tc>
        <w:tc>
          <w:tcPr>
            <w:tcW w:w="1868" w:type="dxa"/>
          </w:tcPr>
          <w:p w14:paraId="49E6A4F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166</w:t>
            </w:r>
          </w:p>
        </w:tc>
        <w:tc>
          <w:tcPr>
            <w:tcW w:w="1868" w:type="dxa"/>
          </w:tcPr>
          <w:p w14:paraId="3053BDD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w:t>
            </w:r>
          </w:p>
        </w:tc>
      </w:tr>
      <w:tr w:rsidR="004D4663" w:rsidRPr="00070ADE" w14:paraId="52C5DE2C" w14:textId="77777777">
        <w:tc>
          <w:tcPr>
            <w:tcW w:w="1868" w:type="dxa"/>
          </w:tcPr>
          <w:p w14:paraId="7C20973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Серийный №</w:t>
            </w:r>
          </w:p>
        </w:tc>
        <w:tc>
          <w:tcPr>
            <w:tcW w:w="1868" w:type="dxa"/>
          </w:tcPr>
          <w:p w14:paraId="095571D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опытный</w:t>
            </w:r>
          </w:p>
        </w:tc>
        <w:tc>
          <w:tcPr>
            <w:tcW w:w="1868" w:type="dxa"/>
          </w:tcPr>
          <w:p w14:paraId="2DFE32A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39-083</w:t>
            </w:r>
          </w:p>
        </w:tc>
        <w:tc>
          <w:tcPr>
            <w:tcW w:w="1868" w:type="dxa"/>
          </w:tcPr>
          <w:p w14:paraId="0BEB1F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41-038</w:t>
            </w:r>
          </w:p>
        </w:tc>
        <w:tc>
          <w:tcPr>
            <w:tcW w:w="1868" w:type="dxa"/>
          </w:tcPr>
          <w:p w14:paraId="562AB08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52-082</w:t>
            </w:r>
          </w:p>
        </w:tc>
        <w:tc>
          <w:tcPr>
            <w:tcW w:w="1868" w:type="dxa"/>
          </w:tcPr>
          <w:p w14:paraId="3EC2D0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10-10</w:t>
            </w:r>
          </w:p>
        </w:tc>
      </w:tr>
      <w:tr w:rsidR="004D4663" w:rsidRPr="00070ADE" w14:paraId="6C007BC3" w14:textId="77777777">
        <w:tc>
          <w:tcPr>
            <w:tcW w:w="1868" w:type="dxa"/>
          </w:tcPr>
          <w:p w14:paraId="0BE91AC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Мощность, л.с.</w:t>
            </w:r>
          </w:p>
        </w:tc>
        <w:tc>
          <w:tcPr>
            <w:tcW w:w="1868" w:type="dxa"/>
          </w:tcPr>
          <w:p w14:paraId="08B3E64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8962A4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3E0C2A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097766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DA7089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73FB72B" w14:textId="77777777">
        <w:tc>
          <w:tcPr>
            <w:tcW w:w="1868" w:type="dxa"/>
          </w:tcPr>
          <w:p w14:paraId="6998E6E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взлетная</w:t>
            </w:r>
          </w:p>
        </w:tc>
        <w:tc>
          <w:tcPr>
            <w:tcW w:w="1868" w:type="dxa"/>
          </w:tcPr>
          <w:p w14:paraId="29DFA19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0347A82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w:t>
            </w:r>
          </w:p>
        </w:tc>
        <w:tc>
          <w:tcPr>
            <w:tcW w:w="1868" w:type="dxa"/>
          </w:tcPr>
          <w:p w14:paraId="6F0AA8C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1650</w:t>
            </w:r>
          </w:p>
        </w:tc>
        <w:tc>
          <w:tcPr>
            <w:tcW w:w="1868" w:type="dxa"/>
          </w:tcPr>
          <w:p w14:paraId="06F98E2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1650</w:t>
            </w:r>
          </w:p>
        </w:tc>
        <w:tc>
          <w:tcPr>
            <w:tcW w:w="1868" w:type="dxa"/>
          </w:tcPr>
          <w:p w14:paraId="2ECF06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w:t>
            </w:r>
          </w:p>
        </w:tc>
      </w:tr>
      <w:tr w:rsidR="004D4663" w:rsidRPr="00070ADE" w14:paraId="0D6BFDFB" w14:textId="77777777">
        <w:tc>
          <w:tcPr>
            <w:tcW w:w="1868" w:type="dxa"/>
          </w:tcPr>
          <w:p w14:paraId="4262DF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w:t>
            </w:r>
          </w:p>
        </w:tc>
        <w:tc>
          <w:tcPr>
            <w:tcW w:w="1868" w:type="dxa"/>
          </w:tcPr>
          <w:p w14:paraId="663002D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1600/1800</w:t>
            </w:r>
          </w:p>
        </w:tc>
        <w:tc>
          <w:tcPr>
            <w:tcW w:w="1868" w:type="dxa"/>
          </w:tcPr>
          <w:p w14:paraId="5AE94C9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1550/1200</w:t>
            </w:r>
          </w:p>
        </w:tc>
        <w:tc>
          <w:tcPr>
            <w:tcW w:w="1868" w:type="dxa"/>
          </w:tcPr>
          <w:p w14:paraId="432B307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1600/1800</w:t>
            </w:r>
          </w:p>
        </w:tc>
        <w:tc>
          <w:tcPr>
            <w:tcW w:w="1868" w:type="dxa"/>
          </w:tcPr>
          <w:p w14:paraId="6AEE29C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1600/1800'</w:t>
            </w:r>
          </w:p>
        </w:tc>
        <w:tc>
          <w:tcPr>
            <w:tcW w:w="1868" w:type="dxa"/>
          </w:tcPr>
          <w:p w14:paraId="4DC4AEA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550/1200</w:t>
            </w:r>
          </w:p>
        </w:tc>
      </w:tr>
      <w:tr w:rsidR="004D4663" w:rsidRPr="00070ADE" w14:paraId="6364A26C" w14:textId="77777777">
        <w:tc>
          <w:tcPr>
            <w:tcW w:w="1868" w:type="dxa"/>
          </w:tcPr>
          <w:p w14:paraId="02FB2F1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94A8C4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1500/4500</w:t>
            </w:r>
          </w:p>
        </w:tc>
        <w:tc>
          <w:tcPr>
            <w:tcW w:w="1868" w:type="dxa"/>
          </w:tcPr>
          <w:p w14:paraId="3BF544F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1450/3800</w:t>
            </w:r>
          </w:p>
        </w:tc>
        <w:tc>
          <w:tcPr>
            <w:tcW w:w="1868" w:type="dxa"/>
          </w:tcPr>
          <w:p w14:paraId="4B644E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1500/4500</w:t>
            </w:r>
          </w:p>
        </w:tc>
        <w:tc>
          <w:tcPr>
            <w:tcW w:w="1868" w:type="dxa"/>
          </w:tcPr>
          <w:p w14:paraId="622019C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1500/3800'</w:t>
            </w:r>
          </w:p>
        </w:tc>
        <w:tc>
          <w:tcPr>
            <w:tcW w:w="1868" w:type="dxa"/>
          </w:tcPr>
          <w:p w14:paraId="048AFEF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450/3800</w:t>
            </w:r>
          </w:p>
        </w:tc>
      </w:tr>
      <w:tr w:rsidR="004D4663" w:rsidRPr="00070ADE" w14:paraId="6B5E774A" w14:textId="77777777">
        <w:tc>
          <w:tcPr>
            <w:tcW w:w="1868" w:type="dxa"/>
          </w:tcPr>
          <w:p w14:paraId="26B7EE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Размах крыла,м</w:t>
            </w:r>
          </w:p>
        </w:tc>
        <w:tc>
          <w:tcPr>
            <w:tcW w:w="1868" w:type="dxa"/>
          </w:tcPr>
          <w:p w14:paraId="794F8D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c>
          <w:tcPr>
            <w:tcW w:w="1868" w:type="dxa"/>
          </w:tcPr>
          <w:p w14:paraId="7BF064B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c>
          <w:tcPr>
            <w:tcW w:w="1868" w:type="dxa"/>
          </w:tcPr>
          <w:p w14:paraId="505562A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c>
          <w:tcPr>
            <w:tcW w:w="1868" w:type="dxa"/>
          </w:tcPr>
          <w:p w14:paraId="76B773B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c>
          <w:tcPr>
            <w:tcW w:w="1868" w:type="dxa"/>
          </w:tcPr>
          <w:p w14:paraId="76DF30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r>
      <w:tr w:rsidR="004D4663" w:rsidRPr="00070ADE" w14:paraId="3A30EE6E" w14:textId="77777777">
        <w:tc>
          <w:tcPr>
            <w:tcW w:w="1868" w:type="dxa"/>
          </w:tcPr>
          <w:p w14:paraId="2213329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м</w:t>
            </w:r>
          </w:p>
        </w:tc>
        <w:tc>
          <w:tcPr>
            <w:tcW w:w="1868" w:type="dxa"/>
          </w:tcPr>
          <w:p w14:paraId="55899E0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8,55</w:t>
            </w:r>
          </w:p>
        </w:tc>
        <w:tc>
          <w:tcPr>
            <w:tcW w:w="1868" w:type="dxa"/>
          </w:tcPr>
          <w:p w14:paraId="1B8163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8,55</w:t>
            </w:r>
          </w:p>
        </w:tc>
        <w:tc>
          <w:tcPr>
            <w:tcW w:w="1868" w:type="dxa"/>
          </w:tcPr>
          <w:p w14:paraId="4DE3DA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8,55</w:t>
            </w:r>
          </w:p>
        </w:tc>
        <w:tc>
          <w:tcPr>
            <w:tcW w:w="1868" w:type="dxa"/>
          </w:tcPr>
          <w:p w14:paraId="394C25E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8,55</w:t>
            </w:r>
          </w:p>
        </w:tc>
        <w:tc>
          <w:tcPr>
            <w:tcW w:w="1868" w:type="dxa"/>
          </w:tcPr>
          <w:p w14:paraId="39562E0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8,55</w:t>
            </w:r>
          </w:p>
        </w:tc>
      </w:tr>
      <w:tr w:rsidR="004D4663" w:rsidRPr="00070ADE" w14:paraId="07C0147F" w14:textId="77777777">
        <w:tc>
          <w:tcPr>
            <w:tcW w:w="1868" w:type="dxa"/>
          </w:tcPr>
          <w:p w14:paraId="0237BFA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Площадь крыла, мг</w:t>
            </w:r>
          </w:p>
        </w:tc>
        <w:tc>
          <w:tcPr>
            <w:tcW w:w="1868" w:type="dxa"/>
          </w:tcPr>
          <w:p w14:paraId="2FC09E1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c>
          <w:tcPr>
            <w:tcW w:w="1868" w:type="dxa"/>
          </w:tcPr>
          <w:p w14:paraId="0B7DE78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c>
          <w:tcPr>
            <w:tcW w:w="1868" w:type="dxa"/>
          </w:tcPr>
          <w:p w14:paraId="7828B4C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c>
          <w:tcPr>
            <w:tcW w:w="1868" w:type="dxa"/>
          </w:tcPr>
          <w:p w14:paraId="4CAB5A9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c>
          <w:tcPr>
            <w:tcW w:w="1868" w:type="dxa"/>
          </w:tcPr>
          <w:p w14:paraId="64BED36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r>
      <w:tr w:rsidR="004D4663" w:rsidRPr="00070ADE" w14:paraId="42A2214D" w14:textId="77777777">
        <w:tc>
          <w:tcPr>
            <w:tcW w:w="1868" w:type="dxa"/>
          </w:tcPr>
          <w:p w14:paraId="6EDF00F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Взлетный вес, кг</w:t>
            </w:r>
          </w:p>
        </w:tc>
        <w:tc>
          <w:tcPr>
            <w:tcW w:w="1868" w:type="dxa"/>
          </w:tcPr>
          <w:p w14:paraId="7C34B96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3204</w:t>
            </w:r>
          </w:p>
        </w:tc>
        <w:tc>
          <w:tcPr>
            <w:tcW w:w="1868" w:type="dxa"/>
          </w:tcPr>
          <w:p w14:paraId="0DB89A2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3204</w:t>
            </w:r>
          </w:p>
        </w:tc>
        <w:tc>
          <w:tcPr>
            <w:tcW w:w="1868" w:type="dxa"/>
          </w:tcPr>
          <w:p w14:paraId="7DFF85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3145</w:t>
            </w:r>
          </w:p>
        </w:tc>
        <w:tc>
          <w:tcPr>
            <w:tcW w:w="1868" w:type="dxa"/>
          </w:tcPr>
          <w:p w14:paraId="4EAD2D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3268</w:t>
            </w:r>
          </w:p>
        </w:tc>
        <w:tc>
          <w:tcPr>
            <w:tcW w:w="1868" w:type="dxa"/>
          </w:tcPr>
          <w:p w14:paraId="64B303B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3197</w:t>
            </w:r>
          </w:p>
        </w:tc>
      </w:tr>
      <w:tr w:rsidR="004D4663" w:rsidRPr="00070ADE" w14:paraId="378EE783" w14:textId="77777777">
        <w:tc>
          <w:tcPr>
            <w:tcW w:w="1868" w:type="dxa"/>
          </w:tcPr>
          <w:p w14:paraId="60E46C0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кг</w:t>
            </w:r>
          </w:p>
        </w:tc>
        <w:tc>
          <w:tcPr>
            <w:tcW w:w="1868" w:type="dxa"/>
          </w:tcPr>
          <w:p w14:paraId="361209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6D102B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2512</w:t>
            </w:r>
          </w:p>
        </w:tc>
        <w:tc>
          <w:tcPr>
            <w:tcW w:w="1868" w:type="dxa"/>
          </w:tcPr>
          <w:p w14:paraId="206C9E1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2498</w:t>
            </w:r>
          </w:p>
        </w:tc>
        <w:tc>
          <w:tcPr>
            <w:tcW w:w="1868" w:type="dxa"/>
          </w:tcPr>
          <w:p w14:paraId="01F93A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2596</w:t>
            </w:r>
          </w:p>
        </w:tc>
        <w:tc>
          <w:tcPr>
            <w:tcW w:w="1868" w:type="dxa"/>
          </w:tcPr>
          <w:p w14:paraId="5133494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2529</w:t>
            </w:r>
          </w:p>
        </w:tc>
      </w:tr>
      <w:tr w:rsidR="004D4663" w:rsidRPr="00070ADE" w14:paraId="3C7252C1" w14:textId="77777777">
        <w:tc>
          <w:tcPr>
            <w:tcW w:w="1868" w:type="dxa"/>
          </w:tcPr>
          <w:p w14:paraId="0054585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топлива, кг</w:t>
            </w:r>
          </w:p>
        </w:tc>
        <w:tc>
          <w:tcPr>
            <w:tcW w:w="1868" w:type="dxa"/>
          </w:tcPr>
          <w:p w14:paraId="3ECDF3F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355</w:t>
            </w:r>
          </w:p>
        </w:tc>
        <w:tc>
          <w:tcPr>
            <w:tcW w:w="1868" w:type="dxa"/>
          </w:tcPr>
          <w:p w14:paraId="7E146BC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380</w:t>
            </w:r>
          </w:p>
        </w:tc>
        <w:tc>
          <w:tcPr>
            <w:tcW w:w="1868" w:type="dxa"/>
          </w:tcPr>
          <w:p w14:paraId="707854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351</w:t>
            </w:r>
          </w:p>
        </w:tc>
        <w:tc>
          <w:tcPr>
            <w:tcW w:w="1868" w:type="dxa"/>
          </w:tcPr>
          <w:p w14:paraId="533BEE4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360</w:t>
            </w:r>
          </w:p>
        </w:tc>
        <w:tc>
          <w:tcPr>
            <w:tcW w:w="1868" w:type="dxa"/>
          </w:tcPr>
          <w:p w14:paraId="3D31D98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208A90D" w14:textId="77777777">
        <w:tc>
          <w:tcPr>
            <w:tcW w:w="1868" w:type="dxa"/>
          </w:tcPr>
          <w:p w14:paraId="08DD79A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км/ч</w:t>
            </w:r>
          </w:p>
        </w:tc>
        <w:tc>
          <w:tcPr>
            <w:tcW w:w="1868" w:type="dxa"/>
          </w:tcPr>
          <w:p w14:paraId="338FBBD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C26740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A3E4E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3674C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CFF87C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B89F9F0" w14:textId="77777777">
        <w:tc>
          <w:tcPr>
            <w:tcW w:w="1868" w:type="dxa"/>
          </w:tcPr>
          <w:p w14:paraId="2149FD5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w:t>
            </w:r>
          </w:p>
        </w:tc>
        <w:tc>
          <w:tcPr>
            <w:tcW w:w="1868" w:type="dxa"/>
          </w:tcPr>
          <w:p w14:paraId="2E88AD2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tc>
        <w:tc>
          <w:tcPr>
            <w:tcW w:w="1868" w:type="dxa"/>
          </w:tcPr>
          <w:p w14:paraId="4C66902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575</w:t>
            </w:r>
          </w:p>
        </w:tc>
        <w:tc>
          <w:tcPr>
            <w:tcW w:w="1868" w:type="dxa"/>
          </w:tcPr>
          <w:p w14:paraId="15B4CE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577</w:t>
            </w:r>
          </w:p>
        </w:tc>
        <w:tc>
          <w:tcPr>
            <w:tcW w:w="1868" w:type="dxa"/>
          </w:tcPr>
          <w:p w14:paraId="545E518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572</w:t>
            </w:r>
          </w:p>
        </w:tc>
        <w:tc>
          <w:tcPr>
            <w:tcW w:w="1868" w:type="dxa"/>
          </w:tcPr>
          <w:p w14:paraId="41699BC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564</w:t>
            </w:r>
          </w:p>
        </w:tc>
      </w:tr>
      <w:tr w:rsidR="004D4663" w:rsidRPr="00070ADE" w14:paraId="32C6766D" w14:textId="77777777">
        <w:tc>
          <w:tcPr>
            <w:tcW w:w="1868" w:type="dxa"/>
          </w:tcPr>
          <w:p w14:paraId="47461B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1-й гр. высотности, м</w:t>
            </w:r>
          </w:p>
        </w:tc>
        <w:tc>
          <w:tcPr>
            <w:tcW w:w="1868" w:type="dxa"/>
          </w:tcPr>
          <w:p w14:paraId="678A365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676/3000</w:t>
            </w:r>
          </w:p>
        </w:tc>
        <w:tc>
          <w:tcPr>
            <w:tcW w:w="1868" w:type="dxa"/>
          </w:tcPr>
          <w:p w14:paraId="3C52B00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636/2500</w:t>
            </w:r>
          </w:p>
        </w:tc>
        <w:tc>
          <w:tcPr>
            <w:tcW w:w="1868" w:type="dxa"/>
          </w:tcPr>
          <w:p w14:paraId="4B378D8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641/2950</w:t>
            </w:r>
          </w:p>
        </w:tc>
        <w:tc>
          <w:tcPr>
            <w:tcW w:w="1868" w:type="dxa"/>
          </w:tcPr>
          <w:p w14:paraId="2D3E3CF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648/3300</w:t>
            </w:r>
          </w:p>
        </w:tc>
        <w:tc>
          <w:tcPr>
            <w:tcW w:w="1868" w:type="dxa"/>
          </w:tcPr>
          <w:p w14:paraId="47B62C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632/2700</w:t>
            </w:r>
          </w:p>
        </w:tc>
      </w:tr>
      <w:tr w:rsidR="004D4663" w:rsidRPr="00070ADE" w14:paraId="2CC77B50" w14:textId="77777777">
        <w:tc>
          <w:tcPr>
            <w:tcW w:w="1868" w:type="dxa"/>
          </w:tcPr>
          <w:p w14:paraId="02BA080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2-й гр. высотности, м</w:t>
            </w:r>
          </w:p>
        </w:tc>
        <w:tc>
          <w:tcPr>
            <w:tcW w:w="1868" w:type="dxa"/>
          </w:tcPr>
          <w:p w14:paraId="35D35C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700/5500</w:t>
            </w:r>
          </w:p>
        </w:tc>
        <w:tc>
          <w:tcPr>
            <w:tcW w:w="1868" w:type="dxa"/>
          </w:tcPr>
          <w:p w14:paraId="089701B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672/5000</w:t>
            </w:r>
          </w:p>
        </w:tc>
        <w:tc>
          <w:tcPr>
            <w:tcW w:w="1868" w:type="dxa"/>
          </w:tcPr>
          <w:p w14:paraId="2428873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676/5900</w:t>
            </w:r>
          </w:p>
        </w:tc>
        <w:tc>
          <w:tcPr>
            <w:tcW w:w="1868" w:type="dxa"/>
          </w:tcPr>
          <w:p w14:paraId="41D73CD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680/5850</w:t>
            </w:r>
          </w:p>
        </w:tc>
        <w:tc>
          <w:tcPr>
            <w:tcW w:w="1868" w:type="dxa"/>
          </w:tcPr>
          <w:p w14:paraId="7946D0D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668/5300</w:t>
            </w:r>
          </w:p>
        </w:tc>
      </w:tr>
      <w:tr w:rsidR="004D4663" w:rsidRPr="00070ADE" w14:paraId="331964EC" w14:textId="77777777">
        <w:tc>
          <w:tcPr>
            <w:tcW w:w="1868" w:type="dxa"/>
          </w:tcPr>
          <w:p w14:paraId="7BD27B6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w:t>
            </w:r>
          </w:p>
        </w:tc>
        <w:tc>
          <w:tcPr>
            <w:tcW w:w="1868" w:type="dxa"/>
          </w:tcPr>
          <w:p w14:paraId="54D552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6D251B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D9534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00A9D6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245995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7BE818C" w14:textId="77777777">
        <w:tc>
          <w:tcPr>
            <w:tcW w:w="1868" w:type="dxa"/>
          </w:tcPr>
          <w:p w14:paraId="7041749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высоты 5000 м, мин</w:t>
            </w:r>
          </w:p>
        </w:tc>
        <w:tc>
          <w:tcPr>
            <w:tcW w:w="1868" w:type="dxa"/>
          </w:tcPr>
          <w:p w14:paraId="1A21DFC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w:t>
            </w:r>
          </w:p>
        </w:tc>
        <w:tc>
          <w:tcPr>
            <w:tcW w:w="1868" w:type="dxa"/>
          </w:tcPr>
          <w:p w14:paraId="2092ADE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1868" w:type="dxa"/>
          </w:tcPr>
          <w:p w14:paraId="36277F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w:t>
            </w:r>
          </w:p>
        </w:tc>
        <w:tc>
          <w:tcPr>
            <w:tcW w:w="1868" w:type="dxa"/>
          </w:tcPr>
          <w:p w14:paraId="24438A5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5,4/4,4</w:t>
            </w:r>
          </w:p>
        </w:tc>
        <w:tc>
          <w:tcPr>
            <w:tcW w:w="1868" w:type="dxa"/>
          </w:tcPr>
          <w:p w14:paraId="4E1E340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w:t>
            </w:r>
          </w:p>
        </w:tc>
      </w:tr>
      <w:tr w:rsidR="004D4663" w:rsidRPr="00070ADE" w14:paraId="07EB9A69" w14:textId="77777777">
        <w:tc>
          <w:tcPr>
            <w:tcW w:w="1868" w:type="dxa"/>
          </w:tcPr>
          <w:p w14:paraId="627CE0F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м</w:t>
            </w:r>
          </w:p>
        </w:tc>
        <w:tc>
          <w:tcPr>
            <w:tcW w:w="1868" w:type="dxa"/>
          </w:tcPr>
          <w:p w14:paraId="6BCFC03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1C0EFA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10650</w:t>
            </w:r>
          </w:p>
        </w:tc>
        <w:tc>
          <w:tcPr>
            <w:tcW w:w="1868" w:type="dxa"/>
          </w:tcPr>
          <w:p w14:paraId="05A00FF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10850</w:t>
            </w:r>
          </w:p>
        </w:tc>
        <w:tc>
          <w:tcPr>
            <w:tcW w:w="1868" w:type="dxa"/>
          </w:tcPr>
          <w:p w14:paraId="6891A0D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35D3583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C7D7BDD" w14:textId="77777777">
        <w:tc>
          <w:tcPr>
            <w:tcW w:w="1868" w:type="dxa"/>
          </w:tcPr>
          <w:p w14:paraId="748F679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виража</w:t>
            </w:r>
          </w:p>
        </w:tc>
        <w:tc>
          <w:tcPr>
            <w:tcW w:w="1868" w:type="dxa"/>
          </w:tcPr>
          <w:p w14:paraId="3C86D81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C1CAD1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32A2B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3DA1BC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169A21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F89197E" w14:textId="77777777">
        <w:tc>
          <w:tcPr>
            <w:tcW w:w="1868" w:type="dxa"/>
          </w:tcPr>
          <w:p w14:paraId="7505D02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 1000 м,</w:t>
            </w:r>
          </w:p>
        </w:tc>
        <w:tc>
          <w:tcPr>
            <w:tcW w:w="1868" w:type="dxa"/>
          </w:tcPr>
          <w:p w14:paraId="7B10817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w:t>
            </w:r>
          </w:p>
        </w:tc>
        <w:tc>
          <w:tcPr>
            <w:tcW w:w="1868" w:type="dxa"/>
          </w:tcPr>
          <w:p w14:paraId="4344F10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46DF782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0612400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052DF7D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7689E84" w14:textId="77777777">
        <w:tc>
          <w:tcPr>
            <w:tcW w:w="1868" w:type="dxa"/>
            <w:tcBorders>
              <w:bottom w:val="single" w:sz="12" w:space="0" w:color="auto"/>
            </w:tcBorders>
          </w:tcPr>
          <w:p w14:paraId="59A3C75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макс, км</w:t>
            </w:r>
          </w:p>
        </w:tc>
        <w:tc>
          <w:tcPr>
            <w:tcW w:w="1868" w:type="dxa"/>
            <w:tcBorders>
              <w:bottom w:val="single" w:sz="12" w:space="0" w:color="auto"/>
            </w:tcBorders>
          </w:tcPr>
          <w:p w14:paraId="7B2278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884</w:t>
            </w:r>
          </w:p>
        </w:tc>
        <w:tc>
          <w:tcPr>
            <w:tcW w:w="1868" w:type="dxa"/>
            <w:tcBorders>
              <w:bottom w:val="single" w:sz="12" w:space="0" w:color="auto"/>
            </w:tcBorders>
          </w:tcPr>
          <w:p w14:paraId="747EF6B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tc>
        <w:tc>
          <w:tcPr>
            <w:tcW w:w="1868" w:type="dxa"/>
            <w:tcBorders>
              <w:bottom w:val="single" w:sz="12" w:space="0" w:color="auto"/>
            </w:tcBorders>
          </w:tcPr>
          <w:p w14:paraId="45CB1D9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10603)</w:t>
            </w:r>
          </w:p>
        </w:tc>
        <w:tc>
          <w:tcPr>
            <w:tcW w:w="1868" w:type="dxa"/>
            <w:tcBorders>
              <w:bottom w:val="single" w:sz="12" w:space="0" w:color="auto"/>
            </w:tcBorders>
          </w:tcPr>
          <w:p w14:paraId="1C3B581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Borders>
              <w:bottom w:val="single" w:sz="12" w:space="0" w:color="auto"/>
            </w:tcBorders>
          </w:tcPr>
          <w:p w14:paraId="2BAE43B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7855</w:t>
            </w:r>
          </w:p>
        </w:tc>
      </w:tr>
    </w:tbl>
    <w:p w14:paraId="6396226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 результатам испытаний в январе 1941 г.</w:t>
      </w:r>
    </w:p>
    <w:p w14:paraId="11B23A8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Эталон 1945 г.</w:t>
      </w:r>
    </w:p>
    <w:p w14:paraId="7D7B617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 наивыгоднейшем режиме (скорость 314 км/ч и высота 1000 м), продолжительность полета 3 часа 23 минуты. На режиме скоростной дальности (0,9 от максимальной) - 640 км и продолжительность 1 час 18 минут).</w:t>
      </w:r>
    </w:p>
    <w:p w14:paraId="0156328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На скорости 508 км/ч и высоте 5070 м, продолжительность полета 1 час 21 минута.</w:t>
      </w:r>
    </w:p>
    <w:p w14:paraId="62DE007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На скорости 509 км/ч и высоте 5040 м, продолжительность полета 1 час 33 минуты) (12046).</w:t>
      </w:r>
    </w:p>
    <w:p w14:paraId="79C5E79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D44E9B7" w14:textId="77777777" w:rsidR="00137C18" w:rsidRPr="00C94B78" w:rsidRDefault="00137C1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18 января по 20 апреля 1944 года проводились государственные испытания Як</w:t>
      </w:r>
      <w:r w:rsidRPr="00C94B78">
        <w:rPr>
          <w:rFonts w:ascii="Times New Roman" w:hAnsi="Times New Roman"/>
          <w:color w:val="0070C0"/>
          <w:sz w:val="16"/>
          <w:szCs w:val="16"/>
        </w:rPr>
        <w:noBreakHyphen/>
        <w:t>9У с ВК-107.</w:t>
      </w:r>
    </w:p>
    <w:p w14:paraId="27C6DA76" w14:textId="77777777" w:rsidR="00137C18" w:rsidRPr="00C94B78" w:rsidRDefault="00137C1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Оказалось, что модификация «У» быстрее, чем испытанные в НИИ ВВС немецкие истребители Bf</w:t>
      </w:r>
      <w:r w:rsidRPr="00C94B78">
        <w:rPr>
          <w:rFonts w:ascii="Times New Roman" w:hAnsi="Times New Roman"/>
          <w:color w:val="0070C0"/>
          <w:sz w:val="16"/>
          <w:szCs w:val="16"/>
        </w:rPr>
        <w:noBreakHyphen/>
        <w:t>109G2 и FW</w:t>
      </w:r>
      <w:r w:rsidRPr="00C94B78">
        <w:rPr>
          <w:rFonts w:ascii="Times New Roman" w:hAnsi="Times New Roman"/>
          <w:color w:val="0070C0"/>
          <w:sz w:val="16"/>
          <w:szCs w:val="16"/>
        </w:rPr>
        <w:noBreakHyphen/>
        <w:t>190А</w:t>
      </w:r>
      <w:r w:rsidRPr="00C94B78">
        <w:rPr>
          <w:rFonts w:ascii="Times New Roman" w:hAnsi="Times New Roman"/>
          <w:color w:val="0070C0"/>
          <w:sz w:val="16"/>
          <w:szCs w:val="16"/>
        </w:rPr>
        <w:noBreakHyphen/>
        <w:t>4 (на 80 и 102 км/час соответственно). Правда следует учесть, что речь шла о трофейных немецких машинах, от которых вероятно нельзя было добиться наилучших показателей.</w:t>
      </w:r>
    </w:p>
    <w:p w14:paraId="12B7B790" w14:textId="77777777" w:rsidR="00137C18" w:rsidRPr="00C94B78" w:rsidRDefault="00137C1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 величине максимальной скорости Як</w:t>
      </w:r>
      <w:r w:rsidRPr="00C94B78">
        <w:rPr>
          <w:rFonts w:ascii="Times New Roman" w:hAnsi="Times New Roman"/>
          <w:color w:val="0070C0"/>
          <w:sz w:val="16"/>
          <w:szCs w:val="16"/>
        </w:rPr>
        <w:noBreakHyphen/>
        <w:t>9У превосходил и советские истребители Ла</w:t>
      </w:r>
      <w:r w:rsidRPr="00C94B78">
        <w:rPr>
          <w:rFonts w:ascii="Times New Roman" w:hAnsi="Times New Roman"/>
          <w:color w:val="0070C0"/>
          <w:sz w:val="16"/>
          <w:szCs w:val="16"/>
        </w:rPr>
        <w:noBreakHyphen/>
        <w:t>7 и Як</w:t>
      </w:r>
      <w:r w:rsidRPr="00C94B78">
        <w:rPr>
          <w:rFonts w:ascii="Times New Roman" w:hAnsi="Times New Roman"/>
          <w:color w:val="0070C0"/>
          <w:sz w:val="16"/>
          <w:szCs w:val="16"/>
        </w:rPr>
        <w:noBreakHyphen/>
        <w:t>3.</w:t>
      </w:r>
    </w:p>
    <w:p w14:paraId="2D09C8DC" w14:textId="77777777" w:rsidR="00137C18" w:rsidRPr="00C94B78" w:rsidRDefault="00137C1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Очевидно, что главной причиной такого прогресса была замена двигателя, но это было не единственным изменением, внесенным в его конструкцию, по сравнению с первым вариантом Як</w:t>
      </w:r>
      <w:r w:rsidRPr="00C94B78">
        <w:rPr>
          <w:rFonts w:ascii="Times New Roman" w:hAnsi="Times New Roman"/>
          <w:color w:val="0070C0"/>
          <w:sz w:val="16"/>
          <w:szCs w:val="16"/>
        </w:rPr>
        <w:noBreakHyphen/>
        <w:t>9У. Чтобы обеспечить должное охлаждение воды и масла, были использованы новые радиаторы ОП</w:t>
      </w:r>
      <w:r w:rsidRPr="00C94B78">
        <w:rPr>
          <w:rFonts w:ascii="Times New Roman" w:hAnsi="Times New Roman"/>
          <w:color w:val="0070C0"/>
          <w:sz w:val="16"/>
          <w:szCs w:val="16"/>
        </w:rPr>
        <w:noBreakHyphen/>
        <w:t>554 и ОП</w:t>
      </w:r>
      <w:r w:rsidRPr="00C94B78">
        <w:rPr>
          <w:rFonts w:ascii="Times New Roman" w:hAnsi="Times New Roman"/>
          <w:color w:val="0070C0"/>
          <w:sz w:val="16"/>
          <w:szCs w:val="16"/>
        </w:rPr>
        <w:noBreakHyphen/>
        <w:t>555, с большей поверхностью охлаждения. Внешне самолет отличался количеством выхлопных патрубков двигателя (их было по шесть с каждой стороны), над капотом появился заборник воздуха для охлаждения свеч, выхлопных коллекторов и генератора. Туннель, по которому проходил воздух, располагался между блоками цилиндров.</w:t>
      </w:r>
    </w:p>
    <w:p w14:paraId="6B6B6694" w14:textId="77777777" w:rsidR="00137C18" w:rsidRPr="00C94B78" w:rsidRDefault="00137C1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Чтобы оптимизировать положение центра тяжести и уменьшить риск капотажа крыло сдвинули вперед на 100 мм.</w:t>
      </w:r>
    </w:p>
    <w:p w14:paraId="124B209F" w14:textId="77777777" w:rsidR="00137C18" w:rsidRPr="00C94B78" w:rsidRDefault="00137C1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Вооружение состояло из неизменной пушки ШВАК, с боекомплектом из 120 снарядов и двух пулеметов УБС (по 170 патронов на ствол). Увеличено количество топлива теперь его стало 478л, вместо 430 л (ВК</w:t>
      </w:r>
      <w:r w:rsidRPr="00C94B78">
        <w:rPr>
          <w:rFonts w:ascii="Times New Roman" w:hAnsi="Times New Roman"/>
          <w:color w:val="0070C0"/>
          <w:sz w:val="16"/>
          <w:szCs w:val="16"/>
        </w:rPr>
        <w:noBreakHyphen/>
        <w:t xml:space="preserve">107 имел больший расход топлива) больше было и масла </w:t>
      </w:r>
      <w:r w:rsidRPr="00C94B78">
        <w:rPr>
          <w:rFonts w:ascii="Times New Roman" w:hAnsi="Times New Roman"/>
          <w:color w:val="0070C0"/>
          <w:sz w:val="16"/>
          <w:szCs w:val="16"/>
        </w:rPr>
        <w:noBreakHyphen/>
        <w:t>35 кг (ранее 26 кг). Все эти изменения привели к увеличению стартового веса самолета на 350 кг до 3150 кг.</w:t>
      </w:r>
    </w:p>
    <w:p w14:paraId="672F3A1E" w14:textId="77777777" w:rsidR="00137C18" w:rsidRPr="00C94B78" w:rsidRDefault="00137C1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протоколе государственных испытаний записано, что Як</w:t>
      </w:r>
      <w:r w:rsidRPr="00C94B78">
        <w:rPr>
          <w:rFonts w:ascii="Times New Roman" w:hAnsi="Times New Roman"/>
          <w:color w:val="0070C0"/>
          <w:sz w:val="16"/>
          <w:szCs w:val="16"/>
        </w:rPr>
        <w:noBreakHyphen/>
        <w:t>9У с двигателем ВК</w:t>
      </w:r>
      <w:r w:rsidRPr="00C94B78">
        <w:rPr>
          <w:rFonts w:ascii="Times New Roman" w:hAnsi="Times New Roman"/>
          <w:color w:val="0070C0"/>
          <w:sz w:val="16"/>
          <w:szCs w:val="16"/>
        </w:rPr>
        <w:noBreakHyphen/>
        <w:t>107А до высоты 6000 м является лучшим из известных истребителей. Однако было одно существенное «но» – проблемы с новой силовой установкой не позволяли использовать самолет в боевых подразделениях. По мере набора высоты из</w:t>
      </w:r>
      <w:r w:rsidRPr="00C94B78">
        <w:rPr>
          <w:rFonts w:ascii="Times New Roman" w:hAnsi="Times New Roman"/>
          <w:color w:val="0070C0"/>
          <w:sz w:val="16"/>
          <w:szCs w:val="16"/>
        </w:rPr>
        <w:noBreakHyphen/>
        <w:t>за многочисленных течей падало давление масла, во время манипуляций с сектором газа в двигателе возникали опасные вибрации. Но хуже всего было то, что так и не удалось обеспечить соответствующее охлаждение. Если температура окружающего воздуха достигала 30 °C, то при полете с максимальной скоростью не помогало даже полное открытие заслонок радиаторов. Естественно, что при полностью открытых каналах радиаторов падала скорость, на высоте 4000 м такое снижение составляло 63 км/час. Чтобы удерживать температуру воды в допустимых пределах набор высоты приходилось выполнять с горизонтальными площадками.</w:t>
      </w:r>
    </w:p>
    <w:p w14:paraId="19D5803F" w14:textId="77777777" w:rsidR="00137C18" w:rsidRPr="00C94B78" w:rsidRDefault="00137C1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Следующим недостатком двигателя ВК</w:t>
      </w:r>
      <w:r w:rsidRPr="00C94B78">
        <w:rPr>
          <w:rFonts w:ascii="Times New Roman" w:hAnsi="Times New Roman"/>
          <w:color w:val="0070C0"/>
          <w:sz w:val="16"/>
          <w:szCs w:val="16"/>
        </w:rPr>
        <w:noBreakHyphen/>
        <w:t>107А был его малый моторесурс – всего 25 часов. Хотя в его работе предусматривался боевой режим, но на практике применять его, было запрещено, ввиду того, что тогда двигатели пришлось бы менять после двух</w:t>
      </w:r>
      <w:r w:rsidRPr="00C94B78">
        <w:rPr>
          <w:rFonts w:ascii="Times New Roman" w:hAnsi="Times New Roman"/>
          <w:color w:val="0070C0"/>
          <w:sz w:val="16"/>
          <w:szCs w:val="16"/>
        </w:rPr>
        <w:noBreakHyphen/>
        <w:t>трех вылетов.</w:t>
      </w:r>
    </w:p>
    <w:p w14:paraId="2EA5A138" w14:textId="77777777" w:rsidR="00137C18" w:rsidRPr="00C94B78" w:rsidRDefault="00137C1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Кошмаром для механиков кроме всего прочего было размещение выхлопных коллекторов между блоками цилиндров, а также быстрый износ свеч. К сожалению, ВК</w:t>
      </w:r>
      <w:r w:rsidRPr="00C94B78">
        <w:rPr>
          <w:rFonts w:ascii="Times New Roman" w:hAnsi="Times New Roman"/>
          <w:color w:val="0070C0"/>
          <w:sz w:val="16"/>
          <w:szCs w:val="16"/>
        </w:rPr>
        <w:noBreakHyphen/>
        <w:t>107А так никогда и не был полностью доведен. Поэтому в частях не смогли полностью использовать все потенциальные возможности Як</w:t>
      </w:r>
      <w:r w:rsidRPr="00C94B78">
        <w:rPr>
          <w:rFonts w:ascii="Times New Roman" w:hAnsi="Times New Roman"/>
          <w:color w:val="0070C0"/>
          <w:sz w:val="16"/>
          <w:szCs w:val="16"/>
        </w:rPr>
        <w:noBreakHyphen/>
        <w:t>9У.</w:t>
      </w:r>
    </w:p>
    <w:p w14:paraId="23269AE4" w14:textId="77777777" w:rsidR="00137C18" w:rsidRPr="00C94B78" w:rsidRDefault="00137C1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Тем не менее, благодаря непрерывно ведущейся работе удалось снять большинство эксплуатационных ограничений. Благодаря установке новых радиаторов ОП</w:t>
      </w:r>
      <w:r w:rsidRPr="00C94B78">
        <w:rPr>
          <w:rFonts w:ascii="Times New Roman" w:hAnsi="Times New Roman"/>
          <w:color w:val="0070C0"/>
          <w:sz w:val="16"/>
          <w:szCs w:val="16"/>
        </w:rPr>
        <w:noBreakHyphen/>
        <w:t>728 появилась возможность непрерывного набора высоты. Если не было тропической жары, то истребитель мог лететь с максимальной скоростью, не опасаясь перегрева двигателя. Однако все это относилось только к машинам, выпущенным после декабря 1944 года. До его окончания было произведено 1134 Як</w:t>
      </w:r>
      <w:r w:rsidRPr="00C94B78">
        <w:rPr>
          <w:rFonts w:ascii="Times New Roman" w:hAnsi="Times New Roman"/>
          <w:color w:val="0070C0"/>
          <w:sz w:val="16"/>
          <w:szCs w:val="16"/>
        </w:rPr>
        <w:noBreakHyphen/>
        <w:t>9У (25077).</w:t>
      </w:r>
    </w:p>
    <w:p w14:paraId="1B10E37D" w14:textId="77777777" w:rsidR="00137C18" w:rsidRPr="00C94B78" w:rsidRDefault="00137C18" w:rsidP="00B56F90">
      <w:pPr>
        <w:spacing w:after="0" w:line="240" w:lineRule="auto"/>
        <w:jc w:val="both"/>
        <w:rPr>
          <w:rFonts w:ascii="Times New Roman" w:hAnsi="Times New Roman"/>
          <w:color w:val="0070C0"/>
          <w:sz w:val="16"/>
          <w:szCs w:val="16"/>
        </w:rPr>
      </w:pPr>
    </w:p>
    <w:p w14:paraId="558C090C"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г.</w:t>
      </w:r>
    </w:p>
    <w:p w14:paraId="7843FD41"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Программа испытания самолета Бе-4 № 4770105</w:t>
      </w:r>
    </w:p>
    <w:p w14:paraId="63579608"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Красноярск</w:t>
      </w:r>
    </w:p>
    <w:p w14:paraId="32238EA5"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г.</w:t>
      </w:r>
    </w:p>
    <w:p w14:paraId="19240C56"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Наземные испытания:</w:t>
      </w:r>
    </w:p>
    <w:p w14:paraId="16FA0228"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Поверка габаритных размеров (со сложенными и разложенными крыльями) и регулировочных данных самолета;</w:t>
      </w:r>
    </w:p>
    <w:p w14:paraId="103173E1"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Взвешивание в вариантах:</w:t>
      </w:r>
    </w:p>
    <w:p w14:paraId="54372CD1"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пустой;</w:t>
      </w:r>
    </w:p>
    <w:p w14:paraId="63BF42F6"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полетный вес;</w:t>
      </w:r>
    </w:p>
    <w:p w14:paraId="3B78CCEE"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Поверка механизма складывания и раскладывания крыльев;</w:t>
      </w:r>
    </w:p>
    <w:p w14:paraId="245AA014"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Поверка положения узлов лодки для установки самолета накатапультную тележку;</w:t>
      </w:r>
    </w:p>
    <w:p w14:paraId="43BBDC08"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Испытание бомбардировочного вооружения:</w:t>
      </w:r>
    </w:p>
    <w:p w14:paraId="18F504A9"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подвесить макеты бомб (100 кг) лебедкой БЛ-4 для проверки ухватов и подъема лебедкой;</w:t>
      </w:r>
    </w:p>
    <w:p w14:paraId="0AC09480"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подвесить грузики на замки балок. Произвести сбрасывание от аварийного сбрасывателя штурмана и пилота;</w:t>
      </w:r>
    </w:p>
    <w:p w14:paraId="190DA275"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произвести сбрасывание (грузиков) по одной, по две и всех сразу от кнопки ОПБ-1М (пиропатронами);</w:t>
      </w:r>
    </w:p>
    <w:p w14:paraId="3B1E1F92"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произвести сбрасывание пиропатронами от кнопки пилота.</w:t>
      </w:r>
    </w:p>
    <w:p w14:paraId="0DADFF4E"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сбрасывание должно начинаться с крайних балок;</w:t>
      </w:r>
    </w:p>
    <w:p w14:paraId="67280FF3"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6. Отстрел средней установки:</w:t>
      </w:r>
    </w:p>
    <w:p w14:paraId="06F8DB76"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подготовить оружие к стрельбе согласно наставлению;</w:t>
      </w:r>
    </w:p>
    <w:p w14:paraId="1407ECDA"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заложить в патронный ящик ленту на 100 патронов;</w:t>
      </w:r>
    </w:p>
    <w:p w14:paraId="0F161667"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произвести стрельбу короткими очередями по 3-5 патронов 5 очередей;</w:t>
      </w:r>
    </w:p>
    <w:p w14:paraId="5D663187"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Пристрелка носовой установки пулеметов:</w:t>
      </w:r>
    </w:p>
    <w:p w14:paraId="3486E627"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проверить правильность и законченность монтажа, особое внимание обратить на регулировку пружин лафетов;</w:t>
      </w:r>
    </w:p>
    <w:p w14:paraId="36384567"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произвести холодную пристрелку оружия;</w:t>
      </w:r>
    </w:p>
    <w:p w14:paraId="27CB5517"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проверить емкость обоих патронных ящиков в соответствии их техническим] условиям;</w:t>
      </w:r>
    </w:p>
    <w:p w14:paraId="3E8C1093"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заложить в каждый патронный ящик ленту с 40 патронами;</w:t>
      </w:r>
    </w:p>
    <w:p w14:paraId="1E649A3E"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произвести стрельбу короткими очередями по 5 патронов с каждого пулемета по три очереди, если питание, гильзоотвод и звеньеотвод работают четко, вести стрельбу из двух пулеметов до полного израсходования патронов;</w:t>
      </w:r>
    </w:p>
    <w:p w14:paraId="147DF0E7"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Опробование работы радиостанции РСБМ-бис;</w:t>
      </w:r>
    </w:p>
    <w:p w14:paraId="3E8F801F"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Летные испытания:</w:t>
      </w:r>
    </w:p>
    <w:p w14:paraId="2232F390"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Взлет, набор высоты до 2 000 метров;</w:t>
      </w:r>
    </w:p>
    <w:p w14:paraId="17B6AE09"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Поверка переговорного устройства СПУ-2Ф;</w:t>
      </w:r>
    </w:p>
    <w:p w14:paraId="563F5720"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Произвести отстрел пятью короткими очередями с каждого пулемета, затем пять очередей с обоих пулеметов. При взлете и посадке пилоту обратить внимание на положение предохранителей «закрыт».</w:t>
      </w:r>
    </w:p>
    <w:p w14:paraId="56FE47E1"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w:t>
      </w:r>
    </w:p>
    <w:p w14:paraId="74187A19"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 каждый патронный ящик закладывается лента со 100 патронами;</w:t>
      </w:r>
    </w:p>
    <w:p w14:paraId="6A10F87B"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Полеты произвести с установленным морским оборудованием.</w:t>
      </w:r>
    </w:p>
    <w:p w14:paraId="28197A00"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ОТК</w:t>
      </w:r>
    </w:p>
    <w:p w14:paraId="746A1A61"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подпись</w:t>
      </w:r>
      <w:r w:rsidRPr="00070ADE">
        <w:rPr>
          <w:rFonts w:ascii="Times New Roman" w:hAnsi="Times New Roman"/>
          <w:color w:val="000000" w:themeColor="text1"/>
          <w:sz w:val="16"/>
          <w:szCs w:val="16"/>
        </w:rPr>
        <w:tab/>
        <w:t>Ложечкин</w:t>
      </w:r>
    </w:p>
    <w:p w14:paraId="2582E6EA"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гл[авного] конструктора</w:t>
      </w:r>
    </w:p>
    <w:p w14:paraId="29E1533C"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подпись</w:t>
      </w:r>
      <w:r w:rsidRPr="00070ADE">
        <w:rPr>
          <w:rFonts w:ascii="Times New Roman" w:hAnsi="Times New Roman"/>
          <w:color w:val="000000" w:themeColor="text1"/>
          <w:sz w:val="16"/>
          <w:szCs w:val="16"/>
        </w:rPr>
        <w:tab/>
        <w:t>Тришкин</w:t>
      </w:r>
    </w:p>
    <w:p w14:paraId="4442EF6D"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Ст[арший] военпред инженер-капитан</w:t>
      </w:r>
    </w:p>
    <w:p w14:paraId="56E7FF24"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подпись</w:t>
      </w:r>
      <w:r w:rsidRPr="00070ADE">
        <w:rPr>
          <w:rFonts w:ascii="Times New Roman" w:hAnsi="Times New Roman"/>
          <w:color w:val="000000" w:themeColor="text1"/>
          <w:sz w:val="16"/>
          <w:szCs w:val="16"/>
        </w:rPr>
        <w:tab/>
        <w:t>Серебренников</w:t>
      </w:r>
    </w:p>
    <w:p w14:paraId="1D33DA0D"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ЛИСа</w:t>
      </w:r>
    </w:p>
    <w:p w14:paraId="6940F39F"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подпись</w:t>
      </w:r>
      <w:r w:rsidRPr="00070ADE">
        <w:rPr>
          <w:rFonts w:ascii="Times New Roman" w:hAnsi="Times New Roman"/>
          <w:color w:val="000000" w:themeColor="text1"/>
          <w:sz w:val="16"/>
          <w:szCs w:val="16"/>
        </w:rPr>
        <w:tab/>
        <w:t>Бочкарев</w:t>
      </w:r>
    </w:p>
    <w:p w14:paraId="7BCEFEDD"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КГКУ «ГАКК». Ф.Р-1341. Оп. 4. Д. 133. Л. 2, 3. Подлинник. Машинопись (20476).</w:t>
      </w:r>
    </w:p>
    <w:p w14:paraId="4F1457E6" w14:textId="77777777" w:rsidR="00D549FB" w:rsidRPr="00070ADE" w:rsidRDefault="00D549FB" w:rsidP="00B56F90">
      <w:pPr>
        <w:spacing w:after="0" w:line="240" w:lineRule="auto"/>
        <w:jc w:val="both"/>
        <w:rPr>
          <w:rFonts w:ascii="Times New Roman" w:hAnsi="Times New Roman"/>
          <w:color w:val="000000" w:themeColor="text1"/>
          <w:sz w:val="16"/>
          <w:szCs w:val="16"/>
        </w:rPr>
      </w:pPr>
    </w:p>
    <w:p w14:paraId="3852A74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года начальник ЛИИ проф. Чесалов писал письмо N 36с зам. наркома Авиапрома Дементьеву.</w:t>
      </w:r>
    </w:p>
    <w:p w14:paraId="55E75E5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постановления СНК и ЦК ВКП(б) за N 1610-672сс от 14 июня 1941 года и приказа НКАП за N 548сс от 21 июня 1941 года ЛИИ получает от серийных заводов самолеты безвозмездно.</w:t>
      </w:r>
    </w:p>
    <w:p w14:paraId="281A7D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использовании самолетов, ЛИИ сдает их ВВС и другим организациям.</w:t>
      </w:r>
    </w:p>
    <w:p w14:paraId="1B553D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после использования их на летно-исследовательской работе, могут эксплуатироваться в ограниченной степени или же должны пройти полный заводской восстановительный ремонт.</w:t>
      </w:r>
    </w:p>
    <w:p w14:paraId="301CB34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ВВС и другие организации, принимающие от ЛИИ самолеты, отказываются оплачивать стоимость самолетов, хотя бы и в уменьшенном за счет износа размере.</w:t>
      </w:r>
    </w:p>
    <w:p w14:paraId="581730A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ЛИИ, не имея совершенно производственной базы для восстановительного ремонта самолетов может сдавать их только безвозмездно.</w:t>
      </w:r>
    </w:p>
    <w:p w14:paraId="0CB2E3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Вашего распоряжения на передачу из ЛИИ всех непригодных к дальнейшему использованию на исследовательской работе самолетов безвозмездно (1821,19).</w:t>
      </w:r>
    </w:p>
    <w:p w14:paraId="45D1FF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31B451" w14:textId="77777777" w:rsidR="00057A35" w:rsidRPr="00070ADE" w:rsidRDefault="00057A35" w:rsidP="00B56F90">
      <w:pPr>
        <w:pStyle w:val="a3"/>
        <w:rPr>
          <w:color w:val="000000" w:themeColor="text1"/>
          <w:lang w:val="ru-RU"/>
        </w:rPr>
      </w:pPr>
      <w:r w:rsidRPr="00070ADE">
        <w:rPr>
          <w:color w:val="000000" w:themeColor="text1"/>
          <w:lang w:val="ru-RU"/>
        </w:rPr>
        <w:t>18 января 1944 г. на специальном «распорядительном заседании» Президиума АН СССР столкнулись два про</w:t>
      </w:r>
      <w:r w:rsidRPr="00070ADE">
        <w:rPr>
          <w:color w:val="000000" w:themeColor="text1"/>
          <w:lang w:val="ru-RU"/>
        </w:rPr>
        <w:softHyphen/>
        <w:t>тивоположных мнения. На этом этапе обсуждения члены Академии — авиационники — отстаивали свои предложения, руководители Академии — первый вице-президент А.А. Байков и академик-секретарь Н.Г. Бруевич — не соглашались с идеей, опасаясь брать на не свойственные Академии организационно-распорядительные функции. Стенограмма этого заседания, на наш взгляд, представляет большой интерес для ис</w:t>
      </w:r>
      <w:r w:rsidRPr="00070ADE">
        <w:rPr>
          <w:color w:val="000000" w:themeColor="text1"/>
          <w:lang w:val="ru-RU"/>
        </w:rPr>
        <w:softHyphen/>
        <w:t>тории авиационной науки, и материалы выступлений публикуются с минимальными ку</w:t>
      </w:r>
      <w:r w:rsidRPr="00070ADE">
        <w:rPr>
          <w:color w:val="000000" w:themeColor="text1"/>
          <w:lang w:val="ru-RU"/>
        </w:rPr>
        <w:softHyphen/>
        <w:t>пюрами, чтобы исключить только повторения и ранее озвученные мнения. Первым в стенограмме приводится выступление академика А.А. Микулина:</w:t>
      </w:r>
    </w:p>
    <w:p w14:paraId="21DF5C2C" w14:textId="77777777" w:rsidR="00057A35" w:rsidRPr="00070ADE" w:rsidRDefault="00057A35" w:rsidP="00B56F90">
      <w:pPr>
        <w:pStyle w:val="a3"/>
        <w:rPr>
          <w:color w:val="000000" w:themeColor="text1"/>
          <w:lang w:val="ru-RU"/>
        </w:rPr>
      </w:pPr>
      <w:r w:rsidRPr="00070ADE">
        <w:rPr>
          <w:color w:val="000000" w:themeColor="text1"/>
          <w:lang w:val="ru-RU"/>
        </w:rPr>
        <w:t>«Предупреждаю, что буду говорить о вещах, не подлежащих оглашению. Хочу привес</w:t>
      </w:r>
      <w:r w:rsidRPr="00070ADE">
        <w:rPr>
          <w:color w:val="000000" w:themeColor="text1"/>
          <w:lang w:val="ru-RU"/>
        </w:rPr>
        <w:softHyphen/>
        <w:t>ти конкретный пример из своей практики. Некоторое время тому назад за границей по</w:t>
      </w:r>
      <w:r w:rsidRPr="00070ADE">
        <w:rPr>
          <w:color w:val="000000" w:themeColor="text1"/>
          <w:lang w:val="ru-RU"/>
        </w:rPr>
        <w:softHyphen/>
        <w:t>вился самолёт, который называется «аэрокоброй». Отличительная черта этого самолёта заключалась в том, что у него двигатель расположен не перед лётчиком, а сзади. Вра</w:t>
      </w:r>
      <w:r w:rsidRPr="00070ADE">
        <w:rPr>
          <w:color w:val="000000" w:themeColor="text1"/>
          <w:lang w:val="ru-RU"/>
        </w:rPr>
        <w:softHyphen/>
        <w:t xml:space="preserve">щение на винт передается при помощи длинного вала, на котором лётчик сидит верхом, </w:t>
      </w:r>
      <w:r w:rsidRPr="00070ADE">
        <w:rPr>
          <w:rStyle w:val="99"/>
          <w:rFonts w:ascii="Times New Roman" w:hAnsi="Times New Roman" w:cs="Times New Roman"/>
          <w:b w:val="0"/>
          <w:color w:val="000000" w:themeColor="text1"/>
          <w:spacing w:val="0"/>
          <w:sz w:val="16"/>
          <w:szCs w:val="16"/>
          <w:lang w:val="ru-RU"/>
        </w:rPr>
        <w:t>и</w:t>
      </w:r>
      <w:r w:rsidRPr="00070ADE">
        <w:rPr>
          <w:color w:val="000000" w:themeColor="text1"/>
          <w:lang w:val="ru-RU"/>
        </w:rPr>
        <w:t xml:space="preserve"> пропеллер приводится во вращение спереди. Военные лётчики говорят, что «аэро</w:t>
      </w:r>
      <w:r w:rsidRPr="00070ADE">
        <w:rPr>
          <w:color w:val="000000" w:themeColor="text1"/>
          <w:lang w:val="ru-RU"/>
        </w:rPr>
        <w:softHyphen/>
        <w:t>кобра» отличается целым рядом преимуществ как по скорости, так и маневренности.</w:t>
      </w:r>
    </w:p>
    <w:p w14:paraId="10DFC82C" w14:textId="77777777" w:rsidR="00057A35" w:rsidRPr="00070ADE" w:rsidRDefault="00057A35" w:rsidP="00B56F90">
      <w:pPr>
        <w:pStyle w:val="a3"/>
        <w:rPr>
          <w:color w:val="000000" w:themeColor="text1"/>
          <w:lang w:val="ru-RU"/>
        </w:rPr>
      </w:pPr>
      <w:r w:rsidRPr="00070ADE">
        <w:rPr>
          <w:color w:val="000000" w:themeColor="text1"/>
          <w:lang w:val="ru-RU"/>
        </w:rPr>
        <w:t>В нашей стране один молодой конструктор раньше, нежели появилась эта «аэро</w:t>
      </w:r>
      <w:r w:rsidRPr="00070ADE">
        <w:rPr>
          <w:color w:val="000000" w:themeColor="text1"/>
          <w:lang w:val="ru-RU"/>
        </w:rPr>
        <w:softHyphen/>
        <w:t>кобра», предложил построить такой самолёт и попросил меня, чтобы я сделал для него двигатель. Я затратил год огромного труда на то, чтобы разрешить эту очень сложную проблему... крутильных колебаний, и сделал такой двигатель... Затем конструктор... в ан</w:t>
      </w:r>
      <w:r w:rsidRPr="00070ADE">
        <w:rPr>
          <w:color w:val="000000" w:themeColor="text1"/>
          <w:lang w:val="ru-RU"/>
        </w:rPr>
        <w:softHyphen/>
        <w:t>гаре обнаружил ошибку в расчёте, что вызвало задержку выпуска самолёта приблизи</w:t>
      </w:r>
      <w:r w:rsidRPr="00070ADE">
        <w:rPr>
          <w:color w:val="000000" w:themeColor="text1"/>
          <w:lang w:val="ru-RU"/>
        </w:rPr>
        <w:softHyphen/>
        <w:t>тельно ещё на шесть месяцев. Потом он полетел, и самолёт потерпел аварию.</w:t>
      </w:r>
    </w:p>
    <w:p w14:paraId="740EFEB2" w14:textId="77777777" w:rsidR="00057A35" w:rsidRPr="00070ADE" w:rsidRDefault="00057A35" w:rsidP="00B56F90">
      <w:pPr>
        <w:pStyle w:val="a3"/>
        <w:rPr>
          <w:color w:val="000000" w:themeColor="text1"/>
          <w:lang w:val="ru-RU"/>
        </w:rPr>
      </w:pPr>
      <w:r w:rsidRPr="00070ADE">
        <w:rPr>
          <w:color w:val="000000" w:themeColor="text1"/>
          <w:lang w:val="ru-RU"/>
        </w:rPr>
        <w:t>Какой вывод мы можем сделать из этого факта? Мы можем сделать такой вывод, на сегодняшний день у нас нет такого научного центра, который бы координировал помогал работе молодых конструкторов. Я</w:t>
      </w:r>
      <w:r w:rsidRPr="00070ADE">
        <w:rPr>
          <w:rStyle w:val="14Arial"/>
          <w:rFonts w:ascii="Times New Roman" w:hAnsi="Times New Roman" w:cs="Times New Roman"/>
          <w:color w:val="000000" w:themeColor="text1"/>
          <w:spacing w:val="0"/>
          <w:sz w:val="16"/>
          <w:szCs w:val="16"/>
          <w:lang w:val="ru-RU"/>
        </w:rPr>
        <w:t xml:space="preserve"> могу</w:t>
      </w:r>
      <w:r w:rsidRPr="00070ADE">
        <w:rPr>
          <w:color w:val="000000" w:themeColor="text1"/>
          <w:lang w:val="ru-RU"/>
        </w:rPr>
        <w:t xml:space="preserve"> ответственно сказать, что за всё вр мя моего пребывания в Наркомате авиационной промышленности ни одного раза я </w:t>
      </w:r>
      <w:r w:rsidRPr="00070ADE">
        <w:rPr>
          <w:color w:val="000000" w:themeColor="text1"/>
        </w:rPr>
        <w:t>i</w:t>
      </w:r>
      <w:r w:rsidRPr="00070ADE">
        <w:rPr>
          <w:color w:val="000000" w:themeColor="text1"/>
          <w:lang w:val="ru-RU"/>
        </w:rPr>
        <w:t xml:space="preserve"> сидел на совещании, не только не предусматривающем такой состав, как поедполагается в этой секции, но даже среди конструкторов самолётов, где бы была хоть одна научная величина. Не заведено это. Потому что Наркомат — это ведомственное учреждение, которое работает по плану, заранее заданному плану, по которому установлен что Петров должен сделать то-то. Иванов должен сделать то-то. И они делают. Причё Иванов и Петров люди, которые обладают рядом недостатков, известной долей чва ства. самомнения и т.д. И никогда в наркомате не может быть такого положения, что бы здесь была координация всех работ. Этого нет и быть не может. И в связи с эти государство терпит чудовищные убытки. Это надо прекратить немедленно.</w:t>
      </w:r>
    </w:p>
    <w:p w14:paraId="7E4DF423" w14:textId="77777777" w:rsidR="00057A35" w:rsidRPr="00070ADE" w:rsidRDefault="00057A35" w:rsidP="00B56F90">
      <w:pPr>
        <w:pStyle w:val="a3"/>
        <w:rPr>
          <w:color w:val="000000" w:themeColor="text1"/>
          <w:lang w:val="ru-RU"/>
        </w:rPr>
      </w:pPr>
      <w:r w:rsidRPr="00070ADE">
        <w:rPr>
          <w:color w:val="000000" w:themeColor="text1"/>
          <w:lang w:val="ru-RU"/>
        </w:rPr>
        <w:t>Н.Г. Бруевич высказал мысль, с которой я абсолютно не согласен. Н.Г. указал, что вс темы, которые намечает секция — это темы Института механики. Это неверно. Я мог бы назвать десять других институтов, которые занимаются этими работами. Но эти десять ии ститутов в своём большинстве ведомственные, а если они ведомственные, следовательно, программу утверждает наркомат, а следовательно, вся программа на 90% по крайней мере связана с серийным производством, ибо над наркоматом давлеют исключительно</w:t>
      </w:r>
      <w:r w:rsidRPr="00070ADE">
        <w:rPr>
          <w:rStyle w:val="14Arial"/>
          <w:rFonts w:ascii="Times New Roman" w:hAnsi="Times New Roman" w:cs="Times New Roman"/>
          <w:color w:val="000000" w:themeColor="text1"/>
          <w:spacing w:val="0"/>
          <w:sz w:val="16"/>
          <w:szCs w:val="16"/>
          <w:lang w:val="ru-RU"/>
        </w:rPr>
        <w:t xml:space="preserve"> вопросы</w:t>
      </w:r>
      <w:r w:rsidRPr="00070ADE">
        <w:rPr>
          <w:color w:val="000000" w:themeColor="text1"/>
          <w:lang w:val="ru-RU"/>
        </w:rPr>
        <w:t xml:space="preserve"> серийного производства. Если же наша секция действительно займёт то положение, которое она должна занять, она будет иметь право не только рекомендо</w:t>
      </w:r>
      <w:r w:rsidRPr="00070ADE">
        <w:rPr>
          <w:color w:val="000000" w:themeColor="text1"/>
          <w:lang w:val="ru-RU"/>
        </w:rPr>
        <w:softHyphen/>
        <w:t>вать институтам иначе направить работу, чтобы они имели другие результаты и другие выходы, но так построить программу своих работ, чтобы обеспечить действительно пра</w:t>
      </w:r>
      <w:r w:rsidRPr="00070ADE">
        <w:rPr>
          <w:color w:val="000000" w:themeColor="text1"/>
          <w:lang w:val="ru-RU"/>
        </w:rPr>
        <w:softHyphen/>
        <w:t>вильное и наиболее успешное разрешение стоящих научно-исследовательских задач. Ведь сейчас возьмите протокол, любой протокол и вы там не поймёте, до такой степе</w:t>
      </w:r>
      <w:r w:rsidRPr="00070ADE">
        <w:rPr>
          <w:color w:val="000000" w:themeColor="text1"/>
          <w:lang w:val="ru-RU"/>
        </w:rPr>
        <w:softHyphen/>
        <w:t>ни всё запущено, потому что нет согласованности. Даже величины, в которых замеря</w:t>
      </w:r>
      <w:r w:rsidRPr="00070ADE">
        <w:rPr>
          <w:color w:val="000000" w:themeColor="text1"/>
          <w:lang w:val="ru-RU"/>
        </w:rPr>
        <w:softHyphen/>
        <w:t>ют — не одни и те же. так что в ряде случаев нельзя сделать сопоставление.</w:t>
      </w:r>
    </w:p>
    <w:p w14:paraId="0F9BDE20" w14:textId="77777777" w:rsidR="00057A35" w:rsidRPr="00070ADE" w:rsidRDefault="00057A35" w:rsidP="00B56F90">
      <w:pPr>
        <w:pStyle w:val="a3"/>
        <w:rPr>
          <w:color w:val="000000" w:themeColor="text1"/>
          <w:lang w:val="ru-RU"/>
        </w:rPr>
      </w:pPr>
      <w:r w:rsidRPr="00070ADE">
        <w:rPr>
          <w:color w:val="000000" w:themeColor="text1"/>
          <w:lang w:val="ru-RU"/>
        </w:rPr>
        <w:t>Поэтому, мне кажется, совершенно правильно поставлен вопрос, что должен быть ка</w:t>
      </w:r>
      <w:r w:rsidRPr="00070ADE">
        <w:rPr>
          <w:color w:val="000000" w:themeColor="text1"/>
          <w:lang w:val="ru-RU"/>
        </w:rPr>
        <w:softHyphen/>
        <w:t>кой-то научный центр, который обеспечит согласование и координацию всех такого ро</w:t>
      </w:r>
      <w:r w:rsidRPr="00070ADE">
        <w:rPr>
          <w:color w:val="000000" w:themeColor="text1"/>
          <w:lang w:val="ru-RU"/>
        </w:rPr>
        <w:softHyphen/>
        <w:t>да вопросов, конечно, если он правильно будет организован. Поэтому я совершенно не согласен с Н.Г. и считаю, что он не совсем правильно подходит к этому вопросу. Если даже эта секция только сумеет правильно направить деятельность научно-исследова</w:t>
      </w:r>
      <w:r w:rsidRPr="00070ADE">
        <w:rPr>
          <w:color w:val="000000" w:themeColor="text1"/>
          <w:lang w:val="ru-RU"/>
        </w:rPr>
        <w:softHyphen/>
        <w:t>тельских организаций, это уже будет большим достижением.</w:t>
      </w:r>
    </w:p>
    <w:p w14:paraId="69A52B64" w14:textId="77777777" w:rsidR="00057A35" w:rsidRPr="00070ADE" w:rsidRDefault="00057A3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Никто не отрицает того, что в области авиации ещё много неразрешенных и сложных проблем. Возьмите хотя бы вопрос о высотных полётах — очень важная и серьезная за</w:t>
      </w:r>
      <w:r w:rsidRPr="00070ADE">
        <w:rPr>
          <w:rFonts w:ascii="Times New Roman" w:cs="Times New Roman"/>
          <w:color w:val="000000" w:themeColor="text1"/>
          <w:spacing w:val="0"/>
        </w:rPr>
        <w:softHyphen/>
        <w:t>дача. И мы должны так направить эту работу, чтобы из каждого кон</w:t>
      </w:r>
      <w:r w:rsidRPr="00070ADE">
        <w:rPr>
          <w:rFonts w:ascii="Times New Roman" w:cs="Times New Roman"/>
          <w:color w:val="000000" w:themeColor="text1"/>
          <w:spacing w:val="0"/>
        </w:rPr>
        <w:softHyphen/>
        <w:t>кретного случая обоб</w:t>
      </w:r>
      <w:r w:rsidRPr="00070ADE">
        <w:rPr>
          <w:rFonts w:ascii="Times New Roman" w:cs="Times New Roman"/>
          <w:color w:val="000000" w:themeColor="text1"/>
          <w:spacing w:val="0"/>
        </w:rPr>
        <w:softHyphen/>
        <w:t>щать выводы и направ</w:t>
      </w:r>
      <w:r w:rsidRPr="00070ADE">
        <w:rPr>
          <w:rFonts w:ascii="Times New Roman" w:cs="Times New Roman"/>
          <w:color w:val="000000" w:themeColor="text1"/>
          <w:spacing w:val="0"/>
        </w:rPr>
        <w:softHyphen/>
        <w:t>лять эти выводы на ус</w:t>
      </w:r>
      <w:r w:rsidRPr="00070ADE">
        <w:rPr>
          <w:rFonts w:ascii="Times New Roman" w:cs="Times New Roman"/>
          <w:color w:val="000000" w:themeColor="text1"/>
          <w:spacing w:val="0"/>
        </w:rPr>
        <w:softHyphen/>
        <w:t>тановление дальнейших путей развития этого дела. Я, например, счи</w:t>
      </w:r>
      <w:r w:rsidRPr="00070ADE">
        <w:rPr>
          <w:rFonts w:ascii="Times New Roman" w:cs="Times New Roman"/>
          <w:color w:val="000000" w:themeColor="text1"/>
          <w:spacing w:val="0"/>
        </w:rPr>
        <w:softHyphen/>
        <w:t>таю, что если бы была секция, то тот самолёт с мотором сзади, о кото</w:t>
      </w:r>
      <w:r w:rsidRPr="00070ADE">
        <w:rPr>
          <w:rFonts w:ascii="Times New Roman" w:cs="Times New Roman"/>
          <w:color w:val="000000" w:themeColor="text1"/>
          <w:spacing w:val="0"/>
        </w:rPr>
        <w:softHyphen/>
        <w:t>ром я говорил, возмож</w:t>
      </w:r>
      <w:r w:rsidRPr="00070ADE">
        <w:rPr>
          <w:rFonts w:ascii="Times New Roman" w:cs="Times New Roman"/>
          <w:color w:val="000000" w:themeColor="text1"/>
          <w:spacing w:val="0"/>
        </w:rPr>
        <w:softHyphen/>
        <w:t>но не потерпел бы аварии, потому что все расчеты можно было бы проверить. Мы не вправе сейчас допускать, чтобы из-за безграмотности какого-либо мо</w:t>
      </w:r>
      <w:r w:rsidRPr="00070ADE">
        <w:rPr>
          <w:rFonts w:ascii="Times New Roman" w:cs="Times New Roman"/>
          <w:color w:val="000000" w:themeColor="text1"/>
          <w:spacing w:val="0"/>
        </w:rPr>
        <w:softHyphen/>
        <w:t>лодого человека страдали наши интересы. Мы это не можем допускать и, несмотря на то, что может быть формально мы не отвечаем, так как строит самолёт наркомат, но духовную и моральную ответственность мы несем за это дело. А для того, чтобы мы могли нести эту ответственность, нам нужно обеспечить науч</w:t>
      </w:r>
      <w:r w:rsidRPr="00070ADE">
        <w:rPr>
          <w:rFonts w:ascii="Times New Roman" w:cs="Times New Roman"/>
          <w:color w:val="000000" w:themeColor="text1"/>
          <w:spacing w:val="0"/>
        </w:rPr>
        <w:softHyphen/>
        <w:t>ное руководство. Поэтому я считаю абсолют</w:t>
      </w:r>
      <w:r w:rsidRPr="00070ADE">
        <w:rPr>
          <w:rFonts w:ascii="Times New Roman" w:cs="Times New Roman"/>
          <w:color w:val="000000" w:themeColor="text1"/>
          <w:spacing w:val="0"/>
        </w:rPr>
        <w:softHyphen/>
        <w:t>но необходимым создание такой секции и могу пожелать этой секции всевозможных ус</w:t>
      </w:r>
      <w:r w:rsidRPr="00070ADE">
        <w:rPr>
          <w:rFonts w:ascii="Times New Roman" w:cs="Times New Roman"/>
          <w:color w:val="000000" w:themeColor="text1"/>
          <w:spacing w:val="0"/>
        </w:rPr>
        <w:softHyphen/>
        <w:t>пехов. чтобы заполнить ту пустоту, которую мы имеем, а сейчас мы имеем такое положе</w:t>
      </w:r>
      <w:r w:rsidRPr="00070ADE">
        <w:rPr>
          <w:rFonts w:ascii="Times New Roman" w:cs="Times New Roman"/>
          <w:color w:val="000000" w:themeColor="text1"/>
          <w:spacing w:val="0"/>
        </w:rPr>
        <w:softHyphen/>
        <w:t>ние, что здесь пустота, и даже нет дырок».</w:t>
      </w:r>
    </w:p>
    <w:p w14:paraId="007E9D42" w14:textId="77777777" w:rsidR="00057A35" w:rsidRPr="00070ADE" w:rsidRDefault="00057A3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 xml:space="preserve">Следующим в стенограмме зафиксировано выступление академика </w:t>
      </w:r>
      <w:r w:rsidRPr="00070ADE">
        <w:rPr>
          <w:rFonts w:ascii="Times New Roman" w:cs="Times New Roman"/>
          <w:color w:val="000000" w:themeColor="text1"/>
          <w:spacing w:val="0"/>
          <w:lang w:val="en-US"/>
        </w:rPr>
        <w:t>B</w:t>
      </w:r>
      <w:r w:rsidRPr="00070ADE">
        <w:rPr>
          <w:rFonts w:ascii="Times New Roman" w:cs="Times New Roman"/>
          <w:color w:val="000000" w:themeColor="text1"/>
          <w:spacing w:val="0"/>
        </w:rPr>
        <w:t>.</w:t>
      </w:r>
      <w:r w:rsidRPr="00070ADE">
        <w:rPr>
          <w:rFonts w:ascii="Times New Roman" w:cs="Times New Roman"/>
          <w:color w:val="000000" w:themeColor="text1"/>
          <w:spacing w:val="0"/>
          <w:lang w:val="en-US"/>
        </w:rPr>
        <w:t>C</w:t>
      </w:r>
      <w:r w:rsidRPr="00070ADE">
        <w:rPr>
          <w:rFonts w:ascii="Times New Roman" w:cs="Times New Roman"/>
          <w:color w:val="000000" w:themeColor="text1"/>
          <w:spacing w:val="0"/>
        </w:rPr>
        <w:t>. Кулебакина, пол</w:t>
      </w:r>
      <w:r w:rsidRPr="00070ADE">
        <w:rPr>
          <w:rFonts w:ascii="Times New Roman" w:cs="Times New Roman"/>
          <w:color w:val="000000" w:themeColor="text1"/>
          <w:spacing w:val="0"/>
        </w:rPr>
        <w:softHyphen/>
        <w:t>ностью поддержавшего идею создания секции:</w:t>
      </w:r>
    </w:p>
    <w:p w14:paraId="14639F1B" w14:textId="77777777" w:rsidR="00057A35" w:rsidRPr="00070ADE" w:rsidRDefault="00057A3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«Мне кажется, что идея создания этой сек</w:t>
      </w:r>
      <w:r w:rsidRPr="00070ADE">
        <w:rPr>
          <w:rFonts w:ascii="Times New Roman" w:cs="Times New Roman"/>
          <w:color w:val="000000" w:themeColor="text1"/>
          <w:spacing w:val="0"/>
        </w:rPr>
        <w:softHyphen/>
        <w:t>ции заключается в том, что секция эта будет иметь своей задачей комплексирование тех научно-исследовательских работ, которые проводятся различными организациями. Это</w:t>
      </w:r>
      <w:r w:rsidRPr="00070ADE">
        <w:rPr>
          <w:rStyle w:val="affa"/>
          <w:rFonts w:ascii="Times New Roman" w:cs="Times New Roman"/>
          <w:b w:val="0"/>
          <w:color w:val="000000" w:themeColor="text1"/>
          <w:spacing w:val="0"/>
          <w:sz w:val="16"/>
          <w:szCs w:val="16"/>
        </w:rPr>
        <w:t xml:space="preserve"> Член-корреспондент В.Я. Климов </w:t>
      </w:r>
      <w:r w:rsidRPr="00070ADE">
        <w:rPr>
          <w:rFonts w:ascii="Times New Roman" w:cs="Times New Roman"/>
          <w:color w:val="000000" w:themeColor="text1"/>
          <w:spacing w:val="0"/>
        </w:rPr>
        <w:t>не значит, что она своими силами всё будет делать. Основной её задачей является именно координирование научно-исследователь</w:t>
      </w:r>
      <w:r w:rsidRPr="00070ADE">
        <w:rPr>
          <w:rFonts w:ascii="Times New Roman" w:cs="Times New Roman"/>
          <w:color w:val="000000" w:themeColor="text1"/>
          <w:spacing w:val="0"/>
        </w:rPr>
        <w:softHyphen/>
        <w:t>ских работ, выполняемых как академическими ин-тами, так и другими научно-исследо</w:t>
      </w:r>
      <w:r w:rsidRPr="00070ADE">
        <w:rPr>
          <w:rFonts w:ascii="Times New Roman" w:cs="Times New Roman"/>
          <w:color w:val="000000" w:themeColor="text1"/>
          <w:spacing w:val="0"/>
        </w:rPr>
        <w:softHyphen/>
        <w:t xml:space="preserve">вательскими организациями. Сейчас у нас и наши академические, и другие научно-ис- следовательские организации работают каждая сама по себе. Естественно, что отсюда часто </w:t>
      </w:r>
      <w:r w:rsidRPr="00070ADE">
        <w:rPr>
          <w:rFonts w:ascii="Times New Roman" w:cs="Times New Roman"/>
          <w:color w:val="000000" w:themeColor="text1"/>
          <w:spacing w:val="0"/>
        </w:rPr>
        <w:lastRenderedPageBreak/>
        <w:t>получается параллелизм, повторение одних и тех же работ. Поэтому, безусловно, было бы очень полезно иметь какой-то орган, который обеспечил бы обобщение и ко</w:t>
      </w:r>
      <w:r w:rsidRPr="00070ADE">
        <w:rPr>
          <w:rFonts w:ascii="Times New Roman" w:cs="Times New Roman"/>
          <w:color w:val="000000" w:themeColor="text1"/>
          <w:spacing w:val="0"/>
        </w:rPr>
        <w:softHyphen/>
        <w:t>ординацию этих работ.</w:t>
      </w:r>
    </w:p>
    <w:p w14:paraId="4CDB9624" w14:textId="77777777" w:rsidR="00057A35" w:rsidRPr="00070ADE" w:rsidRDefault="00057A3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Несомненно, что в области авиации мы имеем целый ряд очень серьёзных и весьма сложных вопросов, над разрешением которых придется очень много поработать. Возь</w:t>
      </w:r>
      <w:r w:rsidRPr="00070ADE">
        <w:rPr>
          <w:rFonts w:ascii="Times New Roman" w:cs="Times New Roman"/>
          <w:color w:val="000000" w:themeColor="text1"/>
          <w:spacing w:val="0"/>
        </w:rPr>
        <w:softHyphen/>
        <w:t>мите хотя бы вопрос об электроснабжении самолёта — очень сложная проблема. Тут один институт автоматики вряд ли может добиться больших успехов, так как вопрос этот связан с электрооборудованием, управлением самолёта и т.д. И таких вопросов будет немало. Этими вопросами должна будет заниматься секция.</w:t>
      </w:r>
    </w:p>
    <w:p w14:paraId="1F1BC56D" w14:textId="77777777" w:rsidR="00057A35" w:rsidRPr="00070ADE" w:rsidRDefault="00057A3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Конечно, никто не предполагает, что секция будет заниматься такими вопросами, ко</w:t>
      </w:r>
      <w:r w:rsidRPr="00070ADE">
        <w:rPr>
          <w:rFonts w:ascii="Times New Roman" w:cs="Times New Roman"/>
          <w:color w:val="000000" w:themeColor="text1"/>
          <w:spacing w:val="0"/>
        </w:rPr>
        <w:softHyphen/>
        <w:t>торые раньше нигде никогда не разрабатывались. Но если такая секция будет организо</w:t>
      </w:r>
      <w:r w:rsidRPr="00070ADE">
        <w:rPr>
          <w:rFonts w:ascii="Times New Roman" w:cs="Times New Roman"/>
          <w:color w:val="000000" w:themeColor="text1"/>
          <w:spacing w:val="0"/>
        </w:rPr>
        <w:softHyphen/>
        <w:t>вана, несомненно, что целый ряд вопросов будет разрешен скорее и лучше, чем в том случае, если бы этими вопросами занимались бы отдельные научно-исследовательские организации сами по себе. Я уверен, что тот же Институт автоматики будет привлечён к более активному участию в этих работах и работы его будут более целеустремленны, если руководить этим делом будет секция.</w:t>
      </w:r>
    </w:p>
    <w:p w14:paraId="07719668" w14:textId="77777777" w:rsidR="00057A35" w:rsidRPr="00070ADE" w:rsidRDefault="00057A3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Мне лично кажется, что проблемы авиации настолько велики и значительны, что безу</w:t>
      </w:r>
      <w:r w:rsidRPr="00070ADE">
        <w:rPr>
          <w:rFonts w:ascii="Times New Roman" w:cs="Times New Roman"/>
          <w:color w:val="000000" w:themeColor="text1"/>
          <w:spacing w:val="0"/>
        </w:rPr>
        <w:softHyphen/>
        <w:t>словно следует создать такую секцию. Я должен отметить, что ещё во время империа</w:t>
      </w:r>
      <w:r w:rsidRPr="00070ADE">
        <w:rPr>
          <w:rFonts w:ascii="Times New Roman" w:cs="Times New Roman"/>
          <w:color w:val="000000" w:themeColor="text1"/>
          <w:spacing w:val="0"/>
        </w:rPr>
        <w:softHyphen/>
        <w:t>листической войны в Англии по вопросам конструирования магнето была создана специальная Королевская комиссия, по вопросам электрического зажигания специально для авиации тоже была комиссия. Неужели сейчас авиация, имеющая исключительно ва</w:t>
      </w:r>
      <w:r w:rsidRPr="00070ADE">
        <w:rPr>
          <w:rFonts w:ascii="Times New Roman" w:cs="Times New Roman"/>
          <w:color w:val="000000" w:themeColor="text1"/>
          <w:spacing w:val="0"/>
        </w:rPr>
        <w:softHyphen/>
        <w:t>жное значение в обороне нашей страны, не является проблемой, достойной Академии Наук? Я считаю, что Академия Наук обязана взять на себя разрешение, конечно, не от</w:t>
      </w:r>
      <w:r w:rsidRPr="00070ADE">
        <w:rPr>
          <w:rFonts w:ascii="Times New Roman" w:cs="Times New Roman"/>
          <w:color w:val="000000" w:themeColor="text1"/>
          <w:spacing w:val="0"/>
        </w:rPr>
        <w:softHyphen/>
        <w:t>дельных вопросов, а этих вопросов в комплексе и вот это как раз будет то, чем эта сек</w:t>
      </w:r>
      <w:r w:rsidRPr="00070ADE">
        <w:rPr>
          <w:rFonts w:ascii="Times New Roman" w:cs="Times New Roman"/>
          <w:color w:val="000000" w:themeColor="text1"/>
          <w:spacing w:val="0"/>
        </w:rPr>
        <w:softHyphen/>
        <w:t>ция должна заниматься.&lt;...&gt;</w:t>
      </w:r>
    </w:p>
    <w:p w14:paraId="2BA3C2EA" w14:textId="77777777" w:rsidR="00057A35" w:rsidRPr="00070ADE" w:rsidRDefault="00057A35" w:rsidP="00B56F90">
      <w:pPr>
        <w:pStyle w:val="a3"/>
        <w:rPr>
          <w:color w:val="000000" w:themeColor="text1"/>
          <w:lang w:val="ru-RU"/>
        </w:rPr>
      </w:pPr>
      <w:r w:rsidRPr="00070ADE">
        <w:rPr>
          <w:color w:val="000000" w:themeColor="text1"/>
          <w:lang w:val="ru-RU"/>
        </w:rPr>
        <w:t>Инициаторами организации этой секции являются работники, которые самым тесным образом связаны с авиацией, причём которые связаны с авиацией не в последние го</w:t>
      </w:r>
      <w:r w:rsidRPr="00070ADE">
        <w:rPr>
          <w:color w:val="000000" w:themeColor="text1"/>
          <w:lang w:val="ru-RU"/>
        </w:rPr>
        <w:softHyphen/>
        <w:t>ды, а десятки лет. В частности, я работаю с 1914 г., т.е. 30 лет, Борис Николаевич Юрь</w:t>
      </w:r>
      <w:r w:rsidRPr="00070ADE">
        <w:rPr>
          <w:color w:val="000000" w:themeColor="text1"/>
          <w:lang w:val="ru-RU"/>
        </w:rPr>
        <w:softHyphen/>
        <w:t>ев тоже 30 лет, Александр Александрович Микулин тоже начал работать совместно со мной очень давно. И вот инициаторы организации этой секции поставили этот вопрос потому, что они на собственной спине, простите за грубое выражение, почувствовали необходимость такого объединения. Разве мы ставим этот вопрос потому, что нам не</w:t>
      </w:r>
      <w:r w:rsidRPr="00070ADE">
        <w:rPr>
          <w:color w:val="000000" w:themeColor="text1"/>
          <w:lang w:val="ru-RU"/>
        </w:rPr>
        <w:softHyphen/>
        <w:t>где организовать научную работу? Конечно, нет. У меня в Академии (Военно-Воздуш- ная) прекрасные лаборатории, очень солидная база для работ, Б.Н. Юрьев также имеет прекрасно оборудованные лаборатории, А.А. Микулин тоже не испытывает в этом недо</w:t>
      </w:r>
      <w:r w:rsidRPr="00070ADE">
        <w:rPr>
          <w:color w:val="000000" w:themeColor="text1"/>
          <w:lang w:val="ru-RU"/>
        </w:rPr>
        <w:softHyphen/>
        <w:t>статка — имеет великолепный завод, где могут делаться чудесные вещи. У нас с А.А. Микулиным и Б.Н. Юрьевым прекрасные взаимоотношения и в порядке дружеских взаимо</w:t>
      </w:r>
      <w:r w:rsidRPr="00070ADE">
        <w:rPr>
          <w:color w:val="000000" w:themeColor="text1"/>
          <w:lang w:val="ru-RU"/>
        </w:rPr>
        <w:softHyphen/>
        <w:t>отношений мы можем делать друг для друга очень многое. Но не в этом дело. А нам ва</w:t>
      </w:r>
      <w:r w:rsidRPr="00070ADE">
        <w:rPr>
          <w:color w:val="000000" w:themeColor="text1"/>
          <w:lang w:val="ru-RU"/>
        </w:rPr>
        <w:softHyphen/>
        <w:t>жно, чтобы это объединение было где-то санкционировано, чтобы я имел право не по дружбе с А.А. координировать свою работу, а по долгу и обязанности, потому что А.А. является членом этой секции.</w:t>
      </w:r>
    </w:p>
    <w:p w14:paraId="44794826" w14:textId="77777777" w:rsidR="00057A35" w:rsidRPr="00070ADE" w:rsidRDefault="00057A35" w:rsidP="00B56F90">
      <w:pPr>
        <w:pStyle w:val="a3"/>
        <w:rPr>
          <w:color w:val="000000" w:themeColor="text1"/>
          <w:lang w:val="ru-RU"/>
        </w:rPr>
      </w:pPr>
      <w:r w:rsidRPr="00070ADE">
        <w:rPr>
          <w:color w:val="000000" w:themeColor="text1"/>
          <w:lang w:val="ru-RU"/>
        </w:rPr>
        <w:t>Основная задача этой секции есть координация и объединение наших научных сил, виднейших работников авиации, для того, чтобы направлять работу по решению основ</w:t>
      </w:r>
      <w:r w:rsidRPr="00070ADE">
        <w:rPr>
          <w:color w:val="000000" w:themeColor="text1"/>
          <w:lang w:val="ru-RU"/>
        </w:rPr>
        <w:softHyphen/>
        <w:t>ных. наиболее важных проблем не только сегодняшнего дня, но и проблем завтраш</w:t>
      </w:r>
      <w:r w:rsidRPr="00070ADE">
        <w:rPr>
          <w:color w:val="000000" w:themeColor="text1"/>
          <w:lang w:val="ru-RU"/>
        </w:rPr>
        <w:softHyphen/>
        <w:t>него дня и далекого будущего.</w:t>
      </w:r>
    </w:p>
    <w:p w14:paraId="7BD1BC08" w14:textId="77777777" w:rsidR="00057A35" w:rsidRPr="00070ADE" w:rsidRDefault="00057A35" w:rsidP="00B56F90">
      <w:pPr>
        <w:pStyle w:val="a3"/>
        <w:rPr>
          <w:color w:val="000000" w:themeColor="text1"/>
          <w:lang w:val="ru-RU"/>
        </w:rPr>
      </w:pPr>
      <w:r w:rsidRPr="00070ADE">
        <w:rPr>
          <w:color w:val="000000" w:themeColor="text1"/>
          <w:lang w:val="ru-RU"/>
        </w:rPr>
        <w:t>Затем важна не только координация, но большое значение имеет и организация по</w:t>
      </w:r>
      <w:r w:rsidRPr="00070ADE">
        <w:rPr>
          <w:color w:val="000000" w:themeColor="text1"/>
          <w:lang w:val="ru-RU"/>
        </w:rPr>
        <w:softHyphen/>
        <w:t>становки самой научно-исследовательской работы. Это вторая очень важная задача. Ор</w:t>
      </w:r>
      <w:r w:rsidRPr="00070ADE">
        <w:rPr>
          <w:color w:val="000000" w:themeColor="text1"/>
          <w:lang w:val="ru-RU"/>
        </w:rPr>
        <w:softHyphen/>
        <w:t>ганизовать правильно научно-исследовательскую работу это значит на три четверти ое решить. Здесь приводили пример. А.А. Байков сказал, что не всегда удавалось довести дело до конца. Но почему? Потому что завод в течение нескольких лет кустарничал, ре</w:t>
      </w:r>
      <w:r w:rsidRPr="00070ADE">
        <w:rPr>
          <w:color w:val="000000" w:themeColor="text1"/>
          <w:lang w:val="ru-RU"/>
        </w:rPr>
        <w:softHyphen/>
        <w:t>шал своими собственными силами, в отрыве от науки. Но когда мы правильно подошли к этому вопросу и решили его, они достигли правильных результатов. Нам нужно в та</w:t>
      </w:r>
      <w:r w:rsidRPr="00070ADE">
        <w:rPr>
          <w:color w:val="000000" w:themeColor="text1"/>
          <w:lang w:val="ru-RU"/>
        </w:rPr>
        <w:softHyphen/>
        <w:t>ких случаях прийти на помощь — там, где это нужно. Там, где имеются свои силы, где всё великолепно выполняется, дело будет идти и без нас. Это вторая задача.</w:t>
      </w:r>
    </w:p>
    <w:p w14:paraId="38278421" w14:textId="77777777" w:rsidR="00057A35" w:rsidRPr="00070ADE" w:rsidRDefault="00057A35" w:rsidP="00B56F90">
      <w:pPr>
        <w:pStyle w:val="a3"/>
        <w:rPr>
          <w:color w:val="000000" w:themeColor="text1"/>
          <w:lang w:val="ru-RU"/>
        </w:rPr>
      </w:pPr>
      <w:r w:rsidRPr="00070ADE">
        <w:rPr>
          <w:color w:val="000000" w:themeColor="text1"/>
          <w:lang w:val="ru-RU"/>
        </w:rPr>
        <w:t>И третья задача — активное участие в решении проблем каждого члена секции. Если академик является членом этой секции, он будет не просто лицом, приходящим погово</w:t>
      </w:r>
      <w:r w:rsidRPr="00070ADE">
        <w:rPr>
          <w:color w:val="000000" w:themeColor="text1"/>
          <w:lang w:val="ru-RU"/>
        </w:rPr>
        <w:softHyphen/>
        <w:t>рить, позаседать, — он является прежде всего организатором этого дела, он ведет опре</w:t>
      </w:r>
      <w:r w:rsidRPr="00070ADE">
        <w:rPr>
          <w:color w:val="000000" w:themeColor="text1"/>
          <w:lang w:val="ru-RU"/>
        </w:rPr>
        <w:softHyphen/>
        <w:t>деленный участок работы, возглавляет его и доводит до конца. Ясно, что решение крупных проблем требует надлежащих учреждений, лабораторной базы, потому что проблемы авиации решать только с карандашом в руках и с листами бумаги совершенно невозмо</w:t>
      </w:r>
      <w:r w:rsidRPr="00070ADE">
        <w:rPr>
          <w:color w:val="000000" w:themeColor="text1"/>
          <w:lang w:val="ru-RU"/>
        </w:rPr>
        <w:softHyphen/>
        <w:t>жно. Поэтому ясно, что все члены секции будут опираться прежде всего на учреждения Академии Наук, с которыми они тесно связаны, во-вторых, на другие учреждения и орга</w:t>
      </w:r>
      <w:r w:rsidRPr="00070ADE">
        <w:rPr>
          <w:color w:val="000000" w:themeColor="text1"/>
          <w:lang w:val="ru-RU"/>
        </w:rPr>
        <w:softHyphen/>
        <w:t>низации, конструкторские бюро, заводы и Военно-Воздушную Академию с тем, чтобы эти учреждения были теми рычагами, которые они могли бы поворачивать в нужную сторону. Поэтому я лично считаю, что кроме пользы эта секция нашей стране принести не может».</w:t>
      </w:r>
    </w:p>
    <w:p w14:paraId="5F04BE54" w14:textId="77777777" w:rsidR="00057A35" w:rsidRPr="00070ADE" w:rsidRDefault="00057A35" w:rsidP="00B56F90">
      <w:pPr>
        <w:pStyle w:val="a3"/>
        <w:rPr>
          <w:color w:val="000000" w:themeColor="text1"/>
          <w:lang w:val="ru-RU"/>
        </w:rPr>
      </w:pPr>
      <w:r w:rsidRPr="00070ADE">
        <w:rPr>
          <w:color w:val="000000" w:themeColor="text1"/>
          <w:lang w:val="ru-RU"/>
        </w:rPr>
        <w:t>Следующим выступающим на распорядительном заседании был академик Б.Н. Юрьев:</w:t>
      </w:r>
    </w:p>
    <w:p w14:paraId="54067C46" w14:textId="77777777" w:rsidR="00057A35" w:rsidRPr="00070ADE" w:rsidRDefault="00057A35" w:rsidP="00B56F90">
      <w:pPr>
        <w:pStyle w:val="a3"/>
        <w:rPr>
          <w:color w:val="000000" w:themeColor="text1"/>
          <w:lang w:val="ru-RU"/>
        </w:rPr>
      </w:pPr>
      <w:r w:rsidRPr="00070ADE">
        <w:rPr>
          <w:color w:val="000000" w:themeColor="text1"/>
          <w:lang w:val="ru-RU"/>
        </w:rPr>
        <w:t>«Я выступаю по этому вопросу уже третий раз, поэтому постараюсь быть возможно бо</w:t>
      </w:r>
      <w:r w:rsidRPr="00070ADE">
        <w:rPr>
          <w:color w:val="000000" w:themeColor="text1"/>
          <w:lang w:val="ru-RU"/>
        </w:rPr>
        <w:softHyphen/>
        <w:t>лее кратким и лишь напомню товарищам в чем дело.</w:t>
      </w:r>
    </w:p>
    <w:p w14:paraId="17DA6884" w14:textId="77777777" w:rsidR="00057A35" w:rsidRPr="00070ADE" w:rsidRDefault="00057A35" w:rsidP="00B56F90">
      <w:pPr>
        <w:pStyle w:val="a3"/>
        <w:rPr>
          <w:color w:val="000000" w:themeColor="text1"/>
          <w:lang w:val="ru-RU"/>
        </w:rPr>
      </w:pPr>
      <w:r w:rsidRPr="00070ADE">
        <w:rPr>
          <w:color w:val="000000" w:themeColor="text1"/>
          <w:lang w:val="ru-RU"/>
        </w:rPr>
        <w:t>Речь идет о том, что в Академии Наук не было секции авиации и вопросы авиации изу</w:t>
      </w:r>
      <w:r w:rsidRPr="00070ADE">
        <w:rPr>
          <w:color w:val="000000" w:themeColor="text1"/>
          <w:lang w:val="ru-RU"/>
        </w:rPr>
        <w:softHyphen/>
        <w:t>чались сравнительно очень мало. Происходило это по целому ряду причин. Главным об</w:t>
      </w:r>
      <w:r w:rsidRPr="00070ADE">
        <w:rPr>
          <w:color w:val="000000" w:themeColor="text1"/>
          <w:lang w:val="ru-RU"/>
        </w:rPr>
        <w:softHyphen/>
        <w:t>разом происходило это от того, что в Академии Наук было мало специалистов в этой об</w:t>
      </w:r>
      <w:r w:rsidRPr="00070ADE">
        <w:rPr>
          <w:color w:val="000000" w:themeColor="text1"/>
          <w:lang w:val="ru-RU"/>
        </w:rPr>
        <w:softHyphen/>
        <w:t>ласти. Между тем надо сказать, что постановке научно-исследовательских работ в обла</w:t>
      </w:r>
      <w:r w:rsidRPr="00070ADE">
        <w:rPr>
          <w:color w:val="000000" w:themeColor="text1"/>
          <w:lang w:val="ru-RU"/>
        </w:rPr>
        <w:softHyphen/>
        <w:t>сти авиации во всех странах придается огромное значение, в частности, с точки зрения подготовки научных основ для развития авиации. В ряде стран существуют специальные Комитеты, которые играют большую роль. И у нас такие работы выполнялись, но никто их не координировал. Вместе с тем у нас происходил быстрый рост научно-исследова</w:t>
      </w:r>
      <w:r w:rsidRPr="00070ADE">
        <w:rPr>
          <w:color w:val="000000" w:themeColor="text1"/>
          <w:lang w:val="ru-RU"/>
        </w:rPr>
        <w:softHyphen/>
        <w:t>тельский учреждений, занимающихся вопросами авиации. В результате сейчас мы име</w:t>
      </w:r>
      <w:r w:rsidRPr="00070ADE">
        <w:rPr>
          <w:color w:val="000000" w:themeColor="text1"/>
          <w:lang w:val="ru-RU"/>
        </w:rPr>
        <w:softHyphen/>
        <w:t>ем огромную сеть научно-исследовательских авиационных организаций: ЦАГИ, ЦИАМ, ВИАМ, ЛИИ — Летно-испытательный институт, мы имеем НИИ ВВС, НИИ Наркомата вооружений, НИИ специальных служб, НИИ авиационной медицины, НИИ-5 — по спецза</w:t>
      </w:r>
      <w:r w:rsidRPr="00070ADE">
        <w:rPr>
          <w:color w:val="000000" w:themeColor="text1"/>
          <w:lang w:val="ru-RU"/>
        </w:rPr>
        <w:softHyphen/>
        <w:t>данию Костикова, НИИ гражданского воздушного флота. И в самой Академии частично разрабатываются темы в области авиации: в Институте механики, в Математическом ин- те, в Ин-те машиноведения, в Секции проблем транспорта. Таким образом, можно на</w:t>
      </w:r>
      <w:r w:rsidRPr="00070ADE">
        <w:rPr>
          <w:color w:val="000000" w:themeColor="text1"/>
          <w:lang w:val="ru-RU"/>
        </w:rPr>
        <w:softHyphen/>
        <w:t>считать около 15 ин-тов. К ним надо прибавить ряд мощных вузов — Московский авиа</w:t>
      </w:r>
      <w:r w:rsidRPr="00070ADE">
        <w:rPr>
          <w:color w:val="000000" w:themeColor="text1"/>
          <w:lang w:val="ru-RU"/>
        </w:rPr>
        <w:softHyphen/>
        <w:t>ционный ин-т, Военно-Воздушную Академию, ГАИ и т.д., т.е. имеется довольно мощная сеть авиационных вузов, в которых также имеется лабораторная база. Таким образом, у нас имеется мощная организация, к сожалению, по существу её нельзя даже назвать ор</w:t>
      </w:r>
      <w:r w:rsidRPr="00070ADE">
        <w:rPr>
          <w:color w:val="000000" w:themeColor="text1"/>
          <w:lang w:val="ru-RU"/>
        </w:rPr>
        <w:softHyphen/>
        <w:t>ганизацией. потому что эти научно-исследовательские организации и вузы находятся по крайней мере в пяти наркоматах: в Наркомате авиационной промышленности, в Управ</w:t>
      </w:r>
      <w:r w:rsidRPr="00070ADE">
        <w:rPr>
          <w:color w:val="000000" w:themeColor="text1"/>
          <w:lang w:val="ru-RU"/>
        </w:rPr>
        <w:softHyphen/>
        <w:t>лении Военно-воздушных сил. АДД-</w:t>
      </w:r>
      <w:r w:rsidRPr="00070ADE">
        <w:rPr>
          <w:color w:val="000000" w:themeColor="text1"/>
          <w:vertAlign w:val="superscript"/>
          <w:lang w:val="ru-RU"/>
        </w:rPr>
        <w:t>3</w:t>
      </w:r>
      <w:r w:rsidRPr="00070ADE">
        <w:rPr>
          <w:color w:val="000000" w:themeColor="text1"/>
          <w:lang w:val="ru-RU"/>
        </w:rPr>
        <w:t>. Наркомморфлоте. Гражданском воздушном флоте. Поэтому совершенно естественно, что мы наблюдаем чудовищный параллелизм и не</w:t>
      </w:r>
      <w:r w:rsidRPr="00070ADE">
        <w:rPr>
          <w:color w:val="000000" w:themeColor="text1"/>
          <w:lang w:val="ru-RU"/>
        </w:rPr>
        <w:softHyphen/>
        <w:t>увязку при осуществлении целого ряда принципиальных вопросов.</w:t>
      </w:r>
    </w:p>
    <w:p w14:paraId="30E856B0" w14:textId="77777777" w:rsidR="00057A35" w:rsidRPr="00070ADE" w:rsidRDefault="00057A35" w:rsidP="00B56F90">
      <w:pPr>
        <w:pStyle w:val="a3"/>
        <w:rPr>
          <w:color w:val="000000" w:themeColor="text1"/>
          <w:lang w:val="ru-RU"/>
        </w:rPr>
      </w:pPr>
      <w:r w:rsidRPr="00070ADE">
        <w:rPr>
          <w:color w:val="000000" w:themeColor="text1"/>
          <w:lang w:val="ru-RU"/>
        </w:rPr>
        <w:t>За границей, помимо того, что имеются или специальные комитеты или, как сейчас почти во всех академиях, имеются какие-то организации или даже выделены специаль</w:t>
      </w:r>
      <w:r w:rsidRPr="00070ADE">
        <w:rPr>
          <w:color w:val="000000" w:themeColor="text1"/>
          <w:lang w:val="ru-RU"/>
        </w:rPr>
        <w:softHyphen/>
        <w:t>ные академии (например, в Германии), помимо этого созданы специальные организа</w:t>
      </w:r>
      <w:r w:rsidRPr="00070ADE">
        <w:rPr>
          <w:color w:val="000000" w:themeColor="text1"/>
          <w:lang w:val="ru-RU"/>
        </w:rPr>
        <w:softHyphen/>
        <w:t>ции, которые занимаются чисто научно-исследовательскими вопросами наряду с теми комитетами, которые ведут научно-организационную работу».</w:t>
      </w:r>
    </w:p>
    <w:p w14:paraId="5C526365" w14:textId="77777777" w:rsidR="00057A35" w:rsidRPr="00070ADE" w:rsidRDefault="00057A35" w:rsidP="00B56F90">
      <w:pPr>
        <w:pStyle w:val="a3"/>
        <w:rPr>
          <w:color w:val="000000" w:themeColor="text1"/>
          <w:lang w:val="ru-RU"/>
        </w:rPr>
      </w:pPr>
      <w:r w:rsidRPr="00070ADE">
        <w:rPr>
          <w:color w:val="000000" w:themeColor="text1"/>
          <w:lang w:val="ru-RU"/>
        </w:rPr>
        <w:t>Далее Юрьев отделил исследовательские функции секции от организационных:</w:t>
      </w:r>
    </w:p>
    <w:p w14:paraId="5FBC0224" w14:textId="77777777" w:rsidR="00057A35" w:rsidRPr="00070ADE" w:rsidRDefault="00057A35" w:rsidP="00B56F90">
      <w:pPr>
        <w:pStyle w:val="a3"/>
        <w:rPr>
          <w:color w:val="000000" w:themeColor="text1"/>
          <w:lang w:val="ru-RU"/>
        </w:rPr>
      </w:pPr>
      <w:r w:rsidRPr="00070ADE">
        <w:rPr>
          <w:color w:val="000000" w:themeColor="text1"/>
          <w:lang w:val="ru-RU"/>
        </w:rPr>
        <w:t>«Отсюда возникает вопрос: какое же должно быть место Академии Наук в такого ро</w:t>
      </w:r>
      <w:r w:rsidRPr="00070ADE">
        <w:rPr>
          <w:color w:val="000000" w:themeColor="text1"/>
          <w:lang w:val="ru-RU"/>
        </w:rPr>
        <w:softHyphen/>
        <w:t>да учреждениях? Мы считаем, что мы не должны переходить на комитетские рельсы. Здесь будет чрезмерно много научно-организационной работы, для этого нужна специ</w:t>
      </w:r>
      <w:r w:rsidRPr="00070ADE">
        <w:rPr>
          <w:color w:val="000000" w:themeColor="text1"/>
          <w:lang w:val="ru-RU"/>
        </w:rPr>
        <w:softHyphen/>
        <w:t>альная организация, вынесенная за пределы Академии Наук. Мы можем взять научные функции и координацию по некоторым наиболее важным принципиальным вопросам, а дело дальнейшего и дело правительства создать соответствующий комитет.</w:t>
      </w:r>
    </w:p>
    <w:p w14:paraId="4AAB00DC" w14:textId="77777777" w:rsidR="00057A35" w:rsidRPr="00070ADE" w:rsidRDefault="00057A35" w:rsidP="00B56F90">
      <w:pPr>
        <w:pStyle w:val="a3"/>
        <w:rPr>
          <w:color w:val="000000" w:themeColor="text1"/>
          <w:lang w:val="ru-RU"/>
        </w:rPr>
      </w:pPr>
      <w:r w:rsidRPr="00070ADE">
        <w:rPr>
          <w:color w:val="000000" w:themeColor="text1"/>
          <w:lang w:val="ru-RU"/>
        </w:rPr>
        <w:t>Что имеет Академия в настоящее время? Как известно, выборы проходили в известном смысле под знаком авиации: в результате мы имеем сейчас очень большие силы, сосре</w:t>
      </w:r>
      <w:r w:rsidRPr="00070ADE">
        <w:rPr>
          <w:color w:val="000000" w:themeColor="text1"/>
          <w:lang w:val="ru-RU"/>
        </w:rPr>
        <w:softHyphen/>
        <w:t>доточенные в Академии Наук. Действительных членов у нас, связанных с авиацией, 9 че</w:t>
      </w:r>
      <w:r w:rsidRPr="00070ADE">
        <w:rPr>
          <w:color w:val="000000" w:themeColor="text1"/>
          <w:lang w:val="ru-RU"/>
        </w:rPr>
        <w:softHyphen/>
        <w:t>ловек — Бруевич, Кулебакин, Лейбензон, Кочин, Христианович, Юрьев, Чудаков, Благонравов. Это лица, которые своими служебными функциями и непосредственными научны</w:t>
      </w:r>
      <w:r w:rsidRPr="00070ADE">
        <w:rPr>
          <w:color w:val="000000" w:themeColor="text1"/>
          <w:lang w:val="ru-RU"/>
        </w:rPr>
        <w:softHyphen/>
        <w:t>ми интересами связаны с авиацией. Членов-корреспондентов у нас 11 человек: Климов, Кибель, Костиков, Некрасов, Четаев, Туполев, Беляев, Ковапенков, Яковлев, Голубев. Все</w:t>
      </w:r>
      <w:r w:rsidRPr="00070ADE">
        <w:rPr>
          <w:color w:val="000000" w:themeColor="text1"/>
          <w:lang w:val="ru-RU"/>
        </w:rPr>
        <w:softHyphen/>
        <w:t>го 20 человек действительных членов и членов-корреспондентов. Кроме того, очень мно</w:t>
      </w:r>
      <w:r w:rsidRPr="00070ADE">
        <w:rPr>
          <w:color w:val="000000" w:themeColor="text1"/>
          <w:lang w:val="ru-RU"/>
        </w:rPr>
        <w:softHyphen/>
        <w:t>го академиков занимается тематикой, тесно связанной с авиацией: академики Кирпичев, Мусхелишвили, Образцов. Таким образом, Академия имеет очень большие силы, непо</w:t>
      </w:r>
      <w:r w:rsidRPr="00070ADE">
        <w:rPr>
          <w:color w:val="000000" w:themeColor="text1"/>
          <w:lang w:val="ru-RU"/>
        </w:rPr>
        <w:softHyphen/>
        <w:t>средственно работающие в области авиации или очень тесно связанные с пробле</w:t>
      </w:r>
      <w:r w:rsidRPr="00070ADE">
        <w:rPr>
          <w:color w:val="000000" w:themeColor="text1"/>
          <w:lang w:val="ru-RU"/>
        </w:rPr>
        <w:softHyphen/>
        <w:t>матикой авиации.</w:t>
      </w:r>
    </w:p>
    <w:p w14:paraId="1D4CD356" w14:textId="77777777" w:rsidR="00057A35" w:rsidRPr="00070ADE" w:rsidRDefault="00057A35" w:rsidP="00B56F90">
      <w:pPr>
        <w:pStyle w:val="a3"/>
        <w:rPr>
          <w:color w:val="000000" w:themeColor="text1"/>
          <w:lang w:val="ru-RU"/>
        </w:rPr>
      </w:pPr>
      <w:r w:rsidRPr="00070ADE">
        <w:rPr>
          <w:color w:val="000000" w:themeColor="text1"/>
          <w:lang w:val="ru-RU"/>
        </w:rPr>
        <w:t>Совершенно естествен</w:t>
      </w:r>
      <w:r w:rsidRPr="00070ADE">
        <w:rPr>
          <w:color w:val="000000" w:themeColor="text1"/>
          <w:lang w:val="ru-RU"/>
        </w:rPr>
        <w:softHyphen/>
        <w:t>но, что у товарищей, из</w:t>
      </w:r>
      <w:r w:rsidRPr="00070ADE">
        <w:rPr>
          <w:color w:val="000000" w:themeColor="text1"/>
          <w:lang w:val="ru-RU"/>
        </w:rPr>
        <w:softHyphen/>
        <w:t>бранных и получивших соответственное напутст</w:t>
      </w:r>
      <w:r w:rsidRPr="00070ADE">
        <w:rPr>
          <w:color w:val="000000" w:themeColor="text1"/>
          <w:lang w:val="ru-RU"/>
        </w:rPr>
        <w:softHyphen/>
        <w:t>вие, возник вопрос о не</w:t>
      </w:r>
      <w:r w:rsidRPr="00070ADE">
        <w:rPr>
          <w:color w:val="000000" w:themeColor="text1"/>
          <w:lang w:val="ru-RU"/>
        </w:rPr>
        <w:softHyphen/>
        <w:t>обходимости при наличии таких больших сил и того положения, которое зани</w:t>
      </w:r>
      <w:r w:rsidRPr="00070ADE">
        <w:rPr>
          <w:color w:val="000000" w:themeColor="text1"/>
          <w:lang w:val="ru-RU"/>
        </w:rPr>
        <w:softHyphen/>
        <w:t>мает Академия Наук, ког</w:t>
      </w:r>
      <w:r w:rsidRPr="00070ADE">
        <w:rPr>
          <w:color w:val="000000" w:themeColor="text1"/>
          <w:lang w:val="ru-RU"/>
        </w:rPr>
        <w:softHyphen/>
        <w:t>да она должна быть шта</w:t>
      </w:r>
      <w:r w:rsidRPr="00070ADE">
        <w:rPr>
          <w:color w:val="000000" w:themeColor="text1"/>
          <w:lang w:val="ru-RU"/>
        </w:rPr>
        <w:softHyphen/>
        <w:t>бом научной мысли по ос</w:t>
      </w:r>
      <w:r w:rsidRPr="00070ADE">
        <w:rPr>
          <w:color w:val="000000" w:themeColor="text1"/>
          <w:lang w:val="ru-RU"/>
        </w:rPr>
        <w:softHyphen/>
        <w:t>новным во всяком случае дисциплинам, организации такой секции. Это чувствуется на местах. Когда каждый из нас, авиационных работников, попадает в соответствующие учреждения, ему задают вопрос: как будете нам помогать, в чем выразится ваша помощь?</w:t>
      </w:r>
    </w:p>
    <w:p w14:paraId="275454CC" w14:textId="77777777" w:rsidR="00057A35" w:rsidRPr="00070ADE" w:rsidRDefault="00057A35" w:rsidP="00B56F90">
      <w:pPr>
        <w:pStyle w:val="a3"/>
        <w:rPr>
          <w:color w:val="000000" w:themeColor="text1"/>
          <w:lang w:val="ru-RU"/>
        </w:rPr>
      </w:pPr>
      <w:r w:rsidRPr="00070ADE">
        <w:rPr>
          <w:color w:val="000000" w:themeColor="text1"/>
          <w:lang w:val="ru-RU"/>
        </w:rPr>
        <w:t>Мне удалось обменяться мнениями с рядом товарищей: с командующим воздушными силами маршалом Новиковым, его заместителем, главным инженером воздушных сил, не говоря о целом ряде других; удалось поговорить с Кокуриным (т.е. Шахуриным), с Яковлевым, который фактически руководит научной работой Наркомата авиапромыш</w:t>
      </w:r>
      <w:r w:rsidRPr="00070ADE">
        <w:rPr>
          <w:color w:val="000000" w:themeColor="text1"/>
          <w:lang w:val="ru-RU"/>
        </w:rPr>
        <w:softHyphen/>
        <w:t>ленности. Он даже изъявил согласие принять деятельное участие в работе секции.</w:t>
      </w:r>
    </w:p>
    <w:p w14:paraId="6945E5AE" w14:textId="77777777" w:rsidR="00057A35" w:rsidRPr="00070ADE" w:rsidRDefault="00057A35" w:rsidP="00B56F90">
      <w:pPr>
        <w:pStyle w:val="a3"/>
        <w:rPr>
          <w:color w:val="000000" w:themeColor="text1"/>
          <w:lang w:val="ru-RU"/>
        </w:rPr>
      </w:pPr>
      <w:r w:rsidRPr="00070ADE">
        <w:rPr>
          <w:color w:val="000000" w:themeColor="text1"/>
          <w:lang w:val="ru-RU"/>
        </w:rPr>
        <w:t>В соответствии с этим вновь избранные академики предложили Отделению техниче</w:t>
      </w:r>
      <w:r w:rsidRPr="00070ADE">
        <w:rPr>
          <w:color w:val="000000" w:themeColor="text1"/>
          <w:lang w:val="ru-RU"/>
        </w:rPr>
        <w:softHyphen/>
        <w:t>ских наук рассмотреть вопрос об организации секции авиации. Все вновь избранные и целый ряд старых академиков очень горячо откликнулись на это предложение. Был про</w:t>
      </w:r>
      <w:r w:rsidRPr="00070ADE">
        <w:rPr>
          <w:color w:val="000000" w:themeColor="text1"/>
          <w:lang w:val="ru-RU"/>
        </w:rPr>
        <w:softHyphen/>
        <w:t>ведён ряд заседаний, намечена тематика вплоть до того, что была составлена даже ан</w:t>
      </w:r>
      <w:r w:rsidRPr="00070ADE">
        <w:rPr>
          <w:color w:val="000000" w:themeColor="text1"/>
          <w:lang w:val="ru-RU"/>
        </w:rPr>
        <w:softHyphen/>
        <w:t>нотация по тому типу, как это полагается в Академии. Вопрос обсуждён всесторонне. Отделение технических наук подошло очень внимательно и строго, заставляя все вре</w:t>
      </w:r>
      <w:r w:rsidRPr="00070ADE">
        <w:rPr>
          <w:color w:val="000000" w:themeColor="text1"/>
          <w:lang w:val="ru-RU"/>
        </w:rPr>
        <w:softHyphen/>
        <w:t>мя сокращать тематику, поскольку дело надо разворачивать заново, поскольку это де</w:t>
      </w:r>
      <w:r w:rsidRPr="00070ADE">
        <w:rPr>
          <w:color w:val="000000" w:themeColor="text1"/>
          <w:lang w:val="ru-RU"/>
        </w:rPr>
        <w:softHyphen/>
        <w:t>ло непривычное для Академии. Мы согласились с этим, это было правильно. Было со</w:t>
      </w:r>
      <w:r w:rsidRPr="00070ADE">
        <w:rPr>
          <w:color w:val="000000" w:themeColor="text1"/>
          <w:lang w:val="ru-RU"/>
        </w:rPr>
        <w:softHyphen/>
        <w:t>ставлено положение о секции. Оно рассматривалось, по-моему, трижды на Отделении технических наук, сделан ряд замечаний, которые мы учли. Таким образом, положение было подработано по тем правилам, по которым подрабатываются положения всех на</w:t>
      </w:r>
      <w:r w:rsidRPr="00070ADE">
        <w:rPr>
          <w:color w:val="000000" w:themeColor="text1"/>
          <w:lang w:val="ru-RU"/>
        </w:rPr>
        <w:softHyphen/>
        <w:t>ших организаций. Мы придерживались в основном в отношении организации Секции по научной разработке проблем транспорта, которая имеет большой опыт работы в Ака</w:t>
      </w:r>
      <w:r w:rsidRPr="00070ADE">
        <w:rPr>
          <w:color w:val="000000" w:themeColor="text1"/>
          <w:lang w:val="ru-RU"/>
        </w:rPr>
        <w:softHyphen/>
        <w:t>демии и опыт успешный, хотя у нас более технический уклон».</w:t>
      </w:r>
    </w:p>
    <w:p w14:paraId="398940AB" w14:textId="77777777" w:rsidR="00057A35" w:rsidRPr="00070ADE" w:rsidRDefault="00057A35" w:rsidP="00B56F90">
      <w:pPr>
        <w:pStyle w:val="a3"/>
        <w:rPr>
          <w:color w:val="000000" w:themeColor="text1"/>
          <w:lang w:val="ru-RU"/>
        </w:rPr>
      </w:pPr>
      <w:r w:rsidRPr="00070ADE">
        <w:rPr>
          <w:color w:val="000000" w:themeColor="text1"/>
          <w:lang w:val="ru-RU"/>
        </w:rPr>
        <w:t>Несомненный интерес для историков авиационной науки представляет обзор темати</w:t>
      </w:r>
      <w:r w:rsidRPr="00070ADE">
        <w:rPr>
          <w:color w:val="000000" w:themeColor="text1"/>
          <w:lang w:val="ru-RU"/>
        </w:rPr>
        <w:softHyphen/>
        <w:t>ки, предлагаемый Юрьевым для исследовательских работ секции:</w:t>
      </w:r>
    </w:p>
    <w:p w14:paraId="6182AEA5" w14:textId="77777777" w:rsidR="00057A35" w:rsidRPr="00070ADE" w:rsidRDefault="00057A35" w:rsidP="00B56F90">
      <w:pPr>
        <w:pStyle w:val="a3"/>
        <w:rPr>
          <w:color w:val="000000" w:themeColor="text1"/>
          <w:lang w:val="ru-RU"/>
        </w:rPr>
      </w:pPr>
      <w:r w:rsidRPr="00070ADE">
        <w:rPr>
          <w:color w:val="000000" w:themeColor="text1"/>
          <w:lang w:val="ru-RU"/>
        </w:rPr>
        <w:t>«...Скажу несколько слов относительно самой тематики, но опять-таки очень кратко и подробности докладывать не буду. Скажу только одно. Мы считаем, что в нашу темати</w:t>
      </w:r>
      <w:r w:rsidRPr="00070ADE">
        <w:rPr>
          <w:color w:val="000000" w:themeColor="text1"/>
          <w:lang w:val="ru-RU"/>
        </w:rPr>
        <w:softHyphen/>
        <w:t>ку должны входить вопросы, которые по тем или другим причинам недоступны отрасле-' вым ин-там, т.е. очень комплексные, захватывающие ряд ин-тов. Здесь придется сделать некоторую увязку программ работ и далее намечаются некоторые самостоятельные ра</w:t>
      </w:r>
      <w:r w:rsidRPr="00070ADE">
        <w:rPr>
          <w:color w:val="000000" w:themeColor="text1"/>
          <w:lang w:val="ru-RU"/>
        </w:rPr>
        <w:softHyphen/>
        <w:t xml:space="preserve">боты по основным проблемам. Выявлен ряд проблем, </w:t>
      </w:r>
      <w:r w:rsidRPr="00070ADE">
        <w:rPr>
          <w:color w:val="000000" w:themeColor="text1"/>
          <w:lang w:val="ru-RU"/>
        </w:rPr>
        <w:lastRenderedPageBreak/>
        <w:t>достаточно интересных, которые могут быть разрешены силами работников Академии Наук. Это прежде всего анализ пу</w:t>
      </w:r>
      <w:r w:rsidRPr="00070ADE">
        <w:rPr>
          <w:color w:val="000000" w:themeColor="text1"/>
          <w:lang w:val="ru-RU"/>
        </w:rPr>
        <w:softHyphen/>
        <w:t>тей развития самолётов (военных и гражданских). Здесь имеется в виду исследование ра</w:t>
      </w:r>
      <w:r w:rsidRPr="00070ADE">
        <w:rPr>
          <w:color w:val="000000" w:themeColor="text1"/>
          <w:lang w:val="ru-RU"/>
        </w:rPr>
        <w:softHyphen/>
        <w:t>циональных Форм и размеров самолёта и его агрегатов (винта, мотора, электроспец- оборудования и т.д.). Это как раз та область, в которой мы сильно страдаем,</w:t>
      </w:r>
      <w:r w:rsidRPr="00070ADE">
        <w:rPr>
          <w:rStyle w:val="93"/>
          <w:rFonts w:ascii="Times New Roman" w:hAnsi="Times New Roman" w:cs="Times New Roman"/>
          <w:b w:val="0"/>
          <w:color w:val="000000" w:themeColor="text1"/>
          <w:spacing w:val="0"/>
          <w:sz w:val="16"/>
          <w:szCs w:val="16"/>
          <w:lang w:val="ru-RU"/>
        </w:rPr>
        <w:t xml:space="preserve"> тут у</w:t>
      </w:r>
      <w:r w:rsidRPr="00070ADE">
        <w:rPr>
          <w:color w:val="000000" w:themeColor="text1"/>
          <w:lang w:val="ru-RU"/>
        </w:rPr>
        <w:t xml:space="preserve"> нас много неполадок. Надо сказать, что сейчас в мировой авиации самолёт берется как це</w:t>
      </w:r>
      <w:r w:rsidRPr="00070ADE">
        <w:rPr>
          <w:color w:val="000000" w:themeColor="text1"/>
          <w:lang w:val="ru-RU"/>
        </w:rPr>
        <w:softHyphen/>
        <w:t>лое, причем рассматривается как чрезвы</w:t>
      </w:r>
      <w:r w:rsidRPr="00070ADE">
        <w:rPr>
          <w:color w:val="000000" w:themeColor="text1"/>
          <w:lang w:val="ru-RU"/>
        </w:rPr>
        <w:softHyphen/>
        <w:t>чайно сложная система. Последние загра</w:t>
      </w:r>
      <w:r w:rsidRPr="00070ADE">
        <w:rPr>
          <w:color w:val="000000" w:themeColor="text1"/>
          <w:lang w:val="ru-RU"/>
        </w:rPr>
        <w:softHyphen/>
        <w:t>ничные работы, с которыми мы имели воз</w:t>
      </w:r>
      <w:r w:rsidRPr="00070ADE">
        <w:rPr>
          <w:color w:val="000000" w:themeColor="text1"/>
          <w:lang w:val="ru-RU"/>
        </w:rPr>
        <w:softHyphen/>
        <w:t>можность познакомиться, буквально поражают широким охватом: самолёт берется сейчас только как целое, причём как очень сложная система. Для разрешения этой проблемы у нас достаточно сил. Кто выра</w:t>
      </w:r>
      <w:r w:rsidRPr="00070ADE">
        <w:rPr>
          <w:color w:val="000000" w:themeColor="text1"/>
          <w:lang w:val="ru-RU"/>
        </w:rPr>
        <w:softHyphen/>
        <w:t>зил желание участвовать в этой работе? Юрь</w:t>
      </w:r>
      <w:r w:rsidRPr="00070ADE">
        <w:rPr>
          <w:color w:val="000000" w:themeColor="text1"/>
          <w:lang w:val="ru-RU"/>
        </w:rPr>
        <w:softHyphen/>
        <w:t>ев, Туполев, Горощенко, Яковлев, Микулин, Кулебакин. Если привлечь еще нескольких ве</w:t>
      </w:r>
      <w:r w:rsidRPr="00070ADE">
        <w:rPr>
          <w:color w:val="000000" w:themeColor="text1"/>
          <w:lang w:val="ru-RU"/>
        </w:rPr>
        <w:softHyphen/>
        <w:t>дущих работников из научно-исследователь</w:t>
      </w:r>
      <w:r w:rsidRPr="00070ADE">
        <w:rPr>
          <w:color w:val="000000" w:themeColor="text1"/>
          <w:lang w:val="ru-RU"/>
        </w:rPr>
        <w:softHyphen/>
        <w:t>ских организаций, то получим возможность дать широкое освещение этим вопросам.</w:t>
      </w:r>
    </w:p>
    <w:p w14:paraId="6D72D791" w14:textId="77777777" w:rsidR="00057A35" w:rsidRPr="00070ADE" w:rsidRDefault="00057A35" w:rsidP="00B56F90">
      <w:pPr>
        <w:pStyle w:val="a3"/>
        <w:rPr>
          <w:color w:val="000000" w:themeColor="text1"/>
          <w:lang w:val="ru-RU"/>
        </w:rPr>
      </w:pPr>
      <w:r w:rsidRPr="00070ADE">
        <w:rPr>
          <w:color w:val="000000" w:themeColor="text1"/>
          <w:lang w:val="ru-RU"/>
        </w:rPr>
        <w:t xml:space="preserve">Следующий вопрос, который также имеет очень большое значение в настоящих усло- - это анализ развития геликоптёра. Здесь мы имеем очень большие успехи. При- надо сказать, что Америка в лице Сикорского своровала то, что у нас было сделано </w:t>
      </w:r>
      <w:r w:rsidRPr="00070ADE">
        <w:rPr>
          <w:color w:val="000000" w:themeColor="text1"/>
        </w:rPr>
        <w:t>I</w:t>
      </w:r>
      <w:r w:rsidRPr="00070ADE">
        <w:rPr>
          <w:color w:val="000000" w:themeColor="text1"/>
          <w:lang w:val="ru-RU"/>
        </w:rPr>
        <w:t>сейчас мы видим, как широко там это применено. Совершенно ясно, что в этой обла- нам важно как можно шире поставить научные исследования и дать многим вопро- научное освещение.</w:t>
      </w:r>
    </w:p>
    <w:p w14:paraId="69C4B788" w14:textId="77777777" w:rsidR="00057A35" w:rsidRPr="00070ADE" w:rsidRDefault="00057A35" w:rsidP="00B56F90">
      <w:pPr>
        <w:pStyle w:val="a3"/>
        <w:rPr>
          <w:color w:val="000000" w:themeColor="text1"/>
          <w:lang w:val="ru-RU"/>
        </w:rPr>
      </w:pPr>
      <w:r w:rsidRPr="00070ADE">
        <w:rPr>
          <w:color w:val="000000" w:themeColor="text1"/>
          <w:lang w:val="ru-RU"/>
        </w:rPr>
        <w:t xml:space="preserve">Третья тема — ракетный полёт. Тут перед нами стоит задача исследования ближайших ложностей ракетного полёта. Здесь мы также имеем ряд ведущих специалистов, ко- </w:t>
      </w:r>
      <w:r w:rsidRPr="00070ADE">
        <w:rPr>
          <w:color w:val="000000" w:themeColor="text1"/>
        </w:rPr>
        <w:t>je</w:t>
      </w:r>
      <w:r w:rsidRPr="00070ADE">
        <w:rPr>
          <w:color w:val="000000" w:themeColor="text1"/>
          <w:lang w:val="ru-RU"/>
        </w:rPr>
        <w:t xml:space="preserve"> могут быть использованы для осуществления этой работы. Мы знаем, что за гра- дей в этом отношении ведутся сейчас очень большие работы и нам надо стараться не тавать. К этим работам могут быть привлечены Костиков, Абрамович из ЦАГИ, проф. чкин и еще ряд других. Причём, конечно, вопрос этот комплексный, очень сложный, эаботка будет вестись, конечно, с привлечением институтов Академии. Затем предполагается ряд работ по исследованиям в области методов расчёта летатель аппаратов и их частей, отдельных узлов. Прежде всего здесь имеется в виду введение работ по устойчивости и управляемости самолёта. В этой области многое ! сделано, но не доведено до единого понимания во всех многочисленных институтах, эрые этим занимаются. Что из-за этого происходит масса недоразумений — всем ясно, потому что мы прини- </w:t>
      </w:r>
      <w:r w:rsidRPr="00070ADE">
        <w:rPr>
          <w:rStyle w:val="49MSReferenceSansSerif"/>
          <w:rFonts w:ascii="Times New Roman" w:hAnsi="Times New Roman" w:cs="Times New Roman"/>
          <w:b w:val="0"/>
          <w:i w:val="0"/>
          <w:color w:val="000000" w:themeColor="text1"/>
          <w:sz w:val="16"/>
          <w:szCs w:val="16"/>
          <w:lang w:val="ru-RU"/>
        </w:rPr>
        <w:t>зм</w:t>
      </w:r>
      <w:r w:rsidRPr="00070ADE">
        <w:rPr>
          <w:color w:val="000000" w:themeColor="text1"/>
          <w:lang w:val="ru-RU"/>
        </w:rPr>
        <w:t xml:space="preserve"> самолёты, испытываем иногда по одной методике, рассчитываем по другой и де- </w:t>
      </w:r>
      <w:r w:rsidRPr="00070ADE">
        <w:rPr>
          <w:rStyle w:val="49MSReferenceSansSerif"/>
          <w:rFonts w:ascii="Times New Roman" w:hAnsi="Times New Roman" w:cs="Times New Roman"/>
          <w:b w:val="0"/>
          <w:i w:val="0"/>
          <w:color w:val="000000" w:themeColor="text1"/>
          <w:sz w:val="16"/>
          <w:szCs w:val="16"/>
          <w:lang w:val="ru-RU"/>
        </w:rPr>
        <w:t>эм</w:t>
      </w:r>
      <w:r w:rsidRPr="00070ADE">
        <w:rPr>
          <w:color w:val="000000" w:themeColor="text1"/>
          <w:lang w:val="ru-RU"/>
        </w:rPr>
        <w:t xml:space="preserve"> ошибки. Большинство наших неудач в опытном самолётостроении надо отнести за ёт неумения рассчитать устойчивость и управляемость. Мы рассчитываем внешне как го бы правильно, но потом конструкции оказываются неудачными, и это стоит госу- зтву многих десятков миллионов рублей. Из небольших тем мы уже работаем по расчёту винтов, приводим в единый вид теорию, торая, несомненно, является опережающей заграницу. В этой области мы стоим всё ля очень высоко, но иногда не доводим до удобного для конструкторов вида. Если как цует всё это подработать, если решить ряд вопросов по этой линии, где спотыкались наших инженеров, это будет очень полезным делом. Очень много работ ведется в Академии по прочности самолётов. В Институте меха- </w:t>
      </w:r>
      <w:r w:rsidRPr="00070ADE">
        <w:rPr>
          <w:rStyle w:val="51Arial"/>
          <w:rFonts w:ascii="Times New Roman" w:hAnsi="Times New Roman" w:cs="Times New Roman"/>
          <w:color w:val="000000" w:themeColor="text1"/>
          <w:sz w:val="16"/>
          <w:szCs w:val="16"/>
          <w:lang w:val="ru-RU"/>
        </w:rPr>
        <w:t>ки</w:t>
      </w:r>
      <w:r w:rsidRPr="00070ADE">
        <w:rPr>
          <w:color w:val="000000" w:themeColor="text1"/>
          <w:lang w:val="ru-RU"/>
        </w:rPr>
        <w:t xml:space="preserve"> эта группа стоит очень высоко, является очень сильной не только в союзном мас- абе, но и за границей. Но она была оторвана от самолёта. ЦАГИ стоит несколько в эроне от такой глубокой теории.</w:t>
      </w:r>
    </w:p>
    <w:p w14:paraId="3AC1BEF0" w14:textId="77777777" w:rsidR="00057A35" w:rsidRPr="00070ADE" w:rsidRDefault="00057A35" w:rsidP="00B56F90">
      <w:pPr>
        <w:pStyle w:val="a3"/>
        <w:rPr>
          <w:color w:val="000000" w:themeColor="text1"/>
          <w:lang w:val="ru-RU"/>
        </w:rPr>
      </w:pPr>
      <w:r w:rsidRPr="00070ADE">
        <w:rPr>
          <w:color w:val="000000" w:themeColor="text1"/>
          <w:lang w:val="ru-RU"/>
        </w:rPr>
        <w:t>Мы предполагаем, что можем заняться обобщением методов расчёта частей самолё- по разрушающим нагрузкам. Это тот вопрос, о котором мы говорим лет 15 и никак можем поднять. Это можно проработать только на основе новейших теорий упруго- пластичности или на основе каких-то других методов. Это под силу только очень 1ным работникам и при участии институтов. Затем тема, с которой мы очень мучаемся, вполне доступная для Академии с помо- ЦАГИ, — это вопросы динамики нагружения, вопросы нагрузки при посадке и эельбе (отдача). Мы до сих пор бьёмся с этими вопросами, здесь только крупные атематики и знающие практику могли бы дать быстрое решение. Это сейчас очень кно, — из-за этого масса неприятностей.</w:t>
      </w:r>
    </w:p>
    <w:p w14:paraId="35C6D18F" w14:textId="77777777" w:rsidR="00057A35" w:rsidRPr="00070ADE" w:rsidRDefault="00057A35" w:rsidP="00B56F90">
      <w:pPr>
        <w:pStyle w:val="a3"/>
        <w:rPr>
          <w:color w:val="000000" w:themeColor="text1"/>
          <w:lang w:val="ru-RU"/>
        </w:rPr>
      </w:pPr>
      <w:r w:rsidRPr="00070ADE">
        <w:rPr>
          <w:color w:val="000000" w:themeColor="text1"/>
          <w:lang w:val="ru-RU"/>
        </w:rPr>
        <w:t>Попутно стоит тема — разработка рациональных методов использования материалов, чь идет главным образом об использовании брони. Мы бронируем весь самолёт, но ешё не решаемся включить в броню силовые элементы. Об этих вопросах давно го- эилось, но здесь нужно тонкие методы расчёта сочетать с практическими точками гния. Эту тематику можно тем более хорошо поставить, что у нас есть большой специалист в этой области — действительный член Академии Благонравов. Вот основная тематика. Целый ряд тем, которые раньше стояли, мы передали Инсти- механики, поскольку секция будет тесно связана с рядом институтов, в частности |с институтом механики. Тут вопросы обтекания тел, газовая механика.</w:t>
      </w:r>
    </w:p>
    <w:p w14:paraId="276222A8" w14:textId="77777777" w:rsidR="00057A35" w:rsidRPr="00070ADE" w:rsidRDefault="00057A35" w:rsidP="00B56F90">
      <w:pPr>
        <w:pStyle w:val="a3"/>
        <w:rPr>
          <w:color w:val="000000" w:themeColor="text1"/>
          <w:lang w:val="ru-RU"/>
        </w:rPr>
      </w:pPr>
      <w:r w:rsidRPr="00070ADE">
        <w:rPr>
          <w:color w:val="000000" w:themeColor="text1"/>
          <w:lang w:val="ru-RU"/>
        </w:rPr>
        <w:t>Поскольку у нас есть много академиков, мы предполагаем, что потребуется небольшой аппарат. Техническое отделение считает, что сразу мы не развернём всю работу, надо разворачивать её постепенно. Поэтому мы предполагаем ограничиться на первь порах очень небольшим штатом — проектируем 21 штатную единицу работников секции.</w:t>
      </w:r>
    </w:p>
    <w:p w14:paraId="7AD85A59" w14:textId="77777777" w:rsidR="00057A35" w:rsidRPr="00070ADE" w:rsidRDefault="00057A35" w:rsidP="00B56F90">
      <w:pPr>
        <w:pStyle w:val="a3"/>
        <w:rPr>
          <w:color w:val="000000" w:themeColor="text1"/>
          <w:lang w:val="ru-RU"/>
        </w:rPr>
      </w:pPr>
      <w:r w:rsidRPr="00070ADE">
        <w:rPr>
          <w:color w:val="000000" w:themeColor="text1"/>
          <w:lang w:val="ru-RU"/>
        </w:rPr>
        <w:t>Вот как мыслится эта секция и её основная тематика... Не стоит больше задерживать| внимания собрания... На какие-либо вопросы можно будет ответить более детально».</w:t>
      </w:r>
    </w:p>
    <w:p w14:paraId="590F07EF" w14:textId="77777777" w:rsidR="00057A35" w:rsidRPr="00070ADE" w:rsidRDefault="00057A35" w:rsidP="00B56F90">
      <w:pPr>
        <w:pStyle w:val="a3"/>
        <w:rPr>
          <w:color w:val="000000" w:themeColor="text1"/>
          <w:lang w:val="ru-RU"/>
        </w:rPr>
      </w:pPr>
      <w:r w:rsidRPr="00070ADE">
        <w:rPr>
          <w:color w:val="000000" w:themeColor="text1"/>
          <w:lang w:val="ru-RU"/>
        </w:rPr>
        <w:t>Из выступления Юрьева обращают на себя внимание новые тогда подходы к самолёту «как целое», как к «очень сложной системе», вопросы «развития геликоптёра» (ещё не утвердился термин «вертолёт»), а также проблемы «ракетного полёта».</w:t>
      </w:r>
    </w:p>
    <w:p w14:paraId="30B0428D" w14:textId="77777777" w:rsidR="00057A35" w:rsidRPr="00070ADE" w:rsidRDefault="00057A35" w:rsidP="00B56F90">
      <w:pPr>
        <w:pStyle w:val="a3"/>
        <w:rPr>
          <w:color w:val="000000" w:themeColor="text1"/>
          <w:lang w:val="ru-RU"/>
        </w:rPr>
      </w:pPr>
      <w:r w:rsidRPr="00070ADE">
        <w:rPr>
          <w:color w:val="000000" w:themeColor="text1"/>
          <w:lang w:val="ru-RU"/>
        </w:rPr>
        <w:t>О необходимости организации секции авиации говорил в своем выступлении и член-корреспондент АН А.Н. Туполев. Будучи репрессированным в 1937 г., он продолжал кон</w:t>
      </w:r>
      <w:r w:rsidRPr="00070ADE">
        <w:rPr>
          <w:color w:val="000000" w:themeColor="text1"/>
          <w:lang w:val="ru-RU"/>
        </w:rPr>
        <w:softHyphen/>
        <w:t xml:space="preserve">структорскую работу в авиационной «Шарашке» и был освобождён только в 1941 г. </w:t>
      </w:r>
      <w:r w:rsidRPr="00070ADE">
        <w:rPr>
          <w:color w:val="000000" w:themeColor="text1"/>
        </w:rPr>
        <w:t>Be</w:t>
      </w:r>
      <w:r w:rsidRPr="00070ADE">
        <w:rPr>
          <w:color w:val="000000" w:themeColor="text1"/>
          <w:lang w:val="ru-RU"/>
        </w:rPr>
        <w:t>роятно, это обстоятельство стало препятствием к его выдвижению в академики на вы</w:t>
      </w:r>
      <w:r w:rsidRPr="00070ADE">
        <w:rPr>
          <w:color w:val="000000" w:themeColor="text1"/>
          <w:lang w:val="ru-RU"/>
        </w:rPr>
        <w:softHyphen/>
        <w:t>борах 1943 г. (его избрали академиком в октябре 1953 г.). Выступление Туполева неод</w:t>
      </w:r>
      <w:r w:rsidRPr="00070ADE">
        <w:rPr>
          <w:color w:val="000000" w:themeColor="text1"/>
          <w:lang w:val="ru-RU"/>
        </w:rPr>
        <w:softHyphen/>
        <w:t>нократно прерывалось репликами председательствовавшего на заседании Байкова ивызвало определенную полемику, что и зафиксировано в стенограмме. Туполев говорил:</w:t>
      </w:r>
    </w:p>
    <w:p w14:paraId="74F5F62F" w14:textId="77777777" w:rsidR="00057A35" w:rsidRPr="00070ADE" w:rsidRDefault="00057A35" w:rsidP="00B56F90">
      <w:pPr>
        <w:pStyle w:val="a3"/>
        <w:rPr>
          <w:color w:val="000000" w:themeColor="text1"/>
          <w:lang w:val="ru-RU"/>
        </w:rPr>
      </w:pPr>
      <w:r w:rsidRPr="00070ADE">
        <w:rPr>
          <w:color w:val="000000" w:themeColor="text1"/>
          <w:lang w:val="ru-RU"/>
        </w:rPr>
        <w:t>«Я работаю в области авиации много лет и уверяю вас, что сейчас этот вопрос под</w:t>
      </w:r>
      <w:r w:rsidRPr="00070ADE">
        <w:rPr>
          <w:color w:val="000000" w:themeColor="text1"/>
          <w:lang w:val="ru-RU"/>
        </w:rPr>
        <w:softHyphen/>
        <w:t>нят только потому, что он наболел.</w:t>
      </w:r>
    </w:p>
    <w:p w14:paraId="1AF2568C" w14:textId="77777777" w:rsidR="00057A35" w:rsidRPr="00070ADE" w:rsidRDefault="00057A35" w:rsidP="00B56F90">
      <w:pPr>
        <w:pStyle w:val="a3"/>
        <w:rPr>
          <w:color w:val="000000" w:themeColor="text1"/>
          <w:lang w:val="ru-RU"/>
        </w:rPr>
      </w:pPr>
      <w:r w:rsidRPr="00070ADE">
        <w:rPr>
          <w:color w:val="000000" w:themeColor="text1"/>
          <w:lang w:val="ru-RU"/>
        </w:rPr>
        <w:t>То объединение, о котором здесь говорилось, мне кажется, крайне необходимо. И раньше у нас в ЦАГИ такое объединение было, но затем как-то стали организовывать</w:t>
      </w:r>
      <w:r w:rsidRPr="00070ADE">
        <w:rPr>
          <w:color w:val="000000" w:themeColor="text1"/>
          <w:lang w:val="ru-RU"/>
        </w:rPr>
        <w:softHyphen/>
        <w:t>ся отдельные конструкторские бюро, работники постепенно друг от друга отдалялись, и это объединение пропало. То же самое, когда наша промышленность стала разви</w:t>
      </w:r>
      <w:r w:rsidRPr="00070ADE">
        <w:rPr>
          <w:color w:val="000000" w:themeColor="text1"/>
          <w:lang w:val="ru-RU"/>
        </w:rPr>
        <w:softHyphen/>
        <w:t>ваться и вся страна стала развиваться, у нас возникли крупные организации, возникла академия, возник гражданский воздушный флот со своими подразделениями, а объе</w:t>
      </w:r>
      <w:r w:rsidRPr="00070ADE">
        <w:rPr>
          <w:color w:val="000000" w:themeColor="text1"/>
          <w:lang w:val="ru-RU"/>
        </w:rPr>
        <w:softHyphen/>
        <w:t>динение у нас пропало. Несмотря на то. что у нас сейчас есть крупнейшие институты, мы. непосредственно работающие на местах (у меня тоже большой опытный завод), с</w:t>
      </w:r>
      <w:r w:rsidRPr="00070ADE">
        <w:rPr>
          <w:color w:val="000000" w:themeColor="text1"/>
        </w:rPr>
        <w:t>fr</w:t>
      </w:r>
      <w:r w:rsidRPr="00070ADE">
        <w:rPr>
          <w:color w:val="000000" w:themeColor="text1"/>
          <w:lang w:val="ru-RU"/>
        </w:rPr>
        <w:t xml:space="preserve"> научно-исследовательской жизни совершенно оторваны. И придя в академию наук. — а сюда пришла достаточная группа лиц. — первое, о чём мы начали говорить, это что нам необходимо, чтобы обо всем, что делается у нас в стране, мы были информиро</w:t>
      </w:r>
      <w:r w:rsidRPr="00070ADE">
        <w:rPr>
          <w:color w:val="000000" w:themeColor="text1"/>
          <w:lang w:val="ru-RU"/>
        </w:rPr>
        <w:softHyphen/>
        <w:t>ваны. а затем что нам необходимо координировать свою работу с тем, чтобы научную работу мы могли продвигать каждый на своем месте гораздо лучше, потому что друго</w:t>
      </w:r>
      <w:r w:rsidRPr="00070ADE">
        <w:rPr>
          <w:color w:val="000000" w:themeColor="text1"/>
          <w:lang w:val="ru-RU"/>
        </w:rPr>
        <w:softHyphen/>
        <w:t>го места, где бы мы могли собираться, у нас сейчас нет.</w:t>
      </w:r>
    </w:p>
    <w:p w14:paraId="5DEEFADF" w14:textId="77777777" w:rsidR="00057A35" w:rsidRPr="00070ADE" w:rsidRDefault="00057A35" w:rsidP="00B56F90">
      <w:pPr>
        <w:pStyle w:val="a3"/>
        <w:rPr>
          <w:color w:val="000000" w:themeColor="text1"/>
          <w:lang w:val="ru-RU"/>
        </w:rPr>
      </w:pPr>
      <w:r w:rsidRPr="00070ADE">
        <w:rPr>
          <w:color w:val="000000" w:themeColor="text1"/>
          <w:lang w:val="ru-RU"/>
        </w:rPr>
        <w:t>И еще одно. Тут-то получается основное, из-за чего мы к вам приходим. Каждый наркомат, занятый своими делами, делается всё более узко-ведомственным учрежде</w:t>
      </w:r>
      <w:r w:rsidRPr="00070ADE">
        <w:rPr>
          <w:color w:val="000000" w:themeColor="text1"/>
          <w:lang w:val="ru-RU"/>
        </w:rPr>
        <w:softHyphen/>
        <w:t>нием. Бесспорно, с каждым годом, с увеличением своих программ, своих заданий, он делается всё более и более узким ведомством, а с увеличением наркоматов эти воп</w:t>
      </w:r>
      <w:r w:rsidRPr="00070ADE">
        <w:rPr>
          <w:color w:val="000000" w:themeColor="text1"/>
          <w:lang w:val="ru-RU"/>
        </w:rPr>
        <w:softHyphen/>
        <w:t>росы ещё более расчленяются. Поэтому единственным центром, который может объ</w:t>
      </w:r>
      <w:r w:rsidRPr="00070ADE">
        <w:rPr>
          <w:color w:val="000000" w:themeColor="text1"/>
          <w:lang w:val="ru-RU"/>
        </w:rPr>
        <w:softHyphen/>
        <w:t>единить нашу научную работу, является академия. Мы и пришли сюда.</w:t>
      </w:r>
    </w:p>
    <w:p w14:paraId="341B17D3" w14:textId="77777777" w:rsidR="00057A35" w:rsidRPr="00070ADE" w:rsidRDefault="00057A35" w:rsidP="00B56F90">
      <w:pPr>
        <w:pStyle w:val="a3"/>
        <w:rPr>
          <w:color w:val="000000" w:themeColor="text1"/>
          <w:lang w:val="ru-RU"/>
        </w:rPr>
      </w:pPr>
      <w:r w:rsidRPr="00070ADE">
        <w:rPr>
          <w:color w:val="000000" w:themeColor="text1"/>
          <w:lang w:val="ru-RU"/>
        </w:rPr>
        <w:t>Акад. БАЙКОВ: Это Ваше мнение, по-моему, неправильно, АН не может это объединить.</w:t>
      </w:r>
    </w:p>
    <w:p w14:paraId="0E6DD930" w14:textId="77777777" w:rsidR="00057A35" w:rsidRPr="00070ADE" w:rsidRDefault="00057A35" w:rsidP="00B56F90">
      <w:pPr>
        <w:pStyle w:val="a3"/>
        <w:rPr>
          <w:color w:val="000000" w:themeColor="text1"/>
          <w:lang w:val="ru-RU"/>
        </w:rPr>
      </w:pPr>
      <w:r w:rsidRPr="00070ADE">
        <w:rPr>
          <w:color w:val="000000" w:themeColor="text1"/>
          <w:lang w:val="ru-RU"/>
        </w:rPr>
        <w:t>Чл.-корр. ТУПОЛЕВ: Значит мы ошиблись. По простоте душевной мы думали, что, при</w:t>
      </w:r>
      <w:r w:rsidRPr="00070ADE">
        <w:rPr>
          <w:color w:val="000000" w:themeColor="text1"/>
          <w:lang w:val="ru-RU"/>
        </w:rPr>
        <w:softHyphen/>
        <w:t>дя сюда, удастся произвести такое объединение. Пусть оно не будет стопроцентным, мы не гордые, мы не говорим, что мы за 100%, но бесспорно удастся сделать очень многое.</w:t>
      </w:r>
    </w:p>
    <w:p w14:paraId="2731D09E" w14:textId="77777777" w:rsidR="00057A35" w:rsidRPr="00070ADE" w:rsidRDefault="00057A35" w:rsidP="00B56F90">
      <w:pPr>
        <w:pStyle w:val="a3"/>
        <w:rPr>
          <w:color w:val="000000" w:themeColor="text1"/>
          <w:lang w:val="ru-RU"/>
        </w:rPr>
      </w:pPr>
      <w:r w:rsidRPr="00070ADE">
        <w:rPr>
          <w:color w:val="000000" w:themeColor="text1"/>
          <w:lang w:val="ru-RU"/>
        </w:rPr>
        <w:t>Приведу маленький пример. Когда я был в Новосибирске, у нас самолёту не удавалось летать выше. Я обращался в одно, другое место — ничего не выходит. В конце концов я обратился к акад. Кулебакину как к своему человеку. Он проверил работы и опреде</w:t>
      </w:r>
      <w:r w:rsidRPr="00070ADE">
        <w:rPr>
          <w:color w:val="000000" w:themeColor="text1"/>
          <w:lang w:val="ru-RU"/>
        </w:rPr>
        <w:softHyphen/>
        <w:t>лил, что магнето у нас недостаточно высотное, дал нам соответствующие испытания. А почему будет плохо, если у нас была бы секция и мы будем знать, что туда мы смо</w:t>
      </w:r>
      <w:r w:rsidRPr="00070ADE">
        <w:rPr>
          <w:color w:val="000000" w:themeColor="text1"/>
          <w:lang w:val="ru-RU"/>
        </w:rPr>
        <w:softHyphen/>
        <w:t>жем прийти и получить указание, как решить наши научные проблемы. Мы совершенно не собираемся решать всё, но мы хотим быть полезными с тем, чтобы объединить все те многогранные вещи, которые заключаются в самолёте, с тем, чтобы, базируясь на тех лабораториях и заводах, которые у каждого из здесь присутствующих имеются, прино</w:t>
      </w:r>
      <w:r w:rsidRPr="00070ADE">
        <w:rPr>
          <w:color w:val="000000" w:themeColor="text1"/>
          <w:lang w:val="ru-RU"/>
        </w:rPr>
        <w:softHyphen/>
        <w:t>сить пользу. Вот единственное, о чём мы говорим. Организуем в академии секцию. Я думаю, что от этого дела будет большая польза. Ещё один момент. Если мы остановимся на том, чтобы такую секцию создать в инсти</w:t>
      </w:r>
      <w:r w:rsidRPr="00070ADE">
        <w:rPr>
          <w:color w:val="000000" w:themeColor="text1"/>
          <w:lang w:val="ru-RU"/>
        </w:rPr>
        <w:softHyphen/>
        <w:t>туте механики, то я думаю, что она будет односторонней. Приведу маленький пример. Ко</w:t>
      </w:r>
      <w:r w:rsidRPr="00070ADE">
        <w:rPr>
          <w:color w:val="000000" w:themeColor="text1"/>
          <w:lang w:val="ru-RU"/>
        </w:rPr>
        <w:softHyphen/>
        <w:t xml:space="preserve">гда-то давно, когда еще не было ЦАГИ, а нам нужно было развертывать научную работу (области авиации, мы решили попробовать в честве такой базы для этих работ использо- </w:t>
      </w:r>
      <w:r w:rsidRPr="00070ADE">
        <w:rPr>
          <w:color w:val="000000" w:themeColor="text1"/>
        </w:rPr>
        <w:t>I</w:t>
      </w:r>
      <w:r w:rsidRPr="00070ADE">
        <w:rPr>
          <w:color w:val="000000" w:themeColor="text1"/>
          <w:lang w:val="ru-RU"/>
        </w:rPr>
        <w:t xml:space="preserve"> научно-исследовательский институт путей эбщения. Мы обратились сюда. Они сказали знь хорошо, паровоз и самолёт — родные атья, идите к нам. Мы пошли. Организовали соответствующий отдел авиационный. Но тем прошло, примерно, 6 месяцев и они мне зрят, знаете, Андрей Николаевич, невозмо- Вам у нас существовать, Вы у нас всё за</w:t>
      </w:r>
      <w:r w:rsidRPr="00070ADE">
        <w:rPr>
          <w:color w:val="000000" w:themeColor="text1"/>
          <w:lang w:val="ru-RU"/>
        </w:rPr>
        <w:softHyphen/>
        <w:t>преете. Так и не получилось ничего, хотя как удто бы родные братья. Вот тогда пришлось обратиться в Научно-технический отдел, и в зультате образовали ЦАГИ... (акад. Байков: правильное было решение). А теперь мы говорим, что считаем правильным такую секцию создать в Академии Наук... Акад. БАЙКОВ. А если бы Вы в академии образовали — было бы плохо. Акад. ОБРАЗЦОВ. Если бы тогда ЦАГИ образовали при академии, мы были бы страшно сильны.</w:t>
      </w:r>
    </w:p>
    <w:p w14:paraId="3D1D107F" w14:textId="77777777" w:rsidR="00057A35" w:rsidRPr="00070ADE" w:rsidRDefault="00057A35" w:rsidP="00B56F90">
      <w:pPr>
        <w:pStyle w:val="a3"/>
        <w:rPr>
          <w:color w:val="000000" w:themeColor="text1"/>
          <w:lang w:val="ru-RU"/>
        </w:rPr>
      </w:pPr>
      <w:r w:rsidRPr="00070ADE">
        <w:rPr>
          <w:color w:val="000000" w:themeColor="text1"/>
          <w:lang w:val="ru-RU"/>
        </w:rPr>
        <w:t>Я уверяю Вас,</w:t>
      </w:r>
    </w:p>
    <w:p w14:paraId="1F0E9C79" w14:textId="77777777" w:rsidR="00057A35" w:rsidRPr="00070ADE" w:rsidRDefault="00057A35" w:rsidP="00B56F90">
      <w:pPr>
        <w:pStyle w:val="a3"/>
        <w:rPr>
          <w:color w:val="000000" w:themeColor="text1"/>
          <w:lang w:val="ru-RU"/>
        </w:rPr>
      </w:pPr>
      <w:r w:rsidRPr="00070ADE">
        <w:rPr>
          <w:color w:val="000000" w:themeColor="text1"/>
          <w:lang w:val="ru-RU"/>
        </w:rPr>
        <w:t>Акад. БАНКОВ. Я уверяю Вас, что ничего хошего из этого бы не получилось.</w:t>
      </w:r>
    </w:p>
    <w:p w14:paraId="0E959A9D" w14:textId="77777777" w:rsidR="00057A35" w:rsidRPr="00070ADE" w:rsidRDefault="00057A35" w:rsidP="00B56F90">
      <w:pPr>
        <w:pStyle w:val="a3"/>
        <w:rPr>
          <w:color w:val="000000" w:themeColor="text1"/>
          <w:lang w:val="ru-RU"/>
        </w:rPr>
      </w:pPr>
      <w:r w:rsidRPr="00070ADE">
        <w:rPr>
          <w:rStyle w:val="88"/>
          <w:rFonts w:ascii="Times New Roman" w:hAnsi="Times New Roman" w:cs="Times New Roman"/>
          <w:color w:val="000000" w:themeColor="text1"/>
          <w:sz w:val="16"/>
          <w:szCs w:val="16"/>
          <w:u w:val="none"/>
          <w:lang w:val="ru-RU"/>
        </w:rPr>
        <w:t>Чл.-корр</w:t>
      </w:r>
      <w:r w:rsidRPr="00070ADE">
        <w:rPr>
          <w:color w:val="000000" w:themeColor="text1"/>
          <w:lang w:val="ru-RU"/>
        </w:rPr>
        <w:t>. ТУПОЛЕВ. Никто не говорит о том, чтобы ЦАГИ присоединять к академии, темы определенные ЦАГИ давать нужно. От этого ничего, кроме пользы не будет. И задачи этой секции, как правильно здесь подчёркивалось выступавшими, являет - именно объединение всей деятельности в области научно-исследовательских работ авиации. Причём, конечно, должна быть полная согласованность, кто что на себя рет. Я уверен, что это сильно поможет общему делу.</w:t>
      </w:r>
    </w:p>
    <w:p w14:paraId="1C59258C" w14:textId="77777777" w:rsidR="00057A35" w:rsidRPr="00070ADE" w:rsidRDefault="00057A35" w:rsidP="00B56F90">
      <w:pPr>
        <w:pStyle w:val="a3"/>
        <w:rPr>
          <w:color w:val="000000" w:themeColor="text1"/>
          <w:lang w:val="ru-RU"/>
        </w:rPr>
      </w:pPr>
      <w:r w:rsidRPr="00070ADE">
        <w:rPr>
          <w:color w:val="000000" w:themeColor="text1"/>
          <w:lang w:val="ru-RU"/>
        </w:rPr>
        <w:t>Акад. БАЙКОВ. А я не сомневаюсь, что такая организация будет маломощной и поль</w:t>
      </w:r>
      <w:r w:rsidRPr="00070ADE">
        <w:rPr>
          <w:color w:val="000000" w:themeColor="text1"/>
          <w:lang w:val="ru-RU"/>
        </w:rPr>
        <w:softHyphen/>
        <w:t>зу не принесет.</w:t>
      </w:r>
    </w:p>
    <w:p w14:paraId="23021B4B" w14:textId="77777777" w:rsidR="00057A35" w:rsidRPr="00070ADE" w:rsidRDefault="00057A35" w:rsidP="00B56F90">
      <w:pPr>
        <w:pStyle w:val="a3"/>
        <w:rPr>
          <w:color w:val="000000" w:themeColor="text1"/>
          <w:lang w:val="ru-RU"/>
        </w:rPr>
      </w:pPr>
      <w:r w:rsidRPr="00070ADE">
        <w:rPr>
          <w:rStyle w:val="88"/>
          <w:rFonts w:ascii="Times New Roman" w:hAnsi="Times New Roman" w:cs="Times New Roman"/>
          <w:color w:val="000000" w:themeColor="text1"/>
          <w:sz w:val="16"/>
          <w:szCs w:val="16"/>
          <w:u w:val="none"/>
          <w:lang w:val="ru-RU"/>
        </w:rPr>
        <w:t>Чл.-корр</w:t>
      </w:r>
      <w:r w:rsidRPr="00070ADE">
        <w:rPr>
          <w:color w:val="000000" w:themeColor="text1"/>
          <w:lang w:val="ru-RU"/>
        </w:rPr>
        <w:t>. ТУПОЛЕВ. Мы каждый раз начинаем с маленького, думаю, что и тут это будет правильно, а там посмотрим, что из этого получится.</w:t>
      </w:r>
    </w:p>
    <w:p w14:paraId="22DDBEE6" w14:textId="77777777" w:rsidR="00057A35" w:rsidRPr="00070ADE" w:rsidRDefault="00057A35" w:rsidP="00B56F90">
      <w:pPr>
        <w:pStyle w:val="a3"/>
        <w:rPr>
          <w:color w:val="000000" w:themeColor="text1"/>
          <w:lang w:val="ru-RU"/>
        </w:rPr>
      </w:pPr>
      <w:r w:rsidRPr="00070ADE">
        <w:rPr>
          <w:color w:val="000000" w:themeColor="text1"/>
          <w:lang w:val="ru-RU"/>
        </w:rPr>
        <w:t>Акад. БАЙКОВ. Может быть такая секция и нужна, но не так, как Вы ставите этот во</w:t>
      </w:r>
      <w:r w:rsidRPr="00070ADE">
        <w:rPr>
          <w:color w:val="000000" w:themeColor="text1"/>
          <w:lang w:val="ru-RU"/>
        </w:rPr>
        <w:softHyphen/>
        <w:t>прос, потому что эта секция должна иметь право распоряжаться, а если она будет в академии, то такого права у неё не будет. Поэтому, может быть, было бы правильнее поставить вопрос об образовании специального Комитета даже при Совнаркоме СССР, который взял бы на себя все эти вопросы. Это дело другое. Но такое большое дело пристегнуть к академии нельзя, это не под силу академии.</w:t>
      </w:r>
    </w:p>
    <w:p w14:paraId="2FF14F4E" w14:textId="77777777" w:rsidR="00057A35" w:rsidRPr="00070ADE" w:rsidRDefault="00057A35" w:rsidP="00B56F90">
      <w:pPr>
        <w:pStyle w:val="a3"/>
        <w:rPr>
          <w:color w:val="000000" w:themeColor="text1"/>
          <w:lang w:val="ru-RU"/>
        </w:rPr>
      </w:pPr>
      <w:r w:rsidRPr="00070ADE">
        <w:rPr>
          <w:color w:val="000000" w:themeColor="text1"/>
          <w:lang w:val="ru-RU"/>
        </w:rPr>
        <w:t>Чл.-корр. ТУПОЛЕВ. Я думаю, что это АН по силам, академии нечего прибедняться.</w:t>
      </w:r>
    </w:p>
    <w:p w14:paraId="577C1D54" w14:textId="77777777" w:rsidR="00057A35" w:rsidRPr="00070ADE" w:rsidRDefault="00057A35" w:rsidP="00B56F90">
      <w:pPr>
        <w:pStyle w:val="a3"/>
        <w:rPr>
          <w:color w:val="000000" w:themeColor="text1"/>
          <w:lang w:val="ru-RU"/>
        </w:rPr>
      </w:pPr>
      <w:r w:rsidRPr="00070ADE">
        <w:rPr>
          <w:color w:val="000000" w:themeColor="text1"/>
          <w:lang w:val="ru-RU"/>
        </w:rPr>
        <w:t>Акад. МИКУЛИН. Вы умаляете значение академии.</w:t>
      </w:r>
    </w:p>
    <w:p w14:paraId="4F7E0FFB" w14:textId="77777777" w:rsidR="00057A35" w:rsidRPr="00070ADE" w:rsidRDefault="00057A35" w:rsidP="00B56F90">
      <w:pPr>
        <w:pStyle w:val="a3"/>
        <w:rPr>
          <w:color w:val="000000" w:themeColor="text1"/>
          <w:lang w:val="ru-RU"/>
        </w:rPr>
      </w:pPr>
      <w:r w:rsidRPr="00070ADE">
        <w:rPr>
          <w:color w:val="000000" w:themeColor="text1"/>
          <w:lang w:val="ru-RU"/>
        </w:rPr>
        <w:t xml:space="preserve">Акад. БАЙКОВ. Это не умаление значения академии, а то, что есть на самом деле. Каждое учреждение имеет определённый круг задач и обязанностей, а это шире, </w:t>
      </w:r>
      <w:r w:rsidRPr="00070ADE">
        <w:rPr>
          <w:color w:val="000000" w:themeColor="text1"/>
          <w:lang w:val="ru-RU"/>
        </w:rPr>
        <w:lastRenderedPageBreak/>
        <w:t>чем то, что может взять на себя академия. Вот почему я против».</w:t>
      </w:r>
    </w:p>
    <w:p w14:paraId="323802AD" w14:textId="77777777" w:rsidR="00057A35" w:rsidRPr="00070ADE" w:rsidRDefault="00057A35" w:rsidP="00B56F90">
      <w:pPr>
        <w:pStyle w:val="a3"/>
        <w:rPr>
          <w:color w:val="000000" w:themeColor="text1"/>
          <w:lang w:val="ru-RU"/>
        </w:rPr>
      </w:pPr>
      <w:r w:rsidRPr="00070ADE">
        <w:rPr>
          <w:color w:val="000000" w:themeColor="text1"/>
          <w:lang w:val="ru-RU"/>
        </w:rPr>
        <w:t>Завершилось заседание выступлением вице-президента А.А. Байкова, противника ор</w:t>
      </w:r>
      <w:r w:rsidRPr="00070ADE">
        <w:rPr>
          <w:color w:val="000000" w:themeColor="text1"/>
          <w:lang w:val="ru-RU"/>
        </w:rPr>
        <w:softHyphen/>
        <w:t>ганизации секции, отстаивавшего точку зрения руководства Академии. Он говорил:</w:t>
      </w:r>
    </w:p>
    <w:p w14:paraId="29CB6F4E" w14:textId="77777777" w:rsidR="00057A35" w:rsidRPr="00070ADE" w:rsidRDefault="00057A35" w:rsidP="00B56F90">
      <w:pPr>
        <w:pStyle w:val="a3"/>
        <w:rPr>
          <w:color w:val="000000" w:themeColor="text1"/>
          <w:lang w:val="ru-RU"/>
        </w:rPr>
      </w:pPr>
      <w:r w:rsidRPr="00070ADE">
        <w:rPr>
          <w:color w:val="000000" w:themeColor="text1"/>
          <w:lang w:val="ru-RU"/>
        </w:rPr>
        <w:t>«Тут высказывались мнения и соображения, затрагивающие очень важный вопрос, при</w:t>
      </w:r>
      <w:r w:rsidRPr="00070ADE">
        <w:rPr>
          <w:color w:val="000000" w:themeColor="text1"/>
          <w:lang w:val="ru-RU"/>
        </w:rPr>
        <w:softHyphen/>
        <w:t>чём все-таки видно, что того единодушного отношения, о котором говорил Е.А. Чудаков, нет, ибо высказываются соображения противоположные. Слушая наши сегодняшние раз</w:t>
      </w:r>
      <w:r w:rsidRPr="00070ADE">
        <w:rPr>
          <w:color w:val="000000" w:themeColor="text1"/>
          <w:lang w:val="ru-RU"/>
        </w:rPr>
        <w:softHyphen/>
        <w:t>говоры инициаторов и авторов предложений о создании секции, можно подумать, что у нас с авиацией дело обстоит очень плохо. Позвольте заявить, что я считаю это мнение неправильным и вредным. Наша авиация стоит на очень большой высоте — в этом мы убеждаемся ежедневно, читая газеты, слушая сообщения, разговоры и т.д. Поэтому утверждать, что с авиацией у нас дело обстой плохо — неправильно, вредно и ошибочно.</w:t>
      </w:r>
    </w:p>
    <w:p w14:paraId="7C79CF9C" w14:textId="77777777" w:rsidR="00057A35" w:rsidRPr="00070ADE" w:rsidRDefault="00057A35" w:rsidP="00B56F90">
      <w:pPr>
        <w:pStyle w:val="a3"/>
        <w:rPr>
          <w:color w:val="000000" w:themeColor="text1"/>
          <w:lang w:val="ru-RU"/>
        </w:rPr>
      </w:pPr>
      <w:r w:rsidRPr="00070ADE">
        <w:rPr>
          <w:color w:val="000000" w:themeColor="text1"/>
          <w:lang w:val="ru-RU"/>
        </w:rPr>
        <w:t xml:space="preserve">И то, что сегодня приводилось акад. Микули ным в качестве примера относительно этог. самолёта и ошибок, которые были допущены </w:t>
      </w:r>
      <w:r w:rsidRPr="00070ADE">
        <w:rPr>
          <w:color w:val="000000" w:themeColor="text1"/>
        </w:rPr>
        <w:t>i</w:t>
      </w:r>
      <w:r w:rsidRPr="00070ADE">
        <w:rPr>
          <w:color w:val="000000" w:themeColor="text1"/>
          <w:lang w:val="ru-RU"/>
        </w:rPr>
        <w:t xml:space="preserve"> расчётах, это ни о чем ещё не говорит. Я . спрашиваю — а разве в Америке этого не бы</w:t>
      </w:r>
      <w:r w:rsidRPr="00070ADE">
        <w:rPr>
          <w:color w:val="000000" w:themeColor="text1"/>
          <w:lang w:val="ru-RU"/>
        </w:rPr>
        <w:softHyphen/>
        <w:t>вает, разве в Англии этого не бывает, разве</w:t>
      </w:r>
      <w:r w:rsidRPr="00070ADE">
        <w:rPr>
          <w:rStyle w:val="58ArialNarrow"/>
          <w:rFonts w:ascii="Times New Roman" w:hAnsi="Times New Roman" w:cs="Times New Roman"/>
          <w:color w:val="000000" w:themeColor="text1"/>
          <w:sz w:val="16"/>
          <w:szCs w:val="16"/>
          <w:lang w:val="ru-RU"/>
        </w:rPr>
        <w:t xml:space="preserve"> в </w:t>
      </w:r>
      <w:r w:rsidRPr="00070ADE">
        <w:rPr>
          <w:color w:val="000000" w:themeColor="text1"/>
          <w:lang w:val="ru-RU"/>
        </w:rPr>
        <w:t>Германии этого не бывает? Бывает. И это со</w:t>
      </w:r>
      <w:r w:rsidRPr="00070ADE">
        <w:rPr>
          <w:color w:val="000000" w:themeColor="text1"/>
          <w:lang w:val="ru-RU"/>
        </w:rPr>
        <w:softHyphen/>
        <w:t>вершенно неизбежная вещь, всегда такие ошибки возможны, но не значит, что мы из этого должны делать какие-то выводы. Поэто</w:t>
      </w:r>
      <w:r w:rsidRPr="00070ADE">
        <w:rPr>
          <w:color w:val="000000" w:themeColor="text1"/>
          <w:lang w:val="ru-RU"/>
        </w:rPr>
        <w:softHyphen/>
        <w:t>му этот аргумент не имеет никакого значения.: Теперь относительно секции. Получается впечатление, как будто бы у нас действи-</w:t>
      </w:r>
      <w:r w:rsidRPr="00070ADE">
        <w:rPr>
          <w:color w:val="000000" w:themeColor="text1"/>
        </w:rPr>
        <w:t>I</w:t>
      </w:r>
      <w:r w:rsidRPr="00070ADE">
        <w:rPr>
          <w:color w:val="000000" w:themeColor="text1"/>
          <w:lang w:val="ru-RU"/>
        </w:rPr>
        <w:t xml:space="preserve"> тельно ничего нет. Но позвольте, мы ведь имеем такую крупную, мощную и сильную... организацию как ЦАГИ. имеем Военно-Воз- душную академию, имеем Наркомат авиаци</w:t>
      </w:r>
      <w:r w:rsidRPr="00070ADE">
        <w:rPr>
          <w:color w:val="000000" w:themeColor="text1"/>
          <w:lang w:val="ru-RU"/>
        </w:rPr>
        <w:softHyphen/>
        <w:t>онной промышленности. Разве это бездей</w:t>
      </w:r>
      <w:r w:rsidRPr="00070ADE">
        <w:rPr>
          <w:color w:val="000000" w:themeColor="text1"/>
          <w:lang w:val="ru-RU"/>
        </w:rPr>
        <w:softHyphen/>
        <w:t>ствующие или плохие организации? Разве они ничего не делают? Конечно, есть извест</w:t>
      </w:r>
      <w:r w:rsidRPr="00070ADE">
        <w:rPr>
          <w:color w:val="000000" w:themeColor="text1"/>
          <w:lang w:val="ru-RU"/>
        </w:rPr>
        <w:softHyphen/>
        <w:t>ные недостатки в их работе, это вполне воз</w:t>
      </w:r>
      <w:r w:rsidRPr="00070ADE">
        <w:rPr>
          <w:color w:val="000000" w:themeColor="text1"/>
          <w:lang w:val="ru-RU"/>
        </w:rPr>
        <w:softHyphen/>
        <w:t>можно и их нужно исправлять.</w:t>
      </w:r>
    </w:p>
    <w:p w14:paraId="681E906D" w14:textId="77777777" w:rsidR="00057A35" w:rsidRPr="00070ADE" w:rsidRDefault="00057A35" w:rsidP="00B56F90">
      <w:pPr>
        <w:pStyle w:val="a3"/>
        <w:rPr>
          <w:color w:val="000000" w:themeColor="text1"/>
          <w:lang w:val="ru-RU"/>
        </w:rPr>
      </w:pPr>
      <w:r w:rsidRPr="00070ADE">
        <w:rPr>
          <w:color w:val="000000" w:themeColor="text1"/>
          <w:lang w:val="ru-RU"/>
        </w:rPr>
        <w:t>Тут указывалось, что секция должна добиться объединения всех вопросов, которые разрабатываются, чтобы привести к определенному решению и направить надлежащим образом. Разве это дело Академии - заниматься объединением промышленности и всякого рода практических мероприятий? Это дело наркоматов. Можно сказать, что то. что говорил акад. Микулин. показывает, что в организации Наркомата авиационной про</w:t>
      </w:r>
      <w:r w:rsidRPr="00070ADE">
        <w:rPr>
          <w:color w:val="000000" w:themeColor="text1"/>
          <w:lang w:val="ru-RU"/>
        </w:rPr>
        <w:softHyphen/>
        <w:t>мышленности существует весьма большой дефект, так как отсутствует такой компетент</w:t>
      </w:r>
      <w:r w:rsidRPr="00070ADE">
        <w:rPr>
          <w:color w:val="000000" w:themeColor="text1"/>
          <w:lang w:val="ru-RU"/>
        </w:rPr>
        <w:softHyphen/>
        <w:t>ный. авторитетный комитет или учёный совет, который мог бы такие вопросы обобщать, делать соответствующие выводы и уже в правительственном порядке давать распоря</w:t>
      </w:r>
      <w:r w:rsidRPr="00070ADE">
        <w:rPr>
          <w:color w:val="000000" w:themeColor="text1"/>
          <w:lang w:val="ru-RU"/>
        </w:rPr>
        <w:softHyphen/>
        <w:t>жения и приказания всем организациям и учреждениям, чтобы это проводилось и ис</w:t>
      </w:r>
      <w:r w:rsidRPr="00070ADE">
        <w:rPr>
          <w:color w:val="000000" w:themeColor="text1"/>
          <w:lang w:val="ru-RU"/>
        </w:rPr>
        <w:softHyphen/>
        <w:t>полнялось надлежащим образом. Мы же не можем исправлять недостатки в организации и работе Наркомата. Мы можем на это обратить внимание, как здесь говорилось, ука</w:t>
      </w:r>
      <w:r w:rsidRPr="00070ADE">
        <w:rPr>
          <w:color w:val="000000" w:themeColor="text1"/>
          <w:lang w:val="ru-RU"/>
        </w:rPr>
        <w:softHyphen/>
        <w:t>зать на необходимость создания в Наркомате авиационной промышленности такого ком</w:t>
      </w:r>
      <w:r w:rsidRPr="00070ADE">
        <w:rPr>
          <w:color w:val="000000" w:themeColor="text1"/>
          <w:lang w:val="ru-RU"/>
        </w:rPr>
        <w:softHyphen/>
        <w:t>петентного и мощного органа, куда все наши академики могли бы войти в качестве членов этого органа. Но это учреждение не было бы мертворождённым, немощным или</w:t>
      </w:r>
    </w:p>
    <w:p w14:paraId="77979011" w14:textId="77777777" w:rsidR="00057A35" w:rsidRPr="00070ADE" w:rsidRDefault="00057A35" w:rsidP="00B56F90">
      <w:pPr>
        <w:pStyle w:val="a3"/>
        <w:rPr>
          <w:color w:val="000000" w:themeColor="text1"/>
          <w:lang w:val="ru-RU"/>
        </w:rPr>
      </w:pPr>
      <w:r w:rsidRPr="00070ADE">
        <w:rPr>
          <w:color w:val="000000" w:themeColor="text1"/>
          <w:lang w:val="ru-RU"/>
        </w:rPr>
        <w:t>рискующим кончить свое существование без всяких следов, потому что оно было бы совершенно иначе поставлено.</w:t>
      </w:r>
    </w:p>
    <w:p w14:paraId="0C7EE0A7" w14:textId="77777777" w:rsidR="00057A35" w:rsidRPr="00070ADE" w:rsidRDefault="00057A35" w:rsidP="00B56F90">
      <w:pPr>
        <w:pStyle w:val="a3"/>
        <w:rPr>
          <w:color w:val="000000" w:themeColor="text1"/>
          <w:lang w:val="ru-RU"/>
        </w:rPr>
      </w:pPr>
      <w:r w:rsidRPr="00070ADE">
        <w:rPr>
          <w:color w:val="000000" w:themeColor="text1"/>
          <w:lang w:val="ru-RU"/>
        </w:rPr>
        <w:t>В том виде, как это предлагается устроить при Академии, это будет своего рода Ли</w:t>
      </w:r>
      <w:r w:rsidRPr="00070ADE">
        <w:rPr>
          <w:color w:val="000000" w:themeColor="text1"/>
          <w:lang w:val="ru-RU"/>
        </w:rPr>
        <w:softHyphen/>
        <w:t>гой наций, которая в конце концов никаких реальных результатов не даст и которая, мо</w:t>
      </w:r>
      <w:r w:rsidRPr="00070ADE">
        <w:rPr>
          <w:color w:val="000000" w:themeColor="text1"/>
          <w:lang w:val="ru-RU"/>
        </w:rPr>
        <w:softHyphen/>
        <w:t>жет быть, даже причинит вред, а не пользу. Нужна не Лига наций, а нужен настоящий орган власти, компетентный и научно сильный, который мог бы эти вопросы разрабаты</w:t>
      </w:r>
      <w:r w:rsidRPr="00070ADE">
        <w:rPr>
          <w:color w:val="000000" w:themeColor="text1"/>
          <w:lang w:val="ru-RU"/>
        </w:rPr>
        <w:softHyphen/>
        <w:t>вать и проводить. Вот почему я считаю, что предложение организовать такую секцию авиации является очень и очень сомнительным. Какая у нас уверенность, что если мы эту секцию организуем, что мы все эти недостатки изживем? Почему вы думаете, что если она будет называться секцией Академии наук, она будет действовать иначе, чем если бы она была под другим именем?</w:t>
      </w:r>
    </w:p>
    <w:p w14:paraId="7A7D1F89" w14:textId="77777777" w:rsidR="00057A35" w:rsidRPr="00070ADE" w:rsidRDefault="00057A35" w:rsidP="00B56F90">
      <w:pPr>
        <w:pStyle w:val="a3"/>
        <w:rPr>
          <w:color w:val="000000" w:themeColor="text1"/>
          <w:lang w:val="ru-RU"/>
        </w:rPr>
      </w:pPr>
      <w:r w:rsidRPr="00070ADE">
        <w:rPr>
          <w:color w:val="000000" w:themeColor="text1"/>
          <w:lang w:val="ru-RU"/>
        </w:rPr>
        <w:t>Так что я не могу разделить такие оптимистические предположения, они для меня не</w:t>
      </w:r>
      <w:r w:rsidRPr="00070ADE">
        <w:rPr>
          <w:color w:val="000000" w:themeColor="text1"/>
          <w:lang w:val="ru-RU"/>
        </w:rPr>
        <w:softHyphen/>
        <w:t>убедительны, потому что все то, что говорилось относительно объединения, комплекс</w:t>
      </w:r>
      <w:r w:rsidRPr="00070ADE">
        <w:rPr>
          <w:color w:val="000000" w:themeColor="text1"/>
          <w:lang w:val="ru-RU"/>
        </w:rPr>
        <w:softHyphen/>
        <w:t>ности работы, все это только предположения, как это на самом деле будет — это еще очень большой вопрос. Ввиду всего этого я полагаю, что наши специалисты академики, близко стоящие к авиапромышленности, могут в соответствующие институты, в соответствующие отделения входить со своими докладами и предложениями. Эти доклады и предложения могут быть подвергнуты широкому обсуждению с привлечением самых раз</w:t>
      </w:r>
      <w:r w:rsidRPr="00070ADE">
        <w:rPr>
          <w:color w:val="000000" w:themeColor="text1"/>
          <w:lang w:val="ru-RU"/>
        </w:rPr>
        <w:softHyphen/>
        <w:t>нообразных специалистов. Там могут быть образованы для разрешения конкретных во</w:t>
      </w:r>
      <w:r w:rsidRPr="00070ADE">
        <w:rPr>
          <w:color w:val="000000" w:themeColor="text1"/>
          <w:lang w:val="ru-RU"/>
        </w:rPr>
        <w:softHyphen/>
        <w:t>просов отдельные комиссии, которые могут эти вопросы в отношении направления дальнейшей их разработки окончательно разрешить и предложить правительственным учреждениям рациональные мероприятия для организации этой работы научным обра</w:t>
      </w:r>
      <w:r w:rsidRPr="00070ADE">
        <w:rPr>
          <w:color w:val="000000" w:themeColor="text1"/>
          <w:lang w:val="ru-RU"/>
        </w:rPr>
        <w:softHyphen/>
        <w:t xml:space="preserve">зом. Пример, который приводил </w:t>
      </w:r>
      <w:r w:rsidRPr="00070ADE">
        <w:rPr>
          <w:color w:val="000000" w:themeColor="text1"/>
        </w:rPr>
        <w:t>B</w:t>
      </w:r>
      <w:r w:rsidRPr="00070ADE">
        <w:rPr>
          <w:color w:val="000000" w:themeColor="text1"/>
          <w:lang w:val="ru-RU"/>
        </w:rPr>
        <w:t>.</w:t>
      </w:r>
      <w:r w:rsidRPr="00070ADE">
        <w:rPr>
          <w:color w:val="000000" w:themeColor="text1"/>
        </w:rPr>
        <w:t>C</w:t>
      </w:r>
      <w:r w:rsidRPr="00070ADE">
        <w:rPr>
          <w:color w:val="000000" w:themeColor="text1"/>
          <w:lang w:val="ru-RU"/>
        </w:rPr>
        <w:t>. (Кулебакин), тоже очень поучителен. Вопрос каса</w:t>
      </w:r>
      <w:r w:rsidRPr="00070ADE">
        <w:rPr>
          <w:color w:val="000000" w:themeColor="text1"/>
          <w:lang w:val="ru-RU"/>
        </w:rPr>
        <w:softHyphen/>
        <w:t xml:space="preserve">ется авиасвечей — вопрос очень важный, он был у нас не в надлежащем состоянии. </w:t>
      </w:r>
      <w:r w:rsidRPr="00070ADE">
        <w:rPr>
          <w:color w:val="000000" w:themeColor="text1"/>
        </w:rPr>
        <w:t>B</w:t>
      </w:r>
      <w:r w:rsidRPr="00070ADE">
        <w:rPr>
          <w:color w:val="000000" w:themeColor="text1"/>
          <w:lang w:val="ru-RU"/>
        </w:rPr>
        <w:t>.</w:t>
      </w:r>
      <w:r w:rsidRPr="00070ADE">
        <w:rPr>
          <w:color w:val="000000" w:themeColor="text1"/>
        </w:rPr>
        <w:t>C</w:t>
      </w:r>
      <w:r w:rsidRPr="00070ADE">
        <w:rPr>
          <w:color w:val="000000" w:themeColor="text1"/>
          <w:lang w:val="ru-RU"/>
        </w:rPr>
        <w:t>. проводил эту работу без всяких секций, без всяких комитетов, пользуясь помощью 2-3 наших товарищей, подработал этот вопрос в одной из академических лабораторий и те</w:t>
      </w:r>
      <w:r w:rsidRPr="00070ADE">
        <w:rPr>
          <w:color w:val="000000" w:themeColor="text1"/>
          <w:lang w:val="ru-RU"/>
        </w:rPr>
        <w:softHyphen/>
        <w:t>перь довёл это дело до прекрасного конца. Мы видели результаты, мы с Вами ездили на завод, где это делалось, видели, какие получились результаты. В чем тут роль Академии? Она состояла в том, что небольшая группа людей рассмотрела этот вопрос и решила, как его нужно разрабатывать. Эти указания были направлены в соответствующие заводские организации и там были реализованы чрезвычайно хорошо, чрезвычайно удачно... (Ак. МИКУЛИН. Вот для этого секция и нужна).</w:t>
      </w:r>
    </w:p>
    <w:p w14:paraId="2D2FC5CE" w14:textId="77777777" w:rsidR="00057A35" w:rsidRPr="00070ADE" w:rsidRDefault="00057A35" w:rsidP="00B56F90">
      <w:pPr>
        <w:pStyle w:val="a3"/>
        <w:rPr>
          <w:color w:val="000000" w:themeColor="text1"/>
          <w:lang w:val="ru-RU"/>
        </w:rPr>
      </w:pPr>
      <w:r w:rsidRPr="00070ADE">
        <w:rPr>
          <w:color w:val="000000" w:themeColor="text1"/>
          <w:lang w:val="ru-RU"/>
        </w:rPr>
        <w:t xml:space="preserve">Причем они не занимались широкими планами, а решали конкретные вопросы. Мы недавно ездили с И.П. Бардиным и </w:t>
      </w:r>
      <w:r w:rsidRPr="00070ADE">
        <w:rPr>
          <w:color w:val="000000" w:themeColor="text1"/>
        </w:rPr>
        <w:t>B</w:t>
      </w:r>
      <w:r w:rsidRPr="00070ADE">
        <w:rPr>
          <w:color w:val="000000" w:themeColor="text1"/>
          <w:lang w:val="ru-RU"/>
        </w:rPr>
        <w:t>.</w:t>
      </w:r>
      <w:r w:rsidRPr="00070ADE">
        <w:rPr>
          <w:color w:val="000000" w:themeColor="text1"/>
        </w:rPr>
        <w:t>C</w:t>
      </w:r>
      <w:r w:rsidRPr="00070ADE">
        <w:rPr>
          <w:color w:val="000000" w:themeColor="text1"/>
          <w:lang w:val="ru-RU"/>
        </w:rPr>
        <w:t>. Кулебакиным, и когда я на заводе увидел, как это делается,- то я получил полное удовлетворение, потому что увидел, что вопрос ре</w:t>
      </w:r>
      <w:r w:rsidRPr="00070ADE">
        <w:rPr>
          <w:color w:val="000000" w:themeColor="text1"/>
          <w:lang w:val="ru-RU"/>
        </w:rPr>
        <w:softHyphen/>
        <w:t>шен правильно.</w:t>
      </w:r>
    </w:p>
    <w:p w14:paraId="1CC42D34" w14:textId="77777777" w:rsidR="00057A35" w:rsidRPr="00070ADE" w:rsidRDefault="00057A35" w:rsidP="00B56F90">
      <w:pPr>
        <w:pStyle w:val="a3"/>
        <w:rPr>
          <w:color w:val="000000" w:themeColor="text1"/>
          <w:lang w:val="ru-RU"/>
        </w:rPr>
      </w:pPr>
      <w:r w:rsidRPr="00070ADE">
        <w:rPr>
          <w:rStyle w:val="2410"/>
          <w:rFonts w:ascii="Times New Roman" w:hAnsi="Times New Roman" w:cs="Times New Roman"/>
          <w:b w:val="0"/>
          <w:color w:val="000000" w:themeColor="text1"/>
          <w:sz w:val="16"/>
          <w:szCs w:val="16"/>
          <w:lang w:val="ru-RU"/>
        </w:rPr>
        <w:t>Поэтому</w:t>
      </w:r>
      <w:r w:rsidRPr="00070ADE">
        <w:rPr>
          <w:color w:val="000000" w:themeColor="text1"/>
          <w:lang w:val="ru-RU"/>
        </w:rPr>
        <w:t xml:space="preserve"> я и говорю, что эти задачи, которые ставит... секция, выходят далеко за преде</w:t>
      </w:r>
      <w:r w:rsidRPr="00070ADE">
        <w:rPr>
          <w:color w:val="000000" w:themeColor="text1"/>
          <w:lang w:val="ru-RU"/>
        </w:rPr>
        <w:softHyphen/>
        <w:t>лы Академии и Академия, на мой взгляд, не может взять на свою ответственность этого де</w:t>
      </w:r>
      <w:r w:rsidRPr="00070ADE">
        <w:rPr>
          <w:color w:val="000000" w:themeColor="text1"/>
          <w:lang w:val="ru-RU"/>
        </w:rPr>
        <w:softHyphen/>
        <w:t>ла. а может принять только участие в порядке консультации или совета, пользуясь помощью тех специалистов, которые имеются, или институтами, которыми она располагает.</w:t>
      </w:r>
    </w:p>
    <w:p w14:paraId="2D06F4AA" w14:textId="77777777" w:rsidR="00057A35" w:rsidRPr="00070ADE" w:rsidRDefault="00057A35" w:rsidP="00B56F90">
      <w:pPr>
        <w:pStyle w:val="a3"/>
        <w:rPr>
          <w:color w:val="000000" w:themeColor="text1"/>
          <w:lang w:val="ru-RU"/>
        </w:rPr>
      </w:pPr>
      <w:r w:rsidRPr="00070ADE">
        <w:rPr>
          <w:color w:val="000000" w:themeColor="text1"/>
          <w:lang w:val="ru-RU"/>
        </w:rPr>
        <w:t>Вот почему я считаю, что учреждение такой секции авиации является необоснован</w:t>
      </w:r>
      <w:r w:rsidRPr="00070ADE">
        <w:rPr>
          <w:color w:val="000000" w:themeColor="text1"/>
          <w:lang w:val="ru-RU"/>
        </w:rPr>
        <w:softHyphen/>
        <w:t>ным. И едва ли было бы правильно принимать такой широкий план работы секции (я не могу назвать этот план скромным) иметь такой большой аппарат, как 14 старших научных сотрудников и 2 младших научных сотрудника. Вообще возникает вопрос, кто будут эти сотрудники, где они будут работать, где они будут сидеть, что они будут де</w:t>
      </w:r>
      <w:r w:rsidRPr="00070ADE">
        <w:rPr>
          <w:color w:val="000000" w:themeColor="text1"/>
          <w:lang w:val="ru-RU"/>
        </w:rPr>
        <w:softHyphen/>
        <w:t>лать? Вот все эти вопросы недостаточно ясны и поэтому вряд ли было бы правильно сейчас решать этот вопрос положительно. Так что я никоим образом не могу признать совершенно доказанной важность и необходимость учреждения этой секции. Что она ставит очень важные и большие задачи — это совершенно бесспорно, но утверждать, что они будут успешно выполнены, это для меня является недоказанным. Поэтому я против того, чтобы утверждать такого рода секции вообще и, в частности, против то</w:t>
      </w:r>
      <w:r w:rsidRPr="00070ADE">
        <w:rPr>
          <w:color w:val="000000" w:themeColor="text1"/>
          <w:lang w:val="ru-RU"/>
        </w:rPr>
        <w:softHyphen/>
        <w:t>го, чтобы мы сейчас приняли решение об организации секции авиации. Я думаю, что может быть найдена более правильная и целесообразная форма для разрешения тех вопросов, которые будут возникать в области авиации. Поэтому, считая что вряд ли эта секция может оправдать те большие надежды, которые на'неё возлагаются, я полагаю, что мы не должны принимать решение об её организации.</w:t>
      </w:r>
    </w:p>
    <w:p w14:paraId="7EE4F040" w14:textId="77777777" w:rsidR="00057A35" w:rsidRPr="00070ADE" w:rsidRDefault="00057A35" w:rsidP="00B56F90">
      <w:pPr>
        <w:pStyle w:val="a3"/>
        <w:rPr>
          <w:color w:val="000000" w:themeColor="text1"/>
          <w:lang w:val="ru-RU"/>
        </w:rPr>
      </w:pPr>
      <w:r w:rsidRPr="00070ADE">
        <w:rPr>
          <w:color w:val="000000" w:themeColor="text1"/>
          <w:lang w:val="ru-RU"/>
        </w:rPr>
        <w:t>...Академия не может оставаться и никогда не оставалась в стороне от вопросов авиа</w:t>
      </w:r>
      <w:r w:rsidRPr="00070ADE">
        <w:rPr>
          <w:color w:val="000000" w:themeColor="text1"/>
          <w:lang w:val="ru-RU"/>
        </w:rPr>
        <w:softHyphen/>
        <w:t>ции. поскольку уже теперь в наших институтах ряд тем уже разрабатывается. Так что Ака</w:t>
      </w:r>
      <w:r w:rsidRPr="00070ADE">
        <w:rPr>
          <w:color w:val="000000" w:themeColor="text1"/>
          <w:lang w:val="ru-RU"/>
        </w:rPr>
        <w:softHyphen/>
        <w:t>демия не стоит в стороне, она занимается этим делом так, как это является более свой- ственным ей по структуре и её организации. В этом отношении она делает свою боль</w:t>
      </w:r>
      <w:r w:rsidRPr="00070ADE">
        <w:rPr>
          <w:color w:val="000000" w:themeColor="text1"/>
          <w:lang w:val="ru-RU"/>
        </w:rPr>
        <w:softHyphen/>
        <w:t>шую работу, которая и сказывается на практике. Многие наши академики занимаются этими вопросами. Так что мы отнюдь не стоим в стороне, но мы это делаем так, как это является наиболее целесообразным и удобным. Но устраивать какие-то организации, ко</w:t>
      </w:r>
      <w:r w:rsidRPr="00070ADE">
        <w:rPr>
          <w:color w:val="000000" w:themeColor="text1"/>
          <w:lang w:val="ru-RU"/>
        </w:rPr>
        <w:softHyphen/>
        <w:t>торые будут исправлять недостатки соответствующих органов наркоматов, нам нельзя, за это браться мы не можем. Мы не можем руководить, направлять и предписывать авиа</w:t>
      </w:r>
      <w:r w:rsidRPr="00070ADE">
        <w:rPr>
          <w:color w:val="000000" w:themeColor="text1"/>
          <w:lang w:val="ru-RU"/>
        </w:rPr>
        <w:softHyphen/>
        <w:t>ционной промышленности какие бы то ни было мероприятия, мы можем только совето</w:t>
      </w:r>
      <w:r w:rsidRPr="00070ADE">
        <w:rPr>
          <w:color w:val="000000" w:themeColor="text1"/>
          <w:lang w:val="ru-RU"/>
        </w:rPr>
        <w:softHyphen/>
        <w:t>вать. а для этого имеющиеся у нас возможности являются вполне достаточными.</w:t>
      </w:r>
    </w:p>
    <w:p w14:paraId="2FE1C6EE" w14:textId="77777777" w:rsidR="00057A35" w:rsidRPr="00070ADE" w:rsidRDefault="00057A35" w:rsidP="00B56F90">
      <w:pPr>
        <w:pStyle w:val="a3"/>
        <w:rPr>
          <w:color w:val="000000" w:themeColor="text1"/>
          <w:lang w:val="ru-RU"/>
        </w:rPr>
      </w:pPr>
      <w:r w:rsidRPr="00070ADE">
        <w:rPr>
          <w:color w:val="000000" w:themeColor="text1"/>
          <w:lang w:val="ru-RU"/>
        </w:rPr>
        <w:t>Акад. МИКУЛИН. Я очень сожалею, что не сумел достаточно ясно выразить свою мысль в выступлении, ибо думаю, что ни один человек не может сомневаться в мощи нашей авиации — и это доказывается ежедневно. Я тоже</w:t>
      </w:r>
      <w:r w:rsidRPr="00070ADE">
        <w:rPr>
          <w:rStyle w:val="3a"/>
          <w:rFonts w:ascii="Times New Roman" w:hAnsi="Times New Roman" w:cs="Times New Roman"/>
          <w:i w:val="0"/>
          <w:color w:val="000000" w:themeColor="text1"/>
          <w:sz w:val="16"/>
          <w:szCs w:val="16"/>
          <w:lang w:val="ru-RU"/>
        </w:rPr>
        <w:t xml:space="preserve"> хотел</w:t>
      </w:r>
      <w:r w:rsidRPr="00070ADE">
        <w:rPr>
          <w:color w:val="000000" w:themeColor="text1"/>
          <w:lang w:val="ru-RU"/>
        </w:rPr>
        <w:t xml:space="preserve"> сказать только о глубоких проб лемных вопросах, и пример, который я привёл, не относился к разрешению вопросов се годняшнего дня, — это была проблемная работа, она оказалась некоординированной И действительно трудно представить себе, что Наркомат мог координировать такие просы, как вопросы древесины...</w:t>
      </w:r>
    </w:p>
    <w:p w14:paraId="03995FB9" w14:textId="68A63F98" w:rsidR="00057A35" w:rsidRPr="00070ADE" w:rsidRDefault="00057A35" w:rsidP="00B56F90">
      <w:pPr>
        <w:pStyle w:val="a3"/>
        <w:rPr>
          <w:color w:val="000000" w:themeColor="text1"/>
          <w:lang w:val="ru-RU"/>
        </w:rPr>
      </w:pPr>
      <w:r w:rsidRPr="00070ADE">
        <w:rPr>
          <w:color w:val="000000" w:themeColor="text1"/>
          <w:lang w:val="ru-RU"/>
        </w:rPr>
        <w:t>Акад. БАЙКОВ. И не должен этого делать. Мы должны указать на то, что в наших си</w:t>
      </w:r>
      <w:r w:rsidRPr="00070ADE">
        <w:rPr>
          <w:color w:val="000000" w:themeColor="text1"/>
          <w:lang w:val="ru-RU"/>
        </w:rPr>
        <w:softHyphen/>
        <w:t>лах и возможностях, но брать на себя всё это целиком, мы, конечно, не можем. Т</w:t>
      </w:r>
      <w:r w:rsidRPr="00070ADE">
        <w:rPr>
          <w:rStyle w:val="93"/>
          <w:rFonts w:ascii="Times New Roman" w:hAnsi="Times New Roman" w:cs="Times New Roman"/>
          <w:b w:val="0"/>
          <w:color w:val="000000" w:themeColor="text1"/>
          <w:spacing w:val="0"/>
          <w:sz w:val="16"/>
          <w:szCs w:val="16"/>
          <w:lang w:val="ru-RU"/>
        </w:rPr>
        <w:t>.т.</w:t>
      </w:r>
      <w:r w:rsidR="00C63BA9">
        <w:rPr>
          <w:rStyle w:val="93"/>
          <w:rFonts w:ascii="Times New Roman" w:hAnsi="Times New Roman" w:cs="Times New Roman"/>
          <w:b w:val="0"/>
          <w:color w:val="000000" w:themeColor="text1"/>
          <w:spacing w:val="0"/>
          <w:sz w:val="16"/>
          <w:szCs w:val="16"/>
          <w:lang w:val="ru-RU"/>
        </w:rPr>
        <w:t xml:space="preserve"> </w:t>
      </w:r>
      <w:r w:rsidRPr="00070ADE">
        <w:rPr>
          <w:color w:val="000000" w:themeColor="text1"/>
          <w:lang w:val="ru-RU"/>
        </w:rPr>
        <w:t>Келдыш и [А.А.] Ильюшин высказались в этом смысле» (15789).</w:t>
      </w:r>
    </w:p>
    <w:p w14:paraId="2DF9E5B8" w14:textId="77777777" w:rsidR="00057A35" w:rsidRPr="00070ADE" w:rsidRDefault="00057A35" w:rsidP="00B56F90">
      <w:pPr>
        <w:pStyle w:val="a3"/>
        <w:rPr>
          <w:color w:val="000000" w:themeColor="text1"/>
          <w:lang w:val="ru-RU"/>
        </w:rPr>
      </w:pPr>
    </w:p>
    <w:p w14:paraId="66EE8F7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901EC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83B7D1"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18 января 1944 года в ГБТУ КА пришло предложение от конструкторов ЦАКБ А.С. Часовникова и С.Д. Казарина. В нем они предложили целую программу перевооружения зарубежных танков на орудия калибра 85 мм (а в перспективе и 100 мм). В случае с Valentine предлагалось два варианта решения вопроса. Первый - это замена башни на Т-34 с 85-мм пушкой. Как раз в конце 1943 года испытывалась такая башня с 85-мм орудием С-53. Второй вариант - попытка разместить орудие в штатной башне. 15 февраля 1944 года состоялось совещание, на котором идею зарубили, а предложение успешно отправили в отдел изобретений (22723).</w:t>
      </w:r>
    </w:p>
    <w:p w14:paraId="4A2F9169" w14:textId="77777777" w:rsidR="00D549FB" w:rsidRPr="00070ADE" w:rsidRDefault="00D549FB" w:rsidP="00B56F90">
      <w:pPr>
        <w:spacing w:after="0" w:line="240" w:lineRule="auto"/>
        <w:jc w:val="both"/>
        <w:rPr>
          <w:rFonts w:ascii="Times New Roman" w:hAnsi="Times New Roman"/>
          <w:color w:val="000000" w:themeColor="text1"/>
          <w:sz w:val="16"/>
          <w:szCs w:val="16"/>
        </w:rPr>
      </w:pPr>
    </w:p>
    <w:p w14:paraId="09E6F70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вышло Распоряжение ГКО № 4973. О мерах по обеспечению окончания строительства завода № 28 Главкислорода. РГАНИР, Фонд ГКО, д. 194, лл. 111-112 (11012).</w:t>
      </w:r>
    </w:p>
    <w:p w14:paraId="7CA0817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4949B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вышло Распоряжение ГКО № 4974. О неотложных мерах по вывозке и отгрузке уксусно-кальциевого порошка Дмитриевскому лесохимическому заводу Наркомлеса СССР. РГАНИР, Фонд ГКО, д. 194, лл. 113 (11012).</w:t>
      </w:r>
    </w:p>
    <w:p w14:paraId="441CCBD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FC5E0D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вышло Постановление ГКО № 4975 О подготовке к весенней путине и увеличении добычи рыбы в 1944 году по Наркомрыбпрому СССР. РГАНИР, Фонд ГКО, д. 194, лл. 114-136,137-156 (11012).</w:t>
      </w:r>
    </w:p>
    <w:p w14:paraId="0550304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0585A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вышло Распоряжение ГКО № 4977. Об обеспечении электроэнергией предприятий Наркомчермета. РГАНИР, Фонд ГКО, д. 194, лл. 159-160 (11012).</w:t>
      </w:r>
    </w:p>
    <w:p w14:paraId="088550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D61486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18 января 1944 вышло Постановление ГКО № 4978 О неотложных мерах помощи лесоматериалами Наркомчермету. РГАНИР, Фонд ГКО, д. 194, лл. 161-163,164-169 (11012).</w:t>
      </w:r>
    </w:p>
    <w:p w14:paraId="1824706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8F86A4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вышло Распоряжение ГКО № 4979. О поставке и подвозе стройматериалов и горючего строительству завода № 500 НКАП. РГАНИР, Фонд ГКО, д. 194, лл. 170-171 (11012).</w:t>
      </w:r>
    </w:p>
    <w:p w14:paraId="7D12A16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EC6C4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вышло Постановление ГКО № 4980 О неотложных мерах помощи черной металлургии. РГАНИР, Фонд ГКО, д. 194, лл. 172-185,186-193 (11012).</w:t>
      </w:r>
    </w:p>
    <w:p w14:paraId="3A65E71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25F0F6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вышло Постановление ГКО № 4981 О мероприятиях по обеспечению бесперебойной работы цветной металлургии в I квартале 1944 г. РГАНИР, Фонд ГКО, д. 194, лл. 194-206,207-248 (11012).</w:t>
      </w:r>
    </w:p>
    <w:p w14:paraId="43DEEF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A97294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вышло Постановление ГКО № 4982 О восстановлении Воронежского завода кузнечно-прессового оборудования им. Калинина Наркомата станкостроения. РГАНИР, Фонд ГКО, д. 195, лл. 1-5,6-15 (11012).</w:t>
      </w:r>
    </w:p>
    <w:p w14:paraId="7416E3C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D2D2D7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вышло Постановление ГКО № 4983 Об обеспечении медицинской промышленности, эвакогоспиталей и лечебной сети Наркомздрава СССР химическим сырьем, материалами и изделиями в I квартале 1944 г. (7176, 16-18,19-33).</w:t>
      </w:r>
    </w:p>
    <w:p w14:paraId="39364F4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8B315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вышло Распоряжение ГКО № 4984. О мерах по обеспечению производства аэростатов заграждения в I квартале 1944 г. РГАНИР, Фонд ГКО, д. 195, лл. 34-39 (11012).</w:t>
      </w:r>
    </w:p>
    <w:p w14:paraId="3DF1212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69114A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вышло Постановление ГКО № 4985 О восстановлении завода "Металлист" Наркомата станкостроения в г. Таганроге. РГАНИР, Фонд ГКО, д. 195, лл. 40-42,43-47 (11012).</w:t>
      </w:r>
    </w:p>
    <w:p w14:paraId="66D23BC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A4D58A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вышло Постановление ГКО № 4986 О восстановлении Донецкой бумагоделательной фабрики Наркомбумпрома в г. Змиеве Харьковской области. РГАНИР, Фонд ГКО, д. 195, лл. 48-49,50 (11012).</w:t>
      </w:r>
    </w:p>
    <w:p w14:paraId="744FD4F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5A8F13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вышло Распоряжение ГКО № 4987. О плане производства и распределения крупных электрических машин на I и II кв. 1944 г. РГАНИР, Фонд ГКО, д. 195, лл. 51,52-56 (11012).</w:t>
      </w:r>
    </w:p>
    <w:p w14:paraId="2D3A0EA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751612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780812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C8AD5B"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18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75AF6CAC"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Ленинградском фронте, в районе южнее Ораниенбаума, несколько дней назад наши войска перешли в наступление, прорвали сильно укреплённую долговременную оборону немцев и успешно развивают дальнейшее наступление.</w:t>
      </w:r>
    </w:p>
    <w:p w14:paraId="65E902E9"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Волховском фронте, севернее Новгорода, несколько дней назад наши войска перешли в наступление, прорвали сильно укреплённую оборону немцев и успешно развивают наступление.</w:t>
      </w:r>
    </w:p>
    <w:p w14:paraId="37218B5F"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18 января севернее Новосокольники наши войска с боями продвигались вперёд и заняли более 40 населённых пунктов, в том числе Тулубьево, Устье, Гаярево, Фефёлово, Глазыри, Кошели, Гвоздова, Бояки, Петрушино, Теренино, Шугурово, Демяхи, Рыженино и железнодорожную станцию Шубино.</w:t>
      </w:r>
    </w:p>
    <w:p w14:paraId="1CEC967A"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Новоград-Волынский наши войска овладели районным центром Каменец-Подольской области городом и крупной железнодорожной станцией Славута, а также заняли несколько других населённых пунктов.</w:t>
      </w:r>
    </w:p>
    <w:p w14:paraId="3B558D6E"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5C1F76E5"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17 января наши войска на всех фронтах подбили и уничтожили 147 немецких танков. В воздушных боях и огнём зенитной артиллерии сбито 33 самолёта противника.</w:t>
      </w:r>
    </w:p>
    <w:p w14:paraId="3E212966"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Новосокольники наши войска продолжали наступление. Части Н-ского соединения, продвигаясь вдоль железной дороги, овладели станцией Шубино, а также заняли более 40 населённых пунктов. В этом районе советские части встретили мощную полосу укреплений противника. Взламывая эту оборону немцев, наши бойцы овладели рядом сильно укреплённых опорных пунктов. На одном участке немцы предприняли одну за другой семь ожесточённых контратак, но были отброшены сбольшими для них потерями. Уничтожено до 800 вражеских солдат и офицеров, 5 немецких танков и 18 орудий. Захвачены две артиллерийские батареи, 17 миномётов, 60 пулемётов, три склада боеприпасов и другие трофеи. Взяты пленные.</w:t>
      </w:r>
    </w:p>
    <w:p w14:paraId="193E11B6"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Новоград-Волынский наши войска стремительно продвинулисьвперёд и штурмом овладели районным центром Каменец-Подольской области — городом и крупной железнодорожной станцией Славута. Захвачено много оружия, подвижной железнодорожный состав и склады с военным имуществом. Занято также несколько других населённых пунктов. В бою за один из этих пунктов наши подразделения вместе с партизанами уничтожили две роты гитлеровцев и захватили 10 орудий, 24 пулемёта и до 100 автоматов.</w:t>
      </w:r>
    </w:p>
    <w:p w14:paraId="7D3A3CEB"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Любар несколько дней тому назад пехота и танки противника ударами с двух сторон пытались окружить выдвинувшиеся вперёд советские части. Одной группе немцев удалось вклиниться в нашу оборону и захватить два населённых пункта. Затем наши войска нанесли противнику контрудар и полностью восстановили положение. На поле боя осталось до 2 тысяч вражеских трупов. Уничтожено несколько десятков немецких танков и 22 бронетранспортёра. Захвачены у немцев 15 исправных танков, 5 бронемашин, 24 орудия и другие трофеи. Взято значительное число пленных.</w:t>
      </w:r>
    </w:p>
    <w:p w14:paraId="3E40005A"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Баренцовом море потоплен танкер противника водоизмещением в 6.000 тонн.</w:t>
      </w:r>
    </w:p>
    <w:p w14:paraId="385A55A3"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Чёрном море наши лётчики уничтожили два торпедных катера противника.</w:t>
      </w:r>
    </w:p>
    <w:p w14:paraId="7C9418FD"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января немецкое командование направило против ровенских партизан большой карательный отряд. Гитлеровцы имели задачу — разгромить партизан и захватить находящийся под их контролем мост через реку. Одна группа партизан приняла бой и задержала немцев. В это время основные силы отряда зашли противнику во фланг и нанесли ему внезапный удар. Гитлеровцы поспешно отступили,оставив на поле боя 180 трупов своих солдат и офицеров. Взято в плен 14 немцев.</w:t>
      </w:r>
    </w:p>
    <w:p w14:paraId="588FACC0"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одном участке 2-го Прибалтийского фронта захвачен в плен сын директора почтамта в Берлине командир 3 батальона 68 полка 23 немецкой пехотной дивизии Ганс Иоахим Шведе. Военнопленный рассказал: "Я прослужил в 68 полку свыше пятилет. Участвовал в польском и французском походах. За всю польскую кампанию вполку выбыло из строя лишь несколько человек. Во Франции стрелковые роты потеряли в среднем по 5-6 солдат убитыми и по 10-15 человек ранеными. В России наши потери ни с чем не сравнимы. Только за две недели боёв в районе Невеля дивизия потеряла убитыми более 3 тысяч человек и вынуждена была отступить.</w:t>
      </w:r>
    </w:p>
    <w:p w14:paraId="1AE331EC"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Уже третий год немецкие войска в России терпят одно поражение за другим. Немецкая армия истекает кровью. Однако дело не исчерпывается огромными потерямив людях и технике. Произошли роковые для Германии изменения. Теперь немецкий солдат уже утратил сознание своего превосходства над другими солдатами. Оно сменилось чувством неуверенности и страха, сознанием превосходства русского солдата над немецким. Это самый страшный удар, нанесённый немецкой армии за последнее время» (15013).</w:t>
      </w:r>
    </w:p>
    <w:p w14:paraId="18FEDAFE" w14:textId="77777777" w:rsidR="00EC515D" w:rsidRPr="00070ADE" w:rsidRDefault="00EC515D" w:rsidP="00B56F90">
      <w:pPr>
        <w:spacing w:after="0" w:line="240" w:lineRule="auto"/>
        <w:jc w:val="both"/>
        <w:rPr>
          <w:rFonts w:ascii="Times New Roman" w:hAnsi="Times New Roman"/>
          <w:color w:val="000000" w:themeColor="text1"/>
          <w:sz w:val="16"/>
          <w:szCs w:val="16"/>
        </w:rPr>
      </w:pPr>
    </w:p>
    <w:p w14:paraId="0423F4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January 18, 1944: German forces of Heeresgruppe Mitte repel repeated Soviet attacks in the area of Vitebsk (3819).</w:t>
      </w:r>
    </w:p>
    <w:p w14:paraId="727519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17249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немецкие войска Группы Центр отбивали советские атаки под Витебском (3819).</w:t>
      </w:r>
    </w:p>
    <w:p w14:paraId="688B45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08F7E4"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6D1ABE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15565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г. был сдан в эксплуатацию 7-микилометровый участок со станциями: Бауманская, Электрозаводская, Сталинская (Семеновская) и Измайловский парк. Последняя отличалась от других своими размерами. Она имела две платформы и три пути, что давало возможность одновременной подачи двух составов под посадку для перевозки большого числа пассажиров - посетителей парка и строившегося стадиона (и это в разгар войны!). В оформлении интерьеров всех станций нашла отражение военная тематика (11614).</w:t>
      </w:r>
    </w:p>
    <w:p w14:paraId="6B9E529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D38F40"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18 января</w:t>
      </w:r>
      <w:r w:rsidRPr="00070ADE">
        <w:rPr>
          <w:rFonts w:ascii="Times New Roman" w:hAnsi="Times New Roman"/>
          <w:color w:val="000000" w:themeColor="text1"/>
          <w:sz w:val="16"/>
          <w:szCs w:val="16"/>
        </w:rPr>
        <w:t xml:space="preserve"> в 1944 году вступил в эксплуатацию участок Арбатско-Покровской линии от станции «Курская» до станции «Измайловская» («Стадион народов», «Партизанская») протяженностью 7,1 км. Завершено сооружение третьей очереди столичного метрополитена (15013).</w:t>
      </w:r>
    </w:p>
    <w:p w14:paraId="562B51CE" w14:textId="77777777" w:rsidR="00EC515D" w:rsidRPr="00070ADE" w:rsidRDefault="00EC515D" w:rsidP="00B56F90">
      <w:pPr>
        <w:spacing w:after="0" w:line="240" w:lineRule="auto"/>
        <w:jc w:val="both"/>
        <w:rPr>
          <w:rFonts w:ascii="Times New Roman" w:hAnsi="Times New Roman"/>
          <w:color w:val="000000" w:themeColor="text1"/>
          <w:sz w:val="16"/>
          <w:szCs w:val="16"/>
        </w:rPr>
      </w:pPr>
    </w:p>
    <w:p w14:paraId="56EE3795" w14:textId="77777777" w:rsidR="00292637" w:rsidRPr="00070ADE" w:rsidRDefault="0029263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18 января 1944. Открыт для пассажиров участок метро "Курская" - "Измайловский парк имени Сталина" (18692).</w:t>
      </w:r>
    </w:p>
    <w:p w14:paraId="0BD7309D" w14:textId="77777777" w:rsidR="00292637" w:rsidRPr="00070ADE" w:rsidRDefault="00292637" w:rsidP="00B56F90">
      <w:pPr>
        <w:spacing w:after="0" w:line="240" w:lineRule="auto"/>
        <w:jc w:val="both"/>
        <w:rPr>
          <w:rFonts w:ascii="Times New Roman" w:hAnsi="Times New Roman"/>
          <w:color w:val="000000" w:themeColor="text1"/>
          <w:sz w:val="16"/>
          <w:szCs w:val="16"/>
        </w:rPr>
      </w:pPr>
    </w:p>
    <w:p w14:paraId="5970B693"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18 января</w:t>
      </w:r>
      <w:r w:rsidRPr="00070ADE">
        <w:rPr>
          <w:rFonts w:ascii="Times New Roman" w:hAnsi="Times New Roman"/>
          <w:color w:val="000000" w:themeColor="text1"/>
          <w:sz w:val="16"/>
          <w:szCs w:val="16"/>
        </w:rPr>
        <w:t xml:space="preserve"> в 1944 году станция "Бауманская" открыта в составе третьей очереди строительства Московского метрополитена. Проектное название: Разгуляй, Спартаковская Проект переименования: Елохово (1992) Конструкция станции - пилонная трехсводчатая глубокого заложения. Построена по типовому проекту. Архитекторы: Б.М.Иофан, соавторы Ю.П.Зенкевич, Д.М.Циперович, М.В.Андрианов, В.В.Поляцкий Архитекторы вестибюля: Б.М.Иофан, Ю.П.Зенкевич, В.В.Пелевин Инженеры-конструкторы: Б.М.Прикот, Б.В.Грейц Названа в честь видного революционного деятеля Николая Эрнестовича Баумана (1873-1905). Оформление станции посвящено теме единства фронта и тыла в годы Великой Отечественной войны. Пилоны станционного зала облицованы розовым мрамором "газган". На каждом пилоне имеются по два выступа из полированного красного порфира. В нишах на пьедесталах установлены скульптуры защитников Родины и тружеников тыла во времена Великой Отечественной войны: здесь боец Советской армии и бесстрашная партизанка, неутомимая работница и колхозник (скульптор В.А.Андреев). Торцовую стену центрального зала украшает мозаичный портрет В.И.Ленина на фоне развевающихся знамён. Путевые стены покрыты серым и чёрным мрамором. Светильники располагаются в нишах в своде и за карнизом над пилонами. Вентиляционные отверстия скрыты фигурными бронзовыми и мраморными решетками. Пол зала выложен серым, чёрным и красным гранитом. Наземный вестибюль выполнен в виде высокого павильона и облицован изнутри светлым мрамором "газган". В 60-х годах фасад вестибюля был переоблицован керамической плиткой. Арка эскалаторного тоннеля украшена мозаичным панно "Слава Советской Армии" (автор И.М.Рабинович, 1947). В вестибюле у выхода установлен бюст Н.Э.Баумана работы А.П.Шлыкова. Выход в город на Бауманскую улицу (15013).</w:t>
      </w:r>
    </w:p>
    <w:p w14:paraId="54190070" w14:textId="77777777" w:rsidR="00EC515D" w:rsidRPr="00070ADE" w:rsidRDefault="00EC515D" w:rsidP="00B56F90">
      <w:pPr>
        <w:spacing w:after="0" w:line="240" w:lineRule="auto"/>
        <w:jc w:val="both"/>
        <w:rPr>
          <w:rFonts w:ascii="Times New Roman" w:hAnsi="Times New Roman"/>
          <w:color w:val="000000" w:themeColor="text1"/>
          <w:sz w:val="16"/>
          <w:szCs w:val="16"/>
        </w:rPr>
      </w:pPr>
    </w:p>
    <w:p w14:paraId="5E32BD20"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18 января</w:t>
      </w:r>
      <w:r w:rsidRPr="00070ADE">
        <w:rPr>
          <w:rFonts w:ascii="Times New Roman" w:hAnsi="Times New Roman"/>
          <w:color w:val="000000" w:themeColor="text1"/>
          <w:sz w:val="16"/>
          <w:szCs w:val="16"/>
        </w:rPr>
        <w:t xml:space="preserve"> в 1944 году станция "Семеновская" Открыта в составе третьей очереди строительства Московского метрополитена. Прежнее название: Сталинская (до 30 ноября 1961) Проект переименования: Семеновское (1992) Капитальный ремонт эскалаторов и вестибюля (с закрытием станции для пассажиров): 15 мая 2005 – 28 апреля 2006. Конструкция станции - пилонная трехпролетная глубокого заложения. Единственная станция, которая может быть названа колонно-пилонной. Сооружена по типоразмерам пилонной конструкции из сборной чугунной обделки, но геологическая ситуация позволила заменить массивные пилоны двойной колоннадой - вместо каждого пилона по его углам установлены четыре стальные колонны, на которые, посредством монолитной бетонной плиты, опираются разомкнутые обделки боковых и центральных тоннелей. Архитектор: С.М.Кравец Инженер-конструктор: В.И.Дмитриев Названа по расположенной рядом Семёновской площади. Художественное оформление станции посвящено теме Советской Армии и оружия (Скульпторы: Народный художник СССР Вера Игнатьевна Мухина и Надежда Константиновна Вентцель. Художник: Владимир Петрович Ахметьев). Станционный зал станции "Семёновская" отличается от всех других станций тем, что колонны в нём установлены в четыре ряда, сам зал значительно шире, чем на других станциях. Колонны облицованы светлым мрамором и украшены вставками мрамора различных цветов. Пол выложен чёрным и красным гранитом. Путевые стены облицованы белым и серым мрамором и украшены щитами с изображением оружия и портретами воинов Советской Армии (скульптор Саул Львович Рабинович). Торцевую стену украшает горельеф с изображением ордена Победы на фоне оружия и знамён. Свод зала украшают изображения различных видов оружия. По осевой линии зала расположены светильники на торшерах из зелёного мрамора. Наземный вестибюль выполнен с фасадом в форме арки. Фасад облицован шлифованным туфом, а цокольная часть вестибюля покрыта красным гранитом. Кассовый зал отделан белым и красным мрамором. Выход в город на Семеновскую площадь (15013).</w:t>
      </w:r>
    </w:p>
    <w:p w14:paraId="5B8E58CE" w14:textId="77777777" w:rsidR="00EC515D" w:rsidRPr="00070ADE" w:rsidRDefault="00EC515D" w:rsidP="00B56F90">
      <w:pPr>
        <w:spacing w:after="0" w:line="240" w:lineRule="auto"/>
        <w:jc w:val="both"/>
        <w:rPr>
          <w:rFonts w:ascii="Times New Roman" w:hAnsi="Times New Roman"/>
          <w:color w:val="000000" w:themeColor="text1"/>
          <w:sz w:val="16"/>
          <w:szCs w:val="16"/>
        </w:rPr>
      </w:pPr>
    </w:p>
    <w:p w14:paraId="7EF1AB0D"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18 января</w:t>
      </w:r>
      <w:r w:rsidRPr="00070ADE">
        <w:rPr>
          <w:rFonts w:ascii="Times New Roman" w:hAnsi="Times New Roman"/>
          <w:color w:val="000000" w:themeColor="text1"/>
          <w:sz w:val="16"/>
          <w:szCs w:val="16"/>
        </w:rPr>
        <w:t xml:space="preserve"> в 1944 году станция "Партизанская" открыта в составе третьей очереди строительства Московского метрополитена. Проектные названия: Стадион имени Сталина, Стадион народов, Стадион СССР Прежние названия: Измайловская (до 20 августа 1963), Измайловский парк (до 3 мая 2005) Проект переименования: Измайлово (1991, 1992) Конструкция станции - колонная трехпролетная мелкого заложения. Сооружена по специальному проекту из стальных конструкций и монолитного железобетона. Имеет две островные посадочные платформы и три пути. Архитекторы: Б.С.Виленский при участии Л.Д.Фишбейна Архитекторы вестибюлей: Б.С.Виленский, при участии Л.Григорьева, Л.А.Шагуриной Инженер-конструктор: Н.А.Кабанов Станционный зал отличает наличие трёх путей и двух платформ. Еще до войны недалеко от станции предполагалось сооружение огромного "Стадиона народов" и, чтобы исключить давку на платформах после окончания массовых спортивных мероприятий, на станции построено три пути. Но, по ряду причин, строительство стадиона было заморожено. Сегодня используется только два станционных пути. Оформление станции посвящено теме партизанского движения в годы Великой Отечественной войны. Легкие квадратные колонны станционного зала облицованы белым мрамором. Путевые стены отделаны вверху белым мрамором, внизу - коричневой керамической плиткой, и украшены барельефами работы скульптора С.Л.Рабиновича. На платформах у ближайших к выходу колонн установлены скульптуры героев-партизан Зои Космодемьянской и 80-летнего крестьянина-колхозника Матвея Кузьмина, повторившего в 1941 году подвиг Ивана Сусанина и заведшего немецкий отряд в гибельные болота (скульптор М.Г.Манизер). Над средним путём имеются ниши в потолке станции. После открытия станции в них находились светильники и фрески (художник А.Д.Гончаров). Ни фреска, ни светильники до наших дней не сохранились. К выходу ведут широкие гранитные лестницы. На промежуточной площадке установлена скульптурная группа "Народные мстители" (скульптор М.Г.Манизер). Стены наземного павильона облицованы белым и красным мрамором. Выход в город на Измайловское шоссе, Народный проспект и к северному входу Измайловского парка (15013).</w:t>
      </w:r>
    </w:p>
    <w:p w14:paraId="183C1839" w14:textId="77777777" w:rsidR="00EC515D" w:rsidRPr="00070ADE" w:rsidRDefault="00EC515D" w:rsidP="00B56F90">
      <w:pPr>
        <w:spacing w:after="0" w:line="240" w:lineRule="auto"/>
        <w:jc w:val="both"/>
        <w:rPr>
          <w:rFonts w:ascii="Times New Roman" w:hAnsi="Times New Roman"/>
          <w:color w:val="000000" w:themeColor="text1"/>
          <w:sz w:val="16"/>
          <w:szCs w:val="16"/>
        </w:rPr>
      </w:pPr>
    </w:p>
    <w:p w14:paraId="5479F7F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в Москве открыта станция метро “Стадион народов” (ныне “Измайловский парк”) (4962).</w:t>
      </w:r>
    </w:p>
    <w:p w14:paraId="662B37A4"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0278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вышло распоряжение НКВД N 18с О дополнительном питании заключенных и 28 февраля НКВД требовало на местах обеспечить доппитание (3428).</w:t>
      </w:r>
    </w:p>
    <w:p w14:paraId="30C847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6764EE"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2F97A8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1F468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английский генерал Б. Монтгомери обвинил американских военных в слабых действиях в Европе (4962).</w:t>
      </w:r>
    </w:p>
    <w:p w14:paraId="12E2166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82CB2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в Англии начата тренировка мальчиков, вызвавшихся добровольцами на работы в шахтах во время войны (4962).</w:t>
      </w:r>
    </w:p>
    <w:p w14:paraId="62B79D0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103943"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18 января</w:t>
      </w:r>
      <w:r w:rsidRPr="00070ADE">
        <w:rPr>
          <w:rFonts w:ascii="Times New Roman" w:hAnsi="Times New Roman"/>
          <w:color w:val="000000" w:themeColor="text1"/>
          <w:sz w:val="16"/>
          <w:szCs w:val="16"/>
        </w:rPr>
        <w:t xml:space="preserve"> в 1944 году эдикт императора Японии «Об особых правах и полномочиях правительства в военное время», который наделял кабинет министров и премьера диктаторскими полномочиями (15013).</w:t>
      </w:r>
    </w:p>
    <w:p w14:paraId="3E7194C2" w14:textId="77777777" w:rsidR="00EC515D" w:rsidRPr="00070ADE" w:rsidRDefault="00EC515D" w:rsidP="00B56F90">
      <w:pPr>
        <w:spacing w:after="0" w:line="240" w:lineRule="auto"/>
        <w:jc w:val="both"/>
        <w:rPr>
          <w:rFonts w:ascii="Times New Roman" w:hAnsi="Times New Roman"/>
          <w:color w:val="000000" w:themeColor="text1"/>
          <w:sz w:val="16"/>
          <w:szCs w:val="16"/>
        </w:rPr>
      </w:pPr>
    </w:p>
    <w:p w14:paraId="2664B304"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18 января</w:t>
      </w:r>
      <w:r w:rsidRPr="00070ADE">
        <w:rPr>
          <w:rFonts w:ascii="Times New Roman" w:hAnsi="Times New Roman"/>
          <w:color w:val="000000" w:themeColor="text1"/>
          <w:sz w:val="16"/>
          <w:szCs w:val="16"/>
        </w:rPr>
        <w:t xml:space="preserve"> в 1944 году опубликование в Японии «Программы финансирования военно-промышленных компаний» и «Программы чрезвычайных мероприятий по трудовой мобилизации населения» (15013).</w:t>
      </w:r>
    </w:p>
    <w:p w14:paraId="00346072" w14:textId="77777777" w:rsidR="00EC515D" w:rsidRPr="00070ADE" w:rsidRDefault="00EC515D" w:rsidP="00B56F90">
      <w:pPr>
        <w:spacing w:after="0" w:line="240" w:lineRule="auto"/>
        <w:jc w:val="both"/>
        <w:rPr>
          <w:rFonts w:ascii="Times New Roman" w:hAnsi="Times New Roman"/>
          <w:color w:val="000000" w:themeColor="text1"/>
          <w:sz w:val="16"/>
          <w:szCs w:val="16"/>
        </w:rPr>
      </w:pPr>
    </w:p>
    <w:p w14:paraId="7464AD88"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5623C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B72F7F" w14:textId="77777777" w:rsidR="00292637" w:rsidRPr="00070ADE" w:rsidRDefault="00292637" w:rsidP="00B56F90">
      <w:pPr>
        <w:pStyle w:val="ae"/>
        <w:shd w:val="clear" w:color="auto" w:fill="FFFFFF"/>
        <w:spacing w:before="0" w:after="0"/>
        <w:jc w:val="both"/>
        <w:rPr>
          <w:color w:val="000000" w:themeColor="text1"/>
          <w:sz w:val="16"/>
          <w:szCs w:val="16"/>
        </w:rPr>
      </w:pPr>
      <w:r w:rsidRPr="00070ADE">
        <w:rPr>
          <w:color w:val="000000" w:themeColor="text1"/>
          <w:sz w:val="16"/>
          <w:szCs w:val="16"/>
        </w:rPr>
        <w:t xml:space="preserve">19 января 1944 вышел приказ НКАП </w:t>
      </w:r>
    </w:p>
    <w:p w14:paraId="72A5FBCB" w14:textId="77777777" w:rsidR="00292637" w:rsidRPr="00070ADE" w:rsidRDefault="0029263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О переходе на выпуск Ил-2 с 15.04.44 со стрельчатой конструкцией крыла (19706).</w:t>
      </w:r>
    </w:p>
    <w:p w14:paraId="64B980B9" w14:textId="77777777" w:rsidR="00292637" w:rsidRPr="00070ADE" w:rsidRDefault="00292637" w:rsidP="00B56F90">
      <w:pPr>
        <w:spacing w:after="0" w:line="240" w:lineRule="auto"/>
        <w:jc w:val="both"/>
        <w:textAlignment w:val="top"/>
        <w:rPr>
          <w:rFonts w:ascii="Times New Roman" w:eastAsia="Times New Roman" w:hAnsi="Times New Roman"/>
          <w:color w:val="000000" w:themeColor="text1"/>
          <w:sz w:val="16"/>
          <w:szCs w:val="16"/>
          <w:lang w:eastAsia="ru-RU"/>
        </w:rPr>
      </w:pPr>
    </w:p>
    <w:p w14:paraId="3B8C1B4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января 1944 вышел приказ НКАП N 42сс "О выпуске самолетов Ил-2 с металлическими крыльями стрельчатой конструкции" (492):</w:t>
      </w:r>
    </w:p>
    <w:p w14:paraId="08FFB6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исполнение постановления ГКО N 4976сс от 18 января 1944 г полный переход на производство Ил-2 с металлическими крыльями стрельчатой констр осуществить с 15 апреля с.г." А.И.Шахурин (492).</w:t>
      </w:r>
    </w:p>
    <w:p w14:paraId="5514DD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"ГКО своим постановлением от 18 января 1944 N 4976сс отметил, что гос. испытания Ил-2 со стрельчатой конструкцией консолей крыла подтвердили улучшение центровки Ил-2 в двухместном варианте и исправлено тем самым перемещение центровки Ил-2 назад, получившеечя при переходе на 2-х местный вариант.</w:t>
      </w:r>
    </w:p>
    <w:p w14:paraId="1C7971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исполнение этого постановления - Приказываю:</w:t>
      </w:r>
    </w:p>
    <w:p w14:paraId="79F63A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Нач. 10 ГУ Кузнецову и дир. заводов 18 Беленскому, 30 Смирнову и 1 Третьякову:</w:t>
      </w:r>
    </w:p>
    <w:p w14:paraId="761F26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перейти на заводе 18 на производство Ил-2 с крыльями стрельчатиой конструкции.</w:t>
      </w:r>
    </w:p>
    <w:p w14:paraId="242135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Полный переход на производство Ил-2 с крыльями стрельчатой конструкции осуществить с 15 апреля без снижения лостигнутого уровня выпуска самолетов.</w:t>
      </w:r>
    </w:p>
    <w:p w14:paraId="290ABF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перейти на заводах 1 и 30 на производство Ил-2 с крыльями стрельчатиой конструкции.</w:t>
      </w:r>
    </w:p>
    <w:p w14:paraId="1C4E7C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Полный переход на производство Ил-2 с крыльями стрельчатой конструкции осуществить до 15 мая без снижения лостигнутого уровня выпуска самолетов.</w:t>
      </w:r>
    </w:p>
    <w:p w14:paraId="0A0F07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 1 февраля с.г. представить мне график перехода на этих заводах на производство Ил-2 с металлическими крыльями стрельчатой конструкции в соответствии с указанным постановлением ГОКО.</w:t>
      </w:r>
    </w:p>
    <w:p w14:paraId="7DA80DA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Начальнику 10-го Главного Управления - Зам. Нар</w:t>
      </w:r>
      <w:r w:rsidRPr="00070ADE">
        <w:rPr>
          <w:rFonts w:ascii="Times New Roman" w:hAnsi="Times New Roman"/>
          <w:color w:val="000000" w:themeColor="text1"/>
          <w:sz w:val="16"/>
          <w:szCs w:val="16"/>
        </w:rPr>
        <w:softHyphen/>
        <w:t>кома тов. Кузнецову перевести на завод № 1, временно сроков на 2,5 месяца мастеров-клепальщиков и квалифици</w:t>
      </w:r>
      <w:r w:rsidRPr="00070ADE">
        <w:rPr>
          <w:rFonts w:ascii="Times New Roman" w:hAnsi="Times New Roman"/>
          <w:color w:val="000000" w:themeColor="text1"/>
          <w:sz w:val="16"/>
          <w:szCs w:val="16"/>
        </w:rPr>
        <w:softHyphen/>
        <w:t>рованных рабочих клепальщиков в количестве 50 человек с заводов №№ 64 и 86 в помощь для организации произ</w:t>
      </w:r>
      <w:r w:rsidRPr="00070ADE">
        <w:rPr>
          <w:rFonts w:ascii="Times New Roman" w:hAnsi="Times New Roman"/>
          <w:color w:val="000000" w:themeColor="text1"/>
          <w:sz w:val="16"/>
          <w:szCs w:val="16"/>
        </w:rPr>
        <w:softHyphen/>
        <w:t>водства металлических крыльев.</w:t>
      </w:r>
    </w:p>
    <w:p w14:paraId="3320005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Начальнику 9-го Главного Управления тов. Домову и директору завода № 150 тов. Белову поставлять заводам №№ 18 и 30 с февраля месяца с.гю детали горячей штам</w:t>
      </w:r>
      <w:r w:rsidRPr="00070ADE">
        <w:rPr>
          <w:rFonts w:ascii="Times New Roman" w:hAnsi="Times New Roman"/>
          <w:color w:val="000000" w:themeColor="text1"/>
          <w:sz w:val="16"/>
          <w:szCs w:val="16"/>
        </w:rPr>
        <w:softHyphen/>
        <w:t>повки для стыковых узлов самолётов Ил-2 с металлически</w:t>
      </w:r>
      <w:r w:rsidRPr="00070ADE">
        <w:rPr>
          <w:rFonts w:ascii="Times New Roman" w:hAnsi="Times New Roman"/>
          <w:color w:val="000000" w:themeColor="text1"/>
          <w:sz w:val="16"/>
          <w:szCs w:val="16"/>
        </w:rPr>
        <w:softHyphen/>
        <w:t>ми крыльями стрельчатой конструкции.</w:t>
      </w:r>
    </w:p>
    <w:p w14:paraId="6DBA6A5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НАРОДНЫЙ' КОМИССАР АВИАЦИОННОЙ ПРОМЫШЛЕННОСТИ (492,10).</w:t>
      </w:r>
    </w:p>
    <w:p w14:paraId="238D75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D9D6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января 1944 г. приказом Наркома авиапромышленности А.И.Шахурина № 42 авиазаводы обязывались, в соответствии с Поста</w:t>
      </w:r>
      <w:r w:rsidRPr="00070ADE">
        <w:rPr>
          <w:rFonts w:ascii="Times New Roman" w:hAnsi="Times New Roman"/>
          <w:color w:val="000000" w:themeColor="text1"/>
          <w:sz w:val="16"/>
          <w:szCs w:val="16"/>
        </w:rPr>
        <w:softHyphen/>
        <w:t>новлением ГКО № 4976 от 18 января, к лету 1944 г. полностью перейти на вы</w:t>
      </w:r>
      <w:r w:rsidRPr="00070ADE">
        <w:rPr>
          <w:rFonts w:ascii="Times New Roman" w:hAnsi="Times New Roman"/>
          <w:color w:val="000000" w:themeColor="text1"/>
          <w:sz w:val="16"/>
          <w:szCs w:val="16"/>
        </w:rPr>
        <w:softHyphen/>
        <w:t>пуск Ил-2 с металлическим крылом стрельчатой конструкции (угол стреловидности по передней кромке консолей 15°): завод № 18 - к 15 апреля, а 1-й и 30-й авиазаводы - к 15 мая (6467).</w:t>
      </w:r>
    </w:p>
    <w:p w14:paraId="340F698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5100B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января 1944 г. вышел приказ НКАП во исполнение Постановления ГКО, которое обязывало все три авиазавода к началу лета полностью перейти на выпуск Ил-2 с металлическим крылом "со стрелкой" (угол стреловидности по передней кромке консолей 15°): завод № 18 - до 15 апреля, а 1-й и 30-й авиазаводы - до 15 мая. При этом снижать достигнутый уровень производства самолетов запрещалось.</w:t>
      </w:r>
    </w:p>
    <w:p w14:paraId="14964D8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Следует отметить, что Постановление ГКО, помимо установления сроков выпуска модифицированных Ил-2 и повышения ответственности руководства авиазаводов, давало наркомату авиапромышленности и определенные преимущества при решении ряда вопросов материально-технического снабжения авиазаводов.</w:t>
      </w:r>
    </w:p>
    <w:p w14:paraId="6529A32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предпринятые шаги, внедрение в серийное производство Ил-2 с новым крылом все же шло "со скрипом". К 1 апреля "завод № 1 сдал по сборке 20 самолетов, завод № 18 - 4 самолета, завод № 30 - 22 самолета". Возникла, как писал начальник Главного управления заказов ВВС генерал-лейтенант Н. П. Селезнев, "угроза срыва сроков выполнения решения". Он требовал срочно "принять меры по разворачиванию производства металлических крыльев стрельчатой конструкции" (12020).</w:t>
      </w:r>
    </w:p>
    <w:p w14:paraId="0964672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BD64385" w14:textId="403225D3"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19 января с 8 января по 1944</w:t>
      </w:r>
      <w:r w:rsidR="00FF1903">
        <w:rPr>
          <w:rFonts w:ascii="Times New Roman" w:hAnsi="Times New Roman"/>
          <w:color w:val="000000" w:themeColor="text1"/>
          <w:sz w:val="16"/>
          <w:szCs w:val="16"/>
        </w:rPr>
        <w:t>,</w:t>
      </w:r>
      <w:r w:rsidRPr="00070ADE">
        <w:rPr>
          <w:rFonts w:ascii="Times New Roman" w:hAnsi="Times New Roman"/>
          <w:color w:val="000000" w:themeColor="text1"/>
          <w:sz w:val="16"/>
          <w:szCs w:val="16"/>
        </w:rPr>
        <w:t xml:space="preserve"> согласно журнала наблюдения за проектированием, постройкой и испытаниями МиГ-3 на МиГ-3 2Д произвели 8 полетов. 8 января 1944 произвели полет на определение макс. скорости по высотам. Задание не выполнено изза ненормальной работы мотора. Облет выполнен л Якимовым. Замечено тяжелое управление ручкой по сравнению с ножным управлением. Осталось произвести 2 полета на определение макс. скорости на форсаже (992,12).</w:t>
      </w:r>
    </w:p>
    <w:p w14:paraId="15E924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EE1F10F" w14:textId="77777777" w:rsidR="00FF1903" w:rsidRPr="00C94B78" w:rsidRDefault="00FF190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период 19 января 1944 по 15 февраля 1944 г. на Чкаловском аэродроме в НИИ ВВС провели испытания трех глушителей завода № 51 для По-2.</w:t>
      </w:r>
    </w:p>
    <w:p w14:paraId="1CE9AB63" w14:textId="77777777" w:rsidR="00FF1903" w:rsidRPr="00C94B78" w:rsidRDefault="00FF190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ШПГ-1, который действовал по принципу трения с отражением, выхлопные газы в нем прохо</w:t>
      </w:r>
      <w:r w:rsidRPr="00C94B78">
        <w:rPr>
          <w:rFonts w:ascii="Times New Roman" w:hAnsi="Times New Roman"/>
          <w:color w:val="0070C0"/>
          <w:sz w:val="16"/>
          <w:szCs w:val="16"/>
        </w:rPr>
        <w:softHyphen/>
        <w:t>дили по спирали.</w:t>
      </w:r>
    </w:p>
    <w:p w14:paraId="4B60ADC3" w14:textId="77777777" w:rsidR="00FF1903" w:rsidRPr="00C94B78" w:rsidRDefault="00FF190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ШПГ-2, построкнного по типу МАКФ-4, дейст</w:t>
      </w:r>
      <w:r w:rsidRPr="00C94B78">
        <w:rPr>
          <w:rFonts w:ascii="Times New Roman" w:hAnsi="Times New Roman"/>
          <w:color w:val="0070C0"/>
          <w:sz w:val="16"/>
          <w:szCs w:val="16"/>
        </w:rPr>
        <w:softHyphen/>
        <w:t>вующего как акустический фильтр высокой частоты, и конструктивно осуществленного по прямой схеме с воздушной подушкой.</w:t>
      </w:r>
    </w:p>
    <w:p w14:paraId="56F6DF8A" w14:textId="77777777" w:rsidR="00FF1903" w:rsidRPr="00C94B78" w:rsidRDefault="00FF190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ШПГ-З, который основывался также на принципе акустического фильтра высокой частоты и конструктивно был осуществлен по обрат</w:t>
      </w:r>
      <w:r w:rsidRPr="00C94B78">
        <w:rPr>
          <w:rFonts w:ascii="Times New Roman" w:hAnsi="Times New Roman"/>
          <w:color w:val="0070C0"/>
          <w:sz w:val="16"/>
          <w:szCs w:val="16"/>
        </w:rPr>
        <w:softHyphen/>
        <w:t>ной схеме.</w:t>
      </w:r>
    </w:p>
    <w:p w14:paraId="57EA98D5" w14:textId="77777777" w:rsidR="00FF1903" w:rsidRPr="00C94B78" w:rsidRDefault="00FF190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Лучшие результаты показали ШПГ-2, установленные на У-2 ВС №017120 производства завода №471 и У-2ВС №640201 производства завода №464. На рас</w:t>
      </w:r>
      <w:r w:rsidRPr="00C94B78">
        <w:rPr>
          <w:rFonts w:ascii="Times New Roman" w:hAnsi="Times New Roman"/>
          <w:color w:val="0070C0"/>
          <w:sz w:val="16"/>
          <w:szCs w:val="16"/>
        </w:rPr>
        <w:softHyphen/>
        <w:t>стоянии 50 м от самолетов в направлениях 0° и 120° шум по замерам снижался на 7-8 деци</w:t>
      </w:r>
      <w:r w:rsidRPr="00C94B78">
        <w:rPr>
          <w:rFonts w:ascii="Times New Roman" w:hAnsi="Times New Roman"/>
          <w:color w:val="0070C0"/>
          <w:sz w:val="16"/>
          <w:szCs w:val="16"/>
        </w:rPr>
        <w:softHyphen/>
        <w:t>бел. Звук выхлопа не прослушивался в сум</w:t>
      </w:r>
      <w:r w:rsidRPr="00C94B78">
        <w:rPr>
          <w:rFonts w:ascii="Times New Roman" w:hAnsi="Times New Roman"/>
          <w:color w:val="0070C0"/>
          <w:sz w:val="16"/>
          <w:szCs w:val="16"/>
        </w:rPr>
        <w:softHyphen/>
        <w:t>марном шуме самолета на всех режимах ра</w:t>
      </w:r>
      <w:r w:rsidRPr="00C94B78">
        <w:rPr>
          <w:rFonts w:ascii="Times New Roman" w:hAnsi="Times New Roman"/>
          <w:color w:val="0070C0"/>
          <w:sz w:val="16"/>
          <w:szCs w:val="16"/>
        </w:rPr>
        <w:softHyphen/>
        <w:t>боты мотора, что свидетельствовало о полной маскировке звука выхлопа шумом винта. В полете на высоте 50-100 м и на расстоянии 200-300 м слышимость самолета полностью исчезала. На более близком расстоянии про</w:t>
      </w:r>
      <w:r w:rsidRPr="00C94B78">
        <w:rPr>
          <w:rFonts w:ascii="Times New Roman" w:hAnsi="Times New Roman"/>
          <w:color w:val="0070C0"/>
          <w:sz w:val="16"/>
          <w:szCs w:val="16"/>
        </w:rPr>
        <w:softHyphen/>
        <w:t>слушивался шум винта малой интенсивности в виде шороха. Пламя выхлопа гасилось пол</w:t>
      </w:r>
      <w:r w:rsidRPr="00C94B78">
        <w:rPr>
          <w:rFonts w:ascii="Times New Roman" w:hAnsi="Times New Roman"/>
          <w:color w:val="0070C0"/>
          <w:sz w:val="16"/>
          <w:szCs w:val="16"/>
        </w:rPr>
        <w:softHyphen/>
        <w:t>ностью на всех оборотах.</w:t>
      </w:r>
    </w:p>
    <w:p w14:paraId="5DF60C34" w14:textId="77777777" w:rsidR="00FF1903" w:rsidRPr="00C94B78" w:rsidRDefault="00FF190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 режиме полного газа ШПГ-2 снижал обороты двигателя на земле на 15 об/мин (вместо 1585 с серийными выхлопными пат</w:t>
      </w:r>
      <w:r w:rsidRPr="00C94B78">
        <w:rPr>
          <w:rFonts w:ascii="Times New Roman" w:hAnsi="Times New Roman"/>
          <w:color w:val="0070C0"/>
          <w:sz w:val="16"/>
          <w:szCs w:val="16"/>
        </w:rPr>
        <w:softHyphen/>
        <w:t>рубками давал 1570 об/мин). Суммарную мощность ШПГ-2 уменьшал на 3% — МАКФ-4 на 6%. Уменьшение максимальной скорости составило 4 км/ч. По сообщению летчика, ст. лейтенанта Тинякова, использование глуши</w:t>
      </w:r>
      <w:r w:rsidRPr="00C94B78">
        <w:rPr>
          <w:rFonts w:ascii="Times New Roman" w:hAnsi="Times New Roman"/>
          <w:color w:val="0070C0"/>
          <w:sz w:val="16"/>
          <w:szCs w:val="16"/>
        </w:rPr>
        <w:softHyphen/>
        <w:t>теля-пламегасителя ШПГ-2 «на летные дан</w:t>
      </w:r>
      <w:r w:rsidRPr="00C94B78">
        <w:rPr>
          <w:rFonts w:ascii="Times New Roman" w:hAnsi="Times New Roman"/>
          <w:color w:val="0070C0"/>
          <w:sz w:val="16"/>
          <w:szCs w:val="16"/>
        </w:rPr>
        <w:softHyphen/>
        <w:t>ные практически не влияет» (24969).</w:t>
      </w:r>
    </w:p>
    <w:p w14:paraId="433F0527" w14:textId="77777777" w:rsidR="00FF1903" w:rsidRPr="00C94B78" w:rsidRDefault="00FF1903" w:rsidP="00B56F90">
      <w:pPr>
        <w:spacing w:after="0" w:line="240" w:lineRule="auto"/>
        <w:jc w:val="both"/>
        <w:rPr>
          <w:rFonts w:ascii="Times New Roman" w:hAnsi="Times New Roman"/>
          <w:color w:val="0070C0"/>
          <w:sz w:val="16"/>
          <w:szCs w:val="16"/>
        </w:rPr>
      </w:pPr>
    </w:p>
    <w:p w14:paraId="2C3A693F"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19 января 1944 г.</w:t>
      </w:r>
    </w:p>
    <w:p w14:paraId="57E464DC"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Докладная записка главного конструктора завода № 477</w:t>
      </w:r>
    </w:p>
    <w:p w14:paraId="6FFE36FE"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Г.М. Бериева заместителю наркома авиационной промышленности А.И. Кузнецову</w:t>
      </w:r>
    </w:p>
    <w:p w14:paraId="06909DC5"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г. Красноярск 19 января 1944 г.</w:t>
      </w:r>
    </w:p>
    <w:p w14:paraId="75014CD4"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секретно</w:t>
      </w:r>
    </w:p>
    <w:p w14:paraId="4DED5F0B"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Согласно Вашему указанию при сем представляю сравнительные летно-технические данные опытного гидросамолета ЛЛ-143 с моторами М-71ф, М-30В, М-82ФН.</w:t>
      </w:r>
    </w:p>
    <w:p w14:paraId="266416EB"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w:t>
      </w:r>
    </w:p>
    <w:p w14:paraId="68CFFAC1"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п/п]</w:t>
      </w:r>
    </w:p>
    <w:p w14:paraId="0DD39F99"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[Показатель] ЛЛ-143</w:t>
      </w:r>
    </w:p>
    <w:p w14:paraId="0A9E7020"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с М-71ф</w:t>
      </w:r>
    </w:p>
    <w:p w14:paraId="7B40304C"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ЛЛ-143</w:t>
      </w:r>
    </w:p>
    <w:p w14:paraId="6889C80C"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с М-30В</w:t>
      </w:r>
    </w:p>
    <w:p w14:paraId="08CC58B1"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ЛЛ-143</w:t>
      </w:r>
    </w:p>
    <w:p w14:paraId="22733A18"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с М-82ФН</w:t>
      </w:r>
    </w:p>
    <w:p w14:paraId="3988829C"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1. Взлетная мощность моторов 2 250 л. с. 1 900 л с. 1 850 л. с.</w:t>
      </w:r>
    </w:p>
    <w:p w14:paraId="450776FC"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2. Редукция моторов 9/16 – 9/16</w:t>
      </w:r>
    </w:p>
    <w:p w14:paraId="4A6C72FE"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3. Максимальная скорость</w:t>
      </w:r>
    </w:p>
    <w:p w14:paraId="3D84651F"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на высот[е]</w:t>
      </w:r>
    </w:p>
    <w:p w14:paraId="1B2830DA"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450 км 430 км/ч 405 км/ч</w:t>
      </w:r>
    </w:p>
    <w:p w14:paraId="6FE6E5D2"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5 000 м 6 000 м 4 000 м</w:t>
      </w:r>
    </w:p>
    <w:p w14:paraId="080BA633"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1. Максимальная технич[еская]</w:t>
      </w:r>
    </w:p>
    <w:p w14:paraId="41F39E36"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дальность</w:t>
      </w:r>
    </w:p>
    <w:p w14:paraId="3A09537C"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5 600 км 6 000 км 4 700 км</w:t>
      </w:r>
    </w:p>
    <w:p w14:paraId="12D49C08"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2. Максимальный полетный вес 22 700 кг 21 000 кг 20 500кг</w:t>
      </w:r>
    </w:p>
    <w:p w14:paraId="0172AC89"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3. Нормальная бомбовая нагрузка 600 кг 600 кг 600 кг</w:t>
      </w:r>
    </w:p>
    <w:p w14:paraId="2751BE24"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4. Максимальная бомбовая нагрузка 4 000 кг 4 000 кг 4 000 кг</w:t>
      </w:r>
    </w:p>
    <w:p w14:paraId="05F831AA"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5. Стрелково-артиллерийской вооруж[ение]:</w:t>
      </w:r>
    </w:p>
    <w:p w14:paraId="1D9609C9"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1 пушка Волкова-Ярцева кал[ибр] 23 мм с боезапасом 150 сна-</w:t>
      </w:r>
    </w:p>
    <w:p w14:paraId="200216A3"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рядов;</w:t>
      </w:r>
    </w:p>
    <w:p w14:paraId="0B2B264D"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2 бортов[ых] пулемета УБТ кал[ибр] 12,7 мм с боезапасом по</w:t>
      </w:r>
    </w:p>
    <w:p w14:paraId="116900D9"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200 патронов;</w:t>
      </w:r>
    </w:p>
    <w:p w14:paraId="04524EC1"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1 палубная турельная установка кал[ибр] 127 мм с боезапасом</w:t>
      </w:r>
    </w:p>
    <w:p w14:paraId="64A3E9A3"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400 патронов;</w:t>
      </w:r>
    </w:p>
    <w:p w14:paraId="7F46F827"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1 реданная установка кал[ибр] 12,7 с боезапасом 200 патронов;</w:t>
      </w:r>
    </w:p>
    <w:p w14:paraId="60AAE1E8"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1 кормовая установка с пулеметом кал[ибр] 12,7 мм с боезапа-</w:t>
      </w:r>
    </w:p>
    <w:p w14:paraId="16A9774C"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сом 400 патронов</w:t>
      </w:r>
    </w:p>
    <w:p w14:paraId="7E52554E"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6. Минно-торпедное вооружение:</w:t>
      </w:r>
    </w:p>
    <w:p w14:paraId="379F821B"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4 мины АДМ-500 или</w:t>
      </w:r>
    </w:p>
    <w:p w14:paraId="7D4F0784"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2 мины АМГ-1000 или</w:t>
      </w:r>
    </w:p>
    <w:p w14:paraId="5BE05E9E"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2 торпеды 45-36 АВ-А</w:t>
      </w:r>
    </w:p>
    <w:p w14:paraId="499AC36A"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7. Основные геометрические размеры самолета:</w:t>
      </w:r>
    </w:p>
    <w:p w14:paraId="5147A88D"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размах – 33 м;</w:t>
      </w:r>
    </w:p>
    <w:p w14:paraId="451A0A68"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длина – 23 м;</w:t>
      </w:r>
    </w:p>
    <w:p w14:paraId="130E01D0"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высота – 7,4 м;</w:t>
      </w:r>
    </w:p>
    <w:p w14:paraId="1B684DB9"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площади крыльев – 120 м2</w:t>
      </w:r>
    </w:p>
    <w:p w14:paraId="0B7A7ECA"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Главный конструктор завода № 477 подпись Бериев</w:t>
      </w:r>
    </w:p>
    <w:p w14:paraId="755EB0EB"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КГКУ «ГАКК». Ф.Р-1341. Оп. 4. Д. 155. Л. 2. Подлинник. Машинопись (19799).</w:t>
      </w:r>
    </w:p>
    <w:p w14:paraId="4CB627A6" w14:textId="77777777" w:rsidR="00292637" w:rsidRPr="00070ADE" w:rsidRDefault="00292637"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031BE3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января 1944 вышел приказ НКАП N 39 согласно которому на основе проведенных заводских испытаний длительности использования мотора М-105ПФ с новым наддувом приказано применять его и в феврале выпустить 100 М-105ПФ2, а с апреля в количестве, требуемом для производства Як-3 на 292 и 31 и срок службы установили в 150 час. (951,121).</w:t>
      </w:r>
    </w:p>
    <w:p w14:paraId="600490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50CC47" w14:textId="2B720848"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января 1944 г. Приказом по НКАП № 39</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была заказана первая серия в 100 штук ВК-105ПФ2, которым на основании заводских длительных испытаний был установлен ресурс 150 часов, но эксплуатация выявила много дефектов, и реальный ресурс поначалу был ниже. Завод № 26 доработал мотор усилением поршневых пальцев, коленвала, привода нагнетателя и ряда других деталей ценой незначительного повышения массы. До октября 1944 г. этот мотор поставлялся только для Як-3, лишь затем его стали давать и на Як-9М, Як-9У, последние серии истребителей ЛаГГ-3 и бомбардировщиков Пе-2. Было разрешено также применять его без ограничений в новых разработках всем самолетным ОКБ (22751).</w:t>
      </w:r>
    </w:p>
    <w:p w14:paraId="6FB9651B" w14:textId="77777777" w:rsidR="00D549FB" w:rsidRPr="00070ADE" w:rsidRDefault="00D549FB" w:rsidP="00B56F90">
      <w:pPr>
        <w:spacing w:after="0" w:line="240" w:lineRule="auto"/>
        <w:jc w:val="both"/>
        <w:rPr>
          <w:rFonts w:ascii="Times New Roman" w:hAnsi="Times New Roman"/>
          <w:color w:val="000000" w:themeColor="text1"/>
          <w:sz w:val="16"/>
          <w:szCs w:val="16"/>
        </w:rPr>
      </w:pPr>
    </w:p>
    <w:p w14:paraId="2A1C29A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января 1944 года согласно приказа № 40с НКАП на заводе № 476 в Москве было организовано ОКБ-476 под руководством гл. конструктора Воронкова С.Ф., а с сентября 1945 года – Делекторского А.В.</w:t>
      </w:r>
    </w:p>
    <w:p w14:paraId="1577B1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Москва, Б, Новодмитровская, д. 12</w:t>
      </w:r>
    </w:p>
    <w:p w14:paraId="2BD147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приказа № 356сс от 30 августа 1945 года НКАП, в сентябре 1945 года завод был перебазирован на территорию, занимаемую ранее филиалом завода № 315 на Панскую (теперь Новодмитровскую ул.), д. 12, изготовлявшего до этого времени детали к насосам и карбюраторам с передачей для сборки узлов на основной завод (9611).</w:t>
      </w:r>
    </w:p>
    <w:p w14:paraId="16A9123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2BA4A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857DB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9DF848" w14:textId="77777777" w:rsidR="00987BBD" w:rsidRPr="00070ADE" w:rsidRDefault="00987BBD" w:rsidP="00B56F90">
      <w:pPr>
        <w:pStyle w:val="ae"/>
        <w:shd w:val="clear" w:color="auto" w:fill="FFFFFF"/>
        <w:spacing w:before="0" w:after="0"/>
        <w:jc w:val="both"/>
        <w:rPr>
          <w:color w:val="000000" w:themeColor="text1"/>
          <w:sz w:val="16"/>
          <w:szCs w:val="16"/>
        </w:rPr>
      </w:pPr>
      <w:r w:rsidRPr="00070ADE">
        <w:rPr>
          <w:color w:val="000000" w:themeColor="text1"/>
          <w:sz w:val="16"/>
          <w:szCs w:val="16"/>
        </w:rPr>
        <w:t>К 19 января 1944 года ОКБ Завода №100 подготовило новый вариант башни ИС-2. Изменилась подвижная бронировка маски: она стала шире, при этом прицел сместился левее. Одновременно переделке подверглась неподвижная бронировка, более технологичным стал выступ под командирскую башенку. Эта башня стала устанавливаться на танки в начале февраля 1944 года, но без переделанных бронировок. Они появились только летом 1944 года. При этом первый вариант башни устанавливался на часть машин вплоть до марта 1944 года (один такой танк можно увидеть в польской Познани) (17721).</w:t>
      </w:r>
    </w:p>
    <w:p w14:paraId="104AB781" w14:textId="77777777" w:rsidR="00987BBD" w:rsidRPr="00070ADE" w:rsidRDefault="00987BBD" w:rsidP="00B56F90">
      <w:pPr>
        <w:spacing w:after="0" w:line="240" w:lineRule="auto"/>
        <w:jc w:val="both"/>
        <w:rPr>
          <w:rFonts w:ascii="Times New Roman" w:hAnsi="Times New Roman"/>
          <w:color w:val="000000" w:themeColor="text1"/>
          <w:sz w:val="16"/>
          <w:szCs w:val="16"/>
        </w:rPr>
      </w:pPr>
    </w:p>
    <w:p w14:paraId="6A6542C4" w14:textId="77777777" w:rsidR="00D549FB" w:rsidRPr="00070ADE" w:rsidRDefault="00D549FB" w:rsidP="00B56F90">
      <w:pPr>
        <w:spacing w:after="0" w:line="240" w:lineRule="auto"/>
        <w:jc w:val="both"/>
        <w:rPr>
          <w:rStyle w:val="680"/>
          <w:rFonts w:ascii="Times New Roman" w:hAnsi="Times New Roman" w:cs="Times New Roman"/>
          <w:color w:val="000000" w:themeColor="text1"/>
          <w:sz w:val="16"/>
          <w:szCs w:val="16"/>
        </w:rPr>
      </w:pPr>
      <w:r w:rsidRPr="00070ADE">
        <w:rPr>
          <w:rStyle w:val="680"/>
          <w:rFonts w:ascii="Times New Roman" w:hAnsi="Times New Roman" w:cs="Times New Roman"/>
          <w:color w:val="000000" w:themeColor="text1"/>
          <w:sz w:val="16"/>
          <w:szCs w:val="16"/>
        </w:rPr>
        <w:t>К 19 января 1944 ОКБ за</w:t>
      </w:r>
      <w:r w:rsidRPr="00070ADE">
        <w:rPr>
          <w:rStyle w:val="680"/>
          <w:rFonts w:ascii="Times New Roman" w:hAnsi="Times New Roman" w:cs="Times New Roman"/>
          <w:color w:val="000000" w:themeColor="text1"/>
          <w:sz w:val="16"/>
          <w:szCs w:val="16"/>
        </w:rPr>
        <w:softHyphen/>
        <w:t>вода № 100 подготовило документацию по доработанной башне. С одной стороны, каких-то радикальных изменений не было, а, с другой, доработки имели довольно серьез</w:t>
      </w:r>
      <w:r w:rsidRPr="00070ADE">
        <w:rPr>
          <w:rStyle w:val="680"/>
          <w:rFonts w:ascii="Times New Roman" w:hAnsi="Times New Roman" w:cs="Times New Roman"/>
          <w:color w:val="000000" w:themeColor="text1"/>
          <w:sz w:val="16"/>
          <w:szCs w:val="16"/>
        </w:rPr>
        <w:softHyphen/>
        <w:t>ный характер. Во-первых, снова немного пе</w:t>
      </w:r>
      <w:r w:rsidRPr="00070ADE">
        <w:rPr>
          <w:rStyle w:val="680"/>
          <w:rFonts w:ascii="Times New Roman" w:hAnsi="Times New Roman" w:cs="Times New Roman"/>
          <w:color w:val="000000" w:themeColor="text1"/>
          <w:sz w:val="16"/>
          <w:szCs w:val="16"/>
        </w:rPr>
        <w:softHyphen/>
        <w:t>ределали место командира, в частности, вме</w:t>
      </w:r>
      <w:r w:rsidRPr="00070ADE">
        <w:rPr>
          <w:rStyle w:val="680"/>
          <w:rFonts w:ascii="Times New Roman" w:hAnsi="Times New Roman" w:cs="Times New Roman"/>
          <w:color w:val="000000" w:themeColor="text1"/>
          <w:sz w:val="16"/>
          <w:szCs w:val="16"/>
        </w:rPr>
        <w:softHyphen/>
        <w:t>сто «фигурного» выступа его форма стала более простой. Угол наклона крыши башни еще больше уменьшили, а торсион люка заря</w:t>
      </w:r>
      <w:r w:rsidRPr="00070ADE">
        <w:rPr>
          <w:rStyle w:val="680"/>
          <w:rFonts w:ascii="Times New Roman" w:hAnsi="Times New Roman" w:cs="Times New Roman"/>
          <w:color w:val="000000" w:themeColor="text1"/>
          <w:sz w:val="16"/>
          <w:szCs w:val="16"/>
        </w:rPr>
        <w:softHyphen/>
        <w:t>жающего снова удлинили. Не менее интерес</w:t>
      </w:r>
      <w:r w:rsidRPr="00070ADE">
        <w:rPr>
          <w:rStyle w:val="680"/>
          <w:rFonts w:ascii="Times New Roman" w:hAnsi="Times New Roman" w:cs="Times New Roman"/>
          <w:color w:val="000000" w:themeColor="text1"/>
          <w:sz w:val="16"/>
          <w:szCs w:val="16"/>
        </w:rPr>
        <w:softHyphen/>
        <w:t>но, что на чертеже теперь было два вида по</w:t>
      </w:r>
      <w:r w:rsidRPr="00070ADE">
        <w:rPr>
          <w:rStyle w:val="680"/>
          <w:rFonts w:ascii="Times New Roman" w:hAnsi="Times New Roman" w:cs="Times New Roman"/>
          <w:color w:val="000000" w:themeColor="text1"/>
          <w:sz w:val="16"/>
          <w:szCs w:val="16"/>
        </w:rPr>
        <w:softHyphen/>
        <w:t>ручней: помимо «штатных» длинных поруч</w:t>
      </w:r>
      <w:r w:rsidRPr="00070ADE">
        <w:rPr>
          <w:rStyle w:val="680"/>
          <w:rFonts w:ascii="Times New Roman" w:hAnsi="Times New Roman" w:cs="Times New Roman"/>
          <w:color w:val="000000" w:themeColor="text1"/>
          <w:sz w:val="16"/>
          <w:szCs w:val="16"/>
        </w:rPr>
        <w:softHyphen/>
        <w:t>ней, предусматривались и более короткие. Доработанный корпус башни получил чер</w:t>
      </w:r>
      <w:r w:rsidRPr="00070ADE">
        <w:rPr>
          <w:rStyle w:val="680"/>
          <w:rFonts w:ascii="Times New Roman" w:hAnsi="Times New Roman" w:cs="Times New Roman"/>
          <w:color w:val="000000" w:themeColor="text1"/>
          <w:sz w:val="16"/>
          <w:szCs w:val="16"/>
        </w:rPr>
        <w:softHyphen/>
        <w:t>тежный номер 240-57-Сб117. Изменилась и неподвижная бронировка системы, получив</w:t>
      </w:r>
      <w:r w:rsidRPr="00070ADE">
        <w:rPr>
          <w:rStyle w:val="680"/>
          <w:rFonts w:ascii="Times New Roman" w:hAnsi="Times New Roman" w:cs="Times New Roman"/>
          <w:color w:val="000000" w:themeColor="text1"/>
          <w:sz w:val="16"/>
          <w:szCs w:val="16"/>
        </w:rPr>
        <w:softHyphen/>
        <w:t>шая номер 240-57-Сб119. Наибольшие изме</w:t>
      </w:r>
      <w:r w:rsidRPr="00070ADE">
        <w:rPr>
          <w:rStyle w:val="680"/>
          <w:rFonts w:ascii="Times New Roman" w:hAnsi="Times New Roman" w:cs="Times New Roman"/>
          <w:color w:val="000000" w:themeColor="text1"/>
          <w:sz w:val="16"/>
          <w:szCs w:val="16"/>
        </w:rPr>
        <w:softHyphen/>
        <w:t>нения претерпела левая скула бронировки. Это было связано с появлением более широ</w:t>
      </w:r>
      <w:r w:rsidRPr="00070ADE">
        <w:rPr>
          <w:rStyle w:val="680"/>
          <w:rFonts w:ascii="Times New Roman" w:hAnsi="Times New Roman" w:cs="Times New Roman"/>
          <w:color w:val="000000" w:themeColor="text1"/>
          <w:sz w:val="16"/>
          <w:szCs w:val="16"/>
        </w:rPr>
        <w:softHyphen/>
        <w:t>кой подвижной бронировки маски. Помимо увеличения площади защиты, подвижная бронировка играла еще одну роль. Дело в том, что телескопическим прицелом 10Т-17, стоявшим слишком близко к орудию, танки</w:t>
      </w:r>
      <w:r w:rsidRPr="00070ADE">
        <w:rPr>
          <w:rStyle w:val="680"/>
          <w:rFonts w:ascii="Times New Roman" w:hAnsi="Times New Roman" w:cs="Times New Roman"/>
          <w:color w:val="000000" w:themeColor="text1"/>
          <w:sz w:val="16"/>
          <w:szCs w:val="16"/>
        </w:rPr>
        <w:softHyphen/>
        <w:t>сты были недовольны. Еще с конца 1943 года шли работы по установке ломающегося теле</w:t>
      </w:r>
      <w:r w:rsidRPr="00070ADE">
        <w:rPr>
          <w:rStyle w:val="680"/>
          <w:rFonts w:ascii="Times New Roman" w:hAnsi="Times New Roman" w:cs="Times New Roman"/>
          <w:color w:val="000000" w:themeColor="text1"/>
          <w:sz w:val="16"/>
          <w:szCs w:val="16"/>
        </w:rPr>
        <w:softHyphen/>
        <w:t>скопического прицела ТШ-15. Впервые его испытали еще на «Объекте 239», но запуск прицела (прицел для Д-25Т получил обозна</w:t>
      </w:r>
      <w:r w:rsidRPr="00070ADE">
        <w:rPr>
          <w:rStyle w:val="680"/>
          <w:rFonts w:ascii="Times New Roman" w:hAnsi="Times New Roman" w:cs="Times New Roman"/>
          <w:color w:val="000000" w:themeColor="text1"/>
          <w:sz w:val="16"/>
          <w:szCs w:val="16"/>
        </w:rPr>
        <w:softHyphen/>
        <w:t>чение ТШ-17) в серию задержался. Задержа</w:t>
      </w:r>
      <w:r w:rsidRPr="00070ADE">
        <w:rPr>
          <w:rStyle w:val="680"/>
          <w:rFonts w:ascii="Times New Roman" w:hAnsi="Times New Roman" w:cs="Times New Roman"/>
          <w:color w:val="000000" w:themeColor="text1"/>
          <w:sz w:val="16"/>
          <w:szCs w:val="16"/>
        </w:rPr>
        <w:softHyphen/>
        <w:t>лось и внедрение новой бронировки систе</w:t>
      </w:r>
      <w:r w:rsidRPr="00070ADE">
        <w:rPr>
          <w:rStyle w:val="680"/>
          <w:rFonts w:ascii="Times New Roman" w:hAnsi="Times New Roman" w:cs="Times New Roman"/>
          <w:color w:val="000000" w:themeColor="text1"/>
          <w:sz w:val="16"/>
          <w:szCs w:val="16"/>
        </w:rPr>
        <w:softHyphen/>
        <w:t>мы. В то время как корпус башни 240-57- Сб117 пошел в серию с февраля, «широкая» бронировка появилась лишь в мае (19874).</w:t>
      </w:r>
    </w:p>
    <w:p w14:paraId="49BF5429" w14:textId="77777777" w:rsidR="00D549FB" w:rsidRPr="00070ADE" w:rsidRDefault="00D549FB" w:rsidP="00B56F90">
      <w:pPr>
        <w:spacing w:after="0" w:line="240" w:lineRule="auto"/>
        <w:jc w:val="both"/>
        <w:rPr>
          <w:rFonts w:ascii="Times New Roman" w:hAnsi="Times New Roman"/>
          <w:color w:val="000000" w:themeColor="text1"/>
          <w:sz w:val="16"/>
          <w:szCs w:val="16"/>
        </w:rPr>
      </w:pPr>
    </w:p>
    <w:p w14:paraId="41805E86" w14:textId="77777777" w:rsidR="00600906" w:rsidRPr="00C94B78" w:rsidRDefault="00600906"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19 января 1944 года ОКБ завода №100 подготовило документацию на башню с чертежным номером 240-57-Сб117. Для начала, снова немного переделали место командира, в частности, вместо «фигурного» выступа была сделана более простая конструкция. Угол наклона крыши башни еще больше уменьшили, а торсион люка заряжающего снова удлинили. Поручней на чертеже стало два вида: помимо «штатных» длинных поручней, предусматривались более короткие поручни. Наконец, в январе 1944 года к выпуску башен присоединился УЗТМ. При плане в 14 башен для ИС-2 УЗТМ сдал 16 штук, плюс 52 носовые детали корпуса.</w:t>
      </w:r>
    </w:p>
    <w:p w14:paraId="74B70ADA" w14:textId="77777777" w:rsidR="00600906" w:rsidRPr="00C94B78" w:rsidRDefault="00600906"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Свердловские башни стали ставить на ИС-2 начиная с февраля 1944 года. Выпускались они по чертежу 240-57-Сб117, с малыми поручнями, которые шли в два яруса. Башни УЗТМ отличались конструкцией смотровых башенок, конфигурацией шва между литьевыми формами, а также двумя вертикальными полосками вместо номеров на корме. За февраль УЗТМ сдал еще 20 башен, а завод №200 сдал 90 корпусов и 70 башен. Этого хватило для выпуска 75 ИС-2. Впрочем, сдавались они снова с напряжением. Дело в том, что первая половина февраля выделялась под выпуск ИСУ-152. Поэтому полноценное производство ИС-122 шло в третьей декаде месяца. 75 танков сдали, но с ними пришлось работать в плане доводки (24902).</w:t>
      </w:r>
    </w:p>
    <w:p w14:paraId="2D2834AC" w14:textId="77777777" w:rsidR="00600906" w:rsidRPr="00C94B78" w:rsidRDefault="00600906" w:rsidP="00B56F90">
      <w:pPr>
        <w:spacing w:after="0" w:line="240" w:lineRule="auto"/>
        <w:jc w:val="both"/>
        <w:rPr>
          <w:rFonts w:ascii="Times New Roman" w:hAnsi="Times New Roman"/>
          <w:color w:val="0070C0"/>
          <w:sz w:val="16"/>
          <w:szCs w:val="16"/>
        </w:rPr>
      </w:pPr>
    </w:p>
    <w:p w14:paraId="1D6E7F1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января 1944 вышло Распоряжение ГКО № 4988 [О назначении Васина С.А. уполномоченным ГКО по порту Петропавловск-на-Камчатке для руководства приемкой импортных грузов.] (7176, 57).</w:t>
      </w:r>
    </w:p>
    <w:p w14:paraId="330D99A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CC536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января 1944 вышло Распоряжение ГКО № 4989 [О приостановке на зимний период работ по спасению танкера "Мариуполь" и расследовании обстоятельств аварии.] (7176, 58).</w:t>
      </w:r>
    </w:p>
    <w:p w14:paraId="58A8E8B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F595B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января 1944 вышло Постановление ГКО № 4990 О неотложных мерах по обеспечению углем в зимний период железных дорог, заводов черной металлургии, электростанций и оборонной промышленности. (7176, 59-76,77-101).</w:t>
      </w:r>
    </w:p>
    <w:p w14:paraId="027C8AE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E8C2E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января 1944 вышло Постановление ГКО № 4991 Об организации в г. Киеве украинского филиала треста передвижки и разборки зданий Мосгорисполкома. РГАНИР, Фонд ГКО, д. 195, лл. 102-107,108-110 (11012).</w:t>
      </w:r>
    </w:p>
    <w:p w14:paraId="428B4B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4ECB2A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января 1944 вышло Постановление ГКО № 4992 О поставке бензотары, средств заправки, подогрева и других спецмашин Наркомату обороны и Наркомвоенморфлоту в I квартале 1944 года. РГАНИР, Фонд ГКО, д. 195, лл. 111-112,113-117 (11012).</w:t>
      </w:r>
    </w:p>
    <w:p w14:paraId="378F0F5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64CE99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января 1944 вышло Постановление ГКО № 4993 [О наказании ряда лиц из руководства строительством № 2 НКПС и Омской ж.д. за преступное отношение к содержанию и отправке домой двух эшелонов с демобилизованными трудармейцами из Средней Азии и о мерах по недопущению подобного впредь.] (7176, 118-120).</w:t>
      </w:r>
    </w:p>
    <w:p w14:paraId="4FAAA71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D8F7A4"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7EA14A0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A3087B"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19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658900DE"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Ленинградского фронта под командованием генерала армии Говорова, продолжая развивать наступление из районов Пулково и южнее Ораниенбаум, 19 января штурмом овладели городом Красное Село, превращённым немцами в крепость, и таким же мощным опорным пунктом обороны противника и важнейшим узлом дорог — Ропша. За пять дней напряжённых боёв наши войска продвинулись вперёд на каждом направлении от 12 до 20 километров, расширили прорыв на каждом участке наступления до 35-40 километров по фронту и освободили при этом более 80 населённых пунктов. Войска, наступающие южнее Ораниенбаума, овладели городом Петергоф, крупными населёнными пунктами Гостилицы, Новая, Петровская, Кожерицы, Вилповицы, Исаево-Малкунова, Дятлицы, Сокули, Елагино, Волосово, Глядино, Хабони, Никоземягги, Нижняя Кипень, Малые и Большие Горки, Липицы. Войска, наступающие из района Пулково, овладели крупными населёнными пунктами Финское Койрово, Большое Виттолово, Александровка, Соболева, Константиновка, Николаевка, Паюла, Род, Горская, Дудергоф, Пиккола.</w:t>
      </w:r>
    </w:p>
    <w:p w14:paraId="53F3289A"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наступления войска Ленинградского фронта нанесли тяжёлое поражение семи пехотным дивизиям немцев и захватили трофеи: орудий разных калибров — 195, из них 36 тяжёлых орудий, калибром от 152 мм до 406 мм, из артиллерийской группы, обстреливавшей Ленинград, 17 самоходных орудий «Фердинанд», танков — 16, из них 7 «Тигров»; миномётов — 109 и большое количество стрелкового вооружения и боеприпасов. Уничтожено: орудий разного калибра — 102, танков — 58, миномётов —140, пулемётов — 371.</w:t>
      </w:r>
    </w:p>
    <w:p w14:paraId="326981A0"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Захвачено в плен более 1.000 немецких солдат и офицеров.</w:t>
      </w:r>
    </w:p>
    <w:p w14:paraId="149E9D43"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Противник оставил на поле боя более 20.000 трупов солдат и офицеров.</w:t>
      </w:r>
    </w:p>
    <w:p w14:paraId="2403C76B"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Волховского фронта под командованием генерала армии Мерецкова, севернее Новгорода, за пять дней упорных боёв продвинулись вперёд до 30 километров, расширили прорыв до 50 километров по фронту и освободили более 80 населённых пунктов, в том числе крупные населённые пункты Любцы, Копцы, Вешки, Андрюхиново, Котовицы, Кречевицы, Хутынь, Некохово, Большеводское, Чечулино, Моторово, Стрелка, Трубичино, Вяжище, Сырково, железнодорожные станции Подберезье, Витка, Болотная и перерезали железную дорогу Новгород—Ленинград. Южнее Новгорода наши войска успешно форсировали верховье озера Ильмень, овладелинаселёнными пунктами Троица, Береговые Морины, Старая Ракома, Новая Ракома, Горные Морины, Здринога, Козынёво, Три Отрока, Желкун, Моисеевичи, Неронов Бор, Горки, Соснец, Храмзино, Толстиково и перерезали шоссе и железную дорогу Новгород — Шимск.</w:t>
      </w:r>
    </w:p>
    <w:p w14:paraId="40061090"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19 января севернее Новосокольники наши войска, преодолевая сопротивление противника, продолжали вести наступательные бои и заняли несколько населённых пунктов.</w:t>
      </w:r>
    </w:p>
    <w:p w14:paraId="43B64319"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Западнее Новоград-Волынский наши войска с боями продвигались вперёд иовладели районным центром Ровенской области Гоща, а также заняли несколько других населённых пунктов.</w:t>
      </w:r>
    </w:p>
    <w:p w14:paraId="4238E74E"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Христиновки наши войска успешно отбивали контратаки крупных силпехоты и танков противника и нанесли ему большие потери в живой силе и технике.</w:t>
      </w:r>
    </w:p>
    <w:p w14:paraId="1C0E7148"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в ряде пунктов шли бои местного значения.</w:t>
      </w:r>
    </w:p>
    <w:p w14:paraId="711C97BE"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18 января наши войска на всех фронтах подбили и уничтожили 46 немецких танков. В воздушных боях и огнём зенитной артиллерии сбито 11 самолётов противника.</w:t>
      </w:r>
    </w:p>
    <w:p w14:paraId="70F643E4"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Ленинградского фронта пять дней тому назад перешли в наступление. Наши войска, действующие из района Пулково, прорвали сильно укреплённую долговременную оборону немцев, состоявшую из железобетонных дотов, бронированных колпаков, дзотов и ходов сообщения, прикрытых минными полями, проволочными заграждениями и противотанковыми препятствиями. Эти укрепления, построенные по последнему слову военно-инженерного искусства, были насыщены до предела различными огневыми средствами. Продвигаясь вперёд, наши войска встретили вторую столь же мощную полосу укреплений. Советские пехотинцы, танкисты и сопровождавшая их артиллерия взломали и эту оборонительную полосу противника и сегодня штурмом овладели городом Красное Село, превращённым немцами в крепость. Наши войска, действующие из района южнее Ораниенбаума, перейдя в наступление, прорвали глубоко эшелонированную оборону немцев и в результате стремительной атаки заняли крупнейший опорный пункт обороны немцев и важнейший узел дорог —Ропша. Освобождён от немецких захватчиков город Петергоф и более 80 других населённых пунктов. Места боёв усеяны тысячами трупов вражеских солдат и офицеров, разбитой техникой, а также вооружением, брошенным немцами при отступлении. В числе трофеев нашими войсками захвачено 36 тяжёлых и сверхтяжёлых орудий, из которых немцы обстреливали город Ленинград.</w:t>
      </w:r>
    </w:p>
    <w:p w14:paraId="32976303"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Новгорода наши войска после мощной артиллерийской подготовки перешли в наступление. Расчищая путь пехоте и танкам, советские артиллеристы подавили огромное количество огневых точек противника. Прорвав оборону немцев, наши частив результате упорных боёв заняли более 80 населенных пунктов. Особенно ожесточённые бои происходили в районе населённого пункта Вешки. Немцы сосредоточили здесь крупные силы и непрерывно бросали их в контратаки. Наши войска разгромили два полка гитлеровцев и умелым манёвром овладели этим опорным пунктом противника. В районе другого населённого пункта советские бойцы уничтожили свыше 2.000 немецких солдат и офицеров. Захвачены большие трофеи имного пленных. Южнее Новгорода наши войска, переправившиеся через озеро Ильмень, заняли ряд пунктов и продолжают успешно продвигаться вперёд.</w:t>
      </w:r>
    </w:p>
    <w:p w14:paraId="74BE3431"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Новосокольники наши войска продолжали вести наступательные бои. Немцы спешно подтянули резервы и контратаками пытаются задержать продвижение советских частей. Особенно упорные бои развернулись западнее железнодорожной станции Насва. Наши бойцы успешно отбили все контратаки противника и уничтожили до 1.500 гитлеровцев. В другом районе наши войска с боями заняли несколько населённых пунктов.</w:t>
      </w:r>
    </w:p>
    <w:p w14:paraId="3FE52E4B"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города Новоград-Волынский части Н-ского соединения, сломив сопротивление немцев, овладели районным центром Ровенской области Гоща. В боях за Гоща советские пехотинцы и танкисты разгромили до полка пехоты противника. Захвачено у немцев несколько артиллерийских и миномётных батарей, а также много боеприпасов.</w:t>
      </w:r>
    </w:p>
    <w:p w14:paraId="562DBBB3"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Днепропетровска на одном участке действует команда снайперов во главе с лейтенантом Ткачом. В команде 22 бойца. За восемь дней, с 10 по 18 января, снайперы истребили 216 немецких солдат и офицеров. Лейтенант Ткач, ефрейтор Абзалимов и красноармеец Козявин за это время убили по 15 немцев каждый. Младший сержант Шарифулин, красноармейцы Раджабов и Джаркимбеков истребили по 13 гитлеровцев.</w:t>
      </w:r>
    </w:p>
    <w:p w14:paraId="3386B4AB"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Полесской области, в ночь на 9 января внезапно напал на немецкий гарнизон, расположенный в одном населённом пункте. Советские патриоты истребили 60 немецких солдат и 3 офицеров. Группа партизан этого же отряда за пять дней пустила под откос 11 немецких воинских эшелонов.» (15014).</w:t>
      </w:r>
    </w:p>
    <w:p w14:paraId="51CDDA83" w14:textId="77777777" w:rsidR="00EC515D" w:rsidRPr="00070ADE" w:rsidRDefault="00EC515D" w:rsidP="00B56F90">
      <w:pPr>
        <w:spacing w:after="0" w:line="240" w:lineRule="auto"/>
        <w:jc w:val="both"/>
        <w:rPr>
          <w:rFonts w:ascii="Times New Roman" w:hAnsi="Times New Roman"/>
          <w:color w:val="000000" w:themeColor="text1"/>
          <w:sz w:val="16"/>
          <w:szCs w:val="16"/>
        </w:rPr>
      </w:pPr>
    </w:p>
    <w:p w14:paraId="6144BDFC"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19 января</w:t>
      </w:r>
      <w:r w:rsidRPr="00070ADE">
        <w:rPr>
          <w:rFonts w:ascii="Times New Roman" w:hAnsi="Times New Roman"/>
          <w:color w:val="000000" w:themeColor="text1"/>
          <w:sz w:val="16"/>
          <w:szCs w:val="16"/>
        </w:rPr>
        <w:t xml:space="preserve"> в 1944 году войска 2-й Ударной и 42-й армий Ленинградского фронта соединились в районе Русско-Высоцкого (юго-восточнее Ропши), завершив окружение петергофско-стрельнинской группировки противника (15014).</w:t>
      </w:r>
    </w:p>
    <w:p w14:paraId="25396A0E" w14:textId="77777777" w:rsidR="00EC515D" w:rsidRPr="00070ADE" w:rsidRDefault="00EC515D" w:rsidP="00B56F90">
      <w:pPr>
        <w:spacing w:after="0" w:line="240" w:lineRule="auto"/>
        <w:jc w:val="both"/>
        <w:rPr>
          <w:rFonts w:ascii="Times New Roman" w:hAnsi="Times New Roman"/>
          <w:color w:val="000000" w:themeColor="text1"/>
          <w:sz w:val="16"/>
          <w:szCs w:val="16"/>
        </w:rPr>
      </w:pPr>
    </w:p>
    <w:p w14:paraId="26A65814"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января 1944 советские войска освободили Новгород (4962).</w:t>
      </w:r>
    </w:p>
    <w:p w14:paraId="568DCB8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C7140E" w14:textId="77777777" w:rsidR="00EC515D"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28590E2A" w14:textId="77777777" w:rsidR="00EC515D" w:rsidRPr="00070ADE" w:rsidRDefault="00EC515D"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813A1F"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19 января</w:t>
      </w:r>
      <w:r w:rsidRPr="00070ADE">
        <w:rPr>
          <w:rFonts w:ascii="Times New Roman" w:hAnsi="Times New Roman"/>
          <w:color w:val="000000" w:themeColor="text1"/>
          <w:sz w:val="16"/>
          <w:szCs w:val="16"/>
        </w:rPr>
        <w:t xml:space="preserve"> в 1944 году правительство США зявило о готовности взать на себя роль посредника в переговорах между СССР и польским эмигрантским правительством в вопросах послевоенного устройства Польши. Однако Советское правительство отклонило это предложение (15014).</w:t>
      </w:r>
    </w:p>
    <w:p w14:paraId="279FA170" w14:textId="77777777" w:rsidR="00EC515D" w:rsidRPr="00070ADE" w:rsidRDefault="00EC515D" w:rsidP="00B56F90">
      <w:pPr>
        <w:spacing w:after="0" w:line="240" w:lineRule="auto"/>
        <w:jc w:val="both"/>
        <w:rPr>
          <w:rFonts w:ascii="Times New Roman" w:hAnsi="Times New Roman"/>
          <w:color w:val="000000" w:themeColor="text1"/>
          <w:sz w:val="16"/>
          <w:szCs w:val="16"/>
        </w:rPr>
      </w:pPr>
    </w:p>
    <w:p w14:paraId="32010800"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C9CB8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D8336F"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января 1944 тяжелые и средние бомбардировщики союзников наносят удары по Витербо, Риети и Перудже, Италия. Военно-воздушные силы союзников утверждают, что их воздушная кампания прервала все коммуникации между северной Италией и районом Рима, хотя это не соответствует действительности (20373).</w:t>
      </w:r>
    </w:p>
    <w:p w14:paraId="2F39D5D5" w14:textId="77777777" w:rsidR="00D549FB" w:rsidRPr="00070ADE" w:rsidRDefault="00D549FB" w:rsidP="00B56F90">
      <w:pPr>
        <w:spacing w:after="0" w:line="240" w:lineRule="auto"/>
        <w:jc w:val="both"/>
        <w:rPr>
          <w:rFonts w:ascii="Times New Roman" w:hAnsi="Times New Roman"/>
          <w:color w:val="000000" w:themeColor="text1"/>
          <w:sz w:val="16"/>
          <w:szCs w:val="16"/>
        </w:rPr>
      </w:pPr>
    </w:p>
    <w:p w14:paraId="53581733"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января 1944 немецкие войска захватили все полицейские участки в Копенгагене, обезоружив датскую полицию (4962).</w:t>
      </w:r>
    </w:p>
    <w:p w14:paraId="757EF1A4"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0912EC"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127A26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8E2BD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20 января 1944 на заводе № 240 мотор на Ил-2 М-42 (РК) был вновь заменен. С шестыдл по счету мотором (зав. № 4248) "с алиссоновскими всасываю</w:t>
      </w:r>
      <w:r w:rsidRPr="00070ADE">
        <w:rPr>
          <w:rFonts w:ascii="Times New Roman" w:hAnsi="Times New Roman"/>
          <w:color w:val="000000" w:themeColor="text1"/>
          <w:sz w:val="16"/>
          <w:szCs w:val="16"/>
        </w:rPr>
        <w:softHyphen/>
        <w:t>щими патрубками" результаты ока</w:t>
      </w:r>
      <w:r w:rsidRPr="00070ADE">
        <w:rPr>
          <w:rFonts w:ascii="Times New Roman" w:hAnsi="Times New Roman"/>
          <w:color w:val="000000" w:themeColor="text1"/>
          <w:sz w:val="16"/>
          <w:szCs w:val="16"/>
        </w:rPr>
        <w:softHyphen/>
        <w:t>зались лучше. Появилась надежда завершить всю программу заводских испытаний и подготовить "следопыт" к передаче в НИИ ВВС для произ</w:t>
      </w:r>
      <w:r w:rsidRPr="00070ADE">
        <w:rPr>
          <w:rFonts w:ascii="Times New Roman" w:hAnsi="Times New Roman"/>
          <w:color w:val="000000" w:themeColor="text1"/>
          <w:sz w:val="16"/>
          <w:szCs w:val="16"/>
        </w:rPr>
        <w:softHyphen/>
        <w:t>водства государственных испытаний.</w:t>
      </w:r>
    </w:p>
    <w:p w14:paraId="0135FD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этому времени Ил-2М в оче</w:t>
      </w:r>
      <w:r w:rsidRPr="00070ADE">
        <w:rPr>
          <w:rFonts w:ascii="Times New Roman" w:hAnsi="Times New Roman"/>
          <w:color w:val="000000" w:themeColor="text1"/>
          <w:sz w:val="16"/>
          <w:szCs w:val="16"/>
        </w:rPr>
        <w:softHyphen/>
        <w:t>редной раз был "подан в сборочный цех завода № 240". На самолете предполагалось установить дорабо</w:t>
      </w:r>
      <w:r w:rsidRPr="00070ADE">
        <w:rPr>
          <w:rFonts w:ascii="Times New Roman" w:hAnsi="Times New Roman"/>
          <w:color w:val="000000" w:themeColor="text1"/>
          <w:sz w:val="16"/>
          <w:szCs w:val="16"/>
        </w:rPr>
        <w:softHyphen/>
        <w:t>танный мотор АМ-42, новые бензо</w:t>
      </w:r>
      <w:r w:rsidRPr="00070ADE">
        <w:rPr>
          <w:rFonts w:ascii="Times New Roman" w:hAnsi="Times New Roman"/>
          <w:color w:val="000000" w:themeColor="text1"/>
          <w:sz w:val="16"/>
          <w:szCs w:val="16"/>
        </w:rPr>
        <w:softHyphen/>
        <w:t>баки с увеличенным до 1020 л объе</w:t>
      </w:r>
      <w:r w:rsidRPr="00070ADE">
        <w:rPr>
          <w:rFonts w:ascii="Times New Roman" w:hAnsi="Times New Roman"/>
          <w:color w:val="000000" w:themeColor="text1"/>
          <w:sz w:val="16"/>
          <w:szCs w:val="16"/>
        </w:rPr>
        <w:softHyphen/>
        <w:t>мом, цельнометаллическую хвосто</w:t>
      </w:r>
      <w:r w:rsidRPr="00070ADE">
        <w:rPr>
          <w:rFonts w:ascii="Times New Roman" w:hAnsi="Times New Roman"/>
          <w:color w:val="000000" w:themeColor="text1"/>
          <w:sz w:val="16"/>
          <w:szCs w:val="16"/>
        </w:rPr>
        <w:softHyphen/>
        <w:t>вую часть фюзеляжа и хвостовое опе</w:t>
      </w:r>
      <w:r w:rsidRPr="00070ADE">
        <w:rPr>
          <w:rFonts w:ascii="Times New Roman" w:hAnsi="Times New Roman"/>
          <w:color w:val="000000" w:themeColor="text1"/>
          <w:sz w:val="16"/>
          <w:szCs w:val="16"/>
        </w:rPr>
        <w:softHyphen/>
        <w:t>рение, а также цельнометаллическое крыло с двумя пушками 11 П (90 сна</w:t>
      </w:r>
      <w:r w:rsidRPr="00070ADE">
        <w:rPr>
          <w:rFonts w:ascii="Times New Roman" w:hAnsi="Times New Roman"/>
          <w:color w:val="000000" w:themeColor="text1"/>
          <w:sz w:val="16"/>
          <w:szCs w:val="16"/>
        </w:rPr>
        <w:softHyphen/>
        <w:t>рядов) и двумя пулеметами ШКАС (1500 патронов). При этом 11 П, в отличие от серийного Ил-2 с такими же пушками, размещались внутри крыла и ближе к оси самолета, а пу</w:t>
      </w:r>
      <w:r w:rsidRPr="00070ADE">
        <w:rPr>
          <w:rFonts w:ascii="Times New Roman" w:hAnsi="Times New Roman"/>
          <w:color w:val="000000" w:themeColor="text1"/>
          <w:sz w:val="16"/>
          <w:szCs w:val="16"/>
        </w:rPr>
        <w:softHyphen/>
        <w:t>леметы ШКАС дальше. Нормальная бомбовая нагрузка составляла 400 кг. В перегрузку допускалась под</w:t>
      </w:r>
      <w:r w:rsidRPr="00070ADE">
        <w:rPr>
          <w:rFonts w:ascii="Times New Roman" w:hAnsi="Times New Roman"/>
          <w:color w:val="000000" w:themeColor="text1"/>
          <w:sz w:val="16"/>
          <w:szCs w:val="16"/>
        </w:rPr>
        <w:softHyphen/>
        <w:t>веска еще 400 кг бомб. Кроме это</w:t>
      </w:r>
      <w:r w:rsidRPr="00070ADE">
        <w:rPr>
          <w:rFonts w:ascii="Times New Roman" w:hAnsi="Times New Roman"/>
          <w:color w:val="000000" w:themeColor="text1"/>
          <w:sz w:val="16"/>
          <w:szCs w:val="16"/>
        </w:rPr>
        <w:softHyphen/>
        <w:t>го, для защиты задней нижней полу</w:t>
      </w:r>
      <w:r w:rsidRPr="00070ADE">
        <w:rPr>
          <w:rFonts w:ascii="Times New Roman" w:hAnsi="Times New Roman"/>
          <w:color w:val="000000" w:themeColor="text1"/>
          <w:sz w:val="16"/>
          <w:szCs w:val="16"/>
        </w:rPr>
        <w:softHyphen/>
        <w:t>сферы в хвостовой части устанавли</w:t>
      </w:r>
      <w:r w:rsidRPr="00070ADE">
        <w:rPr>
          <w:rFonts w:ascii="Times New Roman" w:hAnsi="Times New Roman"/>
          <w:color w:val="000000" w:themeColor="text1"/>
          <w:sz w:val="16"/>
          <w:szCs w:val="16"/>
        </w:rPr>
        <w:softHyphen/>
        <w:t>валась кассета ДАГ-10 с десятью авиационными гранатами АГ-2. Ра</w:t>
      </w:r>
      <w:r w:rsidRPr="00070ADE">
        <w:rPr>
          <w:rFonts w:ascii="Times New Roman" w:hAnsi="Times New Roman"/>
          <w:color w:val="000000" w:themeColor="text1"/>
          <w:sz w:val="16"/>
          <w:szCs w:val="16"/>
        </w:rPr>
        <w:softHyphen/>
        <w:t>кетное оружие отсутствовало. Сталь</w:t>
      </w:r>
      <w:r w:rsidRPr="00070ADE">
        <w:rPr>
          <w:rFonts w:ascii="Times New Roman" w:hAnsi="Times New Roman"/>
          <w:color w:val="000000" w:themeColor="text1"/>
          <w:sz w:val="16"/>
          <w:szCs w:val="16"/>
        </w:rPr>
        <w:softHyphen/>
        <w:t>ная бронебашня, которая имела пло</w:t>
      </w:r>
      <w:r w:rsidRPr="00070ADE">
        <w:rPr>
          <w:rFonts w:ascii="Times New Roman" w:hAnsi="Times New Roman"/>
          <w:color w:val="000000" w:themeColor="text1"/>
          <w:sz w:val="16"/>
          <w:szCs w:val="16"/>
        </w:rPr>
        <w:softHyphen/>
        <w:t>хой обзор, была переделана с це</w:t>
      </w:r>
      <w:r w:rsidRPr="00070ADE">
        <w:rPr>
          <w:rFonts w:ascii="Times New Roman" w:hAnsi="Times New Roman"/>
          <w:color w:val="000000" w:themeColor="text1"/>
          <w:sz w:val="16"/>
          <w:szCs w:val="16"/>
        </w:rPr>
        <w:softHyphen/>
        <w:t>лью увеличения обзора, "для чего примерно 50% стольной броневой поверхности башни заменяется бро</w:t>
      </w:r>
      <w:r w:rsidRPr="00070ADE">
        <w:rPr>
          <w:rFonts w:ascii="Times New Roman" w:hAnsi="Times New Roman"/>
          <w:color w:val="000000" w:themeColor="text1"/>
          <w:sz w:val="16"/>
          <w:szCs w:val="16"/>
        </w:rPr>
        <w:softHyphen/>
        <w:t>невым стеклом", и установлена на самолет. Впрочем, вскоре вновь за</w:t>
      </w:r>
      <w:r w:rsidRPr="00070ADE">
        <w:rPr>
          <w:rFonts w:ascii="Times New Roman" w:hAnsi="Times New Roman"/>
          <w:color w:val="000000" w:themeColor="text1"/>
          <w:sz w:val="16"/>
          <w:szCs w:val="16"/>
        </w:rPr>
        <w:softHyphen/>
        <w:t>говорили о "возвращении" брони башни на прежнее место, но решили повременить, до тех пор, пока окончательно не прояснится позиция военных по этому вопросу. Дело в том, что в Постановлении ГОКО от 26 октября 1943 г. о ней ничего не говорилось. На это обстоятельство неоднократно указывали военпреды завода. В конце концов, как следует из документов, к 10 марта броне</w:t>
      </w:r>
      <w:r w:rsidRPr="00070ADE">
        <w:rPr>
          <w:rFonts w:ascii="Times New Roman" w:hAnsi="Times New Roman"/>
          <w:color w:val="000000" w:themeColor="text1"/>
          <w:sz w:val="16"/>
          <w:szCs w:val="16"/>
        </w:rPr>
        <w:softHyphen/>
        <w:t>башня была заменена установкой ВУ-8 с пулеметом УБК.</w:t>
      </w:r>
    </w:p>
    <w:p w14:paraId="0F5587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Изменялось и бронирование ма</w:t>
      </w:r>
      <w:r w:rsidRPr="00070ADE">
        <w:rPr>
          <w:rFonts w:ascii="Times New Roman" w:hAnsi="Times New Roman"/>
          <w:color w:val="000000" w:themeColor="text1"/>
          <w:sz w:val="16"/>
          <w:szCs w:val="16"/>
        </w:rPr>
        <w:softHyphen/>
        <w:t>шины. В отличие от Ил-2 (РК) на штур</w:t>
      </w:r>
      <w:r w:rsidRPr="00070ADE">
        <w:rPr>
          <w:rFonts w:ascii="Times New Roman" w:hAnsi="Times New Roman"/>
          <w:color w:val="000000" w:themeColor="text1"/>
          <w:sz w:val="16"/>
          <w:szCs w:val="16"/>
        </w:rPr>
        <w:softHyphen/>
        <w:t>мовике-бомбардировщике летчик со стороны задней полусферы защи</w:t>
      </w:r>
      <w:r w:rsidRPr="00070ADE">
        <w:rPr>
          <w:rFonts w:ascii="Times New Roman" w:hAnsi="Times New Roman"/>
          <w:color w:val="000000" w:themeColor="text1"/>
          <w:sz w:val="16"/>
          <w:szCs w:val="16"/>
        </w:rPr>
        <w:softHyphen/>
        <w:t>щался двумя разнесенными 8-мм бро-неплитами: одна плита являлась зад</w:t>
      </w:r>
      <w:r w:rsidRPr="00070ADE">
        <w:rPr>
          <w:rFonts w:ascii="Times New Roman" w:hAnsi="Times New Roman"/>
          <w:color w:val="000000" w:themeColor="text1"/>
          <w:sz w:val="16"/>
          <w:szCs w:val="16"/>
        </w:rPr>
        <w:softHyphen/>
        <w:t>ней стенкой кабины пилота, а вто</w:t>
      </w:r>
      <w:r w:rsidRPr="00070ADE">
        <w:rPr>
          <w:rFonts w:ascii="Times New Roman" w:hAnsi="Times New Roman"/>
          <w:color w:val="000000" w:themeColor="text1"/>
          <w:sz w:val="16"/>
          <w:szCs w:val="16"/>
        </w:rPr>
        <w:softHyphen/>
        <w:t xml:space="preserve">рая </w:t>
      </w:r>
      <w:r w:rsidRPr="00070ADE">
        <w:rPr>
          <w:rFonts w:ascii="Times New Roman" w:hAnsi="Times New Roman"/>
          <w:color w:val="000000" w:themeColor="text1"/>
          <w:sz w:val="16"/>
          <w:szCs w:val="16"/>
          <w:vertAlign w:val="superscript"/>
        </w:rPr>
        <w:t>-</w:t>
      </w:r>
      <w:r w:rsidRPr="00070ADE">
        <w:rPr>
          <w:rFonts w:ascii="Times New Roman" w:hAnsi="Times New Roman"/>
          <w:color w:val="000000" w:themeColor="text1"/>
          <w:sz w:val="16"/>
          <w:szCs w:val="16"/>
        </w:rPr>
        <w:t xml:space="preserve"> передней стенкой кабины стрелка. Две разнесенные на неболь</w:t>
      </w:r>
      <w:r w:rsidRPr="00070ADE">
        <w:rPr>
          <w:rFonts w:ascii="Times New Roman" w:hAnsi="Times New Roman"/>
          <w:color w:val="000000" w:themeColor="text1"/>
          <w:sz w:val="16"/>
          <w:szCs w:val="16"/>
        </w:rPr>
        <w:softHyphen/>
        <w:t>шое расстояние бронеплиты толщи</w:t>
      </w:r>
      <w:r w:rsidRPr="00070ADE">
        <w:rPr>
          <w:rFonts w:ascii="Times New Roman" w:hAnsi="Times New Roman"/>
          <w:color w:val="000000" w:themeColor="text1"/>
          <w:sz w:val="16"/>
          <w:szCs w:val="16"/>
        </w:rPr>
        <w:softHyphen/>
        <w:t>ной по 8 мм устанавливались и вме</w:t>
      </w:r>
      <w:r w:rsidRPr="00070ADE">
        <w:rPr>
          <w:rFonts w:ascii="Times New Roman" w:hAnsi="Times New Roman"/>
          <w:color w:val="000000" w:themeColor="text1"/>
          <w:sz w:val="16"/>
          <w:szCs w:val="16"/>
        </w:rPr>
        <w:softHyphen/>
        <w:t>сто задней 12-мм бронестенки ка</w:t>
      </w:r>
      <w:r w:rsidRPr="00070ADE">
        <w:rPr>
          <w:rFonts w:ascii="Times New Roman" w:hAnsi="Times New Roman"/>
          <w:color w:val="000000" w:themeColor="text1"/>
          <w:sz w:val="16"/>
          <w:szCs w:val="16"/>
        </w:rPr>
        <w:softHyphen/>
        <w:t>бины стрелка. Для связи с землей монтировалась истребительная ра</w:t>
      </w:r>
      <w:r w:rsidRPr="00070ADE">
        <w:rPr>
          <w:rFonts w:ascii="Times New Roman" w:hAnsi="Times New Roman"/>
          <w:color w:val="000000" w:themeColor="text1"/>
          <w:sz w:val="16"/>
          <w:szCs w:val="16"/>
        </w:rPr>
        <w:softHyphen/>
        <w:t>диостанция РСИ-4 с дистанционным тросовым управлением. Фиксирова</w:t>
      </w:r>
      <w:r w:rsidRPr="00070ADE">
        <w:rPr>
          <w:rFonts w:ascii="Times New Roman" w:hAnsi="Times New Roman"/>
          <w:color w:val="000000" w:themeColor="text1"/>
          <w:sz w:val="16"/>
          <w:szCs w:val="16"/>
        </w:rPr>
        <w:softHyphen/>
        <w:t>ние результатов атаки обеспечива</w:t>
      </w:r>
      <w:r w:rsidRPr="00070ADE">
        <w:rPr>
          <w:rFonts w:ascii="Times New Roman" w:hAnsi="Times New Roman"/>
          <w:color w:val="000000" w:themeColor="text1"/>
          <w:sz w:val="16"/>
          <w:szCs w:val="16"/>
        </w:rPr>
        <w:softHyphen/>
        <w:t>лось фотокинопулеметом ПАУ-22 и киноаппаратом КС-5, расположен</w:t>
      </w:r>
      <w:r w:rsidRPr="00070ADE">
        <w:rPr>
          <w:rFonts w:ascii="Times New Roman" w:hAnsi="Times New Roman"/>
          <w:color w:val="000000" w:themeColor="text1"/>
          <w:sz w:val="16"/>
          <w:szCs w:val="16"/>
        </w:rPr>
        <w:softHyphen/>
        <w:t>ными в обтекателях шасси, а также фотоаппаратом АФА-ИМ в хвосто</w:t>
      </w:r>
      <w:r w:rsidRPr="00070ADE">
        <w:rPr>
          <w:rFonts w:ascii="Times New Roman" w:hAnsi="Times New Roman"/>
          <w:color w:val="000000" w:themeColor="text1"/>
          <w:sz w:val="16"/>
          <w:szCs w:val="16"/>
        </w:rPr>
        <w:softHyphen/>
        <w:t>вой части фюзеляжа. К 28 февраля Ил-2М был "полностью подготовлен к пробному полету" (11427).</w:t>
      </w:r>
    </w:p>
    <w:p w14:paraId="5F30631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55DA68" w14:textId="26BCAFD7" w:rsidR="00987BBD" w:rsidRPr="00070ADE" w:rsidRDefault="00987B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20 января 1944 мотор АМ-42 на Ил-2 (РК) был вновь заменен. С шестым по счету мотором (зав.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4248) «с алиссоновскими всасывающими патрубками» результаты оказались лучше. Появилась надежда завершить всю программу заводских испытаний и подготовить «следопыт» к</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передаче в НИИ ВВС для производства государственных испытаний.</w:t>
      </w:r>
    </w:p>
    <w:p w14:paraId="1EA8ABBD" w14:textId="563AA836" w:rsidR="00987BBD" w:rsidRPr="00070ADE" w:rsidRDefault="00987B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этому времени Ил-2М в очередной раз был «подан в сборочный цех завода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240». На самолете предполагалось установить доработанный мотор АМ-42, новые бензобаки с увеличенным до 1020 л объемом, цельнометаллическую хвостовую часть фюзеляжа и хвостовое оперение, а также цельнометаллическое крыло с двумя пушками 11П (90 снарядов) и двумя пулеметами ШКАС (1500 патронов). При этом 11П, в отличие от серийного Ил-2 с такими же пушками, размещались внутри крыла и ближе к оси самолета, а пулеметы ШКАС дальше. Нормальная бомбовая нагрузка составляла 400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В перегрузку допускалась подвеска еще 400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Кроме этого, для защиты задней нижней полусферы в хвостовой части устанавливалась кассета ДАГ-10 с десятью авиационными гранатами АГ-2. Ракетное оружие отсутствовало. Стальная бронебашня, которая имела плохой обзор, была переделана с целью увеличения обзора («для чего примерно 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стальной броневой поверхности башни заменяется броневым стеклом») и установлена на самолет. Впрочем, вскоре вновь заговорили о «возвращении» брони башни на прежнее место, но решили повременить, до тех пор, пока окончательно не прояснится позиция военных по этому вопросу. Дело в том, что в постановлении ГКО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4427сс от 26 </w:t>
      </w:r>
      <w:r w:rsidRPr="00070ADE">
        <w:rPr>
          <w:rFonts w:ascii="Times New Roman" w:hAnsi="Times New Roman"/>
          <w:color w:val="000000" w:themeColor="text1"/>
          <w:sz w:val="16"/>
          <w:szCs w:val="16"/>
        </w:rPr>
        <w:lastRenderedPageBreak/>
        <w:t>октября 1943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ней ничего не говорилось. На это обстоятельство неоднократно указывали военпреды завода. В конце концов, как следует из документов, к 10 марта 1944 года бронебашню заменили установкой ВУ-8 с пулеметом УБК.</w:t>
      </w:r>
    </w:p>
    <w:p w14:paraId="47D130F9" w14:textId="04717128" w:rsidR="00987BBD" w:rsidRPr="00070ADE" w:rsidRDefault="00987B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Изменялось и бронирование машины. В отличие от Ил-2 (РК), на штурмовике-бомбардировщике летчик и воздушный стрелок со стороны задней полусферы защищались экранированной броней, состоящей из двух 8-мм броневых листов с небольшим воздушным промежутком между ними. Такая броня более эффективно «держала» удар боеприпасов немецких авиапушек и осколков зенитных снарядов. Бронеплита экрана изготавливалась из брони марки ХД, а основная бронеплита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из брони марки АБ-2. Как показали полигонные испытания, броневая система 8+8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не пробивалась 15-мм бронебойной пулей с 200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по нормали и со 100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под углом 20–25° к нормали, а бронебойно-разрывной снаряд калибра 20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удерживался при стрельбе с 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по нормали.</w:t>
      </w:r>
    </w:p>
    <w:p w14:paraId="3F50ACF4" w14:textId="77777777" w:rsidR="00987BBD" w:rsidRPr="00070ADE" w:rsidRDefault="00987B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связи с землей монтировалась истребительная радиостанция РСИ-4 с дистанционным тросовым управлением. Фиксирование результатов атаки обеспечивалось фотокинопулеметом ПАУ-22 и киноаппаратом КС-5, расположенными в обтекателях шасси, а также фотоаппаратом АФА-ИМ в хвостовой части фюзеляжа. К 28 февраля Ил-2М был «полностью подготовлен к пробному полету» (17490).</w:t>
      </w:r>
    </w:p>
    <w:p w14:paraId="1507E715" w14:textId="77777777" w:rsidR="00987BBD" w:rsidRPr="00070ADE" w:rsidRDefault="00987BBD" w:rsidP="00B56F90">
      <w:pPr>
        <w:spacing w:after="0" w:line="240" w:lineRule="auto"/>
        <w:jc w:val="both"/>
        <w:rPr>
          <w:rFonts w:ascii="Times New Roman" w:hAnsi="Times New Roman"/>
          <w:color w:val="000000" w:themeColor="text1"/>
          <w:sz w:val="16"/>
          <w:szCs w:val="16"/>
        </w:rPr>
      </w:pPr>
    </w:p>
    <w:p w14:paraId="6B38CD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января 1944 был подготовлен отчет N 73/220с по основной деятельности завода 39 за 1943:</w:t>
      </w:r>
    </w:p>
    <w:p w14:paraId="7D29A19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Выполнение плана в натуральном выражении: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4D4663" w:rsidRPr="00070ADE" w14:paraId="426EC96A" w14:textId="77777777">
        <w:tc>
          <w:tcPr>
            <w:tcW w:w="1610" w:type="dxa"/>
          </w:tcPr>
          <w:p w14:paraId="412855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436C91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1942</w:t>
            </w:r>
          </w:p>
        </w:tc>
        <w:tc>
          <w:tcPr>
            <w:tcW w:w="1610" w:type="dxa"/>
          </w:tcPr>
          <w:p w14:paraId="370409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30FC359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6A099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w:t>
            </w:r>
          </w:p>
        </w:tc>
        <w:tc>
          <w:tcPr>
            <w:tcW w:w="1610" w:type="dxa"/>
          </w:tcPr>
          <w:p w14:paraId="6A2BC87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CB54D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9B173DD" w14:textId="77777777">
        <w:tc>
          <w:tcPr>
            <w:tcW w:w="1610" w:type="dxa"/>
          </w:tcPr>
          <w:p w14:paraId="2F31B1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06F00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w:t>
            </w:r>
          </w:p>
        </w:tc>
        <w:tc>
          <w:tcPr>
            <w:tcW w:w="1610" w:type="dxa"/>
          </w:tcPr>
          <w:p w14:paraId="5D74F6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Факт</w:t>
            </w:r>
          </w:p>
        </w:tc>
        <w:tc>
          <w:tcPr>
            <w:tcW w:w="1610" w:type="dxa"/>
          </w:tcPr>
          <w:p w14:paraId="6B0FCF2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610" w:type="dxa"/>
          </w:tcPr>
          <w:p w14:paraId="588AC5C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w:t>
            </w:r>
          </w:p>
        </w:tc>
        <w:tc>
          <w:tcPr>
            <w:tcW w:w="1610" w:type="dxa"/>
          </w:tcPr>
          <w:p w14:paraId="5ED1A5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Факт</w:t>
            </w:r>
          </w:p>
        </w:tc>
        <w:tc>
          <w:tcPr>
            <w:tcW w:w="1610" w:type="dxa"/>
          </w:tcPr>
          <w:p w14:paraId="2BC618C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D1DEF59" w14:textId="77777777">
        <w:tc>
          <w:tcPr>
            <w:tcW w:w="1610" w:type="dxa"/>
          </w:tcPr>
          <w:p w14:paraId="57B6E2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Ил-4</w:t>
            </w:r>
          </w:p>
        </w:tc>
        <w:tc>
          <w:tcPr>
            <w:tcW w:w="1610" w:type="dxa"/>
          </w:tcPr>
          <w:p w14:paraId="1E2A229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w:t>
            </w:r>
          </w:p>
        </w:tc>
        <w:tc>
          <w:tcPr>
            <w:tcW w:w="1610" w:type="dxa"/>
          </w:tcPr>
          <w:p w14:paraId="517E8A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w:t>
            </w:r>
          </w:p>
        </w:tc>
        <w:tc>
          <w:tcPr>
            <w:tcW w:w="1610" w:type="dxa"/>
          </w:tcPr>
          <w:p w14:paraId="7EA167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121.3</w:t>
            </w:r>
          </w:p>
        </w:tc>
        <w:tc>
          <w:tcPr>
            <w:tcW w:w="1610" w:type="dxa"/>
          </w:tcPr>
          <w:p w14:paraId="111D82D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667</w:t>
            </w:r>
          </w:p>
        </w:tc>
        <w:tc>
          <w:tcPr>
            <w:tcW w:w="1610" w:type="dxa"/>
          </w:tcPr>
          <w:p w14:paraId="343110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697</w:t>
            </w:r>
          </w:p>
        </w:tc>
        <w:tc>
          <w:tcPr>
            <w:tcW w:w="1610" w:type="dxa"/>
          </w:tcPr>
          <w:p w14:paraId="593FBC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104.5</w:t>
            </w:r>
          </w:p>
        </w:tc>
      </w:tr>
      <w:tr w:rsidR="004D4663" w:rsidRPr="00070ADE" w14:paraId="4F8295E8" w14:textId="77777777">
        <w:tc>
          <w:tcPr>
            <w:tcW w:w="1610" w:type="dxa"/>
          </w:tcPr>
          <w:p w14:paraId="007425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 и Пе-3бис</w:t>
            </w:r>
          </w:p>
        </w:tc>
        <w:tc>
          <w:tcPr>
            <w:tcW w:w="1610" w:type="dxa"/>
          </w:tcPr>
          <w:p w14:paraId="02C0A6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564</w:t>
            </w:r>
          </w:p>
        </w:tc>
        <w:tc>
          <w:tcPr>
            <w:tcW w:w="1610" w:type="dxa"/>
          </w:tcPr>
          <w:p w14:paraId="33AFE6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571</w:t>
            </w:r>
          </w:p>
        </w:tc>
        <w:tc>
          <w:tcPr>
            <w:tcW w:w="1610" w:type="dxa"/>
          </w:tcPr>
          <w:p w14:paraId="7E39A2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101.2</w:t>
            </w:r>
          </w:p>
        </w:tc>
        <w:tc>
          <w:tcPr>
            <w:tcW w:w="1610" w:type="dxa"/>
          </w:tcPr>
          <w:p w14:paraId="0427D8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610" w:type="dxa"/>
          </w:tcPr>
          <w:p w14:paraId="07B99F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w:t>
            </w:r>
          </w:p>
        </w:tc>
        <w:tc>
          <w:tcPr>
            <w:tcW w:w="1610" w:type="dxa"/>
          </w:tcPr>
          <w:p w14:paraId="772488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5796ABA" w14:textId="77777777">
        <w:tc>
          <w:tcPr>
            <w:tcW w:w="1610" w:type="dxa"/>
          </w:tcPr>
          <w:p w14:paraId="5FBDD5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Ил-6</w:t>
            </w:r>
          </w:p>
        </w:tc>
        <w:tc>
          <w:tcPr>
            <w:tcW w:w="1610" w:type="dxa"/>
          </w:tcPr>
          <w:p w14:paraId="10BDF2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610" w:type="dxa"/>
          </w:tcPr>
          <w:p w14:paraId="621B6A3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610" w:type="dxa"/>
          </w:tcPr>
          <w:p w14:paraId="50C5CC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610" w:type="dxa"/>
          </w:tcPr>
          <w:p w14:paraId="4F40E1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1610" w:type="dxa"/>
          </w:tcPr>
          <w:p w14:paraId="071596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1610" w:type="dxa"/>
          </w:tcPr>
          <w:p w14:paraId="623990E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r>
      <w:tr w:rsidR="004D4663" w:rsidRPr="00070ADE" w14:paraId="054277B7" w14:textId="77777777">
        <w:tc>
          <w:tcPr>
            <w:tcW w:w="1610" w:type="dxa"/>
          </w:tcPr>
          <w:p w14:paraId="2E0035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Ер-2</w:t>
            </w:r>
          </w:p>
        </w:tc>
        <w:tc>
          <w:tcPr>
            <w:tcW w:w="1610" w:type="dxa"/>
          </w:tcPr>
          <w:p w14:paraId="591F46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610" w:type="dxa"/>
          </w:tcPr>
          <w:p w14:paraId="1FDC1B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610" w:type="dxa"/>
          </w:tcPr>
          <w:p w14:paraId="5A143D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610" w:type="dxa"/>
          </w:tcPr>
          <w:p w14:paraId="558DCD1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1610" w:type="dxa"/>
          </w:tcPr>
          <w:p w14:paraId="3C02BA2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610" w:type="dxa"/>
          </w:tcPr>
          <w:p w14:paraId="4FAB9A1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2CD1D98" w14:textId="77777777">
        <w:tc>
          <w:tcPr>
            <w:tcW w:w="1610" w:type="dxa"/>
          </w:tcPr>
          <w:p w14:paraId="61F74C6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673B93C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73A099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732BA3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6C1AEE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603421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4B010FE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1F4F4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Ил-4</w:t>
      </w:r>
    </w:p>
    <w:p w14:paraId="7D56EF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...заводом проделана большая работа по внедрению извещений ГК Ил-4. В результате этой работы в Ил-4 были внесены следующие изменения:</w:t>
      </w:r>
    </w:p>
    <w:p w14:paraId="0B2D66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усилена конструкция фюзеляжа, костыля, моторамы и капотов</w:t>
      </w:r>
    </w:p>
    <w:p w14:paraId="67CA8D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установлен пылефильтр, ГАМ-9, УФО, переоборудована кабины штурмана, введена полная металлизация самолета</w:t>
      </w:r>
    </w:p>
    <w:p w14:paraId="60A5BC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изменен вынос крыла (на 6 гр.), дана динамическая компенсация РВ, а также внедрена пружинная компенсация в управление РВ. Эти работы потребовали изменения 500 черт. и выпуска новых 250 черт.</w:t>
      </w:r>
    </w:p>
    <w:p w14:paraId="51434F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Внедрение этих конструкторских изменений улучшило устойчивость и управляемость машины, а установка ГАМ-9, УФО, пылефильтров улучшили тактические и эксплуатационные свойства Ил-4.</w:t>
      </w:r>
    </w:p>
    <w:p w14:paraId="1E564C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Ил-6</w:t>
      </w:r>
    </w:p>
    <w:p w14:paraId="6FB2E18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Первые чертежи получены были 5 марта 1943 под М-90. Чертежи были спущены в производство 20 марта 1943. Во второй половине апреля были получены от ГК и спущены в производство чертежи под М-30Б (2523).</w:t>
      </w:r>
    </w:p>
    <w:p w14:paraId="3C83E9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9F5A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января 1944 был подготовлен годовой отчет завода 30 за 1943: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4D4663" w:rsidRPr="00070ADE" w14:paraId="5B01ED1A" w14:textId="77777777">
        <w:tc>
          <w:tcPr>
            <w:tcW w:w="1878" w:type="dxa"/>
          </w:tcPr>
          <w:p w14:paraId="1B5C37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BBB9D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w:t>
            </w:r>
          </w:p>
        </w:tc>
        <w:tc>
          <w:tcPr>
            <w:tcW w:w="1878" w:type="dxa"/>
          </w:tcPr>
          <w:p w14:paraId="278F0C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сборке</w:t>
            </w:r>
          </w:p>
        </w:tc>
        <w:tc>
          <w:tcPr>
            <w:tcW w:w="1878" w:type="dxa"/>
          </w:tcPr>
          <w:p w14:paraId="35D905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1C42D6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гот. к бою</w:t>
            </w:r>
          </w:p>
        </w:tc>
        <w:tc>
          <w:tcPr>
            <w:tcW w:w="1878" w:type="dxa"/>
          </w:tcPr>
          <w:p w14:paraId="3E0EDB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8976CBA" w14:textId="77777777">
        <w:tc>
          <w:tcPr>
            <w:tcW w:w="1878" w:type="dxa"/>
          </w:tcPr>
          <w:p w14:paraId="73F1DD6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0C6B1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19063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Факт</w:t>
            </w:r>
          </w:p>
        </w:tc>
        <w:tc>
          <w:tcPr>
            <w:tcW w:w="1878" w:type="dxa"/>
          </w:tcPr>
          <w:p w14:paraId="1B558A8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78" w:type="dxa"/>
          </w:tcPr>
          <w:p w14:paraId="3BB14A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Факт</w:t>
            </w:r>
          </w:p>
        </w:tc>
        <w:tc>
          <w:tcPr>
            <w:tcW w:w="1878" w:type="dxa"/>
          </w:tcPr>
          <w:p w14:paraId="1B773E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E22A2F8" w14:textId="77777777">
        <w:tc>
          <w:tcPr>
            <w:tcW w:w="1878" w:type="dxa"/>
          </w:tcPr>
          <w:p w14:paraId="7432F54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w:t>
            </w:r>
          </w:p>
        </w:tc>
        <w:tc>
          <w:tcPr>
            <w:tcW w:w="1878" w:type="dxa"/>
          </w:tcPr>
          <w:p w14:paraId="61F7CF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2271</w:t>
            </w:r>
          </w:p>
        </w:tc>
        <w:tc>
          <w:tcPr>
            <w:tcW w:w="1878" w:type="dxa"/>
          </w:tcPr>
          <w:p w14:paraId="7ACFED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2234</w:t>
            </w:r>
          </w:p>
        </w:tc>
        <w:tc>
          <w:tcPr>
            <w:tcW w:w="1878" w:type="dxa"/>
          </w:tcPr>
          <w:p w14:paraId="15D86E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98.4</w:t>
            </w:r>
          </w:p>
        </w:tc>
        <w:tc>
          <w:tcPr>
            <w:tcW w:w="1878" w:type="dxa"/>
          </w:tcPr>
          <w:p w14:paraId="2B0A39D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2476</w:t>
            </w:r>
          </w:p>
        </w:tc>
        <w:tc>
          <w:tcPr>
            <w:tcW w:w="1878" w:type="dxa"/>
          </w:tcPr>
          <w:p w14:paraId="42597D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106.8</w:t>
            </w:r>
          </w:p>
        </w:tc>
      </w:tr>
    </w:tbl>
    <w:p w14:paraId="11D2FC9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Серийные испытания самолетов выпуска последних месяцев года показали значительное превышение скорости, установленной договором.</w:t>
      </w:r>
    </w:p>
    <w:p w14:paraId="663096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числа выпущенных заводом боевызх машин в 1943 выпуск по основным модификациям составил: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4D4663" w:rsidRPr="00070ADE" w14:paraId="391EBDD0" w14:textId="77777777">
        <w:tc>
          <w:tcPr>
            <w:tcW w:w="3757" w:type="dxa"/>
          </w:tcPr>
          <w:p w14:paraId="710E6D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Одноместный с ШВАК</w:t>
            </w:r>
          </w:p>
        </w:tc>
        <w:tc>
          <w:tcPr>
            <w:tcW w:w="3757" w:type="dxa"/>
          </w:tcPr>
          <w:p w14:paraId="51976C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223</w:t>
            </w:r>
          </w:p>
        </w:tc>
      </w:tr>
      <w:tr w:rsidR="004D4663" w:rsidRPr="00070ADE" w14:paraId="1090B8D7" w14:textId="77777777">
        <w:tc>
          <w:tcPr>
            <w:tcW w:w="3757" w:type="dxa"/>
          </w:tcPr>
          <w:p w14:paraId="6B64B3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Одноместный с ВЯ</w:t>
            </w:r>
          </w:p>
        </w:tc>
        <w:tc>
          <w:tcPr>
            <w:tcW w:w="3757" w:type="dxa"/>
          </w:tcPr>
          <w:p w14:paraId="11554D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31C72BC" w14:textId="77777777">
        <w:tc>
          <w:tcPr>
            <w:tcW w:w="3757" w:type="dxa"/>
          </w:tcPr>
          <w:p w14:paraId="1B0FDA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Двухместный с ШВАК</w:t>
            </w:r>
          </w:p>
        </w:tc>
        <w:tc>
          <w:tcPr>
            <w:tcW w:w="3757" w:type="dxa"/>
          </w:tcPr>
          <w:p w14:paraId="4A35F59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1054</w:t>
            </w:r>
          </w:p>
        </w:tc>
      </w:tr>
      <w:tr w:rsidR="004D4663" w:rsidRPr="00070ADE" w14:paraId="73E4A298" w14:textId="77777777">
        <w:tc>
          <w:tcPr>
            <w:tcW w:w="3757" w:type="dxa"/>
          </w:tcPr>
          <w:p w14:paraId="456A62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Двухместный с ВЯ</w:t>
            </w:r>
          </w:p>
        </w:tc>
        <w:tc>
          <w:tcPr>
            <w:tcW w:w="3757" w:type="dxa"/>
          </w:tcPr>
          <w:p w14:paraId="1D62D7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w:t>
            </w:r>
          </w:p>
        </w:tc>
      </w:tr>
      <w:tr w:rsidR="004D4663" w:rsidRPr="00070ADE" w14:paraId="1FBB79E0" w14:textId="77777777">
        <w:tc>
          <w:tcPr>
            <w:tcW w:w="3757" w:type="dxa"/>
          </w:tcPr>
          <w:p w14:paraId="253EA0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Двухместный с 11-П</w:t>
            </w:r>
          </w:p>
        </w:tc>
        <w:tc>
          <w:tcPr>
            <w:tcW w:w="3757" w:type="dxa"/>
          </w:tcPr>
          <w:p w14:paraId="6EA3DF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1073</w:t>
            </w:r>
          </w:p>
        </w:tc>
      </w:tr>
      <w:tr w:rsidR="004D4663" w:rsidRPr="00070ADE" w14:paraId="3A72A9F3" w14:textId="77777777">
        <w:tc>
          <w:tcPr>
            <w:tcW w:w="3757" w:type="dxa"/>
          </w:tcPr>
          <w:p w14:paraId="763F50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Одноместные корректировщики</w:t>
            </w:r>
          </w:p>
        </w:tc>
        <w:tc>
          <w:tcPr>
            <w:tcW w:w="3757" w:type="dxa"/>
          </w:tcPr>
          <w:p w14:paraId="76050A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w:t>
            </w:r>
          </w:p>
        </w:tc>
      </w:tr>
    </w:tbl>
    <w:p w14:paraId="5BEEAA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испытании находится самолет с новым деревянным крылом с повернутой стрелкой (НС).</w:t>
      </w:r>
    </w:p>
    <w:p w14:paraId="6E08B3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...приступлено к сборке, во вновь организованном цехе, металлического крыла, с выпуском первых комплектов в январе 1944.</w:t>
      </w:r>
    </w:p>
    <w:p w14:paraId="5EDB19A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частях в течение 1943 были обнаружены ряд дефектов на машинах, выпущенных заводом... и в связи с этим было выполнено:</w:t>
      </w:r>
    </w:p>
    <w:p w14:paraId="1674FC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Усиление фюзеляжей профилями</w:t>
      </w:r>
    </w:p>
    <w:p w14:paraId="2107C7F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Замена РВ</w:t>
      </w:r>
    </w:p>
    <w:p w14:paraId="428F26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Ремонт фанерной и полотняной обшивки крыльев</w:t>
      </w:r>
    </w:p>
    <w:p w14:paraId="08B83ED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Замена крыльев с установкой пушек 11-П</w:t>
      </w:r>
    </w:p>
    <w:p w14:paraId="1F4FF5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Ремонт хвостовой части фюзеляжа</w:t>
      </w:r>
    </w:p>
    <w:p w14:paraId="59770F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Ремонт деревянных обтекателей шасси</w:t>
      </w:r>
    </w:p>
    <w:p w14:paraId="47AC40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Замена стыковых узлов центроплана и крыла.</w:t>
      </w:r>
    </w:p>
    <w:p w14:paraId="36235F2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числу основных недостатков качества самолета относилось:</w:t>
      </w:r>
    </w:p>
    <w:p w14:paraId="060699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Течь масла бензосистемы</w:t>
      </w:r>
    </w:p>
    <w:p w14:paraId="463DF1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Течь воздушной системы</w:t>
      </w:r>
    </w:p>
    <w:p w14:paraId="5173BE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Плохое качество металлизации</w:t>
      </w:r>
    </w:p>
    <w:p w14:paraId="606844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Низкое качество монтажных работ по моторному оборудованию</w:t>
      </w:r>
    </w:p>
    <w:p w14:paraId="1B22648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Большие щелевые зазоры РВ и стабилизатора, РН и крыла и элерона</w:t>
      </w:r>
    </w:p>
    <w:p w14:paraId="11773C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Стрижка крыла с центропланом</w:t>
      </w:r>
    </w:p>
    <w:p w14:paraId="265124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Плохая нивелировка крыльев</w:t>
      </w:r>
    </w:p>
    <w:p w14:paraId="11FAA3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Конструктивные изменения Ил-2 и работа СКО</w:t>
      </w:r>
    </w:p>
    <w:p w14:paraId="575A6F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1943 работа СКО в оснеовном выполнялась в направлении модификации Ил-2.</w:t>
      </w:r>
    </w:p>
    <w:p w14:paraId="436F4C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1943 было отработано в производстве 85 изменений, в числе которых, как основные входило: холодный и газовый запуск моторов, подвесные бензобаки, установка ВМ-Ш-2, установка АрТ-41, прицел ПБП-1Б, бензиномеры БЭ-40.</w:t>
      </w:r>
    </w:p>
    <w:p w14:paraId="1FDC84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1943 отработан эталонный самолет N 2804 с улучшенной аэродинамикой и качеством изготовления.</w:t>
      </w:r>
    </w:p>
    <w:p w14:paraId="69E34A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проведенной работы как эталон, так и серийные самолеты не только достигли договорных скоростей, но и превысили их, что отражено в приказе НКАП N 454с. Кроме того, на самолете было сделано улучшенное крыло. что в общей сложности дало прирост скорости в 18-20 км/час.</w:t>
      </w:r>
    </w:p>
    <w:p w14:paraId="4FAA9C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целью улучшения устойчивости и управляемости самолета, таковой построен с повернутым крылом (стрелкой) и улучшенной аэродинамикой.</w:t>
      </w:r>
    </w:p>
    <w:p w14:paraId="5F4A50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улучшения прочности крепления обшивки серийное крыло самолета переделано.</w:t>
      </w:r>
    </w:p>
    <w:p w14:paraId="410C7C2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1943 дважды было заменено вооружение самолета.</w:t>
      </w:r>
    </w:p>
    <w:p w14:paraId="1703F6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всего изложенного за 1943 проведены следующие работы:</w:t>
      </w:r>
    </w:p>
    <w:p w14:paraId="0E22E2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Построе самолет типа корректировщик</w:t>
      </w:r>
    </w:p>
    <w:p w14:paraId="6B4E29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Сделано металлическое крыло со стрелкой и усиленными стыковыми узлами</w:t>
      </w:r>
    </w:p>
    <w:p w14:paraId="30994B8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Отработаны чертежи и построены все основные агрегаты по новому самолеты И-34</w:t>
      </w:r>
    </w:p>
    <w:p w14:paraId="03F3C5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целью установления качественности Ил-2 в течение 1943 была проведена большая эскпериментальная работа, как то:</w:t>
      </w:r>
    </w:p>
    <w:p w14:paraId="39EB92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Отстрел в воздухе Ил-2 с пушками 11-П и ВЯ</w:t>
      </w:r>
    </w:p>
    <w:p w14:paraId="1D6855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Проведен замер скоростей самолета</w:t>
      </w:r>
    </w:p>
    <w:p w14:paraId="46A7626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Составлены отчеты</w:t>
      </w:r>
    </w:p>
    <w:p w14:paraId="1E771B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об определении качества металлизации и готовых изделий</w:t>
      </w:r>
    </w:p>
    <w:p w14:paraId="5A6ACB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о температурных режимах ВМГ Ил-2 в зимних и летних условиях</w:t>
      </w:r>
    </w:p>
    <w:p w14:paraId="4E09C3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 проверке наддува самолета с фильтром ЦАГИ</w:t>
      </w:r>
    </w:p>
    <w:p w14:paraId="679CD4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г) об испытании новых замков для запирания бомболюков</w:t>
      </w:r>
    </w:p>
    <w:p w14:paraId="068C0B1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о проверке минимальных скоростей открытия щитков</w:t>
      </w:r>
    </w:p>
    <w:p w14:paraId="45915A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 о проверке металлизации моторов (2523).</w:t>
      </w:r>
    </w:p>
    <w:p w14:paraId="74534D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DE25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января 1944 Зам. начальника 8 Гл. управления НКАП Алисов согласно указания Зам. НКАП Дементьева послал письмо N 31705 Гл. конструктору завода N 35 Жданову и в копию С.В.И. на завод 240 о включении в план работы первого квартала изготовление 2-х новых винтов для Ил-2 АМ-38, но конкретного срока не указал (2562,49).</w:t>
      </w:r>
    </w:p>
    <w:p w14:paraId="776468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1921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января 1944 закончились заводские испытания Як-9, которые проходили с 17 ноября 1943 (65,113).</w:t>
      </w:r>
    </w:p>
    <w:p w14:paraId="79239B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1810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января 1944 было выдано задание на постройку Як-3 с крылдом с ламинарным профилем, а к разработке приступили в сентябре 1944 года. Причем на самолете сохранился старый каркас крыла (менялись лишь нервюры). Вооружение включало пушку НС-23 и два пулемета БС. Работа проводилась в шесть этапов.</w:t>
      </w:r>
    </w:p>
    <w:p w14:paraId="4432FC3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Одним из путей улучшения аэродинамики Як-3, безусловно, стала разработка на заводе №153 в Новосибирске под руководством O.K. Антонова нового крыла с ламинарным профилем, с меньшим коэффициентом сопротивления.</w:t>
      </w:r>
    </w:p>
    <w:p w14:paraId="730211C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Предполагалось, что в дальнейшем при сохранении прежней силовой установки это позволит уменьшить площадь крыла до 13,1 м2 при размахе 8,6 метра, а переход на электроприводы управления посадочными щитками и триммерами горизонтального оперения - дополнительно облегчит истребитель.</w:t>
      </w:r>
    </w:p>
    <w:p w14:paraId="31711D0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позже нашлись другие технические решения, связанные с перекомпоновкой фюзеляжа, а точнее, с размещением масло- и водорадиатора в одной гондоле под фюзеляжем, с применением одностороннего (как на Як-1) всасывающего патрубка нагнетателя и изменением обводов капота мотора и подбором винта.</w:t>
      </w:r>
    </w:p>
    <w:p w14:paraId="5B7309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Чтобы компенсировать ухудшение характеристик на посадочных углах атаки, свойственное ламинарным крыльям, угол отклонения крыльевых щитков увеличили до 60 градусов.</w:t>
      </w:r>
    </w:p>
    <w:p w14:paraId="6750C36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проектирования из-за отсутствия ряда комплектующих изделий пришлось отказаться от электрификации машины, и суммарный выигрыш в весе ее конструкции от использования других технических решений оказался невелик. Поэтому пришлось вернуться к исходному крылу. В связи с тем, что положение силовых элементов крыла, центра тяжести, а также кинематика и размер шасси должны были остаться неизменными, несущая поверхность приобрела форму двойной трапеции (с наплывом в передней корневой части крыла). Эта часть крыла набиралась из модифицированных профилей ЦАГИ 160545, переходивших к концу наплыва в профиль ЦАГИ 150545 и к середине полуразмаха - в профиль ЦАГИ 14151. В процессе испытаний машины планировалась проверка возможности использования реакции выхлопа для увеличения максимальной скорости самолета, для чего изготовили второй комплект боковых капотов мотора с туннельными обтекателями выхлопных патрубков.</w:t>
      </w:r>
    </w:p>
    <w:p w14:paraId="20644AD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Машину изготовили, но достоверных сведений о ее полетах и дальнейшей судьбе пока не обнаружено (12047).</w:t>
      </w:r>
    </w:p>
    <w:p w14:paraId="4298C5F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8C48CD5"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января 1944 г. Из отчетного доклада директора завода № 387 И. В. Федина за 1943 г. - о выполнении производственной программы по оборонной продукции</w:t>
      </w:r>
    </w:p>
    <w:p w14:paraId="775B72FC"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 1943 г. предусматривал увеличение выпуска продукции в сравнении с планом 1942 г. по выпуску самолетов на 21%, по товарной продукции на 20% и валовой продукции на 18%.</w:t>
      </w:r>
    </w:p>
    <w:p w14:paraId="0A5722D0"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абсолютного роста выпуска продукции в 1943 г. была проведена модернизация самолета, как то: дополнительное оборудование коллекторным подогревателем, центропланным бензобаком, посадочной фарой, авиагоризонтом и т. д. [...]</w:t>
      </w:r>
    </w:p>
    <w:p w14:paraId="4BDF4361"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Выполнение программы 1943 г. по ассортименту составило:</w:t>
      </w:r>
    </w:p>
    <w:p w14:paraId="4F28B475" w14:textId="606D457D"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п/’п</w:t>
      </w:r>
      <w:r w:rsidRPr="00070ADE">
        <w:rPr>
          <w:rFonts w:ascii="Times New Roman" w:hAnsi="Times New Roman"/>
          <w:color w:val="000000" w:themeColor="text1"/>
          <w:sz w:val="16"/>
          <w:szCs w:val="16"/>
        </w:rPr>
        <w:tab/>
        <w:t>Наименование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изделий</w:t>
      </w:r>
      <w:r w:rsidRPr="00070ADE">
        <w:rPr>
          <w:rFonts w:ascii="Times New Roman" w:hAnsi="Times New Roman"/>
          <w:color w:val="000000" w:themeColor="text1"/>
          <w:sz w:val="16"/>
          <w:szCs w:val="16"/>
        </w:rPr>
        <w:tab/>
        <w:t>Ед.</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изм.</w:t>
      </w:r>
      <w:r w:rsidRPr="00070ADE">
        <w:rPr>
          <w:rFonts w:ascii="Times New Roman" w:hAnsi="Times New Roman"/>
          <w:color w:val="000000" w:themeColor="text1"/>
          <w:sz w:val="16"/>
          <w:szCs w:val="16"/>
        </w:rPr>
        <w:tab/>
        <w:t>Отчет , за</w:t>
      </w:r>
      <w:r w:rsidRPr="00070ADE">
        <w:rPr>
          <w:rFonts w:ascii="Times New Roman" w:hAnsi="Times New Roman"/>
          <w:color w:val="000000" w:themeColor="text1"/>
          <w:sz w:val="16"/>
          <w:szCs w:val="16"/>
        </w:rPr>
        <w:tab/>
        <w:t>1943 г.</w:t>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t>Отчет за 1943 г. в %%</w:t>
      </w:r>
      <w:r w:rsidRPr="00070ADE">
        <w:rPr>
          <w:rFonts w:ascii="Times New Roman" w:hAnsi="Times New Roman"/>
          <w:color w:val="000000" w:themeColor="text1"/>
          <w:sz w:val="16"/>
          <w:szCs w:val="16"/>
        </w:rPr>
        <w:tab/>
      </w:r>
    </w:p>
    <w:p w14:paraId="679FCCA3" w14:textId="027DE468"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t>1942 г.</w:t>
      </w:r>
      <w:r w:rsidRPr="00070ADE">
        <w:rPr>
          <w:rFonts w:ascii="Times New Roman" w:hAnsi="Times New Roman"/>
          <w:color w:val="000000" w:themeColor="text1"/>
          <w:sz w:val="16"/>
          <w:szCs w:val="16"/>
        </w:rPr>
        <w:tab/>
        <w:t>план</w:t>
      </w:r>
      <w:r w:rsidRPr="00070ADE">
        <w:rPr>
          <w:rFonts w:ascii="Times New Roman" w:hAnsi="Times New Roman"/>
          <w:color w:val="000000" w:themeColor="text1"/>
          <w:sz w:val="16"/>
          <w:szCs w:val="16"/>
        </w:rPr>
        <w:tab/>
        <w:t>отчет</w:t>
      </w:r>
      <w:r w:rsidRPr="00070ADE">
        <w:rPr>
          <w:rFonts w:ascii="Times New Roman" w:hAnsi="Times New Roman"/>
          <w:color w:val="000000" w:themeColor="text1"/>
          <w:sz w:val="16"/>
          <w:szCs w:val="16"/>
        </w:rPr>
        <w:tab/>
        <w:t>к</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плану</w:t>
      </w:r>
      <w:r w:rsidRPr="00070ADE">
        <w:rPr>
          <w:rFonts w:ascii="Times New Roman" w:hAnsi="Times New Roman"/>
          <w:color w:val="000000" w:themeColor="text1"/>
          <w:sz w:val="16"/>
          <w:szCs w:val="16"/>
        </w:rPr>
        <w:tab/>
        <w:t>к отчету за 1942 г.</w:t>
      </w:r>
    </w:p>
    <w:p w14:paraId="787A64C6"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r w:rsidRPr="00070ADE">
        <w:rPr>
          <w:rFonts w:ascii="Times New Roman" w:hAnsi="Times New Roman"/>
          <w:color w:val="000000" w:themeColor="text1"/>
          <w:sz w:val="16"/>
          <w:szCs w:val="16"/>
        </w:rPr>
        <w:tab/>
        <w:t>Самолеты У-2: а) сборка</w:t>
      </w:r>
      <w:r w:rsidRPr="00070ADE">
        <w:rPr>
          <w:rFonts w:ascii="Times New Roman" w:hAnsi="Times New Roman"/>
          <w:color w:val="000000" w:themeColor="text1"/>
          <w:sz w:val="16"/>
          <w:szCs w:val="16"/>
        </w:rPr>
        <w:tab/>
        <w:t>ед.</w:t>
      </w:r>
      <w:r w:rsidRPr="00070ADE">
        <w:rPr>
          <w:rFonts w:ascii="Times New Roman" w:hAnsi="Times New Roman"/>
          <w:color w:val="000000" w:themeColor="text1"/>
          <w:sz w:val="16"/>
          <w:szCs w:val="16"/>
        </w:rPr>
        <w:tab/>
        <w:t>2225</w:t>
      </w:r>
      <w:r w:rsidRPr="00070ADE">
        <w:rPr>
          <w:rFonts w:ascii="Times New Roman" w:hAnsi="Times New Roman"/>
          <w:color w:val="000000" w:themeColor="text1"/>
          <w:sz w:val="16"/>
          <w:szCs w:val="16"/>
        </w:rPr>
        <w:tab/>
        <w:t>2595</w:t>
      </w:r>
      <w:r w:rsidRPr="00070ADE">
        <w:rPr>
          <w:rFonts w:ascii="Times New Roman" w:hAnsi="Times New Roman"/>
          <w:color w:val="000000" w:themeColor="text1"/>
          <w:sz w:val="16"/>
          <w:szCs w:val="16"/>
        </w:rPr>
        <w:tab/>
        <w:t>2733</w:t>
      </w:r>
      <w:r w:rsidRPr="00070ADE">
        <w:rPr>
          <w:rFonts w:ascii="Times New Roman" w:hAnsi="Times New Roman"/>
          <w:color w:val="000000" w:themeColor="text1"/>
          <w:sz w:val="16"/>
          <w:szCs w:val="16"/>
        </w:rPr>
        <w:tab/>
        <w:t>105,3</w:t>
      </w:r>
      <w:r w:rsidRPr="00070ADE">
        <w:rPr>
          <w:rFonts w:ascii="Times New Roman" w:hAnsi="Times New Roman"/>
          <w:color w:val="000000" w:themeColor="text1"/>
          <w:sz w:val="16"/>
          <w:szCs w:val="16"/>
        </w:rPr>
        <w:tab/>
        <w:t>122,8</w:t>
      </w:r>
    </w:p>
    <w:p w14:paraId="0A78FEC9"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ab/>
        <w:t>б) боеготовые</w:t>
      </w:r>
      <w:r w:rsidRPr="00070ADE">
        <w:rPr>
          <w:rFonts w:ascii="Times New Roman" w:hAnsi="Times New Roman"/>
          <w:color w:val="000000" w:themeColor="text1"/>
          <w:sz w:val="16"/>
          <w:szCs w:val="16"/>
        </w:rPr>
        <w:tab/>
        <w:t>ед.</w:t>
      </w:r>
      <w:r w:rsidRPr="00070ADE">
        <w:rPr>
          <w:rFonts w:ascii="Times New Roman" w:hAnsi="Times New Roman"/>
          <w:color w:val="000000" w:themeColor="text1"/>
          <w:sz w:val="16"/>
          <w:szCs w:val="16"/>
        </w:rPr>
        <w:tab/>
        <w:t>2135</w:t>
      </w:r>
      <w:r w:rsidRPr="00070ADE">
        <w:rPr>
          <w:rFonts w:ascii="Times New Roman" w:hAnsi="Times New Roman"/>
          <w:color w:val="000000" w:themeColor="text1"/>
          <w:sz w:val="16"/>
          <w:szCs w:val="16"/>
        </w:rPr>
        <w:tab/>
        <w:t>2595</w:t>
      </w:r>
      <w:r w:rsidRPr="00070ADE">
        <w:rPr>
          <w:rFonts w:ascii="Times New Roman" w:hAnsi="Times New Roman"/>
          <w:color w:val="000000" w:themeColor="text1"/>
          <w:sz w:val="16"/>
          <w:szCs w:val="16"/>
        </w:rPr>
        <w:tab/>
        <w:t>2804</w:t>
      </w:r>
      <w:r w:rsidRPr="00070ADE">
        <w:rPr>
          <w:rFonts w:ascii="Times New Roman" w:hAnsi="Times New Roman"/>
          <w:color w:val="000000" w:themeColor="text1"/>
          <w:sz w:val="16"/>
          <w:szCs w:val="16"/>
        </w:rPr>
        <w:tab/>
        <w:t>108,1</w:t>
      </w:r>
      <w:r w:rsidRPr="00070ADE">
        <w:rPr>
          <w:rFonts w:ascii="Times New Roman" w:hAnsi="Times New Roman"/>
          <w:color w:val="000000" w:themeColor="text1"/>
          <w:sz w:val="16"/>
          <w:szCs w:val="16"/>
        </w:rPr>
        <w:tab/>
        <w:t>131,3</w:t>
      </w:r>
    </w:p>
    <w:p w14:paraId="5ED32C6D"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ab/>
        <w:t>в) отправка</w:t>
      </w:r>
      <w:r w:rsidRPr="00070ADE">
        <w:rPr>
          <w:rFonts w:ascii="Times New Roman" w:hAnsi="Times New Roman"/>
          <w:color w:val="000000" w:themeColor="text1"/>
          <w:sz w:val="16"/>
          <w:szCs w:val="16"/>
        </w:rPr>
        <w:tab/>
        <w:t>ед.</w:t>
      </w:r>
      <w:r w:rsidRPr="00070ADE">
        <w:rPr>
          <w:rFonts w:ascii="Times New Roman" w:hAnsi="Times New Roman"/>
          <w:color w:val="000000" w:themeColor="text1"/>
          <w:sz w:val="16"/>
          <w:szCs w:val="16"/>
        </w:rPr>
        <w:tab/>
        <w:t>2197</w:t>
      </w:r>
      <w:r w:rsidRPr="00070ADE">
        <w:rPr>
          <w:rFonts w:ascii="Times New Roman" w:hAnsi="Times New Roman"/>
          <w:color w:val="000000" w:themeColor="text1"/>
          <w:sz w:val="16"/>
          <w:szCs w:val="16"/>
        </w:rPr>
        <w:tab/>
        <w:t>2595</w:t>
      </w:r>
      <w:r w:rsidRPr="00070ADE">
        <w:rPr>
          <w:rFonts w:ascii="Times New Roman" w:hAnsi="Times New Roman"/>
          <w:color w:val="000000" w:themeColor="text1"/>
          <w:sz w:val="16"/>
          <w:szCs w:val="16"/>
        </w:rPr>
        <w:tab/>
        <w:t>2819</w:t>
      </w:r>
      <w:r w:rsidRPr="00070ADE">
        <w:rPr>
          <w:rFonts w:ascii="Times New Roman" w:hAnsi="Times New Roman"/>
          <w:color w:val="000000" w:themeColor="text1"/>
          <w:sz w:val="16"/>
          <w:szCs w:val="16"/>
        </w:rPr>
        <w:tab/>
        <w:t>108, 6</w:t>
      </w:r>
      <w:r w:rsidRPr="00070ADE">
        <w:rPr>
          <w:rFonts w:ascii="Times New Roman" w:hAnsi="Times New Roman"/>
          <w:color w:val="000000" w:themeColor="text1"/>
          <w:sz w:val="16"/>
          <w:szCs w:val="16"/>
        </w:rPr>
        <w:tab/>
        <w:t>128,3</w:t>
      </w:r>
    </w:p>
    <w:p w14:paraId="665C2F68"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r w:rsidRPr="00070ADE">
        <w:rPr>
          <w:rFonts w:ascii="Times New Roman" w:hAnsi="Times New Roman"/>
          <w:color w:val="000000" w:themeColor="text1"/>
          <w:sz w:val="16"/>
          <w:szCs w:val="16"/>
        </w:rPr>
        <w:tab/>
        <w:t>Групповые комплекты</w:t>
      </w:r>
      <w:r w:rsidRPr="00070ADE">
        <w:rPr>
          <w:rFonts w:ascii="Times New Roman" w:hAnsi="Times New Roman"/>
          <w:color w:val="000000" w:themeColor="text1"/>
          <w:sz w:val="16"/>
          <w:szCs w:val="16"/>
        </w:rPr>
        <w:tab/>
        <w:t>ком.</w:t>
      </w:r>
      <w:r w:rsidRPr="00070ADE">
        <w:rPr>
          <w:rFonts w:ascii="Times New Roman" w:hAnsi="Times New Roman"/>
          <w:color w:val="000000" w:themeColor="text1"/>
          <w:sz w:val="16"/>
          <w:szCs w:val="16"/>
        </w:rPr>
        <w:tab/>
        <w:t>231</w:t>
      </w:r>
      <w:r w:rsidRPr="00070ADE">
        <w:rPr>
          <w:rFonts w:ascii="Times New Roman" w:hAnsi="Times New Roman"/>
          <w:color w:val="000000" w:themeColor="text1"/>
          <w:sz w:val="16"/>
          <w:szCs w:val="16"/>
        </w:rPr>
        <w:tab/>
        <w:t>260</w:t>
      </w:r>
      <w:r w:rsidRPr="00070ADE">
        <w:rPr>
          <w:rFonts w:ascii="Times New Roman" w:hAnsi="Times New Roman"/>
          <w:color w:val="000000" w:themeColor="text1"/>
          <w:sz w:val="16"/>
          <w:szCs w:val="16"/>
        </w:rPr>
        <w:tab/>
        <w:t>279</w:t>
      </w:r>
      <w:r w:rsidRPr="00070ADE">
        <w:rPr>
          <w:rFonts w:ascii="Times New Roman" w:hAnsi="Times New Roman"/>
          <w:color w:val="000000" w:themeColor="text1"/>
          <w:sz w:val="16"/>
          <w:szCs w:val="16"/>
        </w:rPr>
        <w:tab/>
        <w:t>106,1</w:t>
      </w:r>
      <w:r w:rsidRPr="00070ADE">
        <w:rPr>
          <w:rFonts w:ascii="Times New Roman" w:hAnsi="Times New Roman"/>
          <w:color w:val="000000" w:themeColor="text1"/>
          <w:sz w:val="16"/>
          <w:szCs w:val="16"/>
        </w:rPr>
        <w:tab/>
        <w:t>120,8</w:t>
      </w:r>
    </w:p>
    <w:p w14:paraId="79939280"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r w:rsidRPr="00070ADE">
        <w:rPr>
          <w:rFonts w:ascii="Times New Roman" w:hAnsi="Times New Roman"/>
          <w:color w:val="000000" w:themeColor="text1"/>
          <w:sz w:val="16"/>
          <w:szCs w:val="16"/>
        </w:rPr>
        <w:tab/>
        <w:t>Авиалыжи</w:t>
      </w:r>
      <w:r w:rsidRPr="00070ADE">
        <w:rPr>
          <w:rFonts w:ascii="Times New Roman" w:hAnsi="Times New Roman"/>
          <w:color w:val="000000" w:themeColor="text1"/>
          <w:sz w:val="16"/>
          <w:szCs w:val="16"/>
        </w:rPr>
        <w:tab/>
        <w:t>ком.</w:t>
      </w:r>
      <w:r w:rsidRPr="00070ADE">
        <w:rPr>
          <w:rFonts w:ascii="Times New Roman" w:hAnsi="Times New Roman"/>
          <w:color w:val="000000" w:themeColor="text1"/>
          <w:sz w:val="16"/>
          <w:szCs w:val="16"/>
        </w:rPr>
        <w:tab/>
        <w:t>2736</w:t>
      </w:r>
      <w:r w:rsidRPr="00070ADE">
        <w:rPr>
          <w:rFonts w:ascii="Times New Roman" w:hAnsi="Times New Roman"/>
          <w:color w:val="000000" w:themeColor="text1"/>
          <w:sz w:val="16"/>
          <w:szCs w:val="16"/>
        </w:rPr>
        <w:tab/>
        <w:t>3495</w:t>
      </w:r>
      <w:r w:rsidRPr="00070ADE">
        <w:rPr>
          <w:rFonts w:ascii="Times New Roman" w:hAnsi="Times New Roman"/>
          <w:color w:val="000000" w:themeColor="text1"/>
          <w:sz w:val="16"/>
          <w:szCs w:val="16"/>
        </w:rPr>
        <w:tab/>
        <w:t>3271</w:t>
      </w:r>
      <w:r w:rsidRPr="00070ADE">
        <w:rPr>
          <w:rFonts w:ascii="Times New Roman" w:hAnsi="Times New Roman"/>
          <w:color w:val="000000" w:themeColor="text1"/>
          <w:sz w:val="16"/>
          <w:szCs w:val="16"/>
        </w:rPr>
        <w:tab/>
        <w:t>93,6</w:t>
      </w:r>
      <w:r w:rsidRPr="00070ADE">
        <w:rPr>
          <w:rFonts w:ascii="Times New Roman" w:hAnsi="Times New Roman"/>
          <w:color w:val="000000" w:themeColor="text1"/>
          <w:sz w:val="16"/>
          <w:szCs w:val="16"/>
        </w:rPr>
        <w:tab/>
        <w:t>119,6</w:t>
      </w:r>
    </w:p>
    <w:p w14:paraId="2D684405"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r w:rsidRPr="00070ADE">
        <w:rPr>
          <w:rFonts w:ascii="Times New Roman" w:hAnsi="Times New Roman"/>
          <w:color w:val="000000" w:themeColor="text1"/>
          <w:sz w:val="16"/>
          <w:szCs w:val="16"/>
        </w:rPr>
        <w:tab/>
        <w:t>Санитарные кассеты</w:t>
      </w:r>
      <w:r w:rsidRPr="00070ADE">
        <w:rPr>
          <w:rFonts w:ascii="Times New Roman" w:hAnsi="Times New Roman"/>
          <w:color w:val="000000" w:themeColor="text1"/>
          <w:sz w:val="16"/>
          <w:szCs w:val="16"/>
        </w:rPr>
        <w:tab/>
        <w:t>ком.</w:t>
      </w:r>
      <w:r w:rsidRPr="00070ADE">
        <w:rPr>
          <w:rFonts w:ascii="Times New Roman" w:hAnsi="Times New Roman"/>
          <w:color w:val="000000" w:themeColor="text1"/>
          <w:sz w:val="16"/>
          <w:szCs w:val="16"/>
        </w:rPr>
        <w:tab/>
        <w:t>348</w:t>
      </w:r>
      <w:r w:rsidRPr="00070ADE">
        <w:rPr>
          <w:rFonts w:ascii="Times New Roman" w:hAnsi="Times New Roman"/>
          <w:color w:val="000000" w:themeColor="text1"/>
          <w:sz w:val="16"/>
          <w:szCs w:val="16"/>
        </w:rPr>
        <w:tab/>
        <w:t>300</w:t>
      </w:r>
      <w:r w:rsidRPr="00070ADE">
        <w:rPr>
          <w:rFonts w:ascii="Times New Roman" w:hAnsi="Times New Roman"/>
          <w:color w:val="000000" w:themeColor="text1"/>
          <w:sz w:val="16"/>
          <w:szCs w:val="16"/>
        </w:rPr>
        <w:tab/>
        <w:t>437</w:t>
      </w:r>
      <w:r w:rsidRPr="00070ADE">
        <w:rPr>
          <w:rFonts w:ascii="Times New Roman" w:hAnsi="Times New Roman"/>
          <w:color w:val="000000" w:themeColor="text1"/>
          <w:sz w:val="16"/>
          <w:szCs w:val="16"/>
        </w:rPr>
        <w:tab/>
        <w:t>145,7</w:t>
      </w:r>
      <w:r w:rsidRPr="00070ADE">
        <w:rPr>
          <w:rFonts w:ascii="Times New Roman" w:hAnsi="Times New Roman"/>
          <w:color w:val="000000" w:themeColor="text1"/>
          <w:sz w:val="16"/>
          <w:szCs w:val="16"/>
        </w:rPr>
        <w:tab/>
        <w:t>125,6</w:t>
      </w:r>
    </w:p>
    <w:p w14:paraId="14062FB0"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r w:rsidRPr="00070ADE">
        <w:rPr>
          <w:rFonts w:ascii="Times New Roman" w:hAnsi="Times New Roman"/>
          <w:color w:val="000000" w:themeColor="text1"/>
          <w:sz w:val="16"/>
          <w:szCs w:val="16"/>
        </w:rPr>
        <w:tab/>
        <w:t>Кассеты вооружения</w:t>
      </w:r>
      <w:r w:rsidRPr="00070ADE">
        <w:rPr>
          <w:rFonts w:ascii="Times New Roman" w:hAnsi="Times New Roman"/>
          <w:color w:val="000000" w:themeColor="text1"/>
          <w:sz w:val="16"/>
          <w:szCs w:val="16"/>
        </w:rPr>
        <w:tab/>
        <w:t>шт.</w:t>
      </w:r>
      <w:r w:rsidRPr="00070ADE">
        <w:rPr>
          <w:rFonts w:ascii="Times New Roman" w:hAnsi="Times New Roman"/>
          <w:color w:val="000000" w:themeColor="text1"/>
          <w:sz w:val="16"/>
          <w:szCs w:val="16"/>
        </w:rPr>
        <w:tab/>
        <w:t>52</w:t>
      </w:r>
      <w:r w:rsidRPr="00070ADE">
        <w:rPr>
          <w:rFonts w:ascii="Times New Roman" w:hAnsi="Times New Roman"/>
          <w:color w:val="000000" w:themeColor="text1"/>
          <w:sz w:val="16"/>
          <w:szCs w:val="16"/>
        </w:rPr>
        <w:tab/>
        <w:t>945</w:t>
      </w:r>
      <w:r w:rsidRPr="00070ADE">
        <w:rPr>
          <w:rFonts w:ascii="Times New Roman" w:hAnsi="Times New Roman"/>
          <w:color w:val="000000" w:themeColor="text1"/>
          <w:sz w:val="16"/>
          <w:szCs w:val="16"/>
        </w:rPr>
        <w:tab/>
        <w:t>1075</w:t>
      </w:r>
      <w:r w:rsidRPr="00070ADE">
        <w:rPr>
          <w:rFonts w:ascii="Times New Roman" w:hAnsi="Times New Roman"/>
          <w:color w:val="000000" w:themeColor="text1"/>
          <w:sz w:val="16"/>
          <w:szCs w:val="16"/>
        </w:rPr>
        <w:tab/>
        <w:t>113,8</w:t>
      </w:r>
      <w:r w:rsidRPr="00070ADE">
        <w:rPr>
          <w:rFonts w:ascii="Times New Roman" w:hAnsi="Times New Roman"/>
          <w:color w:val="000000" w:themeColor="text1"/>
          <w:sz w:val="16"/>
          <w:szCs w:val="16"/>
        </w:rPr>
        <w:tab/>
        <w:t>более чем</w:t>
      </w:r>
    </w:p>
    <w:p w14:paraId="4C602B6F" w14:textId="2A031748"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r w:rsidRPr="00070ADE">
        <w:rPr>
          <w:rFonts w:ascii="Times New Roman" w:hAnsi="Times New Roman"/>
          <w:color w:val="000000" w:themeColor="text1"/>
          <w:sz w:val="16"/>
          <w:szCs w:val="16"/>
        </w:rPr>
        <w:tab/>
        <w:t>АБКП-100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Бомбодержатели</w:t>
      </w:r>
      <w:r w:rsidRPr="00070ADE">
        <w:rPr>
          <w:rFonts w:ascii="Times New Roman" w:hAnsi="Times New Roman"/>
          <w:color w:val="000000" w:themeColor="text1"/>
          <w:sz w:val="16"/>
          <w:szCs w:val="16"/>
        </w:rPr>
        <w:tab/>
        <w:t>ком.</w:t>
      </w:r>
      <w:r w:rsidRPr="00070ADE">
        <w:rPr>
          <w:rFonts w:ascii="Times New Roman" w:hAnsi="Times New Roman"/>
          <w:color w:val="000000" w:themeColor="text1"/>
          <w:sz w:val="16"/>
          <w:szCs w:val="16"/>
        </w:rPr>
        <w:tab/>
        <w:t>225</w:t>
      </w:r>
      <w:r w:rsidRPr="00070ADE">
        <w:rPr>
          <w:rFonts w:ascii="Times New Roman" w:hAnsi="Times New Roman"/>
          <w:color w:val="000000" w:themeColor="text1"/>
          <w:sz w:val="16"/>
          <w:szCs w:val="16"/>
        </w:rPr>
        <w:tab/>
        <w:t>350</w:t>
      </w:r>
      <w:r w:rsidRPr="00070ADE">
        <w:rPr>
          <w:rFonts w:ascii="Times New Roman" w:hAnsi="Times New Roman"/>
          <w:color w:val="000000" w:themeColor="text1"/>
          <w:sz w:val="16"/>
          <w:szCs w:val="16"/>
        </w:rPr>
        <w:tab/>
        <w:t>350</w:t>
      </w:r>
      <w:r w:rsidRPr="00070ADE">
        <w:rPr>
          <w:rFonts w:ascii="Times New Roman" w:hAnsi="Times New Roman"/>
          <w:color w:val="000000" w:themeColor="text1"/>
          <w:sz w:val="16"/>
          <w:szCs w:val="16"/>
        </w:rPr>
        <w:tab/>
        <w:t>100,0</w:t>
      </w:r>
      <w:r w:rsidRPr="00070ADE">
        <w:rPr>
          <w:rFonts w:ascii="Times New Roman" w:hAnsi="Times New Roman"/>
          <w:color w:val="000000" w:themeColor="text1"/>
          <w:sz w:val="16"/>
          <w:szCs w:val="16"/>
        </w:rPr>
        <w:tab/>
        <w:t>в 20 раз в 14 раз</w:t>
      </w:r>
    </w:p>
    <w:p w14:paraId="206F1984"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r w:rsidRPr="00070ADE">
        <w:rPr>
          <w:rFonts w:ascii="Times New Roman" w:hAnsi="Times New Roman"/>
          <w:color w:val="000000" w:themeColor="text1"/>
          <w:sz w:val="16"/>
          <w:szCs w:val="16"/>
        </w:rPr>
        <w:tab/>
        <w:t>Шкворневые установки</w:t>
      </w:r>
      <w:r w:rsidRPr="00070ADE">
        <w:rPr>
          <w:rFonts w:ascii="Times New Roman" w:hAnsi="Times New Roman"/>
          <w:color w:val="000000" w:themeColor="text1"/>
          <w:sz w:val="16"/>
          <w:szCs w:val="16"/>
        </w:rPr>
        <w:tab/>
        <w:t>шт.</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260</w:t>
      </w:r>
      <w:r w:rsidRPr="00070ADE">
        <w:rPr>
          <w:rFonts w:ascii="Times New Roman" w:hAnsi="Times New Roman"/>
          <w:color w:val="000000" w:themeColor="text1"/>
          <w:sz w:val="16"/>
          <w:szCs w:val="16"/>
        </w:rPr>
        <w:tab/>
        <w:t>305</w:t>
      </w:r>
      <w:r w:rsidRPr="00070ADE">
        <w:rPr>
          <w:rFonts w:ascii="Times New Roman" w:hAnsi="Times New Roman"/>
          <w:color w:val="000000" w:themeColor="text1"/>
          <w:sz w:val="16"/>
          <w:szCs w:val="16"/>
        </w:rPr>
        <w:tab/>
        <w:t>117,3</w:t>
      </w:r>
      <w:r w:rsidRPr="00070ADE">
        <w:rPr>
          <w:rFonts w:ascii="Times New Roman" w:hAnsi="Times New Roman"/>
          <w:color w:val="000000" w:themeColor="text1"/>
          <w:sz w:val="16"/>
          <w:szCs w:val="16"/>
        </w:rPr>
        <w:tab/>
        <w:t>—</w:t>
      </w:r>
    </w:p>
    <w:p w14:paraId="6132AEC6"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r w:rsidRPr="00070ADE">
        <w:rPr>
          <w:rFonts w:ascii="Times New Roman" w:hAnsi="Times New Roman"/>
          <w:color w:val="000000" w:themeColor="text1"/>
          <w:sz w:val="16"/>
          <w:szCs w:val="16"/>
        </w:rPr>
        <w:tab/>
        <w:t>Бомбовые прицелы</w:t>
      </w:r>
      <w:r w:rsidRPr="00070ADE">
        <w:rPr>
          <w:rFonts w:ascii="Times New Roman" w:hAnsi="Times New Roman"/>
          <w:color w:val="000000" w:themeColor="text1"/>
          <w:sz w:val="16"/>
          <w:szCs w:val="16"/>
        </w:rPr>
        <w:tab/>
        <w:t>шт.</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1000</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w:t>
      </w:r>
    </w:p>
    <w:p w14:paraId="7067C941"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видно из приведенных данных, программа 1943 г. выполнена по всему ассортименту за исключением авиалыж.</w:t>
      </w:r>
    </w:p>
    <w:p w14:paraId="58A0AEF5"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Задержка сдачи авиалыж была вызвана перебоями в снабжении трубами для кабанов, шурупами и гвоздями на протяжении всего года.</w:t>
      </w:r>
    </w:p>
    <w:p w14:paraId="2764E005"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1943 г. выпущено боеготовых самолетов на 31,3 % больше, чем в 1942 г.</w:t>
      </w:r>
    </w:p>
    <w:p w14:paraId="63F2F2AF"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Значительно возрос, в сравнении с предыдущим годом, выпуск отдельных видов вооружений, кроме монтируемого на самолеты.</w:t>
      </w:r>
    </w:p>
    <w:p w14:paraId="7A551FBA"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Увеличение составило по кассетам вооружения более чем в 20 раз, по бомбодержателям в — 14 раз.</w:t>
      </w:r>
    </w:p>
    <w:p w14:paraId="2EAF21F3"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в 1943 г. было выпущено, кроме монтируемых на самолеты, шкворневых установок 260 штук, бомбовых прицелов 1000 штук, выпуск которых в 1942 г. не производился. [...]</w:t>
      </w:r>
    </w:p>
    <w:p w14:paraId="0FB63907"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завода № 387</w:t>
      </w:r>
      <w:r w:rsidRPr="00070ADE">
        <w:rPr>
          <w:rFonts w:ascii="Times New Roman" w:hAnsi="Times New Roman"/>
          <w:color w:val="000000" w:themeColor="text1"/>
          <w:sz w:val="16"/>
          <w:szCs w:val="16"/>
        </w:rPr>
        <w:tab/>
        <w:t>Федин</w:t>
      </w:r>
    </w:p>
    <w:p w14:paraId="5CB67B89"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РТ Ф. P-7483. On. 7. Д. 50. Л. 1-2 об. Отпуск (23710).</w:t>
      </w:r>
    </w:p>
    <w:p w14:paraId="5FAE273C" w14:textId="77777777" w:rsidR="00021CBD" w:rsidRPr="00070ADE" w:rsidRDefault="00021CBD" w:rsidP="00B56F90">
      <w:pPr>
        <w:spacing w:after="0" w:line="240" w:lineRule="auto"/>
        <w:jc w:val="both"/>
        <w:rPr>
          <w:rFonts w:ascii="Times New Roman" w:hAnsi="Times New Roman"/>
          <w:color w:val="000000" w:themeColor="text1"/>
          <w:sz w:val="16"/>
          <w:szCs w:val="16"/>
        </w:rPr>
      </w:pPr>
    </w:p>
    <w:p w14:paraId="79EF921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января 1944 года в докладе старшего помощника начальника 2-го отдела ГУ НАС ВВС КА инженер-полковника Кокушкина от «Основные дефекты моторов М-82Ф и М-82ФН, выявленные за период боевой эксп-лоатации с 1-го января по 1-ое ок</w:t>
      </w:r>
      <w:r w:rsidRPr="00070ADE">
        <w:rPr>
          <w:rFonts w:ascii="Times New Roman" w:hAnsi="Times New Roman"/>
          <w:color w:val="000000" w:themeColor="text1"/>
          <w:sz w:val="16"/>
          <w:szCs w:val="16"/>
        </w:rPr>
        <w:softHyphen/>
        <w:t>тября 1943 года» указывалось:</w:t>
      </w:r>
    </w:p>
    <w:p w14:paraId="76C42B6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Ступенчатая выработка цилин</w:t>
      </w:r>
      <w:r w:rsidRPr="00070ADE">
        <w:rPr>
          <w:rFonts w:ascii="Times New Roman" w:hAnsi="Times New Roman"/>
          <w:color w:val="000000" w:themeColor="text1"/>
          <w:sz w:val="16"/>
          <w:szCs w:val="16"/>
        </w:rPr>
        <w:softHyphen/>
        <w:t>дров и повышенный износ поршне</w:t>
      </w:r>
      <w:r w:rsidRPr="00070ADE">
        <w:rPr>
          <w:rFonts w:ascii="Times New Roman" w:hAnsi="Times New Roman"/>
          <w:color w:val="000000" w:themeColor="text1"/>
          <w:sz w:val="16"/>
          <w:szCs w:val="16"/>
        </w:rPr>
        <w:softHyphen/>
        <w:t>вых колец: по данным УТЭ ВВС - де</w:t>
      </w:r>
      <w:r w:rsidRPr="00070ADE">
        <w:rPr>
          <w:rFonts w:ascii="Times New Roman" w:hAnsi="Times New Roman"/>
          <w:color w:val="000000" w:themeColor="text1"/>
          <w:sz w:val="16"/>
          <w:szCs w:val="16"/>
        </w:rPr>
        <w:softHyphen/>
        <w:t>фект массовый, по данным ЭРО заво</w:t>
      </w:r>
      <w:r w:rsidRPr="00070ADE">
        <w:rPr>
          <w:rFonts w:ascii="Times New Roman" w:hAnsi="Times New Roman"/>
          <w:color w:val="000000" w:themeColor="text1"/>
          <w:sz w:val="16"/>
          <w:szCs w:val="16"/>
        </w:rPr>
        <w:softHyphen/>
        <w:t>да №19 - 237 случаев (только по вы</w:t>
      </w:r>
      <w:r w:rsidRPr="00070ADE">
        <w:rPr>
          <w:rFonts w:ascii="Times New Roman" w:hAnsi="Times New Roman"/>
          <w:color w:val="000000" w:themeColor="text1"/>
          <w:sz w:val="16"/>
          <w:szCs w:val="16"/>
        </w:rPr>
        <w:softHyphen/>
        <w:t>работке зеркала цилиндров). Дефект в основном производственный и кон</w:t>
      </w:r>
      <w:r w:rsidRPr="00070ADE">
        <w:rPr>
          <w:rFonts w:ascii="Times New Roman" w:hAnsi="Times New Roman"/>
          <w:color w:val="000000" w:themeColor="text1"/>
          <w:sz w:val="16"/>
          <w:szCs w:val="16"/>
        </w:rPr>
        <w:softHyphen/>
        <w:t>структивный. При сдаточных испыта</w:t>
      </w:r>
      <w:r w:rsidRPr="00070ADE">
        <w:rPr>
          <w:rFonts w:ascii="Times New Roman" w:hAnsi="Times New Roman"/>
          <w:color w:val="000000" w:themeColor="text1"/>
          <w:sz w:val="16"/>
          <w:szCs w:val="16"/>
        </w:rPr>
        <w:softHyphen/>
        <w:t>ниях имелись массовые съемки мо</w:t>
      </w:r>
      <w:r w:rsidRPr="00070ADE">
        <w:rPr>
          <w:rFonts w:ascii="Times New Roman" w:hAnsi="Times New Roman"/>
          <w:color w:val="000000" w:themeColor="text1"/>
          <w:sz w:val="16"/>
          <w:szCs w:val="16"/>
        </w:rPr>
        <w:softHyphen/>
        <w:t>торов по этому дефекту (в ноябре 1943 года снято 34,7% моторов, про</w:t>
      </w:r>
      <w:r w:rsidRPr="00070ADE">
        <w:rPr>
          <w:rFonts w:ascii="Times New Roman" w:hAnsi="Times New Roman"/>
          <w:color w:val="000000" w:themeColor="text1"/>
          <w:sz w:val="16"/>
          <w:szCs w:val="16"/>
        </w:rPr>
        <w:softHyphen/>
        <w:t>ходящих сдаточные испытания). Эксп-лоатация моторов на пыльных аэро</w:t>
      </w:r>
      <w:r w:rsidRPr="00070ADE">
        <w:rPr>
          <w:rFonts w:ascii="Times New Roman" w:hAnsi="Times New Roman"/>
          <w:color w:val="000000" w:themeColor="text1"/>
          <w:sz w:val="16"/>
          <w:szCs w:val="16"/>
        </w:rPr>
        <w:softHyphen/>
        <w:t>дромах ускоряет появление этого де</w:t>
      </w:r>
      <w:r w:rsidRPr="00070ADE">
        <w:rPr>
          <w:rFonts w:ascii="Times New Roman" w:hAnsi="Times New Roman"/>
          <w:color w:val="000000" w:themeColor="text1"/>
          <w:sz w:val="16"/>
          <w:szCs w:val="16"/>
        </w:rPr>
        <w:softHyphen/>
        <w:t>фекта». Но это был лишь «первый звонок». Этот дефект пока еще «маскировал</w:t>
      </w:r>
      <w:r w:rsidRPr="00070ADE">
        <w:rPr>
          <w:rFonts w:ascii="Times New Roman" w:hAnsi="Times New Roman"/>
          <w:color w:val="000000" w:themeColor="text1"/>
          <w:sz w:val="16"/>
          <w:szCs w:val="16"/>
        </w:rPr>
        <w:softHyphen/>
        <w:t>ся» дымлением, вызванным усадкой анероидов РС-2, а также тем, что ста</w:t>
      </w:r>
      <w:r w:rsidRPr="00070ADE">
        <w:rPr>
          <w:rFonts w:ascii="Times New Roman" w:hAnsi="Times New Roman"/>
          <w:color w:val="000000" w:themeColor="text1"/>
          <w:sz w:val="16"/>
          <w:szCs w:val="16"/>
        </w:rPr>
        <w:softHyphen/>
        <w:t>тистика в 1943-м - начале 1944 года обычно не разделяла дефекты М-82Ф и М-82ФН, так как первые продолжа</w:t>
      </w:r>
      <w:r w:rsidRPr="00070ADE">
        <w:rPr>
          <w:rFonts w:ascii="Times New Roman" w:hAnsi="Times New Roman"/>
          <w:color w:val="000000" w:themeColor="text1"/>
          <w:sz w:val="16"/>
          <w:szCs w:val="16"/>
        </w:rPr>
        <w:softHyphen/>
        <w:t>ли выпускаться в больших количествах, и, как правило, в истребительных пол</w:t>
      </w:r>
      <w:r w:rsidRPr="00070ADE">
        <w:rPr>
          <w:rFonts w:ascii="Times New Roman" w:hAnsi="Times New Roman"/>
          <w:color w:val="000000" w:themeColor="text1"/>
          <w:sz w:val="16"/>
          <w:szCs w:val="16"/>
        </w:rPr>
        <w:softHyphen/>
        <w:t>ках эксплуатировались совместно и Ла-5Ф, и Ла-5ФН (10714).</w:t>
      </w:r>
    </w:p>
    <w:p w14:paraId="5EC237A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DEF4A3"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января 1944 г. в докладе старшего помощника начальника 2-го отдела ГУ ИАС ВВС КА инженер-пол</w:t>
      </w:r>
      <w:r w:rsidRPr="00070ADE">
        <w:rPr>
          <w:rFonts w:ascii="Times New Roman" w:hAnsi="Times New Roman"/>
          <w:color w:val="000000" w:themeColor="text1"/>
          <w:sz w:val="16"/>
          <w:szCs w:val="16"/>
        </w:rPr>
        <w:softHyphen/>
        <w:t>ковника Кокушкина «Основные дефекты моторов М-82Ф и М-82ФН, выявленные за период боевой эксплуатации с 1 -го января по 1 -ое октября 1943 года» указывалось:</w:t>
      </w:r>
    </w:p>
    <w:p w14:paraId="135BF6AC"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«...Ступенчатая выработка цилиндров и повышенный износ поршневых колец: по дан</w:t>
      </w:r>
      <w:r w:rsidRPr="00070ADE">
        <w:rPr>
          <w:rFonts w:ascii="Times New Roman" w:hAnsi="Times New Roman"/>
          <w:color w:val="000000" w:themeColor="text1"/>
          <w:sz w:val="16"/>
          <w:szCs w:val="16"/>
        </w:rPr>
        <w:softHyphen/>
        <w:t>ным УТЭ ВВС — дефект массовый, по данным ЭРО завода № 19 — 237 случаев (только по выработке зеркала цилиндров). Дефект в основном производственный и конструктив</w:t>
      </w:r>
      <w:r w:rsidRPr="00070ADE">
        <w:rPr>
          <w:rFonts w:ascii="Times New Roman" w:hAnsi="Times New Roman"/>
          <w:color w:val="000000" w:themeColor="text1"/>
          <w:sz w:val="16"/>
          <w:szCs w:val="16"/>
        </w:rPr>
        <w:softHyphen/>
        <w:t>ный. При сдаточных испытаниях имелись массовые съёмки моторов по этому дефекту (в ноябре 1943 г. снято 34,7% моторов, проходящих сдаточные испытания). Эксплуата</w:t>
      </w:r>
      <w:r w:rsidRPr="00070ADE">
        <w:rPr>
          <w:rFonts w:ascii="Times New Roman" w:hAnsi="Times New Roman"/>
          <w:color w:val="000000" w:themeColor="text1"/>
          <w:sz w:val="16"/>
          <w:szCs w:val="16"/>
        </w:rPr>
        <w:softHyphen/>
        <w:t>ция моторов на пыльных аэродромах ускоряет появление этого дефекта».</w:t>
      </w:r>
    </w:p>
    <w:p w14:paraId="4A12D5B6" w14:textId="77777777" w:rsidR="00EC515D" w:rsidRPr="00070ADE" w:rsidRDefault="00EC515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это был лишь «первый звонок». Этот дефект пока ещё «маскировался» дымлением, вызванным усадкой анероидов РС-2, а также тем, что статистика в 1943 г. — начале 1944 г. обычно не разделяла дефекты М-82Ф и М-82ФН, так как первые продолжали вы</w:t>
      </w:r>
      <w:r w:rsidRPr="00070ADE">
        <w:rPr>
          <w:rFonts w:ascii="Times New Roman" w:hAnsi="Times New Roman"/>
          <w:color w:val="000000" w:themeColor="text1"/>
          <w:sz w:val="16"/>
          <w:szCs w:val="16"/>
        </w:rPr>
        <w:softHyphen/>
        <w:t>пускаться в больших количествах, и, как правило, в истребительных полках эксплуатиро</w:t>
      </w:r>
      <w:r w:rsidRPr="00070ADE">
        <w:rPr>
          <w:rFonts w:ascii="Times New Roman" w:hAnsi="Times New Roman"/>
          <w:color w:val="000000" w:themeColor="text1"/>
          <w:sz w:val="16"/>
          <w:szCs w:val="16"/>
        </w:rPr>
        <w:softHyphen/>
        <w:t>вались совместно и Ла-5Ф, и Ла-5ФН (15829).</w:t>
      </w:r>
    </w:p>
    <w:p w14:paraId="4F9D8DEB" w14:textId="77777777" w:rsidR="00EC515D" w:rsidRPr="00070ADE" w:rsidRDefault="00EC515D" w:rsidP="00B56F90">
      <w:pPr>
        <w:spacing w:after="0" w:line="240" w:lineRule="auto"/>
        <w:jc w:val="both"/>
        <w:rPr>
          <w:rFonts w:ascii="Times New Roman" w:hAnsi="Times New Roman"/>
          <w:color w:val="000000" w:themeColor="text1"/>
          <w:sz w:val="16"/>
          <w:szCs w:val="16"/>
        </w:rPr>
      </w:pPr>
    </w:p>
    <w:p w14:paraId="6A5A52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января 1944 были подготовлены “Рекомендации по ведению боя истребителей ВВС КА с немецкими истребителями, составленные на основе материалов испытаний, проводимых в НИИ ВВС КА</w:t>
      </w:r>
    </w:p>
    <w:p w14:paraId="26143D5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Воздушный бой Ла-5Ф с Ме-109G-2 (с подкрыльными пушками)</w:t>
      </w:r>
    </w:p>
    <w:p w14:paraId="71815B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Ла-5 имеет значительные преимущества в горизонтальном маневре. До высоты 6000 м Ла-5 за счет меньшего радиуса виража и времени виража заходит в хвост Ма-109 через 3-4 виража.</w:t>
      </w:r>
    </w:p>
    <w:p w14:paraId="0A9EB48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бою на вертикальном маневре до высоты 3500 м с-ты Ла-5Ф и Ме-109 практически имеют одинаковые качества.</w:t>
      </w:r>
    </w:p>
    <w:p w14:paraId="05817A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переходом на всоты более 2300 м преимущества в вертикальном маневре переходят к Ме-109 и это преимущество постепенно увеличивается с переходом на еще большие высоты.</w:t>
      </w:r>
    </w:p>
    <w:p w14:paraId="534A8A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ведении воздушного боя необходимо стремиться сковать его вертикальный маневр и заставить вести бой в горизонтальной плоскости.</w:t>
      </w:r>
    </w:p>
    <w:p w14:paraId="6DBF38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Вираж самолет Ме-109 выполняет с большим радиусом и временем и имеет тяжелое управление и при перетягивании ручки сваливается в штопор.</w:t>
      </w:r>
    </w:p>
    <w:p w14:paraId="5BDBE1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пикировании Ме-109 несколько уходит от Ла-5. В этом случае пикируя за Ме-109 не следует стремиться догнать его, а опередив Ме-109 с выводом из пикирования, или даже выйдя одновременно с ним, остановить его на горке.</w:t>
      </w:r>
    </w:p>
    <w:p w14:paraId="1D67F28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выводе из пикирования с-т Ме-109 требует от л больших усилий и поэтому вывод получается медленным, с большой траекторией (больший радиус кривой на выходе), чеем у Ла-5, что способствует указанному маневре и атаке.</w:t>
      </w:r>
    </w:p>
    <w:p w14:paraId="37D0E4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всех случаях боя надо использовать плохой обзор из кабины Ме-109 в задней полусфере. Следует иметь в виду, что заходящий в хвост с-т л Ме-109 не видит.</w:t>
      </w:r>
    </w:p>
    <w:p w14:paraId="63D689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Ведя воздушный бой на с-та Ла-5 неообходимо использовать все его летные качества, для чего:</w:t>
      </w:r>
    </w:p>
    <w:p w14:paraId="386B7D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фонарь кабины д.б. закрыт</w:t>
      </w:r>
    </w:p>
    <w:p w14:paraId="0EB763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створки капота д.б. максимально прикрыты, но температура головок не д.б. выше 24—250 г. Обороты мотора при этом д.б. 2400</w:t>
      </w:r>
    </w:p>
    <w:p w14:paraId="2C612E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 бою обязательно пользоваться форсажем мотора</w:t>
      </w:r>
    </w:p>
    <w:p w14:paraId="273F6AA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Воздушный бой Ла-5ФН с Ме-109G-2 (без подкрыльных пушек)</w:t>
      </w:r>
    </w:p>
    <w:p w14:paraId="46EBA56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горизонтальном маневре: на высотах от 0 до 500 м с-т Ла-5ФН имеет преимущества и через 4-6 виражей заходит Ме-109 в хвост на дистанцию пушечного огня. На высотах от 5000 м до 8000 м горизонтальная маневренность одинакова</w:t>
      </w:r>
    </w:p>
    <w:p w14:paraId="5935D3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вертикальном маневре: на высоте от 0 до 3000 м с-т Ла-5ФН имеет незначительное преимуществою На высоте 5000-8000 м вертикальная маневренность машин практически одинакова</w:t>
      </w:r>
    </w:p>
    <w:p w14:paraId="00FC3F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имея к началу боя высоту больше, чем у Ме-109, с-т Ла-5ФН имеет возможность вести наступательный бой, сохраняя все время инициативу. В этом случае Ме-109 может только обороняться.</w:t>
      </w:r>
    </w:p>
    <w:p w14:paraId="68157D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Воздушный бой Ла-5ФН с ФВ-190А-4</w:t>
      </w:r>
    </w:p>
    <w:p w14:paraId="1B714D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Маневренные и летно-боевые свойства немецкого истребителя ФВ-190А-4 стоят значительно ниже Ла-5ФН. На горизонтальном маневре с-т Ла-5ФН заходит в хвост ФВ-190 на дистанцию огня за 3-4 виража.</w:t>
      </w:r>
    </w:p>
    <w:p w14:paraId="64B10E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вертикальном маневре превосходство также остается за Ла-5ФН. Преимущества в бою и инициатива остаются за Ла-5ФН.</w:t>
      </w:r>
    </w:p>
    <w:p w14:paraId="777D5D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Хорошим качеством ФВ-190 является обхор из кабины пилота и автоматизация управления ВМГ, что и надо учитывать в бою с ним.</w:t>
      </w:r>
    </w:p>
    <w:p w14:paraId="1F68DDA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Воздушный бой с-та Як-9Д с с Ме-109G-2 (без подкрыльных пушек)</w:t>
      </w:r>
    </w:p>
    <w:p w14:paraId="150CF0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горизнтальном аневре: На всотах от 0 до 3500 м с-т Як-9Д имеет значительные преимущества над Ме-109 и к концу второго виража заходит ему в хвост на дистанцию огня. При выполнении левых виражей Як-9Д заходит в хвост Ме-109 за 2-3 виража.</w:t>
      </w:r>
    </w:p>
    <w:p w14:paraId="2C7F59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высотах 3500 - 5000 м преимущества Як-9Д в горизонтальном маневре постепенно уменьшаются и на высоте 5500 м маневренность одинакова.</w:t>
      </w:r>
    </w:p>
    <w:p w14:paraId="2CA863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высотах 5500-7000 м преимущество в горизонтальном маневре переходит к Ме-109 и с увеличением высоты это преимущество возрастает</w:t>
      </w:r>
    </w:p>
    <w:p w14:paraId="52EEF6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 7500 м Ме-109 заходит Як-9Д в хвост за 2-3 виража.</w:t>
      </w:r>
    </w:p>
    <w:p w14:paraId="347351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вертикальном маневре: на высоте от 0 до 2000 и с-т Як-9Д имеет незначительное преимущество за счет комбинации вертикального маневра с горизонтальным и удержания преимущества в высоте.</w:t>
      </w:r>
    </w:p>
    <w:p w14:paraId="47050D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2000 до 3500 м маневренность практически одинакова. На высотах 3500-5000 м преимущество переходит к Ме-109 и на высоте 5000 м позволяет удерживать постоянное превосходство в высоте.</w:t>
      </w:r>
    </w:p>
    <w:p w14:paraId="27E350C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высотах 5000 - 7000 м преимущество Ме-19 становится значительным.</w:t>
      </w:r>
    </w:p>
    <w:p w14:paraId="569F7A8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пикировании и горке Ме-109 несколько уходит от Як-9Д.</w:t>
      </w:r>
    </w:p>
    <w:p w14:paraId="3F2C4D6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Як-9Д до высоты 5000 м может успешно вести наступательный бой с Ме-109, применяя комбинированный маневр как в горизонтальной, так и в вертикальной плоскостях.</w:t>
      </w:r>
    </w:p>
    <w:p w14:paraId="21A269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Воздушный бой Як-9Т с с-тами бомбардировщиками и истребителями Ме-109 G-2 (без подкрыльных пушек) и ФВ-190А-4</w:t>
      </w:r>
    </w:p>
    <w:p w14:paraId="6EBF8B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Наивыгоднейшей атакой бомбардировщиков противника с-том Як-9Т является атака сзади при ракурсе 0/4-1/4.</w:t>
      </w:r>
    </w:p>
    <w:p w14:paraId="455749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открытия огня -400-1000 м</w:t>
      </w:r>
    </w:p>
    <w:p w14:paraId="409B31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дальность при стрельбе из 37мм пушки не должна превышать 600 м. В отдельных случаях при встрече с большими группами бомбардировщиков можно открывать огонь из 37мм пушек с большей дистанции 1000-1200 м для нарушения строя и нанесения морального возхдействия на противника.</w:t>
      </w:r>
    </w:p>
    <w:p w14:paraId="1CD0500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атаке бомбардировщиков и разведчиков противника сзади целесообразно с дистанции 500-600 м короткими очередями из пулемета или пушки сковывать огонь стрелков противника, а на дальности 100-120 м открывать огонь на поражение.</w:t>
      </w:r>
    </w:p>
    <w:p w14:paraId="7E9B7FC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лобовых атаках огонь на поражение с-тов из 37мм пушки нужно открывать на дистанции 500-600 м . При этом скорость должна быть порядка 350 км/час.</w:t>
      </w:r>
    </w:p>
    <w:p w14:paraId="2E82B2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Атаку сомкнутого строя с-тов противника важно производить по сттвору самолетов, что повышает вероятность поражения противника.</w:t>
      </w:r>
    </w:p>
    <w:p w14:paraId="66F6F54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воздушных боях с истребителями противника, в случае навязывания боя противником следует следующие летно-тактические свойства с-та Як-9Т</w:t>
      </w:r>
    </w:p>
    <w:p w14:paraId="2B2D2F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с-т Як-9Т по сравнению с Ме-109 (с подрыльевыми пушками) на маневре в горизонтальной плоскости имеют явное преимущенство на высоте до 5000 м. На вертикальном маневре преимущество за Як-9Т сохраняется только до высоты 3000 м.</w:t>
      </w:r>
    </w:p>
    <w:p w14:paraId="7F7FCD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высотах 3000-4500 м вертикальная маневренность Як-9Т и Ме-109 практически одинакова.</w:t>
      </w:r>
    </w:p>
    <w:p w14:paraId="64F958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высотах более 4500 м преимущество в вертикальном маневре переходит в Ме-109.</w:t>
      </w:r>
    </w:p>
    <w:p w14:paraId="4CB753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с-тах Як-9Т с бой с истребителями проиивника выгодно вести в горизонтальной плоскости. При этом нужно учесть, что с-т Як-9Т на правом вираже быстрее заходит в хвост с-ту противнака.</w:t>
      </w:r>
    </w:p>
    <w:p w14:paraId="2FFB766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под атаки истребителей противника на с-те Як-9Т лучше выходить виражем, особенно правым, с применением скольжения.</w:t>
      </w:r>
    </w:p>
    <w:p w14:paraId="5CFAB1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всех случаях воздушного боя стрельюу из 37мм пушки следует вести только прицельно и короткими очередями, помня, что для сбития с-та противника достаточно одного-двух попаданий осколочных снарядов на дальности не более 100 м. Стрельба длинными очередями сбивает наводку.</w:t>
      </w:r>
    </w:p>
    <w:p w14:paraId="186FB2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Воздушный бой с-та Аэрокобра с Ме-109 G-2 (с подкрыльными пушками)</w:t>
      </w:r>
    </w:p>
    <w:p w14:paraId="101D04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Аэрокобра с нормальным полетным весом 3549 кг до 4000 м практически имеет качества с-та Ме-109 На больших высотах преимущества в горизонтальном маневре переходит к Ме-109.</w:t>
      </w:r>
    </w:p>
    <w:p w14:paraId="443AA5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вертикальном маневре Аэрокобра с нормальным полетным весом 3549 кг уступает с-ту Ме-109 на всех высотах, причем с увеличением высоты преимущества Ме-109 возрастают.</w:t>
      </w:r>
    </w:p>
    <w:p w14:paraId="18E78F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Аэрокобра облегченный (за счет снятия крыльевых пулеметов, брони с вала редуктора, брони с кислородных баллонов и бронеперегородки) при весе 3236 кг имеет улучшенную маневренность в вертикальной и горизонтальной плоскостях. С-т Аэрокобра до 4000 м имеет преимущества в горизонтальном маневре и может зайти в хвост Ме-109 через 5-6 виражей. Выше преимущество теряется.</w:t>
      </w:r>
    </w:p>
    <w:p w14:paraId="06702EC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вертикальной плоскости с-т Ме-109 обладает все таки преимуществом и перед облегченной Аэрокоброй.</w:t>
      </w:r>
    </w:p>
    <w:p w14:paraId="18BF1A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успешного ведения боя с-та Аэрокобра необходимо применять внезапность нападения, используя плохоой обзор задней полусферы из кабины Ме-109.</w:t>
      </w:r>
    </w:p>
    <w:p w14:paraId="765D00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Общие указания по ведению воздушного боя наих истребителей с немецкими с-тами изложен в книге, составленной ГУ истребительной авиации ПВО территории страны “Тактика истребительной авиации”, Воениздат НКО,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417"/>
        <w:gridCol w:w="1418"/>
      </w:tblGrid>
      <w:tr w:rsidR="004D4663" w:rsidRPr="00070ADE" w14:paraId="16824A31" w14:textId="77777777">
        <w:tc>
          <w:tcPr>
            <w:tcW w:w="2235" w:type="dxa"/>
            <w:tcBorders>
              <w:top w:val="single" w:sz="12" w:space="0" w:color="auto"/>
            </w:tcBorders>
          </w:tcPr>
          <w:p w14:paraId="68DC9C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С-ты</w:t>
            </w:r>
          </w:p>
        </w:tc>
        <w:tc>
          <w:tcPr>
            <w:tcW w:w="1417" w:type="dxa"/>
            <w:tcBorders>
              <w:top w:val="single" w:sz="12" w:space="0" w:color="auto"/>
            </w:tcBorders>
          </w:tcPr>
          <w:p w14:paraId="726DF3A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0</w:t>
            </w:r>
          </w:p>
        </w:tc>
        <w:tc>
          <w:tcPr>
            <w:tcW w:w="1418" w:type="dxa"/>
            <w:tcBorders>
              <w:top w:val="single" w:sz="12" w:space="0" w:color="auto"/>
            </w:tcBorders>
          </w:tcPr>
          <w:p w14:paraId="7F2A58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5000 м</w:t>
            </w:r>
          </w:p>
        </w:tc>
      </w:tr>
      <w:tr w:rsidR="004D4663" w:rsidRPr="00070ADE" w14:paraId="4EEDB751" w14:textId="77777777">
        <w:tc>
          <w:tcPr>
            <w:tcW w:w="2235" w:type="dxa"/>
          </w:tcPr>
          <w:p w14:paraId="1F64F9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Як-1ПФ</w:t>
            </w:r>
          </w:p>
        </w:tc>
        <w:tc>
          <w:tcPr>
            <w:tcW w:w="1417" w:type="dxa"/>
          </w:tcPr>
          <w:p w14:paraId="7FC6F9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520</w:t>
            </w:r>
          </w:p>
        </w:tc>
        <w:tc>
          <w:tcPr>
            <w:tcW w:w="1418" w:type="dxa"/>
          </w:tcPr>
          <w:p w14:paraId="0F551AB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587</w:t>
            </w:r>
          </w:p>
        </w:tc>
      </w:tr>
      <w:tr w:rsidR="004D4663" w:rsidRPr="00070ADE" w14:paraId="319C2BFD" w14:textId="77777777">
        <w:tc>
          <w:tcPr>
            <w:tcW w:w="2235" w:type="dxa"/>
          </w:tcPr>
          <w:p w14:paraId="109E6F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Як-7БПФ</w:t>
            </w:r>
          </w:p>
        </w:tc>
        <w:tc>
          <w:tcPr>
            <w:tcW w:w="1417" w:type="dxa"/>
          </w:tcPr>
          <w:p w14:paraId="29170A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530</w:t>
            </w:r>
          </w:p>
        </w:tc>
        <w:tc>
          <w:tcPr>
            <w:tcW w:w="1418" w:type="dxa"/>
          </w:tcPr>
          <w:p w14:paraId="73F24D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576</w:t>
            </w:r>
          </w:p>
        </w:tc>
      </w:tr>
      <w:tr w:rsidR="004D4663" w:rsidRPr="00070ADE" w14:paraId="16D141A6" w14:textId="77777777">
        <w:tc>
          <w:tcPr>
            <w:tcW w:w="2235" w:type="dxa"/>
          </w:tcPr>
          <w:p w14:paraId="4F505F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Як-9ТПФ, Як-9ДПФ</w:t>
            </w:r>
          </w:p>
        </w:tc>
        <w:tc>
          <w:tcPr>
            <w:tcW w:w="1417" w:type="dxa"/>
          </w:tcPr>
          <w:p w14:paraId="597BF6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533</w:t>
            </w:r>
          </w:p>
        </w:tc>
        <w:tc>
          <w:tcPr>
            <w:tcW w:w="1418" w:type="dxa"/>
          </w:tcPr>
          <w:p w14:paraId="03A61DC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585</w:t>
            </w:r>
          </w:p>
        </w:tc>
      </w:tr>
      <w:tr w:rsidR="004D4663" w:rsidRPr="00070ADE" w14:paraId="25ADDC28" w14:textId="77777777">
        <w:tc>
          <w:tcPr>
            <w:tcW w:w="2235" w:type="dxa"/>
          </w:tcPr>
          <w:p w14:paraId="74D035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Ла-5ФН</w:t>
            </w:r>
          </w:p>
        </w:tc>
        <w:tc>
          <w:tcPr>
            <w:tcW w:w="1417" w:type="dxa"/>
          </w:tcPr>
          <w:p w14:paraId="729E72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556/586</w:t>
            </w:r>
          </w:p>
        </w:tc>
        <w:tc>
          <w:tcPr>
            <w:tcW w:w="1418" w:type="dxa"/>
          </w:tcPr>
          <w:p w14:paraId="4394272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622</w:t>
            </w:r>
          </w:p>
        </w:tc>
      </w:tr>
      <w:tr w:rsidR="004D4663" w:rsidRPr="00070ADE" w14:paraId="4E7E9E6A" w14:textId="77777777">
        <w:tc>
          <w:tcPr>
            <w:tcW w:w="2235" w:type="dxa"/>
          </w:tcPr>
          <w:p w14:paraId="19E3A2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Ла-5Ф</w:t>
            </w:r>
          </w:p>
        </w:tc>
        <w:tc>
          <w:tcPr>
            <w:tcW w:w="1417" w:type="dxa"/>
          </w:tcPr>
          <w:p w14:paraId="4CE69C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500/535</w:t>
            </w:r>
          </w:p>
        </w:tc>
        <w:tc>
          <w:tcPr>
            <w:tcW w:w="1418" w:type="dxa"/>
          </w:tcPr>
          <w:p w14:paraId="4605258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566</w:t>
            </w:r>
          </w:p>
        </w:tc>
      </w:tr>
      <w:tr w:rsidR="004D4663" w:rsidRPr="00070ADE" w14:paraId="033A4FBB" w14:textId="77777777">
        <w:tc>
          <w:tcPr>
            <w:tcW w:w="2235" w:type="dxa"/>
          </w:tcPr>
          <w:p w14:paraId="6A901C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ФВ-190А-4</w:t>
            </w:r>
          </w:p>
        </w:tc>
        <w:tc>
          <w:tcPr>
            <w:tcW w:w="1417" w:type="dxa"/>
          </w:tcPr>
          <w:p w14:paraId="35A52B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510</w:t>
            </w:r>
          </w:p>
        </w:tc>
        <w:tc>
          <w:tcPr>
            <w:tcW w:w="1418" w:type="dxa"/>
          </w:tcPr>
          <w:p w14:paraId="1C9460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588</w:t>
            </w:r>
          </w:p>
        </w:tc>
      </w:tr>
      <w:tr w:rsidR="004D4663" w:rsidRPr="00070ADE" w14:paraId="6F97EAEC" w14:textId="77777777">
        <w:tc>
          <w:tcPr>
            <w:tcW w:w="2235" w:type="dxa"/>
          </w:tcPr>
          <w:p w14:paraId="6F1160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Ме-109G-2 (3-х т)</w:t>
            </w:r>
          </w:p>
        </w:tc>
        <w:tc>
          <w:tcPr>
            <w:tcW w:w="1417" w:type="dxa"/>
          </w:tcPr>
          <w:p w14:paraId="08C0FD9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524</w:t>
            </w:r>
          </w:p>
        </w:tc>
        <w:tc>
          <w:tcPr>
            <w:tcW w:w="1418" w:type="dxa"/>
          </w:tcPr>
          <w:p w14:paraId="6ECDFE0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610</w:t>
            </w:r>
          </w:p>
        </w:tc>
      </w:tr>
      <w:tr w:rsidR="004D4663" w:rsidRPr="00070ADE" w14:paraId="4775665C" w14:textId="77777777">
        <w:tc>
          <w:tcPr>
            <w:tcW w:w="2235" w:type="dxa"/>
          </w:tcPr>
          <w:p w14:paraId="321C548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Ме-109G-2 (5-х т)</w:t>
            </w:r>
          </w:p>
        </w:tc>
        <w:tc>
          <w:tcPr>
            <w:tcW w:w="1417" w:type="dxa"/>
          </w:tcPr>
          <w:p w14:paraId="03E45F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505</w:t>
            </w:r>
          </w:p>
        </w:tc>
        <w:tc>
          <w:tcPr>
            <w:tcW w:w="1418" w:type="dxa"/>
          </w:tcPr>
          <w:p w14:paraId="6B3410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593</w:t>
            </w:r>
          </w:p>
        </w:tc>
      </w:tr>
      <w:tr w:rsidR="004D4663" w:rsidRPr="00070ADE" w14:paraId="0CF18024" w14:textId="77777777">
        <w:tc>
          <w:tcPr>
            <w:tcW w:w="2235" w:type="dxa"/>
          </w:tcPr>
          <w:p w14:paraId="7DE4A1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Ме-109F</w:t>
            </w:r>
          </w:p>
        </w:tc>
        <w:tc>
          <w:tcPr>
            <w:tcW w:w="1417" w:type="dxa"/>
          </w:tcPr>
          <w:p w14:paraId="472103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510</w:t>
            </w:r>
          </w:p>
        </w:tc>
        <w:tc>
          <w:tcPr>
            <w:tcW w:w="1418" w:type="dxa"/>
          </w:tcPr>
          <w:p w14:paraId="5895FC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556</w:t>
            </w:r>
          </w:p>
        </w:tc>
      </w:tr>
      <w:tr w:rsidR="004D4663" w:rsidRPr="00070ADE" w14:paraId="36493EBE" w14:textId="77777777">
        <w:tc>
          <w:tcPr>
            <w:tcW w:w="2235" w:type="dxa"/>
            <w:tcBorders>
              <w:bottom w:val="single" w:sz="12" w:space="0" w:color="auto"/>
            </w:tcBorders>
          </w:tcPr>
          <w:p w14:paraId="27CDAD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Аэрокобра</w:t>
            </w:r>
          </w:p>
        </w:tc>
        <w:tc>
          <w:tcPr>
            <w:tcW w:w="1417" w:type="dxa"/>
            <w:tcBorders>
              <w:bottom w:val="single" w:sz="12" w:space="0" w:color="auto"/>
            </w:tcBorders>
          </w:tcPr>
          <w:p w14:paraId="18816D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467/489</w:t>
            </w:r>
          </w:p>
        </w:tc>
        <w:tc>
          <w:tcPr>
            <w:tcW w:w="1418" w:type="dxa"/>
            <w:tcBorders>
              <w:bottom w:val="single" w:sz="12" w:space="0" w:color="auto"/>
            </w:tcBorders>
          </w:tcPr>
          <w:p w14:paraId="384B27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592/614</w:t>
            </w:r>
          </w:p>
        </w:tc>
      </w:tr>
    </w:tbl>
    <w:p w14:paraId="32F8DD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 максимальных горизонтальных скоростей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1"/>
        <w:gridCol w:w="708"/>
        <w:gridCol w:w="709"/>
        <w:gridCol w:w="709"/>
        <w:gridCol w:w="709"/>
        <w:gridCol w:w="708"/>
        <w:gridCol w:w="709"/>
        <w:gridCol w:w="709"/>
        <w:gridCol w:w="709"/>
        <w:gridCol w:w="708"/>
        <w:gridCol w:w="709"/>
        <w:gridCol w:w="709"/>
        <w:gridCol w:w="709"/>
        <w:gridCol w:w="708"/>
      </w:tblGrid>
      <w:tr w:rsidR="004D4663" w:rsidRPr="00070ADE" w14:paraId="6E36BFC3" w14:textId="77777777">
        <w:tc>
          <w:tcPr>
            <w:tcW w:w="1101" w:type="dxa"/>
            <w:tcBorders>
              <w:top w:val="single" w:sz="12" w:space="0" w:color="auto"/>
            </w:tcBorders>
          </w:tcPr>
          <w:p w14:paraId="104B20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С-ты</w:t>
            </w:r>
          </w:p>
        </w:tc>
        <w:tc>
          <w:tcPr>
            <w:tcW w:w="708" w:type="dxa"/>
            <w:tcBorders>
              <w:top w:val="single" w:sz="12" w:space="0" w:color="auto"/>
            </w:tcBorders>
          </w:tcPr>
          <w:p w14:paraId="2D28F90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0</w:t>
            </w:r>
          </w:p>
        </w:tc>
        <w:tc>
          <w:tcPr>
            <w:tcW w:w="709" w:type="dxa"/>
            <w:tcBorders>
              <w:top w:val="single" w:sz="12" w:space="0" w:color="auto"/>
            </w:tcBorders>
          </w:tcPr>
          <w:p w14:paraId="17E74BA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1000</w:t>
            </w:r>
          </w:p>
        </w:tc>
        <w:tc>
          <w:tcPr>
            <w:tcW w:w="709" w:type="dxa"/>
            <w:tcBorders>
              <w:top w:val="single" w:sz="12" w:space="0" w:color="auto"/>
            </w:tcBorders>
          </w:tcPr>
          <w:p w14:paraId="1F4F11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2000</w:t>
            </w:r>
          </w:p>
        </w:tc>
        <w:tc>
          <w:tcPr>
            <w:tcW w:w="709" w:type="dxa"/>
            <w:tcBorders>
              <w:top w:val="single" w:sz="12" w:space="0" w:color="auto"/>
            </w:tcBorders>
          </w:tcPr>
          <w:p w14:paraId="37602E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3000</w:t>
            </w:r>
          </w:p>
        </w:tc>
        <w:tc>
          <w:tcPr>
            <w:tcW w:w="708" w:type="dxa"/>
            <w:tcBorders>
              <w:top w:val="single" w:sz="12" w:space="0" w:color="auto"/>
            </w:tcBorders>
          </w:tcPr>
          <w:p w14:paraId="7FD84EC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4000</w:t>
            </w:r>
          </w:p>
        </w:tc>
        <w:tc>
          <w:tcPr>
            <w:tcW w:w="709" w:type="dxa"/>
            <w:tcBorders>
              <w:top w:val="single" w:sz="12" w:space="0" w:color="auto"/>
            </w:tcBorders>
          </w:tcPr>
          <w:p w14:paraId="285358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5000 м</w:t>
            </w:r>
          </w:p>
        </w:tc>
        <w:tc>
          <w:tcPr>
            <w:tcW w:w="709" w:type="dxa"/>
            <w:tcBorders>
              <w:top w:val="single" w:sz="12" w:space="0" w:color="auto"/>
            </w:tcBorders>
          </w:tcPr>
          <w:p w14:paraId="2066AF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6000</w:t>
            </w:r>
          </w:p>
        </w:tc>
        <w:tc>
          <w:tcPr>
            <w:tcW w:w="709" w:type="dxa"/>
            <w:tcBorders>
              <w:top w:val="single" w:sz="12" w:space="0" w:color="auto"/>
            </w:tcBorders>
          </w:tcPr>
          <w:p w14:paraId="1E7483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7000</w:t>
            </w:r>
          </w:p>
        </w:tc>
        <w:tc>
          <w:tcPr>
            <w:tcW w:w="708" w:type="dxa"/>
            <w:tcBorders>
              <w:top w:val="single" w:sz="12" w:space="0" w:color="auto"/>
            </w:tcBorders>
          </w:tcPr>
          <w:p w14:paraId="76F502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8000 м</w:t>
            </w:r>
          </w:p>
        </w:tc>
        <w:tc>
          <w:tcPr>
            <w:tcW w:w="709" w:type="dxa"/>
            <w:tcBorders>
              <w:top w:val="single" w:sz="12" w:space="0" w:color="auto"/>
            </w:tcBorders>
          </w:tcPr>
          <w:p w14:paraId="30724F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9000 м</w:t>
            </w:r>
          </w:p>
        </w:tc>
        <w:tc>
          <w:tcPr>
            <w:tcW w:w="709" w:type="dxa"/>
            <w:tcBorders>
              <w:top w:val="single" w:sz="12" w:space="0" w:color="auto"/>
            </w:tcBorders>
          </w:tcPr>
          <w:p w14:paraId="2C515A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гр. высотн</w:t>
            </w:r>
            <w:r w:rsidRPr="00070ADE">
              <w:rPr>
                <w:rFonts w:ascii="Times New Roman" w:hAnsi="Times New Roman"/>
                <w:color w:val="000000" w:themeColor="text1"/>
                <w:sz w:val="16"/>
                <w:szCs w:val="16"/>
              </w:rPr>
              <w:lastRenderedPageBreak/>
              <w:t>ости</w:t>
            </w:r>
          </w:p>
        </w:tc>
        <w:tc>
          <w:tcPr>
            <w:tcW w:w="709" w:type="dxa"/>
            <w:tcBorders>
              <w:top w:val="single" w:sz="12" w:space="0" w:color="auto"/>
            </w:tcBorders>
          </w:tcPr>
          <w:p w14:paraId="4819548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 гр. переключени</w:t>
            </w:r>
            <w:r w:rsidRPr="00070ADE">
              <w:rPr>
                <w:rFonts w:ascii="Times New Roman" w:hAnsi="Times New Roman"/>
                <w:color w:val="000000" w:themeColor="text1"/>
                <w:sz w:val="16"/>
                <w:szCs w:val="16"/>
              </w:rPr>
              <w:lastRenderedPageBreak/>
              <w:t>я</w:t>
            </w:r>
          </w:p>
        </w:tc>
        <w:tc>
          <w:tcPr>
            <w:tcW w:w="708" w:type="dxa"/>
            <w:tcBorders>
              <w:top w:val="single" w:sz="12" w:space="0" w:color="auto"/>
            </w:tcBorders>
          </w:tcPr>
          <w:p w14:paraId="0ECD1F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 2 гр. высотн</w:t>
            </w:r>
            <w:r w:rsidRPr="00070ADE">
              <w:rPr>
                <w:rFonts w:ascii="Times New Roman" w:hAnsi="Times New Roman"/>
                <w:color w:val="000000" w:themeColor="text1"/>
                <w:sz w:val="16"/>
                <w:szCs w:val="16"/>
              </w:rPr>
              <w:lastRenderedPageBreak/>
              <w:t>ости</w:t>
            </w:r>
          </w:p>
        </w:tc>
      </w:tr>
      <w:tr w:rsidR="004D4663" w:rsidRPr="00070ADE" w14:paraId="0FBCB1FF" w14:textId="77777777">
        <w:tc>
          <w:tcPr>
            <w:tcW w:w="1101" w:type="dxa"/>
          </w:tcPr>
          <w:p w14:paraId="456780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Як-1ПФ</w:t>
            </w:r>
          </w:p>
        </w:tc>
        <w:tc>
          <w:tcPr>
            <w:tcW w:w="708" w:type="dxa"/>
          </w:tcPr>
          <w:p w14:paraId="2EACD3D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520</w:t>
            </w:r>
          </w:p>
        </w:tc>
        <w:tc>
          <w:tcPr>
            <w:tcW w:w="709" w:type="dxa"/>
          </w:tcPr>
          <w:p w14:paraId="3748310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546</w:t>
            </w:r>
          </w:p>
        </w:tc>
        <w:tc>
          <w:tcPr>
            <w:tcW w:w="709" w:type="dxa"/>
          </w:tcPr>
          <w:p w14:paraId="678EBE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570</w:t>
            </w:r>
          </w:p>
        </w:tc>
        <w:tc>
          <w:tcPr>
            <w:tcW w:w="709" w:type="dxa"/>
          </w:tcPr>
          <w:p w14:paraId="6A267B9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572</w:t>
            </w:r>
          </w:p>
        </w:tc>
        <w:tc>
          <w:tcPr>
            <w:tcW w:w="708" w:type="dxa"/>
          </w:tcPr>
          <w:p w14:paraId="61611D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591</w:t>
            </w:r>
          </w:p>
        </w:tc>
        <w:tc>
          <w:tcPr>
            <w:tcW w:w="709" w:type="dxa"/>
          </w:tcPr>
          <w:p w14:paraId="65B03E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587</w:t>
            </w:r>
          </w:p>
        </w:tc>
        <w:tc>
          <w:tcPr>
            <w:tcW w:w="709" w:type="dxa"/>
          </w:tcPr>
          <w:p w14:paraId="3564D81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572</w:t>
            </w:r>
          </w:p>
        </w:tc>
        <w:tc>
          <w:tcPr>
            <w:tcW w:w="709" w:type="dxa"/>
          </w:tcPr>
          <w:p w14:paraId="78C1EF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553</w:t>
            </w:r>
          </w:p>
        </w:tc>
        <w:tc>
          <w:tcPr>
            <w:tcW w:w="708" w:type="dxa"/>
          </w:tcPr>
          <w:p w14:paraId="430CD2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535</w:t>
            </w:r>
          </w:p>
        </w:tc>
        <w:tc>
          <w:tcPr>
            <w:tcW w:w="709" w:type="dxa"/>
          </w:tcPr>
          <w:p w14:paraId="5E07329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508</w:t>
            </w:r>
          </w:p>
        </w:tc>
        <w:tc>
          <w:tcPr>
            <w:tcW w:w="709" w:type="dxa"/>
          </w:tcPr>
          <w:p w14:paraId="552D90C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570</w:t>
            </w:r>
          </w:p>
        </w:tc>
        <w:tc>
          <w:tcPr>
            <w:tcW w:w="709" w:type="dxa"/>
          </w:tcPr>
          <w:p w14:paraId="50189A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560/2500</w:t>
            </w:r>
          </w:p>
        </w:tc>
        <w:tc>
          <w:tcPr>
            <w:tcW w:w="708" w:type="dxa"/>
          </w:tcPr>
          <w:p w14:paraId="5AF8A4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590/4100</w:t>
            </w:r>
          </w:p>
        </w:tc>
      </w:tr>
      <w:tr w:rsidR="004D4663" w:rsidRPr="00070ADE" w14:paraId="39C4A01A" w14:textId="77777777">
        <w:tc>
          <w:tcPr>
            <w:tcW w:w="1101" w:type="dxa"/>
          </w:tcPr>
          <w:p w14:paraId="550545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Як-7БПФ</w:t>
            </w:r>
          </w:p>
        </w:tc>
        <w:tc>
          <w:tcPr>
            <w:tcW w:w="708" w:type="dxa"/>
          </w:tcPr>
          <w:p w14:paraId="4650AB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530</w:t>
            </w:r>
          </w:p>
        </w:tc>
        <w:tc>
          <w:tcPr>
            <w:tcW w:w="709" w:type="dxa"/>
          </w:tcPr>
          <w:p w14:paraId="1FE2E45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539</w:t>
            </w:r>
          </w:p>
        </w:tc>
        <w:tc>
          <w:tcPr>
            <w:tcW w:w="709" w:type="dxa"/>
          </w:tcPr>
          <w:p w14:paraId="5E5E0E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570</w:t>
            </w:r>
          </w:p>
        </w:tc>
        <w:tc>
          <w:tcPr>
            <w:tcW w:w="709" w:type="dxa"/>
          </w:tcPr>
          <w:p w14:paraId="596705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580</w:t>
            </w:r>
          </w:p>
        </w:tc>
        <w:tc>
          <w:tcPr>
            <w:tcW w:w="708" w:type="dxa"/>
          </w:tcPr>
          <w:p w14:paraId="60443D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591</w:t>
            </w:r>
          </w:p>
        </w:tc>
        <w:tc>
          <w:tcPr>
            <w:tcW w:w="709" w:type="dxa"/>
          </w:tcPr>
          <w:p w14:paraId="34FC58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576</w:t>
            </w:r>
          </w:p>
        </w:tc>
        <w:tc>
          <w:tcPr>
            <w:tcW w:w="709" w:type="dxa"/>
          </w:tcPr>
          <w:p w14:paraId="4FD05D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562</w:t>
            </w:r>
          </w:p>
        </w:tc>
        <w:tc>
          <w:tcPr>
            <w:tcW w:w="709" w:type="dxa"/>
          </w:tcPr>
          <w:p w14:paraId="07AAF0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547</w:t>
            </w:r>
          </w:p>
        </w:tc>
        <w:tc>
          <w:tcPr>
            <w:tcW w:w="708" w:type="dxa"/>
          </w:tcPr>
          <w:p w14:paraId="43CF36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531</w:t>
            </w:r>
          </w:p>
        </w:tc>
        <w:tc>
          <w:tcPr>
            <w:tcW w:w="709" w:type="dxa"/>
          </w:tcPr>
          <w:p w14:paraId="7F6C38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511</w:t>
            </w:r>
          </w:p>
        </w:tc>
        <w:tc>
          <w:tcPr>
            <w:tcW w:w="709" w:type="dxa"/>
          </w:tcPr>
          <w:p w14:paraId="75D0D26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573</w:t>
            </w:r>
          </w:p>
        </w:tc>
        <w:tc>
          <w:tcPr>
            <w:tcW w:w="709" w:type="dxa"/>
          </w:tcPr>
          <w:p w14:paraId="6724D8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562/2350</w:t>
            </w:r>
          </w:p>
        </w:tc>
        <w:tc>
          <w:tcPr>
            <w:tcW w:w="708" w:type="dxa"/>
          </w:tcPr>
          <w:p w14:paraId="0B9DA4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593/3650</w:t>
            </w:r>
          </w:p>
        </w:tc>
      </w:tr>
      <w:tr w:rsidR="004D4663" w:rsidRPr="00070ADE" w14:paraId="48105F42" w14:textId="77777777">
        <w:tc>
          <w:tcPr>
            <w:tcW w:w="1101" w:type="dxa"/>
          </w:tcPr>
          <w:p w14:paraId="473ED1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Як-9ТПФ, Як-9ДПФ</w:t>
            </w:r>
          </w:p>
        </w:tc>
        <w:tc>
          <w:tcPr>
            <w:tcW w:w="708" w:type="dxa"/>
          </w:tcPr>
          <w:p w14:paraId="50091C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533</w:t>
            </w:r>
          </w:p>
        </w:tc>
        <w:tc>
          <w:tcPr>
            <w:tcW w:w="709" w:type="dxa"/>
          </w:tcPr>
          <w:p w14:paraId="088C21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554</w:t>
            </w:r>
          </w:p>
        </w:tc>
        <w:tc>
          <w:tcPr>
            <w:tcW w:w="709" w:type="dxa"/>
          </w:tcPr>
          <w:p w14:paraId="02F3DB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573</w:t>
            </w:r>
          </w:p>
        </w:tc>
        <w:tc>
          <w:tcPr>
            <w:tcW w:w="709" w:type="dxa"/>
          </w:tcPr>
          <w:p w14:paraId="6049389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577</w:t>
            </w:r>
          </w:p>
        </w:tc>
        <w:tc>
          <w:tcPr>
            <w:tcW w:w="708" w:type="dxa"/>
          </w:tcPr>
          <w:p w14:paraId="740DC23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597</w:t>
            </w:r>
          </w:p>
        </w:tc>
        <w:tc>
          <w:tcPr>
            <w:tcW w:w="709" w:type="dxa"/>
          </w:tcPr>
          <w:p w14:paraId="4EE1A1E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585</w:t>
            </w:r>
          </w:p>
        </w:tc>
        <w:tc>
          <w:tcPr>
            <w:tcW w:w="709" w:type="dxa"/>
          </w:tcPr>
          <w:p w14:paraId="410C41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573</w:t>
            </w:r>
          </w:p>
        </w:tc>
        <w:tc>
          <w:tcPr>
            <w:tcW w:w="709" w:type="dxa"/>
          </w:tcPr>
          <w:p w14:paraId="0E3ABD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559</w:t>
            </w:r>
          </w:p>
        </w:tc>
        <w:tc>
          <w:tcPr>
            <w:tcW w:w="708" w:type="dxa"/>
          </w:tcPr>
          <w:p w14:paraId="7E8488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543</w:t>
            </w:r>
          </w:p>
        </w:tc>
        <w:tc>
          <w:tcPr>
            <w:tcW w:w="709" w:type="dxa"/>
          </w:tcPr>
          <w:p w14:paraId="3D7E2E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525</w:t>
            </w:r>
          </w:p>
        </w:tc>
        <w:tc>
          <w:tcPr>
            <w:tcW w:w="709" w:type="dxa"/>
          </w:tcPr>
          <w:p w14:paraId="2CC5D4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574</w:t>
            </w:r>
          </w:p>
        </w:tc>
        <w:tc>
          <w:tcPr>
            <w:tcW w:w="709" w:type="dxa"/>
          </w:tcPr>
          <w:p w14:paraId="3C73DC6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568/2660</w:t>
            </w:r>
          </w:p>
        </w:tc>
        <w:tc>
          <w:tcPr>
            <w:tcW w:w="708" w:type="dxa"/>
          </w:tcPr>
          <w:p w14:paraId="43DB1D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597/3930</w:t>
            </w:r>
          </w:p>
        </w:tc>
      </w:tr>
      <w:tr w:rsidR="004D4663" w:rsidRPr="00070ADE" w14:paraId="649BF315" w14:textId="77777777">
        <w:tc>
          <w:tcPr>
            <w:tcW w:w="1101" w:type="dxa"/>
          </w:tcPr>
          <w:p w14:paraId="372336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Ла-5ФН</w:t>
            </w:r>
          </w:p>
        </w:tc>
        <w:tc>
          <w:tcPr>
            <w:tcW w:w="708" w:type="dxa"/>
          </w:tcPr>
          <w:p w14:paraId="5CDC76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556/586</w:t>
            </w:r>
          </w:p>
        </w:tc>
        <w:tc>
          <w:tcPr>
            <w:tcW w:w="709" w:type="dxa"/>
          </w:tcPr>
          <w:p w14:paraId="10B02DB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581/615</w:t>
            </w:r>
          </w:p>
        </w:tc>
        <w:tc>
          <w:tcPr>
            <w:tcW w:w="709" w:type="dxa"/>
          </w:tcPr>
          <w:p w14:paraId="51D6AA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601/629</w:t>
            </w:r>
          </w:p>
        </w:tc>
        <w:tc>
          <w:tcPr>
            <w:tcW w:w="709" w:type="dxa"/>
          </w:tcPr>
          <w:p w14:paraId="33572B3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621/627</w:t>
            </w:r>
          </w:p>
        </w:tc>
        <w:tc>
          <w:tcPr>
            <w:tcW w:w="708" w:type="dxa"/>
          </w:tcPr>
          <w:p w14:paraId="3220CF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622</w:t>
            </w:r>
          </w:p>
        </w:tc>
        <w:tc>
          <w:tcPr>
            <w:tcW w:w="709" w:type="dxa"/>
          </w:tcPr>
          <w:p w14:paraId="2FD7166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622</w:t>
            </w:r>
          </w:p>
        </w:tc>
        <w:tc>
          <w:tcPr>
            <w:tcW w:w="709" w:type="dxa"/>
          </w:tcPr>
          <w:p w14:paraId="6983B8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642</w:t>
            </w:r>
          </w:p>
        </w:tc>
        <w:tc>
          <w:tcPr>
            <w:tcW w:w="709" w:type="dxa"/>
          </w:tcPr>
          <w:p w14:paraId="7D4E9C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643</w:t>
            </w:r>
          </w:p>
        </w:tc>
        <w:tc>
          <w:tcPr>
            <w:tcW w:w="708" w:type="dxa"/>
          </w:tcPr>
          <w:p w14:paraId="4BE90E4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628</w:t>
            </w:r>
          </w:p>
        </w:tc>
        <w:tc>
          <w:tcPr>
            <w:tcW w:w="709" w:type="dxa"/>
          </w:tcPr>
          <w:p w14:paraId="46D532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604</w:t>
            </w:r>
          </w:p>
        </w:tc>
        <w:tc>
          <w:tcPr>
            <w:tcW w:w="709" w:type="dxa"/>
          </w:tcPr>
          <w:p w14:paraId="7C0BA69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626/630</w:t>
            </w:r>
          </w:p>
        </w:tc>
        <w:tc>
          <w:tcPr>
            <w:tcW w:w="709" w:type="dxa"/>
          </w:tcPr>
          <w:p w14:paraId="6603A6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616/4750</w:t>
            </w:r>
          </w:p>
        </w:tc>
        <w:tc>
          <w:tcPr>
            <w:tcW w:w="708" w:type="dxa"/>
          </w:tcPr>
          <w:p w14:paraId="3510E7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648/6300</w:t>
            </w:r>
          </w:p>
        </w:tc>
      </w:tr>
      <w:tr w:rsidR="004D4663" w:rsidRPr="00070ADE" w14:paraId="5ABF5745" w14:textId="77777777">
        <w:tc>
          <w:tcPr>
            <w:tcW w:w="1101" w:type="dxa"/>
          </w:tcPr>
          <w:p w14:paraId="4DC958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Ла-5Ф</w:t>
            </w:r>
          </w:p>
        </w:tc>
        <w:tc>
          <w:tcPr>
            <w:tcW w:w="708" w:type="dxa"/>
          </w:tcPr>
          <w:p w14:paraId="405E9B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500/535</w:t>
            </w:r>
          </w:p>
        </w:tc>
        <w:tc>
          <w:tcPr>
            <w:tcW w:w="709" w:type="dxa"/>
          </w:tcPr>
          <w:p w14:paraId="0888666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535/572</w:t>
            </w:r>
          </w:p>
        </w:tc>
        <w:tc>
          <w:tcPr>
            <w:tcW w:w="709" w:type="dxa"/>
          </w:tcPr>
          <w:p w14:paraId="73CDCD6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556/593</w:t>
            </w:r>
          </w:p>
        </w:tc>
        <w:tc>
          <w:tcPr>
            <w:tcW w:w="709" w:type="dxa"/>
          </w:tcPr>
          <w:p w14:paraId="394E64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576/580</w:t>
            </w:r>
          </w:p>
        </w:tc>
        <w:tc>
          <w:tcPr>
            <w:tcW w:w="708" w:type="dxa"/>
          </w:tcPr>
          <w:p w14:paraId="0F7A17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564</w:t>
            </w:r>
          </w:p>
        </w:tc>
        <w:tc>
          <w:tcPr>
            <w:tcW w:w="709" w:type="dxa"/>
          </w:tcPr>
          <w:p w14:paraId="59DE6F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566</w:t>
            </w:r>
          </w:p>
        </w:tc>
        <w:tc>
          <w:tcPr>
            <w:tcW w:w="709" w:type="dxa"/>
          </w:tcPr>
          <w:p w14:paraId="456938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586</w:t>
            </w:r>
          </w:p>
        </w:tc>
        <w:tc>
          <w:tcPr>
            <w:tcW w:w="709" w:type="dxa"/>
          </w:tcPr>
          <w:p w14:paraId="70A4ACC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572</w:t>
            </w:r>
          </w:p>
        </w:tc>
        <w:tc>
          <w:tcPr>
            <w:tcW w:w="708" w:type="dxa"/>
          </w:tcPr>
          <w:p w14:paraId="7884B8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542</w:t>
            </w:r>
          </w:p>
        </w:tc>
        <w:tc>
          <w:tcPr>
            <w:tcW w:w="709" w:type="dxa"/>
          </w:tcPr>
          <w:p w14:paraId="16AC328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09" w:type="dxa"/>
          </w:tcPr>
          <w:p w14:paraId="671B8C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580/593</w:t>
            </w:r>
          </w:p>
        </w:tc>
        <w:tc>
          <w:tcPr>
            <w:tcW w:w="709" w:type="dxa"/>
          </w:tcPr>
          <w:p w14:paraId="26DEB0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556/4500</w:t>
            </w:r>
          </w:p>
        </w:tc>
        <w:tc>
          <w:tcPr>
            <w:tcW w:w="708" w:type="dxa"/>
          </w:tcPr>
          <w:p w14:paraId="481EA5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590/6150</w:t>
            </w:r>
          </w:p>
        </w:tc>
      </w:tr>
      <w:tr w:rsidR="004D4663" w:rsidRPr="00070ADE" w14:paraId="71BDCC98" w14:textId="77777777">
        <w:tc>
          <w:tcPr>
            <w:tcW w:w="1101" w:type="dxa"/>
          </w:tcPr>
          <w:p w14:paraId="7983C8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ФВ-190А-4</w:t>
            </w:r>
          </w:p>
        </w:tc>
        <w:tc>
          <w:tcPr>
            <w:tcW w:w="708" w:type="dxa"/>
          </w:tcPr>
          <w:p w14:paraId="4F9CDBA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510</w:t>
            </w:r>
          </w:p>
        </w:tc>
        <w:tc>
          <w:tcPr>
            <w:tcW w:w="709" w:type="dxa"/>
          </w:tcPr>
          <w:p w14:paraId="4FA46B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531</w:t>
            </w:r>
          </w:p>
        </w:tc>
        <w:tc>
          <w:tcPr>
            <w:tcW w:w="709" w:type="dxa"/>
          </w:tcPr>
          <w:p w14:paraId="71CAEC5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543</w:t>
            </w:r>
          </w:p>
        </w:tc>
        <w:tc>
          <w:tcPr>
            <w:tcW w:w="709" w:type="dxa"/>
          </w:tcPr>
          <w:p w14:paraId="10D933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541</w:t>
            </w:r>
          </w:p>
        </w:tc>
        <w:tc>
          <w:tcPr>
            <w:tcW w:w="708" w:type="dxa"/>
          </w:tcPr>
          <w:p w14:paraId="77A124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565</w:t>
            </w:r>
          </w:p>
        </w:tc>
        <w:tc>
          <w:tcPr>
            <w:tcW w:w="709" w:type="dxa"/>
          </w:tcPr>
          <w:p w14:paraId="7BF3F8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588</w:t>
            </w:r>
          </w:p>
        </w:tc>
        <w:tc>
          <w:tcPr>
            <w:tcW w:w="709" w:type="dxa"/>
          </w:tcPr>
          <w:p w14:paraId="59904F2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610</w:t>
            </w:r>
          </w:p>
        </w:tc>
        <w:tc>
          <w:tcPr>
            <w:tcW w:w="709" w:type="dxa"/>
          </w:tcPr>
          <w:p w14:paraId="1038E4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606</w:t>
            </w:r>
          </w:p>
        </w:tc>
        <w:tc>
          <w:tcPr>
            <w:tcW w:w="708" w:type="dxa"/>
          </w:tcPr>
          <w:p w14:paraId="71A02D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595</w:t>
            </w:r>
          </w:p>
        </w:tc>
        <w:tc>
          <w:tcPr>
            <w:tcW w:w="709" w:type="dxa"/>
          </w:tcPr>
          <w:p w14:paraId="28F789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581</w:t>
            </w:r>
          </w:p>
        </w:tc>
        <w:tc>
          <w:tcPr>
            <w:tcW w:w="709" w:type="dxa"/>
          </w:tcPr>
          <w:p w14:paraId="3B5228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544</w:t>
            </w:r>
          </w:p>
        </w:tc>
        <w:tc>
          <w:tcPr>
            <w:tcW w:w="709" w:type="dxa"/>
          </w:tcPr>
          <w:p w14:paraId="59F2CE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540/2800</w:t>
            </w:r>
          </w:p>
        </w:tc>
        <w:tc>
          <w:tcPr>
            <w:tcW w:w="708" w:type="dxa"/>
          </w:tcPr>
          <w:p w14:paraId="52D5DE4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610/6000</w:t>
            </w:r>
          </w:p>
        </w:tc>
      </w:tr>
      <w:tr w:rsidR="004D4663" w:rsidRPr="00070ADE" w14:paraId="69BC12D1" w14:textId="77777777">
        <w:tc>
          <w:tcPr>
            <w:tcW w:w="1101" w:type="dxa"/>
          </w:tcPr>
          <w:p w14:paraId="195ECB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Ме-109G-2 (3-х т)</w:t>
            </w:r>
          </w:p>
        </w:tc>
        <w:tc>
          <w:tcPr>
            <w:tcW w:w="708" w:type="dxa"/>
          </w:tcPr>
          <w:p w14:paraId="64C0E09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524</w:t>
            </w:r>
          </w:p>
        </w:tc>
        <w:tc>
          <w:tcPr>
            <w:tcW w:w="709" w:type="dxa"/>
          </w:tcPr>
          <w:p w14:paraId="5674D6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554</w:t>
            </w:r>
          </w:p>
        </w:tc>
        <w:tc>
          <w:tcPr>
            <w:tcW w:w="709" w:type="dxa"/>
          </w:tcPr>
          <w:p w14:paraId="5B6416E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582</w:t>
            </w:r>
          </w:p>
        </w:tc>
        <w:tc>
          <w:tcPr>
            <w:tcW w:w="709" w:type="dxa"/>
          </w:tcPr>
          <w:p w14:paraId="29D094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602</w:t>
            </w:r>
          </w:p>
        </w:tc>
        <w:tc>
          <w:tcPr>
            <w:tcW w:w="708" w:type="dxa"/>
          </w:tcPr>
          <w:p w14:paraId="41D296B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608</w:t>
            </w:r>
          </w:p>
        </w:tc>
        <w:tc>
          <w:tcPr>
            <w:tcW w:w="709" w:type="dxa"/>
          </w:tcPr>
          <w:p w14:paraId="46ED90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610</w:t>
            </w:r>
          </w:p>
        </w:tc>
        <w:tc>
          <w:tcPr>
            <w:tcW w:w="709" w:type="dxa"/>
          </w:tcPr>
          <w:p w14:paraId="22C1CF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640</w:t>
            </w:r>
          </w:p>
        </w:tc>
        <w:tc>
          <w:tcPr>
            <w:tcW w:w="709" w:type="dxa"/>
          </w:tcPr>
          <w:p w14:paraId="0044BB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666</w:t>
            </w:r>
          </w:p>
        </w:tc>
        <w:tc>
          <w:tcPr>
            <w:tcW w:w="708" w:type="dxa"/>
          </w:tcPr>
          <w:p w14:paraId="67E398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660</w:t>
            </w:r>
          </w:p>
        </w:tc>
        <w:tc>
          <w:tcPr>
            <w:tcW w:w="709" w:type="dxa"/>
          </w:tcPr>
          <w:p w14:paraId="216EB6A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648</w:t>
            </w:r>
          </w:p>
        </w:tc>
        <w:tc>
          <w:tcPr>
            <w:tcW w:w="709" w:type="dxa"/>
          </w:tcPr>
          <w:p w14:paraId="2F631F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598</w:t>
            </w:r>
          </w:p>
        </w:tc>
        <w:tc>
          <w:tcPr>
            <w:tcW w:w="709" w:type="dxa"/>
          </w:tcPr>
          <w:p w14:paraId="08C51F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610/5000</w:t>
            </w:r>
          </w:p>
        </w:tc>
        <w:tc>
          <w:tcPr>
            <w:tcW w:w="708" w:type="dxa"/>
          </w:tcPr>
          <w:p w14:paraId="0D5DFC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666/7000</w:t>
            </w:r>
          </w:p>
        </w:tc>
      </w:tr>
      <w:tr w:rsidR="004D4663" w:rsidRPr="00070ADE" w14:paraId="2C1B2D83" w14:textId="77777777">
        <w:tc>
          <w:tcPr>
            <w:tcW w:w="1101" w:type="dxa"/>
          </w:tcPr>
          <w:p w14:paraId="6F2AC1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Ме-109G-2 (5-х т)</w:t>
            </w:r>
          </w:p>
        </w:tc>
        <w:tc>
          <w:tcPr>
            <w:tcW w:w="708" w:type="dxa"/>
          </w:tcPr>
          <w:p w14:paraId="5640DE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505</w:t>
            </w:r>
          </w:p>
        </w:tc>
        <w:tc>
          <w:tcPr>
            <w:tcW w:w="709" w:type="dxa"/>
          </w:tcPr>
          <w:p w14:paraId="1199D74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535</w:t>
            </w:r>
          </w:p>
        </w:tc>
        <w:tc>
          <w:tcPr>
            <w:tcW w:w="709" w:type="dxa"/>
          </w:tcPr>
          <w:p w14:paraId="55E546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564</w:t>
            </w:r>
          </w:p>
        </w:tc>
        <w:tc>
          <w:tcPr>
            <w:tcW w:w="709" w:type="dxa"/>
          </w:tcPr>
          <w:p w14:paraId="57E1439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586</w:t>
            </w:r>
          </w:p>
        </w:tc>
        <w:tc>
          <w:tcPr>
            <w:tcW w:w="708" w:type="dxa"/>
          </w:tcPr>
          <w:p w14:paraId="77EA85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592</w:t>
            </w:r>
          </w:p>
        </w:tc>
        <w:tc>
          <w:tcPr>
            <w:tcW w:w="709" w:type="dxa"/>
          </w:tcPr>
          <w:p w14:paraId="7B15CE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593</w:t>
            </w:r>
          </w:p>
        </w:tc>
        <w:tc>
          <w:tcPr>
            <w:tcW w:w="709" w:type="dxa"/>
          </w:tcPr>
          <w:p w14:paraId="0EA3C4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621</w:t>
            </w:r>
          </w:p>
        </w:tc>
        <w:tc>
          <w:tcPr>
            <w:tcW w:w="709" w:type="dxa"/>
          </w:tcPr>
          <w:p w14:paraId="3BBD46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tc>
        <w:tc>
          <w:tcPr>
            <w:tcW w:w="708" w:type="dxa"/>
          </w:tcPr>
          <w:p w14:paraId="673B81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643</w:t>
            </w:r>
          </w:p>
        </w:tc>
        <w:tc>
          <w:tcPr>
            <w:tcW w:w="709" w:type="dxa"/>
          </w:tcPr>
          <w:p w14:paraId="70DA42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630</w:t>
            </w:r>
          </w:p>
        </w:tc>
        <w:tc>
          <w:tcPr>
            <w:tcW w:w="709" w:type="dxa"/>
          </w:tcPr>
          <w:p w14:paraId="00436D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583</w:t>
            </w:r>
          </w:p>
        </w:tc>
        <w:tc>
          <w:tcPr>
            <w:tcW w:w="709" w:type="dxa"/>
          </w:tcPr>
          <w:p w14:paraId="35C9CC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593/5000</w:t>
            </w:r>
          </w:p>
        </w:tc>
        <w:tc>
          <w:tcPr>
            <w:tcW w:w="708" w:type="dxa"/>
          </w:tcPr>
          <w:p w14:paraId="19B0BB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650/7000</w:t>
            </w:r>
          </w:p>
        </w:tc>
      </w:tr>
      <w:tr w:rsidR="004D4663" w:rsidRPr="00070ADE" w14:paraId="48C3397F" w14:textId="77777777">
        <w:tc>
          <w:tcPr>
            <w:tcW w:w="1101" w:type="dxa"/>
          </w:tcPr>
          <w:p w14:paraId="29ADD7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Ме-109F</w:t>
            </w:r>
          </w:p>
        </w:tc>
        <w:tc>
          <w:tcPr>
            <w:tcW w:w="708" w:type="dxa"/>
          </w:tcPr>
          <w:p w14:paraId="0D312C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510</w:t>
            </w:r>
          </w:p>
        </w:tc>
        <w:tc>
          <w:tcPr>
            <w:tcW w:w="709" w:type="dxa"/>
          </w:tcPr>
          <w:p w14:paraId="327E82C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528</w:t>
            </w:r>
          </w:p>
        </w:tc>
        <w:tc>
          <w:tcPr>
            <w:tcW w:w="709" w:type="dxa"/>
          </w:tcPr>
          <w:p w14:paraId="3A6B2A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547</w:t>
            </w:r>
          </w:p>
        </w:tc>
        <w:tc>
          <w:tcPr>
            <w:tcW w:w="709" w:type="dxa"/>
          </w:tcPr>
          <w:p w14:paraId="3C397C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561</w:t>
            </w:r>
          </w:p>
        </w:tc>
        <w:tc>
          <w:tcPr>
            <w:tcW w:w="708" w:type="dxa"/>
          </w:tcPr>
          <w:p w14:paraId="046F1E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559</w:t>
            </w:r>
          </w:p>
        </w:tc>
        <w:tc>
          <w:tcPr>
            <w:tcW w:w="709" w:type="dxa"/>
          </w:tcPr>
          <w:p w14:paraId="35DEED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556</w:t>
            </w:r>
          </w:p>
        </w:tc>
        <w:tc>
          <w:tcPr>
            <w:tcW w:w="709" w:type="dxa"/>
          </w:tcPr>
          <w:p w14:paraId="44433E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554</w:t>
            </w:r>
          </w:p>
        </w:tc>
        <w:tc>
          <w:tcPr>
            <w:tcW w:w="709" w:type="dxa"/>
          </w:tcPr>
          <w:p w14:paraId="62B8FB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08" w:type="dxa"/>
          </w:tcPr>
          <w:p w14:paraId="6D8E1D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09" w:type="dxa"/>
          </w:tcPr>
          <w:p w14:paraId="001D17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09" w:type="dxa"/>
          </w:tcPr>
          <w:p w14:paraId="7710176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561</w:t>
            </w:r>
          </w:p>
        </w:tc>
        <w:tc>
          <w:tcPr>
            <w:tcW w:w="709" w:type="dxa"/>
          </w:tcPr>
          <w:p w14:paraId="3F5ED1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08" w:type="dxa"/>
          </w:tcPr>
          <w:p w14:paraId="33A129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593A92E" w14:textId="77777777">
        <w:tc>
          <w:tcPr>
            <w:tcW w:w="1101" w:type="dxa"/>
            <w:tcBorders>
              <w:bottom w:val="single" w:sz="12" w:space="0" w:color="auto"/>
            </w:tcBorders>
          </w:tcPr>
          <w:p w14:paraId="048196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Аэрокобра</w:t>
            </w:r>
          </w:p>
        </w:tc>
        <w:tc>
          <w:tcPr>
            <w:tcW w:w="708" w:type="dxa"/>
            <w:tcBorders>
              <w:bottom w:val="single" w:sz="12" w:space="0" w:color="auto"/>
            </w:tcBorders>
          </w:tcPr>
          <w:p w14:paraId="7A89C6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467/489</w:t>
            </w:r>
          </w:p>
        </w:tc>
        <w:tc>
          <w:tcPr>
            <w:tcW w:w="709" w:type="dxa"/>
            <w:tcBorders>
              <w:bottom w:val="single" w:sz="12" w:space="0" w:color="auto"/>
            </w:tcBorders>
          </w:tcPr>
          <w:p w14:paraId="1290A92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492/515</w:t>
            </w:r>
          </w:p>
        </w:tc>
        <w:tc>
          <w:tcPr>
            <w:tcW w:w="709" w:type="dxa"/>
            <w:tcBorders>
              <w:bottom w:val="single" w:sz="12" w:space="0" w:color="auto"/>
            </w:tcBorders>
          </w:tcPr>
          <w:p w14:paraId="52B67E8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517/539</w:t>
            </w:r>
          </w:p>
        </w:tc>
        <w:tc>
          <w:tcPr>
            <w:tcW w:w="709" w:type="dxa"/>
            <w:tcBorders>
              <w:bottom w:val="single" w:sz="12" w:space="0" w:color="auto"/>
            </w:tcBorders>
          </w:tcPr>
          <w:p w14:paraId="3E2206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542/584</w:t>
            </w:r>
          </w:p>
        </w:tc>
        <w:tc>
          <w:tcPr>
            <w:tcW w:w="708" w:type="dxa"/>
            <w:tcBorders>
              <w:bottom w:val="single" w:sz="12" w:space="0" w:color="auto"/>
            </w:tcBorders>
          </w:tcPr>
          <w:p w14:paraId="3A66BC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567/589</w:t>
            </w:r>
          </w:p>
        </w:tc>
        <w:tc>
          <w:tcPr>
            <w:tcW w:w="709" w:type="dxa"/>
            <w:tcBorders>
              <w:bottom w:val="single" w:sz="12" w:space="0" w:color="auto"/>
            </w:tcBorders>
          </w:tcPr>
          <w:p w14:paraId="125436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592/614</w:t>
            </w:r>
          </w:p>
        </w:tc>
        <w:tc>
          <w:tcPr>
            <w:tcW w:w="709" w:type="dxa"/>
            <w:tcBorders>
              <w:bottom w:val="single" w:sz="12" w:space="0" w:color="auto"/>
            </w:tcBorders>
          </w:tcPr>
          <w:p w14:paraId="43C98D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590/612</w:t>
            </w:r>
          </w:p>
        </w:tc>
        <w:tc>
          <w:tcPr>
            <w:tcW w:w="709" w:type="dxa"/>
            <w:tcBorders>
              <w:bottom w:val="single" w:sz="12" w:space="0" w:color="auto"/>
            </w:tcBorders>
          </w:tcPr>
          <w:p w14:paraId="263DEA8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575/596</w:t>
            </w:r>
          </w:p>
        </w:tc>
        <w:tc>
          <w:tcPr>
            <w:tcW w:w="708" w:type="dxa"/>
            <w:tcBorders>
              <w:bottom w:val="single" w:sz="12" w:space="0" w:color="auto"/>
            </w:tcBorders>
          </w:tcPr>
          <w:p w14:paraId="305C3C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556/577</w:t>
            </w:r>
          </w:p>
        </w:tc>
        <w:tc>
          <w:tcPr>
            <w:tcW w:w="709" w:type="dxa"/>
            <w:tcBorders>
              <w:bottom w:val="single" w:sz="12" w:space="0" w:color="auto"/>
            </w:tcBorders>
          </w:tcPr>
          <w:p w14:paraId="5D99324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530/552</w:t>
            </w:r>
          </w:p>
        </w:tc>
        <w:tc>
          <w:tcPr>
            <w:tcW w:w="709" w:type="dxa"/>
            <w:tcBorders>
              <w:bottom w:val="single" w:sz="12" w:space="0" w:color="auto"/>
            </w:tcBorders>
          </w:tcPr>
          <w:p w14:paraId="592B79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598/620</w:t>
            </w:r>
          </w:p>
        </w:tc>
        <w:tc>
          <w:tcPr>
            <w:tcW w:w="709" w:type="dxa"/>
            <w:tcBorders>
              <w:bottom w:val="single" w:sz="12" w:space="0" w:color="auto"/>
            </w:tcBorders>
          </w:tcPr>
          <w:p w14:paraId="73D899A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08" w:type="dxa"/>
            <w:tcBorders>
              <w:bottom w:val="single" w:sz="12" w:space="0" w:color="auto"/>
            </w:tcBorders>
          </w:tcPr>
          <w:p w14:paraId="578C1F2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bl>
    <w:p w14:paraId="7CCE22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w:t>
      </w:r>
    </w:p>
    <w:p w14:paraId="0B05CC1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Отдельные с-ты могут иметь скорости, отличающиеся от указанных на +/- 10 км/час</w:t>
      </w:r>
    </w:p>
    <w:p w14:paraId="787387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Для Аэрокобры скорости даны в числителе с подвесными б/б и с подкрыльевыми пулеметами 12,7мм, а в знаменателе - без них</w:t>
      </w:r>
    </w:p>
    <w:p w14:paraId="0322A1C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Для с-тов ла-5 до 1 гр. приведены в числителе на номинаде, а в знаменателе - на форсаже</w:t>
      </w:r>
    </w:p>
    <w:p w14:paraId="62A52C6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Мотор ДБ-605 А/1 имеет нагнетатель с гидравлическим приводом, поэтому:</w:t>
      </w:r>
    </w:p>
    <w:p w14:paraId="75A649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для 1-й гр. принята та, на которой включается дополнительная гидромуфта</w:t>
      </w:r>
    </w:p>
    <w:p w14:paraId="07583C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за высоту переключения принята точки перигиба графика макс. скоростей</w:t>
      </w:r>
    </w:p>
    <w:p w14:paraId="5F1FDA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 скороподъемности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567"/>
        <w:gridCol w:w="567"/>
        <w:gridCol w:w="567"/>
        <w:gridCol w:w="567"/>
        <w:gridCol w:w="567"/>
        <w:gridCol w:w="567"/>
        <w:gridCol w:w="567"/>
        <w:gridCol w:w="582"/>
        <w:gridCol w:w="552"/>
        <w:gridCol w:w="567"/>
        <w:gridCol w:w="567"/>
        <w:gridCol w:w="567"/>
        <w:gridCol w:w="567"/>
        <w:gridCol w:w="567"/>
        <w:gridCol w:w="567"/>
      </w:tblGrid>
      <w:tr w:rsidR="004D4663" w:rsidRPr="00070ADE" w14:paraId="57D3B7CE" w14:textId="77777777">
        <w:tc>
          <w:tcPr>
            <w:tcW w:w="817" w:type="dxa"/>
            <w:tcBorders>
              <w:top w:val="single" w:sz="12" w:space="0" w:color="auto"/>
            </w:tcBorders>
          </w:tcPr>
          <w:p w14:paraId="640D922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С-ты</w:t>
            </w:r>
          </w:p>
        </w:tc>
        <w:tc>
          <w:tcPr>
            <w:tcW w:w="567" w:type="dxa"/>
            <w:tcBorders>
              <w:top w:val="single" w:sz="12" w:space="0" w:color="auto"/>
            </w:tcBorders>
          </w:tcPr>
          <w:p w14:paraId="77ABAF9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0/время</w:t>
            </w:r>
          </w:p>
        </w:tc>
        <w:tc>
          <w:tcPr>
            <w:tcW w:w="567" w:type="dxa"/>
            <w:tcBorders>
              <w:top w:val="single" w:sz="12" w:space="0" w:color="auto"/>
            </w:tcBorders>
          </w:tcPr>
          <w:p w14:paraId="107CF9A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1000</w:t>
            </w:r>
          </w:p>
        </w:tc>
        <w:tc>
          <w:tcPr>
            <w:tcW w:w="567" w:type="dxa"/>
            <w:tcBorders>
              <w:top w:val="single" w:sz="12" w:space="0" w:color="auto"/>
            </w:tcBorders>
          </w:tcPr>
          <w:p w14:paraId="258200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2000</w:t>
            </w:r>
          </w:p>
        </w:tc>
        <w:tc>
          <w:tcPr>
            <w:tcW w:w="567" w:type="dxa"/>
            <w:tcBorders>
              <w:top w:val="single" w:sz="12" w:space="0" w:color="auto"/>
            </w:tcBorders>
          </w:tcPr>
          <w:p w14:paraId="074A41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3000</w:t>
            </w:r>
          </w:p>
        </w:tc>
        <w:tc>
          <w:tcPr>
            <w:tcW w:w="567" w:type="dxa"/>
            <w:tcBorders>
              <w:top w:val="single" w:sz="12" w:space="0" w:color="auto"/>
            </w:tcBorders>
          </w:tcPr>
          <w:p w14:paraId="46B91E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4000</w:t>
            </w:r>
          </w:p>
        </w:tc>
        <w:tc>
          <w:tcPr>
            <w:tcW w:w="567" w:type="dxa"/>
            <w:tcBorders>
              <w:top w:val="single" w:sz="12" w:space="0" w:color="auto"/>
            </w:tcBorders>
          </w:tcPr>
          <w:p w14:paraId="46D74FF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5000 м</w:t>
            </w:r>
          </w:p>
        </w:tc>
        <w:tc>
          <w:tcPr>
            <w:tcW w:w="567" w:type="dxa"/>
            <w:tcBorders>
              <w:top w:val="single" w:sz="12" w:space="0" w:color="auto"/>
            </w:tcBorders>
          </w:tcPr>
          <w:p w14:paraId="4D245B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6000</w:t>
            </w:r>
          </w:p>
        </w:tc>
        <w:tc>
          <w:tcPr>
            <w:tcW w:w="582" w:type="dxa"/>
            <w:tcBorders>
              <w:top w:val="single" w:sz="12" w:space="0" w:color="auto"/>
            </w:tcBorders>
          </w:tcPr>
          <w:p w14:paraId="06CAA5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7000</w:t>
            </w:r>
          </w:p>
        </w:tc>
        <w:tc>
          <w:tcPr>
            <w:tcW w:w="552" w:type="dxa"/>
            <w:tcBorders>
              <w:top w:val="single" w:sz="12" w:space="0" w:color="auto"/>
            </w:tcBorders>
          </w:tcPr>
          <w:p w14:paraId="272951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8000 м</w:t>
            </w:r>
          </w:p>
        </w:tc>
        <w:tc>
          <w:tcPr>
            <w:tcW w:w="567" w:type="dxa"/>
            <w:tcBorders>
              <w:top w:val="single" w:sz="12" w:space="0" w:color="auto"/>
            </w:tcBorders>
          </w:tcPr>
          <w:p w14:paraId="773642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9000 м</w:t>
            </w:r>
          </w:p>
        </w:tc>
        <w:tc>
          <w:tcPr>
            <w:tcW w:w="567" w:type="dxa"/>
            <w:tcBorders>
              <w:top w:val="single" w:sz="12" w:space="0" w:color="auto"/>
            </w:tcBorders>
          </w:tcPr>
          <w:p w14:paraId="77AAE9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10000 м</w:t>
            </w:r>
          </w:p>
        </w:tc>
        <w:tc>
          <w:tcPr>
            <w:tcW w:w="567" w:type="dxa"/>
            <w:tcBorders>
              <w:top w:val="single" w:sz="12" w:space="0" w:color="auto"/>
            </w:tcBorders>
          </w:tcPr>
          <w:p w14:paraId="72D2B74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потолке</w:t>
            </w:r>
          </w:p>
        </w:tc>
        <w:tc>
          <w:tcPr>
            <w:tcW w:w="567" w:type="dxa"/>
            <w:tcBorders>
              <w:top w:val="single" w:sz="12" w:space="0" w:color="auto"/>
            </w:tcBorders>
          </w:tcPr>
          <w:p w14:paraId="18CD481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гр. высотности</w:t>
            </w:r>
          </w:p>
        </w:tc>
        <w:tc>
          <w:tcPr>
            <w:tcW w:w="567" w:type="dxa"/>
            <w:tcBorders>
              <w:top w:val="single" w:sz="12" w:space="0" w:color="auto"/>
            </w:tcBorders>
          </w:tcPr>
          <w:p w14:paraId="1653E14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гр. переключения</w:t>
            </w:r>
          </w:p>
        </w:tc>
        <w:tc>
          <w:tcPr>
            <w:tcW w:w="567" w:type="dxa"/>
            <w:tcBorders>
              <w:top w:val="single" w:sz="12" w:space="0" w:color="auto"/>
            </w:tcBorders>
          </w:tcPr>
          <w:p w14:paraId="2AF6B78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 гр. в</w:t>
            </w:r>
          </w:p>
          <w:p w14:paraId="55EBF2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ысотности</w:t>
            </w:r>
          </w:p>
        </w:tc>
      </w:tr>
      <w:tr w:rsidR="004D4663" w:rsidRPr="00070ADE" w14:paraId="07469DEE" w14:textId="77777777">
        <w:tc>
          <w:tcPr>
            <w:tcW w:w="817" w:type="dxa"/>
          </w:tcPr>
          <w:p w14:paraId="703F32C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Як-1ПФ</w:t>
            </w:r>
          </w:p>
        </w:tc>
        <w:tc>
          <w:tcPr>
            <w:tcW w:w="567" w:type="dxa"/>
          </w:tcPr>
          <w:p w14:paraId="438BC71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15,4/0</w:t>
            </w:r>
          </w:p>
        </w:tc>
        <w:tc>
          <w:tcPr>
            <w:tcW w:w="567" w:type="dxa"/>
          </w:tcPr>
          <w:p w14:paraId="6460E22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16,1/1,1</w:t>
            </w:r>
          </w:p>
        </w:tc>
        <w:tc>
          <w:tcPr>
            <w:tcW w:w="567" w:type="dxa"/>
          </w:tcPr>
          <w:p w14:paraId="73D163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15,3/2,1</w:t>
            </w:r>
          </w:p>
        </w:tc>
        <w:tc>
          <w:tcPr>
            <w:tcW w:w="567" w:type="dxa"/>
          </w:tcPr>
          <w:p w14:paraId="42DAD54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15,6/3,2</w:t>
            </w:r>
          </w:p>
        </w:tc>
        <w:tc>
          <w:tcPr>
            <w:tcW w:w="567" w:type="dxa"/>
          </w:tcPr>
          <w:p w14:paraId="603555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14,3/4,4</w:t>
            </w:r>
          </w:p>
        </w:tc>
        <w:tc>
          <w:tcPr>
            <w:tcW w:w="567" w:type="dxa"/>
          </w:tcPr>
          <w:p w14:paraId="792830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12,1/5,5</w:t>
            </w:r>
          </w:p>
        </w:tc>
        <w:tc>
          <w:tcPr>
            <w:tcW w:w="567" w:type="dxa"/>
          </w:tcPr>
          <w:p w14:paraId="15E8A2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9,9/7,1</w:t>
            </w:r>
          </w:p>
        </w:tc>
        <w:tc>
          <w:tcPr>
            <w:tcW w:w="582" w:type="dxa"/>
          </w:tcPr>
          <w:p w14:paraId="18A447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7,7/9,1</w:t>
            </w:r>
          </w:p>
        </w:tc>
        <w:tc>
          <w:tcPr>
            <w:tcW w:w="552" w:type="dxa"/>
          </w:tcPr>
          <w:p w14:paraId="714DC3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5,5/11,6</w:t>
            </w:r>
          </w:p>
        </w:tc>
        <w:tc>
          <w:tcPr>
            <w:tcW w:w="567" w:type="dxa"/>
          </w:tcPr>
          <w:p w14:paraId="4F53001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3,2/15,5</w:t>
            </w:r>
          </w:p>
        </w:tc>
        <w:tc>
          <w:tcPr>
            <w:tcW w:w="567" w:type="dxa"/>
          </w:tcPr>
          <w:p w14:paraId="3E382BE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1,1/24,0</w:t>
            </w:r>
          </w:p>
        </w:tc>
        <w:tc>
          <w:tcPr>
            <w:tcW w:w="567" w:type="dxa"/>
          </w:tcPr>
          <w:p w14:paraId="0BFA29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0,5/28,0</w:t>
            </w:r>
          </w:p>
        </w:tc>
        <w:tc>
          <w:tcPr>
            <w:tcW w:w="567" w:type="dxa"/>
          </w:tcPr>
          <w:p w14:paraId="171D67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16,3/1,5/1400</w:t>
            </w:r>
          </w:p>
        </w:tc>
        <w:tc>
          <w:tcPr>
            <w:tcW w:w="567" w:type="dxa"/>
          </w:tcPr>
          <w:p w14:paraId="5E1E460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15/2,4/2200</w:t>
            </w:r>
          </w:p>
        </w:tc>
        <w:tc>
          <w:tcPr>
            <w:tcW w:w="567" w:type="dxa"/>
          </w:tcPr>
          <w:p w14:paraId="4A71B5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15,9/3,6/3300</w:t>
            </w:r>
          </w:p>
        </w:tc>
      </w:tr>
      <w:tr w:rsidR="004D4663" w:rsidRPr="00070ADE" w14:paraId="20BE0134" w14:textId="77777777">
        <w:tc>
          <w:tcPr>
            <w:tcW w:w="817" w:type="dxa"/>
          </w:tcPr>
          <w:p w14:paraId="3B2566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Як-7БПФ</w:t>
            </w:r>
          </w:p>
        </w:tc>
        <w:tc>
          <w:tcPr>
            <w:tcW w:w="567" w:type="dxa"/>
          </w:tcPr>
          <w:p w14:paraId="24D3D7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16,2/0</w:t>
            </w:r>
          </w:p>
        </w:tc>
        <w:tc>
          <w:tcPr>
            <w:tcW w:w="567" w:type="dxa"/>
          </w:tcPr>
          <w:p w14:paraId="6E0E402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16,8,1,0</w:t>
            </w:r>
          </w:p>
        </w:tc>
        <w:tc>
          <w:tcPr>
            <w:tcW w:w="567" w:type="dxa"/>
          </w:tcPr>
          <w:p w14:paraId="33C13CA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15,2/2,0</w:t>
            </w:r>
          </w:p>
        </w:tc>
        <w:tc>
          <w:tcPr>
            <w:tcW w:w="567" w:type="dxa"/>
          </w:tcPr>
          <w:p w14:paraId="17412D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14,9/3,1</w:t>
            </w:r>
          </w:p>
        </w:tc>
        <w:tc>
          <w:tcPr>
            <w:tcW w:w="567" w:type="dxa"/>
          </w:tcPr>
          <w:p w14:paraId="3A8269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13,3/4,3</w:t>
            </w:r>
          </w:p>
        </w:tc>
        <w:tc>
          <w:tcPr>
            <w:tcW w:w="567" w:type="dxa"/>
          </w:tcPr>
          <w:p w14:paraId="382714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11,1/5,7</w:t>
            </w:r>
          </w:p>
        </w:tc>
        <w:tc>
          <w:tcPr>
            <w:tcW w:w="567" w:type="dxa"/>
          </w:tcPr>
          <w:p w14:paraId="4E4847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9,0/7,2</w:t>
            </w:r>
          </w:p>
        </w:tc>
        <w:tc>
          <w:tcPr>
            <w:tcW w:w="582" w:type="dxa"/>
          </w:tcPr>
          <w:p w14:paraId="45F3D2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6,9/9,4</w:t>
            </w:r>
          </w:p>
        </w:tc>
        <w:tc>
          <w:tcPr>
            <w:tcW w:w="552" w:type="dxa"/>
          </w:tcPr>
          <w:p w14:paraId="35F1B4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4,8/12,4</w:t>
            </w:r>
          </w:p>
        </w:tc>
        <w:tc>
          <w:tcPr>
            <w:tcW w:w="567" w:type="dxa"/>
          </w:tcPr>
          <w:p w14:paraId="14958B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2,5/17,0</w:t>
            </w:r>
          </w:p>
        </w:tc>
        <w:tc>
          <w:tcPr>
            <w:tcW w:w="567" w:type="dxa"/>
          </w:tcPr>
          <w:p w14:paraId="480AF9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567" w:type="dxa"/>
          </w:tcPr>
          <w:p w14:paraId="68127D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0,5/27,5/10000</w:t>
            </w:r>
          </w:p>
        </w:tc>
        <w:tc>
          <w:tcPr>
            <w:tcW w:w="567" w:type="dxa"/>
          </w:tcPr>
          <w:p w14:paraId="286AC3C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17,0/1,2/1300</w:t>
            </w:r>
          </w:p>
        </w:tc>
        <w:tc>
          <w:tcPr>
            <w:tcW w:w="567" w:type="dxa"/>
          </w:tcPr>
          <w:p w14:paraId="22E4D8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14,7/2,3/2200</w:t>
            </w:r>
          </w:p>
        </w:tc>
        <w:tc>
          <w:tcPr>
            <w:tcW w:w="567" w:type="dxa"/>
          </w:tcPr>
          <w:p w14:paraId="405BE7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14,9/3,4/3250</w:t>
            </w:r>
          </w:p>
        </w:tc>
      </w:tr>
      <w:tr w:rsidR="004D4663" w:rsidRPr="00070ADE" w14:paraId="221BA734" w14:textId="77777777">
        <w:tc>
          <w:tcPr>
            <w:tcW w:w="817" w:type="dxa"/>
          </w:tcPr>
          <w:p w14:paraId="3440EE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Як-9ТПФ, Як-9ДПФ</w:t>
            </w:r>
          </w:p>
        </w:tc>
        <w:tc>
          <w:tcPr>
            <w:tcW w:w="567" w:type="dxa"/>
          </w:tcPr>
          <w:p w14:paraId="39FDF6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 и 15,6/0</w:t>
            </w:r>
          </w:p>
        </w:tc>
        <w:tc>
          <w:tcPr>
            <w:tcW w:w="567" w:type="dxa"/>
          </w:tcPr>
          <w:p w14:paraId="5EE1023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16,2/1,1 и 16,1/1,1</w:t>
            </w:r>
          </w:p>
        </w:tc>
        <w:tc>
          <w:tcPr>
            <w:tcW w:w="567" w:type="dxa"/>
          </w:tcPr>
          <w:p w14:paraId="791F97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14,/2,12 и 15,4/2,1</w:t>
            </w:r>
          </w:p>
        </w:tc>
        <w:tc>
          <w:tcPr>
            <w:tcW w:w="567" w:type="dxa"/>
          </w:tcPr>
          <w:p w14:paraId="4BFD620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13,9/3,3 и 15,9/3,1</w:t>
            </w:r>
          </w:p>
        </w:tc>
        <w:tc>
          <w:tcPr>
            <w:tcW w:w="567" w:type="dxa"/>
          </w:tcPr>
          <w:p w14:paraId="52A7ACB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12,3/4,6 и 14,3/4,2</w:t>
            </w:r>
          </w:p>
        </w:tc>
        <w:tc>
          <w:tcPr>
            <w:tcW w:w="567" w:type="dxa"/>
          </w:tcPr>
          <w:p w14:paraId="0598FA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10,3/6,1 и 11,9/5,5</w:t>
            </w:r>
          </w:p>
        </w:tc>
        <w:tc>
          <w:tcPr>
            <w:tcW w:w="567" w:type="dxa"/>
          </w:tcPr>
          <w:p w14:paraId="58DF8D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8,3/7,9 и 9,6/7,1</w:t>
            </w:r>
          </w:p>
        </w:tc>
        <w:tc>
          <w:tcPr>
            <w:tcW w:w="582" w:type="dxa"/>
          </w:tcPr>
          <w:p w14:paraId="1347FA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6,4/10,1 и 7,4/9,1</w:t>
            </w:r>
          </w:p>
        </w:tc>
        <w:tc>
          <w:tcPr>
            <w:tcW w:w="552" w:type="dxa"/>
          </w:tcPr>
          <w:p w14:paraId="4B566B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4,4/13,2 и 5,0/11,9</w:t>
            </w:r>
          </w:p>
        </w:tc>
        <w:tc>
          <w:tcPr>
            <w:tcW w:w="567" w:type="dxa"/>
          </w:tcPr>
          <w:p w14:paraId="4D6C48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2,5/18,2 и 2,7/15,3</w:t>
            </w:r>
          </w:p>
        </w:tc>
        <w:tc>
          <w:tcPr>
            <w:tcW w:w="567" w:type="dxa"/>
          </w:tcPr>
          <w:p w14:paraId="4E2F9C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0,5/30,5 и 0,5/27,6</w:t>
            </w:r>
          </w:p>
        </w:tc>
        <w:tc>
          <w:tcPr>
            <w:tcW w:w="567" w:type="dxa"/>
          </w:tcPr>
          <w:p w14:paraId="13A247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0,5/30,5/10000 и 0,5/27,6/1000</w:t>
            </w:r>
          </w:p>
        </w:tc>
        <w:tc>
          <w:tcPr>
            <w:tcW w:w="567" w:type="dxa"/>
          </w:tcPr>
          <w:p w14:paraId="5393F7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16,3/1,3/1200 и 16,2/1,3/1250</w:t>
            </w:r>
          </w:p>
        </w:tc>
        <w:tc>
          <w:tcPr>
            <w:tcW w:w="567" w:type="dxa"/>
          </w:tcPr>
          <w:p w14:paraId="6E9485F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13,7/2,2/2100 и 15,4/2,1/2000</w:t>
            </w:r>
          </w:p>
        </w:tc>
        <w:tc>
          <w:tcPr>
            <w:tcW w:w="567" w:type="dxa"/>
          </w:tcPr>
          <w:p w14:paraId="52E479A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13,9/3,6/3200 и 16,0/3,4/3250</w:t>
            </w:r>
          </w:p>
        </w:tc>
      </w:tr>
      <w:tr w:rsidR="004D4663" w:rsidRPr="00070ADE" w14:paraId="4EC78D5C" w14:textId="77777777">
        <w:tc>
          <w:tcPr>
            <w:tcW w:w="817" w:type="dxa"/>
          </w:tcPr>
          <w:p w14:paraId="19EA3D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Ла-5ФН</w:t>
            </w:r>
          </w:p>
        </w:tc>
        <w:tc>
          <w:tcPr>
            <w:tcW w:w="567" w:type="dxa"/>
          </w:tcPr>
          <w:p w14:paraId="4A52898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17,6/0</w:t>
            </w:r>
          </w:p>
        </w:tc>
        <w:tc>
          <w:tcPr>
            <w:tcW w:w="567" w:type="dxa"/>
          </w:tcPr>
          <w:p w14:paraId="5B7259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18,8/0,9</w:t>
            </w:r>
          </w:p>
        </w:tc>
        <w:tc>
          <w:tcPr>
            <w:tcW w:w="567" w:type="dxa"/>
          </w:tcPr>
          <w:p w14:paraId="4CED01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19,9/1,8</w:t>
            </w:r>
          </w:p>
        </w:tc>
        <w:tc>
          <w:tcPr>
            <w:tcW w:w="567" w:type="dxa"/>
          </w:tcPr>
          <w:p w14:paraId="3B6A92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17,8/2,7</w:t>
            </w:r>
          </w:p>
        </w:tc>
        <w:tc>
          <w:tcPr>
            <w:tcW w:w="567" w:type="dxa"/>
          </w:tcPr>
          <w:p w14:paraId="0276A2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15,8/8,7</w:t>
            </w:r>
          </w:p>
        </w:tc>
        <w:tc>
          <w:tcPr>
            <w:tcW w:w="567" w:type="dxa"/>
          </w:tcPr>
          <w:p w14:paraId="1C445C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16,7/4,7</w:t>
            </w:r>
          </w:p>
        </w:tc>
        <w:tc>
          <w:tcPr>
            <w:tcW w:w="567" w:type="dxa"/>
          </w:tcPr>
          <w:p w14:paraId="05A0FC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14,1/5,8</w:t>
            </w:r>
          </w:p>
        </w:tc>
        <w:tc>
          <w:tcPr>
            <w:tcW w:w="582" w:type="dxa"/>
          </w:tcPr>
          <w:p w14:paraId="0BF53E5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11,5/7,0</w:t>
            </w:r>
          </w:p>
        </w:tc>
        <w:tc>
          <w:tcPr>
            <w:tcW w:w="552" w:type="dxa"/>
          </w:tcPr>
          <w:p w14:paraId="5A65DD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8,9/8,6</w:t>
            </w:r>
          </w:p>
        </w:tc>
        <w:tc>
          <w:tcPr>
            <w:tcW w:w="567" w:type="dxa"/>
          </w:tcPr>
          <w:p w14:paraId="10F563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6,2/10,9</w:t>
            </w:r>
          </w:p>
        </w:tc>
        <w:tc>
          <w:tcPr>
            <w:tcW w:w="567" w:type="dxa"/>
          </w:tcPr>
          <w:p w14:paraId="30F70D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3,6/14,4</w:t>
            </w:r>
          </w:p>
        </w:tc>
        <w:tc>
          <w:tcPr>
            <w:tcW w:w="567" w:type="dxa"/>
          </w:tcPr>
          <w:p w14:paraId="10D945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0,5/25,5/11200</w:t>
            </w:r>
          </w:p>
        </w:tc>
        <w:tc>
          <w:tcPr>
            <w:tcW w:w="567" w:type="dxa"/>
          </w:tcPr>
          <w:p w14:paraId="7A4518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20/1,8/1950</w:t>
            </w:r>
          </w:p>
        </w:tc>
        <w:tc>
          <w:tcPr>
            <w:tcW w:w="567" w:type="dxa"/>
          </w:tcPr>
          <w:p w14:paraId="47B9A7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15,8/3,7/4000</w:t>
            </w:r>
          </w:p>
        </w:tc>
        <w:tc>
          <w:tcPr>
            <w:tcW w:w="567" w:type="dxa"/>
          </w:tcPr>
          <w:p w14:paraId="385924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16,7/4,7/5000</w:t>
            </w:r>
          </w:p>
        </w:tc>
      </w:tr>
      <w:tr w:rsidR="004D4663" w:rsidRPr="00070ADE" w14:paraId="7DA87BB0" w14:textId="77777777">
        <w:tc>
          <w:tcPr>
            <w:tcW w:w="817" w:type="dxa"/>
          </w:tcPr>
          <w:p w14:paraId="5886EF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Ла-5Ф</w:t>
            </w:r>
          </w:p>
        </w:tc>
        <w:tc>
          <w:tcPr>
            <w:tcW w:w="567" w:type="dxa"/>
          </w:tcPr>
          <w:p w14:paraId="4B9CA6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15,1/0</w:t>
            </w:r>
          </w:p>
        </w:tc>
        <w:tc>
          <w:tcPr>
            <w:tcW w:w="567" w:type="dxa"/>
          </w:tcPr>
          <w:p w14:paraId="53BBD8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15,5/1,1</w:t>
            </w:r>
          </w:p>
        </w:tc>
        <w:tc>
          <w:tcPr>
            <w:tcW w:w="567" w:type="dxa"/>
          </w:tcPr>
          <w:p w14:paraId="686D14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15,2/2,2</w:t>
            </w:r>
          </w:p>
        </w:tc>
        <w:tc>
          <w:tcPr>
            <w:tcW w:w="567" w:type="dxa"/>
          </w:tcPr>
          <w:p w14:paraId="3BC474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13,5/3,3</w:t>
            </w:r>
          </w:p>
        </w:tc>
        <w:tc>
          <w:tcPr>
            <w:tcW w:w="567" w:type="dxa"/>
          </w:tcPr>
          <w:p w14:paraId="7AC3FB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11,6/4,6</w:t>
            </w:r>
          </w:p>
        </w:tc>
        <w:tc>
          <w:tcPr>
            <w:tcW w:w="567" w:type="dxa"/>
          </w:tcPr>
          <w:p w14:paraId="4B8422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11,6/6,1</w:t>
            </w:r>
          </w:p>
        </w:tc>
        <w:tc>
          <w:tcPr>
            <w:tcW w:w="567" w:type="dxa"/>
          </w:tcPr>
          <w:p w14:paraId="2725D84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9,7/7,6</w:t>
            </w:r>
          </w:p>
        </w:tc>
        <w:tc>
          <w:tcPr>
            <w:tcW w:w="582" w:type="dxa"/>
          </w:tcPr>
          <w:p w14:paraId="71E77E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7,1/9,7</w:t>
            </w:r>
          </w:p>
        </w:tc>
        <w:tc>
          <w:tcPr>
            <w:tcW w:w="552" w:type="dxa"/>
          </w:tcPr>
          <w:p w14:paraId="58F38CF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4,5/12,6</w:t>
            </w:r>
          </w:p>
        </w:tc>
        <w:tc>
          <w:tcPr>
            <w:tcW w:w="567" w:type="dxa"/>
          </w:tcPr>
          <w:p w14:paraId="12748D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1,9/18,2</w:t>
            </w:r>
          </w:p>
        </w:tc>
        <w:tc>
          <w:tcPr>
            <w:tcW w:w="567" w:type="dxa"/>
          </w:tcPr>
          <w:p w14:paraId="1C587A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567" w:type="dxa"/>
          </w:tcPr>
          <w:p w14:paraId="096025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0,5/27,0,9550</w:t>
            </w:r>
          </w:p>
        </w:tc>
        <w:tc>
          <w:tcPr>
            <w:tcW w:w="567" w:type="dxa"/>
          </w:tcPr>
          <w:p w14:paraId="4894A8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15,2/2,5/2350</w:t>
            </w:r>
          </w:p>
        </w:tc>
        <w:tc>
          <w:tcPr>
            <w:tcW w:w="567" w:type="dxa"/>
          </w:tcPr>
          <w:p w14:paraId="0A0056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11,6/4,2/3750</w:t>
            </w:r>
          </w:p>
        </w:tc>
        <w:tc>
          <w:tcPr>
            <w:tcW w:w="567" w:type="dxa"/>
          </w:tcPr>
          <w:p w14:paraId="4A1408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11,6/6,6/5300</w:t>
            </w:r>
          </w:p>
        </w:tc>
      </w:tr>
      <w:tr w:rsidR="004D4663" w:rsidRPr="00070ADE" w14:paraId="19921E12" w14:textId="77777777">
        <w:tc>
          <w:tcPr>
            <w:tcW w:w="817" w:type="dxa"/>
            <w:tcBorders>
              <w:bottom w:val="single" w:sz="12" w:space="0" w:color="auto"/>
            </w:tcBorders>
          </w:tcPr>
          <w:p w14:paraId="439E03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Аэрокобра</w:t>
            </w:r>
          </w:p>
        </w:tc>
        <w:tc>
          <w:tcPr>
            <w:tcW w:w="567" w:type="dxa"/>
            <w:tcBorders>
              <w:bottom w:val="single" w:sz="12" w:space="0" w:color="auto"/>
            </w:tcBorders>
          </w:tcPr>
          <w:p w14:paraId="1FEE9E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11,4/0 и 14,0/0</w:t>
            </w:r>
          </w:p>
        </w:tc>
        <w:tc>
          <w:tcPr>
            <w:tcW w:w="567" w:type="dxa"/>
            <w:tcBorders>
              <w:bottom w:val="single" w:sz="12" w:space="0" w:color="auto"/>
            </w:tcBorders>
          </w:tcPr>
          <w:p w14:paraId="203C3F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11,7/1,3 и 14,1/1,1</w:t>
            </w:r>
          </w:p>
        </w:tc>
        <w:tc>
          <w:tcPr>
            <w:tcW w:w="567" w:type="dxa"/>
            <w:tcBorders>
              <w:bottom w:val="single" w:sz="12" w:space="0" w:color="auto"/>
            </w:tcBorders>
          </w:tcPr>
          <w:p w14:paraId="425DD7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 и 14,2/2,3</w:t>
            </w:r>
          </w:p>
        </w:tc>
        <w:tc>
          <w:tcPr>
            <w:tcW w:w="567" w:type="dxa"/>
            <w:tcBorders>
              <w:bottom w:val="single" w:sz="12" w:space="0" w:color="auto"/>
            </w:tcBorders>
          </w:tcPr>
          <w:p w14:paraId="251063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12,3/4,1 и 14,3/3,4</w:t>
            </w:r>
          </w:p>
        </w:tc>
        <w:tc>
          <w:tcPr>
            <w:tcW w:w="567" w:type="dxa"/>
            <w:tcBorders>
              <w:bottom w:val="single" w:sz="12" w:space="0" w:color="auto"/>
            </w:tcBorders>
          </w:tcPr>
          <w:p w14:paraId="00C2DB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12,6/5,5 и 14,4/4,6</w:t>
            </w:r>
          </w:p>
        </w:tc>
        <w:tc>
          <w:tcPr>
            <w:tcW w:w="567" w:type="dxa"/>
            <w:tcBorders>
              <w:bottom w:val="single" w:sz="12" w:space="0" w:color="auto"/>
            </w:tcBorders>
          </w:tcPr>
          <w:p w14:paraId="4E606A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12,0/6,9 и 13,6/5,8</w:t>
            </w:r>
          </w:p>
        </w:tc>
        <w:tc>
          <w:tcPr>
            <w:tcW w:w="567" w:type="dxa"/>
            <w:tcBorders>
              <w:bottom w:val="single" w:sz="12" w:space="0" w:color="auto"/>
            </w:tcBorders>
          </w:tcPr>
          <w:p w14:paraId="63D7209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9,7/8,4 и 11,2/7,2</w:t>
            </w:r>
          </w:p>
        </w:tc>
        <w:tc>
          <w:tcPr>
            <w:tcW w:w="582" w:type="dxa"/>
            <w:tcBorders>
              <w:bottom w:val="single" w:sz="12" w:space="0" w:color="auto"/>
            </w:tcBorders>
          </w:tcPr>
          <w:p w14:paraId="4F09FB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7,4/10,3 и 8,8/8,8</w:t>
            </w:r>
          </w:p>
        </w:tc>
        <w:tc>
          <w:tcPr>
            <w:tcW w:w="552" w:type="dxa"/>
            <w:tcBorders>
              <w:bottom w:val="single" w:sz="12" w:space="0" w:color="auto"/>
            </w:tcBorders>
          </w:tcPr>
          <w:p w14:paraId="4D08E5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5,1/13,1 и 6,4/10,9</w:t>
            </w:r>
          </w:p>
        </w:tc>
        <w:tc>
          <w:tcPr>
            <w:tcW w:w="567" w:type="dxa"/>
            <w:tcBorders>
              <w:bottom w:val="single" w:sz="12" w:space="0" w:color="auto"/>
            </w:tcBorders>
          </w:tcPr>
          <w:p w14:paraId="6967AD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2,8/17,1 и 4,1/14,1</w:t>
            </w:r>
          </w:p>
        </w:tc>
        <w:tc>
          <w:tcPr>
            <w:tcW w:w="567" w:type="dxa"/>
            <w:tcBorders>
              <w:bottom w:val="single" w:sz="12" w:space="0" w:color="auto"/>
            </w:tcBorders>
          </w:tcPr>
          <w:p w14:paraId="49871D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0,5/28,4 и 1,7/20,2</w:t>
            </w:r>
          </w:p>
        </w:tc>
        <w:tc>
          <w:tcPr>
            <w:tcW w:w="567" w:type="dxa"/>
            <w:tcBorders>
              <w:bottom w:val="single" w:sz="12" w:space="0" w:color="auto"/>
            </w:tcBorders>
          </w:tcPr>
          <w:p w14:paraId="5F756D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0,5/28,4 на 10000 и 0,5/27,6 на 10500</w:t>
            </w:r>
          </w:p>
        </w:tc>
        <w:tc>
          <w:tcPr>
            <w:tcW w:w="567" w:type="dxa"/>
            <w:tcBorders>
              <w:bottom w:val="single" w:sz="12" w:space="0" w:color="auto"/>
            </w:tcBorders>
          </w:tcPr>
          <w:p w14:paraId="36ED30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12,8/6,4 и 14,5/5,4/4650</w:t>
            </w:r>
          </w:p>
        </w:tc>
        <w:tc>
          <w:tcPr>
            <w:tcW w:w="567" w:type="dxa"/>
            <w:tcBorders>
              <w:bottom w:val="single" w:sz="12" w:space="0" w:color="auto"/>
            </w:tcBorders>
          </w:tcPr>
          <w:p w14:paraId="446B83A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567" w:type="dxa"/>
            <w:tcBorders>
              <w:bottom w:val="single" w:sz="12" w:space="0" w:color="auto"/>
            </w:tcBorders>
          </w:tcPr>
          <w:p w14:paraId="6BA7A5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bl>
    <w:p w14:paraId="159860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Маневренность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34"/>
        <w:gridCol w:w="875"/>
        <w:gridCol w:w="709"/>
        <w:gridCol w:w="709"/>
        <w:gridCol w:w="709"/>
        <w:gridCol w:w="850"/>
        <w:gridCol w:w="567"/>
        <w:gridCol w:w="709"/>
        <w:gridCol w:w="709"/>
        <w:gridCol w:w="708"/>
        <w:gridCol w:w="709"/>
        <w:gridCol w:w="709"/>
      </w:tblGrid>
      <w:tr w:rsidR="004D4663" w:rsidRPr="00070ADE" w14:paraId="7C5583D6" w14:textId="77777777">
        <w:tc>
          <w:tcPr>
            <w:tcW w:w="934" w:type="dxa"/>
            <w:tcBorders>
              <w:top w:val="single" w:sz="12" w:space="0" w:color="auto"/>
            </w:tcBorders>
          </w:tcPr>
          <w:p w14:paraId="11C823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5" w:type="dxa"/>
            <w:tcBorders>
              <w:top w:val="single" w:sz="12" w:space="0" w:color="auto"/>
            </w:tcBorders>
          </w:tcPr>
          <w:p w14:paraId="45FA2D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Як-1ПФ</w:t>
            </w:r>
          </w:p>
        </w:tc>
        <w:tc>
          <w:tcPr>
            <w:tcW w:w="709" w:type="dxa"/>
            <w:tcBorders>
              <w:top w:val="single" w:sz="12" w:space="0" w:color="auto"/>
            </w:tcBorders>
          </w:tcPr>
          <w:p w14:paraId="29B4F0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Як-7БПФ</w:t>
            </w:r>
          </w:p>
        </w:tc>
        <w:tc>
          <w:tcPr>
            <w:tcW w:w="709" w:type="dxa"/>
            <w:tcBorders>
              <w:top w:val="single" w:sz="12" w:space="0" w:color="auto"/>
            </w:tcBorders>
          </w:tcPr>
          <w:p w14:paraId="1D69DA8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Як-9ДПФ</w:t>
            </w:r>
          </w:p>
        </w:tc>
        <w:tc>
          <w:tcPr>
            <w:tcW w:w="709" w:type="dxa"/>
            <w:tcBorders>
              <w:top w:val="single" w:sz="12" w:space="0" w:color="auto"/>
            </w:tcBorders>
          </w:tcPr>
          <w:p w14:paraId="00F1EC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Як-9ТПФ</w:t>
            </w:r>
          </w:p>
        </w:tc>
        <w:tc>
          <w:tcPr>
            <w:tcW w:w="850" w:type="dxa"/>
            <w:tcBorders>
              <w:top w:val="single" w:sz="12" w:space="0" w:color="auto"/>
            </w:tcBorders>
          </w:tcPr>
          <w:p w14:paraId="5C125F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Ла-5ФН</w:t>
            </w:r>
          </w:p>
        </w:tc>
        <w:tc>
          <w:tcPr>
            <w:tcW w:w="567" w:type="dxa"/>
            <w:tcBorders>
              <w:top w:val="single" w:sz="12" w:space="0" w:color="auto"/>
            </w:tcBorders>
          </w:tcPr>
          <w:p w14:paraId="47E96E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Ла-5Ф</w:t>
            </w:r>
          </w:p>
        </w:tc>
        <w:tc>
          <w:tcPr>
            <w:tcW w:w="709" w:type="dxa"/>
            <w:tcBorders>
              <w:top w:val="single" w:sz="12" w:space="0" w:color="auto"/>
            </w:tcBorders>
          </w:tcPr>
          <w:p w14:paraId="613B8A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Аэрокобра</w:t>
            </w:r>
          </w:p>
        </w:tc>
        <w:tc>
          <w:tcPr>
            <w:tcW w:w="709" w:type="dxa"/>
            <w:tcBorders>
              <w:top w:val="single" w:sz="12" w:space="0" w:color="auto"/>
            </w:tcBorders>
          </w:tcPr>
          <w:p w14:paraId="4431AB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ФВ-190А-4</w:t>
            </w:r>
          </w:p>
        </w:tc>
        <w:tc>
          <w:tcPr>
            <w:tcW w:w="708" w:type="dxa"/>
            <w:tcBorders>
              <w:top w:val="single" w:sz="12" w:space="0" w:color="auto"/>
            </w:tcBorders>
          </w:tcPr>
          <w:p w14:paraId="407A35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Ме-109G-2 (5т)</w:t>
            </w:r>
          </w:p>
        </w:tc>
        <w:tc>
          <w:tcPr>
            <w:tcW w:w="709" w:type="dxa"/>
            <w:tcBorders>
              <w:top w:val="single" w:sz="12" w:space="0" w:color="auto"/>
            </w:tcBorders>
          </w:tcPr>
          <w:p w14:paraId="2B6199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Ме-109G-2 (3т)</w:t>
            </w:r>
          </w:p>
        </w:tc>
        <w:tc>
          <w:tcPr>
            <w:tcW w:w="709" w:type="dxa"/>
            <w:tcBorders>
              <w:top w:val="single" w:sz="12" w:space="0" w:color="auto"/>
            </w:tcBorders>
          </w:tcPr>
          <w:p w14:paraId="5A3D4A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Ме-109F</w:t>
            </w:r>
          </w:p>
        </w:tc>
      </w:tr>
      <w:tr w:rsidR="004D4663" w:rsidRPr="00070ADE" w14:paraId="276D9F16" w14:textId="77777777">
        <w:tc>
          <w:tcPr>
            <w:tcW w:w="934" w:type="dxa"/>
          </w:tcPr>
          <w:p w14:paraId="77AF90B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 1000 м (время/радиус)</w:t>
            </w:r>
          </w:p>
        </w:tc>
        <w:tc>
          <w:tcPr>
            <w:tcW w:w="875" w:type="dxa"/>
          </w:tcPr>
          <w:p w14:paraId="2550A7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17-18/275-290</w:t>
            </w:r>
          </w:p>
        </w:tc>
        <w:tc>
          <w:tcPr>
            <w:tcW w:w="709" w:type="dxa"/>
          </w:tcPr>
          <w:p w14:paraId="223142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18-19/270-295</w:t>
            </w:r>
          </w:p>
        </w:tc>
        <w:tc>
          <w:tcPr>
            <w:tcW w:w="709" w:type="dxa"/>
          </w:tcPr>
          <w:p w14:paraId="56C846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19-20/290-305</w:t>
            </w:r>
          </w:p>
        </w:tc>
        <w:tc>
          <w:tcPr>
            <w:tcW w:w="709" w:type="dxa"/>
          </w:tcPr>
          <w:p w14:paraId="5C4D47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18-19/300-320</w:t>
            </w:r>
          </w:p>
        </w:tc>
        <w:tc>
          <w:tcPr>
            <w:tcW w:w="850" w:type="dxa"/>
          </w:tcPr>
          <w:p w14:paraId="1BCEFA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18,5/295</w:t>
            </w:r>
          </w:p>
        </w:tc>
        <w:tc>
          <w:tcPr>
            <w:tcW w:w="567" w:type="dxa"/>
          </w:tcPr>
          <w:p w14:paraId="6E6B8D5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19-20/310-325</w:t>
            </w:r>
          </w:p>
        </w:tc>
        <w:tc>
          <w:tcPr>
            <w:tcW w:w="709" w:type="dxa"/>
          </w:tcPr>
          <w:p w14:paraId="2F1ACC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20-21/280-295</w:t>
            </w:r>
          </w:p>
        </w:tc>
        <w:tc>
          <w:tcPr>
            <w:tcW w:w="709" w:type="dxa"/>
          </w:tcPr>
          <w:p w14:paraId="321104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22-23/325-350</w:t>
            </w:r>
          </w:p>
          <w:p w14:paraId="51DBF1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23-24/370-385</w:t>
            </w:r>
          </w:p>
        </w:tc>
        <w:tc>
          <w:tcPr>
            <w:tcW w:w="708" w:type="dxa"/>
          </w:tcPr>
          <w:p w14:paraId="7DDDB8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22,6/345</w:t>
            </w:r>
          </w:p>
        </w:tc>
        <w:tc>
          <w:tcPr>
            <w:tcW w:w="709" w:type="dxa"/>
          </w:tcPr>
          <w:p w14:paraId="3E0327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20-21,5/220-345</w:t>
            </w:r>
          </w:p>
        </w:tc>
        <w:tc>
          <w:tcPr>
            <w:tcW w:w="709" w:type="dxa"/>
          </w:tcPr>
          <w:p w14:paraId="1A180B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19,6-20,5/295-310</w:t>
            </w:r>
          </w:p>
        </w:tc>
      </w:tr>
      <w:tr w:rsidR="004D4663" w:rsidRPr="00070ADE" w14:paraId="1E29ADFC" w14:textId="77777777">
        <w:tc>
          <w:tcPr>
            <w:tcW w:w="934" w:type="dxa"/>
          </w:tcPr>
          <w:p w14:paraId="337CD7E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 5000 м (время/радиус)</w:t>
            </w:r>
          </w:p>
        </w:tc>
        <w:tc>
          <w:tcPr>
            <w:tcW w:w="875" w:type="dxa"/>
          </w:tcPr>
          <w:p w14:paraId="577362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24/420</w:t>
            </w:r>
          </w:p>
        </w:tc>
        <w:tc>
          <w:tcPr>
            <w:tcW w:w="709" w:type="dxa"/>
          </w:tcPr>
          <w:p w14:paraId="008E21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24/425</w:t>
            </w:r>
          </w:p>
        </w:tc>
        <w:tc>
          <w:tcPr>
            <w:tcW w:w="709" w:type="dxa"/>
          </w:tcPr>
          <w:p w14:paraId="67B461E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25/450</w:t>
            </w:r>
          </w:p>
        </w:tc>
        <w:tc>
          <w:tcPr>
            <w:tcW w:w="709" w:type="dxa"/>
          </w:tcPr>
          <w:p w14:paraId="0E1DF6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24-25/450-475</w:t>
            </w:r>
          </w:p>
        </w:tc>
        <w:tc>
          <w:tcPr>
            <w:tcW w:w="850" w:type="dxa"/>
          </w:tcPr>
          <w:p w14:paraId="2E7AE8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23/445</w:t>
            </w:r>
          </w:p>
        </w:tc>
        <w:tc>
          <w:tcPr>
            <w:tcW w:w="567" w:type="dxa"/>
          </w:tcPr>
          <w:p w14:paraId="3C41FE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29-29/465-490</w:t>
            </w:r>
          </w:p>
        </w:tc>
        <w:tc>
          <w:tcPr>
            <w:tcW w:w="709" w:type="dxa"/>
          </w:tcPr>
          <w:p w14:paraId="4AC7A2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29-30/420-440</w:t>
            </w:r>
          </w:p>
        </w:tc>
        <w:tc>
          <w:tcPr>
            <w:tcW w:w="709" w:type="dxa"/>
          </w:tcPr>
          <w:p w14:paraId="67B2FB1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30-31/500-520</w:t>
            </w:r>
          </w:p>
          <w:p w14:paraId="5857B0B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33-34/555-575</w:t>
            </w:r>
          </w:p>
        </w:tc>
        <w:tc>
          <w:tcPr>
            <w:tcW w:w="708" w:type="dxa"/>
          </w:tcPr>
          <w:p w14:paraId="372262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27/520</w:t>
            </w:r>
          </w:p>
        </w:tc>
        <w:tc>
          <w:tcPr>
            <w:tcW w:w="709" w:type="dxa"/>
          </w:tcPr>
          <w:p w14:paraId="3D2987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26/495</w:t>
            </w:r>
          </w:p>
        </w:tc>
        <w:tc>
          <w:tcPr>
            <w:tcW w:w="709" w:type="dxa"/>
          </w:tcPr>
          <w:p w14:paraId="7D2F64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26-27/445-465</w:t>
            </w:r>
          </w:p>
        </w:tc>
      </w:tr>
      <w:tr w:rsidR="004D4663" w:rsidRPr="00070ADE" w14:paraId="11D9026B" w14:textId="77777777">
        <w:tc>
          <w:tcPr>
            <w:tcW w:w="934" w:type="dxa"/>
          </w:tcPr>
          <w:p w14:paraId="400455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высота за боевой разворот </w:t>
            </w:r>
            <w:r w:rsidRPr="00070ADE">
              <w:rPr>
                <w:rFonts w:ascii="Times New Roman" w:hAnsi="Times New Roman"/>
                <w:color w:val="000000" w:themeColor="text1"/>
                <w:sz w:val="16"/>
                <w:szCs w:val="16"/>
              </w:rPr>
              <w:lastRenderedPageBreak/>
              <w:t>на 1000 м</w:t>
            </w:r>
          </w:p>
        </w:tc>
        <w:tc>
          <w:tcPr>
            <w:tcW w:w="875" w:type="dxa"/>
          </w:tcPr>
          <w:p w14:paraId="01537E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1000</w:t>
            </w:r>
          </w:p>
        </w:tc>
        <w:tc>
          <w:tcPr>
            <w:tcW w:w="709" w:type="dxa"/>
          </w:tcPr>
          <w:p w14:paraId="7B206B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tc>
        <w:tc>
          <w:tcPr>
            <w:tcW w:w="709" w:type="dxa"/>
          </w:tcPr>
          <w:p w14:paraId="25C8AA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900-1000</w:t>
            </w:r>
          </w:p>
        </w:tc>
        <w:tc>
          <w:tcPr>
            <w:tcW w:w="709" w:type="dxa"/>
          </w:tcPr>
          <w:p w14:paraId="1E4A5A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1100</w:t>
            </w:r>
          </w:p>
        </w:tc>
        <w:tc>
          <w:tcPr>
            <w:tcW w:w="850" w:type="dxa"/>
          </w:tcPr>
          <w:p w14:paraId="257C75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1100</w:t>
            </w:r>
          </w:p>
        </w:tc>
        <w:tc>
          <w:tcPr>
            <w:tcW w:w="567" w:type="dxa"/>
          </w:tcPr>
          <w:p w14:paraId="32BCF76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w:t>
            </w:r>
          </w:p>
        </w:tc>
        <w:tc>
          <w:tcPr>
            <w:tcW w:w="709" w:type="dxa"/>
          </w:tcPr>
          <w:p w14:paraId="166CD37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w:t>
            </w:r>
          </w:p>
        </w:tc>
        <w:tc>
          <w:tcPr>
            <w:tcW w:w="709" w:type="dxa"/>
          </w:tcPr>
          <w:p w14:paraId="67F8240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700-750</w:t>
            </w:r>
          </w:p>
        </w:tc>
        <w:tc>
          <w:tcPr>
            <w:tcW w:w="708" w:type="dxa"/>
          </w:tcPr>
          <w:p w14:paraId="358C52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1100</w:t>
            </w:r>
          </w:p>
        </w:tc>
        <w:tc>
          <w:tcPr>
            <w:tcW w:w="709" w:type="dxa"/>
          </w:tcPr>
          <w:p w14:paraId="634121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1100</w:t>
            </w:r>
          </w:p>
        </w:tc>
        <w:tc>
          <w:tcPr>
            <w:tcW w:w="709" w:type="dxa"/>
          </w:tcPr>
          <w:p w14:paraId="54B07DD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1100</w:t>
            </w:r>
          </w:p>
        </w:tc>
      </w:tr>
      <w:tr w:rsidR="004D4663" w:rsidRPr="00070ADE" w14:paraId="70618C12" w14:textId="77777777">
        <w:tc>
          <w:tcPr>
            <w:tcW w:w="934" w:type="dxa"/>
          </w:tcPr>
          <w:p w14:paraId="4D3E7D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 за боевой разворот на 5000 м</w:t>
            </w:r>
          </w:p>
        </w:tc>
        <w:tc>
          <w:tcPr>
            <w:tcW w:w="875" w:type="dxa"/>
          </w:tcPr>
          <w:p w14:paraId="716B99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850-900</w:t>
            </w:r>
          </w:p>
        </w:tc>
        <w:tc>
          <w:tcPr>
            <w:tcW w:w="709" w:type="dxa"/>
          </w:tcPr>
          <w:p w14:paraId="47E120E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w:t>
            </w:r>
          </w:p>
        </w:tc>
        <w:tc>
          <w:tcPr>
            <w:tcW w:w="709" w:type="dxa"/>
          </w:tcPr>
          <w:p w14:paraId="22B9176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w:t>
            </w:r>
          </w:p>
        </w:tc>
        <w:tc>
          <w:tcPr>
            <w:tcW w:w="709" w:type="dxa"/>
          </w:tcPr>
          <w:p w14:paraId="31C405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800-850</w:t>
            </w:r>
          </w:p>
        </w:tc>
        <w:tc>
          <w:tcPr>
            <w:tcW w:w="850" w:type="dxa"/>
          </w:tcPr>
          <w:p w14:paraId="4822C12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tc>
        <w:tc>
          <w:tcPr>
            <w:tcW w:w="567" w:type="dxa"/>
          </w:tcPr>
          <w:p w14:paraId="785836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tc>
        <w:tc>
          <w:tcPr>
            <w:tcW w:w="709" w:type="dxa"/>
          </w:tcPr>
          <w:p w14:paraId="6B2539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w:t>
            </w:r>
          </w:p>
        </w:tc>
        <w:tc>
          <w:tcPr>
            <w:tcW w:w="709" w:type="dxa"/>
          </w:tcPr>
          <w:p w14:paraId="0E0C28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w:t>
            </w:r>
          </w:p>
        </w:tc>
        <w:tc>
          <w:tcPr>
            <w:tcW w:w="708" w:type="dxa"/>
          </w:tcPr>
          <w:p w14:paraId="0378E92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850</w:t>
            </w:r>
          </w:p>
        </w:tc>
        <w:tc>
          <w:tcPr>
            <w:tcW w:w="709" w:type="dxa"/>
          </w:tcPr>
          <w:p w14:paraId="509505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tc>
        <w:tc>
          <w:tcPr>
            <w:tcW w:w="709" w:type="dxa"/>
          </w:tcPr>
          <w:p w14:paraId="0008E5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w:t>
            </w:r>
          </w:p>
        </w:tc>
      </w:tr>
      <w:tr w:rsidR="004D4663" w:rsidRPr="00070ADE" w14:paraId="242907FD" w14:textId="77777777">
        <w:tc>
          <w:tcPr>
            <w:tcW w:w="934" w:type="dxa"/>
            <w:tcBorders>
              <w:bottom w:val="single" w:sz="12" w:space="0" w:color="auto"/>
            </w:tcBorders>
          </w:tcPr>
          <w:p w14:paraId="694792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пикирования</w:t>
            </w:r>
          </w:p>
        </w:tc>
        <w:tc>
          <w:tcPr>
            <w:tcW w:w="875" w:type="dxa"/>
            <w:tcBorders>
              <w:bottom w:val="single" w:sz="12" w:space="0" w:color="auto"/>
            </w:tcBorders>
          </w:tcPr>
          <w:p w14:paraId="79D167A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tc>
        <w:tc>
          <w:tcPr>
            <w:tcW w:w="709" w:type="dxa"/>
            <w:tcBorders>
              <w:bottom w:val="single" w:sz="12" w:space="0" w:color="auto"/>
            </w:tcBorders>
          </w:tcPr>
          <w:p w14:paraId="718370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tc>
        <w:tc>
          <w:tcPr>
            <w:tcW w:w="709" w:type="dxa"/>
            <w:tcBorders>
              <w:bottom w:val="single" w:sz="12" w:space="0" w:color="auto"/>
            </w:tcBorders>
          </w:tcPr>
          <w:p w14:paraId="5A8771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tc>
        <w:tc>
          <w:tcPr>
            <w:tcW w:w="709" w:type="dxa"/>
            <w:tcBorders>
              <w:bottom w:val="single" w:sz="12" w:space="0" w:color="auto"/>
            </w:tcBorders>
          </w:tcPr>
          <w:p w14:paraId="19275E3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tc>
        <w:tc>
          <w:tcPr>
            <w:tcW w:w="850" w:type="dxa"/>
            <w:tcBorders>
              <w:bottom w:val="single" w:sz="12" w:space="0" w:color="auto"/>
            </w:tcBorders>
          </w:tcPr>
          <w:p w14:paraId="16550E7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tc>
        <w:tc>
          <w:tcPr>
            <w:tcW w:w="567" w:type="dxa"/>
            <w:tcBorders>
              <w:bottom w:val="single" w:sz="12" w:space="0" w:color="auto"/>
            </w:tcBorders>
          </w:tcPr>
          <w:p w14:paraId="58179E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tc>
        <w:tc>
          <w:tcPr>
            <w:tcW w:w="709" w:type="dxa"/>
            <w:tcBorders>
              <w:bottom w:val="single" w:sz="12" w:space="0" w:color="auto"/>
            </w:tcBorders>
          </w:tcPr>
          <w:p w14:paraId="1D2C51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710</w:t>
            </w:r>
          </w:p>
        </w:tc>
        <w:tc>
          <w:tcPr>
            <w:tcW w:w="709" w:type="dxa"/>
            <w:tcBorders>
              <w:bottom w:val="single" w:sz="12" w:space="0" w:color="auto"/>
            </w:tcBorders>
          </w:tcPr>
          <w:p w14:paraId="483DFB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tc>
        <w:tc>
          <w:tcPr>
            <w:tcW w:w="708" w:type="dxa"/>
            <w:tcBorders>
              <w:bottom w:val="single" w:sz="12" w:space="0" w:color="auto"/>
            </w:tcBorders>
          </w:tcPr>
          <w:p w14:paraId="0CEDE8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tc>
        <w:tc>
          <w:tcPr>
            <w:tcW w:w="709" w:type="dxa"/>
            <w:tcBorders>
              <w:bottom w:val="single" w:sz="12" w:space="0" w:color="auto"/>
            </w:tcBorders>
          </w:tcPr>
          <w:p w14:paraId="1DED30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tc>
        <w:tc>
          <w:tcPr>
            <w:tcW w:w="709" w:type="dxa"/>
            <w:tcBorders>
              <w:bottom w:val="single" w:sz="12" w:space="0" w:color="auto"/>
            </w:tcBorders>
          </w:tcPr>
          <w:p w14:paraId="2F6080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tc>
      </w:tr>
    </w:tbl>
    <w:p w14:paraId="552442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Примечания:</w:t>
      </w:r>
    </w:p>
    <w:p w14:paraId="6B0823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Для с-та Аэрокобра - без баков и подвесных пулеметов</w:t>
      </w:r>
    </w:p>
    <w:p w14:paraId="323E3A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Для ФВ-190А-4 в числителе с применением щитков, выпущенных в стартовое положение, в знаменателе - без</w:t>
      </w:r>
    </w:p>
    <w:p w14:paraId="1847D3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Для ФВ-190 при достижении скорости пикирования 500 км/час и выше наблюдается вибрация хвоста, а на Ме-1-9 - вибрация консолей крыла</w:t>
      </w:r>
    </w:p>
    <w:p w14:paraId="1679AC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Подписали Лосюков, Нач. НИИ ВВС, Сафронов, Нач. 3 отд., Шишкин, Нач. 4 отд. гма (737,2).</w:t>
      </w:r>
    </w:p>
    <w:p w14:paraId="54CBB1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67DEE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января 1944 Н.Н.П. подготовил:</w:t>
      </w:r>
    </w:p>
    <w:p w14:paraId="1CDEBB2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АВТОБИОГРАФИЯ.</w:t>
      </w:r>
    </w:p>
    <w:p w14:paraId="27BE97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Родился я в 1892 году» в семье сельского священника села Георгиевского на Сосне Ливенского уезда Орловской губернии. Учился сначала в Дивенском Духовном Училище, затем в Орловской Духовной Семинарии, по окончании 4-х классов коей я сдал экстерном на аттестат зрелости при 1-й Орловской Классической Гимназии и тем получил право на высшее Техническое образование.</w:t>
      </w:r>
    </w:p>
    <w:p w14:paraId="55C0CC1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Поступив в 1911 году в Петроградский Политехнический Институт им. Петра 1-го, на механическое отделение, я в 1913 го</w:t>
      </w:r>
      <w:r w:rsidRPr="00070ADE">
        <w:rPr>
          <w:rFonts w:ascii="Times New Roman" w:hAnsi="Times New Roman"/>
          <w:color w:val="000000" w:themeColor="text1"/>
          <w:sz w:val="16"/>
          <w:szCs w:val="16"/>
        </w:rPr>
        <w:softHyphen/>
        <w:t>ду занимался параллельно на курсах Авиации и Воздухоплавания при Кораблестроительном Отделении того же Института.</w:t>
      </w:r>
    </w:p>
    <w:p w14:paraId="606215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месяце 1916 года я закончил свое обучение на Ме</w:t>
      </w:r>
      <w:r w:rsidRPr="00070ADE">
        <w:rPr>
          <w:rFonts w:ascii="Times New Roman" w:hAnsi="Times New Roman"/>
          <w:color w:val="000000" w:themeColor="text1"/>
          <w:sz w:val="16"/>
          <w:szCs w:val="16"/>
        </w:rPr>
        <w:softHyphen/>
        <w:t>ханическом отделении Института и получил звание Инженера-Меха</w:t>
      </w:r>
      <w:r w:rsidRPr="00070ADE">
        <w:rPr>
          <w:rFonts w:ascii="Times New Roman" w:hAnsi="Times New Roman"/>
          <w:color w:val="000000" w:themeColor="text1"/>
          <w:sz w:val="16"/>
          <w:szCs w:val="16"/>
        </w:rPr>
        <w:softHyphen/>
        <w:t>ника 1-й степени, а к концу 1916 года закончил также курсы Авиации и Воздухоплавания.</w:t>
      </w:r>
    </w:p>
    <w:p w14:paraId="2DE186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как время было военное, то на следующий-же день после защиты дипломного проекта был командирован на работу на Русско-Балтийский Воздухоплавательный завод в Петрограде, в качестве Заведующего производством» к И.И.Сикорскому, по постройке пер</w:t>
      </w:r>
      <w:r w:rsidRPr="00070ADE">
        <w:rPr>
          <w:rFonts w:ascii="Times New Roman" w:hAnsi="Times New Roman"/>
          <w:color w:val="000000" w:themeColor="text1"/>
          <w:sz w:val="16"/>
          <w:szCs w:val="16"/>
        </w:rPr>
        <w:softHyphen/>
        <w:t>вых в мире больших, многомоторных самолетов» типа "Илья Муро</w:t>
      </w:r>
      <w:r w:rsidRPr="00070ADE">
        <w:rPr>
          <w:rFonts w:ascii="Times New Roman" w:hAnsi="Times New Roman"/>
          <w:color w:val="000000" w:themeColor="text1"/>
          <w:sz w:val="16"/>
          <w:szCs w:val="16"/>
        </w:rPr>
        <w:softHyphen/>
        <w:t>мец", по производству серии одноместных истребителей СХ6, а также по постройке опытных многомоторных самолетов.</w:t>
      </w:r>
    </w:p>
    <w:p w14:paraId="3FF108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окончании войны в 1918 году, по аннулировании военных заказов и прекращения производства на заводе И.И.Сикорского я перешел в марте 1918 г. во вновь формировавшееся Управление Воздушного флота и с ним я эвакуировался в конце марта месяца 1918 года в Москву и работал в нем до своего перевода на Авиа</w:t>
      </w:r>
      <w:r w:rsidRPr="00070ADE">
        <w:rPr>
          <w:rFonts w:ascii="Times New Roman" w:hAnsi="Times New Roman"/>
          <w:color w:val="000000" w:themeColor="text1"/>
          <w:sz w:val="16"/>
          <w:szCs w:val="16"/>
        </w:rPr>
        <w:softHyphen/>
        <w:t>ционный завод № I в Москве в августе 1918 года, когда появилась острая нужда в самолетах в связи с мятежом чехо-словаков и открытием военных действий.</w:t>
      </w:r>
    </w:p>
    <w:p w14:paraId="1CE8C4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Этим началась моя многолетняя работа на Авиазаводе № I. сначала в качестве начальника Технического /конструкторского/ отдела, затем с 1925 года начальником Опытного отдела. Завод № I в то время, как известно, строил лиценсионные иностранные самолеты: Фарман XXX, Ньюпор ХУЛ, Ньюпор ХХ1У, Хавиданд ДН4, Сопвич - двухместный разведчик в др.</w:t>
      </w:r>
    </w:p>
    <w:p w14:paraId="28D78D8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Моя работа состояла на первое время в переконструировании этих самолетов, под имевшиеся моторы, под отечественное оружие и наши технические и технологические условия. Одновременно при</w:t>
      </w:r>
      <w:r w:rsidRPr="00070ADE">
        <w:rPr>
          <w:rFonts w:ascii="Times New Roman" w:hAnsi="Times New Roman"/>
          <w:color w:val="000000" w:themeColor="text1"/>
          <w:sz w:val="16"/>
          <w:szCs w:val="16"/>
        </w:rPr>
        <w:softHyphen/>
        <w:t>ходилось проектировать и строить под эти самолеты зимние лыжи, винты, установки стрелковые и бомбовые в пр., а так же установки одних моторов взамен друвдх: БМВЗа, БМВ4. Интересно отметить удачное проектирование обтекаемых зимних лыж под тяжелые по то</w:t>
      </w:r>
      <w:r w:rsidRPr="00070ADE">
        <w:rPr>
          <w:rFonts w:ascii="Times New Roman" w:hAnsi="Times New Roman"/>
          <w:color w:val="000000" w:themeColor="text1"/>
          <w:sz w:val="16"/>
          <w:szCs w:val="16"/>
        </w:rPr>
        <w:softHyphen/>
        <w:t>му времени самолеты Илья Муромец, весом 3,5-4 тонн, ДН34 ве</w:t>
      </w:r>
      <w:r w:rsidRPr="00070ADE">
        <w:rPr>
          <w:rFonts w:ascii="Times New Roman" w:hAnsi="Times New Roman"/>
          <w:color w:val="000000" w:themeColor="text1"/>
          <w:sz w:val="16"/>
          <w:szCs w:val="16"/>
        </w:rPr>
        <w:softHyphen/>
        <w:t>сом до 3-х тн., за что я получил премию от Авиатреста в 1921 го</w:t>
      </w:r>
      <w:r w:rsidRPr="00070ADE">
        <w:rPr>
          <w:rFonts w:ascii="Times New Roman" w:hAnsi="Times New Roman"/>
          <w:color w:val="000000" w:themeColor="text1"/>
          <w:sz w:val="16"/>
          <w:szCs w:val="16"/>
        </w:rPr>
        <w:softHyphen/>
        <w:t>ду. Помимо этих второстепенных конструкторских работ по заданию ВВС, начиная о весны 1923 года, мы начали проектировать и стро</w:t>
      </w:r>
      <w:r w:rsidRPr="00070ADE">
        <w:rPr>
          <w:rFonts w:ascii="Times New Roman" w:hAnsi="Times New Roman"/>
          <w:color w:val="000000" w:themeColor="text1"/>
          <w:sz w:val="16"/>
          <w:szCs w:val="16"/>
        </w:rPr>
        <w:softHyphen/>
        <w:t>ить уже целые боевые самолеты, собственной конструкции - одно</w:t>
      </w:r>
      <w:r w:rsidRPr="00070ADE">
        <w:rPr>
          <w:rFonts w:ascii="Times New Roman" w:hAnsi="Times New Roman"/>
          <w:color w:val="000000" w:themeColor="text1"/>
          <w:sz w:val="16"/>
          <w:szCs w:val="16"/>
        </w:rPr>
        <w:softHyphen/>
        <w:t>местный истребитель И1-И5, пассажирский самолет П-М1, трениро</w:t>
      </w:r>
      <w:r w:rsidRPr="00070ADE">
        <w:rPr>
          <w:rFonts w:ascii="Times New Roman" w:hAnsi="Times New Roman"/>
          <w:color w:val="000000" w:themeColor="text1"/>
          <w:sz w:val="16"/>
          <w:szCs w:val="16"/>
        </w:rPr>
        <w:softHyphen/>
        <w:t>вочный самолет Р1-БМВ3А, Р-1БМВ4А, Р1-С-П, Р1-Мерседес, гидро</w:t>
      </w:r>
      <w:r w:rsidRPr="00070ADE">
        <w:rPr>
          <w:rFonts w:ascii="Times New Roman" w:hAnsi="Times New Roman"/>
          <w:color w:val="000000" w:themeColor="text1"/>
          <w:sz w:val="16"/>
          <w:szCs w:val="16"/>
        </w:rPr>
        <w:softHyphen/>
        <w:t>самолет МР1-М5 в др., при чем подавляющее большинство их было принято на снабжение ВВС и строилось в крупных по тому времевв сериях.</w:t>
      </w:r>
    </w:p>
    <w:p w14:paraId="705CDD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Этими работами положено твердое начало собственного опыт</w:t>
      </w:r>
      <w:r w:rsidRPr="00070ADE">
        <w:rPr>
          <w:rFonts w:ascii="Times New Roman" w:hAnsi="Times New Roman"/>
          <w:color w:val="000000" w:themeColor="text1"/>
          <w:sz w:val="16"/>
          <w:szCs w:val="16"/>
        </w:rPr>
        <w:softHyphen/>
        <w:t>ного самолетостроения в СССР, а так как все пришлось нам начи</w:t>
      </w:r>
      <w:r w:rsidRPr="00070ADE">
        <w:rPr>
          <w:rFonts w:ascii="Times New Roman" w:hAnsi="Times New Roman"/>
          <w:color w:val="000000" w:themeColor="text1"/>
          <w:sz w:val="16"/>
          <w:szCs w:val="16"/>
        </w:rPr>
        <w:softHyphen/>
        <w:t>нать впервые, ибо ЦАГИ, ВИАМ и ЦИАМ организовались и начали ра</w:t>
      </w:r>
      <w:r w:rsidRPr="00070ADE">
        <w:rPr>
          <w:rFonts w:ascii="Times New Roman" w:hAnsi="Times New Roman"/>
          <w:color w:val="000000" w:themeColor="text1"/>
          <w:sz w:val="16"/>
          <w:szCs w:val="16"/>
        </w:rPr>
        <w:softHyphen/>
        <w:t>ботать значительно позже, примерно не ранее постройки лабора</w:t>
      </w:r>
      <w:r w:rsidRPr="00070ADE">
        <w:rPr>
          <w:rFonts w:ascii="Times New Roman" w:hAnsi="Times New Roman"/>
          <w:color w:val="000000" w:themeColor="text1"/>
          <w:sz w:val="16"/>
          <w:szCs w:val="16"/>
        </w:rPr>
        <w:softHyphen/>
        <w:t>торий /с 1926 г./, то все вопросы научно-всследовательского по</w:t>
      </w:r>
      <w:r w:rsidRPr="00070ADE">
        <w:rPr>
          <w:rFonts w:ascii="Times New Roman" w:hAnsi="Times New Roman"/>
          <w:color w:val="000000" w:themeColor="text1"/>
          <w:sz w:val="16"/>
          <w:szCs w:val="16"/>
        </w:rPr>
        <w:softHyphen/>
        <w:t>рядка приходилось решать на своей базе» у себя на заводе.</w:t>
      </w:r>
    </w:p>
    <w:p w14:paraId="35A9EAC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В-январе месяце 1928 года Опытный отдел завода № I был развернут в специальный опытный завод № 25 в Москве, и я был наэначен Главным конструктором в Техническим директором этого завода. Работа пошла шире и плодотворнее и в этот период нами были закончены проектированием и выстроены самолеты У 2-М11, И3-БМВ6, Р5-М17, поведшие впоследствии в широкую серию, летаю</w:t>
      </w:r>
      <w:r w:rsidRPr="00070ADE">
        <w:rPr>
          <w:rFonts w:ascii="Times New Roman" w:hAnsi="Times New Roman"/>
          <w:color w:val="000000" w:themeColor="text1"/>
          <w:sz w:val="16"/>
          <w:szCs w:val="16"/>
        </w:rPr>
        <w:softHyphen/>
        <w:t>щие еще до сих пор и успешно воюющие во второй Отечественной войне.</w:t>
      </w:r>
    </w:p>
    <w:p w14:paraId="52A019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в 1930 года по 1936 г. в работая на заводе № 39, в ЦАГИ и затем снова на заводе № 39 Начальником Конструкторской бригады. За время до 1936 года нам удалось спроектировать и выстроить одноместные истребители И15 /Чайка/ и И16 в их много</w:t>
      </w:r>
      <w:r w:rsidRPr="00070ADE">
        <w:rPr>
          <w:rFonts w:ascii="Times New Roman" w:hAnsi="Times New Roman"/>
          <w:color w:val="000000" w:themeColor="text1"/>
          <w:sz w:val="16"/>
          <w:szCs w:val="16"/>
        </w:rPr>
        <w:softHyphen/>
        <w:t>численными вариантами, в смысле установки различных моторов и оружия. Как известно, эти самолеты стали основными типами ВВС, строились во многих тысячах экземпляров и хорошо поработали при боевом применении в Испании, в Китае, на озере Хасане, Холхин-Голе и в текущей великой Отечественной войне.</w:t>
      </w:r>
    </w:p>
    <w:p w14:paraId="62FE20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1936 года по 1939 г. я снова работаю на ряде заводов №№ 21, 84, 156 и в качестве Главного Конструктора, а на заво</w:t>
      </w:r>
      <w:r w:rsidRPr="00070ADE">
        <w:rPr>
          <w:rFonts w:ascii="Times New Roman" w:hAnsi="Times New Roman"/>
          <w:color w:val="000000" w:themeColor="text1"/>
          <w:sz w:val="16"/>
          <w:szCs w:val="16"/>
        </w:rPr>
        <w:softHyphen/>
        <w:t>де № 156 - и Технического директора, причем, осенью 1940 г. наша опытная организация была развернута в Опытный завод № 51, а я был назначен Директором завода и Главным конструктором в качестве коего и работаю до сего времени.</w:t>
      </w:r>
    </w:p>
    <w:p w14:paraId="4A35B87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это время нами также была проведена очень большая рабо</w:t>
      </w:r>
      <w:r w:rsidRPr="00070ADE">
        <w:rPr>
          <w:rFonts w:ascii="Times New Roman" w:hAnsi="Times New Roman"/>
          <w:color w:val="000000" w:themeColor="text1"/>
          <w:sz w:val="16"/>
          <w:szCs w:val="16"/>
        </w:rPr>
        <w:softHyphen/>
        <w:t>та по опытным боевым самолетам: скоростному истребителе И180-М88 и И85-М71|, маневренному истребителю И15бис и И153, двух</w:t>
      </w:r>
      <w:r w:rsidRPr="00070ADE">
        <w:rPr>
          <w:rFonts w:ascii="Times New Roman" w:hAnsi="Times New Roman"/>
          <w:color w:val="000000" w:themeColor="text1"/>
          <w:sz w:val="16"/>
          <w:szCs w:val="16"/>
        </w:rPr>
        <w:softHyphen/>
        <w:t>моторным истребителям типов ВТ1, ВТ2 и др. - бомбардировщик НБ-2М82, планеру БДП и т.д. Целый ряд самолетов выстроен и про</w:t>
      </w:r>
      <w:r w:rsidRPr="00070ADE">
        <w:rPr>
          <w:rFonts w:ascii="Times New Roman" w:hAnsi="Times New Roman"/>
          <w:color w:val="000000" w:themeColor="text1"/>
          <w:sz w:val="16"/>
          <w:szCs w:val="16"/>
        </w:rPr>
        <w:softHyphen/>
        <w:t>ходит в настоящее время государственные испытания, а часть из них подготавливается к внедрению в серийное производство. По</w:t>
      </w:r>
      <w:r w:rsidRPr="00070ADE">
        <w:rPr>
          <w:rFonts w:ascii="Times New Roman" w:hAnsi="Times New Roman"/>
          <w:color w:val="000000" w:themeColor="text1"/>
          <w:sz w:val="16"/>
          <w:szCs w:val="16"/>
        </w:rPr>
        <w:softHyphen/>
        <w:t>становлением Совета по эвакуации при СНК СССР от 8.10-41 г. наш завод эвакуирован в гор.Новосибирск, где мы находимся и рабо</w:t>
      </w:r>
      <w:r w:rsidRPr="00070ADE">
        <w:rPr>
          <w:rFonts w:ascii="Times New Roman" w:hAnsi="Times New Roman"/>
          <w:color w:val="000000" w:themeColor="text1"/>
          <w:sz w:val="16"/>
          <w:szCs w:val="16"/>
        </w:rPr>
        <w:softHyphen/>
        <w:t>таем в настоящее время, имея Филиал нашего завода в Москве.</w:t>
      </w:r>
    </w:p>
    <w:p w14:paraId="09F39FF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Помимо чистой конструкторской работы я много работал так же по воспитанию молодых кадров - в 1919-20 гг. преподавая в Авиационной технической школе ВВС, читал эпизодические лекции, доклады в НКАП, ЦАГИ и ЦИАМ, ведя дипломное проектирование у де</w:t>
      </w:r>
      <w:r w:rsidRPr="00070ADE">
        <w:rPr>
          <w:rFonts w:ascii="Times New Roman" w:hAnsi="Times New Roman"/>
          <w:color w:val="000000" w:themeColor="text1"/>
          <w:sz w:val="16"/>
          <w:szCs w:val="16"/>
        </w:rPr>
        <w:softHyphen/>
        <w:t>сятков студентов дипломников в МАИ и Академии Воздушного Флота им. Жуковского» принимая активное участие в проведении ряда науч</w:t>
      </w:r>
      <w:r w:rsidRPr="00070ADE">
        <w:rPr>
          <w:rFonts w:ascii="Times New Roman" w:hAnsi="Times New Roman"/>
          <w:color w:val="000000" w:themeColor="text1"/>
          <w:sz w:val="16"/>
          <w:szCs w:val="16"/>
        </w:rPr>
        <w:softHyphen/>
        <w:t>ных работ в ЦАГИ с 1943 г. руководя кафедрой конструкции и про</w:t>
      </w:r>
      <w:r w:rsidRPr="00070ADE">
        <w:rPr>
          <w:rFonts w:ascii="Times New Roman" w:hAnsi="Times New Roman"/>
          <w:color w:val="000000" w:themeColor="text1"/>
          <w:sz w:val="16"/>
          <w:szCs w:val="16"/>
        </w:rPr>
        <w:softHyphen/>
        <w:t>ектирования самолетов в МАИ.</w:t>
      </w:r>
    </w:p>
    <w:p w14:paraId="624D0A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Совершенно понятно, что наша работа, как работа конструк</w:t>
      </w:r>
      <w:r w:rsidRPr="00070ADE">
        <w:rPr>
          <w:rFonts w:ascii="Times New Roman" w:hAnsi="Times New Roman"/>
          <w:color w:val="000000" w:themeColor="text1"/>
          <w:sz w:val="16"/>
          <w:szCs w:val="16"/>
        </w:rPr>
        <w:softHyphen/>
        <w:t>торов да еще по военным самолетам всегда проходит во первых - секретно, а во вторых - в обстановке исключительной спешки.</w:t>
      </w:r>
    </w:p>
    <w:p w14:paraId="40939C1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Поэтому, хотя за 20 слишком лет моей работы нами бнао успешно разрешен ряд крупнейших научных исследовательских проблем, как-то вопрос ВМГруппы мотора с воздушным охлаждением и капота для него, проблема установки на самолет крупнокалиберного оружия вплоть до пушек, калибром 37 мм, проблема синхронизации для с етрельбы через винт не только стрелкового, ио и пушечного ору</w:t>
      </w:r>
      <w:r w:rsidRPr="00070ADE">
        <w:rPr>
          <w:rFonts w:ascii="Times New Roman" w:hAnsi="Times New Roman"/>
          <w:color w:val="000000" w:themeColor="text1"/>
          <w:sz w:val="16"/>
          <w:szCs w:val="16"/>
        </w:rPr>
        <w:softHyphen/>
        <w:t>жия и т.д., но они литературно до сих пор не оформлены и, конеч</w:t>
      </w:r>
      <w:r w:rsidRPr="00070ADE">
        <w:rPr>
          <w:rFonts w:ascii="Times New Roman" w:hAnsi="Times New Roman"/>
          <w:color w:val="000000" w:themeColor="text1"/>
          <w:sz w:val="16"/>
          <w:szCs w:val="16"/>
        </w:rPr>
        <w:softHyphen/>
        <w:t>но, в силу секретности не опубликованв в печати.</w:t>
      </w:r>
    </w:p>
    <w:p w14:paraId="79D877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силу этого, вместо печатных научных трудов мы прилагаем перечень научно-исследовательских проблем, разрешенных за 20 в див ком лет работы со ссылкой на конкретные самолети, на коих они внедрены и на годы, когда они разрешены.</w:t>
      </w:r>
    </w:p>
    <w:p w14:paraId="005ECCC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этих научно-исследовательских рабо», иами проделаны ряд работ изобретательского характера - изобретение впервые в мире убирающееся в полете зимней лыжи для моноплана и для би</w:t>
      </w:r>
      <w:r w:rsidRPr="00070ADE">
        <w:rPr>
          <w:rFonts w:ascii="Times New Roman" w:hAnsi="Times New Roman"/>
          <w:color w:val="000000" w:themeColor="text1"/>
          <w:sz w:val="16"/>
          <w:szCs w:val="16"/>
        </w:rPr>
        <w:softHyphen/>
        <w:t>плана и установка вместе с тов. Шпитальным, также впервые в мире, синхронной пушки, калибром 20 мм, стреляющей через винт на на</w:t>
      </w:r>
      <w:r w:rsidRPr="00070ADE">
        <w:rPr>
          <w:rFonts w:ascii="Times New Roman" w:hAnsi="Times New Roman"/>
          <w:color w:val="000000" w:themeColor="text1"/>
          <w:sz w:val="16"/>
          <w:szCs w:val="16"/>
        </w:rPr>
        <w:softHyphen/>
        <w:t>ших самолетах И16 и И153 и ряд других работ.</w:t>
      </w:r>
    </w:p>
    <w:p w14:paraId="4FE208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Крупнокалиберное оружие всегда привлекало наше внимание и мы еще с 1936 года, впервые в СССР начали ставить на самоле</w:t>
      </w:r>
      <w:r w:rsidRPr="00070ADE">
        <w:rPr>
          <w:rFonts w:ascii="Times New Roman" w:hAnsi="Times New Roman"/>
          <w:color w:val="000000" w:themeColor="text1"/>
          <w:sz w:val="16"/>
          <w:szCs w:val="16"/>
        </w:rPr>
        <w:softHyphen/>
        <w:t>тах пушки, как мелкого, так и 37 калибра, в том чисяе на истре</w:t>
      </w:r>
      <w:r w:rsidRPr="00070ADE">
        <w:rPr>
          <w:rFonts w:ascii="Times New Roman" w:hAnsi="Times New Roman"/>
          <w:color w:val="000000" w:themeColor="text1"/>
          <w:sz w:val="16"/>
          <w:szCs w:val="16"/>
        </w:rPr>
        <w:softHyphen/>
        <w:t>бителях И16 и И15 и др. и бороться за их внедрение в отечественную авиацию.</w:t>
      </w:r>
    </w:p>
    <w:p w14:paraId="2D7CDC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Одновременно с этим шла крупная работа по внедрению на самолетах мотор-пушек так же поставленных нами, впервые в Сою</w:t>
      </w:r>
      <w:r w:rsidRPr="00070ADE">
        <w:rPr>
          <w:rFonts w:ascii="Times New Roman" w:hAnsi="Times New Roman"/>
          <w:color w:val="000000" w:themeColor="text1"/>
          <w:sz w:val="16"/>
          <w:szCs w:val="16"/>
        </w:rPr>
        <w:softHyphen/>
        <w:t>зе, на нашем же истребителе И17. Развернувшаяся борьба против пушечной авиации отдельных работников ВВС не дала нам возмож</w:t>
      </w:r>
      <w:r w:rsidRPr="00070ADE">
        <w:rPr>
          <w:rFonts w:ascii="Times New Roman" w:hAnsi="Times New Roman"/>
          <w:color w:val="000000" w:themeColor="text1"/>
          <w:sz w:val="16"/>
          <w:szCs w:val="16"/>
        </w:rPr>
        <w:softHyphen/>
        <w:t>ности широко внедрить пушечную авиацию в ВВС, но и то, что уда</w:t>
      </w:r>
      <w:r w:rsidRPr="00070ADE">
        <w:rPr>
          <w:rFonts w:ascii="Times New Roman" w:hAnsi="Times New Roman"/>
          <w:color w:val="000000" w:themeColor="text1"/>
          <w:sz w:val="16"/>
          <w:szCs w:val="16"/>
        </w:rPr>
        <w:softHyphen/>
        <w:t>лось с помощью тов.Сталина сделать в этом отношении - с честью работало и работает во 2-й Отечественной войне, послужило ба</w:t>
      </w:r>
      <w:r w:rsidRPr="00070ADE">
        <w:rPr>
          <w:rFonts w:ascii="Times New Roman" w:hAnsi="Times New Roman"/>
          <w:color w:val="000000" w:themeColor="text1"/>
          <w:sz w:val="16"/>
          <w:szCs w:val="16"/>
        </w:rPr>
        <w:softHyphen/>
        <w:t>зой для работ других конструкторов СССР, в том числе т.т. Яковлева, Лавочкина и др.</w:t>
      </w:r>
    </w:p>
    <w:p w14:paraId="2A133E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проделанную наш работу в январе мес. 1934 года по приказу Наркома тов.Орджоникидзе я был награжден легковой ав</w:t>
      </w:r>
      <w:r w:rsidRPr="00070ADE">
        <w:rPr>
          <w:rFonts w:ascii="Times New Roman" w:hAnsi="Times New Roman"/>
          <w:color w:val="000000" w:themeColor="text1"/>
          <w:sz w:val="16"/>
          <w:szCs w:val="16"/>
        </w:rPr>
        <w:softHyphen/>
        <w:t>томашиной и несколько раз премирован.</w:t>
      </w:r>
    </w:p>
    <w:p w14:paraId="3F6415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1936 года за создание образцов современных боевых са</w:t>
      </w:r>
      <w:r w:rsidRPr="00070ADE">
        <w:rPr>
          <w:rFonts w:ascii="Times New Roman" w:hAnsi="Times New Roman"/>
          <w:color w:val="000000" w:themeColor="text1"/>
          <w:sz w:val="16"/>
          <w:szCs w:val="16"/>
        </w:rPr>
        <w:softHyphen/>
        <w:t>молетов Постановлением ВЦИК я был награжден орденом Ленина» а в июле 1936 года по приказу Наркома тов. Орджоникидзе - легковой автомашиной М1.</w:t>
      </w:r>
    </w:p>
    <w:p w14:paraId="7DABD5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декабре 1937 года за освоение в серийной постройке совре</w:t>
      </w:r>
      <w:r w:rsidRPr="00070ADE">
        <w:rPr>
          <w:rFonts w:ascii="Times New Roman" w:hAnsi="Times New Roman"/>
          <w:color w:val="000000" w:themeColor="text1"/>
          <w:sz w:val="16"/>
          <w:szCs w:val="16"/>
        </w:rPr>
        <w:softHyphen/>
        <w:t>менных истребителей я был награжден орденом Красной Звезды.</w:t>
      </w:r>
    </w:p>
    <w:p w14:paraId="4435622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октябре 1938 года за успешную работу по опытным самолетам СНК ССОР наградил меня премией в 100.000 рублей и легковой автомашиной "ЗИС-101”.</w:t>
      </w:r>
    </w:p>
    <w:p w14:paraId="4F04306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июле 1940 года приказом Наркома тов.Шахурина, согласно постановления ЦК, и СНК СССР, мне установлено звание конструкто</w:t>
      </w:r>
      <w:r w:rsidRPr="00070ADE">
        <w:rPr>
          <w:rFonts w:ascii="Times New Roman" w:hAnsi="Times New Roman"/>
          <w:color w:val="000000" w:themeColor="text1"/>
          <w:sz w:val="16"/>
          <w:szCs w:val="16"/>
        </w:rPr>
        <w:softHyphen/>
        <w:t>ра 1-й степени.</w:t>
      </w:r>
    </w:p>
    <w:p w14:paraId="6EC1303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сентябре 1940 года по представлению НАГИ и Комитета по делан Высшей школы СНК СССР присвоил мне звание "Доктора техни</w:t>
      </w:r>
      <w:r w:rsidRPr="00070ADE">
        <w:rPr>
          <w:rFonts w:ascii="Times New Roman" w:hAnsi="Times New Roman"/>
          <w:color w:val="000000" w:themeColor="text1"/>
          <w:sz w:val="16"/>
          <w:szCs w:val="16"/>
        </w:rPr>
        <w:softHyphen/>
        <w:t>ческих наук" без защиты диссертации*</w:t>
      </w:r>
    </w:p>
    <w:p w14:paraId="0463773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октябре месяце 1940 года за выдающуюся работу в области самолетостроения, президиум Верховного Совета СССР удостоил ме</w:t>
      </w:r>
      <w:r w:rsidRPr="00070ADE">
        <w:rPr>
          <w:rFonts w:ascii="Times New Roman" w:hAnsi="Times New Roman"/>
          <w:color w:val="000000" w:themeColor="text1"/>
          <w:sz w:val="16"/>
          <w:szCs w:val="16"/>
        </w:rPr>
        <w:softHyphen/>
        <w:t>ня высшей наградой* присвоив мне звание "Героя Социалистаческого труда" и наградив орденом Ленина и орденом Золотой звезды.</w:t>
      </w:r>
    </w:p>
    <w:p w14:paraId="76E031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1941 года Комитет по делам Высшей школы и СНК СССР присудили мне 1-ую премию имени тов. Стадина и присвоили мне зва</w:t>
      </w:r>
      <w:r w:rsidRPr="00070ADE">
        <w:rPr>
          <w:rFonts w:ascii="Times New Roman" w:hAnsi="Times New Roman"/>
          <w:color w:val="000000" w:themeColor="text1"/>
          <w:sz w:val="16"/>
          <w:szCs w:val="16"/>
        </w:rPr>
        <w:softHyphen/>
        <w:t>ние "Сталинского лауреата"</w:t>
      </w:r>
    </w:p>
    <w:p w14:paraId="11E146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декабре 1937 года я выбран Депутатом Верховного Совеи СССР от АССР немцев Поволжья.</w:t>
      </w:r>
    </w:p>
    <w:p w14:paraId="0A69CF9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ноябре мес. 1935 года я окончил летную шкоду при Аэроклубе завода № 39 и имею звание гражданского пилота 4-го класса.</w:t>
      </w:r>
    </w:p>
    <w:p w14:paraId="184D3B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 неоднократно по поручению Правительства СССР ездил в ко</w:t>
      </w:r>
      <w:r w:rsidRPr="00070ADE">
        <w:rPr>
          <w:rFonts w:ascii="Times New Roman" w:hAnsi="Times New Roman"/>
          <w:color w:val="000000" w:themeColor="text1"/>
          <w:sz w:val="16"/>
          <w:szCs w:val="16"/>
        </w:rPr>
        <w:softHyphen/>
        <w:t>мандировку заграницу.</w:t>
      </w:r>
    </w:p>
    <w:p w14:paraId="65EDBC8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1943 г. Комитет по делам Высшей школы и СНК СССР прису</w:t>
      </w:r>
      <w:r w:rsidRPr="00070ADE">
        <w:rPr>
          <w:rFonts w:ascii="Times New Roman" w:hAnsi="Times New Roman"/>
          <w:color w:val="000000" w:themeColor="text1"/>
          <w:sz w:val="16"/>
          <w:szCs w:val="16"/>
        </w:rPr>
        <w:softHyphen/>
        <w:t>дили мне 1-ю премию имени тов. Сталина.</w:t>
      </w:r>
    </w:p>
    <w:p w14:paraId="6C678C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27.01.1944 г.</w:t>
      </w:r>
    </w:p>
    <w:p w14:paraId="5B80EAD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ПОЛИКАРПОВ Николай Николаевич</w:t>
      </w:r>
    </w:p>
    <w:p w14:paraId="7BBEC5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A6CA57" w14:textId="77777777" w:rsidR="00EC515D" w:rsidRPr="00070ADE" w:rsidRDefault="00EC515D" w:rsidP="00B56F90">
      <w:pPr>
        <w:pStyle w:val="a3"/>
        <w:rPr>
          <w:color w:val="000000" w:themeColor="text1"/>
          <w:lang w:val="ru-RU"/>
        </w:rPr>
      </w:pPr>
      <w:r w:rsidRPr="00070ADE">
        <w:rPr>
          <w:color w:val="000000" w:themeColor="text1"/>
          <w:lang w:val="ru-RU"/>
        </w:rPr>
        <w:t>20 января 1944 сразу же после завершения распорядительного заседания, где мнения участников разошлись, Бруевич направил на имя В.М. Молотова письмо с грифом «секретно» с изложением возникшей ситуации и просьбой «принять меня для личного доклада». К письму прилагался проект ранее упоминаемого положения о секции:</w:t>
      </w:r>
    </w:p>
    <w:p w14:paraId="79AD5D1E" w14:textId="77777777" w:rsidR="00EC515D" w:rsidRPr="00070ADE" w:rsidRDefault="00EC515D" w:rsidP="00B56F90">
      <w:pPr>
        <w:pStyle w:val="a3"/>
        <w:rPr>
          <w:color w:val="000000" w:themeColor="text1"/>
          <w:lang w:val="ru-RU"/>
        </w:rPr>
      </w:pPr>
      <w:r w:rsidRPr="00070ADE">
        <w:rPr>
          <w:color w:val="000000" w:themeColor="text1"/>
          <w:lang w:val="ru-RU"/>
        </w:rPr>
        <w:t>«ЗАМЕСТИТЕЛЮ ПРЕДСЕДАТЕЛЯ СОВНАРКОМА СОЮЗА ССР тов. МОЛОТОВУ В.М. Отделение технических наук внесло в президиум Академии Наук предложение об ор</w:t>
      </w:r>
      <w:r w:rsidRPr="00070ADE">
        <w:rPr>
          <w:color w:val="000000" w:themeColor="text1"/>
          <w:lang w:val="ru-RU"/>
        </w:rPr>
        <w:softHyphen/>
        <w:t>ганизации в системе Академии секции по научной разработке проблем авиации.</w:t>
      </w:r>
    </w:p>
    <w:p w14:paraId="0ADA4F39" w14:textId="77777777" w:rsidR="00EC515D" w:rsidRPr="00070ADE" w:rsidRDefault="00EC515D" w:rsidP="00B56F90">
      <w:pPr>
        <w:pStyle w:val="a3"/>
        <w:rPr>
          <w:color w:val="000000" w:themeColor="text1"/>
          <w:lang w:val="ru-RU"/>
        </w:rPr>
      </w:pPr>
      <w:r w:rsidRPr="00070ADE">
        <w:rPr>
          <w:color w:val="000000" w:themeColor="text1"/>
          <w:lang w:val="ru-RU"/>
        </w:rPr>
        <w:t>Согласно проекта положения отделения секция по научной разработке проблем авиа</w:t>
      </w:r>
      <w:r w:rsidRPr="00070ADE">
        <w:rPr>
          <w:color w:val="000000" w:themeColor="text1"/>
          <w:lang w:val="ru-RU"/>
        </w:rPr>
        <w:softHyphen/>
        <w:t>ции должна выдвигать и проводить научные исследования, способствующие развитию нашей военной и гражданской авиации, осуществлять координацию научно-исследо</w:t>
      </w:r>
      <w:r w:rsidRPr="00070ADE">
        <w:rPr>
          <w:color w:val="000000" w:themeColor="text1"/>
          <w:lang w:val="ru-RU"/>
        </w:rPr>
        <w:softHyphen/>
        <w:t>вательских работ по проблемам авиации, проводимым в учреждениях АН СССР, в от</w:t>
      </w:r>
      <w:r w:rsidRPr="00070ADE">
        <w:rPr>
          <w:color w:val="000000" w:themeColor="text1"/>
          <w:lang w:val="ru-RU"/>
        </w:rPr>
        <w:softHyphen/>
        <w:t>раслевых институтах и конструкторских бюро. Секция должна также участвовать</w:t>
      </w:r>
      <w:r w:rsidRPr="00070ADE">
        <w:rPr>
          <w:rStyle w:val="93"/>
          <w:rFonts w:ascii="Times New Roman" w:hAnsi="Times New Roman" w:cs="Times New Roman"/>
          <w:color w:val="000000" w:themeColor="text1"/>
          <w:spacing w:val="0"/>
          <w:sz w:val="16"/>
          <w:szCs w:val="16"/>
          <w:lang w:val="ru-RU"/>
        </w:rPr>
        <w:t xml:space="preserve"> в </w:t>
      </w:r>
      <w:r w:rsidRPr="00070ADE">
        <w:rPr>
          <w:color w:val="000000" w:themeColor="text1"/>
          <w:lang w:val="ru-RU"/>
        </w:rPr>
        <w:t>планировании и в координации особо важных научных работ, ведущихся в СССР.</w:t>
      </w:r>
    </w:p>
    <w:p w14:paraId="741DF2FA" w14:textId="77777777" w:rsidR="00EC515D" w:rsidRPr="00070ADE" w:rsidRDefault="00EC515D" w:rsidP="00B56F90">
      <w:pPr>
        <w:pStyle w:val="a3"/>
        <w:rPr>
          <w:color w:val="000000" w:themeColor="text1"/>
          <w:lang w:val="ru-RU"/>
        </w:rPr>
      </w:pPr>
      <w:r w:rsidRPr="00070ADE">
        <w:rPr>
          <w:color w:val="000000" w:themeColor="text1"/>
          <w:lang w:val="ru-RU"/>
        </w:rPr>
        <w:t>Проект основной научной тематики секции на 1944 г. предусматривает научные работы по прогнозу путей развития бомбардировочной, истребительной, транспортной авиации, геликоптёров, ракетных самолётов, научные исследования по методам расчёта летатель</w:t>
      </w:r>
      <w:r w:rsidRPr="00070ADE">
        <w:rPr>
          <w:color w:val="000000" w:themeColor="text1"/>
          <w:lang w:val="ru-RU"/>
        </w:rPr>
        <w:softHyphen/>
        <w:t>ных аппаратов и их частей, исследования по проблемам прочности и веса в авиации.</w:t>
      </w:r>
    </w:p>
    <w:p w14:paraId="3BFF66A5" w14:textId="77777777" w:rsidR="00EC515D" w:rsidRPr="00070ADE" w:rsidRDefault="00EC515D" w:rsidP="00B56F90">
      <w:pPr>
        <w:pStyle w:val="a3"/>
        <w:rPr>
          <w:color w:val="000000" w:themeColor="text1"/>
          <w:lang w:val="ru-RU"/>
        </w:rPr>
      </w:pPr>
      <w:r w:rsidRPr="00070ADE">
        <w:rPr>
          <w:color w:val="000000" w:themeColor="text1"/>
          <w:lang w:val="ru-RU"/>
        </w:rPr>
        <w:t>В настоящее время в Академии имеется большая группа учёных, работающих в обла</w:t>
      </w:r>
      <w:r w:rsidRPr="00070ADE">
        <w:rPr>
          <w:color w:val="000000" w:themeColor="text1"/>
          <w:lang w:val="ru-RU"/>
        </w:rPr>
        <w:softHyphen/>
        <w:t xml:space="preserve">сти авиации: академики Микулин А.А. (Герой Социалистического Труда), Юрьев Б.Н., Кулебакин </w:t>
      </w:r>
      <w:r w:rsidRPr="00070ADE">
        <w:rPr>
          <w:color w:val="000000" w:themeColor="text1"/>
        </w:rPr>
        <w:t>B</w:t>
      </w:r>
      <w:r w:rsidRPr="00070ADE">
        <w:rPr>
          <w:color w:val="000000" w:themeColor="text1"/>
          <w:lang w:val="ru-RU"/>
        </w:rPr>
        <w:t>.</w:t>
      </w:r>
      <w:r w:rsidRPr="00070ADE">
        <w:rPr>
          <w:color w:val="000000" w:themeColor="text1"/>
        </w:rPr>
        <w:t>C</w:t>
      </w:r>
      <w:r w:rsidRPr="00070ADE">
        <w:rPr>
          <w:color w:val="000000" w:themeColor="text1"/>
          <w:lang w:val="ru-RU"/>
        </w:rPr>
        <w:t>., Христианович С.А., Бруевич Н.Г.; члены-корреспонденты — Яковлев, Климов (оба — Герои Социалистического Труда), Туполев, Некрасов А.И., Келдыш.</w:t>
      </w:r>
    </w:p>
    <w:p w14:paraId="50118B4D" w14:textId="77777777" w:rsidR="00EC515D" w:rsidRPr="00070ADE" w:rsidRDefault="00EC515D" w:rsidP="00B56F90">
      <w:pPr>
        <w:pStyle w:val="a3"/>
        <w:rPr>
          <w:color w:val="000000" w:themeColor="text1"/>
          <w:lang w:val="ru-RU"/>
        </w:rPr>
      </w:pPr>
      <w:r w:rsidRPr="00070ADE">
        <w:rPr>
          <w:color w:val="000000" w:themeColor="text1"/>
          <w:lang w:val="ru-RU"/>
        </w:rPr>
        <w:t>18 января вопрос об организации секции авиации рассматривался на распорядитель</w:t>
      </w:r>
      <w:r w:rsidRPr="00070ADE">
        <w:rPr>
          <w:color w:val="000000" w:themeColor="text1"/>
          <w:lang w:val="ru-RU"/>
        </w:rPr>
        <w:softHyphen/>
        <w:t>ном заседании президиума Академии Наук. Академики Юрьев, Микулин, Кулебакин, Терпигорев, члены-корреспонденты Туполев, Некрасов горячо поддерживали предложение технического отделения об организации в Академии секции авиации. По их словам, ор</w:t>
      </w:r>
      <w:r w:rsidRPr="00070ADE">
        <w:rPr>
          <w:color w:val="000000" w:themeColor="text1"/>
          <w:lang w:val="ru-RU"/>
        </w:rPr>
        <w:softHyphen/>
        <w:t>ганизация такой секции обеспечит научное общение между работниками авиации, рабо</w:t>
      </w:r>
      <w:r w:rsidRPr="00070ADE">
        <w:rPr>
          <w:color w:val="000000" w:themeColor="text1"/>
          <w:lang w:val="ru-RU"/>
        </w:rPr>
        <w:softHyphen/>
        <w:t>тающими по моторам, самолётам, вооружению в различных ведомствах; даст координа</w:t>
      </w:r>
      <w:r w:rsidRPr="00070ADE">
        <w:rPr>
          <w:color w:val="000000" w:themeColor="text1"/>
          <w:lang w:val="ru-RU"/>
        </w:rPr>
        <w:softHyphen/>
        <w:t>цию научно-исследовательской деятельности по вопросам авиации во всех учреждени</w:t>
      </w:r>
      <w:r w:rsidRPr="00070ADE">
        <w:rPr>
          <w:color w:val="000000" w:themeColor="text1"/>
          <w:lang w:val="ru-RU"/>
        </w:rPr>
        <w:softHyphen/>
        <w:t>ях Союза; усилит научно-исследовательскую деятельность в области авиации в самой Академии Наук.</w:t>
      </w:r>
    </w:p>
    <w:p w14:paraId="4C19EE20" w14:textId="77777777" w:rsidR="00EC515D" w:rsidRPr="00070ADE" w:rsidRDefault="00EC515D" w:rsidP="00B56F90">
      <w:pPr>
        <w:pStyle w:val="a3"/>
        <w:rPr>
          <w:color w:val="000000" w:themeColor="text1"/>
          <w:lang w:val="ru-RU"/>
        </w:rPr>
      </w:pPr>
      <w:r w:rsidRPr="00070ADE">
        <w:rPr>
          <w:color w:val="000000" w:themeColor="text1"/>
          <w:lang w:val="ru-RU"/>
        </w:rPr>
        <w:t>Академиками Байковым А.А., Бруевичем была высказана мысль, что организация пред</w:t>
      </w:r>
      <w:r w:rsidRPr="00070ADE">
        <w:rPr>
          <w:color w:val="000000" w:themeColor="text1"/>
          <w:lang w:val="ru-RU"/>
        </w:rPr>
        <w:softHyphen/>
        <w:t>лагаемой секции авиации Академии Наук будет способствовать попыткам руководить на</w:t>
      </w:r>
      <w:r w:rsidRPr="00070ADE">
        <w:rPr>
          <w:color w:val="000000" w:themeColor="text1"/>
          <w:lang w:val="ru-RU"/>
        </w:rPr>
        <w:softHyphen/>
        <w:t>учно-исследовательской деятельностью отраслевых научно-исследовательских институ</w:t>
      </w:r>
      <w:r w:rsidRPr="00070ADE">
        <w:rPr>
          <w:color w:val="000000" w:themeColor="text1"/>
          <w:lang w:val="ru-RU"/>
        </w:rPr>
        <w:softHyphen/>
        <w:t>тов и наркоматов со стороны Академии Наук. Научно-исследовательская деятельность са</w:t>
      </w:r>
      <w:r w:rsidRPr="00070ADE">
        <w:rPr>
          <w:color w:val="000000" w:themeColor="text1"/>
          <w:lang w:val="ru-RU"/>
        </w:rPr>
        <w:softHyphen/>
        <w:t>мой Академии в области авиации при этом не усилится, так как силы Академии будут на</w:t>
      </w:r>
      <w:r w:rsidRPr="00070ADE">
        <w:rPr>
          <w:color w:val="000000" w:themeColor="text1"/>
          <w:lang w:val="ru-RU"/>
        </w:rPr>
        <w:softHyphen/>
        <w:t>правлены на координацию научных работ в области авиации, проводимых в Союзе, что не входит в задачу Академии Наук. К этой точке зрения присоединились члены-коррес</w:t>
      </w:r>
      <w:r w:rsidRPr="00070ADE">
        <w:rPr>
          <w:color w:val="000000" w:themeColor="text1"/>
          <w:lang w:val="ru-RU"/>
        </w:rPr>
        <w:softHyphen/>
        <w:t>понденты Ильюшин (механик) и Келдыш. Последний напомнил, что секция авиации су</w:t>
      </w:r>
      <w:r w:rsidRPr="00070ADE">
        <w:rPr>
          <w:color w:val="000000" w:themeColor="text1"/>
          <w:lang w:val="ru-RU"/>
        </w:rPr>
        <w:softHyphen/>
        <w:t>ществовала в Академии Наук, примерно, в 1936-1939 гг. под руководством члена-кор</w:t>
      </w:r>
      <w:r w:rsidRPr="00070ADE">
        <w:rPr>
          <w:color w:val="000000" w:themeColor="text1"/>
          <w:lang w:val="ru-RU"/>
        </w:rPr>
        <w:softHyphen/>
        <w:t>респондента Некрасова А.И. и заглохла, ничего не сделав. Академики Байков А.А., Бру</w:t>
      </w:r>
      <w:r w:rsidRPr="00070ADE">
        <w:rPr>
          <w:color w:val="000000" w:themeColor="text1"/>
          <w:lang w:val="ru-RU"/>
        </w:rPr>
        <w:softHyphen/>
        <w:t>евич предложили секцию авиации Академии Наук не организовывать. Научные вопросы в области прочности, аэродинамики устойчивости самолёта, по старому, развивать в ин</w:t>
      </w:r>
      <w:r w:rsidRPr="00070ADE">
        <w:rPr>
          <w:color w:val="000000" w:themeColor="text1"/>
          <w:lang w:val="ru-RU"/>
        </w:rPr>
        <w:softHyphen/>
        <w:t>ституте механики Академии Наук, обладающем</w:t>
      </w:r>
      <w:r w:rsidRPr="00070ADE">
        <w:rPr>
          <w:rStyle w:val="15MSReferenceSansSerif1"/>
          <w:rFonts w:ascii="Times New Roman" w:hAnsi="Times New Roman" w:cs="Times New Roman"/>
          <w:color w:val="000000" w:themeColor="text1"/>
          <w:sz w:val="16"/>
          <w:szCs w:val="16"/>
          <w:lang w:val="ru-RU"/>
        </w:rPr>
        <w:t xml:space="preserve"> высококвалифицированными</w:t>
      </w:r>
      <w:r w:rsidRPr="00070ADE">
        <w:rPr>
          <w:color w:val="000000" w:themeColor="text1"/>
          <w:lang w:val="ru-RU"/>
        </w:rPr>
        <w:t xml:space="preserve"> кадрами, привлечь на работу в этот институт вновь избранных академиков и</w:t>
      </w:r>
      <w:r w:rsidRPr="00070ADE">
        <w:rPr>
          <w:rStyle w:val="920"/>
          <w:rFonts w:ascii="Times New Roman" w:hAnsi="Times New Roman" w:cs="Times New Roman"/>
          <w:color w:val="000000" w:themeColor="text1"/>
          <w:spacing w:val="0"/>
          <w:sz w:val="16"/>
          <w:szCs w:val="16"/>
          <w:lang w:val="ru-RU"/>
        </w:rPr>
        <w:t xml:space="preserve"> членов</w:t>
      </w:r>
      <w:r w:rsidRPr="00070ADE">
        <w:rPr>
          <w:color w:val="000000" w:themeColor="text1"/>
          <w:lang w:val="ru-RU"/>
        </w:rPr>
        <w:t>-корреспонден</w:t>
      </w:r>
      <w:r w:rsidRPr="00070ADE">
        <w:rPr>
          <w:color w:val="000000" w:themeColor="text1"/>
          <w:lang w:val="ru-RU"/>
        </w:rPr>
        <w:softHyphen/>
        <w:t>тов самолётчиков (Юрьев, Яковлев, Туполев, Некрасов). Вопросами же координации на- учно-исследовательской деятельности в области авиации отраслевых НИИ, наркоматов и главных управлений, конструкторскими вопросами Академия Наук не может заниматься.</w:t>
      </w:r>
    </w:p>
    <w:p w14:paraId="19D123B5" w14:textId="77777777" w:rsidR="00EC515D" w:rsidRPr="00070ADE" w:rsidRDefault="00EC515D" w:rsidP="00B56F90">
      <w:pPr>
        <w:pStyle w:val="a3"/>
        <w:tabs>
          <w:tab w:val="left" w:pos="4616"/>
          <w:tab w:val="left" w:leader="hyphen" w:pos="5403"/>
        </w:tabs>
        <w:rPr>
          <w:color w:val="000000" w:themeColor="text1"/>
          <w:lang w:val="ru-RU"/>
        </w:rPr>
      </w:pPr>
      <w:r w:rsidRPr="00070ADE">
        <w:rPr>
          <w:color w:val="000000" w:themeColor="text1"/>
          <w:lang w:val="ru-RU"/>
        </w:rPr>
        <w:t>Собрание не пришло к вдиниму мнению и решило внести на рассмотрение президиума оба предложения. Прилагаю проект положения о секции по научной разработ- проблем авиации Академии Наук СССР, проект основной научной тематики секции 1944 год, внесенные в президиум отделением технических наук. Прошу принять меня для личного доклада.</w:t>
      </w:r>
    </w:p>
    <w:p w14:paraId="0753A7AE" w14:textId="77777777" w:rsidR="00EC515D" w:rsidRPr="00070ADE" w:rsidRDefault="00EC515D" w:rsidP="00B56F90">
      <w:pPr>
        <w:pStyle w:val="a3"/>
        <w:tabs>
          <w:tab w:val="left" w:pos="5322"/>
        </w:tabs>
        <w:rPr>
          <w:color w:val="000000" w:themeColor="text1"/>
          <w:lang w:val="ru-RU"/>
        </w:rPr>
      </w:pPr>
      <w:r w:rsidRPr="00070ADE">
        <w:rPr>
          <w:rStyle w:val="9pt"/>
          <w:rFonts w:ascii="Times New Roman" w:cs="Times New Roman"/>
          <w:b w:val="0"/>
          <w:i w:val="0"/>
          <w:color w:val="000000" w:themeColor="text1"/>
          <w:sz w:val="16"/>
          <w:szCs w:val="16"/>
          <w:lang w:val="ru-RU"/>
        </w:rPr>
        <w:t>АКАДЕМИК</w:t>
      </w:r>
      <w:r w:rsidRPr="00070ADE">
        <w:rPr>
          <w:b/>
          <w:color w:val="000000" w:themeColor="text1"/>
          <w:lang w:val="ru-RU"/>
        </w:rPr>
        <w:t>-</w:t>
      </w:r>
      <w:r w:rsidRPr="00070ADE">
        <w:rPr>
          <w:color w:val="000000" w:themeColor="text1"/>
          <w:lang w:val="ru-RU"/>
        </w:rPr>
        <w:t>СЕКРЕТАРЬ АКАДЕМИИ НАУК СССР академик (Н.Г. БРУЕВИЧ)»</w:t>
      </w:r>
    </w:p>
    <w:p w14:paraId="2F547848" w14:textId="77777777" w:rsidR="00EC515D" w:rsidRPr="00070ADE" w:rsidRDefault="00EC515D" w:rsidP="00B56F90">
      <w:pPr>
        <w:pStyle w:val="a3"/>
        <w:rPr>
          <w:color w:val="000000" w:themeColor="text1"/>
          <w:lang w:val="ru-RU"/>
        </w:rPr>
      </w:pPr>
      <w:r w:rsidRPr="00070ADE">
        <w:rPr>
          <w:color w:val="000000" w:themeColor="text1"/>
          <w:lang w:val="ru-RU"/>
        </w:rPr>
        <w:t>На письме есть пометка, вероятно, помощника Молотова: «Архив. Указания т. Бруичу даны. 23.1.»</w:t>
      </w:r>
    </w:p>
    <w:p w14:paraId="5697333A" w14:textId="77777777" w:rsidR="00EC515D" w:rsidRPr="00070ADE" w:rsidRDefault="00EC515D" w:rsidP="00B56F90">
      <w:pPr>
        <w:pStyle w:val="a3"/>
        <w:rPr>
          <w:color w:val="000000" w:themeColor="text1"/>
          <w:lang w:val="ru-RU"/>
        </w:rPr>
      </w:pPr>
      <w:r w:rsidRPr="00070ADE">
        <w:rPr>
          <w:color w:val="000000" w:themeColor="text1"/>
          <w:lang w:val="ru-RU"/>
        </w:rPr>
        <w:t xml:space="preserve">Так как у Молотова уже ранее было отрицательное мнение Вознесенского по письму рамовича и Панова, а также мнение наркома Шахурина, ответ и на новое письмо евича мог быть только отрицательным, тем более, что он совпадал с мнением руодства самой Академии наук. </w:t>
      </w:r>
      <w:r w:rsidRPr="00070ADE">
        <w:rPr>
          <w:rStyle w:val="147"/>
          <w:rFonts w:ascii="Times New Roman" w:hAnsi="Times New Roman" w:cs="Times New Roman"/>
          <w:color w:val="000000" w:themeColor="text1"/>
          <w:sz w:val="16"/>
          <w:szCs w:val="16"/>
          <w:lang w:val="ru-RU"/>
        </w:rPr>
        <w:t>а</w:t>
      </w:r>
      <w:r w:rsidRPr="00070ADE">
        <w:rPr>
          <w:color w:val="000000" w:themeColor="text1"/>
          <w:lang w:val="ru-RU"/>
        </w:rPr>
        <w:t xml:space="preserve"> некоторое время спустя, 9 февраля 1944 г., состоялось заседание Президиума емии Наук, на котором вопрос окончательно решили не в пользу авиационного крыла Отделения технических наук. Зная мнение правительственных структур, Юрьев изменил свою позицию и начал искать компромиссные варианты (15789).</w:t>
      </w:r>
    </w:p>
    <w:p w14:paraId="01952672" w14:textId="77777777" w:rsidR="00EC515D" w:rsidRPr="00070ADE" w:rsidRDefault="00EC515D" w:rsidP="00B56F90">
      <w:pPr>
        <w:pStyle w:val="a3"/>
        <w:rPr>
          <w:color w:val="000000" w:themeColor="text1"/>
          <w:lang w:val="ru-RU"/>
        </w:rPr>
      </w:pPr>
    </w:p>
    <w:p w14:paraId="51F085E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34CF7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CD802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С 20 ЯНВАРЯ ПО 15 ФЕВРАЛЯ 1944 ГОДА ПРОХОДИЛИ ВОЙСКОВЫЕ ИСПЫТАНИя ДЕСАНТНЫХ БРОНЕАВТОМОБИЛЕЙ БА-64 И БА-64 Б</w:t>
      </w:r>
    </w:p>
    <w:p w14:paraId="08BAFC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распоряжения начальника ГБТУ КА за №1167348с от 12 ноября 1943 года в 7-м гвардейском Нежинском механизированном корпусе проведены войсковые испытания десант</w:t>
      </w:r>
      <w:r w:rsidRPr="00070ADE">
        <w:rPr>
          <w:rFonts w:ascii="Times New Roman" w:hAnsi="Times New Roman"/>
          <w:color w:val="000000" w:themeColor="text1"/>
          <w:sz w:val="16"/>
          <w:szCs w:val="16"/>
        </w:rPr>
        <w:softHyphen/>
        <w:t>ных бронеавтомобилей БА-64 с целью:</w:t>
      </w:r>
    </w:p>
    <w:p w14:paraId="086B8B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Проверить удобство размещения экипажа, прочность и надежность работы бронетранспорте</w:t>
      </w:r>
      <w:r w:rsidRPr="00070ADE">
        <w:rPr>
          <w:rFonts w:ascii="Times New Roman" w:hAnsi="Times New Roman"/>
          <w:color w:val="000000" w:themeColor="text1"/>
          <w:sz w:val="16"/>
          <w:szCs w:val="16"/>
        </w:rPr>
        <w:softHyphen/>
        <w:t>ра и способность его буксировать 45-мм противотанковую пушку.</w:t>
      </w:r>
    </w:p>
    <w:p w14:paraId="20CDB1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Выяснить целесообразность принятия на вооружение Красной Армии десантного бронеавто</w:t>
      </w:r>
      <w:r w:rsidRPr="00070ADE">
        <w:rPr>
          <w:rFonts w:ascii="Times New Roman" w:hAnsi="Times New Roman"/>
          <w:color w:val="000000" w:themeColor="text1"/>
          <w:sz w:val="16"/>
          <w:szCs w:val="16"/>
        </w:rPr>
        <w:softHyphen/>
        <w:t>мобиля БА-64.</w:t>
      </w:r>
    </w:p>
    <w:p w14:paraId="0E1958E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войсковые испытания были представлены три десантных бронеавтомобиля, из них два БА-64 (с узкой колеей) и один БА-64-Б (с широкой колеей).</w:t>
      </w:r>
    </w:p>
    <w:p w14:paraId="7D74913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w:t>
      </w:r>
    </w:p>
    <w:p w14:paraId="7BF51D5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Десантные бронеавтомобили были испытаны пробегом на 500 км, из которых 200 км по шоссе и 300 км по проселку плохого качества (начало февраля - ранняя весна). Испытания про</w:t>
      </w:r>
      <w:r w:rsidRPr="00070ADE">
        <w:rPr>
          <w:rFonts w:ascii="Times New Roman" w:hAnsi="Times New Roman"/>
          <w:color w:val="000000" w:themeColor="text1"/>
          <w:sz w:val="16"/>
          <w:szCs w:val="16"/>
        </w:rPr>
        <w:softHyphen/>
        <w:t>водились с экипажем 5 человек (водитель и четыре автоматчика) в зимнем обмундировании и полном боевом снаряжении. Каждая машина буксировала 45-мм противотанковую пушку без зарядного ящика на расстояние 200 км (100 км по шоссе и 100 км по проселку).</w:t>
      </w:r>
    </w:p>
    <w:p w14:paraId="05736B6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боевых действиях десантные бронеавтомобили не были, так как корпус находится в резерве.</w:t>
      </w:r>
    </w:p>
    <w:p w14:paraId="37EBE4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испытания</w:t>
      </w:r>
    </w:p>
    <w:p w14:paraId="6FBBF1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За все время пробега, как по шоссе, так и по проселку, десантный бронеавтомобиль с широкой колеей шел лучше десантного бронеавтомобиля с узкой колеей. На неровностях и косогорах, а также при поворо</w:t>
      </w:r>
      <w:r w:rsidRPr="00070ADE">
        <w:rPr>
          <w:rFonts w:ascii="Times New Roman" w:hAnsi="Times New Roman"/>
          <w:color w:val="000000" w:themeColor="text1"/>
          <w:sz w:val="16"/>
          <w:szCs w:val="16"/>
        </w:rPr>
        <w:softHyphen/>
        <w:t>тах на проселке ширококолейный бронеавтомобиль вел себя устойчивее узкоколейного. При наличии глу</w:t>
      </w:r>
      <w:r w:rsidRPr="00070ADE">
        <w:rPr>
          <w:rFonts w:ascii="Times New Roman" w:hAnsi="Times New Roman"/>
          <w:color w:val="000000" w:themeColor="text1"/>
          <w:sz w:val="16"/>
          <w:szCs w:val="16"/>
        </w:rPr>
        <w:softHyphen/>
        <w:t>бокой дорожной колеи или дорожных выбоин, а также на косогорах узкоколейный бронеавтомобиль имел опасность опрокидывания, поэтому замедлял скорость или делал остановки. Ширококолейный десантный бронеавтомобиль этих недостатков относительно узкоколейного десантного бронеавтомобиля не имел.</w:t>
      </w:r>
    </w:p>
    <w:p w14:paraId="183770E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Буксировка 45-мм противотанковой пушки без зарядного ящика десантным бронеавтомоби</w:t>
      </w:r>
      <w:r w:rsidRPr="00070ADE">
        <w:rPr>
          <w:rFonts w:ascii="Times New Roman" w:hAnsi="Times New Roman"/>
          <w:color w:val="000000" w:themeColor="text1"/>
          <w:sz w:val="16"/>
          <w:szCs w:val="16"/>
        </w:rPr>
        <w:softHyphen/>
        <w:t>лем БА-64 Б по шоссе вполне удовлетворительна. Бронеавтомобиль шел на 3-4 передаче и редко на 1-2 передаче. Буксировка же пушки по проселку затруднительна, движение совершалось на 1-2 передаче и редко на 3-й передаче. Из-за низкого расположения прицепного крюка на бронеавтомо</w:t>
      </w:r>
      <w:r w:rsidRPr="00070ADE">
        <w:rPr>
          <w:rFonts w:ascii="Times New Roman" w:hAnsi="Times New Roman"/>
          <w:color w:val="000000" w:themeColor="text1"/>
          <w:sz w:val="16"/>
          <w:szCs w:val="16"/>
        </w:rPr>
        <w:softHyphen/>
        <w:t>биле были случаи, что пушка сошниками задевала за грунт, в результате чего получались рывки.</w:t>
      </w:r>
    </w:p>
    <w:p w14:paraId="21F23EE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Размещение автоматчиков в корпусе десантного бронеавтомобиля неудовлетворительное. При посадке 4-х человек в зимнем обмундировании и полном боевом снаряжении, бойцы не в состоянии даже повернуться. Выход перевозимой команды автоматчиков через боковые дверцы до выхода води</w:t>
      </w:r>
      <w:r w:rsidRPr="00070ADE">
        <w:rPr>
          <w:rFonts w:ascii="Times New Roman" w:hAnsi="Times New Roman"/>
          <w:color w:val="000000" w:themeColor="text1"/>
          <w:sz w:val="16"/>
          <w:szCs w:val="16"/>
        </w:rPr>
        <w:softHyphen/>
        <w:t>теля из машины невозможен и даже при выходе водителя из машины очень неудобен и занимает много времени. Выход команды автоматчиков через верх корпуса также неудобен и кроме того автоматчики во время выхода через верх корпуса подвержены опасности пулеметного огня или снайпера противника.</w:t>
      </w:r>
    </w:p>
    <w:p w14:paraId="6563211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ранении команды в корпусе, раненых очень трудно удалять из корпуса в обстановке обстрела.</w:t>
      </w:r>
    </w:p>
    <w:p w14:paraId="26F96A0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Расположение бензобака в задней части корпуса на половине его высоты очень опасно в пожар</w:t>
      </w:r>
      <w:r w:rsidRPr="00070ADE">
        <w:rPr>
          <w:rFonts w:ascii="Times New Roman" w:hAnsi="Times New Roman"/>
          <w:color w:val="000000" w:themeColor="text1"/>
          <w:sz w:val="16"/>
          <w:szCs w:val="16"/>
        </w:rPr>
        <w:softHyphen/>
        <w:t>ном отношении. При попадании пули или осколка в бензобак и при возникновении пожара команда не в состоянии будет выйти из машины.</w:t>
      </w:r>
    </w:p>
    <w:p w14:paraId="4964DC3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сравнении десантного бронеавтомобиля БА-64 Б с бронеавтомобилем БА-64 (с башней) и учиты</w:t>
      </w:r>
      <w:r w:rsidRPr="00070ADE">
        <w:rPr>
          <w:rFonts w:ascii="Times New Roman" w:hAnsi="Times New Roman"/>
          <w:color w:val="000000" w:themeColor="text1"/>
          <w:sz w:val="16"/>
          <w:szCs w:val="16"/>
        </w:rPr>
        <w:softHyphen/>
        <w:t>вая опыт боевых действий корпуса нужно отметить, что БА-64 (с башней) для переброски автоматчиков непригоден. За время боевых действий 7-го гвардейского Нежинского мех. корпуса БА-64 (с башней) как боевые машины не использовались, а служили лишь средством связи офицеров командования. Для целей же разведки и связи десантный БА-64 Б более удобен по сравнению с БА-64 (с башней), так как в нем кроме офицера связи могут быть помещены два автоматчика или при необходимости перевезены боеприпасы.</w:t>
      </w:r>
    </w:p>
    <w:p w14:paraId="3D601B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Требования к десантному бронеавтомобилю (бронетранспортеру)</w:t>
      </w:r>
    </w:p>
    <w:p w14:paraId="2B01F2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Бронетранспортер, смонтированный на шасси ГАЗ-67 для целей разведки, связи, перевозки команды автоматчиков и боеприпасов в зоне ружейно-пулеметного огня и эвакуации раненых с поля боя, должен иметь следующую конструкцию: сидение водителя и управление должно быть слева. Рядом с водителем должно быть сидение командира машины. У командира машины должен быть смотровой прибор, как и у водителя. Корпус бронетранспортера должен быть прямым по типу американского бронетранспортера МЗ-А-1 или ромбовидный по типу немецкого бронетранспортера. Высота борта должна закрывать сидящего в корпусе человека среднего роста. В корпусе должны быть откидывающиеся сидения на 4 человека вдоль машины по два человека на сторону. Бронетранспортер должен иметь дверцы по бокам для входа водите</w:t>
      </w:r>
      <w:r w:rsidRPr="00070ADE">
        <w:rPr>
          <w:rFonts w:ascii="Times New Roman" w:hAnsi="Times New Roman"/>
          <w:color w:val="000000" w:themeColor="text1"/>
          <w:sz w:val="16"/>
          <w:szCs w:val="16"/>
        </w:rPr>
        <w:softHyphen/>
        <w:t>ля и командира машины и дверцы сзади для выхода команды. Задние дверцы должны быть сделаны так, чтобы водитель мог закрыть их, не вставая с сидения. Бензобак должен быть установлен по типу автомобиля «Виллис». Дифференциалы переднего и заднего мостов должны быть защищены броневыми листами.</w:t>
      </w:r>
    </w:p>
    <w:p w14:paraId="04BCAA2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десантном отделении должен быть установлен ручной пулемет с возможностью кругового обстрела и обстрела зенитных целей. Спинка сидения командира машины должна быть откидывающейся. Броня бронетранспортера должна защищать от простых пуль ружейно-пулеметного огня. Вес бронетранспор</w:t>
      </w:r>
      <w:r w:rsidRPr="00070ADE">
        <w:rPr>
          <w:rFonts w:ascii="Times New Roman" w:hAnsi="Times New Roman"/>
          <w:color w:val="000000" w:themeColor="text1"/>
          <w:sz w:val="16"/>
          <w:szCs w:val="16"/>
        </w:rPr>
        <w:softHyphen/>
        <w:t>тера должен быть, возможно, меньшим и не превышать веса десантного бронеавтомобиля БА-64 Б.</w:t>
      </w:r>
    </w:p>
    <w:p w14:paraId="54D7E95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7A1E91C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Десантный бронеавтомобиль БА-64 Б (с широкой колеей) по сравнению с десантным броне</w:t>
      </w:r>
      <w:r w:rsidRPr="00070ADE">
        <w:rPr>
          <w:rFonts w:ascii="Times New Roman" w:hAnsi="Times New Roman"/>
          <w:color w:val="000000" w:themeColor="text1"/>
          <w:sz w:val="16"/>
          <w:szCs w:val="16"/>
        </w:rPr>
        <w:softHyphen/>
        <w:t>автомобилем БА-64 (с узкой колеей) имеет лучшую проходимость, устойчивость на ходу и при пово</w:t>
      </w:r>
      <w:r w:rsidRPr="00070ADE">
        <w:rPr>
          <w:rFonts w:ascii="Times New Roman" w:hAnsi="Times New Roman"/>
          <w:color w:val="000000" w:themeColor="text1"/>
          <w:sz w:val="16"/>
          <w:szCs w:val="16"/>
        </w:rPr>
        <w:softHyphen/>
        <w:t>ротах. Средняя скорость ширококолейного бронеавтомобиля по проселку выше.</w:t>
      </w:r>
    </w:p>
    <w:p w14:paraId="01CB78D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Буксировать 45-мм противотанковую пушку без зарядного ящика десантным бронеавто</w:t>
      </w:r>
      <w:r w:rsidRPr="00070ADE">
        <w:rPr>
          <w:rFonts w:ascii="Times New Roman" w:hAnsi="Times New Roman"/>
          <w:color w:val="000000" w:themeColor="text1"/>
          <w:sz w:val="16"/>
          <w:szCs w:val="16"/>
        </w:rPr>
        <w:softHyphen/>
        <w:t>мобилем БА-64 Б можно по шоссе, по разбитому проселку можно только в исключительных слу</w:t>
      </w:r>
      <w:r w:rsidRPr="00070ADE">
        <w:rPr>
          <w:rFonts w:ascii="Times New Roman" w:hAnsi="Times New Roman"/>
          <w:color w:val="000000" w:themeColor="text1"/>
          <w:sz w:val="16"/>
          <w:szCs w:val="16"/>
        </w:rPr>
        <w:softHyphen/>
        <w:t>чаях на небольшие дистанции.</w:t>
      </w:r>
    </w:p>
    <w:p w14:paraId="75E728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Десантный бронеавтомобиль БА-64 Б может быть использован для целей разведки, связи, может быть использован также для переброски автоматчиков и боеприпасов в зоне ружейно-пулеметного огня, но для этих целей он не отвечает и не удовлетворяет всем предъявляемым к нему требованиям.</w:t>
      </w:r>
    </w:p>
    <w:p w14:paraId="40085A1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Десантный бронеавтомобиль БА-64 Б для целей связи и разведки более удобен по сравнению с бронеавтомобилем БА-64 (с башней).</w:t>
      </w:r>
    </w:p>
    <w:p w14:paraId="1B73F9E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w:t>
      </w:r>
    </w:p>
    <w:p w14:paraId="4B4697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Десантный бронеавтомобиль БА-64 Б в представленном виде принять на вооружение Красной Армии нецелесообразно.</w:t>
      </w:r>
    </w:p>
    <w:p w14:paraId="6E2013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Бронетранспортер на базе автомобиля ГАЗ-67 необходим такой, как указано в требованиях к бронетранспортеру.</w:t>
      </w:r>
    </w:p>
    <w:p w14:paraId="5FAAE2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Кроме того Красной Армии необходим бронетранспортер более мощный и с более повышен</w:t>
      </w:r>
      <w:r w:rsidRPr="00070ADE">
        <w:rPr>
          <w:rFonts w:ascii="Times New Roman" w:hAnsi="Times New Roman"/>
          <w:color w:val="000000" w:themeColor="text1"/>
          <w:sz w:val="16"/>
          <w:szCs w:val="16"/>
        </w:rPr>
        <w:softHyphen/>
        <w:t>ной проходимостью по типу американского бронетранспортера М-2 и МЗ-А-1.</w:t>
      </w:r>
    </w:p>
    <w:p w14:paraId="39B353C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Для окончательной дачи заключения о прочности предъявленного к войсковым испытаниям бронеавтомобиля необходимо произвести испытания машин в боевых условиях и испытать пробе</w:t>
      </w:r>
      <w:r w:rsidRPr="00070ADE">
        <w:rPr>
          <w:rFonts w:ascii="Times New Roman" w:hAnsi="Times New Roman"/>
          <w:color w:val="000000" w:themeColor="text1"/>
          <w:sz w:val="16"/>
          <w:szCs w:val="16"/>
        </w:rPr>
        <w:softHyphen/>
        <w:t>гом на 10-15 тысяч километров, с последующим замером изношенных деталей.</w:t>
      </w:r>
    </w:p>
    <w:p w14:paraId="2FA1D01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эскизы двух вариантов формы корпуса бронетранспортера на 4-х листах</w:t>
      </w:r>
      <w:r w:rsidRPr="00070ADE">
        <w:rPr>
          <w:rFonts w:ascii="Times New Roman" w:hAnsi="Times New Roman"/>
          <w:color w:val="000000" w:themeColor="text1"/>
          <w:sz w:val="16"/>
          <w:szCs w:val="16"/>
          <w:vertAlign w:val="superscript"/>
        </w:rPr>
        <w:t>1</w:t>
      </w:r>
    </w:p>
    <w:p w14:paraId="6DB7B6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Комиссия:</w:t>
      </w:r>
    </w:p>
    <w:p w14:paraId="3BDA77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 командира 7 гвардейского Нежинского МК по технической части гвардии инженер-подполковник Колесников</w:t>
      </w:r>
    </w:p>
    <w:p w14:paraId="471612F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 начальника технического отдела 7 гвардейского Нежинского МК гвардии инженер-майор Хейфман</w:t>
      </w:r>
    </w:p>
    <w:p w14:paraId="34E1DD5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Представитель УБП и БМ ГБТУ КА инженер-капитан Яшин</w:t>
      </w:r>
    </w:p>
    <w:p w14:paraId="57F4AC5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11358. Д. 211. Л. 34-36. Подлинник (11403).</w:t>
      </w:r>
    </w:p>
    <w:p w14:paraId="6083803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FDB4B5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января 1944 вышло Постановление ГКО № 4994 О мерах по усилению завоза горючего для весеннего сева 1944 г. (7176, 121-125,126-127).</w:t>
      </w:r>
    </w:p>
    <w:p w14:paraId="0AE66F1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40DCC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января 1944 вышло Постановление ГКО № 4995 [О плане добычи золота и олова и материально-техническом снабжении Дальстроя НКВД СССР.] (7176, 128-132,133-146).</w:t>
      </w:r>
    </w:p>
    <w:p w14:paraId="6462E88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7F774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января 1944 построен Алтайский тракторный завод (4962).</w:t>
      </w:r>
    </w:p>
    <w:p w14:paraId="520EEE4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D6EDD6" w14:textId="5F4FB1BE"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w:t>
      </w:r>
      <w:r w:rsidR="00C63BA9">
        <w:rPr>
          <w:rFonts w:ascii="Times New Roman" w:hAnsi="Times New Roman"/>
          <w:bCs/>
          <w:color w:val="000000" w:themeColor="text1"/>
          <w:sz w:val="16"/>
          <w:szCs w:val="16"/>
        </w:rPr>
        <w:t xml:space="preserve"> </w:t>
      </w:r>
      <w:r w:rsidRPr="00070ADE">
        <w:rPr>
          <w:rFonts w:ascii="Times New Roman" w:hAnsi="Times New Roman"/>
          <w:bCs/>
          <w:color w:val="000000" w:themeColor="text1"/>
          <w:sz w:val="16"/>
          <w:szCs w:val="16"/>
        </w:rPr>
        <w:t>января</w:t>
      </w:r>
      <w:r w:rsidRPr="00070ADE">
        <w:rPr>
          <w:rFonts w:ascii="Times New Roman" w:hAnsi="Times New Roman"/>
          <w:color w:val="000000" w:themeColor="text1"/>
          <w:sz w:val="16"/>
          <w:szCs w:val="16"/>
        </w:rPr>
        <w:t xml:space="preserve"> в 1944 году вводится в строй первая очередь Алтайского тракторного завода (15015).</w:t>
      </w:r>
    </w:p>
    <w:p w14:paraId="4D6EE363" w14:textId="77777777" w:rsidR="00171E88" w:rsidRPr="00070ADE" w:rsidRDefault="00171E88" w:rsidP="00B56F90">
      <w:pPr>
        <w:spacing w:after="0" w:line="240" w:lineRule="auto"/>
        <w:jc w:val="both"/>
        <w:rPr>
          <w:rFonts w:ascii="Times New Roman" w:hAnsi="Times New Roman"/>
          <w:color w:val="000000" w:themeColor="text1"/>
          <w:sz w:val="16"/>
          <w:szCs w:val="16"/>
        </w:rPr>
      </w:pPr>
    </w:p>
    <w:p w14:paraId="32163318"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8B2E9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ACF0B0" w14:textId="58089705"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w:t>
      </w:r>
      <w:r w:rsidR="00C63BA9">
        <w:rPr>
          <w:rFonts w:ascii="Times New Roman" w:hAnsi="Times New Roman"/>
          <w:bCs/>
          <w:color w:val="000000" w:themeColor="text1"/>
          <w:sz w:val="16"/>
          <w:szCs w:val="16"/>
        </w:rPr>
        <w:t xml:space="preserve"> </w:t>
      </w:r>
      <w:r w:rsidRPr="00070ADE">
        <w:rPr>
          <w:rFonts w:ascii="Times New Roman" w:hAnsi="Times New Roman"/>
          <w:bCs/>
          <w:color w:val="000000" w:themeColor="text1"/>
          <w:sz w:val="16"/>
          <w:szCs w:val="16"/>
        </w:rPr>
        <w:t>января</w:t>
      </w:r>
      <w:r w:rsidRPr="00070ADE">
        <w:rPr>
          <w:rFonts w:ascii="Times New Roman" w:hAnsi="Times New Roman"/>
          <w:color w:val="000000" w:themeColor="text1"/>
          <w:sz w:val="16"/>
          <w:szCs w:val="16"/>
        </w:rPr>
        <w:t xml:space="preserve"> в 1944 году оперативная сводка Совинформбюро:</w:t>
      </w:r>
    </w:p>
    <w:p w14:paraId="5F9A4EE0"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20 января войска Ленинградского фронта продолжали развивать успешное наступление и овладели городом и железнодорожным узлом Урицк (Лигово), а также с боями заняли населённые пункты Тималово, Большой и Малый Симоногонт, Сашино, Беззаботный, Стрельна, посёлок Володарского, Сосновая Поляна, посёлок Ленина, Рюмки, Иннолово, Ниукази, Малое и Большое Никкарово, Куттузи, Капорская, Алакюля, Коцелово, Михайловка, Расколово, Нижняя. Войска, наступающие из района Пулково, соединились с войсками,наступающими из района южнее Ораниенбаума. Отдельные разрозненные группы разгромленных немецко-фашистских частей окружены нашими войсками и уничтожаются.</w:t>
      </w:r>
    </w:p>
    <w:p w14:paraId="3DD0D765"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Ленинградского фронта с 14 по 20 января захватили следующие трофеи: орудий разных калибров — 265, в том числе 85 тяжёлых орудий из артиллерийской группы, обстреливавшей Ленинград, танков — 30, миномётов — 159, пулемётов — 274, складов с боеприпасами и вооружением — 18.</w:t>
      </w:r>
    </w:p>
    <w:p w14:paraId="0FE40660"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убитых немецких солдат и офицеров увеличилось до 25.000.</w:t>
      </w:r>
    </w:p>
    <w:p w14:paraId="39D54BB2"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Волховского фронта в результате умелого обходного манёвра 20 января штурмом овладели городом Новгород. Продолжая развивать наступление, войска фронта овладели населёнными пунктами Долгово, Старая Мельница, Большое Ляпино, Горынево, железнодорожной станцией Нащи и вели успешные бои по ликвидации окружённых частей противника в лесах западнее Новгорода.</w:t>
      </w:r>
    </w:p>
    <w:p w14:paraId="46C5B5B1"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наступления войска Волховского фронта захватили трофеи: орудий разных калибров — 182, в том числе 16 самоходных, миномётов — 120, в том числе 16 шестиствольных, пулемётов — 635, автомашин — 263, тягачей — 21, складов с военным имуществом — 28. Уничтожено: орудий разных калибров — 178 и, кроме того, самоходных орудий — 20, танков — 16, миномётов — 110, пулемётов — 365, автомашин— 350.</w:t>
      </w:r>
    </w:p>
    <w:p w14:paraId="29D832D3"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Захвачено в плен более 3.000 немецких солдат и офицеров.</w:t>
      </w:r>
    </w:p>
    <w:p w14:paraId="6622953A"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Противник оставил на поле боя до 15.000 трупов солдат и офицеров.</w:t>
      </w:r>
    </w:p>
    <w:p w14:paraId="57C3C456"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Христиновка наши войска успешно отбили контратаки пехоты и танков противника.</w:t>
      </w:r>
    </w:p>
    <w:p w14:paraId="0C4FF129"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71E3642B"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19 января нашими войсками на всех фронтах подбито и уничтожено 94 немецких танка. В воздушных боях и огнём зенитной артиллерии сбито 17 самолётов противника.</w:t>
      </w:r>
    </w:p>
    <w:p w14:paraId="3B86C141"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Ленинградского фронта продолжали успешное наступление. Советские подвижные части, стремительно продвигаясь на юго-запад от города Красное Село, соединились с частями, наступавшими южнее Ораниенбаума, и тем самым окружили группу войск противника, расположенную в районе Стрельна. Решительными действиями наши войска овладели городом Урицк (Лигово) и рядом других крупных населённых пунктов. Ликвидируются разобщённые и разрозненные группы немцев. Многие немецкие солдаты и офицеры складывают оружие и сдаются в плен. Захвачено огромное количество различного вооружения и военных материалов.</w:t>
      </w:r>
    </w:p>
    <w:p w14:paraId="3BB0A95D"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активно содействовала наступлению наземных войск. В течение дня советские бомбардировщики и штурмовики наносили непрерывные удары по опорным пунктам, подходящим резервам, скоплениям войск и транспорта противника. Врезультате этих ударов наша авиация нанесла тяжёлый урон немецко-фашистским войскам.</w:t>
      </w:r>
    </w:p>
    <w:p w14:paraId="035E2AF5"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Волховского фронта продолжали развивать успешное наступление. Наши войска, действующие севернее Новгорода, совершили умелый обходный манёвр и, овладев железнодорожной станцией Нащи, перерезали железную дорогу Новгород —Батецкая. Стремительно продвигаясь вперёд, советские части оседлали последнее шоссе, по которому немцы могли отступить на запад из района Новгорода. В это же время вышли на шоссе и наши части, действовавшие южнее Новгорода. Таким образом, противнику были отрезаны все пути отхода. Завершив эту операцию, советские войска сегодня штурмом овладели важнейшим хозяйственно-политическим центром страны, древним русским городом Новгород. Освобождён от немецких захватчиков крупный железнодорожный узел и узел шоссейных дорог. Части противника, окружённые в лесах западнее Новгорода, уничтожаются нашими войсками.</w:t>
      </w:r>
    </w:p>
    <w:p w14:paraId="4EA2A822"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Развивая успех, войска Волховского фронта заняли рад населённых пунктов. Врайоне Сырковских инвалидных домов наши бойцы освободили несколько тысяч советских граждан, которых гитлеровцы угоняли на каторгу в Германию.</w:t>
      </w:r>
    </w:p>
    <w:p w14:paraId="511903DB"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Новосокольники отряд советских лыжников пробрался в тыл противника и стремительно атаковал немецкую артиллерийскую батарею. Лыжники захватили 3 дальнобойных орудия, склад боеприпасов и удержали занятые позиции до подхода основных наших сил.</w:t>
      </w:r>
    </w:p>
    <w:p w14:paraId="47B5CACA"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Христиновки рано утром танки и пехота противника атаковали наши позиции. Вражеские танки были встречены огнём артиллерийских батарей и бронебойщиков и быстро вышли из боя. Немецкая пехота, оставшаяся без прикрытия танков, была смята нашими бойцами и в большей своей части уничтожена. В середине дня гитлеровцы повторили контратаку, но были отброшены с ещё более тяжёлыми потерями. В этих боях советские части уничтожили до 1.500 немецких солдат и офицеров, подбили и сожгли 32 танка и 9 самоходных орудий. На другом участке наши подразделения окружили и уничтожили две роты гитлеровцев.</w:t>
      </w:r>
    </w:p>
    <w:p w14:paraId="2431863E"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Партизанский отряд, действующий в Ленинградской области, в ночь на 10 января совершил внезапное нападение на железнодорожную станцию. Советские патриоты разбили 33 вагона с грузами, взорвали 6 стрелок, 5 крестовин, 250 железнодорожных рельсов и военный склад противника. Уничтожено 52 гитлеровца, охранявших станцию.</w:t>
      </w:r>
    </w:p>
    <w:p w14:paraId="1AF7D0B7"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Крымскими партизанами захвачен в плен ефрейтор 11 роты 615 немецкого полка Йозеф Вольдкер. Пленный рассказал: «Под предлогом эвакуации гражданского населения немецкие военные власти в Крыму вывозят на баржах тысячи мирных жителей в открытое море и топят их. В ночь на 7 декабря 1943 года в Евпаторийском порту специальная команда эсэсовцев погрузила на баржу большую группу советских граждан, насильно эвакуированных немцами с Кубани. Через несколько часов все эти люди были потоплены. Восьмого декабря близ Севастополя потоплено 5 тысяч заключенных, содержавшихся в городских тюрьмах гестапо. На днях по распоряжению военных властей была вывезена в море и потоплена группа раненых советских военнопленных».</w:t>
      </w:r>
    </w:p>
    <w:p w14:paraId="300ECE4E"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Показания пленного немецкого солдата свидетельствуют о чудовищных злодеяниях, которые творят немецко-фашистские мерзавцы над мирными жителями Крыма и ранеными бойцами, попавшими в плен к немцам. Немецкие изверги вывозят на баржах в море беззащитных советских граждан и топят их. Окружённые в Крыму немецкие разбойники не уйдут от самой суровой ответственности за это новое злодеяние, совершённое ими на советской земле.» (15015).</w:t>
      </w:r>
    </w:p>
    <w:p w14:paraId="430D474D" w14:textId="77777777" w:rsidR="00171E88" w:rsidRPr="00070ADE" w:rsidRDefault="00171E88" w:rsidP="00B56F90">
      <w:pPr>
        <w:spacing w:after="0" w:line="240" w:lineRule="auto"/>
        <w:jc w:val="both"/>
        <w:rPr>
          <w:rFonts w:ascii="Times New Roman" w:hAnsi="Times New Roman"/>
          <w:color w:val="000000" w:themeColor="text1"/>
          <w:sz w:val="16"/>
          <w:szCs w:val="16"/>
        </w:rPr>
      </w:pPr>
    </w:p>
    <w:p w14:paraId="6F751AF4" w14:textId="1789AEB8"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w:t>
      </w:r>
      <w:r w:rsidR="00C63BA9">
        <w:rPr>
          <w:rFonts w:ascii="Times New Roman" w:hAnsi="Times New Roman"/>
          <w:bCs/>
          <w:color w:val="000000" w:themeColor="text1"/>
          <w:sz w:val="16"/>
          <w:szCs w:val="16"/>
        </w:rPr>
        <w:t xml:space="preserve"> </w:t>
      </w:r>
      <w:r w:rsidRPr="00070ADE">
        <w:rPr>
          <w:rFonts w:ascii="Times New Roman" w:hAnsi="Times New Roman"/>
          <w:bCs/>
          <w:color w:val="000000" w:themeColor="text1"/>
          <w:sz w:val="16"/>
          <w:szCs w:val="16"/>
        </w:rPr>
        <w:t>января</w:t>
      </w:r>
      <w:r w:rsidRPr="00070ADE">
        <w:rPr>
          <w:rFonts w:ascii="Times New Roman" w:hAnsi="Times New Roman"/>
          <w:color w:val="000000" w:themeColor="text1"/>
          <w:sz w:val="16"/>
          <w:szCs w:val="16"/>
        </w:rPr>
        <w:t xml:space="preserve"> в 1944 году войска Ленинградского и Волховского фронтов завершили разгром фланговых группировок 18-й немецкой армии. Войска 59-й армии Волховского фронта (совместно с 7-м стрелковым корпусом) окружили части новгородской группировки немцев, отразили их попытки вырваться из окружения и освободили Новгород (15015).</w:t>
      </w:r>
    </w:p>
    <w:p w14:paraId="7A97F581" w14:textId="77777777" w:rsidR="00171E88" w:rsidRPr="00070ADE" w:rsidRDefault="00171E88" w:rsidP="00B56F90">
      <w:pPr>
        <w:spacing w:after="0" w:line="240" w:lineRule="auto"/>
        <w:jc w:val="both"/>
        <w:rPr>
          <w:rFonts w:ascii="Times New Roman" w:hAnsi="Times New Roman"/>
          <w:color w:val="000000" w:themeColor="text1"/>
          <w:sz w:val="16"/>
          <w:szCs w:val="16"/>
        </w:rPr>
      </w:pPr>
    </w:p>
    <w:p w14:paraId="32B2413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января 1944 советские войска освободили Новгород (4962).</w:t>
      </w:r>
    </w:p>
    <w:p w14:paraId="7B7D7FD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9F8F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January 20, 1944: On the Northern front in Russia, the Red Army recaptures Novgorod. The RAF launches a heavy attack (700 bombers) against Berlin (3819).</w:t>
      </w:r>
    </w:p>
    <w:p w14:paraId="3C5083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7CFD93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 xml:space="preserve">20 </w:t>
      </w:r>
      <w:r w:rsidRPr="00070ADE">
        <w:rPr>
          <w:rFonts w:ascii="Times New Roman" w:hAnsi="Times New Roman"/>
          <w:color w:val="000000" w:themeColor="text1"/>
          <w:sz w:val="16"/>
          <w:szCs w:val="16"/>
        </w:rPr>
        <w:t>января</w:t>
      </w:r>
      <w:r w:rsidRPr="00070ADE">
        <w:rPr>
          <w:rFonts w:ascii="Times New Roman" w:hAnsi="Times New Roman"/>
          <w:color w:val="000000" w:themeColor="text1"/>
          <w:sz w:val="16"/>
          <w:szCs w:val="16"/>
          <w:lang w:val="en-US"/>
        </w:rPr>
        <w:t xml:space="preserve"> 1944 </w:t>
      </w:r>
      <w:r w:rsidRPr="00070ADE">
        <w:rPr>
          <w:rFonts w:ascii="Times New Roman" w:hAnsi="Times New Roman"/>
          <w:color w:val="000000" w:themeColor="text1"/>
          <w:sz w:val="16"/>
          <w:szCs w:val="16"/>
        </w:rPr>
        <w:t>былосвобожденНовгород</w:t>
      </w:r>
      <w:r w:rsidRPr="00070ADE">
        <w:rPr>
          <w:rFonts w:ascii="Times New Roman" w:hAnsi="Times New Roman"/>
          <w:color w:val="000000" w:themeColor="text1"/>
          <w:sz w:val="16"/>
          <w:szCs w:val="16"/>
          <w:lang w:val="en-US"/>
        </w:rPr>
        <w:t xml:space="preserve"> (1348,224).</w:t>
      </w:r>
    </w:p>
    <w:p w14:paraId="7BCC4E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7DDD7F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января 1944 года 19-й КИАП (с августа 1944 года - 176-й ГИАП) под командованием Героя Советского Союза полковника Л.Л. Шестакова в составе 40 экипажей, полностью укомплектованный и оттренированныи на 1-й Украинском фронте при</w:t>
      </w:r>
      <w:r w:rsidRPr="00070ADE">
        <w:rPr>
          <w:rFonts w:ascii="Times New Roman" w:hAnsi="Times New Roman"/>
          <w:color w:val="000000" w:themeColor="text1"/>
          <w:sz w:val="16"/>
          <w:szCs w:val="16"/>
        </w:rPr>
        <w:softHyphen/>
        <w:t>ступил к боевым действиям с аэро</w:t>
      </w:r>
      <w:r w:rsidRPr="00070ADE">
        <w:rPr>
          <w:rFonts w:ascii="Times New Roman" w:hAnsi="Times New Roman"/>
          <w:color w:val="000000" w:themeColor="text1"/>
          <w:sz w:val="16"/>
          <w:szCs w:val="16"/>
        </w:rPr>
        <w:softHyphen/>
        <w:t>дрома Журбинцы (10714).</w:t>
      </w:r>
    </w:p>
    <w:p w14:paraId="44B2534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31A80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740706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99072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января 1944 года</w:t>
      </w:r>
    </w:p>
    <w:p w14:paraId="25B41C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ЛИЧНО И СЕКРЕТНО ОТ ПРЕМЬЕРА И. В. СТАЛИНА ПРЕМЬЕР-МИНИСТРУ У. ЧЕРЧИЛЛЮ</w:t>
      </w:r>
    </w:p>
    <w:p w14:paraId="09A480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Выражаю Вам признательность за сообщение о Вашем решении направить в середине марта в Советский Союз дополнительный конвой из 20 судов, сверх предусмотренных ранее. Это будет весьма ценно для нашего фронта (7430).</w:t>
      </w:r>
    </w:p>
    <w:p w14:paraId="06DAED8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D8236D"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59D3C0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9EE9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января 1944 Королевские ВВС с использованием 700 бомбардировщиков совершили налет на Берлин (3819).</w:t>
      </w:r>
    </w:p>
    <w:p w14:paraId="0A5E59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9B9667" w14:textId="62E08381"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 января</w:t>
      </w:r>
      <w:r w:rsidRPr="00070ADE">
        <w:rPr>
          <w:rFonts w:ascii="Times New Roman" w:hAnsi="Times New Roman"/>
          <w:color w:val="000000" w:themeColor="text1"/>
          <w:sz w:val="16"/>
          <w:szCs w:val="16"/>
        </w:rPr>
        <w:t xml:space="preserve"> в 1944 году массированная бомбардировка британскими ВВС Берлина. ВВС Великобритании сбрасывают 2,300 тонн бомб на Берлин (15015).</w:t>
      </w:r>
    </w:p>
    <w:p w14:paraId="4BE5DBA3" w14:textId="77777777" w:rsidR="00171E88" w:rsidRPr="00070ADE" w:rsidRDefault="00171E88" w:rsidP="00B56F90">
      <w:pPr>
        <w:spacing w:after="0" w:line="240" w:lineRule="auto"/>
        <w:jc w:val="both"/>
        <w:rPr>
          <w:rFonts w:ascii="Times New Roman" w:hAnsi="Times New Roman"/>
          <w:color w:val="000000" w:themeColor="text1"/>
          <w:sz w:val="16"/>
          <w:szCs w:val="16"/>
        </w:rPr>
      </w:pPr>
    </w:p>
    <w:p w14:paraId="0BA0BB61"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20–21 января (ночь) 1944 769 британских бомбардировщиков совершают налет на Берлин. Немецкие ночные истребители рано перехватывают их, и 35 бомбардировщиков (4,6% сил) потеряны. Берлин полностью закрыт облаками, и результаты рейда неизвестны (20373).</w:t>
      </w:r>
    </w:p>
    <w:p w14:paraId="30411E27" w14:textId="77777777" w:rsidR="00D549FB" w:rsidRPr="00070ADE" w:rsidRDefault="00D549FB" w:rsidP="00B56F90">
      <w:pPr>
        <w:spacing w:after="0" w:line="240" w:lineRule="auto"/>
        <w:jc w:val="both"/>
        <w:rPr>
          <w:rFonts w:ascii="Times New Roman" w:hAnsi="Times New Roman"/>
          <w:color w:val="000000" w:themeColor="text1"/>
          <w:sz w:val="16"/>
          <w:szCs w:val="16"/>
        </w:rPr>
      </w:pPr>
    </w:p>
    <w:p w14:paraId="4D2E948F"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января 1944 вечером с аэродрома Шатоден во Франции взлетели тридцать Не 177А. Они набрали высоту 7000 м не считаясь с тем, что радары противника обнаружат их еще над Францией. На подходе к Лондону Не 177 перешли в пологое пике и, разогнавшись до скорости 680 км/ч, оторвались от истребителей, не смогли вести прицельный огонь и зенитчики. «Томми», рассчитывая перехватить группу на пути возвращения, выслали истребителей на маршрут, которым «хейнкели» прилетели из Шатодена, но те воспользовались американским приемом челночных полетов и вместо разворота пошли на север, прошли ПВО там, где их никто не ждал, и в полном составе приземлились на аэродромах Рейнской области Германии, противник даже не смог отследить, куда же они делись. Следующий вылет был выполнен обратным порядком столь же успешно (22839).</w:t>
      </w:r>
    </w:p>
    <w:p w14:paraId="0F061C5A" w14:textId="77777777" w:rsidR="00D549FB" w:rsidRPr="00070ADE" w:rsidRDefault="00D549FB" w:rsidP="00B56F90">
      <w:pPr>
        <w:spacing w:after="0" w:line="240" w:lineRule="auto"/>
        <w:jc w:val="both"/>
        <w:rPr>
          <w:rFonts w:ascii="Times New Roman" w:hAnsi="Times New Roman"/>
          <w:color w:val="000000" w:themeColor="text1"/>
          <w:sz w:val="16"/>
          <w:szCs w:val="16"/>
        </w:rPr>
      </w:pPr>
    </w:p>
    <w:p w14:paraId="4C27DD79" w14:textId="5A21E0E6"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 января</w:t>
      </w:r>
      <w:r w:rsidRPr="00070ADE">
        <w:rPr>
          <w:rFonts w:ascii="Times New Roman" w:hAnsi="Times New Roman"/>
          <w:color w:val="000000" w:themeColor="text1"/>
          <w:sz w:val="16"/>
          <w:szCs w:val="16"/>
        </w:rPr>
        <w:t xml:space="preserve"> в 1944 году Черчилль на переговорах с представителями польского эмигрантского правительства высказался за установление польских границ на западе по т.н. «линии Керзона» (15015).</w:t>
      </w:r>
    </w:p>
    <w:p w14:paraId="30683BF5" w14:textId="77777777" w:rsidR="00171E88" w:rsidRPr="00070ADE" w:rsidRDefault="00171E88" w:rsidP="00B56F90">
      <w:pPr>
        <w:spacing w:after="0" w:line="240" w:lineRule="auto"/>
        <w:jc w:val="both"/>
        <w:rPr>
          <w:rFonts w:ascii="Times New Roman" w:hAnsi="Times New Roman"/>
          <w:color w:val="000000" w:themeColor="text1"/>
          <w:sz w:val="16"/>
          <w:szCs w:val="16"/>
        </w:rPr>
      </w:pPr>
    </w:p>
    <w:p w14:paraId="29D0E70B"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E3C5D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ECFBA8" w14:textId="77777777" w:rsidR="00961B62" w:rsidRPr="00070ADE" w:rsidRDefault="00961B62" w:rsidP="00B56F90">
      <w:pPr>
        <w:spacing w:after="0" w:line="240" w:lineRule="auto"/>
        <w:jc w:val="both"/>
        <w:textAlignment w:val="top"/>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21 января 1944 вышел приказ НКАП</w:t>
      </w:r>
    </w:p>
    <w:p w14:paraId="2A7F47B4" w14:textId="77777777" w:rsidR="00961B62" w:rsidRPr="00070ADE" w:rsidRDefault="00961B62" w:rsidP="00B56F90">
      <w:pPr>
        <w:spacing w:after="0" w:line="240" w:lineRule="auto"/>
        <w:jc w:val="both"/>
        <w:textAlignment w:val="top"/>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О результатах испытаний эталонных самолетов. Упоминаются Ил-2 30го з-да N2804 и Ил-2 1го з-да N7964 (19706).</w:t>
      </w:r>
    </w:p>
    <w:p w14:paraId="6FEE9EFA" w14:textId="77777777" w:rsidR="00961B62" w:rsidRPr="00070ADE" w:rsidRDefault="00961B62" w:rsidP="00B56F90">
      <w:pPr>
        <w:spacing w:after="0" w:line="240" w:lineRule="auto"/>
        <w:jc w:val="both"/>
        <w:textAlignment w:val="top"/>
        <w:rPr>
          <w:rFonts w:ascii="Times New Roman" w:eastAsia="Times New Roman" w:hAnsi="Times New Roman"/>
          <w:color w:val="000000" w:themeColor="text1"/>
          <w:sz w:val="16"/>
          <w:szCs w:val="16"/>
          <w:lang w:eastAsia="ru-RU"/>
        </w:rPr>
      </w:pPr>
    </w:p>
    <w:p w14:paraId="3055CDD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января 1944 вышел приказ N 2 по 10 ГУ:</w:t>
      </w:r>
    </w:p>
    <w:p w14:paraId="66C57B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проведенной работы по повышению качества изготовления самолета Ил-10 и улучшения его аэродинамики завод 30 добился заметных результатов по улучшению ЛТД выпускаемых самолетов. При гос испытаниях эталонного серийного самолета N 2804 завода 30 получена макс. гор. скорость у земли, равная 392 км/час и на границе высотность - 410 км/час, т.е. выше скоростей, предусмотренных ТУ.</w:t>
      </w:r>
    </w:p>
    <w:p w14:paraId="41108CC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то, что завод 1 также провел работу по повышению качества выпускаемых самолетов Ил-2 и внес в серийный самолет основные улучшения по аэродинамике, проведенные заводом 30, гос. испытания эталонного самолета N 7964 завода 1 выявили значительно худшие результаты по основным ЛТД самолета: макс. скорость у земли при тех же условиях работы мотора с новым винтом АВ-5Л-158В получилась равной 384 км/час и на границе высотности - 404 км/час, т.е. ниже скоростей, достигнутых заводом 30.</w:t>
      </w:r>
    </w:p>
    <w:p w14:paraId="32F5A38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Испытанный самолет завода 1 не утвержден НИИ ВВС как эталон из-за неудовлетворительного производственного испполнения:</w:t>
      </w:r>
    </w:p>
    <w:p w14:paraId="149062B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неудовлетворительной отделки поверхности крыла, уступающего по качеству самолету завода 30 (обшивка имеет волнистость, лонжероны выступают из-под обшивки, плохо подогнаны лючки и т.д.</w:t>
      </w:r>
    </w:p>
    <w:p w14:paraId="0226ED8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большое трение в механизме посадочных щитков, не открывающихся нормально в полете.</w:t>
      </w:r>
    </w:p>
    <w:p w14:paraId="2A741E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неудовлетворительной работы теромозов.</w:t>
      </w:r>
    </w:p>
    <w:p w14:paraId="43C209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небрежный монтаж спецоборудования и др. дефекты.</w:t>
      </w:r>
    </w:p>
    <w:p w14:paraId="05F3B3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улучшения ЛТД серийных самолетов Ил-2, выпускаемых заводом 1.</w:t>
      </w:r>
    </w:p>
    <w:p w14:paraId="713024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Директору завода 1 А.Т.Третьякову:</w:t>
      </w:r>
    </w:p>
    <w:p w14:paraId="5EF10C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Устранить на серийном самолете Ил-2 дефекты его производственного выполнения, отмеченные в акте НИИ ВВС по испытаниям самолета N 7964 от 18 ноября 1943 N 0265.</w:t>
      </w:r>
    </w:p>
    <w:p w14:paraId="6078CA2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Провести все улучшения по аэродинамике самолета, подтвержденные заводом 30 на эталонной машине N 2804.</w:t>
      </w:r>
    </w:p>
    <w:p w14:paraId="14EF79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Обеспечить особо качественную отделку поверхностей крыльев, устранив волнистость и обеспечить тщательную подгонку лючков.</w:t>
      </w:r>
    </w:p>
    <w:p w14:paraId="42124D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Предъявить эталонный Ил-2 с нормальным винтом АВ-5Л-158 на повторные гос. испытания в НИИ ВВС к 10 февраля 1944." (Кузнецов) (2479,2).</w:t>
      </w:r>
    </w:p>
    <w:p w14:paraId="532868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2ADD55" w14:textId="77777777" w:rsidR="00961B62" w:rsidRPr="00070ADE" w:rsidRDefault="00961B6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21 января 1944 г.</w:t>
      </w:r>
    </w:p>
    <w:p w14:paraId="1779E018" w14:textId="77777777" w:rsidR="00961B62" w:rsidRPr="00070ADE" w:rsidRDefault="00961B6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Докладная записка главного конструктора завода № 477</w:t>
      </w:r>
    </w:p>
    <w:p w14:paraId="3996C6DF" w14:textId="77777777" w:rsidR="00961B62" w:rsidRPr="00070ADE" w:rsidRDefault="00961B6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Г.М. Бериева директору завода № 477 И.Я. Рехтману</w:t>
      </w:r>
    </w:p>
    <w:p w14:paraId="68581DCB" w14:textId="77777777" w:rsidR="00961B62" w:rsidRPr="00070ADE" w:rsidRDefault="00961B6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г. Москва 21 января 1944 г.</w:t>
      </w:r>
    </w:p>
    <w:p w14:paraId="177BEB36" w14:textId="77777777" w:rsidR="00961B62" w:rsidRPr="00070ADE" w:rsidRDefault="00961B6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секретно</w:t>
      </w:r>
    </w:p>
    <w:p w14:paraId="07FB30C4" w14:textId="77777777" w:rsidR="00961B62" w:rsidRPr="00070ADE" w:rsidRDefault="00961B6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По приезду в Москву я был на докладе у зам[естителя] наркома тов. Кузнецова А.И., у нач[альни]ка ВВС генерал-полковника Жаворонкова, затем у народного комиссара тов. Шахурина и в ЦК у тов. Суббочева.</w:t>
      </w:r>
    </w:p>
    <w:p w14:paraId="4A8A80E1" w14:textId="77777777" w:rsidR="00961B62" w:rsidRPr="00070ADE" w:rsidRDefault="00961B6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lastRenderedPageBreak/>
        <w:t>Вчера наркомом завизировано постановление ГКО, в котором по нашему заводу выход первой опытной машины намечен на летные испытания на 1 сентября с.г.</w:t>
      </w:r>
    </w:p>
    <w:p w14:paraId="3E7F21FD" w14:textId="77777777" w:rsidR="00961B62" w:rsidRPr="00070ADE" w:rsidRDefault="00961B6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Наркомом мне было заявлено, поскольку моряки весьма настаивают на быстрейшей постройке опытного объекта (материал макетной комиссии был утвержден адмиралом Кузнецовым), то основной задачей завода № 477 в текущем году является своевременный выпуск опытного объекта.</w:t>
      </w:r>
    </w:p>
    <w:p w14:paraId="2E47B01E" w14:textId="77777777" w:rsidR="00961B62" w:rsidRPr="00070ADE" w:rsidRDefault="00961B6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Вчера же на совещании у тов. Кузнецова А.И. в целях ускорения строительства опытной машины было вынесено решение о сокращении на нашем заводе серийной программы до 20 машин с передачей остальных 30 машин на строительство на завод № 86 в г. Таганроге.</w:t>
      </w:r>
    </w:p>
    <w:p w14:paraId="0F3C3423" w14:textId="77777777" w:rsidR="00961B62" w:rsidRPr="00070ADE" w:rsidRDefault="00961B6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Вопрос о командировании на наш завод 200 квалифицированных рабочих решен положительно, и тов. Кузнецов мне сообщил, что на заводы № №477 и 86 соответствующие указания уже спущены.</w:t>
      </w:r>
    </w:p>
    <w:p w14:paraId="13A8CFE6" w14:textId="77777777" w:rsidR="00961B62" w:rsidRPr="00070ADE" w:rsidRDefault="00961B6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Нужно командировать наших представителей на зав[од] № 86 для реализации этого решения.</w:t>
      </w:r>
    </w:p>
    <w:p w14:paraId="4E3C7256" w14:textId="77777777" w:rsidR="00961B62" w:rsidRPr="00070ADE" w:rsidRDefault="00961B6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В части станочного оборудования и других вопросов я имею указание наркома включить их в приказ по НКАП, реализующий постановление ГКО.</w:t>
      </w:r>
    </w:p>
    <w:p w14:paraId="7FFB2787" w14:textId="77777777" w:rsidR="00961B62" w:rsidRPr="00070ADE" w:rsidRDefault="00961B6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План опытных работ с 7-м и 10-м Главными управлениями я увязал в соответствии с решением у тов. Кузнецова, причем, объем и финансирование опытных работ в объеме, нами представленном.</w:t>
      </w:r>
    </w:p>
    <w:p w14:paraId="61286186" w14:textId="77777777" w:rsidR="00961B62" w:rsidRPr="00070ADE" w:rsidRDefault="00961B6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По вопросу винтов для Бе-4 я с тов. Кизельштейном был у директора завода тов. Казанского и тов. Заславского. Оба обещали в январе – феврале закончить всю годовую программу. Завтра для контроля хода работ по винтам буду на заводе № 27.</w:t>
      </w:r>
    </w:p>
    <w:p w14:paraId="653238B4" w14:textId="77777777" w:rsidR="00961B62" w:rsidRPr="00070ADE" w:rsidRDefault="00961B6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Задержусь в Москве до оформления приказа наркома, возможно, на 2-3 недели. Прошу учесть создавшееся положение с программой и форсировать работы по опытному объекту.</w:t>
      </w:r>
    </w:p>
    <w:p w14:paraId="52B6483A" w14:textId="77777777" w:rsidR="00961B62" w:rsidRPr="00070ADE" w:rsidRDefault="00961B6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Главный конструктор завода подпись Бериев</w:t>
      </w:r>
    </w:p>
    <w:p w14:paraId="35FDB60F" w14:textId="77777777" w:rsidR="00961B62" w:rsidRPr="00070ADE" w:rsidRDefault="00961B6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КГКУ «ГАКК». Ф.Р-1341. Оп. 4. Д. 155. Л. 1. Подлинник. Машинопись (19799).</w:t>
      </w:r>
    </w:p>
    <w:p w14:paraId="613E20E2" w14:textId="77777777" w:rsidR="00961B62" w:rsidRPr="00070ADE" w:rsidRDefault="00961B6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27806A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января 1944 года управляющий делами Совнарокма Я. Чадаев писал письмо № 33-1 в НКАП Шахурину А.И.</w:t>
      </w:r>
    </w:p>
    <w:p w14:paraId="0477EA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Направляю на Ваше заключение письмо о передаче НК текстилю филиала завода № 454 (8933).</w:t>
      </w:r>
    </w:p>
    <w:p w14:paraId="077273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C2ACC8"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36B57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92E915" w14:textId="77777777" w:rsidR="00E44B87" w:rsidRPr="00C94B78" w:rsidRDefault="00E44B8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21 по 31 января 1944 г. изгото</w:t>
      </w:r>
      <w:r w:rsidRPr="00C94B78">
        <w:rPr>
          <w:rFonts w:ascii="Times New Roman" w:hAnsi="Times New Roman"/>
          <w:color w:val="0070C0"/>
          <w:sz w:val="16"/>
          <w:szCs w:val="16"/>
        </w:rPr>
        <w:softHyphen/>
        <w:t>вили танк Т-44 № 2, для него предпола</w:t>
      </w:r>
      <w:r w:rsidRPr="00C94B78">
        <w:rPr>
          <w:rFonts w:ascii="Times New Roman" w:hAnsi="Times New Roman"/>
          <w:color w:val="0070C0"/>
          <w:sz w:val="16"/>
          <w:szCs w:val="16"/>
        </w:rPr>
        <w:softHyphen/>
        <w:t>галось использовать башню с 85-мм пушкой и погоном 1600 мм. Однако для проведения заводских испытаний на машину времен</w:t>
      </w:r>
      <w:r w:rsidRPr="00C94B78">
        <w:rPr>
          <w:rFonts w:ascii="Times New Roman" w:hAnsi="Times New Roman"/>
          <w:color w:val="0070C0"/>
          <w:sz w:val="16"/>
          <w:szCs w:val="16"/>
        </w:rPr>
        <w:softHyphen/>
        <w:t>но смонтировали башню со 122-мм пуш</w:t>
      </w:r>
      <w:r w:rsidRPr="00C94B78">
        <w:rPr>
          <w:rFonts w:ascii="Times New Roman" w:hAnsi="Times New Roman"/>
          <w:color w:val="0070C0"/>
          <w:sz w:val="16"/>
          <w:szCs w:val="16"/>
        </w:rPr>
        <w:softHyphen/>
        <w:t>кой Д-25 и погоном 1800 мм, изготовленную для третьего образца Т-44. Сборка последне</w:t>
      </w:r>
      <w:r w:rsidRPr="00C94B78">
        <w:rPr>
          <w:rFonts w:ascii="Times New Roman" w:hAnsi="Times New Roman"/>
          <w:color w:val="0070C0"/>
          <w:sz w:val="16"/>
          <w:szCs w:val="16"/>
        </w:rPr>
        <w:softHyphen/>
        <w:t>го началась 8 февраля 1944 года (25012).</w:t>
      </w:r>
    </w:p>
    <w:p w14:paraId="3E04A0B9" w14:textId="77777777" w:rsidR="00E44B87" w:rsidRPr="00C94B78" w:rsidRDefault="00E44B87" w:rsidP="00B56F90">
      <w:pPr>
        <w:spacing w:after="0" w:line="240" w:lineRule="auto"/>
        <w:jc w:val="both"/>
        <w:rPr>
          <w:rFonts w:ascii="Times New Roman" w:hAnsi="Times New Roman"/>
          <w:color w:val="0070C0"/>
          <w:sz w:val="16"/>
          <w:szCs w:val="16"/>
        </w:rPr>
      </w:pPr>
    </w:p>
    <w:p w14:paraId="2808204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января 1944 вышло Постановление ГКО № 4996 О плане распределения острого пара, отпускаемого электростанциями Наркомата электростанций для технологических нужд промышленных предприятий на I квартал 1944 г. (7176, 147-148,149-150).</w:t>
      </w:r>
    </w:p>
    <w:p w14:paraId="5ACB947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0B9469" w14:textId="77777777" w:rsidR="003712D9" w:rsidRPr="00070ADE" w:rsidRDefault="00694509" w:rsidP="00B56F90">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A4971A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3E9A415A"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21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3EC9F52F"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21 января юго-западнее и южнее Красное Село наши войска продолжали наступление и овладели населёнными пунктами Глухово, Витино, Рях-Мози, Келози, Пелля, Ряхкелево, Мулдия, Русско-Высоцкое, Телизи, Лагола, Кайнелайзи, Скворицы, Аропаккози, Малая Ивановка. Нашими войсками полностью ликвидированы окружённые в предыдущих боях разрозненные группы разгромленных немецко-фашистских частей.</w:t>
      </w:r>
    </w:p>
    <w:p w14:paraId="64CFDD98"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Северо-восточнее Тосно наши войска перешли в наступление и, сломив сопротивление противника, овладели городом и железнодорожным узлом Мга, а также с боями заняли населённые пункты Петрушино, Павлово, Мустолово, Цнигри, Келколово, Посёлок 1-й Эстонский, Посёлок Михайловский, Тортолово, Мишкино, Славянка, Карбусель, Лодва, Виняголово и железнодорожную станцию Апраксин.</w:t>
      </w:r>
    </w:p>
    <w:p w14:paraId="1575020A"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Новгорода наши войска продолжали развивать наступление и заняли несколько населённых пунктов и уничтожали разрозненные группы противника, окружённые в лесах западнее города Новгорода.</w:t>
      </w:r>
    </w:p>
    <w:p w14:paraId="44DBE9BD"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Калинковичи наши войска вели наступательные бои, в ходе которых овладели районным центром Полесской области Озаричи, а также заняли несколько других населённых пунктов и среди них Остров, Рыловичи, Хомичи, Виша, Савичи, Березняки, Пески, Капличи.</w:t>
      </w:r>
    </w:p>
    <w:p w14:paraId="43A2C2AA"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ив ряде пунктов бои местного значения.</w:t>
      </w:r>
    </w:p>
    <w:p w14:paraId="5612C6C7"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20 января наши войска на всех фронтах подбили и уничтожили 51 немецкий танк.</w:t>
      </w:r>
    </w:p>
    <w:p w14:paraId="2960A406"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Красное Село наши войска продолжали успешное наступление. Под непрерывными ударами советских войск противник откатывается в южном направлении, оставляя одну укреплённую позицию за другой. С боями продвигаясь вперёд, части Н-ского соединения уничтожили свыше 2.000 немецких солдат и офицеров и захватили 29 орудий, а также несколько складов с вооружением, боеприпасами и военным имуществом. Бойцы другого нашего соединения разгромили полк вражеской пехоты и захватили трофеи и пленных.</w:t>
      </w:r>
    </w:p>
    <w:p w14:paraId="7B814AF3"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Северо-восточнее Тосно наши войска перешли в наступление. Преодолев долговременные оборонительные сооружения, которые немцы совершенствовали в течение более двух лет, советские части стремительно продвинулись вперёд и овладели районным центром Ленинградской области и важным железнодорожным узлом —городом Мга. Развивая успех, наши войска расширили фронт прорыва и заняли ряд других населённых пунктов. Разбитые части противника отступают, бросая своё оружие. Захвачено значительное число пленных.</w:t>
      </w:r>
    </w:p>
    <w:p w14:paraId="2A254523"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Новгорода наши войска продолжали развивать наступление. На отдельных участках немцы оказывают упорное сопротивление, но не выдерживают ударов советской пехоты. Части Н-ского соединения, с боями продвигаясь вперёд, заняли несколько населённых пунктов. В бою за один сильно укреплённый пункт уничтожено два батальона гитлеровцев. Захвачено у немцев 3 танка, 2 самоходных орудия, 8 шестиствольных миномётов, 62 пулемёта и другие трофеи. Взяты пленные. На другом участке противник перешёл в контратаку. Советские подразделения встретили гитлеровцев перекрёстным огнём и вынудили их залечь. Затем наши бойцы стремительно выдвинулись на фланги немцев и одновременными ударами с трёх сторон разгромили их. На поле боя осталось свыше 800 вражеских трупов.</w:t>
      </w:r>
    </w:p>
    <w:p w14:paraId="72DA291A"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Новосокольников на одном участке батальон пехоты, четыре танка и три самоходных орудия противника предприняли контратаку. Гвардейцы-бронебойщики т.т. Кузеев, Лобастов и Семенков подпустили немцев на близкое расстояние, открыли огонь и подбили танк и два самоходных орудия «Фердинанд». Командир взвода противотанковых ружей т. Пивес подбил ещё одно самоходное орудие. Под ружейно-пулемётным огнём наших подразделений гитлеровцы с потерями отошли на исходные позиции.</w:t>
      </w:r>
    </w:p>
    <w:p w14:paraId="3667BF09"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Калинковичи наши войска вели наступательные бои. Ожесточённый бой разгорелся за населённый пункт Озаричи. Противник сильно укрепил этот пункт, превратив его в важный узел обороны. Советские части сломили сопротивление немцев и заняли районный центр Полесской области Озаричи. На подступах и на улицах села осталось свыше 1.000 вражеских трупов. Уничтожено 7 немецких танков, 16 артиллерийских и миномётных батарей. Захвачены трофеи и пленные.</w:t>
      </w:r>
    </w:p>
    <w:p w14:paraId="45188806"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Новоград-Волынский немецкая мотопехота и танки атаковали наши позиции. После неоднократных атак противнику удалось занять один населённый пункт. Наши артиллеристы, танкисты и пехотинцы контрударом к исходу дня отбросили немцев на исходные позиции и полностью восстановили положение. На поле боя осталось 400 вражеских трупов, 24 сожжённых и подбитых танка, 2 бронемашиныи 6 бронетранспортёров.</w:t>
      </w:r>
    </w:p>
    <w:p w14:paraId="59271A28"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Бойцы береговой обороны Черноморского флота захватили немецкий самолёт «Ю-88», сделавший вынужденную посадку на нашей территории.</w:t>
      </w:r>
    </w:p>
    <w:p w14:paraId="4C23516A"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Волынской области, 4 января подорвал на минах немецкий эшелон с горючим. В результате крушения и последовавшего за ним пожара уничтожены паровоз и 6 цистерн с бензином. Движение поездов на этом участке было прекращено на сутки. Партизаны другого волынского отряда пустили под откос два вражеских эшелона. Разбито два паровоза и 13 вагонов. Убито и ранено свыше 100 немецких солдат и офицеров.» (15016).</w:t>
      </w:r>
    </w:p>
    <w:p w14:paraId="01F72408" w14:textId="77777777" w:rsidR="00171E88" w:rsidRPr="00070ADE" w:rsidRDefault="00171E88" w:rsidP="00B56F90">
      <w:pPr>
        <w:spacing w:after="0" w:line="240" w:lineRule="auto"/>
        <w:jc w:val="both"/>
        <w:rPr>
          <w:rFonts w:ascii="Times New Roman" w:hAnsi="Times New Roman"/>
          <w:color w:val="000000" w:themeColor="text1"/>
          <w:sz w:val="16"/>
          <w:szCs w:val="16"/>
        </w:rPr>
      </w:pPr>
    </w:p>
    <w:p w14:paraId="012DF631"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21 января</w:t>
      </w:r>
      <w:r w:rsidRPr="00070ADE">
        <w:rPr>
          <w:rFonts w:ascii="Times New Roman" w:hAnsi="Times New Roman"/>
          <w:color w:val="000000" w:themeColor="text1"/>
          <w:sz w:val="16"/>
          <w:szCs w:val="16"/>
        </w:rPr>
        <w:t xml:space="preserve"> в 1944 году войска левого крыла Ленинградского и правого крыла Волховского фронтов начали преследование противника, отходившего с рубежа Мга, Чудово. Войска 2-го Прибалтийского фронта, ведя наступательные бои в районе Новосокольники, сковали 16-ю армию противника и не допустили её переброски в район Ленинграда и Новгорода (15016).</w:t>
      </w:r>
    </w:p>
    <w:p w14:paraId="5B4A5A84" w14:textId="77777777" w:rsidR="00171E88" w:rsidRPr="00070ADE" w:rsidRDefault="00171E88" w:rsidP="00B56F90">
      <w:pPr>
        <w:spacing w:after="0" w:line="240" w:lineRule="auto"/>
        <w:jc w:val="both"/>
        <w:rPr>
          <w:rFonts w:ascii="Times New Roman" w:hAnsi="Times New Roman"/>
          <w:color w:val="000000" w:themeColor="text1"/>
          <w:sz w:val="16"/>
          <w:szCs w:val="16"/>
        </w:rPr>
      </w:pPr>
    </w:p>
    <w:p w14:paraId="4E7F6AF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января 1944 г. была подготовлена СПРАВКА ГАВТУ КА О НАЛИЧИИ В КРАСНОЙ АРМИИ ИМПОРТНЫХ АВТОМАШИН И ИХ ТЕХНИЧЕСКОМ СОСТОЯНИИ НА 1.01.1944 г. №1200344</w:t>
      </w:r>
    </w:p>
    <w:tbl>
      <w:tblPr>
        <w:tblW w:w="0" w:type="auto"/>
        <w:tblInd w:w="40" w:type="dxa"/>
        <w:tblLayout w:type="fixed"/>
        <w:tblCellMar>
          <w:left w:w="40" w:type="dxa"/>
          <w:right w:w="40" w:type="dxa"/>
        </w:tblCellMar>
        <w:tblLook w:val="0000" w:firstRow="0" w:lastRow="0" w:firstColumn="0" w:lastColumn="0" w:noHBand="0" w:noVBand="0"/>
      </w:tblPr>
      <w:tblGrid>
        <w:gridCol w:w="480"/>
        <w:gridCol w:w="1978"/>
        <w:gridCol w:w="854"/>
        <w:gridCol w:w="1565"/>
        <w:gridCol w:w="1555"/>
        <w:gridCol w:w="1690"/>
      </w:tblGrid>
      <w:tr w:rsidR="004D4663" w:rsidRPr="00070ADE" w14:paraId="02CD9538" w14:textId="77777777">
        <w:trPr>
          <w:trHeight w:val="230"/>
        </w:trPr>
        <w:tc>
          <w:tcPr>
            <w:tcW w:w="480" w:type="dxa"/>
            <w:tcBorders>
              <w:top w:val="single" w:sz="6" w:space="0" w:color="auto"/>
              <w:left w:val="single" w:sz="6" w:space="0" w:color="auto"/>
              <w:bottom w:val="nil"/>
              <w:right w:val="single" w:sz="6" w:space="0" w:color="auto"/>
            </w:tcBorders>
          </w:tcPr>
          <w:p w14:paraId="093662F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п/п</w:t>
            </w:r>
          </w:p>
          <w:p w14:paraId="068049A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nil"/>
              <w:right w:val="single" w:sz="6" w:space="0" w:color="auto"/>
            </w:tcBorders>
          </w:tcPr>
          <w:p w14:paraId="029703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Марка машины</w:t>
            </w:r>
          </w:p>
          <w:p w14:paraId="765E0D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nil"/>
              <w:right w:val="single" w:sz="6" w:space="0" w:color="auto"/>
            </w:tcBorders>
          </w:tcPr>
          <w:p w14:paraId="11491A0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Наличие</w:t>
            </w:r>
          </w:p>
          <w:p w14:paraId="3C77B8A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10" w:type="dxa"/>
            <w:gridSpan w:val="3"/>
            <w:tcBorders>
              <w:top w:val="single" w:sz="6" w:space="0" w:color="auto"/>
              <w:left w:val="single" w:sz="6" w:space="0" w:color="auto"/>
              <w:bottom w:val="single" w:sz="6" w:space="0" w:color="auto"/>
              <w:right w:val="single" w:sz="6" w:space="0" w:color="auto"/>
            </w:tcBorders>
          </w:tcPr>
          <w:p w14:paraId="57F30CF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них:</w:t>
            </w:r>
          </w:p>
          <w:p w14:paraId="22466C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F4C87B1" w14:textId="77777777">
        <w:trPr>
          <w:trHeight w:val="211"/>
        </w:trPr>
        <w:tc>
          <w:tcPr>
            <w:tcW w:w="480" w:type="dxa"/>
            <w:tcBorders>
              <w:top w:val="nil"/>
              <w:left w:val="single" w:sz="6" w:space="0" w:color="auto"/>
              <w:bottom w:val="single" w:sz="6" w:space="0" w:color="auto"/>
              <w:right w:val="single" w:sz="6" w:space="0" w:color="auto"/>
            </w:tcBorders>
          </w:tcPr>
          <w:p w14:paraId="23E2460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AA48B3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nil"/>
              <w:left w:val="single" w:sz="6" w:space="0" w:color="auto"/>
              <w:bottom w:val="single" w:sz="6" w:space="0" w:color="auto"/>
              <w:right w:val="single" w:sz="6" w:space="0" w:color="auto"/>
            </w:tcBorders>
          </w:tcPr>
          <w:p w14:paraId="557D178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AFC03B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nil"/>
              <w:left w:val="single" w:sz="6" w:space="0" w:color="auto"/>
              <w:bottom w:val="single" w:sz="6" w:space="0" w:color="auto"/>
              <w:right w:val="single" w:sz="6" w:space="0" w:color="auto"/>
            </w:tcBorders>
          </w:tcPr>
          <w:p w14:paraId="71263D8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312F53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695596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исправных</w:t>
            </w:r>
          </w:p>
          <w:p w14:paraId="1373A34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564A863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среднего ремонта</w:t>
            </w:r>
          </w:p>
          <w:p w14:paraId="040C06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C618B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капитального ремонта</w:t>
            </w:r>
          </w:p>
          <w:p w14:paraId="252BE06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9382A9B"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5FE54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w:t>
            </w:r>
          </w:p>
          <w:p w14:paraId="18FFDCA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2AC1BF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Бантам</w:t>
            </w:r>
          </w:p>
          <w:p w14:paraId="65CB26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D8809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201</w:t>
            </w:r>
          </w:p>
          <w:p w14:paraId="26CEEA7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6B06D0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96</w:t>
            </w:r>
          </w:p>
          <w:p w14:paraId="7F70C1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23BC54F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w:t>
            </w:r>
          </w:p>
          <w:p w14:paraId="0B157A1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1FA0B8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p w14:paraId="0098992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511ED2A"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7AC77A6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51B00E7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A28FD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Виллис</w:t>
            </w:r>
          </w:p>
          <w:p w14:paraId="419E396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E0D15A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9215</w:t>
            </w:r>
          </w:p>
          <w:p w14:paraId="0703D3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38CDF6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6181</w:t>
            </w:r>
          </w:p>
          <w:p w14:paraId="507F41E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3D0FBF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2010</w:t>
            </w:r>
          </w:p>
          <w:p w14:paraId="2031FB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38835B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824</w:t>
            </w:r>
          </w:p>
          <w:p w14:paraId="225EACA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37ADC64"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BC4391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71CE7F6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9FB0CD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Бедфорд</w:t>
            </w:r>
          </w:p>
          <w:p w14:paraId="4F27FCA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C14722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638</w:t>
            </w:r>
          </w:p>
          <w:p w14:paraId="476B1F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7398BE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425</w:t>
            </w:r>
          </w:p>
          <w:p w14:paraId="45DA69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67084B9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159</w:t>
            </w:r>
          </w:p>
          <w:p w14:paraId="44485B3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26DFF6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w:t>
            </w:r>
          </w:p>
          <w:p w14:paraId="78FD2B8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23D692D"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B65AA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4655E5A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857B1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Додж</w:t>
            </w:r>
          </w:p>
          <w:p w14:paraId="074ADF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E60A5A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6288</w:t>
            </w:r>
          </w:p>
          <w:p w14:paraId="3CC0C00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992BE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4628</w:t>
            </w:r>
          </w:p>
          <w:p w14:paraId="1D999F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299918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1185</w:t>
            </w:r>
          </w:p>
          <w:p w14:paraId="714F77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10A2458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475</w:t>
            </w:r>
          </w:p>
          <w:p w14:paraId="3C5349A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30F2811"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68F8D78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2D727E9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C6F211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Остин</w:t>
            </w:r>
          </w:p>
          <w:p w14:paraId="6E54B4E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2AD34C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181</w:t>
            </w:r>
          </w:p>
          <w:p w14:paraId="09CE59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C4F98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w:t>
            </w:r>
          </w:p>
          <w:p w14:paraId="248DB1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6AD288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w:t>
            </w:r>
          </w:p>
          <w:p w14:paraId="29D133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9BE18A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p w14:paraId="6CC52AF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91EBF9E"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780ED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p w14:paraId="081B226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4043F1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Форд</w:t>
            </w:r>
          </w:p>
          <w:p w14:paraId="01F5DFA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091D2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13731</w:t>
            </w:r>
          </w:p>
          <w:p w14:paraId="053CA1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02121C1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9561</w:t>
            </w:r>
          </w:p>
          <w:p w14:paraId="0BCCA6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4527D76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2907</w:t>
            </w:r>
          </w:p>
          <w:p w14:paraId="247F35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3F259E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1263</w:t>
            </w:r>
          </w:p>
          <w:p w14:paraId="2150F04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315F029"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6BA9D2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p w14:paraId="6CFCC0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377E608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Мармон</w:t>
            </w:r>
          </w:p>
          <w:p w14:paraId="064906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A89AF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w:t>
            </w:r>
          </w:p>
          <w:p w14:paraId="4F167C3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CA8AE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w:t>
            </w:r>
          </w:p>
          <w:p w14:paraId="5E47310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6C3201E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w:t>
            </w:r>
          </w:p>
          <w:p w14:paraId="558126D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6BBA0B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p w14:paraId="771105B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7A1CEDD"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BAB40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p w14:paraId="53CD55B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075DD4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Шевроле</w:t>
            </w:r>
          </w:p>
          <w:p w14:paraId="35BD54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B67F68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7689</w:t>
            </w:r>
          </w:p>
          <w:p w14:paraId="1E6971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E26FC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5339</w:t>
            </w:r>
          </w:p>
          <w:p w14:paraId="48BB16D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4C67D5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1727</w:t>
            </w:r>
          </w:p>
          <w:p w14:paraId="4670AD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6BC5456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623</w:t>
            </w:r>
          </w:p>
          <w:p w14:paraId="0A039CC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D3D82CB"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2589CEF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p w14:paraId="32D511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331B90C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Интернационал</w:t>
            </w:r>
          </w:p>
          <w:p w14:paraId="438EB47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4ADB7E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2343</w:t>
            </w:r>
          </w:p>
          <w:p w14:paraId="277428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E466B1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1815</w:t>
            </w:r>
          </w:p>
          <w:p w14:paraId="5E8664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64BE46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480</w:t>
            </w:r>
          </w:p>
          <w:p w14:paraId="729CC38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0306090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w:t>
            </w:r>
          </w:p>
          <w:p w14:paraId="19953C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C918CA3"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0BCF5CE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2D2B8B0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7A81F4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Студебеккер</w:t>
            </w:r>
          </w:p>
          <w:p w14:paraId="6684DB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11EB4E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25811</w:t>
            </w:r>
          </w:p>
          <w:p w14:paraId="0B2B191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0F6D40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23412</w:t>
            </w:r>
          </w:p>
          <w:p w14:paraId="6D477F8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6AF3CC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2026</w:t>
            </w:r>
          </w:p>
          <w:p w14:paraId="260223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3B23A79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373</w:t>
            </w:r>
          </w:p>
          <w:p w14:paraId="61E22A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AF62FA0"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6CD149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p w14:paraId="749BDA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A2293F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Джиемси</w:t>
            </w:r>
          </w:p>
          <w:p w14:paraId="3B9363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06630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3637</w:t>
            </w:r>
          </w:p>
          <w:p w14:paraId="0B6F400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5F7F6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2273</w:t>
            </w:r>
          </w:p>
          <w:p w14:paraId="54C4016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7E76613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931</w:t>
            </w:r>
          </w:p>
          <w:p w14:paraId="1E7D9AC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3A6DB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433</w:t>
            </w:r>
          </w:p>
          <w:p w14:paraId="433E60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5FAB2F3"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618DF37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p w14:paraId="1DC26D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46FB53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Додж ѕ</w:t>
            </w:r>
          </w:p>
          <w:p w14:paraId="32C108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267BD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p w14:paraId="50EFD10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1B33A0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239</w:t>
            </w:r>
          </w:p>
          <w:p w14:paraId="269426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1CA2560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1ACA26A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583A8B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58F9E60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E2883EC"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7DAFD94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p w14:paraId="5E2FAA8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5ADAAD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Прочие иномарки</w:t>
            </w:r>
          </w:p>
          <w:p w14:paraId="527F39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75D9E6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2089</w:t>
            </w:r>
          </w:p>
          <w:p w14:paraId="4370C6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886FE3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10096</w:t>
            </w:r>
          </w:p>
          <w:p w14:paraId="4DD42F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6025497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1431</w:t>
            </w:r>
          </w:p>
          <w:p w14:paraId="11815D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2ADFC76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561</w:t>
            </w:r>
          </w:p>
          <w:p w14:paraId="65F2C9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B18E583" w14:textId="77777777">
        <w:trPr>
          <w:trHeight w:val="250"/>
        </w:trPr>
        <w:tc>
          <w:tcPr>
            <w:tcW w:w="480" w:type="dxa"/>
            <w:tcBorders>
              <w:top w:val="single" w:sz="6" w:space="0" w:color="auto"/>
              <w:left w:val="single" w:sz="6" w:space="0" w:color="auto"/>
              <w:bottom w:val="single" w:sz="6" w:space="0" w:color="auto"/>
              <w:right w:val="single" w:sz="6" w:space="0" w:color="auto"/>
            </w:tcBorders>
          </w:tcPr>
          <w:p w14:paraId="6359C17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5FA5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4164E26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p w14:paraId="564F48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AAFE0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82184</w:t>
            </w:r>
          </w:p>
          <w:p w14:paraId="08366A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A9F499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64469</w:t>
            </w:r>
          </w:p>
          <w:p w14:paraId="3BD646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266BA0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13019</w:t>
            </w:r>
          </w:p>
          <w:p w14:paraId="09EFB3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4BBCB60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4696</w:t>
            </w:r>
          </w:p>
          <w:p w14:paraId="21A1111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529A3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ГАВТУ КА генерал-майор технических войск Мизонов</w:t>
      </w:r>
    </w:p>
    <w:p w14:paraId="697B58A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41. Оп. 11584. Д. 175. Л. 13. Копия (11403).</w:t>
      </w:r>
    </w:p>
    <w:p w14:paraId="3C0429E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6C9323B"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F98BFB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2BEB8D"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января 1944 795 бомбардировщиков 8-й воздушной армии в сопровождении 628 истребителей нанесли удар по 24 объектам ФАУ-1 в районах Па-де-Кале и Шербур во Франции, при этом было потеряно шесть бомбардировщиков и один истребитель. Бомбардировщики и истребители заявляют, что 11 немецких самолетов сбиты, один, вероятно, сбит, а шесть повреждены (20373).</w:t>
      </w:r>
    </w:p>
    <w:p w14:paraId="04F878C9" w14:textId="77777777" w:rsidR="00D549FB" w:rsidRPr="00070ADE" w:rsidRDefault="00D549FB" w:rsidP="00B56F90">
      <w:pPr>
        <w:spacing w:after="0" w:line="240" w:lineRule="auto"/>
        <w:jc w:val="both"/>
        <w:rPr>
          <w:rFonts w:ascii="Times New Roman" w:hAnsi="Times New Roman"/>
          <w:color w:val="000000" w:themeColor="text1"/>
          <w:sz w:val="16"/>
          <w:szCs w:val="16"/>
        </w:rPr>
      </w:pPr>
    </w:p>
    <w:p w14:paraId="4B3E7476" w14:textId="77777777" w:rsidR="00D549FB" w:rsidRPr="00070ADE" w:rsidRDefault="00D549F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21–22 января (ночь) 1944 648 британских бомбардировщиков совершили первый крупный налет на Магдебург, Германия. Немецкие ночные истребители перехватывают их над Северным морем, прежде чем они пересекают береговую линию Германии, и 57 бомбардировщиков (8,8 процента сил) потеряны, причем три четверти из них, вероятно, станут жертвами ночных истребителей. Рейд не удался. Немецкий ас Гауптман Манфред Мейрер погиб, когда его ночной истребитель Heinkel He 219 столкнулся с британским бомбардировщиком Lancaster над Магдебургом поздно вечером 21-го; на момент смерти у него было 65 побед. Еще 34 бомбардировщика совершают налет на Берлин с потерей одного самолета - Lancaster. 111 британских бомбардировщиков без потерь атаковали места запуска немецких летающих бомб Фау-1 во Франции (20373).</w:t>
      </w:r>
    </w:p>
    <w:p w14:paraId="3606AA9C" w14:textId="77777777" w:rsidR="00D549FB" w:rsidRPr="00070ADE" w:rsidRDefault="00D549FB" w:rsidP="00B56F90">
      <w:pPr>
        <w:spacing w:after="0" w:line="240" w:lineRule="auto"/>
        <w:jc w:val="both"/>
        <w:rPr>
          <w:rFonts w:ascii="Times New Roman" w:hAnsi="Times New Roman"/>
          <w:color w:val="000000" w:themeColor="text1"/>
          <w:sz w:val="16"/>
          <w:szCs w:val="16"/>
        </w:rPr>
      </w:pPr>
    </w:p>
    <w:p w14:paraId="51FF0DB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января 1944 в Лондоне состоялось первое заседание командующих подразделений союзников, готовящихся к высадке в Нормандии (4962).</w:t>
      </w:r>
    </w:p>
    <w:p w14:paraId="40BD2D3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7CA9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21-22 января 1944 немецкая авиация совершила налет на Лондон и бомбили вплоть до 27 апреля (3186).</w:t>
      </w:r>
    </w:p>
    <w:p w14:paraId="2D6FB8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12CFA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января 1944 Австралия и Новая Зеландия подписали оборонный пакт (4962).</w:t>
      </w:r>
    </w:p>
    <w:p w14:paraId="16B4C7F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68B643"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C24E6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9E60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года возобновлен отстрел вооружения. Установки пулеметов УВС работали хорошо, но новый капот опять деформировался. Деформация взрывателей снарядов ВЯ, произвеленными заводом мелкими переделками, не устранена.</w:t>
      </w:r>
    </w:p>
    <w:p w14:paraId="4CF285E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70A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был готов Як-3-2 с М-107А смешанной конструкции (65,185).</w:t>
      </w:r>
    </w:p>
    <w:p w14:paraId="1C33D4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5D6C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года, на аэродром выкатили второй прототип Як-3 ВК-107А "Дублер", как тогда было принято называть такие машины. На этом самолете изначально, еще на стадии проектирования и постройки, применили все технические решения, ставшие основой для переделок первого опытного экземпляра машины. Радикальным изменениям подверглись только фонарь кабины пилота, которому придали более обтекаемую форму, и установка вооружения с двумя опытными синхронными пушками Б-20. При этом полетный вес второго прототипа по сравнению с предшественником практически не изменился - 2932 кг. Соответственно одинаковыми были и летные данные. Максимальная скорость у земли Як-3 ВК-107А № 1 до модификации была равной 611 км/ч, а у №2 - 610 км/ч (из-за неблагоприятных метеоусловий "Дублер" был облетан и проверен только на малых высотах). Заводские испытания, проведенные с 25 по 29 января 1944 года, показали, что основные дефекты, выявленные на первом прототипе, устранены и самолет может быть предъявлен на государственные испытания (12047).</w:t>
      </w:r>
    </w:p>
    <w:p w14:paraId="1A17352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75FC3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22 января 1944 года производилось новое усиление передней верхней крышки капота на Як-9У с ВЯ и конструктивно переделывается патронный рукав ВЯ. Увеличение диаметра газоотводных труб пулеметов вызвало изменение лотков капота, которые стали ложиться на расширительный бачек был вмят на 5 мм. Отстрел вооружения возобновится после окончания изготовления нового патронного рукава ВЯ (1821,34).</w:t>
      </w:r>
    </w:p>
    <w:p w14:paraId="7FD47D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631C9D" w14:textId="77777777" w:rsidR="00E44B87" w:rsidRPr="00C94B78" w:rsidRDefault="00E44B8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22 января 1944 года был готов «Дублер» Як-3 ВК-107А, на котором устранили часть отмеченных недостатков первого образца. «Дублер» дважды направлялся на государственные испытания, которые проходили с 7 февраля по 15 мая 1944 года и с 13 июля по 29 августа того же года. В ходе испытаний состоялось 44 полета общей длительностью 25 часов 41 минута. Однако капризный ВК</w:t>
      </w:r>
      <w:r w:rsidRPr="00C94B78">
        <w:rPr>
          <w:rFonts w:ascii="Times New Roman" w:hAnsi="Times New Roman"/>
          <w:color w:val="0070C0"/>
          <w:sz w:val="16"/>
          <w:szCs w:val="16"/>
        </w:rPr>
        <w:noBreakHyphen/>
        <w:t>107А не позволил завершить испытаний. Однако характеристики самолета оказались настолько высокими, что было решено продолжить работу над машиной (25076).</w:t>
      </w:r>
    </w:p>
    <w:p w14:paraId="784DA73F" w14:textId="77777777" w:rsidR="00E44B87" w:rsidRPr="00C94B78" w:rsidRDefault="00E44B87" w:rsidP="00B56F90">
      <w:pPr>
        <w:spacing w:after="0" w:line="240" w:lineRule="auto"/>
        <w:jc w:val="both"/>
        <w:rPr>
          <w:rFonts w:ascii="Times New Roman" w:hAnsi="Times New Roman"/>
          <w:color w:val="0070C0"/>
          <w:sz w:val="16"/>
          <w:szCs w:val="16"/>
        </w:rPr>
      </w:pPr>
    </w:p>
    <w:p w14:paraId="15EDBB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вышло Постановление ГКО № 5011 О поставке воздухоплавательного имущества Наркомату обороны и Наркомвоенморфлоту в I квартале 1944 года. РГАНИР, Фонд ГКО, д. 196, лл. 1-2,3-10 (11012).</w:t>
      </w:r>
    </w:p>
    <w:p w14:paraId="5C3E7E6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484270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3CD95F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3761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22 января 1944 года Наркомат вооружений приказом обязал Тульский машиностроительный завод (ТМЗ) (№ 535) начать производство МТ-13. Уже в 1944 году с завода на фронт отправилось 350 минометов. Первые же стрельбы 160-мм минометов произвели на противника огромное психологическое воздействие. Выстрелы у МТ-13 глухие, мины летели по крутой траектории и падали почти отвесно, поэтому при первых же разрывах мин немцы стали подавать сигналы воздушной тревоги. Миномет МТ-13 стрелял двенадцатиперой фугасной миной, внешне очень похожей на 82-120-мм мины. Принципиальным отличием минометного выстрела МТ-13 от всех других отечественных минометов была короткая гильза, в которую вставлялся стабилизатор мины. Гильза служила для предотвращения прорыва пороховых </w:t>
      </w:r>
      <w:r w:rsidRPr="00070ADE">
        <w:rPr>
          <w:rFonts w:ascii="Times New Roman" w:hAnsi="Times New Roman"/>
          <w:color w:val="000000" w:themeColor="text1"/>
          <w:sz w:val="16"/>
          <w:szCs w:val="16"/>
        </w:rPr>
        <w:lastRenderedPageBreak/>
        <w:t>газов при выстреле (обтюрации). Буксировка МТ-13 производилась автомобилями ГАЗ-63, ЗИС-150 или трактором. В августе 1947 года на заводе № 535 было прекращено производство минометов МТ-13. Всего к этому времени с 1944 года было изготовлено 1557 минометов МТ-13.</w:t>
      </w:r>
    </w:p>
    <w:p w14:paraId="399268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Миномет МТ-13 представлял собой гладкоствольную систему на жестком (без противооткатных устройств) лафете с колесным ходом.</w:t>
      </w:r>
    </w:p>
    <w:p w14:paraId="40B301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Заряжание миномета производилось с казенной части, для чего ствол приводился в горизонтальное положение. После открывания затвора на полуоси клина ствола навешивался лоток, на который расчет укладывал мину и вручную досылал ее в канал ствола. Двенадцатиперая 160-мм фугасная мина Ф-852 весила 40,865 кг и содержала 7,78 кг разрывного заряда. Взрыватель головной ГВМЗ-7. Устройство мины подобно обычным 82-мм и 120-мм минам. Принципиальным отличием минометного выстрела МТ-13 от всех других отечественных минометов служила короткая гильза, в которую вставлялся стабилизатор мины. гильза была введена для обтюрации пороховых газов при выстреле.</w:t>
      </w:r>
    </w:p>
    <w:p w14:paraId="2E5246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перевозки миномета использовались автомобили ГАЗ-63, ЗИС-150 и другие, а также тракторы (3861).</w:t>
      </w:r>
    </w:p>
    <w:p w14:paraId="2560808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303CA7"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22 по 28 ян</w:t>
      </w:r>
      <w:r w:rsidRPr="00070ADE">
        <w:rPr>
          <w:rFonts w:ascii="Times New Roman" w:hAnsi="Times New Roman"/>
          <w:color w:val="000000" w:themeColor="text1"/>
          <w:sz w:val="16"/>
          <w:szCs w:val="16"/>
        </w:rPr>
        <w:softHyphen/>
        <w:t>варя 1944 года КВ-85 с заводским № 3107, сня</w:t>
      </w:r>
      <w:r w:rsidRPr="00070ADE">
        <w:rPr>
          <w:rFonts w:ascii="Times New Roman" w:hAnsi="Times New Roman"/>
          <w:color w:val="000000" w:themeColor="text1"/>
          <w:sz w:val="16"/>
          <w:szCs w:val="16"/>
        </w:rPr>
        <w:softHyphen/>
        <w:t>тый с гарантийных испытаний, на который поставили 100-мм орудие М-34 (в некоторых доку</w:t>
      </w:r>
      <w:r w:rsidRPr="00070ADE">
        <w:rPr>
          <w:rFonts w:ascii="Times New Roman" w:hAnsi="Times New Roman"/>
          <w:color w:val="000000" w:themeColor="text1"/>
          <w:sz w:val="16"/>
          <w:szCs w:val="16"/>
        </w:rPr>
        <w:softHyphen/>
        <w:t xml:space="preserve">ментах она именуется </w:t>
      </w:r>
      <w:r w:rsidRPr="00070ADE">
        <w:rPr>
          <w:rFonts w:ascii="Times New Roman" w:hAnsi="Times New Roman"/>
          <w:color w:val="000000" w:themeColor="text1"/>
          <w:sz w:val="16"/>
          <w:szCs w:val="16"/>
          <w:lang w:val="en-US"/>
        </w:rPr>
        <w:t>KB</w:t>
      </w:r>
      <w:r w:rsidRPr="00070ADE">
        <w:rPr>
          <w:rFonts w:ascii="Times New Roman" w:hAnsi="Times New Roman"/>
          <w:color w:val="000000" w:themeColor="text1"/>
          <w:sz w:val="16"/>
          <w:szCs w:val="16"/>
        </w:rPr>
        <w:t>-100), прошла испы</w:t>
      </w:r>
      <w:r w:rsidRPr="00070ADE">
        <w:rPr>
          <w:rFonts w:ascii="Times New Roman" w:hAnsi="Times New Roman"/>
          <w:color w:val="000000" w:themeColor="text1"/>
          <w:sz w:val="16"/>
          <w:szCs w:val="16"/>
        </w:rPr>
        <w:softHyphen/>
        <w:t>тания на Гороховецком полигоне.</w:t>
      </w:r>
    </w:p>
    <w:p w14:paraId="0F937237" w14:textId="77777777" w:rsidR="00171E88" w:rsidRPr="00070ADE" w:rsidRDefault="00171E88"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В связи с тем, что пушка С-34 имела го</w:t>
      </w:r>
      <w:r w:rsidRPr="00070ADE">
        <w:rPr>
          <w:rFonts w:ascii="Times New Roman" w:cs="Times New Roman"/>
          <w:color w:val="000000" w:themeColor="text1"/>
          <w:spacing w:val="0"/>
        </w:rPr>
        <w:softHyphen/>
        <w:t>ризонтальный полуавтоматический затвор, для удобства работы заряжающего его рабо</w:t>
      </w:r>
      <w:r w:rsidRPr="00070ADE">
        <w:rPr>
          <w:rFonts w:ascii="Times New Roman" w:cs="Times New Roman"/>
          <w:color w:val="000000" w:themeColor="text1"/>
          <w:spacing w:val="0"/>
        </w:rPr>
        <w:softHyphen/>
        <w:t>чее место перенесли в левую часть башни, а места наводчика и командира - в правую. В связи с этим пришлось перенести и коман</w:t>
      </w:r>
      <w:r w:rsidRPr="00070ADE">
        <w:rPr>
          <w:rFonts w:ascii="Times New Roman" w:cs="Times New Roman"/>
          <w:color w:val="000000" w:themeColor="text1"/>
          <w:spacing w:val="0"/>
        </w:rPr>
        <w:softHyphen/>
        <w:t>дирскую башенку — теперь она устанавлива</w:t>
      </w:r>
      <w:r w:rsidRPr="00070ADE">
        <w:rPr>
          <w:rFonts w:ascii="Times New Roman" w:cs="Times New Roman"/>
          <w:color w:val="000000" w:themeColor="text1"/>
          <w:spacing w:val="0"/>
        </w:rPr>
        <w:softHyphen/>
        <w:t>лась на крыше башни справа.</w:t>
      </w:r>
    </w:p>
    <w:p w14:paraId="26916D85" w14:textId="77777777" w:rsidR="00171E88" w:rsidRPr="00070ADE" w:rsidRDefault="00171E88"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Пушка С-34 имела длину ствола 55,9 ка</w:t>
      </w:r>
      <w:r w:rsidRPr="00070ADE">
        <w:rPr>
          <w:rFonts w:ascii="Times New Roman" w:cs="Times New Roman"/>
          <w:color w:val="000000" w:themeColor="text1"/>
          <w:spacing w:val="0"/>
        </w:rPr>
        <w:softHyphen/>
        <w:t>либров, углы вертикального наведения со</w:t>
      </w:r>
      <w:r w:rsidRPr="00070ADE">
        <w:rPr>
          <w:rFonts w:ascii="Times New Roman" w:cs="Times New Roman"/>
          <w:color w:val="000000" w:themeColor="text1"/>
          <w:spacing w:val="0"/>
        </w:rPr>
        <w:softHyphen/>
        <w:t>ставляли от -3 до +18,30 градусов. Мак</w:t>
      </w:r>
      <w:r w:rsidRPr="00070ADE">
        <w:rPr>
          <w:rFonts w:ascii="Times New Roman" w:cs="Times New Roman"/>
          <w:color w:val="000000" w:themeColor="text1"/>
          <w:spacing w:val="0"/>
        </w:rPr>
        <w:softHyphen/>
        <w:t>симальная длина отката не превышала 450 мм. Орудие могло вести огонь унитар</w:t>
      </w:r>
      <w:r w:rsidRPr="00070ADE">
        <w:rPr>
          <w:rFonts w:ascii="Times New Roman" w:cs="Times New Roman"/>
          <w:color w:val="000000" w:themeColor="text1"/>
          <w:spacing w:val="0"/>
        </w:rPr>
        <w:softHyphen/>
        <w:t>ными выстрелами с бронебойным и осколочно-фугасным снарядом. Бронебойный с начальной скоростью 900 м/с на даль</w:t>
      </w:r>
      <w:r w:rsidRPr="00070ADE">
        <w:rPr>
          <w:rFonts w:ascii="Times New Roman" w:cs="Times New Roman"/>
          <w:color w:val="000000" w:themeColor="text1"/>
          <w:spacing w:val="0"/>
        </w:rPr>
        <w:softHyphen/>
        <w:t>ности 500 м пробивал 160 мм броню, уста</w:t>
      </w:r>
      <w:r w:rsidRPr="00070ADE">
        <w:rPr>
          <w:rFonts w:ascii="Times New Roman" w:cs="Times New Roman"/>
          <w:color w:val="000000" w:themeColor="text1"/>
          <w:spacing w:val="0"/>
        </w:rPr>
        <w:softHyphen/>
        <w:t>новленную вертикально. Возимый боеком</w:t>
      </w:r>
      <w:r w:rsidRPr="00070ADE">
        <w:rPr>
          <w:rFonts w:ascii="Times New Roman" w:cs="Times New Roman"/>
          <w:color w:val="000000" w:themeColor="text1"/>
          <w:spacing w:val="0"/>
        </w:rPr>
        <w:softHyphen/>
        <w:t xml:space="preserve">плект </w:t>
      </w:r>
      <w:r w:rsidRPr="00070ADE">
        <w:rPr>
          <w:rFonts w:ascii="Times New Roman" w:cs="Times New Roman"/>
          <w:color w:val="000000" w:themeColor="text1"/>
          <w:spacing w:val="0"/>
          <w:lang w:val="en-US"/>
        </w:rPr>
        <w:t>KB</w:t>
      </w:r>
      <w:r w:rsidRPr="00070ADE">
        <w:rPr>
          <w:rFonts w:ascii="Times New Roman" w:cs="Times New Roman"/>
          <w:color w:val="000000" w:themeColor="text1"/>
          <w:spacing w:val="0"/>
        </w:rPr>
        <w:t>-100 составлял 31 выстрел к пуш</w:t>
      </w:r>
      <w:r w:rsidRPr="00070ADE">
        <w:rPr>
          <w:rFonts w:ascii="Times New Roman" w:cs="Times New Roman"/>
          <w:color w:val="000000" w:themeColor="text1"/>
          <w:spacing w:val="0"/>
        </w:rPr>
        <w:softHyphen/>
        <w:t>ке, 37 дисков к пулемету ДТ (2331 патрон) и 25 гранат Ф-1.</w:t>
      </w:r>
    </w:p>
    <w:p w14:paraId="34234103"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заключение отчета об испытании </w:t>
      </w:r>
      <w:r w:rsidRPr="00070ADE">
        <w:rPr>
          <w:rFonts w:ascii="Times New Roman" w:hAnsi="Times New Roman"/>
          <w:color w:val="000000" w:themeColor="text1"/>
          <w:sz w:val="16"/>
          <w:szCs w:val="16"/>
          <w:lang w:val="en-US"/>
        </w:rPr>
        <w:t>KB</w:t>
      </w:r>
      <w:r w:rsidRPr="00070ADE">
        <w:rPr>
          <w:rFonts w:ascii="Times New Roman" w:hAnsi="Times New Roman"/>
          <w:color w:val="000000" w:themeColor="text1"/>
          <w:sz w:val="16"/>
          <w:szCs w:val="16"/>
        </w:rPr>
        <w:t>-100 говорилось, что 100-мм пушка С-34 после доработки и устранения недостатков может быть рекомендована для принятия на воору</w:t>
      </w:r>
      <w:r w:rsidRPr="00070ADE">
        <w:rPr>
          <w:rFonts w:ascii="Times New Roman" w:hAnsi="Times New Roman"/>
          <w:color w:val="000000" w:themeColor="text1"/>
          <w:sz w:val="16"/>
          <w:szCs w:val="16"/>
        </w:rPr>
        <w:softHyphen/>
        <w:t>жение тяжелых танков и самоходок. Отме</w:t>
      </w:r>
      <w:r w:rsidRPr="00070ADE">
        <w:rPr>
          <w:rFonts w:ascii="Times New Roman" w:hAnsi="Times New Roman"/>
          <w:color w:val="000000" w:themeColor="text1"/>
          <w:sz w:val="16"/>
          <w:szCs w:val="16"/>
        </w:rPr>
        <w:softHyphen/>
        <w:t>ченные недостатки в конструкции С-34 учли при изготовлении еше двух образцов этого орудия. В июне 1944 года они испытывались на танках ИС и Т-34 (15226).</w:t>
      </w:r>
    </w:p>
    <w:p w14:paraId="4781E4AF" w14:textId="77777777" w:rsidR="00171E88" w:rsidRPr="00070ADE" w:rsidRDefault="00171E88" w:rsidP="00B56F90">
      <w:pPr>
        <w:spacing w:after="0" w:line="240" w:lineRule="auto"/>
        <w:jc w:val="both"/>
        <w:rPr>
          <w:rFonts w:ascii="Times New Roman" w:hAnsi="Times New Roman"/>
          <w:color w:val="000000" w:themeColor="text1"/>
          <w:sz w:val="16"/>
          <w:szCs w:val="16"/>
        </w:rPr>
      </w:pPr>
    </w:p>
    <w:p w14:paraId="5D2EEA2F" w14:textId="77777777" w:rsidR="00961B62" w:rsidRPr="00070ADE" w:rsidRDefault="00961B6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22 по 28 января 1944 опытную систему С-34-100 на КВ-85 испытали на Гороховецком артиллерийском научно-испытательном опытном полигоне (АНИОП).</w:t>
      </w:r>
    </w:p>
    <w:p w14:paraId="6BDAFA64" w14:textId="77777777" w:rsidR="00961B62" w:rsidRPr="00070ADE" w:rsidRDefault="00961B6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отличие от 85-мм систем с повышенной баллистикой и 122-мм орудий с баллистикой А-19, конструкторское бюро завода №9 первоначально не участвовало в работах по 100-мм системам. Задание на разработку данной системы в танковом и самоходном вариантах поручили ЦАКБ. Орудие получило индекс С-34, работы по ней возглавил помощник главного конструктора по научно-исследовательской работе Г.И. Сергеев. Как и предыдущие орудия ЦАКБ, С-34 разрабатывалась как система, позволяющая использовать стволы разного калибра. Первоначально С-34 была дуплексом: помимо С-34-100, разрабатывалась С-34-122 с баллистикой 122-мм орудия А-19. Далее добавилась третья система — С-34-85, имевшая начальную скорость снаряда 1050 м/с. Впрочем, приоритет оставался за С-34-100</w:t>
      </w:r>
    </w:p>
    <w:p w14:paraId="4AC4CF0E" w14:textId="77777777" w:rsidR="00961B62" w:rsidRPr="00070ADE" w:rsidRDefault="00961B6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Орудие разрабатывалось и в варианте установки на «артсамоход на базе танка Т-34» — здесь у С-34 обнаружились первые проблемы. Во-первых, по расчётам масса САУ вырастала с 30 до 32,5–33 т, что было недопустимым. К надёжности ходовой части (прежде всего бандажей) и так имелись претензии, а рост массы лишь усугубил бы проблему. Во-вторых, специфичный подход ЦАКБ к орудию создал дополнительные трудности. Дело в том, что клин затвора открывался не влево, а вправо, так что заряжающий располагался слева, а наводчик и механик-водитель — справа. Этого конструкторам ЦАКБ показалось мало: по проекту два передних опорных катка получали торсионную подвеску. Неудивительно, что в Народном комиссариате танковой промышленности (НКТП) этот проект подвергли 26 января 1944 г. Старший инспектор НКТП при УК БТ и МВ Отдельной приморской армии тов. Свечкин в своем письме от за №0510 доносил:</w:t>
      </w:r>
    </w:p>
    <w:p w14:paraId="7B482852" w14:textId="77777777" w:rsidR="00961B62" w:rsidRPr="00070ADE" w:rsidRDefault="00961B6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«Сообщаю, что по инициативе полка на одной из машин СУ-76М произведена замена брезента бронёй из котельного железа толщиной 10 мм (и принимаются меры в отношении остальных машин), так как в боевой обстановке полка, имевшем ранее СУ-76, вышло из строя до 40 человек из числа экипажей, главным образом, от осколков снарядов, или бомб и взрывной волы.</w:t>
      </w:r>
    </w:p>
    <w:p w14:paraId="1A3FC2A2" w14:textId="77777777" w:rsidR="00961B62" w:rsidRPr="00070ADE" w:rsidRDefault="00961B6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сообщить, по каким соображениям завод №38 продолжает практику постановки брезентов вместо крыши».</w:t>
      </w:r>
    </w:p>
    <w:p w14:paraId="1B1A899C" w14:textId="77777777" w:rsidR="00961B62" w:rsidRPr="00070ADE" w:rsidRDefault="00961B6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данном письме говорится о машинах СУ-76М (СУ-15) № 310430, 58411, 310402, 310434, 310436, 58428, 310403 с двигателями ГАЗ мод.203, выпущенными заводом №38 в первой половине октября 1943 года (18172).</w:t>
      </w:r>
    </w:p>
    <w:p w14:paraId="641DE775" w14:textId="77777777" w:rsidR="00961B62" w:rsidRPr="00070ADE" w:rsidRDefault="00961B62" w:rsidP="00B56F90">
      <w:pPr>
        <w:spacing w:after="0" w:line="240" w:lineRule="auto"/>
        <w:jc w:val="both"/>
        <w:rPr>
          <w:rFonts w:ascii="Times New Roman" w:hAnsi="Times New Roman"/>
          <w:color w:val="000000" w:themeColor="text1"/>
          <w:sz w:val="16"/>
          <w:szCs w:val="16"/>
        </w:rPr>
      </w:pPr>
    </w:p>
    <w:p w14:paraId="038E6F35" w14:textId="77777777" w:rsidR="00E44B87" w:rsidRPr="00C94B78" w:rsidRDefault="00E44B8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22 по 28 января 1944 года С-34, установленная в КВ-85, проходила испытания на Гороховецком АНИОП, за это время было произведено 638 выстрелов, из них 324 усиленным зарядом. Скорострельность орудия составила 5,7–6,3 выстрелов в минуту. Это была гораздо более высокая скорострельность, чем у Д-25Т. У С-34 имелся ряд проблем, но сама по себе концепция установки 100-мм системы и тяжелый танк выглядела крайне перспективно. Настолько, что 100-мм орудие решили ставить не только в ИС-2 (КВ-85 был не более чем тестовой лабораторией), но и в перспективный тяжелый танк Объект 701. Причем этот танк получал не более удачную Д-10Т, а ту же С-34, что позже привело к проблемам. Связаны они были с тем, что у С-34 наводчик находился справа, а заряжающий слева. Соответственно, когда С-34 умерла, башню пришлось перепроектировать под традиционную орудийную установку, с классическим размещением расчета башни.</w:t>
      </w:r>
    </w:p>
    <w:p w14:paraId="0A4CE4ED" w14:textId="77777777" w:rsidR="00E44B87" w:rsidRPr="00C94B78" w:rsidRDefault="00E44B8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 практике преимущества были не только в более высокой скорострельности. Во-первых, 100-мм танковое орудие получалось более компактным, чем Д-25Т. Во-вторых, у него отсутствовал дульный тормоз, который демаскировал танк при выстреле, а также поднимал облако пыли, мешавшее прицельной стрельбе (и потому его старались не делать). В-третьих, считалось, что бронепробитие у орудия калибра 100 мм на дистанциях 1000 метров и выше, чуть превышает Д-25Т. Правда, такие данные были получены не опытным путем (то есть по итогам обстрела немецких танков), а подсчету по формуле Якоба Де-Марра. И вот тут скрывалась главная загвоздка с данным орудием, которая позже сильно повлияла на дальнейшее развитие событий (25648).</w:t>
      </w:r>
    </w:p>
    <w:p w14:paraId="42F71311" w14:textId="77777777" w:rsidR="00E44B87" w:rsidRPr="00C94B78" w:rsidRDefault="00E44B87" w:rsidP="00B56F90">
      <w:pPr>
        <w:spacing w:after="0" w:line="240" w:lineRule="auto"/>
        <w:jc w:val="both"/>
        <w:rPr>
          <w:rFonts w:ascii="Times New Roman" w:hAnsi="Times New Roman"/>
          <w:color w:val="0070C0"/>
          <w:sz w:val="16"/>
          <w:szCs w:val="16"/>
        </w:rPr>
      </w:pPr>
    </w:p>
    <w:p w14:paraId="1BA34B25" w14:textId="77777777" w:rsidR="00E44B87" w:rsidRPr="00C94B78" w:rsidRDefault="00E44B8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22 января 1944 года КВ-85 с орудием С-34 начали испытывать на Гороховецком АНИОП. Всего за время испытаний, которые продолжались до 28 января, из орудия произвели 638 выстрелов, из них 324 усиленным зарядом. Одним из результатов испытаний стало получение скорострельнсоти, которая в разы превышала аналогичные показатели Д-25Т. Максимальная скорострельность, полученная при угле возвышения 2 градуса, составила 12 выстрелов в минуту. Впрочем, практическая скорострельность оказалась ниже - 5,7–6,3 выстрелов в минуту. Что всё равно намного выше, чем у Д-25Т. Даже у орудия с клиновым затвором она не превышала 2,5 выстрела в минуту. Столь высокая скорострельность далее стала одним из ключевых аргументов в пользу 100-мм орудий.</w:t>
      </w:r>
    </w:p>
    <w:p w14:paraId="6286875B" w14:textId="77777777" w:rsidR="00E44B87" w:rsidRPr="00C94B78" w:rsidRDefault="00E44B8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Проблем, впрочем, у С-34 хватало. Для начала, кучность оказалась ниже, чем у БС-3. Выяснилась, что стрельба с хода была неэффективной, виной тому стали проблемы с механизмом вертикальной наводки. Не понравилась установка прицела, его предлагали заменить на ТШ-16. Не лучшим образом работал затвор, наблюдалось ослабление гаек механизмов наведения и гильзоотвода. Также имелись претензии к боевому отделению. Прежде всего это касалось места командира. Просто так взять и перенести его место вправо не получилось, поскольку требовалось не только менять размещение командирской башенки, но и выступа. То есть требовалось отливать башню с нуля, а не просто переделать крышу.</w:t>
      </w:r>
    </w:p>
    <w:p w14:paraId="5E03A1BF" w14:textId="77777777" w:rsidR="00E44B87" w:rsidRPr="00C94B78" w:rsidRDefault="00E44B8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целом орудие испытания выдержало, но требовалась его доработка. Производилось это уже не на КВ-85. Дело в том, что еще 27 декабря 1943 года И.В. Сталин подписал постановление ГКО №4851сс "О проектировании, изготовлении и испытаниях опытных образцов артиллерийских орудий для танков и артиллерийских самоходных установок". Согласно пункту 2 постановления, к 25 января требовалось изготовить дополнительно 2 орудия – одно для установки в ИС, второе в СУ-85. Поэтому дальнейшие работы по доработке С-34 в КВ-85 выглядели излишними. Позднее систему испытывали в танках Объект 248 и Объект 701, но тут ЦАКБ ждало повторение истории с 85-мм орудием С-31. КБ завода №9 смогло догнать и обогнать конкурентов, создав систему Д-10 (24975).</w:t>
      </w:r>
    </w:p>
    <w:p w14:paraId="4C61079C" w14:textId="77777777" w:rsidR="00E44B87" w:rsidRPr="00C94B78" w:rsidRDefault="00E44B87" w:rsidP="00B56F90">
      <w:pPr>
        <w:spacing w:after="0" w:line="240" w:lineRule="auto"/>
        <w:jc w:val="both"/>
        <w:rPr>
          <w:rFonts w:ascii="Times New Roman" w:hAnsi="Times New Roman"/>
          <w:color w:val="0070C0"/>
          <w:sz w:val="16"/>
          <w:szCs w:val="16"/>
        </w:rPr>
      </w:pPr>
    </w:p>
    <w:p w14:paraId="416DC2BD" w14:textId="77777777" w:rsidR="00E44B87" w:rsidRPr="00C94B78" w:rsidRDefault="00E44B8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22 по 28 ян</w:t>
      </w:r>
      <w:r w:rsidRPr="00C94B78">
        <w:rPr>
          <w:rFonts w:ascii="Times New Roman" w:hAnsi="Times New Roman"/>
          <w:color w:val="0070C0"/>
          <w:sz w:val="16"/>
          <w:szCs w:val="16"/>
        </w:rPr>
        <w:softHyphen/>
        <w:t>варя 1944 года КВ-85 с заводским № 3107, сня</w:t>
      </w:r>
      <w:r w:rsidRPr="00C94B78">
        <w:rPr>
          <w:rFonts w:ascii="Times New Roman" w:hAnsi="Times New Roman"/>
          <w:color w:val="0070C0"/>
          <w:sz w:val="16"/>
          <w:szCs w:val="16"/>
        </w:rPr>
        <w:softHyphen/>
        <w:t>тым с гарантийных испытаний (в некоторых доку</w:t>
      </w:r>
      <w:r w:rsidRPr="00C94B78">
        <w:rPr>
          <w:rFonts w:ascii="Times New Roman" w:hAnsi="Times New Roman"/>
          <w:color w:val="0070C0"/>
          <w:sz w:val="16"/>
          <w:szCs w:val="16"/>
        </w:rPr>
        <w:softHyphen/>
        <w:t>ментах она именуется КВ-100) прошла испы</w:t>
      </w:r>
      <w:r w:rsidRPr="00C94B78">
        <w:rPr>
          <w:rFonts w:ascii="Times New Roman" w:hAnsi="Times New Roman"/>
          <w:color w:val="0070C0"/>
          <w:sz w:val="16"/>
          <w:szCs w:val="16"/>
        </w:rPr>
        <w:softHyphen/>
        <w:t>тания на Гороховецком полигоне В связи с тем, что пушка С-34 имела го</w:t>
      </w:r>
      <w:r w:rsidRPr="00C94B78">
        <w:rPr>
          <w:rFonts w:ascii="Times New Roman" w:hAnsi="Times New Roman"/>
          <w:color w:val="0070C0"/>
          <w:sz w:val="16"/>
          <w:szCs w:val="16"/>
        </w:rPr>
        <w:softHyphen/>
        <w:t>ризонтальный полуавтоматический затвор, для удобства работы заряжающего его рабо</w:t>
      </w:r>
      <w:r w:rsidRPr="00C94B78">
        <w:rPr>
          <w:rFonts w:ascii="Times New Roman" w:hAnsi="Times New Roman"/>
          <w:color w:val="0070C0"/>
          <w:sz w:val="16"/>
          <w:szCs w:val="16"/>
        </w:rPr>
        <w:softHyphen/>
        <w:t>чее место перенесли в левую часть башни, а места наводчика и командира - в правую. В связи с этим пришлось перенести и коман</w:t>
      </w:r>
      <w:r w:rsidRPr="00C94B78">
        <w:rPr>
          <w:rFonts w:ascii="Times New Roman" w:hAnsi="Times New Roman"/>
          <w:color w:val="0070C0"/>
          <w:sz w:val="16"/>
          <w:szCs w:val="16"/>
        </w:rPr>
        <w:softHyphen/>
        <w:t>дирскую башенку - теперь она устанавлива</w:t>
      </w:r>
      <w:r w:rsidRPr="00C94B78">
        <w:rPr>
          <w:rFonts w:ascii="Times New Roman" w:hAnsi="Times New Roman"/>
          <w:color w:val="0070C0"/>
          <w:sz w:val="16"/>
          <w:szCs w:val="16"/>
        </w:rPr>
        <w:softHyphen/>
        <w:t>лась на крыше башни справа.</w:t>
      </w:r>
    </w:p>
    <w:p w14:paraId="2AD4A90C" w14:textId="77777777" w:rsidR="00E44B87" w:rsidRPr="00C94B78" w:rsidRDefault="00E44B8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Пушка С-34 имела длину ствола 55,9 ка</w:t>
      </w:r>
      <w:r w:rsidRPr="00C94B78">
        <w:rPr>
          <w:rFonts w:ascii="Times New Roman" w:hAnsi="Times New Roman"/>
          <w:color w:val="0070C0"/>
          <w:sz w:val="16"/>
          <w:szCs w:val="16"/>
        </w:rPr>
        <w:softHyphen/>
        <w:t>либров, углы вертикального наведения со</w:t>
      </w:r>
      <w:r w:rsidRPr="00C94B78">
        <w:rPr>
          <w:rFonts w:ascii="Times New Roman" w:hAnsi="Times New Roman"/>
          <w:color w:val="0070C0"/>
          <w:sz w:val="16"/>
          <w:szCs w:val="16"/>
        </w:rPr>
        <w:softHyphen/>
        <w:t>ставляли от -3 до +18,30 градусов. Мак</w:t>
      </w:r>
      <w:r w:rsidRPr="00C94B78">
        <w:rPr>
          <w:rFonts w:ascii="Times New Roman" w:hAnsi="Times New Roman"/>
          <w:color w:val="0070C0"/>
          <w:sz w:val="16"/>
          <w:szCs w:val="16"/>
        </w:rPr>
        <w:softHyphen/>
        <w:t>симальная длина отката не превышала 450 мм. Орудие могло вести огонь унитар</w:t>
      </w:r>
      <w:r w:rsidRPr="00C94B78">
        <w:rPr>
          <w:rFonts w:ascii="Times New Roman" w:hAnsi="Times New Roman"/>
          <w:color w:val="0070C0"/>
          <w:sz w:val="16"/>
          <w:szCs w:val="16"/>
        </w:rPr>
        <w:softHyphen/>
        <w:t>ными выстрелами с бронебойным и оско</w:t>
      </w:r>
      <w:r w:rsidRPr="00C94B78">
        <w:rPr>
          <w:rFonts w:ascii="Times New Roman" w:hAnsi="Times New Roman"/>
          <w:color w:val="0070C0"/>
          <w:sz w:val="16"/>
          <w:szCs w:val="16"/>
        </w:rPr>
        <w:softHyphen/>
        <w:t>лочно-фугасным снарядом. Бронебойный с начальной скоростью 900 м/с на даль</w:t>
      </w:r>
      <w:r w:rsidRPr="00C94B78">
        <w:rPr>
          <w:rFonts w:ascii="Times New Roman" w:hAnsi="Times New Roman"/>
          <w:color w:val="0070C0"/>
          <w:sz w:val="16"/>
          <w:szCs w:val="16"/>
        </w:rPr>
        <w:softHyphen/>
        <w:t>ности 500 м пробивал 160 мм броню, уста</w:t>
      </w:r>
      <w:r w:rsidRPr="00C94B78">
        <w:rPr>
          <w:rFonts w:ascii="Times New Roman" w:hAnsi="Times New Roman"/>
          <w:color w:val="0070C0"/>
          <w:sz w:val="16"/>
          <w:szCs w:val="16"/>
        </w:rPr>
        <w:softHyphen/>
        <w:t>новленную вертикально. Возимый боеком</w:t>
      </w:r>
      <w:r w:rsidRPr="00C94B78">
        <w:rPr>
          <w:rFonts w:ascii="Times New Roman" w:hAnsi="Times New Roman"/>
          <w:color w:val="0070C0"/>
          <w:sz w:val="16"/>
          <w:szCs w:val="16"/>
        </w:rPr>
        <w:softHyphen/>
        <w:t>плект КВ-100 составлял 31 выстрел к пуш</w:t>
      </w:r>
      <w:r w:rsidRPr="00C94B78">
        <w:rPr>
          <w:rFonts w:ascii="Times New Roman" w:hAnsi="Times New Roman"/>
          <w:color w:val="0070C0"/>
          <w:sz w:val="16"/>
          <w:szCs w:val="16"/>
        </w:rPr>
        <w:softHyphen/>
        <w:t>ке, 37 дисков к пулемету ДТ (2331 патрон) и 25 гранат Ф-1.</w:t>
      </w:r>
    </w:p>
    <w:p w14:paraId="3B6609C6" w14:textId="77777777" w:rsidR="00E44B87" w:rsidRPr="00C94B78" w:rsidRDefault="00E44B8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заключение отчета об испытании КВ-100 говорилось, что 100-мм пушка С-34 после доработки и устранения недостатков может быть рекомендована для принятия на воору</w:t>
      </w:r>
      <w:r w:rsidRPr="00C94B78">
        <w:rPr>
          <w:rFonts w:ascii="Times New Roman" w:hAnsi="Times New Roman"/>
          <w:color w:val="0070C0"/>
          <w:sz w:val="16"/>
          <w:szCs w:val="16"/>
        </w:rPr>
        <w:softHyphen/>
        <w:t>жение тяжелых танков и самоходок. Отме</w:t>
      </w:r>
      <w:r w:rsidRPr="00C94B78">
        <w:rPr>
          <w:rFonts w:ascii="Times New Roman" w:hAnsi="Times New Roman"/>
          <w:color w:val="0070C0"/>
          <w:sz w:val="16"/>
          <w:szCs w:val="16"/>
        </w:rPr>
        <w:softHyphen/>
        <w:t>ченные недостатки в конструкции С-34 учли при изготовлении еще двух образцов этого орудия. В июне 1944 года они испытывались на танках ИС и Т-34 (25011).</w:t>
      </w:r>
    </w:p>
    <w:p w14:paraId="5491D7A8" w14:textId="77777777" w:rsidR="00E44B87" w:rsidRPr="00C94B78" w:rsidRDefault="00E44B87" w:rsidP="00B56F90">
      <w:pPr>
        <w:spacing w:after="0" w:line="240" w:lineRule="auto"/>
        <w:jc w:val="both"/>
        <w:rPr>
          <w:rFonts w:ascii="Times New Roman" w:hAnsi="Times New Roman"/>
          <w:color w:val="0070C0"/>
          <w:sz w:val="16"/>
          <w:szCs w:val="16"/>
        </w:rPr>
      </w:pPr>
    </w:p>
    <w:p w14:paraId="6A455FC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с 22 по 28 января 1944 г. проходили испытания опытного танка "Объект 239" на Гороховецком АНИОПе. По результатам испы</w:t>
      </w:r>
      <w:r w:rsidRPr="00070ADE">
        <w:rPr>
          <w:rFonts w:ascii="Times New Roman" w:hAnsi="Times New Roman"/>
          <w:color w:val="000000" w:themeColor="text1"/>
          <w:sz w:val="16"/>
          <w:szCs w:val="16"/>
        </w:rPr>
        <w:softHyphen/>
        <w:t>таний было сделано заключение, что 100-мм танковая пушка С-34 ар</w:t>
      </w:r>
      <w:r w:rsidRPr="00070ADE">
        <w:rPr>
          <w:rFonts w:ascii="Times New Roman" w:hAnsi="Times New Roman"/>
          <w:color w:val="000000" w:themeColor="text1"/>
          <w:sz w:val="16"/>
          <w:szCs w:val="16"/>
        </w:rPr>
        <w:softHyphen/>
        <w:t>тиллерийские полигонные испытания стрельбой выдержала и может быть рекомендована для принятия на вооружение тяжелых танков по</w:t>
      </w:r>
      <w:r w:rsidRPr="00070ADE">
        <w:rPr>
          <w:rFonts w:ascii="Times New Roman" w:hAnsi="Times New Roman"/>
          <w:color w:val="000000" w:themeColor="text1"/>
          <w:sz w:val="16"/>
          <w:szCs w:val="16"/>
        </w:rPr>
        <w:softHyphen/>
        <w:t>сле устранения недостатков. Испытания пушки С-34 показали, что раз</w:t>
      </w:r>
      <w:r w:rsidRPr="00070ADE">
        <w:rPr>
          <w:rFonts w:ascii="Times New Roman" w:hAnsi="Times New Roman"/>
          <w:color w:val="000000" w:themeColor="text1"/>
          <w:sz w:val="16"/>
          <w:szCs w:val="16"/>
        </w:rPr>
        <w:softHyphen/>
        <w:t>меры башни танка КВ-85 с увеличенным диаметром опоры башни допу</w:t>
      </w:r>
      <w:r w:rsidRPr="00070ADE">
        <w:rPr>
          <w:rFonts w:ascii="Times New Roman" w:hAnsi="Times New Roman"/>
          <w:color w:val="000000" w:themeColor="text1"/>
          <w:sz w:val="16"/>
          <w:szCs w:val="16"/>
        </w:rPr>
        <w:softHyphen/>
        <w:t xml:space="preserve">скают </w:t>
      </w:r>
      <w:r w:rsidRPr="00070ADE">
        <w:rPr>
          <w:rFonts w:ascii="Times New Roman" w:hAnsi="Times New Roman"/>
          <w:color w:val="000000" w:themeColor="text1"/>
          <w:sz w:val="16"/>
          <w:szCs w:val="16"/>
        </w:rPr>
        <w:lastRenderedPageBreak/>
        <w:t>установку в ней 100-мм пушки и размещение трех членов экипа</w:t>
      </w:r>
      <w:r w:rsidRPr="00070ADE">
        <w:rPr>
          <w:rFonts w:ascii="Times New Roman" w:hAnsi="Times New Roman"/>
          <w:color w:val="000000" w:themeColor="text1"/>
          <w:sz w:val="16"/>
          <w:szCs w:val="16"/>
        </w:rPr>
        <w:softHyphen/>
        <w:t>жа. По результатам испытаний 100-мм пушки С-34 в танке КВ-85 в кон</w:t>
      </w:r>
      <w:r w:rsidRPr="00070ADE">
        <w:rPr>
          <w:rFonts w:ascii="Times New Roman" w:hAnsi="Times New Roman"/>
          <w:color w:val="000000" w:themeColor="text1"/>
          <w:sz w:val="16"/>
          <w:szCs w:val="16"/>
        </w:rPr>
        <w:softHyphen/>
        <w:t>струкцию пушки был внесен ряд изменений, после чего заводом № 92 НКВ было изготовлено еще два дополнительных образца этой пушки. Один образец был предназначен для установки в башню танка ИС-1, второй - в самоходную артиллерийскую установку на базе танка Т-34. Заводу № 100 к 20 февраля необходимо было спроектировать и изгото</w:t>
      </w:r>
      <w:r w:rsidRPr="00070ADE">
        <w:rPr>
          <w:rFonts w:ascii="Times New Roman" w:hAnsi="Times New Roman"/>
          <w:color w:val="000000" w:themeColor="text1"/>
          <w:sz w:val="16"/>
          <w:szCs w:val="16"/>
        </w:rPr>
        <w:softHyphen/>
        <w:t>вить опытный танк ИС-1 с пушкой С-34, а к 25 февраля 1944 г. предста</w:t>
      </w:r>
      <w:r w:rsidRPr="00070ADE">
        <w:rPr>
          <w:rFonts w:ascii="Times New Roman" w:hAnsi="Times New Roman"/>
          <w:color w:val="000000" w:themeColor="text1"/>
          <w:sz w:val="16"/>
          <w:szCs w:val="16"/>
        </w:rPr>
        <w:softHyphen/>
        <w:t>вить его на полигонные испытания. Изготовление танка задерживалось из-за несвоевременной подачи на завод № 100 пушки С-34 в назначен</w:t>
      </w:r>
      <w:r w:rsidRPr="00070ADE">
        <w:rPr>
          <w:rFonts w:ascii="Times New Roman" w:hAnsi="Times New Roman"/>
          <w:color w:val="000000" w:themeColor="text1"/>
          <w:sz w:val="16"/>
          <w:szCs w:val="16"/>
        </w:rPr>
        <w:softHyphen/>
        <w:t>ный срок — к 20 февраля 1944 г. Поэтому в НКТП было принято реше</w:t>
      </w:r>
      <w:r w:rsidRPr="00070ADE">
        <w:rPr>
          <w:rFonts w:ascii="Times New Roman" w:hAnsi="Times New Roman"/>
          <w:color w:val="000000" w:themeColor="text1"/>
          <w:sz w:val="16"/>
          <w:szCs w:val="16"/>
        </w:rPr>
        <w:softHyphen/>
        <w:t>ние с целью выполнения постановления ГКО установить в серийный танк ИС-85 пушку Д-10Т. Так появился тяжелый танк "Объект 245" (за</w:t>
      </w:r>
      <w:r w:rsidRPr="00070ADE">
        <w:rPr>
          <w:rFonts w:ascii="Times New Roman" w:hAnsi="Times New Roman"/>
          <w:color w:val="000000" w:themeColor="text1"/>
          <w:sz w:val="16"/>
          <w:szCs w:val="16"/>
        </w:rPr>
        <w:softHyphen/>
        <w:t>водское обозначение - ИС-4), вооруженный 100-мм пушкой Д-10Т за</w:t>
      </w:r>
      <w:r w:rsidRPr="00070ADE">
        <w:rPr>
          <w:rFonts w:ascii="Times New Roman" w:hAnsi="Times New Roman"/>
          <w:color w:val="000000" w:themeColor="text1"/>
          <w:sz w:val="16"/>
          <w:szCs w:val="16"/>
        </w:rPr>
        <w:softHyphen/>
        <w:t>вода № 9 НКВ с баллистикой морской пушки Б-34 (длина ствола 56 ка</w:t>
      </w:r>
      <w:r w:rsidRPr="00070ADE">
        <w:rPr>
          <w:rFonts w:ascii="Times New Roman" w:hAnsi="Times New Roman"/>
          <w:color w:val="000000" w:themeColor="text1"/>
          <w:sz w:val="16"/>
          <w:szCs w:val="16"/>
        </w:rPr>
        <w:softHyphen/>
        <w:t>либров, начальная скорость бронебойного снаряда 900 м/с). Он был из</w:t>
      </w:r>
      <w:r w:rsidRPr="00070ADE">
        <w:rPr>
          <w:rFonts w:ascii="Times New Roman" w:hAnsi="Times New Roman"/>
          <w:color w:val="000000" w:themeColor="text1"/>
          <w:sz w:val="16"/>
          <w:szCs w:val="16"/>
        </w:rPr>
        <w:softHyphen/>
        <w:t>готовлен заводом № 100 в марте - апреле 1944 г. Ведущим инженером машины от завода № 100 был Н.И. Заморянский, а по пушке Д-10Т от завода № 9 - М.Е. Безусов (10703).</w:t>
      </w:r>
    </w:p>
    <w:p w14:paraId="02781AD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AA001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с 22 по 28 января 1944 г. Танк КВ-100 прошел испытания на Гороховецком АНИОПе. Изготовление опытного образца было связано с проработкой вопроса о возможности установки на тяжелый серийный танк более мощного ору</w:t>
      </w:r>
      <w:r w:rsidRPr="00070ADE">
        <w:rPr>
          <w:rFonts w:ascii="Times New Roman" w:hAnsi="Times New Roman"/>
          <w:color w:val="000000" w:themeColor="text1"/>
          <w:sz w:val="16"/>
          <w:szCs w:val="16"/>
        </w:rPr>
        <w:softHyphen/>
        <w:t>жия, чем 85-мм танковая пушка. На вооружение и в серийное производ</w:t>
      </w:r>
      <w:r w:rsidRPr="00070ADE">
        <w:rPr>
          <w:rFonts w:ascii="Times New Roman" w:hAnsi="Times New Roman"/>
          <w:color w:val="000000" w:themeColor="text1"/>
          <w:sz w:val="16"/>
          <w:szCs w:val="16"/>
        </w:rPr>
        <w:softHyphen/>
        <w:t>ство танк КВ-100 не принимался из-за крупных недостатков установки вооружения и тесноты расположения экипажа в башне. Опытный образец танка был создан на базе серийного танка КВ-85 и отличался от него установкой в модернизированной башне 100-мм пушки С-34 конструкции и производства ЦАКБ НКВ. В связи с тем, что пушка С-34 имела горизонтальный полуавтоматический затвор, для удобства работы заряжающего его рабочее место было перенесено в ле</w:t>
      </w:r>
      <w:r w:rsidRPr="00070ADE">
        <w:rPr>
          <w:rFonts w:ascii="Times New Roman" w:hAnsi="Times New Roman"/>
          <w:color w:val="000000" w:themeColor="text1"/>
          <w:sz w:val="16"/>
          <w:szCs w:val="16"/>
        </w:rPr>
        <w:softHyphen/>
        <w:t>вую часть башни, а рабочие места командира танка и наводчика - в пра</w:t>
      </w:r>
      <w:r w:rsidRPr="00070ADE">
        <w:rPr>
          <w:rFonts w:ascii="Times New Roman" w:hAnsi="Times New Roman"/>
          <w:color w:val="000000" w:themeColor="text1"/>
          <w:sz w:val="16"/>
          <w:szCs w:val="16"/>
        </w:rPr>
        <w:softHyphen/>
        <w:t>вую. Соответственно командирская башенка была установлена в правой части крыши башни. Для наблюдения за полем боя командир машины использовал смотровые щели, располагавшиеся по периметру коман</w:t>
      </w:r>
      <w:r w:rsidRPr="00070ADE">
        <w:rPr>
          <w:rFonts w:ascii="Times New Roman" w:hAnsi="Times New Roman"/>
          <w:color w:val="000000" w:themeColor="text1"/>
          <w:sz w:val="16"/>
          <w:szCs w:val="16"/>
        </w:rPr>
        <w:softHyphen/>
        <w:t>дирской башенки и поворотный смотровой прибор МК-4, устанавли</w:t>
      </w:r>
      <w:r w:rsidRPr="00070ADE">
        <w:rPr>
          <w:rFonts w:ascii="Times New Roman" w:hAnsi="Times New Roman"/>
          <w:color w:val="000000" w:themeColor="text1"/>
          <w:sz w:val="16"/>
          <w:szCs w:val="16"/>
        </w:rPr>
        <w:softHyphen/>
        <w:t>вавшийся в одной из створок крышки люка. Аналогичный смотровой прибор устанавливался в крыше башни для наводчика. Экипаж танка состоял из четырех человек. По результатам испытаний было сделано заключение о том, что 100-мм пушка С-34 после доработки может быть рекомендована для принятия на вооружение тяжелых танков и самоходно-артиллерий-ских установок. Отмеченные недостатки были учтены при доработке конструкции пушки в ЦАКБ НКВ, после чего заводом № 92 были из</w:t>
      </w:r>
      <w:r w:rsidRPr="00070ADE">
        <w:rPr>
          <w:rFonts w:ascii="Times New Roman" w:hAnsi="Times New Roman"/>
          <w:color w:val="000000" w:themeColor="text1"/>
          <w:sz w:val="16"/>
          <w:szCs w:val="16"/>
        </w:rPr>
        <w:softHyphen/>
        <w:t>готовлены дополнительно два образца пушек С-34, из которых в июне 1944 г. один был установлен в башню танка ИС-2, а второй - в самоход</w:t>
      </w:r>
      <w:r w:rsidRPr="00070ADE">
        <w:rPr>
          <w:rFonts w:ascii="Times New Roman" w:hAnsi="Times New Roman"/>
          <w:color w:val="000000" w:themeColor="text1"/>
          <w:sz w:val="16"/>
          <w:szCs w:val="16"/>
        </w:rPr>
        <w:softHyphen/>
        <w:t>ную установку на базе танка Т-34 (10703).</w:t>
      </w:r>
    </w:p>
    <w:p w14:paraId="18D1903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95E751" w14:textId="77777777" w:rsidR="00792F77" w:rsidRPr="00070ADE" w:rsidRDefault="00792F77" w:rsidP="00B56F90">
      <w:pPr>
        <w:pStyle w:val="ae"/>
        <w:shd w:val="clear" w:color="auto" w:fill="FFFFFF"/>
        <w:spacing w:before="0" w:after="0"/>
        <w:jc w:val="both"/>
        <w:rPr>
          <w:color w:val="000000" w:themeColor="text1"/>
          <w:sz w:val="16"/>
          <w:szCs w:val="16"/>
        </w:rPr>
      </w:pPr>
      <w:r w:rsidRPr="00070ADE">
        <w:rPr>
          <w:color w:val="000000" w:themeColor="text1"/>
          <w:sz w:val="16"/>
          <w:szCs w:val="16"/>
        </w:rPr>
        <w:t>22 января 1944 года начались испытания С-34, установленной в башню КВ-85на Гороховецком АНИОП. Продолжались они до 28 января. За это время было произведено 638 выстрелов, из них 324 усиленным зарядом. Кучность и точность стрельбы были признаны не вполне удовлетворительными — они уступали аналогичным параметрам 100-мм полевой пушки БС-3. Особенно ощутимой оказалась разница при стрельбе бронебойными снарядами.</w:t>
      </w:r>
    </w:p>
    <w:p w14:paraId="23D7F2C2" w14:textId="77777777" w:rsidR="00792F77" w:rsidRPr="00070ADE" w:rsidRDefault="00792F7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Проводились и испытания по стрельбе с ходу. Выяснилось, что огонь на ходу не эффективен, в том числе из-за значительных усилий на маховиках механизмов наведения. Не совсем удачной была признана установка прицела, который рекомендовалось заменить на более совершенный ТШ-16.</w:t>
      </w:r>
    </w:p>
    <w:p w14:paraId="2E88B845" w14:textId="77777777" w:rsidR="00792F77" w:rsidRPr="00070ADE" w:rsidRDefault="00792F77" w:rsidP="00B56F90">
      <w:pPr>
        <w:pStyle w:val="ae"/>
        <w:shd w:val="clear" w:color="auto" w:fill="FFFFFF"/>
        <w:spacing w:before="0" w:after="0"/>
        <w:jc w:val="both"/>
        <w:rPr>
          <w:color w:val="000000" w:themeColor="text1"/>
          <w:sz w:val="16"/>
          <w:szCs w:val="16"/>
        </w:rPr>
      </w:pPr>
      <w:r w:rsidRPr="00070ADE">
        <w:rPr>
          <w:color w:val="000000" w:themeColor="text1"/>
          <w:sz w:val="16"/>
          <w:szCs w:val="16"/>
        </w:rPr>
        <w:t>Сильной стороной системы оказалась скорострельность. При угле возвышения орудия в 2 градуса она составила 12 выстрелов в минуту. Правда, такой темп был достигнут при стрельбе серией из 5 выстрелов, уложенных в нише башни. При закрытых люках и включённом вентиляторе две группы из 10 выстрелов, уложенных в нише башни, удалось отстрелять за 95–105 секунд. Соответственно, реальная скорострельность составила 5,7–6,3 выстрелов в минуту.</w:t>
      </w:r>
    </w:p>
    <w:p w14:paraId="4E1206F5" w14:textId="77777777" w:rsidR="00792F77" w:rsidRPr="00070ADE" w:rsidRDefault="00792F7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При стрельбе на скорострельность отмечалось ослабление гаек механизмов наведения и гильзоотвода. Также постепенно ухудшалась работа клинового затвора. В конце испытаний начальная скорость снаряда уменьшилась на 14,4 метра в секунду, что было в пределах нормы.</w:t>
      </w:r>
    </w:p>
    <w:p w14:paraId="24A1C151" w14:textId="77777777" w:rsidR="00792F77" w:rsidRPr="00070ADE" w:rsidRDefault="00792F7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Идея усилить вооружение КВ-85 родилась в Центральном артиллерийском конструкторском бюро (ЦАКБ), которое разрабатывало орудие семейства С-34. Как и в КБ завода №9, в ЦАКБ разрабатывали триплекс: на одну и ту же люльку планировалось наложить три разных ствола. Базовой моделью была система калибром 100 мм. Цифра 34 в обозначении новой пушки появилось не случайно: базировалось орудие на баллистике 100-мм морской пушки Б-34.</w:t>
      </w:r>
    </w:p>
    <w:p w14:paraId="6C8211DF" w14:textId="77777777" w:rsidR="00792F77" w:rsidRPr="00070ADE" w:rsidRDefault="00792F7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Для установки Б-34 ЦАКБ получило один из серийных образцов КВ-85. Установка этой системы потребовала куда больших переделок, чем в случае с Д-25Т. Клиновой затвор у С-34 открывался не влево, а вправо, при этом заряжающего нужно было разместить с левой стороны. Для этого башню пришлось существенно переделывать. Заряжающий и командир поменялись местами, одновременно вправо переместилось место наводчика. Вместе с наводчиком «переехали» и прицел со спаренным пулемётом. Пришлось переделывать механизмы поворота башни: маховик наводки по вертикали находился слева, а по горизонтали — справа.</w:t>
      </w:r>
    </w:p>
    <w:p w14:paraId="54F482DC" w14:textId="77777777" w:rsidR="00792F77" w:rsidRPr="00070ADE" w:rsidRDefault="00792F77" w:rsidP="00B56F90">
      <w:pPr>
        <w:pStyle w:val="ae"/>
        <w:shd w:val="clear" w:color="auto" w:fill="FFFFFF"/>
        <w:spacing w:before="0" w:after="0"/>
        <w:jc w:val="both"/>
        <w:rPr>
          <w:color w:val="000000" w:themeColor="text1"/>
          <w:sz w:val="16"/>
          <w:szCs w:val="16"/>
        </w:rPr>
      </w:pPr>
      <w:r w:rsidRPr="00070ADE">
        <w:rPr>
          <w:color w:val="000000" w:themeColor="text1"/>
          <w:sz w:val="16"/>
          <w:szCs w:val="16"/>
        </w:rPr>
        <w:t>Серьёзной переделке подверглась орудийная установка. Изменилась неподвижная бронировка, а подвижную бронировку пришлось делать практически с нуля. Она получилась заметно шире, чем подвижная бронировка Д-5Т и Д-25Т. Укладки на опытной машине переделывать не стали.</w:t>
      </w:r>
    </w:p>
    <w:p w14:paraId="434D0CA9" w14:textId="77777777" w:rsidR="00792F77" w:rsidRPr="00070ADE" w:rsidRDefault="00792F77" w:rsidP="00B56F90">
      <w:pPr>
        <w:pStyle w:val="ae"/>
        <w:shd w:val="clear" w:color="auto" w:fill="FFFFFF"/>
        <w:spacing w:before="0" w:after="0"/>
        <w:jc w:val="both"/>
        <w:rPr>
          <w:color w:val="000000" w:themeColor="text1"/>
          <w:sz w:val="16"/>
          <w:szCs w:val="16"/>
        </w:rPr>
      </w:pPr>
      <w:r w:rsidRPr="00070ADE">
        <w:rPr>
          <w:color w:val="000000" w:themeColor="text1"/>
          <w:sz w:val="16"/>
          <w:szCs w:val="16"/>
        </w:rPr>
        <w:t>С-34 испытания выдержала, но при этом от ЦАКБ требовалось внести улучшения в конструкцию орудия. Размещение экипажа внутри боевого отделения было признано более-менее удачным, но нужно было серьёзно улучшить условия работы наводчика и командира, который лишился дополнительного объёма в выступе, оставшемся с левой стороны. Из-за этого командиру было тесно, да ещё и возник серьёзный риск получить травму казённой частью орудия при стрельбе. Решением проблемы могло стать перемещение выступа на правую сторону башни. Также от ЦАКБ требовалось разработать укладку выстрелов в корпусе.</w:t>
      </w:r>
    </w:p>
    <w:p w14:paraId="7DEB87F5" w14:textId="77777777" w:rsidR="00792F77" w:rsidRPr="00070ADE" w:rsidRDefault="00792F7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Впрочем, этим ЦАКБ уже не занималось. ЦАКБ не планировало перевооружать КВ-85, опытный танк был не более чем тестовой лабораторией. Целью этих работ являлось создание 100-мм орудия для танка ИС. В дальнейшем коллектив ЦАКБ продолжил работу по С-34 уже с использованием танка ИС, эта машина получила обозначение Объект 248. Работы по КВ-85 с С-34 (или КВ-100, как его иногда называют) были остановлены (17722).</w:t>
      </w:r>
    </w:p>
    <w:p w14:paraId="4FCBB6AB" w14:textId="77777777" w:rsidR="00792F77" w:rsidRPr="00070ADE" w:rsidRDefault="00792F77" w:rsidP="00B56F90">
      <w:pPr>
        <w:spacing w:after="0" w:line="240" w:lineRule="auto"/>
        <w:jc w:val="both"/>
        <w:rPr>
          <w:rFonts w:ascii="Times New Roman" w:eastAsia="Times New Roman" w:hAnsi="Times New Roman"/>
          <w:color w:val="000000" w:themeColor="text1"/>
          <w:sz w:val="16"/>
          <w:szCs w:val="16"/>
          <w:lang w:eastAsia="ru-RU"/>
        </w:rPr>
      </w:pPr>
    </w:p>
    <w:p w14:paraId="552B90E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года вышел приказ № 36с НКТП</w:t>
      </w:r>
    </w:p>
    <w:p w14:paraId="03635633"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исполнение Постановления ГКО за № 4975с от 18 января 1944 года:</w:t>
      </w:r>
    </w:p>
    <w:p w14:paraId="14EE994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Начальнику 2 Гл. управления НКТП передать Наркомрыбпрому завод № 45 (“Коммунист”) в Марксе (6143, 111).</w:t>
      </w:r>
    </w:p>
    <w:p w14:paraId="207BF05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C043D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вышло Распоряжение ГКО № 4997 [О производстве и поставке НКО антипаразитарных препаратов.] (7176, 151-152).</w:t>
      </w:r>
    </w:p>
    <w:p w14:paraId="63F7BA8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BC30C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вышло Распоряжение ГКО № 4998 [Об освобождении Разина Н.М. от обязанностей уполномоченного по отгрузке угля по комбинату "Ростовуголь".] (7176, 153).</w:t>
      </w:r>
    </w:p>
    <w:p w14:paraId="1BA70FD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16852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вышло Распоряжение ГКО № 4999. О мобилизации в Узбекской ССР 600 военнообязанных, годных к нестроевой службе, для постоянной работы на предприятиях местной топливной промышленности республики. РГАНИР, Фонд ГКО, д. 195, лл. 154 (11012).</w:t>
      </w:r>
    </w:p>
    <w:p w14:paraId="41FE83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BF8722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вышло Распоряжение ГКО № 5000. О поставках с КМК мерной броневой полосы для бронекорпусов танков Т-34. РГАНИР, Фонд ГКО, д. 195, лл. 155 (11012).</w:t>
      </w:r>
    </w:p>
    <w:p w14:paraId="6540501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F4D108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вышло Распоряжение ГКО № 5001. О мерах по обеспечению выпуска анодного никеля на комбинате "Североникель" в I кв. 1944 г. РГАНИР, Фонд ГКО, д. 195, лл. 156 (11012).</w:t>
      </w:r>
    </w:p>
    <w:p w14:paraId="7A7F7E7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823149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вышло Постановление ГКО № 5002 Об организации производства траков для гусеничных тракторов на Сталинградском тракторном заводе Наркомтанкопрома. РГАНИР, Фонд ГКО, д. 195, лл. 157 (11012).</w:t>
      </w:r>
    </w:p>
    <w:p w14:paraId="44D8ABD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745DEB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вышло Постановление ГКО № 5003 Об обеспечении автомобильных и автоприцепных заводов Наркомсредмаша пиломатериалами для автостроения в первом полугодии 1944 г. РГАНИР, Фонд ГКО, д. 195, лл. 158-161 (11012).</w:t>
      </w:r>
    </w:p>
    <w:p w14:paraId="5E7D79A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EB1DD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вышло Постановление ГКО № 5004 О восстановлении турбоагрегата 100 мгвт и 3 генераторов по 50 мгвт Зуевской ГРЭС Донбассэнерго. РГАНИР, Фонд ГКО, д. 195, лл. 162,163-167 (11012).</w:t>
      </w:r>
    </w:p>
    <w:p w14:paraId="5884C6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8C192F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вышло Постановление ГКО № 5005 О мероприятиях по восстановлению лесопильных и деревообрабатывающих предприятий Наркомлеса УССР. РГАНИР, Фонд ГКО, д. 195, лл. 168-170,171-172 (11012).</w:t>
      </w:r>
    </w:p>
    <w:p w14:paraId="3530111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00C1624"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вышло Постановление ГКО № 5006 Об увеличении производства резиновых галош на заводе "Красный богатырь" Наркомрезинпрома. (7176, 173-175,176-178).</w:t>
      </w:r>
    </w:p>
    <w:p w14:paraId="3ABA2FC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C8CBA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вышло Распоряжение ГКО № 5007. О мерах по восстановлению ЦЭС Бежицкого завода "Красный Профинтерн". РГАНИР, Фонд ГКО, д. 195, лл. 179-180 (11012).</w:t>
      </w:r>
    </w:p>
    <w:p w14:paraId="193A7D8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3EE30B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22 января 1944 вышло Постановление ГКО № 5008 О восстановлении Харьковской группы заводов Наркомата станкостроения. РГАНИР, Фонд ГКО, д. 195, лл. 181-186,187 (11012).</w:t>
      </w:r>
    </w:p>
    <w:p w14:paraId="13CF5DF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55531F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вышло Постановление ГКО № 5009 О плане военного судостроения и судоремонта по ленинградским заводам Наркомсудпрома на 1944 г. РГАНИР, Фонд ГКО, д. 195, лл. 188-193,194-224 (11012).</w:t>
      </w:r>
    </w:p>
    <w:p w14:paraId="006990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CCC7C2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вышло Постановление ГКО № 5012 О мерах по обеспечению производства синтетического каучука, автомобильных, авиационных и артиллерийских шин, средств химической защиты, инженерного и воздухоплавательного имущества, а также других резинотехнических и асбестовых изделий. РГАНИР, Фонд ГКО, д. 196, лл. 11-31 (11012).</w:t>
      </w:r>
    </w:p>
    <w:p w14:paraId="7BC3459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D51E29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вышло Постановление ГКО № 5013 О плане ремонта тракторов для Красной Армии и Военно-Морского Флота на I квартал 1944 г. (7177, 32-36,37-72).</w:t>
      </w:r>
    </w:p>
    <w:p w14:paraId="196F676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DE56A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вышло Распоряжение ГКО № 5014 [О мерах по обеспечению строительства завода № 402 НКСП инструментом, оборудованием, рабочей силой.] (7177, 73-77,78-80).</w:t>
      </w:r>
    </w:p>
    <w:p w14:paraId="29AFDB2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782D4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вышло Постановление ГКО № 5015 О плане производства протезных изделий на I квартал 1944 г. (7177, 81-82,83-90).</w:t>
      </w:r>
    </w:p>
    <w:p w14:paraId="4F6D03A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3142B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вышло Постановление ГКО № 5016 О материально-техническом обеспечении подшипниковых заводов Наркомсредмаша в I квартале 1944 года. РГАНИР, Фонд ГКО, д. 196, лл. 91-102,103-127 (11012).</w:t>
      </w:r>
    </w:p>
    <w:p w14:paraId="10D8DFF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B14C1C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вышло Постановление ГКО № 5017 О плане ремонта и производства военно-технического имущества на предприятиях НКО в I квартале 1944 г. РГАНИР, Фонд ГКО, д. 196, лл. 128-130,131-172 (11012).</w:t>
      </w:r>
    </w:p>
    <w:p w14:paraId="165AA7D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EE6A88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вышло Постановление ГКО № 5018 О неотложных мерах по ускорению строительства Барнаульского котельного завода Наркомтяжмаша и увеличению выпуска паровых котлов, арматуры и котельно-вспомогательного оборудования. РГАНИР, Фонд ГКО, д. 196, лл. 173-180,181-188 (11012).</w:t>
      </w:r>
    </w:p>
    <w:p w14:paraId="61DBCAF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807092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вышло Постановление ГКО № 5019 Об изготовлении и ремонте средств вооружения и оборудования на предприятиях Наркомвоенморфлота в I квартале 1944 года. РГАНИР, Фонд ГКО, д. 196, лл. 189-191,192-209 (11012).</w:t>
      </w:r>
    </w:p>
    <w:p w14:paraId="50F5F9D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77DEE6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52F4AE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59017F"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22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2B9B117F"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Красное Село наши войска продолжали наступление, с боями заняли более 40 населённых пунктов, в том числе Трудовик, Переярово, Волковицы, Нисковицы, Большое Ондрово, Кастино, Питкелево, Куйдузи, Воудилово, Кезелево, Юля-Пурсково, Покизен-Пурсково, Большая Истинка, Тайцы, Новая Пудость, Вайялово, Малое Пегелево, Александровское, Зайцево, Коврово, Пендолово, Комолово, Баболова и железнодорожные станции Тайцы и Ижора.</w:t>
      </w:r>
    </w:p>
    <w:p w14:paraId="76FAFCFE"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и северо-восточнее Тосно наши войска с боями продвигались вперёд и заняли более 30 населённых пунктов, в том числе Отрадное, Рождественно, Перевоз, Воскресенское, Захожье, Войтолово, Пухолово, Сиголово, Сологубовка, Лезье, Петрово, Турышкино, Муя, Старостино, Ерзуново, Белоголово, Малукса, Березовка, Шапки и железнодорожные станции Пелла, Сологубовка, Турышкино, Малукса. Нашими войсками, полностью очищена от противника железная дорога Кириши—Мга—Ленинград.</w:t>
      </w:r>
    </w:p>
    <w:p w14:paraId="15C89489"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Новгорода наши войска полностью ликвидировали разрозненные группы противника, окружённые в лесах западнее города, а также с боями заняли населённые пункты Заклинье, Сутоки, Дубня и железнодорожную станцию Татино.</w:t>
      </w:r>
    </w:p>
    <w:p w14:paraId="4AF713C6"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Калинковичи наши войска заняли несколько населённых пунктов и среди них Мармовичи, Лесец, Соловейка, Дубняки, Перекрутовский Воротынь, Каплецкий Воротынь, Кротов.</w:t>
      </w:r>
    </w:p>
    <w:p w14:paraId="03BE8221"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в ряде пунктов шли бои местного значения.</w:t>
      </w:r>
    </w:p>
    <w:p w14:paraId="3E92CE61"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21 января наши войска на всех фронтах подбили и уничтожили 45 немецких танков. В воздушных боях и огнём зенитной артиллерии сбито 18 самолётов противника.</w:t>
      </w:r>
    </w:p>
    <w:p w14:paraId="21044764"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Красное Село наши войска продолжали наступление и, продвигаясь вперёд, с боями заняли более 40 населённых пунктов. Части Н-ского соединения в течение дня уничтожили свыше 1.500 немецких солдат и офицеров и взяли большое число пленных. Захвачено у немцев 8 исправных танков, 88 орудий, в том числе несколько орудий крупного калибра, 5 складов с продовольствием, а также много другого вооружения и снаряжения. Около одного населённого пункта немецкие танки пытались контратаковать наши наступающие подразделения. Старшина т.Рубилов выдвинулся вперёд и несколькими выстрелами из противотанкового ружья зажёг два немецких танка. Остальные танки противника быстро отошли. Наши бойцы немедленно бросились в атаку и, сломив оборону немцев, овладели крупным населённым пунктом.</w:t>
      </w:r>
    </w:p>
    <w:p w14:paraId="3C338D3D"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и северо-восточнее Тосно наши войска, продвигаясь вперёд, заняли свыше 30 населённых пунктов и полностью очистили от противника железную дорогуКириши—Мга—Ленинград. Нанося немцам непрерывные удары, части Н-ского соединения уничтожили до полка пехоты противника. Захвачены 7 артиллерийских батарей и несколько складов с боеприпасами. На другом участке наши передовые отряды внезапно ворвались в деревню, в которой находились гитлеровцы. Немцы в панике побежали и в большей своей части были уничтожены. Захвачен большой обоз с военным имуществом.</w:t>
      </w:r>
    </w:p>
    <w:p w14:paraId="20BE22B2"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Новгорода наши войска вели наступательные бои. Немцы упорно защищали железнодорожную станцию Татино, пытаясь выиграть время и привести в порядок свои разгромленные части. Советские бойцы стремительно атаковали противника и после ожесточённого боя овладели этой станцией. На другом участке разведчики Н-скойчасти разгромили батальон гитлеровцев и захватили 8 орудий, 36 пулемётов, 22 автомашины и склад боеприпасов. Наши войска целиком ликвидировали разрозненные группы противника, окружённые в лесах западнее Новгорода. Многие немецкие солдаты и офицеры сложили оружие и сдались в плен.</w:t>
      </w:r>
    </w:p>
    <w:p w14:paraId="3945CFB8"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Калинковичи бойцы Н-ского соединения, преодолевая сильное огневое сопротивление и отражая контратаки немцев, продолжали наступление. В бою за населённые пункты Мармовичи и Соловейка уничтожено до 500 гитлеровцев и 4 немецких танка. В другом районе бойцы Н-ской части по лесной дороге проникли в тыл противника и истребили до роты гитлеровцев.</w:t>
      </w:r>
    </w:p>
    <w:p w14:paraId="463EA381"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Баренцовом море потоплены два транспорта противника водоизмещением по 6 тысяч тонн каждый, сторожевой корабль и немецкая подводная лодка.</w:t>
      </w:r>
    </w:p>
    <w:p w14:paraId="6C1367A6"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Калининский партизанский отряд в течение двух дней вёл бой с карательным отрядом немцев. Советские патриоты отошли в лес и заманили туда карателей. Измотав противника, партизаны нанесли ему решительный удар. Гитлеровцы отступили, оставив в лесу до 200 трупов своих солдат и офицеров. Другой отряд калининских партизан пустил под откос немецкий воинский эшелон. Во время крушения разбиты 2 платформы с орудиями, 6 вагонов с продовольствием и убито 44 немецких солдата.</w:t>
      </w:r>
    </w:p>
    <w:p w14:paraId="3F7C38B3"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одном участке 2-го Украинского фронта захвачена в плен группа солдат иунтер-офицеров 23 немецкой танковой дивизии. Пленный унтер-офицер 3 роты 126 гренадерского полка Иоганн Брихт рассказал: «В середине октября наша дивизия была разбита. Командир 126 полка подполковник фон Виннинг убит. Из остатков дивизии был сформирован один батальон. В ноябре дивизию пополнили и восстановили. Однако пополнения хватило не надолго. Русские опять нанесли нам тяжёлое поражение». Пленный унтер-офицер 2 роты того же полка Герман Феловзаявил: «Я добровольно пошёл в армию и дал подписку прослужить 12 лет, в чём теперь сильно раскаиваюсь.</w:t>
      </w:r>
    </w:p>
    <w:p w14:paraId="1B980C5D"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Тогда я был уверен в победе Германии и рассчитывал после войны приобрести поместье на Украине. После поражений, которые понесла немецкая армия в России, теперь нам больше не на что надеяться» (15017).</w:t>
      </w:r>
    </w:p>
    <w:p w14:paraId="331EFD64" w14:textId="77777777" w:rsidR="00171E88" w:rsidRPr="00070ADE" w:rsidRDefault="00171E88" w:rsidP="00B56F90">
      <w:pPr>
        <w:spacing w:after="0" w:line="240" w:lineRule="auto"/>
        <w:jc w:val="both"/>
        <w:rPr>
          <w:rFonts w:ascii="Times New Roman" w:hAnsi="Times New Roman"/>
          <w:color w:val="000000" w:themeColor="text1"/>
          <w:sz w:val="16"/>
          <w:szCs w:val="16"/>
        </w:rPr>
      </w:pPr>
    </w:p>
    <w:p w14:paraId="46EBA23F" w14:textId="77777777" w:rsidR="00171E88" w:rsidRPr="00070ADE" w:rsidRDefault="00171E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22 января</w:t>
      </w:r>
      <w:r w:rsidRPr="00070ADE">
        <w:rPr>
          <w:rFonts w:ascii="Times New Roman" w:hAnsi="Times New Roman"/>
          <w:color w:val="000000" w:themeColor="text1"/>
          <w:sz w:val="16"/>
          <w:szCs w:val="16"/>
        </w:rPr>
        <w:t xml:space="preserve"> в 1944 году в Ленинграде разорвался последний вражеский снаряд (15017).</w:t>
      </w:r>
    </w:p>
    <w:p w14:paraId="58BC1836" w14:textId="77777777" w:rsidR="00171E88" w:rsidRPr="00070ADE" w:rsidRDefault="00171E88" w:rsidP="00B56F90">
      <w:pPr>
        <w:spacing w:after="0" w:line="240" w:lineRule="auto"/>
        <w:jc w:val="both"/>
        <w:rPr>
          <w:rFonts w:ascii="Times New Roman" w:hAnsi="Times New Roman"/>
          <w:color w:val="000000" w:themeColor="text1"/>
          <w:sz w:val="16"/>
          <w:szCs w:val="16"/>
        </w:rPr>
      </w:pPr>
    </w:p>
    <w:p w14:paraId="42F9BAD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советские войска окружили немцев под Витебском (4962).</w:t>
      </w:r>
    </w:p>
    <w:p w14:paraId="0181A12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10F15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вышло Постановление ГКО № 5010 Об улучшении метеорологического обслуживания воздушной трассы Красноярск - Уэлькаль. (7176, 225-228,229-232).</w:t>
      </w:r>
    </w:p>
    <w:p w14:paraId="5608A1E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38F34A"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37DA30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9011C7"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22 января</w:t>
      </w:r>
      <w:r w:rsidRPr="00070ADE">
        <w:rPr>
          <w:rFonts w:ascii="Times New Roman" w:hAnsi="Times New Roman"/>
          <w:color w:val="000000" w:themeColor="text1"/>
          <w:sz w:val="16"/>
          <w:szCs w:val="16"/>
        </w:rPr>
        <w:t xml:space="preserve"> в 1944 году выступая в парламенте, У.Черчилль признал обоснованность претензий СССР на территории Западной Украины и Западной Белоруссии (15017).</w:t>
      </w:r>
    </w:p>
    <w:p w14:paraId="5A06D42F" w14:textId="77777777" w:rsidR="00A178F0" w:rsidRPr="00070ADE" w:rsidRDefault="00A178F0" w:rsidP="00B56F90">
      <w:pPr>
        <w:spacing w:after="0" w:line="240" w:lineRule="auto"/>
        <w:jc w:val="both"/>
        <w:rPr>
          <w:rFonts w:ascii="Times New Roman" w:hAnsi="Times New Roman"/>
          <w:color w:val="000000" w:themeColor="text1"/>
          <w:sz w:val="16"/>
          <w:szCs w:val="16"/>
        </w:rPr>
      </w:pPr>
    </w:p>
    <w:p w14:paraId="5307078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войска союзников высадились у Анцио (Италия), в тылу германских войск, прорвав тем самым немецкую линию обороны “Густав” (4962).</w:t>
      </w:r>
    </w:p>
    <w:p w14:paraId="4FB9D5C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4B5BE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Jan 22 1944 Allies land at Anzio (1050).</w:t>
      </w:r>
    </w:p>
    <w:p w14:paraId="1110BB1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9E6B1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союзники высадились в Анцио (1050) и Неттуно в Италии (2247,1) - к юго востоку от Рима, пытаясь обойти линию Густава с фланга (3907,248). Высадили 50 тыс. чел. со 126 кораблей и 250 транспортных судов. Задействовали 700 самолетов. Противостояли 2 батальона и несколько батарей береговой артиллерии. Несмотря на то, что 5А американцев начала наступление на Монте Кассино, оттянув силы немцев, нерешительность действия десанта привело к тому, что немцы десант бликировали и держали до мая 1944 (2438,57).</w:t>
      </w:r>
    </w:p>
    <w:p w14:paraId="323A52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76E6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January 22, 1944. Mediterranean Allied Air Forces fly 1,200 sorties in support of Operation Shingle, the amphibious landings at Anzio, Italy (1089).</w:t>
      </w:r>
    </w:p>
    <w:p w14:paraId="266CC4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2AAF142"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в ходе операции «Шингл» союзные войска высаживаются в Анцио и Неттуно, Италия. Авиация союзников совершила 1200 боевых вылетов в поддержку высадки (20373).</w:t>
      </w:r>
    </w:p>
    <w:p w14:paraId="22F65B74" w14:textId="77777777" w:rsidR="006E11C9" w:rsidRPr="00070ADE" w:rsidRDefault="006E11C9" w:rsidP="00B56F90">
      <w:pPr>
        <w:spacing w:after="0" w:line="240" w:lineRule="auto"/>
        <w:jc w:val="both"/>
        <w:rPr>
          <w:rFonts w:ascii="Times New Roman" w:hAnsi="Times New Roman"/>
          <w:color w:val="000000" w:themeColor="text1"/>
          <w:sz w:val="16"/>
          <w:szCs w:val="16"/>
        </w:rPr>
      </w:pPr>
    </w:p>
    <w:p w14:paraId="35ADD2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авиация союзников выполнила 1200 вылетов для поддержки высадки в Анцио в Италии (1089).</w:t>
      </w:r>
    </w:p>
    <w:p w14:paraId="6880C4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FA9CA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американский флот в Тихом океане начал операцию по захвату Маршалловых островов (4962).</w:t>
      </w:r>
    </w:p>
    <w:p w14:paraId="5F57625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658B7D" w14:textId="77777777" w:rsidR="00A178F0"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0A4FDFE" w14:textId="77777777" w:rsidR="00A178F0" w:rsidRPr="00070ADE" w:rsidRDefault="00A178F0"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B0F356"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января</w:t>
      </w:r>
      <w:r w:rsidRPr="00070ADE">
        <w:rPr>
          <w:rFonts w:ascii="Times New Roman" w:hAnsi="Times New Roman"/>
          <w:color w:val="000000" w:themeColor="text1"/>
          <w:sz w:val="16"/>
          <w:szCs w:val="16"/>
        </w:rPr>
        <w:t xml:space="preserve"> в 1944 году проходят испытания истребителя-штурмовика «Як-9К» с 45-мм пушкой «НС-45», пилот В.Е.Голофастов. Этот истребитель предназначался главным образом для атак наземных целей и борьбы с бомбардировщиками противника; «Як-9», созданный в конце 1942 г., стал самым массовым истребителем советских ВВС в период Великой Отечественной войны. За 1942-1945 гг. авиапромышленность выпустила 15470 самолетов этого типа. При его создании за основу был взят истребитель «Як-7Б» с мотором «М-105ПФ». Производство «Як-9» началось в конце 1942 г. Этот самолет обладал отличными пилотажными качествами и превосходной маневренностью, был устойчив на всех режимах полета. В 1943 г. был создан и выпускался крупной серией «Як-9Т», вооруженный пушкой калибра 37 мм, а в 1944 г. вышел и «Як-9К» с пушкой калибра 45 мм. Эти истребители предназначались главным образом для атак наземных целей и борьбы с бомбардировщиками противника. В 1943 г. на фронт пошли истребители «Як-9Д», имевшие увеличенный запас топлива, а в 1944 г. был создан и сверхдальний вариант – «Як-9ДД», выпускавшийся небольшой серией. Если максимальная дальность полета «Як-9» составляла 910 км, то у «Як-9Д» она была 1400 км, а у «Як-9ДД» 1800 км. Небольшой серией выпускался и истребитель-бомбардировщик «Як-9Б», в фюзеляже которого размещалось до 400 кг бомб. Когда «Як-9К» летел со скоростью меньшей чем 350 км/час и пилот начинал стрелять из «НС-45», то трясло не только самолет, но и его самого мотало в кресле взад-вперед как в разгоняющемся и тормозящем автомобиле. Когда самолет летел значительно быстрее и пилот делал одиночные выстрелы, то это уже не оказывало существенного виляния на характер полета и точность огня. Прицеливание облегчало то, что 45 мм снаряды оставляли за собой бледно-розовый с лед в течение 4,5 сек. Огонь, тянущийся за снарядом, прочерчивал путь к цели и был хорошо виден как днем, так и ночью. Второй выстрел, а так же очередь из трех или больше снарядов, делали прицеливание полностью невозможным, так как самолет изменял даже направление полета. Если принять во внимание, что после попадания одного снаряда из пушки «НС-45» вражеский самолет рассыпался в воздухе, то боезапас в 29 снарядов представляется вполне достаточным. Один снаряд так же полностью уничтожал грузовой автомобиль.</w:t>
      </w:r>
    </w:p>
    <w:p w14:paraId="1373D9AD"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Сила отдачи, несмотря на ис¬пользование дульного тормоза, была так велика (7000 кг), что после возвращения из боя на самолете обнаруживались многочисленные течи - из трещин трубопроводов различных систем. Все это было уже известно после государственных испытаний, проводившихся в НИИ ВСС в период с 12 января по 8 апреля 1944 года. Но мощь огня «Як-9К» была так велика, что в период с апреля по июль 1944 года было построено 53 машины, 44 из которых передали в два истребительных полка (15018).</w:t>
      </w:r>
    </w:p>
    <w:p w14:paraId="5E72747F" w14:textId="77777777" w:rsidR="00A178F0" w:rsidRPr="00070ADE" w:rsidRDefault="00A178F0" w:rsidP="00B56F90">
      <w:pPr>
        <w:spacing w:after="0" w:line="240" w:lineRule="auto"/>
        <w:jc w:val="both"/>
        <w:rPr>
          <w:rFonts w:ascii="Times New Roman" w:hAnsi="Times New Roman"/>
          <w:color w:val="000000" w:themeColor="text1"/>
          <w:sz w:val="16"/>
          <w:szCs w:val="16"/>
        </w:rPr>
      </w:pPr>
    </w:p>
    <w:p w14:paraId="0A54D5AF"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января 1944 г. Из отчетного доклада директора завода № 22 В. А. Окулова за 1943 г. — о выполнении производственной программы по оборонной продукции</w:t>
      </w:r>
    </w:p>
    <w:p w14:paraId="739661D4" w14:textId="351664ED"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Наименование I показателей</w:t>
      </w:r>
      <w:r w:rsidRPr="00070ADE">
        <w:rPr>
          <w:rFonts w:ascii="Times New Roman" w:hAnsi="Times New Roman"/>
          <w:color w:val="000000" w:themeColor="text1"/>
          <w:sz w:val="16"/>
          <w:szCs w:val="16"/>
        </w:rPr>
        <w:tab/>
        <w:t>Ед. из-</w:t>
      </w:r>
      <w:r w:rsidRPr="00070ADE">
        <w:rPr>
          <w:rFonts w:ascii="Times New Roman" w:hAnsi="Times New Roman"/>
          <w:color w:val="000000" w:themeColor="text1"/>
          <w:sz w:val="16"/>
          <w:szCs w:val="16"/>
        </w:rPr>
        <w:tab/>
        <w:t>Отчет</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за</w:t>
      </w:r>
      <w:r w:rsidRPr="00070ADE">
        <w:rPr>
          <w:rFonts w:ascii="Times New Roman" w:hAnsi="Times New Roman"/>
          <w:color w:val="000000" w:themeColor="text1"/>
          <w:sz w:val="16"/>
          <w:szCs w:val="16"/>
        </w:rPr>
        <w:tab/>
        <w:t>1943 г.</w:t>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t>Отчет за 1943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 %% к</w:t>
      </w:r>
      <w:r w:rsidRPr="00070ADE">
        <w:rPr>
          <w:rFonts w:ascii="Times New Roman" w:hAnsi="Times New Roman"/>
          <w:color w:val="000000" w:themeColor="text1"/>
          <w:sz w:val="16"/>
          <w:szCs w:val="16"/>
        </w:rPr>
        <w:tab/>
      </w:r>
    </w:p>
    <w:p w14:paraId="6B33F840" w14:textId="7AE52245"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ab/>
        <w:t>мер.</w:t>
      </w:r>
      <w:r w:rsidRPr="00070ADE">
        <w:rPr>
          <w:rFonts w:ascii="Times New Roman" w:hAnsi="Times New Roman"/>
          <w:color w:val="000000" w:themeColor="text1"/>
          <w:sz w:val="16"/>
          <w:szCs w:val="16"/>
        </w:rPr>
        <w:tab/>
        <w:t>1942 г.</w:t>
      </w:r>
      <w:r w:rsidRPr="00070ADE">
        <w:rPr>
          <w:rFonts w:ascii="Times New Roman" w:hAnsi="Times New Roman"/>
          <w:color w:val="000000" w:themeColor="text1"/>
          <w:sz w:val="16"/>
          <w:szCs w:val="16"/>
        </w:rPr>
        <w:tab/>
        <w:t>план</w:t>
      </w:r>
      <w:r w:rsidRPr="00070ADE">
        <w:rPr>
          <w:rFonts w:ascii="Times New Roman" w:hAnsi="Times New Roman"/>
          <w:color w:val="000000" w:themeColor="text1"/>
          <w:sz w:val="16"/>
          <w:szCs w:val="16"/>
        </w:rPr>
        <w:tab/>
        <w:t>отчет</w:t>
      </w:r>
      <w:r w:rsidRPr="00070ADE">
        <w:rPr>
          <w:rFonts w:ascii="Times New Roman" w:hAnsi="Times New Roman"/>
          <w:color w:val="000000" w:themeColor="text1"/>
          <w:sz w:val="16"/>
          <w:szCs w:val="16"/>
        </w:rPr>
        <w:tab/>
        <w:t>плану</w:t>
      </w:r>
      <w:r w:rsidRPr="00070ADE">
        <w:rPr>
          <w:rFonts w:ascii="Times New Roman" w:hAnsi="Times New Roman"/>
          <w:color w:val="000000" w:themeColor="text1"/>
          <w:sz w:val="16"/>
          <w:szCs w:val="16"/>
        </w:rPr>
        <w:tab/>
        <w:t>прошлому</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году</w:t>
      </w:r>
    </w:p>
    <w:p w14:paraId="43C7A15E" w14:textId="713821E5"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IА. Оборонная продукция. 11. Самолеты Пе-2 а) сдано</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|по окончательной сборке</w:t>
      </w:r>
      <w:r w:rsidRPr="00070ADE">
        <w:rPr>
          <w:rFonts w:ascii="Times New Roman" w:hAnsi="Times New Roman"/>
          <w:color w:val="000000" w:themeColor="text1"/>
          <w:sz w:val="16"/>
          <w:szCs w:val="16"/>
        </w:rPr>
        <w:tab/>
        <w:t>шт.</w:t>
      </w:r>
      <w:r w:rsidRPr="00070ADE">
        <w:rPr>
          <w:rFonts w:ascii="Times New Roman" w:hAnsi="Times New Roman"/>
          <w:color w:val="000000" w:themeColor="text1"/>
          <w:sz w:val="16"/>
          <w:szCs w:val="16"/>
        </w:rPr>
        <w:tab/>
        <w:t>1933</w:t>
      </w:r>
      <w:r w:rsidRPr="00070ADE">
        <w:rPr>
          <w:rFonts w:ascii="Times New Roman" w:hAnsi="Times New Roman"/>
          <w:color w:val="000000" w:themeColor="text1"/>
          <w:sz w:val="16"/>
          <w:szCs w:val="16"/>
        </w:rPr>
        <w:tab/>
        <w:t>2371</w:t>
      </w:r>
      <w:r w:rsidRPr="00070ADE">
        <w:rPr>
          <w:rFonts w:ascii="Times New Roman" w:hAnsi="Times New Roman"/>
          <w:color w:val="000000" w:themeColor="text1"/>
          <w:sz w:val="16"/>
          <w:szCs w:val="16"/>
        </w:rPr>
        <w:tab/>
        <w:t>2423</w:t>
      </w:r>
      <w:r w:rsidRPr="00070ADE">
        <w:rPr>
          <w:rFonts w:ascii="Times New Roman" w:hAnsi="Times New Roman"/>
          <w:color w:val="000000" w:themeColor="text1"/>
          <w:sz w:val="16"/>
          <w:szCs w:val="16"/>
        </w:rPr>
        <w:tab/>
        <w:t>102,2</w:t>
      </w:r>
      <w:r w:rsidRPr="00070ADE">
        <w:rPr>
          <w:rFonts w:ascii="Times New Roman" w:hAnsi="Times New Roman"/>
          <w:color w:val="000000" w:themeColor="text1"/>
          <w:sz w:val="16"/>
          <w:szCs w:val="16"/>
        </w:rPr>
        <w:tab/>
        <w:t>125,3</w:t>
      </w:r>
    </w:p>
    <w:p w14:paraId="5C865F33"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том числе: Iразведчики</w:t>
      </w:r>
      <w:r w:rsidRPr="00070ADE">
        <w:rPr>
          <w:rFonts w:ascii="Times New Roman" w:hAnsi="Times New Roman"/>
          <w:color w:val="000000" w:themeColor="text1"/>
          <w:sz w:val="16"/>
          <w:szCs w:val="16"/>
        </w:rPr>
        <w:tab/>
        <w:t>шт.</w:t>
      </w:r>
      <w:r w:rsidRPr="00070ADE">
        <w:rPr>
          <w:rFonts w:ascii="Times New Roman" w:hAnsi="Times New Roman"/>
          <w:color w:val="000000" w:themeColor="text1"/>
          <w:sz w:val="16"/>
          <w:szCs w:val="16"/>
        </w:rPr>
        <w:tab/>
        <w:t>62</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55</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88,7</w:t>
      </w:r>
    </w:p>
    <w:p w14:paraId="29FF0F61"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[учебные</w:t>
      </w:r>
      <w:r w:rsidRPr="00070ADE">
        <w:rPr>
          <w:rFonts w:ascii="Times New Roman" w:hAnsi="Times New Roman"/>
          <w:color w:val="000000" w:themeColor="text1"/>
          <w:sz w:val="16"/>
          <w:szCs w:val="16"/>
        </w:rPr>
        <w:tab/>
        <w:t>шт.</w:t>
      </w:r>
      <w:r w:rsidRPr="00070ADE">
        <w:rPr>
          <w:rFonts w:ascii="Times New Roman" w:hAnsi="Times New Roman"/>
          <w:color w:val="000000" w:themeColor="text1"/>
          <w:sz w:val="16"/>
          <w:szCs w:val="16"/>
        </w:rPr>
        <w:tab/>
        <w:t>17</w:t>
      </w:r>
      <w:r w:rsidRPr="00070ADE">
        <w:rPr>
          <w:rFonts w:ascii="Times New Roman" w:hAnsi="Times New Roman"/>
          <w:color w:val="000000" w:themeColor="text1"/>
          <w:sz w:val="16"/>
          <w:szCs w:val="16"/>
        </w:rPr>
        <w:tab/>
        <w:t>105</w:t>
      </w:r>
      <w:r w:rsidRPr="00070ADE">
        <w:rPr>
          <w:rFonts w:ascii="Times New Roman" w:hAnsi="Times New Roman"/>
          <w:color w:val="000000" w:themeColor="text1"/>
          <w:sz w:val="16"/>
          <w:szCs w:val="16"/>
        </w:rPr>
        <w:tab/>
        <w:t>107</w:t>
      </w:r>
      <w:r w:rsidRPr="00070ADE">
        <w:rPr>
          <w:rFonts w:ascii="Times New Roman" w:hAnsi="Times New Roman"/>
          <w:color w:val="000000" w:themeColor="text1"/>
          <w:sz w:val="16"/>
          <w:szCs w:val="16"/>
        </w:rPr>
        <w:tab/>
        <w:t>101, 9</w:t>
      </w:r>
      <w:r w:rsidRPr="00070ADE">
        <w:rPr>
          <w:rFonts w:ascii="Times New Roman" w:hAnsi="Times New Roman"/>
          <w:color w:val="000000" w:themeColor="text1"/>
          <w:sz w:val="16"/>
          <w:szCs w:val="16"/>
        </w:rPr>
        <w:tab/>
        <w:t>629,4</w:t>
      </w:r>
    </w:p>
    <w:p w14:paraId="38FDCCA3"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с М-82Ф</w:t>
      </w:r>
      <w:r w:rsidRPr="00070ADE">
        <w:rPr>
          <w:rFonts w:ascii="Times New Roman" w:hAnsi="Times New Roman"/>
          <w:color w:val="000000" w:themeColor="text1"/>
          <w:sz w:val="16"/>
          <w:szCs w:val="16"/>
        </w:rPr>
        <w:tab/>
        <w:t>шт.</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32</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w:t>
      </w:r>
    </w:p>
    <w:p w14:paraId="7BA05F3B"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сдано по готовности [к бою</w:t>
      </w:r>
      <w:r w:rsidRPr="00070ADE">
        <w:rPr>
          <w:rFonts w:ascii="Times New Roman" w:hAnsi="Times New Roman"/>
          <w:color w:val="000000" w:themeColor="text1"/>
          <w:sz w:val="16"/>
          <w:szCs w:val="16"/>
        </w:rPr>
        <w:tab/>
        <w:t>шт.</w:t>
      </w:r>
      <w:r w:rsidRPr="00070ADE">
        <w:rPr>
          <w:rFonts w:ascii="Times New Roman" w:hAnsi="Times New Roman"/>
          <w:color w:val="000000" w:themeColor="text1"/>
          <w:sz w:val="16"/>
          <w:szCs w:val="16"/>
        </w:rPr>
        <w:tab/>
        <w:t>1870</w:t>
      </w:r>
      <w:r w:rsidRPr="00070ADE">
        <w:rPr>
          <w:rFonts w:ascii="Times New Roman" w:hAnsi="Times New Roman"/>
          <w:color w:val="000000" w:themeColor="text1"/>
          <w:sz w:val="16"/>
          <w:szCs w:val="16"/>
        </w:rPr>
        <w:tab/>
        <w:t>2371</w:t>
      </w:r>
      <w:r w:rsidRPr="00070ADE">
        <w:rPr>
          <w:rFonts w:ascii="Times New Roman" w:hAnsi="Times New Roman"/>
          <w:color w:val="000000" w:themeColor="text1"/>
          <w:sz w:val="16"/>
          <w:szCs w:val="16"/>
        </w:rPr>
        <w:tab/>
        <w:t>2450</w:t>
      </w:r>
      <w:r w:rsidRPr="00070ADE">
        <w:rPr>
          <w:rFonts w:ascii="Times New Roman" w:hAnsi="Times New Roman"/>
          <w:color w:val="000000" w:themeColor="text1"/>
          <w:sz w:val="16"/>
          <w:szCs w:val="16"/>
        </w:rPr>
        <w:tab/>
        <w:t>103,3</w:t>
      </w:r>
      <w:r w:rsidRPr="00070ADE">
        <w:rPr>
          <w:rFonts w:ascii="Times New Roman" w:hAnsi="Times New Roman"/>
          <w:color w:val="000000" w:themeColor="text1"/>
          <w:sz w:val="16"/>
          <w:szCs w:val="16"/>
        </w:rPr>
        <w:tab/>
        <w:t>131,0</w:t>
      </w:r>
    </w:p>
    <w:p w14:paraId="5272485A"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1в том числе: (разведчики</w:t>
      </w:r>
      <w:r w:rsidRPr="00070ADE">
        <w:rPr>
          <w:rFonts w:ascii="Times New Roman" w:hAnsi="Times New Roman"/>
          <w:color w:val="000000" w:themeColor="text1"/>
          <w:sz w:val="16"/>
          <w:szCs w:val="16"/>
        </w:rPr>
        <w:tab/>
        <w:t>шт.</w:t>
      </w:r>
      <w:r w:rsidRPr="00070ADE">
        <w:rPr>
          <w:rFonts w:ascii="Times New Roman" w:hAnsi="Times New Roman"/>
          <w:color w:val="000000" w:themeColor="text1"/>
          <w:sz w:val="16"/>
          <w:szCs w:val="16"/>
        </w:rPr>
        <w:tab/>
        <w:t>56</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61</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108, 9</w:t>
      </w:r>
    </w:p>
    <w:p w14:paraId="054E9085"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(учебные</w:t>
      </w:r>
      <w:r w:rsidRPr="00070ADE">
        <w:rPr>
          <w:rFonts w:ascii="Times New Roman" w:hAnsi="Times New Roman"/>
          <w:color w:val="000000" w:themeColor="text1"/>
          <w:sz w:val="16"/>
          <w:szCs w:val="16"/>
        </w:rPr>
        <w:tab/>
        <w:t>шт.</w:t>
      </w:r>
      <w:r w:rsidRPr="00070ADE">
        <w:rPr>
          <w:rFonts w:ascii="Times New Roman" w:hAnsi="Times New Roman"/>
          <w:color w:val="000000" w:themeColor="text1"/>
          <w:sz w:val="16"/>
          <w:szCs w:val="16"/>
        </w:rPr>
        <w:tab/>
        <w:t>15</w:t>
      </w:r>
      <w:r w:rsidRPr="00070ADE">
        <w:rPr>
          <w:rFonts w:ascii="Times New Roman" w:hAnsi="Times New Roman"/>
          <w:color w:val="000000" w:themeColor="text1"/>
          <w:sz w:val="16"/>
          <w:szCs w:val="16"/>
        </w:rPr>
        <w:tab/>
        <w:t>105</w:t>
      </w:r>
      <w:r w:rsidRPr="00070ADE">
        <w:rPr>
          <w:rFonts w:ascii="Times New Roman" w:hAnsi="Times New Roman"/>
          <w:color w:val="000000" w:themeColor="text1"/>
          <w:sz w:val="16"/>
          <w:szCs w:val="16"/>
        </w:rPr>
        <w:tab/>
        <w:t>105</w:t>
      </w:r>
      <w:r w:rsidRPr="00070ADE">
        <w:rPr>
          <w:rFonts w:ascii="Times New Roman" w:hAnsi="Times New Roman"/>
          <w:color w:val="000000" w:themeColor="text1"/>
          <w:sz w:val="16"/>
          <w:szCs w:val="16"/>
        </w:rPr>
        <w:tab/>
        <w:t>100,0</w:t>
      </w:r>
      <w:r w:rsidRPr="00070ADE">
        <w:rPr>
          <w:rFonts w:ascii="Times New Roman" w:hAnsi="Times New Roman"/>
          <w:color w:val="000000" w:themeColor="text1"/>
          <w:sz w:val="16"/>
          <w:szCs w:val="16"/>
        </w:rPr>
        <w:tab/>
        <w:t>700,0</w:t>
      </w:r>
    </w:p>
    <w:p w14:paraId="320B0068"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с М-82Ф</w:t>
      </w:r>
      <w:r w:rsidRPr="00070ADE">
        <w:rPr>
          <w:rFonts w:ascii="Times New Roman" w:hAnsi="Times New Roman"/>
          <w:color w:val="000000" w:themeColor="text1"/>
          <w:sz w:val="16"/>
          <w:szCs w:val="16"/>
        </w:rPr>
        <w:tab/>
        <w:t>шт.</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24</w:t>
      </w:r>
      <w:r w:rsidRPr="00070ADE">
        <w:rPr>
          <w:rFonts w:ascii="Times New Roman" w:hAnsi="Times New Roman"/>
          <w:color w:val="000000" w:themeColor="text1"/>
          <w:sz w:val="16"/>
          <w:szCs w:val="16"/>
        </w:rPr>
        <w:tab/>
        <w:t>— 1</w:t>
      </w:r>
      <w:r w:rsidRPr="00070ADE">
        <w:rPr>
          <w:rFonts w:ascii="Times New Roman" w:hAnsi="Times New Roman"/>
          <w:color w:val="000000" w:themeColor="text1"/>
          <w:sz w:val="16"/>
          <w:szCs w:val="16"/>
        </w:rPr>
        <w:tab/>
        <w:t>—</w:t>
      </w:r>
    </w:p>
    <w:p w14:paraId="6B1B5132"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отправлено в часть</w:t>
      </w:r>
      <w:r w:rsidRPr="00070ADE">
        <w:rPr>
          <w:rFonts w:ascii="Times New Roman" w:hAnsi="Times New Roman"/>
          <w:color w:val="000000" w:themeColor="text1"/>
          <w:sz w:val="16"/>
          <w:szCs w:val="16"/>
        </w:rPr>
        <w:tab/>
        <w:t>шт.</w:t>
      </w:r>
      <w:r w:rsidRPr="00070ADE">
        <w:rPr>
          <w:rFonts w:ascii="Times New Roman" w:hAnsi="Times New Roman"/>
          <w:color w:val="000000" w:themeColor="text1"/>
          <w:sz w:val="16"/>
          <w:szCs w:val="16"/>
        </w:rPr>
        <w:tab/>
        <w:t>1837</w:t>
      </w:r>
      <w:r w:rsidRPr="00070ADE">
        <w:rPr>
          <w:rFonts w:ascii="Times New Roman" w:hAnsi="Times New Roman"/>
          <w:color w:val="000000" w:themeColor="text1"/>
          <w:sz w:val="16"/>
          <w:szCs w:val="16"/>
        </w:rPr>
        <w:tab/>
        <w:t>2371</w:t>
      </w:r>
      <w:r w:rsidRPr="00070ADE">
        <w:rPr>
          <w:rFonts w:ascii="Times New Roman" w:hAnsi="Times New Roman"/>
          <w:color w:val="000000" w:themeColor="text1"/>
          <w:sz w:val="16"/>
          <w:szCs w:val="16"/>
        </w:rPr>
        <w:tab/>
        <w:t>2453</w:t>
      </w:r>
      <w:r w:rsidRPr="00070ADE">
        <w:rPr>
          <w:rFonts w:ascii="Times New Roman" w:hAnsi="Times New Roman"/>
          <w:color w:val="000000" w:themeColor="text1"/>
          <w:sz w:val="16"/>
          <w:szCs w:val="16"/>
        </w:rPr>
        <w:tab/>
        <w:t>103,5</w:t>
      </w:r>
      <w:r w:rsidRPr="00070ADE">
        <w:rPr>
          <w:rFonts w:ascii="Times New Roman" w:hAnsi="Times New Roman"/>
          <w:color w:val="000000" w:themeColor="text1"/>
          <w:sz w:val="16"/>
          <w:szCs w:val="16"/>
        </w:rPr>
        <w:tab/>
        <w:t>133,5</w:t>
      </w:r>
    </w:p>
    <w:p w14:paraId="1206ECF1"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 том числе: [разведчики</w:t>
      </w:r>
      <w:r w:rsidRPr="00070ADE">
        <w:rPr>
          <w:rFonts w:ascii="Times New Roman" w:hAnsi="Times New Roman"/>
          <w:color w:val="000000" w:themeColor="text1"/>
          <w:sz w:val="16"/>
          <w:szCs w:val="16"/>
        </w:rPr>
        <w:tab/>
        <w:t>шт.</w:t>
      </w:r>
      <w:r w:rsidRPr="00070ADE">
        <w:rPr>
          <w:rFonts w:ascii="Times New Roman" w:hAnsi="Times New Roman"/>
          <w:color w:val="000000" w:themeColor="text1"/>
          <w:sz w:val="16"/>
          <w:szCs w:val="16"/>
        </w:rPr>
        <w:tab/>
        <w:t>53</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64</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120,8</w:t>
      </w:r>
    </w:p>
    <w:p w14:paraId="2EBCA41B"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|учебные</w:t>
      </w:r>
      <w:r w:rsidRPr="00070ADE">
        <w:rPr>
          <w:rFonts w:ascii="Times New Roman" w:hAnsi="Times New Roman"/>
          <w:color w:val="000000" w:themeColor="text1"/>
          <w:sz w:val="16"/>
          <w:szCs w:val="16"/>
        </w:rPr>
        <w:tab/>
        <w:t>шт.</w:t>
      </w:r>
      <w:r w:rsidRPr="00070ADE">
        <w:rPr>
          <w:rFonts w:ascii="Times New Roman" w:hAnsi="Times New Roman"/>
          <w:color w:val="000000" w:themeColor="text1"/>
          <w:sz w:val="16"/>
          <w:szCs w:val="16"/>
        </w:rPr>
        <w:tab/>
        <w:t>13</w:t>
      </w:r>
      <w:r w:rsidRPr="00070ADE">
        <w:rPr>
          <w:rFonts w:ascii="Times New Roman" w:hAnsi="Times New Roman"/>
          <w:color w:val="000000" w:themeColor="text1"/>
          <w:sz w:val="16"/>
          <w:szCs w:val="16"/>
        </w:rPr>
        <w:tab/>
        <w:t>105</w:t>
      </w:r>
      <w:r w:rsidRPr="00070ADE">
        <w:rPr>
          <w:rFonts w:ascii="Times New Roman" w:hAnsi="Times New Roman"/>
          <w:color w:val="000000" w:themeColor="text1"/>
          <w:sz w:val="16"/>
          <w:szCs w:val="16"/>
        </w:rPr>
        <w:tab/>
        <w:t>103</w:t>
      </w:r>
      <w:r w:rsidRPr="00070ADE">
        <w:rPr>
          <w:rFonts w:ascii="Times New Roman" w:hAnsi="Times New Roman"/>
          <w:color w:val="000000" w:themeColor="text1"/>
          <w:sz w:val="16"/>
          <w:szCs w:val="16"/>
        </w:rPr>
        <w:tab/>
        <w:t>98,1</w:t>
      </w:r>
      <w:r w:rsidRPr="00070ADE">
        <w:rPr>
          <w:rFonts w:ascii="Times New Roman" w:hAnsi="Times New Roman"/>
          <w:color w:val="000000" w:themeColor="text1"/>
          <w:sz w:val="16"/>
          <w:szCs w:val="16"/>
        </w:rPr>
        <w:tab/>
        <w:t>793,0</w:t>
      </w:r>
    </w:p>
    <w:p w14:paraId="15F06F63"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с М-82Ф</w:t>
      </w:r>
      <w:r w:rsidRPr="00070ADE">
        <w:rPr>
          <w:rFonts w:ascii="Times New Roman" w:hAnsi="Times New Roman"/>
          <w:color w:val="000000" w:themeColor="text1"/>
          <w:sz w:val="16"/>
          <w:szCs w:val="16"/>
        </w:rPr>
        <w:tab/>
        <w:t>шт.</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22</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w:t>
      </w:r>
    </w:p>
    <w:p w14:paraId="43EDD8B2" w14:textId="739C4310"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Самолеты Пе-8 а) сдано</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[по окончательной сборке</w:t>
      </w:r>
      <w:r w:rsidRPr="00070ADE">
        <w:rPr>
          <w:rFonts w:ascii="Times New Roman" w:hAnsi="Times New Roman"/>
          <w:color w:val="000000" w:themeColor="text1"/>
          <w:sz w:val="16"/>
          <w:szCs w:val="16"/>
        </w:rPr>
        <w:tab/>
        <w:t>шт.</w:t>
      </w:r>
      <w:r w:rsidRPr="00070ADE">
        <w:rPr>
          <w:rFonts w:ascii="Times New Roman" w:hAnsi="Times New Roman"/>
          <w:color w:val="000000" w:themeColor="text1"/>
          <w:sz w:val="16"/>
          <w:szCs w:val="16"/>
        </w:rPr>
        <w:tab/>
        <w:t>23</w:t>
      </w:r>
      <w:r w:rsidRPr="00070ADE">
        <w:rPr>
          <w:rFonts w:ascii="Times New Roman" w:hAnsi="Times New Roman"/>
          <w:color w:val="000000" w:themeColor="text1"/>
          <w:sz w:val="16"/>
          <w:szCs w:val="16"/>
        </w:rPr>
        <w:tab/>
        <w:t>32</w:t>
      </w:r>
      <w:r w:rsidRPr="00070ADE">
        <w:rPr>
          <w:rFonts w:ascii="Times New Roman" w:hAnsi="Times New Roman"/>
          <w:color w:val="000000" w:themeColor="text1"/>
          <w:sz w:val="16"/>
          <w:szCs w:val="16"/>
        </w:rPr>
        <w:tab/>
        <w:t>29</w:t>
      </w:r>
      <w:r w:rsidRPr="00070ADE">
        <w:rPr>
          <w:rFonts w:ascii="Times New Roman" w:hAnsi="Times New Roman"/>
          <w:color w:val="000000" w:themeColor="text1"/>
          <w:sz w:val="16"/>
          <w:szCs w:val="16"/>
        </w:rPr>
        <w:tab/>
        <w:t>90,6</w:t>
      </w:r>
      <w:r w:rsidRPr="00070ADE">
        <w:rPr>
          <w:rFonts w:ascii="Times New Roman" w:hAnsi="Times New Roman"/>
          <w:color w:val="000000" w:themeColor="text1"/>
          <w:sz w:val="16"/>
          <w:szCs w:val="16"/>
        </w:rPr>
        <w:tab/>
        <w:t>126,1</w:t>
      </w:r>
    </w:p>
    <w:p w14:paraId="169EF331"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сдано по готовности [к бою</w:t>
      </w:r>
      <w:r w:rsidRPr="00070ADE">
        <w:rPr>
          <w:rFonts w:ascii="Times New Roman" w:hAnsi="Times New Roman"/>
          <w:color w:val="000000" w:themeColor="text1"/>
          <w:sz w:val="16"/>
          <w:szCs w:val="16"/>
        </w:rPr>
        <w:tab/>
        <w:t>шт.</w:t>
      </w:r>
      <w:r w:rsidRPr="00070ADE">
        <w:rPr>
          <w:rFonts w:ascii="Times New Roman" w:hAnsi="Times New Roman"/>
          <w:color w:val="000000" w:themeColor="text1"/>
          <w:sz w:val="16"/>
          <w:szCs w:val="16"/>
        </w:rPr>
        <w:tab/>
        <w:t>17</w:t>
      </w:r>
      <w:r w:rsidRPr="00070ADE">
        <w:rPr>
          <w:rFonts w:ascii="Times New Roman" w:hAnsi="Times New Roman"/>
          <w:color w:val="000000" w:themeColor="text1"/>
          <w:sz w:val="16"/>
          <w:szCs w:val="16"/>
        </w:rPr>
        <w:tab/>
        <w:t>32</w:t>
      </w:r>
      <w:r w:rsidRPr="00070ADE">
        <w:rPr>
          <w:rFonts w:ascii="Times New Roman" w:hAnsi="Times New Roman"/>
          <w:color w:val="000000" w:themeColor="text1"/>
          <w:sz w:val="16"/>
          <w:szCs w:val="16"/>
        </w:rPr>
        <w:tab/>
        <w:t>31</w:t>
      </w:r>
      <w:r w:rsidRPr="00070ADE">
        <w:rPr>
          <w:rFonts w:ascii="Times New Roman" w:hAnsi="Times New Roman"/>
          <w:color w:val="000000" w:themeColor="text1"/>
          <w:sz w:val="16"/>
          <w:szCs w:val="16"/>
        </w:rPr>
        <w:tab/>
        <w:t>96, 9</w:t>
      </w:r>
      <w:r w:rsidRPr="00070ADE">
        <w:rPr>
          <w:rFonts w:ascii="Times New Roman" w:hAnsi="Times New Roman"/>
          <w:color w:val="000000" w:themeColor="text1"/>
          <w:sz w:val="16"/>
          <w:szCs w:val="16"/>
        </w:rPr>
        <w:tab/>
        <w:t>182,4</w:t>
      </w:r>
    </w:p>
    <w:p w14:paraId="6AE46010"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отправлено в часть</w:t>
      </w:r>
      <w:r w:rsidRPr="00070ADE">
        <w:rPr>
          <w:rFonts w:ascii="Times New Roman" w:hAnsi="Times New Roman"/>
          <w:color w:val="000000" w:themeColor="text1"/>
          <w:sz w:val="16"/>
          <w:szCs w:val="16"/>
        </w:rPr>
        <w:tab/>
        <w:t>шт.</w:t>
      </w:r>
      <w:r w:rsidRPr="00070ADE">
        <w:rPr>
          <w:rFonts w:ascii="Times New Roman" w:hAnsi="Times New Roman"/>
          <w:color w:val="000000" w:themeColor="text1"/>
          <w:sz w:val="16"/>
          <w:szCs w:val="16"/>
        </w:rPr>
        <w:tab/>
        <w:t>15</w:t>
      </w:r>
      <w:r w:rsidRPr="00070ADE">
        <w:rPr>
          <w:rFonts w:ascii="Times New Roman" w:hAnsi="Times New Roman"/>
          <w:color w:val="000000" w:themeColor="text1"/>
          <w:sz w:val="16"/>
          <w:szCs w:val="16"/>
        </w:rPr>
        <w:tab/>
        <w:t>32</w:t>
      </w:r>
      <w:r w:rsidRPr="00070ADE">
        <w:rPr>
          <w:rFonts w:ascii="Times New Roman" w:hAnsi="Times New Roman"/>
          <w:color w:val="000000" w:themeColor="text1"/>
          <w:sz w:val="16"/>
          <w:szCs w:val="16"/>
        </w:rPr>
        <w:tab/>
        <w:t>30</w:t>
      </w:r>
      <w:r w:rsidRPr="00070ADE">
        <w:rPr>
          <w:rFonts w:ascii="Times New Roman" w:hAnsi="Times New Roman"/>
          <w:color w:val="000000" w:themeColor="text1"/>
          <w:sz w:val="16"/>
          <w:szCs w:val="16"/>
        </w:rPr>
        <w:tab/>
        <w:t>93,8</w:t>
      </w:r>
      <w:r w:rsidRPr="00070ADE">
        <w:rPr>
          <w:rFonts w:ascii="Times New Roman" w:hAnsi="Times New Roman"/>
          <w:color w:val="000000" w:themeColor="text1"/>
          <w:sz w:val="16"/>
          <w:szCs w:val="16"/>
        </w:rPr>
        <w:tab/>
        <w:t>200,0</w:t>
      </w:r>
    </w:p>
    <w:p w14:paraId="564627AB" w14:textId="2424711E"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самолетов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5. Групповые комплекты</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запчастей</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 к самолету Пе-2</w:t>
      </w:r>
      <w:r w:rsidRPr="00070ADE">
        <w:rPr>
          <w:rFonts w:ascii="Times New Roman" w:hAnsi="Times New Roman"/>
          <w:color w:val="000000" w:themeColor="text1"/>
          <w:sz w:val="16"/>
          <w:szCs w:val="16"/>
        </w:rPr>
        <w:tab/>
        <w:t>шт.</w:t>
      </w:r>
      <w:r w:rsidRPr="00070ADE">
        <w:rPr>
          <w:rFonts w:ascii="Times New Roman" w:hAnsi="Times New Roman"/>
          <w:color w:val="000000" w:themeColor="text1"/>
          <w:sz w:val="16"/>
          <w:szCs w:val="16"/>
        </w:rPr>
        <w:tab/>
        <w:t>14</w:t>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t>2</w:t>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t>14,3</w:t>
      </w:r>
    </w:p>
    <w:p w14:paraId="5C6CADA6"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комплект 1:10</w:t>
      </w:r>
      <w:r w:rsidRPr="00070ADE">
        <w:rPr>
          <w:rFonts w:ascii="Times New Roman" w:hAnsi="Times New Roman"/>
          <w:color w:val="000000" w:themeColor="text1"/>
          <w:sz w:val="16"/>
          <w:szCs w:val="16"/>
        </w:rPr>
        <w:tab/>
        <w:t>ком.</w:t>
      </w:r>
      <w:r w:rsidRPr="00070ADE">
        <w:rPr>
          <w:rFonts w:ascii="Times New Roman" w:hAnsi="Times New Roman"/>
          <w:color w:val="000000" w:themeColor="text1"/>
          <w:sz w:val="16"/>
          <w:szCs w:val="16"/>
        </w:rPr>
        <w:tab/>
        <w:t>192</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62</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32,3</w:t>
      </w:r>
    </w:p>
    <w:p w14:paraId="504EB409"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комплект 1:20</w:t>
      </w:r>
      <w:r w:rsidRPr="00070ADE">
        <w:rPr>
          <w:rFonts w:ascii="Times New Roman" w:hAnsi="Times New Roman"/>
          <w:color w:val="000000" w:themeColor="text1"/>
          <w:sz w:val="16"/>
          <w:szCs w:val="16"/>
        </w:rPr>
        <w:tab/>
        <w:t>ком.</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119</w:t>
      </w:r>
      <w:r w:rsidRPr="00070ADE">
        <w:rPr>
          <w:rFonts w:ascii="Times New Roman" w:hAnsi="Times New Roman"/>
          <w:color w:val="000000" w:themeColor="text1"/>
          <w:sz w:val="16"/>
          <w:szCs w:val="16"/>
        </w:rPr>
        <w:tab/>
        <w:t>91</w:t>
      </w:r>
      <w:r w:rsidRPr="00070ADE">
        <w:rPr>
          <w:rFonts w:ascii="Times New Roman" w:hAnsi="Times New Roman"/>
          <w:color w:val="000000" w:themeColor="text1"/>
          <w:sz w:val="16"/>
          <w:szCs w:val="16"/>
        </w:rPr>
        <w:tab/>
        <w:t>76,5</w:t>
      </w:r>
      <w:r w:rsidRPr="00070ADE">
        <w:rPr>
          <w:rFonts w:ascii="Times New Roman" w:hAnsi="Times New Roman"/>
          <w:color w:val="000000" w:themeColor="text1"/>
          <w:sz w:val="16"/>
          <w:szCs w:val="16"/>
        </w:rPr>
        <w:tab/>
        <w:t>—</w:t>
      </w:r>
    </w:p>
    <w:p w14:paraId="765DAB56"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комплект 1:30</w:t>
      </w:r>
      <w:r w:rsidRPr="00070ADE">
        <w:rPr>
          <w:rFonts w:ascii="Times New Roman" w:hAnsi="Times New Roman"/>
          <w:color w:val="000000" w:themeColor="text1"/>
          <w:sz w:val="16"/>
          <w:szCs w:val="16"/>
        </w:rPr>
        <w:tab/>
        <w:t>ком.</w:t>
      </w:r>
      <w:r w:rsidRPr="00070ADE">
        <w:rPr>
          <w:rFonts w:ascii="Times New Roman" w:hAnsi="Times New Roman"/>
          <w:color w:val="000000" w:themeColor="text1"/>
          <w:sz w:val="16"/>
          <w:szCs w:val="16"/>
        </w:rPr>
        <w:tab/>
        <w:t>65</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21</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32,3</w:t>
      </w:r>
    </w:p>
    <w:p w14:paraId="0282FBEE"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комплект 1:100 б) к самолету Пе-8</w:t>
      </w:r>
      <w:r w:rsidRPr="00070ADE">
        <w:rPr>
          <w:rFonts w:ascii="Times New Roman" w:hAnsi="Times New Roman"/>
          <w:color w:val="000000" w:themeColor="text1"/>
          <w:sz w:val="16"/>
          <w:szCs w:val="16"/>
        </w:rPr>
        <w:tab/>
        <w:t>ком.</w:t>
      </w:r>
      <w:r w:rsidRPr="00070ADE">
        <w:rPr>
          <w:rFonts w:ascii="Times New Roman" w:hAnsi="Times New Roman"/>
          <w:color w:val="000000" w:themeColor="text1"/>
          <w:sz w:val="16"/>
          <w:szCs w:val="16"/>
        </w:rPr>
        <w:tab/>
        <w:t>20</w:t>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t>6</w:t>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t>30,0</w:t>
      </w:r>
    </w:p>
    <w:p w14:paraId="76078C56"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комплект 1:10</w:t>
      </w:r>
      <w:r w:rsidRPr="00070ADE">
        <w:rPr>
          <w:rFonts w:ascii="Times New Roman" w:hAnsi="Times New Roman"/>
          <w:color w:val="000000" w:themeColor="text1"/>
          <w:sz w:val="16"/>
          <w:szCs w:val="16"/>
        </w:rPr>
        <w:tab/>
        <w:t>ком.</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3</w:t>
      </w:r>
      <w:r w:rsidRPr="00070ADE">
        <w:rPr>
          <w:rFonts w:ascii="Times New Roman" w:hAnsi="Times New Roman"/>
          <w:color w:val="000000" w:themeColor="text1"/>
          <w:sz w:val="16"/>
          <w:szCs w:val="16"/>
        </w:rPr>
        <w:tab/>
        <w:t>3</w:t>
      </w:r>
      <w:r w:rsidRPr="00070ADE">
        <w:rPr>
          <w:rFonts w:ascii="Times New Roman" w:hAnsi="Times New Roman"/>
          <w:color w:val="000000" w:themeColor="text1"/>
          <w:sz w:val="16"/>
          <w:szCs w:val="16"/>
        </w:rPr>
        <w:tab/>
        <w:t>100,0</w:t>
      </w:r>
      <w:r w:rsidRPr="00070ADE">
        <w:rPr>
          <w:rFonts w:ascii="Times New Roman" w:hAnsi="Times New Roman"/>
          <w:color w:val="000000" w:themeColor="text1"/>
          <w:sz w:val="16"/>
          <w:szCs w:val="16"/>
        </w:rPr>
        <w:tab/>
        <w:t>—</w:t>
      </w:r>
    </w:p>
    <w:p w14:paraId="1A9FA5E6"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Производственная деятельность завода в 1943 г. характеризуется следующими основными моментами:</w:t>
      </w:r>
    </w:p>
    <w:p w14:paraId="79AC2D43"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 первом квартале завод наряду с выпуском самолета Пе-2 и Пе-8 освоил выпуск самолета Пе-2 в варианте «Разведчики» и «Учебный».</w:t>
      </w:r>
    </w:p>
    <w:p w14:paraId="5D5152D5"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 первом же квартале завод провел большую модификацию, заменив на самолетах Пе-2 моторы М-105А на моторы М-105ПФ, а в июне и июле провел целый ряд аэродинамических улучшений, что позволило увеличить максимальную скорость самолета на 30-35 км/час. Эти модификации были проведены без снижения</w:t>
      </w:r>
    </w:p>
    <w:p w14:paraId="13E39A03"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выпуска и без срыва графика.</w:t>
      </w:r>
    </w:p>
    <w:p w14:paraId="1D981665"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 течение второго, третьего и четвертого кварталов завод по решению ГОКО осваивал в производстве самолет Пе-2 в варианте истребителя с моторами М-82 и вторично в варианте истребителя.</w:t>
      </w:r>
    </w:p>
    <w:p w14:paraId="6E9FE818"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На протяжении всего года завод улучшал качество производственного выполнения самолета Пе-2 и устранил целый ряд конструктивных дефектов, в результате чего к концу года количество рекламаций из воинских частей резко снизилось.</w:t>
      </w:r>
    </w:p>
    <w:p w14:paraId="0797E4E5"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Завод провел целый ряд мероприятий по снижению трудоемкости по основному типу самолета Пе-2 за счет внедрения пластмасс, более совершенного инструмента и приспособлений, улучшения технологии и организации производства и перевода целого ряда работ на поточный метод и конвейер.</w:t>
      </w:r>
    </w:p>
    <w:p w14:paraId="6934E88D"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всех проведенных мероприятий, несмотря на уменьшение количества работающих на заводе, завод не только сумел организовать регулярную работу по графику, но и увеличить ежесуточный выпуск самолетов и дать больше самолетов, чем в 1942 г. как Пе-2, так и Пе-8. [...]</w:t>
      </w:r>
    </w:p>
    <w:p w14:paraId="2DCA4E61"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Выполнение программы заводом за 1943 г. по кварталам и типам самолетов</w:t>
      </w:r>
    </w:p>
    <w:p w14:paraId="452D9AF5"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 самолету Пе-2.</w:t>
      </w:r>
    </w:p>
    <w:p w14:paraId="019E79EE"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Периоды</w:t>
      </w:r>
      <w:r w:rsidRPr="00070ADE">
        <w:rPr>
          <w:rFonts w:ascii="Times New Roman" w:hAnsi="Times New Roman"/>
          <w:color w:val="000000" w:themeColor="text1"/>
          <w:sz w:val="16"/>
          <w:szCs w:val="16"/>
        </w:rPr>
        <w:tab/>
        <w:t>План</w:t>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t>Сдано по</w:t>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t>сборке</w:t>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t>Сдано</w:t>
      </w:r>
      <w:r w:rsidRPr="00070ADE">
        <w:rPr>
          <w:rFonts w:ascii="Times New Roman" w:hAnsi="Times New Roman"/>
          <w:color w:val="000000" w:themeColor="text1"/>
          <w:sz w:val="16"/>
          <w:szCs w:val="16"/>
        </w:rPr>
        <w:tab/>
        <w:t>по готовности</w:t>
      </w:r>
      <w:r w:rsidRPr="00070ADE">
        <w:rPr>
          <w:rFonts w:ascii="Times New Roman" w:hAnsi="Times New Roman"/>
          <w:color w:val="000000" w:themeColor="text1"/>
          <w:sz w:val="16"/>
          <w:szCs w:val="16"/>
        </w:rPr>
        <w:tab/>
      </w:r>
    </w:p>
    <w:p w14:paraId="37B85988"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t>к бою</w:t>
      </w:r>
      <w:r w:rsidRPr="00070ADE">
        <w:rPr>
          <w:rFonts w:ascii="Times New Roman" w:hAnsi="Times New Roman"/>
          <w:color w:val="000000" w:themeColor="text1"/>
          <w:sz w:val="16"/>
          <w:szCs w:val="16"/>
        </w:rPr>
        <w:tab/>
      </w:r>
    </w:p>
    <w:p w14:paraId="364F877B"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t>всего</w:t>
      </w:r>
      <w:r w:rsidRPr="00070ADE">
        <w:rPr>
          <w:rFonts w:ascii="Times New Roman" w:hAnsi="Times New Roman"/>
          <w:color w:val="000000" w:themeColor="text1"/>
          <w:sz w:val="16"/>
          <w:szCs w:val="16"/>
        </w:rPr>
        <w:tab/>
        <w:t>М-</w:t>
      </w:r>
      <w:r w:rsidRPr="00070ADE">
        <w:rPr>
          <w:rFonts w:ascii="Times New Roman" w:hAnsi="Times New Roman"/>
          <w:color w:val="000000" w:themeColor="text1"/>
          <w:sz w:val="16"/>
          <w:szCs w:val="16"/>
        </w:rPr>
        <w:tab/>
        <w:t>М-</w:t>
      </w:r>
      <w:r w:rsidRPr="00070ADE">
        <w:rPr>
          <w:rFonts w:ascii="Times New Roman" w:hAnsi="Times New Roman"/>
          <w:color w:val="000000" w:themeColor="text1"/>
          <w:sz w:val="16"/>
          <w:szCs w:val="16"/>
        </w:rPr>
        <w:tab/>
        <w:t>раз-</w:t>
      </w:r>
      <w:r w:rsidRPr="00070ADE">
        <w:rPr>
          <w:rFonts w:ascii="Times New Roman" w:hAnsi="Times New Roman"/>
          <w:color w:val="000000" w:themeColor="text1"/>
          <w:sz w:val="16"/>
          <w:szCs w:val="16"/>
        </w:rPr>
        <w:tab/>
        <w:t>учеб-</w:t>
      </w:r>
      <w:r w:rsidRPr="00070ADE">
        <w:rPr>
          <w:rFonts w:ascii="Times New Roman" w:hAnsi="Times New Roman"/>
          <w:color w:val="000000" w:themeColor="text1"/>
          <w:sz w:val="16"/>
          <w:szCs w:val="16"/>
        </w:rPr>
        <w:tab/>
        <w:t>М-</w:t>
      </w:r>
      <w:r w:rsidRPr="00070ADE">
        <w:rPr>
          <w:rFonts w:ascii="Times New Roman" w:hAnsi="Times New Roman"/>
          <w:color w:val="000000" w:themeColor="text1"/>
          <w:sz w:val="16"/>
          <w:szCs w:val="16"/>
        </w:rPr>
        <w:tab/>
        <w:t>всего</w:t>
      </w:r>
      <w:r w:rsidRPr="00070ADE">
        <w:rPr>
          <w:rFonts w:ascii="Times New Roman" w:hAnsi="Times New Roman"/>
          <w:color w:val="000000" w:themeColor="text1"/>
          <w:sz w:val="16"/>
          <w:szCs w:val="16"/>
        </w:rPr>
        <w:tab/>
        <w:t>м-</w:t>
      </w:r>
      <w:r w:rsidRPr="00070ADE">
        <w:rPr>
          <w:rFonts w:ascii="Times New Roman" w:hAnsi="Times New Roman"/>
          <w:color w:val="000000" w:themeColor="text1"/>
          <w:sz w:val="16"/>
          <w:szCs w:val="16"/>
        </w:rPr>
        <w:tab/>
        <w:t>М-</w:t>
      </w:r>
    </w:p>
    <w:p w14:paraId="240D4D28"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t>105</w:t>
      </w:r>
      <w:r w:rsidRPr="00070ADE">
        <w:rPr>
          <w:rFonts w:ascii="Times New Roman" w:hAnsi="Times New Roman"/>
          <w:color w:val="000000" w:themeColor="text1"/>
          <w:sz w:val="16"/>
          <w:szCs w:val="16"/>
        </w:rPr>
        <w:tab/>
        <w:t>105</w:t>
      </w:r>
      <w:r w:rsidRPr="00070ADE">
        <w:rPr>
          <w:rFonts w:ascii="Times New Roman" w:hAnsi="Times New Roman"/>
          <w:color w:val="000000" w:themeColor="text1"/>
          <w:sz w:val="16"/>
          <w:szCs w:val="16"/>
        </w:rPr>
        <w:tab/>
        <w:t>вед-</w:t>
      </w:r>
      <w:r w:rsidRPr="00070ADE">
        <w:rPr>
          <w:rFonts w:ascii="Times New Roman" w:hAnsi="Times New Roman"/>
          <w:color w:val="000000" w:themeColor="text1"/>
          <w:sz w:val="16"/>
          <w:szCs w:val="16"/>
        </w:rPr>
        <w:tab/>
        <w:t>ные</w:t>
      </w:r>
      <w:r w:rsidRPr="00070ADE">
        <w:rPr>
          <w:rFonts w:ascii="Times New Roman" w:hAnsi="Times New Roman"/>
          <w:color w:val="000000" w:themeColor="text1"/>
          <w:sz w:val="16"/>
          <w:szCs w:val="16"/>
        </w:rPr>
        <w:tab/>
        <w:t>82</w:t>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t>105ПФ</w:t>
      </w:r>
      <w:r w:rsidRPr="00070ADE">
        <w:rPr>
          <w:rFonts w:ascii="Times New Roman" w:hAnsi="Times New Roman"/>
          <w:color w:val="000000" w:themeColor="text1"/>
          <w:sz w:val="16"/>
          <w:szCs w:val="16"/>
        </w:rPr>
        <w:tab/>
        <w:t>105РА</w:t>
      </w:r>
    </w:p>
    <w:p w14:paraId="2D55B858"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t>ПФ</w:t>
      </w:r>
      <w:r w:rsidRPr="00070ADE">
        <w:rPr>
          <w:rFonts w:ascii="Times New Roman" w:hAnsi="Times New Roman"/>
          <w:color w:val="000000" w:themeColor="text1"/>
          <w:sz w:val="16"/>
          <w:szCs w:val="16"/>
        </w:rPr>
        <w:tab/>
        <w:t>РА</w:t>
      </w:r>
      <w:r w:rsidRPr="00070ADE">
        <w:rPr>
          <w:rFonts w:ascii="Times New Roman" w:hAnsi="Times New Roman"/>
          <w:color w:val="000000" w:themeColor="text1"/>
          <w:sz w:val="16"/>
          <w:szCs w:val="16"/>
        </w:rPr>
        <w:tab/>
        <w:t>чики</w:t>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p>
    <w:p w14:paraId="4C8DE661"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кв.</w:t>
      </w:r>
      <w:r w:rsidRPr="00070ADE">
        <w:rPr>
          <w:rFonts w:ascii="Times New Roman" w:hAnsi="Times New Roman"/>
          <w:color w:val="000000" w:themeColor="text1"/>
          <w:sz w:val="16"/>
          <w:szCs w:val="16"/>
        </w:rPr>
        <w:tab/>
        <w:t>497</w:t>
      </w:r>
      <w:r w:rsidRPr="00070ADE">
        <w:rPr>
          <w:rFonts w:ascii="Times New Roman" w:hAnsi="Times New Roman"/>
          <w:color w:val="000000" w:themeColor="text1"/>
          <w:sz w:val="16"/>
          <w:szCs w:val="16"/>
        </w:rPr>
        <w:tab/>
        <w:t>513</w:t>
      </w:r>
      <w:r w:rsidRPr="00070ADE">
        <w:rPr>
          <w:rFonts w:ascii="Times New Roman" w:hAnsi="Times New Roman"/>
          <w:color w:val="000000" w:themeColor="text1"/>
          <w:sz w:val="16"/>
          <w:szCs w:val="16"/>
        </w:rPr>
        <w:tab/>
        <w:t>306</w:t>
      </w:r>
      <w:r w:rsidRPr="00070ADE">
        <w:rPr>
          <w:rFonts w:ascii="Times New Roman" w:hAnsi="Times New Roman"/>
          <w:color w:val="000000" w:themeColor="text1"/>
          <w:sz w:val="16"/>
          <w:szCs w:val="16"/>
        </w:rPr>
        <w:tab/>
        <w:t>207</w:t>
      </w:r>
      <w:r w:rsidRPr="00070ADE">
        <w:rPr>
          <w:rFonts w:ascii="Times New Roman" w:hAnsi="Times New Roman"/>
          <w:color w:val="000000" w:themeColor="text1"/>
          <w:sz w:val="16"/>
          <w:szCs w:val="16"/>
        </w:rPr>
        <w:tab/>
        <w:t>24</w:t>
      </w:r>
      <w:r w:rsidRPr="00070ADE">
        <w:rPr>
          <w:rFonts w:ascii="Times New Roman" w:hAnsi="Times New Roman"/>
          <w:color w:val="000000" w:themeColor="text1"/>
          <w:sz w:val="16"/>
          <w:szCs w:val="16"/>
        </w:rPr>
        <w:tab/>
        <w:t>25</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540</w:t>
      </w:r>
      <w:r w:rsidRPr="00070ADE">
        <w:rPr>
          <w:rFonts w:ascii="Times New Roman" w:hAnsi="Times New Roman"/>
          <w:color w:val="000000" w:themeColor="text1"/>
          <w:sz w:val="16"/>
          <w:szCs w:val="16"/>
        </w:rPr>
        <w:tab/>
        <w:t>271</w:t>
      </w:r>
      <w:r w:rsidRPr="00070ADE">
        <w:rPr>
          <w:rFonts w:ascii="Times New Roman" w:hAnsi="Times New Roman"/>
          <w:color w:val="000000" w:themeColor="text1"/>
          <w:sz w:val="16"/>
          <w:szCs w:val="16"/>
        </w:rPr>
        <w:tab/>
        <w:t>269</w:t>
      </w:r>
    </w:p>
    <w:p w14:paraId="7ACBEBFB"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кв.</w:t>
      </w:r>
      <w:r w:rsidRPr="00070ADE">
        <w:rPr>
          <w:rFonts w:ascii="Times New Roman" w:hAnsi="Times New Roman"/>
          <w:color w:val="000000" w:themeColor="text1"/>
          <w:sz w:val="16"/>
          <w:szCs w:val="16"/>
        </w:rPr>
        <w:tab/>
        <w:t>618</w:t>
      </w:r>
      <w:r w:rsidRPr="00070ADE">
        <w:rPr>
          <w:rFonts w:ascii="Times New Roman" w:hAnsi="Times New Roman"/>
          <w:color w:val="000000" w:themeColor="text1"/>
          <w:sz w:val="16"/>
          <w:szCs w:val="16"/>
        </w:rPr>
        <w:tab/>
        <w:t>617</w:t>
      </w:r>
      <w:r w:rsidRPr="00070ADE">
        <w:rPr>
          <w:rFonts w:ascii="Times New Roman" w:hAnsi="Times New Roman"/>
          <w:color w:val="000000" w:themeColor="text1"/>
          <w:sz w:val="16"/>
          <w:szCs w:val="16"/>
        </w:rPr>
        <w:tab/>
        <w:t>614</w:t>
      </w:r>
      <w:r w:rsidRPr="00070ADE">
        <w:rPr>
          <w:rFonts w:ascii="Times New Roman" w:hAnsi="Times New Roman"/>
          <w:color w:val="000000" w:themeColor="text1"/>
          <w:sz w:val="16"/>
          <w:szCs w:val="16"/>
        </w:rPr>
        <w:tab/>
        <w:t>3</w:t>
      </w:r>
      <w:r w:rsidRPr="00070ADE">
        <w:rPr>
          <w:rFonts w:ascii="Times New Roman" w:hAnsi="Times New Roman"/>
          <w:color w:val="000000" w:themeColor="text1"/>
          <w:sz w:val="16"/>
          <w:szCs w:val="16"/>
        </w:rPr>
        <w:tab/>
        <w:t>31</w:t>
      </w:r>
      <w:r w:rsidRPr="00070ADE">
        <w:rPr>
          <w:rFonts w:ascii="Times New Roman" w:hAnsi="Times New Roman"/>
          <w:color w:val="000000" w:themeColor="text1"/>
          <w:sz w:val="16"/>
          <w:szCs w:val="16"/>
        </w:rPr>
        <w:tab/>
        <w:t>32</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538</w:t>
      </w:r>
      <w:r w:rsidRPr="00070ADE">
        <w:rPr>
          <w:rFonts w:ascii="Times New Roman" w:hAnsi="Times New Roman"/>
          <w:color w:val="000000" w:themeColor="text1"/>
          <w:sz w:val="16"/>
          <w:szCs w:val="16"/>
        </w:rPr>
        <w:tab/>
        <w:t>528</w:t>
      </w:r>
      <w:r w:rsidRPr="00070ADE">
        <w:rPr>
          <w:rFonts w:ascii="Times New Roman" w:hAnsi="Times New Roman"/>
          <w:color w:val="000000" w:themeColor="text1"/>
          <w:sz w:val="16"/>
          <w:szCs w:val="16"/>
        </w:rPr>
        <w:tab/>
        <w:t>10</w:t>
      </w:r>
    </w:p>
    <w:p w14:paraId="7C28E6BA"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кв.</w:t>
      </w:r>
      <w:r w:rsidRPr="00070ADE">
        <w:rPr>
          <w:rFonts w:ascii="Times New Roman" w:hAnsi="Times New Roman"/>
          <w:color w:val="000000" w:themeColor="text1"/>
          <w:sz w:val="16"/>
          <w:szCs w:val="16"/>
        </w:rPr>
        <w:tab/>
        <w:t>632</w:t>
      </w:r>
      <w:r w:rsidRPr="00070ADE">
        <w:rPr>
          <w:rFonts w:ascii="Times New Roman" w:hAnsi="Times New Roman"/>
          <w:color w:val="000000" w:themeColor="text1"/>
          <w:sz w:val="16"/>
          <w:szCs w:val="16"/>
        </w:rPr>
        <w:tab/>
        <w:t>635</w:t>
      </w:r>
      <w:r w:rsidRPr="00070ADE">
        <w:rPr>
          <w:rFonts w:ascii="Times New Roman" w:hAnsi="Times New Roman"/>
          <w:color w:val="000000" w:themeColor="text1"/>
          <w:sz w:val="16"/>
          <w:szCs w:val="16"/>
        </w:rPr>
        <w:tab/>
        <w:t>620</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30</w:t>
      </w:r>
      <w:r w:rsidRPr="00070ADE">
        <w:rPr>
          <w:rFonts w:ascii="Times New Roman" w:hAnsi="Times New Roman"/>
          <w:color w:val="000000" w:themeColor="text1"/>
          <w:sz w:val="16"/>
          <w:szCs w:val="16"/>
        </w:rPr>
        <w:tab/>
        <w:t>15</w:t>
      </w:r>
      <w:r w:rsidRPr="00070ADE">
        <w:rPr>
          <w:rFonts w:ascii="Times New Roman" w:hAnsi="Times New Roman"/>
          <w:color w:val="000000" w:themeColor="text1"/>
          <w:sz w:val="16"/>
          <w:szCs w:val="16"/>
        </w:rPr>
        <w:tab/>
        <w:t>738</w:t>
      </w:r>
      <w:r w:rsidRPr="00070ADE">
        <w:rPr>
          <w:rFonts w:ascii="Times New Roman" w:hAnsi="Times New Roman"/>
          <w:color w:val="000000" w:themeColor="text1"/>
          <w:sz w:val="16"/>
          <w:szCs w:val="16"/>
        </w:rPr>
        <w:tab/>
        <w:t>738</w:t>
      </w:r>
      <w:r w:rsidRPr="00070ADE">
        <w:rPr>
          <w:rFonts w:ascii="Times New Roman" w:hAnsi="Times New Roman"/>
          <w:color w:val="000000" w:themeColor="text1"/>
          <w:sz w:val="16"/>
          <w:szCs w:val="16"/>
        </w:rPr>
        <w:tab/>
        <w:t>—</w:t>
      </w:r>
    </w:p>
    <w:p w14:paraId="48287929"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IV кв.</w:t>
      </w:r>
      <w:r w:rsidRPr="00070ADE">
        <w:rPr>
          <w:rFonts w:ascii="Times New Roman" w:hAnsi="Times New Roman"/>
          <w:color w:val="000000" w:themeColor="text1"/>
          <w:sz w:val="16"/>
          <w:szCs w:val="16"/>
        </w:rPr>
        <w:tab/>
        <w:t>624</w:t>
      </w:r>
      <w:r w:rsidRPr="00070ADE">
        <w:rPr>
          <w:rFonts w:ascii="Times New Roman" w:hAnsi="Times New Roman"/>
          <w:color w:val="000000" w:themeColor="text1"/>
          <w:sz w:val="16"/>
          <w:szCs w:val="16"/>
        </w:rPr>
        <w:tab/>
        <w:t>658</w:t>
      </w:r>
      <w:r w:rsidRPr="00070ADE">
        <w:rPr>
          <w:rFonts w:ascii="Times New Roman" w:hAnsi="Times New Roman"/>
          <w:color w:val="000000" w:themeColor="text1"/>
          <w:sz w:val="16"/>
          <w:szCs w:val="16"/>
        </w:rPr>
        <w:tab/>
        <w:t>641</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20</w:t>
      </w:r>
      <w:r w:rsidRPr="00070ADE">
        <w:rPr>
          <w:rFonts w:ascii="Times New Roman" w:hAnsi="Times New Roman"/>
          <w:color w:val="000000" w:themeColor="text1"/>
          <w:sz w:val="16"/>
          <w:szCs w:val="16"/>
        </w:rPr>
        <w:tab/>
        <w:t>17</w:t>
      </w:r>
      <w:r w:rsidRPr="00070ADE">
        <w:rPr>
          <w:rFonts w:ascii="Times New Roman" w:hAnsi="Times New Roman"/>
          <w:color w:val="000000" w:themeColor="text1"/>
          <w:sz w:val="16"/>
          <w:szCs w:val="16"/>
        </w:rPr>
        <w:tab/>
        <w:t>634</w:t>
      </w:r>
      <w:r w:rsidRPr="00070ADE">
        <w:rPr>
          <w:rFonts w:ascii="Times New Roman" w:hAnsi="Times New Roman"/>
          <w:color w:val="000000" w:themeColor="text1"/>
          <w:sz w:val="16"/>
          <w:szCs w:val="16"/>
        </w:rPr>
        <w:tab/>
        <w:t>610</w:t>
      </w:r>
      <w:r w:rsidRPr="00070ADE">
        <w:rPr>
          <w:rFonts w:ascii="Times New Roman" w:hAnsi="Times New Roman"/>
          <w:color w:val="000000" w:themeColor="text1"/>
          <w:sz w:val="16"/>
          <w:szCs w:val="16"/>
        </w:rPr>
        <w:tab/>
        <w:t>—</w:t>
      </w:r>
    </w:p>
    <w:p w14:paraId="53BD0305"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1-е п/г.</w:t>
      </w:r>
      <w:r w:rsidRPr="00070ADE">
        <w:rPr>
          <w:rFonts w:ascii="Times New Roman" w:hAnsi="Times New Roman"/>
          <w:color w:val="000000" w:themeColor="text1"/>
          <w:sz w:val="16"/>
          <w:szCs w:val="16"/>
        </w:rPr>
        <w:tab/>
        <w:t>1115</w:t>
      </w:r>
      <w:r w:rsidRPr="00070ADE">
        <w:rPr>
          <w:rFonts w:ascii="Times New Roman" w:hAnsi="Times New Roman"/>
          <w:color w:val="000000" w:themeColor="text1"/>
          <w:sz w:val="16"/>
          <w:szCs w:val="16"/>
        </w:rPr>
        <w:tab/>
        <w:t>ИЗО</w:t>
      </w:r>
      <w:r w:rsidRPr="00070ADE">
        <w:rPr>
          <w:rFonts w:ascii="Times New Roman" w:hAnsi="Times New Roman"/>
          <w:color w:val="000000" w:themeColor="text1"/>
          <w:sz w:val="16"/>
          <w:szCs w:val="16"/>
        </w:rPr>
        <w:tab/>
        <w:t>920</w:t>
      </w:r>
      <w:r w:rsidRPr="00070ADE">
        <w:rPr>
          <w:rFonts w:ascii="Times New Roman" w:hAnsi="Times New Roman"/>
          <w:color w:val="000000" w:themeColor="text1"/>
          <w:sz w:val="16"/>
          <w:szCs w:val="16"/>
        </w:rPr>
        <w:tab/>
        <w:t>210</w:t>
      </w:r>
      <w:r w:rsidRPr="00070ADE">
        <w:rPr>
          <w:rFonts w:ascii="Times New Roman" w:hAnsi="Times New Roman"/>
          <w:color w:val="000000" w:themeColor="text1"/>
          <w:sz w:val="16"/>
          <w:szCs w:val="16"/>
        </w:rPr>
        <w:tab/>
        <w:t>55</w:t>
      </w:r>
      <w:r w:rsidRPr="00070ADE">
        <w:rPr>
          <w:rFonts w:ascii="Times New Roman" w:hAnsi="Times New Roman"/>
          <w:color w:val="000000" w:themeColor="text1"/>
          <w:sz w:val="16"/>
          <w:szCs w:val="16"/>
        </w:rPr>
        <w:tab/>
        <w:t>57</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1078</w:t>
      </w:r>
      <w:r w:rsidRPr="00070ADE">
        <w:rPr>
          <w:rFonts w:ascii="Times New Roman" w:hAnsi="Times New Roman"/>
          <w:color w:val="000000" w:themeColor="text1"/>
          <w:sz w:val="16"/>
          <w:szCs w:val="16"/>
        </w:rPr>
        <w:tab/>
        <w:t>799</w:t>
      </w:r>
      <w:r w:rsidRPr="00070ADE">
        <w:rPr>
          <w:rFonts w:ascii="Times New Roman" w:hAnsi="Times New Roman"/>
          <w:color w:val="000000" w:themeColor="text1"/>
          <w:sz w:val="16"/>
          <w:szCs w:val="16"/>
        </w:rPr>
        <w:tab/>
        <w:t>279</w:t>
      </w:r>
    </w:p>
    <w:p w14:paraId="1529AA97"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2-е п/г.</w:t>
      </w:r>
      <w:r w:rsidRPr="00070ADE">
        <w:rPr>
          <w:rFonts w:ascii="Times New Roman" w:hAnsi="Times New Roman"/>
          <w:color w:val="000000" w:themeColor="text1"/>
          <w:sz w:val="16"/>
          <w:szCs w:val="16"/>
        </w:rPr>
        <w:tab/>
        <w:t>1256</w:t>
      </w:r>
      <w:r w:rsidRPr="00070ADE">
        <w:rPr>
          <w:rFonts w:ascii="Times New Roman" w:hAnsi="Times New Roman"/>
          <w:color w:val="000000" w:themeColor="text1"/>
          <w:sz w:val="16"/>
          <w:szCs w:val="16"/>
        </w:rPr>
        <w:tab/>
        <w:t>1293</w:t>
      </w:r>
      <w:r w:rsidRPr="00070ADE">
        <w:rPr>
          <w:rFonts w:ascii="Times New Roman" w:hAnsi="Times New Roman"/>
          <w:color w:val="000000" w:themeColor="text1"/>
          <w:sz w:val="16"/>
          <w:szCs w:val="16"/>
        </w:rPr>
        <w:tab/>
        <w:t>1261</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5</w:t>
      </w:r>
      <w:r w:rsidRPr="00070ADE">
        <w:rPr>
          <w:rFonts w:ascii="Times New Roman" w:hAnsi="Times New Roman"/>
          <w:color w:val="000000" w:themeColor="text1"/>
          <w:sz w:val="16"/>
          <w:szCs w:val="16"/>
        </w:rPr>
        <w:tab/>
        <w:t>50</w:t>
      </w:r>
      <w:r w:rsidRPr="00070ADE">
        <w:rPr>
          <w:rFonts w:ascii="Times New Roman" w:hAnsi="Times New Roman"/>
          <w:color w:val="000000" w:themeColor="text1"/>
          <w:sz w:val="16"/>
          <w:szCs w:val="16"/>
        </w:rPr>
        <w:tab/>
        <w:t>32</w:t>
      </w:r>
      <w:r w:rsidRPr="00070ADE">
        <w:rPr>
          <w:rFonts w:ascii="Times New Roman" w:hAnsi="Times New Roman"/>
          <w:color w:val="000000" w:themeColor="text1"/>
          <w:sz w:val="16"/>
          <w:szCs w:val="16"/>
        </w:rPr>
        <w:tab/>
        <w:t>1372</w:t>
      </w:r>
      <w:r w:rsidRPr="00070ADE">
        <w:rPr>
          <w:rFonts w:ascii="Times New Roman" w:hAnsi="Times New Roman"/>
          <w:color w:val="000000" w:themeColor="text1"/>
          <w:sz w:val="16"/>
          <w:szCs w:val="16"/>
        </w:rPr>
        <w:tab/>
        <w:t>1348</w:t>
      </w:r>
      <w:r w:rsidRPr="00070ADE">
        <w:rPr>
          <w:rFonts w:ascii="Times New Roman" w:hAnsi="Times New Roman"/>
          <w:color w:val="000000" w:themeColor="text1"/>
          <w:sz w:val="16"/>
          <w:szCs w:val="16"/>
        </w:rPr>
        <w:tab/>
        <w:t>—</w:t>
      </w:r>
    </w:p>
    <w:p w14:paraId="7A82192D"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r w:rsidRPr="00070ADE">
        <w:rPr>
          <w:rFonts w:ascii="Times New Roman" w:hAnsi="Times New Roman"/>
          <w:color w:val="000000" w:themeColor="text1"/>
          <w:sz w:val="16"/>
          <w:szCs w:val="16"/>
        </w:rPr>
        <w:tab/>
        <w:t>2371</w:t>
      </w:r>
      <w:r w:rsidRPr="00070ADE">
        <w:rPr>
          <w:rFonts w:ascii="Times New Roman" w:hAnsi="Times New Roman"/>
          <w:color w:val="000000" w:themeColor="text1"/>
          <w:sz w:val="16"/>
          <w:szCs w:val="16"/>
        </w:rPr>
        <w:tab/>
        <w:t>2423</w:t>
      </w:r>
      <w:r w:rsidRPr="00070ADE">
        <w:rPr>
          <w:rFonts w:ascii="Times New Roman" w:hAnsi="Times New Roman"/>
          <w:color w:val="000000" w:themeColor="text1"/>
          <w:sz w:val="16"/>
          <w:szCs w:val="16"/>
        </w:rPr>
        <w:tab/>
        <w:t>2181</w:t>
      </w:r>
      <w:r w:rsidRPr="00070ADE">
        <w:rPr>
          <w:rFonts w:ascii="Times New Roman" w:hAnsi="Times New Roman"/>
          <w:color w:val="000000" w:themeColor="text1"/>
          <w:sz w:val="16"/>
          <w:szCs w:val="16"/>
        </w:rPr>
        <w:tab/>
        <w:t>210</w:t>
      </w:r>
      <w:r w:rsidRPr="00070ADE">
        <w:rPr>
          <w:rFonts w:ascii="Times New Roman" w:hAnsi="Times New Roman"/>
          <w:color w:val="000000" w:themeColor="text1"/>
          <w:sz w:val="16"/>
          <w:szCs w:val="16"/>
        </w:rPr>
        <w:tab/>
        <w:t>55</w:t>
      </w:r>
      <w:r w:rsidRPr="00070ADE">
        <w:rPr>
          <w:rFonts w:ascii="Times New Roman" w:hAnsi="Times New Roman"/>
          <w:color w:val="000000" w:themeColor="text1"/>
          <w:sz w:val="16"/>
          <w:szCs w:val="16"/>
        </w:rPr>
        <w:tab/>
        <w:t>107</w:t>
      </w:r>
      <w:r w:rsidRPr="00070ADE">
        <w:rPr>
          <w:rFonts w:ascii="Times New Roman" w:hAnsi="Times New Roman"/>
          <w:color w:val="000000" w:themeColor="text1"/>
          <w:sz w:val="16"/>
          <w:szCs w:val="16"/>
        </w:rPr>
        <w:tab/>
        <w:t>32</w:t>
      </w:r>
      <w:r w:rsidRPr="00070ADE">
        <w:rPr>
          <w:rFonts w:ascii="Times New Roman" w:hAnsi="Times New Roman"/>
          <w:color w:val="000000" w:themeColor="text1"/>
          <w:sz w:val="16"/>
          <w:szCs w:val="16"/>
        </w:rPr>
        <w:tab/>
        <w:t>2450</w:t>
      </w:r>
      <w:r w:rsidRPr="00070ADE">
        <w:rPr>
          <w:rFonts w:ascii="Times New Roman" w:hAnsi="Times New Roman"/>
          <w:color w:val="000000" w:themeColor="text1"/>
          <w:sz w:val="16"/>
          <w:szCs w:val="16"/>
        </w:rPr>
        <w:tab/>
        <w:t>2147</w:t>
      </w:r>
      <w:r w:rsidRPr="00070ADE">
        <w:rPr>
          <w:rFonts w:ascii="Times New Roman" w:hAnsi="Times New Roman"/>
          <w:color w:val="000000" w:themeColor="text1"/>
          <w:sz w:val="16"/>
          <w:szCs w:val="16"/>
        </w:rPr>
        <w:tab/>
        <w:t>279</w:t>
      </w:r>
    </w:p>
    <w:p w14:paraId="6C0CC7A2"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Сдано</w:t>
      </w:r>
      <w:r w:rsidRPr="00070ADE">
        <w:rPr>
          <w:rFonts w:ascii="Times New Roman" w:hAnsi="Times New Roman"/>
          <w:color w:val="000000" w:themeColor="text1"/>
          <w:sz w:val="16"/>
          <w:szCs w:val="16"/>
        </w:rPr>
        <w:tab/>
        <w:t>по готовности к бою</w:t>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t>Отправлено в часть</w:t>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p>
    <w:p w14:paraId="41538E75" w14:textId="57A7F1B2"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развед-</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чики</w:t>
      </w:r>
      <w:r w:rsidRPr="00070ADE">
        <w:rPr>
          <w:rFonts w:ascii="Times New Roman" w:hAnsi="Times New Roman"/>
          <w:color w:val="000000" w:themeColor="text1"/>
          <w:sz w:val="16"/>
          <w:szCs w:val="16"/>
        </w:rPr>
        <w:tab/>
        <w:t>учеб-</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ные</w:t>
      </w:r>
      <w:r w:rsidRPr="00070ADE">
        <w:rPr>
          <w:rFonts w:ascii="Times New Roman" w:hAnsi="Times New Roman"/>
          <w:color w:val="000000" w:themeColor="text1"/>
          <w:sz w:val="16"/>
          <w:szCs w:val="16"/>
        </w:rPr>
        <w:tab/>
        <w:t>см</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00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w:t>
      </w:r>
      <w:r w:rsidRPr="00070ADE">
        <w:rPr>
          <w:rFonts w:ascii="Times New Roman" w:hAnsi="Times New Roman"/>
          <w:color w:val="000000" w:themeColor="text1"/>
          <w:sz w:val="16"/>
          <w:szCs w:val="16"/>
        </w:rPr>
        <w:tab/>
        <w:t>всего</w:t>
      </w:r>
      <w:r w:rsidRPr="00070ADE">
        <w:rPr>
          <w:rFonts w:ascii="Times New Roman" w:hAnsi="Times New Roman"/>
          <w:color w:val="000000" w:themeColor="text1"/>
          <w:sz w:val="16"/>
          <w:szCs w:val="16"/>
        </w:rPr>
        <w:tab/>
        <w:t>М-</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105ПФ</w:t>
      </w:r>
      <w:r w:rsidRPr="00070ADE">
        <w:rPr>
          <w:rFonts w:ascii="Times New Roman" w:hAnsi="Times New Roman"/>
          <w:color w:val="000000" w:themeColor="text1"/>
          <w:sz w:val="16"/>
          <w:szCs w:val="16"/>
        </w:rPr>
        <w:tab/>
        <w:t>М-</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105РА</w:t>
      </w:r>
      <w:r w:rsidRPr="00070ADE">
        <w:rPr>
          <w:rFonts w:ascii="Times New Roman" w:hAnsi="Times New Roman"/>
          <w:color w:val="000000" w:themeColor="text1"/>
          <w:sz w:val="16"/>
          <w:szCs w:val="16"/>
        </w:rPr>
        <w:tab/>
        <w:t>развед-</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чики</w:t>
      </w:r>
      <w:r w:rsidRPr="00070ADE">
        <w:rPr>
          <w:rFonts w:ascii="Times New Roman" w:hAnsi="Times New Roman"/>
          <w:color w:val="000000" w:themeColor="text1"/>
          <w:sz w:val="16"/>
          <w:szCs w:val="16"/>
        </w:rPr>
        <w:tab/>
        <w:t>учеб-</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ные</w:t>
      </w:r>
      <w:r w:rsidRPr="00070ADE">
        <w:rPr>
          <w:rFonts w:ascii="Times New Roman" w:hAnsi="Times New Roman"/>
          <w:color w:val="000000" w:themeColor="text1"/>
          <w:sz w:val="16"/>
          <w:szCs w:val="16"/>
        </w:rPr>
        <w:tab/>
        <w:t>М-82</w:t>
      </w:r>
    </w:p>
    <w:p w14:paraId="3D8CFB0A"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r w:rsidRPr="00070ADE">
        <w:rPr>
          <w:rFonts w:ascii="Times New Roman" w:hAnsi="Times New Roman"/>
          <w:color w:val="000000" w:themeColor="text1"/>
          <w:sz w:val="16"/>
          <w:szCs w:val="16"/>
        </w:rPr>
        <w:tab/>
        <w:t>18</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562</w:t>
      </w:r>
      <w:r w:rsidRPr="00070ADE">
        <w:rPr>
          <w:rFonts w:ascii="Times New Roman" w:hAnsi="Times New Roman"/>
          <w:color w:val="000000" w:themeColor="text1"/>
          <w:sz w:val="16"/>
          <w:szCs w:val="16"/>
        </w:rPr>
        <w:tab/>
        <w:t>270</w:t>
      </w:r>
      <w:r w:rsidRPr="00070ADE">
        <w:rPr>
          <w:rFonts w:ascii="Times New Roman" w:hAnsi="Times New Roman"/>
          <w:color w:val="000000" w:themeColor="text1"/>
          <w:sz w:val="16"/>
          <w:szCs w:val="16"/>
        </w:rPr>
        <w:tab/>
        <w:t>292</w:t>
      </w:r>
      <w:r w:rsidRPr="00070ADE">
        <w:rPr>
          <w:rFonts w:ascii="Times New Roman" w:hAnsi="Times New Roman"/>
          <w:color w:val="000000" w:themeColor="text1"/>
          <w:sz w:val="16"/>
          <w:szCs w:val="16"/>
        </w:rPr>
        <w:tab/>
        <w:t>26</w:t>
      </w:r>
      <w:r w:rsidRPr="00070ADE">
        <w:rPr>
          <w:rFonts w:ascii="Times New Roman" w:hAnsi="Times New Roman"/>
          <w:color w:val="000000" w:themeColor="text1"/>
          <w:sz w:val="16"/>
          <w:szCs w:val="16"/>
        </w:rPr>
        <w:tab/>
        <w:t>19</w:t>
      </w:r>
      <w:r w:rsidRPr="00070ADE">
        <w:rPr>
          <w:rFonts w:ascii="Times New Roman" w:hAnsi="Times New Roman"/>
          <w:color w:val="000000" w:themeColor="text1"/>
          <w:sz w:val="16"/>
          <w:szCs w:val="16"/>
        </w:rPr>
        <w:tab/>
      </w:r>
    </w:p>
    <w:p w14:paraId="648794FC"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r w:rsidRPr="00070ADE">
        <w:rPr>
          <w:rFonts w:ascii="Times New Roman" w:hAnsi="Times New Roman"/>
          <w:color w:val="000000" w:themeColor="text1"/>
          <w:sz w:val="16"/>
          <w:szCs w:val="16"/>
        </w:rPr>
        <w:tab/>
        <w:t>33</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537</w:t>
      </w:r>
      <w:r w:rsidRPr="00070ADE">
        <w:rPr>
          <w:rFonts w:ascii="Times New Roman" w:hAnsi="Times New Roman"/>
          <w:color w:val="000000" w:themeColor="text1"/>
          <w:sz w:val="16"/>
          <w:szCs w:val="16"/>
        </w:rPr>
        <w:tab/>
        <w:t>523</w:t>
      </w:r>
      <w:r w:rsidRPr="00070ADE">
        <w:rPr>
          <w:rFonts w:ascii="Times New Roman" w:hAnsi="Times New Roman"/>
          <w:color w:val="000000" w:themeColor="text1"/>
          <w:sz w:val="16"/>
          <w:szCs w:val="16"/>
        </w:rPr>
        <w:tab/>
        <w:t>14</w:t>
      </w:r>
      <w:r w:rsidRPr="00070ADE">
        <w:rPr>
          <w:rFonts w:ascii="Times New Roman" w:hAnsi="Times New Roman"/>
          <w:color w:val="000000" w:themeColor="text1"/>
          <w:sz w:val="16"/>
          <w:szCs w:val="16"/>
        </w:rPr>
        <w:tab/>
        <w:t>26</w:t>
      </w:r>
      <w:r w:rsidRPr="00070ADE">
        <w:rPr>
          <w:rFonts w:ascii="Times New Roman" w:hAnsi="Times New Roman"/>
          <w:color w:val="000000" w:themeColor="text1"/>
          <w:sz w:val="16"/>
          <w:szCs w:val="16"/>
        </w:rPr>
        <w:tab/>
        <w:t>34</w:t>
      </w:r>
      <w:r w:rsidRPr="00070ADE">
        <w:rPr>
          <w:rFonts w:ascii="Times New Roman" w:hAnsi="Times New Roman"/>
          <w:color w:val="000000" w:themeColor="text1"/>
          <w:sz w:val="16"/>
          <w:szCs w:val="16"/>
        </w:rPr>
        <w:tab/>
        <w:t>—</w:t>
      </w:r>
    </w:p>
    <w:p w14:paraId="406B6608"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r w:rsidRPr="00070ADE">
        <w:rPr>
          <w:rFonts w:ascii="Times New Roman" w:hAnsi="Times New Roman"/>
          <w:color w:val="000000" w:themeColor="text1"/>
          <w:sz w:val="16"/>
          <w:szCs w:val="16"/>
        </w:rPr>
        <w:tab/>
        <w:t>38</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734</w:t>
      </w:r>
      <w:r w:rsidRPr="00070ADE">
        <w:rPr>
          <w:rFonts w:ascii="Times New Roman" w:hAnsi="Times New Roman"/>
          <w:color w:val="000000" w:themeColor="text1"/>
          <w:sz w:val="16"/>
          <w:szCs w:val="16"/>
        </w:rPr>
        <w:tab/>
        <w:t>734</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12</w:t>
      </w:r>
      <w:r w:rsidRPr="00070ADE">
        <w:rPr>
          <w:rFonts w:ascii="Times New Roman" w:hAnsi="Times New Roman"/>
          <w:color w:val="000000" w:themeColor="text1"/>
          <w:sz w:val="16"/>
          <w:szCs w:val="16"/>
        </w:rPr>
        <w:tab/>
        <w:t>37</w:t>
      </w:r>
      <w:r w:rsidRPr="00070ADE">
        <w:rPr>
          <w:rFonts w:ascii="Times New Roman" w:hAnsi="Times New Roman"/>
          <w:color w:val="000000" w:themeColor="text1"/>
          <w:sz w:val="16"/>
          <w:szCs w:val="16"/>
        </w:rPr>
        <w:tab/>
        <w:t>—</w:t>
      </w:r>
    </w:p>
    <w:p w14:paraId="73361C9E"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r w:rsidRPr="00070ADE">
        <w:rPr>
          <w:rFonts w:ascii="Times New Roman" w:hAnsi="Times New Roman"/>
          <w:color w:val="000000" w:themeColor="text1"/>
          <w:sz w:val="16"/>
          <w:szCs w:val="16"/>
        </w:rPr>
        <w:tab/>
        <w:t>16</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620</w:t>
      </w:r>
      <w:r w:rsidRPr="00070ADE">
        <w:rPr>
          <w:rFonts w:ascii="Times New Roman" w:hAnsi="Times New Roman"/>
          <w:color w:val="000000" w:themeColor="text1"/>
          <w:sz w:val="16"/>
          <w:szCs w:val="16"/>
        </w:rPr>
        <w:tab/>
        <w:t>598</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13</w:t>
      </w:r>
      <w:r w:rsidRPr="00070ADE">
        <w:rPr>
          <w:rFonts w:ascii="Times New Roman" w:hAnsi="Times New Roman"/>
          <w:color w:val="000000" w:themeColor="text1"/>
          <w:sz w:val="16"/>
          <w:szCs w:val="16"/>
        </w:rPr>
        <w:tab/>
        <w:t>22</w:t>
      </w:r>
    </w:p>
    <w:p w14:paraId="7DF4BFD2"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w:t>
      </w:r>
      <w:r w:rsidRPr="00070ADE">
        <w:rPr>
          <w:rFonts w:ascii="Times New Roman" w:hAnsi="Times New Roman"/>
          <w:color w:val="000000" w:themeColor="text1"/>
          <w:sz w:val="16"/>
          <w:szCs w:val="16"/>
        </w:rPr>
        <w:tab/>
        <w:t>51</w:t>
      </w:r>
      <w:r w:rsidRPr="00070ADE">
        <w:rPr>
          <w:rFonts w:ascii="Times New Roman" w:hAnsi="Times New Roman"/>
          <w:color w:val="000000" w:themeColor="text1"/>
          <w:sz w:val="16"/>
          <w:szCs w:val="16"/>
        </w:rPr>
        <w:tab/>
        <w:t>24</w:t>
      </w:r>
      <w:r w:rsidRPr="00070ADE">
        <w:rPr>
          <w:rFonts w:ascii="Times New Roman" w:hAnsi="Times New Roman"/>
          <w:color w:val="000000" w:themeColor="text1"/>
          <w:sz w:val="16"/>
          <w:szCs w:val="16"/>
        </w:rPr>
        <w:tab/>
        <w:t>1099</w:t>
      </w:r>
      <w:r w:rsidRPr="00070ADE">
        <w:rPr>
          <w:rFonts w:ascii="Times New Roman" w:hAnsi="Times New Roman"/>
          <w:color w:val="000000" w:themeColor="text1"/>
          <w:sz w:val="16"/>
          <w:szCs w:val="16"/>
        </w:rPr>
        <w:tab/>
        <w:t>793</w:t>
      </w:r>
      <w:r w:rsidRPr="00070ADE">
        <w:rPr>
          <w:rFonts w:ascii="Times New Roman" w:hAnsi="Times New Roman"/>
          <w:color w:val="000000" w:themeColor="text1"/>
          <w:sz w:val="16"/>
          <w:szCs w:val="16"/>
        </w:rPr>
        <w:tab/>
        <w:t>306</w:t>
      </w:r>
      <w:r w:rsidRPr="00070ADE">
        <w:rPr>
          <w:rFonts w:ascii="Times New Roman" w:hAnsi="Times New Roman"/>
          <w:color w:val="000000" w:themeColor="text1"/>
          <w:sz w:val="16"/>
          <w:szCs w:val="16"/>
        </w:rPr>
        <w:tab/>
        <w:t>52</w:t>
      </w:r>
      <w:r w:rsidRPr="00070ADE">
        <w:rPr>
          <w:rFonts w:ascii="Times New Roman" w:hAnsi="Times New Roman"/>
          <w:color w:val="000000" w:themeColor="text1"/>
          <w:sz w:val="16"/>
          <w:szCs w:val="16"/>
        </w:rPr>
        <w:tab/>
        <w:t>53</w:t>
      </w:r>
      <w:r w:rsidRPr="00070ADE">
        <w:rPr>
          <w:rFonts w:ascii="Times New Roman" w:hAnsi="Times New Roman"/>
          <w:color w:val="000000" w:themeColor="text1"/>
          <w:sz w:val="16"/>
          <w:szCs w:val="16"/>
        </w:rPr>
        <w:tab/>
        <w:t>—</w:t>
      </w:r>
    </w:p>
    <w:p w14:paraId="316FE72E"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r w:rsidRPr="00070ADE">
        <w:rPr>
          <w:rFonts w:ascii="Times New Roman" w:hAnsi="Times New Roman"/>
          <w:color w:val="000000" w:themeColor="text1"/>
          <w:sz w:val="16"/>
          <w:szCs w:val="16"/>
        </w:rPr>
        <w:tab/>
        <w:t>54</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1354</w:t>
      </w:r>
      <w:r w:rsidRPr="00070ADE">
        <w:rPr>
          <w:rFonts w:ascii="Times New Roman" w:hAnsi="Times New Roman"/>
          <w:color w:val="000000" w:themeColor="text1"/>
          <w:sz w:val="16"/>
          <w:szCs w:val="16"/>
        </w:rPr>
        <w:tab/>
        <w:t>1332</w:t>
      </w:r>
      <w:r w:rsidRPr="00070ADE">
        <w:rPr>
          <w:rFonts w:ascii="Times New Roman" w:hAnsi="Times New Roman"/>
          <w:color w:val="000000" w:themeColor="text1"/>
          <w:sz w:val="16"/>
          <w:szCs w:val="16"/>
        </w:rPr>
        <w:tab/>
        <w:t>Ш —</w:t>
      </w:r>
      <w:r w:rsidRPr="00070ADE">
        <w:rPr>
          <w:rFonts w:ascii="Times New Roman" w:hAnsi="Times New Roman"/>
          <w:color w:val="000000" w:themeColor="text1"/>
          <w:sz w:val="16"/>
          <w:szCs w:val="16"/>
        </w:rPr>
        <w:tab/>
        <w:t>12</w:t>
      </w:r>
      <w:r w:rsidRPr="00070ADE">
        <w:rPr>
          <w:rFonts w:ascii="Times New Roman" w:hAnsi="Times New Roman"/>
          <w:color w:val="000000" w:themeColor="text1"/>
          <w:sz w:val="16"/>
          <w:szCs w:val="16"/>
        </w:rPr>
        <w:tab/>
        <w:t>50</w:t>
      </w:r>
      <w:r w:rsidRPr="00070ADE">
        <w:rPr>
          <w:rFonts w:ascii="Times New Roman" w:hAnsi="Times New Roman"/>
          <w:color w:val="000000" w:themeColor="text1"/>
          <w:sz w:val="16"/>
          <w:szCs w:val="16"/>
        </w:rPr>
        <w:tab/>
        <w:t>22</w:t>
      </w:r>
    </w:p>
    <w:p w14:paraId="2D04AE59"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w:t>
      </w:r>
      <w:r w:rsidRPr="00070ADE">
        <w:rPr>
          <w:rFonts w:ascii="Times New Roman" w:hAnsi="Times New Roman"/>
          <w:color w:val="000000" w:themeColor="text1"/>
          <w:sz w:val="16"/>
          <w:szCs w:val="16"/>
        </w:rPr>
        <w:tab/>
        <w:t>105</w:t>
      </w:r>
      <w:r w:rsidRPr="00070ADE">
        <w:rPr>
          <w:rFonts w:ascii="Times New Roman" w:hAnsi="Times New Roman"/>
          <w:color w:val="000000" w:themeColor="text1"/>
          <w:sz w:val="16"/>
          <w:szCs w:val="16"/>
        </w:rPr>
        <w:tab/>
        <w:t>24</w:t>
      </w:r>
      <w:r w:rsidRPr="00070ADE">
        <w:rPr>
          <w:rFonts w:ascii="Times New Roman" w:hAnsi="Times New Roman"/>
          <w:color w:val="000000" w:themeColor="text1"/>
          <w:sz w:val="16"/>
          <w:szCs w:val="16"/>
        </w:rPr>
        <w:tab/>
        <w:t>2453</w:t>
      </w:r>
      <w:r w:rsidRPr="00070ADE">
        <w:rPr>
          <w:rFonts w:ascii="Times New Roman" w:hAnsi="Times New Roman"/>
          <w:color w:val="000000" w:themeColor="text1"/>
          <w:sz w:val="16"/>
          <w:szCs w:val="16"/>
        </w:rPr>
        <w:tab/>
        <w:t>2125</w:t>
      </w:r>
      <w:r w:rsidRPr="00070ADE">
        <w:rPr>
          <w:rFonts w:ascii="Times New Roman" w:hAnsi="Times New Roman"/>
          <w:color w:val="000000" w:themeColor="text1"/>
          <w:sz w:val="16"/>
          <w:szCs w:val="16"/>
        </w:rPr>
        <w:tab/>
        <w:t>306</w:t>
      </w:r>
      <w:r w:rsidRPr="00070ADE">
        <w:rPr>
          <w:rFonts w:ascii="Times New Roman" w:hAnsi="Times New Roman"/>
          <w:color w:val="000000" w:themeColor="text1"/>
          <w:sz w:val="16"/>
          <w:szCs w:val="16"/>
        </w:rPr>
        <w:tab/>
        <w:t>64</w:t>
      </w:r>
      <w:r w:rsidRPr="00070ADE">
        <w:rPr>
          <w:rFonts w:ascii="Times New Roman" w:hAnsi="Times New Roman"/>
          <w:color w:val="000000" w:themeColor="text1"/>
          <w:sz w:val="16"/>
          <w:szCs w:val="16"/>
        </w:rPr>
        <w:tab/>
        <w:t>103</w:t>
      </w:r>
      <w:r w:rsidRPr="00070ADE">
        <w:rPr>
          <w:rFonts w:ascii="Times New Roman" w:hAnsi="Times New Roman"/>
          <w:color w:val="000000" w:themeColor="text1"/>
          <w:sz w:val="16"/>
          <w:szCs w:val="16"/>
        </w:rPr>
        <w:tab/>
        <w:t>22</w:t>
      </w:r>
    </w:p>
    <w:p w14:paraId="27A14F9F"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 самолету Пе-8.</w:t>
      </w:r>
    </w:p>
    <w:p w14:paraId="72783E95"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Периоды</w:t>
      </w:r>
      <w:r w:rsidRPr="00070ADE">
        <w:rPr>
          <w:rFonts w:ascii="Times New Roman" w:hAnsi="Times New Roman"/>
          <w:color w:val="000000" w:themeColor="text1"/>
          <w:sz w:val="16"/>
          <w:szCs w:val="16"/>
        </w:rPr>
        <w:tab/>
        <w:t>План</w:t>
      </w:r>
      <w:r w:rsidRPr="00070ADE">
        <w:rPr>
          <w:rFonts w:ascii="Times New Roman" w:hAnsi="Times New Roman"/>
          <w:color w:val="000000" w:themeColor="text1"/>
          <w:sz w:val="16"/>
          <w:szCs w:val="16"/>
        </w:rPr>
        <w:tab/>
        <w:t>Сдано</w:t>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p>
    <w:p w14:paraId="0A05C056"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t>по сборке</w:t>
      </w:r>
      <w:r w:rsidRPr="00070ADE">
        <w:rPr>
          <w:rFonts w:ascii="Times New Roman" w:hAnsi="Times New Roman"/>
          <w:color w:val="000000" w:themeColor="text1"/>
          <w:sz w:val="16"/>
          <w:szCs w:val="16"/>
        </w:rPr>
        <w:tab/>
        <w:t>по готовности к бою</w:t>
      </w:r>
      <w:r w:rsidRPr="00070ADE">
        <w:rPr>
          <w:rFonts w:ascii="Times New Roman" w:hAnsi="Times New Roman"/>
          <w:color w:val="000000" w:themeColor="text1"/>
          <w:sz w:val="16"/>
          <w:szCs w:val="16"/>
        </w:rPr>
        <w:tab/>
        <w:t>по отправке</w:t>
      </w:r>
    </w:p>
    <w:p w14:paraId="19B04D6E"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кв.</w:t>
      </w:r>
      <w:r w:rsidRPr="00070ADE">
        <w:rPr>
          <w:rFonts w:ascii="Times New Roman" w:hAnsi="Times New Roman"/>
          <w:color w:val="000000" w:themeColor="text1"/>
          <w:sz w:val="16"/>
          <w:szCs w:val="16"/>
        </w:rPr>
        <w:tab/>
        <w:t>5</w:t>
      </w:r>
      <w:r w:rsidRPr="00070ADE">
        <w:rPr>
          <w:rFonts w:ascii="Times New Roman" w:hAnsi="Times New Roman"/>
          <w:color w:val="000000" w:themeColor="text1"/>
          <w:sz w:val="16"/>
          <w:szCs w:val="16"/>
        </w:rPr>
        <w:tab/>
        <w:t>5</w:t>
      </w:r>
      <w:r w:rsidRPr="00070ADE">
        <w:rPr>
          <w:rFonts w:ascii="Times New Roman" w:hAnsi="Times New Roman"/>
          <w:color w:val="000000" w:themeColor="text1"/>
          <w:sz w:val="16"/>
          <w:szCs w:val="16"/>
        </w:rPr>
        <w:tab/>
        <w:t>5</w:t>
      </w:r>
      <w:r w:rsidRPr="00070ADE">
        <w:rPr>
          <w:rFonts w:ascii="Times New Roman" w:hAnsi="Times New Roman"/>
          <w:color w:val="000000" w:themeColor="text1"/>
          <w:sz w:val="16"/>
          <w:szCs w:val="16"/>
        </w:rPr>
        <w:tab/>
        <w:t>4</w:t>
      </w:r>
    </w:p>
    <w:p w14:paraId="1B97328E"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кв.</w:t>
      </w:r>
      <w:r w:rsidRPr="00070ADE">
        <w:rPr>
          <w:rFonts w:ascii="Times New Roman" w:hAnsi="Times New Roman"/>
          <w:color w:val="000000" w:themeColor="text1"/>
          <w:sz w:val="16"/>
          <w:szCs w:val="16"/>
        </w:rPr>
        <w:tab/>
        <w:t>9</w:t>
      </w:r>
      <w:r w:rsidRPr="00070ADE">
        <w:rPr>
          <w:rFonts w:ascii="Times New Roman" w:hAnsi="Times New Roman"/>
          <w:color w:val="000000" w:themeColor="text1"/>
          <w:sz w:val="16"/>
          <w:szCs w:val="16"/>
        </w:rPr>
        <w:tab/>
        <w:t>6</w:t>
      </w:r>
      <w:r w:rsidRPr="00070ADE">
        <w:rPr>
          <w:rFonts w:ascii="Times New Roman" w:hAnsi="Times New Roman"/>
          <w:color w:val="000000" w:themeColor="text1"/>
          <w:sz w:val="16"/>
          <w:szCs w:val="16"/>
        </w:rPr>
        <w:tab/>
        <w:t>8</w:t>
      </w:r>
      <w:r w:rsidRPr="00070ADE">
        <w:rPr>
          <w:rFonts w:ascii="Times New Roman" w:hAnsi="Times New Roman"/>
          <w:color w:val="000000" w:themeColor="text1"/>
          <w:sz w:val="16"/>
          <w:szCs w:val="16"/>
        </w:rPr>
        <w:tab/>
        <w:t>9</w:t>
      </w:r>
    </w:p>
    <w:p w14:paraId="127B30E7"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кв.</w:t>
      </w:r>
      <w:r w:rsidRPr="00070ADE">
        <w:rPr>
          <w:rFonts w:ascii="Times New Roman" w:hAnsi="Times New Roman"/>
          <w:color w:val="000000" w:themeColor="text1"/>
          <w:sz w:val="16"/>
          <w:szCs w:val="16"/>
        </w:rPr>
        <w:tab/>
        <w:t>9</w:t>
      </w:r>
      <w:r w:rsidRPr="00070ADE">
        <w:rPr>
          <w:rFonts w:ascii="Times New Roman" w:hAnsi="Times New Roman"/>
          <w:color w:val="000000" w:themeColor="text1"/>
          <w:sz w:val="16"/>
          <w:szCs w:val="16"/>
        </w:rPr>
        <w:tab/>
        <w:t>9</w:t>
      </w:r>
      <w:r w:rsidRPr="00070ADE">
        <w:rPr>
          <w:rFonts w:ascii="Times New Roman" w:hAnsi="Times New Roman"/>
          <w:color w:val="000000" w:themeColor="text1"/>
          <w:sz w:val="16"/>
          <w:szCs w:val="16"/>
        </w:rPr>
        <w:tab/>
        <w:t>9</w:t>
      </w:r>
      <w:r w:rsidRPr="00070ADE">
        <w:rPr>
          <w:rFonts w:ascii="Times New Roman" w:hAnsi="Times New Roman"/>
          <w:color w:val="000000" w:themeColor="text1"/>
          <w:sz w:val="16"/>
          <w:szCs w:val="16"/>
        </w:rPr>
        <w:tab/>
        <w:t>9</w:t>
      </w:r>
    </w:p>
    <w:p w14:paraId="1B0FD40E"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IV кв.</w:t>
      </w:r>
      <w:r w:rsidRPr="00070ADE">
        <w:rPr>
          <w:rFonts w:ascii="Times New Roman" w:hAnsi="Times New Roman"/>
          <w:color w:val="000000" w:themeColor="text1"/>
          <w:sz w:val="16"/>
          <w:szCs w:val="16"/>
        </w:rPr>
        <w:tab/>
        <w:t>9</w:t>
      </w:r>
      <w:r w:rsidRPr="00070ADE">
        <w:rPr>
          <w:rFonts w:ascii="Times New Roman" w:hAnsi="Times New Roman"/>
          <w:color w:val="000000" w:themeColor="text1"/>
          <w:sz w:val="16"/>
          <w:szCs w:val="16"/>
        </w:rPr>
        <w:tab/>
        <w:t>9</w:t>
      </w:r>
      <w:r w:rsidRPr="00070ADE">
        <w:rPr>
          <w:rFonts w:ascii="Times New Roman" w:hAnsi="Times New Roman"/>
          <w:color w:val="000000" w:themeColor="text1"/>
          <w:sz w:val="16"/>
          <w:szCs w:val="16"/>
        </w:rPr>
        <w:tab/>
        <w:t>9</w:t>
      </w:r>
      <w:r w:rsidRPr="00070ADE">
        <w:rPr>
          <w:rFonts w:ascii="Times New Roman" w:hAnsi="Times New Roman"/>
          <w:color w:val="000000" w:themeColor="text1"/>
          <w:sz w:val="16"/>
          <w:szCs w:val="16"/>
        </w:rPr>
        <w:tab/>
        <w:t>8</w:t>
      </w:r>
    </w:p>
    <w:p w14:paraId="4946D129"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1-е п/г.</w:t>
      </w:r>
      <w:r w:rsidRPr="00070ADE">
        <w:rPr>
          <w:rFonts w:ascii="Times New Roman" w:hAnsi="Times New Roman"/>
          <w:color w:val="000000" w:themeColor="text1"/>
          <w:sz w:val="16"/>
          <w:szCs w:val="16"/>
        </w:rPr>
        <w:tab/>
        <w:t>14</w:t>
      </w:r>
      <w:r w:rsidRPr="00070ADE">
        <w:rPr>
          <w:rFonts w:ascii="Times New Roman" w:hAnsi="Times New Roman"/>
          <w:color w:val="000000" w:themeColor="text1"/>
          <w:sz w:val="16"/>
          <w:szCs w:val="16"/>
        </w:rPr>
        <w:tab/>
        <w:t>И</w:t>
      </w:r>
      <w:r w:rsidRPr="00070ADE">
        <w:rPr>
          <w:rFonts w:ascii="Times New Roman" w:hAnsi="Times New Roman"/>
          <w:color w:val="000000" w:themeColor="text1"/>
          <w:sz w:val="16"/>
          <w:szCs w:val="16"/>
        </w:rPr>
        <w:tab/>
        <w:t>13</w:t>
      </w:r>
      <w:r w:rsidRPr="00070ADE">
        <w:rPr>
          <w:rFonts w:ascii="Times New Roman" w:hAnsi="Times New Roman"/>
          <w:color w:val="000000" w:themeColor="text1"/>
          <w:sz w:val="16"/>
          <w:szCs w:val="16"/>
        </w:rPr>
        <w:tab/>
        <w:t>13</w:t>
      </w:r>
    </w:p>
    <w:p w14:paraId="3CD2F4F3"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2-е п/г.</w:t>
      </w:r>
      <w:r w:rsidRPr="00070ADE">
        <w:rPr>
          <w:rFonts w:ascii="Times New Roman" w:hAnsi="Times New Roman"/>
          <w:color w:val="000000" w:themeColor="text1"/>
          <w:sz w:val="16"/>
          <w:szCs w:val="16"/>
        </w:rPr>
        <w:tab/>
        <w:t>18</w:t>
      </w:r>
      <w:r w:rsidRPr="00070ADE">
        <w:rPr>
          <w:rFonts w:ascii="Times New Roman" w:hAnsi="Times New Roman"/>
          <w:color w:val="000000" w:themeColor="text1"/>
          <w:sz w:val="16"/>
          <w:szCs w:val="16"/>
        </w:rPr>
        <w:tab/>
        <w:t>18</w:t>
      </w:r>
      <w:r w:rsidRPr="00070ADE">
        <w:rPr>
          <w:rFonts w:ascii="Times New Roman" w:hAnsi="Times New Roman"/>
          <w:color w:val="000000" w:themeColor="text1"/>
          <w:sz w:val="16"/>
          <w:szCs w:val="16"/>
        </w:rPr>
        <w:tab/>
        <w:t>18</w:t>
      </w:r>
      <w:r w:rsidRPr="00070ADE">
        <w:rPr>
          <w:rFonts w:ascii="Times New Roman" w:hAnsi="Times New Roman"/>
          <w:color w:val="000000" w:themeColor="text1"/>
          <w:sz w:val="16"/>
          <w:szCs w:val="16"/>
        </w:rPr>
        <w:tab/>
        <w:t>17</w:t>
      </w:r>
    </w:p>
    <w:p w14:paraId="040BED11"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за год</w:t>
      </w:r>
      <w:r w:rsidRPr="00070ADE">
        <w:rPr>
          <w:rFonts w:ascii="Times New Roman" w:hAnsi="Times New Roman"/>
          <w:color w:val="000000" w:themeColor="text1"/>
          <w:sz w:val="16"/>
          <w:szCs w:val="16"/>
        </w:rPr>
        <w:tab/>
        <w:t>32</w:t>
      </w:r>
      <w:r w:rsidRPr="00070ADE">
        <w:rPr>
          <w:rFonts w:ascii="Times New Roman" w:hAnsi="Times New Roman"/>
          <w:color w:val="000000" w:themeColor="text1"/>
          <w:sz w:val="16"/>
          <w:szCs w:val="16"/>
        </w:rPr>
        <w:tab/>
        <w:t>29</w:t>
      </w:r>
      <w:r w:rsidRPr="00070ADE">
        <w:rPr>
          <w:rFonts w:ascii="Times New Roman" w:hAnsi="Times New Roman"/>
          <w:color w:val="000000" w:themeColor="text1"/>
          <w:sz w:val="16"/>
          <w:szCs w:val="16"/>
        </w:rPr>
        <w:tab/>
        <w:t>31</w:t>
      </w:r>
      <w:r w:rsidRPr="00070ADE">
        <w:rPr>
          <w:rFonts w:ascii="Times New Roman" w:hAnsi="Times New Roman"/>
          <w:color w:val="000000" w:themeColor="text1"/>
          <w:sz w:val="16"/>
          <w:szCs w:val="16"/>
        </w:rPr>
        <w:tab/>
        <w:t>30</w:t>
      </w:r>
    </w:p>
    <w:p w14:paraId="58925009"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Первый квартал 1943 г. был исключительно тяжелым для завода. Завод в течение января и февраля не обеспечивался электроэнергией и вынужден был работать на 50 % от своей мощности.</w:t>
      </w:r>
    </w:p>
    <w:p w14:paraId="00153F37"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втором квартале завод снова поднял выпуск до 8 машин в день, а в мае месяце увеличил выпуск до 9 самолетов в день, но трудности со снабжением цветным металлом не позволили заводу удержаться на этом повышенном графике, завод в июне месяце не выполнил заданного плана по самолету Пе-2.</w:t>
      </w:r>
      <w:r w:rsidRPr="00070ADE">
        <w:rPr>
          <w:rFonts w:ascii="Times New Roman" w:hAnsi="Times New Roman"/>
          <w:color w:val="000000" w:themeColor="text1"/>
          <w:sz w:val="16"/>
          <w:szCs w:val="16"/>
        </w:rPr>
        <w:tab/>
        <w:t>[...]</w:t>
      </w:r>
    </w:p>
    <w:p w14:paraId="4A26E192"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завода № 22</w:t>
      </w:r>
      <w:r w:rsidRPr="00070ADE">
        <w:rPr>
          <w:rFonts w:ascii="Times New Roman" w:hAnsi="Times New Roman"/>
          <w:color w:val="000000" w:themeColor="text1"/>
          <w:sz w:val="16"/>
          <w:szCs w:val="16"/>
        </w:rPr>
        <w:tab/>
        <w:t>Окулов</w:t>
      </w:r>
    </w:p>
    <w:p w14:paraId="50A8678B" w14:textId="77777777" w:rsidR="00021CBD" w:rsidRPr="00070ADE" w:rsidRDefault="00021C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РТ Ф. Р-2845. Оп. 3. Д 227. Л. 6-6 об., 16-16 об., 17 об-18. Отпуск (23696).</w:t>
      </w:r>
    </w:p>
    <w:p w14:paraId="67992E3D" w14:textId="77777777" w:rsidR="00021CBD" w:rsidRPr="00070ADE" w:rsidRDefault="00021CBD" w:rsidP="00B56F90">
      <w:pPr>
        <w:spacing w:after="0" w:line="240" w:lineRule="auto"/>
        <w:jc w:val="both"/>
        <w:rPr>
          <w:rFonts w:ascii="Times New Roman" w:hAnsi="Times New Roman"/>
          <w:color w:val="000000" w:themeColor="text1"/>
          <w:sz w:val="16"/>
          <w:szCs w:val="16"/>
        </w:rPr>
      </w:pPr>
    </w:p>
    <w:p w14:paraId="67EC243F"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93765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33EB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января 1944 вышло постановление ГКО N 5020cc о принятии на вооружение Т-34-85 (4390) с пушкой ЗИС-С-53 (3547).</w:t>
      </w:r>
    </w:p>
    <w:p w14:paraId="1BF13B6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80A6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января 1944 вышло Постановление ГКО № 5020 Об увеличении производства танков Т-34-85 с 85 мм пушкой и с расширенным погоном. РГАНИР, Фонд ГКО, д. 197, лл. 1-5 (11012).</w:t>
      </w:r>
    </w:p>
    <w:p w14:paraId="328EABA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65BFC1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января 1944 г. постановлением ГКО танк Т-34, оснащенный 85-мм пушкой ЗИС-С-53 под маркой Т-34-85 был принят на вооружение Красной Армии (10703).</w:t>
      </w:r>
    </w:p>
    <w:p w14:paraId="31E1B5D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0A1CF9" w14:textId="77777777" w:rsidR="00961B62" w:rsidRPr="00070ADE" w:rsidRDefault="00961B62" w:rsidP="00B56F90">
      <w:pPr>
        <w:pStyle w:val="ae"/>
        <w:spacing w:before="0" w:after="0"/>
        <w:jc w:val="both"/>
        <w:textAlignment w:val="baseline"/>
        <w:rPr>
          <w:color w:val="000000" w:themeColor="text1"/>
          <w:sz w:val="16"/>
          <w:szCs w:val="16"/>
        </w:rPr>
      </w:pPr>
      <w:r w:rsidRPr="00070ADE">
        <w:rPr>
          <w:color w:val="000000" w:themeColor="text1"/>
          <w:sz w:val="16"/>
          <w:szCs w:val="16"/>
        </w:rPr>
        <w:t>23 января 1944 года было подписано постановление ГКО №5020сс «Об увеличении производства танков Т-34-85 с 85-мм пушкой и расширенным погоном». С марта 1944 года началось производство основной версии Т-34-85. В связи с некоторыми дефектами, обнаруженными в конструкции орудия С-53, пушку доработали силами КБ завода №92 (эти орудия получили обозначение ЗИС-С-53). Именно эта система стала основным танковым орудием калибра 85 мм (18998).</w:t>
      </w:r>
    </w:p>
    <w:p w14:paraId="0E065FD1" w14:textId="77777777" w:rsidR="00961B62" w:rsidRPr="00070ADE" w:rsidRDefault="00961B62" w:rsidP="00B56F90">
      <w:pPr>
        <w:pStyle w:val="ae"/>
        <w:spacing w:before="0" w:after="0"/>
        <w:jc w:val="both"/>
        <w:textAlignment w:val="baseline"/>
        <w:rPr>
          <w:color w:val="000000" w:themeColor="text1"/>
          <w:sz w:val="16"/>
          <w:szCs w:val="16"/>
        </w:rPr>
      </w:pPr>
    </w:p>
    <w:p w14:paraId="259682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января 1944 на вооруже</w:t>
      </w:r>
      <w:r w:rsidRPr="00070ADE">
        <w:rPr>
          <w:rFonts w:ascii="Times New Roman" w:hAnsi="Times New Roman"/>
          <w:color w:val="000000" w:themeColor="text1"/>
          <w:sz w:val="16"/>
          <w:szCs w:val="16"/>
        </w:rPr>
        <w:softHyphen/>
        <w:t>ние мотомехвойск РККА был принят танк Т-34-85, воору</w:t>
      </w:r>
      <w:r w:rsidRPr="00070ADE">
        <w:rPr>
          <w:rFonts w:ascii="Times New Roman" w:hAnsi="Times New Roman"/>
          <w:color w:val="000000" w:themeColor="text1"/>
          <w:sz w:val="16"/>
          <w:szCs w:val="16"/>
        </w:rPr>
        <w:softHyphen/>
        <w:t>женный С-53. 15 января началось серийное производство орудий С-53 и тут случилось ЧП. В ходе испы</w:t>
      </w:r>
      <w:r w:rsidRPr="00070ADE">
        <w:rPr>
          <w:rFonts w:ascii="Times New Roman" w:hAnsi="Times New Roman"/>
          <w:color w:val="000000" w:themeColor="text1"/>
          <w:sz w:val="16"/>
          <w:szCs w:val="16"/>
        </w:rPr>
        <w:softHyphen/>
        <w:t>таний на отказ на 470-м выстреле у орудия заклинило тормоз отката. ЦАКБ «умыло руки», так как серийное орудие в ме</w:t>
      </w:r>
      <w:r w:rsidRPr="00070ADE">
        <w:rPr>
          <w:rFonts w:ascii="Times New Roman" w:hAnsi="Times New Roman"/>
          <w:color w:val="000000" w:themeColor="text1"/>
          <w:sz w:val="16"/>
          <w:szCs w:val="16"/>
        </w:rPr>
        <w:softHyphen/>
        <w:t>лочах сильно отличалось от разработанного здесь. Поэтому исправлять указанный дефект пришлось заводскому КБ.</w:t>
      </w:r>
    </w:p>
    <w:p w14:paraId="1A26F2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Именения, внесенные ОКБ-92 в противооткатный меха</w:t>
      </w:r>
      <w:r w:rsidRPr="00070ADE">
        <w:rPr>
          <w:rFonts w:ascii="Times New Roman" w:hAnsi="Times New Roman"/>
          <w:color w:val="000000" w:themeColor="text1"/>
          <w:sz w:val="16"/>
          <w:szCs w:val="16"/>
        </w:rPr>
        <w:softHyphen/>
        <w:t>низм С-53, оказались действенными и 30 января указанная пушка прошла отстрел как в штатной, так и в увеличенной башне Т-34, после чего ее производству была дана «зеленая улица». Новые орудия были очень дешевы и просты в массо</w:t>
      </w:r>
      <w:r w:rsidRPr="00070ADE">
        <w:rPr>
          <w:rFonts w:ascii="Times New Roman" w:hAnsi="Times New Roman"/>
          <w:color w:val="000000" w:themeColor="text1"/>
          <w:sz w:val="16"/>
          <w:szCs w:val="16"/>
        </w:rPr>
        <w:softHyphen/>
        <w:t>вом производстве, тем более что серийное орудие имело цельнолитую люльку и муфтовое соединение ствола с казен</w:t>
      </w:r>
      <w:r w:rsidRPr="00070ADE">
        <w:rPr>
          <w:rFonts w:ascii="Times New Roman" w:hAnsi="Times New Roman"/>
          <w:color w:val="000000" w:themeColor="text1"/>
          <w:sz w:val="16"/>
          <w:szCs w:val="16"/>
        </w:rPr>
        <w:softHyphen/>
        <w:t>ником. Вполне понятно, что вскоре масштабы их производ</w:t>
      </w:r>
      <w:r w:rsidRPr="00070ADE">
        <w:rPr>
          <w:rFonts w:ascii="Times New Roman" w:hAnsi="Times New Roman"/>
          <w:color w:val="000000" w:themeColor="text1"/>
          <w:sz w:val="16"/>
          <w:szCs w:val="16"/>
        </w:rPr>
        <w:softHyphen/>
        <w:t>ства превысили Д-5, которые целиком съедала программа из</w:t>
      </w:r>
      <w:r w:rsidRPr="00070ADE">
        <w:rPr>
          <w:rFonts w:ascii="Times New Roman" w:hAnsi="Times New Roman"/>
          <w:color w:val="000000" w:themeColor="text1"/>
          <w:sz w:val="16"/>
          <w:szCs w:val="16"/>
        </w:rPr>
        <w:softHyphen/>
        <w:t>готовления самоходно-артиллерийских установок СУ-85 (11135).</w:t>
      </w:r>
    </w:p>
    <w:p w14:paraId="633814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842E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января 1944 г. постановлением ГКО 85-мм пушка ЗИС-С-53 была принята на вооружение танка Т-34-85 обр. 1944 г., а затем и среднего танка Т-44 (10703). 85-мм пушка ЗИС-С-53 обеспечивала уничтожение танков, мотоме</w:t>
      </w:r>
      <w:r w:rsidRPr="00070ADE">
        <w:rPr>
          <w:rFonts w:ascii="Times New Roman" w:hAnsi="Times New Roman"/>
          <w:color w:val="000000" w:themeColor="text1"/>
          <w:sz w:val="16"/>
          <w:szCs w:val="16"/>
        </w:rPr>
        <w:softHyphen/>
        <w:t>ханизированных и огневых средств противника, его живой силы, а так</w:t>
      </w:r>
      <w:r w:rsidRPr="00070ADE">
        <w:rPr>
          <w:rFonts w:ascii="Times New Roman" w:hAnsi="Times New Roman"/>
          <w:color w:val="000000" w:themeColor="text1"/>
          <w:sz w:val="16"/>
          <w:szCs w:val="16"/>
        </w:rPr>
        <w:softHyphen/>
        <w:t>же подавление и уничтожение артиллерии противника, и разрушение амбразур ДОТов и ДЗОТов. Она состояла из ствола, затвора с полуавтоматикой, спускового ме</w:t>
      </w:r>
      <w:r w:rsidRPr="00070ADE">
        <w:rPr>
          <w:rFonts w:ascii="Times New Roman" w:hAnsi="Times New Roman"/>
          <w:color w:val="000000" w:themeColor="text1"/>
          <w:sz w:val="16"/>
          <w:szCs w:val="16"/>
        </w:rPr>
        <w:softHyphen/>
        <w:t>ханизма, люльки и противооткатных устройств (ПОУ). Нескрепленный ствол (моноблок) пушки изготавливался из высо</w:t>
      </w:r>
      <w:r w:rsidRPr="00070ADE">
        <w:rPr>
          <w:rFonts w:ascii="Times New Roman" w:hAnsi="Times New Roman"/>
          <w:color w:val="000000" w:themeColor="text1"/>
          <w:sz w:val="16"/>
          <w:szCs w:val="16"/>
        </w:rPr>
        <w:softHyphen/>
        <w:t>кокачественной стали и представлял собой трубу с монолитными ме</w:t>
      </w:r>
      <w:r w:rsidRPr="00070ADE">
        <w:rPr>
          <w:rFonts w:ascii="Times New Roman" w:hAnsi="Times New Roman"/>
          <w:color w:val="000000" w:themeColor="text1"/>
          <w:sz w:val="16"/>
          <w:szCs w:val="16"/>
        </w:rPr>
        <w:softHyphen/>
        <w:t>таллическими стенками, в которых отсутствовали искусственно создан</w:t>
      </w:r>
      <w:r w:rsidRPr="00070ADE">
        <w:rPr>
          <w:rFonts w:ascii="Times New Roman" w:hAnsi="Times New Roman"/>
          <w:color w:val="000000" w:themeColor="text1"/>
          <w:sz w:val="16"/>
          <w:szCs w:val="16"/>
        </w:rPr>
        <w:softHyphen/>
        <w:t>ные предварительные напряжения. Толщина стенки ствола увеличива</w:t>
      </w:r>
      <w:r w:rsidRPr="00070ADE">
        <w:rPr>
          <w:rFonts w:ascii="Times New Roman" w:hAnsi="Times New Roman"/>
          <w:color w:val="000000" w:themeColor="text1"/>
          <w:sz w:val="16"/>
          <w:szCs w:val="16"/>
        </w:rPr>
        <w:softHyphen/>
        <w:t>лась в направлении от дульного среза к казенной части, где давление по</w:t>
      </w:r>
      <w:r w:rsidRPr="00070ADE">
        <w:rPr>
          <w:rFonts w:ascii="Times New Roman" w:hAnsi="Times New Roman"/>
          <w:color w:val="000000" w:themeColor="text1"/>
          <w:sz w:val="16"/>
          <w:szCs w:val="16"/>
        </w:rPr>
        <w:softHyphen/>
        <w:t>роховых газов при выстреле достигало 2585 кгс/см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 Ствол длиной 51,6 калибра (4645 мм) состоял из следующих основных частей: трубы, ка</w:t>
      </w:r>
      <w:r w:rsidRPr="00070ADE">
        <w:rPr>
          <w:rFonts w:ascii="Times New Roman" w:hAnsi="Times New Roman"/>
          <w:color w:val="000000" w:themeColor="text1"/>
          <w:sz w:val="16"/>
          <w:szCs w:val="16"/>
        </w:rPr>
        <w:softHyphen/>
        <w:t>зенника, муфты, накладки казенника и обоймы. Канал трубы подразде</w:t>
      </w:r>
      <w:r w:rsidRPr="00070ADE">
        <w:rPr>
          <w:rFonts w:ascii="Times New Roman" w:hAnsi="Times New Roman"/>
          <w:color w:val="000000" w:themeColor="text1"/>
          <w:sz w:val="16"/>
          <w:szCs w:val="16"/>
        </w:rPr>
        <w:softHyphen/>
        <w:t>лялся на патронник и нарезную часть. Нарезная часть канала трубы имела 24 нареза постоянной крутизны, идущих по винтовой линии слева вверх направо. Длина хода нарезов составляла 25 калибров. Угол на</w:t>
      </w:r>
      <w:r w:rsidRPr="00070ADE">
        <w:rPr>
          <w:rFonts w:ascii="Times New Roman" w:hAnsi="Times New Roman"/>
          <w:color w:val="000000" w:themeColor="text1"/>
          <w:sz w:val="16"/>
          <w:szCs w:val="16"/>
        </w:rPr>
        <w:softHyphen/>
        <w:t>клона нарезов 7°9'. Казенник, предназначавшийся для размещения и крепления деталей затвора, полуавтоматики и спускового механизма, передней своей частью надвигался на трубу и соединялся с ней с помо</w:t>
      </w:r>
      <w:r w:rsidRPr="00070ADE">
        <w:rPr>
          <w:rFonts w:ascii="Times New Roman" w:hAnsi="Times New Roman"/>
          <w:color w:val="000000" w:themeColor="text1"/>
          <w:sz w:val="16"/>
          <w:szCs w:val="16"/>
        </w:rPr>
        <w:softHyphen/>
        <w:t>щью муфты. Накладка казенника предназначалась для увеличения мас</w:t>
      </w:r>
      <w:r w:rsidRPr="00070ADE">
        <w:rPr>
          <w:rFonts w:ascii="Times New Roman" w:hAnsi="Times New Roman"/>
          <w:color w:val="000000" w:themeColor="text1"/>
          <w:sz w:val="16"/>
          <w:szCs w:val="16"/>
        </w:rPr>
        <w:softHyphen/>
        <w:t>сы казенной части ствола и воспрепятствия проворачивания ствола при стрельбе. Обойма предназначалась для соединения ствола с противоот</w:t>
      </w:r>
      <w:r w:rsidRPr="00070ADE">
        <w:rPr>
          <w:rFonts w:ascii="Times New Roman" w:hAnsi="Times New Roman"/>
          <w:color w:val="000000" w:themeColor="text1"/>
          <w:sz w:val="16"/>
          <w:szCs w:val="16"/>
        </w:rPr>
        <w:softHyphen/>
        <w:t>катными устройствами. Она привинчивалась к казеннику винтами. Запирание канала ствола, производство выстрела и экстрагирование стреляных гильз осуществлялось с помощью вертикального клинового затвора с полуавтоматикой копирного типа. Конструктивная схема за</w:t>
      </w:r>
      <w:r w:rsidRPr="00070ADE">
        <w:rPr>
          <w:rFonts w:ascii="Times New Roman" w:hAnsi="Times New Roman"/>
          <w:color w:val="000000" w:themeColor="text1"/>
          <w:sz w:val="16"/>
          <w:szCs w:val="16"/>
        </w:rPr>
        <w:softHyphen/>
        <w:t>твора была подобна схеме затвора 76-мм модернизированной танковой пушки Ф-34. Цилиндрической формы люлька предназначалась для направления ствола при откате и накате и являлась корпусом для сборки основных частей пушки. Внутри люльки находились три направляющих кольца (облицовки) по которым ствол скользил своей цилиндрической частью при откате и накате. Посредине люльки имелся квадратный фланец с отверстиями по углам, к которому болтами крепилась бронировка пуш</w:t>
      </w:r>
      <w:r w:rsidRPr="00070ADE">
        <w:rPr>
          <w:rFonts w:ascii="Times New Roman" w:hAnsi="Times New Roman"/>
          <w:color w:val="000000" w:themeColor="text1"/>
          <w:sz w:val="16"/>
          <w:szCs w:val="16"/>
        </w:rPr>
        <w:softHyphen/>
        <w:t>ки. С боков люлька имела гнезда, в которые вставлялись цапфы пушки. С правой стороны к люльке болтами крепился кронштейн для установ</w:t>
      </w:r>
      <w:r w:rsidRPr="00070ADE">
        <w:rPr>
          <w:rFonts w:ascii="Times New Roman" w:hAnsi="Times New Roman"/>
          <w:color w:val="000000" w:themeColor="text1"/>
          <w:sz w:val="16"/>
          <w:szCs w:val="16"/>
        </w:rPr>
        <w:softHyphen/>
        <w:t>ки спаренного пулемета, а с левой стороны - кронштейн для установки прицела. Сзади люлька имела: внизу прилив с двумя отверстиями для крепления штоков накатника и тормоза отката и наката; слева - прилив, к которому болтами крепился сектор подъемного механизма пушки; справа и слева на заднем торце люльки были прикреплены резиновые буферы, смягчавшие удар откатывающихся частей при накате. Гашение энергии движения откатывающихся частей пушки при вы</w:t>
      </w:r>
      <w:r w:rsidRPr="00070ADE">
        <w:rPr>
          <w:rFonts w:ascii="Times New Roman" w:hAnsi="Times New Roman"/>
          <w:color w:val="000000" w:themeColor="text1"/>
          <w:sz w:val="16"/>
          <w:szCs w:val="16"/>
        </w:rPr>
        <w:softHyphen/>
        <w:t>стреле, возвращение (накат) их после выстрела в первоначальное поло</w:t>
      </w:r>
      <w:r w:rsidRPr="00070ADE">
        <w:rPr>
          <w:rFonts w:ascii="Times New Roman" w:hAnsi="Times New Roman"/>
          <w:color w:val="000000" w:themeColor="text1"/>
          <w:sz w:val="16"/>
          <w:szCs w:val="16"/>
        </w:rPr>
        <w:softHyphen/>
        <w:t>жение и удержание их в этом положении при любом угле возвышения осуществлялось противооткатными устройствами. Они состояли из ги</w:t>
      </w:r>
      <w:r w:rsidRPr="00070ADE">
        <w:rPr>
          <w:rFonts w:ascii="Times New Roman" w:hAnsi="Times New Roman"/>
          <w:color w:val="000000" w:themeColor="text1"/>
          <w:sz w:val="16"/>
          <w:szCs w:val="16"/>
        </w:rPr>
        <w:softHyphen/>
        <w:t>дравлического тормоза отката и наката веретенного типа и гидропнев</w:t>
      </w:r>
      <w:r w:rsidRPr="00070ADE">
        <w:rPr>
          <w:rFonts w:ascii="Times New Roman" w:hAnsi="Times New Roman"/>
          <w:color w:val="000000" w:themeColor="text1"/>
          <w:sz w:val="16"/>
          <w:szCs w:val="16"/>
        </w:rPr>
        <w:softHyphen/>
        <w:t>матического накатника. Все танковые пушки выпуска 1944 г., а также пушки выпуска 1945 г. по № Б-8341 включительно, оснащались тормо</w:t>
      </w:r>
      <w:r w:rsidRPr="00070ADE">
        <w:rPr>
          <w:rFonts w:ascii="Times New Roman" w:hAnsi="Times New Roman"/>
          <w:color w:val="000000" w:themeColor="text1"/>
          <w:sz w:val="16"/>
          <w:szCs w:val="16"/>
        </w:rPr>
        <w:softHyphen/>
        <w:t>зами отката с компенсатором. Пушки выпуска 1945 г., начиная с N° Б-8342, оснащались тормозами отката без компенсатора. Нормаль</w:t>
      </w:r>
      <w:r w:rsidRPr="00070ADE">
        <w:rPr>
          <w:rFonts w:ascii="Times New Roman" w:hAnsi="Times New Roman"/>
          <w:color w:val="000000" w:themeColor="text1"/>
          <w:sz w:val="16"/>
          <w:szCs w:val="16"/>
        </w:rPr>
        <w:softHyphen/>
        <w:t>ная длина отката составляла 280 - 320 мм, предельная - 330 мм. Стрельба из пушки производилась с помощью электроспуска и ме</w:t>
      </w:r>
      <w:r w:rsidRPr="00070ADE">
        <w:rPr>
          <w:rFonts w:ascii="Times New Roman" w:hAnsi="Times New Roman"/>
          <w:color w:val="000000" w:themeColor="text1"/>
          <w:sz w:val="16"/>
          <w:szCs w:val="16"/>
        </w:rPr>
        <w:softHyphen/>
        <w:t>ханического ручного спуска. Для стрельбы из пушки могли применяться унитарные выстрелы 85-мм зенитной пушки обр. 1939 г.: с бронебойно-трассирующим тупо</w:t>
      </w:r>
      <w:r w:rsidRPr="00070ADE">
        <w:rPr>
          <w:rFonts w:ascii="Times New Roman" w:hAnsi="Times New Roman"/>
          <w:color w:val="000000" w:themeColor="text1"/>
          <w:sz w:val="16"/>
          <w:szCs w:val="16"/>
        </w:rPr>
        <w:softHyphen/>
        <w:t>головым снарядом БР-365 с баллистическим наконечником с взрывате</w:t>
      </w:r>
      <w:r w:rsidRPr="00070ADE">
        <w:rPr>
          <w:rFonts w:ascii="Times New Roman" w:hAnsi="Times New Roman"/>
          <w:color w:val="000000" w:themeColor="text1"/>
          <w:sz w:val="16"/>
          <w:szCs w:val="16"/>
        </w:rPr>
        <w:softHyphen/>
        <w:t>лем МД-7, с бронебойно-трассирующим остроголовым снарядом БР-365К без баллистического наконечника с взрывателем МД-8, с под-калиберным бронебойно-трассирующим снарядом БР-365П, с осколоч</w:t>
      </w:r>
      <w:r w:rsidRPr="00070ADE">
        <w:rPr>
          <w:rFonts w:ascii="Times New Roman" w:hAnsi="Times New Roman"/>
          <w:color w:val="000000" w:themeColor="text1"/>
          <w:sz w:val="16"/>
          <w:szCs w:val="16"/>
        </w:rPr>
        <w:softHyphen/>
        <w:t>ной цельнокорпусной гранатой О-365К и с полным зарядом с взрывате</w:t>
      </w:r>
      <w:r w:rsidRPr="00070ADE">
        <w:rPr>
          <w:rFonts w:ascii="Times New Roman" w:hAnsi="Times New Roman"/>
          <w:color w:val="000000" w:themeColor="text1"/>
          <w:sz w:val="16"/>
          <w:szCs w:val="16"/>
        </w:rPr>
        <w:softHyphen/>
        <w:t>лями КТМ-1 или КТМЗ-1, осколочной гранатой О-365К с переходной головкой и с полным зарядом, цельнокорпусной гранатой О-365К и с уменьшенным зарядом с взрывателями КТМ-1 или КТМЗ-1. Бронебойно-трассирующий снаряд БР-365 на дистанции 1000 м пробивал расположенную вертикально плиту из цементированной бро</w:t>
      </w:r>
      <w:r w:rsidRPr="00070ADE">
        <w:rPr>
          <w:rFonts w:ascii="Times New Roman" w:hAnsi="Times New Roman"/>
          <w:color w:val="000000" w:themeColor="text1"/>
          <w:sz w:val="16"/>
          <w:szCs w:val="16"/>
        </w:rPr>
        <w:softHyphen/>
        <w:t>невой стали толщиной 100 мм (10703).</w:t>
      </w:r>
    </w:p>
    <w:p w14:paraId="5EFCDA7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5689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января 1944 г. танк Т-34-85 был принят на вооружение РККА и выпускал» на заводах № 183 в Нижнем Тагиле, № 174 в Омске и № 112 "Кр ' Сормово" в Горьком. Головным завозом по машине был завод № Танк имел заводское обозначение "Объект 135". С марта 1944 г. по 1945 г. было выпущено 16199 танков данной модификации, причем танк был командирским. Серийное производстве машины продояжалось до 1947 г. (10703).</w:t>
      </w:r>
    </w:p>
    <w:p w14:paraId="03E05EC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9B63CF" w14:textId="77777777" w:rsidR="003A2C75" w:rsidRPr="00070ADE" w:rsidRDefault="003A2C7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января 1944 г. ГКО частично пересмотрел свое решение и утвердил новый график выпуска Т-34 с пушкой С-53 - с новыми башнями под широкий погон, конструкция которых была окончательно утверждена ГКО в середине декабря 1943 г.[1010] С конца января 1944 г. первым производство новой башни должен был начать восстанавливаемый в Харькове объединенный завод № 75 НКТП для завода № 112: 75 башен с расширенным погоном в феврале и 100 - в марте[1011]. Сталинское руководство все же оставило для завода № 112 в плане на февраль (был утвержден 5 февраля) 25 танков Т-34-85 с «нормальным погоном» против 75 Т-34-85 с «расширенным погоном». Все остальные заводы должны были продолжать выпускать средний танк старого образца[1012] (23536).</w:t>
      </w:r>
    </w:p>
    <w:p w14:paraId="6A50DF8D" w14:textId="77777777" w:rsidR="003A2C75" w:rsidRPr="00070ADE" w:rsidRDefault="003A2C75" w:rsidP="00B56F90">
      <w:pPr>
        <w:spacing w:after="0" w:line="240" w:lineRule="auto"/>
        <w:jc w:val="both"/>
        <w:rPr>
          <w:rFonts w:ascii="Times New Roman" w:hAnsi="Times New Roman"/>
          <w:color w:val="000000" w:themeColor="text1"/>
          <w:sz w:val="16"/>
          <w:szCs w:val="16"/>
        </w:rPr>
      </w:pPr>
    </w:p>
    <w:p w14:paraId="400F02A4" w14:textId="77777777" w:rsidR="00AA3591" w:rsidRPr="00C94B78" w:rsidRDefault="00AA359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23 января 1944 года постановлением ГКО № 5020сс на воо</w:t>
      </w:r>
      <w:r w:rsidRPr="00C94B78">
        <w:rPr>
          <w:rFonts w:ascii="Times New Roman" w:hAnsi="Times New Roman"/>
          <w:color w:val="0070C0"/>
          <w:sz w:val="16"/>
          <w:szCs w:val="16"/>
        </w:rPr>
        <w:softHyphen/>
        <w:t>ружение принимается Т-34 с 85-мм орудием ЗИС-С-53 (пушка С-53 конструкции ЦАКБ НКВ, доработанная заводом № 92 имени Сталина). Эта машина и стала наиболее мас</w:t>
      </w:r>
      <w:r w:rsidRPr="00C94B78">
        <w:rPr>
          <w:rFonts w:ascii="Times New Roman" w:hAnsi="Times New Roman"/>
          <w:color w:val="0070C0"/>
          <w:sz w:val="16"/>
          <w:szCs w:val="16"/>
        </w:rPr>
        <w:softHyphen/>
        <w:t>совой тридцатьчетверкой (25012).</w:t>
      </w:r>
    </w:p>
    <w:p w14:paraId="1AE51EF4" w14:textId="77777777" w:rsidR="00AA3591" w:rsidRPr="00C94B78" w:rsidRDefault="00AA3591" w:rsidP="00B56F90">
      <w:pPr>
        <w:spacing w:after="0" w:line="240" w:lineRule="auto"/>
        <w:jc w:val="both"/>
        <w:rPr>
          <w:rFonts w:ascii="Times New Roman" w:hAnsi="Times New Roman"/>
          <w:color w:val="0070C0"/>
          <w:sz w:val="16"/>
          <w:szCs w:val="16"/>
        </w:rPr>
      </w:pPr>
    </w:p>
    <w:p w14:paraId="62E13428" w14:textId="77777777" w:rsidR="00AA3591" w:rsidRPr="00C94B78" w:rsidRDefault="00AA359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23 января 1944 года Сталин подписал постановление ГКО №5020сс «Об увеличении производства танков Т-34-85 с 85-мм пушкой и расширенным погоном». Согласно ему, с марта 1944 года запускалось производство Т-34-85 с новой, трехместной башней, имевшей погон диаметром 1600 мм, и пушкой С-53. Таким образом, ни одной «узкой» башни с 85-мм пушкой серийно так и не сделали (25525).</w:t>
      </w:r>
    </w:p>
    <w:p w14:paraId="749AC13D" w14:textId="77777777" w:rsidR="00AA3591" w:rsidRPr="00C94B78" w:rsidRDefault="00AA3591" w:rsidP="00B56F90">
      <w:pPr>
        <w:spacing w:after="0" w:line="240" w:lineRule="auto"/>
        <w:jc w:val="both"/>
        <w:rPr>
          <w:rFonts w:ascii="Times New Roman" w:hAnsi="Times New Roman"/>
          <w:color w:val="0070C0"/>
          <w:sz w:val="16"/>
          <w:szCs w:val="16"/>
        </w:rPr>
      </w:pPr>
    </w:p>
    <w:p w14:paraId="519F946F"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720E58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60D329"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3C918A9C"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23 января юго-западнее и южнее Красное Село наши войска продолжали вести наступательные бои, в ходе которых заняли несколько населённых пунктов и среди них Малое Жабино, Большое Жабино, Вяйзелево, Большие Туганицы, Малые Туганицы, Муттолово, Акколово.</w:t>
      </w:r>
    </w:p>
    <w:p w14:paraId="367F5DC9"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и северо-восточнее Тосно наши войска с боями продвигались вперёд и овладели населёнными пунктами Никольское, Новая Деревня, Поселок 2-й Ульяновский, Гертово, Иваново, Кирсино, Старостово, Кантули, Ничеперть, Нурма и железнодорожной станцией Пустынька.</w:t>
      </w:r>
    </w:p>
    <w:p w14:paraId="4F3DBD10"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Кириши наши войска вели наступательные бои, в ходе которых заняли населённые пункты Белово, Костово, Ивановское, Васькины Нивы, Смердыня, Басино, Дубовик, Липовик, Березовик, Мелехово, Меневша, Курников Остров, Зеленцы, Лезно, Водосье, Пехово и железнодорожную станцию Тигода. Врезультате решительной атаки наших войск ликвидирован плацдарм немцев на восточном берегу реки Волхов в районе Грузино.</w:t>
      </w:r>
    </w:p>
    <w:p w14:paraId="0E8AEEE0"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Новгорода наши войска овладели несколькими населёнными пунктами.</w:t>
      </w:r>
    </w:p>
    <w:p w14:paraId="02FAB59C"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Мозыря наши войска с боями овладели районным центром Полесской области Лельчицы, а также заняли населённые пункты Передрейка, Осовец, Сколодина, Острожанка, Убортская Рудня, Зарубаны, Буйновичи, Свиднов, Манчицы, Злодин, Ветвица, Симоновичи.</w:t>
      </w:r>
    </w:p>
    <w:p w14:paraId="6715D7EB"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4C093FB2"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22 января наши войска на всех фронтах подбили и уничтожили 21 немецкий танк. В воздушных боях и огнём зенитной артиллерии сбито 12 самолётов противника.</w:t>
      </w:r>
    </w:p>
    <w:p w14:paraId="19DD5AAC"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Красное Село наши войска продолжали наступление. Части Н-ского соединения, преодолевая огневое сопротивление и отбивая контратаки противника, овладели рядом населённых пунктов. В боях за эти пункты уничтоженодо 800 вражеских солдат и офицеров. Захвачено у немцев 11 танков и самоходных орудий, 32 автомашины и другие трофеи. В районе Вяйзелево наши подвижные части уничтожили батальон вражеской пехоты, 12 противотанковых орудий и взяли в плен значительное число немецких солдат.</w:t>
      </w:r>
    </w:p>
    <w:p w14:paraId="5BEC2524"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и северо-восточнее Тосно наши войска продолжали продвигаться вперёд и заняли несколько населённых пунктов. Попытки противника удержаться на промежуточных рубежах не увенчались успехом. Стремительными ударами советской пехоты, поддержанной огнём артиллерии, немцы были отброшены и, в беспорядке отступая, понесли большие потери. Части Н-ского соединения, овладев сильно укреплённым узлом вражеской обороны, уничтожили более 400 немецких автоматчиков и захватили всё их вооружение. На другом участке наши бойцы овладели железнодорожной станцией Пустынька и, развивая, успех, разгромили батальон гитлеровцев. Захвачены трофеи и пленные.</w:t>
      </w:r>
    </w:p>
    <w:p w14:paraId="0D59B9D0"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Кириши наши войска преодолели сильно укреплённую оборонительную полосу противника и заняли несколько населённых пунктов. Решительной атакой ликвидирован плацдарм немцев на восточном берегу реки Волхов, в районе Грузино. Отступая, противник оставил много орудий, пулемётов и миномётов, несколько складов с боеприпасами и военным имуществом.</w:t>
      </w:r>
    </w:p>
    <w:p w14:paraId="463A0AF9"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Новгорода части Н-ского соединения в результате ожесточённого боя овладели сильно укреплёнными позициями немцев. На поле боя осталось свыше 600 вражеских трупов и 8 подбитых немецких танков. Захвачены 2 самоходных и 14 полевых орудий, 5 бронетранспортёров и другие трофеи. Наши подразделения окружили в лесу и ликвидировали две роты гитлеровцев.</w:t>
      </w:r>
    </w:p>
    <w:p w14:paraId="3BC3C4F4"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города Мозырь наши войска вели наступательные бои. Части Н-ского соединения, при активном содействии партизан, разгромили немецкий гарнизон, оборонявший районный центр Полесской области Лельчицы. Овладев этим населённым пунктом, наши бойцы захватили трофеи и пленных. Кавалерийские части выбили противника из нескольких населённых пунктов. При взятии одного пункта советские кавалеристы изрубили до 300 немецких солдат и офицеров, захватили вещевой и продовольственный склады и крупный обоз с различными грузами.</w:t>
      </w:r>
    </w:p>
    <w:p w14:paraId="60679DF4"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Нашей авиацией в Баренцовом море потоплен транспорт противника водоизмещениемв 6.000 тонн.</w:t>
      </w:r>
    </w:p>
    <w:p w14:paraId="02238744"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«Орёл», действующий в Николаевской области, в начале января совершил налёт на немецкий гарнизон и уничтожил 40 гитлеровцев. Одесские партизаны в ночь на 17 января скрытно подошли к немецкому лагерю и, уничтожив охрану, освободили 418 пленных красноармейцев и мирных граждан. Все освобождённые советские патриоты вступили в отряд партизан.</w:t>
      </w:r>
    </w:p>
    <w:p w14:paraId="2808E537"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обер-ефрейтор 5 роты 11 полка 14 немецкой дивизии Герман Вальд рассказал: «Недавно я ездил в Германию и был очевидцем бомбардировки Берлина. Когда поезд прибыл к Силезскому вокзалу, была объявлена воздушная тревога. Мы все бросились в убежище и просидели там три часа. Ночью я вместе с другими солдатами пошёл к Ангальтскому вокзалу, чтобы пересесть на другой поезд. Трамвай и подземная железная дорога не работали. Вокруг бушевало море огня. На Ангальтском вокзале выяснилось, что поезда не ходят, так как железнодорожные мосты разрушены и берлинский железнодорожный узел совершенно дезорганизован. Жители Берлина бегут из города. Многие предприятия не работают. Если налёты будут продолжаться, жизнь в Берлине окончательно замрёт» (15018).</w:t>
      </w:r>
    </w:p>
    <w:p w14:paraId="784E3A95" w14:textId="77777777" w:rsidR="00A178F0" w:rsidRPr="00070ADE" w:rsidRDefault="00A178F0" w:rsidP="00B56F90">
      <w:pPr>
        <w:spacing w:after="0" w:line="240" w:lineRule="auto"/>
        <w:jc w:val="both"/>
        <w:rPr>
          <w:rFonts w:ascii="Times New Roman" w:hAnsi="Times New Roman"/>
          <w:color w:val="000000" w:themeColor="text1"/>
          <w:sz w:val="16"/>
          <w:szCs w:val="16"/>
        </w:rPr>
      </w:pPr>
    </w:p>
    <w:p w14:paraId="6C2A61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января 1944 г. у села Мосур, между Ковелем и Владимром-Волынским огнем с земли был сбит очередной Ju 52/3m w/n 809869 с бортовым обозначением “M9+IL”. Оказалось, что партизаны снова попали на трассу пролетов немецкой транспортной авиации. Ветераны соединения из кавалерийского эскадрона лейтенанта А. Н.Ленкина уже имели большой боевой опыт в этом вопросе и хорошо подготовились к встрече следующего самолета. Ручные пулеметы установили на специально вкопанные в землю столбы. В некоторых деревенских домах были частично разобраны крыши, чтобы установить вертикально противотанковые ружья. Два других “бронебойщика” Н.Хожай и М.Подшивало соорудили для своих ПТР поворотные круги из тележных колес, которые вращались, как настоящие зенитные установки. В результате всех этих приготовлений у “Юнкерса”, летевшего на малой высоте в Тернополь с двумя тоннами боеприпасов, оставалось немного шансов уцелеть. Экипаж все же сумел посадить подбитую машину за околицей села и попытался скрыться в лесу, но почти сразу был задержан. В ходе допроса и обыска выяснилось немало интересного. У первого пилота гауптманна Беннинга изъяли удостоверения члена НСДАП и организации “Стальной шлем”. Внимание партизан привлек и своеобразный медальон немца - расплющенная пуля с выбитой датой “ 14.04.43”. Оказалось что летчик - их “старый знакомый”. В ходе боев за город Брагин в апреле 1943 г. объединенные отряды Ковпака, Федорова и Мельника подвергались многочисленным атакам отозванной с фронта немецкой авиации. Один из бомбардировщиков пилотировал Бен-нинг. В одном из налетов он получил тяжелое ранение в плечо, был признан ограниченно годным и списан из боевой в транспортную авиацию. Второй пилот, тиролец по происхождению, Штюмфер, также оказался не заурядной фигурой. Его китель украшали многочисленные награды - “Железные кресты” I и II степеней, румынский орден Михая Великого за взятие Одессы, две медали за бои на Восточном фронте в 1941-42 гг., нагрудные памятные знаки “Крит” и “Крым”. Уже немолодой штурман “Юнкерса” был призван из запаса и носил золотой значок ветерана нацистской партии. Только стрелок-радист ефрейтор К.Линнер был ничем не примечательным 19-летним юнцом. При допросе выяснилось, что самолет принадлежал транспортной авиагруппе KGrzbVI (командир майор Шмидт), которая базировалась на аэродроме Бяла-Подляска в 20 км западнее Бреста и состояла из четырех авиаотрядов по 12 Ju 52 в каждом. Кроме этого, на вооружении авиагруппы находились шестимоторные мотопланеры Me 323 (9974).</w:t>
      </w:r>
    </w:p>
    <w:p w14:paraId="30ECA4E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56C3933"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января 1944</w:t>
      </w:r>
    </w:p>
    <w:p w14:paraId="33DB3983"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ДИРЕКТИВА НАЧАЛЬНИКА ШТАБА ВОЕННО-ВОЗДУШНЫХ СИЛ КРАСНОЙ АРМИИ ОТ 23 ЯНВАРЯ 1944 г. ОБ УСТРАНЕНИИ НЕДОЧЕТОВ В БОЕВЫХ ДЕЙСТВИЯХ ШТУРМОВОЙ АВИАЦИИ</w:t>
      </w:r>
    </w:p>
    <w:p w14:paraId="7C3A2436"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Секретно</w:t>
      </w:r>
    </w:p>
    <w:p w14:paraId="5D8C32B6"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Командующим воздушными армиями и командирам штурмовых авиационных корпусов резерва Ставки Верховного Главнокомандования</w:t>
      </w:r>
    </w:p>
    <w:p w14:paraId="66825D23"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Изучением боевого применения штурмовой авиации установлено, что директива за № 502634 от 7.7.43 г. и приказы № 05 от 13.1 и 0131 от 29.6.43 г. 1 командирами соединений и частей еще полностью не выполнены, в результате чего продолжают иметь место следующие недочеты:</w:t>
      </w:r>
    </w:p>
    <w:p w14:paraId="323BEC92"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Командующие В А боевые задачи корпусам часто ставят на отдельные вылеты, указывая при этом даже количество самолетов в одной 'группе, игнорируя постановку задач для авиационного корпуса на период операции или в крайнем случае на первые один — два дня.</w:t>
      </w:r>
    </w:p>
    <w:p w14:paraId="3FEF633F"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Такое боевое использование авиационных корпусов наиболее характерно для 1 и 2 ВА. Лучше в этом отношении в 17 ВА. В результате командиры соединений не управляют своей авиацией, не могут решать, как лучше ее применить и нести ответственность за правильное боевое применение подчиненных частей.</w:t>
      </w:r>
    </w:p>
    <w:p w14:paraId="5DBF494B"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роль командира авиационного соединения сводится к технике высылки отдельных групп штурмовиков на поле боя по указаниям командующего ВА.</w:t>
      </w:r>
    </w:p>
    <w:p w14:paraId="0E6BA12F"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 Задачи группам и экипажам штурмовой авиации ставятся неконкретно. </w:t>
      </w:r>
    </w:p>
    <w:p w14:paraId="521340DE"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практике утвердилась шаблонная и стереотипная фраза:</w:t>
      </w:r>
    </w:p>
    <w:p w14:paraId="47AC78B6"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«Уничтожить и подавить живую силу противника и его боевую технику в таком-то районе». При этом район заданных целей бывает площадью от 20 до 50 кв. километров, с 4—5 населенными пунктами. Поэтому командир дивизии или полка не в состоянии принять решение и нарядить необходимые силы и средства для надежного поражения цели.</w:t>
      </w:r>
    </w:p>
    <w:p w14:paraId="3E9FC5D1"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При подготовке к вылету штурмовиков не производится’оценка и изучение цели (ее характер, точное место расположения, живучесть, обороноспособность). Не делается анализ и оценка воздушной обстановки в районе цели.</w:t>
      </w:r>
    </w:p>
    <w:p w14:paraId="1274CBC1"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Командирами штурмовых авиационных корпусов и дивизий и их штабами игнорируется необходимость тщательной и систематической разведки на себя и доразведки целей как основного способа боевого обеспечения выполняемой задачи. В результате штурмовики атакуют цели вслепую, не обеспечив удара необходимыми сведениями об объектах действий.</w:t>
      </w:r>
    </w:p>
    <w:p w14:paraId="25B96303"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Неконкретная постановка задач штурмовикам, отсутствие изучения и оценки характера цели влекут за собой неграмотный расход боеприпасов. Основным типом расходуемых бомб штурмовиками остается ФАБ-100 и ФАБ-50 даже и в тех случаях, когда группы действуют по неукрытым и слабо защищенным целям.</w:t>
      </w:r>
    </w:p>
    <w:p w14:paraId="541830E5"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 командующего ВВС КА за № 0131 от 29.6.43 г. не всеми изучен и выполняется поэтому недостаточно (особенно частями 1 шак).</w:t>
      </w:r>
    </w:p>
    <w:p w14:paraId="3F18B3FB"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действиях по целям, требующим для их поражения глубокого проникновения бомб, применяются взрыватели мгновенного действия, поэтому эти цели (дзоты, доты и т. д.) остаются неразрушенными даже при прямых попаданиях.</w:t>
      </w:r>
    </w:p>
    <w:p w14:paraId="31BD8884"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Расходуя неграмотно большое количество фугасных бомб, некоторые части штурмовой авиации при этом расходуют незначительную часть боекомплекта патронов и снарядов. В таких частях расход по патронам выражается в 15 процентах, по снарядам в 40 процентах к боекомплекту. </w:t>
      </w:r>
    </w:p>
    <w:p w14:paraId="4F2AEBBF"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свидетельствует о том, что атаки производятся главным образом с одного захода бомбами, без достаточного воздействия на цель пулеметным и пушечным огнем.</w:t>
      </w:r>
    </w:p>
    <w:p w14:paraId="3CA2D647"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Над полем боя штурмовая авиация слабо противодействует огню ЗА и СЗА противника и несет при этом излишние потери вследствие того, что многие командиры соединений и частей не продумывают и не осуществляют новые способы противодействия огню ЗА противника в зависимости от характера системы ПВО цели.</w:t>
      </w:r>
    </w:p>
    <w:p w14:paraId="4E033E1B"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 везде организуется упреждающий удар по точкам ЗА противника специально назначенным нарядом штурмовиков и огневыми налетами нашей артиллерии. В силу этого штурмовики, как правило, действуют в условиях, когда огонь ЗА противника не дезорганизован и не подавлен.</w:t>
      </w:r>
    </w:p>
    <w:p w14:paraId="6D726341"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Фотоконтроль за боевыми действиями штурмовиков не полностью осуществляется в соответствии с требованиями приказа ВВС КА № 05 от 13.1.43 г.</w:t>
      </w:r>
    </w:p>
    <w:p w14:paraId="58569F76"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Единственным источником, по которым определяются результаты боевой работы, до сего времени остаются личные донесения и показания эипажей, что ведет к переоценке результатов атаки и не дает возможности правильно определить недостатки в огневой и бомбардировочной подготовке штурмовиков.</w:t>
      </w:r>
    </w:p>
    <w:p w14:paraId="0E304C9C"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Многие командиры корпусов совершенно не привлекают командиров дивизий на поле боя для непосредственного управления своими частями и соединениями, а ограничиваются лишь выделением групп на поле боя по заранее составленному графику. Роль командира дивизии и его штаба в таком случае сводится лишь к контролю за выполнением корпусного графика.</w:t>
      </w:r>
    </w:p>
    <w:p w14:paraId="6DF7AEDF"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Некоторые командиры корпусов и дивизий очень легкомысленно используют радио для управления штурмовиками на поле боя, занимая эфир излишними разговорами, много болтают, нервируют летчиков, убивают инициативу ведущих при выполнении задачи. Проявляют при этом нетерпимое бескультурье, используя радио для сквернословия и грубости по адресу летчиков и командиров групп (особенно широко практикуется это командиром 1 шак).</w:t>
      </w:r>
    </w:p>
    <w:p w14:paraId="51FC95AD"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ВВС КА Маршал авиации тов. Новиков ПРИКАЗАЛ:</w:t>
      </w:r>
    </w:p>
    <w:p w14:paraId="6206E0A4"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Командующим В А и командирам штурмовых авиакорпусов указанные выше недочеты в применении и боевой работе штурмовой авиации изжить и впредь не допускать.</w:t>
      </w:r>
    </w:p>
    <w:p w14:paraId="3CE4E8C4"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При постановке задач строго выполнять требования «Руководства по боевым действиям ША ВВС КА» (глава 2-я, раздел второй).</w:t>
      </w:r>
    </w:p>
    <w:p w14:paraId="34C28457"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От командиров соединений и частей ША требую тщательной оценки воздушной обстановки, всестороннего изучения целей и принятия на каждый вылет обоснованного решения по наряду самолетов, бомбовой нагрузке и тактическим приемам воздействия на цель.</w:t>
      </w:r>
    </w:p>
    <w:p w14:paraId="255BCEFB"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Внедрить фотоконтроль за результатами бомбометания, доведя его в штурмовых авиаполках к 15.2.44 г. до 50 процентов вылетов.</w:t>
      </w:r>
    </w:p>
    <w:p w14:paraId="4E2030B3"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Тщательно подвергать осмотру и обследованию те объекты, по которым действовали штурмовики (после взятия их нашими войсками) с целью установления результатов бомбометания.</w:t>
      </w:r>
    </w:p>
    <w:p w14:paraId="43F921BD"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В целях обеспечения выполняемых задач командирам корпусов и дивизий систематически практиковать организацию разведки на себя и доразведку целей, подлежащих атаке.</w:t>
      </w:r>
    </w:p>
    <w:p w14:paraId="479019EA"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Установить в частях и подразделениях 1—2 наиболее точных и простых способов бомбометания с Ил-2 согласно имеющейся инструкции, ликвидировав существующее многообразие в методах бомбометания штурмовиков.</w:t>
      </w:r>
    </w:p>
    <w:p w14:paraId="7E3F0011"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Во всех боевых вылетах штурмовиков предусматривать активные меры по борьбе с ЗА противника, обязательно применяя в сфере огня ЗА противозенитный маневр по высоте, горизонтали и скорости.</w:t>
      </w:r>
    </w:p>
    <w:p w14:paraId="51F2991D"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Организуя взаимодействие ША с артиллерией, необходимо требовать огневых артиллерийских налетов на позиции ЗА противника в момент подхода групп штурмовиков к району цели.</w:t>
      </w:r>
    </w:p>
    <w:p w14:paraId="62E8E0FF"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зависимости от обстановки, характера цели и условий местности применять бреющий полет, широко используя внезапность атаки.</w:t>
      </w:r>
    </w:p>
    <w:p w14:paraId="1B0C9352"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При осуществлении штурмовой авиацией взаимодействия с наземными войсками командирам корпусов, отдельных дивизий находиться на ПНП или КП наземного командира, в интересах которого действуют штурмовики, и управлять с них подчиненными частями, добиваясь наилучшего их использования в соответствии с требованиями инструкции ВВС КА по организации вспомогательных пунктов управления авиацией.</w:t>
      </w:r>
    </w:p>
    <w:p w14:paraId="4C7C6DDB"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Командирам корпусов при постановке задач командирам дивизий категорически отказаться от постановки задач на вылет, обеспечивая им возможность проявления инициативы и управления своими частями и соединениями непосредственно на поле боя.</w:t>
      </w:r>
    </w:p>
    <w:p w14:paraId="5C8F45D2"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штаба ВВС КА генерал-полковник авиации ХУДЯКОВ</w:t>
      </w:r>
    </w:p>
    <w:p w14:paraId="7F766C44"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ГУБП ФА ВВС КА генерал-лейтенант авиации КОНДРАТЮК</w:t>
      </w:r>
    </w:p>
    <w:p w14:paraId="7D246AE1"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января 1944 г.</w:t>
      </w:r>
    </w:p>
    <w:p w14:paraId="79253571"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 346, оп. 138740, д. 7, лл. 20—23. Машинописная копия (21198).</w:t>
      </w:r>
    </w:p>
    <w:p w14:paraId="23802C0F" w14:textId="77777777" w:rsidR="006E11C9" w:rsidRPr="00070ADE" w:rsidRDefault="006E11C9" w:rsidP="00B56F90">
      <w:pPr>
        <w:spacing w:after="0" w:line="240" w:lineRule="auto"/>
        <w:jc w:val="both"/>
        <w:rPr>
          <w:rFonts w:ascii="Times New Roman" w:hAnsi="Times New Roman"/>
          <w:color w:val="000000" w:themeColor="text1"/>
          <w:sz w:val="16"/>
          <w:szCs w:val="16"/>
        </w:rPr>
      </w:pPr>
    </w:p>
    <w:p w14:paraId="017F0D8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января 1944 партизанами были сбиты еще два транспортных “Юнкерса”, о чем в документах соединения Вершигоры записано как о довольно заурядном событии. 10 февраля, уже на польской территории, части 1 -и УПД с боем взяли село Боровец и в очередной раз оказались на трассе полетов транспортников. Стрельба из пулеметов, установленных на специальные зенитные лафеты, и противотанковых ружей в тот день оказалась безрезультатной, так как немецкие самолеты летали на больших высотах. Но следующим утром погода резко испортилась, над селом повисла низкая облачность. Поэтому первый же самолет, вынужденный лететь над самой землей, сразу был сбит. Им оказался транспортный Me 323 “Гигант”, вывозивший раненых из Корсунь-Шевченковского котла. Самолет упал в поле за селом и сгорел вместе со всеми, кто был на его борту (9974).</w:t>
      </w:r>
    </w:p>
    <w:p w14:paraId="0237E00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49AEF9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36E596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D54C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января 1944 года было получено:</w:t>
      </w:r>
    </w:p>
    <w:p w14:paraId="31D49B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СТРОГО СЕКРЕТНО И ЛИЧНО ПОСЛАНИЕ ОТ г-на ЧЕРЧИЛЛЯ И ПРЕЗИДЕНТА РУЗВЕЛЬТА МАРШАЛУ СТАЛИНУ</w:t>
      </w:r>
    </w:p>
    <w:p w14:paraId="44547C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поводу передачи Советской России итальянских судов, о чем просило Советское Правительство на Московской конференции и о чем мы оба договорились с Вами в Тегеране, нами получен от Объединенного Штаба меморандум, который содержится в нашей телеграмме, непосредственно следующей за этой. По изложенным в этом меморандуме соображениям мы полагаем, что было бы опасно, с точки зрения интересов нас троих, в настоящее время производить какую-либо передачу судов или говорить что-либо об этом итальянцам, пока их сотрудничество имеет оперативное значение.</w:t>
      </w:r>
    </w:p>
    <w:p w14:paraId="783EF86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Тем не менее, если после детального рассмотрения вопроса Вы пожелаете, чтобы мы продолжали действовать, мы конфиденциально обратимся к маршалу Бадольо с целью заключения необходимых соглашений без того, чтобы они стали широко известны итальянским военно-морским силам. Если можно было бы достичь таким путем соглашения, то ему можно было бы предложить договориться с итальянскими военно-морскими властями о тех мероприятиях, которые были бы необходимы. </w:t>
      </w:r>
      <w:r w:rsidRPr="00070ADE">
        <w:rPr>
          <w:rFonts w:ascii="Times New Roman" w:hAnsi="Times New Roman"/>
          <w:color w:val="000000" w:themeColor="text1"/>
          <w:sz w:val="16"/>
          <w:szCs w:val="16"/>
        </w:rPr>
        <w:lastRenderedPageBreak/>
        <w:t>Эти мероприятия должны были бы заключаться в том, что намеченные к передаче итальянские суда были бы отправлены в подходящие порты союзников, где их приняли бы русские экипажи, и с ними они отплыли бы в русские северные порты — единственные открытые порты, где можно было бы произвести любое необходимое переоборудование.</w:t>
      </w:r>
    </w:p>
    <w:p w14:paraId="22CD14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мы весьма отчетливо сознаем опасность вышеуказанного образа действий по соображениям, которые мы Вам изложили, и мы поэтому решили предложить следующую альтернативу, которая с военной точки зрения обладает многими преимуществами.</w:t>
      </w:r>
    </w:p>
    <w:p w14:paraId="3091FD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Недавно в Соединенных Штатах было закончено переоборудование британского линейного корабля “Ройял Соврин”. Он оборудован радиолокационными установками для всех типов вооружения. Соединенные Штаты приблизительно в это же самое время предоставят один легкий крейсер.</w:t>
      </w:r>
    </w:p>
    <w:p w14:paraId="6BBC1A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Правительство Его Величества и Правительство Соединенных Штатов со своей стороны охотно готовы к тому, чтобы эти суда были приняты в британских портах советскими экипажами и отправлены в северные русские порты. Вы могли бы затем произвести те изменения, которые Вы сочтете необходимыми для арктических условий.</w:t>
      </w:r>
    </w:p>
    <w:p w14:paraId="2A47E0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Эти суда были бы временно переданы взаймы Советской России и плавали бы под советским флагом до тех пор, пока без ущерба для военных операций не смогут быть предоставлены итальянские суда.</w:t>
      </w:r>
    </w:p>
    <w:p w14:paraId="22783FC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Правительство Его Величества и Правительство Соединенных Штатов, каждое в отдельности, примут меры к тому, чтобы предоставить 20 000 тонн торговых судов, которые будут переданы в возможно скором времени и на тот срок, пока нельзя будет получить итальянские торговые суда без ущерба для намеченных важных операций “Оверлорд” и “Энвил” </w:t>
      </w:r>
      <w:r w:rsidRPr="00070ADE">
        <w:rPr>
          <w:rFonts w:ascii="Times New Roman" w:hAnsi="Times New Roman"/>
          <w:color w:val="000000" w:themeColor="text1"/>
          <w:sz w:val="16"/>
          <w:szCs w:val="16"/>
          <w:vertAlign w:val="superscript"/>
        </w:rPr>
        <w:t>62</w:t>
      </w:r>
      <w:r w:rsidRPr="00070ADE">
        <w:rPr>
          <w:rFonts w:ascii="Times New Roman" w:hAnsi="Times New Roman"/>
          <w:color w:val="000000" w:themeColor="text1"/>
          <w:sz w:val="16"/>
          <w:szCs w:val="16"/>
        </w:rPr>
        <w:t>.</w:t>
      </w:r>
    </w:p>
    <w:p w14:paraId="7A32D0B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Эта альтернатива обладает тем преимуществом, что Советское Правительство смогло бы использовать суда гораздо раньше, чем в том случае, если бы их все пришлось переоборудовать и приспосабливать к северным водам. Таким образом, если наши усилия в отношении турок приняли бы благоприятный оборот и Проливы стали бы открытыми, эти суда были бы готовы для операций на Черном море. Мы надеемся, что Вы весьма тщательно рассмотрите эту альтернативу, которая, по нашему мнению, во всех отношениях превосходит первое предложение.</w:t>
      </w:r>
    </w:p>
    <w:p w14:paraId="0A7EC5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ЧЕРЧИЛЛЬ РУЗВЕЛЬТ (7430).</w:t>
      </w:r>
    </w:p>
    <w:p w14:paraId="3C70FC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9263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января 1944 года было получено:</w:t>
      </w:r>
    </w:p>
    <w:p w14:paraId="6C0F8C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СТРОГО СЕКРЕТНО И ЛИЧНО ПОСЛАНИЕ ОТ г-на ЧЕРЧИЛЛЯ И ПРЕЗИДЕНТА РУЗВЕЛЬТА МАРШАЛУ СТАЛИНУ</w:t>
      </w:r>
    </w:p>
    <w:p w14:paraId="2B96A66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нашей предыдущей телеграммой. Наш Объединенный Штаб представил следующие определенные рекомендации с подкрепляющими данными:</w:t>
      </w:r>
    </w:p>
    <w:p w14:paraId="4D7B319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настоящее время является неподходящим для осуществления передачи захваченных итальянских судов ввиду предстоящих операций союзников;</w:t>
      </w:r>
    </w:p>
    <w:p w14:paraId="0A2B06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b) предписывать передачу в данное время — это значило бы изъять необходимые итальянские ресурсы, ныне используемые в происходящих операциях, и помешать получению нами помощи, оказываемой в настоящее время итальянскими ремонтными базами. Это могло бы привести к затоплению итальянских военных судов и к потере итальянского сотрудничества и, следовательно, подвергло бы риску “Оверлорд” и “Энвил”;</w:t>
      </w:r>
    </w:p>
    <w:p w14:paraId="2F9B20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c) передачу итальянских судов можно будет осуществить в самое ближайшее время, как только позволят операции.</w:t>
      </w:r>
    </w:p>
    <w:p w14:paraId="6D39219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ЧЕРЧИЛЛЬ РУЗВЕЛЬТ (7430).</w:t>
      </w:r>
    </w:p>
    <w:p w14:paraId="43CA65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ACD873" w14:textId="727432BD" w:rsidR="00A178F0" w:rsidRPr="00070ADE" w:rsidRDefault="00A178F0" w:rsidP="00B56F90">
      <w:pPr>
        <w:widowControl w:val="0"/>
        <w:autoSpaceDE w:val="0"/>
        <w:autoSpaceDN w:val="0"/>
        <w:adjustRightInd w:val="0"/>
        <w:spacing w:after="0" w:line="240" w:lineRule="auto"/>
        <w:jc w:val="both"/>
        <w:rPr>
          <w:rFonts w:ascii="Times New Roman" w:hAnsi="Times New Roman"/>
          <w:i/>
          <w:color w:val="000000" w:themeColor="text1"/>
          <w:sz w:val="16"/>
          <w:szCs w:val="16"/>
        </w:rPr>
      </w:pPr>
      <w:r w:rsidRPr="00070ADE">
        <w:rPr>
          <w:rFonts w:ascii="Times New Roman" w:hAnsi="Times New Roman"/>
          <w:i/>
          <w:color w:val="000000" w:themeColor="text1"/>
          <w:sz w:val="16"/>
          <w:szCs w:val="16"/>
        </w:rPr>
        <w:t>За ру</w:t>
      </w:r>
      <w:r w:rsidR="006E11C9" w:rsidRPr="00070ADE">
        <w:rPr>
          <w:rFonts w:ascii="Times New Roman" w:hAnsi="Times New Roman"/>
          <w:i/>
          <w:color w:val="000000" w:themeColor="text1"/>
          <w:sz w:val="16"/>
          <w:szCs w:val="16"/>
        </w:rPr>
        <w:t>б</w:t>
      </w:r>
      <w:r w:rsidRPr="00070ADE">
        <w:rPr>
          <w:rFonts w:ascii="Times New Roman" w:hAnsi="Times New Roman"/>
          <w:i/>
          <w:color w:val="000000" w:themeColor="text1"/>
          <w:sz w:val="16"/>
          <w:szCs w:val="16"/>
        </w:rPr>
        <w:t>ежом:</w:t>
      </w:r>
    </w:p>
    <w:p w14:paraId="6FF88BBE" w14:textId="77777777" w:rsidR="00A178F0" w:rsidRPr="00070ADE" w:rsidRDefault="00A178F0" w:rsidP="00B56F90">
      <w:pPr>
        <w:widowControl w:val="0"/>
        <w:autoSpaceDE w:val="0"/>
        <w:autoSpaceDN w:val="0"/>
        <w:adjustRightInd w:val="0"/>
        <w:spacing w:after="0" w:line="240" w:lineRule="auto"/>
        <w:jc w:val="both"/>
        <w:rPr>
          <w:rFonts w:ascii="Times New Roman" w:hAnsi="Times New Roman"/>
          <w:i/>
          <w:color w:val="000000" w:themeColor="text1"/>
          <w:sz w:val="16"/>
          <w:szCs w:val="16"/>
        </w:rPr>
      </w:pPr>
    </w:p>
    <w:p w14:paraId="2D15DB4E"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января</w:t>
      </w:r>
      <w:r w:rsidRPr="00070ADE">
        <w:rPr>
          <w:rFonts w:ascii="Times New Roman" w:hAnsi="Times New Roman"/>
          <w:color w:val="000000" w:themeColor="text1"/>
          <w:sz w:val="16"/>
          <w:szCs w:val="16"/>
        </w:rPr>
        <w:t xml:space="preserve"> в 1944 году первый полёт учебного истребителя «Fw.190s» («Fw.190a-8»/»U1») (компания «Focke-Wulf», Германия). Для переоборудования в двухместный (тандемный) вариант были взяты три «Fw.190a-8». Вторая кабина размещалась сразу за первой на месте радиостанции и другого оборудования. Задняя часть фюзеляжа была приподнята, обе кабины были закрыты одним фонарем. Фонарь передней открывался направо, а задней (инструкторской) - сдвигался назад. В задней кабине устанавливалось простейшее оборудование и приборы. Переоборудовать таким образом можно было любой самолет серии А (15018).</w:t>
      </w:r>
    </w:p>
    <w:p w14:paraId="3A8B0CBD" w14:textId="77777777" w:rsidR="00A178F0" w:rsidRPr="00070ADE" w:rsidRDefault="00A178F0" w:rsidP="00B56F90">
      <w:pPr>
        <w:spacing w:after="0" w:line="240" w:lineRule="auto"/>
        <w:jc w:val="both"/>
        <w:rPr>
          <w:rFonts w:ascii="Times New Roman" w:hAnsi="Times New Roman"/>
          <w:color w:val="000000" w:themeColor="text1"/>
          <w:sz w:val="16"/>
          <w:szCs w:val="16"/>
        </w:rPr>
      </w:pPr>
    </w:p>
    <w:p w14:paraId="6ECB7CC9"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января 1944 в результате рейд 55 немецких самолетах тонет британский эсминец HMS Janus и наносится ущерб эсминцу HMS Джервис с использованием Fritz X – бомб с радионаведением (20373).</w:t>
      </w:r>
    </w:p>
    <w:p w14:paraId="0F7F1C3D" w14:textId="77777777" w:rsidR="006E11C9" w:rsidRPr="00070ADE" w:rsidRDefault="006E11C9" w:rsidP="00B56F90">
      <w:pPr>
        <w:spacing w:after="0" w:line="240" w:lineRule="auto"/>
        <w:jc w:val="both"/>
        <w:rPr>
          <w:rFonts w:ascii="Times New Roman" w:hAnsi="Times New Roman"/>
          <w:color w:val="000000" w:themeColor="text1"/>
          <w:sz w:val="16"/>
          <w:szCs w:val="16"/>
        </w:rPr>
      </w:pPr>
    </w:p>
    <w:p w14:paraId="03747A7E"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января</w:t>
      </w:r>
      <w:r w:rsidRPr="00070ADE">
        <w:rPr>
          <w:rFonts w:ascii="Times New Roman" w:hAnsi="Times New Roman"/>
          <w:color w:val="000000" w:themeColor="text1"/>
          <w:sz w:val="16"/>
          <w:szCs w:val="16"/>
        </w:rPr>
        <w:t xml:space="preserve"> в 1944 году англо-американское наступление в районе Анцио захлебнулось (15018).</w:t>
      </w:r>
    </w:p>
    <w:p w14:paraId="268BE05C" w14:textId="77777777" w:rsidR="00A178F0" w:rsidRPr="00070ADE" w:rsidRDefault="00A178F0" w:rsidP="00B56F90">
      <w:pPr>
        <w:spacing w:after="0" w:line="240" w:lineRule="auto"/>
        <w:jc w:val="both"/>
        <w:rPr>
          <w:rFonts w:ascii="Times New Roman" w:hAnsi="Times New Roman"/>
          <w:color w:val="000000" w:themeColor="text1"/>
          <w:sz w:val="16"/>
          <w:szCs w:val="16"/>
        </w:rPr>
      </w:pPr>
    </w:p>
    <w:p w14:paraId="5F2ADFD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AD9503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E5ED3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января 1944 был утвержден отчет о заводских испытаниях Як-3 ВК107А (300,5).</w:t>
      </w:r>
    </w:p>
    <w:p w14:paraId="08C974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73FFDD" w14:textId="77777777" w:rsidR="00961B62" w:rsidRPr="00070ADE" w:rsidRDefault="00961B62" w:rsidP="00B56F90">
      <w:pPr>
        <w:pStyle w:val="ae"/>
        <w:shd w:val="clear" w:color="auto" w:fill="FFFFFF"/>
        <w:spacing w:before="0" w:after="0"/>
        <w:jc w:val="both"/>
        <w:rPr>
          <w:color w:val="000000" w:themeColor="text1"/>
          <w:sz w:val="16"/>
          <w:szCs w:val="16"/>
        </w:rPr>
      </w:pPr>
      <w:r w:rsidRPr="00070ADE">
        <w:rPr>
          <w:color w:val="000000" w:themeColor="text1"/>
          <w:sz w:val="16"/>
          <w:szCs w:val="16"/>
        </w:rPr>
        <w:t>24 января и 9 марта 1944 Б.Н. Кудрин со вершил на БИ № 7 с РД-1 два полета продолжительностью по 33 мин.</w:t>
      </w:r>
    </w:p>
    <w:p w14:paraId="042B8F4A" w14:textId="77777777" w:rsidR="00961B62" w:rsidRPr="00070ADE" w:rsidRDefault="00961B62" w:rsidP="00B56F90">
      <w:pPr>
        <w:pStyle w:val="ae"/>
        <w:shd w:val="clear" w:color="auto" w:fill="FFFFFF"/>
        <w:spacing w:before="0" w:after="0"/>
        <w:jc w:val="both"/>
        <w:rPr>
          <w:color w:val="000000" w:themeColor="text1"/>
          <w:sz w:val="16"/>
          <w:szCs w:val="16"/>
        </w:rPr>
      </w:pPr>
      <w:r w:rsidRPr="00070ADE">
        <w:rPr>
          <w:color w:val="000000" w:themeColor="text1"/>
          <w:sz w:val="16"/>
          <w:szCs w:val="16"/>
        </w:rPr>
        <w:t>На этом самолете, как и на всех оставшихся после отказа от Двигателя Л.С. Душкина, вооружение было заменено весовы ми имитаторами. Все они отличались от первой партии само летов БИ увеличенным рулем поворота и уменьшенной пло Щ подфюзеляжного фальшкиля.</w:t>
      </w:r>
    </w:p>
    <w:p w14:paraId="1624C0BC" w14:textId="77777777" w:rsidR="00961B62" w:rsidRPr="00070ADE" w:rsidRDefault="00961B62"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результате переделок хвостового оперения и снятия рас чалок во время полетов на БИ № 7 наблюдалась тряска хвос товой части фюзеляжа при скорости 250...270 км/ч. Этот самолет временно отстранили от полетов. Опыты по определе нию причин тряски продолжались на БИ № 5</w:t>
      </w:r>
    </w:p>
    <w:p w14:paraId="1B029E47" w14:textId="77777777" w:rsidR="00961B62" w:rsidRPr="00070ADE" w:rsidRDefault="00961B62" w:rsidP="00B56F90">
      <w:pPr>
        <w:pStyle w:val="ae"/>
        <w:shd w:val="clear" w:color="auto" w:fill="FFFFFF"/>
        <w:spacing w:before="0" w:after="0"/>
        <w:jc w:val="both"/>
        <w:rPr>
          <w:color w:val="000000" w:themeColor="text1"/>
          <w:sz w:val="16"/>
          <w:szCs w:val="16"/>
        </w:rPr>
      </w:pPr>
      <w:r w:rsidRPr="00070ADE">
        <w:rPr>
          <w:color w:val="000000" w:themeColor="text1"/>
          <w:sz w:val="16"/>
          <w:szCs w:val="16"/>
        </w:rPr>
        <w:t>Этот самолет привели в полное соответствие с БИ № 7: ус тановили имитаторы убранных лыж (прижатых к корпусу) и зализы крыла с корпусом, снятые с самолета БИ № 7. Под фюзеляжем прикрепили имитаторы обтекателей дуговых за пальных устройств ЖРД A.M. Исаева РД-1 и сняли кок хвос тового обтекателя. В шести полетах тряска не была обнару жена, но из-за того, что все же выяснить причину не удалось, полеты на БИ № 7 прекратили (19586).</w:t>
      </w:r>
    </w:p>
    <w:p w14:paraId="4E7EC330" w14:textId="77777777" w:rsidR="00961B62" w:rsidRPr="00070ADE" w:rsidRDefault="00961B62" w:rsidP="00B56F90">
      <w:pPr>
        <w:pStyle w:val="ae"/>
        <w:shd w:val="clear" w:color="auto" w:fill="FFFFFF"/>
        <w:spacing w:before="0" w:after="0"/>
        <w:jc w:val="both"/>
        <w:rPr>
          <w:color w:val="000000" w:themeColor="text1"/>
          <w:sz w:val="16"/>
          <w:szCs w:val="16"/>
        </w:rPr>
      </w:pPr>
    </w:p>
    <w:p w14:paraId="6E690421" w14:textId="77777777" w:rsidR="00D2699C" w:rsidRPr="00C94B78" w:rsidRDefault="00D2699C"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24 января и 9 марта 1944 г. Б.Н. Кудрин со</w:t>
      </w:r>
      <w:r w:rsidRPr="00C94B78">
        <w:rPr>
          <w:rFonts w:ascii="Times New Roman" w:hAnsi="Times New Roman"/>
          <w:color w:val="0070C0"/>
          <w:sz w:val="16"/>
          <w:szCs w:val="16"/>
        </w:rPr>
        <w:softHyphen/>
        <w:t>вершил на БИ № 7 с двигателем РД-1 A.M. Исаева два полета продолжительностью по 33 мин. На этом самолете, как и на всех оставшихся после отказа от Двигателя Л.С. Душкина, вооружение было заменено весовы</w:t>
      </w:r>
      <w:r w:rsidRPr="00C94B78">
        <w:rPr>
          <w:rFonts w:ascii="Times New Roman" w:hAnsi="Times New Roman"/>
          <w:color w:val="0070C0"/>
          <w:sz w:val="16"/>
          <w:szCs w:val="16"/>
        </w:rPr>
        <w:softHyphen/>
        <w:t>ми имитаторами. Все они отличались от первой партии само</w:t>
      </w:r>
      <w:r w:rsidRPr="00C94B78">
        <w:rPr>
          <w:rFonts w:ascii="Times New Roman" w:hAnsi="Times New Roman"/>
          <w:color w:val="0070C0"/>
          <w:sz w:val="16"/>
          <w:szCs w:val="16"/>
        </w:rPr>
        <w:softHyphen/>
        <w:t>летов БИ увеличенным рулем поворота и уменьшенной площадью подфюзеляжного фальшкиля.</w:t>
      </w:r>
    </w:p>
    <w:p w14:paraId="4DD054A8" w14:textId="77777777" w:rsidR="00D2699C" w:rsidRPr="00C94B78" w:rsidRDefault="00D2699C"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результате переделок хвостового оперения и снятия рас</w:t>
      </w:r>
      <w:r w:rsidRPr="00C94B78">
        <w:rPr>
          <w:rFonts w:ascii="Times New Roman" w:hAnsi="Times New Roman"/>
          <w:color w:val="0070C0"/>
          <w:sz w:val="16"/>
          <w:szCs w:val="16"/>
        </w:rPr>
        <w:softHyphen/>
        <w:t>чалок во время полетов на БИ № 7 наблюдалась тряска хвос</w:t>
      </w:r>
      <w:r w:rsidRPr="00C94B78">
        <w:rPr>
          <w:rFonts w:ascii="Times New Roman" w:hAnsi="Times New Roman"/>
          <w:color w:val="0070C0"/>
          <w:sz w:val="16"/>
          <w:szCs w:val="16"/>
        </w:rPr>
        <w:softHyphen/>
        <w:t>товой части фюзеляжа при скорости 250...270 км/ч. Этот самолет временно отстранили от полетов. Опыты по определению причин тряски продолжались на БИ № 5.</w:t>
      </w:r>
    </w:p>
    <w:p w14:paraId="4C4C95CF" w14:textId="77777777" w:rsidR="00D2699C" w:rsidRPr="00C94B78" w:rsidRDefault="00D2699C"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Этот самолет привели в полное соответствие с БИ № 7: ус</w:t>
      </w:r>
      <w:r w:rsidRPr="00C94B78">
        <w:rPr>
          <w:rFonts w:ascii="Times New Roman" w:hAnsi="Times New Roman"/>
          <w:color w:val="0070C0"/>
          <w:sz w:val="16"/>
          <w:szCs w:val="16"/>
        </w:rPr>
        <w:softHyphen/>
        <w:t>тановили имитаторы убранных лыж (прижатых к корпусу) и зализы крыла с корпусом, снятые с самолета БИ № 7. Под фюзеляжем прикрепили имитаторы обтекателей дуговых за</w:t>
      </w:r>
      <w:r w:rsidRPr="00C94B78">
        <w:rPr>
          <w:rFonts w:ascii="Times New Roman" w:hAnsi="Times New Roman"/>
          <w:color w:val="0070C0"/>
          <w:sz w:val="16"/>
          <w:szCs w:val="16"/>
        </w:rPr>
        <w:softHyphen/>
        <w:t>пальных устройств ЖРД A.M. Исаева РД-1 и сняли кок хвос</w:t>
      </w:r>
      <w:r w:rsidRPr="00C94B78">
        <w:rPr>
          <w:rFonts w:ascii="Times New Roman" w:hAnsi="Times New Roman"/>
          <w:color w:val="0070C0"/>
          <w:sz w:val="16"/>
          <w:szCs w:val="16"/>
        </w:rPr>
        <w:softHyphen/>
        <w:t>тового обтекателя. В шести полетах тряска не была обнару</w:t>
      </w:r>
      <w:r w:rsidRPr="00C94B78">
        <w:rPr>
          <w:rFonts w:ascii="Times New Roman" w:hAnsi="Times New Roman"/>
          <w:color w:val="0070C0"/>
          <w:sz w:val="16"/>
          <w:szCs w:val="16"/>
        </w:rPr>
        <w:softHyphen/>
        <w:t>жена, но из-за того, что все же выяснить причину не удалось, полеты на БИ № 7 прекратили (24920).</w:t>
      </w:r>
    </w:p>
    <w:p w14:paraId="311C0BCE" w14:textId="77777777" w:rsidR="00D2699C" w:rsidRPr="00C94B78" w:rsidRDefault="00D2699C" w:rsidP="00B56F90">
      <w:pPr>
        <w:spacing w:after="0" w:line="240" w:lineRule="auto"/>
        <w:jc w:val="both"/>
        <w:rPr>
          <w:rFonts w:ascii="Times New Roman" w:hAnsi="Times New Roman"/>
          <w:color w:val="0070C0"/>
          <w:sz w:val="16"/>
          <w:szCs w:val="16"/>
        </w:rPr>
      </w:pPr>
    </w:p>
    <w:p w14:paraId="7012E785" w14:textId="77777777" w:rsidR="00961B62" w:rsidRPr="00070ADE" w:rsidRDefault="00961B6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января 1944 года Приказом Наркома авиационной промышленности СССР № 48 в Таганроге на териитории завода № 31 были организованы ремонтные заводы 6-го Главного Управления. В их числе был и таганрогский завод, получивший название «завод № 86». В этот Главк вошли тогда те заводы, которые были на временно оккупированной фашистами территории. В их числе были заводы № 87 в Ростове, № 64 в Воронеже, № 473 в Киеве и т.д. В августе 1943 года фашисты взорвали Главный корпус, морской ангар, лодочный корпус, экспедицию, цех отделки, сожгли электроцех, заводоуправление, пожарное депо, поликлинику, фабрику-кухню и другие помещения завода. Большой ущерб был нанесен жилому фонда самолетостроителей.</w:t>
      </w:r>
    </w:p>
    <w:p w14:paraId="2048C66A" w14:textId="77777777" w:rsidR="00961B62" w:rsidRPr="00070ADE" w:rsidRDefault="00961B6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условиях крайних трудностей, при отсутствии энергетической базы, стягивая на предприятие, сохранившееся в городе старое универсальное оборудование и годный к использованию инструмент, разыскивая и вовлекая в работу, бывшие кадры рабочих небольшой коллектив приступил к восстановлению завода. Уже через несколько недель, в отдельных сохранившихся зданиях заводчане приступили к ремонту техники для фронта.</w:t>
      </w:r>
    </w:p>
    <w:p w14:paraId="22F095F8" w14:textId="444C7B31" w:rsidR="00961B62" w:rsidRPr="00070ADE" w:rsidRDefault="00961B6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на 1 января 1944 года на заводе было всего 34 единицы металлорежущего оборудования, но оно все требовало капитального ремонта. Не было нефти, не было электроэнергии, не было водоснабжения, все начинали почти с нуля. На начало 1944 года на заводе уже трудились 1311 человек, в т.ч. 504 женщины.</w:t>
      </w:r>
      <w:r w:rsidR="00B643A8" w:rsidRPr="00070ADE">
        <w:rPr>
          <w:rFonts w:ascii="Times New Roman" w:hAnsi="Times New Roman"/>
          <w:color w:val="000000" w:themeColor="text1"/>
          <w:sz w:val="16"/>
          <w:szCs w:val="16"/>
        </w:rPr>
        <w:t xml:space="preserve"> </w:t>
      </w:r>
    </w:p>
    <w:p w14:paraId="02B60D2F" w14:textId="4BA5905F" w:rsidR="00961B62" w:rsidRPr="00070ADE" w:rsidRDefault="00961B6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документам Чрезвычайной комиссии по расследованию злодеяний фашистов ущерб, причиненный заводу, составил свыше 137 миллионов рублей. 15 августа 1944 года на заводе специальной комиссией из семи человек во главе с заместителем директора завода А.Н. Самоделковым составлен акт об ущербе, причиненном заводу немецко-фашистскими оккупантами и его пособниками.</w:t>
      </w:r>
      <w:r w:rsidR="00B643A8" w:rsidRPr="00070ADE">
        <w:rPr>
          <w:rFonts w:ascii="Times New Roman" w:hAnsi="Times New Roman"/>
          <w:color w:val="000000" w:themeColor="text1"/>
          <w:sz w:val="16"/>
          <w:szCs w:val="16"/>
        </w:rPr>
        <w:t xml:space="preserve"> </w:t>
      </w:r>
    </w:p>
    <w:p w14:paraId="1D247F7F" w14:textId="77777777" w:rsidR="00961B62" w:rsidRPr="00070ADE" w:rsidRDefault="00961B6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Уже в годы войны и разрухи в оставшихся цехах шли ремонтные работы, а многие заводчане в составе фронтовых авиаремонтных бригад ремонтировали боевые самолеты. Так, только за период с 1 сентября 1943 г. по 1 января 1944 г. на заводе было отремонтировано 13 самолетов У-2, Р-5, ТБ-3, Р-6, Як-7, ПС-7 . Силами 31 ремонтно-полевых бригад, в их составе трудились 192 кадровых работника завода отремонтировано непосредственно во фронтовых мастерских ВВС Красной Армии - 935 боевых самолетов Ил-2, Як-1, Як-3, Як-7, Як-9, У-2 и др. (18580).</w:t>
      </w:r>
    </w:p>
    <w:p w14:paraId="1C3BE031" w14:textId="77777777" w:rsidR="00961B62" w:rsidRPr="00070ADE" w:rsidRDefault="00961B62" w:rsidP="00B56F90">
      <w:pPr>
        <w:spacing w:after="0" w:line="240" w:lineRule="auto"/>
        <w:jc w:val="both"/>
        <w:rPr>
          <w:rFonts w:ascii="Times New Roman" w:hAnsi="Times New Roman"/>
          <w:color w:val="000000" w:themeColor="text1"/>
          <w:sz w:val="16"/>
          <w:szCs w:val="16"/>
        </w:rPr>
      </w:pPr>
    </w:p>
    <w:p w14:paraId="401472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января 1944 года П. Дементьев писал письмо управляющему делами Совнарокма Я.Е. Чадаеву</w:t>
      </w:r>
    </w:p>
    <w:p w14:paraId="6B8C67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 передаче НК текстиля бывш. Киевского экспериментального завода сообщаю, что согласно Постановлению ГКО № 4922 от 11 января 1944 года НКАП </w:t>
      </w:r>
      <w:r w:rsidRPr="00070ADE">
        <w:rPr>
          <w:rFonts w:ascii="Times New Roman" w:hAnsi="Times New Roman"/>
          <w:color w:val="000000" w:themeColor="text1"/>
          <w:sz w:val="16"/>
          <w:szCs w:val="16"/>
        </w:rPr>
        <w:lastRenderedPageBreak/>
        <w:t>восстанавливает этот завод (завод № 483 НКАП) для организации на нем ремонта самолетных агрегатов (8933).</w:t>
      </w:r>
    </w:p>
    <w:p w14:paraId="045DCD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9C10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января 1944 г. на допросе Варнбрунна - пленного немецкого ефрейтора, который сообщил, что ТРД с тягой 600 кг прошел испытания в воздухе - присутствовали генерал-майоры авиации Левин и Болховитинов, а позднее - Стечкин и Люлька (9018).</w:t>
      </w:r>
    </w:p>
    <w:p w14:paraId="07401B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725519"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A3782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86765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января 1944 вышло Постановление ГКО № 5021 О балансах и планах распределения проката черных металлов, труб, метизов, чугуна, ферросплавов, твердых сплавов, доменного угля и металлургического кокса на I квартал 1944 г. РГАНИР, Фонд ГКО, д. 197, лл. 6-9,10-125 (11012).</w:t>
      </w:r>
    </w:p>
    <w:p w14:paraId="2775994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58523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января 1944 вышло Распоряжение ГКО № 5022. О мобилизации 1 тыс. военнообязанных в Армянской ССР, не годных к строевой службе, на строительство Ереванского завода № 447 HКАП и сахарного завода в Амамлах. РГАНИР, Фонд ГКО, д. 197, лл. 126 (11012).</w:t>
      </w:r>
    </w:p>
    <w:p w14:paraId="3FA87F9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E33A14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января Постановление ГКО № 5023 [О помощи воинских частей гарнизонов торфопредприятиям в расчистке ж.-д. путей от снежных заносов.] (7178, 127,128-129).</w:t>
      </w:r>
    </w:p>
    <w:p w14:paraId="5DBF812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C9A263"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06769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530CBB"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24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4F1C364D"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Ленинградского фронта, продолжая успешноенаступление, 24 января овладели городом Пушкин (Царское Село), городом Павловск (Слуцк), а также с боями заняли более 40 других населённых пунктов и среди них Ознаково, Колодези, Хюльгюзи, Новое Ермолино, Старое Ермолино, Смольково, Вохоново, Педлино, Салези, Большое Резино, Сокколово, Романовка, Горки, Покровская, Гуккалово, Попова. Наши войска перерезали железную дорогу Гатчина—Нарва.</w:t>
      </w:r>
    </w:p>
    <w:p w14:paraId="085C160C"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24 января северо-западнее Тосно наши войска с боями продвигались вперёд, заняли несколько населённых пунктов, среди них крупный населённый пункт Ульяновка, превращённый немцами в сильный узел обороны, и железнодорожный узел Саблино на железнодорожной магистрали Ленинград—Москва.</w:t>
      </w:r>
    </w:p>
    <w:p w14:paraId="4FC67751"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Новгорода наши войска вели наступательные бои, в ходе которых заняли населённые пункты Заполье, Стегачево, Изори, Кшентицы, Богданово, Большая Видогощь, Стехово, Сутоки, Ларешниково, Орлово, Сидорково, Большое И Малое Подсонье, Сельцо, Верховье, Спаспископец, Горошково, Заболотье, Курицко, Сергово и железнодорожные станции Трясово, Борок.</w:t>
      </w:r>
    </w:p>
    <w:p w14:paraId="0BDC37AB"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Восточнее Винницы наши войска отбивали атаки крупных сил пехоты и танков противника и нанесли ему большие потери в живой силе и технике.</w:t>
      </w:r>
    </w:p>
    <w:p w14:paraId="1A505B6A"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в ряде пунктов шли бои местного значения.</w:t>
      </w:r>
    </w:p>
    <w:p w14:paraId="17CF9F24"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23 января наши войска на всех фронтах подбили и уничтожили 46 немецких танков. В воздушных боях и огнём зенитной артиллерии сбито 45 самолётов противника.</w:t>
      </w:r>
    </w:p>
    <w:p w14:paraId="1318F34F"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Ленинградского фронта продолжали успешное наступление. Наши пехотинцы, танкисты и артиллеристы, преодолевая сильный огонь противника, с юго-запада обошли город Пушкин (Царское Село) и город Павловск (Слуцк). Другие советские части стремительно атаковали противника с фронта. В результате ожесточённых боёв сопротивление немцев было сломлено. Гитлеровцы, засевшие в долговременных укреплениях, не выдержали ударов наших войск и начали в беспорядке отступать. Овладев городами Пушкин и Павловск, наши части захватили много орудий, в том числе дальнобойных, крупные склады с боеприпасами и военным имуществом. Противник понёс большие потери в живой силе. На другом участке части Н-скогосоединения, успешно продвигаясь вперёд, перерезали железную дорогу Гатчина-Нарва. Части противника, упорно защищавшие подступы к этой дороге, были разгромлены. Уничтожено до 1.500 немецких солдат и офицеров. Захвачено 10 танков, 27 орудий, 60 автомашин и другие трофеи.</w:t>
      </w:r>
    </w:p>
    <w:p w14:paraId="3F3ADF43"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Тосно наши подвижные части, обходя узлы сопротивления противника, прорываются вперёд и наносят удары по его путям сообщения. Под угрозой окружения немцы поспешно отступают, неся большие потери в людях и технике. В бою за железнодорожный узел Саблино наши бойцы уничтожили свыше батальона немецкой пехоты и захватили большие трофеи. В другом районе, отступая, гитлеровцы бросили 13 исправных орудий, 17 миномётов, много платформ и вагонов с военными грузами, артиллерийский склад и мощную радиостанцию. Значительное количество немцев взято в плен.</w:t>
      </w:r>
    </w:p>
    <w:p w14:paraId="5093E4B5"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Новгорода наши войска продолжали вести наступательные бои. Части Н-ского соединения прорвали оборону противника на реке Веронда и, развивая успех, овладели рядом населённых пунктов. На другом участке советские войска, с боями продвигаясь вперёд, полностью очистили от немцев полуостров между озером Ильмень и рекой Веряжа. В течение дня уничтожено до полка немецкой пехоты, 7 танков, 3 самоходных орудия, 11 артиллерийских и миномётных батарей противника. Захвачено много трофеев и пленных.</w:t>
      </w:r>
    </w:p>
    <w:p w14:paraId="54B9C5A6"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Восточнее Винницы крупные силы танков и пехоты противника атаковали наши позиции. Завязался ожесточённый бой, в ходе которого один населённый пункт несколько раз переходил из рук в руки. На поле боя осталось до 500 вражеских трупов. Наши артиллеристы и бронебойщики подбили и сожгли свыше 30 танков, 6 самоходных орудий, 2 бронемашины и 9 бронетранспортёров противника.</w:t>
      </w:r>
    </w:p>
    <w:p w14:paraId="75E05F99"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Барановичской области, в течение месяца пустил под откос 12 немецких воинских эшелонов. В результате крушений разбито иповреждено 10 паровозов, 9 вагонов с солдатами, 4 платформы с танками, 7 вагоновс боеприпасами и несколько десятков вагонов с военными грузами. Партизаны этогоже отряда подорвали на минах 37 грузовых автомашин и сожгли два склада с военными муществом противника.</w:t>
      </w:r>
    </w:p>
    <w:p w14:paraId="3BC058CF"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солдат 87 противотанкового дивизиона Петр Ераб рассказал: «Наш дивизион был придан 213 пехотной дивизии, находившейся во втором эшелоне. Утром началась мощная артиллерийская канонада. Вначале мы полагали, что это стреляет немецкая артиллерия. Но через час со всех сторон показались бегущие в беспорядке солдаты, преследуемые русскими танками. Командир 213 пехотной дивизии пытался организовать оборону, но из этого ничего не вышло. Солдаты бежали, куда глаза глядят. Наш дивизион также поддался общей панике. Видя, что сопротивление бесполезно, я с группой солдат сдался в плен». Пленный телефонист штабной роты 318 полка той же дивизии обер-ефрейтор Вальтер Браташ сообщил: «Наш полк не выдержал натиска русских и в беспорядке отступил. Через несколько часов командование прислало нам на помощь 25 танков, но 12 из них сразу же были подбиты русскими. Полк, отступая, за два дня потерял более половины своего личного состава» (15019).</w:t>
      </w:r>
    </w:p>
    <w:p w14:paraId="5D1BCA26" w14:textId="77777777" w:rsidR="00A178F0" w:rsidRPr="00070ADE" w:rsidRDefault="00A178F0" w:rsidP="00B56F90">
      <w:pPr>
        <w:spacing w:after="0" w:line="240" w:lineRule="auto"/>
        <w:jc w:val="both"/>
        <w:rPr>
          <w:rFonts w:ascii="Times New Roman" w:hAnsi="Times New Roman"/>
          <w:color w:val="000000" w:themeColor="text1"/>
          <w:sz w:val="16"/>
          <w:szCs w:val="16"/>
        </w:rPr>
      </w:pPr>
    </w:p>
    <w:p w14:paraId="0E27028D"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24 января</w:t>
      </w:r>
      <w:r w:rsidRPr="00070ADE">
        <w:rPr>
          <w:rFonts w:ascii="Times New Roman" w:hAnsi="Times New Roman"/>
          <w:color w:val="000000" w:themeColor="text1"/>
          <w:sz w:val="16"/>
          <w:szCs w:val="16"/>
        </w:rPr>
        <w:t xml:space="preserve"> в 1944 году войска 1-го (генерал армии Н.Ф.Ватутин) и 2-го (генерал армии И.С.Конев) Украинских фронтов начали Корсунь-Шевченковскую наступательную операцию- В результате операции, завершившейся 17 февраля 1944 г., ликвидирована группировка немецко-фашистских войск на Корсунь-Шевченковском выступе, убито и ранено около 55 тысяч, взято в плен более 18 тысяч вражеских солдат (15019).</w:t>
      </w:r>
    </w:p>
    <w:p w14:paraId="0999A089" w14:textId="77777777" w:rsidR="00A178F0" w:rsidRPr="00070ADE" w:rsidRDefault="00A178F0" w:rsidP="00B56F90">
      <w:pPr>
        <w:spacing w:after="0" w:line="240" w:lineRule="auto"/>
        <w:jc w:val="both"/>
        <w:rPr>
          <w:rFonts w:ascii="Times New Roman" w:hAnsi="Times New Roman"/>
          <w:color w:val="000000" w:themeColor="text1"/>
          <w:sz w:val="16"/>
          <w:szCs w:val="16"/>
        </w:rPr>
      </w:pPr>
    </w:p>
    <w:p w14:paraId="65B05BE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января 1944 началась Корсунь-Шевченковская наступательная операция советских войск (4962).</w:t>
      </w:r>
    </w:p>
    <w:p w14:paraId="39C3306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246D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C 24 января по 17 февраля 1944 прошла Корсунь-Шевченковская операция 1 и 2 УФ. Окружили 9 пехотных и 1 танковую дивизии и моторизованную бригаду и 17 февраля вблизи Шендеровки полностью разбили. Немцы потеряли 73 тыс., в т.ч. 18.2 тыс. пленных (2438,326).</w:t>
      </w:r>
    </w:p>
    <w:p w14:paraId="60840D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67.3% вылетов было затрачено на поддержку прорыва обороны, окружения противника, отражение контрударов на внешнем и внутреннем фронтах и на воздушную блокаду (518,181).</w:t>
      </w:r>
    </w:p>
    <w:p w14:paraId="450CB8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преследовании отступающих войск авиация была перенацелена на дезорганизацию отхода и уничтожение войск и боевой техники в сотрудничестве фронтовой авиации и АДД (518,163).</w:t>
      </w:r>
    </w:p>
    <w:p w14:paraId="140D0C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326 нбад 2ВА перевезла на По-2 с 8 по 16 февраля 1944 2 и 6 ТА 49 т бензина, 65 т боеприпасов, 525 снаряда для Катюш совершив 822 вылета (518,167).</w:t>
      </w:r>
    </w:p>
    <w:p w14:paraId="53A4E2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время Корсунь-Шевченковской операции соединения 5ВА выполнили на борьбу с контрударной группировкой на внешнем фронте окружения в феврале 1944 1400 вылетов (518,174).</w:t>
      </w:r>
    </w:p>
    <w:p w14:paraId="779D2E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штаба 53А г И.И.Воробьев отмечал: "Меткими массированными ударами ш совместно с артиллерией было остановлено наступление противника." (518,174).</w:t>
      </w:r>
    </w:p>
    <w:p w14:paraId="641C63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Противник широко использовал авиацию (транспортные самлолеты и бомбардировщики) для снабжения окруженных войск и особое значение имела воздушная блокада окруженного противника (518,174).</w:t>
      </w:r>
    </w:p>
    <w:p w14:paraId="30177AB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воздушной блокады противника привлекли авиацию ПВО (518,175).</w:t>
      </w:r>
    </w:p>
    <w:p w14:paraId="0FCBA5B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Блокирование выполняла 2ВА и 10АК ПВО и машины уничтожали в 4 зонах. С транспортами боролись на аэродромах Умань, Винница и Ново-Украинка, т.е. за внешним фронтом окружения, на 8 посадочных площадках в зоне окружения и в воздухе (518,179).</w:t>
      </w:r>
    </w:p>
    <w:p w14:paraId="12A1DC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операции на уничтожение окруженной группировки проивника было затрачено 18-19% самолето-вылетов (518,181).</w:t>
      </w:r>
    </w:p>
    <w:p w14:paraId="668DB9A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1959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24-25 января 1944 под Корсунь-Шевченковским началось наступление ударной группировки 2УФ (340,163).</w:t>
      </w:r>
    </w:p>
    <w:p w14:paraId="758B3EB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F0F92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января 1944 советскими войсками освобождены под Ленинградом города Пушкин и Павловск (4962).</w:t>
      </w:r>
    </w:p>
    <w:p w14:paraId="2C93E3F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9DC350"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7F5AB7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4117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января 1944 года было получено:</w:t>
      </w:r>
    </w:p>
    <w:p w14:paraId="1A3EFE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СТРОГО СЕКРЕТНО И ЛИЧНО ПОСЛАНИЕ ОТ г-на ЧЕРЧИЛЛЯ МАРШАЛУ СТАЛИНУ</w:t>
      </w:r>
    </w:p>
    <w:p w14:paraId="7DAB632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Мы отправляем немедленно Посла Кларка Керра обратно к Вам для того, чтобы он мог разъяснить ряд трудностей, которые, хотя и кажутся сначала пустяковыми, могут превратиться в величайшее затруднение для нас обоих.</w:t>
      </w:r>
    </w:p>
    <w:p w14:paraId="330729C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Я не могу пройти мимо исключительно плохого впечатления, создавшегося здесь в связи с сообщением “Правды” (имеется в виду опубликованное в “Правде” 17 января 1944 г. сообщение собственного корреспондента “Правды” из Каира, в котором указывалось, что, по сведениям из заслуживающих доверия источников, состоялась секретная встреча Риббентропа с английскими руководящими лицами с целью выяснения условий сепаратного мира с Германией), которое было предано Советским Правительством столь широкой официальной гласности. Даже лучшие друзья Советской России в Англии были сбиты с толку. Это сообщение тем более оскорбительно, что мы не можем понять его подоплеку. Вы знаете, как я уверен, что я никогда не стал бы вести переговоров с немцами отдельно и что мы сообщаем Вам, так же как Вы сообщали нам, о каждом предложении, которое они делают. Мы не думали о заключении сепаратного мира даже в тот год, когда мы были совсем одни и могли бы легко заключить такой мир без серьезных потерь для Британской Империи и в значительной степени за Ваш счет. Зачем бы нам думать об этом сейчас, когда дела у нас троих идут вперед к победе? Если что-либо имело место или что-либо было напечатано в английских газетах, что раздражает Вас, то почему Вы не можете направить мне телеграмму или же поручить Вашему Послу зайти и повидать нас по этому вопросу? Таким путем можно было бы избежать всего вреда, который был причинен, а также подозрений, которые были вызваны.</w:t>
      </w:r>
    </w:p>
    <w:p w14:paraId="34DA9F1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3. Каждый день я получаю длинные выдержки из журнала “Война и рабочий класс” </w:t>
      </w:r>
      <w:r w:rsidRPr="00070ADE">
        <w:rPr>
          <w:rFonts w:ascii="Times New Roman" w:hAnsi="Times New Roman"/>
          <w:color w:val="000000" w:themeColor="text1"/>
          <w:sz w:val="16"/>
          <w:szCs w:val="16"/>
          <w:vertAlign w:val="superscript"/>
        </w:rPr>
        <w:t>64</w:t>
      </w:r>
      <w:r w:rsidRPr="00070ADE">
        <w:rPr>
          <w:rFonts w:ascii="Times New Roman" w:hAnsi="Times New Roman"/>
          <w:color w:val="000000" w:themeColor="text1"/>
          <w:sz w:val="16"/>
          <w:szCs w:val="16"/>
        </w:rPr>
        <w:t>, который, кажется, предпринимает постоянные нападки слева на нашу администрацию в Италии и политику в Греции. Принимая во внимание, что Вы имеете представителя в комиссии по делам Италии, мы должны были бы надеяться, что эти жалобы будут обсуждены там, и мы должны были бы услышать о них и разъяснить нашу точку зрения путем обмена мнениями между правительствами. Поскольку эти нападки делаются открыто в советских газетах, которые в иностранных делах, как это, правильно или неправильно, полагают, не отклоняются от политики Советского Союза, то расхождение между нашими правительствами становится серьезным парламентским вопросом. Я отложил выступление в Палате общин до тех пор, пока я не дождусь результатов битвы в Италии, протекающей совсем неплохо, однако через неделю или через 10 дней я должен буду выступить в Палате общин и коснуться вопроса, о котором я упомянул в этой телеграмме, поскольку я не могу позволить, чтобы обвинения и критика остались без ответа.</w:t>
      </w:r>
    </w:p>
    <w:p w14:paraId="42153EF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Я был весьма ободрен тем ощущением наших хороших отношений, которое я привез с собой из Тегерана, а также посланием, которое Вы направили мне через г-на Бенеша, и я стараюсь день и ночь, чтобы дело шло так, как Вы этого хотите, и так, как этого требуют интересы всех нас троих. Я уверен, что если бы мы были вместе, то эти трудности не возникли бы. Я работаю сейчас все время над тем, чтобы обеспечить успех второму фронту и развернуть его в гораздо большем масштабе, и моя работа затрудняется всякого рода булавочными уколами, о которых я упоминал. Конечно, несколько слов, сказанных Вами, разъяснили бы все это дело. Мы всегда были согласны с тем, чтобы писать откровенно друг другу, что я сейчас и делаю. Однако я надеюсь, что Вы повидаете Кларка Керра, когда он прибудет, и предоставите ему возможность объяснить более подробно положение так, как это должно быть между союзниками, которые не только спаяны вместе в войне, но и связаны нашим двадцатилетним договором.</w:t>
      </w:r>
    </w:p>
    <w:p w14:paraId="441D8A3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Я еще не имел возможности протелеграфировать о переговорах с поляками потому, что я должен в вопросе такой большой важности знать, какова позиция Соединенных Штатов. Я надеюсь, однако, направить Вам послание через несколько дней.</w:t>
      </w:r>
    </w:p>
    <w:p w14:paraId="3C4CE6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Бригадир Маклин и мой сын Рандольф успешно спустились на парашютах в месторасположение штаб-квартиры Тито (7430).</w:t>
      </w:r>
    </w:p>
    <w:p w14:paraId="6D45F4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B1E615"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24 января</w:t>
      </w:r>
      <w:r w:rsidRPr="00070ADE">
        <w:rPr>
          <w:rFonts w:ascii="Times New Roman" w:hAnsi="Times New Roman"/>
          <w:color w:val="000000" w:themeColor="text1"/>
          <w:sz w:val="16"/>
          <w:szCs w:val="16"/>
        </w:rPr>
        <w:t xml:space="preserve"> в 1944 году министр иностранных дел Японии Сигемицу в беседе с германским послом Г.Штамером вновь предложил посредничество Японии в заключении мира между СССР и Германией (15019).</w:t>
      </w:r>
    </w:p>
    <w:p w14:paraId="56D4714B" w14:textId="77777777" w:rsidR="00A178F0" w:rsidRPr="00070ADE" w:rsidRDefault="00A178F0" w:rsidP="00B56F90">
      <w:pPr>
        <w:spacing w:after="0" w:line="240" w:lineRule="auto"/>
        <w:jc w:val="both"/>
        <w:rPr>
          <w:rFonts w:ascii="Times New Roman" w:hAnsi="Times New Roman"/>
          <w:color w:val="000000" w:themeColor="text1"/>
          <w:sz w:val="16"/>
          <w:szCs w:val="16"/>
        </w:rPr>
      </w:pPr>
    </w:p>
    <w:p w14:paraId="2F0B36E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января 1944 г. "ПРАВДА" писала: Сообщение специальной комиссии по установлению и расследованию обстоятельств расстрела немецко-фашистскими захватчиками в Катынском лесу военнопленных польских офицеров. Казнь польских офицеров была проведена осенью 1941 года, метод расстрела был типичен для немецких массовых расстрелов... расстрел польских военнопленных был частью уничтожения славянских народов... Н. Бурденко, А. Толстой, митрополит Николай и др. (9712).</w:t>
      </w:r>
    </w:p>
    <w:p w14:paraId="5C45B13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8ABF2B3"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778AC2E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D0F577"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24 января, когда с авиабазы Мелун-Виллароше (Франция) взлетел 161 самолет, в т.ч. 15 Do 217 из I/KG, состоялся самый большой налет на Лондон. Целью были доки Милволл на окраине Лондона. Каждый Do 217 нес по одной тонной авиабомбе SC 1000 и 590 «зажигалок» весом по 1 кг, либо 2 полутонки SC 500 и 400 «зажигалок». За 40 км от английского берега немцы с каждого самолета начали сбрасывать по пачке дипольных отражателей «дюппель» раз в 30 секунд, чтобы вызвать засветку индикаторов РЛС противника. В зоне цели выброс «дюппелей» шел уже раз в 4 секунды. Первыми над доками появились целеуказатели — пикировщики Ju 88 и Ju 188, которые обозначили объект светящимися авиабомбами (САБ) желтого света, которые хорошо были видны сквозь плотный туман. Ударные самолеты снижались с высоты 5000 не до самой земли, как это было в первых налетах, а лишь до трехкилометрового эшелона. Далее переходили в горизонт (на этом режиме бомбовый прицел «Лотфе» работал лучше), целились по «висящим» на парашютах САБам, а сразу после сброса бомб выполняли резкий нисходящий разворот на 180 градусов, который заканчивали на высоте 200 м — и это ночью в туман на предельной скорости! Английские истребители смогли сбить только 4 самолета, в т.ч. один Do 217. Еще один «дорнье» прямо над целью «завалили» зенитчики. Потерь Не 177А в эту ночь не было, но 14,5% самолетов этого типа не выполнили задачу из-за возникших на борту отказов (22839).</w:t>
      </w:r>
    </w:p>
    <w:p w14:paraId="1F65B83D" w14:textId="77777777" w:rsidR="006E11C9" w:rsidRPr="00070ADE" w:rsidRDefault="006E11C9" w:rsidP="00B56F90">
      <w:pPr>
        <w:spacing w:after="0" w:line="240" w:lineRule="auto"/>
        <w:jc w:val="both"/>
        <w:rPr>
          <w:rFonts w:ascii="Times New Roman" w:hAnsi="Times New Roman"/>
          <w:color w:val="000000" w:themeColor="text1"/>
          <w:sz w:val="16"/>
          <w:szCs w:val="16"/>
        </w:rPr>
      </w:pPr>
    </w:p>
    <w:p w14:paraId="1C59C61E"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января 1944 немецкие налеты в составе 15, 43 и 52 самолетов ударили по кораблям союзников у побережья Анцио, повредив американский эсминец и тральщик и потопив британский госпитальный корабль (20373).</w:t>
      </w:r>
    </w:p>
    <w:p w14:paraId="3B122B17" w14:textId="77777777" w:rsidR="006E11C9" w:rsidRPr="00070ADE" w:rsidRDefault="006E11C9" w:rsidP="00B56F90">
      <w:pPr>
        <w:spacing w:after="0" w:line="240" w:lineRule="auto"/>
        <w:jc w:val="both"/>
        <w:rPr>
          <w:rFonts w:ascii="Times New Roman" w:hAnsi="Times New Roman"/>
          <w:color w:val="000000" w:themeColor="text1"/>
          <w:sz w:val="16"/>
          <w:szCs w:val="16"/>
        </w:rPr>
      </w:pPr>
    </w:p>
    <w:p w14:paraId="430BE20E"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января 1944 Восьмая воздушная армия ВВС США пытается совершить налет 857 бомбардировщиков в сопровождении 678 истребителей на промышленные и транспортные цели в Германии, но все бомбардировщики остановлены или отозваны из-за плохой погоды, за исключением 58, которые поразили электростанцию недалеко от Эшвайлера. Два бомбардировщика и девять истребителей потеряны. Бомбардировщики и истребители заявляют, что 20 немецких самолетов сбиты, четыре, вероятно, сбиты и двенадцать повреждены (20373).</w:t>
      </w:r>
    </w:p>
    <w:p w14:paraId="39EBFE9D" w14:textId="77777777" w:rsidR="006E11C9" w:rsidRPr="00070ADE" w:rsidRDefault="006E11C9" w:rsidP="00B56F90">
      <w:pPr>
        <w:spacing w:after="0" w:line="240" w:lineRule="auto"/>
        <w:jc w:val="both"/>
        <w:rPr>
          <w:rFonts w:ascii="Times New Roman" w:hAnsi="Times New Roman"/>
          <w:color w:val="000000" w:themeColor="text1"/>
          <w:sz w:val="16"/>
          <w:szCs w:val="16"/>
        </w:rPr>
      </w:pPr>
    </w:p>
    <w:p w14:paraId="2D93AA79" w14:textId="77777777" w:rsidR="006E11C9" w:rsidRPr="00070ADE" w:rsidRDefault="006E11C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января 1944 Военно-воздушные силы армии США в Соединенном Королевстве и Королевские военно-воздушные силы соглашаются разместить большинство имеющихся истребителей P-51 Mustang в 8-й воздушной армии для сопровождения бомбардировщиков дальнего действия. Американские P-51 в ранее использовались в ВВС Соединенного Королевства. Восьмая воздушная армия в конечном счете будет оснащена почти исключительно P-51 (20373).</w:t>
      </w:r>
    </w:p>
    <w:p w14:paraId="14FFAAD8" w14:textId="77777777" w:rsidR="006E11C9" w:rsidRPr="00070ADE" w:rsidRDefault="006E11C9" w:rsidP="00B56F90">
      <w:pPr>
        <w:spacing w:after="0" w:line="240" w:lineRule="auto"/>
        <w:jc w:val="both"/>
        <w:rPr>
          <w:rFonts w:ascii="Times New Roman" w:hAnsi="Times New Roman"/>
          <w:color w:val="000000" w:themeColor="text1"/>
          <w:sz w:val="16"/>
          <w:szCs w:val="16"/>
        </w:rPr>
      </w:pPr>
    </w:p>
    <w:p w14:paraId="2164C85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января 1944 г Эйзенхауэр стал командующим объединенными войсками союзников в Европе (3907,248).</w:t>
      </w:r>
    </w:p>
    <w:p w14:paraId="3266FED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4B1EED"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0EE33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277D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января 1944 при контрольном испытанияи Ил-2 завода 18 N 1878286 были достигнуты скорости 396 км/час у земли и 415 к/час на границе высотности (1823,28).</w:t>
      </w:r>
    </w:p>
    <w:p w14:paraId="3EF699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5941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25 по 29 января 1944 П.Я.Федрови проводил заводские испытания Як-3-2 с ВК107А смешанной конструкции (65,187).</w:t>
      </w:r>
    </w:p>
    <w:p w14:paraId="1C3134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AE095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25 по 29 января 1944 года были проведены заводские испытания Як-3 ВК-107А "Дублер", которые показали, что основные дефекты, выявленные на первом прототипе, устранены и самолет может быть предъявлен на государственные испытания. 22 января 1944 года, на аэродром выкатили второй прототип Як-3 ВК-107А "Дублер", как тогда было принято называть такие машины. На этом самолете изначально, еще на стадии проектирования и постройки, применили все технические решения, ставшие основой для переделок первого опытного экземпляра машины. Радикальным изменениям подверглись только фонарь кабины пилота, которому придали более обтекаемую форму, и установка вооружения с двумя опытными синхронными пушками Б-20. При этом полетный вес второго прототипа по сравнению с предшественником практически не изменился - 2932 кг. Соответственно одинаковыми были и летные данные. Максимальная скорость у земли Як-3 ВК-107А № 1 до модификации была равной 611 км/ч, а у №2 - 610 км/ч (из-за неблагоприятных метеоусловий "Дублер" был облетан и проверен только на малых высотах) (12047).</w:t>
      </w:r>
    </w:p>
    <w:p w14:paraId="7DA907C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89C27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января 1944 был утвержден отчет НИИ ВВС и ЛИИ по испытаниям Як-1-ВК105ПФ (300,1).</w:t>
      </w:r>
    </w:p>
    <w:p w14:paraId="79A320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173D2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января 1944 закончились гос. испытания на земле Як-9У с ВК-105ПФ2 с ВЯ эталона на 1944, которые начались 2 января, а с 17 января по 11 марта проводились облеты (65,146).</w:t>
      </w:r>
    </w:p>
    <w:p w14:paraId="509238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9A8B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26 января 1944 года на Як-9У был произведен следующий настрел из установок оружия: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50D42FBF" w14:textId="77777777">
        <w:tc>
          <w:tcPr>
            <w:tcW w:w="5636" w:type="dxa"/>
          </w:tcPr>
          <w:p w14:paraId="07E5F1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ВЯ</w:t>
            </w:r>
          </w:p>
        </w:tc>
        <w:tc>
          <w:tcPr>
            <w:tcW w:w="5636" w:type="dxa"/>
          </w:tcPr>
          <w:p w14:paraId="1B70C8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1231 выстрел</w:t>
            </w:r>
          </w:p>
        </w:tc>
      </w:tr>
      <w:tr w:rsidR="004D4663" w:rsidRPr="00070ADE" w14:paraId="36C8B293" w14:textId="77777777">
        <w:tc>
          <w:tcPr>
            <w:tcW w:w="5636" w:type="dxa"/>
          </w:tcPr>
          <w:p w14:paraId="773892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правого УБС</w:t>
            </w:r>
          </w:p>
        </w:tc>
        <w:tc>
          <w:tcPr>
            <w:tcW w:w="5636" w:type="dxa"/>
          </w:tcPr>
          <w:p w14:paraId="506B13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1896 выстрелов</w:t>
            </w:r>
          </w:p>
        </w:tc>
      </w:tr>
      <w:tr w:rsidR="004D4663" w:rsidRPr="00070ADE" w14:paraId="410FE448" w14:textId="77777777">
        <w:tc>
          <w:tcPr>
            <w:tcW w:w="5636" w:type="dxa"/>
          </w:tcPr>
          <w:p w14:paraId="4C777A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левого УБС</w:t>
            </w:r>
          </w:p>
        </w:tc>
        <w:tc>
          <w:tcPr>
            <w:tcW w:w="5636" w:type="dxa"/>
          </w:tcPr>
          <w:p w14:paraId="1EB5D7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1797 выстрелов.</w:t>
            </w:r>
          </w:p>
        </w:tc>
      </w:tr>
    </w:tbl>
    <w:p w14:paraId="19B567D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процессе испытаний были заменены 4 пушки ВЯ из-за поломок: ствольной коробки, сапожков ползуна (2 случая), клина запирания и затвора. За это время произведено 7 полетов. В 3 полетах задания не выполнены, так как тряс мотор. 2 полета были на километраж (1821,34).</w:t>
      </w:r>
    </w:p>
    <w:p w14:paraId="5F5C5F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9E524D" w14:textId="77777777" w:rsidR="003A2C75" w:rsidRPr="00070ADE" w:rsidRDefault="003A2C7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25 янва</w:t>
      </w:r>
      <w:r w:rsidRPr="00070ADE">
        <w:rPr>
          <w:rFonts w:ascii="Times New Roman" w:hAnsi="Times New Roman"/>
          <w:color w:val="000000" w:themeColor="text1"/>
          <w:sz w:val="16"/>
          <w:szCs w:val="16"/>
        </w:rPr>
        <w:softHyphen/>
        <w:t>ря 1944 г. ИТП (М-2) с АМ-39 осуществили еще четыре полета на от</w:t>
      </w:r>
      <w:r w:rsidRPr="00070ADE">
        <w:rPr>
          <w:rFonts w:ascii="Times New Roman" w:hAnsi="Times New Roman"/>
          <w:color w:val="000000" w:themeColor="text1"/>
          <w:sz w:val="16"/>
          <w:szCs w:val="16"/>
        </w:rPr>
        <w:softHyphen/>
        <w:t>работку винтомоторной группы. Но все усилия оказались напрасными. Вода и ма</w:t>
      </w:r>
      <w:r w:rsidRPr="00070ADE">
        <w:rPr>
          <w:rFonts w:ascii="Times New Roman" w:hAnsi="Times New Roman"/>
          <w:color w:val="000000" w:themeColor="text1"/>
          <w:sz w:val="16"/>
          <w:szCs w:val="16"/>
        </w:rPr>
        <w:softHyphen/>
        <w:t>сло грелись. Причем наблюдалась тенден</w:t>
      </w:r>
      <w:r w:rsidRPr="00070ADE">
        <w:rPr>
          <w:rFonts w:ascii="Times New Roman" w:hAnsi="Times New Roman"/>
          <w:color w:val="000000" w:themeColor="text1"/>
          <w:sz w:val="16"/>
          <w:szCs w:val="16"/>
        </w:rPr>
        <w:softHyphen/>
        <w:t>ция к росту температуры масла. Мотор ра</w:t>
      </w:r>
      <w:r w:rsidRPr="00070ADE">
        <w:rPr>
          <w:rFonts w:ascii="Times New Roman" w:hAnsi="Times New Roman"/>
          <w:color w:val="000000" w:themeColor="text1"/>
          <w:sz w:val="16"/>
          <w:szCs w:val="16"/>
        </w:rPr>
        <w:softHyphen/>
        <w:t>ботал неустойчиво, нещадно дымил, недо</w:t>
      </w:r>
      <w:r w:rsidRPr="00070ADE">
        <w:rPr>
          <w:rFonts w:ascii="Times New Roman" w:hAnsi="Times New Roman"/>
          <w:color w:val="000000" w:themeColor="text1"/>
          <w:sz w:val="16"/>
          <w:szCs w:val="16"/>
        </w:rPr>
        <w:softHyphen/>
        <w:t>давал мощности. Кроме того, был выявлен слишком тугой ход заслонок тоннелей водорадиаторов. В связи с этим на самолет установили маслорадиатор увеличенных размеров - 10-дюймовый вместо 9-дюй</w:t>
      </w:r>
      <w:r w:rsidRPr="00070ADE">
        <w:rPr>
          <w:rFonts w:ascii="Times New Roman" w:hAnsi="Times New Roman"/>
          <w:color w:val="000000" w:themeColor="text1"/>
          <w:sz w:val="16"/>
          <w:szCs w:val="16"/>
        </w:rPr>
        <w:softHyphen/>
        <w:t>мового, а ручное управление заслонками заменили электрическим. Все сводилось к тому, что мотор требует длительной до</w:t>
      </w:r>
      <w:r w:rsidRPr="00070ADE">
        <w:rPr>
          <w:rFonts w:ascii="Times New Roman" w:hAnsi="Times New Roman"/>
          <w:color w:val="000000" w:themeColor="text1"/>
          <w:sz w:val="16"/>
          <w:szCs w:val="16"/>
        </w:rPr>
        <w:softHyphen/>
        <w:t>водки в условиях моторного завода (24308).</w:t>
      </w:r>
    </w:p>
    <w:p w14:paraId="21C82738" w14:textId="77777777" w:rsidR="003A2C75" w:rsidRPr="00070ADE" w:rsidRDefault="003A2C75" w:rsidP="00B56F90">
      <w:pPr>
        <w:spacing w:after="0" w:line="240" w:lineRule="auto"/>
        <w:jc w:val="both"/>
        <w:rPr>
          <w:rFonts w:ascii="Times New Roman" w:hAnsi="Times New Roman"/>
          <w:color w:val="000000" w:themeColor="text1"/>
          <w:sz w:val="16"/>
          <w:szCs w:val="16"/>
        </w:rPr>
      </w:pPr>
    </w:p>
    <w:p w14:paraId="75BEAEB4"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2F411F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6D272D" w14:textId="77777777" w:rsidR="00956103" w:rsidRPr="00070ADE" w:rsidRDefault="00956103" w:rsidP="00B56F90">
      <w:pPr>
        <w:pStyle w:val="ae"/>
        <w:spacing w:before="0" w:after="0"/>
        <w:jc w:val="both"/>
        <w:textAlignment w:val="baseline"/>
        <w:rPr>
          <w:color w:val="000000" w:themeColor="text1"/>
          <w:sz w:val="16"/>
          <w:szCs w:val="16"/>
        </w:rPr>
      </w:pPr>
      <w:r w:rsidRPr="00070ADE">
        <w:rPr>
          <w:color w:val="000000" w:themeColor="text1"/>
          <w:sz w:val="16"/>
          <w:szCs w:val="16"/>
        </w:rPr>
        <w:t>25 января 1944 в ходе пробега танк Т-44 прошёл 240 км со средней скоростью 21,8 км/ч, а 27 января — 250 км со средней скоростью 24,4 км/ч. Для сравнения, средние скорости движения Т-34 в тех же пробегах составили 20 и 23 км/ч соответственно. При этом средний расход топлива Т-44 составил 220-227 л на 100 км, а для Т-34 он находился в пределах 230-332 л. В тестовом пробеге машина вела себя более-менее надёжно, хотя и не без мелких недочётов. Конструкция выхлопной системы оказалась такой, что в ходе движения левый борт корпуса нагревался. Также отмечалось самопроизвольное открытие крышки смотрового лючка механика-водителя, а также повышенный износ зубьев ведущих зубчаток бортовых фрикционов. Последнее оказалось заводским браком.</w:t>
      </w:r>
    </w:p>
    <w:p w14:paraId="2684DC4A" w14:textId="77777777" w:rsidR="00956103" w:rsidRPr="00070ADE" w:rsidRDefault="00956103" w:rsidP="00B56F90">
      <w:pPr>
        <w:pStyle w:val="ae"/>
        <w:spacing w:before="0" w:after="0"/>
        <w:jc w:val="both"/>
        <w:textAlignment w:val="baseline"/>
        <w:rPr>
          <w:color w:val="000000" w:themeColor="text1"/>
          <w:sz w:val="16"/>
          <w:szCs w:val="16"/>
        </w:rPr>
      </w:pPr>
      <w:r w:rsidRPr="00070ADE">
        <w:rPr>
          <w:color w:val="000000" w:themeColor="text1"/>
          <w:sz w:val="16"/>
          <w:szCs w:val="16"/>
        </w:rPr>
        <w:t>На первых заводских испытаниях первый опытный образец Т-44 прошёл 590 км. Для чистоты эксперимента его сопровождал серийный Т-34.</w:t>
      </w:r>
    </w:p>
    <w:p w14:paraId="5203CEEF" w14:textId="77777777" w:rsidR="00956103" w:rsidRPr="00070ADE" w:rsidRDefault="00956103" w:rsidP="00B56F90">
      <w:pPr>
        <w:pStyle w:val="ae"/>
        <w:spacing w:before="0" w:after="0"/>
        <w:jc w:val="both"/>
        <w:textAlignment w:val="baseline"/>
        <w:rPr>
          <w:color w:val="000000" w:themeColor="text1"/>
          <w:sz w:val="16"/>
          <w:szCs w:val="16"/>
        </w:rPr>
      </w:pPr>
      <w:r w:rsidRPr="00070ADE">
        <w:rPr>
          <w:color w:val="000000" w:themeColor="text1"/>
          <w:sz w:val="16"/>
          <w:szCs w:val="16"/>
        </w:rPr>
        <w:t>Испытания показали не только меньший расход топлива и бо́льшую среднюю скорость, но и снижение усилий на рычаги управления. У Т-34 они составили 20-24 кг, а у опытного Т-44 — 13-16 кг. Более высокой оказалась обзорность из смотровых приборов, особенно существенной была разница по обзорности с места механика-водителя. Успешно прошли и испытания стрельбой. В их ходе 12 выстрелов расчёт сделал за 95 секунд, при этом выстрелы производились из разных положений башни. В теории это давало скорострельность 8-10 выстрелов в минуту. По итогам стрельб отмечалось, что концентрация пороховых газов не превышает норму. Вполне успешно откатал заводские испытания и второй опытный образец, который прошёл меньшее расстояние — 231 км. Что же касается третьей машины, с башней, имевшей диаметр погона 1800 мм и 122-мм орудие Д-25-44, то она преодолела на заводских испытаниях самое большую дистанцию — 2340 км. В ходе длительных испытаний была достигнута средняя скорость движения 24 км/ч, а средний расход топлива составил 210 л на 100 км (18799)</w:t>
      </w:r>
    </w:p>
    <w:p w14:paraId="77268EAC" w14:textId="77777777" w:rsidR="00956103" w:rsidRPr="00070ADE" w:rsidRDefault="00956103" w:rsidP="00B56F90">
      <w:pPr>
        <w:spacing w:after="0" w:line="240" w:lineRule="auto"/>
        <w:jc w:val="both"/>
        <w:textAlignment w:val="baseline"/>
        <w:rPr>
          <w:rFonts w:ascii="Times New Roman" w:hAnsi="Times New Roman"/>
          <w:bCs/>
          <w:iCs/>
          <w:noProof/>
          <w:color w:val="000000" w:themeColor="text1"/>
          <w:sz w:val="16"/>
          <w:szCs w:val="16"/>
          <w:bdr w:val="none" w:sz="0" w:space="0" w:color="auto" w:frame="1"/>
          <w:lang w:eastAsia="ru-RU"/>
        </w:rPr>
      </w:pPr>
    </w:p>
    <w:p w14:paraId="7129A288" w14:textId="77777777" w:rsidR="00FA6359" w:rsidRPr="00C94B78" w:rsidRDefault="00FA635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25 января 1944 года первый опытный Т-44 с погоном в 1800 мм прошел 240 километров со средней скоростью 21,8 км/ч, а 27 января он прошел 250 километров со средней скоростью 24,4 км/ч. Для сравнения, средние скорости движения Т-34 в тех же пробегах составили 20 и 23 км/ч соответственно. При этом средний расход топлива Т-44 составил 220-227 литров на 100 километров, а для Т-34 он находился в пределах 230-332 литров. Также снизились усилия на рычаги управления. Т-34 они составили 20-24 кг, а у опытного Т-44 – 13-16 кг. Более высокой оказалась обзорность из смотровых приборов, особенно существенной была разница по обзорности с места механика-водителя. Успешно прошли и испытания стрельбой. В их ходе 12 выстрелов расчет произвел за 95 секунд, при этом выстрелы производились из разных положений башни. В теории это давало скорострельность 8-10 выстрелов в минуту. По итогам стрельб отмечалось, что концентрация пороховых газов не превышала норму (25486).</w:t>
      </w:r>
    </w:p>
    <w:p w14:paraId="654D3217" w14:textId="77777777" w:rsidR="00FA6359" w:rsidRPr="00C94B78" w:rsidRDefault="00FA6359" w:rsidP="00B56F90">
      <w:pPr>
        <w:spacing w:after="0" w:line="240" w:lineRule="auto"/>
        <w:jc w:val="both"/>
        <w:rPr>
          <w:rFonts w:ascii="Times New Roman" w:hAnsi="Times New Roman"/>
          <w:color w:val="0070C0"/>
          <w:sz w:val="16"/>
          <w:szCs w:val="16"/>
        </w:rPr>
      </w:pPr>
    </w:p>
    <w:p w14:paraId="1D3C534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января 1944 г. в соответствии с приказом № 3 НКСМ на СМЗ пополняли станочный парк завода и наращивали численность специалистами за счёт перевода требуе</w:t>
      </w:r>
      <w:r w:rsidRPr="00070ADE">
        <w:rPr>
          <w:rFonts w:ascii="Times New Roman" w:hAnsi="Times New Roman"/>
          <w:color w:val="000000" w:themeColor="text1"/>
          <w:sz w:val="16"/>
          <w:szCs w:val="16"/>
        </w:rPr>
        <w:softHyphen/>
        <w:t>мых сотрудников с других предприятий. Так, на СМЗ с ГМЗ на</w:t>
      </w:r>
      <w:r w:rsidRPr="00070ADE">
        <w:rPr>
          <w:rFonts w:ascii="Times New Roman" w:hAnsi="Times New Roman"/>
          <w:color w:val="000000" w:themeColor="text1"/>
          <w:sz w:val="16"/>
          <w:szCs w:val="16"/>
        </w:rPr>
        <w:softHyphen/>
        <w:t>правили оборудование и инструменты, а с закрывавшегося ТМЗ -7 ИТР и 18 рабочих [5.95]. На СМЗ продолжали ремонтировать трофейные и отечественные мотоциклы. В среднем фабрично-заводская себестоимость ремонта одного мотоцикла составляла 5858 р., а коммерческая - 5908 р. К началу 1945 г. на СМЗ нако</w:t>
      </w:r>
      <w:r w:rsidRPr="00070ADE">
        <w:rPr>
          <w:rFonts w:ascii="Times New Roman" w:hAnsi="Times New Roman"/>
          <w:color w:val="000000" w:themeColor="text1"/>
          <w:sz w:val="16"/>
          <w:szCs w:val="16"/>
        </w:rPr>
        <w:softHyphen/>
        <w:t>пилось неотправленной заказчикам продукции на 80 тыс. р. [5.96]. Одна из трудностей завода состояла в недостатке поставок изго</w:t>
      </w:r>
      <w:r w:rsidRPr="00070ADE">
        <w:rPr>
          <w:rFonts w:ascii="Times New Roman" w:hAnsi="Times New Roman"/>
          <w:color w:val="000000" w:themeColor="text1"/>
          <w:sz w:val="16"/>
          <w:szCs w:val="16"/>
        </w:rPr>
        <w:softHyphen/>
        <w:t>тавливаемых на ГАЗ колясок к выпускаемым мотоциклам, заста</w:t>
      </w:r>
      <w:r w:rsidRPr="00070ADE">
        <w:rPr>
          <w:rFonts w:ascii="Times New Roman" w:hAnsi="Times New Roman"/>
          <w:color w:val="000000" w:themeColor="text1"/>
          <w:sz w:val="16"/>
          <w:szCs w:val="16"/>
        </w:rPr>
        <w:softHyphen/>
        <w:t>влявшая ограничивать выпуск из ремонта и сборки тяжелых мо</w:t>
      </w:r>
      <w:r w:rsidRPr="00070ADE">
        <w:rPr>
          <w:rFonts w:ascii="Times New Roman" w:hAnsi="Times New Roman"/>
          <w:color w:val="000000" w:themeColor="text1"/>
          <w:sz w:val="16"/>
          <w:szCs w:val="16"/>
        </w:rPr>
        <w:softHyphen/>
        <w:t>тоциклов. Другая, не менее существенная, трудность состояла в дефиците специального инструмента [5.97]. Из американских мо</w:t>
      </w:r>
      <w:r w:rsidRPr="00070ADE">
        <w:rPr>
          <w:rFonts w:ascii="Times New Roman" w:hAnsi="Times New Roman"/>
          <w:color w:val="000000" w:themeColor="text1"/>
          <w:sz w:val="16"/>
          <w:szCs w:val="16"/>
        </w:rPr>
        <w:softHyphen/>
        <w:t>тоциклов, на СМЗ собирали «Индиан» 741-Б. И хотя на сборку иномарок заводу план не устанавливали, на СМЗ в 1943 г. собра</w:t>
      </w:r>
      <w:r w:rsidRPr="00070ADE">
        <w:rPr>
          <w:rFonts w:ascii="Times New Roman" w:hAnsi="Times New Roman"/>
          <w:color w:val="000000" w:themeColor="text1"/>
          <w:sz w:val="16"/>
          <w:szCs w:val="16"/>
        </w:rPr>
        <w:softHyphen/>
        <w:t>ли 952 таких мотоцикла, а в 1944 г. - 24. Всего на заводе за 1943-1944 гг. собрали 976 мотоциклов «Индиан» 741-Б [5.91] (11429).</w:t>
      </w:r>
    </w:p>
    <w:p w14:paraId="2E526DF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5204B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января 1944 вышло Постановление ГКО № 5024 О возобновлении строительства Храмской и Сухумской гидроэлектростанций в Грузинской ССР. РГАНИР, Фонд ГКО, д. 197, лл. 130-131,132-142 (11012).</w:t>
      </w:r>
    </w:p>
    <w:p w14:paraId="048B7B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6091A1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января 1944 вышло Постановление ГКО № 5025 О мерах по обеспечению топливом жилищно-коммунального хозяйства, госпиталей, больниц, школ и детских учреждений Москвы. РГАНИР, Фонд ГКО, д. 197, лл. 143-145 (11012).</w:t>
      </w:r>
    </w:p>
    <w:p w14:paraId="563AED1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DA6C4F4"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января 1944 вышло Постановление ГКО № 5027 О строительстве железнодорожного моста через Керченский пролив. (7178, 147-150).</w:t>
      </w:r>
    </w:p>
    <w:p w14:paraId="71DE9B8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028B6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января 1944 вышло Постановление ГКО № 5028 О неотложной помощи в снабжении углем уральских электростанций. (7178, 151-152).</w:t>
      </w:r>
    </w:p>
    <w:p w14:paraId="70AAA8C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1A13F7"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97CC8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2EDF78"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25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283FD763"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25 января юго-западнее и южнее Пушкина наши войска, продолжая развивать наступление, овладели населёнными пунктами Сяскелево, Реболово, Хиндикалово, Черново, Сямелево, Сеппелево, Корпиково, посёлок Рошаля, Кеккелево, Лукаши, Вяхтелево, Местелево, Федоровское, Пабузи, Чёрная Речка и железнодорожными станциями Антропшино, Владимирская, Фрезерный. Наши войска вплотную подошли к городу Гатчина (Красногвардейск) и завязали бои на окраинах города.</w:t>
      </w:r>
    </w:p>
    <w:p w14:paraId="3436ADCF"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Кириши наши войска, преодолевая сопротивление противника и систему его инженерных заграждений на лесных дорогах, заняли несколько населённых пунктов и в ряде мест подошли к железнодорожной линии Чудово-Тосно.</w:t>
      </w:r>
    </w:p>
    <w:p w14:paraId="30B6A48F"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западнее и юго-западнее Новгорода наши войска с боями продвигались вперёд и овладели населёнными пунктами Село-Гора, Горенка, Поддубье, Торговище, Люболяды, Вашково, Остров, Менюши, Новый Борок, Новоесергово и железнодорожной станцией Торфоподстилочная.</w:t>
      </w:r>
    </w:p>
    <w:p w14:paraId="69D3CAED"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Восточнее Винницы и севернее Христиновка наши войска успешно отбивали атаки крупных сил пехоты и танков противника и нанесли ему большие потери в живой силеи технике.</w:t>
      </w:r>
    </w:p>
    <w:p w14:paraId="7D1CE326"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58432F13"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24 января наши войска на всех фронтах подбили и уничтожили 80 немецких танков. В воздушных боях и огнём зенитной артиллерии сбит 71 самолёт противника.</w:t>
      </w:r>
    </w:p>
    <w:p w14:paraId="2471D8ED"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Пушкин наши войска продолжали наступление. Вчерав боях за город Пушкин (Царское Село) советские войска нанесли противнику большие потери и разгромили штабы трёх полков и одной немецкой дивизии. Преследуя разбитые немецкие части, бойцы Н-ского соединения сегодня заняли ряд населённых пунктов и завязали бои на окраинах города Гатчина (Красногвардейск). На железнодорожной станции Антропшино захвачен эшелон противника с танками,орудиями, пулемётами и миномётами. На другом участке советские войска, продвигаясь вперёд, истребили до 1.000 гитлеровцев. Захвачено у немцев 23 самоходных орудия, 30 миномётов, свыше 1.000 автоматов и винтовок, много снарядов, мин и другие трофеи.</w:t>
      </w:r>
    </w:p>
    <w:p w14:paraId="3E9BBA97"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Бойцы Ленинградского фронта в боях с противником показывают образцы самоотверженности и героизма. Автоматчики под командованием лейтенанта Коцуба на танках ворвались в один населённый пункт и уничтожили 128 гитлеровцев. Автоматчики взяли в плен 45 немецких солдат и захватили у противника 15 тяжёлых орудий, 8 миномётов и другие трофеи. Группа бойцов во главе с капитаном Трошиным заняла посёлок и, отбивая контратаки гитлеровцев, удержала его до подхода главных сил. Взвод гвардии младшего лейтенанта Меркурьева уничтожил три немецких дзота и захватил дальнобойную пушку противника. В другом районе гвардейцы Фёдоров, Павлушин и Павлов захватили вражескую миномётную батарею и выпустили более сотни мин по отступающим немцам.</w:t>
      </w:r>
    </w:p>
    <w:p w14:paraId="7751F90F"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Западнее и юго-западнее Кириши немцы, отступая под ударами наших войск, минируют дороги, взрывают мосты и устраивают лесные завалы. Части Н-ского соединения, преодолевая сопротивление противника, в ряде мест подошли к линии Октябрьской железной дороги между станциями Чудово-Тосно. В районе железной дороги стремительной атакой наши бойцы овладели сильно укреплённым опорным пунктом противника и уничтожили до 400 гитлеровцев. Захвачены у немцев несколько артиллерийских и миномётных батарей, склад боеприпасов и две радиостанции.</w:t>
      </w:r>
    </w:p>
    <w:p w14:paraId="1ECCBC39"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Новгорода части Н-ского соединения выбили немцев из населённого пункта Поддубье и захватили 10 орудий, 83 пулемёта, много винтовок и другие трофеи. Западнее Новгорода наши войска, после ожесточённых боёв, овладели населённым пунктом Стехово. В ходе боёв в этом районе разгромлен артиллерийский полк и до полка пехоты противника. На поле боя осталось свыше 800 вражеских трупов. Захвачено 40 орудий, 80 автомашин и другие трофеи. Юго-западнее Новгорода наши войска развивали успешное наступление и заняли ряд населённых пунктов. В боях на этом участке разгромлены два пехотных полка противника и взято в плен много немецких солдат и офицеров.</w:t>
      </w:r>
    </w:p>
    <w:p w14:paraId="2F5D8F47"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Восточнее Винницы противник на узком участке бросил в бой крупные силы танков и пехоты. Гитлеровцы неоднократно поднимались в атаку, но не добились успеха. Наши пехотинцы, артиллеристы и танкисты успешно отбрасывали наседавшего врага и нанесли ему тяжёлый урон. В бесплодных атаках немцы потеряли убитыми до 1.500 солдат и офицеров. Сожжено и подбито 63 немецких танка и самоходных орудия.</w:t>
      </w:r>
    </w:p>
    <w:p w14:paraId="334E75F4"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лётчики и зенитчики в течение дня сбили 31 немецкий самолёт.</w:t>
      </w:r>
    </w:p>
    <w:p w14:paraId="640FDF57"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партизанских отрядов, действующих в Ленинградской области, разгромили три железнодорожные станции, имеющие важное значение для противника. На станциях уничтожены 2 немецких эшелона с военной техникой, сожжены склады с бензином, взорваны все крестовины, стрелки и свыше 500 железнодорожных рельсов. Кроме того, советские патриоты разрушили свыше 40 километров телеграфно-телефонной линии связи.</w:t>
      </w:r>
    </w:p>
    <w:p w14:paraId="4FF7F44E"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горорода Новоград-Волынский на сторону Красной Армии перешли 11 солдат 282 немецкого маршевого батальона. Перебежчик Генрих Л. рассказал: «В первых числах января мы прибыли в Шепетовку. В тот же день русская авиация совершила налёт на станцию. От прямого попадания бомб взорвался эшелон с боеприпасами. Стоявшему рядом эшелону с танками были причинены большие повреждения. Сильно пострадал и наш маршевый батальон. Он потерял несколько десятков солдат убитыми и более 150 человек ранеными. Остальные солдаты разбежались кто куда. Только через три дня их удалось собрать».</w:t>
      </w:r>
    </w:p>
    <w:p w14:paraId="76643D28"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другом участке перешла на сторону Красной Армии группа солдат 63 мотострелкового полка 17 немецкой танковой дивизии. Перебежчик Роберт В. заявил: «Офицеры приказали нам любой ценой удержать позиции. Это вызвало резкое недовольство не только солдат, но и унтер-офицеров. Обер-фельдфебель Штальшмидт сказал в присутствии солдат: «Это идиотский приказ. Если даже мы все ляжем здесь костьми, то всё равно не удержим позиции». Унтер-офицер Матес говорил, что надо скорее отступить, пока не поздно. Не желая проливать свою кровь за проигранное дело, мы бросили позиции и сдались в плен русским» (15020).</w:t>
      </w:r>
    </w:p>
    <w:p w14:paraId="7E8B2C27" w14:textId="77777777" w:rsidR="00A178F0" w:rsidRPr="00070ADE" w:rsidRDefault="00A178F0" w:rsidP="00B56F90">
      <w:pPr>
        <w:spacing w:after="0" w:line="240" w:lineRule="auto"/>
        <w:jc w:val="both"/>
        <w:rPr>
          <w:rFonts w:ascii="Times New Roman" w:hAnsi="Times New Roman"/>
          <w:color w:val="000000" w:themeColor="text1"/>
          <w:sz w:val="16"/>
          <w:szCs w:val="16"/>
        </w:rPr>
      </w:pPr>
    </w:p>
    <w:p w14:paraId="3C29C1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25 января по 18 февраля 1944 проводилась Корсунь-Шевсенковская операция, в которой была велика роль штурмовиков и вообще авиации (340,163).</w:t>
      </w:r>
    </w:p>
    <w:p w14:paraId="28F0B2D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0A11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января 1944 года старшин лейтенант Н.Л.Кисляк и лейтенант В.А.Любимов на Р-39 Аэрокобра атаковали группу из 29 Jn 52/Зm, эвакуирующиеся из Керчи, и сбили четыре из них (3457,73).</w:t>
      </w:r>
    </w:p>
    <w:p w14:paraId="5E5D10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4538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января 1944 г. вышли УКАЗАНИЯ НАЧАЛЬНИКА ШТАБА БТ и МВ КА КОМАНДИРУ 5 ТК О МЕРОПРИЯТИЯХ ПО ЗАЩИТЕ ТАНКОВ ОТ КУМУЛЯТИВНЫХ СНАРЯДОВ И МИН №481568</w:t>
      </w:r>
    </w:p>
    <w:p w14:paraId="01944F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предварительным данным комиссии, работавшей на Белорусском фронте в декабре 1943 года, установлено, что причиной взрыва танка являются кумулятивные снаряды и мины, которые противник начинает применять в довольно широких масштабах.</w:t>
      </w:r>
    </w:p>
    <w:p w14:paraId="31CA118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 взрыв танка происходит исключительно от взрыва его боевого комплекта. Детонация бое</w:t>
      </w:r>
      <w:r w:rsidRPr="00070ADE">
        <w:rPr>
          <w:rFonts w:ascii="Times New Roman" w:hAnsi="Times New Roman"/>
          <w:color w:val="000000" w:themeColor="text1"/>
          <w:sz w:val="16"/>
          <w:szCs w:val="16"/>
        </w:rPr>
        <w:softHyphen/>
        <w:t>комплекта происходила только в тех случаях, если указанный снаряд и мина попадали в область боевого отделения танка.</w:t>
      </w:r>
    </w:p>
    <w:p w14:paraId="300E71B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Поражение ими кормовой и ходовой части танка детонации боекомплекта не вызывает.</w:t>
      </w:r>
    </w:p>
    <w:p w14:paraId="352DFF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Меры защиты:</w:t>
      </w:r>
    </w:p>
    <w:p w14:paraId="40B149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Эффективная и надежная защита от кумулятивного снаряда — экран, который представля</w:t>
      </w:r>
      <w:r w:rsidRPr="00070ADE">
        <w:rPr>
          <w:rFonts w:ascii="Times New Roman" w:hAnsi="Times New Roman"/>
          <w:color w:val="000000" w:themeColor="text1"/>
          <w:sz w:val="16"/>
          <w:szCs w:val="16"/>
        </w:rPr>
        <w:softHyphen/>
        <w:t>ет собой броневой лист толщиной 8-10 мм, установленный на расстоянии 400-500 мм от основной брони башни и боевого отделения танка.</w:t>
      </w:r>
    </w:p>
    <w:p w14:paraId="6C523FF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От магнитных кумулятивных мин — экран из глины, толщиной в 10 мм, накладываемый непо</w:t>
      </w:r>
      <w:r w:rsidRPr="00070ADE">
        <w:rPr>
          <w:rFonts w:ascii="Times New Roman" w:hAnsi="Times New Roman"/>
          <w:color w:val="000000" w:themeColor="text1"/>
          <w:sz w:val="16"/>
          <w:szCs w:val="16"/>
        </w:rPr>
        <w:softHyphen/>
        <w:t>средственно на броню.</w:t>
      </w:r>
    </w:p>
    <w:p w14:paraId="2A6C06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Постоянно иметь стрелковые подразделения для прикрытия наших танков с тем, чтобы исключить для пехоты противника возможность применения кумулятивных мин.</w:t>
      </w:r>
    </w:p>
    <w:p w14:paraId="0D3794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Максимальное и своевременное подавление артиллерии противника особенно в период атаки. Указания по окончательным выводам комиссии получите дополнительно.</w:t>
      </w:r>
    </w:p>
    <w:p w14:paraId="2842D3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штаба БТ и МВ КА генерал-майор танковых войск М. Салминов</w:t>
      </w:r>
    </w:p>
    <w:p w14:paraId="26B5E62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11360. Д. 475. Л. 6. Копия (11403).</w:t>
      </w:r>
    </w:p>
    <w:p w14:paraId="2B4BFD3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D3D77D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января 1944 вышло Постановление ГКО № 5026 О мобилизации советских граждан в освобождаемых от немецкой оккупации районах Западной Украины и Западной Белоруссии. (7178, 146).</w:t>
      </w:r>
    </w:p>
    <w:p w14:paraId="5A2BB65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001BA0" w14:textId="77777777" w:rsidR="00A178F0"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51309D0B" w14:textId="77777777" w:rsidR="00A178F0" w:rsidRPr="00070ADE" w:rsidRDefault="00A178F0"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05999E"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25 января</w:t>
      </w:r>
      <w:r w:rsidRPr="00070ADE">
        <w:rPr>
          <w:rFonts w:ascii="Times New Roman" w:hAnsi="Times New Roman"/>
          <w:color w:val="000000" w:themeColor="text1"/>
          <w:sz w:val="16"/>
          <w:szCs w:val="16"/>
        </w:rPr>
        <w:t xml:space="preserve"> в 1944 году потерпел катастрофу </w:t>
      </w:r>
      <w:hyperlink r:id="rId20" w:tgtFrame="_blank" w:history="1">
        <w:r w:rsidRPr="00070ADE">
          <w:rPr>
            <w:rFonts w:ascii="Times New Roman" w:hAnsi="Times New Roman"/>
            <w:color w:val="000000" w:themeColor="text1"/>
            <w:sz w:val="16"/>
            <w:szCs w:val="16"/>
          </w:rPr>
          <w:t xml:space="preserve">«Не 162» «МЗ» </w:t>
        </w:r>
      </w:hyperlink>
      <w:r w:rsidRPr="00070ADE">
        <w:rPr>
          <w:rFonts w:ascii="Times New Roman" w:hAnsi="Times New Roman"/>
          <w:color w:val="000000" w:themeColor="text1"/>
          <w:sz w:val="16"/>
          <w:szCs w:val="16"/>
        </w:rPr>
        <w:t>, его пилот Фулль покинул машину на высоте 200 м, но парашют не успел полностью раскрыться и летчик погиб. Существовал ряд опытных образцов на основе проекта «Не 162» (15020).</w:t>
      </w:r>
    </w:p>
    <w:p w14:paraId="5EE32E72" w14:textId="77777777" w:rsidR="00A178F0" w:rsidRPr="00070ADE" w:rsidRDefault="00A178F0" w:rsidP="00B56F90">
      <w:pPr>
        <w:spacing w:after="0" w:line="240" w:lineRule="auto"/>
        <w:jc w:val="both"/>
        <w:rPr>
          <w:rFonts w:ascii="Times New Roman" w:hAnsi="Times New Roman"/>
          <w:color w:val="000000" w:themeColor="text1"/>
          <w:sz w:val="16"/>
          <w:szCs w:val="16"/>
        </w:rPr>
      </w:pPr>
    </w:p>
    <w:p w14:paraId="76CA7D09" w14:textId="77777777" w:rsidR="004D3DA4" w:rsidRPr="00070ADE" w:rsidRDefault="004D3DA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25–26 января (ночь) 1944 76 британских бомбардировщиков без потерь атакуют места запуска немецких летающих бомб Фау-1 в Па-де-Кале и близ Шербура, Франция (20373).</w:t>
      </w:r>
    </w:p>
    <w:p w14:paraId="512BAFBD" w14:textId="77777777" w:rsidR="004D3DA4" w:rsidRPr="00070ADE" w:rsidRDefault="004D3DA4" w:rsidP="00B56F90">
      <w:pPr>
        <w:spacing w:after="0" w:line="240" w:lineRule="auto"/>
        <w:jc w:val="both"/>
        <w:rPr>
          <w:rFonts w:ascii="Times New Roman" w:hAnsi="Times New Roman"/>
          <w:color w:val="000000" w:themeColor="text1"/>
          <w:sz w:val="16"/>
          <w:szCs w:val="16"/>
        </w:rPr>
      </w:pPr>
    </w:p>
    <w:p w14:paraId="4C79A268"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158453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6392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января 1944 был сделан 1 полет на снятие летных характеристик (1821,34).</w:t>
      </w:r>
    </w:p>
    <w:p w14:paraId="20E756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E4479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января 1944 года вышел Приказ № 52/001 «О проведении совместных летных испытаний реактивного двигателя РД-1 (В.П.Глушко) производства завода № 16 на самолете Пе-2» (11331).</w:t>
      </w:r>
    </w:p>
    <w:p w14:paraId="019C29A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EF5C5ED"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января 1944 года вышел Приказ Наркома авиапромышленности А.И.Шахурина «О работах по дальнейшему усовершенство-ванию реактивного двигателя РД-1 на заводе № 16» (15502).</w:t>
      </w:r>
    </w:p>
    <w:p w14:paraId="15B6F708" w14:textId="77777777" w:rsidR="00A178F0" w:rsidRPr="00070ADE" w:rsidRDefault="00A178F0" w:rsidP="00B56F90">
      <w:pPr>
        <w:spacing w:after="0" w:line="240" w:lineRule="auto"/>
        <w:jc w:val="both"/>
        <w:rPr>
          <w:rFonts w:ascii="Times New Roman" w:hAnsi="Times New Roman"/>
          <w:color w:val="000000" w:themeColor="text1"/>
          <w:sz w:val="16"/>
          <w:szCs w:val="16"/>
        </w:rPr>
      </w:pPr>
    </w:p>
    <w:p w14:paraId="272FBC5C"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D59CF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828576" w14:textId="77777777" w:rsidR="00792F77" w:rsidRPr="00070ADE" w:rsidRDefault="00792F77"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26 января 1944 года письмом НКТП выбор места размещения трансмиссии решили предоставить заводскому КБ (и ее тут же вернули в кормовую часть корпуса). Также уточнялось, что заданная в ТТТ толщина брони в 60 мм для башни относилась к сварной катаной конструкции. В случае применения литья толщина брони должна была возрасти до 75 мм. В очередной раз поменялись требования к силовой установке. Согласно тому же письму, СКБ-75 (г. Челябинск) начало работу над 8-цилиндровым V-образным двигателем В-20, который представлял собой укороченный В-2. После очередного уточнения требований в КБ завода №174 закипела работа (17639).</w:t>
      </w:r>
    </w:p>
    <w:p w14:paraId="0F46BB97" w14:textId="77777777" w:rsidR="00792F77" w:rsidRPr="00070ADE" w:rsidRDefault="00792F77" w:rsidP="00B56F90">
      <w:pPr>
        <w:spacing w:after="0" w:line="240" w:lineRule="auto"/>
        <w:jc w:val="both"/>
        <w:rPr>
          <w:rFonts w:ascii="Times New Roman" w:hAnsi="Times New Roman"/>
          <w:color w:val="000000" w:themeColor="text1"/>
          <w:sz w:val="16"/>
          <w:szCs w:val="16"/>
        </w:rPr>
      </w:pPr>
    </w:p>
    <w:p w14:paraId="27973A6B" w14:textId="77777777" w:rsidR="00956103" w:rsidRPr="00070ADE" w:rsidRDefault="009561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января 1944 г. Старший инспектор НКТП при УК БТ и МВ Отдельной приморской армии тов. Свечкин в своем письме от за №0510 доносил:</w:t>
      </w:r>
    </w:p>
    <w:p w14:paraId="6FA8D4F0" w14:textId="77777777" w:rsidR="00956103" w:rsidRPr="00070ADE" w:rsidRDefault="009561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«Сообщаю, что по инициативе полка на одной из машин СУ-76М произведена замена брезента бронёй из котельного железа толщиной 10 мм (и принимаются меры в отношении остальных машин), так как в боевой обстановке полка, имевшем ранее СУ-76, вышло из строя до 40 человек из числа экипажей, главным образом, от осколков снарядов, или бомб и взрывной волы.</w:t>
      </w:r>
    </w:p>
    <w:p w14:paraId="3AFDF2A0" w14:textId="77777777" w:rsidR="00956103" w:rsidRPr="00070ADE" w:rsidRDefault="009561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сообщить, по каким соображениям завод №38 продолжает практику постановки брезентов вместо крыши».</w:t>
      </w:r>
    </w:p>
    <w:p w14:paraId="3B51AC48" w14:textId="77777777" w:rsidR="00956103" w:rsidRPr="00070ADE" w:rsidRDefault="009561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данном письме говорится о машинах СУ-76М (СУ-15) № 310430, 58411, 310402, 310434, 310436, 58428, 310403 с двигателями ГАЗ мод.203, выпущенными заводом №38 в первой половине октября 1943 года (18172).</w:t>
      </w:r>
    </w:p>
    <w:p w14:paraId="474B1CEC" w14:textId="77777777" w:rsidR="00956103" w:rsidRPr="00070ADE" w:rsidRDefault="00956103" w:rsidP="00B56F90">
      <w:pPr>
        <w:spacing w:after="0" w:line="240" w:lineRule="auto"/>
        <w:jc w:val="both"/>
        <w:rPr>
          <w:rFonts w:ascii="Times New Roman" w:hAnsi="Times New Roman"/>
          <w:color w:val="000000" w:themeColor="text1"/>
          <w:sz w:val="16"/>
          <w:szCs w:val="16"/>
        </w:rPr>
      </w:pPr>
    </w:p>
    <w:p w14:paraId="27A1709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26 января 1944 вышло Постановление ГКО № 5029 О передаче Совнаркому Украины 4650 автомашин для ремонта и использования их в народном хозяйстве УССР. (7178, 153-154).</w:t>
      </w:r>
    </w:p>
    <w:p w14:paraId="7769F99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983B4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62688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5C00C8"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26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3796FBB5"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Ленинградского фронта, продолжая развивать наступление, в ночь на 26 января штурмом овладели городом и железнодорожным узлом Гатчина (Красногвардейск).</w:t>
      </w:r>
    </w:p>
    <w:p w14:paraId="36431CC1"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26 января западнее, юго-западнее и южнее Гатчина наши войска, продолжая развивать наступление, овладели населёнными пунктами Клясино, Шундорово, Каськово, Кандокюля. Муратово, Медниково, Луйсковицы, Валерияновка, Малые и Большие Борницы, Ильнино, Парицы, Малое Колпано, Пролетарская Слобода, Большая Загвоздка, Пижма, Пустошка и железнодорожной станцией Войсковицы.</w:t>
      </w:r>
    </w:p>
    <w:p w14:paraId="47B2F553"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северо-западнее Тосно наши войска, сломив сопротивление противника, с боями заняли несколько населённых пунктов и среди них крупные населённые пункты Саблино, Новолисино, Сусанино, а также узловую железнодорожную станцию Новолисино и железнодорожные станции Галашевка, Стекольный, Семрино, Сусанино.</w:t>
      </w:r>
    </w:p>
    <w:p w14:paraId="377A497E"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наступления с 14 по 25 января 1944 года войска Ленинградского фронта нанесли немецко-фашистским войскам следующие потери:</w:t>
      </w:r>
    </w:p>
    <w:p w14:paraId="69624688"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наступательных боёв войска фронта разбили 10 пехотных дивизий и нанесли тяжёлые потери 2 пехотным дивизиям.</w:t>
      </w:r>
    </w:p>
    <w:p w14:paraId="7A38AE7D"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Захвачены, по неполным данным, следующие трофеи: орудий разных калибров —619, в том числе тяжёлых орудий калибров от 150 мм до 406 мм — 116, миномётов разных — 454, самоходных орудий — 20, пулемётов — 1.360, винтовок и автоматов —7.286, танков — 60, бронемашин — 24, снарядов — 173.000, мин — 85.000, винтовочных патронов — до 9 миллионов штук, автомашин — 350, повозок с различным грузом — 413, лошадей — 300, складов артиллерийских, инженерных, вещевых и продовольственных — 65.</w:t>
      </w:r>
    </w:p>
    <w:p w14:paraId="6B8ADE81"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Учёт захваченных трофеев в Гатчине ещё не закончен.</w:t>
      </w:r>
    </w:p>
    <w:p w14:paraId="4986E6AF"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Уничтожено: танков — 158, орудий разного калибра — 200, пулемётов — 497, миномётов — 245, автомашин — 901, складов с боеприпасами, вооружением и продовольствием — 30, железнодорожных эшелонов — 5, паровозов — 5, вагонов —300, повозок с грузами — 200.</w:t>
      </w:r>
    </w:p>
    <w:p w14:paraId="574CB019"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Противник потерял только убитыми свыше 40 тысяч солдат и офицеров.</w:t>
      </w:r>
    </w:p>
    <w:p w14:paraId="340C97D5"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Захвачено в плен до 3 тысяч солдат и офицеров.</w:t>
      </w:r>
    </w:p>
    <w:p w14:paraId="62299DAB"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и северо-западнее Любань наши войска с боями продвигались вперёд, заняли населённые пункты Рамцы, Будково, Вериговщина, Новинки, Пельгора, Ушаки, Жары и железнодорожные станции Рябово и Георгиевская.</w:t>
      </w:r>
    </w:p>
    <w:p w14:paraId="71929A69"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западнее и юго-западнее Новгорода наши войска, продолжая наступление, овладели населёнными пунктами Либуницы, Кромы, Нехино, Бодрино, Старое Веретье, Горное Веретье, Малиновка, Белец, Голино, Оспино и железнодорожной станцией Люболяды.</w:t>
      </w:r>
    </w:p>
    <w:p w14:paraId="203AA090"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Восточнее Винницы и севернее Христиновка наши войска продолжали успешно отбивать атаки крупных сил пехоты и танков противника и нанесли ему большие потери в живой силе и технике.</w:t>
      </w:r>
    </w:p>
    <w:p w14:paraId="042E75E1"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в ряде пунктов шли бои местного значения.</w:t>
      </w:r>
    </w:p>
    <w:p w14:paraId="056CE9BF"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25 января наши войска на всех фронтах подбили и уничтожили 144 немецких танка. В воздушных боях и огнём зенитной артиллерии сбито 49 самолётов противника.</w:t>
      </w:r>
    </w:p>
    <w:p w14:paraId="3E4FEFEC"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Ленинградского фронта в ночь на 26 января штурмом овладели городом Гатчина (Красногвардейск). Немцы превратили город в крепость и сосредоточилиздесь огромное количество огневых средств. Действуя штурмовыми отрядами, советские бойцы выбивали противника из железобетонных укреплений и очищали от гитлеровцев одну улицу за другой. В это время части другого нашего соединения совершили обходный манёвр и атаковали немцев с запада. Вражеские войска, оборонявшие город, были разгромлены. Лишь отдельные группы немецких солдат, бросив вооружение, спаслись бегством. Овладев крупным железнодорожным узлом и городом Гатчина, наши войска захватили большие трофеи. В боях на подступах к городу и на его улицах уничтожено несколько тысяч немецких солдат и офицеров.</w:t>
      </w:r>
    </w:p>
    <w:p w14:paraId="1BB3F8AB"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юго-западнее и южнее Гатчины наши войска продолжали наступление и, успешно продвигаясь вперёд, заняли ряд населённых пунктов. Бойцы Н-ской части, стремительно ворвавшись в один населённый пункт, захватили 40 немецких автомашин с оружием и боеприпасами. В другом районе взято в плен значительное число немецких солдат и офицеров.</w:t>
      </w:r>
    </w:p>
    <w:p w14:paraId="625779FB"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северо-западнее Тосно наши войска с боями продвигались вперёд. Части Н-ского соединения стремительной атакой заняли железнодорожный узел Ново-Лисино, а также несколько других населённых пунктов. Советские артиллеристы уничтожили 12 немецких танков, 22 орудия, до 100 автомашин и взорвали два склада боеприпасов. Преследуя противника, подразделения Н-ской части разгромили немецкую автогужевую колонну. Захвачено 9 штабных автобусов, 26 легковых автомашин и много повозок с грузами. Уничтожено до 400 гитлеровцев, следовавших за повозками.</w:t>
      </w:r>
    </w:p>
    <w:p w14:paraId="50EF856C"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лётчики совершили налёт на вражеский аэродром и уничтожили на земле 13 немецких самолётов.</w:t>
      </w:r>
    </w:p>
    <w:p w14:paraId="0FDE6803"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и северо-западнее Любань наши войска, преодолевая упорное сопротивление немцев, овладели железнодорожными станциями Рябово и Георгиевскаяна магистрали Ленинград-Москва. В бою за эти станции уничтожено до батальона гитлеровцев. Захвачено у немцев 8 орудий, 59 пулемётов и крупный склад с военным имуществом. Группа лыжников-автоматчиков под командованием старшего сержанта Белогубова проникла в тыл противника и разгромила штаб немецкой части.</w:t>
      </w:r>
    </w:p>
    <w:p w14:paraId="62490485"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Новгорода наши войска сломили сопротивление крупных сил противника и овладели железнодорожной станцией Люболяды. В бою за Люболяды уничтожено до1.500 немецких солдат и офицеров. Захвачены большие трофеи и пленные. В другом районе советские танкисты, быстро продвигаясь вперёд, в крупном населённом пункте разгромили штаб немецкой дивизии. Захвачены десятки автомашин, до 200 лошадей и повозок и другие трофеи. Один из взятых в плен немецких офицеров заявил, что их дивизия полностью разгромлена, а небольшие группы оставшихся в живых солдат разбежались по лесам.</w:t>
      </w:r>
    </w:p>
    <w:p w14:paraId="263F3C75"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Восточное Винницы и севернее Христиновки наши войска продолжали вести бои скрупными силами танков и пехоты противника. Утром немцы с двух направлений атаковали советские позиции. Противник рассчитывал одновременными ударами прорвать оборону и окружить наши части, действующие на этом участке. Ожесточённый бой длился в течение всего дня. Все атаки немцев были успешно отбиты нашими войсками. Особенно тяжёлые потери нанесли противнику советские артиллеристы и миномётчики. На подступах к нашим позициям сожжено и подбито свыше 100 немецких танков и самоходных орудий, 35 бронетранспортёров и 11 бронемашин.</w:t>
      </w:r>
    </w:p>
    <w:p w14:paraId="62FF1BAF"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одном из районов Ровенской области, заминировал большой участок шоссейной дороги. Ночью автоколонна противника наскочила на минное поле. Несколько немецких автомашин взорвалось. Находившиесяв засаде партизаны пулемётным огнём перебили свыше 50 гитлеровцев. Взято в плен 8 немецких солдат и захвачены трофеи.</w:t>
      </w:r>
    </w:p>
    <w:p w14:paraId="6FD5F7D7"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Ленинградском фронте перешёл на нашу сторону унтер-офицер 399 полка 170 немецкой дивизии Густав М. Перебежчик заявил: «Первые два дня русского наступления были самыми ужасными в моей жизни. На моих глазах погибли сотни немецких солдат. Когда закончился артиллерийский обстрел, солдаты 12, 13 и 14 рот побросали оружие и разбежались, несмотря на окрики и угрозы офицеров. Я никогда не думал, что за такой короткий срок вполне боеспособные воинские подразделения могут превратиться в обезумевших людей. В ноябре дивизия праздновала четвёртую годовщину своего существования. Нам огласили приказ, в котором был дан обзор боевого пути дивизии и её потерь. За время боевых действийв России она потеряла 650 офицеров и 24.450 солдат и унтер-офицеров. Эти данные меня ошеломили. При этом, как я позже узнал, эти цифры являются также преуменьшенными. Потери на самом деле ещё больше. В связи с всеобщей растерянностью и паникой при отступлении я отстал от своих и сдался в плен» (15021).</w:t>
      </w:r>
    </w:p>
    <w:p w14:paraId="7E91E930" w14:textId="77777777" w:rsidR="00A178F0" w:rsidRPr="00070ADE" w:rsidRDefault="00A178F0" w:rsidP="00B56F90">
      <w:pPr>
        <w:spacing w:after="0" w:line="240" w:lineRule="auto"/>
        <w:jc w:val="both"/>
        <w:rPr>
          <w:rFonts w:ascii="Times New Roman" w:hAnsi="Times New Roman"/>
          <w:color w:val="000000" w:themeColor="text1"/>
          <w:sz w:val="16"/>
          <w:szCs w:val="16"/>
        </w:rPr>
      </w:pPr>
    </w:p>
    <w:p w14:paraId="3EABE0D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января 1944 группировка 1УФ пошла навстречу 2УФ под Корсунь-Шевченковским. Войска 1 и 2УФ поддерживали 2ВА и 5ВА - около 1000 самолетов (340,163).</w:t>
      </w:r>
    </w:p>
    <w:p w14:paraId="62DD11B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FE48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26 на 27 января 1944 летчик Тимотченко на Бостон Б-3 сорвал прицельное бомбометание группы самолетов Хейнкель Не 111. Так как опыта воздушных боев у него было мало, он открыл огонь со слишком большой дистанции и сбить немецкую машину не смог, но заставил врагов поспешно сбросить бомбы и удрать (3457,110).</w:t>
      </w:r>
    </w:p>
    <w:p w14:paraId="173592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3940F9"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187E7D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B15BC8" w14:textId="77777777" w:rsidR="004D3DA4" w:rsidRPr="00070ADE" w:rsidRDefault="004D3DA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января 1944 налет Фокке-Вульф Fw 190 на союзные корабли у Анцио повреждает десантный корабль, семь патрульных судов, два торговых судна, и спасательный буксир (20373).</w:t>
      </w:r>
    </w:p>
    <w:p w14:paraId="321AF26E" w14:textId="77777777" w:rsidR="004D3DA4" w:rsidRPr="00070ADE" w:rsidRDefault="004D3DA4" w:rsidP="00B56F90">
      <w:pPr>
        <w:spacing w:after="0" w:line="240" w:lineRule="auto"/>
        <w:jc w:val="both"/>
        <w:rPr>
          <w:rFonts w:ascii="Times New Roman" w:hAnsi="Times New Roman"/>
          <w:color w:val="000000" w:themeColor="text1"/>
          <w:sz w:val="16"/>
          <w:szCs w:val="16"/>
        </w:rPr>
      </w:pPr>
    </w:p>
    <w:p w14:paraId="47A0964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января 1944 немецкие оккупационные власти объявили военное положение в Риме (4962).</w:t>
      </w:r>
    </w:p>
    <w:p w14:paraId="76B0E26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EB4C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января 1944 профашистская Аргентина порвала дипотношения с Германией и Италией (2247,1).</w:t>
      </w:r>
    </w:p>
    <w:p w14:paraId="2FF159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02CCB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января 1944 Аргентина разорвала дипломатические отношения со странами Оси (4962).</w:t>
      </w:r>
    </w:p>
    <w:p w14:paraId="5B74DDE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70C034"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98A5E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69D5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был подготовлен отчет директора завода 23 за 1943:</w:t>
      </w:r>
    </w:p>
    <w:p w14:paraId="7332D91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января по 17 июля 1943 завод был занят увеличением производства и улучшением качества Ил-4. далее, по постановлению ГОКО от 17 июля - состоялся переход завода на производствло самолета Ту-2. Динамика производства по месяцам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67"/>
        <w:gridCol w:w="867"/>
        <w:gridCol w:w="867"/>
        <w:gridCol w:w="867"/>
        <w:gridCol w:w="867"/>
        <w:gridCol w:w="867"/>
        <w:gridCol w:w="867"/>
        <w:gridCol w:w="867"/>
        <w:gridCol w:w="867"/>
        <w:gridCol w:w="867"/>
        <w:gridCol w:w="867"/>
        <w:gridCol w:w="867"/>
        <w:gridCol w:w="867"/>
      </w:tblGrid>
      <w:tr w:rsidR="004D4663" w:rsidRPr="00070ADE" w14:paraId="0CD09054" w14:textId="77777777">
        <w:tc>
          <w:tcPr>
            <w:tcW w:w="867" w:type="dxa"/>
          </w:tcPr>
          <w:p w14:paraId="00C02B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75701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867" w:type="dxa"/>
          </w:tcPr>
          <w:p w14:paraId="0FCF4A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867" w:type="dxa"/>
          </w:tcPr>
          <w:p w14:paraId="1E5E77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867" w:type="dxa"/>
          </w:tcPr>
          <w:p w14:paraId="292D3F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867" w:type="dxa"/>
          </w:tcPr>
          <w:p w14:paraId="47D9E83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867" w:type="dxa"/>
          </w:tcPr>
          <w:p w14:paraId="0DAF3D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867" w:type="dxa"/>
          </w:tcPr>
          <w:p w14:paraId="16CFCEA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867" w:type="dxa"/>
          </w:tcPr>
          <w:p w14:paraId="3D38878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867" w:type="dxa"/>
          </w:tcPr>
          <w:p w14:paraId="3CB542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tc>
        <w:tc>
          <w:tcPr>
            <w:tcW w:w="867" w:type="dxa"/>
          </w:tcPr>
          <w:p w14:paraId="10B4DDE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867" w:type="dxa"/>
          </w:tcPr>
          <w:p w14:paraId="05B171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867" w:type="dxa"/>
          </w:tcPr>
          <w:p w14:paraId="0369CC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tc>
      </w:tr>
      <w:tr w:rsidR="004D4663" w:rsidRPr="00070ADE" w14:paraId="76DA99E9" w14:textId="77777777">
        <w:tc>
          <w:tcPr>
            <w:tcW w:w="867" w:type="dxa"/>
          </w:tcPr>
          <w:p w14:paraId="383DA9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Ил-4</w:t>
            </w:r>
          </w:p>
        </w:tc>
        <w:tc>
          <w:tcPr>
            <w:tcW w:w="867" w:type="dxa"/>
          </w:tcPr>
          <w:p w14:paraId="30AADB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5B4AC2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F3C18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F86934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8CD75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D1A92C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F7E64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EF33A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410AA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E6943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74866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7F8A47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BD58AD2" w14:textId="77777777">
        <w:tc>
          <w:tcPr>
            <w:tcW w:w="867" w:type="dxa"/>
          </w:tcPr>
          <w:p w14:paraId="3B4F81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w:t>
            </w:r>
          </w:p>
        </w:tc>
        <w:tc>
          <w:tcPr>
            <w:tcW w:w="867" w:type="dxa"/>
          </w:tcPr>
          <w:p w14:paraId="7438F5F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w:t>
            </w:r>
          </w:p>
        </w:tc>
        <w:tc>
          <w:tcPr>
            <w:tcW w:w="867" w:type="dxa"/>
          </w:tcPr>
          <w:p w14:paraId="484098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w:t>
            </w:r>
          </w:p>
        </w:tc>
        <w:tc>
          <w:tcPr>
            <w:tcW w:w="867" w:type="dxa"/>
          </w:tcPr>
          <w:p w14:paraId="7116728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tc>
        <w:tc>
          <w:tcPr>
            <w:tcW w:w="867" w:type="dxa"/>
          </w:tcPr>
          <w:p w14:paraId="05359C2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w:t>
            </w:r>
          </w:p>
        </w:tc>
        <w:tc>
          <w:tcPr>
            <w:tcW w:w="867" w:type="dxa"/>
          </w:tcPr>
          <w:p w14:paraId="74B3A99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w:t>
            </w:r>
          </w:p>
        </w:tc>
        <w:tc>
          <w:tcPr>
            <w:tcW w:w="867" w:type="dxa"/>
          </w:tcPr>
          <w:p w14:paraId="2B7D7B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c>
          <w:tcPr>
            <w:tcW w:w="867" w:type="dxa"/>
          </w:tcPr>
          <w:p w14:paraId="0803CDE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w:t>
            </w:r>
          </w:p>
        </w:tc>
        <w:tc>
          <w:tcPr>
            <w:tcW w:w="867" w:type="dxa"/>
          </w:tcPr>
          <w:p w14:paraId="14FDF9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w:t>
            </w:r>
          </w:p>
        </w:tc>
        <w:tc>
          <w:tcPr>
            <w:tcW w:w="867" w:type="dxa"/>
          </w:tcPr>
          <w:p w14:paraId="6E4ADF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67" w:type="dxa"/>
          </w:tcPr>
          <w:p w14:paraId="496FBE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67" w:type="dxa"/>
          </w:tcPr>
          <w:p w14:paraId="5EEE11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67" w:type="dxa"/>
          </w:tcPr>
          <w:p w14:paraId="6E18788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5106D0" w:rsidRPr="00070ADE" w14:paraId="6FDABC68" w14:textId="77777777">
        <w:tc>
          <w:tcPr>
            <w:tcW w:w="867" w:type="dxa"/>
          </w:tcPr>
          <w:p w14:paraId="0A3B6C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Гот.бою</w:t>
            </w:r>
          </w:p>
        </w:tc>
        <w:tc>
          <w:tcPr>
            <w:tcW w:w="867" w:type="dxa"/>
          </w:tcPr>
          <w:p w14:paraId="24C934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w:t>
            </w:r>
          </w:p>
        </w:tc>
        <w:tc>
          <w:tcPr>
            <w:tcW w:w="867" w:type="dxa"/>
          </w:tcPr>
          <w:p w14:paraId="55E98E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w:t>
            </w:r>
          </w:p>
        </w:tc>
        <w:tc>
          <w:tcPr>
            <w:tcW w:w="867" w:type="dxa"/>
          </w:tcPr>
          <w:p w14:paraId="7C0C94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c>
          <w:tcPr>
            <w:tcW w:w="867" w:type="dxa"/>
          </w:tcPr>
          <w:p w14:paraId="09A4F2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w:t>
            </w:r>
          </w:p>
        </w:tc>
        <w:tc>
          <w:tcPr>
            <w:tcW w:w="867" w:type="dxa"/>
          </w:tcPr>
          <w:p w14:paraId="17F716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w:t>
            </w:r>
          </w:p>
        </w:tc>
        <w:tc>
          <w:tcPr>
            <w:tcW w:w="867" w:type="dxa"/>
          </w:tcPr>
          <w:p w14:paraId="7D3280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w:t>
            </w:r>
          </w:p>
        </w:tc>
        <w:tc>
          <w:tcPr>
            <w:tcW w:w="867" w:type="dxa"/>
          </w:tcPr>
          <w:p w14:paraId="156D1A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w:t>
            </w:r>
          </w:p>
        </w:tc>
        <w:tc>
          <w:tcPr>
            <w:tcW w:w="867" w:type="dxa"/>
          </w:tcPr>
          <w:p w14:paraId="159FFD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867" w:type="dxa"/>
          </w:tcPr>
          <w:p w14:paraId="35C411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867" w:type="dxa"/>
          </w:tcPr>
          <w:p w14:paraId="3DDDD9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(2526)</w:t>
            </w:r>
          </w:p>
        </w:tc>
        <w:tc>
          <w:tcPr>
            <w:tcW w:w="867" w:type="dxa"/>
          </w:tcPr>
          <w:p w14:paraId="02F06E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CC796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357ADF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D7B6BF"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F8A8D8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658E6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года вышел приказ НКБ № 48с</w:t>
      </w:r>
    </w:p>
    <w:p w14:paraId="3015BF9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организации производства капсюльных втулок и взрывателей для 85 мм выстрела на заводе № 460 НКБ в соответствии с постановлением Правительства № 4895сс от 6 января 1944 года:</w:t>
      </w:r>
    </w:p>
    <w:p w14:paraId="4D63F573"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Передать завод № 460 НКБ из 4 Гл. управления во 2-е Гл. управление (5952, 5).</w:t>
      </w:r>
    </w:p>
    <w:p w14:paraId="0ECC09D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A2632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5030 О материально-техническом обеспечении работ по увеличению провозной способности Северо-Печорской железнодорожной магистрали. (7178, 155-156,157-164).</w:t>
      </w:r>
    </w:p>
    <w:p w14:paraId="24C2DE8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DEE70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5031 О производстве морских артиллерийских и гироскопических систем, обеспечивающих совместную работу с радиолокационными установками, на заводе № 706 Наркомсудпрома. РГАНИР, Фонд ГКО, д. 197, лл. 165-168,169-173 (11012).</w:t>
      </w:r>
    </w:p>
    <w:p w14:paraId="1C530F6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981C96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г. вышло постановление ГКО № 5031 о производстве на заводе морских артиллерийских и гироскопических систем, обеспечивающих совместную работу с РЛУ (Завод № 706 НКСП, Московский завод электромеханической аппаратуры (МЗЭМА) MOM, «Завод электромеханической аппаратуры», ГП, ФГУП «МЗЭМА» /г. Москва ул. Авиамоторная, 55 тел. 273-52-51/.).</w:t>
      </w:r>
    </w:p>
    <w:p w14:paraId="4318C4C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Серийное производство гироскопической аппаратуры для РКТ (1960-е).</w:t>
      </w:r>
    </w:p>
    <w:p w14:paraId="28427F0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1975 г. МЗЭМА вместе с НИИПМ и осташковским заводом «Звезда» вошел в состав созданного НПО «Ротор».</w:t>
      </w:r>
    </w:p>
    <w:p w14:paraId="1A1117B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2000 г. - «Завод электромеханической аппаратуры». По Указу Президента РФ № 1009 от 4.08.2004 г. вошел в число стратегических оборонных предприятий.</w:t>
      </w:r>
    </w:p>
    <w:p w14:paraId="1CC7F3A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Руководитель (2000 г.)- Л.Н. Шумов.</w:t>
      </w:r>
    </w:p>
    <w:p w14:paraId="3DDBAA55" w14:textId="77777777" w:rsidR="003712D9" w:rsidRPr="00070ADE" w:rsidRDefault="003712D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СКБ завода № 706 НКСП</w:t>
      </w:r>
    </w:p>
    <w:p w14:paraId="2F225619" w14:textId="77777777" w:rsidR="003712D9" w:rsidRPr="00070ADE" w:rsidRDefault="003712D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распоряжением ГКО № 2590 от 7.12.1942 г. СКБ завода № 706 НКСП с его тематикой влито в состав СКБ НКСП.1</w:t>
      </w:r>
    </w:p>
    <w:p w14:paraId="534DC10B" w14:textId="74A7B35A" w:rsidR="003712D9" w:rsidRPr="00070ADE" w:rsidRDefault="003712D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НПО «Ротор» MOM, ГП «НПО «Ротор» /111123</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г. Москва ул. </w:t>
      </w:r>
      <w:r w:rsidR="00792F77" w:rsidRPr="00070ADE">
        <w:rPr>
          <w:rFonts w:ascii="Times New Roman" w:hAnsi="Times New Roman"/>
          <w:color w:val="000000" w:themeColor="text1"/>
          <w:sz w:val="16"/>
          <w:szCs w:val="16"/>
        </w:rPr>
        <w:t>Авиамоторная, 55 тел. 176-16-93.</w:t>
      </w:r>
    </w:p>
    <w:p w14:paraId="68F393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НПО «Ротор» создано в 1975 г. В его состав вошли МЗЭМА, НИИПМ и осташковский завод «Звезда» (вероятно, этот завод в соответствии с Указом Президента РФ № 804 от 26.06.2007 г. и распоряжением правительства № 1066-р от 17.08.2007 г. с 10.10.2008 г. вошел в состав НПЦАП в качестве филиала).</w:t>
      </w:r>
    </w:p>
    <w:p w14:paraId="6361C0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НПО являлось одной из основных научно-исследовательских баз космической промышленности (2002 г.). Разработка и производство (2002 г.): электромеханические устройства; навигационное оборудование; датчики.</w:t>
      </w:r>
    </w:p>
    <w:p w14:paraId="3813530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(2002 г.)- Ю.С. Сарымов.</w:t>
      </w:r>
    </w:p>
    <w:p w14:paraId="5864119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ген. конструктор (1975-80-е)- В.И. Кузнецов, И.Н. Сапожников.</w:t>
      </w:r>
    </w:p>
    <w:p w14:paraId="1204ECD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конструктора (1980-е)- О.Ю. Райхман, (2002 г.)- А.А. Колесников.</w:t>
      </w:r>
    </w:p>
    <w:p w14:paraId="61FD9830" w14:textId="55034BFF"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исследовательского комплекса физиологии и человеческого фактора (2002 г.)- И.А. Гуськов; международного отдела (2002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Г.К. Жеглова.</w:t>
      </w:r>
      <w:r w:rsidRPr="00070ADE">
        <w:rPr>
          <w:rFonts w:ascii="Times New Roman" w:hAnsi="Times New Roman"/>
          <w:color w:val="000000" w:themeColor="text1"/>
          <w:sz w:val="16"/>
          <w:szCs w:val="16"/>
          <w:vertAlign w:val="superscript"/>
        </w:rPr>
        <w:t>69</w:t>
      </w:r>
    </w:p>
    <w:p w14:paraId="58C4653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w:t>
      </w:r>
      <w:r w:rsidRPr="00070ADE">
        <w:rPr>
          <w:rFonts w:ascii="Times New Roman" w:hAnsi="Times New Roman"/>
          <w:color w:val="000000" w:themeColor="text1"/>
          <w:sz w:val="16"/>
          <w:szCs w:val="16"/>
        </w:rPr>
        <w:t xml:space="preserve"> гироскопические командные приборы для управляемого ББ 15Ф178 (1980-е) (11982).</w:t>
      </w:r>
    </w:p>
    <w:p w14:paraId="016BF1E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52B2B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Распоряжение ГКО № 5032. О мерах по быстрейшей ликвидации аварийного состояния цеха № 7 завода № 739 Наркомрезинпрома. РГАНИР, Фонд ГКО, д. 197, лл. 174 (11012).</w:t>
      </w:r>
    </w:p>
    <w:p w14:paraId="0420EFD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E9DF25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г. вышло распоряжение ГКО № 5032 о мерах по быстрейшей ликвидации аварийного состояния цеха № 7 Завода № 739 НКРП /г. Ярославль/. 25.02.1944 г. - распоряжение ГКО № 5243 о мерах по обеспечению на заводе опытного производства стирола и метилстирола.</w:t>
      </w:r>
    </w:p>
    <w:p w14:paraId="0C66028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стирол, метилстирол.</w:t>
      </w:r>
    </w:p>
    <w:p w14:paraId="407ACE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Далее это - Ярославский завод РТИ или ЗАО «Ярполимермаш-Татнефть».</w:t>
      </w:r>
    </w:p>
    <w:p w14:paraId="425000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(1947 г.)- И.С. Рябиченко.</w:t>
      </w:r>
    </w:p>
    <w:p w14:paraId="12296079" w14:textId="32A4FCA4"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Ярославский подошвенный завод ЯРАК, Ярославский завод резиновых технических изделий (ЯЗРТИ), АООТ, ОАО «ЯЗРТИ» /150003</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Ярославль ул. Советская, 81А тел. (4852) 58-43-02/</w:t>
      </w:r>
    </w:p>
    <w:p w14:paraId="5866C02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1930 г. в составе Ярославского резино-асбестового комбината (ЯРАК) начато строительство подошвенного завода, 16.09.1932 г. завод вступил в строй (первый из группы резинообрабатывающих заводов комбината), 19.09.1932 г. изготовлены первые подошвы. Являлся крупнейшим подошвенным заводом, был оснащен импортным оборудованием. Проектная мощность завода - 75 млн. пар подошв в год. Перед войной изготавливал подошвы, резиновые кольца для железнодорожных тормозов, пожарных рукавов, муфты, кольца асбоцементных труб, всего 97 наименований продукции.</w:t>
      </w:r>
    </w:p>
    <w:p w14:paraId="78E642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начала войны перешел на выпуск резиновых изделий и средств противохимической защиты. Затем, вероятно, был эвакуирован. 24.02.1942 г. вышло постановление ГКО № 1348 о частичном восстановлении производства на Ярославском подошвенном заводе.</w:t>
      </w:r>
    </w:p>
    <w:p w14:paraId="34921A6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войны возобновлен выпуск продукции для автотракторной промышленности, железнодорожного транспорта, сельского хозяйства.</w:t>
      </w:r>
    </w:p>
    <w:p w14:paraId="640B4BC3" w14:textId="1B681052"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29.11.1945 г. переименован в ЯЗРТИ. В конце 1948 г. в состав ЯЗРТИ включен в качестве цеха регенераторный завод. В 1950-е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построен новый корпус - цех № 3, через несколько лет - участок обработки РТИ. После войны было освоено 3200 наименований формовых изделий. Завод первым в стране освоил производство синтетического каучука. Специалисты завода принимали участие в строительстве заводов в Балаково и Саранске. В 1961 г. в состав завода вошел на правах цеха завод резиновых изделий № 3, который был реконструирован и оснащен новым оборудованием. Введен в строй цех № 2. В 1970-74 г. проведена очередная реконструкция завода, закуплено 78 единиц оборудования, в т.ч. прессы ВП-09109. Ежегодно на заводе разрабатывалось и внедрялось в производство около 700 видов изделий. Была разработана рецептура резины и освоен выпуск манжет для железнодорожных тормозов. Выпускались специальные резины, применявшиеся при строительстве Братской ГЭС, Останкинской телебашни, Дворца съездов. Впервые в стране разработан и освоен выпуск резиновых оконцевателей для разделки электрических кабелей.</w:t>
      </w:r>
    </w:p>
    <w:p w14:paraId="20666516" w14:textId="74E0D178"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1975 г. было принято решение о переносе мощностей ЯЗРТИ на завод «Ярославрезинотехника», но это не было выполнено. В 1990-е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часть производств была сокращена, закрыты цехи № 1, 3, 5, химзащиты. Перестали поступать заказы от МО. В 2000 г. начата оптимизация производства, в 2003 г. приобретено новое оборудование, установлено несколько десятков прессов для изготовления деталей для ГАЗа и ЗМЗ.</w:t>
      </w:r>
    </w:p>
    <w:p w14:paraId="1340D06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14.04.1993 г. завод преобразован в АООТ «ЯЗРТИ», 27.06.1996 г. - в ОАО.</w:t>
      </w:r>
    </w:p>
    <w:p w14:paraId="3887462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1.02.2007 г. образован филиал предприятия - «Обособленное подразделение-склад».</w:t>
      </w:r>
    </w:p>
    <w:p w14:paraId="389BE88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(1932 г.)- 892 чел., (1970-е)- 4324 чел., (2008 г.)-1510 чел.</w:t>
      </w:r>
    </w:p>
    <w:p w14:paraId="5033E45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Гендиректор (2004-07 г.)- С.В. Даленко, (1.08.2007-08 г.)- B.C. Воскобойник; и.о. (08.2008 г.)- М.А. Шабанов.</w:t>
      </w:r>
    </w:p>
    <w:p w14:paraId="71CB0BD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зам. гендиректора (2004 г.)- B.C. Воскобойник.</w:t>
      </w:r>
    </w:p>
    <w:p w14:paraId="1592CA3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коммерческий (2004-07 г.)- B.C. Воскобойник, (2008 г.)- М.А. Шабанов; технический (2003-04 г.)- А.Н. Королев; по общим вопросам (2001-05 г.)- В.М. Поповский; по оперативным вопросам</w:t>
      </w:r>
    </w:p>
    <w:p w14:paraId="3B6585C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(2005-08 г.-)- В.М. Поповский.</w:t>
      </w:r>
    </w:p>
    <w:p w14:paraId="40C970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(2008 г.)- В.А. Суслов.</w:t>
      </w:r>
    </w:p>
    <w:p w14:paraId="0AED65C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технолог (2008 г.)- Е.М. Петина.</w:t>
      </w:r>
    </w:p>
    <w:p w14:paraId="506601C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Начальники отделов: ПАО (2007-08 г.-&gt; К.В. Посеряев; МТС (2008 г.)- Л.Н. Пазич; сбыта (2008 г.)- А.И. Воинов; ОТК (2008 г.)- П.Е. Барашков (11982).</w:t>
      </w:r>
    </w:p>
    <w:p w14:paraId="745FB0A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6098DD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Распоряжение ГКО № 5033. О поставках бумажных мешков HКХП. РГАНИР, Фонд ГКО, д. 197, лл. 175 (11012).</w:t>
      </w:r>
    </w:p>
    <w:p w14:paraId="0793B63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8C33E6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5034 О порядке обязательного перевода рабочих 4 и 5-го разрядов с одних предприятий Hаркомата боеприпасов на других. РГАНИР, Фонд ГКО, д. 197, лл. 176 (11012).</w:t>
      </w:r>
    </w:p>
    <w:p w14:paraId="053D625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EF164B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Распоряжение ГКО № 5035. О поставке шин на автомобильные заводы НКСМ. РГАНИР, Фонд ГКО, д. 197, лл. 177-178 (11012).</w:t>
      </w:r>
    </w:p>
    <w:p w14:paraId="2DB094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A44511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Распоряжение ГКО № 5036 [О передаче ТЭЦ Читинского овчинно-шубного завода HКЛП в ведение HККХ РСФСР.] (7178, 179).</w:t>
      </w:r>
    </w:p>
    <w:p w14:paraId="59E6D70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D54B2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5037 О мероприятиях по материально-техническому обеспечению восстановительных работ на Украине, проводимых Наркомжилгражданстроем УССР. РГАНИР, Фонд ГКО, д. 197, лл. 180-186,187-189 (11012).</w:t>
      </w:r>
    </w:p>
    <w:p w14:paraId="1CB0851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AEF65A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5038 О строительстве больших высоководных мостов на автомобильных дорогах в освобождаемых от противника районах. (7178, 190-193,194-202).</w:t>
      </w:r>
    </w:p>
    <w:p w14:paraId="0D1A9EE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4E5CA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5039 О возобновлении строительства гидроэлектростанции Нива ГЭС-III. РГАНИР, Фонд ГКО, д. 197, лл. 203-204,205-212 (11012).</w:t>
      </w:r>
    </w:p>
    <w:p w14:paraId="46456BF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04C329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5040 О плане заказов Наркомвоенморфлота на 1944 год и 1 квартал 1944 года по тральному вооружению, артиллерийским приборам, штурманскому вооружению, судовому оборудованию и запасным частям к механизмам. РГАНИР, Фонд ГКО, д. 198, лл. 1-8,9-53 (11012).</w:t>
      </w:r>
    </w:p>
    <w:p w14:paraId="363D530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9A6DF6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5041 О неотложных мерах по обеспечению восстановления предприятий Наркомчермета в Донбассе в 1 квартале 1944 г. РГАНИР, Фонд ГКО, д. 198, лл. 54-60,61-87 (11012).</w:t>
      </w:r>
    </w:p>
    <w:p w14:paraId="41D449A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81B6FF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Распоряжение ГКО № 5042 [Об отмене п.6 постановления ГКО № 3353 от 12 мая 1943 г. о передаче помещения в Омске, занимаемого поликлиникой УНКВД СССР, заводу № 210 НКЭП.] (7179, 88).</w:t>
      </w:r>
    </w:p>
    <w:p w14:paraId="1FA2B20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941D2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5043 Об электроснабжении г. Ульяновска. (7179, 89).</w:t>
      </w:r>
    </w:p>
    <w:p w14:paraId="302ED82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2817F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Распоряжение ГКО № 5044. О направлении 1050 чел., не годных к строевой службе, для работы на строительстве и в цехах Барнаульского котельного завода. РГАНИР, Фонд ГКО, д. 198, лл. 90 (11012).</w:t>
      </w:r>
    </w:p>
    <w:p w14:paraId="6D2CC5A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9A7B73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Распоряжение ГКО № 5045. О поставках сырья заводу № 11 Главгазтоппрома в 1 кв. 1944 г. РГАНИР, Фонд ГКО, д. 198, лл. 91 (11012).</w:t>
      </w:r>
    </w:p>
    <w:p w14:paraId="622BA1B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EE7342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5046 О материально-техническом обеспечении предприятий и строительств Наркомата электростанций в 1 квартале 1944 года. РГАНИР, Фонд ГКО, д. 198, лл. 92-97,98-144 (11012).</w:t>
      </w:r>
    </w:p>
    <w:p w14:paraId="46C7C99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98DFD3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Распоряжение ГКО № 5047. О выделении помещения и квартир Главкислороду при СНК СССР в Москве. РГАНИР, Фонд ГКО, д. 198, лл. 145 (11012).</w:t>
      </w:r>
    </w:p>
    <w:p w14:paraId="573768B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3B9109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Распоряжение ГКО № 5048 О мерах по форсированию разведки и ввода в разработку нефтяного месторождения Кинзебулатово в Башкирской АССР. (7179, 146-149,150-151).</w:t>
      </w:r>
    </w:p>
    <w:p w14:paraId="6DBD6D94"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21BDF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5049 О мероприятиях по добыче и вывозу соли с сезонных соляных предприятий Наркомпищепрома СССР в 1944 году. РГАНИР, Фонд ГКО, д. 198, лл. 152-160,161-162 (11012).</w:t>
      </w:r>
    </w:p>
    <w:p w14:paraId="0481F95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9481A9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5050 О мерах обеспечения дальнейшего подъема нефтедобычи и производства нефтепродуктов по Грозненской нефтяной промышленности. (7179, 163-168,169-174).</w:t>
      </w:r>
    </w:p>
    <w:p w14:paraId="2E30B00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DCE31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5051 О мероприятиях по развитию добычи нефти на месторождении Махачкала треста "Дагнефть". (7179, 175-180,181-183).</w:t>
      </w:r>
    </w:p>
    <w:p w14:paraId="6100C33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4D26D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5052 О мерах помощи по восстановлению нефтебаз в освобожденных районах УССР в 1944 году. РГАНИР, Фонд ГКО, д. 198, лл. 184-191,192-201 (11012).</w:t>
      </w:r>
    </w:p>
    <w:p w14:paraId="2BD7B92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DE61BA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5053 О восстановлении паровозоремонтных, вагоноремонтных и машиностроительных заводов НКПС на территории, освобожденной от противника. (7179, 202-214,215-221).</w:t>
      </w:r>
    </w:p>
    <w:p w14:paraId="4FBFA863"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ABCC3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5054 О мероприятиях по обеспечению производства мотоциклов для мотомеханизированных соединений Красной Армии в 1 квартале 1944 года. РГАНИР, Фонд ГКО, д. 198, лл. 222-228,229-235 (11012).</w:t>
      </w:r>
    </w:p>
    <w:p w14:paraId="07C5085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CDD75E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5055 О материально-техническом обеспечении предприятий Наркомата электропромышленности в 1 квартале 1944 года. РГАНИР, Фонд ГКО, д. 198, лл. 236-244,245-296 (11012).</w:t>
      </w:r>
    </w:p>
    <w:p w14:paraId="46FFF9C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51E143E" w14:textId="77777777" w:rsidR="00956103" w:rsidRPr="00070ADE" w:rsidRDefault="009561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г. вышло постановление ГКО № 5055сс «О материально-техническом обеспечении предприятий НКЭП в 1 квартале 1944 г.» Этот документ был нацелен на «…обеспечение выпуска электротехнического оборудования для обеспечения нужд народного хозяйства, а также выпуска радиотехнической аппаратуры для укомплектования самолетов и танков, средств связи и специального радио- и электротехнического оборудования для фронта». Постановление во многом подтверждало и продлевало сроки действий прежних решений ГКО, касающихся создания приоритетных условий для функционирования предприятий НКЭП.</w:t>
      </w:r>
    </w:p>
    <w:p w14:paraId="4DFB7D44" w14:textId="77777777" w:rsidR="00956103" w:rsidRPr="00070ADE" w:rsidRDefault="009561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Всем наркоматам и ведомствам вменялось в обязанность обеспечить в полной мере поставки для них материалов, оборудования и топлива, а также возместить недопоставки предыдущих периодов4. Наркомату путей сообщения ставилась задача осуществлять поставку вагонов под материалы и оборудование заводов НКЭП целевым назначением и осуществлять непрерывный контроль за продвижением грузов. Более того, грузы для предприятий НКЭП должны были приниматься с каждым пассажирским поездом в каждом направлении в виде багажа весом до 500 кг. В свою очередь, директора заводов и начальники главков обязаны были каждые пять дней представлять отчеты в Главное управление снабжения НКЭП о ходе реализации выделенных им материалов, полуфабрикатов и готовых изделий (18297).</w:t>
      </w:r>
    </w:p>
    <w:p w14:paraId="44018560" w14:textId="77777777" w:rsidR="00956103" w:rsidRPr="00070ADE" w:rsidRDefault="00956103" w:rsidP="00B56F90">
      <w:pPr>
        <w:spacing w:after="0" w:line="240" w:lineRule="auto"/>
        <w:jc w:val="both"/>
        <w:rPr>
          <w:rFonts w:ascii="Times New Roman" w:hAnsi="Times New Roman"/>
          <w:color w:val="000000" w:themeColor="text1"/>
          <w:sz w:val="16"/>
          <w:szCs w:val="16"/>
        </w:rPr>
      </w:pPr>
    </w:p>
    <w:p w14:paraId="09668E6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5056 О мероприятиях по строительству импортных нефтеперерабатывающих заводов в г.г. Куйбышев и Гурьев. РГАНИР, Фонд ГКО, д. 199, лл. 1-4,5-14 (11012).</w:t>
      </w:r>
    </w:p>
    <w:p w14:paraId="3E7155F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CFCA59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5057 О плане производства и снабжения народного хозяйства нитропродукцией на 1 квартал 1944 г. РГАНИР, Фонд ГКО, д. 199, лл. 15,16-18 (11012).</w:t>
      </w:r>
    </w:p>
    <w:p w14:paraId="2368CA0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61A346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5058 О плане производства Уралмашзавода НКТП на 1 квартал 1944 г. РГАНИР, Фонд ГКО, д. 199, лл. 19-21,22-26 (11012).</w:t>
      </w:r>
    </w:p>
    <w:p w14:paraId="3659E59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1C950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27 января 1944 вышло Постановление ГКО № 5059 О мероприятиях по расширению производства гидрографическо-штурманского вооружения. РГАНИР, Фонд ГКО, д. 199, лл. 27-28 (11012).</w:t>
      </w:r>
    </w:p>
    <w:p w14:paraId="13225AB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7FF60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Распоряжение ГКО № 5060. Об оставлении завода № 20 в системе НКБ. РГАНИР, Фонд ГКО, д. 199, лл. 29 (11012).</w:t>
      </w:r>
    </w:p>
    <w:p w14:paraId="0B2D5F5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6AE40F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5061 Об обеспечении Балахнинского комбината Наркомбумпрома балансами и дровами. РГАНИР, Фонд ГКО, д. 199, лл. 30-33 (11012).</w:t>
      </w:r>
    </w:p>
    <w:p w14:paraId="45FE8FA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1D9F0A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5062 Об обеспечении экстрактовыми дровами дубильно-экстрактовой промышленности Наркомлегпрома СССР в 1944 году. РГАНИР, Фонд ГКО, д. 199, лл. 34-38,39-47 (11012).</w:t>
      </w:r>
    </w:p>
    <w:p w14:paraId="30F2219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3FF7F6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5063 Об увеличении производства электрических машин на заводе № 658 им. М.И. Калинина Наркомата электропромышленности. (7180, 48-52,53-61).</w:t>
      </w:r>
    </w:p>
    <w:p w14:paraId="0BC7CC0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EA8C6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вышло Постановление ГКО № 5064 О плане ремонта автомобилей для Красной Армии и Военно-Морского Флота на I квартал 1944 г. (7180, 62-71,72-156).</w:t>
      </w:r>
    </w:p>
    <w:p w14:paraId="6317E6F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044C07"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AE568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D9A889"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27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22238017"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27 января западнее, юго-западнее и южнее Гатчина наши войска, продолжая развивать наступление, заняли Город И Железнодорожный Узел Волосово, А Также Более 40 Других Населённых Пунктов, В Том Числе Крупные Населённые Пункты Закорново, Лопухинка, Новая Буря, Новые Медуши, Муховицы, Старая Буря, Слепино, Щёлково, Большое и Малое Тешково, Старое Греблово, Клопицы, Ронковицы, Череповицы, Сумино, Большие и Малые Губаницы, Роговицы, Большое и Малое Кикерино, Елизаветино, Николаевка, Шпаньково, Большое Тяглино, Высокоключевое, Воскресенское и железнодорожные станции Елизаветино, Кикерино, Суйда.</w:t>
      </w:r>
    </w:p>
    <w:p w14:paraId="46F5B09F"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сломив сопротивление противника, овладели районным центром Ленинградской области, городом и железнодорожным узлом Тосно.</w:t>
      </w:r>
    </w:p>
    <w:p w14:paraId="5A859B6D"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Тосно наши войска с боями продвигались вперёд и овладели населёнными пунктами Власники, Заборье, Ковшово, Виркино, Рынделево, Поги, Кайболово, Кунголово, Еглизи, Большое Лисино, Строение.</w:t>
      </w:r>
    </w:p>
    <w:p w14:paraId="52A8925E"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севернее Любань наши войска с боями заняли населённыепункты Рябово, Липки, Веретье, Бородулино, Ильинский Погост и полностью очистили от противника железную дорогу и шоссе на участке Любань-Тосно. Наши войска вплотную подошли к городу Любань и завязали бои на окраинах города.</w:t>
      </w:r>
    </w:p>
    <w:p w14:paraId="2803FDF6"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западнее и юго-западнее Новгорода наши войска, продолжая развивать наступление, овладели населёнными пунктами Дехово, Заболотье,Хотобужи, Доскино, Танина Гора, Косицкое, Глухой Бережок, Ожогин Волочёк, Уномер, Новое Веретье, Межник, Шарок, Верхний Прихон, Теребутицы.</w:t>
      </w:r>
    </w:p>
    <w:p w14:paraId="3C3289BA"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Восточнее Винницы и севернее Христиновка наши войска продолжали отбивать атаки крупных сил танков и пехоты противника и нанесли ему большие потери в живой силе и технике.</w:t>
      </w:r>
    </w:p>
    <w:p w14:paraId="79DA89B8"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4FE2604A"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26 января наши войска на всех фронтах подбили и уничтожили 82 немецких танка. В воздушных боях и огнём зенитной артиллерии сбито 16 самолётов противника.</w:t>
      </w:r>
    </w:p>
    <w:p w14:paraId="3A94C7E2"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юго-западнее и южнее города Гатчина наши войска продолжали успешное наступление. Части Н-ского соединения стремительной атакой овладели городом и железнодорожным узлом Волосово. Разбитые части противника в беспорядке отступили, бросив большое количество вооружения, боеприпасов и различных военных материалов. Другие наши части, продвигаясь вперёд, заняли более 40 населенных пунктов. В ходе боёв за день уничтожено до 3 тысяч немецких солдат и офицеров. По предварительным данным, в городе Гатчина нашими войсками захвачено у немцев10 танков, свыше 100 орудий, 85 миномётов, более 200 пулемётов, 2.000 автоматов и винтовок, много автомашин, железнодорожных вагонов с грузами и крупные склады с боеприпасами, продовольствием и различным военным имуществом. Советские бойцы освободили в Гатчине свыше 5.000 советских граждан, которых немцы собирались угнать на каторгу в Германию.</w:t>
      </w:r>
    </w:p>
    <w:p w14:paraId="78C4EA23"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действуя в крайне тяжёлых условиях болотистой местности, овладели городом и железнодорожным узлом Тосно. Немцы, опираясь на долговременные укрепления, упорно защищали этот город. Советские части обошлиТосно с трёх сторон и вчера ночью предприняли решительный штурм. Вражеский гарнизон в большей своей части уничтожен. Часть немецких солдат сложила оружие и сдалась в плен. На железнодорожном узле Тосно захвачены большие трофеи.</w:t>
      </w:r>
    </w:p>
    <w:p w14:paraId="35573408"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севернее города Любань наши войска с боями продвигались вперёд. Части Н-ского соединения прорвали оборону немцев на подступах к Любани и завязали бои на окраинах города. В течение дня уничтожено свыше 800 вражеских солдат и офицеров, 9 орудий, 14 миномётов, из них 3 шестиствольных. Захвачено у немцев 12 орудий, 16 миномётов, склад боеприпасов и 3 радиостанции.</w:t>
      </w:r>
    </w:p>
    <w:p w14:paraId="6D73DF5C"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другом участке наши части нанесли тяжёлое поражение испанскому легиону. Значительное число испанских солдат взято в плен.</w:t>
      </w:r>
    </w:p>
    <w:p w14:paraId="114CBF11"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Новгорода наши войска, сломив сопротивление противника, развивали успешное наступление. Разгромлены два полка вражеской пехоты и несколько боевыхгрупп, сформированных противником из остатков дивизий, разбитых в предыдущихбоях. Юго-западнее Новгорода части Н-ского соединения заняли ряд населённых пунктов. Немцы подтянули в этот район свежие резервы, спешно переброшенные с других участков фронта. Однако противник вновь был отброшен с большими для него потерями.</w:t>
      </w:r>
    </w:p>
    <w:p w14:paraId="484A9F5B"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одном участке севернее Новосокольники противник силами до двух полков пехоты рано утром атаковал наши позиции. Встреченные огнём из всех видов оружия, гитлеровцы понесли большие потери и откатились на исходные позиции. В течение дня противник ещё девять раз бросал в атаку своих солдат в пьяном виде. Немцы выпустили огромное количество снарядов и мин. Бой на этом участке длился до позднего вечера. Все атаки гитлеровцев были отбиты. Перед нашими окопамиосталось до 1.500 вражеских трупов.</w:t>
      </w:r>
    </w:p>
    <w:p w14:paraId="71D03807"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Восточнее Винницы наши войска продолжали отбивать атаки крупных сил танков и пехоты противника. Немцы, действуя группами по 20-30 танков, при поддержке авиации, пытались найти слабое место в советской обороне. За каждой группой вражеских танков следовало от одного до двух батальонов пехоты. Гитлеровцы понесли большие потери, но ни на одном участке не добились успеха. В результате боя советские части уничтожили до полка пехоты противника. Подбито и сожжено 65 немецких танков и самоходных орудий, 5 бронемашин и 13 бронетранспортёров.</w:t>
      </w:r>
    </w:p>
    <w:p w14:paraId="5C0259CE"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Авиацией Черноморского флота потоплены два транспорта общим водоизмещением в 5 тысяч тонн, быстроходная десантная баржа и две несамоходные баржи противника.</w:t>
      </w:r>
    </w:p>
    <w:p w14:paraId="613C1803"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партизанских отрядов, действующих в Каменец-Подольской области, за месяц подорвали на минах и пустили под откос 27 немецких воинских эшелонов. В результате крушений разбито более 200 вагонов и платформ с войсками и военными грузами противника. 4 января группа партизан на одной железнодорожной станции сожгла гараж немецкой части с находившимися в нём автомашинами.» (15022).</w:t>
      </w:r>
    </w:p>
    <w:p w14:paraId="597225AC" w14:textId="77777777" w:rsidR="00A178F0" w:rsidRPr="00070ADE" w:rsidRDefault="00A178F0" w:rsidP="00B56F90">
      <w:pPr>
        <w:spacing w:after="0" w:line="240" w:lineRule="auto"/>
        <w:jc w:val="both"/>
        <w:rPr>
          <w:rFonts w:ascii="Times New Roman" w:hAnsi="Times New Roman"/>
          <w:color w:val="000000" w:themeColor="text1"/>
          <w:sz w:val="16"/>
          <w:szCs w:val="16"/>
        </w:rPr>
      </w:pPr>
    </w:p>
    <w:p w14:paraId="0B1C179F"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27 января</w:t>
      </w:r>
      <w:r w:rsidRPr="00070ADE">
        <w:rPr>
          <w:rFonts w:ascii="Times New Roman" w:hAnsi="Times New Roman"/>
          <w:color w:val="000000" w:themeColor="text1"/>
          <w:sz w:val="16"/>
          <w:szCs w:val="16"/>
        </w:rPr>
        <w:t xml:space="preserve"> в 1944 году началась Ровно-Луцкая наступательная операция войск 1-го Украинского фронта (генерал армии Н.Ф.Ватутин), продолжавшаяся до 11 февраля (15022).</w:t>
      </w:r>
    </w:p>
    <w:p w14:paraId="4FC2E3F6" w14:textId="77777777" w:rsidR="00A178F0" w:rsidRPr="00070ADE" w:rsidRDefault="00A178F0" w:rsidP="00B56F90">
      <w:pPr>
        <w:spacing w:after="0" w:line="240" w:lineRule="auto"/>
        <w:jc w:val="both"/>
        <w:rPr>
          <w:rFonts w:ascii="Times New Roman" w:hAnsi="Times New Roman"/>
          <w:color w:val="000000" w:themeColor="text1"/>
          <w:sz w:val="16"/>
          <w:szCs w:val="16"/>
        </w:rPr>
      </w:pPr>
    </w:p>
    <w:p w14:paraId="02B02CDD"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27 января</w:t>
      </w:r>
      <w:r w:rsidRPr="00070ADE">
        <w:rPr>
          <w:rFonts w:ascii="Times New Roman" w:hAnsi="Times New Roman"/>
          <w:color w:val="000000" w:themeColor="text1"/>
          <w:sz w:val="16"/>
          <w:szCs w:val="16"/>
        </w:rPr>
        <w:t xml:space="preserve"> в 1944 году день снятия блокады города Ленинграда (1944г.). В этот день силами войск Ленинградского (командующий генерал армии Л.А.Говоров), Волховского (командующий генерал армии К.А.Мерецков) и 2-го Прибалтийского фронтов в ходе Ленинградско-Новгородской наступательной операции окончательно разорвано кольцо блокады Ленинграда. Отмечается в соответствии с Федеральным законом "О днях воинской славы (победных днях) России».</w:t>
      </w:r>
    </w:p>
    <w:p w14:paraId="3BB5BB41" w14:textId="77777777" w:rsidR="00A178F0" w:rsidRPr="00070ADE" w:rsidRDefault="00A178F0" w:rsidP="00B56F90">
      <w:pPr>
        <w:spacing w:after="0" w:line="240" w:lineRule="auto"/>
        <w:jc w:val="both"/>
        <w:rPr>
          <w:rFonts w:ascii="Times New Roman" w:hAnsi="Times New Roman"/>
          <w:bCs/>
          <w:color w:val="000000" w:themeColor="text1"/>
          <w:sz w:val="16"/>
          <w:szCs w:val="16"/>
        </w:rPr>
      </w:pPr>
    </w:p>
    <w:p w14:paraId="45DD837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Ленинград полностью освобожден от блокады (4962).</w:t>
      </w:r>
    </w:p>
    <w:p w14:paraId="5E08FDF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04AE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27 January 1944 Leningrad relieved by Soviet Forces after a 900 day siege (270).</w:t>
      </w:r>
    </w:p>
    <w:p w14:paraId="40ABF03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F2A46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Ленинград был полностью освобожден от блокады, длившейся 900 дней (270).</w:t>
      </w:r>
    </w:p>
    <w:p w14:paraId="33EE70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5B9F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Ленинград салютовал 24 залпами из 324 орудий в честь полного освобождения города от вражеской блокады. На Балтийском заводе велась постройка 15 малых ТЩ. В ремонте находилось 4 эсминца и 5 ПЛ. Ленинградцы строили пять МБК и 9 БМО (в том числе заложены 2 БМО), вели обработку металла и заготовку секций для 5 БМО, ремонтировали 22 надводных корабля и 3 ПЛ. Ждановцы строили 8 стотонников. Велись работы на лидерах "Минск" и "Ленинград", эсминцах "Строгий", "Стройный" и "Опытный", на СКР "Зоркий" и "Вихрь". Петрозаводцы строили 8 ТЩ типа МТ-1, дизельные ТЩ по пр. 53-У.</w:t>
      </w:r>
    </w:p>
    <w:p w14:paraId="1F096B6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6AAADB"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27 января</w:t>
      </w:r>
      <w:r w:rsidRPr="00070ADE">
        <w:rPr>
          <w:rFonts w:ascii="Times New Roman" w:hAnsi="Times New Roman"/>
          <w:color w:val="000000" w:themeColor="text1"/>
          <w:sz w:val="16"/>
          <w:szCs w:val="16"/>
        </w:rPr>
        <w:t xml:space="preserve"> в 1944 году Торжественный артиллерийский салют, прогремевший в Ленинграде, возвестил всему миру, что окончательно ликвидирована блокада города, продолжавшаяся 900 дней и ночей. День воинский славы России - прорыв блокады Ленинграда (1944). Наступление фашистских войск на Ленинград, захвату которого германское командование придавало важное стратегическое и политическое значение, началось 10 июля 1941 года. В августе тяжелые бои шли уже на подступах к городу. 30 августа немецкие войска перерезали железные дороги, связывавшие Ленинград со страной. 8 сентября фашистам удалось блокировать город с суши. По плану Гитлера, Ленинград должен был быть стерт с лица земли. Потерпев неудачу в попытках прорвать оборону советских войск внутри блокадного кольца, немцы решили взять город измором. По всем расчетам немецкого командования, население Ленинграда должно было умереть от голода и холода. 8 сентября, в день начала блокады, произошла первая массированная бомбардировка Ленинграда. Вспыхнуло около 200 пожаров, один из них уничтожил Бадаевские продовольственные склады. В сентябре-октябре вражеская авиация совершала в день по несколько налетов. Целью противника было не только помешать деятельности важных предприятий, но и создать панику среди населения. Особенно интенсивный артобстрел велся в часы начала и окончания рабочего дня. Многие погибли во время обстрелов и бомбежек, множество зданий было разрушено. Убежденность в том, что врагу не удастся захватить Ленинград, сдерживала темпы эвакуации людей. В блокированном городе оказалось более двух с половиной миллионов жителей, в том числе 400 тысяч детей. Продовольственных запасов было мало, пришлось использовать пищевые суррогаты. С начала введения карточной системы нормы выдачи продовольствия населению Ленинграда неоднократно сокращались. В ноябре-декабре 1941года рабочий мог получить лишь 250 граммов хлеба в день, а служащие, дети и старики - всего 125 граммов. Когда 25 декабря впервые была сделана прибавка хлебного пайка - рабочим - на 100 граммов, остальным - на 75 , истощенные, изможденные люди вышли на улицы, чтобы поделиться своей радостью. Это незначительное увеличение нормы выдачи хлеба давало пусть слабую, но надежду умирающим от голода людям. Осень - зима 1941-1942 годов - самое страшное время блокады. Ранняя зима принесла с собой холод - отопления, горячей воды не было, и ленинградцы стали жечь мебель, книги, разбирали на дрова деревянные постройки. Транспорт стоял. От дистрофии и холода люди умирали тысячами. Но ленинградцы продолжали трудиться - работали административные учреждения, типографии, поликлиники, детские сады, театры, публичная библиотека, продолжали работу ученые. Работали 13-14-летние подростки, заменившие отцов, ушедших на фронт. Была еще работа - вывозить трупы погибших от голода. Осенью на Ладоге из-за штормов движение судов было осложнено, но буксиры с баржами пробивались в обход ледяных полей до декабря 1941года, некоторое количество продовольствия доставлялось самолетами. Твердый лед на Ладоге долго не устанавливался, нормы выдачи хлеба были вновь сокращены. 22 ноября началось движение автомашин по ледовой дороге. Эта транспортная магистраль получила название «Дорога жизни». В январе 1942 года движение по зимней дороге уже было постоянным. Немцы бомбили и обстреливали дорогу, но им не удалось остановить движение. Зимой началась эвакуация населения. Первыми вывозили женщин, детей, больных, стариков. Всего эвакуировали около миллиона человек. Весной 1942 года, когда стало немного легче, ленинградцы начали очищать, убирать город. Нормы выдачи хлеба увеличились. 18 января 1943 года силами Ленинградского и Волховского фронтов блокада была прорвана, 27 января 1944 года произошел окончательный прорыв блокады, враг был отброшен от города на 65 - 100 километров. Блокада Ленинграда длилась 900 дней и стала самой кровопролитной блокадой в истории человечества (15022).</w:t>
      </w:r>
    </w:p>
    <w:p w14:paraId="62297C3B" w14:textId="77777777" w:rsidR="00A178F0" w:rsidRPr="00070ADE" w:rsidRDefault="00A178F0" w:rsidP="00B56F90">
      <w:pPr>
        <w:spacing w:after="0" w:line="240" w:lineRule="auto"/>
        <w:jc w:val="both"/>
        <w:rPr>
          <w:rFonts w:ascii="Times New Roman" w:hAnsi="Times New Roman"/>
          <w:color w:val="000000" w:themeColor="text1"/>
          <w:sz w:val="16"/>
          <w:szCs w:val="16"/>
        </w:rPr>
      </w:pPr>
    </w:p>
    <w:p w14:paraId="6C8FDA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1943 был полностью освобожден Новгород (3186).</w:t>
      </w:r>
    </w:p>
    <w:p w14:paraId="65AFA6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8C16D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rPr>
        <w:t xml:space="preserve">27 января 1944 Первый Украинский фронт начал Ровенско-Луцкую наступательную операцию </w:t>
      </w:r>
      <w:r w:rsidRPr="00070ADE">
        <w:rPr>
          <w:rFonts w:ascii="Times New Roman" w:hAnsi="Times New Roman"/>
          <w:color w:val="000000" w:themeColor="text1"/>
          <w:sz w:val="16"/>
          <w:szCs w:val="16"/>
          <w:lang w:val="en-US"/>
        </w:rPr>
        <w:t>(4962).</w:t>
      </w:r>
    </w:p>
    <w:p w14:paraId="7F541BE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58BF4D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January 27, 1944: The Soviet 1st Ukrainian Front launches an offensive against Luzk and Rovno (3819).</w:t>
      </w:r>
    </w:p>
    <w:p w14:paraId="3E1886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DDC16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27 января по 11 февраля 1944 была Ровенско-Луцкая операция для захвата Ровно, Шепетовки, луцка. Прлдвинулись на 80 км (2443,79). Наступали 1УФ (Н.Ф.Ватутин) и освободили Ровно и Шепетовку (3398,47).</w:t>
      </w:r>
    </w:p>
    <w:p w14:paraId="0F630A5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9085F8" w14:textId="77777777" w:rsidR="00A178F0"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7470572E" w14:textId="77777777" w:rsidR="00A178F0" w:rsidRPr="00070ADE" w:rsidRDefault="00A178F0"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CD629F" w14:textId="77777777" w:rsidR="00A178F0" w:rsidRPr="00070ADE" w:rsidRDefault="00A178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27 января</w:t>
      </w:r>
      <w:r w:rsidRPr="00070ADE">
        <w:rPr>
          <w:rFonts w:ascii="Times New Roman" w:hAnsi="Times New Roman"/>
          <w:color w:val="000000" w:themeColor="text1"/>
          <w:sz w:val="16"/>
          <w:szCs w:val="16"/>
        </w:rPr>
        <w:t xml:space="preserve"> в 1944 году начала действовать железная дорога Москва – Ленинград (15022).</w:t>
      </w:r>
    </w:p>
    <w:p w14:paraId="264D183F" w14:textId="77777777" w:rsidR="00A178F0" w:rsidRPr="00070ADE" w:rsidRDefault="00A178F0" w:rsidP="00B56F90">
      <w:pPr>
        <w:spacing w:after="0" w:line="240" w:lineRule="auto"/>
        <w:jc w:val="both"/>
        <w:rPr>
          <w:rFonts w:ascii="Times New Roman" w:hAnsi="Times New Roman"/>
          <w:color w:val="000000" w:themeColor="text1"/>
          <w:sz w:val="16"/>
          <w:szCs w:val="16"/>
        </w:rPr>
      </w:pPr>
    </w:p>
    <w:p w14:paraId="67627B8C" w14:textId="3AB5961C" w:rsidR="004D3DA4" w:rsidRPr="00070ADE" w:rsidRDefault="004D3DA4"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70ADE">
        <w:rPr>
          <w:rFonts w:ascii="Times New Roman" w:hAnsi="Times New Roman"/>
          <w:i/>
          <w:iCs/>
          <w:color w:val="000000" w:themeColor="text1"/>
          <w:sz w:val="16"/>
          <w:szCs w:val="16"/>
        </w:rPr>
        <w:t>За рубежом:</w:t>
      </w:r>
    </w:p>
    <w:p w14:paraId="2704A269" w14:textId="77777777" w:rsidR="004D3DA4" w:rsidRPr="00070ADE" w:rsidRDefault="004D3DA4"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7127E86" w14:textId="77777777" w:rsidR="004D3DA4" w:rsidRPr="00070ADE" w:rsidRDefault="004D3DA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27–28 января (ночь) 1944 530 британских бомбардировщиков совершают налет на Берлин. Немецкие ночные истребители отправляются на расстояние до 75 миль (121 км) над Северным морем, чтобы перехватить их, но многие из них сбиваются с курса из-за британской, и потери сокращаются до 33 ланкастеров (6,4 процента тяжелых бомбардировщиков). Этот рейд оказывается неудачным, т.к. бомбы падабт беспорядочно из - за облачности (20373).</w:t>
      </w:r>
    </w:p>
    <w:p w14:paraId="0B8C9773" w14:textId="77777777" w:rsidR="004D3DA4" w:rsidRPr="00070ADE" w:rsidRDefault="004D3DA4" w:rsidP="00B56F90">
      <w:pPr>
        <w:spacing w:after="0" w:line="240" w:lineRule="auto"/>
        <w:jc w:val="both"/>
        <w:rPr>
          <w:rFonts w:ascii="Times New Roman" w:hAnsi="Times New Roman"/>
          <w:color w:val="000000" w:themeColor="text1"/>
          <w:sz w:val="16"/>
          <w:szCs w:val="16"/>
        </w:rPr>
      </w:pPr>
    </w:p>
    <w:p w14:paraId="1F995870" w14:textId="77777777" w:rsidR="004D3DA4" w:rsidRPr="00070ADE" w:rsidRDefault="004D3DA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1944 у японцев на Маршалловых островах находится 150 боевых самолетов (20373).</w:t>
      </w:r>
    </w:p>
    <w:p w14:paraId="58E2944E" w14:textId="77777777" w:rsidR="004D3DA4" w:rsidRPr="00070ADE" w:rsidRDefault="004D3DA4" w:rsidP="00B56F90">
      <w:pPr>
        <w:spacing w:after="0" w:line="240" w:lineRule="auto"/>
        <w:jc w:val="both"/>
        <w:rPr>
          <w:rFonts w:ascii="Times New Roman" w:hAnsi="Times New Roman"/>
          <w:color w:val="000000" w:themeColor="text1"/>
          <w:sz w:val="16"/>
          <w:szCs w:val="16"/>
        </w:rPr>
      </w:pPr>
    </w:p>
    <w:p w14:paraId="76A80259" w14:textId="482AA4E4"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266F0B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27F18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января 1944 инженер Казанского завода рапортовал, что АНТ-42 дублер, Пе-8 (ТБ-7) N 385 Д совершил 113 боевых вылета, но после перекраски может быть возвращен в войска. Потом попал в полярную авиацию (1103,28).</w:t>
      </w:r>
    </w:p>
    <w:p w14:paraId="5069E8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F9939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28 января 1944 согласно журнала наблюдения за проектированием, постройкой и испытаниями МиГ-3 за 20 февраля 1944 на МиГ-3 2Д произвели 2 полета. На самолете устранены дефекты для передачи машины в НИИ ВВС . На самолете установлен новый облегченный винт АВ-6Л-126Е. Облегчен на 25,3 кг (992,12).</w:t>
      </w:r>
    </w:p>
    <w:p w14:paraId="46A014D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64D8303"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6A7AEF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EFAE91"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ян</w:t>
      </w:r>
      <w:r w:rsidRPr="00070ADE">
        <w:rPr>
          <w:rFonts w:ascii="Times New Roman" w:hAnsi="Times New Roman"/>
          <w:color w:val="000000" w:themeColor="text1"/>
          <w:sz w:val="16"/>
          <w:szCs w:val="16"/>
        </w:rPr>
        <w:softHyphen/>
        <w:t>варя 1944 года на Гороховецком полигоне закончились испытания КВ-85 с заводским № 3107, сня</w:t>
      </w:r>
      <w:r w:rsidRPr="00070ADE">
        <w:rPr>
          <w:rFonts w:ascii="Times New Roman" w:hAnsi="Times New Roman"/>
          <w:color w:val="000000" w:themeColor="text1"/>
          <w:sz w:val="16"/>
          <w:szCs w:val="16"/>
        </w:rPr>
        <w:softHyphen/>
        <w:t>того с гарантийных испытаний, на который поставили 100-мм орудие М-34 (в некоторых доку</w:t>
      </w:r>
      <w:r w:rsidRPr="00070ADE">
        <w:rPr>
          <w:rFonts w:ascii="Times New Roman" w:hAnsi="Times New Roman"/>
          <w:color w:val="000000" w:themeColor="text1"/>
          <w:sz w:val="16"/>
          <w:szCs w:val="16"/>
        </w:rPr>
        <w:softHyphen/>
        <w:t xml:space="preserve">ментах она именуется </w:t>
      </w:r>
      <w:r w:rsidRPr="00070ADE">
        <w:rPr>
          <w:rFonts w:ascii="Times New Roman" w:hAnsi="Times New Roman"/>
          <w:color w:val="000000" w:themeColor="text1"/>
          <w:sz w:val="16"/>
          <w:szCs w:val="16"/>
          <w:lang w:val="en-US"/>
        </w:rPr>
        <w:t>KB</w:t>
      </w:r>
      <w:r w:rsidRPr="00070ADE">
        <w:rPr>
          <w:rFonts w:ascii="Times New Roman" w:hAnsi="Times New Roman"/>
          <w:color w:val="000000" w:themeColor="text1"/>
          <w:sz w:val="16"/>
          <w:szCs w:val="16"/>
        </w:rPr>
        <w:t>-100), которые шли с 22 января.</w:t>
      </w:r>
    </w:p>
    <w:p w14:paraId="0B08C80C" w14:textId="77777777" w:rsidR="00D9700C" w:rsidRPr="00070ADE" w:rsidRDefault="00D9700C"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В связи с тем, что пушка С-34 имела го</w:t>
      </w:r>
      <w:r w:rsidRPr="00070ADE">
        <w:rPr>
          <w:rFonts w:ascii="Times New Roman" w:cs="Times New Roman"/>
          <w:color w:val="000000" w:themeColor="text1"/>
          <w:spacing w:val="0"/>
        </w:rPr>
        <w:softHyphen/>
        <w:t>ризонтальный полуавтоматический затвор, для удобства работы заряжающего его рабо</w:t>
      </w:r>
      <w:r w:rsidRPr="00070ADE">
        <w:rPr>
          <w:rFonts w:ascii="Times New Roman" w:cs="Times New Roman"/>
          <w:color w:val="000000" w:themeColor="text1"/>
          <w:spacing w:val="0"/>
        </w:rPr>
        <w:softHyphen/>
        <w:t>чее место перенесли в левую часть башни, а места наводчика и командира - в правую. В связи с этим пришлось перенести и коман</w:t>
      </w:r>
      <w:r w:rsidRPr="00070ADE">
        <w:rPr>
          <w:rFonts w:ascii="Times New Roman" w:cs="Times New Roman"/>
          <w:color w:val="000000" w:themeColor="text1"/>
          <w:spacing w:val="0"/>
        </w:rPr>
        <w:softHyphen/>
        <w:t>дирскую башенку — теперь она устанавлива</w:t>
      </w:r>
      <w:r w:rsidRPr="00070ADE">
        <w:rPr>
          <w:rFonts w:ascii="Times New Roman" w:cs="Times New Roman"/>
          <w:color w:val="000000" w:themeColor="text1"/>
          <w:spacing w:val="0"/>
        </w:rPr>
        <w:softHyphen/>
        <w:t>лась на крыше башни справа.</w:t>
      </w:r>
    </w:p>
    <w:p w14:paraId="6AEF1FE4" w14:textId="77777777" w:rsidR="00D9700C" w:rsidRPr="00070ADE" w:rsidRDefault="00D9700C"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Пушка С-34 имела длину ствола 55,9 ка</w:t>
      </w:r>
      <w:r w:rsidRPr="00070ADE">
        <w:rPr>
          <w:rFonts w:ascii="Times New Roman" w:cs="Times New Roman"/>
          <w:color w:val="000000" w:themeColor="text1"/>
          <w:spacing w:val="0"/>
        </w:rPr>
        <w:softHyphen/>
        <w:t>либров, углы вертикального наведения со</w:t>
      </w:r>
      <w:r w:rsidRPr="00070ADE">
        <w:rPr>
          <w:rFonts w:ascii="Times New Roman" w:cs="Times New Roman"/>
          <w:color w:val="000000" w:themeColor="text1"/>
          <w:spacing w:val="0"/>
        </w:rPr>
        <w:softHyphen/>
        <w:t>ставляли от -3 до +18,30 градусов. Мак</w:t>
      </w:r>
      <w:r w:rsidRPr="00070ADE">
        <w:rPr>
          <w:rFonts w:ascii="Times New Roman" w:cs="Times New Roman"/>
          <w:color w:val="000000" w:themeColor="text1"/>
          <w:spacing w:val="0"/>
        </w:rPr>
        <w:softHyphen/>
        <w:t>симальная длина отката не превышала 450 мм. Орудие могло вести огонь унитар</w:t>
      </w:r>
      <w:r w:rsidRPr="00070ADE">
        <w:rPr>
          <w:rFonts w:ascii="Times New Roman" w:cs="Times New Roman"/>
          <w:color w:val="000000" w:themeColor="text1"/>
          <w:spacing w:val="0"/>
        </w:rPr>
        <w:softHyphen/>
        <w:t>ными выстрелами с бронебойным и оско- лочно-фугасным снарядом. Бронебойный с начальной скоростью 900 м/с на даль</w:t>
      </w:r>
      <w:r w:rsidRPr="00070ADE">
        <w:rPr>
          <w:rFonts w:ascii="Times New Roman" w:cs="Times New Roman"/>
          <w:color w:val="000000" w:themeColor="text1"/>
          <w:spacing w:val="0"/>
        </w:rPr>
        <w:softHyphen/>
        <w:t>ности 500 м пробивал 160 мм броню, уста</w:t>
      </w:r>
      <w:r w:rsidRPr="00070ADE">
        <w:rPr>
          <w:rFonts w:ascii="Times New Roman" w:cs="Times New Roman"/>
          <w:color w:val="000000" w:themeColor="text1"/>
          <w:spacing w:val="0"/>
        </w:rPr>
        <w:softHyphen/>
        <w:t>новленную вертикально. Возимый боеком</w:t>
      </w:r>
      <w:r w:rsidRPr="00070ADE">
        <w:rPr>
          <w:rFonts w:ascii="Times New Roman" w:cs="Times New Roman"/>
          <w:color w:val="000000" w:themeColor="text1"/>
          <w:spacing w:val="0"/>
        </w:rPr>
        <w:softHyphen/>
        <w:t xml:space="preserve">плект </w:t>
      </w:r>
      <w:r w:rsidRPr="00070ADE">
        <w:rPr>
          <w:rFonts w:ascii="Times New Roman" w:cs="Times New Roman"/>
          <w:color w:val="000000" w:themeColor="text1"/>
          <w:spacing w:val="0"/>
          <w:lang w:val="en-US"/>
        </w:rPr>
        <w:t>KB</w:t>
      </w:r>
      <w:r w:rsidRPr="00070ADE">
        <w:rPr>
          <w:rFonts w:ascii="Times New Roman" w:cs="Times New Roman"/>
          <w:color w:val="000000" w:themeColor="text1"/>
          <w:spacing w:val="0"/>
        </w:rPr>
        <w:t>-100 составлял 31 выстрел к пуш</w:t>
      </w:r>
      <w:r w:rsidRPr="00070ADE">
        <w:rPr>
          <w:rFonts w:ascii="Times New Roman" w:cs="Times New Roman"/>
          <w:color w:val="000000" w:themeColor="text1"/>
          <w:spacing w:val="0"/>
        </w:rPr>
        <w:softHyphen/>
        <w:t>ке, 37 дисков к пулемету ДТ (2331 патрон) и 25 гранат Ф-1.</w:t>
      </w:r>
    </w:p>
    <w:p w14:paraId="72A75C1F"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заключение отчета об испытании </w:t>
      </w:r>
      <w:r w:rsidRPr="00070ADE">
        <w:rPr>
          <w:rFonts w:ascii="Times New Roman" w:hAnsi="Times New Roman"/>
          <w:color w:val="000000" w:themeColor="text1"/>
          <w:sz w:val="16"/>
          <w:szCs w:val="16"/>
          <w:lang w:val="en-US"/>
        </w:rPr>
        <w:t>KB</w:t>
      </w:r>
      <w:r w:rsidRPr="00070ADE">
        <w:rPr>
          <w:rFonts w:ascii="Times New Roman" w:hAnsi="Times New Roman"/>
          <w:color w:val="000000" w:themeColor="text1"/>
          <w:sz w:val="16"/>
          <w:szCs w:val="16"/>
        </w:rPr>
        <w:t>-100 говорилось, что 100-мм пушка С-34 после доработки и устранения недостатков может быть рекомендована для принятия на воору</w:t>
      </w:r>
      <w:r w:rsidRPr="00070ADE">
        <w:rPr>
          <w:rFonts w:ascii="Times New Roman" w:hAnsi="Times New Roman"/>
          <w:color w:val="000000" w:themeColor="text1"/>
          <w:sz w:val="16"/>
          <w:szCs w:val="16"/>
        </w:rPr>
        <w:softHyphen/>
        <w:t>жение тяжелых танков и самоходок. Отме</w:t>
      </w:r>
      <w:r w:rsidRPr="00070ADE">
        <w:rPr>
          <w:rFonts w:ascii="Times New Roman" w:hAnsi="Times New Roman"/>
          <w:color w:val="000000" w:themeColor="text1"/>
          <w:sz w:val="16"/>
          <w:szCs w:val="16"/>
        </w:rPr>
        <w:softHyphen/>
        <w:t>ченные недостатки в конструкции С-34 учли при изготовлении еше двух образцов этого орудия. В июне 1944 года они испытывались на танках ИС и Т-34 (15226).</w:t>
      </w:r>
    </w:p>
    <w:p w14:paraId="1985F97D" w14:textId="77777777" w:rsidR="00D9700C" w:rsidRPr="00070ADE" w:rsidRDefault="00D9700C" w:rsidP="00B56F90">
      <w:pPr>
        <w:spacing w:after="0" w:line="240" w:lineRule="auto"/>
        <w:jc w:val="both"/>
        <w:rPr>
          <w:rFonts w:ascii="Times New Roman" w:hAnsi="Times New Roman"/>
          <w:color w:val="000000" w:themeColor="text1"/>
          <w:sz w:val="16"/>
          <w:szCs w:val="16"/>
        </w:rPr>
      </w:pPr>
    </w:p>
    <w:p w14:paraId="4E08C912" w14:textId="77777777" w:rsidR="004D3DA4" w:rsidRPr="00070ADE" w:rsidRDefault="004D3DA4" w:rsidP="00B56F90">
      <w:pPr>
        <w:shd w:val="clear" w:color="auto" w:fill="FFFFFF"/>
        <w:spacing w:after="0" w:line="240" w:lineRule="auto"/>
        <w:jc w:val="both"/>
        <w:rPr>
          <w:rStyle w:val="631"/>
          <w:rFonts w:ascii="Times New Roman" w:hAnsi="Times New Roman" w:cs="Times New Roman"/>
          <w:color w:val="000000" w:themeColor="text1"/>
          <w:sz w:val="16"/>
          <w:szCs w:val="16"/>
        </w:rPr>
      </w:pPr>
      <w:r w:rsidRPr="00070ADE">
        <w:rPr>
          <w:rStyle w:val="631"/>
          <w:rFonts w:ascii="Times New Roman" w:hAnsi="Times New Roman" w:cs="Times New Roman"/>
          <w:color w:val="000000" w:themeColor="text1"/>
          <w:sz w:val="16"/>
          <w:szCs w:val="16"/>
        </w:rPr>
        <w:t>28 января 1944 Д5-С-85А прошла успеш</w:t>
      </w:r>
      <w:r w:rsidRPr="00070ADE">
        <w:rPr>
          <w:rStyle w:val="631"/>
          <w:rFonts w:ascii="Times New Roman" w:hAnsi="Times New Roman" w:cs="Times New Roman"/>
          <w:color w:val="000000" w:themeColor="text1"/>
          <w:sz w:val="16"/>
          <w:szCs w:val="16"/>
        </w:rPr>
        <w:softHyphen/>
        <w:t>ные испытания в СУ-85, после чего приняли решение о запуске орудия в серийное про</w:t>
      </w:r>
      <w:r w:rsidRPr="00070ADE">
        <w:rPr>
          <w:rStyle w:val="631"/>
          <w:rFonts w:ascii="Times New Roman" w:hAnsi="Times New Roman" w:cs="Times New Roman"/>
          <w:color w:val="000000" w:themeColor="text1"/>
          <w:sz w:val="16"/>
          <w:szCs w:val="16"/>
        </w:rPr>
        <w:softHyphen/>
        <w:t>изводство. Первые орудия данного типа завод №8 сдал в феврале 1944 года. За этот месяц завод №9 сдал 139 пушек Д5-С-85, а завод №8 - 42, часть из которых была Д5-С- 85А. Самоходные установки с системами Д5- С-85А получили название СУ-85А, что также отражалось на серийном номере машины. Если машина оснащалась Д5-С-85А, то в конце серийного номера выбивалась буква «А» (19889).</w:t>
      </w:r>
    </w:p>
    <w:p w14:paraId="4216841E" w14:textId="77777777" w:rsidR="004D3DA4" w:rsidRPr="00070ADE" w:rsidRDefault="004D3DA4" w:rsidP="00B56F90">
      <w:pPr>
        <w:spacing w:after="0" w:line="240" w:lineRule="auto"/>
        <w:jc w:val="both"/>
        <w:rPr>
          <w:rFonts w:ascii="Times New Roman" w:hAnsi="Times New Roman"/>
          <w:color w:val="000000" w:themeColor="text1"/>
          <w:sz w:val="16"/>
          <w:szCs w:val="16"/>
        </w:rPr>
      </w:pPr>
    </w:p>
    <w:p w14:paraId="4F1FB4CE" w14:textId="77777777" w:rsidR="00FA6359" w:rsidRPr="00C94B78" w:rsidRDefault="00FA635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28 января 1944 года Технический проект Д-10с был готов. Орудие имело такую же длину ствола и начальную скорость снаряда, что и Б-34. Вес качающейся части без бронировки составил 1820 кг, а с бронировкой, имеющей толщину 90 мм, вес составил 2250 кг. Изначальный проект не предполагал телескопического прицела, вместо него предполагалось использовать панорамный прицел. Впрочем, далее установили телескопический прицел 10Т-15. В феврале 1944 года был изготовлен опытный образец орудия, параллельно изготовили и танковую версию системы, Д-10Т (24928).</w:t>
      </w:r>
    </w:p>
    <w:p w14:paraId="0E682A9D" w14:textId="77777777" w:rsidR="00FA6359" w:rsidRPr="00C94B78" w:rsidRDefault="00FA6359" w:rsidP="00B56F90">
      <w:pPr>
        <w:spacing w:after="0" w:line="240" w:lineRule="auto"/>
        <w:jc w:val="both"/>
        <w:rPr>
          <w:rFonts w:ascii="Times New Roman" w:hAnsi="Times New Roman"/>
          <w:color w:val="0070C0"/>
          <w:sz w:val="16"/>
          <w:szCs w:val="16"/>
        </w:rPr>
      </w:pPr>
    </w:p>
    <w:p w14:paraId="43C0FD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января 1944 г. была подготовлена ДОКЛАДНАЯ ЗАПИСКА НАЧАЛЬНИКА ГБТУ КА КОМАНДУЮЩЕМУ БТ и МВ КА О ХОДЕ ИСПЫТАНИЙ САМОХОДНОЙ АРТИЛЛЕРИЙСКОЙ УСТАНОВКИ</w:t>
      </w:r>
    </w:p>
    <w:p w14:paraId="5DC4A1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 о ходе полигонных испытаний самоходной артиллерийской установки с 85-мм пушкой Д-5, конструкции ГАЗ им. Молотова.</w:t>
      </w:r>
    </w:p>
    <w:p w14:paraId="5B67B3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Полигонные испытания начались по предъявлении заводом самоходной установки 3 января 1944 г.</w:t>
      </w:r>
    </w:p>
    <w:p w14:paraId="346E8BF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время ходовых испытаний выявились серьезные дефекты двигателей: две поломки выхлоп</w:t>
      </w:r>
      <w:r w:rsidRPr="00070ADE">
        <w:rPr>
          <w:rFonts w:ascii="Times New Roman" w:hAnsi="Times New Roman"/>
          <w:color w:val="000000" w:themeColor="text1"/>
          <w:sz w:val="16"/>
          <w:szCs w:val="16"/>
        </w:rPr>
        <w:softHyphen/>
        <w:t>ного клапана первого цилиндра заднего двигателя.</w:t>
      </w:r>
    </w:p>
    <w:p w14:paraId="0FFCB9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пробега 380 км, заводом двигатели в самоходе были заменены.</w:t>
      </w:r>
    </w:p>
    <w:p w14:paraId="6D647E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дальнейших ходовых испытаний двигатели снова вышли из строя.</w:t>
      </w:r>
    </w:p>
    <w:p w14:paraId="434FED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просьбе завода полигонные испытания самохода приостановлены.</w:t>
      </w:r>
    </w:p>
    <w:p w14:paraId="6C6795F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ГАЗ им. Молотова ведет работу по замене двигателей, и самоход будет предъ</w:t>
      </w:r>
      <w:r w:rsidRPr="00070ADE">
        <w:rPr>
          <w:rFonts w:ascii="Times New Roman" w:hAnsi="Times New Roman"/>
          <w:color w:val="000000" w:themeColor="text1"/>
          <w:sz w:val="16"/>
          <w:szCs w:val="16"/>
        </w:rPr>
        <w:softHyphen/>
        <w:t>явлен вновь на полигонные испытания в начале февраля 1944 г. без зачета ранее сделанных пробегов.</w:t>
      </w:r>
    </w:p>
    <w:p w14:paraId="5CF0B15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ГБТУ Красной Армии генерал-лейтенант танковых войск Вершинин</w:t>
      </w:r>
    </w:p>
    <w:p w14:paraId="18CF5E0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11369. Д. 481. Л. 16. Подлинник (11403).</w:t>
      </w:r>
    </w:p>
    <w:p w14:paraId="6657C23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FC3436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января 1944 вышло Распоряжение ГКО № 5065 [О передаче на постоянную работу Владивостокскому порту 1 тыс. военнослужащих, не годных к строевой службе, из войск ДВФ.] (7180, 157).</w:t>
      </w:r>
    </w:p>
    <w:p w14:paraId="10FD847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CF65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января 1944 г. адмиралом Л. М. Галлером был утвержден предэскизный проект торпедного катера на воздушной подушке (пр. 171), разработанный под руководством В. И. Левкова, и на его основе ВМФ подготовил тактико-техническое задание на боевой торпедный КВП. Но на пути создания таких катеров стояло еще много научно-технических проблем, которые не могли быть решены быстро. По</w:t>
      </w:r>
      <w:r w:rsidRPr="00070ADE">
        <w:rPr>
          <w:rFonts w:ascii="Times New Roman" w:hAnsi="Times New Roman"/>
          <w:color w:val="000000" w:themeColor="text1"/>
          <w:sz w:val="16"/>
          <w:szCs w:val="16"/>
        </w:rPr>
        <w:softHyphen/>
        <w:t>этому работы были продолжены уже после войны, а в 1954 г. в свя</w:t>
      </w:r>
      <w:r w:rsidRPr="00070ADE">
        <w:rPr>
          <w:rFonts w:ascii="Times New Roman" w:hAnsi="Times New Roman"/>
          <w:color w:val="000000" w:themeColor="text1"/>
          <w:sz w:val="16"/>
          <w:szCs w:val="16"/>
        </w:rPr>
        <w:softHyphen/>
        <w:t>зи со смертью Левкова практически свернуты (3898).</w:t>
      </w:r>
    </w:p>
    <w:p w14:paraId="777AA5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22B1AA"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90694C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85B3B1"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 xml:space="preserve">28 января </w:t>
      </w:r>
      <w:r w:rsidRPr="00070ADE">
        <w:rPr>
          <w:rFonts w:ascii="Times New Roman" w:hAnsi="Times New Roman"/>
          <w:color w:val="000000" w:themeColor="text1"/>
          <w:sz w:val="16"/>
          <w:szCs w:val="16"/>
        </w:rPr>
        <w:t>в 1944 году оперативная сводка Совинформбюро:</w:t>
      </w:r>
    </w:p>
    <w:p w14:paraId="504B3F47"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28 января западнее, юго-западнее и южнее Гатчина наши войска, продолжая развивать наступление, с боями заняли более 50 населённых пунктов, в том числе Воронино, Старые Медуши, Савольщина, Синковицы, Голубовицы, Бегуницы, Артюшкино, Смедово, Черенковицы, Худанки, Арокюль, Княжево, Лисино, Хлоповицы, Заполье, Лиможа, Чёрная, Сосницы, Реполка, Тойво, Никольское, Кривоеколено, Меньково, Кобрино.</w:t>
      </w:r>
    </w:p>
    <w:p w14:paraId="71C7668C"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Волховского фронта после упорных боёв овладели городом и важной железнодорожной станцией Любань и, продвигаясь вперёд, северо-западнее, западнееи южнее Любань овладели населёнными пунктами Пери, Рамболово, Мина, Лисино-Корпус, Сидорово, Усадище, Мельница, Лустовка, Гришкино, Каменка, Болотница, Варваринский, Кирково и железнодорожными станциями Померанье, Трубников Бор, Бабино и Торфяное.</w:t>
      </w:r>
    </w:p>
    <w:p w14:paraId="09B60E4F"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Новгорода наши войска продолжали наступление и овладели населёнными пунктами Жестяная Горка, Раглицы, Марино, Скачели, Огуркова, Мелковичи, Любенец, Голубково, Клевенец, Малые Угороды, Сосенка, Большие Угороды, Заречье, Ильмень, Старый Шимск и железнодорожными станциями Передольская, Кчера. Наши войска перерезали железную дорогу Батецкая-Дно.</w:t>
      </w:r>
    </w:p>
    <w:p w14:paraId="284FB382"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Восточнее Винницы и севернее Христиновка наши войска продолжали отбивать атаки крупных сил пехоты и танков противника.</w:t>
      </w:r>
    </w:p>
    <w:p w14:paraId="14A64EA8"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4B2440FF"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27 января наши войска на всех фронтах подбили и уничтожили 107 немецких танков. В воздушных боях и огнём зенитной артиллерии сбито 30 самолётов противника.</w:t>
      </w:r>
    </w:p>
    <w:p w14:paraId="48DE58CB"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Ленинградского франта продолжали наступление и с боями заняли более 50 населённых пунктов. В происходивших вчера боях за город Волосово уничтожено до 1.500 гитлеровцев. Захвачены у немцев склады с боеприпасами и продовольствием. Юго-западнее города Гатчина наши части разгромили полк пехоты и артиллерийский дивизион противника. Захвачены трофеи, в числе которых 33 орудия разных калибров. Южнее Гатчина наши войска с боями продвигались вперёд и ворвались в один крупный населённый пункт. В этом же районе советские бойцы окружили батальон гитлеровцев. После непродолжительного боя многие немецкие солдаты сложили оружие и сдались в плен.</w:t>
      </w:r>
    </w:p>
    <w:p w14:paraId="15013BA4"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Волховского фронта, продолжая наступление, сегодня в течение дня вели упорные боя в районе города Любань. Атаковав противника, наши бойцы выбили немцев из северо-западной части города. В это время другие наши части юго-восточнее Любань заняли железнодорожные станции Померанье, Трубников бор, Бабино и Торфяное. Последующими ударами советские войска разгромили противника и овладели городом и важной железнодорожной станцией Любань. Немецкий гарнизон,оборонявший город, в большей своей части уничтожен. Захвачено много вооружения, боеприпасов и различных военных материалов.</w:t>
      </w:r>
    </w:p>
    <w:p w14:paraId="6B59B886"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Новгорода наши войска развивали наступление. Преследуя и уничтожая дезорганизованные войска противника,.</w:t>
      </w:r>
    </w:p>
    <w:p w14:paraId="6C08E47D"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части Н-ского соединения овладели железнодорожными станциями Передольская и Кчера и тем самым перерезали железною дорогу Батецкая-Дно. Танкисты под командованием старшего лейтенанта Горохова с десантом автоматчиков под командованием лейтенанта Пчельникова ворвались в важный опорный пункт противника. Советские бойцы истребили две роты гитлеровцев и захватили 6 орудий, 9 тяжёлых миномётов, батарею зенитных орудий, 16 автомашин и склад боеприпасов. Наши подвижные отряды под командованием тт. Корнева и Демидова прорвались в тылы противника и оседлали шоссейную дорогу, по которой отступали вражеские части. Внезапно напав на немецкую колонну, наши бойцы захватили 50 автомашин с грузами.</w:t>
      </w:r>
    </w:p>
    <w:p w14:paraId="2C327A56"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Восточнее Винницы противник, не считаясь с огромными потерями, бросал в бой крупные силы пехоты и танков. Наступавшие немцы вначале были обстреляны сосредоточенным артиллерийским огнём. Затем наши танкисты с фланга нанесли внезапный удар и опрокинули противника. Немцы отступили, оставив на поле боя 1.200 трупов своих солдат и офицеров. Подбито и сожжено 65 немецких танков и самоходных орудий, 9 бронемашин и 18 бронетранспортёров. Севернее Христиновки неоднократные атаки гитлеровцев также не имели успеха.</w:t>
      </w:r>
    </w:p>
    <w:p w14:paraId="278BF083"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одном из районов Ленинградской области, в ночь на 20 января произвёл налёт на немецкий гарнизон, охранявший железнодорожную станцию. В ожесточённой схватке партизаны разгромили гитлеровцеви прервали движение поездов по железной дороге, идущей к линии фронта. Другой отряд ленинградских партизан с 15 по 22 января разрушил 15 километров железнодорожного полотна и пустил под откос 4 немецких воинских эшелона. Разбито 4 паровоза и 65 вагонов с войсками, боеприпасами и вооружением.</w:t>
      </w:r>
    </w:p>
    <w:p w14:paraId="3E969F11"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обер-ефрейтор 13 роты пехотных орудий 315 полка 167 немецкой пехотнойдивизии Гейнц Нюренберг рассказал: «В летних и осенних боях части 167 пехотной дивизии понесли огромные потери в людях и технике. Дивизия получила крупные пополнения, и нам дали приказ любой ценой удержать свои позиции. Однако, когда русские двинулись на нас, солдаты бросили орудия и побежали. У второй линии обороны офицеры остановили бежавших. Командир полка приказал расстреливать на месте всякого, кто самовольно оставит позиции. Но и этот приказ не возымел действия. Когда показались русские танки, снова началась невообразимая паника. Полк был разгромлен. Мы с группой солдат решили остаться в окопе и сдались в плен русским».</w:t>
      </w:r>
    </w:p>
    <w:p w14:paraId="336121F9"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Жители города Сарны составили акт о зверствах немецко-фашистских мерзавцев. В акте говорится: «Немецкие бандиты расстреляли и замучили 13 тысяч жителей нашего города и окрестных сёл. Гитлеровские палачи растерзали в застенках гестапо 23 медицинских работников. Зверскую расправу учинили немцы над священниками Петром Калиновичем и Александром Кухарским. Фашистские изверги облили их смолой и сожгли на костре. Ксендза Людвига Врадарчика гитлеровцы расстреляли. Более тысячи юношей и девушек немцы угнали на каторгу в Германию. Отступая из города, фашистские варвары разрушили и сожгли около 400 домов, разгромили туберкулёзный диспансер, детский дом, поликлинику и все школьные здания».</w:t>
      </w:r>
    </w:p>
    <w:p w14:paraId="30611C48"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жители города Сарны: врачи Н.Тощевиков, А.Гамалицкий,учительница А.Пилотовская, священник Г.Палии и другие (15023).</w:t>
      </w:r>
    </w:p>
    <w:p w14:paraId="1886D34B" w14:textId="77777777" w:rsidR="00D9700C" w:rsidRPr="00070ADE" w:rsidRDefault="00D9700C" w:rsidP="00B56F90">
      <w:pPr>
        <w:spacing w:after="0" w:line="240" w:lineRule="auto"/>
        <w:jc w:val="both"/>
        <w:rPr>
          <w:rFonts w:ascii="Times New Roman" w:hAnsi="Times New Roman"/>
          <w:color w:val="000000" w:themeColor="text1"/>
          <w:sz w:val="16"/>
          <w:szCs w:val="16"/>
        </w:rPr>
      </w:pPr>
    </w:p>
    <w:p w14:paraId="0764B59F" w14:textId="77777777" w:rsidR="00792F77" w:rsidRPr="00070ADE" w:rsidRDefault="00792F77" w:rsidP="00B56F90">
      <w:pPr>
        <w:pStyle w:val="ae"/>
        <w:spacing w:before="0" w:after="0"/>
        <w:jc w:val="both"/>
        <w:textAlignment w:val="baseline"/>
        <w:rPr>
          <w:color w:val="000000" w:themeColor="text1"/>
          <w:sz w:val="16"/>
          <w:szCs w:val="16"/>
        </w:rPr>
      </w:pPr>
      <w:r w:rsidRPr="00070ADE">
        <w:rPr>
          <w:color w:val="000000" w:themeColor="text1"/>
          <w:sz w:val="16"/>
          <w:szCs w:val="16"/>
        </w:rPr>
        <w:t>28 января 1944 года. В этот день в 16:35 группа из 35 немецких танков во взаимодействии с пехотой двинулась в сторону совхоза им. Тельмана. По советским сведениям, в атаке участвовала 1-я танковая дивизия СС. Совхоз обороняло 60 человек с приданными им двумя КВ-85 и двумя СУ-122 под командованием старшего лейтенанта И.Л. Подуста. По советским данным, после трёх атак на совхоз немцы не досчитались пяти Pz.Kpfw.Tiger Ausf.E, двух Pz.Kpfw.IV, трёх Pz.Kpfw.III, семи бронетранспортёров и шести противотанковых орудий. Видя, что противник решил окружить совхоз, Подуст вывел обороняющихся из окружения. За этот бой он получил орден Красного Знамени.</w:t>
      </w:r>
    </w:p>
    <w:p w14:paraId="3D985247" w14:textId="77777777" w:rsidR="00792F77" w:rsidRPr="00070ADE" w:rsidRDefault="00792F77" w:rsidP="00B56F90">
      <w:pPr>
        <w:pStyle w:val="ae"/>
        <w:spacing w:before="0" w:after="0"/>
        <w:jc w:val="both"/>
        <w:textAlignment w:val="baseline"/>
        <w:rPr>
          <w:color w:val="000000" w:themeColor="text1"/>
          <w:sz w:val="16"/>
          <w:szCs w:val="16"/>
        </w:rPr>
      </w:pPr>
      <w:r w:rsidRPr="00070ADE">
        <w:rPr>
          <w:color w:val="000000" w:themeColor="text1"/>
          <w:sz w:val="16"/>
          <w:szCs w:val="16"/>
        </w:rPr>
        <w:t>Особенно отличился экипаж КВ-85 под командованием лейтенанта С.И. Кулешова, уничтоживший 2 «Тигра» и 1 Pz.Kpfw.IV. При попытке немецкой пехоты вплотную подойти к танкам машина Кулешова гусеницами перемолотила примерно 15 человек, остальные разбежались. Наградой за бой стал орден Отечественной войны II степени. Ещё один «Тигр» оказался на счету СУ-122 под командованием гвардии лейтенанта В.Ф. Михеева.</w:t>
      </w:r>
    </w:p>
    <w:p w14:paraId="17994C81" w14:textId="77777777" w:rsidR="00792F77" w:rsidRPr="00070ADE" w:rsidRDefault="00792F77" w:rsidP="00B56F90">
      <w:pPr>
        <w:spacing w:after="0" w:line="240" w:lineRule="auto"/>
        <w:jc w:val="both"/>
        <w:rPr>
          <w:rFonts w:ascii="Times New Roman" w:hAnsi="Times New Roman"/>
          <w:color w:val="000000" w:themeColor="text1"/>
          <w:sz w:val="16"/>
          <w:szCs w:val="16"/>
        </w:rPr>
      </w:pPr>
    </w:p>
    <w:p w14:paraId="6F18BB1D"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 xml:space="preserve">28 января </w:t>
      </w:r>
      <w:r w:rsidRPr="00070ADE">
        <w:rPr>
          <w:rFonts w:ascii="Times New Roman" w:hAnsi="Times New Roman"/>
          <w:color w:val="000000" w:themeColor="text1"/>
          <w:sz w:val="16"/>
          <w:szCs w:val="16"/>
        </w:rPr>
        <w:t>в 1944 году ударные группировки 1-го и 2-го Украинских фронтов соединились в районе Звенигородки, завершив окружение корсунь-шевченковской группировки противника (15023).</w:t>
      </w:r>
    </w:p>
    <w:p w14:paraId="22CF47F7" w14:textId="77777777" w:rsidR="00D9700C" w:rsidRPr="00070ADE" w:rsidRDefault="00D9700C" w:rsidP="00B56F90">
      <w:pPr>
        <w:spacing w:after="0" w:line="240" w:lineRule="auto"/>
        <w:jc w:val="both"/>
        <w:rPr>
          <w:rFonts w:ascii="Times New Roman" w:hAnsi="Times New Roman"/>
          <w:color w:val="000000" w:themeColor="text1"/>
          <w:sz w:val="16"/>
          <w:szCs w:val="16"/>
        </w:rPr>
      </w:pPr>
    </w:p>
    <w:p w14:paraId="05088F19"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 xml:space="preserve">28 января </w:t>
      </w:r>
      <w:r w:rsidRPr="00070ADE">
        <w:rPr>
          <w:rFonts w:ascii="Times New Roman" w:hAnsi="Times New Roman"/>
          <w:color w:val="000000" w:themeColor="text1"/>
          <w:sz w:val="16"/>
          <w:szCs w:val="16"/>
        </w:rPr>
        <w:t>в 1944 году безуспешные попытки немецких войск деблокировать корсунь-шевченковскую группировку (15023).</w:t>
      </w:r>
    </w:p>
    <w:p w14:paraId="346666AF" w14:textId="77777777" w:rsidR="00D9700C" w:rsidRPr="00070ADE" w:rsidRDefault="00D9700C" w:rsidP="00B56F90">
      <w:pPr>
        <w:spacing w:after="0" w:line="240" w:lineRule="auto"/>
        <w:jc w:val="both"/>
        <w:rPr>
          <w:rFonts w:ascii="Times New Roman" w:hAnsi="Times New Roman"/>
          <w:color w:val="000000" w:themeColor="text1"/>
          <w:sz w:val="16"/>
          <w:szCs w:val="16"/>
        </w:rPr>
      </w:pPr>
    </w:p>
    <w:p w14:paraId="577E0EA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January 28, 1944: In the Ukraine, the Red Army succeeds in encircling several German divisions in the area of Tcherkassy (3819).</w:t>
      </w:r>
    </w:p>
    <w:p w14:paraId="1A06118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5DAA2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28 января 1944 был закрыт Корсунь-Шевченковский котел (2070,178).</w:t>
      </w:r>
    </w:p>
    <w:p w14:paraId="5F965F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ECEA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января 1944 1ПбФ (И.Х.Баграмян) и БФ (В.Ф.Трибуц) освободили Клайпеду (Мемель) (3398,48).</w:t>
      </w:r>
    </w:p>
    <w:p w14:paraId="69DF254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A598C4"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5BE262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F27D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28 января по 1 февраля состоялась 10 сессия ВС СССР и НКО и НКИД были преобразован из союзных в союзно-республиканские (3907,368).</w:t>
      </w:r>
    </w:p>
    <w:p w14:paraId="6FC06C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0B3216"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 xml:space="preserve">28 января </w:t>
      </w:r>
      <w:r w:rsidRPr="00070ADE">
        <w:rPr>
          <w:rFonts w:ascii="Times New Roman" w:hAnsi="Times New Roman"/>
          <w:color w:val="000000" w:themeColor="text1"/>
          <w:sz w:val="16"/>
          <w:szCs w:val="16"/>
        </w:rPr>
        <w:t>в 1944 году (28 января-1 февраля) Х сессия Верховного Совета СССР. Принятие законов о Государственном бюджете СССР на 1944 г., преобразовании Народного комиссариата обороны и Народного комиссариата иностранных дел из общесоюзных в союзно-республиканские народные комиссариаты (15023).</w:t>
      </w:r>
    </w:p>
    <w:p w14:paraId="7C8D5646" w14:textId="77777777" w:rsidR="00D9700C" w:rsidRPr="00070ADE" w:rsidRDefault="00D9700C" w:rsidP="00B56F90">
      <w:pPr>
        <w:spacing w:after="0" w:line="240" w:lineRule="auto"/>
        <w:jc w:val="both"/>
        <w:rPr>
          <w:rFonts w:ascii="Times New Roman" w:hAnsi="Times New Roman"/>
          <w:color w:val="000000" w:themeColor="text1"/>
          <w:sz w:val="16"/>
          <w:szCs w:val="16"/>
        </w:rPr>
      </w:pPr>
    </w:p>
    <w:p w14:paraId="5533A4EE" w14:textId="77777777" w:rsidR="00D9700C"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394B0EB6" w14:textId="77777777" w:rsidR="00D9700C" w:rsidRPr="00070ADE" w:rsidRDefault="00D9700C"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A452BC" w14:textId="77777777" w:rsidR="004D3DA4" w:rsidRPr="00070ADE" w:rsidRDefault="004D3DA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января 1944 54 бомбардировщика 8-й воздушной армии в сопровождении 122 истребителей без потерь наносят удар по объекту ФАУ-1 в Боннере, Франция (20373).</w:t>
      </w:r>
    </w:p>
    <w:p w14:paraId="2106C426" w14:textId="77777777" w:rsidR="004D3DA4" w:rsidRPr="00070ADE" w:rsidRDefault="004D3DA4" w:rsidP="00B56F90">
      <w:pPr>
        <w:spacing w:after="0" w:line="240" w:lineRule="auto"/>
        <w:jc w:val="both"/>
        <w:rPr>
          <w:rFonts w:ascii="Times New Roman" w:hAnsi="Times New Roman"/>
          <w:color w:val="000000" w:themeColor="text1"/>
          <w:sz w:val="16"/>
          <w:szCs w:val="16"/>
        </w:rPr>
      </w:pPr>
    </w:p>
    <w:p w14:paraId="1B9FB515" w14:textId="77777777" w:rsidR="004D3DA4" w:rsidRPr="00070ADE" w:rsidRDefault="004D3DA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28–29 января (ночь) 1944 677 британских бомбардировщиков атакуют Берлин. Немецкие ночные истребители перехватывают их над целью, и 46 бомбардировщиков (6,8% сил) потеряны. Бомбы поражают западный и южный Берлин, но также разлетаются достаточно, чтобы поразить 77 других территорий (20373).</w:t>
      </w:r>
    </w:p>
    <w:p w14:paraId="58F2A0D9" w14:textId="77777777" w:rsidR="004D3DA4" w:rsidRPr="00070ADE" w:rsidRDefault="004D3DA4" w:rsidP="00B56F90">
      <w:pPr>
        <w:spacing w:after="0" w:line="240" w:lineRule="auto"/>
        <w:jc w:val="both"/>
        <w:rPr>
          <w:rFonts w:ascii="Times New Roman" w:hAnsi="Times New Roman"/>
          <w:color w:val="000000" w:themeColor="text1"/>
          <w:sz w:val="16"/>
          <w:szCs w:val="16"/>
        </w:rPr>
      </w:pPr>
    </w:p>
    <w:p w14:paraId="6F1183D7" w14:textId="77777777" w:rsidR="004D3DA4" w:rsidRPr="00070ADE" w:rsidRDefault="004D3DA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28–29 января (ночь) 1944 Впервые используется Pathfinder для поддержки самолетов RAF Bomber Commandю Четыре Pathfinder самолета помогли 63 Шорт Stirlings сбросив морские мины в Киле, Германия (20373).</w:t>
      </w:r>
    </w:p>
    <w:p w14:paraId="0DFBB53C" w14:textId="77777777" w:rsidR="004D3DA4" w:rsidRPr="00070ADE" w:rsidRDefault="004D3DA4" w:rsidP="00B56F90">
      <w:pPr>
        <w:spacing w:after="0" w:line="240" w:lineRule="auto"/>
        <w:jc w:val="both"/>
        <w:rPr>
          <w:rFonts w:ascii="Times New Roman" w:hAnsi="Times New Roman"/>
          <w:color w:val="000000" w:themeColor="text1"/>
          <w:sz w:val="16"/>
          <w:szCs w:val="16"/>
        </w:rPr>
      </w:pPr>
    </w:p>
    <w:p w14:paraId="0F802434"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 xml:space="preserve">28 января </w:t>
      </w:r>
      <w:r w:rsidRPr="00070ADE">
        <w:rPr>
          <w:rFonts w:ascii="Times New Roman" w:hAnsi="Times New Roman"/>
          <w:color w:val="000000" w:themeColor="text1"/>
          <w:sz w:val="16"/>
          <w:szCs w:val="16"/>
        </w:rPr>
        <w:t>в 1944 году (28 января-3 февраля) попытки немецких войск ликвидировать союзнический десант в районе Анцио. Американские войска были вынуждены перейти к обороне (15023).</w:t>
      </w:r>
    </w:p>
    <w:p w14:paraId="41F98854" w14:textId="77777777" w:rsidR="00D9700C" w:rsidRPr="00070ADE" w:rsidRDefault="00D9700C" w:rsidP="00B56F90">
      <w:pPr>
        <w:spacing w:after="0" w:line="240" w:lineRule="auto"/>
        <w:jc w:val="both"/>
        <w:rPr>
          <w:rFonts w:ascii="Times New Roman" w:hAnsi="Times New Roman"/>
          <w:color w:val="000000" w:themeColor="text1"/>
          <w:sz w:val="16"/>
          <w:szCs w:val="16"/>
        </w:rPr>
      </w:pPr>
    </w:p>
    <w:p w14:paraId="1CEFC327"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51E71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4E85C9" w14:textId="77777777" w:rsidR="004D3DA4" w:rsidRPr="00070ADE" w:rsidRDefault="004D3DA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января 1944 при пробе мотора АМ-42 на Су-6 «потек водяной радиатор», который срочно от</w:t>
      </w:r>
      <w:r w:rsidRPr="00070ADE">
        <w:rPr>
          <w:rFonts w:ascii="Times New Roman" w:hAnsi="Times New Roman"/>
          <w:color w:val="000000" w:themeColor="text1"/>
          <w:sz w:val="16"/>
          <w:szCs w:val="16"/>
        </w:rPr>
        <w:softHyphen/>
        <w:t>правили на радиаторный завод для ре</w:t>
      </w:r>
      <w:r w:rsidRPr="00070ADE">
        <w:rPr>
          <w:rFonts w:ascii="Times New Roman" w:hAnsi="Times New Roman"/>
          <w:color w:val="000000" w:themeColor="text1"/>
          <w:sz w:val="16"/>
          <w:szCs w:val="16"/>
        </w:rPr>
        <w:softHyphen/>
        <w:t>монта. Работы на самолете фактически встали, так как к этому времени устранили все замечания согласно перечню измене</w:t>
      </w:r>
      <w:r w:rsidRPr="00070ADE">
        <w:rPr>
          <w:rFonts w:ascii="Times New Roman" w:hAnsi="Times New Roman"/>
          <w:color w:val="000000" w:themeColor="text1"/>
          <w:sz w:val="16"/>
          <w:szCs w:val="16"/>
        </w:rPr>
        <w:softHyphen/>
        <w:t>ний из акта государственных испытаний (19853).</w:t>
      </w:r>
    </w:p>
    <w:p w14:paraId="756F30C1" w14:textId="77777777" w:rsidR="004D3DA4" w:rsidRPr="00070ADE" w:rsidRDefault="004D3DA4" w:rsidP="00B56F90">
      <w:pPr>
        <w:spacing w:after="0" w:line="240" w:lineRule="auto"/>
        <w:jc w:val="both"/>
        <w:rPr>
          <w:rFonts w:ascii="Times New Roman" w:hAnsi="Times New Roman"/>
          <w:color w:val="000000" w:themeColor="text1"/>
          <w:sz w:val="16"/>
          <w:szCs w:val="16"/>
          <w:lang w:val="ru"/>
        </w:rPr>
      </w:pPr>
    </w:p>
    <w:p w14:paraId="6BEE8C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января 1944 года начальник НИИ ВВС генерал-лейтенант инженерно-авиационной службы Лосюков и начальник 3 отдела НИИ ВВС инженер-полковник Сафронов писали письмо N 3/0152 гл. инженеру ВВС генерал-полковнику инженерно-авиационной службы Репину А.К., Шахурину, гл. конструктору генерал-лейтенанту ИАС Яковлеву.</w:t>
      </w:r>
    </w:p>
    <w:p w14:paraId="3987E3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 о ходе испытания самолета Як-9у с М-105ПФ.</w:t>
      </w:r>
    </w:p>
    <w:p w14:paraId="2D4278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прибыл в НИИ ВВС 2 января 1944 года. Работы на самолете начаты в тот же день. Ввиду отсутствия летной погоды на самолете производились наземные работы: осмотр, взвешивание, подготовка вооружения.</w:t>
      </w:r>
    </w:p>
    <w:p w14:paraId="6A1AFE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5 января 1944 года по 12 января 1944 года начат отстрел вооружения на земле, принявший затяжной характер в связи с поломками пушек ВЯ (за это время было сменено 2 пушки) и наличием значительного количества недоработок.</w:t>
      </w:r>
    </w:p>
    <w:p w14:paraId="28A617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это вынудило прекратить временно дальнейшие испытания вооружения.</w:t>
      </w:r>
    </w:p>
    <w:p w14:paraId="06D928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12 января 1944 года по 18 января 1944 года, заводом N 115 доводились установки вооружения, причем одновременно устранялись и некоторые дефекты по планеру и ВМГ (вывод трубки суфлера за капот, неуборка хвостового колеса, тряска мотора из-за плохой балансировки винта).</w:t>
      </w:r>
    </w:p>
    <w:p w14:paraId="54006C3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января 1944 года производился отстрел вооружения после доводок установок.</w:t>
      </w:r>
    </w:p>
    <w:p w14:paraId="2F4539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Вновь выявлен крупный дефект - деформация взрывателей снарядов ВЯ в патронном рукаве.</w:t>
      </w:r>
    </w:p>
    <w:p w14:paraId="0DBAC49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18 января 1944 года по 22 января 1944 года заводом N 115 заменялась передняя верхняя крышка капота мотора, газоотводные трубы (установлены большого диаметра), кронштейны их и несколько изменен патронный рукав ВЯ.</w:t>
      </w:r>
    </w:p>
    <w:p w14:paraId="511431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года возобновлен отстрел вооружения. Установки пулеметов УВС работали хорошо, но новый капот опять деформировался. Деформация взрывателей снарядов ВЯ, произвеленными заводом мелкими переделками, не устранена.</w:t>
      </w:r>
    </w:p>
    <w:p w14:paraId="0EC12C2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22 января 1944 года производилось новое усиление передней верхней крышки капота и конструктивно переделывается патронный рукав ВЯ.</w:t>
      </w:r>
    </w:p>
    <w:p w14:paraId="23C8C5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Увеличение диаметра газоотводных труб пулеметов вызвало изменение лотков капота, которые стали ложиться на расширительный бачек был вмят на 5 мм.</w:t>
      </w:r>
    </w:p>
    <w:p w14:paraId="683ED2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Отстрел вооружения возобновится после окончания изготовления нового патронного рукава ВЯ.</w:t>
      </w:r>
    </w:p>
    <w:p w14:paraId="4D24712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26 января 1944 года произведен следующий настрел из установок оружия: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60590F59" w14:textId="77777777">
        <w:tc>
          <w:tcPr>
            <w:tcW w:w="5636" w:type="dxa"/>
          </w:tcPr>
          <w:p w14:paraId="0A1634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ВЯ</w:t>
            </w:r>
          </w:p>
        </w:tc>
        <w:tc>
          <w:tcPr>
            <w:tcW w:w="5636" w:type="dxa"/>
          </w:tcPr>
          <w:p w14:paraId="10F9F5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1231 выстрел</w:t>
            </w:r>
          </w:p>
        </w:tc>
      </w:tr>
      <w:tr w:rsidR="004D4663" w:rsidRPr="00070ADE" w14:paraId="25DEA099" w14:textId="77777777">
        <w:tc>
          <w:tcPr>
            <w:tcW w:w="5636" w:type="dxa"/>
          </w:tcPr>
          <w:p w14:paraId="53AEA5C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правого УБС</w:t>
            </w:r>
          </w:p>
        </w:tc>
        <w:tc>
          <w:tcPr>
            <w:tcW w:w="5636" w:type="dxa"/>
          </w:tcPr>
          <w:p w14:paraId="6E1B3C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1896 выстрелов</w:t>
            </w:r>
          </w:p>
        </w:tc>
      </w:tr>
      <w:tr w:rsidR="004D4663" w:rsidRPr="00070ADE" w14:paraId="0FC07A78" w14:textId="77777777">
        <w:tc>
          <w:tcPr>
            <w:tcW w:w="5636" w:type="dxa"/>
          </w:tcPr>
          <w:p w14:paraId="68C3C28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левого УБС</w:t>
            </w:r>
          </w:p>
        </w:tc>
        <w:tc>
          <w:tcPr>
            <w:tcW w:w="5636" w:type="dxa"/>
          </w:tcPr>
          <w:p w14:paraId="390BAB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1797 выстрелов.</w:t>
            </w:r>
          </w:p>
        </w:tc>
      </w:tr>
    </w:tbl>
    <w:p w14:paraId="6626FC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процессе испытаний были заменены 4 пушки ВЯ из-за поломок: ствольной коробки, сапожков ползуна (2 случая), клина запирания и затвора.</w:t>
      </w:r>
    </w:p>
    <w:p w14:paraId="00C2C8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это время произведено 7 полетов.</w:t>
      </w:r>
    </w:p>
    <w:p w14:paraId="4B8BEE0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3 полетах задания не выполнены, так как тряс мотор.</w:t>
      </w:r>
    </w:p>
    <w:p w14:paraId="523715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полета были на километраж.</w:t>
      </w:r>
    </w:p>
    <w:p w14:paraId="264C32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января прибыл с завода N 115 новый винт; с этим винтом мотор работает нормально.</w:t>
      </w:r>
    </w:p>
    <w:p w14:paraId="543C97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января сделан 1 полет на снятие летных характеристик.</w:t>
      </w:r>
    </w:p>
    <w:p w14:paraId="337AC3C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полетах выявлен дефект: выхлопные газы 4 цилиндра левого блока попадают под капот на карбюратор и в кабину летчика.</w:t>
      </w:r>
    </w:p>
    <w:p w14:paraId="07B59A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Летные испытания задерживаются из-за отсутствия летной погоды (1821,34).</w:t>
      </w:r>
    </w:p>
    <w:p w14:paraId="5CE6F9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F799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января 1944 закончились заводские испытания Як-3-2 с ВК107А смешанной конструкции, которые проводились с 25 января 1944. Сделали 5 полетов продолжительностью 1:45. Потом был перерыв до 13 июля 1944 в связи с поломкой (65,187).</w:t>
      </w:r>
    </w:p>
    <w:p w14:paraId="6CB589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6951BE"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Style w:val="ucoz-forum-post"/>
          <w:rFonts w:ascii="Times New Roman" w:hAnsi="Times New Roman"/>
          <w:color w:val="000000" w:themeColor="text1"/>
          <w:sz w:val="16"/>
          <w:szCs w:val="16"/>
        </w:rPr>
        <w:t xml:space="preserve">29 января </w:t>
      </w:r>
      <w:r w:rsidRPr="00070ADE">
        <w:rPr>
          <w:rFonts w:ascii="Times New Roman" w:hAnsi="Times New Roman"/>
          <w:color w:val="000000" w:themeColor="text1"/>
          <w:sz w:val="16"/>
          <w:szCs w:val="16"/>
        </w:rPr>
        <w:t>в 1944 году закончены заводские испытания (летчик П.Я.Федрови, ведущий инженер Е.Г.Адлер, механик М.М.Щипанов) второго прототипа «Як-З» «Дублер» с двигателем «ВК-107А». Произведено пять полетов общей продолжительностью 1 ч 45 мин., были устранены многие дефекты, выявленные на экземпляре N1. Государственные испытания, которые проходил "Дублер", проводились в два этапа: основные - с 7 февраля по 15 мая 1944 г. и дополнительные (после устранения дефектов) - с 13 июля по 29 августа 1944 г. Всего было выполнено 44 полета общей продолжительностью 25 ч 41 мин. По результатам госиспытаний было сделано следующее заключение: «Як-З» с двигателем «ВК-107А» по основным летно-тактическим данным в диапазоне высот от земли до практического потолка 11 800 м является лучшим из известных отечественных и иностранных истребителей. Самолет с такими данными необходим для вооружения ВВС СА. Hо, далее отмечалось, что большое число серьезных дефектов, особенно по ВМГ, требует доводки самолета до внедрения его в серийное производство (15024).</w:t>
      </w:r>
    </w:p>
    <w:p w14:paraId="62718FE8" w14:textId="77777777" w:rsidR="00D9700C" w:rsidRPr="00070ADE" w:rsidRDefault="00D9700C" w:rsidP="00B56F90">
      <w:pPr>
        <w:spacing w:after="0" w:line="240" w:lineRule="auto"/>
        <w:jc w:val="both"/>
        <w:rPr>
          <w:rFonts w:ascii="Times New Roman" w:hAnsi="Times New Roman"/>
          <w:color w:val="000000" w:themeColor="text1"/>
          <w:sz w:val="16"/>
          <w:szCs w:val="16"/>
        </w:rPr>
      </w:pPr>
    </w:p>
    <w:p w14:paraId="39AAA5B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января 1944 года закончились заводские испытания Як-3 ВК-107А "Дублер", которые шли с 25 января и показали, что основные дефекты, выявленные на первом прототипе, устранены и самолет может быть предъявлен на государственные испытания. 22 января 1944 года, на аэродром выкатили второй прототип Як-3 ВК-107А "Дублер", как тогда было принято называть такие машины. На этом самолете изначально, еще на стадии проектирования и постройки, применили все технические решения, ставшие основой для переделок первого опытного экземпляра машины. Радикальным изменениям подверглись только фонарь кабины пилота, которому придали более обтекаемую форму, и установка вооружения с двумя опытными синхронными пушками Б-20. При этом полетный вес второго прототипа по сравнению с предшественником практически не изменился - 2932 кг. Соответственно одинаковыми были и летные данные. Максимальная скорость у земли Як-3 ВК-107А № 1 до модификации была равной 611 км/ч, а у №2 - 610 км/ч (из-за неблагоприятных метеоусловий "Дублер" был облетан и проверен только на малых высотах) (12047).</w:t>
      </w:r>
    </w:p>
    <w:p w14:paraId="62A4A05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0A9212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января 1944 года начальник НИИ ГВФ Петров и начальник Самолетного отдела Израецкий писали письмо начальнику ГВФ генерал-полковнику авиации Астахову</w:t>
      </w:r>
    </w:p>
    <w:p w14:paraId="536970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 по предложению гл. конструктора завода № 477 Бериева об использовании проектирующегося гидросамолета ЛЛ-143 в качестве пассажирского (ПЛЛ-143)</w:t>
      </w:r>
    </w:p>
    <w:p w14:paraId="0F1F9C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AC2F1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проекте плана опытного строительства на 1944 год, который нами представлен в НКАП, предусмотрена 4-х моторная летающая лодка.</w:t>
      </w:r>
    </w:p>
    <w:p w14:paraId="33C9CE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Приводим сравнение данных 4-х моторной лодки предусмотренной по плану с предлагаемой лодкой ПЛЛ-143: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4D4663" w:rsidRPr="00070ADE" w14:paraId="5AE9DA50" w14:textId="77777777">
        <w:tc>
          <w:tcPr>
            <w:tcW w:w="3868" w:type="dxa"/>
          </w:tcPr>
          <w:p w14:paraId="600D67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68" w:type="dxa"/>
          </w:tcPr>
          <w:p w14:paraId="7D540B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плану</w:t>
            </w:r>
          </w:p>
        </w:tc>
        <w:tc>
          <w:tcPr>
            <w:tcW w:w="3868" w:type="dxa"/>
          </w:tcPr>
          <w:p w14:paraId="1C433F8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ПЛЛ-143</w:t>
            </w:r>
          </w:p>
        </w:tc>
      </w:tr>
      <w:tr w:rsidR="004D4663" w:rsidRPr="00070ADE" w14:paraId="7030F94F" w14:textId="77777777">
        <w:tc>
          <w:tcPr>
            <w:tcW w:w="3868" w:type="dxa"/>
          </w:tcPr>
          <w:p w14:paraId="586923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Число моторов</w:t>
            </w:r>
          </w:p>
        </w:tc>
        <w:tc>
          <w:tcPr>
            <w:tcW w:w="3868" w:type="dxa"/>
          </w:tcPr>
          <w:p w14:paraId="549508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3868" w:type="dxa"/>
          </w:tcPr>
          <w:p w14:paraId="748367C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r>
      <w:tr w:rsidR="004D4663" w:rsidRPr="00070ADE" w14:paraId="417AC4B0" w14:textId="77777777">
        <w:tc>
          <w:tcPr>
            <w:tcW w:w="3868" w:type="dxa"/>
          </w:tcPr>
          <w:p w14:paraId="21D9389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моторов</w:t>
            </w:r>
          </w:p>
        </w:tc>
        <w:tc>
          <w:tcPr>
            <w:tcW w:w="3868" w:type="dxa"/>
          </w:tcPr>
          <w:p w14:paraId="255C10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Дизель М30 и его развитие</w:t>
            </w:r>
          </w:p>
        </w:tc>
        <w:tc>
          <w:tcPr>
            <w:tcW w:w="3868" w:type="dxa"/>
          </w:tcPr>
          <w:p w14:paraId="57DFD85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Дизель М31</w:t>
            </w:r>
          </w:p>
        </w:tc>
      </w:tr>
      <w:tr w:rsidR="004D4663" w:rsidRPr="00070ADE" w14:paraId="76F82A59" w14:textId="77777777">
        <w:tc>
          <w:tcPr>
            <w:tcW w:w="3868" w:type="dxa"/>
          </w:tcPr>
          <w:p w14:paraId="1DD87A4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пассажиров</w:t>
            </w:r>
          </w:p>
        </w:tc>
        <w:tc>
          <w:tcPr>
            <w:tcW w:w="3868" w:type="dxa"/>
          </w:tcPr>
          <w:p w14:paraId="14D847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3868" w:type="dxa"/>
          </w:tcPr>
          <w:p w14:paraId="4836BC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r>
      <w:tr w:rsidR="004D4663" w:rsidRPr="00070ADE" w14:paraId="2CD839AC" w14:textId="77777777">
        <w:tc>
          <w:tcPr>
            <w:tcW w:w="3868" w:type="dxa"/>
          </w:tcPr>
          <w:p w14:paraId="297D7D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Груз </w:t>
            </w:r>
          </w:p>
        </w:tc>
        <w:tc>
          <w:tcPr>
            <w:tcW w:w="3868" w:type="dxa"/>
          </w:tcPr>
          <w:p w14:paraId="4E4F5FC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2000 кг</w:t>
            </w:r>
          </w:p>
        </w:tc>
        <w:tc>
          <w:tcPr>
            <w:tcW w:w="3868" w:type="dxa"/>
          </w:tcPr>
          <w:p w14:paraId="56198A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2203248" w14:textId="77777777">
        <w:tc>
          <w:tcPr>
            <w:tcW w:w="3868" w:type="dxa"/>
          </w:tcPr>
          <w:p w14:paraId="7E293F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w:t>
            </w:r>
          </w:p>
        </w:tc>
        <w:tc>
          <w:tcPr>
            <w:tcW w:w="3868" w:type="dxa"/>
          </w:tcPr>
          <w:p w14:paraId="0F6B28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3868" w:type="dxa"/>
          </w:tcPr>
          <w:p w14:paraId="1D0FCC6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r>
      <w:tr w:rsidR="004D4663" w:rsidRPr="00070ADE" w14:paraId="35F1411A" w14:textId="77777777">
        <w:tc>
          <w:tcPr>
            <w:tcW w:w="3868" w:type="dxa"/>
          </w:tcPr>
          <w:p w14:paraId="283598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w:t>
            </w:r>
          </w:p>
        </w:tc>
        <w:tc>
          <w:tcPr>
            <w:tcW w:w="3868" w:type="dxa"/>
          </w:tcPr>
          <w:p w14:paraId="2B281D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tc>
        <w:tc>
          <w:tcPr>
            <w:tcW w:w="3868" w:type="dxa"/>
          </w:tcPr>
          <w:p w14:paraId="3D064E2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430</w:t>
            </w:r>
          </w:p>
        </w:tc>
      </w:tr>
      <w:tr w:rsidR="004D4663" w:rsidRPr="00070ADE" w14:paraId="1055B582" w14:textId="77777777">
        <w:tc>
          <w:tcPr>
            <w:tcW w:w="3868" w:type="dxa"/>
          </w:tcPr>
          <w:p w14:paraId="035B63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Посадочная скорость</w:t>
            </w:r>
          </w:p>
        </w:tc>
        <w:tc>
          <w:tcPr>
            <w:tcW w:w="3868" w:type="dxa"/>
          </w:tcPr>
          <w:p w14:paraId="641281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w:t>
            </w:r>
          </w:p>
        </w:tc>
        <w:tc>
          <w:tcPr>
            <w:tcW w:w="3868" w:type="dxa"/>
          </w:tcPr>
          <w:p w14:paraId="34F0AE2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w:t>
            </w:r>
          </w:p>
        </w:tc>
      </w:tr>
      <w:tr w:rsidR="004D4663" w:rsidRPr="00070ADE" w14:paraId="44987FA1" w14:textId="77777777">
        <w:tc>
          <w:tcPr>
            <w:tcW w:w="3868" w:type="dxa"/>
          </w:tcPr>
          <w:p w14:paraId="4320FD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полета нормальная</w:t>
            </w:r>
          </w:p>
        </w:tc>
        <w:tc>
          <w:tcPr>
            <w:tcW w:w="3868" w:type="dxa"/>
          </w:tcPr>
          <w:p w14:paraId="63AC662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3000</w:t>
            </w:r>
          </w:p>
        </w:tc>
        <w:tc>
          <w:tcPr>
            <w:tcW w:w="3868" w:type="dxa"/>
          </w:tcPr>
          <w:p w14:paraId="67D72A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3400</w:t>
            </w:r>
          </w:p>
        </w:tc>
      </w:tr>
      <w:tr w:rsidR="004D4663" w:rsidRPr="00070ADE" w14:paraId="71F059F1" w14:textId="77777777">
        <w:tc>
          <w:tcPr>
            <w:tcW w:w="3868" w:type="dxa"/>
          </w:tcPr>
          <w:p w14:paraId="29650FE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полета максимальная</w:t>
            </w:r>
          </w:p>
        </w:tc>
        <w:tc>
          <w:tcPr>
            <w:tcW w:w="3868" w:type="dxa"/>
          </w:tcPr>
          <w:p w14:paraId="252068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6500</w:t>
            </w:r>
          </w:p>
        </w:tc>
        <w:tc>
          <w:tcPr>
            <w:tcW w:w="3868" w:type="dxa"/>
          </w:tcPr>
          <w:p w14:paraId="674F8D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5600</w:t>
            </w:r>
          </w:p>
        </w:tc>
      </w:tr>
    </w:tbl>
    <w:p w14:paraId="2CB775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видно из приведенного сравнения, данные лодки ПЛЛ-143 близко подходят к требованиям, которые предъявлены для транспортной лодки международных и внутренних морских линий. Однако в материалах отсутствует на возможность полета на одном моторе, в то время как это требование является основным требованием безопасности полетов пассажирского самолета.</w:t>
      </w:r>
    </w:p>
    <w:p w14:paraId="151903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Предусмотренный в плане 4-х моторный гидросамолет более отвечает требованиям безопасности полетов, но при отсутствии в НКАП возможности его реализации, считаем возможным построить опытный экземпляр летающей лодки ЛЛ-143 в пассажирском варианте (8664,51).</w:t>
      </w:r>
    </w:p>
    <w:p w14:paraId="7BA8C9C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5298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января 1944 года Дементьев писал письмо N Н-30/442 начальнику ЛИИ НКАП проф. Чесалову А.В.</w:t>
      </w:r>
    </w:p>
    <w:p w14:paraId="1CA068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Ваш N 36с от 18 января 1944 года.</w:t>
      </w:r>
    </w:p>
    <w:p w14:paraId="50D66D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получаемые ЛИИ от серийных заводов безвозмездно, для проведения летно-исследовательских работ, после их испытания должны быть возвращены серийным заводам (1821,18).</w:t>
      </w:r>
    </w:p>
    <w:p w14:paraId="4D323C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37C0E8"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4F03E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9A93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января 1944 вышло Постановление ГКО № 5066 О мерах по обеспечению окончания строительства в г. Балашихе турбокислородной установки системы академика Капица производительностью в 2000 литров в час. РГАНИР, Фонд ГКО, д. 199, лл. 158-159,160-166 (11012).</w:t>
      </w:r>
    </w:p>
    <w:p w14:paraId="7819C85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02814A4"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января 1944 вышло Постановление ГКО № 5067 О выделении материальных ресурсов для закладки в государственный резерв на I квартал 1944 г. (7180, 167-169,170-180).</w:t>
      </w:r>
    </w:p>
    <w:p w14:paraId="6CAC997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8750E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января 1944 вышло Распоряжение ГКО № 5068 [О рассмотрении и вынесении на утверждение ГКО проекта постановления "О мероприятиях по увеличению производства цемента заводами Hаркомстройматериалов СССР".] (7180, 181).</w:t>
      </w:r>
    </w:p>
    <w:p w14:paraId="46387C0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FAC98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января 1944 вышло Распоряжение ГКО № 5069. Об отгрузке НКСМ для НКО запасных частей к автомашинам в 1 кв. 1944 г. за счет остальных потребителей. РГАНИР, Фонд ГКО, д. 199, лл. 182 (11012).</w:t>
      </w:r>
    </w:p>
    <w:p w14:paraId="5312D1C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405C77C" w14:textId="77777777" w:rsidR="00D9700C"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3CC2A8E1" w14:textId="77777777" w:rsidR="00D9700C" w:rsidRPr="00070ADE" w:rsidRDefault="00D9700C"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D5887F"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Style w:val="ucoz-forum-post"/>
          <w:rFonts w:ascii="Times New Roman" w:hAnsi="Times New Roman"/>
          <w:color w:val="000000" w:themeColor="text1"/>
          <w:sz w:val="16"/>
          <w:szCs w:val="16"/>
        </w:rPr>
        <w:t xml:space="preserve">29 января </w:t>
      </w:r>
      <w:r w:rsidRPr="00070ADE">
        <w:rPr>
          <w:rFonts w:ascii="Times New Roman" w:hAnsi="Times New Roman"/>
          <w:color w:val="000000" w:themeColor="text1"/>
          <w:sz w:val="16"/>
          <w:szCs w:val="16"/>
        </w:rPr>
        <w:t>в 1944 году оперативная сводка Совинформбюро:</w:t>
      </w:r>
    </w:p>
    <w:p w14:paraId="24E231ED"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29 января северо-западнее и западнее города Волосово войска Ленинградского фронта продолжали успешно развивать наступление и с боями заняли более 40 населённых пунктов, в том числе Перново, Большие и Малые Копорки, Гостилово, Юрьево, Копорье, Подозванье, Заринская, Ламоха, Маклакова, Большая Систа, Ратчино, Домашово, Фалилеево, Пружницы, Большие Озертицы, Ущевицы, Загорицы, Большие Хотыницы, Большие Сяглицы и железнодорожные станции Копорье, Вруда.</w:t>
      </w:r>
    </w:p>
    <w:p w14:paraId="14A21702"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Волосово нашими частями разгромлена артиллерийская колонна противника. Захвачено 60 орудий калибра 105 и 150 мм.</w:t>
      </w:r>
    </w:p>
    <w:p w14:paraId="29596D43"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Гатчина наши войска с боями продвигались вперёд и занялиболее 30 населённых пунктов, в том числе Рабитицы, Домашковицы, Калитино, Каргалова, Глумицы, Большое Заречье, Тихковицы, Карташевская, Маргусы, Куровицы, Вырица и железнодорожные станции Извара, Лиможа, Прибытково, Карташевская, Семеноводская, Вырица.</w:t>
      </w:r>
    </w:p>
    <w:p w14:paraId="66C16C65"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Волховского фронта, сломив сопротивление противника, овладели городом и крупным железнодорожным узлом Чудово, а также с боями заняли населённые пункты Померанье, Трубников Бор, Бабино, Коломовка, Сябреницы, Слобода, Соснинская Пристань. Таким образом, основная магистраль, связывающая Москву с Ленинградом —Октябрьская железная дорога полностью освобождена от немецких захватчиков на всём своём протяжении.</w:t>
      </w:r>
    </w:p>
    <w:p w14:paraId="25683C5B"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Новгорода наши войска с боями продвигались вперёд и заняли несколько населённых пунктов.</w:t>
      </w:r>
    </w:p>
    <w:p w14:paraId="2AE0247C"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Великие Луки войска 2-го Прибалтийского фронта в результате внезапной атаки овладели городом и крупным железнодорожным узлом Новосокольники, а также с боями заняли несколько других населённых пунктов.</w:t>
      </w:r>
    </w:p>
    <w:p w14:paraId="73E47013"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Восточнее Винницы и севернее Христиновка наши войска продолжали отбивать атаки крупных сил пехоты и танков противника и по приказу командования оставили несколько населённых пунктов. В ожесточённых боях противник понёс огромныепотери в живой силе и технике. На других участках фронта в ряде пунктов шли бои местного значения.</w:t>
      </w:r>
    </w:p>
    <w:p w14:paraId="1DAC909A"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28 января наши войска на всех фронтах подбили и уничтожили 120 немецких танков. В воздушных боях и огнём зенитной артиллерии сбито 23 самолёта противника.</w:t>
      </w:r>
    </w:p>
    <w:p w14:paraId="003415A1"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города Волосово войска Ленинградского фронта продолжали успешное наступление и заняли более 40 населённых пунктов. За день боёв уничтожено до 2.000 немецких солдат и офицеров. Южнее Волосово наши подвижные отряды прорвались в тыл противника и устроили засаду у шоссе, по которому двигалась крупная артиллерийская колонна немцев. Советские бойцы внезапно атаковали вражескую колонну и в результате короткой схватки уничтожили большую часть немецких артиллеристов. Только отдельным гитлеровцам удалось убежать в лес. Захвачено 60 полностью исправных тяжёлых орудий и более 100 автомашин с боеприпасами. Наши артиллеристы выдвинули захваченные орудия на огневые позиции и открыли из них огонь по противнику.</w:t>
      </w:r>
    </w:p>
    <w:p w14:paraId="692E5F02"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Гатчина наши войска с боями продвигались вперёд. На плечах отступающего противника советские части ворвались на железнодорожнуюстанцию Вырица и в результате ожесточённого боя овладели этой станцией. Захвачено у немцев 7 танков, 38 орудий, много автомашин с грузами, 3 крупных артиллерийских склада и 15 складов с продовольствием и различным военным имуществом.</w:t>
      </w:r>
    </w:p>
    <w:p w14:paraId="32FFBF4C"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Волховского фронта, блокировав группу войск противника в районе города Чудово, продолжали сжимать кольцо окружения. Немцы отчаянно защищали свой последний опорный пункт на железнодорожной магистрали Ленинград-Москва. Стремительными ударами наши части сломили сопротивление противника и сегодня овладели городом и железнодорожным узлом Чудово. Немецкие войска, оборонявшие город, уничтожены и частью пленены. Отдельные разбежавшиеся по лесам и болотам группы гитлеровцев вылавливаются нашими подразделениями. На складах Чудова захвачено много оружия и военных материалов, которые подсчитываются.</w:t>
      </w:r>
    </w:p>
    <w:p w14:paraId="185A9A3B"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Новгорода наши войска продолжали наступление. Части Н-ского соединения выбили немцев из трёх сильно укреплённых пунктов. В бою за эти пункты уничтожено до батальона пехоты противника, подбито 7 немецких танков и самоходных орудий. На другом участке немцы предприняли до двадцати контратак, пытаясь вернуть потерянные ими позиции. Все контратаки противника закончились неудачей. В ходе боя уничтожено свыше 1.000 гитлеровцев.</w:t>
      </w:r>
    </w:p>
    <w:p w14:paraId="66DB982E"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Сегодня утром войска 2-го Прибалтийского фронта внезапно атаковали противника в районе города Новосокольники. Немцы обладали в этом районе выгодными позициями, и немецкое командование приказало своим войскам любой ценою удерживать эти позиции. Наша пехота при активном содействии танкистов и артиллеристов быстро преодолела оборонительную полосу немцев и с нескольких направлений ворвалась в город. Ошеломлённые неожиданным ударом, гитлеровцы метались из стороны в сторону и несли большие потери. Советские войска смелыми и решительными действиями быстро подавили очаги обороны немцев и полностью овладели городом и крупным железнодорожным узлом Новосокольники. Захвачены большие трофеи и значительное число пленных.</w:t>
      </w:r>
    </w:p>
    <w:p w14:paraId="116A193F"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Восточнее Винницы наши войска отбивали атаки крупных сил пехоты и танков противника. На одном участке части Н-ского соединения в ожесточённом бою уничтожили до полка гитлеровцев, сожгли и подбили 66 немецких танков и 9 самоходных орудий. В другом районе наши бойцы отбили восемь следовавших одна за другой вражеских атак. В ходе боя уничтожено 20 танков, 4 бронемашины и свыше 800 немецких солдат и офицеров. По приказу командования в этом районе наши части оставили несколько населённых пунктов и заняли более выгодные для обороны позиции.</w:t>
      </w:r>
    </w:p>
    <w:p w14:paraId="2E573505"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районе Мелитополя на нашей территории приземлился вполне исправный немецкий транспортный самолёт «Ю-52". Экипаж самолёта в количестве четырёх человек сдался в плен. Лётчик унтер-офицер Рейзих рассказал: «На днях мы перебросили на самолёте из Одессы в Джанкой 25 румынских солдат. Я оказал товарищам, что перевозка смертников (так лётчики называют немецких и румынских солдат, перебрасываемых на самолётах в Крым) кончится для нас плачевно, и предложил перелететь на сторону русских. Стрелок обер-ефрейтор Франц Петих, бортмеханик унтер-офицер Гейнц Мюллер и радист унтер-офицер Иозеф Риттер согласились с этим предложением, и мы посадили самолёт на русской территории». Стрелок Франц Петих заявил: «До призыва в армию я был в союзе гитлеровской молодёжи. Я слепо верил Гитлеру, а теперь убедился, что все его речи величайшее надувательство. Он хотел завоевать весь мир, а не мог уберечь Берлина. Я сам из Берлина и знаю, чтоанглийская и американская авиация причинила городу громадные разрушения. В этом виноват прежде всего Гитлер» (15024).</w:t>
      </w:r>
    </w:p>
    <w:p w14:paraId="6299BDF5" w14:textId="77777777" w:rsidR="00D9700C" w:rsidRPr="00070ADE" w:rsidRDefault="00D9700C" w:rsidP="00B56F90">
      <w:pPr>
        <w:spacing w:after="0" w:line="240" w:lineRule="auto"/>
        <w:jc w:val="both"/>
        <w:rPr>
          <w:rFonts w:ascii="Times New Roman" w:hAnsi="Times New Roman"/>
          <w:color w:val="000000" w:themeColor="text1"/>
          <w:sz w:val="16"/>
          <w:szCs w:val="16"/>
        </w:rPr>
      </w:pPr>
    </w:p>
    <w:p w14:paraId="3F19423C"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470ED6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4DC3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января 1944 года</w:t>
      </w:r>
    </w:p>
    <w:p w14:paraId="054733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ЛИЧНО И СЕКРЕТНО ОТ ПРЕМЬЕРА И. В. СТАЛИНА ПРЕМЬЕР-МИНИСТРУ г-ну УИНСТОНУ ЧЕРЧИЛЛЮ И ПРЕЗИДЕНТУ г-ну ФРАНКЛИНУ Д. РУЗВЕЛЬТУ</w:t>
      </w:r>
    </w:p>
    <w:p w14:paraId="1790A9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 получил 23 января оба Ваших совместных послания, подписанных Вами, г-н Премьер-Министр, и Вами, г-н Президент, по вопросу о передаче в пользование Советского Союза итальянских судов.</w:t>
      </w:r>
    </w:p>
    <w:p w14:paraId="23BE67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Должен сказать, что после Вашего совместного положительного ответа в Тегеране на поставленный мною вопрос о передаче Советскому Союзу итальянских судов до конца января 1944 года я считал этот вопрос решенным и у меня не возникало мысли о возможности какого-либо пересмотра этого принятого и согласованного между нами троими решения. Тем более, что, как мы тогда уговорились, в течение декабря и января этот вопрос должен был быть полностью урегулирован и с итальянцами. Теперь я вижу, что это не так и что с итальянцами даже не говорилось ничего по этому поводу.</w:t>
      </w:r>
    </w:p>
    <w:p w14:paraId="5A953F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Чтобы не затягивать, однако, этого вопроса, имеющего столь важное значение для нашей общей борьбы против Германии, Советское Правительство готово принять Ваше предложение о переотправке из британских портов в СССР линейного корабля “Ройял Соврин” и одного крейсера и о временном использовании этих судов военно-морским командованием СССР до тех пор, пока не будут предоставлены Советскому Союзу соответствующие итальянские суда. Равным образом мы готовы будем принять от США и Англии суда торгового флота по 20 тысяч тонн, которые также будут использованы нами до тех пор, пока нам не будут переданы итальянские суда в таком же тоннаже. Важно, чтобы не было сейчас проволочки в этом деле и чтобы все указанные суда были бы переданы нам еще в течение февраля месяца.</w:t>
      </w:r>
    </w:p>
    <w:p w14:paraId="2AB73B8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Вашем ответе, однако, ничего не говорится о передаче Советскому Союзу восьми итальянских эскадренных миноносцев и четырех подводных лодок, на передачу которых Советскому Союзу еще в конце января Вы, г. Премьер-Министр, и Вы, г. Президент, дали согласие в Тегеране. Между тем для Советского Союза главным является именно этот вопрос, вопрос о миноносцах и подводных лодках, без которых не имеет значения передача 1 линкора и 1 крейсера. Сами понимаете, что крейсер и линкор бессильны без сопровождающих их миноносцев. Поскольку в Вашем распоряжении находится весь военно-морской флот Италии, выполнение принятого в Тегеране решения о передаче в пользование Советскому Союзу 8 миноносцев и 4-х подводных лодок из этого флота не должно представлять затруднений. Я согласен и с тем, чтобы вместо итальянских миноносцев и подводных лодок Советскому Союзу было передано в наше пользование такое же количество американских или английских миноносцев и подводных лодок. При этом вопрос о передаче миноносцев и подводных лодок не может быть отложен, а должен быть решен одновременно с передачей линкора и крейсера, как это было между нами тремя условлено в Тегеране (7430).</w:t>
      </w:r>
    </w:p>
    <w:p w14:paraId="5272EE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3948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января 1944 года</w:t>
      </w:r>
    </w:p>
    <w:p w14:paraId="169AFD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ЛИЧНО И СЕКРЕТНО ОТ ПРЕМЬЕРА И. В. СТАЛИНА ПРЕМЬЕР-МИНИСТРУ г-ну УИНСТОНУ ЧЕРЧИЛЛЮ</w:t>
      </w:r>
    </w:p>
    <w:p w14:paraId="52ED4B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Получил Ваше послание от 24 января.</w:t>
      </w:r>
    </w:p>
    <w:p w14:paraId="7467112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 несколько опоздал с ответом ввиду большой перегруженности делами фронта.</w:t>
      </w:r>
    </w:p>
    <w:p w14:paraId="310A67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 касается сообщения “Правды”, то ему не следует придавать чрезмерного значения, как нет основания и оспаривать право газеты печатать сообщения о слухах, полученных от проверенных агентов газеты. Мы, русские, по крайней мере никогда не претендовали на такого рода вмешательство в дела британской печати, хотя имели и имеем несравнимо больше поводов для этого. Лишь очень небольшую часть сообщений, заслуживающих опровержения, из напечатанного в английских газетах опровергает наш ТАСС.</w:t>
      </w:r>
    </w:p>
    <w:p w14:paraId="773555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Если же говорить по существу вопроса, то я не могу согласиться с Вами, что Англия в свое время могла бы легко заключить сепаратный мир с Германией, в значительной мере за счет СССР, без серьезных потерь для Британской Империи. Мне думается, что это сказано сгоряча, так как я помню о Ваших заявлениях и другого характера. Я помню, например, как в трудное для Англии время, до включения Советского Союза в войну с Германией, Вы допускали возможность того, что Британскому Правительству придется перебраться в Канаду и из-за океана вести борьбу против Германии. С другой стороны, Вы признавали, что именно Советский Союз, развернув свою борьбу с Гитлером, устранил опасность, безусловно угрожавшую Великобритании со стороны Германии. Если же все-таки допускать, что Англия могла бы обойтись без СССР, то ведь не в меньшей мере это можно сказать и про Советский Союз. Мне не хотелось обо всем этом говорить, но я вынужден сказать об этом и напомнить о фактах.</w:t>
      </w:r>
    </w:p>
    <w:p w14:paraId="5428ED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журнале “Война и рабочий класс” могу лишь сказать, что это профсоюзный журнал, за статьи которого Правительство не может нести ответственности. Впрочем, журнал, как и другие наши журналы, верен основному принципу — укреплению дружбы с союзниками, что не исключает, а предполагает и дружественную критику.</w:t>
      </w:r>
    </w:p>
    <w:p w14:paraId="413A1C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и у Вас, у меня остались хорошие впечатления от наших встреч в Тегеране и от нашей совместной работы.</w:t>
      </w:r>
    </w:p>
    <w:p w14:paraId="6D5937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приезде г-на Керра я, конечно, с ним повидаюсь (7430).</w:t>
      </w:r>
    </w:p>
    <w:p w14:paraId="12A5D6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2EEF4E"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469F8C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D667AC"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Style w:val="ucoz-forum-post"/>
          <w:rFonts w:ascii="Times New Roman" w:hAnsi="Times New Roman"/>
          <w:color w:val="000000" w:themeColor="text1"/>
          <w:sz w:val="16"/>
          <w:szCs w:val="16"/>
        </w:rPr>
        <w:t xml:space="preserve">29 января </w:t>
      </w:r>
      <w:r w:rsidRPr="00070ADE">
        <w:rPr>
          <w:rFonts w:ascii="Times New Roman" w:hAnsi="Times New Roman"/>
          <w:color w:val="000000" w:themeColor="text1"/>
          <w:sz w:val="16"/>
          <w:szCs w:val="16"/>
        </w:rPr>
        <w:t xml:space="preserve">в 1944 году авария, в то время, когда палубный истребитель-торпедоносец </w:t>
      </w:r>
      <w:hyperlink r:id="rId21" w:tgtFrame="_blank" w:history="1">
        <w:r w:rsidRPr="00070ADE">
          <w:rPr>
            <w:rFonts w:ascii="Times New Roman" w:hAnsi="Times New Roman"/>
            <w:color w:val="000000" w:themeColor="text1"/>
            <w:sz w:val="16"/>
            <w:szCs w:val="16"/>
          </w:rPr>
          <w:t xml:space="preserve">«Firebrand» «F.I» </w:t>
        </w:r>
      </w:hyperlink>
    </w:p>
    <w:p w14:paraId="49541B6F"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использовался как стенд для наземных пусков ракетных снарядов на аэродроме в Шреутоне (Shrewton), реактивной струей ракет было повреждено горизонтальное оперение.</w:t>
      </w:r>
    </w:p>
    <w:p w14:paraId="3AAD452B"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Другие «Firebrand» «F. I» ничем себя не проявили и к концу 1944 года отправились на слом. Были другие модификации, до «Firebrand» «TF.V». В начале 1948 года, в связи с отказом от применения римских цифр для обозначения модификаций, «Firebrand» «TF.V» и «Firebrand» «TF.VA» стали соответственно «TF.5» и «TF.5A» (15024).</w:t>
      </w:r>
    </w:p>
    <w:p w14:paraId="24436647" w14:textId="77777777" w:rsidR="00D9700C" w:rsidRPr="00070ADE" w:rsidRDefault="00D9700C" w:rsidP="00B56F90">
      <w:pPr>
        <w:spacing w:after="0" w:line="240" w:lineRule="auto"/>
        <w:jc w:val="both"/>
        <w:rPr>
          <w:rFonts w:ascii="Times New Roman" w:hAnsi="Times New Roman"/>
          <w:color w:val="000000" w:themeColor="text1"/>
          <w:sz w:val="16"/>
          <w:szCs w:val="16"/>
        </w:rPr>
      </w:pPr>
    </w:p>
    <w:p w14:paraId="777371F1" w14:textId="77777777" w:rsidR="00CB30E5" w:rsidRPr="00070ADE" w:rsidRDefault="00CB30E5"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January 29, 1944: 800 bombers of the US 8th Air Force launch heavy attacks against Frankfurt am Main and Ludwigshafen (3819).</w:t>
      </w:r>
    </w:p>
    <w:p w14:paraId="22E71C5E" w14:textId="77777777" w:rsidR="00CB30E5" w:rsidRPr="00070ADE" w:rsidRDefault="00CB30E5"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8562273" w14:textId="77777777" w:rsidR="00CB30E5" w:rsidRPr="00070ADE" w:rsidRDefault="00CB30E5"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января 1943 800 бомбардировщиков 8ВА совершили налет на Франкфурт на Майне и Людвигсхаффен (3819).</w:t>
      </w:r>
    </w:p>
    <w:p w14:paraId="5B7460EE" w14:textId="77777777" w:rsidR="00CB30E5" w:rsidRPr="00070ADE" w:rsidRDefault="00CB30E5"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26E4D" w14:textId="77777777" w:rsidR="004D3DA4" w:rsidRPr="00070ADE" w:rsidRDefault="004D3DA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января 1944 863 бомбардировщика Восьмой армии ВВС в сопровождении 632 истребителей совершили налет на промышленные цели во Франкфурте-на-Майне и Людвигсхафене, Германия, при этом было потеряно 29 бомбардировщиков и 15 истребителей. Это первый удар Восьмой армии ВВС, в котором 700 или более бомбардировщиков успешно бомбят свои цели. Бомбардировщики и истребители заявили, что 122 немецких самолета сбитых, 33 вероятно сбитыъ и 62 поврежденых (20373).</w:t>
      </w:r>
    </w:p>
    <w:p w14:paraId="049E6235" w14:textId="77777777" w:rsidR="004D3DA4" w:rsidRPr="00070ADE" w:rsidRDefault="004D3DA4" w:rsidP="00B56F90">
      <w:pPr>
        <w:spacing w:after="0" w:line="240" w:lineRule="auto"/>
        <w:jc w:val="both"/>
        <w:rPr>
          <w:rFonts w:ascii="Times New Roman" w:hAnsi="Times New Roman"/>
          <w:color w:val="000000" w:themeColor="text1"/>
          <w:sz w:val="16"/>
          <w:szCs w:val="16"/>
        </w:rPr>
      </w:pPr>
    </w:p>
    <w:p w14:paraId="5C351C54" w14:textId="77777777" w:rsidR="00CB30E5" w:rsidRPr="00070ADE" w:rsidRDefault="00CB30E5"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января 1944 г. вечером у Анцио, где действовали подразделения из состава II/KG40 и II/KG100, от попадания одной-единственной Hs293 погиб английский легкий крейсер “Спартэн”. "Мы были всего в нескольких кабельтовых от "Спартэна”, когда планирующая бомба попала в него, - вспоминал позже Уильям Дональд, в то время командир эскадренного миноносца, - я видел, как она падала, подобно комете, неумолимо направляемая в цель самолетом-носителем. Она поразила крейсер в центр корпуса, и мгновенно огромное пламя вырвалось наружу. С трудом верилось, но это было правдой: на следующее утро он лежал, опрокинувшийся на мелководье, похожий на огромного выбросившегося на берег кита. Удивительно, что одна бомба, попавшая в корабль, могла уничтожить его так быстро...” (2524).</w:t>
      </w:r>
    </w:p>
    <w:p w14:paraId="7C8CA69E" w14:textId="77777777" w:rsidR="00CB30E5" w:rsidRPr="00070ADE" w:rsidRDefault="00CB30E5"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39AFE6" w14:textId="77777777" w:rsidR="00CB30E5" w:rsidRPr="00070ADE" w:rsidRDefault="00CB30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января 1944 налеты 30 и 47 истребителей-бомбардировщиков атаковали корабли союзников у Анцио с использованием управляемых бомб, потопив британский легкий крейсер HMS Spartan и корабль Liberty и серьезно повредив спасательный буксир (20373).</w:t>
      </w:r>
    </w:p>
    <w:p w14:paraId="651E0B94" w14:textId="77777777" w:rsidR="00CB30E5" w:rsidRPr="00070ADE" w:rsidRDefault="00CB30E5" w:rsidP="00B56F90">
      <w:pPr>
        <w:spacing w:after="0" w:line="240" w:lineRule="auto"/>
        <w:jc w:val="both"/>
        <w:rPr>
          <w:rFonts w:ascii="Times New Roman" w:hAnsi="Times New Roman"/>
          <w:color w:val="000000" w:themeColor="text1"/>
          <w:sz w:val="16"/>
          <w:szCs w:val="16"/>
        </w:rPr>
      </w:pPr>
    </w:p>
    <w:p w14:paraId="6D159497" w14:textId="77777777" w:rsidR="004D3DA4" w:rsidRPr="00070ADE" w:rsidRDefault="004D3DA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января 1944 12 авианосцев оперативной группы 58 - Силы скоростных авианосцев Тихоокеанского флота США - начинают операции по уничтожению японской авиации на Маршалловых островах в рамках подготови американского вторжения на острова. Это был первый раз, когда американские силы быстрых авианосцев использовались подобным образом. В течение дня авианосец ВМС США одним ударом вывел из строя летнюю базу в Рой; они также нападают на остров Кваджалейн и атоллы Малоэлап и Вотье. Японский истребитель, сбитый над Рой-Намюр в 08:00, стал последним японским самолетом, обнаруженным в воздухе во время кампании на Маршалловых островах. Восемь американских самолетов потеряны (20373).</w:t>
      </w:r>
    </w:p>
    <w:p w14:paraId="6FF24C54" w14:textId="77777777" w:rsidR="004D3DA4" w:rsidRPr="00070ADE" w:rsidRDefault="004D3DA4" w:rsidP="00B56F90">
      <w:pPr>
        <w:spacing w:after="0" w:line="240" w:lineRule="auto"/>
        <w:jc w:val="both"/>
        <w:rPr>
          <w:rFonts w:ascii="Times New Roman" w:hAnsi="Times New Roman"/>
          <w:color w:val="000000" w:themeColor="text1"/>
          <w:sz w:val="16"/>
          <w:szCs w:val="16"/>
        </w:rPr>
      </w:pPr>
    </w:p>
    <w:p w14:paraId="3D672CE0" w14:textId="77777777" w:rsidR="004D3DA4" w:rsidRPr="00070ADE" w:rsidRDefault="004D3DA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января 1944 две эскадрильи ВМС США на PB2Y Coronados бомбидт Уэйк. Это был десятый американский удара против Уэйк с октября 1943 года (20373).</w:t>
      </w:r>
    </w:p>
    <w:p w14:paraId="3A3158AE" w14:textId="77777777" w:rsidR="004D3DA4" w:rsidRPr="00070ADE" w:rsidRDefault="004D3DA4" w:rsidP="00B56F90">
      <w:pPr>
        <w:spacing w:after="0" w:line="240" w:lineRule="auto"/>
        <w:jc w:val="both"/>
        <w:rPr>
          <w:rFonts w:ascii="Times New Roman" w:hAnsi="Times New Roman"/>
          <w:color w:val="000000" w:themeColor="text1"/>
          <w:sz w:val="16"/>
          <w:szCs w:val="16"/>
        </w:rPr>
      </w:pPr>
    </w:p>
    <w:p w14:paraId="48B77B99" w14:textId="77777777" w:rsidR="00D9700C" w:rsidRPr="00070ADE" w:rsidRDefault="00D9700C"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января 1944 в США спущен на воду самый большой в мире военный корабль “Миссури” (4962).</w:t>
      </w:r>
    </w:p>
    <w:p w14:paraId="420D7333" w14:textId="77777777" w:rsidR="00D9700C" w:rsidRPr="00070ADE" w:rsidRDefault="00D9700C"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094478" w14:textId="77777777" w:rsidR="00D9700C" w:rsidRPr="00070ADE" w:rsidRDefault="00D9700C"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января 1944 на воду был спущен линкор Миссури (2100).</w:t>
      </w:r>
    </w:p>
    <w:p w14:paraId="13947A60" w14:textId="77777777" w:rsidR="00D9700C" w:rsidRPr="00070ADE" w:rsidRDefault="00D9700C"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2772FE"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Style w:val="ucoz-forum-post"/>
          <w:rFonts w:ascii="Times New Roman" w:hAnsi="Times New Roman"/>
          <w:color w:val="000000" w:themeColor="text1"/>
          <w:sz w:val="16"/>
          <w:szCs w:val="16"/>
        </w:rPr>
        <w:t xml:space="preserve">29 января </w:t>
      </w:r>
      <w:r w:rsidRPr="00070ADE">
        <w:rPr>
          <w:rFonts w:ascii="Times New Roman" w:hAnsi="Times New Roman"/>
          <w:color w:val="000000" w:themeColor="text1"/>
          <w:sz w:val="16"/>
          <w:szCs w:val="16"/>
        </w:rPr>
        <w:t>в 1944 году на заседании Объединенного комитета начальников штабов США и Великобритании предварительно решено, что в случае неожиданного краха политического режима Германии американские войска оккупируют основную часть территории Германии, тогда как английские войска из Италии направятся в Австрию и займут ее. Кроме того, англичанам по просьбе их представителей в ОКНШ были обещаны германские военно-морские базы в Балтийском море (15024).</w:t>
      </w:r>
    </w:p>
    <w:p w14:paraId="7E734400" w14:textId="77777777" w:rsidR="00D9700C" w:rsidRPr="00070ADE" w:rsidRDefault="00D9700C" w:rsidP="00B56F90">
      <w:pPr>
        <w:spacing w:after="0" w:line="240" w:lineRule="auto"/>
        <w:jc w:val="both"/>
        <w:rPr>
          <w:rFonts w:ascii="Times New Roman" w:hAnsi="Times New Roman"/>
          <w:color w:val="000000" w:themeColor="text1"/>
          <w:sz w:val="16"/>
          <w:szCs w:val="16"/>
        </w:rPr>
      </w:pPr>
    </w:p>
    <w:p w14:paraId="48AFAFA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января 1944 в Германии опубликован призыв к незамужним девушкам рожать детей от “истинных арийцев”, особенно от СС-овцев (4962).</w:t>
      </w:r>
    </w:p>
    <w:p w14:paraId="16F1930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A217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января 1944 нацисты стали рекомендовать незамужним девушкам рожать (3481).</w:t>
      </w:r>
    </w:p>
    <w:p w14:paraId="0166F78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326DA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C 29 января по 4 февраля 1944 было безуспешное наступление созников против Кассино - части Линии Густава, обороняемой 9 дивизиями (2438,293).</w:t>
      </w:r>
    </w:p>
    <w:p w14:paraId="37A56C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39641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января 1944 у берегов Италии на мине подорвался и затонул английский крейсер “Спартан” (4962).</w:t>
      </w:r>
    </w:p>
    <w:p w14:paraId="14C2ED6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1A50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January 29 - 22 February 1944 Occupation of the Marshall Islands 1944 Six heavy and six light carriers, in four groups of Task Force 58 (Rear Admiral M. A. Mitscher), opened the campaign to capture the Marshalls (29 Jan) with heavy air attacks on Maloelap, Kwajalein, and Wotje. On the first day the defending enemy air forces were eliminated and complete control of the air was maintained by carrier aircraft during the entire operation. Eight escort carriers, attached to the Attack Forces of the Joint Expeditionary Force, arrived in the area early the morning of D-day. Aircraft from the carriers flew cover and antisubmarine patrols for attack shipping and assisted two fast carrier groups, providing air support for landings on Kwajalein and Majuro Atolls (31 Jan), Roi and Namur (1 Feb), and for operations ashore. The AGC command ship, used for the first time during this campaign, provided greatly improved physical facilities for the Support Air Commander. Here, the Support Air Commander first assumed control of Target Combat Air Patrol, previously vested in carrier units, and a Force Fighter Director on his staff coordinated fighter direction. Two fast carrier groups to the west kept Eniwetok Atoll neutralized until the initial objectives were achieved. Their early achievement permitted the second phase of the campaign, Seizure of Eniwetok, earlier than the planned date of 10 May. The landings (17 Feb) and the ground action were supported by aircraft from one fast carrier group and one escort carrier group. Covering operations were provided by the First Strike on Truk (17-18 Feb), carried out by the Truk Striking Force (Vice Admiral R. A. Spruance), built around three fast carrier groups. In a 2-day attack, the carriers launched 1,250 combat sorties against this key naval base and exploded the myth of its impregnability with 400 tons of bombs and torpedoes, sinking 37 war and merchant ships aggregating 200,000 tons and doing heavy damage to base installations. In this action the first night bombing attack in the history of U.S. carrier aviation was carried out by VT-10 from the Enterprise with 12 radar equipped TBF-1C's. The attack, delivered at low level, scored several direct hits on ships in the harbor. In a brief enemy air attack on the same night, Intrepid was hit by an aerial torpedo. For the campaign, night fighter detachments of VF(N)-76 and VF(N)-101 (assigned F6F-3's and F4U-2's equipped with AIA radar) were assigned to five carriers and, while not widely used, were on occasion vectored against enemy night raiders (1090).</w:t>
      </w:r>
    </w:p>
    <w:p w14:paraId="2D97AD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EF7A2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29 января по 22 февраля 1944 американская армия окупировала Маршаловы острова (1090). Атаковали 4 десантные группы (2438,302).</w:t>
      </w:r>
    </w:p>
    <w:p w14:paraId="6D19677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A2383D"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Style w:val="ucoz-forum-post"/>
          <w:rFonts w:ascii="Times New Roman" w:hAnsi="Times New Roman"/>
          <w:color w:val="000000" w:themeColor="text1"/>
          <w:sz w:val="16"/>
          <w:szCs w:val="16"/>
        </w:rPr>
        <w:t xml:space="preserve">29 января </w:t>
      </w:r>
      <w:r w:rsidRPr="00070ADE">
        <w:rPr>
          <w:rFonts w:ascii="Times New Roman" w:hAnsi="Times New Roman"/>
          <w:color w:val="000000" w:themeColor="text1"/>
          <w:sz w:val="16"/>
          <w:szCs w:val="16"/>
        </w:rPr>
        <w:t>в 1944 году (29 января-6 февраля) операция американских войск по овладению Маршалловыми островами. Американская авиация потеряла 25 самолетов, японская – 270 (15024).</w:t>
      </w:r>
    </w:p>
    <w:p w14:paraId="24543C13" w14:textId="77777777" w:rsidR="00D9700C" w:rsidRPr="00070ADE" w:rsidRDefault="00D9700C" w:rsidP="00B56F90">
      <w:pPr>
        <w:spacing w:after="0" w:line="240" w:lineRule="auto"/>
        <w:jc w:val="both"/>
        <w:rPr>
          <w:rFonts w:ascii="Times New Roman" w:hAnsi="Times New Roman"/>
          <w:color w:val="000000" w:themeColor="text1"/>
          <w:sz w:val="16"/>
          <w:szCs w:val="16"/>
        </w:rPr>
      </w:pPr>
    </w:p>
    <w:p w14:paraId="4E917C6C"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E5F0B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50FBB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января 1944 начались испытания прототипа серийного истребителя Ла-7 конструкции С.А.Лавочкина (274).</w:t>
      </w:r>
    </w:p>
    <w:p w14:paraId="40D66B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другим данным - это Ла-5 эталон 1944 (2989).</w:t>
      </w:r>
    </w:p>
    <w:p w14:paraId="7CE553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DD601D" w14:textId="77777777" w:rsidR="00F41EB5" w:rsidRPr="00070ADE" w:rsidRDefault="00F41EB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января 1944 г. Н. В. Адамович поднял Ла-5ФН «улучшенный» в первый полет.</w:t>
      </w:r>
    </w:p>
    <w:p w14:paraId="63BD08B5" w14:textId="77777777" w:rsidR="00F41EB5" w:rsidRPr="00070ADE" w:rsidRDefault="00F41EB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Чтобы ускорить его сдачу, сроки остальных работ, кроме делавшейся с опережением машины № 39210206, цеха были «сдвинуты вправо», но успеть к заданной дате выкатки 15 декабря не удалось. А когда самолет был готов, надолго испортилась погода.</w:t>
      </w:r>
    </w:p>
    <w:p w14:paraId="6603EF3A" w14:textId="77777777" w:rsidR="00F41EB5" w:rsidRPr="00070ADE" w:rsidRDefault="00F41EB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Летная жизнь этой машины вскоре оборвалась из-за отказа мотора, и Адамовичу пришлось прыгать с парашютом, авария из-за производственного брака задержала испытания, которые продолжили на второй машине — ее облетал Г. М. Шиянов 1 февраля. Испытания прошли в ударном темпе: летчики ЛИИ НКАП достигли скорости у земли 630 км/ч, а на высоте 6 000 м — 685 км/ч. Проводившие Государственные испытания самолета пилоты НИИ ВВС выполняли полеты на режимах, рекомендованных в строевой эксплуатации и учитывавших особенности боевого применения истребителей по опыту войны. Поэтому полученные ими данные были несколько ниже. У земли при ограниченном наддуве они намерили только 597 км/ч — это было лучше, чем у опытного Ла5ФН лишь на 4 км/ч. Но на I границе высотности 3 250 м прирост достиг 44 км/ч (получено 670 км/ч), на промежуточной высоте 5 000 м достигли скорости 661 и на II границе 6 000 м — 680 км/ч (прибавка 32 км/ч). С весом 3 250 кг на 5 000 м самолет выходил за 4,45 мин, обгоняя опытный Ла-5ФН на четверть минуты. Госиспытания завершились быстро, и 15 марта 1944 г. Постановлением Государственного комитета обороны № 5404 самолет был принят на вооружение. Хотя сам Лавочкин обозначил машину как «Ла-5 эталон 1944 г.», в серию она запускалась под новым обозначением Ла-7 (22669).</w:t>
      </w:r>
    </w:p>
    <w:p w14:paraId="3FFD7E5B" w14:textId="77777777" w:rsidR="00F41EB5" w:rsidRPr="00070ADE" w:rsidRDefault="00F41EB5" w:rsidP="00B56F90">
      <w:pPr>
        <w:spacing w:after="0" w:line="240" w:lineRule="auto"/>
        <w:jc w:val="both"/>
        <w:rPr>
          <w:rFonts w:ascii="Times New Roman" w:hAnsi="Times New Roman"/>
          <w:color w:val="000000" w:themeColor="text1"/>
          <w:sz w:val="16"/>
          <w:szCs w:val="16"/>
        </w:rPr>
      </w:pPr>
    </w:p>
    <w:p w14:paraId="04C5FF1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января 1944 г. начались испытания самолета "Ла-5 - эталон 1944" (6395).</w:t>
      </w:r>
    </w:p>
    <w:p w14:paraId="3AD7C07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FE73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30 января по 11 февраля 1944 года на летно-испытательной базе завода № 21 провели контрольные испытания серийного Ла-5ФН с тремя пушками УБ-20. Максимальная горизонтальная скорость у земли на номинальном режиме работы двигателя не превышала 596 км/ч. Основываясь на опыте эксплуатации ряда самолетов, предположили, что при форсировании мотора максимальная скорость у земли возрастет на 30-35 км/ч и достигнет 630 км/ч. Начиная с 1944 года все Ла-5ФН (тип "41") завода № 21 выпускались с металлическими лонжеронами (12032).</w:t>
      </w:r>
    </w:p>
    <w:p w14:paraId="19A3295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376790E"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30 января</w:t>
      </w:r>
      <w:r w:rsidRPr="00070ADE">
        <w:rPr>
          <w:rFonts w:ascii="Times New Roman" w:hAnsi="Times New Roman"/>
          <w:color w:val="000000" w:themeColor="text1"/>
          <w:sz w:val="16"/>
          <w:szCs w:val="16"/>
        </w:rPr>
        <w:t xml:space="preserve"> в 1944 году на летно-испытательной базе завода № 21 проводились (по 11 февраля) контрольные испытания серийного </w:t>
      </w:r>
      <w:hyperlink r:id="rId22" w:tgtFrame="_blank" w:history="1">
        <w:r w:rsidRPr="00070ADE">
          <w:rPr>
            <w:rFonts w:ascii="Times New Roman" w:hAnsi="Times New Roman"/>
            <w:color w:val="000000" w:themeColor="text1"/>
            <w:sz w:val="16"/>
            <w:szCs w:val="16"/>
          </w:rPr>
          <w:t xml:space="preserve">«Ла-5ФН» </w:t>
        </w:r>
      </w:hyperlink>
      <w:r w:rsidRPr="00070ADE">
        <w:rPr>
          <w:rFonts w:ascii="Times New Roman" w:hAnsi="Times New Roman"/>
          <w:color w:val="000000" w:themeColor="text1"/>
          <w:sz w:val="16"/>
          <w:szCs w:val="16"/>
        </w:rPr>
        <w:t>с тремя пушками «УБ-2» (самолет «Ла-5 - эталон 1944» (прототип «Ла-7»), пилот Г.М.Шиянов. Максимальная горизонтальная скорость у земли на номинальном режиме работы двигателя не превышала 596 км/ч. Основываясь на опыте эксплуатации ряда самолетов предположили, что при форсировании мотора скорость у земли увеличится на 30-35 км/ч и составит 630 км/ч. Построено 5905 самолетов за 1944-1945 годы. В конце 1943 года параллельно с трехпушечным вариантом разработали машину с парой орудий ВЯ и одним пулеметом «БС», но этот проект остался на бумаге (15025).</w:t>
      </w:r>
    </w:p>
    <w:p w14:paraId="130ED545" w14:textId="77777777" w:rsidR="00D9700C" w:rsidRPr="00070ADE" w:rsidRDefault="00D9700C" w:rsidP="00B56F90">
      <w:pPr>
        <w:spacing w:after="0" w:line="240" w:lineRule="auto"/>
        <w:jc w:val="both"/>
        <w:rPr>
          <w:rFonts w:ascii="Times New Roman" w:hAnsi="Times New Roman"/>
          <w:color w:val="000000" w:themeColor="text1"/>
          <w:sz w:val="16"/>
          <w:szCs w:val="16"/>
        </w:rPr>
      </w:pPr>
    </w:p>
    <w:p w14:paraId="0594123E" w14:textId="77777777" w:rsidR="00FA6359" w:rsidRPr="00C94B78" w:rsidRDefault="00FA635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30 января по 11 февраля 1944 г. на летно-испытательной базе завода № 21 провели контрольные испытания се</w:t>
      </w:r>
      <w:r w:rsidRPr="00C94B78">
        <w:rPr>
          <w:rFonts w:ascii="Times New Roman" w:hAnsi="Times New Roman"/>
          <w:color w:val="0070C0"/>
          <w:sz w:val="16"/>
          <w:szCs w:val="16"/>
        </w:rPr>
        <w:softHyphen/>
        <w:t>рийного Ла-5ФН с тремя УБ-20. Макси</w:t>
      </w:r>
      <w:r w:rsidRPr="00C94B78">
        <w:rPr>
          <w:rFonts w:ascii="Times New Roman" w:hAnsi="Times New Roman"/>
          <w:color w:val="0070C0"/>
          <w:sz w:val="16"/>
          <w:szCs w:val="16"/>
        </w:rPr>
        <w:softHyphen/>
        <w:t>мальная горизонтальная скорость этой машины у земли при работе двигателя на номинальном режиме не превышала 596 км/ч. Опираясь на опыт эксплуа</w:t>
      </w:r>
      <w:r w:rsidRPr="00C94B78">
        <w:rPr>
          <w:rFonts w:ascii="Times New Roman" w:hAnsi="Times New Roman"/>
          <w:color w:val="0070C0"/>
          <w:sz w:val="16"/>
          <w:szCs w:val="16"/>
        </w:rPr>
        <w:softHyphen/>
        <w:t>тации, предположили, что на полном газу максимальная скорость у земли увеличится на 30 - 35 км/ч и достигнет 630 км/ч. Однако, подобное вооружение внедрили уже на Ла-7, а Ла-5 до самого конца строились с двумя пушками (24930).</w:t>
      </w:r>
    </w:p>
    <w:p w14:paraId="1C8C7A5D" w14:textId="77777777" w:rsidR="00FA6359" w:rsidRPr="00C94B78" w:rsidRDefault="00FA6359" w:rsidP="00B56F90">
      <w:pPr>
        <w:spacing w:after="0" w:line="240" w:lineRule="auto"/>
        <w:jc w:val="both"/>
        <w:rPr>
          <w:rFonts w:ascii="Times New Roman" w:hAnsi="Times New Roman"/>
          <w:color w:val="0070C0"/>
          <w:sz w:val="16"/>
          <w:szCs w:val="16"/>
        </w:rPr>
      </w:pPr>
    </w:p>
    <w:p w14:paraId="3B1880F9"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3618A02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C5E8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с 30 января по 2 февраля 1944 г. опытный образец танка Т-34-85 с пушкой ЗИС-С-53, установленной в штатной башне успешно прошел испытания на ГАНИОПе. Установка танковой пушкой ЗИС-С-53 конструкции ЦАКБ НКВ в штатную башню танка Т-34-76 обр. 1942 г. была осуществлена с целью проверки надежности ее конструкции и удобства работы с ней членов экипажа (10703).</w:t>
      </w:r>
    </w:p>
    <w:p w14:paraId="687E874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9F5567" w14:textId="77777777" w:rsidR="00F41EB5" w:rsidRPr="00070ADE" w:rsidRDefault="00F41EB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с 30 января по 2 февраля 1944 г. на ГАНИОПе были проведены испытания головных образцов 85-мм танковой пушки С-53, установленных в танках Т-34. По результатам проведенных испытаний комиссией под председательством Е.А. Кульчицкого, в частности, были сделаны следующие выводы:</w:t>
      </w:r>
    </w:p>
    <w:p w14:paraId="109C1F78" w14:textId="77777777" w:rsidR="00F41EB5" w:rsidRPr="00070ADE" w:rsidRDefault="00F41EB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85 мм танковая пушка С-53 серийного изготовления завода № 92 полигонные испытания выдержала.</w:t>
      </w:r>
    </w:p>
    <w:p w14:paraId="50700A45" w14:textId="77777777" w:rsidR="00F41EB5" w:rsidRPr="00070ADE" w:rsidRDefault="00F41EB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 Боевые качества танка Т-34 вооруженного 85 мм пушкой С-53 значительно выше при расширенной башне».</w:t>
      </w:r>
    </w:p>
    <w:p w14:paraId="7546E470" w14:textId="77777777" w:rsidR="00F41EB5" w:rsidRPr="00070ADE" w:rsidRDefault="00F41EB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2224. Л. 109, 111] (21209).</w:t>
      </w:r>
    </w:p>
    <w:p w14:paraId="3BB681B1" w14:textId="77777777" w:rsidR="00F41EB5" w:rsidRPr="00070ADE" w:rsidRDefault="00F41EB5" w:rsidP="00B56F90">
      <w:pPr>
        <w:spacing w:after="0" w:line="240" w:lineRule="auto"/>
        <w:jc w:val="both"/>
        <w:rPr>
          <w:rFonts w:ascii="Times New Roman" w:hAnsi="Times New Roman"/>
          <w:color w:val="000000" w:themeColor="text1"/>
          <w:sz w:val="16"/>
          <w:szCs w:val="16"/>
        </w:rPr>
      </w:pPr>
    </w:p>
    <w:p w14:paraId="5919A3B6" w14:textId="77777777" w:rsidR="00DF6978" w:rsidRPr="00070ADE" w:rsidRDefault="00DF6978" w:rsidP="00B56F90">
      <w:pPr>
        <w:pStyle w:val="a3"/>
        <w:rPr>
          <w:color w:val="000000" w:themeColor="text1"/>
          <w:lang w:val="ru-RU"/>
        </w:rPr>
      </w:pPr>
      <w:r w:rsidRPr="00070ADE">
        <w:rPr>
          <w:color w:val="000000" w:themeColor="text1"/>
          <w:lang w:val="ru-RU"/>
        </w:rPr>
        <w:t>С 30 января по 2 февраля 1944 года на Гороховецком артиллерийском полигоне пушка С-53, которая была в срочном порядке установлена в танк на заводе № 112, была испытана и принята на вооружение. Кроме того, испытания выявили допустимость установки 85-мм пушки в танк с обычным погоном только как временной меры. Ещё одни сравнительные испытания танков с расширенной и обычной башнями, вооруженных 85-мм пушкой, были проведены в начале февраля и показали, что танк со старой башней значительно уступает по скорострельности орудия. Переход к производству танков с увеличенной башней был необходим и неизбежен (12290).</w:t>
      </w:r>
    </w:p>
    <w:p w14:paraId="47AA57EE" w14:textId="77777777" w:rsidR="00DF6978" w:rsidRPr="00070ADE" w:rsidRDefault="00DF6978" w:rsidP="00B56F90">
      <w:pPr>
        <w:pStyle w:val="a3"/>
        <w:rPr>
          <w:color w:val="000000" w:themeColor="text1"/>
          <w:lang w:val="ru-RU"/>
        </w:rPr>
      </w:pPr>
    </w:p>
    <w:p w14:paraId="1E99C50C" w14:textId="77777777" w:rsidR="00F41EB5" w:rsidRPr="00070ADE" w:rsidRDefault="00F41EB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с 30 января по 1 марта 1944 года в селе Ветхин Речинского района происходило изучение подбитых танков, преимущественно Т-34. Одним из инициаторов данных работ был как раз Цыганов. Выявилась необходимость пересмотреть размещения орудийных укладок внутри танков, а также вновь поднялся вопрос по экранам. Также Цыганов обратил внимание на немецкие кумулятивные противотанковые гранаты Faustpatrone. Определенный выхлоп с этих работ имелся. В конце концов, те самые противокумулятивные экраны, которые применялись в Берлинской операции, появились и благодаря Цыганову (40535).</w:t>
      </w:r>
    </w:p>
    <w:p w14:paraId="0C292272" w14:textId="77777777" w:rsidR="00F41EB5" w:rsidRPr="00070ADE" w:rsidRDefault="00F41EB5" w:rsidP="00B56F90">
      <w:pPr>
        <w:spacing w:after="0" w:line="240" w:lineRule="auto"/>
        <w:jc w:val="both"/>
        <w:rPr>
          <w:rFonts w:ascii="Times New Roman" w:hAnsi="Times New Roman"/>
          <w:color w:val="000000" w:themeColor="text1"/>
          <w:sz w:val="16"/>
          <w:szCs w:val="16"/>
        </w:rPr>
      </w:pPr>
    </w:p>
    <w:p w14:paraId="6CFC24F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января 1944 г. была подготовлена ДОКЛАДНАЯ ЗАПИСКА КОМАНДУЮЩЕГО БТ и МВ КА ЧЛЕНУ ГКО Л.П. БЕРИИ О МОДЕРНИЗИРОВАННЫХ АМЕРИКАНСКИХ ТАНКАХ М4А2 № 540431</w:t>
      </w:r>
    </w:p>
    <w:p w14:paraId="202414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вопросу скольжения гусениц модернизированных американских танков М4А2 на снежных дорогах докладываю:</w:t>
      </w:r>
    </w:p>
    <w:p w14:paraId="233F69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Модернизированные танки М4А2 начали поступать в СССР с осени 1943 г., эти танки имеют металлические гусеницы, в то время, как все ранее поступившие танки имели резинометаллические гусеницы, на траки которых в зимний период одевались специальные шпоры.</w:t>
      </w:r>
    </w:p>
    <w:p w14:paraId="52B28F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 процессе эксплуатации модернизированных танков М4А2 на фронте в зимних условиях выяснилось, что траки гусениц, забиваясь снегом, не обеспечивают достаточного сцепления, хотя и имеют специальные шпоры. Вследствие этого танки при движении по снежным дорогам скользят и сползают в кюветы.</w:t>
      </w:r>
    </w:p>
    <w:p w14:paraId="272E9B6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Для устранения указанного выше недостатка необходимо на шпоры каждого третьего трака гусениц приварить дополнительные шипы.</w:t>
      </w:r>
    </w:p>
    <w:p w14:paraId="420BF8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Мною дано приказание:</w:t>
      </w:r>
    </w:p>
    <w:p w14:paraId="604C613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Впредь все танки М4А2, прибывающие из Америки, сдавать войсковым частям только с при</w:t>
      </w:r>
      <w:r w:rsidRPr="00070ADE">
        <w:rPr>
          <w:rFonts w:ascii="Times New Roman" w:hAnsi="Times New Roman"/>
          <w:color w:val="000000" w:themeColor="text1"/>
          <w:sz w:val="16"/>
          <w:szCs w:val="16"/>
        </w:rPr>
        <w:softHyphen/>
        <w:t>варенными на траки дополнительными шипами.</w:t>
      </w:r>
    </w:p>
    <w:p w14:paraId="6D3B5DB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 88-ми танках М4А2 с металлическими гусеницами, имеющихся в формируемых войсковых частях, приварить дополнительные шипы с окончанием работ до 10 февраля с.г.</w:t>
      </w:r>
    </w:p>
    <w:p w14:paraId="198624C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БТ и МВ КА генерал-полковник танковых войск Федоренко</w:t>
      </w:r>
    </w:p>
    <w:p w14:paraId="4A3E63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 военного совета БТ и МВ КА генерал-лейтенант танковых войск Бирюков</w:t>
      </w:r>
    </w:p>
    <w:p w14:paraId="567550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2551. Л. 5. Копия (11403).</w:t>
      </w:r>
    </w:p>
    <w:p w14:paraId="6D9867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C4E5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30 января по 10 февраля 1944 года провели полномасштабные испытания БА-64 с двигателем С.С.Неждановского, получившей обозначение БА-64З (буква "З" - зимний) (3862).</w:t>
      </w:r>
    </w:p>
    <w:p w14:paraId="3EB42A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Машина зарекомендовала себя хорошо, не было ни одного случая потери подвижности. Средняя скорость по холмистой снежной целине была 7,6 км/ч, по накатанной дороге - 16 км/ч. Максимальную расчетную скорость - 28 км/ч - достичь не удалось из-за малой мощности двигателя. На не заснеженной поверхности броневик передвигался с большим трудом, а преодолеть не заснеженный подъем не мог совершенно. Гусеницы часто соскакивали, расход топлива был очень большой: от 1.2 до полутора литров на 1 км в зависимости от местности (3862).</w:t>
      </w:r>
    </w:p>
    <w:p w14:paraId="20C6C6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вскрыли и еще один недостаток - весьма посредственную управляемость. Это особенно сказывалось на лесистых территориях: иногда приходилось даже спиливать деревья, мешавшие проезду. Ввиду столь серьезных недостатков, от БА-64З отказались, хотя сам принцип Неждановского был признан перспективным и еще несколько лет на его основе пытались построить снегоходы (3862).</w:t>
      </w:r>
    </w:p>
    <w:p w14:paraId="04B80FC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41411F"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766C0C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1D7E89"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30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488C1E9E"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30 января северо-западнее и западнее города Волосово наши войска продолжали развивать наступление и с боями заняли более 50населённых пунктов, в том числе Систапалкино, Новое Устье, Головкино, Семейская, Копаница, Купля, Котлы, Ицепина, Климотино, Перелесье, Нарядова, Удосолово, Тютицы, Большое Рудилово, Войносолово, Пумалица, Ранолово, Кайболово,Валья, Гурлево, Лялицы, Корпово, Мануйлово, Ястребино, Поселок Молосковицы, Старые и Новые Смолеговицы, Рагулово, Морозово, Сырковицы, Яблоницы, Летошицы, Руссковицы, узловые железнодорожные станции Котлы и Веймарн (12 километроввосточнее Кингисепп), а также железнодорожную станцию Молосковицы.</w:t>
      </w:r>
    </w:p>
    <w:p w14:paraId="427F6CDD"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Гатчина наши войска с боями заняли несколько населённых пунктов и среди них Волна, Алексеевский, Даймище, Замостье, Выра, Изора, Кургино, Дружная Горка, рабочий посёлок и железнодорожная станция Сиверский. Ранее окружённый немецкий гарнизон в посёлке и на станции Сиверский уничтожен нашими войсками.</w:t>
      </w:r>
    </w:p>
    <w:p w14:paraId="2D802F7B"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юго-западнее и южнее города Любань наши войска, преодолевая инженерные заграждения противника на лесных дорогах, с боями продвигались вперёд и заняли более 30 населённых пунктов, в том числе населённые пункты Клетно, Борисово, Слудица, Порожки, Савкино 1-е и 2-е, Конечки, Большое и Малое Еглино, Федосьино, Большое Васильевское, Гуммолово, Заволожье, Русская Волжа и железнодорожные станции Кастенская, Еглино.</w:t>
      </w:r>
    </w:p>
    <w:p w14:paraId="29AA4951"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Новгорода наши войска продолжали вести наступательные бои, в ходе которых заняли населённые пункты Мыселка, Галстухово, Большие Кусони, Чёрное, Хрипцы, Яковлева Горка, Нежатицы, Дедино, Борки, Большие Шатновицы, Великое Село, Закибье.</w:t>
      </w:r>
    </w:p>
    <w:p w14:paraId="04CB74C8"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северо-западнее Новосокольники наши войска, преодолевая сопротивление противника, с боями продвигались вперёд и заняли несколько населённых пунктов.</w:t>
      </w:r>
    </w:p>
    <w:p w14:paraId="0C4BD3A8"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540393F2"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29 января наши войска на всех фронтах подбили и уничтожили 72 немецких танка. В воздушных боях и огнём зенитной артиллерии сбито 25 самолётов противника.</w:t>
      </w:r>
    </w:p>
    <w:p w14:paraId="284F826F"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города Волосово наши войска продолжали успешное наступление. Бойцы Н-ского соединения заняли крупный узел железных и шоссейныхдорог Котлы. Другие наши части овладели узловой железнодорожной станцией Веймарн, расположенной в 12 километрах восточнее Кингисеппа. Занята также железнодорожная станция и узел шоссейных дорог Молосковицы. Преследуя отступающего противника, наши войска отрезали и разгромили до полка немецкой пехоты и несколько специальных подразделений противника. Захвачено много орудий, миномётов, пулемётов и другие трофеи. Группа советских танков атаковала большой вражеский обоз. Танкисты уничтожили немецкую охрану и захватили несколько сот повозок с военными грузами.</w:t>
      </w:r>
    </w:p>
    <w:p w14:paraId="0D4B95CC"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Гатчина наши войска с боями продвигались вперёд. Части Н-ского соединения, совершив удачный обходный манёвр, окружили гарнизон противника, оборонявший рабочий посёлок и крупную железнодорожную станцию Сиверский. Немцы упорно защищали эту станцию, стремясь не допустить дальнейшего продвижения наших войск по железной дороге Гатчина-Луга. Сегодня советские войска сломили сопротивление окружённых гитлеровцев. К исходу дня посёлок истанция Сиверский очищены от немцев. Окружённый немецкий гарнизон полностью уничтожен. Захвачено много трофеев.</w:t>
      </w:r>
    </w:p>
    <w:p w14:paraId="27BE72CD"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юго-западнее и южнее города Любань наши войска продолжали наступление. Немцы устроили на лесных дорогах завалы и различные инженерные заграждения. Действуя в сложных условиях лесисто-болотистой местности и преодолевая сопротивление противника, советские бойцы заняли более 30 населённых пунктов.</w:t>
      </w:r>
    </w:p>
    <w:p w14:paraId="5046E515"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отдельных участках успешно действовали наши лыжники. В бою за один населённый пункт они уничтожили две роты гитлеровцев и захватили склад боеприпасов.</w:t>
      </w:r>
    </w:p>
    <w:p w14:paraId="4ACF42D3"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Новгорода наши войска вели наступательные бои. Части Н-ского соединения, отразив несколько контратак противника, продвинулись вперёд и заняли ряд населённых пунктов. На поле боя осталось до 800 вражеских трупов. Захвачено у немцев 3 танка, 10 орудий и два склада боеприпасов. Взяты пленные.</w:t>
      </w:r>
    </w:p>
    <w:p w14:paraId="0C437D96"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северо-западнее Новосокольники наши войска с боями продвигались вперёд и выбили немцев из нескольких опорных пунктов. В бою за город Новосокольники, взятый вчера нашими войсками, уничтожено свыше 2.000 гитлеровцев. Захвачено у немцев 6 танков, артиллерийский склад, свыше 100 паровозов, много вагонов, цистерн и другие трофеи.</w:t>
      </w:r>
    </w:p>
    <w:p w14:paraId="14358A4F"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Немецкое командование, обеспокоенное активной деятельностью советских партизан в Ровенской области, снарядило очередную карательную экспедицию в составе полка СС, дивизиона артиллерии, 10 танков и нескольких бронемашин. Ровенские партизаны отбили неоднократные атаки противника, а затем в лесу в ожесточённом бою уничтожили до 300 гитлеровцев. Огнём артиллерии и противотанковых ружей подбито 5 немецких танков, сожжена бронемашина и 32 грузовика. Советские патриоты вынудили карателей к отступлению и захватили два орудия, 30 пулемётов, 265 винтовок и автоматов, а также много боеприпасов.</w:t>
      </w:r>
    </w:p>
    <w:p w14:paraId="6507AF9F"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Перешедший на сторону Красной Армии гренадер 258 немецкой пехотной дивизии Густав М. рассказал: «Я бывший обер-лейтенант и преподаватель офицерской школы в Берлине. Как-то в узком кругу я высмеял сводки немецкого командования, в которых сообщалась явная ложь. За это меня предали военному суду при </w:t>
      </w:r>
      <w:r w:rsidRPr="00070ADE">
        <w:rPr>
          <w:rFonts w:ascii="Times New Roman" w:hAnsi="Times New Roman"/>
          <w:color w:val="000000" w:themeColor="text1"/>
          <w:sz w:val="16"/>
          <w:szCs w:val="16"/>
        </w:rPr>
        <w:lastRenderedPageBreak/>
        <w:t>берлинской комендатуре, разжаловали в солдаты и приговорили к двухлетнему тюремному заключению. Наказание я отбывал в Гермейсгеймской военной тюрьме. В моей камере находились 30 немецких офицеров, в числе которых капитан Ничке, обер-лейтенант Зандер и другие. Обер-лейтенанта Брауна, старого фронтовика, награждённого железными крестами, заперли в тюрьму за то, что он назвал Гитлера бездарным ефрейтором. Брауна судил какой-то особый суд, и после этого он совсем исчез. В ноябре меня выпустили из тюрьмы и послали на фронт «для искупления вины». В тюрьме я окончательно убедился в том, что гитлеровский режим, развязавший эту преступную войну, обречён на гибель. На фронте я при первой же возможности перешёл к русским» (15025).</w:t>
      </w:r>
    </w:p>
    <w:p w14:paraId="72E94611" w14:textId="77777777" w:rsidR="00D9700C" w:rsidRPr="00070ADE" w:rsidRDefault="00D9700C" w:rsidP="00B56F90">
      <w:pPr>
        <w:spacing w:after="0" w:line="240" w:lineRule="auto"/>
        <w:jc w:val="both"/>
        <w:rPr>
          <w:rFonts w:ascii="Times New Roman" w:hAnsi="Times New Roman"/>
          <w:color w:val="000000" w:themeColor="text1"/>
          <w:sz w:val="16"/>
          <w:szCs w:val="16"/>
        </w:rPr>
      </w:pPr>
    </w:p>
    <w:p w14:paraId="7A31FC2C"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30 января</w:t>
      </w:r>
      <w:r w:rsidRPr="00070ADE">
        <w:rPr>
          <w:rFonts w:ascii="Times New Roman" w:hAnsi="Times New Roman"/>
          <w:color w:val="000000" w:themeColor="text1"/>
          <w:sz w:val="16"/>
          <w:szCs w:val="16"/>
        </w:rPr>
        <w:t xml:space="preserve"> в 1944 году завершилась Красносельско-Ропшинская операция: войска Ленинградского и Волховского фронтов вышли на рубеж Нарвский залив, Кингисепп, южнее Любани, Чудово, восточнее Ореджа, река Луга, Великое Село, Шимок, создав угрозу окружения 18-й армии немцев. Началась Никопольско-Криворожская наступательная операция войск 3-го (генерал армии Р.Я.Малиновский) и 4-го (генерал армии Ф.И.Толбухин) Украинских фронтов, продолжавшаяся до 29 февраля (15025).</w:t>
      </w:r>
    </w:p>
    <w:p w14:paraId="6AA429E1" w14:textId="77777777" w:rsidR="00D9700C" w:rsidRPr="00070ADE" w:rsidRDefault="00D9700C" w:rsidP="00B56F90">
      <w:pPr>
        <w:spacing w:after="0" w:line="240" w:lineRule="auto"/>
        <w:jc w:val="both"/>
        <w:rPr>
          <w:rFonts w:ascii="Times New Roman" w:hAnsi="Times New Roman"/>
          <w:color w:val="000000" w:themeColor="text1"/>
          <w:sz w:val="16"/>
          <w:szCs w:val="16"/>
        </w:rPr>
      </w:pPr>
    </w:p>
    <w:p w14:paraId="36E78D5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января 1944 Третий и Четвертый Украинские фронты начали Никопольско-Криворожскую наступательную операцию (4962).</w:t>
      </w:r>
    </w:p>
    <w:p w14:paraId="6C26B61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25A9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30 января по 29 февраля 1944 прошла Никопольско-Криворожская операция и освободили оба города, создав условия для освобождения Крыма (2438,451). Проводили 3УФ (Р.Я.Малиновский) и 4УФ (Ф.И.Толбухин). Ликвидировали Никопольский плацдарм и уничтожили 12 дивизий. Блокировали в Крыму 17А (3398,49).</w:t>
      </w:r>
    </w:p>
    <w:p w14:paraId="53F16A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этой операции авиация широко использовалась как транспортное средство для снабжения танковых армий (518,168).</w:t>
      </w:r>
    </w:p>
    <w:p w14:paraId="6F84499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074978" w14:textId="77777777" w:rsidR="00D9700C"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4F9A5BEE" w14:textId="77777777" w:rsidR="00D9700C" w:rsidRPr="00070ADE" w:rsidRDefault="00D9700C"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197A0A" w14:textId="77777777" w:rsidR="00F41EB5" w:rsidRPr="00070ADE" w:rsidRDefault="00F41EB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января 1944 777 бомбардировщики Восьмой армии ВВС в сопровождении 635 истребителей совершают налеты на цели авиационной промышленности в Браншвейге, Германия, хотя плотная облачность над целью заставляет некоторых вместо этого бомбить Ганновер. Сбито 20 бомбардировщиков и 4 истребителя. В совокупности бомбардировщики и истребители заявляют, что 96 немецких самолетов сбитых, 22 вероятно сбитых и 58 поврежденых (20373).</w:t>
      </w:r>
    </w:p>
    <w:p w14:paraId="046BC075" w14:textId="77777777" w:rsidR="00F41EB5" w:rsidRPr="00070ADE" w:rsidRDefault="00F41EB5" w:rsidP="00B56F90">
      <w:pPr>
        <w:spacing w:after="0" w:line="240" w:lineRule="auto"/>
        <w:jc w:val="both"/>
        <w:rPr>
          <w:rFonts w:ascii="Times New Roman" w:hAnsi="Times New Roman"/>
          <w:color w:val="000000" w:themeColor="text1"/>
          <w:sz w:val="16"/>
          <w:szCs w:val="16"/>
        </w:rPr>
      </w:pPr>
    </w:p>
    <w:p w14:paraId="34C2EE7E" w14:textId="0AD0CD5E" w:rsidR="00F41EB5" w:rsidRPr="00070ADE" w:rsidRDefault="00F41EB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января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- 777 американских тяжелых бомбардировщиков под прикрытием 635 истребителей 8-го воздушного флота США совершили дневной налёт на промышленные объекты в районе Брауншвайга и Ганновера. Схватка американских истребителей дальнего радиуса действия с люфтваффе доказала, что только при достаточном прикрытии истребителями бомбардировщики могут полностью заняться своим непосредственным делом (22639).</w:t>
      </w:r>
    </w:p>
    <w:p w14:paraId="35443523" w14:textId="77777777" w:rsidR="00F41EB5" w:rsidRPr="00070ADE" w:rsidRDefault="00F41EB5" w:rsidP="00B56F90">
      <w:pPr>
        <w:spacing w:after="0" w:line="240" w:lineRule="auto"/>
        <w:jc w:val="both"/>
        <w:rPr>
          <w:rFonts w:ascii="Times New Roman" w:hAnsi="Times New Roman"/>
          <w:color w:val="000000" w:themeColor="text1"/>
          <w:sz w:val="16"/>
          <w:szCs w:val="16"/>
        </w:rPr>
      </w:pPr>
    </w:p>
    <w:p w14:paraId="14B73FA2" w14:textId="77777777" w:rsidR="00F41EB5" w:rsidRPr="00070ADE" w:rsidRDefault="00F41EB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30–31 января (ночь) 1944 534 британских бомбардировщика совершили налет на Берлин, потеряв 33 машмн (6,2% сил). После налета Бомбардировочное командование начинает период отдыха продолжительностью более двух недель для своих обычных бомбардировочных эскадрилий, в течение которого оно не будет совершать крупных налетов (20373).</w:t>
      </w:r>
    </w:p>
    <w:p w14:paraId="5510DB01" w14:textId="77777777" w:rsidR="00F41EB5" w:rsidRPr="00070ADE" w:rsidRDefault="00F41EB5" w:rsidP="00B56F90">
      <w:pPr>
        <w:spacing w:after="0" w:line="240" w:lineRule="auto"/>
        <w:jc w:val="both"/>
        <w:rPr>
          <w:rFonts w:ascii="Times New Roman" w:hAnsi="Times New Roman"/>
          <w:color w:val="000000" w:themeColor="text1"/>
          <w:sz w:val="16"/>
          <w:szCs w:val="16"/>
        </w:rPr>
      </w:pPr>
    </w:p>
    <w:p w14:paraId="6FC5A368"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30 января</w:t>
      </w:r>
      <w:r w:rsidRPr="00070ADE">
        <w:rPr>
          <w:rFonts w:ascii="Times New Roman" w:hAnsi="Times New Roman"/>
          <w:color w:val="000000" w:themeColor="text1"/>
          <w:sz w:val="16"/>
          <w:szCs w:val="16"/>
        </w:rPr>
        <w:t xml:space="preserve"> в 1944 году Адольф Гитлер заявил, что Англия доигрывает свою роль на континенте. В Европе в случае победы над Германией будет господствовать «большевистский колосс» (15025).</w:t>
      </w:r>
    </w:p>
    <w:p w14:paraId="0C1AC6D8" w14:textId="77777777" w:rsidR="00D9700C" w:rsidRPr="00070ADE" w:rsidRDefault="00D9700C" w:rsidP="00B56F90">
      <w:pPr>
        <w:spacing w:after="0" w:line="240" w:lineRule="auto"/>
        <w:jc w:val="both"/>
        <w:rPr>
          <w:rFonts w:ascii="Times New Roman" w:hAnsi="Times New Roman"/>
          <w:color w:val="000000" w:themeColor="text1"/>
          <w:sz w:val="16"/>
          <w:szCs w:val="16"/>
        </w:rPr>
      </w:pPr>
    </w:p>
    <w:p w14:paraId="02AAE9F9" w14:textId="77777777" w:rsidR="00F41EB5" w:rsidRPr="00070ADE" w:rsidRDefault="00F41EB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января 1944 самолеты оперативной группы 58 атакуют японский конвой у атолла Кваджалейн и бомбят остров Кваджалейн, Рой-Намур, Малоэлап и Вотье. Они также нанесли первый авиаудар по Эниветоку, уничтожив на земле 15 японских бомбардировщиков Mitsubishi G4M (союзное название "Бетти"). Американские авианосцы продолжат ежедневно наносить удары по Эниветоку до 7 февраля (20373).</w:t>
      </w:r>
    </w:p>
    <w:p w14:paraId="71DE9D17" w14:textId="77777777" w:rsidR="00F41EB5" w:rsidRPr="00070ADE" w:rsidRDefault="00F41EB5" w:rsidP="00B56F90">
      <w:pPr>
        <w:spacing w:after="0" w:line="240" w:lineRule="auto"/>
        <w:jc w:val="both"/>
        <w:rPr>
          <w:rFonts w:ascii="Times New Roman" w:hAnsi="Times New Roman"/>
          <w:color w:val="000000" w:themeColor="text1"/>
          <w:sz w:val="16"/>
          <w:szCs w:val="16"/>
        </w:rPr>
      </w:pPr>
    </w:p>
    <w:p w14:paraId="7A4AFBE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29AE7F9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12BA3A" w14:textId="77777777" w:rsidR="00FA6359" w:rsidRPr="00C94B78" w:rsidRDefault="00FA635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31 января 1944 г. испытания Ил-2 №303124 с 45 мм пушками 111 продолжились, вплоть до 8 февраля 1944 г.</w:t>
      </w:r>
    </w:p>
    <w:p w14:paraId="7E7F0F58" w14:textId="77777777" w:rsidR="00FA6359" w:rsidRPr="00C94B78" w:rsidRDefault="00FA635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 самолете совершили три полета налетав 1 час 10 мин. Стрельбы из пушек 111П в воздухе не проводили. Были опасения, что крыло Ил-2 может не выдержать нагрузок и разрушиться (с учетом максимальной силы отдачи 45-мм пушки равной 6750 кг). По итогам испытаний отмечалось, что 45-мм пушки Нудельмана-Суранова, установленные под крылом штурмовика Ил-2 №303124, выдержали наземные государственные испытания.</w:t>
      </w:r>
    </w:p>
    <w:p w14:paraId="6B7C9FB9" w14:textId="77777777" w:rsidR="00FA6359" w:rsidRPr="00C94B78" w:rsidRDefault="00FA635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тоже время работы по доводке пушки Ш-45 ОКБ-15 для Ил-2 и ее автоматики продолжались до конца 1944 года. Для уменьшения силы отдачи Борис Гаврилович Шпитальный попросил НИИ авиационного вооружения ВВС разработать противооткатное приспособление для 45-мм крыльевой пушки. В свою очередь, от ВВС поступило требование установить доработанные пушки Ш-45 уже на двухместный штурмовик Ил-2. Все это задерживало передачу 45-мм пушки ОКБ-15 на самолете Ил-2 на госиспытания (25114).</w:t>
      </w:r>
    </w:p>
    <w:p w14:paraId="270866AF" w14:textId="77777777" w:rsidR="00FA6359" w:rsidRPr="00C94B78" w:rsidRDefault="00FA6359" w:rsidP="00B56F90">
      <w:pPr>
        <w:spacing w:after="0" w:line="240" w:lineRule="auto"/>
        <w:jc w:val="both"/>
        <w:rPr>
          <w:rFonts w:ascii="Times New Roman" w:hAnsi="Times New Roman"/>
          <w:color w:val="0070C0"/>
          <w:sz w:val="16"/>
          <w:szCs w:val="16"/>
        </w:rPr>
      </w:pPr>
    </w:p>
    <w:p w14:paraId="2660D5CA" w14:textId="77777777" w:rsidR="00282955" w:rsidRPr="00070ADE" w:rsidRDefault="0028295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31 января 1944 г. генерал-полковник А.К. Репин дал указание своему заместителю генерал-лейтенанту А.А. Лапину срочно подго</w:t>
      </w:r>
      <w:r w:rsidRPr="00070ADE">
        <w:rPr>
          <w:rFonts w:ascii="Times New Roman" w:cs="Times New Roman"/>
          <w:color w:val="000000" w:themeColor="text1"/>
          <w:spacing w:val="0"/>
        </w:rPr>
        <w:softHyphen/>
        <w:t>товить письмо генерал-майору С.В. Ильюшину. В этот же день ему направили для ознакомле</w:t>
      </w:r>
      <w:r w:rsidRPr="00070ADE">
        <w:rPr>
          <w:rFonts w:ascii="Times New Roman" w:cs="Times New Roman"/>
          <w:color w:val="000000" w:themeColor="text1"/>
          <w:spacing w:val="0"/>
        </w:rPr>
        <w:softHyphen/>
        <w:t>ния «Акт комиссии по бронезащите самолета Ил-2». Репин просил Ильюшина сообщить за</w:t>
      </w:r>
      <w:r w:rsidRPr="00070ADE">
        <w:rPr>
          <w:rFonts w:ascii="Times New Roman" w:cs="Times New Roman"/>
          <w:color w:val="000000" w:themeColor="text1"/>
          <w:spacing w:val="0"/>
        </w:rPr>
        <w:softHyphen/>
        <w:t>ключение</w:t>
      </w:r>
      <w:r w:rsidRPr="00070ADE">
        <w:rPr>
          <w:rStyle w:val="aff7"/>
          <w:rFonts w:ascii="Times New Roman" w:hAnsi="Times New Roman" w:cs="Times New Roman"/>
          <w:i w:val="0"/>
          <w:color w:val="000000" w:themeColor="text1"/>
          <w:spacing w:val="0"/>
        </w:rPr>
        <w:t xml:space="preserve"> «по вопросу о возможности пере</w:t>
      </w:r>
      <w:r w:rsidRPr="00070ADE">
        <w:rPr>
          <w:rStyle w:val="aff7"/>
          <w:rFonts w:ascii="Times New Roman" w:hAnsi="Times New Roman" w:cs="Times New Roman"/>
          <w:i w:val="0"/>
          <w:color w:val="000000" w:themeColor="text1"/>
          <w:spacing w:val="0"/>
        </w:rPr>
        <w:softHyphen/>
        <w:t>смотра бронирования самолета Ил-2 в целях усиления бронезащиты стрелка, нижней частичасти капота и водо- и маслорадиаторов».</w:t>
      </w:r>
      <w:r w:rsidRPr="00070ADE">
        <w:rPr>
          <w:rFonts w:ascii="Times New Roman" w:cs="Times New Roman"/>
          <w:color w:val="000000" w:themeColor="text1"/>
          <w:spacing w:val="0"/>
        </w:rPr>
        <w:t xml:space="preserve"> Однако Ильюшин задержал заключение более чем на месяц.</w:t>
      </w:r>
    </w:p>
    <w:p w14:paraId="6BF66060" w14:textId="77777777" w:rsidR="00282955" w:rsidRPr="00070ADE" w:rsidRDefault="00282955" w:rsidP="00B56F90">
      <w:pPr>
        <w:pStyle w:val="27"/>
        <w:shd w:val="clear" w:color="auto" w:fill="auto"/>
        <w:spacing w:after="0" w:line="240" w:lineRule="auto"/>
        <w:ind w:firstLine="0"/>
        <w:rPr>
          <w:rStyle w:val="aff7"/>
          <w:rFonts w:ascii="Times New Roman" w:hAnsi="Times New Roman" w:cs="Times New Roman"/>
          <w:i w:val="0"/>
          <w:color w:val="000000" w:themeColor="text1"/>
          <w:spacing w:val="0"/>
        </w:rPr>
      </w:pPr>
      <w:r w:rsidRPr="00070ADE">
        <w:rPr>
          <w:rFonts w:ascii="Times New Roman" w:cs="Times New Roman"/>
          <w:color w:val="000000" w:themeColor="text1"/>
          <w:spacing w:val="0"/>
        </w:rPr>
        <w:t>Одновременно А.А. Лапин поставил зада</w:t>
      </w:r>
      <w:r w:rsidRPr="00070ADE">
        <w:rPr>
          <w:rFonts w:ascii="Times New Roman" w:cs="Times New Roman"/>
          <w:color w:val="000000" w:themeColor="text1"/>
          <w:spacing w:val="0"/>
        </w:rPr>
        <w:softHyphen/>
        <w:t>чу начальнику НИИ ВВС генерал-лейтенанту П.А. Лосюкову к 10 марта 1944 г. составить ТТТ к бронированию кабины стрелка самолета Ил-2</w:t>
      </w:r>
      <w:r w:rsidRPr="00070ADE">
        <w:rPr>
          <w:rStyle w:val="aff7"/>
          <w:rFonts w:ascii="Times New Roman" w:hAnsi="Times New Roman" w:cs="Times New Roman"/>
          <w:i w:val="0"/>
          <w:color w:val="000000" w:themeColor="text1"/>
          <w:spacing w:val="0"/>
        </w:rPr>
        <w:t xml:space="preserve"> «для предъявления требований главному конструктору самолета тов. Ильюшину по улуч</w:t>
      </w:r>
      <w:r w:rsidRPr="00070ADE">
        <w:rPr>
          <w:rStyle w:val="aff7"/>
          <w:rFonts w:ascii="Times New Roman" w:hAnsi="Times New Roman" w:cs="Times New Roman"/>
          <w:i w:val="0"/>
          <w:color w:val="000000" w:themeColor="text1"/>
          <w:spacing w:val="0"/>
        </w:rPr>
        <w:softHyphen/>
        <w:t>шению бронезащиты стрелка» (17478).</w:t>
      </w:r>
    </w:p>
    <w:p w14:paraId="65DC3357" w14:textId="77777777" w:rsidR="00282955" w:rsidRPr="00070ADE" w:rsidRDefault="00282955" w:rsidP="00B56F90">
      <w:pPr>
        <w:pStyle w:val="27"/>
        <w:shd w:val="clear" w:color="auto" w:fill="auto"/>
        <w:spacing w:after="0" w:line="240" w:lineRule="auto"/>
        <w:ind w:firstLine="0"/>
        <w:rPr>
          <w:rFonts w:ascii="Times New Roman" w:cs="Times New Roman"/>
          <w:color w:val="000000" w:themeColor="text1"/>
          <w:spacing w:val="0"/>
        </w:rPr>
      </w:pPr>
    </w:p>
    <w:p w14:paraId="4BAA83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января 1944 А.В.Чесалов утвердил отчет о летных испытаниях серийного с-та Ла-5ФН N 39210319 серийного выпуска июня 1943 на 21 заводе для определения влияния состава смеси на максимальную скорость.</w:t>
      </w:r>
    </w:p>
    <w:p w14:paraId="6776FE6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 исп. и ви 1-й лаб. - В.В.Славов и ви 3-й лаб. В.А.Кривенко</w:t>
      </w:r>
    </w:p>
    <w:p w14:paraId="5B0ACA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 Л ГСС С.Ф.Машиковский</w:t>
      </w:r>
    </w:p>
    <w:p w14:paraId="47FFC2B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работе мотора на переобогащенной смеси (альфа 0,6-0,62) или при значительном обеднении смеси (альфа 0,85) макс. Скорость уменьшилась на 3-4% вследствие резкого падения мощности на 10-12% (749,2).</w:t>
      </w:r>
    </w:p>
    <w:p w14:paraId="39DEB38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9A77AC"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3EDC0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F8FF6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января 1944 года вышел приказ НКБ № 55</w:t>
      </w:r>
    </w:p>
    <w:p w14:paraId="056A1F6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концентрации производства элементов авиавыстрела в системе 8 Гл. управления</w:t>
      </w:r>
    </w:p>
    <w:p w14:paraId="5343933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Передать по состоянию на 1 февраля 1944 года заводы №№ 398 и 572 из 2 Гл. управления в 8 Гл. управление (5952, 33).</w:t>
      </w:r>
    </w:p>
    <w:p w14:paraId="6273E59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3CDE8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января 1944 вышло Распоряжение ГКО № 5070. О срочном обеспечении сырьем, материалами, топливом завода № 711 НКМВ, выпускавшего корпуса 120 мм мин. РГАНИР, Фонд ГКО, д. 200, лл. 1-4 (11012).</w:t>
      </w:r>
    </w:p>
    <w:p w14:paraId="2131ABC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9969B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января 1944 г. была подготовлена ДОКЛАДНАЯ ЗАПИСКА НАЧАЛЬНИКА ГБТУ КА КОМАНДУЮЩЕМУ БТ и МВ КА ПО ПРОВЕРКЕ КАЧЕСТВА КАПИТАЛЬНО ОТРЕМОНТИРОВАННЫХ НА БРОНЕТАНКОВЫХ РЕМОНТНЫХ ЗАВОДАХ ТАНКОВ</w:t>
      </w:r>
    </w:p>
    <w:p w14:paraId="71E7946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проверки качества танков, капитально отремонтированных на бронетанковых ремонтных заводах УРТ ГБТУ КА, прошу Вашего разрешения производить испытания каждого сотого танка:</w:t>
      </w:r>
    </w:p>
    <w:p w14:paraId="5C35290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для танков КВ, Т-34 и СУ-152, СУ-122 и СУ-85 - на 300 км;</w:t>
      </w:r>
    </w:p>
    <w:p w14:paraId="7E74DE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для танков Т-60, Т-70 и СУ-76 - на 200 км.</w:t>
      </w:r>
    </w:p>
    <w:p w14:paraId="6494E4D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Главного бронетанкового управления Красной Армии генерал-лейтенант танковых войск Вершинин</w:t>
      </w:r>
    </w:p>
    <w:p w14:paraId="3F1D1D0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танкового управления ГБТУ Красной Армии генерал-майор инженерно-танковой службы Афонин</w:t>
      </w:r>
    </w:p>
    <w:p w14:paraId="5AF02DA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2179. Л. 77. Подлинник (11403).</w:t>
      </w:r>
    </w:p>
    <w:p w14:paraId="4B132BE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988933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января 1944 вышло Распоряжение ГКО № 5071 [Об отнесении на счет НКФ СССР расходов по обеспечению всеми видами довольствия офицеров, работающих в этом наркомате.] (7181, 5).</w:t>
      </w:r>
    </w:p>
    <w:p w14:paraId="47846B5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16B19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31 января 1944 вышло Распоряжение ГКО № 5072 [О мерах по обеспечению НКПС вагонными пиломатериалами.] (7181, 6-7).</w:t>
      </w:r>
    </w:p>
    <w:p w14:paraId="07A79E3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6C50F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января 1944 вышло Постановление ГКО № 5076 О передаче подвижных и стационарных средств по ремонту танков из системы Наркомсредмаша в ведение ГБТУ КА. РГАНИР, Фонд ГКО, д. 200, лл. 17-18 (11012).</w:t>
      </w:r>
    </w:p>
    <w:p w14:paraId="0A6B9A3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D07A1B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января 1944 вышло Распоряжение ГКО № 5077. О разрешении НКБ произвести и поставить НКЧМ в I кв. 1944 г. два эксцентриковых пресса типа "Толедо". РГАНИР, Фонд ГКО, д. 200 Л.19 (11012).</w:t>
      </w:r>
    </w:p>
    <w:p w14:paraId="08D4E29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A05C2A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января 1944 вышло Постановление ГКО № 5078 О форсировании строительства заводов по производству синтетического каучука и спирта из непищевого сырья в Караганде и Уфе, завода синтетического каучука в Чкалове и восстановлении заводов синтетического каучука в Воронеже и Ефремове. РГАНИР, Фонд ГКО, д. 200, лл. 20-44 (11012).</w:t>
      </w:r>
    </w:p>
    <w:p w14:paraId="7A08530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C67459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января 1944 вышло Постановление ГКО № 5079 О плане распределения автомобильных прицепов на I квартал 1944 г. (7181, 44,45-48).</w:t>
      </w:r>
    </w:p>
    <w:p w14:paraId="10E63F8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1FC6F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января 1944 вышло Постановление ГКО № 5080 О поставке оборудования, аппаратуры, автотранспорта и материалов для фронтовых и вновь организуемых станций правительственной связи НКВД в освобождаемых от немецких оккупантов городах и об укомплектовании войск правительственной связи НКВРГАНИР, Фонд ГКО, д. РГАНИР, Фонд ГКО, д. 200, лл. 49-61 (11012).</w:t>
      </w:r>
    </w:p>
    <w:p w14:paraId="1A205F3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6F1EC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января 1944 вышло Постановление ГКО № 5081 Об обеспечении крепежным лесом горнорудной промышленности Наркомцветмета в 1944 году. РГАНИР, Фонд ГКО, д. 200, лл. 62-64,65-73 (11012).</w:t>
      </w:r>
    </w:p>
    <w:p w14:paraId="6A15EE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66AAA24"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января 1944 вышло Постановление ГКО № 5082 О мероприятиях по подготовке речного транспорта к навигации 1944 г. (7181, 74-78,88-100,79-87,101-147).</w:t>
      </w:r>
    </w:p>
    <w:p w14:paraId="250E0F8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768FD4"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A786D1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FCEFBB"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31 января</w:t>
      </w:r>
      <w:r w:rsidRPr="00070ADE">
        <w:rPr>
          <w:rFonts w:ascii="Times New Roman" w:hAnsi="Times New Roman"/>
          <w:color w:val="000000" w:themeColor="text1"/>
          <w:sz w:val="16"/>
          <w:szCs w:val="16"/>
        </w:rPr>
        <w:t xml:space="preserve"> в 1944 году оперативная сводка Совинформбюро:</w:t>
      </w:r>
    </w:p>
    <w:p w14:paraId="2A85A882"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31 января северо-западнее и западнее города Волосово наши войска продолжали развивать наступление и с боями заняли более 60 населённых пунктов, в том числе Дубня, Посёлок, Пейпия, Малое Стремление, Заозерье, Вассакара, Большая и Малая Рассия, Монастырки, Ундово, Матия, Муккова, Крикково, Кикерицы, Керстово, Килли, Малли, Заполье, Алексеевка, Тикопись, Куково, Большой и Малый Луцк, Большое Кленно, Недоблицы, Выползово, Ивановское, Юрки и железнодорожные станции Кихтолка, Керстово, Кленно. Наши войска вплотную подошли к городу Кингисепп и завязали бои на окраинах города.</w:t>
      </w:r>
    </w:p>
    <w:p w14:paraId="649E5951"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Сиверский наши войска с боями продвигались вперёд и овладели населёнными пунктами Домашёво, Максимовка, Слепино, Мышкино, Редкино, Ганьково, Пелеши, Язвище, Гостятино, Большой Сабск, Загорье, Ликовское, Липа, Мазана Горка, Васина Нива, Рождествено, Большево, Зайцево, Тозорево, Малая Дивенка, Посёлок Дивенский, Остров, Заозерье и железнодорожной станцией Дивенское. Ранее окружённые немецкие гарнизоны в населённых пунктах Рождествено, Остров уничтожены нашими войсками. В ряде пунктов наши войска форсировали реку Луга.</w:t>
      </w:r>
    </w:p>
    <w:p w14:paraId="29D56D51"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Любань наши войска, преодолевая инженерные заграждения противника на лесных дорогах, с боями продвигались вперёд и заняли несколько населённых пунктов.</w:t>
      </w:r>
    </w:p>
    <w:p w14:paraId="7BCF7DAF"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Новгорода наши войска продолжали вести наступательные бои, в ходе которых заняли более 40 населённых пунктов и среди них Мошковы Поляны, Речка, Коростыни, Треньково, Савины Поляны, Мячино, Покровка, Смыч, Радовежи, Любино Поле, Малый Волочек, Заречье, Вяжищи, Людятино, Казовицы, Турская Горка.</w:t>
      </w:r>
    </w:p>
    <w:p w14:paraId="6215AACB"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Новосокольники наши войска, преодолевая сопротивление противника, заняли несколько населённых пунктов.</w:t>
      </w:r>
    </w:p>
    <w:p w14:paraId="74461046"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30 января наши войска на всех фронтах подбили и уничтожили 93 немецких танков. В воздушных боях и огнём зенитной артиллерии сбито 44 самолёта противника.</w:t>
      </w:r>
    </w:p>
    <w:p w14:paraId="3EEB482A"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города Волосово наши войска продолжали успешное наступление. С боями продвигаясь вперёд, наши части заняли более 60 населённых пунктов и ведут бои на окраинах города Кингисепп. Отступая под ударами советских войск, противник бросает орудия, тяжелые миномёты, а также склады с военным имуществом. Юго-западнее Волосово части Н-ского соединения отбросили немцев в леса и болота и уничтожают разрозненные группы противника. В одном районе подвижные советские части разгромили сводную группу немцев.</w:t>
      </w:r>
    </w:p>
    <w:p w14:paraId="633C3B1D"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Истреблено свыше 1.000 вражеских солдат и офицеров. Захвачены трофеи и пленные.</w:t>
      </w:r>
    </w:p>
    <w:p w14:paraId="18B4A8CB"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посёлка Сиверский наши войска, сломив сопротивление противника, продвигались вперёд и в ряде мест переправились через реку Луга. Противник понёс большие потери в живой силе и технике. Уничтоженный вчера нашими войсками немецкий гарнизон в посёлке и на железнодорожной станции Сиверский состоял из танкового полка, моторизованного полка, двух пехотных полков, строительного батальона и других подразделений немцев. Сегодня наши войска ликвидировали окружённые гарнизоны противника в крупных населённых пунктах Рождествено и Остров. На улицах этих пунктов остались сотни вражеских трупов. Захвачены трофеи и пленные.</w:t>
      </w:r>
    </w:p>
    <w:p w14:paraId="65BC44BE"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Любань наши войска продолжали наступление. Противник, отступая по лесным дорогам и болотам, бросает технику и вооружение. Советские подвижные отряды обходными манёврами отрезают немцам пути отхода и по частям уничтожают их или берут в плен. Подразделения Н-ской части истребили до батальона гитлеровцев и захватили 17 орудий, 66 пулемётов и 80 повозок с грузами. На другом участке советские бойцы уничтожили две роты немецких автоматчиков.</w:t>
      </w:r>
    </w:p>
    <w:p w14:paraId="02A6146E"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Новгорода наши войска продолжали продвигаться вперёд. Части Н-ского соединения переправились через реку Луга и заняли ряд населённых пунктов на ее правом берегу. Противник, пытаясь вернуть потерянные позиции, предпринял несколько контратак, но был отброшен с большими для него потерями. На другом участке наши бойцы, овладев населённым пунктом Вольная Горка, захватили 16 орудий и три склада с военным имуществом. Н-ское танковое подразделение, действуя в тылу немцев, разгромило артиллерийский полк противника и захватило 20 исправных орудий.</w:t>
      </w:r>
    </w:p>
    <w:p w14:paraId="386A668D"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Ленинградские партизанские отряды с 18 по 24 января взорвали свыше 2.000 железнодорожных рельсов, 18 мостов и бронепоезд противника. В боях с немецкой железнодорожной охраной партизаны уничтожили 180 гитлеровцев. В ночь на 21 января два отряда ленинградских партизан совершили налёт на железнодорожную станцию и разгромили немецкий гарнизон. Советские патриоты истребили до роты гитлеровцев, разрушили пути и взорвали два воинских эшелона противника.</w:t>
      </w:r>
    </w:p>
    <w:p w14:paraId="64ECF79B"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Венгерское телеграфное агентство усиленно опровергает сообщения о том, что венгерские войска сражаются на советско-германском фронте на стороне немцев. Агентство с деланным возмущением заявляет, что эти сообщения якобы не соответствуют действительности и преследуют единственную цель «скомпрометировать Венгрию».</w:t>
      </w:r>
    </w:p>
    <w:p w14:paraId="71E3D19E"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Будапештские гитлеровцы, прикидываясь дурачками, разыгрывают жалкую комедию. Всему миру известно, что правящая клика Венгрии по своей собственной воле заключила союз с гитлеровской Германией. Венгерский премьер-министр Каллаи 19марта 1942 года во всеуслышание заявлял: «Венгерская нация посвятит все силы этой войне. Венгрия будет всегда итти рука об руку с Германией и Италией и будет стоять на стороне своих двух великих союзников, когда после войны речь пойдёт о реорганизации Европы на новых основах».</w:t>
      </w:r>
    </w:p>
    <w:p w14:paraId="4BED9235"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говорилось не ради красного словца. Будапештские наймиты Гитлера добровольно связали себя с фашистской разбойничьей шайкой, рассчитывая на лёгкуюдобычу. Они послали венгерские войска на советско-германский фронт, и десятки тысяч венгерских солдат бесславно погибли в степях Дона. Тогда в Будапеште не только не скрывали захватнических планов, но всячески бахвалились своим участиемв войне на стороне Германии. А теперь, когда в ходе войны произошёл крутой поворот и Германия катится к краху, венгерские приспешники Гитлера «смотрят в кусты». В декабре 1943 года тот же премьер-министр Венгрии Каллаи уже маловразумительно лепетал: «Венгрия не вела захватнической войны, она не стремилась к лёгкой или трудной наживе... Не мы зажгли пожар, и то обстоятельство, что пламя его охватило нашу страну, никем не может рассматриваться как совершённое нами преступление». Словом, «Я не я, лошадь не моя, и я не извозчик». Пресмыкаясь и угодничая перед Гитлером, правители Венгрии обесчестили и опозорили свою страну, а теперь, когда приближается время расплаты, лицемерно заявляют, что сообщения об участии венгерских дивизий в войне на стороне Германии, видите ли, «компрометируют Венгрию».</w:t>
      </w:r>
    </w:p>
    <w:p w14:paraId="740EE62C"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Этот маскарад вряд ли кого обманет. Несмотря на опровержения агентства и «миролюбивые» речи некоторых министров, Венгрия по-прежнему принимает самое активное участие в войне на стороне немцев. С полной достоверностью установлено, что на советско-германском фронте находятся одна кавалерийская и 11 пехотных венгерских дивизий. Часть этих дивизий несёт охранную службу в тылах немецкой армии и зверски расправляется с мирным советским населением. Другая часть венгерских войск и в том числе 12, 18, 19 легко-пехотные и другие венгерские дивизии находятся на передовой линии фронта. В январе захвачена в плен большая группа солдат и унтер-офицеров из состава этих дивизий.</w:t>
      </w:r>
    </w:p>
    <w:p w14:paraId="7AA12DE7"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выглядит не на словах, а на деле политика правителей Венгрии. Они продолжают по-прежнему служить Гитлеру, но пытаются замутить воду фальшивыми фразами о «миролюбии» Венгрии.» (15026).</w:t>
      </w:r>
    </w:p>
    <w:p w14:paraId="146AE3F1" w14:textId="77777777" w:rsidR="00D9700C" w:rsidRPr="00070ADE" w:rsidRDefault="00D9700C" w:rsidP="00B56F90">
      <w:pPr>
        <w:spacing w:after="0" w:line="240" w:lineRule="auto"/>
        <w:jc w:val="both"/>
        <w:rPr>
          <w:rFonts w:ascii="Times New Roman" w:hAnsi="Times New Roman"/>
          <w:color w:val="000000" w:themeColor="text1"/>
          <w:sz w:val="16"/>
          <w:szCs w:val="16"/>
        </w:rPr>
      </w:pPr>
    </w:p>
    <w:p w14:paraId="63B7531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января 1944 года черноморская авиация понесла тяжелую утрату. Погиб командир 2-й ГМТАД, генералмайор Н.А. Токарев. Самолеты 36-го МТАП провели неудачную атаку на конвой, шедший в Евпаторию. Рассерженный генералмайор приказал командиру полка готовиться к повторному вылету. Однако к указанному сроку удалось подготовить только два А-20, остальные 18 машин должны были быть готовы в течение часа. Поэтому на задание вылетели только два готовых Бостон'а, один из которых пилотировал генерал. Их сопровождало восемь Р-39. Однако второй А-20 вскоре повернул назад изза неисправности двигателя. В результате генералмайор полетел один. Выйдя на цель, генерал с дистанции 600 метров и с высоты 40 метров положил торпеду, которая попала в один из транспортов. Однако в этот самый момент прицельная очередь зенитной пушки поразила торпедоносец. Генерал попытался посадить горящую машину на берег, но при посадке погиб вместе со всем экипажем (2691).</w:t>
      </w:r>
    </w:p>
    <w:p w14:paraId="0AFC73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тот же день старший лейтенант В.И. Щербаков и младший лейтенант П.В. Карпунин из 11 го ГИАП, действуя в паре, сбили два }и52 (2691).</w:t>
      </w:r>
    </w:p>
    <w:p w14:paraId="11D77D3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EA79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января 1944 по данным воздушной разведки л 2 шак (г В.В,Степичев) задержали в ходе Корсунь-Шевченковской операции в районе Шпола выдвижению к полю боя вражеских резервов и помогли 5ГТА и 4ГА и 53А отразить контрудары противника (518,165).</w:t>
      </w:r>
    </w:p>
    <w:p w14:paraId="484D70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CF75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31 января по 18 февраля 1944 в ходе Корсунь-Шевченковской операции части 2ВА и 10 иак ПВО, осуществляющие воздушную блокаду, сожгли на аэродромах 257 и в воздухе 211 самолетов противника, их них в большинстве Ю-52 (518,179).</w:t>
      </w:r>
    </w:p>
    <w:p w14:paraId="7AE0D7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C3379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января 1944 вышло Распоряжение ГКО № 5075 [О направлении 10 тыс. призывников 1926 года рождения для укомплектования военно-морских и военно-морских авиационных училищ.] (7181, 16).</w:t>
      </w:r>
    </w:p>
    <w:p w14:paraId="4238D2E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FFDE7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2B05EF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C6545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января 1944 вышло Постановление ГКО № 5073 О мероприятиях по размещению спецпереселенцев в пределах Казахской и Киргизской ССР. (7181, 8-12).</w:t>
      </w:r>
    </w:p>
    <w:p w14:paraId="5C9D920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F8C26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января 1944 вышло Постановление ГКО № 5074 [О мерах по подготовке и осуществлению переселения спецпереселенцев с Северного Кавказа в Казахстан и Киргизию.] (7181, 13-15).</w:t>
      </w:r>
    </w:p>
    <w:p w14:paraId="1946E6C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3780A3" w14:textId="41FDBC16" w:rsidR="00FA6359" w:rsidRPr="00070ADE" w:rsidRDefault="00FA635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Внешняя политика</w:t>
      </w:r>
      <w:r w:rsidRPr="00070ADE">
        <w:rPr>
          <w:rFonts w:ascii="Times New Roman" w:hAnsi="Times New Roman"/>
          <w:i/>
          <w:iCs/>
          <w:color w:val="000000" w:themeColor="text1"/>
          <w:sz w:val="16"/>
          <w:szCs w:val="16"/>
        </w:rPr>
        <w:t>:</w:t>
      </w:r>
    </w:p>
    <w:p w14:paraId="514EC04F" w14:textId="77777777" w:rsidR="00FA6359" w:rsidRPr="00070ADE" w:rsidRDefault="00FA635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AD5A3F" w14:textId="77777777" w:rsidR="00FA6359" w:rsidRPr="00C94B78" w:rsidRDefault="00FA635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31 января 1944 двадцать опытнейших чехословацких пилотов и один штабной офицер покинули британские ВВС, затем их перебросили в Советский Союз, где в составе ВВС Красной Армии формировался чехословацкий истребительный авиаполк. Чешские летчики воевали в составе RAF с лета 1940 г. Пилоты прибыли в Москву в начале апреля 1944 г., их направили в распоряжение командования расквартированной в Иваново 6</w:t>
      </w:r>
      <w:r w:rsidRPr="00C94B78">
        <w:rPr>
          <w:rFonts w:ascii="Times New Roman" w:hAnsi="Times New Roman"/>
          <w:color w:val="0070C0"/>
          <w:sz w:val="16"/>
          <w:szCs w:val="16"/>
        </w:rPr>
        <w:noBreakHyphen/>
        <w:t>й резервной авиационной бригады для переучивания на Ла</w:t>
      </w:r>
      <w:r w:rsidRPr="00C94B78">
        <w:rPr>
          <w:rFonts w:ascii="Times New Roman" w:hAnsi="Times New Roman"/>
          <w:color w:val="0070C0"/>
          <w:sz w:val="16"/>
          <w:szCs w:val="16"/>
        </w:rPr>
        <w:noBreakHyphen/>
        <w:t>5. Самолеты будущего чехословацкого полка, 24 новеньких Ла</w:t>
      </w:r>
      <w:r w:rsidRPr="00C94B78">
        <w:rPr>
          <w:rFonts w:ascii="Times New Roman" w:hAnsi="Times New Roman"/>
          <w:color w:val="0070C0"/>
          <w:sz w:val="16"/>
          <w:szCs w:val="16"/>
        </w:rPr>
        <w:noBreakHyphen/>
        <w:t>5ФН, перегнали с аэродрома ярославского ГАЗ № 31 в Иваново 13 апреля 1944 г., однако погода не благоприятствовала полетам и машины поставили в ангары.</w:t>
      </w:r>
    </w:p>
    <w:p w14:paraId="3E6BFC6D" w14:textId="77777777" w:rsidR="00FA6359" w:rsidRPr="00C94B78" w:rsidRDefault="00FA635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Чехи начали проходить курс переучивания 3 мая 1944 г., каждый пилот выполнил по пять 30</w:t>
      </w:r>
      <w:r w:rsidRPr="00C94B78">
        <w:rPr>
          <w:rFonts w:ascii="Times New Roman" w:hAnsi="Times New Roman"/>
          <w:color w:val="0070C0"/>
          <w:sz w:val="16"/>
          <w:szCs w:val="16"/>
        </w:rPr>
        <w:noBreakHyphen/>
        <w:t>минутных полетов на Ла</w:t>
      </w:r>
      <w:r w:rsidRPr="00C94B78">
        <w:rPr>
          <w:rFonts w:ascii="Times New Roman" w:hAnsi="Times New Roman"/>
          <w:color w:val="0070C0"/>
          <w:sz w:val="16"/>
          <w:szCs w:val="16"/>
        </w:rPr>
        <w:noBreakHyphen/>
        <w:t>5УТИ, после чего получил допуск к самостоятельному вылету на Ла</w:t>
      </w:r>
      <w:r w:rsidRPr="00C94B78">
        <w:rPr>
          <w:rFonts w:ascii="Times New Roman" w:hAnsi="Times New Roman"/>
          <w:color w:val="0070C0"/>
          <w:sz w:val="16"/>
          <w:szCs w:val="16"/>
        </w:rPr>
        <w:noBreakHyphen/>
        <w:t>5ФН. В ходе переподготовки к двадцати летчиками присоединилось два словацких пилота – мастер сержант Антон Матушек и первый сержант Людовит Доброводский, 9 сентября 1943 г. они перелетели на своих Bf 109G</w:t>
      </w:r>
      <w:r w:rsidRPr="00C94B78">
        <w:rPr>
          <w:rFonts w:ascii="Times New Roman" w:hAnsi="Times New Roman"/>
          <w:color w:val="0070C0"/>
          <w:sz w:val="16"/>
          <w:szCs w:val="16"/>
        </w:rPr>
        <w:noBreakHyphen/>
        <w:t>4 на территорию, контролировавшуюся Красной Армией.</w:t>
      </w:r>
    </w:p>
    <w:p w14:paraId="4FBFBDC2" w14:textId="77777777" w:rsidR="00FA6359" w:rsidRPr="00C94B78" w:rsidRDefault="00FA635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Чехословаков 18 мая перебросили в подмосковную Кубинку, где они завершили переподготовку. После налета каждым пилотом 12 часов на Ла</w:t>
      </w:r>
      <w:r w:rsidRPr="00C94B78">
        <w:rPr>
          <w:rFonts w:ascii="Times New Roman" w:hAnsi="Times New Roman"/>
          <w:color w:val="0070C0"/>
          <w:sz w:val="16"/>
          <w:szCs w:val="16"/>
        </w:rPr>
        <w:noBreakHyphen/>
        <w:t>5ФН 1</w:t>
      </w:r>
      <w:r w:rsidRPr="00C94B78">
        <w:rPr>
          <w:rFonts w:ascii="Times New Roman" w:hAnsi="Times New Roman"/>
          <w:color w:val="0070C0"/>
          <w:sz w:val="16"/>
          <w:szCs w:val="16"/>
        </w:rPr>
        <w:noBreakHyphen/>
        <w:t>й чехословацкий истребительный авиаполк был готов к боевым действиям (25068).</w:t>
      </w:r>
    </w:p>
    <w:p w14:paraId="09DFA55B" w14:textId="77777777" w:rsidR="00FA6359" w:rsidRPr="00C94B78" w:rsidRDefault="00FA6359" w:rsidP="00B56F90">
      <w:pPr>
        <w:spacing w:after="0" w:line="240" w:lineRule="auto"/>
        <w:jc w:val="both"/>
        <w:rPr>
          <w:rFonts w:ascii="Times New Roman" w:hAnsi="Times New Roman"/>
          <w:color w:val="0070C0"/>
          <w:sz w:val="16"/>
          <w:szCs w:val="16"/>
        </w:rPr>
      </w:pPr>
    </w:p>
    <w:p w14:paraId="50100F59" w14:textId="77777777" w:rsidR="00D9700C"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1329A5DF" w14:textId="77777777" w:rsidR="00D9700C" w:rsidRPr="00070ADE" w:rsidRDefault="00D9700C"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CD1C00"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31 января</w:t>
      </w:r>
      <w:r w:rsidRPr="00070ADE">
        <w:rPr>
          <w:rFonts w:ascii="Times New Roman" w:hAnsi="Times New Roman"/>
          <w:color w:val="000000" w:themeColor="text1"/>
          <w:sz w:val="16"/>
          <w:szCs w:val="16"/>
        </w:rPr>
        <w:t xml:space="preserve"> в 1944 году первый полёт пикирующего бомбардировщика </w:t>
      </w:r>
      <w:hyperlink r:id="rId23" w:tgtFrame="_blank" w:history="1">
        <w:r w:rsidRPr="00070ADE">
          <w:rPr>
            <w:rFonts w:ascii="Times New Roman" w:hAnsi="Times New Roman"/>
            <w:color w:val="000000" w:themeColor="text1"/>
            <w:sz w:val="16"/>
            <w:szCs w:val="16"/>
          </w:rPr>
          <w:t xml:space="preserve">«SM.93» </w:t>
        </w:r>
      </w:hyperlink>
      <w:r w:rsidRPr="00070ADE">
        <w:rPr>
          <w:rFonts w:ascii="Times New Roman" w:hAnsi="Times New Roman"/>
          <w:color w:val="000000" w:themeColor="text1"/>
          <w:sz w:val="16"/>
          <w:szCs w:val="16"/>
        </w:rPr>
        <w:t>(компания «Savoia Marchetti», Италия). Конструкция самолёта представляла собой цельнодеревянный низкоплан, состоявший из трёх секций: консолей и центроплана, с фюзеляжем типа монокок и убирающимися шасси. Крыло было двухлонжеронным с изломом по передней кромке. Вооружение состояло из одной 20 мм пушки, стрелявшей через полый вал винта, с боекомплектом в 150 снарядов, и двух пулемётов калибра 12,7 мм, установленных в консолях крыла, с боекомплектом по 350 снарядов на ствол. Оборонительное вооружение состояло из одного 12,7 мм пулемёта, смонтированного на шкворневой установке в задней части кабины. Максимальная бомбовая нагрузка состояла из 820 кг бомб, подвешивавшихся под фюзеляжем (15026).</w:t>
      </w:r>
    </w:p>
    <w:p w14:paraId="3AB80A7C" w14:textId="77777777" w:rsidR="00D9700C" w:rsidRPr="00070ADE" w:rsidRDefault="00D9700C" w:rsidP="00B56F90">
      <w:pPr>
        <w:spacing w:after="0" w:line="240" w:lineRule="auto"/>
        <w:jc w:val="both"/>
        <w:rPr>
          <w:rFonts w:ascii="Times New Roman" w:hAnsi="Times New Roman"/>
          <w:color w:val="000000" w:themeColor="text1"/>
          <w:sz w:val="16"/>
          <w:szCs w:val="16"/>
        </w:rPr>
      </w:pPr>
    </w:p>
    <w:p w14:paraId="63F7F705" w14:textId="0907E2E2" w:rsidR="00F41EB5" w:rsidRPr="00070ADE" w:rsidRDefault="00F41EB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января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Первый полёт пикирующего бомбардировщика SM.93 (компания Savoia Marchetti, Италия).</w:t>
      </w:r>
    </w:p>
    <w:p w14:paraId="3ACC5781" w14:textId="77777777" w:rsidR="00F41EB5" w:rsidRPr="00070ADE" w:rsidRDefault="00F41EB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Конструкция самолёта представляла собой цельнодеревянный низкоплан, состоявший из трёх секций: консолей и центроплана, с фюзеляжем типа монокок и убирающимися шасси. Крыло было двухлонжеронным с изломом по передней кромке. Вооружение состояло из одной 20 мм пушки, стрелявшей через полый вал винта, с боекомплектом в 150 снарядов, и двух пулемётов калибра 12,7 мм, установленных в консолях крыла, с боекомплектом по 350 снарядов на ствол. Оборонительное вооружение состояло из одного 12,7 мм пулемёта, смонтированного на шкворневой установке в задней части кабины. Максимальная бомбовая нагрузка состояла из 820 кг бомб, подвешивавшихся под фюзеляжем (22638).</w:t>
      </w:r>
    </w:p>
    <w:p w14:paraId="4C45D4CB" w14:textId="77777777" w:rsidR="00F41EB5" w:rsidRPr="00070ADE" w:rsidRDefault="00F41EB5" w:rsidP="00B56F90">
      <w:pPr>
        <w:spacing w:after="0" w:line="240" w:lineRule="auto"/>
        <w:jc w:val="both"/>
        <w:rPr>
          <w:rFonts w:ascii="Times New Roman" w:hAnsi="Times New Roman"/>
          <w:color w:val="000000" w:themeColor="text1"/>
          <w:sz w:val="16"/>
          <w:szCs w:val="16"/>
        </w:rPr>
      </w:pPr>
    </w:p>
    <w:p w14:paraId="3991D38C" w14:textId="77777777" w:rsidR="00F41EB5" w:rsidRPr="00070ADE" w:rsidRDefault="00F41EB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января 1944 первый полет Savoia-Marchetti SM.93 (20373).</w:t>
      </w:r>
    </w:p>
    <w:p w14:paraId="2A6D72EF" w14:textId="77777777" w:rsidR="00F41EB5" w:rsidRPr="00070ADE" w:rsidRDefault="00F41EB5" w:rsidP="00B56F90">
      <w:pPr>
        <w:spacing w:after="0" w:line="240" w:lineRule="auto"/>
        <w:jc w:val="both"/>
        <w:rPr>
          <w:rFonts w:ascii="Times New Roman" w:hAnsi="Times New Roman"/>
          <w:color w:val="000000" w:themeColor="text1"/>
          <w:sz w:val="16"/>
          <w:szCs w:val="16"/>
        </w:rPr>
      </w:pPr>
    </w:p>
    <w:p w14:paraId="43DF02D5" w14:textId="6B871F78" w:rsidR="00F41EB5" w:rsidRPr="00070ADE" w:rsidRDefault="00F41EB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января 1944 года — первый полёт пикирующего бомбардировщика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Savoia-Marchetti SM.93. /Италия/</w:t>
      </w:r>
    </w:p>
    <w:p w14:paraId="5D7C6E35" w14:textId="60C40A04" w:rsidR="00F41EB5" w:rsidRPr="00070ADE" w:rsidRDefault="00F41EB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середине 1943 года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ВВС Италии остро нуждались в пикирующем бомбардировщике. Для удовлетворения этой потребности конструкторы компании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Savoia-Marchetti</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во главе 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Алессандро Маркетти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(Alessandro Marchetti) начали проект SM.93. Он должен был стать заменой для немецкого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Junkers Ju 87 "Stuka".</w:t>
      </w:r>
    </w:p>
    <w:p w14:paraId="099CD660" w14:textId="19CD562F" w:rsidR="00F41EB5" w:rsidRPr="00070ADE" w:rsidRDefault="00F41EB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SM.93 был низкопланом с убирающимся шасси.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Выполнен полностью из дерева и полотна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сказалась нехватка дюралюминия. Двигатель Daimler-Benz DB 605A позволял развить скорость до 580 км/ч. Дальность полёта — 1600 км. Вооружение — 1 × 20-мм пушка MG 151/20, 3 × 12,7-мм пулемёта Breda-SAFAT и 1451 кг бомб. Экипаж состоял из 2 человек, причём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пилот не сидел, а лежал на наклонном ложе лицом вперёд.</w:t>
      </w:r>
    </w:p>
    <w:p w14:paraId="60D8E2A9" w14:textId="77777777" w:rsidR="00F41EB5" w:rsidRPr="00070ADE" w:rsidRDefault="00F41EB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первого полёта самолёт реквизировали немцы. Испытания продолжились, но наступление союзников не позволило их закончить. Несмотря на хорошие лётные характеристики, SM.93 построили в 1 экземпляре (22300).</w:t>
      </w:r>
    </w:p>
    <w:p w14:paraId="7B7C59AA" w14:textId="77777777" w:rsidR="00F41EB5" w:rsidRPr="00070ADE" w:rsidRDefault="00F41EB5" w:rsidP="00B56F90">
      <w:pPr>
        <w:spacing w:after="0" w:line="240" w:lineRule="auto"/>
        <w:jc w:val="both"/>
        <w:rPr>
          <w:rFonts w:ascii="Times New Roman" w:hAnsi="Times New Roman"/>
          <w:color w:val="000000" w:themeColor="text1"/>
          <w:sz w:val="16"/>
          <w:szCs w:val="16"/>
        </w:rPr>
      </w:pPr>
    </w:p>
    <w:p w14:paraId="1B0CAC6E" w14:textId="77777777" w:rsidR="00F41EB5" w:rsidRPr="00070ADE" w:rsidRDefault="00F41EB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января 1944 74 бомбардировщика Восьмой армии ВВС в сопровождении 114 истребителей атакуют строящуюся базу немецких летающих бомб Фау-1 в Сен-Поль-сюр-Тернуаз / Сиракур , Франция. Все самолеты благополучно возвращаются (20373).</w:t>
      </w:r>
    </w:p>
    <w:p w14:paraId="503FB361" w14:textId="77777777" w:rsidR="00F41EB5" w:rsidRPr="00070ADE" w:rsidRDefault="00F41EB5" w:rsidP="00B56F90">
      <w:pPr>
        <w:spacing w:after="0" w:line="240" w:lineRule="auto"/>
        <w:jc w:val="both"/>
        <w:rPr>
          <w:rFonts w:ascii="Times New Roman" w:hAnsi="Times New Roman"/>
          <w:color w:val="000000" w:themeColor="text1"/>
          <w:sz w:val="16"/>
          <w:szCs w:val="16"/>
        </w:rPr>
      </w:pPr>
    </w:p>
    <w:p w14:paraId="36D16BA7" w14:textId="77777777" w:rsidR="00F41EB5" w:rsidRPr="00070ADE" w:rsidRDefault="00F41EB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января 1944 75 Истребители-бомбардировщики P-47 Thunderbolt восьмой воздушной армии в сопровождении 131 истребителя атакуют аэродром Гильце-Риен в Нидерландах, теряя шесть машин. Американские летчики утверждают, что 13 немецких самолетов сбиты, один, вероятно, сбит, а один поврежден (20373).</w:t>
      </w:r>
    </w:p>
    <w:p w14:paraId="1B1BB039" w14:textId="77777777" w:rsidR="00F41EB5" w:rsidRPr="00070ADE" w:rsidRDefault="00F41EB5" w:rsidP="00B56F90">
      <w:pPr>
        <w:spacing w:after="0" w:line="240" w:lineRule="auto"/>
        <w:jc w:val="both"/>
        <w:rPr>
          <w:rFonts w:ascii="Times New Roman" w:hAnsi="Times New Roman"/>
          <w:color w:val="000000" w:themeColor="text1"/>
          <w:sz w:val="16"/>
          <w:szCs w:val="16"/>
        </w:rPr>
      </w:pPr>
    </w:p>
    <w:p w14:paraId="2E013CEC" w14:textId="77777777" w:rsidR="00F41EB5" w:rsidRPr="00070ADE" w:rsidRDefault="00F41EB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января 1944 начинается американское вторжение на Маршалловы острова, операция «Кремневый замок». Начинается с высадки на островах Кваджалейн, Рой-Намюр и Маджуро. Рейды американских авианосцев были настолько успешными, что у японцев не осталось на островах действующих самолетов, которые могли бы им противостоять. Шесть авианосцев американского флота, два легких авианосца и шесть авианосцев сопровождения обеспечивают высадку на атолле Кваджалейн, а два авианосца сопровождения обеспечивают высадку в Маджуро. Американские авианосцы также бомбят Эниветок, Малоэлап и Вотье (20373).</w:t>
      </w:r>
    </w:p>
    <w:p w14:paraId="008B0706" w14:textId="77777777" w:rsidR="00F41EB5" w:rsidRPr="00070ADE" w:rsidRDefault="00F41EB5" w:rsidP="00B56F90">
      <w:pPr>
        <w:spacing w:after="0" w:line="240" w:lineRule="auto"/>
        <w:jc w:val="both"/>
        <w:rPr>
          <w:rFonts w:ascii="Times New Roman" w:hAnsi="Times New Roman"/>
          <w:color w:val="000000" w:themeColor="text1"/>
          <w:sz w:val="16"/>
          <w:szCs w:val="16"/>
        </w:rPr>
      </w:pPr>
    </w:p>
    <w:p w14:paraId="417712C2"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31 января</w:t>
      </w:r>
      <w:r w:rsidRPr="00070ADE">
        <w:rPr>
          <w:rFonts w:ascii="Times New Roman" w:hAnsi="Times New Roman"/>
          <w:color w:val="000000" w:themeColor="text1"/>
          <w:sz w:val="16"/>
          <w:szCs w:val="16"/>
        </w:rPr>
        <w:t xml:space="preserve"> в 1944 году в Германии начат выпуск танка «Королевский тигр». До конца войны было выпущено 485 машин (15026).</w:t>
      </w:r>
    </w:p>
    <w:p w14:paraId="101782E8" w14:textId="77777777" w:rsidR="00D9700C" w:rsidRPr="00070ADE" w:rsidRDefault="00D9700C" w:rsidP="00B56F90">
      <w:pPr>
        <w:spacing w:after="0" w:line="240" w:lineRule="auto"/>
        <w:jc w:val="both"/>
        <w:rPr>
          <w:rFonts w:ascii="Times New Roman" w:hAnsi="Times New Roman"/>
          <w:color w:val="000000" w:themeColor="text1"/>
          <w:sz w:val="16"/>
          <w:szCs w:val="16"/>
        </w:rPr>
      </w:pPr>
    </w:p>
    <w:p w14:paraId="7105BD5E"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31 января</w:t>
      </w:r>
      <w:r w:rsidRPr="00070ADE">
        <w:rPr>
          <w:rFonts w:ascii="Times New Roman" w:hAnsi="Times New Roman"/>
          <w:color w:val="000000" w:themeColor="text1"/>
          <w:sz w:val="16"/>
          <w:szCs w:val="16"/>
        </w:rPr>
        <w:t xml:space="preserve"> в 1944 году румынское правительство тайно сообщило англо-американскому командованию, что сотрудничество Румынии с западными державами будет зависеть от их политических гарантий. В румынском меморандуме говорилось: «Когда английские и американские войска выйдут на Дунай, они не встретят сопротивления румынских войск, которые в этот момент будут отбивать наступление русских на Днестре» (15026).</w:t>
      </w:r>
    </w:p>
    <w:p w14:paraId="043EBD1B" w14:textId="77777777" w:rsidR="00D9700C" w:rsidRPr="00070ADE" w:rsidRDefault="00D9700C" w:rsidP="00B56F90">
      <w:pPr>
        <w:spacing w:after="0" w:line="240" w:lineRule="auto"/>
        <w:jc w:val="both"/>
        <w:rPr>
          <w:rFonts w:ascii="Times New Roman" w:hAnsi="Times New Roman"/>
          <w:color w:val="000000" w:themeColor="text1"/>
          <w:sz w:val="16"/>
          <w:szCs w:val="16"/>
        </w:rPr>
      </w:pPr>
    </w:p>
    <w:p w14:paraId="75E97552"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lastRenderedPageBreak/>
        <w:t>31 января</w:t>
      </w:r>
      <w:r w:rsidRPr="00070ADE">
        <w:rPr>
          <w:rFonts w:ascii="Times New Roman" w:hAnsi="Times New Roman"/>
          <w:color w:val="000000" w:themeColor="text1"/>
          <w:sz w:val="16"/>
          <w:szCs w:val="16"/>
        </w:rPr>
        <w:t xml:space="preserve"> в 1944 году в Польше в противовес просоветской Крайовой Раде Народовой представителями Крестьянской партии, Народной партии, Польской социалистическолй партии и Союза труда создана Рада Едности Народовой – альтернативное правительство, связанное с польским эмигрантским правительством в Лондоне (15026).</w:t>
      </w:r>
    </w:p>
    <w:p w14:paraId="1846B3B1" w14:textId="77777777" w:rsidR="00D9700C" w:rsidRPr="00070ADE" w:rsidRDefault="00D9700C" w:rsidP="00B56F90">
      <w:pPr>
        <w:spacing w:after="0" w:line="240" w:lineRule="auto"/>
        <w:jc w:val="both"/>
        <w:rPr>
          <w:rFonts w:ascii="Times New Roman" w:hAnsi="Times New Roman"/>
          <w:color w:val="000000" w:themeColor="text1"/>
          <w:sz w:val="16"/>
          <w:szCs w:val="16"/>
        </w:rPr>
      </w:pPr>
    </w:p>
    <w:p w14:paraId="6B684C2A" w14:textId="77777777" w:rsidR="00D9700C" w:rsidRPr="00070ADE" w:rsidRDefault="00D970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31 января</w:t>
      </w:r>
      <w:r w:rsidRPr="00070ADE">
        <w:rPr>
          <w:rFonts w:ascii="Times New Roman" w:hAnsi="Times New Roman"/>
          <w:color w:val="000000" w:themeColor="text1"/>
          <w:sz w:val="16"/>
          <w:szCs w:val="16"/>
        </w:rPr>
        <w:t xml:space="preserve"> в 1944 году в Болгарии дислоцировано 20 тысяч немецких солдат (15026).</w:t>
      </w:r>
    </w:p>
    <w:p w14:paraId="1B3ED04F" w14:textId="77777777" w:rsidR="00D9700C" w:rsidRPr="00070ADE" w:rsidRDefault="00D9700C" w:rsidP="00B56F90">
      <w:pPr>
        <w:spacing w:after="0" w:line="240" w:lineRule="auto"/>
        <w:jc w:val="both"/>
        <w:rPr>
          <w:rFonts w:ascii="Times New Roman" w:hAnsi="Times New Roman"/>
          <w:color w:val="000000" w:themeColor="text1"/>
          <w:sz w:val="16"/>
          <w:szCs w:val="16"/>
        </w:rPr>
      </w:pPr>
    </w:p>
    <w:p w14:paraId="53CA33A6"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F2C56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EDF60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концу января 1944 года из-за не</w:t>
      </w:r>
      <w:r w:rsidRPr="00070ADE">
        <w:rPr>
          <w:rFonts w:ascii="Times New Roman" w:hAnsi="Times New Roman"/>
          <w:color w:val="000000" w:themeColor="text1"/>
          <w:sz w:val="16"/>
          <w:szCs w:val="16"/>
        </w:rPr>
        <w:softHyphen/>
        <w:t>своевременной поставки мотора завершились работы по переоборудованию Су-6 под мотор АМ-42. В процессе переобору</w:t>
      </w:r>
      <w:r w:rsidRPr="00070ADE">
        <w:rPr>
          <w:rFonts w:ascii="Times New Roman" w:hAnsi="Times New Roman"/>
          <w:color w:val="000000" w:themeColor="text1"/>
          <w:sz w:val="16"/>
          <w:szCs w:val="16"/>
        </w:rPr>
        <w:softHyphen/>
        <w:t>дования на самолете:</w:t>
      </w:r>
    </w:p>
    <w:p w14:paraId="6E046B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установили мотор АМ-42 с необходимым оборудованием и бронированием;</w:t>
      </w:r>
    </w:p>
    <w:p w14:paraId="3A99D1E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заменили консоли крыла сме</w:t>
      </w:r>
      <w:r w:rsidRPr="00070ADE">
        <w:rPr>
          <w:rFonts w:ascii="Times New Roman" w:hAnsi="Times New Roman"/>
          <w:color w:val="000000" w:themeColor="text1"/>
          <w:sz w:val="16"/>
          <w:szCs w:val="16"/>
        </w:rPr>
        <w:softHyphen/>
        <w:t>шанной конструкции на цельноме</w:t>
      </w:r>
      <w:r w:rsidRPr="00070ADE">
        <w:rPr>
          <w:rFonts w:ascii="Times New Roman" w:hAnsi="Times New Roman"/>
          <w:color w:val="000000" w:themeColor="text1"/>
          <w:sz w:val="16"/>
          <w:szCs w:val="16"/>
        </w:rPr>
        <w:softHyphen/>
        <w:t>таллические с увеличенной площа</w:t>
      </w:r>
      <w:r w:rsidRPr="00070ADE">
        <w:rPr>
          <w:rFonts w:ascii="Times New Roman" w:hAnsi="Times New Roman"/>
          <w:color w:val="000000" w:themeColor="text1"/>
          <w:sz w:val="16"/>
          <w:szCs w:val="16"/>
        </w:rPr>
        <w:softHyphen/>
        <w:t>дью до 28,6 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 вместо 26 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w:t>
      </w:r>
    </w:p>
    <w:p w14:paraId="3A1618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увеличили компенсацию рулейи элеронов;</w:t>
      </w:r>
    </w:p>
    <w:p w14:paraId="7CC73B0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усилили гидроподъемники шас</w:t>
      </w:r>
      <w:r w:rsidRPr="00070ADE">
        <w:rPr>
          <w:rFonts w:ascii="Times New Roman" w:hAnsi="Times New Roman"/>
          <w:color w:val="000000" w:themeColor="text1"/>
          <w:sz w:val="16"/>
          <w:szCs w:val="16"/>
        </w:rPr>
        <w:softHyphen/>
        <w:t>си и узлы их крепления;</w:t>
      </w:r>
    </w:p>
    <w:p w14:paraId="023049D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установили хвостовое колесо 400x150, вместо 300x125;</w:t>
      </w:r>
    </w:p>
    <w:p w14:paraId="118DB6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доработали гидравлическую и пневматическую системы самолета;</w:t>
      </w:r>
    </w:p>
    <w:p w14:paraId="04961D8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перекомпоновали приборную доску летчика и установили стан</w:t>
      </w:r>
      <w:r w:rsidRPr="00070ADE">
        <w:rPr>
          <w:rFonts w:ascii="Times New Roman" w:hAnsi="Times New Roman"/>
          <w:color w:val="000000" w:themeColor="text1"/>
          <w:sz w:val="16"/>
          <w:szCs w:val="16"/>
        </w:rPr>
        <w:softHyphen/>
        <w:t>дартную ручку управления (истре</w:t>
      </w:r>
      <w:r w:rsidRPr="00070ADE">
        <w:rPr>
          <w:rFonts w:ascii="Times New Roman" w:hAnsi="Times New Roman"/>
          <w:color w:val="000000" w:themeColor="text1"/>
          <w:sz w:val="16"/>
          <w:szCs w:val="16"/>
        </w:rPr>
        <w:softHyphen/>
        <w:t>бительного типа);</w:t>
      </w:r>
    </w:p>
    <w:p w14:paraId="0DF7B8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доработали систему вооруже</w:t>
      </w:r>
      <w:r w:rsidRPr="00070ADE">
        <w:rPr>
          <w:rFonts w:ascii="Times New Roman" w:hAnsi="Times New Roman"/>
          <w:color w:val="000000" w:themeColor="text1"/>
          <w:sz w:val="16"/>
          <w:szCs w:val="16"/>
        </w:rPr>
        <w:softHyphen/>
        <w:t>ния и спецоборудования, выполни</w:t>
      </w:r>
      <w:r w:rsidRPr="00070ADE">
        <w:rPr>
          <w:rFonts w:ascii="Times New Roman" w:hAnsi="Times New Roman"/>
          <w:color w:val="000000" w:themeColor="text1"/>
          <w:sz w:val="16"/>
          <w:szCs w:val="16"/>
        </w:rPr>
        <w:softHyphen/>
        <w:t>ли ряд других работ (11845).</w:t>
      </w:r>
    </w:p>
    <w:p w14:paraId="7361AB6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F88C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января 1944 начались проработки самолета Ил-12, оснащенного двумя новыми дизелями конструкции А.Д.Чаромского АЧ-31, каждый из которых развивал на расчетной высоте номинальную мощность в 1500 л.с. Двигатели имели меньший мидель, чем М-88, что позволило разместить их в мотогондолах с очень хорошими аэродинамическими формами. Водяной радиатор системы охлаждения конструкторы решили расположить в носке центроплана, и крыло Ил-12 обрело на этом участке характерный выступающий вперед наплыв. Особенностью аэродинамической компоновки крыла нового самолета стало то, что в отличие от других пассажирских машин того времени, максимальное аэродинамическое качество достигалось на крейсерских скоростях полета. Применив дизели, ильюшинцы отказались от герметичного фюзеляжа: для работы АЧ-31 даже на средних высотах требовалась вся мощность турбокомпрессоров и нагнетателей, отбирать от которых воздух для наддува кабин стало невозможно. В то время не было и особой практической необходимости в такой роскоши, как высотный пассажирский самолет. Достаточно вспомнить, что в послевоенные годы потребности Аэрофлота в таких машинах удовлетворяли всего несколько дооборудованных Ли-2. Переделывая проект, создатели Ил-12 убрали десятый ряд кресел. Таким образом количество пассажирских мест уменьшилось до 27, что стало в последующем одной из стандартных компоновок при эксплуатации самолета на линиях средней протяженности. В салоне по левому борту разместили буфет, а в хвостовой части - багажное отделение на 500 кг. Тепло- и зву-коизолированная пассажирская кабина выглядела весьма комфортабельно, имела хорошие освещение, вентиляцию и отопление. На этом этапе создания машины окончательно определились внешние обводы носовой части фюзеляжа. Она приобрела характерную форму для всех последующих пассажирских самолетов, созданных под руководством Ильюшина. Еще одной фирменной чертой, зародившейся на Ил-12, стала просторная, скомпонованная с учетом новейших эргономических взглядов кабина экипажа (5156).</w:t>
      </w:r>
    </w:p>
    <w:p w14:paraId="4E43D82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C96C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января 1944 г. начались проработки двухмоторного варианта самолета Ил-12 с дизельными двигателями жидкостного охлаждения АЧ-31 с двухфазным процессом смесеобразования, который, как показали испытания опытного бомбардировщика Ил-6, значительно повышал надежность работы дизелей. Двигатели взлетной мощностью по 1900 л.с. размещались в гондолах, а их водяные радиаторы расположили в носке центроплана, поэтому крыло приобрело характерный для Ил-12 выступающий вперед наплыв между мотогондолами и фюзеляжем.</w:t>
      </w:r>
    </w:p>
    <w:p w14:paraId="195CD3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новых двигателей заставила отказаться от некоторых ранее принятых технических решений. Трудности с отбором большого количества воздуха для герметичной кабины от дизелей, требовавших для нормальной работы даже на относительно небольших высотах наличия весьма мощных турбокомпрессоров или центробежных нагнетателей, привели к тому, что двухмоторный вариант лайнера стал рассматриваться уже не как высотный, а как обычный пассажирский самолет средних высот. Несмотря на более высокую экономичность дизелей, значительный удельный вес новых двигателей (почти в 1,5 раза больше, чем у М-88В), меньшая суммарная мощность силовой установки на расчетной высоте, а также снижение крейсерской высоты полета определили уменьшение скорости и сокращение дальности полета двухмоторного варианта по сравнению о первоначальным проектом.</w:t>
      </w:r>
    </w:p>
    <w:p w14:paraId="192689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Число пассажирских кресел, устанавливаемых в кабине двухмоторного самолета уменьшили, их стало 27.</w:t>
      </w:r>
    </w:p>
    <w:p w14:paraId="7676F6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Изменили также внешние обводы носовой части фюзеляжа с фонарем кабины пилотов; отказ от герметичной кабины определил обычную, классическую для авиалайнеров форму. С.В.Ильюшин всегда уделял очень большое внимание проектированию кабины экипажа, справедливо полагая, что огромная ответственность по обеспечению безопасности пассажиров требует предоставления экипажу просторных и удобных рабочих мест с отличным обзором окружающего пространства и контрольных приборов. Стремление обеспечить экипажу наилучшие условия работы прослеживается на всех пассажирских и транспортных самолетах ОКБ, и впервые оно ярко проявилось при проектировании Ил-12, кабину экипажа которого выполнили значительно более просторной и удобной, чем на Ли-2 (9528).</w:t>
      </w:r>
    </w:p>
    <w:p w14:paraId="4CECD2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57F7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января 1944 аэродром завода № 22 раскис - летать было нельзя. Так продолжалось до конца февраля (4476).</w:t>
      </w:r>
    </w:p>
    <w:p w14:paraId="2DAD5B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C03A83" w14:textId="77777777" w:rsidR="003A2C75" w:rsidRPr="00070ADE" w:rsidRDefault="003A2C7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января 1944 г. самолет 3Б - эталон Ла-5 1944 года был готов. 2 февраля 1944 г. лет</w:t>
      </w:r>
      <w:r w:rsidRPr="00070ADE">
        <w:rPr>
          <w:rFonts w:ascii="Times New Roman" w:hAnsi="Times New Roman"/>
          <w:color w:val="000000" w:themeColor="text1"/>
          <w:sz w:val="16"/>
          <w:szCs w:val="16"/>
        </w:rPr>
        <w:softHyphen/>
        <w:t>чик-испытатель Георгий Михайлович Шия</w:t>
      </w:r>
      <w:r w:rsidRPr="00070ADE">
        <w:rPr>
          <w:rFonts w:ascii="Times New Roman" w:hAnsi="Times New Roman"/>
          <w:color w:val="000000" w:themeColor="text1"/>
          <w:sz w:val="16"/>
          <w:szCs w:val="16"/>
        </w:rPr>
        <w:softHyphen/>
        <w:t>нов совершил первый полет в рамках завод</w:t>
      </w:r>
      <w:r w:rsidRPr="00070ADE">
        <w:rPr>
          <w:rFonts w:ascii="Times New Roman" w:hAnsi="Times New Roman"/>
          <w:color w:val="000000" w:themeColor="text1"/>
          <w:sz w:val="16"/>
          <w:szCs w:val="16"/>
        </w:rPr>
        <w:softHyphen/>
        <w:t>ских испытаний, которые проходили с при</w:t>
      </w:r>
      <w:r w:rsidRPr="00070ADE">
        <w:rPr>
          <w:rFonts w:ascii="Times New Roman" w:hAnsi="Times New Roman"/>
          <w:color w:val="000000" w:themeColor="text1"/>
          <w:sz w:val="16"/>
          <w:szCs w:val="16"/>
        </w:rPr>
        <w:softHyphen/>
        <w:t>влечением специалистов ЛИИ, присутствие которых вскоре сыграло важную роль в судь</w:t>
      </w:r>
      <w:r w:rsidRPr="00070ADE">
        <w:rPr>
          <w:rFonts w:ascii="Times New Roman" w:hAnsi="Times New Roman"/>
          <w:color w:val="000000" w:themeColor="text1"/>
          <w:sz w:val="16"/>
          <w:szCs w:val="16"/>
        </w:rPr>
        <w:softHyphen/>
        <w:t>бе нового самолета. Эталон продемонстриро</w:t>
      </w:r>
      <w:r w:rsidRPr="00070ADE">
        <w:rPr>
          <w:rFonts w:ascii="Times New Roman" w:hAnsi="Times New Roman"/>
          <w:color w:val="000000" w:themeColor="text1"/>
          <w:sz w:val="16"/>
          <w:szCs w:val="16"/>
        </w:rPr>
        <w:softHyphen/>
        <w:t>вал высокие летные характеристики. По мак</w:t>
      </w:r>
      <w:r w:rsidRPr="00070ADE">
        <w:rPr>
          <w:rFonts w:ascii="Times New Roman" w:hAnsi="Times New Roman"/>
          <w:color w:val="000000" w:themeColor="text1"/>
          <w:sz w:val="16"/>
          <w:szCs w:val="16"/>
        </w:rPr>
        <w:softHyphen/>
        <w:t>симальной скорости на разных высотах он превосходил Ла-5ФН по крайней мере на 30</w:t>
      </w:r>
      <w:r w:rsidRPr="00070ADE">
        <w:rPr>
          <w:rFonts w:ascii="Times New Roman" w:hAnsi="Times New Roman"/>
          <w:color w:val="000000" w:themeColor="text1"/>
          <w:sz w:val="16"/>
          <w:szCs w:val="16"/>
        </w:rPr>
        <w:softHyphen/>
        <w:t>35 км/ч. Всего через две недели 15 февраля самолет перегнали в НИИ ВВС на государст</w:t>
      </w:r>
      <w:r w:rsidRPr="00070ADE">
        <w:rPr>
          <w:rFonts w:ascii="Times New Roman" w:hAnsi="Times New Roman"/>
          <w:color w:val="000000" w:themeColor="text1"/>
          <w:sz w:val="16"/>
          <w:szCs w:val="16"/>
        </w:rPr>
        <w:softHyphen/>
        <w:t>венные испытания (24194).</w:t>
      </w:r>
    </w:p>
    <w:p w14:paraId="4B918C61" w14:textId="77777777" w:rsidR="003A2C75" w:rsidRPr="00070ADE" w:rsidRDefault="003A2C75" w:rsidP="00B56F90">
      <w:pPr>
        <w:spacing w:after="0" w:line="240" w:lineRule="auto"/>
        <w:jc w:val="both"/>
        <w:rPr>
          <w:rFonts w:ascii="Times New Roman" w:hAnsi="Times New Roman"/>
          <w:color w:val="000000" w:themeColor="text1"/>
          <w:sz w:val="16"/>
          <w:szCs w:val="16"/>
        </w:rPr>
      </w:pPr>
    </w:p>
    <w:p w14:paraId="6E995D28"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C97AB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94D9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января 1944 г. совме</w:t>
      </w:r>
      <w:r w:rsidRPr="00070ADE">
        <w:rPr>
          <w:rFonts w:ascii="Times New Roman" w:hAnsi="Times New Roman"/>
          <w:color w:val="000000" w:themeColor="text1"/>
          <w:sz w:val="16"/>
          <w:szCs w:val="16"/>
        </w:rPr>
        <w:softHyphen/>
        <w:t>стными усилиями коллективов заводов № 112 НКТП и № 92 НКВ был изготовлен опытный образец танка Т-34-85 с пушкой ЗИС-С-53, установленной в штатной башне и в период с 30 января по 2 февраля 1944 г. успешно прошел испытания на ГАНИОПе. Установка танковой пушкой ЗИС-С-53 конструкции ЦАКБ НКВ в штатную башню танка Т-34-76 обр. 1942 г. была осуществлена с целью проверки надежности ее конструкции и удобства работы с ней членов экипажа (10703).</w:t>
      </w:r>
    </w:p>
    <w:p w14:paraId="367B66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28456D" w14:textId="77777777" w:rsidR="00DF6978" w:rsidRPr="00070ADE" w:rsidRDefault="00DF69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января 1944 года второй и третий образцы 85-мм пушки ЗИС-С-53 установили в танки Т-34 с нормальным и расширенным погонами, которые прошли интенсивные испытания с 30 января по 2 февраля 1944 года. Боевые качества танка Т-34 с расширенной баш- еей значительно выше, чем с обычной башней» (12217).</w:t>
      </w:r>
    </w:p>
    <w:p w14:paraId="1EFC2A56" w14:textId="77777777" w:rsidR="00DF6978" w:rsidRPr="00070ADE" w:rsidRDefault="00DF6978" w:rsidP="00B56F90">
      <w:pPr>
        <w:spacing w:after="0" w:line="240" w:lineRule="auto"/>
        <w:jc w:val="both"/>
        <w:rPr>
          <w:rFonts w:ascii="Times New Roman" w:hAnsi="Times New Roman"/>
          <w:color w:val="000000" w:themeColor="text1"/>
          <w:sz w:val="16"/>
          <w:szCs w:val="16"/>
        </w:rPr>
      </w:pPr>
    </w:p>
    <w:p w14:paraId="4AF0E083" w14:textId="77777777" w:rsidR="000D2529" w:rsidRPr="00070ADE" w:rsidRDefault="000D2529" w:rsidP="00B56F90">
      <w:pPr>
        <w:spacing w:after="0" w:line="240" w:lineRule="auto"/>
        <w:jc w:val="both"/>
        <w:textAlignment w:val="baseline"/>
        <w:rPr>
          <w:rFonts w:ascii="Times New Roman" w:hAnsi="Times New Roman"/>
          <w:iCs/>
          <w:color w:val="000000" w:themeColor="text1"/>
          <w:sz w:val="16"/>
          <w:szCs w:val="16"/>
          <w:bdr w:val="none" w:sz="0" w:space="0" w:color="auto" w:frame="1"/>
        </w:rPr>
      </w:pPr>
      <w:r w:rsidRPr="00070ADE">
        <w:rPr>
          <w:rFonts w:ascii="Times New Roman" w:hAnsi="Times New Roman"/>
          <w:iCs/>
          <w:color w:val="000000" w:themeColor="text1"/>
          <w:sz w:val="16"/>
          <w:szCs w:val="16"/>
          <w:bdr w:val="none" w:sz="0" w:space="0" w:color="auto" w:frame="1"/>
        </w:rPr>
        <w:t>К концу января 1944 года первый опытный образец Т-44 был готов (18799).</w:t>
      </w:r>
    </w:p>
    <w:p w14:paraId="15E1CF12" w14:textId="77777777" w:rsidR="000D2529" w:rsidRPr="00070ADE" w:rsidRDefault="000D2529" w:rsidP="00B56F90">
      <w:pPr>
        <w:pStyle w:val="ae"/>
        <w:spacing w:before="0" w:after="0"/>
        <w:jc w:val="both"/>
        <w:textAlignment w:val="baseline"/>
        <w:rPr>
          <w:color w:val="000000" w:themeColor="text1"/>
          <w:sz w:val="16"/>
          <w:szCs w:val="16"/>
        </w:rPr>
      </w:pPr>
    </w:p>
    <w:p w14:paraId="346A3346" w14:textId="77777777" w:rsidR="00986ACA" w:rsidRPr="00070ADE" w:rsidRDefault="00986A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конца января по 10 февраля 1944 первый и второй прототипы Т-44 проходили предваритель</w:t>
      </w:r>
      <w:r w:rsidRPr="00070ADE">
        <w:rPr>
          <w:rFonts w:ascii="Times New Roman" w:hAnsi="Times New Roman"/>
          <w:color w:val="000000" w:themeColor="text1"/>
          <w:sz w:val="16"/>
          <w:szCs w:val="16"/>
        </w:rPr>
        <w:softHyphen/>
        <w:t>ные испытания, пробежав на заводском полигоне 577 и 213 км, соответственно. Было опробовано в работе и 85-мм орудие, темп стрельбы из которого благодаря новому про</w:t>
      </w:r>
      <w:r w:rsidRPr="00070ADE">
        <w:rPr>
          <w:rFonts w:ascii="Times New Roman" w:hAnsi="Times New Roman"/>
          <w:color w:val="000000" w:themeColor="text1"/>
          <w:sz w:val="16"/>
          <w:szCs w:val="16"/>
        </w:rPr>
        <w:softHyphen/>
        <w:t>сторному боевому отделению достиг 8-10 выстр./мин. (для сравнения, скорострель</w:t>
      </w:r>
      <w:r w:rsidRPr="00070ADE">
        <w:rPr>
          <w:rFonts w:ascii="Times New Roman" w:hAnsi="Times New Roman"/>
          <w:color w:val="000000" w:themeColor="text1"/>
          <w:sz w:val="16"/>
          <w:szCs w:val="16"/>
        </w:rPr>
        <w:softHyphen/>
        <w:t>ность «Пантеры» и «Тигра» составляла 6-8 выстр./мин) (19935).</w:t>
      </w:r>
    </w:p>
    <w:p w14:paraId="693DC7DD" w14:textId="77777777" w:rsidR="00986ACA" w:rsidRPr="00070ADE" w:rsidRDefault="00986ACA" w:rsidP="00B56F90">
      <w:pPr>
        <w:spacing w:after="0" w:line="240" w:lineRule="auto"/>
        <w:jc w:val="both"/>
        <w:rPr>
          <w:rFonts w:ascii="Times New Roman" w:hAnsi="Times New Roman"/>
          <w:color w:val="000000" w:themeColor="text1"/>
          <w:sz w:val="16"/>
          <w:szCs w:val="16"/>
        </w:rPr>
      </w:pPr>
    </w:p>
    <w:p w14:paraId="12D191FA" w14:textId="77777777" w:rsidR="000D2529" w:rsidRPr="00070ADE" w:rsidRDefault="000D2529" w:rsidP="00B56F90">
      <w:pPr>
        <w:pStyle w:val="ae"/>
        <w:spacing w:before="0" w:after="0"/>
        <w:jc w:val="both"/>
        <w:textAlignment w:val="baseline"/>
        <w:rPr>
          <w:color w:val="000000" w:themeColor="text1"/>
          <w:sz w:val="16"/>
          <w:szCs w:val="16"/>
        </w:rPr>
      </w:pPr>
      <w:r w:rsidRPr="00070ADE">
        <w:rPr>
          <w:color w:val="000000" w:themeColor="text1"/>
          <w:sz w:val="16"/>
          <w:szCs w:val="16"/>
        </w:rPr>
        <w:t>К концу января 1944 года завершилась Сборка первых двух опытных образцов Т-44.</w:t>
      </w:r>
    </w:p>
    <w:p w14:paraId="0CD9CC49" w14:textId="77777777" w:rsidR="000D2529" w:rsidRPr="00070ADE" w:rsidRDefault="000D2529" w:rsidP="00B56F90">
      <w:pPr>
        <w:pStyle w:val="ae"/>
        <w:spacing w:before="0" w:after="0"/>
        <w:jc w:val="both"/>
        <w:textAlignment w:val="baseline"/>
        <w:rPr>
          <w:color w:val="000000" w:themeColor="text1"/>
          <w:sz w:val="16"/>
          <w:szCs w:val="16"/>
        </w:rPr>
      </w:pPr>
      <w:r w:rsidRPr="00070ADE">
        <w:rPr>
          <w:color w:val="000000" w:themeColor="text1"/>
          <w:sz w:val="16"/>
          <w:szCs w:val="16"/>
        </w:rPr>
        <w:t>Несмотря на требование Малышева изменить силовую установку, завод №75 (город Челябинск) предоставил обычные двигатели В-2-ИС, так что выступ в днище сохранился. Ничего не было сделано с кормовым листом корпуса — он остался прямым и мог поражаться практически любым типом танковой и противотанковой артиллерии. Полностью сохранилась проектная система охлаждения двигателя. С другой стороны, топливную систему переделали. Три бака общим объёмом 420 л разместили в двух отсеках между боевым и моторно-трансмиссионным отделениями. В отличие от более поздних вариантов Т-44, выхлопных патрубков было два, размещались они на левом борту, при этом выхлопные газы уходили назад.</w:t>
      </w:r>
    </w:p>
    <w:p w14:paraId="1A7EC34B" w14:textId="67185DC9" w:rsidR="000D2529" w:rsidRPr="00070ADE" w:rsidRDefault="000D2529" w:rsidP="00B56F90">
      <w:pPr>
        <w:pStyle w:val="ae"/>
        <w:spacing w:before="0" w:after="0"/>
        <w:jc w:val="both"/>
        <w:textAlignment w:val="baseline"/>
        <w:rPr>
          <w:color w:val="000000" w:themeColor="text1"/>
          <w:sz w:val="16"/>
          <w:szCs w:val="16"/>
        </w:rPr>
      </w:pPr>
      <w:r w:rsidRPr="00070ADE">
        <w:rPr>
          <w:color w:val="000000" w:themeColor="text1"/>
          <w:sz w:val="16"/>
          <w:szCs w:val="16"/>
        </w:rPr>
        <w:t>Не слишком сильно изменилась и схема трансмиссии. От двигателя крутящий момент передавался на гитару, а затем через главный фрикцион на 3-ходовую 5-скоростную коробку передач. Вопреки требованиям военных поставить планетарные механизмы поворота, как на</w:t>
      </w:r>
      <w:r w:rsidR="00B643A8" w:rsidRPr="00070ADE">
        <w:rPr>
          <w:color w:val="000000" w:themeColor="text1"/>
          <w:sz w:val="16"/>
          <w:szCs w:val="16"/>
        </w:rPr>
        <w:t xml:space="preserve"> </w:t>
      </w:r>
      <w:hyperlink r:id="rId24" w:history="1">
        <w:r w:rsidRPr="00070ADE">
          <w:rPr>
            <w:rStyle w:val="a5"/>
            <w:bCs/>
            <w:iCs/>
            <w:color w:val="000000" w:themeColor="text1"/>
            <w:sz w:val="16"/>
            <w:szCs w:val="16"/>
            <w:u w:val="none"/>
            <w:bdr w:val="none" w:sz="0" w:space="0" w:color="auto" w:frame="1"/>
          </w:rPr>
          <w:t>ИС-2</w:t>
        </w:r>
      </w:hyperlink>
      <w:r w:rsidRPr="00070ADE">
        <w:rPr>
          <w:color w:val="000000" w:themeColor="text1"/>
          <w:sz w:val="16"/>
          <w:szCs w:val="16"/>
        </w:rPr>
        <w:t>, на Т-44 сохранили бортовые фрикционы, при этом, в отличие от Т-34, их установили на ведущих валах бортовых передач. Некоторая консервативность схемы трансмиссии была продиктована необходимостью свести риски к минимуму и получить надёжно работающую систему.</w:t>
      </w:r>
    </w:p>
    <w:p w14:paraId="0C16E59F" w14:textId="77777777" w:rsidR="000D2529" w:rsidRPr="00070ADE" w:rsidRDefault="000D2529" w:rsidP="00B56F90">
      <w:pPr>
        <w:pStyle w:val="ae"/>
        <w:spacing w:before="0" w:after="0"/>
        <w:jc w:val="both"/>
        <w:textAlignment w:val="baseline"/>
        <w:rPr>
          <w:color w:val="000000" w:themeColor="text1"/>
          <w:sz w:val="16"/>
          <w:szCs w:val="16"/>
        </w:rPr>
      </w:pPr>
      <w:r w:rsidRPr="00070ADE">
        <w:rPr>
          <w:color w:val="000000" w:themeColor="text1"/>
          <w:sz w:val="16"/>
          <w:szCs w:val="16"/>
        </w:rPr>
        <w:t xml:space="preserve">Обошлось без революций с точки зрения ходовой части, вместе с тем неизменными по сравнению с Т-34 остались только траки. Диаметр опорных катков снизился с </w:t>
      </w:r>
      <w:r w:rsidRPr="00070ADE">
        <w:rPr>
          <w:color w:val="000000" w:themeColor="text1"/>
          <w:sz w:val="16"/>
          <w:szCs w:val="16"/>
        </w:rPr>
        <w:lastRenderedPageBreak/>
        <w:t>830 до 780 мм, уменьшили с 600 до 500 мм диаметр ленивцев. В случае же с ведущими колёсами диаметр, наоборот, вырос с 634 до 650 мм. Наибольшие изменения произошли с подвеской. Если на Т-43 размещение балансиров было по типу Т-34, то на Т-44 балансиры второго и третьего опорного катков сгруппировали так, что торсионы оказались прямо под башней. Тем самым обеспечивалась более равномерная нагрузка в самом «тяжёлом» месте танка. Торсионы последних опорных катков, наоборот, сместили максимально к корме. В значительной степени такое смещение было связано с поперечным расположением двигателя.</w:t>
      </w:r>
    </w:p>
    <w:p w14:paraId="6573C247" w14:textId="77777777" w:rsidR="000D2529" w:rsidRPr="00070ADE" w:rsidRDefault="000D2529" w:rsidP="00B56F90">
      <w:pPr>
        <w:pStyle w:val="ae"/>
        <w:spacing w:before="0" w:after="0"/>
        <w:jc w:val="both"/>
        <w:textAlignment w:val="baseline"/>
        <w:rPr>
          <w:color w:val="000000" w:themeColor="text1"/>
          <w:sz w:val="16"/>
          <w:szCs w:val="16"/>
        </w:rPr>
      </w:pPr>
      <w:r w:rsidRPr="00070ADE">
        <w:rPr>
          <w:color w:val="000000" w:themeColor="text1"/>
          <w:sz w:val="16"/>
          <w:szCs w:val="16"/>
        </w:rPr>
        <w:t>Первым на заводские испытания вышел опытный образец с башней, имевшей диаметр погона 1800 мм и орудие Д-5Т. Взвешивание показало, что боевая масса составляет 30 400 кг, то есть почти на полтонны больше, чем показывали расчёты. Тем не менее это всё равно оказалось на тонну меньше, чем боевая масса серийного Т-34 с двухместной башней и орудием Ф-34. Второй опытный образец с башней, имевшей диаметр погона 1600 мм, взвешиванию не подвергался (18799).</w:t>
      </w:r>
    </w:p>
    <w:p w14:paraId="24F0FC81"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bCs/>
          <w:iCs/>
          <w:noProof/>
          <w:color w:val="000000" w:themeColor="text1"/>
          <w:sz w:val="16"/>
          <w:szCs w:val="16"/>
          <w:bdr w:val="none" w:sz="0" w:space="0" w:color="auto" w:frame="1"/>
          <w:lang w:eastAsia="ru-RU"/>
        </w:rPr>
      </w:pPr>
    </w:p>
    <w:p w14:paraId="4C2FC75B" w14:textId="77777777" w:rsidR="008B714A" w:rsidRPr="00C94B78" w:rsidRDefault="008B714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концу января 1944 г. была закончена сборка двух из трех опытных образцов танка Т-44. Первым на заводские испытания вышел опытный образец с башней, имеющей диаметр погона 1800 мм и орудие Д-5Т. Взвешивание показало, что боевая масса составила 30400 кг, то есть почти на полтонны больше, чем показывали расчеты. Тем не менее, это всё равно оказалось на тонну меньше, чем боевая масса серийного Т-34 с двухместной башней и орудием Ф-34. В ходе первых заводских испытаний первый опытный образец Т-44 прошел 590 километров. В их ходе танк вел себя более-менее надежно, хотя и не без мелких недочетов. Конструкция выхлопной системы оказалась такой, что в ходе движения левый борт корпуса нагревался. Также отмечалось самопроизвольное открытие крышки смотрового лючка механика-водителя, а также повышенный износ зубьев ведущих зубчаток бортовых фрикционов. Последнее оказалось заводским браком (25486).</w:t>
      </w:r>
    </w:p>
    <w:p w14:paraId="5FFFC952" w14:textId="77777777" w:rsidR="008B714A" w:rsidRPr="00C94B78" w:rsidRDefault="008B714A" w:rsidP="00B56F90">
      <w:pPr>
        <w:spacing w:after="0" w:line="240" w:lineRule="auto"/>
        <w:jc w:val="both"/>
        <w:rPr>
          <w:rFonts w:ascii="Times New Roman" w:hAnsi="Times New Roman"/>
          <w:color w:val="0070C0"/>
          <w:sz w:val="16"/>
          <w:szCs w:val="16"/>
        </w:rPr>
      </w:pPr>
    </w:p>
    <w:p w14:paraId="4C13AB1E"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конца января 1944 г. было изготовлено 107 танков ИС-85. На этом их производство прекратилось. На заводе № 9 НКВ вместо пушек Д-5Т-85 для танка ИС начали производство пушек Д-25 с поршневым затвором, причем до конца января 1944 г. завод № 9 осу</w:t>
      </w:r>
      <w:r w:rsidRPr="00070ADE">
        <w:rPr>
          <w:rFonts w:ascii="Times New Roman" w:hAnsi="Times New Roman"/>
          <w:color w:val="000000" w:themeColor="text1"/>
          <w:sz w:val="16"/>
          <w:szCs w:val="16"/>
        </w:rPr>
        <w:softHyphen/>
        <w:t>ществлял только окончательную сборку пушек Д-25, а ствол с затвором поставлялся с завода № 172 НКВ. Всего было выпущено 147 пушек Д-25 с поршневым затвором (10703).</w:t>
      </w:r>
    </w:p>
    <w:p w14:paraId="299877F7"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Число выпущенных серийных танков ИС с 1.10.1943 г. по 1.09.1945 г., ед.</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82"/>
        <w:gridCol w:w="845"/>
        <w:gridCol w:w="586"/>
        <w:gridCol w:w="710"/>
        <w:gridCol w:w="586"/>
        <w:gridCol w:w="538"/>
        <w:gridCol w:w="662"/>
        <w:gridCol w:w="672"/>
        <w:gridCol w:w="643"/>
        <w:gridCol w:w="662"/>
        <w:gridCol w:w="662"/>
        <w:gridCol w:w="662"/>
        <w:gridCol w:w="643"/>
        <w:gridCol w:w="538"/>
        <w:gridCol w:w="720"/>
      </w:tblGrid>
      <w:tr w:rsidR="004D4663" w:rsidRPr="00070ADE" w14:paraId="0FFDA11C" w14:textId="77777777" w:rsidTr="00B37F6A">
        <w:trPr>
          <w:trHeight w:val="288"/>
        </w:trPr>
        <w:tc>
          <w:tcPr>
            <w:tcW w:w="682" w:type="dxa"/>
            <w:tcBorders>
              <w:top w:val="single" w:sz="12" w:space="0" w:color="auto"/>
            </w:tcBorders>
          </w:tcPr>
          <w:p w14:paraId="593EFEF1"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12" w:space="0" w:color="auto"/>
            </w:tcBorders>
          </w:tcPr>
          <w:p w14:paraId="60C756F0"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84" w:type="dxa"/>
            <w:gridSpan w:val="13"/>
            <w:tcBorders>
              <w:top w:val="single" w:sz="12" w:space="0" w:color="auto"/>
            </w:tcBorders>
          </w:tcPr>
          <w:p w14:paraId="5A5F2AE6"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Месяцы</w:t>
            </w:r>
          </w:p>
        </w:tc>
      </w:tr>
      <w:tr w:rsidR="004D4663" w:rsidRPr="00070ADE" w14:paraId="08C13BAF" w14:textId="77777777" w:rsidTr="00B37F6A">
        <w:trPr>
          <w:trHeight w:val="115"/>
        </w:trPr>
        <w:tc>
          <w:tcPr>
            <w:tcW w:w="682" w:type="dxa"/>
          </w:tcPr>
          <w:p w14:paraId="101A63B3"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Год</w:t>
            </w:r>
          </w:p>
        </w:tc>
        <w:tc>
          <w:tcPr>
            <w:tcW w:w="845" w:type="dxa"/>
          </w:tcPr>
          <w:p w14:paraId="5F6F8A2A"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84" w:type="dxa"/>
            <w:gridSpan w:val="13"/>
          </w:tcPr>
          <w:p w14:paraId="551459AE"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CC8314B" w14:textId="77777777" w:rsidTr="00B37F6A">
        <w:trPr>
          <w:trHeight w:val="422"/>
        </w:trPr>
        <w:tc>
          <w:tcPr>
            <w:tcW w:w="682" w:type="dxa"/>
          </w:tcPr>
          <w:p w14:paraId="781B6962"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4EA6D960"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танка</w:t>
            </w:r>
          </w:p>
        </w:tc>
        <w:tc>
          <w:tcPr>
            <w:tcW w:w="586" w:type="dxa"/>
          </w:tcPr>
          <w:p w14:paraId="71EE0C9E"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w:t>
            </w:r>
          </w:p>
        </w:tc>
        <w:tc>
          <w:tcPr>
            <w:tcW w:w="710" w:type="dxa"/>
          </w:tcPr>
          <w:p w14:paraId="5466F3F2"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w:t>
            </w:r>
          </w:p>
        </w:tc>
        <w:tc>
          <w:tcPr>
            <w:tcW w:w="586" w:type="dxa"/>
          </w:tcPr>
          <w:p w14:paraId="0CA97025"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w:t>
            </w:r>
          </w:p>
        </w:tc>
        <w:tc>
          <w:tcPr>
            <w:tcW w:w="538" w:type="dxa"/>
          </w:tcPr>
          <w:p w14:paraId="5B3FFE20"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IV</w:t>
            </w:r>
          </w:p>
        </w:tc>
        <w:tc>
          <w:tcPr>
            <w:tcW w:w="662" w:type="dxa"/>
          </w:tcPr>
          <w:p w14:paraId="410504CA"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V</w:t>
            </w:r>
          </w:p>
        </w:tc>
        <w:tc>
          <w:tcPr>
            <w:tcW w:w="672" w:type="dxa"/>
          </w:tcPr>
          <w:p w14:paraId="78959A30"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VI</w:t>
            </w:r>
          </w:p>
        </w:tc>
        <w:tc>
          <w:tcPr>
            <w:tcW w:w="643" w:type="dxa"/>
          </w:tcPr>
          <w:p w14:paraId="1E49175B"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VII</w:t>
            </w:r>
          </w:p>
        </w:tc>
        <w:tc>
          <w:tcPr>
            <w:tcW w:w="662" w:type="dxa"/>
          </w:tcPr>
          <w:p w14:paraId="7511B188"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VIII</w:t>
            </w:r>
          </w:p>
        </w:tc>
        <w:tc>
          <w:tcPr>
            <w:tcW w:w="662" w:type="dxa"/>
          </w:tcPr>
          <w:p w14:paraId="42D4A671"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IX</w:t>
            </w:r>
          </w:p>
        </w:tc>
        <w:tc>
          <w:tcPr>
            <w:tcW w:w="662" w:type="dxa"/>
          </w:tcPr>
          <w:p w14:paraId="73021696"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X</w:t>
            </w:r>
          </w:p>
        </w:tc>
        <w:tc>
          <w:tcPr>
            <w:tcW w:w="643" w:type="dxa"/>
          </w:tcPr>
          <w:p w14:paraId="32297B05"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XI</w:t>
            </w:r>
          </w:p>
        </w:tc>
        <w:tc>
          <w:tcPr>
            <w:tcW w:w="538" w:type="dxa"/>
          </w:tcPr>
          <w:p w14:paraId="7C613279"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XII</w:t>
            </w:r>
          </w:p>
        </w:tc>
        <w:tc>
          <w:tcPr>
            <w:tcW w:w="720" w:type="dxa"/>
          </w:tcPr>
          <w:p w14:paraId="37DA4CFC"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tc>
      </w:tr>
      <w:tr w:rsidR="004D4663" w:rsidRPr="00070ADE" w14:paraId="4E4D0DE7" w14:textId="77777777" w:rsidTr="00B37F6A">
        <w:trPr>
          <w:trHeight w:val="374"/>
        </w:trPr>
        <w:tc>
          <w:tcPr>
            <w:tcW w:w="682" w:type="dxa"/>
          </w:tcPr>
          <w:p w14:paraId="3717EA9B"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w:t>
            </w:r>
          </w:p>
        </w:tc>
        <w:tc>
          <w:tcPr>
            <w:tcW w:w="845" w:type="dxa"/>
          </w:tcPr>
          <w:p w14:paraId="2B90066A"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ИС-1 ИС-2</w:t>
            </w:r>
          </w:p>
        </w:tc>
        <w:tc>
          <w:tcPr>
            <w:tcW w:w="586" w:type="dxa"/>
          </w:tcPr>
          <w:p w14:paraId="4F52DCA2"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38E721AC"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16038FC4"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Pr>
          <w:p w14:paraId="21AF023C"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51F57BD5"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Pr>
          <w:p w14:paraId="519C7185"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79BBDEAB"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375A40C8"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1C73F979"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28364F01"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643" w:type="dxa"/>
          </w:tcPr>
          <w:p w14:paraId="4681AE1B"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538" w:type="dxa"/>
          </w:tcPr>
          <w:p w14:paraId="78012C5B"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40 35</w:t>
            </w:r>
          </w:p>
        </w:tc>
        <w:tc>
          <w:tcPr>
            <w:tcW w:w="720" w:type="dxa"/>
          </w:tcPr>
          <w:p w14:paraId="600F8423"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67 35</w:t>
            </w:r>
          </w:p>
        </w:tc>
      </w:tr>
      <w:tr w:rsidR="004D4663" w:rsidRPr="00070ADE" w14:paraId="123ED51C" w14:textId="77777777" w:rsidTr="00B37F6A">
        <w:trPr>
          <w:trHeight w:val="211"/>
        </w:trPr>
        <w:tc>
          <w:tcPr>
            <w:tcW w:w="682" w:type="dxa"/>
          </w:tcPr>
          <w:p w14:paraId="7D1B32ED"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w:t>
            </w:r>
          </w:p>
        </w:tc>
        <w:tc>
          <w:tcPr>
            <w:tcW w:w="845" w:type="dxa"/>
          </w:tcPr>
          <w:p w14:paraId="177DB067"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ИС-1</w:t>
            </w:r>
          </w:p>
        </w:tc>
        <w:tc>
          <w:tcPr>
            <w:tcW w:w="586" w:type="dxa"/>
          </w:tcPr>
          <w:p w14:paraId="4BE50E19"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c>
          <w:tcPr>
            <w:tcW w:w="710" w:type="dxa"/>
          </w:tcPr>
          <w:p w14:paraId="2D5AB524"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0BE3FAAD"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Pr>
          <w:p w14:paraId="44147519"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5FDD070A"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Pr>
          <w:p w14:paraId="3D63E4FF"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3C54E6B9"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20242A1D"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26706B62"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41D46811"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0CA9295F"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Pr>
          <w:p w14:paraId="50A4E924"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190FCCB"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r>
      <w:tr w:rsidR="004D4663" w:rsidRPr="00070ADE" w14:paraId="238A8468" w14:textId="77777777" w:rsidTr="00B37F6A">
        <w:trPr>
          <w:trHeight w:val="163"/>
        </w:trPr>
        <w:tc>
          <w:tcPr>
            <w:tcW w:w="682" w:type="dxa"/>
          </w:tcPr>
          <w:p w14:paraId="0F825317"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15BA4A83"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ИС-2</w:t>
            </w:r>
          </w:p>
        </w:tc>
        <w:tc>
          <w:tcPr>
            <w:tcW w:w="586" w:type="dxa"/>
          </w:tcPr>
          <w:p w14:paraId="26C93D10"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tc>
        <w:tc>
          <w:tcPr>
            <w:tcW w:w="710" w:type="dxa"/>
          </w:tcPr>
          <w:p w14:paraId="11384E81"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tc>
        <w:tc>
          <w:tcPr>
            <w:tcW w:w="586" w:type="dxa"/>
          </w:tcPr>
          <w:p w14:paraId="38286D7A"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538" w:type="dxa"/>
          </w:tcPr>
          <w:p w14:paraId="01FCA728"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c>
          <w:tcPr>
            <w:tcW w:w="662" w:type="dxa"/>
          </w:tcPr>
          <w:p w14:paraId="54A56818"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175</w:t>
            </w:r>
          </w:p>
        </w:tc>
        <w:tc>
          <w:tcPr>
            <w:tcW w:w="672" w:type="dxa"/>
          </w:tcPr>
          <w:p w14:paraId="68975442"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643" w:type="dxa"/>
          </w:tcPr>
          <w:p w14:paraId="10885C45"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225</w:t>
            </w:r>
          </w:p>
        </w:tc>
        <w:tc>
          <w:tcPr>
            <w:tcW w:w="662" w:type="dxa"/>
          </w:tcPr>
          <w:p w14:paraId="5A4872F2"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662" w:type="dxa"/>
          </w:tcPr>
          <w:p w14:paraId="286E8A61"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662" w:type="dxa"/>
          </w:tcPr>
          <w:p w14:paraId="33BF6443"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643" w:type="dxa"/>
          </w:tcPr>
          <w:p w14:paraId="50761A95"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538" w:type="dxa"/>
          </w:tcPr>
          <w:p w14:paraId="5DE6A177"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720" w:type="dxa"/>
          </w:tcPr>
          <w:p w14:paraId="73CD3C2D"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2210</w:t>
            </w:r>
          </w:p>
        </w:tc>
      </w:tr>
      <w:tr w:rsidR="004D4663" w:rsidRPr="00070ADE" w14:paraId="58B3E79E" w14:textId="77777777" w:rsidTr="00B37F6A">
        <w:trPr>
          <w:trHeight w:val="173"/>
        </w:trPr>
        <w:tc>
          <w:tcPr>
            <w:tcW w:w="682" w:type="dxa"/>
          </w:tcPr>
          <w:p w14:paraId="14065F94"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538D636B"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ИС-2 (ЧКЗ)</w:t>
            </w:r>
          </w:p>
        </w:tc>
        <w:tc>
          <w:tcPr>
            <w:tcW w:w="586" w:type="dxa"/>
          </w:tcPr>
          <w:p w14:paraId="722BD19D"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710" w:type="dxa"/>
          </w:tcPr>
          <w:p w14:paraId="16157AC2"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586" w:type="dxa"/>
          </w:tcPr>
          <w:p w14:paraId="51132EBB"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538" w:type="dxa"/>
          </w:tcPr>
          <w:p w14:paraId="67F495FF"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230</w:t>
            </w:r>
          </w:p>
        </w:tc>
        <w:tc>
          <w:tcPr>
            <w:tcW w:w="662" w:type="dxa"/>
          </w:tcPr>
          <w:p w14:paraId="2D2B3E37"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c>
          <w:tcPr>
            <w:tcW w:w="672" w:type="dxa"/>
          </w:tcPr>
          <w:p w14:paraId="6EFE9101"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370DC914"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26E7C588"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5" w:type="dxa"/>
            <w:gridSpan w:val="4"/>
          </w:tcPr>
          <w:p w14:paraId="2491ADE7"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3C932F1"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1130</w:t>
            </w:r>
          </w:p>
        </w:tc>
      </w:tr>
      <w:tr w:rsidR="004D4663" w:rsidRPr="00070ADE" w14:paraId="53E3CEDB" w14:textId="77777777" w:rsidTr="00B37F6A">
        <w:trPr>
          <w:trHeight w:val="163"/>
        </w:trPr>
        <w:tc>
          <w:tcPr>
            <w:tcW w:w="682" w:type="dxa"/>
          </w:tcPr>
          <w:p w14:paraId="08C98EB7"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1945 (до 1.09)</w:t>
            </w:r>
          </w:p>
        </w:tc>
        <w:tc>
          <w:tcPr>
            <w:tcW w:w="845" w:type="dxa"/>
          </w:tcPr>
          <w:p w14:paraId="3774AEB0"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ИС-2 (ЛКЗ)</w:t>
            </w:r>
          </w:p>
        </w:tc>
        <w:tc>
          <w:tcPr>
            <w:tcW w:w="586" w:type="dxa"/>
          </w:tcPr>
          <w:p w14:paraId="125E7639"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4CEA2BD8"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4EA0CDB7"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538" w:type="dxa"/>
          </w:tcPr>
          <w:p w14:paraId="0A00D3EE"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5CCEFAE5"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tcPr>
          <w:p w14:paraId="0B7C0E31"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643" w:type="dxa"/>
          </w:tcPr>
          <w:p w14:paraId="31392FF7"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79F1D91D"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5" w:type="dxa"/>
            <w:gridSpan w:val="4"/>
          </w:tcPr>
          <w:p w14:paraId="4E232B30"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63CC1CE"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r>
      <w:tr w:rsidR="004D4663" w:rsidRPr="00070ADE" w14:paraId="36EAC130" w14:textId="77777777" w:rsidTr="00B37F6A">
        <w:trPr>
          <w:trHeight w:val="192"/>
        </w:trPr>
        <w:tc>
          <w:tcPr>
            <w:tcW w:w="682" w:type="dxa"/>
          </w:tcPr>
          <w:p w14:paraId="65838B49"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028366A9"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ИС-3 (ЧКЗ)</w:t>
            </w:r>
          </w:p>
        </w:tc>
        <w:tc>
          <w:tcPr>
            <w:tcW w:w="586" w:type="dxa"/>
          </w:tcPr>
          <w:p w14:paraId="06060D88"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3141CD5C"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447020AC"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Pr>
          <w:p w14:paraId="1CA24469"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662" w:type="dxa"/>
          </w:tcPr>
          <w:p w14:paraId="18272ABE"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672" w:type="dxa"/>
          </w:tcPr>
          <w:p w14:paraId="319F7026"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643" w:type="dxa"/>
          </w:tcPr>
          <w:p w14:paraId="4C9E3354"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662" w:type="dxa"/>
          </w:tcPr>
          <w:p w14:paraId="6C23E8F7"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2505" w:type="dxa"/>
            <w:gridSpan w:val="4"/>
          </w:tcPr>
          <w:p w14:paraId="38AD4890"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AC58777"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875</w:t>
            </w:r>
          </w:p>
        </w:tc>
      </w:tr>
      <w:tr w:rsidR="004D4663" w:rsidRPr="00070ADE" w14:paraId="5E5C01DA" w14:textId="77777777" w:rsidTr="00B37F6A">
        <w:trPr>
          <w:trHeight w:val="221"/>
        </w:trPr>
        <w:tc>
          <w:tcPr>
            <w:tcW w:w="1527" w:type="dxa"/>
            <w:gridSpan w:val="2"/>
            <w:tcBorders>
              <w:bottom w:val="single" w:sz="12" w:space="0" w:color="auto"/>
            </w:tcBorders>
          </w:tcPr>
          <w:p w14:paraId="67022A13"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7564" w:type="dxa"/>
            <w:gridSpan w:val="12"/>
            <w:tcBorders>
              <w:bottom w:val="single" w:sz="12" w:space="0" w:color="auto"/>
            </w:tcBorders>
          </w:tcPr>
          <w:p w14:paraId="5914FA5C"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bottom w:val="single" w:sz="12" w:space="0" w:color="auto"/>
            </w:tcBorders>
          </w:tcPr>
          <w:p w14:paraId="14D58500"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4367</w:t>
            </w:r>
          </w:p>
        </w:tc>
      </w:tr>
    </w:tbl>
    <w:p w14:paraId="0ABFF286"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(10703).</w:t>
      </w:r>
    </w:p>
    <w:p w14:paraId="00C7A87E"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FD566C" w14:textId="77777777" w:rsidR="008B714A" w:rsidRPr="00C94B78" w:rsidRDefault="008B714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конце января 1944 года на Горохо</w:t>
      </w:r>
      <w:r w:rsidRPr="00C94B78">
        <w:rPr>
          <w:rFonts w:ascii="Times New Roman" w:hAnsi="Times New Roman"/>
          <w:color w:val="0070C0"/>
          <w:sz w:val="16"/>
          <w:szCs w:val="16"/>
        </w:rPr>
        <w:softHyphen/>
        <w:t>вецком полигоне проходили испытания танка КВ-85, на который ЦАКБ установило пушку С-34 (в документах эта машина иногда называлась ИС-100). По их результатам отмечалось: «100-мм самоходная и танковая пушка С-34 артиллерийские полигонные испытания стрельбой в объеме 638 выстрелов и пробегом в объеме 160 км выдержала и может быть рекомендована для принятия на вооружение танков и самоходных артиллерийских установок. Испытания С-34 показали, что габариты башни танка КВ с расширенным погоном допускают установку в ней 100-мм пушки и размещение трех человек расчета». Конструкцию С-34 доработали и изготовили еще две пушки - одну для установки в ИС, вторую - в СУ-85.</w:t>
      </w:r>
    </w:p>
    <w:p w14:paraId="3AE95563" w14:textId="77777777" w:rsidR="008B714A" w:rsidRPr="00C94B78" w:rsidRDefault="008B714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20 февраля 1944 года заводу №100 было необходимо спроектировать и изготовить танк ИС с пушкой С-34, а к 25 февраля представить его на полигонные испытания (25001).</w:t>
      </w:r>
    </w:p>
    <w:p w14:paraId="247D7CE0" w14:textId="77777777" w:rsidR="008B714A" w:rsidRPr="00C94B78" w:rsidRDefault="008B714A" w:rsidP="00B56F90">
      <w:pPr>
        <w:spacing w:after="0" w:line="240" w:lineRule="auto"/>
        <w:jc w:val="both"/>
        <w:rPr>
          <w:rFonts w:ascii="Times New Roman" w:hAnsi="Times New Roman"/>
          <w:color w:val="0070C0"/>
          <w:sz w:val="16"/>
          <w:szCs w:val="16"/>
        </w:rPr>
      </w:pPr>
    </w:p>
    <w:p w14:paraId="0697AAE4"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января 1944 г. танк "Объект 244" прошел контрольный про</w:t>
      </w:r>
      <w:r w:rsidRPr="00070ADE">
        <w:rPr>
          <w:rFonts w:ascii="Times New Roman" w:hAnsi="Times New Roman"/>
          <w:color w:val="000000" w:themeColor="text1"/>
          <w:sz w:val="16"/>
          <w:szCs w:val="16"/>
        </w:rPr>
        <w:softHyphen/>
        <w:t>бег и заводской отстрел новой пушки девятью выстрелами. Максималь</w:t>
      </w:r>
      <w:r w:rsidRPr="00070ADE">
        <w:rPr>
          <w:rFonts w:ascii="Times New Roman" w:hAnsi="Times New Roman"/>
          <w:color w:val="000000" w:themeColor="text1"/>
          <w:sz w:val="16"/>
          <w:szCs w:val="16"/>
        </w:rPr>
        <w:softHyphen/>
        <w:t>ный угол возвышения пушки составлял 15° вместо требуемых 25°. Во время этих испытаний вышел из строя левый бортовой редуктор (пробег танка к тому времени составлял 5500 км). Испытания машины бы</w:t>
      </w:r>
      <w:r w:rsidRPr="00070ADE">
        <w:rPr>
          <w:rFonts w:ascii="Times New Roman" w:hAnsi="Times New Roman"/>
          <w:color w:val="000000" w:themeColor="text1"/>
          <w:sz w:val="16"/>
          <w:szCs w:val="16"/>
        </w:rPr>
        <w:softHyphen/>
        <w:t>ли продолжены во второй половине марта 1944 г. (10703).</w:t>
      </w:r>
    </w:p>
    <w:p w14:paraId="03839A64" w14:textId="77777777" w:rsidR="000D2529" w:rsidRPr="00070ADE" w:rsidRDefault="000D252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3A7BCA" w14:textId="77777777" w:rsidR="00986ACA" w:rsidRPr="00070ADE" w:rsidRDefault="00986ACA" w:rsidP="00B56F90">
      <w:pPr>
        <w:shd w:val="clear" w:color="auto" w:fill="FFFFFF"/>
        <w:spacing w:after="0" w:line="240" w:lineRule="auto"/>
        <w:jc w:val="both"/>
        <w:rPr>
          <w:rStyle w:val="631"/>
          <w:rFonts w:ascii="Times New Roman" w:hAnsi="Times New Roman" w:cs="Times New Roman"/>
          <w:color w:val="000000" w:themeColor="text1"/>
          <w:sz w:val="16"/>
          <w:szCs w:val="16"/>
        </w:rPr>
      </w:pPr>
      <w:r w:rsidRPr="00070ADE">
        <w:rPr>
          <w:rStyle w:val="631"/>
          <w:rFonts w:ascii="Times New Roman" w:hAnsi="Times New Roman" w:cs="Times New Roman"/>
          <w:color w:val="000000" w:themeColor="text1"/>
          <w:sz w:val="16"/>
          <w:szCs w:val="16"/>
        </w:rPr>
        <w:t>В конце января 1944 г. завод №8 построил первое орудие Д5-С- 85А для Су-85. Для Д5-С-85А от зенитного орудия 52-К были взяты затвор и ствол, что существенно</w:t>
      </w:r>
      <w:r w:rsidRPr="00070ADE">
        <w:rPr>
          <w:rStyle w:val="641"/>
          <w:rFonts w:ascii="Times New Roman" w:hAnsi="Times New Roman" w:cs="Times New Roman"/>
          <w:color w:val="000000" w:themeColor="text1"/>
          <w:sz w:val="16"/>
          <w:szCs w:val="16"/>
        </w:rPr>
        <w:t xml:space="preserve"> упрощало выпуск самоходных артиллерий</w:t>
      </w:r>
      <w:r w:rsidRPr="00070ADE">
        <w:rPr>
          <w:rStyle w:val="641"/>
          <w:rFonts w:ascii="Times New Roman" w:hAnsi="Times New Roman" w:cs="Times New Roman"/>
          <w:color w:val="000000" w:themeColor="text1"/>
          <w:sz w:val="16"/>
          <w:szCs w:val="16"/>
        </w:rPr>
        <w:softHyphen/>
      </w:r>
      <w:r w:rsidRPr="00070ADE">
        <w:rPr>
          <w:rStyle w:val="631"/>
          <w:rFonts w:ascii="Times New Roman" w:hAnsi="Times New Roman" w:cs="Times New Roman"/>
          <w:color w:val="000000" w:themeColor="text1"/>
          <w:sz w:val="16"/>
          <w:szCs w:val="16"/>
        </w:rPr>
        <w:t>ских систем. В связи с использованием иного ствола и затвора, Д5-С-85А получила также и ограждение, отличное от конструкции Д5-С- 85. Внешне эти орудия на самоходках отли</w:t>
      </w:r>
      <w:r w:rsidRPr="00070ADE">
        <w:rPr>
          <w:rStyle w:val="631"/>
          <w:rFonts w:ascii="Times New Roman" w:hAnsi="Times New Roman" w:cs="Times New Roman"/>
          <w:color w:val="000000" w:themeColor="text1"/>
          <w:sz w:val="16"/>
          <w:szCs w:val="16"/>
        </w:rPr>
        <w:softHyphen/>
        <w:t>чаются конусностью стволов. Старший воен</w:t>
      </w:r>
      <w:r w:rsidRPr="00070ADE">
        <w:rPr>
          <w:rStyle w:val="631"/>
          <w:rFonts w:ascii="Times New Roman" w:hAnsi="Times New Roman" w:cs="Times New Roman"/>
          <w:color w:val="000000" w:themeColor="text1"/>
          <w:sz w:val="16"/>
          <w:szCs w:val="16"/>
        </w:rPr>
        <w:softHyphen/>
        <w:t>ный представитель на УЗТМ Г.З. Зухер был против такого решения, поскольку оно порождало проблемы с ЗИП и деталями. Тем не менее, 28 января Д5-С-85А прошла успеш</w:t>
      </w:r>
      <w:r w:rsidRPr="00070ADE">
        <w:rPr>
          <w:rStyle w:val="631"/>
          <w:rFonts w:ascii="Times New Roman" w:hAnsi="Times New Roman" w:cs="Times New Roman"/>
          <w:color w:val="000000" w:themeColor="text1"/>
          <w:sz w:val="16"/>
          <w:szCs w:val="16"/>
        </w:rPr>
        <w:softHyphen/>
        <w:t>ные испытания в СУ-85, после чего приняли решение о запуске орудия в серийное про</w:t>
      </w:r>
      <w:r w:rsidRPr="00070ADE">
        <w:rPr>
          <w:rStyle w:val="631"/>
          <w:rFonts w:ascii="Times New Roman" w:hAnsi="Times New Roman" w:cs="Times New Roman"/>
          <w:color w:val="000000" w:themeColor="text1"/>
          <w:sz w:val="16"/>
          <w:szCs w:val="16"/>
        </w:rPr>
        <w:softHyphen/>
        <w:t>изводство. Первые орудия данного типа завод №8 сдал в феврале 1944 года. За этот месяц завод №9 сдал 139 пушек Д5-С-85, а завод №8 - 42, часть из которых была Д5-С- 85А. Самоходные установки с системами Д5- С-85А получили название СУ-85А, что также отражалось на серийном номере машины. Если машина оснащалась Д5-С-85А, то в конце серийного номера выбивалась буква «А» (19889).</w:t>
      </w:r>
    </w:p>
    <w:p w14:paraId="2AABDA36" w14:textId="77777777" w:rsidR="00986ACA" w:rsidRPr="00070ADE" w:rsidRDefault="00986ACA" w:rsidP="00B56F90">
      <w:pPr>
        <w:spacing w:after="0" w:line="240" w:lineRule="auto"/>
        <w:jc w:val="both"/>
        <w:rPr>
          <w:rFonts w:ascii="Times New Roman" w:hAnsi="Times New Roman"/>
          <w:color w:val="000000" w:themeColor="text1"/>
          <w:sz w:val="16"/>
          <w:szCs w:val="16"/>
        </w:rPr>
      </w:pPr>
    </w:p>
    <w:p w14:paraId="2CA3B17F" w14:textId="3CCD8BA8" w:rsidR="00EB5F81" w:rsidRPr="00070ADE" w:rsidRDefault="00EB5F81"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70ADE">
        <w:rPr>
          <w:rFonts w:ascii="Times New Roman" w:hAnsi="Times New Roman"/>
          <w:i/>
          <w:iCs/>
          <w:color w:val="000000" w:themeColor="text1"/>
          <w:sz w:val="16"/>
          <w:szCs w:val="16"/>
        </w:rPr>
        <w:t>За рцбежом:</w:t>
      </w:r>
    </w:p>
    <w:p w14:paraId="34737FCD" w14:textId="77777777" w:rsidR="00EB5F81" w:rsidRPr="00070ADE" w:rsidRDefault="00EB5F81"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DFAB829"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января 1944-го возобновились массированные налеты на Лондон — началась операция «Штайнбок». Для нее была собрана группировка в составе 550 самолетов из IX авиакорпуса, в т.ч. тридцать пять Не 177А из эскадры KG 100 «Викинг» и более пятидесяти Do 217K/M из KG 2. Командовал операцией генерал Пельц.</w:t>
      </w:r>
    </w:p>
    <w:p w14:paraId="2677CAD2"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в ходе операции «Штайнбок» было проведено пять массированных налетов и несколько малых, в них было сбито 129 немецких самолетов, большинство из которых были старые Не 111Н. Это была последняя крупномасштабная бомбардировка английских городов. Дальше немцы это делали только внезапными одиночными рейдами или с использованием самолетов-снарядов (22939).</w:t>
      </w:r>
    </w:p>
    <w:p w14:paraId="25BC25DE" w14:textId="77777777" w:rsidR="00EB5F81" w:rsidRPr="00070ADE" w:rsidRDefault="00EB5F81"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6AC697B8" w14:textId="1EDD2AB5"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FB760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0DA4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с целью проверки результатов НИИ-48 и конкретизации некоторых параметров бронирования Ил-2 по приказу Алексеева в действующую армию (в 17-ю ВА) были командированы инженер-майор Фридман от 5 отдела УЗСиМ ВВС и старший инженер А-Л.Немчинский от НИИ-48 (7442).</w:t>
      </w:r>
    </w:p>
    <w:p w14:paraId="3B777A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97E5C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Пока выездная бригада ВВС и НИИ-48 работала в частях, схема бронирования двухместного Ил-1 АМ-42, предъявленная на утверждение в НИИ ВВС КА в марте 1944 г., была отклонена военными специалистами, несмотря на то, что общий вес брони достигал 1236 кг. ** Уязвимые места - задняя перегородка, моторная часть -снизу-сбоков. Их необходимо усилить путем перераспределения брони", -требовалось в заключении НИИ ВВС от 23.03.44 г (7442).</w:t>
      </w:r>
    </w:p>
    <w:p w14:paraId="6B5792D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A8D9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января 1944 г. все авиазаводы НКАП выпускали Ил-2 толь</w:t>
      </w:r>
      <w:r w:rsidRPr="00070ADE">
        <w:rPr>
          <w:rFonts w:ascii="Times New Roman" w:hAnsi="Times New Roman"/>
          <w:color w:val="000000" w:themeColor="text1"/>
          <w:sz w:val="16"/>
          <w:szCs w:val="16"/>
        </w:rPr>
        <w:softHyphen/>
        <w:t>ко с пушками ВЯ-23.</w:t>
      </w:r>
    </w:p>
    <w:p w14:paraId="7DA9578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C3DE28"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январь 1944 г.</w:t>
      </w:r>
    </w:p>
    <w:p w14:paraId="072E6C17"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доклада директора завода № 18 о работе завода в 1943 году</w:t>
      </w:r>
    </w:p>
    <w:p w14:paraId="1AF573BE"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январь 1944 г.</w:t>
      </w:r>
    </w:p>
    <w:p w14:paraId="5565FB24"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Сов.секретно</w:t>
      </w:r>
    </w:p>
    <w:p w14:paraId="446079FB"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...Непрерывно участвуя в социалистическом соревновании, наш завод в течение всего 1943 года, за исключением марта месяца, удерживал за собой переходящее Красное Знамя Государственного Комитета Обороны, все время перевыполнял план и сдавал в особый фонд Верховного Главного Командования Красной Армии грозные</w:t>
      </w:r>
    </w:p>
    <w:p w14:paraId="44346D39"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для врага боевые самолеты - штурмовики.</w:t>
      </w:r>
    </w:p>
    <w:p w14:paraId="2A4EF1C9"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Высоко подняв переходящее Красное знамя Государственного Комитета Обороны, воодушевленный сокрушительным наступательным порывом и одержанными победами нашей Героической Красной Армии на многих фронтах отечественной войны, коллектив нашего завода с упорством, с настойчивостью в преодолении возникающих на пути трудностей, добивался досрочного выполнения годового государственного производственного задания.</w:t>
      </w:r>
    </w:p>
    <w:p w14:paraId="319E69D6"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Коллектив нашего завода 14 декабря с радостью рапортовал Партии, Правительству о выполнении годовой программы по сдаче самолетов и счастливым с этого времени с тем же энтузиазмом работал над продукцией в фонд Верховного Главного Командования Красной Армии.</w:t>
      </w:r>
    </w:p>
    <w:p w14:paraId="254F0AF7"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конца 1943 года завод сдал в особый фонд Верховного Главного Командования Красной Армии 223 боевых самолета, 22 групповых комплекта, на 68364 тыс. рублей запасных частей россыпью и другой продукции оборонного значения.</w:t>
      </w:r>
    </w:p>
    <w:p w14:paraId="64645F80"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Общая сумма товарной продукции в неизменных ценах сдаваемой заводом за год в особый фонд Верховного Главного Командования Красной Армии составляет 79027 тысячи рублей.</w:t>
      </w:r>
    </w:p>
    <w:p w14:paraId="79B08D0F"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Можно с уверенностью сказать, что сделанный заводом вклад в особый фонд Верховного Главного Командования Красной Армии был бы несравненно больше, если бы работа его протекала в менее трудных условиях...</w:t>
      </w:r>
    </w:p>
    <w:p w14:paraId="0520774F"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Установленное заводу планом на 1943 год задание по выпуску основной продукции, в сравнении с фактическим выполнением за 1942 год, представляло собой достаточно ответственную и сложную задачу.</w:t>
      </w:r>
    </w:p>
    <w:p w14:paraId="498DB2BE"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Если в 1942 году завод фактически сдал 3837 самолетов, то в 1943 году по утвержденному плану он должен был сдать 4551 самолет, или на 18,3% больше фактического выполнения за 1942 год.</w:t>
      </w:r>
    </w:p>
    <w:p w14:paraId="5C0F00D5"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задание приобретает еще большую серьезность, если рассматривать его в сочетании с другими основными плановыми показателями, в частности со среднесписочным числом рабочих.</w:t>
      </w:r>
    </w:p>
    <w:p w14:paraId="469FD51A"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1942 году завод был в состоянии выпустить 3837 самолетов при фактическом наличии среднесписочного числа рабочих в 17486 человек; в 1943 году на выполнение увеличенного на 18,3% производственного задания по плану заводу дано было почти то же самое среднесписочное число рабочих (17700 человек). А практически заводу пришлось выполнять это производственное задание с числом рабочих значительно ниже планового. К тому же значительная часть фактического наличия рабочих, укомплектованная, главным образом, за счет мобилизации местного сельского и городского населения, была малоквалифицированной и без достаточных производственных навыков.</w:t>
      </w:r>
    </w:p>
    <w:p w14:paraId="7CBF2B98"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Следовательно, из-за недостатка рабочей силы против плана и низкой квалификации ее, с одной стороны, недостаточности и перебоев в снабжении материалами, с другой, - действительные условия работы завода в 1943 году были значительно тяжелее, чем предусматривалось планом.</w:t>
      </w:r>
    </w:p>
    <w:p w14:paraId="4CF86EAA"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несмотря на трудности, широко пользуясь в своей напряженной работе социалистическими методами труда и благодаря внедрению в производство ряда организационных и технических мероприятий, коллектив завода досрочно справился с выполнением производственного задания по годовому плану и параллельно этому выполнил ряд ответственных заданий сверх плана, в частности изготовил несколько опытных машин.</w:t>
      </w:r>
    </w:p>
    <w:p w14:paraId="71BA40C1"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Насколько успешно справился завод с выполнением годового производственного задания по выпуску основной продукции оборонного значения, можно судить по следующим показателям.</w:t>
      </w:r>
    </w:p>
    <w:p w14:paraId="11531384"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ab/>
        <w:t>Отчет за</w:t>
      </w:r>
      <w:r w:rsidRPr="00070ADE">
        <w:rPr>
          <w:rFonts w:ascii="Times New Roman" w:hAnsi="Times New Roman"/>
          <w:color w:val="000000" w:themeColor="text1"/>
          <w:sz w:val="16"/>
          <w:szCs w:val="16"/>
        </w:rPr>
        <w:tab/>
        <w:t>План</w:t>
      </w:r>
      <w:r w:rsidRPr="00070ADE">
        <w:rPr>
          <w:rFonts w:ascii="Times New Roman" w:hAnsi="Times New Roman"/>
          <w:color w:val="000000" w:themeColor="text1"/>
          <w:sz w:val="16"/>
          <w:szCs w:val="16"/>
        </w:rPr>
        <w:tab/>
        <w:t>Отчет за</w:t>
      </w:r>
      <w:r w:rsidRPr="00070ADE">
        <w:rPr>
          <w:rFonts w:ascii="Times New Roman" w:hAnsi="Times New Roman"/>
          <w:color w:val="000000" w:themeColor="text1"/>
          <w:sz w:val="16"/>
          <w:szCs w:val="16"/>
        </w:rPr>
        <w:tab/>
        <w:t>1943 г. в %%</w:t>
      </w:r>
      <w:r w:rsidRPr="00070ADE">
        <w:rPr>
          <w:rFonts w:ascii="Times New Roman" w:hAnsi="Times New Roman"/>
          <w:color w:val="000000" w:themeColor="text1"/>
          <w:sz w:val="16"/>
          <w:szCs w:val="16"/>
        </w:rPr>
        <w:tab/>
      </w:r>
    </w:p>
    <w:p w14:paraId="3B207BE8"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ab/>
        <w:t>1942 г.</w:t>
      </w:r>
      <w:r w:rsidRPr="00070ADE">
        <w:rPr>
          <w:rFonts w:ascii="Times New Roman" w:hAnsi="Times New Roman"/>
          <w:color w:val="000000" w:themeColor="text1"/>
          <w:sz w:val="16"/>
          <w:szCs w:val="16"/>
        </w:rPr>
        <w:tab/>
        <w:t>1943 г.</w:t>
      </w:r>
      <w:r w:rsidRPr="00070ADE">
        <w:rPr>
          <w:rFonts w:ascii="Times New Roman" w:hAnsi="Times New Roman"/>
          <w:color w:val="000000" w:themeColor="text1"/>
          <w:sz w:val="16"/>
          <w:szCs w:val="16"/>
        </w:rPr>
        <w:tab/>
        <w:t>1943 г.</w:t>
      </w:r>
      <w:r w:rsidRPr="00070ADE">
        <w:rPr>
          <w:rFonts w:ascii="Times New Roman" w:hAnsi="Times New Roman"/>
          <w:color w:val="000000" w:themeColor="text1"/>
          <w:sz w:val="16"/>
          <w:szCs w:val="16"/>
        </w:rPr>
        <w:tab/>
        <w:t>к плану</w:t>
      </w:r>
      <w:r w:rsidRPr="00070ADE">
        <w:rPr>
          <w:rFonts w:ascii="Times New Roman" w:hAnsi="Times New Roman"/>
          <w:color w:val="000000" w:themeColor="text1"/>
          <w:sz w:val="16"/>
          <w:szCs w:val="16"/>
        </w:rPr>
        <w:tab/>
        <w:t>к 1942 г.</w:t>
      </w:r>
    </w:p>
    <w:p w14:paraId="683E3BA9" w14:textId="044975D6"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Сдача самолетов Ил-2 к бою готовых (в шт.) в т.ч. учебных (шт.)</w:t>
      </w:r>
      <w:r w:rsidRPr="00070ADE">
        <w:rPr>
          <w:rFonts w:ascii="Times New Roman" w:hAnsi="Times New Roman"/>
          <w:color w:val="000000" w:themeColor="text1"/>
          <w:sz w:val="16"/>
          <w:szCs w:val="16"/>
        </w:rPr>
        <w:tab/>
        <w:t>3837</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153</w:t>
      </w:r>
      <w:r w:rsidRPr="00070ADE">
        <w:rPr>
          <w:rFonts w:ascii="Times New Roman" w:hAnsi="Times New Roman"/>
          <w:color w:val="000000" w:themeColor="text1"/>
          <w:sz w:val="16"/>
          <w:szCs w:val="16"/>
        </w:rPr>
        <w:tab/>
        <w:t>4541</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290</w:t>
      </w:r>
      <w:r w:rsidRPr="00070ADE">
        <w:rPr>
          <w:rFonts w:ascii="Times New Roman" w:hAnsi="Times New Roman"/>
          <w:color w:val="000000" w:themeColor="text1"/>
          <w:sz w:val="16"/>
          <w:szCs w:val="16"/>
        </w:rPr>
        <w:tab/>
        <w:t>4764</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406</w:t>
      </w:r>
      <w:r w:rsidRPr="00070ADE">
        <w:rPr>
          <w:rFonts w:ascii="Times New Roman" w:hAnsi="Times New Roman"/>
          <w:color w:val="000000" w:themeColor="text1"/>
          <w:sz w:val="16"/>
          <w:szCs w:val="16"/>
        </w:rPr>
        <w:tab/>
        <w:t>104,9</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140</w:t>
      </w:r>
      <w:r w:rsidRPr="00070ADE">
        <w:rPr>
          <w:rFonts w:ascii="Times New Roman" w:hAnsi="Times New Roman"/>
          <w:color w:val="000000" w:themeColor="text1"/>
          <w:sz w:val="16"/>
          <w:szCs w:val="16"/>
        </w:rPr>
        <w:tab/>
        <w:t>124,2</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266</w:t>
      </w:r>
    </w:p>
    <w:p w14:paraId="3683AE11"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Сдача групповых комп- лектов к самолету Ил-2 (в комплектах)</w:t>
      </w:r>
      <w:r w:rsidRPr="00070ADE">
        <w:rPr>
          <w:rFonts w:ascii="Times New Roman" w:hAnsi="Times New Roman"/>
          <w:color w:val="000000" w:themeColor="text1"/>
          <w:sz w:val="16"/>
          <w:szCs w:val="16"/>
        </w:rPr>
        <w:tab/>
        <w:t>384</w:t>
      </w:r>
      <w:r w:rsidRPr="00070ADE">
        <w:rPr>
          <w:rFonts w:ascii="Times New Roman" w:hAnsi="Times New Roman"/>
          <w:color w:val="000000" w:themeColor="text1"/>
          <w:sz w:val="16"/>
          <w:szCs w:val="16"/>
        </w:rPr>
        <w:tab/>
        <w:t>454</w:t>
      </w:r>
      <w:r w:rsidRPr="00070ADE">
        <w:rPr>
          <w:rFonts w:ascii="Times New Roman" w:hAnsi="Times New Roman"/>
          <w:color w:val="000000" w:themeColor="text1"/>
          <w:sz w:val="16"/>
          <w:szCs w:val="16"/>
        </w:rPr>
        <w:tab/>
        <w:t>476</w:t>
      </w:r>
      <w:r w:rsidRPr="00070ADE">
        <w:rPr>
          <w:rFonts w:ascii="Times New Roman" w:hAnsi="Times New Roman"/>
          <w:color w:val="000000" w:themeColor="text1"/>
          <w:sz w:val="16"/>
          <w:szCs w:val="16"/>
        </w:rPr>
        <w:tab/>
        <w:t>104,8</w:t>
      </w:r>
      <w:r w:rsidRPr="00070ADE">
        <w:rPr>
          <w:rFonts w:ascii="Times New Roman" w:hAnsi="Times New Roman"/>
          <w:color w:val="000000" w:themeColor="text1"/>
          <w:sz w:val="16"/>
          <w:szCs w:val="16"/>
        </w:rPr>
        <w:tab/>
        <w:t>124</w:t>
      </w:r>
    </w:p>
    <w:p w14:paraId="74B99CB0"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Сдача запасных частей россыпью (в тыс. руб.)</w:t>
      </w:r>
      <w:r w:rsidRPr="00070ADE">
        <w:rPr>
          <w:rFonts w:ascii="Times New Roman" w:hAnsi="Times New Roman"/>
          <w:color w:val="000000" w:themeColor="text1"/>
          <w:sz w:val="16"/>
          <w:szCs w:val="16"/>
        </w:rPr>
        <w:tab/>
        <w:t>16746</w:t>
      </w:r>
      <w:r w:rsidRPr="00070ADE">
        <w:rPr>
          <w:rFonts w:ascii="Times New Roman" w:hAnsi="Times New Roman"/>
          <w:color w:val="000000" w:themeColor="text1"/>
          <w:sz w:val="16"/>
          <w:szCs w:val="16"/>
        </w:rPr>
        <w:tab/>
        <w:t>13300</w:t>
      </w:r>
      <w:r w:rsidRPr="00070ADE">
        <w:rPr>
          <w:rFonts w:ascii="Times New Roman" w:hAnsi="Times New Roman"/>
          <w:color w:val="000000" w:themeColor="text1"/>
          <w:sz w:val="16"/>
          <w:szCs w:val="16"/>
        </w:rPr>
        <w:tab/>
        <w:t>14047</w:t>
      </w:r>
      <w:r w:rsidRPr="00070ADE">
        <w:rPr>
          <w:rFonts w:ascii="Times New Roman" w:hAnsi="Times New Roman"/>
          <w:color w:val="000000" w:themeColor="text1"/>
          <w:sz w:val="16"/>
          <w:szCs w:val="16"/>
        </w:rPr>
        <w:tab/>
        <w:t>105,6</w:t>
      </w:r>
      <w:r w:rsidRPr="00070ADE">
        <w:rPr>
          <w:rFonts w:ascii="Times New Roman" w:hAnsi="Times New Roman"/>
          <w:color w:val="000000" w:themeColor="text1"/>
          <w:sz w:val="16"/>
          <w:szCs w:val="16"/>
        </w:rPr>
        <w:tab/>
        <w:t>83,8</w:t>
      </w:r>
    </w:p>
    <w:p w14:paraId="0FBCF5F7"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Прочая оборонная про- дукция и работы в войс- ковых частях (в тыс.руб.)</w:t>
      </w:r>
      <w:r w:rsidRPr="00070ADE">
        <w:rPr>
          <w:rFonts w:ascii="Times New Roman" w:hAnsi="Times New Roman"/>
          <w:color w:val="000000" w:themeColor="text1"/>
          <w:sz w:val="16"/>
          <w:szCs w:val="16"/>
        </w:rPr>
        <w:tab/>
        <w:t>9774</w:t>
      </w:r>
      <w:r w:rsidRPr="00070ADE">
        <w:rPr>
          <w:rFonts w:ascii="Times New Roman" w:hAnsi="Times New Roman"/>
          <w:color w:val="000000" w:themeColor="text1"/>
          <w:sz w:val="16"/>
          <w:szCs w:val="16"/>
        </w:rPr>
        <w:tab/>
        <w:t>4000</w:t>
      </w:r>
      <w:r w:rsidRPr="00070ADE">
        <w:rPr>
          <w:rFonts w:ascii="Times New Roman" w:hAnsi="Times New Roman"/>
          <w:color w:val="000000" w:themeColor="text1"/>
          <w:sz w:val="16"/>
          <w:szCs w:val="16"/>
        </w:rPr>
        <w:tab/>
        <w:t>13857</w:t>
      </w:r>
      <w:r w:rsidRPr="00070ADE">
        <w:rPr>
          <w:rFonts w:ascii="Times New Roman" w:hAnsi="Times New Roman"/>
          <w:color w:val="000000" w:themeColor="text1"/>
          <w:sz w:val="16"/>
          <w:szCs w:val="16"/>
        </w:rPr>
        <w:tab/>
        <w:t>346,7</w:t>
      </w:r>
      <w:r w:rsidRPr="00070ADE">
        <w:rPr>
          <w:rFonts w:ascii="Times New Roman" w:hAnsi="Times New Roman"/>
          <w:color w:val="000000" w:themeColor="text1"/>
          <w:sz w:val="16"/>
          <w:szCs w:val="16"/>
        </w:rPr>
        <w:tab/>
        <w:t>141,9</w:t>
      </w:r>
    </w:p>
    <w:p w14:paraId="5F34B91B"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завода</w:t>
      </w:r>
      <w:r w:rsidRPr="00070ADE">
        <w:rPr>
          <w:rFonts w:ascii="Times New Roman" w:hAnsi="Times New Roman"/>
          <w:color w:val="000000" w:themeColor="text1"/>
          <w:sz w:val="16"/>
          <w:szCs w:val="16"/>
        </w:rPr>
        <w:tab/>
        <w:t>Белянский</w:t>
      </w:r>
    </w:p>
    <w:p w14:paraId="04AE1961" w14:textId="77777777" w:rsidR="00EB5F81" w:rsidRPr="00070ADE" w:rsidRDefault="00EB5F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ГАСО. Ф. P-3454. On. 1. Д. 27. Л. 4-6. Подлинник (20767).</w:t>
      </w:r>
    </w:p>
    <w:p w14:paraId="2610462D" w14:textId="77777777" w:rsidR="00EB5F81" w:rsidRPr="00070ADE" w:rsidRDefault="00EB5F81" w:rsidP="00B56F90">
      <w:pPr>
        <w:spacing w:after="0" w:line="240" w:lineRule="auto"/>
        <w:jc w:val="both"/>
        <w:rPr>
          <w:rFonts w:ascii="Times New Roman" w:hAnsi="Times New Roman"/>
          <w:color w:val="000000" w:themeColor="text1"/>
          <w:sz w:val="16"/>
          <w:szCs w:val="16"/>
        </w:rPr>
      </w:pPr>
    </w:p>
    <w:p w14:paraId="109574E3"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Из доклада директора завода № 18 о работе завода в 1943 году</w:t>
      </w:r>
    </w:p>
    <w:p w14:paraId="50B1DB6A"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Сов.секретно</w:t>
      </w:r>
    </w:p>
    <w:p w14:paraId="523B5F21"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...Непрерывно участвуя в социалистическом соревновании, наш завод в течение всего 1943 года, за исключением марта месяца, удерживал за собой переходящее Красное Знамя Государственного Комитета Обороны, все время перевыполнял план и сдавал в особый фонд Верховного Главного Командования Красной Армии грозные для врага боевые самолеты - штурмовики.</w:t>
      </w:r>
    </w:p>
    <w:p w14:paraId="4ABD44DD"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Высоко подняв переходящее Красное знамя Государственного Комитета Обороны, воодушевленный сокрушительным наступательным порывом и одержанными победами нашей Героической Красной Армии на многих фронтах отечественной войны, коллектив нашего завода с упорством, с настойчивостью в преодолении возникающих на пути трудностей, добивался досрочного выполнения годового государственного производственного задания.</w:t>
      </w:r>
    </w:p>
    <w:p w14:paraId="5A079DE3"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Коллектив нашего завода 14 декабря с радостью рапортовал Партии, Правительству о выполнении годовой программы по сдаче самолетов и счастливым с этого времени с тем же энтузиазмом работал над продукцией в фонд Верховного Главного Командования Красной Армии.</w:t>
      </w:r>
    </w:p>
    <w:p w14:paraId="7140F1DE"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конца 1943 года завод сдал в особый фонд Верховного Главного Командования Красной Армии 223 боевых самолета, 22 групповых комплекта, на 68364 тыс. рублей запасных частей россыпью и другой продукции оборонного значения.</w:t>
      </w:r>
    </w:p>
    <w:p w14:paraId="638BBAC5"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Общая сумма товарной продукции в неизменных ценах сдаваемой заводом за год в особый фонд Верховного Главного Командования Красной Армии составляет 79027 тысячи рублей.</w:t>
      </w:r>
    </w:p>
    <w:p w14:paraId="028911C7"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Можно с уверенностью сказать, что сделанный заводом вклад в особый фонд Верховного Главного Командования Красной Армии был бы несравненно больше, если бы работа его протекала в менее трудных условиях...</w:t>
      </w:r>
    </w:p>
    <w:p w14:paraId="5F7BBC95"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Установленное заводу планом на 1943 год задание по выпуску основной продукции, в сравнении с фактическим выполнением за 1942 год, представляло собой достаточно ответственную и сложную задачу.</w:t>
      </w:r>
    </w:p>
    <w:p w14:paraId="28FE904D"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Если в 1942 году завод фактически сдал 3837 самолетов, то в 1943 году по утвержденному плану он должен был сдать 4551 самолет, или на 18,3% больше фактического выполнения за 1942 год.</w:t>
      </w:r>
    </w:p>
    <w:p w14:paraId="48F2A13B"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задание приобретает еще большую серьезность, если рассматривать его в сочетании с другими основными плановыми показателями, в частности со среднесписочным числом рабочих.</w:t>
      </w:r>
    </w:p>
    <w:p w14:paraId="1F20244F"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1942 году завод был в состоянии выпустить 3837 самолетов при фактическом наличии среднесписочного числа рабочих в 17486 человек; в 1943 году на выполнение увеличенного на 18,3% производственного задания по плану заводу дано было почти то же самое среднесписочное число рабочих (17700 человек). А практически заводу пришлось выполнять это производственное задание с числом рабочих значительно ниже планового. К тому же значительная часть фактического наличия рабочих, укомплектованная, главным образом, за счет мобилизации местного сельского и городского населения, была малоквалифицированной и без достаточных производственных навыков.</w:t>
      </w:r>
    </w:p>
    <w:p w14:paraId="2F1DB64E"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Следовательно, из-за недостатка рабочей силы против плана и низкой квалификации ее, с одной стороны, недостаточности и перебоев в снабжении материалами, с другой, - действительные условия работы завода в 1943 году были значительно тяжелее, чем предусматривалось планом.</w:t>
      </w:r>
    </w:p>
    <w:p w14:paraId="21E78C61"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несмотря на трудности, широко пользуясь в своей напряженной работе социалистическими методами труда и благодаря внедрению в производство ряда организационных и технических мероприятий, коллектив завода досрочно справился с выполнением производственного задания по годовому плану и параллельно этому выполнил ряд ответственных заданий сверх плана, в частности изготовил несколько опытных машин.</w:t>
      </w:r>
    </w:p>
    <w:p w14:paraId="4B012800"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Насколько успешно справился завод с выполнением годового производственного задания по выпуску основной продукции оборонного значения, можно судить по следующим показателям.</w:t>
      </w:r>
    </w:p>
    <w:tbl>
      <w:tblPr>
        <w:tblStyle w:val="afff5"/>
        <w:tblW w:w="0" w:type="auto"/>
        <w:tblInd w:w="150" w:type="dxa"/>
        <w:tblLook w:val="04A0" w:firstRow="1" w:lastRow="0" w:firstColumn="1" w:lastColumn="0" w:noHBand="0" w:noVBand="1"/>
      </w:tblPr>
      <w:tblGrid>
        <w:gridCol w:w="1455"/>
        <w:gridCol w:w="913"/>
        <w:gridCol w:w="998"/>
        <w:gridCol w:w="987"/>
        <w:gridCol w:w="861"/>
        <w:gridCol w:w="981"/>
      </w:tblGrid>
      <w:tr w:rsidR="00715786" w:rsidRPr="00070ADE" w14:paraId="52A579BB" w14:textId="77777777" w:rsidTr="004C5D62">
        <w:tc>
          <w:tcPr>
            <w:tcW w:w="1455" w:type="dxa"/>
          </w:tcPr>
          <w:p w14:paraId="06685BC6" w14:textId="77777777" w:rsidR="00715786" w:rsidRPr="00070ADE" w:rsidRDefault="00715786" w:rsidP="00B56F90">
            <w:pPr>
              <w:spacing w:after="0" w:line="240" w:lineRule="auto"/>
              <w:jc w:val="both"/>
              <w:rPr>
                <w:rFonts w:ascii="Times New Roman" w:hAnsi="Times New Roman"/>
                <w:color w:val="000000" w:themeColor="text1"/>
                <w:sz w:val="16"/>
                <w:szCs w:val="16"/>
              </w:rPr>
            </w:pPr>
          </w:p>
        </w:tc>
        <w:tc>
          <w:tcPr>
            <w:tcW w:w="913" w:type="dxa"/>
          </w:tcPr>
          <w:p w14:paraId="6C957140"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Отчет за</w:t>
            </w:r>
          </w:p>
        </w:tc>
        <w:tc>
          <w:tcPr>
            <w:tcW w:w="998" w:type="dxa"/>
          </w:tcPr>
          <w:p w14:paraId="3C26988A"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w:t>
            </w:r>
          </w:p>
        </w:tc>
        <w:tc>
          <w:tcPr>
            <w:tcW w:w="987" w:type="dxa"/>
          </w:tcPr>
          <w:p w14:paraId="2FB6BC60"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Отчет за</w:t>
            </w:r>
          </w:p>
        </w:tc>
        <w:tc>
          <w:tcPr>
            <w:tcW w:w="861" w:type="dxa"/>
          </w:tcPr>
          <w:p w14:paraId="10658B57"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 г. в %%</w:t>
            </w:r>
          </w:p>
        </w:tc>
        <w:tc>
          <w:tcPr>
            <w:tcW w:w="981" w:type="dxa"/>
          </w:tcPr>
          <w:p w14:paraId="229F41A1" w14:textId="77777777" w:rsidR="00715786" w:rsidRPr="00070ADE" w:rsidRDefault="00715786" w:rsidP="00B56F90">
            <w:pPr>
              <w:spacing w:after="0" w:line="240" w:lineRule="auto"/>
              <w:jc w:val="both"/>
              <w:rPr>
                <w:rFonts w:ascii="Times New Roman" w:hAnsi="Times New Roman"/>
                <w:color w:val="000000" w:themeColor="text1"/>
                <w:sz w:val="16"/>
                <w:szCs w:val="16"/>
              </w:rPr>
            </w:pPr>
          </w:p>
        </w:tc>
      </w:tr>
      <w:tr w:rsidR="00715786" w:rsidRPr="00070ADE" w14:paraId="080B929F" w14:textId="77777777" w:rsidTr="004C5D62">
        <w:tc>
          <w:tcPr>
            <w:tcW w:w="1455" w:type="dxa"/>
          </w:tcPr>
          <w:p w14:paraId="313BD646" w14:textId="77777777" w:rsidR="00715786" w:rsidRPr="00070ADE" w:rsidRDefault="00715786" w:rsidP="00B56F90">
            <w:pPr>
              <w:spacing w:after="0" w:line="240" w:lineRule="auto"/>
              <w:jc w:val="both"/>
              <w:rPr>
                <w:rFonts w:ascii="Times New Roman" w:hAnsi="Times New Roman"/>
                <w:color w:val="000000" w:themeColor="text1"/>
                <w:sz w:val="16"/>
                <w:szCs w:val="16"/>
              </w:rPr>
            </w:pPr>
          </w:p>
        </w:tc>
        <w:tc>
          <w:tcPr>
            <w:tcW w:w="913" w:type="dxa"/>
          </w:tcPr>
          <w:p w14:paraId="5F97FF03"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1942 г.</w:t>
            </w:r>
          </w:p>
        </w:tc>
        <w:tc>
          <w:tcPr>
            <w:tcW w:w="998" w:type="dxa"/>
          </w:tcPr>
          <w:p w14:paraId="651F1025"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 г.</w:t>
            </w:r>
          </w:p>
        </w:tc>
        <w:tc>
          <w:tcPr>
            <w:tcW w:w="987" w:type="dxa"/>
          </w:tcPr>
          <w:p w14:paraId="73BB5785"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 г.</w:t>
            </w:r>
          </w:p>
        </w:tc>
        <w:tc>
          <w:tcPr>
            <w:tcW w:w="861" w:type="dxa"/>
          </w:tcPr>
          <w:p w14:paraId="751981B9"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плану</w:t>
            </w:r>
          </w:p>
        </w:tc>
        <w:tc>
          <w:tcPr>
            <w:tcW w:w="981" w:type="dxa"/>
          </w:tcPr>
          <w:p w14:paraId="6E929283"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1942 г.</w:t>
            </w:r>
          </w:p>
        </w:tc>
      </w:tr>
      <w:tr w:rsidR="00715786" w:rsidRPr="00070ADE" w14:paraId="7BEAB40C" w14:textId="77777777" w:rsidTr="004C5D62">
        <w:tc>
          <w:tcPr>
            <w:tcW w:w="1455" w:type="dxa"/>
          </w:tcPr>
          <w:p w14:paraId="3F0487F2"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Сдача самолетов Ил-2 к бою готовых (в шт.) в т.ч. учебных (шт.)</w:t>
            </w:r>
          </w:p>
        </w:tc>
        <w:tc>
          <w:tcPr>
            <w:tcW w:w="913" w:type="dxa"/>
          </w:tcPr>
          <w:p w14:paraId="2BE032DF" w14:textId="047C3A52"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3837</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153</w:t>
            </w:r>
          </w:p>
        </w:tc>
        <w:tc>
          <w:tcPr>
            <w:tcW w:w="998" w:type="dxa"/>
          </w:tcPr>
          <w:p w14:paraId="530C5453" w14:textId="2AAFD9E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4541</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290</w:t>
            </w:r>
          </w:p>
        </w:tc>
        <w:tc>
          <w:tcPr>
            <w:tcW w:w="987" w:type="dxa"/>
          </w:tcPr>
          <w:p w14:paraId="1B0BE0A7" w14:textId="43E5B0D5"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4764</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406</w:t>
            </w:r>
          </w:p>
        </w:tc>
        <w:tc>
          <w:tcPr>
            <w:tcW w:w="861" w:type="dxa"/>
          </w:tcPr>
          <w:p w14:paraId="31B61ABF" w14:textId="50FAE13B"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104,9</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140</w:t>
            </w:r>
          </w:p>
        </w:tc>
        <w:tc>
          <w:tcPr>
            <w:tcW w:w="981" w:type="dxa"/>
          </w:tcPr>
          <w:p w14:paraId="322CCE14" w14:textId="5910C5AD"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124,2</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266</w:t>
            </w:r>
          </w:p>
        </w:tc>
      </w:tr>
      <w:tr w:rsidR="00715786" w:rsidRPr="00070ADE" w14:paraId="34B19C1E" w14:textId="77777777" w:rsidTr="004C5D62">
        <w:tc>
          <w:tcPr>
            <w:tcW w:w="1455" w:type="dxa"/>
          </w:tcPr>
          <w:p w14:paraId="760A27F1"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 Сдача групповых комп- лектов к самолету </w:t>
            </w:r>
            <w:r w:rsidRPr="00070ADE">
              <w:rPr>
                <w:rFonts w:ascii="Times New Roman" w:hAnsi="Times New Roman"/>
                <w:color w:val="000000" w:themeColor="text1"/>
                <w:sz w:val="16"/>
                <w:szCs w:val="16"/>
              </w:rPr>
              <w:lastRenderedPageBreak/>
              <w:t>Ил-2 (в комплектах)</w:t>
            </w:r>
          </w:p>
        </w:tc>
        <w:tc>
          <w:tcPr>
            <w:tcW w:w="913" w:type="dxa"/>
          </w:tcPr>
          <w:p w14:paraId="7EAB44DA"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384</w:t>
            </w:r>
          </w:p>
        </w:tc>
        <w:tc>
          <w:tcPr>
            <w:tcW w:w="998" w:type="dxa"/>
          </w:tcPr>
          <w:p w14:paraId="0B7D6C97"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454</w:t>
            </w:r>
          </w:p>
        </w:tc>
        <w:tc>
          <w:tcPr>
            <w:tcW w:w="987" w:type="dxa"/>
          </w:tcPr>
          <w:p w14:paraId="65BB870A"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476</w:t>
            </w:r>
          </w:p>
        </w:tc>
        <w:tc>
          <w:tcPr>
            <w:tcW w:w="861" w:type="dxa"/>
          </w:tcPr>
          <w:p w14:paraId="66386E96"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104,8</w:t>
            </w:r>
          </w:p>
        </w:tc>
        <w:tc>
          <w:tcPr>
            <w:tcW w:w="981" w:type="dxa"/>
          </w:tcPr>
          <w:p w14:paraId="1DF7562C"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124</w:t>
            </w:r>
          </w:p>
        </w:tc>
      </w:tr>
      <w:tr w:rsidR="00715786" w:rsidRPr="00070ADE" w14:paraId="192DEFD0" w14:textId="77777777" w:rsidTr="004C5D62">
        <w:tc>
          <w:tcPr>
            <w:tcW w:w="1455" w:type="dxa"/>
          </w:tcPr>
          <w:p w14:paraId="1CBF0557"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Сдача запасных частей россыпью (в тыс. руб.)</w:t>
            </w:r>
          </w:p>
        </w:tc>
        <w:tc>
          <w:tcPr>
            <w:tcW w:w="913" w:type="dxa"/>
          </w:tcPr>
          <w:p w14:paraId="673C974C"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16746</w:t>
            </w:r>
          </w:p>
        </w:tc>
        <w:tc>
          <w:tcPr>
            <w:tcW w:w="998" w:type="dxa"/>
          </w:tcPr>
          <w:p w14:paraId="1A851D65"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13300</w:t>
            </w:r>
          </w:p>
        </w:tc>
        <w:tc>
          <w:tcPr>
            <w:tcW w:w="987" w:type="dxa"/>
          </w:tcPr>
          <w:p w14:paraId="7FC57CE9"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14047</w:t>
            </w:r>
          </w:p>
        </w:tc>
        <w:tc>
          <w:tcPr>
            <w:tcW w:w="861" w:type="dxa"/>
          </w:tcPr>
          <w:p w14:paraId="5655F2F3"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105,6</w:t>
            </w:r>
          </w:p>
        </w:tc>
        <w:tc>
          <w:tcPr>
            <w:tcW w:w="981" w:type="dxa"/>
          </w:tcPr>
          <w:p w14:paraId="3A563B4E"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83,8</w:t>
            </w:r>
          </w:p>
        </w:tc>
      </w:tr>
      <w:tr w:rsidR="00715786" w:rsidRPr="00070ADE" w14:paraId="42BF61EA" w14:textId="77777777" w:rsidTr="004C5D62">
        <w:tc>
          <w:tcPr>
            <w:tcW w:w="1455" w:type="dxa"/>
          </w:tcPr>
          <w:p w14:paraId="1255B530"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Прочая оборонная про- дукция и работы в войсковых частях (в тыс.руб.)</w:t>
            </w:r>
          </w:p>
        </w:tc>
        <w:tc>
          <w:tcPr>
            <w:tcW w:w="913" w:type="dxa"/>
          </w:tcPr>
          <w:p w14:paraId="7D14B5DF"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9774</w:t>
            </w:r>
          </w:p>
        </w:tc>
        <w:tc>
          <w:tcPr>
            <w:tcW w:w="998" w:type="dxa"/>
          </w:tcPr>
          <w:p w14:paraId="1E921823"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4000</w:t>
            </w:r>
          </w:p>
        </w:tc>
        <w:tc>
          <w:tcPr>
            <w:tcW w:w="987" w:type="dxa"/>
          </w:tcPr>
          <w:p w14:paraId="65B4AE62"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13857</w:t>
            </w:r>
          </w:p>
        </w:tc>
        <w:tc>
          <w:tcPr>
            <w:tcW w:w="861" w:type="dxa"/>
          </w:tcPr>
          <w:p w14:paraId="5F92E43B"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346,7</w:t>
            </w:r>
          </w:p>
        </w:tc>
        <w:tc>
          <w:tcPr>
            <w:tcW w:w="981" w:type="dxa"/>
          </w:tcPr>
          <w:p w14:paraId="214A843A"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141,9</w:t>
            </w:r>
          </w:p>
        </w:tc>
      </w:tr>
    </w:tbl>
    <w:p w14:paraId="431C145E"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завода Белянский</w:t>
      </w:r>
    </w:p>
    <w:p w14:paraId="27462321"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ГАСО</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Ф</w:t>
      </w:r>
      <w:r w:rsidRPr="00070ADE">
        <w:rPr>
          <w:rFonts w:ascii="Times New Roman" w:hAnsi="Times New Roman"/>
          <w:color w:val="000000" w:themeColor="text1"/>
          <w:sz w:val="16"/>
          <w:szCs w:val="16"/>
          <w:lang w:val="en-US"/>
        </w:rPr>
        <w:t xml:space="preserve">. P-3454. On. 1. </w:t>
      </w:r>
      <w:r w:rsidRPr="00070ADE">
        <w:rPr>
          <w:rFonts w:ascii="Times New Roman" w:hAnsi="Times New Roman"/>
          <w:color w:val="000000" w:themeColor="text1"/>
          <w:sz w:val="16"/>
          <w:szCs w:val="16"/>
        </w:rPr>
        <w:t>Д</w:t>
      </w:r>
      <w:r w:rsidRPr="00070ADE">
        <w:rPr>
          <w:rFonts w:ascii="Times New Roman" w:hAnsi="Times New Roman"/>
          <w:color w:val="000000" w:themeColor="text1"/>
          <w:sz w:val="16"/>
          <w:szCs w:val="16"/>
          <w:lang w:val="en-US"/>
        </w:rPr>
        <w:t xml:space="preserve">. 27. </w:t>
      </w:r>
      <w:r w:rsidRPr="00070ADE">
        <w:rPr>
          <w:rFonts w:ascii="Times New Roman" w:hAnsi="Times New Roman"/>
          <w:color w:val="000000" w:themeColor="text1"/>
          <w:sz w:val="16"/>
          <w:szCs w:val="16"/>
        </w:rPr>
        <w:t>Л</w:t>
      </w:r>
      <w:r w:rsidRPr="00070ADE">
        <w:rPr>
          <w:rFonts w:ascii="Times New Roman" w:hAnsi="Times New Roman"/>
          <w:color w:val="000000" w:themeColor="text1"/>
          <w:sz w:val="16"/>
          <w:szCs w:val="16"/>
          <w:lang w:val="en-US"/>
        </w:rPr>
        <w:t xml:space="preserve">. 4-6. </w:t>
      </w:r>
      <w:r w:rsidRPr="00070ADE">
        <w:rPr>
          <w:rFonts w:ascii="Times New Roman" w:hAnsi="Times New Roman"/>
          <w:color w:val="000000" w:themeColor="text1"/>
          <w:sz w:val="16"/>
          <w:szCs w:val="16"/>
        </w:rPr>
        <w:t>Подлинник (23630).</w:t>
      </w:r>
    </w:p>
    <w:p w14:paraId="48BE7FAE" w14:textId="77777777" w:rsidR="00715786" w:rsidRPr="00070ADE" w:rsidRDefault="00715786" w:rsidP="00B56F90">
      <w:pPr>
        <w:spacing w:after="0" w:line="240" w:lineRule="auto"/>
        <w:jc w:val="both"/>
        <w:rPr>
          <w:rFonts w:ascii="Times New Roman" w:hAnsi="Times New Roman"/>
          <w:color w:val="000000" w:themeColor="text1"/>
          <w:sz w:val="16"/>
          <w:szCs w:val="16"/>
        </w:rPr>
      </w:pPr>
    </w:p>
    <w:p w14:paraId="648EB8D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года после вы</w:t>
      </w:r>
      <w:r w:rsidRPr="00070ADE">
        <w:rPr>
          <w:rFonts w:ascii="Times New Roman" w:hAnsi="Times New Roman"/>
          <w:color w:val="000000" w:themeColor="text1"/>
          <w:sz w:val="16"/>
          <w:szCs w:val="16"/>
        </w:rPr>
        <w:softHyphen/>
        <w:t>полнения рулежек и пробежек Су-8 были выявлены и затем устранены дефек</w:t>
      </w:r>
      <w:r w:rsidRPr="00070ADE">
        <w:rPr>
          <w:rFonts w:ascii="Times New Roman" w:hAnsi="Times New Roman"/>
          <w:color w:val="000000" w:themeColor="text1"/>
          <w:sz w:val="16"/>
          <w:szCs w:val="16"/>
        </w:rPr>
        <w:softHyphen/>
        <w:t>ты системы тормозов и механизмов створок маслорадиаторов. В феврале из-за подтекания мас</w:t>
      </w:r>
      <w:r w:rsidRPr="00070ADE">
        <w:rPr>
          <w:rFonts w:ascii="Times New Roman" w:hAnsi="Times New Roman"/>
          <w:color w:val="000000" w:themeColor="text1"/>
          <w:sz w:val="16"/>
          <w:szCs w:val="16"/>
        </w:rPr>
        <w:softHyphen/>
        <w:t>ла возникла необходимость заме</w:t>
      </w:r>
      <w:r w:rsidRPr="00070ADE">
        <w:rPr>
          <w:rFonts w:ascii="Times New Roman" w:hAnsi="Times New Roman"/>
          <w:color w:val="000000" w:themeColor="text1"/>
          <w:sz w:val="16"/>
          <w:szCs w:val="16"/>
        </w:rPr>
        <w:softHyphen/>
        <w:t>ны кожухов толкателей, а повышен</w:t>
      </w:r>
      <w:r w:rsidRPr="00070ADE">
        <w:rPr>
          <w:rFonts w:ascii="Times New Roman" w:hAnsi="Times New Roman"/>
          <w:color w:val="000000" w:themeColor="text1"/>
          <w:sz w:val="16"/>
          <w:szCs w:val="16"/>
        </w:rPr>
        <w:softHyphen/>
        <w:t>ная температура головок цилинд</w:t>
      </w:r>
      <w:r w:rsidRPr="00070ADE">
        <w:rPr>
          <w:rFonts w:ascii="Times New Roman" w:hAnsi="Times New Roman"/>
          <w:color w:val="000000" w:themeColor="text1"/>
          <w:sz w:val="16"/>
          <w:szCs w:val="16"/>
        </w:rPr>
        <w:softHyphen/>
        <w:t>ров была устранена путем продле</w:t>
      </w:r>
      <w:r w:rsidRPr="00070ADE">
        <w:rPr>
          <w:rFonts w:ascii="Times New Roman" w:hAnsi="Times New Roman"/>
          <w:color w:val="000000" w:themeColor="text1"/>
          <w:sz w:val="16"/>
          <w:szCs w:val="16"/>
        </w:rPr>
        <w:softHyphen/>
        <w:t>ния профилированных частей лопа</w:t>
      </w:r>
      <w:r w:rsidRPr="00070ADE">
        <w:rPr>
          <w:rFonts w:ascii="Times New Roman" w:hAnsi="Times New Roman"/>
          <w:color w:val="000000" w:themeColor="text1"/>
          <w:sz w:val="16"/>
          <w:szCs w:val="16"/>
        </w:rPr>
        <w:softHyphen/>
        <w:t>стей воздушных винтов до втулок с помощью наклейки специальных деревянных накладок (11853).</w:t>
      </w:r>
    </w:p>
    <w:p w14:paraId="52560D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497D8B" w14:textId="77777777" w:rsidR="00792F77" w:rsidRPr="00070ADE" w:rsidRDefault="00792F7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январе 1944 г. после выполнения рулежек и пробежек на Су-8 вновь были выявлены дефекты системы тормозов и механических створок маслорадиаторов. В следующем месяце гоняли мотор на земле, вновь «рулили» и «бегали» по аэродрому. Обнару</w:t>
      </w:r>
      <w:r w:rsidRPr="00070ADE">
        <w:rPr>
          <w:color w:val="000000" w:themeColor="text1"/>
          <w:sz w:val="16"/>
          <w:szCs w:val="16"/>
        </w:rPr>
        <w:softHyphen/>
        <w:t>жилась течь масла из-под уплотнителей кожухов толкателей моторов. Кроме этого, «вследствие плохого обдува» головки цилиндров мотора после рулежки имели чрезмерно высокую темпе</w:t>
      </w:r>
      <w:r w:rsidRPr="00070ADE">
        <w:rPr>
          <w:color w:val="000000" w:themeColor="text1"/>
          <w:sz w:val="16"/>
          <w:szCs w:val="16"/>
        </w:rPr>
        <w:softHyphen/>
        <w:t>ратуру.</w:t>
      </w:r>
    </w:p>
    <w:p w14:paraId="00622247" w14:textId="77777777" w:rsidR="00792F77" w:rsidRPr="00070ADE" w:rsidRDefault="00792F7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Пришлось вызывать из Молотова представи</w:t>
      </w:r>
      <w:r w:rsidRPr="00070ADE">
        <w:rPr>
          <w:color w:val="000000" w:themeColor="text1"/>
          <w:sz w:val="16"/>
          <w:szCs w:val="16"/>
        </w:rPr>
        <w:softHyphen/>
        <w:t>телей моторного завода № 19. Заменили кожухи толкателей. Продлили профилированную часть лопастей воздушных винтов до втулок с помощью наклейки специальных деревянных накладок. Де</w:t>
      </w:r>
      <w:r w:rsidRPr="00070ADE">
        <w:rPr>
          <w:color w:val="000000" w:themeColor="text1"/>
          <w:sz w:val="16"/>
          <w:szCs w:val="16"/>
        </w:rPr>
        <w:softHyphen/>
        <w:t>фекты больше не проявлялись (17500).</w:t>
      </w:r>
    </w:p>
    <w:p w14:paraId="4FC9BD08" w14:textId="77777777" w:rsidR="00792F77" w:rsidRPr="00070ADE" w:rsidRDefault="00792F77" w:rsidP="00B56F90">
      <w:pPr>
        <w:pStyle w:val="123"/>
        <w:shd w:val="clear" w:color="auto" w:fill="auto"/>
        <w:spacing w:after="0" w:line="240" w:lineRule="auto"/>
        <w:jc w:val="both"/>
        <w:rPr>
          <w:color w:val="000000" w:themeColor="text1"/>
          <w:sz w:val="16"/>
          <w:szCs w:val="16"/>
        </w:rPr>
      </w:pPr>
    </w:p>
    <w:p w14:paraId="0965C170" w14:textId="77777777" w:rsidR="00282955" w:rsidRPr="00070ADE" w:rsidRDefault="0028295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w:t>
      </w:r>
      <w:r w:rsidRPr="00070ADE">
        <w:rPr>
          <w:rFonts w:ascii="Times New Roman" w:hAnsi="Times New Roman"/>
          <w:color w:val="000000" w:themeColor="text1"/>
          <w:sz w:val="16"/>
          <w:szCs w:val="16"/>
        </w:rPr>
        <w:softHyphen/>
        <w:t>варе 1944 г. представители ВВС КА выехали на заводы и установили:</w:t>
      </w:r>
    </w:p>
    <w:p w14:paraId="1FBAAC46" w14:textId="77777777" w:rsidR="00282955" w:rsidRPr="00070ADE" w:rsidRDefault="00282955" w:rsidP="00B56F90">
      <w:pPr>
        <w:pStyle w:val="7"/>
        <w:shd w:val="clear" w:color="auto" w:fill="auto"/>
        <w:spacing w:line="240" w:lineRule="auto"/>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«а) Завод №233 НКПСМ никаких работ по стеклу БС не проводил, хотя и имел на то зада</w:t>
      </w:r>
      <w:r w:rsidRPr="00070ADE">
        <w:rPr>
          <w:rFonts w:ascii="Times New Roman" w:cs="Times New Roman"/>
          <w:color w:val="000000" w:themeColor="text1"/>
          <w:spacing w:val="0"/>
          <w:sz w:val="16"/>
          <w:szCs w:val="16"/>
        </w:rPr>
        <w:softHyphen/>
        <w:t>ния от НКПСМ.</w:t>
      </w:r>
    </w:p>
    <w:p w14:paraId="576FB0F3" w14:textId="77777777" w:rsidR="00282955" w:rsidRPr="00070ADE" w:rsidRDefault="00282955" w:rsidP="00B56F90">
      <w:pPr>
        <w:pStyle w:val="7"/>
        <w:shd w:val="clear" w:color="auto" w:fill="auto"/>
        <w:tabs>
          <w:tab w:val="left" w:pos="481"/>
        </w:tabs>
        <w:spacing w:line="240" w:lineRule="auto"/>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б) Заводом №25 НКПСМ в 1943 г. было от</w:t>
      </w:r>
      <w:r w:rsidRPr="00070ADE">
        <w:rPr>
          <w:rFonts w:ascii="Times New Roman" w:cs="Times New Roman"/>
          <w:color w:val="000000" w:themeColor="text1"/>
          <w:spacing w:val="0"/>
          <w:sz w:val="16"/>
          <w:szCs w:val="16"/>
        </w:rPr>
        <w:softHyphen/>
        <w:t>прессовано 736 таблеток стекла БС, которые оказались непригодными вследствие низких оптических качеств и неудовлетворительного состояния поверхностей.</w:t>
      </w:r>
    </w:p>
    <w:p w14:paraId="72E44AF7" w14:textId="77777777" w:rsidR="00282955" w:rsidRPr="00070ADE" w:rsidRDefault="00282955" w:rsidP="00B56F90">
      <w:pPr>
        <w:pStyle w:val="7"/>
        <w:shd w:val="clear" w:color="auto" w:fill="auto"/>
        <w:tabs>
          <w:tab w:val="left" w:pos="476"/>
        </w:tabs>
        <w:spacing w:line="240" w:lineRule="auto"/>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в) До настоящего времени отработанной технологии по производству стекла БС и подо</w:t>
      </w:r>
      <w:r w:rsidRPr="00070ADE">
        <w:rPr>
          <w:rFonts w:ascii="Times New Roman" w:cs="Times New Roman"/>
          <w:color w:val="000000" w:themeColor="text1"/>
          <w:spacing w:val="0"/>
          <w:sz w:val="16"/>
          <w:szCs w:val="16"/>
        </w:rPr>
        <w:softHyphen/>
        <w:t>бранного материала для прессформ не имеет</w:t>
      </w:r>
      <w:r w:rsidRPr="00070ADE">
        <w:rPr>
          <w:rFonts w:ascii="Times New Roman" w:cs="Times New Roman"/>
          <w:color w:val="000000" w:themeColor="text1"/>
          <w:spacing w:val="0"/>
          <w:sz w:val="16"/>
          <w:szCs w:val="16"/>
        </w:rPr>
        <w:softHyphen/>
        <w:t>ся. Также не решены вопросы получения без- свильных прессованных таблеток БС».</w:t>
      </w:r>
    </w:p>
    <w:p w14:paraId="3B1CED20" w14:textId="77777777" w:rsidR="00282955" w:rsidRPr="00070ADE" w:rsidRDefault="0028295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результатам поездки срочно подгото</w:t>
      </w:r>
      <w:r w:rsidRPr="00070ADE">
        <w:rPr>
          <w:rFonts w:ascii="Times New Roman" w:hAnsi="Times New Roman"/>
          <w:color w:val="000000" w:themeColor="text1"/>
          <w:sz w:val="16"/>
          <w:szCs w:val="16"/>
        </w:rPr>
        <w:softHyphen/>
        <w:t>вили и направили Г.И. Маленкову, курировав</w:t>
      </w:r>
      <w:r w:rsidRPr="00070ADE">
        <w:rPr>
          <w:rFonts w:ascii="Times New Roman" w:hAnsi="Times New Roman"/>
          <w:color w:val="000000" w:themeColor="text1"/>
          <w:sz w:val="16"/>
          <w:szCs w:val="16"/>
        </w:rPr>
        <w:softHyphen/>
        <w:t>шему вопросы авиации, справку «О выпол</w:t>
      </w:r>
      <w:r w:rsidRPr="00070ADE">
        <w:rPr>
          <w:rFonts w:ascii="Times New Roman" w:hAnsi="Times New Roman"/>
          <w:color w:val="000000" w:themeColor="text1"/>
          <w:sz w:val="16"/>
          <w:szCs w:val="16"/>
        </w:rPr>
        <w:softHyphen/>
        <w:t>нении НКСМ и НКАП постановлений ГОКО по отработке для ВВС КА новых образцов про</w:t>
      </w:r>
      <w:r w:rsidRPr="00070ADE">
        <w:rPr>
          <w:rFonts w:ascii="Times New Roman" w:hAnsi="Times New Roman"/>
          <w:color w:val="000000" w:themeColor="text1"/>
          <w:sz w:val="16"/>
          <w:szCs w:val="16"/>
        </w:rPr>
        <w:softHyphen/>
        <w:t xml:space="preserve">зрачной брони». В ней констатировалось:«... </w:t>
      </w:r>
      <w:r w:rsidRPr="00070ADE">
        <w:rPr>
          <w:rStyle w:val="aff7"/>
          <w:rFonts w:ascii="Times New Roman" w:hAnsi="Times New Roman" w:cs="Times New Roman"/>
          <w:i w:val="0"/>
          <w:color w:val="000000" w:themeColor="text1"/>
        </w:rPr>
        <w:t>Выпускаемая в серийном производстве за</w:t>
      </w:r>
      <w:r w:rsidRPr="00070ADE">
        <w:rPr>
          <w:rStyle w:val="aff7"/>
          <w:rFonts w:ascii="Times New Roman" w:hAnsi="Times New Roman" w:cs="Times New Roman"/>
          <w:i w:val="0"/>
          <w:color w:val="000000" w:themeColor="text1"/>
        </w:rPr>
        <w:softHyphen/>
        <w:t>водами СССР прозрачная броня не удовлет</w:t>
      </w:r>
      <w:r w:rsidRPr="00070ADE">
        <w:rPr>
          <w:rStyle w:val="aff7"/>
          <w:rFonts w:ascii="Times New Roman" w:hAnsi="Times New Roman" w:cs="Times New Roman"/>
          <w:i w:val="0"/>
          <w:color w:val="000000" w:themeColor="text1"/>
        </w:rPr>
        <w:softHyphen/>
        <w:t>воряет ПТ ВВС КА. По тактико-техническим требованиям ВВС КА на 1944 г. искажения оп</w:t>
      </w:r>
      <w:r w:rsidRPr="00070ADE">
        <w:rPr>
          <w:rStyle w:val="aff7"/>
          <w:rFonts w:ascii="Times New Roman" w:hAnsi="Times New Roman" w:cs="Times New Roman"/>
          <w:i w:val="0"/>
          <w:color w:val="000000" w:themeColor="text1"/>
        </w:rPr>
        <w:softHyphen/>
        <w:t>тического изображения в прицельном поле не должно превышать 6 минут, тогда как серийно выпускаемая прозрачная броня имеет искаже</w:t>
      </w:r>
      <w:r w:rsidRPr="00070ADE">
        <w:rPr>
          <w:rStyle w:val="aff7"/>
          <w:rFonts w:ascii="Times New Roman" w:hAnsi="Times New Roman" w:cs="Times New Roman"/>
          <w:i w:val="0"/>
          <w:color w:val="000000" w:themeColor="text1"/>
        </w:rPr>
        <w:softHyphen/>
        <w:t>ние больше 18 минут».</w:t>
      </w:r>
    </w:p>
    <w:p w14:paraId="5FC1C727" w14:textId="77777777" w:rsidR="00282955" w:rsidRPr="00070ADE" w:rsidRDefault="0028295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сложившейся ситуации Маленков до</w:t>
      </w:r>
      <w:r w:rsidRPr="00070ADE">
        <w:rPr>
          <w:rFonts w:ascii="Times New Roman" w:hAnsi="Times New Roman"/>
          <w:color w:val="000000" w:themeColor="text1"/>
          <w:sz w:val="16"/>
          <w:szCs w:val="16"/>
        </w:rPr>
        <w:softHyphen/>
        <w:t>ложил И.В. Сталину, после чего 12 февраля 1944 г. вышло постановление ГОКО, обязыва</w:t>
      </w:r>
      <w:r w:rsidRPr="00070ADE">
        <w:rPr>
          <w:rFonts w:ascii="Times New Roman" w:hAnsi="Times New Roman"/>
          <w:color w:val="000000" w:themeColor="text1"/>
          <w:sz w:val="16"/>
          <w:szCs w:val="16"/>
        </w:rPr>
        <w:softHyphen/>
        <w:t>ющее наркома химической промышленности Первухина и наркома промышленности стро</w:t>
      </w:r>
      <w:r w:rsidRPr="00070ADE">
        <w:rPr>
          <w:rFonts w:ascii="Times New Roman" w:hAnsi="Times New Roman"/>
          <w:color w:val="000000" w:themeColor="text1"/>
          <w:sz w:val="16"/>
          <w:szCs w:val="16"/>
        </w:rPr>
        <w:softHyphen/>
        <w:t>ительных материалов Соснина в трехмесяч</w:t>
      </w:r>
      <w:r w:rsidRPr="00070ADE">
        <w:rPr>
          <w:rFonts w:ascii="Times New Roman" w:hAnsi="Times New Roman"/>
          <w:color w:val="000000" w:themeColor="text1"/>
          <w:sz w:val="16"/>
          <w:szCs w:val="16"/>
        </w:rPr>
        <w:softHyphen/>
        <w:t>ный срок обеспечить соответствие серийной прозрачной брони для боевых самолетов ВВС КА техническим условиям ВВС на 1944 г. (17481).</w:t>
      </w:r>
    </w:p>
    <w:p w14:paraId="28021DE7" w14:textId="77777777" w:rsidR="00282955" w:rsidRPr="00070ADE" w:rsidRDefault="00282955" w:rsidP="00B56F90">
      <w:pPr>
        <w:spacing w:after="0" w:line="240" w:lineRule="auto"/>
        <w:jc w:val="both"/>
        <w:rPr>
          <w:rFonts w:ascii="Times New Roman" w:hAnsi="Times New Roman"/>
          <w:color w:val="000000" w:themeColor="text1"/>
          <w:sz w:val="16"/>
          <w:szCs w:val="16"/>
        </w:rPr>
      </w:pPr>
    </w:p>
    <w:p w14:paraId="7441EE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И.В.С. поддержал инициативу С.В.И. по созданию пассажирского самолета Ил-12 на 29 мест (3846,19).</w:t>
      </w:r>
    </w:p>
    <w:p w14:paraId="206C43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6445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1944-го утвердили проект Ил-12. Первый вариант будущего Ил-12 с гермокабинами предусматривал крейсерский полет на высотах около 7000 м (в субстратосфере). Самолет рассчитывался на 29 пассажиров, а его дальность ожидалась до 5000 км, но с меньшей нагрузкой. Подобной машине потребовалась мощная силовая установка из четырех высотных двигателей М-88В. Его вскоре пришлось переделывать под входившие в моду дизели с водяным охлаждением. Ставка на два АЧ-31 взлетной мощностью по 2000 л.с. привела как к изменению топливной системы, так и к отказу от гермокабины и перекомпоновке салона. Изменились обводы носовой части фюзеляжа, ранее рассчитывавшегося на избыточное давление и остекление кабины экипажа. Теперь машина могла вмещать до 27 пассажиров, для чего в салоне, более просторном чем у флагмана "Аэрофлота" Ли-2, предполагалось девять рядов кресел, по три в каждом. Особое внимание при проектировании уделялось созданию высокоэффективных противообледенительных (с использованием выхлопных газов) двигателей, и противопожарных устройств, а также возможности длительного полета на одном моторе. Сохранению управляемости машины, в этом случае, способствовала установка на руле поворота сервотриммера, работавшего как в режиме сервокомпенсатора, так и регулируемого пилотами триммера. Особенностью Ил-12 стало трехопорное шасси с носовой стойкой, позволившее не только упростить пилотирование машины на таких ответственных этапах полета, как взлет и посадка, но и улучшить комфорт пассажирам, поскольку пол кабины стал параллелен земле. Для транспортного варианта самолета это упрощало погрузочно-раз-грузочные работы (3248,20).</w:t>
      </w:r>
    </w:p>
    <w:p w14:paraId="45D0FE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B963E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состоялся доклад о четырехдвигательном самолете Ил-12 И.В.Сталину, который одобрил его, и машина получила право на жизнь. Однако ее облик при дальнейшем конструировании претерпел серьезные изменения (5156).</w:t>
      </w:r>
    </w:p>
    <w:p w14:paraId="4C3BA0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9276CB" w14:textId="77777777" w:rsidR="008B714A" w:rsidRPr="00C94B78" w:rsidRDefault="008B714A"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январе 1944 года, получив поддержку Верхов</w:t>
      </w:r>
      <w:r w:rsidRPr="00C94B78">
        <w:rPr>
          <w:rStyle w:val="aff1"/>
          <w:rFonts w:ascii="Times New Roman" w:hAnsi="Times New Roman" w:cs="Times New Roman"/>
          <w:color w:val="0070C0"/>
          <w:spacing w:val="0"/>
          <w:sz w:val="16"/>
          <w:szCs w:val="16"/>
        </w:rPr>
        <w:softHyphen/>
        <w:t>ного главнокомандующего, ОКБ Ильюшина приступило к проектированию авиалайнера Ил-12 на закон</w:t>
      </w:r>
      <w:r w:rsidRPr="00C94B78">
        <w:rPr>
          <w:rStyle w:val="aff1"/>
          <w:rFonts w:ascii="Times New Roman" w:hAnsi="Times New Roman" w:cs="Times New Roman"/>
          <w:color w:val="0070C0"/>
          <w:spacing w:val="0"/>
          <w:sz w:val="16"/>
          <w:szCs w:val="16"/>
        </w:rPr>
        <w:softHyphen/>
        <w:t>ных основаниях. Но этот процесс продолжался недолго. Одной из причин тому стали положительные результаты испытаний силовой установки дальнего бомбардировщика Ил-6 с дизельными моторами жидкостного охлаждения АЧ-30Б, развивавшие почти в полтора раза большую мощ</w:t>
      </w:r>
      <w:r w:rsidRPr="00C94B78">
        <w:rPr>
          <w:rStyle w:val="aff1"/>
          <w:rFonts w:ascii="Times New Roman" w:hAnsi="Times New Roman" w:cs="Times New Roman"/>
          <w:color w:val="0070C0"/>
          <w:spacing w:val="0"/>
          <w:sz w:val="16"/>
          <w:szCs w:val="16"/>
        </w:rPr>
        <w:softHyphen/>
        <w:t>ность, чем М-88В, и считавшиеся самыми экономичными. Другой причиной стало отсутствие надежных турбоком</w:t>
      </w:r>
      <w:r w:rsidRPr="00C94B78">
        <w:rPr>
          <w:rStyle w:val="aff1"/>
          <w:rFonts w:ascii="Times New Roman" w:hAnsi="Times New Roman" w:cs="Times New Roman"/>
          <w:color w:val="0070C0"/>
          <w:spacing w:val="0"/>
          <w:sz w:val="16"/>
          <w:szCs w:val="16"/>
        </w:rPr>
        <w:softHyphen/>
        <w:t>прессоров, ведь предполагалось, что четырехдвигательный Ил-12 будет перевозить пассажиров на высотах свыше 4000 метров (25095).</w:t>
      </w:r>
    </w:p>
    <w:p w14:paraId="39E3FDE6" w14:textId="77777777" w:rsidR="008B714A" w:rsidRPr="00C94B78" w:rsidRDefault="008B714A" w:rsidP="00B56F90">
      <w:pPr>
        <w:spacing w:after="0" w:line="240" w:lineRule="auto"/>
        <w:jc w:val="both"/>
        <w:rPr>
          <w:rFonts w:ascii="Times New Roman" w:hAnsi="Times New Roman"/>
          <w:color w:val="0070C0"/>
          <w:sz w:val="16"/>
          <w:szCs w:val="16"/>
        </w:rPr>
      </w:pPr>
    </w:p>
    <w:p w14:paraId="2D6F3089" w14:textId="77777777" w:rsidR="007B617D" w:rsidRPr="00C94B78" w:rsidRDefault="007B617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январе 1944 г. вновь доработанный Пе-2 № 19/205 был подвергнут испытаниям в ЛИИ с двумя типами воздушных винтов – ВИШ-61П (3,0 м) и ВИШ-61Ц-1 (2,8 м). В полетах с внутренней подвеской 6 ФАБ-100 с первым типом винтов на высоте 3700 м достигнута максимальная скорость 551 км/ч, а со вторым – 555 км/ч, время набора высоты 5000 м сократилось с 10,0 мин. для серийного самолета выпуска 1942 г. (для машин начала 1943 г. было хуже) до 9,1 и 9,8 мин. соответственно. Нагнетатели двигателей работали устойчиво. Существенным недостатком признано увеличение длины разбега с установкой винтов ВИШ-61Ц-1 на 100 м.</w:t>
      </w:r>
    </w:p>
    <w:p w14:paraId="1DA5C5C6" w14:textId="77777777" w:rsidR="007B617D" w:rsidRPr="00C94B78" w:rsidRDefault="007B617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Результаты испытаний самолета 19/205 сочтены положительными, но внедрение таких доработок требовало внедрения уже весьма существенных изменений в плазовую, формовочную и стапельную оснастку для производства коков винтов, мотогондол и части панелей фюзеляжа, а поддержание качества изготовления самолетов – перевода формовки панелей обшивки и капотов с ручной выколотки на механическую штамповку, для чего не было мощностей.</w:t>
      </w:r>
    </w:p>
    <w:p w14:paraId="7BA0F3C6" w14:textId="77777777" w:rsidR="007B617D" w:rsidRPr="00C94B78" w:rsidRDefault="007B617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Потому удачные в принципе доработки самолета Пе-2 № 19/205 удалось внедрить в серийное производство лишь в малой их части (25430).</w:t>
      </w:r>
    </w:p>
    <w:p w14:paraId="68B4F1A2" w14:textId="77777777" w:rsidR="007B617D" w:rsidRPr="00C94B78" w:rsidRDefault="007B617D" w:rsidP="00B56F90">
      <w:pPr>
        <w:spacing w:after="0" w:line="240" w:lineRule="auto"/>
        <w:jc w:val="both"/>
        <w:rPr>
          <w:rFonts w:ascii="Times New Roman" w:hAnsi="Times New Roman"/>
          <w:color w:val="0070C0"/>
          <w:sz w:val="16"/>
          <w:szCs w:val="16"/>
        </w:rPr>
      </w:pPr>
    </w:p>
    <w:p w14:paraId="7378D9C3" w14:textId="77777777" w:rsidR="007B617D" w:rsidRPr="00070ADE" w:rsidRDefault="007B617D"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в ЛИИ закончились летные испытания Пе-2 N 19/205, модифицированного в ЦАГИ, которые шачались в октябре 1943 -. Летали М.Галлай, С.Машковский, Н.Рыбко (1077,326).</w:t>
      </w:r>
    </w:p>
    <w:p w14:paraId="7E47008D" w14:textId="77777777" w:rsidR="007B617D" w:rsidRPr="00070ADE" w:rsidRDefault="007B617D"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ED2507" w14:textId="77777777" w:rsidR="007B617D" w:rsidRPr="00070ADE" w:rsidRDefault="007B617D"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возобновились испытания Пе-2 2М-105РА № 15/185 с РУ-1. Теперь свеча выдерживала до 20 запусков, в полете зажигание работало нормально до высоты 7000 м, однако устранить все дефекты не удалось. В июне при очередном пробном пуске произошел взрыв, был полностью разрушен двигатель и хвостовое оперение самолета, а инженер-экспериментатор (это был С.П. Королев) получил травмы и чудом остался жив. После восстановления машины и изготовления нового реактивного двигателя опыты продолжались (4476).</w:t>
      </w:r>
    </w:p>
    <w:p w14:paraId="18B21E24" w14:textId="77777777" w:rsidR="007B617D" w:rsidRPr="00070ADE" w:rsidRDefault="007B617D"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3AFF15"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периоде января по март 1944 г. серийный самолет Пе-2 с М-82 испытывался в НИИ ВВС, причем это был не зав. № 1/226 (на нем входе заводских испытаний на одном из моторов оборвался шатун, и самолет вышел из строя), а машина зав. № 1/232. Из-за неудовлетворительной работы карбюраторов и высотных корректоров двигатели на высоте более 3000-4000 м не развивали полную мощность, поэтому максимальная скорость самолета на второй границе высотности оказалась меньше, чем на первой границе (526 км/ч). Летчик-испытатель генерал- майор авиации П.М. Стефановский в донесении об облете серийного Пе-2 с М-82 написал:</w:t>
      </w:r>
    </w:p>
    <w:p w14:paraId="66587E5A"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"Положительным качеством данного самолета является возможность производить полеты на одном моторе с полетным весом 8300 кг как с убранными, так и с выпущенными шасси... Глиссада планирования за счет больших оборотов моторов с убранным газом несколько более пологая... В остальном самолет остается таким же сложным и неудобным для экипажа, как и серийные самолеты Пе-2 с М-105ПФ".</w:t>
      </w:r>
    </w:p>
    <w:p w14:paraId="6BF42599"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Основными причинами, сдерживавшими серийный выпуск Пе-2 с моторами воздушного охлаждения, оказались очень низкое качество маслорадиаторов и дефицитность самих двигателей, прежний резерв которых "съели" истребители Ла-5. Остается загадкой, как мог Государственный Комитет Обороны планировать массовый выпуск "пешек" с М-82, если их не хватало даже для самолетов Лавочкина (12042).</w:t>
      </w:r>
    </w:p>
    <w:p w14:paraId="105355CC"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p>
    <w:p w14:paraId="680F2649" w14:textId="77777777" w:rsidR="007B617D" w:rsidRPr="00070ADE" w:rsidRDefault="007B617D"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приказом НКАП № 22 была задана постройка третьего экземпляра Пе-2И в варианте тяжелого истребителя. Предусматривалось применение весьма мощного наступательного вооружения: в подфюзеляжной батарее планировали установить две пушки НС-45 с запасом по 45 снарядов на ствол (4476).</w:t>
      </w:r>
    </w:p>
    <w:p w14:paraId="283C9AAF" w14:textId="77777777" w:rsidR="007B617D" w:rsidRPr="00070ADE" w:rsidRDefault="007B617D"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06EF16"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приказом НКАП №22 задавалась постройка третьего экземпляра Пе- 2И в варианте тяжелого истребителя. Предусматривалось применение весьма мощного наступательного вооружения: две пушки НС-45 с запасом по 45 снарядов на ствол в подфюзеляжной батарее. В ноябре 1944 г. пушечный лафет и стенд для отладки всей установки были изготовлены и отправлены в Москву на завод № 482. Главный конструктор принял решение не строить третий опытный самолет, а смонтировать батарею на головном серийном Пе-2И. Однако сразу после изготовления эта машина стала объектом придирчивого внимания военпредов завода № 22, которые выявили у нее массу дефектов и потребовали их устранения. Ни один из выпущенных Пе-2И не был доведен до боеготового состояния вплоть до июня 1945 г. и не был оплачен ВВС, поэтому все дальнейшие работы по истребительному варианту постепенно зашли в тупик (12042).</w:t>
      </w:r>
    </w:p>
    <w:p w14:paraId="7D0EEBB7"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p>
    <w:p w14:paraId="4075CBAF" w14:textId="77777777" w:rsidR="007B617D" w:rsidRPr="00070ADE" w:rsidRDefault="007B617D"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года для отработки мероприятий по устранению раскрутки винта АВ-5-167А в НИИ ВВС на самолете Ту-2 N 716 были проведены гос. испытая винтов прямой схемы АВ-5В-167А. Винты прямой схемы показали хорошие результаты, дефект раскрутки винта на пикировании был устранен и данные винты были рекомендованы для срочной установки на самолеты Ту-2, как на заводе, так и в частях ВВС (1821).</w:t>
      </w:r>
    </w:p>
    <w:p w14:paraId="0213CA53" w14:textId="77777777" w:rsidR="007B617D" w:rsidRPr="00070ADE" w:rsidRDefault="007B617D"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458C25"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из цехов стали выходить первые Ту-2, полностью сделанные в Москве. Производство постепенно налаживалось. В июле первый раз удалось выполнить месячный план, в августе его перевыполнили. Далее процесс шел по нарастающей; в декабре завод сдал 52 самолета - 173% плана. Это, правда, не спасло от упреков из наркомата за срыв годового плана (вместо 453 машин сделали 378, а сдали 360).</w:t>
      </w:r>
    </w:p>
    <w:p w14:paraId="231E57EA"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По-прежнему шло много брака, но наиболее серьезные недостатки постепенно исправлялись. С середины 1944 г. завод совместно с ОКБ Туполева начал вносить в серийные машины различные усовершенствования.</w:t>
      </w:r>
    </w:p>
    <w:p w14:paraId="5E1F68C6"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конструкторское бюро к этому времени уже перебралось в Москву, разместившись в старом здании на улице Радио. Завод № 156 выполнял функции опытного производства ОКБ, производя необходимые доработки, которые затем опробовались летчиками-испытателями.</w:t>
      </w:r>
    </w:p>
    <w:p w14:paraId="760359AE"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серийных машинах улучшили герметизацию планера, крыло стали шпаклевать и оклеивать полотном. Последнее немного подняло вес, но улучшило аэродинамику, скрыв часть огрехов изготовления. Как уже говорилось, путевую устойчивость Ту-2 в НИИ ВВС оценивали как неудовлетворительную. Поэтому в феврале 1944 г. на самолете № 100716 смонтировали кили с увеличенной площадью верхней части. Устойчивость действительно улучшилась. По результатам испытаний в марте новое оперение рекомендовали к внедрению на серийных бомбардировщиках.</w:t>
      </w:r>
    </w:p>
    <w:p w14:paraId="79945BAC"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Ввели усиленные коки винтов, немного изменили раскрой обшивки на консолях, применили новые выхлопные коллекторы. Улучшение снабжения легкими сплавами позволило уже с 3-й серии заменить часть шпона на обшивке носа фюзеляжа металлическим листом. Теперь деревянным остался только участок между 1-ми 3-м шпангоутами. С 8-й серии откидную створку люковой установки заменили неподвижным козырьком. С 11-й серии сферический гидроаккумулятор (большей емкости) пришел на смену цилиндрическому. Усилили задние подкосы шасси. Изменили всасывающие патрубки моторов, что несколько повысило реально развиваемую ими мощность. Внедрили более толстую обтяжку на рулях поворота. Смонтировали новые кислородные приборы КП-12 вместо КП-Збис (с самолета N° 3/20), вернули назад посадочную фару на левом крыле, ранее сочтенную ненужной роскошью. На одном самолете поставили даже две фары, на другом обеспечили отопление кабин теплым воздухом (11988).</w:t>
      </w:r>
    </w:p>
    <w:p w14:paraId="4B8DD23D"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Серийное производство Ту-2 в годы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7B617D" w:rsidRPr="00070ADE" w14:paraId="27AE0C20" w14:textId="77777777" w:rsidTr="00D752DA">
        <w:tc>
          <w:tcPr>
            <w:tcW w:w="2242" w:type="dxa"/>
            <w:tcBorders>
              <w:top w:val="single" w:sz="12" w:space="0" w:color="auto"/>
            </w:tcBorders>
          </w:tcPr>
          <w:p w14:paraId="1AC758A3"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6CA01CF6"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1942</w:t>
            </w:r>
          </w:p>
        </w:tc>
        <w:tc>
          <w:tcPr>
            <w:tcW w:w="2242" w:type="dxa"/>
            <w:tcBorders>
              <w:top w:val="single" w:sz="12" w:space="0" w:color="auto"/>
            </w:tcBorders>
          </w:tcPr>
          <w:p w14:paraId="5583E89A"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w:t>
            </w:r>
          </w:p>
        </w:tc>
        <w:tc>
          <w:tcPr>
            <w:tcW w:w="2242" w:type="dxa"/>
            <w:tcBorders>
              <w:top w:val="single" w:sz="12" w:space="0" w:color="auto"/>
            </w:tcBorders>
          </w:tcPr>
          <w:p w14:paraId="407F30B1"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w:t>
            </w:r>
          </w:p>
        </w:tc>
        <w:tc>
          <w:tcPr>
            <w:tcW w:w="2242" w:type="dxa"/>
            <w:tcBorders>
              <w:top w:val="single" w:sz="12" w:space="0" w:color="auto"/>
            </w:tcBorders>
          </w:tcPr>
          <w:p w14:paraId="6A7BBA7C"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1945</w:t>
            </w:r>
          </w:p>
        </w:tc>
      </w:tr>
      <w:tr w:rsidR="007B617D" w:rsidRPr="00070ADE" w14:paraId="64A12595" w14:textId="77777777" w:rsidTr="00D752DA">
        <w:tc>
          <w:tcPr>
            <w:tcW w:w="2242" w:type="dxa"/>
          </w:tcPr>
          <w:p w14:paraId="5B1402BD"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166 (Омск)</w:t>
            </w:r>
          </w:p>
        </w:tc>
        <w:tc>
          <w:tcPr>
            <w:tcW w:w="2242" w:type="dxa"/>
          </w:tcPr>
          <w:p w14:paraId="29B9E1B5"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w:t>
            </w:r>
          </w:p>
        </w:tc>
        <w:tc>
          <w:tcPr>
            <w:tcW w:w="2242" w:type="dxa"/>
          </w:tcPr>
          <w:p w14:paraId="5B149673"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12 1)</w:t>
            </w:r>
          </w:p>
        </w:tc>
        <w:tc>
          <w:tcPr>
            <w:tcW w:w="2242" w:type="dxa"/>
          </w:tcPr>
          <w:p w14:paraId="3FDC8E5F"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242" w:type="dxa"/>
          </w:tcPr>
          <w:p w14:paraId="0B4EAF20"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7B617D" w:rsidRPr="00070ADE" w14:paraId="7ED814F1" w14:textId="77777777" w:rsidTr="00D752DA">
        <w:tc>
          <w:tcPr>
            <w:tcW w:w="2242" w:type="dxa"/>
            <w:tcBorders>
              <w:bottom w:val="single" w:sz="12" w:space="0" w:color="auto"/>
            </w:tcBorders>
          </w:tcPr>
          <w:p w14:paraId="152B9F7F"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23 (Москва)</w:t>
            </w:r>
          </w:p>
        </w:tc>
        <w:tc>
          <w:tcPr>
            <w:tcW w:w="2242" w:type="dxa"/>
            <w:tcBorders>
              <w:bottom w:val="single" w:sz="12" w:space="0" w:color="auto"/>
            </w:tcBorders>
          </w:tcPr>
          <w:p w14:paraId="459280DC"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242" w:type="dxa"/>
            <w:tcBorders>
              <w:bottom w:val="single" w:sz="12" w:space="0" w:color="auto"/>
            </w:tcBorders>
          </w:tcPr>
          <w:p w14:paraId="20665AD4"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25 3)</w:t>
            </w:r>
          </w:p>
        </w:tc>
        <w:tc>
          <w:tcPr>
            <w:tcW w:w="2242" w:type="dxa"/>
            <w:tcBorders>
              <w:bottom w:val="single" w:sz="12" w:space="0" w:color="auto"/>
            </w:tcBorders>
          </w:tcPr>
          <w:p w14:paraId="11B747DE"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378 4)</w:t>
            </w:r>
          </w:p>
        </w:tc>
        <w:tc>
          <w:tcPr>
            <w:tcW w:w="2242" w:type="dxa"/>
            <w:tcBorders>
              <w:bottom w:val="single" w:sz="12" w:space="0" w:color="auto"/>
            </w:tcBorders>
          </w:tcPr>
          <w:p w14:paraId="3F4CC2C0"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742 2)</w:t>
            </w:r>
          </w:p>
        </w:tc>
      </w:tr>
    </w:tbl>
    <w:p w14:paraId="42A84F8C"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 включая доработанные заводом № 156; 2) - сдано 736; 3) - из задела завода № 166; сдано 3; 4) - сдано 360 (11988).</w:t>
      </w:r>
    </w:p>
    <w:p w14:paraId="4E007A36"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p>
    <w:p w14:paraId="035D46FB" w14:textId="77777777" w:rsidR="007B617D" w:rsidRPr="00070ADE" w:rsidRDefault="007B617D" w:rsidP="00B56F90">
      <w:pPr>
        <w:spacing w:after="0" w:line="240" w:lineRule="auto"/>
        <w:jc w:val="both"/>
        <w:rPr>
          <w:rFonts w:ascii="Times New Roman" w:hAnsi="Times New Roman"/>
          <w:color w:val="000000" w:themeColor="text1"/>
          <w:sz w:val="16"/>
          <w:szCs w:val="16"/>
          <w:lang w:eastAsia="ru-RU" w:bidi="ru-RU"/>
        </w:rPr>
      </w:pPr>
      <w:r w:rsidRPr="00070ADE">
        <w:rPr>
          <w:rFonts w:ascii="Times New Roman" w:hAnsi="Times New Roman"/>
          <w:color w:val="000000" w:themeColor="text1"/>
          <w:sz w:val="16"/>
          <w:szCs w:val="16"/>
          <w:lang w:eastAsia="ru-RU" w:bidi="ru-RU"/>
        </w:rPr>
        <w:t>В январе 1944 г. из цехов стали вы</w:t>
      </w:r>
      <w:r w:rsidRPr="00070ADE">
        <w:rPr>
          <w:rFonts w:ascii="Times New Roman" w:hAnsi="Times New Roman"/>
          <w:color w:val="000000" w:themeColor="text1"/>
          <w:sz w:val="16"/>
          <w:szCs w:val="16"/>
          <w:lang w:eastAsia="ru-RU" w:bidi="ru-RU"/>
        </w:rPr>
        <w:softHyphen/>
        <w:t>ходить первые Ту-2, полностью сделан</w:t>
      </w:r>
      <w:r w:rsidRPr="00070ADE">
        <w:rPr>
          <w:rFonts w:ascii="Times New Roman" w:hAnsi="Times New Roman"/>
          <w:color w:val="000000" w:themeColor="text1"/>
          <w:sz w:val="16"/>
          <w:szCs w:val="16"/>
          <w:lang w:eastAsia="ru-RU" w:bidi="ru-RU"/>
        </w:rPr>
        <w:softHyphen/>
        <w:t>ные в Москве на заводе № 23. Производство постепенно налаживалось. В июле первый раз уда</w:t>
      </w:r>
      <w:r w:rsidRPr="00070ADE">
        <w:rPr>
          <w:rFonts w:ascii="Times New Roman" w:hAnsi="Times New Roman"/>
          <w:color w:val="000000" w:themeColor="text1"/>
          <w:sz w:val="16"/>
          <w:szCs w:val="16"/>
          <w:lang w:eastAsia="ru-RU" w:bidi="ru-RU"/>
        </w:rPr>
        <w:softHyphen/>
        <w:t>лось выполнить месячный план, в августе его перевыполнили. Далее процесс шел по нарастающей; в декабре завод сдал 52 самолета - 173% плана. Это, правда, не спасло от упреков из наркомата за срыв годового плана (вместо 453 ма</w:t>
      </w:r>
      <w:r w:rsidRPr="00070ADE">
        <w:rPr>
          <w:rFonts w:ascii="Times New Roman" w:hAnsi="Times New Roman"/>
          <w:color w:val="000000" w:themeColor="text1"/>
          <w:sz w:val="16"/>
          <w:szCs w:val="16"/>
          <w:lang w:eastAsia="ru-RU" w:bidi="ru-RU"/>
        </w:rPr>
        <w:softHyphen/>
        <w:t>шин сделали 378, а сдали 360). По-прежнему шло много брака, но на</w:t>
      </w:r>
      <w:r w:rsidRPr="00070ADE">
        <w:rPr>
          <w:rFonts w:ascii="Times New Roman" w:hAnsi="Times New Roman"/>
          <w:color w:val="000000" w:themeColor="text1"/>
          <w:sz w:val="16"/>
          <w:szCs w:val="16"/>
          <w:lang w:eastAsia="ru-RU" w:bidi="ru-RU"/>
        </w:rPr>
        <w:softHyphen/>
        <w:t>иболее серьезные недостатки постепенно исправлялись (21060).</w:t>
      </w:r>
    </w:p>
    <w:p w14:paraId="2C78CB19" w14:textId="77777777" w:rsidR="007B617D" w:rsidRPr="00070ADE" w:rsidRDefault="007B617D" w:rsidP="00B56F90">
      <w:pPr>
        <w:spacing w:after="0" w:line="240" w:lineRule="auto"/>
        <w:jc w:val="both"/>
        <w:rPr>
          <w:rFonts w:ascii="Times New Roman" w:hAnsi="Times New Roman"/>
          <w:color w:val="000000" w:themeColor="text1"/>
          <w:sz w:val="16"/>
          <w:szCs w:val="16"/>
          <w:lang w:eastAsia="ru-RU" w:bidi="ru-RU"/>
        </w:rPr>
      </w:pPr>
    </w:p>
    <w:p w14:paraId="31145599" w14:textId="77777777" w:rsidR="007B617D" w:rsidRPr="00070ADE" w:rsidRDefault="007B617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января 1944 г. начали выпускаться бомбардировщики Ту-2С и весной того же года появились на фронте. До конца 1945 гг. было построено 1163 бомбардировщика Ту-2, 20 разведчиков Ту-2Р и 33 самолета Ту-2У, серийное производство продолжалось до 1952 г. (19727).</w:t>
      </w:r>
    </w:p>
    <w:p w14:paraId="7424AE6A" w14:textId="77777777" w:rsidR="007B617D" w:rsidRPr="00070ADE" w:rsidRDefault="007B617D" w:rsidP="00B56F90">
      <w:pPr>
        <w:spacing w:after="0" w:line="240" w:lineRule="auto"/>
        <w:jc w:val="both"/>
        <w:rPr>
          <w:rFonts w:ascii="Times New Roman" w:hAnsi="Times New Roman"/>
          <w:color w:val="000000" w:themeColor="text1"/>
          <w:sz w:val="16"/>
          <w:szCs w:val="16"/>
        </w:rPr>
      </w:pPr>
    </w:p>
    <w:p w14:paraId="3E43FE90"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первый иркутский Ер-2/АЧ-30Б был сдан по сборке и поднялся в воздух 15 февраля 1944 г. Испытания новой машины проводили заводские летчики-испытатели Н.С. Бушкевич, А.А. Холодов, П.И. Тихонов, В.М. Токарев. Самолет принимала государственная комиссия во главе с летчиком-испытателем ПИИ ВВС Кокориным, который отметил в своем рапорте, что руководство и коллектив завода с заданием ГКО справились и головная машина показала удовлетворительные результаты по летным и боевым качествам, а также по прочности конструкции.</w:t>
      </w:r>
    </w:p>
    <w:p w14:paraId="51899D13"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построили десять Ер-2 и 20 Ил-4, в марте - восемнадцать Ер-2 и пятнадцать Ил-4. В июле 1944 г. было построено тридцать Ер-2 параллельно с последними десятью Ил-4.</w:t>
      </w:r>
    </w:p>
    <w:p w14:paraId="275BB5AD"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со своим предшественником, дизельный образец Ер-2 внешне отличался более вытянутыми обводами фюзеляжа, роговой компенсацией рулей поворота, большими колесами, несколько измененной конструкцией жалюзей тоннельных радиаторов и, соответственно, крыла (на носках консолей появились характерные "стаканчики").</w:t>
      </w:r>
    </w:p>
    <w:p w14:paraId="0455642D"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Иркутский вариант Ер-2 имел увеличенную взлетную массу и площадь крыла, усиленное оборонительное вооружение, состоявшее из двух крупнокалиберных пулеметов УБТ и УБК, а также пушки ШВАК на ту- рельной установке ТУМ-5. Максимальная бомбовая нагрузка возросла до 5000 кг, сделав Ер-2 самым мощным двухмоторным бомбардировщиком отечественной постройки.</w:t>
      </w:r>
    </w:p>
    <w:p w14:paraId="5AF0B9E9"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Строившиеся серийные самолеты отнюдь не были "близнецами" и между собой. Так длительная и сложная технология изготовления эллипсовидной носовой части и, соответственно, жесткие требования к сборочной оснастке и геометрическим контурам, побудили конструкторов изменить обводы штурманской кабины.</w:t>
      </w:r>
    </w:p>
    <w:p w14:paraId="6018F5E3"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 разработан вариант "со спрямленным носом", позволявший, в частности, упростить и ускорить изготовление остекления. Аэродинамика при этом не ухудшилась. Комплект упрощенных стапелей запустили в производство параллельно с уже использующейся старой оснасткой. Самолет, в зависимости от того, на какую линию сборки он попадал, мог получить разные носовые части. Таким образом, различия в иркутских машинах, которые можно видеть на сохранившихся фотоснимках, объясняются этой причиной, а не временем выпуска и серией машины. Например, уже среди первых 22 иркутских Ер-2 с симметричной кабиной пилота, часть самолетов имела новую носовую часть.</w:t>
      </w:r>
    </w:p>
    <w:p w14:paraId="389DE1ED"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Поскольку еще в начале войны опыт использования самолетов ДБ-3, Ил-4 и Ер-2 в составе АДД выявил необходимость иметь в составе экипажа дальнего бомбардировщика второго летчика, возобновление производства Ер-2 дало благоприятную возможность реализовать это требование. Ранее были разработаны два варианта двухместной кабины: в первом - летчики сидели друг за другом по схеме "таtщем ", под доработа11 - ным ассиметричным фонарем, во втором - их кресла стояли рядом, боковое обзорное остекление правого борта устранялось и самолет оснащался классическим фонарем (этот вариант В.Г. Ермолаев и утвердил 18 ноября 1943 г.).</w:t>
      </w:r>
    </w:p>
    <w:p w14:paraId="1BF1207C"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Варианты самолета имели, соответственно, наименования Ер-1 и Ер-2, что вносило путаницу в директивную конструкторско-тех- нологическую документацию. В производстве еще находился исходный "одноместный" бомбардировщик Ер-2, а службам подготовки уже стала поступать документация на "двухместный" Ер-1, потом на "двухместный" Ер-2!</w:t>
      </w:r>
    </w:p>
    <w:p w14:paraId="0C77F14B"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Когда же дошла директива "о приостановке работ над самолетом "Ер-1", руководство завода, для наведения ясности "в обозначении производимых изделий", временно ввело для "внутреннего пользования" свои индексы. Исходный "одноместный" бомбардировщик с асимметричной кабиной именовался Ер-2/1, новый, "двухместный" - Ер-2/2. Позже, когда в производстве остался только самолет с двумя летчиками, надобность в этих индексах отпала и вернулись к первоначальному обозначению Ер-2.</w:t>
      </w:r>
    </w:p>
    <w:p w14:paraId="70707F38"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Бомбардировщик нравился строевым летчикам за его удобную кабину с отличным обзором, хорошую устойчивость и легкость в управлении, высокую живучесть, значительно возросшие возможности стрелкового и бомбового вооружения. Иркутские "Ермошки" интенсивно использовались на северо-западном и прибалтийском направлениях. В частности, своими крупнокалиберными бомбами они внесли существенный вклад в успех штурма Кенигсберга.</w:t>
      </w:r>
    </w:p>
    <w:p w14:paraId="26CD714B"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Дизельные двигатели АЧ-ЗОБ, официально считавшимися вполне надежными для серии, не переставали подбрасывать проблемы. Выходила из строя масляная система, прогорали поршневые кольца и т.п. Но зачастую причинами отказов были отнюдь не конструктивные дефекты. Для многих двигателей использовался металл, содержащий некачественные заменители дефицитных легирующих добавок, доставлявшихся из-за рубежа. "Эрзац" не выдерживал иногда даже штатной "напряженной" работы, не говоря уже о форсированных режимах... Это явилось причиной некоторых аварий на перегонах Ер-2 в строевые части, а также ряда вынужденных посадок на заводских испытаниях.</w:t>
      </w:r>
    </w:p>
    <w:p w14:paraId="32801E18"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Например, на опытной машине, оснащенной флюгерными винтами, предполагалось проверить их работу при отключаемых двигателях. Новый вариант Ер-2 испытывал экипаж завода № 39 - летчик И.П. Яшин, контрольный бортмеханик П.Ф. Крейсик и бортрадист В.И. Кишкин. В воздухе левый дизель "решил играть честно" - масляная система вышла из строя и флюгировать винт пришлось в реальной аварийной ситуации. С одним работающим двигателем возникла резкая тряска и экипажу была дана команда покинуть самолет, но Яшин и Крейсик, предупредив радиста, дотянули все-таки до заводского аэродрома (12037).</w:t>
      </w:r>
    </w:p>
    <w:p w14:paraId="780F3C02" w14:textId="77777777" w:rsidR="007B617D" w:rsidRPr="00070ADE" w:rsidRDefault="007B617D" w:rsidP="00B56F90">
      <w:pPr>
        <w:autoSpaceDE w:val="0"/>
        <w:autoSpaceDN w:val="0"/>
        <w:adjustRightInd w:val="0"/>
        <w:spacing w:after="0" w:line="240" w:lineRule="auto"/>
        <w:jc w:val="both"/>
        <w:rPr>
          <w:rFonts w:ascii="Times New Roman" w:hAnsi="Times New Roman"/>
          <w:color w:val="000000" w:themeColor="text1"/>
          <w:sz w:val="16"/>
          <w:szCs w:val="16"/>
        </w:rPr>
      </w:pPr>
    </w:p>
    <w:p w14:paraId="7B7E08E4" w14:textId="77777777" w:rsidR="007B617D" w:rsidRPr="00070ADE" w:rsidRDefault="007B617D"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года головной бомбардировщик Ер-2 № 7013901 иркутской серии с двумя дизелями М-30Б вышел на заводские испытания. От самолетов воронежской серии Ер-2 с двигателями М-105, иркутская машина имела существенные отличия. Для размещения второго пилота рядом с первым, кабина летчиков была расширена. Возросли площади крыла, вертикального и горизонтального оперения. Дизельные двигатели для обеспечения центровки были вынесены вперед на 145 мм. На них установили винты ВИШ-24. Изменилась форма мотогондол. Значительно улучшилось оборонительное вооружение. Носовую стрелковую установку Торопова под пулемет Березина с ленточным питанием заменили на установку НУ-134 под пулемет Березина с магазинным питанием. Вместо верхней оборонительной турели ТУМ-2 установили сначала турель ТУМ-5, а затем модифицированную ТУМ-5М с электроприводом по горизонту и пушкой ШВАК. В люковой установке вместо пулемета БТ с ручной перезарядкой появился УБК с пневматической перезарядкой. Усовершенствовали и бомбардировочное вооружение. Вместо одного прицела ПС-1 поставили два, из них ОПБ-1 для дневного и НКПБ-7 - для ночного бомбометания. Была увеличена емкость топливных баков до 6420 литров и внедрена система их заполнения нейтральным газом. Бронирование самолета было также усилено. Кресла пилотов оборудовали бронеспинкой толщиной 12 мм. и заголовником толщиной 15 мм. На дверь стрелка установили броню толщиной 12 мм. В связи с возросшим взлетным весом, машину оснастили новыми пневматиками размером 1325 х 485 мм. для основных стоек и 700 х 300 – для костыльной установки.</w:t>
      </w:r>
    </w:p>
    <w:p w14:paraId="2D280FE3" w14:textId="77777777" w:rsidR="007B617D" w:rsidRPr="00070ADE" w:rsidRDefault="007B617D"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Наземную отработку машины осуществляла бригада в составе ведущего инженера по испытаниям Н.М. Кокорина, начальника ЛЭГа В.Х. Отченашенко, зам. начальника ОТК Л.М. Малышева, контрольного бортмеханика Л.М. Лосева, бортмеханика Д.И. Кирюхина с привлечением специалистов по электрорадиоприборному оборудованию и вооружению. 15-го февраля головной Ер-2 летчиками завода № 39 был поднят в воздух. В экипаж входил первый летчик Н.С. Бушкевич, второй летчик А.А. Холодов, штурман В.В. Цветков, стрелок-радист В.В. Селиверстов. Заводские испытания, в которых принимала участие бригада ОКБ, руководимая главным конструктором В.Г. Ермолаевым, завершились с удовлетворительным результатом.</w:t>
      </w:r>
    </w:p>
    <w:p w14:paraId="74F63115" w14:textId="77777777" w:rsidR="007B617D" w:rsidRPr="00070ADE" w:rsidRDefault="007B617D"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Государственные испытания головной машины также начались в Иркутске. В них принимал участие экипаж в составе летчика-испытателя ОКБ В.В. Лисицина, летчика-испытателя завода Н.С. Бушкевича, штурмана И.С. Литвинчука, стрелка-радиста П.К. Шмелева. В испытательной зоне завода было выполнено 10 полетов. В начале апреля 1944 года был совершен перелет Иркутск – Москва (Чкаловская) с промежуточными посадками в Красноярске, Новосибирске, Омске, Свердловске. Из-за многочисленных дефектов испытания проходили тяжело и шесть раз прерывались для доработки самолетных систем и двигателей. Устранение возникающих отказов проводила бригада бортмеханика Д.И. Кирюхина, представителей моторостроительного завода № 500, которые сопровождали дальний перелет Ер-2 на транспортном самолете Ли-2. Испытания Ер-2 № 7013901, продолженные в НИИ ВВС, также проходили нелегко. За время испытаний было совершено 66 вылетов, 15 из которых прекращались из-за отказов материальной части. В Акте по результатам Государственных испытаний отмечалось, что головной серийный модифицированный самолет Ер-2 № 7013901 испытания не выдержал из-за «наличия большого количества производственных дефектов на моторах АЧ-30Б, резкого ухудшения взлетных качеств, неудовлетворительной работы бомбардировочного вооружения, плохого производственного выполнения планера самолета и его агрегатов, невозможности выполнения горизонтального полета на одном работающем моторе с полетным весом 14850 кг».</w:t>
      </w:r>
    </w:p>
    <w:p w14:paraId="23C5E69F" w14:textId="77777777" w:rsidR="007B617D" w:rsidRPr="00070ADE" w:rsidRDefault="007B617D"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числу наиболее серьезных претензий к дизельному двигателю АЧ-30Б военные относили «…зависание плунжера топливного насоса, разрушение труб турбокомпрессора, течь воды и масла». Хватало дефектов и по планеру. Изогнутое остекление фонаря кабины пилотов вносило сильные искажения и затрудняло выполнение взлета и посадки, отказывали системы выпуска и уборки шасси, донимали течи гидросистемы. Однако основными недостатками бомбардировщика считались большая длина разбега и малая скороподъемность, затрудняющие выполнение взлета, а также неспособность его лететь без снижения на одном двигателе.</w:t>
      </w:r>
    </w:p>
    <w:p w14:paraId="7A2D1C21" w14:textId="77777777" w:rsidR="007B617D" w:rsidRPr="00070ADE" w:rsidRDefault="007B617D"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Ознакомившись с актом Государственных испытаний, Нарком авиационной промышленности А.И. Шахурин приказывает главному конструктору А.Д. Чаромскому и директору завода № 500 Петрову, директору завода № 39 В.И. Абрамову и главному конструктору Ер-2 В.Г. Ермолаеву немедленно устранить все выявленные дефекты по двигателю и планеру. Для принятия решения по дизельным двигателям на месте, в Иркутск прибыли представители наркомата авиапромышленности, Военно-Воздушных сил и моторостроительного завода № 500. Двигатели были признаны непригодными к эксплуатации и подлежали замене на кондиционные улучшенной конструкции. После доработки дефектных АЧ-30Б выездной бригадой завода № 500, серийное производство бомбардировщиков было продолжено. В 1944 году, наряду с продолжающимся выпуском Ил-4, заводу № 39 предстояло построить 225 новых бомбардировщиков Ер-2 (15223).</w:t>
      </w:r>
    </w:p>
    <w:p w14:paraId="2F9D0AEF" w14:textId="77777777" w:rsidR="007B617D" w:rsidRPr="00070ADE" w:rsidRDefault="007B617D" w:rsidP="00B56F90">
      <w:pPr>
        <w:shd w:val="clear" w:color="auto" w:fill="FFFFFF"/>
        <w:spacing w:after="0" w:line="240" w:lineRule="auto"/>
        <w:jc w:val="both"/>
        <w:rPr>
          <w:rFonts w:ascii="Times New Roman" w:hAnsi="Times New Roman"/>
          <w:color w:val="000000" w:themeColor="text1"/>
          <w:sz w:val="16"/>
          <w:szCs w:val="16"/>
        </w:rPr>
      </w:pPr>
    </w:p>
    <w:p w14:paraId="269BE9B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в 15-х стационарных авиаремонтных мастерских (сам) ВВС Северного флота (СФ) была фронтовая переделка Як-1 № 4353 в Як-16, но проведенная. В мемуарах А.С. Яковлева упоминается еше один самолет с наименованием Як-1б - фронтовая переделка Як-1 в модификацию с новым фонарем кабины и пониженным гаргротом, проведенная в полку майора Ф.И. Шинкаренко. Как удалось в последнее время установить, подобные работы имели место в 42-м иап в 1942 г., но объектом для модификации был не Як-1, а Як-7Б. Таким образом, приоритет в создании новой модификации Як-1 принадлежит ОКБ (12048).</w:t>
      </w:r>
    </w:p>
    <w:p w14:paraId="466304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FA035E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на Саратовском авиазаводе начато серийное производство истребителя Як-3 (6395).</w:t>
      </w:r>
    </w:p>
    <w:p w14:paraId="203FBE93"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7ECBF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после коротких заводских испытаний на гос. испытания поступил второй Як-3 с ВК-107А с 2хБС-20 и сдвинутой на 400 мм назад кабиной. Военнные сочли лучшим из лучших, но в серию не рекомендовали из-за ненадежности ВК-107А (1728,35).</w:t>
      </w:r>
    </w:p>
    <w:p w14:paraId="4363B6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A6491D" w14:textId="77777777" w:rsidR="007B617D" w:rsidRPr="00C94B78" w:rsidRDefault="007B617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январе 1944 г. высотный двигатель ВК</w:t>
      </w:r>
      <w:r w:rsidRPr="00C94B78">
        <w:rPr>
          <w:rFonts w:ascii="Times New Roman" w:hAnsi="Times New Roman"/>
          <w:color w:val="0070C0"/>
          <w:sz w:val="16"/>
          <w:szCs w:val="16"/>
        </w:rPr>
        <w:noBreakHyphen/>
        <w:t>105ПД с двухступенчатым наддувом установили на планере Як</w:t>
      </w:r>
      <w:r w:rsidRPr="00C94B78">
        <w:rPr>
          <w:rFonts w:ascii="Times New Roman" w:hAnsi="Times New Roman"/>
          <w:color w:val="0070C0"/>
          <w:sz w:val="16"/>
          <w:szCs w:val="16"/>
        </w:rPr>
        <w:noBreakHyphen/>
        <w:t>3 (36–20). В феврале провели два пробных полета. Удалось достичь высоты лишь 9000 метров, после чего давление топлива упало до нуля. 19 февраля 1945 года самолет передали в ЛИИ. Тут он получил новый двигатель с наддувом Э</w:t>
      </w:r>
      <w:r w:rsidRPr="00C94B78">
        <w:rPr>
          <w:rFonts w:ascii="Times New Roman" w:hAnsi="Times New Roman"/>
          <w:color w:val="0070C0"/>
          <w:sz w:val="16"/>
          <w:szCs w:val="16"/>
        </w:rPr>
        <w:noBreakHyphen/>
        <w:t>100, а испытания продолжались до 5 мая 1945 года. Кроме того, самолет получил новое вооружение, состоявшее из пушки НС</w:t>
      </w:r>
      <w:r w:rsidRPr="00C94B78">
        <w:rPr>
          <w:rFonts w:ascii="Times New Roman" w:hAnsi="Times New Roman"/>
          <w:color w:val="0070C0"/>
          <w:sz w:val="16"/>
          <w:szCs w:val="16"/>
        </w:rPr>
        <w:noBreakHyphen/>
        <w:t>23 (60 выстрелов). Размах крыльев увеличили на 60 см. двигатель вращал винт ВИШ</w:t>
      </w:r>
      <w:r w:rsidRPr="00C94B78">
        <w:rPr>
          <w:rFonts w:ascii="Times New Roman" w:hAnsi="Times New Roman"/>
          <w:color w:val="0070C0"/>
          <w:sz w:val="16"/>
          <w:szCs w:val="16"/>
        </w:rPr>
        <w:noBreakHyphen/>
        <w:t>105Л</w:t>
      </w:r>
      <w:r w:rsidRPr="00C94B78">
        <w:rPr>
          <w:rFonts w:ascii="Times New Roman" w:hAnsi="Times New Roman"/>
          <w:color w:val="0070C0"/>
          <w:sz w:val="16"/>
          <w:szCs w:val="16"/>
        </w:rPr>
        <w:noBreakHyphen/>
        <w:t>2 диаметром 3 метра. Хотя самолет имел потолок 11500 метров, на практике лететь горизонтально на высотах более 10000 метров истребитель не мог из</w:t>
      </w:r>
      <w:r w:rsidRPr="00C94B78">
        <w:rPr>
          <w:rFonts w:ascii="Times New Roman" w:hAnsi="Times New Roman"/>
          <w:color w:val="0070C0"/>
          <w:sz w:val="16"/>
          <w:szCs w:val="16"/>
        </w:rPr>
        <w:noBreakHyphen/>
        <w:t>за перегрева двигателя (25075).</w:t>
      </w:r>
    </w:p>
    <w:p w14:paraId="504FC96E" w14:textId="77777777" w:rsidR="007B617D" w:rsidRPr="00C94B78" w:rsidRDefault="007B617D" w:rsidP="00B56F90">
      <w:pPr>
        <w:spacing w:after="0" w:line="240" w:lineRule="auto"/>
        <w:jc w:val="both"/>
        <w:rPr>
          <w:rFonts w:ascii="Times New Roman" w:hAnsi="Times New Roman"/>
          <w:color w:val="0070C0"/>
          <w:sz w:val="16"/>
          <w:szCs w:val="16"/>
        </w:rPr>
      </w:pPr>
    </w:p>
    <w:p w14:paraId="78466167" w14:textId="77777777" w:rsidR="00121DCD" w:rsidRPr="00070ADE" w:rsidRDefault="00121DC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Тушинский авиаза</w:t>
      </w:r>
      <w:r w:rsidRPr="00070ADE">
        <w:rPr>
          <w:rFonts w:ascii="Times New Roman" w:hAnsi="Times New Roman"/>
          <w:color w:val="000000" w:themeColor="text1"/>
          <w:sz w:val="16"/>
          <w:szCs w:val="16"/>
        </w:rPr>
        <w:softHyphen/>
        <w:t>вод № 82 уверенно вышел на темп сборки 3,5 самолетов в день. Дальнейшее увеличение авиавыпуска до четырех самоле</w:t>
      </w:r>
      <w:r w:rsidRPr="00070ADE">
        <w:rPr>
          <w:rFonts w:ascii="Times New Roman" w:hAnsi="Times New Roman"/>
          <w:color w:val="000000" w:themeColor="text1"/>
          <w:sz w:val="16"/>
          <w:szCs w:val="16"/>
        </w:rPr>
        <w:softHyphen/>
        <w:t>тов в день требовало большого напряжения и не могло быть организовано, так как большое количество деталей и агре</w:t>
      </w:r>
      <w:r w:rsidRPr="00070ADE">
        <w:rPr>
          <w:rFonts w:ascii="Times New Roman" w:hAnsi="Times New Roman"/>
          <w:color w:val="000000" w:themeColor="text1"/>
          <w:sz w:val="16"/>
          <w:szCs w:val="16"/>
        </w:rPr>
        <w:softHyphen/>
        <w:t>гатов все еще являлись дефицитными для сборки. По этой же причине не начиналось поточное производство в цехах, где уже смонтировали конвейерные линии. Поскольку вне</w:t>
      </w:r>
      <w:r w:rsidRPr="00070ADE">
        <w:rPr>
          <w:rFonts w:ascii="Times New Roman" w:hAnsi="Times New Roman"/>
          <w:color w:val="000000" w:themeColor="text1"/>
          <w:sz w:val="16"/>
          <w:szCs w:val="16"/>
        </w:rPr>
        <w:softHyphen/>
        <w:t>дрение в производство истребителей Як-9У по объектив</w:t>
      </w:r>
      <w:r w:rsidRPr="00070ADE">
        <w:rPr>
          <w:rFonts w:ascii="Times New Roman" w:hAnsi="Times New Roman"/>
          <w:color w:val="000000" w:themeColor="text1"/>
          <w:sz w:val="16"/>
          <w:szCs w:val="16"/>
        </w:rPr>
        <w:softHyphen/>
        <w:t>ным причинам шло с отставанием от графика, плановое за</w:t>
      </w:r>
      <w:r w:rsidRPr="00070ADE">
        <w:rPr>
          <w:rFonts w:ascii="Times New Roman" w:hAnsi="Times New Roman"/>
          <w:color w:val="000000" w:themeColor="text1"/>
          <w:sz w:val="16"/>
          <w:szCs w:val="16"/>
        </w:rPr>
        <w:softHyphen/>
        <w:t>дание I квартала по этой машине завод компенсировал пе</w:t>
      </w:r>
      <w:r w:rsidRPr="00070ADE">
        <w:rPr>
          <w:rFonts w:ascii="Times New Roman" w:hAnsi="Times New Roman"/>
          <w:color w:val="000000" w:themeColor="text1"/>
          <w:sz w:val="16"/>
          <w:szCs w:val="16"/>
        </w:rPr>
        <w:softHyphen/>
        <w:t>ревыполнением плана по Як-7Б.</w:t>
      </w:r>
    </w:p>
    <w:p w14:paraId="3F13A9EC" w14:textId="77777777" w:rsidR="00121DCD" w:rsidRPr="00070ADE" w:rsidRDefault="00121DC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10 на 11 апреля на заводе №82 произошел по</w:t>
      </w:r>
      <w:r w:rsidRPr="00070ADE">
        <w:rPr>
          <w:rFonts w:ascii="Times New Roman" w:hAnsi="Times New Roman"/>
          <w:color w:val="000000" w:themeColor="text1"/>
          <w:sz w:val="16"/>
          <w:szCs w:val="16"/>
        </w:rPr>
        <w:softHyphen/>
        <w:t>жар, который полностью уничтожил заготовительно-штам</w:t>
      </w:r>
      <w:r w:rsidRPr="00070ADE">
        <w:rPr>
          <w:rFonts w:ascii="Times New Roman" w:hAnsi="Times New Roman"/>
          <w:color w:val="000000" w:themeColor="text1"/>
          <w:sz w:val="16"/>
          <w:szCs w:val="16"/>
        </w:rPr>
        <w:softHyphen/>
        <w:t>повочный цех №2, цех покрытий №12, шаблонно-плазовый цех №23 и цех главного механика №9. Частично постра</w:t>
      </w:r>
      <w:r w:rsidRPr="00070ADE">
        <w:rPr>
          <w:rFonts w:ascii="Times New Roman" w:hAnsi="Times New Roman"/>
          <w:color w:val="000000" w:themeColor="text1"/>
          <w:sz w:val="16"/>
          <w:szCs w:val="16"/>
        </w:rPr>
        <w:softHyphen/>
        <w:t>дали слесарно-заготовительный цех №20 и механический №1. Последствия пожара были столь большими, потому что в его очаге оказалась позиция зенитного орудия, боеза</w:t>
      </w:r>
      <w:r w:rsidRPr="00070ADE">
        <w:rPr>
          <w:rFonts w:ascii="Times New Roman" w:hAnsi="Times New Roman"/>
          <w:color w:val="000000" w:themeColor="text1"/>
          <w:sz w:val="16"/>
          <w:szCs w:val="16"/>
        </w:rPr>
        <w:softHyphen/>
        <w:t>пас которого начал рваться. Только прибывшим из Москвы пожарным командам удалось отстоять фюзеляжный и сбо</w:t>
      </w:r>
      <w:r w:rsidRPr="00070ADE">
        <w:rPr>
          <w:rFonts w:ascii="Times New Roman" w:hAnsi="Times New Roman"/>
          <w:color w:val="000000" w:themeColor="text1"/>
          <w:sz w:val="16"/>
          <w:szCs w:val="16"/>
        </w:rPr>
        <w:softHyphen/>
        <w:t>рочный цеха. В огне сгорело не только оборудование, но и запас готовых изделий на майскую и июньскую программы Як-9У. Испытывая трудности с выполнением поставленной задачи по серийному выпуску этого типа самолета, дирек</w:t>
      </w:r>
      <w:r w:rsidRPr="00070ADE">
        <w:rPr>
          <w:rFonts w:ascii="Times New Roman" w:hAnsi="Times New Roman"/>
          <w:color w:val="000000" w:themeColor="text1"/>
          <w:sz w:val="16"/>
          <w:szCs w:val="16"/>
        </w:rPr>
        <w:softHyphen/>
        <w:t>тор завода буквально выпросил у наркома авиапромыш</w:t>
      </w:r>
      <w:r w:rsidRPr="00070ADE">
        <w:rPr>
          <w:rFonts w:ascii="Times New Roman" w:hAnsi="Times New Roman"/>
          <w:color w:val="000000" w:themeColor="text1"/>
          <w:sz w:val="16"/>
          <w:szCs w:val="16"/>
        </w:rPr>
        <w:softHyphen/>
        <w:t>ленности разрешение продолжить изготовление истреби</w:t>
      </w:r>
      <w:r w:rsidRPr="00070ADE">
        <w:rPr>
          <w:rFonts w:ascii="Times New Roman" w:hAnsi="Times New Roman"/>
          <w:color w:val="000000" w:themeColor="text1"/>
          <w:sz w:val="16"/>
          <w:szCs w:val="16"/>
        </w:rPr>
        <w:softHyphen/>
        <w:t>телей Як-7Б до июля 1944 г. Выпуск Як-7Б на заводе №82 закончился 30-й серией. В течение г. особых изменений в конструкцию самолета не вносилось. Результаты работы завода №82 в 1944 г. отображены в таблице 11.</w:t>
      </w:r>
    </w:p>
    <w:p w14:paraId="706AA629" w14:textId="77777777" w:rsidR="00121DCD" w:rsidRPr="00070ADE" w:rsidRDefault="00121DC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с начала выпуска всеми заводами изготовлено 6428 самолетов типа Як-7. Все обнаруженные несоответ</w:t>
      </w:r>
      <w:r w:rsidRPr="00070ADE">
        <w:rPr>
          <w:rFonts w:ascii="Times New Roman" w:hAnsi="Times New Roman"/>
          <w:color w:val="000000" w:themeColor="text1"/>
          <w:sz w:val="16"/>
          <w:szCs w:val="16"/>
        </w:rPr>
        <w:softHyphen/>
        <w:t>ствия и (или) разногласия в данных по различным источни</w:t>
      </w:r>
      <w:r w:rsidRPr="00070ADE">
        <w:rPr>
          <w:rFonts w:ascii="Times New Roman" w:hAnsi="Times New Roman"/>
          <w:color w:val="000000" w:themeColor="text1"/>
          <w:sz w:val="16"/>
          <w:szCs w:val="16"/>
        </w:rPr>
        <w:softHyphen/>
        <w:t>кам приведены в примечаниях к таблицам. Выпуск машин типа Як-7 по г.м изготовления в разрезе заводов-изготови</w:t>
      </w:r>
      <w:r w:rsidRPr="00070ADE">
        <w:rPr>
          <w:rFonts w:ascii="Times New Roman" w:hAnsi="Times New Roman"/>
          <w:color w:val="000000" w:themeColor="text1"/>
          <w:sz w:val="16"/>
          <w:szCs w:val="16"/>
        </w:rPr>
        <w:softHyphen/>
        <w:t>телей и модификаций приведен в таблицах 12 и 13 (23381).</w:t>
      </w:r>
    </w:p>
    <w:p w14:paraId="46757485" w14:textId="77777777" w:rsidR="00121DCD" w:rsidRPr="00070ADE" w:rsidRDefault="00121DCD" w:rsidP="00B56F90">
      <w:pPr>
        <w:spacing w:after="0" w:line="240" w:lineRule="auto"/>
        <w:jc w:val="both"/>
        <w:rPr>
          <w:rFonts w:ascii="Times New Roman" w:hAnsi="Times New Roman"/>
          <w:color w:val="000000" w:themeColor="text1"/>
          <w:sz w:val="16"/>
          <w:szCs w:val="16"/>
        </w:rPr>
      </w:pPr>
    </w:p>
    <w:p w14:paraId="635452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ЦИАМ проверил впрыск воды в М-105ПД для охлаждения воздуха на всасывании (1824,18).</w:t>
      </w:r>
    </w:p>
    <w:p w14:paraId="34E826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06D0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на заводе 21 был выпущен эталонный Ла-7 и в течение января-апреля 1944 он прошел гос. испытания и стал выпускаться массово (4,235).</w:t>
      </w:r>
    </w:p>
    <w:p w14:paraId="25666F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CEC513" w14:textId="77777777" w:rsidR="003C231F" w:rsidRPr="00070ADE" w:rsidRDefault="003C231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январе 1944 г. был построен самолет Ла-5 эталон 1944 г., на котором учли все рекомендации ЦАГИ: была проведена внешняя и внутренняя герметизация винтомоторной группы и планера, установлены щитки, полностью закрывающие ниши шасси, маслорадиатор перенесен под фюзеляж, а всасывающие патрубки нагнетателя — в носок центроплана, улучшена форма зализов между крылом и фюзеляжем, сокращено количество крышек капота и уменьшен размер подвижных </w:t>
      </w:r>
      <w:r w:rsidRPr="00070ADE">
        <w:rPr>
          <w:rFonts w:ascii="Times New Roman" w:hAnsi="Times New Roman"/>
          <w:color w:val="000000" w:themeColor="text1"/>
          <w:sz w:val="16"/>
          <w:szCs w:val="16"/>
        </w:rPr>
        <w:lastRenderedPageBreak/>
        <w:t>боковых створок; за счет установки аэродинамических компенсаторов на рулях высоты удалось уменьшить усилия на ручке управления на 20—23%. Первоначально собирались использовать усовершенствованный мотор М-82ФНА с новым нагнетателем. Он был чуть-чуть длиннее мотора М-82ФН. Однако вскоре выяснилось, что этот двигатель не будет готов в срок. Пришлось вернуться к М-82ФН, но его поставили на другую мотораму и несколько иначе закапотировали: боковые створки укоротили по высоте, уменьшили количество различных крышек, поставили индивидуальные (вместо спаренных и строенных) выхлопные патрубки на все цилиндры мотора. Кроме того, деревянные лонжероны крыла заменили металлическими, но внедрение в серию этого мероприятия отложили до марта 1944 г., когда завод № 21 получил необходимое металлорежущее оборудование. С металлическими лонжеронами построили также 89 истребителей Ла-5ФН и самолет Ла-7 получил их, так сказать, по наследству. В 1944—1945 гг. было построено 5658 истребителей Ла-7 и 213 самолетов Ла-7УТИ (18727).</w:t>
      </w:r>
    </w:p>
    <w:p w14:paraId="486B677B" w14:textId="77777777" w:rsidR="003C231F" w:rsidRPr="00070ADE" w:rsidRDefault="003C231F" w:rsidP="00B56F90">
      <w:pPr>
        <w:spacing w:after="0" w:line="240" w:lineRule="auto"/>
        <w:jc w:val="both"/>
        <w:rPr>
          <w:rFonts w:ascii="Times New Roman" w:hAnsi="Times New Roman"/>
          <w:color w:val="000000" w:themeColor="text1"/>
          <w:sz w:val="16"/>
          <w:szCs w:val="16"/>
        </w:rPr>
      </w:pPr>
    </w:p>
    <w:p w14:paraId="5B6DC4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на 21 заводе был оборудован Ла-5 с ТК и несколько увеличенными несущими поверхностями (1824,19).</w:t>
      </w:r>
    </w:p>
    <w:p w14:paraId="1D0550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FD6F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самолет ЛА-5 с АШ-82ФН и 2ТК-3 был закончен производством. Задержка произошла из-за загрузки опытного цеха работами по самолету Ла-7. В феврале полетов не производилось из-за отсутствия летной погоды. Из-за появления стружки в маслосистеме при опробовании мотора на земле, произведена смена мотора. В марте произведено два контрольных полета до высоты 3000 м, винто-моторная группа работала нормально (1825,208).</w:t>
      </w:r>
    </w:p>
    <w:p w14:paraId="689959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17DE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был построен Ла-5 с М-82ФН с 3 синхронными пушками Б-20 (2902,3).</w:t>
      </w:r>
    </w:p>
    <w:p w14:paraId="54B70F7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D992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был построен самолете "Ла-5 эталон 1944 г.", на котором учли все рекомендации ЦАГИ: была проведена внешняя и внутренняя герметизация винто-мотор-ной группы и планера, установлены щитки, полностью закрывающие ниши шасси, маслорадиатор перенесен под фюзеляж, а всасывающие патрубки нагнетателя - в носок центроплана, улучшена форма зализов между крылом и фюзеляжем, сокращено количество крышек капота и уменьшен размер подвижных боковых створок; за счет установки аэродинамических компенсаторов на рулях высоты удалось уменьшить усилия на ручке управления на 20-23%. "Эталон" получил усиленное вооружение из трех 20-мм пушек Березина УБ-20 с боезапасом по 150 снарядов на ствол (4707).</w:t>
      </w:r>
    </w:p>
    <w:p w14:paraId="6ECEDC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ED37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года вышла на аэродром опытная ма</w:t>
      </w:r>
      <w:r w:rsidRPr="00070ADE">
        <w:rPr>
          <w:rFonts w:ascii="Times New Roman" w:hAnsi="Times New Roman"/>
          <w:color w:val="000000" w:themeColor="text1"/>
          <w:sz w:val="16"/>
          <w:szCs w:val="16"/>
        </w:rPr>
        <w:softHyphen/>
        <w:t>шина «3Б», также называемой «эта</w:t>
      </w:r>
      <w:r w:rsidRPr="00070ADE">
        <w:rPr>
          <w:rFonts w:ascii="Times New Roman" w:hAnsi="Times New Roman"/>
          <w:color w:val="000000" w:themeColor="text1"/>
          <w:sz w:val="16"/>
          <w:szCs w:val="16"/>
        </w:rPr>
        <w:softHyphen/>
        <w:t>лон Ла-5 1944 года».. Пер</w:t>
      </w:r>
      <w:r w:rsidRPr="00070ADE">
        <w:rPr>
          <w:rFonts w:ascii="Times New Roman" w:hAnsi="Times New Roman"/>
          <w:color w:val="000000" w:themeColor="text1"/>
          <w:sz w:val="16"/>
          <w:szCs w:val="16"/>
        </w:rPr>
        <w:softHyphen/>
        <w:t>воначально эта машина проектиро</w:t>
      </w:r>
      <w:r w:rsidRPr="00070ADE">
        <w:rPr>
          <w:rFonts w:ascii="Times New Roman" w:hAnsi="Times New Roman"/>
          <w:color w:val="000000" w:themeColor="text1"/>
          <w:sz w:val="16"/>
          <w:szCs w:val="16"/>
        </w:rPr>
        <w:softHyphen/>
        <w:t>валась в двух вариантах: с серийным М-82ФН и с улучшенным М-82ФНА (последний был длиннее на 30 мм). Но вскоре стало ясно, что рассчиты</w:t>
      </w:r>
      <w:r w:rsidRPr="00070ADE">
        <w:rPr>
          <w:rFonts w:ascii="Times New Roman" w:hAnsi="Times New Roman"/>
          <w:color w:val="000000" w:themeColor="text1"/>
          <w:sz w:val="16"/>
          <w:szCs w:val="16"/>
        </w:rPr>
        <w:softHyphen/>
        <w:t>вать можно лишь на серийный мо</w:t>
      </w:r>
      <w:r w:rsidRPr="00070ADE">
        <w:rPr>
          <w:rFonts w:ascii="Times New Roman" w:hAnsi="Times New Roman"/>
          <w:color w:val="000000" w:themeColor="text1"/>
          <w:sz w:val="16"/>
          <w:szCs w:val="16"/>
        </w:rPr>
        <w:softHyphen/>
        <w:t>тор (10714).</w:t>
      </w:r>
    </w:p>
    <w:p w14:paraId="776C45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BD7C06" w14:textId="77777777"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опытной машине «ЗБ», также называемой «эталон Ла-5 1944 года», вышел на аэродром. Первоначально эту машину проектировали в двух вариантах: с се</w:t>
      </w:r>
      <w:r w:rsidRPr="00070ADE">
        <w:rPr>
          <w:rFonts w:ascii="Times New Roman" w:hAnsi="Times New Roman"/>
          <w:color w:val="000000" w:themeColor="text1"/>
          <w:sz w:val="16"/>
          <w:szCs w:val="16"/>
        </w:rPr>
        <w:softHyphen/>
        <w:t>рийным М-82ФН и с улучшенным М-82ФНА (последний был длиннее на 30 мм). Но вскоре стало ясно, что рассчитывать можно лишь на серийный мотор (15829).</w:t>
      </w:r>
    </w:p>
    <w:p w14:paraId="734BA38E" w14:textId="77777777"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Принято считать, повышение лётных данных нового истребителя достигалось только за счёт изменения кон</w:t>
      </w:r>
      <w:r w:rsidRPr="00070ADE">
        <w:rPr>
          <w:rFonts w:ascii="Times New Roman" w:hAnsi="Times New Roman"/>
          <w:color w:val="000000" w:themeColor="text1"/>
          <w:sz w:val="16"/>
          <w:szCs w:val="16"/>
        </w:rPr>
        <w:softHyphen/>
        <w:t>струкции самого само</w:t>
      </w:r>
      <w:r w:rsidRPr="00070ADE">
        <w:rPr>
          <w:rFonts w:ascii="Times New Roman" w:hAnsi="Times New Roman"/>
          <w:color w:val="000000" w:themeColor="text1"/>
          <w:sz w:val="16"/>
          <w:szCs w:val="16"/>
        </w:rPr>
        <w:softHyphen/>
        <w:t>лёта, то есть улучшени</w:t>
      </w:r>
      <w:r w:rsidRPr="00070ADE">
        <w:rPr>
          <w:rFonts w:ascii="Times New Roman" w:hAnsi="Times New Roman"/>
          <w:color w:val="000000" w:themeColor="text1"/>
          <w:sz w:val="16"/>
          <w:szCs w:val="16"/>
        </w:rPr>
        <w:softHyphen/>
        <w:t>ем аэродинамики и сни</w:t>
      </w:r>
      <w:r w:rsidRPr="00070ADE">
        <w:rPr>
          <w:rFonts w:ascii="Times New Roman" w:hAnsi="Times New Roman"/>
          <w:color w:val="000000" w:themeColor="text1"/>
          <w:sz w:val="16"/>
          <w:szCs w:val="16"/>
        </w:rPr>
        <w:softHyphen/>
        <w:t>жением веса. Это так и не совсем так.</w:t>
      </w:r>
    </w:p>
    <w:p w14:paraId="37CE7353" w14:textId="77777777"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уже указывалось, снижение веса путём замены деревянных лон</w:t>
      </w:r>
      <w:r w:rsidRPr="00070ADE">
        <w:rPr>
          <w:rFonts w:ascii="Times New Roman" w:hAnsi="Times New Roman"/>
          <w:color w:val="000000" w:themeColor="text1"/>
          <w:sz w:val="16"/>
          <w:szCs w:val="16"/>
        </w:rPr>
        <w:softHyphen/>
        <w:t>жеронов крыла на ме</w:t>
      </w:r>
      <w:r w:rsidRPr="00070ADE">
        <w:rPr>
          <w:rFonts w:ascii="Times New Roman" w:hAnsi="Times New Roman"/>
          <w:color w:val="000000" w:themeColor="text1"/>
          <w:sz w:val="16"/>
          <w:szCs w:val="16"/>
        </w:rPr>
        <w:softHyphen/>
        <w:t>таллические ОКБ осу</w:t>
      </w:r>
      <w:r w:rsidRPr="00070ADE">
        <w:rPr>
          <w:rFonts w:ascii="Times New Roman" w:hAnsi="Times New Roman"/>
          <w:color w:val="000000" w:themeColor="text1"/>
          <w:sz w:val="16"/>
          <w:szCs w:val="16"/>
        </w:rPr>
        <w:softHyphen/>
        <w:t>ществило ещё в начале 1943 г. на опытном Ла- 5ФН «Дублер». Но вне</w:t>
      </w:r>
      <w:r w:rsidRPr="00070ADE">
        <w:rPr>
          <w:rFonts w:ascii="Times New Roman" w:hAnsi="Times New Roman"/>
          <w:color w:val="000000" w:themeColor="text1"/>
          <w:sz w:val="16"/>
          <w:szCs w:val="16"/>
        </w:rPr>
        <w:softHyphen/>
        <w:t>дрение в серию этого мероприятия отложили до весны 1944 г., так как только в это время завод № 21 полу</w:t>
      </w:r>
      <w:r w:rsidRPr="00070ADE">
        <w:rPr>
          <w:rFonts w:ascii="Times New Roman" w:hAnsi="Times New Roman"/>
          <w:color w:val="000000" w:themeColor="text1"/>
          <w:sz w:val="16"/>
          <w:szCs w:val="16"/>
        </w:rPr>
        <w:softHyphen/>
        <w:t>чил необходимое металлорежущее оборудование. Металлические лонжероны пошли в серию в марте 1944 г. ещё на Ла-5ФН тип 41, их той весной построили 89 штук. Так что металлические лонжероны будущий Ла-7 получил, так сказать, по наследству.</w:t>
      </w:r>
    </w:p>
    <w:p w14:paraId="062B10FF" w14:textId="77777777"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вот на аэродинамических улучшениях следует остановиться поподробнее. Ещё в начале 1943 г., после проведения тщательных исследований Ла-5 в аэродинамических трубах, ЦАГИ выдал ОКБ Лавочкина целый ряд рекомендаций по неиспользованным резервам в области аэродинамики. Часть из них успели внедрить в серию тогда же на Ла-5ФН: это улучшенные всасывающий и выхлопные патрубки. Но на самом деле ре</w:t>
      </w:r>
      <w:r w:rsidRPr="00070ADE">
        <w:rPr>
          <w:rFonts w:ascii="Times New Roman" w:hAnsi="Times New Roman"/>
          <w:color w:val="000000" w:themeColor="text1"/>
          <w:sz w:val="16"/>
          <w:szCs w:val="16"/>
        </w:rPr>
        <w:softHyphen/>
        <w:t>комендации ЦАГИ оказались гораздо шире. Так, учёные показали, что расположение маслорадиатора под фюзеляжем (за 5-м шпангоутом) в специально спрофилированном туннеле снижает его лобовое сопротивление в 2 раза и обеспечивает расход воздуха через радиатор на 25-30% больший, чем при серийном варианте.</w:t>
      </w:r>
    </w:p>
    <w:p w14:paraId="3D37B1F2" w14:textId="77777777"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Кроме того, для устранения преждевременного срыва обтекания с центроплана и улучшения маневренных качеств самолёта ЦАГИ рекомендовал изменить конструкцию боковых створок капота, восстановить ранее принятый при проектировании профиль </w:t>
      </w:r>
      <w:r w:rsidRPr="00070ADE">
        <w:rPr>
          <w:rFonts w:ascii="Times New Roman" w:hAnsi="Times New Roman"/>
          <w:color w:val="000000" w:themeColor="text1"/>
          <w:sz w:val="16"/>
          <w:szCs w:val="16"/>
          <w:lang w:val="en-US"/>
        </w:rPr>
        <w:t>NACA</w:t>
      </w:r>
      <w:r w:rsidRPr="00070ADE">
        <w:rPr>
          <w:rFonts w:ascii="Times New Roman" w:hAnsi="Times New Roman"/>
          <w:color w:val="000000" w:themeColor="text1"/>
          <w:sz w:val="16"/>
          <w:szCs w:val="16"/>
        </w:rPr>
        <w:t>-230 в центроплане путём спрямления носка и улучшить сопряжение крыла с фю</w:t>
      </w:r>
      <w:r w:rsidRPr="00070ADE">
        <w:rPr>
          <w:rFonts w:ascii="Times New Roman" w:hAnsi="Times New Roman"/>
          <w:color w:val="000000" w:themeColor="text1"/>
          <w:sz w:val="16"/>
          <w:szCs w:val="16"/>
        </w:rPr>
        <w:softHyphen/>
        <w:t>зеляжем увеличением зализа. При изменении створок капота требовалось увеличить расстояние между створками и верхней поверхностью крыла. Поскольку эти изменения вызывали большие переделки, весной 1943 г. их отложили на будущее (15829).</w:t>
      </w:r>
    </w:p>
    <w:p w14:paraId="1CB26A4E" w14:textId="77777777" w:rsidR="00D86EA0" w:rsidRPr="00070ADE" w:rsidRDefault="00D86EA0" w:rsidP="00B56F90">
      <w:pPr>
        <w:spacing w:after="0" w:line="240" w:lineRule="auto"/>
        <w:jc w:val="both"/>
        <w:rPr>
          <w:rFonts w:ascii="Times New Roman" w:hAnsi="Times New Roman"/>
          <w:color w:val="000000" w:themeColor="text1"/>
          <w:sz w:val="16"/>
          <w:szCs w:val="16"/>
        </w:rPr>
      </w:pPr>
    </w:p>
    <w:p w14:paraId="03A5009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был построен «Дублер» Ла-5ТК, но мотор ока</w:t>
      </w:r>
      <w:r w:rsidRPr="00070ADE">
        <w:rPr>
          <w:rFonts w:ascii="Times New Roman" w:hAnsi="Times New Roman"/>
          <w:color w:val="000000" w:themeColor="text1"/>
          <w:sz w:val="16"/>
          <w:szCs w:val="16"/>
        </w:rPr>
        <w:softHyphen/>
        <w:t>зался с браком — полеты еще не начались, а в нем нашли стружку. Пока с завода прибыл новый высотный М-82ФН, испортилась пого</w:t>
      </w:r>
      <w:r w:rsidRPr="00070ADE">
        <w:rPr>
          <w:rFonts w:ascii="Times New Roman" w:hAnsi="Times New Roman"/>
          <w:color w:val="000000" w:themeColor="text1"/>
          <w:sz w:val="16"/>
          <w:szCs w:val="16"/>
        </w:rPr>
        <w:softHyphen/>
        <w:t>да. Лишь в марте сделали 2 полета на проверку устойчивости и уп</w:t>
      </w:r>
      <w:r w:rsidRPr="00070ADE">
        <w:rPr>
          <w:rFonts w:ascii="Times New Roman" w:hAnsi="Times New Roman"/>
          <w:color w:val="000000" w:themeColor="text1"/>
          <w:sz w:val="16"/>
          <w:szCs w:val="16"/>
        </w:rPr>
        <w:softHyphen/>
        <w:t>равляемости, не подымаясь выше 3000 м. Основную программу ис</w:t>
      </w:r>
      <w:r w:rsidRPr="00070ADE">
        <w:rPr>
          <w:rFonts w:ascii="Times New Roman" w:hAnsi="Times New Roman"/>
          <w:color w:val="000000" w:themeColor="text1"/>
          <w:sz w:val="16"/>
          <w:szCs w:val="16"/>
        </w:rPr>
        <w:softHyphen/>
        <w:t>пытаний Шиянов начал 17 марта. Новая силовая установка оказа</w:t>
      </w:r>
      <w:r w:rsidRPr="00070ADE">
        <w:rPr>
          <w:rFonts w:ascii="Times New Roman" w:hAnsi="Times New Roman"/>
          <w:color w:val="000000" w:themeColor="text1"/>
          <w:sz w:val="16"/>
          <w:szCs w:val="16"/>
        </w:rPr>
        <w:softHyphen/>
        <w:t>лась хуже старой. Температура головок цилиндров доходила до 240-260'С при подъеме выше 2 км, на 5 км резко падало давление в топливной системе, а ТК начинали дымить так, что нечем было дышать в кабине. Происходило много других неприятностей. После доработок с большим трудом удалось забраться на 12750 м. Чтобы подняться выше, следовало заменить серийный винт ВИШ-105В на специальный высотный и снизить нагрузку на крыло. Приказом № 208с от 22 марта 1944 г. НКАП выделил часть завода № 381 в са</w:t>
      </w:r>
      <w:r w:rsidRPr="00070ADE">
        <w:rPr>
          <w:rFonts w:ascii="Times New Roman" w:hAnsi="Times New Roman"/>
          <w:color w:val="000000" w:themeColor="text1"/>
          <w:sz w:val="16"/>
          <w:szCs w:val="16"/>
        </w:rPr>
        <w:softHyphen/>
        <w:t>мостоятельный завод № 81, ставший филиалом ОКБ-21. Там прош</w:t>
      </w:r>
      <w:r w:rsidRPr="00070ADE">
        <w:rPr>
          <w:rFonts w:ascii="Times New Roman" w:hAnsi="Times New Roman"/>
          <w:color w:val="000000" w:themeColor="text1"/>
          <w:sz w:val="16"/>
          <w:szCs w:val="16"/>
        </w:rPr>
        <w:softHyphen/>
        <w:t>ли работы по многим опытным Ла-5, в том числе и летно-доводоч-ные испытания Ла-5ТК (11123). Тем временем разведка докладывала, что, кроме высотного разведчика Ю86Р, совершавшего полеты над Москвой на высоте 12-13 км, противник уже испытывает бомбардировщики и истре</w:t>
      </w:r>
      <w:r w:rsidRPr="00070ADE">
        <w:rPr>
          <w:rFonts w:ascii="Times New Roman" w:hAnsi="Times New Roman"/>
          <w:color w:val="000000" w:themeColor="text1"/>
          <w:sz w:val="16"/>
          <w:szCs w:val="16"/>
        </w:rPr>
        <w:softHyphen/>
        <w:t>бители с высотностью 15-17 км и разрабатывает самолеты, спо</w:t>
      </w:r>
      <w:r w:rsidRPr="00070ADE">
        <w:rPr>
          <w:rFonts w:ascii="Times New Roman" w:hAnsi="Times New Roman"/>
          <w:color w:val="000000" w:themeColor="text1"/>
          <w:sz w:val="16"/>
          <w:szCs w:val="16"/>
        </w:rPr>
        <w:softHyphen/>
        <w:t>собные длительно летать на 18-20 км. Работы по высотным истребителям взял на контроль член ГКО Г.М. Маленков. В наркомате за эту тему отвечал начальник 7-го главка Алексеев. С середины мая он отчитывался о ходе ис</w:t>
      </w:r>
      <w:r w:rsidRPr="00070ADE">
        <w:rPr>
          <w:rFonts w:ascii="Times New Roman" w:hAnsi="Times New Roman"/>
          <w:color w:val="000000" w:themeColor="text1"/>
          <w:sz w:val="16"/>
          <w:szCs w:val="16"/>
        </w:rPr>
        <w:softHyphen/>
        <w:t>пытаний высотных вариантов Ла-5 и Як-9, а также са</w:t>
      </w:r>
      <w:r w:rsidRPr="00070ADE">
        <w:rPr>
          <w:rFonts w:ascii="Times New Roman" w:hAnsi="Times New Roman"/>
          <w:color w:val="000000" w:themeColor="text1"/>
          <w:sz w:val="16"/>
          <w:szCs w:val="16"/>
        </w:rPr>
        <w:softHyphen/>
        <w:t>молета И-222 конструкции Микояна ежедневно, но дело не двигалось. Мало того, участились отказы. 27 мая пришлось прервать полет Ла-5ТК на высоте 10500 м, т.к. из суфлера начало бить масло. 11 июня масло потекло на высоте 11000 м, а через два дня — на 9500 м. Полеты прерывали для доработок. Но и после них 4 июля удалось достичь только 7800 м, при этом потеря масла за 33 минуты составила 15 кг (11123). Завершить заводские испытания «дублера» Ла-5ТК надо было к 15 июля. Но прошел июль, затем август, а добиться надежной работы двигателя на вы</w:t>
      </w:r>
      <w:r w:rsidRPr="00070ADE">
        <w:rPr>
          <w:rFonts w:ascii="Times New Roman" w:hAnsi="Times New Roman"/>
          <w:color w:val="000000" w:themeColor="text1"/>
          <w:sz w:val="16"/>
          <w:szCs w:val="16"/>
        </w:rPr>
        <w:softHyphen/>
        <w:t>соте все не удавалось, причем сам ТК-3 нареканий не вызывал. Становилась очевидной необходимость специального высотного мотора (11123).</w:t>
      </w:r>
    </w:p>
    <w:p w14:paraId="6C1360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59382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построили второй Ла-5ФН с ТК-3 и крылом увеличенной площади 17 марта летчик Г.М. Шия- нов начал его летные испытания. Но и на этой машине встретились с теми же дефектами, что у первого перехватчика. В 1944 году все работы по самолету Ла-5ФН с турбокомпрессорами прекратились, поскольку уже появился более скоростной Ла-7 аналогичного назначения (12032).</w:t>
      </w:r>
    </w:p>
    <w:p w14:paraId="7FCC113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2BCB3F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начались испытания в ЛИИ доработанного Ла-5ФН № 39210206. Модернизацией этой машины руководил С.М. Алексеев. Самолёт отличался от серийных полной герметизацией капота двигателя, индивидуальными выхлопными патрубками, перекомпонованным центропланом и размещённым за пятым шпангоутом фюзеляжа маслорадиатором. Максимальная скорость выросла до 684 км/ч - на 34 км/ч больше, чем у серийного Ла-5ФН. Но жизнь машины оказалась недолгой. 10 февраля она потерпела аварию. На самолёте, пилотируемом Н.В. Адамовичем, в воздухе из-под капота мотора вырвалось пламя, и лётчику пришлось покинуть горящую "летающую лабораторию" на парашюте (11986).</w:t>
      </w:r>
    </w:p>
    <w:p w14:paraId="2C51981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данные истребителей семейства Jla-7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4D4663" w:rsidRPr="00070ADE" w14:paraId="5670FC00" w14:textId="77777777">
        <w:tc>
          <w:tcPr>
            <w:tcW w:w="2802" w:type="dxa"/>
            <w:tcBorders>
              <w:top w:val="single" w:sz="12" w:space="0" w:color="auto"/>
            </w:tcBorders>
          </w:tcPr>
          <w:p w14:paraId="5144D0D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tcPr>
          <w:p w14:paraId="580CDF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Ла-7</w:t>
            </w:r>
          </w:p>
        </w:tc>
        <w:tc>
          <w:tcPr>
            <w:tcW w:w="2802" w:type="dxa"/>
            <w:tcBorders>
              <w:top w:val="single" w:sz="12" w:space="0" w:color="auto"/>
            </w:tcBorders>
          </w:tcPr>
          <w:p w14:paraId="00E8684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УТИЛа-7</w:t>
            </w:r>
          </w:p>
        </w:tc>
        <w:tc>
          <w:tcPr>
            <w:tcW w:w="2802" w:type="dxa"/>
            <w:tcBorders>
              <w:top w:val="single" w:sz="12" w:space="0" w:color="auto"/>
            </w:tcBorders>
          </w:tcPr>
          <w:p w14:paraId="6EF5600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Ла-7Р</w:t>
            </w:r>
          </w:p>
        </w:tc>
      </w:tr>
      <w:tr w:rsidR="004D4663" w:rsidRPr="00070ADE" w14:paraId="48CE3A43" w14:textId="77777777">
        <w:tc>
          <w:tcPr>
            <w:tcW w:w="2802" w:type="dxa"/>
          </w:tcPr>
          <w:p w14:paraId="4780781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Заводской номер</w:t>
            </w:r>
          </w:p>
        </w:tc>
        <w:tc>
          <w:tcPr>
            <w:tcW w:w="2802" w:type="dxa"/>
          </w:tcPr>
          <w:p w14:paraId="268D1B3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45210203</w:t>
            </w:r>
          </w:p>
        </w:tc>
        <w:tc>
          <w:tcPr>
            <w:tcW w:w="2802" w:type="dxa"/>
          </w:tcPr>
          <w:p w14:paraId="0E5A2B0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802" w:type="dxa"/>
          </w:tcPr>
          <w:p w14:paraId="3430A24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22439AA9" w14:textId="77777777">
        <w:tc>
          <w:tcPr>
            <w:tcW w:w="2802" w:type="dxa"/>
          </w:tcPr>
          <w:p w14:paraId="2A9DE63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w:t>
            </w:r>
          </w:p>
        </w:tc>
        <w:tc>
          <w:tcPr>
            <w:tcW w:w="2802" w:type="dxa"/>
          </w:tcPr>
          <w:p w14:paraId="0695CFE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АШ-82ФН</w:t>
            </w:r>
          </w:p>
        </w:tc>
        <w:tc>
          <w:tcPr>
            <w:tcW w:w="2802" w:type="dxa"/>
          </w:tcPr>
          <w:p w14:paraId="3C56B24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АШ-82ФН</w:t>
            </w:r>
          </w:p>
        </w:tc>
        <w:tc>
          <w:tcPr>
            <w:tcW w:w="2802" w:type="dxa"/>
          </w:tcPr>
          <w:p w14:paraId="65023F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АШ-82Ф</w:t>
            </w:r>
          </w:p>
        </w:tc>
      </w:tr>
      <w:tr w:rsidR="004D4663" w:rsidRPr="00070ADE" w14:paraId="6603B7DF" w14:textId="77777777">
        <w:tc>
          <w:tcPr>
            <w:tcW w:w="2802" w:type="dxa"/>
          </w:tcPr>
          <w:p w14:paraId="1690FA8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Мощность, л.с.:</w:t>
            </w:r>
          </w:p>
        </w:tc>
        <w:tc>
          <w:tcPr>
            <w:tcW w:w="2802" w:type="dxa"/>
          </w:tcPr>
          <w:p w14:paraId="52E791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18D2B09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65CC346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B64D405" w14:textId="77777777">
        <w:tc>
          <w:tcPr>
            <w:tcW w:w="2802" w:type="dxa"/>
          </w:tcPr>
          <w:p w14:paraId="37B1DF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взлётная</w:t>
            </w:r>
          </w:p>
        </w:tc>
        <w:tc>
          <w:tcPr>
            <w:tcW w:w="2802" w:type="dxa"/>
          </w:tcPr>
          <w:p w14:paraId="3DD4096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1850</w:t>
            </w:r>
          </w:p>
        </w:tc>
        <w:tc>
          <w:tcPr>
            <w:tcW w:w="2802" w:type="dxa"/>
          </w:tcPr>
          <w:p w14:paraId="0A7A45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1850</w:t>
            </w:r>
          </w:p>
        </w:tc>
        <w:tc>
          <w:tcPr>
            <w:tcW w:w="2802" w:type="dxa"/>
          </w:tcPr>
          <w:p w14:paraId="0FB6303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1850</w:t>
            </w:r>
          </w:p>
        </w:tc>
      </w:tr>
      <w:tr w:rsidR="004D4663" w:rsidRPr="00070ADE" w14:paraId="0E27B646" w14:textId="77777777">
        <w:tc>
          <w:tcPr>
            <w:tcW w:w="2802" w:type="dxa"/>
          </w:tcPr>
          <w:p w14:paraId="4626B17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первой границе высотности, м</w:t>
            </w:r>
          </w:p>
        </w:tc>
        <w:tc>
          <w:tcPr>
            <w:tcW w:w="2802" w:type="dxa"/>
          </w:tcPr>
          <w:p w14:paraId="5571E58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1630/1650</w:t>
            </w:r>
          </w:p>
        </w:tc>
        <w:tc>
          <w:tcPr>
            <w:tcW w:w="2802" w:type="dxa"/>
          </w:tcPr>
          <w:p w14:paraId="0D8090E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1630/1650</w:t>
            </w:r>
          </w:p>
        </w:tc>
        <w:tc>
          <w:tcPr>
            <w:tcW w:w="2802" w:type="dxa"/>
          </w:tcPr>
          <w:p w14:paraId="1844456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1630/1650</w:t>
            </w:r>
          </w:p>
        </w:tc>
      </w:tr>
      <w:tr w:rsidR="004D4663" w:rsidRPr="00070ADE" w14:paraId="4377ED37" w14:textId="77777777">
        <w:tc>
          <w:tcPr>
            <w:tcW w:w="2802" w:type="dxa"/>
          </w:tcPr>
          <w:p w14:paraId="248848D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второй границе высотности, м</w:t>
            </w:r>
          </w:p>
        </w:tc>
        <w:tc>
          <w:tcPr>
            <w:tcW w:w="2802" w:type="dxa"/>
          </w:tcPr>
          <w:p w14:paraId="1B5F166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1430/4650</w:t>
            </w:r>
          </w:p>
        </w:tc>
        <w:tc>
          <w:tcPr>
            <w:tcW w:w="2802" w:type="dxa"/>
          </w:tcPr>
          <w:p w14:paraId="29EC47E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1430/4650</w:t>
            </w:r>
          </w:p>
        </w:tc>
        <w:tc>
          <w:tcPr>
            <w:tcW w:w="2802" w:type="dxa"/>
          </w:tcPr>
          <w:p w14:paraId="688EA5B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1430/4650</w:t>
            </w:r>
          </w:p>
        </w:tc>
      </w:tr>
      <w:tr w:rsidR="004D4663" w:rsidRPr="00070ADE" w14:paraId="54F2E973" w14:textId="77777777">
        <w:tc>
          <w:tcPr>
            <w:tcW w:w="2802" w:type="dxa"/>
          </w:tcPr>
          <w:p w14:paraId="6AD4365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Ускоритель</w:t>
            </w:r>
          </w:p>
        </w:tc>
        <w:tc>
          <w:tcPr>
            <w:tcW w:w="2802" w:type="dxa"/>
          </w:tcPr>
          <w:p w14:paraId="6A3670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802" w:type="dxa"/>
          </w:tcPr>
          <w:p w14:paraId="458287A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802" w:type="dxa"/>
          </w:tcPr>
          <w:p w14:paraId="3B9B6EB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РД-1ХЗ</w:t>
            </w:r>
          </w:p>
        </w:tc>
      </w:tr>
      <w:tr w:rsidR="004D4663" w:rsidRPr="00070ADE" w14:paraId="2AC5F666" w14:textId="77777777">
        <w:tc>
          <w:tcPr>
            <w:tcW w:w="2802" w:type="dxa"/>
          </w:tcPr>
          <w:p w14:paraId="05F2B6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Тяга, кг</w:t>
            </w:r>
          </w:p>
        </w:tc>
        <w:tc>
          <w:tcPr>
            <w:tcW w:w="2802" w:type="dxa"/>
          </w:tcPr>
          <w:p w14:paraId="4B4FF82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802" w:type="dxa"/>
          </w:tcPr>
          <w:p w14:paraId="55F0F8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802" w:type="dxa"/>
          </w:tcPr>
          <w:p w14:paraId="188B15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tc>
      </w:tr>
      <w:tr w:rsidR="004D4663" w:rsidRPr="00070ADE" w14:paraId="298255AE" w14:textId="77777777">
        <w:tc>
          <w:tcPr>
            <w:tcW w:w="2802" w:type="dxa"/>
          </w:tcPr>
          <w:p w14:paraId="078A616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Взлётный вес, кг</w:t>
            </w:r>
          </w:p>
        </w:tc>
        <w:tc>
          <w:tcPr>
            <w:tcW w:w="2802" w:type="dxa"/>
          </w:tcPr>
          <w:p w14:paraId="62C8592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3232</w:t>
            </w:r>
          </w:p>
        </w:tc>
        <w:tc>
          <w:tcPr>
            <w:tcW w:w="2802" w:type="dxa"/>
          </w:tcPr>
          <w:p w14:paraId="3B12179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802" w:type="dxa"/>
          </w:tcPr>
          <w:p w14:paraId="402012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3523</w:t>
            </w:r>
          </w:p>
        </w:tc>
      </w:tr>
      <w:tr w:rsidR="004D4663" w:rsidRPr="00070ADE" w14:paraId="7742C4D1" w14:textId="77777777">
        <w:tc>
          <w:tcPr>
            <w:tcW w:w="2802" w:type="dxa"/>
          </w:tcPr>
          <w:p w14:paraId="081DB0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горючего, кг</w:t>
            </w:r>
          </w:p>
        </w:tc>
        <w:tc>
          <w:tcPr>
            <w:tcW w:w="2802" w:type="dxa"/>
          </w:tcPr>
          <w:p w14:paraId="76016DB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802" w:type="dxa"/>
          </w:tcPr>
          <w:p w14:paraId="2FDBB77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802" w:type="dxa"/>
          </w:tcPr>
          <w:p w14:paraId="1B1B095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545</w:t>
            </w:r>
          </w:p>
        </w:tc>
      </w:tr>
      <w:tr w:rsidR="004D4663" w:rsidRPr="00070ADE" w14:paraId="07C2E091" w14:textId="77777777">
        <w:tc>
          <w:tcPr>
            <w:tcW w:w="2802" w:type="dxa"/>
          </w:tcPr>
          <w:p w14:paraId="5785812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км/ч:</w:t>
            </w:r>
          </w:p>
        </w:tc>
        <w:tc>
          <w:tcPr>
            <w:tcW w:w="2802" w:type="dxa"/>
          </w:tcPr>
          <w:p w14:paraId="37B9BA4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6B2BCCD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0A5F5E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937DC1F" w14:textId="77777777">
        <w:tc>
          <w:tcPr>
            <w:tcW w:w="2802" w:type="dxa"/>
          </w:tcPr>
          <w:p w14:paraId="5A2DD4F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w:t>
            </w:r>
          </w:p>
        </w:tc>
        <w:tc>
          <w:tcPr>
            <w:tcW w:w="2802" w:type="dxa"/>
          </w:tcPr>
          <w:p w14:paraId="2B5014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552/592</w:t>
            </w:r>
          </w:p>
        </w:tc>
        <w:tc>
          <w:tcPr>
            <w:tcW w:w="2802" w:type="dxa"/>
          </w:tcPr>
          <w:p w14:paraId="3A1ED88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802" w:type="dxa"/>
          </w:tcPr>
          <w:p w14:paraId="4C663CD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FF1D4FB" w14:textId="77777777">
        <w:tc>
          <w:tcPr>
            <w:tcW w:w="2802" w:type="dxa"/>
          </w:tcPr>
          <w:p w14:paraId="3F043B9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 высоте, м</w:t>
            </w:r>
          </w:p>
        </w:tc>
        <w:tc>
          <w:tcPr>
            <w:tcW w:w="2802" w:type="dxa"/>
          </w:tcPr>
          <w:p w14:paraId="206F281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652/ -</w:t>
            </w:r>
          </w:p>
        </w:tc>
        <w:tc>
          <w:tcPr>
            <w:tcW w:w="2802" w:type="dxa"/>
          </w:tcPr>
          <w:p w14:paraId="6362979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802" w:type="dxa"/>
          </w:tcPr>
          <w:p w14:paraId="585F028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657-747/3000</w:t>
            </w:r>
          </w:p>
        </w:tc>
      </w:tr>
      <w:tr w:rsidR="004D4663" w:rsidRPr="00070ADE" w14:paraId="7C296AB3" w14:textId="77777777">
        <w:tc>
          <w:tcPr>
            <w:tcW w:w="2802" w:type="dxa"/>
          </w:tcPr>
          <w:p w14:paraId="0B8481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 м, мин</w:t>
            </w:r>
          </w:p>
        </w:tc>
        <w:tc>
          <w:tcPr>
            <w:tcW w:w="2802" w:type="dxa"/>
          </w:tcPr>
          <w:p w14:paraId="7564BBD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2802" w:type="dxa"/>
          </w:tcPr>
          <w:p w14:paraId="3487BB4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802" w:type="dxa"/>
          </w:tcPr>
          <w:p w14:paraId="5628F41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C0CAB87" w14:textId="77777777">
        <w:tc>
          <w:tcPr>
            <w:tcW w:w="2802" w:type="dxa"/>
          </w:tcPr>
          <w:p w14:paraId="5BEF4C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м</w:t>
            </w:r>
          </w:p>
        </w:tc>
        <w:tc>
          <w:tcPr>
            <w:tcW w:w="2802" w:type="dxa"/>
          </w:tcPr>
          <w:p w14:paraId="0652597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11 300</w:t>
            </w:r>
          </w:p>
        </w:tc>
        <w:tc>
          <w:tcPr>
            <w:tcW w:w="2802" w:type="dxa"/>
          </w:tcPr>
          <w:p w14:paraId="203E17F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802" w:type="dxa"/>
          </w:tcPr>
          <w:p w14:paraId="092A6FB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66E800D" w14:textId="77777777">
        <w:tc>
          <w:tcPr>
            <w:tcW w:w="2802" w:type="dxa"/>
          </w:tcPr>
          <w:p w14:paraId="4D1D310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дальность, км</w:t>
            </w:r>
          </w:p>
        </w:tc>
        <w:tc>
          <w:tcPr>
            <w:tcW w:w="2802" w:type="dxa"/>
          </w:tcPr>
          <w:p w14:paraId="73EEFBA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820</w:t>
            </w:r>
          </w:p>
        </w:tc>
        <w:tc>
          <w:tcPr>
            <w:tcW w:w="2802" w:type="dxa"/>
          </w:tcPr>
          <w:p w14:paraId="323A6B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802" w:type="dxa"/>
          </w:tcPr>
          <w:p w14:paraId="0639E7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E259052" w14:textId="77777777">
        <w:tc>
          <w:tcPr>
            <w:tcW w:w="2802" w:type="dxa"/>
          </w:tcPr>
          <w:p w14:paraId="083370A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Разбег, м</w:t>
            </w:r>
          </w:p>
        </w:tc>
        <w:tc>
          <w:tcPr>
            <w:tcW w:w="2802" w:type="dxa"/>
          </w:tcPr>
          <w:p w14:paraId="387683B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340</w:t>
            </w:r>
          </w:p>
        </w:tc>
        <w:tc>
          <w:tcPr>
            <w:tcW w:w="2802" w:type="dxa"/>
          </w:tcPr>
          <w:p w14:paraId="35A839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802" w:type="dxa"/>
          </w:tcPr>
          <w:p w14:paraId="11A3A60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70419F0" w14:textId="77777777">
        <w:tc>
          <w:tcPr>
            <w:tcW w:w="2802" w:type="dxa"/>
          </w:tcPr>
          <w:p w14:paraId="121E669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Пробег, м</w:t>
            </w:r>
          </w:p>
        </w:tc>
        <w:tc>
          <w:tcPr>
            <w:tcW w:w="2802" w:type="dxa"/>
          </w:tcPr>
          <w:p w14:paraId="33528FA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530</w:t>
            </w:r>
          </w:p>
        </w:tc>
        <w:tc>
          <w:tcPr>
            <w:tcW w:w="2802" w:type="dxa"/>
          </w:tcPr>
          <w:p w14:paraId="015E3A5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802" w:type="dxa"/>
          </w:tcPr>
          <w:p w14:paraId="16EFC27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67EBFBA" w14:textId="77777777">
        <w:tc>
          <w:tcPr>
            <w:tcW w:w="2802" w:type="dxa"/>
            <w:tcBorders>
              <w:bottom w:val="single" w:sz="12" w:space="0" w:color="auto"/>
            </w:tcBorders>
          </w:tcPr>
          <w:p w14:paraId="4363CE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количествохкалибр, мм</w:t>
            </w:r>
          </w:p>
        </w:tc>
        <w:tc>
          <w:tcPr>
            <w:tcW w:w="2802" w:type="dxa"/>
            <w:tcBorders>
              <w:bottom w:val="single" w:sz="12" w:space="0" w:color="auto"/>
            </w:tcBorders>
          </w:tcPr>
          <w:p w14:paraId="6702C43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2x20</w:t>
            </w:r>
          </w:p>
        </w:tc>
        <w:tc>
          <w:tcPr>
            <w:tcW w:w="2802" w:type="dxa"/>
            <w:tcBorders>
              <w:bottom w:val="single" w:sz="12" w:space="0" w:color="auto"/>
            </w:tcBorders>
          </w:tcPr>
          <w:p w14:paraId="702F4E3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802" w:type="dxa"/>
            <w:tcBorders>
              <w:bottom w:val="single" w:sz="12" w:space="0" w:color="auto"/>
            </w:tcBorders>
          </w:tcPr>
          <w:p w14:paraId="61D9AAE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2x20</w:t>
            </w:r>
          </w:p>
        </w:tc>
      </w:tr>
    </w:tbl>
    <w:p w14:paraId="778E31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Для всех самолётов: размах крыла 9,8; длина самолёта в линии полёта - 8,31 м (у Jla-7P - 8,6 м); площадь крыла - 17,62 м:</w:t>
      </w:r>
    </w:p>
    <w:p w14:paraId="251DB4D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ТЕХНИЧЕСКОЕ ОПИСАНИЕ </w:t>
      </w:r>
    </w:p>
    <w:p w14:paraId="7FAFD6C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Ла-7 - деревянный низкоплан. Конструкция его планера в значительной мере повторяла Ла-5ФН последних серий. Основной конструкционный материал - сосна. Полки лонжеронов крыла изготавливали из стали ЗОХГСА, некоторые шпангоуты - из дельта-дре- весины. Деревянные детали планёра склеивались смоляным ВИАМ-Б-3 или карбамидным клеем КМ-1.</w:t>
      </w:r>
    </w:p>
    <w:p w14:paraId="17CE6F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Крыло - двухлонжеронное, набиралось из профилей NACA-23016 и</w:t>
      </w:r>
    </w:p>
    <w:p w14:paraId="65983C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NACA-23010 относительной толщиной 16% и 10% соответственно; технологически делилось на центроплан и консоли. Форма крыла в плане - трапециевидная, с округлыми законцовка- ми. Между лонжеронами центроплана находились выклеенные из фанеры два кессона для бензобаков. Снизу в центроплане имелся люк для установки центрального бака. </w:t>
      </w:r>
    </w:p>
    <w:p w14:paraId="1C601F0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Лонжероны - металлические, таврового сечения, со стальными полками и стенками из алюминиевого сплава. Нервюры в центроплане - смешанной конструкции, с дюралюминиевыми полками и ферменной частью из деревянных брусков. У торцевых нервюр средняя часть - ферма из стальных труб. Эти нервюры включали связывавшую оба лонжерона трубу, проходившую сквозь передний лонжерон и предназначавшуюся для крепления основных опор шасси. В вырезы носков нервюр центроплана закладывались желоба под стойки шасси, выгнутые из бакелитовой фанеры. Носки и хвостовики всех нервюр связывались деревянными брусками. Стрингеры - сосновые рейки. Обшивка - бакелитовая фанера толщиной от 3 до 5 мм.</w:t>
      </w:r>
    </w:p>
    <w:p w14:paraId="2E93BBC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конструкции каркаса консоли были подобны центроплану, но все нервюры в них выполнялись деревянными. Консоли крепились к центроплану через стыковые узлы на лонжеронах стальными болтами. Стык закрывался дюралюминиевыми лентами. Угол поперечного V - постоянный, равный 5°.</w:t>
      </w:r>
    </w:p>
    <w:p w14:paraId="7498299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 консолям крепились автоматические предкрылки и элероны типа "Фрайз". Элероны имели дюралюминиевый каркас и полотняную обтяжку. </w:t>
      </w:r>
    </w:p>
    <w:p w14:paraId="0C7FA32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левом элероне стоял триммер в виде металлической пластинки, отгибаемой для регулировки на земле. Предкрылки - цельнометаллической конструкции, из алюминиевых сплавов. При необходимости они автоматически, под воздействием перепада давления, выдвигались вперёд.</w:t>
      </w:r>
    </w:p>
    <w:p w14:paraId="17A3C6C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Закрылки делились на четыре секции - две на центроплане и две на консолях. В убранном положении они заподлицо уходили в нижнюю поверхность крыла. Конструкция закрылков - цельнометаллическая.</w:t>
      </w:r>
    </w:p>
    <w:p w14:paraId="010E449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Фюзеляж технологически делился на металлическую переднюю ферму (лафет) и деревянный монокок, выполненный за одно целое с килем. Его каркас состоял из четырёх лонжеронов и 15 шпангоутов. Фюзеляж наглухо соединён с центропланом крыла четырьмя стальными узлами.</w:t>
      </w:r>
    </w:p>
    <w:p w14:paraId="1B6A55C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Кабина пилота закрывалась фонарём, состоявшим из козырька, неподвижной задней и сдвижной средней частей. Каркас фонаря - из стальных труб. В козырёк монтировалось бронестекло толщиной 55 мм. Средняя часть в аварийной ситуации сбрасывалась вместе с направляющими одним движением ручки, расположенной на правом борту кабины. В задней части слева имелся лючок для доступа к радиоаппаратуре. Регулируемое по высоте кресло пилота имело мягкую спинку и чашку под парашют. За кабиной лётчика была установлена бронеплита толщиной 8,5 мм, за его головой - 66-мм бронестекло (11986).</w:t>
      </w:r>
    </w:p>
    <w:p w14:paraId="596AB0D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Хвостовое оперение Ла-7 - свобод- нонесущее. Деревянный киль, обшитый фанерой, изготовлялся за одно целое с фюзеляжем. Руль направления имел металлический набор с лонжероном из трубы и штампованными нервюрами и полотняную обтяжку. Стабилизатор - двухлонжеронный, цельнодеревянный, с фанерной несущей обшивкой. Он состоял из двух половин, крепившихся к силовым элементам хвостовой части фюзеляжа. Руль высоты также состоял из двух половин, имел дюралюминиевый каркас, обшитый полотном, и триммеры.</w:t>
      </w:r>
    </w:p>
    <w:p w14:paraId="6D0E970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Шасси - убирающееся, трёхопор- ное, с хвостовым колесом. Основные опоры имели масляно-пневматические амортизаторы, а их колёса размером 650x200 мм - пневматические тормоза. Тормозной рычаг располагался на ручке управления самолётом. Дифференцированное управление тормозами правого и левого колёс осуществлялось педалями. При уборке стойки и колёса укладывались в крыло по направлению к оси машины и полностью закрывались щитками. Хвостовая свободно ориентирующаяся опора с колесом размером 300x125 мм убиралась в фюзеляж и тоже закрывалась створками. В убранном и выпущенном положении шасси фиксировалось замками. Уборка и выпуск шасси - гидроприводом. Сигнализация о положении колёс - лампочками на приборной доске.</w:t>
      </w:r>
    </w:p>
    <w:p w14:paraId="63C5FB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Управление самолётом - смешанное: элеронами - с помощью жёстких тяг, рулями высоты и поворота - тросовое. Выпуск и уборка щитков-за- крылков - с помощью гидропривода.</w:t>
      </w:r>
    </w:p>
    <w:p w14:paraId="3D3F20F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Силовая установка состояла из двухрядного звездообразного 14-цилиндрового двигателя воздушного охлаждения АШ-82ФН и трёхлопастного винта-автомата ВИШ-105В-4 диаметром 3,1 м с центробежным регулятором оборотов Р-7. Втулка винта закрывалась коком. В отличие от Ла-5ФН на последнем не было храповика для запуска двигателя автостартёром.</w:t>
      </w:r>
    </w:p>
    <w:p w14:paraId="39DF60C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Моторама - ферма, сваренная из стальных труб. Для регулировки температуры мотора служили лобовые жалюзи, располагавшиеся в переднем кольце капота, и две створки по бокам капота за двигателем. Выхлоп осуществлялся через индивидуальные патрубки. Сотовый маслорадиатор размещался снизу за пятым шпангоутом фюзеляжа, а его воздухозаборник - под центропланом. На выходе туннель имел регулируемую заслонку. Мотор запускался сжатым воздухом с помощью пневмопуска.</w:t>
      </w:r>
    </w:p>
    <w:p w14:paraId="4990274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Горючее находилось в трёх центро- планных баках общей ёмкостью 466 л. Два крайних имели объём по 148 л, центральный - 170 л. Все баки - сварные из алюминиевого сплава. Они протестированы снизу слоем бензо- стойкой резины, слоем набухающей резины, двумя слоями плотной ткани и ещё одним слоем бензостойкой резины; сверху - двумя слоями бензостойкой резины со слоем ткани между ними. Все три бака монтировались через люк, расположенный под центральным баком.</w:t>
      </w:r>
    </w:p>
    <w:p w14:paraId="3A3FB41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Маслобак, по конструкции аналогичный бензиновым, но без протектора, имел ёмкость 58 л. Он стоял на деревянном седле за двигателем возле патронных коробок. Радиатор ОП-293 - сотовый, подковообразной формы, подвешивался на двух лентах под фюзеляжем за шпангоутом №5. Радиатор помещался в обтекатель из алюминиевого сплава.</w:t>
      </w:r>
    </w:p>
    <w:p w14:paraId="38ECEC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состав оборудования, кроме стандартного набора пилотажно-навигаци- онных и контролирующих приборов, входили коротковолновые радиопередатчик РСИ-ЗМ "Орёл" и радиоприёмник РСИ-4Д "Малютка", устанавливавшиеся за бронеспинкой лётчика. Двухлучевая антенна натягивалась между наклонённой вперед мачтой за пилотской кабиной и короткой мачтой на киле. Обе мачты - деревянные.</w:t>
      </w:r>
    </w:p>
    <w:p w14:paraId="7442D75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Кислородное оборудование включало прибор КП-12, маску КМ-10 и баллон, расположенный на правом борту фюзеляжа.</w:t>
      </w:r>
    </w:p>
    <w:p w14:paraId="434C05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электрооборудование входили генератор ГС-10-350 и аккумуляторная батарея 12А-5. Генератор приводился от двигателя. Аккумулятор размещался в контейнере, установленном в фюзеляже между шпангоутами № 9 и № 10. Схема электропроводки - смешанная, преимущественно двухпроводная. Самолёт имел стандартный комплект навигационных огней и посадочную фару ФС-155 мощностью 300 Вт, смонтированную в консоли левого крыла. Трубка ПВД на правом крыле оснащалась электрообогревом.</w:t>
      </w:r>
    </w:p>
    <w:p w14:paraId="5686E07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большинства Ла-7 соответствовало стандарту, принятому ранее для Ла-5ФН, и состояло из двух синхронных пушек ШВАК (СП-20) калибра 20 мм (общий боекомплект 340 патронов). Часть машин московского производства вооружалась тремя пушками Б-20 с боезапасом по 130 патронов на ствол. Эти пушки стояли асимметрично - две слева и одна справа. В обоих случаях стреляные гильзы выводились под центроплан и выбрасывались наружу. Звенья разъёмной ленты собирались в патронные ящики, разделённые внутри гибкой лентой. Перезарядка оружия - пневматическая, управление огнём - электрическое. Коллиматорный прицел ПБП-1Б(В) устанавливался в кабине перед козырьком. Предусматривалась возможность подвески под крылом на держателях ДЗ-40 двух бомб калибром от 8 до 100 кг. Сброс - механическим сбрасывателем АСИ-140 (11986).</w:t>
      </w:r>
    </w:p>
    <w:p w14:paraId="0F5EE7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818E5FA" w14:textId="77777777" w:rsidR="00302F5F" w:rsidRPr="00C94B78" w:rsidRDefault="00302F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январе 1944 г. построили второй Ла-5ТК, но дви</w:t>
      </w:r>
      <w:r w:rsidRPr="00C94B78">
        <w:rPr>
          <w:rFonts w:ascii="Times New Roman" w:hAnsi="Times New Roman"/>
          <w:color w:val="0070C0"/>
          <w:sz w:val="16"/>
          <w:szCs w:val="16"/>
        </w:rPr>
        <w:softHyphen/>
        <w:t>гатель оказался с браком Пришлось срочно требовать из Молотова другой экземпляр Пока меняли мотор, испор</w:t>
      </w:r>
      <w:r w:rsidRPr="00C94B78">
        <w:rPr>
          <w:rFonts w:ascii="Times New Roman" w:hAnsi="Times New Roman"/>
          <w:color w:val="0070C0"/>
          <w:sz w:val="16"/>
          <w:szCs w:val="16"/>
        </w:rPr>
        <w:softHyphen/>
        <w:t>тилась погода Лишь в марте летчик ГМ Шиянов начал летные испытания Но конструкторы встретились прак</w:t>
      </w:r>
      <w:r w:rsidRPr="00C94B78">
        <w:rPr>
          <w:rFonts w:ascii="Times New Roman" w:hAnsi="Times New Roman"/>
          <w:color w:val="0070C0"/>
          <w:sz w:val="16"/>
          <w:szCs w:val="16"/>
        </w:rPr>
        <w:softHyphen/>
        <w:t>тически с теми же дефектами, что у первого перехватчика Более того, не</w:t>
      </w:r>
      <w:r w:rsidRPr="00C94B78">
        <w:rPr>
          <w:rFonts w:ascii="Times New Roman" w:hAnsi="Times New Roman"/>
          <w:color w:val="0070C0"/>
          <w:sz w:val="16"/>
          <w:szCs w:val="16"/>
        </w:rPr>
        <w:softHyphen/>
        <w:t>поладок вскрылось больше, чем на пер</w:t>
      </w:r>
      <w:r w:rsidRPr="00C94B78">
        <w:rPr>
          <w:rFonts w:ascii="Times New Roman" w:hAnsi="Times New Roman"/>
          <w:color w:val="0070C0"/>
          <w:sz w:val="16"/>
          <w:szCs w:val="16"/>
        </w:rPr>
        <w:softHyphen/>
        <w:t>вой машине Головки цилиндров пере</w:t>
      </w:r>
      <w:r w:rsidRPr="00C94B78">
        <w:rPr>
          <w:rFonts w:ascii="Times New Roman" w:hAnsi="Times New Roman"/>
          <w:color w:val="0070C0"/>
          <w:sz w:val="16"/>
          <w:szCs w:val="16"/>
        </w:rPr>
        <w:softHyphen/>
        <w:t>гревались. дымили турбонагнетатели, скакало давление бензина, на высоте наблюдались выбросы масла из суфле</w:t>
      </w:r>
      <w:r w:rsidRPr="00C94B78">
        <w:rPr>
          <w:rFonts w:ascii="Times New Roman" w:hAnsi="Times New Roman"/>
          <w:color w:val="0070C0"/>
          <w:sz w:val="16"/>
          <w:szCs w:val="16"/>
        </w:rPr>
        <w:softHyphen/>
        <w:t>ров После долгих усилий испытателям удалось подняться на высоту 12 750 м Чтобы поднять потолок далее, требова</w:t>
      </w:r>
      <w:r w:rsidRPr="00C94B78">
        <w:rPr>
          <w:rFonts w:ascii="Times New Roman" w:hAnsi="Times New Roman"/>
          <w:color w:val="0070C0"/>
          <w:sz w:val="16"/>
          <w:szCs w:val="16"/>
        </w:rPr>
        <w:softHyphen/>
        <w:t>лось сменить стандартный ВИШ-105В на более подходящий для высотных полетов</w:t>
      </w:r>
    </w:p>
    <w:p w14:paraId="0E3B6364" w14:textId="77777777" w:rsidR="00302F5F" w:rsidRPr="00C94B78" w:rsidRDefault="00302F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Второй экземпляр Ла-5ТК отправили на доводку в Москву Там испытания продолжили, но отказы мотоустановки участились Особенно опасной выгля</w:t>
      </w:r>
      <w:r w:rsidRPr="00C94B78">
        <w:rPr>
          <w:rFonts w:ascii="Times New Roman" w:hAnsi="Times New Roman"/>
          <w:color w:val="0070C0"/>
          <w:sz w:val="16"/>
          <w:szCs w:val="16"/>
        </w:rPr>
        <w:softHyphen/>
        <w:t>дела большая потеря масла - до 15 кг за получасовой полет (24930).</w:t>
      </w:r>
    </w:p>
    <w:p w14:paraId="1760B651" w14:textId="77777777" w:rsidR="00302F5F" w:rsidRPr="00C94B78" w:rsidRDefault="00302F5F" w:rsidP="00B56F90">
      <w:pPr>
        <w:spacing w:after="0" w:line="240" w:lineRule="auto"/>
        <w:jc w:val="both"/>
        <w:rPr>
          <w:rFonts w:ascii="Times New Roman" w:hAnsi="Times New Roman"/>
          <w:color w:val="0070C0"/>
          <w:sz w:val="16"/>
          <w:szCs w:val="16"/>
        </w:rPr>
      </w:pPr>
    </w:p>
    <w:p w14:paraId="743F03BC" w14:textId="77777777" w:rsidR="00302F5F" w:rsidRPr="00C94B78" w:rsidRDefault="00302F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январе 1944 года в Летно-исследовательском институ</w:t>
      </w:r>
      <w:r w:rsidRPr="00C94B78">
        <w:rPr>
          <w:rFonts w:ascii="Times New Roman" w:hAnsi="Times New Roman"/>
          <w:color w:val="0070C0"/>
          <w:sz w:val="16"/>
          <w:szCs w:val="16"/>
        </w:rPr>
        <w:softHyphen/>
        <w:t>те (ЛИИ), начались государственные испытания Ла-5 № 39210206, ставшим последней ступенькой к будущему Ла-7, но ее «жизнь» оказалась недолгой. 10 фев</w:t>
      </w:r>
      <w:r w:rsidRPr="00C94B78">
        <w:rPr>
          <w:rFonts w:ascii="Times New Roman" w:hAnsi="Times New Roman"/>
          <w:color w:val="0070C0"/>
          <w:sz w:val="16"/>
          <w:szCs w:val="16"/>
        </w:rPr>
        <w:softHyphen/>
        <w:t>раля она потерпела аварию. В тот день на самолете, пилотируемом летчиком ЛИИ Н. В. Адамовичем, из-под капота мото</w:t>
      </w:r>
      <w:r w:rsidRPr="00C94B78">
        <w:rPr>
          <w:rFonts w:ascii="Times New Roman" w:hAnsi="Times New Roman"/>
          <w:color w:val="0070C0"/>
          <w:sz w:val="16"/>
          <w:szCs w:val="16"/>
        </w:rPr>
        <w:softHyphen/>
        <w:t>ра вырвалось пламя, и испытателю при</w:t>
      </w:r>
      <w:r w:rsidRPr="00C94B78">
        <w:rPr>
          <w:rFonts w:ascii="Times New Roman" w:hAnsi="Times New Roman"/>
          <w:color w:val="0070C0"/>
          <w:sz w:val="16"/>
          <w:szCs w:val="16"/>
        </w:rPr>
        <w:softHyphen/>
        <w:t>шлось покинуть горящую «летающую ла</w:t>
      </w:r>
      <w:r w:rsidRPr="00C94B78">
        <w:rPr>
          <w:rFonts w:ascii="Times New Roman" w:hAnsi="Times New Roman"/>
          <w:color w:val="0070C0"/>
          <w:sz w:val="16"/>
          <w:szCs w:val="16"/>
        </w:rPr>
        <w:softHyphen/>
        <w:t>бораторию» на парашюте.</w:t>
      </w:r>
    </w:p>
    <w:p w14:paraId="307F39FC" w14:textId="77777777" w:rsidR="00302F5F" w:rsidRPr="00C94B78" w:rsidRDefault="00302F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В целом самолет № 39210206 свою за</w:t>
      </w:r>
      <w:r w:rsidRPr="00C94B78">
        <w:rPr>
          <w:rFonts w:ascii="Times New Roman" w:hAnsi="Times New Roman"/>
          <w:color w:val="0070C0"/>
          <w:sz w:val="16"/>
          <w:szCs w:val="16"/>
        </w:rPr>
        <w:softHyphen/>
        <w:t>дачу решил. Самолет от</w:t>
      </w:r>
      <w:r w:rsidRPr="00C94B78">
        <w:rPr>
          <w:rFonts w:ascii="Times New Roman" w:hAnsi="Times New Roman"/>
          <w:color w:val="0070C0"/>
          <w:sz w:val="16"/>
          <w:szCs w:val="16"/>
        </w:rPr>
        <w:softHyphen/>
        <w:t>личался полной герметизацией капота двигателя, индивидуальными выхлопны</w:t>
      </w:r>
      <w:r w:rsidRPr="00C94B78">
        <w:rPr>
          <w:rFonts w:ascii="Times New Roman" w:hAnsi="Times New Roman"/>
          <w:color w:val="0070C0"/>
          <w:sz w:val="16"/>
          <w:szCs w:val="16"/>
        </w:rPr>
        <w:softHyphen/>
        <w:t>ми патрубками, перекомпонованным цен</w:t>
      </w:r>
      <w:r w:rsidRPr="00C94B78">
        <w:rPr>
          <w:rFonts w:ascii="Times New Roman" w:hAnsi="Times New Roman"/>
          <w:color w:val="0070C0"/>
          <w:sz w:val="16"/>
          <w:szCs w:val="16"/>
        </w:rPr>
        <w:softHyphen/>
        <w:t>тропланом и маслорадиатором, разме</w:t>
      </w:r>
      <w:r w:rsidRPr="00C94B78">
        <w:rPr>
          <w:rFonts w:ascii="Times New Roman" w:hAnsi="Times New Roman"/>
          <w:color w:val="0070C0"/>
          <w:sz w:val="16"/>
          <w:szCs w:val="16"/>
        </w:rPr>
        <w:softHyphen/>
        <w:t>щенным за пятым шпангоутом фюзеляжа. Машина стала фактически летающей лабораторией, на которой от</w:t>
      </w:r>
      <w:r w:rsidRPr="00C94B78">
        <w:rPr>
          <w:rFonts w:ascii="Times New Roman" w:hAnsi="Times New Roman"/>
          <w:color w:val="0070C0"/>
          <w:sz w:val="16"/>
          <w:szCs w:val="16"/>
        </w:rPr>
        <w:softHyphen/>
        <w:t>рабатывались новые технические реше</w:t>
      </w:r>
      <w:r w:rsidRPr="00C94B78">
        <w:rPr>
          <w:rFonts w:ascii="Times New Roman" w:hAnsi="Times New Roman"/>
          <w:color w:val="0070C0"/>
          <w:sz w:val="16"/>
          <w:szCs w:val="16"/>
        </w:rPr>
        <w:softHyphen/>
        <w:t>ния (24988).</w:t>
      </w:r>
    </w:p>
    <w:p w14:paraId="1BE04799" w14:textId="77777777" w:rsidR="00302F5F" w:rsidRPr="00C94B78" w:rsidRDefault="00302F5F" w:rsidP="00B56F90">
      <w:pPr>
        <w:spacing w:after="0" w:line="240" w:lineRule="auto"/>
        <w:jc w:val="both"/>
        <w:rPr>
          <w:rFonts w:ascii="Times New Roman" w:hAnsi="Times New Roman"/>
          <w:color w:val="0070C0"/>
          <w:sz w:val="16"/>
          <w:szCs w:val="16"/>
        </w:rPr>
      </w:pPr>
    </w:p>
    <w:p w14:paraId="06278443" w14:textId="77777777" w:rsidR="00302F5F" w:rsidRPr="00C94B78" w:rsidRDefault="00302F5F"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январе 1944 года нача</w:t>
      </w:r>
      <w:r w:rsidRPr="00C94B78">
        <w:rPr>
          <w:rStyle w:val="aff1"/>
          <w:rFonts w:ascii="Times New Roman" w:hAnsi="Times New Roman" w:cs="Times New Roman"/>
          <w:color w:val="0070C0"/>
          <w:spacing w:val="0"/>
          <w:sz w:val="16"/>
          <w:szCs w:val="16"/>
        </w:rPr>
        <w:softHyphen/>
        <w:t>лись, но ее «жизнь» оказалась недолгой. 10 февраля она потерпела аварию. В тот день на самолете, пилотируемом летчиком ЛИИ Н.В. Адамовичем, из-под капота мотора вырвалось пламя, и испытателю пришлось покинуть горящий Ла-5 на парашюте.</w:t>
      </w:r>
    </w:p>
    <w:p w14:paraId="3509C35A" w14:textId="77777777" w:rsidR="00302F5F" w:rsidRPr="00C94B78" w:rsidRDefault="00302F5F" w:rsidP="00B56F90">
      <w:pPr>
        <w:spacing w:after="0" w:line="240" w:lineRule="auto"/>
        <w:jc w:val="both"/>
        <w:rPr>
          <w:rFonts w:ascii="Times New Roman" w:hAnsi="Times New Roman"/>
          <w:color w:val="0070C0"/>
          <w:sz w:val="16"/>
          <w:szCs w:val="16"/>
        </w:rPr>
      </w:pPr>
    </w:p>
    <w:p w14:paraId="46E561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начались испытания И-220 МиГ с АМ-38Ф и была достигнута скорость 622 км/ч на 2600 м (4,249). По другим данным - 652 км/ч и летал Якимов (671,568).</w:t>
      </w:r>
    </w:p>
    <w:p w14:paraId="68DDAA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другим данным в январе 1944 продолжились испытания И-220А МиГ N 1, оборудованного АМ-39, которые шли с июля или 3 июня по август 1943. Испытания шли до августа 1944 (1084,41).</w:t>
      </w:r>
    </w:p>
    <w:p w14:paraId="1AD4B0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8D536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согласно журнала наблюдения за проектированием, постройкой и испытаниями высотного истребителя МиГ-1 за 28 января 1941 на И-221 было произведено 7 полетов: первый до высоты 1000 м на 1 и 2 ск. Нагнетателя. ВМГ работала нормально. Заменен нагнетатель - усиление перьев.</w:t>
      </w:r>
    </w:p>
    <w:p w14:paraId="04C62D6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И-222 в заготовительных цехаха продолжалось изготовление деталей и агрегатов.зготавливалось 2 экз. гермокабины - один для ЛИИ НКАП, второй - на самолет. Самолет предполагалось передать в ЛЭС к концу марта (991,11).</w:t>
      </w:r>
    </w:p>
    <w:p w14:paraId="41C79F4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DEB7472"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само</w:t>
      </w:r>
      <w:r w:rsidRPr="00070ADE">
        <w:rPr>
          <w:rFonts w:ascii="Times New Roman" w:hAnsi="Times New Roman"/>
          <w:color w:val="000000" w:themeColor="text1"/>
          <w:sz w:val="16"/>
          <w:szCs w:val="16"/>
        </w:rPr>
        <w:softHyphen/>
        <w:t>лет И-220 №01 был возвращен на за</w:t>
      </w:r>
      <w:r w:rsidRPr="00070ADE">
        <w:rPr>
          <w:rFonts w:ascii="Times New Roman" w:hAnsi="Times New Roman"/>
          <w:color w:val="000000" w:themeColor="text1"/>
          <w:sz w:val="16"/>
          <w:szCs w:val="16"/>
        </w:rPr>
        <w:softHyphen/>
        <w:t>вод №155, где на него поставили мотор АМ-39, с которым самолет проходил даль</w:t>
      </w:r>
      <w:r w:rsidRPr="00070ADE">
        <w:rPr>
          <w:rFonts w:ascii="Times New Roman" w:hAnsi="Times New Roman"/>
          <w:color w:val="000000" w:themeColor="text1"/>
          <w:sz w:val="16"/>
          <w:szCs w:val="16"/>
        </w:rPr>
        <w:softHyphen/>
        <w:t>нейшие испытания по заводской про</w:t>
      </w:r>
      <w:r w:rsidRPr="00070ADE">
        <w:rPr>
          <w:rFonts w:ascii="Times New Roman" w:hAnsi="Times New Roman"/>
          <w:color w:val="000000" w:themeColor="text1"/>
          <w:sz w:val="16"/>
          <w:szCs w:val="16"/>
        </w:rPr>
        <w:softHyphen/>
        <w:t>грамме до августа 1944 г. А вот какие- либо сведения о «дублере» отсутствуют до 14 июня 1944 г., когда появляются дан</w:t>
      </w:r>
      <w:r w:rsidRPr="00070ADE">
        <w:rPr>
          <w:rFonts w:ascii="Times New Roman" w:hAnsi="Times New Roman"/>
          <w:color w:val="000000" w:themeColor="text1"/>
          <w:sz w:val="16"/>
          <w:szCs w:val="16"/>
        </w:rPr>
        <w:softHyphen/>
        <w:t>ные о возобновлении Государственных испытаний И-220 №02 с мотором АМ-39 и полным вооружением. Оно очевидно было таким же, как и на первой машине - две боковые пушки СП-20 и две верхние УБС-20 (23401).</w:t>
      </w:r>
    </w:p>
    <w:p w14:paraId="3CDF0731" w14:textId="77777777" w:rsidR="00715786" w:rsidRPr="00070ADE" w:rsidRDefault="00715786" w:rsidP="00B56F90">
      <w:pPr>
        <w:spacing w:after="0" w:line="240" w:lineRule="auto"/>
        <w:jc w:val="both"/>
        <w:rPr>
          <w:rFonts w:ascii="Times New Roman" w:hAnsi="Times New Roman"/>
          <w:color w:val="000000" w:themeColor="text1"/>
          <w:sz w:val="16"/>
          <w:szCs w:val="16"/>
        </w:rPr>
      </w:pPr>
    </w:p>
    <w:p w14:paraId="5323AB1B"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по распоря</w:t>
      </w:r>
      <w:r w:rsidRPr="00070ADE">
        <w:rPr>
          <w:rFonts w:ascii="Times New Roman" w:hAnsi="Times New Roman"/>
          <w:color w:val="000000" w:themeColor="text1"/>
          <w:sz w:val="16"/>
          <w:szCs w:val="16"/>
        </w:rPr>
        <w:softHyphen/>
        <w:t>жению Главного конструктора ОКБ-155 А.И. Микояна бригада под руководст</w:t>
      </w:r>
      <w:r w:rsidRPr="00070ADE">
        <w:rPr>
          <w:rFonts w:ascii="Times New Roman" w:hAnsi="Times New Roman"/>
          <w:color w:val="000000" w:themeColor="text1"/>
          <w:sz w:val="16"/>
          <w:szCs w:val="16"/>
        </w:rPr>
        <w:softHyphen/>
        <w:t>вом А.Г Брунова приступила к проекти</w:t>
      </w:r>
      <w:r w:rsidRPr="00070ADE">
        <w:rPr>
          <w:rFonts w:ascii="Times New Roman" w:hAnsi="Times New Roman"/>
          <w:color w:val="000000" w:themeColor="text1"/>
          <w:sz w:val="16"/>
          <w:szCs w:val="16"/>
        </w:rPr>
        <w:softHyphen/>
        <w:t>рованию самолёта И-225 «5А» с двига</w:t>
      </w:r>
      <w:r w:rsidRPr="00070ADE">
        <w:rPr>
          <w:rFonts w:ascii="Times New Roman" w:hAnsi="Times New Roman"/>
          <w:color w:val="000000" w:themeColor="text1"/>
          <w:sz w:val="16"/>
          <w:szCs w:val="16"/>
        </w:rPr>
        <w:softHyphen/>
        <w:t>телем АМ-42Б-ТК (с ТК-300Б) и воздуш</w:t>
      </w:r>
      <w:r w:rsidRPr="00070ADE">
        <w:rPr>
          <w:rFonts w:ascii="Times New Roman" w:hAnsi="Times New Roman"/>
          <w:color w:val="000000" w:themeColor="text1"/>
          <w:sz w:val="16"/>
          <w:szCs w:val="16"/>
        </w:rPr>
        <w:softHyphen/>
        <w:t>ным винтом АВ-5Ф-22И, уже был пройден значительный объем испытаний перво</w:t>
      </w:r>
      <w:r w:rsidRPr="00070ADE">
        <w:rPr>
          <w:rFonts w:ascii="Times New Roman" w:hAnsi="Times New Roman"/>
          <w:color w:val="000000" w:themeColor="text1"/>
          <w:sz w:val="16"/>
          <w:szCs w:val="16"/>
        </w:rPr>
        <w:softHyphen/>
        <w:t>го самолёта «А» - И-220 №1. Они пока</w:t>
      </w:r>
      <w:r w:rsidRPr="00070ADE">
        <w:rPr>
          <w:rFonts w:ascii="Times New Roman" w:hAnsi="Times New Roman"/>
          <w:color w:val="000000" w:themeColor="text1"/>
          <w:sz w:val="16"/>
          <w:szCs w:val="16"/>
        </w:rPr>
        <w:softHyphen/>
        <w:t>зывали хорошие качества его крыла раз</w:t>
      </w:r>
      <w:r w:rsidRPr="00070ADE">
        <w:rPr>
          <w:rFonts w:ascii="Times New Roman" w:hAnsi="Times New Roman"/>
          <w:color w:val="000000" w:themeColor="text1"/>
          <w:sz w:val="16"/>
          <w:szCs w:val="16"/>
        </w:rPr>
        <w:softHyphen/>
        <w:t>махом 11 м и площадью 20,38 м2 (отно</w:t>
      </w:r>
      <w:r w:rsidRPr="00070ADE">
        <w:rPr>
          <w:rFonts w:ascii="Times New Roman" w:hAnsi="Times New Roman"/>
          <w:color w:val="000000" w:themeColor="text1"/>
          <w:sz w:val="16"/>
          <w:szCs w:val="16"/>
        </w:rPr>
        <w:softHyphen/>
        <w:t>сительное удлинение 5,94) с ламинарным профилем ЦАГИ (по источнику [Арсеньев Е.В., Валуев Н.О., Полушкин Ю.Ф. «МиГ»: полёт сквозь время», т. 1. М., «АлексВ», - 2020 г.] - NACA230 13...7%) и линией ну</w:t>
      </w:r>
      <w:r w:rsidRPr="00070ADE">
        <w:rPr>
          <w:rFonts w:ascii="Times New Roman" w:hAnsi="Times New Roman"/>
          <w:color w:val="000000" w:themeColor="text1"/>
          <w:sz w:val="16"/>
          <w:szCs w:val="16"/>
        </w:rPr>
        <w:softHyphen/>
        <w:t>левой стреловидности по 3/4 хорд.</w:t>
      </w:r>
    </w:p>
    <w:p w14:paraId="1A680F84"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Самолёт И-221 с крылом размахом 13 м и площадью 22,44 кв.м (удлинение 7,53) с профилем NACA230 относитель</w:t>
      </w:r>
      <w:r w:rsidRPr="00070ADE">
        <w:rPr>
          <w:rFonts w:ascii="Times New Roman" w:hAnsi="Times New Roman"/>
          <w:color w:val="000000" w:themeColor="text1"/>
          <w:sz w:val="16"/>
          <w:szCs w:val="16"/>
        </w:rPr>
        <w:softHyphen/>
        <w:t>ной толщиной 14-10% ещё только на</w:t>
      </w:r>
      <w:r w:rsidRPr="00070ADE">
        <w:rPr>
          <w:rFonts w:ascii="Times New Roman" w:hAnsi="Times New Roman"/>
          <w:color w:val="000000" w:themeColor="text1"/>
          <w:sz w:val="16"/>
          <w:szCs w:val="16"/>
        </w:rPr>
        <w:softHyphen/>
        <w:t>чал испытания, результаты которых пока не были ясны. Самолёты И-222 и И-224 с таким же крылом, как и на 221-м и сде</w:t>
      </w:r>
      <w:r w:rsidRPr="00070ADE">
        <w:rPr>
          <w:rFonts w:ascii="Times New Roman" w:hAnsi="Times New Roman"/>
          <w:color w:val="000000" w:themeColor="text1"/>
          <w:sz w:val="16"/>
          <w:szCs w:val="16"/>
        </w:rPr>
        <w:softHyphen/>
        <w:t>ланной по требованию Заказчика гер</w:t>
      </w:r>
      <w:r w:rsidRPr="00070ADE">
        <w:rPr>
          <w:rFonts w:ascii="Times New Roman" w:hAnsi="Times New Roman"/>
          <w:color w:val="000000" w:themeColor="text1"/>
          <w:sz w:val="16"/>
          <w:szCs w:val="16"/>
        </w:rPr>
        <w:softHyphen/>
        <w:t>мокабиной с круговым обзором, вообще ещё не были готовы. С учётом этого базой для проекта выбрали планер не самый новый, но самый проверенный.</w:t>
      </w:r>
    </w:p>
    <w:p w14:paraId="2527F33A"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тракт наддува между турбокомпрес</w:t>
      </w:r>
      <w:r w:rsidRPr="00070ADE">
        <w:rPr>
          <w:rFonts w:ascii="Times New Roman" w:hAnsi="Times New Roman"/>
          <w:color w:val="000000" w:themeColor="text1"/>
          <w:sz w:val="16"/>
          <w:szCs w:val="16"/>
        </w:rPr>
        <w:softHyphen/>
        <w:t>сором и ПЦН установили промежуточ</w:t>
      </w:r>
      <w:r w:rsidRPr="00070ADE">
        <w:rPr>
          <w:rFonts w:ascii="Times New Roman" w:hAnsi="Times New Roman"/>
          <w:color w:val="000000" w:themeColor="text1"/>
          <w:sz w:val="16"/>
          <w:szCs w:val="16"/>
        </w:rPr>
        <w:softHyphen/>
        <w:t>ный водо-водяной радиатор - такой же, как и на самолёте И-221, но тоннель его сдвинули вперед так, что входное сечение оказалось на уровне примерно 5% кор</w:t>
      </w:r>
      <w:r w:rsidRPr="00070ADE">
        <w:rPr>
          <w:rFonts w:ascii="Times New Roman" w:hAnsi="Times New Roman"/>
          <w:color w:val="000000" w:themeColor="text1"/>
          <w:sz w:val="16"/>
          <w:szCs w:val="16"/>
        </w:rPr>
        <w:softHyphen/>
        <w:t>невой хорды крыла, а выходное - на 35%, что сократило длину трубопроводов и их гидравлическое сопротивление.</w:t>
      </w:r>
    </w:p>
    <w:p w14:paraId="08AABB5C"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и на И-220, два гликолевых ра</w:t>
      </w:r>
      <w:r w:rsidRPr="00070ADE">
        <w:rPr>
          <w:rFonts w:ascii="Times New Roman" w:hAnsi="Times New Roman"/>
          <w:color w:val="000000" w:themeColor="text1"/>
          <w:sz w:val="16"/>
          <w:szCs w:val="16"/>
        </w:rPr>
        <w:softHyphen/>
        <w:t>диатора стояли симметрично справа и слева от фюзеляжа перед передним лон</w:t>
      </w:r>
      <w:r w:rsidRPr="00070ADE">
        <w:rPr>
          <w:rFonts w:ascii="Times New Roman" w:hAnsi="Times New Roman"/>
          <w:color w:val="000000" w:themeColor="text1"/>
          <w:sz w:val="16"/>
          <w:szCs w:val="16"/>
        </w:rPr>
        <w:softHyphen/>
        <w:t>жероном центроплана примерно в зоне 20-30% его хорд, а два уменьшенных маслорадиатора нового типа (на И-220 был один большой), - перед передним лонжероном справа от фюзеляжа и от воздухозаборников турбокомпрессора и ПЦН. Для их размещения на нижней по</w:t>
      </w:r>
      <w:r w:rsidRPr="00070ADE">
        <w:rPr>
          <w:rFonts w:ascii="Times New Roman" w:hAnsi="Times New Roman"/>
          <w:color w:val="000000" w:themeColor="text1"/>
          <w:sz w:val="16"/>
          <w:szCs w:val="16"/>
        </w:rPr>
        <w:softHyphen/>
        <w:t>верхности центроплана незначительно увеличили выштамповки вниз за контур крыла и изменили профилировку «губ» этих воздухозаборников.</w:t>
      </w:r>
    </w:p>
    <w:p w14:paraId="18E2703F"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Нижнюю часть капота мотора тоже сделали глубже, воздухозаборник венти</w:t>
      </w:r>
      <w:r w:rsidRPr="00070ADE">
        <w:rPr>
          <w:rFonts w:ascii="Times New Roman" w:hAnsi="Times New Roman"/>
          <w:color w:val="000000" w:themeColor="text1"/>
          <w:sz w:val="16"/>
          <w:szCs w:val="16"/>
        </w:rPr>
        <w:softHyphen/>
        <w:t>ляции подкапотного пространства оста</w:t>
      </w:r>
      <w:r w:rsidRPr="00070ADE">
        <w:rPr>
          <w:rFonts w:ascii="Times New Roman" w:hAnsi="Times New Roman"/>
          <w:color w:val="000000" w:themeColor="text1"/>
          <w:sz w:val="16"/>
          <w:szCs w:val="16"/>
        </w:rPr>
        <w:softHyphen/>
        <w:t>вили один примерно на месте прежнего переднего - по сути, его просто сделали больше и на входе, и по дальнейшим се</w:t>
      </w:r>
      <w:r w:rsidRPr="00070ADE">
        <w:rPr>
          <w:rFonts w:ascii="Times New Roman" w:hAnsi="Times New Roman"/>
          <w:color w:val="000000" w:themeColor="text1"/>
          <w:sz w:val="16"/>
          <w:szCs w:val="16"/>
        </w:rPr>
        <w:softHyphen/>
        <w:t>чениям канала, который выступал за об</w:t>
      </w:r>
      <w:r w:rsidRPr="00070ADE">
        <w:rPr>
          <w:rFonts w:ascii="Times New Roman" w:hAnsi="Times New Roman"/>
          <w:color w:val="000000" w:themeColor="text1"/>
          <w:sz w:val="16"/>
          <w:szCs w:val="16"/>
        </w:rPr>
        <w:softHyphen/>
        <w:t>щий теоретический контур низинки капо</w:t>
      </w:r>
      <w:r w:rsidRPr="00070ADE">
        <w:rPr>
          <w:rFonts w:ascii="Times New Roman" w:hAnsi="Times New Roman"/>
          <w:color w:val="000000" w:themeColor="text1"/>
          <w:sz w:val="16"/>
          <w:szCs w:val="16"/>
        </w:rPr>
        <w:softHyphen/>
        <w:t>та, а задний - упразднили.</w:t>
      </w:r>
    </w:p>
    <w:p w14:paraId="41F8E0BA"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выход турбины ТК установили но</w:t>
      </w:r>
      <w:r w:rsidRPr="00070ADE">
        <w:rPr>
          <w:rFonts w:ascii="Times New Roman" w:hAnsi="Times New Roman"/>
          <w:color w:val="000000" w:themeColor="text1"/>
          <w:sz w:val="16"/>
          <w:szCs w:val="16"/>
        </w:rPr>
        <w:softHyphen/>
        <w:t>вый конический эжектор, изменив обводы и конструкцию фюзеляжа за его выход</w:t>
      </w:r>
      <w:r w:rsidRPr="00070ADE">
        <w:rPr>
          <w:rFonts w:ascii="Times New Roman" w:hAnsi="Times New Roman"/>
          <w:color w:val="000000" w:themeColor="text1"/>
          <w:sz w:val="16"/>
          <w:szCs w:val="16"/>
        </w:rPr>
        <w:softHyphen/>
        <w:t>ным сечением, на правой верхней крыш</w:t>
      </w:r>
      <w:r w:rsidRPr="00070ADE">
        <w:rPr>
          <w:rFonts w:ascii="Times New Roman" w:hAnsi="Times New Roman"/>
          <w:color w:val="000000" w:themeColor="text1"/>
          <w:sz w:val="16"/>
          <w:szCs w:val="16"/>
        </w:rPr>
        <w:softHyphen/>
        <w:t>ке замоторного отсека появился воздухо</w:t>
      </w:r>
      <w:r w:rsidRPr="00070ADE">
        <w:rPr>
          <w:rFonts w:ascii="Times New Roman" w:hAnsi="Times New Roman"/>
          <w:color w:val="000000" w:themeColor="text1"/>
          <w:sz w:val="16"/>
          <w:szCs w:val="16"/>
        </w:rPr>
        <w:softHyphen/>
        <w:t>заборник охлаждения турбокомпрессора.</w:t>
      </w:r>
    </w:p>
    <w:p w14:paraId="03D2101F"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агрегатов силовой установки, под капотом И-225 оставалось и воору</w:t>
      </w:r>
      <w:r w:rsidRPr="00070ADE">
        <w:rPr>
          <w:rFonts w:ascii="Times New Roman" w:hAnsi="Times New Roman"/>
          <w:color w:val="000000" w:themeColor="text1"/>
          <w:sz w:val="16"/>
          <w:szCs w:val="16"/>
        </w:rPr>
        <w:softHyphen/>
        <w:t>жение. В проекте верхняя часть мотоотсе</w:t>
      </w:r>
      <w:r w:rsidRPr="00070ADE">
        <w:rPr>
          <w:rFonts w:ascii="Times New Roman" w:hAnsi="Times New Roman"/>
          <w:color w:val="000000" w:themeColor="text1"/>
          <w:sz w:val="16"/>
          <w:szCs w:val="16"/>
        </w:rPr>
        <w:softHyphen/>
        <w:t>ка и её крышки значились такие же, как на И-220, лишь с заменой креплений пу</w:t>
      </w:r>
      <w:r w:rsidRPr="00070ADE">
        <w:rPr>
          <w:rFonts w:ascii="Times New Roman" w:hAnsi="Times New Roman"/>
          <w:color w:val="000000" w:themeColor="text1"/>
          <w:sz w:val="16"/>
          <w:szCs w:val="16"/>
        </w:rPr>
        <w:softHyphen/>
        <w:t>шек новыми под размеры облегченных СШ-20. Благодаря смещению установки боковых пушек по направлению к пло</w:t>
      </w:r>
      <w:r w:rsidRPr="00070ADE">
        <w:rPr>
          <w:rFonts w:ascii="Times New Roman" w:hAnsi="Times New Roman"/>
          <w:color w:val="000000" w:themeColor="text1"/>
          <w:sz w:val="16"/>
          <w:szCs w:val="16"/>
        </w:rPr>
        <w:softHyphen/>
        <w:t>скости симметрии самолёта и уменьше</w:t>
      </w:r>
      <w:r w:rsidRPr="00070ADE">
        <w:rPr>
          <w:rFonts w:ascii="Times New Roman" w:hAnsi="Times New Roman"/>
          <w:color w:val="000000" w:themeColor="text1"/>
          <w:sz w:val="16"/>
          <w:szCs w:val="16"/>
        </w:rPr>
        <w:softHyphen/>
        <w:t>нию их размеров были изменены форма желобов и панелей капота за ними, кото</w:t>
      </w:r>
      <w:r w:rsidRPr="00070ADE">
        <w:rPr>
          <w:rFonts w:ascii="Times New Roman" w:hAnsi="Times New Roman"/>
          <w:color w:val="000000" w:themeColor="text1"/>
          <w:sz w:val="16"/>
          <w:szCs w:val="16"/>
        </w:rPr>
        <w:softHyphen/>
        <w:t>рые стали глаже.</w:t>
      </w:r>
    </w:p>
    <w:p w14:paraId="2CC132DB"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Видный советский историк авиа</w:t>
      </w:r>
      <w:r w:rsidRPr="00070ADE">
        <w:rPr>
          <w:rFonts w:ascii="Times New Roman" w:hAnsi="Times New Roman"/>
          <w:color w:val="000000" w:themeColor="text1"/>
          <w:sz w:val="16"/>
          <w:szCs w:val="16"/>
        </w:rPr>
        <w:softHyphen/>
        <w:t>ции В.Б. Шавров в своей книге «Исто</w:t>
      </w:r>
      <w:r w:rsidRPr="00070ADE">
        <w:rPr>
          <w:rFonts w:ascii="Times New Roman" w:hAnsi="Times New Roman"/>
          <w:color w:val="000000" w:themeColor="text1"/>
          <w:sz w:val="16"/>
          <w:szCs w:val="16"/>
        </w:rPr>
        <w:softHyphen/>
        <w:t>рия конструкций самолётов в СССР 1938-1950 гг.» (М., «Машиностроение», - 1988 г.) дает для И-225 запас топли</w:t>
      </w:r>
      <w:r w:rsidRPr="00070ADE">
        <w:rPr>
          <w:rFonts w:ascii="Times New Roman" w:hAnsi="Times New Roman"/>
          <w:color w:val="000000" w:themeColor="text1"/>
          <w:sz w:val="16"/>
          <w:szCs w:val="16"/>
        </w:rPr>
        <w:softHyphen/>
        <w:t>ва 346 кг, а масла - 40 кг. В написан</w:t>
      </w:r>
      <w:r w:rsidRPr="00070ADE">
        <w:rPr>
          <w:rFonts w:ascii="Times New Roman" w:hAnsi="Times New Roman"/>
          <w:color w:val="000000" w:themeColor="text1"/>
          <w:sz w:val="16"/>
          <w:szCs w:val="16"/>
        </w:rPr>
        <w:softHyphen/>
        <w:t>ной по сведениям, собранным россий</w:t>
      </w:r>
      <w:r w:rsidRPr="00070ADE">
        <w:rPr>
          <w:rFonts w:ascii="Times New Roman" w:hAnsi="Times New Roman"/>
          <w:color w:val="000000" w:themeColor="text1"/>
          <w:sz w:val="16"/>
          <w:szCs w:val="16"/>
        </w:rPr>
        <w:softHyphen/>
        <w:t xml:space="preserve">ским автором Ефимом Гордоном работе Gunston W., Gordon Ye. </w:t>
      </w:r>
      <w:r w:rsidRPr="00070ADE">
        <w:rPr>
          <w:rFonts w:ascii="Times New Roman" w:hAnsi="Times New Roman"/>
          <w:color w:val="000000" w:themeColor="text1"/>
          <w:sz w:val="16"/>
          <w:szCs w:val="16"/>
          <w:lang w:val="en-US"/>
        </w:rPr>
        <w:t xml:space="preserve">MiG Aircraft since 1937. London, UK, Putnam Aeronautical Books, - 1998 </w:t>
      </w:r>
      <w:r w:rsidRPr="00070ADE">
        <w:rPr>
          <w:rFonts w:ascii="Times New Roman" w:hAnsi="Times New Roman"/>
          <w:color w:val="000000" w:themeColor="text1"/>
          <w:sz w:val="16"/>
          <w:szCs w:val="16"/>
        </w:rPr>
        <w:t>эти</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значения</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похожи</w:t>
      </w:r>
      <w:r w:rsidRPr="00070ADE">
        <w:rPr>
          <w:rFonts w:ascii="Times New Roman" w:hAnsi="Times New Roman"/>
          <w:color w:val="000000" w:themeColor="text1"/>
          <w:sz w:val="16"/>
          <w:szCs w:val="16"/>
          <w:lang w:val="en-US"/>
        </w:rPr>
        <w:t xml:space="preserve"> - 350 </w:t>
      </w:r>
      <w:r w:rsidRPr="00070ADE">
        <w:rPr>
          <w:rFonts w:ascii="Times New Roman" w:hAnsi="Times New Roman"/>
          <w:color w:val="000000" w:themeColor="text1"/>
          <w:sz w:val="16"/>
          <w:szCs w:val="16"/>
        </w:rPr>
        <w:t>и</w:t>
      </w:r>
      <w:r w:rsidRPr="00070ADE">
        <w:rPr>
          <w:rFonts w:ascii="Times New Roman" w:hAnsi="Times New Roman"/>
          <w:color w:val="000000" w:themeColor="text1"/>
          <w:sz w:val="16"/>
          <w:szCs w:val="16"/>
          <w:lang w:val="en-US"/>
        </w:rPr>
        <w:t xml:space="preserve"> 41 </w:t>
      </w:r>
      <w:r w:rsidRPr="00070ADE">
        <w:rPr>
          <w:rFonts w:ascii="Times New Roman" w:hAnsi="Times New Roman"/>
          <w:color w:val="000000" w:themeColor="text1"/>
          <w:sz w:val="16"/>
          <w:szCs w:val="16"/>
        </w:rPr>
        <w:t>кг</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То есть общий вес ГСМ ново</w:t>
      </w:r>
      <w:r w:rsidRPr="00070ADE">
        <w:rPr>
          <w:rFonts w:ascii="Times New Roman" w:hAnsi="Times New Roman"/>
          <w:color w:val="000000" w:themeColor="text1"/>
          <w:sz w:val="16"/>
          <w:szCs w:val="16"/>
        </w:rPr>
        <w:softHyphen/>
        <w:t>го самолёта 386 и 391 кг соответствен</w:t>
      </w:r>
      <w:r w:rsidRPr="00070ADE">
        <w:rPr>
          <w:rFonts w:ascii="Times New Roman" w:hAnsi="Times New Roman"/>
          <w:color w:val="000000" w:themeColor="text1"/>
          <w:sz w:val="16"/>
          <w:szCs w:val="16"/>
        </w:rPr>
        <w:softHyphen/>
        <w:t>но, что близко к общей емкости этих си</w:t>
      </w:r>
      <w:r w:rsidRPr="00070ADE">
        <w:rPr>
          <w:rFonts w:ascii="Times New Roman" w:hAnsi="Times New Roman"/>
          <w:color w:val="000000" w:themeColor="text1"/>
          <w:sz w:val="16"/>
          <w:szCs w:val="16"/>
        </w:rPr>
        <w:softHyphen/>
        <w:t>стем у самолётов И-220 - 380 кг у пер</w:t>
      </w:r>
      <w:r w:rsidRPr="00070ADE">
        <w:rPr>
          <w:rFonts w:ascii="Times New Roman" w:hAnsi="Times New Roman"/>
          <w:color w:val="000000" w:themeColor="text1"/>
          <w:sz w:val="16"/>
          <w:szCs w:val="16"/>
        </w:rPr>
        <w:softHyphen/>
        <w:t>вого опытного образца и 400 у второго.</w:t>
      </w:r>
    </w:p>
    <w:p w14:paraId="0AC8BAE0"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с учётом приведенных там же масс пустого самолёта И-225 и взлетной вели</w:t>
      </w:r>
      <w:r w:rsidRPr="00070ADE">
        <w:rPr>
          <w:rFonts w:ascii="Times New Roman" w:hAnsi="Times New Roman"/>
          <w:color w:val="000000" w:themeColor="text1"/>
          <w:sz w:val="16"/>
          <w:szCs w:val="16"/>
        </w:rPr>
        <w:softHyphen/>
        <w:t>чины полной нагрузки в указанных кни</w:t>
      </w:r>
      <w:r w:rsidRPr="00070ADE">
        <w:rPr>
          <w:rFonts w:ascii="Times New Roman" w:hAnsi="Times New Roman"/>
          <w:color w:val="000000" w:themeColor="text1"/>
          <w:sz w:val="16"/>
          <w:szCs w:val="16"/>
        </w:rPr>
        <w:softHyphen/>
        <w:t>гах получаются соответственно 690 кг и 890 кг, у Шаврова дан больший вес пусто</w:t>
      </w:r>
      <w:r w:rsidRPr="00070ADE">
        <w:rPr>
          <w:rFonts w:ascii="Times New Roman" w:hAnsi="Times New Roman"/>
          <w:color w:val="000000" w:themeColor="text1"/>
          <w:sz w:val="16"/>
          <w:szCs w:val="16"/>
        </w:rPr>
        <w:softHyphen/>
        <w:t>го с пометкой, что он расчётный. Но ис</w:t>
      </w:r>
      <w:r w:rsidRPr="00070ADE">
        <w:rPr>
          <w:rFonts w:ascii="Times New Roman" w:hAnsi="Times New Roman"/>
          <w:color w:val="000000" w:themeColor="text1"/>
          <w:sz w:val="16"/>
          <w:szCs w:val="16"/>
        </w:rPr>
        <w:softHyphen/>
        <w:t>ходя из веса лётчика 90 кг, воды в сис</w:t>
      </w:r>
      <w:r w:rsidRPr="00070ADE">
        <w:rPr>
          <w:rFonts w:ascii="Times New Roman" w:hAnsi="Times New Roman"/>
          <w:color w:val="000000" w:themeColor="text1"/>
          <w:sz w:val="16"/>
          <w:szCs w:val="16"/>
        </w:rPr>
        <w:softHyphen/>
        <w:t>теме охлаждения около 30 кг и боеком</w:t>
      </w:r>
      <w:r w:rsidRPr="00070ADE">
        <w:rPr>
          <w:rFonts w:ascii="Times New Roman" w:hAnsi="Times New Roman"/>
          <w:color w:val="000000" w:themeColor="text1"/>
          <w:sz w:val="16"/>
          <w:szCs w:val="16"/>
        </w:rPr>
        <w:softHyphen/>
        <w:t>плекта 37 кг (остальные переменные мас</w:t>
      </w:r>
      <w:r w:rsidRPr="00070ADE">
        <w:rPr>
          <w:rFonts w:ascii="Times New Roman" w:hAnsi="Times New Roman"/>
          <w:color w:val="000000" w:themeColor="text1"/>
          <w:sz w:val="16"/>
          <w:szCs w:val="16"/>
        </w:rPr>
        <w:softHyphen/>
        <w:t>сы несущественны), в первом источнике «лишних» получаются 147 кг, а во вто</w:t>
      </w:r>
      <w:r w:rsidRPr="00070ADE">
        <w:rPr>
          <w:rFonts w:ascii="Times New Roman" w:hAnsi="Times New Roman"/>
          <w:color w:val="000000" w:themeColor="text1"/>
          <w:sz w:val="16"/>
          <w:szCs w:val="16"/>
        </w:rPr>
        <w:softHyphen/>
        <w:t>ром - 342. Это свидетельствует об оши</w:t>
      </w:r>
      <w:r w:rsidRPr="00070ADE">
        <w:rPr>
          <w:rFonts w:ascii="Times New Roman" w:hAnsi="Times New Roman"/>
          <w:color w:val="000000" w:themeColor="text1"/>
          <w:sz w:val="16"/>
          <w:szCs w:val="16"/>
        </w:rPr>
        <w:softHyphen/>
        <w:t>бочности приведенных там данных о весе либо самолёта, либо ГСМ. А с учетом того, что ОКБ-155 к тому времени уже получи</w:t>
      </w:r>
      <w:r w:rsidRPr="00070ADE">
        <w:rPr>
          <w:rFonts w:ascii="Times New Roman" w:hAnsi="Times New Roman"/>
          <w:color w:val="000000" w:themeColor="text1"/>
          <w:sz w:val="16"/>
          <w:szCs w:val="16"/>
        </w:rPr>
        <w:softHyphen/>
        <w:t>ло требование Заказчика увеличить даль</w:t>
      </w:r>
      <w:r w:rsidRPr="00070ADE">
        <w:rPr>
          <w:rFonts w:ascii="Times New Roman" w:hAnsi="Times New Roman"/>
          <w:color w:val="000000" w:themeColor="text1"/>
          <w:sz w:val="16"/>
          <w:szCs w:val="16"/>
        </w:rPr>
        <w:softHyphen/>
        <w:t>ность перехватчиков, вероятнее всего в новом проекте запас бензина и смазки по отношению к И-220 нарастили.</w:t>
      </w:r>
    </w:p>
    <w:p w14:paraId="51B5E982"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Конструкцию корневой части центро</w:t>
      </w:r>
      <w:r w:rsidRPr="00070ADE">
        <w:rPr>
          <w:rFonts w:ascii="Times New Roman" w:hAnsi="Times New Roman"/>
          <w:color w:val="000000" w:themeColor="text1"/>
          <w:sz w:val="16"/>
          <w:szCs w:val="16"/>
        </w:rPr>
        <w:softHyphen/>
        <w:t>плана поменяли в соответствии с изме</w:t>
      </w:r>
      <w:r w:rsidRPr="00070ADE">
        <w:rPr>
          <w:rFonts w:ascii="Times New Roman" w:hAnsi="Times New Roman"/>
          <w:color w:val="000000" w:themeColor="text1"/>
          <w:sz w:val="16"/>
          <w:szCs w:val="16"/>
        </w:rPr>
        <w:softHyphen/>
        <w:t>нениями в воздухозаборниках силовой установки и ее радиаторах, фару в левой его половине в проект включили, но на первом самолёте не поставили. Элероны сделали односекционными с изменённой осевой компенсацией и прямой перед</w:t>
      </w:r>
      <w:r w:rsidRPr="00070ADE">
        <w:rPr>
          <w:rFonts w:ascii="Times New Roman" w:hAnsi="Times New Roman"/>
          <w:color w:val="000000" w:themeColor="text1"/>
          <w:sz w:val="16"/>
          <w:szCs w:val="16"/>
        </w:rPr>
        <w:softHyphen/>
        <w:t>ней их кромкой, которая на И-220 имела уступ в средней части, и соответственно переделали консоли крыла в этой зоне. На левом элероне в корневой части по</w:t>
      </w:r>
      <w:r w:rsidRPr="00070ADE">
        <w:rPr>
          <w:rFonts w:ascii="Times New Roman" w:hAnsi="Times New Roman"/>
          <w:color w:val="000000" w:themeColor="text1"/>
          <w:sz w:val="16"/>
          <w:szCs w:val="16"/>
        </w:rPr>
        <w:softHyphen/>
        <w:t>ставили триммер-сервокомпенсатор с ме</w:t>
      </w:r>
      <w:r w:rsidRPr="00070ADE">
        <w:rPr>
          <w:rFonts w:ascii="Times New Roman" w:hAnsi="Times New Roman"/>
          <w:color w:val="000000" w:themeColor="text1"/>
          <w:sz w:val="16"/>
          <w:szCs w:val="16"/>
        </w:rPr>
        <w:softHyphen/>
        <w:t>ханизмом внутри него.</w:t>
      </w:r>
    </w:p>
    <w:p w14:paraId="4ACBFAAA"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переделки по фюзеля</w:t>
      </w:r>
      <w:r w:rsidRPr="00070ADE">
        <w:rPr>
          <w:rFonts w:ascii="Times New Roman" w:hAnsi="Times New Roman"/>
          <w:color w:val="000000" w:themeColor="text1"/>
          <w:sz w:val="16"/>
          <w:szCs w:val="16"/>
        </w:rPr>
        <w:softHyphen/>
        <w:t>жу за мотоотсеком были связаны с каби</w:t>
      </w:r>
      <w:r w:rsidRPr="00070ADE">
        <w:rPr>
          <w:rFonts w:ascii="Times New Roman" w:hAnsi="Times New Roman"/>
          <w:color w:val="000000" w:themeColor="text1"/>
          <w:sz w:val="16"/>
          <w:szCs w:val="16"/>
        </w:rPr>
        <w:softHyphen/>
        <w:t>ной. Она получила два бронестекла тол</w:t>
      </w:r>
      <w:r w:rsidRPr="00070ADE">
        <w:rPr>
          <w:rFonts w:ascii="Times New Roman" w:hAnsi="Times New Roman"/>
          <w:color w:val="000000" w:themeColor="text1"/>
          <w:sz w:val="16"/>
          <w:szCs w:val="16"/>
        </w:rPr>
        <w:softHyphen/>
        <w:t>щиной по 64 мм и под переднее при</w:t>
      </w:r>
      <w:r w:rsidRPr="00070ADE">
        <w:rPr>
          <w:rFonts w:ascii="Times New Roman" w:hAnsi="Times New Roman"/>
          <w:color w:val="000000" w:themeColor="text1"/>
          <w:sz w:val="16"/>
          <w:szCs w:val="16"/>
        </w:rPr>
        <w:softHyphen/>
        <w:t>шлось переделать лобовой козырек. Остальное сделали так же, как и в нача</w:t>
      </w:r>
      <w:r w:rsidRPr="00070ADE">
        <w:rPr>
          <w:rFonts w:ascii="Times New Roman" w:hAnsi="Times New Roman"/>
          <w:color w:val="000000" w:themeColor="text1"/>
          <w:sz w:val="16"/>
          <w:szCs w:val="16"/>
        </w:rPr>
        <w:softHyphen/>
        <w:t>том в июне 1943 г. проекте И-222 - ка</w:t>
      </w:r>
      <w:r w:rsidRPr="00070ADE">
        <w:rPr>
          <w:rFonts w:ascii="Times New Roman" w:hAnsi="Times New Roman"/>
          <w:color w:val="000000" w:themeColor="text1"/>
          <w:sz w:val="16"/>
          <w:szCs w:val="16"/>
        </w:rPr>
        <w:softHyphen/>
        <w:t>плевидный фонарь с задним бронесте</w:t>
      </w:r>
      <w:r w:rsidRPr="00070ADE">
        <w:rPr>
          <w:rFonts w:ascii="Times New Roman" w:hAnsi="Times New Roman"/>
          <w:color w:val="000000" w:themeColor="text1"/>
          <w:sz w:val="16"/>
          <w:szCs w:val="16"/>
        </w:rPr>
        <w:softHyphen/>
        <w:t>клом и пониженный гаргрот за ней. Такой же была и герметизация сдвижной части фонаря шлангом под давлением и сис</w:t>
      </w:r>
      <w:r w:rsidRPr="00070ADE">
        <w:rPr>
          <w:rFonts w:ascii="Times New Roman" w:hAnsi="Times New Roman"/>
          <w:color w:val="000000" w:themeColor="text1"/>
          <w:sz w:val="16"/>
          <w:szCs w:val="16"/>
        </w:rPr>
        <w:softHyphen/>
        <w:t>тема кондиционирования воздуха с под</w:t>
      </w:r>
      <w:r w:rsidRPr="00070ADE">
        <w:rPr>
          <w:rFonts w:ascii="Times New Roman" w:hAnsi="Times New Roman"/>
          <w:color w:val="000000" w:themeColor="text1"/>
          <w:sz w:val="16"/>
          <w:szCs w:val="16"/>
        </w:rPr>
        <w:softHyphen/>
        <w:t>держанием выше определенной отметки постоянного перепада давления, равного 0,3 атмосферы.</w:t>
      </w:r>
    </w:p>
    <w:p w14:paraId="0E5C2ED1"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чертежах и спецификациях значи</w:t>
      </w:r>
      <w:r w:rsidRPr="00070ADE">
        <w:rPr>
          <w:rFonts w:ascii="Times New Roman" w:hAnsi="Times New Roman"/>
          <w:color w:val="000000" w:themeColor="text1"/>
          <w:sz w:val="16"/>
          <w:szCs w:val="16"/>
        </w:rPr>
        <w:softHyphen/>
        <w:t>лись установка коротковолновой прие</w:t>
      </w:r>
      <w:r w:rsidRPr="00070ADE">
        <w:rPr>
          <w:rFonts w:ascii="Times New Roman" w:hAnsi="Times New Roman"/>
          <w:color w:val="000000" w:themeColor="text1"/>
          <w:sz w:val="16"/>
          <w:szCs w:val="16"/>
        </w:rPr>
        <w:softHyphen/>
        <w:t>мо-передающей радиостанции с мачто</w:t>
      </w:r>
      <w:r w:rsidRPr="00070ADE">
        <w:rPr>
          <w:rFonts w:ascii="Times New Roman" w:hAnsi="Times New Roman"/>
          <w:color w:val="000000" w:themeColor="text1"/>
          <w:sz w:val="16"/>
          <w:szCs w:val="16"/>
        </w:rPr>
        <w:softHyphen/>
        <w:t>вой антенной системой по типу 2-го опыт</w:t>
      </w:r>
      <w:r w:rsidRPr="00070ADE">
        <w:rPr>
          <w:rFonts w:ascii="Times New Roman" w:hAnsi="Times New Roman"/>
          <w:color w:val="000000" w:themeColor="text1"/>
          <w:sz w:val="16"/>
          <w:szCs w:val="16"/>
        </w:rPr>
        <w:softHyphen/>
        <w:t>ного самолёта И-220 и радиополукомпаса РПКО-10, посадочная фара, по две лам</w:t>
      </w:r>
      <w:r w:rsidRPr="00070ADE">
        <w:rPr>
          <w:rFonts w:ascii="Times New Roman" w:hAnsi="Times New Roman"/>
          <w:color w:val="000000" w:themeColor="text1"/>
          <w:sz w:val="16"/>
          <w:szCs w:val="16"/>
        </w:rPr>
        <w:softHyphen/>
        <w:t>пы аэронавигационных огней на верхней и нижней обшивке левой и правой за- концовок крыла и одна на руле направ</w:t>
      </w:r>
      <w:r w:rsidRPr="00070ADE">
        <w:rPr>
          <w:rFonts w:ascii="Times New Roman" w:hAnsi="Times New Roman"/>
          <w:color w:val="000000" w:themeColor="text1"/>
          <w:sz w:val="16"/>
          <w:szCs w:val="16"/>
        </w:rPr>
        <w:softHyphen/>
        <w:t>ления, а также освещение приборной до</w:t>
      </w:r>
      <w:r w:rsidRPr="00070ADE">
        <w:rPr>
          <w:rFonts w:ascii="Times New Roman" w:hAnsi="Times New Roman"/>
          <w:color w:val="000000" w:themeColor="text1"/>
          <w:sz w:val="16"/>
          <w:szCs w:val="16"/>
        </w:rPr>
        <w:softHyphen/>
        <w:t>ски. Согласно проекту, вооружение само</w:t>
      </w:r>
      <w:r w:rsidRPr="00070ADE">
        <w:rPr>
          <w:rFonts w:ascii="Times New Roman" w:hAnsi="Times New Roman"/>
          <w:color w:val="000000" w:themeColor="text1"/>
          <w:sz w:val="16"/>
          <w:szCs w:val="16"/>
        </w:rPr>
        <w:softHyphen/>
        <w:t>лёта должно было включать четыре лег</w:t>
      </w:r>
      <w:r w:rsidRPr="00070ADE">
        <w:rPr>
          <w:rFonts w:ascii="Times New Roman" w:hAnsi="Times New Roman"/>
          <w:color w:val="000000" w:themeColor="text1"/>
          <w:sz w:val="16"/>
          <w:szCs w:val="16"/>
        </w:rPr>
        <w:softHyphen/>
        <w:t>ких синхронных пушки СШ-20 системы Шпитального калибра 20 мм с боезапа</w:t>
      </w:r>
      <w:r w:rsidRPr="00070ADE">
        <w:rPr>
          <w:rFonts w:ascii="Times New Roman" w:hAnsi="Times New Roman"/>
          <w:color w:val="000000" w:themeColor="text1"/>
          <w:sz w:val="16"/>
          <w:szCs w:val="16"/>
        </w:rPr>
        <w:softHyphen/>
        <w:t>сом по 100 патронов и размещением как на самолёте И-220 над мотором и по бо</w:t>
      </w:r>
      <w:r w:rsidRPr="00070ADE">
        <w:rPr>
          <w:rFonts w:ascii="Times New Roman" w:hAnsi="Times New Roman"/>
          <w:color w:val="000000" w:themeColor="text1"/>
          <w:sz w:val="16"/>
          <w:szCs w:val="16"/>
        </w:rPr>
        <w:softHyphen/>
        <w:t>кам его картера.</w:t>
      </w:r>
    </w:p>
    <w:p w14:paraId="017CC05A" w14:textId="77777777" w:rsidR="00715786" w:rsidRPr="00070ADE" w:rsidRDefault="007157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Самолёт И-225 («5А») считался мо</w:t>
      </w:r>
      <w:r w:rsidRPr="00070ADE">
        <w:rPr>
          <w:rFonts w:ascii="Times New Roman" w:hAnsi="Times New Roman"/>
          <w:color w:val="000000" w:themeColor="text1"/>
          <w:sz w:val="16"/>
          <w:szCs w:val="16"/>
        </w:rPr>
        <w:softHyphen/>
        <w:t>дификацией предыдущего типа И-220 («А»), потому макет не строился, и соот</w:t>
      </w:r>
      <w:r w:rsidRPr="00070ADE">
        <w:rPr>
          <w:rFonts w:ascii="Times New Roman" w:hAnsi="Times New Roman"/>
          <w:color w:val="000000" w:themeColor="text1"/>
          <w:sz w:val="16"/>
          <w:szCs w:val="16"/>
        </w:rPr>
        <w:softHyphen/>
        <w:t>ветственно защита его и эскизного про</w:t>
      </w:r>
      <w:r w:rsidRPr="00070ADE">
        <w:rPr>
          <w:rFonts w:ascii="Times New Roman" w:hAnsi="Times New Roman"/>
          <w:color w:val="000000" w:themeColor="text1"/>
          <w:sz w:val="16"/>
          <w:szCs w:val="16"/>
        </w:rPr>
        <w:softHyphen/>
        <w:t>екта не проводились, а постройка его на</w:t>
      </w:r>
      <w:r w:rsidRPr="00070ADE">
        <w:rPr>
          <w:rFonts w:ascii="Times New Roman" w:hAnsi="Times New Roman"/>
          <w:color w:val="000000" w:themeColor="text1"/>
          <w:sz w:val="16"/>
          <w:szCs w:val="16"/>
        </w:rPr>
        <w:softHyphen/>
        <w:t>чалась ещё до полного завершения кон</w:t>
      </w:r>
      <w:r w:rsidRPr="00070ADE">
        <w:rPr>
          <w:rFonts w:ascii="Times New Roman" w:hAnsi="Times New Roman"/>
          <w:color w:val="000000" w:themeColor="text1"/>
          <w:sz w:val="16"/>
          <w:szCs w:val="16"/>
        </w:rPr>
        <w:softHyphen/>
        <w:t>структорских работ, потому что он сохра</w:t>
      </w:r>
      <w:r w:rsidRPr="00070ADE">
        <w:rPr>
          <w:rFonts w:ascii="Times New Roman" w:hAnsi="Times New Roman"/>
          <w:color w:val="000000" w:themeColor="text1"/>
          <w:sz w:val="16"/>
          <w:szCs w:val="16"/>
        </w:rPr>
        <w:softHyphen/>
        <w:t>нял много общего с И-220. Мало того, как и на остальных машинах «А», значитель</w:t>
      </w:r>
      <w:r w:rsidRPr="00070ADE">
        <w:rPr>
          <w:rFonts w:ascii="Times New Roman" w:hAnsi="Times New Roman"/>
          <w:color w:val="000000" w:themeColor="text1"/>
          <w:sz w:val="16"/>
          <w:szCs w:val="16"/>
        </w:rPr>
        <w:softHyphen/>
        <w:t>ная часть изменений, которые вносились по ходу строительства опытного образца, вводились служебными записками и вре</w:t>
      </w:r>
      <w:r w:rsidRPr="00070ADE">
        <w:rPr>
          <w:rFonts w:ascii="Times New Roman" w:hAnsi="Times New Roman"/>
          <w:color w:val="000000" w:themeColor="text1"/>
          <w:sz w:val="16"/>
          <w:szCs w:val="16"/>
        </w:rPr>
        <w:softHyphen/>
        <w:t>менными извещениями без последующе</w:t>
      </w:r>
      <w:r w:rsidRPr="00070ADE">
        <w:rPr>
          <w:rFonts w:ascii="Times New Roman" w:hAnsi="Times New Roman"/>
          <w:color w:val="000000" w:themeColor="text1"/>
          <w:sz w:val="16"/>
          <w:szCs w:val="16"/>
        </w:rPr>
        <w:softHyphen/>
        <w:t>го погашения уточнением эскизной доку</w:t>
      </w:r>
      <w:r w:rsidRPr="00070ADE">
        <w:rPr>
          <w:rFonts w:ascii="Times New Roman" w:hAnsi="Times New Roman"/>
          <w:color w:val="000000" w:themeColor="text1"/>
          <w:sz w:val="16"/>
          <w:szCs w:val="16"/>
        </w:rPr>
        <w:softHyphen/>
        <w:t>ментации в силу утраты ею производст</w:t>
      </w:r>
      <w:r w:rsidRPr="00070ADE">
        <w:rPr>
          <w:rFonts w:ascii="Times New Roman" w:hAnsi="Times New Roman"/>
          <w:color w:val="000000" w:themeColor="text1"/>
          <w:sz w:val="16"/>
          <w:szCs w:val="16"/>
        </w:rPr>
        <w:softHyphen/>
        <w:t>венного значения (23586).</w:t>
      </w:r>
    </w:p>
    <w:p w14:paraId="29EBE78E" w14:textId="77777777" w:rsidR="00715786" w:rsidRPr="00070ADE" w:rsidRDefault="00715786" w:rsidP="00B56F90">
      <w:pPr>
        <w:spacing w:after="0" w:line="240" w:lineRule="auto"/>
        <w:jc w:val="both"/>
        <w:rPr>
          <w:rFonts w:ascii="Times New Roman" w:hAnsi="Times New Roman"/>
          <w:color w:val="000000" w:themeColor="text1"/>
          <w:sz w:val="16"/>
          <w:szCs w:val="16"/>
        </w:rPr>
      </w:pPr>
    </w:p>
    <w:p w14:paraId="215FEF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обсуждался вопрос о пассажирском экспрессе на 10-12 пассажиров, способным покрыть 5 тыс. км без посадки. Хотели приспособить Ер-2 и некоторые другие, а С.В.И. предложил Ил-12 с дизелями, который уже строился и Ер-2 переделывать не стали (85,86).</w:t>
      </w:r>
    </w:p>
    <w:p w14:paraId="787332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606D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эскизный проект У-2ШС подготовили и представили для рассмотрения. Указывалось, что данный многоме</w:t>
      </w:r>
      <w:r w:rsidRPr="00070ADE">
        <w:rPr>
          <w:rFonts w:ascii="Times New Roman" w:hAnsi="Times New Roman"/>
          <w:color w:val="000000" w:themeColor="text1"/>
          <w:sz w:val="16"/>
          <w:szCs w:val="16"/>
        </w:rPr>
        <w:softHyphen/>
        <w:t>стный штабной самолет имеет расширен</w:t>
      </w:r>
      <w:r w:rsidRPr="00070ADE">
        <w:rPr>
          <w:rFonts w:ascii="Times New Roman" w:hAnsi="Times New Roman"/>
          <w:color w:val="000000" w:themeColor="text1"/>
          <w:sz w:val="16"/>
          <w:szCs w:val="16"/>
        </w:rPr>
        <w:softHyphen/>
        <w:t>ный на 400 мм фюзеляж с закрытой каби</w:t>
      </w:r>
      <w:r w:rsidRPr="00070ADE">
        <w:rPr>
          <w:rFonts w:ascii="Times New Roman" w:hAnsi="Times New Roman"/>
          <w:color w:val="000000" w:themeColor="text1"/>
          <w:sz w:val="16"/>
          <w:szCs w:val="16"/>
        </w:rPr>
        <w:softHyphen/>
        <w:t>ной, позволяющий перевозить с комфортом четырех пассажиров, или трех раненых (два в лежачем положении), или груз большого объема весом до 350 кг (например, двига</w:t>
      </w:r>
      <w:r w:rsidRPr="00070ADE">
        <w:rPr>
          <w:rFonts w:ascii="Times New Roman" w:hAnsi="Times New Roman"/>
          <w:color w:val="000000" w:themeColor="text1"/>
          <w:sz w:val="16"/>
          <w:szCs w:val="16"/>
        </w:rPr>
        <w:softHyphen/>
        <w:t>тель). Верхнее крыло для сохранения нор</w:t>
      </w:r>
      <w:r w:rsidRPr="00070ADE">
        <w:rPr>
          <w:rFonts w:ascii="Times New Roman" w:hAnsi="Times New Roman"/>
          <w:color w:val="000000" w:themeColor="text1"/>
          <w:sz w:val="16"/>
          <w:szCs w:val="16"/>
        </w:rPr>
        <w:softHyphen/>
        <w:t>мальной полетной центровки сдвигалось назад на 200 мм. Двигатель М-11Ф имел хо</w:t>
      </w:r>
      <w:r w:rsidRPr="00070ADE">
        <w:rPr>
          <w:rFonts w:ascii="Times New Roman" w:hAnsi="Times New Roman"/>
          <w:color w:val="000000" w:themeColor="text1"/>
          <w:sz w:val="16"/>
          <w:szCs w:val="16"/>
        </w:rPr>
        <w:softHyphen/>
        <w:t>рошее капотирование, на рулях высоты и элеронах устанавливалась аэродинамиче</w:t>
      </w:r>
      <w:r w:rsidRPr="00070ADE">
        <w:rPr>
          <w:rFonts w:ascii="Times New Roman" w:hAnsi="Times New Roman"/>
          <w:color w:val="000000" w:themeColor="text1"/>
          <w:sz w:val="16"/>
          <w:szCs w:val="16"/>
        </w:rPr>
        <w:softHyphen/>
        <w:t>ская компенсация. Строить самолет пред</w:t>
      </w:r>
      <w:r w:rsidRPr="00070ADE">
        <w:rPr>
          <w:rFonts w:ascii="Times New Roman" w:hAnsi="Times New Roman"/>
          <w:color w:val="000000" w:themeColor="text1"/>
          <w:sz w:val="16"/>
          <w:szCs w:val="16"/>
        </w:rPr>
        <w:softHyphen/>
        <w:t>полагалось при полном сохранении серий</w:t>
      </w:r>
      <w:r w:rsidRPr="00070ADE">
        <w:rPr>
          <w:rFonts w:ascii="Times New Roman" w:hAnsi="Times New Roman"/>
          <w:color w:val="000000" w:themeColor="text1"/>
          <w:sz w:val="16"/>
          <w:szCs w:val="16"/>
        </w:rPr>
        <w:softHyphen/>
        <w:t>ной технологической оснастки. По сравне</w:t>
      </w:r>
      <w:r w:rsidRPr="00070ADE">
        <w:rPr>
          <w:rFonts w:ascii="Times New Roman" w:hAnsi="Times New Roman"/>
          <w:color w:val="000000" w:themeColor="text1"/>
          <w:sz w:val="16"/>
          <w:szCs w:val="16"/>
        </w:rPr>
        <w:softHyphen/>
        <w:t>нию с базовым экземпляром трудоемкость изготовления «штабного лимузина» увели</w:t>
      </w:r>
      <w:r w:rsidRPr="00070ADE">
        <w:rPr>
          <w:rFonts w:ascii="Times New Roman" w:hAnsi="Times New Roman"/>
          <w:color w:val="000000" w:themeColor="text1"/>
          <w:sz w:val="16"/>
          <w:szCs w:val="16"/>
        </w:rPr>
        <w:softHyphen/>
        <w:t>чивалась всего на 138 часов или на 4,6% (11085).</w:t>
      </w:r>
    </w:p>
    <w:p w14:paraId="6C653F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A678F2" w14:textId="77777777" w:rsidR="007B617D" w:rsidRPr="00C94B78" w:rsidRDefault="007B617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январе 1944 г. завод № 51 подготовил и представил для рассмотрения эскизный проект У-2 ШС. Указывалось, что данный многомест</w:t>
      </w:r>
      <w:r w:rsidRPr="00C94B78">
        <w:rPr>
          <w:rFonts w:ascii="Times New Roman" w:hAnsi="Times New Roman"/>
          <w:color w:val="0070C0"/>
          <w:sz w:val="16"/>
          <w:szCs w:val="16"/>
        </w:rPr>
        <w:softHyphen/>
        <w:t>ный штабной самолет имеет расширенный на 400 мм фюзеляж с закрытой кабиной, позво</w:t>
      </w:r>
      <w:r w:rsidRPr="00C94B78">
        <w:rPr>
          <w:rFonts w:ascii="Times New Roman" w:hAnsi="Times New Roman"/>
          <w:color w:val="0070C0"/>
          <w:sz w:val="16"/>
          <w:szCs w:val="16"/>
        </w:rPr>
        <w:softHyphen/>
        <w:t>ляющей перевозить с комфортом четверых пассажиров, или троих раненых (двоих — в лежачем положении), или груз большого объема до 350 кг (например авиадвигатель). Верхнее крыло для сохранения нормальной полетной центровки сдвигалось назад на 200 мм. Двигатель М-11Ф имел хорошее капоти</w:t>
      </w:r>
      <w:r w:rsidRPr="00C94B78">
        <w:rPr>
          <w:rFonts w:ascii="Times New Roman" w:hAnsi="Times New Roman"/>
          <w:color w:val="0070C0"/>
          <w:sz w:val="16"/>
          <w:szCs w:val="16"/>
        </w:rPr>
        <w:softHyphen/>
        <w:t>рование, на рулях высоты и элеронах устана</w:t>
      </w:r>
      <w:r w:rsidRPr="00C94B78">
        <w:rPr>
          <w:rFonts w:ascii="Times New Roman" w:hAnsi="Times New Roman"/>
          <w:color w:val="0070C0"/>
          <w:sz w:val="16"/>
          <w:szCs w:val="16"/>
        </w:rPr>
        <w:softHyphen/>
        <w:t xml:space="preserve">вливалась аэродинамическая компенсация. Строить самолет предполагалось </w:t>
      </w:r>
      <w:r w:rsidRPr="00C94B78">
        <w:rPr>
          <w:rFonts w:ascii="Times New Roman" w:hAnsi="Times New Roman"/>
          <w:color w:val="0070C0"/>
          <w:sz w:val="16"/>
          <w:szCs w:val="16"/>
        </w:rPr>
        <w:lastRenderedPageBreak/>
        <w:t>при полном сохранении серийной технологической осна</w:t>
      </w:r>
      <w:r w:rsidRPr="00C94B78">
        <w:rPr>
          <w:rFonts w:ascii="Times New Roman" w:hAnsi="Times New Roman"/>
          <w:color w:val="0070C0"/>
          <w:sz w:val="16"/>
          <w:szCs w:val="16"/>
        </w:rPr>
        <w:softHyphen/>
        <w:t>стки. По сравнению с базовым экземпляром трудоемкость изготовления «штабного лиму</w:t>
      </w:r>
      <w:r w:rsidRPr="00C94B78">
        <w:rPr>
          <w:rFonts w:ascii="Times New Roman" w:hAnsi="Times New Roman"/>
          <w:color w:val="0070C0"/>
          <w:sz w:val="16"/>
          <w:szCs w:val="16"/>
        </w:rPr>
        <w:softHyphen/>
        <w:t>зина» увеличивалась всего на 138 часов или на 4,6%.</w:t>
      </w:r>
    </w:p>
    <w:p w14:paraId="667A9EC0" w14:textId="77777777" w:rsidR="007B617D" w:rsidRPr="00C94B78" w:rsidRDefault="007B617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Проект У-2ШС утвердили, и к весне 1944 года опытный экземпляр изготовили на заво</w:t>
      </w:r>
      <w:r w:rsidRPr="00C94B78">
        <w:rPr>
          <w:rFonts w:ascii="Times New Roman" w:hAnsi="Times New Roman"/>
          <w:color w:val="0070C0"/>
          <w:sz w:val="16"/>
          <w:szCs w:val="16"/>
        </w:rPr>
        <w:softHyphen/>
        <w:t>де №51 (24969).</w:t>
      </w:r>
    </w:p>
    <w:p w14:paraId="0929067E" w14:textId="77777777" w:rsidR="007B617D" w:rsidRPr="00C94B78" w:rsidRDefault="007B617D" w:rsidP="00B56F90">
      <w:pPr>
        <w:spacing w:after="0" w:line="240" w:lineRule="auto"/>
        <w:jc w:val="both"/>
        <w:rPr>
          <w:rFonts w:ascii="Times New Roman" w:hAnsi="Times New Roman"/>
          <w:color w:val="0070C0"/>
          <w:sz w:val="16"/>
          <w:szCs w:val="16"/>
        </w:rPr>
      </w:pPr>
    </w:p>
    <w:p w14:paraId="034DE303" w14:textId="6DB9938A" w:rsidR="003C231F" w:rsidRPr="00070ADE" w:rsidRDefault="003C231F"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январе 1944 г. в ОКБ П.О. Сухого по своей инициативе приступили к эскизному проектированию одноместного истребителя с комбинированной си ловой установкой конструкции А.А. Фадеева и К.В. Холщев никова.</w:t>
      </w:r>
    </w:p>
    <w:p w14:paraId="5E0A927A" w14:textId="77777777" w:rsidR="003C231F" w:rsidRPr="00070ADE" w:rsidRDefault="003C231F" w:rsidP="00B56F90">
      <w:pPr>
        <w:pStyle w:val="ae"/>
        <w:shd w:val="clear" w:color="auto" w:fill="FFFFFF"/>
        <w:spacing w:before="0" w:after="0"/>
        <w:jc w:val="both"/>
        <w:rPr>
          <w:color w:val="000000" w:themeColor="text1"/>
          <w:sz w:val="16"/>
          <w:szCs w:val="16"/>
        </w:rPr>
      </w:pPr>
      <w:r w:rsidRPr="00070ADE">
        <w:rPr>
          <w:color w:val="000000" w:themeColor="text1"/>
          <w:sz w:val="16"/>
          <w:szCs w:val="16"/>
        </w:rPr>
        <w:t>К середине февраля был готов 1-й вариант проекта. Само лет по схеме представлял собой свободнонесущий моноплан, цельнометаллической конструкции с однокилевым хвостовым оперением и убирающимся в полете шасси.</w:t>
      </w:r>
    </w:p>
    <w:p w14:paraId="56A2287D" w14:textId="77777777" w:rsidR="003C231F" w:rsidRPr="00070ADE" w:rsidRDefault="003C231F" w:rsidP="00B56F90">
      <w:pPr>
        <w:pStyle w:val="ae"/>
        <w:shd w:val="clear" w:color="auto" w:fill="FFFFFF"/>
        <w:spacing w:before="0" w:after="0"/>
        <w:jc w:val="both"/>
        <w:rPr>
          <w:color w:val="000000" w:themeColor="text1"/>
          <w:sz w:val="16"/>
          <w:szCs w:val="16"/>
        </w:rPr>
      </w:pPr>
      <w:r w:rsidRPr="00070ADE">
        <w:rPr>
          <w:color w:val="000000" w:themeColor="text1"/>
          <w:sz w:val="16"/>
          <w:szCs w:val="16"/>
        </w:rPr>
        <w:t>КДУ состояла из основного поршневого двигателя М-107А конструкции ОКБ В.Я. Климова с воздушным вин том и дополнительного ВРДК, выполнявшего функцию уско рителя. Компрессор приводился во вращение двигателем М-107А при помощи двух валов и промежуточного редукто ра. Забор воздуха для ВРДК осуществлялся двумя воздухо заборниками, расположенными в носках центроплана кры ла. Воздушные каналы пролегали внутри центроплана, за тем входили в фюзеляж и объединялись в один общий канал, который подводил воздух к осевому одноступенчатому комп рессору, затем сжатый воздух поступал к передней части ка меры сгорания с установленными в ней форсунками. Задняя часть камеры сгорания переходила в нерегулируемое реак тивное сопло (19586).</w:t>
      </w:r>
    </w:p>
    <w:p w14:paraId="25F82FE9" w14:textId="77777777" w:rsidR="003C231F" w:rsidRPr="00070ADE" w:rsidRDefault="003C231F" w:rsidP="00B56F90">
      <w:pPr>
        <w:pStyle w:val="ae"/>
        <w:shd w:val="clear" w:color="auto" w:fill="FFFFFF"/>
        <w:spacing w:before="0" w:after="0"/>
        <w:jc w:val="both"/>
        <w:rPr>
          <w:color w:val="000000" w:themeColor="text1"/>
          <w:sz w:val="16"/>
          <w:szCs w:val="16"/>
        </w:rPr>
      </w:pPr>
    </w:p>
    <w:p w14:paraId="035E1A22" w14:textId="77777777" w:rsidR="00302F5F" w:rsidRPr="00C94B78" w:rsidRDefault="00302F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январе 1944 года, в КБ завода №289 в инициативном порядке приступили к проектированию одноместного истребителя с комбинированной силовой установкой конструкции А.А.Фадеева и К.В. Холщевникова</w:t>
      </w:r>
      <w:r w:rsidRPr="00C94B78">
        <w:rPr>
          <w:rFonts w:ascii="Times New Roman" w:hAnsi="Times New Roman"/>
          <w:b/>
          <w:bCs/>
          <w:i/>
          <w:iCs/>
          <w:color w:val="0070C0"/>
          <w:sz w:val="16"/>
          <w:szCs w:val="16"/>
        </w:rPr>
        <w:t>.</w:t>
      </w:r>
      <w:r w:rsidRPr="00C94B78">
        <w:rPr>
          <w:rFonts w:ascii="Times New Roman" w:hAnsi="Times New Roman"/>
          <w:color w:val="0070C0"/>
          <w:sz w:val="16"/>
          <w:szCs w:val="16"/>
        </w:rPr>
        <w:t xml:space="preserve"> К середине февраля был готов первый вариант проекта. Самолёт по схеме представлял собой свободнонесущий моноплан цельнометаллической конструкции, с однокилевым оперением и убирающимся в полёте шасси.</w:t>
      </w:r>
    </w:p>
    <w:p w14:paraId="4C1D4DB6" w14:textId="77777777" w:rsidR="00302F5F" w:rsidRPr="00C94B78" w:rsidRDefault="00302F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Комбинированная силовая установка состояла из основного поршневого двигателя М-107А с воздушным винтом и дополнительного ВРДК, игравшего роль ускорителя. Компрессор приводился во вращение двигателем М-107А с помощью двух валов и промежуточного редуктора. Забор воздуха для ВРДК осуществлялся двумя воздухозаборниками, которые располагались в носках центроплана. Воздушные каналы пролегали внутри центроплана крыла, затем входили в фюзеляж и объединялись в один общий канал, который подводил воздух к осевому одноступенчатому компрессору и затем воздух поступал в передней части камеры сгорания с установленными в ней форсунками. Задняя часть камеры сгорания переходила в нерегулируемое реактивное сопло.</w:t>
      </w:r>
    </w:p>
    <w:p w14:paraId="1B3B2446" w14:textId="77777777" w:rsidR="00302F5F" w:rsidRPr="00C94B78" w:rsidRDefault="00302F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марта 1944 года был завершён эскизный проект второго варианта истребителя. Данный вариант имел ряд существенных отличий от предыдущего. Учитывая то, что крыльевые воздухозаборники имеют значительные потери давления, связанные с многочисленным изгибами воздушных каналов, а также с увеличенными скоростями потока из-за малых размеров проходных сечений, во втором варианте приняли решение разместить воздухозаборник под коком воздушного винта. В связи с этим изменилась компоновка самолёта. Изменения также коснулись мест размещения маслорадиатора и радиатора системы охлаждения, упростилась трансмиссия привода компрессора ВРДК (24925).</w:t>
      </w:r>
    </w:p>
    <w:p w14:paraId="46EB4D26" w14:textId="77777777" w:rsidR="00302F5F" w:rsidRPr="00C94B78" w:rsidRDefault="00302F5F" w:rsidP="00B56F90">
      <w:pPr>
        <w:spacing w:after="0" w:line="240" w:lineRule="auto"/>
        <w:jc w:val="both"/>
        <w:rPr>
          <w:rFonts w:ascii="Times New Roman" w:hAnsi="Times New Roman"/>
          <w:color w:val="0070C0"/>
          <w:sz w:val="16"/>
          <w:szCs w:val="16"/>
        </w:rPr>
      </w:pPr>
    </w:p>
    <w:p w14:paraId="37DE27FC" w14:textId="77777777" w:rsidR="00302F5F" w:rsidRPr="00C94B78" w:rsidRDefault="00302F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январе 1944 г. в ОКБ П.О. Сухого по своей инициативе приступили к эскизному про</w:t>
      </w:r>
      <w:r w:rsidRPr="00C94B78">
        <w:rPr>
          <w:rFonts w:ascii="Times New Roman" w:hAnsi="Times New Roman"/>
          <w:color w:val="0070C0"/>
          <w:sz w:val="16"/>
          <w:szCs w:val="16"/>
        </w:rPr>
        <w:softHyphen/>
        <w:t>ектированию одноместного истребителя с комбинированной си</w:t>
      </w:r>
      <w:r w:rsidRPr="00C94B78">
        <w:rPr>
          <w:rFonts w:ascii="Times New Roman" w:hAnsi="Times New Roman"/>
          <w:color w:val="0070C0"/>
          <w:sz w:val="16"/>
          <w:szCs w:val="16"/>
        </w:rPr>
        <w:softHyphen/>
        <w:t>ловой установкой конструкции А.А. Фадеева и К.В. Холщевникова.</w:t>
      </w:r>
    </w:p>
    <w:p w14:paraId="60B0CBC2" w14:textId="77777777" w:rsidR="00302F5F" w:rsidRPr="00C94B78" w:rsidRDefault="00302F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середине февраля был готов 1-й вариант проекта. Само</w:t>
      </w:r>
      <w:r w:rsidRPr="00C94B78">
        <w:rPr>
          <w:rFonts w:ascii="Times New Roman" w:hAnsi="Times New Roman"/>
          <w:color w:val="0070C0"/>
          <w:sz w:val="16"/>
          <w:szCs w:val="16"/>
        </w:rPr>
        <w:softHyphen/>
        <w:t>лет по схеме представлял собой свободнонесущий моноплан, цельнометаллической конструкции с однокилевым хвостовым оперением и убирающимся в полете шасси [72] (24920).</w:t>
      </w:r>
    </w:p>
    <w:p w14:paraId="7985A9D0" w14:textId="77777777" w:rsidR="00302F5F" w:rsidRPr="00C94B78" w:rsidRDefault="00302F5F" w:rsidP="00B56F90">
      <w:pPr>
        <w:spacing w:after="0" w:line="240" w:lineRule="auto"/>
        <w:jc w:val="both"/>
        <w:rPr>
          <w:rFonts w:ascii="Times New Roman" w:hAnsi="Times New Roman"/>
          <w:color w:val="0070C0"/>
          <w:sz w:val="16"/>
          <w:szCs w:val="16"/>
        </w:rPr>
      </w:pPr>
    </w:p>
    <w:p w14:paraId="3D52B1B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в НИИ ВВС М.Л.Галлай, А.Н.Гринчик и В.Л.Расторгуев в ЛИИ испытывался плененный 12 июля 1943 у Невеля Fw 190F-4 - черная шестерка, N 142362 (2466,77).</w:t>
      </w:r>
    </w:p>
    <w:p w14:paraId="2878C2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D9D0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проходил испытания - М-88Ф-НВ, опытный образец с непосредственным впрыском топлива (11852).</w:t>
      </w:r>
    </w:p>
    <w:p w14:paraId="2E1A6A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FF6BBC" w14:textId="77777777" w:rsidR="00302F5F" w:rsidRPr="00C94B78" w:rsidRDefault="00302F5F"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 января 1944 г. и до 1948 г. двигатель АМ-42 выпускался на заводе № 24, затем был перерыв, но с возобнов</w:t>
      </w:r>
      <w:r w:rsidRPr="00C94B78">
        <w:rPr>
          <w:rStyle w:val="aff1"/>
          <w:rFonts w:ascii="Times New Roman" w:hAnsi="Times New Roman" w:cs="Times New Roman"/>
          <w:color w:val="0070C0"/>
          <w:spacing w:val="0"/>
          <w:sz w:val="16"/>
          <w:szCs w:val="16"/>
        </w:rPr>
        <w:softHyphen/>
        <w:t>лением постройки модернизированных штурмовиков Ил-10М в 1951 г. вновь стали производить и моторы для него – вплоть до 1954 г. Всего на заводе № 24 было изготовлено 10 232 двигателя АМ-42.</w:t>
      </w:r>
    </w:p>
    <w:p w14:paraId="28D4F8EB" w14:textId="77777777" w:rsidR="00302F5F" w:rsidRPr="00C94B78" w:rsidRDefault="00302F5F"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С 1952 г. АМ-42 выпускался по лицензии в Чехосло</w:t>
      </w:r>
      <w:r w:rsidRPr="00C94B78">
        <w:rPr>
          <w:rStyle w:val="aff1"/>
          <w:rFonts w:ascii="Times New Roman" w:hAnsi="Times New Roman" w:cs="Times New Roman"/>
          <w:color w:val="0070C0"/>
          <w:spacing w:val="0"/>
          <w:sz w:val="16"/>
          <w:szCs w:val="16"/>
        </w:rPr>
        <w:softHyphen/>
        <w:t>вакии на заводе им. Димитрова для штурмовиков В-33 (это был местный вариант Ил-10). Мотор экспортиро</w:t>
      </w:r>
      <w:r w:rsidRPr="00C94B78">
        <w:rPr>
          <w:rStyle w:val="aff1"/>
          <w:rFonts w:ascii="Times New Roman" w:hAnsi="Times New Roman" w:cs="Times New Roman"/>
          <w:color w:val="0070C0"/>
          <w:spacing w:val="0"/>
          <w:sz w:val="16"/>
          <w:szCs w:val="16"/>
        </w:rPr>
        <w:softHyphen/>
        <w:t>вался в Польшу, Венгрию, Румынию, Чехословакию, Китай и Северную Корею (25145).</w:t>
      </w:r>
    </w:p>
    <w:p w14:paraId="0D5E1F53" w14:textId="77777777" w:rsidR="00302F5F" w:rsidRPr="00C94B78" w:rsidRDefault="00302F5F" w:rsidP="00B56F90">
      <w:pPr>
        <w:spacing w:after="0" w:line="240" w:lineRule="auto"/>
        <w:jc w:val="both"/>
        <w:rPr>
          <w:rFonts w:ascii="Times New Roman" w:hAnsi="Times New Roman"/>
          <w:color w:val="0070C0"/>
          <w:sz w:val="16"/>
          <w:szCs w:val="16"/>
        </w:rPr>
      </w:pPr>
    </w:p>
    <w:p w14:paraId="20ADA71E" w14:textId="77777777" w:rsidR="00121DCD" w:rsidRPr="00070ADE" w:rsidRDefault="00121DC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фирма «Бристоль» предложила СССР лицензию на «Сентаурус». При обсуждении этого предложения в феврале, Шахурин опять предложил сначала приобрести пять-десять моторов разных типов (включая «Сентаурус») и испытать их в СССР (23356).</w:t>
      </w:r>
    </w:p>
    <w:p w14:paraId="40F0F667" w14:textId="77777777" w:rsidR="00121DCD" w:rsidRPr="00070ADE" w:rsidRDefault="00121DCD" w:rsidP="00B56F90">
      <w:pPr>
        <w:spacing w:after="0" w:line="240" w:lineRule="auto"/>
        <w:jc w:val="both"/>
        <w:rPr>
          <w:rFonts w:ascii="Times New Roman" w:hAnsi="Times New Roman"/>
          <w:color w:val="000000" w:themeColor="text1"/>
          <w:sz w:val="16"/>
          <w:szCs w:val="16"/>
        </w:rPr>
      </w:pPr>
    </w:p>
    <w:p w14:paraId="0F7E06AC" w14:textId="77777777" w:rsidR="00121DCD" w:rsidRPr="00070ADE" w:rsidRDefault="00121DC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неудачно завершен цикл доводочных испытаний опытной установки держателей Д-2-42 конструкции завода №43, который начался в мае и продолжался в августе и ноябре 1943. Держате</w:t>
      </w:r>
      <w:r w:rsidRPr="00070ADE">
        <w:rPr>
          <w:rFonts w:ascii="Times New Roman" w:hAnsi="Times New Roman"/>
          <w:color w:val="000000" w:themeColor="text1"/>
          <w:sz w:val="16"/>
          <w:szCs w:val="16"/>
        </w:rPr>
        <w:softHyphen/>
        <w:t>ли предназначались для подвески и сбрасывания авиа</w:t>
      </w:r>
      <w:r w:rsidRPr="00070ADE">
        <w:rPr>
          <w:rFonts w:ascii="Times New Roman" w:hAnsi="Times New Roman"/>
          <w:color w:val="000000" w:themeColor="text1"/>
          <w:sz w:val="16"/>
          <w:szCs w:val="16"/>
        </w:rPr>
        <w:softHyphen/>
        <w:t>бомб калибром от 25 до 100 кг и выливных авиаприборов В-100, В-6М (8-В-116М). Основной особенностью держателей являлась уборка ухватов после сбрасывания груза и однопроводная система управления сбросом, полностью устра</w:t>
      </w:r>
      <w:r w:rsidRPr="00070ADE">
        <w:rPr>
          <w:rFonts w:ascii="Times New Roman" w:hAnsi="Times New Roman"/>
          <w:color w:val="000000" w:themeColor="text1"/>
          <w:sz w:val="16"/>
          <w:szCs w:val="16"/>
        </w:rPr>
        <w:softHyphen/>
        <w:t>нить производственные и конструктивные недостатки держателей не удалось (23381).</w:t>
      </w:r>
    </w:p>
    <w:p w14:paraId="70D2BAFD" w14:textId="77777777" w:rsidR="00121DCD" w:rsidRPr="00070ADE" w:rsidRDefault="00121DCD" w:rsidP="00B56F90">
      <w:pPr>
        <w:spacing w:after="0" w:line="240" w:lineRule="auto"/>
        <w:jc w:val="both"/>
        <w:rPr>
          <w:rFonts w:ascii="Times New Roman" w:hAnsi="Times New Roman"/>
          <w:color w:val="000000" w:themeColor="text1"/>
          <w:sz w:val="16"/>
          <w:szCs w:val="16"/>
        </w:rPr>
      </w:pPr>
    </w:p>
    <w:p w14:paraId="46811C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января 1944 года вновь организованный завод № 489 в Днепропетровске не имел профиля и делал различные работы и только 25 августа приказом НКАП за № 529с заводу был указан профиль и установлена номенклатура выпускаемых изделий: автоматы переключения скоростей нагнетателя 8-67 и гидравлических агрегатов объединенного управления винтов и газом, ВГЦИАМ-1744 для авиамоторов АН-38Ф и АШ-42. В 1946 году окончательно был установлен профиль завода как завода агрегатостроения. Директор – В. Еременко. Производственный профиль – агрегатный (9857).</w:t>
      </w:r>
    </w:p>
    <w:p w14:paraId="6240C9F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9085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пришла директива - приказ Наркома авиапромышленности, согласно которому винтовое ОКБ №35, совместно с винтовым ОКБ московского завода №28 и регуляторным ОКБ химкинского завода №132 возвращались из эвакуации на промышленные площади бывшего винтового производства авиакомбината №150 в г. Ступино. На базе этих ОКБ был создан опытный винтовой завод под № 25. Директором завода был назначен М.С. Бондалетов, Главным конструктором К.И.Жданов, Главным инженером Д.М.Дубровский. Предстоял новый этап жизни и плодотворной работы, поскольку теперь винтовики и регуляторщики были объединены в единый творческий коллектив, что позволило теперь осуществлять проектирование на предприятии регуляторов постоянных оборотов для совместной работы с автоматическими воздушными винтами отечественной конструкции. В апреле 1945 г. опытный завод №25 был реорганизован в ОКБ авиакомбината №150 с целью укрепления материальной базы, использования жилого фонда и производственных мощностей более экономически сильного предприятия (11415).</w:t>
      </w:r>
    </w:p>
    <w:p w14:paraId="455EAD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C2C7F4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ОКБ тогда уже завода № 35 вместе с винтовым ОКБ завода № 28 и регуляторным ОКБ-132 возвращаются в Ступино на территорию винтового производства авиакомбината № 150 и образуют опытный винтостроительный завод № 25. Директором назначается М.С. Бондалетов, гл. инженером- Д.М. Дубровский. Гл. конструктором остается Жданов.</w:t>
      </w:r>
    </w:p>
    <w:p w14:paraId="321C9C9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 161с от 20.04.1945 г. завод № 25 реорганизуется в ОКБ комбината № 150.</w:t>
      </w:r>
    </w:p>
    <w:p w14:paraId="0EB1259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 155с от 25.03.1946 г. ОКБ-150 снова преобразуется в самостоятельный опытный завод № 120. Директором- гл. конструктором назначен Жданов, гл. инженером- Б.А. Пережогин.</w:t>
      </w:r>
    </w:p>
    <w:p w14:paraId="3CFC545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МАП № 417 от 17.06.1948 г. на базе опытного завода № 120 образованы два самостоятельных предприятия: серийный завод № 120 и ОКБ-120 (11982).</w:t>
      </w:r>
    </w:p>
    <w:p w14:paraId="373D88AB" w14:textId="77777777" w:rsidR="00D86EA0" w:rsidRPr="00070ADE" w:rsidRDefault="00D86EA0" w:rsidP="00B56F90">
      <w:pPr>
        <w:autoSpaceDE w:val="0"/>
        <w:autoSpaceDN w:val="0"/>
        <w:adjustRightInd w:val="0"/>
        <w:spacing w:after="0" w:line="240" w:lineRule="auto"/>
        <w:jc w:val="both"/>
        <w:rPr>
          <w:rFonts w:ascii="Times New Roman" w:hAnsi="Times New Roman"/>
          <w:color w:val="000000" w:themeColor="text1"/>
          <w:sz w:val="16"/>
          <w:szCs w:val="16"/>
        </w:rPr>
      </w:pPr>
    </w:p>
    <w:p w14:paraId="4EB0DEE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для ОКБ Незваля выделили 4 млн. рублей, а также два легковых и два грузовых авто в придачу к 1000 кв. метров жилья в Ленинском районе (12049).</w:t>
      </w:r>
    </w:p>
    <w:p w14:paraId="7263915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0CB9F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ФАБ-100сл чертежа 3-01318 приняли на вооружение с индексом 7-Ф-295. Однако из-за отсутствия производственных мощностей по выплавке сталей с конкретными характеристиками и высококачественного литейного производства до конца войны ее изготовление так и не началось. Таким образом, из всего многообразия проектов ФАБ-100 с литыми из стали корпусами, принятых на вооружение ВВС, реально в строевые части поступали только ФАБ-100сл чертежа 3-01281 из двух продольных половин и ФАБ-100сл конструкции ГСКБ-47 чертежа 3-01318 (7453).</w:t>
      </w:r>
    </w:p>
    <w:p w14:paraId="4EB2FD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A4447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в КБ завода №289 в инициативном порядке при</w:t>
      </w:r>
      <w:r w:rsidRPr="00070ADE">
        <w:rPr>
          <w:rFonts w:ascii="Times New Roman" w:hAnsi="Times New Roman"/>
          <w:color w:val="000000" w:themeColor="text1"/>
          <w:sz w:val="16"/>
          <w:szCs w:val="16"/>
        </w:rPr>
        <w:softHyphen/>
        <w:t>ступили к эскизному проектированию одноместного истребителя с комбини</w:t>
      </w:r>
      <w:r w:rsidRPr="00070ADE">
        <w:rPr>
          <w:rFonts w:ascii="Times New Roman" w:hAnsi="Times New Roman"/>
          <w:color w:val="000000" w:themeColor="text1"/>
          <w:sz w:val="16"/>
          <w:szCs w:val="16"/>
        </w:rPr>
        <w:softHyphen/>
        <w:t>рованной силовой установкой конст</w:t>
      </w:r>
      <w:r w:rsidRPr="00070ADE">
        <w:rPr>
          <w:rFonts w:ascii="Times New Roman" w:hAnsi="Times New Roman"/>
          <w:color w:val="000000" w:themeColor="text1"/>
          <w:sz w:val="16"/>
          <w:szCs w:val="16"/>
        </w:rPr>
        <w:softHyphen/>
        <w:t>рукции А.А.Фадеева и К.В.Холщевникова (10669).</w:t>
      </w:r>
    </w:p>
    <w:p w14:paraId="0FE3F67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6A3DB9" w14:textId="77777777" w:rsidR="00121DCD" w:rsidRPr="00070ADE" w:rsidRDefault="00121DC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года заместителю наркома авиапромыш</w:t>
      </w:r>
      <w:r w:rsidRPr="00070ADE">
        <w:rPr>
          <w:rFonts w:ascii="Times New Roman" w:hAnsi="Times New Roman"/>
          <w:color w:val="000000" w:themeColor="text1"/>
          <w:sz w:val="16"/>
          <w:szCs w:val="16"/>
        </w:rPr>
        <w:softHyphen/>
        <w:t>ленности А.С.Яковлеву поручили возглавить правительствен</w:t>
      </w:r>
      <w:r w:rsidRPr="00070ADE">
        <w:rPr>
          <w:rFonts w:ascii="Times New Roman" w:hAnsi="Times New Roman"/>
          <w:color w:val="000000" w:themeColor="text1"/>
          <w:sz w:val="16"/>
          <w:szCs w:val="16"/>
        </w:rPr>
        <w:softHyphen/>
        <w:t>ную комиссию по рассмотрению вопроса о выполнении поста</w:t>
      </w:r>
      <w:r w:rsidRPr="00070ADE">
        <w:rPr>
          <w:rFonts w:ascii="Times New Roman" w:hAnsi="Times New Roman"/>
          <w:color w:val="000000" w:themeColor="text1"/>
          <w:sz w:val="16"/>
          <w:szCs w:val="16"/>
        </w:rPr>
        <w:softHyphen/>
        <w:t xml:space="preserve">новления ГКО. Ознакомившись с материалами, члены комиссии обвинили Костикова в самоличном переносе срока выполнения постановления. </w:t>
      </w:r>
      <w:r w:rsidRPr="00070ADE">
        <w:rPr>
          <w:rFonts w:ascii="Times New Roman" w:hAnsi="Times New Roman"/>
          <w:color w:val="000000" w:themeColor="text1"/>
          <w:sz w:val="16"/>
          <w:szCs w:val="16"/>
        </w:rPr>
        <w:lastRenderedPageBreak/>
        <w:t>Устную договоренность с секретарем ЦК Ма</w:t>
      </w:r>
      <w:r w:rsidRPr="00070ADE">
        <w:rPr>
          <w:rFonts w:ascii="Times New Roman" w:hAnsi="Times New Roman"/>
          <w:color w:val="000000" w:themeColor="text1"/>
          <w:sz w:val="16"/>
          <w:szCs w:val="16"/>
        </w:rPr>
        <w:softHyphen/>
        <w:t>ленковым во внимание не приняли, как не приняли во внима</w:t>
      </w:r>
      <w:r w:rsidRPr="00070ADE">
        <w:rPr>
          <w:rFonts w:ascii="Times New Roman" w:hAnsi="Times New Roman"/>
          <w:color w:val="000000" w:themeColor="text1"/>
          <w:sz w:val="16"/>
          <w:szCs w:val="16"/>
        </w:rPr>
        <w:softHyphen/>
        <w:t>ние особое мнение члена комиссии профессора Б.С.Стечкина об уникальности конструкции планера и двигателя самолета ЗО2П и необходимости продолжения работы над ними.</w:t>
      </w:r>
    </w:p>
    <w:p w14:paraId="1ECECA49" w14:textId="77777777" w:rsidR="00121DCD" w:rsidRPr="00070ADE" w:rsidRDefault="00121DC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Происшедшее Яковлев расценил как обман правитель</w:t>
      </w:r>
      <w:r w:rsidRPr="00070ADE">
        <w:rPr>
          <w:rFonts w:ascii="Times New Roman" w:hAnsi="Times New Roman"/>
          <w:color w:val="000000" w:themeColor="text1"/>
          <w:sz w:val="16"/>
          <w:szCs w:val="16"/>
        </w:rPr>
        <w:softHyphen/>
        <w:t>ства, о чем доложил Сталину. Сталин согласился с выводами. 18 февраля 1944 года Костикова сняли с должности, разра</w:t>
      </w:r>
      <w:r w:rsidRPr="00070ADE">
        <w:rPr>
          <w:rFonts w:ascii="Times New Roman" w:hAnsi="Times New Roman"/>
          <w:color w:val="000000" w:themeColor="text1"/>
          <w:sz w:val="16"/>
          <w:szCs w:val="16"/>
        </w:rPr>
        <w:softHyphen/>
        <w:t>ботку самолета 302П прекратили, планер выбросили на свал</w:t>
      </w:r>
      <w:r w:rsidRPr="00070ADE">
        <w:rPr>
          <w:rFonts w:ascii="Times New Roman" w:hAnsi="Times New Roman"/>
          <w:color w:val="000000" w:themeColor="text1"/>
          <w:sz w:val="16"/>
          <w:szCs w:val="16"/>
        </w:rPr>
        <w:softHyphen/>
        <w:t>ку. Институт в очередной раз реорганизовали. На базе ГИРТа был создан Научно-исследовательский институт реактивной авиации Наркомата авиапромышленности (НИИРА НКАП). Его начальником по совместительству стал начальник ЦИАМ В.И.Поликовский.</w:t>
      </w:r>
    </w:p>
    <w:p w14:paraId="7E331188" w14:textId="77777777" w:rsidR="00121DCD" w:rsidRPr="00070ADE" w:rsidRDefault="00121DC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Интересно отметить, что в 1942-1943 годах сам Яковлев также разрабатывал проект истребителя-перехватчика с ком</w:t>
      </w:r>
      <w:r w:rsidRPr="00070ADE">
        <w:rPr>
          <w:rFonts w:ascii="Times New Roman" w:hAnsi="Times New Roman"/>
          <w:color w:val="000000" w:themeColor="text1"/>
          <w:sz w:val="16"/>
          <w:szCs w:val="16"/>
        </w:rPr>
        <w:softHyphen/>
        <w:t>бинированной двигательной установкой. Самолет Як-7Р дол</w:t>
      </w:r>
      <w:r w:rsidRPr="00070ADE">
        <w:rPr>
          <w:rFonts w:ascii="Times New Roman" w:hAnsi="Times New Roman"/>
          <w:color w:val="000000" w:themeColor="text1"/>
          <w:sz w:val="16"/>
          <w:szCs w:val="16"/>
        </w:rPr>
        <w:softHyphen/>
        <w:t>жен был оснащаться двумя ПВРД под крыльями и одним ЖРД в хвостовой части фюзеляжа. Прямоточным двигателем зани</w:t>
      </w:r>
      <w:r w:rsidRPr="00070ADE">
        <w:rPr>
          <w:rFonts w:ascii="Times New Roman" w:hAnsi="Times New Roman"/>
          <w:color w:val="000000" w:themeColor="text1"/>
          <w:sz w:val="16"/>
          <w:szCs w:val="16"/>
        </w:rPr>
        <w:softHyphen/>
        <w:t>мался И.А.Меркулов, а жидкостным... все тот же Л.С.Душкин. Проект Яковлева остался нереализованным из-за отсутствия надежно работающего ПВРД (23510).</w:t>
      </w:r>
    </w:p>
    <w:p w14:paraId="08348565" w14:textId="77777777" w:rsidR="00121DCD" w:rsidRPr="00070ADE" w:rsidRDefault="00121DCD" w:rsidP="00B56F90">
      <w:pPr>
        <w:spacing w:after="0" w:line="240" w:lineRule="auto"/>
        <w:jc w:val="both"/>
        <w:rPr>
          <w:rFonts w:ascii="Times New Roman" w:hAnsi="Times New Roman"/>
          <w:color w:val="000000" w:themeColor="text1"/>
          <w:sz w:val="16"/>
          <w:szCs w:val="16"/>
        </w:rPr>
      </w:pPr>
    </w:p>
    <w:p w14:paraId="5EBE9C72" w14:textId="77777777" w:rsidR="00302F5F" w:rsidRPr="00C94B78" w:rsidRDefault="00302F5F" w:rsidP="00B56F90">
      <w:pPr>
        <w:spacing w:after="0" w:line="240" w:lineRule="auto"/>
        <w:jc w:val="both"/>
        <w:rPr>
          <w:rFonts w:ascii="Times New Roman" w:hAnsi="Times New Roman"/>
          <w:color w:val="0070C0"/>
          <w:sz w:val="16"/>
          <w:szCs w:val="16"/>
        </w:rPr>
      </w:pPr>
      <w:r w:rsidRPr="00C94B78">
        <w:rPr>
          <w:rStyle w:val="35"/>
          <w:rFonts w:ascii="Times New Roman" w:cs="Times New Roman"/>
          <w:color w:val="0070C0"/>
          <w:spacing w:val="0"/>
          <w:sz w:val="16"/>
          <w:szCs w:val="16"/>
        </w:rPr>
        <w:t>В январе 1944 года после полигонных испытаний 8-за</w:t>
      </w:r>
      <w:r w:rsidRPr="00C94B78">
        <w:rPr>
          <w:rStyle w:val="35"/>
          <w:rFonts w:ascii="Times New Roman" w:cs="Times New Roman"/>
          <w:color w:val="0070C0"/>
          <w:spacing w:val="0"/>
          <w:sz w:val="16"/>
          <w:szCs w:val="16"/>
        </w:rPr>
        <w:softHyphen/>
        <w:t>рядный щековой станок М-31 с двухрядным заряжанием снаря</w:t>
      </w:r>
      <w:r w:rsidRPr="00C94B78">
        <w:rPr>
          <w:rStyle w:val="35"/>
          <w:rFonts w:ascii="Times New Roman" w:cs="Times New Roman"/>
          <w:color w:val="0070C0"/>
          <w:spacing w:val="0"/>
          <w:sz w:val="16"/>
          <w:szCs w:val="16"/>
        </w:rPr>
        <w:softHyphen/>
        <w:t>дов, разработанный</w:t>
      </w:r>
      <w:r>
        <w:rPr>
          <w:rStyle w:val="35"/>
          <w:rFonts w:ascii="Times New Roman" w:cs="Times New Roman"/>
          <w:color w:val="0070C0"/>
          <w:spacing w:val="0"/>
          <w:sz w:val="16"/>
          <w:szCs w:val="16"/>
        </w:rPr>
        <w:t xml:space="preserve"> </w:t>
      </w:r>
      <w:r w:rsidRPr="00C94B78">
        <w:rPr>
          <w:rStyle w:val="35"/>
          <w:rFonts w:ascii="Times New Roman" w:cs="Times New Roman"/>
          <w:color w:val="0070C0"/>
          <w:spacing w:val="0"/>
          <w:sz w:val="16"/>
          <w:szCs w:val="16"/>
        </w:rPr>
        <w:t>в декабре 1943 года конструкторской группой В. А. Рудницкого СКБ завода «Компрессор», был принят на вооружение и успешно применялся в войсках на завер</w:t>
      </w:r>
      <w:r w:rsidRPr="00C94B78">
        <w:rPr>
          <w:rStyle w:val="35"/>
          <w:rFonts w:ascii="Times New Roman" w:cs="Times New Roman"/>
          <w:color w:val="0070C0"/>
          <w:spacing w:val="0"/>
          <w:sz w:val="16"/>
          <w:szCs w:val="16"/>
        </w:rPr>
        <w:softHyphen/>
        <w:t>шающем этане войны (25439).</w:t>
      </w:r>
    </w:p>
    <w:p w14:paraId="5184B3E7" w14:textId="77777777" w:rsidR="00302F5F" w:rsidRPr="00C94B78" w:rsidRDefault="00302F5F" w:rsidP="00B56F90">
      <w:pPr>
        <w:spacing w:after="0" w:line="240" w:lineRule="auto"/>
        <w:jc w:val="both"/>
        <w:rPr>
          <w:rFonts w:ascii="Times New Roman" w:hAnsi="Times New Roman"/>
          <w:color w:val="0070C0"/>
          <w:sz w:val="16"/>
          <w:szCs w:val="16"/>
        </w:rPr>
      </w:pPr>
    </w:p>
    <w:p w14:paraId="37729CD4"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2F73E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3679C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года завод N8 изготовил опытный образец 25-мм одноствольной автоматической АУ, получивший индекс 84-КМ (3861).</w:t>
      </w:r>
    </w:p>
    <w:p w14:paraId="1EEB3D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0199FD" w14:textId="77777777" w:rsidR="00144A3D" w:rsidRPr="00C94B78" w:rsidRDefault="00144A3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январе 1944 года в ЦАКБ была спроектирована 100 мм установка для самоходок. Дело в том, что С-34 проектировалась с размещением наводчика справа, а заряжающего сзади-слева. Это привело к ряду проблем компоновочного характера, напрямую повлиявших на сроки изготовления машины (24928).</w:t>
      </w:r>
    </w:p>
    <w:p w14:paraId="6B7D438B" w14:textId="77777777" w:rsidR="00144A3D" w:rsidRPr="00C94B78" w:rsidRDefault="00144A3D" w:rsidP="00B56F90">
      <w:pPr>
        <w:spacing w:after="0" w:line="240" w:lineRule="auto"/>
        <w:jc w:val="both"/>
        <w:rPr>
          <w:rFonts w:ascii="Times New Roman" w:hAnsi="Times New Roman"/>
          <w:color w:val="0070C0"/>
          <w:sz w:val="16"/>
          <w:szCs w:val="16"/>
        </w:rPr>
      </w:pPr>
    </w:p>
    <w:p w14:paraId="3F951405" w14:textId="77777777" w:rsidR="00144A3D" w:rsidRPr="00C94B78" w:rsidRDefault="00144A3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январе 1944 г. КБ завода №9 "проснулось", на это явно повлияло постановление ГКО №4853сс. Несколько забавно, что данная разработка проходила как инициативная, ибо, напомню, заводу №9 она задавалась еще в сентябре 1943 года. Ведущим инженером системы, получившем обозначение Д-10, стал М.Е. Безусов, руководил разработкой Ф.Ф. Петров. Если С-34 проектировалась как триплекс (122 мм, 100 мм и 85 мм с увеличенной начальной скоростью), то Д-10 была лишена необходимости в "соседних" вариантах. Базировалась она на аналогичной с Д-5 и Д-25 конструкции установки. К тому же завод №9 уже проектировал установку 122-мм орудия Д-25 в самоход, а Д-10 имела аналогичные затвор, люльку, подъёмный и поворотный механизмы. Этим и объяснялась высокая скорость разработки орудия.</w:t>
      </w:r>
    </w:p>
    <w:p w14:paraId="552DECA4" w14:textId="77777777" w:rsidR="00144A3D" w:rsidRPr="00C94B78" w:rsidRDefault="00144A3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Как объясняется в исторической справке УЗТМ, сама идея появления Д-10 была связана с проблемами, возникшими вокруг С-34. Дело в том, что самоходная часть проектировалась группой конструкторов во главе с Л.И. Горлицким. Эта же группа, в своё время, создала СУ-122, а затем СУ-85. Ведущим инженером машины, как и предыдущих свердловских САУ, являлся Н.В. Курин. Еще осенью-зимой 1943 года на УЗТМ провели большой объем работ по улучшению конструкции СУ-85, в результате чего появилась модернизированная САУ. Она получила командирскую башенку и ряд других улучшений. Этот самый проект лёг в основу разработки ЦАКБ, но с рядом изменений.</w:t>
      </w:r>
    </w:p>
    <w:p w14:paraId="5DDC2DD6" w14:textId="77777777" w:rsidR="00144A3D" w:rsidRPr="00C94B78" w:rsidRDefault="00144A3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Расчеты показывали, что при установке С-34 в рубку, аналогичную модернизированной СУ-85, боевая масса возрастала с 30 до 32,5–33 тонн. Это означало существенный рост нагрузки на передние опорные катки. Выходом из положения в ЦАКБ посчитали перевод первых двух опорных катков на торсионную подвеску, от чего на УЗТМ явно взвились в воздух. Такое предложение означало, что придется перестраивать производство САУ. Впрочем, больше "обрадовались" такому решению в НКТП. Результатом стала договоренность между артиллеристами (Петров) и самоходчиками (Горлицкий) (24928).</w:t>
      </w:r>
    </w:p>
    <w:p w14:paraId="62D757E9" w14:textId="77777777" w:rsidR="00144A3D" w:rsidRPr="00C94B78" w:rsidRDefault="00144A3D" w:rsidP="00B56F90">
      <w:pPr>
        <w:spacing w:after="0" w:line="240" w:lineRule="auto"/>
        <w:jc w:val="both"/>
        <w:rPr>
          <w:rFonts w:ascii="Times New Roman" w:hAnsi="Times New Roman"/>
          <w:color w:val="0070C0"/>
          <w:sz w:val="16"/>
          <w:szCs w:val="16"/>
        </w:rPr>
      </w:pPr>
    </w:p>
    <w:p w14:paraId="4197F9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года ГАУ выдало новые тактико-технические требования на разработку 240-мм миномета усиления (3861).</w:t>
      </w:r>
    </w:p>
    <w:p w14:paraId="7E50C4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9B87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года во время прорыва блокады Ленинграда по врагу было выпущено 33 снаряда из пушки Б-37 406/50-мм, предназначавшейся для вооружения линкора типа "Советский Союз" (проект 23) и смонтированной на полигонной установке МП-10. Один из снарядов попал в здание электростанции №8, занятое противником. В результате здание было полностью разрушено. Воронка от 406-мм снаряда была диаметром 12 и глубиной 3 метра. Всего за время осады Ленинграда из МП-10 произвели 81 выстрел. Специально для этой установки было возобновлено производство 406-мм снарядов: так, в 1942 году от промышленности было получено 23 снаряда, а в 1943 году 88 снарядов. В послевоенное время МП-10 использовалась для отстрела новых снарядов и качающихся частей. Эта установка и поныне находится на Ржевке (3861).</w:t>
      </w:r>
    </w:p>
    <w:p w14:paraId="18AEEF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195F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w:t>
      </w:r>
      <w:r w:rsidRPr="00070ADE">
        <w:rPr>
          <w:rFonts w:ascii="Times New Roman" w:hAnsi="Times New Roman"/>
          <w:color w:val="000000" w:themeColor="text1"/>
          <w:sz w:val="16"/>
          <w:szCs w:val="16"/>
        </w:rPr>
        <w:softHyphen/>
        <w:t>варе 1944 г. по результатам испытаний был принят на вооружение прицел ТШ-1 с 4</w:t>
      </w:r>
      <w:r w:rsidRPr="00070ADE">
        <w:rPr>
          <w:rFonts w:ascii="Times New Roman" w:hAnsi="Times New Roman"/>
          <w:color w:val="000000" w:themeColor="text1"/>
          <w:sz w:val="16"/>
          <w:szCs w:val="16"/>
          <w:vertAlign w:val="superscript"/>
        </w:rPr>
        <w:t>х</w:t>
      </w:r>
      <w:r w:rsidRPr="00070ADE">
        <w:rPr>
          <w:rFonts w:ascii="Times New Roman" w:hAnsi="Times New Roman"/>
          <w:color w:val="000000" w:themeColor="text1"/>
          <w:sz w:val="16"/>
          <w:szCs w:val="16"/>
        </w:rPr>
        <w:t xml:space="preserve"> увеличением и полем зрения 16°. Этот прицел имел оптический шарнир, состоявший из четырех зеркал. Головная часть прицела жестко крепилась на качающей</w:t>
      </w:r>
      <w:r w:rsidRPr="00070ADE">
        <w:rPr>
          <w:rFonts w:ascii="Times New Roman" w:hAnsi="Times New Roman"/>
          <w:color w:val="000000" w:themeColor="text1"/>
          <w:sz w:val="16"/>
          <w:szCs w:val="16"/>
        </w:rPr>
        <w:softHyphen/>
        <w:t>ся части пушки, а окулярная часть была неподвижной, что улучшало ус</w:t>
      </w:r>
      <w:r w:rsidRPr="00070ADE">
        <w:rPr>
          <w:rFonts w:ascii="Times New Roman" w:hAnsi="Times New Roman"/>
          <w:color w:val="000000" w:themeColor="text1"/>
          <w:sz w:val="16"/>
          <w:szCs w:val="16"/>
        </w:rPr>
        <w:softHyphen/>
        <w:t>ловия работы наводчика. На испытаниях прицел ТШ-1 показал лучшие результаты. Прицел Имел несколько разновидностей. Прицел ТШ-15 устанавливался в танке Т-34-85 (с пушкой Д-5Т-85), прицел ТШ-16 - в танках Т-34-85 и Т-44 (с пушкой ЗИС-С-53), прицел ТШ-17 - в танках ИС-2 и ИС-3 (с пушкой Д-25Т) (10703).</w:t>
      </w:r>
    </w:p>
    <w:p w14:paraId="0A7330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07A41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- 1 сентября 1945 г. было организовано серийное производство танка Т-34-85 ("Объект 135") на заводах №№ 183, 112 и 174, а также выпуск танка Т-44 на заводе № 75 (Харьков) и разработан новый среднийо танк "Объект 137" на заводе № 183 (10703).</w:t>
      </w:r>
    </w:p>
    <w:p w14:paraId="402FBF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C90E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со всей документацией на Т-34-85 Молоштанов и Набутовский прибыли на завод №183 (3905).</w:t>
      </w:r>
    </w:p>
    <w:p w14:paraId="764AF0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F080A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года на заводе № 112 "Красное Сормово" начался cерийный выпуск Т-34/85 образца 1943 года. В этом же месяце артиллерийские КБ совместными усилиями провели модернизацию ЗИС-53. Получившаяся в результате пушка ЗИС-С-53 ("С" - Савин) успешно выдержала все испытания и была рекомендована к серийному производству (3862).</w:t>
      </w:r>
    </w:p>
    <w:p w14:paraId="2C85562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45C4F9" w14:textId="77777777" w:rsidR="00DF6978" w:rsidRPr="00070ADE" w:rsidRDefault="00DF6978" w:rsidP="00B56F90">
      <w:pPr>
        <w:pStyle w:val="a3"/>
        <w:rPr>
          <w:color w:val="000000" w:themeColor="text1"/>
          <w:lang w:val="ru-RU"/>
        </w:rPr>
      </w:pPr>
      <w:r w:rsidRPr="00070ADE">
        <w:rPr>
          <w:color w:val="000000" w:themeColor="text1"/>
          <w:lang w:val="ru-RU"/>
        </w:rPr>
        <w:t>В январе 1944 года производство Т-34-85 раньше всех начал завод № 112. Причём, до апреля 1944 года он выпускал танки с пушкой Д-5Т. Завод № 183 начал производство Т-34-85 15 марта 1944 года, а завод № 174 - в июне 1944 года. Одновременно с введением новой пушки на танки начали устанавливать прицелы нового типа - шарнирные (иногда называемые ломающимися). Преимущество этих прицелов перед применявшимися ранее состояло в том, что при изменении угла возвышения орудия наводчику не нужно было опускать или поднимать голову, так как обращённая к нему часть прицела оставалась неподвижной. Такой прицел значительно облегчал работу наводчика (12290).</w:t>
      </w:r>
    </w:p>
    <w:p w14:paraId="19A2328A" w14:textId="77777777" w:rsidR="00DF6978" w:rsidRPr="00070ADE" w:rsidRDefault="00DF6978" w:rsidP="00B56F90">
      <w:pPr>
        <w:pStyle w:val="a3"/>
        <w:rPr>
          <w:color w:val="000000" w:themeColor="text1"/>
          <w:lang w:val="ru-RU"/>
        </w:rPr>
      </w:pPr>
    </w:p>
    <w:p w14:paraId="7E79A6CE" w14:textId="77777777" w:rsidR="00DF6978" w:rsidRPr="00070ADE" w:rsidRDefault="00DF69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года в Сормово стали собирать танки, оснащенные увеличенной башней с 85-мм орудием Д5-Т. Правда, их выпуск велся недолго - до апреля месяца, после чего в серию запустили Т-34-85 с пушкой ЗИС-С-53 (12217).</w:t>
      </w:r>
    </w:p>
    <w:p w14:paraId="1C012267" w14:textId="77777777" w:rsidR="00DF6978" w:rsidRPr="00070ADE" w:rsidRDefault="00DF6978" w:rsidP="00B56F90">
      <w:pPr>
        <w:spacing w:after="0" w:line="240" w:lineRule="auto"/>
        <w:jc w:val="both"/>
        <w:rPr>
          <w:rFonts w:ascii="Times New Roman" w:hAnsi="Times New Roman"/>
          <w:color w:val="000000" w:themeColor="text1"/>
          <w:sz w:val="16"/>
          <w:szCs w:val="16"/>
        </w:rPr>
      </w:pPr>
    </w:p>
    <w:p w14:paraId="72917CBE"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года в пушке С-53 в спешном порядке устраняли недостатки, готовя ее к серийному производству на заводе № 92. Последний внес в ее конструкцию ряд существенных доработок, например, изменил конструкцию противооткатных устройств. В результате, к индексу пушки добавилось и обозначение завода № 92 имени Сталина (ЗИС). Доработанная артсистема после начала ее серийного производства получила обозначение ЗИС-С-53. А 23 января 1944 года постановлением ГКО № 5020сс на вооружение Красной Армии принимается танк Т-34, вооруженный 85-мм пушкой ЗИС-С-53 (12217).</w:t>
      </w:r>
    </w:p>
    <w:p w14:paraId="526B6F1F" w14:textId="77777777" w:rsidR="0035263A" w:rsidRPr="00070ADE" w:rsidRDefault="0035263A" w:rsidP="00B56F90">
      <w:pPr>
        <w:spacing w:after="0" w:line="240" w:lineRule="auto"/>
        <w:jc w:val="both"/>
        <w:rPr>
          <w:rFonts w:ascii="Times New Roman" w:hAnsi="Times New Roman"/>
          <w:color w:val="000000" w:themeColor="text1"/>
          <w:sz w:val="16"/>
          <w:szCs w:val="16"/>
        </w:rPr>
      </w:pPr>
    </w:p>
    <w:p w14:paraId="7E92D9E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прошли испытания прототипа Т-44 и за</w:t>
      </w:r>
      <w:r w:rsidRPr="00070ADE">
        <w:rPr>
          <w:rFonts w:ascii="Times New Roman" w:hAnsi="Times New Roman"/>
          <w:color w:val="000000" w:themeColor="text1"/>
          <w:sz w:val="16"/>
          <w:szCs w:val="16"/>
        </w:rPr>
        <w:softHyphen/>
        <w:t>кончились в целом успешно. Машина почти полностью оправдала все ожидания. Лишь скорость движения танка не превысила 52 км/ч (по проекту предусматривалось дос</w:t>
      </w:r>
      <w:r w:rsidRPr="00070ADE">
        <w:rPr>
          <w:rFonts w:ascii="Times New Roman" w:hAnsi="Times New Roman"/>
          <w:color w:val="000000" w:themeColor="text1"/>
          <w:sz w:val="16"/>
          <w:szCs w:val="16"/>
        </w:rPr>
        <w:softHyphen/>
        <w:t>тижение скорости движения не менее 56 км/ч). По прохо</w:t>
      </w:r>
      <w:r w:rsidRPr="00070ADE">
        <w:rPr>
          <w:rFonts w:ascii="Times New Roman" w:hAnsi="Times New Roman"/>
          <w:color w:val="000000" w:themeColor="text1"/>
          <w:sz w:val="16"/>
          <w:szCs w:val="16"/>
        </w:rPr>
        <w:softHyphen/>
        <w:t>димости же Т-44 не уступал «тридцатьчетверке», а в ряде случаев даже превосходил ее (за счет более мощного дви</w:t>
      </w:r>
      <w:r w:rsidRPr="00070ADE">
        <w:rPr>
          <w:rFonts w:ascii="Times New Roman" w:hAnsi="Times New Roman"/>
          <w:color w:val="000000" w:themeColor="text1"/>
          <w:sz w:val="16"/>
          <w:szCs w:val="16"/>
        </w:rPr>
        <w:softHyphen/>
        <w:t>гателя). Испытания корпуса обстрелом показали, что по фронтальной проекции он не пробивается трофейной “75-мм противотанковой пушкой обр. 40” (РаК 40) с дис</w:t>
      </w:r>
      <w:r w:rsidRPr="00070ADE">
        <w:rPr>
          <w:rFonts w:ascii="Times New Roman" w:hAnsi="Times New Roman"/>
          <w:color w:val="000000" w:themeColor="text1"/>
          <w:sz w:val="16"/>
          <w:szCs w:val="16"/>
        </w:rPr>
        <w:softHyphen/>
        <w:t>танции от 300 м, а с дистанции 700 м и более (дальность наиболее эффективного огня по немецким танкам) - не</w:t>
      </w:r>
      <w:r w:rsidRPr="00070ADE">
        <w:rPr>
          <w:rFonts w:ascii="Times New Roman" w:hAnsi="Times New Roman"/>
          <w:color w:val="000000" w:themeColor="text1"/>
          <w:sz w:val="16"/>
          <w:szCs w:val="16"/>
        </w:rPr>
        <w:softHyphen/>
        <w:t>уязвим и для 88-мм орудия танка «Тигр». Однако борт тан</w:t>
      </w:r>
      <w:r w:rsidRPr="00070ADE">
        <w:rPr>
          <w:rFonts w:ascii="Times New Roman" w:hAnsi="Times New Roman"/>
          <w:color w:val="000000" w:themeColor="text1"/>
          <w:sz w:val="16"/>
          <w:szCs w:val="16"/>
        </w:rPr>
        <w:softHyphen/>
        <w:t>ка пробивался и 75-мм и 88-мм орудиями с дистанции со</w:t>
      </w:r>
      <w:r w:rsidRPr="00070ADE">
        <w:rPr>
          <w:rFonts w:ascii="Times New Roman" w:hAnsi="Times New Roman"/>
          <w:color w:val="000000" w:themeColor="text1"/>
          <w:sz w:val="16"/>
          <w:szCs w:val="16"/>
        </w:rPr>
        <w:softHyphen/>
        <w:t>ответственно 600 и 900 м. Управление Т-44 стало более удобным, чем Т-34, а надежность трансмиссии повыси</w:t>
      </w:r>
      <w:r w:rsidRPr="00070ADE">
        <w:rPr>
          <w:rFonts w:ascii="Times New Roman" w:hAnsi="Times New Roman"/>
          <w:color w:val="000000" w:themeColor="text1"/>
          <w:sz w:val="16"/>
          <w:szCs w:val="16"/>
        </w:rPr>
        <w:softHyphen/>
        <w:t>лась. За время испытаний в январе-марте 1944 г. танк «на</w:t>
      </w:r>
      <w:r w:rsidRPr="00070ADE">
        <w:rPr>
          <w:rFonts w:ascii="Times New Roman" w:hAnsi="Times New Roman"/>
          <w:color w:val="000000" w:themeColor="text1"/>
          <w:sz w:val="16"/>
          <w:szCs w:val="16"/>
        </w:rPr>
        <w:softHyphen/>
        <w:t>катал» по заснеженным просторам около 1100 км без се</w:t>
      </w:r>
      <w:r w:rsidRPr="00070ADE">
        <w:rPr>
          <w:rFonts w:ascii="Times New Roman" w:hAnsi="Times New Roman"/>
          <w:color w:val="000000" w:themeColor="text1"/>
          <w:sz w:val="16"/>
          <w:szCs w:val="16"/>
        </w:rPr>
        <w:softHyphen/>
        <w:t>рьезных поломок, чем заслужил всеобщую похвалу. После испытаний обстрелом было выдвинуто предло</w:t>
      </w:r>
      <w:r w:rsidRPr="00070ADE">
        <w:rPr>
          <w:rFonts w:ascii="Times New Roman" w:hAnsi="Times New Roman"/>
          <w:color w:val="000000" w:themeColor="text1"/>
          <w:sz w:val="16"/>
          <w:szCs w:val="16"/>
        </w:rPr>
        <w:softHyphen/>
        <w:t>жение об увеличении толщины брони бортов танка с 60 до 75 мм, а башни — до 90 мм (11135).</w:t>
      </w:r>
    </w:p>
    <w:p w14:paraId="62BDF3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39BA11" w14:textId="77777777" w:rsidR="00792F77" w:rsidRPr="00070ADE" w:rsidRDefault="00792F77" w:rsidP="00B56F90">
      <w:pPr>
        <w:pStyle w:val="ae"/>
        <w:spacing w:before="0" w:after="0"/>
        <w:jc w:val="both"/>
        <w:textAlignment w:val="baseline"/>
        <w:rPr>
          <w:color w:val="000000" w:themeColor="text1"/>
          <w:sz w:val="16"/>
          <w:szCs w:val="16"/>
        </w:rPr>
      </w:pPr>
      <w:r w:rsidRPr="00070ADE">
        <w:rPr>
          <w:color w:val="000000" w:themeColor="text1"/>
          <w:sz w:val="16"/>
          <w:szCs w:val="16"/>
        </w:rPr>
        <w:t>В январе 1944 года УЗТМ снова перевыполнил план, сдав 176 СУ-85. В этом месяце смежникам удалось выполнить программу по производству орудий Д-5С-85 — к утру 1 февраля завод №9 сдал 165 орудий. Впрочем, к этим орудиям имелся ряд претензий. Например, в январе с НИБТ Полигона поступила рекламация, связанная с большой качкой ствола. Это приводило к большому рассеиванию снарядов при стрельбе.</w:t>
      </w:r>
    </w:p>
    <w:p w14:paraId="3DA3FAF0" w14:textId="77777777" w:rsidR="00792F77" w:rsidRPr="00070ADE" w:rsidRDefault="00792F77" w:rsidP="00B56F90">
      <w:pPr>
        <w:pStyle w:val="ae"/>
        <w:spacing w:before="0" w:after="0"/>
        <w:jc w:val="both"/>
        <w:textAlignment w:val="baseline"/>
        <w:rPr>
          <w:color w:val="000000" w:themeColor="text1"/>
          <w:sz w:val="16"/>
          <w:szCs w:val="16"/>
        </w:rPr>
      </w:pPr>
      <w:r w:rsidRPr="00070ADE">
        <w:rPr>
          <w:color w:val="000000" w:themeColor="text1"/>
          <w:sz w:val="16"/>
          <w:szCs w:val="16"/>
        </w:rPr>
        <w:lastRenderedPageBreak/>
        <w:t>К слову, в 20-х числах декабря 1943 года задание на выпуск Д-5С-85 получил завод №8, и с января 1944 года пушки для СУ-85 делали два завода. К 1 февраля завод №8 собрал 36 орудий, из которых заказчик принял 12 штук. Посильную помощь в организации производства оказывал завод №9. Завод №8 разработал собственную версию орудия, получившую обозначение Д-5С85А. Первое такое орудие завод №8 построил в конце января.</w:t>
      </w:r>
    </w:p>
    <w:p w14:paraId="56DE9E15" w14:textId="77777777" w:rsidR="00792F77" w:rsidRPr="00070ADE" w:rsidRDefault="00792F77" w:rsidP="00B56F90">
      <w:pPr>
        <w:pStyle w:val="ae"/>
        <w:spacing w:before="0" w:after="0"/>
        <w:jc w:val="both"/>
        <w:textAlignment w:val="baseline"/>
        <w:rPr>
          <w:color w:val="000000" w:themeColor="text1"/>
          <w:sz w:val="16"/>
          <w:szCs w:val="16"/>
        </w:rPr>
      </w:pPr>
      <w:r w:rsidRPr="00070ADE">
        <w:rPr>
          <w:color w:val="000000" w:themeColor="text1"/>
          <w:sz w:val="16"/>
          <w:szCs w:val="16"/>
        </w:rPr>
        <w:t>При этом производство «обычной» пушки Д-5С-85 на заводе №9 не прекращалось. Причины появления модификации были производственные: завод №8 выпускал 85-мм зенитные орудия 52-К. От них взяли затвор и ствол. Орудие Д-5С85А получило также ограждение, отличное от ограждения Д-5С85. Военный представитель Зухер был против такого решения, поскольку оно порождало проблемы с ЗИП и деталями. Тем не менее 28 января Д-5С85Ф прошла успешные испытания в СУ-85, и её производство получило зелёный свет.</w:t>
      </w:r>
    </w:p>
    <w:p w14:paraId="35635DC0" w14:textId="77777777" w:rsidR="00792F77" w:rsidRPr="00070ADE" w:rsidRDefault="00792F77" w:rsidP="00B56F90">
      <w:pPr>
        <w:pStyle w:val="ae"/>
        <w:spacing w:before="0" w:after="0"/>
        <w:jc w:val="both"/>
        <w:textAlignment w:val="baseline"/>
        <w:rPr>
          <w:color w:val="000000" w:themeColor="text1"/>
          <w:sz w:val="16"/>
          <w:szCs w:val="16"/>
        </w:rPr>
      </w:pPr>
      <w:r w:rsidRPr="00070ADE">
        <w:rPr>
          <w:color w:val="000000" w:themeColor="text1"/>
          <w:sz w:val="16"/>
          <w:szCs w:val="16"/>
        </w:rPr>
        <w:t>В январе 1944 года был испытан электроспуск орудия, которым планировать оснащать машины с февраля 1944 года. Ещё одним экспериментом стала установка двух вентиляторов в крыше боевого отделения. В серию это решение не пошло. До 185 000 рублей выросла цена СУ-85 (17719).</w:t>
      </w:r>
    </w:p>
    <w:p w14:paraId="40106B96" w14:textId="77777777" w:rsidR="00792F77" w:rsidRPr="00070ADE" w:rsidRDefault="00792F77" w:rsidP="00B56F90">
      <w:pPr>
        <w:spacing w:after="0" w:line="240" w:lineRule="auto"/>
        <w:jc w:val="both"/>
        <w:rPr>
          <w:rStyle w:val="77"/>
          <w:rFonts w:eastAsiaTheme="minorHAnsi"/>
          <w:color w:val="000000" w:themeColor="text1"/>
          <w:sz w:val="16"/>
          <w:szCs w:val="16"/>
        </w:rPr>
      </w:pPr>
    </w:p>
    <w:p w14:paraId="2524D492" w14:textId="77777777" w:rsidR="009503FE" w:rsidRPr="00070ADE" w:rsidRDefault="009503FE"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января 1944 года пушки для СУ-85 делали уже два завода - № 8 и № 9. К 1 февраля завод №8 собрал 36 орудий, из которых заказчик при</w:t>
      </w:r>
      <w:r w:rsidRPr="00070ADE">
        <w:rPr>
          <w:rFonts w:ascii="Times New Roman" w:hAnsi="Times New Roman"/>
          <w:color w:val="000000" w:themeColor="text1"/>
          <w:sz w:val="16"/>
          <w:szCs w:val="16"/>
        </w:rPr>
        <w:softHyphen/>
        <w:t>нял 12 штук. Посильную помощь в организа</w:t>
      </w:r>
      <w:r w:rsidRPr="00070ADE">
        <w:rPr>
          <w:rFonts w:ascii="Times New Roman" w:hAnsi="Times New Roman"/>
          <w:color w:val="000000" w:themeColor="text1"/>
          <w:sz w:val="16"/>
          <w:szCs w:val="16"/>
        </w:rPr>
        <w:softHyphen/>
        <w:t xml:space="preserve">ции производства новой для предприятия </w:t>
      </w:r>
      <w:r w:rsidRPr="00070ADE">
        <w:rPr>
          <w:rStyle w:val="631"/>
          <w:rFonts w:ascii="Times New Roman" w:hAnsi="Times New Roman" w:cs="Times New Roman"/>
          <w:color w:val="000000" w:themeColor="text1"/>
          <w:sz w:val="16"/>
          <w:szCs w:val="16"/>
        </w:rPr>
        <w:t>буксируемыми орудийными системами - ока</w:t>
      </w:r>
      <w:r w:rsidRPr="00070ADE">
        <w:rPr>
          <w:rStyle w:val="631"/>
          <w:rFonts w:ascii="Times New Roman" w:hAnsi="Times New Roman" w:cs="Times New Roman"/>
          <w:color w:val="000000" w:themeColor="text1"/>
          <w:sz w:val="16"/>
          <w:szCs w:val="16"/>
        </w:rPr>
        <w:softHyphen/>
        <w:t>зывал завод №9. Правда, при этом практиче</w:t>
      </w:r>
      <w:r w:rsidRPr="00070ADE">
        <w:rPr>
          <w:rStyle w:val="631"/>
          <w:rFonts w:ascii="Times New Roman" w:hAnsi="Times New Roman" w:cs="Times New Roman"/>
          <w:color w:val="000000" w:themeColor="text1"/>
          <w:sz w:val="16"/>
          <w:szCs w:val="16"/>
        </w:rPr>
        <w:softHyphen/>
        <w:t>ски сразу специфика производства букси</w:t>
      </w:r>
      <w:r w:rsidRPr="00070ADE">
        <w:rPr>
          <w:rStyle w:val="631"/>
          <w:rFonts w:ascii="Times New Roman" w:hAnsi="Times New Roman" w:cs="Times New Roman"/>
          <w:color w:val="000000" w:themeColor="text1"/>
          <w:sz w:val="16"/>
          <w:szCs w:val="16"/>
        </w:rPr>
        <w:softHyphen/>
        <w:t>руемых систем выплыла наружу. Дело в том, что завод №8 выпускал 85-мм зенитные пушки 52-К, и перестраивать производство под конструкцию орудия завода №9 там не горели особым желанием. В результате кон</w:t>
      </w:r>
      <w:r w:rsidRPr="00070ADE">
        <w:rPr>
          <w:rStyle w:val="631"/>
          <w:rFonts w:ascii="Times New Roman" w:hAnsi="Times New Roman" w:cs="Times New Roman"/>
          <w:color w:val="000000" w:themeColor="text1"/>
          <w:sz w:val="16"/>
          <w:szCs w:val="16"/>
        </w:rPr>
        <w:softHyphen/>
        <w:t>структорское бюро завода №8 разработало собственную версию орудия для самоходной установки, получившую обозначение Д5-С- 85А. Первое такое орудие завод №8 построил в конце января 1944 г.</w:t>
      </w:r>
    </w:p>
    <w:p w14:paraId="10FBBA9D" w14:textId="77777777" w:rsidR="009503FE" w:rsidRPr="00070ADE" w:rsidRDefault="009503FE" w:rsidP="00B56F90">
      <w:pPr>
        <w:spacing w:after="0" w:line="240" w:lineRule="auto"/>
        <w:jc w:val="both"/>
        <w:rPr>
          <w:rStyle w:val="631"/>
          <w:rFonts w:ascii="Times New Roman" w:hAnsi="Times New Roman" w:cs="Times New Roman"/>
          <w:color w:val="000000" w:themeColor="text1"/>
          <w:sz w:val="16"/>
          <w:szCs w:val="16"/>
        </w:rPr>
      </w:pPr>
      <w:r w:rsidRPr="00070ADE">
        <w:rPr>
          <w:rStyle w:val="631"/>
          <w:rFonts w:ascii="Times New Roman" w:hAnsi="Times New Roman" w:cs="Times New Roman"/>
          <w:color w:val="000000" w:themeColor="text1"/>
          <w:sz w:val="16"/>
          <w:szCs w:val="16"/>
        </w:rPr>
        <w:t>Для Д5-С-85А от зенитного орудия 52-К были взяты затвор и ствол, что существенно</w:t>
      </w:r>
      <w:r w:rsidRPr="00070ADE">
        <w:rPr>
          <w:rStyle w:val="641"/>
          <w:rFonts w:ascii="Times New Roman" w:hAnsi="Times New Roman" w:cs="Times New Roman"/>
          <w:color w:val="000000" w:themeColor="text1"/>
          <w:sz w:val="16"/>
          <w:szCs w:val="16"/>
        </w:rPr>
        <w:t xml:space="preserve"> упрощало выпуск самоходных артиллерий</w:t>
      </w:r>
      <w:r w:rsidRPr="00070ADE">
        <w:rPr>
          <w:rStyle w:val="641"/>
          <w:rFonts w:ascii="Times New Roman" w:hAnsi="Times New Roman" w:cs="Times New Roman"/>
          <w:color w:val="000000" w:themeColor="text1"/>
          <w:sz w:val="16"/>
          <w:szCs w:val="16"/>
        </w:rPr>
        <w:softHyphen/>
      </w:r>
      <w:r w:rsidRPr="00070ADE">
        <w:rPr>
          <w:rStyle w:val="631"/>
          <w:rFonts w:ascii="Times New Roman" w:hAnsi="Times New Roman" w:cs="Times New Roman"/>
          <w:color w:val="000000" w:themeColor="text1"/>
          <w:sz w:val="16"/>
          <w:szCs w:val="16"/>
        </w:rPr>
        <w:t>ских систем. В связи с использованием иного ствола и затвора, Д5-С-85А получила также и ограждение, отличное от конструкции Д5-С- 85. Внешне эти орудия на самоходках отли</w:t>
      </w:r>
      <w:r w:rsidRPr="00070ADE">
        <w:rPr>
          <w:rStyle w:val="631"/>
          <w:rFonts w:ascii="Times New Roman" w:hAnsi="Times New Roman" w:cs="Times New Roman"/>
          <w:color w:val="000000" w:themeColor="text1"/>
          <w:sz w:val="16"/>
          <w:szCs w:val="16"/>
        </w:rPr>
        <w:softHyphen/>
        <w:t>чаются конусностью стволов. Старший воен</w:t>
      </w:r>
      <w:r w:rsidRPr="00070ADE">
        <w:rPr>
          <w:rStyle w:val="631"/>
          <w:rFonts w:ascii="Times New Roman" w:hAnsi="Times New Roman" w:cs="Times New Roman"/>
          <w:color w:val="000000" w:themeColor="text1"/>
          <w:sz w:val="16"/>
          <w:szCs w:val="16"/>
        </w:rPr>
        <w:softHyphen/>
        <w:t>ный представитель на УЗТМ Г.З. Зухер был против такого решения, поскольку оно порождало проблемы с ЗИП и деталями. Тем не менее, 28 января Д5-С-85А прошла успеш</w:t>
      </w:r>
      <w:r w:rsidRPr="00070ADE">
        <w:rPr>
          <w:rStyle w:val="631"/>
          <w:rFonts w:ascii="Times New Roman" w:hAnsi="Times New Roman" w:cs="Times New Roman"/>
          <w:color w:val="000000" w:themeColor="text1"/>
          <w:sz w:val="16"/>
          <w:szCs w:val="16"/>
        </w:rPr>
        <w:softHyphen/>
        <w:t>ные испытания в СУ-85, после чего приняли решение о запуске орудия в серийное про</w:t>
      </w:r>
      <w:r w:rsidRPr="00070ADE">
        <w:rPr>
          <w:rStyle w:val="631"/>
          <w:rFonts w:ascii="Times New Roman" w:hAnsi="Times New Roman" w:cs="Times New Roman"/>
          <w:color w:val="000000" w:themeColor="text1"/>
          <w:sz w:val="16"/>
          <w:szCs w:val="16"/>
        </w:rPr>
        <w:softHyphen/>
        <w:t>изводство. Первые орудия данного типа завод №8 сдал в феврале 1944 года. За этот месяц завод №9 сдал 139 пушек Д5-С-85, а завод №8 - 42, часть из которых была Д5-С- 85А. Самоходные установки с системами Д5- С-85А получили название СУ-85А, что также отражалось на серийном номере машины. Если машина оснащалась Д5-С-85А, то в конце серийного номера выбивалась буква «А» (19889).</w:t>
      </w:r>
    </w:p>
    <w:p w14:paraId="2432C52C" w14:textId="77777777" w:rsidR="009503FE" w:rsidRPr="00070ADE" w:rsidRDefault="009503FE" w:rsidP="00B56F90">
      <w:pPr>
        <w:spacing w:after="0" w:line="240" w:lineRule="auto"/>
        <w:jc w:val="both"/>
        <w:rPr>
          <w:rFonts w:ascii="Times New Roman" w:hAnsi="Times New Roman"/>
          <w:color w:val="000000" w:themeColor="text1"/>
          <w:sz w:val="16"/>
          <w:szCs w:val="16"/>
        </w:rPr>
      </w:pPr>
    </w:p>
    <w:p w14:paraId="4AC2DBEF" w14:textId="77777777" w:rsidR="009503FE" w:rsidRPr="00070ADE" w:rsidRDefault="009503F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w:t>
      </w:r>
      <w:r w:rsidRPr="00070ADE">
        <w:rPr>
          <w:rFonts w:ascii="Times New Roman" w:hAnsi="Times New Roman"/>
          <w:color w:val="000000" w:themeColor="text1"/>
          <w:sz w:val="16"/>
          <w:szCs w:val="16"/>
        </w:rPr>
        <w:softHyphen/>
        <w:t>ре 1944 года испытали электроспуск орудия СУ-85, которым планировать оснащать машины с февраля 1944 года. Правда, внед</w:t>
      </w:r>
      <w:r w:rsidRPr="00070ADE">
        <w:rPr>
          <w:rFonts w:ascii="Times New Roman" w:hAnsi="Times New Roman"/>
          <w:color w:val="000000" w:themeColor="text1"/>
          <w:sz w:val="16"/>
          <w:szCs w:val="16"/>
        </w:rPr>
        <w:softHyphen/>
        <w:t>рение этого полезного нововведения на практике растянулось на полгода. Еще одним экспериментом стала установка двух вытяж</w:t>
      </w:r>
      <w:r w:rsidRPr="00070ADE">
        <w:rPr>
          <w:rFonts w:ascii="Times New Roman" w:hAnsi="Times New Roman"/>
          <w:color w:val="000000" w:themeColor="text1"/>
          <w:sz w:val="16"/>
          <w:szCs w:val="16"/>
        </w:rPr>
        <w:softHyphen/>
        <w:t>ных вентиляторов в проемах крыши боевого отделения. Данные работы стали продолже</w:t>
      </w:r>
      <w:r w:rsidRPr="00070ADE">
        <w:rPr>
          <w:rFonts w:ascii="Times New Roman" w:hAnsi="Times New Roman"/>
          <w:color w:val="000000" w:themeColor="text1"/>
          <w:sz w:val="16"/>
          <w:szCs w:val="16"/>
        </w:rPr>
        <w:softHyphen/>
        <w:t>нием программы создания улучшенного СУ- 85 с командирской башенкой, который построили в декабре 1943 года. В ходе испы</w:t>
      </w:r>
      <w:r w:rsidRPr="00070ADE">
        <w:rPr>
          <w:rFonts w:ascii="Times New Roman" w:hAnsi="Times New Roman"/>
          <w:color w:val="000000" w:themeColor="text1"/>
          <w:sz w:val="16"/>
          <w:szCs w:val="16"/>
        </w:rPr>
        <w:softHyphen/>
        <w:t>таний выяснилось, что одного вентилятора недостаточно. Можно представить, что чув</w:t>
      </w:r>
      <w:r w:rsidRPr="00070ADE">
        <w:rPr>
          <w:rFonts w:ascii="Times New Roman" w:hAnsi="Times New Roman"/>
          <w:color w:val="000000" w:themeColor="text1"/>
          <w:sz w:val="16"/>
          <w:szCs w:val="16"/>
        </w:rPr>
        <w:softHyphen/>
        <w:t>ствовали самоходчики внутри серийной машины, где вентиляция осуществлялась через люк в кормовой части боевого отделе</w:t>
      </w:r>
      <w:r w:rsidRPr="00070ADE">
        <w:rPr>
          <w:rFonts w:ascii="Times New Roman" w:hAnsi="Times New Roman"/>
          <w:color w:val="000000" w:themeColor="text1"/>
          <w:sz w:val="16"/>
          <w:szCs w:val="16"/>
        </w:rPr>
        <w:softHyphen/>
        <w:t>ния. Жалобы на недостаточную вентиляцию боевого отделения пошли сразу же после того, как первые СУ-85 попали в войска, поэтому опытным работам по данной теме уделялось много внимания. Несмотря на это, разработанная в начале 1944 года конструк</w:t>
      </w:r>
      <w:r w:rsidRPr="00070ADE">
        <w:rPr>
          <w:rFonts w:ascii="Times New Roman" w:hAnsi="Times New Roman"/>
          <w:color w:val="000000" w:themeColor="text1"/>
          <w:sz w:val="16"/>
          <w:szCs w:val="16"/>
        </w:rPr>
        <w:softHyphen/>
        <w:t>ция с двумя вентиляторами в серию не пошла. Больше того, даже хотя бы одного только вентилятора серийная машина дожда</w:t>
      </w:r>
      <w:r w:rsidRPr="00070ADE">
        <w:rPr>
          <w:rFonts w:ascii="Times New Roman" w:hAnsi="Times New Roman"/>
          <w:color w:val="000000" w:themeColor="text1"/>
          <w:sz w:val="16"/>
          <w:szCs w:val="16"/>
        </w:rPr>
        <w:softHyphen/>
        <w:t>лась уже лишь ближе к окончанию производ</w:t>
      </w:r>
      <w:r w:rsidRPr="00070ADE">
        <w:rPr>
          <w:rFonts w:ascii="Times New Roman" w:hAnsi="Times New Roman"/>
          <w:color w:val="000000" w:themeColor="text1"/>
          <w:sz w:val="16"/>
          <w:szCs w:val="16"/>
        </w:rPr>
        <w:softHyphen/>
        <w:t>ства. Что же касается внешних изменений, то в январе их почти не было. С января 1944 года изменилась конструкция подпятника орудийной установки и чуть улучшили креп</w:t>
      </w:r>
      <w:r w:rsidRPr="00070ADE">
        <w:rPr>
          <w:rFonts w:ascii="Times New Roman" w:hAnsi="Times New Roman"/>
          <w:color w:val="000000" w:themeColor="text1"/>
          <w:sz w:val="16"/>
          <w:szCs w:val="16"/>
        </w:rPr>
        <w:softHyphen/>
        <w:t>ление пилы. Очередной набор улучшений получили топливная система и система охлаждения, внесли правки в конструкцию кривошипа ленивца. С 1 января изменили крепление огнетушителя, тогда же передел</w:t>
      </w:r>
      <w:r w:rsidRPr="00070ADE">
        <w:rPr>
          <w:rFonts w:ascii="Times New Roman" w:hAnsi="Times New Roman"/>
          <w:color w:val="000000" w:themeColor="text1"/>
          <w:sz w:val="16"/>
          <w:szCs w:val="16"/>
        </w:rPr>
        <w:softHyphen/>
        <w:t>кам подверглось размещение внутреннего ЗИПа (19889).</w:t>
      </w:r>
    </w:p>
    <w:p w14:paraId="307C4D72" w14:textId="77777777" w:rsidR="009503FE" w:rsidRPr="00070ADE" w:rsidRDefault="009503FE" w:rsidP="00B56F90">
      <w:pPr>
        <w:spacing w:after="0" w:line="240" w:lineRule="auto"/>
        <w:jc w:val="both"/>
        <w:rPr>
          <w:rFonts w:ascii="Times New Roman" w:hAnsi="Times New Roman"/>
          <w:color w:val="000000" w:themeColor="text1"/>
          <w:sz w:val="16"/>
          <w:szCs w:val="16"/>
        </w:rPr>
      </w:pPr>
    </w:p>
    <w:p w14:paraId="2BB3DE4A" w14:textId="77777777" w:rsidR="009503FE" w:rsidRPr="00070ADE" w:rsidRDefault="009503F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января 1944 года изменилась конструкция подпятника орудийной установки Су-85 и чуть улучшили креп</w:t>
      </w:r>
      <w:r w:rsidRPr="00070ADE">
        <w:rPr>
          <w:rFonts w:ascii="Times New Roman" w:hAnsi="Times New Roman"/>
          <w:color w:val="000000" w:themeColor="text1"/>
          <w:sz w:val="16"/>
          <w:szCs w:val="16"/>
        </w:rPr>
        <w:softHyphen/>
        <w:t>ление пилы. Очередной набор улучшений получили топливная система и система охлаждения, внесли правки в конструкцию кривошипа ленивца. С 1 января изменили крепление огнетушителя, тогда же передел</w:t>
      </w:r>
      <w:r w:rsidRPr="00070ADE">
        <w:rPr>
          <w:rFonts w:ascii="Times New Roman" w:hAnsi="Times New Roman"/>
          <w:color w:val="000000" w:themeColor="text1"/>
          <w:sz w:val="16"/>
          <w:szCs w:val="16"/>
        </w:rPr>
        <w:softHyphen/>
        <w:t>кам подверглось размещение внутреннего ЗИПа (19889).</w:t>
      </w:r>
    </w:p>
    <w:p w14:paraId="2E63887D" w14:textId="77777777" w:rsidR="009503FE" w:rsidRPr="00070ADE" w:rsidRDefault="009503FE" w:rsidP="00B56F90">
      <w:pPr>
        <w:spacing w:after="0" w:line="240" w:lineRule="auto"/>
        <w:jc w:val="both"/>
        <w:rPr>
          <w:rFonts w:ascii="Times New Roman" w:hAnsi="Times New Roman"/>
          <w:color w:val="000000" w:themeColor="text1"/>
          <w:sz w:val="16"/>
          <w:szCs w:val="16"/>
        </w:rPr>
      </w:pPr>
    </w:p>
    <w:p w14:paraId="50FC355B" w14:textId="77777777" w:rsidR="00792F77" w:rsidRPr="00070ADE" w:rsidRDefault="00792F7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отчёте за январь 1944 года старший военпред Технического управления Главного бронетанкового управления Красной армии (ТУ ГБТУ КА) инженер-полковник Давиденко отмечал, что на ЧКЗ существует масса проблем, прежде всего организационных. По словам военпреда, достаточной борьбы за улучшение качества завод не вёл. Несмотря на наличие ряда протоколов, утверждённых ГБТУ КА и НКТП, конструкторские доработки и переделки в срок не внедрялись.</w:t>
      </w:r>
    </w:p>
    <w:p w14:paraId="7697B20E" w14:textId="77777777" w:rsidR="00792F77" w:rsidRPr="00070ADE" w:rsidRDefault="00792F7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Одной из причин подобного положения вещей назывались ненормальные отношения между ЧКЗ и опытным заводом №100. ЧКЗ не хотел дорабатывать конструкции завода №100, а там, в свою очередь, считали, что серийная доработка танка является обязанностью ЧКЗ (17721).</w:t>
      </w:r>
    </w:p>
    <w:p w14:paraId="3496C6A9" w14:textId="77777777" w:rsidR="00792F77" w:rsidRPr="00070ADE" w:rsidRDefault="00792F77" w:rsidP="00B56F90">
      <w:pPr>
        <w:pStyle w:val="ae"/>
        <w:shd w:val="clear" w:color="auto" w:fill="FFFFFF"/>
        <w:spacing w:before="0" w:after="0"/>
        <w:jc w:val="both"/>
        <w:rPr>
          <w:color w:val="000000" w:themeColor="text1"/>
          <w:sz w:val="16"/>
          <w:szCs w:val="16"/>
        </w:rPr>
      </w:pPr>
    </w:p>
    <w:p w14:paraId="175019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был изготовлен заводом № 100 опытный образец танка Объект 244 и весной того же года прошел заводские и поли</w:t>
      </w:r>
      <w:r w:rsidRPr="00070ADE">
        <w:rPr>
          <w:rFonts w:ascii="Times New Roman" w:hAnsi="Times New Roman"/>
          <w:color w:val="000000" w:themeColor="text1"/>
          <w:sz w:val="16"/>
          <w:szCs w:val="16"/>
        </w:rPr>
        <w:softHyphen/>
        <w:t>гонные испытания на Гороховецком АНИОПе. На вооружение танк не принимался из-за недостаточной прочности ствола орудия. Опытный образец машины был создан на базе первого опытного об</w:t>
      </w:r>
      <w:r w:rsidRPr="00070ADE">
        <w:rPr>
          <w:rFonts w:ascii="Times New Roman" w:hAnsi="Times New Roman"/>
          <w:color w:val="000000" w:themeColor="text1"/>
          <w:sz w:val="16"/>
          <w:szCs w:val="16"/>
        </w:rPr>
        <w:softHyphen/>
        <w:t>разца танка "Объект 237" и отличался от него установкой в башне вме</w:t>
      </w:r>
      <w:r w:rsidRPr="00070ADE">
        <w:rPr>
          <w:rFonts w:ascii="Times New Roman" w:hAnsi="Times New Roman"/>
          <w:color w:val="000000" w:themeColor="text1"/>
          <w:sz w:val="16"/>
          <w:szCs w:val="16"/>
        </w:rPr>
        <w:softHyphen/>
        <w:t>сто 85-мм танковой пушки Д-5Т-85 опытной 85-мм пушки Д-5Т-85БМ, а также монтажом зенитной пулеметной установки. Экипаж машины состоял из четырех человек (10703).</w:t>
      </w:r>
    </w:p>
    <w:p w14:paraId="76F821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18F5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на ЧКЗ закончился серийный выпуск танка ИС-1, который шел с октября 1943 г. Всего было выпущено 107 машин данной модификации, которые впервые были применены в феврале 1944 г. на завершающем этапе проведения Корсунь-Шевченковской на</w:t>
      </w:r>
      <w:r w:rsidRPr="00070ADE">
        <w:rPr>
          <w:rFonts w:ascii="Times New Roman" w:hAnsi="Times New Roman"/>
          <w:color w:val="000000" w:themeColor="text1"/>
          <w:sz w:val="16"/>
          <w:szCs w:val="16"/>
        </w:rPr>
        <w:softHyphen/>
        <w:t>ступательной операции (10703).</w:t>
      </w:r>
    </w:p>
    <w:p w14:paraId="60825F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A1BB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года прошли стрельбовые испытания танка ИС-2 на полигоне в Кубинке и их результаты вкупе с результатами боевого примменения заставили конструкторов искать новые решения. После первых столкновений ИС-2 с тяжелыми танками противника выяснилось, что штатный 122-мм остроголовый бронебойный снаряд БР-471 способен пробить лобовую броню "Пантеры" лишь с дистанции 600 - 700 метров. Более слабая лобовая броня "Тигра" могла быть пробита с расстояния 1200 метров, но попасть с такой дистанции в немецкий танк могли только хорошо подготовленные опытные наводчики. При обстреле немецких танков мощными осколочно-фугасными гранатами ОФ-471, имело место растрескивание сварных швов и даже отрыв лобового листа по сварке. (3862).</w:t>
      </w:r>
    </w:p>
    <w:p w14:paraId="4B966B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9FBE37" w14:textId="77777777" w:rsidR="00792F77" w:rsidRPr="00070ADE" w:rsidRDefault="00792F77" w:rsidP="00B56F90">
      <w:pPr>
        <w:pStyle w:val="ae"/>
        <w:shd w:val="clear" w:color="auto" w:fill="FFFFFF"/>
        <w:spacing w:before="0" w:after="0"/>
        <w:jc w:val="both"/>
        <w:rPr>
          <w:color w:val="000000" w:themeColor="text1"/>
          <w:sz w:val="16"/>
          <w:szCs w:val="16"/>
        </w:rPr>
      </w:pPr>
      <w:r w:rsidRPr="00070ADE">
        <w:rPr>
          <w:color w:val="000000" w:themeColor="text1"/>
          <w:sz w:val="16"/>
          <w:szCs w:val="16"/>
        </w:rPr>
        <w:t xml:space="preserve">За январь 1944 года завод №200 сдал уже 72 корпуса и столько же башен. Кроме того, с января 1944 года это предприятие перестало быть единственным поставщиком корпусов и башен для ИС-2. С начала 1944 года к корпусному производству вновь подключили Уральский завод тяжёлого машиностроения (УЗТМ). В Свердловске тоже имелись проблемы, связанные с производством Т-34. Правда, там ещё раньше, в августе 1943 года, перестали выпускать эти танки, сконцентрировавшись на </w:t>
      </w:r>
      <w:hyperlink r:id="rId25" w:history="1">
        <w:r w:rsidRPr="00070ADE">
          <w:rPr>
            <w:rStyle w:val="a5"/>
            <w:color w:val="000000" w:themeColor="text1"/>
            <w:sz w:val="16"/>
            <w:szCs w:val="16"/>
            <w:u w:val="none"/>
          </w:rPr>
          <w:t>СУ-85</w:t>
        </w:r>
      </w:hyperlink>
      <w:r w:rsidRPr="00070ADE">
        <w:rPr>
          <w:color w:val="000000" w:themeColor="text1"/>
          <w:sz w:val="16"/>
          <w:szCs w:val="16"/>
        </w:rPr>
        <w:t>. В январе 1944 года при плане в 14 башен для ИС-2 УЗТМ сдал 16 штук. В этом же месяце УЗТМ сдал 52 носовые детали для корпуса ИС-2.</w:t>
      </w:r>
    </w:p>
    <w:p w14:paraId="5F51423C" w14:textId="77777777" w:rsidR="00792F77" w:rsidRPr="00070ADE" w:rsidRDefault="00792F77" w:rsidP="00B56F90">
      <w:pPr>
        <w:pStyle w:val="ae"/>
        <w:shd w:val="clear" w:color="auto" w:fill="FFFFFF"/>
        <w:spacing w:before="0" w:after="0"/>
        <w:jc w:val="both"/>
        <w:rPr>
          <w:color w:val="000000" w:themeColor="text1"/>
          <w:sz w:val="16"/>
          <w:szCs w:val="16"/>
        </w:rPr>
      </w:pPr>
      <w:r w:rsidRPr="00070ADE">
        <w:rPr>
          <w:color w:val="000000" w:themeColor="text1"/>
          <w:sz w:val="16"/>
          <w:szCs w:val="16"/>
        </w:rPr>
        <w:t>С самого начала свердловская продукция немного отличалась от челябинской. Лобовая деталь завода №200 имела литьевой номер с левой стороны, а на нижнем лобовом листе имелись характерные приливы. На стыке верхнего и нижнего лобовых листов УЗТМ имелся срез питателя, а номеров на детали не было. Также отличия имелись и в башнях. Особенно хорошо заметны разные формы литьевого шва, а также отсутствие на корме башни УЗТМ литьевого номера. Кроме того, башни отличались друг от друга формой командирской башенки.</w:t>
      </w:r>
    </w:p>
    <w:p w14:paraId="4B66D41C" w14:textId="77777777" w:rsidR="00792F77" w:rsidRPr="00070ADE" w:rsidRDefault="00792F77" w:rsidP="00B56F90">
      <w:pPr>
        <w:pStyle w:val="ae"/>
        <w:shd w:val="clear" w:color="auto" w:fill="FFFFFF"/>
        <w:spacing w:before="0" w:after="0"/>
        <w:jc w:val="both"/>
        <w:rPr>
          <w:color w:val="000000" w:themeColor="text1"/>
          <w:sz w:val="16"/>
          <w:szCs w:val="16"/>
        </w:rPr>
      </w:pPr>
      <w:r w:rsidRPr="00070ADE">
        <w:rPr>
          <w:color w:val="000000" w:themeColor="text1"/>
          <w:sz w:val="16"/>
          <w:szCs w:val="16"/>
        </w:rPr>
        <w:t>Свердловские корпуса и башни стали использоваться ЧКЗ не раньше февраля 1944 года, поскольку у завода имелся задел по продукции завода №200. За февраль ЧКЗ построил 75 ИС-2, при этом ситуация с производством оставалась напряжённой. Даже вместе с ИСУ-152 тяжёлых танков и САУ завод всё равно построил меньше, чем Т-34. Лишь в марте 1944 года, когда НКТП освободил ЧКЗ от производства Т-34, ситуация начала немного выправляться. Правда, теперь завод получил «сюрприз» в виде выросшей программы по производству ИСУ-152 (17721).</w:t>
      </w:r>
    </w:p>
    <w:p w14:paraId="42E4079E" w14:textId="77777777" w:rsidR="00792F77" w:rsidRPr="00070ADE" w:rsidRDefault="00792F77" w:rsidP="00B56F90">
      <w:pPr>
        <w:pStyle w:val="123"/>
        <w:shd w:val="clear" w:color="auto" w:fill="auto"/>
        <w:spacing w:after="0" w:line="240" w:lineRule="auto"/>
        <w:jc w:val="both"/>
        <w:rPr>
          <w:color w:val="000000" w:themeColor="text1"/>
          <w:sz w:val="16"/>
          <w:szCs w:val="16"/>
        </w:rPr>
      </w:pPr>
    </w:p>
    <w:p w14:paraId="410523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года цехи ЧКЗ покинули последние 40 ИС-85, после чего из его ворот во все возрастающих количествах выходили только ИС-122, оснащенные уже новым 122-мм орудием Д-25Т с клиновым полуавтоматическим затвором, за счет которого удалось немного повысить скорострельность (с 1 - 1,5 до 1,5-2 выстр/мин). Однако вопрос вооружения танка ИС 2 не был закрыт полностью. Военных не устраивали ни низкая скорострельность ни малый боекомплект - 28 выстрелов раздельного заряжания. Для сравнения: боекомплект ИС-1 состоял из 59 выстрелов, а КВ-1с из 114. (3862).</w:t>
      </w:r>
    </w:p>
    <w:p w14:paraId="7D2602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55F9A3" w14:textId="77777777" w:rsidR="005A0ECA" w:rsidRPr="00070ADE" w:rsidRDefault="005A0E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ИС-1 был снят с вооружения, поскольку он обладал одинаковым с ИС-2 бронированием, но его вооружение потенциально было равным модернизированному варианту Т-34 (напомним, что серийный выпуск Т-34-85 начался только весной 1944 г.). Поэтому советское руководство посчитало, что реальных преимуществ у первой вариации ИС нет.</w:t>
      </w:r>
    </w:p>
    <w:p w14:paraId="6356A81F" w14:textId="77777777" w:rsidR="005A0ECA" w:rsidRPr="00070ADE" w:rsidRDefault="005A0E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Удивительно, но новый танк ушел в серийное производство с рядом недостатков конфигурации бронекорпуса, которые были хорошо известны еще на этапе проектирования. Практически полностью они подтвердились в результате обследования танков ИС-1 и ИС-2, подбитых на фронте зимой - весной 1944 г.[1054]. Но специалисты ЦНИИ-48, работавшие над созданием литой брони тяжелых танков, еще как минимум осенью 1943 года предупреждали, что принятая конструкция лобовых деталей корпуса (верхние скосы носа и подбашенной коробки, нижняя деталь носа) и башни (боковые и задняя части) не обеспечивают надежной защиты от снарядов 88-миллиметровой противотанковой пушки противника[1055]. Мнение сотрудников Броневого института на этом этапе не было услышано (23536).</w:t>
      </w:r>
    </w:p>
    <w:p w14:paraId="0E7C9929" w14:textId="77777777" w:rsidR="005A0ECA" w:rsidRPr="00070ADE" w:rsidRDefault="005A0ECA" w:rsidP="00B56F90">
      <w:pPr>
        <w:spacing w:after="0" w:line="240" w:lineRule="auto"/>
        <w:jc w:val="both"/>
        <w:rPr>
          <w:rFonts w:ascii="Times New Roman" w:hAnsi="Times New Roman"/>
          <w:color w:val="000000" w:themeColor="text1"/>
          <w:sz w:val="16"/>
          <w:szCs w:val="16"/>
        </w:rPr>
      </w:pPr>
    </w:p>
    <w:p w14:paraId="3639CCF3" w14:textId="77777777" w:rsidR="003C231F" w:rsidRPr="00070ADE" w:rsidRDefault="003C231F" w:rsidP="00B56F90">
      <w:pPr>
        <w:pStyle w:val="ae"/>
        <w:spacing w:before="0" w:after="0"/>
        <w:jc w:val="both"/>
        <w:textAlignment w:val="baseline"/>
        <w:rPr>
          <w:color w:val="000000" w:themeColor="text1"/>
          <w:sz w:val="16"/>
          <w:szCs w:val="16"/>
        </w:rPr>
      </w:pPr>
      <w:r w:rsidRPr="00070ADE">
        <w:rPr>
          <w:color w:val="000000" w:themeColor="text1"/>
          <w:sz w:val="16"/>
          <w:szCs w:val="16"/>
        </w:rPr>
        <w:lastRenderedPageBreak/>
        <w:t>В январе 1944 года в Баку прибыло всего 4 танка M4A2(75), в феврале — 64, в марте — 97, а в апреле — 137. Вместе с тем основным маршрутом прибытия M4A2 стал северный. Если за 1944 год через Баку прошло 800 танков, то северными конвоями — 1465. На самом деле не все из них были именно M4A2: уже к концу сентября 1944 года стали поступать первые M4A2(76)W. Поскольку в актах танки не разделяли, точную цифру прибывших M4A2 назвать крайне сложно. Ещё больше путаницы вносит сводная статистика ГБТУ КА, где цифры различаются. Согласно американским источникам, в СССР отправили 1990 танков данного типа. Кроме того, нет разделения между M4A2 и M4A2(75) — их советская приёмка заметила летом 1944 года.</w:t>
      </w:r>
    </w:p>
    <w:p w14:paraId="62785CD1" w14:textId="3531D7FF" w:rsidR="003C231F" w:rsidRPr="00070ADE" w:rsidRDefault="003C231F" w:rsidP="00B56F90">
      <w:pPr>
        <w:pStyle w:val="ae"/>
        <w:spacing w:before="0" w:after="0"/>
        <w:jc w:val="both"/>
        <w:textAlignment w:val="baseline"/>
        <w:rPr>
          <w:color w:val="000000" w:themeColor="text1"/>
          <w:sz w:val="16"/>
          <w:szCs w:val="16"/>
        </w:rPr>
      </w:pPr>
      <w:r w:rsidRPr="00070ADE">
        <w:rPr>
          <w:color w:val="000000" w:themeColor="text1"/>
          <w:sz w:val="16"/>
          <w:szCs w:val="16"/>
        </w:rPr>
        <w:t>Замечала приёмка и изменения в танках, которые прибывали с ноября 1943 года. Среди изменений отмечался новый воздухоочиститель, появление бортовых экранов, цельнометаллические траки, а также исчезновение пистолетов-пулемётов</w:t>
      </w:r>
      <w:r w:rsidR="00B643A8" w:rsidRPr="00070ADE">
        <w:rPr>
          <w:color w:val="000000" w:themeColor="text1"/>
          <w:sz w:val="16"/>
          <w:szCs w:val="16"/>
        </w:rPr>
        <w:t xml:space="preserve"> </w:t>
      </w:r>
      <w:hyperlink r:id="rId26" w:history="1">
        <w:r w:rsidRPr="00070ADE">
          <w:rPr>
            <w:rStyle w:val="a5"/>
            <w:bCs/>
            <w:iCs/>
            <w:color w:val="000000" w:themeColor="text1"/>
            <w:sz w:val="16"/>
            <w:szCs w:val="16"/>
            <w:u w:val="none"/>
            <w:bdr w:val="none" w:sz="0" w:space="0" w:color="auto" w:frame="1"/>
          </w:rPr>
          <w:t>«Томпсон»</w:t>
        </w:r>
      </w:hyperlink>
      <w:r w:rsidR="00B643A8" w:rsidRPr="00070ADE">
        <w:rPr>
          <w:color w:val="000000" w:themeColor="text1"/>
          <w:sz w:val="16"/>
          <w:szCs w:val="16"/>
        </w:rPr>
        <w:t xml:space="preserve"> </w:t>
      </w:r>
      <w:r w:rsidRPr="00070ADE">
        <w:rPr>
          <w:color w:val="000000" w:themeColor="text1"/>
          <w:sz w:val="16"/>
          <w:szCs w:val="16"/>
        </w:rPr>
        <w:t>из комплектации. В декабре стали поступать M4A2 с 51-мм казнозарядными миномётами в крыше башни. А ещё в конце апреля 1944 года приёмка в Баку забила тревогу, поскольку прибыли явно «подержанные» танки с большим числом отработанных моточасов. Были ли это английские танки, или американцы решили «спихнуть» учебные машины, неизвестно. Совсем не редкостью являлись жалобы на неполную комплектацию машин. Нередко дело было в инцидентах уже на территории СССР, но ничуть не меньший объём рекламаций касался машин, только прибывших на территорию Советского Союза (19038).</w:t>
      </w:r>
    </w:p>
    <w:p w14:paraId="3E8DB643" w14:textId="77777777" w:rsidR="003C231F" w:rsidRPr="00070ADE" w:rsidRDefault="003C231F" w:rsidP="00B56F90">
      <w:pPr>
        <w:pStyle w:val="ae"/>
        <w:spacing w:before="0" w:after="0"/>
        <w:jc w:val="both"/>
        <w:textAlignment w:val="baseline"/>
        <w:rPr>
          <w:color w:val="000000" w:themeColor="text1"/>
          <w:sz w:val="16"/>
          <w:szCs w:val="16"/>
        </w:rPr>
      </w:pPr>
    </w:p>
    <w:p w14:paraId="5D95F73D" w14:textId="77777777" w:rsidR="00282955" w:rsidRPr="00070ADE" w:rsidRDefault="00282955" w:rsidP="00B56F90">
      <w:pPr>
        <w:pStyle w:val="a3"/>
        <w:rPr>
          <w:color w:val="000000" w:themeColor="text1"/>
          <w:lang w:val="ru-RU"/>
        </w:rPr>
      </w:pPr>
      <w:r w:rsidRPr="00070ADE">
        <w:rPr>
          <w:color w:val="000000" w:themeColor="text1"/>
          <w:lang w:val="ru-RU"/>
        </w:rPr>
        <w:t>В январе 1944 года начали строить самоходную установку, получившую индекс С-51. В теории, установка Б-4 на шасси КВ-1С требова</w:t>
      </w:r>
      <w:r w:rsidRPr="00070ADE">
        <w:rPr>
          <w:color w:val="000000" w:themeColor="text1"/>
          <w:lang w:val="ru-RU"/>
        </w:rPr>
        <w:softHyphen/>
        <w:t>ла удлинения корпуса и добавки дополнительной пары катков, другое дело, что в условиях военного периода городить специальное шасси было равносильно отправке проекта в стол. Поэтому в ЦАКБ приняли решение не вносить в ходовую часть изменений. Метаморфозы, кото</w:t>
      </w:r>
      <w:r w:rsidRPr="00070ADE">
        <w:rPr>
          <w:color w:val="000000" w:themeColor="text1"/>
          <w:lang w:val="ru-RU"/>
        </w:rPr>
        <w:softHyphen/>
        <w:t xml:space="preserve">рые претерпел ремонтный </w:t>
      </w:r>
      <w:r w:rsidRPr="00070ADE">
        <w:rPr>
          <w:color w:val="000000" w:themeColor="text1"/>
        </w:rPr>
        <w:t>KB</w:t>
      </w:r>
      <w:r w:rsidRPr="00070ADE">
        <w:rPr>
          <w:color w:val="000000" w:themeColor="text1"/>
          <w:lang w:val="ru-RU"/>
        </w:rPr>
        <w:t>-1 С, были связаны лишь с установкой на него нового орудия.</w:t>
      </w:r>
    </w:p>
    <w:p w14:paraId="5D3AC343" w14:textId="77777777" w:rsidR="00282955" w:rsidRPr="00070ADE" w:rsidRDefault="0028295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Качающаяся часть 203-мм гаубицы Б-4 была взята без изменений. Орудие вынесли далеко вперед, его основание частично нависало над отделением управления. В походном положении ствол гаубицы оттяги</w:t>
      </w:r>
      <w:r w:rsidRPr="00070ADE">
        <w:rPr>
          <w:rFonts w:ascii="Times New Roman" w:hAnsi="Times New Roman"/>
          <w:color w:val="000000" w:themeColor="text1"/>
          <w:sz w:val="16"/>
          <w:szCs w:val="16"/>
        </w:rPr>
        <w:softHyphen/>
        <w:t>вался назад. Установили орудие на специальную раму, которая частично перекрывала обзор из смотрового прибора механика-водителя. Изна</w:t>
      </w:r>
      <w:r w:rsidRPr="00070ADE">
        <w:rPr>
          <w:rFonts w:ascii="Times New Roman" w:hAnsi="Times New Roman"/>
          <w:color w:val="000000" w:themeColor="text1"/>
          <w:sz w:val="16"/>
          <w:szCs w:val="16"/>
        </w:rPr>
        <w:softHyphen/>
        <w:t>чально система не имела щитового прикрытия. Позже спереди был уста</w:t>
      </w:r>
      <w:r w:rsidRPr="00070ADE">
        <w:rPr>
          <w:rFonts w:ascii="Times New Roman" w:hAnsi="Times New Roman"/>
          <w:color w:val="000000" w:themeColor="text1"/>
          <w:sz w:val="16"/>
          <w:szCs w:val="16"/>
        </w:rPr>
        <w:softHyphen/>
        <w:t>новлен орудийный щит толщиной 7 мм, который служил для защиты расчета от осколков. Щит состоял из двух частей, которые для удобства перевода ствола Б-4 из походного положения в боевое откидывались вперед. При этом щит упирался специальными опорами в ходовую часть.</w:t>
      </w:r>
    </w:p>
    <w:p w14:paraId="3261D4F5" w14:textId="77777777" w:rsidR="00282955" w:rsidRPr="00070ADE" w:rsidRDefault="00282955" w:rsidP="00B56F90">
      <w:pPr>
        <w:pStyle w:val="a3"/>
        <w:rPr>
          <w:color w:val="000000" w:themeColor="text1"/>
          <w:lang w:val="ru-RU"/>
        </w:rPr>
      </w:pPr>
      <w:r w:rsidRPr="00070ADE">
        <w:rPr>
          <w:color w:val="000000" w:themeColor="text1"/>
          <w:lang w:val="ru-RU"/>
        </w:rPr>
        <w:t>На надгусеничных полках С-51 была построена платформа, где в бо</w:t>
      </w:r>
      <w:r w:rsidRPr="00070ADE">
        <w:rPr>
          <w:color w:val="000000" w:themeColor="text1"/>
          <w:lang w:val="ru-RU"/>
        </w:rPr>
        <w:softHyphen/>
        <w:t>евом положении размещалась часть расчета. Внутренние полости плат</w:t>
      </w:r>
      <w:r w:rsidRPr="00070ADE">
        <w:rPr>
          <w:color w:val="000000" w:themeColor="text1"/>
          <w:lang w:val="ru-RU"/>
        </w:rPr>
        <w:softHyphen/>
        <w:t>формы исполняли роль ящиков ЗИП, для предотвращения несчастных случаев платформа получила ограждения. Основной боезапас хранил</w:t>
      </w:r>
      <w:r w:rsidRPr="00070ADE">
        <w:rPr>
          <w:color w:val="000000" w:themeColor="text1"/>
          <w:lang w:val="ru-RU"/>
        </w:rPr>
        <w:softHyphen/>
        <w:t>ся в штатных деревянных ящиках, которые в походном положении лежали на настиле платформы и крепились к поручням. Для удобства подъема и спуска на кормовом листе САУ были установлены откиды</w:t>
      </w:r>
      <w:r w:rsidRPr="00070ADE">
        <w:rPr>
          <w:color w:val="000000" w:themeColor="text1"/>
          <w:lang w:val="ru-RU"/>
        </w:rPr>
        <w:softHyphen/>
        <w:t>вающиеся лесенки. Между лесенками разместились откидные направ</w:t>
      </w:r>
      <w:r w:rsidRPr="00070ADE">
        <w:rPr>
          <w:color w:val="000000" w:themeColor="text1"/>
          <w:lang w:val="ru-RU"/>
        </w:rPr>
        <w:softHyphen/>
        <w:t>ляющие, по которым перемещался кокор. Направляющие нужны были прежде всего для заряжания орудия с земли. Боекомплект С-51 состо</w:t>
      </w:r>
      <w:r w:rsidRPr="00070ADE">
        <w:rPr>
          <w:color w:val="000000" w:themeColor="text1"/>
          <w:lang w:val="ru-RU"/>
        </w:rPr>
        <w:softHyphen/>
        <w:t>ял всего из 12 выстрелов, поэтому при стрельбе с закрытых позиций основной расчет делался на подвозимые боеприпасы. Стоит отметить, что в боевом положении часть расчета С-51, состоящего из 10 человек, размещалась не на САУ, а на земле.</w:t>
      </w:r>
    </w:p>
    <w:p w14:paraId="6E3378E4" w14:textId="77777777" w:rsidR="00282955" w:rsidRPr="00070ADE" w:rsidRDefault="0028295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активную фазу программа тяжелых самоходных установок откры</w:t>
      </w:r>
      <w:r w:rsidRPr="00070ADE">
        <w:rPr>
          <w:rFonts w:ascii="Times New Roman" w:hAnsi="Times New Roman"/>
          <w:color w:val="000000" w:themeColor="text1"/>
          <w:sz w:val="16"/>
          <w:szCs w:val="16"/>
        </w:rPr>
        <w:softHyphen/>
        <w:t>того типа вошла к началу февраля. Стоит отметить, что С-51 продолжа</w:t>
      </w:r>
      <w:r w:rsidRPr="00070ADE">
        <w:rPr>
          <w:rFonts w:ascii="Times New Roman" w:hAnsi="Times New Roman"/>
          <w:color w:val="000000" w:themeColor="text1"/>
          <w:sz w:val="16"/>
          <w:szCs w:val="16"/>
        </w:rPr>
        <w:softHyphen/>
        <w:t>ла оставаться в нижних приоритетах, поэтому данная САУ отсутствует в списке первоочередных программ, о которых докладывали наверх. Впервые самоходная установка была упомянута в письме Устинова Яковлеву от 15 февраля 1944 года, причем речь шла уже о готовой ма</w:t>
      </w:r>
      <w:r w:rsidRPr="00070ADE">
        <w:rPr>
          <w:rFonts w:ascii="Times New Roman" w:hAnsi="Times New Roman"/>
          <w:color w:val="000000" w:themeColor="text1"/>
          <w:sz w:val="16"/>
          <w:szCs w:val="16"/>
        </w:rPr>
        <w:softHyphen/>
        <w:t>шине (17484).</w:t>
      </w:r>
    </w:p>
    <w:p w14:paraId="47B1C461" w14:textId="77777777" w:rsidR="00282955" w:rsidRPr="00070ADE" w:rsidRDefault="00282955" w:rsidP="00B56F90">
      <w:pPr>
        <w:spacing w:after="0" w:line="240" w:lineRule="auto"/>
        <w:jc w:val="both"/>
        <w:rPr>
          <w:rFonts w:ascii="Times New Roman" w:hAnsi="Times New Roman"/>
          <w:color w:val="000000" w:themeColor="text1"/>
          <w:sz w:val="16"/>
          <w:szCs w:val="16"/>
        </w:rPr>
      </w:pPr>
    </w:p>
    <w:p w14:paraId="09C79954" w14:textId="77777777" w:rsidR="00792F77" w:rsidRPr="00070ADE" w:rsidRDefault="00792F7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январе 1944 года в ЦАКБ начали строить самоходную установку, получившую заводской индекс С-51. При её создании ЦАКБ пришлось делать сложный выбор. В теории для установки Б-4 на шасси КВ-1с нужно было удлинять корпус и добавить дополнительную пару катков. Но в условиях военного времени необходимость создания специального шасси отправляла проект в стол. По этой причине в ЦАКБ приняли решение не вносить в ходовую часть изменений. На крыльях ремонтного КВ-1с соорудили платформу, на которой в боевом положении размещалась часть расчёта. Внутренние полости платформы выполняли роль ящиков ЗИП, для предотвращения несчастных случаев платформа получила ограждения. Основная часть боезапаса хранилась в штатных деревянных ящиках, которые в походном положении лежали на настиле платформы и крепились к поручням.</w:t>
      </w:r>
    </w:p>
    <w:p w14:paraId="4951E80F" w14:textId="77777777" w:rsidR="00792F77" w:rsidRPr="00070ADE" w:rsidRDefault="00792F7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Для удобства подъёма и спуска на кормовом листе САУ были установлены откидывающиеся лесенки. Между лесенками разместились откидные направляющие, по которым перемещался кокор. Направляющие были нужны прежде всего для заряжания орудия с земли. В боевом положении часть расчёта С-51, состоящего из 10 человек, размещалась не на САУ, а на земле.</w:t>
      </w:r>
    </w:p>
    <w:p w14:paraId="6640584B" w14:textId="77777777" w:rsidR="00792F77" w:rsidRPr="00070ADE" w:rsidRDefault="00792F7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Качающаяся часть 203-мм гаубицы Б-4 была взята без изменений. Орудие конструкторы вынесли далеко вперёд, его основание частично нависало над отделением управления. В походном положении ствол гаубицы оттягивался назад. Орудие было установлено на специальную раму, которая частично перекрывала сектор обзора смотрового прибора механика-водителя.</w:t>
      </w:r>
    </w:p>
    <w:p w14:paraId="4D883513" w14:textId="77777777" w:rsidR="00792F77" w:rsidRPr="00070ADE" w:rsidRDefault="00792F7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Изначально система не имела щитового прикрытия. Позже спереди был установлен орудийный щит толщиной 7 мм, который служил для защиты расчёта от осколков. Щит состоял из двух частей, которые для удобства перевода ствола Б-4 из походного положения в боевое откидывались вперёд. При этом щит упирался специальными опорами в ходовую часть (18075).</w:t>
      </w:r>
    </w:p>
    <w:p w14:paraId="7D68EF18" w14:textId="77777777" w:rsidR="00792F77" w:rsidRPr="00070ADE" w:rsidRDefault="00792F77" w:rsidP="00B56F90">
      <w:pPr>
        <w:shd w:val="clear" w:color="auto" w:fill="FFFFFF"/>
        <w:spacing w:after="0" w:line="240" w:lineRule="auto"/>
        <w:jc w:val="both"/>
        <w:rPr>
          <w:rFonts w:ascii="Times New Roman" w:hAnsi="Times New Roman"/>
          <w:noProof/>
          <w:color w:val="000000" w:themeColor="text1"/>
          <w:sz w:val="16"/>
          <w:szCs w:val="16"/>
          <w:lang w:eastAsia="ru-RU"/>
        </w:rPr>
      </w:pPr>
    </w:p>
    <w:p w14:paraId="7559A34F" w14:textId="77777777" w:rsidR="002A09DF" w:rsidRPr="00C94B78" w:rsidRDefault="002A09D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январе 1944 года начались работы по изготовлению опытного образца гаубицы Б-4 на шасси КВ-1с – проекта С-51 ЦАКБ Грабина. Уже в феврале машина вышла на заводские испытания, которые проводились по сокращенной программе. Основной этап испытаний прошел в марте-апреле 1944 года на Гороховецком артиллерийском полигоне. В ходе этих тестов прототип прошел 115 км и произвел 209 выстрелов. Результаты оказались неутешительными и выявили фатальные недостатки конструкции (25600).</w:t>
      </w:r>
    </w:p>
    <w:p w14:paraId="0ADB0C08" w14:textId="77777777" w:rsidR="002A09DF" w:rsidRPr="00C94B78" w:rsidRDefault="002A09DF" w:rsidP="00B56F90">
      <w:pPr>
        <w:spacing w:after="0" w:line="240" w:lineRule="auto"/>
        <w:jc w:val="both"/>
        <w:rPr>
          <w:rFonts w:ascii="Times New Roman" w:hAnsi="Times New Roman"/>
          <w:color w:val="0070C0"/>
          <w:sz w:val="16"/>
          <w:szCs w:val="16"/>
        </w:rPr>
      </w:pPr>
    </w:p>
    <w:p w14:paraId="10694BFA" w14:textId="77777777" w:rsidR="002A09DF" w:rsidRPr="00C94B78" w:rsidRDefault="002A09D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опытный образец гаубицы Б-4 на шасси КВ-1с – проекта С-51 ЦАКБ Грабина вышел на заводские испытания, которые проводились по сокращенной программе. Основной этап испытаний прошел в марте-апреле 1944 года на Гороховецком артиллерийском полигоне. В ходе этих тестов прототип прошел 115 км и произвел 209 выстрелов. Результаты оказались неутешительными и выявили фатальные недостатки конструкции (25600).</w:t>
      </w:r>
    </w:p>
    <w:p w14:paraId="32946AB9" w14:textId="77777777" w:rsidR="002A09DF" w:rsidRPr="00C94B78" w:rsidRDefault="002A09DF" w:rsidP="00B56F90">
      <w:pPr>
        <w:spacing w:after="0" w:line="240" w:lineRule="auto"/>
        <w:jc w:val="both"/>
        <w:rPr>
          <w:rFonts w:ascii="Times New Roman" w:hAnsi="Times New Roman"/>
          <w:color w:val="0070C0"/>
          <w:sz w:val="16"/>
          <w:szCs w:val="16"/>
        </w:rPr>
      </w:pPr>
    </w:p>
    <w:p w14:paraId="3DA959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успешно прошли гос. испытая разработанного в декабре 1944 на Уралмашзаводе опытного образеца Су-85БМ с пушкой Д5-С85БМ со стволом, удлиненным на 1068 мм и скоростью снаряда 900 м/сек (4406).</w:t>
      </w:r>
    </w:p>
    <w:p w14:paraId="24E38DD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501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Управлением Самоходной артиллерии были выдвинуты уточненные ТТТ к устройству СУ-100. В основу их было положено:</w:t>
      </w:r>
    </w:p>
    <w:p w14:paraId="48E095F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для самохода используется шасси и МТО СУ-85;</w:t>
      </w:r>
    </w:p>
    <w:p w14:paraId="6AE4EFB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вооружением служит специальная 100-мм самоходная пушка Д-10С завода № 9;</w:t>
      </w:r>
    </w:p>
    <w:p w14:paraId="6BCCAC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вес самохода допускается на 1,5 тонны выше, чем серий</w:t>
      </w:r>
      <w:r w:rsidRPr="00070ADE">
        <w:rPr>
          <w:rFonts w:ascii="Times New Roman" w:hAnsi="Times New Roman"/>
          <w:color w:val="000000" w:themeColor="text1"/>
          <w:sz w:val="16"/>
          <w:szCs w:val="16"/>
        </w:rPr>
        <w:softHyphen/>
        <w:t>ный СУ-85, то есть не свыше 31 тонны;</w:t>
      </w:r>
    </w:p>
    <w:p w14:paraId="25F7EC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увеличение толщины брони лобового листа корпуса преду</w:t>
      </w:r>
      <w:r w:rsidRPr="00070ADE">
        <w:rPr>
          <w:rFonts w:ascii="Times New Roman" w:hAnsi="Times New Roman"/>
          <w:color w:val="000000" w:themeColor="text1"/>
          <w:sz w:val="16"/>
          <w:szCs w:val="16"/>
        </w:rPr>
        <w:softHyphen/>
        <w:t>смотрено до 75мм;</w:t>
      </w:r>
    </w:p>
    <w:p w14:paraId="3345976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обзорность увеличивается применением смотровых при</w:t>
      </w:r>
      <w:r w:rsidRPr="00070ADE">
        <w:rPr>
          <w:rFonts w:ascii="Times New Roman" w:hAnsi="Times New Roman"/>
          <w:color w:val="000000" w:themeColor="text1"/>
          <w:sz w:val="16"/>
          <w:szCs w:val="16"/>
        </w:rPr>
        <w:softHyphen/>
        <w:t>боров типа МК-1Уи смотровой командирской башенки;</w:t>
      </w:r>
    </w:p>
    <w:p w14:paraId="0FCDEC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ввидуЪерегрузки передних опорных катков ввести усиле</w:t>
      </w:r>
      <w:r w:rsidRPr="00070ADE">
        <w:rPr>
          <w:rFonts w:ascii="Times New Roman" w:hAnsi="Times New Roman"/>
          <w:color w:val="000000" w:themeColor="text1"/>
          <w:sz w:val="16"/>
          <w:szCs w:val="16"/>
        </w:rPr>
        <w:softHyphen/>
        <w:t>ние передней подвески увеличением диаметра проволоки пружин с 30мм до 34мм...»</w:t>
      </w:r>
    </w:p>
    <w:p w14:paraId="69FFC9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вскоре выяснилось, что 100-мм универсальная морская пушка Б-34, принятая в качестве прототипа само</w:t>
      </w:r>
      <w:r w:rsidRPr="00070ADE">
        <w:rPr>
          <w:rFonts w:ascii="Times New Roman" w:hAnsi="Times New Roman"/>
          <w:color w:val="000000" w:themeColor="text1"/>
          <w:sz w:val="16"/>
          <w:szCs w:val="16"/>
        </w:rPr>
        <w:softHyphen/>
        <w:t>ходного орудия, имеет в боекомплекте только осколочно-фу</w:t>
      </w:r>
      <w:r w:rsidRPr="00070ADE">
        <w:rPr>
          <w:rFonts w:ascii="Times New Roman" w:hAnsi="Times New Roman"/>
          <w:color w:val="000000" w:themeColor="text1"/>
          <w:sz w:val="16"/>
          <w:szCs w:val="16"/>
        </w:rPr>
        <w:softHyphen/>
        <w:t>гасные и дистанционные гранаты, а разработка бронебойно</w:t>
      </w:r>
      <w:r w:rsidRPr="00070ADE">
        <w:rPr>
          <w:rFonts w:ascii="Times New Roman" w:hAnsi="Times New Roman"/>
          <w:color w:val="000000" w:themeColor="text1"/>
          <w:sz w:val="16"/>
          <w:szCs w:val="16"/>
        </w:rPr>
        <w:softHyphen/>
        <w:t>го снаряда может быть реализована не ранее второго полуго</w:t>
      </w:r>
      <w:r w:rsidRPr="00070ADE">
        <w:rPr>
          <w:rFonts w:ascii="Times New Roman" w:hAnsi="Times New Roman"/>
          <w:color w:val="000000" w:themeColor="text1"/>
          <w:sz w:val="16"/>
          <w:szCs w:val="16"/>
        </w:rPr>
        <w:softHyphen/>
        <w:t>дия 1944 г. Это позволило начальнику ЦАКБ ВТ. Грабину в жесткой форме потребовать, чтобы конструкторы приспособили свою боевую машину к его пушке. Пока велась не впол</w:t>
      </w:r>
      <w:r w:rsidRPr="00070ADE">
        <w:rPr>
          <w:rFonts w:ascii="Times New Roman" w:hAnsi="Times New Roman"/>
          <w:color w:val="000000" w:themeColor="text1"/>
          <w:sz w:val="16"/>
          <w:szCs w:val="16"/>
        </w:rPr>
        <w:softHyphen/>
        <w:t>не вежливая переписка КБ Уралмашзавода с ЦАКБ, завод № 9 изготовил опытный образец своего варианта 100-мм са</w:t>
      </w:r>
      <w:r w:rsidRPr="00070ADE">
        <w:rPr>
          <w:rFonts w:ascii="Times New Roman" w:hAnsi="Times New Roman"/>
          <w:color w:val="000000" w:themeColor="text1"/>
          <w:sz w:val="16"/>
          <w:szCs w:val="16"/>
        </w:rPr>
        <w:softHyphen/>
        <w:t>моходной пушки, получившей индекс Д10-С, отличавшейся от С-34 значительно меньшими габаритами и весом. При этом были учтены некоторые «проколы» с Д5, и новое орудие оказалось даже немного проще и надежнее (11414).</w:t>
      </w:r>
    </w:p>
    <w:p w14:paraId="14E13DB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0095AA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на</w:t>
      </w:r>
      <w:r w:rsidRPr="00070ADE">
        <w:rPr>
          <w:rFonts w:ascii="Times New Roman" w:hAnsi="Times New Roman"/>
          <w:color w:val="000000" w:themeColor="text1"/>
          <w:sz w:val="16"/>
          <w:szCs w:val="16"/>
        </w:rPr>
        <w:softHyphen/>
        <w:t>чальник ОГК Бер пишет своему шефу:</w:t>
      </w:r>
    </w:p>
    <w:p w14:paraId="21E7122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«Пока нет четкого понимания, какой легкий танк нужен Главный вопрос — тип двигателя решен в пользу амер. Джи-Эм-Си мощностью 180-200 л.с., что позволит танку массой около 12-14 тн. иметь хорошую подвижность.»</w:t>
      </w:r>
    </w:p>
    <w:p w14:paraId="38B0546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Трудно «казать, как развивались события далее, но КБ завода № 38;.(М. Щукин) в 1944 г. получило задание на проектирование легкого танка со следующими ТТХ: «1). Боевой вес танка — 11-13 тн;</w:t>
      </w:r>
    </w:p>
    <w:p w14:paraId="5FA4003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Габаритные размеры — не превышающие СУ-38;</w:t>
      </w:r>
    </w:p>
    <w:p w14:paraId="31A9FC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Вооружение установить во вращающейся башне с воз</w:t>
      </w:r>
      <w:r w:rsidRPr="00070ADE">
        <w:rPr>
          <w:rFonts w:ascii="Times New Roman" w:hAnsi="Times New Roman"/>
          <w:color w:val="000000" w:themeColor="text1"/>
          <w:sz w:val="16"/>
          <w:szCs w:val="16"/>
        </w:rPr>
        <w:softHyphen/>
        <w:t>можностью наведения до 70 град. По вертикали.</w:t>
      </w:r>
    </w:p>
    <w:p w14:paraId="615419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Состав вооружения: 82-мм казнозарядный миномет, спа</w:t>
      </w:r>
      <w:r w:rsidRPr="00070ADE">
        <w:rPr>
          <w:rFonts w:ascii="Times New Roman" w:hAnsi="Times New Roman"/>
          <w:color w:val="000000" w:themeColor="text1"/>
          <w:sz w:val="16"/>
          <w:szCs w:val="16"/>
        </w:rPr>
        <w:softHyphen/>
        <w:t>ренный с 12,7-мм пулеметом, либо 76-мм полк, пушка обр. 1943, спаренная с 7,62-м пулеметом, либо миномет в строенной установке с 12,7-мм пулеметом и 7,62-мм пу</w:t>
      </w:r>
      <w:r w:rsidRPr="00070ADE">
        <w:rPr>
          <w:rFonts w:ascii="Times New Roman" w:hAnsi="Times New Roman"/>
          <w:color w:val="000000" w:themeColor="text1"/>
          <w:sz w:val="16"/>
          <w:szCs w:val="16"/>
        </w:rPr>
        <w:softHyphen/>
        <w:t>леметом...</w:t>
      </w:r>
    </w:p>
    <w:p w14:paraId="726C5C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Двигатель — дизель ярославского завода в 200л.с.</w:t>
      </w:r>
    </w:p>
    <w:p w14:paraId="422A2E5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Трансмиссия — КПП ЗИС автомобильного типа.</w:t>
      </w:r>
    </w:p>
    <w:p w14:paraId="674136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Ходовая часть и подвеска — по типу СУ- 76М.</w:t>
      </w:r>
    </w:p>
    <w:p w14:paraId="4BDFEC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7). Скоростные данные — до 45 км/ч по шоссе, 30 км/ч на мес</w:t>
      </w:r>
      <w:r w:rsidRPr="00070ADE">
        <w:rPr>
          <w:rFonts w:ascii="Times New Roman" w:hAnsi="Times New Roman"/>
          <w:color w:val="000000" w:themeColor="text1"/>
          <w:sz w:val="16"/>
          <w:szCs w:val="16"/>
        </w:rPr>
        <w:softHyphen/>
        <w:t>тности.</w:t>
      </w:r>
    </w:p>
    <w:p w14:paraId="6880D3C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Запас хода — не менее 250 клм на внутренних баках.»</w:t>
      </w:r>
    </w:p>
    <w:p w14:paraId="314934A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исполнения проекта оговаривался до 1 марта. Но фактически проектировщики смогли приступить к работе только в середине февраля, предоставив 1 марта следующее:</w:t>
      </w:r>
    </w:p>
    <w:p w14:paraId="607525A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Схема компоновки МТО танка;</w:t>
      </w:r>
    </w:p>
    <w:p w14:paraId="093293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Схема установки вооружения из 76-мм полк, пушки обр. 1942 и пулемета в башне;</w:t>
      </w:r>
    </w:p>
    <w:p w14:paraId="7440E8B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Чертеж бронекорпуса с указанием толщин брони;</w:t>
      </w:r>
    </w:p>
    <w:p w14:paraId="792D74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Развернутые ТТХ танка.</w:t>
      </w:r>
    </w:p>
    <w:p w14:paraId="5FD2848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сожалению, более никакой информации по легкому танку 1944-1945 гг. автор не имеет (11135).</w:t>
      </w:r>
    </w:p>
    <w:p w14:paraId="2A3447C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B2715D" w14:textId="77777777" w:rsidR="00DF41EB" w:rsidRPr="00070ADE" w:rsidRDefault="00DF41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завод № 200 отметил перевыполнение плана: помимо 50 ИС-152, завод сдал ещё две СУ-152 сверх плана. При этом в январе отправили 65 машин, в том числе 15 из задела прошлого года. На заводе происходила серьёзная реорганизация производства. В Челябинске начали готовиться к переходу на конвейерное производство САУ. Это внесло свои коррективы в работу завода, но уже в январе отмечались и первые положительные результаты. Время на сборку машины у некоторых бригад сократилось с 3 суток до 24–30 часов. Улучшилось и качество выпускаемых машин. Семь САУ приняли вообще без дефектов, с одним дефектом было 9 машин, с двумя 18, с тремя 9.</w:t>
      </w:r>
    </w:p>
    <w:p w14:paraId="02B3CEFC" w14:textId="77777777" w:rsidR="00DF41EB" w:rsidRPr="00070ADE" w:rsidRDefault="00DF41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 не менее с качеством не всё было гладко, что подтверждали отзывы из частей. На заводе об этом знали, работы по улучшению качества продолжались. Также вносились небольшие изменения в конструкцию, в частности, были улучшены соединения трубопроводов, а тросы приборов получили металлические кожухи (18171).</w:t>
      </w:r>
    </w:p>
    <w:p w14:paraId="471856FD" w14:textId="77777777" w:rsidR="00DF41EB" w:rsidRPr="00070ADE" w:rsidRDefault="00DF41EB" w:rsidP="00B56F90">
      <w:pPr>
        <w:spacing w:after="0" w:line="240" w:lineRule="auto"/>
        <w:jc w:val="both"/>
        <w:rPr>
          <w:rFonts w:ascii="Times New Roman" w:hAnsi="Times New Roman"/>
          <w:color w:val="000000" w:themeColor="text1"/>
          <w:sz w:val="16"/>
          <w:szCs w:val="16"/>
        </w:rPr>
      </w:pPr>
    </w:p>
    <w:p w14:paraId="0BCDFFA8" w14:textId="77777777" w:rsidR="00DF41EB" w:rsidRPr="00070ADE" w:rsidRDefault="00DF41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января 1944 года на УЗТМ началась работа по переделке цехов под выпуск бронекорпусов ИС-152. Ведь на фоне увеличения производства корпусов для ИС-2 завод №200 в январе 1944 года сдал 70 комплектов корпусов и рубок для ИСУ-152, в феврале их было 56 штук, в марте 35 штук, а в апреле и вовсе ни одного. В конце концов УЗТМ, выпускавший корпуса ИСУ-152 с февраля 1944 года, стал их единственным производителем.</w:t>
      </w:r>
    </w:p>
    <w:p w14:paraId="78D58F0B" w14:textId="77777777" w:rsidR="00DF41EB" w:rsidRPr="00070ADE" w:rsidRDefault="00DF41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января по март 1944 года завод №178 выпускал подвижную часть бронировки системы. Завод №264 занимался изготовлением рубок.</w:t>
      </w:r>
    </w:p>
    <w:p w14:paraId="33DD8FFC" w14:textId="77777777" w:rsidR="00DF41EB" w:rsidRPr="00070ADE" w:rsidRDefault="00DF41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Благодаря сборке корпусов на одном заводе самоходная установка на базе ИС-2, в отличие от самого танка, разнообразием внешнего вида не отличалась. Корпуса выпуска УЗТМ отличались характерным следом от «литника» на лобовой детали корпуса, а также конструкцией поручней. Как и на башнях ИС-2, вместо длинных планок использовались отдельные поручни (по два с левой и с правой сторон рубки). С июня 1944 года крепления траков перенесли с нижней кормовой детали корпуса на лобовую деталь (18171).</w:t>
      </w:r>
    </w:p>
    <w:p w14:paraId="55E97B1B" w14:textId="77777777" w:rsidR="00DF41EB" w:rsidRPr="00070ADE" w:rsidRDefault="00DF41EB" w:rsidP="00B56F90">
      <w:pPr>
        <w:spacing w:after="0" w:line="240" w:lineRule="auto"/>
        <w:jc w:val="both"/>
        <w:rPr>
          <w:rFonts w:ascii="Times New Roman" w:hAnsi="Times New Roman"/>
          <w:color w:val="000000" w:themeColor="text1"/>
          <w:sz w:val="16"/>
          <w:szCs w:val="16"/>
        </w:rPr>
      </w:pPr>
    </w:p>
    <w:p w14:paraId="79249C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на артполигоне УЗТМ производил</w:t>
      </w:r>
      <w:r w:rsidRPr="00070ADE">
        <w:rPr>
          <w:rFonts w:ascii="Times New Roman" w:hAnsi="Times New Roman"/>
          <w:color w:val="000000" w:themeColor="text1"/>
          <w:sz w:val="16"/>
          <w:szCs w:val="16"/>
        </w:rPr>
        <w:softHyphen/>
        <w:t>ся обстрел же по комплектным образ</w:t>
      </w:r>
      <w:r w:rsidRPr="00070ADE">
        <w:rPr>
          <w:rFonts w:ascii="Times New Roman" w:hAnsi="Times New Roman"/>
          <w:color w:val="000000" w:themeColor="text1"/>
          <w:sz w:val="16"/>
          <w:szCs w:val="16"/>
        </w:rPr>
        <w:softHyphen/>
        <w:t>цам трофейных танков из серийного ИС-122 и показал, что лобовую броню танка «Пантера» штатный 122-мм снаряд легко пробивает с расстояния 600—700 м, тогда как улуч</w:t>
      </w:r>
      <w:r w:rsidRPr="00070ADE">
        <w:rPr>
          <w:rFonts w:ascii="Times New Roman" w:hAnsi="Times New Roman"/>
          <w:color w:val="000000" w:themeColor="text1"/>
          <w:sz w:val="16"/>
          <w:szCs w:val="16"/>
        </w:rPr>
        <w:softHyphen/>
        <w:t>шенный бронебойно-трассирующий снаряд с разрывной каморой (изготовленный по чертежу № 2-2868 А) мог по</w:t>
      </w:r>
      <w:r w:rsidRPr="00070ADE">
        <w:rPr>
          <w:rFonts w:ascii="Times New Roman" w:hAnsi="Times New Roman"/>
          <w:color w:val="000000" w:themeColor="text1"/>
          <w:sz w:val="16"/>
          <w:szCs w:val="16"/>
        </w:rPr>
        <w:softHyphen/>
        <w:t>ражать ее с 1200-1400 м, почему НКБ с 15 января 1944 г. начал выпуск бронебойных снарядов калибра 122-мм именно данного типа.</w:t>
      </w:r>
    </w:p>
    <w:p w14:paraId="0C8F88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«Тигр» оказался вполне «по зубам» новой 122-мм пушке — его лоб свободно пробивался штатным бронебойным сна</w:t>
      </w:r>
      <w:r w:rsidRPr="00070ADE">
        <w:rPr>
          <w:rFonts w:ascii="Times New Roman" w:hAnsi="Times New Roman"/>
          <w:color w:val="000000" w:themeColor="text1"/>
          <w:sz w:val="16"/>
          <w:szCs w:val="16"/>
        </w:rPr>
        <w:softHyphen/>
        <w:t>рядом с 1200—1500 м, а улучшенным — с 1800 м и далее, но с таких расстояний вести прицельную стрельбу из ИС могли только хорошо подготовленные экипажи, так как качество оптического стекла первых прицелов танка ИС было еще не</w:t>
      </w:r>
      <w:r w:rsidRPr="00070ADE">
        <w:rPr>
          <w:rFonts w:ascii="Times New Roman" w:hAnsi="Times New Roman"/>
          <w:color w:val="000000" w:themeColor="text1"/>
          <w:sz w:val="16"/>
          <w:szCs w:val="16"/>
        </w:rPr>
        <w:softHyphen/>
        <w:t>достаточным. К тому же взметавшееся с земли во время пер</w:t>
      </w:r>
      <w:r w:rsidRPr="00070ADE">
        <w:rPr>
          <w:rFonts w:ascii="Times New Roman" w:hAnsi="Times New Roman"/>
          <w:color w:val="000000" w:themeColor="text1"/>
          <w:sz w:val="16"/>
          <w:szCs w:val="16"/>
        </w:rPr>
        <w:softHyphen/>
        <w:t>вого выстрела облако пьши (снега, воды из луж) полностью закрывало цель на 2-30 с, иногда совершенно загрязняя объ</w:t>
      </w:r>
      <w:r w:rsidRPr="00070ADE">
        <w:rPr>
          <w:rFonts w:ascii="Times New Roman" w:hAnsi="Times New Roman"/>
          <w:color w:val="000000" w:themeColor="text1"/>
          <w:sz w:val="16"/>
          <w:szCs w:val="16"/>
        </w:rPr>
        <w:softHyphen/>
        <w:t>ектив прицела. Это было следствием применения дульного тормоза и потребовало оснастить объектив прицела специ</w:t>
      </w:r>
      <w:r w:rsidRPr="00070ADE">
        <w:rPr>
          <w:rFonts w:ascii="Times New Roman" w:hAnsi="Times New Roman"/>
          <w:color w:val="000000" w:themeColor="text1"/>
          <w:sz w:val="16"/>
          <w:szCs w:val="16"/>
        </w:rPr>
        <w:softHyphen/>
        <w:t>альной блендой (11135).</w:t>
      </w:r>
    </w:p>
    <w:p w14:paraId="797A6C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6CC74E" w14:textId="77777777" w:rsidR="002A09DF" w:rsidRPr="00C94B78" w:rsidRDefault="002A09D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январе 1944 года А.С.</w:t>
      </w:r>
      <w:r>
        <w:rPr>
          <w:rFonts w:ascii="Times New Roman" w:hAnsi="Times New Roman"/>
          <w:color w:val="0070C0"/>
          <w:sz w:val="16"/>
          <w:szCs w:val="16"/>
        </w:rPr>
        <w:t xml:space="preserve"> </w:t>
      </w:r>
      <w:r w:rsidRPr="00C94B78">
        <w:rPr>
          <w:rFonts w:ascii="Times New Roman" w:hAnsi="Times New Roman"/>
          <w:color w:val="0070C0"/>
          <w:sz w:val="16"/>
          <w:szCs w:val="16"/>
        </w:rPr>
        <w:t>Часовников и еще один конструктор ЦАКБ, С.Д. Казарин, выдвинули список предложений по перевооружению зарубежных танков. Основной мыслью было то, что зарубежные танки имеют более слабое вооружение, чем отечественные. С этим, безусловно, можно поспорить, но есть маленький нюанс. К тому моменту на вооружение Красной Армии приняли 85-мм системы Д-5Т-85 и С-53. На заводе №112 выпустили первые Т-34-85, а на заводе №183 предполагалось выпускать Т-34 с двухместной башней, стандартным башенным погоном, и 85-мм пушкой С-53. Тот Т-34-85, который мы знаем, сформировался чуть позже. И вот тут утверждение про более слабое вооружение не выглядит столь уж спорным.</w:t>
      </w:r>
    </w:p>
    <w:p w14:paraId="3826AA77" w14:textId="77777777" w:rsidR="002A09DF" w:rsidRPr="00C94B78" w:rsidRDefault="002A09D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Решение вопроса перевооружения предлагалось комплексным. Первым направлением являлась простая замена штатного орудия на 85-мм пушку, как приоритетным направление выбиралась переделка M4A2. Второе направление работ заключалось в замене башни M4A2 на ту самую башню Т-34 с пушкой С-53, которую должен был выпускать завод №183 (но дальше опытной машины дело не пошло, в марте 1944 года началось производство Т-34-85 с трехместной башней и погоном диаметром 1600 мм). В нашем же случае более интересно предложение о переделке всё того же M4A2 в САУ. Значился для подобных целей и MK-II (Matilda), но проработкой именно такого варианта переделки авторы не занимались. Вероятнее всего потому, что просто взять и поставить рубку на «Матильду» не получилось бы. Требовалась более сложная конструкторская работа, а сама рубка имела бы более сложную форму.</w:t>
      </w:r>
    </w:p>
    <w:p w14:paraId="3E667ABC" w14:textId="77777777" w:rsidR="002A09DF" w:rsidRPr="00C94B78" w:rsidRDefault="002A09D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случае же с M4A2 проработка имела более детальной. Да и сама идея выглядела более реалистичной. Согласно описанию, предлагалось срезать башню и крышу подбашенной коробки. В лобовом листе корпуса вырезалась амбразура, куда вставлялась орудийная установка, аналогичная СУ-85. Вместо штатной крыши подбашенной коробки ставилась новая. Всё, САУ готова. Общий объём переделок потенциально не превышал объем метаморфоз, которые проводились с немецкими шасси, которые превращались в СУ-76И. Конечно, внутри отделения управления становилось тесновато, но в целом орудие там вполне вставало. Тумбу, как у той же СГ-122, делать не требовалось, поскольку орудие ставилось в рамке, а также, вместе с установкой, крепилась на болтах к лобовому листу.</w:t>
      </w:r>
    </w:p>
    <w:p w14:paraId="7C7F6086" w14:textId="77777777" w:rsidR="002A09DF" w:rsidRPr="00C94B78" w:rsidRDefault="002A09D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Отдельно стоит упомянуть вооружение, которое предлагалось устанавливать в переделанном M4A2. Приоритетом являлась установка 85-мм системы Д-5С-85, именно она нарисована на схеме (сама рубка нарисована очень схематично, явно была бы другой). Но при этом Часовников и Казарин сразу оговаривали возможность установки 100-мм системы. Они были прекрасно осведомлены, что ЦАКБ занималось 100-мм орудием С-34, которое изначально создавалось для установки в СУ-100. С точки зрения компоновки данная система, к слову, подходила больше, поскольку наводчик располагался справа, не мешая механику-водителю. Вероятнее всего, если бы идею поддержали, на свет появилась САУ, которая могла получить индекс СУ-100И.</w:t>
      </w:r>
    </w:p>
    <w:p w14:paraId="3DA6F9E7" w14:textId="19EE2AF6" w:rsidR="002A09DF" w:rsidRPr="00C94B78" w:rsidRDefault="002A09D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 совещании, которое прошло 15 февраля 1944 года, идею Часовникова и Казарина не поддержали. Против высказался и С.Г. Перерушев, один из разработчиков СГ-122, а также СУ-76И. Предложение убрали в дальний угол отдела изобретений ГБТУ КА, куда скидывали не только всякие свинтопроульные аппараты. Вместе с тем, не стоит считать инициативу Часовникова и Казарина пустой тратой времени (254473).</w:t>
      </w:r>
    </w:p>
    <w:p w14:paraId="49CDEB42" w14:textId="77777777" w:rsidR="002A09DF" w:rsidRPr="00C94B78" w:rsidRDefault="002A09DF" w:rsidP="00B56F90">
      <w:pPr>
        <w:spacing w:after="0" w:line="240" w:lineRule="auto"/>
        <w:jc w:val="both"/>
        <w:rPr>
          <w:rFonts w:ascii="Times New Roman" w:hAnsi="Times New Roman"/>
          <w:color w:val="0070C0"/>
          <w:sz w:val="16"/>
          <w:szCs w:val="16"/>
        </w:rPr>
      </w:pPr>
    </w:p>
    <w:p w14:paraId="4E5577EF" w14:textId="77777777" w:rsidR="009503FE" w:rsidRPr="00070ADE" w:rsidRDefault="009503F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вступил в строй Алтайский тракторный завод им. М.И. Калинина. На нем начался выпуск тракторов СТЗ-НАТИ под маркой АТЗ-НАТИ (22518).</w:t>
      </w:r>
    </w:p>
    <w:p w14:paraId="3FE6EBF6" w14:textId="77777777" w:rsidR="009503FE" w:rsidRPr="00070ADE" w:rsidRDefault="009503FE" w:rsidP="00B56F90">
      <w:pPr>
        <w:spacing w:after="0" w:line="240" w:lineRule="auto"/>
        <w:jc w:val="both"/>
        <w:rPr>
          <w:rFonts w:ascii="Times New Roman" w:hAnsi="Times New Roman"/>
          <w:color w:val="000000" w:themeColor="text1"/>
          <w:sz w:val="16"/>
          <w:szCs w:val="16"/>
        </w:rPr>
      </w:pPr>
    </w:p>
    <w:p w14:paraId="688EF799" w14:textId="77777777" w:rsidR="00792F77" w:rsidRPr="00070ADE" w:rsidRDefault="00792F77" w:rsidP="00B56F90">
      <w:pPr>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hAnsi="Times New Roman"/>
          <w:color w:val="000000" w:themeColor="text1"/>
          <w:sz w:val="16"/>
          <w:szCs w:val="16"/>
        </w:rPr>
        <w:t xml:space="preserve">За январь 1944 года завод №40 сдал положенные 75 машин, а завод №38 и ГАЗ снова перевыполнили план, сдав 141 и 316 машин соответственно. </w:t>
      </w:r>
    </w:p>
    <w:p w14:paraId="4FBD851E" w14:textId="77777777" w:rsidR="00792F77" w:rsidRPr="00070ADE" w:rsidRDefault="00792F7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Несмотря на недопоставки двигателей, темпы выпуска СУ-76М выглядели неплохо. В феврале в Мытищах, Горьком и Кирове сдали 85, 141 и 341 СУ-76, в марте — 87, 176 и 365 штук. Перевыполнение планов требовало от заводов невероятных усилий. В начале 1944 года появились перебои с поставками орудий, которые теперь вместо завода №92 поступали с завода №235. Масса нареканий имелась к радиостанциям 12-РТ. Имелись проблемы с трещинами в корпусах САУ (17728).</w:t>
      </w:r>
    </w:p>
    <w:p w14:paraId="34A8B640" w14:textId="77777777" w:rsidR="00792F77" w:rsidRPr="00070ADE" w:rsidRDefault="00792F77" w:rsidP="00B56F90">
      <w:pPr>
        <w:spacing w:after="0" w:line="240" w:lineRule="auto"/>
        <w:jc w:val="both"/>
        <w:rPr>
          <w:rFonts w:ascii="Times New Roman" w:eastAsia="Times New Roman" w:hAnsi="Times New Roman"/>
          <w:color w:val="000000" w:themeColor="text1"/>
          <w:sz w:val="16"/>
          <w:szCs w:val="16"/>
          <w:lang w:eastAsia="ru-RU"/>
        </w:rPr>
      </w:pPr>
    </w:p>
    <w:p w14:paraId="476493BC" w14:textId="77777777" w:rsidR="00792F77" w:rsidRPr="00070ADE" w:rsidRDefault="00792F7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январе 1944 года проблемы с качеством КПП оказались настолько серьёзными, что их выпуск в Миассе фактически остановился. Для решения этой проблемы на заводе срочно была организована военная приёмка. Тем не менее проблемы с коробками передач ещё долго преследовали самоходные установки. По состоянию на 8 февраля 1944 года на ГАЗ имелось 97 СУ-76М, которые не могли отправить в войска из-за проблем с КПП (17728).</w:t>
      </w:r>
    </w:p>
    <w:p w14:paraId="78846F02" w14:textId="77777777" w:rsidR="00792F77" w:rsidRPr="00070ADE" w:rsidRDefault="00792F77" w:rsidP="00B56F90">
      <w:pPr>
        <w:spacing w:after="0" w:line="240" w:lineRule="auto"/>
        <w:jc w:val="both"/>
        <w:rPr>
          <w:rFonts w:ascii="Times New Roman" w:eastAsia="Times New Roman" w:hAnsi="Times New Roman"/>
          <w:color w:val="000000" w:themeColor="text1"/>
          <w:sz w:val="16"/>
          <w:szCs w:val="16"/>
          <w:lang w:eastAsia="ru-RU"/>
        </w:rPr>
      </w:pPr>
    </w:p>
    <w:p w14:paraId="0BA386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руководителем МФ ЦНИИ-48 назначается Засецкий Георгий Федорович. МФ ЦНИИ-48 переезжает в пустующее здание Химико-фармацевтического института (Зубовская пл.,д.7) (9835).</w:t>
      </w:r>
    </w:p>
    <w:p w14:paraId="1B5E6B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566A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года собрали первую машину БА-64 с двигателем С.С.Неждановского, получившую обозначение БА-64З (буква "З" - зимний). На машине отсутствовал тормоз, раздаточная коробка, передний привод, карданные валы, амортизаторы, запасное колесо. Размеры новой машины увеличились: длина - до 4560 мм, ширина - до 2280 мм, высота - до 2020 мм. Полная масса возросла до 2980 кг (3862).</w:t>
      </w:r>
    </w:p>
    <w:p w14:paraId="5E35EF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2D8B4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года выпустили модернизированный ГАЗ-67Б, проходивший испытания по июнь. На нем были изменены подшипники переднего моста (старые ограничивали ресурс), усилены передняя подвеска, диски колес, в конце года введен новый распределитель зажигания Р-15 (9638).</w:t>
      </w:r>
    </w:p>
    <w:p w14:paraId="2C44BBE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3E9144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январе 1944 года были представлены разведданне, согласно которым Эрнест Лоуренс на электромагнитной разделительной установке в США получил несколько граммов U-235. При этом ожидалось, что к марту 1945 года производство U-235 составит приблизительно 450 граммов в сутки. Этот метод был ранее неизвестен в </w:t>
      </w:r>
      <w:r w:rsidRPr="00070ADE">
        <w:rPr>
          <w:rFonts w:ascii="Times New Roman" w:hAnsi="Times New Roman"/>
          <w:color w:val="000000" w:themeColor="text1"/>
          <w:sz w:val="16"/>
          <w:szCs w:val="16"/>
        </w:rPr>
        <w:lastRenderedPageBreak/>
        <w:t>СССР и сильно заинтересовал И.В. Курчатова, который поручил провести исследования по этому вопросу М.Г. Мещерякову. При этом в материалах отмечалось, что основное внимание в США уделяется газодиффузионному методу, и началось строительство большого завода производительностью до 1 кг U-235 в сутки в городе Ноксвилл (10549).</w:t>
      </w:r>
    </w:p>
    <w:p w14:paraId="7FBB208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0C4F84D" w14:textId="77777777" w:rsidR="005A0ECA" w:rsidRPr="00070ADE" w:rsidRDefault="005A0E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проверка жилых бараков завода № 50 показала, что из 40 жителей барака № 6 по ул. Азина (в основном здесь жили татары, башкиры и узбеки, русских - 12 человек) 70 % были дистрофиками. 15 человек, живущих в бараке, не работали от 1 до 4 месяцев: «валяются опухшими без помощи». 4 человека умерли от истощения. Все эти люди, как невыполняющие производственные нормы, получали плохое питание. Подобная ситуация наблюдалась в бараке № 4 (адрес был указан как «добавочный по Уралтяжстрою № 9»), где жило 30 человек. Из них 24 человека были больными. Многие из жителей не ели по нескольку дней. В этой ситуации комиссия, обследовавшая состояние бараков, указала, что 13 января в бараке был зам. директора по быту завода № 50 Бобылев и обещал доставить еду. Но к вечеру следующего дня помощь так и не последовала, 4 человека находились уже в очень тяжелом состоянии[956] (23536).</w:t>
      </w:r>
    </w:p>
    <w:p w14:paraId="1F764E68" w14:textId="77777777" w:rsidR="005A0ECA" w:rsidRPr="00070ADE" w:rsidRDefault="005A0ECA" w:rsidP="00B56F90">
      <w:pPr>
        <w:spacing w:after="0" w:line="240" w:lineRule="auto"/>
        <w:jc w:val="both"/>
        <w:rPr>
          <w:rFonts w:ascii="Times New Roman" w:hAnsi="Times New Roman"/>
          <w:color w:val="000000" w:themeColor="text1"/>
          <w:sz w:val="16"/>
          <w:szCs w:val="16"/>
        </w:rPr>
      </w:pPr>
    </w:p>
    <w:p w14:paraId="48DC0B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новый тральщик пр. 253Л был включен в состав Балтийского флота. Корабль в целом удовлетворял требованиям моряков и соот</w:t>
      </w:r>
      <w:r w:rsidRPr="00070ADE">
        <w:rPr>
          <w:rFonts w:ascii="Times New Roman" w:hAnsi="Times New Roman"/>
          <w:color w:val="000000" w:themeColor="text1"/>
          <w:sz w:val="16"/>
          <w:szCs w:val="16"/>
        </w:rPr>
        <w:softHyphen/>
        <w:t>ветствовал проекту, хотя оказался несколько перегруженным. Ко</w:t>
      </w:r>
      <w:r w:rsidRPr="00070ADE">
        <w:rPr>
          <w:rFonts w:ascii="Times New Roman" w:hAnsi="Times New Roman"/>
          <w:color w:val="000000" w:themeColor="text1"/>
          <w:sz w:val="16"/>
          <w:szCs w:val="16"/>
        </w:rPr>
        <w:softHyphen/>
        <w:t>миссия признала необходимым установить камбузную плиту, электрическую тральную лебедку, удлинить на 30 см дымовую тру</w:t>
      </w:r>
      <w:r w:rsidRPr="00070ADE">
        <w:rPr>
          <w:rFonts w:ascii="Times New Roman" w:hAnsi="Times New Roman"/>
          <w:color w:val="000000" w:themeColor="text1"/>
          <w:sz w:val="16"/>
          <w:szCs w:val="16"/>
        </w:rPr>
        <w:softHyphen/>
        <w:t>бу и увеличить ее наклон (3898).</w:t>
      </w:r>
    </w:p>
    <w:p w14:paraId="3CB4DE2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BAFF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на ос</w:t>
      </w:r>
      <w:r w:rsidRPr="00070ADE">
        <w:rPr>
          <w:rFonts w:ascii="Times New Roman" w:hAnsi="Times New Roman"/>
          <w:color w:val="000000" w:themeColor="text1"/>
          <w:sz w:val="16"/>
          <w:szCs w:val="16"/>
        </w:rPr>
        <w:softHyphen/>
        <w:t>нове изучения пяти различных вариантов, предложенных ЦКБ-18, нарком ВМФ утвердил Тактико-техническое задание на большую подводную лодку (пр. 611). Дальнейшее проектирование показало необходимость увеличения водоизмещения, но сам пр. 611 не вышел из начальной стадии до окончания войны, когда задание было откорректировано с учетом опыта германского подводного кораблестроения. Впоследствии оно бьыо реализовано в проекте под тем же номером, но уже с другими элементами (3898).</w:t>
      </w:r>
    </w:p>
    <w:p w14:paraId="7DF4CE9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A74723" w14:textId="77777777" w:rsidR="00345338" w:rsidRPr="00070ADE" w:rsidRDefault="0034533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ВМФ на основе разработок ЦКБ-18 было выдано ТТЗ на ПЛ с номером пр.611. Предполагалось создание ПЛ надводным водоизмещением 1100т, с глубиной погружения 150м, скоростями хода 22,0/9,0-10,0уз, дальностями плавания 15000/200миль, вооруженной 6ТА (4 носовыми и 2 кормовыми) с боезапасом 24 торпеды или 48мин, и 3-мя АУ (1-100мм и 2х2-25мм). Однако проектирование этой ПЛ не вышло из начальной стадии и после войны было существенно переработано на основе опыта немецких ПЛ XXIсерии. Большая океанская торпедная подводная лодка пр.611 создавалась для замены ПЛ XIVсерии, которые в рамках программы кораблестроения 1946-1955гг. уже не совсем удовлетворяла требованиям к кораблям этого класса. Программой предусматривалась постройка 40 больших ПЛ, 17 из которых предполагалось сдать флоту в 1947-1950гг. (19843)</w:t>
      </w:r>
    </w:p>
    <w:p w14:paraId="3360DC10" w14:textId="77777777" w:rsidR="00345338" w:rsidRPr="00070ADE" w:rsidRDefault="00345338" w:rsidP="00B56F90">
      <w:pPr>
        <w:spacing w:after="0" w:line="240" w:lineRule="auto"/>
        <w:jc w:val="both"/>
        <w:rPr>
          <w:rFonts w:ascii="Times New Roman" w:hAnsi="Times New Roman"/>
          <w:color w:val="000000" w:themeColor="text1"/>
          <w:sz w:val="16"/>
          <w:szCs w:val="16"/>
        </w:rPr>
      </w:pPr>
    </w:p>
    <w:p w14:paraId="25E71D3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E57B0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13491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в ходе Ленинградской операции по ликвидации блокады фотографирование обороны противника проводилось в подготовительный период с сентября 1943 года по январь 1944 года, передние линии обороны фотографировались в масштабы 80-90 м в 1 см, тыловые рубежи в - в масштабе 100-120 м в 1 см, широко применено ночное фотографирование для разведки железнодорожных станций, населенных пунктов и т.п., репродукциями с фотосхем обороны противника обеспечены пехотные части до батальона, бронетанковые - до роты, весь рубеж обороны на Карельском перешейке сфотографирован перспективно длиннофокусным аэрофотоаппаратом с фронта и тыла (8983).</w:t>
      </w:r>
    </w:p>
    <w:p w14:paraId="7FE816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BCC4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650-й бап сдал несколько уцелевших машин Су-2, и через два месяца завершил перевооружение на Пе-2. Символично, что полк вошел в состав 188-й бад полковника А.И. Пушкина, внесшего значительный вклад в освоение и успешное применение самолетов Сухого.</w:t>
      </w:r>
    </w:p>
    <w:p w14:paraId="35DA719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Возглавляемый майором А.С. Куценко 650-й бап, стал последним полком, который сражался на самолетах Сухого. (Кроме того, на Су-2 действовали, по крайней мере, 12 разведывательных и корректировочных эскадрилий и 18 звеньев; отдельные машины использовались в 90-й и 91-й раэ, 8-м орап, 232-м иап, 205-й иад, штабом 6-й ВА, другими подразделениями и частями.) За эффективные и самоотверженные вылеты в ходе боев на Кубани, часть в августе 1943 г. была награждена орденом Красного Знамени, после чего две эскадрильи из трех перевооружили на Су-2. В сражении над "Голубой линией" в сентябре - октябре особенно отличились экипажи Н.Н. Ма- леги и Г.П. Лепаева, с успехом применявшие потрепанные, но грозные машины ночью. С аэродрома Славянская полк поддерживал наших моряков в ходе Керчинско- Эльгигенской десантной операции, нанеся заметный урон транспортным перевозкам противника в Крыму.</w:t>
      </w:r>
    </w:p>
    <w:p w14:paraId="184567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Скажем несколько слов о других героях, воевавших на Су-2. Навсегда запомнил М.П. Одинцов, впоследствии генерал-полковник авиации, восьмой боевой вылет. После атаки гитлеровской переправы 3 июля 1941 г. вражеские истребители "не оставили на самолете ни одного живого места", получили серьезные ранения летчик и штурман. Самолет кое-как держался в воздухе, но Одинцов смог благополучно посадить его на своем аэродроме. Михаил Петрович рассказывал, что понадобилось 11 бинтов, чтобы его перевязать. После двукратного налета эскадрилий 210-го бап, возглавляемых лейтенантом И.Л. Карабутом, на передний край противника 29 сентября, командир оборонявшейся здесь 96-й стрелковой дивизии оценил действия летчиков словами: "Выше всяких похвал" (12028).</w:t>
      </w:r>
    </w:p>
    <w:p w14:paraId="39A0A70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335090A" w14:textId="77777777" w:rsidR="003C231F" w:rsidRPr="00070ADE" w:rsidRDefault="003C231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года было решено сформировать третий авиаполк, вооруженный бомбардировщиками Пе-8. Он также вошел в состав 45-й авиационной дивизии дальнего действия и получил номер 562. Тогда же из состава 25-го гв. АПДД и 890-го АПДД были выведены и переданы в 562-й АПДД четыре Пе-8 с заводскими номерами 4221,42099,42510 и 42610, для обучения личного состава нового палка. Однако позже, весной 1944 года, в связи с прекращением производства Пе-8, вооружение полка бомбардировщиками Пе-8 отменили, а пере</w:t>
      </w:r>
      <w:r w:rsidRPr="00070ADE">
        <w:rPr>
          <w:rFonts w:ascii="Times New Roman" w:hAnsi="Times New Roman"/>
          <w:color w:val="000000" w:themeColor="text1"/>
          <w:sz w:val="16"/>
          <w:szCs w:val="16"/>
        </w:rPr>
        <w:softHyphen/>
        <w:t>данные бомбардировщики вернули прежним владельцам. Полк решили вооружить бомбардировщиками 8-25. На переданных четырех Пе-8 полк боевых вылетов не совершал (19559).</w:t>
      </w:r>
    </w:p>
    <w:p w14:paraId="04A8BFBE" w14:textId="77777777" w:rsidR="003C231F" w:rsidRPr="00070ADE" w:rsidRDefault="003C231F" w:rsidP="00B56F90">
      <w:pPr>
        <w:spacing w:after="0" w:line="240" w:lineRule="auto"/>
        <w:jc w:val="both"/>
        <w:rPr>
          <w:rFonts w:ascii="Times New Roman" w:hAnsi="Times New Roman"/>
          <w:color w:val="000000" w:themeColor="text1"/>
          <w:sz w:val="16"/>
          <w:szCs w:val="16"/>
        </w:rPr>
      </w:pPr>
    </w:p>
    <w:p w14:paraId="58D0A03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первые АМД-500 были выставлены на Балтике (на Севере из-за больших глубин донные мины не применялись вовсе). АМД-1000 применялись только на Балтийском море начиная с июля 1944 г. В ходе производства новые мины получили приборы срочности и кратности, существенно улучшавшие их противотральные свойства. Ил-4 мог нести до трех АМД-500 или одну АМД-1000, "Бостон" - две мины независимо от калибра. Количество произведенных мин несколько разнится в документах и составляет для АМД-500 1080 штук, для АМД-1000 - 625 штук (по другим данным, до октября 1945 г. произвели 2066 мин обоих типов) (12002).</w:t>
      </w:r>
    </w:p>
    <w:p w14:paraId="569EF6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B5CF5F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первый комплект "Гнейс-2" появился на флоте. Торпедоносец А-20, пилотируемый самим командиром полка И.И. Борзовым. в ночь на 7.4.1944 в крейсерском полете в Рижский залив сумел обнаружить и потопить (по донесению) вражеский танкер в 12 000 т. Конвой противника был обнаружен сначала при помощи РЛС, а затем визуально на лунной дорожке, что и позволило осуществить атаку. 15 октября того же года тот же экипаж, по-видимому, на том же самолете продемонстрировал возможность успешного применения станции днем в сложных метеоусловиях (облачность 10 баллов, высота нижней кромки - 50-100 м, видимость от 100 до 500 м). Тем не менее, широкого распространения эти станции не получили - видимо, сказывались трудности с промышленным освоением, а также надежды, связанные с разработкой новой, более совершенной станции "Гнейс-5". К этому надо добавить, что даже те станции, которые имелись, в частях практически не использовались. Так, ни одна другая, кроме двух вышеописанных атак Борзова в 1944 г., не проводилась с использованием РЛС. Летчик 5-го гмтап ВВС ЧФ лейтенант В.И. Минаков перед ночным вылетом на "охоту" 8.6.1944 на Ил-4 распорядился снять с самолета антенну станции, чтобы она не создавала лишних проблем. Все это говорит о том, что, помимо конструирования и производства нового оружия и технических средств, командование должно еще распорядиться и о переподготовке летного состава. Кстати, и самому командованию необходимо ознакомиться с новой аппаратурой, чтобы представлять ее боевые возможности и особенности применения. Ведь если оно не будет ставить задачи летчикам с упором на использование возможностей новой техники, те так и будут воевать по старинке (12002).</w:t>
      </w:r>
    </w:p>
    <w:p w14:paraId="2855E65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27191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года снятие блокады Ленинграда стало последней крупной операцией, в которой использовались Т-60. Так, в числе 88 танков 1-й танковой бригады Ленинградского фронта находился 21 танк Т-60, в 220-й танковой бригаде их было 18, а в 124-м танковом полку Волховского фронта к началу операции 16 января 1944 года имелось в наличии лишь 10 боевых машин два Т-34, два Т-70, пять Т-60 и даже один Т-40 (3862).</w:t>
      </w:r>
    </w:p>
    <w:p w14:paraId="59E716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последующем сохранялось применение Т-60 как машин сопровождения войск на марше, охранения и связи, для разведки боем, борьбы с диверсантами, в качестве арттягачей для буксировки противотанковых пушек ЗИС-2 и дивизионных ЗИС-3, как командирских и учебных танков. В таком виде Т-60 использовались в действующей армии до конца Великой Отечественной войны, а как арттягачи - еще и в войне с Японией (3862).</w:t>
      </w:r>
    </w:p>
    <w:p w14:paraId="115C6E3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Танки Т-60, кроме Красной Армии, встречались только в Войске Польском (3 танка в 1945 году) (3862).</w:t>
      </w:r>
    </w:p>
    <w:p w14:paraId="21FC2BC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сожалению, немало машин Т-60 оказалось "в плену". Немцы чаще всего применяли их как быстроходные бронированные тягачи для противотанковой артиллерии, иногда даже без башен. Некоторое количество захваченных Т-60 они передали своему союзнику - Румынии. Там на их базе построили партию вполне удачных самоходных артиллерийских установок "Такам" с советской 76,2-мм пушкой Ф-22, размещенной в открытой рубке. Бронекорпус и ходовая часть нареканий не вызывали и были оставлены без изменений, за исключением увеличения жесткости подвески. Есть сведения о постройке румынами еще двух типов закрытых артиллерийских установок, в том числе со 105-мм гаубицей, на шасси танка Т-60 (3862).</w:t>
      </w:r>
    </w:p>
    <w:p w14:paraId="6227A92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По окончании войны уцелевшие Т-60 быстро списали. До наших дней сохранились всего один полноценный экземпляр в Музее бронетанковой техники в Кубинке (3862).</w:t>
      </w:r>
    </w:p>
    <w:p w14:paraId="269080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Т-60 оказался отличной базой для проведения различных экспериментальных работ и создания на его основе новых боевых модификаций. Для противовоздушной обороны танковых соединений, стационарных объектов, а также штабов требовалась бронированная зенитно-пулеметная установка, подвижность которой не уступала бы танкам (3862).</w:t>
      </w:r>
    </w:p>
    <w:p w14:paraId="10A35C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31ECE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на Балтике впервые были использованы отечественные АМД-500, в июле - английские А-5, в сентябре - наши АМД-1000 (одновременно прекратилось использование А-4 - с июля и АМГ-1 -с сентября). Все три типа были донными неконтактными, сбрасываемыми с высот не менее 300 м (для АМД-1000 не менее 600 м) на парашютах. Английская имела общий вес 455 кг и вес ВВ 280 - 290 кг, наши 500/300 и 1000/700 кг соответственно. Несмотря на разницу в размерах и массе взрывчатки, особенности конструкции магнитного взрывателя делали наши мины невосприимчивыми к магнитному полю корабля, проходящего над местами постановок с глубиной более 30 м. Для гораздо более скромной английской мины этот показатель уменьшался до 22 м. На наших минах прибор срочности мог устанавливаться на срок до 10 суток, прибор кратности - до 12 проходов. Новые английские мины прибора кратности не имели. Ил-4 мог поднимать одну АМД-1000 либо три АМД-500 или А-5 (9965).</w:t>
      </w:r>
    </w:p>
    <w:p w14:paraId="245977B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7516F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погодные условия еще более ухудшились. Несмотря на энергичные попытки, в течение месяца торпедоносцам удалось вылетать лишь четырежды. Как правило, все завершалось уже на этапе предварительной разведки погоды, которая в ту зиму изобиловала низкой облачностью и туманами (9965).</w:t>
      </w:r>
    </w:p>
    <w:p w14:paraId="2A3930A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F0B71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января 1944 года Локхид PV-1, базировавшиеся на Алеутах, начали бомбить северокурильские острова Шумшу и Парамушир. Основными целями являлись японские объекты в Катаоке (ныне Байково) и Касивабаре (Северо-Курильске), а также аэродромы. Эти передовые балы хорошо прикрывались зенитной артиллерией и истребительной авиацией. Немало самолетов получало повреждения, после которых не могли рассчитывать на возвращение домой. Тогда подбитые PV-1 (впрочем, как и самолеты других типов) разворачивались к Камчатке и садились на тамошних аэродромах или просто в тундре (3457,123).</w:t>
      </w:r>
    </w:p>
    <w:p w14:paraId="250BFD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18588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1944-го из прилетевшей из России эскадрильи образовали на базе Удетфельд в Германии специальный 26-й испытательный отряд по проверке новых видов вооружения, стреляя по трофейным советским танкам. Отряду пришлось испытать целую гамму разнообразного оружия: реактивные снаряды Wfr.Gr.21 и Wfr.Gr.28 калибра 210 мм и 280 мм соответственно, 70-мм ракету "Панцерб-литц 1" и 50-мм "Панцерблитц 2", авиационную мортиру SG 11 ЗА и даже 300-литровые баки с зажигательной смесью. Все это вооружение оказалось либо малоэффективным, либо недоведенным (3039,31).</w:t>
      </w:r>
    </w:p>
    <w:p w14:paraId="3908926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E43F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началось формирование легких самоходно-артиллерийских бригад РВГК по штату № 010/508 (1122 человека, 60 СУ-76, 5 танков Т-70 и 3 БТР МЗА1 «Скаут») (11417).</w:t>
      </w:r>
    </w:p>
    <w:p w14:paraId="075A391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4CD07E" w14:textId="77777777" w:rsidR="00792F77" w:rsidRPr="00070ADE" w:rsidRDefault="00792F77"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В январе 1944 года было последнее упоминание о «Тетрархах» в Красной армии. В сводке бронетанкового ремонтного завода №66 (г. Тбилиси) указывались 3 танка МК-7. За 1943 год на завод было привезено 6 таких машин, но к январю 3 из них уже списали. Та же участь ожидала и оставшиеся танки, поскольку запчастей для их ремонта так и не нашлось (17648).</w:t>
      </w:r>
    </w:p>
    <w:p w14:paraId="3CE740E6" w14:textId="77777777" w:rsidR="00792F77" w:rsidRPr="00070ADE" w:rsidRDefault="00792F77" w:rsidP="00B56F90">
      <w:pPr>
        <w:spacing w:after="0" w:line="240" w:lineRule="auto"/>
        <w:jc w:val="both"/>
        <w:rPr>
          <w:rStyle w:val="77"/>
          <w:rFonts w:eastAsiaTheme="minorHAnsi"/>
          <w:color w:val="000000" w:themeColor="text1"/>
          <w:sz w:val="16"/>
          <w:szCs w:val="16"/>
        </w:rPr>
      </w:pPr>
    </w:p>
    <w:p w14:paraId="0EB18A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года были расформированы ЦШПД, Центральная школа подготовки партизанских кадров и Центральная радиошкола (8983).</w:t>
      </w:r>
    </w:p>
    <w:p w14:paraId="4C0FAD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8A90A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года была переброшена югославская группа (8983).</w:t>
      </w:r>
    </w:p>
    <w:p w14:paraId="2EDCE7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9AE1BB" w14:textId="77777777" w:rsidR="003C231F" w:rsidRPr="00070ADE" w:rsidRDefault="003C231F"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2FD2A47E" w14:textId="77777777" w:rsidR="003C231F" w:rsidRPr="00070ADE" w:rsidRDefault="003C231F"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FD3C6E" w14:textId="77777777" w:rsidR="003C231F" w:rsidRPr="00070ADE" w:rsidRDefault="003C231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Январь 1944. В Москве открылись коммерческие рестораны "Астория", "Аврора" и другие (18692).</w:t>
      </w:r>
    </w:p>
    <w:p w14:paraId="14042CD1" w14:textId="77777777" w:rsidR="003C231F" w:rsidRPr="00070ADE" w:rsidRDefault="003C231F" w:rsidP="00B56F90">
      <w:pPr>
        <w:spacing w:after="0" w:line="240" w:lineRule="auto"/>
        <w:jc w:val="both"/>
        <w:rPr>
          <w:rFonts w:ascii="Times New Roman" w:hAnsi="Times New Roman"/>
          <w:color w:val="000000" w:themeColor="text1"/>
          <w:sz w:val="16"/>
          <w:szCs w:val="16"/>
        </w:rPr>
      </w:pPr>
    </w:p>
    <w:p w14:paraId="7F38142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25693DC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129DDB" w14:textId="77777777" w:rsidR="00A22EFE" w:rsidRPr="00070ADE" w:rsidRDefault="00A22EF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компания Douglas Aircraft Company представляет ВВС США предложение на исследовательский самолет с двигателем, способным достичь 1 Мах (20373).</w:t>
      </w:r>
    </w:p>
    <w:p w14:paraId="4B3EA8DC" w14:textId="77777777" w:rsidR="00A22EFE" w:rsidRPr="00070ADE" w:rsidRDefault="00A22EFE" w:rsidP="00B56F90">
      <w:pPr>
        <w:spacing w:after="0" w:line="240" w:lineRule="auto"/>
        <w:jc w:val="both"/>
        <w:rPr>
          <w:rFonts w:ascii="Times New Roman" w:hAnsi="Times New Roman"/>
          <w:color w:val="000000" w:themeColor="text1"/>
          <w:sz w:val="16"/>
          <w:szCs w:val="16"/>
        </w:rPr>
      </w:pPr>
    </w:p>
    <w:p w14:paraId="4FCD1C87" w14:textId="77777777" w:rsidR="005A0ECA" w:rsidRPr="00070ADE" w:rsidRDefault="005A0E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рейхсминистерство авиации заказало шесть прототипов Hs 129С-1, вооруженных 75-мм орудиями. Но уже в марте развитие этой модификации по указанию того же рейхсминистерства было остановлено, и Hs 129С-1 исключи</w:t>
      </w:r>
      <w:r w:rsidRPr="00070ADE">
        <w:rPr>
          <w:rFonts w:ascii="Times New Roman" w:hAnsi="Times New Roman"/>
          <w:color w:val="000000" w:themeColor="text1"/>
          <w:sz w:val="16"/>
          <w:szCs w:val="16"/>
        </w:rPr>
        <w:softHyphen/>
        <w:t>ли из государственного плана поставок вооружений. Фирме «Хеншель» предписа</w:t>
      </w:r>
      <w:r w:rsidRPr="00070ADE">
        <w:rPr>
          <w:rFonts w:ascii="Times New Roman" w:hAnsi="Times New Roman"/>
          <w:color w:val="000000" w:themeColor="text1"/>
          <w:sz w:val="16"/>
          <w:szCs w:val="16"/>
        </w:rPr>
        <w:softHyphen/>
        <w:t>ли сборку прототипов Hs 129С-1 (за ис</w:t>
      </w:r>
      <w:r w:rsidRPr="00070ADE">
        <w:rPr>
          <w:rFonts w:ascii="Times New Roman" w:hAnsi="Times New Roman"/>
          <w:color w:val="000000" w:themeColor="text1"/>
          <w:sz w:val="16"/>
          <w:szCs w:val="16"/>
        </w:rPr>
        <w:softHyphen/>
        <w:t>ключением первого прототипа Hs 129V4) прекратить, а все детали, узлы и агрега</w:t>
      </w:r>
      <w:r w:rsidRPr="00070ADE">
        <w:rPr>
          <w:rFonts w:ascii="Times New Roman" w:hAnsi="Times New Roman"/>
          <w:color w:val="000000" w:themeColor="text1"/>
          <w:sz w:val="16"/>
          <w:szCs w:val="16"/>
        </w:rPr>
        <w:softHyphen/>
        <w:t>ты, которые нельзя использовать при про</w:t>
      </w:r>
      <w:r w:rsidRPr="00070ADE">
        <w:rPr>
          <w:rFonts w:ascii="Times New Roman" w:hAnsi="Times New Roman"/>
          <w:color w:val="000000" w:themeColor="text1"/>
          <w:sz w:val="16"/>
          <w:szCs w:val="16"/>
        </w:rPr>
        <w:softHyphen/>
        <w:t>изводстве самолетов Hs 129В-3, сдать в металлолом. Но работы по достройке Hs 129V4 продолжались, и он даже успел совершить несколько полетов до того мо</w:t>
      </w:r>
      <w:r w:rsidRPr="00070ADE">
        <w:rPr>
          <w:rFonts w:ascii="Times New Roman" w:hAnsi="Times New Roman"/>
          <w:color w:val="000000" w:themeColor="text1"/>
          <w:sz w:val="16"/>
          <w:szCs w:val="16"/>
        </w:rPr>
        <w:softHyphen/>
        <w:t>мента, как 13 июля 1944 г. рейхсминис</w:t>
      </w:r>
      <w:r w:rsidRPr="00070ADE">
        <w:rPr>
          <w:rFonts w:ascii="Times New Roman" w:hAnsi="Times New Roman"/>
          <w:color w:val="000000" w:themeColor="text1"/>
          <w:sz w:val="16"/>
          <w:szCs w:val="16"/>
        </w:rPr>
        <w:softHyphen/>
        <w:t>терство категорически потребовало оста</w:t>
      </w:r>
      <w:r w:rsidRPr="00070ADE">
        <w:rPr>
          <w:rFonts w:ascii="Times New Roman" w:hAnsi="Times New Roman"/>
          <w:color w:val="000000" w:themeColor="text1"/>
          <w:sz w:val="16"/>
          <w:szCs w:val="16"/>
        </w:rPr>
        <w:softHyphen/>
        <w:t>новить испытания из-за надвигавшегося топливно-энергетического кризиса в Гер</w:t>
      </w:r>
      <w:r w:rsidRPr="00070ADE">
        <w:rPr>
          <w:rFonts w:ascii="Times New Roman" w:hAnsi="Times New Roman"/>
          <w:color w:val="000000" w:themeColor="text1"/>
          <w:sz w:val="16"/>
          <w:szCs w:val="16"/>
        </w:rPr>
        <w:softHyphen/>
        <w:t>мании. Вообще, руководство рейхсминис</w:t>
      </w:r>
      <w:r w:rsidRPr="00070ADE">
        <w:rPr>
          <w:rFonts w:ascii="Times New Roman" w:hAnsi="Times New Roman"/>
          <w:color w:val="000000" w:themeColor="text1"/>
          <w:sz w:val="16"/>
          <w:szCs w:val="16"/>
        </w:rPr>
        <w:softHyphen/>
        <w:t>терства считало Hs 129 чрезмерно «про</w:t>
      </w:r>
      <w:r w:rsidRPr="00070ADE">
        <w:rPr>
          <w:rFonts w:ascii="Times New Roman" w:hAnsi="Times New Roman"/>
          <w:color w:val="000000" w:themeColor="text1"/>
          <w:sz w:val="16"/>
          <w:szCs w:val="16"/>
        </w:rPr>
        <w:softHyphen/>
        <w:t>жорливым», планируя вывести эти само</w:t>
      </w:r>
      <w:r w:rsidRPr="00070ADE">
        <w:rPr>
          <w:rFonts w:ascii="Times New Roman" w:hAnsi="Times New Roman"/>
          <w:color w:val="000000" w:themeColor="text1"/>
          <w:sz w:val="16"/>
          <w:szCs w:val="16"/>
        </w:rPr>
        <w:softHyphen/>
        <w:t>леты из эксплуатации к апрелю 1945 г. Так и случилось - но по обстоятельствам, совершенно независящим от воли рейхсминистерства (24189).</w:t>
      </w:r>
    </w:p>
    <w:p w14:paraId="0ACC3F03" w14:textId="77777777" w:rsidR="005A0ECA" w:rsidRPr="00070ADE" w:rsidRDefault="005A0ECA" w:rsidP="00B56F90">
      <w:pPr>
        <w:spacing w:after="0" w:line="240" w:lineRule="auto"/>
        <w:jc w:val="both"/>
        <w:rPr>
          <w:rFonts w:ascii="Times New Roman" w:hAnsi="Times New Roman"/>
          <w:color w:val="000000" w:themeColor="text1"/>
          <w:sz w:val="16"/>
          <w:szCs w:val="16"/>
        </w:rPr>
      </w:pPr>
    </w:p>
    <w:p w14:paraId="589A1301" w14:textId="7F98D5F1" w:rsidR="005A0ECA" w:rsidRPr="00070ADE" w:rsidRDefault="005A0E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 впервые были обнаружены т.н. «высотные взрывы» А-4, которые одной из главных проблем. По неизвестной причине часть ракет взрывалась либо сразу после старта (начиная с</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высоты 4800 м), либо при снижении в районе цели (на высоте примерно 1500 м). В марте удалось выяснить причину таких аварий. Оказалось, что сильная вибрация корпуса ракеты ослабляла резьбовые соединения топливных магистралей, что нарушало их герметичность во время работы двигателя. Спирт испарялся и смешивался с парогазом (кислород плюс водяной пар). Когда «облако» этой смеси внутри ракеты достигало раскаленной оболочки сопла двигателя, происходил взрыв. Но после устранения этого недостатка до 70 % запущенных А4 взрывались в конце траектории, не долетая до земли. Только в июне поняли, что взрывы присходили из-за слишком высокой чувствительности электрического взрывателя ударного действия. Когда ракета падала на цель, вся её конструкция начинала вибрировать под воздействием аэродинамических перегрузок, и</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прибор срабатывал (23372).</w:t>
      </w:r>
    </w:p>
    <w:p w14:paraId="29D8010E" w14:textId="77777777" w:rsidR="005A0ECA" w:rsidRPr="00070ADE" w:rsidRDefault="005A0ECA" w:rsidP="00B56F90">
      <w:pPr>
        <w:spacing w:after="0" w:line="240" w:lineRule="auto"/>
        <w:jc w:val="both"/>
        <w:rPr>
          <w:rFonts w:ascii="Times New Roman" w:hAnsi="Times New Roman"/>
          <w:color w:val="000000" w:themeColor="text1"/>
          <w:sz w:val="16"/>
          <w:szCs w:val="16"/>
        </w:rPr>
      </w:pPr>
    </w:p>
    <w:p w14:paraId="0C715B06" w14:textId="77777777" w:rsidR="00A22EFE" w:rsidRPr="00070ADE" w:rsidRDefault="00A22EF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в попытке убедить немцев в том, что следующая высадка союзников будет в этом районе, а не в Анцио, истребители союзников атакуют цели в районе Чивитавеккья, Италия, а бомбардировщики союзников атакуют цели в северной Италии вплоть до итальянской границы с Францией (20373).</w:t>
      </w:r>
    </w:p>
    <w:p w14:paraId="73BDBAEF" w14:textId="77777777" w:rsidR="00A22EFE" w:rsidRPr="00070ADE" w:rsidRDefault="00A22EFE" w:rsidP="00B56F90">
      <w:pPr>
        <w:spacing w:after="0" w:line="240" w:lineRule="auto"/>
        <w:jc w:val="both"/>
        <w:rPr>
          <w:rFonts w:ascii="Times New Roman" w:hAnsi="Times New Roman"/>
          <w:color w:val="000000" w:themeColor="text1"/>
          <w:sz w:val="16"/>
          <w:szCs w:val="16"/>
        </w:rPr>
      </w:pPr>
    </w:p>
    <w:p w14:paraId="51731A69" w14:textId="77777777" w:rsidR="000D2529" w:rsidRPr="00070ADE" w:rsidRDefault="000D252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января 1944 г. по 18 марта 1945 г. Нордаузен выпустил 5789 ракет (по другим данным - 5946). Кроме того, не менее 314 «Фау-2» собрали в Пенемюнде. Максимум производства на подземном заводе (690 ракет) был достигнут в январе 1945 г. Мощности предприятия и численность рабочих-заключенных вполне обеспечивала и выпуск намного большего числа «Фау-2», но изготовление бортовой аппаратуры постоянно срывалось из-за налетов авиации союзников на открыто расположенные заводы в нескольких городах Германии (19629).</w:t>
      </w:r>
    </w:p>
    <w:p w14:paraId="47C90D4E" w14:textId="77777777" w:rsidR="000D2529" w:rsidRPr="00070ADE" w:rsidRDefault="000D2529" w:rsidP="00B56F90">
      <w:pPr>
        <w:spacing w:after="0" w:line="240" w:lineRule="auto"/>
        <w:jc w:val="both"/>
        <w:rPr>
          <w:rFonts w:ascii="Times New Roman" w:hAnsi="Times New Roman"/>
          <w:color w:val="000000" w:themeColor="text1"/>
          <w:sz w:val="16"/>
          <w:szCs w:val="16"/>
        </w:rPr>
      </w:pPr>
    </w:p>
    <w:p w14:paraId="071037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вертолет Сикорского HNS-1 работал по сопровождению конвоев на британском корабле Daghestan (4082).</w:t>
      </w:r>
    </w:p>
    <w:p w14:paraId="141C3B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B95F96" w14:textId="77777777" w:rsidR="00A22EFE" w:rsidRPr="00070ADE" w:rsidRDefault="00A22EF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пилот Береговой охраны США - лейтенант, младший класс, Стюарт Грэм выполняет первый полет на вертолете с торгового судна в конвое в северной части Атлантического океана. Это часть программы развития с вертолетом в качестве противолодочной платформы (20373).</w:t>
      </w:r>
    </w:p>
    <w:p w14:paraId="4A94C233" w14:textId="77777777" w:rsidR="00A22EFE" w:rsidRPr="00070ADE" w:rsidRDefault="00A22EFE" w:rsidP="00B56F90">
      <w:pPr>
        <w:spacing w:after="0" w:line="240" w:lineRule="auto"/>
        <w:jc w:val="both"/>
        <w:rPr>
          <w:rFonts w:ascii="Times New Roman" w:hAnsi="Times New Roman"/>
          <w:color w:val="000000" w:themeColor="text1"/>
          <w:sz w:val="16"/>
          <w:szCs w:val="16"/>
        </w:rPr>
      </w:pPr>
    </w:p>
    <w:p w14:paraId="47EB0E05" w14:textId="77777777" w:rsidR="00A22EFE" w:rsidRPr="00070ADE" w:rsidRDefault="00A22EF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января 1944 американские самолеты наземного базирования сбросили около 200 тонн (181 438 кг) бомб каждая на атолл Мили, Малоэлап, Вотье и Рой-Намюр. Мили подвергается нападениям почти каждый день, и больше всего бомбят Малоэлап и Вотье (20373).</w:t>
      </w:r>
    </w:p>
    <w:p w14:paraId="1F85BA73" w14:textId="77777777" w:rsidR="00A22EFE" w:rsidRPr="00070ADE" w:rsidRDefault="00A22EFE" w:rsidP="00B56F90">
      <w:pPr>
        <w:spacing w:after="0" w:line="240" w:lineRule="auto"/>
        <w:jc w:val="both"/>
        <w:rPr>
          <w:rFonts w:ascii="Times New Roman" w:hAnsi="Times New Roman"/>
          <w:color w:val="000000" w:themeColor="text1"/>
          <w:sz w:val="16"/>
          <w:szCs w:val="16"/>
        </w:rPr>
      </w:pPr>
    </w:p>
    <w:p w14:paraId="1A3581E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1944 года в Японии группа Такеути подготовила к испытаниям опытный образец сепаратора для разделения изотопов урана методом газовой диффузии. По подсчетам Иосико Нисины, чтобы получить достаточное количество урана-235, только для одной бомбы потребовалась бы десятая часть всей электроэнергии, производимой в Японии. Нужно было построить тысячи подобных сепараторов, а главное, обеспечить их нужным количеством урана. Урана в Японии не было (11457).</w:t>
      </w:r>
    </w:p>
    <w:p w14:paraId="11C5F2A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1F9F7A8"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D9EDA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BD1607" w14:textId="77777777" w:rsidR="005A0ECA" w:rsidRPr="00070ADE" w:rsidRDefault="005A0E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январе-феврале 1944г. на самолете "103В" 2М-82ФН были проведены сравнительные испытания винтов: серийных АВ-5-167А Д=3,8 м, и опытных AB-5B-21 Д=З,6 м. Испытания показали, что установка опытных винтов АВ-5В-21, Д=3,6 м дает увеличение максимальных скоростей на 10 - 11 км/час на всех высотах и уменьшает время набора Н=5000м на 0,4мин, взлетные характеристики и полет на одном моторе остаются практически без изменений (23345).</w:t>
      </w:r>
    </w:p>
    <w:p w14:paraId="4702F6AA" w14:textId="77777777" w:rsidR="005A0ECA" w:rsidRPr="00070ADE" w:rsidRDefault="005A0ECA" w:rsidP="00B56F90">
      <w:pPr>
        <w:spacing w:after="0" w:line="240" w:lineRule="auto"/>
        <w:jc w:val="both"/>
        <w:rPr>
          <w:rFonts w:ascii="Times New Roman" w:hAnsi="Times New Roman"/>
          <w:color w:val="000000" w:themeColor="text1"/>
          <w:sz w:val="16"/>
          <w:szCs w:val="16"/>
        </w:rPr>
      </w:pPr>
    </w:p>
    <w:p w14:paraId="723D8E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января по март 1944 в НИИ ВВС П.Стефановский проводил гос. испытания серийного Пе-2 М-82 N 1/232 (2205,41).</w:t>
      </w:r>
    </w:p>
    <w:p w14:paraId="3E95258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6A0714" w14:textId="77777777" w:rsidR="00A22EFE" w:rsidRPr="00070ADE" w:rsidRDefault="00A22EF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Государственные испытания головного Пе-4 № 1/226 провел с января по март 1944 г. ведущий летчик П. М. Стефановский. Из-за неудовлетворительной работы карбюраторов и высотных корректоров двигатели на высоте более 3 000–4 000 м не давали полной мощности, и максимальная скорость самолета на второй границе высотности оказалась меньше, чем на первой, где она получилась 526 км/ч — не выше, чем с дешевыми и экономичными моторами М-105ПФ. Всего было построено 32 «Пешки» с М-82Ф, из которых принято военной приемкой 24. Поставки самолетов начались весной 1944 г. — по нескольку штук получили 48-й гвардейский ОДРАП Главного командования Красной Армии, 11-й ОРАП и 99-й гвардейский ОРАП ВВС, а также звено управления 4-й гвардейской БАД. Эксплуатация показала низкое качество изготовления маслорадиаторов, снятие курсового пулемета ШКАС и бортовых огневых установок также не получило одобрения экипажей. Производство Пе-2 2М-82 на заводе № 22 было прекращено Постановлением ГКО № 4552 от 12 ноября 1943 г. и приказом по НКАП № 685сс от 16 ноября формально в связи с запуском в серию многоцелевых Пе-3, а на деле потому, что не был получен ожидаемый прирост скорости. Что касается ненадежности моторов М-82 на Пе-2, то на многих других самолетах, к примеру, истребителях Ла-5 и Ла-7, бомбардировщиках Ту-2, Ил-4 и Пе-8, они работали нормально, следовательно, причину надо искать в дефектах всей силовой установки, спроектированной Л. Л. Селяковым для Пе-2, а не в моторах (22828).</w:t>
      </w:r>
    </w:p>
    <w:p w14:paraId="699E73FD" w14:textId="77777777" w:rsidR="00A22EFE" w:rsidRPr="00070ADE" w:rsidRDefault="00A22EFE" w:rsidP="00B56F90">
      <w:pPr>
        <w:spacing w:after="0" w:line="240" w:lineRule="auto"/>
        <w:jc w:val="both"/>
        <w:rPr>
          <w:rFonts w:ascii="Times New Roman" w:hAnsi="Times New Roman"/>
          <w:color w:val="000000" w:themeColor="text1"/>
          <w:sz w:val="16"/>
          <w:szCs w:val="16"/>
        </w:rPr>
      </w:pPr>
    </w:p>
    <w:p w14:paraId="00B2A8FA" w14:textId="77777777" w:rsidR="005A0ECA" w:rsidRPr="00070ADE" w:rsidRDefault="005A0E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января по март 1944 г. головной самолет № 1/226 из первых 5 серийных Пе-2 2М-82, построенных в августе 1943 как войсковая серия для эксплуатационных испытаний по ходу постройки стандартных самолетов с двигателями М-105 (экземпляры с М-82 были включены в некоторые из серий того периода), прошел ГИ в НИИ ВВС (ведущий летчик – П.М. Стефановский). Были выявлены дефекты, в частности, из-за неудовлетворительной работы карбюраторов и высотных корректоров двигатели на высоте более 3000-4000 м не давали полную мощность и максимальная скорость самолета на второй границе высотности оказалась меньше, чем на первой границе (526 км/час).</w:t>
      </w:r>
    </w:p>
    <w:p w14:paraId="61092B40" w14:textId="77777777" w:rsidR="005A0ECA" w:rsidRPr="00070ADE" w:rsidRDefault="005A0E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опытной серии постепенно внедрялись все те усовершенствования, которые к тому времени были на серийных Пе-2. Кроме того:</w:t>
      </w:r>
    </w:p>
    <w:p w14:paraId="37CD2B71" w14:textId="77777777" w:rsidR="005A0ECA" w:rsidRPr="00070ADE" w:rsidRDefault="005A0E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на части машин восстановили бомбоотсеки в гондолах шасси, сохранив их внешнюю форму и сделав новые мосты для крепления замковых держателей и створки и механизмы их открытия;</w:t>
      </w:r>
    </w:p>
    <w:p w14:paraId="55085049" w14:textId="77777777" w:rsidR="005A0ECA" w:rsidRPr="00070ADE" w:rsidRDefault="005A0E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расширили верхний люк стрелка-радиста, что было внедрено позже и на серийных Пе-2 2М-105;</w:t>
      </w:r>
    </w:p>
    <w:p w14:paraId="3AFCF03D" w14:textId="77777777" w:rsidR="005A0ECA" w:rsidRPr="00070ADE" w:rsidRDefault="005A0E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установили доработанную турель ВУБ-1 у штурмана;</w:t>
      </w:r>
    </w:p>
    <w:p w14:paraId="14992755" w14:textId="77777777" w:rsidR="005A0ECA" w:rsidRPr="00070ADE" w:rsidRDefault="005A0E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вместо свинцового груза поставили стальную бронеплиту по шп. 13;</w:t>
      </w:r>
    </w:p>
    <w:p w14:paraId="5286B32E" w14:textId="77777777" w:rsidR="005A0ECA" w:rsidRPr="00070ADE" w:rsidRDefault="005A0E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аккумулятор и кислородные баллоны сдвинули к хвосту.</w:t>
      </w:r>
    </w:p>
    <w:p w14:paraId="1494DA9C" w14:textId="77777777" w:rsidR="005A0ECA" w:rsidRPr="00070ADE" w:rsidRDefault="005A0E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построено 32 самолета Пе-2 2М-82Ф, из которых принято военной приемкой 24. Поставки самолетов в части по несколько штук начались весной 1944 г. через 8-ю ЗАБ. Они были направлены в 39-й ОРАП, 48-й Гвардейский ОРАП, 99-й Гвардейский ОРАП, звено управления 4-й Гвардейской БАД и др. части (23555).</w:t>
      </w:r>
    </w:p>
    <w:p w14:paraId="2D933F8E" w14:textId="77777777" w:rsidR="005A0ECA" w:rsidRPr="00070ADE" w:rsidRDefault="005A0ECA" w:rsidP="00B56F90">
      <w:pPr>
        <w:spacing w:after="0" w:line="240" w:lineRule="auto"/>
        <w:jc w:val="both"/>
        <w:rPr>
          <w:rFonts w:ascii="Times New Roman" w:hAnsi="Times New Roman"/>
          <w:color w:val="000000" w:themeColor="text1"/>
          <w:sz w:val="16"/>
          <w:szCs w:val="16"/>
        </w:rPr>
      </w:pPr>
    </w:p>
    <w:p w14:paraId="4DD910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Весь январь и часть февраля 1944 г. на заводе 39 в Иркутске продолжалась доводка двух первых серийных Ер-2 2М-30Б, и лишь во второй половине месяца появилась возможность передачи машины зав. N 7013901 специалистам НИИ ВВС для проведения государственных испытаний. Вначале испытания проходили в Иркутске, а в апреле самолет перегнали в Чкаловскую. И вот тогда началось... (3322,41).</w:t>
      </w:r>
    </w:p>
    <w:p w14:paraId="1B507A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7C579C" w14:textId="77777777" w:rsidR="00051986" w:rsidRPr="00070ADE" w:rsidRDefault="000519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январе-феврале 1944 г. на заводском аэродроме завода № 21 проводились испытания Ла-5ФН с тремя пушками УБ-20. Но это орудие, как и ШВАК, представляло собой «перестволеный» пулемет УБ-12,7 с тупоносым коротким снарядом, заимствованным у пушки Б.Г. Шпитального. Из-за недостаточной надежности пушки УБ-20, отличавшейся частыми поломками и задержками в стрельбе, перейти на «трехточечный» вариант вооружения для Ла-5ФН не решились. А военные настаивали. Так, командир 2-го иак генерал А.С Благовещенский заявил на конференции, в работе которой принимали представители самолетостроительных предприятий: «Не может такой хороший самолет иметь такой малый огонь» (18999).</w:t>
      </w:r>
    </w:p>
    <w:p w14:paraId="3239EA91" w14:textId="77777777" w:rsidR="00051986" w:rsidRPr="00070ADE" w:rsidRDefault="00051986" w:rsidP="00B56F90">
      <w:pPr>
        <w:spacing w:after="0" w:line="240" w:lineRule="auto"/>
        <w:jc w:val="both"/>
        <w:rPr>
          <w:rFonts w:ascii="Times New Roman" w:hAnsi="Times New Roman"/>
          <w:color w:val="000000" w:themeColor="text1"/>
          <w:sz w:val="16"/>
          <w:szCs w:val="16"/>
        </w:rPr>
      </w:pPr>
    </w:p>
    <w:p w14:paraId="6F455A06" w14:textId="77777777" w:rsidR="002A09DF" w:rsidRPr="00C94B78" w:rsidRDefault="002A09D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январе- марте 1944 г. состоялись госиспытания Як-9 с 45 мм пушкой. Малая серия (53 экз.) была собрана вернувшимся в Москву заводом №301 из «новоси</w:t>
      </w:r>
      <w:r w:rsidRPr="00C94B78">
        <w:rPr>
          <w:rFonts w:ascii="Times New Roman" w:hAnsi="Times New Roman"/>
          <w:color w:val="0070C0"/>
          <w:sz w:val="16"/>
          <w:szCs w:val="16"/>
        </w:rPr>
        <w:softHyphen/>
        <w:t>бирских» деталей. Стать крупносерийным самолёту Як-9К помешала невысокая надёжность пушки (24932).</w:t>
      </w:r>
    </w:p>
    <w:p w14:paraId="529B8F9E" w14:textId="77777777" w:rsidR="002A09DF" w:rsidRPr="00C94B78" w:rsidRDefault="002A09DF" w:rsidP="00B56F90">
      <w:pPr>
        <w:spacing w:after="0" w:line="240" w:lineRule="auto"/>
        <w:jc w:val="both"/>
        <w:rPr>
          <w:rFonts w:ascii="Times New Roman" w:hAnsi="Times New Roman"/>
          <w:color w:val="0070C0"/>
          <w:sz w:val="16"/>
          <w:szCs w:val="16"/>
        </w:rPr>
      </w:pPr>
    </w:p>
    <w:p w14:paraId="34E173F2" w14:textId="77777777" w:rsidR="002A09DF" w:rsidRPr="00C94B78" w:rsidRDefault="002A09D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январе-марте 1944 г. прототип Як-9У ВК-105ПФ2</w:t>
      </w:r>
      <w:r w:rsidRPr="00C94B78">
        <w:rPr>
          <w:rFonts w:ascii="Times New Roman" w:hAnsi="Times New Roman"/>
          <w:b/>
          <w:bCs/>
          <w:color w:val="0070C0"/>
          <w:sz w:val="16"/>
          <w:szCs w:val="16"/>
        </w:rPr>
        <w:t xml:space="preserve"> </w:t>
      </w:r>
      <w:r w:rsidRPr="00C94B78">
        <w:rPr>
          <w:rFonts w:ascii="Times New Roman" w:hAnsi="Times New Roman"/>
          <w:color w:val="0070C0"/>
          <w:sz w:val="16"/>
          <w:szCs w:val="16"/>
        </w:rPr>
        <w:t>с винтом ВИШ-105СВ-01 на госиспытаниях показал скорость 620 км/ч на высоте 3850 м. Он не уступал в вертикальных манёврах лучшему из «мессершмиттов» - Bf109G-10.</w:t>
      </w:r>
    </w:p>
    <w:p w14:paraId="4829D2B2" w14:textId="77777777" w:rsidR="002A09DF" w:rsidRPr="00C94B78" w:rsidRDefault="002A09D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Однако в таком виде Як-9У не строился - пушка ВЯ не устраивала военных по скорострельности и требовался более мощный двигатель. Им стал ВК-107А взлётной мощностью 1650 л.с. Последующие прототипы Як-9У были оснащены этим двигателем с винтом ВИШ-105ЛО, а основным вооружением стала пушка ШВАК. Для улучшения центровки крыло сдвинули на 100 мм вперёд. На госиспытаниях в январе-апреле 1944 г. самолёт показал скорость 600 км/ч у земли и 700 км/ч на высоте 5500 м, что было выше, чем у советских и зарубежных истреби</w:t>
      </w:r>
      <w:r w:rsidRPr="00C94B78">
        <w:rPr>
          <w:rFonts w:ascii="Times New Roman" w:hAnsi="Times New Roman"/>
          <w:color w:val="0070C0"/>
          <w:sz w:val="16"/>
          <w:szCs w:val="16"/>
        </w:rPr>
        <w:softHyphen/>
        <w:t>телей того времени. В феврале 1944 г. выпуск Як-9У начали сразу три завода - №166, №82 и №301; всего до августа 1945 г. они выпустили 3291 экземпляр Як-9У ВК-107А</w:t>
      </w:r>
      <w:r w:rsidRPr="00C94B78">
        <w:rPr>
          <w:rFonts w:ascii="Times New Roman" w:hAnsi="Times New Roman"/>
          <w:b/>
          <w:bCs/>
          <w:color w:val="0070C0"/>
          <w:sz w:val="16"/>
          <w:szCs w:val="16"/>
        </w:rPr>
        <w:t xml:space="preserve"> </w:t>
      </w:r>
      <w:r w:rsidRPr="00C94B78">
        <w:rPr>
          <w:rFonts w:ascii="Times New Roman" w:hAnsi="Times New Roman"/>
          <w:color w:val="0070C0"/>
          <w:sz w:val="16"/>
          <w:szCs w:val="16"/>
        </w:rPr>
        <w:t>с планером смешанной конструкции, после чего его сменил послевоенный цельнометаллический самолёт с тем же обозначением. Як-9У широко приме</w:t>
      </w:r>
      <w:r w:rsidRPr="00C94B78">
        <w:rPr>
          <w:rFonts w:ascii="Times New Roman" w:hAnsi="Times New Roman"/>
          <w:color w:val="0070C0"/>
          <w:sz w:val="16"/>
          <w:szCs w:val="16"/>
        </w:rPr>
        <w:softHyphen/>
        <w:t>нялся в боях с лета 1944 г. и хорошо себя проявил (24932).</w:t>
      </w:r>
    </w:p>
    <w:p w14:paraId="0784D0F5" w14:textId="77777777" w:rsidR="002A09DF" w:rsidRPr="00C94B78" w:rsidRDefault="002A09DF" w:rsidP="00B56F90">
      <w:pPr>
        <w:spacing w:after="0" w:line="240" w:lineRule="auto"/>
        <w:jc w:val="both"/>
        <w:rPr>
          <w:rFonts w:ascii="Times New Roman" w:hAnsi="Times New Roman"/>
          <w:color w:val="0070C0"/>
          <w:sz w:val="16"/>
          <w:szCs w:val="16"/>
        </w:rPr>
      </w:pPr>
    </w:p>
    <w:p w14:paraId="0D50F5C3" w14:textId="77777777" w:rsidR="002A09DF" w:rsidRPr="00C94B78" w:rsidRDefault="002A09DF" w:rsidP="00B56F90">
      <w:pPr>
        <w:spacing w:after="0" w:line="240" w:lineRule="auto"/>
        <w:jc w:val="both"/>
        <w:rPr>
          <w:rFonts w:ascii="Times New Roman" w:hAnsi="Times New Roman"/>
          <w:color w:val="0070C0"/>
          <w:sz w:val="16"/>
          <w:szCs w:val="16"/>
        </w:rPr>
      </w:pPr>
      <w:r w:rsidRPr="00C94B78">
        <w:rPr>
          <w:rStyle w:val="35"/>
          <w:rFonts w:ascii="Times New Roman" w:cs="Times New Roman"/>
          <w:color w:val="0070C0"/>
          <w:spacing w:val="0"/>
          <w:sz w:val="16"/>
          <w:szCs w:val="16"/>
        </w:rPr>
        <w:t>В январе- марте 1944 г. состоялись госиспытания Як-9К ВК-105ПФ</w:t>
      </w:r>
      <w:r w:rsidRPr="00C94B78">
        <w:rPr>
          <w:rStyle w:val="35"/>
          <w:rFonts w:ascii="Times New Roman" w:cs="Times New Roman"/>
          <w:b/>
          <w:bCs/>
          <w:color w:val="0070C0"/>
          <w:spacing w:val="0"/>
          <w:sz w:val="16"/>
          <w:szCs w:val="16"/>
        </w:rPr>
        <w:t xml:space="preserve"> </w:t>
      </w:r>
      <w:r w:rsidRPr="00C94B78">
        <w:rPr>
          <w:rStyle w:val="35"/>
          <w:rFonts w:ascii="Times New Roman" w:cs="Times New Roman"/>
          <w:color w:val="0070C0"/>
          <w:spacing w:val="0"/>
          <w:sz w:val="16"/>
          <w:szCs w:val="16"/>
        </w:rPr>
        <w:t xml:space="preserve">(«крупнокалиберный»), вооружённый пушкой НС-45, по весу секундного залпа превосходил все истребители того времени, кроме </w:t>
      </w:r>
      <w:r w:rsidRPr="00C94B78">
        <w:rPr>
          <w:rStyle w:val="35"/>
          <w:rFonts w:ascii="Times New Roman" w:cs="Times New Roman"/>
          <w:color w:val="0070C0"/>
          <w:spacing w:val="0"/>
          <w:sz w:val="16"/>
          <w:szCs w:val="16"/>
          <w:lang w:val="en-US"/>
        </w:rPr>
        <w:t>Fw</w:t>
      </w:r>
      <w:r w:rsidRPr="00C94B78">
        <w:rPr>
          <w:rStyle w:val="35"/>
          <w:rFonts w:ascii="Times New Roman" w:cs="Times New Roman"/>
          <w:color w:val="0070C0"/>
          <w:spacing w:val="0"/>
          <w:sz w:val="16"/>
          <w:szCs w:val="16"/>
        </w:rPr>
        <w:t xml:space="preserve"> 190</w:t>
      </w:r>
      <w:r w:rsidRPr="00C94B78">
        <w:rPr>
          <w:rStyle w:val="35"/>
          <w:rFonts w:ascii="Times New Roman" w:cs="Times New Roman"/>
          <w:color w:val="0070C0"/>
          <w:spacing w:val="0"/>
          <w:sz w:val="16"/>
          <w:szCs w:val="16"/>
          <w:lang w:val="en-US"/>
        </w:rPr>
        <w:t>A</w:t>
      </w:r>
      <w:r w:rsidRPr="00C94B78">
        <w:rPr>
          <w:rStyle w:val="35"/>
          <w:rFonts w:ascii="Times New Roman" w:cs="Times New Roman"/>
          <w:color w:val="0070C0"/>
          <w:spacing w:val="0"/>
          <w:sz w:val="16"/>
          <w:szCs w:val="16"/>
        </w:rPr>
        <w:t>-6/</w:t>
      </w:r>
      <w:r w:rsidRPr="00C94B78">
        <w:rPr>
          <w:rStyle w:val="35"/>
          <w:rFonts w:ascii="Times New Roman" w:cs="Times New Roman"/>
          <w:color w:val="0070C0"/>
          <w:spacing w:val="0"/>
          <w:sz w:val="16"/>
          <w:szCs w:val="16"/>
          <w:lang w:val="en-US"/>
        </w:rPr>
        <w:t>R</w:t>
      </w:r>
      <w:r w:rsidRPr="00C94B78">
        <w:rPr>
          <w:rStyle w:val="35"/>
          <w:rFonts w:ascii="Times New Roman" w:cs="Times New Roman"/>
          <w:color w:val="0070C0"/>
          <w:spacing w:val="0"/>
          <w:sz w:val="16"/>
          <w:szCs w:val="16"/>
        </w:rPr>
        <w:t xml:space="preserve">1 и </w:t>
      </w:r>
      <w:r w:rsidRPr="00C94B78">
        <w:rPr>
          <w:rStyle w:val="35"/>
          <w:rFonts w:ascii="Times New Roman" w:cs="Times New Roman"/>
          <w:color w:val="0070C0"/>
          <w:spacing w:val="0"/>
          <w:sz w:val="16"/>
          <w:szCs w:val="16"/>
          <w:lang w:val="en-US"/>
        </w:rPr>
        <w:t>Bf</w:t>
      </w:r>
      <w:r w:rsidRPr="00C94B78">
        <w:rPr>
          <w:rStyle w:val="35"/>
          <w:rFonts w:ascii="Times New Roman" w:cs="Times New Roman"/>
          <w:color w:val="0070C0"/>
          <w:spacing w:val="0"/>
          <w:sz w:val="16"/>
          <w:szCs w:val="16"/>
        </w:rPr>
        <w:t xml:space="preserve"> 109</w:t>
      </w:r>
      <w:r w:rsidRPr="00C94B78">
        <w:rPr>
          <w:rStyle w:val="35"/>
          <w:rFonts w:ascii="Times New Roman" w:cs="Times New Roman"/>
          <w:color w:val="0070C0"/>
          <w:spacing w:val="0"/>
          <w:sz w:val="16"/>
          <w:szCs w:val="16"/>
          <w:lang w:val="en-US"/>
        </w:rPr>
        <w:t>G</w:t>
      </w:r>
      <w:r w:rsidRPr="00C94B78">
        <w:rPr>
          <w:rStyle w:val="35"/>
          <w:rFonts w:ascii="Times New Roman" w:cs="Times New Roman"/>
          <w:color w:val="0070C0"/>
          <w:spacing w:val="0"/>
          <w:sz w:val="16"/>
          <w:szCs w:val="16"/>
        </w:rPr>
        <w:t>-6/</w:t>
      </w:r>
      <w:r w:rsidRPr="00C94B78">
        <w:rPr>
          <w:rStyle w:val="35"/>
          <w:rFonts w:ascii="Times New Roman" w:cs="Times New Roman"/>
          <w:color w:val="0070C0"/>
          <w:spacing w:val="0"/>
          <w:sz w:val="16"/>
          <w:szCs w:val="16"/>
          <w:lang w:val="en-US"/>
        </w:rPr>
        <w:t>R</w:t>
      </w:r>
      <w:r w:rsidRPr="00C94B78">
        <w:rPr>
          <w:rStyle w:val="35"/>
          <w:rFonts w:ascii="Times New Roman" w:cs="Times New Roman"/>
          <w:color w:val="0070C0"/>
          <w:spacing w:val="0"/>
          <w:sz w:val="16"/>
          <w:szCs w:val="16"/>
        </w:rPr>
        <w:t>6, у которых было две или четыре пушки. Малая серия (53 экз.) была собрана вернувшимся в Москву заводом №301 из «новоси</w:t>
      </w:r>
      <w:r w:rsidRPr="00C94B78">
        <w:rPr>
          <w:rStyle w:val="35"/>
          <w:rFonts w:ascii="Times New Roman" w:cs="Times New Roman"/>
          <w:color w:val="0070C0"/>
          <w:spacing w:val="0"/>
          <w:sz w:val="16"/>
          <w:szCs w:val="16"/>
        </w:rPr>
        <w:softHyphen/>
        <w:t>бирских» деталей. Стать крупносерийным самолёту Як-9К помешала невысокая надёжность пушки (25428).</w:t>
      </w:r>
    </w:p>
    <w:p w14:paraId="75F0FA80" w14:textId="77777777" w:rsidR="002A09DF" w:rsidRPr="00C94B78" w:rsidRDefault="002A09DF" w:rsidP="00B56F90">
      <w:pPr>
        <w:spacing w:after="0" w:line="240" w:lineRule="auto"/>
        <w:jc w:val="both"/>
        <w:rPr>
          <w:rFonts w:ascii="Times New Roman" w:hAnsi="Times New Roman"/>
          <w:color w:val="0070C0"/>
          <w:sz w:val="16"/>
          <w:szCs w:val="16"/>
        </w:rPr>
      </w:pPr>
    </w:p>
    <w:p w14:paraId="79AAB94F"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январе-феврале 1944 проходили наземные гос. испытания УБ-20 (759,3).</w:t>
      </w:r>
    </w:p>
    <w:p w14:paraId="25941738"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E88FE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январе-феврале 1944 г. вышел Сборник материалов по изучению опыта войны. Выпуск 10, Военное издательство народного комиссариата обороны, Москва – 1944.</w:t>
      </w:r>
    </w:p>
    <w:p w14:paraId="5EE6230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ЭФФЕКТИВНОСТЬ ДЕЙСТВИЙ АВИАЦИИ ПО ЖИВОЙ СИЛЕ И ТЕХНИЧЕСКИМ СРЕДСТВАМ БОРЬБЫ</w:t>
      </w:r>
    </w:p>
    <w:p w14:paraId="3DD9C84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Действия по живой силе и техническим средствам борьбы на поле боя, на подходах к полю боя, а также в местах их скопления являются наиболее частыми задачами для авиации. При этом типовыми целями обычно бывают: – живая сила в укрытиях и вне их; – артиллерия и миномёты на огневых позициях и в движении.</w:t>
      </w:r>
    </w:p>
    <w:p w14:paraId="66E57A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танки и самоходные орудия в боевых порядках, на исходных рубежах для атаки, у мест заправки и в движении к полю боя; – автомашины с войсками и грузами в местах сосредоточения и в движении.</w:t>
      </w:r>
    </w:p>
    <w:p w14:paraId="0C8917C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Степень поражения авиацией перечисленных выше целей в каждом отдельном случае различна. Она зависит от ряда условий, из которых чрезвычайно важное значение имеют средства поражения, применяемые самолётами, и положение атакуемых войск.</w:t>
      </w:r>
    </w:p>
    <w:p w14:paraId="0261DDD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известно, очень часто действия авиации крупными фугасными бомбами по рассредоточившимся и особенно по хорошо окопавшимся войскам дают сильный внешний эффект, но не наносят более или менее значительных поражений живой силе и техническим средствам борьбы. Такие удары авиации с воздуха обычно оказывают на наземные войска лишь моральное воздействие, причём особенно сильным оказывается воздействие на необстрелянные и слабо обученные войска. Опытные и хорошо подготовленные части и подразделения при атаках авиации с воздуха широко используют не только меры пассивной защиты, но и свои огневые средства для отражения атакующих самолётов, сохраняя при этом почти полную боеспособность.</w:t>
      </w:r>
    </w:p>
    <w:p w14:paraId="7F889C4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показывает боевой опыт, живая сила и технические средства борьбы наиболее эффективно поражаются осколочными авиабомбами преимущество этих бомб перед фугасными состоит в том, что одновременно может быть применено большое количество осколочных бомб, вследствие чего облегчается накрытие цели и повышается вероятность прямого попадания.</w:t>
      </w:r>
    </w:p>
    <w:p w14:paraId="36E056D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эффективность поражения осколочными бомбами является недостаточной при действиях авиации по танкам, а также по войскам противника, находящимся в фортификационных сооружениях. В этих случаях авиация вынуждена использовать другие средства поражения, применение которых в наибольшей степени соответствует уязвимости объектов.</w:t>
      </w:r>
    </w:p>
    <w:p w14:paraId="576F669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Цель настоящей статьи – на конкретных .примерах показать эффективность действия различных боевых средств, применяемых авиацией по войскам и техническим средствам борьбы, и таким образом помочь авиационным командирам правильно выбирать средства поражения, а наземным войскам принимать меры, обеспечивающие минимальные потери от атак самолётов противника с воздуха.</w:t>
      </w:r>
    </w:p>
    <w:p w14:paraId="67C09B4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Эффективность действий авиации по живой силе Результаты воздействия авиации по живой силе противника зависят от степени укрытия и рассредоточения войск.</w:t>
      </w:r>
    </w:p>
    <w:p w14:paraId="6312EC5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Действия по войскам в укрытиях. Простые ячейки для стрельбы с колена а также естественные неровности почвы, .используемые в качестве укрытий, значительно снижают потери живой силы от авиации сравнительно с потерями войск, находящихся вне всяких укрытой.</w:t>
      </w:r>
    </w:p>
    <w:p w14:paraId="680243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Боевой опыт показывает, что живая сила и легкая боевая техника несут основные потери от действий авиации на поле боя в результате поражения осколками авиабомб, так как радиус поражающего действия взрывной волны значительно меньше, чем осколков, а пулеметно-пушечный огонь эффективен только при стрельбе на малых дальностях по плотному скоплению войск. Однако осколки задерживаются различными естественными препятствиями и возводимыми войсками инженерными сооружениями. Поэтому живая сила, находящаяся в легких фортификационных сооружениях, поражается осколочными бомбами лишь при прямом попадании или при взрыве бомб в непосредственной близости от укрытия.</w:t>
      </w:r>
    </w:p>
    <w:p w14:paraId="39F42E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Действия фугасных авиабомб по фортификационным сооружениям лёгкого типа выражаются обычно в разрушении сооружений и поражении находящейся в них живой силы. Однако величина радиуса разрушения окопов и других лёгких фортификационных укрытий от фугасных бомб не превышает полутора- двух радиусов воронки, т.е. в несколько раз меньше радиуса убойного действия осколков при взрыве бомбы на поверхности земли. В отдельных случаях разрушение сооружений и поражение живой силы, находящейся в них, достигается в том случае, когда край воронки захватывает окоп или другое лёгкое укрытие. Ниже приводятся примеры, характеризующие степень разрушения фортификационных сооружений в результате взрыва различных авиационных снарядов и бомб.</w:t>
      </w:r>
    </w:p>
    <w:p w14:paraId="679DD5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Осколочные бомбы АО-2.5 и близкие к ним по эффективности реактивные снаряды РС-82 поражают живую силу, находящуюся в окопах, ходах сообщении, одиночных стрелковых ячейках и тому подобных укрытиях только при прямом попадании. Взрыв бомбы (или РС-82) в 0.5 м от укрытия поражения живой силе, как правило, не наносит.</w:t>
      </w:r>
    </w:p>
    <w:p w14:paraId="2D1015E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штурмовке самолётами Ил-2 переднего края обороны немцев 2 км западнее Мал. Песочня (район Кирова) одни снаряд РС-82 попал в бруствер хода сообщения на расстоянии 0.5 м от его крутости. В результате взрыва снаряда на бруствере образовалась воронка диаметром около 1.0 и глубиной 0.2 м.</w:t>
      </w:r>
    </w:p>
    <w:p w14:paraId="5D24F7B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Никаких других разрушении ходу сообщения взрыв снаряда не причинил. Другой снаряд РС-82 взорвался на бруствере хода сообщения, отрытого в глинистом грунте, на расстоянии 0.3 м от его крутости. Взрыв снаряда не вызвал разрушение хода сообщения или осыпи его стенок.</w:t>
      </w:r>
    </w:p>
    <w:p w14:paraId="6E3FF52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Осколочные бомбы АО-10 поражают живую силу в окопах при попадании в бруствер окопа на удалении до 0.5 м от крутостей или при прямом попадании в лёгкое противоосколочное перекрытие. Так, при атаке немецкой авиацией Орловского аэродрома 25 августа 1943 г. одна из бомб АО-10 разорвалась на бруствере щели-убежища в 0.3 – 0.4 от её края. Щель была отрыта в чернозёмном грунте не имела одежды стенок и противоосколочного перекрытия. В результате взрыва бомбы в бруствере образовалась воронка диаметром 0.7 м и глубиной 0.3 м; стенка щели со стороны взрыва осыпалась на участке, равном 1.2 м.</w:t>
      </w:r>
    </w:p>
    <w:p w14:paraId="26ADCD6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 разрушения щели показывает, что если бы в ней находились люди, поражение их было бы неизбежно.</w:t>
      </w:r>
    </w:p>
    <w:p w14:paraId="74AE1DF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другом случае осколочная 10-кг немецкая бомба попала в противоосколочное убежище-землянку, рассчитанное на укрытие 4-5 человек. Перекрытие землянки состояло из 20-мм досок и насыпного слоя земли толщиной 20-30 см; стенки имели обшивку из таких же досок. Бомба пробила перекрытие и взорвалась в момент удара, о пол из дощатого настила. Большинство осколков бомбы пробило одежду стенок из досок и лишь незначительная часть, проникнув в них на глубину в 1.5 см, застряла в досках. Полного разрушения землянки бомба не вызвала.</w:t>
      </w:r>
    </w:p>
    <w:p w14:paraId="56C0915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Фугасные бомбы ФАБ-50 с взрывателями мгновенного действия при действиях по живой силе, укрытой в окопах, наносят поражение лишь при разрыве в непосредственной близости от укрытия. Так в районе Мал. Песочня одна ФАБ-50 с взрывателем мгновенного действия разорвалась в 0.8 м от хода сообщения. От взрыва бомбы образовалась воронка диаметром 1.6 м и глубиной 0.3 м. Осколками бомбы был взрыхлен насыпной бруствер на противоположной стороне хода сообщения; каких-либо других разрушений, а частности обвала стенок взрыв бомбы не вызвал.</w:t>
      </w:r>
    </w:p>
    <w:p w14:paraId="3495170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Одиночная стрелковая ячейка, находившаяся в придорожной канаве в системе немецких укреплений на железнодорожной станции Хотынец была разрушена в результате прямого попадания в нее ФАБ-50 с взрывателем мгновенного действия. Радиус сплошного разрушения был около 0.8-0.9 м. Соседняя одиночная ячейка, находившаяся также в канаве, на расстоянии 1,4 м от первой, разрушений не имела.</w:t>
      </w:r>
    </w:p>
    <w:p w14:paraId="56A0CED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лучшие результаты дают бомбы ФАБ-50 с взрывателями, установленными на замедление.</w:t>
      </w:r>
    </w:p>
    <w:p w14:paraId="722B04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упомянутой выше атаке Орловского аэродрома 25 августа 1943 г. 50-килограммовая бомба SС-50 взорвалась на расстоянии 2 м от щели убежища, имевшей противоосколочное перекрытие из 10-см жердей и насыпного слоя земли толщиной от 30 до 50 см. В результате взрыва ближайшая стенка щели осыпалась, а накат перекрытия спустился в месте осыпи на 0.5 м. Другая бомба SС-50 взорвалась в 3 м от щели убежища, отрытой в лёгком грунте и не имевшей одежды стенок и перекрытия. В результате действия взрывной волны стенка щели со стороны взрыва осыпалась на участке 0.6 – 0.7 м.</w:t>
      </w:r>
    </w:p>
    <w:p w14:paraId="7745C9F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Пулемётная ДЗОТ, входившая в состав немецкой оборонительной полосы в районе Мценска, имевшая одежду стенок из досок и перекрытие из двух накатов брёвен толщиной 20 см, была разрушена в результате прямого попадания ФАБ-50. Людские потери не установлены, но по характеру разрушений можно предполагать, что гарнизон ДЗОТ был уничтожен.</w:t>
      </w:r>
    </w:p>
    <w:p w14:paraId="4B630C7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Орловском аэродроме во время немецкой авиации прямым попаданием SС-50 с взрывателем, установленным на замедление, разрушена землянка, имевшая одежду стенок и двухрядное перекрытие из 20- мм досок, поверх которых был насыпан слой земли толщиной 0.4 м. Приведенные примеры показывают, что при прямом попадании ФАБ-50 разрушает не только окопы, ходы сообщения, щели-убежища с противоосколочными перекрытиями, но и ДЗОТ, имеющие более мощное перекрытие (два ряда 20-см бревен).</w:t>
      </w:r>
    </w:p>
    <w:p w14:paraId="31E2CA9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В тех случаях, когда ФАБ-50 взрывается рядом с окопом или другим лёгким фортификационным сооружением без одежды крутостей, радиус разрушения от взрыва не превосходит 1.5 радиуса воронки, величина которой, в свою очередь, зависит от характера грунта и замедления взрывателя.</w:t>
      </w:r>
    </w:p>
    <w:p w14:paraId="6482B8A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Обследованием ряда случаев действий фугасных бомб установлено, что вывод, сделанный в отношении радиуса разрушения ФАБ-50, справедлив и для бомбы ФАБ-100.</w:t>
      </w:r>
    </w:p>
    <w:p w14:paraId="05F2C88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Фугасные бомбы крупных калибров. Радиус разрушения от взрыва этих авиабомб вблизи лёгких фортификационных сооружений превосходит радиус воронки более чем в полтора раза, а для ФАБ-500 и ФАБ-1000 примерно равен двум радиусам воронки.</w:t>
      </w:r>
    </w:p>
    <w:p w14:paraId="4E04493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от взрыва, по-видимому, ФАБ-1000, сброшенной со взрывателем, установленным на замедление, и попавший в район расположения лёгких открытых щелей-убежищ, имеющих только противоосколочное перекрытие из 20-30-мм досок и слоя земли толщиной 0.3-0.4 м, отрытых в супесчаном грунте, образовалась воронка глубиной 5,5 м и диаметром 22 м; при этом произведены следующие разрушения: а) щели, удалённые от центра взрыва на 16 м, были полностью разрушены, часть личного состава, находившаяся в них, была убита и часть тяжело ранена; б) открытые щели, удаленные от центра взрыва на 25 м, имели трещины в крутостях шириной до 5 см; обвала крутостей или других каких-либо разрушений взрывом бомбы вызвано не было; в) щели, удаленные на 31 м от центра взрыва, никаких признаков разрушений не имели.</w:t>
      </w:r>
    </w:p>
    <w:p w14:paraId="1579E98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Эти примеры показывают, что радиус разрушения при действии по лёгким фортификационным сооружениям даже для фугасных авиабомб крупного калибра (ФАБ-500, ФАБ-1000) не превосходят двух радиусов воронки. Более прочные фортификационные сооружения, имеющие одежду крутостей или стены, срубленные из бревен, и прочные перекрытия, разрушаются гораздо меньше.</w:t>
      </w:r>
    </w:p>
    <w:p w14:paraId="010171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Разрушение фортификационных сооружений, являющихся точечными или узкими линейными целями, рассредоточенными на площади, представляет для авиации значительные трудности, так как прицельное бомбометание по отдельному фортификационному сооружению дает ничтожно малую вероятность попаданий, при бомбометании же по группе рассредоточенных сооружений вероятность попадания также не велика, ибо большинство бомб падает между объектами.</w:t>
      </w:r>
    </w:p>
    <w:p w14:paraId="2F6D47C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примера приведем результаты действия нашей авиации по немецким укреплениям в районе ст. Хотынец.</w:t>
      </w:r>
    </w:p>
    <w:p w14:paraId="0E682B5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восьми обследованных участках немецкой обороны размерами от 300х200 до 150х6 м находилось 666 малоразмерных укрытий (одиночные стрелковые ячейки, миномётные и пулемётные гнёзда, окопы батарей малокалиберной зенитной артиллерии и укрытия для автомашин). Из них разрывами бомб были накрыты шесть участков, на которых располагалось 509 мелких сооружений со средней плотностью одно сооружение на площади около 223 кв. м. Эти участки были перекрыты разрывами 42 бомб ФАБ-50 и АО-25, из которых только одна в результате прямого попадания разрушила стрелковую ячейку, остальные попали между укрытий, не вызвав их разрушения.</w:t>
      </w:r>
    </w:p>
    <w:p w14:paraId="4D53597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Вследствие трудности поражения отдельных малоразмерных фортификационных сооружений и укрытой в них живой силы и боевой техники требуется большой расход авиабомб для того чтобы создать достаточную плотность разрывов, при которой прямые попадания в укрытия не являются случайными. Чтобы нанести наибольшие потери противнику малыми силами, целесообразно действовать по фортификационным сооружениям, не имеющим противоосколочных перекрытий, мелкими осколочными бомбами до АО-2.5 включительно. Как показал опыт, в этом случае можно рассчитывать на значительное число прямых попаданий бомб, в результате взрыва которых поражается живая сила и материальная часть вооружения.</w:t>
      </w:r>
    </w:p>
    <w:p w14:paraId="119D37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по показаниям пленного солдата 292 пехотной немецкой дивизии Людвига Махчевского, в первый день наступления немцев на орловско-курском направлении около 50 наших бомбардировщиков нанесли удар по живой силе и боевой технике противника, сосредоточенным для атаки в траншеях и ходах сообщения полностью развитой линии обороны немцев. Бомбометание производилось осколочными бомбами с высоты 900 м, с заходом вдоль переднего края обороны. Полоса разрывов бомб накрыла первую траншею немецкой обороны на участке длинной около 2 км. Много бомб попало непосредственно в окопы, остальные рвались на брустверах, нанося поражение осколками живой силе, укрывавшейся в траншеях и ходах сообщения.</w:t>
      </w:r>
    </w:p>
    <w:p w14:paraId="577115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удара бомбардировщиков только в одном батальоне, занимавшем по фронту около 600- 700 м, было убито 23 человека и 57 ранено; не меньшие потери имели и соседние батальоны.</w:t>
      </w:r>
    </w:p>
    <w:p w14:paraId="2843311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Летом 1943 г. авиация противника также широко применяла мелкие (2-килограммовые) осколочные бомбы и 55-мм мины, сбрасывая их на боевые порядки наших войск и огневые позиции артиллерии. По единогласному заявлению офицеров .наземных частей, мелкие осколочные бомбы оказывались более эффективными, чем фугасные, так как они сбрасывались в большом количестве и, как правило, наносили поражение в результате прямых попаданий в фортификационные сооружения.</w:t>
      </w:r>
    </w:p>
    <w:p w14:paraId="34BEB3A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Так, 17 августа 1943 г. в районе деревни Кривая Верста (Брянский фронт) одна из зенитных батарей была атакована четырьмя Ю-87, сбросившими с пикирования фугасные и 2-килограммовые осколочные бомбы. На позицию батареи, расположенной на площади 120х80 м, упало 2 ФАБ-250 с взрывателями с замедлением, 6 ФАБ-250 с взрывателями мгновенного действия и около 300 штук 2-килограммовых осколочных бомб. В результате бомбёжки на батарее были полностью выведены из строя два орудийных расчета, причем 8 человек было убито и 12 ранено; осколки бомб повредили ПУАЗО-3 и принимающие приборы двух орудий; фугасными бомбами были перебиты два кабеля электропроводки. Все потери живой силы и материальной части были причинены осколочными бомбами, разорвавшимися на бруствере и в котловане двух орудий.</w:t>
      </w:r>
    </w:p>
    <w:p w14:paraId="12FF74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тех случаях, когда живая сила расположена в ДЗОТ и других фортификационных сооружениях, усиленных противоосколочными перекрытиями, эффективность действий авиации резко снижается. В этих случаях осколочные бомбы неприменимы. Реальные результаты .могут быть достигнуты только при сбрасывании большого количества фугасных бомб калибра от 50 кг и выше, что требует выделения крупных сил бомбардировщиков или штурмовиков.</w:t>
      </w:r>
    </w:p>
    <w:p w14:paraId="6D14C54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широко использующие для обороны населённых пунктов прочные каменные здания, приспосабливая их наземную часть для ведения огня из всех видов оружия, а подвалы в качестве убежищ для живой силы, несут от действия авиации незначительные потери. Разрушение таких укрытий возможно лишь при прямом попадают фугасных бомб калибром не менее 250 кг.</w:t>
      </w:r>
    </w:p>
    <w:p w14:paraId="50E146D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то, что уничтожение живой силы и технических средств борьбы, укрытых в прочных городских зданиях, требует большого расхода самолётов, действия авиации по таким целям следует считать целесообразными. Эти действия, не нанося войскам серьезного материального ущерба, оказывают на них огромное моральное воздействие. Моральный эффект по сравнению с действиями авиации по фортификационным сооружениям, усиливается вследствие разрушения больших городских зданий, завалов подвалов-убежищ и выходов из них. Характерным примером действий авиации по войскам, оборонявшимся в городе является атака самолетами 1 бомбардировочного авиакорпуса крепости Великие Луки 15 января 1943 г. Непосредственно перед началом штурма этой крепости нашими войсками 12 самолетов Пе-2 под прикрытием истребителей нанесли одновременный удар по важнейшим опорным пунктам противника с применением бомб ФАБ-250. Несмотря на небольшое количество самолетов, участвовавших в атаке, удар с воздуха сыграл большую роль в успешном штурме крепости. Захваченный в плен командир немецкого артиллерийского дивизиона, входившего в состав гарнизона Великие Луки, майор Генрих Ульрих показал, что бомбардировка крепости хотя и не нанесла значительного материального ущерба, но зато оказала сильное моральное воздействие на гарнизон, в результате чего резко понизилась его способность к сопротивлению.</w:t>
      </w:r>
    </w:p>
    <w:p w14:paraId="6D670D9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Действия по войскам вне укрытий. Несравненно большие потерн в результате действий авиации несут войска, находящиеся вне укрытий на походе, в местах сосредоточения резервов в эшелонах и при выгрузке из них, на железнодорожных станциях, у переправ и, наконец, в местах расквартирования.</w:t>
      </w:r>
    </w:p>
    <w:p w14:paraId="2581BDF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Эффективность бомбардировочных и штурмовых ударов авиации в этих случаях также зависит от возможности использования войсками естественных укрытий, неровностей почвы, воронок от авиабомб и т.п.</w:t>
      </w:r>
    </w:p>
    <w:p w14:paraId="7D6076B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внезапном нападении авиации, когда войска не успевают рассредоточиться и использовать укрытия, результаты удара увеличиваются.</w:t>
      </w:r>
    </w:p>
    <w:p w14:paraId="78B7B5E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Наиболее эффективным средствам поражения живой силы противника, находящейся вне укрытия, являются осколочные бомбы, особенно АО-2.5, а при действии по смешанным колоннам или группам войск, состоящим из автомашин, артиллерии, специального автотранспорта и т. п. – АО-8 и АО-10.</w:t>
      </w:r>
    </w:p>
    <w:p w14:paraId="3ACA54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Приведем некоторые примеры успешных действий авиации по скоплениям войск противника.</w:t>
      </w:r>
    </w:p>
    <w:p w14:paraId="7F120CA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прорыве нашими войсками немецкой обороны в районе Севска противник сосредоточил в лесу, что севернее дер. Шведчиковы (9 км северо-восточнее Севска), крупные силы и, опираясь на выгодный естественный рубеж, усиленный прочными фортификационными сооружениями, оказывал упорное сопротивление. По показаниям местных жителей, численность войск противника в указанном районе достигала 5 тысяч человек.</w:t>
      </w:r>
    </w:p>
    <w:p w14:paraId="727B6ED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 авиацией 16 воздушной армии на 27 августа 1943 г. была поставлена задача: в целях содействия наступлению наших войск нанести сильный удар по живой силе и боевой технике противника в районе Шведчиковы. Сосредоточенный удар, в котором принимало участие большое количество самолётов всех видов авиации, нанёс противнику исключительно большие потери в боевой технике и живой силе, в результате чего этот район был занят нашими войсками.</w:t>
      </w:r>
    </w:p>
    <w:p w14:paraId="04579C0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Комиссией штаба 16 воздушной армии, специально назначенной для проверки эффективности действия авиации, было установлено, что после воздушной атаки только в близлежащих деревнях противником было похоронено до 500 трупов; раненых, по заявлениям местных жителей, было еще больше.</w:t>
      </w:r>
    </w:p>
    <w:p w14:paraId="300A5AE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большое количество трупов было оставлено противником не убранным.</w:t>
      </w:r>
    </w:p>
    <w:p w14:paraId="184DB13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17 января 1943 г. три самолёта Пе-2 3 сак нанесли удар по скоплению войск противника на улицах Беловодска. После занятия этого города нашими войсками проверкой на месте было установлено, что в результате атаки самолётов было убито 7 офицеров, 108 солдат и 23 лошади; кроме того, уничтожено 19 автомашин и 12 повозок, а также причинены разрушения военному городку, занятому итальянскими и немецкими войсками.</w:t>
      </w:r>
    </w:p>
    <w:p w14:paraId="7793B93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Особенно большие потери в живой силе поиска несут в результате штурмовых действий по отходящим колоннам и скоплениям войск в населённых пунктах и у переправ.</w:t>
      </w:r>
    </w:p>
    <w:p w14:paraId="7936061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по показаниям очевидцев, в результате действий наших штурмовиков 15 и 16 сентября 1943 г. в районе населенного пункта Славянка (35 км западнее Красноармейское) было уничтожено 12 танков и 16 автомашин с войсками; при этом потери противника в живой силе только убитыми достигали 500 человек.</w:t>
      </w:r>
    </w:p>
    <w:p w14:paraId="2895862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Создавшаяся при налёте штурмовиков паника в рядах противника способствовала увеличению потерь; она позволила нашим самолётам безнаказанно производить по нескольку заходов на цель до полного израсходовался боеприпасов.</w:t>
      </w:r>
    </w:p>
    <w:p w14:paraId="0B47D37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действиях бомбардировщиков и штурмовиков по скоплениям войск на дорогах, в населённых пунктах и в оврагах целесообразно применять осколочные бомбы от АО-2.5 до АО-10; сбрасывание более крупных бомб, особенно фугасных, при малом составе группы не обеспечивает необходимого числа прямых попаданий в цель.</w:t>
      </w:r>
    </w:p>
    <w:p w14:paraId="5D8771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 1. Действия авиации по окопавшейся живой силе наносят ей ничтожно малые потери.</w:t>
      </w:r>
    </w:p>
    <w:p w14:paraId="30076D9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Особенно незначительны эти потери при атаке с больших высот, когда бомбометание по фортификационным сооружениям сводится к бомбометанию по площади. Причиной незначительных потерь является малый радиус поражения бомб, в том числе и крупного калибра.</w:t>
      </w:r>
    </w:p>
    <w:p w14:paraId="2802EF4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Эффективность действия авиации по окопавшейся живой силе повышается в результате применения мелких осколочных бомб, сбрасывание которых в большом количестве даёт значительное число прямых попаданий.</w:t>
      </w:r>
    </w:p>
    <w:p w14:paraId="13A13E1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При действиях по фортификационным сооружениям с противоосколочными перекрытиями наибольший эффект дают бомбы ФАБ-50 и ФАБ-100 с взрывателем, установленным на замедление; при этом разрушение подобных сооружении происходит только в результате прямого попадания или взрыва в непосредственной близости – не далее половины радиуса воронки.</w:t>
      </w:r>
    </w:p>
    <w:p w14:paraId="2BD8026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Наибольшие потери в результате действий авиации несёт живая сила, находящаяся вне укрытий, в местах скопления, на походе, у переправ и т. п. В этих случаях наибольший успех достигается применением пулемётно-пушечного огня и осколочных бомб малого калибра, которые даже при действии небольших групп бомбардировщиков или штурмовиков вызывают в войсках существенные потери вследствие большого числа очагов поражения.</w:t>
      </w:r>
    </w:p>
    <w:p w14:paraId="18DFE6A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Во всех случаях боевой деятельности наземные войска должны широко использовать меры пассивной защиты от нападений авиации (рассредоточение и укрытие), а также быть в постоянной готовности к широкому применению своих огневых средств для отражения самолётов противника, атакующих с малых высот.</w:t>
      </w:r>
    </w:p>
    <w:p w14:paraId="60A177D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Эффективность действий авиации по артиллерии Действия авиации по артиллерии обычно имеют целью подавление ее огня или уничтожение материальной части.</w:t>
      </w:r>
    </w:p>
    <w:p w14:paraId="2D7ED8F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Подавление огня артиллерии достигается сравнительно легко, особенно если оно необходимо на короткое время. В этом случае сильный пулемётно-пушечный обстрел и бомбометание по огневым позициям артиллерии обычно приводят к тому, что орудийные расчёты прекращают ведение огня и укрываются на период воздушной атаки в ровиках.</w:t>
      </w:r>
    </w:p>
    <w:p w14:paraId="7655F9C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Более длительное подавление огня артиллерии достигается нанесением потерь личному составу и выводом из строя орудий.</w:t>
      </w:r>
    </w:p>
    <w:p w14:paraId="5B5C522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Потери артиллерии в личном составе и в материальной части в результате действий авиации также в значительной мере зависят от степени укрытия её в фортификационных сооружениях. Материальная часть нормально окопавшейся артиллерии на огневых позициях несет потери лишь при попадании авиабомб в орудийные ровики, при этом: – мелкие осколочные бомбы типа АО-2.5 наносят поражения прицельным приспособлениям, а в отдельных случаях и противооткатным механизмам орудий; – осколочные бомбы калибра 8-10 кг обычно выводят орудие из строя, пробивая осколками цилиндры компрессора, гидравлические тормозы пружины накатника, стволы и прицельные приспособления; 10 – фугасные авиабомбы с взрывателем мгновенного действия при прямом попадании полностью уничтожают материальную часть; попадания крупных осколочных бомб (20-25 кг) или осколочно фугасных (типа ФАБ-50-М9) непосредственно в орудийные ровики также накосят трудно поправимые повреждения или безвозвратно выводят орудие из строя. Так, например, при взрыве 50-кг осколочно фугасной бомбы в орудийном ровике в 3 м от зенитной пушки среднего калибра образовалась воронка диаметром 2.5 м, глубиной 0.6 м; осколками; бомбы был убит весь орудийный расчёт, а пушка на долгое время выведена из строя.</w:t>
      </w:r>
    </w:p>
    <w:p w14:paraId="7FC7D28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22 июля 1943 г. в районе Золотарево (Брянский фронт) одна из зенитных батарей была атакована с пикирования с высоты 1500 м тремя Ю-87, сбросившими толстостенные фугасные 50-кг бомбы SD с взрывателем, установленным на малое замедление. Во время атаки батарея вела огонь по пикирующим самолётам и сбила два Ю-87. Всего по батарее было сброшено семь бомб SD-50, из них три разорвались на огневой позиции и четыре – на удалении около 100 м. Батарея имела укрытия нормального профиля, отрытые на глубину 1,10—1.20 м. Из упавших на позиции батареи трёх бомб одна взорвалась в 4, вторая – в 5 и третья – в 7 м от 88-мм орудий. </w:t>
      </w:r>
      <w:r w:rsidRPr="00070ADE">
        <w:rPr>
          <w:rFonts w:ascii="Times New Roman" w:hAnsi="Times New Roman"/>
          <w:color w:val="000000" w:themeColor="text1"/>
          <w:sz w:val="16"/>
          <w:szCs w:val="16"/>
        </w:rPr>
        <w:lastRenderedPageBreak/>
        <w:t>В результате взрыва бомб были выведены из строя три пушки, дальномер, ПУАЗО-3 и орудийные расчёты. Материальная часть, за исключением одного орудия, получившего пробоину в стволе, имела легко исправимые повреждения.</w:t>
      </w:r>
    </w:p>
    <w:p w14:paraId="2FE40EE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Взрыв осколочных, а также бомб с взрывателем мгновенного действия в непосредственной близости от укрытий наносит поражения лишь материальной части, выступающей из укрытий (стволы орудия, приборы и т. л.}.</w:t>
      </w:r>
    </w:p>
    <w:p w14:paraId="5B1DBFC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Взрыв фугасных авиабомб с нормальным замедлением взрывателя имеет небольшой радиус действия, так как осколки и взрывная волна бомбы, взорвавшейся в земле, направлены вверх и способны наносить поражение в объёме конуса с вершиной в точке взрыва и с раствором угла между образующей и осью конуса в пределах 45—60°. Поэтому взрыв даже крупных фугасных бомб наносит незначительные поражения материальной части артиллерии. Так, на позицию полевой артиллерии упала 250-кг фугасная авиабомба в 7 м от орудия, расчёт которого находился на своих боевых местах. В результате взрыва бомбы образовалась воронка глубиной 1,8 м и диаметром 6 и осколками бомбы был ранен только один боец из расчета и поцарапаны некоторые детали пушки; царапины эти не повлияли на боеспособность пушки.</w:t>
      </w:r>
    </w:p>
    <w:p w14:paraId="1F528CF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Еще меньше сказывается на материальной части артиллерии действие взрывной волны. Даже хрупкие приборы в ряде случаев получали только исправимые повреждения, хотя фугасные бомбы взрывались на небольшом расстоянии от них. Так, при налёте немецкой авиации на железнодорожный узел Курск 2 июня 1943 г. две 250-кг фугасные бомбы взорвались в 7 м от ровика ПУАЗО, образовав воронки диаметром 8 м и глубиной 2.5 м. Прибор возвышался над уровнем земли на 0.3 м. Ударной волной взрыва прибор был опрокинут и получил при этом повреждения, требующие лишь заводского ремонта.</w:t>
      </w:r>
    </w:p>
    <w:p w14:paraId="3CF75DA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наибольшие потери артиллерия, так же как и живая сила, несет от осколочных бомб, так как поражение орудий прямыми попаданиями фугасных бомб маловероятно из-за малого числа точек поражения. Вероятность попадания авиабомб в позицию артиллерийской батареи и в орудийные ровики несколько больше, чем в стрелковые окопы, но все же она не столь велика, чтобы обеспечивать поражение артиллерии при малом числе сбрасываемых бомб; поэтому в практике боевой деятельности авиации нередки случаи, когда серии бомб перекрывают артиллерийские позиции и, разрываясь вне ровиков, временно подавляют огонь атакуемых батарей, не нанося поражения материальной части и прислуге, находящемся в укрытиях.</w:t>
      </w:r>
    </w:p>
    <w:p w14:paraId="78D10C7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Показательны в этом отношении действия трёх групп самолётов Ил-2 по артиллерийской батарее среднего калибра в районе Новосиль 12 ноября 1943 г. По данной цели были сброшены 37 самолётами бомбы ФАБ-100; кроме того, батарея была обстреляна пушечным огнем и РС. Непосредственно на позиции батареи было 7 попаданий ФАБ-100, однако материальная часть и расчёт потерь не имели.</w:t>
      </w:r>
    </w:p>
    <w:p w14:paraId="06D8E71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действии авиации по артиллерийским батареям, находящимся на огневых позициях, сильно снижаются, когда объекты атаки хорошо прикрываются зенитным огнём. Так, в районе Золотарево (Брянский фронт) четыре зенитных батареи девять раз подвергались ударам авиации противника, действовавшей в группах из 3-27 самолётов Ю-87. Во всех случаях бомбометание производилось с пикирования. Из девяти случаев нападения только в одном авиации противника удалось подавить одну батарею; в остальных случаях все батареи вели огонь по самолётам противника и потерь не имели.</w:t>
      </w:r>
    </w:p>
    <w:p w14:paraId="4A25079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Артиллерия, находящаяся вне укрытий (в местах сосредоточений и на походе), несет несравненно большие потери, так как в этих случаях осколками бомб цель поражается на расстоянии до 20—30 м. от очага взрыва; кроме того, артиллерия вне укрытий уязвима и для пушечно-пулемётного огня самолётов. Так, 3 августа 1943 г. восемь самолётов Пе-2 нанесли удар по батарее противника в районе хутора Березов.</w:t>
      </w:r>
    </w:p>
    <w:p w14:paraId="09A0D6D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Бомбометание производилось с горизонтального полета с высоты 3000 м фугасными осколочными бомбами. Всего было сброшено 44 ФАБ-100, 8 ФАБ-50 и 42 бомбы АО-10. Батарея не успела окопаться и потому представляла легко уязвимую цель. После занятия хутора Березов нашими войсками проверкой было установлено, что серии бомб точно перекрыли огневую позицию батареи. Одно орудие было уничтожено в результате прямого попадания бомбы; взрывами других бомб было опрокинуто второе орудие и два зарядных ящика, а также выведены из строя остальные орудия батареи, разрушен командный пункт противника и уничтожены орудийные расчеты.</w:t>
      </w:r>
    </w:p>
    <w:p w14:paraId="7A5FC02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июля 1943 г. две группы самолетов противника (33 и 22 Ю-87) в районе железнодорожной станции Моховое (Брянский фронт) нанесли удар по двум полкам артиллерии, один из них – тяжёлый артиллерийский полк – занял огневые позиции, но не успел оборудовать на них укрытий для материальной части и личного состава, а другой – полк 76-мм пушек – только что подошел к намеченным позициям и к моменту атаки самолетов противника не успел даже рассредоточиться. Атака производилась фугасными и осколочными бомбами, сбрасываемыми с пикирования. Противодействия с земли и в воздухе атакующим самолетам противника оказано не было. В результате атаки полки понесли большие потери в материальной части; в тяжёлом артиллерийском полку было выведено из строя 6 орудий, 4 трактора-тягача и несколько автомашин, в полку 76-мм пушек – вся материальная часть. Личный состав также имел потери, особенно большие потери в личном составе были в полку 76-м м пушек.</w:t>
      </w:r>
    </w:p>
    <w:p w14:paraId="465BE9F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 1. Артиллерия на огневых позициях, нормально оборудованных укрытиями, несёт потери от действий авиации лишь в результате попадания бомб в укрытия или в результате их падения в непосредственной близости от укрытий: при этом наиболее часто бывают поражены приборы управлении огнем, дальномеры и прицельные приспособления орудий, которые выводятся из строя не только осколками, но и взрывной волной фугасных бомб.</w:t>
      </w:r>
    </w:p>
    <w:p w14:paraId="4F2B995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Артиллерийские орудия выходят из строя в результате взрыва фугасных бомб в котловане окопа или на его бруствере; при взрыве в тех же условиях осколочных бомб калибра 8—35 кг орудия выходят из строя в результате поражения осколками прицельных и противооткатных устройств, а также стволов пушек.</w:t>
      </w:r>
    </w:p>
    <w:p w14:paraId="56A6C5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Личный состав несёт потери при прямом попадании бомб в орудийные ровики, а также в тех случаях, когда батарея ведёт огонь во время атаки самолетов противника.</w:t>
      </w:r>
    </w:p>
    <w:p w14:paraId="56EF9A4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Вне укрытий (в местах сосредоточений, на походе) артиллерия представляет хорошую цель и несёт большие потери как в материальной части, так и в личном составе от осколочных бомб и пулеметно- пушечного огня авиации.</w:t>
      </w:r>
    </w:p>
    <w:p w14:paraId="40FE16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Для поражения материальной части окопавшейся артиллерии на огневых позициях наилучший результат дают осколочные бомбы калибра 8-25 кг. Более крупные калибры бомб могут быть необходимы только при действиях авиации по тяжелой артиллерии.</w:t>
      </w:r>
    </w:p>
    <w:p w14:paraId="6EA2661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Эффективность действий авиации по танкам</w:t>
      </w:r>
    </w:p>
    <w:p w14:paraId="673281B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поражения, танков авиация использует 20-25-кг осколочные бомбы, 50-кг осколочно фугасные (переделанные из снарядов), ФАБ-50 и ФАБ-100, специальные противотанковые бомбы ПТАБ-2.5-1.5, а также огонь 23-мм пушек ВЯ и 37-мм – системы ОКБ-16.</w:t>
      </w:r>
    </w:p>
    <w:p w14:paraId="17A7979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всех этих средств поражения только ПТАБ-2.5-1.5 является универсальной: бомбой, обладающей достаточной мощностью для поражения всех типов танков и других подвижных бронированных целей, встречающихся на поле боя (самоходные пушки, бронемашины, бронетранспортёры). Остальные бомбы поражают преимущественно только легкие и частично средние танки; тяжёлые танки поражаются фугасными бомбами в результате прямого попадания и осколочно фугасными при попадании в наиболее уязвимые места.</w:t>
      </w:r>
    </w:p>
    <w:p w14:paraId="137009C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Осколочные бомбы АО-20 и АО-25 поражают легкие танки на расстоянии 2.0-3.0 м, а средние на расстоянии 0.3-0.5 м. При этом надёжное поражение средних танков может быть достигнуто лишь в результате прямого попадания бомбы в крышу или в гусеницы. Тяжёлые танки иногда выводятся яз строя осколочными бомбами в результате прямого попадания в гусеницы и в некоторые части крыши. Однако вероятность попадания в такие места ничтожно мала вследствие незначительных размеров поражаемой площади цели.</w:t>
      </w:r>
    </w:p>
    <w:p w14:paraId="4C32C89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Осколочно фугасные 50-килограммовые бомбы поражают лёгкие танки на расстоянии до 3-4 м и средние до 2.0-2.5 м. Средние и тяжёлые танки надёжно поражаются этими бомбами только при попадании в крышу или в ходовую часть танка.</w:t>
      </w:r>
    </w:p>
    <w:p w14:paraId="534536E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Фугасные бомбы ФАБ-50 и ФАБ-100 с мгновенно действующим взрывателем поражают осколками лёгкие танки на расстоянии не больше 3 и 5 м, средние на расстоянии 1.5-2.0 и 2.5-3.0 м, тяжёлые – при прямом попадании в танк или при падении бомбы не далее 0.5 м от гусеницы. При взрыве фугасной бомбы около гусеницы тяжёлых танков поражение наносится только их ходовой части.</w:t>
      </w:r>
    </w:p>
    <w:p w14:paraId="2157CF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Взрывная волна фугасных бомб ФАБ-50 и ФАБ-100 разрушает броню корпуса танков только в результате прямого попадания. При взрыве ФАБ-100 с взрывателем, установленным на замедление, в непосредственной близости от лёгких танков, последние опрокидываются от действия взрывной волны. При этом обычно разрушается ходовая часть танка и сбрасывается орудийная башня, корпус же танка взрывной волной разрушается в редких случаях. Так, в районе деревня Грачики один, из наших танков Т-70 был перевёрнут через корму взрывом бомбы калибра 50-100 кг, разорвавшейся в 0.5 м от танка. В результате взрыва бомбы с танка была сорвана правая гусеница и в нескольких местах пробита осколками бомбы броня корпуса.</w:t>
      </w:r>
    </w:p>
    <w:p w14:paraId="40B97EB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Крупные фугасные бомбы с взрывателем, установленным на мгновенное действие, уничтожают легкие и средине танки при взрыве в непосредственной близости от танка и накосят поражения на расстоянии около 5 м.Фугасные бомбы крупного калибра с взрывателем, установленным на замедление, уничтожают или выводят средние и тяжёлые танки из строя только в тех случаях, когда очаг взрыва и воронка находятся под танком.</w:t>
      </w:r>
    </w:p>
    <w:p w14:paraId="273F0AF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районе деревни Грачики немецкая 1000-кг фугасная бомба с взрывателем замедленного действия упала около среднего танка Т-34. От взрыва бомбы образовалась воронка диаметром 18 м и глубиной 5,5.</w:t>
      </w:r>
    </w:p>
    <w:p w14:paraId="3894B9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был полностью уничтожен, башня его оказалась на краю воронки, а остальные разбитые части и целые агрегаты были разбросаны вокруг воронки на расстоянии до 15 м от её краёв.</w:t>
      </w:r>
    </w:p>
    <w:p w14:paraId="3CA8513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Малые размеры и большая прочность танков, благодаря которым для их поражения требуется прямое попадание или взрыв бомб в непосредственной близости от танков, обусловливают низкую вероятность попадания и вследствие этого малую эффективность бомбардировочных действий авиации. В большинстве случаев действиями авиации по танкам осколочными фугасными бомбами достигается моральное воздействие, временная дезорганизация боевых порядков танков, поражение поддерживающей мотопехоты, уничтожение тылов, питающих танковые части, и ремонтных баз, а также нарушение управления вследствие вывода из строя средств связи (радиостанций). Боевая материальная часть, особенно тяжёлые и средние танки, несут при этом ничтожно малые потери.</w:t>
      </w:r>
    </w:p>
    <w:p w14:paraId="2040E58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Применение авиационных пушек для борьбы с танками увеличивает эффективность действий авиации, однако возможности этого вида оружия также невелики.</w:t>
      </w:r>
    </w:p>
    <w:p w14:paraId="74B3370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Стрельба из 23-мм пушек ВЯ эффективна только по легким танкам и бронемашинам с толщиной брони до 20 мм. Средние танки, как правило, они не поражают, 37-мм пушки системы ОКБ-16 успешно поражают средние танки, а при отличной стрелковой подготовке и высоком лётном мастерстве экипажей, ведущих огонь на малых дальностях по уязвимым местам, – тяжелые танки типа Т-V («Пантера»).</w:t>
      </w:r>
    </w:p>
    <w:p w14:paraId="1A51E09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возможности борьбы с танками для самолётов, вооружённых 37-мм пушками, ограничены, так как боекомплект их состоит из 30-80 патронов, а вероятность попадания в танк, представляющий собой точечную цель, даже при стрельбе из редукторной пушки в полигонных условиях не превышают в среднем 6 %.</w:t>
      </w:r>
    </w:p>
    <w:p w14:paraId="5222597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Эффективность стрельбы из 37-мм пушки штурмовика Ил-2 значительно ниже, чем истребителя, так как большая сила отдачи пушек, установленных в крыльях, увеличивает рассеивание снарядов.</w:t>
      </w:r>
    </w:p>
    <w:p w14:paraId="0ACF558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Наиболее эффективным средством борьбы с танками являются специальные противотанковые бомбы ПТАБ-2.5-1.5, впервые применённые нашей авиацией в летних операциях 1943 г, Несмотря на малый вес (1.5-1.6 кг), эта бомба при прямом попадании под углом 0° от нормали прожигает броню толщиной до 60 мм. Одновременно с этим при попадании в корпус танка она воспламеняет бензиновые баки, поражает взрывной волной и осколками брони экипаж танка и в некоторых случаях вызывает взрыв боеприпасов.</w:t>
      </w:r>
    </w:p>
    <w:p w14:paraId="4F108BA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Высокая эффективность этой бомбы объясняется направленным действием взрывной волны, скорость которой достигает 11 000 м/сек. Боевое .применение ПТАБ показало их высокую эффективность при действиях по танкам и самоходным орудиям, по автотранспорту, бронепоездам и другим целям.</w:t>
      </w:r>
    </w:p>
    <w:p w14:paraId="48C9A82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Изучение эффективности действия ПТАБ по танкам и самоходным пушкам, уничтоженным нашими штурмовиками и оставленным противником при его отступлении, показывает, что в результате прямого попадания в танк (самоходную пушку) последний уничтожается или выводится из строя. Попадание бомбы в башню или корпус вызывает воспламенение танка или взрыв его боеприпасов, приводящий, как правило, к полному уничтожению танка. При этом ПТАБ-2.5-1.5 с одинаковым успехом уничтожает лёгкие и тяжёлые танки. Так, на поле боя в районе Поныри была обнаружена немецкая самоходная пушка «Фердинанд», уничтоженная ПТАБ. Бомба топала в броневую крышку левого бензобака, прожгла 20-мм броню, взрывной волной разрушила бензиновый бак и воспламенила бензин. Пожаром было уничтожено всё оборудование и взорваны боеприпасы.</w:t>
      </w:r>
    </w:p>
    <w:p w14:paraId="7B44EC5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районе ст. Хотынец остался немецкий тяжелый танк Т-V («Пантера»), разрушенный прямыми попаданиями трех ПТАБ. Бомбы, попавшие в наклонный броневой пояс корпуса танка под основанием башни, прожгли 45-мм браню и вызвали .пожар танка.</w:t>
      </w:r>
    </w:p>
    <w:p w14:paraId="1E2C59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районе деревни Драгунская (10 км севернее Томаровка) противник оставил на поле боя шесть танков Т-V, разрушенных бомбами ПТАБ-2.5-1.5. Все они сгорели; в четырёх из них произошёл взрыв боеприпасов.</w:t>
      </w:r>
    </w:p>
    <w:p w14:paraId="2672091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Бомбометание ПТАБ повысило эффективность действий авиации по танкам противника.</w:t>
      </w:r>
    </w:p>
    <w:p w14:paraId="7FD4B5A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Применение ПТАБ-2.5-1.5 во много раз увеличило вероятность прямого попадания в танк, так как большое количество бомб, сброшенных с одного самолёта, покрывает большую площадь, создавая на ней достаточную плотность разрывов. Полоса разлёта бомб нередко перекрывает 2-3 танка, удаленных один от другого на 60—75 м; поэтому в результате действий авиации по рассредоточенным боевым порядкам и колоннам танков противника последние обычно несут большие потери. Это подтверждается следующими примерами.</w:t>
      </w:r>
    </w:p>
    <w:p w14:paraId="1E49241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июля 1943 г четыре Ил-2 614 шап атаковали в районе Подмаслово (Брянский фронт) группу наступающих танков противника в составе 25 машин, среди которых было до 10 «Тигров». Атака производилась с горизонтального полета с высот 130-150 м; при этом экипажами было сброшено 1190 ПТАБ- 2.5-1.5. В результате было сожжено 7 танков, в том числе 4 тяжёлых.</w:t>
      </w:r>
    </w:p>
    <w:p w14:paraId="76F9E2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июля 1943 г. 23 самолёта Ил-2 810 шап атаковали скопление танков и автомашин в районе Подмаслово, Федоровка, Филатово. На танки противника было сброшено 2700 ПТАБ. В результате атаки было уничтожено, по наблюдению экипажей, 17 танков и до 40 автомашин.</w:t>
      </w:r>
    </w:p>
    <w:p w14:paraId="6B71C8D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июля 1943 г. две восьмерки штурмовиков 291 шад атаковали колонну противника, движущуюся в составе около 400 танков по дороге от Томаровка на Черкасское. Каждая группа штурмовиков сделала по два захода на цель, сбросив противотанковые бомбы с высоты 300-200 м. В результате удара было сожжено до 20 танков; движение колонны было нарушено, так как противник свернул с дороги и поспешил рассредоточиться в окружающих лесах и лощинах.</w:t>
      </w:r>
    </w:p>
    <w:p w14:paraId="0732E99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 применения ПТАБ-2.5-1.5 показал, что наилучшие результаты достигаются при сбрасывании их с высоты 400—300 м на выходе из планирования или с высот 120-150 м с горизонтального полёта.</w:t>
      </w:r>
    </w:p>
    <w:p w14:paraId="4738786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Бомбометание с высот 500 м и выше давало большой разнос бомб, в результате чего плотность очагов поражение оказывалась недостаточной, так как бомбы падали на расстоянии 30-40 м одна от другой. В отдельных случаях применялись противотанковые бомбы по танкам, укрывавшимся в лесу, что также не давало должного эффекта, так как ПТАБ взрывались при ударе о вершины и сучья деревьев и не могли поразить танки.</w:t>
      </w:r>
    </w:p>
    <w:p w14:paraId="5C70283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Выводы. </w:t>
      </w:r>
    </w:p>
    <w:p w14:paraId="55C3982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Эффективность действий авиации по танкам с применением осколочных и фугасных бомб а также авиационных пушек слабая.</w:t>
      </w:r>
    </w:p>
    <w:p w14:paraId="4BB1DA2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Танковые части и соединения, широко применяющие меры маскировки и рассредоточения, обычно несут незначительные потери.</w:t>
      </w:r>
    </w:p>
    <w:p w14:paraId="010AE1E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Наиболее эффективным средством поражения танков являются специальные противотанковые бомбы ПТАБ-2.5-1.5 которые при прямом попадавши в танк (самоходную пушку) любого типа, как правило, выводят его из строя или полностью уничтожают в результате возникающего пожара и взрыва боеприпасов.</w:t>
      </w:r>
    </w:p>
    <w:p w14:paraId="1989760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Применение ПТАБ сильно увеличило вероятность прямого попадания в малые бронированные цели, так как бомбы, сброшенные одним самолётом, покрывают большую площадь, создавая плотность разрывов, вполне достаточную для поражения малоразмерной цели.</w:t>
      </w:r>
    </w:p>
    <w:p w14:paraId="498177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Эффективность ПТАБ сильно уменьшается при действиях по танкам, укрытым в густом лесу, так как взрыв бомб происходит вверху и не поражает танки. В подобных случаях следует применять для борьбы с танками фугасные бомбы ФАБ-100, а в сухую погоду АЖ-2 с КС; с целью создания пожара в лесу и «выкуривания» противника из него.</w:t>
      </w:r>
    </w:p>
    <w:p w14:paraId="06D285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Эффективность действий авиации по живой силе и техническим средствам борьбы в значительной мере зависит от применяемых авиацией средств поражения. При этом наиболее эффективным средством поражения живой силы и боевой техники являются главным образом осколочные авиабомбы различных типов. Исключением являются действия по &lt;неразборчиво&gt; и узлам сопротивления противника, состоящим из системы ДЗОТ или ДОТ полевого типа, для разрушения которых обычно требуется прямое попадание фугасных авиабомб калибра от 50 до 500 кг. Примеры из боевой деятельности войск наглядно доказывают, что эффективность действий авиации по живой силе и техническим средствам борьбы зависит не только от подготовленности летного состава и применяемых средств поражения, но и от положения, занимаемого наземными войсками в момент атаки самолетов противника. Как правило войска, широко применяющие меры пассивной зашиты от нападения с воздуха (рассредоточение, укрытие, маскировка) несут незначительные потери даже в условиях неподготовленной для укрытия войск местности Когда же войска укрыты в фортификационных сооружениях (щели, окопы, блиндажи и т. д.), потери от действия авиации ничтожно малы.</w:t>
      </w:r>
    </w:p>
    <w:p w14:paraId="5556F0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ЭФФЕКТИВНОСТЬ ФУГАСНЫХ И ОСКОЛОЧНЫХ АВИАБОМБ (ПО ОПЫТУ ВЕЛИКОЙ ОТЕЧЕСТВЕННОЙ ВОЙНЫ)</w:t>
      </w:r>
    </w:p>
    <w:p w14:paraId="03463FC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Владимир Бойченко </w:t>
      </w:r>
    </w:p>
    <w:p w14:paraId="3908CA4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(Продолжение. Начало в «АКО» №5 2005 г.)</w:t>
      </w:r>
    </w:p>
    <w:p w14:paraId="214590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бронетехнике</w:t>
      </w:r>
    </w:p>
    <w:p w14:paraId="04CF80C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началом Великой Отечественной, против танков советская авиация применяла в основном штатные фугасные и осколочные авиабомбы. Однако принятие на вооружение специализированных противотанковых авиабомб не исключало прежних алгоритмов работы авиации по целям этого типа. Комиссия ВВС обследовала в основном образцы бронетехники противника, выведенной из строя «фугасками».</w:t>
      </w:r>
    </w:p>
    <w:p w14:paraId="278D0AE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Они констатировали в своём отчёте, что одна из ФАБ-50 взорвалась в 0,3 м позади немецкой САУ «Артштурм» в капонире, отрытом в торфянистом грунте. Толщина её кормовых броневых листов была 13-14 мм. Взрывом разрушило броню моторно трансмиссионнного отделения, сбросило верхние бронелисты боевой рубки, сорвало гусеницы и оторвало оба направляющих катка.</w:t>
      </w:r>
    </w:p>
    <w:p w14:paraId="68E7C5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 что немцы не гнушались использовать советскую бронетехнику, вроде перестало в кругах историков претендовать на сенсацию. Удивительно другое - как нашим авиаторам удавалось разглядеть с высоты кресты на башнях. Хотя, возможно, бомбили просто танки в районах, где наши сухопутные войска ещё не могли появиться. К примеру, одна из ФАБ-100 угодила в полуметре от трофейного Т-34, образовав воронку диаметром 4,0 м и глубиной 0,9 м, разорвав гусеницу и деформировав ближайший к месту взрыва опорный каток. В итоге наша бригада из трёх ремонтников восстановила машину за 3,5 ч и передала её танкистам проходившего мимо полка.</w:t>
      </w:r>
    </w:p>
    <w:p w14:paraId="1E920A8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Зато второму трофейному Т34 повезло меньше ФАБ-250 попала ему под левую гусеницу, образовав в болотистом грунте воронку диаметром 8 м. Взрывом сорвало башню и отбросило её на 12 м, вырванный двигатель улетел на 18 м, отдельные крупные агрегаты разметало в радиусе до 30 м.</w:t>
      </w:r>
    </w:p>
    <w:p w14:paraId="63AA131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Ещё одна ФАБ-250 с взрывателем, установленным на замедление, попала в 1,5 м от 75мм САУ «Артштурм», образовав воронку диаметром 5,7 м и глубиной 1,2 м. Установка сгорела полностью, боеприпасы взорвались, верхний бронелист боевой рубки отбросило на 10 м, соединение бронелистов корпуса нарушилось, и машина восстановлению не подлежала.</w:t>
      </w:r>
    </w:p>
    <w:p w14:paraId="0EAB287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 паре тяжёлых немецких «Тигров» авиаторы отбомбились фугасными ФАБ-250, ФАБ100, ФАБ-50 с взрывателями, установленными на замедление, и бронебойными БРАБ. При этом один танк был на ходу и буксировал вторую машину на гибкой сцепке. Одна из ФАБ250 взорвалась в 4,6 м от </w:t>
      </w:r>
    </w:p>
    <w:p w14:paraId="573CC9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кормы первой машины, образовав в суглинке воронку диаметром 6,8 м и глубиной 1,9 м. Взрывной волной и осколками пробило и помяло все внешние узлы конструкции, выполненные из неброневой стали. Иных существенных повреждений машина не получила. А одна из ФАБ-50 попала в 0,4 м от второго танка, образовав воронку диаметром 1,5 м и глубиной 0,4 м, наполовину перебив одно звено гусеницы. Ещё одна из ФАБ-250 взорвалась в 5,1 м от танка. Воронка от неё составила 7,3 м в диаметре и 1,7 м глубиной, но это также не причинило машине повреждений.</w:t>
      </w:r>
    </w:p>
    <w:p w14:paraId="520482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ФАБ-100 с взрывателем, установленным на замедление, угодила в 6,2 м от тяжёлой немецкой «Пантеры», образовав воронку диаметром 4,3 м и глубиной 1,0 м. Осколками пробило дульный тормоз её 75-мм пушки, но, тем не менее, экипаж покинул вполне исправную и заправленную машину. Ну что ж, говорят, на войне не обязательно убивать противника, бывает достаточно напугать его до смерти...</w:t>
      </w:r>
    </w:p>
    <w:p w14:paraId="12197E9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Единственная ФАБ-250 с взрывателем мгновенного действия попала в 1,8 м от 150-мм САУ «Насхорн» с корпусом из бронеплит толщиной 20-30 мм, образовав воронку диаметром 3,5 м и глубиной 0,6 м, пробив корпус боевой рубки и вызвав детонацию боезапаса. САУ, естественно, была уничтожена.</w:t>
      </w:r>
    </w:p>
    <w:p w14:paraId="7719EAC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комиссия признала, что бомбардировка средней и тяжёлой бронетехники 50 и 100-кг фугасными авиабомбами практически бесполезна. Попадание ФАБ-250 в непосредственной близи от танка уничтожает машину, а радиус действия их по средним и тяжёлым машинам не превышает радиуса воронки. Вероятность попадания осколков ФАБ-50 и ФАБ-100 в боекомплект танков и САУ невелика, а применение «фугасок» по танкам нецелесообразно.</w:t>
      </w:r>
    </w:p>
    <w:p w14:paraId="384FB2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автотранспорту</w:t>
      </w:r>
    </w:p>
    <w:p w14:paraId="6486521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бомбометания по автотранспорту (в колоннах и местах его сосредоточения) в Великую Отечественную применяли в основном осколочные авиабомбы. Кроме того, по целям этого типа в штурмовой и истребительной авиации куда чаще и с неменьшим успехом использовали стрелково-пушечное и ракетное вооружение. Однако комиссия ВВС уделила внимание лишь результатам бомбардировки автомашин и небронированных транспортёров именно фугасными авиабомбами.</w:t>
      </w:r>
    </w:p>
    <w:p w14:paraId="1009166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примеру, ФАБ-50м9 взорвалась между гусеницами самоходной полевой кухни, образовав в чернозёме воронку диаметром 2,5 м и глубиной 0,3 м. Ходовую часть машины сильно деформировало, а сама она полностью сгорела. Солдаты противника остались голодными.</w:t>
      </w:r>
    </w:p>
    <w:p w14:paraId="47AC33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ФАБ-100 угодила в 14,8 м от грузовика с пиротехникой и ёмкостями с горючим, образовав в чернозёме воронку диаметром 4,0 м и глубиной 0,8 м. Осколками боеприпаса пробило баки с нефтепродуктами и вызвало детонацию пиротехники. Машина сгорела полностью.</w:t>
      </w:r>
    </w:p>
    <w:p w14:paraId="34471C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Другая ФАБ-100 упала в 4,6 м от легковой автомашины на открытой местности, образовав в чернозёме воронку диаметром 4,2 м и глубиной 1,0 м. Авто полностью сгорело.</w:t>
      </w:r>
    </w:p>
    <w:p w14:paraId="2715DF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ФАБ-50М (но, скорее всего, это была АО-50-100 с взрывателем мгновенного действия), угодив в угол сарая, взорвалась на высоте 3,5 м в 5 м от полугусеничного БТР и в 7 м от легковой автомашины. Осколки боеприпаса встретились с горизонтальными бронеплитами толщиной 6 мм под углом 50° к нормали, без труда пробив её во многих местах и выведя двигатель машины из строя. БТР прикрыл собой легковушку, и у неё лишь посекло осколками ветровое стекло и кузов. Таким образом, осколками ФАБ-50 было признано возможным пробивать бронезащиту легкобронированной техники. А действие ФАБ-100 по автомобилям посчитали чрезвычайно эффективным и на расстоянии до 15 м. О нормальной статистике здесь речи и не шло. Зачастую выводы об эффективности боеприпасов делали по 1-2 выборкам, что во все времена считалось не совсем корректным.</w:t>
      </w:r>
    </w:p>
    <w:p w14:paraId="0D38E61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железнодорожным путям и транспорту</w:t>
      </w:r>
    </w:p>
    <w:p w14:paraId="5AE0CA6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Бомбометание по железнодорожным станциям, узлам и перегонам советские авиаторы выполняли в Великую Отечественную войну для дезорганизации перевозок противника. И то, что цели этого типа оказались живучими, а восстанавливали их зачастую очень быстро, подтверждает, что в России из-за недостаточно развитой дорожной сети немцы также уделяли большое внимание железнодорожным перевозкам.</w:t>
      </w:r>
    </w:p>
    <w:p w14:paraId="7CC223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Цели эти довольно крупные, в сравнении с зоной действия фугасной авиабомбы, состоят из простейших дискретных элементов и не требуют для ремонта высокой квалификации персонала.</w:t>
      </w:r>
    </w:p>
    <w:p w14:paraId="3ECDE59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Кстати, сегодня в России железным дорогам военные уделяют внимания не меньше, а скорость восстановления путей нашими желдорвойсками превышает «мыслимую скорость их выведения из строя».</w:t>
      </w:r>
    </w:p>
    <w:p w14:paraId="7BEDF8B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Иное дело живучесть отдельных объектов на станциях... Ведь каждый состав не сделать бронепоездом. ФАБ250 с взрывателем, установленным на замедление, взорвалась между колеями путей, образовала воронку диаметром 7,5 м и глубиной 2,0 м, перебив у одной колеи семь шпал, погнув рельс и сбросив с них два вагона. У другой колеи шпалы вздыблены и разбросаны, один рельс разорван в месте стыка, второй деформирован. В семи метрах осколками пробило стенки вагона с боеприпасами, и ...пошло поехало.</w:t>
      </w:r>
    </w:p>
    <w:p w14:paraId="736B98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Другая ФАБ-250 взорвалась в 0,7 м от передних бегунков паровоза, осколками пробило его тендер и бункер, многие агрегаты, в результате чего котёл взорвался. Рядом ФАБ-100 угодила в 1,7 м от состава, обломав конец шпалы и погнув рельс. Но её силы хватило, чтобы опрокинуть пустой двухосный пульман. У вагона проломлен пол, сорвана металлическая дверь, но рама и колёса повреждений не получили. ФАБ-100 с взрывателем, установленным на замедление, попала в 4 м от товарного вагона и посекла его осколками. Шпалы, рельсы, ходовая часть вагона повреждений не получили.</w:t>
      </w:r>
    </w:p>
    <w:p w14:paraId="01C1FD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желдорпути возможно разрушать «фугасками» всех калибров, но эффект от боеприпасов со взрывателями, установленными на замедление, получается только при их попадании не далее, чем в радиусе воронки. При этом поражение различной степени тяжести получают также 1-2 находящихся рядом вагона. Паровозы с разведёнными парами были признаны взрывоопасным транспортным средством и легкоуязвимыми целями.</w:t>
      </w:r>
    </w:p>
    <w:p w14:paraId="0A22765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шоссе и дорогам</w:t>
      </w:r>
    </w:p>
    <w:p w14:paraId="6722A3F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Разрушать автодороги путём бомбометания в Великую Отечественную не приходило в голову никому. Армейскую автотехнику и так отличала от гражданских аналогов повышенная проходимость, так что объехать </w:t>
      </w:r>
    </w:p>
    <w:p w14:paraId="36FA6D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воронку им было затруднительно только в распутицу. Таким образом, большие воронки от «фугасок» скорее играли роль нынешних «лежачих полицейских», снижая скорость передвижения. Но и разогнаться по военным дорогам было невозможно разбитые гусеницами танков и колёсами тяжёлых орудий, неухоженные шоссе быстро превращались в «грунтовые натоптыши».</w:t>
      </w:r>
    </w:p>
    <w:p w14:paraId="405726A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Немцы к автомобильным коммуникациям относились более трепетно (их боевая техника, особенно в начале войны, не была рассчитана на русское бездорожье), и советские военнопленные под руководством их сапёров регулярно восстанавливали движение, засыпая воронки на дорогах. В основном, воронки на дорогах результат бомбардировки осколочными боеприпасами колонн автотехники или живой силы на марше. Однако в Красной Армии сапёры редко восстанавливали тыловые дороги, и потому считалось, что в некоторых случаях применение ФАБ способно существенно затруднить и дезорганизовать перевозки.</w:t>
      </w:r>
    </w:p>
    <w:p w14:paraId="6A720E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примеру, когда ФАБ-100 попала практически в центр просёлочной дороги шириной 6,7 м, она образовала в чернозёме воронку диаметром 4,7 м и глубиной 1,0 м, что вынудило организовать объезд.</w:t>
      </w:r>
    </w:p>
    <w:p w14:paraId="349EB74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Другая 100-килограммовка в городе угодила в мостовую с полотном из забетонированного камня толщиной 30 см, уложенное на супесчаный грунт, образовав воронку диаметром 4,8 м и глубиной 0,7 м. Трещины в покрытии от неё разбежались в радиусе 9,5 м. ФАБ-250 в таком же дорожном покрытии шириной 7 м образовала воронку диаметром 6,9 м и глубиной 1,05 м, полностью прервав движение. Зато взрыв ФАБ-500 создал воронку диаметром 9 м. и глубиной 2 м. Объезд в этом случае организовать не удалось мешали дома, стоящие по сторонам шоссе.</w:t>
      </w:r>
    </w:p>
    <w:p w14:paraId="47E99A9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большего эффекта при бомбёжке «фугасками» шоссе и дорог можно было добиться, «укладывая» их строго по разделительной полосе. В этом случае, даже если диаметр воронки меньше ширины проезжей части, объезд приходилось устраивать по обочине, через кюветы. Ещё большего эффекта можно было добиться на участках шоссе, проходящих через естественные теснины или по высоким насыпям.</w:t>
      </w:r>
    </w:p>
    <w:p w14:paraId="67DCB2D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гатям и деревянным мостам</w:t>
      </w:r>
    </w:p>
    <w:p w14:paraId="18C5414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великую Отечественную боевые действия проходили по многим участкам, покрытым топями и болотами. Например, в Белоруссии движение было возможно в основном по гатям, мостам, эстакадам и прочим искусственным транспортным сооружениям. Их разрушение или вывод из строя серьёзно нарушал и дезорганизовывал передислокацию живой силы и особенно техники. Гати, как правило, состояли из поперечного бревенчатого настила, уложенного на продольные лежни или фашины. Деревянные мостки на шоссейных и грунтовых дорогах - либо на свайных опорах, либо на опорах из брёвен на лежнях.</w:t>
      </w:r>
    </w:p>
    <w:p w14:paraId="6266784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ФАБ-50 взорвалась в 2 м от деревянного двухпролётного моста длиной 6,8 м и шириной 4,6 м, связывающего просёлочную дорогу. Средняя опора моста из трёх брёвен на лежнях, береговыми устоями также служили лежни. Толщина балок 40 см, настила 21 см, крепление скобами. После взрыва в песчаном грунте образовалась воронка диаметром 3,0 м и глубиной 1,5 м, крайнюю балку сдвинуло на 1,2 м, а настил поднялся на 0,3 м, но движение по мосту не прекратилось.</w:t>
      </w:r>
    </w:p>
    <w:p w14:paraId="1021A8D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ФАБ-100 угодила в 4,5 м от гати с бревенчатым настилом на лежнях из разобранных сельских построек, образовав воронку в болотистом грунте диаметром 7 м. Но транспортная коммуникация не пострадала. В 0,5 м от той же гати упали и три ФАБ-50, образовав воронки диаметром 5,5 м и нарушив проезд на протяжении 15 м. Правда, затем коммуникацию быстро восстановили из обломков тех же брёвен. Одной из ФАБ-50 удалось попасть точно в гать. Взрывом разрушило пять брёвен и порвало гусеницу двигавшейся по переправе 75-мм САУ. Движение прекратилось, и немцам оказалось проще построить для объезда дополнительную гать, чем сбросить САУ в топь.</w:t>
      </w:r>
    </w:p>
    <w:p w14:paraId="76581B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Очевидно, в ходе ее постройки авиаторы начали бомбить скопление боевой техники у переправы. Во всяком случае, множество воронок от авиабомб обнаружено по обе стороны от гати на участках дороги протяжённостью 300-350 м. В итоге немцы бросили три 37-мм зенитные автоматические пушки в транспортном положении (с передками), одну 5-см полевую противотанковую пушку, четыре 15-см гаубицы с передками, два зарядных ящика и повозку.</w:t>
      </w:r>
    </w:p>
    <w:p w14:paraId="2D1FEE3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деревни Карааки в Крыму немцы построили из фашин (диаметром 0,4 м и длиной 6-8 м) гать длиной 710 м и шириной 5,5 м через пролив Сиваш (про</w:t>
      </w:r>
    </w:p>
    <w:p w14:paraId="3D02D65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езжая часть шириной 3 м), которая возвышалась над водой на высоту 0,4-0,5 м. Боковые фашины ограждались анкерными кольями, а проезжая часть была выполнена из уложенных поперёк металлических брусьев штатного имущества понтонного парка. По этой переправе авиаторы применяли 50-, 100-, 250-и 500-кг «фугаски» (комиссия ВВС насчитала 60 бомбовых воронок). Прямое попадание было одно 100-кг авиабомбой, последствия от взрыва которой сапёры ликвидировали за 30-40 мин.</w:t>
      </w:r>
    </w:p>
    <w:p w14:paraId="30E605C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Таким образом, для разрушения гатей и небольших деревянных мостов требовалось прямое попадание ФАБ-50 или ФАБ-100, либо ими же, но не далее радиуса воронки. Прямое попадание авиабомбами даже не очень крупного калибра вызывало перерыв в движении по переправе на 30-40 мин., так как при наличии </w:t>
      </w:r>
      <w:r w:rsidRPr="00070ADE">
        <w:rPr>
          <w:rFonts w:ascii="Times New Roman" w:hAnsi="Times New Roman"/>
          <w:color w:val="000000" w:themeColor="text1"/>
          <w:sz w:val="16"/>
          <w:szCs w:val="16"/>
        </w:rPr>
        <w:lastRenderedPageBreak/>
        <w:t xml:space="preserve">ремкомплекта её исправление не вызывало затруднений. Признано целесообразным бомбить не сами переправы «фугасками», а скопление живой силы, транспорта и боевой техники возле них осколочными и противотанковыми авиабомбами. </w:t>
      </w:r>
    </w:p>
    <w:p w14:paraId="037856E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Такую искусственную «долговременную пробку» в городе нынешние московские водители объехали бы даже по забору...</w:t>
      </w:r>
    </w:p>
    <w:p w14:paraId="3AAB54F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 жилым домам и «постройкам гражданского типа» </w:t>
      </w:r>
    </w:p>
    <w:p w14:paraId="59E7F2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Всемерно стремясь задержать наступление советских войск, противник широко использовал населённые пункты сельского и городского типа в качестве опорных пунктов обороны. Особенно ярко это проявилось в Германии, где наличие большого количества каменных и кирпичных построек, плотность застройки и густота расположения населённых пунктов благоприятствовали организации в них обороны. Поэтому действие авиации и артиллерии по ним имела большое значение для поддержки наступления пехоты. </w:t>
      </w:r>
    </w:p>
    <w:p w14:paraId="324875D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попадании 50-кг «фугаски» с взрывателем мгновенного действия в крышу кирпичного сарая с черепичной крышей и стенами толщиной 25 см, как правило, взрывом разрушало крышу на площади 4 м2 и обваливало стену сверху на высоту 0,5 м. А при попадании ФАБ-50 с взрывателем мгновенного действия в 4-этажный кирпичный дом с черепичной крышей, перебивало до трёх балок стропил сечением 15x15 см и крышу разрушало на площади 15 м2. Ударной волной потолок верхнего этажа обваливало на площади 12 м2, хотя стены и пол в комнате повреждений не получали.</w:t>
      </w:r>
    </w:p>
    <w:p w14:paraId="20DE174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 ведении боевых действий бомбардировке подвергались городские кварталы из типовых для того времени двухэтажных кирпичных жилых домов. У немцев это были двухэтажные коттеджи, крытые черепицей. Причём, стены первого этажа толщиной в два кирпича, второго в один. При попадании в подобные сооружения сразу двух ФАБ-50 с взрывателями, установленными на мгновенное действие, к примеру, край крыши над торцевой стеной разрушало на площади 18 м2. Стена до потолка первого этажа повреждений не получала. Вторая авиабомба, попадая в центр крыши, разрушала её на площади до 25 м2. Потолок и стены комнаты под ней, как правило, повреждений не получали. </w:t>
      </w:r>
    </w:p>
    <w:p w14:paraId="032F7B3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 попадании 100-кг «фугаски» с взрывателем мгновенного действия в деревянный одноэтажный дом под оцинкованной металлической крышей, взрывом уничтожало всю крышу и образовывало пролом в потолочном перекрытии, а весь дом (на каменном фундаменте) перекашивало. Бомбардировка такими же боеприпасами 3-этажных жилых домов под металлической крышей приводила к подрыву авиабомбы в чердачном помещении, крышу срывало на площади 110-120 м2, перебивало до четырёх балок потолочного перекрытия сечением 20x25 см, в перекрытии образовывалась пробоина диаметром от 2,4 до 5,0 м и разрушался простенок толщиной в 0,5 кирпича. Аналогичное попадание ФАБ-100 в черепичную крышу 4-этажного кирпичного дома приводило к разрушению крыши на площади 60 м2 и проламывало потолок на площади 8 м2, хотя стены и пол комнат верхнего этажа повреждений не получали. </w:t>
      </w:r>
    </w:p>
    <w:p w14:paraId="4F9611C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Благодаря взрывателю мгновенного действия, другая ФАБ-100 сработала на крыше 4-этажного жилого дома. В результате чердачная крыша разрушилась на площади 120 м2, а потолочное перекрытие на площади 90 м2. Следующая ФАБ-100, попав в 2-этажный кирпичный дом с толщиной стен в 1,5 кирпича, снесла черепичную крышу на площади 50 м2 и пробила потолочное перекрытие на площади 10 м2. Стены здания не пострадали. Аналогичный подрыв 100-кг «фугаски» на черепичной крыше 3-этажного дома с толщиной стен в 2,5 кирпича «снимал» черепицу на площади 150 м2, проламывал потолочное перекрытие в двух местах общей площадью 25 м2 и незначительно разрушал фасад сооружения. Нижние этажи при этом не страдали. </w:t>
      </w:r>
    </w:p>
    <w:p w14:paraId="4B35706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Не менее любопытны были последствия попадания фугасных авиабомб рядом с временными и капитальными сооружениями. К примеру, угодив в метре от угла здания, авиабомба образовывала воронку диаметром 4 м и глубиной 0,8 м, край которой находился под фундаментом. Из него взрывом были выбиты камни и разрушен угол дома. Другая ФАБ-100, угодив в 1,5 м от одноэтажного кирпичного дома, образовала воронку диаметром 4,3 м. Однако стена сооружения толщиной 1,5 кирпича обвалилась наружу, а внутренние стены и потолок в доме остались нетронутыми. Следующая ФАБ-100 упала в 2,2 м от одноэтажного жилого дома с толщиной стен в 1,5 кирпича, разрушила угол сооружения, не повредив внутренние стены и потолок. </w:t>
      </w:r>
    </w:p>
    <w:p w14:paraId="5C2670E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 попадании ФАБ-100 в 3,5 м от стены одноэтажного кирпичного дома размерами 18x8x 2 м с толщиной стен 2,5 кирпича и чердаком в 1,5 кирпича, образовывалась воронка диаметром 2,5 м и глубиной 1,2 м. В результате взрывной волной продавило стену чердака, посекло её осколками и разрушило верхний угол черепичной крыши. Что удивительно, рамы в доме остались целыми. В аналогичной ситуации, когда ФАБ-100 попала в 2,5 м от деревянного одноэтажного дома на кирпичном фундаменте, разрушив угол фундамента толщиной в 1,5 кирпича, дом сгорел полностью. </w:t>
      </w:r>
    </w:p>
    <w:p w14:paraId="49C6BC1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Попадание 100-кг «фугасок» в 4,5 м от одноэтажного кирпичного дома с толщиной стен в два кирпича образовывало воронку диаметром 5,6 м и глубиной 1,5 м и, как правило, лишь выбивало стёкла (рамы оставались целыми), секло осколками стены и «взъерошивало» черепицу на крыше. И хотя действие ударной волны на расстоянии угасает по экспоненциальному закону, на менее прочные сооружения она эффективно воздействует и на большем удалении от точки подрыва. К примеру, аналогичное попадание ФАБ-100 в 6 м от стены (толщиной в кирпич) каменного сарая образовало воронку диаметром 4,6 м и глубиной 1,2 м. Секция сооружения 4,8x2,4 м полностью разрушалась, а заднюю его стену продавливало. </w:t>
      </w:r>
    </w:p>
    <w:p w14:paraId="682B8F1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Как правило, сотых долей секунды в замедлениях различных типов взрывателей мгновенного действия (к примеру, АМ-А и АПУВ) было достаточно для проникания боеприпаса сквозь крышу, чердачное и потолочное перекрытия здания. При этом подрыв авиабомбы наносил куда более существенный ущерб сооружениям. Так, ФАБ-100, попав в 2-этажный дом с толщиной стен в 1,5 кирпича, взорвалась внутри сооружения и обрушила переднюю и заднюю его стены на протяжении 9 м по ширине. </w:t>
      </w:r>
    </w:p>
    <w:p w14:paraId="6A1CFDB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Попадание ФАБ-100 в середину кирпичного сарая размерами 30x10 м с высотой стен 2 м обрушивало черепичную крышу на площади 80 м2 и частично повреждало верхнюю часть одной из стен. При аналогичном попадании ФАБ-100 в деревянный сарай размерами 10x12 м, она разметала его полностью. При этом в 8 м от него в жилом доме выбивало стену и разрушало всю черепицу на крыше. </w:t>
      </w:r>
    </w:p>
    <w:p w14:paraId="753DE3D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сих пор мы рассматривали примеры применения ФАБ-100 с взрывателями мгновенного действия. При использовании взрывателей, установленных на замедление, эффект был иной. К примеру, ФАБ-100 угодила в 4,4 м от станционного деревянного киоска под черепичной крышей на кирпичном фундаменте, образовав воронку диаметром 3,8 м и глубиной 1,5 м. В результате разрушилась часть фундамента соо-ружения, сорвало угол крыши и выбило все стёкла, хотя переплёты оконных рам остались целы. При попадании такого боеприпаса в барак площадью 30x12 м, его полностью разрушало на протяжении 24 м, хотя остальная часть сооружения существенных повреждений не получала.</w:t>
      </w:r>
    </w:p>
    <w:p w14:paraId="625B90B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Ещё одна ФАБ-100 «с замедлением» при попадании в одноэтажный кирпичный дом площадью 10x20 м полностью разрушила половину его и образовала в стенах оставшейся половины здания сквозные трещины. Более солидной целью «для работы» ФАБ-100 оказался старинный сарай с толщиной стен в два кирпича, сводчатым потолком с толщиной кладки в кирпич и черепичной крышей. Авиабомба пробила свод и взорвалась в центре сооружения, уничтожив крышу на площади 60 м2, потолок на площади 10 м2 и стену 2-метровой высоты на протяжении 6 м. </w:t>
      </w:r>
    </w:p>
    <w:p w14:paraId="6DCAB66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Попав в 2-этажный дом с толщиной стен в 1,5 кирпича, ФАБ-100 взорвалась на уровне первого этажа. Точка подрыва находилась в 2 и 3 м от угловых стен сооружения. В результате в углу дома образовалась пробоина размерами 8x3 м, а одна стена обрела сквозную трещину. При залповом бомбометании с небольших высот, зачастую по две авиабомбы попадали в одно сооружение. К примеру, одна из таких «парочек» угодила в кирпичный сарай размерами 8x10 м с крышей из 20-мм досок и крытый тёсом. Сработали они практически одновременно на расстоянии 5 м друг от друга и в 1,5 и 2 м от стены, полностью разрушив её, а также крышу. Противоположная стена сооружения при этом сильно растрескалась. </w:t>
      </w:r>
    </w:p>
    <w:p w14:paraId="14C59BE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Иначе вели себя 250-кг «фугаски» с взрывателями, установленными на замедление. К примеру, ФАБ-250 попав в одноэтажный дом размерами 18x10 м с толщиной стен в 2,5 кирпича, полностью разрушила его. При этом в подвале погибло шесть человек. Прямое попадание ФАБ-250 в аналогичное здание привело к её подрыву в подвале, который использовали под пекарню. Дом был разрушен полностью, а из под его обломков извлекли 18 трупов немецких солдат. </w:t>
      </w:r>
    </w:p>
    <w:p w14:paraId="7BFA2C1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Две ФАБ-250 при попадании в 2-этажное здание с мезонином и стенами толщиной в 2,5 кирпича, как правило, пробивали два межэтажных перекрытия и взрывом обрушивали их. Кроме того, полностью разрушались внутренние стены толщиной в 1,5 кирпича, а наружные капитальные стены сильно деформировались. Площадь сплошного разрушения кирпичных стен достигала 145 м2, а радиус сплошного разрушения деревянных (из 18-20-см брёвен) 12 м. Объём сплошного разрушения около 900 м3. </w:t>
      </w:r>
    </w:p>
    <w:p w14:paraId="477ADD1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ФАБ-250 угодила в 4-этажный дом с толщиной стен в 2,5 кирпича. Стена, возле которой авиабомба сработала, обрушилась наружу, а внутренние сте-ны остались практически целыми. Другая «фугаска» того же калибра, попав в 3-этажный дом со стенами толщиной в два кирпича, разрушила центральную часть здания площадью 200 м2. Попадание ещё одной ФАБ-250 пришлось аккурат в центр 2-этажного кирпичного дома площадью 48x12 м. Она прошила его насквозь и взорвалась в подвале. Взрывом разрушило всю центральную часть здания (18x12 м) и в подвале убило двух человек. </w:t>
      </w:r>
    </w:p>
    <w:p w14:paraId="4F80170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Ещё одна ФАБ-250 взорвалась в подвале 2-этажного дома с мезонином с толщиной стен первого этажа в два кирпича, второго в 1,5 кирпича и мезонина в кирпич. В результате полностью разрушилась часть дома на площади 10x10 м и внутренняя стена, дом загорелся, и от этого пожара занялось соседнее здание. Другая ФАБ-250 угодила в 3-этажный дом со стенами первых двух этажей в два кирпича и третьего этажа в кирпич. Точка её подрыва находилась на первом этаже у пола в 2,5 м от стены, которую авиабомба полностью разрушила. В остальных стенах образовались сквозные трещины и проломило полуметровый кирпичный свод подвала. </w:t>
      </w:r>
    </w:p>
    <w:p w14:paraId="7FFFCA9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Очередную ФАБ-250 авиаторы уложили точно в 4-этажный дом с толщиной стен первых трёх этажей в два кирпича и четвёртого этажа в кирпич. Точка подрыва оказалась на уровне потолка первого этажа в 2-3 м от стены, которая полностью обрушилась на протяжении 15 м, внутренние стены разрушило на глубину 10 м. Дом загорелся, что произвело дополнительные разрушения. </w:t>
      </w:r>
    </w:p>
    <w:p w14:paraId="130D0B4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Не менее любопытно действие 250-кг «фугасок» при попадании рядом с целью. Так, две ФАБ-250 взорвались возле одноэтажного дома с толщиной стен в 1,5 кирпича. Первая в 1,8 м (воронка глубиной 1,2 м) от здания обвалила стену на протяжении 7,6 м, частично разрушила черепичную крышу и внутреннюю кирпичную перегородку, вторая в 4,5 м от другой стены дома (воронка глубиной 1,2 м), проломив свод над окном и образовав в ней несколько сквозных трещин. В 12 м от второй воронки располагался другой одноэтажный дом, в котором выбило часть стены и «взъерошило» черепицу на крыше. </w:t>
      </w:r>
    </w:p>
    <w:p w14:paraId="7675A03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 xml:space="preserve">Ещё одна ФАБ-250 упала в 1,2 м от стены деревянного барака, выстроенного на кирпичном фундаменте. За счёт запаздывания в срабатывании взрывателя, она максимально углубилась в промёрзший на толщину 0,7 м грунт, а воронка получилась диаметром 6,5 м и глубиной 1,2 м. Всё это сильно ослабило фугасное действие боеприпаса, взрывом разрушившего лишь угол дома. </w:t>
      </w:r>
    </w:p>
    <w:p w14:paraId="198F610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Другая ФАБ-250 в 3,2 м от одноэтажного дома с толщиной стен в кирпич образовала воронку диаметром 7,7 м и глубиной 2,2 м, в стене дома образовался пролом шириной 6 м, участок стены получил сквозные трещины, а внутренние стены остались нетронутыми. В стене, обращенной к взрыву, вылетели все стёкла, но рамы и оконные переплёты уцелели. </w:t>
      </w:r>
    </w:p>
    <w:p w14:paraId="2C8917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Очередная ФАБ-250 взорвалась в метре от 3-этажного дома с толщиной стен первых двух этажей в 1,5 кирпича и третьего этажа в кирпич, образовав воронку диаметром 7,9 м и раз</w:t>
      </w:r>
    </w:p>
    <w:p w14:paraId="2260863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рушив часть фасада двух этажей на ширине 8 м, а также внутренние кирпичные перегородки и кирпичный сводчатый потолок. Другая 250-кг «фугаска» угодила в 3-этажный кирпичный дом с толщиной стен первых двух этажей в 1,5 кирпича и третьего в кирпич. Точка подрыва пришлась на уровне потолка первого этажа в 2-3 м от стены, которая в итоге обрушилась на протяжении 17 м. Прилегающая к ней угловая и внутренние стены разрушились на глубину 10 м. </w:t>
      </w:r>
    </w:p>
    <w:p w14:paraId="6C0A2D5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ФАБ-250 угодила возле угла 3-этажного дома с толщиной стен первого этажа в два кирпича, второго в 1,5 и третьего в кирпич. Угол здания обрушился на площади более 40 м2. Другая аналогичная «фугаска» упала в 2,5 м от стены 2-этажного дома толщиной в 1,5 кирпича, образовав воронку диаметром 7,2 м и глубиной 2,2 м. Её взрывом также обрушило угол дома на площади 18 м2, а потолок завис на уцелевших частях стен. Другая ФАБ-250 сработала в 4 м от глинобитного дома под соломенной крышей, образовав воронку диаметром 11 м и глубиной 4 м. Дом просто сдуло. </w:t>
      </w:r>
    </w:p>
    <w:p w14:paraId="5D7B683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Как уже упоминалось в книге, в отличие от ФАБ-100, «фугаски» калибром 250 и 500 кг в Великую Отечественную в ВВС Красной Армии комплектовали в основном взрывателями (головным и донным), установленными на замедление. Это было обусловлено огневой мощью таких боеприпасов (средних калибров) при небольшой высоте их применения. Данные отчёта также подтверждают это. Однако в нём присутствует пара эпизодов использования ФАБ-250 с взрывателями мгновенного действия. </w:t>
      </w:r>
    </w:p>
    <w:p w14:paraId="625A8DA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Попав в 4-этажное здание с толщиной стен в 2,5 кирпича, где размещались казармы артиллеристов, ФАБ-250 взорвалась на чердаке. На площади 15x12 м она снесла черепичную крышу, продавила перекрытие из армированного (прутья сечением 10 мм) бетона толщиной 20 см и выбила все стёкла. Между тем в помещении под точкой подрыва пол и стены повреждений практически не получили. Аналогично снаряженная ФАБ-250 взорвалась возле 2-этажного кирпичного дома с толщиной стен в два кирпича, обрушив угол здания площадью 24 м2, а также внутренние каменные перегородки. Потолок повис на уцелевших конструкциях. </w:t>
      </w:r>
    </w:p>
    <w:p w14:paraId="46F920E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Возле домика, сложенного из саманного кирпича, высотой 1,8 м и с толщиной стен 0,5 м взорвались две «фугаски»: в 6 м от его угла 250-кг (воронка диаметром 5,2 м глубиной 1,5 м) и в 14 м от стены 500-кг (воронка диаметром 8,5 м и глубиной 2,6 м). От подрыва первой в стенах образовались трещины шириной 5 см. Взрыв второй не причинил сооружению ни малейшего ущерба. Зато, стоявший возле дома грузовик с патронами загорелся, воспламенив крышу сооружения. </w:t>
      </w:r>
    </w:p>
    <w:p w14:paraId="5E70F5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Намного реже по зданиям и сооружениям применяли 500кг «фугаски». Анализ их боевого применения проиллюстрирован всего парой случаев. Кстати, эти боеприпасы практически всегда окончательно снаряжали взрывателями, установленными на замедление. Так, одна из ФАБ-500 взорвалась в 8,7 м от глинобитного деревенского дома и в 8,8 м от деревянного сарая под соломенными крышами. Воронка получилась диаметром 15,5 м и глубиной 6,0 м. В результате сейсмического эффекта разрушилась стена дома, а выброшенным грунтом переломало деревянные стропила сарая. Вторая ФАБ-500 угодила в 6,2 м от одноэтажного дома с толщиной стен в два и фундамента в три кирпича, образовав воронку диаметром 12,4 м и глубиной 4,0 м. Взрывом оголило часть фундамента, деформировало кирпичные стены, сейсмическим эффектом обрушило часть одной из стен, выброшенным грунтом помяло и засыпало крышу из оцинкованного железа, вся внешняя и внутренняя штукатурка осыпалась, все стёкла и часть оконных переплётов вылетели. </w:t>
      </w:r>
    </w:p>
    <w:p w14:paraId="2E77811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Таким образом, фугасные авиабомбы калибром 50 кг при мгновенном действии взрывателя и прямом попадании в жилые и постройки и промышленного типа разрушали крыши на площади до 15-20 м2 и были способны частично разрушить лишь потолочные перекрытия. </w:t>
      </w:r>
    </w:p>
    <w:p w14:paraId="39A14F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«Фугаски» калибром 100 кг при замедленном действии взрывателя и прямом попадании полностью или частично разрушали крышу на площади до 100 м2. При этом стены зданий разрушались при попадании боеприпасов в 2 м, да и то, </w:t>
      </w:r>
    </w:p>
    <w:p w14:paraId="7C68B95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если точка подрыва боеприпаса находилась внутри здания. В этих же условиях деревянные постройки барачного типа разрушались на площади до 200 м2, а кирпичные на площади до 100 м2. Снаружи зданий удаление точки подрыва более чем на 2 м вызывало лишь лёгкие повреждения. </w:t>
      </w:r>
    </w:p>
    <w:p w14:paraId="589BEA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ФАБ-100 с взрывателями мгновенного действия срабатывали, как правило, на кровле построек, разрушая металлические листы на площади до 120 м2 и черепичное покрытие на площади до 60 м2. При этом потолочные перекрытия обваливались на площади до 12 м2, а стены существенных повреждений не получали. При подрывах авиабомб рядом со зданиями на удалении до 2,5 м, их кирпичные стены обваливались, обретали сквозные трещины и пр. В случае удаления точки подрыва на расстояние более 3 м дома повреждало лишь незначительно. </w:t>
      </w:r>
    </w:p>
    <w:p w14:paraId="7070754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ФАБ-250 с взрывателями, установленными на замедление, при прямом попадании полностью разрушала одноэтажные дома, а многоэтажные дома на площади до 200 м2. Остальная часть здания получала значительные повреждения. Радиус сплошного разрушения при этом составлял не менее 7 м. Часто после взрыва возникал пожар, увеличивая разрушение. При срабатывании авиабомб вне зданий на расстоянии не более 4,5 м, сооружения получали значительные повреждения. </w:t>
      </w:r>
    </w:p>
    <w:p w14:paraId="255122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Если ФАБ-250 были оснащены взрывателями мгновенного действия, площадь разрушения крыши здания составляла не менее 200 м2, разрушалось и потолочное перекрытие, а также частично стены. </w:t>
      </w:r>
    </w:p>
    <w:p w14:paraId="349EC70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 одноэтажным домам можно было и не очень точно применять ФАБ-500 с взрывателем, установленным на замедление они полностью разрушались и при удалении точки попадания не более чем на 4 м. В 6 м взрыв такого боеприпаса деформировал и частично разрушал их. На ещё большем удалении кирпичные стены получали лишь незначительные повреждения. Судя по форме воронки, ударная волна от взрыва ФАБ-500 была малоэффективной для нанесения сколько-нибудь серьёзного ущерба наземным объектам. Поэтому применять подобные боеприпасы по зданиям и сооружениям рекомендовалось лишь с взрывателями мгновенного действия. </w:t>
      </w:r>
    </w:p>
    <w:p w14:paraId="4A475C6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итоге ФАБ-50 и ФАБ-100 из-за их малой огневой мощи по целям подобного типа рекомендовалось применять лишь по глинобитным и деревянным домам. ФАБ-250 была признана основным боеприпасом для действия по зданиям жилого и фабрично-заводского типа. </w:t>
      </w:r>
    </w:p>
    <w:p w14:paraId="2EB16A2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 мостам повышенной прочности </w:t>
      </w:r>
    </w:p>
    <w:p w14:paraId="67417E7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ходе боевых действий авиаторам часто приходилось бомбить такие стратегически важные объекты, как одноили двухколейные мосты, для чего применяли ФАБ калибрами от 250 кг и более. Правда, в самом начале войны с этой целью применяли специализированные мостовые авиабомбы МАБ-250. Но затем их незначительный запас закончился, а возобновлять производство в особый период не стали, поскольку боевое применение МАБ требовало весьма жёстких и невыгодных условий бомбометания (с высот не более 100 м). Плюс к этому сказались и конструктивные недостатки при скорости носителя более 300 км/ч прочность купола и строп тормозного парашюта оказались недостаточны. </w:t>
      </w:r>
    </w:p>
    <w:p w14:paraId="569D1BC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Достоверных сведений об эффективности ФАБ при прямом попадании в ходе их применения по нормальным желдормостам получить не удалось со средних и больших высот это удавалось крайне редко. С малых высот и с бреющего полёта точно уложить «фугаску» удавалось ещё реже авиабомбы рикошетировали и взрывались вне досягаемости мостовых ферм. Между тем доподлинно известно, что подрыв боеприпасов в некотором удалении от ферм приводил к частичным и легкоисправимым повреждениям. </w:t>
      </w:r>
    </w:p>
    <w:p w14:paraId="643E9F5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Интересный материал удалось получить по итогам бомбардировок «фугасками» калибрами 100 и 250 кг четырёх городских мостов повышенной прочности в Будапеште. Это были сооружения с металлическими каркасами цепной (подвесной) конструкции с железобетонным покрытием (типа крымского моста в Москве). Для их разрушения выполнили 227 самолёто-вылетов и сбросили 325 штук ФАБ-250 и 386 штук ФАБ-100. Последние применяли из-за нехватки более мощных боеприпасов. </w:t>
      </w:r>
    </w:p>
    <w:p w14:paraId="5174B45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 первый мост размерами 12x375 м, высотой 6-8 м над водой (глубина реки 7-9 м) сбросили 140 штук ФАБ-250 и 96 штук ФАБ-100. При этом отмечено 21 прямое попадание, из которых 10 авиабомб рикошетировали. На второй мост размерами 17x310 м, высотой 8-10 м над водой (глубина реки 12-18 м) сбросили также 140 штук ФАБ-250 и 96 штук ФАБ-100. Зафиксировано 26 прямых попаданий, из которых 16 авиабомб рикошетировали. </w:t>
      </w:r>
    </w:p>
    <w:p w14:paraId="0537234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Третий мост был размерами 15x320 м, высотой 7-9 м над водой (глубина реки 9-12 м). Ему досталась 21 штука ФАБ-250 и 116 штук ФАБ-100. Отмечено семь прямых попаданий, из них три рикошета. Четвёртый мост размерами 8-280 м, высотой 6-8 м над водой (глубина реки 7-9 м) получил 8 прямых попаданий (из них три рикошета) после сброса на него 24 штук ФАБ-250 и 78 штук ФАБ-100. </w:t>
      </w:r>
    </w:p>
    <w:p w14:paraId="2F50508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результате столь методичной обработки целей прочность переправ существенно не пострадала, и при отступлении немцы их сами взорвали. После взятия Будапешта комиссия прибыла специально осмотреть столь «крепкие орешки» и на невзорванных частях мостов обнаружили следы «работы» своих авиаторов: на первом 7 попаданий, на втором 2-4, на третьем 3-5 и на четвёртом 3-4 попадания. </w:t>
      </w:r>
    </w:p>
    <w:p w14:paraId="372F063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Общие выводы по применению фугасных авиабомб: ФАБ-250 с взрывателем, установленным на 22-секундное замедление, при попадании в железобетонный настил моста либо рикошетировали, либо пробивали его, образуя пролом диаметром 0,8-1,0 м и затем взрывались, разрушая 2-4 балки фермы (двутавр №20). При оснащении боеприпасов взрывателями мгновенного действия, в настиле или у береговых устоев моста образовывался прогиб или воронка диаметром 3-4 м и глубиной 0,5-0,6 м, а повреждения ферм оказывались незначительными. В этих же условиях ФАБ-100 с взрывателем, установленным на замедление, при попадании в железобетонный настил моста пробивали его, образуя пролом диаметром 0,5-0,7 м и затем взрывались, не нанося объекту повреждений. При взрыве на настиле моста образовывалась воронка диаметром 1,5 м и разрушались 1-2 балки (двутавр №20). </w:t>
      </w:r>
    </w:p>
    <w:p w14:paraId="220D5EE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 xml:space="preserve">Таким образом, при бомбометании с пикирования с высот около 400 м вероятность попадания в мосты была около 0,05-0,11. Рикошетировало из них 38-62% боеприпасов. Огневой мощи ФАБ-250 по таким целям явно не хватало. Взрыватели ФАБ, установленные на замедление, создают минимум разрушений даже при прямом попадании в цель. Для разрушения железнодорожных мостов требуются более эффективные специализированные авиабомбы. </w:t>
      </w:r>
    </w:p>
    <w:p w14:paraId="75FE29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складам боеприпасов</w:t>
      </w:r>
    </w:p>
    <w:p w14:paraId="328C95B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Столь специфические цели, как склады боеприпасов, всегда считались у авиаторов желанным объектом поражения. Ведь всего одного точного попадания было достаточно, чтобы вывести такую крупноразмерную площадную распределённую цель, лишить противника на какое-то время средств ведения войны, а также вывести из строя немалое число его живой силы. Понимали это и немцы, поэтому склады боеприпасов обе воюющие стороны строили таким образом, чтобы минимизировать ущерб атаки противником подобной цели. </w:t>
      </w:r>
    </w:p>
    <w:p w14:paraId="565917D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Один из немецких складов авиабомб (в штатной деревянной укупорке) располагался на площади 250x700 м. Расстояние между открытыми штабелями (по 66-78 авиабомб калибром 250 кг или по 440-540 авиабомб калибром 50 кг) 40-100 м. Кроме того, имелось и небольшое количество авиабомб калибром 500 кг. Всего на складе было 48-50 (по 11-19 т) штабелей авиабомб общей ёмкостью 50 вагонов. </w:t>
      </w:r>
    </w:p>
    <w:p w14:paraId="32F4D5C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Помимо авиаторов, по складу работала и наша артиллерия. Вместе им удалось взорвать 14 штабелей. При этом образовывалась воронки диаметром 15-18 м и глубиной 1,0-1,7 м, на дне которой едва угадывались следы взрывов отдельных боеприпасов. Между тем взрыв штабеля не вызывал детонации соседнего, а ударной волной его взрыва лишь разбрасывало боеприпасы соседнего штабеля, разрушало их укупорку и отрывало стабилизаторы. </w:t>
      </w:r>
    </w:p>
    <w:p w14:paraId="75B9BCA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Даже в начале войны с СССР немцы уже снаряжали свои авиабомбы обеднёнными амматолами и аммоналами, поэтому прямые попадания осколочных авиабомб, а также разрывы «фугасок» вблизи штабелей с большим трудом вызывали детонацию таких боеприпасов. К примеру, прямое попадание ракетно-осколочного снаряда РОС-132 (стартовая масса 23 кг) в штабель с немецкими 500-кг «фугасками» напрочь разрушило одну из авиабомб, но она так и не сдетонировала.</w:t>
      </w:r>
    </w:p>
    <w:p w14:paraId="71876DE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Более солидный ракетно-осколочно-фугасный снаряд РОФС-132 (стартовая масса 47 кг) угодил в 2 м от штабеля с авиабомбами калибром 50 кг, образовав воронку диаметром 1,4 м и глубиной 0,5 м. При этом взрывом был разворочен один ряд боеприпасов в штабеле и разбита укупорка в двух рядах, а также помяты стабилизаторы авиабомб, но штабель также не взорвался. Одна из наших ФАБ-50 попала в 0,6 м от штабеля с немецкими 50-кг авиабомбами, пробив осколками корпуса и стабилизаторы боеприпасов, но штабель взорвать ей также не удалось. </w:t>
      </w:r>
    </w:p>
    <w:p w14:paraId="7390B7F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ФАБ-100, взорвавшись в 5 м от штабеля с авиабомбами калибром 250 кг, разбила укупорку, сорвала стабилизаторы и разбросала боеприпасы одного ряда, но штабель не взорвался. Две 25-кг осколочные авиабомбы сработали в 0,5 м от такого же штабеля. Результат аналогичный. </w:t>
      </w:r>
    </w:p>
    <w:p w14:paraId="11EF939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Между тем все 14 штабелей сдетонировали при попадании в них 1,5-кг кумулятивных противотанковых авиабомб ПТАБ-2,5-1,5. К примеру, когда авиаторы применили их только в одном налёте со строго определённого направления, в зону бомбового удара попало 11 штабелей боеприпасов, из которых сдетонировало три. Остальные восемь уцелели лишь благодаря рассредоточению штабелей и малой плотности попаданий ПТАБ. Проверить свою гипотезу авиаторы решили контрольным подрывом ПТАБ возле ФАБ-50. </w:t>
      </w:r>
    </w:p>
    <w:p w14:paraId="2EFD0B1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Для этого испытуемую авиабомбу положили вниз взрывателем, посчитав это положение наиболее невыгодным, на неё уложили доску, на которую установили ПТАБ, чтобы срез её кумулятивной воронки находился в 6 см от преграды. Вместо взрывателя ПТАБ снарядили штатным сапёрным детонатором и бикфордовым шнуром. Такого подрыва оказалось достаточно для детонации ФАБ-50. Правда, опыт был не совсем корректным, поскольку в штабелях немцы хранили авиабомбы однозначно без взрывателей и, возможно даже, без дополнительных детонаторов. </w:t>
      </w:r>
    </w:p>
    <w:p w14:paraId="3C9FADB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 живой силе </w:t>
      </w:r>
    </w:p>
    <w:p w14:paraId="54D884C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Установить в ходе боевых действий радиус действия осколочных авиабомб по живой силе оказалось довольно проблематично -за редким исключением немцы вывозили с поля боя не только раненых, но и убитых. Пришлось воспользоваться показаниями специально опрошенных военнопленных. Они показали, что потери в живой силе при бомбово-штурмовых ударах ВВС Красной Армии по колоннам могут достигать 50% убитыми и ранеными. А основные потери войска несут именно от осколочных авиабомб. </w:t>
      </w:r>
    </w:p>
    <w:p w14:paraId="116A6F5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Вполне естественно, живая сила несла меньше потерь при нахождении в лёгких укрытиях полевого типа, нежели на открытой местности. В данном случае требуются только прямые попадания в эти фортсооружения. Между тем в полевых укрытиях открытого типа больший урон пехота несла именно от осколочных авиабомб, а сильно деморализовало её воздействие фугасных. </w:t>
      </w:r>
    </w:p>
    <w:p w14:paraId="3B3EBE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Однако точно отбомбиться по окопам, траншеям и щелям редко удавалось и пилотам Геринга, и «Сталинским Соколам». К примеру, на участке немецкой обороны в районе оз.Сиваш первую линию окопов и траншей подвергли артиллерийскому и миномётному обстрелам, а также бомбометанию. Вскоре позиции были взяты, и комиссия скрупулёзно подсчитала воронки от различных боеприпасов в полосе шириной 120 м и глубиной 2 км, специально заострив внимание на прямых попаданиях в окопы и траншеи. </w:t>
      </w:r>
    </w:p>
    <w:p w14:paraId="71141AB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Из зафиксированных 657 воронок лишь 22 (3,4%) оказались требуемыми. А с учётом того, что миномётный и артиллерийский огонь считается более точным, нежели бомбометание, авиаторы согласились, что при одном лишь бомбовом ударе результаты будут куда скромнее, чем 3,4%. </w:t>
      </w:r>
    </w:p>
    <w:p w14:paraId="2B52F84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Осколочные и противотанковые авиабомбы по полевым фортсооружениям </w:t>
      </w:r>
    </w:p>
    <w:p w14:paraId="290B0B5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Применяли осколочные авиабомбы по закрытым фортсооружениям полевого типа только с целью поражения укрытой в них живой силы. Так, даже самые мелкие 2,5-кг осколочные авиабомбы А0-2,5 при прямом попадании в противоосколочное перекрытие траншеи, отрытое в песчаном грунте и состоящее из 3-см сосновых досок и земляной засыпки толщиной 15 см, образовывали в досках отверстие 0,22x0,55 м и сбрасывали засыпку на площади одного кв. м. </w:t>
      </w:r>
    </w:p>
    <w:p w14:paraId="27BDE84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 очень большой долей вероятности находящаяся за такими укрытиями живая сила несла урон. </w:t>
      </w:r>
    </w:p>
    <w:p w14:paraId="3B8410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 подрыве 25-кг осколочной АО-25 на бруствере в 0,5 м от окопа полностью уничтожало бруствер на протяжении 2 м и заваливало окоп на высоту 0,5 м. Следов осколочного действия при этом обнаружить не удавалось. Вывод комиссии о том, что живая сила в окопах от таких боеприпасов не несёт потерь не совсем корректен. Для однозначного заключения было бы нелишним провести бомбометание по траншеям с установленными в них коробчатыми макетами или деревянными силуэтами. </w:t>
      </w:r>
    </w:p>
    <w:p w14:paraId="5489617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АО-10 и АО-25 при попадании в 1,8 м от окопа для стрельбы с колена размером 0,5x1,3 м, отрытом в чернозёме, создавали воронки диаметром 1,0 и 1,5 м соответственно и глубиной по 0,2 м. С учётом углов подхода авиабомб к преграде, распределения осколочного поля боеприпаса и мягкости грунта, глупо было бы искать при этом в стенках окопа следы от убойных осколков авиабомб, но комиссия не поленилась его обследовать... </w:t>
      </w:r>
    </w:p>
    <w:p w14:paraId="356CA2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Между тем при прямом попадании противотанковых авиабомб в перекрытые жердями толщиной 4-6 см, соломой и засыпанные 30-см слоем грунта щели, в перекрытиях образовывались воронки и сквозные отверстия. Невероятно, но при оставшихся совершенно целыми жердях два человека из шести в укрытии получили ожоги второй степени. </w:t>
      </w:r>
    </w:p>
    <w:p w14:paraId="23ADFE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Осколочные и противотанковые авиабомбы по автотранспорту </w:t>
      </w:r>
    </w:p>
    <w:p w14:paraId="6510A7F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Современники признавали наиболее эффективными для бомбометания по этим целям осколочные АО-2,5 и противотанковые ПТАБ-2,5-1,5. При попадании последних в БТР с десантом, они поражали плотно расположенную живую силу осколками корпуса боеприпаса и ударной волной. Далеко не каждый БТР при этом загорался требовалось попадание в определённые места машины. Единственно, что выручало, так это залповое бомбометание из контейнеров мелких бомб. На одиночную цель расходовался полный контейнер. Варьируя высотой бомбометания, можно было изменять и плотность поражения, и размеры площади, подвергнутой бомбовому удару. </w:t>
      </w:r>
    </w:p>
    <w:p w14:paraId="4B0781A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 примеру, одна их ПТАБ-2,5-1,5 угодила точно в гусеничный БТР, возник пожар, а затем взорвался бензобак, пламя поднялось до 10 м, опалив сучья рядом стоящего дерева. В машине осталось пять обгоревших трупов немецких солдат. В принципе, прочный корпус открытого сверху БТР усилил осколочное действие авиабомб, поражая живую силу в десантном отделении и вторичным действием рикошетирующих от стен осколков. Следующая ПТАБ попала в крыло другого БТР, взорвалась и осколками разбила бензопровод, радиатор, блок цилиндров, но машина не загорелась. </w:t>
      </w:r>
    </w:p>
    <w:p w14:paraId="7A05808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Осколочная АО-10, угодив рядом с кабиной грузовика, смяла ударной волной крыло и капот машины, пробила осколками кабину и бензобаки, машина сгорела. В другом случае авиаторы отбомбились осколочными АО-10 по автоколонне. Несмотря на то, что с точки зрения статистики, цель была протяженной и дискретной (обобщённой её трудно считать при скоростях самолётов тех времён), авиаторы повредили и уничтожили более 60 штабных машин и грузовиков. </w:t>
      </w:r>
    </w:p>
    <w:p w14:paraId="40201F2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Не менее любопытен и вариант смешанного применения осколочных АО-10 и противотанковых ПТАБ-2,5-1,5 по скоплению автотехники из 50 разнотипных машин, рассредоточенных на дистанции в среднем 2,5 м. Несмотря на то, что точки разрывов авиабомб находились на расстоянии 1-5 м друг от друга, повреждёнными и сожжёнными оказались 80% машин. Вариант применения осколочных авиабомб различных калибров (2,5,10 и 25 кг) тоже давал неплохой эффект. К примеру, на площади 200x600 м в одном налёте удавалось вывести из строя и уничтожить около 70 (80%) автомобилей. </w:t>
      </w:r>
    </w:p>
    <w:p w14:paraId="2B589EF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Осколочные авиабомбы по артиллерии </w:t>
      </w:r>
    </w:p>
    <w:p w14:paraId="01D67A1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Взрывы осколочных авиабомб любого калибра на некотором удалении от орудий приводили к повреждениям, легко устранимым в полевых условиях, и потому повреждённые артсистемы противник не бросал. Другое дело в окружении и при спешном отступлении... </w:t>
      </w:r>
    </w:p>
    <w:p w14:paraId="1C1685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Трёхорудийная немецкая батарея 37-мм зениток на позиции была подвергнута бомбардировке осколочными АО-2,5. Орудийные дворики типовые, квадратные 6x6 м с высотой бруствера 1 м. В бруствер позиции первого орудия попало четыре авиабомбы, пробив осколками кожух откатников и поцарапав ствол. В бруствер позиции второго орудия угодило также четыре авиабомбы, осколками посекло орудийный дворик, а зенитный автомат, вне сомнения, был повреждён. Однако немцы его отбуксировали. В бруствер позиции третьего орудия попало три авиабомбы, а четвёртая угодила в казённую часть орудия, пробив осколками откатник, прицел, сидение наводчика, станину лафета и крепления щита. </w:t>
      </w:r>
    </w:p>
    <w:p w14:paraId="270B208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 xml:space="preserve">Несколько прямых попаданий АО-10 комиссия обследовала на батарее 8-дюймовых орудий с железобетонными открытыми орудийными двориками. После бомбардировки на всех орудиях остались лишь незначительные царапины. Такими же боеприпасами лётчики отбомбились по артсистеме на марше. Одна из авиабомб угодила в моторное отделение тягача, буксировавшего 75-мм противотанковую пушку. Повреждения получили и тягач, и орудие. </w:t>
      </w:r>
    </w:p>
    <w:p w14:paraId="70EB43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Всего одной осколочной авиабомбы оказалось достаточно, чтобы уничтожить упряжку и расчёт немецкого 10,5-см полевого орудия на марше. Она попала в 2,5 м с краю от цели, образовав в чернозёме воронку диаметром 2,0 м и глубиной 0,4 м. Множественными осколками пробило люльку, спицы и обод колеса, а на казённой части ствола образовались вмятины глубиной до 4 мм. Все шесть лошадей были убиты. </w:t>
      </w:r>
    </w:p>
    <w:p w14:paraId="0C7E77F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Современники о бомбовом вооружении ВВС Красной Армии </w:t>
      </w:r>
    </w:p>
    <w:p w14:paraId="6ACCF04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Система бомбового вооружения ВВС в Великую Отечественную войну в основном достаточно эффективно поражала и уничтожала цели, однако технические характеристики поражающих факторов, продекларированные на основе полигонных испытаний и приведённые в довоенных руководствах и описаниях, в ряде случаев оказались завышенными, по сравнению с зафиксированными в реальных боевых условиях. </w:t>
      </w:r>
    </w:p>
    <w:p w14:paraId="5329F04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можно частично объяснить:</w:t>
      </w:r>
    </w:p>
    <w:p w14:paraId="0AF418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-снаряжанием боеприпасов в годы войны суррогатированными взрывчатыми веществами;</w:t>
      </w:r>
    </w:p>
    <w:p w14:paraId="5156395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-попаданием авиабомб в случайные места цели и в произвольных ракурсах относительно неё, а не в наиболее благоприятные для её уничтожения; </w:t>
      </w:r>
    </w:p>
    <w:p w14:paraId="73E37F5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-использованием войсками в реальных условиях естественных укрытий складок местности, канав, леса и пр. </w:t>
      </w:r>
    </w:p>
    <w:p w14:paraId="799A50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существенным недостаткам бомбового вооружения ВВС Красной Армии современники относили недостаточно продуманные габариты боеприпасов, что позволяло далеко не во всех вариантах загрузки самолёта достичь максимума его грузоподъёмности и неудобства эксплуатации мелких осколочных авиабомб, отнимающих при подготовке самолёта к боевому вылету несоизмеримо большего времени. С горечью в интонации авиаторы отметили не оправдавшие надежд специализированные мостовые авиабомбы и недостаточную огневую мощь 250-кг «фугасок» при действии по мостам (11062).</w:t>
      </w:r>
    </w:p>
    <w:p w14:paraId="300F3B6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66D6D4"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2B4C58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FAB6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w:t>
      </w:r>
      <w:r w:rsidRPr="00070ADE">
        <w:rPr>
          <w:rFonts w:ascii="Times New Roman" w:hAnsi="Times New Roman"/>
          <w:color w:val="000000" w:themeColor="text1"/>
          <w:sz w:val="16"/>
          <w:szCs w:val="16"/>
        </w:rPr>
        <w:softHyphen/>
        <w:t>ре - феврале 1944 г. были выпущены три танка Т-44 первой модификации. Первые два танка имели массу 30,4 т и были вооружены 85-мм пушкой Д-5Т-85 и двумя 7,62-мм пулеметами ДТ. Броневая защита верхнего ло</w:t>
      </w:r>
      <w:r w:rsidRPr="00070ADE">
        <w:rPr>
          <w:rFonts w:ascii="Times New Roman" w:hAnsi="Times New Roman"/>
          <w:color w:val="000000" w:themeColor="text1"/>
          <w:sz w:val="16"/>
          <w:szCs w:val="16"/>
        </w:rPr>
        <w:softHyphen/>
        <w:t>бового листа корпуса достигала 75 мм, верхний бортовой лист, располо</w:t>
      </w:r>
      <w:r w:rsidRPr="00070ADE">
        <w:rPr>
          <w:rFonts w:ascii="Times New Roman" w:hAnsi="Times New Roman"/>
          <w:color w:val="000000" w:themeColor="text1"/>
          <w:sz w:val="16"/>
          <w:szCs w:val="16"/>
        </w:rPr>
        <w:softHyphen/>
        <w:t>женный вертикально, имел толщину 45 мм и дополнительно был защи</w:t>
      </w:r>
      <w:r w:rsidRPr="00070ADE">
        <w:rPr>
          <w:rFonts w:ascii="Times New Roman" w:hAnsi="Times New Roman"/>
          <w:color w:val="000000" w:themeColor="text1"/>
          <w:sz w:val="16"/>
          <w:szCs w:val="16"/>
        </w:rPr>
        <w:softHyphen/>
        <w:t>щен накладным броневым листом толщиной 30 мм. Лоб башни имел толщину 90 мм. На танке был установлен дизель В-2ИС мощностью 500 л.с. (368 кВт). Один из этих танков прошел испытания в феврале - марте 1944 г. на НИБТ полигоне, в результате которых было выявлено много конструктивных недостатков новой машины. Третий опытный танк Т-44-122 был вооружен 122-мм пушкой Д-25-44 (10703).</w:t>
      </w:r>
    </w:p>
    <w:p w14:paraId="6F28379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EA8921" w14:textId="77777777" w:rsidR="0035263A" w:rsidRPr="00070ADE" w:rsidRDefault="0035263A" w:rsidP="00B56F90">
      <w:pPr>
        <w:pStyle w:val="a3"/>
        <w:rPr>
          <w:color w:val="000000" w:themeColor="text1"/>
          <w:lang w:val="ru-RU"/>
        </w:rPr>
      </w:pPr>
      <w:r w:rsidRPr="00070ADE">
        <w:rPr>
          <w:color w:val="000000" w:themeColor="text1"/>
          <w:lang w:val="ru-RU"/>
        </w:rPr>
        <w:t>В январе-феврале 1944 прошли испытания Т-44. Главным преимуществом нового танка перед Т-34 была более мощная бронезащита. Толщина лобового листа корпуса составляла 75 мм, а лоб башни достигал 90-мм толщины. На испытаниях эта броня оказалась достаточной для защиты от самого распространённого немецкого средства ПТО, 75-мм противотанковой пушки РаК- 40, на дистанции от 300 метров. Бронепробиваемость большинства немецких средних танков и САУ находилась на этом же уровне. Танк вооружался 85</w:t>
      </w:r>
      <w:r w:rsidRPr="00070ADE">
        <w:rPr>
          <w:color w:val="000000" w:themeColor="text1"/>
          <w:lang w:val="ru-RU"/>
        </w:rPr>
        <w:softHyphen/>
        <w:t>мм, или 122-мм пушками. Затем появился вариант с более мощным 100-мм орудием. Вес танка возрос по сравнению с Т-34 незначительно, а высота уменьшилась на 30 сантиметров. Т-44 продемонстрировал высокую надёжность, пройдя на испытаниях свыше 1000 километров без серьёзных поломок (Свирин М. Стальной кулак Сталина. История советского танка 1943-1955. С. 179).</w:t>
      </w:r>
    </w:p>
    <w:p w14:paraId="649BA402" w14:textId="77777777" w:rsidR="0035263A" w:rsidRPr="00070ADE" w:rsidRDefault="0035263A" w:rsidP="00B56F90">
      <w:pPr>
        <w:pStyle w:val="a3"/>
        <w:rPr>
          <w:color w:val="000000" w:themeColor="text1"/>
          <w:lang w:val="ru-RU"/>
        </w:rPr>
      </w:pPr>
      <w:r w:rsidRPr="00070ADE">
        <w:rPr>
          <w:color w:val="000000" w:themeColor="text1"/>
          <w:lang w:val="ru-RU"/>
        </w:rPr>
        <w:t>Весной-летом 1944 года опытные образцы Т-44 активно испытывались на полигонах, но принимать танк на вооружение и начинать производство танка не спешили. Был создан новый, улучшенный вариант танка, с ещё более сильной бронёй. Толщину лобового листа корпуса довели до 90 мм, а лоб башни - до 110 мм. Теперь лобовая проекция танка стала полностью неуязвимой для самых распространённых немецких противотанковых и танковых пушек, хотя по- прежнему не могла защитить от тяжелых танков.</w:t>
      </w:r>
    </w:p>
    <w:p w14:paraId="41EFC5A8" w14:textId="77777777" w:rsidR="0035263A" w:rsidRPr="00070ADE" w:rsidRDefault="0035263A" w:rsidP="00B56F90">
      <w:pPr>
        <w:pStyle w:val="a3"/>
        <w:rPr>
          <w:color w:val="000000" w:themeColor="text1"/>
          <w:lang w:val="ru-RU"/>
        </w:rPr>
      </w:pPr>
      <w:r w:rsidRPr="00070ADE">
        <w:rPr>
          <w:color w:val="000000" w:themeColor="text1"/>
          <w:lang w:val="ru-RU"/>
        </w:rPr>
        <w:t xml:space="preserve">Серийное производство танка началось только в </w:t>
      </w:r>
      <w:r w:rsidRPr="00070ADE">
        <w:rPr>
          <w:color w:val="000000" w:themeColor="text1"/>
        </w:rPr>
        <w:t>IV</w:t>
      </w:r>
      <w:r w:rsidRPr="00070ADE">
        <w:rPr>
          <w:color w:val="000000" w:themeColor="text1"/>
          <w:lang w:val="ru-RU"/>
        </w:rPr>
        <w:t xml:space="preserve"> квартале 1944 года. Изготавливать Т-44 поручили восстанавливаемому танковому заводу № 75 в Харькове, который не мог выпускать его в существенных количествах. По сути такое решение означало отказ от производства танка. Почему это произошло? Ведь И. В. Сталин неоднократно говорил с В. А. Малышевым о важности быстрейшей разработки Т-44. Об этом свидетельствует несколько записей в дневнике народного комиссара. Первый раз Малышев сообщает Сталину о новом танке 27 декабря. Сталин заинтересовался новым танком и просил ускорить его испытания и производство («Пройдёт десяток лет, и этих встреч не восстановишь уже в памяти»//Источник. №5. 1997. С. 124.). Далее он не упускал Т-44 из виду. Проследить за развитием событий можно по дневнику Малышева. 15 января Сталин вновь подробно расспросил Малышева о характеристиках Т-44 и сказал: «Так это будет очень хороший танк. Вы держите меня в курсе дела». 3 февраля Сталин просил Малышева ускорить испытания танка и подготовить предложения по его производству. 13 февраля Сталин от просьб перешёл к обвинениям: «тов. Сталин сказал, что мы затягиваем дело с этим танком, и предложил ускорить испытания и начать производство танков Т-44. Исключительно тяжелые задачи. Не знаю даже, как их можно выполнить. Сейчас буду советоваться с директорами заводов» («Пройдёт десяток лет, и этих встреч не восстановишь уже в памяти»//Источник. №5. 1997. С. 125).</w:t>
      </w:r>
    </w:p>
    <w:p w14:paraId="267E8B36" w14:textId="77777777" w:rsidR="0035263A" w:rsidRPr="00070ADE" w:rsidRDefault="0035263A" w:rsidP="00B56F90">
      <w:pPr>
        <w:pStyle w:val="a3"/>
        <w:rPr>
          <w:color w:val="000000" w:themeColor="text1"/>
          <w:lang w:val="ru-RU"/>
        </w:rPr>
      </w:pPr>
      <w:r w:rsidRPr="00070ADE">
        <w:rPr>
          <w:color w:val="000000" w:themeColor="text1"/>
          <w:lang w:val="ru-RU"/>
        </w:rPr>
        <w:t>Но, когда танк был готов, Сталин и Малышев, видимо, так и не решились перестраивать для его производства основные танкостроительные предприятия (12290).</w:t>
      </w:r>
    </w:p>
    <w:p w14:paraId="5FAF4D8A" w14:textId="77777777" w:rsidR="0035263A" w:rsidRPr="00070ADE" w:rsidRDefault="0035263A" w:rsidP="00B56F90">
      <w:pPr>
        <w:pStyle w:val="a3"/>
        <w:rPr>
          <w:color w:val="000000" w:themeColor="text1"/>
          <w:lang w:val="ru-RU"/>
        </w:rPr>
      </w:pPr>
    </w:p>
    <w:p w14:paraId="5FB5FB64" w14:textId="77777777" w:rsidR="00A22EFE" w:rsidRPr="00070ADE" w:rsidRDefault="00A22EF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январе-феврале 1944 года на заводе № 183 собирались три первых прототипа Т-44. Первый (Т-44 №1) был окончен 23 января - на него устано</w:t>
      </w:r>
      <w:r w:rsidRPr="00070ADE">
        <w:rPr>
          <w:rFonts w:ascii="Times New Roman" w:hAnsi="Times New Roman"/>
          <w:color w:val="000000" w:themeColor="text1"/>
          <w:sz w:val="16"/>
          <w:szCs w:val="16"/>
        </w:rPr>
        <w:softHyphen/>
        <w:t>вили «штатную» башню с 85-мм пушкой Д-5Т и погоном диаметром 1800 мм. Второй (Т-44 №2), оконченный только 31 января из-за про</w:t>
      </w:r>
      <w:r w:rsidRPr="00070ADE">
        <w:rPr>
          <w:rFonts w:ascii="Times New Roman" w:hAnsi="Times New Roman"/>
          <w:color w:val="000000" w:themeColor="text1"/>
          <w:sz w:val="16"/>
          <w:szCs w:val="16"/>
        </w:rPr>
        <w:softHyphen/>
        <w:t>блем с изготовлением башен, должен был получить опытную башню с 85-мм орудием и погоном 1600 мм, позаимствованную отТ-43. Однако с целью скорейшего проведения испытаний Т-44 с усиленным вооружением на него временно установили башню со 122- мм орудием и погоном 1800 мм, которая предназначалась для прототипа №3. Сборка прототипа №3 началась только 8 февраля.</w:t>
      </w:r>
    </w:p>
    <w:p w14:paraId="637A1D11" w14:textId="77777777" w:rsidR="00A22EFE" w:rsidRPr="00070ADE" w:rsidRDefault="00A22EF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Так как специально спроектированный для установки на Т-44 двигатель В-2-44 был еще не готов, то первый прототип получил двигатель В-2-34, а второй и третий </w:t>
      </w:r>
      <w:r w:rsidRPr="00070ADE">
        <w:rPr>
          <w:rStyle w:val="279"/>
          <w:rFonts w:ascii="Times New Roman" w:hAnsi="Times New Roman" w:cs="Times New Roman"/>
          <w:color w:val="000000" w:themeColor="text1"/>
          <w:spacing w:val="0"/>
          <w:sz w:val="16"/>
          <w:szCs w:val="16"/>
        </w:rPr>
        <w:t>-</w:t>
      </w:r>
      <w:r w:rsidRPr="00070ADE">
        <w:rPr>
          <w:rStyle w:val="286"/>
          <w:rFonts w:ascii="Times New Roman" w:hAnsi="Times New Roman" w:cs="Times New Roman"/>
          <w:color w:val="000000" w:themeColor="text1"/>
          <w:spacing w:val="0"/>
          <w:sz w:val="16"/>
          <w:szCs w:val="16"/>
          <w:lang w:val="ru"/>
        </w:rPr>
        <w:t xml:space="preserve"> </w:t>
      </w:r>
      <w:r w:rsidRPr="00070ADE">
        <w:rPr>
          <w:rFonts w:ascii="Times New Roman" w:hAnsi="Times New Roman"/>
          <w:color w:val="000000" w:themeColor="text1"/>
          <w:sz w:val="16"/>
          <w:szCs w:val="16"/>
        </w:rPr>
        <w:t xml:space="preserve">несколько более мощные </w:t>
      </w:r>
      <w:r w:rsidRPr="00070ADE">
        <w:rPr>
          <w:rStyle w:val="279"/>
          <w:rFonts w:ascii="Times New Roman" w:hAnsi="Times New Roman" w:cs="Times New Roman"/>
          <w:color w:val="000000" w:themeColor="text1"/>
          <w:spacing w:val="0"/>
          <w:sz w:val="16"/>
          <w:szCs w:val="16"/>
        </w:rPr>
        <w:t xml:space="preserve">- </w:t>
      </w:r>
      <w:r w:rsidRPr="00070ADE">
        <w:rPr>
          <w:rFonts w:ascii="Times New Roman" w:hAnsi="Times New Roman"/>
          <w:color w:val="000000" w:themeColor="text1"/>
          <w:sz w:val="16"/>
          <w:szCs w:val="16"/>
        </w:rPr>
        <w:t>В-2ИС.</w:t>
      </w:r>
    </w:p>
    <w:p w14:paraId="5EBA0B09" w14:textId="77777777" w:rsidR="00A22EFE" w:rsidRPr="00070ADE" w:rsidRDefault="00A22EFE"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Корпус Т-44 по длине был близок к корпу</w:t>
      </w:r>
      <w:r w:rsidRPr="00070ADE">
        <w:rPr>
          <w:rFonts w:ascii="Times New Roman" w:hAnsi="Times New Roman"/>
          <w:color w:val="000000" w:themeColor="text1"/>
          <w:sz w:val="16"/>
          <w:szCs w:val="16"/>
        </w:rPr>
        <w:softHyphen/>
        <w:t xml:space="preserve">су Т-34, но за счет поперечной установки двигателя удалось увеличить длину боевого отделения на 430 мм. Ширина корпуса была выбрана из расчета установки башни с погоном 1800 мм (на Т-34-76 диаметр погона </w:t>
      </w:r>
      <w:r w:rsidRPr="00070ADE">
        <w:rPr>
          <w:rStyle w:val="294"/>
          <w:rFonts w:ascii="Times New Roman" w:hAnsi="Times New Roman" w:cs="Times New Roman"/>
          <w:color w:val="000000" w:themeColor="text1"/>
          <w:spacing w:val="0"/>
          <w:sz w:val="16"/>
          <w:szCs w:val="16"/>
          <w:lang w:val="ru"/>
        </w:rPr>
        <w:t>-</w:t>
      </w:r>
      <w:r w:rsidRPr="00070ADE">
        <w:rPr>
          <w:rStyle w:val="307"/>
          <w:rFonts w:ascii="Times New Roman" w:hAnsi="Times New Roman" w:cs="Times New Roman"/>
          <w:color w:val="000000" w:themeColor="text1"/>
          <w:spacing w:val="0"/>
          <w:sz w:val="16"/>
          <w:szCs w:val="16"/>
          <w:lang w:val="ru"/>
        </w:rPr>
        <w:t xml:space="preserve"> </w:t>
      </w:r>
      <w:r w:rsidRPr="00070ADE">
        <w:rPr>
          <w:rFonts w:ascii="Times New Roman" w:hAnsi="Times New Roman"/>
          <w:color w:val="000000" w:themeColor="text1"/>
          <w:sz w:val="16"/>
          <w:szCs w:val="16"/>
        </w:rPr>
        <w:t>1420 мм, на Т-34-85 - 1600 мм). Высота кор</w:t>
      </w:r>
      <w:r w:rsidRPr="00070ADE">
        <w:rPr>
          <w:rFonts w:ascii="Times New Roman" w:hAnsi="Times New Roman"/>
          <w:color w:val="000000" w:themeColor="text1"/>
          <w:sz w:val="16"/>
          <w:szCs w:val="16"/>
        </w:rPr>
        <w:softHyphen/>
        <w:t>пуса была максимально сокращена: в перед</w:t>
      </w:r>
      <w:r w:rsidRPr="00070ADE">
        <w:rPr>
          <w:rFonts w:ascii="Times New Roman" w:hAnsi="Times New Roman"/>
          <w:color w:val="000000" w:themeColor="text1"/>
          <w:sz w:val="16"/>
          <w:szCs w:val="16"/>
        </w:rPr>
        <w:softHyphen/>
        <w:t>ней части (отделение управление и боевое) она составляла всего 830 мм, что было достигнуто благодаря отказу от размещения боеукладки на полу боевого отделения и «выносу головы водителя в специальную башенку», выступающую над крышей корпу</w:t>
      </w:r>
      <w:r w:rsidRPr="00070ADE">
        <w:rPr>
          <w:rFonts w:ascii="Times New Roman" w:hAnsi="Times New Roman"/>
          <w:color w:val="000000" w:themeColor="text1"/>
          <w:sz w:val="16"/>
          <w:szCs w:val="16"/>
        </w:rPr>
        <w:softHyphen/>
        <w:t xml:space="preserve">са. В кормовой части высота равнялась 965 мм </w:t>
      </w:r>
      <w:r w:rsidRPr="00070ADE">
        <w:rPr>
          <w:rStyle w:val="328"/>
          <w:rFonts w:ascii="Times New Roman" w:eastAsia="Calibri" w:hAnsi="Times New Roman" w:cs="Times New Roman"/>
          <w:color w:val="000000" w:themeColor="text1"/>
          <w:sz w:val="16"/>
          <w:szCs w:val="16"/>
        </w:rPr>
        <w:t xml:space="preserve">- </w:t>
      </w:r>
      <w:r w:rsidRPr="00070ADE">
        <w:rPr>
          <w:rFonts w:ascii="Times New Roman" w:hAnsi="Times New Roman"/>
          <w:color w:val="000000" w:themeColor="text1"/>
          <w:sz w:val="16"/>
          <w:szCs w:val="16"/>
        </w:rPr>
        <w:t>эта величина была обусловлена габа</w:t>
      </w:r>
      <w:r w:rsidRPr="00070ADE">
        <w:rPr>
          <w:rFonts w:ascii="Times New Roman" w:hAnsi="Times New Roman"/>
          <w:color w:val="000000" w:themeColor="text1"/>
          <w:sz w:val="16"/>
          <w:szCs w:val="16"/>
        </w:rPr>
        <w:softHyphen/>
        <w:t xml:space="preserve">ритной высотой двигателя В-2-44. Для справки </w:t>
      </w:r>
      <w:r w:rsidRPr="00070ADE">
        <w:rPr>
          <w:rStyle w:val="334"/>
          <w:rFonts w:ascii="Times New Roman" w:hAnsi="Times New Roman" w:cs="Times New Roman"/>
          <w:color w:val="000000" w:themeColor="text1"/>
          <w:sz w:val="16"/>
          <w:szCs w:val="16"/>
        </w:rPr>
        <w:t xml:space="preserve">- </w:t>
      </w:r>
      <w:r w:rsidRPr="00070ADE">
        <w:rPr>
          <w:rFonts w:ascii="Times New Roman" w:hAnsi="Times New Roman"/>
          <w:color w:val="000000" w:themeColor="text1"/>
          <w:sz w:val="16"/>
          <w:szCs w:val="16"/>
        </w:rPr>
        <w:t>высота корпуса Т-34 составляла 1150мм.</w:t>
      </w:r>
    </w:p>
    <w:p w14:paraId="22464DC2" w14:textId="77777777" w:rsidR="00A22EFE" w:rsidRPr="00070ADE" w:rsidRDefault="00A22EF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Верхний наклонный лобовой лист корпу</w:t>
      </w:r>
      <w:r w:rsidRPr="00070ADE">
        <w:rPr>
          <w:rFonts w:ascii="Times New Roman" w:hAnsi="Times New Roman"/>
          <w:color w:val="000000" w:themeColor="text1"/>
          <w:sz w:val="16"/>
          <w:szCs w:val="16"/>
        </w:rPr>
        <w:softHyphen/>
        <w:t>са толщиной 75 мм имел наклон в 60 граду</w:t>
      </w:r>
      <w:r w:rsidRPr="00070ADE">
        <w:rPr>
          <w:rFonts w:ascii="Times New Roman" w:hAnsi="Times New Roman"/>
          <w:color w:val="000000" w:themeColor="text1"/>
          <w:sz w:val="16"/>
          <w:szCs w:val="16"/>
        </w:rPr>
        <w:softHyphen/>
        <w:t>сов. С левой стороны в него была вварена выступающая литая бронерубка механика- водителя с толщиной стенок 75 мм. В крыше бронерубки механика-водителя имелся посадочный люк, а в передней стенке - смот</w:t>
      </w:r>
      <w:r w:rsidRPr="00070ADE">
        <w:rPr>
          <w:rFonts w:ascii="Times New Roman" w:hAnsi="Times New Roman"/>
          <w:color w:val="000000" w:themeColor="text1"/>
          <w:sz w:val="16"/>
          <w:szCs w:val="16"/>
        </w:rPr>
        <w:softHyphen/>
        <w:t>ровой. Позади его сиденья в днище корпуса был сделан люк для аварийного покидания машины. Механизмы натяжения гусениц, установленные в носовой части корпуса, при</w:t>
      </w:r>
      <w:r w:rsidRPr="00070ADE">
        <w:rPr>
          <w:rFonts w:ascii="Times New Roman" w:hAnsi="Times New Roman"/>
          <w:color w:val="000000" w:themeColor="text1"/>
          <w:sz w:val="16"/>
          <w:szCs w:val="16"/>
        </w:rPr>
        <w:softHyphen/>
        <w:t>крывались защитными кожухами, выступав</w:t>
      </w:r>
      <w:r w:rsidRPr="00070ADE">
        <w:rPr>
          <w:rFonts w:ascii="Times New Roman" w:hAnsi="Times New Roman"/>
          <w:color w:val="000000" w:themeColor="text1"/>
          <w:sz w:val="16"/>
          <w:szCs w:val="16"/>
        </w:rPr>
        <w:softHyphen/>
        <w:t>шими по краям лобового листа. Боковые стенки корпуса установили вертикально, их толщина была переменной - 75 мм в верхней части и 45 мм в нижней. Кормовой лист также стоял вертикально.</w:t>
      </w:r>
    </w:p>
    <w:p w14:paraId="7E21DE1E" w14:textId="77777777" w:rsidR="00A22EFE" w:rsidRPr="00070ADE" w:rsidRDefault="00A22EF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крыше боевого отделения устанавли</w:t>
      </w:r>
      <w:r w:rsidRPr="00070ADE">
        <w:rPr>
          <w:rFonts w:ascii="Times New Roman" w:hAnsi="Times New Roman"/>
          <w:color w:val="000000" w:themeColor="text1"/>
          <w:sz w:val="16"/>
          <w:szCs w:val="16"/>
        </w:rPr>
        <w:softHyphen/>
        <w:t xml:space="preserve">валась башня с толщиной стенок 90 мм в лобовой части, и 75 мм </w:t>
      </w:r>
      <w:r w:rsidRPr="00070ADE">
        <w:rPr>
          <w:rStyle w:val="328"/>
          <w:rFonts w:ascii="Times New Roman" w:eastAsia="Calibri" w:hAnsi="Times New Roman" w:cs="Times New Roman"/>
          <w:color w:val="000000" w:themeColor="text1"/>
          <w:sz w:val="16"/>
          <w:szCs w:val="16"/>
        </w:rPr>
        <w:t xml:space="preserve">- </w:t>
      </w:r>
      <w:r w:rsidRPr="00070ADE">
        <w:rPr>
          <w:rFonts w:ascii="Times New Roman" w:hAnsi="Times New Roman"/>
          <w:color w:val="000000" w:themeColor="text1"/>
          <w:sz w:val="16"/>
          <w:szCs w:val="16"/>
        </w:rPr>
        <w:t>в бортовой и кормо</w:t>
      </w:r>
      <w:r w:rsidRPr="00070ADE">
        <w:rPr>
          <w:rFonts w:ascii="Times New Roman" w:hAnsi="Times New Roman"/>
          <w:color w:val="000000" w:themeColor="text1"/>
          <w:sz w:val="16"/>
          <w:szCs w:val="16"/>
        </w:rPr>
        <w:softHyphen/>
        <w:t>вой. Лобовая и кормовая детали башни были литыми и соединялись между собой вварны- ми бортовыми вставками из катаной брони и крышей. За счет использования вставок из катаной брони конструкторы надеялись повысить стойкость башни при обстреле бро</w:t>
      </w:r>
      <w:r w:rsidRPr="00070ADE">
        <w:rPr>
          <w:rFonts w:ascii="Times New Roman" w:hAnsi="Times New Roman"/>
          <w:color w:val="000000" w:themeColor="text1"/>
          <w:sz w:val="16"/>
          <w:szCs w:val="16"/>
        </w:rPr>
        <w:softHyphen/>
        <w:t>небойными снарядами. На крыше башни устанавливалась неподвижная командир</w:t>
      </w:r>
      <w:r w:rsidRPr="00070ADE">
        <w:rPr>
          <w:rFonts w:ascii="Times New Roman" w:hAnsi="Times New Roman"/>
          <w:color w:val="000000" w:themeColor="text1"/>
          <w:sz w:val="16"/>
          <w:szCs w:val="16"/>
        </w:rPr>
        <w:softHyphen/>
        <w:t>ская башенка с одностворчатым посадочным люком, справа от нее имелся второй посадоч</w:t>
      </w:r>
      <w:r w:rsidRPr="00070ADE">
        <w:rPr>
          <w:rFonts w:ascii="Times New Roman" w:hAnsi="Times New Roman"/>
          <w:color w:val="000000" w:themeColor="text1"/>
          <w:sz w:val="16"/>
          <w:szCs w:val="16"/>
        </w:rPr>
        <w:softHyphen/>
        <w:t>ный люк. В кормовой части крыши распола</w:t>
      </w:r>
      <w:r w:rsidRPr="00070ADE">
        <w:rPr>
          <w:rFonts w:ascii="Times New Roman" w:hAnsi="Times New Roman"/>
          <w:color w:val="000000" w:themeColor="text1"/>
          <w:sz w:val="16"/>
          <w:szCs w:val="16"/>
        </w:rPr>
        <w:softHyphen/>
        <w:t>гался броневой колпак выхода вентилятора боевого отделения.</w:t>
      </w:r>
    </w:p>
    <w:p w14:paraId="74533283" w14:textId="77777777" w:rsidR="00A22EFE" w:rsidRPr="00070ADE" w:rsidRDefault="00A22EF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башне монтировалась 85-мм пушка Д-5Т спаренная с пулеметом ДТ. Большая часть ее боекомплекта из 54 артиллерийских выстре</w:t>
      </w:r>
      <w:r w:rsidRPr="00070ADE">
        <w:rPr>
          <w:rFonts w:ascii="Times New Roman" w:hAnsi="Times New Roman"/>
          <w:color w:val="000000" w:themeColor="text1"/>
          <w:sz w:val="16"/>
          <w:szCs w:val="16"/>
        </w:rPr>
        <w:softHyphen/>
        <w:t>лов размещалась в специальном стеллаже в передней части корпуса справа от механика- водителя. 16 выстрелов находились в башне (12 - в кормовой нише,4- на правом борту).</w:t>
      </w:r>
    </w:p>
    <w:p w14:paraId="36C5B11E" w14:textId="77777777" w:rsidR="00A22EFE" w:rsidRPr="00070ADE" w:rsidRDefault="00A22EF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122-мм орудие Д-25Т-44, разработанное для установки в Т-44 на заводе №9 НКВ, отличалось от обычного Д-25-Т несколько уменьшенной длиной ствола и массой откат</w:t>
      </w:r>
      <w:r w:rsidRPr="00070ADE">
        <w:rPr>
          <w:rFonts w:ascii="Times New Roman" w:hAnsi="Times New Roman"/>
          <w:color w:val="000000" w:themeColor="text1"/>
          <w:sz w:val="16"/>
          <w:szCs w:val="16"/>
        </w:rPr>
        <w:softHyphen/>
        <w:t>ных частей. Для него был разработан унитар</w:t>
      </w:r>
      <w:r w:rsidRPr="00070ADE">
        <w:rPr>
          <w:rFonts w:ascii="Times New Roman" w:hAnsi="Times New Roman"/>
          <w:color w:val="000000" w:themeColor="text1"/>
          <w:sz w:val="16"/>
          <w:szCs w:val="16"/>
        </w:rPr>
        <w:softHyphen/>
        <w:t>ный выстрел с уменьшенным примерно на 3% пороховым зарядом. Предполагалось, что отказ от раздельного заряжания повысит скорострельность орудия в танке.</w:t>
      </w:r>
    </w:p>
    <w:p w14:paraId="5928AA88" w14:textId="77777777" w:rsidR="00A22EFE" w:rsidRPr="00070ADE" w:rsidRDefault="00A22EFE"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моторно-трансмиссионном отделении (</w:t>
      </w:r>
      <w:r w:rsidRPr="00070ADE">
        <w:rPr>
          <w:rFonts w:ascii="Times New Roman" w:hAnsi="Times New Roman"/>
          <w:color w:val="000000" w:themeColor="text1"/>
          <w:sz w:val="16"/>
          <w:szCs w:val="16"/>
          <w:lang w:val="en-US"/>
        </w:rPr>
        <w:t>MT</w:t>
      </w:r>
      <w:r w:rsidRPr="00070ADE">
        <w:rPr>
          <w:rFonts w:ascii="Times New Roman" w:hAnsi="Times New Roman"/>
          <w:color w:val="000000" w:themeColor="text1"/>
          <w:sz w:val="16"/>
          <w:szCs w:val="16"/>
        </w:rPr>
        <w:t>О), расположенном в корме танка, разме</w:t>
      </w:r>
      <w:r w:rsidRPr="00070ADE">
        <w:rPr>
          <w:rFonts w:ascii="Times New Roman" w:hAnsi="Times New Roman"/>
          <w:color w:val="000000" w:themeColor="text1"/>
          <w:sz w:val="16"/>
          <w:szCs w:val="16"/>
        </w:rPr>
        <w:softHyphen/>
        <w:t>щались двигатель (поперек корпуса), сило</w:t>
      </w:r>
      <w:r w:rsidRPr="00070ADE">
        <w:rPr>
          <w:rFonts w:ascii="Times New Roman" w:hAnsi="Times New Roman"/>
          <w:color w:val="000000" w:themeColor="text1"/>
          <w:sz w:val="16"/>
          <w:szCs w:val="16"/>
        </w:rPr>
        <w:softHyphen/>
        <w:t xml:space="preserve">вая передача (входной шестеренчатый редуктор </w:t>
      </w:r>
      <w:r w:rsidRPr="00070ADE">
        <w:rPr>
          <w:rStyle w:val="328"/>
          <w:rFonts w:ascii="Times New Roman" w:eastAsia="Calibri" w:hAnsi="Times New Roman" w:cs="Times New Roman"/>
          <w:color w:val="000000" w:themeColor="text1"/>
          <w:sz w:val="16"/>
          <w:szCs w:val="16"/>
        </w:rPr>
        <w:t xml:space="preserve">- </w:t>
      </w:r>
      <w:r w:rsidRPr="00070ADE">
        <w:rPr>
          <w:rFonts w:ascii="Times New Roman" w:hAnsi="Times New Roman"/>
          <w:color w:val="000000" w:themeColor="text1"/>
          <w:sz w:val="16"/>
          <w:szCs w:val="16"/>
        </w:rPr>
        <w:t>гитара, главный и бортовые фрик</w:t>
      </w:r>
      <w:r w:rsidRPr="00070ADE">
        <w:rPr>
          <w:rFonts w:ascii="Times New Roman" w:hAnsi="Times New Roman"/>
          <w:color w:val="000000" w:themeColor="text1"/>
          <w:sz w:val="16"/>
          <w:szCs w:val="16"/>
        </w:rPr>
        <w:softHyphen/>
        <w:t>ционы, пятискоростная КПП и бортовые редукторы), водяной и масляный радиаторы, вентилятор системы охлаждения и топлив</w:t>
      </w:r>
      <w:r w:rsidRPr="00070ADE">
        <w:rPr>
          <w:rFonts w:ascii="Times New Roman" w:hAnsi="Times New Roman"/>
          <w:color w:val="000000" w:themeColor="text1"/>
          <w:sz w:val="16"/>
          <w:szCs w:val="16"/>
        </w:rPr>
        <w:softHyphen/>
        <w:t>ные баки. За счет применения новой компо</w:t>
      </w:r>
      <w:r w:rsidRPr="00070ADE">
        <w:rPr>
          <w:rFonts w:ascii="Times New Roman" w:hAnsi="Times New Roman"/>
          <w:color w:val="000000" w:themeColor="text1"/>
          <w:sz w:val="16"/>
          <w:szCs w:val="16"/>
        </w:rPr>
        <w:softHyphen/>
        <w:t xml:space="preserve">новки </w:t>
      </w:r>
      <w:r w:rsidRPr="00070ADE">
        <w:rPr>
          <w:rFonts w:ascii="Times New Roman" w:hAnsi="Times New Roman"/>
          <w:color w:val="000000" w:themeColor="text1"/>
          <w:sz w:val="16"/>
          <w:szCs w:val="16"/>
          <w:lang w:val="en-US"/>
        </w:rPr>
        <w:t>MT</w:t>
      </w:r>
      <w:r w:rsidRPr="00070ADE">
        <w:rPr>
          <w:rFonts w:ascii="Times New Roman" w:hAnsi="Times New Roman"/>
          <w:color w:val="000000" w:themeColor="text1"/>
          <w:sz w:val="16"/>
          <w:szCs w:val="16"/>
        </w:rPr>
        <w:t>0 был значительно облегчен монтаж и демонтаж основных агрегатов трансмис</w:t>
      </w:r>
      <w:r w:rsidRPr="00070ADE">
        <w:rPr>
          <w:rFonts w:ascii="Times New Roman" w:hAnsi="Times New Roman"/>
          <w:color w:val="000000" w:themeColor="text1"/>
          <w:sz w:val="16"/>
          <w:szCs w:val="16"/>
        </w:rPr>
        <w:softHyphen/>
        <w:t>сии. Планировавшийся для установки на Т-44 двигатель В-2-44 (доработанный дизель В- 2ИС) должен был иметь минимально возмож</w:t>
      </w:r>
      <w:r w:rsidRPr="00070ADE">
        <w:rPr>
          <w:rFonts w:ascii="Times New Roman" w:hAnsi="Times New Roman"/>
          <w:color w:val="000000" w:themeColor="text1"/>
          <w:sz w:val="16"/>
          <w:szCs w:val="16"/>
        </w:rPr>
        <w:softHyphen/>
        <w:t>ную высоту. Для этого на нем изменили рас</w:t>
      </w:r>
      <w:r w:rsidRPr="00070ADE">
        <w:rPr>
          <w:rFonts w:ascii="Times New Roman" w:hAnsi="Times New Roman"/>
          <w:color w:val="000000" w:themeColor="text1"/>
          <w:sz w:val="16"/>
          <w:szCs w:val="16"/>
        </w:rPr>
        <w:softHyphen/>
        <w:t>положение водяного и масляного насосов, которые ранее монтировались снизу двига</w:t>
      </w:r>
      <w:r w:rsidRPr="00070ADE">
        <w:rPr>
          <w:rFonts w:ascii="Times New Roman" w:hAnsi="Times New Roman"/>
          <w:color w:val="000000" w:themeColor="text1"/>
          <w:sz w:val="16"/>
          <w:szCs w:val="16"/>
        </w:rPr>
        <w:softHyphen/>
        <w:t>теля и существенно выходили за габариты картера. Так как изготовить В-2-44 не успели, то на первых прототипах Т-44 устанавлива</w:t>
      </w:r>
      <w:r w:rsidRPr="00070ADE">
        <w:rPr>
          <w:rFonts w:ascii="Times New Roman" w:hAnsi="Times New Roman"/>
          <w:color w:val="000000" w:themeColor="text1"/>
          <w:sz w:val="16"/>
          <w:szCs w:val="16"/>
        </w:rPr>
        <w:softHyphen/>
        <w:t>лись двигатели В-2-34 и В-2ИС. Чтобы поме</w:t>
      </w:r>
      <w:r w:rsidRPr="00070ADE">
        <w:rPr>
          <w:rFonts w:ascii="Times New Roman" w:hAnsi="Times New Roman"/>
          <w:color w:val="000000" w:themeColor="text1"/>
          <w:sz w:val="16"/>
          <w:szCs w:val="16"/>
        </w:rPr>
        <w:softHyphen/>
        <w:t>стить их в МТО, в днище пришлось делать спе</w:t>
      </w:r>
      <w:r w:rsidRPr="00070ADE">
        <w:rPr>
          <w:rFonts w:ascii="Times New Roman" w:hAnsi="Times New Roman"/>
          <w:color w:val="000000" w:themeColor="text1"/>
          <w:sz w:val="16"/>
          <w:szCs w:val="16"/>
        </w:rPr>
        <w:softHyphen/>
        <w:t>циальный проем, закрывавшийся выступаю</w:t>
      </w:r>
      <w:r w:rsidRPr="00070ADE">
        <w:rPr>
          <w:rFonts w:ascii="Times New Roman" w:hAnsi="Times New Roman"/>
          <w:color w:val="000000" w:themeColor="text1"/>
          <w:sz w:val="16"/>
          <w:szCs w:val="16"/>
        </w:rPr>
        <w:softHyphen/>
        <w:t>щей крышкой.</w:t>
      </w:r>
    </w:p>
    <w:p w14:paraId="08230D0F" w14:textId="77777777" w:rsidR="00A22EFE" w:rsidRPr="00070ADE" w:rsidRDefault="00A22EF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Т-44 получил торсионную подвеску. В ходовой части использовались сдвоенные опорные катки, аналогичные каткам Т-34. Такими же, как на Т-34, остались и гусенич</w:t>
      </w:r>
      <w:r w:rsidRPr="00070ADE">
        <w:rPr>
          <w:rFonts w:ascii="Times New Roman" w:hAnsi="Times New Roman"/>
          <w:color w:val="000000" w:themeColor="text1"/>
          <w:sz w:val="16"/>
          <w:szCs w:val="16"/>
        </w:rPr>
        <w:softHyphen/>
        <w:t>ные ленты с гребневым зацеплением (19935).</w:t>
      </w:r>
    </w:p>
    <w:p w14:paraId="43B8B045" w14:textId="77777777" w:rsidR="00A22EFE" w:rsidRPr="00070ADE" w:rsidRDefault="00A22EFE" w:rsidP="00B56F90">
      <w:pPr>
        <w:spacing w:after="0" w:line="240" w:lineRule="auto"/>
        <w:jc w:val="both"/>
        <w:rPr>
          <w:rFonts w:ascii="Times New Roman" w:hAnsi="Times New Roman"/>
          <w:color w:val="000000" w:themeColor="text1"/>
          <w:sz w:val="16"/>
          <w:szCs w:val="16"/>
        </w:rPr>
      </w:pPr>
    </w:p>
    <w:p w14:paraId="633E86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 феврале 1944 г. три опытных образца (№ 1, 2 и 3) Т-44 (первой модификации) были изготовлены и один из них (№ 2) с 19 фе</w:t>
      </w:r>
      <w:r w:rsidRPr="00070ADE">
        <w:rPr>
          <w:rFonts w:ascii="Times New Roman" w:hAnsi="Times New Roman"/>
          <w:color w:val="000000" w:themeColor="text1"/>
          <w:sz w:val="16"/>
          <w:szCs w:val="16"/>
        </w:rPr>
        <w:softHyphen/>
        <w:t>враля по 5 марта того же года прошел испытания на НИБТ полигоне, в результате которых было выявлено много конструктивных недостатков машины. Па вооружение танк не принимался и в серийном производстве не состоял. Явился прототипом танка Т-44 (второй модификации) (10703).</w:t>
      </w:r>
    </w:p>
    <w:p w14:paraId="70B878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FAD76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январе-феврале 1944 г. были вы</w:t>
      </w:r>
      <w:r w:rsidRPr="00070ADE">
        <w:rPr>
          <w:rFonts w:ascii="Times New Roman" w:hAnsi="Times New Roman"/>
          <w:color w:val="000000" w:themeColor="text1"/>
          <w:sz w:val="16"/>
          <w:szCs w:val="16"/>
        </w:rPr>
        <w:softHyphen/>
        <w:t>пущены три танка Т-44 первой модификации. Пер</w:t>
      </w:r>
      <w:r w:rsidRPr="00070ADE">
        <w:rPr>
          <w:rFonts w:ascii="Times New Roman" w:hAnsi="Times New Roman"/>
          <w:color w:val="000000" w:themeColor="text1"/>
          <w:sz w:val="16"/>
          <w:szCs w:val="16"/>
        </w:rPr>
        <w:softHyphen/>
        <w:t>вые два имели массу 30,4 т и были вооруже</w:t>
      </w:r>
      <w:r w:rsidRPr="00070ADE">
        <w:rPr>
          <w:rFonts w:ascii="Times New Roman" w:hAnsi="Times New Roman"/>
          <w:color w:val="000000" w:themeColor="text1"/>
          <w:sz w:val="16"/>
          <w:szCs w:val="16"/>
        </w:rPr>
        <w:softHyphen/>
        <w:t>ны 85-мм пушкой Д-5Т-85 и двумя 7,62-мм пулеметами ДТ. Броневая защита верхнего лобового листа корпуса достигала 75 мм, вер</w:t>
      </w:r>
      <w:r w:rsidRPr="00070ADE">
        <w:rPr>
          <w:rFonts w:ascii="Times New Roman" w:hAnsi="Times New Roman"/>
          <w:color w:val="000000" w:themeColor="text1"/>
          <w:sz w:val="16"/>
          <w:szCs w:val="16"/>
        </w:rPr>
        <w:softHyphen/>
        <w:t>хний бортовой лист, расположенный верти</w:t>
      </w:r>
      <w:r w:rsidRPr="00070ADE">
        <w:rPr>
          <w:rFonts w:ascii="Times New Roman" w:hAnsi="Times New Roman"/>
          <w:color w:val="000000" w:themeColor="text1"/>
          <w:sz w:val="16"/>
          <w:szCs w:val="16"/>
        </w:rPr>
        <w:softHyphen/>
        <w:t>кально, имел толщину 45 мм и дополнительно был защищен накладным броневым листом толщиной 30 мм. Толщина лобовой брони баш</w:t>
      </w:r>
      <w:r w:rsidRPr="00070ADE">
        <w:rPr>
          <w:rFonts w:ascii="Times New Roman" w:hAnsi="Times New Roman"/>
          <w:color w:val="000000" w:themeColor="text1"/>
          <w:sz w:val="16"/>
          <w:szCs w:val="16"/>
        </w:rPr>
        <w:softHyphen/>
        <w:t>ни составляла 90 мм. На танке установили ди</w:t>
      </w:r>
      <w:r w:rsidRPr="00070ADE">
        <w:rPr>
          <w:rFonts w:ascii="Times New Roman" w:hAnsi="Times New Roman"/>
          <w:color w:val="000000" w:themeColor="text1"/>
          <w:sz w:val="16"/>
          <w:szCs w:val="16"/>
        </w:rPr>
        <w:softHyphen/>
        <w:t>зель В-2ИС мощностью 500 л.с. (367,6 кВт) (11468).</w:t>
      </w:r>
    </w:p>
    <w:p w14:paraId="052627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C2F2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января по апрель 1944 г. до принятия на вооружение танка Т-34-85 с пушкой ЗИС-С-53, за</w:t>
      </w:r>
      <w:r w:rsidRPr="00070ADE">
        <w:rPr>
          <w:rFonts w:ascii="Times New Roman" w:hAnsi="Times New Roman"/>
          <w:color w:val="000000" w:themeColor="text1"/>
          <w:sz w:val="16"/>
          <w:szCs w:val="16"/>
        </w:rPr>
        <w:softHyphen/>
        <w:t>вод № 112 выпускал танки Т-34-85, оснащен</w:t>
      </w:r>
      <w:r w:rsidRPr="00070ADE">
        <w:rPr>
          <w:rFonts w:ascii="Times New Roman" w:hAnsi="Times New Roman"/>
          <w:color w:val="000000" w:themeColor="text1"/>
          <w:sz w:val="16"/>
          <w:szCs w:val="16"/>
        </w:rPr>
        <w:softHyphen/>
        <w:t>ные 85-мм пушкой Д-5Т-85. Всего было выпущено 255 таких машин, включая 5 командирских ганков, оснащенных радиостанциями РСБ-Ф. С февраля 1944 г. завод начал постепенный переход на выпуск танков Т-34-85, вооруженный пушками ЗИС-С-53. В 1944 г. заседал военным представителе 8695 танков Т-34-85, оснащенных радиостанцией 9Р (линейные танки), 129 - радиостанцией РСБ-Ф (командир</w:t>
      </w:r>
      <w:r w:rsidRPr="00070ADE">
        <w:rPr>
          <w:rFonts w:ascii="Times New Roman" w:hAnsi="Times New Roman"/>
          <w:color w:val="000000" w:themeColor="text1"/>
          <w:sz w:val="16"/>
          <w:szCs w:val="16"/>
        </w:rPr>
        <w:softHyphen/>
        <w:t>ские) и 255 танков без установки радиостанций. 30 линейных танков из общего числа выпущенных танков были оснащены автоматической си</w:t>
      </w:r>
      <w:r w:rsidRPr="00070ADE">
        <w:rPr>
          <w:rFonts w:ascii="Times New Roman" w:hAnsi="Times New Roman"/>
          <w:color w:val="000000" w:themeColor="text1"/>
          <w:sz w:val="16"/>
          <w:szCs w:val="16"/>
        </w:rPr>
        <w:softHyphen/>
        <w:t>стемой ППО (10703).</w:t>
      </w:r>
    </w:p>
    <w:p w14:paraId="08E6FF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DEC6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 феврале 1944 г. опытный образец установки СУ-85БМ-1 (СУ-85БМ-Н) успешно прошел заводские и полигонные испытания. Однако в связи с решением установить в серийную самоходную уста</w:t>
      </w:r>
      <w:r w:rsidRPr="00070ADE">
        <w:rPr>
          <w:rFonts w:ascii="Times New Roman" w:hAnsi="Times New Roman"/>
          <w:color w:val="000000" w:themeColor="text1"/>
          <w:sz w:val="16"/>
          <w:szCs w:val="16"/>
        </w:rPr>
        <w:softHyphen/>
        <w:t>новку СУ-85 100-мм пушку Д-10С, превосходившую по огневой мощи пушку Д-5С-85БМ, работы по СУ-85БМ-1 были прекращены. Машина была создана на базе серийной самоходной установки СУ-85 и отличалась от нее вооружением. Экипаж машины состоял из четырех человек (10703).</w:t>
      </w:r>
    </w:p>
    <w:p w14:paraId="1D63E7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A7DD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января по март 1944 года САУ СУ-85БМ, вооруженная пушкой Д-5С-85БМ проходила полигонные испытания и по их результатам на вооружение не была принята (3862).</w:t>
      </w:r>
    </w:p>
    <w:p w14:paraId="6EE738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63076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январе—апреле 1944 г. проект С-51 силами ЦАКБ совместно с КБ опытно</w:t>
      </w:r>
      <w:r w:rsidRPr="00070ADE">
        <w:rPr>
          <w:rFonts w:ascii="Times New Roman" w:hAnsi="Times New Roman"/>
          <w:color w:val="000000" w:themeColor="text1"/>
          <w:sz w:val="16"/>
          <w:szCs w:val="16"/>
        </w:rPr>
        <w:softHyphen/>
        <w:t>го завода № 100 был переведен на шасси танка ИС.</w:t>
      </w:r>
    </w:p>
    <w:p w14:paraId="6D204B1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Поскольку выпуск 203-мм гаубиц Б-4 не возобновлялся, было принято решение о создании на шасси танка ИС само</w:t>
      </w:r>
      <w:r w:rsidRPr="00070ADE">
        <w:rPr>
          <w:rFonts w:ascii="Times New Roman" w:hAnsi="Times New Roman"/>
          <w:color w:val="000000" w:themeColor="text1"/>
          <w:sz w:val="16"/>
          <w:szCs w:val="16"/>
        </w:rPr>
        <w:softHyphen/>
        <w:t>ходной версии дальнобойной 152-мм пушки БР-2. В мае-июне 1944 г. новая САУ, получившая индекс С-59 (сна</w:t>
      </w:r>
      <w:r w:rsidRPr="00070ADE">
        <w:rPr>
          <w:rFonts w:ascii="Times New Roman" w:hAnsi="Times New Roman"/>
          <w:color w:val="000000" w:themeColor="text1"/>
          <w:sz w:val="16"/>
          <w:szCs w:val="16"/>
        </w:rPr>
        <w:softHyphen/>
        <w:t>чала проект шел под индексом С-56), была изготовлена и пе</w:t>
      </w:r>
      <w:r w:rsidRPr="00070ADE">
        <w:rPr>
          <w:rFonts w:ascii="Times New Roman" w:hAnsi="Times New Roman"/>
          <w:color w:val="000000" w:themeColor="text1"/>
          <w:sz w:val="16"/>
          <w:szCs w:val="16"/>
        </w:rPr>
        <w:softHyphen/>
        <w:t>редана для проведения полигонных испытаний. Конструк</w:t>
      </w:r>
      <w:r w:rsidRPr="00070ADE">
        <w:rPr>
          <w:rFonts w:ascii="Times New Roman" w:hAnsi="Times New Roman"/>
          <w:color w:val="000000" w:themeColor="text1"/>
          <w:sz w:val="16"/>
          <w:szCs w:val="16"/>
        </w:rPr>
        <w:softHyphen/>
        <w:t>тивно С-59 в целом повторяла С-51, но создавалась на шасси танка ИС-85 (здесь имеется разночтение данных ЦАКБ с данными полигона, так как в материалах по испытанию ука</w:t>
      </w:r>
      <w:r w:rsidRPr="00070ADE">
        <w:rPr>
          <w:rFonts w:ascii="Times New Roman" w:hAnsi="Times New Roman"/>
          <w:color w:val="000000" w:themeColor="text1"/>
          <w:sz w:val="16"/>
          <w:szCs w:val="16"/>
        </w:rPr>
        <w:softHyphen/>
        <w:t>зано «улучшенное шасси тяжелого танка КВ»). Не вполне понятно, почему установка даже на этапе эскизного проекта не была дополнена откидным сошником, как то рекомендо</w:t>
      </w:r>
      <w:r w:rsidRPr="00070ADE">
        <w:rPr>
          <w:rFonts w:ascii="Times New Roman" w:hAnsi="Times New Roman"/>
          <w:color w:val="000000" w:themeColor="text1"/>
          <w:sz w:val="16"/>
          <w:szCs w:val="16"/>
        </w:rPr>
        <w:softHyphen/>
        <w:t>валось по результатам предварительных испытаний С-51.</w:t>
      </w:r>
    </w:p>
    <w:p w14:paraId="0AEDAC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проведении полигонных испытаний на АНИОП были выявлены недостатки, аналогичные тем, что были об</w:t>
      </w:r>
      <w:r w:rsidRPr="00070ADE">
        <w:rPr>
          <w:rFonts w:ascii="Times New Roman" w:hAnsi="Times New Roman"/>
          <w:color w:val="000000" w:themeColor="text1"/>
          <w:sz w:val="16"/>
          <w:szCs w:val="16"/>
        </w:rPr>
        <w:softHyphen/>
        <w:t>наружены при испытании С-51, причем отдача при стрельбе полным зарядом из 152-мм пушки оказалась еще большей. Но на вооружение САУ не рекомендовалась, и дальнейшие работы по данному типу САУ были прекращены (11417).</w:t>
      </w:r>
    </w:p>
    <w:p w14:paraId="5B00F54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CED27A" w14:textId="35F2E4E7" w:rsidR="00051986" w:rsidRPr="00070ADE" w:rsidRDefault="000519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 в январе, ни в феврале 1944 года по машине Объектом 242 не наблюдалось никакой активности (опытный образец в последний раз упоминался в сводках завода №100 за январь 1944 года). Более того, речь шла об испытаниях на Гороховецком АНИОП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что же касается заводских испытаний, то они вовсе не проводились, а позже машину переделали в ИСУ-130. Столь странная ситуация объясняется несколькими причинами. Во-первых, испытатели требовали установки на машину 122-мм орудия А-19 с клиновым затвором. Как раз в начале 1944 года работы по такому орудию с клиновым затвором шли для</w:t>
      </w:r>
      <w:r w:rsidR="00B643A8" w:rsidRPr="00070ADE">
        <w:rPr>
          <w:rFonts w:ascii="Times New Roman" w:hAnsi="Times New Roman"/>
          <w:color w:val="000000" w:themeColor="text1"/>
          <w:sz w:val="16"/>
          <w:szCs w:val="16"/>
        </w:rPr>
        <w:t xml:space="preserve"> </w:t>
      </w:r>
      <w:hyperlink r:id="rId27" w:history="1">
        <w:r w:rsidRPr="00070ADE">
          <w:rPr>
            <w:rStyle w:val="a5"/>
            <w:rFonts w:ascii="Times New Roman" w:hAnsi="Times New Roman"/>
            <w:color w:val="000000" w:themeColor="text1"/>
            <w:sz w:val="16"/>
            <w:szCs w:val="16"/>
            <w:u w:val="none"/>
          </w:rPr>
          <w:t>ИС-2</w:t>
        </w:r>
      </w:hyperlink>
      <w:r w:rsidRPr="00070ADE">
        <w:rPr>
          <w:rFonts w:ascii="Times New Roman" w:hAnsi="Times New Roman"/>
          <w:color w:val="000000" w:themeColor="text1"/>
          <w:sz w:val="16"/>
          <w:szCs w:val="16"/>
        </w:rPr>
        <w:t>, такое же орудие ждали для самоходной установки. Во-вторых, орудие А-19 с начальной скоростью снаряда 800 м/с ещё осенью 1943 года считалось недостаточным и для танка, и для САУ (18335).</w:t>
      </w:r>
    </w:p>
    <w:p w14:paraId="6F6D6DCE" w14:textId="77777777" w:rsidR="00051986" w:rsidRPr="00070ADE" w:rsidRDefault="00051986" w:rsidP="00B56F90">
      <w:pPr>
        <w:spacing w:after="0" w:line="240" w:lineRule="auto"/>
        <w:jc w:val="both"/>
        <w:rPr>
          <w:rFonts w:ascii="Times New Roman" w:hAnsi="Times New Roman"/>
          <w:color w:val="000000" w:themeColor="text1"/>
          <w:sz w:val="16"/>
          <w:szCs w:val="16"/>
        </w:rPr>
      </w:pPr>
    </w:p>
    <w:p w14:paraId="541A6FB8"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53CD7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2A44D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январь и февраль 1944 г. обе дивизии - «молодая» 311-я шад и 233-я шад 1-й ВА потеряли 34 самолета и 27 летчиков, что составляет одну потерю Ил-2 на 30,7 боевых вылетов и одного летчика на 39 вылетов. По опыту штурмовых частей и соединений 2-й воздушной армии на одну боевую потерю самолета Ил-2 в среднем приходилось: 33 боевых вылета - в 1943 г., 49 - в 1944 г., 75 - в 1945 г. При этом в ходе Львовско-Сандомирской наступательной операции налет на одну боевую потерю самолета Ил-2 составлял 62 боевых вылета (67 ч налета), а в Берлинской операции — 97 вылетов (101 ч налета). По опыту 15-й воздушной армии на каждые 100 самолетов Ил-2, получивших повреждения от огня зенитной артиллерии и истребительной авиации противника, приходилось всего: в 1943 г. - 1,34, в 1944 г. - 4,9, в 1945 г. — 3,25 боевых потерь Ил-2. Для сравнения, на каждую сотню поврежденных истребителей Як-9 приходилось 18 боевых потерь в 1943 г., 24 - в 1944 г. и 54 - в 1945 г., а истребителей Ла-5 — 23 в 1943 г. и 65 в 1944 г. (11921).</w:t>
      </w:r>
    </w:p>
    <w:p w14:paraId="22A09D4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6BEF2E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январе-феврале 1944 г. командиры батарей истребительно-противотанковых самоходных пол</w:t>
      </w:r>
      <w:r w:rsidRPr="00070ADE">
        <w:rPr>
          <w:rFonts w:ascii="Times New Roman" w:hAnsi="Times New Roman"/>
          <w:color w:val="000000" w:themeColor="text1"/>
          <w:sz w:val="16"/>
          <w:szCs w:val="16"/>
        </w:rPr>
        <w:softHyphen/>
        <w:t>ков, которые начали формироваться по штату № 010/483 (230 человек, 16 СУ-85 и 1 «командирский» Т-34) получили свою машину каждый и были переведены на новые штаты с пя</w:t>
      </w:r>
      <w:r w:rsidRPr="00070ADE">
        <w:rPr>
          <w:rFonts w:ascii="Times New Roman" w:hAnsi="Times New Roman"/>
          <w:color w:val="000000" w:themeColor="text1"/>
          <w:sz w:val="16"/>
          <w:szCs w:val="16"/>
        </w:rPr>
        <w:softHyphen/>
        <w:t>тью САУ в батарее, доведя таким образом численность САУ в полку до 20 (4 батареи по 5 СУ-85). Весной 1944 г. вновь была увеличена численность личного состава полка СУ-85 до 318 чел. при численности машин 21 шт. (11417).</w:t>
      </w:r>
    </w:p>
    <w:p w14:paraId="66796BA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239013"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E5B21C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2B0F2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с внедрением в серийное производство Ил-2 с крылом увеличенной по передней кромке крыла стреловидностью появилась возможность улучшить и защиту воздушного стрелка. К 1 июня 1944 г. были разработаны удлиненный бронекорпус с перераспределенной толщиной брони, включающий кабину стрелка, и ремонтный комплект дополнительной брони стрелка. Ремкомплект предполагалось устанавливать на уже выпущенные Ил-2 «крыло со стрелкой» с обычным бронекорпусом силами техсостава строевых частей.</w:t>
      </w:r>
    </w:p>
    <w:p w14:paraId="53F138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Верхняя передняя часть нового бронекорпуса выполнялась из дюралюминовых листов, поскольку, как показал боевой опыт, она практически не поражалась в воздушных боях. Вертикальная бронеплита под капотом и бронедиск за втулкой винта заменялись дюралевыми. Толщина нижних боковых стенок капота мотора увеличивалась до 6 и 8 мм, а толщина боковых стенок кабины пилота, наоборот, уменьшалась до 4 и 5 мм. Кабина стрелка целиком имела 5-мм броню. Передняя и средняя части бронекорпуса, как и ранее, выполнялись из броневых листов толщиной от 4 до 6 мм. В сравнении с серийным Ил-2 общий вес металлической брони увеличился на 55 кг.</w:t>
      </w:r>
    </w:p>
    <w:p w14:paraId="681C6D4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Ремкомплект включал в себя девять бронеплит толщиной по 5 мм каждая, соединенных между собой уголками и болтами. Их сборка проводилась по заранее просверленным отверстиям. Два подготовленных техника монтировали кабину стрелка за два дня. Вес бронедеталей с креплением не превышал 41 кг.</w:t>
      </w:r>
    </w:p>
    <w:p w14:paraId="2598489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установке удлиненного бронекорпуса деревянная часть фюзеляжа укорачивалась на 1135 мм. Монтаж дополнительной брони изменений в конструкции самолета не требовал.</w:t>
      </w:r>
    </w:p>
    <w:p w14:paraId="5E253A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в целом соответствовало серийным вариантам Ил-2 с обычным бронекорпусом, но бомбовая нагрузка ограничивалась 400 кг (11921).</w:t>
      </w:r>
    </w:p>
    <w:p w14:paraId="55356CB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D99AF27" w14:textId="77777777" w:rsidR="00792F77" w:rsidRPr="00070ADE" w:rsidRDefault="00792F7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начале 1944 вопрос о серийном производстве самолетов Ил-2 с пушками 11П вновь встал на повестку дня. От ГКО им занимался член Военного совета ВВС КА и одновременно заведующий авиационным от</w:t>
      </w:r>
      <w:r w:rsidRPr="00070ADE">
        <w:rPr>
          <w:color w:val="000000" w:themeColor="text1"/>
          <w:sz w:val="16"/>
          <w:szCs w:val="16"/>
        </w:rPr>
        <w:softHyphen/>
        <w:t>делом ЦК ВКП(б) генерал-лейтенант Н. С. Шиманов. Оперативному управлению штаба ВВС поручили подготовить развернутый анализ эффективности боевого применения самолетов, вооруженных 37-мм пушками.</w:t>
      </w:r>
    </w:p>
    <w:p w14:paraId="0BE16E39" w14:textId="77777777" w:rsidR="00792F77" w:rsidRPr="00070ADE" w:rsidRDefault="00792F7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Основательно проработав этот вопрос, специ</w:t>
      </w:r>
      <w:r w:rsidRPr="00070ADE">
        <w:rPr>
          <w:color w:val="000000" w:themeColor="text1"/>
          <w:sz w:val="16"/>
          <w:szCs w:val="16"/>
        </w:rPr>
        <w:softHyphen/>
        <w:t>алисты штаба ВВС пришли к выводу, что вместо Ил-2 с 11П на вооружении ВВС КА целесообразно иметь 30% тяжелых истребителей Як-9т с такой же пушкой, основной задачей которых являлась бы борьба с танками противника. Кроме этого, Як-9т привлекались бы как «охотники» для уничтожения ж.-д. эшелонов на перегонах и автомашин, а также самолетов на аэродромах. Массовое применение Як-9т непосредственно на поле боя не предусма</w:t>
      </w:r>
      <w:r w:rsidRPr="00070ADE">
        <w:rPr>
          <w:color w:val="000000" w:themeColor="text1"/>
          <w:sz w:val="16"/>
          <w:szCs w:val="16"/>
        </w:rPr>
        <w:softHyphen/>
        <w:t>тривалось по причине низкой боевой живучести мотора жидкостного охлаждения.</w:t>
      </w:r>
    </w:p>
    <w:p w14:paraId="624E2858" w14:textId="77777777" w:rsidR="00792F77" w:rsidRPr="00070ADE" w:rsidRDefault="00792F7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обоснование этой позиции приводилась ста</w:t>
      </w:r>
      <w:r w:rsidRPr="00070ADE">
        <w:rPr>
          <w:color w:val="000000" w:themeColor="text1"/>
          <w:sz w:val="16"/>
          <w:szCs w:val="16"/>
        </w:rPr>
        <w:softHyphen/>
        <w:t>тистика потерь И-16 и И-153, применявшихся в ка</w:t>
      </w:r>
      <w:r w:rsidRPr="00070ADE">
        <w:rPr>
          <w:color w:val="000000" w:themeColor="text1"/>
          <w:sz w:val="16"/>
          <w:szCs w:val="16"/>
        </w:rPr>
        <w:softHyphen/>
        <w:t>честве штурмовиков, из которой следовало, что ис</w:t>
      </w:r>
      <w:r w:rsidRPr="00070ADE">
        <w:rPr>
          <w:color w:val="000000" w:themeColor="text1"/>
          <w:sz w:val="16"/>
          <w:szCs w:val="16"/>
        </w:rPr>
        <w:softHyphen/>
        <w:t>требители могут с успехом применяться для штур</w:t>
      </w:r>
      <w:r w:rsidRPr="00070ADE">
        <w:rPr>
          <w:color w:val="000000" w:themeColor="text1"/>
          <w:sz w:val="16"/>
          <w:szCs w:val="16"/>
        </w:rPr>
        <w:softHyphen/>
        <w:t>мовых действий по наземным целям благодаря большой скорости и высокой маневренности. По подсчетам Оперативного управления штаба ВВС, их боевая живучесть была в 2—3 раза выше, чем штурмовиков Ил-2.</w:t>
      </w:r>
    </w:p>
    <w:p w14:paraId="6B6E952D" w14:textId="77777777" w:rsidR="00792F77" w:rsidRPr="00070ADE" w:rsidRDefault="00792F7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Кроме того, способность истребителей пикиро</w:t>
      </w:r>
      <w:r w:rsidRPr="00070ADE">
        <w:rPr>
          <w:color w:val="000000" w:themeColor="text1"/>
          <w:sz w:val="16"/>
          <w:szCs w:val="16"/>
        </w:rPr>
        <w:softHyphen/>
        <w:t>вать почти отвесно позволяет использовать воз</w:t>
      </w:r>
      <w:r w:rsidRPr="00070ADE">
        <w:rPr>
          <w:color w:val="000000" w:themeColor="text1"/>
          <w:sz w:val="16"/>
          <w:szCs w:val="16"/>
        </w:rPr>
        <w:softHyphen/>
        <w:t>можности пушки 11П более полно для поражения танков. То есть поражать танки противника в го</w:t>
      </w:r>
      <w:r w:rsidRPr="00070ADE">
        <w:rPr>
          <w:color w:val="000000" w:themeColor="text1"/>
          <w:sz w:val="16"/>
          <w:szCs w:val="16"/>
        </w:rPr>
        <w:softHyphen/>
        <w:t>ризонтальную броню, имеющую небольшую тол</w:t>
      </w:r>
      <w:r w:rsidRPr="00070ADE">
        <w:rPr>
          <w:color w:val="000000" w:themeColor="text1"/>
          <w:sz w:val="16"/>
          <w:szCs w:val="16"/>
        </w:rPr>
        <w:softHyphen/>
        <w:t xml:space="preserve">щину. При этом, поскольку установка пушки 11П ухудшала летные данные Як-9т, </w:t>
      </w:r>
      <w:r w:rsidRPr="00070ADE">
        <w:rPr>
          <w:color w:val="000000" w:themeColor="text1"/>
          <w:sz w:val="16"/>
          <w:szCs w:val="16"/>
        </w:rPr>
        <w:lastRenderedPageBreak/>
        <w:t>предлагалось при</w:t>
      </w:r>
      <w:r w:rsidRPr="00070ADE">
        <w:rPr>
          <w:color w:val="000000" w:themeColor="text1"/>
          <w:sz w:val="16"/>
          <w:szCs w:val="16"/>
        </w:rPr>
        <w:softHyphen/>
        <w:t>менять этот истребитель только совместно с бо</w:t>
      </w:r>
      <w:r w:rsidRPr="00070ADE">
        <w:rPr>
          <w:color w:val="000000" w:themeColor="text1"/>
          <w:sz w:val="16"/>
          <w:szCs w:val="16"/>
        </w:rPr>
        <w:softHyphen/>
        <w:t>лее маневренными самолетами Як-9 и Ла-5, а в со</w:t>
      </w:r>
      <w:r w:rsidRPr="00070ADE">
        <w:rPr>
          <w:color w:val="000000" w:themeColor="text1"/>
          <w:sz w:val="16"/>
          <w:szCs w:val="16"/>
        </w:rPr>
        <w:softHyphen/>
        <w:t>став смешанной эскадрильи вводить одно зве</w:t>
      </w:r>
      <w:r w:rsidRPr="00070ADE">
        <w:rPr>
          <w:color w:val="000000" w:themeColor="text1"/>
          <w:sz w:val="16"/>
          <w:szCs w:val="16"/>
        </w:rPr>
        <w:softHyphen/>
        <w:t>но Як-9т.</w:t>
      </w:r>
    </w:p>
    <w:p w14:paraId="0C5DDE0E" w14:textId="77777777" w:rsidR="00792F77" w:rsidRPr="00070ADE" w:rsidRDefault="00792F7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то же время «в силу своих низких летно-так- тических данных (в частности, малого угла пикиро</w:t>
      </w:r>
      <w:r w:rsidRPr="00070ADE">
        <w:rPr>
          <w:color w:val="000000" w:themeColor="text1"/>
          <w:sz w:val="16"/>
          <w:szCs w:val="16"/>
        </w:rPr>
        <w:softHyphen/>
        <w:t>вания) самолет Ил-2 не в состоянии использовать высокие боевые качества пушки ОКБ-16, а потому с точки зрения борьбы с немецкими тяжелыми танками уступает Ил-2 с ВЯ. Поражение из пушек ОКБ-16 средних и тяжелых танков «Пантера» воз</w:t>
      </w:r>
      <w:r w:rsidRPr="00070ADE">
        <w:rPr>
          <w:color w:val="000000" w:themeColor="text1"/>
          <w:sz w:val="16"/>
          <w:szCs w:val="16"/>
        </w:rPr>
        <w:softHyphen/>
        <w:t>можно лишь после многократных атак, то есть при действии по деморализованному противнику, со</w:t>
      </w:r>
      <w:r w:rsidRPr="00070ADE">
        <w:rPr>
          <w:color w:val="000000" w:themeColor="text1"/>
          <w:sz w:val="16"/>
          <w:szCs w:val="16"/>
        </w:rPr>
        <w:softHyphen/>
        <w:t>противление которого подавлено».</w:t>
      </w:r>
    </w:p>
    <w:p w14:paraId="081C788F" w14:textId="77777777" w:rsidR="00792F77" w:rsidRPr="00070ADE" w:rsidRDefault="00792F7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Действительно, учитывая, что около полови</w:t>
      </w:r>
      <w:r w:rsidRPr="00070ADE">
        <w:rPr>
          <w:color w:val="000000" w:themeColor="text1"/>
          <w:sz w:val="16"/>
          <w:szCs w:val="16"/>
        </w:rPr>
        <w:softHyphen/>
        <w:t xml:space="preserve">ны попавших в танк </w:t>
      </w:r>
      <w:r w:rsidRPr="00070ADE">
        <w:rPr>
          <w:color w:val="000000" w:themeColor="text1"/>
          <w:sz w:val="16"/>
          <w:szCs w:val="16"/>
          <w:lang w:val="en-US"/>
        </w:rPr>
        <w:t>Pz</w:t>
      </w:r>
      <w:r w:rsidRPr="00070ADE">
        <w:rPr>
          <w:color w:val="000000" w:themeColor="text1"/>
          <w:sz w:val="16"/>
          <w:szCs w:val="16"/>
        </w:rPr>
        <w:t>.</w:t>
      </w:r>
      <w:r w:rsidRPr="00070ADE">
        <w:rPr>
          <w:color w:val="000000" w:themeColor="text1"/>
          <w:sz w:val="16"/>
          <w:szCs w:val="16"/>
          <w:lang w:val="en-US"/>
        </w:rPr>
        <w:t>V</w:t>
      </w:r>
      <w:r w:rsidRPr="00070ADE">
        <w:rPr>
          <w:color w:val="000000" w:themeColor="text1"/>
          <w:sz w:val="16"/>
          <w:szCs w:val="16"/>
        </w:rPr>
        <w:t xml:space="preserve"> снарядов дают рикошет или непробитие (углы встречи с броней 25—30° и выше), а часть снарядов после пробития брони попадает в малоуязвимые места танка, то для вы</w:t>
      </w:r>
      <w:r w:rsidRPr="00070ADE">
        <w:rPr>
          <w:color w:val="000000" w:themeColor="text1"/>
          <w:sz w:val="16"/>
          <w:szCs w:val="16"/>
        </w:rPr>
        <w:softHyphen/>
        <w:t>ведения из строя одной «Пантеры» требовалось не менее 3—4 попаданий. Следовательно, для пора</w:t>
      </w:r>
      <w:r w:rsidRPr="00070ADE">
        <w:rPr>
          <w:color w:val="000000" w:themeColor="text1"/>
          <w:sz w:val="16"/>
          <w:szCs w:val="16"/>
        </w:rPr>
        <w:softHyphen/>
        <w:t xml:space="preserve">жения </w:t>
      </w:r>
      <w:r w:rsidRPr="00070ADE">
        <w:rPr>
          <w:color w:val="000000" w:themeColor="text1"/>
          <w:sz w:val="16"/>
          <w:szCs w:val="16"/>
          <w:lang w:val="en-US"/>
        </w:rPr>
        <w:t>Pz</w:t>
      </w:r>
      <w:r w:rsidRPr="00070ADE">
        <w:rPr>
          <w:color w:val="000000" w:themeColor="text1"/>
          <w:sz w:val="16"/>
          <w:szCs w:val="16"/>
        </w:rPr>
        <w:t>.</w:t>
      </w:r>
      <w:r w:rsidRPr="00070ADE">
        <w:rPr>
          <w:color w:val="000000" w:themeColor="text1"/>
          <w:sz w:val="16"/>
          <w:szCs w:val="16"/>
          <w:lang w:val="en-US"/>
        </w:rPr>
        <w:t>V</w:t>
      </w:r>
      <w:r w:rsidRPr="00070ADE">
        <w:rPr>
          <w:color w:val="000000" w:themeColor="text1"/>
          <w:sz w:val="16"/>
          <w:szCs w:val="16"/>
        </w:rPr>
        <w:t xml:space="preserve"> необходимо было израсходовать около 100—125 снарядов, то есть выделить 2 самолета Ил-2 с 11П, которые выполнят по 6—8 заходов каж</w:t>
      </w:r>
      <w:r w:rsidRPr="00070ADE">
        <w:rPr>
          <w:color w:val="000000" w:themeColor="text1"/>
          <w:sz w:val="16"/>
          <w:szCs w:val="16"/>
        </w:rPr>
        <w:softHyphen/>
        <w:t>дый. Принимая в расчет 100 кг противотанковых авиабомб ПТАБ-2,5-1,5, входящих в боевую заряд</w:t>
      </w:r>
      <w:r w:rsidRPr="00070ADE">
        <w:rPr>
          <w:color w:val="000000" w:themeColor="text1"/>
          <w:sz w:val="16"/>
          <w:szCs w:val="16"/>
        </w:rPr>
        <w:softHyphen/>
        <w:t>ку Ил-2 с 11П, получается, что один «Ил-2 с 37-мм пушками имеет возможность огнем пушек и ПТАБ в среднем поразить один танк».</w:t>
      </w:r>
    </w:p>
    <w:p w14:paraId="4749C5A3" w14:textId="77777777" w:rsidR="00792F77" w:rsidRPr="00070ADE" w:rsidRDefault="00792F7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Поскольку, «по данным полков и боевого опы</w:t>
      </w:r>
      <w:r w:rsidRPr="00070ADE">
        <w:rPr>
          <w:color w:val="000000" w:themeColor="text1"/>
          <w:sz w:val="16"/>
          <w:szCs w:val="16"/>
        </w:rPr>
        <w:softHyphen/>
        <w:t>та, при атаке скопления танков процент попада</w:t>
      </w:r>
      <w:r w:rsidRPr="00070ADE">
        <w:rPr>
          <w:color w:val="000000" w:themeColor="text1"/>
          <w:sz w:val="16"/>
          <w:szCs w:val="16"/>
        </w:rPr>
        <w:softHyphen/>
        <w:t>ний в танк в 1,5 раза выше, чем при стрельбе по одиночному танку», то Ил-2 «с пушками ОКБ-16, используя огонь пушек и ПТАБы, может в среднем уничтожить 1,5—2 танка».</w:t>
      </w:r>
    </w:p>
    <w:p w14:paraId="742FE730" w14:textId="77777777" w:rsidR="00792F77" w:rsidRPr="00070ADE" w:rsidRDefault="00792F7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Между тем для уничтожения ПТАБами одиноч</w:t>
      </w:r>
      <w:r w:rsidRPr="00070ADE">
        <w:rPr>
          <w:color w:val="000000" w:themeColor="text1"/>
          <w:sz w:val="16"/>
          <w:szCs w:val="16"/>
        </w:rPr>
        <w:softHyphen/>
        <w:t>ного танка любого типа требовалось в среднем 2 самолета Ил-2 с ВЯ, а «при действиях по плотно</w:t>
      </w:r>
      <w:r w:rsidRPr="00070ADE">
        <w:rPr>
          <w:color w:val="000000" w:themeColor="text1"/>
          <w:sz w:val="16"/>
          <w:szCs w:val="16"/>
        </w:rPr>
        <w:softHyphen/>
        <w:t>му скоплению танков у мест заправки, в теснинах, у переправ, на погрузке и т.д. . бомбовая зарядка одного самолета обеспечивает поражение ПТАБами 2—3 танков».</w:t>
      </w:r>
    </w:p>
    <w:p w14:paraId="6CC508A2" w14:textId="77777777" w:rsidR="00792F77" w:rsidRPr="00070ADE" w:rsidRDefault="00792F7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При этом Ил-2 с пушками ВЯ имели одно очень важное тактическое преимущество перед Ил-2 с 37-мм пушками — во всех случаях «ПТАБы сбра</w:t>
      </w:r>
      <w:r w:rsidRPr="00070ADE">
        <w:rPr>
          <w:color w:val="000000" w:themeColor="text1"/>
          <w:sz w:val="16"/>
          <w:szCs w:val="16"/>
        </w:rPr>
        <w:softHyphen/>
        <w:t>сываются с одного-двух заходов».</w:t>
      </w:r>
    </w:p>
    <w:p w14:paraId="5DE913C7" w14:textId="77777777" w:rsidR="00792F77" w:rsidRPr="00070ADE" w:rsidRDefault="00792F7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Важным обстоятельством в пользу ПТАБ яв</w:t>
      </w:r>
      <w:r w:rsidRPr="00070ADE">
        <w:rPr>
          <w:color w:val="000000" w:themeColor="text1"/>
          <w:sz w:val="16"/>
          <w:szCs w:val="16"/>
        </w:rPr>
        <w:softHyphen/>
        <w:t>лялось и то, что в производстве бомба была про</w:t>
      </w:r>
      <w:r w:rsidRPr="00070ADE">
        <w:rPr>
          <w:color w:val="000000" w:themeColor="text1"/>
          <w:sz w:val="16"/>
          <w:szCs w:val="16"/>
        </w:rPr>
        <w:softHyphen/>
        <w:t>ста и ее изготовление было очень дешево. Это позволяло выпускать их в большом количестве и массово применять на поле боя. К тому же бом</w:t>
      </w:r>
      <w:r w:rsidRPr="00070ADE">
        <w:rPr>
          <w:color w:val="000000" w:themeColor="text1"/>
          <w:sz w:val="16"/>
          <w:szCs w:val="16"/>
        </w:rPr>
        <w:softHyphen/>
        <w:t>ба оказалась довольно универсальной — эффек</w:t>
      </w:r>
      <w:r w:rsidRPr="00070ADE">
        <w:rPr>
          <w:color w:val="000000" w:themeColor="text1"/>
          <w:sz w:val="16"/>
          <w:szCs w:val="16"/>
        </w:rPr>
        <w:softHyphen/>
        <w:t>тивно поражала не только танки, но и другую бо</w:t>
      </w:r>
      <w:r w:rsidRPr="00070ADE">
        <w:rPr>
          <w:color w:val="000000" w:themeColor="text1"/>
          <w:sz w:val="16"/>
          <w:szCs w:val="16"/>
        </w:rPr>
        <w:softHyphen/>
        <w:t>евую технику (автомашины, артиллерию, паровозы, легкие плавсредства и т.д.), уверенно подрывала склады боеприпасов, зажигала цистерны с го</w:t>
      </w:r>
      <w:r w:rsidRPr="00070ADE">
        <w:rPr>
          <w:color w:val="000000" w:themeColor="text1"/>
          <w:sz w:val="16"/>
          <w:szCs w:val="16"/>
        </w:rPr>
        <w:softHyphen/>
        <w:t>рючим.</w:t>
      </w:r>
    </w:p>
    <w:p w14:paraId="51A8ACE8" w14:textId="77777777" w:rsidR="00792F77" w:rsidRPr="00070ADE" w:rsidRDefault="00792F7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Доводы офицеров штаба ВВС сочли вполне убе</w:t>
      </w:r>
      <w:r w:rsidRPr="00070ADE">
        <w:rPr>
          <w:color w:val="000000" w:themeColor="text1"/>
          <w:sz w:val="16"/>
          <w:szCs w:val="16"/>
        </w:rPr>
        <w:softHyphen/>
        <w:t>дительными. Вопрос о восстановлении производ</w:t>
      </w:r>
      <w:r w:rsidRPr="00070ADE">
        <w:rPr>
          <w:color w:val="000000" w:themeColor="text1"/>
          <w:sz w:val="16"/>
          <w:szCs w:val="16"/>
        </w:rPr>
        <w:softHyphen/>
        <w:t>ства Ил-2 с 11П с повестки дня был снят.</w:t>
      </w:r>
    </w:p>
    <w:p w14:paraId="4EFE2489" w14:textId="77777777" w:rsidR="00792F77" w:rsidRPr="00070ADE" w:rsidRDefault="00792F7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Отметим, что решение о прекращении выпу</w:t>
      </w:r>
      <w:r w:rsidRPr="00070ADE">
        <w:rPr>
          <w:color w:val="000000" w:themeColor="text1"/>
          <w:sz w:val="16"/>
          <w:szCs w:val="16"/>
        </w:rPr>
        <w:softHyphen/>
        <w:t>ска Ил-2 с пушками 11П все же нельзя признать правильным. Учитывая, что к этому времени про</w:t>
      </w:r>
      <w:r w:rsidRPr="00070ADE">
        <w:rPr>
          <w:color w:val="000000" w:themeColor="text1"/>
          <w:sz w:val="16"/>
          <w:szCs w:val="16"/>
        </w:rPr>
        <w:softHyphen/>
        <w:t>мышленность освоила массовое производство ракетных снарядов РБС-82, РБС-132, РОФС-132 и М-13, то эффективность действий Ил-2 с 11П по танкам могла быть повышена за счет увеличения на штурмовике числа ракетных орудий — с 4 до 6—8 или 10—12 (в зависимости от типа ракетных сна</w:t>
      </w:r>
      <w:r w:rsidRPr="00070ADE">
        <w:rPr>
          <w:color w:val="000000" w:themeColor="text1"/>
          <w:sz w:val="16"/>
          <w:szCs w:val="16"/>
        </w:rPr>
        <w:softHyphen/>
        <w:t>рядов).</w:t>
      </w:r>
    </w:p>
    <w:p w14:paraId="06CC76F6" w14:textId="77777777" w:rsidR="00792F77" w:rsidRPr="00070ADE" w:rsidRDefault="00792F7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Напрашивалась очевидная переделка Ил-2 в чистый противотанковый самолет с мощным ра- кетно-пушечным вооружением и формирование на его основе отдельных противотанковых авиапол</w:t>
      </w:r>
      <w:r w:rsidRPr="00070ADE">
        <w:rPr>
          <w:color w:val="000000" w:themeColor="text1"/>
          <w:sz w:val="16"/>
          <w:szCs w:val="16"/>
        </w:rPr>
        <w:softHyphen/>
        <w:t>ков, летный состав которых прошел бы специаль</w:t>
      </w:r>
      <w:r w:rsidRPr="00070ADE">
        <w:rPr>
          <w:color w:val="000000" w:themeColor="text1"/>
          <w:sz w:val="16"/>
          <w:szCs w:val="16"/>
        </w:rPr>
        <w:softHyphen/>
        <w:t>ную подготовку по борьбе с бронетехникой. При этом имело смысл рассматривать противотанковые авиаполки как резерв Ставки ВГК и придавать их воздушным армиям для действий на танкоопас</w:t>
      </w:r>
      <w:r w:rsidRPr="00070ADE">
        <w:rPr>
          <w:color w:val="000000" w:themeColor="text1"/>
          <w:sz w:val="16"/>
          <w:szCs w:val="16"/>
        </w:rPr>
        <w:softHyphen/>
        <w:t>ных направлениях и на направлении главного уда</w:t>
      </w:r>
      <w:r w:rsidRPr="00070ADE">
        <w:rPr>
          <w:color w:val="000000" w:themeColor="text1"/>
          <w:sz w:val="16"/>
          <w:szCs w:val="16"/>
        </w:rPr>
        <w:softHyphen/>
        <w:t>ра при сопровождении подвижных групп фронта, а также для срыва ж.-д. перевозок на коммуника</w:t>
      </w:r>
      <w:r w:rsidRPr="00070ADE">
        <w:rPr>
          <w:color w:val="000000" w:themeColor="text1"/>
          <w:sz w:val="16"/>
          <w:szCs w:val="16"/>
        </w:rPr>
        <w:softHyphen/>
        <w:t>циях противника. Выпуск противотанковых Ил-2 следовало ограничить количеством, достаточным для формирования, обучения и восполнения убыли самолетов в противотанковых полках.</w:t>
      </w:r>
    </w:p>
    <w:p w14:paraId="6CFC7103" w14:textId="77777777" w:rsidR="00792F77" w:rsidRPr="00070ADE" w:rsidRDefault="00792F7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Учитывая, что устойчивость оперативных по</w:t>
      </w:r>
      <w:r w:rsidRPr="00070ADE">
        <w:rPr>
          <w:color w:val="000000" w:themeColor="text1"/>
          <w:sz w:val="16"/>
          <w:szCs w:val="16"/>
        </w:rPr>
        <w:softHyphen/>
        <w:t>рядков войск во многом определяется плотностью бронетехники на 1 км фронта, то противотанковые авиаполки сильно пригодились бы при отражении танковых контрударов вермахта и при прорыве укрепленных районов. Выводя из строя бронетех</w:t>
      </w:r>
      <w:r w:rsidRPr="00070ADE">
        <w:rPr>
          <w:color w:val="000000" w:themeColor="text1"/>
          <w:sz w:val="16"/>
          <w:szCs w:val="16"/>
        </w:rPr>
        <w:softHyphen/>
        <w:t>нику противника, было возможным снизить устой</w:t>
      </w:r>
      <w:r w:rsidRPr="00070ADE">
        <w:rPr>
          <w:color w:val="000000" w:themeColor="text1"/>
          <w:sz w:val="16"/>
          <w:szCs w:val="16"/>
        </w:rPr>
        <w:softHyphen/>
        <w:t>чивость оперативных порядков войск и решить ис</w:t>
      </w:r>
      <w:r w:rsidRPr="00070ADE">
        <w:rPr>
          <w:color w:val="000000" w:themeColor="text1"/>
          <w:sz w:val="16"/>
          <w:szCs w:val="16"/>
        </w:rPr>
        <w:softHyphen/>
        <w:t>ход боя в свою пользу.</w:t>
      </w:r>
    </w:p>
    <w:p w14:paraId="2B888264" w14:textId="77777777" w:rsidR="00792F77" w:rsidRPr="00070ADE" w:rsidRDefault="00792F7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Особенно важным было поражение с воздуха танков, САУ и противотанковых СУ в обороне, «вры</w:t>
      </w:r>
      <w:r w:rsidRPr="00070ADE">
        <w:rPr>
          <w:color w:val="000000" w:themeColor="text1"/>
          <w:sz w:val="16"/>
          <w:szCs w:val="16"/>
        </w:rPr>
        <w:softHyphen/>
        <w:t>тых» в землю и действующих из засад. Находясь в укрытиях, немецкие танкисты могли на больших дистанциях поражать атакующие советские танки и самоходки, оставаясь практически неуязвимыми от их огня. Являясь, по сути, ключевыми элементами системы противотанковой обороны, танки обеспе</w:t>
      </w:r>
      <w:r w:rsidRPr="00070ADE">
        <w:rPr>
          <w:color w:val="000000" w:themeColor="text1"/>
          <w:sz w:val="16"/>
          <w:szCs w:val="16"/>
        </w:rPr>
        <w:softHyphen/>
        <w:t>чивали и повышенную устойчивость всей войско</w:t>
      </w:r>
      <w:r w:rsidRPr="00070ADE">
        <w:rPr>
          <w:color w:val="000000" w:themeColor="text1"/>
          <w:sz w:val="16"/>
          <w:szCs w:val="16"/>
        </w:rPr>
        <w:softHyphen/>
        <w:t>вой обороны.</w:t>
      </w:r>
    </w:p>
    <w:p w14:paraId="2EFF0B60" w14:textId="77777777" w:rsidR="00792F77" w:rsidRPr="00070ADE" w:rsidRDefault="00792F7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то же время наступающие советские войска для борьбы с немецкими танками и САУ противо</w:t>
      </w:r>
      <w:r w:rsidRPr="00070ADE">
        <w:rPr>
          <w:color w:val="000000" w:themeColor="text1"/>
          <w:sz w:val="16"/>
          <w:szCs w:val="16"/>
        </w:rPr>
        <w:softHyphen/>
        <w:t>танковой обороны не имели в своих боевых по</w:t>
      </w:r>
      <w:r w:rsidRPr="00070ADE">
        <w:rPr>
          <w:color w:val="000000" w:themeColor="text1"/>
          <w:sz w:val="16"/>
          <w:szCs w:val="16"/>
        </w:rPr>
        <w:softHyphen/>
        <w:t>рядках эффективных огневых средств — орудия ПТО и тяжелая артиллерия обычно не поспевали за ушедшими вперед танками и пехотой. Остава</w:t>
      </w:r>
      <w:r w:rsidRPr="00070ADE">
        <w:rPr>
          <w:color w:val="000000" w:themeColor="text1"/>
          <w:sz w:val="16"/>
          <w:szCs w:val="16"/>
        </w:rPr>
        <w:softHyphen/>
        <w:t>лось уничтожать немецкие танки силами самих танкистов и «самоходов» и нести большие по</w:t>
      </w:r>
      <w:r w:rsidRPr="00070ADE">
        <w:rPr>
          <w:color w:val="000000" w:themeColor="text1"/>
          <w:sz w:val="16"/>
          <w:szCs w:val="16"/>
        </w:rPr>
        <w:softHyphen/>
        <w:t>тери (17500).</w:t>
      </w:r>
    </w:p>
    <w:p w14:paraId="09641B93" w14:textId="77777777" w:rsidR="00792F77" w:rsidRPr="00070ADE" w:rsidRDefault="00792F77" w:rsidP="00B56F90">
      <w:pPr>
        <w:spacing w:after="0" w:line="240" w:lineRule="auto"/>
        <w:jc w:val="both"/>
        <w:rPr>
          <w:rStyle w:val="77"/>
          <w:rFonts w:eastAsiaTheme="minorHAnsi"/>
          <w:color w:val="000000" w:themeColor="text1"/>
          <w:sz w:val="16"/>
          <w:szCs w:val="16"/>
        </w:rPr>
      </w:pPr>
    </w:p>
    <w:p w14:paraId="608284A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начала 1944 г., двигатель запустили в серию на заводе № 24. АМ-42 изготовлялся в больших количествах до 1948 г., затем его сняли с производства. В начале 1951 г. выпуск мотора восстановили в усовершенствованном варианте с ресурсом 400 ч., но снова прекратили в 1954 г. Всего на заводе № 24 было изготовлено 10 232 экз. С весны 1952 г. АМ-42 изготовлялся по лицензии в Чехословакии на заводе им. Димитрова как М-42. Количество моторов, выпущенных там, неизвестно.</w:t>
      </w:r>
    </w:p>
    <w:p w14:paraId="0A2717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АМ-42 экспортировался в Польшу, Венгрию, Румынию, Чехословакию, Китай, Северную Корею. </w:t>
      </w:r>
    </w:p>
    <w:p w14:paraId="18BBF73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Характеристики:</w:t>
      </w:r>
    </w:p>
    <w:p w14:paraId="7E06C6C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12-цилиндровый рядный У-образный, четырехтактный, водяного охлаждения, редукторный, с односкоростным ПЦН;</w:t>
      </w:r>
    </w:p>
    <w:p w14:paraId="6505828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диаметр цилиндра/ход поршня 160/190 мм (в цилиндрах с прицепными шатунами 196,8 мм);</w:t>
      </w:r>
    </w:p>
    <w:p w14:paraId="1F6E8AE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объем 46,66 л;</w:t>
      </w:r>
    </w:p>
    <w:p w14:paraId="6ED4A4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степень сжатия 5,5; </w:t>
      </w:r>
      <w:r w:rsidRPr="00070ADE">
        <w:rPr>
          <w:rFonts w:ascii="Times New Roman" w:hAnsi="Times New Roman"/>
          <w:color w:val="000000" w:themeColor="text1"/>
          <w:sz w:val="16"/>
          <w:szCs w:val="16"/>
          <w:vertAlign w:val="subscript"/>
        </w:rPr>
        <w:t>4</w:t>
      </w:r>
    </w:p>
    <w:p w14:paraId="6EAF0D2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мощность и вес в зависимости от модификации;</w:t>
      </w:r>
    </w:p>
    <w:p w14:paraId="4C97CD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запуск сжатым воздухом. Известны модификации:</w:t>
      </w:r>
    </w:p>
    <w:p w14:paraId="76AE0D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АМ-42, единственный вариант, находившийся в массовом производ</w:t>
      </w:r>
      <w:r w:rsidRPr="00070ADE">
        <w:rPr>
          <w:rFonts w:ascii="Times New Roman" w:hAnsi="Times New Roman"/>
          <w:color w:val="000000" w:themeColor="text1"/>
          <w:sz w:val="16"/>
          <w:szCs w:val="16"/>
        </w:rPr>
        <w:softHyphen/>
        <w:t>стве, 1750/2000 л.с., вес 980 кг (поздние серии 996 кг).</w:t>
      </w:r>
    </w:p>
    <w:p w14:paraId="0E4BA1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АМ-42 с форкамерным зажиганием и степенью сжатия 7,0. Опытный образец испытывался на стенде в 1944 г.</w:t>
      </w:r>
    </w:p>
    <w:p w14:paraId="067A221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АМ-42Б (АМ-42ТК, АМ-42Б-ТК), вариант 1943 г. с переделанным ПЦН, новыми всасывающими патрубками и воздухо-воздушным интеркулером. Комплектовался турбонагнетателями ТК-ЗООБ. Мощность 1750/2000 л.с. Был изготовлен в марте 1943 г. Испытывался на опыт</w:t>
      </w:r>
      <w:r w:rsidRPr="00070ADE">
        <w:rPr>
          <w:rFonts w:ascii="Times New Roman" w:hAnsi="Times New Roman"/>
          <w:color w:val="000000" w:themeColor="text1"/>
          <w:sz w:val="16"/>
          <w:szCs w:val="16"/>
        </w:rPr>
        <w:softHyphen/>
        <w:t>ном истребителе «5А» конструкции А.И. Микояна. АМ-42ФНВ с непосредственным впрыском топлива, 1650/2000 л.с., вес 1000 кг. Испытания опытного образца на стенде завершены 22 августа 1945 г.</w:t>
      </w:r>
    </w:p>
    <w:p w14:paraId="167978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АМ-42ФБ-ТК с двумя турбонагнетателями ТК-1А. Двигатели АМ-42 устанавливались на серийных штурмовиках Ил-10 и Ил-ЮМ. Чехословацкие М-42 монтировались на самолетах В-33 (мест</w:t>
      </w:r>
      <w:r w:rsidRPr="00070ADE">
        <w:rPr>
          <w:rFonts w:ascii="Times New Roman" w:hAnsi="Times New Roman"/>
          <w:color w:val="000000" w:themeColor="text1"/>
          <w:sz w:val="16"/>
          <w:szCs w:val="16"/>
        </w:rPr>
        <w:softHyphen/>
        <w:t>ный вариант Ил-10). АМ-42 устанавливались также на опытные машины Ил-8, Ил-16, И-225 (5А), Су-6. Применение их предусматривалось про</w:t>
      </w:r>
      <w:r w:rsidRPr="00070ADE">
        <w:rPr>
          <w:rFonts w:ascii="Times New Roman" w:hAnsi="Times New Roman"/>
          <w:color w:val="000000" w:themeColor="text1"/>
          <w:sz w:val="16"/>
          <w:szCs w:val="16"/>
        </w:rPr>
        <w:softHyphen/>
        <w:t>ектом Ту-8Б (11852).</w:t>
      </w:r>
    </w:p>
    <w:p w14:paraId="4D2045D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A24B9C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самого начала 1944 г., двигатель запустили в серию на заводе No 24. Эти моторы ставили на штурмовики Ил- 10. АМ-42 изготовлялся в больших количествах. С 1947 г. усилили картер, щеки коленчатого вала, шатуны, шестерни редуктора.э увеличило вес сухого двигателя на 10 кг (до 1030 кг). Попробовали вариант с непосредственным впрыском, но внедрение его на Ил-10 потребовало бы внесения значительных изменений в винтомоторную установку, и от серийного производства отказались.</w:t>
      </w:r>
    </w:p>
    <w:p w14:paraId="1DF7CB4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1948 г. АМ-42 сняли с производства, но в начале 1951 г. выпуск мотора восстановили в усовершенствованном варианте с ресурсом 400 часов (за счет нового увеличения веса) для Ил- 10М, но снова прекратили в 1954 г. Масштаб производства в 50-е годы был не сравним, с тем, что имел место во время войны - делали чуть более 300 моторов в год. Всего на заводе № 24 было изготовлено 10 232 двигателей АМ-42.</w:t>
      </w:r>
    </w:p>
    <w:p w14:paraId="463D4C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весны 1952 г. АМ-42 также делали по лицензии в Чехословакии на заводе им. Димитрова как М-42 для штурмовиков В-33 (это был местный вариант Ил-10). Количество моторов, выпущенных там, неизвестно. AJM-42 экспортировался в Польшу, Венгрию, Румынию, Чехословакию, Китай и Северную Корею.</w:t>
      </w:r>
    </w:p>
    <w:p w14:paraId="38B7A27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Существовало несколько опытных вариантов АМ-42. Например, имелась модификация с форкамер- ным зажиганием и степенью сжатия 7,0. Опытный образец ее испытывался на стенде в 1944 г. АМ-42Б (он же АМ-42ТК или АМ-42Б-ТК) - это вариант 1943 г. с переделанным ПЦН, новыми всасывающими патрубками и воздухо-воздушным интеркулером. Он комплектовался двумя турбонагнетателями ТК-300Б.</w:t>
      </w:r>
    </w:p>
    <w:p w14:paraId="77E1B60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Мощность была на уровне серийного типа, но номинальную мощность можно было удерживать до гораздо большей высоты. Такой двигатель изготовили в марте 1943 г., он испытывался на опытном истребителе "5А" конструкции А.И. Микояна. Был и еще один вариант с турбонаддувом - АМ-42ФБ-ТК с двумя турбонагнетателями ТК-1А.</w:t>
      </w:r>
    </w:p>
    <w:p w14:paraId="291221B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АМ-42ФНВ отличался непосредственным впрыском топлива. Он получился тяжелее карбюраторного "собрата" - вес дошел до 1000 кг. Испытания опытного образца АМ-42ФНВ на стенде были завершены 22 августа 1945 г., но серийно этот вариант строить не стали (11934).</w:t>
      </w:r>
    </w:p>
    <w:p w14:paraId="37A408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AF5575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проведенные исследования в ЛИИ НКАП и НИСО НКАП показали, что основными причинами, нарушающими нор</w:t>
      </w:r>
      <w:r w:rsidRPr="00070ADE">
        <w:rPr>
          <w:rFonts w:ascii="Times New Roman" w:hAnsi="Times New Roman"/>
          <w:color w:val="000000" w:themeColor="text1"/>
          <w:sz w:val="16"/>
          <w:szCs w:val="16"/>
        </w:rPr>
        <w:softHyphen/>
        <w:t>мальную работу связи, являются высокий уровень акустиче</w:t>
      </w:r>
      <w:r w:rsidRPr="00070ADE">
        <w:rPr>
          <w:rFonts w:ascii="Times New Roman" w:hAnsi="Times New Roman"/>
          <w:color w:val="000000" w:themeColor="text1"/>
          <w:sz w:val="16"/>
          <w:szCs w:val="16"/>
        </w:rPr>
        <w:softHyphen/>
        <w:t>ских шумов в кабинах самолета, а также помехи, создаваемые системой зажигания мотора, и взаимное влияние друг на друга цепей приемника РСИ-4 и радиополукомпаса РПК-10, кото</w:t>
      </w:r>
      <w:r w:rsidRPr="00070ADE">
        <w:rPr>
          <w:rFonts w:ascii="Times New Roman" w:hAnsi="Times New Roman"/>
          <w:color w:val="000000" w:themeColor="text1"/>
          <w:sz w:val="16"/>
          <w:szCs w:val="16"/>
        </w:rPr>
        <w:softHyphen/>
        <w:t>рые работали от одной приемной антенны (11474,378).</w:t>
      </w:r>
    </w:p>
    <w:p w14:paraId="21244F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0C3E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w:t>
      </w:r>
      <w:r w:rsidRPr="00070ADE">
        <w:rPr>
          <w:rFonts w:ascii="Times New Roman" w:hAnsi="Times New Roman"/>
          <w:color w:val="000000" w:themeColor="text1"/>
          <w:sz w:val="16"/>
          <w:szCs w:val="16"/>
        </w:rPr>
        <w:softHyphen/>
        <w:t>чале 1944 г. в ЛИИ ВВС ВМФ по указанию начальника ВВС ВМФ мар</w:t>
      </w:r>
      <w:r w:rsidRPr="00070ADE">
        <w:rPr>
          <w:rFonts w:ascii="Times New Roman" w:hAnsi="Times New Roman"/>
          <w:color w:val="000000" w:themeColor="text1"/>
          <w:sz w:val="16"/>
          <w:szCs w:val="16"/>
        </w:rPr>
        <w:softHyphen/>
        <w:t>шала авиации С.Ф.Жаворонкова были проведены полигонные испытания, которые показали, что наилучшими рикошетирующими и поражающими свойствами при дей</w:t>
      </w:r>
      <w:r w:rsidRPr="00070ADE">
        <w:rPr>
          <w:rFonts w:ascii="Times New Roman" w:hAnsi="Times New Roman"/>
          <w:color w:val="000000" w:themeColor="text1"/>
          <w:sz w:val="16"/>
          <w:szCs w:val="16"/>
        </w:rPr>
        <w:softHyphen/>
        <w:t>ствии по транспортам водоизмещени</w:t>
      </w:r>
      <w:r w:rsidRPr="00070ADE">
        <w:rPr>
          <w:rFonts w:ascii="Times New Roman" w:hAnsi="Times New Roman"/>
          <w:color w:val="000000" w:themeColor="text1"/>
          <w:sz w:val="16"/>
          <w:szCs w:val="16"/>
        </w:rPr>
        <w:softHyphen/>
        <w:t>ем 5000-10000 т обладали авиабомбы ФАБ-250 с перьевым стабилизатором и бомбы большего калибра при снабже</w:t>
      </w:r>
      <w:r w:rsidRPr="00070ADE">
        <w:rPr>
          <w:rFonts w:ascii="Times New Roman" w:hAnsi="Times New Roman"/>
          <w:color w:val="000000" w:themeColor="text1"/>
          <w:sz w:val="16"/>
          <w:szCs w:val="16"/>
        </w:rPr>
        <w:softHyphen/>
        <w:t>нии их взрывателями АВ-87 в головном очке и АВ-1 в донном. Однако ФАБ-250 Ил-2 мог взять не более двух, что не по</w:t>
      </w:r>
      <w:r w:rsidRPr="00070ADE">
        <w:rPr>
          <w:rFonts w:ascii="Times New Roman" w:hAnsi="Times New Roman"/>
          <w:color w:val="000000" w:themeColor="text1"/>
          <w:sz w:val="16"/>
          <w:szCs w:val="16"/>
        </w:rPr>
        <w:softHyphen/>
        <w:t>зволяло обеспечивать приемлемые для боевого применения вероятности попа</w:t>
      </w:r>
      <w:r w:rsidRPr="00070ADE">
        <w:rPr>
          <w:rFonts w:ascii="Times New Roman" w:hAnsi="Times New Roman"/>
          <w:color w:val="000000" w:themeColor="text1"/>
          <w:sz w:val="16"/>
          <w:szCs w:val="16"/>
        </w:rPr>
        <w:softHyphen/>
        <w:t>дания в цель. В этой связи Илы вынуж</w:t>
      </w:r>
      <w:r w:rsidRPr="00070ADE">
        <w:rPr>
          <w:rFonts w:ascii="Times New Roman" w:hAnsi="Times New Roman"/>
          <w:color w:val="000000" w:themeColor="text1"/>
          <w:sz w:val="16"/>
          <w:szCs w:val="16"/>
        </w:rPr>
        <w:softHyphen/>
        <w:t>денно использовали ФАБ-100 - летчик с хорошей летной и стрелковой подго</w:t>
      </w:r>
      <w:r w:rsidRPr="00070ADE">
        <w:rPr>
          <w:rFonts w:ascii="Times New Roman" w:hAnsi="Times New Roman"/>
          <w:color w:val="000000" w:themeColor="text1"/>
          <w:sz w:val="16"/>
          <w:szCs w:val="16"/>
        </w:rPr>
        <w:softHyphen/>
        <w:t>товкой при топмачтовом бомбометании в полигонных условиях серией из четы</w:t>
      </w:r>
      <w:r w:rsidRPr="00070ADE">
        <w:rPr>
          <w:rFonts w:ascii="Times New Roman" w:hAnsi="Times New Roman"/>
          <w:color w:val="000000" w:themeColor="text1"/>
          <w:sz w:val="16"/>
          <w:szCs w:val="16"/>
        </w:rPr>
        <w:softHyphen/>
        <w:t xml:space="preserve">рех "соток" вполне мог обеспечить </w:t>
      </w:r>
      <w:r w:rsidRPr="00070ADE">
        <w:rPr>
          <w:rFonts w:ascii="Times New Roman" w:hAnsi="Times New Roman"/>
          <w:color w:val="000000" w:themeColor="text1"/>
          <w:sz w:val="16"/>
          <w:szCs w:val="16"/>
        </w:rPr>
        <w:lastRenderedPageBreak/>
        <w:t>ве</w:t>
      </w:r>
      <w:r w:rsidRPr="00070ADE">
        <w:rPr>
          <w:rFonts w:ascii="Times New Roman" w:hAnsi="Times New Roman"/>
          <w:color w:val="000000" w:themeColor="text1"/>
          <w:sz w:val="16"/>
          <w:szCs w:val="16"/>
        </w:rPr>
        <w:softHyphen/>
        <w:t>роятность попадания в цель хотя бы од</w:t>
      </w:r>
      <w:r w:rsidRPr="00070ADE">
        <w:rPr>
          <w:rFonts w:ascii="Times New Roman" w:hAnsi="Times New Roman"/>
          <w:color w:val="000000" w:themeColor="text1"/>
          <w:sz w:val="16"/>
          <w:szCs w:val="16"/>
        </w:rPr>
        <w:softHyphen/>
        <w:t>ной бомбой 0,6-0,7 (6767).</w:t>
      </w:r>
    </w:p>
    <w:p w14:paraId="35B50E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 боевого применения Ил-2-топ-мачтовиков показал, что оптимальным, с точки зрения лучшей маневренности и управляемости, являлся состав группы топмачтовиков из 5-6 Ил-2, принадле</w:t>
      </w:r>
      <w:r w:rsidRPr="00070ADE">
        <w:rPr>
          <w:rFonts w:ascii="Times New Roman" w:hAnsi="Times New Roman"/>
          <w:color w:val="000000" w:themeColor="text1"/>
          <w:sz w:val="16"/>
          <w:szCs w:val="16"/>
        </w:rPr>
        <w:softHyphen/>
        <w:t>жащей одной авиаэскадрилье. Группа же истребителей непосредственного при</w:t>
      </w:r>
      <w:r w:rsidRPr="00070ADE">
        <w:rPr>
          <w:rFonts w:ascii="Times New Roman" w:hAnsi="Times New Roman"/>
          <w:color w:val="000000" w:themeColor="text1"/>
          <w:sz w:val="16"/>
          <w:szCs w:val="16"/>
        </w:rPr>
        <w:softHyphen/>
        <w:t>крытия должна была быть в составе не менее 10 самолетов.</w:t>
      </w:r>
    </w:p>
    <w:p w14:paraId="7E06A4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Отношение летчиков-штурмовиков флотов к новому методу поражения плавсредств противника наиболее точ</w:t>
      </w:r>
      <w:r w:rsidRPr="00070ADE">
        <w:rPr>
          <w:rFonts w:ascii="Times New Roman" w:hAnsi="Times New Roman"/>
          <w:color w:val="000000" w:themeColor="text1"/>
          <w:sz w:val="16"/>
          <w:szCs w:val="16"/>
        </w:rPr>
        <w:softHyphen/>
        <w:t>но выразил в своих воспоминаниях ве</w:t>
      </w:r>
      <w:r w:rsidRPr="00070ADE">
        <w:rPr>
          <w:rFonts w:ascii="Times New Roman" w:hAnsi="Times New Roman"/>
          <w:color w:val="000000" w:themeColor="text1"/>
          <w:sz w:val="16"/>
          <w:szCs w:val="16"/>
        </w:rPr>
        <w:softHyphen/>
        <w:t xml:space="preserve">теран 47-го </w:t>
      </w:r>
      <w:r w:rsidRPr="00070ADE">
        <w:rPr>
          <w:rFonts w:ascii="Times New Roman" w:hAnsi="Times New Roman"/>
          <w:iCs/>
          <w:color w:val="000000" w:themeColor="text1"/>
          <w:sz w:val="16"/>
          <w:szCs w:val="16"/>
        </w:rPr>
        <w:t>шап</w:t>
      </w:r>
      <w:r w:rsidRPr="00070ADE">
        <w:rPr>
          <w:rFonts w:ascii="Times New Roman" w:hAnsi="Times New Roman"/>
          <w:color w:val="000000" w:themeColor="text1"/>
          <w:sz w:val="16"/>
          <w:szCs w:val="16"/>
        </w:rPr>
        <w:t xml:space="preserve"> В.П.Остапенко: </w:t>
      </w:r>
      <w:r w:rsidRPr="00070ADE">
        <w:rPr>
          <w:rFonts w:ascii="Times New Roman" w:hAnsi="Times New Roman"/>
          <w:iCs/>
          <w:color w:val="000000" w:themeColor="text1"/>
          <w:sz w:val="16"/>
          <w:szCs w:val="16"/>
        </w:rPr>
        <w:t>"Топмачтовое бомбометание - это игра со смер</w:t>
      </w:r>
      <w:r w:rsidRPr="00070ADE">
        <w:rPr>
          <w:rFonts w:ascii="Times New Roman" w:hAnsi="Times New Roman"/>
          <w:iCs/>
          <w:color w:val="000000" w:themeColor="text1"/>
          <w:sz w:val="16"/>
          <w:szCs w:val="16"/>
        </w:rPr>
        <w:softHyphen/>
        <w:t>тью, если узнаешь на отлично, - будет польза, а так - это сильно опасно, смерть".</w:t>
      </w:r>
    </w:p>
    <w:p w14:paraId="5FF0C2C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это действительно было так. Дело в том, что высота полета штурмовика при топмачтовом бомбометании в 20-30 м не давала возможности экипажам "Илов" выполнять эффективный противозенит</w:t>
      </w:r>
      <w:r w:rsidRPr="00070ADE">
        <w:rPr>
          <w:rFonts w:ascii="Times New Roman" w:hAnsi="Times New Roman"/>
          <w:color w:val="000000" w:themeColor="text1"/>
          <w:sz w:val="16"/>
          <w:szCs w:val="16"/>
        </w:rPr>
        <w:softHyphen/>
        <w:t>ный маневр, вследствие чего вероятность поражения огнем зенитной артиллерии, в сравнении с бомбометанием с гори</w:t>
      </w:r>
      <w:r w:rsidRPr="00070ADE">
        <w:rPr>
          <w:rFonts w:ascii="Times New Roman" w:hAnsi="Times New Roman"/>
          <w:color w:val="000000" w:themeColor="text1"/>
          <w:sz w:val="16"/>
          <w:szCs w:val="16"/>
        </w:rPr>
        <w:softHyphen/>
        <w:t>зонтального полета, была все же высо</w:t>
      </w:r>
      <w:r w:rsidRPr="00070ADE">
        <w:rPr>
          <w:rFonts w:ascii="Times New Roman" w:hAnsi="Times New Roman"/>
          <w:color w:val="000000" w:themeColor="text1"/>
          <w:sz w:val="16"/>
          <w:szCs w:val="16"/>
        </w:rPr>
        <w:softHyphen/>
        <w:t>кой, даже несмотря на то, что Ил-2 нахо</w:t>
      </w:r>
      <w:r w:rsidRPr="00070ADE">
        <w:rPr>
          <w:rFonts w:ascii="Times New Roman" w:hAnsi="Times New Roman"/>
          <w:color w:val="000000" w:themeColor="text1"/>
          <w:sz w:val="16"/>
          <w:szCs w:val="16"/>
        </w:rPr>
        <w:softHyphen/>
        <w:t>дился на боевом курсе в зоне действия корабельной ПВО всего 10-12 сек (при бомбометании с горизонтального поле</w:t>
      </w:r>
      <w:r w:rsidRPr="00070ADE">
        <w:rPr>
          <w:rFonts w:ascii="Times New Roman" w:hAnsi="Times New Roman"/>
          <w:color w:val="000000" w:themeColor="text1"/>
          <w:sz w:val="16"/>
          <w:szCs w:val="16"/>
        </w:rPr>
        <w:softHyphen/>
        <w:t>та боевой курс у экипажей с хорошей подготовкой занимал не менее 40-60 сек).</w:t>
      </w:r>
    </w:p>
    <w:p w14:paraId="326D213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немцы при отражении атак Ил-2-топмачтовиков применяли специальные мины (аналоги, применяв</w:t>
      </w:r>
      <w:r w:rsidRPr="00070ADE">
        <w:rPr>
          <w:rFonts w:ascii="Times New Roman" w:hAnsi="Times New Roman"/>
          <w:color w:val="000000" w:themeColor="text1"/>
          <w:sz w:val="16"/>
          <w:szCs w:val="16"/>
        </w:rPr>
        <w:softHyphen/>
        <w:t>шихся в ВВС КА авиационных гранат АГ-1 и АГ-2), которые выбрасывались, се</w:t>
      </w:r>
      <w:r w:rsidRPr="00070ADE">
        <w:rPr>
          <w:rFonts w:ascii="Times New Roman" w:hAnsi="Times New Roman"/>
          <w:color w:val="000000" w:themeColor="text1"/>
          <w:sz w:val="16"/>
          <w:szCs w:val="16"/>
        </w:rPr>
        <w:softHyphen/>
        <w:t>рией по несколько штук, вверх прямо по курсу полета Ил-2 и спускались затем вниз на парашютиках, создавая пилотам штурмовиков серьезную "помеху" во время прицеливания и атаки цели. От</w:t>
      </w:r>
      <w:r w:rsidRPr="00070ADE">
        <w:rPr>
          <w:rFonts w:ascii="Times New Roman" w:hAnsi="Times New Roman"/>
          <w:color w:val="000000" w:themeColor="text1"/>
          <w:sz w:val="16"/>
          <w:szCs w:val="16"/>
        </w:rPr>
        <w:softHyphen/>
        <w:t>мечались случаи гибели штурмовиков в результате подрыва таких мин...</w:t>
      </w:r>
    </w:p>
    <w:p w14:paraId="1F9F00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Справедливости ради необходимо все же отметить, что, как следует из ана</w:t>
      </w:r>
      <w:r w:rsidRPr="00070ADE">
        <w:rPr>
          <w:rFonts w:ascii="Times New Roman" w:hAnsi="Times New Roman"/>
          <w:color w:val="000000" w:themeColor="text1"/>
          <w:sz w:val="16"/>
          <w:szCs w:val="16"/>
        </w:rPr>
        <w:softHyphen/>
        <w:t>лиза условий боев на морском театре военных действий, боевых возможностей штурмовика Ил-2 со всеми вариантами вооружения и характеристик поражаемости типовых морских целей, по кото</w:t>
      </w:r>
      <w:r w:rsidRPr="00070ADE">
        <w:rPr>
          <w:rFonts w:ascii="Times New Roman" w:hAnsi="Times New Roman"/>
          <w:color w:val="000000" w:themeColor="text1"/>
          <w:sz w:val="16"/>
          <w:szCs w:val="16"/>
        </w:rPr>
        <w:softHyphen/>
        <w:t>рым в основном приходилось действо</w:t>
      </w:r>
      <w:r w:rsidRPr="00070ADE">
        <w:rPr>
          <w:rFonts w:ascii="Times New Roman" w:hAnsi="Times New Roman"/>
          <w:color w:val="000000" w:themeColor="text1"/>
          <w:sz w:val="16"/>
          <w:szCs w:val="16"/>
        </w:rPr>
        <w:softHyphen/>
        <w:t>вать Ил-2, последний не в полной мере отвечал требованиям войны на море.</w:t>
      </w:r>
    </w:p>
    <w:p w14:paraId="31E54A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Применение штурмовиками авиабомб типа ФАБ-100 как при бомбометании с планирования, так и при топмачтовом бомбометании не гарантировало потоп</w:t>
      </w:r>
      <w:r w:rsidRPr="00070ADE">
        <w:rPr>
          <w:rFonts w:ascii="Times New Roman" w:hAnsi="Times New Roman"/>
          <w:color w:val="000000" w:themeColor="text1"/>
          <w:sz w:val="16"/>
          <w:szCs w:val="16"/>
        </w:rPr>
        <w:softHyphen/>
        <w:t>ление крупных судов и кораблей.</w:t>
      </w:r>
    </w:p>
    <w:p w14:paraId="4472DCE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Мощность реактивных снарядов PC-82 и РОФС-132 была также недостаточ</w:t>
      </w:r>
      <w:r w:rsidRPr="00070ADE">
        <w:rPr>
          <w:rFonts w:ascii="Times New Roman" w:hAnsi="Times New Roman"/>
          <w:color w:val="000000" w:themeColor="text1"/>
          <w:sz w:val="16"/>
          <w:szCs w:val="16"/>
        </w:rPr>
        <w:softHyphen/>
        <w:t>ной для эффективного поражения мор</w:t>
      </w:r>
      <w:r w:rsidRPr="00070ADE">
        <w:rPr>
          <w:rFonts w:ascii="Times New Roman" w:hAnsi="Times New Roman"/>
          <w:color w:val="000000" w:themeColor="text1"/>
          <w:sz w:val="16"/>
          <w:szCs w:val="16"/>
        </w:rPr>
        <w:softHyphen/>
        <w:t>ских целей. Применение же РСов в бою осложнялось и большим их рассеивани</w:t>
      </w:r>
      <w:r w:rsidRPr="00070ADE">
        <w:rPr>
          <w:rFonts w:ascii="Times New Roman" w:hAnsi="Times New Roman"/>
          <w:color w:val="000000" w:themeColor="text1"/>
          <w:sz w:val="16"/>
          <w:szCs w:val="16"/>
        </w:rPr>
        <w:softHyphen/>
        <w:t>ем при стрельбе. Соответственно четы</w:t>
      </w:r>
      <w:r w:rsidRPr="00070ADE">
        <w:rPr>
          <w:rFonts w:ascii="Times New Roman" w:hAnsi="Times New Roman"/>
          <w:color w:val="000000" w:themeColor="text1"/>
          <w:sz w:val="16"/>
          <w:szCs w:val="16"/>
        </w:rPr>
        <w:softHyphen/>
        <w:t>рех PC, имеющихся в распоряжении лет</w:t>
      </w:r>
      <w:r w:rsidRPr="00070ADE">
        <w:rPr>
          <w:rFonts w:ascii="Times New Roman" w:hAnsi="Times New Roman"/>
          <w:color w:val="000000" w:themeColor="text1"/>
          <w:sz w:val="16"/>
          <w:szCs w:val="16"/>
        </w:rPr>
        <w:softHyphen/>
        <w:t>чика Ил-2, было мало для обеспечения надежного подавления цели.</w:t>
      </w:r>
    </w:p>
    <w:p w14:paraId="0590981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Самое же точное оружие Ил-2 - пу</w:t>
      </w:r>
      <w:r w:rsidRPr="00070ADE">
        <w:rPr>
          <w:rFonts w:ascii="Times New Roman" w:hAnsi="Times New Roman"/>
          <w:color w:val="000000" w:themeColor="text1"/>
          <w:sz w:val="16"/>
          <w:szCs w:val="16"/>
        </w:rPr>
        <w:softHyphen/>
        <w:t>шечное вооружение, включая 37-мм авиапушки НС-37, было все же не настолько эффективным против кораблей и судов противника, как этого хотелось бы, главным образом из-за низкого фу</w:t>
      </w:r>
      <w:r w:rsidRPr="00070ADE">
        <w:rPr>
          <w:rFonts w:ascii="Times New Roman" w:hAnsi="Times New Roman"/>
          <w:color w:val="000000" w:themeColor="text1"/>
          <w:sz w:val="16"/>
          <w:szCs w:val="16"/>
        </w:rPr>
        <w:softHyphen/>
        <w:t>гасного действия снарядов калибра 20-37 мм.</w:t>
      </w:r>
    </w:p>
    <w:p w14:paraId="1727FAA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недостаточная дальность полета и отсутствие совершенных аэро</w:t>
      </w:r>
      <w:r w:rsidRPr="00070ADE">
        <w:rPr>
          <w:rFonts w:ascii="Times New Roman" w:hAnsi="Times New Roman"/>
          <w:color w:val="000000" w:themeColor="text1"/>
          <w:sz w:val="16"/>
          <w:szCs w:val="16"/>
        </w:rPr>
        <w:softHyphen/>
        <w:t>навигационных средств самолетовожде</w:t>
      </w:r>
      <w:r w:rsidRPr="00070ADE">
        <w:rPr>
          <w:rFonts w:ascii="Times New Roman" w:hAnsi="Times New Roman"/>
          <w:color w:val="000000" w:themeColor="text1"/>
          <w:sz w:val="16"/>
          <w:szCs w:val="16"/>
        </w:rPr>
        <w:softHyphen/>
        <w:t>ния существенно снижали боевую цен</w:t>
      </w:r>
      <w:r w:rsidRPr="00070ADE">
        <w:rPr>
          <w:rFonts w:ascii="Times New Roman" w:hAnsi="Times New Roman"/>
          <w:color w:val="000000" w:themeColor="text1"/>
          <w:sz w:val="16"/>
          <w:szCs w:val="16"/>
        </w:rPr>
        <w:softHyphen/>
        <w:t>ность Ил-2 как самолета морской авиа</w:t>
      </w:r>
      <w:r w:rsidRPr="00070ADE">
        <w:rPr>
          <w:rFonts w:ascii="Times New Roman" w:hAnsi="Times New Roman"/>
          <w:color w:val="000000" w:themeColor="text1"/>
          <w:sz w:val="16"/>
          <w:szCs w:val="16"/>
        </w:rPr>
        <w:softHyphen/>
        <w:t>ции - глубина действия "Илов" ограни</w:t>
      </w:r>
      <w:r w:rsidRPr="00070ADE">
        <w:rPr>
          <w:rFonts w:ascii="Times New Roman" w:hAnsi="Times New Roman"/>
          <w:color w:val="000000" w:themeColor="text1"/>
          <w:sz w:val="16"/>
          <w:szCs w:val="16"/>
        </w:rPr>
        <w:softHyphen/>
        <w:t>чивалась прибрежными районами.</w:t>
      </w:r>
    </w:p>
    <w:p w14:paraId="73C7D7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Ил-2 на протяжении всей войны все же не могли в должной мере обеспечивать необходимые даль</w:t>
      </w:r>
      <w:r w:rsidRPr="00070ADE">
        <w:rPr>
          <w:rFonts w:ascii="Times New Roman" w:hAnsi="Times New Roman"/>
          <w:color w:val="000000" w:themeColor="text1"/>
          <w:sz w:val="16"/>
          <w:szCs w:val="16"/>
        </w:rPr>
        <w:softHyphen/>
        <w:t>ний перехват крупных морских судов и боевых кораблей противника и их устой</w:t>
      </w:r>
      <w:r w:rsidRPr="00070ADE">
        <w:rPr>
          <w:rFonts w:ascii="Times New Roman" w:hAnsi="Times New Roman"/>
          <w:color w:val="000000" w:themeColor="text1"/>
          <w:sz w:val="16"/>
          <w:szCs w:val="16"/>
        </w:rPr>
        <w:softHyphen/>
        <w:t>чивое поражение...(6467).</w:t>
      </w:r>
    </w:p>
    <w:p w14:paraId="549E37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Боевая статистика показывает, что во время ударов Ил-2 флотов по немец</w:t>
      </w:r>
      <w:r w:rsidRPr="00070ADE">
        <w:rPr>
          <w:rFonts w:ascii="Times New Roman" w:hAnsi="Times New Roman"/>
          <w:color w:val="000000" w:themeColor="text1"/>
          <w:sz w:val="16"/>
          <w:szCs w:val="16"/>
        </w:rPr>
        <w:softHyphen/>
        <w:t>ким ВМБ и конвоям на переходе морем в среднем около 30% Ил-2 из состава групп, участвующих в ударе, сбивалось, либо огнем зенитной артиллерии (при</w:t>
      </w:r>
      <w:r w:rsidRPr="00070ADE">
        <w:rPr>
          <w:rFonts w:ascii="Times New Roman" w:hAnsi="Times New Roman"/>
          <w:color w:val="000000" w:themeColor="text1"/>
          <w:sz w:val="16"/>
          <w:szCs w:val="16"/>
        </w:rPr>
        <w:softHyphen/>
        <w:t>мерно 70% из этого числа), либо истре</w:t>
      </w:r>
      <w:r w:rsidRPr="00070ADE">
        <w:rPr>
          <w:rFonts w:ascii="Times New Roman" w:hAnsi="Times New Roman"/>
          <w:color w:val="000000" w:themeColor="text1"/>
          <w:sz w:val="16"/>
          <w:szCs w:val="16"/>
        </w:rPr>
        <w:softHyphen/>
        <w:t>бителями Люфтваффе. Кроме этого, око</w:t>
      </w:r>
      <w:r w:rsidRPr="00070ADE">
        <w:rPr>
          <w:rFonts w:ascii="Times New Roman" w:hAnsi="Times New Roman"/>
          <w:color w:val="000000" w:themeColor="text1"/>
          <w:sz w:val="16"/>
          <w:szCs w:val="16"/>
        </w:rPr>
        <w:softHyphen/>
        <w:t>ло 50-60% "Илов" из состава групп по</w:t>
      </w:r>
      <w:r w:rsidRPr="00070ADE">
        <w:rPr>
          <w:rFonts w:ascii="Times New Roman" w:hAnsi="Times New Roman"/>
          <w:color w:val="000000" w:themeColor="text1"/>
          <w:sz w:val="16"/>
          <w:szCs w:val="16"/>
        </w:rPr>
        <w:softHyphen/>
        <w:t>лучали повреждения. Другими словами, в среднем 80-90% от состава групп "Ильюшиных", участвующих в бомбоштурмовых ударах по немецким военно-морс</w:t>
      </w:r>
      <w:r w:rsidRPr="00070ADE">
        <w:rPr>
          <w:rFonts w:ascii="Times New Roman" w:hAnsi="Times New Roman"/>
          <w:color w:val="000000" w:themeColor="text1"/>
          <w:sz w:val="16"/>
          <w:szCs w:val="16"/>
        </w:rPr>
        <w:softHyphen/>
        <w:t>ким базам и конвоям, либо сбивались, либо получали повреждения.</w:t>
      </w:r>
    </w:p>
    <w:p w14:paraId="54BB31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был подготовлен отчет по итогам работы ОКБ А.Н.Т. за 1943 отмечалось: “на основе опыта работы ту-2 в разведовательных полках ГК и по требованию ВВС ОКБ разработало специальные разведовательные варианты... Самолет-разведчик отличается от строящегося в серии большей дальностью (за счет добавочного подвесного бака) и установкой для специального фотоаппаратаю</w:t>
      </w:r>
    </w:p>
    <w:p w14:paraId="2C5F2B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один Ту-2 разведчик (с двумя АФА-3) прошел гос. испытая в НИИ спецслужбы ВВС и рекомендован к серийной постройке. Два ту-2, оборудованные специальной качающейся установкой под АФА-33, проходят войсковые испытания в 47 гапдр ГК...</w:t>
      </w:r>
    </w:p>
    <w:p w14:paraId="5A1A16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ОКБ разработаны установки для серийного ту-2 дополнительного пушечноговооружения (двух пушек Нудельмана-Суранова калибра 45 мм) и РЛС. В настоящее время на заводе оборудуются два ту-2С: первый с РЛС ПНБ-4 конструкции Спецотдела НКВД и двумя ВЯ 23 мм, второй - с РЛС Гнейс-5 конструкции НИИ-20 с 2х45 мм...” (4407,5).</w:t>
      </w:r>
    </w:p>
    <w:p w14:paraId="35D0E5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A11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на Ил-8-1 был установлен новый мотор АМ-42 и самолет после завершения заводских испытаний был досрочно 26 февраля 1944 вместо 1 марта 1944 сдан га гос. сипытания, закончившиеся в течение месяца 30 марта 1944.</w:t>
      </w:r>
    </w:p>
    <w:p w14:paraId="5F54CC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ОКБ А.Н.Т. начало ОКР по освоению первых советских РЛС и аппаратуру установили на двух серийных Ту-2 с одновременным усилением артиллерийского вооружения. В дальнейшем для создания полноценного перехватчика с РЛС использовали машину 68/2 с 2АМ-39ФНВ (1835,58).</w:t>
      </w:r>
    </w:p>
    <w:p w14:paraId="5324DD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4001E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был подготовлен отчет завода 18 за 1943:</w:t>
      </w:r>
    </w:p>
    <w:p w14:paraId="5A95C2C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год на заводе были проведены увязки, конструирование, запуск и отработка чертежей по опытному самолету Ш, по самолету Ил-1 одноместному и двухместному, по самолету Ил-2 2М-42.</w:t>
      </w:r>
    </w:p>
    <w:p w14:paraId="3E5E073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Разработка конструкции стрельчатого крыла и убирающегося костыля для самолета Ил-2 с М-42 произведена также силами заводского коллектива конструкторов.</w:t>
      </w:r>
    </w:p>
    <w:p w14:paraId="38468D7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Один экз. модернизированного Ил-2 с М-42 был изготовлен на заводе.</w:t>
      </w:r>
    </w:p>
    <w:p w14:paraId="05ACC2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Серия самолета Ил-10 началась в 1944 на заводе 1, однако, поставка заводом 24 недоработанного мотора АМ-42 лишила завод возможности выполнить задание по выпуску самолета Ил-10." (1352).</w:t>
      </w:r>
    </w:p>
    <w:p w14:paraId="4FB726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4DAB10" w14:textId="77777777" w:rsidR="007F1907" w:rsidRPr="00070ADE" w:rsidRDefault="007F190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 xml:space="preserve">В начале 1944 в дополнение к 28 самолетом «Харрикейн» </w:t>
      </w:r>
      <w:r w:rsidRPr="00070ADE">
        <w:rPr>
          <w:color w:val="000000" w:themeColor="text1"/>
          <w:sz w:val="16"/>
          <w:szCs w:val="16"/>
          <w:lang w:val="en-US"/>
        </w:rPr>
        <w:t>IID</w:t>
      </w:r>
      <w:r w:rsidRPr="00070ADE">
        <w:rPr>
          <w:color w:val="000000" w:themeColor="text1"/>
          <w:sz w:val="16"/>
          <w:szCs w:val="16"/>
        </w:rPr>
        <w:t>, поступившим к концу 1943, в Советский Союз прибыли еще 20 машин этого типа и несколь</w:t>
      </w:r>
      <w:r w:rsidRPr="00070ADE">
        <w:rPr>
          <w:color w:val="000000" w:themeColor="text1"/>
          <w:sz w:val="16"/>
          <w:szCs w:val="16"/>
        </w:rPr>
        <w:softHyphen/>
        <w:t xml:space="preserve">ко десятков «Харрикейн» IV со сменным составом вооружения, включавшим пушки калибра 40 мм по типу варианта </w:t>
      </w:r>
      <w:r w:rsidRPr="00070ADE">
        <w:rPr>
          <w:color w:val="000000" w:themeColor="text1"/>
          <w:sz w:val="16"/>
          <w:szCs w:val="16"/>
          <w:lang w:val="en-US"/>
        </w:rPr>
        <w:t>Mk</w:t>
      </w:r>
      <w:r w:rsidRPr="00070ADE">
        <w:rPr>
          <w:color w:val="000000" w:themeColor="text1"/>
          <w:sz w:val="16"/>
          <w:szCs w:val="16"/>
        </w:rPr>
        <w:t>.</w:t>
      </w:r>
      <w:r w:rsidRPr="00070ADE">
        <w:rPr>
          <w:color w:val="000000" w:themeColor="text1"/>
          <w:sz w:val="16"/>
          <w:szCs w:val="16"/>
          <w:lang w:val="en-US"/>
        </w:rPr>
        <w:t>IID</w:t>
      </w:r>
      <w:r w:rsidRPr="00070ADE">
        <w:rPr>
          <w:color w:val="000000" w:themeColor="text1"/>
          <w:sz w:val="16"/>
          <w:szCs w:val="16"/>
        </w:rPr>
        <w:t>.</w:t>
      </w:r>
    </w:p>
    <w:p w14:paraId="7EA84A1E" w14:textId="77777777" w:rsidR="007F1907" w:rsidRPr="00070ADE" w:rsidRDefault="007F190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 xml:space="preserve">На противотанковые «Харрикейны» </w:t>
      </w:r>
      <w:r w:rsidRPr="00070ADE">
        <w:rPr>
          <w:color w:val="000000" w:themeColor="text1"/>
          <w:sz w:val="16"/>
          <w:szCs w:val="16"/>
          <w:lang w:val="en-US"/>
        </w:rPr>
        <w:t>IID</w:t>
      </w:r>
      <w:r w:rsidRPr="00070ADE">
        <w:rPr>
          <w:color w:val="000000" w:themeColor="text1"/>
          <w:sz w:val="16"/>
          <w:szCs w:val="16"/>
        </w:rPr>
        <w:t xml:space="preserve"> и </w:t>
      </w:r>
      <w:r w:rsidRPr="00070ADE">
        <w:rPr>
          <w:color w:val="000000" w:themeColor="text1"/>
          <w:sz w:val="16"/>
          <w:szCs w:val="16"/>
          <w:lang w:val="en-US"/>
        </w:rPr>
        <w:t>IV</w:t>
      </w:r>
      <w:r w:rsidRPr="00070ADE">
        <w:rPr>
          <w:color w:val="000000" w:themeColor="text1"/>
          <w:sz w:val="16"/>
          <w:szCs w:val="16"/>
        </w:rPr>
        <w:t xml:space="preserve"> с осени 1943 г. начали переучиваться 441-й иап ПВО страны и 246-й иап фронтовой авиации ВВС КА.</w:t>
      </w:r>
    </w:p>
    <w:p w14:paraId="193061C7" w14:textId="77777777" w:rsidR="007F1907" w:rsidRPr="00070ADE" w:rsidRDefault="007F190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Почти одновременно с освоением противотан</w:t>
      </w:r>
      <w:r w:rsidRPr="00070ADE">
        <w:rPr>
          <w:color w:val="000000" w:themeColor="text1"/>
          <w:sz w:val="16"/>
          <w:szCs w:val="16"/>
        </w:rPr>
        <w:softHyphen/>
        <w:t>ковых «англичан» в частях ВВС КА 2 самолета «Хар</w:t>
      </w:r>
      <w:r w:rsidRPr="00070ADE">
        <w:rPr>
          <w:color w:val="000000" w:themeColor="text1"/>
          <w:sz w:val="16"/>
          <w:szCs w:val="16"/>
        </w:rPr>
        <w:softHyphen/>
        <w:t xml:space="preserve">рикейн» </w:t>
      </w:r>
      <w:r w:rsidRPr="00070ADE">
        <w:rPr>
          <w:color w:val="000000" w:themeColor="text1"/>
          <w:sz w:val="16"/>
          <w:szCs w:val="16"/>
          <w:lang w:val="en-US"/>
        </w:rPr>
        <w:t>IID</w:t>
      </w:r>
      <w:r w:rsidRPr="00070ADE">
        <w:rPr>
          <w:color w:val="000000" w:themeColor="text1"/>
          <w:sz w:val="16"/>
          <w:szCs w:val="16"/>
        </w:rPr>
        <w:t xml:space="preserve"> зав. № КХ-171 и № КХ-305 поступили в НИИ ВВС и затем в НИИ АВ ВВС, где провели все</w:t>
      </w:r>
      <w:r w:rsidRPr="00070ADE">
        <w:rPr>
          <w:color w:val="000000" w:themeColor="text1"/>
          <w:sz w:val="16"/>
          <w:szCs w:val="16"/>
        </w:rPr>
        <w:softHyphen/>
        <w:t>сторонние исследования их летно-боевых качеств и вооружения (17500).</w:t>
      </w:r>
    </w:p>
    <w:p w14:paraId="7023D2F3" w14:textId="77777777" w:rsidR="007F1907" w:rsidRPr="00070ADE" w:rsidRDefault="007F1907" w:rsidP="00B56F90">
      <w:pPr>
        <w:spacing w:after="0" w:line="240" w:lineRule="auto"/>
        <w:jc w:val="both"/>
        <w:rPr>
          <w:rFonts w:ascii="Times New Roman" w:eastAsia="Times New Roman" w:hAnsi="Times New Roman"/>
          <w:color w:val="000000" w:themeColor="text1"/>
          <w:sz w:val="16"/>
          <w:szCs w:val="16"/>
          <w:lang w:eastAsia="ru-RU"/>
        </w:rPr>
      </w:pPr>
    </w:p>
    <w:p w14:paraId="70E0A823"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в СССР прибыли в общей сложности 46 самолетов типа «Харрикейнов» IID с двумя 40-мм пушками. Чуть позже англи</w:t>
      </w:r>
      <w:r w:rsidRPr="00070ADE">
        <w:rPr>
          <w:rFonts w:ascii="Times New Roman" w:hAnsi="Times New Roman"/>
          <w:color w:val="000000" w:themeColor="text1"/>
          <w:sz w:val="16"/>
          <w:szCs w:val="16"/>
        </w:rPr>
        <w:softHyphen/>
        <w:t>чане поставили несколько десятков по</w:t>
      </w:r>
      <w:r w:rsidRPr="00070ADE">
        <w:rPr>
          <w:rFonts w:ascii="Times New Roman" w:hAnsi="Times New Roman"/>
          <w:color w:val="000000" w:themeColor="text1"/>
          <w:sz w:val="16"/>
          <w:szCs w:val="16"/>
        </w:rPr>
        <w:softHyphen/>
        <w:t>добных «Харрикейнов» IV с двигателями «Мерлин» 24. Основным отличием у них была универсальная подвеска, позволяв</w:t>
      </w:r>
      <w:r w:rsidRPr="00070ADE">
        <w:rPr>
          <w:rFonts w:ascii="Times New Roman" w:hAnsi="Times New Roman"/>
          <w:color w:val="000000" w:themeColor="text1"/>
          <w:sz w:val="16"/>
          <w:szCs w:val="16"/>
        </w:rPr>
        <w:softHyphen/>
        <w:t>шая монтировать под крылом альтерна</w:t>
      </w:r>
      <w:r w:rsidRPr="00070ADE">
        <w:rPr>
          <w:rFonts w:ascii="Times New Roman" w:hAnsi="Times New Roman"/>
          <w:color w:val="000000" w:themeColor="text1"/>
          <w:sz w:val="16"/>
          <w:szCs w:val="16"/>
        </w:rPr>
        <w:softHyphen/>
        <w:t>тивно 40-мм пушки, блоки направляющих для неуправляемых ракет, бомбодержате</w:t>
      </w:r>
      <w:r w:rsidRPr="00070ADE">
        <w:rPr>
          <w:rFonts w:ascii="Times New Roman" w:hAnsi="Times New Roman"/>
          <w:color w:val="000000" w:themeColor="text1"/>
          <w:sz w:val="16"/>
          <w:szCs w:val="16"/>
        </w:rPr>
        <w:softHyphen/>
        <w:t>ли или дымовые приборы.</w:t>
      </w:r>
    </w:p>
    <w:p w14:paraId="759F28CB"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«Харрикейна» IID в ноябре 1943 г. доставили в НИИ ВВС. Их облетывали до 23 декабря. В феврале 1944 г. одна из ма</w:t>
      </w:r>
      <w:r w:rsidRPr="00070ADE">
        <w:rPr>
          <w:rFonts w:ascii="Times New Roman" w:hAnsi="Times New Roman"/>
          <w:color w:val="000000" w:themeColor="text1"/>
          <w:sz w:val="16"/>
          <w:szCs w:val="16"/>
        </w:rPr>
        <w:softHyphen/>
        <w:t>шин была передана на НИПАВ, где в nepвую очередь интересовались ее пушками. Испытания показали, что как штурмо</w:t>
      </w:r>
      <w:r w:rsidRPr="00070ADE">
        <w:rPr>
          <w:rFonts w:ascii="Times New Roman" w:hAnsi="Times New Roman"/>
          <w:color w:val="000000" w:themeColor="text1"/>
          <w:sz w:val="16"/>
          <w:szCs w:val="16"/>
        </w:rPr>
        <w:softHyphen/>
        <w:t>вик самолет малопригоден, так как слабо бронирован и не имеет бомбардировоч</w:t>
      </w:r>
      <w:r w:rsidRPr="00070ADE">
        <w:rPr>
          <w:rFonts w:ascii="Times New Roman" w:hAnsi="Times New Roman"/>
          <w:color w:val="000000" w:themeColor="text1"/>
          <w:sz w:val="16"/>
          <w:szCs w:val="16"/>
        </w:rPr>
        <w:softHyphen/>
        <w:t>ного вооружения. Все, что мог сделать «Харрикейн» IID, наш Ил-2 выполнял го</w:t>
      </w:r>
      <w:r w:rsidRPr="00070ADE">
        <w:rPr>
          <w:rFonts w:ascii="Times New Roman" w:hAnsi="Times New Roman"/>
          <w:color w:val="000000" w:themeColor="text1"/>
          <w:sz w:val="16"/>
          <w:szCs w:val="16"/>
        </w:rPr>
        <w:softHyphen/>
        <w:t>раздо лучше. Кроме того, в нашей стране не имелось своих осколочно-фугасных и бронебойно-зажигательных снарядов калибра 40 мм; можно было полагаться только на поставки из Англии, что, конеч</w:t>
      </w:r>
      <w:r w:rsidRPr="00070ADE">
        <w:rPr>
          <w:rFonts w:ascii="Times New Roman" w:hAnsi="Times New Roman"/>
          <w:color w:val="000000" w:themeColor="text1"/>
          <w:sz w:val="16"/>
          <w:szCs w:val="16"/>
        </w:rPr>
        <w:softHyphen/>
        <w:t>но, снижало ценность машины. Решили использовать «Харрикейны» IID в системе ПВО тыловых районов против тихоход</w:t>
      </w:r>
      <w:r w:rsidRPr="00070ADE">
        <w:rPr>
          <w:rFonts w:ascii="Times New Roman" w:hAnsi="Times New Roman"/>
          <w:color w:val="000000" w:themeColor="text1"/>
          <w:sz w:val="16"/>
          <w:szCs w:val="16"/>
        </w:rPr>
        <w:softHyphen/>
        <w:t xml:space="preserve">ных бомбардировщиков. </w:t>
      </w:r>
    </w:p>
    <w:p w14:paraId="75ECEB1B"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1943 г. машинами типов IID и IV вооружили 441-й иап 106-й дивизии ПВО, дислоци</w:t>
      </w:r>
      <w:r w:rsidRPr="00070ADE">
        <w:rPr>
          <w:rFonts w:ascii="Times New Roman" w:hAnsi="Times New Roman"/>
          <w:color w:val="000000" w:themeColor="text1"/>
          <w:sz w:val="16"/>
          <w:szCs w:val="16"/>
        </w:rPr>
        <w:softHyphen/>
        <w:t>ровавшийся в районе станции Бологое. Там они эксплуатировались в 1943-44 го</w:t>
      </w:r>
      <w:r w:rsidRPr="00070ADE">
        <w:rPr>
          <w:rFonts w:ascii="Times New Roman" w:hAnsi="Times New Roman"/>
          <w:color w:val="000000" w:themeColor="text1"/>
          <w:sz w:val="16"/>
          <w:szCs w:val="16"/>
        </w:rPr>
        <w:softHyphen/>
        <w:t>дах. «Харрикейны» несколько раз подни</w:t>
      </w:r>
      <w:r w:rsidRPr="00070ADE">
        <w:rPr>
          <w:rFonts w:ascii="Times New Roman" w:hAnsi="Times New Roman"/>
          <w:color w:val="000000" w:themeColor="text1"/>
          <w:sz w:val="16"/>
          <w:szCs w:val="16"/>
        </w:rPr>
        <w:softHyphen/>
        <w:t>мались на перехват, но ни одного случая боевого столкновения с противником не зафиксировано. Командир полка неодно</w:t>
      </w:r>
      <w:r w:rsidRPr="00070ADE">
        <w:rPr>
          <w:rFonts w:ascii="Times New Roman" w:hAnsi="Times New Roman"/>
          <w:color w:val="000000" w:themeColor="text1"/>
          <w:sz w:val="16"/>
          <w:szCs w:val="16"/>
        </w:rPr>
        <w:softHyphen/>
        <w:t>кратно обращался с просьбами забрать тя</w:t>
      </w:r>
      <w:r w:rsidRPr="00070ADE">
        <w:rPr>
          <w:rFonts w:ascii="Times New Roman" w:hAnsi="Times New Roman"/>
          <w:color w:val="000000" w:themeColor="text1"/>
          <w:sz w:val="16"/>
          <w:szCs w:val="16"/>
        </w:rPr>
        <w:softHyphen/>
        <w:t>желовесные и неуклюжие «Харрикейны» и пересадить пилотов на Як-9, на которых летали остальные полки дивизии, и в кон</w:t>
      </w:r>
      <w:r w:rsidRPr="00070ADE">
        <w:rPr>
          <w:rFonts w:ascii="Times New Roman" w:hAnsi="Times New Roman"/>
          <w:color w:val="000000" w:themeColor="text1"/>
          <w:sz w:val="16"/>
          <w:szCs w:val="16"/>
        </w:rPr>
        <w:softHyphen/>
        <w:t>це концов своего добился.</w:t>
      </w:r>
    </w:p>
    <w:p w14:paraId="1D045249"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 не менее подобные самолеты все таки попали на передовую. Еще до полу</w:t>
      </w:r>
      <w:r w:rsidRPr="00070ADE">
        <w:rPr>
          <w:rFonts w:ascii="Times New Roman" w:hAnsi="Times New Roman"/>
          <w:color w:val="000000" w:themeColor="text1"/>
          <w:sz w:val="16"/>
          <w:szCs w:val="16"/>
        </w:rPr>
        <w:softHyphen/>
        <w:t>чения заключения НИИ ВВС, в ноябре 1943 г. в Аджикабуле на «Харрикейнах» IID из первых партий начали переучивать 246-й иап. Лишь в июне 1944 г. этот полк направили на фронт под Бобруйск. Но и эта часть практически не видела боевых действий. В сентябре ее полностью пере</w:t>
      </w:r>
      <w:r w:rsidRPr="00070ADE">
        <w:rPr>
          <w:rFonts w:ascii="Times New Roman" w:hAnsi="Times New Roman"/>
          <w:color w:val="000000" w:themeColor="text1"/>
          <w:sz w:val="16"/>
          <w:szCs w:val="16"/>
        </w:rPr>
        <w:softHyphen/>
        <w:t>садили на Як-1 (23513).</w:t>
      </w:r>
    </w:p>
    <w:p w14:paraId="49D58E84" w14:textId="77777777" w:rsidR="00A822F4" w:rsidRPr="00070ADE" w:rsidRDefault="00A822F4" w:rsidP="00B56F90">
      <w:pPr>
        <w:spacing w:after="0" w:line="240" w:lineRule="auto"/>
        <w:jc w:val="both"/>
        <w:rPr>
          <w:rFonts w:ascii="Times New Roman" w:hAnsi="Times New Roman"/>
          <w:color w:val="000000" w:themeColor="text1"/>
          <w:sz w:val="16"/>
          <w:szCs w:val="16"/>
        </w:rPr>
      </w:pPr>
    </w:p>
    <w:p w14:paraId="01B222B7" w14:textId="77777777" w:rsidR="00D77461" w:rsidRPr="00070ADE" w:rsidRDefault="00D7746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в СССР прибыли в общей сложности 46 самолетов типа «Харрикейнов» IID с двумя 40-мм пушками. Чуть позже англи</w:t>
      </w:r>
      <w:r w:rsidRPr="00070ADE">
        <w:rPr>
          <w:rFonts w:ascii="Times New Roman" w:hAnsi="Times New Roman"/>
          <w:color w:val="000000" w:themeColor="text1"/>
          <w:sz w:val="16"/>
          <w:szCs w:val="16"/>
        </w:rPr>
        <w:softHyphen/>
        <w:t>чане поставили несколько десятков по</w:t>
      </w:r>
      <w:r w:rsidRPr="00070ADE">
        <w:rPr>
          <w:rFonts w:ascii="Times New Roman" w:hAnsi="Times New Roman"/>
          <w:color w:val="000000" w:themeColor="text1"/>
          <w:sz w:val="16"/>
          <w:szCs w:val="16"/>
        </w:rPr>
        <w:softHyphen/>
        <w:t>добных «Харрикейнов» IV с двигателями «Мерлин» 24. Основным отличием у них была универсальная подвеска, позволяв</w:t>
      </w:r>
      <w:r w:rsidRPr="00070ADE">
        <w:rPr>
          <w:rFonts w:ascii="Times New Roman" w:hAnsi="Times New Roman"/>
          <w:color w:val="000000" w:themeColor="text1"/>
          <w:sz w:val="16"/>
          <w:szCs w:val="16"/>
        </w:rPr>
        <w:softHyphen/>
        <w:t>шая монтировать под крылом альтерна</w:t>
      </w:r>
      <w:r w:rsidRPr="00070ADE">
        <w:rPr>
          <w:rFonts w:ascii="Times New Roman" w:hAnsi="Times New Roman"/>
          <w:color w:val="000000" w:themeColor="text1"/>
          <w:sz w:val="16"/>
          <w:szCs w:val="16"/>
        </w:rPr>
        <w:softHyphen/>
        <w:t>тивно 40-мм пушки, блоки направляющих для неуправляемых ракет, бомбодержате</w:t>
      </w:r>
      <w:r w:rsidRPr="00070ADE">
        <w:rPr>
          <w:rFonts w:ascii="Times New Roman" w:hAnsi="Times New Roman"/>
          <w:color w:val="000000" w:themeColor="text1"/>
          <w:sz w:val="16"/>
          <w:szCs w:val="16"/>
        </w:rPr>
        <w:softHyphen/>
        <w:t>ли или дымовые приборы.</w:t>
      </w:r>
    </w:p>
    <w:p w14:paraId="29EA70F7" w14:textId="77777777" w:rsidR="00D77461" w:rsidRPr="00070ADE" w:rsidRDefault="00D7746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«Харрикейна» IID в ноябре 1943 г. доставили в НИИ ВВС. Их облетывали до 23 декабря. В феврале 1944 г. одна из ма</w:t>
      </w:r>
      <w:r w:rsidRPr="00070ADE">
        <w:rPr>
          <w:rFonts w:ascii="Times New Roman" w:hAnsi="Times New Roman"/>
          <w:color w:val="000000" w:themeColor="text1"/>
          <w:sz w:val="16"/>
          <w:szCs w:val="16"/>
        </w:rPr>
        <w:softHyphen/>
        <w:t>шин была передана на НИПАВ, где в nepвую очередь интересовались ее пушками. Испытания показали, что как штурмо</w:t>
      </w:r>
      <w:r w:rsidRPr="00070ADE">
        <w:rPr>
          <w:rFonts w:ascii="Times New Roman" w:hAnsi="Times New Roman"/>
          <w:color w:val="000000" w:themeColor="text1"/>
          <w:sz w:val="16"/>
          <w:szCs w:val="16"/>
        </w:rPr>
        <w:softHyphen/>
        <w:t>вик самолет малопригоден, так как слабо бронирован и не имеет бомбардировоч</w:t>
      </w:r>
      <w:r w:rsidRPr="00070ADE">
        <w:rPr>
          <w:rFonts w:ascii="Times New Roman" w:hAnsi="Times New Roman"/>
          <w:color w:val="000000" w:themeColor="text1"/>
          <w:sz w:val="16"/>
          <w:szCs w:val="16"/>
        </w:rPr>
        <w:softHyphen/>
        <w:t>ного вооружения. Все, что мог сделать «Харрикейн» IID, наш Ил-2 выполнял го</w:t>
      </w:r>
      <w:r w:rsidRPr="00070ADE">
        <w:rPr>
          <w:rFonts w:ascii="Times New Roman" w:hAnsi="Times New Roman"/>
          <w:color w:val="000000" w:themeColor="text1"/>
          <w:sz w:val="16"/>
          <w:szCs w:val="16"/>
        </w:rPr>
        <w:softHyphen/>
        <w:t>раздо лучше. Кроме того, в нашей стране не имелось своих осколочно-фугасных и бронебойно-зажигательных снарядов калибра 40 мм; можно было полагаться только на поставки из Англии, что, конеч</w:t>
      </w:r>
      <w:r w:rsidRPr="00070ADE">
        <w:rPr>
          <w:rFonts w:ascii="Times New Roman" w:hAnsi="Times New Roman"/>
          <w:color w:val="000000" w:themeColor="text1"/>
          <w:sz w:val="16"/>
          <w:szCs w:val="16"/>
        </w:rPr>
        <w:softHyphen/>
        <w:t>но, снижало ценность машины. Решили использовать «Харрикейны» IID в системе ПВО тыловых районов против тихоход</w:t>
      </w:r>
      <w:r w:rsidRPr="00070ADE">
        <w:rPr>
          <w:rFonts w:ascii="Times New Roman" w:hAnsi="Times New Roman"/>
          <w:color w:val="000000" w:themeColor="text1"/>
          <w:sz w:val="16"/>
          <w:szCs w:val="16"/>
        </w:rPr>
        <w:softHyphen/>
        <w:t xml:space="preserve">ных бомбардировщиков. </w:t>
      </w:r>
    </w:p>
    <w:p w14:paraId="21FC8D33" w14:textId="77777777" w:rsidR="00D77461" w:rsidRPr="00070ADE" w:rsidRDefault="00D7746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1943 г. машинами типов IID и IV вооружили 441-й иап 106-й дивизии ПВО, дислоци</w:t>
      </w:r>
      <w:r w:rsidRPr="00070ADE">
        <w:rPr>
          <w:rFonts w:ascii="Times New Roman" w:hAnsi="Times New Roman"/>
          <w:color w:val="000000" w:themeColor="text1"/>
          <w:sz w:val="16"/>
          <w:szCs w:val="16"/>
        </w:rPr>
        <w:softHyphen/>
        <w:t>ровавшийся в районе станции Бологое. Там они эксплуатировались в 1943-44 го</w:t>
      </w:r>
      <w:r w:rsidRPr="00070ADE">
        <w:rPr>
          <w:rFonts w:ascii="Times New Roman" w:hAnsi="Times New Roman"/>
          <w:color w:val="000000" w:themeColor="text1"/>
          <w:sz w:val="16"/>
          <w:szCs w:val="16"/>
        </w:rPr>
        <w:softHyphen/>
        <w:t>дах. «Харрикейны» несколько раз подни</w:t>
      </w:r>
      <w:r w:rsidRPr="00070ADE">
        <w:rPr>
          <w:rFonts w:ascii="Times New Roman" w:hAnsi="Times New Roman"/>
          <w:color w:val="000000" w:themeColor="text1"/>
          <w:sz w:val="16"/>
          <w:szCs w:val="16"/>
        </w:rPr>
        <w:softHyphen/>
        <w:t xml:space="preserve">мались на перехват, но ни одного случая боевого столкновения с противником не зафиксировано. Командир полка </w:t>
      </w:r>
      <w:r w:rsidRPr="00070ADE">
        <w:rPr>
          <w:rFonts w:ascii="Times New Roman" w:hAnsi="Times New Roman"/>
          <w:color w:val="000000" w:themeColor="text1"/>
          <w:sz w:val="16"/>
          <w:szCs w:val="16"/>
        </w:rPr>
        <w:lastRenderedPageBreak/>
        <w:t>неодно</w:t>
      </w:r>
      <w:r w:rsidRPr="00070ADE">
        <w:rPr>
          <w:rFonts w:ascii="Times New Roman" w:hAnsi="Times New Roman"/>
          <w:color w:val="000000" w:themeColor="text1"/>
          <w:sz w:val="16"/>
          <w:szCs w:val="16"/>
        </w:rPr>
        <w:softHyphen/>
        <w:t>кратно обращался с просьбами забрать тя</w:t>
      </w:r>
      <w:r w:rsidRPr="00070ADE">
        <w:rPr>
          <w:rFonts w:ascii="Times New Roman" w:hAnsi="Times New Roman"/>
          <w:color w:val="000000" w:themeColor="text1"/>
          <w:sz w:val="16"/>
          <w:szCs w:val="16"/>
        </w:rPr>
        <w:softHyphen/>
        <w:t>желовесные и неуклюжие «Харрикейны» и пересадить пилотов на Як-9, на которых летали остальные полки дивизии, и в кон</w:t>
      </w:r>
      <w:r w:rsidRPr="00070ADE">
        <w:rPr>
          <w:rFonts w:ascii="Times New Roman" w:hAnsi="Times New Roman"/>
          <w:color w:val="000000" w:themeColor="text1"/>
          <w:sz w:val="16"/>
          <w:szCs w:val="16"/>
        </w:rPr>
        <w:softHyphen/>
        <w:t>це концов своего добился.</w:t>
      </w:r>
    </w:p>
    <w:p w14:paraId="70C1A35C" w14:textId="77777777" w:rsidR="00D77461" w:rsidRPr="00070ADE" w:rsidRDefault="00D7746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 не менее подобные самолеты все таки попали на передовую. Еще до полу</w:t>
      </w:r>
      <w:r w:rsidRPr="00070ADE">
        <w:rPr>
          <w:rFonts w:ascii="Times New Roman" w:hAnsi="Times New Roman"/>
          <w:color w:val="000000" w:themeColor="text1"/>
          <w:sz w:val="16"/>
          <w:szCs w:val="16"/>
        </w:rPr>
        <w:softHyphen/>
        <w:t>чения заключения НИИ ВВС, в ноябре 1943 г. в Аджикабуле на «Харрикейнах» IID из первых партий начали переучивать 246-й иап. Лишь в июне 1944 г. этот полк направили на фронт под Бобруйск. Но и эта часть практически не видела боевых действий. В сентябре ее полностью пере</w:t>
      </w:r>
      <w:r w:rsidRPr="00070ADE">
        <w:rPr>
          <w:rFonts w:ascii="Times New Roman" w:hAnsi="Times New Roman"/>
          <w:color w:val="000000" w:themeColor="text1"/>
          <w:sz w:val="16"/>
          <w:szCs w:val="16"/>
        </w:rPr>
        <w:softHyphen/>
        <w:t>садили на Як-1 (23513).</w:t>
      </w:r>
    </w:p>
    <w:p w14:paraId="4FA4E55A" w14:textId="77777777" w:rsidR="00D77461" w:rsidRPr="00070ADE" w:rsidRDefault="00D77461" w:rsidP="00B56F90">
      <w:pPr>
        <w:spacing w:after="0" w:line="240" w:lineRule="auto"/>
        <w:jc w:val="both"/>
        <w:rPr>
          <w:rFonts w:ascii="Times New Roman" w:hAnsi="Times New Roman"/>
          <w:color w:val="000000" w:themeColor="text1"/>
          <w:sz w:val="16"/>
          <w:szCs w:val="16"/>
        </w:rPr>
      </w:pPr>
    </w:p>
    <w:p w14:paraId="2960B5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был подготов Отчетный доклад Нач. 10 ГУ НКАП за 1943: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708"/>
        <w:gridCol w:w="1010"/>
        <w:gridCol w:w="1010"/>
        <w:gridCol w:w="1010"/>
        <w:gridCol w:w="1010"/>
        <w:gridCol w:w="1214"/>
        <w:gridCol w:w="908"/>
        <w:gridCol w:w="1345"/>
      </w:tblGrid>
      <w:tr w:rsidR="004D4663" w:rsidRPr="00070ADE" w14:paraId="4A52AF85" w14:textId="77777777">
        <w:tc>
          <w:tcPr>
            <w:tcW w:w="1384" w:type="dxa"/>
          </w:tcPr>
          <w:p w14:paraId="7E1843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w:t>
            </w:r>
          </w:p>
        </w:tc>
        <w:tc>
          <w:tcPr>
            <w:tcW w:w="1708" w:type="dxa"/>
          </w:tcPr>
          <w:p w14:paraId="03D25C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w:t>
            </w:r>
          </w:p>
        </w:tc>
        <w:tc>
          <w:tcPr>
            <w:tcW w:w="1010" w:type="dxa"/>
          </w:tcPr>
          <w:p w14:paraId="3846202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w:t>
            </w:r>
          </w:p>
        </w:tc>
        <w:tc>
          <w:tcPr>
            <w:tcW w:w="1010" w:type="dxa"/>
          </w:tcPr>
          <w:p w14:paraId="754CC5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сборке</w:t>
            </w:r>
          </w:p>
        </w:tc>
        <w:tc>
          <w:tcPr>
            <w:tcW w:w="1010" w:type="dxa"/>
          </w:tcPr>
          <w:p w14:paraId="1D3AC1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721900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442B6D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гот. к бою</w:t>
            </w:r>
          </w:p>
        </w:tc>
        <w:tc>
          <w:tcPr>
            <w:tcW w:w="908" w:type="dxa"/>
          </w:tcPr>
          <w:p w14:paraId="5117371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5" w:type="dxa"/>
          </w:tcPr>
          <w:p w14:paraId="02A9E2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1360432" w14:textId="77777777">
        <w:tc>
          <w:tcPr>
            <w:tcW w:w="1384" w:type="dxa"/>
          </w:tcPr>
          <w:p w14:paraId="612459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8" w:type="dxa"/>
          </w:tcPr>
          <w:p w14:paraId="4A7C59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1F89F4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0A76CA5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Факт</w:t>
            </w:r>
          </w:p>
        </w:tc>
        <w:tc>
          <w:tcPr>
            <w:tcW w:w="1010" w:type="dxa"/>
          </w:tcPr>
          <w:p w14:paraId="0A3D49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 пл.</w:t>
            </w:r>
          </w:p>
        </w:tc>
        <w:tc>
          <w:tcPr>
            <w:tcW w:w="1010" w:type="dxa"/>
          </w:tcPr>
          <w:p w14:paraId="6C3EF0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 1942</w:t>
            </w:r>
          </w:p>
        </w:tc>
        <w:tc>
          <w:tcPr>
            <w:tcW w:w="1214" w:type="dxa"/>
          </w:tcPr>
          <w:p w14:paraId="45AA674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Факт</w:t>
            </w:r>
          </w:p>
        </w:tc>
        <w:tc>
          <w:tcPr>
            <w:tcW w:w="908" w:type="dxa"/>
          </w:tcPr>
          <w:p w14:paraId="3548324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 пл.</w:t>
            </w:r>
          </w:p>
        </w:tc>
        <w:tc>
          <w:tcPr>
            <w:tcW w:w="1345" w:type="dxa"/>
          </w:tcPr>
          <w:p w14:paraId="2DBCDB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 1942</w:t>
            </w:r>
          </w:p>
        </w:tc>
      </w:tr>
      <w:tr w:rsidR="004D4663" w:rsidRPr="00070ADE" w14:paraId="3347FB93" w14:textId="77777777">
        <w:tc>
          <w:tcPr>
            <w:tcW w:w="1384" w:type="dxa"/>
          </w:tcPr>
          <w:p w14:paraId="504BC9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1708" w:type="dxa"/>
          </w:tcPr>
          <w:p w14:paraId="0673B8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Штурмовики</w:t>
            </w:r>
          </w:p>
        </w:tc>
        <w:tc>
          <w:tcPr>
            <w:tcW w:w="1010" w:type="dxa"/>
          </w:tcPr>
          <w:p w14:paraId="208628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55D468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50AB21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503EE2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177FFE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8" w:type="dxa"/>
          </w:tcPr>
          <w:p w14:paraId="24583A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5" w:type="dxa"/>
          </w:tcPr>
          <w:p w14:paraId="67C2B2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6F8676E" w14:textId="77777777">
        <w:tc>
          <w:tcPr>
            <w:tcW w:w="1384" w:type="dxa"/>
          </w:tcPr>
          <w:p w14:paraId="6B8B0D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1708" w:type="dxa"/>
          </w:tcPr>
          <w:p w14:paraId="507F51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 АМ-38Ф</w:t>
            </w:r>
          </w:p>
        </w:tc>
        <w:tc>
          <w:tcPr>
            <w:tcW w:w="1010" w:type="dxa"/>
          </w:tcPr>
          <w:p w14:paraId="3F704A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4169</w:t>
            </w:r>
          </w:p>
        </w:tc>
        <w:tc>
          <w:tcPr>
            <w:tcW w:w="1010" w:type="dxa"/>
          </w:tcPr>
          <w:p w14:paraId="51E063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4257</w:t>
            </w:r>
          </w:p>
        </w:tc>
        <w:tc>
          <w:tcPr>
            <w:tcW w:w="1010" w:type="dxa"/>
          </w:tcPr>
          <w:p w14:paraId="2867C0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102.1</w:t>
            </w:r>
          </w:p>
        </w:tc>
        <w:tc>
          <w:tcPr>
            <w:tcW w:w="1010" w:type="dxa"/>
          </w:tcPr>
          <w:p w14:paraId="2F4A99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142.3</w:t>
            </w:r>
          </w:p>
        </w:tc>
        <w:tc>
          <w:tcPr>
            <w:tcW w:w="1214" w:type="dxa"/>
          </w:tcPr>
          <w:p w14:paraId="5BF48F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4462</w:t>
            </w:r>
          </w:p>
        </w:tc>
        <w:tc>
          <w:tcPr>
            <w:tcW w:w="908" w:type="dxa"/>
          </w:tcPr>
          <w:p w14:paraId="501FDB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w:t>
            </w:r>
          </w:p>
        </w:tc>
        <w:tc>
          <w:tcPr>
            <w:tcW w:w="1345" w:type="dxa"/>
          </w:tcPr>
          <w:p w14:paraId="713C72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162.3</w:t>
            </w:r>
          </w:p>
        </w:tc>
      </w:tr>
      <w:tr w:rsidR="004D4663" w:rsidRPr="00070ADE" w14:paraId="18B88A9F" w14:textId="77777777">
        <w:tc>
          <w:tcPr>
            <w:tcW w:w="1384" w:type="dxa"/>
          </w:tcPr>
          <w:p w14:paraId="72A4C0C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w:t>
            </w:r>
          </w:p>
        </w:tc>
        <w:tc>
          <w:tcPr>
            <w:tcW w:w="1708" w:type="dxa"/>
          </w:tcPr>
          <w:p w14:paraId="35854A2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 АМ-38Ф</w:t>
            </w:r>
          </w:p>
        </w:tc>
        <w:tc>
          <w:tcPr>
            <w:tcW w:w="1010" w:type="dxa"/>
          </w:tcPr>
          <w:p w14:paraId="557A46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4541</w:t>
            </w:r>
          </w:p>
        </w:tc>
        <w:tc>
          <w:tcPr>
            <w:tcW w:w="1010" w:type="dxa"/>
          </w:tcPr>
          <w:p w14:paraId="4F01E75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4702</w:t>
            </w:r>
          </w:p>
        </w:tc>
        <w:tc>
          <w:tcPr>
            <w:tcW w:w="1010" w:type="dxa"/>
          </w:tcPr>
          <w:p w14:paraId="171504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103.5</w:t>
            </w:r>
          </w:p>
        </w:tc>
        <w:tc>
          <w:tcPr>
            <w:tcW w:w="1010" w:type="dxa"/>
          </w:tcPr>
          <w:p w14:paraId="1C679F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119.3</w:t>
            </w:r>
          </w:p>
        </w:tc>
        <w:tc>
          <w:tcPr>
            <w:tcW w:w="1214" w:type="dxa"/>
          </w:tcPr>
          <w:p w14:paraId="4E531B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4764</w:t>
            </w:r>
          </w:p>
        </w:tc>
        <w:tc>
          <w:tcPr>
            <w:tcW w:w="908" w:type="dxa"/>
          </w:tcPr>
          <w:p w14:paraId="653FC7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104.9</w:t>
            </w:r>
          </w:p>
        </w:tc>
        <w:tc>
          <w:tcPr>
            <w:tcW w:w="1345" w:type="dxa"/>
          </w:tcPr>
          <w:p w14:paraId="5AC37D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124.2</w:t>
            </w:r>
          </w:p>
        </w:tc>
      </w:tr>
      <w:tr w:rsidR="004D4663" w:rsidRPr="00070ADE" w14:paraId="16E2BD3C" w14:textId="77777777">
        <w:tc>
          <w:tcPr>
            <w:tcW w:w="1384" w:type="dxa"/>
          </w:tcPr>
          <w:p w14:paraId="7AAAC1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tc>
        <w:tc>
          <w:tcPr>
            <w:tcW w:w="1708" w:type="dxa"/>
          </w:tcPr>
          <w:p w14:paraId="03CEB0E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 АМ-38Ф</w:t>
            </w:r>
          </w:p>
        </w:tc>
        <w:tc>
          <w:tcPr>
            <w:tcW w:w="1010" w:type="dxa"/>
          </w:tcPr>
          <w:p w14:paraId="2B667B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2271</w:t>
            </w:r>
          </w:p>
        </w:tc>
        <w:tc>
          <w:tcPr>
            <w:tcW w:w="1010" w:type="dxa"/>
          </w:tcPr>
          <w:p w14:paraId="159C73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2234</w:t>
            </w:r>
          </w:p>
        </w:tc>
        <w:tc>
          <w:tcPr>
            <w:tcW w:w="1010" w:type="dxa"/>
          </w:tcPr>
          <w:p w14:paraId="2DFD6BD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98.4</w:t>
            </w:r>
          </w:p>
        </w:tc>
        <w:tc>
          <w:tcPr>
            <w:tcW w:w="1010" w:type="dxa"/>
          </w:tcPr>
          <w:p w14:paraId="6E1EBC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212.2</w:t>
            </w:r>
          </w:p>
        </w:tc>
        <w:tc>
          <w:tcPr>
            <w:tcW w:w="1214" w:type="dxa"/>
          </w:tcPr>
          <w:p w14:paraId="2C34FFF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2426</w:t>
            </w:r>
          </w:p>
        </w:tc>
        <w:tc>
          <w:tcPr>
            <w:tcW w:w="908" w:type="dxa"/>
          </w:tcPr>
          <w:p w14:paraId="084D43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106.8</w:t>
            </w:r>
          </w:p>
        </w:tc>
        <w:tc>
          <w:tcPr>
            <w:tcW w:w="1345" w:type="dxa"/>
          </w:tcPr>
          <w:p w14:paraId="171EE2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299.1</w:t>
            </w:r>
          </w:p>
        </w:tc>
      </w:tr>
      <w:tr w:rsidR="004D4663" w:rsidRPr="00070ADE" w14:paraId="5F5BA573" w14:textId="77777777">
        <w:tc>
          <w:tcPr>
            <w:tcW w:w="1384" w:type="dxa"/>
          </w:tcPr>
          <w:p w14:paraId="13825DA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1708" w:type="dxa"/>
          </w:tcPr>
          <w:p w14:paraId="0B4F5B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Бомбардировщики</w:t>
            </w:r>
          </w:p>
        </w:tc>
        <w:tc>
          <w:tcPr>
            <w:tcW w:w="1010" w:type="dxa"/>
          </w:tcPr>
          <w:p w14:paraId="7E6DB8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525BC8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261807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02E592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3C30E9E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8" w:type="dxa"/>
          </w:tcPr>
          <w:p w14:paraId="3B8AE4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5" w:type="dxa"/>
          </w:tcPr>
          <w:p w14:paraId="5A7BED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F05A738" w14:textId="77777777">
        <w:tc>
          <w:tcPr>
            <w:tcW w:w="1384" w:type="dxa"/>
          </w:tcPr>
          <w:p w14:paraId="59E725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w:t>
            </w:r>
          </w:p>
        </w:tc>
        <w:tc>
          <w:tcPr>
            <w:tcW w:w="1708" w:type="dxa"/>
          </w:tcPr>
          <w:p w14:paraId="139317E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 2М-105ПФ</w:t>
            </w:r>
          </w:p>
        </w:tc>
        <w:tc>
          <w:tcPr>
            <w:tcW w:w="1010" w:type="dxa"/>
          </w:tcPr>
          <w:p w14:paraId="0D0965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2371</w:t>
            </w:r>
          </w:p>
        </w:tc>
        <w:tc>
          <w:tcPr>
            <w:tcW w:w="1010" w:type="dxa"/>
          </w:tcPr>
          <w:p w14:paraId="3C9A90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2423</w:t>
            </w:r>
          </w:p>
        </w:tc>
        <w:tc>
          <w:tcPr>
            <w:tcW w:w="1010" w:type="dxa"/>
          </w:tcPr>
          <w:p w14:paraId="10940C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102.2</w:t>
            </w:r>
          </w:p>
        </w:tc>
        <w:tc>
          <w:tcPr>
            <w:tcW w:w="1010" w:type="dxa"/>
          </w:tcPr>
          <w:p w14:paraId="1AAA87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125.1</w:t>
            </w:r>
          </w:p>
        </w:tc>
        <w:tc>
          <w:tcPr>
            <w:tcW w:w="1214" w:type="dxa"/>
          </w:tcPr>
          <w:p w14:paraId="1B298D2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2450</w:t>
            </w:r>
          </w:p>
        </w:tc>
        <w:tc>
          <w:tcPr>
            <w:tcW w:w="908" w:type="dxa"/>
          </w:tcPr>
          <w:p w14:paraId="241919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103.3</w:t>
            </w:r>
          </w:p>
        </w:tc>
        <w:tc>
          <w:tcPr>
            <w:tcW w:w="1345" w:type="dxa"/>
          </w:tcPr>
          <w:p w14:paraId="71FE2CB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131</w:t>
            </w:r>
          </w:p>
        </w:tc>
      </w:tr>
      <w:tr w:rsidR="004D4663" w:rsidRPr="00070ADE" w14:paraId="50826E3B" w14:textId="77777777">
        <w:tc>
          <w:tcPr>
            <w:tcW w:w="1384" w:type="dxa"/>
          </w:tcPr>
          <w:p w14:paraId="56ECE13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8" w:type="dxa"/>
          </w:tcPr>
          <w:p w14:paraId="5889CF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М-82</w:t>
            </w:r>
          </w:p>
        </w:tc>
        <w:tc>
          <w:tcPr>
            <w:tcW w:w="1010" w:type="dxa"/>
          </w:tcPr>
          <w:p w14:paraId="39E87D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271E4C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505769F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4488A5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493F6D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8" w:type="dxa"/>
          </w:tcPr>
          <w:p w14:paraId="2157356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5" w:type="dxa"/>
          </w:tcPr>
          <w:p w14:paraId="29A8EC6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8BFD2EB" w14:textId="77777777">
        <w:tc>
          <w:tcPr>
            <w:tcW w:w="1384" w:type="dxa"/>
          </w:tcPr>
          <w:p w14:paraId="36CBB1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8" w:type="dxa"/>
          </w:tcPr>
          <w:p w14:paraId="3F63E8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Пе-8 4М-82</w:t>
            </w:r>
          </w:p>
        </w:tc>
        <w:tc>
          <w:tcPr>
            <w:tcW w:w="1010" w:type="dxa"/>
          </w:tcPr>
          <w:p w14:paraId="76DBD1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w:t>
            </w:r>
          </w:p>
        </w:tc>
        <w:tc>
          <w:tcPr>
            <w:tcW w:w="1010" w:type="dxa"/>
          </w:tcPr>
          <w:p w14:paraId="6A12CB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w:t>
            </w:r>
          </w:p>
        </w:tc>
        <w:tc>
          <w:tcPr>
            <w:tcW w:w="1010" w:type="dxa"/>
          </w:tcPr>
          <w:p w14:paraId="6E1773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90.6</w:t>
            </w:r>
          </w:p>
        </w:tc>
        <w:tc>
          <w:tcPr>
            <w:tcW w:w="1010" w:type="dxa"/>
          </w:tcPr>
          <w:p w14:paraId="14A4C4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131.8</w:t>
            </w:r>
          </w:p>
        </w:tc>
        <w:tc>
          <w:tcPr>
            <w:tcW w:w="1214" w:type="dxa"/>
          </w:tcPr>
          <w:p w14:paraId="100353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w:t>
            </w:r>
          </w:p>
        </w:tc>
        <w:tc>
          <w:tcPr>
            <w:tcW w:w="908" w:type="dxa"/>
          </w:tcPr>
          <w:p w14:paraId="6A9D1D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w:t>
            </w:r>
          </w:p>
        </w:tc>
        <w:tc>
          <w:tcPr>
            <w:tcW w:w="1345" w:type="dxa"/>
          </w:tcPr>
          <w:p w14:paraId="287EEFB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182.1</w:t>
            </w:r>
          </w:p>
        </w:tc>
      </w:tr>
      <w:tr w:rsidR="004D4663" w:rsidRPr="00070ADE" w14:paraId="747EDF40" w14:textId="77777777">
        <w:tc>
          <w:tcPr>
            <w:tcW w:w="1384" w:type="dxa"/>
          </w:tcPr>
          <w:p w14:paraId="620B50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708" w:type="dxa"/>
          </w:tcPr>
          <w:p w14:paraId="670D8B6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0DAAD0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2403</w:t>
            </w:r>
          </w:p>
        </w:tc>
        <w:tc>
          <w:tcPr>
            <w:tcW w:w="1010" w:type="dxa"/>
          </w:tcPr>
          <w:p w14:paraId="6D0BD5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2452</w:t>
            </w:r>
          </w:p>
        </w:tc>
        <w:tc>
          <w:tcPr>
            <w:tcW w:w="1010" w:type="dxa"/>
          </w:tcPr>
          <w:p w14:paraId="7A0FFD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w:t>
            </w:r>
          </w:p>
        </w:tc>
        <w:tc>
          <w:tcPr>
            <w:tcW w:w="1010" w:type="dxa"/>
          </w:tcPr>
          <w:p w14:paraId="52705FE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12572</w:t>
            </w:r>
          </w:p>
        </w:tc>
        <w:tc>
          <w:tcPr>
            <w:tcW w:w="1214" w:type="dxa"/>
          </w:tcPr>
          <w:p w14:paraId="3C1C99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2481</w:t>
            </w:r>
          </w:p>
        </w:tc>
        <w:tc>
          <w:tcPr>
            <w:tcW w:w="908" w:type="dxa"/>
          </w:tcPr>
          <w:p w14:paraId="303DA3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103.2</w:t>
            </w:r>
          </w:p>
        </w:tc>
        <w:tc>
          <w:tcPr>
            <w:tcW w:w="1345" w:type="dxa"/>
          </w:tcPr>
          <w:p w14:paraId="47C891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131.5</w:t>
            </w:r>
          </w:p>
        </w:tc>
      </w:tr>
      <w:tr w:rsidR="004D4663" w:rsidRPr="00070ADE" w14:paraId="23701AD2" w14:textId="77777777">
        <w:tc>
          <w:tcPr>
            <w:tcW w:w="1384" w:type="dxa"/>
          </w:tcPr>
          <w:p w14:paraId="42479B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w:t>
            </w:r>
          </w:p>
        </w:tc>
        <w:tc>
          <w:tcPr>
            <w:tcW w:w="1708" w:type="dxa"/>
          </w:tcPr>
          <w:p w14:paraId="501FA4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Ил-4 2М-88Б</w:t>
            </w:r>
          </w:p>
        </w:tc>
        <w:tc>
          <w:tcPr>
            <w:tcW w:w="1010" w:type="dxa"/>
          </w:tcPr>
          <w:p w14:paraId="68F04C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240</w:t>
            </w:r>
          </w:p>
        </w:tc>
        <w:tc>
          <w:tcPr>
            <w:tcW w:w="1010" w:type="dxa"/>
          </w:tcPr>
          <w:p w14:paraId="65B40C3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257</w:t>
            </w:r>
          </w:p>
        </w:tc>
        <w:tc>
          <w:tcPr>
            <w:tcW w:w="1010" w:type="dxa"/>
          </w:tcPr>
          <w:p w14:paraId="47447C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w:t>
            </w:r>
          </w:p>
        </w:tc>
        <w:tc>
          <w:tcPr>
            <w:tcW w:w="1010" w:type="dxa"/>
          </w:tcPr>
          <w:p w14:paraId="29571C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233.6</w:t>
            </w:r>
          </w:p>
        </w:tc>
        <w:tc>
          <w:tcPr>
            <w:tcW w:w="1214" w:type="dxa"/>
          </w:tcPr>
          <w:p w14:paraId="0DF2A2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264</w:t>
            </w:r>
          </w:p>
        </w:tc>
        <w:tc>
          <w:tcPr>
            <w:tcW w:w="908" w:type="dxa"/>
          </w:tcPr>
          <w:p w14:paraId="304A80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w:t>
            </w:r>
          </w:p>
        </w:tc>
        <w:tc>
          <w:tcPr>
            <w:tcW w:w="1345" w:type="dxa"/>
          </w:tcPr>
          <w:p w14:paraId="352339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261.4</w:t>
            </w:r>
          </w:p>
        </w:tc>
      </w:tr>
      <w:tr w:rsidR="004D4663" w:rsidRPr="00070ADE" w14:paraId="3F6BADF4" w14:textId="77777777">
        <w:tc>
          <w:tcPr>
            <w:tcW w:w="1384" w:type="dxa"/>
          </w:tcPr>
          <w:p w14:paraId="1EC1B8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8" w:type="dxa"/>
          </w:tcPr>
          <w:p w14:paraId="08E1AAE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Ту-2 2М-82ФН</w:t>
            </w:r>
          </w:p>
        </w:tc>
        <w:tc>
          <w:tcPr>
            <w:tcW w:w="1010" w:type="dxa"/>
          </w:tcPr>
          <w:p w14:paraId="546746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w:t>
            </w:r>
          </w:p>
        </w:tc>
        <w:tc>
          <w:tcPr>
            <w:tcW w:w="1010" w:type="dxa"/>
          </w:tcPr>
          <w:p w14:paraId="18F82A0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tc>
        <w:tc>
          <w:tcPr>
            <w:tcW w:w="1010" w:type="dxa"/>
          </w:tcPr>
          <w:p w14:paraId="03715A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1010" w:type="dxa"/>
          </w:tcPr>
          <w:p w14:paraId="2EAFD2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14" w:type="dxa"/>
          </w:tcPr>
          <w:p w14:paraId="2A2B28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908" w:type="dxa"/>
          </w:tcPr>
          <w:p w14:paraId="54BBCD9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9.4</w:t>
            </w:r>
          </w:p>
        </w:tc>
        <w:tc>
          <w:tcPr>
            <w:tcW w:w="1345" w:type="dxa"/>
          </w:tcPr>
          <w:p w14:paraId="43CA35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A800F1A" w14:textId="77777777">
        <w:tc>
          <w:tcPr>
            <w:tcW w:w="1384" w:type="dxa"/>
          </w:tcPr>
          <w:p w14:paraId="20FD41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708" w:type="dxa"/>
          </w:tcPr>
          <w:p w14:paraId="2EC4FA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55D82C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w:t>
            </w:r>
          </w:p>
        </w:tc>
        <w:tc>
          <w:tcPr>
            <w:tcW w:w="1010" w:type="dxa"/>
          </w:tcPr>
          <w:p w14:paraId="612C2F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273</w:t>
            </w:r>
          </w:p>
        </w:tc>
        <w:tc>
          <w:tcPr>
            <w:tcW w:w="1010" w:type="dxa"/>
          </w:tcPr>
          <w:p w14:paraId="77282C2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100.4</w:t>
            </w:r>
          </w:p>
        </w:tc>
        <w:tc>
          <w:tcPr>
            <w:tcW w:w="1010" w:type="dxa"/>
          </w:tcPr>
          <w:p w14:paraId="5B32B36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248.2</w:t>
            </w:r>
          </w:p>
        </w:tc>
        <w:tc>
          <w:tcPr>
            <w:tcW w:w="1214" w:type="dxa"/>
          </w:tcPr>
          <w:p w14:paraId="43194B2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267</w:t>
            </w:r>
          </w:p>
        </w:tc>
        <w:tc>
          <w:tcPr>
            <w:tcW w:w="908" w:type="dxa"/>
          </w:tcPr>
          <w:p w14:paraId="3C654E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98.2</w:t>
            </w:r>
          </w:p>
        </w:tc>
        <w:tc>
          <w:tcPr>
            <w:tcW w:w="1345" w:type="dxa"/>
          </w:tcPr>
          <w:p w14:paraId="157F2A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242.7</w:t>
            </w:r>
          </w:p>
        </w:tc>
      </w:tr>
      <w:tr w:rsidR="004D4663" w:rsidRPr="00070ADE" w14:paraId="5B32F343" w14:textId="77777777">
        <w:tc>
          <w:tcPr>
            <w:tcW w:w="1384" w:type="dxa"/>
          </w:tcPr>
          <w:p w14:paraId="2DD02D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w:t>
            </w:r>
          </w:p>
        </w:tc>
        <w:tc>
          <w:tcPr>
            <w:tcW w:w="1708" w:type="dxa"/>
          </w:tcPr>
          <w:p w14:paraId="266DF4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Ил-4 2М-88Б</w:t>
            </w:r>
          </w:p>
        </w:tc>
        <w:tc>
          <w:tcPr>
            <w:tcW w:w="1010" w:type="dxa"/>
          </w:tcPr>
          <w:p w14:paraId="6348743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667</w:t>
            </w:r>
          </w:p>
        </w:tc>
        <w:tc>
          <w:tcPr>
            <w:tcW w:w="1010" w:type="dxa"/>
          </w:tcPr>
          <w:p w14:paraId="6D9E32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698</w:t>
            </w:r>
          </w:p>
        </w:tc>
        <w:tc>
          <w:tcPr>
            <w:tcW w:w="1010" w:type="dxa"/>
          </w:tcPr>
          <w:p w14:paraId="68F2E3A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104.6</w:t>
            </w:r>
          </w:p>
        </w:tc>
        <w:tc>
          <w:tcPr>
            <w:tcW w:w="1010" w:type="dxa"/>
          </w:tcPr>
          <w:p w14:paraId="491564A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14" w:type="dxa"/>
          </w:tcPr>
          <w:p w14:paraId="54C317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697</w:t>
            </w:r>
          </w:p>
        </w:tc>
        <w:tc>
          <w:tcPr>
            <w:tcW w:w="908" w:type="dxa"/>
          </w:tcPr>
          <w:p w14:paraId="5B6403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104.5</w:t>
            </w:r>
          </w:p>
        </w:tc>
        <w:tc>
          <w:tcPr>
            <w:tcW w:w="1345" w:type="dxa"/>
          </w:tcPr>
          <w:p w14:paraId="26DBD9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15CD189" w14:textId="77777777">
        <w:tc>
          <w:tcPr>
            <w:tcW w:w="1384" w:type="dxa"/>
          </w:tcPr>
          <w:p w14:paraId="4CAB384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8" w:type="dxa"/>
          </w:tcPr>
          <w:p w14:paraId="5F9B5E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 2М-105Р</w:t>
            </w:r>
          </w:p>
        </w:tc>
        <w:tc>
          <w:tcPr>
            <w:tcW w:w="1010" w:type="dxa"/>
          </w:tcPr>
          <w:p w14:paraId="668ECC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010" w:type="dxa"/>
          </w:tcPr>
          <w:p w14:paraId="0F55D6F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w:t>
            </w:r>
          </w:p>
        </w:tc>
        <w:tc>
          <w:tcPr>
            <w:tcW w:w="1010" w:type="dxa"/>
          </w:tcPr>
          <w:p w14:paraId="6B254A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010" w:type="dxa"/>
          </w:tcPr>
          <w:p w14:paraId="10B473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14" w:type="dxa"/>
          </w:tcPr>
          <w:p w14:paraId="75B4FA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w:t>
            </w:r>
          </w:p>
        </w:tc>
        <w:tc>
          <w:tcPr>
            <w:tcW w:w="908" w:type="dxa"/>
          </w:tcPr>
          <w:p w14:paraId="3B07FF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345" w:type="dxa"/>
          </w:tcPr>
          <w:p w14:paraId="3CE53C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5C16F10" w14:textId="77777777">
        <w:tc>
          <w:tcPr>
            <w:tcW w:w="1384" w:type="dxa"/>
          </w:tcPr>
          <w:p w14:paraId="20DF5A2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8" w:type="dxa"/>
          </w:tcPr>
          <w:p w14:paraId="339234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Пе-3бис</w:t>
            </w:r>
          </w:p>
        </w:tc>
        <w:tc>
          <w:tcPr>
            <w:tcW w:w="1010" w:type="dxa"/>
          </w:tcPr>
          <w:p w14:paraId="0AF2248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066FE3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0D85CE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615E8B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03080D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8" w:type="dxa"/>
          </w:tcPr>
          <w:p w14:paraId="66F1CA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5" w:type="dxa"/>
          </w:tcPr>
          <w:p w14:paraId="64ED11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2322D1E" w14:textId="77777777">
        <w:tc>
          <w:tcPr>
            <w:tcW w:w="1384" w:type="dxa"/>
          </w:tcPr>
          <w:p w14:paraId="18CEA0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8" w:type="dxa"/>
          </w:tcPr>
          <w:p w14:paraId="49DF6B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Ер-2 2М-30Б</w:t>
            </w:r>
          </w:p>
        </w:tc>
        <w:tc>
          <w:tcPr>
            <w:tcW w:w="1010" w:type="dxa"/>
          </w:tcPr>
          <w:p w14:paraId="1B25C7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1010" w:type="dxa"/>
          </w:tcPr>
          <w:p w14:paraId="135678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1010" w:type="dxa"/>
          </w:tcPr>
          <w:p w14:paraId="776A71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1010" w:type="dxa"/>
          </w:tcPr>
          <w:p w14:paraId="4990D4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14" w:type="dxa"/>
          </w:tcPr>
          <w:p w14:paraId="5438EC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908" w:type="dxa"/>
          </w:tcPr>
          <w:p w14:paraId="26C6078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345" w:type="dxa"/>
          </w:tcPr>
          <w:p w14:paraId="161B59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F0000C4" w14:textId="77777777">
        <w:tc>
          <w:tcPr>
            <w:tcW w:w="1384" w:type="dxa"/>
          </w:tcPr>
          <w:p w14:paraId="49F9A2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708" w:type="dxa"/>
          </w:tcPr>
          <w:p w14:paraId="08E58B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6919E9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669</w:t>
            </w:r>
          </w:p>
        </w:tc>
        <w:tc>
          <w:tcPr>
            <w:tcW w:w="1010" w:type="dxa"/>
          </w:tcPr>
          <w:p w14:paraId="2211B3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718</w:t>
            </w:r>
          </w:p>
        </w:tc>
        <w:tc>
          <w:tcPr>
            <w:tcW w:w="1010" w:type="dxa"/>
          </w:tcPr>
          <w:p w14:paraId="1C2933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107.3</w:t>
            </w:r>
          </w:p>
        </w:tc>
        <w:tc>
          <w:tcPr>
            <w:tcW w:w="1010" w:type="dxa"/>
          </w:tcPr>
          <w:p w14:paraId="739E07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112.2</w:t>
            </w:r>
          </w:p>
        </w:tc>
        <w:tc>
          <w:tcPr>
            <w:tcW w:w="1214" w:type="dxa"/>
          </w:tcPr>
          <w:p w14:paraId="1099D4D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729</w:t>
            </w:r>
          </w:p>
        </w:tc>
        <w:tc>
          <w:tcPr>
            <w:tcW w:w="908" w:type="dxa"/>
          </w:tcPr>
          <w:p w14:paraId="7885FC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109.2</w:t>
            </w:r>
          </w:p>
        </w:tc>
        <w:tc>
          <w:tcPr>
            <w:tcW w:w="1345" w:type="dxa"/>
          </w:tcPr>
          <w:p w14:paraId="472F5C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118.2</w:t>
            </w:r>
          </w:p>
        </w:tc>
      </w:tr>
      <w:tr w:rsidR="004D4663" w:rsidRPr="00070ADE" w14:paraId="03F429E4" w14:textId="77777777">
        <w:tc>
          <w:tcPr>
            <w:tcW w:w="1384" w:type="dxa"/>
          </w:tcPr>
          <w:p w14:paraId="3E2A5F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w:t>
            </w:r>
          </w:p>
        </w:tc>
        <w:tc>
          <w:tcPr>
            <w:tcW w:w="1708" w:type="dxa"/>
          </w:tcPr>
          <w:p w14:paraId="7A980A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Ил-4 2М-88Б</w:t>
            </w:r>
          </w:p>
        </w:tc>
        <w:tc>
          <w:tcPr>
            <w:tcW w:w="1010" w:type="dxa"/>
          </w:tcPr>
          <w:p w14:paraId="35E0936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604</w:t>
            </w:r>
          </w:p>
        </w:tc>
        <w:tc>
          <w:tcPr>
            <w:tcW w:w="1010" w:type="dxa"/>
          </w:tcPr>
          <w:p w14:paraId="0382DC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613</w:t>
            </w:r>
          </w:p>
        </w:tc>
        <w:tc>
          <w:tcPr>
            <w:tcW w:w="1010" w:type="dxa"/>
          </w:tcPr>
          <w:p w14:paraId="4E4C936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101.5</w:t>
            </w:r>
          </w:p>
        </w:tc>
        <w:tc>
          <w:tcPr>
            <w:tcW w:w="1010" w:type="dxa"/>
          </w:tcPr>
          <w:p w14:paraId="6ABEE7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88.2</w:t>
            </w:r>
          </w:p>
        </w:tc>
        <w:tc>
          <w:tcPr>
            <w:tcW w:w="1214" w:type="dxa"/>
          </w:tcPr>
          <w:p w14:paraId="38D33F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658</w:t>
            </w:r>
          </w:p>
        </w:tc>
        <w:tc>
          <w:tcPr>
            <w:tcW w:w="908" w:type="dxa"/>
          </w:tcPr>
          <w:p w14:paraId="1B369B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108.9</w:t>
            </w:r>
          </w:p>
        </w:tc>
        <w:tc>
          <w:tcPr>
            <w:tcW w:w="1345" w:type="dxa"/>
          </w:tcPr>
          <w:p w14:paraId="18E77EB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102.8</w:t>
            </w:r>
          </w:p>
        </w:tc>
      </w:tr>
      <w:tr w:rsidR="004D4663" w:rsidRPr="00070ADE" w14:paraId="7C120A93" w14:textId="77777777">
        <w:tc>
          <w:tcPr>
            <w:tcW w:w="1384" w:type="dxa"/>
          </w:tcPr>
          <w:p w14:paraId="48F7BE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Транспортные и прочие</w:t>
            </w:r>
          </w:p>
        </w:tc>
        <w:tc>
          <w:tcPr>
            <w:tcW w:w="1708" w:type="dxa"/>
          </w:tcPr>
          <w:p w14:paraId="634BC1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6C51C47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17E9FE8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06D6C5B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786C69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72129A6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8" w:type="dxa"/>
          </w:tcPr>
          <w:p w14:paraId="4EBA533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5" w:type="dxa"/>
          </w:tcPr>
          <w:p w14:paraId="5D17FB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D8C75BF" w14:textId="77777777">
        <w:tc>
          <w:tcPr>
            <w:tcW w:w="1384" w:type="dxa"/>
          </w:tcPr>
          <w:p w14:paraId="5B2C9E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84</w:t>
            </w:r>
          </w:p>
        </w:tc>
        <w:tc>
          <w:tcPr>
            <w:tcW w:w="1708" w:type="dxa"/>
          </w:tcPr>
          <w:p w14:paraId="59CFC3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Ли-2 2М-62ИР</w:t>
            </w:r>
          </w:p>
        </w:tc>
        <w:tc>
          <w:tcPr>
            <w:tcW w:w="1010" w:type="dxa"/>
          </w:tcPr>
          <w:p w14:paraId="129CA2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584</w:t>
            </w:r>
          </w:p>
        </w:tc>
        <w:tc>
          <w:tcPr>
            <w:tcW w:w="1010" w:type="dxa"/>
          </w:tcPr>
          <w:p w14:paraId="1E0F4FE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618</w:t>
            </w:r>
          </w:p>
        </w:tc>
        <w:tc>
          <w:tcPr>
            <w:tcW w:w="1010" w:type="dxa"/>
          </w:tcPr>
          <w:p w14:paraId="4C799F9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105.8</w:t>
            </w:r>
          </w:p>
        </w:tc>
        <w:tc>
          <w:tcPr>
            <w:tcW w:w="1010" w:type="dxa"/>
          </w:tcPr>
          <w:p w14:paraId="70EB7C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146.1</w:t>
            </w:r>
          </w:p>
        </w:tc>
        <w:tc>
          <w:tcPr>
            <w:tcW w:w="1214" w:type="dxa"/>
          </w:tcPr>
          <w:p w14:paraId="151534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641</w:t>
            </w:r>
          </w:p>
        </w:tc>
        <w:tc>
          <w:tcPr>
            <w:tcW w:w="908" w:type="dxa"/>
          </w:tcPr>
          <w:p w14:paraId="69950D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109.8</w:t>
            </w:r>
          </w:p>
        </w:tc>
        <w:tc>
          <w:tcPr>
            <w:tcW w:w="1345" w:type="dxa"/>
          </w:tcPr>
          <w:p w14:paraId="1633D5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166.1</w:t>
            </w:r>
          </w:p>
        </w:tc>
      </w:tr>
      <w:tr w:rsidR="004D4663" w:rsidRPr="00070ADE" w14:paraId="2997B3F2" w14:textId="77777777">
        <w:tc>
          <w:tcPr>
            <w:tcW w:w="1384" w:type="dxa"/>
          </w:tcPr>
          <w:p w14:paraId="708E05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477</w:t>
            </w:r>
          </w:p>
        </w:tc>
        <w:tc>
          <w:tcPr>
            <w:tcW w:w="1708" w:type="dxa"/>
          </w:tcPr>
          <w:p w14:paraId="1388A0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Бе-4 М-62</w:t>
            </w:r>
          </w:p>
        </w:tc>
        <w:tc>
          <w:tcPr>
            <w:tcW w:w="1010" w:type="dxa"/>
          </w:tcPr>
          <w:p w14:paraId="7B7FC7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010" w:type="dxa"/>
          </w:tcPr>
          <w:p w14:paraId="700E7E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1010" w:type="dxa"/>
          </w:tcPr>
          <w:p w14:paraId="77156D0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010" w:type="dxa"/>
          </w:tcPr>
          <w:p w14:paraId="0C044D0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14" w:type="dxa"/>
          </w:tcPr>
          <w:p w14:paraId="1C0BFB4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908" w:type="dxa"/>
          </w:tcPr>
          <w:p w14:paraId="12B2D4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345" w:type="dxa"/>
          </w:tcPr>
          <w:p w14:paraId="71822A2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2E79557" w14:textId="77777777">
        <w:tc>
          <w:tcPr>
            <w:tcW w:w="1384" w:type="dxa"/>
          </w:tcPr>
          <w:p w14:paraId="3BDF10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Бронедетали</w:t>
            </w:r>
          </w:p>
        </w:tc>
        <w:tc>
          <w:tcPr>
            <w:tcW w:w="1708" w:type="dxa"/>
          </w:tcPr>
          <w:p w14:paraId="779AF3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0E8CB2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46A005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040FBD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6AEE22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4CA596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8" w:type="dxa"/>
          </w:tcPr>
          <w:p w14:paraId="078C44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5" w:type="dxa"/>
          </w:tcPr>
          <w:p w14:paraId="2B1BC1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6EF8381" w14:textId="77777777">
        <w:tc>
          <w:tcPr>
            <w:tcW w:w="1384" w:type="dxa"/>
          </w:tcPr>
          <w:p w14:paraId="695914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w:t>
            </w:r>
          </w:p>
        </w:tc>
        <w:tc>
          <w:tcPr>
            <w:tcW w:w="1708" w:type="dxa"/>
          </w:tcPr>
          <w:p w14:paraId="197C1F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Бронекорп. Ил-2</w:t>
            </w:r>
          </w:p>
        </w:tc>
        <w:tc>
          <w:tcPr>
            <w:tcW w:w="1010" w:type="dxa"/>
          </w:tcPr>
          <w:p w14:paraId="49BEF6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3E095D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3050</w:t>
            </w:r>
          </w:p>
        </w:tc>
        <w:tc>
          <w:tcPr>
            <w:tcW w:w="1010" w:type="dxa"/>
          </w:tcPr>
          <w:p w14:paraId="08615C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1A3381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44F1F8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3195</w:t>
            </w:r>
          </w:p>
        </w:tc>
        <w:tc>
          <w:tcPr>
            <w:tcW w:w="908" w:type="dxa"/>
          </w:tcPr>
          <w:p w14:paraId="11E64D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5" w:type="dxa"/>
          </w:tcPr>
          <w:p w14:paraId="4B278A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D2663D9" w14:textId="77777777">
        <w:tc>
          <w:tcPr>
            <w:tcW w:w="1384" w:type="dxa"/>
          </w:tcPr>
          <w:p w14:paraId="6D94C5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207</w:t>
            </w:r>
          </w:p>
        </w:tc>
        <w:tc>
          <w:tcPr>
            <w:tcW w:w="1708" w:type="dxa"/>
          </w:tcPr>
          <w:p w14:paraId="7F79FB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Бронекорп. Ил-2</w:t>
            </w:r>
          </w:p>
        </w:tc>
        <w:tc>
          <w:tcPr>
            <w:tcW w:w="1010" w:type="dxa"/>
          </w:tcPr>
          <w:p w14:paraId="05B8E8F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21CD88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6650</w:t>
            </w:r>
          </w:p>
        </w:tc>
        <w:tc>
          <w:tcPr>
            <w:tcW w:w="1010" w:type="dxa"/>
          </w:tcPr>
          <w:p w14:paraId="6500F28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0" w:type="dxa"/>
          </w:tcPr>
          <w:p w14:paraId="7064AF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61ABFE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7058</w:t>
            </w:r>
          </w:p>
        </w:tc>
        <w:tc>
          <w:tcPr>
            <w:tcW w:w="908" w:type="dxa"/>
          </w:tcPr>
          <w:p w14:paraId="1E5D12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5" w:type="dxa"/>
          </w:tcPr>
          <w:p w14:paraId="73966E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74D17BE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самолету ил-2 в течение 1943 были произведены следующие работы:</w:t>
      </w:r>
    </w:p>
    <w:p w14:paraId="238A77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Освоена в производстве модифицированная машина в варианте корректировщика (заводы 1 и 30) и учебном варианте с двойным управлением 9завод 18).</w:t>
      </w:r>
    </w:p>
    <w:p w14:paraId="120EA1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Осуществлекн переход на ВЯ и 11-П, вместо ШВАК (заводы 1 и 30).</w:t>
      </w:r>
    </w:p>
    <w:p w14:paraId="564759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Увеличена дальность полета за счет подвески доп. бака (заводы 1, 18, 30).</w:t>
      </w:r>
    </w:p>
    <w:p w14:paraId="0A333C6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Освоена установка контрбалансиров в системе управления РВ (заводы 1, 18, 30).</w:t>
      </w:r>
    </w:p>
    <w:p w14:paraId="6AA1071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на заводах был проведен ряд опытных работ с подготовкой к запуску в серию с 1944:</w:t>
      </w:r>
    </w:p>
    <w:p w14:paraId="3E9A0F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Отработана и подготовлена к запуску в серию в 1944 Ил-2 с АМ-42 с улучшенной аэродинамикой (завод 18).</w:t>
      </w:r>
    </w:p>
    <w:p w14:paraId="3741CA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Отработана и подготовлена к запуску в серию в 1944 Ил-2 с металлическим крылом стрельчатой конструкции, взамен деревянного.</w:t>
      </w:r>
    </w:p>
    <w:p w14:paraId="71FCFF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Отработана на 100 машинах система холодного запуска для войсковых испытаний и проведена подготовка к запуску в серию, в случае положительных результатов испытания (заводы 1, 18 и 30).</w:t>
      </w:r>
    </w:p>
    <w:p w14:paraId="11E536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Подготовлен переход в 1944 на фибровые баки (завод 18).</w:t>
      </w:r>
    </w:p>
    <w:p w14:paraId="2175B5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самолету Ил-4</w:t>
      </w:r>
    </w:p>
    <w:p w14:paraId="3BD19E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Отработаны и внедрены в серийное производство пламягасители ГАМ-9.</w:t>
      </w:r>
    </w:p>
    <w:p w14:paraId="73B073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Отработаны и внедрены в серийное производство пылефильтры</w:t>
      </w:r>
    </w:p>
    <w:p w14:paraId="533DCB8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Отработана и внедрена в производство машина со стрельчатым крылом и наружной компенсацией РВ</w:t>
      </w:r>
    </w:p>
    <w:p w14:paraId="04B69EC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Отработан и внедрен в производство пружинный компенсатор для уменьшения трения в органах управления.</w:t>
      </w:r>
    </w:p>
    <w:p w14:paraId="6CF6788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Проведен ряд лдругих работ по усилению отдельных агрегатов и повышению качества самолета (усиление крыла, фюзеляжа, УФО, металлизация и др.) (2522).</w:t>
      </w:r>
    </w:p>
    <w:p w14:paraId="467BE33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C9542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началу 1944 г. многие недостатки Ил-4 уже были в значительной мере устранены и, хотя самолет к этому времени устарел, замены ему пока не было. В АДД эти машины по численности значительно превосходили В-25 и Ли-2 (последними, переоборудованными в бомбардировщики, был вооружен целый авиакорпус!) (7666).</w:t>
      </w:r>
    </w:p>
    <w:p w14:paraId="5BAF4B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E93DC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проект "Т" несколько раз корректировался и на первом этапе был одобрен в Наркомате авиапромышленности. Еще до принятия окончательного решения по самолету на авиазаводе в Казани начиная с декабря 1943 г. велась его конструктивная проработка и подготовка оснастки для изготовления. Однако, при дальнейшем обсуждении проекта в высшем руководстве решили, что новая модификация потребует значительной перестройки производства и от реализации самолета "Т" отказались. Это решение совпало с постановлением Государственного Комитета Обороны от 5 марта 1944 г. о прекращении выпуска Пе-8 на заводе №22.</w:t>
      </w:r>
    </w:p>
    <w:p w14:paraId="04F34BC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Еше одной причиной отказа от создания коренной модификации Пе-8, стало решение в середине 1943 г. строить значительно более мощный четырехмоторный бомбардировщик. 7 сентября 1943 г. КБ, возглавляемое А.Н.Туполевым, получило задание на разработку эскизного проекта 4-х моторного высотного бомбардировщика, способного транспортировать внутри бомбоотсека две 5-тонные бомбы. С двигателями М-71 этот самолет должен был развивать на высоте 10 км максимальную скорость 500 км/ч и обладать дальностью полета не менее 5000 км. Новый бомбардировщик создавался под обозначением "самолет 64" ("64"), его взлетный вес превышал вес Пе-8 более чем в два раза. Проект "64" разрабатывался до середины 1945 г. Затем высшее руководство решило задачу упростить и скопировать американский Б-29. Так появился стратегический бомбардировщик Ту-4 (12025).</w:t>
      </w:r>
    </w:p>
    <w:p w14:paraId="04AF583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8BDC236"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началу 1944 года были выполнены первые проработки по теме модифицированного тяжелого дальнего бомбардировщика Пе-8 с увеличенной бомбовой нагрузкой, с двигателями АШ-82ФН ТК-3. По самолету был подготовлен эскизный проект. По сравнению с серийным Пе-8 проект предусматривал следующие изменения:</w:t>
      </w:r>
    </w:p>
    <w:p w14:paraId="22D094D2"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Новую компоновку передней части фюзеляжа с целью расположения обоих летчиков рядом, с одновременным выносом их кабины вперед для улучшения обзора в стороны. Этим создавались лучшие условия для совместной работы летчиков, значительно упрощались монтаж управления самолетом и моторами, сокращалось количество приборов и некоторого оборудования. В связи с выносом летчиков вперед, изменялась также кабина штурманов. Сокращалась ее длина, штурманы были приближены к носу самолета, что значительно улучшило обзор. В носу фюзеляжа был установлен крупнокалиберный пулемет 12,7 мм на шаровой опоре, с конусом обстрела в 60 градусов, обслуживаемый помощником штурмана.</w:t>
      </w:r>
    </w:p>
    <w:p w14:paraId="36E9F1DD"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2.Увеличение длины бомбового отсека до размеров, обеспечивающих размещение: 1 бомбы ФАБ-5000, 2 бомб ФАБ-2000, 6 бомб ФАБ-1000, 9 бомб ФАБ-500, 16 бомб ФАБ-250, 32 бомб ФАБ-100. Увеличение емкости бомбового отсека достигалось за счет удлинения его вперед и в сторону хвостовой части фюзеляжа, с добавлением соответствующего количества балок с бомбодержателями. В связи с этим изменялось место радиста, его разместили позади первого пилота, рядом с бортмехаником.</w:t>
      </w:r>
    </w:p>
    <w:p w14:paraId="47F08041"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3.Улучшение аэродинамики самолета за счет:</w:t>
      </w:r>
    </w:p>
    <w:p w14:paraId="707516B3"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уменьшения миделя фюзеляжа;</w:t>
      </w:r>
    </w:p>
    <w:p w14:paraId="56F4D01B"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уменьшения миделя туннелей во-дорадиаторов и обтекателей шасси,</w:t>
      </w:r>
    </w:p>
    <w:p w14:paraId="08E0780D"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полного убирания шасси и хвостового колеса;</w:t>
      </w:r>
    </w:p>
    <w:p w14:paraId="266A2ED7"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понижения уровня спинной турели;</w:t>
      </w:r>
    </w:p>
    <w:p w14:paraId="5293B6B6"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потайной клепки по всему планеру самолета;</w:t>
      </w:r>
    </w:p>
    <w:p w14:paraId="07D53E56"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е) герметизации планера (не путать с герметическим фюзеляжем).</w:t>
      </w:r>
    </w:p>
    <w:p w14:paraId="1AC51108"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4.Увеличение прочности лонжеронов центроплана, консолей крыла, фюзеляжа и шасси из расчета полетной массы 37500 кг, что позволяло перевозить вдвое большое количество бомб по сравнению с Пе-8 (4000 кг на 5000 км).</w:t>
      </w:r>
    </w:p>
    <w:p w14:paraId="152B24B2"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проектировании ОКБ закладывалось на использование двух типов двигателей: бензиновых с непосредственным впрыском типа АШ-82ФН с турбокомпрессором ТК-3 или дизельных двигателей М-31 (проект дальнейшего развития М-30). С этими двигателями модифицированный Пе-8 должен был обладать следующими летно-тактическими данными при полетной массе 30000 кг:</w:t>
      </w:r>
    </w:p>
    <w:p w14:paraId="332B6A66"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двигателями М-31 при полетной массе 37500 кг с 1000 кг бомб, при запасе топлива 11800 кг дальность самолета равнялась 7500 кг; с 8000 кг бомб и запасом топлива 4800 кг -2700 км. С двигателями АШ-82ФН с ТК-3 дальность при тех же бомбовых нагрузках и запасами топлива 11000 кг при полетной массе 33500 кг и 8000 кг при полетной массе 37500 кг равнялась соответственно 5300 км и 3150 км.</w:t>
      </w:r>
    </w:p>
    <w:p w14:paraId="239DAB90"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составу и размещению оборонительное пулеметно-пушечное вооружение самолета соответствовало Пе-8 4М-82.</w:t>
      </w:r>
    </w:p>
    <w:p w14:paraId="72CB8B5A"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Проведенная модернизация, по сравнению с серийным Пе-8 4М-82 выпуска 1943 года, давала следующие преимущества:</w:t>
      </w:r>
    </w:p>
    <w:p w14:paraId="05ADE5F3"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При равной бомбовой нагрузке один модифицированный Пе-8 мог заменять два серийных.</w:t>
      </w:r>
    </w:p>
    <w:p w14:paraId="7B5B3E44"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-Размещение основной части бомб внутри фюзеляжа, а также другие улучшения аэродинамики снизили километровые расходы топлива на 10%.</w:t>
      </w:r>
    </w:p>
    <w:p w14:paraId="7670B03C"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Увеличение максимальной скорости на 13% дает возможность самолету решать ряд новых тактических задач.</w:t>
      </w:r>
    </w:p>
    <w:p w14:paraId="5C25DF9D"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Расположение основного экипажа впереди двигателей, помимо улучшения обзора, намного улучшало условия его работы в полете (7685).</w:t>
      </w:r>
    </w:p>
    <w:p w14:paraId="34006094"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85DFBE"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на 39 сделали головной серийный Ер-2 N 7013901 - сильно отличался - перекомпоновали кабины пилота и ш и увеличили рахмах центроплана на 290 мм. Двигатели вынесли вперед на 145 мм и изменили формы мотогондол. Колеса - 1350х485 и костыль 700х300. Носовая установка Тороповы НУ-134 с магазинным питанием (5х39 патронов), наверху ТУМ-5 под ШВАК вместо ТУМ-2 под УБ. Увеличили бомболюк (2391,11).</w:t>
      </w:r>
    </w:p>
    <w:p w14:paraId="63E5248F"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B8660D"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ли Гаврилов в Москве поднял в воздух НБ Н.Н.П. После смерти Н.Н.П. машину уничтожили (2863,134).</w:t>
      </w:r>
    </w:p>
    <w:p w14:paraId="052FF457"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D6B80"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начала 1944 Ту-2С с 2АШ-82ФН стал поступать в части (4,180).</w:t>
      </w:r>
    </w:p>
    <w:p w14:paraId="4CD1C253" w14:textId="77777777" w:rsidR="002A09DF" w:rsidRPr="00070ADE" w:rsidRDefault="002A09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18C62B" w14:textId="77777777" w:rsidR="002A09DF" w:rsidRPr="00070ADE" w:rsidRDefault="002A09DF"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1944-го достроили второй экземп</w:t>
      </w:r>
      <w:r w:rsidRPr="00070ADE">
        <w:rPr>
          <w:rFonts w:ascii="Times New Roman" w:hAnsi="Times New Roman"/>
          <w:color w:val="000000" w:themeColor="text1"/>
          <w:sz w:val="16"/>
          <w:szCs w:val="16"/>
        </w:rPr>
        <w:softHyphen/>
        <w:t>ляр машины ДВБ-102, который ориентировали под двига</w:t>
      </w:r>
      <w:r w:rsidRPr="00070ADE">
        <w:rPr>
          <w:rFonts w:ascii="Times New Roman" w:hAnsi="Times New Roman"/>
          <w:color w:val="000000" w:themeColor="text1"/>
          <w:sz w:val="16"/>
          <w:szCs w:val="16"/>
        </w:rPr>
        <w:softHyphen/>
        <w:t>тели АШ-72. Между тем, именно в этот период активизировались работы по созданию четырех</w:t>
      </w:r>
      <w:r w:rsidRPr="00070ADE">
        <w:rPr>
          <w:rFonts w:ascii="Times New Roman" w:hAnsi="Times New Roman"/>
          <w:color w:val="000000" w:themeColor="text1"/>
          <w:sz w:val="16"/>
          <w:szCs w:val="16"/>
        </w:rPr>
        <w:softHyphen/>
        <w:t>моторных тяжелых бомбардировщиков нового поколения («64» - А.Н.Туполева, ДВБ-202 - В.М.Мясищева и др.). Расчетные характеристики этих машин заметно превосходили данные ДВБ-102, задуманного еще до войны. Летом 1945 г. оба экземпляра высотного бомбардиров</w:t>
      </w:r>
      <w:r w:rsidRPr="00070ADE">
        <w:rPr>
          <w:rFonts w:ascii="Times New Roman" w:hAnsi="Times New Roman"/>
          <w:color w:val="000000" w:themeColor="text1"/>
          <w:sz w:val="16"/>
          <w:szCs w:val="16"/>
        </w:rPr>
        <w:softHyphen/>
        <w:t>щика законсервировали до лучших времен, кото</w:t>
      </w:r>
      <w:r w:rsidRPr="00070ADE">
        <w:rPr>
          <w:rFonts w:ascii="Times New Roman" w:hAnsi="Times New Roman"/>
          <w:color w:val="000000" w:themeColor="text1"/>
          <w:sz w:val="16"/>
          <w:szCs w:val="16"/>
        </w:rPr>
        <w:softHyphen/>
        <w:t>рые, впрочем, никогда не наступили.</w:t>
      </w:r>
    </w:p>
    <w:p w14:paraId="1F771532" w14:textId="77777777" w:rsidR="002A09DF" w:rsidRPr="00070ADE" w:rsidRDefault="002A09DF"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Среди многочисленных вариантов модерни</w:t>
      </w:r>
      <w:r w:rsidRPr="00070ADE">
        <w:rPr>
          <w:rFonts w:ascii="Times New Roman" w:hAnsi="Times New Roman"/>
          <w:color w:val="000000" w:themeColor="text1"/>
          <w:sz w:val="16"/>
          <w:szCs w:val="16"/>
        </w:rPr>
        <w:softHyphen/>
        <w:t>зации машины значился дальний высотный бомбардировщик ДВБ-102 №15 с двигателями АШ-73ТК. Для этого самолета спроектировали новые отъемные части крыла, с которыми пол</w:t>
      </w:r>
      <w:r w:rsidRPr="00070ADE">
        <w:rPr>
          <w:rFonts w:ascii="Times New Roman" w:hAnsi="Times New Roman"/>
          <w:color w:val="000000" w:themeColor="text1"/>
          <w:sz w:val="16"/>
          <w:szCs w:val="16"/>
        </w:rPr>
        <w:softHyphen/>
        <w:t>ный размах крыла составлял 35,6 м. Длина фю</w:t>
      </w:r>
      <w:r w:rsidRPr="00070ADE">
        <w:rPr>
          <w:rFonts w:ascii="Times New Roman" w:hAnsi="Times New Roman"/>
          <w:color w:val="000000" w:themeColor="text1"/>
          <w:sz w:val="16"/>
          <w:szCs w:val="16"/>
        </w:rPr>
        <w:softHyphen/>
        <w:t>зеляжа за счет дополнительной секции в хво</w:t>
      </w:r>
      <w:r w:rsidRPr="00070ADE">
        <w:rPr>
          <w:rFonts w:ascii="Times New Roman" w:hAnsi="Times New Roman"/>
          <w:color w:val="000000" w:themeColor="text1"/>
          <w:sz w:val="16"/>
          <w:szCs w:val="16"/>
        </w:rPr>
        <w:softHyphen/>
        <w:t>стовой части увеличилась до 20,85 м. Заднюю гермокабину в этой машине упразднили, а свер</w:t>
      </w:r>
      <w:r w:rsidRPr="00070ADE">
        <w:rPr>
          <w:rFonts w:ascii="Times New Roman" w:hAnsi="Times New Roman"/>
          <w:color w:val="000000" w:themeColor="text1"/>
          <w:sz w:val="16"/>
          <w:szCs w:val="16"/>
        </w:rPr>
        <w:softHyphen/>
        <w:t>ху фюзеляжа нарастили заметный «горб» для размещения топливных баков. С весьма солид</w:t>
      </w:r>
      <w:r w:rsidRPr="00070ADE">
        <w:rPr>
          <w:rFonts w:ascii="Times New Roman" w:hAnsi="Times New Roman"/>
          <w:color w:val="000000" w:themeColor="text1"/>
          <w:sz w:val="16"/>
          <w:szCs w:val="16"/>
        </w:rPr>
        <w:softHyphen/>
        <w:t>ным запасом топлива 17200 кг взлетный вес дальнего аппарата оценивался в 31300 кг, а ма</w:t>
      </w:r>
      <w:r w:rsidRPr="00070ADE">
        <w:rPr>
          <w:rFonts w:ascii="Times New Roman" w:hAnsi="Times New Roman"/>
          <w:color w:val="000000" w:themeColor="text1"/>
          <w:sz w:val="16"/>
          <w:szCs w:val="16"/>
        </w:rPr>
        <w:softHyphen/>
        <w:t>ксимальная дальность - 12400 км.</w:t>
      </w:r>
    </w:p>
    <w:p w14:paraId="3674F422" w14:textId="77777777" w:rsidR="002A09DF" w:rsidRPr="00070ADE" w:rsidRDefault="002A09DF"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Одновременно прорабатывался рекордный вариант под обозначением ВМ-4д с дизельны</w:t>
      </w:r>
      <w:r w:rsidRPr="00070ADE">
        <w:rPr>
          <w:rFonts w:ascii="Times New Roman" w:hAnsi="Times New Roman"/>
          <w:color w:val="000000" w:themeColor="text1"/>
          <w:sz w:val="16"/>
          <w:szCs w:val="16"/>
        </w:rPr>
        <w:softHyphen/>
        <w:t>ми двигателями АЧ-30Б конструкции Чаром- ского. Максимальная дальность полета оцени</w:t>
      </w:r>
      <w:r w:rsidRPr="00070ADE">
        <w:rPr>
          <w:rFonts w:ascii="Times New Roman" w:hAnsi="Times New Roman"/>
          <w:color w:val="000000" w:themeColor="text1"/>
          <w:sz w:val="16"/>
          <w:szCs w:val="16"/>
        </w:rPr>
        <w:softHyphen/>
        <w:t>валась в 20 тысяч километров, что позволяло рассчитывать на реальное достижение мирово</w:t>
      </w:r>
      <w:r w:rsidRPr="00070ADE">
        <w:rPr>
          <w:rFonts w:ascii="Times New Roman" w:hAnsi="Times New Roman"/>
          <w:color w:val="000000" w:themeColor="text1"/>
          <w:sz w:val="16"/>
          <w:szCs w:val="16"/>
        </w:rPr>
        <w:softHyphen/>
        <w:t>го рекорда. Впрочем, тема рекордных переле</w:t>
      </w:r>
      <w:r w:rsidRPr="00070ADE">
        <w:rPr>
          <w:rFonts w:ascii="Times New Roman" w:hAnsi="Times New Roman"/>
          <w:color w:val="000000" w:themeColor="text1"/>
          <w:sz w:val="16"/>
          <w:szCs w:val="16"/>
        </w:rPr>
        <w:softHyphen/>
        <w:t>тов в послевоенный период не была столь акту</w:t>
      </w:r>
      <w:r w:rsidRPr="00070ADE">
        <w:rPr>
          <w:rFonts w:ascii="Times New Roman" w:hAnsi="Times New Roman"/>
          <w:color w:val="000000" w:themeColor="text1"/>
          <w:sz w:val="16"/>
          <w:szCs w:val="16"/>
        </w:rPr>
        <w:softHyphen/>
        <w:t>альной, поэтому от ее реализации отказались (11941).</w:t>
      </w:r>
    </w:p>
    <w:p w14:paraId="3FC69571" w14:textId="77777777" w:rsidR="002A09DF" w:rsidRPr="00070ADE" w:rsidRDefault="002A09DF" w:rsidP="00B56F90">
      <w:pPr>
        <w:autoSpaceDE w:val="0"/>
        <w:autoSpaceDN w:val="0"/>
        <w:adjustRightInd w:val="0"/>
        <w:spacing w:after="0" w:line="240" w:lineRule="auto"/>
        <w:jc w:val="both"/>
        <w:rPr>
          <w:rFonts w:ascii="Times New Roman" w:hAnsi="Times New Roman"/>
          <w:color w:val="000000" w:themeColor="text1"/>
          <w:sz w:val="16"/>
          <w:szCs w:val="16"/>
        </w:rPr>
      </w:pPr>
    </w:p>
    <w:p w14:paraId="405FE8C4" w14:textId="77777777" w:rsidR="002A09DF" w:rsidRPr="00070ADE" w:rsidRDefault="002A09D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для установки на ДВБ-102 были получены три летных двигателя М-71Ф ТК-3 – два были установлены на самолет, а один – на стенд отработки ВМГ (23552).</w:t>
      </w:r>
    </w:p>
    <w:p w14:paraId="3A718371" w14:textId="77777777" w:rsidR="002A09DF" w:rsidRPr="00070ADE" w:rsidRDefault="002A09DF" w:rsidP="00B56F90">
      <w:pPr>
        <w:spacing w:after="0" w:line="240" w:lineRule="auto"/>
        <w:jc w:val="both"/>
        <w:rPr>
          <w:rFonts w:ascii="Times New Roman" w:hAnsi="Times New Roman"/>
          <w:color w:val="000000" w:themeColor="text1"/>
          <w:sz w:val="16"/>
          <w:szCs w:val="16"/>
        </w:rPr>
      </w:pPr>
    </w:p>
    <w:p w14:paraId="55D88CB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в отчете завода № 156 по итогам работы за 1943-й год отмечалось, что "на основе опыта работы Ту-2 в разведывательных полках Главного Командования и по требованию ВВС ОКБ разработало специальные разведывательные варианты... Самолет-развед- чик отличается от строящегося в серии большей дальностью за счет добавочного подвесного бака и установкой для (подвески - прим. авт.) специального аэрофотоаппарата.</w:t>
      </w:r>
    </w:p>
    <w:p w14:paraId="6F9B855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один Ту-2 разведчик (с двумя АФА-3) прошел государственные испытания в НИИ спецслужбы ВВС и рекомендован к серийной постройке. Два Ту-2, оборудованные специальной качающейся установкой под АФА-33, проходят войсковые испытания в 47-м гвардейском апдр Главного командования...".</w:t>
      </w:r>
    </w:p>
    <w:p w14:paraId="3C588A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1946 году на заводе № 23 переоборудовали первый серийный Ту-2 № 1/36 в вариант разведчика Ту-6, согласно документации, разработанной в ОКБ-156. В отличие от бомбардировщика в задней части грузового Опытный разведчик "65". отсека разместили неподвижный аэрофото- Лето 1946 г. аппараты АФА-33/20 и на качающейся установке - АФА-33/50,75,Ю0. В кабине стрелка-радиста расположили ночной аэрофотоаппарат НАФА-Зс/50. Объем топлива увеличили за счет дополнительного 650-литрового бензобака.</w:t>
      </w:r>
    </w:p>
    <w:p w14:paraId="2BC5DCB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установили радиокомпас СЦР-269Ж и четыре дополнительных кислородных баллона. Одновременно сняли командную радиостанцию РСИ-6 и автомат пикирования.</w:t>
      </w:r>
    </w:p>
    <w:p w14:paraId="60B1234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26 декабря 1946 года по 9 апреля 1947-го разведчик успешно прошел государственные испытания и согласно августовскому постановлению Совета Министров СССР Ту-2Ф (Ту-6) был принят на вооружение под обозначением Ту-6 и запущен в серийное производство.</w:t>
      </w:r>
    </w:p>
    <w:p w14:paraId="06A27F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Контрольные испытания Ту-6 №14/58 с моторами АШ-82ФН и винтами АВ-5В-167А, проведенные со 2 марта по 13 апреля 1948 года, показали, что полетный вес машины возрос до 11 277 кг, скорость на высоте 5500 метров составила 545 км/ч, потолок - 9050 метров и дальность - 2780 км. Самолет поднимался на высоту 5000 метров за 10,3 минуты.</w:t>
      </w:r>
    </w:p>
    <w:p w14:paraId="2300753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1948 году завод № 23 оборудовал пять машин Ту-2 для ночного фотографирования, оснастив их электроосветительными установками "Явор-2". Однако государственные испытания она не выдержала и была снята со снабжения ВВС (12035).</w:t>
      </w:r>
    </w:p>
    <w:p w14:paraId="639E4E7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данные самолетов Ту-2 завода № 23 по результатам государственных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4D4663" w:rsidRPr="00070ADE" w14:paraId="5DBA4C20" w14:textId="77777777">
        <w:tc>
          <w:tcPr>
            <w:tcW w:w="1868" w:type="dxa"/>
            <w:tcBorders>
              <w:top w:val="single" w:sz="12" w:space="0" w:color="auto"/>
            </w:tcBorders>
          </w:tcPr>
          <w:p w14:paraId="4B3448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самолета</w:t>
            </w:r>
          </w:p>
        </w:tc>
        <w:tc>
          <w:tcPr>
            <w:tcW w:w="1868" w:type="dxa"/>
            <w:tcBorders>
              <w:top w:val="single" w:sz="12" w:space="0" w:color="auto"/>
            </w:tcBorders>
          </w:tcPr>
          <w:p w14:paraId="2FCD3AB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Ту-2С5)</w:t>
            </w:r>
          </w:p>
        </w:tc>
        <w:tc>
          <w:tcPr>
            <w:tcW w:w="1868" w:type="dxa"/>
            <w:tcBorders>
              <w:top w:val="single" w:sz="12" w:space="0" w:color="auto"/>
            </w:tcBorders>
          </w:tcPr>
          <w:p w14:paraId="6F52B33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Ту-2С</w:t>
            </w:r>
          </w:p>
        </w:tc>
        <w:tc>
          <w:tcPr>
            <w:tcW w:w="1868" w:type="dxa"/>
            <w:tcBorders>
              <w:top w:val="single" w:sz="12" w:space="0" w:color="auto"/>
            </w:tcBorders>
          </w:tcPr>
          <w:p w14:paraId="52B1D69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Ту-2С</w:t>
            </w:r>
          </w:p>
        </w:tc>
        <w:tc>
          <w:tcPr>
            <w:tcW w:w="1868" w:type="dxa"/>
            <w:tcBorders>
              <w:top w:val="single" w:sz="12" w:space="0" w:color="auto"/>
            </w:tcBorders>
          </w:tcPr>
          <w:p w14:paraId="0B822CB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Ту-2</w:t>
            </w:r>
          </w:p>
        </w:tc>
        <w:tc>
          <w:tcPr>
            <w:tcW w:w="1868" w:type="dxa"/>
            <w:tcBorders>
              <w:top w:val="single" w:sz="12" w:space="0" w:color="auto"/>
            </w:tcBorders>
          </w:tcPr>
          <w:p w14:paraId="1BF9EB0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Ту2С</w:t>
            </w:r>
          </w:p>
        </w:tc>
      </w:tr>
      <w:tr w:rsidR="004D4663" w:rsidRPr="00070ADE" w14:paraId="4C23E799" w14:textId="77777777">
        <w:tc>
          <w:tcPr>
            <w:tcW w:w="1868" w:type="dxa"/>
          </w:tcPr>
          <w:p w14:paraId="4F0746A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52D9AF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№16/7</w:t>
            </w:r>
          </w:p>
        </w:tc>
        <w:tc>
          <w:tcPr>
            <w:tcW w:w="1868" w:type="dxa"/>
          </w:tcPr>
          <w:p w14:paraId="219F58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№18/11</w:t>
            </w:r>
          </w:p>
        </w:tc>
        <w:tc>
          <w:tcPr>
            <w:tcW w:w="1868" w:type="dxa"/>
          </w:tcPr>
          <w:p w14:paraId="791D18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№24/32</w:t>
            </w:r>
          </w:p>
        </w:tc>
        <w:tc>
          <w:tcPr>
            <w:tcW w:w="1868" w:type="dxa"/>
          </w:tcPr>
          <w:p w14:paraId="6C51AE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№23/35</w:t>
            </w:r>
          </w:p>
        </w:tc>
        <w:tc>
          <w:tcPr>
            <w:tcW w:w="1868" w:type="dxa"/>
          </w:tcPr>
          <w:p w14:paraId="1498FCB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№31/54</w:t>
            </w:r>
          </w:p>
        </w:tc>
      </w:tr>
      <w:tr w:rsidR="004D4663" w:rsidRPr="00070ADE" w14:paraId="372B924B" w14:textId="77777777">
        <w:tc>
          <w:tcPr>
            <w:tcW w:w="1868" w:type="dxa"/>
          </w:tcPr>
          <w:p w14:paraId="1878C0B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w:t>
            </w:r>
          </w:p>
        </w:tc>
        <w:tc>
          <w:tcPr>
            <w:tcW w:w="1868" w:type="dxa"/>
          </w:tcPr>
          <w:p w14:paraId="6B86B23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АШ-82ФН</w:t>
            </w:r>
          </w:p>
        </w:tc>
        <w:tc>
          <w:tcPr>
            <w:tcW w:w="1868" w:type="dxa"/>
          </w:tcPr>
          <w:p w14:paraId="296F60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АШ-82ФН</w:t>
            </w:r>
          </w:p>
        </w:tc>
        <w:tc>
          <w:tcPr>
            <w:tcW w:w="1868" w:type="dxa"/>
          </w:tcPr>
          <w:p w14:paraId="30E0EE7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АШ-82ФН</w:t>
            </w:r>
          </w:p>
        </w:tc>
        <w:tc>
          <w:tcPr>
            <w:tcW w:w="1868" w:type="dxa"/>
          </w:tcPr>
          <w:p w14:paraId="40281C5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АШ-82ФН-312Т</w:t>
            </w:r>
          </w:p>
        </w:tc>
        <w:tc>
          <w:tcPr>
            <w:tcW w:w="1868" w:type="dxa"/>
          </w:tcPr>
          <w:p w14:paraId="5DD45E1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АШ-82ФН</w:t>
            </w:r>
          </w:p>
        </w:tc>
      </w:tr>
      <w:tr w:rsidR="004D4663" w:rsidRPr="00070ADE" w14:paraId="7A65830A" w14:textId="77777777">
        <w:tc>
          <w:tcPr>
            <w:tcW w:w="1868" w:type="dxa"/>
          </w:tcPr>
          <w:p w14:paraId="1D98289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Взлетная мощность, л.с.</w:t>
            </w:r>
          </w:p>
        </w:tc>
        <w:tc>
          <w:tcPr>
            <w:tcW w:w="1868" w:type="dxa"/>
          </w:tcPr>
          <w:p w14:paraId="71598DB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2x1850"</w:t>
            </w:r>
          </w:p>
        </w:tc>
        <w:tc>
          <w:tcPr>
            <w:tcW w:w="1868" w:type="dxa"/>
          </w:tcPr>
          <w:p w14:paraId="139F22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2x1850</w:t>
            </w:r>
          </w:p>
        </w:tc>
        <w:tc>
          <w:tcPr>
            <w:tcW w:w="1868" w:type="dxa"/>
          </w:tcPr>
          <w:p w14:paraId="5AF0656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2x1850</w:t>
            </w:r>
          </w:p>
        </w:tc>
        <w:tc>
          <w:tcPr>
            <w:tcW w:w="1868" w:type="dxa"/>
          </w:tcPr>
          <w:p w14:paraId="536E2C6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2x1830"</w:t>
            </w:r>
          </w:p>
        </w:tc>
        <w:tc>
          <w:tcPr>
            <w:tcW w:w="1868" w:type="dxa"/>
          </w:tcPr>
          <w:p w14:paraId="44AB4A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2x1850</w:t>
            </w:r>
          </w:p>
        </w:tc>
      </w:tr>
      <w:tr w:rsidR="004D4663" w:rsidRPr="00070ADE" w14:paraId="7516DBDA" w14:textId="77777777">
        <w:tc>
          <w:tcPr>
            <w:tcW w:w="1868" w:type="dxa"/>
          </w:tcPr>
          <w:p w14:paraId="236111E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Размах крыла, м</w:t>
            </w:r>
          </w:p>
        </w:tc>
        <w:tc>
          <w:tcPr>
            <w:tcW w:w="1868" w:type="dxa"/>
          </w:tcPr>
          <w:p w14:paraId="5DF82A0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18,52</w:t>
            </w:r>
          </w:p>
        </w:tc>
        <w:tc>
          <w:tcPr>
            <w:tcW w:w="1868" w:type="dxa"/>
          </w:tcPr>
          <w:p w14:paraId="14710BF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18,52</w:t>
            </w:r>
          </w:p>
        </w:tc>
        <w:tc>
          <w:tcPr>
            <w:tcW w:w="1868" w:type="dxa"/>
          </w:tcPr>
          <w:p w14:paraId="4FE59A4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18,52</w:t>
            </w:r>
          </w:p>
        </w:tc>
        <w:tc>
          <w:tcPr>
            <w:tcW w:w="1868" w:type="dxa"/>
          </w:tcPr>
          <w:p w14:paraId="365CD74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18,52</w:t>
            </w:r>
          </w:p>
        </w:tc>
        <w:tc>
          <w:tcPr>
            <w:tcW w:w="1868" w:type="dxa"/>
          </w:tcPr>
          <w:p w14:paraId="22BAD8A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18,52</w:t>
            </w:r>
          </w:p>
        </w:tc>
      </w:tr>
      <w:tr w:rsidR="004D4663" w:rsidRPr="00070ADE" w14:paraId="3A6B8F95" w14:textId="77777777">
        <w:tc>
          <w:tcPr>
            <w:tcW w:w="1868" w:type="dxa"/>
          </w:tcPr>
          <w:p w14:paraId="08FD423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м</w:t>
            </w:r>
          </w:p>
        </w:tc>
        <w:tc>
          <w:tcPr>
            <w:tcW w:w="1868" w:type="dxa"/>
          </w:tcPr>
          <w:p w14:paraId="76E11F5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13,8</w:t>
            </w:r>
          </w:p>
        </w:tc>
        <w:tc>
          <w:tcPr>
            <w:tcW w:w="1868" w:type="dxa"/>
          </w:tcPr>
          <w:p w14:paraId="357C99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13,8</w:t>
            </w:r>
          </w:p>
        </w:tc>
        <w:tc>
          <w:tcPr>
            <w:tcW w:w="1868" w:type="dxa"/>
          </w:tcPr>
          <w:p w14:paraId="08180EB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13,8</w:t>
            </w:r>
          </w:p>
        </w:tc>
        <w:tc>
          <w:tcPr>
            <w:tcW w:w="1868" w:type="dxa"/>
          </w:tcPr>
          <w:p w14:paraId="1DF9944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13,8</w:t>
            </w:r>
          </w:p>
        </w:tc>
        <w:tc>
          <w:tcPr>
            <w:tcW w:w="1868" w:type="dxa"/>
          </w:tcPr>
          <w:p w14:paraId="0ABAC6D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w:t>
            </w:r>
          </w:p>
        </w:tc>
      </w:tr>
      <w:tr w:rsidR="004D4663" w:rsidRPr="00070ADE" w14:paraId="7914BFD8" w14:textId="77777777">
        <w:tc>
          <w:tcPr>
            <w:tcW w:w="1868" w:type="dxa"/>
          </w:tcPr>
          <w:p w14:paraId="4B7020A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Площадь крыла, м2</w:t>
            </w:r>
          </w:p>
        </w:tc>
        <w:tc>
          <w:tcPr>
            <w:tcW w:w="1868" w:type="dxa"/>
          </w:tcPr>
          <w:p w14:paraId="27A21C4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48,8</w:t>
            </w:r>
          </w:p>
        </w:tc>
        <w:tc>
          <w:tcPr>
            <w:tcW w:w="1868" w:type="dxa"/>
          </w:tcPr>
          <w:p w14:paraId="1123E00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48,8</w:t>
            </w:r>
          </w:p>
        </w:tc>
        <w:tc>
          <w:tcPr>
            <w:tcW w:w="1868" w:type="dxa"/>
          </w:tcPr>
          <w:p w14:paraId="28565FA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48,8</w:t>
            </w:r>
          </w:p>
        </w:tc>
        <w:tc>
          <w:tcPr>
            <w:tcW w:w="1868" w:type="dxa"/>
          </w:tcPr>
          <w:p w14:paraId="149FA3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48,8</w:t>
            </w:r>
          </w:p>
        </w:tc>
        <w:tc>
          <w:tcPr>
            <w:tcW w:w="1868" w:type="dxa"/>
          </w:tcPr>
          <w:p w14:paraId="4B578EF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48,8</w:t>
            </w:r>
          </w:p>
        </w:tc>
      </w:tr>
      <w:tr w:rsidR="004D4663" w:rsidRPr="00070ADE" w14:paraId="3F9D5A1A" w14:textId="77777777">
        <w:tc>
          <w:tcPr>
            <w:tcW w:w="1868" w:type="dxa"/>
          </w:tcPr>
          <w:p w14:paraId="2C10B60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взлетный, кг</w:t>
            </w:r>
          </w:p>
        </w:tc>
        <w:tc>
          <w:tcPr>
            <w:tcW w:w="1868" w:type="dxa"/>
          </w:tcPr>
          <w:p w14:paraId="1825293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4AA7BD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B5ED48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00C39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0170E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C92E4FA" w14:textId="77777777">
        <w:tc>
          <w:tcPr>
            <w:tcW w:w="1868" w:type="dxa"/>
          </w:tcPr>
          <w:p w14:paraId="12967F3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w:t>
            </w:r>
          </w:p>
        </w:tc>
        <w:tc>
          <w:tcPr>
            <w:tcW w:w="1868" w:type="dxa"/>
          </w:tcPr>
          <w:p w14:paraId="329B772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10700</w:t>
            </w:r>
          </w:p>
        </w:tc>
        <w:tc>
          <w:tcPr>
            <w:tcW w:w="1868" w:type="dxa"/>
          </w:tcPr>
          <w:p w14:paraId="113653D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10500</w:t>
            </w:r>
          </w:p>
        </w:tc>
        <w:tc>
          <w:tcPr>
            <w:tcW w:w="1868" w:type="dxa"/>
          </w:tcPr>
          <w:p w14:paraId="6C3BBF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10575</w:t>
            </w:r>
          </w:p>
        </w:tc>
        <w:tc>
          <w:tcPr>
            <w:tcW w:w="1868" w:type="dxa"/>
          </w:tcPr>
          <w:p w14:paraId="4B37A4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10540</w:t>
            </w:r>
          </w:p>
        </w:tc>
        <w:tc>
          <w:tcPr>
            <w:tcW w:w="1868" w:type="dxa"/>
          </w:tcPr>
          <w:p w14:paraId="30BF0E4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10990</w:t>
            </w:r>
          </w:p>
        </w:tc>
      </w:tr>
      <w:tr w:rsidR="004D4663" w:rsidRPr="00070ADE" w14:paraId="5B2B0C24" w14:textId="77777777">
        <w:tc>
          <w:tcPr>
            <w:tcW w:w="1868" w:type="dxa"/>
          </w:tcPr>
          <w:p w14:paraId="1A670CF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перегрузочный</w:t>
            </w:r>
          </w:p>
        </w:tc>
        <w:tc>
          <w:tcPr>
            <w:tcW w:w="1868" w:type="dxa"/>
          </w:tcPr>
          <w:p w14:paraId="7E69E1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11720</w:t>
            </w:r>
          </w:p>
        </w:tc>
        <w:tc>
          <w:tcPr>
            <w:tcW w:w="1868" w:type="dxa"/>
          </w:tcPr>
          <w:p w14:paraId="3F0D651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11520</w:t>
            </w:r>
          </w:p>
        </w:tc>
        <w:tc>
          <w:tcPr>
            <w:tcW w:w="1868" w:type="dxa"/>
          </w:tcPr>
          <w:p w14:paraId="7FECFA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11600</w:t>
            </w:r>
          </w:p>
        </w:tc>
        <w:tc>
          <w:tcPr>
            <w:tcW w:w="1868" w:type="dxa"/>
          </w:tcPr>
          <w:p w14:paraId="416242F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11565</w:t>
            </w:r>
          </w:p>
        </w:tc>
        <w:tc>
          <w:tcPr>
            <w:tcW w:w="1868" w:type="dxa"/>
          </w:tcPr>
          <w:p w14:paraId="71AED4E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12300</w:t>
            </w:r>
          </w:p>
        </w:tc>
      </w:tr>
      <w:tr w:rsidR="004D4663" w:rsidRPr="00070ADE" w14:paraId="6011A9A6" w14:textId="77777777">
        <w:tc>
          <w:tcPr>
            <w:tcW w:w="1868" w:type="dxa"/>
          </w:tcPr>
          <w:p w14:paraId="1D7DBA1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кг</w:t>
            </w:r>
          </w:p>
        </w:tc>
        <w:tc>
          <w:tcPr>
            <w:tcW w:w="1868" w:type="dxa"/>
          </w:tcPr>
          <w:p w14:paraId="7B58C53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7760</w:t>
            </w:r>
          </w:p>
        </w:tc>
        <w:tc>
          <w:tcPr>
            <w:tcW w:w="1868" w:type="dxa"/>
          </w:tcPr>
          <w:p w14:paraId="1793C0E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7603</w:t>
            </w:r>
          </w:p>
        </w:tc>
        <w:tc>
          <w:tcPr>
            <w:tcW w:w="1868" w:type="dxa"/>
          </w:tcPr>
          <w:p w14:paraId="1A5C2E9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7622</w:t>
            </w:r>
          </w:p>
        </w:tc>
        <w:tc>
          <w:tcPr>
            <w:tcW w:w="1868" w:type="dxa"/>
          </w:tcPr>
          <w:p w14:paraId="5D752EE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7613</w:t>
            </w:r>
          </w:p>
        </w:tc>
        <w:tc>
          <w:tcPr>
            <w:tcW w:w="1868" w:type="dxa"/>
          </w:tcPr>
          <w:p w14:paraId="7396178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64464F7" w14:textId="77777777">
        <w:tc>
          <w:tcPr>
            <w:tcW w:w="1868" w:type="dxa"/>
          </w:tcPr>
          <w:p w14:paraId="20A63F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топлива</w:t>
            </w:r>
          </w:p>
        </w:tc>
        <w:tc>
          <w:tcPr>
            <w:tcW w:w="1868" w:type="dxa"/>
          </w:tcPr>
          <w:p w14:paraId="24D3E8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0955B2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CD5D6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283B0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123D2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34E6068" w14:textId="77777777">
        <w:tc>
          <w:tcPr>
            <w:tcW w:w="1868" w:type="dxa"/>
          </w:tcPr>
          <w:p w14:paraId="48E2418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(нормальный/максимальный), кг</w:t>
            </w:r>
          </w:p>
        </w:tc>
        <w:tc>
          <w:tcPr>
            <w:tcW w:w="1868" w:type="dxa"/>
          </w:tcPr>
          <w:p w14:paraId="2AF8C4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980/1960</w:t>
            </w:r>
          </w:p>
        </w:tc>
        <w:tc>
          <w:tcPr>
            <w:tcW w:w="1868" w:type="dxa"/>
          </w:tcPr>
          <w:p w14:paraId="248A5D3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1970</w:t>
            </w:r>
          </w:p>
        </w:tc>
        <w:tc>
          <w:tcPr>
            <w:tcW w:w="1868" w:type="dxa"/>
          </w:tcPr>
          <w:p w14:paraId="6B26FEA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985/1970</w:t>
            </w:r>
          </w:p>
        </w:tc>
        <w:tc>
          <w:tcPr>
            <w:tcW w:w="1868" w:type="dxa"/>
          </w:tcPr>
          <w:p w14:paraId="5203B67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985/1970</w:t>
            </w:r>
          </w:p>
        </w:tc>
        <w:tc>
          <w:tcPr>
            <w:tcW w:w="1868" w:type="dxa"/>
          </w:tcPr>
          <w:p w14:paraId="737CBC3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9AAB7B9" w14:textId="77777777">
        <w:tc>
          <w:tcPr>
            <w:tcW w:w="1868" w:type="dxa"/>
          </w:tcPr>
          <w:p w14:paraId="40D52D2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км/ч</w:t>
            </w:r>
          </w:p>
        </w:tc>
        <w:tc>
          <w:tcPr>
            <w:tcW w:w="1868" w:type="dxa"/>
          </w:tcPr>
          <w:p w14:paraId="4D3213E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5332E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778E46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3E04AC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EA1363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2D286FB" w14:textId="77777777">
        <w:tc>
          <w:tcPr>
            <w:tcW w:w="1868" w:type="dxa"/>
          </w:tcPr>
          <w:p w14:paraId="65570DE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w:t>
            </w:r>
          </w:p>
        </w:tc>
        <w:tc>
          <w:tcPr>
            <w:tcW w:w="1868" w:type="dxa"/>
          </w:tcPr>
          <w:p w14:paraId="57BCF44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5162&gt;</w:t>
            </w:r>
          </w:p>
        </w:tc>
        <w:tc>
          <w:tcPr>
            <w:tcW w:w="1868" w:type="dxa"/>
          </w:tcPr>
          <w:p w14:paraId="06F49C8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4889)</w:t>
            </w:r>
          </w:p>
        </w:tc>
        <w:tc>
          <w:tcPr>
            <w:tcW w:w="1868" w:type="dxa"/>
          </w:tcPr>
          <w:p w14:paraId="7125416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505</w:t>
            </w:r>
          </w:p>
        </w:tc>
        <w:tc>
          <w:tcPr>
            <w:tcW w:w="1868" w:type="dxa"/>
          </w:tcPr>
          <w:p w14:paraId="3D4BEB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502</w:t>
            </w:r>
          </w:p>
        </w:tc>
        <w:tc>
          <w:tcPr>
            <w:tcW w:w="1868" w:type="dxa"/>
          </w:tcPr>
          <w:p w14:paraId="24A0406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4763)</w:t>
            </w:r>
          </w:p>
        </w:tc>
      </w:tr>
      <w:tr w:rsidR="004D4663" w:rsidRPr="00070ADE" w14:paraId="4F974BD4" w14:textId="77777777">
        <w:tc>
          <w:tcPr>
            <w:tcW w:w="1868" w:type="dxa"/>
          </w:tcPr>
          <w:p w14:paraId="5191186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1-й гр. высотности</w:t>
            </w:r>
          </w:p>
        </w:tc>
        <w:tc>
          <w:tcPr>
            <w:tcW w:w="1868" w:type="dxa"/>
          </w:tcPr>
          <w:p w14:paraId="46633E9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541/2600</w:t>
            </w:r>
          </w:p>
        </w:tc>
        <w:tc>
          <w:tcPr>
            <w:tcW w:w="1868" w:type="dxa"/>
          </w:tcPr>
          <w:p w14:paraId="68648EF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74CD02A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527/2600</w:t>
            </w:r>
          </w:p>
        </w:tc>
        <w:tc>
          <w:tcPr>
            <w:tcW w:w="1868" w:type="dxa"/>
          </w:tcPr>
          <w:p w14:paraId="77EB9C9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526/2600</w:t>
            </w:r>
          </w:p>
        </w:tc>
        <w:tc>
          <w:tcPr>
            <w:tcW w:w="1868" w:type="dxa"/>
          </w:tcPr>
          <w:p w14:paraId="24E3BB5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D169D6C" w14:textId="77777777">
        <w:tc>
          <w:tcPr>
            <w:tcW w:w="1868" w:type="dxa"/>
          </w:tcPr>
          <w:p w14:paraId="7A44DF9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2-й гр. высотности</w:t>
            </w:r>
          </w:p>
        </w:tc>
        <w:tc>
          <w:tcPr>
            <w:tcW w:w="1868" w:type="dxa"/>
          </w:tcPr>
          <w:p w14:paraId="3F42094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559/5775"</w:t>
            </w:r>
          </w:p>
        </w:tc>
        <w:tc>
          <w:tcPr>
            <w:tcW w:w="1868" w:type="dxa"/>
          </w:tcPr>
          <w:p w14:paraId="6369F0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549</w:t>
            </w:r>
          </w:p>
        </w:tc>
        <w:tc>
          <w:tcPr>
            <w:tcW w:w="1868" w:type="dxa"/>
          </w:tcPr>
          <w:p w14:paraId="7237BD6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543/5700</w:t>
            </w:r>
          </w:p>
        </w:tc>
        <w:tc>
          <w:tcPr>
            <w:tcW w:w="1868" w:type="dxa"/>
          </w:tcPr>
          <w:p w14:paraId="5F6A4ED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536/4300</w:t>
            </w:r>
          </w:p>
        </w:tc>
        <w:tc>
          <w:tcPr>
            <w:tcW w:w="1868" w:type="dxa"/>
          </w:tcPr>
          <w:p w14:paraId="0C607FE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545/5700</w:t>
            </w:r>
          </w:p>
        </w:tc>
      </w:tr>
      <w:tr w:rsidR="004D4663" w:rsidRPr="00070ADE" w14:paraId="694A7D0C" w14:textId="77777777">
        <w:tc>
          <w:tcPr>
            <w:tcW w:w="1868" w:type="dxa"/>
          </w:tcPr>
          <w:p w14:paraId="17A22B6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3-й границе высотности</w:t>
            </w:r>
          </w:p>
        </w:tc>
        <w:tc>
          <w:tcPr>
            <w:tcW w:w="1868" w:type="dxa"/>
          </w:tcPr>
          <w:p w14:paraId="4367C8F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7F9473B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7D27BC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7873603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540/5600</w:t>
            </w:r>
          </w:p>
        </w:tc>
        <w:tc>
          <w:tcPr>
            <w:tcW w:w="1868" w:type="dxa"/>
          </w:tcPr>
          <w:p w14:paraId="7D3EB24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F233830" w14:textId="77777777">
        <w:tc>
          <w:tcPr>
            <w:tcW w:w="1868" w:type="dxa"/>
          </w:tcPr>
          <w:p w14:paraId="69AC302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посадочная</w:t>
            </w:r>
          </w:p>
        </w:tc>
        <w:tc>
          <w:tcPr>
            <w:tcW w:w="1868" w:type="dxa"/>
          </w:tcPr>
          <w:p w14:paraId="0DC0B04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148</w:t>
            </w:r>
          </w:p>
        </w:tc>
        <w:tc>
          <w:tcPr>
            <w:tcW w:w="1868" w:type="dxa"/>
          </w:tcPr>
          <w:p w14:paraId="343822C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689C38D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c>
          <w:tcPr>
            <w:tcW w:w="1868" w:type="dxa"/>
          </w:tcPr>
          <w:p w14:paraId="4C3C66B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147</w:t>
            </w:r>
          </w:p>
        </w:tc>
        <w:tc>
          <w:tcPr>
            <w:tcW w:w="1868" w:type="dxa"/>
          </w:tcPr>
          <w:p w14:paraId="443C7A0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B778CD0" w14:textId="77777777">
        <w:tc>
          <w:tcPr>
            <w:tcW w:w="1868" w:type="dxa"/>
          </w:tcPr>
          <w:p w14:paraId="652F5FC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м</w:t>
            </w:r>
          </w:p>
        </w:tc>
        <w:tc>
          <w:tcPr>
            <w:tcW w:w="1868" w:type="dxa"/>
          </w:tcPr>
          <w:p w14:paraId="6579528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9650</w:t>
            </w:r>
          </w:p>
        </w:tc>
        <w:tc>
          <w:tcPr>
            <w:tcW w:w="1868" w:type="dxa"/>
          </w:tcPr>
          <w:p w14:paraId="7A6079C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9600</w:t>
            </w:r>
          </w:p>
        </w:tc>
        <w:tc>
          <w:tcPr>
            <w:tcW w:w="1868" w:type="dxa"/>
          </w:tcPr>
          <w:p w14:paraId="622BEA7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9650</w:t>
            </w:r>
          </w:p>
        </w:tc>
        <w:tc>
          <w:tcPr>
            <w:tcW w:w="1868" w:type="dxa"/>
          </w:tcPr>
          <w:p w14:paraId="49CE62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9750</w:t>
            </w:r>
          </w:p>
        </w:tc>
        <w:tc>
          <w:tcPr>
            <w:tcW w:w="1868" w:type="dxa"/>
          </w:tcPr>
          <w:p w14:paraId="0DA1990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9200</w:t>
            </w:r>
          </w:p>
        </w:tc>
      </w:tr>
      <w:tr w:rsidR="004D4663" w:rsidRPr="00070ADE" w14:paraId="3735392D" w14:textId="77777777">
        <w:tc>
          <w:tcPr>
            <w:tcW w:w="1868" w:type="dxa"/>
          </w:tcPr>
          <w:p w14:paraId="0461CC0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мин.</w:t>
            </w:r>
          </w:p>
        </w:tc>
        <w:tc>
          <w:tcPr>
            <w:tcW w:w="1868" w:type="dxa"/>
          </w:tcPr>
          <w:p w14:paraId="36DDC2F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48CAEE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41ED0D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D3E00B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EADA8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1833557" w14:textId="77777777">
        <w:tc>
          <w:tcPr>
            <w:tcW w:w="1868" w:type="dxa"/>
          </w:tcPr>
          <w:p w14:paraId="0FDF40F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5000 м</w:t>
            </w:r>
          </w:p>
        </w:tc>
        <w:tc>
          <w:tcPr>
            <w:tcW w:w="1868" w:type="dxa"/>
          </w:tcPr>
          <w:p w14:paraId="02CC713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9,3</w:t>
            </w:r>
          </w:p>
        </w:tc>
        <w:tc>
          <w:tcPr>
            <w:tcW w:w="1868" w:type="dxa"/>
          </w:tcPr>
          <w:p w14:paraId="781F2B6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9,3</w:t>
            </w:r>
          </w:p>
        </w:tc>
        <w:tc>
          <w:tcPr>
            <w:tcW w:w="1868" w:type="dxa"/>
          </w:tcPr>
          <w:p w14:paraId="5ED02C7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9,3</w:t>
            </w:r>
          </w:p>
        </w:tc>
        <w:tc>
          <w:tcPr>
            <w:tcW w:w="1868" w:type="dxa"/>
          </w:tcPr>
          <w:p w14:paraId="734798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9,6</w:t>
            </w:r>
          </w:p>
        </w:tc>
        <w:tc>
          <w:tcPr>
            <w:tcW w:w="1868" w:type="dxa"/>
          </w:tcPr>
          <w:p w14:paraId="1CBB88F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10,8</w:t>
            </w:r>
          </w:p>
        </w:tc>
      </w:tr>
      <w:tr w:rsidR="004D4663" w:rsidRPr="00070ADE" w14:paraId="74A56955" w14:textId="77777777">
        <w:tc>
          <w:tcPr>
            <w:tcW w:w="1868" w:type="dxa"/>
          </w:tcPr>
          <w:p w14:paraId="01A225D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практического потолка</w:t>
            </w:r>
          </w:p>
        </w:tc>
        <w:tc>
          <w:tcPr>
            <w:tcW w:w="1868" w:type="dxa"/>
          </w:tcPr>
          <w:p w14:paraId="449398A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6D53304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2B71012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2945B5F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7263AB0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41,4</w:t>
            </w:r>
          </w:p>
        </w:tc>
      </w:tr>
      <w:tr w:rsidR="004D4663" w:rsidRPr="00070ADE" w14:paraId="224CF6EE" w14:textId="77777777">
        <w:tc>
          <w:tcPr>
            <w:tcW w:w="1868" w:type="dxa"/>
          </w:tcPr>
          <w:p w14:paraId="08C6E5D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макс., км</w:t>
            </w:r>
          </w:p>
        </w:tc>
        <w:tc>
          <w:tcPr>
            <w:tcW w:w="1868" w:type="dxa"/>
          </w:tcPr>
          <w:p w14:paraId="516BCA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2065</w:t>
            </w:r>
          </w:p>
        </w:tc>
        <w:tc>
          <w:tcPr>
            <w:tcW w:w="1868" w:type="dxa"/>
          </w:tcPr>
          <w:p w14:paraId="2F541E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2050</w:t>
            </w:r>
          </w:p>
        </w:tc>
        <w:tc>
          <w:tcPr>
            <w:tcW w:w="1868" w:type="dxa"/>
          </w:tcPr>
          <w:p w14:paraId="492D220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2160</w:t>
            </w:r>
          </w:p>
        </w:tc>
        <w:tc>
          <w:tcPr>
            <w:tcW w:w="1868" w:type="dxa"/>
          </w:tcPr>
          <w:p w14:paraId="637FB5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2160</w:t>
            </w:r>
          </w:p>
        </w:tc>
        <w:tc>
          <w:tcPr>
            <w:tcW w:w="1868" w:type="dxa"/>
          </w:tcPr>
          <w:p w14:paraId="3562972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261 081</w:t>
            </w:r>
          </w:p>
        </w:tc>
      </w:tr>
      <w:tr w:rsidR="004D4663" w:rsidRPr="00070ADE" w14:paraId="30B85E89" w14:textId="77777777">
        <w:tc>
          <w:tcPr>
            <w:tcW w:w="1868" w:type="dxa"/>
          </w:tcPr>
          <w:p w14:paraId="7DA9BA6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Разбег/пробег, м</w:t>
            </w:r>
          </w:p>
        </w:tc>
        <w:tc>
          <w:tcPr>
            <w:tcW w:w="1868" w:type="dxa"/>
          </w:tcPr>
          <w:p w14:paraId="73623A7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510/590</w:t>
            </w:r>
          </w:p>
        </w:tc>
        <w:tc>
          <w:tcPr>
            <w:tcW w:w="1868" w:type="dxa"/>
          </w:tcPr>
          <w:p w14:paraId="1A6906A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425/510</w:t>
            </w:r>
          </w:p>
        </w:tc>
        <w:tc>
          <w:tcPr>
            <w:tcW w:w="1868" w:type="dxa"/>
          </w:tcPr>
          <w:p w14:paraId="4A30E30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440/590</w:t>
            </w:r>
          </w:p>
        </w:tc>
        <w:tc>
          <w:tcPr>
            <w:tcW w:w="1868" w:type="dxa"/>
          </w:tcPr>
          <w:p w14:paraId="50832D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430/690</w:t>
            </w:r>
          </w:p>
        </w:tc>
        <w:tc>
          <w:tcPr>
            <w:tcW w:w="1868" w:type="dxa"/>
          </w:tcPr>
          <w:p w14:paraId="5385025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470-580/500</w:t>
            </w:r>
          </w:p>
        </w:tc>
      </w:tr>
      <w:tr w:rsidR="004D4663" w:rsidRPr="00070ADE" w14:paraId="1661FC99" w14:textId="77777777">
        <w:tc>
          <w:tcPr>
            <w:tcW w:w="1868" w:type="dxa"/>
            <w:tcBorders>
              <w:bottom w:val="single" w:sz="12" w:space="0" w:color="auto"/>
            </w:tcBorders>
          </w:tcPr>
          <w:p w14:paraId="2C0F82D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чел</w:t>
            </w:r>
          </w:p>
        </w:tc>
        <w:tc>
          <w:tcPr>
            <w:tcW w:w="1868" w:type="dxa"/>
            <w:tcBorders>
              <w:bottom w:val="single" w:sz="12" w:space="0" w:color="auto"/>
            </w:tcBorders>
          </w:tcPr>
          <w:p w14:paraId="6A1A459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1868" w:type="dxa"/>
            <w:tcBorders>
              <w:bottom w:val="single" w:sz="12" w:space="0" w:color="auto"/>
            </w:tcBorders>
          </w:tcPr>
          <w:p w14:paraId="0CEDB95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1868" w:type="dxa"/>
            <w:tcBorders>
              <w:bottom w:val="single" w:sz="12" w:space="0" w:color="auto"/>
            </w:tcBorders>
          </w:tcPr>
          <w:p w14:paraId="16ECB4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1868" w:type="dxa"/>
            <w:tcBorders>
              <w:bottom w:val="single" w:sz="12" w:space="0" w:color="auto"/>
            </w:tcBorders>
          </w:tcPr>
          <w:p w14:paraId="11DBF17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1868" w:type="dxa"/>
            <w:tcBorders>
              <w:bottom w:val="single" w:sz="12" w:space="0" w:color="auto"/>
            </w:tcBorders>
          </w:tcPr>
          <w:p w14:paraId="3DCA566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r>
    </w:tbl>
    <w:p w14:paraId="4824362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Номинальная мощность на высоте 1550 м- 1670 л.с.,на высоте 4600м- 1460 л.с.</w:t>
      </w:r>
    </w:p>
    <w:p w14:paraId="303D3A7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 форсаже, на номинальном режиме - 488 км/ч.</w:t>
      </w:r>
    </w:p>
    <w:p w14:paraId="37F90D6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Скорость 330 км/м, высота 1000 м. Продолжительность полета 6 часов 20 минут.</w:t>
      </w:r>
    </w:p>
    <w:p w14:paraId="6884BD6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1650 л.с. - на 1-й границе высотности 1575 м, 1515 л.с. - на 2-й границе высотности 3250 м, 1425 л.с. - на 3-й границе высотности 4750 м.</w:t>
      </w:r>
    </w:p>
    <w:p w14:paraId="4763EC9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С опытными винтами АВ-5В-21А.</w:t>
      </w:r>
    </w:p>
    <w:p w14:paraId="5F784F9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С серийными винтами AB-5B-I67A.</w:t>
      </w:r>
    </w:p>
    <w:p w14:paraId="2591716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На максимальном режиме, на номинальном - 544 км/ч на высоте 5700 м.</w:t>
      </w:r>
    </w:p>
    <w:p w14:paraId="57B83C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На высоте 1000 м, на наивыгоднейшей скорости с 1000 кг бомб.</w:t>
      </w:r>
    </w:p>
    <w:p w14:paraId="51EF60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На номинальном режиме (12035).</w:t>
      </w:r>
    </w:p>
    <w:p w14:paraId="6751E28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3F2BB50" w14:textId="77777777" w:rsidR="002A09DF" w:rsidRPr="00C94B78" w:rsidRDefault="002A09D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1944 года Туполев предпринял попытки установить на Ту</w:t>
      </w:r>
      <w:r w:rsidRPr="00C94B78">
        <w:rPr>
          <w:rFonts w:ascii="Times New Roman" w:hAnsi="Times New Roman"/>
          <w:color w:val="0070C0"/>
          <w:sz w:val="16"/>
          <w:szCs w:val="16"/>
        </w:rPr>
        <w:noBreakHyphen/>
        <w:t>2 локатор. В мае на серийном Ту</w:t>
      </w:r>
      <w:r w:rsidRPr="00C94B78">
        <w:rPr>
          <w:rFonts w:ascii="Times New Roman" w:hAnsi="Times New Roman"/>
          <w:color w:val="0070C0"/>
          <w:sz w:val="16"/>
          <w:szCs w:val="16"/>
        </w:rPr>
        <w:noBreakHyphen/>
        <w:t>2 («104») установили радар ПНБ</w:t>
      </w:r>
      <w:r w:rsidRPr="00C94B78">
        <w:rPr>
          <w:rFonts w:ascii="Times New Roman" w:hAnsi="Times New Roman"/>
          <w:color w:val="0070C0"/>
          <w:sz w:val="16"/>
          <w:szCs w:val="16"/>
        </w:rPr>
        <w:noBreakHyphen/>
        <w:t>4. Вооружение самолета усилили двумя пушками ВЯ калибра 23 мм (25073).</w:t>
      </w:r>
    </w:p>
    <w:p w14:paraId="3208A8FB" w14:textId="77777777" w:rsidR="002A09DF" w:rsidRPr="00C94B78" w:rsidRDefault="002A09DF" w:rsidP="00B56F90">
      <w:pPr>
        <w:spacing w:after="0" w:line="240" w:lineRule="auto"/>
        <w:jc w:val="both"/>
        <w:rPr>
          <w:rFonts w:ascii="Times New Roman" w:hAnsi="Times New Roman"/>
          <w:color w:val="0070C0"/>
          <w:sz w:val="16"/>
          <w:szCs w:val="16"/>
        </w:rPr>
      </w:pPr>
    </w:p>
    <w:p w14:paraId="11477283" w14:textId="77777777" w:rsidR="002A09DF" w:rsidRPr="00C94B78" w:rsidRDefault="002A09D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1944 г. самолет Пе-2 №12/224, выпущенный заводом №22 в августе 1943 г., сдан на заводские испытания, которые провел заводской летчик Кондырев.</w:t>
      </w:r>
    </w:p>
    <w:p w14:paraId="7D00D072" w14:textId="77777777" w:rsidR="002A09DF" w:rsidRPr="00C94B78" w:rsidRDefault="002A09D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Взлетный вес снаряженного самолета с вооружением и внутренней подвеской 6 бомб ФАБ-100 и с заправкой 1037 кг бензина составил 8300 кг против 8450 кг по расчету.</w:t>
      </w:r>
    </w:p>
    <w:p w14:paraId="2349A2D9" w14:textId="77777777" w:rsidR="002A09DF" w:rsidRPr="00C94B78" w:rsidRDefault="002A09D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Этот самолет предназначался для испытаний с двигателями М-1 (25430).</w:t>
      </w:r>
    </w:p>
    <w:p w14:paraId="5AF91501" w14:textId="77777777" w:rsidR="002A09DF" w:rsidRPr="00C94B78" w:rsidRDefault="002A09DF" w:rsidP="00B56F90">
      <w:pPr>
        <w:spacing w:after="0" w:line="240" w:lineRule="auto"/>
        <w:jc w:val="both"/>
        <w:rPr>
          <w:rFonts w:ascii="Times New Roman" w:hAnsi="Times New Roman"/>
          <w:color w:val="0070C0"/>
          <w:sz w:val="16"/>
          <w:szCs w:val="16"/>
        </w:rPr>
      </w:pPr>
    </w:p>
    <w:p w14:paraId="4B6C14B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А.Д. Чаромский получил задание на разработку нового мощного дизеля, названного АЧ-31. В соответствии с ТТТ, этот двигатель должен был иметь взлетную мощность 1900 л.с. и номинальную - 1500 л.с. на высоте 6000 м. Отличия этой модели от "тридцатки", по замыслу конструкторов, должны были заключаться в новом коленвале и др. Этот вариант дизеля довольно заметно отличался от предшественника (8984).</w:t>
      </w:r>
    </w:p>
    <w:p w14:paraId="0C6432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B01DA79" w14:textId="77777777" w:rsidR="007F1907" w:rsidRPr="00070ADE" w:rsidRDefault="007F1907" w:rsidP="00B56F90">
      <w:pPr>
        <w:pStyle w:val="a3"/>
        <w:rPr>
          <w:color w:val="000000" w:themeColor="text1"/>
          <w:lang w:val="ru-RU"/>
        </w:rPr>
      </w:pPr>
      <w:r w:rsidRPr="00070ADE">
        <w:rPr>
          <w:color w:val="000000" w:themeColor="text1"/>
          <w:lang w:val="ru-RU"/>
        </w:rPr>
        <w:t>В начале 1944 г. на завод № 482 прибыли из Перми М-71Ф ТК-3. Два на самолет и один на стенд отработки системы авто</w:t>
      </w:r>
      <w:r w:rsidRPr="00070ADE">
        <w:rPr>
          <w:color w:val="000000" w:themeColor="text1"/>
          <w:lang w:val="ru-RU"/>
        </w:rPr>
        <w:softHyphen/>
        <w:t>матического управления наддувом (17739).</w:t>
      </w:r>
    </w:p>
    <w:p w14:paraId="11275F40" w14:textId="77777777" w:rsidR="007F1907" w:rsidRPr="00070ADE" w:rsidRDefault="007F1907" w:rsidP="00B56F90">
      <w:pPr>
        <w:spacing w:after="0" w:line="240" w:lineRule="auto"/>
        <w:jc w:val="both"/>
        <w:rPr>
          <w:rStyle w:val="77"/>
          <w:rFonts w:eastAsiaTheme="minorHAnsi"/>
          <w:color w:val="000000" w:themeColor="text1"/>
          <w:sz w:val="16"/>
          <w:szCs w:val="16"/>
        </w:rPr>
      </w:pPr>
    </w:p>
    <w:p w14:paraId="2E7DE7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ОКБ-155 в инициативном порядке провело модификацию истребителя И-220 №02 под опытный мотор АМ-42Б с турбокомпрессором ТК-ЗООБ. На самолете, получившем название И-225 и шифр "5А", также установили воздухо-воздушный радиатор для охлаждения воздуха, поступающего в карбюратор двигателя, и трехлопастный винт АВ-5ЛВ-22А диаметром 3.6 м. Истребитель И-225 был выпущен из производства 9 мая 1944 г. и передан на ЛЭС завода №155 (5852,40).</w:t>
      </w:r>
    </w:p>
    <w:p w14:paraId="2F26FD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E1B04E" w14:textId="77777777"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началу 1944 г. немцы выпустили небольшую серию высотных истре</w:t>
      </w:r>
      <w:r w:rsidRPr="00070ADE">
        <w:rPr>
          <w:rFonts w:ascii="Times New Roman" w:hAnsi="Times New Roman"/>
          <w:color w:val="000000" w:themeColor="text1"/>
          <w:sz w:val="16"/>
          <w:szCs w:val="16"/>
        </w:rPr>
        <w:softHyphen/>
        <w:t xml:space="preserve">бителей </w:t>
      </w:r>
      <w:r w:rsidRPr="00070ADE">
        <w:rPr>
          <w:rFonts w:ascii="Times New Roman" w:hAnsi="Times New Roman"/>
          <w:color w:val="000000" w:themeColor="text1"/>
          <w:sz w:val="16"/>
          <w:szCs w:val="16"/>
          <w:lang w:val="en-US"/>
        </w:rPr>
        <w:t>Bf</w:t>
      </w:r>
      <w:r w:rsidRPr="00070ADE">
        <w:rPr>
          <w:rFonts w:ascii="Times New Roman" w:hAnsi="Times New Roman"/>
          <w:color w:val="000000" w:themeColor="text1"/>
          <w:sz w:val="16"/>
          <w:szCs w:val="16"/>
        </w:rPr>
        <w:t xml:space="preserve"> 109Н-1, оборудованных гермокабинами и имеющих потолок 14500 м, и пе</w:t>
      </w:r>
      <w:r w:rsidRPr="00070ADE">
        <w:rPr>
          <w:rFonts w:ascii="Times New Roman" w:hAnsi="Times New Roman"/>
          <w:color w:val="000000" w:themeColor="text1"/>
          <w:sz w:val="16"/>
          <w:szCs w:val="16"/>
        </w:rPr>
        <w:softHyphen/>
        <w:t>редали их на вооружение частей, базирующихся возле Парижа. Как водится в таких случаях, вновь начались поиски крайнего. В начале апреля 1944 г. А.С. Яковлев буквально таки потребовал применения экстраординарных мер, включая установления неимоверно больших премий для самолетостроителей и мотористов за будущие работы и наложение взысканий на мотористов за то, что уже было сделано (орфография и пунктуация сохранены):</w:t>
      </w:r>
    </w:p>
    <w:p w14:paraId="3E3555FC" w14:textId="77777777"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«Дело создания высотных истребителей обстоит исключительно плохо.</w:t>
      </w:r>
    </w:p>
    <w:p w14:paraId="1F30807C" w14:textId="77777777"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самолёты этого типа, строящиеся конструкторами ЯКОВЛЕВЫМ, ЛАВОЧКИНЫМ и МИКОЯНОМ, находятся в состоянии застоя и при существующем положении дел не будут готовы к лету даже в опытных экземплярах.</w:t>
      </w:r>
    </w:p>
    <w:p w14:paraId="22BDEA05" w14:textId="77777777"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Основной причиной такого недопустимого положения с решением важнейшей обо</w:t>
      </w:r>
      <w:r w:rsidRPr="00070ADE">
        <w:rPr>
          <w:rFonts w:ascii="Times New Roman" w:hAnsi="Times New Roman"/>
          <w:color w:val="000000" w:themeColor="text1"/>
          <w:sz w:val="16"/>
          <w:szCs w:val="16"/>
        </w:rPr>
        <w:softHyphen/>
        <w:t>ронной проблемы является полное бездействие опытно-моторного Главка, конструк</w:t>
      </w:r>
      <w:r w:rsidRPr="00070ADE">
        <w:rPr>
          <w:rFonts w:ascii="Times New Roman" w:hAnsi="Times New Roman"/>
          <w:color w:val="000000" w:themeColor="text1"/>
          <w:sz w:val="16"/>
          <w:szCs w:val="16"/>
        </w:rPr>
        <w:softHyphen/>
        <w:t xml:space="preserve">торов-мотористов и ЦИАМ... </w:t>
      </w:r>
      <w:r w:rsidRPr="00070ADE">
        <w:rPr>
          <w:rStyle w:val="59"/>
          <w:rFonts w:ascii="Times New Roman" w:hAnsi="Times New Roman" w:cs="Times New Roman"/>
          <w:color w:val="000000" w:themeColor="text1"/>
          <w:sz w:val="16"/>
          <w:szCs w:val="16"/>
        </w:rPr>
        <w:t>В результате</w:t>
      </w:r>
      <w:r w:rsidRPr="00070ADE">
        <w:rPr>
          <w:rFonts w:ascii="Times New Roman" w:hAnsi="Times New Roman"/>
          <w:color w:val="000000" w:themeColor="text1"/>
          <w:sz w:val="16"/>
          <w:szCs w:val="16"/>
        </w:rPr>
        <w:t>:</w:t>
      </w:r>
    </w:p>
    <w:p w14:paraId="6AC7748A" w14:textId="77777777"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самолёт т. ЯКОВЛЕВА с мотором 105ПД стоит в ожидании доработки моторной группы по увеличению её высотности;</w:t>
      </w:r>
    </w:p>
    <w:p w14:paraId="00CED137" w14:textId="77777777"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самолёт т. ЛАВОЧКИНА не может достичь заданной высоты из-за перегрева мотора на высотах. Рекомендованный ЦИАМ в прошлом году впрыск воды работает неудов</w:t>
      </w:r>
      <w:r w:rsidRPr="00070ADE">
        <w:rPr>
          <w:rFonts w:ascii="Times New Roman" w:hAnsi="Times New Roman"/>
          <w:color w:val="000000" w:themeColor="text1"/>
          <w:sz w:val="16"/>
          <w:szCs w:val="16"/>
        </w:rPr>
        <w:softHyphen/>
        <w:t>летворительно, но ЦИАМом не доводится.</w:t>
      </w:r>
    </w:p>
    <w:p w14:paraId="193CE0DB" w14:textId="77777777"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самолёт т. МИКОЯНА с мотором АМ-39 с ТК ожидает мотора, все сроки подачи ко</w:t>
      </w:r>
      <w:r w:rsidRPr="00070ADE">
        <w:rPr>
          <w:rFonts w:ascii="Times New Roman" w:hAnsi="Times New Roman"/>
          <w:color w:val="000000" w:themeColor="text1"/>
          <w:sz w:val="16"/>
          <w:szCs w:val="16"/>
        </w:rPr>
        <w:softHyphen/>
        <w:t>торого по постановлению ГОКО давно истекли.</w:t>
      </w:r>
    </w:p>
    <w:p w14:paraId="4F8AFC0A" w14:textId="77777777"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вследствие непонятной бездеятельности мотористов мы оказыва</w:t>
      </w:r>
      <w:r w:rsidRPr="00070ADE">
        <w:rPr>
          <w:rFonts w:ascii="Times New Roman" w:hAnsi="Times New Roman"/>
          <w:color w:val="000000" w:themeColor="text1"/>
          <w:sz w:val="16"/>
          <w:szCs w:val="16"/>
        </w:rPr>
        <w:softHyphen/>
        <w:t xml:space="preserve">емся безоружными перед лицом высотных самолётов врага. </w:t>
      </w:r>
      <w:r w:rsidRPr="00070ADE">
        <w:rPr>
          <w:rStyle w:val="59"/>
          <w:rFonts w:ascii="Times New Roman" w:hAnsi="Times New Roman" w:cs="Times New Roman"/>
          <w:color w:val="000000" w:themeColor="text1"/>
          <w:sz w:val="16"/>
          <w:szCs w:val="16"/>
        </w:rPr>
        <w:t>Необходимо</w:t>
      </w:r>
      <w:r w:rsidRPr="00070ADE">
        <w:rPr>
          <w:rFonts w:ascii="Times New Roman" w:hAnsi="Times New Roman"/>
          <w:color w:val="000000" w:themeColor="text1"/>
          <w:sz w:val="16"/>
          <w:szCs w:val="16"/>
        </w:rPr>
        <w:t>:</w:t>
      </w:r>
    </w:p>
    <w:p w14:paraId="21F3DFBE" w14:textId="77777777" w:rsidR="00D86EA0" w:rsidRPr="00070ADE" w:rsidRDefault="00D86EA0" w:rsidP="00B56F90">
      <w:pPr>
        <w:tabs>
          <w:tab w:val="left" w:pos="43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Войти в Правительство с прилагаемым проектом постановления, в котором наме</w:t>
      </w:r>
      <w:r w:rsidRPr="00070ADE">
        <w:rPr>
          <w:rFonts w:ascii="Times New Roman" w:hAnsi="Times New Roman"/>
          <w:color w:val="000000" w:themeColor="text1"/>
          <w:sz w:val="16"/>
          <w:szCs w:val="16"/>
        </w:rPr>
        <w:softHyphen/>
        <w:t>чены экстраординарные мероприятия по поощрению отработки высотных самолётов.</w:t>
      </w:r>
    </w:p>
    <w:p w14:paraId="23DB3E90" w14:textId="77777777" w:rsidR="00D86EA0" w:rsidRPr="00070ADE" w:rsidRDefault="00D86EA0" w:rsidP="00B56F90">
      <w:pPr>
        <w:tabs>
          <w:tab w:val="left" w:pos="44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Наложить строгие взыскания на виновников задержки:</w:t>
      </w:r>
    </w:p>
    <w:p w14:paraId="2CFBD92E" w14:textId="77777777" w:rsidR="00D86EA0" w:rsidRPr="00070ADE" w:rsidRDefault="00D86EA0" w:rsidP="00B56F90">
      <w:pPr>
        <w:tabs>
          <w:tab w:val="left" w:pos="43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отработки и развития мотора 105ПД,</w:t>
      </w:r>
    </w:p>
    <w:p w14:paraId="54C77C65" w14:textId="77777777" w:rsidR="00D86EA0" w:rsidRPr="00070ADE" w:rsidRDefault="00D86EA0" w:rsidP="00B56F90">
      <w:pPr>
        <w:tabs>
          <w:tab w:val="left" w:pos="45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мотора АМ-39 с ТК,</w:t>
      </w:r>
    </w:p>
    <w:p w14:paraId="03FC21DC" w14:textId="77777777" w:rsidR="00D86EA0" w:rsidRPr="00070ADE" w:rsidRDefault="00D86EA0" w:rsidP="00B56F90">
      <w:pPr>
        <w:tabs>
          <w:tab w:val="left" w:pos="44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отработки впрыска воды и системы ТК к мотору АШ-82ФН,</w:t>
      </w:r>
    </w:p>
    <w:p w14:paraId="7AABAF5D" w14:textId="77777777" w:rsidR="00D86EA0" w:rsidRPr="00070ADE" w:rsidRDefault="00D86EA0" w:rsidP="00B56F90">
      <w:pPr>
        <w:tabs>
          <w:tab w:val="left" w:pos="45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серийного выпуска ТК.</w:t>
      </w:r>
    </w:p>
    <w:p w14:paraId="277376B3" w14:textId="77777777" w:rsidR="00D86EA0" w:rsidRPr="00070ADE" w:rsidRDefault="00D86EA0" w:rsidP="00B56F90">
      <w:pPr>
        <w:tabs>
          <w:tab w:val="left" w:pos="42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Обязать 8 Главк и ЦИАМ бросить все силы на доводку моторных групп высотных истребителей т.т. ЯКОВЛЕВА, ЛАВОЧКИНА и МИКОЯНА.</w:t>
      </w:r>
    </w:p>
    <w:p w14:paraId="139D8ADF" w14:textId="77777777" w:rsidR="00D86EA0" w:rsidRPr="00070ADE" w:rsidRDefault="00D86EA0" w:rsidP="00B56F90">
      <w:pPr>
        <w:tabs>
          <w:tab w:val="left" w:pos="44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Немедленно начать выпуск небольшой серии моторов М-105ПД».</w:t>
      </w:r>
    </w:p>
    <w:p w14:paraId="1DE53853" w14:textId="77777777"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общем, во всём виноваты мотористы — их всех надо наказать. Совершенно неспра</w:t>
      </w:r>
      <w:r w:rsidRPr="00070ADE">
        <w:rPr>
          <w:rFonts w:ascii="Times New Roman" w:hAnsi="Times New Roman"/>
          <w:color w:val="000000" w:themeColor="text1"/>
          <w:sz w:val="16"/>
          <w:szCs w:val="16"/>
        </w:rPr>
        <w:softHyphen/>
        <w:t>ведливый вывод, но, с «аппаратной» точки зрения, абсолютно разумный: убрать из-под топора свою голову и подставить чужую. Тем более что поощрение, действительно, пред</w:t>
      </w:r>
      <w:r w:rsidRPr="00070ADE">
        <w:rPr>
          <w:rFonts w:ascii="Times New Roman" w:hAnsi="Times New Roman"/>
          <w:color w:val="000000" w:themeColor="text1"/>
          <w:sz w:val="16"/>
          <w:szCs w:val="16"/>
        </w:rPr>
        <w:softHyphen/>
        <w:t>полагалось экстраординарное: «Установить первую премию в 1 миллион рублей опытно</w:t>
      </w:r>
      <w:r w:rsidRPr="00070ADE">
        <w:rPr>
          <w:rFonts w:ascii="Times New Roman" w:hAnsi="Times New Roman"/>
          <w:color w:val="000000" w:themeColor="text1"/>
          <w:sz w:val="16"/>
          <w:szCs w:val="16"/>
        </w:rPr>
        <w:softHyphen/>
        <w:t>му самолётному конструкторскому бюро, которое первым даст самолёт-истребитель с потолком 14000 мт. На высоте 13000 мт самолёт должен иметь вертикальную скорость 2,5 мт в секунду и иметь продолжительность полёта не менее 30 минут. Самолёт должен нести не менее одной пушки калибра 20 мм с боезапасом 60 снарядов. Потолок, верти</w:t>
      </w:r>
      <w:r w:rsidRPr="00070ADE">
        <w:rPr>
          <w:rFonts w:ascii="Times New Roman" w:hAnsi="Times New Roman"/>
          <w:color w:val="000000" w:themeColor="text1"/>
          <w:sz w:val="16"/>
          <w:szCs w:val="16"/>
        </w:rPr>
        <w:softHyphen/>
        <w:t>кальная скорость и продолжительность полёта должны быть определены государствен</w:t>
      </w:r>
      <w:r w:rsidRPr="00070ADE">
        <w:rPr>
          <w:rFonts w:ascii="Times New Roman" w:hAnsi="Times New Roman"/>
          <w:color w:val="000000" w:themeColor="text1"/>
          <w:sz w:val="16"/>
          <w:szCs w:val="16"/>
        </w:rPr>
        <w:softHyphen/>
        <w:t>ным испытанием. Из указанной премии в 1 миллион рублей, 50% выдается лично глав</w:t>
      </w:r>
      <w:r w:rsidRPr="00070ADE">
        <w:rPr>
          <w:rFonts w:ascii="Times New Roman" w:hAnsi="Times New Roman"/>
          <w:color w:val="000000" w:themeColor="text1"/>
          <w:sz w:val="16"/>
          <w:szCs w:val="16"/>
        </w:rPr>
        <w:softHyphen/>
        <w:t>ному конструктору самолёта и 50% — коллективу ОКБ». Премия в 500 тыс. руб. устанав</w:t>
      </w:r>
      <w:r w:rsidRPr="00070ADE">
        <w:rPr>
          <w:rFonts w:ascii="Times New Roman" w:hAnsi="Times New Roman"/>
          <w:color w:val="000000" w:themeColor="text1"/>
          <w:sz w:val="16"/>
          <w:szCs w:val="16"/>
        </w:rPr>
        <w:softHyphen/>
        <w:t>ливалась за самолёт с потолком 13500 м, премии 1 млн. и 500 тыс. руб. выплачивались опытно-моторным КБ, в зависимости от того, в решении какой из задач использовался разработанный ими мотор. Половина премии во всех случаях выдавалась лично главно</w:t>
      </w:r>
      <w:r w:rsidRPr="00070ADE">
        <w:rPr>
          <w:rFonts w:ascii="Times New Roman" w:hAnsi="Times New Roman"/>
          <w:color w:val="000000" w:themeColor="text1"/>
          <w:sz w:val="16"/>
          <w:szCs w:val="16"/>
        </w:rPr>
        <w:softHyphen/>
        <w:t>му конструктору самолёта или мотора. Помимо денежных премий, главных конструкто</w:t>
      </w:r>
      <w:r w:rsidRPr="00070ADE">
        <w:rPr>
          <w:rFonts w:ascii="Times New Roman" w:hAnsi="Times New Roman"/>
          <w:color w:val="000000" w:themeColor="text1"/>
          <w:sz w:val="16"/>
          <w:szCs w:val="16"/>
        </w:rPr>
        <w:softHyphen/>
        <w:t>ров, первыми решившими поставленную задачу, и лучших работников их коллективов Наркомавиапром представлял к правительственным наградам (15830).</w:t>
      </w:r>
    </w:p>
    <w:p w14:paraId="7DAE7B2D" w14:textId="77777777" w:rsidR="00D86EA0" w:rsidRPr="00070ADE" w:rsidRDefault="00D86EA0" w:rsidP="00B56F90">
      <w:pPr>
        <w:spacing w:after="0" w:line="240" w:lineRule="auto"/>
        <w:jc w:val="both"/>
        <w:rPr>
          <w:rFonts w:ascii="Times New Roman" w:hAnsi="Times New Roman"/>
          <w:color w:val="000000" w:themeColor="text1"/>
          <w:sz w:val="16"/>
          <w:szCs w:val="16"/>
        </w:rPr>
      </w:pPr>
    </w:p>
    <w:p w14:paraId="29B861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года заводу № 31 в Тбилиси было поручено наладить выпуск новых истребителей ЯК-3 с мотором ВК-105ПФ. С апреля 1944 года завод приступил к серийному выпуску этого самолета.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2191FF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79148C8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245FF7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10B713B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5A7B49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Согласно Постановлению СМ за № 3143-1481сс от 25 августа 1951 года и приказа МАП за № 851сс от 1 сентября 1951 года, завод получает задание подготовиться к </w:t>
      </w:r>
      <w:r w:rsidRPr="00070ADE">
        <w:rPr>
          <w:rFonts w:ascii="Times New Roman" w:hAnsi="Times New Roman"/>
          <w:color w:val="000000" w:themeColor="text1"/>
          <w:sz w:val="16"/>
          <w:szCs w:val="16"/>
        </w:rPr>
        <w:lastRenderedPageBreak/>
        <w:t>выпуску нового самолета МИГ-17 и обеспечить его выпуск с декабря 1952 года.</w:t>
      </w:r>
    </w:p>
    <w:p w14:paraId="46CF5C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завода Хведелиани</w:t>
      </w:r>
    </w:p>
    <w:p w14:paraId="1C2E4A1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Тбилиси, п/я 51</w:t>
      </w:r>
    </w:p>
    <w:p w14:paraId="36DD56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июля 1956 года завод приступил к освоению нового самолета МИГ-21 (9821).</w:t>
      </w:r>
    </w:p>
    <w:p w14:paraId="6457FFB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FAEC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часть оборудования завода № 1 была передана для формирования нового завода № 473 НКАП (11982).</w:t>
      </w:r>
    </w:p>
    <w:p w14:paraId="1B5E007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0451D85" w14:textId="77777777"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ЛИИ НКАП исследовал причины выхода из строя анероидов. Иссле</w:t>
      </w:r>
      <w:r w:rsidRPr="00070ADE">
        <w:rPr>
          <w:rFonts w:ascii="Times New Roman" w:hAnsi="Times New Roman"/>
          <w:color w:val="000000" w:themeColor="text1"/>
          <w:sz w:val="16"/>
          <w:szCs w:val="16"/>
        </w:rPr>
        <w:softHyphen/>
        <w:t>дования показали, что причиной этого массового дефекта являлись тяжёлые вибраци</w:t>
      </w:r>
      <w:r w:rsidRPr="00070ADE">
        <w:rPr>
          <w:rFonts w:ascii="Times New Roman" w:hAnsi="Times New Roman"/>
          <w:color w:val="000000" w:themeColor="text1"/>
          <w:sz w:val="16"/>
          <w:szCs w:val="16"/>
        </w:rPr>
        <w:softHyphen/>
        <w:t>онные условия работы анероидов, вызываемые неудачной компоновкой автомата РС-2 на насосе НБ-ЗУ (15829).</w:t>
      </w:r>
    </w:p>
    <w:p w14:paraId="768A1895" w14:textId="77777777" w:rsidR="00D86EA0" w:rsidRPr="00070ADE" w:rsidRDefault="00D86EA0" w:rsidP="00B56F90">
      <w:pPr>
        <w:pStyle w:val="5b"/>
        <w:shd w:val="clear" w:color="auto" w:fill="auto"/>
        <w:spacing w:before="0" w:line="240" w:lineRule="auto"/>
        <w:rPr>
          <w:color w:val="000000" w:themeColor="text1"/>
          <w:sz w:val="16"/>
          <w:szCs w:val="16"/>
        </w:rPr>
      </w:pPr>
    </w:p>
    <w:p w14:paraId="2ADDFED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года ЛИИ НКАП исследовал причины выхода из строя анероидов, вызывавших нестабильную работу регулятора сме</w:t>
      </w:r>
      <w:r w:rsidRPr="00070ADE">
        <w:rPr>
          <w:rFonts w:ascii="Times New Roman" w:hAnsi="Times New Roman"/>
          <w:color w:val="000000" w:themeColor="text1"/>
          <w:sz w:val="16"/>
          <w:szCs w:val="16"/>
        </w:rPr>
        <w:softHyphen/>
        <w:t>си РС-2 насоса НБ-ЗУ, которая стала другим дефектом двигателя М-82ФН, долго досаждавшим в эксплуатации. Было установ</w:t>
      </w:r>
      <w:r w:rsidRPr="00070ADE">
        <w:rPr>
          <w:rFonts w:ascii="Times New Roman" w:hAnsi="Times New Roman"/>
          <w:color w:val="000000" w:themeColor="text1"/>
          <w:sz w:val="16"/>
          <w:szCs w:val="16"/>
        </w:rPr>
        <w:softHyphen/>
        <w:t>лено, что автомат смеси РС-2 с се</w:t>
      </w:r>
      <w:r w:rsidRPr="00070ADE">
        <w:rPr>
          <w:rFonts w:ascii="Times New Roman" w:hAnsi="Times New Roman"/>
          <w:color w:val="000000" w:themeColor="text1"/>
          <w:sz w:val="16"/>
          <w:szCs w:val="16"/>
        </w:rPr>
        <w:softHyphen/>
        <w:t>рийными анероидами после 15-30 часов работы мотора самопроизволь</w:t>
      </w:r>
      <w:r w:rsidRPr="00070ADE">
        <w:rPr>
          <w:rFonts w:ascii="Times New Roman" w:hAnsi="Times New Roman"/>
          <w:color w:val="000000" w:themeColor="text1"/>
          <w:sz w:val="16"/>
          <w:szCs w:val="16"/>
        </w:rPr>
        <w:softHyphen/>
        <w:t>но обогащал смесь, о чем свидетель</w:t>
      </w:r>
      <w:r w:rsidRPr="00070ADE">
        <w:rPr>
          <w:rFonts w:ascii="Times New Roman" w:hAnsi="Times New Roman"/>
          <w:color w:val="000000" w:themeColor="text1"/>
          <w:sz w:val="16"/>
          <w:szCs w:val="16"/>
        </w:rPr>
        <w:softHyphen/>
        <w:t>ствовало дымление мотора. Расход горючего возрастал, а скорость и даль</w:t>
      </w:r>
      <w:r w:rsidRPr="00070ADE">
        <w:rPr>
          <w:rFonts w:ascii="Times New Roman" w:hAnsi="Times New Roman"/>
          <w:color w:val="000000" w:themeColor="text1"/>
          <w:sz w:val="16"/>
          <w:szCs w:val="16"/>
        </w:rPr>
        <w:softHyphen/>
        <w:t>ность полета снижались, и требова</w:t>
      </w:r>
      <w:r w:rsidRPr="00070ADE">
        <w:rPr>
          <w:rFonts w:ascii="Times New Roman" w:hAnsi="Times New Roman"/>
          <w:color w:val="000000" w:themeColor="text1"/>
          <w:sz w:val="16"/>
          <w:szCs w:val="16"/>
        </w:rPr>
        <w:softHyphen/>
        <w:t>лась значительная подрегулировка смеси шайбой анероидов в сторону забеднения. Исследования показали, что причиной этого массового дефек</w:t>
      </w:r>
      <w:r w:rsidRPr="00070ADE">
        <w:rPr>
          <w:rFonts w:ascii="Times New Roman" w:hAnsi="Times New Roman"/>
          <w:color w:val="000000" w:themeColor="text1"/>
          <w:sz w:val="16"/>
          <w:szCs w:val="16"/>
        </w:rPr>
        <w:softHyphen/>
        <w:t>та являлись тяжелые вибрационные условия работы анероидов, вызывае</w:t>
      </w:r>
      <w:r w:rsidRPr="00070ADE">
        <w:rPr>
          <w:rFonts w:ascii="Times New Roman" w:hAnsi="Times New Roman"/>
          <w:color w:val="000000" w:themeColor="text1"/>
          <w:sz w:val="16"/>
          <w:szCs w:val="16"/>
        </w:rPr>
        <w:softHyphen/>
        <w:t>мые неудачной компоновкой автома</w:t>
      </w:r>
      <w:r w:rsidRPr="00070ADE">
        <w:rPr>
          <w:rFonts w:ascii="Times New Roman" w:hAnsi="Times New Roman"/>
          <w:color w:val="000000" w:themeColor="text1"/>
          <w:sz w:val="16"/>
          <w:szCs w:val="16"/>
        </w:rPr>
        <w:softHyphen/>
        <w:t>та РС-2 на насосе НБ-ЗУ. Для устранения этого дефекта ЦИАМ предложил вариант равновы-сотных или равнонаполненных ане</w:t>
      </w:r>
      <w:r w:rsidRPr="00070ADE">
        <w:rPr>
          <w:rFonts w:ascii="Times New Roman" w:hAnsi="Times New Roman"/>
          <w:color w:val="000000" w:themeColor="text1"/>
          <w:sz w:val="16"/>
          <w:szCs w:val="16"/>
        </w:rPr>
        <w:softHyphen/>
        <w:t>роидов, отличающийся от серийных тем, что в трех газонаполненных ане</w:t>
      </w:r>
      <w:r w:rsidRPr="00070ADE">
        <w:rPr>
          <w:rFonts w:ascii="Times New Roman" w:hAnsi="Times New Roman"/>
          <w:color w:val="000000" w:themeColor="text1"/>
          <w:sz w:val="16"/>
          <w:szCs w:val="16"/>
        </w:rPr>
        <w:softHyphen/>
        <w:t>роидах при их запайке оставлялось остаточное давление воздуха 600-650 мм рт.ст. вместо 400-550 мм у се</w:t>
      </w:r>
      <w:r w:rsidRPr="00070ADE">
        <w:rPr>
          <w:rFonts w:ascii="Times New Roman" w:hAnsi="Times New Roman"/>
          <w:color w:val="000000" w:themeColor="text1"/>
          <w:sz w:val="16"/>
          <w:szCs w:val="16"/>
        </w:rPr>
        <w:softHyphen/>
        <w:t>рийных анероидов, что делало анеро</w:t>
      </w:r>
      <w:r w:rsidRPr="00070ADE">
        <w:rPr>
          <w:rFonts w:ascii="Times New Roman" w:hAnsi="Times New Roman"/>
          <w:color w:val="000000" w:themeColor="text1"/>
          <w:sz w:val="16"/>
          <w:szCs w:val="16"/>
        </w:rPr>
        <w:softHyphen/>
        <w:t>иды более упругими и равнонапол-ненными или равновысотными по от</w:t>
      </w:r>
      <w:r w:rsidRPr="00070ADE">
        <w:rPr>
          <w:rFonts w:ascii="Times New Roman" w:hAnsi="Times New Roman"/>
          <w:color w:val="000000" w:themeColor="text1"/>
          <w:sz w:val="16"/>
          <w:szCs w:val="16"/>
        </w:rPr>
        <w:softHyphen/>
        <w:t>ношению друг к другу. В то же время ЦЗЛ завода №133 была предложена новая конструкция комплектов анероидов автомата сме</w:t>
      </w:r>
      <w:r w:rsidRPr="00070ADE">
        <w:rPr>
          <w:rFonts w:ascii="Times New Roman" w:hAnsi="Times New Roman"/>
          <w:color w:val="000000" w:themeColor="text1"/>
          <w:sz w:val="16"/>
          <w:szCs w:val="16"/>
        </w:rPr>
        <w:softHyphen/>
        <w:t>си РС-2 - малогабаритные анероиды. Опытные анероиды автомата сме</w:t>
      </w:r>
      <w:r w:rsidRPr="00070ADE">
        <w:rPr>
          <w:rFonts w:ascii="Times New Roman" w:hAnsi="Times New Roman"/>
          <w:color w:val="000000" w:themeColor="text1"/>
          <w:sz w:val="16"/>
          <w:szCs w:val="16"/>
        </w:rPr>
        <w:softHyphen/>
        <w:t>си РС-2 (малогабаритные и равновысотные) были установлены вместо се</w:t>
      </w:r>
      <w:r w:rsidRPr="00070ADE">
        <w:rPr>
          <w:rFonts w:ascii="Times New Roman" w:hAnsi="Times New Roman"/>
          <w:color w:val="000000" w:themeColor="text1"/>
          <w:sz w:val="16"/>
          <w:szCs w:val="16"/>
        </w:rPr>
        <w:softHyphen/>
        <w:t>рийных на самолетах Ла-5 с АШ-82ФН и прошли войсковые испыта</w:t>
      </w:r>
      <w:r w:rsidRPr="00070ADE">
        <w:rPr>
          <w:rFonts w:ascii="Times New Roman" w:hAnsi="Times New Roman"/>
          <w:color w:val="000000" w:themeColor="text1"/>
          <w:sz w:val="16"/>
          <w:szCs w:val="16"/>
        </w:rPr>
        <w:softHyphen/>
        <w:t>ния в условиях учебно-боевой и бо</w:t>
      </w:r>
      <w:r w:rsidRPr="00070ADE">
        <w:rPr>
          <w:rFonts w:ascii="Times New Roman" w:hAnsi="Times New Roman"/>
          <w:color w:val="000000" w:themeColor="text1"/>
          <w:sz w:val="16"/>
          <w:szCs w:val="16"/>
        </w:rPr>
        <w:softHyphen/>
        <w:t>евой работы 161 и 609 ИАП 330 Островской ИАД 14 ВА на 3-м При</w:t>
      </w:r>
      <w:r w:rsidRPr="00070ADE">
        <w:rPr>
          <w:rFonts w:ascii="Times New Roman" w:hAnsi="Times New Roman"/>
          <w:color w:val="000000" w:themeColor="text1"/>
          <w:sz w:val="16"/>
          <w:szCs w:val="16"/>
        </w:rPr>
        <w:softHyphen/>
        <w:t>балтийском фронте в период с 5 мая по 5 сентября 1944 года (10714).</w:t>
      </w:r>
    </w:p>
    <w:p w14:paraId="218690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5A4F5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ОКБ—155 в инициативном порядке модифицировало истребитель И—220 зав. № 02. На самолете, получив</w:t>
      </w:r>
      <w:r w:rsidRPr="00070ADE">
        <w:rPr>
          <w:rFonts w:ascii="Times New Roman" w:hAnsi="Times New Roman"/>
          <w:color w:val="000000" w:themeColor="text1"/>
          <w:sz w:val="16"/>
          <w:szCs w:val="16"/>
        </w:rPr>
        <w:softHyphen/>
        <w:t>шем название И—225 и шифр «5А», помимо нового мотора АМ-42 и турбокомпрессора смонтировали воздухо-воздушный радиатор для охлаждения воздуха, посту</w:t>
      </w:r>
      <w:r w:rsidRPr="00070ADE">
        <w:rPr>
          <w:rFonts w:ascii="Times New Roman" w:hAnsi="Times New Roman"/>
          <w:color w:val="000000" w:themeColor="text1"/>
          <w:sz w:val="16"/>
          <w:szCs w:val="16"/>
        </w:rPr>
        <w:softHyphen/>
        <w:t>пающего в карбюраторы двигателя, и трехлопастный винт АВ—5ЛВ—22А диаметром 3,6 м. Форси</w:t>
      </w:r>
      <w:r w:rsidRPr="00070ADE">
        <w:rPr>
          <w:rFonts w:ascii="Times New Roman" w:hAnsi="Times New Roman"/>
          <w:color w:val="000000" w:themeColor="text1"/>
          <w:sz w:val="16"/>
          <w:szCs w:val="16"/>
        </w:rPr>
        <w:softHyphen/>
        <w:t>рованный вариант мотора АМ—42 (буква Ф в названии) был дополнен односкоростным привод</w:t>
      </w:r>
      <w:r w:rsidRPr="00070ADE">
        <w:rPr>
          <w:rFonts w:ascii="Times New Roman" w:hAnsi="Times New Roman"/>
          <w:color w:val="000000" w:themeColor="text1"/>
          <w:sz w:val="16"/>
          <w:szCs w:val="16"/>
        </w:rPr>
        <w:softHyphen/>
        <w:t>ным центробежным нагнетателем (буква Б), сопря</w:t>
      </w:r>
      <w:r w:rsidRPr="00070ADE">
        <w:rPr>
          <w:rFonts w:ascii="Times New Roman" w:hAnsi="Times New Roman"/>
          <w:color w:val="000000" w:themeColor="text1"/>
          <w:sz w:val="16"/>
          <w:szCs w:val="16"/>
        </w:rPr>
        <w:softHyphen/>
        <w:t>женным с турбокомпрессором. В основу конструк</w:t>
      </w:r>
      <w:r w:rsidRPr="00070ADE">
        <w:rPr>
          <w:rFonts w:ascii="Times New Roman" w:hAnsi="Times New Roman"/>
          <w:color w:val="000000" w:themeColor="text1"/>
          <w:sz w:val="16"/>
          <w:szCs w:val="16"/>
        </w:rPr>
        <w:softHyphen/>
        <w:t>ции турбокомпрессора легли два изобретения Микулина:</w:t>
      </w:r>
    </w:p>
    <w:p w14:paraId="1DA251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постановка турбокомпрессора на один блок мо</w:t>
      </w:r>
      <w:r w:rsidRPr="00070ADE">
        <w:rPr>
          <w:rFonts w:ascii="Times New Roman" w:hAnsi="Times New Roman"/>
          <w:color w:val="000000" w:themeColor="text1"/>
          <w:sz w:val="16"/>
          <w:szCs w:val="16"/>
        </w:rPr>
        <w:softHyphen/>
        <w:t>тора при сохранении реактивного выхлопа с другого блока, что позволяло увеличить скорость самолета и отказаться от ручной регулировки, увеличивало по</w:t>
      </w:r>
      <w:r w:rsidRPr="00070ADE">
        <w:rPr>
          <w:rFonts w:ascii="Times New Roman" w:hAnsi="Times New Roman"/>
          <w:color w:val="000000" w:themeColor="text1"/>
          <w:sz w:val="16"/>
          <w:szCs w:val="16"/>
        </w:rPr>
        <w:softHyphen/>
        <w:t>лезную мощность мотора и заметно снижало темпе</w:t>
      </w:r>
      <w:r w:rsidRPr="00070ADE">
        <w:rPr>
          <w:rFonts w:ascii="Times New Roman" w:hAnsi="Times New Roman"/>
          <w:color w:val="000000" w:themeColor="text1"/>
          <w:sz w:val="16"/>
          <w:szCs w:val="16"/>
        </w:rPr>
        <w:softHyphen/>
        <w:t>ратуру газа на лопатках турбины;</w:t>
      </w:r>
    </w:p>
    <w:p w14:paraId="77239B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применение широкохордных лопаток турбины, изготовленных методом фрезерования с приданием эллиптической формы поверхностям, что позволило уменьшить стоимость изготовления и повысило прочность лопаток (9984).</w:t>
      </w:r>
    </w:p>
    <w:p w14:paraId="2C1D1EC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4AA40A"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года построили И-225 путём установки на второй экземпляр И-220 мо</w:t>
      </w:r>
      <w:r w:rsidRPr="00070ADE">
        <w:rPr>
          <w:rFonts w:ascii="Times New Roman" w:hAnsi="Times New Roman"/>
          <w:color w:val="000000" w:themeColor="text1"/>
          <w:sz w:val="16"/>
          <w:szCs w:val="16"/>
        </w:rPr>
        <w:softHyphen/>
        <w:t>тора АМ-42Б с турбокомпрессором ТК-300Б. Кроме этого, самолёт, получивший также заводской шифр «5А», оснастили воздухо-воздушным радиатором для охлаж</w:t>
      </w:r>
      <w:r w:rsidRPr="00070ADE">
        <w:rPr>
          <w:rFonts w:ascii="Times New Roman" w:hAnsi="Times New Roman"/>
          <w:color w:val="000000" w:themeColor="text1"/>
          <w:sz w:val="16"/>
          <w:szCs w:val="16"/>
        </w:rPr>
        <w:softHyphen/>
        <w:t>дения поступающего в карбюратор воздуха и трёхлопастным винтом АВ-5ЛВ-22А диаметром 3,6 м (23379).</w:t>
      </w:r>
    </w:p>
    <w:p w14:paraId="4783D99E" w14:textId="77777777" w:rsidR="00A822F4" w:rsidRPr="00070ADE" w:rsidRDefault="00A822F4" w:rsidP="00B56F90">
      <w:pPr>
        <w:spacing w:after="0" w:line="240" w:lineRule="auto"/>
        <w:jc w:val="both"/>
        <w:rPr>
          <w:rFonts w:ascii="Times New Roman" w:hAnsi="Times New Roman"/>
          <w:color w:val="000000" w:themeColor="text1"/>
          <w:sz w:val="16"/>
          <w:szCs w:val="16"/>
        </w:rPr>
      </w:pPr>
    </w:p>
    <w:p w14:paraId="208A885F" w14:textId="77777777" w:rsidR="00080EEF" w:rsidRPr="00C94B78" w:rsidRDefault="00080EE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1944 г. ОКБ-155 в инициативном порядке провело модификацию истребителя И-220 №02 под опытный мотор АМ-42Б с турбокомпрессором ТК-300Б. На самолете, получившем название И-225 и шифр «5А», также установили воздухо-воздушный радиатор для охлаждения воздуха, поступающего в карбюратор двигателя, и трехлопастный винт АВ-5ЛВ-22А диаметром 3,6 м (25230).</w:t>
      </w:r>
    </w:p>
    <w:p w14:paraId="7D9E5FB4" w14:textId="77777777" w:rsidR="00080EEF" w:rsidRPr="00C94B78" w:rsidRDefault="00080EEF" w:rsidP="00B56F90">
      <w:pPr>
        <w:spacing w:after="0" w:line="240" w:lineRule="auto"/>
        <w:jc w:val="both"/>
        <w:rPr>
          <w:rFonts w:ascii="Times New Roman" w:hAnsi="Times New Roman"/>
          <w:color w:val="0070C0"/>
          <w:sz w:val="16"/>
          <w:szCs w:val="16"/>
        </w:rPr>
      </w:pPr>
    </w:p>
    <w:p w14:paraId="7431A1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в инициативном по</w:t>
      </w:r>
      <w:r w:rsidRPr="00070ADE">
        <w:rPr>
          <w:rFonts w:ascii="Times New Roman" w:hAnsi="Times New Roman"/>
          <w:color w:val="000000" w:themeColor="text1"/>
          <w:sz w:val="16"/>
          <w:szCs w:val="16"/>
        </w:rPr>
        <w:softHyphen/>
        <w:t>рядке Н.Н.П. был разработан эскизный проект истребителя с комбинированной сило</w:t>
      </w:r>
      <w:r w:rsidRPr="00070ADE">
        <w:rPr>
          <w:rFonts w:ascii="Times New Roman" w:hAnsi="Times New Roman"/>
          <w:color w:val="000000" w:themeColor="text1"/>
          <w:sz w:val="16"/>
          <w:szCs w:val="16"/>
        </w:rPr>
        <w:softHyphen/>
        <w:t>вой установкой, которая состояла из од</w:t>
      </w:r>
      <w:r w:rsidRPr="00070ADE">
        <w:rPr>
          <w:rFonts w:ascii="Times New Roman" w:hAnsi="Times New Roman"/>
          <w:color w:val="000000" w:themeColor="text1"/>
          <w:sz w:val="16"/>
          <w:szCs w:val="16"/>
        </w:rPr>
        <w:softHyphen/>
        <w:t>ного поршневого двигателя М-105А с воздушным винтом и дополнительного компрессорного воздушно-реактивного двигателя (ВРДК), выполнявшего функ</w:t>
      </w:r>
      <w:r w:rsidRPr="00070ADE">
        <w:rPr>
          <w:rFonts w:ascii="Times New Roman" w:hAnsi="Times New Roman"/>
          <w:color w:val="000000" w:themeColor="text1"/>
          <w:sz w:val="16"/>
          <w:szCs w:val="16"/>
        </w:rPr>
        <w:softHyphen/>
        <w:t>цию ускорителя. Компрессор приводился во вращение двигателем М-105А при помощи вала и двухскоростной передачи (10719).</w:t>
      </w:r>
    </w:p>
    <w:p w14:paraId="2F1792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6B72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вышел доклад нач. ПГУ за 1943:</w:t>
      </w:r>
    </w:p>
    <w:p w14:paraId="53135B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 ПГУ были поставлены на 1943 следующие основные задачи:</w:t>
      </w:r>
    </w:p>
    <w:p w14:paraId="28AB46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Увеличение выпуска самолетов-истребителей типа Яковлев и Лавочкин</w:t>
      </w:r>
    </w:p>
    <w:p w14:paraId="4DBC6B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Всемерное улучшение их ЛТД, а также обеспечение выпуска новых модификаций.</w:t>
      </w:r>
    </w:p>
    <w:p w14:paraId="5062AC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...Основными, проведенными в 1943 конструктивными изменениями самолетов-истребителей, улучшающими их ЛТ и БД явились:</w:t>
      </w:r>
    </w:p>
    <w:p w14:paraId="748C3C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Улучшение аэродинамики за счет проведения тщательной герметизацуии отдельных агрегатов и придания им лучшей аэродинамики.</w:t>
      </w:r>
    </w:p>
    <w:p w14:paraId="430134A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Улучшение обзора задней полусферы из кабины л снижением гаргрота фюзеляжа и переоборудованием фонаря.</w:t>
      </w:r>
    </w:p>
    <w:p w14:paraId="204EE4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Переход на изготовление самолетов Як-9 с металлическими лонжеронами крыла, что позволило облегчить конструкцию и увеличить запас горючего для достижения большей дальности</w:t>
      </w:r>
    </w:p>
    <w:p w14:paraId="0D90D0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Оборудование прозрачной бронезащиты козырька и задней части фонаря кабины л на Як-1, Як-9 и Ла-5</w:t>
      </w:r>
    </w:p>
    <w:p w14:paraId="079D59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Улучшение системы ведения и управления огнем с применением электропусков ЭЛС, пневмоэлектропусков ПЭС-1 и спец. ручек управления взамен механического способа</w:t>
      </w:r>
    </w:p>
    <w:p w14:paraId="3A780C5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Устройство блокированного управления винтом совместно с газом и кнопки управления радиосвязью на ручке кетора газа взамен тумблера на доске, облегчающих ведение огня л</w:t>
      </w:r>
    </w:p>
    <w:p w14:paraId="2A7EE5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Устранение неравномерной выработки горючег, изменением схемы бензопроводки и улучшением сземы нейтрального газа." (1959).</w:t>
      </w:r>
    </w:p>
    <w:p w14:paraId="61256C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B7A9BF" w14:textId="77777777" w:rsidR="00903E13" w:rsidRPr="00070ADE" w:rsidRDefault="00903E13"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В начале 1944 г. первые прототипы Як-9У попали на испытания только и... закономерно их не выдержали. Более того, первый прототип Як-9У раз</w:t>
      </w:r>
      <w:r w:rsidRPr="00070ADE">
        <w:rPr>
          <w:rFonts w:ascii="Times New Roman" w:cs="Times New Roman"/>
          <w:color w:val="000000" w:themeColor="text1"/>
          <w:spacing w:val="0"/>
        </w:rPr>
        <w:softHyphen/>
        <w:t>бился из-за пожара двигателя в апреле 1944 г., при этом погиб летчик-испы- татель А. Кокин. На втором прототипе Як-9У в феврале 1944 г., после всего 9 часов работы разрушились подшип</w:t>
      </w:r>
      <w:r w:rsidRPr="00070ADE">
        <w:rPr>
          <w:rFonts w:ascii="Times New Roman" w:cs="Times New Roman"/>
          <w:color w:val="000000" w:themeColor="text1"/>
          <w:spacing w:val="0"/>
        </w:rPr>
        <w:softHyphen/>
        <w:t>ники нагнетателя, и двигатель заклинило. Летчик-испытатель А. Прошаков с боль</w:t>
      </w:r>
      <w:r w:rsidRPr="00070ADE">
        <w:rPr>
          <w:rFonts w:ascii="Times New Roman" w:cs="Times New Roman"/>
          <w:color w:val="000000" w:themeColor="text1"/>
          <w:spacing w:val="0"/>
        </w:rPr>
        <w:softHyphen/>
        <w:t>шим трудом посадил аварийную машину. В отчете о дальнейших испытаниях акку</w:t>
      </w:r>
      <w:r w:rsidRPr="00070ADE">
        <w:rPr>
          <w:rFonts w:ascii="Times New Roman" w:cs="Times New Roman"/>
          <w:color w:val="000000" w:themeColor="text1"/>
          <w:spacing w:val="0"/>
        </w:rPr>
        <w:softHyphen/>
        <w:t>ратно говорилось о том, что, хотя Як-9У, по идее, должен превосходить основные немецкие истребители (была достигнута максимальная скорость 700 км/ч), все же «большое количество серьезных дефек</w:t>
      </w:r>
      <w:r w:rsidRPr="00070ADE">
        <w:rPr>
          <w:rFonts w:ascii="Times New Roman" w:cs="Times New Roman"/>
          <w:color w:val="000000" w:themeColor="text1"/>
          <w:spacing w:val="0"/>
        </w:rPr>
        <w:softHyphen/>
        <w:t>тов, особенно по винтомоторной группе, не позволяет нормально эксплуатировать этот самолет на всем диапазоне высот».</w:t>
      </w:r>
    </w:p>
    <w:p w14:paraId="67F7E8F0" w14:textId="77777777" w:rsidR="00903E13" w:rsidRPr="00070ADE" w:rsidRDefault="00903E13"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Однако ожидаемые боевые возможно</w:t>
      </w:r>
      <w:r w:rsidRPr="00070ADE">
        <w:rPr>
          <w:rFonts w:ascii="Times New Roman" w:cs="Times New Roman"/>
          <w:color w:val="000000" w:themeColor="text1"/>
          <w:spacing w:val="0"/>
        </w:rPr>
        <w:softHyphen/>
        <w:t>сти самолета были столь высоки, что уже в мае 1944 г. его запустили в массовое про</w:t>
      </w:r>
      <w:r w:rsidRPr="00070ADE">
        <w:rPr>
          <w:rFonts w:ascii="Times New Roman" w:cs="Times New Roman"/>
          <w:color w:val="000000" w:themeColor="text1"/>
          <w:spacing w:val="0"/>
        </w:rPr>
        <w:softHyphen/>
        <w:t>изводство (12741).</w:t>
      </w:r>
    </w:p>
    <w:p w14:paraId="2CB03666" w14:textId="77777777" w:rsidR="00903E13" w:rsidRPr="00070ADE" w:rsidRDefault="00903E13" w:rsidP="00B56F90">
      <w:pPr>
        <w:pStyle w:val="27"/>
        <w:shd w:val="clear" w:color="auto" w:fill="auto"/>
        <w:spacing w:after="0" w:line="240" w:lineRule="auto"/>
        <w:ind w:firstLine="0"/>
        <w:rPr>
          <w:rFonts w:ascii="Times New Roman" w:cs="Times New Roman"/>
          <w:color w:val="000000" w:themeColor="text1"/>
          <w:spacing w:val="0"/>
        </w:rPr>
      </w:pPr>
    </w:p>
    <w:p w14:paraId="2E7754D9" w14:textId="77777777" w:rsidR="002A09DF" w:rsidRPr="00C94B78" w:rsidRDefault="002A09D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1944 г. небольшой коллек</w:t>
      </w:r>
      <w:r w:rsidRPr="00C94B78">
        <w:rPr>
          <w:rFonts w:ascii="Times New Roman" w:hAnsi="Times New Roman"/>
          <w:color w:val="0070C0"/>
          <w:sz w:val="16"/>
          <w:szCs w:val="16"/>
        </w:rPr>
        <w:softHyphen/>
        <w:t>тив серийного конструкторского бюро завода № 381 предложил установить на Ла-5Ф силовую установку по типу Ла-7. Для переделки использовали серий</w:t>
      </w:r>
      <w:r w:rsidRPr="00C94B78">
        <w:rPr>
          <w:rFonts w:ascii="Times New Roman" w:hAnsi="Times New Roman"/>
          <w:color w:val="0070C0"/>
          <w:sz w:val="16"/>
          <w:szCs w:val="16"/>
        </w:rPr>
        <w:softHyphen/>
        <w:t>ный истребитель № 3811507. На нем двигатель М-82Ф заменили М-82ФН на мотораме от Ла-7. При этом сохранили выхлопные коллекторы «типа 37» при доработанных боковых створках. Пе</w:t>
      </w:r>
      <w:r w:rsidRPr="00C94B78">
        <w:rPr>
          <w:rFonts w:ascii="Times New Roman" w:hAnsi="Times New Roman"/>
          <w:color w:val="0070C0"/>
          <w:sz w:val="16"/>
          <w:szCs w:val="16"/>
        </w:rPr>
        <w:softHyphen/>
        <w:t xml:space="preserve">ределку машины закончили в апреле 1944 </w:t>
      </w:r>
      <w:r w:rsidRPr="00C94B78">
        <w:rPr>
          <w:rFonts w:ascii="Times New Roman" w:hAnsi="Times New Roman"/>
          <w:i/>
          <w:iCs/>
          <w:color w:val="0070C0"/>
          <w:sz w:val="16"/>
          <w:szCs w:val="16"/>
        </w:rPr>
        <w:t>г.</w:t>
      </w:r>
      <w:r w:rsidRPr="00C94B78">
        <w:rPr>
          <w:rFonts w:ascii="Times New Roman" w:hAnsi="Times New Roman"/>
          <w:color w:val="0070C0"/>
          <w:sz w:val="16"/>
          <w:szCs w:val="16"/>
        </w:rPr>
        <w:t xml:space="preserve"> В мае самолет, получивший на</w:t>
      </w:r>
      <w:r w:rsidRPr="00C94B78">
        <w:rPr>
          <w:rFonts w:ascii="Times New Roman" w:hAnsi="Times New Roman"/>
          <w:color w:val="0070C0"/>
          <w:sz w:val="16"/>
          <w:szCs w:val="16"/>
        </w:rPr>
        <w:softHyphen/>
        <w:t>звание «Гибрид», проходил испытания в НИИ ВВС. Ведущими по машине бы</w:t>
      </w:r>
      <w:r w:rsidRPr="00C94B78">
        <w:rPr>
          <w:rFonts w:ascii="Times New Roman" w:hAnsi="Times New Roman"/>
          <w:color w:val="0070C0"/>
          <w:sz w:val="16"/>
          <w:szCs w:val="16"/>
        </w:rPr>
        <w:softHyphen/>
        <w:t>ли инженер В.И. Алексеенко и летчик А.Г. Кубышкин. Но по сравнению с «дуб</w:t>
      </w:r>
      <w:r w:rsidRPr="00C94B78">
        <w:rPr>
          <w:rFonts w:ascii="Times New Roman" w:hAnsi="Times New Roman"/>
          <w:color w:val="0070C0"/>
          <w:sz w:val="16"/>
          <w:szCs w:val="16"/>
        </w:rPr>
        <w:softHyphen/>
        <w:t>лером» Ла-5ФН завода № 21 он имел значительно худшие летные данные. Например, максимальная скорость ока</w:t>
      </w:r>
      <w:r w:rsidRPr="00C94B78">
        <w:rPr>
          <w:rFonts w:ascii="Times New Roman" w:hAnsi="Times New Roman"/>
          <w:color w:val="0070C0"/>
          <w:sz w:val="16"/>
          <w:szCs w:val="16"/>
        </w:rPr>
        <w:softHyphen/>
        <w:t>залась на 68 км/ч ниже, что, видимо, объяснялось утяжелением машины и худшей отделкой внешней поверхнос</w:t>
      </w:r>
      <w:r w:rsidRPr="00C94B78">
        <w:rPr>
          <w:rFonts w:ascii="Times New Roman" w:hAnsi="Times New Roman"/>
          <w:color w:val="0070C0"/>
          <w:sz w:val="16"/>
          <w:szCs w:val="16"/>
        </w:rPr>
        <w:softHyphen/>
        <w:t>ти Самолет испытания не выдержал. НИИ ВВС рекомендовал проводить монтаж двигателей АШ-82ФН при ре</w:t>
      </w:r>
      <w:r w:rsidRPr="00C94B78">
        <w:rPr>
          <w:rFonts w:ascii="Times New Roman" w:hAnsi="Times New Roman"/>
          <w:color w:val="0070C0"/>
          <w:sz w:val="16"/>
          <w:szCs w:val="16"/>
        </w:rPr>
        <w:softHyphen/>
        <w:t>монте Ла-5Ф в полевых условиях лишь в самом крайнем случае (24930).</w:t>
      </w:r>
    </w:p>
    <w:p w14:paraId="32FEE765" w14:textId="77777777" w:rsidR="002A09DF" w:rsidRPr="00C94B78" w:rsidRDefault="002A09DF" w:rsidP="00B56F90">
      <w:pPr>
        <w:spacing w:after="0" w:line="240" w:lineRule="auto"/>
        <w:jc w:val="both"/>
        <w:rPr>
          <w:rFonts w:ascii="Times New Roman" w:hAnsi="Times New Roman"/>
          <w:color w:val="0070C0"/>
          <w:sz w:val="16"/>
          <w:szCs w:val="16"/>
        </w:rPr>
      </w:pPr>
    </w:p>
    <w:p w14:paraId="77FFCA01" w14:textId="77777777" w:rsidR="002A09DF" w:rsidRPr="00C94B78" w:rsidRDefault="002A09DF" w:rsidP="00B56F90">
      <w:pPr>
        <w:spacing w:after="0" w:line="240" w:lineRule="auto"/>
        <w:jc w:val="both"/>
        <w:rPr>
          <w:rStyle w:val="2a"/>
          <w:rFonts w:ascii="Times New Roman" w:eastAsiaTheme="minorHAnsi" w:hAnsi="Times New Roman" w:cs="Times New Roman"/>
          <w:color w:val="0070C0"/>
          <w:sz w:val="16"/>
          <w:szCs w:val="16"/>
        </w:rPr>
      </w:pPr>
      <w:r w:rsidRPr="00C94B78">
        <w:rPr>
          <w:rStyle w:val="2a"/>
          <w:rFonts w:ascii="Times New Roman" w:eastAsiaTheme="minorHAnsi" w:hAnsi="Times New Roman" w:cs="Times New Roman"/>
          <w:color w:val="0070C0"/>
          <w:sz w:val="16"/>
          <w:szCs w:val="16"/>
        </w:rPr>
        <w:t>В начале 1944 года ЛаГГи поздних выпусков и серий завода №31 выпускались с пушкой ШВАК и двумя синхронными пулеметами БС, секундный залп та</w:t>
      </w:r>
      <w:r w:rsidRPr="00C94B78">
        <w:rPr>
          <w:rStyle w:val="2a"/>
          <w:rFonts w:ascii="Times New Roman" w:eastAsiaTheme="minorHAnsi" w:hAnsi="Times New Roman" w:cs="Times New Roman"/>
          <w:color w:val="0070C0"/>
          <w:sz w:val="16"/>
          <w:szCs w:val="16"/>
        </w:rPr>
        <w:softHyphen/>
        <w:t xml:space="preserve">ких машин равнялся 2.07 - 2.1 кг. По самолетам противника данные секундных залпов следующие: </w:t>
      </w:r>
      <w:r w:rsidRPr="00C94B78">
        <w:rPr>
          <w:rStyle w:val="2a"/>
          <w:rFonts w:ascii="Times New Roman" w:eastAsiaTheme="minorHAnsi" w:hAnsi="Times New Roman" w:cs="Times New Roman"/>
          <w:color w:val="0070C0"/>
          <w:sz w:val="16"/>
          <w:szCs w:val="16"/>
          <w:lang w:val="en-US"/>
        </w:rPr>
        <w:t>Bf</w:t>
      </w:r>
      <w:r w:rsidRPr="00C94B78">
        <w:rPr>
          <w:rStyle w:val="2a"/>
          <w:rFonts w:ascii="Times New Roman" w:eastAsiaTheme="minorHAnsi" w:hAnsi="Times New Roman" w:cs="Times New Roman"/>
          <w:color w:val="0070C0"/>
          <w:sz w:val="16"/>
          <w:szCs w:val="16"/>
        </w:rPr>
        <w:t xml:space="preserve"> 109Е-3 – 2.48 кг; </w:t>
      </w:r>
      <w:r w:rsidRPr="00C94B78">
        <w:rPr>
          <w:rStyle w:val="2a"/>
          <w:rFonts w:ascii="Times New Roman" w:eastAsiaTheme="minorHAnsi" w:hAnsi="Times New Roman" w:cs="Times New Roman"/>
          <w:color w:val="0070C0"/>
          <w:sz w:val="16"/>
          <w:szCs w:val="16"/>
          <w:lang w:val="en-US"/>
        </w:rPr>
        <w:t>Bf</w:t>
      </w:r>
      <w:r w:rsidRPr="00C94B78">
        <w:rPr>
          <w:rStyle w:val="2a"/>
          <w:rFonts w:ascii="Times New Roman" w:eastAsiaTheme="minorHAnsi" w:hAnsi="Times New Roman" w:cs="Times New Roman"/>
          <w:color w:val="0070C0"/>
          <w:sz w:val="16"/>
          <w:szCs w:val="16"/>
        </w:rPr>
        <w:t xml:space="preserve"> 109</w:t>
      </w:r>
      <w:r w:rsidRPr="00C94B78">
        <w:rPr>
          <w:rStyle w:val="2a"/>
          <w:rFonts w:ascii="Times New Roman" w:eastAsiaTheme="minorHAnsi" w:hAnsi="Times New Roman" w:cs="Times New Roman"/>
          <w:color w:val="0070C0"/>
          <w:sz w:val="16"/>
          <w:szCs w:val="16"/>
          <w:lang w:val="en-US"/>
        </w:rPr>
        <w:t>F</w:t>
      </w:r>
      <w:r w:rsidRPr="00C94B78">
        <w:rPr>
          <w:rStyle w:val="2a"/>
          <w:rFonts w:ascii="Times New Roman" w:eastAsiaTheme="minorHAnsi" w:hAnsi="Times New Roman" w:cs="Times New Roman"/>
          <w:color w:val="0070C0"/>
          <w:sz w:val="16"/>
          <w:szCs w:val="16"/>
        </w:rPr>
        <w:t xml:space="preserve">-2 – 1.23 кг; </w:t>
      </w:r>
      <w:r w:rsidRPr="00C94B78">
        <w:rPr>
          <w:rStyle w:val="2a"/>
          <w:rFonts w:ascii="Times New Roman" w:eastAsiaTheme="minorHAnsi" w:hAnsi="Times New Roman" w:cs="Times New Roman"/>
          <w:color w:val="0070C0"/>
          <w:sz w:val="16"/>
          <w:szCs w:val="16"/>
          <w:lang w:val="en-US"/>
        </w:rPr>
        <w:t>Bf</w:t>
      </w:r>
      <w:r w:rsidRPr="00C94B78">
        <w:rPr>
          <w:rStyle w:val="2a"/>
          <w:rFonts w:ascii="Times New Roman" w:eastAsiaTheme="minorHAnsi" w:hAnsi="Times New Roman" w:cs="Times New Roman"/>
          <w:color w:val="0070C0"/>
          <w:sz w:val="16"/>
          <w:szCs w:val="16"/>
        </w:rPr>
        <w:t>109</w:t>
      </w:r>
      <w:r w:rsidRPr="00C94B78">
        <w:rPr>
          <w:rStyle w:val="2a"/>
          <w:rFonts w:ascii="Times New Roman" w:eastAsiaTheme="minorHAnsi" w:hAnsi="Times New Roman" w:cs="Times New Roman"/>
          <w:color w:val="0070C0"/>
          <w:sz w:val="16"/>
          <w:szCs w:val="16"/>
          <w:lang w:val="en-US"/>
        </w:rPr>
        <w:t>F</w:t>
      </w:r>
      <w:r w:rsidRPr="00C94B78">
        <w:rPr>
          <w:rStyle w:val="2a"/>
          <w:rFonts w:ascii="Times New Roman" w:eastAsiaTheme="minorHAnsi" w:hAnsi="Times New Roman" w:cs="Times New Roman"/>
          <w:color w:val="0070C0"/>
          <w:sz w:val="16"/>
          <w:szCs w:val="16"/>
        </w:rPr>
        <w:t xml:space="preserve">-4 – 1.67 кг; </w:t>
      </w:r>
      <w:r w:rsidRPr="00C94B78">
        <w:rPr>
          <w:rStyle w:val="2a"/>
          <w:rFonts w:ascii="Times New Roman" w:eastAsiaTheme="minorHAnsi" w:hAnsi="Times New Roman" w:cs="Times New Roman"/>
          <w:color w:val="0070C0"/>
          <w:sz w:val="16"/>
          <w:szCs w:val="16"/>
          <w:lang w:val="en-US"/>
        </w:rPr>
        <w:t>Bf</w:t>
      </w:r>
      <w:r w:rsidRPr="00C94B78">
        <w:rPr>
          <w:rStyle w:val="2a"/>
          <w:rFonts w:ascii="Times New Roman" w:eastAsiaTheme="minorHAnsi" w:hAnsi="Times New Roman" w:cs="Times New Roman"/>
          <w:color w:val="0070C0"/>
          <w:sz w:val="16"/>
          <w:szCs w:val="16"/>
        </w:rPr>
        <w:t>109</w:t>
      </w:r>
      <w:r w:rsidRPr="00C94B78">
        <w:rPr>
          <w:rStyle w:val="2a"/>
          <w:rFonts w:ascii="Times New Roman" w:eastAsiaTheme="minorHAnsi" w:hAnsi="Times New Roman" w:cs="Times New Roman"/>
          <w:color w:val="0070C0"/>
          <w:sz w:val="16"/>
          <w:szCs w:val="16"/>
          <w:lang w:val="en-US"/>
        </w:rPr>
        <w:t>G</w:t>
      </w:r>
      <w:r w:rsidRPr="00C94B78">
        <w:rPr>
          <w:rStyle w:val="2a"/>
          <w:rFonts w:ascii="Times New Roman" w:eastAsiaTheme="minorHAnsi" w:hAnsi="Times New Roman" w:cs="Times New Roman"/>
          <w:color w:val="0070C0"/>
          <w:sz w:val="16"/>
          <w:szCs w:val="16"/>
        </w:rPr>
        <w:t xml:space="preserve">-2 – 1.67 кг; </w:t>
      </w:r>
      <w:r w:rsidRPr="00C94B78">
        <w:rPr>
          <w:rStyle w:val="2a"/>
          <w:rFonts w:ascii="Times New Roman" w:eastAsiaTheme="minorHAnsi" w:hAnsi="Times New Roman" w:cs="Times New Roman"/>
          <w:color w:val="0070C0"/>
          <w:sz w:val="16"/>
          <w:szCs w:val="16"/>
          <w:lang w:val="en-US"/>
        </w:rPr>
        <w:t>Fw</w:t>
      </w:r>
      <w:r w:rsidRPr="00C94B78">
        <w:rPr>
          <w:rStyle w:val="2a"/>
          <w:rFonts w:ascii="Times New Roman" w:eastAsiaTheme="minorHAnsi" w:hAnsi="Times New Roman" w:cs="Times New Roman"/>
          <w:color w:val="0070C0"/>
          <w:sz w:val="16"/>
          <w:szCs w:val="16"/>
        </w:rPr>
        <w:t xml:space="preserve"> 190А-4 – 4.52 кг (25081).</w:t>
      </w:r>
    </w:p>
    <w:p w14:paraId="2AF59109" w14:textId="77777777" w:rsidR="002A09DF" w:rsidRPr="00C94B78" w:rsidRDefault="002A09DF" w:rsidP="00B56F90">
      <w:pPr>
        <w:spacing w:after="0" w:line="240" w:lineRule="auto"/>
        <w:jc w:val="both"/>
        <w:rPr>
          <w:rFonts w:ascii="Times New Roman" w:hAnsi="Times New Roman"/>
          <w:color w:val="0070C0"/>
          <w:sz w:val="16"/>
          <w:szCs w:val="16"/>
        </w:rPr>
      </w:pPr>
    </w:p>
    <w:p w14:paraId="68ADC84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ОКБ Н.Н.П. передало в ЦАГИ модель Малютки, задание на которую за подписью И.В.С., было получено в конце 1943 (2863,136).</w:t>
      </w:r>
    </w:p>
    <w:p w14:paraId="6DE8D0D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9F9BE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в НИИ ВВС состоялись повторные контрольные испытания У-2ВС с новой шкворневой установкой под пулемет ДТ, который мог использоваться в том числе и по наземным целям (217,23).</w:t>
      </w:r>
    </w:p>
    <w:p w14:paraId="612D76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3AA1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на Авиарембазе 402 был выпущен санитарный самолет У-2 С - модификация СП с М-11 Г, в котором использовался объем фюзеляжа и машина брала трех раненых - 1 сидячего и 2 лежачих. На испытаниях признали неудачным (1076,720).</w:t>
      </w:r>
    </w:p>
    <w:p w14:paraId="6C64B4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E15D63" w14:textId="77777777" w:rsidR="00080EEF" w:rsidRPr="00C94B78" w:rsidRDefault="00080EEF" w:rsidP="00B56F90">
      <w:pPr>
        <w:spacing w:after="0" w:line="240" w:lineRule="auto"/>
        <w:jc w:val="both"/>
        <w:rPr>
          <w:rFonts w:ascii="Times New Roman" w:hAnsi="Times New Roman"/>
          <w:color w:val="0070C0"/>
          <w:sz w:val="16"/>
          <w:szCs w:val="16"/>
        </w:rPr>
      </w:pPr>
      <w:bookmarkStart w:id="3" w:name="_Hlk186526040"/>
      <w:r w:rsidRPr="00C94B78">
        <w:rPr>
          <w:rFonts w:ascii="Times New Roman" w:hAnsi="Times New Roman"/>
          <w:color w:val="0070C0"/>
          <w:sz w:val="16"/>
          <w:szCs w:val="16"/>
        </w:rPr>
        <w:t>В начале 1944 г. произведены испытания самолета У-2НАК (ночной артиллерийский корректировщик). Он был оснащен приемопередающей радиостанцией РСИ-4 во второй кабине с соответствующими узлами крепления и индикатором на приборной доске, генератором ГС-350М между первым и вторым цилиндрами мотора с ременным приводом от коленвала, кольцевым выхлопным коллектором с пламегасителем и шумоглушителем МАКФ-4. По результатам которых ночной артиллерийский корректировщик рекомендовали к серийной постройке. Завод выпустил войсковую серию из пяти машин, проходивших испытания с 10 июня по 28 июля 1944 г. в 118-м отдельном полку 2-й воздушной армии в 100 км восточнее Львова. Машина строилась серийно (25035).</w:t>
      </w:r>
    </w:p>
    <w:bookmarkEnd w:id="3"/>
    <w:p w14:paraId="1BC89BB9" w14:textId="77777777" w:rsidR="00080EEF" w:rsidRPr="00C94B78" w:rsidRDefault="00080EEF" w:rsidP="00B56F90">
      <w:pPr>
        <w:spacing w:after="0" w:line="240" w:lineRule="auto"/>
        <w:jc w:val="both"/>
        <w:rPr>
          <w:rFonts w:ascii="Times New Roman" w:hAnsi="Times New Roman"/>
          <w:color w:val="0070C0"/>
          <w:sz w:val="16"/>
          <w:szCs w:val="16"/>
        </w:rPr>
      </w:pPr>
    </w:p>
    <w:p w14:paraId="7A0ACC50" w14:textId="77777777" w:rsidR="00080EEF" w:rsidRPr="00C94B78" w:rsidRDefault="00080EE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1944 г прошла макетная комиссия по ЛЛ-143. По общей компоновке самолет, повторяя МДР-10, имел цельнометаллическую конструкцию с полотняной обшивкой ру</w:t>
      </w:r>
      <w:r w:rsidRPr="00C94B78">
        <w:rPr>
          <w:rFonts w:ascii="Times New Roman" w:hAnsi="Times New Roman"/>
          <w:color w:val="0070C0"/>
          <w:sz w:val="16"/>
          <w:szCs w:val="16"/>
        </w:rPr>
        <w:softHyphen/>
        <w:t>лей и элеронов. В качестве силовой установки ЛЛ-143 выбрали две двухрядные «звезды» воздушного охлаждения АШ-72, раз</w:t>
      </w:r>
      <w:r w:rsidRPr="00C94B78">
        <w:rPr>
          <w:rFonts w:ascii="Times New Roman" w:hAnsi="Times New Roman"/>
          <w:color w:val="0070C0"/>
          <w:sz w:val="16"/>
          <w:szCs w:val="16"/>
        </w:rPr>
        <w:softHyphen/>
        <w:t>работанные ОКБ А. Д. Швецова, с номинальной мощностью 2000 л.с. (взлетная мощность - 2250 л.с.).</w:t>
      </w:r>
    </w:p>
    <w:p w14:paraId="0B4D1D8A" w14:textId="77777777" w:rsidR="00080EEF" w:rsidRPr="00C94B78" w:rsidRDefault="00080EE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Имея стрелковое вооружение из шести пулеметов УБТ и не</w:t>
      </w:r>
      <w:r w:rsidRPr="00C94B78">
        <w:rPr>
          <w:rFonts w:ascii="Times New Roman" w:hAnsi="Times New Roman"/>
          <w:color w:val="0070C0"/>
          <w:sz w:val="16"/>
          <w:szCs w:val="16"/>
        </w:rPr>
        <w:softHyphen/>
        <w:t>ся на внешней подвеске бомбы различного калибра, морские мины и торпеды массой до 4000 кг, ЛЛ-143 должен был при</w:t>
      </w:r>
      <w:r w:rsidRPr="00C94B78">
        <w:rPr>
          <w:rFonts w:ascii="Times New Roman" w:hAnsi="Times New Roman"/>
          <w:color w:val="0070C0"/>
          <w:sz w:val="16"/>
          <w:szCs w:val="16"/>
        </w:rPr>
        <w:softHyphen/>
        <w:t>меняться не только как дальний морской разведчик, но и для патрулирования акваторий, постановки минных заграждений, бомбо- и торпедометания, транспортных перевозок</w:t>
      </w:r>
      <w:r>
        <w:rPr>
          <w:rFonts w:ascii="Times New Roman" w:hAnsi="Times New Roman"/>
          <w:color w:val="0070C0"/>
          <w:sz w:val="16"/>
          <w:szCs w:val="16"/>
        </w:rPr>
        <w:t xml:space="preserve"> </w:t>
      </w:r>
      <w:r w:rsidRPr="00C94B78">
        <w:rPr>
          <w:rFonts w:ascii="Times New Roman" w:hAnsi="Times New Roman"/>
          <w:color w:val="0070C0"/>
          <w:sz w:val="16"/>
          <w:szCs w:val="16"/>
        </w:rPr>
        <w:t>(24974).</w:t>
      </w:r>
    </w:p>
    <w:p w14:paraId="2872F001" w14:textId="77777777" w:rsidR="00080EEF" w:rsidRPr="00C94B78" w:rsidRDefault="00080EEF" w:rsidP="00B56F90">
      <w:pPr>
        <w:spacing w:after="0" w:line="240" w:lineRule="auto"/>
        <w:jc w:val="both"/>
        <w:rPr>
          <w:rFonts w:ascii="Times New Roman" w:hAnsi="Times New Roman"/>
          <w:color w:val="0070C0"/>
          <w:sz w:val="16"/>
          <w:szCs w:val="16"/>
        </w:rPr>
      </w:pPr>
    </w:p>
    <w:p w14:paraId="6E5B8A4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был закончен эскизный проект и прошла макетная комиссия по ЛЛ-143 Г.М.Б. По компоновке машина повторяла МДР-10, имел 2хАШ-72 и 6хУБ (3939,4).</w:t>
      </w:r>
    </w:p>
    <w:p w14:paraId="48D554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1A9566"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прошла макетная комиссия ЛЛ-143 Г.М.Бериева.</w:t>
      </w:r>
    </w:p>
    <w:p w14:paraId="57E24ADC"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общей компоновке самолет, повторяя МДР-10, имел цельнометаллическую конструкцию с полотняной обшивкой рулей и элеронов. В качестве силовой установки ЛЛ-143 выбрали две двухрядные «звезды» воздушного охлаждения ALU-72, разработанные ОКБ А.Д. Швецова, с номинальной мощностью 2000 л.с. (взлетная мощность — 2250 л.с.).</w:t>
      </w:r>
    </w:p>
    <w:p w14:paraId="1F5ECDD7"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Имея стрелковое вооружение из шести пулеметов УБТ и неся на внешней подвеске бомбы различного калибра, морские мины и торпеды массой до 4000 кг, ЛЛ-143 должен был применяться не только как дальний морской разведчик, но и для патрулирования акваторий, постановки минных заграждений, бомбо- и торпедометания, транспортных перевозок (23541).</w:t>
      </w:r>
    </w:p>
    <w:p w14:paraId="130B6482" w14:textId="77777777" w:rsidR="00A822F4" w:rsidRPr="00070ADE" w:rsidRDefault="00A822F4" w:rsidP="00B56F90">
      <w:pPr>
        <w:spacing w:after="0" w:line="240" w:lineRule="auto"/>
        <w:jc w:val="both"/>
        <w:rPr>
          <w:rFonts w:ascii="Times New Roman" w:hAnsi="Times New Roman"/>
          <w:color w:val="000000" w:themeColor="text1"/>
          <w:sz w:val="16"/>
          <w:szCs w:val="16"/>
        </w:rPr>
      </w:pPr>
    </w:p>
    <w:p w14:paraId="7E77F0E5"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началу 1944 г. в строю оставалось всего 52 машины класса гидросамолетов, в основном одномоторных. Прибывшие из США 136 летающих лодок и 48 амфибий не только помогли восстановить боеспособ</w:t>
      </w:r>
      <w:r w:rsidRPr="00070ADE">
        <w:rPr>
          <w:rFonts w:ascii="Times New Roman" w:hAnsi="Times New Roman"/>
          <w:color w:val="000000" w:themeColor="text1"/>
          <w:sz w:val="16"/>
          <w:szCs w:val="16"/>
        </w:rPr>
        <w:softHyphen/>
        <w:t>ность гидроавиации, но и перевели ее на качественно новый уровень, существенно расширив ее возможности, так как полу</w:t>
      </w:r>
      <w:r w:rsidRPr="00070ADE">
        <w:rPr>
          <w:rFonts w:ascii="Times New Roman" w:hAnsi="Times New Roman"/>
          <w:color w:val="000000" w:themeColor="text1"/>
          <w:sz w:val="16"/>
          <w:szCs w:val="16"/>
        </w:rPr>
        <w:softHyphen/>
        <w:t>ченные по ленд-лизу PBN-1 и PBY-6A пре</w:t>
      </w:r>
      <w:r w:rsidRPr="00070ADE">
        <w:rPr>
          <w:rFonts w:ascii="Times New Roman" w:hAnsi="Times New Roman"/>
          <w:color w:val="000000" w:themeColor="text1"/>
          <w:sz w:val="16"/>
          <w:szCs w:val="16"/>
        </w:rPr>
        <w:softHyphen/>
        <w:t>восходили не только архаичные МБР-2, но и немногие уцелевшие ГСТ. В конце войны три западных флота имели в составе своих ВВС 73% импортных гидропланов (23513).</w:t>
      </w:r>
    </w:p>
    <w:p w14:paraId="5A618FA1" w14:textId="77777777" w:rsidR="00A822F4" w:rsidRPr="00070ADE" w:rsidRDefault="00A822F4" w:rsidP="00B56F90">
      <w:pPr>
        <w:spacing w:after="0" w:line="240" w:lineRule="auto"/>
        <w:jc w:val="both"/>
        <w:rPr>
          <w:rFonts w:ascii="Times New Roman" w:hAnsi="Times New Roman"/>
          <w:color w:val="000000" w:themeColor="text1"/>
          <w:sz w:val="16"/>
          <w:szCs w:val="16"/>
        </w:rPr>
      </w:pPr>
    </w:p>
    <w:p w14:paraId="3B2922A1" w14:textId="3C1162CA"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работы по М-90 были прекращены</w:t>
      </w:r>
      <w:r w:rsidR="00024386" w:rsidRPr="00070ADE">
        <w:rPr>
          <w:rFonts w:ascii="Times New Roman" w:hAnsi="Times New Roman"/>
          <w:color w:val="000000" w:themeColor="text1"/>
          <w:sz w:val="16"/>
          <w:szCs w:val="16"/>
        </w:rPr>
        <w:t>.</w:t>
      </w:r>
      <w:r w:rsidRPr="00070ADE">
        <w:rPr>
          <w:rFonts w:ascii="Times New Roman" w:hAnsi="Times New Roman"/>
          <w:color w:val="000000" w:themeColor="text1"/>
          <w:sz w:val="16"/>
          <w:szCs w:val="16"/>
        </w:rPr>
        <w:t xml:space="preserve"> В общей сложности изготовлено более 20 экземпляров. В документах упо</w:t>
      </w:r>
      <w:r w:rsidRPr="00070ADE">
        <w:rPr>
          <w:rFonts w:ascii="Times New Roman" w:hAnsi="Times New Roman"/>
          <w:color w:val="000000" w:themeColor="text1"/>
          <w:sz w:val="16"/>
          <w:szCs w:val="16"/>
        </w:rPr>
        <w:softHyphen/>
        <w:t>минаются модификации М-90Б и М-90Ж, но отличия их неизвестны.</w:t>
      </w:r>
    </w:p>
    <w:p w14:paraId="34225C5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Характеристики:</w:t>
      </w:r>
    </w:p>
    <w:p w14:paraId="253D7E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18-цилиндровый, двухрядный звездообразный, четырехтактный, воз</w:t>
      </w:r>
      <w:r w:rsidRPr="00070ADE">
        <w:rPr>
          <w:rFonts w:ascii="Times New Roman" w:hAnsi="Times New Roman"/>
          <w:color w:val="000000" w:themeColor="text1"/>
          <w:sz w:val="16"/>
          <w:szCs w:val="16"/>
        </w:rPr>
        <w:softHyphen/>
        <w:t>душного охлаждения, редукторный, с двухскоростнъш ПЦН;</w:t>
      </w:r>
    </w:p>
    <w:p w14:paraId="432509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мощность по заданию 1500/1950 л.с., проектная 2000 л.с., фактиче</w:t>
      </w:r>
      <w:r w:rsidRPr="00070ADE">
        <w:rPr>
          <w:rFonts w:ascii="Times New Roman" w:hAnsi="Times New Roman"/>
          <w:color w:val="000000" w:themeColor="text1"/>
          <w:sz w:val="16"/>
          <w:szCs w:val="16"/>
        </w:rPr>
        <w:softHyphen/>
        <w:t>ски 1550/1750 л.с.;</w:t>
      </w:r>
    </w:p>
    <w:p w14:paraId="7EDC06E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вес первых экземпляров 950 кг, поздних — 1070 кг (при 850 кг по заданию);</w:t>
      </w:r>
    </w:p>
    <w:p w14:paraId="5A02F7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диаметр цилиндра/ход поршня 146/165 мм.</w:t>
      </w:r>
    </w:p>
    <w:p w14:paraId="3EE7ADE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 еще проект 1943 г. М-92, развитие М-90 с трехклапанной головкой и трехскоростным ПЦН. Должен был проходить совместные испытания с декабря 1943 г. Опытный образец не изготовлялся.</w:t>
      </w:r>
    </w:p>
    <w:p w14:paraId="590794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Характеристики:</w:t>
      </w:r>
    </w:p>
    <w:p w14:paraId="12E11E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18-цилиндровый, двухрядный звездообразный, четырехтактный, воз</w:t>
      </w:r>
      <w:r w:rsidRPr="00070ADE">
        <w:rPr>
          <w:rFonts w:ascii="Times New Roman" w:hAnsi="Times New Roman"/>
          <w:color w:val="000000" w:themeColor="text1"/>
          <w:sz w:val="16"/>
          <w:szCs w:val="16"/>
        </w:rPr>
        <w:softHyphen/>
        <w:t>душного охлаждения, редукторный, с двухскоростным ПЦН;</w:t>
      </w:r>
    </w:p>
    <w:p w14:paraId="61695A0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мощность по заданию 1850/2150 л.с.;</w:t>
      </w:r>
    </w:p>
    <w:p w14:paraId="21AF87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диаметр цилиндра/ход поршня 146/165 мм. (11852).</w:t>
      </w:r>
    </w:p>
    <w:p w14:paraId="65E656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9B3C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начала 1944 г. АЧ-30Б с мотокомпрессорным воздушно-реактивным двигателем про</w:t>
      </w:r>
      <w:r w:rsidRPr="00070ADE">
        <w:rPr>
          <w:rFonts w:ascii="Times New Roman" w:hAnsi="Times New Roman"/>
          <w:color w:val="000000" w:themeColor="text1"/>
          <w:sz w:val="16"/>
          <w:szCs w:val="16"/>
        </w:rPr>
        <w:softHyphen/>
        <w:t>ектировался под руководством Толстова в ЦИАМ В основе имел серийный АЧ-ЗОБ с переделанной системой наддува. Привод компрессора ВРДК осуществлялся выхлопными газами от турбин, без механической связи дизеля и реактивного двигателя. Про</w:t>
      </w:r>
      <w:r w:rsidRPr="00070ADE">
        <w:rPr>
          <w:rFonts w:ascii="Times New Roman" w:hAnsi="Times New Roman"/>
          <w:color w:val="000000" w:themeColor="text1"/>
          <w:sz w:val="16"/>
          <w:szCs w:val="16"/>
        </w:rPr>
        <w:softHyphen/>
        <w:t>ходил заводские стендовые испытания в июне 1944 г. — мае 1945 г. Серийно не выпускался, на самолетах не устанавливался. Тяга ВРДК 873 кг, вес всей установки 1700 кг, суммарная мощность при вклю</w:t>
      </w:r>
      <w:r w:rsidRPr="00070ADE">
        <w:rPr>
          <w:rFonts w:ascii="Times New Roman" w:hAnsi="Times New Roman"/>
          <w:color w:val="000000" w:themeColor="text1"/>
          <w:sz w:val="16"/>
          <w:szCs w:val="16"/>
        </w:rPr>
        <w:softHyphen/>
        <w:t>ченном ВРДК 4500 э.л.с. (11852).</w:t>
      </w:r>
    </w:p>
    <w:p w14:paraId="6E76574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8B3283"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Микулин разработал проект нового высотного мотора АМ</w:t>
      </w:r>
      <w:r w:rsidRPr="00070ADE">
        <w:rPr>
          <w:rFonts w:ascii="Times New Roman" w:hAnsi="Times New Roman"/>
          <w:color w:val="000000" w:themeColor="text1"/>
          <w:sz w:val="16"/>
          <w:szCs w:val="16"/>
        </w:rPr>
        <w:noBreakHyphen/>
        <w:t>42Б на основе пред</w:t>
      </w:r>
      <w:r w:rsidRPr="00070ADE">
        <w:rPr>
          <w:rFonts w:ascii="Times New Roman" w:hAnsi="Times New Roman"/>
          <w:color w:val="000000" w:themeColor="text1"/>
          <w:sz w:val="16"/>
          <w:szCs w:val="16"/>
        </w:rPr>
        <w:noBreakHyphen/>
        <w:t xml:space="preserve"> назначенного для штурмовиков базового варианта «без буквы» (23528).</w:t>
      </w:r>
    </w:p>
    <w:p w14:paraId="7C1DBA7B" w14:textId="77777777" w:rsidR="00A822F4" w:rsidRPr="00070ADE" w:rsidRDefault="00A822F4" w:rsidP="00B56F90">
      <w:pPr>
        <w:spacing w:after="0" w:line="240" w:lineRule="auto"/>
        <w:jc w:val="both"/>
        <w:rPr>
          <w:rFonts w:ascii="Times New Roman" w:hAnsi="Times New Roman"/>
          <w:color w:val="000000" w:themeColor="text1"/>
          <w:sz w:val="16"/>
          <w:szCs w:val="16"/>
        </w:rPr>
      </w:pPr>
    </w:p>
    <w:p w14:paraId="272813FB"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на имя Сталина поступит записка Берии следующего содержания: "...Председателю ГКО тов.Сталину И.В.</w:t>
      </w:r>
    </w:p>
    <w:p w14:paraId="4793478B"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1942-43 гг. по проектам заключенных специалистов 4-го спецотдела НКВД СССР на заводе 16 НКАП выполнены следующие работы, имеющие важное оборонное значение:</w:t>
      </w:r>
    </w:p>
    <w:p w14:paraId="782C84A5"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 проекту Глушко В.П. построены опытные реактивно-жидкостные двигатели РД-1, предназначенные для установки на самолеты в качестве ускорителей</w:t>
      </w:r>
    </w:p>
    <w:p w14:paraId="5EE9B662"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 проекту Добротворского А.М. на базе спаривания серийных моторов М-105 построены мощные авиационные двигатели МБ-100 со взлетной мощностью 2200 л.с. и МБ-102 со взлетной мощностью 2425л.с.</w:t>
      </w:r>
    </w:p>
    <w:p w14:paraId="4706C4F6"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Учитывая важность проведенных работ, НКВД СССР считает целесообразным освободить со снятием судимости особо отличившихся заключенных-специалистов...". Далее шел список фамилий 35 специалистов, которых следовало амнистировать (24105).</w:t>
      </w:r>
    </w:p>
    <w:p w14:paraId="69BEF8C4" w14:textId="77777777" w:rsidR="00A822F4" w:rsidRPr="00070ADE" w:rsidRDefault="00A822F4" w:rsidP="00B56F90">
      <w:pPr>
        <w:spacing w:after="0" w:line="240" w:lineRule="auto"/>
        <w:jc w:val="both"/>
        <w:rPr>
          <w:rFonts w:ascii="Times New Roman" w:hAnsi="Times New Roman"/>
          <w:color w:val="000000" w:themeColor="text1"/>
          <w:sz w:val="16"/>
          <w:szCs w:val="16"/>
        </w:rPr>
      </w:pPr>
    </w:p>
    <w:p w14:paraId="4CFF54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в 4 отд. НИИ ВВС была подготовлена Сводная таблица по выполнению планов опытного строительства с-тов ВВС КА за 1938-43 гг. (765,8):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05"/>
        <w:gridCol w:w="805"/>
        <w:gridCol w:w="805"/>
        <w:gridCol w:w="805"/>
        <w:gridCol w:w="805"/>
        <w:gridCol w:w="805"/>
        <w:gridCol w:w="805"/>
        <w:gridCol w:w="805"/>
        <w:gridCol w:w="805"/>
        <w:gridCol w:w="805"/>
        <w:gridCol w:w="805"/>
        <w:gridCol w:w="805"/>
        <w:gridCol w:w="805"/>
        <w:gridCol w:w="805"/>
      </w:tblGrid>
      <w:tr w:rsidR="004D4663" w:rsidRPr="00070ADE" w14:paraId="1079E2F1" w14:textId="77777777">
        <w:tc>
          <w:tcPr>
            <w:tcW w:w="805" w:type="dxa"/>
          </w:tcPr>
          <w:p w14:paraId="7A5C69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63A46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4AE530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EB3B01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E777B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8C16F0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FCCE2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2078D1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6BBA8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8349E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5A1A5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5554F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4E40E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C15841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82BD0F8" w14:textId="77777777">
        <w:tc>
          <w:tcPr>
            <w:tcW w:w="805" w:type="dxa"/>
          </w:tcPr>
          <w:p w14:paraId="2F03F7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Годы</w:t>
            </w:r>
          </w:p>
        </w:tc>
        <w:tc>
          <w:tcPr>
            <w:tcW w:w="805" w:type="dxa"/>
          </w:tcPr>
          <w:p w14:paraId="4628288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DA76E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плану строительства</w:t>
            </w:r>
          </w:p>
        </w:tc>
        <w:tc>
          <w:tcPr>
            <w:tcW w:w="805" w:type="dxa"/>
          </w:tcPr>
          <w:p w14:paraId="6B556B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6FD9B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A417F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DC8A48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55C1B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9A6BA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421E2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Принято на вооружение</w:t>
            </w:r>
          </w:p>
        </w:tc>
        <w:tc>
          <w:tcPr>
            <w:tcW w:w="805" w:type="dxa"/>
          </w:tcPr>
          <w:p w14:paraId="32FC39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13A73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A655C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DA183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5202AC4" w14:textId="77777777">
        <w:tc>
          <w:tcPr>
            <w:tcW w:w="805" w:type="dxa"/>
          </w:tcPr>
          <w:p w14:paraId="73FCB4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Опытные самолеты</w:t>
            </w:r>
          </w:p>
        </w:tc>
        <w:tc>
          <w:tcPr>
            <w:tcW w:w="805" w:type="dxa"/>
          </w:tcPr>
          <w:p w14:paraId="4092522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8662F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347ADC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Модификации</w:t>
            </w:r>
          </w:p>
        </w:tc>
        <w:tc>
          <w:tcPr>
            <w:tcW w:w="805" w:type="dxa"/>
          </w:tcPr>
          <w:p w14:paraId="3FE323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D6E9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ACD9B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CD0B1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Опытные самолеты</w:t>
            </w:r>
          </w:p>
        </w:tc>
        <w:tc>
          <w:tcPr>
            <w:tcW w:w="805" w:type="dxa"/>
          </w:tcPr>
          <w:p w14:paraId="0D46278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766ADB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226F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Модификации</w:t>
            </w:r>
          </w:p>
        </w:tc>
        <w:tc>
          <w:tcPr>
            <w:tcW w:w="805" w:type="dxa"/>
          </w:tcPr>
          <w:p w14:paraId="590C8E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1C8CF6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FCA0B4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38D7146" w14:textId="77777777">
        <w:tc>
          <w:tcPr>
            <w:tcW w:w="805" w:type="dxa"/>
          </w:tcPr>
          <w:p w14:paraId="5E1577F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8A84BF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B7751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B9162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37CB1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1B71AE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88FA0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8FB086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17E4BC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52E14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3E640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353138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52234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C41635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FDB30EE" w14:textId="77777777">
        <w:tc>
          <w:tcPr>
            <w:tcW w:w="805" w:type="dxa"/>
          </w:tcPr>
          <w:p w14:paraId="743F74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Ист.</w:t>
            </w:r>
          </w:p>
        </w:tc>
        <w:tc>
          <w:tcPr>
            <w:tcW w:w="805" w:type="dxa"/>
          </w:tcPr>
          <w:p w14:paraId="416EE0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w:t>
            </w:r>
          </w:p>
        </w:tc>
        <w:tc>
          <w:tcPr>
            <w:tcW w:w="805" w:type="dxa"/>
          </w:tcPr>
          <w:p w14:paraId="559F382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w:t>
            </w:r>
          </w:p>
        </w:tc>
        <w:tc>
          <w:tcPr>
            <w:tcW w:w="805" w:type="dxa"/>
          </w:tcPr>
          <w:p w14:paraId="5839C54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Истр.</w:t>
            </w:r>
          </w:p>
        </w:tc>
        <w:tc>
          <w:tcPr>
            <w:tcW w:w="805" w:type="dxa"/>
          </w:tcPr>
          <w:p w14:paraId="3B52D6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w:t>
            </w:r>
          </w:p>
        </w:tc>
        <w:tc>
          <w:tcPr>
            <w:tcW w:w="805" w:type="dxa"/>
          </w:tcPr>
          <w:p w14:paraId="740E94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w:t>
            </w:r>
          </w:p>
        </w:tc>
        <w:tc>
          <w:tcPr>
            <w:tcW w:w="805" w:type="dxa"/>
          </w:tcPr>
          <w:p w14:paraId="6E6BB3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tc>
        <w:tc>
          <w:tcPr>
            <w:tcW w:w="805" w:type="dxa"/>
          </w:tcPr>
          <w:p w14:paraId="34D9D3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Ист.</w:t>
            </w:r>
          </w:p>
        </w:tc>
        <w:tc>
          <w:tcPr>
            <w:tcW w:w="805" w:type="dxa"/>
          </w:tcPr>
          <w:p w14:paraId="2381E7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w:t>
            </w:r>
          </w:p>
        </w:tc>
        <w:tc>
          <w:tcPr>
            <w:tcW w:w="805" w:type="dxa"/>
          </w:tcPr>
          <w:p w14:paraId="499E9E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w:t>
            </w:r>
          </w:p>
        </w:tc>
        <w:tc>
          <w:tcPr>
            <w:tcW w:w="805" w:type="dxa"/>
          </w:tcPr>
          <w:p w14:paraId="6535ED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Истр.</w:t>
            </w:r>
          </w:p>
        </w:tc>
        <w:tc>
          <w:tcPr>
            <w:tcW w:w="805" w:type="dxa"/>
          </w:tcPr>
          <w:p w14:paraId="60D8C2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w:t>
            </w:r>
          </w:p>
        </w:tc>
        <w:tc>
          <w:tcPr>
            <w:tcW w:w="805" w:type="dxa"/>
          </w:tcPr>
          <w:p w14:paraId="76B011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w:t>
            </w:r>
          </w:p>
        </w:tc>
        <w:tc>
          <w:tcPr>
            <w:tcW w:w="805" w:type="dxa"/>
          </w:tcPr>
          <w:p w14:paraId="5BAE7C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tc>
      </w:tr>
      <w:tr w:rsidR="004D4663" w:rsidRPr="00070ADE" w14:paraId="40DC286E" w14:textId="77777777">
        <w:tc>
          <w:tcPr>
            <w:tcW w:w="805" w:type="dxa"/>
          </w:tcPr>
          <w:p w14:paraId="26F10B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1938</w:t>
            </w:r>
          </w:p>
        </w:tc>
        <w:tc>
          <w:tcPr>
            <w:tcW w:w="805" w:type="dxa"/>
          </w:tcPr>
          <w:p w14:paraId="0856F7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B5EDA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0EA982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2DC60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B67F43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E0FE3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2A30D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4558B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0E7BE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575B6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FE0932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57A02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4BCFA5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E6D39A8" w14:textId="77777777">
        <w:tc>
          <w:tcPr>
            <w:tcW w:w="805" w:type="dxa"/>
          </w:tcPr>
          <w:p w14:paraId="5907DB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805" w:type="dxa"/>
          </w:tcPr>
          <w:p w14:paraId="1D7BB7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805" w:type="dxa"/>
          </w:tcPr>
          <w:p w14:paraId="2E2E39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805" w:type="dxa"/>
          </w:tcPr>
          <w:p w14:paraId="3E5602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805" w:type="dxa"/>
          </w:tcPr>
          <w:p w14:paraId="04A3C9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805" w:type="dxa"/>
          </w:tcPr>
          <w:p w14:paraId="1A7ABDB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05" w:type="dxa"/>
          </w:tcPr>
          <w:p w14:paraId="71CBFC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805" w:type="dxa"/>
          </w:tcPr>
          <w:p w14:paraId="39A1B1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805" w:type="dxa"/>
          </w:tcPr>
          <w:p w14:paraId="0B2766B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805" w:type="dxa"/>
          </w:tcPr>
          <w:p w14:paraId="019B76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05" w:type="dxa"/>
          </w:tcPr>
          <w:p w14:paraId="442D7D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805" w:type="dxa"/>
          </w:tcPr>
          <w:p w14:paraId="203900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805" w:type="dxa"/>
          </w:tcPr>
          <w:p w14:paraId="45CF35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05" w:type="dxa"/>
          </w:tcPr>
          <w:p w14:paraId="3943F0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r>
      <w:tr w:rsidR="004D4663" w:rsidRPr="00070ADE" w14:paraId="5163D1FD" w14:textId="77777777">
        <w:tc>
          <w:tcPr>
            <w:tcW w:w="805" w:type="dxa"/>
          </w:tcPr>
          <w:p w14:paraId="3F49CA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CF811E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3D34BF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C1631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A71FA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1ADC31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222F2E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1CD20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И-153</w:t>
            </w:r>
          </w:p>
        </w:tc>
        <w:tc>
          <w:tcPr>
            <w:tcW w:w="805" w:type="dxa"/>
          </w:tcPr>
          <w:p w14:paraId="055EC9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Пе-8</w:t>
            </w:r>
          </w:p>
        </w:tc>
        <w:tc>
          <w:tcPr>
            <w:tcW w:w="805" w:type="dxa"/>
          </w:tcPr>
          <w:p w14:paraId="2053B7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6C4F7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И-16</w:t>
            </w:r>
          </w:p>
        </w:tc>
        <w:tc>
          <w:tcPr>
            <w:tcW w:w="805" w:type="dxa"/>
          </w:tcPr>
          <w:p w14:paraId="0D4B8A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Ил-4</w:t>
            </w:r>
          </w:p>
        </w:tc>
        <w:tc>
          <w:tcPr>
            <w:tcW w:w="805" w:type="dxa"/>
          </w:tcPr>
          <w:p w14:paraId="26180A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34A387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C3C9C74" w14:textId="77777777">
        <w:tc>
          <w:tcPr>
            <w:tcW w:w="805" w:type="dxa"/>
          </w:tcPr>
          <w:p w14:paraId="7D7BC4A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0353C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54C92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5ACE1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4573B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19BB2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D1607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1334D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М-25В</w:t>
            </w:r>
          </w:p>
        </w:tc>
        <w:tc>
          <w:tcPr>
            <w:tcW w:w="805" w:type="dxa"/>
          </w:tcPr>
          <w:p w14:paraId="3821B2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АМ-34</w:t>
            </w:r>
          </w:p>
        </w:tc>
        <w:tc>
          <w:tcPr>
            <w:tcW w:w="805" w:type="dxa"/>
          </w:tcPr>
          <w:p w14:paraId="7FD8A3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5055B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М-25В</w:t>
            </w:r>
          </w:p>
        </w:tc>
        <w:tc>
          <w:tcPr>
            <w:tcW w:w="805" w:type="dxa"/>
          </w:tcPr>
          <w:p w14:paraId="29834E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М-86</w:t>
            </w:r>
          </w:p>
        </w:tc>
        <w:tc>
          <w:tcPr>
            <w:tcW w:w="805" w:type="dxa"/>
          </w:tcPr>
          <w:p w14:paraId="2D676E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40AC5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D799692" w14:textId="77777777">
        <w:tc>
          <w:tcPr>
            <w:tcW w:w="805" w:type="dxa"/>
          </w:tcPr>
          <w:p w14:paraId="1C4B07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1939</w:t>
            </w:r>
          </w:p>
        </w:tc>
        <w:tc>
          <w:tcPr>
            <w:tcW w:w="805" w:type="dxa"/>
          </w:tcPr>
          <w:p w14:paraId="0569A3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0B3BA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9F470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19306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070D1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311E0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FE35D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08E74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41319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BD5B8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11474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8CADB5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94D81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B0B3B09" w14:textId="77777777">
        <w:tc>
          <w:tcPr>
            <w:tcW w:w="805" w:type="dxa"/>
          </w:tcPr>
          <w:p w14:paraId="3C925DF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w:t>
            </w:r>
          </w:p>
        </w:tc>
        <w:tc>
          <w:tcPr>
            <w:tcW w:w="805" w:type="dxa"/>
          </w:tcPr>
          <w:p w14:paraId="562BC1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805" w:type="dxa"/>
          </w:tcPr>
          <w:p w14:paraId="67ACD2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805" w:type="dxa"/>
          </w:tcPr>
          <w:p w14:paraId="6C07082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w:t>
            </w:r>
          </w:p>
        </w:tc>
        <w:tc>
          <w:tcPr>
            <w:tcW w:w="805" w:type="dxa"/>
          </w:tcPr>
          <w:p w14:paraId="64D055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tc>
        <w:tc>
          <w:tcPr>
            <w:tcW w:w="805" w:type="dxa"/>
          </w:tcPr>
          <w:p w14:paraId="276AE6B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05" w:type="dxa"/>
          </w:tcPr>
          <w:p w14:paraId="4B2278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w:t>
            </w:r>
          </w:p>
        </w:tc>
        <w:tc>
          <w:tcPr>
            <w:tcW w:w="805" w:type="dxa"/>
          </w:tcPr>
          <w:p w14:paraId="0475241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05" w:type="dxa"/>
          </w:tcPr>
          <w:p w14:paraId="1CF711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805" w:type="dxa"/>
          </w:tcPr>
          <w:p w14:paraId="4D6EDD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05" w:type="dxa"/>
          </w:tcPr>
          <w:p w14:paraId="3132E51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805" w:type="dxa"/>
          </w:tcPr>
          <w:p w14:paraId="088C5CE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805" w:type="dxa"/>
          </w:tcPr>
          <w:p w14:paraId="0BD5F6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05" w:type="dxa"/>
          </w:tcPr>
          <w:p w14:paraId="2A64E0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r>
      <w:tr w:rsidR="004D4663" w:rsidRPr="00070ADE" w14:paraId="5F9EF83D" w14:textId="77777777">
        <w:tc>
          <w:tcPr>
            <w:tcW w:w="805" w:type="dxa"/>
          </w:tcPr>
          <w:p w14:paraId="78E4B6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933FA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A310F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72426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0EEAB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F28BB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89FB12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15C59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EDD65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Як-2</w:t>
            </w:r>
          </w:p>
        </w:tc>
        <w:tc>
          <w:tcPr>
            <w:tcW w:w="805" w:type="dxa"/>
          </w:tcPr>
          <w:p w14:paraId="6E89179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C5A9B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И-153</w:t>
            </w:r>
          </w:p>
        </w:tc>
        <w:tc>
          <w:tcPr>
            <w:tcW w:w="805" w:type="dxa"/>
          </w:tcPr>
          <w:p w14:paraId="5AFFE4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СБ</w:t>
            </w:r>
          </w:p>
        </w:tc>
        <w:tc>
          <w:tcPr>
            <w:tcW w:w="805" w:type="dxa"/>
          </w:tcPr>
          <w:p w14:paraId="25ED72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1589D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65E6B95" w14:textId="77777777">
        <w:tc>
          <w:tcPr>
            <w:tcW w:w="805" w:type="dxa"/>
          </w:tcPr>
          <w:p w14:paraId="70A613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E4AD3D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AC96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31762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3382C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D1696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694EF0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AA35B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80C5D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М-103</w:t>
            </w:r>
          </w:p>
        </w:tc>
        <w:tc>
          <w:tcPr>
            <w:tcW w:w="805" w:type="dxa"/>
          </w:tcPr>
          <w:p w14:paraId="4D710B8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4D542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М-62</w:t>
            </w:r>
          </w:p>
        </w:tc>
        <w:tc>
          <w:tcPr>
            <w:tcW w:w="805" w:type="dxa"/>
          </w:tcPr>
          <w:p w14:paraId="0465AC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М-103</w:t>
            </w:r>
          </w:p>
        </w:tc>
        <w:tc>
          <w:tcPr>
            <w:tcW w:w="805" w:type="dxa"/>
          </w:tcPr>
          <w:p w14:paraId="4B94AF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22591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A847C90" w14:textId="77777777">
        <w:tc>
          <w:tcPr>
            <w:tcW w:w="805" w:type="dxa"/>
          </w:tcPr>
          <w:p w14:paraId="3F51F05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57E49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8C9D1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1718E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C874E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DD040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94111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047BD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B3225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Су-2</w:t>
            </w:r>
          </w:p>
        </w:tc>
        <w:tc>
          <w:tcPr>
            <w:tcW w:w="805" w:type="dxa"/>
          </w:tcPr>
          <w:p w14:paraId="3DD5360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787846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И-152</w:t>
            </w:r>
          </w:p>
        </w:tc>
        <w:tc>
          <w:tcPr>
            <w:tcW w:w="805" w:type="dxa"/>
          </w:tcPr>
          <w:p w14:paraId="64EF9B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Ил-4</w:t>
            </w:r>
          </w:p>
        </w:tc>
        <w:tc>
          <w:tcPr>
            <w:tcW w:w="805" w:type="dxa"/>
          </w:tcPr>
          <w:p w14:paraId="57283C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D9AE6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9745C53" w14:textId="77777777">
        <w:tc>
          <w:tcPr>
            <w:tcW w:w="805" w:type="dxa"/>
          </w:tcPr>
          <w:p w14:paraId="47AB87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A6865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21145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BA663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35BD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DA87A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36C03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1D02A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9FC911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М-87А</w:t>
            </w:r>
          </w:p>
        </w:tc>
        <w:tc>
          <w:tcPr>
            <w:tcW w:w="805" w:type="dxa"/>
          </w:tcPr>
          <w:p w14:paraId="3957694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96F03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М-62</w:t>
            </w:r>
          </w:p>
        </w:tc>
        <w:tc>
          <w:tcPr>
            <w:tcW w:w="805" w:type="dxa"/>
          </w:tcPr>
          <w:p w14:paraId="62E0EB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М-87А</w:t>
            </w:r>
          </w:p>
        </w:tc>
        <w:tc>
          <w:tcPr>
            <w:tcW w:w="805" w:type="dxa"/>
          </w:tcPr>
          <w:p w14:paraId="69B9D8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C36E8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260B467" w14:textId="77777777">
        <w:tc>
          <w:tcPr>
            <w:tcW w:w="805" w:type="dxa"/>
          </w:tcPr>
          <w:p w14:paraId="0006E5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393918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F436E4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8EB10D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CF190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A389F8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94DC1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6F438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22123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C4AFA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36690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И-153</w:t>
            </w:r>
          </w:p>
        </w:tc>
        <w:tc>
          <w:tcPr>
            <w:tcW w:w="805" w:type="dxa"/>
          </w:tcPr>
          <w:p w14:paraId="20C31E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8659DF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D6AB9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C7B3864" w14:textId="77777777">
        <w:tc>
          <w:tcPr>
            <w:tcW w:w="805" w:type="dxa"/>
          </w:tcPr>
          <w:p w14:paraId="42F5959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27837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8F69A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7882DD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E5276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CAB3CA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043630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43B0D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89276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5D7D0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36109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п/баки</w:t>
            </w:r>
          </w:p>
        </w:tc>
        <w:tc>
          <w:tcPr>
            <w:tcW w:w="805" w:type="dxa"/>
          </w:tcPr>
          <w:p w14:paraId="7CA60B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92063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A8431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D6641EE" w14:textId="77777777">
        <w:tc>
          <w:tcPr>
            <w:tcW w:w="805" w:type="dxa"/>
          </w:tcPr>
          <w:p w14:paraId="1E2F4D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7BC83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60651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B7D19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93845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EC55D1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4907D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63E35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BA643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480C6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B3EBD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И-16</w:t>
            </w:r>
          </w:p>
        </w:tc>
        <w:tc>
          <w:tcPr>
            <w:tcW w:w="805" w:type="dxa"/>
          </w:tcPr>
          <w:p w14:paraId="410B0AA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FA51C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C4B3C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FA4D369" w14:textId="77777777">
        <w:tc>
          <w:tcPr>
            <w:tcW w:w="805" w:type="dxa"/>
          </w:tcPr>
          <w:p w14:paraId="66FC19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06886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4F21C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4824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5B923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AA2C3F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14572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049CEB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A8D18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1E754A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2A7F7A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М-62</w:t>
            </w:r>
          </w:p>
        </w:tc>
        <w:tc>
          <w:tcPr>
            <w:tcW w:w="805" w:type="dxa"/>
          </w:tcPr>
          <w:p w14:paraId="70D522E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BA8D2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69510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63860A9" w14:textId="77777777">
        <w:tc>
          <w:tcPr>
            <w:tcW w:w="805" w:type="dxa"/>
          </w:tcPr>
          <w:p w14:paraId="614F2F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5DDF8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F93066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669E8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F70E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BE16F2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271A10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C3C5BE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29F2B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F4D0D2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9FE65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И-16</w:t>
            </w:r>
          </w:p>
        </w:tc>
        <w:tc>
          <w:tcPr>
            <w:tcW w:w="805" w:type="dxa"/>
          </w:tcPr>
          <w:p w14:paraId="3F84671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57405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F0963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2172AAC" w14:textId="77777777">
        <w:tc>
          <w:tcPr>
            <w:tcW w:w="805" w:type="dxa"/>
          </w:tcPr>
          <w:p w14:paraId="3BE0E3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D92CF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43CE9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FD06D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A12DD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0B501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AFE9DB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4F553A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29786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A215BE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CD003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М-63</w:t>
            </w:r>
          </w:p>
        </w:tc>
        <w:tc>
          <w:tcPr>
            <w:tcW w:w="805" w:type="dxa"/>
          </w:tcPr>
          <w:p w14:paraId="2334DA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D9DC4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887F0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3AF2EDE" w14:textId="77777777">
        <w:tc>
          <w:tcPr>
            <w:tcW w:w="805" w:type="dxa"/>
          </w:tcPr>
          <w:p w14:paraId="0DCCE7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8D1134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7DDD3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4142C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4FFFFD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C05AF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133FC6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2675A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1F5B1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9A98D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8B566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И-16</w:t>
            </w:r>
          </w:p>
        </w:tc>
        <w:tc>
          <w:tcPr>
            <w:tcW w:w="805" w:type="dxa"/>
          </w:tcPr>
          <w:p w14:paraId="323B8A8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13E993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987A41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4950927" w14:textId="77777777">
        <w:tc>
          <w:tcPr>
            <w:tcW w:w="805" w:type="dxa"/>
          </w:tcPr>
          <w:p w14:paraId="22A5E8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1C3CF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FF5A1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D40CE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A50A70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325AF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7C340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8987B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CCA284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277C5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7EBD7C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п/баки</w:t>
            </w:r>
          </w:p>
        </w:tc>
        <w:tc>
          <w:tcPr>
            <w:tcW w:w="805" w:type="dxa"/>
          </w:tcPr>
          <w:p w14:paraId="2DC208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C044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61DE9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773CA79" w14:textId="77777777">
        <w:tc>
          <w:tcPr>
            <w:tcW w:w="805" w:type="dxa"/>
          </w:tcPr>
          <w:p w14:paraId="148D1C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1940</w:t>
            </w:r>
          </w:p>
        </w:tc>
        <w:tc>
          <w:tcPr>
            <w:tcW w:w="805" w:type="dxa"/>
          </w:tcPr>
          <w:p w14:paraId="0478D9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B402D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816CCB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DB7ADD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A940D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CC3D6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0115E9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56753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FFE9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FADE5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D4B93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75E1B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0458E6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8895E8E" w14:textId="77777777">
        <w:tc>
          <w:tcPr>
            <w:tcW w:w="805" w:type="dxa"/>
          </w:tcPr>
          <w:p w14:paraId="202B56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w:t>
            </w:r>
          </w:p>
        </w:tc>
        <w:tc>
          <w:tcPr>
            <w:tcW w:w="805" w:type="dxa"/>
          </w:tcPr>
          <w:p w14:paraId="399D999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805" w:type="dxa"/>
          </w:tcPr>
          <w:p w14:paraId="6E19DA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805" w:type="dxa"/>
          </w:tcPr>
          <w:p w14:paraId="70EE6C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805" w:type="dxa"/>
          </w:tcPr>
          <w:p w14:paraId="05C5ACC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805" w:type="dxa"/>
          </w:tcPr>
          <w:p w14:paraId="0B829B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05" w:type="dxa"/>
          </w:tcPr>
          <w:p w14:paraId="2C83EB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w:t>
            </w:r>
          </w:p>
        </w:tc>
        <w:tc>
          <w:tcPr>
            <w:tcW w:w="805" w:type="dxa"/>
          </w:tcPr>
          <w:p w14:paraId="5BF3AD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805" w:type="dxa"/>
          </w:tcPr>
          <w:p w14:paraId="2E612B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805" w:type="dxa"/>
          </w:tcPr>
          <w:p w14:paraId="60C748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05" w:type="dxa"/>
          </w:tcPr>
          <w:p w14:paraId="5834FE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805" w:type="dxa"/>
          </w:tcPr>
          <w:p w14:paraId="042600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805" w:type="dxa"/>
          </w:tcPr>
          <w:p w14:paraId="40EE263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05" w:type="dxa"/>
          </w:tcPr>
          <w:p w14:paraId="0B3DAFA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r>
      <w:tr w:rsidR="004D4663" w:rsidRPr="00070ADE" w14:paraId="6196844F" w14:textId="77777777">
        <w:tc>
          <w:tcPr>
            <w:tcW w:w="805" w:type="dxa"/>
          </w:tcPr>
          <w:p w14:paraId="28FD5E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B13CA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15DD9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86306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9F839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2D094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6DCC0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DDF04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Як-1</w:t>
            </w:r>
          </w:p>
        </w:tc>
        <w:tc>
          <w:tcPr>
            <w:tcW w:w="805" w:type="dxa"/>
          </w:tcPr>
          <w:p w14:paraId="5FCEA18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Ер-2</w:t>
            </w:r>
          </w:p>
        </w:tc>
        <w:tc>
          <w:tcPr>
            <w:tcW w:w="805" w:type="dxa"/>
          </w:tcPr>
          <w:p w14:paraId="151735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674BB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И-153</w:t>
            </w:r>
          </w:p>
        </w:tc>
        <w:tc>
          <w:tcPr>
            <w:tcW w:w="805" w:type="dxa"/>
          </w:tcPr>
          <w:p w14:paraId="37572B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СБ</w:t>
            </w:r>
          </w:p>
        </w:tc>
        <w:tc>
          <w:tcPr>
            <w:tcW w:w="805" w:type="dxa"/>
          </w:tcPr>
          <w:p w14:paraId="26384B9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8B98E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C91FA61" w14:textId="77777777">
        <w:tc>
          <w:tcPr>
            <w:tcW w:w="805" w:type="dxa"/>
          </w:tcPr>
          <w:p w14:paraId="665EA9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8930B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C2E18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F644F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64200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D2C5A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9A343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7657D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w:t>
            </w:r>
          </w:p>
        </w:tc>
        <w:tc>
          <w:tcPr>
            <w:tcW w:w="805" w:type="dxa"/>
          </w:tcPr>
          <w:p w14:paraId="2B9822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w:t>
            </w:r>
          </w:p>
        </w:tc>
        <w:tc>
          <w:tcPr>
            <w:tcW w:w="805" w:type="dxa"/>
          </w:tcPr>
          <w:p w14:paraId="0667BA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46A05D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М-63</w:t>
            </w:r>
          </w:p>
        </w:tc>
        <w:tc>
          <w:tcPr>
            <w:tcW w:w="805" w:type="dxa"/>
          </w:tcPr>
          <w:p w14:paraId="026E8D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М103</w:t>
            </w:r>
          </w:p>
        </w:tc>
        <w:tc>
          <w:tcPr>
            <w:tcW w:w="805" w:type="dxa"/>
          </w:tcPr>
          <w:p w14:paraId="663B22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5B645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913298A" w14:textId="77777777">
        <w:tc>
          <w:tcPr>
            <w:tcW w:w="805" w:type="dxa"/>
          </w:tcPr>
          <w:p w14:paraId="473F33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E9F15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7F710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C3560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6B57F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BDC82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59453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64EE7C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ЛаГГ-3</w:t>
            </w:r>
          </w:p>
        </w:tc>
        <w:tc>
          <w:tcPr>
            <w:tcW w:w="805" w:type="dxa"/>
          </w:tcPr>
          <w:p w14:paraId="2C1ECB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463AB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EAE60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2C02BF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СБ-РК</w:t>
            </w:r>
          </w:p>
        </w:tc>
        <w:tc>
          <w:tcPr>
            <w:tcW w:w="805" w:type="dxa"/>
          </w:tcPr>
          <w:p w14:paraId="116439B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D05F84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E8C528C" w14:textId="77777777">
        <w:tc>
          <w:tcPr>
            <w:tcW w:w="805" w:type="dxa"/>
          </w:tcPr>
          <w:p w14:paraId="6F2D7A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EB7273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36928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43438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25DC73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2AF46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23AF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907C7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w:t>
            </w:r>
          </w:p>
        </w:tc>
        <w:tc>
          <w:tcPr>
            <w:tcW w:w="805" w:type="dxa"/>
          </w:tcPr>
          <w:p w14:paraId="0A6F1E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3EDE7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8DBC4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205F2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w:t>
            </w:r>
          </w:p>
        </w:tc>
        <w:tc>
          <w:tcPr>
            <w:tcW w:w="805" w:type="dxa"/>
          </w:tcPr>
          <w:p w14:paraId="192A36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3682C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10BF5A3" w14:textId="77777777">
        <w:tc>
          <w:tcPr>
            <w:tcW w:w="805" w:type="dxa"/>
          </w:tcPr>
          <w:p w14:paraId="7847B2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185A9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FBE06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80101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9A2D0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6352C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0F7EF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2B68C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МиГ-3</w:t>
            </w:r>
          </w:p>
        </w:tc>
        <w:tc>
          <w:tcPr>
            <w:tcW w:w="805" w:type="dxa"/>
          </w:tcPr>
          <w:p w14:paraId="303D75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0DAEC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9BEC2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642AE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Як-4</w:t>
            </w:r>
          </w:p>
        </w:tc>
        <w:tc>
          <w:tcPr>
            <w:tcW w:w="805" w:type="dxa"/>
          </w:tcPr>
          <w:p w14:paraId="1720A7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AB65C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981F382" w14:textId="77777777">
        <w:tc>
          <w:tcPr>
            <w:tcW w:w="805" w:type="dxa"/>
          </w:tcPr>
          <w:p w14:paraId="62DB38B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F1ACD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241AA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C2E5A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4B4D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8E85E4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57651B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728C3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АМ-35</w:t>
            </w:r>
          </w:p>
        </w:tc>
        <w:tc>
          <w:tcPr>
            <w:tcW w:w="805" w:type="dxa"/>
          </w:tcPr>
          <w:p w14:paraId="61D740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DE98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B9002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EBE386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w:t>
            </w:r>
          </w:p>
        </w:tc>
        <w:tc>
          <w:tcPr>
            <w:tcW w:w="805" w:type="dxa"/>
          </w:tcPr>
          <w:p w14:paraId="5285CFA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27D3C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69492E4" w14:textId="77777777">
        <w:tc>
          <w:tcPr>
            <w:tcW w:w="805" w:type="dxa"/>
          </w:tcPr>
          <w:p w14:paraId="1967AA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90E70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9FEB5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B90F7A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37A73E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BBD266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27734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2199E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BEB33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232E2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5AE96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5BDD6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w:t>
            </w:r>
          </w:p>
        </w:tc>
        <w:tc>
          <w:tcPr>
            <w:tcW w:w="805" w:type="dxa"/>
          </w:tcPr>
          <w:p w14:paraId="1EEDA9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E8530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42502D8" w14:textId="77777777">
        <w:tc>
          <w:tcPr>
            <w:tcW w:w="805" w:type="dxa"/>
          </w:tcPr>
          <w:p w14:paraId="3CD42F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32BAF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DF0125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DFD058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ECAB98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23D536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5B66A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21E55D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0CF8B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52C11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6B88F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16C0E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М-88</w:t>
            </w:r>
          </w:p>
        </w:tc>
        <w:tc>
          <w:tcPr>
            <w:tcW w:w="805" w:type="dxa"/>
          </w:tcPr>
          <w:p w14:paraId="496A1EA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27FD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94F0537" w14:textId="77777777">
        <w:tc>
          <w:tcPr>
            <w:tcW w:w="805" w:type="dxa"/>
          </w:tcPr>
          <w:p w14:paraId="3AEAE7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0C944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459CD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426828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46B4B2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32F72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E420C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6DD10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9D2A8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1973E6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2427B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B91FF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Су-2</w:t>
            </w:r>
          </w:p>
        </w:tc>
        <w:tc>
          <w:tcPr>
            <w:tcW w:w="805" w:type="dxa"/>
          </w:tcPr>
          <w:p w14:paraId="0AF111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D47748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10B714D" w14:textId="77777777">
        <w:tc>
          <w:tcPr>
            <w:tcW w:w="805" w:type="dxa"/>
          </w:tcPr>
          <w:p w14:paraId="0787C71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EEE0C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D5540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AA9DC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17E2BF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06985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B2FEF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90200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CC97E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90A4E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B7A46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CE21C3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М-88Б</w:t>
            </w:r>
          </w:p>
        </w:tc>
        <w:tc>
          <w:tcPr>
            <w:tcW w:w="805" w:type="dxa"/>
          </w:tcPr>
          <w:p w14:paraId="596024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878100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3FB4FBF" w14:textId="77777777">
        <w:tc>
          <w:tcPr>
            <w:tcW w:w="805" w:type="dxa"/>
          </w:tcPr>
          <w:p w14:paraId="7F0656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1941</w:t>
            </w:r>
          </w:p>
        </w:tc>
        <w:tc>
          <w:tcPr>
            <w:tcW w:w="805" w:type="dxa"/>
          </w:tcPr>
          <w:p w14:paraId="3131BA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BD180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F40D8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5B937E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DA1B9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05A6D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82FC97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C4FC4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B2A86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96596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5A47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766729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0478D0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DD58DBD" w14:textId="77777777">
        <w:tc>
          <w:tcPr>
            <w:tcW w:w="805" w:type="dxa"/>
          </w:tcPr>
          <w:p w14:paraId="5B2EF7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w:t>
            </w:r>
          </w:p>
        </w:tc>
        <w:tc>
          <w:tcPr>
            <w:tcW w:w="805" w:type="dxa"/>
          </w:tcPr>
          <w:p w14:paraId="33C79A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805" w:type="dxa"/>
          </w:tcPr>
          <w:p w14:paraId="0B816A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805" w:type="dxa"/>
          </w:tcPr>
          <w:p w14:paraId="7ECDF8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805" w:type="dxa"/>
          </w:tcPr>
          <w:p w14:paraId="3ECD70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tc>
        <w:tc>
          <w:tcPr>
            <w:tcW w:w="805" w:type="dxa"/>
          </w:tcPr>
          <w:p w14:paraId="6A50EF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805" w:type="dxa"/>
          </w:tcPr>
          <w:p w14:paraId="3DF56C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w:t>
            </w:r>
          </w:p>
        </w:tc>
        <w:tc>
          <w:tcPr>
            <w:tcW w:w="805" w:type="dxa"/>
          </w:tcPr>
          <w:p w14:paraId="0B4186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05" w:type="dxa"/>
          </w:tcPr>
          <w:p w14:paraId="6BD780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805" w:type="dxa"/>
          </w:tcPr>
          <w:p w14:paraId="456F1A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805" w:type="dxa"/>
          </w:tcPr>
          <w:p w14:paraId="5264E5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805" w:type="dxa"/>
          </w:tcPr>
          <w:p w14:paraId="03BB7E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805" w:type="dxa"/>
          </w:tcPr>
          <w:p w14:paraId="4AF0BB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05" w:type="dxa"/>
          </w:tcPr>
          <w:p w14:paraId="105451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r>
      <w:tr w:rsidR="004D4663" w:rsidRPr="00070ADE" w14:paraId="06950079" w14:textId="77777777">
        <w:tc>
          <w:tcPr>
            <w:tcW w:w="805" w:type="dxa"/>
          </w:tcPr>
          <w:p w14:paraId="54AB48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9FDC3B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74B032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3C3B7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66FBA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62BC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1D675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B60E3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F169F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w:t>
            </w:r>
          </w:p>
        </w:tc>
        <w:tc>
          <w:tcPr>
            <w:tcW w:w="805" w:type="dxa"/>
          </w:tcPr>
          <w:p w14:paraId="01E0762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w:t>
            </w:r>
          </w:p>
        </w:tc>
        <w:tc>
          <w:tcPr>
            <w:tcW w:w="805" w:type="dxa"/>
          </w:tcPr>
          <w:p w14:paraId="1B21E4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Як-7</w:t>
            </w:r>
          </w:p>
        </w:tc>
        <w:tc>
          <w:tcPr>
            <w:tcW w:w="805" w:type="dxa"/>
          </w:tcPr>
          <w:p w14:paraId="7E545C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Пе-8</w:t>
            </w:r>
          </w:p>
        </w:tc>
        <w:tc>
          <w:tcPr>
            <w:tcW w:w="805" w:type="dxa"/>
          </w:tcPr>
          <w:p w14:paraId="055A6BA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8E1B9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A680683" w14:textId="77777777">
        <w:tc>
          <w:tcPr>
            <w:tcW w:w="805" w:type="dxa"/>
          </w:tcPr>
          <w:p w14:paraId="1D3FC7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2CF6D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AA1509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99D38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F930D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78AEE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7E9D2E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04D5C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2F035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w:t>
            </w:r>
          </w:p>
        </w:tc>
        <w:tc>
          <w:tcPr>
            <w:tcW w:w="805" w:type="dxa"/>
          </w:tcPr>
          <w:p w14:paraId="043F21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АМ-39</w:t>
            </w:r>
          </w:p>
        </w:tc>
        <w:tc>
          <w:tcPr>
            <w:tcW w:w="805" w:type="dxa"/>
          </w:tcPr>
          <w:p w14:paraId="0503183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w:t>
            </w:r>
          </w:p>
        </w:tc>
        <w:tc>
          <w:tcPr>
            <w:tcW w:w="805" w:type="dxa"/>
          </w:tcPr>
          <w:p w14:paraId="62C3E1C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АМ-37А</w:t>
            </w:r>
          </w:p>
        </w:tc>
        <w:tc>
          <w:tcPr>
            <w:tcW w:w="805" w:type="dxa"/>
          </w:tcPr>
          <w:p w14:paraId="0FB937D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F9FA4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D14D2F7" w14:textId="77777777">
        <w:tc>
          <w:tcPr>
            <w:tcW w:w="805" w:type="dxa"/>
          </w:tcPr>
          <w:p w14:paraId="43CEB3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BD640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57B49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5AE06E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04CD3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E65EBD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71549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6B2C99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3ED52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27EB5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20C5E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Пе-3</w:t>
            </w:r>
          </w:p>
        </w:tc>
        <w:tc>
          <w:tcPr>
            <w:tcW w:w="805" w:type="dxa"/>
          </w:tcPr>
          <w:p w14:paraId="0F85C44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C6DE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D57D1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2D214CB" w14:textId="77777777">
        <w:tc>
          <w:tcPr>
            <w:tcW w:w="805" w:type="dxa"/>
          </w:tcPr>
          <w:p w14:paraId="12EE08D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0D652B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930D1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0DB9E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4556D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C5AA7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CDCA6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7DAF1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57B1E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F47B36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CBAD2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w:t>
            </w:r>
          </w:p>
        </w:tc>
        <w:tc>
          <w:tcPr>
            <w:tcW w:w="805" w:type="dxa"/>
          </w:tcPr>
          <w:p w14:paraId="761B458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F471F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6854C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CDCC8A1" w14:textId="77777777">
        <w:tc>
          <w:tcPr>
            <w:tcW w:w="805" w:type="dxa"/>
          </w:tcPr>
          <w:p w14:paraId="40747A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1942</w:t>
            </w:r>
          </w:p>
        </w:tc>
        <w:tc>
          <w:tcPr>
            <w:tcW w:w="805" w:type="dxa"/>
          </w:tcPr>
          <w:p w14:paraId="4F95EAC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55C6B4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58D13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02D69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925BD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7DFB9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CD501E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2B81F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CAE2C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0EF18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F7B73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E055D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EED33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FBE61B2" w14:textId="77777777">
        <w:tc>
          <w:tcPr>
            <w:tcW w:w="805" w:type="dxa"/>
          </w:tcPr>
          <w:p w14:paraId="2D09A5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tc>
        <w:tc>
          <w:tcPr>
            <w:tcW w:w="805" w:type="dxa"/>
          </w:tcPr>
          <w:p w14:paraId="66155D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805" w:type="dxa"/>
          </w:tcPr>
          <w:p w14:paraId="5CA326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805" w:type="dxa"/>
          </w:tcPr>
          <w:p w14:paraId="7A0B3F2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805" w:type="dxa"/>
          </w:tcPr>
          <w:p w14:paraId="1C8270A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w:t>
            </w:r>
          </w:p>
        </w:tc>
        <w:tc>
          <w:tcPr>
            <w:tcW w:w="805" w:type="dxa"/>
          </w:tcPr>
          <w:p w14:paraId="53291E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805" w:type="dxa"/>
          </w:tcPr>
          <w:p w14:paraId="6B7B28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w:t>
            </w:r>
          </w:p>
        </w:tc>
        <w:tc>
          <w:tcPr>
            <w:tcW w:w="805" w:type="dxa"/>
          </w:tcPr>
          <w:p w14:paraId="6EC296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05" w:type="dxa"/>
          </w:tcPr>
          <w:p w14:paraId="3A045D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805" w:type="dxa"/>
          </w:tcPr>
          <w:p w14:paraId="54912C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805" w:type="dxa"/>
          </w:tcPr>
          <w:p w14:paraId="6074FA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tc>
        <w:tc>
          <w:tcPr>
            <w:tcW w:w="805" w:type="dxa"/>
          </w:tcPr>
          <w:p w14:paraId="02ABA3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805" w:type="dxa"/>
          </w:tcPr>
          <w:p w14:paraId="0DA350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805" w:type="dxa"/>
          </w:tcPr>
          <w:p w14:paraId="4D46C9F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r>
      <w:tr w:rsidR="004D4663" w:rsidRPr="00070ADE" w14:paraId="5182F095" w14:textId="77777777">
        <w:tc>
          <w:tcPr>
            <w:tcW w:w="805" w:type="dxa"/>
          </w:tcPr>
          <w:p w14:paraId="35B6AB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BD0C7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384DBB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AED03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1A167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FCBE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631FDA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6DC7D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3D9D4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Ту-2</w:t>
            </w:r>
          </w:p>
        </w:tc>
        <w:tc>
          <w:tcPr>
            <w:tcW w:w="805" w:type="dxa"/>
          </w:tcPr>
          <w:p w14:paraId="26B0CC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w:t>
            </w:r>
          </w:p>
        </w:tc>
        <w:tc>
          <w:tcPr>
            <w:tcW w:w="805" w:type="dxa"/>
          </w:tcPr>
          <w:p w14:paraId="6794EE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Як-1</w:t>
            </w:r>
          </w:p>
        </w:tc>
        <w:tc>
          <w:tcPr>
            <w:tcW w:w="805" w:type="dxa"/>
          </w:tcPr>
          <w:p w14:paraId="57981BE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w:t>
            </w:r>
          </w:p>
        </w:tc>
        <w:tc>
          <w:tcPr>
            <w:tcW w:w="805" w:type="dxa"/>
          </w:tcPr>
          <w:p w14:paraId="017288A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w:t>
            </w:r>
          </w:p>
        </w:tc>
        <w:tc>
          <w:tcPr>
            <w:tcW w:w="805" w:type="dxa"/>
          </w:tcPr>
          <w:p w14:paraId="21F1BA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55107EA" w14:textId="77777777">
        <w:tc>
          <w:tcPr>
            <w:tcW w:w="805" w:type="dxa"/>
          </w:tcPr>
          <w:p w14:paraId="275466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BEC06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8B3CF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51D95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AFC52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CF6930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A7458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C79CCF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B918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М-82</w:t>
            </w:r>
          </w:p>
        </w:tc>
        <w:tc>
          <w:tcPr>
            <w:tcW w:w="805" w:type="dxa"/>
          </w:tcPr>
          <w:p w14:paraId="62F9D1C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Як-6</w:t>
            </w:r>
          </w:p>
        </w:tc>
        <w:tc>
          <w:tcPr>
            <w:tcW w:w="805" w:type="dxa"/>
          </w:tcPr>
          <w:p w14:paraId="24F1C6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w:t>
            </w:r>
          </w:p>
        </w:tc>
        <w:tc>
          <w:tcPr>
            <w:tcW w:w="805" w:type="dxa"/>
          </w:tcPr>
          <w:p w14:paraId="6A68D0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w:t>
            </w:r>
          </w:p>
        </w:tc>
        <w:tc>
          <w:tcPr>
            <w:tcW w:w="805" w:type="dxa"/>
          </w:tcPr>
          <w:p w14:paraId="52009DC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(двух)</w:t>
            </w:r>
          </w:p>
        </w:tc>
        <w:tc>
          <w:tcPr>
            <w:tcW w:w="805" w:type="dxa"/>
          </w:tcPr>
          <w:p w14:paraId="7CB135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5E25450" w14:textId="77777777">
        <w:tc>
          <w:tcPr>
            <w:tcW w:w="805" w:type="dxa"/>
          </w:tcPr>
          <w:p w14:paraId="00A961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D0CFAA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5F9C6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A53E5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F908B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74551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94BA9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6BBCA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D580A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59C7B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М-11Д</w:t>
            </w:r>
          </w:p>
        </w:tc>
        <w:tc>
          <w:tcPr>
            <w:tcW w:w="805" w:type="dxa"/>
          </w:tcPr>
          <w:p w14:paraId="5F29CD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ЛаГГ-3</w:t>
            </w:r>
          </w:p>
        </w:tc>
        <w:tc>
          <w:tcPr>
            <w:tcW w:w="805" w:type="dxa"/>
          </w:tcPr>
          <w:p w14:paraId="61C1A7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Ли-2</w:t>
            </w:r>
          </w:p>
        </w:tc>
        <w:tc>
          <w:tcPr>
            <w:tcW w:w="805" w:type="dxa"/>
          </w:tcPr>
          <w:p w14:paraId="5D3ECF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w:t>
            </w:r>
          </w:p>
        </w:tc>
        <w:tc>
          <w:tcPr>
            <w:tcW w:w="805" w:type="dxa"/>
          </w:tcPr>
          <w:p w14:paraId="4DA033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20ED768" w14:textId="77777777">
        <w:tc>
          <w:tcPr>
            <w:tcW w:w="805" w:type="dxa"/>
          </w:tcPr>
          <w:p w14:paraId="26C947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2D702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D8567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1CDE69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314C6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F125E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EC4F1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47458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E82D70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C80FEB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BB889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w:t>
            </w:r>
          </w:p>
        </w:tc>
        <w:tc>
          <w:tcPr>
            <w:tcW w:w="805" w:type="dxa"/>
          </w:tcPr>
          <w:p w14:paraId="116D7D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М-62</w:t>
            </w:r>
          </w:p>
        </w:tc>
        <w:tc>
          <w:tcPr>
            <w:tcW w:w="805" w:type="dxa"/>
          </w:tcPr>
          <w:p w14:paraId="3067101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АМ-38Ф</w:t>
            </w:r>
          </w:p>
        </w:tc>
        <w:tc>
          <w:tcPr>
            <w:tcW w:w="805" w:type="dxa"/>
          </w:tcPr>
          <w:p w14:paraId="7CE040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F9A0FB5" w14:textId="77777777">
        <w:tc>
          <w:tcPr>
            <w:tcW w:w="805" w:type="dxa"/>
          </w:tcPr>
          <w:p w14:paraId="4E6A95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9E7355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5F5AF6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D57051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E6B3B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2C9A51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CCFD7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C872EA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916C61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9BB3E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F6A9F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w:t>
            </w:r>
          </w:p>
        </w:tc>
        <w:tc>
          <w:tcPr>
            <w:tcW w:w="805" w:type="dxa"/>
          </w:tcPr>
          <w:p w14:paraId="08809B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8DFB0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8779B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C43290C" w14:textId="77777777">
        <w:tc>
          <w:tcPr>
            <w:tcW w:w="805" w:type="dxa"/>
          </w:tcPr>
          <w:p w14:paraId="445970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6430D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5795E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C24058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CF48C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CC73AA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222AB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1777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A5BA8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6E3D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53850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М-82</w:t>
            </w:r>
          </w:p>
        </w:tc>
        <w:tc>
          <w:tcPr>
            <w:tcW w:w="805" w:type="dxa"/>
          </w:tcPr>
          <w:p w14:paraId="4C6357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A0D88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43ABBC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713C037" w14:textId="77777777">
        <w:tc>
          <w:tcPr>
            <w:tcW w:w="805" w:type="dxa"/>
          </w:tcPr>
          <w:p w14:paraId="278A84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F9E1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84C33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E5908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8A18C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88F731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23FC1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2F409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7277A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09703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C729B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w:t>
            </w:r>
          </w:p>
        </w:tc>
        <w:tc>
          <w:tcPr>
            <w:tcW w:w="805" w:type="dxa"/>
          </w:tcPr>
          <w:p w14:paraId="43C5E0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941EF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195B3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94B298A" w14:textId="77777777">
        <w:tc>
          <w:tcPr>
            <w:tcW w:w="805" w:type="dxa"/>
          </w:tcPr>
          <w:p w14:paraId="0BC1D6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65C06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377AA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0C8701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4800F5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FD994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927F9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DA7C7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8A04D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8D8BE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E02C8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w:t>
            </w:r>
          </w:p>
        </w:tc>
        <w:tc>
          <w:tcPr>
            <w:tcW w:w="805" w:type="dxa"/>
          </w:tcPr>
          <w:p w14:paraId="4BD133D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3BF1C1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5A4AB4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E187588" w14:textId="77777777">
        <w:tc>
          <w:tcPr>
            <w:tcW w:w="805" w:type="dxa"/>
          </w:tcPr>
          <w:p w14:paraId="33858B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538CA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EAAA3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34826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1ED7E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F2206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76C7A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7B02C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CB5258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C6E45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D7A75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Як-9Т</w:t>
            </w:r>
          </w:p>
        </w:tc>
        <w:tc>
          <w:tcPr>
            <w:tcW w:w="805" w:type="dxa"/>
          </w:tcPr>
          <w:p w14:paraId="2DF841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7EA10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987E99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AA37A56" w14:textId="77777777">
        <w:tc>
          <w:tcPr>
            <w:tcW w:w="805" w:type="dxa"/>
          </w:tcPr>
          <w:p w14:paraId="1B61C7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11D7B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3286D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1013E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7B57C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86D21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DB8B0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15D54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47F92E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D34ABE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8B35E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w:t>
            </w:r>
          </w:p>
        </w:tc>
        <w:tc>
          <w:tcPr>
            <w:tcW w:w="805" w:type="dxa"/>
          </w:tcPr>
          <w:p w14:paraId="543F83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396EB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FC9C5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812C226" w14:textId="77777777">
        <w:tc>
          <w:tcPr>
            <w:tcW w:w="805" w:type="dxa"/>
          </w:tcPr>
          <w:p w14:paraId="5C98FA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3DC4D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58B36E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8C558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5DACC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5D430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85937C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1BE5B4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EBFDE2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1B941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B20F6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w:t>
            </w:r>
          </w:p>
        </w:tc>
        <w:tc>
          <w:tcPr>
            <w:tcW w:w="805" w:type="dxa"/>
          </w:tcPr>
          <w:p w14:paraId="0A9BB6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2AD92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7EC1C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162AE84" w14:textId="77777777">
        <w:tc>
          <w:tcPr>
            <w:tcW w:w="805" w:type="dxa"/>
          </w:tcPr>
          <w:p w14:paraId="72AF031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F16A1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22BBC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2DD98E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A40B2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F1A77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57820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C74978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FE704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C93E6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0EE68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М-82Ф</w:t>
            </w:r>
          </w:p>
        </w:tc>
        <w:tc>
          <w:tcPr>
            <w:tcW w:w="805" w:type="dxa"/>
          </w:tcPr>
          <w:p w14:paraId="752446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BAE0E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F685A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C0BBB7C" w14:textId="77777777">
        <w:tc>
          <w:tcPr>
            <w:tcW w:w="805" w:type="dxa"/>
          </w:tcPr>
          <w:p w14:paraId="51CDD5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0805C8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76B9DC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69004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DF93C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D9772E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621062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BF4E8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D8BE9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B8715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84FAE1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Як-7Б</w:t>
            </w:r>
          </w:p>
        </w:tc>
        <w:tc>
          <w:tcPr>
            <w:tcW w:w="805" w:type="dxa"/>
          </w:tcPr>
          <w:p w14:paraId="13D711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CD6D1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83B0A6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1E98A1A" w14:textId="77777777">
        <w:tc>
          <w:tcPr>
            <w:tcW w:w="805" w:type="dxa"/>
          </w:tcPr>
          <w:p w14:paraId="59244D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0B47B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00076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727DC0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F30861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3958E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B9901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7CCF9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D7D111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204A2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6ED16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w:t>
            </w:r>
          </w:p>
        </w:tc>
        <w:tc>
          <w:tcPr>
            <w:tcW w:w="805" w:type="dxa"/>
          </w:tcPr>
          <w:p w14:paraId="008809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DE9F6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38FE2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0FC1670" w14:textId="77777777">
        <w:tc>
          <w:tcPr>
            <w:tcW w:w="805" w:type="dxa"/>
          </w:tcPr>
          <w:p w14:paraId="4763D1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B56BB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95A91E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29CAE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FCD0B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8346A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DF576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CDD9B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C9341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8395A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B448A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Як-1</w:t>
            </w:r>
          </w:p>
        </w:tc>
        <w:tc>
          <w:tcPr>
            <w:tcW w:w="805" w:type="dxa"/>
          </w:tcPr>
          <w:p w14:paraId="7F8010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EF4BE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E3777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9D14035" w14:textId="77777777">
        <w:tc>
          <w:tcPr>
            <w:tcW w:w="805" w:type="dxa"/>
          </w:tcPr>
          <w:p w14:paraId="11F5C98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D40862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F6643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14408E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A177D2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2295A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837FB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AC7FE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584159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73CAE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E0029C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w:t>
            </w:r>
          </w:p>
        </w:tc>
        <w:tc>
          <w:tcPr>
            <w:tcW w:w="805" w:type="dxa"/>
          </w:tcPr>
          <w:p w14:paraId="174F0B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E663E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37C12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B460A82" w14:textId="77777777">
        <w:tc>
          <w:tcPr>
            <w:tcW w:w="805" w:type="dxa"/>
          </w:tcPr>
          <w:p w14:paraId="3B98E3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34F4E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47C82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7BA36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DDC9D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3978D3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8124B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0D44A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B2D2CC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F1AD4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35E1E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Як-7</w:t>
            </w:r>
          </w:p>
        </w:tc>
        <w:tc>
          <w:tcPr>
            <w:tcW w:w="805" w:type="dxa"/>
          </w:tcPr>
          <w:p w14:paraId="3CD762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DDBF80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AC8252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4661E31" w14:textId="77777777">
        <w:tc>
          <w:tcPr>
            <w:tcW w:w="805" w:type="dxa"/>
          </w:tcPr>
          <w:p w14:paraId="690DDF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44B413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61108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67997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1BC5F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2A6A0E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D78C8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DBEB0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78740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AD47C0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4A7F8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w:t>
            </w:r>
          </w:p>
        </w:tc>
        <w:tc>
          <w:tcPr>
            <w:tcW w:w="805" w:type="dxa"/>
          </w:tcPr>
          <w:p w14:paraId="4AFA26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9A8EF2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0EB0D3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DED9633" w14:textId="77777777">
        <w:tc>
          <w:tcPr>
            <w:tcW w:w="805" w:type="dxa"/>
          </w:tcPr>
          <w:p w14:paraId="4CA10E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9AD706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DBE7C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FB3A8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A526E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7677C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81C2D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C179A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09885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636152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3D543B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ЛаГГ-3</w:t>
            </w:r>
          </w:p>
        </w:tc>
        <w:tc>
          <w:tcPr>
            <w:tcW w:w="805" w:type="dxa"/>
          </w:tcPr>
          <w:p w14:paraId="3792B9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2EA6D5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671FC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3F599AC" w14:textId="77777777">
        <w:tc>
          <w:tcPr>
            <w:tcW w:w="805" w:type="dxa"/>
          </w:tcPr>
          <w:p w14:paraId="3EA7E9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ABAD4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C69B0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D9246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FB0D7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E4209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6691A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92BEE9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56CAA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4E3A6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C8570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w:t>
            </w:r>
          </w:p>
        </w:tc>
        <w:tc>
          <w:tcPr>
            <w:tcW w:w="805" w:type="dxa"/>
          </w:tcPr>
          <w:p w14:paraId="263B02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0CC5A1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AA9EC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2D4D719" w14:textId="77777777">
        <w:tc>
          <w:tcPr>
            <w:tcW w:w="805" w:type="dxa"/>
          </w:tcPr>
          <w:p w14:paraId="60154D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C5498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4718A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2D740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6CB7E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7CA7A5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DC45F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1985F2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D86F7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DDA093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09F4AE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w:t>
            </w:r>
          </w:p>
        </w:tc>
        <w:tc>
          <w:tcPr>
            <w:tcW w:w="805" w:type="dxa"/>
          </w:tcPr>
          <w:p w14:paraId="0A088EC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55A37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10FB6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6BB23D7" w14:textId="77777777">
        <w:tc>
          <w:tcPr>
            <w:tcW w:w="805" w:type="dxa"/>
          </w:tcPr>
          <w:p w14:paraId="3A4C998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7AB63E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5258A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C4550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A2000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8D2E5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DBCD41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0218B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1EA59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683C9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8E40C8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М-82</w:t>
            </w:r>
          </w:p>
        </w:tc>
        <w:tc>
          <w:tcPr>
            <w:tcW w:w="805" w:type="dxa"/>
          </w:tcPr>
          <w:p w14:paraId="0FC2ABA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A4020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92AB6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CE7C855" w14:textId="77777777">
        <w:tc>
          <w:tcPr>
            <w:tcW w:w="805" w:type="dxa"/>
          </w:tcPr>
          <w:p w14:paraId="545AA25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413603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65DF73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DE0DF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6FA77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1BD1C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EF0B86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3DF57B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A358B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33A92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91331B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Як-7в</w:t>
            </w:r>
          </w:p>
        </w:tc>
        <w:tc>
          <w:tcPr>
            <w:tcW w:w="805" w:type="dxa"/>
          </w:tcPr>
          <w:p w14:paraId="5067CF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9807E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17CD4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E8AA879" w14:textId="77777777">
        <w:tc>
          <w:tcPr>
            <w:tcW w:w="805" w:type="dxa"/>
          </w:tcPr>
          <w:p w14:paraId="62FD555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BC003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0546E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2143C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D5AEC8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431F8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C2480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F7344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41560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334D8B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D6BA6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w:t>
            </w:r>
          </w:p>
        </w:tc>
        <w:tc>
          <w:tcPr>
            <w:tcW w:w="805" w:type="dxa"/>
          </w:tcPr>
          <w:p w14:paraId="35E8D0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F8E7D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88342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B28D4A4" w14:textId="77777777">
        <w:tc>
          <w:tcPr>
            <w:tcW w:w="805" w:type="dxa"/>
          </w:tcPr>
          <w:p w14:paraId="686DEE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w:t>
            </w:r>
          </w:p>
        </w:tc>
        <w:tc>
          <w:tcPr>
            <w:tcW w:w="805" w:type="dxa"/>
          </w:tcPr>
          <w:p w14:paraId="5C52E0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2732F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7FBD3C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2F883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2D53DB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9AE4E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EF92D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860A5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EAA33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27F09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EABE9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42C22D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C4055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55FE171" w14:textId="77777777">
        <w:tc>
          <w:tcPr>
            <w:tcW w:w="805" w:type="dxa"/>
          </w:tcPr>
          <w:p w14:paraId="68728D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tc>
        <w:tc>
          <w:tcPr>
            <w:tcW w:w="805" w:type="dxa"/>
          </w:tcPr>
          <w:p w14:paraId="0DBA36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BC8A7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805" w:type="dxa"/>
          </w:tcPr>
          <w:p w14:paraId="1BC381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805" w:type="dxa"/>
          </w:tcPr>
          <w:p w14:paraId="3650F4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805" w:type="dxa"/>
          </w:tcPr>
          <w:p w14:paraId="5ABFB0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805" w:type="dxa"/>
          </w:tcPr>
          <w:p w14:paraId="06F1894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805" w:type="dxa"/>
          </w:tcPr>
          <w:p w14:paraId="7B2CEF1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w:t>
            </w:r>
          </w:p>
        </w:tc>
        <w:tc>
          <w:tcPr>
            <w:tcW w:w="805" w:type="dxa"/>
          </w:tcPr>
          <w:p w14:paraId="05DE28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05" w:type="dxa"/>
          </w:tcPr>
          <w:p w14:paraId="36D0A86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Ще-2</w:t>
            </w:r>
          </w:p>
        </w:tc>
        <w:tc>
          <w:tcPr>
            <w:tcW w:w="805" w:type="dxa"/>
          </w:tcPr>
          <w:p w14:paraId="7DD84B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w:t>
            </w:r>
          </w:p>
        </w:tc>
        <w:tc>
          <w:tcPr>
            <w:tcW w:w="805" w:type="dxa"/>
          </w:tcPr>
          <w:p w14:paraId="6DD6866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Ту-2</w:t>
            </w:r>
          </w:p>
        </w:tc>
        <w:tc>
          <w:tcPr>
            <w:tcW w:w="805" w:type="dxa"/>
          </w:tcPr>
          <w:p w14:paraId="59EE3FA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w:t>
            </w:r>
          </w:p>
        </w:tc>
        <w:tc>
          <w:tcPr>
            <w:tcW w:w="805" w:type="dxa"/>
          </w:tcPr>
          <w:p w14:paraId="240DED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r>
      <w:tr w:rsidR="004D4663" w:rsidRPr="00070ADE" w14:paraId="55E01F2B" w14:textId="77777777">
        <w:tc>
          <w:tcPr>
            <w:tcW w:w="805" w:type="dxa"/>
          </w:tcPr>
          <w:p w14:paraId="0A5879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F26E3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1FBDB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628164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AEA86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22CCF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C10912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29D2D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2EF36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E0A73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(дес)</w:t>
            </w:r>
          </w:p>
        </w:tc>
        <w:tc>
          <w:tcPr>
            <w:tcW w:w="805" w:type="dxa"/>
          </w:tcPr>
          <w:p w14:paraId="11F981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М-107</w:t>
            </w:r>
          </w:p>
        </w:tc>
        <w:tc>
          <w:tcPr>
            <w:tcW w:w="805" w:type="dxa"/>
          </w:tcPr>
          <w:p w14:paraId="2BDF1C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М-82</w:t>
            </w:r>
          </w:p>
        </w:tc>
        <w:tc>
          <w:tcPr>
            <w:tcW w:w="805" w:type="dxa"/>
          </w:tcPr>
          <w:p w14:paraId="2956696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(37мм)</w:t>
            </w:r>
          </w:p>
        </w:tc>
        <w:tc>
          <w:tcPr>
            <w:tcW w:w="805" w:type="dxa"/>
          </w:tcPr>
          <w:p w14:paraId="731709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1CCB295" w14:textId="77777777">
        <w:tc>
          <w:tcPr>
            <w:tcW w:w="805" w:type="dxa"/>
          </w:tcPr>
          <w:p w14:paraId="12188D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30717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22036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8D3B2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C6B5C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DB868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6A0D0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26CDF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5CEBE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76590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М-11Д</w:t>
            </w:r>
          </w:p>
        </w:tc>
        <w:tc>
          <w:tcPr>
            <w:tcW w:w="805" w:type="dxa"/>
          </w:tcPr>
          <w:p w14:paraId="4E64F32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w:t>
            </w:r>
          </w:p>
        </w:tc>
        <w:tc>
          <w:tcPr>
            <w:tcW w:w="805" w:type="dxa"/>
          </w:tcPr>
          <w:p w14:paraId="11D241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Ер-2</w:t>
            </w:r>
          </w:p>
        </w:tc>
        <w:tc>
          <w:tcPr>
            <w:tcW w:w="805" w:type="dxa"/>
          </w:tcPr>
          <w:p w14:paraId="4A35BB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УИл-2</w:t>
            </w:r>
          </w:p>
        </w:tc>
        <w:tc>
          <w:tcPr>
            <w:tcW w:w="805" w:type="dxa"/>
          </w:tcPr>
          <w:p w14:paraId="0A71FB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A64E480" w14:textId="77777777">
        <w:tc>
          <w:tcPr>
            <w:tcW w:w="805" w:type="dxa"/>
          </w:tcPr>
          <w:p w14:paraId="34EBCD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54508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4595F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3ABE8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4F2D5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2EFBD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23B4A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7AD1C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71812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18D84C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D2C2F1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М-106</w:t>
            </w:r>
          </w:p>
        </w:tc>
        <w:tc>
          <w:tcPr>
            <w:tcW w:w="805" w:type="dxa"/>
          </w:tcPr>
          <w:p w14:paraId="331793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М-30</w:t>
            </w:r>
          </w:p>
        </w:tc>
        <w:tc>
          <w:tcPr>
            <w:tcW w:w="805" w:type="dxa"/>
          </w:tcPr>
          <w:p w14:paraId="2A7998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АМ-38Ф</w:t>
            </w:r>
          </w:p>
        </w:tc>
        <w:tc>
          <w:tcPr>
            <w:tcW w:w="805" w:type="dxa"/>
          </w:tcPr>
          <w:p w14:paraId="15EDAF2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D8D5FAE" w14:textId="77777777">
        <w:tc>
          <w:tcPr>
            <w:tcW w:w="805" w:type="dxa"/>
          </w:tcPr>
          <w:p w14:paraId="6B9ED5F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78372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8C39F8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3CCBF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0EC1A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CB7EE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74D46F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AA8FD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015BE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D3778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41F27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Як-3</w:t>
            </w:r>
          </w:p>
        </w:tc>
        <w:tc>
          <w:tcPr>
            <w:tcW w:w="805" w:type="dxa"/>
          </w:tcPr>
          <w:p w14:paraId="1A30A3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w:t>
            </w:r>
          </w:p>
        </w:tc>
        <w:tc>
          <w:tcPr>
            <w:tcW w:w="805" w:type="dxa"/>
          </w:tcPr>
          <w:p w14:paraId="57021C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71A78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21A9AF2" w14:textId="77777777">
        <w:tc>
          <w:tcPr>
            <w:tcW w:w="805" w:type="dxa"/>
          </w:tcPr>
          <w:p w14:paraId="539C4AE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DF1B4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CA7F6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2A12F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C9FBD4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72D9B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BB13C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97A579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57FF8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97B97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565242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w:t>
            </w:r>
          </w:p>
        </w:tc>
        <w:tc>
          <w:tcPr>
            <w:tcW w:w="805" w:type="dxa"/>
          </w:tcPr>
          <w:p w14:paraId="14279E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М-82</w:t>
            </w:r>
          </w:p>
        </w:tc>
        <w:tc>
          <w:tcPr>
            <w:tcW w:w="805" w:type="dxa"/>
          </w:tcPr>
          <w:p w14:paraId="4F0669D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4162F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34F9315" w14:textId="77777777">
        <w:tc>
          <w:tcPr>
            <w:tcW w:w="805" w:type="dxa"/>
          </w:tcPr>
          <w:p w14:paraId="71B6F1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26944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B715E1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73431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85590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5850F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C9E6F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527D0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36DDA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385CCA1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AC283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w:t>
            </w:r>
          </w:p>
        </w:tc>
        <w:tc>
          <w:tcPr>
            <w:tcW w:w="805" w:type="dxa"/>
          </w:tcPr>
          <w:p w14:paraId="734D74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D89563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8BC85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7A85F8A" w14:textId="77777777">
        <w:tc>
          <w:tcPr>
            <w:tcW w:w="805" w:type="dxa"/>
          </w:tcPr>
          <w:p w14:paraId="6ECA490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1602E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1D50A2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4F2BC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F28088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DDC8C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0F664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77F696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DFA6F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B9463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6B47C7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М-82</w:t>
            </w:r>
          </w:p>
        </w:tc>
        <w:tc>
          <w:tcPr>
            <w:tcW w:w="805" w:type="dxa"/>
          </w:tcPr>
          <w:p w14:paraId="0516C1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50981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8CCE6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638A6F2" w14:textId="77777777">
        <w:tc>
          <w:tcPr>
            <w:tcW w:w="805" w:type="dxa"/>
          </w:tcPr>
          <w:p w14:paraId="3165F4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F58CB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C7CAA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5A60D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E4E8A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61AA8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7C865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6DF08F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0B79DA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F27C73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4116D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УЛа-5</w:t>
            </w:r>
          </w:p>
        </w:tc>
        <w:tc>
          <w:tcPr>
            <w:tcW w:w="805" w:type="dxa"/>
          </w:tcPr>
          <w:p w14:paraId="7B946C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800DE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45BF0F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070ADE" w14:paraId="7721C991" w14:textId="77777777">
        <w:tc>
          <w:tcPr>
            <w:tcW w:w="805" w:type="dxa"/>
          </w:tcPr>
          <w:p w14:paraId="766982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8D2B4C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66DBE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4B3086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FB774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C069F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51828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0ACCFC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74FE13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5233B8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5272A5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М-82</w:t>
            </w:r>
          </w:p>
        </w:tc>
        <w:tc>
          <w:tcPr>
            <w:tcW w:w="805" w:type="dxa"/>
          </w:tcPr>
          <w:p w14:paraId="6A8F86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1F3409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5" w:type="dxa"/>
          </w:tcPr>
          <w:p w14:paraId="2A6B72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663EBE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230EC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началу 1944 г. ВВС Советской Армии были уже хорошо оснащены всей необходимой боевой техникой основных классов. Поэтому командование ВВС и руководство авиационной промышленности СССР смогли обратить внимание и на освоение принципиально новых видов авиационной техники. Руководство Наркомата авиационной промышленности решило принять ОКБ-3 в свою систему и разместить его на «Территории №2» бывшей мебельной фабрики между 2-й и 3-й Рыбинскими улицами (11242).</w:t>
      </w:r>
    </w:p>
    <w:p w14:paraId="2BFA092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16AB609"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конструктор 80-х авиационных мастер</w:t>
      </w:r>
      <w:r w:rsidRPr="00070ADE">
        <w:rPr>
          <w:rFonts w:ascii="Times New Roman" w:hAnsi="Times New Roman"/>
          <w:color w:val="000000" w:themeColor="text1"/>
          <w:sz w:val="16"/>
          <w:szCs w:val="16"/>
        </w:rPr>
        <w:softHyphen/>
        <w:t>ских ВВС Тихоокеанского флота (ТОФ) Саркисянц раз</w:t>
      </w:r>
      <w:r w:rsidRPr="00070ADE">
        <w:rPr>
          <w:rFonts w:ascii="Times New Roman" w:hAnsi="Times New Roman"/>
          <w:color w:val="000000" w:themeColor="text1"/>
          <w:sz w:val="16"/>
          <w:szCs w:val="16"/>
        </w:rPr>
        <w:softHyphen/>
        <w:t>работал три варианта унифицированной для истребите</w:t>
      </w:r>
      <w:r w:rsidRPr="00070ADE">
        <w:rPr>
          <w:rFonts w:ascii="Times New Roman" w:hAnsi="Times New Roman"/>
          <w:color w:val="000000" w:themeColor="text1"/>
          <w:sz w:val="16"/>
          <w:szCs w:val="16"/>
        </w:rPr>
        <w:softHyphen/>
        <w:t>лей Як-7Б и Як-9 съемной фотоустановки. Ее основным конструктивным решением являлось жесткое крепление АФА-ИМ на специальной ферме, которая в свою очередь монтировалась на нижних трубах рам фюзеляжа при по</w:t>
      </w:r>
      <w:r w:rsidRPr="00070ADE">
        <w:rPr>
          <w:rFonts w:ascii="Times New Roman" w:hAnsi="Times New Roman"/>
          <w:color w:val="000000" w:themeColor="text1"/>
          <w:sz w:val="16"/>
          <w:szCs w:val="16"/>
        </w:rPr>
        <w:softHyphen/>
        <w:t>мощи хомутов с накидными болтами. За счет такого спо</w:t>
      </w:r>
      <w:r w:rsidRPr="00070ADE">
        <w:rPr>
          <w:rFonts w:ascii="Times New Roman" w:hAnsi="Times New Roman"/>
          <w:color w:val="000000" w:themeColor="text1"/>
          <w:sz w:val="16"/>
          <w:szCs w:val="16"/>
        </w:rPr>
        <w:softHyphen/>
        <w:t>соба крепления время на снятие АФА из самолета и уста</w:t>
      </w:r>
      <w:r w:rsidRPr="00070ADE">
        <w:rPr>
          <w:rFonts w:ascii="Times New Roman" w:hAnsi="Times New Roman"/>
          <w:color w:val="000000" w:themeColor="text1"/>
          <w:sz w:val="16"/>
          <w:szCs w:val="16"/>
        </w:rPr>
        <w:softHyphen/>
        <w:t>новку в самолет (производившиеся вместе с фермой) со</w:t>
      </w:r>
      <w:r w:rsidRPr="00070ADE">
        <w:rPr>
          <w:rFonts w:ascii="Times New Roman" w:hAnsi="Times New Roman"/>
          <w:color w:val="000000" w:themeColor="text1"/>
          <w:sz w:val="16"/>
          <w:szCs w:val="16"/>
        </w:rPr>
        <w:softHyphen/>
        <w:t>кращалось до требуемых по ТТТТ 5-8 минут. Конструкция фермы позволяла не только легко менять кассету с плен</w:t>
      </w:r>
      <w:r w:rsidRPr="00070ADE">
        <w:rPr>
          <w:rFonts w:ascii="Times New Roman" w:hAnsi="Times New Roman"/>
          <w:color w:val="000000" w:themeColor="text1"/>
          <w:sz w:val="16"/>
          <w:szCs w:val="16"/>
        </w:rPr>
        <w:softHyphen/>
        <w:t>кой, но и размещать АФА как слева, так и справа, или вы</w:t>
      </w:r>
      <w:r w:rsidRPr="00070ADE">
        <w:rPr>
          <w:rFonts w:ascii="Times New Roman" w:hAnsi="Times New Roman"/>
          <w:color w:val="000000" w:themeColor="text1"/>
          <w:sz w:val="16"/>
          <w:szCs w:val="16"/>
        </w:rPr>
        <w:softHyphen/>
        <w:t>полнить установку двух АФА (каждый на своей ферме) од</w:t>
      </w:r>
      <w:r w:rsidRPr="00070ADE">
        <w:rPr>
          <w:rFonts w:ascii="Times New Roman" w:hAnsi="Times New Roman"/>
          <w:color w:val="000000" w:themeColor="text1"/>
          <w:sz w:val="16"/>
          <w:szCs w:val="16"/>
        </w:rPr>
        <w:softHyphen/>
        <w:t>новременно. Третий вариант представлял собой смонти</w:t>
      </w:r>
      <w:r w:rsidRPr="00070ADE">
        <w:rPr>
          <w:rFonts w:ascii="Times New Roman" w:hAnsi="Times New Roman"/>
          <w:color w:val="000000" w:themeColor="text1"/>
          <w:sz w:val="16"/>
          <w:szCs w:val="16"/>
        </w:rPr>
        <w:softHyphen/>
        <w:t>рованную на несколько видоизмененной ферме качаю</w:t>
      </w:r>
      <w:r w:rsidRPr="00070ADE">
        <w:rPr>
          <w:rFonts w:ascii="Times New Roman" w:hAnsi="Times New Roman"/>
          <w:color w:val="000000" w:themeColor="text1"/>
          <w:sz w:val="16"/>
          <w:szCs w:val="16"/>
        </w:rPr>
        <w:softHyphen/>
        <w:t>щуюся фотоустановку, привод которой осуществлялся от электромотора АФА при помощи кривошипно-шатунного механизма. В случае необходимости выполнить фотосъ</w:t>
      </w:r>
      <w:r w:rsidRPr="00070ADE">
        <w:rPr>
          <w:rFonts w:ascii="Times New Roman" w:hAnsi="Times New Roman"/>
          <w:color w:val="000000" w:themeColor="text1"/>
          <w:sz w:val="16"/>
          <w:szCs w:val="16"/>
        </w:rPr>
        <w:softHyphen/>
        <w:t>емку неподвижным фотоаппаратом тяга механизма могла отсоединяться. Фотолюки, прорезанные в нижнем гаргро- те во всех вариантах, закрывались поворотными стальны</w:t>
      </w:r>
      <w:r w:rsidRPr="00070ADE">
        <w:rPr>
          <w:rFonts w:ascii="Times New Roman" w:hAnsi="Times New Roman"/>
          <w:color w:val="000000" w:themeColor="text1"/>
          <w:sz w:val="16"/>
          <w:szCs w:val="16"/>
        </w:rPr>
        <w:softHyphen/>
        <w:t>ми заслонками. Их открытие производилось посредст</w:t>
      </w:r>
      <w:r w:rsidRPr="00070ADE">
        <w:rPr>
          <w:rFonts w:ascii="Times New Roman" w:hAnsi="Times New Roman"/>
          <w:color w:val="000000" w:themeColor="text1"/>
          <w:sz w:val="16"/>
          <w:szCs w:val="16"/>
        </w:rPr>
        <w:softHyphen/>
        <w:t>вом тросовой проводки при помощи специального рыча</w:t>
      </w:r>
      <w:r w:rsidRPr="00070ADE">
        <w:rPr>
          <w:rFonts w:ascii="Times New Roman" w:hAnsi="Times New Roman"/>
          <w:color w:val="000000" w:themeColor="text1"/>
          <w:sz w:val="16"/>
          <w:szCs w:val="16"/>
        </w:rPr>
        <w:softHyphen/>
        <w:t>га на правом борту кабины летчика, закрытие - резино</w:t>
      </w:r>
      <w:r w:rsidRPr="00070ADE">
        <w:rPr>
          <w:rFonts w:ascii="Times New Roman" w:hAnsi="Times New Roman"/>
          <w:color w:val="000000" w:themeColor="text1"/>
          <w:sz w:val="16"/>
          <w:szCs w:val="16"/>
        </w:rPr>
        <w:softHyphen/>
        <w:t>вым амортизатором. Управление АФА осуществлялось с использованием командного прибора по схеме серийной фотоустановки 1943 г. (см. Як-7 в варианте разведчика) (23381).</w:t>
      </w:r>
    </w:p>
    <w:p w14:paraId="75D62832" w14:textId="77777777" w:rsidR="00A822F4" w:rsidRPr="00070ADE" w:rsidRDefault="00A822F4" w:rsidP="00B56F90">
      <w:pPr>
        <w:spacing w:after="0" w:line="240" w:lineRule="auto"/>
        <w:jc w:val="both"/>
        <w:rPr>
          <w:rFonts w:ascii="Times New Roman" w:hAnsi="Times New Roman"/>
          <w:color w:val="000000" w:themeColor="text1"/>
          <w:sz w:val="16"/>
          <w:szCs w:val="16"/>
        </w:rPr>
      </w:pPr>
    </w:p>
    <w:p w14:paraId="323D43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начале 1944 г. прямоточные двигатели Д-4МС стали значительно надежнее, они не требовали размещения на самолете агрессивной азотной кислоты, поэтому первоначально ставка была сделана на них. Для установки двух двигателей под крылом выделили серийный самолет Як-7Б. Первый полет на этой машине с включением "прямоточников" выполнил 15 мая 1944 г. ведущий летчик С.Н. Анохин. </w:t>
      </w:r>
    </w:p>
    <w:p w14:paraId="734CCF8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показали, что максимальная скорость полета Як-7Б с неработающими двигателями Д-4МС у земли составила 460 км/ч, в то время как без подвешенных под крылом ПВРД она достигала 494 км/ч. С работающими Д-4МС скорость машины у земли возрастала до 513 км/ч, то есть всего на 19 км/ч больше по сравнению с "нормальным" Як-7Б. С увеличением высоты выигрыш в скорости должен был заметно возрасти. Кроме того, конструктор двигателей Меркулов предлагал повысить расход топлива до 30 кг/мин, тогда на расчетной высоте 6000…7000 м самолет имел бы максимальную скорость порядка 635…640 км/ч. Напомним однако, что в указанный период времени у серийного Як-3 с поршневым двигателем ВК-105ПФ2 максимальная скорость на высоте 4100 м составляла 646 км/ч… Таким образом, меркуловские ПВРД не давали особых преимуществ истребителю с подобной комбинированной силовой установкой (11407).</w:t>
      </w:r>
    </w:p>
    <w:p w14:paraId="64C211A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42B587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начали монтаж «УС» в кры</w:t>
      </w:r>
      <w:r w:rsidRPr="00070ADE">
        <w:rPr>
          <w:rFonts w:ascii="Times New Roman" w:hAnsi="Times New Roman"/>
          <w:color w:val="000000" w:themeColor="text1"/>
          <w:sz w:val="16"/>
          <w:szCs w:val="16"/>
        </w:rPr>
        <w:softHyphen/>
        <w:t>ло Пе-2 для продува и испытаний в большой аэродинамической тру</w:t>
      </w:r>
      <w:r w:rsidRPr="00070ADE">
        <w:rPr>
          <w:rFonts w:ascii="Times New Roman" w:hAnsi="Times New Roman"/>
          <w:color w:val="000000" w:themeColor="text1"/>
          <w:sz w:val="16"/>
          <w:szCs w:val="16"/>
        </w:rPr>
        <w:softHyphen/>
        <w:t>бе ЦАРИ. Однако все, кто занимался «УС», были заключенными и организация их работы в ЦАРИ включала создание для них «лагер</w:t>
      </w:r>
      <w:r w:rsidRPr="00070ADE">
        <w:rPr>
          <w:rFonts w:ascii="Times New Roman" w:hAnsi="Times New Roman"/>
          <w:color w:val="000000" w:themeColor="text1"/>
          <w:sz w:val="16"/>
          <w:szCs w:val="16"/>
        </w:rPr>
        <w:softHyphen/>
        <w:t>ной зоны». Для НКВД это была достаточно нестандартная задача, и чекисты не спешили с переездом в подмосковный ЦАРИ. Микулин со Стечкиным обсудили создавшееся положение и на всякий случай об</w:t>
      </w:r>
      <w:r w:rsidRPr="00070ADE">
        <w:rPr>
          <w:rFonts w:ascii="Times New Roman" w:hAnsi="Times New Roman"/>
          <w:color w:val="000000" w:themeColor="text1"/>
          <w:sz w:val="16"/>
          <w:szCs w:val="16"/>
        </w:rPr>
        <w:softHyphen/>
        <w:t>ратились к руководству 4-го спецотдела НКВД с просьбой выслать на завод № 300 техдокументацию группы Стечкина, включая черте</w:t>
      </w:r>
      <w:r w:rsidRPr="00070ADE">
        <w:rPr>
          <w:rFonts w:ascii="Times New Roman" w:hAnsi="Times New Roman"/>
          <w:color w:val="000000" w:themeColor="text1"/>
          <w:sz w:val="16"/>
          <w:szCs w:val="16"/>
        </w:rPr>
        <w:softHyphen/>
        <w:t>жи ВРД «УС» (10781).</w:t>
      </w:r>
    </w:p>
    <w:p w14:paraId="0DEE3E5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7DACA1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на фронте произошло в общем малоприметное со</w:t>
      </w:r>
      <w:r w:rsidRPr="00070ADE">
        <w:rPr>
          <w:rFonts w:ascii="Times New Roman" w:hAnsi="Times New Roman"/>
          <w:color w:val="000000" w:themeColor="text1"/>
          <w:sz w:val="16"/>
          <w:szCs w:val="16"/>
        </w:rPr>
        <w:softHyphen/>
        <w:t>бытие, которое оказалось в какой-то степени судьбоносным для со</w:t>
      </w:r>
      <w:r w:rsidRPr="00070ADE">
        <w:rPr>
          <w:rFonts w:ascii="Times New Roman" w:hAnsi="Times New Roman"/>
          <w:color w:val="000000" w:themeColor="text1"/>
          <w:sz w:val="16"/>
          <w:szCs w:val="16"/>
        </w:rPr>
        <w:softHyphen/>
        <w:t>ветского двигателестроения. На шоссе Витебск-Орша в районе Старобобылье был захвачен в плен немецкий ефрейтор Франц Варм-брунн. Оказалось, что после окончания инженерной школы в декаб</w:t>
      </w:r>
      <w:r w:rsidRPr="00070ADE">
        <w:rPr>
          <w:rFonts w:ascii="Times New Roman" w:hAnsi="Times New Roman"/>
          <w:color w:val="000000" w:themeColor="text1"/>
          <w:sz w:val="16"/>
          <w:szCs w:val="16"/>
        </w:rPr>
        <w:softHyphen/>
        <w:t>ре 1941 г. он работал на фирме Хейнкеля в группе доктора Охайна, занимавшейся разработкой компрессорного ВРД с центробежным компрессором и одноступенчатой турбиной. Вармбрунн работал в этой группе до мобилизации в вермахт в апреле 1942 г. Попавший в плен ефрейтор в группе Охайна занимался конструи</w:t>
      </w:r>
      <w:r w:rsidRPr="00070ADE">
        <w:rPr>
          <w:rFonts w:ascii="Times New Roman" w:hAnsi="Times New Roman"/>
          <w:color w:val="000000" w:themeColor="text1"/>
          <w:sz w:val="16"/>
          <w:szCs w:val="16"/>
        </w:rPr>
        <w:softHyphen/>
        <w:t>рованием и испытаниями сначала камеры сгорания, а затем узла подшипника. Вармбрунн сообщил, что двигатель тягой 600 кгс был испытан на двухмоторном истребителе Хе-280. В ходе допроса он нарисовал схемы самолета и двигателя и добавил, что создание ана</w:t>
      </w:r>
      <w:r w:rsidRPr="00070ADE">
        <w:rPr>
          <w:rFonts w:ascii="Times New Roman" w:hAnsi="Times New Roman"/>
          <w:color w:val="000000" w:themeColor="text1"/>
          <w:sz w:val="16"/>
          <w:szCs w:val="16"/>
        </w:rPr>
        <w:softHyphen/>
        <w:t>логичного самолета с газотурбинными двигателями ведется на фир</w:t>
      </w:r>
      <w:r w:rsidRPr="00070ADE">
        <w:rPr>
          <w:rFonts w:ascii="Times New Roman" w:hAnsi="Times New Roman"/>
          <w:color w:val="000000" w:themeColor="text1"/>
          <w:sz w:val="16"/>
          <w:szCs w:val="16"/>
        </w:rPr>
        <w:softHyphen/>
        <w:t>ме «Мессершмитт». 24 января 1944 г. на допросе пленного присутствовали генералы Левин и Болховитинов, а позднее — Стечкин, свободно владевший немецким, и Люлька. Выходило, что обе</w:t>
      </w:r>
      <w:r w:rsidRPr="00070ADE">
        <w:rPr>
          <w:rFonts w:ascii="Times New Roman" w:hAnsi="Times New Roman"/>
          <w:color w:val="000000" w:themeColor="text1"/>
          <w:sz w:val="16"/>
          <w:szCs w:val="16"/>
        </w:rPr>
        <w:softHyphen/>
        <w:t>щание Гитлера бросить в бой новое чудо-оружие имело под собой основание (10781).</w:t>
      </w:r>
    </w:p>
    <w:p w14:paraId="6F88254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1E89181"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1944 г. в Центральном авиамоторном институте обобщены накопившиеся сведения о разработке в Германии, Великобритании и США систем объединенного управления газом двигателей и шагом воздушного винта одним рычагом с тем, чтобы упростить этот процесс и исключить возможность таких ошибочных действий летчика, которые могут привести к отказу двигателя. В это время в СССР также поставлена задача внедрения такого управления силовой установкой и для самолетов Пе-2, для которого разработали гидравлический агрегат «ВК» (25430).</w:t>
      </w:r>
    </w:p>
    <w:p w14:paraId="0222ED2A" w14:textId="77777777" w:rsidR="006A2469" w:rsidRPr="00C94B78" w:rsidRDefault="006A2469" w:rsidP="00B56F90">
      <w:pPr>
        <w:spacing w:after="0" w:line="240" w:lineRule="auto"/>
        <w:jc w:val="both"/>
        <w:rPr>
          <w:rFonts w:ascii="Times New Roman" w:hAnsi="Times New Roman"/>
          <w:color w:val="0070C0"/>
          <w:sz w:val="16"/>
          <w:szCs w:val="16"/>
        </w:rPr>
      </w:pPr>
    </w:p>
    <w:p w14:paraId="10F11BEF"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1944 года появился АЧ-31. Взлетная мощность — 1900 л.с., номинал 1500 л.с. Изменен коленвал, другие усовершенствования. С марта 1945 стал называться АЧ-32 (25288).</w:t>
      </w:r>
    </w:p>
    <w:p w14:paraId="0CC951BB" w14:textId="77777777" w:rsidR="006A2469" w:rsidRPr="00C94B78" w:rsidRDefault="006A2469" w:rsidP="00B56F90">
      <w:pPr>
        <w:spacing w:after="0" w:line="240" w:lineRule="auto"/>
        <w:jc w:val="both"/>
        <w:rPr>
          <w:rFonts w:ascii="Times New Roman" w:hAnsi="Times New Roman"/>
          <w:color w:val="0070C0"/>
          <w:sz w:val="16"/>
          <w:szCs w:val="16"/>
        </w:rPr>
      </w:pPr>
    </w:p>
    <w:p w14:paraId="550A1856"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заключенного В П. Глушко вызвал к себе в Москву Сталин. Более часа Глушко рассказывал ему о своих ускорителях. Сталин приказал Берии освободить главного конструктора и его наиболее отличившихся работников (12129).</w:t>
      </w:r>
    </w:p>
    <w:p w14:paraId="7F548077" w14:textId="77777777" w:rsidR="0035263A" w:rsidRPr="00070ADE" w:rsidRDefault="0035263A" w:rsidP="00B56F90">
      <w:pPr>
        <w:spacing w:after="0" w:line="240" w:lineRule="auto"/>
        <w:jc w:val="both"/>
        <w:rPr>
          <w:rFonts w:ascii="Times New Roman" w:hAnsi="Times New Roman"/>
          <w:color w:val="000000" w:themeColor="text1"/>
          <w:sz w:val="16"/>
          <w:szCs w:val="16"/>
        </w:rPr>
      </w:pPr>
    </w:p>
    <w:p w14:paraId="67D164A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появилось решение о разработке самоле</w:t>
      </w:r>
      <w:r w:rsidRPr="00070ADE">
        <w:rPr>
          <w:rFonts w:ascii="Times New Roman" w:hAnsi="Times New Roman"/>
          <w:color w:val="000000" w:themeColor="text1"/>
          <w:sz w:val="16"/>
          <w:szCs w:val="16"/>
        </w:rPr>
        <w:softHyphen/>
        <w:t>та-снаряда по типу немецкого Fi-103 (V-1). Отсюда сле</w:t>
      </w:r>
      <w:r w:rsidRPr="00070ADE">
        <w:rPr>
          <w:rFonts w:ascii="Times New Roman" w:hAnsi="Times New Roman"/>
          <w:color w:val="000000" w:themeColor="text1"/>
          <w:sz w:val="16"/>
          <w:szCs w:val="16"/>
        </w:rPr>
        <w:softHyphen/>
        <w:t>дует, что какие-то описания конструкции и чертежи уже были добыты нашей разведкой. В.Н.Челомей должен был создать пульсирующий двигатель на базе немецко</w:t>
      </w:r>
      <w:r w:rsidRPr="00070ADE">
        <w:rPr>
          <w:rFonts w:ascii="Times New Roman" w:hAnsi="Times New Roman"/>
          <w:color w:val="000000" w:themeColor="text1"/>
          <w:sz w:val="16"/>
          <w:szCs w:val="16"/>
        </w:rPr>
        <w:softHyphen/>
        <w:t>го фирмы «Аргус», а Н.Н.Поликарпов - спроектировать планер; соответствующие организации подключались для производства бортового оборудования. Николай Николаевич выделил группу инженеров, которые работали над полученным заданием изолиро</w:t>
      </w:r>
      <w:r w:rsidRPr="00070ADE">
        <w:rPr>
          <w:rFonts w:ascii="Times New Roman" w:hAnsi="Times New Roman"/>
          <w:color w:val="000000" w:themeColor="text1"/>
          <w:sz w:val="16"/>
          <w:szCs w:val="16"/>
        </w:rPr>
        <w:softHyphen/>
        <w:t>ванно, в отдельном помещении на территории ОТБ ЦИАМ. Впрочем, сам Николай Николаевич по состоя</w:t>
      </w:r>
      <w:r w:rsidRPr="00070ADE">
        <w:rPr>
          <w:rFonts w:ascii="Times New Roman" w:hAnsi="Times New Roman"/>
          <w:color w:val="000000" w:themeColor="text1"/>
          <w:sz w:val="16"/>
          <w:szCs w:val="16"/>
        </w:rPr>
        <w:softHyphen/>
        <w:t>нию здоровья уделял этому направлению относительно мало внимания. Однако труд оказался не напрасным и в итоге привел к созданию первой в СССР крылатой раке</w:t>
      </w:r>
      <w:r w:rsidRPr="00070ADE">
        <w:rPr>
          <w:rFonts w:ascii="Times New Roman" w:hAnsi="Times New Roman"/>
          <w:color w:val="000000" w:themeColor="text1"/>
          <w:sz w:val="16"/>
          <w:szCs w:val="16"/>
        </w:rPr>
        <w:softHyphen/>
        <w:t>ты 10Х (10667).</w:t>
      </w:r>
    </w:p>
    <w:p w14:paraId="670EDAE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F04B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В.Н.Челомей начал работы над нашим аналогом V-1 в ЦИАМе (1086,29).</w:t>
      </w:r>
    </w:p>
    <w:p w14:paraId="00900B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07AC1D" w14:textId="77777777" w:rsidR="00024386" w:rsidRPr="00070ADE" w:rsidRDefault="000243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Правительством СССР было принято решение о разработке отечественного самолета-снаряда типа немецкого Fi-103 (планер фирмы «Физлер», пульсирующий воздушно-реактивный двигатель AS109-014 фирмы «Аргус»). Впоследствии Fi-103 стал широко известен как Фау-1—широкоразрекламированное Геббельсом оружие возмездия. Немцы успели запустить в сторону Англии более 8тыс. Фау-1, из которых около 2500 долетели до Лондона и его окрестностей, произведя большие разрушения и жертвы среди мирного населения. В соответствии с принятым решением главному авиаконструктору Н.Н.Поликарпову поручалось проектировать планер самолета-снаряда, В.Н.Челомею — создать пульсирующий двигатель на базе двигателя фирмы «Аргус». Однако руководитель завода №51 Н.Н.Поликарпов, Герой Социалистического Труда, трижды лауреат Сталинской премии, скончался 30июля1944г. в возрасте 52 лет после тяжелой непродолжительной болезни и связанной с ней операции (19823).</w:t>
      </w:r>
    </w:p>
    <w:p w14:paraId="7B628802" w14:textId="77777777" w:rsidR="00024386" w:rsidRPr="00070ADE" w:rsidRDefault="00024386" w:rsidP="00B56F90">
      <w:pPr>
        <w:spacing w:after="0" w:line="240" w:lineRule="auto"/>
        <w:jc w:val="both"/>
        <w:rPr>
          <w:rFonts w:ascii="Times New Roman" w:hAnsi="Times New Roman"/>
          <w:color w:val="000000" w:themeColor="text1"/>
          <w:sz w:val="16"/>
          <w:szCs w:val="16"/>
        </w:rPr>
      </w:pPr>
    </w:p>
    <w:p w14:paraId="7763D6C5"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1944 г. было принято решение о разработке самолета-снаряда по типу немецкого Fi-103 (V-1). Отсюда следует, что какие-то описания конструкции и чертежи уже были добыты нашей разведкой. В. Н. Челомей должен был создать пульсирующий двигатель на базе немецкого фирмы Аргус, а Н. Н. Поликарпов — проектировать планер; соответствующие организации подключались для производства бортового оборудования.</w:t>
      </w:r>
    </w:p>
    <w:p w14:paraId="4C332B44"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Николай Николаевич выделил группу инженеров, которые работали над полученным заданием изолированно, в отдельном помещении на территории ОТБ ЦИАМ. Впрочем, сам Николай Николаевич по состоянию здоровья уделял этому направлению относительно мало внимания. Однако труд оказался не напрасным и в итоге привел к созданию первой в СССР крылатой ракеты 10Х (25035).</w:t>
      </w:r>
    </w:p>
    <w:p w14:paraId="620FB887" w14:textId="77777777" w:rsidR="006A2469" w:rsidRPr="00C94B78" w:rsidRDefault="006A2469" w:rsidP="00B56F90">
      <w:pPr>
        <w:spacing w:after="0" w:line="240" w:lineRule="auto"/>
        <w:jc w:val="both"/>
        <w:rPr>
          <w:rFonts w:ascii="Times New Roman" w:hAnsi="Times New Roman"/>
          <w:color w:val="0070C0"/>
          <w:sz w:val="16"/>
          <w:szCs w:val="16"/>
        </w:rPr>
      </w:pPr>
    </w:p>
    <w:p w14:paraId="311E1F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была создана специальная комиссия по проверке ГИРТ во главе с А.С.Я. и Костикова признали виновным в срыве задания ГОКО по 302 машине и вскоре он был репрессирован, а ГИРТ перевели в НКАП и собрали там Л.С.Душкина, В.П.Глушко, А.И.Исаева, группу М.М.Бондарюка. А.М.Люлька был переведен из ЦИАМ в НИИ-1 и получил задание на разработку ТРД с тякой 1250 кг. В ЦИАМ А.А.Фадеев, К.В.Холщевников и А.И.Толстов занялись разработкой ВРДК, а В.В.Уваров - ТВРД (2168,5).</w:t>
      </w:r>
    </w:p>
    <w:p w14:paraId="6BB04D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9A80C1" w14:textId="77777777" w:rsidR="0018364B" w:rsidRPr="00070ADE" w:rsidRDefault="0018364B"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начале 1944 г. двигатель РД-1 A.M. Исаева был установ лен на самолет БИ № 7. 24 января и 9 марта Б.Н. Кудрин со вершил на нем два полета продолжительностью по 33 мин.</w:t>
      </w:r>
    </w:p>
    <w:p w14:paraId="734A4C65" w14:textId="77777777" w:rsidR="0018364B" w:rsidRPr="00070ADE" w:rsidRDefault="0018364B" w:rsidP="00B56F90">
      <w:pPr>
        <w:pStyle w:val="ae"/>
        <w:shd w:val="clear" w:color="auto" w:fill="FFFFFF"/>
        <w:spacing w:before="0" w:after="0"/>
        <w:jc w:val="both"/>
        <w:rPr>
          <w:color w:val="000000" w:themeColor="text1"/>
          <w:sz w:val="16"/>
          <w:szCs w:val="16"/>
        </w:rPr>
      </w:pPr>
      <w:r w:rsidRPr="00070ADE">
        <w:rPr>
          <w:color w:val="000000" w:themeColor="text1"/>
          <w:sz w:val="16"/>
          <w:szCs w:val="16"/>
        </w:rPr>
        <w:t>На этом самолете, как и на всех оставшихся после отказа от Двигателя Л.С. Душкина, вооружение было заменено весовы ми имитаторами. Все они отличались от первой партии само летов БИ увеличенным рулем поворота и уменьшенной пло Щ подфюзеляжного фальшкиля.</w:t>
      </w:r>
    </w:p>
    <w:p w14:paraId="0461A832" w14:textId="77777777" w:rsidR="0018364B" w:rsidRPr="00070ADE" w:rsidRDefault="0018364B"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результате переделок хвостового оперения и снятия рас чалок во время полетов на БИ № 7 наблюдалась тряска хвос товой части фюзеляжа при скорости 250...270 км/ч. Этот самолет временно отстранили от полетов. Опыты по определе нию причин тряски продолжались на БИ № 5</w:t>
      </w:r>
    </w:p>
    <w:p w14:paraId="317E300D" w14:textId="77777777" w:rsidR="0018364B" w:rsidRPr="00070ADE" w:rsidRDefault="0018364B" w:rsidP="00B56F90">
      <w:pPr>
        <w:pStyle w:val="ae"/>
        <w:shd w:val="clear" w:color="auto" w:fill="FFFFFF"/>
        <w:spacing w:before="0" w:after="0"/>
        <w:jc w:val="both"/>
        <w:rPr>
          <w:color w:val="000000" w:themeColor="text1"/>
          <w:sz w:val="16"/>
          <w:szCs w:val="16"/>
        </w:rPr>
      </w:pPr>
      <w:r w:rsidRPr="00070ADE">
        <w:rPr>
          <w:color w:val="000000" w:themeColor="text1"/>
          <w:sz w:val="16"/>
          <w:szCs w:val="16"/>
        </w:rPr>
        <w:t>Этот самолет привели в полное соответствие с БИ № 7: ус тановили имитаторы убранных лыж (прижатых к корпусу) и зализы крыла с корпусом, снятые с самолета БИ № 7. Под фюзеляжем прикрепили имитаторы обтекателей дуговых за пальных устройств ЖРД A.M. Исаева РД-1 и сняли кок хвос тового обтекателя. В шести полетах тряска не была обнару жена, но из-за того, что все же выяснить причину не удалось, полеты на БИ № 7 прекратили (19586).</w:t>
      </w:r>
    </w:p>
    <w:p w14:paraId="51062ACE" w14:textId="77777777" w:rsidR="0018364B" w:rsidRPr="00070ADE" w:rsidRDefault="0018364B" w:rsidP="00B56F90">
      <w:pPr>
        <w:pStyle w:val="ae"/>
        <w:shd w:val="clear" w:color="auto" w:fill="FFFFFF"/>
        <w:spacing w:before="0" w:after="0"/>
        <w:jc w:val="both"/>
        <w:rPr>
          <w:color w:val="000000" w:themeColor="text1"/>
          <w:sz w:val="16"/>
          <w:szCs w:val="16"/>
        </w:rPr>
      </w:pPr>
    </w:p>
    <w:p w14:paraId="160D9A9E"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1944 г. двигатель РД-1 A.M. Исаева был установ</w:t>
      </w:r>
      <w:r w:rsidRPr="00C94B78">
        <w:rPr>
          <w:rFonts w:ascii="Times New Roman" w:hAnsi="Times New Roman"/>
          <w:color w:val="0070C0"/>
          <w:sz w:val="16"/>
          <w:szCs w:val="16"/>
        </w:rPr>
        <w:softHyphen/>
        <w:t>лен на самолет БИ № 7. 24 января и 9 марта Б.Н. Кудрин со</w:t>
      </w:r>
      <w:r w:rsidRPr="00C94B78">
        <w:rPr>
          <w:rFonts w:ascii="Times New Roman" w:hAnsi="Times New Roman"/>
          <w:color w:val="0070C0"/>
          <w:sz w:val="16"/>
          <w:szCs w:val="16"/>
        </w:rPr>
        <w:softHyphen/>
        <w:t>вершил на нем два полета продолжительностью по 33 мин. На этом самолете, как и на всех оставшихся после отказа от Двигателя Л.С. Душкина, вооружение было заменено весовы</w:t>
      </w:r>
      <w:r w:rsidRPr="00C94B78">
        <w:rPr>
          <w:rFonts w:ascii="Times New Roman" w:hAnsi="Times New Roman"/>
          <w:color w:val="0070C0"/>
          <w:sz w:val="16"/>
          <w:szCs w:val="16"/>
        </w:rPr>
        <w:softHyphen/>
        <w:t>ми имитаторами. Все они отличались от первой партии само</w:t>
      </w:r>
      <w:r w:rsidRPr="00C94B78">
        <w:rPr>
          <w:rFonts w:ascii="Times New Roman" w:hAnsi="Times New Roman"/>
          <w:color w:val="0070C0"/>
          <w:sz w:val="16"/>
          <w:szCs w:val="16"/>
        </w:rPr>
        <w:softHyphen/>
        <w:t>летов БИ увеличенным рулем поворота и уменьшенной площадью подфюзеляжного фальшкиля (24920).</w:t>
      </w:r>
    </w:p>
    <w:p w14:paraId="22F16143" w14:textId="77777777" w:rsidR="006A2469" w:rsidRPr="00C94B78" w:rsidRDefault="006A2469" w:rsidP="00B56F90">
      <w:pPr>
        <w:spacing w:after="0" w:line="240" w:lineRule="auto"/>
        <w:jc w:val="both"/>
        <w:rPr>
          <w:rFonts w:ascii="Times New Roman" w:hAnsi="Times New Roman"/>
          <w:color w:val="0070C0"/>
          <w:sz w:val="16"/>
          <w:szCs w:val="16"/>
        </w:rPr>
      </w:pPr>
    </w:p>
    <w:p w14:paraId="74A4F0A2" w14:textId="77777777" w:rsidR="0018364B" w:rsidRPr="00070ADE" w:rsidRDefault="0018364B"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начале 1944 г. второй экземпляр самолета «302П» про шел испытания в натурной аэродинамической трубе Т- ЦАГИ и был готов к полетам с работающим ЖРД, но до этого не дошло. В момент полной готовности к установке ЖРД на облетанный планер в НКАП было принято крайне недальновидное решение о закрытии темы «302». Мотиви ровалось это наличием малой серии самолетов БИ, а также отсутствием потребности фронтовой авиации и авиации ПВО в ракетном перехватчике с малым радиусом действия.</w:t>
      </w:r>
    </w:p>
    <w:p w14:paraId="76B061D9" w14:textId="77777777" w:rsidR="0018364B" w:rsidRPr="00070ADE" w:rsidRDefault="0018364B" w:rsidP="00B56F90">
      <w:pPr>
        <w:pStyle w:val="ae"/>
        <w:shd w:val="clear" w:color="auto" w:fill="FFFFFF"/>
        <w:spacing w:before="0" w:after="0"/>
        <w:jc w:val="both"/>
        <w:rPr>
          <w:color w:val="000000" w:themeColor="text1"/>
          <w:sz w:val="16"/>
          <w:szCs w:val="16"/>
        </w:rPr>
      </w:pPr>
      <w:r w:rsidRPr="00070ADE">
        <w:rPr>
          <w:color w:val="000000" w:themeColor="text1"/>
          <w:sz w:val="16"/>
          <w:szCs w:val="16"/>
        </w:rPr>
        <w:t xml:space="preserve">Тактические возможности «302», как и БИ, были крайне малы, но эти самолеты являлись первой ступенькой к на турным исследованиям аэродинамики высоких дозвуковых скоростей и могли стать экспериментальной платформой для отработки новых ЖРД. Тем более что ЖРД-ускорители были поставлены на истребители </w:t>
      </w:r>
      <w:r w:rsidRPr="00070ADE">
        <w:rPr>
          <w:color w:val="000000" w:themeColor="text1"/>
          <w:sz w:val="16"/>
          <w:szCs w:val="16"/>
        </w:rPr>
        <w:lastRenderedPageBreak/>
        <w:t>Ла-7 и Як-3, а ОКБ Н.Н. Поли карпова в мае 1944 г. получило задание на ракетный пере хватчик «Малютка» с ЖРД РД-2М-3. Кроме того, удалось довести и ПВРД, которые прошли испытания на БИ (19586).</w:t>
      </w:r>
    </w:p>
    <w:p w14:paraId="67A6AA5B" w14:textId="77777777" w:rsidR="0018364B" w:rsidRPr="00070ADE" w:rsidRDefault="0018364B" w:rsidP="00B56F90">
      <w:pPr>
        <w:pStyle w:val="ae"/>
        <w:shd w:val="clear" w:color="auto" w:fill="FFFFFF"/>
        <w:spacing w:before="0" w:after="0"/>
        <w:jc w:val="both"/>
        <w:rPr>
          <w:color w:val="000000" w:themeColor="text1"/>
          <w:sz w:val="16"/>
          <w:szCs w:val="16"/>
        </w:rPr>
      </w:pPr>
    </w:p>
    <w:p w14:paraId="69754BDA"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1944 г. второй экземпляр самолета «302П» про</w:t>
      </w:r>
      <w:r w:rsidRPr="00C94B78">
        <w:rPr>
          <w:rFonts w:ascii="Times New Roman" w:hAnsi="Times New Roman"/>
          <w:color w:val="0070C0"/>
          <w:sz w:val="16"/>
          <w:szCs w:val="16"/>
        </w:rPr>
        <w:softHyphen/>
        <w:t>шел испытания в натурной аэродинамической трубе Т-104 ЦАГИ и был готов к полетам с работающим ЖРД, но до этого не дошло. В момент полной готовности к установке ЖРД на облетанный планер в НКАП было принято крайне недальновидное решение о закрытии темы «302». Мотиви</w:t>
      </w:r>
      <w:r w:rsidRPr="00C94B78">
        <w:rPr>
          <w:rFonts w:ascii="Times New Roman" w:hAnsi="Times New Roman"/>
          <w:color w:val="0070C0"/>
          <w:sz w:val="16"/>
          <w:szCs w:val="16"/>
        </w:rPr>
        <w:softHyphen/>
        <w:t>ровалось это наличием малой серии самолетов БИ, а также отсутствием потребности фронтовой авиации и авиации ПВО в ракетном перехватчике с малым радиусом действия. Тактические возможности «302», как и БИ, были крайне малы, но эти самолеты являлись первой ступенькой к на</w:t>
      </w:r>
      <w:r w:rsidRPr="00C94B78">
        <w:rPr>
          <w:rFonts w:ascii="Times New Roman" w:hAnsi="Times New Roman"/>
          <w:color w:val="0070C0"/>
          <w:sz w:val="16"/>
          <w:szCs w:val="16"/>
        </w:rPr>
        <w:softHyphen/>
        <w:t>турным исследованиям аэродинамики высоких дозвуковых скоростей и могли стать экспериментальной платформой для отработки новых ЖРД. Тем более что ЖРД-ускорители были поставлены на истребители Ла-7 и Як-3, а ОКБ Н.Н. Поли</w:t>
      </w:r>
      <w:r w:rsidRPr="00C94B78">
        <w:rPr>
          <w:rFonts w:ascii="Times New Roman" w:hAnsi="Times New Roman"/>
          <w:color w:val="0070C0"/>
          <w:sz w:val="16"/>
          <w:szCs w:val="16"/>
        </w:rPr>
        <w:softHyphen/>
        <w:t>карпова в мае 1944 г. получило задание на ракетный пере</w:t>
      </w:r>
      <w:r w:rsidRPr="00C94B78">
        <w:rPr>
          <w:rFonts w:ascii="Times New Roman" w:hAnsi="Times New Roman"/>
          <w:color w:val="0070C0"/>
          <w:sz w:val="16"/>
          <w:szCs w:val="16"/>
        </w:rPr>
        <w:softHyphen/>
        <w:t>хватчик «Малютка» с ЖРД РД-2М-3. Кроме того, удалось довести и ПВРД, которые прошли испытания на БИ № 6 [48], [49], [50] (24920).</w:t>
      </w:r>
    </w:p>
    <w:p w14:paraId="53EBC84E" w14:textId="77777777" w:rsidR="006A2469" w:rsidRPr="00C94B78" w:rsidRDefault="006A2469" w:rsidP="00B56F90">
      <w:pPr>
        <w:spacing w:after="0" w:line="240" w:lineRule="auto"/>
        <w:jc w:val="both"/>
        <w:rPr>
          <w:rFonts w:ascii="Times New Roman" w:hAnsi="Times New Roman"/>
          <w:color w:val="0070C0"/>
          <w:sz w:val="16"/>
          <w:szCs w:val="16"/>
        </w:rPr>
      </w:pPr>
    </w:p>
    <w:p w14:paraId="17703793"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1944 г. люльковцы переехали в НИИ-1 НКАП, куда так</w:t>
      </w:r>
      <w:r w:rsidRPr="00C94B78">
        <w:rPr>
          <w:rFonts w:ascii="Times New Roman" w:hAnsi="Times New Roman"/>
          <w:color w:val="0070C0"/>
          <w:sz w:val="16"/>
          <w:szCs w:val="16"/>
        </w:rPr>
        <w:softHyphen/>
        <w:t>же вливаются группы из других институтов со всем сво</w:t>
      </w:r>
      <w:r w:rsidRPr="00C94B78">
        <w:rPr>
          <w:rFonts w:ascii="Times New Roman" w:hAnsi="Times New Roman"/>
          <w:color w:val="0070C0"/>
          <w:sz w:val="16"/>
          <w:szCs w:val="16"/>
        </w:rPr>
        <w:softHyphen/>
        <w:t>им имуществом. На основе этого проекта началась разработка нового, более мощного двигателя, который потом вышел под индексом С-18.</w:t>
      </w:r>
    </w:p>
    <w:p w14:paraId="4710B0B5"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Люльковцы расположились удобно, даже просторно. Люль</w:t>
      </w:r>
      <w:r w:rsidRPr="00C94B78">
        <w:rPr>
          <w:rFonts w:ascii="Times New Roman" w:hAnsi="Times New Roman"/>
          <w:color w:val="0070C0"/>
          <w:sz w:val="16"/>
          <w:szCs w:val="16"/>
        </w:rPr>
        <w:softHyphen/>
        <w:t>ка и Лусс получили по небольшому отдельному кабинету. Бри</w:t>
      </w:r>
      <w:r w:rsidRPr="00C94B78">
        <w:rPr>
          <w:rFonts w:ascii="Times New Roman" w:hAnsi="Times New Roman"/>
          <w:color w:val="0070C0"/>
          <w:sz w:val="16"/>
          <w:szCs w:val="16"/>
        </w:rPr>
        <w:softHyphen/>
        <w:t>гады разместились в больших светлых высоких комнатах.</w:t>
      </w:r>
    </w:p>
    <w:p w14:paraId="6657F355"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НИИ-1 был образован отдел авиационных турбореактив</w:t>
      </w:r>
      <w:r w:rsidRPr="00C94B78">
        <w:rPr>
          <w:rFonts w:ascii="Times New Roman" w:hAnsi="Times New Roman"/>
          <w:color w:val="0070C0"/>
          <w:sz w:val="16"/>
          <w:szCs w:val="16"/>
        </w:rPr>
        <w:softHyphen/>
        <w:t>ных двигателей, начальником которого назначили Люльку.</w:t>
      </w:r>
    </w:p>
    <w:p w14:paraId="571EED14"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отделе собрались специалисты, прибывшие вместе с Люль</w:t>
      </w:r>
      <w:r w:rsidRPr="00C94B78">
        <w:rPr>
          <w:rFonts w:ascii="Times New Roman" w:hAnsi="Times New Roman"/>
          <w:color w:val="0070C0"/>
          <w:sz w:val="16"/>
          <w:szCs w:val="16"/>
        </w:rPr>
        <w:softHyphen/>
        <w:t>кой из ЦИАМ, а также опытные инженеры института. Отделу выделили помещение для конструкторов и стенды для экспе</w:t>
      </w:r>
      <w:r w:rsidRPr="00C94B78">
        <w:rPr>
          <w:rFonts w:ascii="Times New Roman" w:hAnsi="Times New Roman"/>
          <w:color w:val="0070C0"/>
          <w:sz w:val="16"/>
          <w:szCs w:val="16"/>
        </w:rPr>
        <w:softHyphen/>
        <w:t>риментов и испытаний двигателя. Начались работы над про</w:t>
      </w:r>
      <w:r w:rsidRPr="00C94B78">
        <w:rPr>
          <w:rFonts w:ascii="Times New Roman" w:hAnsi="Times New Roman"/>
          <w:color w:val="0070C0"/>
          <w:sz w:val="16"/>
          <w:szCs w:val="16"/>
        </w:rPr>
        <w:softHyphen/>
        <w:t>ектом двигателя С-18, идея которого зародилась у Люльки еще в ЦИАМ.</w:t>
      </w:r>
    </w:p>
    <w:p w14:paraId="5879F301"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Этот двигатель имел компрессор не шести-, а восьмиступен</w:t>
      </w:r>
      <w:r w:rsidRPr="00C94B78">
        <w:rPr>
          <w:rFonts w:ascii="Times New Roman" w:hAnsi="Times New Roman"/>
          <w:color w:val="0070C0"/>
          <w:sz w:val="16"/>
          <w:szCs w:val="16"/>
        </w:rPr>
        <w:softHyphen/>
        <w:t>чатый, с гораздо большей, чем раньше, степенью сжатия. Был усовершенствован профиль лопаток. Диаметр камеры сгорания уменьшился, форма ее деталей стала более обтекаемой. Потери давления воздуха по тракту сведены были к минимуму.</w:t>
      </w:r>
    </w:p>
    <w:p w14:paraId="596C45ED"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отдел к Люльке стали приезжать ответственные работ</w:t>
      </w:r>
      <w:r w:rsidRPr="00C94B78">
        <w:rPr>
          <w:rFonts w:ascii="Times New Roman" w:hAnsi="Times New Roman"/>
          <w:color w:val="0070C0"/>
          <w:sz w:val="16"/>
          <w:szCs w:val="16"/>
        </w:rPr>
        <w:softHyphen/>
        <w:t>ники НКАП и различных НИИ для ознакомления с проек</w:t>
      </w:r>
      <w:r w:rsidRPr="00C94B78">
        <w:rPr>
          <w:rFonts w:ascii="Times New Roman" w:hAnsi="Times New Roman"/>
          <w:color w:val="0070C0"/>
          <w:sz w:val="16"/>
          <w:szCs w:val="16"/>
        </w:rPr>
        <w:softHyphen/>
        <w:t>том, и прикидывали, как изготовить серию двигателей (24920).</w:t>
      </w:r>
    </w:p>
    <w:p w14:paraId="29C389C3" w14:textId="77777777" w:rsidR="006A2469" w:rsidRPr="00C94B78" w:rsidRDefault="006A2469" w:rsidP="00B56F90">
      <w:pPr>
        <w:spacing w:after="0" w:line="240" w:lineRule="auto"/>
        <w:jc w:val="both"/>
        <w:rPr>
          <w:rFonts w:ascii="Times New Roman" w:hAnsi="Times New Roman"/>
          <w:color w:val="0070C0"/>
          <w:sz w:val="16"/>
          <w:szCs w:val="16"/>
        </w:rPr>
      </w:pPr>
    </w:p>
    <w:p w14:paraId="7FE24DE1"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произошел ряд случаев разрушения в воздухе горизонтального оперения истребителей «Эракобра». Проведенные в ЦАГИ испытания показали недостаточную прочность опреения и хвостовой части самолета. Статическими испытаниями было установлено, что фактическая прочность горизонтального оперения составляет 71% от расчетных нагрузок, вертикального оперения и фюзеляжа — 80%. Основной причиной этого стала заниженность нагрузок на оперение в американских нормах прочности. Это признала фирма «Белл» и прислала в СССР рекомендации по усилению оперения. Опасность возникновения больших нагрузок на оперение усугублялось спецификой компоновки самолета. Недоста - точный запас продольной и путевой устойчивости при значительной компенсации рулей создавал возможность получения больших нагрузок на оперение при небольших усилиях на ручке. ЦАГИ выполнил и проверил усиление оперения и хвостовой части фюзеляжа до требований норм прочности СССР, их внедрили и в ВВС КА, но в конце 1944 г. на некоторых самолетах обнаружились остаточные деформации обшивки хвостовой части, а в одном случае произошло разрушение ее в воздухе. Расчеты, проведенные институтом, показали, что причиной этого является недостаточная путевая устойчивость самолета. Было рекомендовано «в эксплоатации тщательно следить за появлением остаточных деформаций и в случае их обнаружения проводить дополнительные усиления фюзеляжа, проект которого был передан ВВС КА». В лаборатории прочности произвели также ряд экспериментальных исследований по усилению самолета «Кингкобра», в результате которых прочность хвостовой части фюзеляжа довели до 100% требуемой (19727).</w:t>
      </w:r>
    </w:p>
    <w:p w14:paraId="27D2B55D" w14:textId="77777777" w:rsidR="0018364B" w:rsidRPr="00070ADE" w:rsidRDefault="0018364B" w:rsidP="00B56F90">
      <w:pPr>
        <w:spacing w:after="0" w:line="240" w:lineRule="auto"/>
        <w:jc w:val="both"/>
        <w:rPr>
          <w:rFonts w:ascii="Times New Roman" w:hAnsi="Times New Roman"/>
          <w:color w:val="000000" w:themeColor="text1"/>
          <w:sz w:val="16"/>
          <w:szCs w:val="16"/>
        </w:rPr>
      </w:pPr>
    </w:p>
    <w:p w14:paraId="598477BE" w14:textId="77777777" w:rsidR="0092480E" w:rsidRPr="00070ADE" w:rsidRDefault="0092480E" w:rsidP="00B56F90">
      <w:pPr>
        <w:pStyle w:val="rtejustify"/>
        <w:shd w:val="clear" w:color="auto" w:fill="FFFFFF"/>
        <w:spacing w:before="0" w:after="0"/>
        <w:rPr>
          <w:color w:val="000000" w:themeColor="text1"/>
          <w:sz w:val="16"/>
          <w:szCs w:val="16"/>
        </w:rPr>
      </w:pPr>
      <w:r w:rsidRPr="00070ADE">
        <w:rPr>
          <w:color w:val="000000" w:themeColor="text1"/>
          <w:sz w:val="16"/>
          <w:szCs w:val="16"/>
        </w:rPr>
        <w:t>В начале 1944 года, когда стало очевидным, что разрушительная мощь 37-мм снаряда не компенсирует чудовищные нагрузки, воздействующие на планер носителя при стрельбе, делавшие, в общем-то, прекрасное оружие, невостребованным в авиации, в ОКБ-16стартовали работы по проекту 120-П. Пути снижение нагрузок были достаточно очевидными. Первый – это принесение в жертву баллистики путем уменьшения длины ствола и уменьшения энергетики патрона. Второй – введение в конструкцию пушки гидравлического буфера вместо пружинного, позволявшего исключить пиковые нагрузки в конце хода подвижных частей автоматики.</w:t>
      </w:r>
    </w:p>
    <w:p w14:paraId="49F28E63" w14:textId="77777777" w:rsidR="0092480E" w:rsidRPr="00070ADE" w:rsidRDefault="0092480E" w:rsidP="00B56F90">
      <w:pPr>
        <w:pStyle w:val="rtejustify"/>
        <w:shd w:val="clear" w:color="auto" w:fill="FFFFFF"/>
        <w:spacing w:before="0" w:after="0"/>
        <w:rPr>
          <w:color w:val="000000" w:themeColor="text1"/>
          <w:sz w:val="16"/>
          <w:szCs w:val="16"/>
        </w:rPr>
      </w:pPr>
      <w:r w:rsidRPr="00070ADE">
        <w:rPr>
          <w:color w:val="000000" w:themeColor="text1"/>
          <w:sz w:val="16"/>
          <w:szCs w:val="16"/>
        </w:rPr>
        <w:t>В пушке 120-П Нудельману удалось реализовать все эти моменты. Длина ствола была уменьшена на метр, соответственно почти на 70 кг снизилась масса. Весьма существенно для авиации! Введен гидравлический буфер. Кроме того, по сравнению с НС-37 в новой пушке был переработан узел отката ствола. Возвратная пружина из казенной части ствольной коробки была перемещена вперед, и расположена открыто вокруг ствола, что также способствовало уменьшению габаритов и массы системы, а также способствовало повышению темпа стрельбы, который довели до 400 выстр/мин.</w:t>
      </w:r>
    </w:p>
    <w:p w14:paraId="794D480C" w14:textId="4F4F37D7" w:rsidR="0092480E" w:rsidRPr="00070ADE" w:rsidRDefault="0092480E" w:rsidP="00B56F90">
      <w:pPr>
        <w:pStyle w:val="rtejustify"/>
        <w:shd w:val="clear" w:color="auto" w:fill="FFFFFF"/>
        <w:spacing w:before="0" w:after="0"/>
        <w:rPr>
          <w:color w:val="000000" w:themeColor="text1"/>
          <w:sz w:val="16"/>
          <w:szCs w:val="16"/>
        </w:rPr>
      </w:pPr>
      <w:r w:rsidRPr="00070ADE">
        <w:rPr>
          <w:color w:val="000000" w:themeColor="text1"/>
          <w:sz w:val="16"/>
          <w:szCs w:val="16"/>
        </w:rPr>
        <w:t>В апреле 1944 г. был изготовлен первый экземпляр пушки 120-П, а в августе 1944 г. были завершены наземные государственные испытания патрона и пушки, после чего пушка получила наименование Н-37. После завершения наземных испытаний, не дожидаясь завершения лётных испытаний, по инициативе наркома Д. Ф. Устинова было решено начать серийное производство пушки Н-37 на заводе № 74.</w:t>
      </w:r>
      <w:r w:rsidR="00B643A8" w:rsidRPr="00070ADE">
        <w:rPr>
          <w:color w:val="000000" w:themeColor="text1"/>
          <w:sz w:val="16"/>
          <w:szCs w:val="16"/>
        </w:rPr>
        <w:t xml:space="preserve"> </w:t>
      </w:r>
    </w:p>
    <w:p w14:paraId="24D1FDA1" w14:textId="77777777" w:rsidR="0092480E" w:rsidRPr="00070ADE" w:rsidRDefault="0092480E" w:rsidP="00B56F90">
      <w:pPr>
        <w:pStyle w:val="rtejustify"/>
        <w:shd w:val="clear" w:color="auto" w:fill="FFFFFF"/>
        <w:spacing w:before="0" w:after="0"/>
        <w:rPr>
          <w:color w:val="000000" w:themeColor="text1"/>
          <w:sz w:val="16"/>
          <w:szCs w:val="16"/>
        </w:rPr>
      </w:pPr>
      <w:r w:rsidRPr="00070ADE">
        <w:rPr>
          <w:color w:val="000000" w:themeColor="text1"/>
          <w:sz w:val="16"/>
          <w:szCs w:val="16"/>
        </w:rPr>
        <w:t>Первые летные испытания проводились на Як-9Т и Як-9УТ в марте 1945 г. Пушка была установлена в моторе. В дальнейшем летные испытания проводились на МиГ-9. В МиГ-9 пушка была установлена так, что ствол оказался в центре воздухозаборника двигателя. Из-за этого при стрельбе на высоте 7000- 8000 м происходила остановка двигателя. Для устранения этого явления было создано специальное дульное устройство – локализатор. Тем не менее, применение локализатора не предотвратило остановки двигателя при высотных стрельбах. Вскоре применение МиГ-9 с пушкой Н-37 в войсках было ограничено на высоте 3000 м, поскольку до этой высоты стрельба не влияла на работу двигателя (19170).</w:t>
      </w:r>
    </w:p>
    <w:p w14:paraId="26FBDA56" w14:textId="77777777" w:rsidR="0092480E" w:rsidRPr="00070ADE" w:rsidRDefault="0092480E" w:rsidP="00B56F90">
      <w:pPr>
        <w:spacing w:after="0" w:line="240" w:lineRule="auto"/>
        <w:jc w:val="both"/>
        <w:rPr>
          <w:rFonts w:ascii="Times New Roman" w:hAnsi="Times New Roman"/>
          <w:color w:val="000000" w:themeColor="text1"/>
          <w:sz w:val="16"/>
          <w:szCs w:val="16"/>
        </w:rPr>
      </w:pPr>
    </w:p>
    <w:p w14:paraId="69FA5A0A"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1944 года, когда стало очевидным, что разрушительная мощь 37-мм снаряда не компенсирует чудовищные нагрузки, воздействующие на планер носителя при стрельбе, делавшие, в общем-то, прекрасное оружие, невостребованным в авиации, в ОКБ-16 стартовали работы по проекту 120-П.</w:t>
      </w:r>
    </w:p>
    <w:p w14:paraId="445D1FED"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попытке минимизировать отдачу пушки в 1944 году появилась версия пушки НС-37М, оснащенная дульным тормозом, поглощавшим до 40% энергии отдачи пушки, но на серийных Илах и Яках эта версия так и не появилась. Отчасти это объясняется разработкой нового проекта пушки 120-П, являвшейся основательно переработанным и облегченным вариантом НС-37 (25270).</w:t>
      </w:r>
    </w:p>
    <w:p w14:paraId="439EAF53" w14:textId="77777777" w:rsidR="006A2469" w:rsidRPr="00C94B78" w:rsidRDefault="006A2469" w:rsidP="00B56F90">
      <w:pPr>
        <w:spacing w:after="0" w:line="240" w:lineRule="auto"/>
        <w:jc w:val="both"/>
        <w:rPr>
          <w:rFonts w:ascii="Times New Roman" w:hAnsi="Times New Roman"/>
          <w:color w:val="0070C0"/>
          <w:sz w:val="16"/>
          <w:szCs w:val="16"/>
        </w:rPr>
      </w:pPr>
    </w:p>
    <w:p w14:paraId="26F3EE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новый запальный стакан и его снаряжание детонаторами специально под взрыватель АМ-А с постоянными переходными втулками из стали или цинкового сплава. В итоге ФАБ-50сч чертежа 3-01254 восстановили на вооружении, а чертежа 3-01294 сняли с производства. Эта “рокировка” прошла ускоренно и сопровождалась большим количеством рационализаторских предложений заводчан по упрощению конструкции “новой старой” авиабомбы. По заданию ГУАС ВВС в ГСКБ-47 обобщили предложенные новшества и вскоре утвердили их в модели чертежа 3-01254а (7453).</w:t>
      </w:r>
    </w:p>
    <w:p w14:paraId="77196A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28B3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полностью отказались ФАБ-100 с взрывателями АМ-А и на вооружении авиабомбы данной модели состояли менее года (7453).</w:t>
      </w:r>
    </w:p>
    <w:p w14:paraId="258ABE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A7BC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состоялись контрольные испытания ФАБ-250сч. По мерзлому грунту ими бомбил самолет Ил-4 с высоты 2000-5000 м при скорости 300 км/ч для определения их | устойчивости на траектории и прочности корпусов в связи с изменением крепления стабилизаторов. Дело в том, что надежного крепления стабилизаторов к чугунным корпусам при помоги сварки отработать так и не удалось - металл растрескивался. В итоге способ их крепления унифицировали с ФАБ-50М43. Всего было сброшено 15 авиабомб (7453).</w:t>
      </w:r>
    </w:p>
    <w:p w14:paraId="7C0A68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80EFCC" w14:textId="77777777" w:rsidR="00A9106B" w:rsidRPr="00C94B78" w:rsidRDefault="00A9106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1944 года была разработана новая методика применения авиационных торпед. Самолет-торпедоносец должен был осуществлять атаку цели одновременно с бомбардировщиком-топмачтовиком. Бомбардировщик шел первым и должен был начинать атаку, сбрасывая бомбы. Одновременно с этим торпедоносец сбрасывал свое оружие. В результате такой атаки корабль противника сначала получал несколько бомб в надводную часть, после чего торпеда поражала его ниже ватерлинии.</w:t>
      </w:r>
    </w:p>
    <w:p w14:paraId="017C355D" w14:textId="77777777" w:rsidR="00A9106B" w:rsidRPr="00C94B78" w:rsidRDefault="00A9106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Большая часть торпед семейства 45-36 была использована именно морской авиацией. За годы Великой Отечественной войны самолеты сбросили 1294 торпеды, при помощи которых удалось потопить 399 кораблей и судов противника (25640).</w:t>
      </w:r>
    </w:p>
    <w:p w14:paraId="1517D281" w14:textId="77777777" w:rsidR="00A9106B" w:rsidRPr="00C94B78" w:rsidRDefault="00A9106B" w:rsidP="00B56F90">
      <w:pPr>
        <w:spacing w:after="0" w:line="240" w:lineRule="auto"/>
        <w:jc w:val="both"/>
        <w:rPr>
          <w:rFonts w:ascii="Times New Roman" w:hAnsi="Times New Roman"/>
          <w:color w:val="0070C0"/>
          <w:sz w:val="16"/>
          <w:szCs w:val="16"/>
        </w:rPr>
      </w:pPr>
    </w:p>
    <w:p w14:paraId="6BE9C52F"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w:t>
      </w:r>
      <w:r w:rsidRPr="00070ADE">
        <w:rPr>
          <w:rFonts w:ascii="Times New Roman" w:hAnsi="Times New Roman"/>
          <w:color w:val="000000" w:themeColor="text1"/>
          <w:sz w:val="16"/>
          <w:szCs w:val="16"/>
        </w:rPr>
        <w:softHyphen/>
        <w:t>чале 1944 г. флоту поставили первую пар</w:t>
      </w:r>
      <w:r w:rsidRPr="00070ADE">
        <w:rPr>
          <w:rFonts w:ascii="Times New Roman" w:hAnsi="Times New Roman"/>
          <w:color w:val="000000" w:themeColor="text1"/>
          <w:sz w:val="16"/>
          <w:szCs w:val="16"/>
        </w:rPr>
        <w:softHyphen/>
        <w:t>тию РЛС «Гнейс-2». Монтировать их решили тоже на A-20G — у моряков их было много. В марте 1944 г. на Черноморском флоте появилась 39-я эскадрилья ночных истре</w:t>
      </w:r>
      <w:r w:rsidRPr="00070ADE">
        <w:rPr>
          <w:rFonts w:ascii="Times New Roman" w:hAnsi="Times New Roman"/>
          <w:color w:val="000000" w:themeColor="text1"/>
          <w:sz w:val="16"/>
          <w:szCs w:val="16"/>
        </w:rPr>
        <w:softHyphen/>
        <w:t>бителей. Базировалась она первоначально на кавказском побережье, куда перевели корабли после потери Крыма. Но работы для ночников там не нашлось: немцы, от</w:t>
      </w:r>
      <w:r w:rsidRPr="00070ADE">
        <w:rPr>
          <w:rFonts w:ascii="Times New Roman" w:hAnsi="Times New Roman"/>
          <w:color w:val="000000" w:themeColor="text1"/>
          <w:sz w:val="16"/>
          <w:szCs w:val="16"/>
        </w:rPr>
        <w:softHyphen/>
        <w:t>тесненные на запад, уже редко посылали свои самолеты к Поти и Новороссийску. Поэтому истребители решили исполь</w:t>
      </w:r>
      <w:r w:rsidRPr="00070ADE">
        <w:rPr>
          <w:rFonts w:ascii="Times New Roman" w:hAnsi="Times New Roman"/>
          <w:color w:val="000000" w:themeColor="text1"/>
          <w:sz w:val="16"/>
          <w:szCs w:val="16"/>
        </w:rPr>
        <w:softHyphen/>
        <w:t>зовать в роли разведчиков. 6 апреля со</w:t>
      </w:r>
      <w:r w:rsidRPr="00070ADE">
        <w:rPr>
          <w:rFonts w:ascii="Times New Roman" w:hAnsi="Times New Roman"/>
          <w:color w:val="000000" w:themeColor="text1"/>
          <w:sz w:val="16"/>
          <w:szCs w:val="16"/>
        </w:rPr>
        <w:softHyphen/>
        <w:t>стоялся первый вылет «Бостона» с РЛС на разведку портов южной части Крыма. Впоследствии выполнили еще несколько таких полетов.</w:t>
      </w:r>
    </w:p>
    <w:p w14:paraId="023E7F49"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самолеты с «Гнейсами» попыта</w:t>
      </w:r>
      <w:r w:rsidRPr="00070ADE">
        <w:rPr>
          <w:rFonts w:ascii="Times New Roman" w:hAnsi="Times New Roman"/>
          <w:color w:val="000000" w:themeColor="text1"/>
          <w:sz w:val="16"/>
          <w:szCs w:val="16"/>
        </w:rPr>
        <w:softHyphen/>
        <w:t>лись применить для поиска подводных ло</w:t>
      </w:r>
      <w:r w:rsidRPr="00070ADE">
        <w:rPr>
          <w:rFonts w:ascii="Times New Roman" w:hAnsi="Times New Roman"/>
          <w:color w:val="000000" w:themeColor="text1"/>
          <w:sz w:val="16"/>
          <w:szCs w:val="16"/>
        </w:rPr>
        <w:softHyphen/>
        <w:t>док ночью. Поздно вечером 24 июня одна машина отправилась патрулировать море в районе Новороссийска, но из-за гро</w:t>
      </w:r>
      <w:r w:rsidRPr="00070ADE">
        <w:rPr>
          <w:rFonts w:ascii="Times New Roman" w:hAnsi="Times New Roman"/>
          <w:color w:val="000000" w:themeColor="text1"/>
          <w:sz w:val="16"/>
          <w:szCs w:val="16"/>
        </w:rPr>
        <w:softHyphen/>
        <w:t>зы вскоре вернулась. 26-28 июня решили проверить, а насколько реально обнару</w:t>
      </w:r>
      <w:r w:rsidRPr="00070ADE">
        <w:rPr>
          <w:rFonts w:ascii="Times New Roman" w:hAnsi="Times New Roman"/>
          <w:color w:val="000000" w:themeColor="text1"/>
          <w:sz w:val="16"/>
          <w:szCs w:val="16"/>
        </w:rPr>
        <w:softHyphen/>
        <w:t>жить субмарину с ночного истребителя. Подводная лодка М-54 в надводном по</w:t>
      </w:r>
      <w:r w:rsidRPr="00070ADE">
        <w:rPr>
          <w:rFonts w:ascii="Times New Roman" w:hAnsi="Times New Roman"/>
          <w:color w:val="000000" w:themeColor="text1"/>
          <w:sz w:val="16"/>
          <w:szCs w:val="16"/>
        </w:rPr>
        <w:softHyphen/>
        <w:t>ложении двигалась по маршруту Поти — Новороссийск — Туапсе. Лишь на третью ночь ее удалось найти с самолета.</w:t>
      </w:r>
    </w:p>
    <w:p w14:paraId="32A5B384"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«Бостоны» и дальше пытались искать по ночам вражеские подлодки. Для этих операций специально выделили два само</w:t>
      </w:r>
      <w:r w:rsidRPr="00070ADE">
        <w:rPr>
          <w:rFonts w:ascii="Times New Roman" w:hAnsi="Times New Roman"/>
          <w:color w:val="000000" w:themeColor="text1"/>
          <w:sz w:val="16"/>
          <w:szCs w:val="16"/>
        </w:rPr>
        <w:softHyphen/>
        <w:t>лета. Но никаких успехов они не достигли. Предназначенный для поиска воздушных целей «Гнейс-2» не позволял выявить объ</w:t>
      </w:r>
      <w:r w:rsidRPr="00070ADE">
        <w:rPr>
          <w:rFonts w:ascii="Times New Roman" w:hAnsi="Times New Roman"/>
          <w:color w:val="000000" w:themeColor="text1"/>
          <w:sz w:val="16"/>
          <w:szCs w:val="16"/>
        </w:rPr>
        <w:softHyphen/>
        <w:t>ект на фоне отражения от поверхности моря. Чтобы выявить рубку подводной лодки, летчикам приходилось букваль</w:t>
      </w:r>
      <w:r w:rsidRPr="00070ADE">
        <w:rPr>
          <w:rFonts w:ascii="Times New Roman" w:hAnsi="Times New Roman"/>
          <w:color w:val="000000" w:themeColor="text1"/>
          <w:sz w:val="16"/>
          <w:szCs w:val="16"/>
        </w:rPr>
        <w:softHyphen/>
        <w:t>но прижиматься к воде. С высоты более 200 м субмарина не различалась. Эти де</w:t>
      </w:r>
      <w:r w:rsidRPr="00070ADE">
        <w:rPr>
          <w:rFonts w:ascii="Times New Roman" w:hAnsi="Times New Roman"/>
          <w:color w:val="000000" w:themeColor="text1"/>
          <w:sz w:val="16"/>
          <w:szCs w:val="16"/>
        </w:rPr>
        <w:softHyphen/>
        <w:t>фекты позднее частично устранили в РЛС «Гнейс-2М», специально предназначав</w:t>
      </w:r>
      <w:r w:rsidRPr="00070ADE">
        <w:rPr>
          <w:rFonts w:ascii="Times New Roman" w:hAnsi="Times New Roman"/>
          <w:color w:val="000000" w:themeColor="text1"/>
          <w:sz w:val="16"/>
          <w:szCs w:val="16"/>
        </w:rPr>
        <w:softHyphen/>
        <w:t>шейся для морской авиации. Но ее стави</w:t>
      </w:r>
      <w:r w:rsidRPr="00070ADE">
        <w:rPr>
          <w:rFonts w:ascii="Times New Roman" w:hAnsi="Times New Roman"/>
          <w:color w:val="000000" w:themeColor="text1"/>
          <w:sz w:val="16"/>
          <w:szCs w:val="16"/>
        </w:rPr>
        <w:softHyphen/>
        <w:t>ли на разведчики и торпедоносцы, а не на истребители.</w:t>
      </w:r>
    </w:p>
    <w:p w14:paraId="19E497F0"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освобождения Крыма 39-ю эска</w:t>
      </w:r>
      <w:r w:rsidRPr="00070ADE">
        <w:rPr>
          <w:rFonts w:ascii="Times New Roman" w:hAnsi="Times New Roman"/>
          <w:color w:val="000000" w:themeColor="text1"/>
          <w:sz w:val="16"/>
          <w:szCs w:val="16"/>
        </w:rPr>
        <w:softHyphen/>
        <w:t>дрилью перевели в Саки, где она совме</w:t>
      </w:r>
      <w:r w:rsidRPr="00070ADE">
        <w:rPr>
          <w:rFonts w:ascii="Times New Roman" w:hAnsi="Times New Roman"/>
          <w:color w:val="000000" w:themeColor="text1"/>
          <w:sz w:val="16"/>
          <w:szCs w:val="16"/>
        </w:rPr>
        <w:softHyphen/>
        <w:t>щала функции ПВО с патрулированием западной части Черного моря.</w:t>
      </w:r>
    </w:p>
    <w:p w14:paraId="71A59984"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A-20G испытывались и более со</w:t>
      </w:r>
      <w:r w:rsidRPr="00070ADE">
        <w:rPr>
          <w:rFonts w:ascii="Times New Roman" w:hAnsi="Times New Roman"/>
          <w:color w:val="000000" w:themeColor="text1"/>
          <w:sz w:val="16"/>
          <w:szCs w:val="16"/>
        </w:rPr>
        <w:softHyphen/>
        <w:t>вершенные радиолокаторы «Гнейс-3» и «Гнейс-5». На самолетах 45-й ад идд в бо</w:t>
      </w:r>
      <w:r w:rsidRPr="00070ADE">
        <w:rPr>
          <w:rFonts w:ascii="Times New Roman" w:hAnsi="Times New Roman"/>
          <w:color w:val="000000" w:themeColor="text1"/>
          <w:sz w:val="16"/>
          <w:szCs w:val="16"/>
        </w:rPr>
        <w:softHyphen/>
        <w:t>евых условиях под Бреслау опробовалась система телевизионного наведения РД-1. На экран в кабине истребителя трансли</w:t>
      </w:r>
      <w:r w:rsidRPr="00070ADE">
        <w:rPr>
          <w:rFonts w:ascii="Times New Roman" w:hAnsi="Times New Roman"/>
          <w:color w:val="000000" w:themeColor="text1"/>
          <w:sz w:val="16"/>
          <w:szCs w:val="16"/>
        </w:rPr>
        <w:softHyphen/>
        <w:t>ровалось с поста наведения изображение индикатора наземной РЛС, наложенное на карту местности с указанием положения перехватчика и его цели. Система РД-1 по</w:t>
      </w:r>
      <w:r w:rsidRPr="00070ADE">
        <w:rPr>
          <w:rFonts w:ascii="Times New Roman" w:hAnsi="Times New Roman"/>
          <w:color w:val="000000" w:themeColor="text1"/>
          <w:sz w:val="16"/>
          <w:szCs w:val="16"/>
        </w:rPr>
        <w:softHyphen/>
        <w:t>казала себя весьма надежной и эффектив</w:t>
      </w:r>
      <w:r w:rsidRPr="00070ADE">
        <w:rPr>
          <w:rFonts w:ascii="Times New Roman" w:hAnsi="Times New Roman"/>
          <w:color w:val="000000" w:themeColor="text1"/>
          <w:sz w:val="16"/>
          <w:szCs w:val="16"/>
        </w:rPr>
        <w:softHyphen/>
        <w:t>ной. В той же дивизии экспериментиро</w:t>
      </w:r>
      <w:r w:rsidRPr="00070ADE">
        <w:rPr>
          <w:rFonts w:ascii="Times New Roman" w:hAnsi="Times New Roman"/>
          <w:color w:val="000000" w:themeColor="text1"/>
          <w:sz w:val="16"/>
          <w:szCs w:val="16"/>
        </w:rPr>
        <w:softHyphen/>
        <w:t>вали с наведением ночных истребителей с летающих командных пунктов — специ</w:t>
      </w:r>
      <w:r w:rsidRPr="00070ADE">
        <w:rPr>
          <w:rFonts w:ascii="Times New Roman" w:hAnsi="Times New Roman"/>
          <w:color w:val="000000" w:themeColor="text1"/>
          <w:sz w:val="16"/>
          <w:szCs w:val="16"/>
        </w:rPr>
        <w:softHyphen/>
        <w:t>ально оборудованных транспортных са</w:t>
      </w:r>
      <w:r w:rsidRPr="00070ADE">
        <w:rPr>
          <w:rFonts w:ascii="Times New Roman" w:hAnsi="Times New Roman"/>
          <w:color w:val="000000" w:themeColor="text1"/>
          <w:sz w:val="16"/>
          <w:szCs w:val="16"/>
        </w:rPr>
        <w:softHyphen/>
        <w:t>молетов С-47, оснащенных радиолокато</w:t>
      </w:r>
      <w:r w:rsidRPr="00070ADE">
        <w:rPr>
          <w:rFonts w:ascii="Times New Roman" w:hAnsi="Times New Roman"/>
          <w:color w:val="000000" w:themeColor="text1"/>
          <w:sz w:val="16"/>
          <w:szCs w:val="16"/>
        </w:rPr>
        <w:softHyphen/>
        <w:t>рами (имелись две такие машины) (23513).</w:t>
      </w:r>
    </w:p>
    <w:p w14:paraId="78FF5A28" w14:textId="77777777" w:rsidR="00A822F4" w:rsidRPr="00070ADE" w:rsidRDefault="00A822F4" w:rsidP="00B56F90">
      <w:pPr>
        <w:spacing w:after="0" w:line="240" w:lineRule="auto"/>
        <w:jc w:val="both"/>
        <w:rPr>
          <w:rFonts w:ascii="Times New Roman" w:hAnsi="Times New Roman"/>
          <w:color w:val="000000" w:themeColor="text1"/>
          <w:sz w:val="16"/>
          <w:szCs w:val="16"/>
        </w:rPr>
      </w:pPr>
    </w:p>
    <w:p w14:paraId="3667B086"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2EBE4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AA5BA4" w14:textId="77777777"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года с фронта был доставлен образец немецкой прыгающей мины. Выпрыгивая из земли, она разрывалась, создавая осколочное поле не только за счет разрушения корпуса, но и с помощью бракованных шариков от подшипников, насыпанных внутрь образца. Управлением инженерных войск был объявлен конкурс на лучший вариант прыгающей мины. Лучшей была признана конструкция группы, в которую входили Ф. И. Сидоров, Б. М. Ульянов и др. Отработка этого образца была поручена Н. А. Котову (15794).</w:t>
      </w:r>
    </w:p>
    <w:p w14:paraId="188A8B8E" w14:textId="77777777" w:rsidR="00D86EA0" w:rsidRPr="00070ADE" w:rsidRDefault="00D86EA0" w:rsidP="00B56F90">
      <w:pPr>
        <w:spacing w:after="0" w:line="240" w:lineRule="auto"/>
        <w:jc w:val="both"/>
        <w:rPr>
          <w:rFonts w:ascii="Times New Roman" w:hAnsi="Times New Roman"/>
          <w:color w:val="000000" w:themeColor="text1"/>
          <w:sz w:val="16"/>
          <w:szCs w:val="16"/>
        </w:rPr>
      </w:pPr>
    </w:p>
    <w:p w14:paraId="16188C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года в ОКБ-172 была спроектирована 152-мм пушка БЛ-7. Первоначальный индекс системы БМ-43. БЛ-7 представляла собой наложение измененного ствола Бр-2 на модернизированный лафет МЛ-20. Ствол пушки с дульным тормозом активного действия (60%). Затвор поршневой (3861).</w:t>
      </w:r>
    </w:p>
    <w:p w14:paraId="46D2A9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150E74"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начале 1944 г. в ОКБ-172 был закон</w:t>
      </w:r>
      <w:r w:rsidRPr="00C94B78">
        <w:rPr>
          <w:rStyle w:val="aff1"/>
          <w:rFonts w:ascii="Times New Roman" w:hAnsi="Times New Roman" w:cs="Times New Roman"/>
          <w:color w:val="0070C0"/>
          <w:spacing w:val="0"/>
          <w:sz w:val="16"/>
          <w:szCs w:val="16"/>
        </w:rPr>
        <w:softHyphen/>
        <w:t>чен проект 122-мм пушки БЛ-9 особой мощности. Пушка имела клиновой полуавтоматический затвор и раздельно-гильзовое заряжание. Желание конструкторов ОКБ-172 иметь штатную гильзу, а не проектировать новую, привело к тому, что весь заряд не помешался в гильзе, и дополнительные пучки приходилось засовывать в камору перед гильзой. Опытный образец 122-мм пушки БЛ-9 был изготовлен в мае 1944 г. на заводе № 172 (25437).</w:t>
      </w:r>
    </w:p>
    <w:p w14:paraId="35D82A0B" w14:textId="77777777" w:rsidR="006A2469" w:rsidRPr="00C94B78" w:rsidRDefault="006A2469" w:rsidP="00B56F90">
      <w:pPr>
        <w:spacing w:after="0" w:line="240" w:lineRule="auto"/>
        <w:jc w:val="both"/>
        <w:rPr>
          <w:rFonts w:ascii="Times New Roman" w:hAnsi="Times New Roman"/>
          <w:color w:val="0070C0"/>
          <w:sz w:val="16"/>
          <w:szCs w:val="16"/>
        </w:rPr>
      </w:pPr>
    </w:p>
    <w:p w14:paraId="40D1C0C9"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начале 1944 г. при полигонных испытаниях у танковой пушки С-53, 1 января 1944 г. постановлением ГКО принятой на вооружение, выявились существенные дефекты противооткатных устройств. Объединенными усилиями завода № 92 и ЦАКБ пушка была доработана и поставлена на производство под индексом ЗИС-С-53.</w:t>
      </w:r>
    </w:p>
    <w:p w14:paraId="49DDC239"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Пушка ЗИС-С-53 была установлена на большинстве танков Т-34-85, а также на танках Т-44 (25440).</w:t>
      </w:r>
    </w:p>
    <w:p w14:paraId="5B70F16D" w14:textId="77777777" w:rsidR="006A2469" w:rsidRPr="00C94B78" w:rsidRDefault="006A2469" w:rsidP="00B56F90">
      <w:pPr>
        <w:spacing w:after="0" w:line="240" w:lineRule="auto"/>
        <w:jc w:val="both"/>
        <w:rPr>
          <w:rFonts w:ascii="Times New Roman" w:hAnsi="Times New Roman"/>
          <w:color w:val="0070C0"/>
          <w:sz w:val="16"/>
          <w:szCs w:val="16"/>
        </w:rPr>
      </w:pPr>
    </w:p>
    <w:p w14:paraId="1AC3F48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началу 1944 г. коллектив трудящихся завода № 188 увеличился до 9741 человека, объем валовой продукции ориентировались увеличить в 1944 г. до 200 млн руб. Крупный завод производил миллионы так необходимых для фронта патронов (11511).</w:t>
      </w:r>
    </w:p>
    <w:p w14:paraId="6A892F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C10CB17"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начале 1944 г. в ЦАКБ была спроектирована мощная 130-мм пушка «2-474», предназначавшаяся для замены 122-мм пушки А-19. Чтобы ускорить работы, Грабин решил использовать для нее штатный лафет гаубицы-пушки МЛ-20, внеся в него ряд небольших изменений.</w:t>
      </w:r>
    </w:p>
    <w:p w14:paraId="3B4C1C5B"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Ствол пушки состоял из свободной трубы с мощным дульным тормозом и казенника. Затвор — горизонтальный клиновой. Длина трубы без дульного тормоза составляла 6575 мм, а длина нарезной части — 5590 мм.</w:t>
      </w:r>
    </w:p>
    <w:p w14:paraId="71E89138"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Угол вертикального наведения от —</w:t>
      </w:r>
      <w:r w:rsidRPr="00C94B78">
        <w:rPr>
          <w:rStyle w:val="aff1"/>
          <w:rFonts w:ascii="Times New Roman" w:hAnsi="Times New Roman" w:cs="Times New Roman"/>
          <w:i/>
          <w:iCs/>
          <w:color w:val="0070C0"/>
          <w:spacing w:val="0"/>
          <w:sz w:val="16"/>
          <w:szCs w:val="16"/>
        </w:rPr>
        <w:t>2°</w:t>
      </w:r>
      <w:r w:rsidRPr="00C94B78">
        <w:rPr>
          <w:rStyle w:val="aff1"/>
          <w:rFonts w:ascii="Times New Roman" w:hAnsi="Times New Roman" w:cs="Times New Roman"/>
          <w:color w:val="0070C0"/>
          <w:spacing w:val="0"/>
          <w:sz w:val="16"/>
          <w:szCs w:val="16"/>
        </w:rPr>
        <w:t xml:space="preserve"> до +45°, угол горизонтального наведения 60°. Откат — переменный. Вес откатных частей — 3642 кг. Высота оси цапф люльки — 1454 мм.</w:t>
      </w:r>
    </w:p>
    <w:p w14:paraId="0217FA19"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Баллистика пушки «2-474» была немного лучше, чем у 130-мм морской пушки Б-13. Снаряд весом 33,5 кг имел начальную скорость 896 м/ с. Дальность стрельбы достигала 25,6 км.</w:t>
      </w:r>
    </w:p>
    <w:p w14:paraId="6CE24228" w14:textId="77777777" w:rsidR="006A2469" w:rsidRPr="00C94B78" w:rsidRDefault="006A2469"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Доводить пушку до войсковых испытаний Грабин не стал — война уже заканчивалась, и в любом случае пушке «2-474» воевать бы не пришлось. Грабин счел более целесообразным создавать новый лафет под корпусной триплекс (25440).</w:t>
      </w:r>
    </w:p>
    <w:p w14:paraId="3F10F7C3" w14:textId="77777777" w:rsidR="006A2469" w:rsidRPr="00C94B78" w:rsidRDefault="006A2469" w:rsidP="00B56F90">
      <w:pPr>
        <w:spacing w:after="0" w:line="240" w:lineRule="auto"/>
        <w:jc w:val="both"/>
        <w:rPr>
          <w:rStyle w:val="aff1"/>
          <w:rFonts w:ascii="Times New Roman" w:hAnsi="Times New Roman" w:cs="Times New Roman"/>
          <w:color w:val="0070C0"/>
          <w:spacing w:val="0"/>
          <w:sz w:val="16"/>
          <w:szCs w:val="16"/>
        </w:rPr>
      </w:pPr>
    </w:p>
    <w:p w14:paraId="070FC671"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начале 1944 г. ОКБ-172 спроектировало 152-мм пушку большой мощности БЛ-8 для САУ. Ствол пушки имел гладкостен</w:t>
      </w:r>
      <w:r w:rsidRPr="00C94B78">
        <w:rPr>
          <w:rStyle w:val="aff1"/>
          <w:rFonts w:ascii="Times New Roman" w:hAnsi="Times New Roman" w:cs="Times New Roman"/>
          <w:color w:val="0070C0"/>
          <w:spacing w:val="0"/>
          <w:sz w:val="16"/>
          <w:szCs w:val="16"/>
        </w:rPr>
        <w:softHyphen/>
        <w:t>ную насадку и дульный тормоз. Затвор поршневой. Орудие было снабжено системой продувки канала ствола после выстрела сжатым воздухом из специальных баллонов. Заряжа</w:t>
      </w:r>
      <w:r w:rsidRPr="00C94B78">
        <w:rPr>
          <w:rStyle w:val="aff1"/>
          <w:rFonts w:ascii="Times New Roman" w:hAnsi="Times New Roman" w:cs="Times New Roman"/>
          <w:color w:val="0070C0"/>
          <w:spacing w:val="0"/>
          <w:sz w:val="16"/>
          <w:szCs w:val="16"/>
        </w:rPr>
        <w:softHyphen/>
        <w:t>ние раздельно-гильзовое. Тормоз отката гидравлический веретенного типа, накатник гидропневматический.</w:t>
      </w:r>
    </w:p>
    <w:p w14:paraId="033C88BD"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Пушка БЛ-8 была изготовлена на заводе № 172 и уста</w:t>
      </w:r>
      <w:r w:rsidRPr="00C94B78">
        <w:rPr>
          <w:rStyle w:val="aff1"/>
          <w:rFonts w:ascii="Times New Roman" w:hAnsi="Times New Roman" w:cs="Times New Roman"/>
          <w:color w:val="0070C0"/>
          <w:spacing w:val="0"/>
          <w:sz w:val="16"/>
          <w:szCs w:val="16"/>
        </w:rPr>
        <w:softHyphen/>
        <w:t>новлена в артсамоход, изготовленный заводом № 100. Позже его стали называть ИСУ-152-1 (25437).</w:t>
      </w:r>
    </w:p>
    <w:p w14:paraId="44566A2A" w14:textId="77777777" w:rsidR="006A2469" w:rsidRPr="00C94B78" w:rsidRDefault="006A2469" w:rsidP="00B56F90">
      <w:pPr>
        <w:spacing w:after="0" w:line="240" w:lineRule="auto"/>
        <w:jc w:val="both"/>
        <w:rPr>
          <w:rFonts w:ascii="Times New Roman" w:hAnsi="Times New Roman"/>
          <w:color w:val="0070C0"/>
          <w:sz w:val="16"/>
          <w:szCs w:val="16"/>
        </w:rPr>
      </w:pPr>
    </w:p>
    <w:p w14:paraId="4233AD3E"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1944 года 85 мм пушка С-53 Грабина вытеснила Д-5Т Петрова, став вооружением Т-34-85, а затем и Т-44. Это был реванш ЦАКБ, впрочем, он же оказался и последней крупносерийной пушкой Грабина (25493).</w:t>
      </w:r>
    </w:p>
    <w:p w14:paraId="538A0827" w14:textId="77777777" w:rsidR="006A2469" w:rsidRPr="00C94B78" w:rsidRDefault="006A2469" w:rsidP="00B56F90">
      <w:pPr>
        <w:spacing w:after="0" w:line="240" w:lineRule="auto"/>
        <w:jc w:val="both"/>
        <w:rPr>
          <w:rFonts w:ascii="Times New Roman" w:hAnsi="Times New Roman"/>
          <w:color w:val="0070C0"/>
          <w:sz w:val="16"/>
          <w:szCs w:val="16"/>
        </w:rPr>
      </w:pPr>
    </w:p>
    <w:p w14:paraId="2BFB5A8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ЧКЗ выпустил еще 40 ИС-85, и с 1 марта 1944 г. производство этого тяжелого танка было пре</w:t>
      </w:r>
      <w:r w:rsidRPr="00070ADE">
        <w:rPr>
          <w:rFonts w:ascii="Times New Roman" w:hAnsi="Times New Roman"/>
          <w:color w:val="000000" w:themeColor="text1"/>
          <w:sz w:val="16"/>
          <w:szCs w:val="16"/>
        </w:rPr>
        <w:softHyphen/>
        <w:t>кращено. Несмотря на то что к этому моменту прошел испытания танк КВ-122 и завод настаивал на его выпуске взамен КВ-85, на вооружение он принят не был (11135).</w:t>
      </w:r>
    </w:p>
    <w:p w14:paraId="64CD00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A499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года бронестойкость корпуса ИС-2 пытались повысить, закаливая его на очень высокую твердость, но на практике это привело к резкому увеличению корпусных деталей и удорожанию производственного процесса в целом..</w:t>
      </w:r>
    </w:p>
    <w:p w14:paraId="70AD4B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обстреле на полигоне танка ИС выпуска марта 1944 года из 76-мм пушки ЗИС-3 с дистанции 500 - 600 м его броня проламывалась со всех сторон, причем основная часть бронебойных снарядов за броню не проникала, но вызывала образование больших масс вторичных осколков. Этим фактом также во многом объясняются значительные потери танков ИС-85 и ИС-122 в боях зимы - весны 1944 года. (3862).</w:t>
      </w:r>
    </w:p>
    <w:p w14:paraId="4341DA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3B545B"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1944 года бронестойкость корпуса ИС-2 пытались повысить, закаливая его на очень высокую твердость, но на практике это привело к резкому увеличению хрупкости корпусных деталей. При обстреле на полигоне танка ИС выпуска марта 1944 года из 76-мм пушки ЗИС-3 с дистанции 500 - 600 м его броня проламывалась со всех сторон, причем основная часть бронебойных снарядов за броню не проникала, но вызывала образование больших масс вторичных осколков. Этим фактом также во многом объясняются значительные потери танков ИС-85 и ИС-122 в боях зимы - весны 1944 года (25001).</w:t>
      </w:r>
    </w:p>
    <w:p w14:paraId="4B1FFC7A" w14:textId="77777777" w:rsidR="006A2469" w:rsidRPr="00C94B78" w:rsidRDefault="006A2469" w:rsidP="00B56F90">
      <w:pPr>
        <w:spacing w:after="0" w:line="240" w:lineRule="auto"/>
        <w:jc w:val="both"/>
        <w:rPr>
          <w:rFonts w:ascii="Times New Roman" w:hAnsi="Times New Roman"/>
          <w:color w:val="0070C0"/>
          <w:sz w:val="16"/>
          <w:szCs w:val="16"/>
        </w:rPr>
      </w:pPr>
    </w:p>
    <w:p w14:paraId="5071EB8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зам. начальника бронетанкового управ</w:t>
      </w:r>
      <w:r w:rsidRPr="00070ADE">
        <w:rPr>
          <w:rFonts w:ascii="Times New Roman" w:hAnsi="Times New Roman"/>
          <w:color w:val="000000" w:themeColor="text1"/>
          <w:sz w:val="16"/>
          <w:szCs w:val="16"/>
        </w:rPr>
        <w:softHyphen/>
        <w:t>ления Красной Армии с горечью констатировал: «...к сожа</w:t>
      </w:r>
      <w:r w:rsidRPr="00070ADE">
        <w:rPr>
          <w:rFonts w:ascii="Times New Roman" w:hAnsi="Times New Roman"/>
          <w:color w:val="000000" w:themeColor="text1"/>
          <w:sz w:val="16"/>
          <w:szCs w:val="16"/>
        </w:rPr>
        <w:softHyphen/>
        <w:t>лению, бронирование нового тяжелого танка ИС не делает его непоражаемым от огня известных в настоящее время ка</w:t>
      </w:r>
      <w:r w:rsidRPr="00070ADE">
        <w:rPr>
          <w:rFonts w:ascii="Times New Roman" w:hAnsi="Times New Roman"/>
          <w:color w:val="000000" w:themeColor="text1"/>
          <w:sz w:val="16"/>
          <w:szCs w:val="16"/>
        </w:rPr>
        <w:softHyphen/>
        <w:t>либров немецкой танковой и противотанковой артиллерии... Тогда как требование непоражаемости тяжелого танка с фронтального направления должно быть сохранено хотя бы до дальности 300-400 м при движении под углом ±30°...»</w:t>
      </w:r>
    </w:p>
    <w:p w14:paraId="3D64F2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вот с разрешением этого требования было все не так просто... Дело в том, что особенность бронекорпуса ИС была в том, что он состоял из двух массивных литых броне</w:t>
      </w:r>
      <w:r w:rsidRPr="00070ADE">
        <w:rPr>
          <w:rFonts w:ascii="Times New Roman" w:hAnsi="Times New Roman"/>
          <w:color w:val="000000" w:themeColor="text1"/>
          <w:sz w:val="16"/>
          <w:szCs w:val="16"/>
        </w:rPr>
        <w:softHyphen/>
        <w:t>вых узлов (носа и подбашенной коробки) и сварной броне-коробки из катаных листов на бортах, корме, днище и кры</w:t>
      </w:r>
      <w:r w:rsidRPr="00070ADE">
        <w:rPr>
          <w:rFonts w:ascii="Times New Roman" w:hAnsi="Times New Roman"/>
          <w:color w:val="000000" w:themeColor="text1"/>
          <w:sz w:val="16"/>
          <w:szCs w:val="16"/>
        </w:rPr>
        <w:softHyphen/>
        <w:t>ше. Литой нос теоретически был очень мощным, но на практике пробивался, причем не только из 88-мм танковой и противотанковой пушек обр. 1943 г.</w:t>
      </w:r>
    </w:p>
    <w:p w14:paraId="64C2B5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Опасными были для него и 88-мм пушка танка «Тигр» и 75-мм танка «Пантера». Эта 2,5-тонная деталь седло-винной формы имела ряд уязвимых мест, где могла проби</w:t>
      </w:r>
      <w:r w:rsidRPr="00070ADE">
        <w:rPr>
          <w:rFonts w:ascii="Times New Roman" w:hAnsi="Times New Roman"/>
          <w:color w:val="000000" w:themeColor="text1"/>
          <w:sz w:val="16"/>
          <w:szCs w:val="16"/>
        </w:rPr>
        <w:softHyphen/>
        <w:t>ваться указанными артсистемами с дистанции 500-700 м, а 75-мм пушкой танка Рг IV,и штурмового орудия 8шО 40 - с дистанции 200-300 м.</w:t>
      </w:r>
    </w:p>
    <w:p w14:paraId="1CBDB1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литая подбашенная коробка, равно как и башня, протыкались с дистанции около 500 м и с курсовых углов около 40°. Как говорил в ответ на результаты обстрела Я. Федоренко: «Это обстоятельство никуда не годится!» и потому с марта 1944 г. вопросу усиления броневой защиты танка ИС было уделено самое пристальное внимание (11135).</w:t>
      </w:r>
    </w:p>
    <w:p w14:paraId="345741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7E4F6E" w14:textId="77777777" w:rsidR="00D51E3B" w:rsidRPr="00070ADE" w:rsidRDefault="00D51E3B" w:rsidP="00B56F90">
      <w:pPr>
        <w:pStyle w:val="ae"/>
        <w:shd w:val="clear" w:color="auto" w:fill="FFFFFF"/>
        <w:spacing w:before="0" w:after="0"/>
        <w:jc w:val="both"/>
        <w:rPr>
          <w:color w:val="000000" w:themeColor="text1"/>
          <w:sz w:val="16"/>
          <w:szCs w:val="16"/>
        </w:rPr>
      </w:pPr>
      <w:r w:rsidRPr="00070ADE">
        <w:rPr>
          <w:color w:val="000000" w:themeColor="text1"/>
          <w:sz w:val="16"/>
          <w:szCs w:val="16"/>
        </w:rPr>
        <w:t>Начало 1944 года Танкоград встретил, строя 3 типа танков и 1 тип САУ. Кроме того, перед заводом маячила перспектива производства второй САУ — ИСУ-122. Но постепенно эта непростая ситуация выправлялась. Снижалась загрузка по Т-34: если в декабре 1943 года завод сдал 360 «тридцатьчетвёрок», то в январе 1944 года было 185 таких машин. Произошло такое снижение объёмов после подписания Сталиным 27 декабря 1943 года постановления Государственного комитета обороны (ГКО) №4850сс «Об увеличении производства тяжёлых танков, артиллерийских самоходных установок типа ИС и об обеспечении их артиллерийским вооружением».</w:t>
      </w:r>
    </w:p>
    <w:p w14:paraId="12B9E570" w14:textId="77777777" w:rsidR="00D51E3B" w:rsidRPr="00070ADE" w:rsidRDefault="00D51E3B"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Впрочем, нарастить производство ИС-2 в первом месяце 1944 года всё равно не удалось: из 75 танков ИС, выпущенных за январь 1944 года, 40 были ИС-85. Тем не менее в январе Танкоград начал готовиться к массовому поточному производству тяжёлых танков. Рабочие обучались и готовились к конвейерной сборке ИС и ИСУ.</w:t>
      </w:r>
    </w:p>
    <w:p w14:paraId="00A3AF31" w14:textId="77777777" w:rsidR="00D51E3B" w:rsidRPr="00070ADE" w:rsidRDefault="00D51E3B" w:rsidP="00B56F90">
      <w:pPr>
        <w:pStyle w:val="ae"/>
        <w:shd w:val="clear" w:color="auto" w:fill="FFFFFF"/>
        <w:spacing w:before="0" w:after="0"/>
        <w:jc w:val="both"/>
        <w:rPr>
          <w:color w:val="000000" w:themeColor="text1"/>
          <w:sz w:val="16"/>
          <w:szCs w:val="16"/>
        </w:rPr>
      </w:pPr>
      <w:r w:rsidRPr="00070ADE">
        <w:rPr>
          <w:color w:val="000000" w:themeColor="text1"/>
          <w:sz w:val="16"/>
          <w:szCs w:val="16"/>
        </w:rPr>
        <w:t xml:space="preserve">Параллельно продолжались работы по улучшению качества, здесь ЧКЗ достиг определённых успехов. Впрочем, в отчёте за январь 1944 года старший военпред </w:t>
      </w:r>
      <w:r w:rsidRPr="00070ADE">
        <w:rPr>
          <w:color w:val="000000" w:themeColor="text1"/>
          <w:sz w:val="16"/>
          <w:szCs w:val="16"/>
        </w:rPr>
        <w:lastRenderedPageBreak/>
        <w:t>Технического управления Главного бронетанкового управления Красной армии (ТУ ГБТУ КА) инженер-полковник Давиденко отмечал, что существует масса проблем, прежде всего организационных. По словам военпреда, достаточной борьбы за улучшение качества завод не вёл. Несмотря на наличие ряда протоколов, утверждённых ГБТУ КА и НКТП, конструкторские доработки и переделки в срок не внедрялись.</w:t>
      </w:r>
    </w:p>
    <w:p w14:paraId="22849271" w14:textId="77777777" w:rsidR="00D51E3B" w:rsidRPr="00070ADE" w:rsidRDefault="00D51E3B" w:rsidP="00B56F90">
      <w:pPr>
        <w:pStyle w:val="ae"/>
        <w:shd w:val="clear" w:color="auto" w:fill="FFFFFF"/>
        <w:spacing w:before="0" w:after="0"/>
        <w:jc w:val="both"/>
        <w:rPr>
          <w:color w:val="000000" w:themeColor="text1"/>
          <w:sz w:val="16"/>
          <w:szCs w:val="16"/>
        </w:rPr>
      </w:pPr>
      <w:r w:rsidRPr="00070ADE">
        <w:rPr>
          <w:color w:val="000000" w:themeColor="text1"/>
          <w:sz w:val="16"/>
          <w:szCs w:val="16"/>
        </w:rPr>
        <w:t>Одной из причин подобного положения вещей назывались ненормальные отношения между ЧКЗ и опытным заводом №100. ЧКЗ не хотел дорабатывать конструкции завода №100, а там, в свою очередь, считали, что серийная доработка танка является обязанностью ЧКЗ (17721).</w:t>
      </w:r>
    </w:p>
    <w:p w14:paraId="52F2AFE6" w14:textId="77777777" w:rsidR="00D51E3B" w:rsidRPr="00070ADE" w:rsidRDefault="00D51E3B" w:rsidP="00B56F90">
      <w:pPr>
        <w:spacing w:after="0" w:line="240" w:lineRule="auto"/>
        <w:jc w:val="both"/>
        <w:rPr>
          <w:rFonts w:ascii="Times New Roman" w:eastAsia="Times New Roman" w:hAnsi="Times New Roman"/>
          <w:color w:val="000000" w:themeColor="text1"/>
          <w:sz w:val="16"/>
          <w:szCs w:val="16"/>
          <w:lang w:eastAsia="ru-RU"/>
        </w:rPr>
      </w:pPr>
    </w:p>
    <w:p w14:paraId="4352EE66" w14:textId="77777777" w:rsidR="0035263A" w:rsidRPr="00070ADE" w:rsidRDefault="0035263A" w:rsidP="00B56F90">
      <w:pPr>
        <w:pStyle w:val="a3"/>
        <w:rPr>
          <w:color w:val="000000" w:themeColor="text1"/>
          <w:lang w:val="ru-RU"/>
        </w:rPr>
      </w:pPr>
      <w:r w:rsidRPr="00070ADE">
        <w:rPr>
          <w:color w:val="000000" w:themeColor="text1"/>
          <w:lang w:val="ru-RU"/>
        </w:rPr>
        <w:t>В начале 1944 года директор УЗТМ Б. Г. Музруков создал на заводе «группу завтрашнего дня», задачей которой была подготовка к послевоенному переходу к мирной продукции. В эту группу были включены все основные руководители завода: заместитель директора В. Н. Соловьёв, главный технолог С. И. Самойлов, начальник производства И. С. Исаев, начальник планового отдела В. М. Пескаревич, главный металлург Н. Н. Покалов и другие. Не дожидаясь, пока для завода будет спущен сверху новый план, они готовили свои встречные предложения. Будущая реконверсия промышленности открывала для них уникальные возможности самостоятельно определить будущее своего завода.</w:t>
      </w:r>
    </w:p>
    <w:p w14:paraId="5F908722" w14:textId="77777777" w:rsidR="0035263A" w:rsidRPr="00070ADE" w:rsidRDefault="0035263A" w:rsidP="00B56F90">
      <w:pPr>
        <w:pStyle w:val="a3"/>
        <w:rPr>
          <w:color w:val="000000" w:themeColor="text1"/>
          <w:lang w:val="ru-RU"/>
        </w:rPr>
      </w:pPr>
      <w:r w:rsidRPr="00070ADE">
        <w:rPr>
          <w:color w:val="000000" w:themeColor="text1"/>
          <w:lang w:val="ru-RU"/>
        </w:rPr>
        <w:t>Для реализации этих планов были созданы конструкторские бюро по разработке гражданской продукции.</w:t>
      </w:r>
    </w:p>
    <w:p w14:paraId="469D1983" w14:textId="77777777" w:rsidR="0035263A" w:rsidRPr="00070ADE" w:rsidRDefault="0035263A" w:rsidP="00B56F90">
      <w:pPr>
        <w:pStyle w:val="a3"/>
        <w:rPr>
          <w:color w:val="000000" w:themeColor="text1"/>
          <w:lang w:val="ru-RU"/>
        </w:rPr>
      </w:pPr>
      <w:r w:rsidRPr="00070ADE">
        <w:rPr>
          <w:color w:val="000000" w:themeColor="text1"/>
          <w:lang w:val="ru-RU"/>
        </w:rPr>
        <w:t>Некоторые пункты будущих планов не вызывали никаких сомнений. До войны основной специализацией завода было производство уникального металлургического оборудования. В послевоенный период оно должно было возобновиться. Но вместе с тем руководству завода хотелось использовать свой полученный во время войны опыт серийного производства техники и сохранить полученное во время войны оборудование, которое не могло полностью вписаться в довоенную производственную структуру завода. Возвращаться к довоенной ситуации, когда на заводе производилось 457 типоразмеров различных машин, никому не хотелось. Необходимо было сосредоточиться на более узкой номенклатуре продукции, отдавая предпочтение тем её видам, которые были бы одновременно достаточно сложными, достойными уникальной производственной базы завода, и в то же время - достаточно массовыми. Это должна была быть сложная крупная техника, необходимая в больших количествах.</w:t>
      </w:r>
    </w:p>
    <w:p w14:paraId="13E8A197" w14:textId="77777777" w:rsidR="0035263A" w:rsidRPr="00070ADE" w:rsidRDefault="0035263A" w:rsidP="00B56F90">
      <w:pPr>
        <w:pStyle w:val="a3"/>
        <w:rPr>
          <w:color w:val="000000" w:themeColor="text1"/>
          <w:lang w:val="ru-RU"/>
        </w:rPr>
      </w:pPr>
      <w:r w:rsidRPr="00070ADE">
        <w:rPr>
          <w:color w:val="000000" w:themeColor="text1"/>
          <w:lang w:val="ru-RU"/>
        </w:rPr>
        <w:t>Но что это могло бы быть помимо металлургического оборудования? Нарком В. А. Малышев дал Б. Г. Музрукову совет: заняться проектированием и производством установок глубокого бурения. Он предвидел, что после войны будет начата масштабная программа расширения нефтедобычи. Между тем, установки глубокого бурения в СССР не производились. Их закупки за границей потребуют большого расхода валюты. УЗТМ вполне мог бы производить такую продукцию. В начале 1945 года работники УЗТМ посетили столицу советской нефтедобычи - Баку, где ознакомились с работой буровых установок, и начали готовить собственный проект, максимальная глубина сверления которого достигнет 3 километров.</w:t>
      </w:r>
    </w:p>
    <w:p w14:paraId="5E8BE004" w14:textId="77777777" w:rsidR="0035263A" w:rsidRPr="00070ADE" w:rsidRDefault="0035263A" w:rsidP="00B56F90">
      <w:pPr>
        <w:pStyle w:val="a3"/>
        <w:rPr>
          <w:color w:val="000000" w:themeColor="text1"/>
          <w:lang w:val="ru-RU"/>
        </w:rPr>
      </w:pPr>
      <w:r w:rsidRPr="00070ADE">
        <w:rPr>
          <w:color w:val="000000" w:themeColor="text1"/>
          <w:lang w:val="ru-RU"/>
        </w:rPr>
        <w:t>Нашлась и другая, подходящая с точки зрения новой стратегии руководства завода продукция: сверхмощные экскаваторы для добычи угля и руды. Эти машины тоже закупались до войны за рубежом. Теперь на заводе началось проектирование экскаватора СЭ-3 (скального экскаватора с объёмом ковша 3 кубических метра).</w:t>
      </w:r>
    </w:p>
    <w:p w14:paraId="371DE234" w14:textId="77777777" w:rsidR="0035263A" w:rsidRPr="00070ADE" w:rsidRDefault="0035263A" w:rsidP="00B56F90">
      <w:pPr>
        <w:pStyle w:val="a3"/>
        <w:rPr>
          <w:color w:val="000000" w:themeColor="text1"/>
          <w:lang w:val="ru-RU"/>
        </w:rPr>
      </w:pPr>
      <w:r w:rsidRPr="00070ADE">
        <w:rPr>
          <w:color w:val="000000" w:themeColor="text1"/>
          <w:lang w:val="ru-RU"/>
        </w:rPr>
        <w:t>В результате, когда в конце 1945 года началось формирование единого плана реконструкции промышленности, Музруков смог выступить с собственными обоснованными и продуманными предложениями. Он хотел, чтобы производственная программа завода включала в себя 6 комплектов оборудования для доменных печей, два прокатных стана, 100 скальных экскаваторов, 25 комплектов нефтебуровых установок. Хотя не у всех его предложение встретило тёплый приём, но Музрукову удалось преодолеть негативное отношение к своим проектам и отстоять свою точку зрения на развитие завода (12290).</w:t>
      </w:r>
    </w:p>
    <w:p w14:paraId="107BBC2F" w14:textId="77777777" w:rsidR="0035263A" w:rsidRPr="00070ADE" w:rsidRDefault="0035263A" w:rsidP="00B56F90">
      <w:pPr>
        <w:spacing w:after="0" w:line="240" w:lineRule="auto"/>
        <w:jc w:val="both"/>
        <w:rPr>
          <w:rFonts w:ascii="Times New Roman" w:hAnsi="Times New Roman"/>
          <w:color w:val="000000" w:themeColor="text1"/>
          <w:sz w:val="16"/>
          <w:szCs w:val="16"/>
        </w:rPr>
      </w:pPr>
    </w:p>
    <w:p w14:paraId="75EF220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КБ завода № 9 проработало установку 85-мм танко</w:t>
      </w:r>
      <w:r w:rsidRPr="00070ADE">
        <w:rPr>
          <w:rFonts w:ascii="Times New Roman" w:hAnsi="Times New Roman"/>
          <w:color w:val="000000" w:themeColor="text1"/>
          <w:sz w:val="16"/>
          <w:szCs w:val="16"/>
        </w:rPr>
        <w:softHyphen/>
        <w:t>вой пушки большой мощности Д-5Т-85БМ в опытный тяжелый танк "Объект 244". В связи с появлением 100-мм и 122-мм орудий, предназ</w:t>
      </w:r>
      <w:r w:rsidRPr="00070ADE">
        <w:rPr>
          <w:rFonts w:ascii="Times New Roman" w:hAnsi="Times New Roman"/>
          <w:color w:val="000000" w:themeColor="text1"/>
          <w:sz w:val="16"/>
          <w:szCs w:val="16"/>
        </w:rPr>
        <w:softHyphen/>
        <w:t>начавшихся для установки в тяжелый танк, работы по пушке калибра 85 мм для тяжелых танков были прекращены (10703).</w:t>
      </w:r>
    </w:p>
    <w:p w14:paraId="71F84C6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9866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года при полигонных испытаниях выявились существенные дефекты противооткатных устройств 85-мм танковой пушки С-53. Объединенными усилиями завода № 92 и ЦАКБ пушка была доработана и поставлена на валовое производство под индексом ЗИС-С-53.("С" - индекс ЦАКБ, "ЗИС" - индекс завода № 92 им. Сталина). Пушка ЗИС-С-53 была установлена на большинстве танков Т-34-85, а также на танках Т-44 (3861).</w:t>
      </w:r>
    </w:p>
    <w:p w14:paraId="3A9E87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BBDB5B" w14:textId="77777777" w:rsidR="00DD3F2D" w:rsidRPr="00070ADE" w:rsidRDefault="00DD3F2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Кировский завод получил задание подготовить производство нового двигателя В-11 на 700 л.с. и с июня организовать его серийный выпуск. Наркомат установил, что в 1944 г. этот двигатель должен был стать основным и на его производство во второй половине года должны будут перейти заводы № 76 и № 77. А с 1945 г. выпускать планировалось только В-11[1109].</w:t>
      </w:r>
    </w:p>
    <w:p w14:paraId="3CDB0E98" w14:textId="77777777" w:rsidR="00DD3F2D" w:rsidRPr="00070ADE" w:rsidRDefault="00DD3F2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его запуск в серию затянулся более чем на год. В июне 1944 г. был установлен первый плановый выпуск В-11: 75 моторов в этом месяце. В октябре 1944 г. завод получил новый план запуска В -11 в серийное производство[1110]. Но все они оказались провалены. 29 марта 1945 г. ГКО принял В-11 для нового тяжелого танка ИС-3[1111]. Только в конце апреля 1945 г. полная техническая документация была выдана цехам и производство В-11 всё-таки началось. Фактически Кировский завод смог выпустить только установочную партию[1112]. Поэтому реальной своей роли до конца войны новый двигатель сыграть не успел.</w:t>
      </w:r>
    </w:p>
    <w:p w14:paraId="3ACBC392" w14:textId="77777777" w:rsidR="00DD3F2D" w:rsidRPr="00070ADE" w:rsidRDefault="00DD3F2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Иная судьба была у свердловского варианта. К моменту начала производства двигателя В-2 (конец 1941 г.) конструкторский отдел завода № 76 состоял из 72 человек. Но к апрелю 1943 г. его штат сократился до 17 человек; часть конструкторов ушла на работу в цеха, а часть уволилась с завода. По заявлению главного инженера завода Т.П. Чупахина за два года существования завод ничего нового в дизелестроение не принес и не произвел никаких улучшений серийного дизельного двигателя. Но при этом всю вину возлагать только на конструкторский отдел нельзя. Все попытки конструкторов внести какую-либо новацию, как правило, оканчивались полной неудачей, поскольку присутствовал существенный «тормоз» опытных конструкторских работ: на заводе отсутствовала опытно</w:t>
      </w:r>
      <w:r w:rsidRPr="00070ADE">
        <w:rPr>
          <w:rFonts w:ascii="Times New Roman" w:hAnsi="Times New Roman"/>
          <w:color w:val="000000" w:themeColor="text1"/>
          <w:sz w:val="16"/>
          <w:szCs w:val="16"/>
        </w:rPr>
        <w:softHyphen/>
        <w:t>экспериментальная база, ее дважды пытались создать и оба раза ликвидировали. И в то же время конструкторов часто использовали как резерв рабочей силы на подсобных работах (очистка цехов от стружки, разгрузка угля и т. д.)[1113].</w:t>
      </w:r>
    </w:p>
    <w:p w14:paraId="361A9686" w14:textId="77777777" w:rsidR="00DD3F2D" w:rsidRPr="00070ADE" w:rsidRDefault="00DD3F2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Впоследствии такое тяжелое положение с конструкторской базой и качеством продукции на заводе № 76 было исправлено. К осени 1944 г. завод смог самостоятельно разработать новый тип дизельного двигателя В-14 мощностью 700 л.с., а согласно плану конструкторских работ по наркомату на 1945 г. завод должен был заниматься разработкой другого мощного дизельного двигателя, что было бы невозможно без существования достаточно подготовленной конструкторской базы[1114]. Но до конца войны ни один новый свердловский серийный дизель так и не увидел свет. В ноябре 1944 г. В.А. Малышев отметил, что довести разработку В-14 до конца заводу № 76 все еще не удалось[1115]. И только в конце марта 1945 г. нарком констатировал, что заводские испытания были завершены и назначил на 20 апреля 1945 г. стендовые испытания В-14 на заводе № 100[1116].</w:t>
      </w:r>
    </w:p>
    <w:p w14:paraId="350D6E65" w14:textId="77777777" w:rsidR="00DD3F2D" w:rsidRPr="00070ADE" w:rsidRDefault="00DD3F2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на барнаульском заводе успешно начались испытания нового мотора с насос-форсунками[1117]. К началу 1945 г. эти испытания были признаны успешно законченными, и Наркомат назначил государственные испытание В-16Ф на конец января - начало февраля этого же года[1118]. Следовательно, и свердловское и барнаульское предприятия не могли закончить разработку новых моторов до мая 1945 г. (23536).</w:t>
      </w:r>
    </w:p>
    <w:p w14:paraId="5F50D8C1" w14:textId="77777777" w:rsidR="00DD3F2D" w:rsidRPr="00070ADE" w:rsidRDefault="00DD3F2D" w:rsidP="00B56F90">
      <w:pPr>
        <w:spacing w:after="0" w:line="240" w:lineRule="auto"/>
        <w:jc w:val="both"/>
        <w:rPr>
          <w:rFonts w:ascii="Times New Roman" w:hAnsi="Times New Roman"/>
          <w:color w:val="000000" w:themeColor="text1"/>
          <w:sz w:val="16"/>
          <w:szCs w:val="16"/>
        </w:rPr>
      </w:pPr>
    </w:p>
    <w:p w14:paraId="0A628F03" w14:textId="77777777" w:rsidR="00DD3F2D" w:rsidRPr="00070ADE" w:rsidRDefault="00DD3F2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все дизельные заводы в целом успешно выполняли план выпуска двигателей, но плохо исполняли программу изготовления узлов и заготовок. Поэтому у них не было необходимого задела, что срывало суточный график производства. Отдельно отметим Кировский завод, который неудовлетворительно осуществлял план по узлам и их поставке отдельным заводам, нарушал график сборки и сдачи готовых моторов[1093]. Эта ситуация как нельзя лучше раскрывает «особенности» поставок В-2 заводу № 183.</w:t>
      </w:r>
    </w:p>
    <w:p w14:paraId="021523FC" w14:textId="77777777" w:rsidR="00DD3F2D" w:rsidRPr="00070ADE" w:rsidRDefault="00DD3F2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апреля 1944 г. на свердловском заводе была осуществлена проверка комиссией Наркомата госконтроля СССР, которая вновь выявила множественные недочеты. Основной проблемой стало массовое попадание некондиционных деталей на сборочный участок. А иногда на двигатели устанавливались даже откровенно бракованные детали. С 1 января по 12 марта 1944 г. было выявлено 10 моторов, которые были сняты со стендов и переработаны именно из-за брака. За что начальник ОТК завода Н.П. Левитский получил выговор[1094]. В этой ситуации важно то, завод № 76 не имел четко работающей системы выявления некондиционных и бракованных изделий, которые впоследствии резко снижали работоспособность танкового дизеля (23536).</w:t>
      </w:r>
    </w:p>
    <w:p w14:paraId="00122F60" w14:textId="77777777" w:rsidR="00DD3F2D" w:rsidRPr="00070ADE" w:rsidRDefault="00DD3F2D" w:rsidP="00B56F90">
      <w:pPr>
        <w:spacing w:after="0" w:line="240" w:lineRule="auto"/>
        <w:jc w:val="both"/>
        <w:rPr>
          <w:rFonts w:ascii="Times New Roman" w:hAnsi="Times New Roman"/>
          <w:color w:val="000000" w:themeColor="text1"/>
          <w:sz w:val="16"/>
          <w:szCs w:val="16"/>
        </w:rPr>
      </w:pPr>
    </w:p>
    <w:p w14:paraId="2F8B33D8" w14:textId="77777777" w:rsidR="00DD3F2D" w:rsidRPr="00070ADE" w:rsidRDefault="00DD3F2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начала 1944 года началось настоящее массовое применение М4А2 в КА, когда поставки танков превратились в полноценный поток. За весь 1943 год безвозвратные потери советских М4А2 составили всего 37 танков (23373).</w:t>
      </w:r>
    </w:p>
    <w:p w14:paraId="0A50A815" w14:textId="77777777" w:rsidR="00DD3F2D" w:rsidRPr="00070ADE" w:rsidRDefault="00DD3F2D" w:rsidP="00B56F90">
      <w:pPr>
        <w:spacing w:after="0" w:line="240" w:lineRule="auto"/>
        <w:jc w:val="both"/>
        <w:rPr>
          <w:rFonts w:ascii="Times New Roman" w:hAnsi="Times New Roman"/>
          <w:color w:val="000000" w:themeColor="text1"/>
          <w:sz w:val="16"/>
          <w:szCs w:val="16"/>
        </w:rPr>
      </w:pPr>
    </w:p>
    <w:p w14:paraId="6ECB431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начале 1944 года выпуск ИСУ-152 стал сдерживаться нехваткой орудий МЛ-20. Предвидя такую ситуацию, на артиллерийском заводе № 9 в Свердловске наложили ствол 122-мм корпусной пушки А-19 на люльку орудия МЛ-20С и в результате получили тяжелый артсамоход ИСУ-122 (объект 242). Опытный образец установки в декабре 1943 года проходил испытания на Горо-ховецком полигоне. Постановлением ГКО от 12 марта 1944 года ИСУ-122 была принята на вооружение Красной Армии. Серийное производство машины началось на ЧКЗ с апреля 1944 года и продолжалось до сентября 1945-го. </w:t>
      </w:r>
    </w:p>
    <w:p w14:paraId="06D8CD5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ИСУ-122 представляла собой вариант САУ ИСУ-152, в котором 152-мм гаубица-пушка МЛ-20С была заменена на 122-мм пушку А-19 обр. 1931/37 г. При этом пришлось несколько изменить и подвижную бронировку орудия. Высота линии огня составляла 1790 мм. В мае 1944 года в конструкцию ствола пушки А-19 были внесены изменения, которые нарушили взаимозаменяемость новых стволов с ранее выпущенными. Модернизированное орудие получило наименование «122-мм самоходная пушка обр. 1931/44 г». Оба орудия имели поршневой затвор. Длина ствола составляла 46,3 калибра. Устройство пушки А-19 во многом было одинаково с МЛ-20С. Она отличалась от последней стволом меньшего калибра с увеличенной на 730 мм длиной, отсутствием дульного тормоза и меньшим числом нарезов. Для </w:t>
      </w:r>
      <w:r w:rsidRPr="00070ADE">
        <w:rPr>
          <w:rFonts w:ascii="Times New Roman" w:hAnsi="Times New Roman"/>
          <w:color w:val="000000" w:themeColor="text1"/>
          <w:sz w:val="16"/>
          <w:szCs w:val="16"/>
        </w:rPr>
        <w:lastRenderedPageBreak/>
        <w:t xml:space="preserve">наведения орудия использовались подъемный механизм секторного типа и поворотный механизм винтового типа. Углы вертикальной наводки составляли от -3° до +22°, по горизонтали — в секторе 10°. Для предохранения подъемного механизма от инерционных нагрузок в его конструкцию было введено сдающее звено в виде конусной фрикционной муфты, размещенной между червячным колесом и шестерней подъемного механизма. При стрельбе использовались телескопический прицел СТ-18, который отличался от прицела СТ-10 только нарезкой шкал, и панорамный прицел с полунезависимой или с независимой линией прицеливания (панорама Герца). Дальность стрельбы прямой наводкой составляла 5000 м, наибольшая — 14 300 м. Скорострельность — 2 — 3 выстр./мин. </w:t>
      </w:r>
    </w:p>
    <w:p w14:paraId="464AB80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боекомплект установки входили 30 выстрелов раздельно-гильзового заря¬жания с бронебойно-трассирующим остроголовым снарядом БР-471 и бронебойно-трассирующим снарядом с баллистическим наконечником БР-471 Б, а также осколочно-фугасными пушечными гранатами: цельнокорпусной короткой ОФ-471Н, с привинтной головкой и длинной — ОФ-471. Начальная скорость бронебойного снаряда при массе 25 кг составляла 800 м/с. Дополнительно в боевом отделении укладывались два пистолета-пулемета ППШ (ППС) с боекомплектом 1491 патрон (21 диск) и 25 ручных гранат Ф-1. С октября 1944 года на части машин устанавливался зенитный пулемет ДШК с боекомплектом 250 патронов. В апреле 1944 года в КБ завода № 100 была создана самоходно-артиллерий-ская установка ИСУ-122С (ИСУ-122-2, объект 249), представлявшая собой модернизированный вариант ИСУ-122. В июне установка прошла испытания на АНИОПе в Гороховце, а 22 августа 1944 года была принята на вооружение. В том же месяце начали ее серийное производство на ЧКЗ параллельно с ИСУ-122 и ИСУ-152, которое продолжалось до сентября 1945 года. </w:t>
      </w:r>
    </w:p>
    <w:p w14:paraId="3B81F50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ИСУ-122С была создана на базе ИСУ-122 и отличалась от нее установкой пушки Д-25С обр. 1944 г. с горизонтальным клиновым полуавтоматическим затвором и дульным тормозом. Высота линии огня составляла 1795 мм. Длина ствола — 48 калибров. За счет более компактных противооткатных устройств и казенной части пушки удалось повысить скорострельность — 6 выстр./мин. Углы вертикальной наводки составляли от -3° до +20°, по горизонтали — в секторе 10° (7°— вправо и 3° — влево). Прицелы пушки — телескопический ТШ-17 и панорама Герца. Дальность стрельбы прямой наводкой — 5000 м, максимальная — до 15 000 м. Боекомплект — такой же, как у пушки А-19. Внешне СУ-122С отличалась от СУ-122 стволом орудия и новой литой маской толщиной 120 — 150 мм. </w:t>
      </w:r>
    </w:p>
    <w:p w14:paraId="03A2C2C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1944 по 1947 год было изготовлено 2790 самоходных установок ИСУ-152, 1735 — ИСУ-122 и 675 — ИСУ-122С. Таким образом, суммарный выпуск тяжелых артсамоходов — 5200 штук — превысил число изготовленных тяжелых танков ИС — 4499 единиц. Следует отметить, что, как и в случае с ИС-2, к выпуску самоходных орудий на его базе должен был подключиться Ленинградский Кировский завод. До 9 мая 1945 года там собрали первые пять ИСУ-152, а до конца года — еще сто. В 1946 и 1947 годах производство ИСУ-152 осуществлялось только на ЛКЗ (11638).</w:t>
      </w:r>
    </w:p>
    <w:p w14:paraId="1616F19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93FB2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1944-го лишь 15—20% литых башен Т-34 имели нормальные вязкость, хрупкость и внешний вид (утяжины глубиной более 6 мм, раковины, выкрашивание острых граней отливок), то к концу года от 90 до 95% башен уже полностью отвечали требованиям ОТК (11135).</w:t>
      </w:r>
    </w:p>
    <w:p w14:paraId="6BB6A23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79EC2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начала 1944 г. против ожидания, и до конца войны танк Т-34-85 претерпел довольно большие изменения, кото</w:t>
      </w:r>
      <w:r w:rsidRPr="00070ADE">
        <w:rPr>
          <w:rFonts w:ascii="Times New Roman" w:hAnsi="Times New Roman"/>
          <w:color w:val="000000" w:themeColor="text1"/>
          <w:sz w:val="16"/>
          <w:szCs w:val="16"/>
        </w:rPr>
        <w:softHyphen/>
        <w:t>рые, может быть, не так заметны, но существенны. Во-пер</w:t>
      </w:r>
      <w:r w:rsidRPr="00070ADE">
        <w:rPr>
          <w:rFonts w:ascii="Times New Roman" w:hAnsi="Times New Roman"/>
          <w:color w:val="000000" w:themeColor="text1"/>
          <w:sz w:val="16"/>
          <w:szCs w:val="16"/>
        </w:rPr>
        <w:softHyphen/>
        <w:t>вых, в июле 1944 г. произошла попытка унифицировать от</w:t>
      </w:r>
      <w:r w:rsidRPr="00070ADE">
        <w:rPr>
          <w:rFonts w:ascii="Times New Roman" w:hAnsi="Times New Roman"/>
          <w:color w:val="000000" w:themeColor="text1"/>
          <w:sz w:val="16"/>
          <w:szCs w:val="16"/>
        </w:rPr>
        <w:softHyphen/>
        <w:t>ливки башен танков Т-34-85, разработанных на заводах № 183 (для танка Т-43) и № 112. Попытка увенчалась успе</w:t>
      </w:r>
      <w:r w:rsidRPr="00070ADE">
        <w:rPr>
          <w:rFonts w:ascii="Times New Roman" w:hAnsi="Times New Roman"/>
          <w:color w:val="000000" w:themeColor="text1"/>
          <w:sz w:val="16"/>
          <w:szCs w:val="16"/>
        </w:rPr>
        <w:softHyphen/>
        <w:t>хом, и в серию на заводе № 183, а позднее и для остальных производителей, была принята башня с литой маской тол</w:t>
      </w:r>
      <w:r w:rsidRPr="00070ADE">
        <w:rPr>
          <w:rFonts w:ascii="Times New Roman" w:hAnsi="Times New Roman"/>
          <w:color w:val="000000" w:themeColor="text1"/>
          <w:sz w:val="16"/>
          <w:szCs w:val="16"/>
        </w:rPr>
        <w:softHyphen/>
        <w:t>щиной 90 мм, плавно сбегающей вверху, внизу, справа и сле</w:t>
      </w:r>
      <w:r w:rsidRPr="00070ADE">
        <w:rPr>
          <w:rFonts w:ascii="Times New Roman" w:hAnsi="Times New Roman"/>
          <w:color w:val="000000" w:themeColor="text1"/>
          <w:sz w:val="16"/>
          <w:szCs w:val="16"/>
        </w:rPr>
        <w:softHyphen/>
        <w:t>ва к толщине 52-мм. Остальные изменения в башню были внесены по типу ранее введенных на заводе № 112. Во-вторых, в августе 1944 г. для унификации с танком Т-44А в тан</w:t>
      </w:r>
      <w:r w:rsidRPr="00070ADE">
        <w:rPr>
          <w:rFonts w:ascii="Times New Roman" w:hAnsi="Times New Roman"/>
          <w:color w:val="000000" w:themeColor="text1"/>
          <w:sz w:val="16"/>
          <w:szCs w:val="16"/>
        </w:rPr>
        <w:softHyphen/>
        <w:t>ке Т-34-85 была введена командирская башенка с толщи</w:t>
      </w:r>
      <w:r w:rsidRPr="00070ADE">
        <w:rPr>
          <w:rFonts w:ascii="Times New Roman" w:hAnsi="Times New Roman"/>
          <w:color w:val="000000" w:themeColor="text1"/>
          <w:sz w:val="16"/>
          <w:szCs w:val="16"/>
        </w:rPr>
        <w:softHyphen/>
        <w:t>ной стенок 75-мм вместо 52-мм (11135).</w:t>
      </w:r>
    </w:p>
    <w:p w14:paraId="586460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EC37EB" w14:textId="77777777" w:rsidR="006A2469" w:rsidRPr="00C94B78" w:rsidRDefault="006A246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w:t>
      </w:r>
      <w:r w:rsidRPr="00C94B78">
        <w:rPr>
          <w:rFonts w:ascii="Times New Roman" w:hAnsi="Times New Roman"/>
          <w:color w:val="0070C0"/>
          <w:sz w:val="16"/>
          <w:szCs w:val="16"/>
        </w:rPr>
        <w:softHyphen/>
        <w:t>чале 1944 года были проведены расчеты воз</w:t>
      </w:r>
      <w:r w:rsidRPr="00C94B78">
        <w:rPr>
          <w:rFonts w:ascii="Times New Roman" w:hAnsi="Times New Roman"/>
          <w:color w:val="0070C0"/>
          <w:sz w:val="16"/>
          <w:szCs w:val="16"/>
        </w:rPr>
        <w:softHyphen/>
        <w:t>можного усиления броневой защиты Т-34</w:t>
      </w:r>
      <w:r w:rsidRPr="00C94B78">
        <w:rPr>
          <w:rFonts w:ascii="Times New Roman" w:hAnsi="Times New Roman"/>
          <w:color w:val="0070C0"/>
          <w:sz w:val="16"/>
          <w:szCs w:val="16"/>
        </w:rPr>
        <w:softHyphen/>
        <w:t>85 без усиления массы машины (25012).</w:t>
      </w:r>
    </w:p>
    <w:p w14:paraId="2C29F5BC" w14:textId="77777777" w:rsidR="006A2469" w:rsidRPr="00C94B78" w:rsidRDefault="006A2469" w:rsidP="00B56F90">
      <w:pPr>
        <w:spacing w:after="0" w:line="240" w:lineRule="auto"/>
        <w:jc w:val="both"/>
        <w:rPr>
          <w:rFonts w:ascii="Times New Roman" w:hAnsi="Times New Roman"/>
          <w:color w:val="0070C0"/>
          <w:sz w:val="16"/>
          <w:szCs w:val="16"/>
        </w:rPr>
      </w:pPr>
    </w:p>
    <w:p w14:paraId="0DDA7FB2"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w:t>
      </w:r>
    </w:p>
    <w:p w14:paraId="1261834B"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Отчет спецлаборатории НКВ № 101-1 по теме:</w:t>
      </w:r>
    </w:p>
    <w:p w14:paraId="41F68D7E"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ИЗУЧЕНИЕ ОСОБЕННОСТЕЙ ПОРАЖЕНИЯ ТОПЛИВНЫХ БАКОВ ТАНКА Т-34 БРОНЕБОЙНО-ФУГАСНЫМИ И КОМУЛЯТИВНЫМИ (БРОНЕПРОЖИГАЮЩИМИ) БОЕПРИПАСАМИ ГЕРМАНСКОЙ ФАШИСТСКОЙ АРМИИ.</w:t>
      </w:r>
    </w:p>
    <w:p w14:paraId="2A9EEBEC"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 исполнители: Розов, Каминский, Шуров Руководитель: Сарафанов</w:t>
      </w:r>
    </w:p>
    <w:p w14:paraId="2DCD8BB6"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История вопроса</w:t>
      </w:r>
    </w:p>
    <w:p w14:paraId="417589D4"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боях весны-лета 1943 г. командующие танк. армиями, командиры танк. корпусов и тбр начали отмечать участившиеся случаи гибели танков Т-34 в боях, происходящие с взрывом топливных баков, или пожаром боевого отделения… Например, случи пожара танков Т-34 в боях лета 1943 г. под Курском, превысили случаи пожара танков Т-70 на 4-9%… По распоряжению нач. БТУ ГБТУ Красной Армии инженер-полковника Афонина 11 сент. 1943 г. была образована комиссия для изучения данного вопроса. Наша группа занималась изучением возможностей взрыва топливного бака Т-34 при применении различных бронебойных средств и оценкой его возможного воздействия на экипаж и внутр. оборудование…</w:t>
      </w:r>
    </w:p>
    <w:p w14:paraId="55355325"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Постановка задачи</w:t>
      </w:r>
    </w:p>
    <w:p w14:paraId="79C39711"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Осмотр комиссией на базах СПАМ 72 уничтоженных в ходе боев на Курском выступе боевых машин показал, что большинство из них (68%) уничтожены пожаром, возникшим в результате разгерметизации топливного бака и последующего воспламенения дизельного топлива. Все указанные танки имеют поражение борта или подкрылка танка бронебойным , бронепрожигающим снарядом, или же подрывом фугаса… Приблизительно у трети указанных танков отсутствует один или два топливных бака и имеются разрушения внутри танка, или частичное или полное разрушение сварных швов корпуса, произошедшее в результате внутреннего взрыва. Лишь небольшая часть танков (8%) имеют следы внутреннего взрыва со следами пожара. Тогда как 24% боевых машин уничтожено только вследствие внутреннего взрыва, причем никаких следов пожара в них не обнаружено. Часто даже боезапас полностью сохранен в укладках. Согласно полученному распоряжению, наша группа исследовала именно этот вид поражения – взрыв топливного бака … Члены комиссии инж-полковник Гуров и доц МВТУ Крутов после осмотра последствий взорванных танков предположили, что указанные повреждения наносятся в результате взрыва передних топливных баков, расположенных в БО Т-34 после воздействия на них каких-то германских специфических боеприпасов. Инж-майор Фирсов высказал мнение, что подобный взрыв топливного бака может произойти в результате разрыва внутри бака высокотемпературного боеприпаса на основе термита или электрона — Группа тов. Сарафанова получила задание лично от нач. ГБТУ исследовать возможности возникновения детонации топлива в баках Т-34 при попадании в него различных типов противотанковых боеприпасов германской фашистской армии. …</w:t>
      </w:r>
    </w:p>
    <w:p w14:paraId="5F876534"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Оборудование для проведения исследований</w:t>
      </w:r>
    </w:p>
    <w:p w14:paraId="684269CF"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Для проверки предположений тт. Гурова, Фирсова и Крутова, силами НИИ-48 и Уралмашзавода из броневой стали толщиной 35 мм было построено три натурных макета секций корпуса танка Т-34 с установленным внутри топливным баком емк. 135 л. (см. черт .2), также согласно сопроводит. Письму № 312-а от 21.1У-44 г. БТ управлением на полигон был поставлен корпус танка Т-34 с башней и установленным внутри оборудованием, но без вооружения. </w:t>
      </w:r>
    </w:p>
    <w:p w14:paraId="56E215F2"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Проведение натурных экспериментов.</w:t>
      </w:r>
    </w:p>
    <w:p w14:paraId="3A70C665"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Первый обстрел натурных макетов осуществлялся 12/Х11-43 г. из баллистического ствола 75-мм противотанкового орудия обр. 40 г. с расстояния 30 м. 1. В ходе испытания топливный бак был заполнен полностью дизельным топливом, полученным по сопроводит. письму тов. Афонина от 5/Х11. Всего израсходовано 8 снарядов обр. 38, 5 снарядов обр. 39/40 и 5 бронепрожигающих. Результаты показаны следущие… В ходе проведения испытаний бак был полностью разрушен 3 раза, 4 раза дизельное топливо загоралось… Взрывов зафиксировано не было. При попадании в бак осколков снаряда обр 39/40, последние испытывали резкое торможение. Многие осколки не пробивали бака насквозь… Выводы: Заполненный бак танка Т-34 не может быть источником внутреннего взрыва танка Т-34, но служит даже защитой от осколков брони и сердечников снарядов обр 39/40. 2. Поскольку тов. Крутов высказывал мнение, что бензин также не может взрываться, если бак будет заполнен, с санкции тов. Федина в секцию был установлен бак с бензином. По которому было произведено 3 выстрела снарядом обр 38 и 1 бронепрожигающим. Взрывов не зафиксировано, в 2 случаях бензин загорелся.</w:t>
      </w:r>
    </w:p>
    <w:p w14:paraId="1377F699"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Второй этап испытаний начат 9/11-44 г. Для проведения испытаний использовалось то же оружие, но дополненное 88-мм динамо-реактивной пушкой обр. 43 г., стреляющей 88-мм бронепрожигающими минами. Согласно утвержденной программе испытаниям подвергались баки, заполненные не полностью. При этом до проведения испытаний обстрелом плотно закрытый бак возился в кузове грузовой машины по проселочной дороге в течение 1-2 часов, после чего топливо сливалось из него согласно прилагаемой схеме и бак устанавливался на макете… … 4 серия выстрелов. Заполненность бака на 10-25% Взрыв бака вызывает попадание в него комулятивной струи при заполненности от 25% и менее. Эквивалент разрывной мощи составил около 30-50 гр тротила. Выбило крышку люка на крыше макета, предназначенную для загрузки топливного бака. В случае заполненности бензином фугасность смеси уменьшается в среднем в 1,5 раза по сравнению с дизельным топливом. Детонация бака вызвала открывание крышки люка. Сварные швы макета остались целыми. … Иная картина наблюдается при разрыве внутри незаполненного бака фугасной части 75-мм бронебойного снаряда с красным кольцом, имеющего снаряжение из 80 гр. тротила с детонатором из 20 гр. флегматизированного тэна в алюминиевом стакане. В этом случае, фугасное действие снаряда резко (в несколько раз) усиливается. Возникшей при взрыве бака детонацией разрушены сварные швы дна подкрылка, после чего образовавшейся ударной волной дно было вырвано и частично разрушена крыша макета. Макет приведен в нерабочее состояние. …</w:t>
      </w:r>
    </w:p>
    <w:p w14:paraId="7C3C0041"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Выводы:</w:t>
      </w:r>
    </w:p>
    <w:p w14:paraId="24E2B20E"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Наилучшее соотношение для детонации топливного бака Т-34 вызывается при его заполнении топливом на 10-15 % от объема и при разрыве внутри бака бронебойного снаряда обр. 38 «рот», содержащего 80 гр тротила и 20 гр. флегматизированного тэна. Разыв вызывает немедленную детонацию паров топлива, которая складывается </w:t>
      </w:r>
      <w:r w:rsidRPr="00070ADE">
        <w:rPr>
          <w:rFonts w:ascii="Times New Roman" w:hAnsi="Times New Roman"/>
          <w:color w:val="000000" w:themeColor="text1"/>
          <w:sz w:val="16"/>
          <w:szCs w:val="16"/>
        </w:rPr>
        <w:lastRenderedPageBreak/>
        <w:t>с действием снаряда, усиливая его мошность в 2-4 раза, что соответствует воздействию 105-122 мм бронебойного снаряда. Еще лучшее суммарное фугасное действие получается при разрыве в баке отчеств. 76,2-мм бронебойного снаряда БР-350А, содержащего 150 гр тротила, которое в сумме соответствует 152-мм бронебойному снаряду типа БР-540Б, содержащего 400 гр тротила. С уменьшением калибра бронебойного боеприпаса вероятность взрыва бака резко снижается. 37-мм и 45-мм бронебойные снаряды практически не вызывают детонации топливного бака Т-34… Следует отметить, что увеличение калибра бронебойного боеприпаса не приводит к значительному росту фугасного могущества боерпипаса, взорванного внутри бака. Оптимально для детонации баков наличие 75-85-мм боеприпаса, содержащего 50-100 гр. тротила, или меньшее количество более сильных бризантных веществ (например, 30-80 гр. смеси А-1Х-2, или 25-50 гр. флегматиз. гексогена). При этом емкость бака должна быть не менее 100 л. 30-50 л. емкости не создают значительного усиления фугасности бронебойного боеприпаса. … Меры противодействия: 1. Не допускать размещения топливных баков в боевом отделении танка. 2. В ходе боя расходовать сначала топливо из задних баков, так как их поражение не так вероятно 3. Стараться конструкционными мерами уменьшить скопление топливных паров и образование внутри бака топливных паров высокой концентрации. Например, ввести подачу топлива из баков замещением его негорючей жидкостью, или газом, не поддерживающим горение… Организовать продувку перед боем топливных баков углекислотой, выхлопными газами, или же вести постоянную вентиляцию передних баков. 4. Уменьшить объем топливных баков внутри боевого отделения Т-34 по крайней мере вдвое. 5. Размещать топливные баки за герметичными броневыми выгородками…</w:t>
      </w:r>
    </w:p>
    <w:p w14:paraId="27D5810E"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Розанов (так в документе, М.С.) Каминский Щуров</w:t>
      </w:r>
    </w:p>
    <w:p w14:paraId="44C4B1E1"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гр. Сарафанов (23402).</w:t>
      </w:r>
    </w:p>
    <w:p w14:paraId="48E8DCA1" w14:textId="77777777" w:rsidR="00A822F4" w:rsidRPr="00070ADE" w:rsidRDefault="00A822F4" w:rsidP="00B56F90">
      <w:pPr>
        <w:spacing w:after="0" w:line="240" w:lineRule="auto"/>
        <w:jc w:val="both"/>
        <w:rPr>
          <w:rFonts w:ascii="Times New Roman" w:hAnsi="Times New Roman"/>
          <w:color w:val="000000" w:themeColor="text1"/>
          <w:sz w:val="16"/>
          <w:szCs w:val="16"/>
        </w:rPr>
      </w:pPr>
    </w:p>
    <w:p w14:paraId="1DE4E4F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на опытном среднем танке Т-44 была установлена 122-мм пушка Д-25Т-44, которая отличалась от 122-мм пушки Д-25Т тяжелого танка ИС-2 меньшей массой откатных частей и возможностью стрельбы унитарным выстрелом с уменьшенным зарядом. Неудачные результаты испытаний орудия, малый боекомплект (24 выстрела) и стесненные условия работы заряжающего в боевом отделении привели к отказу от установки 122-мм пушки в средний танк (10703).</w:t>
      </w:r>
    </w:p>
    <w:p w14:paraId="712F9F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FA99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вышло распоряжение начальника ГАБТУ Федоренко о передаче всех СУ-76И из боевых подразделений в учебные и о замене их на СУ-76М.В учебных подразделениях эти боевые машины встречались до конца 1945 г., после чего были сданы на металлолом. В Кубинке действующий образец СУ-76И просуществовал довольно долго и был списан в 1968 г. До наших дней уцелел единственный образец СУ-76И. Почти 30 лет он пролежал на дне реки Случь, затем был поднят и установлен как памятник в городе Сарны Ровенской области на Украине, где и находится до сих пор (9695).</w:t>
      </w:r>
    </w:p>
    <w:p w14:paraId="0AD806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8D7CEC" w14:textId="77777777" w:rsidR="00D86EA0" w:rsidRPr="00070ADE" w:rsidRDefault="00D86EA0" w:rsidP="00B56F90">
      <w:pPr>
        <w:pStyle w:val="book"/>
        <w:ind w:firstLine="0"/>
        <w:jc w:val="both"/>
        <w:rPr>
          <w:color w:val="000000" w:themeColor="text1"/>
          <w:sz w:val="16"/>
          <w:szCs w:val="16"/>
        </w:rPr>
      </w:pPr>
      <w:r w:rsidRPr="00070ADE">
        <w:rPr>
          <w:color w:val="000000" w:themeColor="text1"/>
          <w:sz w:val="16"/>
          <w:szCs w:val="16"/>
        </w:rPr>
        <w:t>В начале 1944 г. вышло распоряжение начальника ГАБТУ Федоренко о передаче всех СУ-76И из боевых подразделений в учебные и о замене их на СУ-76М. В учебных подразделениях эти боевые машины встречались до конца 1945 г., после чего были сданы на металлолом. На полигоне в Кубинке действующий образец СУ-76И просуществовал довольно долго и был списан в 1968 г. До наших дней уцелели лишь два экземпляра СУ-76И. Первый почти 30 лет пролежал на дне реки Случь, затем был поднят и установлен как памятник в городе Сарны Ровенской области на Украине, а второй находится в музее Великой Отечественной войны на Поклонной горе в Москве (15225).</w:t>
      </w:r>
    </w:p>
    <w:p w14:paraId="7AFE3BA1" w14:textId="77777777" w:rsidR="00D86EA0" w:rsidRPr="00070ADE" w:rsidRDefault="00D86EA0" w:rsidP="00B56F90">
      <w:pPr>
        <w:pStyle w:val="book"/>
        <w:ind w:firstLine="0"/>
        <w:jc w:val="both"/>
        <w:rPr>
          <w:color w:val="000000" w:themeColor="text1"/>
          <w:sz w:val="16"/>
          <w:szCs w:val="16"/>
        </w:rPr>
      </w:pPr>
    </w:p>
    <w:p w14:paraId="06427DC9"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начале 1944 г. вышло распоряжение начальника ГАБТУ Федоре нко о передаче всех СУ-76И из боевых подразделений в учебные и о замене их на СУ-76М. В учебных подразделениях эти боевые машины встречались до конца 1945 г., после чего были сданы на металлолом. На полигоне в Кубинке действующий образец СУ-76И просуществовал довольно долго и был списан в 1968 г. До наших дней уцелели лишь два экземпляра СУ-76И. Первый почти 30 лет пролежал на дне реки Случь, затем был поднят и установлен как памятник в городе Сарны Ровенской области на Украине, а второй находится в музее Великой Отечественной войны на Поклонной горе в Москве. 16 марта 1943 г. в боях под Балатоном в составе 366-го гвардейского тяжелою самоходно-артиллерийского полка имелось 12 трофейных САУ и две «Пантеры». Замечу, что писать об использовании германского трофейного имущества в Красной армии в 1941—1945 гг. непросто. И дело не только в том, что значительная часть документов войны в Подольском и иных архивах до сих нор хранится под грифом «секретно». </w:t>
      </w:r>
      <w:r w:rsidRPr="00070ADE">
        <w:rPr>
          <w:rStyle w:val="a7"/>
          <w:rFonts w:ascii="Times New Roman" w:hAnsi="Times New Roman"/>
          <w:b w:val="0"/>
          <w:color w:val="000000" w:themeColor="text1"/>
          <w:sz w:val="16"/>
          <w:szCs w:val="16"/>
        </w:rPr>
        <w:t>Еще хуже, что советские, равно как и германские, командиры тщательно скрывали наличие трофеев в своих частях. Причем ни у них, ни у нас это не было связано с какой-либо идеологией (12687).</w:t>
      </w:r>
    </w:p>
    <w:p w14:paraId="3FE049E2" w14:textId="77777777" w:rsidR="0035263A" w:rsidRPr="00070ADE" w:rsidRDefault="0035263A" w:rsidP="00B56F90">
      <w:pPr>
        <w:spacing w:after="0" w:line="240" w:lineRule="auto"/>
        <w:jc w:val="both"/>
        <w:rPr>
          <w:rFonts w:ascii="Times New Roman" w:hAnsi="Times New Roman"/>
          <w:color w:val="000000" w:themeColor="text1"/>
          <w:sz w:val="16"/>
          <w:szCs w:val="16"/>
        </w:rPr>
      </w:pPr>
    </w:p>
    <w:p w14:paraId="1A7F2FF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началу 1944 г. практически все производители легких танков типа Т-70 (ГАЗ, завод № 38 в Кирове и завод № 40 в Мытищах) были переведены на выпуск легких СУ-76 (СУ-15М), а поскольку генеральный конструктор указанной САУ М.Н. Щукин назначался главным конструктором восстанав</w:t>
      </w:r>
      <w:r w:rsidRPr="00070ADE">
        <w:rPr>
          <w:rFonts w:ascii="Times New Roman" w:hAnsi="Times New Roman"/>
          <w:color w:val="000000" w:themeColor="text1"/>
          <w:sz w:val="16"/>
          <w:szCs w:val="16"/>
        </w:rPr>
        <w:softHyphen/>
        <w:t>ливаемого в Харькове танкового завода № 75 (бывший ХПЗ им. Коминтерна), головным предприятием по СУ-76 с 1 ян</w:t>
      </w:r>
      <w:r w:rsidRPr="00070ADE">
        <w:rPr>
          <w:rFonts w:ascii="Times New Roman" w:hAnsi="Times New Roman"/>
          <w:color w:val="000000" w:themeColor="text1"/>
          <w:sz w:val="16"/>
          <w:szCs w:val="16"/>
        </w:rPr>
        <w:softHyphen/>
        <w:t>варя 1944 г. становился Горьковский автозавод, и главным конструктором по данной САУ был назначен Н.А. Астров.</w:t>
      </w:r>
    </w:p>
    <w:p w14:paraId="1C6071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Здесь еще в конце 1943 г. велись множественные доработ</w:t>
      </w:r>
      <w:r w:rsidRPr="00070ADE">
        <w:rPr>
          <w:rFonts w:ascii="Times New Roman" w:hAnsi="Times New Roman"/>
          <w:color w:val="000000" w:themeColor="text1"/>
          <w:sz w:val="16"/>
          <w:szCs w:val="16"/>
        </w:rPr>
        <w:softHyphen/>
        <w:t>ки конструкции машины, направленные на улучшение ее ра</w:t>
      </w:r>
      <w:r w:rsidRPr="00070ADE">
        <w:rPr>
          <w:rFonts w:ascii="Times New Roman" w:hAnsi="Times New Roman"/>
          <w:color w:val="000000" w:themeColor="text1"/>
          <w:sz w:val="16"/>
          <w:szCs w:val="16"/>
        </w:rPr>
        <w:softHyphen/>
        <w:t>ботоспособности, упрощение трудоемкости изготовления, снижения цены. В частности, были доработаны системы пи</w:t>
      </w:r>
      <w:r w:rsidRPr="00070ADE">
        <w:rPr>
          <w:rFonts w:ascii="Times New Roman" w:hAnsi="Times New Roman"/>
          <w:color w:val="000000" w:themeColor="text1"/>
          <w:sz w:val="16"/>
          <w:szCs w:val="16"/>
        </w:rPr>
        <w:softHyphen/>
        <w:t>тания и охлаждения двигателя, немного изменена компонов</w:t>
      </w:r>
      <w:r w:rsidRPr="00070ADE">
        <w:rPr>
          <w:rFonts w:ascii="Times New Roman" w:hAnsi="Times New Roman"/>
          <w:color w:val="000000" w:themeColor="text1"/>
          <w:sz w:val="16"/>
          <w:szCs w:val="16"/>
        </w:rPr>
        <w:softHyphen/>
        <w:t>ка боевого отделения, увеличен объем топливного бака, уве</w:t>
      </w:r>
      <w:r w:rsidRPr="00070ADE">
        <w:rPr>
          <w:rFonts w:ascii="Times New Roman" w:hAnsi="Times New Roman"/>
          <w:color w:val="000000" w:themeColor="text1"/>
          <w:sz w:val="16"/>
          <w:szCs w:val="16"/>
        </w:rPr>
        <w:softHyphen/>
        <w:t>личен возимый боекомплект. Такая доработанная машина получила войсковой индекс СУ-76М и была принята на во</w:t>
      </w:r>
      <w:r w:rsidRPr="00070ADE">
        <w:rPr>
          <w:rFonts w:ascii="Times New Roman" w:hAnsi="Times New Roman"/>
          <w:color w:val="000000" w:themeColor="text1"/>
          <w:sz w:val="16"/>
          <w:szCs w:val="16"/>
        </w:rPr>
        <w:softHyphen/>
        <w:t>оружение еще до завершения приемочных испытаний.</w:t>
      </w:r>
    </w:p>
    <w:p w14:paraId="3AF2C4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Новая модификация оказалась проще предшествующей, что позволило примерно на четверть поднять удельный вы</w:t>
      </w:r>
      <w:r w:rsidRPr="00070ADE">
        <w:rPr>
          <w:rFonts w:ascii="Times New Roman" w:hAnsi="Times New Roman"/>
          <w:color w:val="000000" w:themeColor="text1"/>
          <w:sz w:val="16"/>
          <w:szCs w:val="16"/>
        </w:rPr>
        <w:softHyphen/>
        <w:t>пуск легких САУ. Машины шли на оснащение не только лег</w:t>
      </w:r>
      <w:r w:rsidRPr="00070ADE">
        <w:rPr>
          <w:rFonts w:ascii="Times New Roman" w:hAnsi="Times New Roman"/>
          <w:color w:val="000000" w:themeColor="text1"/>
          <w:sz w:val="16"/>
          <w:szCs w:val="16"/>
        </w:rPr>
        <w:softHyphen/>
        <w:t>ких САП, но также истребительно-противотанковых подраз</w:t>
      </w:r>
      <w:r w:rsidRPr="00070ADE">
        <w:rPr>
          <w:rFonts w:ascii="Times New Roman" w:hAnsi="Times New Roman"/>
          <w:color w:val="000000" w:themeColor="text1"/>
          <w:sz w:val="16"/>
          <w:szCs w:val="16"/>
        </w:rPr>
        <w:softHyphen/>
        <w:t>делений и частей. В эксплуатации они были очень неприхот</w:t>
      </w:r>
      <w:r w:rsidRPr="00070ADE">
        <w:rPr>
          <w:rFonts w:ascii="Times New Roman" w:hAnsi="Times New Roman"/>
          <w:color w:val="000000" w:themeColor="text1"/>
          <w:sz w:val="16"/>
          <w:szCs w:val="16"/>
        </w:rPr>
        <w:softHyphen/>
        <w:t>ливы, просты в освоении личным составом, подвижны и ма-невренны во время маршей. Несмотря на то, что максималь</w:t>
      </w:r>
      <w:r w:rsidRPr="00070ADE">
        <w:rPr>
          <w:rFonts w:ascii="Times New Roman" w:hAnsi="Times New Roman"/>
          <w:color w:val="000000" w:themeColor="text1"/>
          <w:sz w:val="16"/>
          <w:szCs w:val="16"/>
        </w:rPr>
        <w:softHyphen/>
        <w:t>ная скорость СУ-76М была ниже, чем у Т-34, благодаря бо</w:t>
      </w:r>
      <w:r w:rsidRPr="00070ADE">
        <w:rPr>
          <w:rFonts w:ascii="Times New Roman" w:hAnsi="Times New Roman"/>
          <w:color w:val="000000" w:themeColor="text1"/>
          <w:sz w:val="16"/>
          <w:szCs w:val="16"/>
        </w:rPr>
        <w:softHyphen/>
        <w:t>лее удачному распределению передач подвижность полков СУ-76 была выше, чем большинства иных танков и САУ.</w:t>
      </w:r>
    </w:p>
    <w:p w14:paraId="0E5681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то, что разрабатывались СУ-76 и СУ-76М как самоходные дивизионные орудия поддержки, исполь</w:t>
      </w:r>
      <w:r w:rsidRPr="00070ADE">
        <w:rPr>
          <w:rFonts w:ascii="Times New Roman" w:hAnsi="Times New Roman"/>
          <w:color w:val="000000" w:themeColor="text1"/>
          <w:sz w:val="16"/>
          <w:szCs w:val="16"/>
        </w:rPr>
        <w:softHyphen/>
        <w:t>зовались они, особенно первое время, преимущественно, как танки без башни. Большинство командиров танковых соединений, получив для поддержки САПы, не имели представления о тактике использования самоходных орудий и часто посылали эти части на убой. СУ-76 проводили фронтальные атаки немецких укреплений, броней при</w:t>
      </w:r>
      <w:r w:rsidRPr="00070ADE">
        <w:rPr>
          <w:rFonts w:ascii="Times New Roman" w:hAnsi="Times New Roman"/>
          <w:color w:val="000000" w:themeColor="text1"/>
          <w:sz w:val="16"/>
          <w:szCs w:val="16"/>
        </w:rPr>
        <w:softHyphen/>
        <w:t>крывая атакующую пехоту, использовались и для противо</w:t>
      </w:r>
      <w:r w:rsidRPr="00070ADE">
        <w:rPr>
          <w:rFonts w:ascii="Times New Roman" w:hAnsi="Times New Roman"/>
          <w:color w:val="000000" w:themeColor="text1"/>
          <w:sz w:val="16"/>
          <w:szCs w:val="16"/>
        </w:rPr>
        <w:softHyphen/>
        <w:t>танковой обороны на совершенно неприспособленных участках, контратаковали немецкие танки (!) и т.д.</w:t>
      </w:r>
    </w:p>
    <w:p w14:paraId="27A87B9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Малограмотная тактика применения САП вызывала негативное отношение к машине и у воевавших на ней. На языке солдат за СУ-76М закрепились весьма нелестные прозвища: «сучка», «пукалка», «старая девка», «братская могила», «голозадый Фердинанд» и т.п. Многие танкисты не любили свои боевые машины, мечтая пересесть куда-нибудь, где броня покрепче, но и пересаживаясь на СУ-85, не чувствовали облегчения.</w:t>
      </w:r>
    </w:p>
    <w:p w14:paraId="059B25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Автор беседовал с многими ветеранами и в очередной раз убедился, что все, ругавшие СУ-76, были танкистами, мало воевавшими в ней или подбитыми в первых боях и пере</w:t>
      </w:r>
      <w:r w:rsidRPr="00070ADE">
        <w:rPr>
          <w:rFonts w:ascii="Times New Roman" w:hAnsi="Times New Roman"/>
          <w:color w:val="000000" w:themeColor="text1"/>
          <w:sz w:val="16"/>
          <w:szCs w:val="16"/>
        </w:rPr>
        <w:softHyphen/>
        <w:t>севшими на другие боевые машины. Их критика отличалась некоей огульностью. «Машина — дерьмо!»— говорили они и переводили разговор на другие темы. А из конкретики приводили тривиальные доводы: броня тонкая, крыши нет, питается бензином, пушка слабая. И все!</w:t>
      </w:r>
    </w:p>
    <w:p w14:paraId="2BF2F11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те, кто имел честь длительное время воевать на СУ-76 (особенно механики-водители), неизменно отзыва</w:t>
      </w:r>
      <w:r w:rsidRPr="00070ADE">
        <w:rPr>
          <w:rFonts w:ascii="Times New Roman" w:hAnsi="Times New Roman"/>
          <w:color w:val="000000" w:themeColor="text1"/>
          <w:sz w:val="16"/>
          <w:szCs w:val="16"/>
        </w:rPr>
        <w:softHyphen/>
        <w:t>лись о своей машине положительно. И клички машине дава</w:t>
      </w:r>
      <w:r w:rsidRPr="00070ADE">
        <w:rPr>
          <w:rFonts w:ascii="Times New Roman" w:hAnsi="Times New Roman"/>
          <w:color w:val="000000" w:themeColor="text1"/>
          <w:sz w:val="16"/>
          <w:szCs w:val="16"/>
        </w:rPr>
        <w:softHyphen/>
        <w:t>ли ласковые: «Ласточка», «Сухарик», «Снежинка», «Колом</w:t>
      </w:r>
      <w:r w:rsidRPr="00070ADE">
        <w:rPr>
          <w:rFonts w:ascii="Times New Roman" w:hAnsi="Times New Roman"/>
          <w:color w:val="000000" w:themeColor="text1"/>
          <w:sz w:val="16"/>
          <w:szCs w:val="16"/>
        </w:rPr>
        <w:softHyphen/>
        <w:t>бина», и даже «Суворочка». Это не считая массы женских имен, которыми нарекали свои боевые машины их коман</w:t>
      </w:r>
      <w:r w:rsidRPr="00070ADE">
        <w:rPr>
          <w:rFonts w:ascii="Times New Roman" w:hAnsi="Times New Roman"/>
          <w:color w:val="000000" w:themeColor="text1"/>
          <w:sz w:val="16"/>
          <w:szCs w:val="16"/>
        </w:rPr>
        <w:softHyphen/>
        <w:t>диры и механики-водители во все времена.</w:t>
      </w:r>
    </w:p>
    <w:p w14:paraId="2216B07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вот их аргументация в защиту СУ-76М выглядит куда. более убедительной. Во-первых, условия обитаемости экипа</w:t>
      </w:r>
      <w:r w:rsidRPr="00070ADE">
        <w:rPr>
          <w:rFonts w:ascii="Times New Roman" w:hAnsi="Times New Roman"/>
          <w:color w:val="000000" w:themeColor="text1"/>
          <w:sz w:val="16"/>
          <w:szCs w:val="16"/>
        </w:rPr>
        <w:softHyphen/>
        <w:t>жа. Отсутствие крыши они не считали недостатком. Ведь в закрытой рубке и в башне танка вентилятор не справлялся с очисткой воздуха и потому вести интенсивную стрельбу бы</w:t>
      </w:r>
      <w:r w:rsidRPr="00070ADE">
        <w:rPr>
          <w:rFonts w:ascii="Times New Roman" w:hAnsi="Times New Roman"/>
          <w:color w:val="000000" w:themeColor="text1"/>
          <w:sz w:val="16"/>
          <w:szCs w:val="16"/>
        </w:rPr>
        <w:softHyphen/>
        <w:t>ло невозможно (особенно ярко это проявилось на Курской дуге в САПах, оснащенных СУ-76(и) и СУ-76М (СУ-12М), имевшими крышу. Тогда как в СУ-76М стрельба ничем не от</w:t>
      </w:r>
      <w:r w:rsidRPr="00070ADE">
        <w:rPr>
          <w:rFonts w:ascii="Times New Roman" w:hAnsi="Times New Roman"/>
          <w:color w:val="000000" w:themeColor="text1"/>
          <w:sz w:val="16"/>
          <w:szCs w:val="16"/>
        </w:rPr>
        <w:softHyphen/>
        <w:t>личалась от ведения огня из полевого орудия, да к тому же расчет прикрыт с бортов и частично со спины от пуль и ос</w:t>
      </w:r>
      <w:r w:rsidRPr="00070ADE">
        <w:rPr>
          <w:rFonts w:ascii="Times New Roman" w:hAnsi="Times New Roman"/>
          <w:color w:val="000000" w:themeColor="text1"/>
          <w:sz w:val="16"/>
          <w:szCs w:val="16"/>
        </w:rPr>
        <w:softHyphen/>
        <w:t>колков. В случае загорания машины экипаж чаще всего успевал выпрыгнуть из боевого отделения (и это несмотря на то, что САУ питалась бензином). Если при загорании СУ-85 из нее спасались в лучшем случае двое, то в СУ-76М иногда по</w:t>
      </w:r>
      <w:r w:rsidRPr="00070ADE">
        <w:rPr>
          <w:rFonts w:ascii="Times New Roman" w:hAnsi="Times New Roman"/>
          <w:color w:val="000000" w:themeColor="text1"/>
          <w:sz w:val="16"/>
          <w:szCs w:val="16"/>
        </w:rPr>
        <w:softHyphen/>
        <w:t>гибал только водитель, а чаще спасались все. Далее — у СУ-85, да и у Т-34, имелась довольно обширная «мертвая зона», непросматриваемая даже из башенки, а здесь было видно все. Во-вторых, управлять машиной было не в пример легче, чем Т-34, где до середины 1943 г. (а фактически — до осени 1944 г.) переключить передачу в движении мог только водитель недюжинной силы. Да и ход СУ-76М был очень плавным и тихим. Т-34 издавал в движении такой лязг и гул, что предупреждал о своем появлении за несколько сотен ме</w:t>
      </w:r>
      <w:r w:rsidRPr="00070ADE">
        <w:rPr>
          <w:rFonts w:ascii="Times New Roman" w:hAnsi="Times New Roman"/>
          <w:color w:val="000000" w:themeColor="text1"/>
          <w:sz w:val="16"/>
          <w:szCs w:val="16"/>
        </w:rPr>
        <w:softHyphen/>
        <w:t>тров, а СУ-76М могла внезапно выскочить из-за поворота, произвести выстрел и скрыться незамеченной. Ведь в движе</w:t>
      </w:r>
      <w:r w:rsidRPr="00070ADE">
        <w:rPr>
          <w:rFonts w:ascii="Times New Roman" w:hAnsi="Times New Roman"/>
          <w:color w:val="000000" w:themeColor="text1"/>
          <w:sz w:val="16"/>
          <w:szCs w:val="16"/>
        </w:rPr>
        <w:softHyphen/>
        <w:t>нии она была не громче грузового автомобиля. Была эта ма</w:t>
      </w:r>
      <w:r w:rsidRPr="00070ADE">
        <w:rPr>
          <w:rFonts w:ascii="Times New Roman" w:hAnsi="Times New Roman"/>
          <w:color w:val="000000" w:themeColor="text1"/>
          <w:sz w:val="16"/>
          <w:szCs w:val="16"/>
        </w:rPr>
        <w:softHyphen/>
        <w:t>шина хорошей и по проходимости, так как имела маленькое удельное давление на грунт, а уж о надежности и говорить не приходится. Моторный агрегат ГАЗ-203 порой свободно «на</w:t>
      </w:r>
      <w:r w:rsidRPr="00070ADE">
        <w:rPr>
          <w:rFonts w:ascii="Times New Roman" w:hAnsi="Times New Roman"/>
          <w:color w:val="000000" w:themeColor="text1"/>
          <w:sz w:val="16"/>
          <w:szCs w:val="16"/>
        </w:rPr>
        <w:softHyphen/>
        <w:t>рабатывал» 350 моточасов и более и при этом часто не требо</w:t>
      </w:r>
      <w:r w:rsidRPr="00070ADE">
        <w:rPr>
          <w:rFonts w:ascii="Times New Roman" w:hAnsi="Times New Roman"/>
          <w:color w:val="000000" w:themeColor="text1"/>
          <w:sz w:val="16"/>
          <w:szCs w:val="16"/>
        </w:rPr>
        <w:softHyphen/>
        <w:t>вал ремонта, а В-2 чаще всего с трудом преодолевал 150 моточасов. Трансмиссия СУ-76М работала в менее нагружен</w:t>
      </w:r>
      <w:r w:rsidRPr="00070ADE">
        <w:rPr>
          <w:rFonts w:ascii="Times New Roman" w:hAnsi="Times New Roman"/>
          <w:color w:val="000000" w:themeColor="text1"/>
          <w:sz w:val="16"/>
          <w:szCs w:val="16"/>
        </w:rPr>
        <w:softHyphen/>
        <w:t>ном режиме, чем трансмиссия Т-34 и КВ, и потому тоже от</w:t>
      </w:r>
      <w:r w:rsidRPr="00070ADE">
        <w:rPr>
          <w:rFonts w:ascii="Times New Roman" w:hAnsi="Times New Roman"/>
          <w:color w:val="000000" w:themeColor="text1"/>
          <w:sz w:val="16"/>
          <w:szCs w:val="16"/>
        </w:rPr>
        <w:softHyphen/>
        <w:t>личалась хорошей надежностью.</w:t>
      </w:r>
    </w:p>
    <w:p w14:paraId="5B7D24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главное преимущество «сучки» было в том, что она позволяла решать практически все задачи, которые только можно было придумать для дивизионной пушки, обладая при этом более устойчивой базой. В умелых руках СУ-76М на Днепре, под Кенигсбергом, в Берлине и на Карельском пере</w:t>
      </w:r>
      <w:r w:rsidRPr="00070ADE">
        <w:rPr>
          <w:rFonts w:ascii="Times New Roman" w:hAnsi="Times New Roman"/>
          <w:color w:val="000000" w:themeColor="text1"/>
          <w:sz w:val="16"/>
          <w:szCs w:val="16"/>
        </w:rPr>
        <w:softHyphen/>
        <w:t>шейке двумя-тремя выстрелами прямой наводкой попадали снарядом в амбразуру ДОТ и ДЗОТ. На «линии Кароля» в Ру</w:t>
      </w:r>
      <w:r w:rsidRPr="00070ADE">
        <w:rPr>
          <w:rFonts w:ascii="Times New Roman" w:hAnsi="Times New Roman"/>
          <w:color w:val="000000" w:themeColor="text1"/>
          <w:sz w:val="16"/>
          <w:szCs w:val="16"/>
        </w:rPr>
        <w:softHyphen/>
        <w:t>мынии СУ-76 проявили себя как прекрасные «кочующие ба</w:t>
      </w:r>
      <w:r w:rsidRPr="00070ADE">
        <w:rPr>
          <w:rFonts w:ascii="Times New Roman" w:hAnsi="Times New Roman"/>
          <w:color w:val="000000" w:themeColor="text1"/>
          <w:sz w:val="16"/>
          <w:szCs w:val="16"/>
        </w:rPr>
        <w:softHyphen/>
        <w:t>тареи» для проведения артналетов и контрбатарейной борь</w:t>
      </w:r>
      <w:r w:rsidRPr="00070ADE">
        <w:rPr>
          <w:rFonts w:ascii="Times New Roman" w:hAnsi="Times New Roman"/>
          <w:color w:val="000000" w:themeColor="text1"/>
          <w:sz w:val="16"/>
          <w:szCs w:val="16"/>
        </w:rPr>
        <w:softHyphen/>
        <w:t>бы, так как СУ-76 могла вести огонь даже с закрытых пози</w:t>
      </w:r>
      <w:r w:rsidRPr="00070ADE">
        <w:rPr>
          <w:rFonts w:ascii="Times New Roman" w:hAnsi="Times New Roman"/>
          <w:color w:val="000000" w:themeColor="text1"/>
          <w:sz w:val="16"/>
          <w:szCs w:val="16"/>
        </w:rPr>
        <w:softHyphen/>
        <w:t>ций по установкам полевой артиллерии, причем командиры легких САУ имели в среднем лучшую артиллерийскую под</w:t>
      </w:r>
      <w:r w:rsidRPr="00070ADE">
        <w:rPr>
          <w:rFonts w:ascii="Times New Roman" w:hAnsi="Times New Roman"/>
          <w:color w:val="000000" w:themeColor="text1"/>
          <w:sz w:val="16"/>
          <w:szCs w:val="16"/>
        </w:rPr>
        <w:softHyphen/>
        <w:t>готовку, чем командиры СУ-85, которых учили «по-танково</w:t>
      </w:r>
      <w:r w:rsidRPr="00070ADE">
        <w:rPr>
          <w:rFonts w:ascii="Times New Roman" w:hAnsi="Times New Roman"/>
          <w:color w:val="000000" w:themeColor="text1"/>
          <w:sz w:val="16"/>
          <w:szCs w:val="16"/>
        </w:rPr>
        <w:softHyphen/>
        <w:t>му». В Венгрии, за Тиссой СУ-76М прикрывали плацдарм от яростных атак мадьярской пехоты и конницы, ведя губитель</w:t>
      </w:r>
      <w:r w:rsidRPr="00070ADE">
        <w:rPr>
          <w:rFonts w:ascii="Times New Roman" w:hAnsi="Times New Roman"/>
          <w:color w:val="000000" w:themeColor="text1"/>
          <w:sz w:val="16"/>
          <w:szCs w:val="16"/>
        </w:rPr>
        <w:softHyphen/>
        <w:t>ный огонь шрапнелями, поставленными «на картечь». А уж в навыке сбивать немецкие пулеметы, обстреле живой силы и т.д. равных ей не было (11417).</w:t>
      </w:r>
    </w:p>
    <w:p w14:paraId="6B00001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A10E69E"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 начала 1944 года из разных частей начали поступать сведения об изготовлении кустарных крыш:</w:t>
      </w:r>
    </w:p>
    <w:p w14:paraId="756C414B"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«Старший инспектор НКТП при УК БТ и МВ Отдельной приморской армии тов. Свечкин в своем письме от 26.01.44 г. за №0510 доносит:</w:t>
      </w:r>
    </w:p>
    <w:p w14:paraId="5511CADD"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«Сообщаю, что по инициативе полка на одной из машин СУ-76М произведена замена брезента бронёй из котельного железа толщиной 10 мм (и принимаются меры в отношении остальных машин), так как в боевой обстановке полка, имевшем ранее СУ-76, вышло из строя до 40 человек из числа экипажей, главным образом, от осколков снарядов, или бомб и взрывной волы.</w:t>
      </w:r>
    </w:p>
    <w:p w14:paraId="26A05A6D"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сообщить, по каким соображениям завод №38 продолжает практику постановки брезентов вместо крыши».</w:t>
      </w:r>
    </w:p>
    <w:p w14:paraId="70B9CEC7"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данном письме говорится о машинах СУ-76М (СУ-15) № 310430, 58411, 310402, 310434, 310436, 58428, 310403 с двигателями ГАЗ мод.203, выпущенными заводом №38 в первой половине октября 1943 года.</w:t>
      </w:r>
    </w:p>
    <w:p w14:paraId="233E9790"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Случай этот был не единичным. Самодельные крыши могли быть самой разной формы и типа. Одни прикрывали боевое отделение только сверху, другие варианты обеспечивали защиту и сзади. ГБТУ КА было против таких переделок, поскольку они перегружали машины, но в войсках думали иначе. В результате весной 1944 года всё же были запущены проектные работы по улучшению защиты боевого отделения (18172).</w:t>
      </w:r>
    </w:p>
    <w:p w14:paraId="33493F1D" w14:textId="77777777" w:rsidR="0018364B" w:rsidRPr="00070ADE" w:rsidRDefault="0018364B" w:rsidP="00B56F90">
      <w:pPr>
        <w:spacing w:after="0" w:line="240" w:lineRule="auto"/>
        <w:jc w:val="both"/>
        <w:rPr>
          <w:rFonts w:ascii="Times New Roman" w:hAnsi="Times New Roman"/>
          <w:color w:val="000000" w:themeColor="text1"/>
          <w:sz w:val="16"/>
          <w:szCs w:val="16"/>
        </w:rPr>
      </w:pPr>
    </w:p>
    <w:p w14:paraId="1C07002C" w14:textId="77777777" w:rsidR="00D86EA0" w:rsidRPr="00070ADE" w:rsidRDefault="00D86EA0"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 началу 1944 года практически все производители легких танков типа Т-70 (ГАЗ, завод №38 в Кирове и завод №40 в Мытищах) были переведены на выпуск легких СУ-76 (СУ-15М), а поскольку генеральный конструктор указанной САУ М.Н. Щукин назначался главным конструктором восстанавливаемого в Харькове танкового завода №75 (бывший ХПЗ им. Коминтерна), головным предприятием по СУ-76 с 1 января </w:t>
      </w:r>
      <w:smartTag w:uri="urn:schemas-microsoft-com:office:smarttags" w:element="metricconverter">
        <w:smartTagPr>
          <w:attr w:name="ProductID" w:val="1945 г"/>
        </w:smartTagPr>
        <w:r w:rsidRPr="00070ADE">
          <w:rPr>
            <w:rFonts w:ascii="Times New Roman" w:hAnsi="Times New Roman"/>
            <w:color w:val="000000" w:themeColor="text1"/>
            <w:sz w:val="16"/>
            <w:szCs w:val="16"/>
          </w:rPr>
          <w:t>1944 г</w:t>
        </w:r>
      </w:smartTag>
      <w:r w:rsidRPr="00070ADE">
        <w:rPr>
          <w:rFonts w:ascii="Times New Roman" w:hAnsi="Times New Roman"/>
          <w:color w:val="000000" w:themeColor="text1"/>
          <w:sz w:val="16"/>
          <w:szCs w:val="16"/>
        </w:rPr>
        <w:t>. становился Горьковский автозавод, и главным конструктором по данной САУ был назначен Н.А. Астров (15218).</w:t>
      </w:r>
    </w:p>
    <w:p w14:paraId="539E5A25" w14:textId="77777777" w:rsidR="00D86EA0" w:rsidRPr="00070ADE" w:rsidRDefault="00D86EA0" w:rsidP="00B56F90">
      <w:pPr>
        <w:widowControl w:val="0"/>
        <w:spacing w:after="0" w:line="240" w:lineRule="auto"/>
        <w:jc w:val="both"/>
        <w:rPr>
          <w:rFonts w:ascii="Times New Roman" w:hAnsi="Times New Roman"/>
          <w:color w:val="000000" w:themeColor="text1"/>
          <w:sz w:val="16"/>
          <w:szCs w:val="16"/>
        </w:rPr>
      </w:pPr>
    </w:p>
    <w:p w14:paraId="7CF5263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работы над отечественными противотан</w:t>
      </w:r>
      <w:r w:rsidRPr="00070ADE">
        <w:rPr>
          <w:rFonts w:ascii="Times New Roman" w:hAnsi="Times New Roman"/>
          <w:color w:val="000000" w:themeColor="text1"/>
          <w:sz w:val="16"/>
          <w:szCs w:val="16"/>
        </w:rPr>
        <w:softHyphen/>
        <w:t>ковыми «гробиками», вспыхивающими в разное время в раз</w:t>
      </w:r>
      <w:r w:rsidRPr="00070ADE">
        <w:rPr>
          <w:rFonts w:ascii="Times New Roman" w:hAnsi="Times New Roman"/>
          <w:color w:val="000000" w:themeColor="text1"/>
          <w:sz w:val="16"/>
          <w:szCs w:val="16"/>
        </w:rPr>
        <w:softHyphen/>
        <w:t>личных КБ, подошли к своему логическому концу. Это по</w:t>
      </w:r>
      <w:r w:rsidRPr="00070ADE">
        <w:rPr>
          <w:rFonts w:ascii="Times New Roman" w:hAnsi="Times New Roman"/>
          <w:color w:val="000000" w:themeColor="text1"/>
          <w:sz w:val="16"/>
          <w:szCs w:val="16"/>
        </w:rPr>
        <w:softHyphen/>
        <w:t>нятно, так как на вооружении уже стояли танки с 85-мм пуш</w:t>
      </w:r>
      <w:r w:rsidRPr="00070ADE">
        <w:rPr>
          <w:rFonts w:ascii="Times New Roman" w:hAnsi="Times New Roman"/>
          <w:color w:val="000000" w:themeColor="text1"/>
          <w:sz w:val="16"/>
          <w:szCs w:val="16"/>
        </w:rPr>
        <w:softHyphen/>
        <w:t>кой, обладавшей и большой бронепробиваемостью и сравни</w:t>
      </w:r>
      <w:r w:rsidRPr="00070ADE">
        <w:rPr>
          <w:rFonts w:ascii="Times New Roman" w:hAnsi="Times New Roman"/>
          <w:color w:val="000000" w:themeColor="text1"/>
          <w:sz w:val="16"/>
          <w:szCs w:val="16"/>
        </w:rPr>
        <w:softHyphen/>
        <w:t>тельно мощным разрывным действием. А главное — острая потребность в мобилизационных машинах уже прошла.</w:t>
      </w:r>
    </w:p>
    <w:p w14:paraId="63C6FD1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под занавес этой истории горьковчане успели создать противотанковую САУ ГАЗ-75, ставшую последним аккор</w:t>
      </w:r>
      <w:r w:rsidRPr="00070ADE">
        <w:rPr>
          <w:rFonts w:ascii="Times New Roman" w:hAnsi="Times New Roman"/>
          <w:color w:val="000000" w:themeColor="text1"/>
          <w:sz w:val="16"/>
          <w:szCs w:val="16"/>
        </w:rPr>
        <w:softHyphen/>
        <w:t>дом - венцом среди советских «Хетцеров». Интересно было то, что при боевой массе около 18 т ГАЗ-75 несла лобовую броню толщиной в 60-75 мм (тогда как серийная СУ-85 -лишь 45-мм) и была вооружена таким же 85-мм орудием, как и Т-34-85. Расположение боевого отделения в середине САУ улучшало распределение массы на опорные катки и улучша</w:t>
      </w:r>
      <w:r w:rsidRPr="00070ADE">
        <w:rPr>
          <w:rFonts w:ascii="Times New Roman" w:hAnsi="Times New Roman"/>
          <w:color w:val="000000" w:themeColor="text1"/>
          <w:sz w:val="16"/>
          <w:szCs w:val="16"/>
        </w:rPr>
        <w:softHyphen/>
        <w:t>ло проходимость на пересеченной местности. Машина была подвижной как на шоссе, так и на пересеченной местности. Производство отечественных дизелей ОМС началось в янва</w:t>
      </w:r>
      <w:r w:rsidRPr="00070ADE">
        <w:rPr>
          <w:rFonts w:ascii="Times New Roman" w:hAnsi="Times New Roman"/>
          <w:color w:val="000000" w:themeColor="text1"/>
          <w:sz w:val="16"/>
          <w:szCs w:val="16"/>
        </w:rPr>
        <w:softHyphen/>
        <w:t>ре 1945 г., но принятие ГАЗ-75 на вооружение весной 1945 г. уже ничего не решало, и она осталась в опытном образце (11417).</w:t>
      </w:r>
    </w:p>
    <w:p w14:paraId="63E84C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D4283A" w14:textId="77777777" w:rsidR="00D51E3B" w:rsidRPr="00070ADE" w:rsidRDefault="00D51E3B"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начале 1944 года СУ-76М, выпускавшиеся разными заводами, стали отличаться друг от друга. Особенно это касается САУ, выпускавшихся на ГАЗ им. Молотова. За январь-февраль здесь были введены такие изменения, как водоотводные желобки над воздухопритком, утолщённый кормовой лист, переделанные кронштейны балансиров и изменения в установке бонок для крепления различных элементов. Также велись работы по созданию полного ограждения двигателя, новых задних крюков, улучшенных снарядных укладок и переделанной защёлки задней двери. Упоминавшиеся кронштейны крепления орудия по-походному у горьковских машин тоже отличались.</w:t>
      </w:r>
    </w:p>
    <w:p w14:paraId="23181CCD" w14:textId="77777777" w:rsidR="00D51E3B" w:rsidRPr="00070ADE" w:rsidRDefault="00D51E3B" w:rsidP="00B56F90">
      <w:pPr>
        <w:pStyle w:val="ae"/>
        <w:shd w:val="clear" w:color="auto" w:fill="FFFFFF"/>
        <w:spacing w:before="0" w:after="0"/>
        <w:jc w:val="both"/>
        <w:rPr>
          <w:color w:val="000000" w:themeColor="text1"/>
          <w:sz w:val="16"/>
          <w:szCs w:val="16"/>
        </w:rPr>
      </w:pPr>
      <w:r w:rsidRPr="00070ADE">
        <w:rPr>
          <w:color w:val="000000" w:themeColor="text1"/>
          <w:sz w:val="16"/>
          <w:szCs w:val="16"/>
        </w:rPr>
        <w:t>Наиболее заметным отличием машин из Мытищ стала поперечная перекладина, которая упрощала установку тента.</w:t>
      </w:r>
    </w:p>
    <w:p w14:paraId="6F15B53E" w14:textId="77777777" w:rsidR="00D51E3B" w:rsidRPr="00070ADE" w:rsidRDefault="00D51E3B" w:rsidP="00B56F90">
      <w:pPr>
        <w:pStyle w:val="ae"/>
        <w:shd w:val="clear" w:color="auto" w:fill="FFFFFF"/>
        <w:spacing w:before="0" w:after="0"/>
        <w:jc w:val="both"/>
        <w:rPr>
          <w:color w:val="000000" w:themeColor="text1"/>
          <w:sz w:val="16"/>
          <w:szCs w:val="16"/>
        </w:rPr>
      </w:pPr>
      <w:r w:rsidRPr="00070ADE">
        <w:rPr>
          <w:color w:val="000000" w:themeColor="text1"/>
          <w:sz w:val="16"/>
          <w:szCs w:val="16"/>
        </w:rPr>
        <w:t>На самодеятельность с внесением изменений в конструкцию САУ обратили внимание в ГБТУ КА. В середине апреля 1944 года в ходе совещаний на заводах №38 и ГАЗ был утверждён список изменений из 24 пунктов. Помимо упоминавшихся выше переделок, в этот список попала переделка стопора по-походному. Задний стопор убирался, а передний теперь можно было снимать с водительского места. Появлялся гильзоулавливатель, но на практике его ставили только на заводе №38.</w:t>
      </w:r>
    </w:p>
    <w:p w14:paraId="2ED70462" w14:textId="77777777" w:rsidR="00D51E3B" w:rsidRPr="00070ADE" w:rsidRDefault="00D51E3B"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Переделки планировалось вводить с мая 1944 года, но фактически появились они уже в июне. СУ-76М получила ленивцы с резиновыми бандажами, новые буферы балансиров, трёхцветную сигнализацию. Впрочем, различия между машинами разных заводов всё равно сохранялись. Каждое предприятие оснащало САУ стопорами по-походному своей конструкции. А завод №40 вносил изменения как по своему списку, так и по чертежам ГАЗ им. Молотова (17728).</w:t>
      </w:r>
    </w:p>
    <w:p w14:paraId="09CFFCFF" w14:textId="77777777" w:rsidR="00D51E3B" w:rsidRPr="00070ADE" w:rsidRDefault="00D51E3B" w:rsidP="00B56F90">
      <w:pPr>
        <w:spacing w:after="0" w:line="240" w:lineRule="auto"/>
        <w:jc w:val="both"/>
        <w:rPr>
          <w:rFonts w:ascii="Times New Roman" w:eastAsia="Times New Roman" w:hAnsi="Times New Roman"/>
          <w:color w:val="000000" w:themeColor="text1"/>
          <w:sz w:val="16"/>
          <w:szCs w:val="16"/>
          <w:lang w:eastAsia="ru-RU"/>
        </w:rPr>
      </w:pPr>
    </w:p>
    <w:p w14:paraId="0B296A8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рассматривался проект установки на Су-76 85мм орудия, затем в сентябре, но был забракован по причине отсутствия двига</w:t>
      </w:r>
      <w:r w:rsidRPr="00070ADE">
        <w:rPr>
          <w:rFonts w:ascii="Times New Roman" w:hAnsi="Times New Roman"/>
          <w:color w:val="000000" w:themeColor="text1"/>
          <w:sz w:val="16"/>
          <w:szCs w:val="16"/>
        </w:rPr>
        <w:softHyphen/>
        <w:t>телей и неудачной конструкции дульного тормоза, значи</w:t>
      </w:r>
      <w:r w:rsidRPr="00070ADE">
        <w:rPr>
          <w:rFonts w:ascii="Times New Roman" w:hAnsi="Times New Roman"/>
          <w:color w:val="000000" w:themeColor="text1"/>
          <w:sz w:val="16"/>
          <w:szCs w:val="16"/>
        </w:rPr>
        <w:softHyphen/>
        <w:t>тельно демаскирующего машину (11417).</w:t>
      </w:r>
    </w:p>
    <w:p w14:paraId="4EE77C4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96959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был изготовлен опытный образец ма</w:t>
      </w:r>
      <w:r w:rsidRPr="00070ADE">
        <w:rPr>
          <w:rFonts w:ascii="Times New Roman" w:hAnsi="Times New Roman"/>
          <w:color w:val="000000" w:themeColor="text1"/>
          <w:sz w:val="16"/>
          <w:szCs w:val="16"/>
        </w:rPr>
        <w:softHyphen/>
        <w:t>шины ЗСУ-37 завода № 40. ЗСУ была принята на вооруже</w:t>
      </w:r>
      <w:r w:rsidRPr="00070ADE">
        <w:rPr>
          <w:rFonts w:ascii="Times New Roman" w:hAnsi="Times New Roman"/>
          <w:color w:val="000000" w:themeColor="text1"/>
          <w:sz w:val="16"/>
          <w:szCs w:val="16"/>
        </w:rPr>
        <w:softHyphen/>
        <w:t>ние и в 1945 - 1948 гг. производилась на заводе № 40 в г. Мытищи Мос</w:t>
      </w:r>
      <w:r w:rsidRPr="00070ADE">
        <w:rPr>
          <w:rFonts w:ascii="Times New Roman" w:hAnsi="Times New Roman"/>
          <w:color w:val="000000" w:themeColor="text1"/>
          <w:sz w:val="16"/>
          <w:szCs w:val="16"/>
        </w:rPr>
        <w:softHyphen/>
        <w:t>ковской области. В 1945 г. было изготовлено 12 машин, а всего за годы серийного производства было выпущено 75 самоходных установок ЗСУ-37 (10703).</w:t>
      </w:r>
    </w:p>
    <w:p w14:paraId="28F5A2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825A01" w14:textId="77777777" w:rsidR="00A9106B" w:rsidRPr="00C94B78" w:rsidRDefault="00A9106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1944 года, с оглядкой на боевые машины воюющих сторон, был построен опытный полугусеничный пулеметный бронетранспортер Б-3 с открытым 12-местным бронекорпусом для транспортировки пехоты, разведки, охранения, буксировки орудий и эвакуации раненых. Первоначально планировалось установить на нем пробный уральский 95-сильный мотор ЗИС-МФ, но затем всё свелось к двигателю ЗИС-5М в 78 сил и типовым узлам от ЗИС-5. На приемочных испытаниях БТР буксировал 76-мм пушку с орудийным расчетом, но из-за перегрева двигателя и слабости трансмиссии показал отрицательные результаты. По неподтвержденным данным были собраны еще две аналогичные машины БТР-44 с ярославскими дизелями (25565).</w:t>
      </w:r>
    </w:p>
    <w:p w14:paraId="17C38253" w14:textId="77777777" w:rsidR="00A9106B" w:rsidRPr="00C94B78" w:rsidRDefault="00A9106B" w:rsidP="00B56F90">
      <w:pPr>
        <w:spacing w:after="0" w:line="240" w:lineRule="auto"/>
        <w:jc w:val="both"/>
        <w:rPr>
          <w:rFonts w:ascii="Times New Roman" w:hAnsi="Times New Roman"/>
          <w:color w:val="0070C0"/>
          <w:sz w:val="16"/>
          <w:szCs w:val="16"/>
        </w:rPr>
      </w:pPr>
    </w:p>
    <w:p w14:paraId="7271012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начала 1944 г. машины М-48 стали поступать на оснащение разведывательных рот танковых и механизированных бри</w:t>
      </w:r>
      <w:r w:rsidRPr="00070ADE">
        <w:rPr>
          <w:rFonts w:ascii="Times New Roman" w:hAnsi="Times New Roman"/>
          <w:color w:val="000000" w:themeColor="text1"/>
          <w:sz w:val="16"/>
          <w:szCs w:val="16"/>
        </w:rPr>
        <w:softHyphen/>
        <w:t>гад, а позже и для формирования некоторых самоходно-ар-тиллерийских бригад танковых армий. Несмотря на то, что после войны в отношении СУ-57 распространялись преиму</w:t>
      </w:r>
      <w:r w:rsidRPr="00070ADE">
        <w:rPr>
          <w:rFonts w:ascii="Times New Roman" w:hAnsi="Times New Roman"/>
          <w:color w:val="000000" w:themeColor="text1"/>
          <w:sz w:val="16"/>
          <w:szCs w:val="16"/>
        </w:rPr>
        <w:softHyphen/>
        <w:t>щественно отрицательные отзывы, при грамотном исполь</w:t>
      </w:r>
      <w:r w:rsidRPr="00070ADE">
        <w:rPr>
          <w:rFonts w:ascii="Times New Roman" w:hAnsi="Times New Roman"/>
          <w:color w:val="000000" w:themeColor="text1"/>
          <w:sz w:val="16"/>
          <w:szCs w:val="16"/>
        </w:rPr>
        <w:softHyphen/>
        <w:t>зовании они показывали себя очень эффективно (11417).</w:t>
      </w:r>
    </w:p>
    <w:p w14:paraId="744717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57C93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первые образцы М10 поступи</w:t>
      </w:r>
      <w:r w:rsidRPr="00070ADE">
        <w:rPr>
          <w:rFonts w:ascii="Times New Roman" w:hAnsi="Times New Roman"/>
          <w:color w:val="000000" w:themeColor="text1"/>
          <w:sz w:val="16"/>
          <w:szCs w:val="16"/>
        </w:rPr>
        <w:softHyphen/>
        <w:t>ли в СССР, но, после получения полусот</w:t>
      </w:r>
      <w:r w:rsidRPr="00070ADE">
        <w:rPr>
          <w:rFonts w:ascii="Times New Roman" w:hAnsi="Times New Roman"/>
          <w:color w:val="000000" w:themeColor="text1"/>
          <w:sz w:val="16"/>
          <w:szCs w:val="16"/>
        </w:rPr>
        <w:softHyphen/>
        <w:t>ни указанных машин, было принято решение отказаться от их дальнейшего получения, так как никакого явного выигрыша по сравнению с танками М4А2 «Генерал Шерман» они не давали. 22 марта 1944 г. два отдельных танко</w:t>
      </w:r>
      <w:r w:rsidRPr="00070ADE">
        <w:rPr>
          <w:rFonts w:ascii="Times New Roman" w:hAnsi="Times New Roman"/>
          <w:color w:val="000000" w:themeColor="text1"/>
          <w:sz w:val="16"/>
          <w:szCs w:val="16"/>
        </w:rPr>
        <w:softHyphen/>
        <w:t>вых батальона № 1223 и 1239 директивой начальника Ге</w:t>
      </w:r>
      <w:r w:rsidRPr="00070ADE">
        <w:rPr>
          <w:rFonts w:ascii="Times New Roman" w:hAnsi="Times New Roman"/>
          <w:color w:val="000000" w:themeColor="text1"/>
          <w:sz w:val="16"/>
          <w:szCs w:val="16"/>
        </w:rPr>
        <w:softHyphen/>
        <w:t>нерального штаба Красной Армии № 3/306747 были пе</w:t>
      </w:r>
      <w:r w:rsidRPr="00070ADE">
        <w:rPr>
          <w:rFonts w:ascii="Times New Roman" w:hAnsi="Times New Roman"/>
          <w:color w:val="000000" w:themeColor="text1"/>
          <w:sz w:val="16"/>
          <w:szCs w:val="16"/>
        </w:rPr>
        <w:softHyphen/>
        <w:t>реформированы в самоходно-артиллерийские полки тех же номеров и получили на вооружение САУ М-10 (по 21 машине на полк). Практика применения указанных полков показала, что САУ «Вульверин» проявили себя в боях как довольно удачное противотанковое средство, способное успешно бороться с немецкими танками, на малых растояниях и с тяжелыми. Но наиболее похвальными были отзывы о полученных по программе ленд-лиза зенитных самоходных установках М15 и М17. Обе были смонтированы на шасси полугусенич</w:t>
      </w:r>
      <w:r w:rsidRPr="00070ADE">
        <w:rPr>
          <w:rFonts w:ascii="Times New Roman" w:hAnsi="Times New Roman"/>
          <w:color w:val="000000" w:themeColor="text1"/>
          <w:sz w:val="16"/>
          <w:szCs w:val="16"/>
        </w:rPr>
        <w:softHyphen/>
        <w:t>ных бронетранспортеров соответственно МЗ и М5 и вооруж-ны комбинированной установкой 37-мм автоматической пушки М1А2 и двух 12,7-мм пулеметов Браунинг М2, либо счетверенной установкой 12,7-мм пулеметов М2 соответственно. Эти САУ показали себя очень эффективным средством защиты танковых часией и соеди</w:t>
      </w:r>
      <w:r w:rsidRPr="00070ADE">
        <w:rPr>
          <w:rFonts w:ascii="Times New Roman" w:hAnsi="Times New Roman"/>
          <w:color w:val="000000" w:themeColor="text1"/>
          <w:sz w:val="16"/>
          <w:szCs w:val="16"/>
        </w:rPr>
        <w:softHyphen/>
        <w:t>нений на марше от воздушного нападения. Кроме того, М15 и М17 успешно использовались о время боев в городах, ведя плотный огонь по верхним этажам зданий. Нелишне заметить, что указанные машины были един</w:t>
      </w:r>
      <w:r w:rsidRPr="00070ADE">
        <w:rPr>
          <w:rFonts w:ascii="Times New Roman" w:hAnsi="Times New Roman"/>
          <w:color w:val="000000" w:themeColor="text1"/>
          <w:sz w:val="16"/>
          <w:szCs w:val="16"/>
        </w:rPr>
        <w:softHyphen/>
        <w:t>ственными специальными зенитными САУ, поступавшими на вооружении частей Красной Армии в ходе войны, если не считать 25-мм автоматов 72К в кузове грузовых автомо</w:t>
      </w:r>
      <w:r w:rsidRPr="00070ADE">
        <w:rPr>
          <w:rFonts w:ascii="Times New Roman" w:hAnsi="Times New Roman"/>
          <w:color w:val="000000" w:themeColor="text1"/>
          <w:sz w:val="16"/>
          <w:szCs w:val="16"/>
        </w:rPr>
        <w:softHyphen/>
        <w:t>билей, выпускавшихся в 1941—1944 гг. (11417).</w:t>
      </w:r>
    </w:p>
    <w:p w14:paraId="50CEFD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Тактико-технические характеристики штурмовых и противотанковых САУ особой мощности</w:t>
      </w:r>
    </w:p>
    <w:p w14:paraId="2FE5ABC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8D55F3" w14:textId="77777777" w:rsidR="00417D90" w:rsidRPr="00070ADE" w:rsidRDefault="00417D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года конструктор ЦАКБ А.С. Часовников, вместе с С.Д. Казариным, выходили с предложением перевооружать зарубежные танки. Вместо штатной башни ставилась башня Т-34 вместе с 85-мм пушкой. Как раз такая башня с орудием С-53 испытывалась в конце 1943 года. Среди объектов для переделки была и "Матильда". Впрочем, тогда проект даже не вышел за стадию предложения. Тем не менее, Часовников был совсем не безумным изобретателем. В ЦАКБ, которое возглавлял Грабин, этот инженер-конструктор отвечал за перевооружение танков. Так что идея была не совсем чтобы инициативной (22545).</w:t>
      </w:r>
    </w:p>
    <w:p w14:paraId="3C270FB0" w14:textId="77777777" w:rsidR="00417D90" w:rsidRPr="00070ADE" w:rsidRDefault="00417D90" w:rsidP="00B56F90">
      <w:pPr>
        <w:spacing w:after="0" w:line="240" w:lineRule="auto"/>
        <w:jc w:val="both"/>
        <w:rPr>
          <w:rFonts w:ascii="Times New Roman" w:hAnsi="Times New Roman"/>
          <w:color w:val="000000" w:themeColor="text1"/>
          <w:sz w:val="16"/>
          <w:szCs w:val="16"/>
        </w:rPr>
      </w:pPr>
    </w:p>
    <w:p w14:paraId="18FB253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быда подготовлена справка:</w:t>
      </w:r>
    </w:p>
    <w:p w14:paraId="75D0875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выполнении производственного плана промышленностью города за 1943 год</w:t>
      </w:r>
    </w:p>
    <w:p w14:paraId="5BE55AA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справки Красноярского горкома ВКП (б)</w:t>
      </w:r>
    </w:p>
    <w:p w14:paraId="08D3226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Красноярск [1943 г. ]</w:t>
      </w:r>
    </w:p>
    <w:p w14:paraId="26DC185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[…]Начатое по инициативе передовых предприятий страны Всесоюзное социалистическое соревнование охватило все предприятия и нашего города. Установление переходящего Красного Знамени исполкома горсовета и горкома ВКП (б) передовому предприятию и учреждению, городской Доски Почета придало социалистическому соревнованию еще больший размах и большую значимость.</w:t>
      </w:r>
    </w:p>
    <w:p w14:paraId="649FC28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Переходящее Красное Знамя ГКО с выдачей первых премий Наркоматов были вручены таким предприятиям города, как ПРЗ, ОСМЧ-26.</w:t>
      </w:r>
    </w:p>
    <w:p w14:paraId="5FF5F8C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Периодически получали вторые и третьи премии своих Наркоматов такие предприятия как заводы: № 703, № 863, № 4 им. Ворошилова, завод № 327, «Красный Профинтерн».</w:t>
      </w:r>
    </w:p>
    <w:p w14:paraId="7A56A8C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Начиная с мая месяца 1942 года переходящее Красное Знамя исполкома горсовета и горкома ВКП (б) присуждалось таким заводам, как: № 703, № 863, № 360, № 4 им. Ворошилова.</w:t>
      </w:r>
    </w:p>
    <w:p w14:paraId="6997135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Выполнение производственного плана всей промышленностью города за 1943 год характеризуется следующими данными: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5" w:type="dxa"/>
          <w:right w:w="55" w:type="dxa"/>
        </w:tblCellMar>
        <w:tblLook w:val="0000" w:firstRow="0" w:lastRow="0" w:firstColumn="0" w:lastColumn="0" w:noHBand="0" w:noVBand="0"/>
      </w:tblPr>
      <w:tblGrid>
        <w:gridCol w:w="645"/>
        <w:gridCol w:w="2202"/>
        <w:gridCol w:w="807"/>
        <w:gridCol w:w="807"/>
        <w:gridCol w:w="807"/>
        <w:gridCol w:w="892"/>
        <w:gridCol w:w="1187"/>
      </w:tblGrid>
      <w:tr w:rsidR="004D4663" w:rsidRPr="00070ADE" w14:paraId="59DC8250" w14:textId="77777777">
        <w:tc>
          <w:tcPr>
            <w:tcW w:w="642" w:type="dxa"/>
            <w:tcBorders>
              <w:top w:val="single" w:sz="12" w:space="0" w:color="auto"/>
            </w:tcBorders>
          </w:tcPr>
          <w:p w14:paraId="63CD1005"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пп</w:t>
            </w:r>
          </w:p>
        </w:tc>
        <w:tc>
          <w:tcPr>
            <w:tcW w:w="2201" w:type="dxa"/>
            <w:tcBorders>
              <w:top w:val="single" w:sz="12" w:space="0" w:color="auto"/>
            </w:tcBorders>
          </w:tcPr>
          <w:p w14:paraId="4CEC8AD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 пром[ышленно]</w:t>
            </w:r>
          </w:p>
          <w:p w14:paraId="29978A6A"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-сти</w:t>
            </w:r>
          </w:p>
        </w:tc>
        <w:tc>
          <w:tcPr>
            <w:tcW w:w="806" w:type="dxa"/>
            <w:tcBorders>
              <w:top w:val="single" w:sz="12" w:space="0" w:color="auto"/>
            </w:tcBorders>
          </w:tcPr>
          <w:p w14:paraId="35A5C75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квар-т[ал]</w:t>
            </w:r>
          </w:p>
          <w:p w14:paraId="33DD55B5"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12" w:space="0" w:color="auto"/>
            </w:tcBorders>
          </w:tcPr>
          <w:p w14:paraId="4D2DD952"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квар-т[ал]</w:t>
            </w:r>
          </w:p>
        </w:tc>
        <w:tc>
          <w:tcPr>
            <w:tcW w:w="806" w:type="dxa"/>
            <w:tcBorders>
              <w:top w:val="single" w:sz="12" w:space="0" w:color="auto"/>
            </w:tcBorders>
          </w:tcPr>
          <w:p w14:paraId="72F6ED16"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квар-</w:t>
            </w:r>
          </w:p>
          <w:p w14:paraId="05F25E15"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т[ал]</w:t>
            </w:r>
          </w:p>
        </w:tc>
        <w:tc>
          <w:tcPr>
            <w:tcW w:w="891" w:type="dxa"/>
            <w:tcBorders>
              <w:top w:val="single" w:sz="12" w:space="0" w:color="auto"/>
            </w:tcBorders>
          </w:tcPr>
          <w:p w14:paraId="3E0FED1F"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месяц</w:t>
            </w:r>
          </w:p>
        </w:tc>
        <w:tc>
          <w:tcPr>
            <w:tcW w:w="1187" w:type="dxa"/>
            <w:tcBorders>
              <w:top w:val="single" w:sz="12" w:space="0" w:color="auto"/>
            </w:tcBorders>
          </w:tcPr>
          <w:p w14:paraId="04089F86"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Годового</w:t>
            </w:r>
          </w:p>
        </w:tc>
      </w:tr>
      <w:tr w:rsidR="004D4663" w:rsidRPr="00070ADE" w14:paraId="579186EA" w14:textId="77777777">
        <w:tc>
          <w:tcPr>
            <w:tcW w:w="645" w:type="dxa"/>
          </w:tcPr>
          <w:p w14:paraId="7B801E76"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2202" w:type="dxa"/>
          </w:tcPr>
          <w:p w14:paraId="7D1D882E"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Оборонная</w:t>
            </w:r>
          </w:p>
        </w:tc>
        <w:tc>
          <w:tcPr>
            <w:tcW w:w="807" w:type="dxa"/>
          </w:tcPr>
          <w:p w14:paraId="70FE3B87"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88,2</w:t>
            </w:r>
          </w:p>
        </w:tc>
        <w:tc>
          <w:tcPr>
            <w:tcW w:w="807" w:type="dxa"/>
          </w:tcPr>
          <w:p w14:paraId="643E9CC2"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102,8</w:t>
            </w:r>
          </w:p>
        </w:tc>
        <w:tc>
          <w:tcPr>
            <w:tcW w:w="807" w:type="dxa"/>
          </w:tcPr>
          <w:p w14:paraId="51109BE9"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104,4</w:t>
            </w:r>
          </w:p>
        </w:tc>
        <w:tc>
          <w:tcPr>
            <w:tcW w:w="892" w:type="dxa"/>
          </w:tcPr>
          <w:p w14:paraId="053A26E5"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102,4</w:t>
            </w:r>
          </w:p>
        </w:tc>
        <w:tc>
          <w:tcPr>
            <w:tcW w:w="1179" w:type="dxa"/>
          </w:tcPr>
          <w:p w14:paraId="22F2CC3A"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92,6</w:t>
            </w:r>
          </w:p>
        </w:tc>
      </w:tr>
      <w:tr w:rsidR="004D4663" w:rsidRPr="00070ADE" w14:paraId="0087094A" w14:textId="77777777">
        <w:tc>
          <w:tcPr>
            <w:tcW w:w="645" w:type="dxa"/>
          </w:tcPr>
          <w:p w14:paraId="04F1A18B"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2202" w:type="dxa"/>
          </w:tcPr>
          <w:p w14:paraId="44CEFF81"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Союзная</w:t>
            </w:r>
          </w:p>
        </w:tc>
        <w:tc>
          <w:tcPr>
            <w:tcW w:w="807" w:type="dxa"/>
          </w:tcPr>
          <w:p w14:paraId="542CBF92"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tc>
        <w:tc>
          <w:tcPr>
            <w:tcW w:w="807" w:type="dxa"/>
          </w:tcPr>
          <w:p w14:paraId="53BE175C"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95,0</w:t>
            </w:r>
          </w:p>
        </w:tc>
        <w:tc>
          <w:tcPr>
            <w:tcW w:w="807" w:type="dxa"/>
          </w:tcPr>
          <w:p w14:paraId="3E92FDA9"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101,4</w:t>
            </w:r>
          </w:p>
        </w:tc>
        <w:tc>
          <w:tcPr>
            <w:tcW w:w="892" w:type="dxa"/>
          </w:tcPr>
          <w:p w14:paraId="281A230C"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c>
          <w:tcPr>
            <w:tcW w:w="1179" w:type="dxa"/>
          </w:tcPr>
          <w:p w14:paraId="0DBF575B"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87,3</w:t>
            </w:r>
          </w:p>
        </w:tc>
      </w:tr>
      <w:tr w:rsidR="004D4663" w:rsidRPr="00070ADE" w14:paraId="1E7EAE0E" w14:textId="77777777">
        <w:tc>
          <w:tcPr>
            <w:tcW w:w="645" w:type="dxa"/>
          </w:tcPr>
          <w:p w14:paraId="577C1D72"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2202" w:type="dxa"/>
          </w:tcPr>
          <w:p w14:paraId="4F8275C8"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Республиканская</w:t>
            </w:r>
          </w:p>
        </w:tc>
        <w:tc>
          <w:tcPr>
            <w:tcW w:w="807" w:type="dxa"/>
          </w:tcPr>
          <w:p w14:paraId="5AED5704"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107,9</w:t>
            </w:r>
          </w:p>
        </w:tc>
        <w:tc>
          <w:tcPr>
            <w:tcW w:w="807" w:type="dxa"/>
          </w:tcPr>
          <w:p w14:paraId="5E301ABB"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89,7</w:t>
            </w:r>
          </w:p>
        </w:tc>
        <w:tc>
          <w:tcPr>
            <w:tcW w:w="807" w:type="dxa"/>
          </w:tcPr>
          <w:p w14:paraId="767E4F72"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109,3</w:t>
            </w:r>
          </w:p>
        </w:tc>
        <w:tc>
          <w:tcPr>
            <w:tcW w:w="892" w:type="dxa"/>
          </w:tcPr>
          <w:p w14:paraId="66BACE9C"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101,1</w:t>
            </w:r>
          </w:p>
        </w:tc>
        <w:tc>
          <w:tcPr>
            <w:tcW w:w="1179" w:type="dxa"/>
          </w:tcPr>
          <w:p w14:paraId="27951CCD"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94,6</w:t>
            </w:r>
          </w:p>
        </w:tc>
      </w:tr>
      <w:tr w:rsidR="004D4663" w:rsidRPr="00070ADE" w14:paraId="4608E1D9" w14:textId="77777777">
        <w:tc>
          <w:tcPr>
            <w:tcW w:w="645" w:type="dxa"/>
          </w:tcPr>
          <w:p w14:paraId="7CE810CB"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2202" w:type="dxa"/>
          </w:tcPr>
          <w:p w14:paraId="6DD94769"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Краевая</w:t>
            </w:r>
          </w:p>
        </w:tc>
        <w:tc>
          <w:tcPr>
            <w:tcW w:w="807" w:type="dxa"/>
          </w:tcPr>
          <w:p w14:paraId="4395772A"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82,7</w:t>
            </w:r>
          </w:p>
        </w:tc>
        <w:tc>
          <w:tcPr>
            <w:tcW w:w="807" w:type="dxa"/>
          </w:tcPr>
          <w:p w14:paraId="58094F03"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101,1</w:t>
            </w:r>
          </w:p>
        </w:tc>
        <w:tc>
          <w:tcPr>
            <w:tcW w:w="807" w:type="dxa"/>
          </w:tcPr>
          <w:p w14:paraId="78290E3D"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86,8</w:t>
            </w:r>
          </w:p>
        </w:tc>
        <w:tc>
          <w:tcPr>
            <w:tcW w:w="892" w:type="dxa"/>
          </w:tcPr>
          <w:p w14:paraId="5A14266E"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95,9</w:t>
            </w:r>
          </w:p>
        </w:tc>
        <w:tc>
          <w:tcPr>
            <w:tcW w:w="1179" w:type="dxa"/>
          </w:tcPr>
          <w:p w14:paraId="521335EF"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88,1</w:t>
            </w:r>
          </w:p>
        </w:tc>
      </w:tr>
      <w:tr w:rsidR="004D4663" w:rsidRPr="00070ADE" w14:paraId="0D0ED2D4" w14:textId="77777777">
        <w:tc>
          <w:tcPr>
            <w:tcW w:w="645" w:type="dxa"/>
          </w:tcPr>
          <w:p w14:paraId="5DCD1B5F"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2202" w:type="dxa"/>
          </w:tcPr>
          <w:p w14:paraId="209FE7AD"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Городская</w:t>
            </w:r>
          </w:p>
        </w:tc>
        <w:tc>
          <w:tcPr>
            <w:tcW w:w="807" w:type="dxa"/>
          </w:tcPr>
          <w:p w14:paraId="31879B5C"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91,3</w:t>
            </w:r>
          </w:p>
        </w:tc>
        <w:tc>
          <w:tcPr>
            <w:tcW w:w="807" w:type="dxa"/>
          </w:tcPr>
          <w:p w14:paraId="3A5FE526"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111,1</w:t>
            </w:r>
          </w:p>
        </w:tc>
        <w:tc>
          <w:tcPr>
            <w:tcW w:w="807" w:type="dxa"/>
          </w:tcPr>
          <w:p w14:paraId="0BE6BCA6"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114,8</w:t>
            </w:r>
          </w:p>
        </w:tc>
        <w:tc>
          <w:tcPr>
            <w:tcW w:w="892" w:type="dxa"/>
          </w:tcPr>
          <w:p w14:paraId="2DDFD79D"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100,5</w:t>
            </w:r>
          </w:p>
        </w:tc>
        <w:tc>
          <w:tcPr>
            <w:tcW w:w="1179" w:type="dxa"/>
          </w:tcPr>
          <w:p w14:paraId="7F5F7B6C"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95,2</w:t>
            </w:r>
          </w:p>
        </w:tc>
      </w:tr>
      <w:tr w:rsidR="004D4663" w:rsidRPr="00070ADE" w14:paraId="5B64DD91" w14:textId="77777777">
        <w:tc>
          <w:tcPr>
            <w:tcW w:w="645" w:type="dxa"/>
            <w:tcBorders>
              <w:bottom w:val="single" w:sz="12" w:space="0" w:color="auto"/>
            </w:tcBorders>
          </w:tcPr>
          <w:p w14:paraId="0CBAB469"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p>
        </w:tc>
        <w:tc>
          <w:tcPr>
            <w:tcW w:w="2202" w:type="dxa"/>
            <w:tcBorders>
              <w:bottom w:val="single" w:sz="12" w:space="0" w:color="auto"/>
            </w:tcBorders>
          </w:tcPr>
          <w:p w14:paraId="71A7C5C1"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Вся промышленность</w:t>
            </w:r>
          </w:p>
        </w:tc>
        <w:tc>
          <w:tcPr>
            <w:tcW w:w="807" w:type="dxa"/>
            <w:tcBorders>
              <w:bottom w:val="single" w:sz="12" w:space="0" w:color="auto"/>
            </w:tcBorders>
          </w:tcPr>
          <w:p w14:paraId="4C5A845C"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88,5</w:t>
            </w:r>
          </w:p>
        </w:tc>
        <w:tc>
          <w:tcPr>
            <w:tcW w:w="807" w:type="dxa"/>
            <w:tcBorders>
              <w:bottom w:val="single" w:sz="12" w:space="0" w:color="auto"/>
            </w:tcBorders>
          </w:tcPr>
          <w:p w14:paraId="47949204"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101,8</w:t>
            </w:r>
          </w:p>
        </w:tc>
        <w:tc>
          <w:tcPr>
            <w:tcW w:w="807" w:type="dxa"/>
            <w:tcBorders>
              <w:bottom w:val="single" w:sz="12" w:space="0" w:color="auto"/>
            </w:tcBorders>
          </w:tcPr>
          <w:p w14:paraId="29B28011"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103,9</w:t>
            </w:r>
          </w:p>
        </w:tc>
        <w:tc>
          <w:tcPr>
            <w:tcW w:w="892" w:type="dxa"/>
            <w:tcBorders>
              <w:bottom w:val="single" w:sz="12" w:space="0" w:color="auto"/>
            </w:tcBorders>
          </w:tcPr>
          <w:p w14:paraId="3FE7D322"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102,0</w:t>
            </w:r>
          </w:p>
        </w:tc>
        <w:tc>
          <w:tcPr>
            <w:tcW w:w="1179" w:type="dxa"/>
            <w:tcBorders>
              <w:bottom w:val="single" w:sz="12" w:space="0" w:color="auto"/>
            </w:tcBorders>
          </w:tcPr>
          <w:p w14:paraId="3B9B99B7" w14:textId="77777777" w:rsidR="003712D9" w:rsidRPr="00070ADE" w:rsidRDefault="003712D9" w:rsidP="00B56F90">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92,1</w:t>
            </w:r>
          </w:p>
        </w:tc>
      </w:tr>
    </w:tbl>
    <w:p w14:paraId="4794E695" w14:textId="77777777" w:rsidR="003712D9" w:rsidRPr="00070ADE" w:rsidRDefault="003712D9" w:rsidP="00B56F90">
      <w:pPr>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Cs/>
          <w:color w:val="000000" w:themeColor="text1"/>
          <w:sz w:val="16"/>
          <w:szCs w:val="16"/>
        </w:rPr>
        <w:t>ГАКК. Ф.П-17. Оп.1. Д.736. Л.5. Подлинник. Машинопись (11836).</w:t>
      </w:r>
    </w:p>
    <w:p w14:paraId="365EB2FA" w14:textId="77777777" w:rsidR="003712D9" w:rsidRPr="00070ADE" w:rsidRDefault="003712D9" w:rsidP="00B56F90">
      <w:pPr>
        <w:tabs>
          <w:tab w:val="left" w:pos="684"/>
        </w:tabs>
        <w:autoSpaceDE w:val="0"/>
        <w:autoSpaceDN w:val="0"/>
        <w:adjustRightInd w:val="0"/>
        <w:spacing w:after="0" w:line="240" w:lineRule="auto"/>
        <w:jc w:val="both"/>
        <w:rPr>
          <w:rFonts w:ascii="Times New Roman" w:hAnsi="Times New Roman"/>
          <w:color w:val="000000" w:themeColor="text1"/>
          <w:sz w:val="16"/>
          <w:szCs w:val="16"/>
        </w:rPr>
      </w:pPr>
    </w:p>
    <w:p w14:paraId="6A04FA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ЗИС построил опытный 12 местный БТР Б-3 (АТ-5) с макетным бронированием (котельная сталь 6-16 мм), вооруженный ДШК на открытой турели на полугусеничном шасси. Испытывался на НИБТ полигоне дало отрицательные результаты из-за низкой надежности агрегатов (9624).</w:t>
      </w:r>
    </w:p>
    <w:p w14:paraId="5C0297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830F1C" w14:textId="75E625F2"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г. в СССР прибыла миссия США во главе с м-р Эллисом. Совет по радиолокации организовывал его ознакомление с рядом советских предприятий, что видно из следующего письма: </w:t>
      </w:r>
      <w:r w:rsidRPr="00070ADE">
        <w:rPr>
          <w:rFonts w:ascii="Times New Roman" w:hAnsi="Times New Roman"/>
          <w:iCs/>
          <w:color w:val="000000" w:themeColor="text1"/>
          <w:sz w:val="16"/>
          <w:szCs w:val="16"/>
        </w:rPr>
        <w:t>«Совет по радиолокации при ГКО</w:t>
      </w:r>
    </w:p>
    <w:p w14:paraId="40E797E3" w14:textId="5E2ABEA6"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30 апреля 1944, №№</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0448, 0449, 0450, 0451, 0452, 0453, 0454, 0455</w:t>
      </w:r>
    </w:p>
    <w:p w14:paraId="0FBABCD4" w14:textId="77777777"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Народному комиссару электропромышленности КАБАНОВУ</w:t>
      </w:r>
    </w:p>
    <w:p w14:paraId="09EAD0EF" w14:textId="77777777"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Направляется:</w:t>
      </w:r>
    </w:p>
    <w:p w14:paraId="105E11FB" w14:textId="54659883"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а)</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Докладная записка о пребывании м-ра Эллиса.</w:t>
      </w:r>
    </w:p>
    <w:p w14:paraId="03E483A8" w14:textId="78898DB4"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б)</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Докладная записка о посещении м-ром Эллисом НИИ-10 в Москве.</w:t>
      </w:r>
    </w:p>
    <w:p w14:paraId="709B83B8" w14:textId="660C5875"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в)</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Краткое содержание сообщения м-ра Эллиса по радиолокационной аппаратуре во время переговоров на заводе №</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339.</w:t>
      </w:r>
    </w:p>
    <w:p w14:paraId="191912D2" w14:textId="6185D805"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г)</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Краткое содержание доклада на тему «История развития и современного военные приложения радиолокации».</w:t>
      </w:r>
    </w:p>
    <w:p w14:paraId="71F3C832" w14:textId="010A43CD"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д)</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Краткое содержание доклада на тему «Радиопромышленность США, ее история и состояние в мирное и военное время».</w:t>
      </w:r>
    </w:p>
    <w:p w14:paraId="30541210" w14:textId="4DD1B0C7"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е)</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Краткое содержание доклада на тему «Обзор общего размаха военного производства в США».</w:t>
      </w:r>
    </w:p>
    <w:p w14:paraId="2445B8DF" w14:textId="3C5EB35E"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ж)</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Отчет о посещении м-ром Эллисом завода №</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617.</w:t>
      </w:r>
    </w:p>
    <w:p w14:paraId="21D1FA50" w14:textId="1CE72BF2"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г)</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Протокол совещания на заводе №</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208 с м-ром Эллисом.</w:t>
      </w:r>
    </w:p>
    <w:p w14:paraId="0F7C847D" w14:textId="77777777"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Заместитель председателя Совета инженер-вице-адмирал БЕРГ».</w:t>
      </w:r>
    </w:p>
    <w:p w14:paraId="36F37671" w14:textId="32BDE144" w:rsidR="00D86EA0" w:rsidRPr="00070ADE" w:rsidRDefault="00D86E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Делегацию сопровождал И.С. Джигит, и перечисленные в письме документы составлены им. В НИИ-10. Были продемонстрированы образцы отечественных магнетронов, на заводе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339 НКАП – производство радиолокационных станций «Пегматит» (15736).</w:t>
      </w:r>
    </w:p>
    <w:p w14:paraId="3513AE62" w14:textId="77777777" w:rsidR="00D86EA0" w:rsidRPr="00070ADE" w:rsidRDefault="00D86EA0" w:rsidP="00B56F90">
      <w:pPr>
        <w:spacing w:after="0" w:line="240" w:lineRule="auto"/>
        <w:jc w:val="both"/>
        <w:rPr>
          <w:rFonts w:ascii="Times New Roman" w:hAnsi="Times New Roman"/>
          <w:color w:val="000000" w:themeColor="text1"/>
          <w:sz w:val="16"/>
          <w:szCs w:val="16"/>
        </w:rPr>
      </w:pPr>
    </w:p>
    <w:p w14:paraId="4F15BD9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года А.И. Алиханов, по-видимому, впервые в СССР рассмотрел вопрос о возможности создания средств противодействия атомному оружию. В записке от 4 января 1944 года, представленной И.В. Курчатову, в качестве такого способа он предлагал облучение атомного заряда, работающего на принципе сближения, сильным потоком нейтронов, что вызовет преждевременное нейтронное инициирование заряда и снижение его энерговыделения на несколько порядков. В записке отмечается, что в атомной бомбе могут быть предприняты специальные меры защиты от такого воздействия - в виде окружения бомбы слоем богатого водородом вещества или при нахождении бомбы в грунте на глубине нескольких метров (10549).</w:t>
      </w:r>
    </w:p>
    <w:p w14:paraId="101646F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1ACF2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года предполагалось ускорение работ по производству металлического урана (до 500 кг к концу года) (10549).</w:t>
      </w:r>
    </w:p>
    <w:p w14:paraId="22D96B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A0708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были разработаны рабочие чертежи и к началу навигации на Волге на бронекатере проекта 1124 было установлено устройство для воздушной смазки К.К.Федяевского. В обшивке днища в плоскости одного из носовых шпангоутов прорезали щели и подавали по ним сжатый воздух. Скорость - снизилась, т.к. винты работали в водо-воздушной смеси (4305,36).</w:t>
      </w:r>
    </w:p>
    <w:p w14:paraId="4AE6A3F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D2CC66C"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9C4DD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7611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советские войска вышли на южном участке фронта к границе с Румынией, но в конце апреля наступление 5-й и 7-й гвардей</w:t>
      </w:r>
      <w:r w:rsidRPr="00070ADE">
        <w:rPr>
          <w:rFonts w:ascii="Times New Roman" w:hAnsi="Times New Roman"/>
          <w:color w:val="000000" w:themeColor="text1"/>
          <w:sz w:val="16"/>
          <w:szCs w:val="16"/>
        </w:rPr>
        <w:softHyphen/>
        <w:t>ских танковых армий было остановлено. Этому способствовали и действия люфтваффе, значи</w:t>
      </w:r>
      <w:r w:rsidRPr="00070ADE">
        <w:rPr>
          <w:rFonts w:ascii="Times New Roman" w:hAnsi="Times New Roman"/>
          <w:color w:val="000000" w:themeColor="text1"/>
          <w:sz w:val="16"/>
          <w:szCs w:val="16"/>
        </w:rPr>
        <w:softHyphen/>
        <w:t>тельные силы которых противник сосредоточил на угрожающем направлении. Ежесуточно немцы выполняли вдвое больше самолето-вылетов, чем противостоявшая им 5-я ВА. Советское командо</w:t>
      </w:r>
      <w:r w:rsidRPr="00070ADE">
        <w:rPr>
          <w:rFonts w:ascii="Times New Roman" w:hAnsi="Times New Roman"/>
          <w:color w:val="000000" w:themeColor="text1"/>
          <w:sz w:val="16"/>
          <w:szCs w:val="16"/>
        </w:rPr>
        <w:softHyphen/>
        <w:t>вание, стремясь изменить создавшееся положе</w:t>
      </w:r>
      <w:r w:rsidRPr="00070ADE">
        <w:rPr>
          <w:rFonts w:ascii="Times New Roman" w:hAnsi="Times New Roman"/>
          <w:color w:val="000000" w:themeColor="text1"/>
          <w:sz w:val="16"/>
          <w:szCs w:val="16"/>
        </w:rPr>
        <w:softHyphen/>
        <w:t>ние, провело пополнение частей этой армии, а также приданных ей 4-го и 7-го ИАК РВГК. При</w:t>
      </w:r>
      <w:r w:rsidRPr="00070ADE">
        <w:rPr>
          <w:rFonts w:ascii="Times New Roman" w:hAnsi="Times New Roman"/>
          <w:color w:val="000000" w:themeColor="text1"/>
          <w:sz w:val="16"/>
          <w:szCs w:val="16"/>
        </w:rPr>
        <w:softHyphen/>
        <w:t>чем процент самолетов типа Ла-5 увеличился. Так, на 1 мая в полках 7-го ИАК было 71 Як-1/Як-7 и 50 Ла-5, а 1 июня уже 91 Як-1/Як-7 и 118 Ла-5 (11123).</w:t>
      </w:r>
    </w:p>
    <w:p w14:paraId="2C8BEEF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5B620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две ФАБ-5000 сбросили с Пе-8 (ТБ-7) на Хельсинки (1103,118).</w:t>
      </w:r>
    </w:p>
    <w:p w14:paraId="3FCCA0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3FC968"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начало 1944 года бомбардировщики Пе-8 состояли на вооружении в 25-м гв. АПДД (гвардейский авиационный полк дальнего действия), бывший 746-й АПДД, и в 890-м АПДД. Оба полка входили в состав 45-ой авиационной дивизии даль</w:t>
      </w:r>
      <w:r w:rsidRPr="00070ADE">
        <w:rPr>
          <w:rFonts w:ascii="Times New Roman" w:hAnsi="Times New Roman"/>
          <w:color w:val="000000" w:themeColor="text1"/>
          <w:sz w:val="16"/>
          <w:szCs w:val="16"/>
        </w:rPr>
        <w:softHyphen/>
        <w:t>него действия. Полки базировались на подмосковном аэродроме Кратово. В январе 1944 года было решено сформировать третий авиаполк, вооруженный бомбардировщиками Пе-8. Он также вошел в состав 45-й авиационной дивизии дальнего действия и получил номер 562. Тогда же из состава 25-го гв. АПДД и 890-го АПДД были выведены и переданы в 562-й АПДД четыре Пе-8 с заводскими номерами 4221,42099,42510 и 42610, для обучения личного состава нового палка. Однако позже, весной 1944 года, в связи с прекращением производства Пе-8, вооружение полка бомбардировщиками Пе-8 отменили, а пере</w:t>
      </w:r>
      <w:r w:rsidRPr="00070ADE">
        <w:rPr>
          <w:rFonts w:ascii="Times New Roman" w:hAnsi="Times New Roman"/>
          <w:color w:val="000000" w:themeColor="text1"/>
          <w:sz w:val="16"/>
          <w:szCs w:val="16"/>
        </w:rPr>
        <w:softHyphen/>
        <w:t>данные бомбардировщики вернули прежним владельцам. Полк решили вооружить бомбардировщиками 8-25. На переданных четырех Пе-8 полк боевых вылетов не совершал (19559).</w:t>
      </w:r>
    </w:p>
    <w:p w14:paraId="321E6496" w14:textId="77777777" w:rsidR="0018364B" w:rsidRPr="00070ADE" w:rsidRDefault="0018364B" w:rsidP="00B56F90">
      <w:pPr>
        <w:spacing w:after="0" w:line="240" w:lineRule="auto"/>
        <w:jc w:val="both"/>
        <w:rPr>
          <w:rFonts w:ascii="Times New Roman" w:hAnsi="Times New Roman"/>
          <w:color w:val="000000" w:themeColor="text1"/>
          <w:sz w:val="16"/>
          <w:szCs w:val="16"/>
        </w:rPr>
      </w:pPr>
    </w:p>
    <w:p w14:paraId="5305A5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началу 1944 г. в "ведомстве" Голованова - АДД на Ли-2 воевали 5-й авиакорпус, одна дивизия 6-го и две дивизии 7-го корпусов - в общей сложности 10 полков. Доля Ли-2 среди "дальников" осталась значительной и после того, как 6 декабря 1944 г. АДД была реорганизована в 18-ю воздушную армию, которую вернули в ВВС (3772).</w:t>
      </w:r>
    </w:p>
    <w:p w14:paraId="1A9BFC1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23AF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начале 1944 г. в 25-й ЗИАП (запасной истребительный авиаполк) поступили "Харрикейны"IID КХ140, 167, 169, 231, 233, 293, 297, 300, 415, 420, 461, 462. 468, 864, HW722, 724, KW773, 777 и PS444, 790. Все полученные истребители были оснащены моторами "Мерлин"ХХ с противопылевыми фильтрами и 40-мм пушками "Виккерс" S. Таким образом, из 60 обещанных "Харрикейнов"1Ю в строевые части советских ВВС поступили только 46 самолетов. [СССР получил несколько десятков самолетов "Харрикейн" MK.IV, в состав альтернативного (сменного) вооружения которых также входили 40-мм пушки]. Кроме того, один или два экземпляра испытывались в НИИ ВВС. К моменту прибытия "Харрикейнов" IID в 25-й ЗИАП изменилась система подготовки кадров для ВВС Вместо целых полков, отзывавшихся с фронта, стали готовить лишь отдельные экипажи для пополнения. Но "чудо-оружие" для пущего эффекта решено было применить массированно, а не распылять по разным частям. Перст судьбы явственно указывал на последний, случайно задержавшийся в 25-м истребительный авиаполк. 246-й ИАП имел биографию честную, но запутанную, как жизнь побочного сына августейшей особы. Даже местный "особист" отчаялся разобраться во всех поворотах его судьбы и согласился, что "полк имеет документы только с 27.10.1941 г." Именно тогда полк, сформированный вначале как 295-й ИАП, по устному приказу начальника Учебно-тренировочного центра ВВС Южного фронта полковника Комлева обменялся номером, печатью и штампами с 246-м ИАП [246-й ИАП был сформирован как учебный в апреле 1940 г. в г. Кировограде - Одесский ВО - на самолетах И-16 (по воспоминаниям одного из бывших начштаба полка, зафиксированных в документах Центрального архива Минобороны). (Происходили, оказывается, и такие чудеса). В июне 1942 г. 246-й (бывший 295) ИАП отбыл в 25-й ЗИАП, где освоил ЛаГГ-3. Учили полк на совесть, хотя и по устаревшей методике: индивидуальной и групповой (до 9 сам.), пилотаж, стрельба по наземным и воздушным целям, бомбометание. 3 октября 1942 г. полк, сформированный по штату 015/174 (20 экипажей), под командованием подполковника Кудряшова убыл на фронт в 235-ю ИАД 5-й ВА ВВС Закавказского фронта. Хорошая подготовка сказалась на боевых успехах: с 5.10 по 17 декабря 1942 г. в 32 воздушных боях полк сбил 38 самолетов противника: 26 Me-109, 8 Ме-110, 1 He-113 и З Ju-52. Причем воевать пришлось в экстремальных условиях: с неудобных горных аэродромов, в сезон дождей, под непрерывными </w:t>
      </w:r>
      <w:r w:rsidRPr="00070ADE">
        <w:rPr>
          <w:rFonts w:ascii="Times New Roman" w:hAnsi="Times New Roman"/>
          <w:color w:val="000000" w:themeColor="text1"/>
          <w:sz w:val="16"/>
          <w:szCs w:val="16"/>
        </w:rPr>
        <w:lastRenderedPageBreak/>
        <w:t>бомбежками и при численном превосходстве немцев. В полку появились асы - комзвена л-т П.М.Камозин сбил в одном бою 3 немецких самолета (и довел личный счет до 12 побед, был представлен к званию Героя, а 1 июля 1944 г. стал дважды Героем Советского Союза). В интенсивных боях с опытным противником полк быстро "таял": через два месяца осталось 5 самолетов: 14 ЛаГГ-3 были сбиты в воздушных боях, один уничтожен на аэродроме, три разбиты в авариях, не вернулись с заданий 9 летчиков. 17 декабря 1942 г. полк, передав 70% летного, половину техсостава и оставшиеся ЛаГГ-3, убыл на переформирование в 25-й ЗИАП (г. Аджи-Кабул, Азербайджан), где с 25 января 1943 г. начал обучение на самолетах "Аэрокобра" и "Киттихаук". Несмотря на быстрое пополнение полка до нового штата 015/284 (3 эскадрильи, 32 пилота) и интенсивное обучение, пребывание его в ЗАПе растянулось на полтора года. Летом 1943 г. П.М.Камозин, сдав на "пятерку" воздушную стрельбу, убыл в 66-й ИАП, ушли на фронт и некоторые другие опытные пилоты. Остальные еще год несли нелегкую службу в полных соблазнов условиях кавказских минеральных вод. На 1 января 1944 г. 246-й ИАП был укомплектован 37 самолетами "Харрикейн" IID (сер. номера КХ140, 165, 167. 169. 173, 175, 181, 230-233, 248, 250, 293, 294, 297-301, 303, 415, 418, 420, 462, 463, 465, 466, 468, 864-866, HW722, 724, KW773, 777 и PS790), из них 5 неисправных (КХ169, 173, 181, 299, 465). Переучивание на несложный в пилотировании и обслуживании самолет тянулось почти семь месяцев (при норме в два месяца) и сопровождалось обильными авариями, отказами и оргвыводами. Первым "открыл счет" сам комполка майор А.И. Попрыкин, совершивший 29 декабря 1943 г. вынужденную посадку на КХ169 из-за отказа мотора. 8 января 1944 г. трагично закончился полет мл. л-та П.М.Горева на КХ173 - самолет врезался в землю, летчик погиб. Правда, это была единственная катастрофа за весь период пребывания "Харрикейнов" IID в советских ВВС. Всего же в процессе обучения произошло 13 аварий в январе (6 - по вине матчасти, 7 - по вине пилотов), 3 аварии в феврале (соответственно 2 и 1), по одной в марте и апреле (отказы моторов). По докладу старшего инженера полка, отказы двигателя "Мерлин" ХХ спровоцировали значительное число аварий - 7 случаев на земле и в воздухе с октября 43-го по 18 апреля 1944 г. (3187).</w:t>
      </w:r>
    </w:p>
    <w:p w14:paraId="0D0974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DDB60E" w14:textId="77777777" w:rsidR="00A9106B" w:rsidRPr="00C94B78" w:rsidRDefault="00A9106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1944 г. 266 самолетов Ли-2 действовали в составе 10 бомбардировочных авиаполков (24982)</w:t>
      </w:r>
    </w:p>
    <w:p w14:paraId="5E9DE6D0" w14:textId="77777777" w:rsidR="00A9106B" w:rsidRPr="00C94B78" w:rsidRDefault="00A9106B" w:rsidP="00B56F90">
      <w:pPr>
        <w:spacing w:after="0" w:line="240" w:lineRule="auto"/>
        <w:jc w:val="both"/>
        <w:rPr>
          <w:rFonts w:ascii="Times New Roman" w:hAnsi="Times New Roman"/>
          <w:color w:val="0070C0"/>
          <w:sz w:val="16"/>
          <w:szCs w:val="16"/>
        </w:rPr>
      </w:pPr>
    </w:p>
    <w:p w14:paraId="6AACAE73" w14:textId="77777777" w:rsidR="00A9106B" w:rsidRPr="00C94B78" w:rsidRDefault="00A9106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 начало 1944 года в войсках числилось 2508 Т-70 и Т-70Б, из них 1284 на фронте. Годом спустя их было 1754 штуки, из них на фронте 272. Это явно намекало на то, что время 70-к прошло. Тем не менее, некоторое число Т-70 продолжали использовать как командирские танки в СПА-ах на СУ-76М. Некоторые танки умудрились дойти до Берлина, пройдя почти три года в боях. Одним словом, совсем не лишний танк. Сейчас известно более десятка Т-70, доживших до наших дней, из них несколько в ходовом состоянии. В отличие от Т-60, большинство Т-70 сохранилось в "чистом" виде, то есть как целые танки. Можно сказать, что судьба у них сложилась вполне успешно (24898).</w:t>
      </w:r>
    </w:p>
    <w:p w14:paraId="7DAD5966" w14:textId="77777777" w:rsidR="00A9106B" w:rsidRPr="00C94B78" w:rsidRDefault="00A9106B" w:rsidP="00B56F90">
      <w:pPr>
        <w:spacing w:after="0" w:line="240" w:lineRule="auto"/>
        <w:jc w:val="both"/>
        <w:rPr>
          <w:rFonts w:ascii="Times New Roman" w:hAnsi="Times New Roman"/>
          <w:color w:val="0070C0"/>
          <w:sz w:val="16"/>
          <w:szCs w:val="16"/>
        </w:rPr>
      </w:pPr>
    </w:p>
    <w:p w14:paraId="3EC8C2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года для перегонки самолетов л/л "Номад" из США сформировали специальную авиагруппу под командованием полковника В.Н.Васильева. В нее вошли по десять экипажей с Северного и Тихоокеанского флотов и шесть-с Черноморского. Перед отправкой летчиков потренировали на гидросамолетах, ведь многие из них из-за нехватки техники долго летали па сухопутных машинах и в какой-то степени утратили специфические навыки. Сдачу летающих лодок предполагалось организовать на военно-морской базе Элизабет-сити недалеко от Нового Орлеана. Первыми на место прибыли тихоокеанцы, переброшенные по трассе АЛСИБа (3457,127).</w:t>
      </w:r>
    </w:p>
    <w:p w14:paraId="36D2DA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050E26"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w:t>
      </w:r>
      <w:r w:rsidRPr="00070ADE">
        <w:rPr>
          <w:rFonts w:ascii="Times New Roman" w:hAnsi="Times New Roman"/>
          <w:color w:val="000000" w:themeColor="text1"/>
          <w:sz w:val="16"/>
          <w:szCs w:val="16"/>
        </w:rPr>
        <w:softHyphen/>
        <w:t>чале 1944 г. для перегонки самолетов Номад из США сформировали специальную авиагруппу под командованием полковни</w:t>
      </w:r>
      <w:r w:rsidRPr="00070ADE">
        <w:rPr>
          <w:rFonts w:ascii="Times New Roman" w:hAnsi="Times New Roman"/>
          <w:color w:val="000000" w:themeColor="text1"/>
          <w:sz w:val="16"/>
          <w:szCs w:val="16"/>
        </w:rPr>
        <w:softHyphen/>
        <w:t>ка В.Н. Васильева. В нее вошли по десять экипажей с Северного и Тихоокеанского флотов и шесть — с Черноморского. Перед отправкой летчиков потренировали на гидросамолетах, ведь многие из них из- за нехватки техники долго летали на су</w:t>
      </w:r>
      <w:r w:rsidRPr="00070ADE">
        <w:rPr>
          <w:rFonts w:ascii="Times New Roman" w:hAnsi="Times New Roman"/>
          <w:color w:val="000000" w:themeColor="text1"/>
          <w:sz w:val="16"/>
          <w:szCs w:val="16"/>
        </w:rPr>
        <w:softHyphen/>
        <w:t>хопутных машинах и в какой-то степени утратили специфические навыки.</w:t>
      </w:r>
    </w:p>
    <w:p w14:paraId="4DFC9248"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Сдачу летающих лодок предполага</w:t>
      </w:r>
      <w:r w:rsidRPr="00070ADE">
        <w:rPr>
          <w:rFonts w:ascii="Times New Roman" w:hAnsi="Times New Roman"/>
          <w:color w:val="000000" w:themeColor="text1"/>
          <w:sz w:val="16"/>
          <w:szCs w:val="16"/>
        </w:rPr>
        <w:softHyphen/>
        <w:t>лось организовать на военно-морской базе Элизабет-сити недалеко от Нового Орлеана. Первыми на место прибыли ти</w:t>
      </w:r>
      <w:r w:rsidRPr="00070ADE">
        <w:rPr>
          <w:rFonts w:ascii="Times New Roman" w:hAnsi="Times New Roman"/>
          <w:color w:val="000000" w:themeColor="text1"/>
          <w:sz w:val="16"/>
          <w:szCs w:val="16"/>
        </w:rPr>
        <w:softHyphen/>
        <w:t>хоокеанцы, переброшенные по трассе АЛСИБа. Они появились в Элизабет-сити 2 апреля. Там их уже ожидали подготов</w:t>
      </w:r>
      <w:r w:rsidRPr="00070ADE">
        <w:rPr>
          <w:rFonts w:ascii="Times New Roman" w:hAnsi="Times New Roman"/>
          <w:color w:val="000000" w:themeColor="text1"/>
          <w:sz w:val="16"/>
          <w:szCs w:val="16"/>
        </w:rPr>
        <w:softHyphen/>
        <w:t>ленные к сдаче 25 PBN-1. Для переподго</w:t>
      </w:r>
      <w:r w:rsidRPr="00070ADE">
        <w:rPr>
          <w:rFonts w:ascii="Times New Roman" w:hAnsi="Times New Roman"/>
          <w:color w:val="000000" w:themeColor="text1"/>
          <w:sz w:val="16"/>
          <w:szCs w:val="16"/>
        </w:rPr>
        <w:softHyphen/>
        <w:t>товки советских экипажей сформировали специальную учебную эскадрилью лей</w:t>
      </w:r>
      <w:r w:rsidRPr="00070ADE">
        <w:rPr>
          <w:rFonts w:ascii="Times New Roman" w:hAnsi="Times New Roman"/>
          <w:color w:val="000000" w:themeColor="text1"/>
          <w:sz w:val="16"/>
          <w:szCs w:val="16"/>
        </w:rPr>
        <w:softHyphen/>
        <w:t>тенанта Харпера. В обучении принимали участие и специалисты, откомандирован</w:t>
      </w:r>
      <w:r w:rsidRPr="00070ADE">
        <w:rPr>
          <w:rFonts w:ascii="Times New Roman" w:hAnsi="Times New Roman"/>
          <w:color w:val="000000" w:themeColor="text1"/>
          <w:sz w:val="16"/>
          <w:szCs w:val="16"/>
        </w:rPr>
        <w:softHyphen/>
        <w:t>ные NAF, в том числе заводской испыта</w:t>
      </w:r>
      <w:r w:rsidRPr="00070ADE">
        <w:rPr>
          <w:rFonts w:ascii="Times New Roman" w:hAnsi="Times New Roman"/>
          <w:color w:val="000000" w:themeColor="text1"/>
          <w:sz w:val="16"/>
          <w:szCs w:val="16"/>
        </w:rPr>
        <w:softHyphen/>
        <w:t>тель капитан Стюард.</w:t>
      </w:r>
    </w:p>
    <w:p w14:paraId="6D84C31F"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Поскольку в США PBN-1 почти не эксплуатировались, подготовка началась с проведения совместных испытаний са</w:t>
      </w:r>
      <w:r w:rsidRPr="00070ADE">
        <w:rPr>
          <w:rFonts w:ascii="Times New Roman" w:hAnsi="Times New Roman"/>
          <w:color w:val="000000" w:themeColor="text1"/>
          <w:sz w:val="16"/>
          <w:szCs w:val="16"/>
        </w:rPr>
        <w:softHyphen/>
        <w:t>молета при различных вариантах загруз</w:t>
      </w:r>
      <w:r w:rsidRPr="00070ADE">
        <w:rPr>
          <w:rFonts w:ascii="Times New Roman" w:hAnsi="Times New Roman"/>
          <w:color w:val="000000" w:themeColor="text1"/>
          <w:sz w:val="16"/>
          <w:szCs w:val="16"/>
        </w:rPr>
        <w:softHyphen/>
        <w:t>ки. С советской стороны в испытаниях участвовал Н.Ф. Пискарев.</w:t>
      </w:r>
    </w:p>
    <w:p w14:paraId="193E7CD7"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Первая группа закончила подготов</w:t>
      </w:r>
      <w:r w:rsidRPr="00070ADE">
        <w:rPr>
          <w:rFonts w:ascii="Times New Roman" w:hAnsi="Times New Roman"/>
          <w:color w:val="000000" w:themeColor="text1"/>
          <w:sz w:val="16"/>
          <w:szCs w:val="16"/>
        </w:rPr>
        <w:softHyphen/>
        <w:t>ку за 20 дней. В завершение каждый эки</w:t>
      </w:r>
      <w:r w:rsidRPr="00070ADE">
        <w:rPr>
          <w:rFonts w:ascii="Times New Roman" w:hAnsi="Times New Roman"/>
          <w:color w:val="000000" w:themeColor="text1"/>
          <w:sz w:val="16"/>
          <w:szCs w:val="16"/>
        </w:rPr>
        <w:softHyphen/>
        <w:t>паж совершил по два 6-часовых полета над Атлантикой для тренировки в работе с радио- и навигационной аппаратурой. Тихоокеанцев использовали в качестве инструкторов для остальных летчиков, прибывших на месяц позже, — они при</w:t>
      </w:r>
      <w:r w:rsidRPr="00070ADE">
        <w:rPr>
          <w:rFonts w:ascii="Times New Roman" w:hAnsi="Times New Roman"/>
          <w:color w:val="000000" w:themeColor="text1"/>
          <w:sz w:val="16"/>
          <w:szCs w:val="16"/>
        </w:rPr>
        <w:softHyphen/>
        <w:t>плыли из Мурманска морем.</w:t>
      </w:r>
    </w:p>
    <w:p w14:paraId="0D481242"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Первые машины должны были отправ</w:t>
      </w:r>
      <w:r w:rsidRPr="00070ADE">
        <w:rPr>
          <w:rFonts w:ascii="Times New Roman" w:hAnsi="Times New Roman"/>
          <w:color w:val="000000" w:themeColor="text1"/>
          <w:sz w:val="16"/>
          <w:szCs w:val="16"/>
        </w:rPr>
        <w:softHyphen/>
        <w:t>ляться на север — для авиации Северного флота и Беломорской военной флотилии. Лодки разбили на шесть отрядов по че</w:t>
      </w:r>
      <w:r w:rsidRPr="00070ADE">
        <w:rPr>
          <w:rFonts w:ascii="Times New Roman" w:hAnsi="Times New Roman"/>
          <w:color w:val="000000" w:themeColor="text1"/>
          <w:sz w:val="16"/>
          <w:szCs w:val="16"/>
        </w:rPr>
        <w:softHyphen/>
        <w:t>тыре самолета. Последняя, 25-я, стала ко</w:t>
      </w:r>
      <w:r w:rsidRPr="00070ADE">
        <w:rPr>
          <w:rFonts w:ascii="Times New Roman" w:hAnsi="Times New Roman"/>
          <w:color w:val="000000" w:themeColor="text1"/>
          <w:sz w:val="16"/>
          <w:szCs w:val="16"/>
        </w:rPr>
        <w:softHyphen/>
        <w:t>мандирской. Поскольку наши экипажи имели мало опыта длительных полетов, пришлось обратиться к помощи союзни</w:t>
      </w:r>
      <w:r w:rsidRPr="00070ADE">
        <w:rPr>
          <w:rFonts w:ascii="Times New Roman" w:hAnsi="Times New Roman"/>
          <w:color w:val="000000" w:themeColor="text1"/>
          <w:sz w:val="16"/>
          <w:szCs w:val="16"/>
        </w:rPr>
        <w:softHyphen/>
        <w:t>ков, причем не американцев, а англичан. В каждый экипаж вошли английские лет</w:t>
      </w:r>
      <w:r w:rsidRPr="00070ADE">
        <w:rPr>
          <w:rFonts w:ascii="Times New Roman" w:hAnsi="Times New Roman"/>
          <w:color w:val="000000" w:themeColor="text1"/>
          <w:sz w:val="16"/>
          <w:szCs w:val="16"/>
        </w:rPr>
        <w:softHyphen/>
        <w:t>чик и радист. «Выделенные... английские летчики имели звание не ниже капитана. Они обладали большим опытом участия в длительных полетах. Некоторые из них пересекали океан до 53 раз», — писал в своем отчете Пискарев.</w:t>
      </w:r>
    </w:p>
    <w:p w14:paraId="20F132C3"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летели по маршру</w:t>
      </w:r>
      <w:r w:rsidRPr="00070ADE">
        <w:rPr>
          <w:rFonts w:ascii="Times New Roman" w:hAnsi="Times New Roman"/>
          <w:color w:val="000000" w:themeColor="text1"/>
          <w:sz w:val="16"/>
          <w:szCs w:val="16"/>
        </w:rPr>
        <w:softHyphen/>
        <w:t>ту Элизабет-сити — озеро Гандер — Рейкьявик — Мурманск. Несмотря на тщательную подготовку, не обошлось без происшествий. На подходе к Исландии гидропланы так сильно обледенели, что оборвались антенны. В Рейкьявике совет</w:t>
      </w:r>
      <w:r w:rsidRPr="00070ADE">
        <w:rPr>
          <w:rFonts w:ascii="Times New Roman" w:hAnsi="Times New Roman"/>
          <w:color w:val="000000" w:themeColor="text1"/>
          <w:sz w:val="16"/>
          <w:szCs w:val="16"/>
        </w:rPr>
        <w:softHyphen/>
        <w:t>ские летчики распростились с британски</w:t>
      </w:r>
      <w:r w:rsidRPr="00070ADE">
        <w:rPr>
          <w:rFonts w:ascii="Times New Roman" w:hAnsi="Times New Roman"/>
          <w:color w:val="000000" w:themeColor="text1"/>
          <w:sz w:val="16"/>
          <w:szCs w:val="16"/>
        </w:rPr>
        <w:softHyphen/>
        <w:t>ми коллегами. Последний этап предстояло преодолеть самостоятельно. 4 июня 1944 г. первые четыре PBN-1 сели в губе Грязной. На одном из самолетов в конце полета кончился спирт в бачках антиобледени</w:t>
      </w:r>
      <w:r w:rsidRPr="00070ADE">
        <w:rPr>
          <w:rFonts w:ascii="Times New Roman" w:hAnsi="Times New Roman"/>
          <w:color w:val="000000" w:themeColor="text1"/>
          <w:sz w:val="16"/>
          <w:szCs w:val="16"/>
        </w:rPr>
        <w:softHyphen/>
        <w:t>телей. Скрепя сердце, решили слить туда виски и ром, выданные на дорогу.</w:t>
      </w:r>
    </w:p>
    <w:p w14:paraId="603532F0" w14:textId="77777777" w:rsidR="00A822F4" w:rsidRPr="00070ADE" w:rsidRDefault="00A822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третий день после посадки пере</w:t>
      </w:r>
      <w:r w:rsidRPr="00070ADE">
        <w:rPr>
          <w:rFonts w:ascii="Times New Roman" w:hAnsi="Times New Roman"/>
          <w:color w:val="000000" w:themeColor="text1"/>
          <w:sz w:val="16"/>
          <w:szCs w:val="16"/>
        </w:rPr>
        <w:softHyphen/>
        <w:t>гонщики, отдохнув, совершили полет с инспектором по пилотированию ВВС Северного флота майором Макаровым. Три из четырех первых лодок перегнали затем в Лахту для авиации Беломорской флотилии. В тот же день на одном PBN-1 вылетел экипаж командира полка С.М. Рубана (23513).</w:t>
      </w:r>
    </w:p>
    <w:p w14:paraId="73F001B1" w14:textId="77777777" w:rsidR="00A822F4" w:rsidRPr="00070ADE" w:rsidRDefault="00A822F4" w:rsidP="00B56F90">
      <w:pPr>
        <w:spacing w:after="0" w:line="240" w:lineRule="auto"/>
        <w:jc w:val="both"/>
        <w:rPr>
          <w:rFonts w:ascii="Times New Roman" w:hAnsi="Times New Roman"/>
          <w:color w:val="000000" w:themeColor="text1"/>
          <w:sz w:val="16"/>
          <w:szCs w:val="16"/>
        </w:rPr>
      </w:pPr>
    </w:p>
    <w:p w14:paraId="5218ABC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целом в начале 1944 года В-25 составляли около 10% авиапарка АДД. К концу того же года все корпуса АДД, кроме 2-го гвардейского, имели В-25, а в 4-м гвардейском корпусе он являлся основным типом. С 1944 года B-25J у нас начал постепенно сменять В-25С и B-25D. Всего в СССР но программе ленд-лиза было отправлено 870 В-25, из которых до места дошел 861. Еще некоторое количество машин интернировали после вынужденных посадок на Дальнем Востоке. В 1943-1944 годах "Митчеллы" поступили па вооружение еще нескольких полков дальней авиации - 337-го, 362-го, 747-го и других. Ими были полностью укомплектованы 4-я, 5-я и 15-я гвардейские дивизии (3457,92).</w:t>
      </w:r>
    </w:p>
    <w:p w14:paraId="17837B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497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на Балтике, где 1-й МТАП (с 19.01.42 г. - 1-й гвардейский МТАП), имевший на вооружении ДБ-3 и ДБ-3Ф, который до 1944 г. он оставался единственным на флоте (причем количество боеспособных машин полка редко превышало 20-30 самолетов), после получения достаточного количества американских A-20G и A-20DO был сформирован 51-й МТАП, который в мае того же года развернул боевые действия в Финском заливе и водах Центральной Балтики. Такая структура торпедоносной авиации сохранилась на флоте до конца войны. Обычно самолеты действовали небольшими группами по 4-12 машин, причем половину из них составляли торпедоносцы, а половину - топмачтовики. Всего торпедоносцы-балтийцы выполнили 1588 боевых вылетов, израсходовали 675 торпед, на базы не вернулись 97 самолетов (2867,31).</w:t>
      </w:r>
    </w:p>
    <w:p w14:paraId="3EB5E8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AAD1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в ЛИИ морской авиации и некоторых частях ВВС ЧФ исследовали топмачтовое бомбометание. Вероятность поражения при сбросе с 150-250 м - 0.8-0.9 на полигоне и в 2-3 раза ниже в бою. Лучшие рикошетирующие свойства у ФАБ-250 с АВ-87 в головном и АВ-1 в хвостовом очке (1085,170).</w:t>
      </w:r>
    </w:p>
    <w:p w14:paraId="2B376AE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Интересно, что англичане советовали нам еще в 1941</w:t>
      </w:r>
    </w:p>
    <w:p w14:paraId="080D83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852AE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началу 1944 г. был принят новый штат танковой бригады. В связи с началом массового выпуска танка Т-34-85, экипаж которого состоял из пяти человек (что, впрочем, не всегда соблюда</w:t>
      </w:r>
      <w:r w:rsidRPr="00070ADE">
        <w:rPr>
          <w:rFonts w:ascii="Times New Roman" w:hAnsi="Times New Roman"/>
          <w:color w:val="000000" w:themeColor="text1"/>
          <w:sz w:val="16"/>
          <w:szCs w:val="16"/>
        </w:rPr>
        <w:softHyphen/>
        <w:t>лось), в апреле 1944 г. ввиду практической бесполезности ПТР в борьбе с немецкими средними и тяжелыми танками рота противотанковых ружей мотострелкового батальона была обращена на доукомплектование экипажей новых тан</w:t>
      </w:r>
      <w:r w:rsidRPr="00070ADE">
        <w:rPr>
          <w:rFonts w:ascii="Times New Roman" w:hAnsi="Times New Roman"/>
          <w:color w:val="000000" w:themeColor="text1"/>
          <w:sz w:val="16"/>
          <w:szCs w:val="16"/>
        </w:rPr>
        <w:softHyphen/>
        <w:t>ков. На этот штат прежде других переводились танковые бригады, входившие в состав танковых и механизированных корпусов. В дальнейшем, вплоть до конца войны, организа</w:t>
      </w:r>
      <w:r w:rsidRPr="00070ADE">
        <w:rPr>
          <w:rFonts w:ascii="Times New Roman" w:hAnsi="Times New Roman"/>
          <w:color w:val="000000" w:themeColor="text1"/>
          <w:sz w:val="16"/>
          <w:szCs w:val="16"/>
        </w:rPr>
        <w:softHyphen/>
        <w:t>ция танковой бригады уже практически не менялась (11135).</w:t>
      </w:r>
    </w:p>
    <w:p w14:paraId="54CCCA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8CC1E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был утвержден штат № 04/434 отдельно</w:t>
      </w:r>
      <w:r w:rsidRPr="00070ADE">
        <w:rPr>
          <w:rFonts w:ascii="Times New Roman" w:hAnsi="Times New Roman"/>
          <w:color w:val="000000" w:themeColor="text1"/>
          <w:sz w:val="16"/>
          <w:szCs w:val="16"/>
        </w:rPr>
        <w:softHyphen/>
        <w:t>го самоходно-артиллерийского дивизиона стрелковой диви</w:t>
      </w:r>
      <w:r w:rsidRPr="00070ADE">
        <w:rPr>
          <w:rFonts w:ascii="Times New Roman" w:hAnsi="Times New Roman"/>
          <w:color w:val="000000" w:themeColor="text1"/>
          <w:sz w:val="16"/>
          <w:szCs w:val="16"/>
        </w:rPr>
        <w:softHyphen/>
        <w:t>зии в составе трех батарей (184 человека, 12 СУ-76). Отдель</w:t>
      </w:r>
      <w:r w:rsidRPr="00070ADE">
        <w:rPr>
          <w:rFonts w:ascii="Times New Roman" w:hAnsi="Times New Roman"/>
          <w:color w:val="000000" w:themeColor="text1"/>
          <w:sz w:val="16"/>
          <w:szCs w:val="16"/>
        </w:rPr>
        <w:softHyphen/>
        <w:t>ные дивизионы, сформированные по этому штату, включа</w:t>
      </w:r>
      <w:r w:rsidRPr="00070ADE">
        <w:rPr>
          <w:rFonts w:ascii="Times New Roman" w:hAnsi="Times New Roman"/>
          <w:color w:val="000000" w:themeColor="text1"/>
          <w:sz w:val="16"/>
          <w:szCs w:val="16"/>
        </w:rPr>
        <w:softHyphen/>
        <w:t>лись в состав стрелковых и воздушно-десантных дивизий вместо отдельных истребительно-противотанковых дивизи</w:t>
      </w:r>
      <w:r w:rsidRPr="00070ADE">
        <w:rPr>
          <w:rFonts w:ascii="Times New Roman" w:hAnsi="Times New Roman"/>
          <w:color w:val="000000" w:themeColor="text1"/>
          <w:sz w:val="16"/>
          <w:szCs w:val="16"/>
        </w:rPr>
        <w:softHyphen/>
        <w:t>онов. Причем за самоходно-артиллерийскими дивизионами сохранялись номера расформированных истребительно-противотанковых дивизионов. Чуть позже, в связи с перехо</w:t>
      </w:r>
      <w:r w:rsidRPr="00070ADE">
        <w:rPr>
          <w:rFonts w:ascii="Times New Roman" w:hAnsi="Times New Roman"/>
          <w:color w:val="000000" w:themeColor="text1"/>
          <w:sz w:val="16"/>
          <w:szCs w:val="16"/>
        </w:rPr>
        <w:softHyphen/>
        <w:t>дом батарей самоходной артиллерии на пятиорудийный со</w:t>
      </w:r>
      <w:r w:rsidRPr="00070ADE">
        <w:rPr>
          <w:rFonts w:ascii="Times New Roman" w:hAnsi="Times New Roman"/>
          <w:color w:val="000000" w:themeColor="text1"/>
          <w:sz w:val="16"/>
          <w:szCs w:val="16"/>
        </w:rPr>
        <w:softHyphen/>
        <w:t>став, а также недостатком кадров, штат дивизиона был изме</w:t>
      </w:r>
      <w:r w:rsidRPr="00070ADE">
        <w:rPr>
          <w:rFonts w:ascii="Times New Roman" w:hAnsi="Times New Roman"/>
          <w:color w:val="000000" w:themeColor="text1"/>
          <w:sz w:val="16"/>
          <w:szCs w:val="16"/>
        </w:rPr>
        <w:softHyphen/>
        <w:t>нен на штат № 04/568 (152 человека и 16 СУ-76) (11417).</w:t>
      </w:r>
    </w:p>
    <w:p w14:paraId="65F6E9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730F4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751DA8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DDC4A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начале 1944 г. Ме328В проходил испытания, которые в принципе подтвердили возможность достижения этой скорости. Из-за того что вибрация ПуВРД передавалась от двигателей на конструкцию самолета, в ходе испытаний произошло несколько катастроф. Это и заставило свернуть программу создания штурмовика с ПуВРД.</w:t>
      </w:r>
    </w:p>
    <w:p w14:paraId="0FCEFF3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1942 г. фирма «Мессершмитт» разработала планер-истребитель Ме328, который должен был устанавливаться по схеме «Мистель» над фюзеляжем самолета-носителя Ю88 или До217.</w:t>
      </w:r>
    </w:p>
    <w:p w14:paraId="13207BD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Сцепка поднималась на большую высоту, а после расцепления Ме328 в режиме пологого пикирования атаковал объекты противника реактивными снарядами (об этом более подробно говорится ниже). В конце 1943 г. Ме328 было решено переделать в скоростной штурмовик, который при необходимости мог бы использоваться в качестве истребителя. Первая модификация самолета – Ме328А – проходила испытания в качестве пилотируемой планирующей бомбы по образцу японских камикадзе (Шунков В.Н. Авиация люфтваффе. Минск: ХАРВЕСТ; М.: АСТ, 2000.). В носовой части самолета был размещен заряд взрывчатки весом 500 кг.</w:t>
      </w:r>
    </w:p>
    <w:p w14:paraId="603C22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Ме328А был создан штурмовик Ме328В. Он представлял собой низкоплан смешанной конструкции, был изготовлен в основном из дерева и других недефицитных материалов. Взлет самолета производился со сбрасывающейся колесной тележки, а посадка осуществлялась на выдвижную посадочную лыжу. Силовая установка самолета состояла из двух ПуВРД Аргус – такого же типа, как и на V1. Двигатели размещались под консолями крыла и развивали тягу 350 кг. Экипаж самолета состоял из одного человека. Максимальная взлетная масса составляла 4500 кг, длина фюзеляжа – 7,18 м, размах крыльев – 8,6 м, практический потолок – 10–15 км, радиус действия на высоте 10000 м – 500 км. По расчетам самолет должен был развивать очень большую по тем временам скорость – 800 км/ч (11686).</w:t>
      </w:r>
    </w:p>
    <w:p w14:paraId="7E046D3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50CEDAD" w14:textId="77777777" w:rsidR="00DD3F2D" w:rsidRPr="00070ADE" w:rsidRDefault="00DD3F2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появились Fw 189А/А в варианте ночного истребителя, предназначенный для перехвата легких тихоходных самолетов типа У-2. При переоборудовании самолет получал в носовой части гондолы радиолокатор FuG 212 «Лихтенштейн С-1» с антенной в виде четырех диполей. Эта станция работала на частоте 490 МГц, имела мощность в импульсе 1,5кВт, а эффективная даль</w:t>
      </w:r>
      <w:r w:rsidRPr="00070ADE">
        <w:rPr>
          <w:rFonts w:ascii="Times New Roman" w:hAnsi="Times New Roman"/>
          <w:color w:val="000000" w:themeColor="text1"/>
          <w:sz w:val="16"/>
          <w:szCs w:val="16"/>
        </w:rPr>
        <w:softHyphen/>
        <w:t>ность обнаружения цели не превышала 2 км. Такие характеристики, в принципе, были удовлетворительны для ночных ист</w:t>
      </w:r>
      <w:r w:rsidRPr="00070ADE">
        <w:rPr>
          <w:rFonts w:ascii="Times New Roman" w:hAnsi="Times New Roman"/>
          <w:color w:val="000000" w:themeColor="text1"/>
          <w:sz w:val="16"/>
          <w:szCs w:val="16"/>
        </w:rPr>
        <w:softHyphen/>
        <w:t>ребителей системы ПВО рейха — ведь эти самолеты взаимодействовали с сетью на</w:t>
      </w:r>
      <w:r w:rsidRPr="00070ADE">
        <w:rPr>
          <w:rFonts w:ascii="Times New Roman" w:hAnsi="Times New Roman"/>
          <w:color w:val="000000" w:themeColor="text1"/>
          <w:sz w:val="16"/>
          <w:szCs w:val="16"/>
        </w:rPr>
        <w:softHyphen/>
        <w:t>земных радаров, обеспечивающих выве</w:t>
      </w:r>
      <w:r w:rsidRPr="00070ADE">
        <w:rPr>
          <w:rFonts w:ascii="Times New Roman" w:hAnsi="Times New Roman"/>
          <w:color w:val="000000" w:themeColor="text1"/>
          <w:sz w:val="16"/>
          <w:szCs w:val="16"/>
        </w:rPr>
        <w:softHyphen/>
        <w:t>дение истребителей на цель. Но в услови</w:t>
      </w:r>
      <w:r w:rsidRPr="00070ADE">
        <w:rPr>
          <w:rFonts w:ascii="Times New Roman" w:hAnsi="Times New Roman"/>
          <w:color w:val="000000" w:themeColor="text1"/>
          <w:sz w:val="16"/>
          <w:szCs w:val="16"/>
        </w:rPr>
        <w:softHyphen/>
        <w:t>ях Восточного фронта, где наземные РЛС попросту отсутствовали, этот радар был малоэффективным. В центральной части гондолы вместо верхней подвижной пуле</w:t>
      </w:r>
      <w:r w:rsidRPr="00070ADE">
        <w:rPr>
          <w:rFonts w:ascii="Times New Roman" w:hAnsi="Times New Roman"/>
          <w:color w:val="000000" w:themeColor="text1"/>
          <w:sz w:val="16"/>
          <w:szCs w:val="16"/>
        </w:rPr>
        <w:softHyphen/>
        <w:t>метной установки смонтировали 15-мм пулемет MG 151/15 (реже устанавливали 20-мм пушку MG 151/20) фирмы «Маузер» (Mauser) в установке «Шраге музик» для стрельбы вперед-вверх. Для обеспечения светомаскировки на выхлопные патрубки двигателей устанавливали пламегасители. В этих трех доработках собственно и зак</w:t>
      </w:r>
      <w:r w:rsidRPr="00070ADE">
        <w:rPr>
          <w:rFonts w:ascii="Times New Roman" w:hAnsi="Times New Roman"/>
          <w:color w:val="000000" w:themeColor="text1"/>
          <w:sz w:val="16"/>
          <w:szCs w:val="16"/>
        </w:rPr>
        <w:softHyphen/>
        <w:t>лючалась суть конверсии разведыватель</w:t>
      </w:r>
      <w:r w:rsidRPr="00070ADE">
        <w:rPr>
          <w:rFonts w:ascii="Times New Roman" w:hAnsi="Times New Roman"/>
          <w:color w:val="000000" w:themeColor="text1"/>
          <w:sz w:val="16"/>
          <w:szCs w:val="16"/>
        </w:rPr>
        <w:softHyphen/>
        <w:t>ного самолета в ночной истребитель. Пе</w:t>
      </w:r>
      <w:r w:rsidRPr="00070ADE">
        <w:rPr>
          <w:rFonts w:ascii="Times New Roman" w:hAnsi="Times New Roman"/>
          <w:color w:val="000000" w:themeColor="text1"/>
          <w:sz w:val="16"/>
          <w:szCs w:val="16"/>
        </w:rPr>
        <w:softHyphen/>
        <w:t>ревооружение включало, помимо всего прочего, снятие всех разведывательных компонентов, и прежде всего — АФА. Бла</w:t>
      </w:r>
      <w:r w:rsidRPr="00070ADE">
        <w:rPr>
          <w:rFonts w:ascii="Times New Roman" w:hAnsi="Times New Roman"/>
          <w:color w:val="000000" w:themeColor="text1"/>
          <w:sz w:val="16"/>
          <w:szCs w:val="16"/>
        </w:rPr>
        <w:softHyphen/>
        <w:t>годаря этому, да еще сокращению экипа</w:t>
      </w:r>
      <w:r w:rsidRPr="00070ADE">
        <w:rPr>
          <w:rFonts w:ascii="Times New Roman" w:hAnsi="Times New Roman"/>
          <w:color w:val="000000" w:themeColor="text1"/>
          <w:sz w:val="16"/>
          <w:szCs w:val="16"/>
        </w:rPr>
        <w:softHyphen/>
        <w:t>жа до двух человек, взлетный вес самоле</w:t>
      </w:r>
      <w:r w:rsidRPr="00070ADE">
        <w:rPr>
          <w:rFonts w:ascii="Times New Roman" w:hAnsi="Times New Roman"/>
          <w:color w:val="000000" w:themeColor="text1"/>
          <w:sz w:val="16"/>
          <w:szCs w:val="16"/>
        </w:rPr>
        <w:softHyphen/>
        <w:t>та удалось удержать в приемлемых пре</w:t>
      </w:r>
      <w:r w:rsidRPr="00070ADE">
        <w:rPr>
          <w:rFonts w:ascii="Times New Roman" w:hAnsi="Times New Roman"/>
          <w:color w:val="000000" w:themeColor="text1"/>
          <w:sz w:val="16"/>
          <w:szCs w:val="16"/>
        </w:rPr>
        <w:softHyphen/>
        <w:t>делах, несмотря на установку довольно массивного радиолокационного оборудо</w:t>
      </w:r>
      <w:r w:rsidRPr="00070ADE">
        <w:rPr>
          <w:rFonts w:ascii="Times New Roman" w:hAnsi="Times New Roman"/>
          <w:color w:val="000000" w:themeColor="text1"/>
          <w:sz w:val="16"/>
          <w:szCs w:val="16"/>
        </w:rPr>
        <w:softHyphen/>
        <w:t>вания. Считается, что в общей сложности в истребительный вариант было переобо</w:t>
      </w:r>
      <w:r w:rsidRPr="00070ADE">
        <w:rPr>
          <w:rFonts w:ascii="Times New Roman" w:hAnsi="Times New Roman"/>
          <w:color w:val="000000" w:themeColor="text1"/>
          <w:sz w:val="16"/>
          <w:szCs w:val="16"/>
        </w:rPr>
        <w:softHyphen/>
        <w:t>рудовано порядка трех десятков Fw 189А (24188).</w:t>
      </w:r>
    </w:p>
    <w:p w14:paraId="2C06CF6E" w14:textId="77777777" w:rsidR="00DD3F2D" w:rsidRPr="00070ADE" w:rsidRDefault="00DD3F2D" w:rsidP="00B56F90">
      <w:pPr>
        <w:spacing w:after="0" w:line="240" w:lineRule="auto"/>
        <w:jc w:val="both"/>
        <w:rPr>
          <w:rFonts w:ascii="Times New Roman" w:hAnsi="Times New Roman"/>
          <w:color w:val="000000" w:themeColor="text1"/>
          <w:sz w:val="16"/>
          <w:szCs w:val="16"/>
        </w:rPr>
      </w:pPr>
    </w:p>
    <w:p w14:paraId="1C5070AD" w14:textId="77777777" w:rsidR="00DD3F2D" w:rsidRPr="00070ADE" w:rsidRDefault="00DD3F2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агент гестапо, молодая женщина, работавшая зубным врачом в клинике ракетного центра, донесла, что в частных беседах Браун, Г. Греттруп и К. Ридель сожалеют о том, что из-за войны они не могут заниматься ракетой для вывода исследовательского аппарата на орбиту вокруг Земли. Более того, по словам информатора «интеллигенты» считали, что ход войны складывается неудачно для Германии. А это уже было проявлением «пораженческих настроений»! Сигнал дошел до рейхсфюрера СС Гиммлера и в его голове сложилась «картинка»: Браун в победу Рейха не верит, передачу ракеты в серийное производство намеренно затягивает, собирается удрать на самолете в Швецию, до которой рукой подать, а оттуда в Англию! И 14 марта 1944 г. гестапо арестовало Брауна, а вместе с ним Риделя и Греттрупа. Не успели они понять что к чему, как оказались в тюрьме города Штеттин. Им грозило обвинение в государственной изизмене с соответствующими последствиями (23372).</w:t>
      </w:r>
    </w:p>
    <w:p w14:paraId="54FF5BC9" w14:textId="77777777" w:rsidR="00DD3F2D" w:rsidRPr="00070ADE" w:rsidRDefault="00DD3F2D" w:rsidP="00B56F90">
      <w:pPr>
        <w:spacing w:after="0" w:line="240" w:lineRule="auto"/>
        <w:jc w:val="both"/>
        <w:rPr>
          <w:rFonts w:ascii="Times New Roman" w:hAnsi="Times New Roman"/>
          <w:color w:val="000000" w:themeColor="text1"/>
          <w:sz w:val="16"/>
          <w:szCs w:val="16"/>
        </w:rPr>
      </w:pPr>
    </w:p>
    <w:p w14:paraId="63711E09" w14:textId="77777777" w:rsidR="00DD3F2D" w:rsidRPr="00070ADE" w:rsidRDefault="00DD3F2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была сделана попытка решения проблемы продолжительности поле</w:t>
      </w:r>
      <w:r w:rsidRPr="00070ADE">
        <w:rPr>
          <w:rFonts w:ascii="Times New Roman" w:hAnsi="Times New Roman"/>
          <w:color w:val="000000" w:themeColor="text1"/>
          <w:sz w:val="16"/>
          <w:szCs w:val="16"/>
        </w:rPr>
        <w:softHyphen/>
        <w:t>та и маневренности на земле и специа</w:t>
      </w:r>
      <w:r w:rsidRPr="00070ADE">
        <w:rPr>
          <w:rFonts w:ascii="Times New Roman" w:hAnsi="Times New Roman"/>
          <w:color w:val="000000" w:themeColor="text1"/>
          <w:sz w:val="16"/>
          <w:szCs w:val="16"/>
        </w:rPr>
        <w:softHyphen/>
        <w:t>листы решили, предложив два проекта - Ме.16ЗС с более емкими баками и Me.163D с изменен</w:t>
      </w:r>
      <w:r w:rsidRPr="00070ADE">
        <w:rPr>
          <w:rFonts w:ascii="Times New Roman" w:hAnsi="Times New Roman"/>
          <w:color w:val="000000" w:themeColor="text1"/>
          <w:sz w:val="16"/>
          <w:szCs w:val="16"/>
        </w:rPr>
        <w:softHyphen/>
        <w:t>ным (увеличенным) фюзеляжем и уби</w:t>
      </w:r>
      <w:r w:rsidRPr="00070ADE">
        <w:rPr>
          <w:rFonts w:ascii="Times New Roman" w:hAnsi="Times New Roman"/>
          <w:color w:val="000000" w:themeColor="text1"/>
          <w:sz w:val="16"/>
          <w:szCs w:val="16"/>
        </w:rPr>
        <w:softHyphen/>
        <w:t>раемым трехстоечным шасси.</w:t>
      </w:r>
    </w:p>
    <w:p w14:paraId="059A2E51" w14:textId="77777777" w:rsidR="00DD3F2D" w:rsidRPr="00070ADE" w:rsidRDefault="00DD3F2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Первый опытный Me.163D V1 испы</w:t>
      </w:r>
      <w:r w:rsidRPr="00070ADE">
        <w:rPr>
          <w:rFonts w:ascii="Times New Roman" w:hAnsi="Times New Roman"/>
          <w:color w:val="000000" w:themeColor="text1"/>
          <w:sz w:val="16"/>
          <w:szCs w:val="16"/>
        </w:rPr>
        <w:softHyphen/>
        <w:t>тывался в планерном полете весной 1944 г., но у Мессершмитта не хватало людей закончить эту работу. В результа</w:t>
      </w:r>
      <w:r w:rsidRPr="00070ADE">
        <w:rPr>
          <w:rFonts w:ascii="Times New Roman" w:hAnsi="Times New Roman"/>
          <w:color w:val="000000" w:themeColor="text1"/>
          <w:sz w:val="16"/>
          <w:szCs w:val="16"/>
        </w:rPr>
        <w:softHyphen/>
        <w:t>те самолет передали на фирму Юнкерса и переделали. Предсерийный образец, названный Ju.248 V1, бьл закончен в августе 1944 г. и испытан в планерном варианте. К сентябрю на нем установи</w:t>
      </w:r>
      <w:r w:rsidRPr="00070ADE">
        <w:rPr>
          <w:rFonts w:ascii="Times New Roman" w:hAnsi="Times New Roman"/>
          <w:color w:val="000000" w:themeColor="text1"/>
          <w:sz w:val="16"/>
          <w:szCs w:val="16"/>
        </w:rPr>
        <w:softHyphen/>
        <w:t>ли двухкамерный двигатель 109-509.С и планировали передать в серию. Минис</w:t>
      </w:r>
      <w:r w:rsidRPr="00070ADE">
        <w:rPr>
          <w:rFonts w:ascii="Times New Roman" w:hAnsi="Times New Roman"/>
          <w:color w:val="000000" w:themeColor="text1"/>
          <w:sz w:val="16"/>
          <w:szCs w:val="16"/>
        </w:rPr>
        <w:softHyphen/>
        <w:t>терство авиации настояло на возвраще</w:t>
      </w:r>
      <w:r w:rsidRPr="00070ADE">
        <w:rPr>
          <w:rFonts w:ascii="Times New Roman" w:hAnsi="Times New Roman"/>
          <w:color w:val="000000" w:themeColor="text1"/>
          <w:sz w:val="16"/>
          <w:szCs w:val="16"/>
        </w:rPr>
        <w:softHyphen/>
        <w:t>нии к названию Ме. 263; кроме того, планировали заменить исходный двига</w:t>
      </w:r>
      <w:r w:rsidRPr="00070ADE">
        <w:rPr>
          <w:rFonts w:ascii="Times New Roman" w:hAnsi="Times New Roman"/>
          <w:color w:val="000000" w:themeColor="text1"/>
          <w:sz w:val="16"/>
          <w:szCs w:val="16"/>
        </w:rPr>
        <w:softHyphen/>
        <w:t>тель на ВММ 708, работавший на азот</w:t>
      </w:r>
      <w:r w:rsidRPr="00070ADE">
        <w:rPr>
          <w:rFonts w:ascii="Times New Roman" w:hAnsi="Times New Roman"/>
          <w:color w:val="000000" w:themeColor="text1"/>
          <w:sz w:val="16"/>
          <w:szCs w:val="16"/>
        </w:rPr>
        <w:softHyphen/>
        <w:t>ной кислоте. Однако ухудшенне положе</w:t>
      </w:r>
      <w:r w:rsidRPr="00070ADE">
        <w:rPr>
          <w:rFonts w:ascii="Times New Roman" w:hAnsi="Times New Roman"/>
          <w:color w:val="000000" w:themeColor="text1"/>
          <w:sz w:val="16"/>
          <w:szCs w:val="16"/>
        </w:rPr>
        <w:softHyphen/>
        <w:t>ния на фронте не позволило завершить подготовку серийного производства.</w:t>
      </w:r>
    </w:p>
    <w:p w14:paraId="06EF9440" w14:textId="77777777" w:rsidR="00DD3F2D" w:rsidRPr="00070ADE" w:rsidRDefault="00DD3F2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Опытный Ме. 263 V1 так и остался в единственном экземпляре. Он был зах</w:t>
      </w:r>
      <w:r w:rsidRPr="00070ADE">
        <w:rPr>
          <w:rFonts w:ascii="Times New Roman" w:hAnsi="Times New Roman"/>
          <w:color w:val="000000" w:themeColor="text1"/>
          <w:sz w:val="16"/>
          <w:szCs w:val="16"/>
        </w:rPr>
        <w:softHyphen/>
        <w:t>вачен Красной Армией в Дессау и отп</w:t>
      </w:r>
      <w:r w:rsidRPr="00070ADE">
        <w:rPr>
          <w:rFonts w:ascii="Times New Roman" w:hAnsi="Times New Roman"/>
          <w:color w:val="000000" w:themeColor="text1"/>
          <w:sz w:val="16"/>
          <w:szCs w:val="16"/>
        </w:rPr>
        <w:softHyphen/>
        <w:t>равлен в СССР. В феврале 1946 г. ОКБ Артема Ивановича Микояна было пору</w:t>
      </w:r>
      <w:r w:rsidRPr="00070ADE">
        <w:rPr>
          <w:rFonts w:ascii="Times New Roman" w:hAnsi="Times New Roman"/>
          <w:color w:val="000000" w:themeColor="text1"/>
          <w:sz w:val="16"/>
          <w:szCs w:val="16"/>
        </w:rPr>
        <w:softHyphen/>
        <w:t>чено создать на его основе истребитель И-270 для защиты с воздуха крупных промышленных объектов и военных баз (23388).</w:t>
      </w:r>
    </w:p>
    <w:p w14:paraId="3016FEEB" w14:textId="77777777" w:rsidR="00DD3F2D" w:rsidRPr="00070ADE" w:rsidRDefault="00DD3F2D" w:rsidP="00B56F90">
      <w:pPr>
        <w:spacing w:after="0" w:line="240" w:lineRule="auto"/>
        <w:jc w:val="both"/>
        <w:rPr>
          <w:rFonts w:ascii="Times New Roman" w:hAnsi="Times New Roman"/>
          <w:color w:val="000000" w:themeColor="text1"/>
          <w:sz w:val="16"/>
          <w:szCs w:val="16"/>
        </w:rPr>
      </w:pPr>
    </w:p>
    <w:p w14:paraId="728652CB" w14:textId="77777777" w:rsidR="00A9106B" w:rsidRPr="00C94B78" w:rsidRDefault="00A9106B"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начале 1944 года авиаци</w:t>
      </w:r>
      <w:r w:rsidRPr="00C94B78">
        <w:rPr>
          <w:rStyle w:val="aff1"/>
          <w:rFonts w:ascii="Times New Roman" w:hAnsi="Times New Roman" w:cs="Times New Roman"/>
          <w:color w:val="0070C0"/>
          <w:spacing w:val="0"/>
          <w:sz w:val="16"/>
          <w:szCs w:val="16"/>
        </w:rPr>
        <w:softHyphen/>
        <w:t>онная промышленность Германии выпусти</w:t>
      </w:r>
      <w:r w:rsidRPr="00C94B78">
        <w:rPr>
          <w:rStyle w:val="aff1"/>
          <w:rFonts w:ascii="Times New Roman" w:hAnsi="Times New Roman" w:cs="Times New Roman"/>
          <w:color w:val="0070C0"/>
          <w:spacing w:val="0"/>
          <w:sz w:val="16"/>
          <w:szCs w:val="16"/>
        </w:rPr>
        <w:softHyphen/>
        <w:t>ла 30 предсерийных самолетов-истребите</w:t>
      </w:r>
      <w:r w:rsidRPr="00C94B78">
        <w:rPr>
          <w:rStyle w:val="aff1"/>
          <w:rFonts w:ascii="Times New Roman" w:hAnsi="Times New Roman" w:cs="Times New Roman"/>
          <w:color w:val="0070C0"/>
          <w:spacing w:val="0"/>
          <w:sz w:val="16"/>
          <w:szCs w:val="16"/>
        </w:rPr>
        <w:softHyphen/>
        <w:t>лей под обозначением Ме.262А-0, предназначавшихся для опытной эксплуатации. По</w:t>
      </w:r>
      <w:r w:rsidRPr="00C94B78">
        <w:rPr>
          <w:rStyle w:val="aff1"/>
          <w:rFonts w:ascii="Times New Roman" w:hAnsi="Times New Roman" w:cs="Times New Roman"/>
          <w:color w:val="0070C0"/>
          <w:spacing w:val="0"/>
          <w:sz w:val="16"/>
          <w:szCs w:val="16"/>
        </w:rPr>
        <w:softHyphen/>
        <w:t>ловина из них поступила в испытательную команду «262» во главе с капитаном Тхирфельдером (аэродром Лехвельде возле Ауг</w:t>
      </w:r>
      <w:r w:rsidRPr="00C94B78">
        <w:rPr>
          <w:rStyle w:val="aff1"/>
          <w:rFonts w:ascii="Times New Roman" w:hAnsi="Times New Roman" w:cs="Times New Roman"/>
          <w:color w:val="0070C0"/>
          <w:spacing w:val="0"/>
          <w:sz w:val="16"/>
          <w:szCs w:val="16"/>
        </w:rPr>
        <w:softHyphen/>
        <w:t>сбурга, где отрабатывали тактику боевого применения и готовили пилотов реактивной авиации(. Остальные - в испытательный центр в Рехлине.</w:t>
      </w:r>
    </w:p>
    <w:p w14:paraId="262332A7" w14:textId="77777777" w:rsidR="00A9106B" w:rsidRPr="00C94B78" w:rsidRDefault="00A9106B" w:rsidP="00B56F90">
      <w:pPr>
        <w:spacing w:after="0" w:line="240" w:lineRule="auto"/>
        <w:jc w:val="both"/>
        <w:rPr>
          <w:rFonts w:ascii="Times New Roman" w:hAnsi="Times New Roman"/>
          <w:i/>
          <w:iCs/>
          <w:color w:val="0070C0"/>
          <w:sz w:val="16"/>
          <w:szCs w:val="16"/>
        </w:rPr>
      </w:pPr>
      <w:r w:rsidRPr="00C94B78">
        <w:rPr>
          <w:rStyle w:val="aff1"/>
          <w:rFonts w:ascii="Times New Roman" w:hAnsi="Times New Roman" w:cs="Times New Roman"/>
          <w:color w:val="0070C0"/>
          <w:spacing w:val="0"/>
          <w:sz w:val="16"/>
          <w:szCs w:val="16"/>
        </w:rPr>
        <w:t>Одной из труднейших задач, решить ко</w:t>
      </w:r>
      <w:r w:rsidRPr="00C94B78">
        <w:rPr>
          <w:rStyle w:val="aff1"/>
          <w:rFonts w:ascii="Times New Roman" w:hAnsi="Times New Roman" w:cs="Times New Roman"/>
          <w:color w:val="0070C0"/>
          <w:spacing w:val="0"/>
          <w:sz w:val="16"/>
          <w:szCs w:val="16"/>
        </w:rPr>
        <w:softHyphen/>
        <w:t>торую долго не могли авиационные специа</w:t>
      </w:r>
      <w:r w:rsidRPr="00C94B78">
        <w:rPr>
          <w:rStyle w:val="aff1"/>
          <w:rFonts w:ascii="Times New Roman" w:hAnsi="Times New Roman" w:cs="Times New Roman"/>
          <w:color w:val="0070C0"/>
          <w:spacing w:val="0"/>
          <w:sz w:val="16"/>
          <w:szCs w:val="16"/>
        </w:rPr>
        <w:softHyphen/>
        <w:t>листы, была связана с затягиванием в пике реактивных самолетов и необходимо было со</w:t>
      </w:r>
      <w:r w:rsidRPr="00C94B78">
        <w:rPr>
          <w:rStyle w:val="aff1"/>
          <w:rFonts w:ascii="Times New Roman" w:hAnsi="Times New Roman" w:cs="Times New Roman"/>
          <w:color w:val="0070C0"/>
          <w:spacing w:val="0"/>
          <w:sz w:val="16"/>
          <w:szCs w:val="16"/>
        </w:rPr>
        <w:softHyphen/>
        <w:t>брать и систематизировать возможно более полный материал по полетам с большими числами Маха (25113).</w:t>
      </w:r>
    </w:p>
    <w:p w14:paraId="2F5B02B7" w14:textId="77777777" w:rsidR="00A9106B" w:rsidRPr="00C94B78" w:rsidRDefault="00A9106B" w:rsidP="00B56F90">
      <w:pPr>
        <w:spacing w:after="0" w:line="240" w:lineRule="auto"/>
        <w:jc w:val="both"/>
        <w:rPr>
          <w:rFonts w:ascii="Times New Roman" w:hAnsi="Times New Roman"/>
          <w:color w:val="0070C0"/>
          <w:sz w:val="16"/>
          <w:szCs w:val="16"/>
        </w:rPr>
      </w:pPr>
    </w:p>
    <w:p w14:paraId="7D3E4287" w14:textId="7906EEE6" w:rsidR="00DD3F2D" w:rsidRPr="00070ADE" w:rsidRDefault="00DD3F2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Артиллерийское бюро армии США (Ordnance Department) обратилось к</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ЛРД (JPL) Калтеха в Пасадене с</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просьбой разработать ракеты оперативно-тактического назначения. Был заключен договор, который привел к</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разработке ракет «Private» (Рядовой), «Corporal» (Капрал) и «Sergeant» (Сержант). Две из них — MGM5 «Капрал» и MGM-29 «Сержант» были приняты на вооружение вскоре после войны. Они стали первыми баллистическими ракетами в армии США. Кроме того, ЛРД разработала управляемую зенитную ракету «Loki» и дозвуковую ракету «Aerobee». Испытания своих новых ракет ЛРД проводила на полигонах «Белые Пески» (White Sands) и</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«Золотой Камень» (Gold Stone), а также на базе ВВС Эдвардс (Edwards) (23372).</w:t>
      </w:r>
    </w:p>
    <w:p w14:paraId="588B27FB" w14:textId="77777777" w:rsidR="00DD3F2D" w:rsidRPr="00070ADE" w:rsidRDefault="00DD3F2D" w:rsidP="00B56F90">
      <w:pPr>
        <w:spacing w:after="0" w:line="240" w:lineRule="auto"/>
        <w:jc w:val="both"/>
        <w:rPr>
          <w:rFonts w:ascii="Times New Roman" w:hAnsi="Times New Roman"/>
          <w:color w:val="000000" w:themeColor="text1"/>
          <w:sz w:val="16"/>
          <w:szCs w:val="16"/>
        </w:rPr>
      </w:pPr>
    </w:p>
    <w:p w14:paraId="799C65D1" w14:textId="77777777" w:rsidR="00DD3F2D" w:rsidRPr="00070ADE" w:rsidRDefault="00DD3F2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года на Ferand and Delorme Ltd начался выпуск бронированных снегоходов (до марта 1945 года построили 410 единиц). Из них в Канаде осталось 11 единиц, 396 попало в Англию, а 3 — в СССР (18251).</w:t>
      </w:r>
    </w:p>
    <w:p w14:paraId="7FFB0D51" w14:textId="77777777" w:rsidR="00DD3F2D" w:rsidRPr="00070ADE" w:rsidRDefault="00DD3F2D" w:rsidP="00B56F90">
      <w:pPr>
        <w:spacing w:after="0" w:line="240" w:lineRule="auto"/>
        <w:jc w:val="both"/>
        <w:rPr>
          <w:rFonts w:ascii="Times New Roman" w:hAnsi="Times New Roman"/>
          <w:color w:val="000000" w:themeColor="text1"/>
          <w:sz w:val="16"/>
          <w:szCs w:val="16"/>
        </w:rPr>
      </w:pPr>
    </w:p>
    <w:p w14:paraId="5D3AC925" w14:textId="77777777" w:rsidR="00DD3F2D" w:rsidRPr="00070ADE" w:rsidRDefault="00DD3F2D" w:rsidP="00B56F90">
      <w:pPr>
        <w:pStyle w:val="rtejustify"/>
        <w:shd w:val="clear" w:color="auto" w:fill="FFFFFF"/>
        <w:spacing w:before="0" w:after="0"/>
        <w:rPr>
          <w:color w:val="000000" w:themeColor="text1"/>
          <w:sz w:val="16"/>
          <w:szCs w:val="16"/>
        </w:rPr>
      </w:pPr>
      <w:r w:rsidRPr="00070ADE">
        <w:rPr>
          <w:color w:val="000000" w:themeColor="text1"/>
          <w:sz w:val="16"/>
          <w:szCs w:val="16"/>
        </w:rPr>
        <w:t>В начале 1944 года пошла в серию очередная бомбардировочная модификация F-8, сделанная на основе планера А-8 с крупнокалиберными пулеметами под капотом. На ней опять появился подфюзеляжный пилон ЕТС-501 в комплекте с четырьмя подкрыльевыми бомбодержателями ЕТС-50 или более новыми ЕТС-71.</w:t>
      </w:r>
    </w:p>
    <w:p w14:paraId="33437FDC" w14:textId="77777777" w:rsidR="00DD3F2D" w:rsidRPr="00070ADE" w:rsidRDefault="00DD3F2D" w:rsidP="00B56F90">
      <w:pPr>
        <w:pStyle w:val="rtejustify"/>
        <w:shd w:val="clear" w:color="auto" w:fill="FFFFFF"/>
        <w:spacing w:before="0" w:after="0"/>
        <w:rPr>
          <w:color w:val="000000" w:themeColor="text1"/>
          <w:sz w:val="16"/>
          <w:szCs w:val="16"/>
        </w:rPr>
      </w:pPr>
      <w:r w:rsidRPr="00070ADE">
        <w:rPr>
          <w:color w:val="000000" w:themeColor="text1"/>
          <w:sz w:val="16"/>
          <w:szCs w:val="16"/>
        </w:rPr>
        <w:t>Параллельно с фронтовыми истребителями-бомбардировщиками серии F на базе «Фокке-Вульфа» выпускались дальние истребители-бомбардировщики серии G. У них еще более облегчили стрелковое вооружение, убрав синхронные пулеметы и оставив только две пушки MG-151 в центроплане. Впрочем, даже такое «очень слабое», по немецким меркам, вооружение по огневой мощи не уступало Ла-5.</w:t>
      </w:r>
    </w:p>
    <w:p w14:paraId="3F8CF895" w14:textId="77777777" w:rsidR="00DD3F2D" w:rsidRPr="00070ADE" w:rsidRDefault="00DD3F2D" w:rsidP="00B56F90">
      <w:pPr>
        <w:pStyle w:val="rtejustify"/>
        <w:shd w:val="clear" w:color="auto" w:fill="FFFFFF"/>
        <w:spacing w:before="0" w:after="0"/>
        <w:rPr>
          <w:color w:val="000000" w:themeColor="text1"/>
          <w:sz w:val="16"/>
          <w:szCs w:val="16"/>
        </w:rPr>
      </w:pPr>
      <w:r w:rsidRPr="00070ADE">
        <w:rPr>
          <w:color w:val="000000" w:themeColor="text1"/>
          <w:sz w:val="16"/>
          <w:szCs w:val="16"/>
        </w:rPr>
        <w:t>FW 190G были оборудованы подфюзеляжным бомбовым пилоном ЕТС-501 и двумя подкрыльевыми ЕТС-250. Таким образом, они могли нести 500-килограммовую бомбу и два 300-литровых подвесных бака. При «работе» на малую дальность на подкрыльевые пилоны иногда вешали 250-килограммовые бомбы, в результате чего масса боевой нагрузки достигала тонны.</w:t>
      </w:r>
    </w:p>
    <w:p w14:paraId="1E2947EB" w14:textId="77777777" w:rsidR="00DD3F2D" w:rsidRPr="00070ADE" w:rsidRDefault="00DD3F2D" w:rsidP="00B56F90">
      <w:pPr>
        <w:pStyle w:val="rtejustify"/>
        <w:shd w:val="clear" w:color="auto" w:fill="FFFFFF"/>
        <w:spacing w:before="0" w:after="0"/>
        <w:rPr>
          <w:color w:val="000000" w:themeColor="text1"/>
          <w:sz w:val="16"/>
          <w:szCs w:val="16"/>
        </w:rPr>
      </w:pPr>
      <w:r w:rsidRPr="00070ADE">
        <w:rPr>
          <w:color w:val="000000" w:themeColor="text1"/>
          <w:sz w:val="16"/>
          <w:szCs w:val="16"/>
        </w:rPr>
        <w:t>Рассматривать ТТХ нагруженного подобным образом «Фокке-Вульфа» в сравнении с «яками» и «лавочкиными» бессмысленно, поскольку это уже не истребитель, а бомбардировщик. Но, освободившись от бомб, он в принципе мог вступить в воздушный бой, и в этом случае его характеристики примерно соответствовали летным данным «Фокке-Вульфа» серии «А», так как увеличение веса из-за дополнительного бронирования и ухудшение аэродинамики за счет бомбовых пилонов компенсировалось облегчением стрелкового вооружения (19178).</w:t>
      </w:r>
    </w:p>
    <w:p w14:paraId="30B8C968" w14:textId="77777777" w:rsidR="00DD3F2D" w:rsidRPr="00070ADE" w:rsidRDefault="00DD3F2D" w:rsidP="00B56F90">
      <w:pPr>
        <w:pStyle w:val="rtejustify"/>
        <w:shd w:val="clear" w:color="auto" w:fill="FFFFFF"/>
        <w:spacing w:before="0" w:after="0"/>
        <w:rPr>
          <w:color w:val="000000" w:themeColor="text1"/>
          <w:sz w:val="16"/>
          <w:szCs w:val="16"/>
        </w:rPr>
      </w:pPr>
    </w:p>
    <w:p w14:paraId="0ADE4287" w14:textId="77777777" w:rsidR="0035263A" w:rsidRPr="00070ADE" w:rsidRDefault="0035263A" w:rsidP="00B56F90">
      <w:pPr>
        <w:pStyle w:val="92"/>
        <w:shd w:val="clear" w:color="auto" w:fill="auto"/>
        <w:spacing w:after="0" w:line="240" w:lineRule="auto"/>
        <w:ind w:firstLine="0"/>
        <w:jc w:val="both"/>
        <w:rPr>
          <w:color w:val="000000" w:themeColor="text1"/>
          <w:sz w:val="16"/>
          <w:szCs w:val="16"/>
        </w:rPr>
      </w:pPr>
      <w:r w:rsidRPr="00070ADE">
        <w:rPr>
          <w:color w:val="000000" w:themeColor="text1"/>
          <w:sz w:val="16"/>
          <w:szCs w:val="16"/>
        </w:rPr>
        <w:t xml:space="preserve">В начале 1944 года к выпуску В-29 подключили предприятие «Белл Эйркрафт Корпорейшн» в Мариетте (штат Джорджия), </w:t>
      </w:r>
      <w:r w:rsidRPr="00070ADE">
        <w:rPr>
          <w:rStyle w:val="ArialUnicodeMS"/>
          <w:rFonts w:ascii="Times New Roman"/>
          <w:b w:val="0"/>
          <w:color w:val="000000" w:themeColor="text1"/>
          <w:szCs w:val="16"/>
        </w:rPr>
        <w:t>и</w:t>
      </w:r>
      <w:r w:rsidRPr="00070ADE">
        <w:rPr>
          <w:color w:val="000000" w:themeColor="text1"/>
          <w:sz w:val="16"/>
          <w:szCs w:val="16"/>
        </w:rPr>
        <w:t xml:space="preserve"> в феврале с конвейера завода сошел пер</w:t>
      </w:r>
      <w:r w:rsidRPr="00070ADE">
        <w:rPr>
          <w:color w:val="000000" w:themeColor="text1"/>
          <w:sz w:val="16"/>
          <w:szCs w:val="16"/>
        </w:rPr>
        <w:softHyphen/>
        <w:t>вый серийный В-29. Выпускавшиеся «Бел- том» самолеты обозначались В-29ВА.</w:t>
      </w:r>
    </w:p>
    <w:p w14:paraId="0BAAF868" w14:textId="77777777" w:rsidR="0035263A" w:rsidRPr="00070ADE" w:rsidRDefault="0035263A" w:rsidP="00B56F90">
      <w:pPr>
        <w:pStyle w:val="92"/>
        <w:shd w:val="clear" w:color="auto" w:fill="auto"/>
        <w:spacing w:after="0" w:line="240" w:lineRule="auto"/>
        <w:ind w:firstLine="0"/>
        <w:jc w:val="both"/>
        <w:rPr>
          <w:color w:val="000000" w:themeColor="text1"/>
          <w:sz w:val="16"/>
          <w:szCs w:val="16"/>
        </w:rPr>
      </w:pPr>
      <w:r w:rsidRPr="00070ADE">
        <w:rPr>
          <w:color w:val="000000" w:themeColor="text1"/>
          <w:sz w:val="16"/>
          <w:szCs w:val="16"/>
        </w:rPr>
        <w:t>Затем выпуск В-29 освоили заводы ком</w:t>
      </w:r>
      <w:r w:rsidRPr="00070ADE">
        <w:rPr>
          <w:color w:val="000000" w:themeColor="text1"/>
          <w:sz w:val="16"/>
          <w:szCs w:val="16"/>
        </w:rPr>
        <w:softHyphen/>
        <w:t>пании «Гленн Мартин» в Омахе (штат Не</w:t>
      </w:r>
      <w:r w:rsidRPr="00070ADE">
        <w:rPr>
          <w:color w:val="000000" w:themeColor="text1"/>
          <w:sz w:val="16"/>
          <w:szCs w:val="16"/>
        </w:rPr>
        <w:softHyphen/>
        <w:t xml:space="preserve">браска), ее самолеты получили обозначение </w:t>
      </w:r>
      <w:r w:rsidRPr="00070ADE">
        <w:rPr>
          <w:rStyle w:val="ArialUnicodeMS"/>
          <w:rFonts w:ascii="Times New Roman"/>
          <w:b w:val="0"/>
          <w:color w:val="000000" w:themeColor="text1"/>
          <w:szCs w:val="16"/>
        </w:rPr>
        <w:t>3</w:t>
      </w:r>
      <w:r w:rsidRPr="00070ADE">
        <w:rPr>
          <w:color w:val="000000" w:themeColor="text1"/>
          <w:sz w:val="16"/>
          <w:szCs w:val="16"/>
        </w:rPr>
        <w:t>-29-МО. В середине 1944 года на заводе компании построили первую машину.</w:t>
      </w:r>
    </w:p>
    <w:p w14:paraId="39086C92" w14:textId="77777777" w:rsidR="0035263A" w:rsidRPr="00070ADE" w:rsidRDefault="0035263A" w:rsidP="00B56F90">
      <w:pPr>
        <w:pStyle w:val="92"/>
        <w:shd w:val="clear" w:color="auto" w:fill="auto"/>
        <w:spacing w:after="0" w:line="240" w:lineRule="auto"/>
        <w:ind w:firstLine="0"/>
        <w:jc w:val="both"/>
        <w:rPr>
          <w:color w:val="000000" w:themeColor="text1"/>
          <w:sz w:val="16"/>
          <w:szCs w:val="16"/>
        </w:rPr>
      </w:pPr>
      <w:r w:rsidRPr="00070ADE">
        <w:rPr>
          <w:color w:val="000000" w:themeColor="text1"/>
          <w:sz w:val="16"/>
          <w:szCs w:val="16"/>
        </w:rPr>
        <w:t>Планировалось организовать выпуск В-29 на заводе фирмы «Норт Америкен» в Ингл- вуде (штат Калифорния) под обозначением В-29^А, но от этого замысла отказались.</w:t>
      </w:r>
    </w:p>
    <w:p w14:paraId="1339FF20" w14:textId="77777777" w:rsidR="0035263A" w:rsidRPr="00070ADE" w:rsidRDefault="0035263A" w:rsidP="00B56F90">
      <w:pPr>
        <w:pStyle w:val="92"/>
        <w:shd w:val="clear" w:color="auto" w:fill="auto"/>
        <w:spacing w:after="0" w:line="240" w:lineRule="auto"/>
        <w:ind w:firstLine="0"/>
        <w:jc w:val="both"/>
        <w:rPr>
          <w:color w:val="000000" w:themeColor="text1"/>
          <w:sz w:val="16"/>
          <w:szCs w:val="16"/>
        </w:rPr>
      </w:pPr>
      <w:r w:rsidRPr="00070ADE">
        <w:rPr>
          <w:color w:val="000000" w:themeColor="text1"/>
          <w:sz w:val="16"/>
          <w:szCs w:val="16"/>
        </w:rPr>
        <w:t>Последний В-29 производства завода «Бо</w:t>
      </w:r>
      <w:r w:rsidRPr="00070ADE">
        <w:rPr>
          <w:color w:val="000000" w:themeColor="text1"/>
          <w:sz w:val="16"/>
          <w:szCs w:val="16"/>
        </w:rPr>
        <w:softHyphen/>
        <w:t>инг» в Уичите покинул сборочный цех в октя</w:t>
      </w:r>
      <w:r w:rsidRPr="00070ADE">
        <w:rPr>
          <w:color w:val="000000" w:themeColor="text1"/>
          <w:sz w:val="16"/>
          <w:szCs w:val="16"/>
        </w:rPr>
        <w:softHyphen/>
        <w:t>бре 1945 года. Компания «Белл» собрала по</w:t>
      </w:r>
      <w:r w:rsidRPr="00070ADE">
        <w:rPr>
          <w:color w:val="000000" w:themeColor="text1"/>
          <w:sz w:val="16"/>
          <w:szCs w:val="16"/>
        </w:rPr>
        <w:softHyphen/>
        <w:t>следний В-29 в январе 1945 года, после чего переключилась на выпуск В-29В. Послед</w:t>
      </w:r>
      <w:r w:rsidRPr="00070ADE">
        <w:rPr>
          <w:color w:val="000000" w:themeColor="text1"/>
          <w:sz w:val="16"/>
          <w:szCs w:val="16"/>
        </w:rPr>
        <w:softHyphen/>
        <w:t>ний В-29 сошел с поточной линии завода «Гленн Мартин» в сентябре 1945 года.</w:t>
      </w:r>
    </w:p>
    <w:p w14:paraId="32FD192F" w14:textId="77777777" w:rsidR="0035263A" w:rsidRPr="00070ADE" w:rsidRDefault="0035263A" w:rsidP="00B56F90">
      <w:pPr>
        <w:pStyle w:val="92"/>
        <w:shd w:val="clear" w:color="auto" w:fill="auto"/>
        <w:spacing w:after="0" w:line="240" w:lineRule="auto"/>
        <w:ind w:firstLine="0"/>
        <w:jc w:val="both"/>
        <w:rPr>
          <w:color w:val="000000" w:themeColor="text1"/>
          <w:sz w:val="16"/>
          <w:szCs w:val="16"/>
        </w:rPr>
      </w:pPr>
      <w:r w:rsidRPr="00070ADE">
        <w:rPr>
          <w:color w:val="000000" w:themeColor="text1"/>
          <w:sz w:val="16"/>
          <w:szCs w:val="16"/>
        </w:rPr>
        <w:t>О количестве построенных В-29 всех ва</w:t>
      </w:r>
      <w:r w:rsidRPr="00070ADE">
        <w:rPr>
          <w:color w:val="000000" w:themeColor="text1"/>
          <w:sz w:val="16"/>
          <w:szCs w:val="16"/>
        </w:rPr>
        <w:softHyphen/>
        <w:t>риантов в зарубежной печати встречаются разные цифры, при этом часто упоминается 3627 и 3965 самолетов. В то же время иссле</w:t>
      </w:r>
      <w:r w:rsidRPr="00070ADE">
        <w:rPr>
          <w:color w:val="000000" w:themeColor="text1"/>
          <w:sz w:val="16"/>
          <w:szCs w:val="16"/>
        </w:rPr>
        <w:softHyphen/>
        <w:t>дователи из США утверждают, что с 1943 по 1944 год в Уичите собрали 1620 В-29, в Ма</w:t>
      </w:r>
      <w:r w:rsidRPr="00070ADE">
        <w:rPr>
          <w:color w:val="000000" w:themeColor="text1"/>
          <w:sz w:val="16"/>
          <w:szCs w:val="16"/>
        </w:rPr>
        <w:softHyphen/>
        <w:t>риетте (фирма «Белл») - 357 (по другим дан</w:t>
      </w:r>
      <w:r w:rsidRPr="00070ADE">
        <w:rPr>
          <w:color w:val="000000" w:themeColor="text1"/>
          <w:sz w:val="16"/>
          <w:szCs w:val="16"/>
        </w:rPr>
        <w:softHyphen/>
        <w:t>ным - 536 машин), в Омахе («Мартин») - 204, вРентоне- 1119В-29А.</w:t>
      </w:r>
    </w:p>
    <w:p w14:paraId="32BC0082" w14:textId="77777777" w:rsidR="0035263A" w:rsidRPr="00070ADE" w:rsidRDefault="0035263A" w:rsidP="00B56F90">
      <w:pPr>
        <w:pStyle w:val="92"/>
        <w:shd w:val="clear" w:color="auto" w:fill="auto"/>
        <w:spacing w:after="0" w:line="240" w:lineRule="auto"/>
        <w:ind w:firstLine="0"/>
        <w:jc w:val="both"/>
        <w:rPr>
          <w:color w:val="000000" w:themeColor="text1"/>
          <w:sz w:val="16"/>
          <w:szCs w:val="16"/>
        </w:rPr>
      </w:pPr>
      <w:r w:rsidRPr="00070ADE">
        <w:rPr>
          <w:color w:val="000000" w:themeColor="text1"/>
          <w:sz w:val="16"/>
          <w:szCs w:val="16"/>
        </w:rPr>
        <w:lastRenderedPageBreak/>
        <w:t>В ходе серийного выпуска В-29 в его кон</w:t>
      </w:r>
      <w:r w:rsidRPr="00070ADE">
        <w:rPr>
          <w:color w:val="000000" w:themeColor="text1"/>
          <w:sz w:val="16"/>
          <w:szCs w:val="16"/>
        </w:rPr>
        <w:softHyphen/>
        <w:t>струкцию вносились усовершенствования, облегчавшие сборку, упрощавшие эксплу</w:t>
      </w:r>
      <w:r w:rsidRPr="00070ADE">
        <w:rPr>
          <w:color w:val="000000" w:themeColor="text1"/>
          <w:sz w:val="16"/>
          <w:szCs w:val="16"/>
        </w:rPr>
        <w:softHyphen/>
        <w:t>атацию и повышающие боевые качест</w:t>
      </w:r>
      <w:r w:rsidRPr="00070ADE">
        <w:rPr>
          <w:color w:val="000000" w:themeColor="text1"/>
          <w:sz w:val="16"/>
          <w:szCs w:val="16"/>
        </w:rPr>
        <w:softHyphen/>
        <w:t>ва самолета. Производители внедряли эти изменения в разные сроки, поэтому маши</w:t>
      </w:r>
      <w:r w:rsidRPr="00070ADE">
        <w:rPr>
          <w:color w:val="000000" w:themeColor="text1"/>
          <w:sz w:val="16"/>
          <w:szCs w:val="16"/>
        </w:rPr>
        <w:softHyphen/>
        <w:t>ны, выпушенные разными фирмами, от</w:t>
      </w:r>
      <w:r w:rsidRPr="00070ADE">
        <w:rPr>
          <w:color w:val="000000" w:themeColor="text1"/>
          <w:sz w:val="16"/>
          <w:szCs w:val="16"/>
        </w:rPr>
        <w:softHyphen/>
        <w:t>личались друг от друга. Серийные В-29 сначала оснащались двигателями «Райт К- 3350-23»,-23А или -41. Позднее появились двигатели К-3350-57 и -57А.</w:t>
      </w:r>
    </w:p>
    <w:p w14:paraId="716C4C4C" w14:textId="77777777" w:rsidR="0035263A" w:rsidRPr="00070ADE" w:rsidRDefault="0035263A" w:rsidP="00B56F90">
      <w:pPr>
        <w:pStyle w:val="92"/>
        <w:shd w:val="clear" w:color="auto" w:fill="auto"/>
        <w:spacing w:after="0" w:line="240" w:lineRule="auto"/>
        <w:ind w:firstLine="0"/>
        <w:jc w:val="both"/>
        <w:rPr>
          <w:color w:val="000000" w:themeColor="text1"/>
          <w:sz w:val="16"/>
          <w:szCs w:val="16"/>
        </w:rPr>
      </w:pPr>
      <w:r w:rsidRPr="00070ADE">
        <w:rPr>
          <w:color w:val="000000" w:themeColor="text1"/>
          <w:sz w:val="16"/>
          <w:szCs w:val="16"/>
        </w:rPr>
        <w:t>Первоначально оборонительное воору</w:t>
      </w:r>
      <w:r w:rsidRPr="00070ADE">
        <w:rPr>
          <w:color w:val="000000" w:themeColor="text1"/>
          <w:sz w:val="16"/>
          <w:szCs w:val="16"/>
        </w:rPr>
        <w:softHyphen/>
        <w:t>жение самолета размешалось в четырех пу</w:t>
      </w:r>
      <w:r w:rsidRPr="00070ADE">
        <w:rPr>
          <w:color w:val="000000" w:themeColor="text1"/>
          <w:sz w:val="16"/>
          <w:szCs w:val="16"/>
        </w:rPr>
        <w:softHyphen/>
        <w:t>леметных турелях. В каждой турели стояло по спаренному 12,7-мм пулемету. Управля</w:t>
      </w:r>
      <w:r w:rsidRPr="00070ADE">
        <w:rPr>
          <w:color w:val="000000" w:themeColor="text1"/>
          <w:sz w:val="16"/>
          <w:szCs w:val="16"/>
        </w:rPr>
        <w:softHyphen/>
        <w:t>лись пулеметы дистанционно, места стрел</w:t>
      </w:r>
      <w:r w:rsidRPr="00070ADE">
        <w:rPr>
          <w:color w:val="000000" w:themeColor="text1"/>
          <w:sz w:val="16"/>
          <w:szCs w:val="16"/>
        </w:rPr>
        <w:softHyphen/>
        <w:t>ков находились в гермокабинах. В кормовой огневой точке кроме двух 12,7-мм пулеме</w:t>
      </w:r>
      <w:r w:rsidRPr="00070ADE">
        <w:rPr>
          <w:color w:val="000000" w:themeColor="text1"/>
          <w:sz w:val="16"/>
          <w:szCs w:val="16"/>
        </w:rPr>
        <w:softHyphen/>
        <w:t>тов стояла 20-мм пушка. Позднее вооруже</w:t>
      </w:r>
      <w:r w:rsidRPr="00070ADE">
        <w:rPr>
          <w:color w:val="000000" w:themeColor="text1"/>
          <w:sz w:val="16"/>
          <w:szCs w:val="16"/>
        </w:rPr>
        <w:softHyphen/>
        <w:t>ние изменилось. В передней верхней турели установили счетверенные пулеметы калибра 12,7 мм, так как японские пилоты чаше все</w:t>
      </w:r>
      <w:r w:rsidRPr="00070ADE">
        <w:rPr>
          <w:color w:val="000000" w:themeColor="text1"/>
          <w:sz w:val="16"/>
          <w:szCs w:val="16"/>
        </w:rPr>
        <w:softHyphen/>
        <w:t>го практикован! лобовую атаку. Из хвосто</w:t>
      </w:r>
      <w:r w:rsidRPr="00070ADE">
        <w:rPr>
          <w:color w:val="000000" w:themeColor="text1"/>
          <w:sz w:val="16"/>
          <w:szCs w:val="16"/>
        </w:rPr>
        <w:softHyphen/>
        <w:t>вого отсека убрали 20-мм орудие, поскольку баллистика пуль и снарядов была различ</w:t>
      </w:r>
      <w:r w:rsidRPr="00070ADE">
        <w:rPr>
          <w:color w:val="000000" w:themeColor="text1"/>
          <w:sz w:val="16"/>
          <w:szCs w:val="16"/>
        </w:rPr>
        <w:softHyphen/>
        <w:t>ной, и это усложняло ведение прицельного огня. На заводе в Уичите это новшество вне</w:t>
      </w:r>
      <w:r w:rsidRPr="00070ADE">
        <w:rPr>
          <w:color w:val="000000" w:themeColor="text1"/>
          <w:sz w:val="16"/>
          <w:szCs w:val="16"/>
        </w:rPr>
        <w:softHyphen/>
        <w:t>дрили с 55-й серии, на предприятиях «Мар</w:t>
      </w:r>
      <w:r w:rsidRPr="00070ADE">
        <w:rPr>
          <w:color w:val="000000" w:themeColor="text1"/>
          <w:sz w:val="16"/>
          <w:szCs w:val="16"/>
        </w:rPr>
        <w:softHyphen/>
        <w:t>тин» и «Белл» это орудие перестали ставить с 25-х серий. На самолетах В-29А и В-29В пушку никогда не ставили.</w:t>
      </w:r>
    </w:p>
    <w:p w14:paraId="62B7EDFA" w14:textId="77777777" w:rsidR="0035263A" w:rsidRPr="00070ADE" w:rsidRDefault="0035263A" w:rsidP="00B56F90">
      <w:pPr>
        <w:pStyle w:val="92"/>
        <w:shd w:val="clear" w:color="auto" w:fill="auto"/>
        <w:spacing w:after="0" w:line="240" w:lineRule="auto"/>
        <w:ind w:firstLine="0"/>
        <w:jc w:val="both"/>
        <w:rPr>
          <w:color w:val="000000" w:themeColor="text1"/>
          <w:sz w:val="16"/>
          <w:szCs w:val="16"/>
        </w:rPr>
      </w:pPr>
      <w:r w:rsidRPr="00070ADE">
        <w:rPr>
          <w:color w:val="000000" w:themeColor="text1"/>
          <w:sz w:val="16"/>
          <w:szCs w:val="16"/>
        </w:rPr>
        <w:t>На заводе в Уичите передняя надфюзе- ляжная турельная установка оснащалась четырьмя 12,7-мм пулеметами «Браунинг» 42, начиная с 40-й серии. На предприятии • Белл» это нововведение появилось с 10-й серии, а на «Мартине» такую установку по</w:t>
      </w:r>
      <w:r w:rsidRPr="00070ADE">
        <w:rPr>
          <w:color w:val="000000" w:themeColor="text1"/>
          <w:sz w:val="16"/>
          <w:szCs w:val="16"/>
        </w:rPr>
        <w:softHyphen/>
        <w:t>лучили все самолеты.</w:t>
      </w:r>
    </w:p>
    <w:p w14:paraId="45317F17" w14:textId="77777777" w:rsidR="0035263A" w:rsidRPr="00070ADE" w:rsidRDefault="0035263A" w:rsidP="00B56F90">
      <w:pPr>
        <w:pStyle w:val="92"/>
        <w:shd w:val="clear" w:color="auto" w:fill="auto"/>
        <w:spacing w:after="0" w:line="240" w:lineRule="auto"/>
        <w:ind w:firstLine="0"/>
        <w:jc w:val="both"/>
        <w:rPr>
          <w:color w:val="000000" w:themeColor="text1"/>
          <w:sz w:val="16"/>
          <w:szCs w:val="16"/>
        </w:rPr>
      </w:pPr>
      <w:r w:rsidRPr="00070ADE">
        <w:rPr>
          <w:color w:val="000000" w:themeColor="text1"/>
          <w:sz w:val="16"/>
          <w:szCs w:val="16"/>
        </w:rPr>
        <w:t>Сомнения относительно достоинств и эффективности системы защитного воору</w:t>
      </w:r>
      <w:r w:rsidRPr="00070ADE">
        <w:rPr>
          <w:color w:val="000000" w:themeColor="text1"/>
          <w:sz w:val="16"/>
          <w:szCs w:val="16"/>
        </w:rPr>
        <w:softHyphen/>
        <w:t>жения с дистанционным управлением при- зели к оснащению одного В-29-25-В\У (се</w:t>
      </w:r>
      <w:r w:rsidRPr="00070ADE">
        <w:rPr>
          <w:color w:val="000000" w:themeColor="text1"/>
          <w:sz w:val="16"/>
          <w:szCs w:val="16"/>
        </w:rPr>
        <w:softHyphen/>
        <w:t>рийный номер 42-2444) оборонительными установками со стрелками внутри них. Са</w:t>
      </w:r>
      <w:r w:rsidRPr="00070ADE">
        <w:rPr>
          <w:color w:val="000000" w:themeColor="text1"/>
          <w:sz w:val="16"/>
          <w:szCs w:val="16"/>
        </w:rPr>
        <w:softHyphen/>
        <w:t>молет имел две надфюзеляжные и две ша</w:t>
      </w:r>
      <w:r w:rsidRPr="00070ADE">
        <w:rPr>
          <w:color w:val="000000" w:themeColor="text1"/>
          <w:sz w:val="16"/>
          <w:szCs w:val="16"/>
        </w:rPr>
        <w:softHyphen/>
        <w:t>ровые подфюзеляжные пулеметные уста</w:t>
      </w:r>
      <w:r w:rsidRPr="00070ADE">
        <w:rPr>
          <w:color w:val="000000" w:themeColor="text1"/>
          <w:sz w:val="16"/>
          <w:szCs w:val="16"/>
        </w:rPr>
        <w:softHyphen/>
        <w:t>новки. В каждой из них размешалось два пулемета «Браунинг» М2. В носовой ча</w:t>
      </w:r>
      <w:r w:rsidRPr="00070ADE">
        <w:rPr>
          <w:color w:val="000000" w:themeColor="text1"/>
          <w:sz w:val="16"/>
          <w:szCs w:val="16"/>
        </w:rPr>
        <w:softHyphen/>
        <w:t>сти фюзеляжа в блистерах с каждой сторо</w:t>
      </w:r>
      <w:r w:rsidRPr="00070ADE">
        <w:rPr>
          <w:color w:val="000000" w:themeColor="text1"/>
          <w:sz w:val="16"/>
          <w:szCs w:val="16"/>
        </w:rPr>
        <w:softHyphen/>
        <w:t>ны находилось по два таких же пулемета и еще столько же располагалось по бокам са</w:t>
      </w:r>
      <w:r w:rsidRPr="00070ADE">
        <w:rPr>
          <w:color w:val="000000" w:themeColor="text1"/>
          <w:sz w:val="16"/>
          <w:szCs w:val="16"/>
        </w:rPr>
        <w:softHyphen/>
        <w:t>молета. Но испытания показали явное пре</w:t>
      </w:r>
      <w:r w:rsidRPr="00070ADE">
        <w:rPr>
          <w:color w:val="000000" w:themeColor="text1"/>
          <w:sz w:val="16"/>
          <w:szCs w:val="16"/>
        </w:rPr>
        <w:softHyphen/>
        <w:t>имущество системы оборонительного воо</w:t>
      </w:r>
      <w:r w:rsidRPr="00070ADE">
        <w:rPr>
          <w:color w:val="000000" w:themeColor="text1"/>
          <w:sz w:val="16"/>
          <w:szCs w:val="16"/>
        </w:rPr>
        <w:softHyphen/>
        <w:t>ружения с дистанционным управлением по сравнению с предложенной.</w:t>
      </w:r>
    </w:p>
    <w:p w14:paraId="16E56515" w14:textId="77777777" w:rsidR="0035263A" w:rsidRPr="00070ADE" w:rsidRDefault="0035263A" w:rsidP="00B56F90">
      <w:pPr>
        <w:pStyle w:val="92"/>
        <w:shd w:val="clear" w:color="auto" w:fill="auto"/>
        <w:spacing w:after="0" w:line="240" w:lineRule="auto"/>
        <w:ind w:firstLine="0"/>
        <w:jc w:val="both"/>
        <w:rPr>
          <w:color w:val="000000" w:themeColor="text1"/>
          <w:sz w:val="16"/>
          <w:szCs w:val="16"/>
        </w:rPr>
      </w:pPr>
      <w:r w:rsidRPr="00070ADE">
        <w:rPr>
          <w:color w:val="000000" w:themeColor="text1"/>
          <w:sz w:val="16"/>
          <w:szCs w:val="16"/>
        </w:rPr>
        <w:t>На самолетах В-29 серий 1-20, выпушен</w:t>
      </w:r>
      <w:r w:rsidRPr="00070ADE">
        <w:rPr>
          <w:color w:val="000000" w:themeColor="text1"/>
          <w:sz w:val="16"/>
          <w:szCs w:val="16"/>
        </w:rPr>
        <w:softHyphen/>
        <w:t>ных заводами в Уичите и фирмой «Белл», устанавливались двигатели К-3350-23, разви</w:t>
      </w:r>
      <w:r w:rsidRPr="00070ADE">
        <w:rPr>
          <w:color w:val="000000" w:themeColor="text1"/>
          <w:sz w:val="16"/>
          <w:szCs w:val="16"/>
        </w:rPr>
        <w:softHyphen/>
        <w:t>вавшие на боевом режиме по 2439 л.с. (взлет</w:t>
      </w:r>
      <w:r w:rsidRPr="00070ADE">
        <w:rPr>
          <w:color w:val="000000" w:themeColor="text1"/>
          <w:sz w:val="16"/>
          <w:szCs w:val="16"/>
        </w:rPr>
        <w:softHyphen/>
        <w:t>ная - 2200 л.с.), а на самолетах с 25 по 90 серию (по другим данным - с 50-й серии), строившихся в Уичите, — К-3350-41 анало</w:t>
      </w:r>
      <w:r w:rsidRPr="00070ADE">
        <w:rPr>
          <w:color w:val="000000" w:themeColor="text1"/>
          <w:sz w:val="16"/>
          <w:szCs w:val="16"/>
        </w:rPr>
        <w:softHyphen/>
        <w:t>гичной мощности, нос новыми глушителями и масляными каналами увеличенного сечения для улучшения охлаждения. Компании «Мартин» и «Белл» стали устанавливать такие дви</w:t>
      </w:r>
      <w:r w:rsidRPr="00070ADE">
        <w:rPr>
          <w:color w:val="000000" w:themeColor="text1"/>
          <w:sz w:val="16"/>
          <w:szCs w:val="16"/>
        </w:rPr>
        <w:softHyphen/>
        <w:t>гатели, начиная с 20 серии. На последних се</w:t>
      </w:r>
      <w:r w:rsidRPr="00070ADE">
        <w:rPr>
          <w:color w:val="000000" w:themeColor="text1"/>
          <w:sz w:val="16"/>
          <w:szCs w:val="16"/>
        </w:rPr>
        <w:softHyphen/>
        <w:t>риях все три производителя стати применять усовершенствованный двигатель К-3350-57.</w:t>
      </w:r>
    </w:p>
    <w:p w14:paraId="7963944B" w14:textId="77777777" w:rsidR="0035263A" w:rsidRPr="00070ADE" w:rsidRDefault="0035263A" w:rsidP="00B56F90">
      <w:pPr>
        <w:pStyle w:val="92"/>
        <w:shd w:val="clear" w:color="auto" w:fill="auto"/>
        <w:spacing w:after="0" w:line="240" w:lineRule="auto"/>
        <w:ind w:firstLine="0"/>
        <w:jc w:val="both"/>
        <w:rPr>
          <w:color w:val="000000" w:themeColor="text1"/>
          <w:sz w:val="16"/>
          <w:szCs w:val="16"/>
        </w:rPr>
      </w:pPr>
      <w:r w:rsidRPr="00070ADE">
        <w:rPr>
          <w:color w:val="000000" w:themeColor="text1"/>
          <w:sz w:val="16"/>
          <w:szCs w:val="16"/>
        </w:rPr>
        <w:t>Первые машины В-29 постройки завода в Уичита поставлялись в стандартном камуф</w:t>
      </w:r>
      <w:r w:rsidRPr="00070ADE">
        <w:rPr>
          <w:color w:val="000000" w:themeColor="text1"/>
          <w:sz w:val="16"/>
          <w:szCs w:val="16"/>
        </w:rPr>
        <w:softHyphen/>
        <w:t>ляже и15ААР. Остальные самолеты сохрани</w:t>
      </w:r>
      <w:r w:rsidRPr="00070ADE">
        <w:rPr>
          <w:color w:val="000000" w:themeColor="text1"/>
          <w:sz w:val="16"/>
          <w:szCs w:val="16"/>
        </w:rPr>
        <w:softHyphen/>
        <w:t>ли «естественный» цвет алюминия.</w:t>
      </w:r>
    </w:p>
    <w:p w14:paraId="7C3CEDE4" w14:textId="77777777" w:rsidR="0035263A" w:rsidRPr="00070ADE" w:rsidRDefault="0035263A" w:rsidP="00B56F90">
      <w:pPr>
        <w:pStyle w:val="92"/>
        <w:shd w:val="clear" w:color="auto" w:fill="auto"/>
        <w:spacing w:after="0" w:line="240" w:lineRule="auto"/>
        <w:ind w:firstLine="0"/>
        <w:jc w:val="both"/>
        <w:rPr>
          <w:color w:val="000000" w:themeColor="text1"/>
          <w:sz w:val="16"/>
          <w:szCs w:val="16"/>
        </w:rPr>
      </w:pPr>
      <w:r w:rsidRPr="00070ADE">
        <w:rPr>
          <w:color w:val="000000" w:themeColor="text1"/>
          <w:sz w:val="16"/>
          <w:szCs w:val="16"/>
        </w:rPr>
        <w:t>Начиная с 25-й серии на заводе в Уичита максимальный запас топлива на борту уве</w:t>
      </w:r>
      <w:r w:rsidRPr="00070ADE">
        <w:rPr>
          <w:color w:val="000000" w:themeColor="text1"/>
          <w:sz w:val="16"/>
          <w:szCs w:val="16"/>
        </w:rPr>
        <w:softHyphen/>
        <w:t>личили до 9438 американских галлонов. Та</w:t>
      </w:r>
      <w:r w:rsidRPr="00070ADE">
        <w:rPr>
          <w:color w:val="000000" w:themeColor="text1"/>
          <w:sz w:val="16"/>
          <w:szCs w:val="16"/>
        </w:rPr>
        <w:softHyphen/>
        <w:t>кие баки устанавливали на заводе «Белл», начиная с 5-й серии.</w:t>
      </w:r>
    </w:p>
    <w:p w14:paraId="487F2C5A" w14:textId="77777777" w:rsidR="0035263A" w:rsidRPr="00070ADE" w:rsidRDefault="0035263A" w:rsidP="00B56F90">
      <w:pPr>
        <w:pStyle w:val="92"/>
        <w:shd w:val="clear" w:color="auto" w:fill="auto"/>
        <w:spacing w:after="0" w:line="240" w:lineRule="auto"/>
        <w:ind w:firstLine="0"/>
        <w:jc w:val="both"/>
        <w:rPr>
          <w:color w:val="000000" w:themeColor="text1"/>
          <w:sz w:val="16"/>
          <w:szCs w:val="16"/>
        </w:rPr>
      </w:pPr>
      <w:r w:rsidRPr="00070ADE">
        <w:rPr>
          <w:color w:val="000000" w:themeColor="text1"/>
          <w:sz w:val="16"/>
          <w:szCs w:val="16"/>
        </w:rPr>
        <w:t>Все произведенные «Мартин» В-29 име</w:t>
      </w:r>
      <w:r w:rsidRPr="00070ADE">
        <w:rPr>
          <w:color w:val="000000" w:themeColor="text1"/>
          <w:sz w:val="16"/>
          <w:szCs w:val="16"/>
        </w:rPr>
        <w:softHyphen/>
        <w:t>ли дополнительные крыльевые топливные баки (12292).</w:t>
      </w:r>
    </w:p>
    <w:p w14:paraId="51D56185" w14:textId="77777777" w:rsidR="0035263A" w:rsidRPr="00070ADE" w:rsidRDefault="0035263A" w:rsidP="00B56F90">
      <w:pPr>
        <w:spacing w:after="0" w:line="240" w:lineRule="auto"/>
        <w:jc w:val="both"/>
        <w:rPr>
          <w:rFonts w:ascii="Times New Roman" w:hAnsi="Times New Roman"/>
          <w:color w:val="000000" w:themeColor="text1"/>
          <w:sz w:val="16"/>
          <w:szCs w:val="16"/>
        </w:rPr>
      </w:pPr>
    </w:p>
    <w:p w14:paraId="408153B4" w14:textId="77777777" w:rsidR="00417D90" w:rsidRPr="00070ADE" w:rsidRDefault="00417D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года модификация с Jumo 213 получила индекс Не.111Н-20 и пошла в серию, но поставки новых моторов шли с перебоями, да и надежность ее была низкой, потому первые He.111H-20/R1 и R2 строились как транспортные со старыми моторами, и лишь малая доля из 550-ти построенных были бомбардировщиками с Jumo 213, часть из них имела возможность нести 20 бомб калибра 50 кг («беспокоящий» ночной бомбардировщик для Восточного фронта). Еще 586 Не.111Н-20 было переоборудовано из старых самолетов Н-6 с Jumo 211F-2 и тоже шли как транспортные. На серии Не.111Н21 моторы Jumo 213E-1 были перерегулированы на меньшие высоты, и потолок несколько снизился, зато скорость достигла величины 475-480 км/ч на 7000 м. На Jumo 213E-1 (1750 л.с. на взлете) вместо обычного одноступенчатого ПЦН с приводом через турбомуфту на нем поставили 2-ступенчатый центробежный нагнетатель, приводимый в движение 3-скоростной механической передачей, работавшей автоматически от высотного корректора, и на высоте 10000 м сохранялась мощность 1320 л.с. (потолок серийного Не.111Н с моторами Jumo 211F-2 не превышал 8000-8500 м).</w:t>
      </w:r>
    </w:p>
    <w:p w14:paraId="3C74E70C" w14:textId="77777777" w:rsidR="00417D90" w:rsidRPr="00070ADE" w:rsidRDefault="00417D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года поставки Jumo 213E-1 были запрещены на все самолеты, кроме истребителей FW.190D, и выпуск Не.111Н-21 был ограничен 22-мя экземплярами (22822).</w:t>
      </w:r>
    </w:p>
    <w:p w14:paraId="6BD09C36" w14:textId="77777777" w:rsidR="00417D90" w:rsidRPr="00070ADE" w:rsidRDefault="00417D90" w:rsidP="00B56F90">
      <w:pPr>
        <w:spacing w:after="0" w:line="240" w:lineRule="auto"/>
        <w:jc w:val="both"/>
        <w:rPr>
          <w:rFonts w:ascii="Times New Roman" w:hAnsi="Times New Roman"/>
          <w:color w:val="000000" w:themeColor="text1"/>
          <w:sz w:val="16"/>
          <w:szCs w:val="16"/>
        </w:rPr>
      </w:pPr>
    </w:p>
    <w:p w14:paraId="3D05B030" w14:textId="77777777" w:rsidR="00417D90" w:rsidRPr="00070ADE" w:rsidRDefault="00417D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года заказ на тяжелый бомбардировщик дали и фирме «Юнкерс». В проекте Ju488 было решено использовать агрегаты уже строившихся машин: нижняя стрелковая установка была идентичной самолету Ju88A-15, средняя и хвостовая часть фюзеляжа, а также оперение — Ju188E, нос с гермокабиной — Ju388K. Планер усилили под больший полетный вес и скорость полета. Оригинально была решена проблема прочности основных стоек шасси, также заимствованных с другого самолета, — вместо двух «ног» поставили четыре. Cиловая установка в составе четырех моторов BMW 891TJ (1800 л.с. на взлете, 1710 л.с. на высоте 9000 м с турбокомпрессорами) была унифицирована с двухмоторным Ju388. Такое заимствование позволило уже к июлю 1944 года на реквизированном немцами заводе «Латекоер» во французском городе Тулуза изготовить все основные агрегаты первых двух опытных образцов Ju488V401 и 402 — фюзеляжи с центропланами. На главном заводе фирмы «Юнкерс» в Дессау делали только оперение, используя оснастку, созданную для двухмоторного многоцелевого самолета Ju288. Окончательно собирать и облетывать Ju488 планировали на заводе «Юнкерс» в Бернбурге, и туда к концу июля 1944 года должен был из Франции прибыть литерным эшелоном ценный груз. Но в ночь на 17 июля подготовленные к отправке фюзеляжи были взорваны прямо в цехе — механик завода «Латекоер» Элиссаль смог провести на охраняемую территорию бойцов Сопротивления, которые нарушили планы немцев. Ремонт был невозможен (22883).</w:t>
      </w:r>
    </w:p>
    <w:p w14:paraId="1E4502EC" w14:textId="77777777" w:rsidR="00417D90" w:rsidRPr="00070ADE" w:rsidRDefault="00417D90" w:rsidP="00B56F90">
      <w:pPr>
        <w:spacing w:after="0" w:line="240" w:lineRule="auto"/>
        <w:jc w:val="both"/>
        <w:rPr>
          <w:rFonts w:ascii="Times New Roman" w:hAnsi="Times New Roman"/>
          <w:color w:val="000000" w:themeColor="text1"/>
          <w:sz w:val="16"/>
          <w:szCs w:val="16"/>
        </w:rPr>
      </w:pPr>
    </w:p>
    <w:p w14:paraId="588DD746" w14:textId="77777777" w:rsidR="00417D90" w:rsidRPr="00070ADE" w:rsidRDefault="00417D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немцам стали известны подробности разработки английского реактивного самолета. Гитлер срочно вызвал Мильха для обсуждения ответных мер. Исходя из того, что Геринг был не в состоянии разбомбить заводы и аэродромы, где развивалась реактивная авиация Великобритании, оставалось форсировать производство своих реактивных самолетов. Мильх доложил о начале серийного производства первой партии из 23 Me 262А-0 и передаче первого из них Люфтваффе в варианте истребителя. Гитлер был взбешен — он очень опасался вторжения союзных войск во Францию и требовал реактивных бомбардировщиков. Доклад Мильха о том, что бомбодержатели будут установлены на Me 262V-10 только в мае, поставил на его карьере крест. Однако благодаря генерал-фельдмаршалу в Германии уже имелось два типа реактивных самолетов, готовых к серийному производству, — истребитель Ме 262 и разведчик Аr 234. Несмотря на первоначальное предназначение, обе машины за свою короткую карьеру успели побыть бомбардировщиками, штурмовиками, разведчиками, ночными перехватчиками и даже ракетоносцами. Третий тип, появившийся позднее, реактивное творение Хейнкеля под обозначением Не 162, промелькнуло в истории «чистым истребителем» (22776).</w:t>
      </w:r>
    </w:p>
    <w:p w14:paraId="54887377" w14:textId="77777777" w:rsidR="00417D90" w:rsidRPr="00070ADE" w:rsidRDefault="00417D90" w:rsidP="00B56F90">
      <w:pPr>
        <w:spacing w:after="0" w:line="240" w:lineRule="auto"/>
        <w:jc w:val="both"/>
        <w:rPr>
          <w:rFonts w:ascii="Times New Roman" w:hAnsi="Times New Roman"/>
          <w:color w:val="000000" w:themeColor="text1"/>
          <w:sz w:val="16"/>
          <w:szCs w:val="16"/>
        </w:rPr>
      </w:pPr>
    </w:p>
    <w:p w14:paraId="11C290AC" w14:textId="77777777" w:rsidR="00417D90" w:rsidRPr="00070ADE" w:rsidRDefault="00417D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года по результатам защиты проекта дальнего четырехмоторного бомбардировщика с ламинарным крылом большого удлинения, обтекаемого фюзеляжа, звездообразными 14-цилиндровыми двигателями Накадзима NK9K-L «Гомаре» 24 с турбокомпрессорами Хитачи тип 92, которые развивали на взлете мощность по 2000 л.с., а на границе высотности 8000 м — по 1850 л.с., фирме «Накадзима» было заказано 16 опытных и предсерийных бомбардировщиков G8N1 «Рензан» (в переводе — «горный хребет») и 32 серийных самолета. Поставки в строевые части должны были начаться в сентябре 1945 года (22873).</w:t>
      </w:r>
    </w:p>
    <w:p w14:paraId="7034D44C" w14:textId="77777777" w:rsidR="00417D90" w:rsidRPr="00070ADE" w:rsidRDefault="00417D90" w:rsidP="00B56F90">
      <w:pPr>
        <w:spacing w:after="0" w:line="240" w:lineRule="auto"/>
        <w:jc w:val="both"/>
        <w:rPr>
          <w:rFonts w:ascii="Times New Roman" w:hAnsi="Times New Roman"/>
          <w:color w:val="000000" w:themeColor="text1"/>
          <w:sz w:val="16"/>
          <w:szCs w:val="16"/>
        </w:rPr>
      </w:pPr>
    </w:p>
    <w:p w14:paraId="35C16231" w14:textId="77777777" w:rsidR="00417D90" w:rsidRPr="00070ADE" w:rsidRDefault="00417D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начала 1944 г. серийно строился вариант Bf-110 с локатором FuG 220 «Lichtenstein SN-2c» — Bf-110G-4c. На него также ставились комплекты R3, R6 и R7 плюс дополнительный R4 с заменой пушек MK-108 на пару 20-мм MG-151. Последним выпускавшимся вариантом серии «G» стал Bf-110G-4d/R3. От Bf-110G-4c/R3 отличался установкой РЛС FuG 220 «Lichtenstein SN-2d» (22894).</w:t>
      </w:r>
    </w:p>
    <w:p w14:paraId="56E0D1EF" w14:textId="77777777" w:rsidR="00417D90" w:rsidRPr="00070ADE" w:rsidRDefault="00417D90" w:rsidP="00B56F90">
      <w:pPr>
        <w:spacing w:after="0" w:line="240" w:lineRule="auto"/>
        <w:jc w:val="both"/>
        <w:rPr>
          <w:rFonts w:ascii="Times New Roman" w:hAnsi="Times New Roman"/>
          <w:color w:val="000000" w:themeColor="text1"/>
          <w:sz w:val="16"/>
          <w:szCs w:val="16"/>
        </w:rPr>
      </w:pPr>
    </w:p>
    <w:p w14:paraId="09E29964" w14:textId="77777777" w:rsidR="00417D90" w:rsidRPr="00070ADE" w:rsidRDefault="00417D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завод в Котбусе сдал последние четыре FW 200C-8, прекратив производство «кондоров», которых было построено 267 штук (по другим данным — 263), из них 245 имели ударное вооружение (22969).</w:t>
      </w:r>
    </w:p>
    <w:p w14:paraId="55234374" w14:textId="77777777" w:rsidR="00417D90" w:rsidRPr="00070ADE" w:rsidRDefault="00417D90" w:rsidP="00B56F90">
      <w:pPr>
        <w:spacing w:after="0" w:line="240" w:lineRule="auto"/>
        <w:jc w:val="both"/>
        <w:rPr>
          <w:rFonts w:ascii="Times New Roman" w:hAnsi="Times New Roman"/>
          <w:color w:val="000000" w:themeColor="text1"/>
          <w:sz w:val="16"/>
          <w:szCs w:val="16"/>
        </w:rPr>
      </w:pPr>
    </w:p>
    <w:p w14:paraId="300ADFFA" w14:textId="77777777" w:rsidR="00417D90" w:rsidRPr="00070ADE" w:rsidRDefault="00417D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самолет ХВ-39 со сдвоенными двигателями водяного охлаждения вышел на испытания. Под новые моторы был переоборудован первый самолет YB-29, который получил новый индекс ХВ-39 и название «Спирит оф Линкольн». Фирма гарантировала рост скорости на 100 км/ч и предложила сократить экипаж до 6-ти человек, поручив управление стрелковыми установками бортинженеру, штурману и радисту, оружие из хвостовой турели демонтировалось. Если ожидалось противодействие истребителей, его снова ставили, добавлялись верхний, один боковой и хвостовой стрелки. При полетах на максимальную дальность на борт брали двух сменных членов экипажа, которые размещались, дожидаясь своей вахты, на койках во 2-й гермокабине, в остальных случаях койки демонтировались.</w:t>
      </w:r>
    </w:p>
    <w:p w14:paraId="2C3F383D" w14:textId="77777777" w:rsidR="00417D90" w:rsidRPr="00070ADE" w:rsidRDefault="00417D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ХВ-39 оказался самым быстрым в семействе «сверхкрепостей», разгоняясь на высоте 7620 м до 652 км/ч. Начальная скороподъемность этой машины с нормальным весом выросла с 14,4 м/с до 20 м/с, что было сравнимо с истребителями того времени. ХВ-39 летал до середины 1944 г., превзойдя серийный В-29 также и по дальности, и потолку. Но заказа не последовало (23012).</w:t>
      </w:r>
    </w:p>
    <w:p w14:paraId="105D3B67" w14:textId="77777777" w:rsidR="00417D90" w:rsidRPr="00070ADE" w:rsidRDefault="00417D90" w:rsidP="00B56F90">
      <w:pPr>
        <w:spacing w:after="0" w:line="240" w:lineRule="auto"/>
        <w:jc w:val="both"/>
        <w:rPr>
          <w:rFonts w:ascii="Times New Roman" w:hAnsi="Times New Roman"/>
          <w:color w:val="000000" w:themeColor="text1"/>
          <w:sz w:val="16"/>
          <w:szCs w:val="16"/>
        </w:rPr>
      </w:pPr>
    </w:p>
    <w:p w14:paraId="1D1DCB38" w14:textId="77777777" w:rsidR="00417D90" w:rsidRPr="00070ADE" w:rsidRDefault="00417D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1944 г. в Германии была создана торпеда LT1B4 «Пфау» (павлин) с акустическим самонаведением, но скорость хода и надежность ее сенсоров были недостаточны, и она осталась опытной. Не удалось довести и сверхскоростную торпеду LT1000 со сплюснутым по бокам «рыбообразным» корпусом и газотурбинным двигателем, LT1500 с ракетной силовой установкой и ряд других проектов (22902).</w:t>
      </w:r>
    </w:p>
    <w:p w14:paraId="1B09F76A" w14:textId="77777777" w:rsidR="00417D90" w:rsidRPr="00070ADE" w:rsidRDefault="00417D90" w:rsidP="00B56F90">
      <w:pPr>
        <w:spacing w:after="0" w:line="240" w:lineRule="auto"/>
        <w:jc w:val="both"/>
        <w:rPr>
          <w:rFonts w:ascii="Times New Roman" w:hAnsi="Times New Roman"/>
          <w:color w:val="000000" w:themeColor="text1"/>
          <w:sz w:val="16"/>
          <w:szCs w:val="16"/>
        </w:rPr>
      </w:pPr>
    </w:p>
    <w:p w14:paraId="020B099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начале 1944 года, когда ситуация в Северной Атлантике уже полностью контролировалась флотами союзников, было принято решение перебросить дирижабли в Северную Африку. Все воздушные корабли добрались до Африки своим ходом, при этом был установлен мировой рекорд дальности полета над водой для полужестких конструкции, равный 1881 миле. На начальном этапе боевых действий главной задачей дирижаблей стал контроль Гибралтарского пролива. В 1944 году интенсивность использования дирижаблей достигла максимума. На службе флота воздушных кораблей из числа летного состава состояло 1500 офицеров и 3000 </w:t>
      </w:r>
      <w:r w:rsidRPr="00070ADE">
        <w:rPr>
          <w:rFonts w:ascii="Times New Roman" w:hAnsi="Times New Roman"/>
          <w:color w:val="000000" w:themeColor="text1"/>
          <w:sz w:val="16"/>
          <w:szCs w:val="16"/>
        </w:rPr>
        <w:lastRenderedPageBreak/>
        <w:t>завербованных членов экипажей. Наземный технический персонал насчитывал 700 офицеров и 7200 военнослужащих рядового и сержантского состава. В время войны американские морские дирижабли провели около 89 000 судов без потерь от вражеских подводных лодок, и это было весомым вкладом в общую победу (11324).</w:t>
      </w:r>
    </w:p>
    <w:p w14:paraId="7C7B399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E5C88D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Начавшаяся в начале 1944 операция по освобождению Бирмы протекала вяло и неудачно во многом из-за сохранявшихся между союзниками разногласий. Напротив, осознав потерю преимущества на море, Япония активизировала наступление на материке, имея в виду компенсировать утрату морских коммуникаций установлением контроля над железнодорожными путями от Шанхая до Сингапура. В течение весны 1944 г. эта задача была в основном выполнена, и войска Чан Кайши были оттеснены от побережья еще глубже в материковые районы. Создание сквозной коммуникационной линии позволяло Японии рассчитывать на длительное ведение боевых действий на континенте (3871).</w:t>
      </w:r>
    </w:p>
    <w:p w14:paraId="5EFA28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ED974B"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ED1EC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77D0B8" w14:textId="77777777" w:rsidR="00D86EA0" w:rsidRPr="00070ADE" w:rsidRDefault="00D86EA0" w:rsidP="00B56F90">
      <w:pPr>
        <w:pStyle w:val="a3"/>
        <w:rPr>
          <w:color w:val="000000" w:themeColor="text1"/>
          <w:lang w:val="ru-RU"/>
        </w:rPr>
      </w:pPr>
      <w:r w:rsidRPr="00070ADE">
        <w:rPr>
          <w:color w:val="000000" w:themeColor="text1"/>
          <w:lang w:val="ru-RU"/>
        </w:rPr>
        <w:t xml:space="preserve">К </w:t>
      </w:r>
      <w:r w:rsidRPr="00070ADE">
        <w:rPr>
          <w:rStyle w:val="7TimesNewRoman1"/>
          <w:rFonts w:eastAsia="Arial Unicode MS"/>
          <w:bCs/>
          <w:strike w:val="0"/>
          <w:color w:val="000000" w:themeColor="text1"/>
          <w:spacing w:val="0"/>
          <w:lang w:val="ru-RU"/>
        </w:rPr>
        <w:t>февралю 1944</w:t>
      </w:r>
      <w:r w:rsidRPr="00070ADE">
        <w:rPr>
          <w:color w:val="000000" w:themeColor="text1"/>
          <w:lang w:val="ru-RU"/>
        </w:rPr>
        <w:t xml:space="preserve"> г.</w:t>
      </w:r>
      <w:r w:rsidRPr="00070ADE">
        <w:rPr>
          <w:rStyle w:val="7TimesNewRoman1"/>
          <w:rFonts w:eastAsia="Arial Unicode MS"/>
          <w:bCs/>
          <w:strike w:val="0"/>
          <w:color w:val="000000" w:themeColor="text1"/>
          <w:spacing w:val="0"/>
          <w:lang w:val="ru-RU"/>
        </w:rPr>
        <w:t xml:space="preserve"> завод № 589 НКВ</w:t>
      </w:r>
      <w:r w:rsidRPr="00070ADE">
        <w:rPr>
          <w:color w:val="000000" w:themeColor="text1"/>
          <w:lang w:val="ru-RU"/>
        </w:rPr>
        <w:t>модернизировал ВМШ-2, учтя все пожелания фронтовых лётчиков. Постановлением ГКО от 6 апреля 1944 г. ВМШ-2 был официально запущен в серийное производство и стал устанав</w:t>
      </w:r>
      <w:r w:rsidRPr="00070ADE">
        <w:rPr>
          <w:color w:val="000000" w:themeColor="text1"/>
          <w:lang w:val="ru-RU"/>
        </w:rPr>
        <w:softHyphen/>
        <w:t>ливаться на всех выпускаемых штурмовиках Ил-2.</w:t>
      </w:r>
    </w:p>
    <w:p w14:paraId="2D8EE9CD" w14:textId="77777777" w:rsidR="00D86EA0" w:rsidRPr="00070ADE" w:rsidRDefault="00D86EA0" w:rsidP="00B56F90">
      <w:pPr>
        <w:pStyle w:val="a3"/>
        <w:rPr>
          <w:color w:val="000000" w:themeColor="text1"/>
          <w:lang w:val="ru-RU"/>
        </w:rPr>
      </w:pPr>
      <w:r w:rsidRPr="00070ADE">
        <w:rPr>
          <w:color w:val="000000" w:themeColor="text1"/>
          <w:lang w:val="ru-RU"/>
        </w:rPr>
        <w:t>Несмотря на столь длительную доводку, ВМШ-2 всё же не нашел широкого применения в частях штурмовой авиации ВВС КА. Как ни старались привить уважение лётчиков к этому при</w:t>
      </w:r>
      <w:r w:rsidRPr="00070ADE">
        <w:rPr>
          <w:color w:val="000000" w:themeColor="text1"/>
          <w:lang w:val="ru-RU"/>
        </w:rPr>
        <w:softHyphen/>
        <w:t>бору и заставить пользоваться и'м, ничего из этого не получилось, хотя временной механизм и просуществовал на вооружении Ил-2 до самого окончания войны.</w:t>
      </w:r>
    </w:p>
    <w:p w14:paraId="5EAC37D6" w14:textId="77777777" w:rsidR="00D86EA0" w:rsidRPr="00070ADE" w:rsidRDefault="00D86EA0" w:rsidP="00B56F90">
      <w:pPr>
        <w:pStyle w:val="a3"/>
        <w:rPr>
          <w:color w:val="000000" w:themeColor="text1"/>
          <w:lang w:val="ru-RU"/>
        </w:rPr>
      </w:pPr>
      <w:r w:rsidRPr="00070ADE">
        <w:rPr>
          <w:color w:val="000000" w:themeColor="text1"/>
          <w:lang w:val="ru-RU"/>
        </w:rPr>
        <w:t>Основным недостатком ВМШ-2, из-за которого его и не любили лётчики, был ограниченный диапазон высот боевого применения и дискретность их выбора.</w:t>
      </w:r>
    </w:p>
    <w:p w14:paraId="0FE6E8D5" w14:textId="77777777" w:rsidR="00D86EA0" w:rsidRPr="00070ADE" w:rsidRDefault="00D86EA0" w:rsidP="00B56F90">
      <w:pPr>
        <w:pStyle w:val="a3"/>
        <w:rPr>
          <w:color w:val="000000" w:themeColor="text1"/>
          <w:lang w:val="ru-RU"/>
        </w:rPr>
      </w:pPr>
      <w:r w:rsidRPr="00070ADE">
        <w:rPr>
          <w:color w:val="000000" w:themeColor="text1"/>
          <w:lang w:val="ru-RU"/>
        </w:rPr>
        <w:t>Бомбометание с горизонтального полёта при помощи ВМШ-2 могло производиться с высот 70, 100, 200, 300 м и выше (всё кратно 100 м), а бомбометание на выходе из пикирования только с высоты 400 м, хотя ввод в пикирование осуществлялся с различных высот: от 600 м до 1 200 м. К тому же, использование ВМШ-2 требовало длительного нахождения над целью без противозенитного манёвра. Всё это приводило к излишнему однообразию тактических при</w:t>
      </w:r>
      <w:r w:rsidRPr="00070ADE">
        <w:rPr>
          <w:color w:val="000000" w:themeColor="text1"/>
          <w:lang w:val="ru-RU"/>
        </w:rPr>
        <w:softHyphen/>
        <w:t>ёмов над целью, и противник наносил Ил-2 тяжелые потери, в основном огнём малокалиберной зенитной артиллерии и крупнокалиберных зенитных пулемётов (15978).</w:t>
      </w:r>
    </w:p>
    <w:p w14:paraId="287EEFEC" w14:textId="77777777" w:rsidR="00D86EA0" w:rsidRPr="00070ADE" w:rsidRDefault="00D86EA0" w:rsidP="00B56F90">
      <w:pPr>
        <w:pStyle w:val="a3"/>
        <w:rPr>
          <w:color w:val="000000" w:themeColor="text1"/>
          <w:lang w:val="ru-RU"/>
        </w:rPr>
      </w:pPr>
    </w:p>
    <w:p w14:paraId="28C7019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февралю 1944 г. штурмовик Су-6 АМ-42 был построен и прошел сначала заводские испытания, а затем начал проходить государственные испытания (9649).</w:t>
      </w:r>
    </w:p>
    <w:p w14:paraId="75948A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отличие от Су-б М-71Ф консоли крыла Су-б АМ-42 выполнялись металлическими с увеличенной до 28,6 м2 площадью.</w:t>
      </w:r>
    </w:p>
    <w:p w14:paraId="5E95BE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была увеличена компенсация рулей высоты и элеронов, поставлено хвостовое колесо 400х150 мм вместо 300х125 мм, установлены прицел ПБП-16 (вместо ВВ-1) и четырехлопастный винт АВ-9Л-172 диаметром 3,4 м.</w:t>
      </w:r>
    </w:p>
    <w:p w14:paraId="31B6B0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Из-за необходимости бронирования мотора АМ-42 со всех сторон вес брони увеличился на 252 кг (толщина бронекапота 4 мм).</w:t>
      </w:r>
    </w:p>
    <w:p w14:paraId="489301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самолета составил 4370 кг, вес боевой нагрузки - 1375 кг.</w:t>
      </w:r>
    </w:p>
    <w:p w14:paraId="4AA5C0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Стрелково-пушечное вооружение штурмовика осталось прежним: две крыльевых пушки НС-37 (те же 11П-37 в серии) с боекомплектом 90 снарядов, два крыльевых пулемета ШКАС (1400 патронов) и один пулемет УБТ в блистере (196 патронов).</w:t>
      </w:r>
    </w:p>
    <w:p w14:paraId="53CBBE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Бомбовая нагрузка увеличена до 400 кг (в перегрузку).</w:t>
      </w:r>
    </w:p>
    <w:p w14:paraId="4A4F31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процессе отработки программы государственных летных испытаний был выявлен ряд серьезных конструктивных и производственных дефектов установленного на самолете экземпляра АМ-42 (возгорание смеси во всасывающих патрубках, повышенный в 4-5 раз расход масла), порожденных скоростным проектированием мотора в условиях военного времени.</w:t>
      </w:r>
    </w:p>
    <w:p w14:paraId="5B19FE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этой связи полностью снять летные характеристики Су-б АМ-42 с пушками НС-37 не удалось.</w:t>
      </w:r>
    </w:p>
    <w:p w14:paraId="0F33AD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штурмовика на высоте 1000 м составила 508 км/ч, на высоте 2000 м - 519 км/ч. На высоту 1000 м самолет забирался за две мин., а на 3000 м - за шесть мин.</w:t>
      </w:r>
    </w:p>
    <w:p w14:paraId="4C961E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испытаний крупнокалиберные пушки НС-37 были заменены на стандартные пушки штурмовой авиации Красной армии - ВЯ-23 (240 снарядов). Предельный вес бомбовой нагрузки вырос до 600 кг. Вес пустого самолета стал - 4366 кг (9649).</w:t>
      </w:r>
    </w:p>
    <w:p w14:paraId="3615DB5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F0AC9A" w14:textId="77777777" w:rsidR="00260CD3" w:rsidRPr="00C94B78" w:rsidRDefault="00260CD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февралю 1944 г. штурмовик Су-6 с АМ-42 был построен и прошел сначала заводские испытания, а затем начал проходить государственные испытания.</w:t>
      </w:r>
    </w:p>
    <w:p w14:paraId="7B1A62BD" w14:textId="77777777" w:rsidR="00260CD3" w:rsidRPr="00C94B78" w:rsidRDefault="00260CD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отличие от Су-6 М-71Ф консоли крыла Су-6 АМ-42 выполнялись металлическими с увеличенной до 28,6 кв. м площадью.</w:t>
      </w:r>
    </w:p>
    <w:p w14:paraId="3E4AE1D9" w14:textId="77777777" w:rsidR="00260CD3" w:rsidRPr="00C94B78" w:rsidRDefault="00260CD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Кроме того, была увеличена компенсация рулей высоты и элеронов, поставлено хвостовое колесо 400×150 мм вместо 300×125 мм, установлены прицел ПБП-16 (вместо ВВ-1) и четырехлопастный винт АВ-9Л-172 диаметром 3,4 м.</w:t>
      </w:r>
    </w:p>
    <w:p w14:paraId="59C71EF7" w14:textId="77777777" w:rsidR="00260CD3" w:rsidRPr="00C94B78" w:rsidRDefault="00260CD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Из-за необходимости бронирования мотора АМ-42 со всех сторон вес брони увеличился на 252 кг (толщина бронекапота 4 мм).</w:t>
      </w:r>
    </w:p>
    <w:p w14:paraId="46FBE177" w14:textId="77777777" w:rsidR="00260CD3" w:rsidRPr="00C94B78" w:rsidRDefault="00260CD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Вес пустого самолета составил 4370 кг, вес боевой нагрузки — 1375 кг.</w:t>
      </w:r>
    </w:p>
    <w:p w14:paraId="4805761C" w14:textId="77777777" w:rsidR="00260CD3" w:rsidRPr="00C94B78" w:rsidRDefault="00260CD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Стрелково-пушечное вооружение штурмовика осталось прежним: две крыльевых пушки НС-37 (те же 11П-37 в серии) с боекомплектом 90 снарядов, два крыльевых пулемета ШКАС (1400 патронов) и один пулемет УБТ в блистере (196 патронов).</w:t>
      </w:r>
    </w:p>
    <w:p w14:paraId="1490EEE2" w14:textId="77777777" w:rsidR="00260CD3" w:rsidRPr="00C94B78" w:rsidRDefault="00260CD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Бомбовая нагрузка увеличена до 400 кг (в перегрузку).</w:t>
      </w:r>
    </w:p>
    <w:p w14:paraId="17291E5C" w14:textId="77777777" w:rsidR="00260CD3" w:rsidRPr="00C94B78" w:rsidRDefault="00260CD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процессе отработки программы государственных летных испытаний был выявлен ряд серьезных конструктивных и производственных дефектов установленного на самолете экземпляра АМ-42 (возгорание смеси во всасывающих патрубках, повышенный в 4–5 раз расход масла), порожденных скоростным проектированием мотора в условиях военного времени.</w:t>
      </w:r>
    </w:p>
    <w:p w14:paraId="1F7E6320" w14:textId="77777777" w:rsidR="00260CD3" w:rsidRPr="00C94B78" w:rsidRDefault="00260CD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этой связи полностью снять летные характеристики Су-6 АМ-42 с пушками НС-37 не удалось.</w:t>
      </w:r>
    </w:p>
    <w:p w14:paraId="4EAD82D7" w14:textId="77777777" w:rsidR="00260CD3" w:rsidRPr="00C94B78" w:rsidRDefault="00260CD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Максимальная скорость штурмовика на высоте 1000 м составила 508 км/ч, на высоте 2000 м — 519 км/ч. На высоту 1000 м самолет забирался за две мин., а на 3000 м — за шесть мин.</w:t>
      </w:r>
    </w:p>
    <w:p w14:paraId="71813F21" w14:textId="77777777" w:rsidR="00260CD3" w:rsidRPr="00C94B78" w:rsidRDefault="00260CD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ходе испытаний крупнокалиберные пушки НС-37 были заменены на стандартные пушки штурмовой авиации Красной армии — ВЯ-23 (240 снарядов). Предельный вес бомбовой нагрузки вырос до 600 кг. Вес пустого самолета стал — 4366 кг (25388).</w:t>
      </w:r>
    </w:p>
    <w:p w14:paraId="065FCAB4" w14:textId="77777777" w:rsidR="00260CD3" w:rsidRPr="00C94B78" w:rsidRDefault="00260CD3" w:rsidP="00B56F90">
      <w:pPr>
        <w:spacing w:after="0" w:line="240" w:lineRule="auto"/>
        <w:jc w:val="both"/>
        <w:rPr>
          <w:rFonts w:ascii="Times New Roman" w:hAnsi="Times New Roman"/>
          <w:color w:val="0070C0"/>
          <w:sz w:val="16"/>
          <w:szCs w:val="16"/>
        </w:rPr>
      </w:pPr>
    </w:p>
    <w:p w14:paraId="7F8BC714" w14:textId="77777777" w:rsidR="00282955" w:rsidRPr="00070ADE" w:rsidRDefault="0028295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 февралю 1944 г. на Константиновском стеклозаводе начались восстановительные работы. Уже с начала </w:t>
      </w:r>
      <w:r w:rsidRPr="00070ADE">
        <w:rPr>
          <w:rFonts w:ascii="Times New Roman" w:hAnsi="Times New Roman"/>
          <w:color w:val="000000" w:themeColor="text1"/>
          <w:sz w:val="16"/>
          <w:szCs w:val="16"/>
          <w:lang w:val="en-US"/>
        </w:rPr>
        <w:t>III</w:t>
      </w:r>
      <w:r w:rsidRPr="00070ADE">
        <w:rPr>
          <w:rFonts w:ascii="Times New Roman" w:hAnsi="Times New Roman"/>
          <w:color w:val="000000" w:themeColor="text1"/>
          <w:sz w:val="16"/>
          <w:szCs w:val="16"/>
        </w:rPr>
        <w:t xml:space="preserve"> квартала завод начал выпускать сталинит по довоенной технологии. Планировалось, что с выходом на проектную мощность он будет производить до 2000 ком</w:t>
      </w:r>
      <w:r w:rsidRPr="00070ADE">
        <w:rPr>
          <w:rFonts w:ascii="Times New Roman" w:hAnsi="Times New Roman"/>
          <w:color w:val="000000" w:themeColor="text1"/>
          <w:sz w:val="16"/>
          <w:szCs w:val="16"/>
        </w:rPr>
        <w:softHyphen/>
        <w:t>плектов таблеток сталинита в месяц (17481).</w:t>
      </w:r>
    </w:p>
    <w:p w14:paraId="306158DB" w14:textId="77777777" w:rsidR="00282955" w:rsidRPr="00070ADE" w:rsidRDefault="00282955" w:rsidP="00B56F90">
      <w:pPr>
        <w:spacing w:after="0" w:line="240" w:lineRule="auto"/>
        <w:jc w:val="both"/>
        <w:rPr>
          <w:rFonts w:ascii="Times New Roman" w:hAnsi="Times New Roman"/>
          <w:color w:val="000000" w:themeColor="text1"/>
          <w:sz w:val="16"/>
          <w:szCs w:val="16"/>
        </w:rPr>
      </w:pPr>
    </w:p>
    <w:p w14:paraId="219A96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февралю 1944 г. на ДДБШ 2М-71Ф (Су-8) пушки НС-37 были заменены на пушки НС-45 ОКБ-16 калибра 45 мм (200 снарядов).</w:t>
      </w:r>
    </w:p>
    <w:p w14:paraId="428CE7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решение обуславливалось тем, что разрушающее действие, используемого в НС-45, штатного фугасно-ос-колочного снаряда (масса 1065 г.) от 45-мм противотанковой пушки было вдвое выше, чем у снаряда к пушке НС-37. Последнее требовалось для гарантированного поражения тяжелых немецких танков.</w:t>
      </w:r>
    </w:p>
    <w:p w14:paraId="32AC00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Стрелковое вооружение осталось прежним: восемь пулеметов ШКАС (по четыре на каждой консоли крыла) с боезапасом 4800 патронов, два подвижных оборонительных пулемета в кабине стрелка-радиста - УБТ (200 патронов) на верхней турели УТК-1 и пулемет ШКАС (700 патронов) на нижней люковой турели ЛУ-100.</w:t>
      </w:r>
    </w:p>
    <w:p w14:paraId="0BA639B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Ракетное вооружение включало б реактивных снарядов PC-82 или РОФС-132 (в перегрузку 10).</w:t>
      </w:r>
    </w:p>
    <w:p w14:paraId="03010B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Бомбы размещались в шести бом-боотсеках, расположенных в центроплане. Каждый отсек вмещал в себя одну бомбу весом в 100 кг (всего 600 кг), или несколько авиабомб меньшего калибра от 1 до 25 кг (всего 900 кг).</w:t>
      </w:r>
    </w:p>
    <w:p w14:paraId="5A232E8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 фюзеляжем предусматривалась возможность подвески трех бомб калибра 100 кг (300 кг) или 250 кг (750 кг), либо двух бомб калибра 500 кг, либо двух ВАП-500.</w:t>
      </w:r>
    </w:p>
    <w:p w14:paraId="12BCC2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перегрузочном полетном весе самолета 13 381 кг предельный вес бомбовой нагрузки составлял 1400 кг.</w:t>
      </w:r>
    </w:p>
    <w:p w14:paraId="6E83F7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самолета составлял 9168 кг. Нормальный вес полезной нагрузки равнялся 3045 кг.</w:t>
      </w:r>
    </w:p>
    <w:p w14:paraId="57A7AA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нормальном полетном весе 12213 кг максимальная скорость у земли Су-8 2М-71ф составила 485 км/ч (на форсаже 515 км/ч), на высоте 4600 м - 550 км/ч. Время подъема на высоту 4000 м - 7,26 мин. Посадочная скорость 138 км/ч.</w:t>
      </w:r>
    </w:p>
    <w:p w14:paraId="564A484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дальность полета на высоте 1000 м при перегрузочном полетном весе (600 кг бомб) на скорости 335 км/ч составляла 1500 км, а при нормальном полетном весе (600 кг бомб) в тех же условиях - 1000 км.</w:t>
      </w:r>
    </w:p>
    <w:p w14:paraId="7AC442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Анализ боевых возможностей тяжелого штурмовика ОКБ Сухого показывает, что Су-8 мог успешно осуществлять как авиационную поддержку своих войск на этапе прорыва обороны противника, уничтожая хорошо защищенные наземные цели противника, в том числе и танки, так и авиационное сопровождение танковых и моторизованных соединений Красной армии на всех этапах ввода последних в прорыв.</w:t>
      </w:r>
    </w:p>
    <w:p w14:paraId="563C1A9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кроме этого, мог эффективно действовать в оперативной зоне и войсковых тылах противника по резервам на марше и в местах их сосредоточения, по танковым и моторизованным колоннам, по самолетам на аэродромах, по железнодорожным составам и станциям, и т. д.</w:t>
      </w:r>
    </w:p>
    <w:p w14:paraId="5AD4C4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 есть, двухмоторный бронированный “сухой” накрывал абсолютно все боевые задачи авиационной поддержки наземных войск при проведении последними как глубокой наступательной, так и оборонительной операций.</w:t>
      </w:r>
    </w:p>
    <w:p w14:paraId="2F7340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Оценки показывают, что в типовых условиях боев летчик с хорошей летной и стрелковой подготовкой на штурмовике Су-8 2М-71ф с противотанковым вариантом </w:t>
      </w:r>
      <w:r w:rsidRPr="00070ADE">
        <w:rPr>
          <w:rFonts w:ascii="Times New Roman" w:hAnsi="Times New Roman"/>
          <w:color w:val="000000" w:themeColor="text1"/>
          <w:sz w:val="16"/>
          <w:szCs w:val="16"/>
        </w:rPr>
        <w:lastRenderedPageBreak/>
        <w:t>вооружения (4 НС-45, 6-10 РОФС-132 или PC-82) уже в первой атаке мог обеспечить вероятность поражения немецкого среднего танка типа Pz. IV Ausf G (атака сбоку, угол планирования 25-30°, дистанция открытия огня 300-400 м) порядка 0,55-0,36, а бронетранспортера типа Sd Kfz 250 - 0,95-0,9.</w:t>
      </w:r>
    </w:p>
    <w:p w14:paraId="737B9D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Если еще учесть 6-10 реактивных снарядов и 600-1400 кг авиабомб, то Су-8 в каждом боевом вылете мог гарантированно поражать один-два средних или тяжелых танков вермахта, конечно, при наличие таковых на поле боя.</w:t>
      </w:r>
    </w:p>
    <w:p w14:paraId="68651D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сожалению, пассивная позиция Наркомата авиапромышленности в вопросе налаживания крупносерийного производства моторов М-71Ф ре-шило судьбу суховского тяжелого штурмовика - также как и Су-б М-71Ф, в серии Су-8 не строился.</w:t>
      </w:r>
    </w:p>
    <w:p w14:paraId="0A1D30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тому же, шел 1944 г. и у руководства страны, ВВС и НКАП к этому времени сложилось устойчивое мнение, что войну можно выиграть и без столь дорогой и сложной машины, как Су-8, пусть даже значительно более эффективной, чем дешевые одномоторные штурмовики.</w:t>
      </w:r>
    </w:p>
    <w:p w14:paraId="1CCDE6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Очевидно, что постановка этой машины на вооружение штурмовых авиадивизий или авиакорпусов РВГК Красной армии, например, из расчета один полк Су-8-х на два-три полка более дешевых одномоторных штурмовиков типа Су-6 М-71Ф, Ил-2 АМ-38Ф или Ил-10 АМ-42, существенно повысила бы пробивную мощь подвижных танковых и конно-механизированных групп прорыва Красной армии и устойчивость противотанковой обороны войск, что уменьшило бы потери войск.</w:t>
      </w:r>
    </w:p>
    <w:p w14:paraId="2206C5B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как показывает анализ боевого опыта применения Ил-2 на флоте, Су-8-й вполне мог претендовать на роль оптимального морского штурмовика 2-й Мировой войны, обладая всеми необходимыми для этого качествами: сильным бронированием, мощным вооружением и достаточной дальностью полета...</w:t>
      </w:r>
    </w:p>
    <w:p w14:paraId="78DB0A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Пытаясь спасти штурмовик, П.О.Сухой перепроектирует Су-8 (практически без изменений в аэродинамической компоновке и конструкции уже летавшего самолета) под мотор АМ-42 с взлетной мощностью 2000 л. с.</w:t>
      </w:r>
    </w:p>
    <w:p w14:paraId="061EF8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самолета увеличился до 9728 кг. Вес полезной нагрузки -3046 кг. Нормальный полетный вес -12 774 кг. Винты четырехлопастные диаметром 4 м.</w:t>
      </w:r>
    </w:p>
    <w:p w14:paraId="6D3733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 на номинальном режиме работы мотора составляла 485 км/ч, на высоте 2500 м - 525 км/ч. Время подъема на высоту 4000 м - 8,5 мин. Максимальная скоростная дальность (на 0,9Vmax) полета на высоте 1000 м - 620 км.</w:t>
      </w:r>
    </w:p>
    <w:p w14:paraId="79CB44B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Развития этот проект не получил...(9649).</w:t>
      </w:r>
    </w:p>
    <w:p w14:paraId="061739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81666D" w14:textId="77777777" w:rsidR="0018364B" w:rsidRPr="00070ADE" w:rsidRDefault="0018364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B43636E" w14:textId="77777777" w:rsidR="0018364B" w:rsidRPr="00070ADE" w:rsidRDefault="0018364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4A21F1" w14:textId="77777777" w:rsidR="0018364B" w:rsidRPr="00070ADE" w:rsidRDefault="0018364B"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К февралю 1944 г. Су-6 с мотором жидкостного охлаждения АМ-42 был построен и прошел сначала заводские испытания, а затем начал проходить государственные испытания.</w:t>
      </w:r>
    </w:p>
    <w:p w14:paraId="3E04F01F" w14:textId="77777777" w:rsidR="0018364B" w:rsidRPr="00070ADE" w:rsidRDefault="0018364B"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В отличие от Су-6 М-71Ф консоли крыла Су-6 АМ-42 выполнялись металлическими с увеличенной до 28,6 кв. м площадью.</w:t>
      </w:r>
    </w:p>
    <w:p w14:paraId="5E7C995F" w14:textId="77777777" w:rsidR="0018364B" w:rsidRPr="00070ADE" w:rsidRDefault="0018364B"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Кроме того, была увеличена компенсация рулей высоты и элеронов, поставлено хвостовое колесо 400×150 мм вместо 300×125 мм, установлены прицел ПБП-16 (вместо ВВ-1) и четырехлопастный винт АВ-9Л-172 диаметром 3,4 м.</w:t>
      </w:r>
    </w:p>
    <w:p w14:paraId="6D14AF9F" w14:textId="77777777" w:rsidR="0018364B" w:rsidRPr="00070ADE" w:rsidRDefault="0018364B"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Из-за необходимости бронирования мотора АМ-42 со всех сторон вес брони увеличился на 252 кг (толщина бронекапота 4 мм).</w:t>
      </w:r>
    </w:p>
    <w:p w14:paraId="4DA245FF" w14:textId="77777777" w:rsidR="0018364B" w:rsidRPr="00070ADE" w:rsidRDefault="0018364B"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Вес пустого самолета составил 4370 кг, вес боевой нагрузки — 1375 кг.</w:t>
      </w:r>
    </w:p>
    <w:p w14:paraId="65641C61" w14:textId="77777777" w:rsidR="0018364B" w:rsidRPr="00070ADE" w:rsidRDefault="0018364B"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Стрелково-пушечное вооружение штурмовика осталось прежним: две крыльевых пушки НС-37 (те же 11П-37 в серии) с боекомплектом 90 снарядов, два крыльевых пулемета ШКАС (1400 патронов) и один пулемет УБТ в блистере (196 патронов).</w:t>
      </w:r>
    </w:p>
    <w:p w14:paraId="4CA19FC9" w14:textId="77777777" w:rsidR="0018364B" w:rsidRPr="00070ADE" w:rsidRDefault="0018364B"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Бомбовая нагрузка увеличена до 400 кг (в перегрузку).</w:t>
      </w:r>
    </w:p>
    <w:p w14:paraId="6F7BC718" w14:textId="77777777" w:rsidR="0018364B" w:rsidRPr="00070ADE" w:rsidRDefault="0018364B"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В процессе отработки программы государственных летных испытаний был выявлен ряд серьезных конструктивных и производственных дефектов установленного на самолете экземпляра АМ-42 (возгорание смеси во всасывающих патрубках, повышенный в 4–5 раз расход масла), порожденных скоростным проектированием мотора в условиях военного времени.</w:t>
      </w:r>
    </w:p>
    <w:p w14:paraId="7A91E531" w14:textId="77777777" w:rsidR="0018364B" w:rsidRPr="00070ADE" w:rsidRDefault="0018364B"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В этой связи полностью снять летные характеристики Су-6 АМ-42 с пушками НС-37 не удалось.</w:t>
      </w:r>
    </w:p>
    <w:p w14:paraId="4A128435" w14:textId="77777777" w:rsidR="0018364B" w:rsidRPr="00070ADE" w:rsidRDefault="0018364B"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Максимальная скорость штурмовика на высоте 1000 м составила 508 км/ч, на высоте 2000 м — 519 км/ч. На высоту 1000 м самолет забирался за две мин., а на 3000 м — за шесть мин.</w:t>
      </w:r>
    </w:p>
    <w:p w14:paraId="4366C563" w14:textId="77777777" w:rsidR="0018364B" w:rsidRPr="00070ADE" w:rsidRDefault="0018364B"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В ходе испытаний крупнокалиберные пушки НС-37 были заменены на стандартные пушки штурмовой авиации Красной армии — ВЯ-23 (240 снарядов). Предельный вес бомбовой нагрузки вырос до 600 кг. Вес пустого самолета стал — 4366 кг (19188).</w:t>
      </w:r>
    </w:p>
    <w:p w14:paraId="58AF4287" w14:textId="77777777" w:rsidR="0018364B" w:rsidRPr="00070ADE" w:rsidRDefault="0018364B" w:rsidP="00B56F90">
      <w:pPr>
        <w:pStyle w:val="ae"/>
        <w:shd w:val="clear" w:color="auto" w:fill="FFFFFF"/>
        <w:spacing w:before="0" w:after="0"/>
        <w:jc w:val="both"/>
        <w:textAlignment w:val="baseline"/>
        <w:rPr>
          <w:color w:val="000000" w:themeColor="text1"/>
          <w:sz w:val="16"/>
          <w:szCs w:val="16"/>
        </w:rPr>
      </w:pPr>
    </w:p>
    <w:p w14:paraId="56980D88" w14:textId="77777777" w:rsidR="0018364B" w:rsidRPr="00070ADE" w:rsidRDefault="0018364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224C081A" w14:textId="77777777" w:rsidR="0018364B" w:rsidRPr="00070ADE" w:rsidRDefault="0018364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DFA449"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февралю 1944 года англичане подготовили довольно внушительный предварительный доклад о танке Т-34. Тем временем ошибочная информация о танке всё ещё находилась в обороте. Например, разведывательный отдел 8-й армии уже в декабре 1943 года получил информацию из немецких источников о том, что лобовая броня имеет толщину 55 мм и установлена под углом 70° от вертикали.</w:t>
      </w:r>
    </w:p>
    <w:p w14:paraId="73AE725D" w14:textId="439C2C41"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отчёте из Чертси отмечалось, что танк эволюционировал из машин Кристи, но советская ветка развития пошла в другую сторону. По словам британцев, в основу концепции Т-34 легли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«простота конструкции, большая универсальная пушка, крепкая броня и, самое главное, возможность массового выпуска в условиях дефицита ресурсов, оборудования и высококвалифицированной рабочей силы». По словам британских специалистов, некоторые детали танка не получили должного внимания по сравнению с британскими машинами, но советские конструкторы трезво оценили самые важные качества машины.</w:t>
      </w:r>
    </w:p>
    <w:p w14:paraId="06663E91"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Британцы оценили сварной корпус и литую башню танка как отличные с баллистической точки зрения, отметив, что корпус в основном собирается из катаных листов всего трёх толщин (15, 20 и 45 мм). Причин для подозрения в низком качестве брони найдено не было, но было отмечено, что твёрдость литых и катаных деталей брони была выше, чем у американских и британских машин. Поверхности литых деталей были признаны отличными. Обработка катаных деталей была грубой, но это ничего не говорило об их качестве. Сварные швы, как и сама броня, были грубыми, но трещин швов или брони в местах сварки обнаружено не было. Рационально расположенную лобовую плиту британцы оценили весьма высоко, но им не понравилось наличие в ней люка механика-водителя.</w:t>
      </w:r>
    </w:p>
    <w:p w14:paraId="1B7AFFFE"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Британцам также не понравилось отсутствие защиты башенного погона от заклинивания и отсутствие места, куда можно было бы приварить экраны для этой цели.</w:t>
      </w:r>
    </w:p>
    <w:p w14:paraId="58BB7968"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Изнутри танк не понравился британцам в такой же степени, что и снаружи. Башня была тесной и затрудняла работу с пушкой, хотя испытатели до проведения полных испытаний стрельбой и не решились сказать насколько. Агрегаты, нужные для ведения боя (прицел, топливный насос и т.д.), были выполнены отлично, но остальные детали признали достаточно грубо обработанными. Автор доклада полагал, что боевые качества танка из-за недостаточной обработки деталей не снижались, но при производстве танка на британских заводах можно было получить более эстетичные изделия без дополнительной затраты человеко-часов.</w:t>
      </w:r>
    </w:p>
    <w:p w14:paraId="2B2D6539"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пушкой ситуация не вполне понятна. Инструкция по эксплуатации упоминала типы танковых пушек образца 1940, 1941 и 1942 годов. В описи, заполненной в Бакарице, орудие описано как «76-мм пушка Ф-34 образца 1940 года», но, похоже, в Чертси её не получили, так как британцы решили, что это пушка образца 1942 года. По мнению автора доклада, механизм полуавтоматики был похож на аналогичный от американской 75-миллиметровой пушки М3. Британцам понравился большой, до 30°, угол возвышения пушки, но угол склонения в −3° был признан недостаточным. Однако испытатели отметили, что для большего склонения пришлось бы увеличить высоту башни. Дополнительные противовесы на люльке орудия не полностью его уравновешивали, и оставался некоторый перевес в сторону ствола.</w:t>
      </w:r>
    </w:p>
    <w:p w14:paraId="0790F867"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Испытателям не понравилась рукоятка ручного поворота башни. Из-за того, что она не поворачивалась вокруг своей оси, быстро вращать её было неудобно. Для полного поворота башни требовалось 390 поворотов маховика. Люфт в механизме затруднял наведение на цель. Из жалоб на механизм вертикальной наводки была только одна: при работе с ним наводчик задевал рукой за колени. Для покрытия полного вертикального диапазона пушки требовалось 24 неполных оборота маховика. Электрический мотор поворачивал башню со скоростью около 26° в секунду: для полного поворота башни влево требовалось 13,6–13,8 секунд.</w:t>
      </w:r>
    </w:p>
    <w:p w14:paraId="5F963FD6"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танке не нашли ни пистолетов-пулемётов ППШ, ни укладки к ним, но наличие бойниц в танке привело британцев к выводу, что какое-нибудь личное оружие у советских танкистов должно было быть. Магазины для пулемёта ДТ оценили как «простые и эффективные», но британцам явно не понравился лёгкий ствол пулемёта и невозможность быстро сменить его в бою. В отличие от пушки, курсовой пулемёт был хорошо сбалансирован.</w:t>
      </w:r>
    </w:p>
    <w:p w14:paraId="221BEC54"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Изучение перископического прицела ПТ-4-7 показало светопрозрачность на уровне 26,3%. Телескопический прицел был несколько лучше, пропуская 39,2% входящего света. Для сравнения, немецкий прицел TZF5b, осмотренный британцами, пропускал 20,1%. Резиновые накладки прицелов не полностью блокировали внешний свет, но британцам понравилось, что их можно было подстраивать под правый или левый глаз.</w:t>
      </w:r>
    </w:p>
    <w:p w14:paraId="24462876"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прицелами произошло ещё одно замешательство. В руководстве был описан клинометр, но его британцы в танке не нашли. Испытатели пришли к выводу, что огонь с закрытых позиций был возможным, если приложить переносной клинометр к казённику пушки. В руководстве также упоминался прицел ПТК-5 в люке на крыше, но и этот прицел британцы не нашли.</w:t>
      </w:r>
    </w:p>
    <w:p w14:paraId="328AF775"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Видимость из башни с закрытыми люками была оценена как «ограниченная», при этом открытие башенного люка помогало не сильно. Большой люк защищал экипаж спереди, но одновременно затруднял наблюдение. Жалоб на обзор с места механика-водителя не было.</w:t>
      </w:r>
    </w:p>
    <w:p w14:paraId="18440D03"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Боеукладки были простыми, скомпонованными для вмещения максимального количества патронов, без учёта удобства их вынимания. Британцы хотели бы снять резиновые прокладки на полу, так как те затрудняли доступ к снарядам в ящиках на полу, но боялись без них повредить снаряды, погнув крышки ящиков. Британцы были хорошо знакомы с советскими осколочно-фугасными снарядами, так как те использовались немцами для трофейных пушек 7.62 cm F.K. 295(r).</w:t>
      </w:r>
    </w:p>
    <w:p w14:paraId="05B3E6D6"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Осматривая двигатель В-2, британцы догадались о его авиационных корнях. Детали отличались друг от друга качеством обработки. Самые важные из них не уступали по качеству аналогичным британским деталям, но литьё было очень грубым. Тем не менее как отметили британцы, не было знаков пористости или низкого качества отливки. Исследователи отметили большое количество штампов, что свидетельствовало о тщательном процессе приёмки.</w:t>
      </w:r>
    </w:p>
    <w:p w14:paraId="61AB62CD" w14:textId="024DA106"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воздушном фильтре было написано очень мало. Отмечалось, что он был выполнен достаточно грубо, как и множество деталей в танке, но особой критике эту конструкцию не подвергли. Нельзя сказать, что британцам было наплевать на воздушные фильтры: например, аналогичный агрегат на «Тигре»</w:t>
      </w:r>
      <w:r w:rsidR="00B643A8" w:rsidRPr="00070ADE">
        <w:rPr>
          <w:rFonts w:ascii="Times New Roman" w:hAnsi="Times New Roman"/>
          <w:color w:val="000000" w:themeColor="text1"/>
          <w:sz w:val="16"/>
          <w:szCs w:val="16"/>
        </w:rPr>
        <w:t xml:space="preserve"> </w:t>
      </w:r>
      <w:hyperlink r:id="rId28" w:history="1">
        <w:r w:rsidRPr="00070ADE">
          <w:rPr>
            <w:rStyle w:val="a5"/>
            <w:rFonts w:ascii="Times New Roman" w:hAnsi="Times New Roman"/>
            <w:color w:val="000000" w:themeColor="text1"/>
            <w:sz w:val="16"/>
            <w:szCs w:val="16"/>
            <w:u w:val="none"/>
          </w:rPr>
          <w:t>оценили откровенно отрицательно</w:t>
        </w:r>
      </w:hyperlink>
      <w:r w:rsidRPr="00070ADE">
        <w:rPr>
          <w:rFonts w:ascii="Times New Roman" w:hAnsi="Times New Roman"/>
          <w:color w:val="000000" w:themeColor="text1"/>
          <w:sz w:val="16"/>
          <w:szCs w:val="16"/>
        </w:rPr>
        <w:t>.</w:t>
      </w:r>
    </w:p>
    <w:p w14:paraId="06FA421F"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Доступ к трансмиссии был оценён как достаточно простой, но до двигателя было не так легко добраться. Из-за тяжёлой кормовой плиты (864 кг), британцы решили, что для её открытия нужна механическая помощь. Возможность добраться к трансмиссии через откидную кормовую деталь британцы оценили как очень интересную инновацию. Работе самой трансмиссии и коробки передач британцы посвятили множество страниц, но критики в них мало, если не считать обычных замечаний о грубо изготовленных деталях.</w:t>
      </w:r>
    </w:p>
    <w:p w14:paraId="49C7451A"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целом конструкция танка британцам понравилась. По их мнению, Т-34 был сконструирован людьми, которые отлично представляли реалии войны, возможности отечественной промышленности и особенности русского солдата. Автор доклада посчитал выпуск такого танка, особенно в то время, когда враг лишил советскую промышленность довоенных заводов и рабочих, «первоклассным инженерным достижением» (18249).</w:t>
      </w:r>
    </w:p>
    <w:p w14:paraId="7CB2C5DE" w14:textId="77777777" w:rsidR="0018364B" w:rsidRPr="00070ADE" w:rsidRDefault="0018364B" w:rsidP="00B56F90">
      <w:pPr>
        <w:spacing w:after="0" w:line="240" w:lineRule="auto"/>
        <w:jc w:val="both"/>
        <w:rPr>
          <w:rFonts w:ascii="Times New Roman" w:hAnsi="Times New Roman"/>
          <w:color w:val="000000" w:themeColor="text1"/>
          <w:sz w:val="16"/>
          <w:szCs w:val="16"/>
        </w:rPr>
      </w:pPr>
    </w:p>
    <w:p w14:paraId="4B59C646" w14:textId="77777777" w:rsidR="00DD3F2D" w:rsidRPr="00070ADE" w:rsidRDefault="00DD3F2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февралю 1944 г. концептуально окончательно оформился проект Т-44. Танк Т-44 разрабатывался в конструкторском бюро завода под руководством того же А.А. Морозова. От Т-34 и Т-43, который был по большому счету глубокой модернизацией Т-34, танк Т-44 отличался устройством, компоновкой, габаритами, формой и толщиной брони корпуса и башни (лоб корпуса - 90 мм, борт - 75 мм, башня - 120—90 мм). Настоящей находкой конструкторов стало расположение двигателя не вдоль, а поперек корпуса, что позволило заметно сократить длину силового отделения, улучшить положение экипажа и сместить башню в центр корпуса. За счет этого удалось убрать люк механика-водителя с лобового листа на подбашенный. На машине была установлена индивидуальная торсионная подвеска, более совершенная трансмиссия и т. д.[1025]</w:t>
      </w:r>
    </w:p>
    <w:p w14:paraId="4E1842F2" w14:textId="77777777" w:rsidR="00DD3F2D" w:rsidRPr="00070ADE" w:rsidRDefault="00DD3F2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Ликвидация люка механика-водителя на лобовой детали корпуса - это очень важное техническое решение. Такой люк присутствовал у всех модификаций Т-34. ГАБТУ постоянно требовало его убрать, поскольку он значительно ослаблял лобовую броню. Но это не представлялось возможным, поскольку он был единственным способом быстро попасть на свои места и покинуть танк механику-водителю и стрелку-радисту. Этот люк давал приемлемый обзор при движении по-походному. Присутствие лобового люка на Т-43 стало единственным замечанием ГАБТУ (всего их было четыре: расширить погон и установить 85-миллиметровую пушку, отменить ножной пуск двигателя и убрать люк), которое не смогли ликвидировать конструкторы УТЗ на новых опытных образцах Т-43 в середине 1943 г. (пока история этого танка не была закрыта совсем)[1026].</w:t>
      </w:r>
    </w:p>
    <w:p w14:paraId="13CD1DC0" w14:textId="77777777" w:rsidR="00DD3F2D" w:rsidRPr="00070ADE" w:rsidRDefault="00DD3F2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В.А. Малышева № 159с от 14 марта 1944 г., УТЗ должен был подать для утверждения в наркомат к 10 апреля план развертывания производства Т-44, исходя из даты начала серийного выпуска с 1 июля 1944 г.[1027]. Однако нижнетагильский завод № 183 так и не приступил к производству нового танка (23536).</w:t>
      </w:r>
    </w:p>
    <w:p w14:paraId="3EFB0E70" w14:textId="77777777" w:rsidR="00DD3F2D" w:rsidRPr="00070ADE" w:rsidRDefault="00DD3F2D" w:rsidP="00B56F90">
      <w:pPr>
        <w:spacing w:after="0" w:line="240" w:lineRule="auto"/>
        <w:jc w:val="both"/>
        <w:rPr>
          <w:rFonts w:ascii="Times New Roman" w:hAnsi="Times New Roman"/>
          <w:color w:val="000000" w:themeColor="text1"/>
          <w:sz w:val="16"/>
          <w:szCs w:val="16"/>
        </w:rPr>
      </w:pPr>
    </w:p>
    <w:p w14:paraId="0B8B5A20" w14:textId="2690980F" w:rsidR="00260CD3" w:rsidRPr="00070ADE" w:rsidRDefault="00260CD3"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070ADE">
        <w:rPr>
          <w:rFonts w:ascii="Times New Roman" w:hAnsi="Times New Roman"/>
          <w:i/>
          <w:iCs/>
          <w:color w:val="000000" w:themeColor="text1"/>
          <w:sz w:val="16"/>
          <w:szCs w:val="16"/>
        </w:rPr>
        <w:t>:</w:t>
      </w:r>
    </w:p>
    <w:p w14:paraId="7C0D2B41" w14:textId="77777777" w:rsidR="00260CD3" w:rsidRPr="00070ADE" w:rsidRDefault="00260CD3"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6D5AA9" w14:textId="77777777" w:rsidR="00260CD3" w:rsidRPr="00C94B78" w:rsidRDefault="00260CD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февралю 1944-го все тяже</w:t>
      </w:r>
      <w:r w:rsidRPr="00C94B78">
        <w:rPr>
          <w:rFonts w:ascii="Times New Roman" w:hAnsi="Times New Roman"/>
          <w:color w:val="0070C0"/>
          <w:sz w:val="16"/>
          <w:szCs w:val="16"/>
        </w:rPr>
        <w:softHyphen/>
        <w:t>лые самоходно-артиллерийские полки получили САУ для командиров батарей и были переведены на новый штат № 010/461. По нему полк стал иметь четыре батареи по пять САУ в каждой — всего 21 установка. По этому штату в полк допол</w:t>
      </w:r>
      <w:r w:rsidRPr="00C94B78">
        <w:rPr>
          <w:rFonts w:ascii="Times New Roman" w:hAnsi="Times New Roman"/>
          <w:color w:val="0070C0"/>
          <w:sz w:val="16"/>
          <w:szCs w:val="16"/>
        </w:rPr>
        <w:softHyphen/>
        <w:t>нительно были введены рота автоматчи</w:t>
      </w:r>
      <w:r w:rsidRPr="00C94B78">
        <w:rPr>
          <w:rFonts w:ascii="Times New Roman" w:hAnsi="Times New Roman"/>
          <w:color w:val="0070C0"/>
          <w:sz w:val="16"/>
          <w:szCs w:val="16"/>
        </w:rPr>
        <w:softHyphen/>
        <w:t>ков и саперный взвод (25000).</w:t>
      </w:r>
    </w:p>
    <w:p w14:paraId="7C3BCA8D" w14:textId="77777777" w:rsidR="00260CD3" w:rsidRPr="00C94B78" w:rsidRDefault="00260CD3" w:rsidP="00B56F90">
      <w:pPr>
        <w:spacing w:after="0" w:line="240" w:lineRule="auto"/>
        <w:jc w:val="both"/>
        <w:rPr>
          <w:rFonts w:ascii="Times New Roman" w:hAnsi="Times New Roman"/>
          <w:color w:val="0070C0"/>
          <w:sz w:val="16"/>
          <w:szCs w:val="16"/>
        </w:rPr>
      </w:pPr>
    </w:p>
    <w:p w14:paraId="6825BA74" w14:textId="77777777" w:rsidR="00DD3F2D" w:rsidRPr="00070ADE" w:rsidRDefault="00DD3F2D"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0A6EE343" w14:textId="77777777" w:rsidR="00DD3F2D" w:rsidRPr="00070ADE" w:rsidRDefault="00DD3F2D"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6D419F" w14:textId="77777777" w:rsidR="00DD3F2D" w:rsidRPr="00070ADE" w:rsidRDefault="00DD3F2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февралю 1944 года, со значительным отставанием от графика, ракеты Вассерфаль были переданы на полигон на острове Грефсвальдер. К марту 1945 года ракета достигала высот 18-20 км и скорости 760 км/ч. Старт производился вертикально вверх со специального пускового станка, и уже в воздухе поворачивалась на цель. К концу войны "Вассерфаль" была настолько готова, что могла быть развернута для боевого дежурства, но война закончилась поражением Третьего Рейха.</w:t>
      </w:r>
    </w:p>
    <w:p w14:paraId="5C7B5E3B" w14:textId="77777777" w:rsidR="00DD3F2D" w:rsidRPr="00070ADE" w:rsidRDefault="00DD3F2D" w:rsidP="00B56F90">
      <w:pPr>
        <w:spacing w:after="0" w:line="240" w:lineRule="auto"/>
        <w:jc w:val="both"/>
        <w:rPr>
          <w:rFonts w:ascii="Times New Roman" w:hAnsi="Times New Roman"/>
          <w:color w:val="000000" w:themeColor="text1"/>
          <w:sz w:val="16"/>
          <w:szCs w:val="16"/>
        </w:rPr>
      </w:pPr>
    </w:p>
    <w:p w14:paraId="715DC42A"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53B7C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22A8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февраля 1944 на заводе 1 было изготовлено 2 комплекта деталей металлического крыла Ил-2 с увеличенной стреловидностью, но к сборке крыла не приступали (462,44).</w:t>
      </w:r>
    </w:p>
    <w:p w14:paraId="3AB212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BFD241" w14:textId="77777777" w:rsidR="00F45F6E" w:rsidRPr="00C94B78" w:rsidRDefault="00F45F6E"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 1 фев</w:t>
      </w:r>
      <w:r w:rsidRPr="00C94B78">
        <w:rPr>
          <w:rStyle w:val="aff1"/>
          <w:rFonts w:ascii="Times New Roman" w:hAnsi="Times New Roman" w:cs="Times New Roman"/>
          <w:color w:val="0070C0"/>
          <w:spacing w:val="0"/>
          <w:sz w:val="16"/>
          <w:szCs w:val="16"/>
        </w:rPr>
        <w:softHyphen/>
        <w:t>раля до 15 марта 1944 г., как следует из документов, проектирова</w:t>
      </w:r>
      <w:r w:rsidRPr="00C94B78">
        <w:rPr>
          <w:rStyle w:val="aff1"/>
          <w:rFonts w:ascii="Times New Roman" w:hAnsi="Times New Roman" w:cs="Times New Roman"/>
          <w:color w:val="0070C0"/>
          <w:spacing w:val="0"/>
          <w:sz w:val="16"/>
          <w:szCs w:val="16"/>
        </w:rPr>
        <w:softHyphen/>
        <w:t>ние 37‑мм пушки Н‑37 ОКБ‑16 «было выполне</w:t>
      </w:r>
      <w:r w:rsidRPr="00C94B78">
        <w:rPr>
          <w:rStyle w:val="aff1"/>
          <w:rFonts w:ascii="Times New Roman" w:hAnsi="Times New Roman" w:cs="Times New Roman"/>
          <w:color w:val="0070C0"/>
          <w:spacing w:val="0"/>
          <w:sz w:val="16"/>
          <w:szCs w:val="16"/>
        </w:rPr>
        <w:softHyphen/>
        <w:t>но в исключительно короткие сроки» –</w:t>
      </w:r>
      <w:r>
        <w:rPr>
          <w:rStyle w:val="aff1"/>
          <w:rFonts w:ascii="Times New Roman" w:hAnsi="Times New Roman" w:cs="Times New Roman"/>
          <w:color w:val="0070C0"/>
        </w:rPr>
        <w:t xml:space="preserve"> </w:t>
      </w:r>
      <w:r w:rsidRPr="00C94B78">
        <w:rPr>
          <w:rStyle w:val="aff1"/>
          <w:rFonts w:ascii="Times New Roman" w:hAnsi="Times New Roman" w:cs="Times New Roman"/>
          <w:color w:val="0070C0"/>
          <w:spacing w:val="0"/>
          <w:sz w:val="16"/>
          <w:szCs w:val="16"/>
        </w:rPr>
        <w:t>К 1 апреля подгото</w:t>
      </w:r>
      <w:r w:rsidRPr="00C94B78">
        <w:rPr>
          <w:rStyle w:val="aff1"/>
          <w:rFonts w:ascii="Times New Roman" w:hAnsi="Times New Roman" w:cs="Times New Roman"/>
          <w:color w:val="0070C0"/>
          <w:spacing w:val="0"/>
          <w:sz w:val="16"/>
          <w:szCs w:val="16"/>
        </w:rPr>
        <w:softHyphen/>
        <w:t>вили рабочие чертежи. Параллельно в цехах опытного производства изготавливали дета</w:t>
      </w:r>
      <w:r w:rsidRPr="00C94B78">
        <w:rPr>
          <w:rStyle w:val="aff1"/>
          <w:rFonts w:ascii="Times New Roman" w:hAnsi="Times New Roman" w:cs="Times New Roman"/>
          <w:color w:val="0070C0"/>
          <w:spacing w:val="0"/>
          <w:sz w:val="16"/>
          <w:szCs w:val="16"/>
        </w:rPr>
        <w:softHyphen/>
        <w:t>ли, «весь комплект которых был передан в сбо</w:t>
      </w:r>
      <w:r w:rsidRPr="00C94B78">
        <w:rPr>
          <w:rStyle w:val="aff1"/>
          <w:rFonts w:ascii="Times New Roman" w:hAnsi="Times New Roman" w:cs="Times New Roman"/>
          <w:color w:val="0070C0"/>
          <w:spacing w:val="0"/>
          <w:sz w:val="16"/>
          <w:szCs w:val="16"/>
        </w:rPr>
        <w:softHyphen/>
        <w:t>рочный цех 20 апреля». Уже 24 апреля прове</w:t>
      </w:r>
      <w:r w:rsidRPr="00C94B78">
        <w:rPr>
          <w:rStyle w:val="aff1"/>
          <w:rFonts w:ascii="Times New Roman" w:hAnsi="Times New Roman" w:cs="Times New Roman"/>
          <w:color w:val="0070C0"/>
          <w:spacing w:val="0"/>
          <w:sz w:val="16"/>
          <w:szCs w:val="16"/>
        </w:rPr>
        <w:softHyphen/>
        <w:t>ли первую стрельбу. В течение мая автоматику пушки полностью отработали. С 10 по 20 июня она успешно прошла заводские испытания в ГК НИИ ВВС, а с 1 по 25 августа – государ</w:t>
      </w:r>
      <w:r w:rsidRPr="00C94B78">
        <w:rPr>
          <w:rStyle w:val="aff1"/>
          <w:rFonts w:ascii="Times New Roman" w:hAnsi="Times New Roman" w:cs="Times New Roman"/>
          <w:color w:val="0070C0"/>
          <w:spacing w:val="0"/>
          <w:sz w:val="16"/>
          <w:szCs w:val="16"/>
        </w:rPr>
        <w:softHyphen/>
        <w:t>ственные наземные испытания. Одновременно испытывались патроны.</w:t>
      </w:r>
    </w:p>
    <w:p w14:paraId="5FF1CF78" w14:textId="77777777" w:rsidR="00F45F6E" w:rsidRPr="00C94B78" w:rsidRDefault="00F45F6E"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Патрон пониженной баллистики к Н‑37 со</w:t>
      </w:r>
      <w:r w:rsidRPr="00C94B78">
        <w:rPr>
          <w:rStyle w:val="aff1"/>
          <w:rFonts w:ascii="Times New Roman" w:hAnsi="Times New Roman" w:cs="Times New Roman"/>
          <w:color w:val="0070C0"/>
          <w:spacing w:val="0"/>
          <w:sz w:val="16"/>
          <w:szCs w:val="16"/>
        </w:rPr>
        <w:softHyphen/>
        <w:t>стоял из осколочно‑зажигательно‑трассирую</w:t>
      </w:r>
      <w:r w:rsidRPr="00C94B78">
        <w:rPr>
          <w:rStyle w:val="aff1"/>
          <w:rFonts w:ascii="Times New Roman" w:hAnsi="Times New Roman" w:cs="Times New Roman"/>
          <w:color w:val="0070C0"/>
          <w:spacing w:val="0"/>
          <w:sz w:val="16"/>
          <w:szCs w:val="16"/>
        </w:rPr>
        <w:softHyphen/>
        <w:t>щего снаряда (с взрывателем МГ‑8) или бро</w:t>
      </w:r>
      <w:r w:rsidRPr="00C94B78">
        <w:rPr>
          <w:rStyle w:val="aff1"/>
          <w:rFonts w:ascii="Times New Roman" w:hAnsi="Times New Roman" w:cs="Times New Roman"/>
          <w:color w:val="0070C0"/>
          <w:spacing w:val="0"/>
          <w:sz w:val="16"/>
          <w:szCs w:val="16"/>
        </w:rPr>
        <w:softHyphen/>
        <w:t>небойно‑зажигательно‑трассирующего снаря</w:t>
      </w:r>
      <w:r w:rsidRPr="00C94B78">
        <w:rPr>
          <w:rStyle w:val="aff1"/>
          <w:rFonts w:ascii="Times New Roman" w:hAnsi="Times New Roman" w:cs="Times New Roman"/>
          <w:color w:val="0070C0"/>
          <w:spacing w:val="0"/>
          <w:sz w:val="16"/>
          <w:szCs w:val="16"/>
        </w:rPr>
        <w:softHyphen/>
        <w:t>да к пушке 11П, латунной гильзы (изготавлива</w:t>
      </w:r>
      <w:r w:rsidRPr="00C94B78">
        <w:rPr>
          <w:rStyle w:val="aff1"/>
          <w:rFonts w:ascii="Times New Roman" w:hAnsi="Times New Roman" w:cs="Times New Roman"/>
          <w:color w:val="0070C0"/>
          <w:spacing w:val="0"/>
          <w:sz w:val="16"/>
          <w:szCs w:val="16"/>
        </w:rPr>
        <w:softHyphen/>
        <w:t>лась из заготовки валовой гильзы к зенитной пушке 61К путем ее укорочения, переобжатия и переделки закраины) и серийной капсюль</w:t>
      </w:r>
      <w:r w:rsidRPr="00C94B78">
        <w:rPr>
          <w:rStyle w:val="aff1"/>
          <w:rFonts w:ascii="Times New Roman" w:hAnsi="Times New Roman" w:cs="Times New Roman"/>
          <w:color w:val="0070C0"/>
          <w:spacing w:val="0"/>
          <w:sz w:val="16"/>
          <w:szCs w:val="16"/>
        </w:rPr>
        <w:softHyphen/>
        <w:t>ной втулки КВ‑2. Звенья использовались штат</w:t>
      </w:r>
      <w:r w:rsidRPr="00C94B78">
        <w:rPr>
          <w:rStyle w:val="aff1"/>
          <w:rFonts w:ascii="Times New Roman" w:hAnsi="Times New Roman" w:cs="Times New Roman"/>
          <w:color w:val="0070C0"/>
          <w:spacing w:val="0"/>
          <w:sz w:val="16"/>
          <w:szCs w:val="16"/>
        </w:rPr>
        <w:softHyphen/>
        <w:t>ные – от 11П.</w:t>
      </w:r>
    </w:p>
    <w:p w14:paraId="5AB10FD9" w14:textId="77777777" w:rsidR="00F45F6E" w:rsidRPr="00C94B78" w:rsidRDefault="00F45F6E"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По сравнению с патроном к 11П объем камеры гильзы патрона к Н‑37 уменьшился</w:t>
      </w:r>
    </w:p>
    <w:p w14:paraId="55B9EF31" w14:textId="77777777" w:rsidR="00F45F6E" w:rsidRPr="00C94B78" w:rsidRDefault="00F45F6E"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до 162 см</w:t>
      </w:r>
      <w:r w:rsidRPr="00C94B78">
        <w:rPr>
          <w:rStyle w:val="aff1"/>
          <w:rFonts w:ascii="Times New Roman" w:hAnsi="Times New Roman" w:cs="Times New Roman"/>
          <w:color w:val="0070C0"/>
          <w:spacing w:val="0"/>
          <w:sz w:val="16"/>
          <w:szCs w:val="16"/>
          <w:vertAlign w:val="superscript"/>
        </w:rPr>
        <w:t>3</w:t>
      </w:r>
      <w:r w:rsidRPr="00C94B78">
        <w:rPr>
          <w:rStyle w:val="aff1"/>
          <w:rFonts w:ascii="Times New Roman" w:hAnsi="Times New Roman" w:cs="Times New Roman"/>
          <w:color w:val="0070C0"/>
          <w:spacing w:val="0"/>
          <w:sz w:val="16"/>
          <w:szCs w:val="16"/>
        </w:rPr>
        <w:t xml:space="preserve"> (вместо 607 см</w:t>
      </w:r>
      <w:r w:rsidRPr="00C94B78">
        <w:rPr>
          <w:rStyle w:val="aff1"/>
          <w:rFonts w:ascii="Times New Roman" w:hAnsi="Times New Roman" w:cs="Times New Roman"/>
          <w:color w:val="0070C0"/>
          <w:spacing w:val="0"/>
          <w:sz w:val="16"/>
          <w:szCs w:val="16"/>
          <w:vertAlign w:val="superscript"/>
        </w:rPr>
        <w:t>3</w:t>
      </w:r>
      <w:r w:rsidRPr="00C94B78">
        <w:rPr>
          <w:rStyle w:val="aff1"/>
          <w:rFonts w:ascii="Times New Roman" w:hAnsi="Times New Roman" w:cs="Times New Roman"/>
          <w:color w:val="0070C0"/>
          <w:spacing w:val="0"/>
          <w:sz w:val="16"/>
          <w:szCs w:val="16"/>
        </w:rPr>
        <w:t>), а вес порохово</w:t>
      </w:r>
      <w:r w:rsidRPr="00C94B78">
        <w:rPr>
          <w:rStyle w:val="aff1"/>
          <w:rFonts w:ascii="Times New Roman" w:hAnsi="Times New Roman" w:cs="Times New Roman"/>
          <w:color w:val="0070C0"/>
          <w:spacing w:val="0"/>
          <w:sz w:val="16"/>
          <w:szCs w:val="16"/>
        </w:rPr>
        <w:softHyphen/>
        <w:t>го заряда – до 122,3 г (вместо 212 г). Соответ</w:t>
      </w:r>
      <w:r w:rsidRPr="00C94B78">
        <w:rPr>
          <w:rStyle w:val="aff1"/>
          <w:rFonts w:ascii="Times New Roman" w:hAnsi="Times New Roman" w:cs="Times New Roman"/>
          <w:color w:val="0070C0"/>
          <w:spacing w:val="0"/>
          <w:sz w:val="16"/>
          <w:szCs w:val="16"/>
        </w:rPr>
        <w:softHyphen/>
        <w:t>ственно, начальная скорость снаряда Н‑37 со</w:t>
      </w:r>
      <w:r w:rsidRPr="00C94B78">
        <w:rPr>
          <w:rStyle w:val="aff1"/>
          <w:rFonts w:ascii="Times New Roman" w:hAnsi="Times New Roman" w:cs="Times New Roman"/>
          <w:color w:val="0070C0"/>
          <w:spacing w:val="0"/>
          <w:sz w:val="16"/>
          <w:szCs w:val="16"/>
        </w:rPr>
        <w:softHyphen/>
        <w:t>ставила около 700 м/с (вместо 900 м/с), темп стрельбы вырос до 320 выстр./мин (вместо 250 выстр./мин), а усилие отдачи при стрель</w:t>
      </w:r>
      <w:r w:rsidRPr="00C94B78">
        <w:rPr>
          <w:rStyle w:val="aff1"/>
          <w:rFonts w:ascii="Times New Roman" w:hAnsi="Times New Roman" w:cs="Times New Roman"/>
          <w:color w:val="0070C0"/>
          <w:spacing w:val="0"/>
          <w:sz w:val="16"/>
          <w:szCs w:val="16"/>
        </w:rPr>
        <w:softHyphen/>
        <w:t>бе снизилось до 2180 кг (вместо 5500 кг). При этом вес и габариты пушки уменьшились до 96 кг (вместо 152,25 кг) и 2485 мм (вместо 3140 мм) соответственно.</w:t>
      </w:r>
    </w:p>
    <w:p w14:paraId="591A1233" w14:textId="77777777" w:rsidR="00F45F6E" w:rsidRPr="00C94B78" w:rsidRDefault="00F45F6E"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Одним из следствий применения патрона уменьшенной баллистики стала повышенная живучесть ствола. Ствол Н‑37 №1 не исчерпал своей живучести после 3500 выстрелов, тогда как живучесть ствола серийной 11П не превы</w:t>
      </w:r>
      <w:r w:rsidRPr="00C94B78">
        <w:rPr>
          <w:rStyle w:val="aff1"/>
          <w:rFonts w:ascii="Times New Roman" w:hAnsi="Times New Roman" w:cs="Times New Roman"/>
          <w:color w:val="0070C0"/>
          <w:spacing w:val="0"/>
          <w:sz w:val="16"/>
          <w:szCs w:val="16"/>
        </w:rPr>
        <w:softHyphen/>
        <w:t>шала 1500–2000 выстрелов.</w:t>
      </w:r>
    </w:p>
    <w:p w14:paraId="583921D7" w14:textId="77777777" w:rsidR="00F45F6E" w:rsidRPr="00C94B78" w:rsidRDefault="00F45F6E"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Для снижения силы отдачи при стрель</w:t>
      </w:r>
      <w:r w:rsidRPr="00C94B78">
        <w:rPr>
          <w:rStyle w:val="aff1"/>
          <w:rFonts w:ascii="Times New Roman" w:hAnsi="Times New Roman" w:cs="Times New Roman"/>
          <w:color w:val="0070C0"/>
          <w:spacing w:val="0"/>
          <w:sz w:val="16"/>
          <w:szCs w:val="16"/>
        </w:rPr>
        <w:softHyphen/>
        <w:t>бе в пушке применили мощный дульный тор</w:t>
      </w:r>
      <w:r w:rsidRPr="00C94B78">
        <w:rPr>
          <w:rStyle w:val="aff1"/>
          <w:rFonts w:ascii="Times New Roman" w:hAnsi="Times New Roman" w:cs="Times New Roman"/>
          <w:color w:val="0070C0"/>
          <w:spacing w:val="0"/>
          <w:sz w:val="16"/>
          <w:szCs w:val="16"/>
        </w:rPr>
        <w:softHyphen/>
        <w:t>моз и регулируемый гидротормоз, амортизи</w:t>
      </w:r>
      <w:r w:rsidRPr="00C94B78">
        <w:rPr>
          <w:rStyle w:val="aff1"/>
          <w:rFonts w:ascii="Times New Roman" w:hAnsi="Times New Roman" w:cs="Times New Roman"/>
          <w:color w:val="0070C0"/>
          <w:spacing w:val="0"/>
          <w:sz w:val="16"/>
          <w:szCs w:val="16"/>
        </w:rPr>
        <w:softHyphen/>
        <w:t>ровавший откат и накат ствола. Регулировка гидротормоза позволяла «очень просто от</w:t>
      </w:r>
      <w:r w:rsidRPr="00C94B78">
        <w:rPr>
          <w:rStyle w:val="aff1"/>
          <w:rFonts w:ascii="Times New Roman" w:hAnsi="Times New Roman" w:cs="Times New Roman"/>
          <w:color w:val="0070C0"/>
          <w:spacing w:val="0"/>
          <w:sz w:val="16"/>
          <w:szCs w:val="16"/>
        </w:rPr>
        <w:softHyphen/>
        <w:t>лаживать пушки на заводе и эксплуатировать в частях».</w:t>
      </w:r>
    </w:p>
    <w:p w14:paraId="22D423DA" w14:textId="77777777" w:rsidR="00F45F6E" w:rsidRPr="00C94B78" w:rsidRDefault="00F45F6E"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Поскольку Н‑37 создавалась на основе се</w:t>
      </w:r>
      <w:r w:rsidRPr="00C94B78">
        <w:rPr>
          <w:rStyle w:val="aff1"/>
          <w:rFonts w:ascii="Times New Roman" w:hAnsi="Times New Roman" w:cs="Times New Roman"/>
          <w:color w:val="0070C0"/>
          <w:spacing w:val="0"/>
          <w:sz w:val="16"/>
          <w:szCs w:val="16"/>
        </w:rPr>
        <w:softHyphen/>
        <w:t>рийной 11П, то сохранялась технологическая преемственность. Это улучшало условия вне</w:t>
      </w:r>
      <w:r w:rsidRPr="00C94B78">
        <w:rPr>
          <w:rStyle w:val="aff1"/>
          <w:rFonts w:ascii="Times New Roman" w:hAnsi="Times New Roman" w:cs="Times New Roman"/>
          <w:color w:val="0070C0"/>
          <w:spacing w:val="0"/>
          <w:sz w:val="16"/>
          <w:szCs w:val="16"/>
        </w:rPr>
        <w:softHyphen/>
        <w:t>дрения пушки в массовое производство и ее освоение в войсках (25101).</w:t>
      </w:r>
    </w:p>
    <w:p w14:paraId="3F702781" w14:textId="77777777" w:rsidR="00F45F6E" w:rsidRPr="00C94B78" w:rsidRDefault="00F45F6E" w:rsidP="00B56F90">
      <w:pPr>
        <w:spacing w:after="0" w:line="240" w:lineRule="auto"/>
        <w:jc w:val="both"/>
        <w:rPr>
          <w:rFonts w:ascii="Times New Roman" w:hAnsi="Times New Roman"/>
          <w:color w:val="0070C0"/>
          <w:sz w:val="16"/>
          <w:szCs w:val="16"/>
        </w:rPr>
      </w:pPr>
    </w:p>
    <w:p w14:paraId="5C86CAA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февраля 1944 г. испытатель ЛИИ Г.М. Шиянов поднял в воздух усовершенствованный истребитель Ла-5, "эталон 1944 г.". На нём в полной мере реализовали рекомендации ЦАГИ и добавили кое-что ещё.</w:t>
      </w:r>
    </w:p>
    <w:p w14:paraId="3A1A81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Планер в основном соответствовал "типу 41" с металлическими лонжеронами крыла. Маслорадиатор, как и на предыдущих опытных машинах, перенесли под фюзеляж. Но воздух для нагнетателя теперь забирался через два отверстия в носке центроплана.</w:t>
      </w:r>
    </w:p>
    <w:p w14:paraId="25E6005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Первоначально на "эталоне 1944 г." собирались использовать усовершенствованный мотор М-82ФНА с новым нагнетателем. Он был чуть-чуть длиннее М-82ФН. Однако вскоре выяснилось, что этот двигатель не будет готов в срок. Пришлось вернуться к М-82ФН, но его поставили на другую мотораму и несколько иначе закапо- тировали. Боковые створки укоротили по высоте. На капоте уменьшили количество различных крышек. Поставили индивидуальные (вместо спаренных и строенных) выхлопные патрубки на все цилиндры мотора.</w:t>
      </w:r>
    </w:p>
    <w:p w14:paraId="03A897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отличие от предшественников на истребителе установили винт ВИШ-105-В4 с профилем лопастей ЦАГИ В-4, рассчитанным на околозвуковые скорости. Он обеспечил более полное использование мощности, отдаваемой двигателем.</w:t>
      </w:r>
    </w:p>
    <w:p w14:paraId="75C8C75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Вместо двух пушек СП-20 асимметрично установили три облегчённые синхронные Б-20. Из-за нового вооружения самолёт иногда именовался "ЗБ". 20-мм пушка Б-20 была разработана на базе популярного крупнокалиберного пулемёта УБ. При той же начальной скорости снаряда и скорострельности она была почти вдвое легче. Таким образом, секундный залп истребителя возрос в полтора раза. Боезапас на каждую пушку составлял 150 патронов.</w:t>
      </w:r>
    </w:p>
    <w:p w14:paraId="329342A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"эталоне" усовершенствовали зализы между крылом и фюзеляжем и увеличили на 3% аэродинамическую компенсацию руля высоты. Последнее почти на четверть снизило нагрузку на ручке управления.</w:t>
      </w:r>
    </w:p>
    <w:p w14:paraId="567094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стойки шасси укоротили на 80 мм. Сдвинули назад баллон сжатого воздуха, предназначавшийся для запуска двигателя. Радиоприёмник и передатчик переместили в хвост фюзеляжа, обеспечив их дистанционным управлением. Электросеть стала однопро- водной. Были и другие, более мелкие доработки. В итоге вес пустого самолёта снизился на 71 кг, а полётный - на 55 кг, но центровка сдвинулась назад, снизив запас продольной устойчивости, что особенно сказывалось при наборе высоты.</w:t>
      </w:r>
    </w:p>
    <w:p w14:paraId="37ED787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таком виде "эталон 1944 г." с 16 февраля 1944 г. проходил государственные испытания в НИИ ВВС. Ведущими по машине были инженер В.И. Апексеенко и лётчик А.Г. Кубыш- кин. Максимальная скорость у земли возросла до 597 км/ч, на первой границе высотности (3250 м) - до 670 км/ч, а на второй -до 680 км/ч. Вертикальная скорость у земли составила 21 м/с.</w:t>
      </w:r>
    </w:p>
    <w:p w14:paraId="2C3345B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Подъём на высоту 4000 м занимал 3,4 мин.</w:t>
      </w:r>
    </w:p>
    <w:p w14:paraId="460691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испытания пришлось прервать, едва начав. 20 февраля, в девятом полёте, оборвался шатун в моторе. Кубышкину удалось сесть. На ремонт ушло свыше двух недель, полёты возобновились 8 марта. А 22 марта из-за заводского брака (плохой склейки) на рулении разрушился 12-й шпангоут. Но основная программа испытаний к этому времени уже была отработана.</w:t>
      </w:r>
    </w:p>
    <w:p w14:paraId="050A31F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мнению Кубышкина, управлять самолётом стало легче, и решили, что такое состояние вполне приемлемо, за исключением руля поворота, нагрузки от которого заметно ощущались при изменении режима работы мотора. Из- за отсутствия триммера на этом руле лётчику приходилось прикладывать значительные усилия, чтобы на взлёте удержать истребитель от разворота. Температура в кабине, доходившая позднее в жару до 40°С, приносила, конечно, пилоту неудобства. Из-за плохой вентиляции в кабине постоянно чувствовалось присутствие отработанных газов и запах горелой резины. Но в целом самолёт по своим данным мог считаться одним из лучших истребителей своего времени.</w:t>
      </w:r>
    </w:p>
    <w:p w14:paraId="732C0B4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выводах отчёта по государственным испытаниям отмечалось: "Модифицированный самолёт Ла-5 эталон 1944 г.... по максимальной скорости, скороподъёмности стоит на уровне лучших современных истребительных самолётов, находящихся на вооружении ВВС КА и иностранных государств". Специалисты НИИ ВВС знали, что говорили, - ведь через их руки проходили не только советские боевые машины, но и трофейные немецкие, а также самолёты, поступавшие из Великобритании и США.</w:t>
      </w:r>
    </w:p>
    <w:p w14:paraId="7BBA6DB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заключении того же отчёта было записано: "Заданные постановлением ГКО № 5404 от 15 марта 1944 г. для улучшенного Ла-5 максимальная скорость 685 км/ч на высоте 6000 м и полётный вес 3250 кг... практически достигнуты. Рекомендовать в серийное производство самолёт Ла-5 эталон 1944 г. (Ла-7), как имеющий значительные преимущества в лётных данных над... Ла-5, с устранением отмеченных дефектов. Так как на самолёте... установлены опытные пушки УБ-20, испытания которых не закончены в НИИ АВ ВВС, считать целесообразным выпускать самолёты с серийным вооружением, т.е. две пушки СП-20 с боезапасом 340 патронов" (11986).</w:t>
      </w:r>
    </w:p>
    <w:p w14:paraId="3A11446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9367BA7" w14:textId="77777777" w:rsidR="00260CD3" w:rsidRPr="00C94B78" w:rsidRDefault="00260CD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 февраля 1944 года летчик- испытатель ЛИИ Г.М. Шиянов с заводско</w:t>
      </w:r>
      <w:r w:rsidRPr="00C94B78">
        <w:rPr>
          <w:rFonts w:ascii="Times New Roman" w:hAnsi="Times New Roman"/>
          <w:color w:val="0070C0"/>
          <w:sz w:val="16"/>
          <w:szCs w:val="16"/>
        </w:rPr>
        <w:softHyphen/>
        <w:t>го аэродрома в Горьком поднял в воздух усовершенствованный истребитель Ла-5 «Эталон 1944 года». В отличие от предшественников на нем установили винт ВИШ-105-В4 с «махоустойчивым» про</w:t>
      </w:r>
      <w:r w:rsidRPr="00C94B78">
        <w:rPr>
          <w:rFonts w:ascii="Times New Roman" w:hAnsi="Times New Roman"/>
          <w:color w:val="0070C0"/>
          <w:sz w:val="16"/>
          <w:szCs w:val="16"/>
        </w:rPr>
        <w:softHyphen/>
        <w:t>филем лопастей ЦАГИ В-4, вращавшихся с околозвуковой скоростью. Вместо двух пушек СП-20 поставили три синхронных УБ-20. Масло радиатор в соответствии с рекомендациями ЦАГИ, как и на маши</w:t>
      </w:r>
      <w:r w:rsidRPr="00C94B78">
        <w:rPr>
          <w:rFonts w:ascii="Times New Roman" w:hAnsi="Times New Roman"/>
          <w:color w:val="0070C0"/>
          <w:sz w:val="16"/>
          <w:szCs w:val="16"/>
        </w:rPr>
        <w:softHyphen/>
        <w:t>не № 02-06, разметили под фюзеляжем, а патрубки, всасывающие воздух для ох</w:t>
      </w:r>
      <w:r w:rsidRPr="00C94B78">
        <w:rPr>
          <w:rFonts w:ascii="Times New Roman" w:hAnsi="Times New Roman"/>
          <w:color w:val="0070C0"/>
          <w:sz w:val="16"/>
          <w:szCs w:val="16"/>
        </w:rPr>
        <w:softHyphen/>
        <w:t>лаждения масла — перенесли в носок центроплана. Улучшили зализы между крылом и фюзеляжем и увеличили на три процента площадь аэродинамического компенсатора руля высоты. Поставили индивидуальные патрубки на все цилин</w:t>
      </w:r>
      <w:r w:rsidRPr="00C94B78">
        <w:rPr>
          <w:rFonts w:ascii="Times New Roman" w:hAnsi="Times New Roman"/>
          <w:color w:val="0070C0"/>
          <w:sz w:val="16"/>
          <w:szCs w:val="16"/>
        </w:rPr>
        <w:softHyphen/>
        <w:t>дры мотора, а на его капоте сократили число всевозможных крышек и уменьши</w:t>
      </w:r>
      <w:r w:rsidRPr="00C94B78">
        <w:rPr>
          <w:rFonts w:ascii="Times New Roman" w:hAnsi="Times New Roman"/>
          <w:color w:val="0070C0"/>
          <w:sz w:val="16"/>
          <w:szCs w:val="16"/>
        </w:rPr>
        <w:softHyphen/>
        <w:t>ли размеры боковых створок.</w:t>
      </w:r>
    </w:p>
    <w:p w14:paraId="5A3269E4" w14:textId="77777777" w:rsidR="00260CD3" w:rsidRPr="00C94B78" w:rsidRDefault="00260CD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Стойки основных опор шасси укоро</w:t>
      </w:r>
      <w:r w:rsidRPr="00C94B78">
        <w:rPr>
          <w:rFonts w:ascii="Times New Roman" w:hAnsi="Times New Roman"/>
          <w:color w:val="0070C0"/>
          <w:sz w:val="16"/>
          <w:szCs w:val="16"/>
        </w:rPr>
        <w:softHyphen/>
        <w:t>тили на 80 мм. Сместили назад баллон сжатого воздуха, предназначавшийся для запуска двигателя. В хвосте фюзеляжа расположили радиоприемник и передат</w:t>
      </w:r>
      <w:r w:rsidRPr="00C94B78">
        <w:rPr>
          <w:rFonts w:ascii="Times New Roman" w:hAnsi="Times New Roman"/>
          <w:color w:val="0070C0"/>
          <w:sz w:val="16"/>
          <w:szCs w:val="16"/>
        </w:rPr>
        <w:softHyphen/>
        <w:t>чик с дистанционным управлением, мачту антенны убрали. Последнее дало неболь</w:t>
      </w:r>
      <w:r w:rsidRPr="00C94B78">
        <w:rPr>
          <w:rFonts w:ascii="Times New Roman" w:hAnsi="Times New Roman"/>
          <w:color w:val="0070C0"/>
          <w:sz w:val="16"/>
          <w:szCs w:val="16"/>
        </w:rPr>
        <w:softHyphen/>
        <w:t>шую прибавку в скорости, но уменьшило дальность радиосвязи. Были и другие, более мелкие доработки. В итоге вес пу</w:t>
      </w:r>
      <w:r w:rsidRPr="00C94B78">
        <w:rPr>
          <w:rFonts w:ascii="Times New Roman" w:hAnsi="Times New Roman"/>
          <w:color w:val="0070C0"/>
          <w:sz w:val="16"/>
          <w:szCs w:val="16"/>
        </w:rPr>
        <w:softHyphen/>
        <w:t>стого самолета снизился на 71 кг, а полет</w:t>
      </w:r>
      <w:r w:rsidRPr="00C94B78">
        <w:rPr>
          <w:rFonts w:ascii="Times New Roman" w:hAnsi="Times New Roman"/>
          <w:color w:val="0070C0"/>
          <w:sz w:val="16"/>
          <w:szCs w:val="16"/>
        </w:rPr>
        <w:softHyphen/>
        <w:t>ный — на 55 кг, но центровка сдвинулась назад, снизив запас продольной устойчи</w:t>
      </w:r>
      <w:r w:rsidRPr="00C94B78">
        <w:rPr>
          <w:rFonts w:ascii="Times New Roman" w:hAnsi="Times New Roman"/>
          <w:color w:val="0070C0"/>
          <w:sz w:val="16"/>
          <w:szCs w:val="16"/>
        </w:rPr>
        <w:softHyphen/>
        <w:t>вости, что особенно сказывалось при на</w:t>
      </w:r>
      <w:r w:rsidRPr="00C94B78">
        <w:rPr>
          <w:rFonts w:ascii="Times New Roman" w:hAnsi="Times New Roman"/>
          <w:color w:val="0070C0"/>
          <w:sz w:val="16"/>
          <w:szCs w:val="16"/>
        </w:rPr>
        <w:softHyphen/>
        <w:t>боре высоты (24988).</w:t>
      </w:r>
    </w:p>
    <w:p w14:paraId="5B1540D2" w14:textId="77777777" w:rsidR="00260CD3" w:rsidRPr="00C94B78" w:rsidRDefault="00260CD3" w:rsidP="00B56F90">
      <w:pPr>
        <w:spacing w:after="0" w:line="240" w:lineRule="auto"/>
        <w:jc w:val="both"/>
        <w:rPr>
          <w:rFonts w:ascii="Times New Roman" w:hAnsi="Times New Roman"/>
          <w:color w:val="0070C0"/>
          <w:sz w:val="16"/>
          <w:szCs w:val="16"/>
        </w:rPr>
      </w:pPr>
    </w:p>
    <w:p w14:paraId="59648ED4" w14:textId="77777777" w:rsidR="00260CD3" w:rsidRPr="00C94B78" w:rsidRDefault="00260CD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 февраля 1944 г. Ла-5 «эталон 1944 г.» поднялся в воздух с 16 февраля проходил госиспытания.</w:t>
      </w:r>
    </w:p>
    <w:p w14:paraId="01C8535B" w14:textId="77777777" w:rsidR="00260CD3" w:rsidRPr="00C94B78" w:rsidRDefault="00260CD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 нём не только сдвинули маслорадиатор под кабину, но и перенесли всасывающие патрубки двигателя в носок крыла; капот двигателя стал гладким, конструкцию его крышек упростили, а вместо выхлопных коллекторов поставили индивидуальные патрубки. Двигатель был тот же - М-82ФН (АШ-82ФН), но с винтом ВИШ-105-В4 с особым профилем лопастей, вращавшихся с околоз</w:t>
      </w:r>
      <w:r w:rsidRPr="00C94B78">
        <w:rPr>
          <w:rFonts w:ascii="Times New Roman" w:hAnsi="Times New Roman"/>
          <w:color w:val="0070C0"/>
          <w:sz w:val="16"/>
          <w:szCs w:val="16"/>
        </w:rPr>
        <w:softHyphen/>
        <w:t>вуковой скоростью. Улучшили форму зализов крыла, укоротили основные стойки шасси и полностью закрыли их щитками в убранном положении. Вооружение состояло из трёх синхронных пушек УБ-20. Вес пустого самолета снизился на 71 кг, полетный - на 55 кг.</w:t>
      </w:r>
    </w:p>
    <w:p w14:paraId="7D327297" w14:textId="77777777" w:rsidR="00260CD3" w:rsidRPr="00C94B78" w:rsidRDefault="00260CD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Самолёт показал впечатляющие данные: максимальная скорость на высоте 6000 м возросла до 680 км/ч; скороподъём</w:t>
      </w:r>
      <w:r w:rsidRPr="00C94B78">
        <w:rPr>
          <w:rFonts w:ascii="Times New Roman" w:hAnsi="Times New Roman"/>
          <w:color w:val="0070C0"/>
          <w:sz w:val="16"/>
          <w:szCs w:val="16"/>
        </w:rPr>
        <w:softHyphen/>
        <w:t>ность у земли составила 21 м/с, высоту 4000 м самолёт набирал за 3,4 минуты. В отчёте НИИ ВВС отмечалось, что самолёт «по максимальной скорости, скороподъ</w:t>
      </w:r>
      <w:r w:rsidRPr="00C94B78">
        <w:rPr>
          <w:rFonts w:ascii="Times New Roman" w:hAnsi="Times New Roman"/>
          <w:color w:val="0070C0"/>
          <w:sz w:val="16"/>
          <w:szCs w:val="16"/>
        </w:rPr>
        <w:softHyphen/>
        <w:t>ёмности стоит на уровне лучших современных истре</w:t>
      </w:r>
      <w:r w:rsidRPr="00C94B78">
        <w:rPr>
          <w:rFonts w:ascii="Times New Roman" w:hAnsi="Times New Roman"/>
          <w:color w:val="0070C0"/>
          <w:sz w:val="16"/>
          <w:szCs w:val="16"/>
        </w:rPr>
        <w:softHyphen/>
        <w:t>бительных самолётов, находящихся на вооружении ВВС КА и иностранных государств».</w:t>
      </w:r>
    </w:p>
    <w:p w14:paraId="13631554" w14:textId="77777777" w:rsidR="00260CD3" w:rsidRPr="00C94B78" w:rsidRDefault="00260CD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xml:space="preserve">По итогам испытаний самолёт был рекомендован в серию, получив обозначение </w:t>
      </w:r>
      <w:r w:rsidRPr="00C94B78">
        <w:rPr>
          <w:rFonts w:ascii="Times New Roman" w:hAnsi="Times New Roman"/>
          <w:b/>
          <w:bCs/>
          <w:color w:val="0070C0"/>
          <w:sz w:val="16"/>
          <w:szCs w:val="16"/>
        </w:rPr>
        <w:t>Ла-7</w:t>
      </w:r>
      <w:r w:rsidRPr="00C94B78">
        <w:rPr>
          <w:rFonts w:ascii="Times New Roman" w:hAnsi="Times New Roman"/>
          <w:color w:val="0070C0"/>
          <w:sz w:val="16"/>
          <w:szCs w:val="16"/>
        </w:rPr>
        <w:t>. производство развернули на двух заводах - №21 и №381. Поскольку опытные пушки УБ-20 ещё не прошли испытания в НИИ АВ ВВС, самолёт строился со старым вооружением (две пушки СП-20). Первые испытания с тремя пушками Б-20 удалось провести лишь в июне-июле 1944 г.; потребо</w:t>
      </w:r>
      <w:r w:rsidRPr="00C94B78">
        <w:rPr>
          <w:rFonts w:ascii="Times New Roman" w:hAnsi="Times New Roman"/>
          <w:color w:val="0070C0"/>
          <w:sz w:val="16"/>
          <w:szCs w:val="16"/>
        </w:rPr>
        <w:softHyphen/>
        <w:t>вались доработки, чтобы исключить повреждение крыла и хвостового оперения стреляными гильзами, и в итоге трёхпушечный Ла-7 пошел в серию уже после войны (летом 1945 г.).</w:t>
      </w:r>
    </w:p>
    <w:p w14:paraId="5B35F57B" w14:textId="77777777" w:rsidR="00260CD3" w:rsidRPr="00C94B78" w:rsidRDefault="00260CD3"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Следует отметить, что на Ла-7 также пытались установить двигатель М-71Ф, но этот вариант не получил развития, т.к. этот двигатель серийно не строился. Та же участь постигла и варианты с двигателями АШ-71ТК (2027 л.с.) и АШ-83 (1900 л.с.) (24984).</w:t>
      </w:r>
    </w:p>
    <w:p w14:paraId="401751D7" w14:textId="77777777" w:rsidR="00260CD3" w:rsidRPr="00C94B78" w:rsidRDefault="00260CD3" w:rsidP="00B56F90">
      <w:pPr>
        <w:spacing w:after="0" w:line="240" w:lineRule="auto"/>
        <w:jc w:val="both"/>
        <w:rPr>
          <w:rFonts w:ascii="Times New Roman" w:hAnsi="Times New Roman"/>
          <w:color w:val="0070C0"/>
          <w:sz w:val="16"/>
          <w:szCs w:val="16"/>
        </w:rPr>
      </w:pPr>
    </w:p>
    <w:p w14:paraId="59AB7CFF" w14:textId="77777777" w:rsidR="00260CD3" w:rsidRPr="00C94B78" w:rsidRDefault="00260CD3"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1 февраля 1944 года летчик-испытатель ЛИИ Г.М. Шиянов поднял в воздух усовершенствованный истребитель Ла-5 «Эталон 1944 года». В отличие от предшественников на нем установили винт ВИШ-105-В4 с «махоустойчивым» профилем лопастей ЦАГИ В-4, вращавшихся с околозву</w:t>
      </w:r>
      <w:r w:rsidRPr="00C94B78">
        <w:rPr>
          <w:rStyle w:val="aff1"/>
          <w:rFonts w:ascii="Times New Roman" w:hAnsi="Times New Roman" w:cs="Times New Roman"/>
          <w:color w:val="0070C0"/>
          <w:spacing w:val="0"/>
          <w:sz w:val="16"/>
          <w:szCs w:val="16"/>
        </w:rPr>
        <w:softHyphen/>
        <w:t>ковой скоростью. Вместо двух пушек СП-20 поставили три синхронных УБ-20. Маслорадиатор в соответствии с реко</w:t>
      </w:r>
      <w:r w:rsidRPr="00C94B78">
        <w:rPr>
          <w:rStyle w:val="aff1"/>
          <w:rFonts w:ascii="Times New Roman" w:hAnsi="Times New Roman" w:cs="Times New Roman"/>
          <w:color w:val="0070C0"/>
          <w:spacing w:val="0"/>
          <w:sz w:val="16"/>
          <w:szCs w:val="16"/>
        </w:rPr>
        <w:softHyphen/>
        <w:t>мендациями ЦАГИ перенесли под фюзеляж, а патрубки, всасывающие воздух для охлаждения масла, — в носок центроплана. Улучшили зализы между крылом и фюзеляжем и увеличили на три процента площадь аэродинамиче</w:t>
      </w:r>
      <w:r w:rsidRPr="00C94B78">
        <w:rPr>
          <w:rStyle w:val="aff1"/>
          <w:rFonts w:ascii="Times New Roman" w:hAnsi="Times New Roman" w:cs="Times New Roman"/>
          <w:color w:val="0070C0"/>
          <w:spacing w:val="0"/>
          <w:sz w:val="16"/>
          <w:szCs w:val="16"/>
        </w:rPr>
        <w:softHyphen/>
        <w:t>ского компенсатора руля высоты. Поставили индивиду</w:t>
      </w:r>
      <w:r w:rsidRPr="00C94B78">
        <w:rPr>
          <w:rStyle w:val="aff1"/>
          <w:rFonts w:ascii="Times New Roman" w:hAnsi="Times New Roman" w:cs="Times New Roman"/>
          <w:color w:val="0070C0"/>
          <w:spacing w:val="0"/>
          <w:sz w:val="16"/>
          <w:szCs w:val="16"/>
        </w:rPr>
        <w:softHyphen/>
        <w:t>альные патрубки на все цилиндры мотора, а на его капоте сократили число всевозможных крышек и уменьшили раз</w:t>
      </w:r>
      <w:r w:rsidRPr="00C94B78">
        <w:rPr>
          <w:rStyle w:val="aff1"/>
          <w:rFonts w:ascii="Times New Roman" w:hAnsi="Times New Roman" w:cs="Times New Roman"/>
          <w:color w:val="0070C0"/>
          <w:spacing w:val="0"/>
          <w:sz w:val="16"/>
          <w:szCs w:val="16"/>
        </w:rPr>
        <w:softHyphen/>
        <w:t>меры боковых створок. Стойки основных опор шасси уко</w:t>
      </w:r>
      <w:r w:rsidRPr="00C94B78">
        <w:rPr>
          <w:rStyle w:val="aff1"/>
          <w:rFonts w:ascii="Times New Roman" w:hAnsi="Times New Roman" w:cs="Times New Roman"/>
          <w:color w:val="0070C0"/>
          <w:spacing w:val="0"/>
          <w:sz w:val="16"/>
          <w:szCs w:val="16"/>
        </w:rPr>
        <w:softHyphen/>
        <w:t>ротили на 80 мм. Сместили назад баллон сжатого воздуха, предназначавшийся для запуска двигателя. В хвосте фюзе</w:t>
      </w:r>
      <w:r w:rsidRPr="00C94B78">
        <w:rPr>
          <w:rStyle w:val="aff1"/>
          <w:rFonts w:ascii="Times New Roman" w:hAnsi="Times New Roman" w:cs="Times New Roman"/>
          <w:color w:val="0070C0"/>
          <w:spacing w:val="0"/>
          <w:sz w:val="16"/>
          <w:szCs w:val="16"/>
        </w:rPr>
        <w:softHyphen/>
        <w:t>ляжа расположили радиоприемник и передатчик с дистан</w:t>
      </w:r>
      <w:r w:rsidRPr="00C94B78">
        <w:rPr>
          <w:rStyle w:val="aff1"/>
          <w:rFonts w:ascii="Times New Roman" w:hAnsi="Times New Roman" w:cs="Times New Roman"/>
          <w:color w:val="0070C0"/>
          <w:spacing w:val="0"/>
          <w:sz w:val="16"/>
          <w:szCs w:val="16"/>
        </w:rPr>
        <w:softHyphen/>
        <w:t>ционным управлением. Электросеть стала однопроводной. Были и другие, более мелкие доработки. В итоге вес пусто</w:t>
      </w:r>
      <w:r w:rsidRPr="00C94B78">
        <w:rPr>
          <w:rStyle w:val="aff1"/>
          <w:rFonts w:ascii="Times New Roman" w:hAnsi="Times New Roman" w:cs="Times New Roman"/>
          <w:color w:val="0070C0"/>
          <w:spacing w:val="0"/>
          <w:sz w:val="16"/>
          <w:szCs w:val="16"/>
        </w:rPr>
        <w:softHyphen/>
        <w:t>го самолета снизился на 71 кг, а полетный — на 55 кг, но центровка сдвинулась назад, снизив запас продольной ус</w:t>
      </w:r>
      <w:r w:rsidRPr="00C94B78">
        <w:rPr>
          <w:rStyle w:val="aff1"/>
          <w:rFonts w:ascii="Times New Roman" w:hAnsi="Times New Roman" w:cs="Times New Roman"/>
          <w:color w:val="0070C0"/>
          <w:spacing w:val="0"/>
          <w:sz w:val="16"/>
          <w:szCs w:val="16"/>
        </w:rPr>
        <w:softHyphen/>
        <w:t>тойчивости, что особенно сказывалось при наборе высоты (25252).</w:t>
      </w:r>
    </w:p>
    <w:p w14:paraId="22E71EF3" w14:textId="77777777" w:rsidR="00260CD3" w:rsidRPr="00C94B78" w:rsidRDefault="00260CD3" w:rsidP="00B56F90">
      <w:pPr>
        <w:spacing w:after="0" w:line="240" w:lineRule="auto"/>
        <w:jc w:val="both"/>
        <w:rPr>
          <w:rFonts w:ascii="Times New Roman" w:hAnsi="Times New Roman"/>
          <w:color w:val="0070C0"/>
          <w:sz w:val="16"/>
          <w:szCs w:val="16"/>
        </w:rPr>
      </w:pPr>
    </w:p>
    <w:p w14:paraId="437AF62B"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февраля</w:t>
      </w:r>
      <w:r w:rsidRPr="00070ADE">
        <w:rPr>
          <w:rFonts w:ascii="Times New Roman" w:hAnsi="Times New Roman"/>
          <w:color w:val="000000" w:themeColor="text1"/>
          <w:sz w:val="16"/>
          <w:szCs w:val="16"/>
        </w:rPr>
        <w:t xml:space="preserve"> в 1944 году первый полёт переходного опытного самолёта от «Ла-5» к «Ла-7», усовершенствованного истребителя </w:t>
      </w:r>
      <w:hyperlink r:id="rId29" w:tgtFrame="_blank" w:history="1">
        <w:r w:rsidRPr="00070ADE">
          <w:rPr>
            <w:rFonts w:ascii="Times New Roman" w:hAnsi="Times New Roman"/>
            <w:color w:val="000000" w:themeColor="text1"/>
            <w:sz w:val="16"/>
            <w:szCs w:val="16"/>
          </w:rPr>
          <w:t xml:space="preserve">«Ла-5» "эталон 1944 г.". </w:t>
        </w:r>
      </w:hyperlink>
      <w:r w:rsidRPr="00070ADE">
        <w:rPr>
          <w:rFonts w:ascii="Times New Roman" w:hAnsi="Times New Roman"/>
          <w:color w:val="000000" w:themeColor="text1"/>
          <w:sz w:val="16"/>
          <w:szCs w:val="16"/>
        </w:rPr>
        <w:t>Полёт выполнял летчик-испытатель ЛИИ Г.М.Шиянов (15027).</w:t>
      </w:r>
    </w:p>
    <w:p w14:paraId="5F42B107" w14:textId="77777777" w:rsidR="004B3057" w:rsidRPr="00070ADE" w:rsidRDefault="004B3057" w:rsidP="00B56F90">
      <w:pPr>
        <w:spacing w:after="0" w:line="240" w:lineRule="auto"/>
        <w:jc w:val="both"/>
        <w:rPr>
          <w:rFonts w:ascii="Times New Roman" w:hAnsi="Times New Roman"/>
          <w:color w:val="000000" w:themeColor="text1"/>
          <w:sz w:val="16"/>
          <w:szCs w:val="16"/>
        </w:rPr>
      </w:pPr>
    </w:p>
    <w:p w14:paraId="1C8E38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февраля 1944 года гл. конструктор завода N 240 С.В.И. писал письмо Шахурину.</w:t>
      </w:r>
    </w:p>
    <w:p w14:paraId="17197F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Представляя при сем список работников Опытно-конструкторского бюро завода N 240 прошу Вас представить их к награждению вместе с представляемыми Вами к правительственным нагарадам работниками заводов NN 1 и 30.</w:t>
      </w:r>
    </w:p>
    <w:p w14:paraId="483C5F6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Коллектив КБ завода N 240 за этот период вместе с работниками заводов N 18, 39 и 126 уже ранее награжденными и с работниками заводов NN 1 и 30, ныне представляемыми к наградам проделал большую работу и вместе с ними переносит все трудности тяжелого военного периода изо всех сил помогая серийным заводам выходить из трудных положений - есть полный список (2562,25).</w:t>
      </w:r>
    </w:p>
    <w:p w14:paraId="4F241A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11E4C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февраля 1944 года N 0106. Гл. инженеру ВВС генерал-полковнику Репину А.К., Шахурину, управление кадров ЦК ВКП(б) генерал лейтенанту авиации Шиманову Н.С., гл. конструктору генерал-лейтенанту ИАС Яковлеву.</w:t>
      </w:r>
    </w:p>
    <w:p w14:paraId="448344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 о ходе испытаний самолета Як-9у с М-107А.</w:t>
      </w:r>
    </w:p>
    <w:p w14:paraId="7AE2B7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прибыл в НИИ ВВС 14 января 1944 года. До 31 января 1944 года произведено 7 полетов, продолжительностью 3 часа 50 минут, из которых:</w:t>
      </w:r>
    </w:p>
    <w:p w14:paraId="669F91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один полет - для проверки работы ВМГ;</w:t>
      </w:r>
    </w:p>
    <w:p w14:paraId="1292CF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полета - для тарировки указателя скорости на мерной базе (километраж);</w:t>
      </w:r>
    </w:p>
    <w:p w14:paraId="2527EB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один полет - для определения наивыгоднейшей скорости на бора (зубцы);</w:t>
      </w:r>
    </w:p>
    <w:p w14:paraId="079008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один полет - для определения высоты переключения скоростей нагнетателя и II границы высотности;</w:t>
      </w:r>
    </w:p>
    <w:p w14:paraId="3BA100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полета - для определения приемистости самолета на Н=1000 м (разгон и торможение) (1821).</w:t>
      </w:r>
    </w:p>
    <w:p w14:paraId="2A8D43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6EFA5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февраля 1944 состояние опытного строительства на 21 заводе было следующим:</w:t>
      </w:r>
    </w:p>
    <w:p w14:paraId="2485F6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 трехточечный (3Б). Произведен пробный полет. Высота - 2000 м, скорость 587. Полетный вес 3246.</w:t>
      </w:r>
    </w:p>
    <w:p w14:paraId="4249B1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5 февраля все выявленные дефекты будут устранены, с-т полностью готов к испытаниям.</w:t>
      </w:r>
    </w:p>
    <w:p w14:paraId="2039683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 3Б дублер - к 23 февраля будет закончено строительство с-та</w:t>
      </w:r>
    </w:p>
    <w:p w14:paraId="555EF1C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 М-71 дублер. Работа на с-те не проводится.</w:t>
      </w:r>
    </w:p>
    <w:p w14:paraId="366E07D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Доводки серийных с-тов:</w:t>
      </w:r>
    </w:p>
    <w:p w14:paraId="362F34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Переданы в серию чертежи на изменение системы дренажирования масла. Будет выполнено на 10 с-тах.</w:t>
      </w:r>
    </w:p>
    <w:p w14:paraId="4BEF56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Запущена в производство новая компоновка приборной доски, значительно уменьшающей девиацию магнитного компаса (738,13).</w:t>
      </w:r>
    </w:p>
    <w:p w14:paraId="37D6C3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2410A8"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39FD9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5656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с 1 по 6 февраля 1944 г. пушку Д-25 с телескопическим шарнирным прицелом ТШ-17 установили на опытном танке "Объект 240". Кроме того, заменили подмоторную раму и двигатель.(10703).</w:t>
      </w:r>
    </w:p>
    <w:p w14:paraId="6951E3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AA6A95" w14:textId="77777777" w:rsidR="00CD66E5" w:rsidRPr="00070ADE" w:rsidRDefault="00CD66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февраля 1944 г. в своем приказе нарком В.А. Малышев, отмечая низкое качество тяжелых танков и артсамоходов, предписал следующее. Конструкторским и технологическим бюро Кировского завода было запрещено вести разработку новых проектов, а с февраля по апрель следовало сосредоточиться на доводке танков и самоходных установок. Все силы завода № 100 на тот же период переключались на совершенствование тяжелых машин. Директор опытного завода Ж.Я. Котин, одновременно являвшийся заместителем наркома и главным конструктором Наркомата танковой промышленности, вплоть до полного освоения производства назначался на должность главного конструктора Кировского завода. Из работников завода создавались группы в составе двух конструкторов и двух испытателей танков для изучения проблем работы машин в боевых условиях на фронте. Из состава «ответственных» конструкторов выделялись группы (не менее десяти человек) для «ежедневного и систематического» контроля за качеством изделий, монтажом танков и САУ[1061] (23536).</w:t>
      </w:r>
    </w:p>
    <w:p w14:paraId="38C79CA3" w14:textId="77777777" w:rsidR="00CD66E5" w:rsidRPr="00070ADE" w:rsidRDefault="00CD66E5" w:rsidP="00B56F90">
      <w:pPr>
        <w:spacing w:after="0" w:line="240" w:lineRule="auto"/>
        <w:jc w:val="both"/>
        <w:rPr>
          <w:rFonts w:ascii="Times New Roman" w:hAnsi="Times New Roman"/>
          <w:color w:val="000000" w:themeColor="text1"/>
          <w:sz w:val="16"/>
          <w:szCs w:val="16"/>
        </w:rPr>
      </w:pPr>
    </w:p>
    <w:p w14:paraId="7979419A" w14:textId="77777777" w:rsidR="00A9700D" w:rsidRPr="00070ADE" w:rsidRDefault="00A9700D"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 февраля 1944 завод №8 собрал 36 орудий для Су-86, из которых заказчик при</w:t>
      </w:r>
      <w:r w:rsidRPr="00070ADE">
        <w:rPr>
          <w:rFonts w:ascii="Times New Roman" w:hAnsi="Times New Roman"/>
          <w:color w:val="000000" w:themeColor="text1"/>
          <w:sz w:val="16"/>
          <w:szCs w:val="16"/>
        </w:rPr>
        <w:softHyphen/>
        <w:t>нял 12 штук. Посильную помощь в организа</w:t>
      </w:r>
      <w:r w:rsidRPr="00070ADE">
        <w:rPr>
          <w:rFonts w:ascii="Times New Roman" w:hAnsi="Times New Roman"/>
          <w:color w:val="000000" w:themeColor="text1"/>
          <w:sz w:val="16"/>
          <w:szCs w:val="16"/>
        </w:rPr>
        <w:softHyphen/>
        <w:t xml:space="preserve">ции производства новой для предприятия </w:t>
      </w:r>
      <w:r w:rsidRPr="00070ADE">
        <w:rPr>
          <w:rStyle w:val="631"/>
          <w:rFonts w:ascii="Times New Roman" w:hAnsi="Times New Roman" w:cs="Times New Roman"/>
          <w:color w:val="000000" w:themeColor="text1"/>
          <w:sz w:val="16"/>
          <w:szCs w:val="16"/>
        </w:rPr>
        <w:t>буксируемыми орудийными системами - ока</w:t>
      </w:r>
      <w:r w:rsidRPr="00070ADE">
        <w:rPr>
          <w:rStyle w:val="631"/>
          <w:rFonts w:ascii="Times New Roman" w:hAnsi="Times New Roman" w:cs="Times New Roman"/>
          <w:color w:val="000000" w:themeColor="text1"/>
          <w:sz w:val="16"/>
          <w:szCs w:val="16"/>
        </w:rPr>
        <w:softHyphen/>
        <w:t>зывал завод №9. Правда, при этом практиче</w:t>
      </w:r>
      <w:r w:rsidRPr="00070ADE">
        <w:rPr>
          <w:rStyle w:val="631"/>
          <w:rFonts w:ascii="Times New Roman" w:hAnsi="Times New Roman" w:cs="Times New Roman"/>
          <w:color w:val="000000" w:themeColor="text1"/>
          <w:sz w:val="16"/>
          <w:szCs w:val="16"/>
        </w:rPr>
        <w:softHyphen/>
        <w:t>ски сразу специфика производства букси</w:t>
      </w:r>
      <w:r w:rsidRPr="00070ADE">
        <w:rPr>
          <w:rStyle w:val="631"/>
          <w:rFonts w:ascii="Times New Roman" w:hAnsi="Times New Roman" w:cs="Times New Roman"/>
          <w:color w:val="000000" w:themeColor="text1"/>
          <w:sz w:val="16"/>
          <w:szCs w:val="16"/>
        </w:rPr>
        <w:softHyphen/>
        <w:t>руемых систем выплыла наружу. Дело в том, что завод №8 выпускал 85-мм зенитные пушки 52-К, и перестраивать производство под конструкцию орудия завода №9 там не горели особым желанием. В результате кон</w:t>
      </w:r>
      <w:r w:rsidRPr="00070ADE">
        <w:rPr>
          <w:rStyle w:val="631"/>
          <w:rFonts w:ascii="Times New Roman" w:hAnsi="Times New Roman" w:cs="Times New Roman"/>
          <w:color w:val="000000" w:themeColor="text1"/>
          <w:sz w:val="16"/>
          <w:szCs w:val="16"/>
        </w:rPr>
        <w:softHyphen/>
        <w:t>структорское бюро завода №8 разработало собственную версию орудия для самоходной установки, получившую обозначение Д5-С- 85А. Первое такое орудие завод №8 построил в конце января 1944 г.</w:t>
      </w:r>
    </w:p>
    <w:p w14:paraId="3BD6993F" w14:textId="77777777" w:rsidR="00A9700D" w:rsidRPr="00070ADE" w:rsidRDefault="00A9700D" w:rsidP="00B56F90">
      <w:pPr>
        <w:spacing w:after="0" w:line="240" w:lineRule="auto"/>
        <w:jc w:val="both"/>
        <w:rPr>
          <w:rStyle w:val="631"/>
          <w:rFonts w:ascii="Times New Roman" w:hAnsi="Times New Roman" w:cs="Times New Roman"/>
          <w:color w:val="000000" w:themeColor="text1"/>
          <w:sz w:val="16"/>
          <w:szCs w:val="16"/>
        </w:rPr>
      </w:pPr>
      <w:r w:rsidRPr="00070ADE">
        <w:rPr>
          <w:rStyle w:val="631"/>
          <w:rFonts w:ascii="Times New Roman" w:hAnsi="Times New Roman" w:cs="Times New Roman"/>
          <w:color w:val="000000" w:themeColor="text1"/>
          <w:sz w:val="16"/>
          <w:szCs w:val="16"/>
        </w:rPr>
        <w:t>Для Д5-С-85А от зенитного орудия 52-К были взяты затвор и ствол, что существенно</w:t>
      </w:r>
      <w:r w:rsidRPr="00070ADE">
        <w:rPr>
          <w:rStyle w:val="641"/>
          <w:rFonts w:ascii="Times New Roman" w:hAnsi="Times New Roman" w:cs="Times New Roman"/>
          <w:color w:val="000000" w:themeColor="text1"/>
          <w:sz w:val="16"/>
          <w:szCs w:val="16"/>
        </w:rPr>
        <w:t xml:space="preserve"> упрощало выпуск самоходных артиллерий</w:t>
      </w:r>
      <w:r w:rsidRPr="00070ADE">
        <w:rPr>
          <w:rStyle w:val="641"/>
          <w:rFonts w:ascii="Times New Roman" w:hAnsi="Times New Roman" w:cs="Times New Roman"/>
          <w:color w:val="000000" w:themeColor="text1"/>
          <w:sz w:val="16"/>
          <w:szCs w:val="16"/>
        </w:rPr>
        <w:softHyphen/>
      </w:r>
      <w:r w:rsidRPr="00070ADE">
        <w:rPr>
          <w:rStyle w:val="631"/>
          <w:rFonts w:ascii="Times New Roman" w:hAnsi="Times New Roman" w:cs="Times New Roman"/>
          <w:color w:val="000000" w:themeColor="text1"/>
          <w:sz w:val="16"/>
          <w:szCs w:val="16"/>
        </w:rPr>
        <w:t>ских систем. В связи с использованием иного ствола и затвора, Д5-С-85А получила также и ограждение, отличное от конструкции Д5-С- 85. Внешне эти орудия на самоходках отли</w:t>
      </w:r>
      <w:r w:rsidRPr="00070ADE">
        <w:rPr>
          <w:rStyle w:val="631"/>
          <w:rFonts w:ascii="Times New Roman" w:hAnsi="Times New Roman" w:cs="Times New Roman"/>
          <w:color w:val="000000" w:themeColor="text1"/>
          <w:sz w:val="16"/>
          <w:szCs w:val="16"/>
        </w:rPr>
        <w:softHyphen/>
        <w:t>чаются конусностью стволов. Старший воен</w:t>
      </w:r>
      <w:r w:rsidRPr="00070ADE">
        <w:rPr>
          <w:rStyle w:val="631"/>
          <w:rFonts w:ascii="Times New Roman" w:hAnsi="Times New Roman" w:cs="Times New Roman"/>
          <w:color w:val="000000" w:themeColor="text1"/>
          <w:sz w:val="16"/>
          <w:szCs w:val="16"/>
        </w:rPr>
        <w:softHyphen/>
        <w:t>ный представитель на УЗТМ Г.З. Зухер был против такого решения, поскольку оно порождало проблемы с ЗИП и деталями. Тем не менее, 28 января Д5-С-85А прошла успеш</w:t>
      </w:r>
      <w:r w:rsidRPr="00070ADE">
        <w:rPr>
          <w:rStyle w:val="631"/>
          <w:rFonts w:ascii="Times New Roman" w:hAnsi="Times New Roman" w:cs="Times New Roman"/>
          <w:color w:val="000000" w:themeColor="text1"/>
          <w:sz w:val="16"/>
          <w:szCs w:val="16"/>
        </w:rPr>
        <w:softHyphen/>
        <w:t>ные испытания в СУ-85, после чего приняли решение о запуске орудия в серийное про</w:t>
      </w:r>
      <w:r w:rsidRPr="00070ADE">
        <w:rPr>
          <w:rStyle w:val="631"/>
          <w:rFonts w:ascii="Times New Roman" w:hAnsi="Times New Roman" w:cs="Times New Roman"/>
          <w:color w:val="000000" w:themeColor="text1"/>
          <w:sz w:val="16"/>
          <w:szCs w:val="16"/>
        </w:rPr>
        <w:softHyphen/>
        <w:t>изводство. Первые орудия данного типа завод №8 сдал в феврале 1944 года. За этот месяц завод №9 сдал 139 пушек Д5-С-85, а завод №8 - 42, часть из которых была Д5-С- 85А. Самоходные установки с системами Д5- С-85А получили название СУ-85А, что также отражалось на серийном номере машины. Если машина оснащалась Д5-С-85А, то в конце серийного номера выбивалась буква «А» (19889).</w:t>
      </w:r>
    </w:p>
    <w:p w14:paraId="32C1D9BC" w14:textId="77777777" w:rsidR="00A9700D" w:rsidRPr="00070ADE" w:rsidRDefault="00A9700D" w:rsidP="00B56F90">
      <w:pPr>
        <w:spacing w:after="0" w:line="240" w:lineRule="auto"/>
        <w:jc w:val="both"/>
        <w:rPr>
          <w:rFonts w:ascii="Times New Roman" w:hAnsi="Times New Roman"/>
          <w:color w:val="000000" w:themeColor="text1"/>
          <w:sz w:val="16"/>
          <w:szCs w:val="16"/>
        </w:rPr>
      </w:pPr>
    </w:p>
    <w:p w14:paraId="059CBBFD" w14:textId="77777777" w:rsidR="00DC6B61" w:rsidRPr="00070ADE" w:rsidRDefault="00DC6B61"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1 февраля 1944 года транспор конвоя JW-56A вышедшего 12 января 1944 года из залива Лох-Эве (Шотландия) к берегам СССР, благополучно прибыл в Мурманск, доставив в Советский Союз 11 танков M4A2 и запчасти к ним. Также на борту SS Thorstein Veblen находились три «самоходные пушки Т-70», к каждой из которых имелось по 2 комплекта ЗИП (17673).</w:t>
      </w:r>
    </w:p>
    <w:p w14:paraId="68E49932" w14:textId="77777777" w:rsidR="00DC6B61" w:rsidRPr="00070ADE" w:rsidRDefault="00DC6B61"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159F11C" w14:textId="77777777" w:rsidR="00CD66E5" w:rsidRPr="00070ADE" w:rsidRDefault="00CD66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февраля 1944 года в Мурманск прибыл конвой JW-56A. В его составе находился транспорт SS Thorstein Veblen с 3 GMC T70 на борту. Далее, 3 февраля 1944 года, в Северодвинск прибыл конвой JW-56B. В его составе оказался транспорт SS Albert C. Ritchie с еще 2 САУ на борту.</w:t>
      </w:r>
    </w:p>
    <w:p w14:paraId="12838502" w14:textId="77777777" w:rsidR="00CD66E5" w:rsidRPr="00070ADE" w:rsidRDefault="00CD66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Поступившие в Советский Союз GMC T70 относились к машинам выпуска ноября 1943 года. Ноябрь был последним месяцем, когда GMC T70 имела ярко выраженные проблемы. Уже с декабря 1943 года основные болячки устранили, позже машины с серийными номерами 686 и выше подверглись модернизации, их довели до уровня GMC M18. А вот более ранние машины, в большинстве своём, переделали в AUV M39. Лишь 32 САУ выпуска июля-ноября 1943 года прошли модернизацию до уровня GMC M18, советские GMC T70 ей, естественно, не подвергались. О различных неполадках нашим военным, естественно, тоже никто говорить не стал (23350).</w:t>
      </w:r>
    </w:p>
    <w:p w14:paraId="5A925C4A" w14:textId="77777777" w:rsidR="00CD66E5" w:rsidRPr="00070ADE" w:rsidRDefault="00CD66E5" w:rsidP="00B56F90">
      <w:pPr>
        <w:spacing w:after="0" w:line="240" w:lineRule="auto"/>
        <w:jc w:val="both"/>
        <w:rPr>
          <w:rFonts w:ascii="Times New Roman" w:hAnsi="Times New Roman"/>
          <w:color w:val="000000" w:themeColor="text1"/>
          <w:sz w:val="16"/>
          <w:szCs w:val="16"/>
        </w:rPr>
      </w:pPr>
    </w:p>
    <w:p w14:paraId="24D60D8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февраля 1944 вышло Распоряжение ГКО № 5083 [О выделении 25 автомобилей ГАЗ-67 Госплану СССР для уполномоченных.] (7181, 148).</w:t>
      </w:r>
    </w:p>
    <w:p w14:paraId="42D198E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E3E43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февраля 1944 г. был подготовлен ПЛАН ПРОИЗВОДСТВА УЧЕБНЫХ КИНОФИЛЬМОВ ДЛЯ БРОНЕТАНКОВЫХ И МЕХАНИЗИРОВАННЫХ ВОЙСК КРАСНОЙ АРМИИ, УТВЕРЖДЕННЫЙ ГЛАВПУРККА НА 1944 г.</w:t>
      </w:r>
    </w:p>
    <w:tbl>
      <w:tblPr>
        <w:tblW w:w="0" w:type="auto"/>
        <w:tblInd w:w="40" w:type="dxa"/>
        <w:tblLayout w:type="fixed"/>
        <w:tblCellMar>
          <w:left w:w="40" w:type="dxa"/>
          <w:right w:w="40" w:type="dxa"/>
        </w:tblCellMar>
        <w:tblLook w:val="0000" w:firstRow="0" w:lastRow="0" w:firstColumn="0" w:lastColumn="0" w:noHBand="0" w:noVBand="0"/>
      </w:tblPr>
      <w:tblGrid>
        <w:gridCol w:w="518"/>
        <w:gridCol w:w="6384"/>
        <w:gridCol w:w="1133"/>
        <w:gridCol w:w="1171"/>
      </w:tblGrid>
      <w:tr w:rsidR="004D4663" w:rsidRPr="00070ADE" w14:paraId="0AA48CC8" w14:textId="77777777">
        <w:trPr>
          <w:trHeight w:val="432"/>
        </w:trPr>
        <w:tc>
          <w:tcPr>
            <w:tcW w:w="518" w:type="dxa"/>
            <w:tcBorders>
              <w:top w:val="single" w:sz="6" w:space="0" w:color="auto"/>
              <w:left w:val="single" w:sz="6" w:space="0" w:color="auto"/>
              <w:bottom w:val="single" w:sz="6" w:space="0" w:color="auto"/>
              <w:right w:val="single" w:sz="6" w:space="0" w:color="auto"/>
            </w:tcBorders>
          </w:tcPr>
          <w:p w14:paraId="2AB69C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 п.</w:t>
            </w:r>
          </w:p>
          <w:p w14:paraId="3AA351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2686481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 фильмов</w:t>
            </w:r>
          </w:p>
          <w:p w14:paraId="088794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44BB68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частей</w:t>
            </w:r>
          </w:p>
          <w:p w14:paraId="77A5ED0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383D24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Стоимость фильма</w:t>
            </w:r>
          </w:p>
          <w:p w14:paraId="6327D8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F566096"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65B9871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198013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6185BF1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«Вождение танков в зимних условиях»</w:t>
            </w:r>
          </w:p>
          <w:p w14:paraId="6301116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B0659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Зч.</w:t>
            </w:r>
          </w:p>
          <w:p w14:paraId="7D9C4B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014716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210т.</w:t>
            </w:r>
          </w:p>
          <w:p w14:paraId="5B4F61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02AA3A6" w14:textId="77777777">
        <w:trPr>
          <w:trHeight w:val="269"/>
        </w:trPr>
        <w:tc>
          <w:tcPr>
            <w:tcW w:w="518" w:type="dxa"/>
            <w:tcBorders>
              <w:top w:val="single" w:sz="6" w:space="0" w:color="auto"/>
              <w:left w:val="single" w:sz="6" w:space="0" w:color="auto"/>
              <w:bottom w:val="single" w:sz="6" w:space="0" w:color="auto"/>
              <w:right w:val="single" w:sz="6" w:space="0" w:color="auto"/>
            </w:tcBorders>
          </w:tcPr>
          <w:p w14:paraId="7FC4186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20E842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09571B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«Регулировка основных механизмов танка ИС»</w:t>
            </w:r>
          </w:p>
          <w:p w14:paraId="6DC5AD7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39DD8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Зч.</w:t>
            </w:r>
          </w:p>
          <w:p w14:paraId="6981A7D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E11F22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210т.</w:t>
            </w:r>
          </w:p>
          <w:p w14:paraId="01846B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AA8FDEE"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0ED4F1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1A33F59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566100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«Борьба с пожарами танков» (Т-34, КВ и ИС)</w:t>
            </w:r>
          </w:p>
          <w:p w14:paraId="624F229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0EEFF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2ч.</w:t>
            </w:r>
          </w:p>
          <w:p w14:paraId="3BDD17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BE3A1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140т.</w:t>
            </w:r>
          </w:p>
          <w:p w14:paraId="56B9381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7F7176D"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602262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223586C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7A7F4EA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«Топливная система танкового двигателя В-2»</w:t>
            </w:r>
          </w:p>
          <w:p w14:paraId="00F8A9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E93BDE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Зч.</w:t>
            </w:r>
          </w:p>
          <w:p w14:paraId="64E91A6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DA63A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210т.</w:t>
            </w:r>
          </w:p>
          <w:p w14:paraId="4D2322B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1A11E6A"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3D4A87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6F4641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75390A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«Система смазки двигателя В-2»</w:t>
            </w:r>
          </w:p>
          <w:p w14:paraId="285E289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F46FAC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2ч.</w:t>
            </w:r>
          </w:p>
          <w:p w14:paraId="21103F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76D41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140т.</w:t>
            </w:r>
          </w:p>
          <w:p w14:paraId="057EEEF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8DD18CA"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4D18AF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p w14:paraId="470A4BA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710448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«Основы танковой электротехники»</w:t>
            </w:r>
          </w:p>
          <w:p w14:paraId="4C6B22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51433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Зч.</w:t>
            </w:r>
          </w:p>
          <w:p w14:paraId="32FFB4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6AC778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210т.</w:t>
            </w:r>
          </w:p>
          <w:p w14:paraId="717321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550A286"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050CE3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p w14:paraId="5A7B226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40E49F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«Приемы устранения неисправностей электрооборудования танков»</w:t>
            </w:r>
          </w:p>
          <w:p w14:paraId="1DD7B89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7D03D0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2ч.</w:t>
            </w:r>
          </w:p>
          <w:p w14:paraId="0AC167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8B0F5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140т.</w:t>
            </w:r>
          </w:p>
          <w:p w14:paraId="77D3D9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13DCC78" w14:textId="77777777">
        <w:trPr>
          <w:trHeight w:val="269"/>
        </w:trPr>
        <w:tc>
          <w:tcPr>
            <w:tcW w:w="518" w:type="dxa"/>
            <w:tcBorders>
              <w:top w:val="single" w:sz="6" w:space="0" w:color="auto"/>
              <w:left w:val="single" w:sz="6" w:space="0" w:color="auto"/>
              <w:bottom w:val="single" w:sz="6" w:space="0" w:color="auto"/>
              <w:right w:val="single" w:sz="6" w:space="0" w:color="auto"/>
            </w:tcBorders>
          </w:tcPr>
          <w:p w14:paraId="5177A8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p w14:paraId="768BDF1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6EF9F8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«Эксплуатация аккумуляторных батарей и зарядка батарей ПЗС»</w:t>
            </w:r>
          </w:p>
          <w:p w14:paraId="06CD97E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849030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4ч.</w:t>
            </w:r>
          </w:p>
          <w:p w14:paraId="440637C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D95A58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140т.</w:t>
            </w:r>
          </w:p>
          <w:p w14:paraId="30FC11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AE5A7DD"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4AD9F62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p w14:paraId="26C518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72571F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«Действия ГПЗ»</w:t>
            </w:r>
          </w:p>
          <w:p w14:paraId="135267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B5B13A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2ч.</w:t>
            </w:r>
          </w:p>
          <w:p w14:paraId="500D53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A527FB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140т.</w:t>
            </w:r>
          </w:p>
          <w:p w14:paraId="39FA1AD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846B7EF"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6765B4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43D355E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1D9375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«Действия танкового взвода при атаке населенного пункта»</w:t>
            </w:r>
          </w:p>
          <w:p w14:paraId="3D080A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8960F8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Зч.</w:t>
            </w:r>
          </w:p>
          <w:p w14:paraId="2FDEE4A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4F65A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210т.</w:t>
            </w:r>
          </w:p>
          <w:p w14:paraId="4A040BD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687D301"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6C0AFF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p w14:paraId="7CEE1E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561F6F8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«Переправы через речные преграды танковыми подразделениями»</w:t>
            </w:r>
          </w:p>
          <w:p w14:paraId="0F05EF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1CF29F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4ч.</w:t>
            </w:r>
          </w:p>
          <w:p w14:paraId="3389527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62DEE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280т.</w:t>
            </w:r>
          </w:p>
          <w:p w14:paraId="1B1A2EF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134AD3F" w14:textId="77777777">
        <w:trPr>
          <w:trHeight w:val="470"/>
        </w:trPr>
        <w:tc>
          <w:tcPr>
            <w:tcW w:w="518" w:type="dxa"/>
            <w:tcBorders>
              <w:top w:val="single" w:sz="6" w:space="0" w:color="auto"/>
              <w:left w:val="single" w:sz="6" w:space="0" w:color="auto"/>
              <w:bottom w:val="single" w:sz="6" w:space="0" w:color="auto"/>
              <w:right w:val="single" w:sz="6" w:space="0" w:color="auto"/>
            </w:tcBorders>
          </w:tcPr>
          <w:p w14:paraId="33B6A61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p w14:paraId="010E298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175B04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«Действия самоходной артиллерии в борьбе с танками и СУ противника в насту</w:t>
            </w:r>
            <w:r w:rsidRPr="00070ADE">
              <w:rPr>
                <w:rFonts w:ascii="Times New Roman" w:hAnsi="Times New Roman"/>
                <w:color w:val="000000" w:themeColor="text1"/>
                <w:sz w:val="16"/>
                <w:szCs w:val="16"/>
              </w:rPr>
              <w:softHyphen/>
              <w:t>плении»</w:t>
            </w:r>
          </w:p>
          <w:p w14:paraId="19C26C9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2CC291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Зч.</w:t>
            </w:r>
          </w:p>
          <w:p w14:paraId="7D5240B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788D8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210т.</w:t>
            </w:r>
          </w:p>
          <w:p w14:paraId="37DD55E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5648F57"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1CE724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p w14:paraId="6A63A7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0C1C67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«Устройство и действие основных механизмов танковой пушки»</w:t>
            </w:r>
          </w:p>
          <w:p w14:paraId="38B21F7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46D5BC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Зч.</w:t>
            </w:r>
          </w:p>
          <w:p w14:paraId="126631A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58B265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210т.</w:t>
            </w:r>
          </w:p>
          <w:p w14:paraId="764A8F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6CFE38A"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1DDBC1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w:t>
            </w:r>
          </w:p>
          <w:p w14:paraId="128E49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77B29D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«Правила стрельбы из танка и действие снарядов танковой артиллерии»</w:t>
            </w:r>
          </w:p>
          <w:p w14:paraId="1A4E82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0E752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Зч.</w:t>
            </w:r>
          </w:p>
          <w:p w14:paraId="5566FB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ABC6D8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210т.</w:t>
            </w:r>
          </w:p>
          <w:p w14:paraId="59C21C9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5E3BBC7" w14:textId="77777777">
        <w:trPr>
          <w:trHeight w:val="278"/>
        </w:trPr>
        <w:tc>
          <w:tcPr>
            <w:tcW w:w="518" w:type="dxa"/>
            <w:tcBorders>
              <w:top w:val="single" w:sz="6" w:space="0" w:color="auto"/>
              <w:left w:val="single" w:sz="6" w:space="0" w:color="auto"/>
              <w:bottom w:val="single" w:sz="6" w:space="0" w:color="auto"/>
              <w:right w:val="single" w:sz="6" w:space="0" w:color="auto"/>
            </w:tcBorders>
          </w:tcPr>
          <w:p w14:paraId="7058E3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p w14:paraId="1D15B7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653AF1C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«Вождение мотоциклов»</w:t>
            </w:r>
          </w:p>
          <w:p w14:paraId="215B038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BA2A1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Зч.</w:t>
            </w:r>
          </w:p>
          <w:p w14:paraId="6922BD4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4C31CE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210т.</w:t>
            </w:r>
          </w:p>
          <w:p w14:paraId="7C39F11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83A5587" w14:textId="77777777">
        <w:trPr>
          <w:trHeight w:val="269"/>
        </w:trPr>
        <w:tc>
          <w:tcPr>
            <w:tcW w:w="518" w:type="dxa"/>
            <w:tcBorders>
              <w:top w:val="single" w:sz="6" w:space="0" w:color="auto"/>
              <w:left w:val="single" w:sz="6" w:space="0" w:color="auto"/>
              <w:bottom w:val="single" w:sz="6" w:space="0" w:color="auto"/>
              <w:right w:val="single" w:sz="6" w:space="0" w:color="auto"/>
            </w:tcBorders>
          </w:tcPr>
          <w:p w14:paraId="1CA79DD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p w14:paraId="655EB4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7D3A58A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«Мотоциклетный взвод в наступлении»</w:t>
            </w:r>
          </w:p>
          <w:p w14:paraId="42671A9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872EC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2ч.</w:t>
            </w:r>
          </w:p>
          <w:p w14:paraId="3BF0F4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5D1D4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140т.</w:t>
            </w:r>
          </w:p>
          <w:p w14:paraId="7DC3B66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C1EE4FD" w14:textId="77777777">
        <w:trPr>
          <w:trHeight w:val="298"/>
        </w:trPr>
        <w:tc>
          <w:tcPr>
            <w:tcW w:w="518" w:type="dxa"/>
            <w:tcBorders>
              <w:top w:val="single" w:sz="6" w:space="0" w:color="auto"/>
              <w:left w:val="single" w:sz="6" w:space="0" w:color="auto"/>
              <w:bottom w:val="single" w:sz="6" w:space="0" w:color="auto"/>
              <w:right w:val="single" w:sz="6" w:space="0" w:color="auto"/>
            </w:tcBorders>
          </w:tcPr>
          <w:p w14:paraId="50F005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0E95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84" w:type="dxa"/>
            <w:tcBorders>
              <w:top w:val="single" w:sz="6" w:space="0" w:color="auto"/>
              <w:left w:val="single" w:sz="6" w:space="0" w:color="auto"/>
              <w:bottom w:val="single" w:sz="6" w:space="0" w:color="auto"/>
              <w:right w:val="single" w:sz="6" w:space="0" w:color="auto"/>
            </w:tcBorders>
          </w:tcPr>
          <w:p w14:paraId="01987E9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523CC33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018F6F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 части</w:t>
            </w:r>
          </w:p>
          <w:p w14:paraId="58C6F73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40797A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ЗОЮ т.</w:t>
            </w:r>
          </w:p>
          <w:p w14:paraId="1251ED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843B6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5-го отдела УБП БТ и МВ КА подполковник Парчинский</w:t>
      </w:r>
    </w:p>
    <w:p w14:paraId="58BBFD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11351. Д. 229. Л. 55. Копия (11403).</w:t>
      </w:r>
    </w:p>
    <w:p w14:paraId="3EF7E9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CEEF3F"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Не ранее 1 февраля — не позднее 28 февраля 1944 г.ИЗ ПЛАНА АГЕНТУРНО-ОПЕРАТИВНЫХ МЕРОПРИЯТИЙ ПО АГЕНТУРНОЙ РАЗРАБОТКЕ «ЭНОРМОЗ», ПОДГОТОВЛЕННОГО 1-м УПРАВЛЕНИЕМ НКГБ СССР</w:t>
      </w:r>
    </w:p>
    <w:p w14:paraId="68BD19D4"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Общее положение</w:t>
      </w:r>
    </w:p>
    <w:p w14:paraId="3994C0F8"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Агентурная разработка «Энормоз» возникла в конце 1941 года на основании поступивших агентурных донесений о том, что крупные науч</w:t>
      </w:r>
      <w:r w:rsidRPr="00070ADE">
        <w:rPr>
          <w:rFonts w:ascii="Times New Roman" w:hAnsi="Times New Roman"/>
          <w:color w:val="000000" w:themeColor="text1"/>
          <w:sz w:val="16"/>
          <w:szCs w:val="16"/>
        </w:rPr>
        <w:softHyphen/>
        <w:t>ные и материальные силы Англии и США брошены на разрешение но</w:t>
      </w:r>
      <w:r w:rsidRPr="00070ADE">
        <w:rPr>
          <w:rFonts w:ascii="Times New Roman" w:hAnsi="Times New Roman"/>
          <w:color w:val="000000" w:themeColor="text1"/>
          <w:sz w:val="16"/>
          <w:szCs w:val="16"/>
        </w:rPr>
        <w:softHyphen/>
        <w:t>вейшей научной проблемы использования внутренней энергии атомного ядра урана, в частности, использования ее в военных целях — для изго</w:t>
      </w:r>
      <w:r w:rsidRPr="00070ADE">
        <w:rPr>
          <w:rFonts w:ascii="Times New Roman" w:hAnsi="Times New Roman"/>
          <w:color w:val="000000" w:themeColor="text1"/>
          <w:sz w:val="16"/>
          <w:szCs w:val="16"/>
        </w:rPr>
        <w:softHyphen/>
        <w:t>товления урановой бомбы огромной разрушительной силы.</w:t>
      </w:r>
    </w:p>
    <w:p w14:paraId="1ABBB39A"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 проблема в ее первой и основной части в настоящее время сводится к получению активной части урана — урана-235 в чис</w:t>
      </w:r>
      <w:r w:rsidRPr="00070ADE">
        <w:rPr>
          <w:rFonts w:ascii="Times New Roman" w:hAnsi="Times New Roman"/>
          <w:color w:val="000000" w:themeColor="text1"/>
          <w:sz w:val="16"/>
          <w:szCs w:val="16"/>
        </w:rPr>
        <w:softHyphen/>
        <w:t>тим виде, т. е. отделению его от неактивной части — урана-238, в смеси, с которой он встречается в природе в количестве около 0,7%. Учеными предложены несколько методов разделения изотопа U-235 от изотопа U-238, в том числе: диффузионный, магнетический3, центробежный.</w:t>
      </w:r>
    </w:p>
    <w:p w14:paraId="2DE5D5B1"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США для разрешения данной проблемы привлечено свыше 500 научных работников и среди них крупнейшие ученые: Комптон, Ферми, Лоуренс, Урей4, Даннинг, Оппенгеймер, Мак-Миллан, О'Ниер и т. д. На</w:t>
      </w:r>
      <w:r w:rsidRPr="00070ADE">
        <w:rPr>
          <w:rFonts w:ascii="Times New Roman" w:hAnsi="Times New Roman"/>
          <w:color w:val="000000" w:themeColor="text1"/>
          <w:sz w:val="16"/>
          <w:szCs w:val="16"/>
        </w:rPr>
        <w:softHyphen/>
        <w:t>учные работы сосредоточены в лабораториях ведущих университетов США: Колумбийском, Калифорнийском, Чикагском и др. Для вспомо</w:t>
      </w:r>
      <w:r w:rsidRPr="00070ADE">
        <w:rPr>
          <w:rFonts w:ascii="Times New Roman" w:hAnsi="Times New Roman"/>
          <w:color w:val="000000" w:themeColor="text1"/>
          <w:sz w:val="16"/>
          <w:szCs w:val="16"/>
        </w:rPr>
        <w:softHyphen/>
        <w:t>гательных работ (разработка аппаратуры, снабжение сырьевыми матери</w:t>
      </w:r>
      <w:r w:rsidRPr="00070ADE">
        <w:rPr>
          <w:rFonts w:ascii="Times New Roman" w:hAnsi="Times New Roman"/>
          <w:color w:val="000000" w:themeColor="text1"/>
          <w:sz w:val="16"/>
          <w:szCs w:val="16"/>
        </w:rPr>
        <w:softHyphen/>
        <w:t>алами, проектные и строительные работы и проч.) привлекаются извест</w:t>
      </w:r>
      <w:r w:rsidRPr="00070ADE">
        <w:rPr>
          <w:rFonts w:ascii="Times New Roman" w:hAnsi="Times New Roman"/>
          <w:color w:val="000000" w:themeColor="text1"/>
          <w:sz w:val="16"/>
          <w:szCs w:val="16"/>
        </w:rPr>
        <w:softHyphen/>
        <w:t>ные промышленные фирмы: Дюпон, Карбон энд Карбайд Ко, Форд, Кел-лог, Дж. Джонс Констракшн и др.</w:t>
      </w:r>
    </w:p>
    <w:p w14:paraId="6543AA5C"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последним сведениям, ученому Лоуренсу удалось получить не</w:t>
      </w:r>
      <w:r w:rsidRPr="00070ADE">
        <w:rPr>
          <w:rFonts w:ascii="Times New Roman" w:hAnsi="Times New Roman"/>
          <w:color w:val="000000" w:themeColor="text1"/>
          <w:sz w:val="16"/>
          <w:szCs w:val="16"/>
        </w:rPr>
        <w:softHyphen/>
        <w:t>сколько грамм урана-235 магнетическим методом, что считается выдаю</w:t>
      </w:r>
      <w:r w:rsidRPr="00070ADE">
        <w:rPr>
          <w:rFonts w:ascii="Times New Roman" w:hAnsi="Times New Roman"/>
          <w:color w:val="000000" w:themeColor="text1"/>
          <w:sz w:val="16"/>
          <w:szCs w:val="16"/>
        </w:rPr>
        <w:softHyphen/>
        <w:t>щимся достижением. Основное же внимание уделяется разработке диф</w:t>
      </w:r>
      <w:r w:rsidRPr="00070ADE">
        <w:rPr>
          <w:rFonts w:ascii="Times New Roman" w:hAnsi="Times New Roman"/>
          <w:color w:val="000000" w:themeColor="text1"/>
          <w:sz w:val="16"/>
          <w:szCs w:val="16"/>
        </w:rPr>
        <w:softHyphen/>
        <w:t>фузионного метода, теоретическая часть которого разработана настоль</w:t>
      </w:r>
      <w:r w:rsidRPr="00070ADE">
        <w:rPr>
          <w:rFonts w:ascii="Times New Roman" w:hAnsi="Times New Roman"/>
          <w:color w:val="000000" w:themeColor="text1"/>
          <w:sz w:val="16"/>
          <w:szCs w:val="16"/>
        </w:rPr>
        <w:softHyphen/>
        <w:t>ко, что позволила приступить к строительству большого завода произ</w:t>
      </w:r>
      <w:r w:rsidRPr="00070ADE">
        <w:rPr>
          <w:rFonts w:ascii="Times New Roman" w:hAnsi="Times New Roman"/>
          <w:color w:val="000000" w:themeColor="text1"/>
          <w:sz w:val="16"/>
          <w:szCs w:val="16"/>
        </w:rPr>
        <w:softHyphen/>
        <w:t>водительностью 1 кг урана-235 в день. Срок окончания строительства этого завода — сентябрь 1944 года. Место строительства — Теннессий-ская долина, в 25 милях от г. Ноксвилл, штат Теннесси. Проектные рабо</w:t>
      </w:r>
      <w:r w:rsidRPr="00070ADE">
        <w:rPr>
          <w:rFonts w:ascii="Times New Roman" w:hAnsi="Times New Roman"/>
          <w:color w:val="000000" w:themeColor="text1"/>
          <w:sz w:val="16"/>
          <w:szCs w:val="16"/>
        </w:rPr>
        <w:softHyphen/>
        <w:t>ты выполняет фирма Келлекс в г. Нью-Йорке. Договор на строительство выдан инженерным отделом армии США фирме «Дж. Джонс Конст-ракшн».</w:t>
      </w:r>
    </w:p>
    <w:p w14:paraId="6FEB7B10"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Англии также ведутся большие работы по проблеме «Энормоз», сосредоточенные в Кембриджском, Оксфордском, Ливерпульском и Бирмингемском университетах, силами ведущим физиков, к которым в конце 1943 года присоединился известный датский ученый Нильс Бор. В экспериментальной части разработки принимают участие крупный химический концерн «Империал Кемикал Индастриес» и Вульвичский арсенал.</w:t>
      </w:r>
    </w:p>
    <w:p w14:paraId="37DD0761"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начала 1943 года работа англичан по «Энормозу» стала перено</w:t>
      </w:r>
      <w:r w:rsidRPr="00070ADE">
        <w:rPr>
          <w:rFonts w:ascii="Times New Roman" w:hAnsi="Times New Roman"/>
          <w:color w:val="000000" w:themeColor="text1"/>
          <w:sz w:val="16"/>
          <w:szCs w:val="16"/>
        </w:rPr>
        <w:softHyphen/>
        <w:t>ситься в Канаду, куда переехало большое количество научных работни</w:t>
      </w:r>
      <w:r w:rsidRPr="00070ADE">
        <w:rPr>
          <w:rFonts w:ascii="Times New Roman" w:hAnsi="Times New Roman"/>
          <w:color w:val="000000" w:themeColor="text1"/>
          <w:sz w:val="16"/>
          <w:szCs w:val="16"/>
        </w:rPr>
        <w:softHyphen/>
        <w:t>ков во главе с Хальбаном вместе с частью оборудования английских ла</w:t>
      </w:r>
      <w:r w:rsidRPr="00070ADE">
        <w:rPr>
          <w:rFonts w:ascii="Times New Roman" w:hAnsi="Times New Roman"/>
          <w:color w:val="000000" w:themeColor="text1"/>
          <w:sz w:val="16"/>
          <w:szCs w:val="16"/>
        </w:rPr>
        <w:softHyphen/>
        <w:t>бораторий и запасом тяжелой воды. Перенесение работ было вызвано опасностью ведения их в условиях воздушных налетов, необходимос</w:t>
      </w:r>
      <w:r w:rsidRPr="00070ADE">
        <w:rPr>
          <w:rFonts w:ascii="Times New Roman" w:hAnsi="Times New Roman"/>
          <w:color w:val="000000" w:themeColor="text1"/>
          <w:sz w:val="16"/>
          <w:szCs w:val="16"/>
        </w:rPr>
        <w:softHyphen/>
        <w:t>тью приближения к месту добычи урановой руды (в Канаде) и в целях большего сближения с американскими работами.</w:t>
      </w:r>
    </w:p>
    <w:p w14:paraId="3570E3BD"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достигнутому между англичанами и американцами согла</w:t>
      </w:r>
      <w:r w:rsidRPr="00070ADE">
        <w:rPr>
          <w:rFonts w:ascii="Times New Roman" w:hAnsi="Times New Roman"/>
          <w:color w:val="000000" w:themeColor="text1"/>
          <w:sz w:val="16"/>
          <w:szCs w:val="16"/>
        </w:rPr>
        <w:softHyphen/>
        <w:t>шению о сотрудничестве в ведении работ по «Энормозу» в Америку вы</w:t>
      </w:r>
      <w:r w:rsidRPr="00070ADE">
        <w:rPr>
          <w:rFonts w:ascii="Times New Roman" w:hAnsi="Times New Roman"/>
          <w:color w:val="000000" w:themeColor="text1"/>
          <w:sz w:val="16"/>
          <w:szCs w:val="16"/>
        </w:rPr>
        <w:softHyphen/>
        <w:t>ехали наиболее авторитетные ученые Англии2 [...]</w:t>
      </w:r>
    </w:p>
    <w:p w14:paraId="46DD98C9"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нач[альника] 1-го Управления НКГБ СССР комиссар госбезопасности</w:t>
      </w:r>
    </w:p>
    <w:p w14:paraId="3E3B29AA"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3 отдела 1-го Управления] НКГБ СССР подполковник госбезопасности</w:t>
      </w:r>
    </w:p>
    <w:p w14:paraId="7EBA4601"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Согласен</w:t>
      </w:r>
    </w:p>
    <w:p w14:paraId="4B1CA01B" w14:textId="3271B323"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1-го Управления] НКГБ СССР комиссар госбезопасности] 3 ранга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Фитин</w:t>
      </w:r>
    </w:p>
    <w:p w14:paraId="2436FC82"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...февраля 1944 г.</w:t>
      </w:r>
    </w:p>
    <w:p w14:paraId="6C81D2C0"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Опубликовано: Атомный проект СССР. Документы и материалы. В 3-х томах. Т. 1. 1938-1945. Ч. 2. М., Изд. МФТИ, 2002. С. 31-32.</w:t>
      </w:r>
    </w:p>
    <w:p w14:paraId="4B7F138C" w14:textId="37A0740E"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Речь идет о термодиффузионном заводе, пущенном в Клинтоне осенью 1944 года (Смит Г. Д. Атомная энергия для военных целей. М.: ГТЖИ. 1946. С. 214).</w:t>
      </w:r>
    </w:p>
    <w:p w14:paraId="651DCF2E" w14:textId="54BF2410"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Следующая далее часть текста не рассекречена.</w:t>
      </w:r>
    </w:p>
    <w:p w14:paraId="43A1F213" w14:textId="39B35CAE"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Подпись отсутствует. Начальником научно-технической разведки НКВД (НКГБ) в 1938-1943 гг. был Л. Р. Квасников (15493).</w:t>
      </w:r>
    </w:p>
    <w:p w14:paraId="36D09EFD" w14:textId="77777777" w:rsidR="00CC0EB7" w:rsidRPr="00070ADE" w:rsidRDefault="00CC0EB7" w:rsidP="00B56F90">
      <w:pPr>
        <w:spacing w:after="0" w:line="240" w:lineRule="auto"/>
        <w:jc w:val="both"/>
        <w:rPr>
          <w:rFonts w:ascii="Times New Roman" w:hAnsi="Times New Roman"/>
          <w:color w:val="000000" w:themeColor="text1"/>
          <w:sz w:val="16"/>
          <w:szCs w:val="16"/>
        </w:rPr>
      </w:pPr>
    </w:p>
    <w:p w14:paraId="7C7032D0" w14:textId="77777777" w:rsidR="00CC0EB7"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775A4CC5" w14:textId="77777777" w:rsidR="00CC0EB7" w:rsidRPr="00070ADE" w:rsidRDefault="00CC0EB7"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402178"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5D50D4D4"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Ленинградского фронта, сломив сопротивление противника, 1 февраля овладели городом Кингисепп и, продолжая развивать наступление севернее и южнее Кингисепп, с боями заняли более 50 населённыхпунктов, в том числе Старое Горколово, Ново-Горколово, Колгомпя, Репина, Залесье, Ручьи, Дубки, Слободка 1-я и 2-я, Косколово, Нижние Лужицы, Пески, Верхние Лужицы, Получье, Куровицы, Орлы, Кейкино, Дальняя Поляна, Манновка, Горелово, Ложголово, Замошье, Старополье, Хатило, Валово, Поречье, Усадище, Глазова Горка, Осьмино, Луговское и железнодорожные станции Валговицы, Косколово, Летняя, Туганы.</w:t>
      </w:r>
    </w:p>
    <w:p w14:paraId="0101B9DD"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Любань наши войска, преодолевая инженерные заграждения противника на лесных дорогах, с боями продвигались вперёд и заняли населённые пункты Посёлок Новинка, Глубочка, Апраксин Бор, Червинская Лука, Червино, Крапивно, Крутик, Кривино, Ольховские и железнодорожную станцию Новинка.</w:t>
      </w:r>
    </w:p>
    <w:p w14:paraId="3A43F587"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Новгорода наши войска продолжали вести наступательные бои, в ходе которых заняли более 30 населённых пунктов, в том числе Белое, Холомцы, Почап, Хлупино, Костронь, Вельяшева Гора, Жили, Курино, Горошино (4 км. севернее Батецкая), Княжья Гора, Речка, Бор, Малые Торошковичи, Лихарева Горка, Новое Село, Лунец, Югостицы, Большое Конезерье, Тетеревино, Перецкие, Высокое.</w:t>
      </w:r>
    </w:p>
    <w:p w14:paraId="5C2F1642"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Новосокольники наши войска вели наступательные бои и заняли несколько населённых пунктов.</w:t>
      </w:r>
    </w:p>
    <w:p w14:paraId="1575BB98"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31 января наши войска на всех фронтах подбили и уничтожили 74 немецких танка. В воздушных боях и огнём зенитной артиллерии сбито 19 самолётов противника.</w:t>
      </w:r>
    </w:p>
    <w:p w14:paraId="60AA72FC"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Ленинградского фронта продолжали успешное наступление. Части Н-ского соединения переправились через реку Луга южнее и северо-западнее города Кингисепп. В результате умелого обходного манёвра наши войска сломили сопротивление противника и сегодня овладели городом Кингисепп. Захвачены большие трофеи, которые подсчитываются. Части другого нашего соединения, быстро продвигаясь вдоль побережья Финского залива, заняли ряд населённых пунктов и вышли к устью реки Луга. Южнее Кингисеппа наши войска вышли к озеру Самро. За день боёв уничтожено свыше 2 тысяч солдат и офицеров противника. Автоматчики под командованием старшего лейтенанта Корычева уничтожили штабной автобус, в котором ехала группа немецких офицеров во главе с полковником. Бойцы подразделения лейтенанта Замяткина ворвались на одну железнодорожную станцию, перебили немецкий гарнизон и захватили 12 складов с продовольствием, снарядами, военным имуществом и другие трофеи.</w:t>
      </w:r>
    </w:p>
    <w:p w14:paraId="060A134E"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Любань наши войска с боями продвигались вперёд. Действуя в чрезвычайно трудных условиях лесисто-болотистой местности, советские бойцы обходными манёврами отрезают противнику пути отхода и уничтожают его живую силу и технику. Н-ская часть в деревне Апраксин Бор окружила и разгромила артиллерийский полк 121 немецкой пехотной дивизии. Наши бойцы захватили 30 орудий, более 70 автомашин и 150 лошадей. Взято в плен значительное число немецких артиллеристов.</w:t>
      </w:r>
    </w:p>
    <w:p w14:paraId="4B933E13"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Новгорода наши войска продолжали наступление и заняли более 30 населённых пунктов. Советские части, наступающие западнее железной дороги Батецкая-Дно, отбили несколько контратак только что прибывших на этот участок немецких резервных частей. Контрударом наши бойцы вновь отбросили противника. В этих боях уничтожено свыше 800 гитлеровцев. Захвачены 16 орудий, 78 пулемётов и три склада боеприпасов. Взяты пленные.</w:t>
      </w:r>
    </w:p>
    <w:p w14:paraId="6AC13538"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Новосокольники наши войска овладели рядом населённых пунктов, в боях за которые уничтожено до полка пехоты противника. Захвачено у немцев 23 орудия, 32 пулемёта и другие трофеи.</w:t>
      </w:r>
    </w:p>
    <w:p w14:paraId="112388C7"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исполкома Новгородского городского Совета депутатов трудящихся т. Юдин сообщил о преступлениях немецко-фашистских мерзавцев в городе Новгороде: «Немцы, питающие звериную ненависть ко всему русскому, опустошили и разрушили древний русский город Новгород. Из 2.300 домов в городе уцелело всего лишь 40 домов. Немецкие варвары превратили в руины и пепел исторические памятники русского народа. Уничтожены Рюриково городище с постройками ХIV века, а также церковь Спаса Нередицы, построенная в XII веке. Полностью разрушены Зверин монастырь, Юрьев монастырь, церковь Флора и Лавра, построенные в XIV веке. Гитлеровские бандиты сожгли дворец Марфы Посадницы. Здание Духова монастыря сожжено, а церковь разрушена. Также разрушены церкви Фёдора Стратилата, Андрея Стратилата, Знаменский собор, памятник Тысячелетия России, исторический музей и другие памятники старины. Немцы надругались над величайшим памятником русского зодчества — Софийским собором, построенным в XI веке. Фашистские дикари, потерявшие человеческий облик, превратили Софийский собор в склад. Главный купол собора, крытый червонным золотом, разрушен, а кровля похищена. Многие наиболее ценные памятники старины и украшения немецко-фашистские оккупанты увезли в Германию» (15027).</w:t>
      </w:r>
    </w:p>
    <w:p w14:paraId="1B42EF32" w14:textId="77777777" w:rsidR="00CC0EB7" w:rsidRPr="00070ADE" w:rsidRDefault="00CC0EB7" w:rsidP="00B56F90">
      <w:pPr>
        <w:spacing w:after="0" w:line="240" w:lineRule="auto"/>
        <w:jc w:val="both"/>
        <w:rPr>
          <w:rFonts w:ascii="Times New Roman" w:hAnsi="Times New Roman"/>
          <w:color w:val="000000" w:themeColor="text1"/>
          <w:sz w:val="16"/>
          <w:szCs w:val="16"/>
        </w:rPr>
      </w:pPr>
    </w:p>
    <w:p w14:paraId="71DF0DC7" w14:textId="77777777" w:rsidR="00CC0EB7" w:rsidRPr="00070ADE" w:rsidRDefault="00CC0E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февраля</w:t>
      </w:r>
      <w:r w:rsidRPr="00070ADE">
        <w:rPr>
          <w:rFonts w:ascii="Times New Roman" w:hAnsi="Times New Roman"/>
          <w:color w:val="000000" w:themeColor="text1"/>
          <w:sz w:val="16"/>
          <w:szCs w:val="16"/>
        </w:rPr>
        <w:t xml:space="preserve"> в 1944 году в расположение немецких войск, окруженных под Корсунь-Шевченковском, советским командованием направлены агитаторы из числа немецких солдат, ранее добровольно перешедших на сторону Советской Армии (15027).</w:t>
      </w:r>
    </w:p>
    <w:p w14:paraId="1520897A" w14:textId="77777777" w:rsidR="00CC0EB7" w:rsidRPr="00070ADE" w:rsidRDefault="00CC0EB7" w:rsidP="00B56F90">
      <w:pPr>
        <w:spacing w:after="0" w:line="240" w:lineRule="auto"/>
        <w:jc w:val="both"/>
        <w:rPr>
          <w:rFonts w:ascii="Times New Roman" w:hAnsi="Times New Roman"/>
          <w:color w:val="000000" w:themeColor="text1"/>
          <w:sz w:val="16"/>
          <w:szCs w:val="16"/>
        </w:rPr>
      </w:pPr>
    </w:p>
    <w:p w14:paraId="1C46BC4E" w14:textId="77777777" w:rsidR="0018364B" w:rsidRPr="00070ADE" w:rsidRDefault="0018364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60B2AB8A" w14:textId="77777777" w:rsidR="0018364B" w:rsidRPr="00070ADE" w:rsidRDefault="0018364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6BB79B"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 февраля 1944 г. на 10-й сессии Верховного Совета СССР 1-го созыва был принят Закон о государственном бюджете страны на 1944 г. Одновременно Законом утверждались отчеты об исполнении госбюджета за 1940, 1941 и 1942 гг. Предусматривалось, что общая сумма расходов по финансированию двух Наркоматов составит в 1944 г. 128,4 млрд. руб. &lt;1&gt;.</w:t>
      </w:r>
    </w:p>
    <w:p w14:paraId="5C6F936B"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действительности расходы на оборону государства оказались еще более значительными. Они увеличились с 83 млрд. руб. в 1941 г. до 125 млрд. руб. в 1943 г. и 137,8 млрд. руб. в 1944 г. Однако удельный вес этих расходов снизился с 59,3% в 1942 г. до 52,2% в 1944 г. В государственном бюджете на 1945 г., утвержденном 11-й сессией Верховного Совета СССР в апреле 1945 г., расходы по сметам Наркоматов обороны и Военно-Морского Флота были предусмотрены на уровне 1944 г. - 137,8 млрд. руб. из общей суммы расходов в 307,7 млрд. руб. (однако реальные расходы на оборону, по словам наркома финансов тех лет А. Г. Зверева, с учетом выплаченных денежных вознаграждений демобилизованным составили 128,2 млрд. руб. &lt;1&gt;), в связи с чем их удельный вес понизился до 45% &lt;2&gt;. Утвержденный как бюджет военного времени, государственный бюджет 1945 г. по-прежнему предусматривал крупные поступления в порядке обложения военным налогом, а также от реализации новой денежно-вещевой лотереи (18390).</w:t>
      </w:r>
    </w:p>
    <w:p w14:paraId="3F774F1B" w14:textId="77777777" w:rsidR="0018364B" w:rsidRPr="00070ADE" w:rsidRDefault="0018364B" w:rsidP="00B56F90">
      <w:pPr>
        <w:spacing w:after="0" w:line="240" w:lineRule="auto"/>
        <w:jc w:val="both"/>
        <w:rPr>
          <w:rFonts w:ascii="Times New Roman" w:hAnsi="Times New Roman"/>
          <w:color w:val="000000" w:themeColor="text1"/>
          <w:sz w:val="16"/>
          <w:szCs w:val="16"/>
        </w:rPr>
      </w:pPr>
    </w:p>
    <w:p w14:paraId="5F22937A"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4C8092E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906AC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февраля 1944 в СССР союзным республикам предоставлено право вступать в непосредственные контакты с иностранными государствами (4962).</w:t>
      </w:r>
    </w:p>
    <w:p w14:paraId="6E5C48D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63ABD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3BC406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38CC7B" w14:textId="77777777" w:rsidR="00061A93" w:rsidRPr="00070ADE" w:rsidRDefault="00061A9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февраля 1944 ВМС США заказывают два вертолета Piasecki XHRP-1. Это первые американские вертолеты, созданные по военному контракту (20373).</w:t>
      </w:r>
    </w:p>
    <w:p w14:paraId="10093D1D" w14:textId="77777777" w:rsidR="00061A93" w:rsidRPr="00070ADE" w:rsidRDefault="00061A93" w:rsidP="00B56F90">
      <w:pPr>
        <w:spacing w:after="0" w:line="240" w:lineRule="auto"/>
        <w:jc w:val="both"/>
        <w:rPr>
          <w:rFonts w:ascii="Times New Roman" w:hAnsi="Times New Roman"/>
          <w:color w:val="000000" w:themeColor="text1"/>
          <w:sz w:val="16"/>
          <w:szCs w:val="16"/>
        </w:rPr>
      </w:pPr>
    </w:p>
    <w:p w14:paraId="4D7A3E60" w14:textId="77777777" w:rsidR="00061A93" w:rsidRPr="00070ADE" w:rsidRDefault="00061A9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февраля 1944 основание компании Southern Airways (20373).</w:t>
      </w:r>
    </w:p>
    <w:p w14:paraId="65B7D598" w14:textId="77777777" w:rsidR="00061A93" w:rsidRPr="00070ADE" w:rsidRDefault="00061A93" w:rsidP="00B56F90">
      <w:pPr>
        <w:spacing w:after="0" w:line="240" w:lineRule="auto"/>
        <w:jc w:val="both"/>
        <w:rPr>
          <w:rFonts w:ascii="Times New Roman" w:hAnsi="Times New Roman"/>
          <w:color w:val="000000" w:themeColor="text1"/>
          <w:sz w:val="16"/>
          <w:szCs w:val="16"/>
        </w:rPr>
      </w:pPr>
    </w:p>
    <w:p w14:paraId="6A2A4F8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февраля 1944 Немецкие войска развернули крупное наступление против освобожденных районов НОАА из р-на г.Эльбасан в направлении албано-греческой границы (7594).</w:t>
      </w:r>
    </w:p>
    <w:p w14:paraId="743B0B6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320C5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февраля 1944 польскими партизанами убит шеф варшавского гестапо генерал Франц Кучера (4962).</w:t>
      </w:r>
    </w:p>
    <w:p w14:paraId="53106B34"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ED7E8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февраля 1944 фашистами обнаружены в Англии приготовления массового вторжения во Францию первой американской группы войск (на самом деле немцы были введены в заблуждение) (4962).</w:t>
      </w:r>
    </w:p>
    <w:p w14:paraId="2D1D178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1C7F3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февраля 1944 французскими партизанами создан единый штаб антифашистского Сопротивления (4962).</w:t>
      </w:r>
    </w:p>
    <w:p w14:paraId="704A484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C30AE7"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февраля</w:t>
      </w:r>
      <w:r w:rsidRPr="00070ADE">
        <w:rPr>
          <w:rFonts w:ascii="Times New Roman" w:hAnsi="Times New Roman"/>
          <w:color w:val="000000" w:themeColor="text1"/>
          <w:sz w:val="16"/>
          <w:szCs w:val="16"/>
        </w:rPr>
        <w:t xml:space="preserve"> в 1944 году на Тихом океане американские войска вступают в ожесточенное сражение (до 7 февраля), в котором они отобьют у японцев атолл Кваджалейн (Маршалловы острова) (15027).</w:t>
      </w:r>
    </w:p>
    <w:p w14:paraId="118634BC" w14:textId="77777777" w:rsidR="004B3057" w:rsidRPr="00070ADE" w:rsidRDefault="004B3057" w:rsidP="00B56F90">
      <w:pPr>
        <w:spacing w:after="0" w:line="240" w:lineRule="auto"/>
        <w:jc w:val="both"/>
        <w:rPr>
          <w:rFonts w:ascii="Times New Roman" w:hAnsi="Times New Roman"/>
          <w:color w:val="000000" w:themeColor="text1"/>
          <w:sz w:val="16"/>
          <w:szCs w:val="16"/>
        </w:rPr>
      </w:pPr>
    </w:p>
    <w:p w14:paraId="64A1CAAA"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2DE8C8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687F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 1944 года директор и гл. конструктор завода N 115 А. Яковлев писал письмо N 96с Шахурину.</w:t>
      </w:r>
    </w:p>
    <w:p w14:paraId="01E7912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Вашему приказу N 523сс от 31/VIII-43 года завод N 115 обязан изготовить и предъявить на гос. испытания один экземпляр высотного истребителя ЯК-9 с мотором М-105ПД с боевой высотой 13,5 тыс. м.</w:t>
      </w:r>
    </w:p>
    <w:p w14:paraId="2BB7334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Изучение вопроса о возможности повышения потолка до 13,5 тыс. м показывает, что достигнутая высота - 13 тыс. м для серийного самолета ЯК-9 с мотором М-105ПД является почти предельной.</w:t>
      </w:r>
    </w:p>
    <w:p w14:paraId="2E37A6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Задача дальнейшего повышения потолка до 13,5 тыс. м потребует весьма значительного изменения конструкции и займет большой период времени на проектирование и постройку самолета.</w:t>
      </w:r>
    </w:p>
    <w:p w14:paraId="28032BC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снять с плана завода N 115 изготовление высотного самолета ЯК-9 с мотором М-105ПД по приказу N 523сс (2562,52).</w:t>
      </w:r>
    </w:p>
    <w:p w14:paraId="1CB3F3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9F85C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 1944 года Як-3 ВК-107А №2 предъявили в НИИ ВВС.</w:t>
      </w:r>
    </w:p>
    <w:p w14:paraId="08DC265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января 1944 года, на аэродром выкатили второй прототип Як-3 ВК-107А "Дублер", как тогда было принято называть такие машины. На этом самолете изначально, еще на стадии проектирования и постройки, применили все технические решения, ставшие основой для переделок первого опытного экземпляра машины. Радикальным изменениям подверглись только фонарь кабины пилота, которому придали более обтекаемую форму, и установка вооружения с двумя опытными синхронными пушками Б-20. При этом полетный вес второго прототипа по сравнению с предшественником практически не изменился - 2932 кг. Соответственно одинаковыми были и летные данные. Максимальная скорость у земли Як-3 ВК-107А № 1 до модификации была равной 611 км/ч, а у №2 - 610 км/ч (из-за неблагоприятных метеоусловий "Дублер" был облетан и проверен только на малых высотах). Заводские испытания, проведенные с 25 по 29 января 1944 года, показали, что основные дефекты, выявленные на первом прототипе, устранены и самолет может быть предъявлен на государственные испытания.</w:t>
      </w:r>
    </w:p>
    <w:p w14:paraId="00B7CB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же февраля заводской пилот выполнил два полета на проверку работы винта ВИШ-107 (во время заводских испытаний была отмечена тряска винта на полных оборотах мотора). Характеристика винтомоторной группы осталась неизменной, и в НИИ ВВС самолет поступил с винтом АВ-10п-20. Государственные испытания начались 7 февраля и продолжались по 15 мая 1944 года. Ведущими по машине были инженер Г.А. Седов, летчики Ю.А. Антипов и А.Г. Про- шаков.</w:t>
      </w:r>
    </w:p>
    <w:p w14:paraId="2615E67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несколько возросший полетный вес (как за счет установки нового винта, так и введения в крыло проти- вофлаттерных грузов), летные данные машины остались неизменными. При боевой мощности мотора (допускалось 3200 оборотов в минуту в течение получаса) максимальная скорость горизонтального полета на второй границе высотности мотора 5750 метров составила 720 км/ч (717 км/ч на высоте 6000 метров у первого прототипа). Если горизонтальная маневренность машины осталась на уровне серийных образцов Як-3, то на вертикалях самолету не стало равных среди отечественных и среди зарубежных истребителей. Достаточно сказать, что за боевой разворот второй опытный экземпляр Як-3 ВК-107А поднимался на 1400-1500 метров.</w:t>
      </w:r>
    </w:p>
    <w:p w14:paraId="31360C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цель создания истребителя завоевания господства в воздухе можно было бы считать достигнутой, если бы не два обстоятельства. Первое из них - крайне ненадежная работа двигателя ВК- 107А. За время испытаний сменили три мотора из-за разрушения коренных подшипников. При назначенном ресурсе в 50 часов первые два двигателя 337-й и 347-й серий отработали лишь 15 часов 20 минут и 9 часов 20 минут соответственно. Третий мотор 347-й серии с назначенным ресурсом 100 часов, наработал с начала эксплуатации лишь четыре часа (!), из которых в воздухе - 40 минут. Четвертый двигатель успел наработать только 23 часа 34 минуты, прошел в процессе испытаний ремонт с заменой блока и тоже был снят по причине разрушения коренных подшипников. Сильная тряска на пониженных оборотах мотора при его дросселировании выше границы высотности, течь масла через переднее уплотнение редуктора, падение давления масла ниже допустимого на высотах более 8000 метров, перегрев воды и масла в наборе высоты при температуре наружного воздуха у земли +30°С, а в горизонтальном полете - при температуре + 15°С. В полетах отмечалось также самопроизвольное изменение наддува в наборе высоты выше установленных для мотора значений (1090 мм рт.ст. на первой и 1120 мм рт. ст. на второй границе высотности против разрешенных 1060 мм рт. ст.) не повлиявшего тем не менее на его нормальную работу.</w:t>
      </w:r>
    </w:p>
    <w:p w14:paraId="019565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Следует заметить, что двигатель ВК- 107А, как и ВК-105ПФ2, работал на бензинах 4Б-78 и 1 Б-95 с октановыми числами 95 и 96.</w:t>
      </w:r>
    </w:p>
    <w:p w14:paraId="5B73402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Вторым существенным недостатком явилась неудовлетворительная работа опытных пушек Б-20 и низкая прочность их креплений (были использованы серийные узлы для пулеметов УБС).</w:t>
      </w:r>
    </w:p>
    <w:p w14:paraId="6F71B3B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Як-3 "Дублер" с двигателем ВК-107А, выпуска зав. №115, проходил государственные испытания с винтами АВ- 10п-20 и ВИШ-107ЛО с февраля по май 1944 г.</w:t>
      </w:r>
    </w:p>
    <w:p w14:paraId="7809158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своем заключении специалисты НИИ ВВС отметили необходимость доводки самолета, и прежде всего силовой установки, до внедрения его в серийное производство. В противном случае исключалась нормальная эксплуатация самолета с поддержанием необходимого уровня боеготовности в строевых частях. </w:t>
      </w:r>
    </w:p>
    <w:p w14:paraId="0F8BBAF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Доводку второго прототипа завершили силами ОКБ и облетали 3 июля 1944 года. Однако на дополнительные государственные испытания, проходившие с 13 июля по 20 августа 1944 года, предъявили модифицированный по типу второй машины Як-3 ВК-107А№1. Принятыми мерами удалось устранить ряд дефектов. Однако основные недостатки: перегрев воды и масла, течь масла из переднего уплотнения редуктора мотора, большие нагрузки на ручку управления от элеронов и руля высоты, недостаточный противокапотажный угол (смещением кабины пилота добились увеличения противокапотажного угла с 19,5 до 23 градусов при требуемых ВВС 26 градусов) и недостаточная дальность радиопередачи с самолета остались неустраненными. Входе испытаний мотор417-й серии из-за ненадежной работы на высоте более 3000 метров заменили двигателем 427-й серии, который работал практически без перебоев, но выше 7700 метров давление топлива на нем падало ниже допустимого уровня.</w:t>
      </w:r>
    </w:p>
    <w:p w14:paraId="7E90E80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К моменту окончания испытаний опытного Як-3 В К- 107А еще только-только удалось наладить серийное производство его базовой модели с мотором ВК-105ПФ-2. Не меньшие трудности испытывали и заводы, приступившие к серийному выпуску Як-9У с ВК-107А. Поэтому решение о запуске новой модификации в серийное производство было отложено до конца года (12047).</w:t>
      </w:r>
    </w:p>
    <w:p w14:paraId="182335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16AC884" w14:textId="77777777" w:rsidR="00F87FFC" w:rsidRPr="00070ADE" w:rsidRDefault="00F87F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 1944 г. лет</w:t>
      </w:r>
      <w:r w:rsidRPr="00070ADE">
        <w:rPr>
          <w:rFonts w:ascii="Times New Roman" w:hAnsi="Times New Roman"/>
          <w:color w:val="000000" w:themeColor="text1"/>
          <w:sz w:val="16"/>
          <w:szCs w:val="16"/>
        </w:rPr>
        <w:softHyphen/>
        <w:t>чик-испытатель Георгий Михайлович Шия</w:t>
      </w:r>
      <w:r w:rsidRPr="00070ADE">
        <w:rPr>
          <w:rFonts w:ascii="Times New Roman" w:hAnsi="Times New Roman"/>
          <w:color w:val="000000" w:themeColor="text1"/>
          <w:sz w:val="16"/>
          <w:szCs w:val="16"/>
        </w:rPr>
        <w:softHyphen/>
        <w:t>нов совершил первый полет на машине 3Б - эталон Ла-5 1944 года в рамках завод</w:t>
      </w:r>
      <w:r w:rsidRPr="00070ADE">
        <w:rPr>
          <w:rFonts w:ascii="Times New Roman" w:hAnsi="Times New Roman"/>
          <w:color w:val="000000" w:themeColor="text1"/>
          <w:sz w:val="16"/>
          <w:szCs w:val="16"/>
        </w:rPr>
        <w:softHyphen/>
        <w:t>ских испытаний, которые проходили с при</w:t>
      </w:r>
      <w:r w:rsidRPr="00070ADE">
        <w:rPr>
          <w:rFonts w:ascii="Times New Roman" w:hAnsi="Times New Roman"/>
          <w:color w:val="000000" w:themeColor="text1"/>
          <w:sz w:val="16"/>
          <w:szCs w:val="16"/>
        </w:rPr>
        <w:softHyphen/>
        <w:t>влечением специалистов ЛИИ, присутствие которых вскоре сыграло важную роль в судь</w:t>
      </w:r>
      <w:r w:rsidRPr="00070ADE">
        <w:rPr>
          <w:rFonts w:ascii="Times New Roman" w:hAnsi="Times New Roman"/>
          <w:color w:val="000000" w:themeColor="text1"/>
          <w:sz w:val="16"/>
          <w:szCs w:val="16"/>
        </w:rPr>
        <w:softHyphen/>
        <w:t>бе нового самолета. Эталон продемонстриро</w:t>
      </w:r>
      <w:r w:rsidRPr="00070ADE">
        <w:rPr>
          <w:rFonts w:ascii="Times New Roman" w:hAnsi="Times New Roman"/>
          <w:color w:val="000000" w:themeColor="text1"/>
          <w:sz w:val="16"/>
          <w:szCs w:val="16"/>
        </w:rPr>
        <w:softHyphen/>
        <w:t>вал высокие летные характеристики. По мак</w:t>
      </w:r>
      <w:r w:rsidRPr="00070ADE">
        <w:rPr>
          <w:rFonts w:ascii="Times New Roman" w:hAnsi="Times New Roman"/>
          <w:color w:val="000000" w:themeColor="text1"/>
          <w:sz w:val="16"/>
          <w:szCs w:val="16"/>
        </w:rPr>
        <w:softHyphen/>
        <w:t>симальной скорости на разных высотах он превосходил Ла-5ФН по крайней мере на 30</w:t>
      </w:r>
      <w:r w:rsidRPr="00070ADE">
        <w:rPr>
          <w:rFonts w:ascii="Times New Roman" w:hAnsi="Times New Roman"/>
          <w:color w:val="000000" w:themeColor="text1"/>
          <w:sz w:val="16"/>
          <w:szCs w:val="16"/>
        </w:rPr>
        <w:softHyphen/>
        <w:t>35 км/ч. Всего через две недели 15 февраля самолет перегнали в НИИ ВВС на государст</w:t>
      </w:r>
      <w:r w:rsidRPr="00070ADE">
        <w:rPr>
          <w:rFonts w:ascii="Times New Roman" w:hAnsi="Times New Roman"/>
          <w:color w:val="000000" w:themeColor="text1"/>
          <w:sz w:val="16"/>
          <w:szCs w:val="16"/>
        </w:rPr>
        <w:softHyphen/>
        <w:t>венные испытания (24194).</w:t>
      </w:r>
    </w:p>
    <w:p w14:paraId="689B3CD4" w14:textId="77777777" w:rsidR="00F87FFC" w:rsidRPr="00070ADE" w:rsidRDefault="00F87FFC" w:rsidP="00B56F90">
      <w:pPr>
        <w:spacing w:after="0" w:line="240" w:lineRule="auto"/>
        <w:jc w:val="both"/>
        <w:rPr>
          <w:rFonts w:ascii="Times New Roman" w:hAnsi="Times New Roman"/>
          <w:color w:val="000000" w:themeColor="text1"/>
          <w:sz w:val="16"/>
          <w:szCs w:val="16"/>
        </w:rPr>
      </w:pPr>
    </w:p>
    <w:p w14:paraId="74CF4330" w14:textId="77777777" w:rsidR="008C4D27" w:rsidRPr="00C94B78" w:rsidRDefault="008C4D2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 февраля 1944 г. летчик-испытатель Георгий Михайлович Шиянов совершил первый полет на модернизированном самолете Ла-5 «эталон 1944 г.».</w:t>
      </w:r>
    </w:p>
    <w:p w14:paraId="4E518664" w14:textId="77777777" w:rsidR="008C4D27" w:rsidRPr="00C94B78" w:rsidRDefault="008C4D2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 самолете Ла-5 «эталон 1944 г.» удалось еще в большей степени, чем на Ла-5 «206», улучшить аэродинамику. Воздухозаборник нагнетателя перенесли из-под фюзеляжа в корневую часть крыла, уменьшили количество панелей капота двигателя. Снижению лобового сопротивления самолета способствовала лучшая внешняя и внутренняя герметизация винто-моторной группы, а также доработанный стык крыла и фюзеляжа. Для улучшения управляемости самолета относительную площадь триммеров руля высоты увеличили с 20 % до 23 % (по отношению ко всей площади руля направления). В кабине появилась новая ручка управления, форма которой («баранка») напоминала форму ручки управления истребителя Bf 109, был установлен новый воздушный винт ВИШ-105В-4. Чтобы улучшить «проходимость» самолета на рулежке по тяжелым грунтам ход амортизаторов основных стоек шасси увеличили на 80 мм, до 220 мм. Учитывая ряд катастроф, произошедших с Ла-5, на «эталоне 1944 г.» в задней части фонаря кабины поставили противокапотажную раму. Рама могла спасти жизнь летчику, если самолет переворачивался на взлете или посадке (к сожалению, на серийных машинах рамы так и не появились, из-за чего погиб не один летчик, включая знаменитого аса А.Ф. Клубова из 9-го ГИАП).</w:t>
      </w:r>
    </w:p>
    <w:p w14:paraId="289D9135" w14:textId="77777777" w:rsidR="008C4D27" w:rsidRPr="00C94B78" w:rsidRDefault="008C4D2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Уже первые полученные результаты выглядели вполне приемлимыми — скорость у земли 597 км/ч, на высоте 6000 м — 680 км/ч. Первоначальный облет самолета провели в очень короткий срок — за пять дней (25058).</w:t>
      </w:r>
    </w:p>
    <w:p w14:paraId="3FD860CA" w14:textId="77777777" w:rsidR="008C4D27" w:rsidRPr="00C94B78" w:rsidRDefault="008C4D27" w:rsidP="00B56F90">
      <w:pPr>
        <w:spacing w:after="0" w:line="240" w:lineRule="auto"/>
        <w:jc w:val="both"/>
        <w:rPr>
          <w:rFonts w:ascii="Times New Roman" w:hAnsi="Times New Roman"/>
          <w:color w:val="0070C0"/>
          <w:sz w:val="16"/>
          <w:szCs w:val="16"/>
        </w:rPr>
      </w:pPr>
    </w:p>
    <w:p w14:paraId="19D210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 1944 года вышел приказ НКАП</w:t>
      </w:r>
    </w:p>
    <w:p w14:paraId="2ADCFF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 директором завода № 447 Наджаряна В.А. (8925)</w:t>
      </w:r>
    </w:p>
    <w:p w14:paraId="7B38C0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 1944 г. летчик-испытатель Георгий Михайлович Шиянов совершил первый полет на модернизированном истребителе Ла-5, на котором учли все рекомендации ЦАГИ: была проведена внешняя и внутренняя герметизация винто-мотор-ной группы и планера, установлены щитки, полностью закрывающие ниши шасси, маслорадиатор перенесен под фюзеляж, а всасывающие патрубки нагнетателя - в носок центроплана, улучшена форма зализов между крылом и фюзеляжем, сокращено количество крышек капота и уменьшен размер подвижных боковых створок; за счет установки аэродинамических компенсаторов на рулях высоты удалось уменьшить усилия на ручке управления на 20-23%. "Эталон" получил усиленное вооружение из трех 20-мм пушек Березина УБ-20 с боезапасом по 150 снарядов на ствол. Всего через две недели -16 февраля - самолет передали на государственные испытания (4707).</w:t>
      </w:r>
    </w:p>
    <w:p w14:paraId="4B2B59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07349B"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47A14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730A7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 1944 г. было подготовлено СООБЩЕНИЕ НАЧАЛЬНИКА УЭТ ГБТУ КА НАЧАЛЬНИКУ ТУ ГБТУ КА ПО УЛУЧШЕНИЮ КОНСТРУКЦИИ ТАНКА Т-34 И ЕГО ВООРУЖЕНИЯ № 542098</w:t>
      </w:r>
    </w:p>
    <w:p w14:paraId="0A6535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сем препровождаю выписки предложений по улучшению конструкции танка Т-34 и его вооружения из отчетов отделов эксплуатации УК БТ и МВ 3-го Украинского и 2-го Украинского фронтов за декабрь месяц 1943 года.</w:t>
      </w:r>
    </w:p>
    <w:p w14:paraId="67B9813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Из отчета ОЭ УК БТ и МВ 3-го Украинского фронта:</w:t>
      </w:r>
    </w:p>
    <w:p w14:paraId="529E089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 конструкции командирской башенки, установленной в танке Т-34.</w:t>
      </w:r>
    </w:p>
    <w:p w14:paraId="13BBA5B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Командирская башенка, установленная на танке Т-34, не обеспечивает кругового обзора командиру машины ввиду того, что смотровые щели расположены слишком высоко и при закры</w:t>
      </w:r>
      <w:r w:rsidRPr="00070ADE">
        <w:rPr>
          <w:rFonts w:ascii="Times New Roman" w:hAnsi="Times New Roman"/>
          <w:color w:val="000000" w:themeColor="text1"/>
          <w:sz w:val="16"/>
          <w:szCs w:val="16"/>
        </w:rPr>
        <w:softHyphen/>
        <w:t>том люке совершенно лишают возможности вести наблюдение из башни (зрачки глаз оказывают</w:t>
      </w:r>
      <w:r w:rsidRPr="00070ADE">
        <w:rPr>
          <w:rFonts w:ascii="Times New Roman" w:hAnsi="Times New Roman"/>
          <w:color w:val="000000" w:themeColor="text1"/>
          <w:sz w:val="16"/>
          <w:szCs w:val="16"/>
        </w:rPr>
        <w:softHyphen/>
        <w:t>ся много ниже щелей). С другой стороны, наличие башенки мешает вести круговое наблюдение через ПТ-4-7. Кроме того, смотровые щели узки.</w:t>
      </w:r>
    </w:p>
    <w:p w14:paraId="20D19E7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Предлагается: в командирской башенке Т-34 установить зеркальные перископы по типу танка КВ-1с. Это даст возможность уменьшить размер башни и улучшить наблюдение.</w:t>
      </w:r>
    </w:p>
    <w:p w14:paraId="24BA446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Крышка люка командирской башенки, состоящая из двух половин, тяжела и неудобна, кроме того, имеет неудачный и трудно открываемый запор. На открывание запора и крышки башенки тра</w:t>
      </w:r>
      <w:r w:rsidRPr="00070ADE">
        <w:rPr>
          <w:rFonts w:ascii="Times New Roman" w:hAnsi="Times New Roman"/>
          <w:color w:val="000000" w:themeColor="text1"/>
          <w:sz w:val="16"/>
          <w:szCs w:val="16"/>
        </w:rPr>
        <w:softHyphen/>
        <w:t>тится много времени. В случае ранения командира машины, это ведет почти всегда к его гибели.</w:t>
      </w:r>
    </w:p>
    <w:p w14:paraId="18DE19B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Необходимо сделать крышку из одной половины и легко открываемую.</w:t>
      </w:r>
    </w:p>
    <w:p w14:paraId="1B8CC76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Имеются случаи пробивания командирской башенки с самолетов противника, так как башенка не имеет достаточно удобной формы для рикошетирования пуль и имеет недостаточную толщину брони.</w:t>
      </w:r>
    </w:p>
    <w:p w14:paraId="02CAE9C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Введение зеркальных перископов даст возможность уменьшить высоту башни и сделать ее обте</w:t>
      </w:r>
      <w:r w:rsidRPr="00070ADE">
        <w:rPr>
          <w:rFonts w:ascii="Times New Roman" w:hAnsi="Times New Roman"/>
          <w:color w:val="000000" w:themeColor="text1"/>
          <w:sz w:val="16"/>
          <w:szCs w:val="16"/>
        </w:rPr>
        <w:softHyphen/>
        <w:t>каемой формы.</w:t>
      </w:r>
    </w:p>
    <w:p w14:paraId="3D76461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Десантный люк танка Т-34 неудобен тем, что открывается вниз путем отворачивания гаек кре</w:t>
      </w:r>
      <w:r w:rsidRPr="00070ADE">
        <w:rPr>
          <w:rFonts w:ascii="Times New Roman" w:hAnsi="Times New Roman"/>
          <w:color w:val="000000" w:themeColor="text1"/>
          <w:sz w:val="16"/>
          <w:szCs w:val="16"/>
        </w:rPr>
        <w:softHyphen/>
        <w:t>пления его к днищу. Необходимо, чтобы десантный люк открывался во внутрь машины и откидывал</w:t>
      </w:r>
      <w:r w:rsidRPr="00070ADE">
        <w:rPr>
          <w:rFonts w:ascii="Times New Roman" w:hAnsi="Times New Roman"/>
          <w:color w:val="000000" w:themeColor="text1"/>
          <w:sz w:val="16"/>
          <w:szCs w:val="16"/>
        </w:rPr>
        <w:softHyphen/>
        <w:t>ся вправо, имея простой, удобный и легко открываемый замок, учитывая при конструировании люка возможность срыва его взрывной волной, а также и его герметичность (не пропускал бы воду).</w:t>
      </w:r>
    </w:p>
    <w:p w14:paraId="7D6BA3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Спусковые механизмы, установленные на наших машинах, слишком медленны в действии, что влечет потерю цели при движении танков. Кроме того, они часто отказывают в своей работе.</w:t>
      </w:r>
    </w:p>
    <w:p w14:paraId="257D3F4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Желательно установление на наших пушках спусковых механизмов электроспуска по типу немецкого танка «Артштурм» или английских танков «Матильда» и «Валентин».</w:t>
      </w:r>
    </w:p>
    <w:p w14:paraId="50F046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крайнем случае, установить на подъемном и поворотном механизмах ручные спусковые меха</w:t>
      </w:r>
      <w:r w:rsidRPr="00070ADE">
        <w:rPr>
          <w:rFonts w:ascii="Times New Roman" w:hAnsi="Times New Roman"/>
          <w:color w:val="000000" w:themeColor="text1"/>
          <w:sz w:val="16"/>
          <w:szCs w:val="16"/>
        </w:rPr>
        <w:softHyphen/>
        <w:t>низмы, по типу немецких танков Т-4.</w:t>
      </w:r>
    </w:p>
    <w:p w14:paraId="2CDCDE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Прицельные приспособления. Существующий диоптрический прицел у пулеметчика-радиста дает очень малый угол зрения. Отыскивание целей через него затруднено и опытные стрелки-ради</w:t>
      </w:r>
      <w:r w:rsidRPr="00070ADE">
        <w:rPr>
          <w:rFonts w:ascii="Times New Roman" w:hAnsi="Times New Roman"/>
          <w:color w:val="000000" w:themeColor="text1"/>
          <w:sz w:val="16"/>
          <w:szCs w:val="16"/>
        </w:rPr>
        <w:softHyphen/>
        <w:t>сты ими не пользуются, ведут наблюдение и корректирование огня через верхний, имеющийся у механика-водителя, зеркальный перископ по разрывам пуль (КБ-1с).</w:t>
      </w:r>
    </w:p>
    <w:p w14:paraId="305BC12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танке Т-34 стрелок-радист находится в еще более тяжелом положении.</w:t>
      </w:r>
    </w:p>
    <w:p w14:paraId="4B0EB4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Необходимо изменить прицел пулеметчика-радиста, установить либо снайперский оптический прицел, либо перископический прицел. Во всех перископических прицелах необходимо ввести при</w:t>
      </w:r>
      <w:r w:rsidRPr="00070ADE">
        <w:rPr>
          <w:rFonts w:ascii="Times New Roman" w:hAnsi="Times New Roman"/>
          <w:color w:val="000000" w:themeColor="text1"/>
          <w:sz w:val="16"/>
          <w:szCs w:val="16"/>
        </w:rPr>
        <w:softHyphen/>
        <w:t>бор очистки защитного стекла в непогоду и снегопад.</w:t>
      </w:r>
    </w:p>
    <w:p w14:paraId="0E2A258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Запасные траки на танке Т-34 расположены на крыльях. Опыт боев показал, что крылья сби</w:t>
      </w:r>
      <w:r w:rsidRPr="00070ADE">
        <w:rPr>
          <w:rFonts w:ascii="Times New Roman" w:hAnsi="Times New Roman"/>
          <w:color w:val="000000" w:themeColor="text1"/>
          <w:sz w:val="16"/>
          <w:szCs w:val="16"/>
        </w:rPr>
        <w:softHyphen/>
        <w:t>вают в первом же бою, вместе с ними сбивают и траки. Подбитый в бою танк из-за неверного раз</w:t>
      </w:r>
      <w:r w:rsidRPr="00070ADE">
        <w:rPr>
          <w:rFonts w:ascii="Times New Roman" w:hAnsi="Times New Roman"/>
          <w:color w:val="000000" w:themeColor="text1"/>
          <w:sz w:val="16"/>
          <w:szCs w:val="16"/>
        </w:rPr>
        <w:softHyphen/>
        <w:t>мещения траков в нужный момент остается без них.</w:t>
      </w:r>
    </w:p>
    <w:p w14:paraId="01EEB2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Необходимо траки располагать на задней наклонной броне, т.е. в месте наименее подверженном воздействию огня противника.</w:t>
      </w:r>
    </w:p>
    <w:p w14:paraId="3D4CD3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Запасные баки, установленные на заднем листе танка Т-34 заводом №184, неудобны для их дальнейшего использования. После снятия с танка их выбрасывают, ввиду неудобной угловатой формы. Наиболее удобные баки устанавливаются Кировским заводом, которые и необходимо при</w:t>
      </w:r>
      <w:r w:rsidRPr="00070ADE">
        <w:rPr>
          <w:rFonts w:ascii="Times New Roman" w:hAnsi="Times New Roman"/>
          <w:color w:val="000000" w:themeColor="text1"/>
          <w:sz w:val="16"/>
          <w:szCs w:val="16"/>
        </w:rPr>
        <w:softHyphen/>
        <w:t>нять для изготовления всем заводам. На баках желательно для быстрого опознания сделать надписи: «масло», «топливо».</w:t>
      </w:r>
    </w:p>
    <w:p w14:paraId="475349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Для обеспечения маскировки подбитого танка и выхода из него экипажа, необходимо на тан</w:t>
      </w:r>
      <w:r w:rsidRPr="00070ADE">
        <w:rPr>
          <w:rFonts w:ascii="Times New Roman" w:hAnsi="Times New Roman"/>
          <w:color w:val="000000" w:themeColor="text1"/>
          <w:sz w:val="16"/>
          <w:szCs w:val="16"/>
        </w:rPr>
        <w:softHyphen/>
        <w:t>ках последующих выпусков установить мортиры с дымовыми шашками.</w:t>
      </w:r>
    </w:p>
    <w:p w14:paraId="614429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Выбрасывание дымовых шашек обеспечит выход экипажа из подбитого танка. Кроме того, дымовая завеса сыграет большую роль после прорыва укрепленной полосы противника в момент углубления в его оборону, маскируя танк от глаз расчета уже прошедших огневых точек.</w:t>
      </w:r>
    </w:p>
    <w:p w14:paraId="0EF7F0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Желательно на танках Т-34 ввести дополнительную экранировку бортов с воздушными про</w:t>
      </w:r>
      <w:r w:rsidRPr="00070ADE">
        <w:rPr>
          <w:rFonts w:ascii="Times New Roman" w:hAnsi="Times New Roman"/>
          <w:color w:val="000000" w:themeColor="text1"/>
          <w:sz w:val="16"/>
          <w:szCs w:val="16"/>
        </w:rPr>
        <w:softHyphen/>
        <w:t>межутками. Эту экранировку расположить по наклонным местам подбашенной коробки.</w:t>
      </w:r>
    </w:p>
    <w:p w14:paraId="58D368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Необходимо на танках Т-34 установить пушку Д-5 85 мм. В дальнейшем обязательно примене</w:t>
      </w:r>
      <w:r w:rsidRPr="00070ADE">
        <w:rPr>
          <w:rFonts w:ascii="Times New Roman" w:hAnsi="Times New Roman"/>
          <w:color w:val="000000" w:themeColor="text1"/>
          <w:sz w:val="16"/>
          <w:szCs w:val="16"/>
        </w:rPr>
        <w:softHyphen/>
        <w:t>ние пушки с увеличенной начальной скоростью. При установке пушки Д-5 учесть:</w:t>
      </w:r>
    </w:p>
    <w:p w14:paraId="416186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Исключение возможности утыкания ствола пушки при движении танка по пересеченной местности;</w:t>
      </w:r>
    </w:p>
    <w:p w14:paraId="5561CA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Необходимость обязательной экранировки ствола пушки.</w:t>
      </w:r>
    </w:p>
    <w:p w14:paraId="239594B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Зеркальные стеклянные перископы необходимо заменить на металлические.</w:t>
      </w:r>
    </w:p>
    <w:p w14:paraId="3C77C43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Из отчета ОЭ УК БТ и МВ 2-го Украинского фронта:</w:t>
      </w:r>
    </w:p>
    <w:p w14:paraId="59AF5C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«Командирская башенка танка Т-34 до сего времени себя не оправдывает, так как она легко про</w:t>
      </w:r>
      <w:r w:rsidRPr="00070ADE">
        <w:rPr>
          <w:rFonts w:ascii="Times New Roman" w:hAnsi="Times New Roman"/>
          <w:color w:val="000000" w:themeColor="text1"/>
          <w:sz w:val="16"/>
          <w:szCs w:val="16"/>
        </w:rPr>
        <w:softHyphen/>
        <w:t>бивается даже мелкокалиберной артиллерией противника, люк ее часто заклинивается в бою, что ведет к выводу из строя и изоляции командира танка».</w:t>
      </w:r>
    </w:p>
    <w:p w14:paraId="37806BF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«Более удобным и значительно облегчающим пользование надо считать открытие люка коман</w:t>
      </w:r>
      <w:r w:rsidRPr="00070ADE">
        <w:rPr>
          <w:rFonts w:ascii="Times New Roman" w:hAnsi="Times New Roman"/>
          <w:color w:val="000000" w:themeColor="text1"/>
          <w:sz w:val="16"/>
          <w:szCs w:val="16"/>
        </w:rPr>
        <w:softHyphen/>
        <w:t>дирской башенки танка Т-34 не вверх на горизонтальных шарнирах, а в сторону на вертикальном шарнире (по примеру люков немецкого танка «Пантера»)».</w:t>
      </w:r>
    </w:p>
    <w:p w14:paraId="54BBC6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 указанные предложения прошу дать Ваше заключение и выслать его на имя помощников командующих БТ и МВ 3-го Украинского и 2-го Украинского фронтов, копию — в УЭТ ГБТУ КА.</w:t>
      </w:r>
    </w:p>
    <w:p w14:paraId="42B1F4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УЭТ ГБТУ КА генерал-майор инженерно-танковой службы Печеникин</w:t>
      </w:r>
    </w:p>
    <w:p w14:paraId="3FEF25C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Врид. начальника 1 -го отдела УЭТ ГБТУ КА инженер-майор Маслий</w:t>
      </w:r>
    </w:p>
    <w:p w14:paraId="5489E97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2282. Л. 2 - 3. Подлинник (11403).</w:t>
      </w:r>
    </w:p>
    <w:p w14:paraId="49CE32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6E826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 1944 г. была подготовлена ДОКЛАДНАЯ ЗАПИСКА ЗАМЕСТИТЕЛЯ НАЧАЛЬНИКА ГБТУ КА НАРОДНОМУ КОМИССАРУ ТАНКОВОЙ ПРОМЫШЛЕННОСТИ СССР МАЛЫШЕВУ ПО ИСПЫТАНИЮ НА ГАРАНТИЙНЫЙ КИЛОМЕТРАЖ ТАНКА ИС № 520493</w:t>
      </w:r>
    </w:p>
    <w:p w14:paraId="588DB6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испытании на гарантийный километраж танка ИС, выпуска декабря месяца 1943 года, вышли из строя ряд деталей и агрегатов, которые необходимо заменить.</w:t>
      </w:r>
    </w:p>
    <w:p w14:paraId="4F93F4B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Вашего распоряжения директору Кировского завода т. Зальцман выслать НИБТ поли</w:t>
      </w:r>
      <w:r w:rsidRPr="00070ADE">
        <w:rPr>
          <w:rFonts w:ascii="Times New Roman" w:hAnsi="Times New Roman"/>
          <w:color w:val="000000" w:themeColor="text1"/>
          <w:sz w:val="16"/>
          <w:szCs w:val="16"/>
        </w:rPr>
        <w:softHyphen/>
        <w:t>гону ГБТУ КА комплект планетарных механизмов поворота в сборе и ротный комплект запасных частей для восстановления танка ИС, выпуска декабря месяца 1943 г., и танков намеченных к испы</w:t>
      </w:r>
      <w:r w:rsidRPr="00070ADE">
        <w:rPr>
          <w:rFonts w:ascii="Times New Roman" w:hAnsi="Times New Roman"/>
          <w:color w:val="000000" w:themeColor="text1"/>
          <w:sz w:val="16"/>
          <w:szCs w:val="16"/>
        </w:rPr>
        <w:softHyphen/>
        <w:t>таниям в 1944 году.</w:t>
      </w:r>
    </w:p>
    <w:p w14:paraId="7A1F9B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Одновременно, прошу Вас дать распоряжение директорам заводов о высылке в адрес НИБТ полигона ГБТУ КА по одному полному экземпляру чертежей и технических условий на танк Т-34 и ИС для правильной оценки и более точного определения причин выхода из строя деталей при испы</w:t>
      </w:r>
      <w:r w:rsidRPr="00070ADE">
        <w:rPr>
          <w:rFonts w:ascii="Times New Roman" w:hAnsi="Times New Roman"/>
          <w:color w:val="000000" w:themeColor="text1"/>
          <w:sz w:val="16"/>
          <w:szCs w:val="16"/>
        </w:rPr>
        <w:softHyphen/>
        <w:t>тании танков на гарантийный километраж.</w:t>
      </w:r>
    </w:p>
    <w:p w14:paraId="299765C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принятом Вами решении прошу сообщить.</w:t>
      </w:r>
    </w:p>
    <w:p w14:paraId="302818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0D40A97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2201. Л. 3. Копия (11403).</w:t>
      </w:r>
    </w:p>
    <w:p w14:paraId="04B2E2B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DB0A38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 1944 г. была подготовлена СПРАВКА УСА ГБТУ КА О ХОДЕ ВЫПОЛНЕНИЯ ПОСТАНОВЛЕНИЙ ГКО ЗА ЯНВАРь 1944 г. № 555287</w:t>
      </w:r>
    </w:p>
    <w:tbl>
      <w:tblPr>
        <w:tblW w:w="0" w:type="auto"/>
        <w:tblInd w:w="40" w:type="dxa"/>
        <w:tblLayout w:type="fixed"/>
        <w:tblCellMar>
          <w:left w:w="40" w:type="dxa"/>
          <w:right w:w="40" w:type="dxa"/>
        </w:tblCellMar>
        <w:tblLook w:val="0000" w:firstRow="0" w:lastRow="0" w:firstColumn="0" w:lastColumn="0" w:noHBand="0" w:noVBand="0"/>
      </w:tblPr>
      <w:tblGrid>
        <w:gridCol w:w="4954"/>
        <w:gridCol w:w="4666"/>
      </w:tblGrid>
      <w:tr w:rsidR="004D4663" w:rsidRPr="00070ADE" w14:paraId="1870A7DF" w14:textId="77777777">
        <w:trPr>
          <w:trHeight w:val="269"/>
        </w:trPr>
        <w:tc>
          <w:tcPr>
            <w:tcW w:w="4954" w:type="dxa"/>
            <w:tcBorders>
              <w:top w:val="single" w:sz="6" w:space="0" w:color="auto"/>
              <w:left w:val="single" w:sz="6" w:space="0" w:color="auto"/>
              <w:bottom w:val="single" w:sz="6" w:space="0" w:color="auto"/>
              <w:right w:val="single" w:sz="6" w:space="0" w:color="auto"/>
            </w:tcBorders>
          </w:tcPr>
          <w:p w14:paraId="5C7E67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постановлений и содержание</w:t>
            </w:r>
          </w:p>
          <w:p w14:paraId="7853BF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66" w:type="dxa"/>
            <w:tcBorders>
              <w:top w:val="single" w:sz="6" w:space="0" w:color="auto"/>
              <w:left w:val="single" w:sz="6" w:space="0" w:color="auto"/>
              <w:bottom w:val="single" w:sz="6" w:space="0" w:color="auto"/>
              <w:right w:val="single" w:sz="6" w:space="0" w:color="auto"/>
            </w:tcBorders>
          </w:tcPr>
          <w:p w14:paraId="3FDA331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Выполнение</w:t>
            </w:r>
          </w:p>
          <w:p w14:paraId="30E691B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A184122" w14:textId="77777777">
        <w:trPr>
          <w:trHeight w:val="307"/>
        </w:trPr>
        <w:tc>
          <w:tcPr>
            <w:tcW w:w="4954" w:type="dxa"/>
            <w:tcBorders>
              <w:top w:val="single" w:sz="6" w:space="0" w:color="auto"/>
              <w:left w:val="single" w:sz="6" w:space="0" w:color="auto"/>
              <w:bottom w:val="single" w:sz="6" w:space="0" w:color="auto"/>
              <w:right w:val="single" w:sz="6" w:space="0" w:color="auto"/>
            </w:tcBorders>
          </w:tcPr>
          <w:p w14:paraId="34E4C4B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№ГОКО-3826 от 28.07.1943 г.</w:t>
            </w:r>
          </w:p>
          <w:p w14:paraId="475A9A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66" w:type="dxa"/>
            <w:tcBorders>
              <w:top w:val="single" w:sz="6" w:space="0" w:color="auto"/>
              <w:left w:val="single" w:sz="6" w:space="0" w:color="auto"/>
              <w:bottom w:val="single" w:sz="6" w:space="0" w:color="auto"/>
              <w:right w:val="single" w:sz="6" w:space="0" w:color="auto"/>
            </w:tcBorders>
          </w:tcPr>
          <w:p w14:paraId="79E090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01C6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BE93A2C" w14:textId="77777777">
        <w:trPr>
          <w:trHeight w:val="1277"/>
        </w:trPr>
        <w:tc>
          <w:tcPr>
            <w:tcW w:w="4954" w:type="dxa"/>
            <w:tcBorders>
              <w:top w:val="single" w:sz="6" w:space="0" w:color="auto"/>
              <w:left w:val="single" w:sz="6" w:space="0" w:color="auto"/>
              <w:bottom w:val="single" w:sz="6" w:space="0" w:color="auto"/>
              <w:right w:val="single" w:sz="6" w:space="0" w:color="auto"/>
            </w:tcBorders>
          </w:tcPr>
          <w:p w14:paraId="6F878F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СКВ (Специальное конструкторское бюро) НКСП обязано изготовить: 1 . Опытный образец стабилизатора к пушке Ф-34 танка Т-34 к 15.10.1943 г. 2. Опытный образец стабилизатора к 85-мм пушке танка ИС к 15.11.1943 г.</w:t>
            </w:r>
          </w:p>
          <w:p w14:paraId="3EA13B9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66" w:type="dxa"/>
            <w:tcBorders>
              <w:top w:val="single" w:sz="6" w:space="0" w:color="auto"/>
              <w:left w:val="single" w:sz="6" w:space="0" w:color="auto"/>
              <w:bottom w:val="single" w:sz="6" w:space="0" w:color="auto"/>
              <w:right w:val="single" w:sz="6" w:space="0" w:color="auto"/>
            </w:tcBorders>
          </w:tcPr>
          <w:p w14:paraId="4A770CA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 Образец изготовлен и смонтирован в танк Т-34. На испытание ожидается 4.02.1944 г. 2. Технический проект выполнен, изготавливаются отдельные узлы стабилизатора. Доложено в ГОКО 8.01.1944 г. письмом № 555059с.</w:t>
            </w:r>
          </w:p>
          <w:p w14:paraId="542D60D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020A626" w14:textId="77777777">
        <w:trPr>
          <w:trHeight w:val="278"/>
        </w:trPr>
        <w:tc>
          <w:tcPr>
            <w:tcW w:w="4954" w:type="dxa"/>
            <w:tcBorders>
              <w:top w:val="single" w:sz="6" w:space="0" w:color="auto"/>
              <w:left w:val="single" w:sz="6" w:space="0" w:color="auto"/>
              <w:bottom w:val="single" w:sz="6" w:space="0" w:color="auto"/>
              <w:right w:val="single" w:sz="6" w:space="0" w:color="auto"/>
            </w:tcBorders>
          </w:tcPr>
          <w:p w14:paraId="6D69A5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№ГОКО-4479сс от 31.10.1943 г.</w:t>
            </w:r>
          </w:p>
          <w:p w14:paraId="090EECA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66" w:type="dxa"/>
            <w:tcBorders>
              <w:top w:val="single" w:sz="6" w:space="0" w:color="auto"/>
              <w:left w:val="single" w:sz="6" w:space="0" w:color="auto"/>
              <w:bottom w:val="single" w:sz="6" w:space="0" w:color="auto"/>
              <w:right w:val="single" w:sz="6" w:space="0" w:color="auto"/>
            </w:tcBorders>
          </w:tcPr>
          <w:p w14:paraId="1C98C89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54E6A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BABDF88" w14:textId="77777777">
        <w:trPr>
          <w:trHeight w:val="1277"/>
        </w:trPr>
        <w:tc>
          <w:tcPr>
            <w:tcW w:w="4954" w:type="dxa"/>
            <w:tcBorders>
              <w:top w:val="single" w:sz="6" w:space="0" w:color="auto"/>
              <w:left w:val="single" w:sz="6" w:space="0" w:color="auto"/>
              <w:bottom w:val="single" w:sz="6" w:space="0" w:color="auto"/>
              <w:right w:val="single" w:sz="6" w:space="0" w:color="auto"/>
            </w:tcBorders>
          </w:tcPr>
          <w:p w14:paraId="0F92DC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Обязать НКВ т. Устинова, директора завода № 9 т. Гонор и главного конструктора завода № 9 т. Петрова спроектировать и изготовить к 1 января 1944 г. к пушке Д-25 122-мм клиновой полуавтоматический затвор и совместно с НКТП, ГАУ КА и ГБТУ КА к 15 января 1944 г. провести испытания пушки на полигоне в танке ИС-2.</w:t>
            </w:r>
          </w:p>
          <w:p w14:paraId="102A3B5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66" w:type="dxa"/>
            <w:tcBorders>
              <w:top w:val="single" w:sz="6" w:space="0" w:color="auto"/>
              <w:left w:val="single" w:sz="6" w:space="0" w:color="auto"/>
              <w:bottom w:val="single" w:sz="6" w:space="0" w:color="auto"/>
              <w:right w:val="single" w:sz="6" w:space="0" w:color="auto"/>
            </w:tcBorders>
          </w:tcPr>
          <w:p w14:paraId="3F3235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Пушка с клиновым затвором изготовлена, прошла завод</w:t>
            </w:r>
            <w:r w:rsidRPr="00070ADE">
              <w:rPr>
                <w:rFonts w:ascii="Times New Roman" w:hAnsi="Times New Roman"/>
                <w:color w:val="000000" w:themeColor="text1"/>
                <w:sz w:val="16"/>
                <w:szCs w:val="16"/>
              </w:rPr>
              <w:softHyphen/>
              <w:t>ские испытания и отправлена на завод № 100 для установ</w:t>
            </w:r>
            <w:r w:rsidRPr="00070ADE">
              <w:rPr>
                <w:rFonts w:ascii="Times New Roman" w:hAnsi="Times New Roman"/>
                <w:color w:val="000000" w:themeColor="text1"/>
                <w:sz w:val="16"/>
                <w:szCs w:val="16"/>
              </w:rPr>
              <w:softHyphen/>
              <w:t>ки в танке ИС-2 и последующих испытаний. Доложено ГОКО о невыполнении сроков представления системы на испытание письмом №5551 30с от 17.01.1944 г.</w:t>
            </w:r>
          </w:p>
          <w:p w14:paraId="044C3C2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E63A1F1" w14:textId="77777777">
        <w:trPr>
          <w:trHeight w:val="278"/>
        </w:trPr>
        <w:tc>
          <w:tcPr>
            <w:tcW w:w="4954" w:type="dxa"/>
            <w:tcBorders>
              <w:top w:val="single" w:sz="6" w:space="0" w:color="auto"/>
              <w:left w:val="single" w:sz="6" w:space="0" w:color="auto"/>
              <w:bottom w:val="single" w:sz="6" w:space="0" w:color="auto"/>
              <w:right w:val="single" w:sz="6" w:space="0" w:color="auto"/>
            </w:tcBorders>
          </w:tcPr>
          <w:p w14:paraId="0BAB55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ГОКО-4581СС от 27.12.1943 г.</w:t>
            </w:r>
          </w:p>
          <w:p w14:paraId="470C1FC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66" w:type="dxa"/>
            <w:tcBorders>
              <w:top w:val="single" w:sz="6" w:space="0" w:color="auto"/>
              <w:left w:val="single" w:sz="6" w:space="0" w:color="auto"/>
              <w:bottom w:val="single" w:sz="6" w:space="0" w:color="auto"/>
              <w:right w:val="single" w:sz="6" w:space="0" w:color="auto"/>
            </w:tcBorders>
          </w:tcPr>
          <w:p w14:paraId="372B84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8D14C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C536D77" w14:textId="77777777">
        <w:trPr>
          <w:trHeight w:val="2880"/>
        </w:trPr>
        <w:tc>
          <w:tcPr>
            <w:tcW w:w="4954" w:type="dxa"/>
            <w:tcBorders>
              <w:top w:val="single" w:sz="6" w:space="0" w:color="auto"/>
              <w:left w:val="single" w:sz="6" w:space="0" w:color="auto"/>
              <w:bottom w:val="single" w:sz="6" w:space="0" w:color="auto"/>
              <w:right w:val="single" w:sz="6" w:space="0" w:color="auto"/>
            </w:tcBorders>
          </w:tcPr>
          <w:p w14:paraId="1F4847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Государственный комитет обороны постановляет: 1 . Обязать начальника ГАУ КА т. Яковлеа и командующего БТ и МВ КА т. Федоренко до 30.12.1943 г. провести полигонные испытания 85-мм пушки С-53 и С-50, конструкции ЦАКБ НКВ (т. Грабина), для Т-34 с нормальным и расширенным погоном и 85-мм пушки ЛБ-1 завода № 92 на Т-34 с расширенным погоном. 2. Обязать: а) НКВ (т. Устинова) и ЦАКБ НКВ (т. Грабина) к 1.01.1944 г. представить на полигонные испытания 100-мм пушку С-34, конструкции ЦАКБ НКВ. б) Начальника ГАУ КА т. Яковлева и командующего БТ и МВ КА т. Федоренко к 5.01 1944 г. провести полигонные испытания. Результаты испытаний доложить в ГОКО 7.01.1944 г.</w:t>
            </w:r>
          </w:p>
          <w:p w14:paraId="32DDC0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66" w:type="dxa"/>
            <w:tcBorders>
              <w:top w:val="single" w:sz="6" w:space="0" w:color="auto"/>
              <w:left w:val="single" w:sz="6" w:space="0" w:color="auto"/>
              <w:bottom w:val="single" w:sz="6" w:space="0" w:color="auto"/>
              <w:right w:val="single" w:sz="6" w:space="0" w:color="auto"/>
            </w:tcBorders>
          </w:tcPr>
          <w:p w14:paraId="001FED6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Испытания проведены и закончены 31.12.1943 г. Постановлением ГОКО №4873сс от 1.01.1944 г. для танка Т-34 принята 85-мм танковая пушка образца 1944 г. (С-53), конструкции ЦАКБ НКВ. Производится испытание двух образцов из установочной партии в Гороховце. Испытания закончены 1.02.1944 г. Результаты удовлетво</w:t>
            </w:r>
            <w:r w:rsidRPr="00070ADE">
              <w:rPr>
                <w:rFonts w:ascii="Times New Roman" w:hAnsi="Times New Roman"/>
                <w:color w:val="000000" w:themeColor="text1"/>
                <w:sz w:val="16"/>
                <w:szCs w:val="16"/>
              </w:rPr>
              <w:softHyphen/>
              <w:t>рительные. 2. а) Испытания проведены в период с 22 по 27 января 1944 г. Пушка испытывалась в танке КВ с башней ИС - испы</w:t>
            </w:r>
            <w:r w:rsidRPr="00070ADE">
              <w:rPr>
                <w:rFonts w:ascii="Times New Roman" w:hAnsi="Times New Roman"/>
                <w:color w:val="000000" w:themeColor="text1"/>
                <w:sz w:val="16"/>
                <w:szCs w:val="16"/>
              </w:rPr>
              <w:softHyphen/>
              <w:t>тания выдержала. Отчет представлен, б) Опоздание в испытании вызвано несвоевременной поставкой пушки ЦАКБ НКВ. О задержке в подаче системы на испытание доложено в ГОКО 5.01.1944 г. в письме № 555043 г.</w:t>
            </w:r>
          </w:p>
          <w:p w14:paraId="63E4671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6F1A133" w14:textId="77777777">
        <w:trPr>
          <w:trHeight w:val="278"/>
        </w:trPr>
        <w:tc>
          <w:tcPr>
            <w:tcW w:w="4954" w:type="dxa"/>
            <w:tcBorders>
              <w:top w:val="single" w:sz="6" w:space="0" w:color="auto"/>
              <w:left w:val="single" w:sz="6" w:space="0" w:color="auto"/>
              <w:bottom w:val="single" w:sz="6" w:space="0" w:color="auto"/>
              <w:right w:val="single" w:sz="6" w:space="0" w:color="auto"/>
            </w:tcBorders>
          </w:tcPr>
          <w:p w14:paraId="379B587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№ГОКО-4841сс от 27.12.1943 г.</w:t>
            </w:r>
          </w:p>
          <w:p w14:paraId="5D9E2FE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66" w:type="dxa"/>
            <w:tcBorders>
              <w:top w:val="single" w:sz="6" w:space="0" w:color="auto"/>
              <w:left w:val="single" w:sz="6" w:space="0" w:color="auto"/>
              <w:bottom w:val="single" w:sz="6" w:space="0" w:color="auto"/>
              <w:right w:val="single" w:sz="6" w:space="0" w:color="auto"/>
            </w:tcBorders>
          </w:tcPr>
          <w:p w14:paraId="18A003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A2505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D0921BA" w14:textId="77777777">
        <w:trPr>
          <w:trHeight w:val="1085"/>
        </w:trPr>
        <w:tc>
          <w:tcPr>
            <w:tcW w:w="4954" w:type="dxa"/>
            <w:tcBorders>
              <w:top w:val="single" w:sz="6" w:space="0" w:color="auto"/>
              <w:left w:val="single" w:sz="6" w:space="0" w:color="auto"/>
              <w:bottom w:val="single" w:sz="6" w:space="0" w:color="auto"/>
              <w:right w:val="single" w:sz="6" w:space="0" w:color="auto"/>
            </w:tcBorders>
          </w:tcPr>
          <w:p w14:paraId="5EC2222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мероприятиях по увеличению производства танковых призм на заводах Наркомстройматериалов) План поставки для ГБТУ КА в I квартале 1944 г. Призм Т-34 - 2500 шт. Призм Т-70 - 2500 шт.</w:t>
            </w:r>
          </w:p>
          <w:p w14:paraId="58A613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66" w:type="dxa"/>
            <w:tcBorders>
              <w:top w:val="single" w:sz="6" w:space="0" w:color="auto"/>
              <w:left w:val="single" w:sz="6" w:space="0" w:color="auto"/>
              <w:bottom w:val="single" w:sz="6" w:space="0" w:color="auto"/>
              <w:right w:val="single" w:sz="6" w:space="0" w:color="auto"/>
            </w:tcBorders>
          </w:tcPr>
          <w:p w14:paraId="7653930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в счет IV квартала, 1943 г. отгружено призм Т-34 - 500 шт. и призм Т-70 - 800 шт. В счет I квартала сдача на производилась.</w:t>
            </w:r>
          </w:p>
          <w:p w14:paraId="7F3CDD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25FD46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УСА ГБТУ КА генерал-майор инженерно-танковой службы Алымов</w:t>
      </w:r>
    </w:p>
    <w:p w14:paraId="7163781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11369. Д. 404. Л. 7-8. Копия (11403).</w:t>
      </w:r>
    </w:p>
    <w:p w14:paraId="1002BE9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45624D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 1944 вышло Постановление ГКО № 5084 О сформировании автомобильного полка для вывоза угля с шахт Донбасса, не имеющих подъездных железнодорожных путей. (7181, 149-150).</w:t>
      </w:r>
    </w:p>
    <w:p w14:paraId="07CFDCE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59E4AE"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FA6B6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B393A2"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6933667F"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 февраля на Нарвском направлении наши войска продолжали успешно развивать наступление и заняли более 40 населённых пунктов, в том числе Усть-Луга, Межники, Краколье, Новая Деревня, Волково, Вана-Кюла,Фёдоровка, Дубровка, Монастырёк, Вороново, Черно, Кривая Лука, Боровня, Малая Поля, Никольщина.</w:t>
      </w:r>
    </w:p>
    <w:p w14:paraId="73EFFC43"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Сиверский наши войска вели наступательные бои, в результате которых заняли ряд населённых пунктов.</w:t>
      </w:r>
    </w:p>
    <w:p w14:paraId="58AD8648"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Любань наши войска с боями продвигались вперёд и заняли населённые пункты Тигода, Новая Деревня, Нанежно, Ольховка.</w:t>
      </w:r>
    </w:p>
    <w:p w14:paraId="14056062"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Новгорода наши войска, преодолевая сопротивление и контратаки противника, продолжали вести наступательные бои, в ходе которых заняли несколько населённых пунктов.</w:t>
      </w:r>
    </w:p>
    <w:p w14:paraId="2D4F5C7B"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Новосокольники наши войска с боями продвигались вперёд и заняли населённые пункты Метальниково, Вашково, Горы, Тумаши, Борщово, Терешково, Булавина.</w:t>
      </w:r>
    </w:p>
    <w:p w14:paraId="589B9C18"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 февраля наши войска на всех фронтах подбили и уничтожили 85 немецких танков. В воздушных боях и огнём зенитной артиллерии сбито 64 самолёта противника.</w:t>
      </w:r>
    </w:p>
    <w:p w14:paraId="64C03483"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 Нарвском направлении наши войска продолжали успешное наступление и заняли более 40 населённых пунктов. Части Н-ского соединения за день боёв истребили 1.200 немецких солдат и офицеров. Артиллерия, поддерживающая действия пехотных частей, уничтожила 9 немецких танков, 6 артиллерийских батарей и 2 батареи шестиствольных миномётов. Советские артиллеристы, кроме того, обстреляли отступавшие колонны немцев и уничтожили 60 автомашин с вражеской пехотой.</w:t>
      </w:r>
    </w:p>
    <w:p w14:paraId="3CAB5FBB"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станции Сиверский наши войска вели наступательные бои и заняли ряд населённых пунктов. Овладев одним сильно укреплённым узлом вражеской обороны, наши бойцы захватили 30 орудий, из них 4 самоходных типа «Фердинанд», 150 автомашин, 50 мотоциклов, 30 тягачей с прицепами, 13 радиостанций, 15 складов с боеприпасами, горючим и военными материалами, свыше 4 тысяч авиабомб и другие трофеи.</w:t>
      </w:r>
    </w:p>
    <w:p w14:paraId="1584501E"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Любань наши войска с боями продвигались вперёд. Бойцы Н-ской части, пробравшись через болота, вышли в тыл немцев и разгромили отступавшую колонну противника. На поле боя осталось до 500 вражеских трупов. Захвачено несколько шестиствольных миномётов, много пулемётов, автоматов и до 200 повозок с военными грузами. В другом районе взята в плен значительная группа гитлеровцев, скрывавшаяся в лесах.</w:t>
      </w:r>
    </w:p>
    <w:p w14:paraId="100257CF"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Новгорода немцы, подтянув крупные подкрепления, неоднократно переходили в контратаки. Части Н-ского соединения отразили контратаки гитлеровцев и, с боями продвигаясь вперёд, заняли несколько населённых пунктов. Уничтожено до 600 немецких солдат и офицеров. На другом участке наши подвижные отряды внезапной атакой овладели опорным пунктом противника и захватили 11 орудий и другие трофеи.</w:t>
      </w:r>
    </w:p>
    <w:p w14:paraId="44EF498F"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Новосокольники наши войска вели наступательные бои и, преодолевая упорное сопротивление противника, овладели несколькими населёнными пунктами. На другом участке советские подразделения перерезали шоссейную дорогу, имеющую для немцев важное значение. За день боёв уничтожено до полка пехоты противника. Захвачены у немцев 8 исправных 105-мм орудий, 3 автоматические пушки, склад с боеприпасами, вещевой склад и другие трофеи.</w:t>
      </w:r>
    </w:p>
    <w:p w14:paraId="2AE5D6FB"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лётчики крупными силами совершили налёты на ближние тылы противникаи уничтожили 9 танков, до 40 орудий и 150 автомашин с пехотой и грузами. Прямым попаданием бомб взорвано пять складов противника с боеприпасами и горючим.</w:t>
      </w:r>
    </w:p>
    <w:p w14:paraId="4E752177"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Белорусские партизанские отряды с 18 по 21 января пустили под откос 19 железнодорожных эшелонов противника. Разбито 14 паровозов и 160 вагонов и платформ. За это же время советские патриоты огнём из противотанковых ружей вывели из строя 13 немецких паровозов, взорвали 3 железнодорожных моста, 80 мостов на грунтовых дорогах и уничтожили более 106 автомашин противника. Группа белорусских партизан совершила налёт на немецкий аэродром. На аэродроме взорвано два бомбардировщика, склад с бензином и уничтожено 29 немецких лётчиков и 96 гитлеровцев из состава аэродромной службы.</w:t>
      </w:r>
    </w:p>
    <w:p w14:paraId="7E91BA9A"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штабах немецких дивизий, разгромленных на Ленинградском фронте, захвачено большое количество трофейных документов. Эти документы свидетельствуют о том,что успешное наступление советских войск опрокинуло все планы немецкого командования и вызвало среди гитлеровцев смятение и панику. 15 января командующий Северной группой немецких армий генерал-фельдмаршал фон Кюхлер разослал командирам соединений секретную телеграмму за № 598/44, в которой говорится: «На Северном фронте противник начал наступать одновременно в нескольких местах. Наш фронт должен выиграть эту оборонительную битву. Он это может сделать, если армии с ещё большей решимостью, чем это было до сих пор, бросят в бой все свои силы до последнего человека...» Несколько дней спустятакие же приказы издали командиры немецких дивизий. Так, например, командир 11 немецкой пехотной дивизии обратился к солдатам со следующим воззванием: «Солдаты! Тяжёлые дни пришлось пережить всем частям, которые участвуют в боях сначала этой битвы южнее Ленинграда. Советы хотят осуществить прорыв на Гатчину. Это их намерение должно быть сорвано. Занятая сейчас линия фронта должна удерживаться во что бы то ни стало».</w:t>
      </w:r>
    </w:p>
    <w:p w14:paraId="37B0A71F"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Немецкое командование прилагало все усилия к тому, чтобы помешать советским войскам прорваться на Гатчину. Однако Красная Армия успешно прорвала оборону немцев, и теперь Гатчина осталась далеко позади линии фронта.</w:t>
      </w:r>
    </w:p>
    <w:p w14:paraId="0F082FCC"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Немецкие войска под Ленинградом разгромлены и понесли огромные потери в людяхи технике. Солдат Хорст Гринберг из 13 роты 540 штрафного батальона сообщил: «Наш батальон утром 16 января в составе 800 человек прибыл в деревню Гладино.Через два дня в батальоне осталось только 70 человек. Все остальные убиты, ранены или попали в плен». Фельдфебель Макс Хайдекер, командир взвода 12 роты 391 полка 170 дивизии, показал: «Артиллерия русских била два часа по нашим позициям. Мы сидели в землянках и с ужасом ждали, когда всё это кончится. Офицеры под угрозой расстрела погнали нас в бой. Из общего состава полка вернулось обратно только несколько десятков человек». Старший вахмистр 2 зенитного полка 2 зенитной дивизии Отто Зайдль рассказал: «Наш полк был окружён русскими. Побросав все орудия, мы пытались бежать, но утром снова попали в котёл, из которого уже не было выхода. Немецкая армия потерпела под Ленинградом ужасную катастрофу». Подобных показаний можно было бы приводить огромное количество. Немецкое командование по приказу фон Кюхлера бросало в бой все свои силы до последнего человека. Однако все попытки немцев удержаться под Ленинградом потерпели полный крах.» (15028).</w:t>
      </w:r>
    </w:p>
    <w:p w14:paraId="481E6F4A" w14:textId="77777777" w:rsidR="004B3057" w:rsidRPr="00070ADE" w:rsidRDefault="004B3057" w:rsidP="00B56F90">
      <w:pPr>
        <w:spacing w:after="0" w:line="240" w:lineRule="auto"/>
        <w:jc w:val="both"/>
        <w:rPr>
          <w:rFonts w:ascii="Times New Roman" w:hAnsi="Times New Roman"/>
          <w:color w:val="000000" w:themeColor="text1"/>
          <w:sz w:val="16"/>
          <w:szCs w:val="16"/>
        </w:rPr>
      </w:pPr>
    </w:p>
    <w:p w14:paraId="52A03CFA"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 февраля</w:t>
      </w:r>
      <w:r w:rsidRPr="00070ADE">
        <w:rPr>
          <w:rFonts w:ascii="Times New Roman" w:hAnsi="Times New Roman"/>
          <w:color w:val="000000" w:themeColor="text1"/>
          <w:sz w:val="16"/>
          <w:szCs w:val="16"/>
        </w:rPr>
        <w:t xml:space="preserve"> в 1944 году советские войска начинают освобождение Эстонии от фашистов (15028).</w:t>
      </w:r>
    </w:p>
    <w:p w14:paraId="68502D84" w14:textId="77777777" w:rsidR="004B3057" w:rsidRPr="00070ADE" w:rsidRDefault="004B3057" w:rsidP="00B56F90">
      <w:pPr>
        <w:spacing w:after="0" w:line="240" w:lineRule="auto"/>
        <w:jc w:val="both"/>
        <w:rPr>
          <w:rFonts w:ascii="Times New Roman" w:hAnsi="Times New Roman"/>
          <w:color w:val="000000" w:themeColor="text1"/>
          <w:sz w:val="16"/>
          <w:szCs w:val="16"/>
        </w:rPr>
      </w:pPr>
    </w:p>
    <w:p w14:paraId="66EF13F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 1944 Луцк и Ровно освобождены от фашистов (4962).</w:t>
      </w:r>
    </w:p>
    <w:p w14:paraId="7CDDE3F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7F50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February 2, 1944: In the Ukraine, the Red Army recaptures Luzk and Rovno (3819).</w:t>
      </w:r>
    </w:p>
    <w:p w14:paraId="1A40FDC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A5447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 1944 в ходе Ровно-луцкой наступательной операции 1УФ (Н.Ф.Ватутин) освободили Ровно и Луцк (3398,57).</w:t>
      </w:r>
    </w:p>
    <w:p w14:paraId="1E3F71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EDFA2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 1944 советские войска начали освобождение Эстонии от фашистов (4962).</w:t>
      </w:r>
    </w:p>
    <w:p w14:paraId="7EA3329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D8A51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 1944 советские войска вошли в Эстонию и Латвию (2247,1).</w:t>
      </w:r>
    </w:p>
    <w:p w14:paraId="734188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1FB8CA" w14:textId="77777777" w:rsidR="00F87FFC" w:rsidRPr="00070ADE" w:rsidRDefault="00F87F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 1944 г. был доклад начальника морского отдела Советского Транспорт</w:t>
      </w:r>
      <w:r w:rsidRPr="00070ADE">
        <w:rPr>
          <w:rFonts w:ascii="Times New Roman" w:hAnsi="Times New Roman"/>
          <w:color w:val="000000" w:themeColor="text1"/>
          <w:sz w:val="16"/>
          <w:szCs w:val="16"/>
        </w:rPr>
        <w:softHyphen/>
        <w:t>ного Управления в Иране (Исх. № 0352) Начальнику отдела внешних коммуникаций Главного Морско</w:t>
      </w:r>
      <w:r w:rsidRPr="00070ADE">
        <w:rPr>
          <w:rFonts w:ascii="Times New Roman" w:hAnsi="Times New Roman"/>
          <w:color w:val="000000" w:themeColor="text1"/>
          <w:sz w:val="16"/>
          <w:szCs w:val="16"/>
        </w:rPr>
        <w:softHyphen/>
        <w:t>го штаба ВМФ.</w:t>
      </w:r>
    </w:p>
    <w:p w14:paraId="3500EAEF" w14:textId="77777777" w:rsidR="00F87FFC" w:rsidRPr="00070ADE" w:rsidRDefault="00F87F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бесед с капитанами пароходов «Вильям Дунбар», «Эдвард Ливингстон», «Джозеф А. Браун» и «Фредерик Л. Дау» выясни</w:t>
      </w:r>
      <w:r w:rsidRPr="00070ADE">
        <w:rPr>
          <w:rFonts w:ascii="Times New Roman" w:hAnsi="Times New Roman"/>
          <w:color w:val="000000" w:themeColor="text1"/>
          <w:sz w:val="16"/>
          <w:szCs w:val="16"/>
        </w:rPr>
        <w:softHyphen/>
        <w:t>лось, что эти суда покинули в декабре 1943 Америку (Норфолк) в составе большого американского конвоя, который эскорти</w:t>
      </w:r>
      <w:r w:rsidRPr="00070ADE">
        <w:rPr>
          <w:rFonts w:ascii="Times New Roman" w:hAnsi="Times New Roman"/>
          <w:color w:val="000000" w:themeColor="text1"/>
          <w:sz w:val="16"/>
          <w:szCs w:val="16"/>
        </w:rPr>
        <w:softHyphen/>
        <w:t>ровался 10 эсминцами и авианосцем. Средняя скорость конвоя 10 узлов. В конвое от 150 до 200 пароходов. На переходе Нор</w:t>
      </w:r>
      <w:r w:rsidRPr="00070ADE">
        <w:rPr>
          <w:rFonts w:ascii="Times New Roman" w:hAnsi="Times New Roman"/>
          <w:color w:val="000000" w:themeColor="text1"/>
          <w:sz w:val="16"/>
          <w:szCs w:val="16"/>
        </w:rPr>
        <w:softHyphen/>
        <w:t>фолк — Гибралтар воздействия противника не было. В Гибралтаре конвой разделился на несколько конвоев в направлении на Англию, в порты Средиземного моря, в Персидский залив и в Индию. Из Гибралтара до Порт-Саида эскортировали ан</w:t>
      </w:r>
      <w:r w:rsidRPr="00070ADE">
        <w:rPr>
          <w:rFonts w:ascii="Times New Roman" w:hAnsi="Times New Roman"/>
          <w:color w:val="000000" w:themeColor="text1"/>
          <w:sz w:val="16"/>
          <w:szCs w:val="16"/>
        </w:rPr>
        <w:softHyphen/>
        <w:t>глийские корветы. Противника не было, только в одном месте пролетели два самолета. Из Порт-Саида суда пошли через Суэцкий канал, Красное и Аравийское море в порт Аден оди</w:t>
      </w:r>
      <w:r w:rsidRPr="00070ADE">
        <w:rPr>
          <w:rFonts w:ascii="Times New Roman" w:hAnsi="Times New Roman"/>
          <w:color w:val="000000" w:themeColor="text1"/>
          <w:sz w:val="16"/>
          <w:szCs w:val="16"/>
        </w:rPr>
        <w:softHyphen/>
        <w:t>ночно. Из Адена в Персидский залив тоже одиночно. Переход длился 35 суток (24342).</w:t>
      </w:r>
    </w:p>
    <w:p w14:paraId="7F41AC96" w14:textId="77777777" w:rsidR="00F87FFC" w:rsidRPr="00070ADE" w:rsidRDefault="00F87FFC" w:rsidP="00B56F90">
      <w:pPr>
        <w:spacing w:after="0" w:line="240" w:lineRule="auto"/>
        <w:jc w:val="both"/>
        <w:rPr>
          <w:rFonts w:ascii="Times New Roman" w:hAnsi="Times New Roman"/>
          <w:color w:val="000000" w:themeColor="text1"/>
          <w:sz w:val="16"/>
          <w:szCs w:val="16"/>
        </w:rPr>
      </w:pPr>
    </w:p>
    <w:p w14:paraId="3428B04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17FE7A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B0D50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 1944 Сталин дал согласие на использование американской авиацией шести советских авиабаз для бомбежек в Европе (4962).</w:t>
      </w:r>
    </w:p>
    <w:p w14:paraId="52EA65C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4E9DF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 февраля 1944 года во время беседы с американским послом Авереллом Гарриманом Сталин сказал: </w:t>
      </w:r>
    </w:p>
    <w:p w14:paraId="340FDCE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"Мы имеем с японцами договор о нейтралитете, который был заключен около трех лет назад. Этот договор был опубликован. Но кроме этого договора состоялся обмен письмами, которые японцы просили нас не публиковать. В этих письмах шла речь о том, что японцы обязуются отказаться до окончания срока от своих концессий на Сахалине: от угольной и от нефтяной. Нас особенно интересуют нефтяные концессии, так как на Сахалине много нефти. При обмене письмами японцы обязались отказаться от концессий в течение шести месяцев, т. е. до октября 1941 года. Но они этого не сделали до настоящего времени, несмотря на то, что мы несколько раз ставили перед ними этот вопрос. А теперь японцы сами обратились к нам и говорят, что они хотели бы урегулировать это дело" (12066).</w:t>
      </w:r>
    </w:p>
    <w:p w14:paraId="5F9B977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CC4D80C" w14:textId="77777777" w:rsidR="008C4D27" w:rsidRPr="00C94B78" w:rsidRDefault="008C4D2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 февраля 1944 г. посол США в Москве А. Гарриман в ходе беседы со Сталиным предложил организовать челночные полёты американских бомбардировщиков с авиабаз в Англии, Италии и Северной Африке на советские аэродромы. Гарриман заявил: «Организация сквозной бомбардировки значительно сократит потери в самолётах. Немцы, зная, что бомбардировщики должны возвращаться на свои базы примерно тем же путем, концентрируют в этом районе крупные силы истребителей, которые сбивают главным образом те самолёты, которые получили какие-либо повреждения в результате обстрела зенитной артиллерии. Возможность сквозного пролета над Германией создаст новые условия и, конечно, будет содействовать уменьшению потерь. Все это поможет поскорее разбить немцев».</w:t>
      </w:r>
    </w:p>
    <w:p w14:paraId="56A13E7E" w14:textId="77777777" w:rsidR="008C4D27" w:rsidRPr="00C94B78" w:rsidRDefault="008C4D2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Сталин в ответ заметил, что, конечно, «мы сочувствуем тому, что помогает разбить немцев».</w:t>
      </w:r>
    </w:p>
    <w:p w14:paraId="02E7449D" w14:textId="77777777" w:rsidR="008C4D27" w:rsidRPr="00C94B78" w:rsidRDefault="008C4D2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Поначалу янки попросили две группы аэродромов. Поскольку они собирались летать из Англии и Италии, то лучше всего было иметь две группы аэродромов: одну – на севере СССР, другую – на юге. Изучались районы Пушкина, Новгорода, Великих Лук, Курска, Орши, Харькова и Полтавы. Однако в ходе взаимных консультаций выяснилась нецелесообразность этого.</w:t>
      </w:r>
    </w:p>
    <w:p w14:paraId="7D3FF088" w14:textId="77777777" w:rsidR="008C4D27" w:rsidRPr="00C94B78" w:rsidRDefault="008C4D2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От группы аэродромов на севере отказались сразу, поскольку из-за поздней весны и высокого уровня грунтовых вод к их строительству невозможно было приступить немедленно. На юге же наилучшим местом оказалась Полтава, так как её аэродром в довоенные годы был одной из баз бомбардировочной авиации СССР. Там базировались тяжёлые бомбардировщики 1-й авиационной армии особого назначения (25184).</w:t>
      </w:r>
    </w:p>
    <w:p w14:paraId="18FB85C6" w14:textId="77777777" w:rsidR="008C4D27" w:rsidRPr="00C94B78" w:rsidRDefault="008C4D27" w:rsidP="00B56F90">
      <w:pPr>
        <w:spacing w:after="0" w:line="240" w:lineRule="auto"/>
        <w:jc w:val="both"/>
        <w:rPr>
          <w:rFonts w:ascii="Times New Roman" w:hAnsi="Times New Roman"/>
          <w:color w:val="0070C0"/>
          <w:sz w:val="16"/>
          <w:szCs w:val="16"/>
        </w:rPr>
      </w:pPr>
    </w:p>
    <w:p w14:paraId="6F0F680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lastRenderedPageBreak/>
        <w:t>За рубежом:</w:t>
      </w:r>
    </w:p>
    <w:p w14:paraId="3D15E72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516F28"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 февраля</w:t>
      </w:r>
      <w:r w:rsidRPr="00070ADE">
        <w:rPr>
          <w:rFonts w:ascii="Times New Roman" w:hAnsi="Times New Roman"/>
          <w:color w:val="000000" w:themeColor="text1"/>
          <w:sz w:val="16"/>
          <w:szCs w:val="16"/>
        </w:rPr>
        <w:t xml:space="preserve"> в 1944 году поднялся в воздух первый серийный </w:t>
      </w:r>
      <w:hyperlink r:id="rId30" w:tgtFrame="_blank" w:history="1">
        <w:r w:rsidRPr="00070ADE">
          <w:rPr>
            <w:rFonts w:ascii="Times New Roman" w:hAnsi="Times New Roman"/>
            <w:color w:val="000000" w:themeColor="text1"/>
            <w:sz w:val="16"/>
            <w:szCs w:val="16"/>
          </w:rPr>
          <w:t xml:space="preserve">«Мессершмитт» «Me.163В». </w:t>
        </w:r>
      </w:hyperlink>
      <w:r w:rsidRPr="00070ADE">
        <w:rPr>
          <w:rFonts w:ascii="Times New Roman" w:hAnsi="Times New Roman"/>
          <w:color w:val="000000" w:themeColor="text1"/>
          <w:sz w:val="16"/>
          <w:szCs w:val="16"/>
        </w:rPr>
        <w:t xml:space="preserve">Первые серийные </w:t>
      </w:r>
      <w:hyperlink r:id="rId31" w:tgtFrame="_blank" w:history="1">
        <w:r w:rsidRPr="00070ADE">
          <w:rPr>
            <w:rFonts w:ascii="Times New Roman" w:hAnsi="Times New Roman"/>
            <w:color w:val="000000" w:themeColor="text1"/>
            <w:sz w:val="16"/>
            <w:szCs w:val="16"/>
          </w:rPr>
          <w:t xml:space="preserve">«Ме.163В-1а» </w:t>
        </w:r>
      </w:hyperlink>
      <w:r w:rsidRPr="00070ADE">
        <w:rPr>
          <w:rFonts w:ascii="Times New Roman" w:hAnsi="Times New Roman"/>
          <w:color w:val="000000" w:themeColor="text1"/>
          <w:sz w:val="16"/>
          <w:szCs w:val="16"/>
        </w:rPr>
        <w:t>доставляли испытателям сплошную головную боль, так как субподрядчики никак не могли добиться необходимого качества поставляемых узлов. В результате после необходимых доработок первый «Ме.163В-1а» был облетан в Лечфельде только в феврале 1944 г. Серийные «Ме.163В-1а» отличались от опытных «Ме.163В» установкой 30 мм пушек «МК-108» с 60 снарядами на ствол, магазины которых размещались под съемными панелями за антенной радиостанции FuG 16zy. Баллоны со сжатым воздухом для перезарядки пушек размещались над и под пушкой. Прицел был «Реви 16В», крепящийся к 90 мм лобовому бронестеклу. Пилот защищался 15 мм бронеплитой в носу, 13 мм заголовником и 8 мм бронеспинкой. Кроме радиостанции «FuG 16zy» самолет нес ответчик «FuG 25a», антенна которого была под левым крылом (15028).</w:t>
      </w:r>
    </w:p>
    <w:p w14:paraId="2B21F68C" w14:textId="77777777" w:rsidR="004B3057" w:rsidRPr="00070ADE" w:rsidRDefault="004B3057" w:rsidP="00B56F90">
      <w:pPr>
        <w:spacing w:after="0" w:line="240" w:lineRule="auto"/>
        <w:jc w:val="both"/>
        <w:rPr>
          <w:rFonts w:ascii="Times New Roman" w:hAnsi="Times New Roman"/>
          <w:color w:val="000000" w:themeColor="text1"/>
          <w:sz w:val="16"/>
          <w:szCs w:val="16"/>
        </w:rPr>
      </w:pPr>
    </w:p>
    <w:p w14:paraId="3C6840A1" w14:textId="1D454C35" w:rsidR="00255719" w:rsidRPr="00070ADE" w:rsidRDefault="00255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Поднялся в воздух первый серийный Мессершмитт Me.163 - немецкий ракетный истребитель-перехватчик времён Второй мировой. Выпускался небольшой серией. К концу 1944-го был поставлен 91 самолёт. Они произвели лишь несколько вылетов, при этом было потеряно 11 машин, в то время как смогли уничтожить лишь 9 самолётов союзников (по другим источникам было сбито 16 самолётов союзников при 10 потерянных машинах). Из-за малого количества топлива самолёт не мог совершить повторный заход на цель (22636).</w:t>
      </w:r>
    </w:p>
    <w:p w14:paraId="06844160" w14:textId="77777777" w:rsidR="00255719" w:rsidRPr="00070ADE" w:rsidRDefault="00255719" w:rsidP="00B56F90">
      <w:pPr>
        <w:spacing w:after="0" w:line="240" w:lineRule="auto"/>
        <w:jc w:val="both"/>
        <w:rPr>
          <w:rFonts w:ascii="Times New Roman" w:hAnsi="Times New Roman"/>
          <w:color w:val="000000" w:themeColor="text1"/>
          <w:sz w:val="16"/>
          <w:szCs w:val="16"/>
        </w:rPr>
      </w:pPr>
    </w:p>
    <w:p w14:paraId="50FC285C"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 февраля</w:t>
      </w:r>
      <w:r w:rsidRPr="00070ADE">
        <w:rPr>
          <w:rFonts w:ascii="Times New Roman" w:hAnsi="Times New Roman"/>
          <w:color w:val="000000" w:themeColor="text1"/>
          <w:sz w:val="16"/>
          <w:szCs w:val="16"/>
        </w:rPr>
        <w:t xml:space="preserve"> в 1944 году первый полет истребителя </w:t>
      </w:r>
      <w:hyperlink r:id="rId32" w:tgtFrame="_blank" w:history="1">
        <w:r w:rsidRPr="00070ADE">
          <w:rPr>
            <w:rFonts w:ascii="Times New Roman" w:hAnsi="Times New Roman"/>
            <w:color w:val="000000" w:themeColor="text1"/>
            <w:sz w:val="16"/>
            <w:szCs w:val="16"/>
          </w:rPr>
          <w:t xml:space="preserve">«Republic» «P-72» («ХР-72»). </w:t>
        </w:r>
      </w:hyperlink>
      <w:r w:rsidRPr="00070ADE">
        <w:rPr>
          <w:rFonts w:ascii="Times New Roman" w:hAnsi="Times New Roman"/>
          <w:color w:val="000000" w:themeColor="text1"/>
          <w:sz w:val="16"/>
          <w:szCs w:val="16"/>
        </w:rPr>
        <w:t>XP-72 представлял прямое прогрессивное развитие «P-47» «Thunderbolt. Фактически это и был обычный Thunderbolt, оснащенный новым 28-цилиндровым четырехрядным звездообразным двигателем воздушного охлаждения «Pratt&amp;Whitney» «R-4360-13» «Wasp Major» взлетной мощностью 3000 л.с. (2240 кВт) - наиболее мощным поршневым двигателем, изготовленным во время Второй мировой войны. Двигатель был закрыт очень плотно облегавшим капотом и охлаждался вентилятором. Двигатель «Wasp Major» предполагалось оснастить двумя трехлопастными пропеллерами противоположного вращения «Aeroproducts». Стандартные крылья и хвост от «P-47D» оставались без изменения, а фюзеляж был увеличен в размерах и усилен (15028).</w:t>
      </w:r>
    </w:p>
    <w:p w14:paraId="74A5208B" w14:textId="77777777" w:rsidR="004B3057" w:rsidRPr="00070ADE" w:rsidRDefault="004B3057" w:rsidP="00B56F90">
      <w:pPr>
        <w:spacing w:after="0" w:line="240" w:lineRule="auto"/>
        <w:jc w:val="both"/>
        <w:rPr>
          <w:rFonts w:ascii="Times New Roman" w:hAnsi="Times New Roman"/>
          <w:color w:val="000000" w:themeColor="text1"/>
          <w:sz w:val="16"/>
          <w:szCs w:val="16"/>
        </w:rPr>
      </w:pPr>
    </w:p>
    <w:p w14:paraId="61143AEF" w14:textId="77777777" w:rsidR="00255719" w:rsidRPr="00070ADE" w:rsidRDefault="00255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февраля1944 первый полет Republic XP-72 (20373).</w:t>
      </w:r>
    </w:p>
    <w:p w14:paraId="6025CF8B" w14:textId="77777777" w:rsidR="00255719" w:rsidRPr="00070ADE" w:rsidRDefault="00255719" w:rsidP="00B56F90">
      <w:pPr>
        <w:spacing w:after="0" w:line="240" w:lineRule="auto"/>
        <w:jc w:val="both"/>
        <w:rPr>
          <w:rFonts w:ascii="Times New Roman" w:hAnsi="Times New Roman"/>
          <w:color w:val="000000" w:themeColor="text1"/>
          <w:sz w:val="16"/>
          <w:szCs w:val="16"/>
        </w:rPr>
      </w:pPr>
    </w:p>
    <w:p w14:paraId="2597F6D7" w14:textId="5AB31589" w:rsidR="00255719" w:rsidRPr="00070ADE" w:rsidRDefault="00255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 1944 года — первый полёт опытного поршневого истребителя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Republic XP-72.</w:t>
      </w:r>
    </w:p>
    <w:p w14:paraId="51E56CCC" w14:textId="367464A1" w:rsidR="00255719" w:rsidRPr="00070ADE" w:rsidRDefault="00255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Являлся попыткой «прокачать» успешный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Republic P-47 Thunderbolt. Самое главное изменение коснулось двигателя. Был установлен самый мощный поршневой мотор того времени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28-цилиндровый Pratt &amp; Whitney R-4360-13. Крылья и хвостовое оперение оставили от P-47, а фюзеляж увеличили в размерах.</w:t>
      </w:r>
    </w:p>
    <w:p w14:paraId="698BAE04" w14:textId="5EF27474" w:rsidR="00255719" w:rsidRPr="00070ADE" w:rsidRDefault="00255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Вооружить новый истребитель конструкторы предложили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6 × 12,7 мм пулемётами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(у Thunderbolt их было аж 8) или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4 × 37 мм пушками. Имелась возможность подвесить 2 бомбы по 500 килограммов.</w:t>
      </w:r>
    </w:p>
    <w:p w14:paraId="2E9FBC7A" w14:textId="7255E1FF" w:rsidR="00255719" w:rsidRPr="00070ADE" w:rsidRDefault="00255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время испытаний XP-72 показал максимальную скорость</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788 км/ч</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 хорошие лётные характеристики. К сожалению, во время испытательных полётов был потерян 1 из 2 построенных самолётов. Но причиной прекращения проекта стала не авария. К</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году ВВС США уже не нуждались в таких самолётах (22300).</w:t>
      </w:r>
    </w:p>
    <w:p w14:paraId="410E52D0" w14:textId="77777777" w:rsidR="00255719" w:rsidRPr="00070ADE" w:rsidRDefault="00255719" w:rsidP="00B56F90">
      <w:pPr>
        <w:spacing w:after="0" w:line="240" w:lineRule="auto"/>
        <w:jc w:val="both"/>
        <w:rPr>
          <w:rFonts w:ascii="Times New Roman" w:hAnsi="Times New Roman"/>
          <w:color w:val="000000" w:themeColor="text1"/>
          <w:sz w:val="16"/>
          <w:szCs w:val="16"/>
        </w:rPr>
      </w:pPr>
    </w:p>
    <w:p w14:paraId="7D95724C" w14:textId="77777777" w:rsidR="00255719" w:rsidRPr="00070ADE" w:rsidRDefault="00255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 1944 110 бомбардировщиков Восьмой армии ВВС США B-24 Liberator в сопровождении 183 истребителей P-47 Thunderbolt атакуют позиции немецких летающих бомб V-1, строящиеся в Сен-Поль-сюр-Тернуаз / Сиракур , Франция, и позиции баллистической ракеты V-2, которые строятся в Ваттене, Франция. Два B-24 потеряны (20373).</w:t>
      </w:r>
    </w:p>
    <w:p w14:paraId="694ECDF6" w14:textId="77777777" w:rsidR="00255719" w:rsidRPr="00070ADE" w:rsidRDefault="00255719" w:rsidP="00B56F90">
      <w:pPr>
        <w:spacing w:after="0" w:line="240" w:lineRule="auto"/>
        <w:jc w:val="both"/>
        <w:rPr>
          <w:rFonts w:ascii="Times New Roman" w:hAnsi="Times New Roman"/>
          <w:color w:val="000000" w:themeColor="text1"/>
          <w:sz w:val="16"/>
          <w:szCs w:val="16"/>
        </w:rPr>
      </w:pPr>
    </w:p>
    <w:p w14:paraId="7DDE6D8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 1944 в Варшаве гестаповцами казнены 300 поляков за убийство шефа местного гестапо Франца Кучеры (4962).</w:t>
      </w:r>
    </w:p>
    <w:p w14:paraId="591BD53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CE7E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 1944 американцы захватили острова Рио, Намур и Квазиленд, Маршалловы острова (2247,1).</w:t>
      </w:r>
    </w:p>
    <w:p w14:paraId="5BE591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07908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 1944 американские войска высадились на Маршалловых островах (первая высадка американцев на территорию, принадлежавшую до войны Японии) (4962).</w:t>
      </w:r>
    </w:p>
    <w:p w14:paraId="6A3F834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9BE92D"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54D27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F271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февраля 1944 года директор ОКБ-15 НКВ Шпитальный писал письмо N 78с наркому вооружения Устинову и Шахурину.</w:t>
      </w:r>
    </w:p>
    <w:p w14:paraId="0EF87D3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номер N НВ-22/577с от 29 января 1944 года ОКБ-15 сообщает, что причинами задержки выполнения постановлений ГОКО по 45 мм, 57 мм и 76 мм авиационным пушкам являются следующие обстоятельства:</w:t>
      </w:r>
    </w:p>
    <w:p w14:paraId="6DE942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Директор завода N 74 Иванов в течении 6-ти месяцев саботировал постановление ГОКО по авиапушкам, наотрез отказавшись выполнить ряд пунктов, обязывавших его содействовать ОКБ-15 по поставке деталей к пушкам.</w:t>
      </w:r>
    </w:p>
    <w:p w14:paraId="28B4DB2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Вследствие этого, ОКБ-15 вынуждено было проделать огромную работу, вместо завода N 74, своими силами, что автоматически передвинуло на несколько месяцев сроки окончания работ и по другим пушкам.</w:t>
      </w:r>
    </w:p>
    <w:p w14:paraId="3D47A2C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ОКБ-15 до сего времени не имеет возможности спроектировать, рассчитать и испытать ряд механизмов к пушкам из-за отсутствия снарядов и выстрела, изготовляемых НКБ.</w:t>
      </w:r>
    </w:p>
    <w:p w14:paraId="003BCC8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По пушке 76 мм до сего времени завод N 92 не поставляет нам стволов и поковок, что в свою очередь не дает возможности ОКБ-15 проводить экспериментальные и опытные работы в надлежащие сроки.</w:t>
      </w:r>
    </w:p>
    <w:p w14:paraId="112278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Баллистический ствол для пушки 57 мм нам не нужен, т.к. НКБ согласилось предоставить нам для подбора заряда штатную пушку "ЗИС-2" (письмо НКБ N 200 от 2 февраля 1944 года).</w:t>
      </w:r>
    </w:p>
    <w:p w14:paraId="727064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 касается баллистического ствола 76 мм, то отсутствие стволов и боеприпасов не позволяет провести соответствующие работы по изготовлению баллистической системы.</w:t>
      </w:r>
    </w:p>
    <w:p w14:paraId="5CC872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Как показал опыт - одних расчетных данных и одних испытаний на полигоне недостаточно для практического применения артиллерийских систем на самолетах.</w:t>
      </w:r>
    </w:p>
    <w:p w14:paraId="10D8D0A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особенности это касается вопросов отдачи, т.к. данные в отчетах полигона НИИ АВ ВВС не соответствуют практическим результатам войсковой эксплуатации (поломки креплений, крыльев и т.д.).</w:t>
      </w:r>
    </w:p>
    <w:p w14:paraId="68CA43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вышеизложенным ОКБ-15 считает, что для надлежащего выполнения постановлений ГОКО по пушкам 45 мм, 57 мм, 76 мм со стороны всех КБ, которым поручено это дело необходимо самое тщательное изучение всего вопроса в целом и выполнение сроков поставок полуфабрикатов заводами- поставщиками Наркомата вооружения и НКБ.</w:t>
      </w:r>
    </w:p>
    <w:p w14:paraId="329530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Учитывая недостатки вооружения для самолетов выпущенных различными КБ; ОКБ-15 хочет не просто сделать и сдать авиапушки, - а поставило себе задачу выпустить системы пригодные для установки на наших самолетах.</w:t>
      </w:r>
    </w:p>
    <w:p w14:paraId="206BE6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все усиливающийся административный нажим со стороны аппарата НКВ, ОКБ-15 не согласно выпускать авиапушки с большим усилием отдачи (1821).</w:t>
      </w:r>
    </w:p>
    <w:p w14:paraId="667F29B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710C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февраля 1944 года Приказом ГУ ИАС КА была назначена Макетная комиссия под председательством генерала ИАС А.А.Лапина для рассмотрения проекта и макета модифицированного Пе-8 4М-82ФН ТК-3. Он рассмотрела макет и соответствующим протоколом от 8 фераля 1944 года утвердила основное оборудование и его размещение. Конкретные требования комиссии по перекомпоновке оборудования выполнялись в присутствии макетной комиссии (7685).</w:t>
      </w:r>
    </w:p>
    <w:p w14:paraId="06E756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2985A"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февраля 1944 года Макетная комиссия, назначенная Приказом ГУ НАС К А, под председательством генерала НАС А.А.Лапина рассмотрела макет и соответствующим протоколом от 8 февраля 1944 года утвердила основное оборудование и его размещение.</w:t>
      </w:r>
    </w:p>
    <w:p w14:paraId="3CCBB44C"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Конкретные требования комиссии по перекомпоновке оборудования выполнялись в присутствии макетной комиссии.</w:t>
      </w:r>
    </w:p>
    <w:p w14:paraId="6DD0AE55"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Рассмотрение проекта модифицированного Пе-8 4М-82ФН ТК-3 в НКАП и последовавшее за ним постановление ГОКО от 20 февраля 1944 года потребовало дальнейших доработок проекта. В частности после обсуждения НКАП окончательно решено было ставить ТК, добавилось требование к увеличению огневой защиты спереди- снизу (по предложению Незваля) (21726).</w:t>
      </w:r>
    </w:p>
    <w:p w14:paraId="79BCF434" w14:textId="77777777" w:rsidR="00903E13" w:rsidRPr="00070ADE" w:rsidRDefault="00903E13" w:rsidP="00B56F90">
      <w:pPr>
        <w:pStyle w:val="ae"/>
        <w:spacing w:before="0" w:after="0"/>
        <w:jc w:val="both"/>
        <w:rPr>
          <w:color w:val="000000" w:themeColor="text1"/>
          <w:sz w:val="16"/>
          <w:szCs w:val="16"/>
        </w:rPr>
      </w:pPr>
    </w:p>
    <w:p w14:paraId="60F15C82" w14:textId="77777777" w:rsidR="0035263A" w:rsidRPr="00070ADE" w:rsidRDefault="0035263A" w:rsidP="00B56F90">
      <w:pPr>
        <w:pStyle w:val="ae"/>
        <w:shd w:val="clear" w:color="auto" w:fill="FFFFFF"/>
        <w:spacing w:before="0" w:after="0"/>
        <w:jc w:val="both"/>
        <w:rPr>
          <w:color w:val="000000" w:themeColor="text1"/>
          <w:sz w:val="16"/>
          <w:szCs w:val="16"/>
        </w:rPr>
      </w:pPr>
      <w:r w:rsidRPr="00070ADE">
        <w:rPr>
          <w:color w:val="000000" w:themeColor="text1"/>
          <w:sz w:val="16"/>
          <w:szCs w:val="16"/>
        </w:rPr>
        <w:t>3 февраля 1944 года была назначена Приказом ГУ ИАС КА макетная комиссия под председательством генерала ИАС А.А.Лапина, которая рассмотрела макет Пе-8 и соответствующим протоколом от 8 февраля 1944 года утвердила основное оборудование и его размещение. Конкретные требования комиссии по перекомпоновке оборудования выполнялись в присутствии макетной комиссии (12187).</w:t>
      </w:r>
    </w:p>
    <w:p w14:paraId="2676DD8A" w14:textId="77777777" w:rsidR="0035263A" w:rsidRPr="00070ADE" w:rsidRDefault="0035263A" w:rsidP="00B56F90">
      <w:pPr>
        <w:pStyle w:val="ae"/>
        <w:shd w:val="clear" w:color="auto" w:fill="FFFFFF"/>
        <w:spacing w:before="0" w:after="0"/>
        <w:jc w:val="both"/>
        <w:rPr>
          <w:color w:val="000000" w:themeColor="text1"/>
          <w:sz w:val="16"/>
          <w:szCs w:val="16"/>
        </w:rPr>
      </w:pPr>
    </w:p>
    <w:p w14:paraId="38430815" w14:textId="77777777" w:rsidR="008C4D27" w:rsidRPr="00C94B78" w:rsidRDefault="008C4D2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3 февраля 1944 года Приказом ГУ ИАС КА была назначена макетная комиссия по модернизированному Пе-8 под председательством генерала ИАС А.А. Лапина рассмотрела макет и соответствующим протоколом от 8 февраля 1944 года утвердила основное оборудование и его размещение. Конкретные требования комиссии по перекомпоновке оборудования выполнялись в присутствии макетной комиссии.</w:t>
      </w:r>
    </w:p>
    <w:p w14:paraId="7E99D781" w14:textId="77777777" w:rsidR="008C4D27" w:rsidRPr="00C94B78" w:rsidRDefault="008C4D2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Рассмотрение проекта модифицированного Пе-8 4М-82ФН ТК-3 в НКАП и последовавшее за ним постановление ГОКО от 20 февраля 1944 года потребовало дальнейших доработок проекта. В частности, после обсуждения НКАП окончательно решено было ставить ТК. Кроме того, добавилось (по предложению Незваля) требование к увеличению огневой защиты спереди снизу (25286).</w:t>
      </w:r>
    </w:p>
    <w:p w14:paraId="6EED73CF" w14:textId="77777777" w:rsidR="008C4D27" w:rsidRPr="00C94B78" w:rsidRDefault="008C4D27" w:rsidP="00B56F90">
      <w:pPr>
        <w:spacing w:after="0" w:line="240" w:lineRule="auto"/>
        <w:jc w:val="both"/>
        <w:rPr>
          <w:rFonts w:ascii="Times New Roman" w:hAnsi="Times New Roman"/>
          <w:color w:val="0070C0"/>
          <w:sz w:val="16"/>
          <w:szCs w:val="16"/>
        </w:rPr>
      </w:pPr>
    </w:p>
    <w:p w14:paraId="391DC9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февраля 1944 вышло постановление ГКО N 50-89сс об организации ремонтного завода на базе бывшего 35 в Смоленске (1630,3).</w:t>
      </w:r>
    </w:p>
    <w:p w14:paraId="46CFDE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9E55F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февраля 1944 вышло Постановление ГКО № 5089 О ремонте самолетов, авиационных моторов и материально-техническом обеспечении ВВС КА, АДД, ВВС ВМФ и ГВФ в I квартале 1944 года. РГАНИР, Фонд ГКО, д. 202, лл. 3-9,10-166 (11012).</w:t>
      </w:r>
    </w:p>
    <w:p w14:paraId="685574C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16E7E3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февраля 1944 г. в соответствии с постановлением ГОКО № 5089сс и приказом № 181с от 10.03.1944 г. на месте эвакуированного в 1941 г. завода № 35 НКАП был образован Завод № 475 НКАП в системе 6ГУ. Старый завод был полностью разрушен. Фактически восстановление завода началось с осени 1943 г., после освобождения города. Штат формировался из резервов, небольшое количество специалистов переведено с заводов № 30, № 1, № 477, № 145.</w:t>
      </w:r>
    </w:p>
    <w:p w14:paraId="76EBED9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Ремонт Ил-2, Ла-5, Ла-7, Як-7, затем- Як-3, Як-9, Як-11. В 1945-47 г. отремонтировано около 400 машин. В 1949 г. ремонт прекращен. Работы по переоборудованию По-2 в сельскохозяйственный вариант.</w:t>
      </w:r>
    </w:p>
    <w:p w14:paraId="5406F19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 1.03.1946 г. передан в 11ГУ НКАП, с 1.03.1951 г.- в 1ГУ. </w:t>
      </w:r>
    </w:p>
    <w:p w14:paraId="296EA34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 03.1946 г. организация производства аэродромного оборудования (стремянок, колодок, установок для проверки гидросистем, подъемников, обогревателей, ) и самолетных кабин. </w:t>
      </w:r>
    </w:p>
    <w:p w14:paraId="147B36A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МАП № 352 от 3.06.1954 г. заводу поручен выпуск ракетной техники (КР). С 1.07.1954 г. завод передан в 6ГУ. В 1954 г. построены новые цеха: плазово-шаблонный, стапельный, агрегатно-сборочный, заготовительно-штамповочный.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В дальнейшем оно выделилось в самостоятельное предприятие (завод "Измеритель").</w:t>
      </w:r>
    </w:p>
    <w:p w14:paraId="55EBBC2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1967 г. завод № 475 МАП получил название Смоленский машиностроительный завод МАП, в 1974 г. переименован в СмАЗ МАП. 1.07.1993 г. завод акционирован и преобразован в АООТ «СмАЗ», с 1996 г.- ОАО «СмАЗ». По решению правительства № 22-р от 9.01.2004 г. вошло в перечень стратегических предприятий.</w:t>
      </w:r>
    </w:p>
    <w:p w14:paraId="4F9DA25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1970-х г. возобновлено производство самолетов. Планировалось производство Як-41М.</w:t>
      </w:r>
    </w:p>
    <w:p w14:paraId="6D6AE29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1972 г. на заводе действовал филиал МКБ «Радуга».</w:t>
      </w:r>
    </w:p>
    <w:p w14:paraId="3882962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(2004 г.): производство самолетов; модернизация Як-40; изготовление VIP- салонов.</w:t>
      </w:r>
    </w:p>
    <w:p w14:paraId="04C799C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(1.10.2002 г.)- 2874 чел.</w:t>
      </w:r>
    </w:p>
    <w:p w14:paraId="786457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(-1944-03.1946 г.-)- М.А. Филатов. Гендиректор (-2002-05 г.-)- А.М. Мирошкин.</w:t>
      </w:r>
    </w:p>
    <w:p w14:paraId="3C88C61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Гендиректора: по маркетингу, планированию и экономике (-2002-05 г.-)- В.С. Ломовских; по ресурсам и финансам (2002 г.)- В.Д. Бавченков; по производству (2002 г.)- Г.А. Коробков.</w:t>
      </w:r>
    </w:p>
    <w:p w14:paraId="66231A0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Гл. инженер (-2002-05 г.-)- Ю.М. Литвинов.69 </w:t>
      </w:r>
    </w:p>
    <w:p w14:paraId="6BAA133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планеры А-2 (1950-51)- более 200, ВА-3/48, планер-мишень ПМ; Як-18, Як-42 (1976-83), Як-18Т (1973-88; 1993-2005-), М-17 (1986-), М-17РМ (М-55) (2004), СМ-92 «Финист» (-2004-05-), GM-17 “Viper” (2004), СМ-2000 (-2004-05-), Су-38Л (2004); модернизация Як-40 (2004); капремонт Як-18Т, Як-52 (2004); БПЛА: Ла-17Р (1963-), "Ястреб", «Пчела»; УРВП: "КС" (1956-), ФКР-1 (1959-), КСР-2 (1961-), КСР-11 (1961-), Х-59М, Х-55; лыжи и запчасти к По-2; детали для Ил-62, крыло и оперение Як-36, крылья Як-40 (1965-2004), крылья Як-50 (1973-74), крыло, оперение и мотогондолы Як-42 (1975-), детали Як-130, Як-18Т, орбитального самолета «Буран» (1980-е г.); стартовые тележки для запуска ТРД (1950-65), кузова для прожекторных установок «Луч-1» (1950-53 г.), сельскохозяйственные машины (1954 г.); аэросани-амфибии (1966-68); сувенирная продукция (1967-).</w:t>
      </w:r>
    </w:p>
    <w:p w14:paraId="76B050A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475 НКАП, МАП, Смоленский машиностроительный завод МАП, Смоленский авиационный завод (СмАЗ), ОАО «СмАЗ»</w:t>
      </w:r>
    </w:p>
    <w:p w14:paraId="651282C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214006 г. Смоленск, ул. Фрунзе, 74 тел. 22-93-07 www.smaz.ru</w:t>
      </w:r>
    </w:p>
    <w:p w14:paraId="12313A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ОАО «Измеритель» </w:t>
      </w:r>
    </w:p>
    <w:p w14:paraId="0596ACE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513579 г. Смоленск, ул. Бабушкина, 5 тел. 51-30-88, 51-07-03</w:t>
      </w:r>
    </w:p>
    <w:p w14:paraId="00733F2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1960 г. на заводе № 475 МАП организуется специализированное электротехническое производство - автоматических установок и наземных комплексов, систем электропитания и автоматического контроля, счетно-решающих устройств. В 1968 г. оно выделилось в самостоятельное предприятие (завод "Измеритель"). Производство ночных прицелов для ПЗРК.ВП- 3/02 Разработка и производство (2003 г.): прицельно-навигационных комплексов, систем единой индикации и целеуказания, аварийной регистрации полетной информации; источников вторичного электропитания; многослойных печатных плат; трансформаторов и дросселей.</w:t>
      </w:r>
    </w:p>
    <w:p w14:paraId="604BA2D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0B24D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Гендиректор (-2002-03 г.-)- В.В. Лысенко.</w:t>
      </w:r>
    </w:p>
    <w:p w14:paraId="635B912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Технический директор (2002 г.)- С.Н. Андреев. Коммерческий директор (2002 г.)- А.В. Гришутин. Директор по качеству (2002 г.)- В.В. Прохоров (10776).</w:t>
      </w:r>
    </w:p>
    <w:p w14:paraId="4ADDAB0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4F6845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3 февраля 1944 г. в соответствии с постановлением ГОКО №5089 и приказом №181с от 10.03.1944 г. на месте эвакуированного в 1941 г. завода №35 НКАП образован завод №475 НКАП в системе 6ГУ. Старый завод был полностью разрушен. Фактически восстановление его началось с осени 1943 г., после освобождения города. Штат формировался из резервов, небольшое количество специалистов переведено с заводов №30, №1, №477, №145. Ремонт Ил-2, Ла-5, Ла-7, Як-7, затем- Як-3, Як-9, Як-11. В 1945-47 г. отремонтировано около 400 машин. В 1949 г. ремонт прекращен. Работы по переоборудованию По-2 в сельскохозяйственный вариант. </w:t>
      </w:r>
    </w:p>
    <w:p w14:paraId="704070F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 1.03.1946 г. передан в 11ГУ НКАП, с 1.03.1951 г.- в 1ГУ. </w:t>
      </w:r>
    </w:p>
    <w:p w14:paraId="733AD9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 03.1946 г. организация производства аэродромного оборудования (стремянок, колодок, установок для проверки гидросистем, подъемников, обогревателей, ) и самолетных кабин. </w:t>
      </w:r>
    </w:p>
    <w:p w14:paraId="33A7696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МАП №352 от 3.06.1954 г. заводу поручен выпуск ракетной техники. С 1.07.1954 г. завод передан в 6ГУ. Перешел на производство КР. В 1954 г. построены новые цеха: плазово-шаблонный, стапельный, агрегатно-сборочный, заготовительно-штамповочный.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В дальнейшем оно выделилось в самостоятельное предприятие (завод "Измеритель").</w:t>
      </w:r>
    </w:p>
    <w:p w14:paraId="3884503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 1967 г. завод №475 МАП получил название Смоленский машиностроительный завод МАП, в 1974 г. переименован в СмАЗ МАП. 1.07.1993 г. завод акционирован и преобразован в АООТ "СмАЗ", с 1996 г. - ОАО "СмАЗ". </w:t>
      </w:r>
    </w:p>
    <w:p w14:paraId="4707259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1970-х г. возобновлено производство самолетов. Планировалось производство Як-41М. </w:t>
      </w:r>
    </w:p>
    <w:p w14:paraId="783A5E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Работы (2004 г.): производство самолетов; модернизация Як-40; изготовление VIP- салонов. </w:t>
      </w:r>
    </w:p>
    <w:p w14:paraId="7258D66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(1.10.2002 г.) - 2874 чел.</w:t>
      </w:r>
    </w:p>
    <w:p w14:paraId="552731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(1944-46 г.) - М.А. Филатов. Гендиректор (наст.вр.) - А.М. Мирошкин.</w:t>
      </w:r>
    </w:p>
    <w:p w14:paraId="5BA1BE0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Производство: Р-5 (1937-38), планеры А-2 (1949-51), ВА-3/48, планер-мишень ПМ; Як-18, Як-42 (1976-83), Як-18Т (1973-83), М-17 (с 1986), М-17РМ (М-55), СМ-92 "Финист", GM-17 “Viper”, СМ-2000, Су-38Л; модернизация Як-40; капремонт Як-18Т, Як-52; БПЛА: Ла-17Р (с 1963), "Ястреб", "Пчела"; УРВП: "КС" (с 1956), ФКР-1 (с 1959), КСР-2 (с 1961), КСР-11 (с 1961), Х-59М, Х-55СМ; лыжи и запчасти к По-2; детали для Ил-62, крыло и оперение Як-36, крылья Як-40 (1965-2004), крылья Як-50 (1973-74), крыло, оперение и мотогондолы Як-42 (с 1975), детали Як-130, Як-18Т, орбитального самолета "Буран" (1980-е гг.); стартовые тележки для запуска ТРД (1950-65), кузова для прожекторных установок "Луч-1" (1950-53 г.). </w:t>
      </w:r>
    </w:p>
    <w:p w14:paraId="67031E6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Смоленский авиационный завод, ОАО (ОАО "СмАЗ") </w:t>
      </w:r>
    </w:p>
    <w:p w14:paraId="7DB240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ранее: завод "Ремвоздух №3", Завод №35 НКАП, Завод №475 НКАП, МАП, Смоленский машиностроительный завод МАП, Смоленский авиационный завод (СмАЗ) МАП </w:t>
      </w:r>
    </w:p>
    <w:p w14:paraId="3A6C6A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214006, г. Смоленск, ул. Фрунзе, 74, тел. 22-93-07, http://www.smaz.ru (10777).</w:t>
      </w:r>
    </w:p>
    <w:p w14:paraId="6C3A2C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EBB0757"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38154E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6114F5"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3 февраля 1944 конвой JW-56B, вышедший 22 января 1944 года из Лох-Эве, прибывший в Молотовск (Северодвинск). В его составе на еще одном транспорте типа «Либерти», SS Albert C. Ritchie, находились 12 танков M4A2, а также две «самоходные установки 76 мм».</w:t>
      </w:r>
    </w:p>
    <w:p w14:paraId="3B6DBD9E"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Для полигонных испытаний был выделен один экземпляр САУ с регистрационным номером U.S.A. 40108549. Машина являлась 446-й в серии, изготовили ее на Buick в конце 1943 года. Установленную на истребителе танков 76-мм пушку M1A1 №1272 изготовили на Oldsmobile, еще одном автомобильном заводе концерна General Motors. В отличие от GMC M10, документов с которой просто не пришло, на сей раз с материалами был полный порядок. Значительную часть иллюстраций для технического описания самоходной установки специалисты Научно-испытательного бронетанкового полигона ГБТУ КА взяли из американского руководства. Это касалось и общих видов машины.</w:t>
      </w:r>
    </w:p>
    <w:p w14:paraId="7C101C3A"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lastRenderedPageBreak/>
        <w:t>Большой интерес у специалистов полигона вызвала трансмиссия самоходной установки. Ее двигатель был соединен с передаточной коробкой, которая через карданный вал сообщалась с трехступенчатым гидротрансформатором. От него крутящий момент передавался на планетарную коробку передач, затем на дифференциал, а дальше на бортовые передачи. Трансформатор, коробка передач и дифференциал были сблокированы. Для их демонтажа в лобовой части корпуса имелся большой люк, крепившийся на болтах.</w:t>
      </w:r>
    </w:p>
    <w:p w14:paraId="1117E85D"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С точки зрения бронестойкости такой люк вызывал, мягко говоря, некоторое недоумение. Но оно пропадало, когда становились известны данные по толщине брони. Наибольшей толщиной (51 мм) отличалась орудийная маска, корма башни (40 мм) и ее лобовая деталь (35 мм). Столь странное распределение брони на башне объяснялось тем, что здесь она выполняла дополнительную функцию противовеса. На остальных же поверхностях САУ толщина брони не превышала 12,7 мм. Такой оказалась плата за высокую скорость и удельную мощность в 23,5 л.с. на тонну.</w:t>
      </w:r>
    </w:p>
    <w:p w14:paraId="5D3A0509"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В отличие от GMC M10, расчет САУ Т-70 должен был работать в сидячем положении, и вот здесь возник ряд вопросов. Больше всего их оказалось к условиям работы заряжающего. Его сиденье было не откидным и размещалось очень низко по отношению к полу, что делало работу зараяжающего крайне неудобной. Если же этот член экипажа стоял, то было неудобно вынимать выстрелы из укладки. Такой промах с эргономикой стал причиной того, что боевая скорострельность орудия САУ ограничивалась не быстротой его наводки на цель, а скоростью заряжания.</w:t>
      </w:r>
    </w:p>
    <w:p w14:paraId="15E00E87"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Немало вопросов имелось и к месту командира. В отличие от заряжающего, он должен был стоять, выполняя, одновременно, функции пулеметчика. Место командира испытатели назвали неполноценным и опасным. Никаких приборов наблюдения, кроме собственных глаз, командир не имел, зато шансы получить пулю в лоб оказались высокими. Единственным, кто из расчета башни чувствовал себя нормально, оказался наводчик. К его месту никаких претензий со стороны испытателей не было.</w:t>
      </w:r>
    </w:p>
    <w:p w14:paraId="4F9A05DE"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Немало вопросов возникло и к обзорности. Более-менее нормально в этом плане складывалась ситуация для наводчика, имевшего телескопический и перископический приборы. Командир, как уже говорилось выше, кроме своих глаз никаких приборов наблюдения не имел, да и смещенное назад место его размещения не способствовало улучшению его обзора на местность непосредственно перед машиной. Обзорность с мест механика-водителя и его помощника тоже нельзя было назвать хорошей. Хотя полный сектор обзора составлял 180–200 градусов, перископы оказались несколько смещены в сторону, что усложняло их использование.</w:t>
      </w:r>
    </w:p>
    <w:p w14:paraId="62DFF1A9"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Как и в случае с GMC M10, огневые испытания самоходной установки T70 не задались по причине отсутствия снарядов для ее орудия. Поэтому после изучения конструкции машины настал черед ходовых испытаний. Согласно типовой программе, машина должна была пройти 1000 километров. На практике километраж оказался даже чуть большим и составил 1022 километров, из них 172 по булыжному и 214 по асфальтовому шоссе, 530 по проселочной дороге и 132 – по снежной целине.</w:t>
      </w:r>
    </w:p>
    <w:p w14:paraId="4446BC55"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До расчетных 55 миль в час (88 км/ч) на испытаниях машина так и не смогла разогнаться. В ходе четырех попыток ее удалось разогнать лишь до 75,6 км/ч. С места до 70 км/ч машина разгонялась за 64 секунды, преодолевая при этом расстояние в 700 метров. При торможении со скорости 50 км/ч и более высокой самоходную установку заносило. При плавном торможении заносы прекращались, но при этом дистанция, преодолеваемая САУ до полной остановки, достигала 70–80 метров.</w:t>
      </w:r>
    </w:p>
    <w:p w14:paraId="68B3DDD8"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Средняя скорость чистого движения по булыжному шоссе составила 38,4 км/ч, а по асфальтовому шоссе 47,6 км/ч. Скорость по шоссе ограничивалась недостаточной устойчивостью машины. Особенно это ощущалось при езде по обледенелой дороге. На скоростях 60–70 км/ч машину начинало заносить.</w:t>
      </w:r>
    </w:p>
    <w:p w14:paraId="5752A6EC"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При всем при этом машина потребляла очень много топлива – 203 литра на 100 километров. Использование двойного дифференциала увеличило радиус поворота до 12,3 метров. С другой стороны, очень хорошо вела себя подвеска. Благодаря дополнительным упругим элементам (гидравлические амортизаторы и вертикальные рессоры) удалось добиться очень высокой плавности хода при движении по хорошим дорогам.</w:t>
      </w:r>
    </w:p>
    <w:p w14:paraId="18DA8474"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Гораздо более неприятная картина стала вырисовываться во время движения по проселочной дороге. Сорвин оказался прав, когда говорил, что концепция легкого танка-истребителя окажется оправданной только на ровной местности. На проселке средняя скорость движения САУ снизилась до 23,8 км/ч. Для сравнения, легкий танк М3Л на проселке развивал среднюю скорость 29 км/ч, а немецкий Pz.Kpfw.III Ausf.H – 25 км/ч. Ехать приходилось на 2-й передаче. Движение на 3-й передаче оказалось лимитировано недостаточным крутящим моментом, передаваемым гидротрансформатором. Также особенности работы гидротрансформатора стали причиной того, что по проселку с глубокими выбоинами машина двигаться не могла. Недостаточный крутящий момент не позволял преодолевать и придорожные канавы глубиной 0,75 метров.</w:t>
      </w:r>
    </w:p>
    <w:p w14:paraId="12180C04"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При этом на проселке американская САУ потребляла совершенно неприличные объемы топлива. На 100 километров пути ей требовалось 357 литров бензина и 11,3 литров масла. Также выявилось, что гусеничные ленты машины имели недостаточное сцепление с грунтом.</w:t>
      </w:r>
    </w:p>
    <w:p w14:paraId="3F91BFEF"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Наибольшие же проблемы возникли у «автострадного» истребителя танков при езде по заснеженной целине. Выше первой передачи гидротрансформатор подниматься не позволял. Попытка перейти на вторую передачу приводила к проскальзыванию гидротрансформатора и потери тяги. Средняя скорость движения составляла 19,4 км/ч. Снежный покров высотой более полуметра оказался для машины непреодолимым, виной тому был все тот же гидротрансформатор. Расход топлива при этом становился и вовсе чудовищным. На 100 километров пути требовалось 708 (!) литров бензина и 20,2 литров масла. Столько не потребляли даже иные тяжелые танки.</w:t>
      </w:r>
    </w:p>
    <w:p w14:paraId="557CFC6E"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Причиной столь высокой прожорливости стало то, что двигатель работал на постоянных оборотах, соответствующих максимальной мощности. Гидротрансформатор на бездорожье автоматически менял передаточное отношение, при этом обороты двигателя оставались прежними. Одним словом, механическая коробка передач в этих условиях была куда более правильным решением.</w:t>
      </w:r>
    </w:p>
    <w:p w14:paraId="36ECE22D"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Не лучшим образом обстояло дело и с преодолением естественных препятствий. В ходе испытаний на подъем с хода удалось преодолеть вершину крутизной 16 градусов. Более крутой подъем оказался непреодолимым из-за недостаточного сцепления гусениц с грунтом. С разгоном на 2-й передаче удалось преодолеть подъем крутизной 18 градусов. Далее ограничивающим фактором снова стал все тот же гидротрансформатор.</w:t>
      </w:r>
    </w:p>
    <w:p w14:paraId="38ADA680"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На спуске максимальным углом, на котором гусеницы не проскальзывали, стал угол в 24 градуса. В ходе испытаний на косогоре при движении по снегу максимальным углом, на котором машина ехала без сползания, оказался угол в 18 градусов. При активной работе рычагами для выравнивания машины движение было возможно при угле крена в 18–22 градуса.</w:t>
      </w:r>
    </w:p>
    <w:p w14:paraId="78D94148"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Последним ходовым испытанием стало преодоление брода. В его ходе выяснилось, что максимальная глубина, которую может преодолеть самоходная установка, составляет 1,55 метра. Затем вода через жалюзи попадала в моторное отделение. Показатель этот оказался очень неплохим. К примеру, для немецкого Pz.Kpfw.III брод глубиной 1,4 метра был непреодолим.</w:t>
      </w:r>
    </w:p>
    <w:p w14:paraId="41AA5D9E"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Испытания стрельбой проводились одними из последних. Поскольку ТТХ пушки М1А1 полностью совпадали с 76-мм орудием М7, установленным на САУ М10, ее пробиваемость не проверяли. Исследования проводилось на кучность стрельбы. Сравнивалась она с кучностью оружия советской легкой САУ СУ-76М. Как показали стрельбы, при использовании телескопического прицела американская самоходная установка превосходила по кучности советскую машину. При использовании перископического прицела рассеивание снарядов увеличивалось в 2 раза.</w:t>
      </w:r>
    </w:p>
    <w:p w14:paraId="3FD656FB"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Стрельба с коротки остановок дала отличные результаты – 10 попаданий из 10. Совсем иная картина складывалась при стрельбе с хода. На дистанции 1000–700 метров из 8 выстрелов ни один не попал по цели, то же самое случилось и в ходе второй попытки. Наконец, исследование скорострельности показало следующие результаты: прицельная скорострельность САУ составила 7,7–9,7 выстрелов в минуту, максимальная – 11,4 выстрела в минуту.</w:t>
      </w:r>
    </w:p>
    <w:p w14:paraId="1CD3BA32"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В целом как истребитель танков GMC T70 оказалась вполне неплохой машиной с точки зрения вооружения. Шасси же советские испытатели забраковали:</w:t>
      </w:r>
    </w:p>
    <w:p w14:paraId="019ACFEF"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iCs/>
          <w:color w:val="000000" w:themeColor="text1"/>
          <w:sz w:val="16"/>
          <w:szCs w:val="16"/>
          <w:lang w:eastAsia="ru-RU"/>
        </w:rPr>
        <w:t>«Американская самоходная артиллерийская установка Т-70 не может быть рекомендована для импорта по следующим причинам:</w:t>
      </w:r>
    </w:p>
    <w:p w14:paraId="2B27A70B"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iCs/>
          <w:color w:val="000000" w:themeColor="text1"/>
          <w:sz w:val="16"/>
          <w:szCs w:val="16"/>
          <w:lang w:eastAsia="ru-RU"/>
        </w:rPr>
        <w:t>1. Слабая бронировка, обеспечивающая защиту только от ружейно-пулеметного огня и мелких осколков снарядов.</w:t>
      </w:r>
    </w:p>
    <w:p w14:paraId="2B4012B6"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iCs/>
          <w:color w:val="000000" w:themeColor="text1"/>
          <w:sz w:val="16"/>
          <w:szCs w:val="16"/>
          <w:lang w:eastAsia="ru-RU"/>
        </w:rPr>
        <w:t>2. Большой расход топлива, который в несколько раз превышает расход топлива для самоходных установок данного класса в этих же условиях.</w:t>
      </w:r>
    </w:p>
    <w:p w14:paraId="541A9A8F"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iCs/>
          <w:color w:val="000000" w:themeColor="text1"/>
          <w:sz w:val="16"/>
          <w:szCs w:val="16"/>
          <w:lang w:eastAsia="ru-RU"/>
        </w:rPr>
        <w:t>3. Применение в качестве топлива высокосортного бензина, делающего самоходную установку опасной в пожарном отношении.</w:t>
      </w:r>
    </w:p>
    <w:p w14:paraId="1BA83841"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iCs/>
          <w:color w:val="000000" w:themeColor="text1"/>
          <w:sz w:val="16"/>
          <w:szCs w:val="16"/>
          <w:lang w:eastAsia="ru-RU"/>
        </w:rPr>
        <w:t>4. Плохая проходимость самоходной установки».</w:t>
      </w:r>
    </w:p>
    <w:p w14:paraId="1F82DEBF"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Как уже упоминалось, после стандартизации GMC T70 в GMC M18 старые машины были модернизированы. Вероятно, что американцы столкнулись при их эксплуатации с очень похожими проблемами. Но небольшая модернизация не могла кардинально изменить характеристики машины, особенно в том, что касалось ее проходимости. Кроме того, испытания американского танка T26E3, который также имел гидротрансформатор, выявили похожие проблемы. Да и бензина он потреблял с не меньшим аппетитом.</w:t>
      </w:r>
    </w:p>
    <w:p w14:paraId="7AA803A6" w14:textId="77777777" w:rsidR="00A042EC" w:rsidRPr="00070ADE" w:rsidRDefault="00A042EC"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Несмотря на такой разгромный вердикт, для американской самоходной установки нашлась работа на полигоне в Кубинке. Она участвовала в испытании обстрелом бортов корпуса и башни немецкого тяжелого танка Pz.Kpfw.Tiger Ausf.B. Выяснилось, что 76-мм снаряд M62 пробивает борт немецкого тяжелого танка на дистанции два километра. Таким образом, сама по себе идея «автострадной САУ» была вполне здравой (17673).</w:t>
      </w:r>
    </w:p>
    <w:p w14:paraId="1AA0F556" w14:textId="77777777" w:rsidR="00A042EC" w:rsidRPr="00070ADE" w:rsidRDefault="00A042EC" w:rsidP="00B56F90">
      <w:pPr>
        <w:spacing w:after="0" w:line="240" w:lineRule="auto"/>
        <w:jc w:val="both"/>
        <w:rPr>
          <w:rFonts w:ascii="Times New Roman" w:eastAsia="Times New Roman" w:hAnsi="Times New Roman"/>
          <w:color w:val="000000" w:themeColor="text1"/>
          <w:sz w:val="16"/>
          <w:szCs w:val="16"/>
          <w:lang w:eastAsia="ru-RU"/>
        </w:rPr>
      </w:pPr>
    </w:p>
    <w:p w14:paraId="53255FA7" w14:textId="77777777" w:rsidR="00F87FFC" w:rsidRPr="00070ADE" w:rsidRDefault="00F87F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февраля 1944 года САУ СУ-76И с серийным номером 3038 сорвалась с моста через реку Случь в районе города Сарны. Утонуло 4 члена экипажа, саму САУ после войны подняли, она стоит на постаменте (23460).</w:t>
      </w:r>
    </w:p>
    <w:p w14:paraId="5BD360BC" w14:textId="77777777" w:rsidR="00F87FFC" w:rsidRPr="00070ADE" w:rsidRDefault="00F87FFC" w:rsidP="00B56F90">
      <w:pPr>
        <w:spacing w:after="0" w:line="240" w:lineRule="auto"/>
        <w:jc w:val="both"/>
        <w:rPr>
          <w:rFonts w:ascii="Times New Roman" w:hAnsi="Times New Roman"/>
          <w:color w:val="000000" w:themeColor="text1"/>
          <w:sz w:val="16"/>
          <w:szCs w:val="16"/>
        </w:rPr>
      </w:pPr>
    </w:p>
    <w:p w14:paraId="2BF0ABC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февраля 1944 вышло Постановление ГКО № 5085 Об общем плане перевозок народнохозяйственных и воинских грузов по железнодорожному и водному транспорту на февраль 1944 г. (7181, 151).</w:t>
      </w:r>
    </w:p>
    <w:p w14:paraId="4AFB9CD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BD5F0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февраля 1944 вышло Постановление ГКО № 5086 О плане перевозок народнохозяйственных грузов по железнодорожному и водному транспорту на февраль 1944 г. (7182, 1-7,8-187).</w:t>
      </w:r>
    </w:p>
    <w:p w14:paraId="48F3E88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2CAAC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февраля 1944 вышло Распоряжение ГКО № 5087. О выделении заводу "Севкабель" НКЭП 100 военнообязанных, не годных к строевой службе. РГАНИР, Фонд ГКО, д. 202, лл. 1 (11012).</w:t>
      </w:r>
    </w:p>
    <w:p w14:paraId="5CA1954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DE8829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февраля 1944 вышло Распоряжение ГКО № 5088 [О передаче HКсобесу РСФСР эвакогоспиталя № 4634 в Москве для организации на его базе госпиталя-клиники Московского HИИ протезирования.] (7183, 2).</w:t>
      </w:r>
    </w:p>
    <w:p w14:paraId="1BE76EE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9600F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февраля 1944 вышло Постановление ГКО № 5090 О мерах по обеспечению бесперебойной работы предприятий Наркомата черной металлургии в I квартале 1944 года. РГАНИР, Фонд ГКО, д. 203, лл. 1-3,4-229 (11012).</w:t>
      </w:r>
    </w:p>
    <w:p w14:paraId="4DAFB8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9565AF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февраля 1944 вышло Постановление ГКО № 5091 О производстве запасных частей для проведения в 1944 году капитального ремонта оборудования электростанций и сетей и мерах улучшения их эксплуатации. РГАНИР, Фонд ГКО, д. 204, лл. 1-5,6-302 (11012).</w:t>
      </w:r>
    </w:p>
    <w:p w14:paraId="30EC09F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A476C4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февраля 1944 года была подготовлена справка:</w:t>
      </w:r>
    </w:p>
    <w:p w14:paraId="51128D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Заводы № 612 НКБ, №№ 9 и 8 НКВ, ГПЗ-6, № 76 НКТП – Свердловск (9277).</w:t>
      </w:r>
    </w:p>
    <w:p w14:paraId="4FC97FE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3D3FFA"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8CC18F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E75A1B"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3E78AEE0"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3 февраля на Нарвском направлении наши войска продолжали вести наступательные бои, в ходе которых заняли более 50 населённых пунктов и среди них Калливаре, Венекюла, Тырвала, Усть-Чернова, Суржердянка,Большая Поля, Сланцы, Замощье, Залесье, Малая и Большая Выскатка, Рудно, Гусева Гора, Перницы, Великое Село и железнодорожные станции Преображенка, Сланцы, Ищево.</w:t>
      </w:r>
    </w:p>
    <w:p w14:paraId="36D9A4E3"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Сиверский наши войска с боями продвигались вперёд и заняли населённыепункты Беково, Красный Холм, Покровка, Кемск, Ящера, Низовка, Луги.</w:t>
      </w:r>
    </w:p>
    <w:p w14:paraId="56976650"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Любань наши войска, преодолевая инженерные загражденияпротивника на лесных дорогах, с боями продвигались вперёд и заняли населённыепункты Погорели, Вдицко, Нивки, Финев Луг, Тесовстрой, Восход, Слепцы, Пятилипы, Гузи и железнодорожные станции Рогавка, Кересть.</w:t>
      </w:r>
    </w:p>
    <w:p w14:paraId="093D00B4"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Новгорода наши войска, преодолевая сопротивление иконтратаки противника, продолжали вести наступательные бои, в ходе которыхзаняли несколько населённых пунктов.</w:t>
      </w:r>
    </w:p>
    <w:p w14:paraId="0450B39D"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Новосокольники наши войска продолжали наступление и заняли населённые пункты Малые Сокольники, Саньки, Спичино, Красногорье, Корнилово, Ананкино и железнодорожную станцию Абово.</w:t>
      </w:r>
    </w:p>
    <w:p w14:paraId="270746AF"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дней назад войска 2-го Украинского фронта, перейдя в наступление из района севернее Кировограда в западном направлении, и войска 1-го Украинского фронта, — из района юго-восточнее Белая Церковь в восточном направлении, прорвали сильно укреплённую оборону немцев и за 5 дней наступательных боёв продвинулись навстречу друг другу на каждом направлении от 50 до 75 километров и расширили прорыв на каждом участке наступления до 160-175 километров по фронту.</w:t>
      </w:r>
    </w:p>
    <w:p w14:paraId="5D2F6756"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проведённой операции войска 2-го и 1-го Украинских фронтов соединились в районе Звенигородка, Шпола и тем самым замкнули кольцо окружения группировки противника, действующей севернее этой линии, в составе девяти пехотных и одной танковой дивизий.</w:t>
      </w:r>
    </w:p>
    <w:p w14:paraId="7E9C3E2E"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Нашими войсками освобождено более 300 населённых пунктов, в том числе город Смела, город Шпола, город Звенигородка, город Канев, город Богуслав, районные центры Киевской области Ротмистровка, Лисянка, Мироновка, крупные железнодорожные узлы Бобринская, Цветково, Мироновка, крупные населённые пункты Константиновка, Балаклея, Ковалиха, Поповка, Лозановка, Телепино, Пасторское, Оситняжка, Рейментаровка, Каниж, Калиновка, Мельниковка, Носачёв, Ташлык, Куцовка, Сам-Городок, Макеевка, Капитановка, Журовка, Турия, Матусов, Сигнаевка, Лебедин, Липянка, Надточаевка, Водяное, Толмач, Терешки, Толстая, Топильно, Казацкое, Богачёвка, Стецовка, Юрковка, Виноград, Каменный Брод, Медвин, Исайки, Дыбницы, Яблоновка, Бужанка, Щербашенцы, Сидоровка, Биевцы, Мисайловка, Чижовка, Рыжановка, Мурзинцы, Поповка, Тарасовка, Шевченково, Моренцы, Квитки, Селище, Николаевка, Карапыши, Зеленки, Россава, Поток, Македоны, Козин, Масловка, Степанцы, Яблонов и железнодорожные станции Перегоновка, Владимировка, Носачёв, Сигнаевка, Шпола, Искренное, Карапыши, Темпы, Лазурцы, Трощин.</w:t>
      </w:r>
    </w:p>
    <w:p w14:paraId="4B0A7926"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 февраля наши войска на всех фронтах подбили и уничтожили 77 немецких танков. В воздушных боях и огнём зенитной артиллерии сбито 40 самолётов противника.</w:t>
      </w:r>
    </w:p>
    <w:p w14:paraId="6BD68C2E"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Нарвском направлении наши войска продолжали наступление и заняли более 50 населённых пунктов. На одном участке немцы, пытаясь удержать в своих руках узел важных дорог, сосредоточили крупные силы. Наши бойцы нанесли одновременные удары с трёх сторон, и под угрозой окружения противник поспешно отступил. В этом бою подбито 8 немецких танков и самоходных орудий и уничтожено до двух батальонов гитлеровцев. Части Н-ского соединения, стремительно продвигаясь вперёд, форсировали реку Плюсса и, действуя совместно с партизанами, овладели железнодорожной станцией и населённым пунктом Сланцы. Захвачены пленные и трофеи.</w:t>
      </w:r>
    </w:p>
    <w:p w14:paraId="20CCB7B3"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Любань наши войска с боями продвигались вперёд. Бойцы Н-ского соединения, преследуя разгромленные части противника, захватили их обозы. Около населённого пункта Новая Деревня захвачено более 200 повозок с грузами. В Новой Деревне захвачены 5 складов с боеприпасами и один склад с инженерным имуществом.</w:t>
      </w:r>
    </w:p>
    <w:p w14:paraId="68B01296"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другом районе наши войска окружили в лесах разрозненные группы противника и ведут бои по их ликвидации.</w:t>
      </w:r>
    </w:p>
    <w:p w14:paraId="45C5E60C"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Новгорода наши войска вели наступательные бои. Противник оказывает упорное сопротивление и, подбрасывая резервы, предпринимает контратаки силами пехоты и танков. В течение дня части Н-ского соединения отбили до двадцати вражеских атак и уничтожили свыше 800 гитлеровцев, а также 13 танков и самоходных орудий. Советские лётчики наносили удары по войскам и транспортным колоннам немцев и уничтожили до 100 автомашин с пехотой и военными грузами.</w:t>
      </w:r>
    </w:p>
    <w:p w14:paraId="5417473B"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Новосокольники наши войска продолжали наступление. Противник подтянул новые силы и утром предпринял несколько ожесточённых контратак. Советские части не только отбили атаки гитлеровцев, но контрударом сломили сопротивление врага и заняли несколько населённых пунктов. За три дня боёв в этом районе уничтожено свыше 5 тысяч немецких солдат и офицеров. Захвачены у немцев 136 орудий, 50 миномётов, до 2.000 автоматов и винтовок, 16 складов с боеприпасами, продовольственный склад, 5 вещевых складов и 7 складов с инженерным имуществом. Взято значительное количество пленных.</w:t>
      </w:r>
    </w:p>
    <w:p w14:paraId="1C14795A"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перейдя в наступление из района севернее города Кировоград, и войска 1-го Украинского фронта, — из района юго-восточнее города Белая Церковь, прорвали сильно укреплённую оборону немцев и, успешно продвигаясь навстречу друг другу, соединились в районе городов Звенигородка и Шпола. За пять дней наступления наши войска заняли более 300 населённых пунктов, в том числе город Смела, город Звенигородка, город Шпола, город Богуслав, город Канев, районные центры Киевской области Ротмистровка, Лисянка, Мироновка и железнодорожные узлы Бобринская, Цветково, Мироновка. В результате этой операции наши войска окружили крупную группировку противника в составе девяти пехотных и одной танковой дивизий. Противник предпринимает на различных участках отчаянные попытки вырваться из окружения, но встречает решительный отпор и несёт огромные потери. Одно наше соединение за три дня боёв уничтожило 2 тысячи немецких солдат и офицеров, 40 танков и самоходных орудий. Бойцы другого соединения истребили до 4.000 гитлеровцев и захватили 18 исправных танков, 52 полевых и 6 самоходных орудий, а также много других трофеев.</w:t>
      </w:r>
    </w:p>
    <w:p w14:paraId="58804025"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Сегодня утром противник, сосредоточив на узком участке крупные силы, вновь пытался прорвать кольцо советских войск. В течение всего дня происходил ожесточённый бой. В результате этого боя советские пехотинцы и артиллеристы уничтожили не менее полка немецкой пехоты, 42 танка, 6 самоходных орудий и 11 бронетранспортёров. Гитлеровцы отброшены на исходные рубежи. На других участках наши части наносили удары окружённой группировке противника и с боями продвигались вперёд.</w:t>
      </w:r>
    </w:p>
    <w:p w14:paraId="4B29AC19"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Украинские партизанские отряды совершили смелый налёт на крупный немецкий гарнизон, расположенный в районном центре Волынской области. В шестичасовом бою партизаны разгромили вражеский гарнизон и уничтожили более 200 гитлеровцев. Захвачено много винтовок, автоматов, боеприпасов и обоз с продовольствием. Группа гитлеровцев, убежавшая из села на автомашинах, была перехвачена на дороге и ликвидирована.» (15029).</w:t>
      </w:r>
    </w:p>
    <w:p w14:paraId="18BC2110" w14:textId="77777777" w:rsidR="004B3057" w:rsidRPr="00070ADE" w:rsidRDefault="004B3057" w:rsidP="00B56F90">
      <w:pPr>
        <w:spacing w:after="0" w:line="240" w:lineRule="auto"/>
        <w:jc w:val="both"/>
        <w:rPr>
          <w:rFonts w:ascii="Times New Roman" w:hAnsi="Times New Roman"/>
          <w:color w:val="000000" w:themeColor="text1"/>
          <w:sz w:val="16"/>
          <w:szCs w:val="16"/>
        </w:rPr>
      </w:pPr>
    </w:p>
    <w:p w14:paraId="044D1E76"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 февраля</w:t>
      </w:r>
      <w:r w:rsidRPr="00070ADE">
        <w:rPr>
          <w:rFonts w:ascii="Times New Roman" w:hAnsi="Times New Roman"/>
          <w:color w:val="000000" w:themeColor="text1"/>
          <w:sz w:val="16"/>
          <w:szCs w:val="16"/>
        </w:rPr>
        <w:t xml:space="preserve"> в 1944 году войска Ленинградского фронта форсировали реку Нарва, захватили плацдармы на её левом берегу. Началось освобождение от немецко-фашистских захватчиков Эстонской ССР. Войска 3-го Украинского фронта освободили город Апостолово и рассекли немецкую 6-ю армию на две части (15029).</w:t>
      </w:r>
    </w:p>
    <w:p w14:paraId="1D963876" w14:textId="77777777" w:rsidR="004B3057" w:rsidRPr="00070ADE" w:rsidRDefault="004B3057" w:rsidP="00B56F90">
      <w:pPr>
        <w:spacing w:after="0" w:line="240" w:lineRule="auto"/>
        <w:jc w:val="both"/>
        <w:rPr>
          <w:rFonts w:ascii="Times New Roman" w:hAnsi="Times New Roman"/>
          <w:color w:val="000000" w:themeColor="text1"/>
          <w:sz w:val="16"/>
          <w:szCs w:val="16"/>
        </w:rPr>
      </w:pPr>
    </w:p>
    <w:p w14:paraId="2700C50F"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 февраля</w:t>
      </w:r>
      <w:r w:rsidRPr="00070ADE">
        <w:rPr>
          <w:rFonts w:ascii="Times New Roman" w:hAnsi="Times New Roman"/>
          <w:color w:val="000000" w:themeColor="text1"/>
          <w:sz w:val="16"/>
          <w:szCs w:val="16"/>
        </w:rPr>
        <w:t xml:space="preserve"> в 1944 году вступление советских войск на территорию Эстонской ССР (15029).</w:t>
      </w:r>
    </w:p>
    <w:p w14:paraId="6394A125" w14:textId="77777777" w:rsidR="004B3057" w:rsidRPr="00070ADE" w:rsidRDefault="004B3057" w:rsidP="00B56F90">
      <w:pPr>
        <w:spacing w:after="0" w:line="240" w:lineRule="auto"/>
        <w:jc w:val="both"/>
        <w:rPr>
          <w:rFonts w:ascii="Times New Roman" w:hAnsi="Times New Roman"/>
          <w:color w:val="000000" w:themeColor="text1"/>
          <w:sz w:val="16"/>
          <w:szCs w:val="16"/>
        </w:rPr>
      </w:pPr>
    </w:p>
    <w:p w14:paraId="57F6FA55" w14:textId="77777777" w:rsidR="004B3057" w:rsidRPr="00070ADE" w:rsidRDefault="004B30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 февраля</w:t>
      </w:r>
      <w:r w:rsidRPr="00070ADE">
        <w:rPr>
          <w:rFonts w:ascii="Times New Roman" w:hAnsi="Times New Roman"/>
          <w:color w:val="000000" w:themeColor="text1"/>
          <w:sz w:val="16"/>
          <w:szCs w:val="16"/>
        </w:rPr>
        <w:t xml:space="preserve"> в 1944 году под Корсунем Красной армией окружается до 60 тысяч немецких солдат (15029).</w:t>
      </w:r>
    </w:p>
    <w:p w14:paraId="38EE6C51" w14:textId="77777777" w:rsidR="004B3057" w:rsidRPr="00070ADE" w:rsidRDefault="004B3057" w:rsidP="00B56F90">
      <w:pPr>
        <w:spacing w:after="0" w:line="240" w:lineRule="auto"/>
        <w:jc w:val="both"/>
        <w:rPr>
          <w:rFonts w:ascii="Times New Roman" w:hAnsi="Times New Roman"/>
          <w:color w:val="000000" w:themeColor="text1"/>
          <w:sz w:val="16"/>
          <w:szCs w:val="16"/>
        </w:rPr>
      </w:pPr>
    </w:p>
    <w:p w14:paraId="2DBE26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3 февраля 1944 г. была подготовлена СПРАВКА О НАЛИЧИИ АВТОМОБИЛЕЙ ИНОМАРОК В ВОЙСКАХ КРАСНОЙ АРМИИ ПО СОСТОЯНИЮ НА 1 ЯНВАРЯ 1944 г.</w:t>
      </w:r>
    </w:p>
    <w:tbl>
      <w:tblPr>
        <w:tblW w:w="0" w:type="auto"/>
        <w:tblInd w:w="40" w:type="dxa"/>
        <w:tblLayout w:type="fixed"/>
        <w:tblCellMar>
          <w:left w:w="40" w:type="dxa"/>
          <w:right w:w="40" w:type="dxa"/>
        </w:tblCellMar>
        <w:tblLook w:val="0000" w:firstRow="0" w:lastRow="0" w:firstColumn="0" w:lastColumn="0" w:noHBand="0" w:noVBand="0"/>
      </w:tblPr>
      <w:tblGrid>
        <w:gridCol w:w="2362"/>
        <w:gridCol w:w="1450"/>
        <w:gridCol w:w="970"/>
        <w:gridCol w:w="970"/>
        <w:gridCol w:w="950"/>
        <w:gridCol w:w="998"/>
        <w:gridCol w:w="979"/>
        <w:gridCol w:w="931"/>
      </w:tblGrid>
      <w:tr w:rsidR="004D4663" w:rsidRPr="00070ADE" w14:paraId="0245CA39" w14:textId="77777777">
        <w:trPr>
          <w:trHeight w:val="230"/>
        </w:trPr>
        <w:tc>
          <w:tcPr>
            <w:tcW w:w="2362" w:type="dxa"/>
            <w:tcBorders>
              <w:top w:val="single" w:sz="6" w:space="0" w:color="auto"/>
              <w:left w:val="single" w:sz="6" w:space="0" w:color="auto"/>
              <w:bottom w:val="nil"/>
              <w:right w:val="single" w:sz="6" w:space="0" w:color="auto"/>
            </w:tcBorders>
          </w:tcPr>
          <w:p w14:paraId="72D0781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 фронта</w:t>
            </w:r>
          </w:p>
          <w:p w14:paraId="429C10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nil"/>
              <w:right w:val="single" w:sz="6" w:space="0" w:color="auto"/>
            </w:tcBorders>
          </w:tcPr>
          <w:p w14:paraId="784236A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иномарок на 1.01.1944 г.</w:t>
            </w:r>
          </w:p>
          <w:p w14:paraId="1F3692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98" w:type="dxa"/>
            <w:gridSpan w:val="6"/>
            <w:tcBorders>
              <w:top w:val="single" w:sz="6" w:space="0" w:color="auto"/>
              <w:left w:val="single" w:sz="6" w:space="0" w:color="auto"/>
              <w:bottom w:val="single" w:sz="6" w:space="0" w:color="auto"/>
              <w:right w:val="single" w:sz="6" w:space="0" w:color="auto"/>
            </w:tcBorders>
          </w:tcPr>
          <w:p w14:paraId="0BACC9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том числе по маркам</w:t>
            </w:r>
          </w:p>
          <w:p w14:paraId="7EC5B8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26A9F31" w14:textId="77777777">
        <w:trPr>
          <w:trHeight w:val="211"/>
        </w:trPr>
        <w:tc>
          <w:tcPr>
            <w:tcW w:w="2362" w:type="dxa"/>
            <w:tcBorders>
              <w:top w:val="nil"/>
              <w:left w:val="single" w:sz="6" w:space="0" w:color="auto"/>
              <w:bottom w:val="single" w:sz="6" w:space="0" w:color="auto"/>
              <w:right w:val="single" w:sz="6" w:space="0" w:color="auto"/>
            </w:tcBorders>
          </w:tcPr>
          <w:p w14:paraId="4A6BADD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FF825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nil"/>
              <w:left w:val="single" w:sz="6" w:space="0" w:color="auto"/>
              <w:bottom w:val="single" w:sz="6" w:space="0" w:color="auto"/>
              <w:right w:val="single" w:sz="6" w:space="0" w:color="auto"/>
            </w:tcBorders>
          </w:tcPr>
          <w:p w14:paraId="0DB863E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5DC91B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9CF17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Виллис</w:t>
            </w:r>
          </w:p>
          <w:p w14:paraId="08CB83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289BF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Форд-6</w:t>
            </w:r>
          </w:p>
          <w:p w14:paraId="7979FE8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826F8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Додж</w:t>
            </w:r>
          </w:p>
          <w:p w14:paraId="6A1C489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A1ACE5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Студебекер</w:t>
            </w:r>
          </w:p>
          <w:p w14:paraId="516A73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BD0D5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Шевроле</w:t>
            </w:r>
          </w:p>
          <w:p w14:paraId="159753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97C0CB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Прочие</w:t>
            </w:r>
          </w:p>
          <w:p w14:paraId="5700528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E5CC9C1"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0F6A03B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Карельский</w:t>
            </w:r>
          </w:p>
          <w:p w14:paraId="711CCF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947D9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195</w:t>
            </w:r>
          </w:p>
          <w:p w14:paraId="54761BB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211DD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126E1C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54F15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p w14:paraId="65FC9F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779CA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064B778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8354A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F71AC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6ED836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70D72C0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9C032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w:t>
            </w:r>
          </w:p>
          <w:p w14:paraId="2D6D8A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3119FFD"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28B4E68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Ленинградский</w:t>
            </w:r>
          </w:p>
          <w:p w14:paraId="3EFC94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AE2423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1213</w:t>
            </w:r>
          </w:p>
          <w:p w14:paraId="55131C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94BC3B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w:t>
            </w:r>
          </w:p>
          <w:p w14:paraId="4A9F36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8F952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w:t>
            </w:r>
          </w:p>
          <w:p w14:paraId="6FEEB3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35A9D7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p w14:paraId="36583CD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222F70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403</w:t>
            </w:r>
          </w:p>
          <w:p w14:paraId="426C53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0C30B5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p w14:paraId="659675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8181D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458</w:t>
            </w:r>
          </w:p>
          <w:p w14:paraId="303B03E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FCEB500"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36339C6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Волховский</w:t>
            </w:r>
          </w:p>
          <w:p w14:paraId="7504000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582A40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6FDB681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F3572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237</w:t>
            </w:r>
          </w:p>
          <w:p w14:paraId="508310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F227D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w:t>
            </w:r>
          </w:p>
          <w:p w14:paraId="7940347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F2914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w:t>
            </w:r>
          </w:p>
          <w:p w14:paraId="561624D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A912A0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w:t>
            </w:r>
          </w:p>
          <w:p w14:paraId="1E05E5B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349BC5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w:t>
            </w:r>
          </w:p>
          <w:p w14:paraId="1ECC792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254FC10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w:t>
            </w:r>
          </w:p>
          <w:p w14:paraId="7FADF64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645DB29" w14:textId="77777777">
        <w:trPr>
          <w:trHeight w:val="221"/>
        </w:trPr>
        <w:tc>
          <w:tcPr>
            <w:tcW w:w="2362" w:type="dxa"/>
            <w:tcBorders>
              <w:top w:val="single" w:sz="6" w:space="0" w:color="auto"/>
              <w:left w:val="single" w:sz="6" w:space="0" w:color="auto"/>
              <w:bottom w:val="single" w:sz="6" w:space="0" w:color="auto"/>
              <w:right w:val="single" w:sz="6" w:space="0" w:color="auto"/>
            </w:tcBorders>
          </w:tcPr>
          <w:p w14:paraId="480290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Прибалтийский</w:t>
            </w:r>
          </w:p>
          <w:p w14:paraId="25688DE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717F1F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6250</w:t>
            </w:r>
          </w:p>
          <w:p w14:paraId="2CAB5D6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52B719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599</w:t>
            </w:r>
          </w:p>
          <w:p w14:paraId="2EB09B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83CC19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1467</w:t>
            </w:r>
          </w:p>
          <w:p w14:paraId="5DDCA8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544E1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718</w:t>
            </w:r>
          </w:p>
          <w:p w14:paraId="6E9CC51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F42355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2038</w:t>
            </w:r>
          </w:p>
          <w:p w14:paraId="7A0400D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6A0726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506</w:t>
            </w:r>
          </w:p>
          <w:p w14:paraId="5452761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7A886C6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922</w:t>
            </w:r>
          </w:p>
          <w:p w14:paraId="5EB379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3931D02" w14:textId="77777777">
        <w:trPr>
          <w:trHeight w:val="240"/>
        </w:trPr>
        <w:tc>
          <w:tcPr>
            <w:tcW w:w="2362" w:type="dxa"/>
            <w:tcBorders>
              <w:top w:val="single" w:sz="6" w:space="0" w:color="auto"/>
              <w:left w:val="single" w:sz="6" w:space="0" w:color="auto"/>
              <w:bottom w:val="single" w:sz="6" w:space="0" w:color="auto"/>
              <w:right w:val="single" w:sz="6" w:space="0" w:color="auto"/>
            </w:tcBorders>
          </w:tcPr>
          <w:p w14:paraId="60F56CD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2-й Прибалтийский</w:t>
            </w:r>
          </w:p>
          <w:p w14:paraId="425D4F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0C90B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4171</w:t>
            </w:r>
          </w:p>
          <w:p w14:paraId="0BCA57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C82563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657</w:t>
            </w:r>
          </w:p>
          <w:p w14:paraId="5F3180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90D1B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479</w:t>
            </w:r>
          </w:p>
          <w:p w14:paraId="56F328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963E0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313</w:t>
            </w:r>
          </w:p>
          <w:p w14:paraId="17A0D4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01716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1897</w:t>
            </w:r>
          </w:p>
          <w:p w14:paraId="60CB94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CFF4D1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348</w:t>
            </w:r>
          </w:p>
          <w:p w14:paraId="693D830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77D7D62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477</w:t>
            </w:r>
          </w:p>
          <w:p w14:paraId="2E3F0A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B12ADD5"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7DCCB9A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Западный</w:t>
            </w:r>
          </w:p>
          <w:p w14:paraId="31FC2DE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2794A0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5001</w:t>
            </w:r>
          </w:p>
          <w:p w14:paraId="721A1CA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ECAF7C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760</w:t>
            </w:r>
          </w:p>
          <w:p w14:paraId="7B9092E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46009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859</w:t>
            </w:r>
          </w:p>
          <w:p w14:paraId="235C10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DF80F8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403</w:t>
            </w:r>
          </w:p>
          <w:p w14:paraId="507818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A609A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1515</w:t>
            </w:r>
          </w:p>
          <w:p w14:paraId="570C7F3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57A76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558</w:t>
            </w:r>
          </w:p>
          <w:p w14:paraId="16293AB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46BEA8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906</w:t>
            </w:r>
          </w:p>
          <w:p w14:paraId="1B5E489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1410F1C"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66A37E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Белорусский</w:t>
            </w:r>
          </w:p>
          <w:p w14:paraId="294AF1F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B30A27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7800</w:t>
            </w:r>
          </w:p>
          <w:p w14:paraId="53D46E2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79231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1263</w:t>
            </w:r>
          </w:p>
          <w:p w14:paraId="5E8392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8A5FB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1289</w:t>
            </w:r>
          </w:p>
          <w:p w14:paraId="12A6C31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296340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781</w:t>
            </w:r>
          </w:p>
          <w:p w14:paraId="7756A3A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1D0C62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2432</w:t>
            </w:r>
          </w:p>
          <w:p w14:paraId="514DF46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6A6A68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1239</w:t>
            </w:r>
          </w:p>
          <w:p w14:paraId="32506E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2B87B4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796</w:t>
            </w:r>
          </w:p>
          <w:p w14:paraId="0A5F335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C9EB628" w14:textId="77777777">
        <w:trPr>
          <w:trHeight w:val="221"/>
        </w:trPr>
        <w:tc>
          <w:tcPr>
            <w:tcW w:w="2362" w:type="dxa"/>
            <w:tcBorders>
              <w:top w:val="single" w:sz="6" w:space="0" w:color="auto"/>
              <w:left w:val="single" w:sz="6" w:space="0" w:color="auto"/>
              <w:bottom w:val="single" w:sz="6" w:space="0" w:color="auto"/>
              <w:right w:val="single" w:sz="6" w:space="0" w:color="auto"/>
            </w:tcBorders>
          </w:tcPr>
          <w:p w14:paraId="37ED66B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Украинский</w:t>
            </w:r>
          </w:p>
          <w:p w14:paraId="298B11A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5731841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9540</w:t>
            </w:r>
          </w:p>
          <w:p w14:paraId="21A6592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5B7EAD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1228</w:t>
            </w:r>
          </w:p>
          <w:p w14:paraId="7BBA00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9A364F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2222</w:t>
            </w:r>
          </w:p>
          <w:p w14:paraId="7C64A76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C76EE3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670</w:t>
            </w:r>
          </w:p>
          <w:p w14:paraId="399C84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48B4D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3116</w:t>
            </w:r>
          </w:p>
          <w:p w14:paraId="2F21043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0ACC21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1050</w:t>
            </w:r>
          </w:p>
          <w:p w14:paraId="1E9F116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76C3BF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1254</w:t>
            </w:r>
          </w:p>
          <w:p w14:paraId="6E465E5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07AECB3" w14:textId="77777777">
        <w:trPr>
          <w:trHeight w:val="240"/>
        </w:trPr>
        <w:tc>
          <w:tcPr>
            <w:tcW w:w="2362" w:type="dxa"/>
            <w:tcBorders>
              <w:top w:val="single" w:sz="6" w:space="0" w:color="auto"/>
              <w:left w:val="single" w:sz="6" w:space="0" w:color="auto"/>
              <w:bottom w:val="single" w:sz="6" w:space="0" w:color="auto"/>
              <w:right w:val="single" w:sz="6" w:space="0" w:color="auto"/>
            </w:tcBorders>
          </w:tcPr>
          <w:p w14:paraId="0FBEE1F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2-й Украинский</w:t>
            </w:r>
          </w:p>
          <w:p w14:paraId="28F08F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FB89E3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7868</w:t>
            </w:r>
          </w:p>
          <w:p w14:paraId="589A0C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8D6D6E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1144</w:t>
            </w:r>
          </w:p>
          <w:p w14:paraId="54FEB86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AF51D8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1339</w:t>
            </w:r>
          </w:p>
          <w:p w14:paraId="3879F91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A56B5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405</w:t>
            </w:r>
          </w:p>
          <w:p w14:paraId="2B70C7C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0ABF32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2664</w:t>
            </w:r>
          </w:p>
          <w:p w14:paraId="7F9B25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E055F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881</w:t>
            </w:r>
          </w:p>
          <w:p w14:paraId="2F3F7F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32145CF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1435</w:t>
            </w:r>
          </w:p>
          <w:p w14:paraId="52401BE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BFD6F19" w14:textId="77777777">
        <w:trPr>
          <w:trHeight w:val="221"/>
        </w:trPr>
        <w:tc>
          <w:tcPr>
            <w:tcW w:w="2362" w:type="dxa"/>
            <w:tcBorders>
              <w:top w:val="single" w:sz="6" w:space="0" w:color="auto"/>
              <w:left w:val="single" w:sz="6" w:space="0" w:color="auto"/>
              <w:bottom w:val="single" w:sz="6" w:space="0" w:color="auto"/>
              <w:right w:val="single" w:sz="6" w:space="0" w:color="auto"/>
            </w:tcBorders>
          </w:tcPr>
          <w:p w14:paraId="06D72D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3-й Украинский</w:t>
            </w:r>
          </w:p>
          <w:p w14:paraId="07FD24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572A5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3627</w:t>
            </w:r>
          </w:p>
          <w:p w14:paraId="6A3723B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061474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656</w:t>
            </w:r>
          </w:p>
          <w:p w14:paraId="0EF86EA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BB89EF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665</w:t>
            </w:r>
          </w:p>
          <w:p w14:paraId="24B6E4A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76E0D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347</w:t>
            </w:r>
          </w:p>
          <w:p w14:paraId="740B510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130AC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1072</w:t>
            </w:r>
          </w:p>
          <w:p w14:paraId="73584E7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DC678A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601</w:t>
            </w:r>
          </w:p>
          <w:p w14:paraId="620F87A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8D38AC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286</w:t>
            </w:r>
          </w:p>
          <w:p w14:paraId="367FB2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20364E4"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249BEF5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4-й Украинский</w:t>
            </w:r>
          </w:p>
          <w:p w14:paraId="0D3AC87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3290C2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6445</w:t>
            </w:r>
          </w:p>
          <w:p w14:paraId="78C3A08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3F291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753</w:t>
            </w:r>
          </w:p>
          <w:p w14:paraId="0BBEB4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E1639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1559</w:t>
            </w:r>
          </w:p>
          <w:p w14:paraId="259FD8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032DEC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608</w:t>
            </w:r>
          </w:p>
          <w:p w14:paraId="3A983C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D4853D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2188</w:t>
            </w:r>
          </w:p>
          <w:p w14:paraId="5AC49B9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391FD3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624</w:t>
            </w:r>
          </w:p>
          <w:p w14:paraId="52AD2A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83EE86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713</w:t>
            </w:r>
          </w:p>
          <w:p w14:paraId="0066C7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B9C8206"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5742366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Закавказский</w:t>
            </w:r>
          </w:p>
          <w:p w14:paraId="222ED3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96BD6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3637</w:t>
            </w:r>
          </w:p>
          <w:p w14:paraId="390773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DF2406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96</w:t>
            </w:r>
          </w:p>
          <w:p w14:paraId="019ECEA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46B69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526</w:t>
            </w:r>
          </w:p>
          <w:p w14:paraId="67AD36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B13F9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338</w:t>
            </w:r>
          </w:p>
          <w:p w14:paraId="48610B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E0C85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1814</w:t>
            </w:r>
          </w:p>
          <w:p w14:paraId="5178433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DB70C8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84</w:t>
            </w:r>
          </w:p>
          <w:p w14:paraId="4267E9A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277AE9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779</w:t>
            </w:r>
          </w:p>
          <w:p w14:paraId="31516BA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2A7C7C9" w14:textId="77777777">
        <w:trPr>
          <w:trHeight w:val="230"/>
        </w:trPr>
        <w:tc>
          <w:tcPr>
            <w:tcW w:w="2362" w:type="dxa"/>
            <w:tcBorders>
              <w:top w:val="single" w:sz="6" w:space="0" w:color="auto"/>
              <w:left w:val="single" w:sz="6" w:space="0" w:color="auto"/>
              <w:bottom w:val="single" w:sz="6" w:space="0" w:color="auto"/>
              <w:right w:val="single" w:sz="6" w:space="0" w:color="auto"/>
            </w:tcBorders>
          </w:tcPr>
          <w:p w14:paraId="5E34E0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Резервные армии</w:t>
            </w:r>
          </w:p>
          <w:p w14:paraId="2D88B01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FD8D78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10555</w:t>
            </w:r>
          </w:p>
          <w:p w14:paraId="6CD0EF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68A318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521</w:t>
            </w:r>
          </w:p>
          <w:p w14:paraId="1E9BCC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A0ED7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1012</w:t>
            </w:r>
          </w:p>
          <w:p w14:paraId="0662EA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BC8B0E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669</w:t>
            </w:r>
          </w:p>
          <w:p w14:paraId="7D36EB5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EF0A5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554</w:t>
            </w:r>
          </w:p>
          <w:p w14:paraId="31169BD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B65818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w:t>
            </w:r>
          </w:p>
          <w:p w14:paraId="10275D5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13443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7449</w:t>
            </w:r>
          </w:p>
          <w:p w14:paraId="5D07788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D4F8886" w14:textId="77777777">
        <w:trPr>
          <w:trHeight w:val="432"/>
        </w:trPr>
        <w:tc>
          <w:tcPr>
            <w:tcW w:w="2362" w:type="dxa"/>
            <w:tcBorders>
              <w:top w:val="single" w:sz="6" w:space="0" w:color="auto"/>
              <w:left w:val="single" w:sz="6" w:space="0" w:color="auto"/>
              <w:bottom w:val="single" w:sz="6" w:space="0" w:color="auto"/>
              <w:right w:val="single" w:sz="6" w:space="0" w:color="auto"/>
            </w:tcBorders>
          </w:tcPr>
          <w:p w14:paraId="79A81D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 по фронтам Итого по округам</w:t>
            </w:r>
          </w:p>
          <w:p w14:paraId="417AA31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8CEBBE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66977 9879</w:t>
            </w:r>
          </w:p>
          <w:p w14:paraId="4E0ABED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D4833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8191 1087</w:t>
            </w:r>
          </w:p>
          <w:p w14:paraId="25FE803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F89B6F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11633 2435</w:t>
            </w:r>
          </w:p>
          <w:p w14:paraId="513DEF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0CDD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5364 1355</w:t>
            </w:r>
          </w:p>
          <w:p w14:paraId="1891970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45CB8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19766 2278</w:t>
            </w:r>
          </w:p>
          <w:p w14:paraId="142473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56FBC0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6332 601</w:t>
            </w:r>
          </w:p>
          <w:p w14:paraId="3A8C6FA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38A3DB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15691 2123</w:t>
            </w:r>
          </w:p>
          <w:p w14:paraId="01246BF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9CACDA4" w14:textId="77777777">
        <w:trPr>
          <w:trHeight w:val="250"/>
        </w:trPr>
        <w:tc>
          <w:tcPr>
            <w:tcW w:w="2362" w:type="dxa"/>
            <w:tcBorders>
              <w:top w:val="single" w:sz="6" w:space="0" w:color="auto"/>
              <w:left w:val="single" w:sz="6" w:space="0" w:color="auto"/>
              <w:bottom w:val="single" w:sz="6" w:space="0" w:color="auto"/>
              <w:right w:val="single" w:sz="6" w:space="0" w:color="auto"/>
            </w:tcBorders>
          </w:tcPr>
          <w:p w14:paraId="1F355EB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 по Красной Армии</w:t>
            </w:r>
          </w:p>
          <w:p w14:paraId="5D7E5B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53866E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76856</w:t>
            </w:r>
          </w:p>
          <w:p w14:paraId="6748AD7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A3366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9278</w:t>
            </w:r>
          </w:p>
          <w:p w14:paraId="50F8C5C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2C79B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14068</w:t>
            </w:r>
          </w:p>
          <w:p w14:paraId="6EAB89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5CF44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6719</w:t>
            </w:r>
          </w:p>
          <w:p w14:paraId="3B7AB84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DFB370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22044</w:t>
            </w:r>
          </w:p>
          <w:p w14:paraId="597B083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FF63B5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6933</w:t>
            </w:r>
          </w:p>
          <w:p w14:paraId="0450000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C1EE5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17814</w:t>
            </w:r>
          </w:p>
          <w:p w14:paraId="1854D7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43FBD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2 отдела РУ ГАВТУ КА инженер-полковник Васильев</w:t>
      </w:r>
    </w:p>
    <w:p w14:paraId="5C5E8E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41. Оп. 11580. Д. 148. Л. 38. Подлинник (11403).</w:t>
      </w:r>
    </w:p>
    <w:p w14:paraId="3297DB4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6C3359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февраля 1944 под Корсунем Красной армией окружено до 60 тыс. немецких солдат (4962).</w:t>
      </w:r>
    </w:p>
    <w:p w14:paraId="09EBA7B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8CEF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февраля 1944 1 и 2УФ завершили окружение 10 немецких дивизий и одной бригады под Корсунь-Шевченковским. Соединились под Звенигородкой и создали внутренний и внешний фронты окружения. Авиация действовала в трудных погодных условиях. Оттепель вывела из строя аэродромы. В ВА осталось по 2-3 действующих с 50-100 машинами. Тем не менее, с 29 января по 3 февраля выполнили 2800 вылета, а немцы вдвое меньше. Ил-2 широко применяли ПТАБ. Летали и У-2 (340,163).</w:t>
      </w:r>
    </w:p>
    <w:p w14:paraId="29DAE4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894F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февраля 1944 мл-л А.Д.Шурганов, который штурмовал скопление танков и автомашин в районе Таганча, был подбит и направил горящую машину в это скопление (430,187).</w:t>
      </w:r>
    </w:p>
    <w:p w14:paraId="27CC89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C3A8C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rPr>
        <w:t>3 февраля 1944 ст-л Суриков в ходе свободной охоты в паре с ведомым обнаружил 2 группы - 16 транспортных самолетов в сопровождении 6-10 и, которые уже садились. Вызвалипорадиоииуничтожили</w:t>
      </w:r>
      <w:r w:rsidRPr="00070ADE">
        <w:rPr>
          <w:rFonts w:ascii="Times New Roman" w:hAnsi="Times New Roman"/>
          <w:color w:val="000000" w:themeColor="text1"/>
          <w:sz w:val="16"/>
          <w:szCs w:val="16"/>
          <w:lang w:val="en-US"/>
        </w:rPr>
        <w:t xml:space="preserve"> 9 </w:t>
      </w:r>
      <w:r w:rsidRPr="00070ADE">
        <w:rPr>
          <w:rFonts w:ascii="Times New Roman" w:hAnsi="Times New Roman"/>
          <w:color w:val="000000" w:themeColor="text1"/>
          <w:sz w:val="16"/>
          <w:szCs w:val="16"/>
        </w:rPr>
        <w:t>транспортныхи</w:t>
      </w:r>
      <w:r w:rsidRPr="00070ADE">
        <w:rPr>
          <w:rFonts w:ascii="Times New Roman" w:hAnsi="Times New Roman"/>
          <w:color w:val="000000" w:themeColor="text1"/>
          <w:sz w:val="16"/>
          <w:szCs w:val="16"/>
          <w:lang w:val="en-US"/>
        </w:rPr>
        <w:t xml:space="preserve"> 6 </w:t>
      </w:r>
      <w:r w:rsidRPr="00070ADE">
        <w:rPr>
          <w:rFonts w:ascii="Times New Roman" w:hAnsi="Times New Roman"/>
          <w:color w:val="000000" w:themeColor="text1"/>
          <w:sz w:val="16"/>
          <w:szCs w:val="16"/>
        </w:rPr>
        <w:t>и</w:t>
      </w:r>
      <w:r w:rsidRPr="00070ADE">
        <w:rPr>
          <w:rFonts w:ascii="Times New Roman" w:hAnsi="Times New Roman"/>
          <w:color w:val="000000" w:themeColor="text1"/>
          <w:sz w:val="16"/>
          <w:szCs w:val="16"/>
          <w:lang w:val="en-US"/>
        </w:rPr>
        <w:t xml:space="preserve"> (430,186).</w:t>
      </w:r>
    </w:p>
    <w:p w14:paraId="292E93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AD926A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February 3, 1944: In the East, the beginning of renewed defensive battles against Soviet forces in the area of Vitebsk (3819).</w:t>
      </w:r>
    </w:p>
    <w:p w14:paraId="77AE13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C1F3B9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февраля 1944 возобновились оборонительные бои немецких частей под Витебском (3819).</w:t>
      </w:r>
    </w:p>
    <w:p w14:paraId="053DC8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3EDCD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3CAAAC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972B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февраля 1944 Ф.Д.Р. сообщил, что итальянский флот будет разделен между США, Великобританией и СССР (1064).</w:t>
      </w:r>
    </w:p>
    <w:p w14:paraId="147D7F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8CD3B4"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0EA278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071D4F" w14:textId="77777777" w:rsidR="00DA3A86" w:rsidRPr="00070ADE" w:rsidRDefault="00DA3A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 февраля</w:t>
      </w:r>
      <w:r w:rsidRPr="00070ADE">
        <w:rPr>
          <w:rFonts w:ascii="Times New Roman" w:hAnsi="Times New Roman"/>
          <w:color w:val="000000" w:themeColor="text1"/>
          <w:sz w:val="16"/>
          <w:szCs w:val="16"/>
        </w:rPr>
        <w:t xml:space="preserve"> в 1944 году проведены первые стрельбы экзотического оружия - револьверной, вращающейся пусковой установки для 210-мм ракет «Wurf Granat 210» на легком бомбардировщике </w:t>
      </w:r>
      <w:hyperlink r:id="rId33" w:tgtFrame="_blank" w:history="1">
        <w:r w:rsidRPr="00070ADE">
          <w:rPr>
            <w:rFonts w:ascii="Times New Roman" w:hAnsi="Times New Roman"/>
            <w:color w:val="000000" w:themeColor="text1"/>
            <w:sz w:val="16"/>
            <w:szCs w:val="16"/>
          </w:rPr>
          <w:t xml:space="preserve">«Ме-410А-1» (W.Nr.1050). </w:t>
        </w:r>
      </w:hyperlink>
      <w:r w:rsidRPr="00070ADE">
        <w:rPr>
          <w:rFonts w:ascii="Times New Roman" w:hAnsi="Times New Roman"/>
          <w:color w:val="000000" w:themeColor="text1"/>
          <w:sz w:val="16"/>
          <w:szCs w:val="16"/>
        </w:rPr>
        <w:t>Одна из пусковых установок выступала за контур фюзеляжа. За счет быстрого поворота барабана все шесть ракет можно было выпустить за один заход. Стрельбы оказались неудачными - планер получил серьезные повреждения. Правда, доводка этого образца продолжилась. Ее удалось поставить еще на нескольких самолетах для проведения войсковых испытаний (15029).</w:t>
      </w:r>
    </w:p>
    <w:p w14:paraId="4DFC0C0E" w14:textId="77777777" w:rsidR="00DA3A86" w:rsidRPr="00070ADE" w:rsidRDefault="00DA3A86" w:rsidP="00B56F90">
      <w:pPr>
        <w:spacing w:after="0" w:line="240" w:lineRule="auto"/>
        <w:jc w:val="both"/>
        <w:rPr>
          <w:rFonts w:ascii="Times New Roman" w:hAnsi="Times New Roman"/>
          <w:color w:val="000000" w:themeColor="text1"/>
          <w:sz w:val="16"/>
          <w:szCs w:val="16"/>
        </w:rPr>
      </w:pPr>
    </w:p>
    <w:p w14:paraId="5967634E" w14:textId="77777777" w:rsidR="00DA3A86" w:rsidRPr="00070ADE" w:rsidRDefault="00DA3A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 февраля</w:t>
      </w:r>
      <w:r w:rsidRPr="00070ADE">
        <w:rPr>
          <w:rFonts w:ascii="Times New Roman" w:hAnsi="Times New Roman"/>
          <w:color w:val="000000" w:themeColor="text1"/>
          <w:sz w:val="16"/>
          <w:szCs w:val="16"/>
        </w:rPr>
        <w:t xml:space="preserve"> в 1944 году первый полёт третьего прототипа ночного всепогодного истребителя </w:t>
      </w:r>
      <w:hyperlink r:id="rId34" w:tgtFrame="_blank" w:history="1">
        <w:r w:rsidRPr="00070ADE">
          <w:rPr>
            <w:rFonts w:ascii="Times New Roman" w:hAnsi="Times New Roman"/>
            <w:color w:val="000000" w:themeColor="text1"/>
            <w:sz w:val="16"/>
            <w:szCs w:val="16"/>
          </w:rPr>
          <w:t xml:space="preserve">«Ta-154V-3» </w:t>
        </w:r>
      </w:hyperlink>
      <w:r w:rsidRPr="00070ADE">
        <w:rPr>
          <w:rFonts w:ascii="Times New Roman" w:hAnsi="Times New Roman"/>
          <w:color w:val="000000" w:themeColor="text1"/>
          <w:sz w:val="16"/>
          <w:szCs w:val="16"/>
        </w:rPr>
        <w:t>(сер. № 0003, бортовой код TE+FG), (компания «Focke-Wulf», Германия). В качестве силовой установки сохранили «Jumo211F», а позднее их сменили на 1500-сильные «Jumo211N». На самолёте установили пламегасители, РЛС «FuG212» и четыре 20-мм пушки 2MG151/20E» с боекомплектом. Установка оружия привела к увеличению взлетной массы до 8700 кг, что очень быстро выявили заводские испытания. Помимо оружия "тройка" отличалась от предыдущих прототипов новым килем большей площади, потребовавшимся для компенсации потери устойчивости, вызванной установкой антенной системы типа Hirschgewein (оленьи рога) РЛС «FuG220» "Лихтенштейн SN-2", которую смонтировали вместо «FuG212» в первых числах февраля 1944 года (15029).</w:t>
      </w:r>
    </w:p>
    <w:p w14:paraId="6E598897" w14:textId="77777777" w:rsidR="00DA3A86" w:rsidRPr="00070ADE" w:rsidRDefault="00DA3A86" w:rsidP="00B56F90">
      <w:pPr>
        <w:spacing w:after="0" w:line="240" w:lineRule="auto"/>
        <w:jc w:val="both"/>
        <w:rPr>
          <w:rFonts w:ascii="Times New Roman" w:hAnsi="Times New Roman"/>
          <w:color w:val="000000" w:themeColor="text1"/>
          <w:sz w:val="16"/>
          <w:szCs w:val="16"/>
        </w:rPr>
      </w:pPr>
    </w:p>
    <w:p w14:paraId="30428092" w14:textId="77777777" w:rsidR="00D8403C" w:rsidRPr="00070ADE" w:rsidRDefault="00D840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февраля 1944 864 бомбардировщика 8-й воздушной армии совершили налет на портовый район Вильгельмсхафена, Германия, и цели в Эмдене , Германия, в сопровождении 632 истребителя. Четыре бомбардировщика и девять истребителей потеряны. Вместе бомбардировщики и истребители утверждают, что восемь немецких самолетов сбиты, один, вероятно, сбит и три повреждены (20373).</w:t>
      </w:r>
    </w:p>
    <w:p w14:paraId="024B356A" w14:textId="77777777" w:rsidR="00D8403C" w:rsidRPr="00070ADE" w:rsidRDefault="00D8403C" w:rsidP="00B56F90">
      <w:pPr>
        <w:spacing w:after="0" w:line="240" w:lineRule="auto"/>
        <w:jc w:val="both"/>
        <w:rPr>
          <w:rFonts w:ascii="Times New Roman" w:hAnsi="Times New Roman"/>
          <w:color w:val="000000" w:themeColor="text1"/>
          <w:sz w:val="16"/>
          <w:szCs w:val="16"/>
        </w:rPr>
      </w:pPr>
    </w:p>
    <w:p w14:paraId="096597C7" w14:textId="77777777" w:rsidR="00D8403C" w:rsidRPr="00070ADE" w:rsidRDefault="00D840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февраля 1944 оперативная группа 58 ВМС США завершает поддержку наземных операций на острове Кваджалейн и Рой-Намюр (20373).</w:t>
      </w:r>
    </w:p>
    <w:p w14:paraId="197C6B7C" w14:textId="77777777" w:rsidR="00D8403C" w:rsidRPr="00070ADE" w:rsidRDefault="00D8403C" w:rsidP="00B56F90">
      <w:pPr>
        <w:spacing w:after="0" w:line="240" w:lineRule="auto"/>
        <w:jc w:val="both"/>
        <w:rPr>
          <w:rFonts w:ascii="Times New Roman" w:hAnsi="Times New Roman"/>
          <w:color w:val="000000" w:themeColor="text1"/>
          <w:sz w:val="16"/>
          <w:szCs w:val="16"/>
        </w:rPr>
      </w:pPr>
    </w:p>
    <w:p w14:paraId="7BDA00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февраля 1944 американцы впервые вступили на японскую землю, высадившись на Курилах (2100).</w:t>
      </w:r>
    </w:p>
    <w:p w14:paraId="754725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74CD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February 03 Fri. 1944 President announces that the Italian Fleet will be distributed among the United States, Great Britain, and Russia (1064).</w:t>
      </w:r>
    </w:p>
    <w:p w14:paraId="2CFC72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BCD115D"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52016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07F3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февраля 1944 года вышел приказ № 67 НКАП</w:t>
      </w:r>
    </w:p>
    <w:p w14:paraId="6B0392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Директору завода № 153 в Новосибирске принять здание, оборудование и инвентарь филиала ЦАГИ в Новосибирске, использовав его под лабораторный корпус (8938).</w:t>
      </w:r>
    </w:p>
    <w:p w14:paraId="03054C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580C0D"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35D34E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7F233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февраля 1944 г. вышло ПРИКАЗАНИЕ НАЧАЛЬНИКА ШТАБА ГАВТУ КА НАЧАЛЬНИКАМ УПРАВЛЕНИЙ О ПОПУЛЯРИЗАЦИИ АВТОМОБИЛЬНОЙ СЛУЖБЫ № 223-а</w:t>
      </w:r>
    </w:p>
    <w:p w14:paraId="5677987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пропаганды и правильного понимания основ автомобильной службы, вопросов пра</w:t>
      </w:r>
      <w:r w:rsidRPr="00070ADE">
        <w:rPr>
          <w:rFonts w:ascii="Times New Roman" w:hAnsi="Times New Roman"/>
          <w:color w:val="000000" w:themeColor="text1"/>
          <w:sz w:val="16"/>
          <w:szCs w:val="16"/>
        </w:rPr>
        <w:softHyphen/>
        <w:t>вильной эксплуатации, профилактики, порядка и методов ремонта, способов устранения неисправ</w:t>
      </w:r>
      <w:r w:rsidRPr="00070ADE">
        <w:rPr>
          <w:rFonts w:ascii="Times New Roman" w:hAnsi="Times New Roman"/>
          <w:color w:val="000000" w:themeColor="text1"/>
          <w:sz w:val="16"/>
          <w:szCs w:val="16"/>
        </w:rPr>
        <w:softHyphen/>
        <w:t>ности автомашин, а также организации и перевозки грузов и войск и методики подготовки автомо</w:t>
      </w:r>
      <w:r w:rsidRPr="00070ADE">
        <w:rPr>
          <w:rFonts w:ascii="Times New Roman" w:hAnsi="Times New Roman"/>
          <w:color w:val="000000" w:themeColor="text1"/>
          <w:sz w:val="16"/>
          <w:szCs w:val="16"/>
        </w:rPr>
        <w:softHyphen/>
        <w:t>бильно-технических кадров начальник Главного автомобильного управления Красной Армии гене</w:t>
      </w:r>
      <w:r w:rsidRPr="00070ADE">
        <w:rPr>
          <w:rFonts w:ascii="Times New Roman" w:hAnsi="Times New Roman"/>
          <w:color w:val="000000" w:themeColor="text1"/>
          <w:sz w:val="16"/>
          <w:szCs w:val="16"/>
        </w:rPr>
        <w:softHyphen/>
        <w:t>рал-лейтенант т. Тягунов ПРИКАЗАЛ:</w:t>
      </w:r>
    </w:p>
    <w:p w14:paraId="452063F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Проработать и составить статьи в периодическую печать (газеты «Правда», «Красная звезда» и журналы «Автомобиль», «Бронетанковый» и «Тыл и снабжение»), по вопросам функциональных работ вверенного вам отдела, по вашему усмотрению.</w:t>
      </w:r>
    </w:p>
    <w:p w14:paraId="06A7118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 составлению статьи привлекать также ваших помощников.</w:t>
      </w:r>
    </w:p>
    <w:p w14:paraId="525867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Статью передать зам. начальника штаба ГАВТУ КА в феврале-марте 1944 года.</w:t>
      </w:r>
    </w:p>
    <w:p w14:paraId="24818C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Название выбранной темы для статьи и сроки представления ее доложить пом. начальника штаба ГАВТУ КА не позднее 10 февраля 1944 года.</w:t>
      </w:r>
    </w:p>
    <w:p w14:paraId="18E8F2A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штаба ГАВТУ КА генерал-майор Мизонов</w:t>
      </w:r>
    </w:p>
    <w:p w14:paraId="3BB1BA6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41. Оп, 11583. Д. 22. Л. 6. Подлинник (11420).</w:t>
      </w:r>
    </w:p>
    <w:p w14:paraId="2C48AAB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F4B0D2" w14:textId="77777777" w:rsidR="008C4D27" w:rsidRPr="00C94B78" w:rsidRDefault="008C4D27" w:rsidP="00B56F90">
      <w:pPr>
        <w:pStyle w:val="45"/>
        <w:spacing w:before="0" w:line="240" w:lineRule="auto"/>
        <w:jc w:val="both"/>
        <w:rPr>
          <w:rFonts w:ascii="Times New Roman" w:cs="Times New Roman"/>
          <w:color w:val="0070C0"/>
          <w:sz w:val="16"/>
          <w:szCs w:val="16"/>
        </w:rPr>
      </w:pPr>
      <w:r w:rsidRPr="00C94B78">
        <w:rPr>
          <w:rStyle w:val="46"/>
          <w:rFonts w:ascii="Times New Roman" w:cs="Times New Roman"/>
          <w:color w:val="0070C0"/>
          <w:sz w:val="16"/>
          <w:szCs w:val="16"/>
        </w:rPr>
        <w:t>4 февраля 1945 г. в «Дополнительных материалах по объекту «Гнейс-2» на соискание Сталинской премии» сообщалось о боевой работе морского варианта локатора «Гнейс-2М»:</w:t>
      </w:r>
    </w:p>
    <w:p w14:paraId="7D302BB9" w14:textId="77777777" w:rsidR="008C4D27" w:rsidRPr="00C94B78" w:rsidRDefault="008C4D27" w:rsidP="00B56F90">
      <w:pPr>
        <w:spacing w:after="0" w:line="240" w:lineRule="auto"/>
        <w:jc w:val="both"/>
        <w:rPr>
          <w:rFonts w:ascii="Times New Roman" w:hAnsi="Times New Roman"/>
          <w:color w:val="0070C0"/>
          <w:sz w:val="16"/>
          <w:szCs w:val="16"/>
        </w:rPr>
      </w:pPr>
      <w:r w:rsidRPr="00C94B78">
        <w:rPr>
          <w:rFonts w:ascii="Times New Roman" w:hAnsi="Times New Roman"/>
          <w:noProof/>
          <w:color w:val="0070C0"/>
          <w:sz w:val="16"/>
          <w:szCs w:val="16"/>
        </w:rPr>
        <w:drawing>
          <wp:anchor distT="455295" distB="253365" distL="7121525" distR="114300" simplePos="0" relativeHeight="251659264" behindDoc="0" locked="0" layoutInCell="1" allowOverlap="1" wp14:anchorId="2EDC817D" wp14:editId="5C607159">
            <wp:simplePos x="0" y="0"/>
            <wp:positionH relativeFrom="page">
              <wp:posOffset>7586980</wp:posOffset>
            </wp:positionH>
            <wp:positionV relativeFrom="margin">
              <wp:posOffset>7507605</wp:posOffset>
            </wp:positionV>
            <wp:extent cx="262255" cy="2401570"/>
            <wp:effectExtent l="0" t="0" r="0" b="0"/>
            <wp:wrapTopAndBottom/>
            <wp:docPr id="913" name="Shape 913"/>
            <wp:cNvGraphicFramePr/>
            <a:graphic xmlns:a="http://schemas.openxmlformats.org/drawingml/2006/main">
              <a:graphicData uri="http://schemas.openxmlformats.org/drawingml/2006/picture">
                <pic:pic xmlns:pic="http://schemas.openxmlformats.org/drawingml/2006/picture">
                  <pic:nvPicPr>
                    <pic:cNvPr id="914" name="Picture box 914"/>
                    <pic:cNvPicPr/>
                  </pic:nvPicPr>
                  <pic:blipFill>
                    <a:blip r:embed="rId35"/>
                    <a:stretch/>
                  </pic:blipFill>
                  <pic:spPr>
                    <a:xfrm>
                      <a:off x="0" y="0"/>
                      <a:ext cx="262255" cy="2401570"/>
                    </a:xfrm>
                    <a:prstGeom prst="rect">
                      <a:avLst/>
                    </a:prstGeom>
                  </pic:spPr>
                </pic:pic>
              </a:graphicData>
            </a:graphic>
          </wp:anchor>
        </w:drawing>
      </w:r>
      <w:r w:rsidRPr="00C94B78">
        <w:rPr>
          <w:rStyle w:val="46"/>
          <w:rFonts w:ascii="Times New Roman" w:cs="Times New Roman"/>
          <w:color w:val="0070C0"/>
          <w:sz w:val="16"/>
          <w:szCs w:val="16"/>
        </w:rPr>
        <w:t>«Самолеты Краснознаменного Балтийского флота под командованием героя Советского Союза тов. БОРЗОВА, оборудованные радиолокаторами «Гнейс-2М», в условиях отсутствия видимости обнаружили, атаковали и потопили 6 немецких транспортов общим водоизме</w:t>
      </w:r>
      <w:r w:rsidRPr="00C94B78">
        <w:rPr>
          <w:rStyle w:val="46"/>
          <w:rFonts w:ascii="Times New Roman" w:cs="Times New Roman"/>
          <w:color w:val="0070C0"/>
          <w:sz w:val="16"/>
          <w:szCs w:val="16"/>
        </w:rPr>
        <w:softHyphen/>
        <w:t>щением около 48 тыс. тонн. Во время бегства немцев из Севастополя, разведывательные самолеты Черно</w:t>
      </w:r>
      <w:r w:rsidRPr="00C94B78">
        <w:rPr>
          <w:rStyle w:val="46"/>
          <w:rFonts w:ascii="Times New Roman" w:cs="Times New Roman"/>
          <w:color w:val="0070C0"/>
          <w:sz w:val="16"/>
          <w:szCs w:val="16"/>
        </w:rPr>
        <w:softHyphen/>
        <w:t xml:space="preserve">морского флота, оборудованные радиолокаторами «Гнейс-2М», в ночных полетах находили вражеские </w:t>
      </w:r>
      <w:r w:rsidRPr="00C94B78">
        <w:rPr>
          <w:rStyle w:val="35"/>
          <w:rFonts w:ascii="Times New Roman" w:cs="Times New Roman"/>
          <w:color w:val="0070C0"/>
          <w:spacing w:val="0"/>
          <w:sz w:val="16"/>
          <w:szCs w:val="16"/>
        </w:rPr>
        <w:t>караваны и давали целеуказания самолетам-торпедо</w:t>
      </w:r>
      <w:r w:rsidRPr="00C94B78">
        <w:rPr>
          <w:rStyle w:val="35"/>
          <w:rFonts w:ascii="Times New Roman" w:cs="Times New Roman"/>
          <w:color w:val="0070C0"/>
          <w:spacing w:val="0"/>
          <w:sz w:val="16"/>
          <w:szCs w:val="16"/>
        </w:rPr>
        <w:softHyphen/>
        <w:t>носцам и кораблям Черноморского флота. Во время операций самолетами-разведчиками, вооруженными локаторами «Гнейс-2», было обнаружено 4 крупных каравана судов противника, которые были разгромлены самолетами-торпедоносцами и кораблями Черномор</w:t>
      </w:r>
      <w:r w:rsidRPr="00C94B78">
        <w:rPr>
          <w:rStyle w:val="35"/>
          <w:rFonts w:ascii="Times New Roman" w:cs="Times New Roman"/>
          <w:color w:val="0070C0"/>
          <w:spacing w:val="0"/>
          <w:sz w:val="16"/>
          <w:szCs w:val="16"/>
        </w:rPr>
        <w:softHyphen/>
        <w:t>ского флота по данным, сообщенным самолетами- разведчиками».</w:t>
      </w:r>
    </w:p>
    <w:p w14:paraId="3C0A4454" w14:textId="77777777" w:rsidR="008C4D27" w:rsidRPr="00C94B78" w:rsidRDefault="008C4D27" w:rsidP="00B56F90">
      <w:pPr>
        <w:spacing w:after="0" w:line="240" w:lineRule="auto"/>
        <w:jc w:val="both"/>
        <w:rPr>
          <w:rFonts w:ascii="Times New Roman" w:hAnsi="Times New Roman"/>
          <w:color w:val="0070C0"/>
          <w:sz w:val="16"/>
          <w:szCs w:val="16"/>
        </w:rPr>
      </w:pPr>
      <w:r w:rsidRPr="00C94B78">
        <w:rPr>
          <w:rStyle w:val="46"/>
          <w:rFonts w:ascii="Times New Roman" w:cs="Times New Roman"/>
          <w:color w:val="0070C0"/>
          <w:sz w:val="16"/>
          <w:szCs w:val="16"/>
        </w:rPr>
        <w:t>С 1943 г. «Гнейс-2М» стали поступать в части ВМФ. Локатор позволял обнаруживать надводные корабли и суда водоизмещением более 10 тонн</w:t>
      </w:r>
      <w:r w:rsidRPr="00C94B78">
        <w:rPr>
          <w:rStyle w:val="30"/>
          <w:color w:val="0070C0"/>
          <w:sz w:val="16"/>
          <w:szCs w:val="16"/>
        </w:rPr>
        <w:t xml:space="preserve"> </w:t>
      </w:r>
      <w:r w:rsidRPr="00C94B78">
        <w:rPr>
          <w:rStyle w:val="46"/>
          <w:rFonts w:ascii="Times New Roman" w:cs="Times New Roman"/>
          <w:color w:val="0070C0"/>
          <w:sz w:val="16"/>
          <w:szCs w:val="16"/>
        </w:rPr>
        <w:t>на расстоянии до 25 км (25631).</w:t>
      </w:r>
    </w:p>
    <w:p w14:paraId="70EC288C" w14:textId="77777777" w:rsidR="008C4D27" w:rsidRPr="00C94B78" w:rsidRDefault="008C4D27" w:rsidP="00B56F90">
      <w:pPr>
        <w:spacing w:after="0" w:line="240" w:lineRule="auto"/>
        <w:jc w:val="both"/>
        <w:rPr>
          <w:rFonts w:ascii="Times New Roman" w:hAnsi="Times New Roman"/>
          <w:color w:val="0070C0"/>
          <w:sz w:val="16"/>
          <w:szCs w:val="16"/>
        </w:rPr>
      </w:pPr>
    </w:p>
    <w:p w14:paraId="7AC9987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февраля 1944 Заложен 21-й БМО (10671).</w:t>
      </w:r>
    </w:p>
    <w:p w14:paraId="22EA648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5201093"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A2896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1C779F"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4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2925FDCF"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4 февраля на Нарвском направлении наши войска продолжали наступление и заняли несколько населённых пунктов. Нашими войсками полностью очищено от немцев побережье Финского залива до устья реки Нарва.</w:t>
      </w:r>
    </w:p>
    <w:p w14:paraId="3186A905"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наступающие вдоль побережья Чудского озера и к востоку от него, заняли ряд населённых пунктов.</w:t>
      </w:r>
    </w:p>
    <w:p w14:paraId="160EEED9"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Сиверский наши войска с боями продвигались вперёд и заняли населённые пункты Мхи, Владычкино, Лужки и железнодорожные станции Низовский, Мшинская.</w:t>
      </w:r>
    </w:p>
    <w:p w14:paraId="55EDBFFD"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Любань наши войска, преодолевая инженерные заграждения противника на лесных дорогах, с боями продвигались вперёд и заняли населённые пункты Поддубье, Язвинка, Куболово, Пустое Рыдно, Замежье, Березницы, Заручье, Веряжино, Замостье, Березно, Вольные Кусони. Нашими войсками полностью очищенаот противника железная дорога Новгород—Ленинград.</w:t>
      </w:r>
    </w:p>
    <w:p w14:paraId="1CEB3FDA"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Новгорода наши войска, преодолевая сопротивление и контратаки противника, продолжали вести наступательные бои и заняли несколько населённых пунктов.</w:t>
      </w:r>
    </w:p>
    <w:p w14:paraId="07FD5A1A"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Звенигородка и Шпола наши войска продолжали вести бои по уничтожению окружённой группировки противника и заняли населённые пункты Малый Ржавец, Гамарня, Кононочь, Хмельна, Михайловка, Мошны, Вороновка. Наша авиация на этом участке фронта вела успешную борьбу с транспортными самолётами противника, сбив при этом в воздухе 13 и уничтожив на посадочных площадках 60 трехмоторный транспортных самолётов «Ю-52».</w:t>
      </w:r>
    </w:p>
    <w:p w14:paraId="1D764B00"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3 февраля наши войска на всех фронтах подбили и уничтожили 78 немецких танков. В воздушных боях и огнём зенитной артиллерии сбито 43 самолёта противника и, кроме этого, 60 самолётов уничтожено на посадочных площадках.</w:t>
      </w:r>
    </w:p>
    <w:p w14:paraId="5E27F146"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Нарвском направлении наши войска, продвигаясь вперёд, полностью очистили от немцев побережье Финского залива до устья реки Нарва. Бойцы Н-ской части смелым обходным манёвром блокировали опорный пункт противника и в ожесточённом бою уничтожили батальон немецкой пехоты. Захвачены трофеи, в числе которых 4 исправных танка. В этом же районе наши бойцы освободили группу жителей Эстонской Советской республики, насильно мобилизованных немцами на строительство оборонительных рубежей.</w:t>
      </w:r>
    </w:p>
    <w:p w14:paraId="3D600610"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Наши войска, наступающие вдоль побережья Чудского озера и к востоку от него, овладели рядом населённых пунктов. Советские части, действуя совместно с партизанами, громят вражеские опорные пункты и наносят немцам большой урон. За день боёв истреблено 1.200 солдат и офицеров противника. Овладев одним населённым пунктом, советские бойцы взяли в плен свыше 300 немецких солдат и офицеров.</w:t>
      </w:r>
    </w:p>
    <w:p w14:paraId="27D5626A"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станции Сиверский наши войска с боями заняли несколько населенных пунктов и железнодорожные станции Низовский и Мшинская. Н-ская танковая часть, быстро продвигаясь вперёд, атаковала вражескую автоколонну. Советские танкисты уничтожили 40 автомашин с военными грузами и истребили роту немецких автоматчиков, сопровождавших эту колонну. На другом участке наши бойцы вышли в тыл отступавшим гитлеровцам. Ружейно-пулемётным огнём противник был рассеян, оставив на дороге 220 трупов своих солдат и офицеров. Немцы бросили 7 орудий и несколько тяжёлых миномётов с полным комплектом боеприпасов.</w:t>
      </w:r>
    </w:p>
    <w:p w14:paraId="402D44BD"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Новгорода противник, стремясь задержать наступление советских частей, предпринял несколько контратак. Наши части отбили контратаки гитлеровцев и, продвигаясь вперёд, заняли несколько населённых пунктов. Уничтожено 600 вражеских солдат и офицеров, сожжено и подбито 9 немецких танков и самоходных орудий.</w:t>
      </w:r>
    </w:p>
    <w:p w14:paraId="23B2E466"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городов Звенигородка и Шпола наши войска вели бои по уничтожению окружённой группировки противника. Немцы контратаками пытаются нащупать слабое место и вырваться из окружения. Наши войска отбили все контратаки гитлеровцев и нанесли им большие потери в живой силе и технике. Части Н-ского соединения, сжимая кольцо окружения, выбили противника из ряда населённых пунктов. Уничтожено до 2 тысяч немецких солдат и офицеров. Другое наше соединение за день боёв уничтожило 26 танков и самоходных орудий и более 800 гитлеровцев. Немцы пытались извне оказать помощь своим окружённым войскам и предприняли танковую атаку. Советские артиллеристы и бронебойщики сожгли и подбили 32 немецких танкаи отбросили противника.</w:t>
      </w:r>
    </w:p>
    <w:p w14:paraId="20F0D973"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блокирует с воздуха аэродромы и посадочные площадки в районе расположения окруженных немецких войск. Советские штурмовики и истребители 2 февраля встретили 16 транспортных самолётов «Юнкерс-52». В воздушном бою наши лётчики сбили 11 вражеских самолётов. Сегодня наша авиация перехватила большую группу немецких транспортных самолётов, летевших под охраной истребителей. Советские лётчики атаковали врага и в воздушном бою сбили 13 транспортных самолётов и 10 истребителей противника. Сегодня же в течение дня в районе окружённой группировки противника уничтожено на земле 60 немецких трехмоторных транспортных самолётов.</w:t>
      </w:r>
    </w:p>
    <w:p w14:paraId="52D2D3B0"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Черноморского флота нанесла удар по караванам вражеских судов. Прямым попаданием бомб потоплены три транспорта общим водоизмещением в 4 тысячи тонн, одна баржа водоизмещением в тысячу тонн, одна десантная и две сухогрузных баржи противника.</w:t>
      </w:r>
    </w:p>
    <w:p w14:paraId="7D0FE8A4"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Ленинградские партизанские отрады в течение одной ночи захватили несколько железнодорожных станций и разъездов в тылу противника. Советские патриоты взорвали 4.500 рельсов, 3 железнодорожных моста и вырезали десятки километров телеграфно-телефонной линии связи. В ходе этой операции партизаны взорвали 3немецких эшелона с техникой и военным имуществом и истребили свыше 400 гитлеровцев. Партизаны держат два железнодорожных участка под своим контролем и не дают немцам восстановить движение поездов.» (15030).</w:t>
      </w:r>
    </w:p>
    <w:p w14:paraId="665CD662" w14:textId="77777777" w:rsidR="00B862BC" w:rsidRPr="00070ADE" w:rsidRDefault="00B862BC" w:rsidP="00B56F90">
      <w:pPr>
        <w:spacing w:after="0" w:line="240" w:lineRule="auto"/>
        <w:jc w:val="both"/>
        <w:rPr>
          <w:rFonts w:ascii="Times New Roman" w:hAnsi="Times New Roman"/>
          <w:color w:val="000000" w:themeColor="text1"/>
          <w:sz w:val="16"/>
          <w:szCs w:val="16"/>
        </w:rPr>
      </w:pPr>
    </w:p>
    <w:p w14:paraId="129962B8"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4 февраля</w:t>
      </w:r>
      <w:r w:rsidRPr="00070ADE">
        <w:rPr>
          <w:rFonts w:ascii="Times New Roman" w:hAnsi="Times New Roman"/>
          <w:color w:val="000000" w:themeColor="text1"/>
          <w:sz w:val="16"/>
          <w:szCs w:val="16"/>
        </w:rPr>
        <w:t xml:space="preserve"> в 1944 году Ивану Никитовичу Кожедубу, лётчику-асу, присвоено звание Героя Советского Союза (первое) (15030).</w:t>
      </w:r>
    </w:p>
    <w:p w14:paraId="216CDCA6" w14:textId="77777777" w:rsidR="00B862BC" w:rsidRPr="00070ADE" w:rsidRDefault="00B862BC" w:rsidP="00B56F90">
      <w:pPr>
        <w:spacing w:after="0" w:line="240" w:lineRule="auto"/>
        <w:jc w:val="both"/>
        <w:rPr>
          <w:rFonts w:ascii="Times New Roman" w:hAnsi="Times New Roman"/>
          <w:color w:val="000000" w:themeColor="text1"/>
          <w:sz w:val="16"/>
          <w:szCs w:val="16"/>
        </w:rPr>
      </w:pPr>
    </w:p>
    <w:p w14:paraId="6859A1C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февраля 1944, когда под Корсунь-Шевченковским н танки вклинились во внешнюю оборону 53А 2УФ ш и артиллерия сорвали наступление. Это была 2ВА и она нанесла 2 удара. Немцы пробились в Лисянку, а окруженные войска - в Шендеровку. осталось всего 12 км (340,164).</w:t>
      </w:r>
    </w:p>
    <w:p w14:paraId="51A0F29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88534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февраля 1944 вышло Постановление ГКО № 5092 О строительстве командного пункта-убежища в районе гор. Киева. РГАНИР, Фонд ГКО, д. 205, лл. 1-2,3-5 (11012).</w:t>
      </w:r>
    </w:p>
    <w:p w14:paraId="56EF369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20D0A8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февраля, 23 мая и 28 июля 1944 Шпеер трижды посылал командованию Люфтваффе специальные меморандумы, снова и снова объясняя необходимость ударов по советским электростанциям. К Шпееру присоединился и один из лучших пилотов бомбардировочной авиации, оберет-лейтенант Вернер Баумбах, возглавивший в ноябре 1944 г. эскадру KG200. И наконец, в январе 1945 г. Гитлер отдал приказ о подготовке к операции, получившей кодовое наименование «Железный молот».</w:t>
      </w:r>
    </w:p>
    <w:p w14:paraId="3958C8B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 массированного удара по советским электростанциям в районе Москвы и Верхней Волги с помощью «чудо-оружия» созрел еще в 1944 г. Его активно продвигали профессор электротехники Штайнманн и рейхсминистр вооружений Альберт Шпеер. В качестве целей были выбраны 11 станций, работавших на угле и торфе и вырабатывавших электроэнергию и тепло: в Ярославле (две станции), в г. Комсомольске, в 40 км западнее Иваново, в Алексине, в Туле, в Кашире, в Шатуре, в Сталиногорске (ныне г. Новомосковск), в Балахне, в Горьком (Автозаводская ТЭЦ) и в Дзержинске (Игумновская ТЭЦ). Атаке также должны были подвергнуться две гидроэлектростанции в Рыбинске и Угличе. Общая мощность всех этих станций составляла около 1,5 млн кВт, или 60% от мощности всех электростанций Центрально-промышленного района СССР. Их разрушение привело бы к остановке большинства предприятий региона.</w:t>
      </w:r>
    </w:p>
    <w:p w14:paraId="1E17C8E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Германская авиация не имела стратегических бомбардировщиков, способных преодолевать расстояние в несколько тысяч километров и при этом нести достаточную бомбовую нагрузку. Поэтому для атаки советских электростанций Шпеер и Баумбах предложили использовать новое «чудо-оружие» – авиационный ударный комплекс «Мистел-2». Это был необычный летательный аппарат, представлявший собой связку двух самолетов. На фюзеляже беспилотного бомбардировщика Ju-88 на специальных стойках был закреплен истребитель FW-190, пилот которого при помощи электродистанционной системы управлял всем комплексом. «Мистел» имел ряд преимуществ по сравнению с обычным бомбардировщиком. Его пилоту не нужно было пролетать непосредственно над целью. Подойдя на дистанцию три-четыре километра, он на высоте 3000 м переводил комплекс в пологое пикирование. Поймав цель в прицел, летчик включал автопилот, удерживавший самолет-снаряд на выбранном курсе, а затем при помощи пиропатронов производил расцепку и уходил из зоны зенитного огня. В носовой части Ju-88 вместо кабины экипажа была установлена кумулятивная боеголовка с 1700 кг взрывчатки, пробивавшая броню толщиной 50 см или слой железобетона толщиной до 18 м и тем самым гарантировавшая уничтожение любых целей. В завершение пилот выполнял обратный полет на FW-190 и имел хорошие шансы уйти от вражеских истребителей. Каждую электростанцию должны были атаковать от трех до шести «Мистелов», главной целью которых были здания турбинных залов. В распоряжении летчиков были аэрофотоснимки и детальные трехмерные модели электростанций и окружающей местности. Кроме того, Штайнманн имел множество фотографий зданий турбинных залов, которые были сделаны с земли в различных погодных условиях и при различной освещенности. Их предоставила фирма «Сименс», которая в свое время изготавливала турбины для советских электростанций и чьи специалисты затем монтировали их, попутно снимая «на память» результаты своей работы. Не менее тщательно был разработан и маршрут полета к целям. В операции планировалось использовать 80 «Мистелов-2» и 150 цельфиндеров и разведчиков Ju-88, Ju-188, а также четырехмоторных Ju-290. Вся эта армада должна была взлететь с шести аэродромов в Северо-Восточной Германии в интервале между 16.00 и 19.00 в один из трех дней в конце марта, приходившихся на период полнолуния. Последнее обстоятельство было крайне важным, поскольку большая часть полета проходила в ночное время и яркая луна значительно облегчала ориентировку пилотов. Пройдя над Балтийским морем, Прибалтикой и Белоруссией, самолеты должны были достичь Смоленска. Дальше одна группа отворачивала на восток, чтобы атаковать электростанции в Алексине, Туле, Кашире и Сталиногорске, а оставшаяся и большая часть продолжала полет прежним курсом. Северо-западнее Москвы она разделялась еще на три группы: одна шла к Рыбинску, Ярославлю и Угличу, вторая – к Шатуре, а третья – к Горькому, Балахне и Дзержинску. По всей трассе самолеты-цельфиндеры в специальных контрольных точках должны были выстреливать сигнальные ракеты, облегчавшие пилотам «Мистелов» ориентировку. Общая протяженность перелета от аэродромов в районе Берлина до Горького составляла около 2250 км, и летчикам предстояло потратить восемь часов, чтобы преодолеть их. Самолеты должны были выйти к целям на рассвете. Предполагалось, что будут разрушены восемь из тринадцати электростанций. Это вызвало бы снижение объемов производства промышленности Центрально-промышленного района СССР на 40%.</w:t>
      </w:r>
    </w:p>
    <w:p w14:paraId="11830BE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После атаки пилотам «Мистелов» теперь уже только на одних FW-190, а также экипажам цельфиндеров предстояло пролететь еще 1200 км до аэродромов в Латвии, где узкая 150-км полоса берега удерживалась группой армий «Курляндия». Запаса топлива едва хватало, и была высокая вероятность, что кому-то придется возвращаться пешком (11744).</w:t>
      </w:r>
    </w:p>
    <w:p w14:paraId="6B6C696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915192B"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797364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E9594C"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4 февраля</w:t>
      </w:r>
      <w:r w:rsidRPr="00070ADE">
        <w:rPr>
          <w:rFonts w:ascii="Times New Roman" w:hAnsi="Times New Roman"/>
          <w:color w:val="000000" w:themeColor="text1"/>
          <w:sz w:val="16"/>
          <w:szCs w:val="16"/>
        </w:rPr>
        <w:t xml:space="preserve"> в 1944 году состоялся первый полет прототипа «ХВ-25Е», созданного на базе стандартного «North American» «B-25C/D» «Mitchell» (В-25С-10 № 42-32281) с дополнительной системой антиобледенения. Дело в том, что фронтовые машины постоянно сталкивались с обледенением машин. Проблема стояла так остро, что ее пришлось решать на уровне командования ВВС. Работы над прототипом начались зимой 1943 года в экспериментальном отделе NAA в Инглвуде (Калифорния). В верхней передней части кожухов двигателей установили стандартные воздухозаборники для карбюраторов. В нижней части капота поместили воздухозаборник системы антиобледенения. Внутри каждой гондолы находилась трубопровод, который направлял теплый воздух от двигателя в крылья, хвостовое оперение и фюзеляж. В некоторых местах крыльев и фюзеляжа установили дополнительные обогреватели, которые расположили так, чтобы теплопотери были минимальны. Теплый воздух циркулировал под обшивкой самолета, предотвращая ее обледенение. Самолет, получивший название "Flamin' Maimie", был готов к испытаниям в начале 1944 года. 4 февраля состоялся первый полет. Самолет управлял Джо Бартон. Программа предусматривала набор высоты до 20000 футов с контрольными замерами через каждые 1000 футов (15030).</w:t>
      </w:r>
    </w:p>
    <w:p w14:paraId="4513918D" w14:textId="77777777" w:rsidR="00B862BC" w:rsidRPr="00070ADE" w:rsidRDefault="00B862BC" w:rsidP="00B56F90">
      <w:pPr>
        <w:spacing w:after="0" w:line="240" w:lineRule="auto"/>
        <w:jc w:val="both"/>
        <w:rPr>
          <w:rFonts w:ascii="Times New Roman" w:hAnsi="Times New Roman"/>
          <w:color w:val="000000" w:themeColor="text1"/>
          <w:sz w:val="16"/>
          <w:szCs w:val="16"/>
        </w:rPr>
      </w:pPr>
    </w:p>
    <w:p w14:paraId="61BD6E96" w14:textId="2205D47A" w:rsidR="00BE4FA3" w:rsidRPr="00070ADE" w:rsidRDefault="00BE4FA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февраля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Первый полет опытного бомбардировщика ХВ-25Е «Flamin’ Maimie», оснащенного дополнительной системой антиобледенения. Летчик Джо Бартон (22634).</w:t>
      </w:r>
    </w:p>
    <w:p w14:paraId="3B484A1B" w14:textId="77777777" w:rsidR="00BE4FA3" w:rsidRPr="00070ADE" w:rsidRDefault="00BE4FA3" w:rsidP="00B56F90">
      <w:pPr>
        <w:spacing w:after="0" w:line="240" w:lineRule="auto"/>
        <w:jc w:val="both"/>
        <w:rPr>
          <w:rFonts w:ascii="Times New Roman" w:hAnsi="Times New Roman"/>
          <w:color w:val="000000" w:themeColor="text1"/>
          <w:sz w:val="16"/>
          <w:szCs w:val="16"/>
        </w:rPr>
      </w:pPr>
    </w:p>
    <w:p w14:paraId="5F4FD0F0" w14:textId="77777777" w:rsidR="00BE4FA3" w:rsidRPr="00070ADE" w:rsidRDefault="00BE4FA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февраля 1944 Армейские B-24 Liberator ВВС США впервые летит на фоторазведку Truk Атолла, Япония - главной базы в южной части Тихого океане и покрывает 1,700- морских миль (3148 км) из Бугенвиля (29373).</w:t>
      </w:r>
    </w:p>
    <w:p w14:paraId="140F6CF1" w14:textId="77777777" w:rsidR="00BE4FA3" w:rsidRPr="00070ADE" w:rsidRDefault="00BE4FA3" w:rsidP="00B56F90">
      <w:pPr>
        <w:spacing w:after="0" w:line="240" w:lineRule="auto"/>
        <w:jc w:val="both"/>
        <w:rPr>
          <w:rFonts w:ascii="Times New Roman" w:hAnsi="Times New Roman"/>
          <w:color w:val="000000" w:themeColor="text1"/>
          <w:sz w:val="16"/>
          <w:szCs w:val="16"/>
        </w:rPr>
      </w:pPr>
    </w:p>
    <w:p w14:paraId="2ED326A7" w14:textId="77777777" w:rsidR="00BE4FA3" w:rsidRPr="00070ADE" w:rsidRDefault="00BE4FA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февраля 1944 748 бомбардировщиков Восьмлй армии ВВС в сопровождении 637 истребителей атакуют промышленные и железнодорожные цели во Франкфурте-на-Майне, Германия, и цели в Гиссене, Висбадене, Трире и Арлоффе, Германия. Погибли двадцать бомбардировщиков и один истребитель. Бомбардировщики и истребители заявляют, что 12 немецких самолетов сбитых и четыреъ поврежденых (20373).</w:t>
      </w:r>
    </w:p>
    <w:p w14:paraId="757EAAFC" w14:textId="77777777" w:rsidR="00BE4FA3" w:rsidRPr="00070ADE" w:rsidRDefault="00BE4FA3" w:rsidP="00B56F90">
      <w:pPr>
        <w:spacing w:after="0" w:line="240" w:lineRule="auto"/>
        <w:jc w:val="both"/>
        <w:rPr>
          <w:rFonts w:ascii="Times New Roman" w:hAnsi="Times New Roman"/>
          <w:color w:val="000000" w:themeColor="text1"/>
          <w:sz w:val="16"/>
          <w:szCs w:val="16"/>
        </w:rPr>
      </w:pPr>
    </w:p>
    <w:p w14:paraId="1AC399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февраля 1944 Тирана. Кровавая расправа немецких войск СС с населением албанской столицы (7594).</w:t>
      </w:r>
    </w:p>
    <w:p w14:paraId="5CD179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2E2D69"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4 февраля</w:t>
      </w:r>
      <w:r w:rsidRPr="00070ADE">
        <w:rPr>
          <w:rFonts w:ascii="Times New Roman" w:hAnsi="Times New Roman"/>
          <w:color w:val="000000" w:themeColor="text1"/>
          <w:sz w:val="16"/>
          <w:szCs w:val="16"/>
        </w:rPr>
        <w:t xml:space="preserve"> в 1944 году Черчилль настаивает на высадке десанта на северном побережье Адриатического моря с целью овладения Северной Италией, Австрией и Югославией вместо высадки на средиземноморском побережье Франции (15030).</w:t>
      </w:r>
    </w:p>
    <w:p w14:paraId="65910B28" w14:textId="77777777" w:rsidR="00B862BC" w:rsidRPr="00070ADE" w:rsidRDefault="00B862BC" w:rsidP="00B56F90">
      <w:pPr>
        <w:spacing w:after="0" w:line="240" w:lineRule="auto"/>
        <w:jc w:val="both"/>
        <w:rPr>
          <w:rFonts w:ascii="Times New Roman" w:hAnsi="Times New Roman"/>
          <w:color w:val="000000" w:themeColor="text1"/>
          <w:sz w:val="16"/>
          <w:szCs w:val="16"/>
        </w:rPr>
      </w:pPr>
    </w:p>
    <w:p w14:paraId="0865DAAC"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4 февраля</w:t>
      </w:r>
      <w:r w:rsidRPr="00070ADE">
        <w:rPr>
          <w:rFonts w:ascii="Times New Roman" w:hAnsi="Times New Roman"/>
          <w:color w:val="000000" w:themeColor="text1"/>
          <w:sz w:val="16"/>
          <w:szCs w:val="16"/>
        </w:rPr>
        <w:t xml:space="preserve"> в 1944 году английское командование известило американский комитет начальников штабов о своем сомнении в возможности эффективного проведения высадки на средиземноморском побережье Франции (15030).</w:t>
      </w:r>
    </w:p>
    <w:p w14:paraId="4682A37E" w14:textId="77777777" w:rsidR="00B862BC" w:rsidRPr="00070ADE" w:rsidRDefault="00B862BC" w:rsidP="00B56F90">
      <w:pPr>
        <w:spacing w:after="0" w:line="240" w:lineRule="auto"/>
        <w:jc w:val="both"/>
        <w:rPr>
          <w:rFonts w:ascii="Times New Roman" w:hAnsi="Times New Roman"/>
          <w:color w:val="000000" w:themeColor="text1"/>
          <w:sz w:val="16"/>
          <w:szCs w:val="16"/>
        </w:rPr>
      </w:pPr>
    </w:p>
    <w:p w14:paraId="1CC6FCA8"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4 февраля</w:t>
      </w:r>
      <w:r w:rsidRPr="00070ADE">
        <w:rPr>
          <w:rFonts w:ascii="Times New Roman" w:hAnsi="Times New Roman"/>
          <w:color w:val="000000" w:themeColor="text1"/>
          <w:sz w:val="16"/>
          <w:szCs w:val="16"/>
        </w:rPr>
        <w:t xml:space="preserve"> в 1944 году в СЩА увидел свет номер «The Journal of Experimental Medicine» со статьей об одном из важнейших открытий в биологии. Освальд Эйвери (1877–1955) и его сотрудники Колин Маклауд и Маклин Маккарти в исследованиях, проведенных в лаборатории Рокфеллеровского медицинского института (Нью-Йорк), неопровержимо доказали, что носителем наследственной информации, «материалом» генов, является дезоксирибонуклеиновая кислота (ДНК). Девять лет спустя американец Джеймс Уотсон и англичанин Фрэнсис Крик установили, что молекула ДНК имеет структуру двойной спирали (15030).</w:t>
      </w:r>
    </w:p>
    <w:p w14:paraId="18D77161" w14:textId="77777777" w:rsidR="00B862BC" w:rsidRPr="00070ADE" w:rsidRDefault="00B862BC" w:rsidP="00B56F90">
      <w:pPr>
        <w:spacing w:after="0" w:line="240" w:lineRule="auto"/>
        <w:jc w:val="both"/>
        <w:rPr>
          <w:rFonts w:ascii="Times New Roman" w:hAnsi="Times New Roman"/>
          <w:color w:val="000000" w:themeColor="text1"/>
          <w:sz w:val="16"/>
          <w:szCs w:val="16"/>
        </w:rPr>
      </w:pPr>
    </w:p>
    <w:p w14:paraId="1C25607F"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0F39BD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AE47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года А.И.Шахурину было направлено Предварительное заключение по результатам испытаний самолета Ла-5ФН N 39210206, улучшенного ЦАГИ.</w:t>
      </w:r>
    </w:p>
    <w:p w14:paraId="44F2E1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ЦАГИ был предъявлен для испытания в ЛИИ самолет Ла-5ФН N 39210206, на котором, согласно приказу наркома Авиапрома N 650 сс, были произведены улучшения с целью увеличения максимальной скорости.</w:t>
      </w:r>
    </w:p>
    <w:p w14:paraId="34CDDE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изменения, произведенные на самолете по сравнению с серийными самолетами Ла-5 ФН, сводятся к следующему:</w:t>
      </w:r>
    </w:p>
    <w:p w14:paraId="58D50A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Всасывающий патрубок перенесен под капот мотора и улучшена его форма.</w:t>
      </w:r>
    </w:p>
    <w:p w14:paraId="00131A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Маслорадиатор перенесен под фюзеляж на 5 шпангоут и улучшена форма туннеля.</w:t>
      </w:r>
    </w:p>
    <w:p w14:paraId="77DC0B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Изменено дефлектирование цилиндров мотора и форма внутреннего капота.</w:t>
      </w:r>
    </w:p>
    <w:p w14:paraId="4FA06B0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Установлены индивидуальные выхлопные патрубки на все цилиндры.</w:t>
      </w:r>
    </w:p>
    <w:p w14:paraId="5837D94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Изменена компоновка створок капота.</w:t>
      </w:r>
    </w:p>
    <w:p w14:paraId="7196F61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Произведено спрямление носка центроплана путем образования переднего зализа; улучшена отделка поверхности крыла.</w:t>
      </w:r>
    </w:p>
    <w:p w14:paraId="476BE2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Произведены тщательная герметизация самолета и мелкие работы, улучшению аэродинамики самолета.</w:t>
      </w:r>
    </w:p>
    <w:p w14:paraId="10D331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настоящему времени произведено 13 полетов, из которых большинство, вследствие неудовлетворительной работы мотора, вызванной неустойчивой работой автомата РС-2 и свечей, не могло быть использовано для определения летных характеристик. За время испытаний для улучшения работы мотора два раза менялись анероидные коробки РС-2, были сменены автомат РС-2 и форсунки Ф-10 во всех цилиндрах мотора. Вследствие обгорания проводников зажигания были приклепаны экраны на дефлекторах свечей 7-го, 9-го и 14-го цилиндров.</w:t>
      </w:r>
    </w:p>
    <w:p w14:paraId="11125E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проведенных испытаний можно сделать следующие предварительные выводы (1821).</w:t>
      </w:r>
    </w:p>
    <w:p w14:paraId="08B560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35F7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года директор и гл. конструктор завода N 115 А. Яковлев писал письмо N 119с Шахурину.</w:t>
      </w:r>
    </w:p>
    <w:p w14:paraId="7E6D92A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исполнение постановления ГОКО за N 4428сс от 26/Х-1943 года, НКАП, приказом N 657сс от 2/XI-43 г., обязал завод N 115 изготовить к 1/I-44 г. двухместный учебный самолет ЯК-9 в двух экземплярах.</w:t>
      </w:r>
    </w:p>
    <w:p w14:paraId="4CA0FD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Предполагалось, что учебно-тренировочные самолеты типа ЯК-9 будут изготовляться на заводе N 153.</w:t>
      </w:r>
    </w:p>
    <w:p w14:paraId="572C944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последующими решениями НКАП о прекращении выпуска учебно-тренировочных самолетов типа ЯК-7 на заводе N 153 и о развертывании производства этих самолетов на заводе N 87, вариант изготовления учебно-тренировочных самолетов типа ЯК-9 на заводе N 153 - отпал.</w:t>
      </w:r>
    </w:p>
    <w:p w14:paraId="6441DB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сложившихся условиях постройку опытных образцов учебных самолетов на базе ЯК-9, считаю не целесообразной.</w:t>
      </w:r>
    </w:p>
    <w:p w14:paraId="4D874C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возбудить ходатайство перед ГОКО о снятии с завода N 115 задания на изготовление 2-х экземпляров в учебных самолетах ЯК-9 (2562,50).</w:t>
      </w:r>
    </w:p>
    <w:p w14:paraId="5A860C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A6A3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года приказом НКАП за № 12сс на базе объединения опытно-конструкторских бюро заводов №№ 28, 35 и 132 был создан в г. Ступино Московской области на производственных площадях бывш. Винтового производства комбината № 150 был создан опытный завод № 25.</w:t>
      </w:r>
    </w:p>
    <w:p w14:paraId="0AE08BC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Перебазировка была начата в январе 1944 года. Монтаж и установка оборудования были закончены к 1 июня 1944 года.</w:t>
      </w:r>
    </w:p>
    <w:p w14:paraId="635EB9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улучшения материально-технической базы, приказом НКАП за № 151сс от 20 апреля 1945 года завод № 25 был реорганизован в ОКБ завода № 150.</w:t>
      </w:r>
    </w:p>
    <w:p w14:paraId="43EF8D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конструктором ОКБ завода № 150 был назначен Жданов К.И.</w:t>
      </w:r>
    </w:p>
    <w:p w14:paraId="5821F6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заводе № 150 ОКБ находилось всего 11 месяцев, так как ввиду возросшего объема опытных работ – необходимости создания воздушных винтов к мощным моторам для самолетов дальнего действия, нужно было создать самостоятельную современную производственную экспериментальную базу отечественного винтостроения.</w:t>
      </w:r>
    </w:p>
    <w:p w14:paraId="2A0CCE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ОКБ завода № 150 приказом МАП за № 155сс от 25 марта 1946 года ОКБ было реорганизовано в опытный завод № 120. Директором и гл. конструктором опытного завода № 120 был назначен Жданов К.И.</w:t>
      </w:r>
    </w:p>
    <w:p w14:paraId="4860C3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приказа МАП № 417сс от 17 июня 1946 года, на базе опытного завода № 120 были созданы серийный завод № 120 по изготовлению воздушных винтов и ОКБ завода № 120 по проектированию и изготовлению новых опытных образцов воздушных винтов. Гл. конструктором ОКБ завода № 120 был назначен Жданов К.И.</w:t>
      </w:r>
    </w:p>
    <w:p w14:paraId="434613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Постановлением СМ от 26 июня 1957 года № 713-342 и приказа МАП от 20 августа 1957 года № 544 ОКБ завода № 120 реорганизовано в самостоятельную уставную организацию и является Государственным союзным ОКБ № 120 ГК СМ по авиационной технике.</w:t>
      </w:r>
    </w:p>
    <w:p w14:paraId="727573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период существования с 1 августа 1938 года до 1 января 1959 года ОКБ № 120 были созданы и переданы в серийное производство следующие основные образцы воздушных винтов: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4D4663" w:rsidRPr="00070ADE" w14:paraId="2C12EA5E" w14:textId="77777777">
        <w:tc>
          <w:tcPr>
            <w:tcW w:w="3868" w:type="dxa"/>
          </w:tcPr>
          <w:p w14:paraId="1EDC203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 самолета</w:t>
            </w:r>
          </w:p>
        </w:tc>
        <w:tc>
          <w:tcPr>
            <w:tcW w:w="3868" w:type="dxa"/>
          </w:tcPr>
          <w:p w14:paraId="7DCD5CA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Шифр винта</w:t>
            </w:r>
          </w:p>
        </w:tc>
        <w:tc>
          <w:tcPr>
            <w:tcW w:w="3868" w:type="dxa"/>
          </w:tcPr>
          <w:p w14:paraId="4A68A8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Год передачи в серийное производство</w:t>
            </w:r>
          </w:p>
        </w:tc>
      </w:tr>
      <w:tr w:rsidR="004D4663" w:rsidRPr="00070ADE" w14:paraId="69DD7E2A" w14:textId="77777777">
        <w:tc>
          <w:tcPr>
            <w:tcW w:w="3868" w:type="dxa"/>
          </w:tcPr>
          <w:p w14:paraId="6CB5E0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И-15</w:t>
            </w:r>
          </w:p>
        </w:tc>
        <w:tc>
          <w:tcPr>
            <w:tcW w:w="3868" w:type="dxa"/>
          </w:tcPr>
          <w:p w14:paraId="187386B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АВ-1</w:t>
            </w:r>
          </w:p>
        </w:tc>
        <w:tc>
          <w:tcPr>
            <w:tcW w:w="3868" w:type="dxa"/>
          </w:tcPr>
          <w:p w14:paraId="2303F51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1939</w:t>
            </w:r>
          </w:p>
        </w:tc>
      </w:tr>
      <w:tr w:rsidR="004D4663" w:rsidRPr="00070ADE" w14:paraId="6531B9CC" w14:textId="77777777">
        <w:tc>
          <w:tcPr>
            <w:tcW w:w="3868" w:type="dxa"/>
          </w:tcPr>
          <w:p w14:paraId="713E0E2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И-16</w:t>
            </w:r>
          </w:p>
        </w:tc>
        <w:tc>
          <w:tcPr>
            <w:tcW w:w="3868" w:type="dxa"/>
          </w:tcPr>
          <w:p w14:paraId="74B233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АВ-1</w:t>
            </w:r>
          </w:p>
        </w:tc>
        <w:tc>
          <w:tcPr>
            <w:tcW w:w="3868" w:type="dxa"/>
          </w:tcPr>
          <w:p w14:paraId="73642D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1939</w:t>
            </w:r>
          </w:p>
        </w:tc>
      </w:tr>
      <w:tr w:rsidR="004D4663" w:rsidRPr="00070ADE" w14:paraId="2072FADB" w14:textId="77777777">
        <w:tc>
          <w:tcPr>
            <w:tcW w:w="3868" w:type="dxa"/>
          </w:tcPr>
          <w:p w14:paraId="3FB1B98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Ил-4</w:t>
            </w:r>
          </w:p>
        </w:tc>
        <w:tc>
          <w:tcPr>
            <w:tcW w:w="3868" w:type="dxa"/>
          </w:tcPr>
          <w:p w14:paraId="202731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ВИШ-23</w:t>
            </w:r>
          </w:p>
        </w:tc>
        <w:tc>
          <w:tcPr>
            <w:tcW w:w="3868" w:type="dxa"/>
          </w:tcPr>
          <w:p w14:paraId="1AA3FE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1939</w:t>
            </w:r>
          </w:p>
        </w:tc>
      </w:tr>
      <w:tr w:rsidR="004D4663" w:rsidRPr="00070ADE" w14:paraId="74C8ACDB" w14:textId="77777777">
        <w:tc>
          <w:tcPr>
            <w:tcW w:w="3868" w:type="dxa"/>
          </w:tcPr>
          <w:p w14:paraId="760E6B1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Ли-2</w:t>
            </w:r>
          </w:p>
        </w:tc>
        <w:tc>
          <w:tcPr>
            <w:tcW w:w="3868" w:type="dxa"/>
          </w:tcPr>
          <w:p w14:paraId="223023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ВИШ-21</w:t>
            </w:r>
          </w:p>
        </w:tc>
        <w:tc>
          <w:tcPr>
            <w:tcW w:w="3868" w:type="dxa"/>
          </w:tcPr>
          <w:p w14:paraId="2BC662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1939</w:t>
            </w:r>
          </w:p>
        </w:tc>
      </w:tr>
      <w:tr w:rsidR="004D4663" w:rsidRPr="00070ADE" w14:paraId="7EF50F3C" w14:textId="77777777">
        <w:tc>
          <w:tcPr>
            <w:tcW w:w="3868" w:type="dxa"/>
          </w:tcPr>
          <w:p w14:paraId="519C46B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Миг-3</w:t>
            </w:r>
          </w:p>
        </w:tc>
        <w:tc>
          <w:tcPr>
            <w:tcW w:w="3868" w:type="dxa"/>
          </w:tcPr>
          <w:p w14:paraId="7351CF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АВ-5Л-123</w:t>
            </w:r>
          </w:p>
        </w:tc>
        <w:tc>
          <w:tcPr>
            <w:tcW w:w="3868" w:type="dxa"/>
          </w:tcPr>
          <w:p w14:paraId="249B90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1940</w:t>
            </w:r>
          </w:p>
        </w:tc>
      </w:tr>
      <w:tr w:rsidR="004D4663" w:rsidRPr="00070ADE" w14:paraId="2C21D092" w14:textId="77777777">
        <w:tc>
          <w:tcPr>
            <w:tcW w:w="3868" w:type="dxa"/>
          </w:tcPr>
          <w:p w14:paraId="1A567B6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w:t>
            </w:r>
          </w:p>
        </w:tc>
        <w:tc>
          <w:tcPr>
            <w:tcW w:w="3868" w:type="dxa"/>
          </w:tcPr>
          <w:p w14:paraId="02C96C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АВ-5Л-139</w:t>
            </w:r>
          </w:p>
        </w:tc>
        <w:tc>
          <w:tcPr>
            <w:tcW w:w="3868" w:type="dxa"/>
          </w:tcPr>
          <w:p w14:paraId="046184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1940</w:t>
            </w:r>
          </w:p>
        </w:tc>
      </w:tr>
      <w:tr w:rsidR="004D4663" w:rsidRPr="00070ADE" w14:paraId="19764874" w14:textId="77777777">
        <w:tc>
          <w:tcPr>
            <w:tcW w:w="3868" w:type="dxa"/>
          </w:tcPr>
          <w:p w14:paraId="284B37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Ер-2</w:t>
            </w:r>
          </w:p>
        </w:tc>
        <w:tc>
          <w:tcPr>
            <w:tcW w:w="3868" w:type="dxa"/>
          </w:tcPr>
          <w:p w14:paraId="6898B10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АВ-5Л-116</w:t>
            </w:r>
          </w:p>
        </w:tc>
        <w:tc>
          <w:tcPr>
            <w:tcW w:w="3868" w:type="dxa"/>
          </w:tcPr>
          <w:p w14:paraId="44CD77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1940</w:t>
            </w:r>
          </w:p>
        </w:tc>
      </w:tr>
      <w:tr w:rsidR="004D4663" w:rsidRPr="00070ADE" w14:paraId="747D57A6" w14:textId="77777777">
        <w:tc>
          <w:tcPr>
            <w:tcW w:w="3868" w:type="dxa"/>
          </w:tcPr>
          <w:p w14:paraId="69C63A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w:t>
            </w:r>
          </w:p>
        </w:tc>
        <w:tc>
          <w:tcPr>
            <w:tcW w:w="3868" w:type="dxa"/>
          </w:tcPr>
          <w:p w14:paraId="74C3AD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ВИШ-22Т</w:t>
            </w:r>
          </w:p>
        </w:tc>
        <w:tc>
          <w:tcPr>
            <w:tcW w:w="3868" w:type="dxa"/>
          </w:tcPr>
          <w:p w14:paraId="11DA08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1941</w:t>
            </w:r>
          </w:p>
        </w:tc>
      </w:tr>
      <w:tr w:rsidR="004D4663" w:rsidRPr="00070ADE" w14:paraId="1D64CFF7" w14:textId="77777777">
        <w:tc>
          <w:tcPr>
            <w:tcW w:w="3868" w:type="dxa"/>
          </w:tcPr>
          <w:p w14:paraId="079867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Ту-2</w:t>
            </w:r>
          </w:p>
        </w:tc>
        <w:tc>
          <w:tcPr>
            <w:tcW w:w="3868" w:type="dxa"/>
          </w:tcPr>
          <w:p w14:paraId="7CD2FD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АВ-5В-167</w:t>
            </w:r>
          </w:p>
        </w:tc>
        <w:tc>
          <w:tcPr>
            <w:tcW w:w="3868" w:type="dxa"/>
          </w:tcPr>
          <w:p w14:paraId="4563B6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1942</w:t>
            </w:r>
          </w:p>
        </w:tc>
      </w:tr>
      <w:tr w:rsidR="004D4663" w:rsidRPr="00070ADE" w14:paraId="0AB67509" w14:textId="77777777">
        <w:tc>
          <w:tcPr>
            <w:tcW w:w="3868" w:type="dxa"/>
          </w:tcPr>
          <w:p w14:paraId="3F8AEF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w:t>
            </w:r>
          </w:p>
        </w:tc>
        <w:tc>
          <w:tcPr>
            <w:tcW w:w="3868" w:type="dxa"/>
          </w:tcPr>
          <w:p w14:paraId="5013DB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АВ-5Л-158</w:t>
            </w:r>
          </w:p>
        </w:tc>
        <w:tc>
          <w:tcPr>
            <w:tcW w:w="3868" w:type="dxa"/>
          </w:tcPr>
          <w:p w14:paraId="24E1EF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1942</w:t>
            </w:r>
          </w:p>
        </w:tc>
      </w:tr>
      <w:tr w:rsidR="004D4663" w:rsidRPr="00070ADE" w14:paraId="5774B44B" w14:textId="77777777">
        <w:tc>
          <w:tcPr>
            <w:tcW w:w="3868" w:type="dxa"/>
          </w:tcPr>
          <w:p w14:paraId="14B492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Ли-2</w:t>
            </w:r>
          </w:p>
        </w:tc>
        <w:tc>
          <w:tcPr>
            <w:tcW w:w="3868" w:type="dxa"/>
          </w:tcPr>
          <w:p w14:paraId="6E58426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АВ-7НЕ-161</w:t>
            </w:r>
          </w:p>
        </w:tc>
        <w:tc>
          <w:tcPr>
            <w:tcW w:w="3868" w:type="dxa"/>
          </w:tcPr>
          <w:p w14:paraId="4AF942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1947</w:t>
            </w:r>
          </w:p>
        </w:tc>
      </w:tr>
      <w:tr w:rsidR="004D4663" w:rsidRPr="00070ADE" w14:paraId="079A998A" w14:textId="77777777">
        <w:tc>
          <w:tcPr>
            <w:tcW w:w="3868" w:type="dxa"/>
          </w:tcPr>
          <w:p w14:paraId="3335836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Ту-2</w:t>
            </w:r>
          </w:p>
        </w:tc>
        <w:tc>
          <w:tcPr>
            <w:tcW w:w="3868" w:type="dxa"/>
          </w:tcPr>
          <w:p w14:paraId="26FEDE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АВ-9ВФ-21К</w:t>
            </w:r>
          </w:p>
        </w:tc>
        <w:tc>
          <w:tcPr>
            <w:tcW w:w="3868" w:type="dxa"/>
          </w:tcPr>
          <w:p w14:paraId="1AA359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1947</w:t>
            </w:r>
          </w:p>
        </w:tc>
      </w:tr>
      <w:tr w:rsidR="004D4663" w:rsidRPr="00070ADE" w14:paraId="2B1B0AAD" w14:textId="77777777">
        <w:tc>
          <w:tcPr>
            <w:tcW w:w="3868" w:type="dxa"/>
          </w:tcPr>
          <w:p w14:paraId="510107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Ли-2</w:t>
            </w:r>
          </w:p>
        </w:tc>
        <w:tc>
          <w:tcPr>
            <w:tcW w:w="3868" w:type="dxa"/>
          </w:tcPr>
          <w:p w14:paraId="2F8E12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АВ-7Н-161</w:t>
            </w:r>
          </w:p>
        </w:tc>
        <w:tc>
          <w:tcPr>
            <w:tcW w:w="3868" w:type="dxa"/>
          </w:tcPr>
          <w:p w14:paraId="787B3E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1948</w:t>
            </w:r>
          </w:p>
        </w:tc>
      </w:tr>
      <w:tr w:rsidR="004D4663" w:rsidRPr="00070ADE" w14:paraId="27513207" w14:textId="77777777">
        <w:tc>
          <w:tcPr>
            <w:tcW w:w="3868" w:type="dxa"/>
          </w:tcPr>
          <w:p w14:paraId="477560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Ил-12</w:t>
            </w:r>
          </w:p>
        </w:tc>
        <w:tc>
          <w:tcPr>
            <w:tcW w:w="3868" w:type="dxa"/>
          </w:tcPr>
          <w:p w14:paraId="7D13070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АВ-9В-91</w:t>
            </w:r>
          </w:p>
        </w:tc>
        <w:tc>
          <w:tcPr>
            <w:tcW w:w="3868" w:type="dxa"/>
          </w:tcPr>
          <w:p w14:paraId="5E02AA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1949</w:t>
            </w:r>
          </w:p>
        </w:tc>
      </w:tr>
      <w:tr w:rsidR="004D4663" w:rsidRPr="00070ADE" w14:paraId="02258B16" w14:textId="77777777">
        <w:tc>
          <w:tcPr>
            <w:tcW w:w="3868" w:type="dxa"/>
          </w:tcPr>
          <w:p w14:paraId="70F8F7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Ил-12</w:t>
            </w:r>
          </w:p>
        </w:tc>
        <w:tc>
          <w:tcPr>
            <w:tcW w:w="3868" w:type="dxa"/>
          </w:tcPr>
          <w:p w14:paraId="1A4A5B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АВ-9Е-91</w:t>
            </w:r>
          </w:p>
        </w:tc>
        <w:tc>
          <w:tcPr>
            <w:tcW w:w="3868" w:type="dxa"/>
          </w:tcPr>
          <w:p w14:paraId="31A781A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1949</w:t>
            </w:r>
          </w:p>
        </w:tc>
      </w:tr>
      <w:tr w:rsidR="004D4663" w:rsidRPr="00070ADE" w14:paraId="48427CAA" w14:textId="77777777">
        <w:tc>
          <w:tcPr>
            <w:tcW w:w="3868" w:type="dxa"/>
          </w:tcPr>
          <w:p w14:paraId="75556CE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Ил-12</w:t>
            </w:r>
          </w:p>
        </w:tc>
        <w:tc>
          <w:tcPr>
            <w:tcW w:w="3868" w:type="dxa"/>
          </w:tcPr>
          <w:p w14:paraId="6940F1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АВ-9-91</w:t>
            </w:r>
          </w:p>
        </w:tc>
        <w:tc>
          <w:tcPr>
            <w:tcW w:w="3868" w:type="dxa"/>
          </w:tcPr>
          <w:p w14:paraId="7B7EBD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1949</w:t>
            </w:r>
          </w:p>
        </w:tc>
      </w:tr>
      <w:tr w:rsidR="004D4663" w:rsidRPr="00070ADE" w14:paraId="5547A4E8" w14:textId="77777777">
        <w:tc>
          <w:tcPr>
            <w:tcW w:w="3868" w:type="dxa"/>
          </w:tcPr>
          <w:p w14:paraId="39B560C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Ил-14</w:t>
            </w:r>
          </w:p>
        </w:tc>
        <w:tc>
          <w:tcPr>
            <w:tcW w:w="3868" w:type="dxa"/>
          </w:tcPr>
          <w:p w14:paraId="7E4F40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АВ-50</w:t>
            </w:r>
          </w:p>
        </w:tc>
        <w:tc>
          <w:tcPr>
            <w:tcW w:w="3868" w:type="dxa"/>
          </w:tcPr>
          <w:p w14:paraId="415E2F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1952</w:t>
            </w:r>
          </w:p>
        </w:tc>
      </w:tr>
      <w:tr w:rsidR="004D4663" w:rsidRPr="00070ADE" w14:paraId="136CE219" w14:textId="77777777">
        <w:tc>
          <w:tcPr>
            <w:tcW w:w="3868" w:type="dxa"/>
          </w:tcPr>
          <w:p w14:paraId="388E3F6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Ту-95</w:t>
            </w:r>
          </w:p>
        </w:tc>
        <w:tc>
          <w:tcPr>
            <w:tcW w:w="3868" w:type="dxa"/>
          </w:tcPr>
          <w:p w14:paraId="44226A0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АВ-60</w:t>
            </w:r>
          </w:p>
        </w:tc>
        <w:tc>
          <w:tcPr>
            <w:tcW w:w="3868" w:type="dxa"/>
          </w:tcPr>
          <w:p w14:paraId="774B00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1954</w:t>
            </w:r>
          </w:p>
        </w:tc>
      </w:tr>
      <w:tr w:rsidR="004D4663" w:rsidRPr="00070ADE" w14:paraId="4EB4BA8A" w14:textId="77777777">
        <w:tc>
          <w:tcPr>
            <w:tcW w:w="3868" w:type="dxa"/>
          </w:tcPr>
          <w:p w14:paraId="532A9B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Ан-10</w:t>
            </w:r>
          </w:p>
        </w:tc>
        <w:tc>
          <w:tcPr>
            <w:tcW w:w="3868" w:type="dxa"/>
          </w:tcPr>
          <w:p w14:paraId="249842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АВ-68</w:t>
            </w:r>
          </w:p>
        </w:tc>
        <w:tc>
          <w:tcPr>
            <w:tcW w:w="3868" w:type="dxa"/>
          </w:tcPr>
          <w:p w14:paraId="002962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1956</w:t>
            </w:r>
          </w:p>
        </w:tc>
      </w:tr>
      <w:tr w:rsidR="004D4663" w:rsidRPr="00070ADE" w14:paraId="3F3CFFFE" w14:textId="77777777">
        <w:tc>
          <w:tcPr>
            <w:tcW w:w="3868" w:type="dxa"/>
          </w:tcPr>
          <w:p w14:paraId="06652B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Ан-12</w:t>
            </w:r>
          </w:p>
        </w:tc>
        <w:tc>
          <w:tcPr>
            <w:tcW w:w="3868" w:type="dxa"/>
          </w:tcPr>
          <w:p w14:paraId="7242E7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АВ-68И сер. 02</w:t>
            </w:r>
          </w:p>
        </w:tc>
        <w:tc>
          <w:tcPr>
            <w:tcW w:w="3868" w:type="dxa"/>
          </w:tcPr>
          <w:p w14:paraId="0BAE77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1958</w:t>
            </w:r>
          </w:p>
        </w:tc>
      </w:tr>
      <w:tr w:rsidR="004D4663" w:rsidRPr="00070ADE" w14:paraId="63442ADC" w14:textId="77777777">
        <w:tc>
          <w:tcPr>
            <w:tcW w:w="3868" w:type="dxa"/>
          </w:tcPr>
          <w:p w14:paraId="223595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Ту-114</w:t>
            </w:r>
          </w:p>
        </w:tc>
        <w:tc>
          <w:tcPr>
            <w:tcW w:w="3868" w:type="dxa"/>
          </w:tcPr>
          <w:p w14:paraId="7CA6F5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АВ-60Н сер. 03</w:t>
            </w:r>
          </w:p>
        </w:tc>
        <w:tc>
          <w:tcPr>
            <w:tcW w:w="3868" w:type="dxa"/>
          </w:tcPr>
          <w:p w14:paraId="2C2003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1958</w:t>
            </w:r>
          </w:p>
        </w:tc>
      </w:tr>
      <w:tr w:rsidR="004D4663" w:rsidRPr="00070ADE" w14:paraId="41EDFA8F" w14:textId="77777777">
        <w:tc>
          <w:tcPr>
            <w:tcW w:w="3868" w:type="dxa"/>
          </w:tcPr>
          <w:p w14:paraId="492D32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Ил-18</w:t>
            </w:r>
          </w:p>
        </w:tc>
        <w:tc>
          <w:tcPr>
            <w:tcW w:w="3868" w:type="dxa"/>
          </w:tcPr>
          <w:p w14:paraId="6604DB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АВ-68 сер. 02</w:t>
            </w:r>
          </w:p>
        </w:tc>
        <w:tc>
          <w:tcPr>
            <w:tcW w:w="3868" w:type="dxa"/>
          </w:tcPr>
          <w:p w14:paraId="6372B0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1958</w:t>
            </w:r>
          </w:p>
        </w:tc>
      </w:tr>
    </w:tbl>
    <w:p w14:paraId="61B208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(9381)</w:t>
      </w:r>
    </w:p>
    <w:p w14:paraId="05EAEA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3AE664"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EA54C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74402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г. была подготовлена СПРАВКА ТУ ГБТУ КА О ВОЗМОЖНОСТЯХ ТАНКОВЫХ ЗАВОДОВ ПО ВЫПУСКУ ТАНКОВ В 1944 ГОДУ (ПО МАТЕРИАЛАМ ВОЕНПРЕДОВ)</w:t>
      </w:r>
    </w:p>
    <w:tbl>
      <w:tblPr>
        <w:tblW w:w="0" w:type="auto"/>
        <w:tblInd w:w="40" w:type="dxa"/>
        <w:tblLayout w:type="fixed"/>
        <w:tblCellMar>
          <w:left w:w="40" w:type="dxa"/>
          <w:right w:w="40" w:type="dxa"/>
        </w:tblCellMar>
        <w:tblLook w:val="0000" w:firstRow="0" w:lastRow="0" w:firstColumn="0" w:lastColumn="0" w:noHBand="0" w:noVBand="0"/>
      </w:tblPr>
      <w:tblGrid>
        <w:gridCol w:w="1805"/>
        <w:gridCol w:w="1248"/>
        <w:gridCol w:w="1046"/>
        <w:gridCol w:w="1046"/>
        <w:gridCol w:w="1056"/>
        <w:gridCol w:w="1046"/>
        <w:gridCol w:w="1046"/>
        <w:gridCol w:w="1066"/>
      </w:tblGrid>
      <w:tr w:rsidR="004D4663" w:rsidRPr="00070ADE" w14:paraId="7656AD4D"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64CE3C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w:t>
            </w:r>
          </w:p>
          <w:p w14:paraId="56E7C8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5016A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танка</w:t>
            </w:r>
          </w:p>
          <w:p w14:paraId="724F18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F62DF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январь</w:t>
            </w:r>
          </w:p>
          <w:p w14:paraId="6F320DC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E46660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w:t>
            </w:r>
          </w:p>
          <w:p w14:paraId="1DC3F38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16260A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март</w:t>
            </w:r>
          </w:p>
          <w:p w14:paraId="3623B67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31D04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апрель</w:t>
            </w:r>
          </w:p>
          <w:p w14:paraId="5B3BAF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BC6E40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май</w:t>
            </w:r>
          </w:p>
          <w:p w14:paraId="3827008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B4B9A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2E68677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E9D66F2" w14:textId="77777777">
        <w:trPr>
          <w:trHeight w:val="250"/>
        </w:trPr>
        <w:tc>
          <w:tcPr>
            <w:tcW w:w="1805" w:type="dxa"/>
            <w:tcBorders>
              <w:top w:val="single" w:sz="6" w:space="0" w:color="auto"/>
              <w:left w:val="single" w:sz="6" w:space="0" w:color="auto"/>
              <w:bottom w:val="single" w:sz="6" w:space="0" w:color="auto"/>
              <w:right w:val="single" w:sz="6" w:space="0" w:color="auto"/>
            </w:tcBorders>
          </w:tcPr>
          <w:p w14:paraId="7643581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Танки</w:t>
            </w:r>
          </w:p>
          <w:p w14:paraId="10971A3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FD64C5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3B3F3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AF598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F84B1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2654B0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FD3D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82EAEB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F1ED0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91E36F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2EDE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C0FF1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AB99F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43F35A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FB4BF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D2BAE03" w14:textId="77777777">
        <w:trPr>
          <w:trHeight w:val="240"/>
        </w:trPr>
        <w:tc>
          <w:tcPr>
            <w:tcW w:w="1805" w:type="dxa"/>
            <w:tcBorders>
              <w:top w:val="single" w:sz="6" w:space="0" w:color="auto"/>
              <w:left w:val="single" w:sz="6" w:space="0" w:color="auto"/>
              <w:bottom w:val="single" w:sz="6" w:space="0" w:color="auto"/>
              <w:right w:val="single" w:sz="6" w:space="0" w:color="auto"/>
            </w:tcBorders>
          </w:tcPr>
          <w:p w14:paraId="378318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w:t>
            </w:r>
          </w:p>
          <w:p w14:paraId="3B441E8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F546EF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ИС-2</w:t>
            </w:r>
          </w:p>
          <w:p w14:paraId="2531197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7AA1AF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03D8FC1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64C35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p w14:paraId="24B806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2D6D7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4718D1D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E36B16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p w14:paraId="3340417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31B460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275</w:t>
            </w:r>
          </w:p>
          <w:p w14:paraId="085B04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6C715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950</w:t>
            </w:r>
          </w:p>
          <w:p w14:paraId="3E8B32E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DAC61D1" w14:textId="77777777">
        <w:trPr>
          <w:trHeight w:val="221"/>
        </w:trPr>
        <w:tc>
          <w:tcPr>
            <w:tcW w:w="1805" w:type="dxa"/>
            <w:tcBorders>
              <w:top w:val="single" w:sz="6" w:space="0" w:color="auto"/>
              <w:left w:val="single" w:sz="6" w:space="0" w:color="auto"/>
              <w:bottom w:val="single" w:sz="6" w:space="0" w:color="auto"/>
              <w:right w:val="single" w:sz="6" w:space="0" w:color="auto"/>
            </w:tcBorders>
          </w:tcPr>
          <w:p w14:paraId="0FBFA5D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w:t>
            </w:r>
          </w:p>
          <w:p w14:paraId="464A39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89DB0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448F22A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2304F2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w:t>
            </w:r>
          </w:p>
          <w:p w14:paraId="5259951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1BA3C5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0AAE33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6DCE6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38FAE6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A21798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1403C6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8595D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76BD39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EA06F7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w:t>
            </w:r>
          </w:p>
          <w:p w14:paraId="1BE00F0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A055B27"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5931819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№183</w:t>
            </w:r>
          </w:p>
          <w:p w14:paraId="5B446E3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B452C5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57C1EE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5E0CA5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p w14:paraId="5BBEF31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80E63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w:t>
            </w:r>
          </w:p>
          <w:p w14:paraId="370CA7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B8457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725</w:t>
            </w:r>
          </w:p>
          <w:p w14:paraId="1F304C3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AE9BD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w:t>
            </w:r>
          </w:p>
          <w:p w14:paraId="141286A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5C3B3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w:t>
            </w:r>
          </w:p>
          <w:p w14:paraId="5FC11D4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E8E1ED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3625</w:t>
            </w:r>
          </w:p>
          <w:p w14:paraId="7D42E2D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B1583A0"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0A86A33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w:t>
            </w:r>
          </w:p>
          <w:p w14:paraId="6A2F2ED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F25F0F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5D99DFF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330DA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265</w:t>
            </w:r>
          </w:p>
          <w:p w14:paraId="343A171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394C3F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p w14:paraId="6D2EC9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6E893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325</w:t>
            </w:r>
          </w:p>
          <w:p w14:paraId="1361DD8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C7BDA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w:t>
            </w:r>
          </w:p>
          <w:p w14:paraId="266A3C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49687A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375</w:t>
            </w:r>
          </w:p>
          <w:p w14:paraId="2DDE8C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DBB102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1615</w:t>
            </w:r>
          </w:p>
          <w:p w14:paraId="1C671E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0CD99EB"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436773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№174</w:t>
            </w:r>
          </w:p>
          <w:p w14:paraId="72BB89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F8A63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1B22C0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F4B6D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p w14:paraId="2BC089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45F0B9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w:t>
            </w:r>
          </w:p>
          <w:p w14:paraId="1D4B519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D8572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3383D3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35E8A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225</w:t>
            </w:r>
          </w:p>
          <w:p w14:paraId="3D00649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320E2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p w14:paraId="2F9B78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A676E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1005</w:t>
            </w:r>
          </w:p>
          <w:p w14:paraId="6CFE3F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50B4974"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1A96CF9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26A5EFF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6F41E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1E4E047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20E6EA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1250</w:t>
            </w:r>
          </w:p>
          <w:p w14:paraId="6EB898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AC7BBB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1180</w:t>
            </w:r>
          </w:p>
          <w:p w14:paraId="1B7817B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931C97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1250</w:t>
            </w:r>
          </w:p>
          <w:p w14:paraId="360A2D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F6F11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1325</w:t>
            </w:r>
          </w:p>
          <w:p w14:paraId="22F5DA0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CBA429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1425</w:t>
            </w:r>
          </w:p>
          <w:p w14:paraId="209890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7EAEC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6430</w:t>
            </w:r>
          </w:p>
          <w:p w14:paraId="2A76A7A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874E19B"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3D0DA40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танков:</w:t>
            </w:r>
          </w:p>
          <w:p w14:paraId="4F5BA0C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933B72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062A3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78F1C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1325</w:t>
            </w:r>
          </w:p>
          <w:p w14:paraId="38390F7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014152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1330</w:t>
            </w:r>
          </w:p>
          <w:p w14:paraId="1D7BBAA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EB56C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1450</w:t>
            </w:r>
          </w:p>
          <w:p w14:paraId="010955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E1CA6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1575</w:t>
            </w:r>
          </w:p>
          <w:p w14:paraId="0C3AD4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EE01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1700</w:t>
            </w:r>
          </w:p>
          <w:p w14:paraId="10B9B2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F0D342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7380</w:t>
            </w:r>
          </w:p>
          <w:p w14:paraId="789648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C21C067"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76FFC30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Самоходы</w:t>
            </w:r>
          </w:p>
          <w:p w14:paraId="4CEB08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FBD0E6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DEDA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A83034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21BA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C0CBA9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5EF7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95A9E2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725AE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216C2E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4040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20308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71FAE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4B3EA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2BCB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FD0AAC5"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25DEFB0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w:t>
            </w:r>
          </w:p>
          <w:p w14:paraId="7650D33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5C3F4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ИС-152</w:t>
            </w:r>
          </w:p>
          <w:p w14:paraId="198673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60773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76E0C0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75042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4D15CDC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884FC4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p w14:paraId="00CE07B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B0B5A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7DA1FB6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A36AD7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225</w:t>
            </w:r>
          </w:p>
          <w:p w14:paraId="2EA931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BEC40F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725</w:t>
            </w:r>
          </w:p>
          <w:p w14:paraId="2183FE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F570A2D"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6334290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Уралмашзавод</w:t>
            </w:r>
          </w:p>
          <w:p w14:paraId="631797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B12C06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СУ-85</w:t>
            </w:r>
          </w:p>
          <w:p w14:paraId="396B175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C6A3C3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175</w:t>
            </w:r>
          </w:p>
          <w:p w14:paraId="7295EA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C5B5B2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57C4E9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831F62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225</w:t>
            </w:r>
          </w:p>
          <w:p w14:paraId="6FBD26B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682E73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p w14:paraId="26ECED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A5BE8F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p w14:paraId="6304810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ED6BF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1100</w:t>
            </w:r>
          </w:p>
          <w:p w14:paraId="4F857E9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BB996A1"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592E429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Дизельмоторы</w:t>
            </w:r>
          </w:p>
          <w:p w14:paraId="5EBD06A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4B400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7CF53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CD9593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4058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4A1C8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8B6AB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88A65F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76B3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4CBA93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275F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593E8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3884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12F7D3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E420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F65A003"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69D45CF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w:t>
            </w:r>
          </w:p>
          <w:p w14:paraId="12FFCF6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AC410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В-2</w:t>
            </w:r>
          </w:p>
          <w:p w14:paraId="4EC2DB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46145A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1270</w:t>
            </w:r>
          </w:p>
          <w:p w14:paraId="42BA85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8AB79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1270</w:t>
            </w:r>
          </w:p>
          <w:p w14:paraId="3572BB9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D9284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1350</w:t>
            </w:r>
          </w:p>
          <w:p w14:paraId="48EEAF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7BF3A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w:t>
            </w:r>
          </w:p>
          <w:p w14:paraId="4E28AF9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9E5E1E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1600</w:t>
            </w:r>
          </w:p>
          <w:p w14:paraId="5317C9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28A21F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6990</w:t>
            </w:r>
          </w:p>
          <w:p w14:paraId="1846CE5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34DBB4B"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28B881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w:t>
            </w:r>
          </w:p>
          <w:p w14:paraId="4959B4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162F0F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В-2</w:t>
            </w:r>
          </w:p>
          <w:p w14:paraId="1BC388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75C57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635</w:t>
            </w:r>
          </w:p>
          <w:p w14:paraId="6C902E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266FC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p w14:paraId="73ED84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A11A1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w:t>
            </w:r>
          </w:p>
          <w:p w14:paraId="11682C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48D66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w:t>
            </w:r>
          </w:p>
          <w:p w14:paraId="1F9CB5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9FE40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w:t>
            </w:r>
          </w:p>
          <w:p w14:paraId="0A0B409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CB9C6A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3535</w:t>
            </w:r>
          </w:p>
          <w:p w14:paraId="2E07FBA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1670736"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5816D1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w:t>
            </w:r>
          </w:p>
          <w:p w14:paraId="7E66C6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7E70C3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В-2</w:t>
            </w:r>
          </w:p>
          <w:p w14:paraId="05CD237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9D5E1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325</w:t>
            </w:r>
          </w:p>
          <w:p w14:paraId="0D4516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E7BE9F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430</w:t>
            </w:r>
          </w:p>
          <w:p w14:paraId="62CC54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3C203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460</w:t>
            </w:r>
          </w:p>
          <w:p w14:paraId="54FE61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DFACF6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480</w:t>
            </w:r>
          </w:p>
          <w:p w14:paraId="59F2E1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5C5CC9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204618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C21966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2195</w:t>
            </w:r>
          </w:p>
          <w:p w14:paraId="6F92E4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6758649" w14:textId="77777777">
        <w:trPr>
          <w:trHeight w:val="230"/>
        </w:trPr>
        <w:tc>
          <w:tcPr>
            <w:tcW w:w="1805" w:type="dxa"/>
            <w:tcBorders>
              <w:top w:val="single" w:sz="6" w:space="0" w:color="auto"/>
              <w:left w:val="single" w:sz="6" w:space="0" w:color="auto"/>
              <w:bottom w:val="single" w:sz="6" w:space="0" w:color="auto"/>
              <w:right w:val="single" w:sz="6" w:space="0" w:color="auto"/>
            </w:tcBorders>
          </w:tcPr>
          <w:p w14:paraId="188C8C0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62E54B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1888ED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В-2</w:t>
            </w:r>
          </w:p>
          <w:p w14:paraId="3EDDA5F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8344A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2230</w:t>
            </w:r>
          </w:p>
          <w:p w14:paraId="690E4D3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4B5A2B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2350</w:t>
            </w:r>
          </w:p>
          <w:p w14:paraId="272FBE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D9F24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2510</w:t>
            </w:r>
          </w:p>
          <w:p w14:paraId="0D569A7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E7183A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2730</w:t>
            </w:r>
          </w:p>
          <w:p w14:paraId="73D47A2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95E235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2900</w:t>
            </w:r>
          </w:p>
          <w:p w14:paraId="6B7FD63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248F81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12720</w:t>
            </w:r>
          </w:p>
          <w:p w14:paraId="646309A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ACBD793" w14:textId="77777777">
        <w:trPr>
          <w:trHeight w:val="221"/>
        </w:trPr>
        <w:tc>
          <w:tcPr>
            <w:tcW w:w="1805" w:type="dxa"/>
            <w:tcBorders>
              <w:top w:val="single" w:sz="6" w:space="0" w:color="auto"/>
              <w:left w:val="single" w:sz="6" w:space="0" w:color="auto"/>
              <w:bottom w:val="single" w:sz="6" w:space="0" w:color="auto"/>
              <w:right w:val="single" w:sz="6" w:space="0" w:color="auto"/>
            </w:tcBorders>
          </w:tcPr>
          <w:p w14:paraId="25AD70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Корпуса</w:t>
            </w:r>
          </w:p>
          <w:p w14:paraId="09CA00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579C8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0480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3CAC6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2149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915F97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108AD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4AC66C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EFAB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98595E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D4117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6ADC5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86B0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133F93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EBB6A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644821D" w14:textId="77777777">
        <w:trPr>
          <w:trHeight w:val="240"/>
        </w:trPr>
        <w:tc>
          <w:tcPr>
            <w:tcW w:w="1805" w:type="dxa"/>
            <w:tcBorders>
              <w:top w:val="single" w:sz="6" w:space="0" w:color="auto"/>
              <w:left w:val="single" w:sz="6" w:space="0" w:color="auto"/>
              <w:bottom w:val="single" w:sz="6" w:space="0" w:color="auto"/>
              <w:right w:val="single" w:sz="6" w:space="0" w:color="auto"/>
            </w:tcBorders>
          </w:tcPr>
          <w:p w14:paraId="3919FC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Уралмашзавод</w:t>
            </w:r>
          </w:p>
          <w:p w14:paraId="34EEA83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2B75F8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СУ-85</w:t>
            </w:r>
          </w:p>
          <w:p w14:paraId="0FD998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9C82F5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175</w:t>
            </w:r>
          </w:p>
          <w:p w14:paraId="7FCC026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0850A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1AE900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7C7974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225</w:t>
            </w:r>
          </w:p>
          <w:p w14:paraId="3F03B8D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CD6EA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p w14:paraId="2BF0B98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D0B350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p w14:paraId="41FD5EF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03066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1100</w:t>
            </w:r>
          </w:p>
          <w:p w14:paraId="4BCE59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D17A314" w14:textId="77777777">
        <w:trPr>
          <w:trHeight w:val="221"/>
        </w:trPr>
        <w:tc>
          <w:tcPr>
            <w:tcW w:w="1805" w:type="dxa"/>
            <w:tcBorders>
              <w:top w:val="single" w:sz="6" w:space="0" w:color="auto"/>
              <w:left w:val="single" w:sz="6" w:space="0" w:color="auto"/>
              <w:bottom w:val="single" w:sz="6" w:space="0" w:color="auto"/>
              <w:right w:val="single" w:sz="6" w:space="0" w:color="auto"/>
            </w:tcBorders>
          </w:tcPr>
          <w:p w14:paraId="4D4073A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Уралмашзавод</w:t>
            </w:r>
          </w:p>
          <w:p w14:paraId="3CA1440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1BAA3A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ИС-152</w:t>
            </w:r>
          </w:p>
          <w:p w14:paraId="4024BD2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C7903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299623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FE86C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129B36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792FF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p w14:paraId="0D57998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4AA01B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390FFD3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571915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p w14:paraId="60E10A6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458BE7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w:t>
            </w:r>
          </w:p>
          <w:p w14:paraId="4B8F21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E87F4CA" w14:textId="77777777">
        <w:trPr>
          <w:trHeight w:val="259"/>
        </w:trPr>
        <w:tc>
          <w:tcPr>
            <w:tcW w:w="1805" w:type="dxa"/>
            <w:tcBorders>
              <w:top w:val="single" w:sz="6" w:space="0" w:color="auto"/>
              <w:left w:val="single" w:sz="6" w:space="0" w:color="auto"/>
              <w:bottom w:val="single" w:sz="6" w:space="0" w:color="auto"/>
              <w:right w:val="single" w:sz="6" w:space="0" w:color="auto"/>
            </w:tcBorders>
          </w:tcPr>
          <w:p w14:paraId="1ED80AA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611CD6E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A6DEF0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 и ИС-152</w:t>
            </w:r>
          </w:p>
          <w:p w14:paraId="5678C5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236E7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w:t>
            </w:r>
          </w:p>
          <w:p w14:paraId="3F679DD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51EBFB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175</w:t>
            </w:r>
          </w:p>
          <w:p w14:paraId="07AC651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BAF90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19363B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08FFCF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w:t>
            </w:r>
          </w:p>
          <w:p w14:paraId="3EE90A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D4DE18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w:t>
            </w:r>
          </w:p>
          <w:p w14:paraId="7FD1F5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4BD3F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340</w:t>
            </w:r>
          </w:p>
          <w:p w14:paraId="5B3DD7A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0C6EDA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1 отдела ТУ ГБТУ КА инженер-подполковник Егоров</w:t>
      </w:r>
    </w:p>
    <w:p w14:paraId="1A972A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2515. Л. 218. Подлинник (11403).</w:t>
      </w:r>
    </w:p>
    <w:p w14:paraId="343CE7B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9130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г. было подготовлено СООБЩЕНИЕ НАЧАЛЬНИКА УЭТ НАЧАЛЬНИКУ УПРАВЛЕНИЯ САМОХОДНОЙ АРТИЛЛЕРИИ ГБТУ КА ПО ВОПРОСУ УКЛАДКИ БОЕКОМПЛЕКТА И ДОПОЛНИТЕЛЬНОГО ИМУЩЕСТВА, НЕ ПРЕДУСМОТРЕННОГО ЗАВОДСКОЙ УКЛАДКОЙ, КАТАНКИ И САМОХОДНЫЕ УСТАНОВКИ №542119</w:t>
      </w:r>
    </w:p>
    <w:p w14:paraId="1FF484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приказанию зам. командующего БТ и МВ КА гвардии генерал-лейтенанта танковых войск т. Вольского разработана и сдана в печать краткая инструкция по укладке боекомплекта и дополни</w:t>
      </w:r>
      <w:r w:rsidRPr="00070ADE">
        <w:rPr>
          <w:rFonts w:ascii="Times New Roman" w:hAnsi="Times New Roman"/>
          <w:color w:val="000000" w:themeColor="text1"/>
          <w:sz w:val="16"/>
          <w:szCs w:val="16"/>
        </w:rPr>
        <w:softHyphen/>
        <w:t>тельного имущества, не предусмотренного заводской укладкой, на танки и самоходные установки.</w:t>
      </w:r>
    </w:p>
    <w:p w14:paraId="027FA16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указанной инструкцией необходимо произвести работы по дооборудованию мест укладки и крепления дополнительного имущества.</w:t>
      </w:r>
    </w:p>
    <w:p w14:paraId="755F5A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поставить вопрос перед Наркоматом танковой промышленности о производстве следую</w:t>
      </w:r>
      <w:r w:rsidRPr="00070ADE">
        <w:rPr>
          <w:rFonts w:ascii="Times New Roman" w:hAnsi="Times New Roman"/>
          <w:color w:val="000000" w:themeColor="text1"/>
          <w:sz w:val="16"/>
          <w:szCs w:val="16"/>
        </w:rPr>
        <w:softHyphen/>
        <w:t>щих работ по танкам и самоходным установкам:</w:t>
      </w:r>
    </w:p>
    <w:p w14:paraId="66201D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 танку Т-34</w:t>
      </w:r>
    </w:p>
    <w:p w14:paraId="791D38F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Крепление 2-х вещевых мешков с продовольствием в носовой части (рис.</w:t>
      </w:r>
      <w:r w:rsidRPr="00070ADE">
        <w:rPr>
          <w:rFonts w:ascii="Times New Roman" w:hAnsi="Times New Roman"/>
          <w:color w:val="000000" w:themeColor="text1"/>
          <w:sz w:val="16"/>
          <w:szCs w:val="16"/>
          <w:vertAlign w:val="superscript"/>
        </w:rPr>
        <w:t>1</w:t>
      </w:r>
      <w:r w:rsidRPr="00070ADE">
        <w:rPr>
          <w:rFonts w:ascii="Times New Roman" w:hAnsi="Times New Roman"/>
          <w:color w:val="000000" w:themeColor="text1"/>
          <w:sz w:val="16"/>
          <w:szCs w:val="16"/>
        </w:rPr>
        <w:t>, обозначение 17).</w:t>
      </w:r>
    </w:p>
    <w:p w14:paraId="71207F7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Изготовить съемный железный ящик для укладки вещевого имущества — 4 пары сапог, 4 шинели в скатках и 4 пары белья. Ящик крепить на левом крыле танка (рис. 5, обозначение 14).</w:t>
      </w:r>
    </w:p>
    <w:p w14:paraId="06C75A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Крепление ППШ (ремешками) на правом фальшборте в боевом отделении (рис. 2, обозначение 10).</w:t>
      </w:r>
    </w:p>
    <w:p w14:paraId="28E562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Крепление бревен для самовытаскивания на крыльях танка по одному с каждой стороны (рис. 5, обозначение 15).</w:t>
      </w:r>
    </w:p>
    <w:p w14:paraId="031077E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Крепление танковой печи на корме танка (рис. 5, обозначение 16).</w:t>
      </w:r>
    </w:p>
    <w:p w14:paraId="29D400E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Нанести отличительные полосы окраски на гнездах, стеллажах и кассетах:</w:t>
      </w:r>
    </w:p>
    <w:p w14:paraId="453281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для бронебойных снарядов — красная;</w:t>
      </w:r>
    </w:p>
    <w:p w14:paraId="3D923FC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для осколочно-фугасных гранат — зеленая;</w:t>
      </w:r>
    </w:p>
    <w:p w14:paraId="2EA500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для пулеметных дисков с патронами бронебойно-трассирующей пули — красная;</w:t>
      </w:r>
    </w:p>
    <w:p w14:paraId="0B0A138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для пулеметных дисков с патронами легкой и трассирующей пули — зеленая.</w:t>
      </w:r>
    </w:p>
    <w:p w14:paraId="1C9BA4F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 СУ-76</w:t>
      </w:r>
    </w:p>
    <w:p w14:paraId="1A1474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Сделать гнезда для ручных гранат (9 шт.) на днище танка в боевом отделении с левой стороны (рис. 1 и 2, обозначение 8).</w:t>
      </w:r>
    </w:p>
    <w:p w14:paraId="1DD15A2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Крепление ППШ (ремешками) на бортах боевого отделения по одному с каждой стороны (рис. 1 и 2, обозначение 10).</w:t>
      </w:r>
    </w:p>
    <w:p w14:paraId="037C4B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Сделать кронштейны для крепления бревен для самовытаскивания на корме снаружи.</w:t>
      </w:r>
    </w:p>
    <w:p w14:paraId="5274FC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 СУ-85</w:t>
      </w:r>
    </w:p>
    <w:p w14:paraId="6CFAF1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Крепление ППШ (ремешками) в правой нише башни (рис. 2, обозначение 10).</w:t>
      </w:r>
    </w:p>
    <w:p w14:paraId="72198E2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Изготовить съемный железный ящик для укладки вещевого имущества — 4 пары сапог, 4 шине</w:t>
      </w:r>
      <w:r w:rsidRPr="00070ADE">
        <w:rPr>
          <w:rFonts w:ascii="Times New Roman" w:hAnsi="Times New Roman"/>
          <w:color w:val="000000" w:themeColor="text1"/>
          <w:sz w:val="16"/>
          <w:szCs w:val="16"/>
        </w:rPr>
        <w:softHyphen/>
        <w:t>ли в скатках и 4 пары белья. Ящик крепить на правом крыле установки (рис. 5, обозначение 14).</w:t>
      </w:r>
    </w:p>
    <w:p w14:paraId="596F063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3. Крепление танковой печи на корме установки (рис. 5, обозначение 16).</w:t>
      </w:r>
    </w:p>
    <w:p w14:paraId="134E780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По СУ-152</w:t>
      </w:r>
    </w:p>
    <w:p w14:paraId="445F445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Оборудовать место крепления удлинителя корзинки панорамы (ремешками) на левом борту боевого отделения (рис. 1, обозначение 21).</w:t>
      </w:r>
    </w:p>
    <w:p w14:paraId="15CC8B8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Крепление ППШ (ремешками): два на заднем броневом листке башни, один на правом борту (рис. 2 и 4, обозначение 10).</w:t>
      </w:r>
    </w:p>
    <w:p w14:paraId="6310908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Изготовить съемный железный ящик для укладки вещевого имущества — 5 пар сапог, 5 шине</w:t>
      </w:r>
      <w:r w:rsidRPr="00070ADE">
        <w:rPr>
          <w:rFonts w:ascii="Times New Roman" w:hAnsi="Times New Roman"/>
          <w:color w:val="000000" w:themeColor="text1"/>
          <w:sz w:val="16"/>
          <w:szCs w:val="16"/>
        </w:rPr>
        <w:softHyphen/>
        <w:t>лей в скатках и 5 пар белья. Ящик крепить на правом крыле установки (рис. 6, обозначение 14).</w:t>
      </w:r>
    </w:p>
    <w:p w14:paraId="0D86766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Крепление бревен для самовытаскивания на корме перпендикулярно продольной оси уста</w:t>
      </w:r>
      <w:r w:rsidRPr="00070ADE">
        <w:rPr>
          <w:rFonts w:ascii="Times New Roman" w:hAnsi="Times New Roman"/>
          <w:color w:val="000000" w:themeColor="text1"/>
          <w:sz w:val="16"/>
          <w:szCs w:val="16"/>
        </w:rPr>
        <w:softHyphen/>
        <w:t>новки (рис. 6, обозначение 15).</w:t>
      </w:r>
    </w:p>
    <w:p w14:paraId="7A77EB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Крепление танковой печи на левом крыле за запасными топливными баками (рис. 6, обо</w:t>
      </w:r>
      <w:r w:rsidRPr="00070ADE">
        <w:rPr>
          <w:rFonts w:ascii="Times New Roman" w:hAnsi="Times New Roman"/>
          <w:color w:val="000000" w:themeColor="text1"/>
          <w:sz w:val="16"/>
          <w:szCs w:val="16"/>
        </w:rPr>
        <w:softHyphen/>
        <w:t>значение 16).</w:t>
      </w:r>
    </w:p>
    <w:p w14:paraId="659B613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всех самоходных установках нанести отличительные полосы окраски на гнездах, стеллажах и кассетах:</w:t>
      </w:r>
    </w:p>
    <w:p w14:paraId="14EE483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для бронебойных снарядов — красная;</w:t>
      </w:r>
    </w:p>
    <w:p w14:paraId="145429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для осколочно-фугасных снарядов — зеленая.</w:t>
      </w:r>
    </w:p>
    <w:p w14:paraId="7BD8ACA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УЭТ ГБТУ КА генерал-майор инженерно-танковой службы Печенкин</w:t>
      </w:r>
    </w:p>
    <w:p w14:paraId="426386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11369. Д. 268. Л. 26, 26 об. Копия (11403).</w:t>
      </w:r>
    </w:p>
    <w:p w14:paraId="7F238AA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18A938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вышло Постановление ГКО № 5093 О плане производства танков, самоходных установок, дизелей, запасных частей и ремонта танков, самоходных установок и дизелей на февраль 1944 года. РГАНИР, Фонд ГКО, д. 205, лл. 6-15,16 (11012).</w:t>
      </w:r>
    </w:p>
    <w:p w14:paraId="0C4AE69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07CA69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вышло Постановление ГКО № 5094 О плане производства и поставок НКО и НКВМФ артиллерийского, минометного и стрелкового вооружения и военных приборов на февраль 1944 года. РГАНИР, Фонд ГКО, д. 205, лл. 17-33,34-49 (11012).</w:t>
      </w:r>
    </w:p>
    <w:p w14:paraId="3910AFA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02E57C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вышло Постановление ГКО № 5095 О плане производства и поставок пулеметов-пистолетов Шпагина и ПП-43 в феврале 1944 года. РГАНИР, Фонд ГКО, д. 205, лл. 50-54,55-61 (11012).</w:t>
      </w:r>
    </w:p>
    <w:p w14:paraId="1CE95DA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FBAC80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вышло Постановление ГКО № 5096 О поставке НКО и НКВМФ боеприпасов в феврале 1944 года. РГАНИР, Фонд ГКО, д. 205, лл. 62-80,81-109 (11012).</w:t>
      </w:r>
    </w:p>
    <w:p w14:paraId="7B979D4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278F77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вышло Постановление ГКО № 5097 О плане производства и поставок патронов и звеньев Наркоматом вооружения в феврале 1944 г. РГАНИР, Фонд ГКО, д. 205, лл. 110-114,115-119 (11012).</w:t>
      </w:r>
    </w:p>
    <w:p w14:paraId="75B99DA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CE26703" w14:textId="77777777" w:rsidR="00B862BC"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вышло Постановление ГКО № 5098 Об организации производства 82 мм реактивных противотанковых ружей и мин к ним. РГАНИР, Фонд ГКО, д. 205, лл. 120-123,124-127 (11012).</w:t>
      </w:r>
    </w:p>
    <w:p w14:paraId="4496D05B" w14:textId="77777777" w:rsidR="00B862BC"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вышло:</w:t>
      </w:r>
    </w:p>
    <w:p w14:paraId="68C40D0C" w14:textId="77777777" w:rsidR="00B862BC"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 ГОСУДАРСТВЕННОГО КОМИТЕТА ОБОРОНЫ № 5098сс</w:t>
      </w:r>
    </w:p>
    <w:p w14:paraId="443564F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Об организации производства 82 мм реактивных противотанковых ружей и мин к ним </w:t>
      </w:r>
    </w:p>
    <w:p w14:paraId="4F6F4F3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Государственный Комитет Обороны ПОСТАНОВЛЯЕТ:</w:t>
      </w:r>
    </w:p>
    <w:p w14:paraId="7C3FCC7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Обязать Наркомминвооружения (т. Паршина) изготовить на заводе № 808 г. Рыбинск партию 82 мм реактивных противотанковых ружей в количестве 250 штук, со сроком поставки их ГАУ КА: к 20 марта 1944 г. - 50 штук и к 15 апреля 1944 г. - 200 штук.</w:t>
      </w:r>
    </w:p>
    <w:p w14:paraId="36950F3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Обязать Наркомбоеприпасов (т. Ванникова):</w:t>
      </w:r>
    </w:p>
    <w:p w14:paraId="0F7553D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сдать ГАУ КА к 1 апреля 1944 г. 10000 штук комплектных выстрелов к 82 мм реактивному противотанковому ружью "ПТР-82", в том числе до 15 марта 2000 штук;</w:t>
      </w:r>
    </w:p>
    <w:p w14:paraId="231D8AE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организовать на своих заводах производство взрывателей "ЦВ-44", запалов "ЗП-44", пороховых зарядов с воспламенителями и снаряжение корпусов 82 мм реактивных противотанковых мин по чертежам ГАУ КА с выпуском:</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705"/>
        <w:gridCol w:w="2670"/>
        <w:gridCol w:w="1470"/>
        <w:gridCol w:w="1470"/>
      </w:tblGrid>
      <w:tr w:rsidR="004D4663" w:rsidRPr="00070ADE" w14:paraId="2ABF62E4" w14:textId="77777777">
        <w:trPr>
          <w:jc w:val="center"/>
        </w:trPr>
        <w:tc>
          <w:tcPr>
            <w:tcW w:w="3705" w:type="dxa"/>
            <w:tcBorders>
              <w:top w:val="single" w:sz="12" w:space="0" w:color="auto"/>
            </w:tcBorders>
          </w:tcPr>
          <w:p w14:paraId="3F65FA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заводе №398 (г. Москва)</w:t>
            </w:r>
          </w:p>
        </w:tc>
        <w:tc>
          <w:tcPr>
            <w:tcW w:w="2670" w:type="dxa"/>
            <w:tcBorders>
              <w:top w:val="single" w:sz="12" w:space="0" w:color="auto"/>
            </w:tcBorders>
          </w:tcPr>
          <w:p w14:paraId="46350CD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взрывателей и запалов</w:t>
            </w:r>
          </w:p>
        </w:tc>
        <w:tc>
          <w:tcPr>
            <w:tcW w:w="1470" w:type="dxa"/>
            <w:tcBorders>
              <w:top w:val="single" w:sz="12" w:space="0" w:color="auto"/>
            </w:tcBorders>
          </w:tcPr>
          <w:p w14:paraId="7C3BA14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w:t>
            </w:r>
          </w:p>
          <w:p w14:paraId="16A7DC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2000</w:t>
            </w:r>
          </w:p>
        </w:tc>
        <w:tc>
          <w:tcPr>
            <w:tcW w:w="1470" w:type="dxa"/>
            <w:tcBorders>
              <w:top w:val="single" w:sz="12" w:space="0" w:color="auto"/>
            </w:tcBorders>
          </w:tcPr>
          <w:p w14:paraId="40B345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Март</w:t>
            </w:r>
          </w:p>
          <w:p w14:paraId="387991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9000</w:t>
            </w:r>
          </w:p>
        </w:tc>
      </w:tr>
      <w:tr w:rsidR="004D4663" w:rsidRPr="00070ADE" w14:paraId="2CC7D9B7" w14:textId="77777777">
        <w:trPr>
          <w:jc w:val="center"/>
        </w:trPr>
        <w:tc>
          <w:tcPr>
            <w:tcW w:w="3705" w:type="dxa"/>
          </w:tcPr>
          <w:p w14:paraId="0B41884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заводе № 562</w:t>
            </w:r>
          </w:p>
        </w:tc>
        <w:tc>
          <w:tcPr>
            <w:tcW w:w="2670" w:type="dxa"/>
          </w:tcPr>
          <w:p w14:paraId="6C155E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пороховых зарядов с воспламенителем</w:t>
            </w:r>
          </w:p>
        </w:tc>
        <w:tc>
          <w:tcPr>
            <w:tcW w:w="1470" w:type="dxa"/>
          </w:tcPr>
          <w:p w14:paraId="0AD5B2D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2000</w:t>
            </w:r>
          </w:p>
        </w:tc>
        <w:tc>
          <w:tcPr>
            <w:tcW w:w="1470" w:type="dxa"/>
          </w:tcPr>
          <w:p w14:paraId="433A40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9000</w:t>
            </w:r>
          </w:p>
        </w:tc>
      </w:tr>
      <w:tr w:rsidR="004D4663" w:rsidRPr="00070ADE" w14:paraId="1C690456" w14:textId="77777777">
        <w:trPr>
          <w:jc w:val="center"/>
        </w:trPr>
        <w:tc>
          <w:tcPr>
            <w:tcW w:w="3705" w:type="dxa"/>
            <w:tcBorders>
              <w:bottom w:val="single" w:sz="12" w:space="0" w:color="auto"/>
            </w:tcBorders>
          </w:tcPr>
          <w:p w14:paraId="09F81C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заводе № 12</w:t>
            </w:r>
          </w:p>
        </w:tc>
        <w:tc>
          <w:tcPr>
            <w:tcW w:w="2670" w:type="dxa"/>
            <w:tcBorders>
              <w:bottom w:val="single" w:sz="12" w:space="0" w:color="auto"/>
            </w:tcBorders>
          </w:tcPr>
          <w:p w14:paraId="0E59A92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снаряжение</w:t>
            </w:r>
          </w:p>
        </w:tc>
        <w:tc>
          <w:tcPr>
            <w:tcW w:w="1470" w:type="dxa"/>
            <w:tcBorders>
              <w:bottom w:val="single" w:sz="12" w:space="0" w:color="auto"/>
            </w:tcBorders>
          </w:tcPr>
          <w:p w14:paraId="20BBAD2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470" w:type="dxa"/>
            <w:tcBorders>
              <w:bottom w:val="single" w:sz="12" w:space="0" w:color="auto"/>
            </w:tcBorders>
          </w:tcPr>
          <w:p w14:paraId="5AEEF63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10000</w:t>
            </w:r>
          </w:p>
        </w:tc>
      </w:tr>
    </w:tbl>
    <w:p w14:paraId="03D814F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Обязать Наркомместпром РСФСР (т. Семиряева):</w:t>
      </w:r>
    </w:p>
    <w:p w14:paraId="13A9D4C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 организовать на заводе "Красный Штамповщик" производство корпусов к 82 мм реактивному противотанковому ружью "ПТР-82": с выпуском в феврале-марте 1944 г. 15000 шт., в том числе до 15 марта 5000 шт, и поставить их заводу № 12 НКБ на снаряжение; </w:t>
      </w:r>
    </w:p>
    <w:p w14:paraId="75557A5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изготовить на заводах"Красный Штамповщик" и электроарматурном заводе все штампованные детали к минам "РПМ-82" в количествах, необходимых для сборки корпусов;</w:t>
      </w:r>
    </w:p>
    <w:p w14:paraId="6B441CF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изготовить на ДОЗ'е №5 (г.Москва) для завода "Красный Штамповщик" в феврале - марте 1944 г. 4000 шт. спецукупорки для мин "РПМ-82" за счёт соответствующего сокращения, поставки этому заводу спецукупорки по заводскому чертежу.</w:t>
      </w:r>
    </w:p>
    <w:p w14:paraId="2F18588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Обязать Наркомстанкостроения (т. Ефремова) организовать производство деталей корпусов реактивных противотанковых мин на заводах "Фрезер" и "Красный Пролетарий" (г. Москва) и обеспечить их выпуск в феврале-марте 1944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740"/>
        <w:gridCol w:w="1260"/>
        <w:gridCol w:w="1005"/>
      </w:tblGrid>
      <w:tr w:rsidR="004D4663" w:rsidRPr="00070ADE" w14:paraId="3790E405" w14:textId="77777777">
        <w:trPr>
          <w:jc w:val="center"/>
        </w:trPr>
        <w:tc>
          <w:tcPr>
            <w:tcW w:w="7740" w:type="dxa"/>
            <w:tcBorders>
              <w:top w:val="single" w:sz="12" w:space="0" w:color="auto"/>
            </w:tcBorders>
          </w:tcPr>
          <w:p w14:paraId="5409AF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Borders>
              <w:top w:val="single" w:sz="12" w:space="0" w:color="auto"/>
            </w:tcBorders>
          </w:tcPr>
          <w:p w14:paraId="129DB32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w:t>
            </w:r>
          </w:p>
        </w:tc>
        <w:tc>
          <w:tcPr>
            <w:tcW w:w="1005" w:type="dxa"/>
            <w:tcBorders>
              <w:top w:val="single" w:sz="12" w:space="0" w:color="auto"/>
            </w:tcBorders>
          </w:tcPr>
          <w:p w14:paraId="46EE1B0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март</w:t>
            </w:r>
          </w:p>
        </w:tc>
      </w:tr>
      <w:tr w:rsidR="004D4663" w:rsidRPr="00070ADE" w14:paraId="6F87C514" w14:textId="77777777">
        <w:trPr>
          <w:jc w:val="center"/>
        </w:trPr>
        <w:tc>
          <w:tcPr>
            <w:tcW w:w="7740" w:type="dxa"/>
          </w:tcPr>
          <w:p w14:paraId="4C8857E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заводе "Фрезер" деталей № 13(крышка)</w:t>
            </w:r>
          </w:p>
        </w:tc>
        <w:tc>
          <w:tcPr>
            <w:tcW w:w="1260" w:type="dxa"/>
          </w:tcPr>
          <w:p w14:paraId="25A1FD3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7000</w:t>
            </w:r>
          </w:p>
        </w:tc>
        <w:tc>
          <w:tcPr>
            <w:tcW w:w="1005" w:type="dxa"/>
          </w:tcPr>
          <w:p w14:paraId="527BB97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10000</w:t>
            </w:r>
          </w:p>
        </w:tc>
      </w:tr>
      <w:tr w:rsidR="004D4663" w:rsidRPr="00070ADE" w14:paraId="5D7C8A60" w14:textId="77777777">
        <w:trPr>
          <w:jc w:val="center"/>
        </w:trPr>
        <w:tc>
          <w:tcPr>
            <w:tcW w:w="7740" w:type="dxa"/>
            <w:tcBorders>
              <w:bottom w:val="single" w:sz="12" w:space="0" w:color="auto"/>
            </w:tcBorders>
          </w:tcPr>
          <w:p w14:paraId="46A073D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 заводе "Красный Пролетарий" деталей № 17(крышка) и № 1 (корпус) по </w:t>
            </w:r>
          </w:p>
        </w:tc>
        <w:tc>
          <w:tcPr>
            <w:tcW w:w="1260" w:type="dxa"/>
            <w:tcBorders>
              <w:bottom w:val="single" w:sz="12" w:space="0" w:color="auto"/>
            </w:tcBorders>
          </w:tcPr>
          <w:p w14:paraId="14890EB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7000</w:t>
            </w:r>
          </w:p>
        </w:tc>
        <w:tc>
          <w:tcPr>
            <w:tcW w:w="1005" w:type="dxa"/>
            <w:tcBorders>
              <w:bottom w:val="single" w:sz="12" w:space="0" w:color="auto"/>
            </w:tcBorders>
          </w:tcPr>
          <w:p w14:paraId="690770B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10000</w:t>
            </w:r>
          </w:p>
        </w:tc>
      </w:tr>
    </w:tbl>
    <w:p w14:paraId="0DD579E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Детали поставлять заводу "Красный штамповщик" НКМП РСФСР.</w:t>
      </w:r>
    </w:p>
    <w:p w14:paraId="51B2D53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Обязать Наркомхимпром (т. Первухина) изготовить в научно- исследовательском институте пластмасс (г. Москва) пластмассовых деталей № 3 (корпус взрывателя), № 4 (ниппель взрывателя) № 6 (втулка) и № 15 (пробка крышки) в феврале 1944 г. 5000 комплектов и в марте 1944 г. 10000 комплектов с поставкой деталей №№ 3,4 - заводу № 398 НКБ, №№ 6,15 - заводу "Красный штамповщик" НКМП РСФСР.</w:t>
      </w:r>
    </w:p>
    <w:p w14:paraId="54AA2BD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Обязать Наркомбоеприпасов (т. Ванникова) изготовить на заводе № 48 (г. Москва) штамповок деталей № 13 (крышка) к корпусам реактивных противотанковых мин с поставкой их заводу "Фрезер" НКСС в феврале и марте 1944 г. по 10000 шт. : за счёт производства штамповок деталей № 4 (сопло) к снарядам М-8, поставляемых заводу "Красный Пролетарий" НКСС.</w:t>
      </w:r>
    </w:p>
    <w:p w14:paraId="1F61C6C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В связи с организацией производства корпусов и деталей реактивных противотанковых мин " РПМ-82":</w:t>
      </w:r>
    </w:p>
    <w:p w14:paraId="0513A60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уменьшить заводу "Фрезер" НКСС план производства деталей № 1 (сопло) к снарядам М-13 в январе 1944 г. до 9000 шт., освободив его от производства этих деталей полностью в феврале и марте 1944 г. с сохранением на заводе всей оснастки и инструмента для производства этих деталей;</w:t>
      </w:r>
    </w:p>
    <w:p w14:paraId="5DD5E7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уменьшить заводу "Красный Пролетарий" НКСС план производства деталей № 7 (камера) к снарядам М-8 на февраль и март 1944 г.</w:t>
      </w:r>
    </w:p>
    <w:p w14:paraId="721D702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10000 шт. 1 месяц, освободив его полностью в феврале-марте 1944 г, от производства деталей № 4 (сопло) к снарядам, М-8; в) СНК РСФСР (т.Чеснокову) освободить завод "Красный штамповщик" НКМП РСФСР в феврале и марте 1944 г. от производства армейских котелков и разместить их производство на других предприятиях местной промышленности и промкооперации РСФСР.</w:t>
      </w:r>
    </w:p>
    <w:p w14:paraId="6E659E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Обязать ГАУ КА (т. Яковлева):</w:t>
      </w:r>
    </w:p>
    <w:p w14:paraId="4B7E963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к 1 февраля 1944 г. обеспечить заводы изготовители чертежами и техническими условиями на изготовление и приёмку 82 мм реактивных противотанковых ружей, мин к ним и спецукупорки; .</w:t>
      </w:r>
    </w:p>
    <w:p w14:paraId="52550C8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 апреле 1944 г. провести войсковые испытания 82 мм реактивного противотанкового ружья и дать свои предложения о дальнейшем их производстве.</w:t>
      </w:r>
    </w:p>
    <w:p w14:paraId="23CF57E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Обязать Наркомнефть (т. Седина), Наркомбоеприпасов (т.Банникова) и НИИ-3 при СНК СССР (т.Костикова) продолжить совместные работы спецгруппы Наркомнефти, НИИ-6 и НИИ-3 в направлении дальнейшего усовершенствования конструкции, увеличения бронепробивной способности и улучшения кучности боя реактивного противотанкового ружья.</w:t>
      </w:r>
    </w:p>
    <w:p w14:paraId="646B710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Обязать Наркомбоеприпасов (т.Ванникова):</w:t>
      </w:r>
    </w:p>
    <w:p w14:paraId="08DD453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представить в Совнарком СССР к 15 февраля 1944 г. предложения об организации во II квартале 1944 г. на заводе № 568 производства деталей № 4 (сопло) к снарядам М-8 с расчетом выпуска по 20 т.шт. в месяц;</w:t>
      </w:r>
    </w:p>
    <w:p w14:paraId="2BB5E12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отгрузить в феврале-марте 1944 г. заводу № 568 (г.Москва) с завода № 42 (из наличия) - 20. т.шт. деталей № 4 (сопло) к снарядам М-8.</w:t>
      </w:r>
    </w:p>
    <w:p w14:paraId="7B8B13D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Обязать Наркомминвооружения (т. Паршина) увеличить план производства деталей № 1 (сопло) к снарядам М-13 на заводе № 755 с марта 1944 г. до 10 т.шт. в месяц, проведя в. феврале необходимые мероприятия для обеспечения этого задания.</w:t>
      </w:r>
    </w:p>
    <w:p w14:paraId="21842E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12. Утвердить прилагаемые мероприятия по материально-техническому обеспечению производства 82 мм реактивных противотанковых ружей и мин к ним.</w:t>
      </w:r>
    </w:p>
    <w:p w14:paraId="6703CA9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ГОСУДАРСТВЕННОГО КОМИТЕТА ОБОРОНЫ (И. Сталин) (11813).</w:t>
      </w:r>
    </w:p>
    <w:p w14:paraId="177F8FB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сов.секретно</w:t>
      </w:r>
    </w:p>
    <w:p w14:paraId="13BA4F2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к постановлению ГОКО от "5" февраля 1944 г. № 5098сс</w:t>
      </w:r>
    </w:p>
    <w:p w14:paraId="6D7B70E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Мероприятия по материально-техническому обеспечению производства 82 мм реактивных противотанковых ружей и мин к ним.</w:t>
      </w:r>
    </w:p>
    <w:p w14:paraId="33A7DA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Обязать Наркометанкостроения (т. Ефремова) изготовить, до 15 февраля 1944 г. на московских заводах для завода "Красный штамповщик" НКМП РСФСР по его чертежам 3 комплекта штампов для штамповки деталей № 3 (конус), № 5 (баллистический наконечник) и СБ-9 (диафрагма) к реактивным противотанковым минам и для Московского института пластмасс НКХП по его спецификации мерительного и режущего инструмента на тысячу рублей.</w:t>
      </w:r>
    </w:p>
    <w:p w14:paraId="49831A2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2.Обязать Главное Управление Трудовых Резервов при Совнаркоме СССР (т.Москатова) направить на завод"Красный Пролетарий" НКСС 50 человек выпускников ремесленных училищ ближайшего выпуска в счёт плана по Наркомстанкостроению.</w:t>
      </w:r>
    </w:p>
    <w:p w14:paraId="458E74C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Обязать Наркомвлектростанций (т.Жимерина) обеспечить бесперебойное снабжение электроэнергией завода "Красный штамповщик" НКМП РСФСР (г.Москва) в соответствии с его потребностью на производство 82 мм реактивных противотанковых мин.</w:t>
      </w:r>
    </w:p>
    <w:p w14:paraId="0521C0E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Выделить в распоряжение наркоматов, привлекаемых к изготовлению реактивных противотанковых ружей и мин к ним 400 тыс. рублей на премирование рабочих, ИТР и служащих за выполнение установленного задания, в том числе: Наркомату Боеприпасов - 100 тыс. рублей, Наркомминвооружения - 50 тыс. рублей, Наркомместпрому РСФСР -125 тыс. рублей, Наркемстанкостроения -.100 тыс.рублей, Наркомхимпром - 25 тыс.рублей.</w:t>
      </w:r>
    </w:p>
    <w:p w14:paraId="7AF1CE2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Обязать НКПП (т. Зотова) выдать в 1 квартале 1944 г. заводам, привлечённым к производству реактивных противотанковых ружей и мин</w:t>
      </w:r>
    </w:p>
    <w:p w14:paraId="297FB55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ним для продажи рабочим табаку и водки, в т.ч. НКБ, НКМВ, НКМП РСФСР, НКСС по 50 кг табаку и по 500 литров водки, НКХП - 20 кг.табаку и 75 литров водки.</w:t>
      </w:r>
    </w:p>
    <w:p w14:paraId="235DBE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Обязать, Наркомсрелмаш .(т. Акопова) и НКО (т.Хрулева) поставить в феврале 1944 г. заводам "Красный Пролетарий" НКСС и "Красный штамповщик" НКМП РСФСР по 2 шт. грузовых автомашин марки ГАЗ-АА за счёт фондов НКО.</w:t>
      </w:r>
    </w:p>
    <w:p w14:paraId="5E5B548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Обязать Наркомхимпром (т.Первухина) и Наркомсрелмаш (т.Акопова) поставить Наркомминвооружения детали для 82 мм реактивных противотанковых ружей в количествах, и сроки, согласно приложению № 1.</w:t>
      </w:r>
    </w:p>
    <w:p w14:paraId="70C7ED0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Обязать Наркомчермет (т.Тевосяна) и Главметаллосбыт - т.Цыренъ поставить в феврале 1944 г. заводам, привлечённым к изготовлению 82 мм реактивных противотанковых ружей и мин к ним впереди других потребителей и преимущественно из наличия на Московской базе Главметаллосбыта металл в количествах и сроки согласно приложению № 2.</w:t>
      </w:r>
    </w:p>
    <w:p w14:paraId="40DE1CA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Государственного Комитета Обороны (И.В. Сталин) (11813).</w:t>
      </w:r>
    </w:p>
    <w:p w14:paraId="23FD581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Секретно</w:t>
      </w:r>
    </w:p>
    <w:p w14:paraId="4928E05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Приложение№1</w:t>
      </w:r>
    </w:p>
    <w:p w14:paraId="4032503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постановлению ГОКО от "5" февраля 1944 г. № 5098сс</w:t>
      </w:r>
    </w:p>
    <w:p w14:paraId="653CA1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Ведомость поставки Наркомминвооружения деталей для 82 мм реактивных противотанковых ружей.</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40"/>
        <w:gridCol w:w="1800"/>
        <w:gridCol w:w="1395"/>
        <w:gridCol w:w="2565"/>
        <w:gridCol w:w="1365"/>
      </w:tblGrid>
      <w:tr w:rsidR="004D4663" w:rsidRPr="00070ADE" w14:paraId="2A32475E" w14:textId="77777777">
        <w:trPr>
          <w:jc w:val="center"/>
        </w:trPr>
        <w:tc>
          <w:tcPr>
            <w:tcW w:w="3240" w:type="dxa"/>
            <w:tcBorders>
              <w:top w:val="single" w:sz="12" w:space="0" w:color="auto"/>
            </w:tcBorders>
          </w:tcPr>
          <w:p w14:paraId="621B024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w:t>
            </w:r>
          </w:p>
        </w:tc>
        <w:tc>
          <w:tcPr>
            <w:tcW w:w="1800" w:type="dxa"/>
            <w:tcBorders>
              <w:top w:val="single" w:sz="12" w:space="0" w:color="auto"/>
            </w:tcBorders>
          </w:tcPr>
          <w:p w14:paraId="4133AAA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Единица измерения</w:t>
            </w:r>
          </w:p>
        </w:tc>
        <w:tc>
          <w:tcPr>
            <w:tcW w:w="1395" w:type="dxa"/>
            <w:tcBorders>
              <w:top w:val="single" w:sz="12" w:space="0" w:color="auto"/>
            </w:tcBorders>
          </w:tcPr>
          <w:p w14:paraId="76266D0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tc>
        <w:tc>
          <w:tcPr>
            <w:tcW w:w="2565" w:type="dxa"/>
            <w:tcBorders>
              <w:top w:val="single" w:sz="12" w:space="0" w:color="auto"/>
            </w:tcBorders>
          </w:tcPr>
          <w:p w14:paraId="3B30C33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Поставщик</w:t>
            </w:r>
          </w:p>
        </w:tc>
        <w:tc>
          <w:tcPr>
            <w:tcW w:w="1365" w:type="dxa"/>
            <w:tcBorders>
              <w:top w:val="single" w:sz="12" w:space="0" w:color="auto"/>
            </w:tcBorders>
          </w:tcPr>
          <w:p w14:paraId="58BEC90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поставки</w:t>
            </w:r>
          </w:p>
        </w:tc>
      </w:tr>
      <w:tr w:rsidR="004D4663" w:rsidRPr="00070ADE" w14:paraId="1B8692B6" w14:textId="77777777">
        <w:trPr>
          <w:jc w:val="center"/>
        </w:trPr>
        <w:tc>
          <w:tcPr>
            <w:tcW w:w="3240" w:type="dxa"/>
          </w:tcPr>
          <w:p w14:paraId="65E89B5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Боевая пружина д.38</w:t>
            </w:r>
          </w:p>
        </w:tc>
        <w:tc>
          <w:tcPr>
            <w:tcW w:w="1800" w:type="dxa"/>
          </w:tcPr>
          <w:p w14:paraId="279D442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w:t>
            </w:r>
          </w:p>
        </w:tc>
        <w:tc>
          <w:tcPr>
            <w:tcW w:w="1395" w:type="dxa"/>
          </w:tcPr>
          <w:p w14:paraId="574C98A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tc>
        <w:tc>
          <w:tcPr>
            <w:tcW w:w="2565" w:type="dxa"/>
          </w:tcPr>
          <w:p w14:paraId="308954F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 им. Буденного Наркомсредмаша</w:t>
            </w:r>
          </w:p>
        </w:tc>
        <w:tc>
          <w:tcPr>
            <w:tcW w:w="1365" w:type="dxa"/>
          </w:tcPr>
          <w:p w14:paraId="1F8DBC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марта 1944</w:t>
            </w:r>
          </w:p>
        </w:tc>
      </w:tr>
      <w:tr w:rsidR="004D4663" w:rsidRPr="00070ADE" w14:paraId="30FB4508" w14:textId="77777777">
        <w:trPr>
          <w:jc w:val="center"/>
        </w:trPr>
        <w:tc>
          <w:tcPr>
            <w:tcW w:w="3240" w:type="dxa"/>
          </w:tcPr>
          <w:p w14:paraId="14B719C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Пружина шептало д.37 </w:t>
            </w:r>
          </w:p>
        </w:tc>
        <w:tc>
          <w:tcPr>
            <w:tcW w:w="1800" w:type="dxa"/>
          </w:tcPr>
          <w:p w14:paraId="4F64899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w:t>
            </w:r>
          </w:p>
        </w:tc>
        <w:tc>
          <w:tcPr>
            <w:tcW w:w="1395" w:type="dxa"/>
          </w:tcPr>
          <w:p w14:paraId="5F0006D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tc>
        <w:tc>
          <w:tcPr>
            <w:tcW w:w="2565" w:type="dxa"/>
          </w:tcPr>
          <w:p w14:paraId="1F13C99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 им. Буденного Наркомсредмаша</w:t>
            </w:r>
          </w:p>
        </w:tc>
        <w:tc>
          <w:tcPr>
            <w:tcW w:w="1365" w:type="dxa"/>
          </w:tcPr>
          <w:p w14:paraId="55296B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марта 1944</w:t>
            </w:r>
          </w:p>
        </w:tc>
      </w:tr>
      <w:tr w:rsidR="004D4663" w:rsidRPr="00070ADE" w14:paraId="011F9020" w14:textId="77777777">
        <w:trPr>
          <w:jc w:val="center"/>
        </w:trPr>
        <w:tc>
          <w:tcPr>
            <w:tcW w:w="3240" w:type="dxa"/>
          </w:tcPr>
          <w:p w14:paraId="32940FC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Деталь № 115 из пластиглаза</w:t>
            </w:r>
          </w:p>
        </w:tc>
        <w:tc>
          <w:tcPr>
            <w:tcW w:w="1800" w:type="dxa"/>
          </w:tcPr>
          <w:p w14:paraId="752F52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w:t>
            </w:r>
          </w:p>
        </w:tc>
        <w:tc>
          <w:tcPr>
            <w:tcW w:w="1395" w:type="dxa"/>
          </w:tcPr>
          <w:p w14:paraId="336DFB2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w:t>
            </w:r>
          </w:p>
        </w:tc>
        <w:tc>
          <w:tcPr>
            <w:tcW w:w="2565" w:type="dxa"/>
          </w:tcPr>
          <w:p w14:paraId="1D49C2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Наркомхимпромk</w:t>
            </w:r>
          </w:p>
        </w:tc>
        <w:tc>
          <w:tcPr>
            <w:tcW w:w="1365" w:type="dxa"/>
          </w:tcPr>
          <w:p w14:paraId="31BED5D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w:t>
            </w:r>
          </w:p>
        </w:tc>
      </w:tr>
      <w:tr w:rsidR="004D4663" w:rsidRPr="00070ADE" w14:paraId="2DAF34CE" w14:textId="77777777">
        <w:trPr>
          <w:jc w:val="center"/>
        </w:trPr>
        <w:tc>
          <w:tcPr>
            <w:tcW w:w="3240" w:type="dxa"/>
          </w:tcPr>
          <w:p w14:paraId="32E8D35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Пластмассовые детали:Накладки дет. 44</w:t>
            </w:r>
          </w:p>
        </w:tc>
        <w:tc>
          <w:tcPr>
            <w:tcW w:w="1800" w:type="dxa"/>
          </w:tcPr>
          <w:p w14:paraId="2901C2C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w:t>
            </w:r>
          </w:p>
        </w:tc>
        <w:tc>
          <w:tcPr>
            <w:tcW w:w="1395" w:type="dxa"/>
          </w:tcPr>
          <w:p w14:paraId="4398F98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2565" w:type="dxa"/>
          </w:tcPr>
          <w:p w14:paraId="5EAAAED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Наркомхимпромk</w:t>
            </w:r>
          </w:p>
        </w:tc>
        <w:tc>
          <w:tcPr>
            <w:tcW w:w="1365" w:type="dxa"/>
          </w:tcPr>
          <w:p w14:paraId="55014B3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w:t>
            </w:r>
          </w:p>
        </w:tc>
      </w:tr>
      <w:tr w:rsidR="004D4663" w:rsidRPr="00070ADE" w14:paraId="2157306A" w14:textId="77777777">
        <w:trPr>
          <w:jc w:val="center"/>
        </w:trPr>
        <w:tc>
          <w:tcPr>
            <w:tcW w:w="3240" w:type="dxa"/>
          </w:tcPr>
          <w:p w14:paraId="358982A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Накладка под узел № 2</w:t>
            </w:r>
          </w:p>
        </w:tc>
        <w:tc>
          <w:tcPr>
            <w:tcW w:w="1800" w:type="dxa"/>
          </w:tcPr>
          <w:p w14:paraId="7766F76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w:t>
            </w:r>
          </w:p>
        </w:tc>
        <w:tc>
          <w:tcPr>
            <w:tcW w:w="1395" w:type="dxa"/>
          </w:tcPr>
          <w:p w14:paraId="442DC1A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2565" w:type="dxa"/>
          </w:tcPr>
          <w:p w14:paraId="2A6ABCC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Наркомхимпромk'</w:t>
            </w:r>
          </w:p>
        </w:tc>
        <w:tc>
          <w:tcPr>
            <w:tcW w:w="1365" w:type="dxa"/>
          </w:tcPr>
          <w:p w14:paraId="5BD8A5A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w:t>
            </w:r>
          </w:p>
        </w:tc>
      </w:tr>
      <w:tr w:rsidR="004D4663" w:rsidRPr="00070ADE" w14:paraId="07E451DD" w14:textId="77777777">
        <w:trPr>
          <w:jc w:val="center"/>
        </w:trPr>
        <w:tc>
          <w:tcPr>
            <w:tcW w:w="3240" w:type="dxa"/>
            <w:tcBorders>
              <w:bottom w:val="single" w:sz="12" w:space="0" w:color="auto"/>
            </w:tcBorders>
          </w:tcPr>
          <w:p w14:paraId="28E90FF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Ручка дет. 130</w:t>
            </w:r>
          </w:p>
        </w:tc>
        <w:tc>
          <w:tcPr>
            <w:tcW w:w="1800" w:type="dxa"/>
            <w:tcBorders>
              <w:bottom w:val="single" w:sz="12" w:space="0" w:color="auto"/>
            </w:tcBorders>
          </w:tcPr>
          <w:p w14:paraId="1015B50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w:t>
            </w:r>
          </w:p>
        </w:tc>
        <w:tc>
          <w:tcPr>
            <w:tcW w:w="1395" w:type="dxa"/>
            <w:tcBorders>
              <w:bottom w:val="single" w:sz="12" w:space="0" w:color="auto"/>
            </w:tcBorders>
          </w:tcPr>
          <w:p w14:paraId="2BCE4F3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2565" w:type="dxa"/>
            <w:tcBorders>
              <w:bottom w:val="single" w:sz="12" w:space="0" w:color="auto"/>
            </w:tcBorders>
          </w:tcPr>
          <w:p w14:paraId="24C0E4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Наркомхимпромk'</w:t>
            </w:r>
          </w:p>
        </w:tc>
        <w:tc>
          <w:tcPr>
            <w:tcW w:w="1365" w:type="dxa"/>
            <w:tcBorders>
              <w:bottom w:val="single" w:sz="12" w:space="0" w:color="auto"/>
            </w:tcBorders>
          </w:tcPr>
          <w:p w14:paraId="170A798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w:t>
            </w:r>
          </w:p>
        </w:tc>
      </w:tr>
    </w:tbl>
    <w:p w14:paraId="5D2532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Секретно</w:t>
      </w:r>
    </w:p>
    <w:p w14:paraId="770B45D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Приложение№1 к постановлению ГОКО от</w:t>
      </w:r>
    </w:p>
    <w:p w14:paraId="06838B0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г. № 5098сс</w:t>
      </w:r>
    </w:p>
    <w:p w14:paraId="7F791BF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План поставки Наркомчерметом металла для производства 82 мм реактивнкх противотанковых ружей и мин к ним. </w:t>
      </w:r>
    </w:p>
    <w:p w14:paraId="643231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тоннах)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600"/>
        <w:gridCol w:w="1245"/>
        <w:gridCol w:w="1275"/>
        <w:gridCol w:w="3060"/>
        <w:gridCol w:w="1800"/>
      </w:tblGrid>
      <w:tr w:rsidR="004D4663" w:rsidRPr="00070ADE" w14:paraId="435679F8" w14:textId="77777777" w:rsidTr="003712D9">
        <w:trPr>
          <w:jc w:val="center"/>
        </w:trPr>
        <w:tc>
          <w:tcPr>
            <w:tcW w:w="3600" w:type="dxa"/>
            <w:tcBorders>
              <w:top w:val="single" w:sz="12" w:space="0" w:color="auto"/>
            </w:tcBorders>
          </w:tcPr>
          <w:p w14:paraId="748F241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 деталей</w:t>
            </w:r>
          </w:p>
        </w:tc>
        <w:tc>
          <w:tcPr>
            <w:tcW w:w="1245" w:type="dxa"/>
            <w:gridSpan w:val="2"/>
            <w:tcBorders>
              <w:top w:val="single" w:sz="12" w:space="0" w:color="auto"/>
            </w:tcBorders>
          </w:tcPr>
          <w:p w14:paraId="32697F8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tc>
        <w:tc>
          <w:tcPr>
            <w:tcW w:w="3060" w:type="dxa"/>
            <w:tcBorders>
              <w:top w:val="single" w:sz="12" w:space="0" w:color="auto"/>
            </w:tcBorders>
          </w:tcPr>
          <w:p w14:paraId="144EE00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Кому поставляется</w:t>
            </w:r>
          </w:p>
        </w:tc>
        <w:tc>
          <w:tcPr>
            <w:tcW w:w="1800" w:type="dxa"/>
            <w:tcBorders>
              <w:top w:val="single" w:sz="12" w:space="0" w:color="auto"/>
            </w:tcBorders>
          </w:tcPr>
          <w:p w14:paraId="30F5089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Источник покрытия</w:t>
            </w:r>
          </w:p>
        </w:tc>
      </w:tr>
      <w:tr w:rsidR="004D4663" w:rsidRPr="00070ADE" w14:paraId="0C42EBE3" w14:textId="77777777">
        <w:trPr>
          <w:jc w:val="center"/>
        </w:trPr>
        <w:tc>
          <w:tcPr>
            <w:tcW w:w="3600" w:type="dxa"/>
          </w:tcPr>
          <w:p w14:paraId="6791EA0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3CBB43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w:t>
            </w:r>
          </w:p>
        </w:tc>
        <w:tc>
          <w:tcPr>
            <w:tcW w:w="1275" w:type="dxa"/>
          </w:tcPr>
          <w:p w14:paraId="18CE234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Март</w:t>
            </w:r>
          </w:p>
        </w:tc>
        <w:tc>
          <w:tcPr>
            <w:tcW w:w="3060" w:type="dxa"/>
          </w:tcPr>
          <w:p w14:paraId="372C77E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00" w:type="dxa"/>
          </w:tcPr>
          <w:p w14:paraId="4001486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0BCF4F6" w14:textId="77777777">
        <w:trPr>
          <w:jc w:val="center"/>
        </w:trPr>
        <w:tc>
          <w:tcPr>
            <w:tcW w:w="3600" w:type="dxa"/>
          </w:tcPr>
          <w:p w14:paraId="7E6028D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Панцирная сталь лист. 1 мм</w:t>
            </w:r>
          </w:p>
        </w:tc>
        <w:tc>
          <w:tcPr>
            <w:tcW w:w="1245" w:type="dxa"/>
          </w:tcPr>
          <w:p w14:paraId="4A0BEE5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1275" w:type="dxa"/>
          </w:tcPr>
          <w:p w14:paraId="46C2590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3060" w:type="dxa"/>
          </w:tcPr>
          <w:p w14:paraId="28DEB6A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Наркомминвооружение</w:t>
            </w:r>
          </w:p>
        </w:tc>
        <w:tc>
          <w:tcPr>
            <w:tcW w:w="1800" w:type="dxa"/>
          </w:tcPr>
          <w:p w14:paraId="03117B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фонды НКМВ</w:t>
            </w:r>
          </w:p>
        </w:tc>
      </w:tr>
      <w:tr w:rsidR="004D4663" w:rsidRPr="00070ADE" w14:paraId="2A1A04F9" w14:textId="77777777">
        <w:trPr>
          <w:jc w:val="center"/>
        </w:trPr>
        <w:tc>
          <w:tcPr>
            <w:tcW w:w="3600" w:type="dxa"/>
          </w:tcPr>
          <w:p w14:paraId="7C0E521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Декапированное железо 0,5 мм</w:t>
            </w:r>
          </w:p>
        </w:tc>
        <w:tc>
          <w:tcPr>
            <w:tcW w:w="1245" w:type="dxa"/>
          </w:tcPr>
          <w:p w14:paraId="4C6F38B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1275" w:type="dxa"/>
          </w:tcPr>
          <w:p w14:paraId="61DF4C3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3060" w:type="dxa"/>
          </w:tcPr>
          <w:p w14:paraId="4E7B0F3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НКМП РСФСР</w:t>
            </w:r>
          </w:p>
        </w:tc>
        <w:tc>
          <w:tcPr>
            <w:tcW w:w="1800" w:type="dxa"/>
          </w:tcPr>
          <w:p w14:paraId="62030D1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фонды НКБ </w:t>
            </w:r>
          </w:p>
        </w:tc>
      </w:tr>
      <w:tr w:rsidR="004D4663" w:rsidRPr="00070ADE" w14:paraId="0651E9AB" w14:textId="77777777">
        <w:trPr>
          <w:jc w:val="center"/>
        </w:trPr>
        <w:tc>
          <w:tcPr>
            <w:tcW w:w="3600" w:type="dxa"/>
          </w:tcPr>
          <w:p w14:paraId="433D813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Декапированное железо 0,9 мм</w:t>
            </w:r>
          </w:p>
        </w:tc>
        <w:tc>
          <w:tcPr>
            <w:tcW w:w="1245" w:type="dxa"/>
          </w:tcPr>
          <w:p w14:paraId="29934D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1275" w:type="dxa"/>
          </w:tcPr>
          <w:p w14:paraId="130F74F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3060" w:type="dxa"/>
          </w:tcPr>
          <w:p w14:paraId="5307246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НКМП РСФСР</w:t>
            </w:r>
          </w:p>
        </w:tc>
        <w:tc>
          <w:tcPr>
            <w:tcW w:w="1800" w:type="dxa"/>
          </w:tcPr>
          <w:p w14:paraId="540CB39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фонды НКБ</w:t>
            </w:r>
          </w:p>
        </w:tc>
      </w:tr>
      <w:tr w:rsidR="004D4663" w:rsidRPr="00070ADE" w14:paraId="778BC31F" w14:textId="77777777">
        <w:trPr>
          <w:jc w:val="center"/>
        </w:trPr>
        <w:tc>
          <w:tcPr>
            <w:tcW w:w="3600" w:type="dxa"/>
          </w:tcPr>
          <w:p w14:paraId="0F7E01B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Листовое железо 1,5мм</w:t>
            </w:r>
          </w:p>
        </w:tc>
        <w:tc>
          <w:tcPr>
            <w:tcW w:w="1245" w:type="dxa"/>
          </w:tcPr>
          <w:p w14:paraId="7015877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1275" w:type="dxa"/>
          </w:tcPr>
          <w:p w14:paraId="04FB28A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3060" w:type="dxa"/>
          </w:tcPr>
          <w:p w14:paraId="3253D76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НКМП РСФСР</w:t>
            </w:r>
          </w:p>
        </w:tc>
        <w:tc>
          <w:tcPr>
            <w:tcW w:w="1800" w:type="dxa"/>
          </w:tcPr>
          <w:p w14:paraId="557B557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фонды НКМВ</w:t>
            </w:r>
          </w:p>
        </w:tc>
      </w:tr>
      <w:tr w:rsidR="004D4663" w:rsidRPr="00070ADE" w14:paraId="60EFB2F8" w14:textId="77777777">
        <w:trPr>
          <w:jc w:val="center"/>
        </w:trPr>
        <w:tc>
          <w:tcPr>
            <w:tcW w:w="3600" w:type="dxa"/>
          </w:tcPr>
          <w:p w14:paraId="47C9823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Листовое железо 2,2мм</w:t>
            </w:r>
          </w:p>
        </w:tc>
        <w:tc>
          <w:tcPr>
            <w:tcW w:w="1245" w:type="dxa"/>
          </w:tcPr>
          <w:p w14:paraId="189608F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1275" w:type="dxa"/>
          </w:tcPr>
          <w:p w14:paraId="4EE1FAE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3060" w:type="dxa"/>
          </w:tcPr>
          <w:p w14:paraId="4E62C1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НКМП РСФСР</w:t>
            </w:r>
          </w:p>
        </w:tc>
        <w:tc>
          <w:tcPr>
            <w:tcW w:w="1800" w:type="dxa"/>
          </w:tcPr>
          <w:p w14:paraId="3DA7944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фонды НКМВ</w:t>
            </w:r>
          </w:p>
        </w:tc>
      </w:tr>
      <w:tr w:rsidR="004D4663" w:rsidRPr="00070ADE" w14:paraId="1F71EAFB" w14:textId="77777777">
        <w:trPr>
          <w:jc w:val="center"/>
        </w:trPr>
        <w:tc>
          <w:tcPr>
            <w:tcW w:w="3600" w:type="dxa"/>
          </w:tcPr>
          <w:p w14:paraId="66B1AB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Сортовое железо СТ-40 85 мм.</w:t>
            </w:r>
          </w:p>
        </w:tc>
        <w:tc>
          <w:tcPr>
            <w:tcW w:w="1245" w:type="dxa"/>
          </w:tcPr>
          <w:p w14:paraId="49171F3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1275" w:type="dxa"/>
          </w:tcPr>
          <w:p w14:paraId="171691B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3060" w:type="dxa"/>
          </w:tcPr>
          <w:p w14:paraId="57E043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Наркомстанкостроение</w:t>
            </w:r>
          </w:p>
        </w:tc>
        <w:tc>
          <w:tcPr>
            <w:tcW w:w="1800" w:type="dxa"/>
          </w:tcPr>
          <w:p w14:paraId="5186121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Фонды НКБ</w:t>
            </w:r>
          </w:p>
        </w:tc>
      </w:tr>
      <w:tr w:rsidR="004D4663" w:rsidRPr="00070ADE" w14:paraId="14939DE6" w14:textId="77777777">
        <w:trPr>
          <w:jc w:val="center"/>
        </w:trPr>
        <w:tc>
          <w:tcPr>
            <w:tcW w:w="3600" w:type="dxa"/>
            <w:tcBorders>
              <w:bottom w:val="single" w:sz="12" w:space="0" w:color="auto"/>
            </w:tcBorders>
          </w:tcPr>
          <w:p w14:paraId="705070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Сортовое железо СТ-40</w:t>
            </w:r>
          </w:p>
        </w:tc>
        <w:tc>
          <w:tcPr>
            <w:tcW w:w="1245" w:type="dxa"/>
            <w:tcBorders>
              <w:bottom w:val="single" w:sz="12" w:space="0" w:color="auto"/>
            </w:tcBorders>
          </w:tcPr>
          <w:p w14:paraId="58E99C3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1275" w:type="dxa"/>
            <w:tcBorders>
              <w:bottom w:val="single" w:sz="12" w:space="0" w:color="auto"/>
            </w:tcBorders>
          </w:tcPr>
          <w:p w14:paraId="151BC7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c>
          <w:tcPr>
            <w:tcW w:w="3060" w:type="dxa"/>
            <w:tcBorders>
              <w:bottom w:val="single" w:sz="12" w:space="0" w:color="auto"/>
            </w:tcBorders>
          </w:tcPr>
          <w:p w14:paraId="65C7E07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НКБ</w:t>
            </w:r>
          </w:p>
        </w:tc>
        <w:tc>
          <w:tcPr>
            <w:tcW w:w="1800" w:type="dxa"/>
            <w:tcBorders>
              <w:bottom w:val="single" w:sz="12" w:space="0" w:color="auto"/>
            </w:tcBorders>
          </w:tcPr>
          <w:p w14:paraId="3FFAD39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Фонды НКБ по снарядной заготовке.</w:t>
            </w:r>
          </w:p>
        </w:tc>
      </w:tr>
    </w:tbl>
    <w:p w14:paraId="7E1D3ED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(11813).</w:t>
      </w:r>
    </w:p>
    <w:p w14:paraId="42FFD5F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BBFDF8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вышло Постановление ГКО № 5099 Об увеличении производства бронепрожигающих (кумулятивных) снарядов. РГАНИР, Фонд ГКО, д. 205, лл. 128-131 (11012).</w:t>
      </w:r>
    </w:p>
    <w:p w14:paraId="3AF05C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220FA4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вышло Постановление ГКО № 5100 О добыче нефти и выработке нефтепродуктов в феврале 1944 года. РГАНИР, Фонд ГКО, д. 205, лл. 132-138,139-140 (11012).</w:t>
      </w:r>
    </w:p>
    <w:p w14:paraId="362F031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49635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вышло Постановление ГКО № 5101 О плане добычи угля на февраль 1944 года по Наркомуглю. РГАНИР, Фонд ГКО, д. 205, лл. 141-150,151-155 (11012).</w:t>
      </w:r>
    </w:p>
    <w:p w14:paraId="519A553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8C3AF6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вышло Постановление ГКО № 5102 О материально-техническом снабжении нефтяной промышленности в I квартале 1944 года. РГАНИР, Фонд ГКО, д. 205, лл. 156-166,167-178 (11012).</w:t>
      </w:r>
    </w:p>
    <w:p w14:paraId="762C60B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F8696E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вышло Распоряжение ГКО № 5103 [Об остановке на ремонт турбогeнератора на Омской ТЭЦ № 2 и увеличении нагрузки на Омскую ТЭЦ № 1.] (7184, 179).</w:t>
      </w:r>
    </w:p>
    <w:p w14:paraId="0958211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F95A6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вышло Постановление ГКО № 5104 О восстановлении производства пирометрических фарфоровых труб и технического фарфора на Ленинградском фарфоровом заводе им. Ломоносова. РГАНИР, Фонд ГКО, д. 205, лл. 180-182 (11012).</w:t>
      </w:r>
    </w:p>
    <w:p w14:paraId="3D0DD0F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617AD9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вышло Распоряжение ГКО № 5105 Об изготовлении и испытании пневматической углеразмольной мельницы. (7184, 183-184).</w:t>
      </w:r>
    </w:p>
    <w:p w14:paraId="656B435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04018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вышло Постановление ГКО № 5106 О восстановлении электростанций г. Мелитополя. РГАНИР, Фонд ГКО, д. 205, лл. 185-187,188-192 (11012).</w:t>
      </w:r>
    </w:p>
    <w:p w14:paraId="37BB81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F62A1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вышло Постановление ГКО № 5107 О строительстве высоковольтной линии электропередачи Егоршино-Алапаевск для Алапаевского завода револьверных станков Наркомcтанкостроения. РГАНИР, Фонд ГКО, д. 205, лл. 192-193,194-195 (11012).</w:t>
      </w:r>
    </w:p>
    <w:p w14:paraId="75E8DA9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1162F3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вышло Постановление ГКО № 5108 О восстановлении московских автоматических телефонных станций Наркомсвязи. РГАНИР, Фонд ГКО, д. 205, лл. 196-199,200-205 (11012).</w:t>
      </w:r>
    </w:p>
    <w:p w14:paraId="4B1D32F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A38B7C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вышло Постановление ГКО № 5109 Об увеличении производства литейных концентратов на заводах Главлесоспирта при Совнаркоме СССР и Наркомлегпрома СССР. (7185, 1-8,9-15).</w:t>
      </w:r>
    </w:p>
    <w:p w14:paraId="2CEEF2E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E98F2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вышло Постановление ГКО № 5110 О материально-техническом снабжении предприятий целлюлозно-бумажной промышленности в I квартале 1944 г. РГАНИР, Фонд ГКО, д. 206, лл. 16-20,21-35 (11012).</w:t>
      </w:r>
    </w:p>
    <w:p w14:paraId="4C2612C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BAB31EF"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1A78F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2FFDD8"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5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302A0EA7"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5 февраля на Нарвском направлении наши войска вели бои по очищению от отдельных групп противника восточного берега реки Нарва и заняли несколько населённых пунктов.</w:t>
      </w:r>
    </w:p>
    <w:p w14:paraId="5880E592"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наступающие вдоль побережья Чудского озера и к востоку от него,продвинулись вперёд и заняли несколько населённых пунктов.</w:t>
      </w:r>
    </w:p>
    <w:p w14:paraId="63F40820"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Сиверский наши войска с боями продвигались вперёд изаняли населённые пункты Селище, Сосново, Гусинка, Подледье, Малые Корячи, Верест, Твердять, Старица, Пожни, Пехенец, Малая Ящера и железнодорожные станции Сосницы, Верест, Липовец.</w:t>
      </w:r>
    </w:p>
    <w:p w14:paraId="23E897A8"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Любань наши войска продолжали наступление и заняли населённые пункты Никулкино, Бор, Волкино, Филипповичи, Загорье, Загородицы, Вяжище.</w:t>
      </w:r>
    </w:p>
    <w:p w14:paraId="2D0ECE51"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в результате стремительного удара подвижныхсоединений и пехоты и умело проведённого обходного манёвра овладели областными центрами Украины городами Луцк и Ровно, городом и крупным железнодорожным узлом Здолбунов, а также с боями заняли более 200 других населённых пунктов и срединих районные центры Ровенской области город Острог, Александрия, Деражно, Рафаловка, Клевань, Олыка, районный центр Волынской области Колки и железнодорожные станции Кривин, Могиляны, Остров, Иванково, Квасилов, Шпанов, Обаров, Оржев, Клевань, Новостав, Цумань, Олыка, Армантюв, Киверцы, Любомирск,Волошки, Решуцк, Галлы, Рафаловка. В боях захвачено более двух тысяч пленных и среди них пленные, принадлежащие к разбитым в боях 18 и 19 венгерским пехотным дивизиям.</w:t>
      </w:r>
    </w:p>
    <w:p w14:paraId="2C0DBB70"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Звенигородка и Шпола наши войска продолжали вести успешные бои поуничтожению окружённой группировки противника и, сжимая кольцо окружения, овладели районным центром Киевской области Ольшана, крупными населенными пунктами Семигоры, Копновато, Мартыновка, Дарьевка, Крещатик, Шелепухи, Березняги, Плеваки, Тубольцы, Кумейки, Белозёрье, Байбузы, Вербовка.Одновременно западнее Звенигородка и южнее Шпола наши войска успешно отражали контратаки крупных сил пехоты и танков противника, стремившихся пробиться на помощь окружённой группе войск.</w:t>
      </w:r>
    </w:p>
    <w:p w14:paraId="25DC9281"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4 февраля наши войска на всех фронтах подбили и уничтожили 109 немецких танков. В воздушных боях и огнём зенитной артиллерии уничтожено 46 самолётов противника, из них 22 трехмоторный транспортных самолёта «Ю-52».</w:t>
      </w:r>
    </w:p>
    <w:p w14:paraId="19ED1809"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Нарвском направлении наши войска очищали от отдельных групп противника восточный берег реки Нарва. Части Н-ского соединения занят несколько населенных пунктов, уничтожив при этом до 600 немецких солдат и офицеров. В одном районе наши бойцы прорвались вперёд и стремительной атакой разгромили гарнизон опорного пункта противника. Захвачены 7 орудий, 4 шестиствольных миномёта, склад боеприпасов и значительное число пленных.</w:t>
      </w:r>
    </w:p>
    <w:p w14:paraId="37BFDB73"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наступающие вдоль побережья Чудского озера и к востоку от него, успешно продвигались вперёд. В одном районе советские части окружили два батальона противника. Ввиду отказа сложить оружие, оба батальона гитлеровцев ликвидированы. Захвачены у немцев три тяжёлых танка, 14 орудий, много пулемётов,автоматов, повозки с грузами и другие трофеи.</w:t>
      </w:r>
    </w:p>
    <w:p w14:paraId="56529DDF"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станции Сиверский наши войска с боями продвигались вперёд и заняли ряд населённых пунктов. Овладев железнодорожными станциями Сосницы, Верест и Липовец, части Н-ского соединения полностью очистили от противника железную дорогу Волосово-Мшинская. В течение дня истреблено более 800 гитлеровцев. На одном участке немецкие танки, самоходные орудия и автоматчики пытались преградить путь нашей пехоте. Советские бойцы огнём из противотанковыхорудий и ружей подбили 4 немецких танка «Тигр» и 2 самоходных орудия «Фердинанд». Кроме того, один тяжёлый немецкий танк и одно самоходное орудие завязли в болоте. Их экипажи уничтожены.</w:t>
      </w:r>
    </w:p>
    <w:p w14:paraId="3A7F5EB6"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дней тому назад войска 1-го Украинского фронта в результате стремительного удара прорвали оборону противника по реке Горынь. Наши подвижные соединения устремились в образовавшуюся брешь, вышли к городу Ровно и завязали бои на его окраинах. Одновременно были перерезаны шоссейные дороги из Ровно в Клевань, Млынов и Дубно. Подоспевшие пехотные части ворвались в город с востока. В ожесточённых уличных боях наши войска разгромили противника и овладели областным центром Украины — городом Ровно. Остатки разбитого немецкого гарнизона бежали по единственной оставшейся у них дороге на юг, в сторону города Здолбунов. Тем временем советские части, наступавшие южнее, умелым обходнымманёвром заняли город и железнодорожный узел Здолбунов и нанесли внезапный удар по вражеским колоннам, отступавшим из Ровно. После непродолжительного боя противник был уничтожен и частью пленён.</w:t>
      </w:r>
    </w:p>
    <w:p w14:paraId="436138C5"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действующие северо-западнее Ровно, в трудных условиях бездорожья, лесов и болот, быстро продвинулись вперёд, уничтожая встречающиеся на пути части противника. Выйдя к городу Луцку, советские части стремительным ударом разгромили находившиеся в нём немецкие войска. Овладев областным центром Украины городом Луцк, наши войска захватили огромные трофеи, в том числе 30 армейских складов с боеприпасами, продовольствием и военным имуществом. В ходе наступления занято более 200 других населённых пунктов, в том числе районные центры Ровенской области город Острог, Александрия, Деражно, Рафаловка, Клевань,Олыка, районный центр Волынской области Колки и целый ряд железнодорожных станций. Взято в плен более 2.000 немецких и венгерских солдат и офицеров. В ходе боёв активную помощь нашим наступающим войскам оказывали партизаны Ровенской и Волынской областей Украинской Советской Республики.</w:t>
      </w:r>
    </w:p>
    <w:p w14:paraId="03CBB071"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Звенигородки и Шполы наши войска продолжали вести успешные бои по ликвидации окружённой группировки противника. Сжимая кольцо окружения, советские части овладели районным центром Киевской области Ольшана, а также заняли ряд других населённых пунктов. Последовательными ударами наши войска наносят окружённым немецким дивизиям тяжёлый урон в живой силе и технике. Немцы крупными силами пехоты и танков пытались пробиться на помощь окружённой группе войск. Западнее Звенигородки противник бросил в атаку 4 полка мотопехоты и более сотни танков. Советские бойцы отбили эту контратаку гитлеровцев и отбросили их на исходные позиции. На поле боя осталось 65 сгоревших и подбитых немецких танков и свыше 1.500 вражеских трупов. Южнее Шполы советские артиллеристы, пехотинцы и танкисты в ожесточённом бою уничтожили 30 танков, 7 самоходных орудий и до полка пехоты противника.</w:t>
      </w:r>
    </w:p>
    <w:p w14:paraId="383C8E7B"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блокируя с воздуха район расположения окружённой немецкой группировки, сбила 22 немецких транспортных самолёта, перевозивших боеприпасы и горючее. На одном из сбитых самолётов находилось 15 немецких офицеров, пытавшихся выбраться из окружения. Советские лётчики нанесли удар по одному вражескому аэродрому, с которого немецкие самолёты вылетали в район окружённойгруппировки. В результате внезапной и энергичной атаки нашей авиации уничтожено на земле 29 немецких самолётов. Кроме того, во время налёта на аэродром повреждено большое число самолётов противника.</w:t>
      </w:r>
    </w:p>
    <w:p w14:paraId="0632DDB4"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Одесской области, в течение двух дней вёл бой с карательной экспедицией немцев. Гитлеровцам удалось окружить партизан. Советские патриоты заняли круговую оборону, огнём из всех видов оружия отбили несколько ожесточённых атак врага и истребили до 400 немцев. Ночью партизаны прорвали вражеское кольцо и вышли из окружения.» (15031).</w:t>
      </w:r>
    </w:p>
    <w:p w14:paraId="686FEDC6" w14:textId="77777777" w:rsidR="00B862BC" w:rsidRPr="00070ADE" w:rsidRDefault="00B862BC" w:rsidP="00B56F90">
      <w:pPr>
        <w:spacing w:after="0" w:line="240" w:lineRule="auto"/>
        <w:jc w:val="both"/>
        <w:rPr>
          <w:rFonts w:ascii="Times New Roman" w:hAnsi="Times New Roman"/>
          <w:color w:val="000000" w:themeColor="text1"/>
          <w:sz w:val="16"/>
          <w:szCs w:val="16"/>
        </w:rPr>
      </w:pPr>
    </w:p>
    <w:p w14:paraId="2901A54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советские войска освободили Гдов, Ровно и Луцк (4962).</w:t>
      </w:r>
    </w:p>
    <w:p w14:paraId="3F2ED1F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3AA30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И.Павлов узнал, что стал ГСС. Нашел склад боеприпасов, организовал разгром 2-х встречных эшелонов на ст. Рудня, разбомбил бронепоезд (3044,143).</w:t>
      </w:r>
    </w:p>
    <w:p w14:paraId="1E8D7F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1C5CA9" w14:textId="77777777" w:rsidR="00F87FFC" w:rsidRPr="00070ADE" w:rsidRDefault="00F87F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г. Докладная записка Р.Г. Кацмана председателю КДК И.Г. Большакову о необоснованных изъятиях военной цензуры</w:t>
      </w:r>
    </w:p>
    <w:p w14:paraId="0C1B9FAE" w14:textId="77777777" w:rsidR="00F87FFC" w:rsidRPr="00070ADE" w:rsidRDefault="00F87F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СЕКРЕТНО</w:t>
      </w:r>
    </w:p>
    <w:p w14:paraId="1AC99959" w14:textId="77777777" w:rsidR="00F87FFC" w:rsidRPr="00070ADE" w:rsidRDefault="00F87F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Председателю Комитета по делам кинематографии при СНК СССР</w:t>
      </w:r>
    </w:p>
    <w:p w14:paraId="430CBB95" w14:textId="77777777" w:rsidR="00F87FFC" w:rsidRPr="00070ADE" w:rsidRDefault="00F87F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Тов. Большакову</w:t>
      </w:r>
    </w:p>
    <w:p w14:paraId="5A850B35" w14:textId="77777777" w:rsidR="00F87FFC" w:rsidRPr="00070ADE" w:rsidRDefault="00F87F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Военный цензор, майор Куприков, по совершенно непонятным причинам систематически изымает из прибывающих киносъемок кадры, изображающие стрельбу «Катюш». Причем речь идет не о крупных планах, в которых видны детали или рельефно показаны контуры гвардейских минометов. Цензор изымает и запрещает демонстрировать общие планы, в которых сами минометы показаны в отдалении и в основном виден огонь «Катюш». Такие и даже еще более рельефные планы уже были опубликованы в фильмах «Сталинград», «Орловская битва», в других фильмах, и запрещение таких планов является инерцией, которая в конце концов приводит к снижению уровня показа военной мощи в хронике. Как известно, кадры стреляющих «Катюш» чрезвычайно эффектны, и их удаление очень обедняет материал.</w:t>
      </w:r>
    </w:p>
    <w:p w14:paraId="3D0BE66B" w14:textId="77777777" w:rsidR="00F87FFC" w:rsidRPr="00070ADE" w:rsidRDefault="00F87F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Последний пример относится к съемкам на Ленфронте. Майор Куприков в сюжете «Бои на Пулковском направлении», включенном в СКЖ № 6, предложил изъять планы с изображением орудий системы Костикова.</w:t>
      </w:r>
    </w:p>
    <w:p w14:paraId="0C935B82" w14:textId="77777777" w:rsidR="00F87FFC" w:rsidRPr="00070ADE" w:rsidRDefault="00F87F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Подлежащие изъятию планы содержат только изображение полета реактивных снарядов и контуры орудий, и никак не могут быть использованы для раскрытия конструкции орудий системы Костикова. Аналогичные и более подробные изображения орудий этой системы уже были разрешены и показаны на всех экранах Союза, а также за границей.</w:t>
      </w:r>
    </w:p>
    <w:p w14:paraId="0C2A4C64" w14:textId="77777777" w:rsidR="00F87FFC" w:rsidRPr="00070ADE" w:rsidRDefault="00F87F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Учитывая, что показ на экране общих планов действующих «Катюш» не нарушит государственной тайны, а изъятие их снижает правдивость и силу показа огневой подготовки наших наступающих войск, прошу договориться с соответствующими организациями, чтобы военцензору майору Куприкову были даны указания о недопустимости изъятия из хроники и, в частности, из СКЖ № 6 общих планов стреляющих «Катюш».</w:t>
      </w:r>
    </w:p>
    <w:p w14:paraId="4DC15AB7" w14:textId="77777777" w:rsidR="00F87FFC" w:rsidRPr="00070ADE" w:rsidRDefault="00F87F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И.о. нач. Главного управления кинохроники</w:t>
      </w:r>
      <w:r w:rsidRPr="00070ADE">
        <w:rPr>
          <w:rFonts w:ascii="Times New Roman" w:hAnsi="Times New Roman"/>
          <w:color w:val="000000" w:themeColor="text1"/>
          <w:sz w:val="16"/>
          <w:szCs w:val="16"/>
        </w:rPr>
        <w:tab/>
        <w:t>Кацман</w:t>
      </w:r>
    </w:p>
    <w:p w14:paraId="0DC1F5C6" w14:textId="77777777" w:rsidR="00F87FFC" w:rsidRPr="00070ADE" w:rsidRDefault="00F87F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деле сохранилось указание И.Г. Большакова начальнику Главкинопроката Васильевскому:</w:t>
      </w:r>
    </w:p>
    <w:p w14:paraId="64FE77DB" w14:textId="77777777" w:rsidR="00F87FFC" w:rsidRPr="00070ADE" w:rsidRDefault="00F87F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«Урегулируйте этот вопрос. Большаков».</w:t>
      </w:r>
    </w:p>
    <w:p w14:paraId="1148FEFA" w14:textId="77777777" w:rsidR="00F87FFC" w:rsidRPr="00070ADE" w:rsidRDefault="00F87F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РГАЛИ. Ф. 2456. Оп. 4. Д. 90. Л. 16. Подлинник. Машинопись. Подпись – автограф (24146).</w:t>
      </w:r>
    </w:p>
    <w:p w14:paraId="386A7E4F" w14:textId="77777777" w:rsidR="00F87FFC" w:rsidRPr="00070ADE" w:rsidRDefault="00F87FFC" w:rsidP="00B56F90">
      <w:pPr>
        <w:spacing w:after="0" w:line="240" w:lineRule="auto"/>
        <w:jc w:val="both"/>
        <w:rPr>
          <w:rFonts w:ascii="Times New Roman" w:hAnsi="Times New Roman"/>
          <w:color w:val="000000" w:themeColor="text1"/>
          <w:sz w:val="16"/>
          <w:szCs w:val="16"/>
        </w:rPr>
      </w:pPr>
    </w:p>
    <w:p w14:paraId="355161A3"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0E1B71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D45F3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вышло Постановление ГКО № 5111 О завозе зерна, муки, крупы и продовольственных товаров в г. Москву и Московскую область в феврале 1944 г. (7185, 36-39,40-48).</w:t>
      </w:r>
    </w:p>
    <w:p w14:paraId="6755BF4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991CF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председателем Совнаркома Украины назначен Н. Хрущев (4962).</w:t>
      </w:r>
    </w:p>
    <w:p w14:paraId="0FF99683"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0FE4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Президиум ВС принял Указ об утверждении нового образца Красного знамени и Гвардейского КЗ (3398,60).</w:t>
      </w:r>
    </w:p>
    <w:p w14:paraId="7DBBE6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93C90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3C9311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1E57D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года в Нью-Йорке состоялась встреча агента-связника Г. Голда с К. Фуксом, а 25 февраля он передал копии своих теоретических работ по «Энормозу». За время командировки К. Фукса в США его работой на внешнюю разведку руководили С. Семенов, а затем А. Яцков, о чем ученый, естественно, не догадывался. В 1943—1944 годах К. Фукс передал через Г. Голда (Раймонд) следующие материалы: об опытной промышленной установке в Ок-Ридже; о мембранах, используемых в газодиффузионном процессе, и их композиционном составе. А также копии всех докладов, подготовленных британской научной миссией в США (Соловьева В. Инженер, который мог спасти «Титаник» // Секретные материалы. — 2000. — № 21 (40)). За это Голд был награжден орденом Красного Знамени. Правда, сам источник (Фукс) боевой награды так и не получил.</w:t>
      </w:r>
    </w:p>
    <w:p w14:paraId="341C845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ценности и важности переданных К. Фуксом в тот период материалов свидетельствует секретный меморандум директора ФБР Д. Э. Гувера:</w:t>
      </w:r>
    </w:p>
    <w:p w14:paraId="450D97C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1945 года в Санта-Фе передал русскому агенту детальный доклад, который заранее подготовил в Лос-Аламосе, имея доступ ко всем соответствующим документам и проверяя на месте правильность проводимых им расчетов и формул.</w:t>
      </w:r>
    </w:p>
    <w:p w14:paraId="3583B00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Этот второй доклад содержал полное физико-математическое описание плутониевой бомбы, которую предполагалось испытать… Он передал русским чертежи бомбы, ее отдельные компоненты и сообщил все наиболее важные параметры…» (Сопряков В. Н. Восток — дело тонкое: Исповедь разведчика. — М.: Современник, 1999. — 238 с.).</w:t>
      </w:r>
    </w:p>
    <w:p w14:paraId="1804485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с сентября 1947 по 1949 год К. Фукс передал сотруднику советской внешней разведки А. Феклисову: детальные данные о реакторах и химическом заводе по производству плутония в Уидскейле; сравнительный анализ урановых котлов с воздушным и водяным охлаждением; планы строительства завода по разделению изотопов; принципиальную схему водородной бомбы и теоретические данные по ее созданию, которая была разработана учеными США и Великобритании в 1948 году; результаты испытаний американской ураново-плутониевой бомбы на атолле Эниветок; справку о состоянии англо-американского сотрудничества в области производства атомного оружия и другие материалы.</w:t>
      </w:r>
    </w:p>
    <w:p w14:paraId="7757347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важности переданной К. Фуксом секретной информации можно судить по следующему отзыву Центра: «Полученные материалы очень ценные и позволяют сэкономить 200—250 млн. рублей и сократить сроки освоения проблемы» (Суворов В. «Аквариум». — М.: Демократическая Россия, 1991. — 304 с.).</w:t>
      </w:r>
    </w:p>
    <w:p w14:paraId="6784F91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1950 года был арестован Г. Голд, поддерживавший контакт с К. Фуксом во время его поездок в США. 3 февраля того же года лондонская резидентура на основании газетных сообщений проинформировала Центр об аресте К. Фукса, которому было предъявлено обвинение в «передаче врагу» информации по «Энормозу». Эта информация была доложена непосредственно Сталину.</w:t>
      </w:r>
    </w:p>
    <w:p w14:paraId="7355FB2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Анализируя причины провала, работники Центра Л. Квасников и А. Раина пришли к выводу, что он связан с пребыванием К. Фукса в США. В дальнейшем было установлено, что после испытания 29 августа 1949 года советской атомной бомбы ФБР начало интенсивные поиски лиц, причастных к утечке атомных секретов. Связник Г. Голд вновь был вызван на допрос. Несмотря на то, что он отрицал свое знакомство с К. Фуксом, ФБР произвело негласный обыск в его квартире, где агенты обнаружили план города Санта-Фе, на котором карандашом было помечено место встречи Голда с Фуксом.</w:t>
      </w:r>
    </w:p>
    <w:p w14:paraId="44908EF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очередном допросе, используя неопровержимые улики, сотрудники ФБР заставили Г. Голда сознаться в сотрудничестве с советской разведкой и контакте с К. Фуксом. Директор ФБР Д. Э. Гувер доложил президенту Трумэну, что источником утечки атомных секретов является английский ученый Клаус Фукс, который во время его командировок в США передавал советским агентам секретные материалы по «Энормозу».</w:t>
      </w:r>
    </w:p>
    <w:p w14:paraId="78C9490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Эти сведения были переданы британской контрразведке МИ-5. В сентябре 1949 года премьер-министр Великобритании К. Эттли дал указание приступить к допросам ученого, не отстраняя его от работы в Харуэлле. Ставка делалась на то, что коллеги К. Фукса окажут на него психологическое воздействие. Этот расчет оказался правильным. Находясь в тяжелом морально-психологическом состоянии и понимая, что Г. Голд его выдал, К. Фукс подтвердил свое сотрудничество с советской внешней разведкой и факт передачи ей секретных материалов по «Энормозу». После письменного признания 2 февраля 1950 года он был арестован. 1 марта 1950 года в центральном уголовном суде Олд-Бейли состоялся судебный процесс над К. Фуксом. В последнем слове К. Фукс признал свою вину. Суд приговорил его к 14 годам тюремного заключения.</w:t>
      </w:r>
    </w:p>
    <w:p w14:paraId="5D02C3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суда комиссия конгресса США по атомной энергии поручила Гуверу представить ей полные тексты признаний К. Фукса. После их тщательного анализа комиссия пришла к выводу о том, что он передал Советскому Союзу не только результаты научно-исследовательских работ, но и подробные сведения по практическому созданию урановой и плутониевой бомб.</w:t>
      </w:r>
    </w:p>
    <w:p w14:paraId="4E0622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оценке американских ученых, информация К. Фукса помогла Советскому Союзу сократить срок создания атомного оружия от трех до десяти лет и опередить США по созданию водородного оружия (11765).</w:t>
      </w:r>
    </w:p>
    <w:p w14:paraId="5C705A0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D3A611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создан Наркомат иностранных дел Украины (4962).</w:t>
      </w:r>
    </w:p>
    <w:p w14:paraId="23AB58B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77488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1E258F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0D468A"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5 февраля</w:t>
      </w:r>
      <w:r w:rsidRPr="00070ADE">
        <w:rPr>
          <w:rFonts w:ascii="Times New Roman" w:hAnsi="Times New Roman"/>
          <w:color w:val="000000" w:themeColor="text1"/>
          <w:sz w:val="16"/>
          <w:szCs w:val="16"/>
        </w:rPr>
        <w:t xml:space="preserve"> в 1944 году в Мюроке провели сравнительные полеты реактивного "Аэрокомета" «YP-59A» «Airacomet» и серийных поршневых истребителей «Р-47Д» "Тандерболт" ("Thunderbolt") и «P-38J» "Лайтнинг" ("Lightning"). Реактивный первенец вчистую проигрывал своим поршневым конкурентам по всем параметрам - маневренности, дальности, надежности и даже скорости. Поэтому доклад командованию ВВС содержал неутешительный отзыв. В нем говорилось, что «YP-59A» не представляет интереса в качестве боевого истребителя. Правда, тут же отмечалось, что "Аэрокомет" является отличным самолетом для испытания различных реактивных двигателей и оборудования, легок в пилотировании и может служить эффективной учебной машиной при переходе на реактивную технику. К тому же два двигателя делают его более надежным по сравнению с одномоторными реактивными самолетами. Летные испытания в Мюроке не прекращались. К концу февраля 1944 г. три «ХР-59А» и шесть «YР-59А» налетали в общей сложности 242,5 часа без серьезных происшествий. Первая авария произошла в июне 1944-го, когда во время пикирования на «YP-59A» от перегрузки выпали и разрушились стойки шасси. Летчику Джеку Вуламсу пришлось посадить машину на фюзеляж. В конце года все тому же Вуламсу уже пришлось бросить самолет и воспользоваться парашютом, когда при пикировании разрушилось хвостовое оперение. В марте 1944 г. был подписан контракт на выпуск ста «Р-59А». Поставки первых серийных «Р-59А» начались осенью 1944 г., но на конвейере "Аэрокомет" продержался недолго. Военные все больше разочаровывались в новом реактивном истребителе, на который когда-то возлагали большие надежды, и 10 октября серийный выпуск прекратили, построив 39 самолетов.Поскольку на фирме остался большой задел запчастей и почти готовых фюзеляжей, их не стали уничтожать, а собрали еще ряд машин. Общее количество серийных «Р-59» достигло пятидесяти, из них двадцать составлял вариант «Р-59А» (15031).</w:t>
      </w:r>
    </w:p>
    <w:p w14:paraId="7257DE84" w14:textId="77777777" w:rsidR="00B862BC" w:rsidRPr="00070ADE" w:rsidRDefault="00B862BC" w:rsidP="00B56F90">
      <w:pPr>
        <w:spacing w:after="0" w:line="240" w:lineRule="auto"/>
        <w:jc w:val="both"/>
        <w:rPr>
          <w:rFonts w:ascii="Times New Roman" w:hAnsi="Times New Roman"/>
          <w:color w:val="000000" w:themeColor="text1"/>
          <w:sz w:val="16"/>
          <w:szCs w:val="16"/>
        </w:rPr>
      </w:pPr>
    </w:p>
    <w:p w14:paraId="66758CE4" w14:textId="77777777" w:rsidR="005879AB" w:rsidRPr="00070ADE" w:rsidRDefault="005879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509 бомбардировщиков 8-й воздушной армии в сопровождении 634 истребителей атакуют различные аэродромы Франции. Два бомбардировщика и два истребителя потеряны. В воздушном бою бомбардировщики и истребители заявили, что 11 немецких самолетов были сбитых и девяти поврежденых (20373).</w:t>
      </w:r>
    </w:p>
    <w:p w14:paraId="46AB035C" w14:textId="77777777" w:rsidR="005879AB" w:rsidRPr="00070ADE" w:rsidRDefault="005879AB" w:rsidP="00B56F90">
      <w:pPr>
        <w:spacing w:after="0" w:line="240" w:lineRule="auto"/>
        <w:jc w:val="both"/>
        <w:rPr>
          <w:rFonts w:ascii="Times New Roman" w:hAnsi="Times New Roman"/>
          <w:color w:val="000000" w:themeColor="text1"/>
          <w:sz w:val="16"/>
          <w:szCs w:val="16"/>
        </w:rPr>
      </w:pPr>
    </w:p>
    <w:p w14:paraId="30006B9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1944 гестаповцами во Франции арестован английский разведчик Мишель Оллар, передавший Англии чертежи ракеты ФАУ-1 (4962).</w:t>
      </w:r>
    </w:p>
    <w:p w14:paraId="1B2D0AA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FF61DF"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55A65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F00B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февраля 1944 года Начальник 3 от</w:t>
      </w:r>
      <w:r w:rsidRPr="00070ADE">
        <w:rPr>
          <w:rFonts w:ascii="Times New Roman" w:hAnsi="Times New Roman"/>
          <w:color w:val="000000" w:themeColor="text1"/>
          <w:sz w:val="16"/>
          <w:szCs w:val="16"/>
        </w:rPr>
        <w:softHyphen/>
        <w:t>дела Управления заказов самолетов и моторов ВВС КА инженер-полков</w:t>
      </w:r>
      <w:r w:rsidRPr="00070ADE">
        <w:rPr>
          <w:rFonts w:ascii="Times New Roman" w:hAnsi="Times New Roman"/>
          <w:color w:val="000000" w:themeColor="text1"/>
          <w:sz w:val="16"/>
          <w:szCs w:val="16"/>
        </w:rPr>
        <w:softHyphen/>
        <w:t>ник Смирнов отмечал:</w:t>
      </w:r>
    </w:p>
    <w:p w14:paraId="0EE3449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«Постановлением ГКО №3587 за</w:t>
      </w:r>
      <w:r w:rsidRPr="00070ADE">
        <w:rPr>
          <w:rFonts w:ascii="Times New Roman" w:hAnsi="Times New Roman"/>
          <w:color w:val="000000" w:themeColor="text1"/>
          <w:sz w:val="16"/>
          <w:szCs w:val="16"/>
        </w:rPr>
        <w:softHyphen/>
        <w:t>вод был обязан довести выпуск мото</w:t>
      </w:r>
      <w:r w:rsidRPr="00070ADE">
        <w:rPr>
          <w:rFonts w:ascii="Times New Roman" w:hAnsi="Times New Roman"/>
          <w:color w:val="000000" w:themeColor="text1"/>
          <w:sz w:val="16"/>
          <w:szCs w:val="16"/>
        </w:rPr>
        <w:softHyphen/>
        <w:t>ров М-82ФН до 30 шт. в сутки, т.е. полностью перейти на выпуск указан</w:t>
      </w:r>
      <w:r w:rsidRPr="00070ADE">
        <w:rPr>
          <w:rFonts w:ascii="Times New Roman" w:hAnsi="Times New Roman"/>
          <w:color w:val="000000" w:themeColor="text1"/>
          <w:sz w:val="16"/>
          <w:szCs w:val="16"/>
        </w:rPr>
        <w:softHyphen/>
        <w:t>ных моторов. Данное постановление завод не выполнил вследствие:</w:t>
      </w:r>
    </w:p>
    <w:p w14:paraId="3FCB07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отсутствия насосов НВ,</w:t>
      </w:r>
    </w:p>
    <w:p w14:paraId="6AF757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 отсутствия оснастки по головке цилиндра в литейном цехе и необхо</w:t>
      </w:r>
      <w:r w:rsidRPr="00070ADE">
        <w:rPr>
          <w:rFonts w:ascii="Times New Roman" w:hAnsi="Times New Roman"/>
          <w:color w:val="000000" w:themeColor="text1"/>
          <w:sz w:val="16"/>
          <w:szCs w:val="16"/>
        </w:rPr>
        <w:softHyphen/>
        <w:t>димости монтажа воздушной магист</w:t>
      </w:r>
      <w:r w:rsidRPr="00070ADE">
        <w:rPr>
          <w:rFonts w:ascii="Times New Roman" w:hAnsi="Times New Roman"/>
          <w:color w:val="000000" w:themeColor="text1"/>
          <w:sz w:val="16"/>
          <w:szCs w:val="16"/>
        </w:rPr>
        <w:softHyphen/>
        <w:t>рали для формовочных машин с дав</w:t>
      </w:r>
      <w:r w:rsidRPr="00070ADE">
        <w:rPr>
          <w:rFonts w:ascii="Times New Roman" w:hAnsi="Times New Roman"/>
          <w:color w:val="000000" w:themeColor="text1"/>
          <w:sz w:val="16"/>
          <w:szCs w:val="16"/>
        </w:rPr>
        <w:softHyphen/>
        <w:t>лением 6 атм вместо 4-х,</w:t>
      </w:r>
    </w:p>
    <w:p w14:paraId="2DE2F36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сложности в сдаче моторов на испытательной станции по отладке и наличию дефектов, и продолжает вы</w:t>
      </w:r>
      <w:r w:rsidRPr="00070ADE">
        <w:rPr>
          <w:rFonts w:ascii="Times New Roman" w:hAnsi="Times New Roman"/>
          <w:color w:val="000000" w:themeColor="text1"/>
          <w:sz w:val="16"/>
          <w:szCs w:val="16"/>
        </w:rPr>
        <w:softHyphen/>
        <w:t>пускать больше моторов М-82Ф.</w:t>
      </w:r>
    </w:p>
    <w:p w14:paraId="769F9BF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к 1 апреля полностью пе</w:t>
      </w:r>
      <w:r w:rsidRPr="00070ADE">
        <w:rPr>
          <w:rFonts w:ascii="Times New Roman" w:hAnsi="Times New Roman"/>
          <w:color w:val="000000" w:themeColor="text1"/>
          <w:sz w:val="16"/>
          <w:szCs w:val="16"/>
        </w:rPr>
        <w:softHyphen/>
        <w:t>рейдет на изготовление М-82ФН.</w:t>
      </w:r>
    </w:p>
    <w:p w14:paraId="64302B4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наличию производственных пло</w:t>
      </w:r>
      <w:r w:rsidRPr="00070ADE">
        <w:rPr>
          <w:rFonts w:ascii="Times New Roman" w:hAnsi="Times New Roman"/>
          <w:color w:val="000000" w:themeColor="text1"/>
          <w:sz w:val="16"/>
          <w:szCs w:val="16"/>
        </w:rPr>
        <w:softHyphen/>
        <w:t>щадей, при удовлетворении неболь</w:t>
      </w:r>
      <w:r w:rsidRPr="00070ADE">
        <w:rPr>
          <w:rFonts w:ascii="Times New Roman" w:hAnsi="Times New Roman"/>
          <w:color w:val="000000" w:themeColor="text1"/>
          <w:sz w:val="16"/>
          <w:szCs w:val="16"/>
        </w:rPr>
        <w:softHyphen/>
        <w:t>шой потребности в рабочей силе и оборудовании, завод сможет давать 30 моторов в сутки» (10714).</w:t>
      </w:r>
    </w:p>
    <w:p w14:paraId="26F8174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A2079D"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10ADF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2A9783"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февраля 1944 вышло Постановление ГКО № 5112 О развитии лесозаготовок НКПС в Марийской АССР. (7185, 49-53).</w:t>
      </w:r>
    </w:p>
    <w:p w14:paraId="720375E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CED56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февраля 1944 вышло Распоряжение ГКО № 5113 [О закреплении на работах "Ижлеса" (Удмуртская АССР) всех освобождаемых заключенных и предоставлении им отсрочек от призыва до 1 января 1945 г.] (7185, 54).</w:t>
      </w:r>
    </w:p>
    <w:p w14:paraId="5EDD3943"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EABAA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февраля 1944 вышло Распоряжение ГКО № 5114 [О мерах по обеспечению производства электрооборудования и приборов зажигания на заводах НКСМ для автотракторной и танковой промышленности в I кв. 1944 г.] (7185, 55-56).</w:t>
      </w:r>
    </w:p>
    <w:p w14:paraId="33083193"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62AD1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февраля 1944 вышло Распоряжение ГКО № 5115. О дополнительных поставках угля НКМФ. РГАНИР, Фонд ГКО, д. 206, лл. 57-58 (11012).</w:t>
      </w:r>
    </w:p>
    <w:p w14:paraId="5098342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A14ED3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февраля 1944 вышло Распоряжение ГКО № 5116. О сборе и возврате спецукупорки из-под дымовых шашек. РГАНИР, Фонд ГКО, д. 206, лл. 59 (11012).</w:t>
      </w:r>
    </w:p>
    <w:p w14:paraId="0FDC5FC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452E2D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февраля 1944 вышло Распоряжение ГКО № 5117 [О перевозке технического йода воздушным путем из Баку в Москву в I и II кв. 1944 г. для нужд промышленности НКздрава СССР.] (7185, 60).</w:t>
      </w:r>
    </w:p>
    <w:p w14:paraId="4AD5C0A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4D93E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февраля 1944 вышло Распоряжение ГКО № 5118. О передислокации авторемонтного завода № 11 ГАВТУ КА из Саратова в Киев. РГАНИР, Фонд ГКО, д. 206, лл. 61 (11012).</w:t>
      </w:r>
    </w:p>
    <w:p w14:paraId="0C2EC8D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9DC09D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февраля 1944 вышло Распоряжение ГКО № 5119. Об изготовлении НКлесом и поставке для НКВМФ сборно-разборных утепленных домиков и казарм и холодных складов. РГАНИР, Фонд ГКО, д. 206, лл. 62,63 (11012).</w:t>
      </w:r>
    </w:p>
    <w:p w14:paraId="097180B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2642554"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февраля 1944 вышло Постановление ГКО № 5121 Об обеспечении отгрузки импортных грузов из Архангельского и Мурманского портов в феврале и марте 1944 г. (7185, 65-67).</w:t>
      </w:r>
    </w:p>
    <w:p w14:paraId="36F8E57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884A9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февраля 1944 вышло Постановление ГКО № 5122 об освоении артиллерийских тягачей на з-де № 75 в Харькове (7382, 45).</w:t>
      </w:r>
    </w:p>
    <w:p w14:paraId="58A36C4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7EF588" w14:textId="77777777" w:rsidR="0035263A" w:rsidRPr="00070ADE" w:rsidRDefault="0035263A" w:rsidP="00B56F90">
      <w:pPr>
        <w:pStyle w:val="a3"/>
        <w:rPr>
          <w:color w:val="000000" w:themeColor="text1"/>
          <w:lang w:val="ru-RU"/>
        </w:rPr>
      </w:pPr>
      <w:r w:rsidRPr="00070ADE">
        <w:rPr>
          <w:color w:val="000000" w:themeColor="text1"/>
          <w:lang w:val="ru-RU"/>
        </w:rPr>
        <w:t>6 февраля 1944 года постановлением ГКО № 5122сс заводу ХПЗ было поручено изготовление тяжелых артиллерийских тягачей на основе танка Т- 34 (РГАСПИ. Ф. 644. Оп. 1. Д. 206. л. 68). С этой целью заводу предполагалось передать в первом полугодии 1944 года 200 советских и 566 импортных станков и пополнить его состав тысячей человек из числа местного неработающего населения и полутора тысячами негодных к строевой службе красноармейцев. Большое внимание постановление уделяло поддержке работников восстанавливаемого завода. Для работников завода было выделено товаров народного потребления (тканей, мыла, табака и т.д.) на 152 тысячи рублей, дополнительное второе горячее питание на 1000 человек, литерные обеды "Б" с сухим пайком для 16 человек, 50 обедов для руководящих работников, дополнительное диетическое питание для 300 человек, карточки туберкулезным больным на 100 человек и 2 млн. руб. кредитов работникам завода на «хозяйственное обзаведение».</w:t>
      </w:r>
    </w:p>
    <w:p w14:paraId="719E2C48" w14:textId="77777777" w:rsidR="0035263A" w:rsidRPr="00070ADE" w:rsidRDefault="0035263A" w:rsidP="00B56F90">
      <w:pPr>
        <w:pStyle w:val="a3"/>
        <w:rPr>
          <w:color w:val="000000" w:themeColor="text1"/>
          <w:lang w:val="ru-RU"/>
        </w:rPr>
      </w:pPr>
      <w:r w:rsidRPr="00070ADE">
        <w:rPr>
          <w:color w:val="000000" w:themeColor="text1"/>
          <w:lang w:val="ru-RU"/>
        </w:rPr>
        <w:t>Постепенно стало ясно, что на базе сохранившегося в Харькове оборудования невозможно будет наладить производство. Неоднократный переход города из одних рук в другие, а также преднамеренное разрушение немцами того, что ещё осталось от заводов - всё это причинило слишком большой ущерб. Тогда было решено подкрепить харьковские заводы оборудованием и кадрами ещё одного предприятия НКТП, находящегося в восточных районах страны. Выбор пал на завод № 38 в городе Кирове, производивший легкие самоходки СУ-76 и занимавший в производственной структуре танкостроения второстепенное место. Завод № 38 было решено использовать в качестве ядра, вокруг которого в Харькове будет создаваться новое танкостроительное предприятие. В кратчайшие сроки осенью 1944 года была организована отправка оборудования и кадров завода в город Харьков, где они тут же использовались в ходе восстановительных работ. Эти работы шли быстрыми темпами. Площадь основных цехов завода возросла к 1 января 1945 года до 128 тысяч квадратных метров. К 1 июля 1945 года завод имел 2062 металлорежущих станка.</w:t>
      </w:r>
    </w:p>
    <w:p w14:paraId="5C15CA1B" w14:textId="77777777" w:rsidR="0035263A" w:rsidRPr="00070ADE" w:rsidRDefault="0035263A" w:rsidP="00B56F90">
      <w:pPr>
        <w:pStyle w:val="a3"/>
        <w:rPr>
          <w:color w:val="000000" w:themeColor="text1"/>
          <w:lang w:val="ru-RU"/>
        </w:rPr>
      </w:pPr>
      <w:r w:rsidRPr="00070ADE">
        <w:rPr>
          <w:color w:val="000000" w:themeColor="text1"/>
          <w:lang w:val="ru-RU"/>
        </w:rPr>
        <w:t>Возросшие мощности завода позволили ему начать производство танков. Завод должен был освоить новую передовую разработку советских конструкторов - Т-44. К сожалению, завод № 75 так и остался единственным производителем этого нового танка. Мощностей завода не хватило для его выпуска в достаточных количествах. В 1944 году завод произвёл всего 25 этих танков, а в первом полугодии 1945 года - 325 штук. Хотя для восстановленного завода это было большим достижением, но всё же такое количество танков не могло иметь серьёзного значения для огромной Красной Армии. Настоящий расцвет завода приходится уже на послевоенный период, когда он вновь стал одним из основных производителей танков в СССР (12290).</w:t>
      </w:r>
    </w:p>
    <w:p w14:paraId="4AF742B4" w14:textId="77777777" w:rsidR="0035263A" w:rsidRPr="00070ADE" w:rsidRDefault="0035263A" w:rsidP="00B56F90">
      <w:pPr>
        <w:pStyle w:val="a3"/>
        <w:rPr>
          <w:color w:val="000000" w:themeColor="text1"/>
          <w:lang w:val="ru-RU"/>
        </w:rPr>
      </w:pPr>
    </w:p>
    <w:p w14:paraId="0AC6C584" w14:textId="77777777" w:rsidR="00B862BC" w:rsidRPr="00070ADE" w:rsidRDefault="00B862BC" w:rsidP="00B56F90">
      <w:pPr>
        <w:pStyle w:val="a3"/>
        <w:rPr>
          <w:color w:val="000000" w:themeColor="text1"/>
          <w:lang w:val="ru-RU"/>
        </w:rPr>
      </w:pPr>
      <w:r w:rsidRPr="00070ADE">
        <w:rPr>
          <w:color w:val="000000" w:themeColor="text1"/>
          <w:lang w:val="ru-RU"/>
        </w:rPr>
        <w:t>6 февраля 1944 г. ГОКО постановлением №5122 обязал завод № 75 выпустить опытную партию из шести АТ-45 с условием представления первой ма</w:t>
      </w:r>
      <w:r w:rsidRPr="00070ADE">
        <w:rPr>
          <w:color w:val="000000" w:themeColor="text1"/>
          <w:lang w:val="ru-RU"/>
        </w:rPr>
        <w:softHyphen/>
        <w:t>шины не позднее мая того же года. То есть срок был установлен предельно жесткий. Конструкторы завода под руководством Н.Г. Зубарева блестяще справились с по</w:t>
      </w:r>
      <w:r w:rsidRPr="00070ADE">
        <w:rPr>
          <w:color w:val="000000" w:themeColor="text1"/>
          <w:lang w:val="ru-RU"/>
        </w:rPr>
        <w:softHyphen/>
        <w:t>ставленной задачей, завершив в рекордно ко</w:t>
      </w:r>
      <w:r w:rsidRPr="00070ADE">
        <w:rPr>
          <w:color w:val="000000" w:themeColor="text1"/>
          <w:lang w:val="ru-RU"/>
        </w:rPr>
        <w:softHyphen/>
        <w:t>роткий срок доработку технического проекта АТ-45, и выдали чертежи и техдокументацию в производство. То, что в мирных довоенных условиях заняло бы месяцы, было выполнено в течение нескольких недель или даже дней. Правда, трудились порой не выходя с тер</w:t>
      </w:r>
      <w:r w:rsidRPr="00070ADE">
        <w:rPr>
          <w:color w:val="000000" w:themeColor="text1"/>
          <w:lang w:val="ru-RU"/>
        </w:rPr>
        <w:softHyphen/>
        <w:t>ритории завода по несколько суток. В марте приступили к изготовлению опытной партии из шести единиц. По сравнению с первона</w:t>
      </w:r>
      <w:r w:rsidRPr="00070ADE">
        <w:rPr>
          <w:color w:val="000000" w:themeColor="text1"/>
          <w:lang w:val="ru-RU"/>
        </w:rPr>
        <w:softHyphen/>
        <w:t>чальными проработками конструктивные осо</w:t>
      </w:r>
      <w:r w:rsidRPr="00070ADE">
        <w:rPr>
          <w:color w:val="000000" w:themeColor="text1"/>
          <w:lang w:val="ru-RU"/>
        </w:rPr>
        <w:softHyphen/>
        <w:t>бенности и^внешний вид тягача изменились незначительно. Но машину не удалось осна</w:t>
      </w:r>
      <w:r w:rsidRPr="00070ADE">
        <w:rPr>
          <w:color w:val="000000" w:themeColor="text1"/>
          <w:lang w:val="ru-RU"/>
        </w:rPr>
        <w:softHyphen/>
        <w:t>стить лебедкой (в условиях тотального де</w:t>
      </w:r>
      <w:r w:rsidRPr="00070ADE">
        <w:rPr>
          <w:color w:val="000000" w:themeColor="text1"/>
          <w:lang w:val="ru-RU"/>
        </w:rPr>
        <w:softHyphen/>
        <w:t>фицита военного времени), а «классические» деревянные борта платформы уступили место металлическим.</w:t>
      </w:r>
    </w:p>
    <w:p w14:paraId="06940F6E" w14:textId="77777777" w:rsidR="00B862BC" w:rsidRPr="00070ADE" w:rsidRDefault="00B862BC" w:rsidP="00B56F90">
      <w:pPr>
        <w:pStyle w:val="a3"/>
        <w:rPr>
          <w:color w:val="000000" w:themeColor="text1"/>
          <w:lang w:val="ru-RU"/>
        </w:rPr>
      </w:pPr>
      <w:r w:rsidRPr="00070ADE">
        <w:rPr>
          <w:color w:val="000000" w:themeColor="text1"/>
          <w:lang w:val="ru-RU"/>
        </w:rPr>
        <w:t xml:space="preserve">В </w:t>
      </w:r>
      <w:r w:rsidRPr="00070ADE">
        <w:rPr>
          <w:color w:val="000000" w:themeColor="text1"/>
        </w:rPr>
        <w:t>I</w:t>
      </w:r>
      <w:r w:rsidRPr="00070ADE">
        <w:rPr>
          <w:color w:val="000000" w:themeColor="text1"/>
          <w:lang w:val="ru-RU"/>
        </w:rPr>
        <w:t xml:space="preserve"> квартале 1944 г. началась подготов</w:t>
      </w:r>
      <w:r w:rsidRPr="00070ADE">
        <w:rPr>
          <w:color w:val="000000" w:themeColor="text1"/>
          <w:lang w:val="ru-RU"/>
        </w:rPr>
        <w:softHyphen/>
        <w:t>ка производства для изготовления опытной партии АТ-45. Учитывал слабое техническое оснащение завода №75 и сжатые сроки для выпуска тягачей, Наркомат обязал другие предприятия изготовить для первых тягачей сложные узлы и детали (коробка скоростей, бортовые передачи, задние мосты корпуса, узлы и детали торсионных подвесок, кардан</w:t>
      </w:r>
      <w:r w:rsidRPr="00070ADE">
        <w:rPr>
          <w:color w:val="000000" w:themeColor="text1"/>
          <w:lang w:val="ru-RU"/>
        </w:rPr>
        <w:softHyphen/>
        <w:t>ные валы и др.), так как для их выпуска тре</w:t>
      </w:r>
      <w:r w:rsidRPr="00070ADE">
        <w:rPr>
          <w:color w:val="000000" w:themeColor="text1"/>
          <w:lang w:val="ru-RU"/>
        </w:rPr>
        <w:softHyphen/>
        <w:t>бовалось специальное оборудование. За за</w:t>
      </w:r>
      <w:r w:rsidRPr="00070ADE">
        <w:rPr>
          <w:color w:val="000000" w:themeColor="text1"/>
          <w:lang w:val="ru-RU"/>
        </w:rPr>
        <w:softHyphen/>
        <w:t>водом №75 оставили только металлические конструкции и несложные детали, которые можно было изготовить на простом универ</w:t>
      </w:r>
      <w:r w:rsidRPr="00070ADE">
        <w:rPr>
          <w:color w:val="000000" w:themeColor="text1"/>
          <w:lang w:val="ru-RU"/>
        </w:rPr>
        <w:softHyphen/>
        <w:t>сальном оборудовании.</w:t>
      </w:r>
    </w:p>
    <w:p w14:paraId="7920A475" w14:textId="77777777" w:rsidR="00B862BC" w:rsidRPr="00070ADE" w:rsidRDefault="00B862BC" w:rsidP="00B56F90">
      <w:pPr>
        <w:pStyle w:val="a3"/>
        <w:rPr>
          <w:color w:val="000000" w:themeColor="text1"/>
          <w:lang w:val="ru-RU"/>
        </w:rPr>
      </w:pPr>
      <w:r w:rsidRPr="00070ADE">
        <w:rPr>
          <w:color w:val="000000" w:themeColor="text1"/>
          <w:lang w:val="ru-RU"/>
        </w:rPr>
        <w:t>Однако время шло, а заводы-поставщики своих обязательств не выполнили. В резуль</w:t>
      </w:r>
      <w:r w:rsidRPr="00070ADE">
        <w:rPr>
          <w:color w:val="000000" w:themeColor="text1"/>
          <w:lang w:val="ru-RU"/>
        </w:rPr>
        <w:softHyphen/>
        <w:t>тате сроки, установленные правительством, оказались под угрозой срыва. Тогда руко</w:t>
      </w:r>
      <w:r w:rsidRPr="00070ADE">
        <w:rPr>
          <w:color w:val="000000" w:themeColor="text1"/>
          <w:lang w:val="ru-RU"/>
        </w:rPr>
        <w:softHyphen/>
        <w:t>водство завода №75, после консультаций с технологами и инструментальщиками, при</w:t>
      </w:r>
      <w:r w:rsidRPr="00070ADE">
        <w:rPr>
          <w:color w:val="000000" w:themeColor="text1"/>
          <w:lang w:val="ru-RU"/>
        </w:rPr>
        <w:softHyphen/>
        <w:t>няло непростое решение - обеспечить изго</w:t>
      </w:r>
      <w:r w:rsidRPr="00070ADE">
        <w:rPr>
          <w:color w:val="000000" w:themeColor="text1"/>
          <w:lang w:val="ru-RU"/>
        </w:rPr>
        <w:softHyphen/>
        <w:t>товление всех необходимых сложных узлов на имеющемся универсальном оборудова</w:t>
      </w:r>
      <w:r w:rsidRPr="00070ADE">
        <w:rPr>
          <w:color w:val="000000" w:themeColor="text1"/>
          <w:lang w:val="ru-RU"/>
        </w:rPr>
        <w:softHyphen/>
        <w:t>нии, обеспечив сдачу готовых машин в июне 1944 г., не надеясь на помощь смежников. Ряд сложнейших и трудоемких операций предстояло выполнить с использованием станочного парка, совершенно не приспосо</w:t>
      </w:r>
      <w:r w:rsidRPr="00070ADE">
        <w:rPr>
          <w:color w:val="000000" w:themeColor="text1"/>
          <w:lang w:val="ru-RU"/>
        </w:rPr>
        <w:softHyphen/>
        <w:t>бленного для этих целей (ни по типажу, ни по габаритам), с применением инструмента, не соответствующего характеру операций. Мно</w:t>
      </w:r>
      <w:r w:rsidRPr="00070ADE">
        <w:rPr>
          <w:color w:val="000000" w:themeColor="text1"/>
          <w:lang w:val="ru-RU"/>
        </w:rPr>
        <w:softHyphen/>
        <w:t>гие вопросы приходилось решать примитив</w:t>
      </w:r>
      <w:r w:rsidRPr="00070ADE">
        <w:rPr>
          <w:color w:val="000000" w:themeColor="text1"/>
          <w:lang w:val="ru-RU"/>
        </w:rPr>
        <w:softHyphen/>
        <w:t>ными и даже кустарными способами.</w:t>
      </w:r>
    </w:p>
    <w:p w14:paraId="745210DD" w14:textId="77777777" w:rsidR="00B862BC" w:rsidRPr="00070ADE" w:rsidRDefault="00B862BC" w:rsidP="00B56F90">
      <w:pPr>
        <w:pStyle w:val="a3"/>
        <w:rPr>
          <w:color w:val="000000" w:themeColor="text1"/>
          <w:lang w:val="ru-RU"/>
        </w:rPr>
      </w:pPr>
      <w:r w:rsidRPr="00070ADE">
        <w:rPr>
          <w:color w:val="000000" w:themeColor="text1"/>
          <w:lang w:val="ru-RU"/>
        </w:rPr>
        <w:t>Информация о том, каких усилий стои</w:t>
      </w:r>
      <w:r w:rsidRPr="00070ADE">
        <w:rPr>
          <w:color w:val="000000" w:themeColor="text1"/>
          <w:lang w:val="ru-RU"/>
        </w:rPr>
        <w:softHyphen/>
        <w:t>ло коллективу завода выполнить поставлен</w:t>
      </w:r>
      <w:r w:rsidRPr="00070ADE">
        <w:rPr>
          <w:color w:val="000000" w:themeColor="text1"/>
          <w:lang w:val="ru-RU"/>
        </w:rPr>
        <w:softHyphen/>
        <w:t>ную Задачу, приведена в рапорте наркому В.Л. Малышеву, подписанном директором за</w:t>
      </w:r>
      <w:r w:rsidRPr="00070ADE">
        <w:rPr>
          <w:color w:val="000000" w:themeColor="text1"/>
          <w:lang w:val="ru-RU"/>
        </w:rPr>
        <w:softHyphen/>
        <w:t>вода Н.В. Барыковым и главным инженером П.М. Кривичем 28 июня 1944 г. (15748).</w:t>
      </w:r>
    </w:p>
    <w:p w14:paraId="0B5DF1F0" w14:textId="77777777" w:rsidR="00B862BC" w:rsidRPr="00070ADE" w:rsidRDefault="00B862BC" w:rsidP="00B56F90">
      <w:pPr>
        <w:pStyle w:val="a3"/>
        <w:rPr>
          <w:color w:val="000000" w:themeColor="text1"/>
          <w:lang w:val="ru-RU"/>
        </w:rPr>
      </w:pPr>
    </w:p>
    <w:p w14:paraId="2E173D3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февраля 1944 вышло Постановление ГКО № 5122 О восстановлении завода № 75 Наркомтанкопрома в г. Харькове и об организации на этом заводе производства тяжелых артиллерийских тягачей. РГАНИР, Фонд ГКО, д. 206, лл. 68-76,77-89 (11012).</w:t>
      </w:r>
    </w:p>
    <w:p w14:paraId="4C93FCD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4585F4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февраля 1944 вышло Постановление ГКО № 5123 О мероприятиях по обеспечению топливом горьковских электростанций Наркомэлектростанций в I полугодии 1944 г. РГАНИР, Фонд ГКО, д. 206, лл. 90-93 (11012).</w:t>
      </w:r>
    </w:p>
    <w:p w14:paraId="2D4B50E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D6C67C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февраля 1944 вышло Постановление ГКО № 5124 О восстановлении Днепродзержинского завода имени газеты "Правда" Наркомсредмаша и организации на нем производства вагонов узкой колеи. РГАНИР, Фонд ГКО, д. 206, лл. 94-100,101-110 (11012).</w:t>
      </w:r>
    </w:p>
    <w:p w14:paraId="02D6AC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0A32348" w14:textId="77777777" w:rsidR="0018364B" w:rsidRPr="00070ADE" w:rsidRDefault="0018364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D8D30AB" w14:textId="77777777" w:rsidR="0018364B" w:rsidRPr="00070ADE" w:rsidRDefault="0018364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90BA5F"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6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574ACCAC"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6 февраля на Нарвском направлении наши войскаполностью очистили от противника восточный берег реки НарвА севернее и южнеегорода Нарва.</w:t>
      </w:r>
    </w:p>
    <w:p w14:paraId="6B9ABFC5"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Сиверский наши войска с боями продвигались вперёд и заняли несколько населённых пунктов.</w:t>
      </w:r>
    </w:p>
    <w:p w14:paraId="2ABBC7E0"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Ровно наши войска овладели районными центрами Ровенской области Острожец, Млынов, Мизочь, а также с боями заняли несколько других населённых пунктов.</w:t>
      </w:r>
    </w:p>
    <w:p w14:paraId="00EFB804"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Звенигородка и Шпола наши войска продолжали вести бои по уничтожению окружённой группировки противника и, сжимая кольцо окружения, овладели населёнными пунктами Драбовка, Бурты, Петропавловка, Ольховец, Беркозовка, Ключники. Одновременно, к западу от Звенигородка, наши войска успешно отбивали атаки танков и пехоты противника, стремившихся пробиться на помощь окружённой группировке.</w:t>
      </w:r>
    </w:p>
    <w:p w14:paraId="07732A8D"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дней назад войска 3-го Украинского фронта, перейдя в наступление из районов северо-восточнее Кривой Рог и северо-восточнее Никополя, прорвали сильноукреплённую оборону немцев, продвинулись вперёд за четыре дня наступательныхбоёв от 45 до 60 километров и расширили прорыв до 170 километров по фронту. Входе наступления войска фронта разбили четыре пехотных и три танковых дивизии немцев, овладели городом и крупным железнодорожным узлом Апостолово, железнодорожной станцией Марганец и вышли к нижнему Днепру недалеко от города Никополь. Тем самым наши войска отрезали пути отхода на запад группировке немцев, в составе более пяти пехотных дивизий, действующей в районе Никополь. Кроме того, наши войска заняли более 250 других населённых пунктов и среди них районный центр Днепропетровской области Софиевка, крупные населённые пункты Зелено-Поле, Князь-Ивановка, Ново-Витебск, Златоустовка, Екатериновка, Михайловка, Мало-Воронцовка, Каменка, Большая Костромка, Шолохово, Хмельницкий, Александрополь, Высокая, Дмитриевка, Борисовка, Городище и железнодорожные станции Спокойствие, Девладово, Павлополье, Жёлто-Каменка, Мировая, Марганец. В этих боях нашими войсками уничтожено: немецких танков — 128, орудий разного калибра — 160, пулемётов — 245. Противник оставил на поле боя более 12.000 трупов солдат и офицеров. За это же время нашими войсками, по предварительным данным, захвачены следующие трофеи: танков — 65, орудий разного калибра — 435, миномётов — 156, пулемётов — 390, автомашин — 5.312, тракторов и тягачей — 49, повозок с военными грузами — 655, складов разных — 16. Из перечисленных трофеев только в районе Апостолово нашими войсками захвачено: танков — 45, орудий разного калибра — 130, самоходных орудий — 15, из них 4 орудия «Фердинанд», зенитных орудий — 25, автомашин — 3.000, паровозов — 14, много вагонов и большие склады с боеприпасами, продовольствием и вещевым имуществом. Взято в плен до 2 тысяч немецких солдат и офицеров.</w:t>
      </w:r>
    </w:p>
    <w:p w14:paraId="6834266F"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33B3530B"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5 февраля наши войска на всех фронтах подбили и уничтожили 92 немецких танка. В воздушных боях и огнём зенитной артиллерии сбито 30 самолётов противника, из них 17 трехмоторных транспортных самолётов «Ю-52».</w:t>
      </w:r>
    </w:p>
    <w:p w14:paraId="01859F92"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Нарвском направлении немцы, пытаясь сохранить предмостные укрепления на восточном берегу реки Нарва, предпринимали неоднократные контратаки. Наши войска выбили врага из опорных пунктов и сегодня полностью очистили от немцев восточныйберег реки как севернее, так и южнее города Нарва. При отступлении через реку Нарва противник понёс большие потери. Только в одном районе пулемётным огнём уничтожено до 400 гитлеровцев. На другом участке наши бойцы разгромили батальон вражеской пехоты и захватили пленных.</w:t>
      </w:r>
    </w:p>
    <w:p w14:paraId="7E475DF5"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Ровно наши войска с боями овладели районными центрами Ровенской области Острожец, Млынов, Мизочь и заняли несколько других населённых пунктов. В боях за эти пункты наши подвижные части захватили 15 бронетранспортёров, 2 самоходных и 28 полевых орудий, 23 миномёта, 87 пулемётов и 970 лошадей. Противник потерял только убитыми 1.200 солдат и офицеров. В местечке Млынов взята в плен большая группа немецких и венгерских солдат.</w:t>
      </w:r>
    </w:p>
    <w:p w14:paraId="12EC6982"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городов Звенигородка и Шпола наши войска продолжали вести бои по ликвидации окружённой группировки противника. Советские подвижные части дезорганизуют немецкую оборону, прорываются между опорными пунктами и фланговыми ударами наносят противнику большие потери. Части Н-ского соединения ночью атаковали немцев и выбили их из нескольких населённых пунктов. Разгромлено до полка пехоты противника и взято в плен свыше 800 немецких солдат и офицеров. Наши войска, овладевшие вчера районным центром Ольшана, захватили унемцев 26 орудий, 8 бронетранспортёров, более 100 пулемётов, 160 автомашин,склады с боеприпасами, продовольствием и другие трофеи. В бою за Ольшаны уничтожено 23 немецких танка и 2 самоходных орудия. На улицах села подсчитано 1.660 вражеских трупов. К западу от города Звенигородка противник продолжал свои безуспешные попытки пробиться к окружённой группировке. Наши войска отбили все атаки немцев и нанесли им тяжёлый урон. Всего на этом участке противник за день потерял 80 танков и самоходных орудий.</w:t>
      </w:r>
    </w:p>
    <w:p w14:paraId="129855A7"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несколько дней тому назад перешли в наступление и прорвали оборону немцев северо-восточнее города Кривой Рог и северо-восточнее города Никополь. Развивая успех, наши войска овладели городом и крупным железнодорожным узлом Апостолово и заняли более 250 других населённых пунктов. Удар наших войск был настолько стремительным, что разгромленные немецкие дивизии, отступая, бросали всю свою артиллерию, боеприпасы и тысячи автомашин. В районе населённого пункта Шолохово захвачено 15 немецких танков, 37 орудий, 900 автомашин и другие трофеи. На другом участке бойцы Н-ского соединения, прорвавшись в тылы противника, истребили более 2.000 гитлеровцев и захватили 140 орудий, свыше 300 пулемётов и 1.000 автомашин. Захвачено также много складов с продовольствием, горючим и другим военным имуществом. Наши войска, быстро продвигаясь вперёд, вышли к нижнему Днепру, недалеко от города Никополь и тем самым отрезали пути отхода на запад группировке противника в составе более пяти пехотных дивизий.</w:t>
      </w:r>
    </w:p>
    <w:p w14:paraId="791AAEB2"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Партизаны отряда, действующего в Ровенской области, организовали засаду у дороги. Когда по этой дороге проходила колонна отступавших немцев, советские патриоты открыли огонь из пулемётов и автоматов. Среди гитлеровцев началась паника. Партизаны перешли в атаку и в рукопашном бою истребили 170 немецкихсолдат и офицеров. Захвачено несколько орудий, 200 автоматов и винтовок и 30 подвод с боеприпасами.</w:t>
      </w:r>
    </w:p>
    <w:p w14:paraId="0FACEA5D"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сообщении Совинформбюро от 10-го января приводились показания пленного обер-ефрейтора Карла Буккем о том, что командир 106 немецкой пехотной дивизии генерал-лейтенант Форст лично поджигал на Украине жилые дома, в которых находились женщины и дети. Недавно наши войска захватили дневник генерала Форста и его приказы по 106 пехотной дивизии. В приказе об отношении к мирному населению оккупированных немцами советских районов Форст требует от солдат «беспощадного применения оружия...». Он поучает своих подручных: «Быстрые действия чаще приводят к успеху, чем долгие размышления и запросы. Обычно нужно немедленно расстреливать... Не нужно быть мягкосердечным... Необходимо угрожать населению наказаниями и брать заложников... Немецкий солдат, независимо от своего чина, должен себя чувствовать по отношению к русскому населению господином и соответственно с этим держать себя и действовать».</w:t>
      </w:r>
    </w:p>
    <w:p w14:paraId="77A7A376"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Форст несомненно опытный палач, но никудышный генерал. Он растерял свою дивизию и удрал с такой поспешностью, что бросил штабные документы и даже личный дневник. На этот раз Форсту удалось бежать. Однако этому людоеду в форме немецкого генерала не миновать скамьи подсудимых. Ему придётся нести ответственность за все преступления, которые он совершил на советской земле.» (15032).</w:t>
      </w:r>
    </w:p>
    <w:p w14:paraId="7536D01D" w14:textId="77777777" w:rsidR="00B862BC" w:rsidRPr="00070ADE" w:rsidRDefault="00B862BC" w:rsidP="00B56F90">
      <w:pPr>
        <w:spacing w:after="0" w:line="240" w:lineRule="auto"/>
        <w:jc w:val="both"/>
        <w:rPr>
          <w:rFonts w:ascii="Times New Roman" w:hAnsi="Times New Roman"/>
          <w:color w:val="000000" w:themeColor="text1"/>
          <w:sz w:val="16"/>
          <w:szCs w:val="16"/>
        </w:rPr>
      </w:pPr>
    </w:p>
    <w:p w14:paraId="52DAD841"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6 на 7 февраля 1944 45-я АДДД совершила первый боевой вылет в 1944 году. Целью были промышленные объекты Хельсинки. Это был первый из трех налетов на столицу Финляндии, совершенных авиацией дальнего действия в феврале 1944 года. Целью этих налетов было вывести Финляндию из войны. Оба полка 45-й АДДД уча</w:t>
      </w:r>
      <w:r w:rsidRPr="00070ADE">
        <w:rPr>
          <w:rFonts w:ascii="Times New Roman" w:hAnsi="Times New Roman"/>
          <w:color w:val="000000" w:themeColor="text1"/>
          <w:sz w:val="16"/>
          <w:szCs w:val="16"/>
        </w:rPr>
        <w:softHyphen/>
        <w:t>ствовали в первом и третьем налетах на Хельсинки.</w:t>
      </w:r>
    </w:p>
    <w:p w14:paraId="30A708DC"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боевой вылет совершили 16 кораблей, по восемь из каждого полка. Первый взлетел в 17 ч. 08 мин., последний в 17 ч. 49 мин. Пятнадцать кораблей бомбили основную цель в период с 21 ч. 10 мин. по 21 ч. 55 мин., а Пе-8 № 42311 (ко</w:t>
      </w:r>
      <w:r w:rsidRPr="00070ADE">
        <w:rPr>
          <w:rFonts w:ascii="Times New Roman" w:hAnsi="Times New Roman"/>
          <w:color w:val="000000" w:themeColor="text1"/>
          <w:sz w:val="16"/>
          <w:szCs w:val="16"/>
        </w:rPr>
        <w:softHyphen/>
        <w:t>мандир корабля Зеленский, штурман Легкоступ), из 25-го гв. АПДД, из-за отказа матчасти бомбил запасную цель - желез</w:t>
      </w:r>
      <w:r w:rsidRPr="00070ADE">
        <w:rPr>
          <w:rFonts w:ascii="Times New Roman" w:hAnsi="Times New Roman"/>
          <w:color w:val="000000" w:themeColor="text1"/>
          <w:sz w:val="16"/>
          <w:szCs w:val="16"/>
        </w:rPr>
        <w:softHyphen/>
        <w:t>нодорожный узел Сонда (в 20 ч. 47 мин). На цели в Хельсинки было сброшено 2 ФАБ-5000тга, 6 ФАБ-2000тга, 6 ФАб-2000. 4 ФАБ-1000тга, 22 ФАБ-500тга, 22 ФАБ-250тга, И ЗАБ-ЮОцк, 2 САБ-100. На запасную цель было сброшено 4 ФАБ-500тга, 4 ФАБ-250тга, 1 ЗАБ-ЮОцк.</w:t>
      </w:r>
    </w:p>
    <w:p w14:paraId="130BB232" w14:textId="77777777" w:rsidR="0018364B" w:rsidRPr="00070ADE" w:rsidRDefault="001836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состава 25-го гв. АПДД основную цель бомбили Пе-8 с заводскими номерами: 42076 (командир корабля Ада</w:t>
      </w:r>
      <w:r w:rsidRPr="00070ADE">
        <w:rPr>
          <w:rFonts w:ascii="Times New Roman" w:hAnsi="Times New Roman"/>
          <w:color w:val="000000" w:themeColor="text1"/>
          <w:sz w:val="16"/>
          <w:szCs w:val="16"/>
        </w:rPr>
        <w:softHyphen/>
        <w:t>мов), 42028 (командир корабля Симонов), 42088 (командир корабля Сугак), 42210 (командир корабля Шатров), 42410 (командир корабля Ищенко), 421010 (командир корабля Уг</w:t>
      </w:r>
      <w:r w:rsidRPr="00070ADE">
        <w:rPr>
          <w:rFonts w:ascii="Times New Roman" w:hAnsi="Times New Roman"/>
          <w:color w:val="000000" w:themeColor="text1"/>
          <w:sz w:val="16"/>
          <w:szCs w:val="16"/>
        </w:rPr>
        <w:softHyphen/>
        <w:t>рюмое), 42611 (командир корабля Каминский). Из состава 890-го АПДД основную цель бомбили Пе-8 с заводскими номерами: 4202 (второй прототип Пе-8, который в докумен</w:t>
      </w:r>
      <w:r w:rsidRPr="00070ADE">
        <w:rPr>
          <w:rFonts w:ascii="Times New Roman" w:hAnsi="Times New Roman"/>
          <w:color w:val="000000" w:themeColor="text1"/>
          <w:sz w:val="16"/>
          <w:szCs w:val="16"/>
        </w:rPr>
        <w:softHyphen/>
        <w:t>тах проходит под номером № 385Д), командир корабля Су- коркин, 42078 (командир корабля Белков), 42098 (командир корабля Откидач), 42810 (командир корабля Олейников), 42910 (командир корабля Шамрай), 42211(командир корабля Невенчанный), 42411 (командир корабля Романов), 421011 (командир корабля Кондратьев). Потерь не было. После выполнения задания 15 кораблей приземлились на своем аэродроме в период с 23 ч. 45 мин. по 00 ч. 50 мин., а Пе-8 № 421010 из-за отказа навигационных приборов произвёл посадку на аэродроме Иваново (19559).</w:t>
      </w:r>
    </w:p>
    <w:p w14:paraId="42BFEC93" w14:textId="77777777" w:rsidR="0018364B" w:rsidRPr="00070ADE" w:rsidRDefault="0018364B" w:rsidP="00B56F90">
      <w:pPr>
        <w:spacing w:after="0" w:line="240" w:lineRule="auto"/>
        <w:jc w:val="both"/>
        <w:rPr>
          <w:rFonts w:ascii="Times New Roman" w:hAnsi="Times New Roman"/>
          <w:color w:val="000000" w:themeColor="text1"/>
          <w:sz w:val="16"/>
          <w:szCs w:val="16"/>
        </w:rPr>
      </w:pPr>
    </w:p>
    <w:p w14:paraId="57E3970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February 6 1944 Soviet offensive in the Ukraine makes great progress near Nikopol (1037).</w:t>
      </w:r>
    </w:p>
    <w:p w14:paraId="51258FE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90F73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февраля 1944 наступление на Украине принесло успех (1037).</w:t>
      </w:r>
    </w:p>
    <w:p w14:paraId="50D3BC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05CC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февраля 1944 отбили Луцк и Ровно (2100).</w:t>
      </w:r>
    </w:p>
    <w:p w14:paraId="078A5E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4B76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6 на 7 февраля 1944 началась серия налетов АДД на Хельсинки, которые проходили с 10 дневными перерывами. Потом были с 16 на 17 и с 26 на 27. АДД провела 773, 497 и 850 самолето-вылетов. В первом налете приняло участие 16 Пе-8, 2 из которых несли по 5000 кг бомбе и 15 долетели, а в основном - Ли-2, Ил-4, В-25. Это была одна из первых стратегических операций советских АДД. Не хватало опыта и финны считают, что операция была неудачной (2107,25).</w:t>
      </w:r>
    </w:p>
    <w:p w14:paraId="040D24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97B038" w14:textId="3FCB9B03" w:rsidR="002B4053" w:rsidRPr="00070ADE" w:rsidRDefault="002B405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6 февраля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 ночь на 7 февраля советская авиация провела бомбардировку Хельсинки 728 бомбардировщиками (910 тонн бомб). Разрушено 434 здания. Погибло 83 и ранено 322 жителя города. Сбито 5 советских бомбардировщиков (22632).</w:t>
      </w:r>
    </w:p>
    <w:p w14:paraId="7F501B13" w14:textId="77777777" w:rsidR="002B4053" w:rsidRPr="00070ADE" w:rsidRDefault="002B4053" w:rsidP="00B56F90">
      <w:pPr>
        <w:spacing w:after="0" w:line="240" w:lineRule="auto"/>
        <w:jc w:val="both"/>
        <w:rPr>
          <w:rFonts w:ascii="Times New Roman" w:hAnsi="Times New Roman"/>
          <w:color w:val="000000" w:themeColor="text1"/>
          <w:sz w:val="16"/>
          <w:szCs w:val="16"/>
        </w:rPr>
      </w:pPr>
    </w:p>
    <w:p w14:paraId="705576BA" w14:textId="4A19E02A" w:rsidR="00636A21" w:rsidRPr="00070ADE" w:rsidRDefault="00636A2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февраля 1944 года вечером самолетами Ил-4, которые составили основу сил, выделенных для бомбардировки военных и промышленных объектов в Хель</w:t>
      </w:r>
      <w:r w:rsidRPr="00070ADE">
        <w:rPr>
          <w:rFonts w:ascii="Times New Roman" w:hAnsi="Times New Roman"/>
          <w:color w:val="000000" w:themeColor="text1"/>
          <w:sz w:val="16"/>
          <w:szCs w:val="16"/>
        </w:rPr>
        <w:softHyphen/>
        <w:t>синки и других городах Финляндии, был получен приказ лететь на Хельсинки. Фотоконтроль прово</w:t>
      </w:r>
      <w:r w:rsidRPr="00070ADE">
        <w:rPr>
          <w:rFonts w:ascii="Times New Roman" w:hAnsi="Times New Roman"/>
          <w:color w:val="000000" w:themeColor="text1"/>
          <w:sz w:val="16"/>
          <w:szCs w:val="16"/>
        </w:rPr>
        <w:softHyphen/>
        <w:t>дился до удара и после него и полностью подтвердил пораже</w:t>
      </w:r>
      <w:r w:rsidRPr="00070ADE">
        <w:rPr>
          <w:rFonts w:ascii="Times New Roman" w:hAnsi="Times New Roman"/>
          <w:color w:val="000000" w:themeColor="text1"/>
          <w:sz w:val="16"/>
          <w:szCs w:val="16"/>
        </w:rPr>
        <w:softHyphen/>
        <w:t>ние всех объектов. После первой бомбардировки финский дип</w:t>
      </w:r>
      <w:r w:rsidRPr="00070ADE">
        <w:rPr>
          <w:rFonts w:ascii="Times New Roman" w:hAnsi="Times New Roman"/>
          <w:color w:val="000000" w:themeColor="text1"/>
          <w:sz w:val="16"/>
          <w:szCs w:val="16"/>
        </w:rPr>
        <w:softHyphen/>
        <w:t>ломат обратился к нашему послу в Швеции об условиях мира, но под давлением Германии Финляндия стала тянуть время, и только наступление Карельского фронта в сентябре 1944 года решило дело. Участник событий В.В. Решетников вспоминал о невероятной плотности ударов по точечным целям, о том, что огни пожаров в финской столице были видны от самого Чудского озера, тем не менее «наверху» результаты операции были оценены негативно. В своих мему</w:t>
      </w:r>
      <w:r w:rsidRPr="00070ADE">
        <w:rPr>
          <w:rFonts w:ascii="Times New Roman" w:hAnsi="Times New Roman"/>
          <w:color w:val="000000" w:themeColor="text1"/>
          <w:sz w:val="16"/>
          <w:szCs w:val="16"/>
        </w:rPr>
        <w:softHyphen/>
        <w:t>арах он писал: «После выхода Финлян</w:t>
      </w:r>
      <w:r w:rsidRPr="00070ADE">
        <w:rPr>
          <w:rFonts w:ascii="Times New Roman" w:hAnsi="Times New Roman"/>
          <w:color w:val="000000" w:themeColor="text1"/>
          <w:sz w:val="16"/>
          <w:szCs w:val="16"/>
        </w:rPr>
        <w:softHyphen/>
        <w:t>дии из войны крупные чины из советс</w:t>
      </w:r>
      <w:r w:rsidRPr="00070ADE">
        <w:rPr>
          <w:rFonts w:ascii="Times New Roman" w:hAnsi="Times New Roman"/>
          <w:color w:val="000000" w:themeColor="text1"/>
          <w:sz w:val="16"/>
          <w:szCs w:val="16"/>
        </w:rPr>
        <w:softHyphen/>
        <w:t>кого военного руководства навестили ее столицу. Вояжеры ожидали увидеть вместо города сплошные развалины, а он, оказывается, стоял на месте...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 Кто-то запустил предположение, буд</w:t>
      </w:r>
      <w:r w:rsidRPr="00070ADE">
        <w:rPr>
          <w:rFonts w:ascii="Times New Roman" w:hAnsi="Times New Roman"/>
          <w:color w:val="000000" w:themeColor="text1"/>
          <w:sz w:val="16"/>
          <w:szCs w:val="16"/>
        </w:rPr>
        <w:softHyphen/>
        <w:t>то финны в предвидении бомбардиров</w:t>
      </w:r>
      <w:r w:rsidRPr="00070ADE">
        <w:rPr>
          <w:rFonts w:ascii="Times New Roman" w:hAnsi="Times New Roman"/>
          <w:color w:val="000000" w:themeColor="text1"/>
          <w:sz w:val="16"/>
          <w:szCs w:val="16"/>
        </w:rPr>
        <w:softHyphen/>
        <w:t>ки построили по соседству со своей столицей ложный город, по которо- му-де и разрядилась АДД. Но все было не так. Город мы не трогали. Нашими целями были совершенно конкретные военные и административно-полити</w:t>
      </w:r>
      <w:r w:rsidRPr="00070ADE">
        <w:rPr>
          <w:rFonts w:ascii="Times New Roman" w:hAnsi="Times New Roman"/>
          <w:color w:val="000000" w:themeColor="text1"/>
          <w:sz w:val="16"/>
          <w:szCs w:val="16"/>
        </w:rPr>
        <w:softHyphen/>
        <w:t>ческие объекты — порт, верфь, же</w:t>
      </w:r>
      <w:r w:rsidRPr="00070ADE">
        <w:rPr>
          <w:rFonts w:ascii="Times New Roman" w:hAnsi="Times New Roman"/>
          <w:color w:val="000000" w:themeColor="text1"/>
          <w:sz w:val="16"/>
          <w:szCs w:val="16"/>
        </w:rPr>
        <w:softHyphen/>
        <w:t>лезнодорожные узлы, промышленные предприятия в предместьях города.</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 «От массированного удара собствен</w:t>
      </w:r>
      <w:r w:rsidRPr="00070ADE">
        <w:rPr>
          <w:rFonts w:ascii="Times New Roman" w:hAnsi="Times New Roman"/>
          <w:color w:val="000000" w:themeColor="text1"/>
          <w:sz w:val="16"/>
          <w:szCs w:val="16"/>
        </w:rPr>
        <w:softHyphen/>
        <w:t>но по городу воздержаться», — было предписано Головановым...» (24140).</w:t>
      </w:r>
      <w:r w:rsidR="00C63BA9">
        <w:rPr>
          <w:rFonts w:ascii="Times New Roman" w:hAnsi="Times New Roman"/>
          <w:color w:val="000000" w:themeColor="text1"/>
          <w:sz w:val="16"/>
          <w:szCs w:val="16"/>
        </w:rPr>
        <w:t xml:space="preserve"> </w:t>
      </w:r>
    </w:p>
    <w:p w14:paraId="19B8BF80" w14:textId="77777777" w:rsidR="00636A21" w:rsidRPr="00070ADE" w:rsidRDefault="00636A21" w:rsidP="00B56F90">
      <w:pPr>
        <w:spacing w:after="0" w:line="240" w:lineRule="auto"/>
        <w:jc w:val="both"/>
        <w:rPr>
          <w:rFonts w:ascii="Times New Roman" w:hAnsi="Times New Roman"/>
          <w:color w:val="000000" w:themeColor="text1"/>
          <w:sz w:val="16"/>
          <w:szCs w:val="16"/>
        </w:rPr>
      </w:pPr>
    </w:p>
    <w:p w14:paraId="074C7733"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1B85A0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6AC7C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февраля 1944 вышло Постановление ГКО № 5120 [О возвращении зданий Институту Маркса - Энгельса - Ленина.] (7185, 64).</w:t>
      </w:r>
    </w:p>
    <w:p w14:paraId="4B7E29F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1D473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февраля 1944 принято постановление о возвращении из эвакуации украинской Академии Наук в Киев (4962).</w:t>
      </w:r>
    </w:p>
    <w:p w14:paraId="784107C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E50BCA" w14:textId="1CD9A14E" w:rsidR="002B4053" w:rsidRPr="00070ADE" w:rsidRDefault="002B4053"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70ADE">
        <w:rPr>
          <w:rFonts w:ascii="Times New Roman" w:hAnsi="Times New Roman"/>
          <w:i/>
          <w:iCs/>
          <w:color w:val="000000" w:themeColor="text1"/>
          <w:sz w:val="16"/>
          <w:szCs w:val="16"/>
        </w:rPr>
        <w:t>За рубежом:</w:t>
      </w:r>
    </w:p>
    <w:p w14:paraId="108330A0" w14:textId="77777777" w:rsidR="002B4053" w:rsidRPr="00070ADE" w:rsidRDefault="002B4053"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640DED19" w14:textId="77777777" w:rsidR="002B4053" w:rsidRPr="00070ADE" w:rsidRDefault="002B405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февраля 1944 американские войска завершают завоевание и оккупацию атолла Кваджалейн (20373).</w:t>
      </w:r>
    </w:p>
    <w:p w14:paraId="054DC807" w14:textId="77777777" w:rsidR="002B4053" w:rsidRPr="00070ADE" w:rsidRDefault="002B4053" w:rsidP="00B56F90">
      <w:pPr>
        <w:spacing w:after="0" w:line="240" w:lineRule="auto"/>
        <w:jc w:val="both"/>
        <w:rPr>
          <w:rFonts w:ascii="Times New Roman" w:hAnsi="Times New Roman"/>
          <w:color w:val="000000" w:themeColor="text1"/>
          <w:sz w:val="16"/>
          <w:szCs w:val="16"/>
        </w:rPr>
      </w:pPr>
    </w:p>
    <w:p w14:paraId="13FF7642" w14:textId="77777777" w:rsidR="002B4053" w:rsidRPr="00070ADE" w:rsidRDefault="002B405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февраля 1944 642 бомбардировщика Восьмлй армии ВВС в сопровождении 638 истребителей атакуют различные аэродромы во Франции; Погода вынуждает более 400 бомбардировщиков прервать свои миссии. Четыре бомбардировщика и четыре истребителя потеряны. Вместе бомбардировщики и истребители заявляют, что 14 немецких самолетов были сбитых, пяти вероятно сбитых и трех поврежденых в воздушном бою, истребители утверждают, что еще два немецких самолета уничтожены и семь повреждены на земле (20373).</w:t>
      </w:r>
    </w:p>
    <w:p w14:paraId="4A6880EB" w14:textId="77777777" w:rsidR="002B4053" w:rsidRPr="00070ADE" w:rsidRDefault="002B4053" w:rsidP="00B56F90">
      <w:pPr>
        <w:spacing w:after="0" w:line="240" w:lineRule="auto"/>
        <w:jc w:val="both"/>
        <w:rPr>
          <w:rFonts w:ascii="Times New Roman" w:hAnsi="Times New Roman"/>
          <w:color w:val="000000" w:themeColor="text1"/>
          <w:sz w:val="16"/>
          <w:szCs w:val="16"/>
        </w:rPr>
      </w:pPr>
    </w:p>
    <w:p w14:paraId="71D53DFA" w14:textId="2701F0E4"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CB79F6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6BD8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февраля 1944 г. ответственный представитель ОКБ на 18-м авиазаводе В.Н.Бугайский смог доложить С.В.Ильюшину:</w:t>
      </w:r>
    </w:p>
    <w:p w14:paraId="036F30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"Наконец, можно рапортовать, машину закончили. Отправку в Москву намечаем к 15 февраля Мотор заменить не сумели, та как его нам не дали до сих пор. Машина получилась хорошая во всех отношениях, исключительно перспективная и многообещающая, а главное, ясная во всех элементах. Хорошо бы к лету запустить в серию Прошу Вас дать указание, чтобы прибывшую в Москву машину Ил-1 наш народ проверил самым тщательным образом" (7442).</w:t>
      </w:r>
    </w:p>
    <w:p w14:paraId="5B9DF3F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A5F2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февраля 1944 г. ответственный представитель ОКБ на 18-м авиазаводе В.Н.Бугайский смог доложить С.В.Ильюшину: “Наконец, можно рапортовать, машину закончили. Отправку в Москву намечаем к 15 февраля... Мотор заменить не сумели, та как его нам не дали до сих пор.</w:t>
      </w:r>
    </w:p>
    <w:p w14:paraId="5A6242A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Машина получилась хорошая во всех отношениях... исключительно перспективная и многообещающая, а главное, ясная во всех элементах. Хорошо бы к лету запустить в серию...</w:t>
      </w:r>
    </w:p>
    <w:p w14:paraId="06A4CA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Вас дать указание, чтобы прибывшую в Москву машину Ил-1 наш народ проверил самым тщательным образом...”. Окончательная сборка новой машины проводилась на московском авиазаводе № 240 (9649).</w:t>
      </w:r>
    </w:p>
    <w:p w14:paraId="7AF980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C9F6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февраля 1944 г. ответственный представитель ильюшинского ОКБ на заводе № 18 В.Н. Бугайский смог доложить главному конст</w:t>
      </w:r>
      <w:r w:rsidRPr="00070ADE">
        <w:rPr>
          <w:rFonts w:ascii="Times New Roman" w:hAnsi="Times New Roman"/>
          <w:color w:val="000000" w:themeColor="text1"/>
          <w:sz w:val="16"/>
          <w:szCs w:val="16"/>
        </w:rPr>
        <w:softHyphen/>
        <w:t>руктору: «Наконец, можно рапортовать, машину закончили. Отправку в Москву намечаем к 15 февраля... Мотор заме</w:t>
      </w:r>
      <w:r w:rsidRPr="00070ADE">
        <w:rPr>
          <w:rFonts w:ascii="Times New Roman" w:hAnsi="Times New Roman"/>
          <w:color w:val="000000" w:themeColor="text1"/>
          <w:sz w:val="16"/>
          <w:szCs w:val="16"/>
        </w:rPr>
        <w:softHyphen/>
        <w:t>нить не сумели, так как его нам не дали до сих пор. Машина получилась хорошая во всех отношениях... исключительно перспективная и многообещающая, а главное, ясная во всех элементах. Хоро</w:t>
      </w:r>
      <w:r w:rsidRPr="00070ADE">
        <w:rPr>
          <w:rFonts w:ascii="Times New Roman" w:hAnsi="Times New Roman"/>
          <w:color w:val="000000" w:themeColor="text1"/>
          <w:sz w:val="16"/>
          <w:szCs w:val="16"/>
        </w:rPr>
        <w:softHyphen/>
        <w:t>шо бы к лету запустить в серию... Про</w:t>
      </w:r>
      <w:r w:rsidRPr="00070ADE">
        <w:rPr>
          <w:rFonts w:ascii="Times New Roman" w:hAnsi="Times New Roman"/>
          <w:color w:val="000000" w:themeColor="text1"/>
          <w:sz w:val="16"/>
          <w:szCs w:val="16"/>
        </w:rPr>
        <w:softHyphen/>
        <w:t>шу Вас дать указание, чтобы прибывшую в Москву машину Ил-1 наш народ про</w:t>
      </w:r>
      <w:r w:rsidRPr="00070ADE">
        <w:rPr>
          <w:rFonts w:ascii="Times New Roman" w:hAnsi="Times New Roman"/>
          <w:color w:val="000000" w:themeColor="text1"/>
          <w:sz w:val="16"/>
          <w:szCs w:val="16"/>
        </w:rPr>
        <w:softHyphen/>
        <w:t>верил самым тщательным образом...» (10680).</w:t>
      </w:r>
    </w:p>
    <w:p w14:paraId="6F0B89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AAA3BA" w14:textId="77777777" w:rsidR="00CB5754" w:rsidRPr="00070ADE" w:rsidRDefault="00CB5754" w:rsidP="00B56F90">
      <w:pPr>
        <w:spacing w:after="0" w:line="240" w:lineRule="auto"/>
        <w:jc w:val="both"/>
        <w:rPr>
          <w:rStyle w:val="77"/>
          <w:rFonts w:eastAsiaTheme="minorHAnsi"/>
          <w:color w:val="000000" w:themeColor="text1"/>
          <w:sz w:val="16"/>
          <w:szCs w:val="16"/>
        </w:rPr>
      </w:pPr>
      <w:r w:rsidRPr="00070ADE">
        <w:rPr>
          <w:rStyle w:val="77"/>
          <w:rFonts w:eastAsiaTheme="minorHAnsi"/>
          <w:color w:val="000000" w:themeColor="text1"/>
          <w:sz w:val="16"/>
          <w:szCs w:val="16"/>
        </w:rPr>
        <w:t>В начале февраля 1944 года начальник СКО завода № 18 и ответственный представитель ОКБ-240 на заводе В. Н. Бугайский смог доложить главному конструктору: «Наконец можно рапортовать, машину (Ил-1 в варианте штурмовика) закончили. Отправку в Москву намечаем к 15 февраля./.../Мотор заменить не сумели, так как его нам не дали до сих пор. Машина получилась хорошая во всех отношениях/.. ./исключительно перспективная и многообещающая, а главное, ясная во всех элементах. Хорошо бы к лету запустить в серию./. ../Прошу Вас дать указание, чтобы прибывшую в Москву машину Ил-1 наш народ проверил самым тщательным образом».</w:t>
      </w:r>
    </w:p>
    <w:p w14:paraId="3557D4D6" w14:textId="77777777" w:rsidR="00CB5754" w:rsidRPr="00070ADE" w:rsidRDefault="00CB5754"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Однако закончить сборку и устранить все дефекты заводчанам удалось лишь в следующем месяце. Согласно сводке по опытному самолетостроению, двухместный вариант Ил-1 с АМ-42 10 марта был отправлен в Москву на авиазавод № 240 для дальнейшей доводки и проведения испытаний. Вместе с самолетом в столицу выехала заводская бригада во главе с ведущим инженером А. Соболевым и заместителем начальника отдела эксплуатации и ремонта С. Малышевым (17490).</w:t>
      </w:r>
    </w:p>
    <w:p w14:paraId="058CED6A" w14:textId="77777777" w:rsidR="00CB5754" w:rsidRPr="00070ADE" w:rsidRDefault="00CB5754" w:rsidP="00B56F90">
      <w:pPr>
        <w:spacing w:after="0" w:line="240" w:lineRule="auto"/>
        <w:jc w:val="both"/>
        <w:rPr>
          <w:rFonts w:ascii="Times New Roman" w:hAnsi="Times New Roman"/>
          <w:color w:val="000000" w:themeColor="text1"/>
          <w:sz w:val="16"/>
          <w:szCs w:val="16"/>
        </w:rPr>
      </w:pPr>
    </w:p>
    <w:p w14:paraId="677284CA" w14:textId="77777777" w:rsidR="005913AE" w:rsidRPr="00C94B78" w:rsidRDefault="005913AE"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В начале февраля 1944 г. в ОКБ-16 изготовили первый образец пушки НС‑37М в крыль</w:t>
      </w:r>
      <w:r w:rsidRPr="00C94B78">
        <w:rPr>
          <w:rStyle w:val="aff1"/>
          <w:rFonts w:ascii="Times New Roman" w:hAnsi="Times New Roman" w:cs="Times New Roman"/>
          <w:color w:val="0070C0"/>
          <w:spacing w:val="0"/>
          <w:sz w:val="16"/>
          <w:szCs w:val="16"/>
        </w:rPr>
        <w:softHyphen/>
        <w:t>евом варианте. После заводского отстрела ее установили на Ил‑2 и успешно испытали стрель</w:t>
      </w:r>
      <w:r w:rsidRPr="00C94B78">
        <w:rPr>
          <w:rStyle w:val="aff1"/>
          <w:rFonts w:ascii="Times New Roman" w:hAnsi="Times New Roman" w:cs="Times New Roman"/>
          <w:color w:val="0070C0"/>
          <w:spacing w:val="0"/>
          <w:sz w:val="16"/>
          <w:szCs w:val="16"/>
        </w:rPr>
        <w:softHyphen/>
        <w:t>бой в воздухе в НИИ ВВС.</w:t>
      </w:r>
    </w:p>
    <w:p w14:paraId="2F5D3996" w14:textId="77777777" w:rsidR="005913AE" w:rsidRPr="00C94B78" w:rsidRDefault="005913AE" w:rsidP="00B56F90">
      <w:pPr>
        <w:spacing w:after="0" w:line="240" w:lineRule="auto"/>
        <w:jc w:val="both"/>
        <w:rPr>
          <w:rStyle w:val="aff1"/>
          <w:rFonts w:ascii="Times New Roman" w:hAnsi="Times New Roman" w:cs="Times New Roman"/>
          <w:color w:val="0070C0"/>
          <w:spacing w:val="0"/>
          <w:sz w:val="16"/>
          <w:szCs w:val="16"/>
        </w:rPr>
      </w:pPr>
      <w:r w:rsidRPr="00C94B78">
        <w:rPr>
          <w:rFonts w:ascii="Times New Roman" w:hAnsi="Times New Roman"/>
          <w:color w:val="0070C0"/>
          <w:sz w:val="16"/>
          <w:szCs w:val="16"/>
        </w:rPr>
        <w:t>НС‑37М имела с регулируемый дульный тор</w:t>
      </w:r>
      <w:r w:rsidRPr="00C94B78">
        <w:rPr>
          <w:rFonts w:ascii="Times New Roman" w:hAnsi="Times New Roman"/>
          <w:color w:val="0070C0"/>
          <w:sz w:val="16"/>
          <w:szCs w:val="16"/>
        </w:rPr>
        <w:softHyphen/>
        <w:t>моз, который на 40% уменьшал силу отдачи при стрельбе. При начальной ско</w:t>
      </w:r>
      <w:r w:rsidRPr="00C94B78">
        <w:rPr>
          <w:rFonts w:ascii="Times New Roman" w:hAnsi="Times New Roman"/>
          <w:color w:val="0070C0"/>
          <w:sz w:val="16"/>
          <w:szCs w:val="16"/>
        </w:rPr>
        <w:softHyphen/>
        <w:t>рости снаряда порядка 893 м/с и темпе стрель</w:t>
      </w:r>
      <w:r w:rsidRPr="00C94B78">
        <w:rPr>
          <w:rFonts w:ascii="Times New Roman" w:hAnsi="Times New Roman"/>
          <w:color w:val="0070C0"/>
          <w:sz w:val="16"/>
          <w:szCs w:val="16"/>
        </w:rPr>
        <w:softHyphen/>
        <w:t>бы 284 выстр./мин сила отдачи в среднем составила 3350 кг (разброс замеров от 3000 до 3800 кг). Из затыльника изъяли буферную пружину, а на ствол установили дополнитель</w:t>
      </w:r>
      <w:r w:rsidRPr="00C94B78">
        <w:rPr>
          <w:rStyle w:val="aff1"/>
          <w:rFonts w:ascii="Times New Roman" w:hAnsi="Times New Roman" w:cs="Times New Roman"/>
          <w:color w:val="0070C0"/>
          <w:spacing w:val="0"/>
          <w:sz w:val="16"/>
          <w:szCs w:val="16"/>
        </w:rPr>
        <w:t>ную пружину. Гидравлический тормоз в отка</w:t>
      </w:r>
      <w:r w:rsidRPr="00C94B78">
        <w:rPr>
          <w:rStyle w:val="aff1"/>
          <w:rFonts w:ascii="Times New Roman" w:hAnsi="Times New Roman" w:cs="Times New Roman"/>
          <w:color w:val="0070C0"/>
          <w:spacing w:val="0"/>
          <w:sz w:val="16"/>
          <w:szCs w:val="16"/>
        </w:rPr>
        <w:softHyphen/>
        <w:t>те не работал, являясь только гидробуфером при приходе агрегата ствола в переднее поло</w:t>
      </w:r>
      <w:r w:rsidRPr="00C94B78">
        <w:rPr>
          <w:rStyle w:val="aff1"/>
          <w:rFonts w:ascii="Times New Roman" w:hAnsi="Times New Roman" w:cs="Times New Roman"/>
          <w:color w:val="0070C0"/>
          <w:spacing w:val="0"/>
          <w:sz w:val="16"/>
          <w:szCs w:val="16"/>
        </w:rPr>
        <w:softHyphen/>
        <w:t>жение. При всех изменениях удалось на 10 кг сократить вес самой пушки (до 148,9 кг).</w:t>
      </w:r>
    </w:p>
    <w:p w14:paraId="2677012A" w14:textId="77777777" w:rsidR="005913AE" w:rsidRPr="00C94B78" w:rsidRDefault="005913AE"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Если при стрель</w:t>
      </w:r>
      <w:r w:rsidRPr="00C94B78">
        <w:rPr>
          <w:rStyle w:val="aff1"/>
          <w:rFonts w:ascii="Times New Roman" w:hAnsi="Times New Roman" w:cs="Times New Roman"/>
          <w:color w:val="0070C0"/>
          <w:spacing w:val="0"/>
          <w:sz w:val="16"/>
          <w:szCs w:val="16"/>
        </w:rPr>
        <w:softHyphen/>
        <w:t>бе из одной штатной 11П «разворот са</w:t>
      </w:r>
      <w:r w:rsidRPr="00C94B78">
        <w:rPr>
          <w:rStyle w:val="aff1"/>
          <w:rFonts w:ascii="Times New Roman" w:hAnsi="Times New Roman" w:cs="Times New Roman"/>
          <w:color w:val="0070C0"/>
          <w:spacing w:val="0"/>
          <w:sz w:val="16"/>
          <w:szCs w:val="16"/>
        </w:rPr>
        <w:softHyphen/>
        <w:t>молета Ил‑2 в сторону стреляющей пуш</w:t>
      </w:r>
      <w:r w:rsidRPr="00C94B78">
        <w:rPr>
          <w:rStyle w:val="aff1"/>
          <w:rFonts w:ascii="Times New Roman" w:hAnsi="Times New Roman" w:cs="Times New Roman"/>
          <w:color w:val="0070C0"/>
          <w:spacing w:val="0"/>
          <w:sz w:val="16"/>
          <w:szCs w:val="16"/>
        </w:rPr>
        <w:softHyphen/>
        <w:t>ки был настолько большой, что удержать его в направлении к цели было невозможно», то «разворот самолета при стрельбе из од</w:t>
      </w:r>
      <w:r w:rsidRPr="00C94B78">
        <w:rPr>
          <w:rStyle w:val="aff1"/>
          <w:rFonts w:ascii="Times New Roman" w:hAnsi="Times New Roman" w:cs="Times New Roman"/>
          <w:color w:val="0070C0"/>
          <w:spacing w:val="0"/>
          <w:sz w:val="16"/>
          <w:szCs w:val="16"/>
        </w:rPr>
        <w:softHyphen/>
        <w:t>ной модернизированной пушки можно пари</w:t>
      </w:r>
      <w:r w:rsidRPr="00C94B78">
        <w:rPr>
          <w:rStyle w:val="aff1"/>
          <w:rFonts w:ascii="Times New Roman" w:hAnsi="Times New Roman" w:cs="Times New Roman"/>
          <w:color w:val="0070C0"/>
          <w:spacing w:val="0"/>
          <w:sz w:val="16"/>
          <w:szCs w:val="16"/>
        </w:rPr>
        <w:softHyphen/>
        <w:t>ровать рулем поворота и удержать самолет по направлению к цели» (25101).</w:t>
      </w:r>
    </w:p>
    <w:p w14:paraId="3E7481A6" w14:textId="77777777" w:rsidR="005913AE" w:rsidRPr="00C94B78" w:rsidRDefault="005913AE" w:rsidP="00B56F90">
      <w:pPr>
        <w:spacing w:after="0" w:line="240" w:lineRule="auto"/>
        <w:jc w:val="both"/>
        <w:rPr>
          <w:rFonts w:ascii="Times New Roman" w:hAnsi="Times New Roman"/>
          <w:color w:val="0070C0"/>
          <w:sz w:val="16"/>
          <w:szCs w:val="16"/>
        </w:rPr>
      </w:pPr>
    </w:p>
    <w:p w14:paraId="0A7C9C8E" w14:textId="33280B41"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февраля 1944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 своём письме на имя А.И. Шахурина Ф.С.Я. пи</w:t>
      </w:r>
      <w:r w:rsidRPr="00070ADE">
        <w:rPr>
          <w:rFonts w:ascii="Times New Roman" w:hAnsi="Times New Roman"/>
          <w:color w:val="000000" w:themeColor="text1"/>
          <w:sz w:val="16"/>
          <w:szCs w:val="16"/>
        </w:rPr>
        <w:softHyphen/>
        <w:t>сал: «Изучение вопроса о возможности повышения потолка до 13,5 тыс. м показывает, что достигнутая Н=13 тыс. м для серийного самолёта Як-9 с мотором М-105ПД явля</w:t>
      </w:r>
      <w:r w:rsidRPr="00070ADE">
        <w:rPr>
          <w:rFonts w:ascii="Times New Roman" w:hAnsi="Times New Roman"/>
          <w:color w:val="000000" w:themeColor="text1"/>
          <w:sz w:val="16"/>
          <w:szCs w:val="16"/>
        </w:rPr>
        <w:softHyphen/>
        <w:t>ется предельной. Задача дальнейшего повышения потолка до 13,5 тыс. м потребует весьма значительного изменения конструкции и займёт большой период времени на проектирование и постройку самолёта. Прошу снять с плана завода 115 изготовление высотного самолёта Як-9 с мотором М-105ПД по приказу № 523» (15830).</w:t>
      </w:r>
    </w:p>
    <w:p w14:paraId="698EAB08" w14:textId="77777777" w:rsidR="00777EFD" w:rsidRPr="00070ADE" w:rsidRDefault="00777EFD" w:rsidP="00B56F90">
      <w:pPr>
        <w:spacing w:after="0" w:line="240" w:lineRule="auto"/>
        <w:jc w:val="both"/>
        <w:rPr>
          <w:rFonts w:ascii="Times New Roman" w:hAnsi="Times New Roman"/>
          <w:color w:val="000000" w:themeColor="text1"/>
          <w:sz w:val="16"/>
          <w:szCs w:val="16"/>
        </w:rPr>
      </w:pPr>
    </w:p>
    <w:p w14:paraId="21443BA2" w14:textId="77777777" w:rsidR="003712D9" w:rsidRPr="00070ADE" w:rsidRDefault="00694509" w:rsidP="00B56F90">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1B074A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97799A8" w14:textId="77777777" w:rsidR="00CB5754" w:rsidRPr="00070ADE" w:rsidRDefault="00CB5754"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начале февраля 1944 завод №9 начал производство Д-25 с дульным тормозом нового типа и клиновым затвором. По вине завода №9 произошла задержка с отправкой опытной системы, и её установка в ИС-2 затянулась. При монтаже системы с клиновым затвором на заводе №100 была увеличена высота амбразуры башни с 590 до 610 мм. Это позволило установить пушку без съёма ограждения. Для уравновешенности системы пришлось установить дополнительный груз массой 80 кг (17721).</w:t>
      </w:r>
    </w:p>
    <w:p w14:paraId="7C4EB950" w14:textId="77777777" w:rsidR="00CB5754" w:rsidRPr="00070ADE" w:rsidRDefault="00CB5754" w:rsidP="00B56F90">
      <w:pPr>
        <w:spacing w:after="0" w:line="240" w:lineRule="auto"/>
        <w:jc w:val="both"/>
        <w:rPr>
          <w:rFonts w:ascii="Times New Roman" w:hAnsi="Times New Roman"/>
          <w:color w:val="000000" w:themeColor="text1"/>
          <w:sz w:val="16"/>
          <w:szCs w:val="16"/>
        </w:rPr>
      </w:pPr>
    </w:p>
    <w:p w14:paraId="732838D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февраля 1944 г. на Гороховецком АНИОПе в присутствии специальной комиссии были проведены испытания двух головных образцов 85-мм танковой пушки С-53 серийного производства завода №92.</w:t>
      </w:r>
    </w:p>
    <w:p w14:paraId="691A21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 пушка была установлена в танк Т-34 со штатной башней, а другая в танк Т-34 с расширен</w:t>
      </w:r>
      <w:r w:rsidRPr="00070ADE">
        <w:rPr>
          <w:rFonts w:ascii="Times New Roman" w:hAnsi="Times New Roman"/>
          <w:color w:val="000000" w:themeColor="text1"/>
          <w:sz w:val="16"/>
          <w:szCs w:val="16"/>
        </w:rPr>
        <w:softHyphen/>
        <w:t>ной башней.</w:t>
      </w:r>
    </w:p>
    <w:p w14:paraId="2A737E9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полигонных испытаний комиссия пришла к заключению, что пушка испытания выдержала.</w:t>
      </w:r>
    </w:p>
    <w:p w14:paraId="2BCC328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на испытаниях было установлено, что серийные пушки С-53 и установка этих пушек в башнях танков Т-34 имеет дефекты, которые необходимо устранить при изготовлении пушек и танков Т-34-85, вооруженных пушками С-53.</w:t>
      </w:r>
    </w:p>
    <w:p w14:paraId="53BB76C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Одновременно комиссия отметила преимущества размещения пушки С-53 в расширенной башне по сравнению с размещением этой пушки в старой башне.</w:t>
      </w:r>
    </w:p>
    <w:p w14:paraId="59C8954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Расширенная башня позволяет удобно разместить командира, освобожденного от обязанностей наводчика, осуществляющего круговое наблюдение и корректировку огня. Скорострельность из пушки С-53, установленной в расширенной башне, значительно выше.</w:t>
      </w:r>
    </w:p>
    <w:p w14:paraId="7F1458C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обеспечения надежной работы 85-мм танковых пушек С-53 необходимо обязать НКВ (т. Устинова) и НКТП (т. Малышева) в ближайшее время, при выпуске первой партии пушек С-53 и танков Т-34-85, вооруженных этой пушкой, устранить дефекты, указанные в заключении комиссии по испытаниям.</w:t>
      </w:r>
    </w:p>
    <w:p w14:paraId="4A9DBD4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Перечень мероприятий по устранению выявленных дефектов сообщен тт. Устинову и Малышеву.</w:t>
      </w:r>
    </w:p>
    <w:p w14:paraId="20732CA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11369. Д. 496. Л. 7. Копия (11403).</w:t>
      </w:r>
    </w:p>
    <w:p w14:paraId="7D83DC2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6A29352" w14:textId="77777777" w:rsidR="0035263A" w:rsidRPr="00070ADE" w:rsidRDefault="0035263A" w:rsidP="00B56F90">
      <w:pPr>
        <w:pStyle w:val="a3"/>
        <w:rPr>
          <w:color w:val="000000" w:themeColor="text1"/>
          <w:lang w:val="ru-RU"/>
        </w:rPr>
      </w:pPr>
      <w:r w:rsidRPr="00070ADE">
        <w:rPr>
          <w:color w:val="000000" w:themeColor="text1"/>
          <w:lang w:val="ru-RU"/>
        </w:rPr>
        <w:t>В начале февраля 1944 сравнительные испытания танков с расширенной и обычной башнями, вооруженных 85-мм пушкой, были проведены и показали, что танк со старой башней значительно уступает по скорострельности орудия. Переход к производству танков с увеличенной башней был необходим и неизбежен (12290).</w:t>
      </w:r>
    </w:p>
    <w:p w14:paraId="65FA9D0F" w14:textId="77777777" w:rsidR="0035263A" w:rsidRPr="00070ADE" w:rsidRDefault="0035263A" w:rsidP="00B56F90">
      <w:pPr>
        <w:pStyle w:val="a3"/>
        <w:rPr>
          <w:color w:val="000000" w:themeColor="text1"/>
          <w:lang w:val="ru-RU"/>
        </w:rPr>
      </w:pPr>
    </w:p>
    <w:p w14:paraId="5A683458"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AAD03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67CA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 года В. Кузнецов писал письмо N Н-35/613 гл. конструктору завода N 300 А.А. Микулину.</w:t>
      </w:r>
    </w:p>
    <w:p w14:paraId="4AD537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летном испытании самолета Ил-2 с мотором АМ-42 за последнее время было отмечено два случая перегрева всасывающих патрубков и один случай пожара вследствие сильного перегрева всасывающих патрубков. Пламя было нарушено применением огнетушителя.</w:t>
      </w:r>
    </w:p>
    <w:p w14:paraId="70CED3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Считая этот случай аварийным предлагаю:</w:t>
      </w:r>
    </w:p>
    <w:p w14:paraId="498307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Тщательно обследовать этот случай и дать свои мероприятия по устранению возможных подобных случаев.</w:t>
      </w:r>
    </w:p>
    <w:p w14:paraId="42D566C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Снять всасывающие патрубки с мотора Ам-42, потерпевшего аварию и произвести проверку их на заводе, а также произвести тщательный технический осмотр мотора.</w:t>
      </w:r>
    </w:p>
    <w:p w14:paraId="0FD47D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 исполнении сообщить.</w:t>
      </w:r>
    </w:p>
    <w:p w14:paraId="65EB84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заключения комиссии прилагаю (2562,34).</w:t>
      </w:r>
    </w:p>
    <w:p w14:paraId="1738D1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CD3B0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7 февраля по 15 мая 1944 бригада НИИ ВВС (Ю.А.Антипов и А.Г.Прошаков и др.) проводила гос. испытания Як-3-2 с ВК107А смешанной конструкции. Ви был Е.Г.Адлер, м - М.М.Щипанов. Выполнили 5 полетов. После перерыва из-за поломки они были продолжены с 13 июля по 29 августа 1944 (65,187).</w:t>
      </w:r>
    </w:p>
    <w:p w14:paraId="515EB66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988DAF2" w14:textId="77777777" w:rsidR="00E370BB" w:rsidRPr="00070ADE" w:rsidRDefault="00E370B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7 февраля</w:t>
      </w:r>
      <w:r w:rsidRPr="00070ADE">
        <w:rPr>
          <w:rFonts w:ascii="Times New Roman" w:hAnsi="Times New Roman"/>
          <w:color w:val="000000" w:themeColor="text1"/>
          <w:sz w:val="16"/>
          <w:szCs w:val="16"/>
        </w:rPr>
        <w:t xml:space="preserve"> в 1944 году начался (по 15 мая) основной этап испытаний </w:t>
      </w:r>
      <w:hyperlink r:id="rId36" w:tgtFrame="_blank" w:history="1">
        <w:r w:rsidRPr="00070ADE">
          <w:rPr>
            <w:rFonts w:ascii="Times New Roman" w:hAnsi="Times New Roman"/>
            <w:color w:val="000000" w:themeColor="text1"/>
            <w:sz w:val="16"/>
            <w:szCs w:val="16"/>
          </w:rPr>
          <w:t xml:space="preserve">Як-3» «ВК-107» "Дублер" </w:t>
        </w:r>
      </w:hyperlink>
      <w:r w:rsidRPr="00070ADE">
        <w:rPr>
          <w:rFonts w:ascii="Times New Roman" w:hAnsi="Times New Roman"/>
          <w:color w:val="000000" w:themeColor="text1"/>
          <w:sz w:val="16"/>
          <w:szCs w:val="16"/>
        </w:rPr>
        <w:t>после устранения дефектов, выявленных на экземпляре N1. Производство "Дублера" закончено 22 января 1944 г., он проходил заводские испытания с 25 по 29 января 1944 г. (летчик П.Я.Федрови, ведущий инженер Е.Г.Адлер, механик М.М.Щипанов). Произведено пять полетов общей продолжительностью 1 ч 45 мин. Государственные испытания, которые проходил "Дублер", проводились в два этапа: основные - с 7 февраля по 15 мая 1944 г. и дополнительные (после устранения дефектов) - с 13 июля по 29 августа 1944 г. По результатам госиспытаний было сделано следующее заключение: «Як-З» с двигателем «ВК-107А» по основным летно-тактическим данным в диапазоне высот от земли до практического потолка 11 800 м является лучшим из известных отечественных и иностранных истребителей. Самолет с такими данными необходим для вооружения ВВС СА.</w:t>
      </w:r>
    </w:p>
    <w:p w14:paraId="524458F8" w14:textId="77777777" w:rsidR="00E370BB" w:rsidRPr="00070ADE" w:rsidRDefault="00E370B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работы по цельнометаллическому «Як-З» в конце 1946 г. были прекращены. Было решено двигатель «ВК-107А» ставить лишь на более приспособленный для этого «Як-9У» (15033).</w:t>
      </w:r>
    </w:p>
    <w:p w14:paraId="231600E1" w14:textId="77777777" w:rsidR="00E370BB" w:rsidRPr="00070ADE" w:rsidRDefault="00E370BB" w:rsidP="00B56F90">
      <w:pPr>
        <w:spacing w:after="0" w:line="240" w:lineRule="auto"/>
        <w:jc w:val="both"/>
        <w:rPr>
          <w:rFonts w:ascii="Times New Roman" w:hAnsi="Times New Roman"/>
          <w:color w:val="000000" w:themeColor="text1"/>
          <w:sz w:val="16"/>
          <w:szCs w:val="16"/>
        </w:rPr>
      </w:pPr>
    </w:p>
    <w:p w14:paraId="1E2C88F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 начались и продолжались по 15 мая 1944 года госиспытания Як-3 ВК-107А №2. Ведущими по машине были инженер Г.А. Седов, летчики Ю.А. Антипов и А.Г. Прошаков.</w:t>
      </w:r>
    </w:p>
    <w:p w14:paraId="2D8F1B5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 1944 года предъявили в НИИ ВВС. 2 же февраля заводской пилот выполнил два полета на проверку работы винта ВИШ-107 (во время заводских испытаний была отмечена тряска винта на полных оборотах мотора). Характеристика винтомоторной группы осталась неизменной, и в НИИ ВВС самолет поступил с винтом АВ-10п-20. Эту машину 22 января 1944 года выкатили на аэродром. На самолете изначально, еще на стадии проектирования и постройки, применили все технические решения, ставшие основой для переделок первого опытного экземпляра машины. Радикальным изменениям подверглись только фонарь кабины пилота, которому придали более обтекаемую форму, и установка вооружения с двумя опытными синхронными пушками Б-20. При этом полетный вес второго прототипа по сравнению с предшественником практически не изменился - 2932 кг. Соответственно одинаковыми были и летные данные. Максимальная скорость у земли Як-3 ВК-107А № 1 до модификации была равной 611 км/ч, а у №2 - 610 км/ч (из-за неблагоприятных метеоусловий "Дублер" был облетан и проверен только на малых высотах). Заводские испытания, проведенные с 25 по 29 января 1944 года, показали, что основные дефекты, выявленные на первом прототипе, устранены и самолет может быть предъявлен на государственные испытания.</w:t>
      </w:r>
    </w:p>
    <w:p w14:paraId="66178CA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несколько возросший полетный вес (как за счет установки нового винта, так и введения в крыло проти- вофлаттерных грузов), летные данные машины остались неизменными. При боевой мощности мотора (допускалось 3200 оборотов в минуту в течение получаса) максимальная скорость горизонтального полета на второй границе высотности мотора 5750 метров составила 720 км/ч (717 км/ч на высоте 6000 метров у первого прототипа). Если горизонтальная маневренность машины осталась на уровне серийных образцов Як-3, то на вертикалях самолету не стало равных среди отечественных и среди зарубежных истребителей. Достаточно сказать, что за боевой разворот второй опытный экземпляр Як-3 ВК-107А поднимался на 1400-1500 метров.</w:t>
      </w:r>
    </w:p>
    <w:p w14:paraId="307BAC2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цель создания истребителя завоевания господства в воздухе можно было бы считать достигнутой, если бы не два обстоятельства. Первое из них - крайне ненадежная работа двигателя ВК- 107А. За время испытаний сменили три мотора из-за разрушения коренных подшипников. При назначенном ресурсе в 50 часов первые два двигателя 337-й и 347-й серий отработали лишь 15 часов 20 минут и 9 часов 20 минут соответственно. Третий мотор 347-й серии с назначенным ресурсом 100 часов, наработал с начала эксплуатации лишь четыре часа (!), из которых в воздухе - 40 минут. Четвертый двигатель успел наработать только 23 часа 34 минуты, прошел в процессе испытаний ремонт с заменой блока и тоже был снят по причине разрушения коренных подшипников. Сильная тряска на пониженных оборотах мотора при его дросселировании выше границы высотности, течь масла через переднее уплотнение редуктора, падение давления масла ниже допустимого на высотах более 8000 метров, перегрев воды и масла в наборе высоты при температуре наружного воздуха у земли +30°С, а в горизонтальном полете - при температуре + 15°С. В полетах отмечалось также самопроизвольное изменение наддува в наборе высоты выше установленных для мотора значений (1090 мм рт.ст. на первой и 1120 мм рт. ст. на второй границе высотности против разрешенных 1060 мм рт. ст.) не повлиявшего тем не менее на его нормальную работу.</w:t>
      </w:r>
    </w:p>
    <w:p w14:paraId="1388F5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Следует заметить, что двигатель ВК- 107А, как и ВК-105ПФ2, работал на бензинах 4Б-78 и 1 Б-95 с октановыми числами 95 и 96.</w:t>
      </w:r>
    </w:p>
    <w:p w14:paraId="082F5C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Вторым существенным недостатком явилась неудовлетворительная работа опытных пушек Б-20 и низкая прочность их креплений (были использованы серийные узлы для пулеметов УБС).</w:t>
      </w:r>
    </w:p>
    <w:p w14:paraId="1C072DF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Як-3 "Дублер" с двигателем ВК-107А, выпуска зав. №115, проходил государственные испытания с винтами АВ- 10п-20 и ВИШ-107ЛО с февраля по май 1944 г.</w:t>
      </w:r>
    </w:p>
    <w:p w14:paraId="5A7A1C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своем заключении специалисты НИИ ВВС отметили необходимость доводки самолета, и прежде всего силовой установки, до внедрения его в серийное производство. В противном случае исключалась нормальная эксплуатация самолета с поддержанием необходимого уровня боеготовности в строевых частях. </w:t>
      </w:r>
    </w:p>
    <w:p w14:paraId="199FF7C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Доводку второго прототипа завершили силами ОКБ и облетали 3 июля 1944 года. Однако на дополнительные государственные испытания, проходившие с 13 июля по 20 августа 1944 года, предъявили модифицированный по типу второй машины Як-3 ВК-107А№1. Принятыми мерами удалось устранить ряд дефектов. Однако основные недостатки: перегрев воды и масла, течь масла из переднего уплотнения редуктора мотора, большие нагрузки на ручку управления от элеронов и руля высоты, недостаточный противокапотажный угол (смещением кабины пилота добились увеличения противокапотажного угла с 19,5 до 23 градусов при требуемых ВВС 26 градусов) и недостаточная дальность радиопередачи с самолета остались неустраненными. Входе испытаний мотор417-й серии из-за ненадежной работы на высоте более 3000 метров заменили двигателем 427-й серии, который работал практически без перебоев, но выше 7700 метров давление топлива на нем падало ниже допустимого уровня.</w:t>
      </w:r>
    </w:p>
    <w:p w14:paraId="28F06F4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моменту окончания испытаний опытного Як-3 В К- 107А еще только-только удалось наладить серийное производство его базовой модели с мотором ВК-105ПФ-2. Не меньшие трудности испытывали и заводы, приступившие к серийному выпуску Як-9У с ВК-107А. Поэтому решение о запуске новой модификации в серийное производство было отложено до конца года (12047).</w:t>
      </w:r>
    </w:p>
    <w:p w14:paraId="2AE980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6A828B9" w14:textId="77777777" w:rsidR="008C4D27" w:rsidRPr="00C94B78" w:rsidRDefault="008C4D2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7 февраля по 15 мая 1944 года и с 13 июля по 29 августа того же года «Дублер» Як-3 КА-107А дважды направлялся на государственные испытания. В ходе испытаний состоялось 44 полета общей длительностью 25 часов 41 минута. Однако капризный ВК</w:t>
      </w:r>
      <w:r w:rsidRPr="00C94B78">
        <w:rPr>
          <w:rFonts w:ascii="Times New Roman" w:hAnsi="Times New Roman"/>
          <w:color w:val="0070C0"/>
          <w:sz w:val="16"/>
          <w:szCs w:val="16"/>
        </w:rPr>
        <w:noBreakHyphen/>
        <w:t>107А не позволил завершить испытаний. Однако характеристики самолета оказались настолько высокими, что было решено продолжить работу над машиной (25076).</w:t>
      </w:r>
    </w:p>
    <w:p w14:paraId="1C2F028C" w14:textId="77777777" w:rsidR="008C4D27" w:rsidRPr="00C94B78" w:rsidRDefault="008C4D27" w:rsidP="00B56F90">
      <w:pPr>
        <w:spacing w:after="0" w:line="240" w:lineRule="auto"/>
        <w:jc w:val="both"/>
        <w:rPr>
          <w:rFonts w:ascii="Times New Roman" w:hAnsi="Times New Roman"/>
          <w:color w:val="0070C0"/>
          <w:sz w:val="16"/>
          <w:szCs w:val="16"/>
        </w:rPr>
      </w:pPr>
    </w:p>
    <w:p w14:paraId="5B0052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 И-221 потерпел аварию и был полностью разбит, так как летчик неправильно оценил обстановку, решил, что начался пожар и выбросился (991,11). Это была машина с АМ-39А с водо-воздушным радиатором. Выполнил 9 полетов, в т.ч. 2 высотных на 8000-9000 м (1824,21).</w:t>
      </w:r>
    </w:p>
    <w:p w14:paraId="3660708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C936D2" w14:textId="77777777" w:rsidR="00E370BB" w:rsidRPr="00070ADE" w:rsidRDefault="00E370B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7 февраля</w:t>
      </w:r>
      <w:r w:rsidRPr="00070ADE">
        <w:rPr>
          <w:rFonts w:ascii="Times New Roman" w:hAnsi="Times New Roman"/>
          <w:color w:val="000000" w:themeColor="text1"/>
          <w:sz w:val="16"/>
          <w:szCs w:val="16"/>
        </w:rPr>
        <w:t xml:space="preserve"> в 1944 году разбился самолет </w:t>
      </w:r>
      <w:hyperlink r:id="rId37" w:tgtFrame="_blank" w:history="1">
        <w:r w:rsidRPr="00070ADE">
          <w:rPr>
            <w:rFonts w:ascii="Times New Roman" w:hAnsi="Times New Roman"/>
            <w:color w:val="000000" w:themeColor="text1"/>
            <w:sz w:val="16"/>
            <w:szCs w:val="16"/>
          </w:rPr>
          <w:t xml:space="preserve">«И-221» </w:t>
        </w:r>
      </w:hyperlink>
      <w:r w:rsidRPr="00070ADE">
        <w:rPr>
          <w:rFonts w:ascii="Times New Roman" w:hAnsi="Times New Roman"/>
          <w:color w:val="000000" w:themeColor="text1"/>
          <w:sz w:val="16"/>
          <w:szCs w:val="16"/>
        </w:rPr>
        <w:t xml:space="preserve">ОКБ Микояна, пилотируемый П.А.Журавлевым, выполнявший высотный полет. «И-221»- истребитель-перехватчик с высотой боевого применения 14000 м путем установки на мотор турбокомпрессора. Для ускорения работ было принято решение строить самолет на базе истребителя </w:t>
      </w:r>
      <w:r w:rsidRPr="00070ADE">
        <w:rPr>
          <w:rFonts w:ascii="Times New Roman" w:hAnsi="Times New Roman"/>
          <w:color w:val="000000" w:themeColor="text1"/>
          <w:sz w:val="16"/>
          <w:szCs w:val="16"/>
        </w:rPr>
        <w:lastRenderedPageBreak/>
        <w:t>«И-220». К разработке проекта истребителя, получившего название «И-221» и шифр "2А", приступили в середине июня 1943 г., а через два месяца начали сборку новой машины. Однако из-за несвоевременной поставки двигателя самолет был закончен в производстве только 28 октября. Во время испытаний 7февраля 1944 года на высоте 9000 м машина загорелась, и летчик принял решение покинуть ее на парашюте. «И-221» упал в районе Монино - станция Кудиново, а летчик благополучно приземлился (15033).</w:t>
      </w:r>
    </w:p>
    <w:p w14:paraId="3E48D8FA" w14:textId="77777777" w:rsidR="00E370BB" w:rsidRPr="00070ADE" w:rsidRDefault="00E370BB" w:rsidP="00B56F90">
      <w:pPr>
        <w:spacing w:after="0" w:line="240" w:lineRule="auto"/>
        <w:jc w:val="both"/>
        <w:rPr>
          <w:rFonts w:ascii="Times New Roman" w:hAnsi="Times New Roman"/>
          <w:color w:val="000000" w:themeColor="text1"/>
          <w:sz w:val="16"/>
          <w:szCs w:val="16"/>
        </w:rPr>
      </w:pPr>
    </w:p>
    <w:p w14:paraId="2623305A" w14:textId="77777777" w:rsidR="008C4D27" w:rsidRPr="00C94B78" w:rsidRDefault="008C4D2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7 февраля 1944 г. в ходе заводских испытаний самолет И-221, пилотируемый П.А.Журавлевым, вылетел в высотный полет. На высоте 9000 м машина загорелась, и летчик принял решение покинуть ее на парашюте. И-221 упал в районе Монино-ст.Кудиново, а летчик благополучно приземлился.</w:t>
      </w:r>
    </w:p>
    <w:p w14:paraId="2F02BB4C" w14:textId="77777777" w:rsidR="008C4D27" w:rsidRPr="00C94B78" w:rsidRDefault="008C4D2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Как потом установила комиссия, созданная для расследования аварии, ее причиной явилась неправильная оценка обстановки летчиком П.А. Журавлевым, которым за начавшийся пожар было принято появление дыма в кабине и длинных факелов пламени из выхлопных патрубков ТК (25230).</w:t>
      </w:r>
    </w:p>
    <w:p w14:paraId="16D81AD8" w14:textId="77777777" w:rsidR="008C4D27" w:rsidRPr="00C94B78" w:rsidRDefault="008C4D27" w:rsidP="00B56F90">
      <w:pPr>
        <w:spacing w:after="0" w:line="240" w:lineRule="auto"/>
        <w:jc w:val="both"/>
        <w:rPr>
          <w:rFonts w:ascii="Times New Roman" w:hAnsi="Times New Roman"/>
          <w:color w:val="0070C0"/>
          <w:sz w:val="16"/>
          <w:szCs w:val="16"/>
        </w:rPr>
      </w:pPr>
    </w:p>
    <w:p w14:paraId="0BB8BBA0" w14:textId="77777777" w:rsidR="00B862BC" w:rsidRPr="00070ADE" w:rsidRDefault="00B862B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 разбился И-221 ОКБ-155. Пилотировавший его летчик 12-го ГИАП П.А. Жу</w:t>
      </w:r>
      <w:r w:rsidRPr="00070ADE">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070ADE">
        <w:rPr>
          <w:rFonts w:ascii="Times New Roman" w:hAnsi="Times New Roman"/>
          <w:color w:val="000000" w:themeColor="text1"/>
          <w:sz w:val="16"/>
          <w:szCs w:val="16"/>
        </w:rPr>
        <w:softHyphen/>
        <w:t>жар, и на высоте 9000 м покинул самолёт (15830).</w:t>
      </w:r>
    </w:p>
    <w:p w14:paraId="4902A392" w14:textId="77777777" w:rsidR="00B862BC" w:rsidRPr="00070ADE" w:rsidRDefault="00B862BC" w:rsidP="00B56F90">
      <w:pPr>
        <w:spacing w:after="0" w:line="240" w:lineRule="auto"/>
        <w:jc w:val="both"/>
        <w:rPr>
          <w:rFonts w:ascii="Times New Roman" w:hAnsi="Times New Roman"/>
          <w:color w:val="000000" w:themeColor="text1"/>
          <w:sz w:val="16"/>
          <w:szCs w:val="16"/>
        </w:rPr>
      </w:pPr>
    </w:p>
    <w:p w14:paraId="0549E5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 г. в одном из первых полетов И-221 (изд. 2А) с мотором АМ-39 и двумя турбокомпрессорами из-за разрушения шатуна летчику пришлось покинуть горящую машину с парашютом. Специально для высотных истребителей "МиГ" в 1944 г. Микулин отрабатывал двигатели АМ-39Б и АМ-42Б, приспособленные для работы с турбокомпрессорами. Они отличались от обычных моторов АМ-39 и АМ-42 способом установки нагнетателя, применением вместо водо-воздушного радиатора большого воздухо-воздушного радиатора (кстати, переход на воздухо-воздушный радиатор - это еще одно из принципиальных достижений Микулина).</w:t>
      </w:r>
    </w:p>
    <w:p w14:paraId="7EF9AB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39BD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 г. самолет И-221, пилотируемый П.А.Журавлевым, вылетел в высотный полет. На высоте 9000 м машина загорелась, и летчик принял решение покинуть ее на парашюте. И-221 упал в районе Монино-ст.Кудиново, а летчик благополучно приземлился. Как потом установила комиссия, созданная для расследования аварии, ее причиной явилась неправильная оценка обстановки летчиком П.А. Журавлевым, которым за начавшийся пожар было принято появление дыма в кабине и длинных факелов пламени из выхлопных патрубков ТК (5852,38).</w:t>
      </w:r>
    </w:p>
    <w:p w14:paraId="01265B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9D35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w:t>
      </w:r>
      <w:r w:rsidRPr="00070ADE">
        <w:rPr>
          <w:rFonts w:ascii="Times New Roman" w:hAnsi="Times New Roman"/>
          <w:color w:val="000000" w:themeColor="text1"/>
          <w:sz w:val="16"/>
          <w:szCs w:val="16"/>
        </w:rPr>
        <w:softHyphen/>
        <w:t>ля 1944 г. самолет И-221 под управлением П.А.Журавлева поднялся в воздух в десятый раз. Летчик доложил, что высоте 9000 м машина загорелась и он был вы</w:t>
      </w:r>
      <w:r w:rsidRPr="00070ADE">
        <w:rPr>
          <w:rFonts w:ascii="Times New Roman" w:hAnsi="Times New Roman"/>
          <w:color w:val="000000" w:themeColor="text1"/>
          <w:sz w:val="16"/>
          <w:szCs w:val="16"/>
        </w:rPr>
        <w:softHyphen/>
        <w:t>нужден прыгнуть с парашютом. Впоследствии ко</w:t>
      </w:r>
      <w:r w:rsidRPr="00070ADE">
        <w:rPr>
          <w:rFonts w:ascii="Times New Roman" w:hAnsi="Times New Roman"/>
          <w:color w:val="000000" w:themeColor="text1"/>
          <w:sz w:val="16"/>
          <w:szCs w:val="16"/>
        </w:rPr>
        <w:softHyphen/>
        <w:t>миссия, созданная для расследования аварии, уста</w:t>
      </w:r>
      <w:r w:rsidRPr="00070ADE">
        <w:rPr>
          <w:rFonts w:ascii="Times New Roman" w:hAnsi="Times New Roman"/>
          <w:color w:val="000000" w:themeColor="text1"/>
          <w:sz w:val="16"/>
          <w:szCs w:val="16"/>
        </w:rPr>
        <w:softHyphen/>
        <w:t>новила, что ее причиной явилась неправильная оценка обстановки летчиком, который принял появ</w:t>
      </w:r>
      <w:r w:rsidRPr="00070ADE">
        <w:rPr>
          <w:rFonts w:ascii="Times New Roman" w:hAnsi="Times New Roman"/>
          <w:color w:val="000000" w:themeColor="text1"/>
          <w:sz w:val="16"/>
          <w:szCs w:val="16"/>
        </w:rPr>
        <w:softHyphen/>
        <w:t>ление длинных факелов пламени, истекавших из выхлопных патрубков ТК, и дыма в кабине за начав</w:t>
      </w:r>
      <w:r w:rsidRPr="00070ADE">
        <w:rPr>
          <w:rFonts w:ascii="Times New Roman" w:hAnsi="Times New Roman"/>
          <w:color w:val="000000" w:themeColor="text1"/>
          <w:sz w:val="16"/>
          <w:szCs w:val="16"/>
        </w:rPr>
        <w:softHyphen/>
        <w:t>шийся пожар. Опытный самолет был безвоз</w:t>
      </w:r>
      <w:r w:rsidRPr="00070ADE">
        <w:rPr>
          <w:rFonts w:ascii="Times New Roman" w:hAnsi="Times New Roman"/>
          <w:color w:val="000000" w:themeColor="text1"/>
          <w:sz w:val="16"/>
          <w:szCs w:val="16"/>
        </w:rPr>
        <w:softHyphen/>
        <w:t>вратно потерян. Пришлось быстро строить новый. Этот вариант высотного истребителя отличался от предшествен</w:t>
      </w:r>
      <w:r w:rsidRPr="00070ADE">
        <w:rPr>
          <w:rFonts w:ascii="Times New Roman" w:hAnsi="Times New Roman"/>
          <w:color w:val="000000" w:themeColor="text1"/>
          <w:sz w:val="16"/>
          <w:szCs w:val="16"/>
        </w:rPr>
        <w:softHyphen/>
        <w:t xml:space="preserve">ника, в основном, наличием герметической кабины. Машину, получившую обозначение </w:t>
      </w:r>
      <w:r w:rsidRPr="00070ADE">
        <w:rPr>
          <w:rFonts w:ascii="Times New Roman" w:hAnsi="Times New Roman"/>
          <w:iCs/>
          <w:color w:val="000000" w:themeColor="text1"/>
          <w:sz w:val="16"/>
          <w:szCs w:val="16"/>
        </w:rPr>
        <w:t xml:space="preserve">И—222 </w:t>
      </w:r>
      <w:r w:rsidRPr="00070ADE">
        <w:rPr>
          <w:rFonts w:ascii="Times New Roman" w:hAnsi="Times New Roman"/>
          <w:color w:val="000000" w:themeColor="text1"/>
          <w:sz w:val="16"/>
          <w:szCs w:val="16"/>
        </w:rPr>
        <w:t>и шифр «ЗА», закончили в производстве 23 апреля 1944 г. По конструкции самолет в целом повторял И—221. Его оснастили опытным мотором АМ—39Б, отличав</w:t>
      </w:r>
      <w:r w:rsidRPr="00070ADE">
        <w:rPr>
          <w:rFonts w:ascii="Times New Roman" w:hAnsi="Times New Roman"/>
          <w:color w:val="000000" w:themeColor="text1"/>
          <w:sz w:val="16"/>
          <w:szCs w:val="16"/>
        </w:rPr>
        <w:softHyphen/>
        <w:t>шимся от прототипа «перевернутым» нагнетателем, обеспечивавшим более удобное подключение турбо</w:t>
      </w:r>
      <w:r w:rsidRPr="00070ADE">
        <w:rPr>
          <w:rFonts w:ascii="Times New Roman" w:hAnsi="Times New Roman"/>
          <w:color w:val="000000" w:themeColor="text1"/>
          <w:sz w:val="16"/>
          <w:szCs w:val="16"/>
        </w:rPr>
        <w:softHyphen/>
        <w:t>компрессоров ТК—2Б, а также измененной маслоси-стемой. Кроме того, в системе охлаждения воздуха, подаваемого в карбюратор двигателя, применили воздухо-воздушный радиатор взамен водо-воздуш-ного. Оболочку гермокабины изготовили из алюми</w:t>
      </w:r>
      <w:r w:rsidRPr="00070ADE">
        <w:rPr>
          <w:rFonts w:ascii="Times New Roman" w:hAnsi="Times New Roman"/>
          <w:color w:val="000000" w:themeColor="text1"/>
          <w:sz w:val="16"/>
          <w:szCs w:val="16"/>
        </w:rPr>
        <w:softHyphen/>
        <w:t>ниевого сплава АМЦ. Максимальная расчетная ско</w:t>
      </w:r>
      <w:r w:rsidRPr="00070ADE">
        <w:rPr>
          <w:rFonts w:ascii="Times New Roman" w:hAnsi="Times New Roman"/>
          <w:color w:val="000000" w:themeColor="text1"/>
          <w:sz w:val="16"/>
          <w:szCs w:val="16"/>
        </w:rPr>
        <w:softHyphen/>
        <w:t>рость должна была составить 689 км/ч на высоте 12500 м, а практический потолок — 13000—14000 м. Вооружение включало две синхронные 20-мм пушки СШ—20 с боезапасом по 100 патронов (9984).</w:t>
      </w:r>
    </w:p>
    <w:p w14:paraId="2523AB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78B98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 согласно журнала наблюдения за проектированием, постройкой и испытаниями высотного истребителя МиГ-1 за 20 февраля 1941 И-221 потерпел аварию - разбит полностью. Л заявил о наличии пожара. Аварийная комиссия сделала вывод: пожара на самолете не было. Длинные языки пламени из выхлопа и наличие едкого дыма не могут служить оправданием к покиданию с-та л.</w:t>
      </w:r>
    </w:p>
    <w:p w14:paraId="0673500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...Комиссия не считает возможной работу мотора в теч. 1-2 минут (на боевой высоте) с давл. 1140 мм с убраным газом, выключенным зажиганием и перекрытым пожарным краном, как на то указывал л.</w:t>
      </w:r>
    </w:p>
    <w:p w14:paraId="10D3104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первом полете на 8000 м обнаружено:</w:t>
      </w:r>
    </w:p>
    <w:p w14:paraId="0C23B8C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падение давления масла основной сист. Мотора до 3,5 а вместо 5,5</w:t>
      </w:r>
    </w:p>
    <w:p w14:paraId="517372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падение давления масла в ТК до 0,5 вместо 2-2,5 а</w:t>
      </w:r>
    </w:p>
    <w:p w14:paraId="54FC365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появляется дым в кабине.</w:t>
      </w:r>
    </w:p>
    <w:p w14:paraId="6ABCCCD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ТК включались на высоте 1500 м. На высоте 8000 ТК давал 28000 об./мин.</w:t>
      </w:r>
    </w:p>
    <w:p w14:paraId="680C3B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втором полете на 8000 м при обор. ТК 19000.</w:t>
      </w:r>
    </w:p>
    <w:p w14:paraId="385D7CE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Расчетные данные высотности мотора с ТК подтвердилис. Всего произвели 8 полетов с налетом 3:00 (991,11).</w:t>
      </w:r>
    </w:p>
    <w:p w14:paraId="758CCA2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5345B7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 г. под управлением П.А. Журавлева И-221 поднялся в воздух в десятый раз. Летчик доложил, что на высоте 9000 м машина загорелась, и он был вынужден покинуть ее с парашютом. Впоследствии комиссия, созданная для расследования аварии, установила, что причиной явилась неправильная оценка обстановки летчиком, который принял появление длинных факелов пламени из выхлопных патрубков турбокомпрессоров и дыма в кабине за начавшийся пожар. Увы, опытный самолет был безвозвратно потерян.</w:t>
      </w:r>
    </w:p>
    <w:p w14:paraId="34A6A71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Пришлось быстро построить новый. Этот вариант высотного истребителя отличался от предшественника наличием герметической кабины. Машину, получившую обозначение И-222 и шифр "ЗА", закончили в производстве 23 апреля 1944 г. Самолет оснастили опытным мотором АМ-39Б, отличавшимся от прототипа иным способом подключения турбокомпрессоров ТК-2Б, а также измененной маслосистемой. Кроме того, в системе охлаждения воздуха, подаваемого в карбюратор двигателя, применили воздухо-воздушный радиатор вместо водо- воздушного. Максимальная расчетная скорость должна была составить 689 км/ч на высоте 12 500 м, а практический потолок - 13 000-14 000 м. Вооружение включало две синхронные 20-мм пушки СШ-20 с боезапасом по 100 патронов (12045).</w:t>
      </w:r>
    </w:p>
    <w:p w14:paraId="7865380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BDD94B8" w14:textId="77777777" w:rsidR="001B272A" w:rsidRPr="00070ADE" w:rsidRDefault="001B27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 года во время полёта на высоте 9300 м лейтенант П.К. Журавлёв увидел языки пламени по бортам и почувствовал запах дыма в кабине. Лётчик хоро</w:t>
      </w:r>
      <w:r w:rsidRPr="00070ADE">
        <w:rPr>
          <w:rFonts w:ascii="Times New Roman" w:hAnsi="Times New Roman"/>
          <w:color w:val="000000" w:themeColor="text1"/>
          <w:sz w:val="16"/>
          <w:szCs w:val="16"/>
        </w:rPr>
        <w:softHyphen/>
        <w:t>шо знал, что делать при пожаре в воздухе, и действо</w:t>
      </w:r>
      <w:r w:rsidRPr="00070ADE">
        <w:rPr>
          <w:rFonts w:ascii="Times New Roman" w:hAnsi="Times New Roman"/>
          <w:color w:val="000000" w:themeColor="text1"/>
          <w:sz w:val="16"/>
          <w:szCs w:val="16"/>
        </w:rPr>
        <w:softHyphen/>
        <w:t>вал строго по инструкции. После неудачных попыток сбить пламя на высоте 8000 м пилот покинул кабину И-221. Беда в том, что никакого пожара не было — языки пламени вырывались из коллекторов турбокомпрессо</w:t>
      </w:r>
      <w:r w:rsidRPr="00070ADE">
        <w:rPr>
          <w:rFonts w:ascii="Times New Roman" w:hAnsi="Times New Roman"/>
          <w:color w:val="000000" w:themeColor="text1"/>
          <w:sz w:val="16"/>
          <w:szCs w:val="16"/>
        </w:rPr>
        <w:softHyphen/>
        <w:t>ров вследствие догорания выхлопных газов. Абсолют</w:t>
      </w:r>
      <w:r w:rsidRPr="00070ADE">
        <w:rPr>
          <w:rFonts w:ascii="Times New Roman" w:hAnsi="Times New Roman"/>
          <w:color w:val="000000" w:themeColor="text1"/>
          <w:sz w:val="16"/>
          <w:szCs w:val="16"/>
        </w:rPr>
        <w:softHyphen/>
        <w:t>но исправный самолёт был безвозвратно потерян... Это стало наукой для главного конструктора — не привле</w:t>
      </w:r>
      <w:r w:rsidRPr="00070ADE">
        <w:rPr>
          <w:rFonts w:ascii="Times New Roman" w:hAnsi="Times New Roman"/>
          <w:color w:val="000000" w:themeColor="text1"/>
          <w:sz w:val="16"/>
          <w:szCs w:val="16"/>
        </w:rPr>
        <w:softHyphen/>
        <w:t>кать больше к испытаниям неподготовленных людей (23379).</w:t>
      </w:r>
    </w:p>
    <w:p w14:paraId="1E9F0EAB" w14:textId="77777777" w:rsidR="001B272A" w:rsidRPr="00070ADE" w:rsidRDefault="001B272A" w:rsidP="00B56F90">
      <w:pPr>
        <w:spacing w:after="0" w:line="240" w:lineRule="auto"/>
        <w:jc w:val="both"/>
        <w:rPr>
          <w:rFonts w:ascii="Times New Roman" w:hAnsi="Times New Roman"/>
          <w:color w:val="000000" w:themeColor="text1"/>
          <w:sz w:val="16"/>
          <w:szCs w:val="16"/>
        </w:rPr>
      </w:pPr>
    </w:p>
    <w:p w14:paraId="570275F5" w14:textId="77777777" w:rsidR="001B272A" w:rsidRPr="00070ADE" w:rsidRDefault="001B27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 года закончились заводские испытания И-231, которые шли с 19 октября 1943 г. Послед</w:t>
      </w:r>
      <w:r w:rsidRPr="00070ADE">
        <w:rPr>
          <w:rFonts w:ascii="Times New Roman" w:hAnsi="Times New Roman"/>
          <w:color w:val="000000" w:themeColor="text1"/>
          <w:sz w:val="16"/>
          <w:szCs w:val="16"/>
        </w:rPr>
        <w:softHyphen/>
        <w:t>ние три полёта выполнил лётчик-испытатель ЛИИ А.П. Якимов. В целом, мотор АМ-39 позволил суще</w:t>
      </w:r>
      <w:r w:rsidRPr="00070ADE">
        <w:rPr>
          <w:rFonts w:ascii="Times New Roman" w:hAnsi="Times New Roman"/>
          <w:color w:val="000000" w:themeColor="text1"/>
          <w:sz w:val="16"/>
          <w:szCs w:val="16"/>
        </w:rPr>
        <w:softHyphen/>
        <w:t>ственно улучшить лётные характеристики машины.</w:t>
      </w:r>
    </w:p>
    <w:p w14:paraId="14742EEB" w14:textId="77777777" w:rsidR="001B272A" w:rsidRPr="00070ADE" w:rsidRDefault="001B27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истребителя И-231, по сравнению с И-230, стабилизатор опустили ниже на 200 мм. На испытаниях И-231 показал максимальную ско</w:t>
      </w:r>
      <w:r w:rsidRPr="00070ADE">
        <w:rPr>
          <w:rFonts w:ascii="Times New Roman" w:hAnsi="Times New Roman"/>
          <w:color w:val="000000" w:themeColor="text1"/>
          <w:sz w:val="16"/>
          <w:szCs w:val="16"/>
        </w:rPr>
        <w:softHyphen/>
        <w:t>рость 618 км/ч у земли и 707 км/ч на высоте 7100 м. Время набора 5000 м составило 4,5 минуты (23379).</w:t>
      </w:r>
    </w:p>
    <w:p w14:paraId="4838AAF6" w14:textId="77777777" w:rsidR="001B272A" w:rsidRPr="00070ADE" w:rsidRDefault="001B272A" w:rsidP="00B56F90">
      <w:pPr>
        <w:spacing w:after="0" w:line="240" w:lineRule="auto"/>
        <w:jc w:val="both"/>
        <w:rPr>
          <w:rFonts w:ascii="Times New Roman" w:hAnsi="Times New Roman"/>
          <w:color w:val="000000" w:themeColor="text1"/>
          <w:sz w:val="16"/>
          <w:szCs w:val="16"/>
        </w:rPr>
      </w:pPr>
    </w:p>
    <w:p w14:paraId="5E227AF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 ВС ВВС обсудил ход работ по созданию новой авиатехники и принял решение о представлении НКО плана опытного строительства самолетов и вооружения на 1944-1945 (340,160).</w:t>
      </w:r>
    </w:p>
    <w:p w14:paraId="6BD458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58FE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 Военный совет ВВС обсудил ход работ по созданию новой авиационной техники и принял решение о представлении НКО плана опытного строительства самолетов и вооружения на 1944-1945 (340,160).</w:t>
      </w:r>
    </w:p>
    <w:p w14:paraId="0D355C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33A8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 Нач. ЛИИ Чесалов писал Дементьеву письмо N 90с с отчетом о выполненных работах ЛИИ за январь 1944:</w:t>
      </w:r>
    </w:p>
    <w:p w14:paraId="7FCCBC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самолету Пе-2.</w:t>
      </w:r>
    </w:p>
    <w:p w14:paraId="6C7710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Испытания с-та Пе-2 N 19/205, модифицированного ЦАГИ.</w:t>
      </w:r>
    </w:p>
    <w:p w14:paraId="2EB950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проведенных испытаний с-та Пе-2 N 19/205, модифицированного ЦАГИ, 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4D4663" w:rsidRPr="00070ADE" w14:paraId="3A7306E2" w14:textId="77777777">
        <w:tc>
          <w:tcPr>
            <w:tcW w:w="2818" w:type="dxa"/>
          </w:tcPr>
          <w:p w14:paraId="1660D2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B6A28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опытными</w:t>
            </w:r>
          </w:p>
        </w:tc>
        <w:tc>
          <w:tcPr>
            <w:tcW w:w="2818" w:type="dxa"/>
          </w:tcPr>
          <w:p w14:paraId="52A5B7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серийными</w:t>
            </w:r>
          </w:p>
        </w:tc>
      </w:tr>
      <w:tr w:rsidR="004D4663" w:rsidRPr="00070ADE" w14:paraId="7F67D0B7" w14:textId="77777777">
        <w:tc>
          <w:tcPr>
            <w:tcW w:w="2818" w:type="dxa"/>
          </w:tcPr>
          <w:p w14:paraId="69DBEB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4EB96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винтами</w:t>
            </w:r>
          </w:p>
        </w:tc>
        <w:tc>
          <w:tcPr>
            <w:tcW w:w="2818" w:type="dxa"/>
          </w:tcPr>
          <w:p w14:paraId="4CF573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винтами</w:t>
            </w:r>
          </w:p>
        </w:tc>
      </w:tr>
      <w:tr w:rsidR="004D4663" w:rsidRPr="00070ADE" w14:paraId="2D5D2939" w14:textId="77777777">
        <w:tc>
          <w:tcPr>
            <w:tcW w:w="2818" w:type="dxa"/>
          </w:tcPr>
          <w:p w14:paraId="4CBEEF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53F6AE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ВИШ-61-Ц1</w:t>
            </w:r>
          </w:p>
        </w:tc>
        <w:tc>
          <w:tcPr>
            <w:tcW w:w="2818" w:type="dxa"/>
          </w:tcPr>
          <w:p w14:paraId="398138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ВИШ-61-П</w:t>
            </w:r>
          </w:p>
        </w:tc>
      </w:tr>
      <w:tr w:rsidR="004D4663" w:rsidRPr="00070ADE" w14:paraId="5462C673" w14:textId="77777777">
        <w:tc>
          <w:tcPr>
            <w:tcW w:w="2818" w:type="dxa"/>
          </w:tcPr>
          <w:p w14:paraId="6A0341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A013E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(Д=2,8 м)</w:t>
            </w:r>
          </w:p>
        </w:tc>
        <w:tc>
          <w:tcPr>
            <w:tcW w:w="2818" w:type="dxa"/>
          </w:tcPr>
          <w:p w14:paraId="3CD50D0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(Д=3,0 м)</w:t>
            </w:r>
          </w:p>
        </w:tc>
      </w:tr>
      <w:tr w:rsidR="004D4663" w:rsidRPr="00070ADE" w14:paraId="0E9BB6AF" w14:textId="77777777">
        <w:tc>
          <w:tcPr>
            <w:tcW w:w="2818" w:type="dxa"/>
          </w:tcPr>
          <w:p w14:paraId="6C6406F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w:t>
            </w:r>
          </w:p>
        </w:tc>
        <w:tc>
          <w:tcPr>
            <w:tcW w:w="2818" w:type="dxa"/>
          </w:tcPr>
          <w:p w14:paraId="546CF0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498 км/час</w:t>
            </w:r>
          </w:p>
        </w:tc>
        <w:tc>
          <w:tcPr>
            <w:tcW w:w="2818" w:type="dxa"/>
          </w:tcPr>
          <w:p w14:paraId="7249A7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493 км/час</w:t>
            </w:r>
          </w:p>
        </w:tc>
      </w:tr>
      <w:tr w:rsidR="004D4663" w:rsidRPr="00070ADE" w14:paraId="3902844B" w14:textId="77777777">
        <w:tc>
          <w:tcPr>
            <w:tcW w:w="2818" w:type="dxa"/>
          </w:tcPr>
          <w:p w14:paraId="06BC1A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2-й</w:t>
            </w:r>
          </w:p>
        </w:tc>
        <w:tc>
          <w:tcPr>
            <w:tcW w:w="2818" w:type="dxa"/>
          </w:tcPr>
          <w:p w14:paraId="794B29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537134C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164BC27" w14:textId="77777777">
        <w:tc>
          <w:tcPr>
            <w:tcW w:w="2818" w:type="dxa"/>
          </w:tcPr>
          <w:p w14:paraId="309A0E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границе высотности (Н=3700 м)</w:t>
            </w:r>
          </w:p>
        </w:tc>
        <w:tc>
          <w:tcPr>
            <w:tcW w:w="2818" w:type="dxa"/>
          </w:tcPr>
          <w:p w14:paraId="212976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555 км/час</w:t>
            </w:r>
          </w:p>
        </w:tc>
        <w:tc>
          <w:tcPr>
            <w:tcW w:w="2818" w:type="dxa"/>
          </w:tcPr>
          <w:p w14:paraId="4EC11C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551 км/час</w:t>
            </w:r>
          </w:p>
        </w:tc>
      </w:tr>
      <w:tr w:rsidR="004D4663" w:rsidRPr="00070ADE" w14:paraId="22C3259F" w14:textId="77777777">
        <w:tc>
          <w:tcPr>
            <w:tcW w:w="2818" w:type="dxa"/>
          </w:tcPr>
          <w:p w14:paraId="709311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 м</w:t>
            </w:r>
          </w:p>
        </w:tc>
        <w:tc>
          <w:tcPr>
            <w:tcW w:w="2818" w:type="dxa"/>
          </w:tcPr>
          <w:p w14:paraId="550A232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 мин.</w:t>
            </w:r>
          </w:p>
        </w:tc>
        <w:tc>
          <w:tcPr>
            <w:tcW w:w="2818" w:type="dxa"/>
          </w:tcPr>
          <w:p w14:paraId="00F3C4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 мин.</w:t>
            </w:r>
          </w:p>
        </w:tc>
      </w:tr>
    </w:tbl>
    <w:p w14:paraId="33871C0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разбега самолета Пе-2 с винтами ВИШ-61-Ц1 больше, чем с винтами ВИШ-61-П на 100 м (на 18%). Такое увеличение длины разбега самолета Пе-2 является недопустимым и поэтому новые лопасти винта ВИШ-61 - Д=2,8 м не могут быть рекомендованы для установки на самолет Пе-2. В результате модификации самолета значительно улучшились его пилотажные свойства по сравнению с серийными самолетами, управление самолетом стало проще и меньше загружает внимание летчика, безопасность полета увеличилась.</w:t>
      </w:r>
    </w:p>
    <w:p w14:paraId="614C1B8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Улучшение продольной устойчивости со свободным рулем высоты и продольной управляемости на маневре с-та Пе-2 с моторами М-105ПФ.</w:t>
      </w:r>
    </w:p>
    <w:p w14:paraId="3FC871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Проведены испытания самолета Пе-2 N 4/189 производства завода N 22 с целью улучшения продольной устойчивости со свободным рулем высоты и его продольной управляемости на маневре при помощи включения в проводку управления рулем высоты пружины и балансира.</w:t>
      </w:r>
    </w:p>
    <w:p w14:paraId="07BCFB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Контрольные испытания системы НГ на самолете Пе-2 N 12/275.</w:t>
      </w:r>
    </w:p>
    <w:p w14:paraId="781B2CE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Контрольные испытания системы заполнения бензобаков выхлопными газами на серийном самолете Пе-2 N 12/275 проведены с целью определения ее пригодности к эксплуатации в зимних условиях.</w:t>
      </w:r>
    </w:p>
    <w:p w14:paraId="4597D6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Оценка пригодности системы к зимней эксплуатации произведена по температурам газа в районе фильтра-отстойника, по давлению газов в бензобаках, по количеству конденсата воды.</w:t>
      </w:r>
    </w:p>
    <w:p w14:paraId="6D19E6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самолету Як-1.</w:t>
      </w:r>
    </w:p>
    <w:p w14:paraId="15A9A1C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Контрольные испытания системы НГ на самолете Як-1.</w:t>
      </w:r>
    </w:p>
    <w:p w14:paraId="27B093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Контрольные испытания системы НГ на самолете Як-1 N 33156 с мотором М-105 ПФ проведены с целью определения ее пригодности к зимней эксплуатации.</w:t>
      </w:r>
    </w:p>
    <w:p w14:paraId="3C0D17E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Оценка работоспособности системы проведена по температурам газа в районе фильтра-отстойника, по количеству конденсата и по давлению газа в бензобаках.</w:t>
      </w:r>
    </w:p>
    <w:p w14:paraId="5D5AA7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вновь выпускаемых самолетах Як-1 рекомендуется в систему НГ устанавливать трехходовой кран для переключения дренажа бензобаков или на атмосферу или на систему НГ.</w:t>
      </w:r>
    </w:p>
    <w:p w14:paraId="79E238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самолету Як-9.</w:t>
      </w:r>
    </w:p>
    <w:p w14:paraId="7699D3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Контрольные испытания серийных самолетов Як-9.</w:t>
      </w:r>
    </w:p>
    <w:p w14:paraId="066515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Проведены контрольные испытания самолета Як-9Т N 1028 производства завода N 153 выпуска января 1944 г.</w:t>
      </w:r>
    </w:p>
    <w:p w14:paraId="6EE667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393A82C6" w14:textId="77777777">
        <w:tc>
          <w:tcPr>
            <w:tcW w:w="5636" w:type="dxa"/>
          </w:tcPr>
          <w:p w14:paraId="1812D0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w:t>
            </w:r>
          </w:p>
        </w:tc>
        <w:tc>
          <w:tcPr>
            <w:tcW w:w="5636" w:type="dxa"/>
          </w:tcPr>
          <w:p w14:paraId="24C51E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537 км/час</w:t>
            </w:r>
          </w:p>
        </w:tc>
      </w:tr>
      <w:tr w:rsidR="004D4663" w:rsidRPr="00070ADE" w14:paraId="1C666CB3" w14:textId="77777777">
        <w:tc>
          <w:tcPr>
            <w:tcW w:w="5636" w:type="dxa"/>
          </w:tcPr>
          <w:p w14:paraId="14B7AE8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2-й</w:t>
            </w:r>
          </w:p>
        </w:tc>
        <w:tc>
          <w:tcPr>
            <w:tcW w:w="5636" w:type="dxa"/>
          </w:tcPr>
          <w:p w14:paraId="65AF97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D530DE7" w14:textId="77777777">
        <w:tc>
          <w:tcPr>
            <w:tcW w:w="5636" w:type="dxa"/>
          </w:tcPr>
          <w:p w14:paraId="2064D3D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границе высотности (Н=3700 м)</w:t>
            </w:r>
          </w:p>
        </w:tc>
        <w:tc>
          <w:tcPr>
            <w:tcW w:w="5636" w:type="dxa"/>
          </w:tcPr>
          <w:p w14:paraId="571EA2A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598 км/час</w:t>
            </w:r>
          </w:p>
        </w:tc>
      </w:tr>
      <w:tr w:rsidR="004D4663" w:rsidRPr="00070ADE" w14:paraId="226F21D2" w14:textId="77777777">
        <w:tc>
          <w:tcPr>
            <w:tcW w:w="5636" w:type="dxa"/>
          </w:tcPr>
          <w:p w14:paraId="06492E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 м</w:t>
            </w:r>
          </w:p>
        </w:tc>
        <w:tc>
          <w:tcPr>
            <w:tcW w:w="5636" w:type="dxa"/>
          </w:tcPr>
          <w:p w14:paraId="409B57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 мин.</w:t>
            </w:r>
          </w:p>
        </w:tc>
      </w:tr>
    </w:tbl>
    <w:p w14:paraId="1C713A8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Проведены контрольные испытания самолета Як-9 N 1088 производства завода N 153 выпуска января 1944 г.</w:t>
      </w:r>
    </w:p>
    <w:p w14:paraId="3EDEFA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5D84D52A" w14:textId="77777777">
        <w:tc>
          <w:tcPr>
            <w:tcW w:w="5636" w:type="dxa"/>
          </w:tcPr>
          <w:p w14:paraId="0B324A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w:t>
            </w:r>
          </w:p>
        </w:tc>
        <w:tc>
          <w:tcPr>
            <w:tcW w:w="5636" w:type="dxa"/>
          </w:tcPr>
          <w:p w14:paraId="236E67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537 км/час</w:t>
            </w:r>
          </w:p>
        </w:tc>
      </w:tr>
      <w:tr w:rsidR="004D4663" w:rsidRPr="00070ADE" w14:paraId="5E501842" w14:textId="77777777">
        <w:tc>
          <w:tcPr>
            <w:tcW w:w="5636" w:type="dxa"/>
          </w:tcPr>
          <w:p w14:paraId="4BF293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2-й</w:t>
            </w:r>
          </w:p>
        </w:tc>
        <w:tc>
          <w:tcPr>
            <w:tcW w:w="5636" w:type="dxa"/>
          </w:tcPr>
          <w:p w14:paraId="340927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BA875B0" w14:textId="77777777">
        <w:tc>
          <w:tcPr>
            <w:tcW w:w="5636" w:type="dxa"/>
          </w:tcPr>
          <w:p w14:paraId="41BF85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границе высотности (Н=3700 м)</w:t>
            </w:r>
          </w:p>
        </w:tc>
        <w:tc>
          <w:tcPr>
            <w:tcW w:w="5636" w:type="dxa"/>
          </w:tcPr>
          <w:p w14:paraId="6B7BE9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595 км/час</w:t>
            </w:r>
          </w:p>
        </w:tc>
      </w:tr>
      <w:tr w:rsidR="004D4663" w:rsidRPr="00070ADE" w14:paraId="14D20259" w14:textId="77777777">
        <w:tc>
          <w:tcPr>
            <w:tcW w:w="5636" w:type="dxa"/>
          </w:tcPr>
          <w:p w14:paraId="58B78C0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 м</w:t>
            </w:r>
          </w:p>
        </w:tc>
        <w:tc>
          <w:tcPr>
            <w:tcW w:w="5636" w:type="dxa"/>
          </w:tcPr>
          <w:p w14:paraId="148386A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мин.</w:t>
            </w:r>
          </w:p>
        </w:tc>
      </w:tr>
    </w:tbl>
    <w:p w14:paraId="57B0DA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самолету Ла-5.</w:t>
      </w:r>
    </w:p>
    <w:p w14:paraId="36CCE5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Определение влияния состава смеси на максимальную скорость самолета Ла-5 ФН.</w:t>
      </w:r>
    </w:p>
    <w:p w14:paraId="6D9CED9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серийном самолете Ла-5 ФН N 39210319 в полете определена максимальная скорость на трех высотах Н=1100 м, Н=2900 м/ Н=5900 м при различных составах смеси (1821,57).</w:t>
      </w:r>
    </w:p>
    <w:p w14:paraId="3854954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самолету Ил-2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8470"/>
      </w:tblGrid>
      <w:tr w:rsidR="004D4663" w:rsidRPr="00070ADE" w14:paraId="080BB115" w14:textId="77777777">
        <w:tc>
          <w:tcPr>
            <w:tcW w:w="2802" w:type="dxa"/>
          </w:tcPr>
          <w:p w14:paraId="1FF068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Испытания самолета Ил-2</w:t>
            </w:r>
          </w:p>
        </w:tc>
        <w:tc>
          <w:tcPr>
            <w:tcW w:w="8470" w:type="dxa"/>
          </w:tcPr>
          <w:p w14:paraId="64F0E1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Проведены летные испытания самолета Ил-2 N 302786 с разбалансированным</w:t>
            </w:r>
          </w:p>
        </w:tc>
      </w:tr>
      <w:tr w:rsidR="004D4663" w:rsidRPr="00070ADE" w14:paraId="6089EA8E" w14:textId="77777777">
        <w:tc>
          <w:tcPr>
            <w:tcW w:w="2802" w:type="dxa"/>
          </w:tcPr>
          <w:p w14:paraId="439527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разбалансированным РВ на</w:t>
            </w:r>
          </w:p>
        </w:tc>
        <w:tc>
          <w:tcPr>
            <w:tcW w:w="8470" w:type="dxa"/>
          </w:tcPr>
          <w:p w14:paraId="4C25C8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РН. В полете при выполнении пикирования до скорости 490 км/час по прибору</w:t>
            </w:r>
          </w:p>
        </w:tc>
      </w:tr>
      <w:tr w:rsidR="004D4663" w:rsidRPr="00070ADE" w14:paraId="38F612DA" w14:textId="77777777">
        <w:tc>
          <w:tcPr>
            <w:tcW w:w="2802" w:type="dxa"/>
          </w:tcPr>
          <w:p w14:paraId="25F846C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флаттер</w:t>
            </w:r>
          </w:p>
        </w:tc>
        <w:tc>
          <w:tcPr>
            <w:tcW w:w="8470" w:type="dxa"/>
          </w:tcPr>
          <w:p w14:paraId="40C0A1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никаких вибраций не ощущалось. При осмотре самолета после полета на земле</w:t>
            </w:r>
          </w:p>
        </w:tc>
      </w:tr>
      <w:tr w:rsidR="004D4663" w:rsidRPr="00070ADE" w14:paraId="7BBA28C0" w14:textId="77777777">
        <w:tc>
          <w:tcPr>
            <w:tcW w:w="2802" w:type="dxa"/>
          </w:tcPr>
          <w:p w14:paraId="533DF4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70" w:type="dxa"/>
          </w:tcPr>
          <w:p w14:paraId="0AD72B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никаких повреждений не обнаружено.</w:t>
            </w:r>
          </w:p>
        </w:tc>
      </w:tr>
      <w:tr w:rsidR="004D4663" w:rsidRPr="00070ADE" w14:paraId="1C2C946C" w14:textId="77777777">
        <w:tc>
          <w:tcPr>
            <w:tcW w:w="2802" w:type="dxa"/>
          </w:tcPr>
          <w:p w14:paraId="2FBA56C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70" w:type="dxa"/>
          </w:tcPr>
          <w:p w14:paraId="1AA08C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окончательного решения вопроса о возможности снятия балансира с РН</w:t>
            </w:r>
          </w:p>
        </w:tc>
      </w:tr>
      <w:tr w:rsidR="005106D0" w:rsidRPr="00070ADE" w14:paraId="33B0FE60" w14:textId="77777777">
        <w:tc>
          <w:tcPr>
            <w:tcW w:w="2802" w:type="dxa"/>
          </w:tcPr>
          <w:p w14:paraId="7546C3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70" w:type="dxa"/>
          </w:tcPr>
          <w:p w14:paraId="36BAB4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рекомендовано провести испытания 5 самолетов на серийном заводе (1821,55)</w:t>
            </w:r>
          </w:p>
        </w:tc>
      </w:tr>
    </w:tbl>
    <w:p w14:paraId="281B79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222749"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649E4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CA197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 г. вышел ПРИКАЗ НАЧАЛЬНИКА ГБТУ КА О ПЕРЕДИСЛОКАЦИИ БРОНЕТАНКОВЫХ РЕМОНТНЫХ ЗАВОДОВ №7 И №8 В г. КИЕВ №07</w:t>
      </w:r>
    </w:p>
    <w:p w14:paraId="433F38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приближения стационарных рем. средств к фронтам и лучшему обслуживанию ремон</w:t>
      </w:r>
      <w:r w:rsidRPr="00070ADE">
        <w:rPr>
          <w:rFonts w:ascii="Times New Roman" w:hAnsi="Times New Roman"/>
          <w:color w:val="000000" w:themeColor="text1"/>
          <w:sz w:val="16"/>
          <w:szCs w:val="16"/>
        </w:rPr>
        <w:softHyphen/>
        <w:t>том действующих частей Красной Армии ПРИКАЗЫВАЮ:</w:t>
      </w:r>
    </w:p>
    <w:p w14:paraId="6B77C88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Передислоцировать к 15 марта 1944 г. БТ ремзавод №7 из г. Саратова в г. Киев и временно рас</w:t>
      </w:r>
      <w:r w:rsidRPr="00070ADE">
        <w:rPr>
          <w:rFonts w:ascii="Times New Roman" w:hAnsi="Times New Roman"/>
          <w:color w:val="000000" w:themeColor="text1"/>
          <w:sz w:val="16"/>
          <w:szCs w:val="16"/>
        </w:rPr>
        <w:softHyphen/>
        <w:t>положить его на производственных площадях бывшего завода «Арсенал» №393 Наркомата вооруже</w:t>
      </w:r>
      <w:r w:rsidRPr="00070ADE">
        <w:rPr>
          <w:rFonts w:ascii="Times New Roman" w:hAnsi="Times New Roman"/>
          <w:color w:val="000000" w:themeColor="text1"/>
          <w:sz w:val="16"/>
          <w:szCs w:val="16"/>
        </w:rPr>
        <w:softHyphen/>
        <w:t>ния СССР.</w:t>
      </w:r>
    </w:p>
    <w:p w14:paraId="6D5469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 Саратове оставить филиал ремзавода, обеспечивающий ремонтом 25% производственной программы завода.</w:t>
      </w:r>
    </w:p>
    <w:p w14:paraId="5A6B2B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Передислоцировать к 15 марта 1944 г. БТ ремзавод №8 из г. Казани в г. Киев и расположить его на производственных площадях, занимаемых этим заводом до его эвакуации.</w:t>
      </w:r>
    </w:p>
    <w:p w14:paraId="5C6ABB6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 Казани оставить филиал ремзавода, обеспечивающий ремонтом 25% производственной про</w:t>
      </w:r>
      <w:r w:rsidRPr="00070ADE">
        <w:rPr>
          <w:rFonts w:ascii="Times New Roman" w:hAnsi="Times New Roman"/>
          <w:color w:val="000000" w:themeColor="text1"/>
          <w:sz w:val="16"/>
          <w:szCs w:val="16"/>
        </w:rPr>
        <w:softHyphen/>
        <w:t>граммы завода.</w:t>
      </w:r>
    </w:p>
    <w:p w14:paraId="05A3BE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Начальнику УРТ генерал-майору т. Сосенкову:</w:t>
      </w:r>
    </w:p>
    <w:p w14:paraId="75DB7F4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обеспечить своевременную передислокацию ремзаводов №7 и №8 в г. Киев;</w:t>
      </w:r>
    </w:p>
    <w:p w14:paraId="00AEF1E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определить производственный профиль работы оставшихся филиалов и передислоцированных ремзаводов, скорректировать им производственные задания в соответствии с установленным профилем;</w:t>
      </w:r>
    </w:p>
    <w:p w14:paraId="52840C3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представить к 1.03.1943 г. план развертывания работы ремзаводов на новых местах дислока</w:t>
      </w:r>
      <w:r w:rsidRPr="00070ADE">
        <w:rPr>
          <w:rFonts w:ascii="Times New Roman" w:hAnsi="Times New Roman"/>
          <w:color w:val="000000" w:themeColor="text1"/>
          <w:sz w:val="16"/>
          <w:szCs w:val="16"/>
        </w:rPr>
        <w:softHyphen/>
        <w:t>ции, с указанием в нем сроков перехода заводов на полную производственную мощность.</w:t>
      </w:r>
    </w:p>
    <w:p w14:paraId="2ED511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Главного бронетанкового управления Красной Армии генерал-лейтенант танковых войск Вершинин</w:t>
      </w:r>
    </w:p>
    <w:p w14:paraId="3F0AE6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11377. Д. 117. Л. 10-11. Подлинник (11403).</w:t>
      </w:r>
    </w:p>
    <w:p w14:paraId="202F388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E987DB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 вышло Распоряжение ГКО № 5125 [О предоставлении вагонов для обеспечения предприятий НКРП в феврале 1944 г. синтетическим каучуком.] (7185, 111).</w:t>
      </w:r>
    </w:p>
    <w:p w14:paraId="4B1CAEA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65F5B8" w14:textId="19C868E4" w:rsidR="00E370BB" w:rsidRPr="00070ADE" w:rsidRDefault="00E370B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вышел Приказ наркома электропромышленности СССР № М-3-67 в соответствии с которымна базе Ленинградского телефонного завода «Сигнал» и структурных подразделений завода имени А.А. Кулакова (Электромеханического завода и Центрального конструкторского бюро с опытным производством, которое было основано в 1935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как «Комбинат техники особой секретности»), было образовано новое предприятие (15736).</w:t>
      </w:r>
    </w:p>
    <w:p w14:paraId="309069A3" w14:textId="77777777" w:rsidR="00E370BB" w:rsidRPr="00070ADE" w:rsidRDefault="00E370BB" w:rsidP="00B56F90">
      <w:pPr>
        <w:spacing w:after="0" w:line="240" w:lineRule="auto"/>
        <w:jc w:val="both"/>
        <w:rPr>
          <w:rFonts w:ascii="Times New Roman" w:hAnsi="Times New Roman"/>
          <w:color w:val="000000" w:themeColor="text1"/>
          <w:sz w:val="16"/>
          <w:szCs w:val="16"/>
        </w:rPr>
      </w:pPr>
    </w:p>
    <w:p w14:paraId="2F316B3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 вышло Распоряжение ГКО № 5126 [Об организации при НКСП Научно-исследовательского минно-торпедо-трального института (НИИ-400) в г. Ленинграде.] (7185, 112).</w:t>
      </w:r>
    </w:p>
    <w:p w14:paraId="15EB882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D42D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 г. соответствии с постановлениями ГКО № 5126 и № 4133 от 15 сентября 1943 г. был образован НИИ морского оружия и морских боеприпасов, получивший название НИИ-400 НКСП (предполагалось организовать его в Москве, но из-за отсутствия помещения разместили в Ленинграде).</w:t>
      </w:r>
      <w:r w:rsidRPr="00070ADE">
        <w:rPr>
          <w:rFonts w:ascii="Times New Roman" w:hAnsi="Times New Roman"/>
          <w:color w:val="000000" w:themeColor="text1"/>
          <w:sz w:val="16"/>
          <w:szCs w:val="16"/>
          <w:vertAlign w:val="superscript"/>
        </w:rPr>
        <w:t>61</w:t>
      </w:r>
      <w:r w:rsidRPr="00070ADE">
        <w:rPr>
          <w:rFonts w:ascii="Times New Roman" w:hAnsi="Times New Roman"/>
          <w:color w:val="000000" w:themeColor="text1"/>
          <w:sz w:val="16"/>
          <w:szCs w:val="16"/>
        </w:rPr>
        <w:t xml:space="preserve"> Разместился на площадях бывшего опытного завода № 231 НКСП и катерного ЦКБ-36 НКСП. Основу коллектива составили специалисты бывшего Остехбюро, ЦКБ-36, ЦКБ-39 (возможно, завод № 231 НКСП реэвакуирован из Уральска и влит в состав НИИ- 400). Работы по модернизации и разработке новых образцов торпедного, минного и противоминного оружия.</w:t>
      </w:r>
    </w:p>
    <w:p w14:paraId="71D1D5A4" w14:textId="3841E05F"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1947 г. на территории института создано (дочернее предприятие) ЦКБ-145 для обеспечения серийного производства минно-трального оружия. В 1948 г. образован филиал института 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Ломоносове для разработки торпед с тепловыми двигателями.</w:t>
      </w:r>
    </w:p>
    <w:p w14:paraId="19FDE71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конце 1945 г. начата разработка первой реактивной скоростной торпеды РТ-45-2 с ЖРД (В.А. Калитаев, Ф.Л. Якайтис), испытана в 1948-51 г. На ее базе создана авиационная реактивная торпеда РАТ-52.</w:t>
      </w:r>
    </w:p>
    <w:p w14:paraId="3C9665F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1950 г. создана первая отечественная протвокорабельная самонаводящаяся торпеда САЭТ-50; в 1955 г. сюда переданы из НИМТИ работы по противолодочной торпеде САЭТ-53. Создана первая в мире реактивно- всплывающая мина «Камбала». Велись работы в области поисковых систем на телевизионном, электромагнитном принципах.</w:t>
      </w:r>
    </w:p>
    <w:p w14:paraId="70D3B3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ПСМ № 1395-627сс от 9.07.1954 г. мина ТУМ пнв и запущена в серию; пост. № 32-16сс от 10.01.1955 г. мина АПМ пнв; пост. № 35-16 от 14.01.1957 г. мины КАМ и ГМ пнв; пост. № 150-81 от 13.02.1957 г. мина КСМ пнв; пост. № 151-82 от 13.02.1957 г. пнв мина «Серпей»; пост. № 152-83 от 13.02.1957 г. пнв мина КРМ.</w:t>
      </w:r>
    </w:p>
    <w:p w14:paraId="04A9EE6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ПСМ № 49-17 от 21.01.1961 г. мина УДМ пнв, мины АМД-2М и АБМ сняты с вооружения, и прекращено производство мин ИГДМ и «Серпей».</w:t>
      </w:r>
    </w:p>
    <w:p w14:paraId="062BA988" w14:textId="7E4153A3"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1950-х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институт имел мощное опытное производство, флот опытовых судов. Были созданы филиалы: 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Уральске (1972 г.), «Касатка» 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Гагры (1974 г.), 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Ломоносове; отделы 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Каспийске, Петропавловске, Феодосии и Пржевальске.</w:t>
      </w:r>
    </w:p>
    <w:p w14:paraId="54137E2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1954 г. - в подчинении МТиТМ, в 1956 г.- МСП, с 1958 г.- ГКС. В 1966 г. НИИ-400 переименован в НИИ «Гидроприбор», к нему в качестве опытного производства присоединен завод «Двигатель». В 1969 г. в состав института включено ЦКБ-145, и он преобразован в ЦНИИ «Гидроприбор». В 1973 г. на базе ЦНИИ (головной) создано НПО «Уран».</w:t>
      </w:r>
    </w:p>
    <w:p w14:paraId="0ADB7D68" w14:textId="4F0FD7A2"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1970-е-80-е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создано новое поколение подводного оружия: самая мощная в мире дальноходная торпеда калибра 650 мм; минно-ракетные комплексы; буксируемые и самоходные подводные аппараты с поисковыми системами; комплексы гидроакустического противодействия подводному оружию. Конверсионные разработки: системы: контроля и освещения подводной обстановки; поиска и разработки полезных ископаемых на морском дне; обеспечения безопасности буровых платформ, нефтепроводов.</w:t>
      </w:r>
    </w:p>
    <w:p w14:paraId="2166AD1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1991 г. ЦНИИ вышел из состава НПО и стал самостоятельным. В соответствии с Указом Президента РФ № 939 от 22.06.1993 г. и пост. Правительства № 649 от 5.06.1994 г. институту присвоен статус ГНЦ РФ. По указу Президента РФ № 133 от 3.02.2004 г. на базе ЦНИИ «Гидроприбор» образован Концерн «Морское подводное оружие-Гидроприбор».</w:t>
      </w:r>
    </w:p>
    <w:p w14:paraId="7B0B089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Разработка различного подводного вооружения, средств наблюдения и обнаружения. К 2005 г. создано 180 образцов подводного оружия.</w:t>
      </w:r>
    </w:p>
    <w:p w14:paraId="7154B23C" w14:textId="2AAE0E88"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(1943-; 1945-46 г.)- А.П. Алехин, (1944-45; 1951-72 г.)- A.M. Борушко, (1946-51 г.)- К.В. Грудницкий, (1972-83 г.)- Р.В. Исаков, (1983-91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Г.П. Корсаков. Гендиректор (1991-96 г.)- А.С. Захарченко, (1996-2005 г.)- С. Г. Прошкин; и.о. директора (2005 г.)- С. Г. Прошкин; (2005 г.-)- В.А. Осипов.</w:t>
      </w:r>
    </w:p>
    <w:p w14:paraId="5946A8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 конструктор (2005 г.)- С. Г. Прошкин.</w:t>
      </w:r>
    </w:p>
    <w:p w14:paraId="06CA583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зам. директора (-07.2006 г.)- А. Шадрин. Зам. директора по технологии- А.А. Зыков.</w:t>
      </w:r>
    </w:p>
    <w:p w14:paraId="1BA64B6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А.Т. Скоробогатов.</w:t>
      </w:r>
    </w:p>
    <w:p w14:paraId="55A8AFEC" w14:textId="581AE461"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отделения (2002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Тихонов.</w:t>
      </w:r>
    </w:p>
    <w:p w14:paraId="4371DF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конструкторы: (1955 г.)- В.А. Поликарпов (САЭТ-53), Л.П. Матвеев, В.М. Павлов; направления (2002 г.)- А. Кабанов.</w:t>
      </w:r>
    </w:p>
    <w:p w14:paraId="02917741" w14:textId="29C9790F"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отделов: (1946-51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Г.В. Петров.</w:t>
      </w:r>
    </w:p>
    <w:p w14:paraId="2198B502" w14:textId="77777777" w:rsidR="00E370BB"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 торпеды:</w:t>
      </w:r>
      <w:r w:rsidRPr="00070ADE">
        <w:rPr>
          <w:rFonts w:ascii="Times New Roman" w:hAnsi="Times New Roman"/>
          <w:color w:val="000000" w:themeColor="text1"/>
          <w:sz w:val="16"/>
          <w:szCs w:val="16"/>
        </w:rPr>
        <w:t xml:space="preserve"> реактивная РТ-45-2 (1948); авиационные: противокорабельная САЭТ-50 (1950), экспериментальная «АСТ», противолодочная СЭТ-53 (пнв в 1958 г.), СЭТ-53М (пнв в 1964 г.); телеуправляемая ТЭСТ-71, ТЭ-2-02; корабельная 65-76 «Кит»;</w:t>
      </w:r>
      <w:r w:rsidRPr="00070ADE">
        <w:rPr>
          <w:rFonts w:ascii="Times New Roman" w:hAnsi="Times New Roman"/>
          <w:iCs/>
          <w:color w:val="000000" w:themeColor="text1"/>
          <w:sz w:val="16"/>
          <w:szCs w:val="16"/>
        </w:rPr>
        <w:t xml:space="preserve"> мины:</w:t>
      </w:r>
      <w:r w:rsidRPr="00070ADE">
        <w:rPr>
          <w:rFonts w:ascii="Times New Roman" w:hAnsi="Times New Roman"/>
          <w:color w:val="000000" w:themeColor="text1"/>
          <w:sz w:val="16"/>
          <w:szCs w:val="16"/>
        </w:rPr>
        <w:t xml:space="preserve"> донные неконтактные: АМД-2 (1945), АМД-2М (1954), АМД-4, авиационная «Серпей» (пнв 13.02.1957 г.), ИГДМ (1954), ИГДМ-500 (пнв в 1957 г.), трубная МДТ (пнв в 1959 г.), УДМ (пнв 21.01.1961 г.), УДМ-500 (1965), УДМ-2 (1979), ДМ-1, УДМ-3, АПДМ; якорные: КРАБ-М, ПДМ-ЗЯ, ТУМ (пнв 9.07.1954 г.), «Лира», КПМ, корабельная акустическая КАМ (пнв 14.01.1957 г.), корабельная глубоководная ГМ (пнв 14.01.1957 г.), акустическая ПМ-1 (пнв в 1959 г.), УГМ, УКСМ; антенные противолодочные: неконтактная средняя КСМ (пнв 13.02.1957 г.), ПМ-2 пнв в 1965 г.); плавающие: ПЛТ-5, авиационная АПМ (пнв 10.01.1955 г.), ПЛТ-4М, МНП; реактивно-всплывающие: КРМ (пнв 13.02.1957 г.), РМ-1 (1961), РМ-2 (1963), ПРМ (1968), «Камбала»; диверсионные: МКМ-100, ПКМ-25, МНП; лодочная ПЛТ-6; самотранспортирующиеся МДС, СМДМ-1, СМДМ-2;</w:t>
      </w:r>
      <w:r w:rsidRPr="00070ADE">
        <w:rPr>
          <w:rFonts w:ascii="Times New Roman" w:hAnsi="Times New Roman"/>
          <w:iCs/>
          <w:color w:val="000000" w:themeColor="text1"/>
          <w:sz w:val="16"/>
          <w:szCs w:val="16"/>
        </w:rPr>
        <w:t xml:space="preserve"> комплексы:</w:t>
      </w:r>
      <w:r w:rsidRPr="00070ADE">
        <w:rPr>
          <w:rFonts w:ascii="Times New Roman" w:hAnsi="Times New Roman"/>
          <w:color w:val="000000" w:themeColor="text1"/>
          <w:sz w:val="16"/>
          <w:szCs w:val="16"/>
        </w:rPr>
        <w:t xml:space="preserve"> минно-ракетные ПМР-1, ПМР-2 (1970-е), ПМР- 2М, МРПК-1; минно-торпедные: ПМТ-1, МТПК-1, МТТТК-2;</w:t>
      </w:r>
      <w:r w:rsidRPr="00070ADE">
        <w:rPr>
          <w:rFonts w:ascii="Times New Roman" w:hAnsi="Times New Roman"/>
          <w:iCs/>
          <w:color w:val="000000" w:themeColor="text1"/>
          <w:sz w:val="16"/>
          <w:szCs w:val="16"/>
        </w:rPr>
        <w:t xml:space="preserve"> тралы:</w:t>
      </w:r>
      <w:r w:rsidRPr="00070ADE">
        <w:rPr>
          <w:rFonts w:ascii="Times New Roman" w:hAnsi="Times New Roman"/>
          <w:color w:val="000000" w:themeColor="text1"/>
          <w:sz w:val="16"/>
          <w:szCs w:val="16"/>
        </w:rPr>
        <w:t xml:space="preserve"> контактные МТ, БКТ, глубоководный ГКТ- ЗМ; неконтактные ПЭМТ-4, СЭМТ-1, БГАТ, АТ-2; охранители кораблей БОКА-ДУ, шнуровые заряды ШЗ-1 (пнв в 1956 г.), ШЗ-2;</w:t>
      </w:r>
      <w:r w:rsidRPr="00070ADE">
        <w:rPr>
          <w:rFonts w:ascii="Times New Roman" w:hAnsi="Times New Roman"/>
          <w:color w:val="000000" w:themeColor="text1"/>
          <w:sz w:val="16"/>
          <w:szCs w:val="16"/>
          <w:vertAlign w:val="superscript"/>
        </w:rPr>
        <w:t>101</w:t>
      </w:r>
      <w:r w:rsidRPr="00070ADE">
        <w:rPr>
          <w:rFonts w:ascii="Times New Roman" w:hAnsi="Times New Roman"/>
          <w:color w:val="000000" w:themeColor="text1"/>
          <w:sz w:val="16"/>
          <w:szCs w:val="16"/>
        </w:rPr>
        <w:t xml:space="preserve"> взрыватели: неконтактные: акустический «КБ» (1944), торпедный НИВ-36 (1945);</w:t>
      </w:r>
      <w:r w:rsidRPr="00070ADE">
        <w:rPr>
          <w:rFonts w:ascii="Times New Roman" w:hAnsi="Times New Roman"/>
          <w:color w:val="000000" w:themeColor="text1"/>
          <w:sz w:val="16"/>
          <w:szCs w:val="16"/>
          <w:vertAlign w:val="superscript"/>
        </w:rPr>
        <w:t>61</w:t>
      </w:r>
      <w:r w:rsidRPr="00070ADE">
        <w:rPr>
          <w:rFonts w:ascii="Times New Roman" w:hAnsi="Times New Roman"/>
          <w:iCs/>
          <w:color w:val="000000" w:themeColor="text1"/>
          <w:sz w:val="16"/>
          <w:szCs w:val="16"/>
        </w:rPr>
        <w:t xml:space="preserve"> искатели мин:</w:t>
      </w:r>
      <w:r w:rsidRPr="00070ADE">
        <w:rPr>
          <w:rFonts w:ascii="Times New Roman" w:hAnsi="Times New Roman"/>
          <w:color w:val="000000" w:themeColor="text1"/>
          <w:sz w:val="16"/>
          <w:szCs w:val="16"/>
        </w:rPr>
        <w:t xml:space="preserve"> обозначители: телевизионные ИТ-1, ИТ-3 (пнв в 1957 г.), электромагнитный И-2 (пнв в 1966 г.); электромагнитный уничтожитель ИУ-1 (пнв в 1959 г.); приборы гидроакустического противодействия МГ-74, МГ- 74МЭ; аппаратурно-приборный модуль для модернизации донных мин АПМ; акустический концентратор рыбы МАКР; устройство для бездоковой очистки подводной части судов «Ёж».</w:t>
      </w:r>
    </w:p>
    <w:p w14:paraId="7A64D0A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НПО «Уран»</w:t>
      </w:r>
    </w:p>
    <w:p w14:paraId="08A4F5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15.10.1973 г. на базе ЦНИИ «Гидроприбор». В него вошли также филиалы института и завод «Двигатель». В 1991 г. НПО распалось на самостоятельные предприятия.</w:t>
      </w:r>
      <w:r w:rsidRPr="00070ADE">
        <w:rPr>
          <w:rFonts w:ascii="Times New Roman" w:hAnsi="Times New Roman"/>
          <w:color w:val="000000" w:themeColor="text1"/>
          <w:sz w:val="16"/>
          <w:szCs w:val="16"/>
          <w:vertAlign w:val="superscript"/>
        </w:rPr>
        <w:t>101</w:t>
      </w:r>
    </w:p>
    <w:p w14:paraId="3B7B508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Создана малогабаритная самонаводящаяся торпеда (гл. конструктор- В.А. Осипов).</w:t>
      </w:r>
    </w:p>
    <w:p w14:paraId="04CE07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Руководитель (1973 г.-)- Р.В. Исаков.</w:t>
      </w:r>
    </w:p>
    <w:p w14:paraId="6F09DC4D" w14:textId="77777777" w:rsidR="00E370BB"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В.А. Левин.</w:t>
      </w:r>
    </w:p>
    <w:p w14:paraId="68556F5B" w14:textId="3043CAF0"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Филиал НИИ «Гидроприбор» МСП, ФГУП, ОАО «НИИ Морской теплотехники» /188512 (189510)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Санкт-Петербург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Ломоносов Верхний парк, 1 тел. 422-45-64/</w:t>
      </w:r>
    </w:p>
    <w:p w14:paraId="309DD9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Филиал НИИ-400 образован в 1948 г. для разработки торпед с тепловыми двигателями (парогазовых).</w:t>
      </w:r>
    </w:p>
    <w:p w14:paraId="32B8EB2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1970-80 г. разработаны энергосиловые установки (ЭСУ) торпед на перспективных жидких, твердых и пастообразных топливах, в т.ч. гидрореагирующих.</w:t>
      </w:r>
    </w:p>
    <w:p w14:paraId="7B22300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Разрабатывалось также полигонное оборудование для испытания торпед. Были созданы стационарные полигоны с ГАК «Сигнал» на Черном море и «Сигнал-2» на оз. Иссык-Куль. Позднее создан мобильный гидроакустический полигон (МГП) для контроля и записи траектории движения торпед.</w:t>
      </w:r>
    </w:p>
    <w:p w14:paraId="699955D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1991 г. филиал ЦНИИ «Гидроприбор» вышел из состава НПО «Уран» и преобразован в самостоятельный НИИ мортеплотехники. По Указу Президента РФ № 1009 от 4.08.2004 г. вошло в число стратегических оборонных предприятий.</w:t>
      </w:r>
    </w:p>
    <w:p w14:paraId="3A7FA02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составе института (2005 г.) испытательный комплекс с имитацией натурных тректорий движения.</w:t>
      </w:r>
    </w:p>
    <w:p w14:paraId="4D30D49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2007 г. предприятие акционировано и вошло в состав концерна «Морское подводное оружие».</w:t>
      </w:r>
    </w:p>
    <w:p w14:paraId="65584A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(1948-70 г.)- М.П. Максимов, (1970-86 г.)- А.А. Панов, (1987-2001 г.)- Л.М. Жуков, (2002-05 г.-&gt; B.C. Четко,</w:t>
      </w:r>
      <w:r w:rsidRPr="00070ADE">
        <w:rPr>
          <w:rFonts w:ascii="Times New Roman" w:hAnsi="Times New Roman"/>
          <w:color w:val="000000" w:themeColor="text1"/>
          <w:sz w:val="16"/>
          <w:szCs w:val="16"/>
          <w:vertAlign w:val="superscript"/>
        </w:rPr>
        <w:t>101</w:t>
      </w:r>
      <w:r w:rsidRPr="00070ADE">
        <w:rPr>
          <w:rFonts w:ascii="Times New Roman" w:hAnsi="Times New Roman"/>
          <w:color w:val="000000" w:themeColor="text1"/>
          <w:sz w:val="16"/>
          <w:szCs w:val="16"/>
        </w:rPr>
        <w:t xml:space="preserve"> (2007 г.)- А. Кабанов.</w:t>
      </w:r>
    </w:p>
    <w:p w14:paraId="071F5F2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(2000 г.)- Б. Новиков.</w:t>
      </w:r>
    </w:p>
    <w:p w14:paraId="599111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конструкторы: (2000 г.)- Ю. Санников; направления (2000 г.)- Б. Новиков.</w:t>
      </w:r>
    </w:p>
    <w:p w14:paraId="2D54D6B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отделов: маркетинга (2000 г.)- С. Чекулаев; (2000 г.)- 3. Залманов.</w:t>
      </w:r>
    </w:p>
    <w:p w14:paraId="2ABEC6F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 торпеды:</w:t>
      </w:r>
      <w:r w:rsidRPr="00070ADE">
        <w:rPr>
          <w:rFonts w:ascii="Times New Roman" w:hAnsi="Times New Roman"/>
          <w:color w:val="000000" w:themeColor="text1"/>
          <w:sz w:val="16"/>
          <w:szCs w:val="16"/>
        </w:rPr>
        <w:t xml:space="preserve"> тепловые противокорабельные 53-57 (пнв в 1957 г.), 53-61 (пнв в 1961 г.), 53-65 (пнв в 1965 г.), 53-65М (1969), 53-65А (1973); универсальная глубоководная самонаводящаяся УГСТ (2002), УГСТ-М; малогабаритная ПЛ калибра 324 мм с поршневым двигателем на жидком топливе;</w:t>
      </w:r>
      <w:r w:rsidRPr="00070ADE">
        <w:rPr>
          <w:rFonts w:ascii="Times New Roman" w:hAnsi="Times New Roman"/>
          <w:iCs/>
          <w:color w:val="000000" w:themeColor="text1"/>
          <w:sz w:val="16"/>
          <w:szCs w:val="16"/>
        </w:rPr>
        <w:t xml:space="preserve"> торпедные двигатели: </w:t>
      </w:r>
      <w:r w:rsidRPr="00070ADE">
        <w:rPr>
          <w:rFonts w:ascii="Times New Roman" w:hAnsi="Times New Roman"/>
          <w:color w:val="000000" w:themeColor="text1"/>
          <w:sz w:val="16"/>
          <w:szCs w:val="16"/>
        </w:rPr>
        <w:t>турбинные: Т для 53-57, 2ТФ для 53-61, 2ДТ для 53-65 (1963), экспериментальные ЗДТ (1967), 5ДТ (1970), 7ДТ (1976), 8ДТ (1977), 14ДТ (1980), 16ДТ (1984), 18ДТ (1993); 19ДТ для УГСТ-М; аксиально-поршневой АПД для УГСТ (1995); малогабаритная автоматизированная котельная установка АМКУ.</w:t>
      </w:r>
    </w:p>
    <w:p w14:paraId="73E47F78" w14:textId="5F42E6B5"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ОАО «Концерн «Морское подводное оружие-Гидроприбор» /194044</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Санкт-Петербург Б. Сампсониевский пр., 24 тел. 542-96-59/</w:t>
      </w:r>
    </w:p>
    <w:p w14:paraId="1FFB1B3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Концерн образован по Указу Президента РФ № 133 от 3.02.2004 г. на базе ЦНИИ «Гидроприбор». По Указу Президента РФ № 1009 от 4.08.2004 г. вошло в число стратегических оборонных предприятий. В его состав входили (2007 г.): ЦНИИ «Гидроприбор», «Уралэлемент», Завод «Двигатель», НИИ морской теплотехники, «Дагдизель».</w:t>
      </w:r>
    </w:p>
    <w:p w14:paraId="7F4F500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Гендиректор (2007 г.)- В.А. Осипов.</w:t>
      </w:r>
    </w:p>
    <w:p w14:paraId="20BF5C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гендиректора (2007 г.)- С. Прошкин (11982).</w:t>
      </w:r>
    </w:p>
    <w:p w14:paraId="683F95E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A66357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 вышло Постановление ГКО № 5127 [О направлении 8 тыс. бойцов запасных полков в Распоряжение ГКО Комиссии СНК СССР по приему имущества спецпереселенцев, а также 80 военных ветеринарных врачей и фельдшеров для обслуживания принимаемого от них скота.] (7185, 113).</w:t>
      </w:r>
    </w:p>
    <w:p w14:paraId="6E1E678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75A61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 вышло Распоряжение ГКО № 5128. О снятии с бывшего зам. наркома боеприпасов Фрезерова Г.Р. взыскания "строгий выговор". РГАНИР, Фонд ГКО, д. 206, лл. 114 (11012).</w:t>
      </w:r>
    </w:p>
    <w:p w14:paraId="7F70AAB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0525F2A"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3198D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5EC647" w14:textId="77777777" w:rsidR="00E370BB" w:rsidRPr="00070ADE" w:rsidRDefault="00E370B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7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0CE963FE" w14:textId="77777777" w:rsidR="00E370BB" w:rsidRPr="00070ADE" w:rsidRDefault="00E370B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7 февраля южнее Сиверский наши войска с боями продвигались вперёд и заняли населённые пункты Натальино, Пелково, Черемна, Посёлок Чолово, Песочный Мох, Шупоголово, Моровино, Бутково, Ерышево и железнодорожную станцию Чолово.</w:t>
      </w:r>
    </w:p>
    <w:p w14:paraId="70ADC4B6" w14:textId="77777777" w:rsidR="00E370BB" w:rsidRPr="00070ADE" w:rsidRDefault="00E370B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и северо-западнее Новосокольники наши войска вели наступательные бои, в ходе которых заняли более 80 населённых пунктов, в том числе населённые пункты Зенцово, Артимоново, Фетинино, Вашки, Гостилово, Семёново, Рыкшино.</w:t>
      </w:r>
    </w:p>
    <w:p w14:paraId="55607838" w14:textId="77777777" w:rsidR="00E370BB" w:rsidRPr="00070ADE" w:rsidRDefault="00E370B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Севернее Звенигородка и Шпола наши войска продолжали вести бои по уничтожению окружённой группировки противника и, сжимая кольцо окружения, овладели населёнными пунктами Поповка, Межиричь, Большое Староселье, Вязовок, Кличково.</w:t>
      </w:r>
    </w:p>
    <w:p w14:paraId="70F0F127" w14:textId="77777777" w:rsidR="00E370BB" w:rsidRPr="00070ADE" w:rsidRDefault="00E370B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излучине Днепра наши войска продолжали вести бои по уничтожению группировки противника, отрезанной в районе Никополь, и с боями заняли населённые пункты Ново-Ивановка, Максимовский, Красногригорьевка, Ново-Павловка, Довгалевка. Наши войска вплотную подошли с востока к городу Никополь и завязали бои на окраине города.</w:t>
      </w:r>
    </w:p>
    <w:p w14:paraId="66606C30" w14:textId="77777777" w:rsidR="00E370BB" w:rsidRPr="00070ADE" w:rsidRDefault="00E370B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1C235391" w14:textId="77777777" w:rsidR="00E370BB" w:rsidRPr="00070ADE" w:rsidRDefault="00E370B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6 февраля наши войска на всех фронтах подбили и уничтожили 53 немецких танка. В воздушных боях и огнём зенитной артиллерии сбит 71 самолёт противника.</w:t>
      </w:r>
    </w:p>
    <w:p w14:paraId="1249AB42" w14:textId="77777777" w:rsidR="00E370BB" w:rsidRPr="00070ADE" w:rsidRDefault="00E370B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Массированный налёт наших самолётов на город Хельсинки</w:t>
      </w:r>
    </w:p>
    <w:p w14:paraId="2F3BC4B1" w14:textId="77777777" w:rsidR="00E370BB" w:rsidRPr="00070ADE" w:rsidRDefault="00E370B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6 на 7 февраля большая группа наших бомбардировщиков произвела массированный налёт на город Хельсинки. Бомбардировке в городе Хельсинки были подвергнуты военно-промышленные объекты противника, железнодорожный узел, порт и центральная часть города.</w:t>
      </w:r>
    </w:p>
    <w:p w14:paraId="22F5793E" w14:textId="77777777" w:rsidR="00E370BB" w:rsidRPr="00070ADE" w:rsidRDefault="00E370B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бомбардировки по наблюдению экипажей наших самолётов возникло более 30 пожаров, сопровождавшихся сильными взрывами. Крупные пожары отмечены врайоне газохранилища, воинских казарм, электромеханического завода, в районе вокзала, на территории станции и депо. В районе судостроительного завода и сухого дока, а также на территории автосборочного завода наблюдались взрывы большой силы. Пламя пожаров наши лётчики наблюдали при уходе от цели с расстояния в 250 километров.</w:t>
      </w:r>
    </w:p>
    <w:p w14:paraId="3E39092E" w14:textId="77777777" w:rsidR="00E370BB" w:rsidRPr="00070ADE" w:rsidRDefault="00E370B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Воздушной разведкой днём 7 февраля установлено, что возникшие в Хельсинки пожары не ликвидированы: город продолжает гореть и находится в дыму. Четыренаших самолёта не вернулись на свои базы.</w:t>
      </w:r>
    </w:p>
    <w:p w14:paraId="2D21F265" w14:textId="77777777" w:rsidR="00E370BB" w:rsidRPr="00070ADE" w:rsidRDefault="00E370B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станции Сиверский наши войска с боями продвигались вперёд. На одном участке бойцы Н-ской части совершили смелый обходный манёвр и выбили противникаиз трёх населённых пунктов. Уничтожено до батальона гитлеровцев. Захвачены 2 бронемашины, 7 орудий, миномётная батарея, 24 автомашины и 6 складов с боеприпасами. В другом районе противник предпринял контратаку, пытаясь вернуть утерянные им позиции. Часть наших бойцов ружейно-пулеметным огнём прижала гитлеровцев к земле и сдерживала их продвижение. В это время другие подразделения зашли во фланг немцам и стремительным ударом опрокинули их. На поле боя осталось до 300 вражеских трупов.</w:t>
      </w:r>
    </w:p>
    <w:p w14:paraId="0A5CC784" w14:textId="77777777" w:rsidR="00E370BB" w:rsidRPr="00070ADE" w:rsidRDefault="00E370B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наносила удары по немецким войскам, двигающимся по дорогам. В течение дня советские лётчики уничтожили несколько танков и орудий, до 200 автомашин с войсками и грузами, разбили железнодорожный состав, рассеяли и частью истребили до батальона пехоты противника.</w:t>
      </w:r>
    </w:p>
    <w:p w14:paraId="245EB69F" w14:textId="77777777" w:rsidR="00E370BB" w:rsidRPr="00070ADE" w:rsidRDefault="00E370B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и северо-западнее города Новосокольники части Н-ского соединения нанесли немцам внезапный удар и прорвали их оборону. Развивая успех, наши войска заняли более 80 населённых пунктов. В ходе боёв уничтожено до 3 тысяч вражеских солдат и офицеров. Захвачены у противника 57 орудий, 15 миномётов, 118 пулемётов, 11 огнемётов, 8 радиостанций, 22 разных склада и другие трофеи. Водном населённом пункте наши подразделения разгромили штаб немецкого артиллерийского полка и захватили восемь 150-мм орудий, а также крупный склад боеприпасов. Взято значительное число пленных.</w:t>
      </w:r>
    </w:p>
    <w:p w14:paraId="6090B6EB" w14:textId="77777777" w:rsidR="00E370BB" w:rsidRPr="00070ADE" w:rsidRDefault="00E370B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городов Звенигородка и Шпола наши войска вели бои по ликвидации окружённой группировки противника. Части Н-ского соединения, сжимая кольцо окружения, выбили немцев из трёх населённых пунктов. В бою за эти пункты уничтожено 600 гитлеровцев. Захвачено 2 самоходных и 20 полевых орудий, склад боеприпасов и 40 автомашин. Части другого нашего соединения окружили немецкий гарнизон в населённом пункте Вязовок и в результате короткого боя уничтожили его. Остатки разгромленного гарнизона в количестве 200 немецких солдат взяты в плен. К западу от города Звенигородка противник подтянул резервы и снова предпринял попытку прорваться на помощь своей окружённой группировке. Контрударом наши войска отбросили гитлеровцев. На поле боя осталось до 800 вражеских трупов. Сожжено и подбито 32 немецких танка. Отступая, немцы бросили 22 противотанковых орудия, 4 тягача, много пулемётов и автоматов.</w:t>
      </w:r>
    </w:p>
    <w:p w14:paraId="2AC64850" w14:textId="77777777" w:rsidR="00E370BB" w:rsidRPr="00070ADE" w:rsidRDefault="00E370B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развивали успешное наступление. Южнее города Апостолово части Н-ского соединения с боями овладели рядом населённых пунктов. Разбитые и дезорганизованные немецкие части отступают, бросая технику и вооружение. Наши гвардейцы, занявшие населённые пункты Большая Костромка, Первомайск и Ново-Семёновка, захватили 306 автомашин, 22 мотоцикла, 200 лошадей с повозками, 215 пулемётов, 2 бензохранилища, 7 бронетранспортёров и 6 складов. Бойцы Н-ского соединения сегодня захватили у немцев 41 орудие, 5 тягачей, 203 автомашины, 3 радиостанции и другие трофеи. Много немцев взято в плен. В районе города Никополь наши войска, отрезав противнику пути отхода на запад, вели бои по ликвидации вражеской группировки. Немцы стремятся любой ценой задержать советские войска на подступах к Никополю, зарывают в землю танки, самоходные орудия и используют их в качестве неподвижных огневых точек. Умелыми манёврами наши части охватывают противника с флангов и в упорных боях уничтожают его живую силу и технику. Сегодня наши войска вплотную подошли к Никополю и ведут бои на окраинах города.</w:t>
      </w:r>
    </w:p>
    <w:p w14:paraId="13D0F0F8" w14:textId="77777777" w:rsidR="00E370BB" w:rsidRPr="00070ADE" w:rsidRDefault="00E370B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Каменец-Подольской области, ночью совершил нападение на крупную железнодорожную станцию противника. Советские патриоты взорвали и повредили 20 паровозов, разрушили все входные и выходные стрелки, сожгли 13 цистерн с горючим и узел связи. Группа партизан другого каменец-подольского отряда пустила под откос немецкий бронепоезд.» (15033).</w:t>
      </w:r>
    </w:p>
    <w:p w14:paraId="51B90DA5" w14:textId="77777777" w:rsidR="00E370BB" w:rsidRPr="00070ADE" w:rsidRDefault="00E370BB" w:rsidP="00B56F90">
      <w:pPr>
        <w:spacing w:after="0" w:line="240" w:lineRule="auto"/>
        <w:jc w:val="both"/>
        <w:rPr>
          <w:rFonts w:ascii="Times New Roman" w:hAnsi="Times New Roman"/>
          <w:color w:val="000000" w:themeColor="text1"/>
          <w:sz w:val="16"/>
          <w:szCs w:val="16"/>
        </w:rPr>
      </w:pPr>
    </w:p>
    <w:p w14:paraId="1DB46ABF" w14:textId="77777777" w:rsidR="000227A2" w:rsidRPr="00070ADE" w:rsidRDefault="000227A2" w:rsidP="00B56F90">
      <w:pPr>
        <w:shd w:val="clear" w:color="auto" w:fill="FFFFFF"/>
        <w:spacing w:after="0" w:line="240" w:lineRule="auto"/>
        <w:jc w:val="both"/>
        <w:rPr>
          <w:rFonts w:ascii="Times New Roman" w:hAnsi="Times New Roman"/>
          <w:color w:val="000000" w:themeColor="text1"/>
          <w:sz w:val="16"/>
          <w:szCs w:val="16"/>
          <w:shd w:val="clear" w:color="auto" w:fill="FFFFFF"/>
        </w:rPr>
      </w:pPr>
      <w:r w:rsidRPr="00070ADE">
        <w:rPr>
          <w:rFonts w:ascii="Times New Roman" w:hAnsi="Times New Roman"/>
          <w:color w:val="000000" w:themeColor="text1"/>
          <w:sz w:val="16"/>
          <w:szCs w:val="16"/>
          <w:shd w:val="clear" w:color="auto" w:fill="FFFFFF"/>
        </w:rPr>
        <w:t>7 февраля 1944 года группа 8 Ил-2 312 шап, из них два экипажа с установками РС-82-40...</w:t>
      </w:r>
    </w:p>
    <w:p w14:paraId="2D6FDE3B" w14:textId="77777777" w:rsidR="000227A2" w:rsidRPr="00070ADE" w:rsidRDefault="000227A2" w:rsidP="00B56F90">
      <w:pPr>
        <w:shd w:val="clear" w:color="auto" w:fill="FFFFFF"/>
        <w:spacing w:after="0" w:line="240" w:lineRule="auto"/>
        <w:jc w:val="both"/>
        <w:rPr>
          <w:rFonts w:ascii="Times New Roman" w:hAnsi="Times New Roman"/>
          <w:color w:val="000000" w:themeColor="text1"/>
          <w:sz w:val="16"/>
          <w:szCs w:val="16"/>
          <w:shd w:val="clear" w:color="auto" w:fill="FFFFFF"/>
        </w:rPr>
      </w:pPr>
      <w:r w:rsidRPr="00070ADE">
        <w:rPr>
          <w:rFonts w:ascii="Times New Roman" w:hAnsi="Times New Roman"/>
          <w:color w:val="000000" w:themeColor="text1"/>
          <w:sz w:val="16"/>
          <w:szCs w:val="16"/>
          <w:shd w:val="clear" w:color="auto" w:fill="FFFFFF"/>
        </w:rPr>
        <w:t>При атаке цели два самолета Ил-2 с установками РС-82-40 мл. лейтенант Коваленко и лейтенант Мочалов атаковали зенитные батареи. которые противодействовали штурмовикам, ведя заградительный огонь при подходе последних к цели. Экипажи по вспышкам засекли расположение зенитных батарей, ведущий группы по радио приказал: "На опушке леса у реки огонь ЗА - подавить". Два экипажа с установками РС-82-40 на самолетах залпами по 10-20 РС штук атаковали зенитные средства. которые сразу же прекратили огонь...</w:t>
      </w:r>
    </w:p>
    <w:p w14:paraId="37AD43CB" w14:textId="77777777" w:rsidR="000227A2" w:rsidRPr="00070ADE" w:rsidRDefault="000227A2"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Использование самолета Ил-2 с установкой РС-82-40 (штук) и их эффективность ... (19914).</w:t>
      </w:r>
    </w:p>
    <w:p w14:paraId="0D0E8BBB" w14:textId="77777777" w:rsidR="000227A2" w:rsidRPr="00070ADE" w:rsidRDefault="000227A2" w:rsidP="00B56F90">
      <w:pPr>
        <w:shd w:val="clear" w:color="auto" w:fill="FFFFFF"/>
        <w:spacing w:after="0" w:line="240" w:lineRule="auto"/>
        <w:jc w:val="both"/>
        <w:rPr>
          <w:rFonts w:ascii="Times New Roman" w:hAnsi="Times New Roman"/>
          <w:color w:val="000000" w:themeColor="text1"/>
          <w:sz w:val="16"/>
          <w:szCs w:val="16"/>
        </w:rPr>
      </w:pPr>
    </w:p>
    <w:p w14:paraId="434D4B95" w14:textId="77777777" w:rsidR="00E370BB" w:rsidRPr="00070ADE" w:rsidRDefault="00E370B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7 февраля</w:t>
      </w:r>
      <w:r w:rsidRPr="00070ADE">
        <w:rPr>
          <w:rFonts w:ascii="Times New Roman" w:hAnsi="Times New Roman"/>
          <w:color w:val="000000" w:themeColor="text1"/>
          <w:sz w:val="16"/>
          <w:szCs w:val="16"/>
        </w:rPr>
        <w:t xml:space="preserve"> в 1944 году впервые с 1941 года </w:t>
      </w:r>
      <w:hyperlink r:id="rId38" w:tgtFrame="_blank" w:history="1">
        <w:r w:rsidRPr="00070ADE">
          <w:rPr>
            <w:rFonts w:ascii="Times New Roman" w:hAnsi="Times New Roman"/>
            <w:color w:val="000000" w:themeColor="text1"/>
            <w:sz w:val="16"/>
            <w:szCs w:val="16"/>
          </w:rPr>
          <w:t xml:space="preserve">советские самолеты бомбили Хельсинки </w:t>
        </w:r>
      </w:hyperlink>
      <w:r w:rsidRPr="00070ADE">
        <w:rPr>
          <w:rFonts w:ascii="Times New Roman" w:hAnsi="Times New Roman"/>
          <w:color w:val="000000" w:themeColor="text1"/>
          <w:sz w:val="16"/>
          <w:szCs w:val="16"/>
        </w:rPr>
        <w:t>. В ночь с 6 на 7 февраля 1944 года 728 советских бомбардировщиков сбросили 910 тонн бомб на Хельсинки. Среди них были и экзотические гостинцы, как, например, четыре бомбы ФАБ-1000, шесть ФАБ-2000 и две ФАБ-5000. В городе возникло свыше 30 крупных пожаров. Горели военные склады и казармы, электромеханический завод "Стрельберг", газохранилище и многое другое. Всего было разрушено или серьезно повреждено 434 здания. Финны успели оповестить население Хельсинки за 5 минут до начала налета, поэтому потери мирного населения были невелики: 83 убитых и 322 раненых. Потери среди военнослужащих не опубликованы до сих пор (15033).</w:t>
      </w:r>
    </w:p>
    <w:p w14:paraId="07596867" w14:textId="77777777" w:rsidR="00E370BB" w:rsidRPr="00070ADE" w:rsidRDefault="00E370BB" w:rsidP="00B56F90">
      <w:pPr>
        <w:spacing w:after="0" w:line="240" w:lineRule="auto"/>
        <w:jc w:val="both"/>
        <w:rPr>
          <w:rFonts w:ascii="Times New Roman" w:hAnsi="Times New Roman"/>
          <w:color w:val="000000" w:themeColor="text1"/>
          <w:sz w:val="16"/>
          <w:szCs w:val="16"/>
        </w:rPr>
      </w:pPr>
    </w:p>
    <w:p w14:paraId="0C06DFA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 впервые с 1941 г. советские самолеты бомбили Хельсинки (4962).</w:t>
      </w:r>
    </w:p>
    <w:p w14:paraId="7EBEF84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47001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17 и 27 февраля 1944 проводилась самостоятельная воздушная операция АДД против Финляндии и выполнили 2120 вылетов (518,249).</w:t>
      </w:r>
    </w:p>
    <w:p w14:paraId="61DABB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60E5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 дважды бомбили Хельсинки (2100).</w:t>
      </w:r>
    </w:p>
    <w:p w14:paraId="6347AC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BD2B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7 февраля 1944 был массированный налет 16 Пе-8 (ТБ-7) на Хельсинки и с Пе-8 N 42410 под управлением Н.А.Ищенко и какого то другого - Шамрая (1564,11) сбрасывали 2хФАБ-5000тга по кабельному заводу и ж/д станции. Кроме того сбросили 6хФАБ-2000тга и 6хФАБ-2000 (1103,134).</w:t>
      </w:r>
    </w:p>
    <w:p w14:paraId="273BF2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CB2B0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ночь на 7 февраля 1944 г. в первом налете на финскую столицу, предпринятом участвовало свыше 200 дальних бомбардировщиков. Из Кратово в эту ночь стартовали 16 Пе-8. Два из них доставили по 5-тонной бомбе, которые сбросили на кабельный завод, железнодорожные склады и бараки. Остальные четырехмоторные бомбовозы высыпали на финскую столицу 75 бомб калибром от 100 до 2000 кг. </w:t>
      </w:r>
    </w:p>
    <w:p w14:paraId="2A3F323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E17200E" w14:textId="77777777" w:rsidR="005913AE" w:rsidRPr="00C94B78" w:rsidRDefault="005913AE"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ночь на 7 февраля 1944 г. с целью выведения Финляндии из войны и облегчения деблокады Ленин</w:t>
      </w:r>
      <w:r w:rsidRPr="00C94B78">
        <w:rPr>
          <w:rStyle w:val="aff1"/>
          <w:rFonts w:ascii="Times New Roman" w:hAnsi="Times New Roman" w:cs="Times New Roman"/>
          <w:color w:val="0070C0"/>
          <w:spacing w:val="0"/>
          <w:sz w:val="16"/>
          <w:szCs w:val="16"/>
        </w:rPr>
        <w:softHyphen/>
        <w:t>града советская авиация бомбила Хельсинки; в т.ч. два Пе-8 из 25-го ГвБАП (бывшего 746-го БАП) и 890-го БАП сбросили «пятитонки» на военные объекты. Последнее применение ФАБ-5000 произошло 9 марта 1944 г. В том же году боевая карьера Пе-8 завершилась (25146).</w:t>
      </w:r>
    </w:p>
    <w:p w14:paraId="0835B698" w14:textId="77777777" w:rsidR="005913AE" w:rsidRPr="00C94B78" w:rsidRDefault="005913AE" w:rsidP="00B56F90">
      <w:pPr>
        <w:spacing w:after="0" w:line="240" w:lineRule="auto"/>
        <w:jc w:val="both"/>
        <w:rPr>
          <w:rFonts w:ascii="Times New Roman" w:hAnsi="Times New Roman"/>
          <w:color w:val="0070C0"/>
          <w:sz w:val="16"/>
          <w:szCs w:val="16"/>
        </w:rPr>
      </w:pPr>
    </w:p>
    <w:p w14:paraId="557747E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 Гитлер приказал прорвать окружение немецких войск под Корсунем (4962).</w:t>
      </w:r>
    </w:p>
    <w:p w14:paraId="5C0EE294"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9C4C93" w14:textId="211696DE" w:rsidR="000227A2" w:rsidRPr="00070ADE" w:rsidRDefault="000227A2"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70ADE">
        <w:rPr>
          <w:rFonts w:ascii="Times New Roman" w:hAnsi="Times New Roman"/>
          <w:i/>
          <w:iCs/>
          <w:color w:val="000000" w:themeColor="text1"/>
          <w:sz w:val="16"/>
          <w:szCs w:val="16"/>
        </w:rPr>
        <w:t>За рубежом:</w:t>
      </w:r>
    </w:p>
    <w:p w14:paraId="1BBC1C88" w14:textId="77777777" w:rsidR="000227A2" w:rsidRPr="00070ADE" w:rsidRDefault="000227A2"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AA68B1A" w14:textId="77777777" w:rsidR="000227A2" w:rsidRPr="00070ADE" w:rsidRDefault="000227A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1944 американские самолеты авианосцев оперативной группы 58 наносят последний из девяти дней подряд удары по Эниветоку (20373).</w:t>
      </w:r>
    </w:p>
    <w:p w14:paraId="62335715" w14:textId="77777777" w:rsidR="000227A2" w:rsidRPr="00070ADE" w:rsidRDefault="000227A2" w:rsidP="00B56F90">
      <w:pPr>
        <w:spacing w:after="0" w:line="240" w:lineRule="auto"/>
        <w:jc w:val="both"/>
        <w:rPr>
          <w:rFonts w:ascii="Times New Roman" w:hAnsi="Times New Roman"/>
          <w:color w:val="000000" w:themeColor="text1"/>
          <w:sz w:val="16"/>
          <w:szCs w:val="16"/>
        </w:rPr>
      </w:pPr>
    </w:p>
    <w:p w14:paraId="42172A4C" w14:textId="3B328243"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DBE79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5A59E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8 февраля 1944 г. закончились госиспытания опытного экземпляр самолета Ил-2 АМ-38ф с двумя крыльевыми пушками А.Э. Нудельмана и А.С. Суранова НС-45 с боезапасом по 50 снарядов на ствол, которые проходили с 10 сентября 1943 в НИИ ВВС КА. Ввиду сложностей с доводкой автоматики пушки и проведения некоторых доработок на самолете испытания новой машины затя</w:t>
      </w:r>
      <w:r w:rsidRPr="00070ADE">
        <w:rPr>
          <w:rFonts w:ascii="Times New Roman" w:hAnsi="Times New Roman"/>
          <w:color w:val="000000" w:themeColor="text1"/>
          <w:sz w:val="16"/>
          <w:szCs w:val="16"/>
        </w:rPr>
        <w:softHyphen/>
        <w:t>нулись. Полигонные испытания Ил-2 с НС-45 показали неудовлетвори</w:t>
      </w:r>
      <w:r w:rsidRPr="00070ADE">
        <w:rPr>
          <w:rFonts w:ascii="Times New Roman" w:hAnsi="Times New Roman"/>
          <w:color w:val="000000" w:themeColor="text1"/>
          <w:sz w:val="16"/>
          <w:szCs w:val="16"/>
        </w:rPr>
        <w:softHyphen/>
        <w:t>тельную эффективность стрельбы из них в воздухе по малоразмер</w:t>
      </w:r>
      <w:r w:rsidRPr="00070ADE">
        <w:rPr>
          <w:rFonts w:ascii="Times New Roman" w:hAnsi="Times New Roman"/>
          <w:color w:val="000000" w:themeColor="text1"/>
          <w:sz w:val="16"/>
          <w:szCs w:val="16"/>
        </w:rPr>
        <w:softHyphen/>
        <w:t>ным целям. Главным образом из-за сильной отдачи пушек при стрельбе — максимальная сила отдачи авиапушки на наземном станке достигала 7000 кг. В результате было принято решение ма</w:t>
      </w:r>
      <w:r w:rsidRPr="00070ADE">
        <w:rPr>
          <w:rFonts w:ascii="Times New Roman" w:hAnsi="Times New Roman"/>
          <w:color w:val="000000" w:themeColor="text1"/>
          <w:sz w:val="16"/>
          <w:szCs w:val="16"/>
        </w:rPr>
        <w:softHyphen/>
        <w:t>шину в серию не запускать. Необходимо было уменьшить силу от</w:t>
      </w:r>
      <w:r w:rsidRPr="00070ADE">
        <w:rPr>
          <w:rFonts w:ascii="Times New Roman" w:hAnsi="Times New Roman"/>
          <w:color w:val="000000" w:themeColor="text1"/>
          <w:sz w:val="16"/>
          <w:szCs w:val="16"/>
        </w:rPr>
        <w:softHyphen/>
        <w:t>дачи пушек, по крайней мере, до 4000 кг. Позже для уменьшения отдачи при стрельбе ствол НС-45 был снабжен мощным дульным тормозом, поглощавшим до 85% энер</w:t>
      </w:r>
      <w:r w:rsidRPr="00070ADE">
        <w:rPr>
          <w:rFonts w:ascii="Times New Roman" w:hAnsi="Times New Roman"/>
          <w:color w:val="000000" w:themeColor="text1"/>
          <w:sz w:val="16"/>
          <w:szCs w:val="16"/>
        </w:rPr>
        <w:softHyphen/>
        <w:t>гии отдачи пушки (модификация НС-45М). Был установлен дуль</w:t>
      </w:r>
      <w:r w:rsidRPr="00070ADE">
        <w:rPr>
          <w:rFonts w:ascii="Times New Roman" w:hAnsi="Times New Roman"/>
          <w:color w:val="000000" w:themeColor="text1"/>
          <w:sz w:val="16"/>
          <w:szCs w:val="16"/>
        </w:rPr>
        <w:softHyphen/>
        <w:t>ный тормоз и на пушку НС-37 (вариант НС-37М). Энергия отдачи поглощалась на 40%. Однако попыток установки таких пушек на Ил-2 не делалось. Кроме НС-45, на Ил-2 АМ-38ф планировалась установка 45-мм пушек Ш-45 конструкции Б.Г. Шпитального, разработанной в ОКБ-15. Пушка Ш-45 испытывалась на Як-9Т, но поскольку испытания Ил-2 с НС-45 дали отрицательный результат, пушки Ш-45 на Ил-2 устанавливать не стали (10695).</w:t>
      </w:r>
    </w:p>
    <w:p w14:paraId="283753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7DB20B" w14:textId="77777777" w:rsidR="00CB5754" w:rsidRPr="00070ADE" w:rsidRDefault="00CB5754"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8 февраля 1944 г. завончилась наземная часть про</w:t>
      </w:r>
      <w:r w:rsidRPr="00070ADE">
        <w:rPr>
          <w:color w:val="000000" w:themeColor="text1"/>
          <w:sz w:val="16"/>
          <w:szCs w:val="16"/>
        </w:rPr>
        <w:softHyphen/>
        <w:t>граммы государственных испытаний 111П на Ил-2 № 303124, кльлрые шли период с 7 по 14 января и с 31 января. Перерывы в испытаниях были связаны с несвоевременной подачей боеприпасов и необходимостью доводки автоматики пушки. В заключении отчета по резуль</w:t>
      </w:r>
      <w:r w:rsidRPr="00070ADE">
        <w:rPr>
          <w:color w:val="000000" w:themeColor="text1"/>
          <w:sz w:val="16"/>
          <w:szCs w:val="16"/>
        </w:rPr>
        <w:softHyphen/>
        <w:t>татам испытаний отмечалось, что «пушки 45 мм /.../ конструкции Нудельмана—Суранова (ОКБ-16 НКВ), установленные под крылом самолета Ил-2 зав. № 303124, наземные госиспытания выдержа</w:t>
      </w:r>
      <w:r w:rsidRPr="00070ADE">
        <w:rPr>
          <w:color w:val="000000" w:themeColor="text1"/>
          <w:sz w:val="16"/>
          <w:szCs w:val="16"/>
        </w:rPr>
        <w:softHyphen/>
        <w:t>ли». Предлагалось «просить ОКБ-16 НКВ провести работу по уменьшению реакции на цапфы 45 мм до 4000 кг. 2 крыльевые пушки с уменьшенной реак</w:t>
      </w:r>
      <w:r w:rsidRPr="00070ADE">
        <w:rPr>
          <w:color w:val="000000" w:themeColor="text1"/>
          <w:sz w:val="16"/>
          <w:szCs w:val="16"/>
        </w:rPr>
        <w:softHyphen/>
        <w:t>цией на цапфы представить в НИИ АВ на государ</w:t>
      </w:r>
      <w:r w:rsidRPr="00070ADE">
        <w:rPr>
          <w:color w:val="000000" w:themeColor="text1"/>
          <w:sz w:val="16"/>
          <w:szCs w:val="16"/>
        </w:rPr>
        <w:softHyphen/>
        <w:t>ственные воздушные испытания на самолете Ил-2». К этому времени на самолете было выполнено все</w:t>
      </w:r>
      <w:r w:rsidRPr="00070ADE">
        <w:rPr>
          <w:color w:val="000000" w:themeColor="text1"/>
          <w:sz w:val="16"/>
          <w:szCs w:val="16"/>
        </w:rPr>
        <w:softHyphen/>
        <w:t>го 3 полета с суммарным налетом 1 ч 10 мин. По</w:t>
      </w:r>
      <w:r w:rsidRPr="00070ADE">
        <w:rPr>
          <w:color w:val="000000" w:themeColor="text1"/>
          <w:sz w:val="16"/>
          <w:szCs w:val="16"/>
        </w:rPr>
        <w:softHyphen/>
        <w:t>летов со стрельбой из пушек НС-45 «ни на заводе № 240, ни в НИИ АВ не производилось».</w:t>
      </w:r>
    </w:p>
    <w:p w14:paraId="0A2436A7" w14:textId="77777777" w:rsidR="00CB5754" w:rsidRPr="00070ADE" w:rsidRDefault="00CB5754"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Здесь следует сказать, что С. В. Ильюшин не давал своего согласия «на проведение испытаний 45-мм пушек ОКБ-15 и 16 на самолете Ил-2 (стрель</w:t>
      </w:r>
      <w:r w:rsidRPr="00070ADE">
        <w:rPr>
          <w:color w:val="000000" w:themeColor="text1"/>
          <w:sz w:val="16"/>
          <w:szCs w:val="16"/>
        </w:rPr>
        <w:softHyphen/>
        <w:t>бой в воздухе</w:t>
      </w:r>
      <w:r w:rsidRPr="00070ADE">
        <w:rPr>
          <w:rStyle w:val="BodytextItalic"/>
          <w:i w:val="0"/>
          <w:color w:val="000000" w:themeColor="text1"/>
          <w:sz w:val="16"/>
          <w:szCs w:val="16"/>
        </w:rPr>
        <w:t>),</w:t>
      </w:r>
      <w:r w:rsidRPr="00070ADE">
        <w:rPr>
          <w:color w:val="000000" w:themeColor="text1"/>
          <w:sz w:val="16"/>
          <w:szCs w:val="16"/>
        </w:rPr>
        <w:t xml:space="preserve"> мотивируя это увеличенной силой отдачи по сравнению с ТТТ ВВС КА».</w:t>
      </w:r>
    </w:p>
    <w:p w14:paraId="2A515273" w14:textId="77777777" w:rsidR="00CB5754" w:rsidRPr="00070ADE" w:rsidRDefault="00CB5754"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Учитывая результаты длительных ресурсных ис</w:t>
      </w:r>
      <w:r w:rsidRPr="00070ADE">
        <w:rPr>
          <w:color w:val="000000" w:themeColor="text1"/>
          <w:sz w:val="16"/>
          <w:szCs w:val="16"/>
        </w:rPr>
        <w:softHyphen/>
        <w:t>пытаний пушек 11П стрельбой на самолете Ил-2, имелись опасения, что серийное крыло (без тща</w:t>
      </w:r>
      <w:r w:rsidRPr="00070ADE">
        <w:rPr>
          <w:color w:val="000000" w:themeColor="text1"/>
          <w:sz w:val="16"/>
          <w:szCs w:val="16"/>
        </w:rPr>
        <w:softHyphen/>
        <w:t>тельного контроля в производстве) может не вы</w:t>
      </w:r>
      <w:r w:rsidRPr="00070ADE">
        <w:rPr>
          <w:color w:val="000000" w:themeColor="text1"/>
          <w:sz w:val="16"/>
          <w:szCs w:val="16"/>
        </w:rPr>
        <w:softHyphen/>
        <w:t>держать нагрузок при стрельбе из более мощных пушек 111П и разрушиться.</w:t>
      </w:r>
    </w:p>
    <w:p w14:paraId="0CD4DEF2" w14:textId="77777777" w:rsidR="00CB5754" w:rsidRPr="00070ADE" w:rsidRDefault="00CB5754"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Дискуссия специалистов НИИ АВ ВВС и ОКБ-240 по этому вопросу положительных результатов не дала. Обе стороны остались при своем мнении. «Главный конструктор самолета тов. Ильюшин» так и не дал разрешение на полеты Ил-2 со стрельбой в воздухе из пушек калибра 45 мм.</w:t>
      </w:r>
    </w:p>
    <w:p w14:paraId="5D79A33C" w14:textId="77777777" w:rsidR="00CB5754" w:rsidRPr="00070ADE" w:rsidRDefault="00CB5754"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К этому времени пришло понимание, что повы</w:t>
      </w:r>
      <w:r w:rsidRPr="00070ADE">
        <w:rPr>
          <w:color w:val="000000" w:themeColor="text1"/>
          <w:sz w:val="16"/>
          <w:szCs w:val="16"/>
        </w:rPr>
        <w:softHyphen/>
        <w:t>шение могущества бронебойного снаряда к ави</w:t>
      </w:r>
      <w:r w:rsidRPr="00070ADE">
        <w:rPr>
          <w:color w:val="000000" w:themeColor="text1"/>
          <w:sz w:val="16"/>
          <w:szCs w:val="16"/>
        </w:rPr>
        <w:softHyphen/>
        <w:t>ационным пушкам калибра 45 мм Ш-45 и 111П может быть обеспечено лишь при использовании твердосплавного металлокерамического сердечни</w:t>
      </w:r>
      <w:r w:rsidRPr="00070ADE">
        <w:rPr>
          <w:color w:val="000000" w:themeColor="text1"/>
          <w:sz w:val="16"/>
          <w:szCs w:val="16"/>
        </w:rPr>
        <w:softHyphen/>
        <w:t>ка из карбида вольфрама, что по экономическим соображениям было неприемлемо. В то же время Ил-2 с пушками калибра 45 мм и боекомплектом, состоящим только из осколочно-зажигательных снарядов, по всему комплексу летно-боевых ка</w:t>
      </w:r>
      <w:r w:rsidRPr="00070ADE">
        <w:rPr>
          <w:color w:val="000000" w:themeColor="text1"/>
          <w:sz w:val="16"/>
          <w:szCs w:val="16"/>
        </w:rPr>
        <w:softHyphen/>
        <w:t>честв не имеет явных преимуществ в бою перед Ил-2 с 11П при наличии проблем, связанных с по</w:t>
      </w:r>
      <w:r w:rsidRPr="00070ADE">
        <w:rPr>
          <w:color w:val="000000" w:themeColor="text1"/>
          <w:sz w:val="16"/>
          <w:szCs w:val="16"/>
        </w:rPr>
        <w:softHyphen/>
        <w:t>вышенной отдачей при стрельбе из «главного ка</w:t>
      </w:r>
      <w:r w:rsidRPr="00070ADE">
        <w:rPr>
          <w:color w:val="000000" w:themeColor="text1"/>
          <w:sz w:val="16"/>
          <w:szCs w:val="16"/>
        </w:rPr>
        <w:softHyphen/>
        <w:t>либра».</w:t>
      </w:r>
    </w:p>
    <w:p w14:paraId="1E780CEA" w14:textId="77777777" w:rsidR="00CB5754" w:rsidRPr="00070ADE" w:rsidRDefault="00CB5754"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Следствием этого стало решение о прекра</w:t>
      </w:r>
      <w:r w:rsidRPr="00070ADE">
        <w:rPr>
          <w:color w:val="000000" w:themeColor="text1"/>
          <w:sz w:val="16"/>
          <w:szCs w:val="16"/>
        </w:rPr>
        <w:softHyphen/>
        <w:t>щении всех работ по самолетам Ил-2 с крупнока</w:t>
      </w:r>
      <w:r w:rsidRPr="00070ADE">
        <w:rPr>
          <w:color w:val="000000" w:themeColor="text1"/>
          <w:sz w:val="16"/>
          <w:szCs w:val="16"/>
        </w:rPr>
        <w:softHyphen/>
        <w:t>либерными пушками. В этой связи не был прояв</w:t>
      </w:r>
      <w:r w:rsidRPr="00070ADE">
        <w:rPr>
          <w:color w:val="000000" w:themeColor="text1"/>
          <w:sz w:val="16"/>
          <w:szCs w:val="16"/>
        </w:rPr>
        <w:softHyphen/>
        <w:t>лен интерес и к модернизированной пушке 11ПМ (НС-37М), показавшей при испытаниях «на крылье</w:t>
      </w:r>
      <w:r w:rsidRPr="00070ADE">
        <w:rPr>
          <w:color w:val="000000" w:themeColor="text1"/>
          <w:sz w:val="16"/>
          <w:szCs w:val="16"/>
        </w:rPr>
        <w:softHyphen/>
        <w:t>вой установке самолета Ил-2» почти на 40% мень</w:t>
      </w:r>
      <w:r w:rsidRPr="00070ADE">
        <w:rPr>
          <w:color w:val="000000" w:themeColor="text1"/>
          <w:sz w:val="16"/>
          <w:szCs w:val="16"/>
        </w:rPr>
        <w:softHyphen/>
        <w:t>шее усилие отдачи при откате и на 20% при накате по сравнению с серийными пушками (17500).</w:t>
      </w:r>
    </w:p>
    <w:p w14:paraId="7E9437DC" w14:textId="77777777" w:rsidR="00CB5754" w:rsidRPr="00070ADE" w:rsidRDefault="00CB5754" w:rsidP="00B56F90">
      <w:pPr>
        <w:pStyle w:val="123"/>
        <w:shd w:val="clear" w:color="auto" w:fill="auto"/>
        <w:spacing w:after="0" w:line="240" w:lineRule="auto"/>
        <w:jc w:val="both"/>
        <w:rPr>
          <w:color w:val="000000" w:themeColor="text1"/>
          <w:sz w:val="16"/>
          <w:szCs w:val="16"/>
        </w:rPr>
      </w:pPr>
    </w:p>
    <w:p w14:paraId="172FDE5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февраля 1944 г. закончились испытания пушки НС-45 на Ил-2. Испытания показали неудовлетворительную точность стрельбы из НС-45 в воздухе — вновь из-за сильной отдачи пу</w:t>
      </w:r>
      <w:r w:rsidRPr="00070ADE">
        <w:rPr>
          <w:rFonts w:ascii="Times New Roman" w:hAnsi="Times New Roman"/>
          <w:color w:val="000000" w:themeColor="text1"/>
          <w:sz w:val="16"/>
          <w:szCs w:val="16"/>
        </w:rPr>
        <w:softHyphen/>
        <w:t>шек при стрельбе. По данным НИИ АВ, максимальная сила отдачи пушки на наземном станке достигала 7000 кг при среднем значении не более 2800 кг. В то же время при настреле свыше 2000 выстрелов на каждую пушку нарушение прочности пушеч</w:t>
      </w:r>
      <w:r w:rsidRPr="00070ADE">
        <w:rPr>
          <w:rFonts w:ascii="Times New Roman" w:hAnsi="Times New Roman"/>
          <w:color w:val="000000" w:themeColor="text1"/>
          <w:sz w:val="16"/>
          <w:szCs w:val="16"/>
        </w:rPr>
        <w:softHyphen/>
        <w:t>ных установок и силовых элементов крыла самолета обнаруже</w:t>
      </w:r>
      <w:r w:rsidRPr="00070ADE">
        <w:rPr>
          <w:rFonts w:ascii="Times New Roman" w:hAnsi="Times New Roman"/>
          <w:color w:val="000000" w:themeColor="text1"/>
          <w:sz w:val="16"/>
          <w:szCs w:val="16"/>
        </w:rPr>
        <w:softHyphen/>
        <w:t>но не было. В выводах отчета указывалось, что пушки НС-45 на самолете Ил-2 государственные испытания выдержали. Требо</w:t>
      </w:r>
      <w:r w:rsidRPr="00070ADE">
        <w:rPr>
          <w:rFonts w:ascii="Times New Roman" w:hAnsi="Times New Roman"/>
          <w:color w:val="000000" w:themeColor="text1"/>
          <w:sz w:val="16"/>
          <w:szCs w:val="16"/>
        </w:rPr>
        <w:softHyphen/>
        <w:t>валось уменьшить силу отдачи пушек и установить их ближе к оси самолета.</w:t>
      </w:r>
    </w:p>
    <w:p w14:paraId="2272A8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этому времени уже было принято окончательное реше</w:t>
      </w:r>
      <w:r w:rsidRPr="00070ADE">
        <w:rPr>
          <w:rFonts w:ascii="Times New Roman" w:hAnsi="Times New Roman"/>
          <w:color w:val="000000" w:themeColor="text1"/>
          <w:sz w:val="16"/>
          <w:szCs w:val="16"/>
        </w:rPr>
        <w:softHyphen/>
        <w:t>ние о прекращении всех работ по самолетам Ил-2 с крупнока</w:t>
      </w:r>
      <w:r w:rsidRPr="00070ADE">
        <w:rPr>
          <w:rFonts w:ascii="Times New Roman" w:hAnsi="Times New Roman"/>
          <w:color w:val="000000" w:themeColor="text1"/>
          <w:sz w:val="16"/>
          <w:szCs w:val="16"/>
        </w:rPr>
        <w:softHyphen/>
        <w:t>либерными пушками. В этой связи не был проявлен интерес и к модернизированным пушкам НС-37М и НС-45М, имевшим почти вдвое меньшее усилие отдачи «на крыльевой установке самолета Ил-2».</w:t>
      </w:r>
    </w:p>
    <w:p w14:paraId="23AE3D0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основным средством борьбы штурмовиков Ил-2 с немецкими танками фактически стала ПТАБ-2,5-1,5. Высокую эффективность ПТАБ показывали и при действии по открытым складам боеприпасов и скоплениям боевой техни</w:t>
      </w:r>
      <w:r w:rsidRPr="00070ADE">
        <w:rPr>
          <w:rFonts w:ascii="Times New Roman" w:hAnsi="Times New Roman"/>
          <w:color w:val="000000" w:themeColor="text1"/>
          <w:sz w:val="16"/>
          <w:szCs w:val="16"/>
        </w:rPr>
        <w:softHyphen/>
        <w:t>ки вследствие большого числа прямых попаданий. При этом автомашины, тягачи и бронетранспортеры, как правило, пол</w:t>
      </w:r>
      <w:r w:rsidRPr="00070ADE">
        <w:rPr>
          <w:rFonts w:ascii="Times New Roman" w:hAnsi="Times New Roman"/>
          <w:color w:val="000000" w:themeColor="text1"/>
          <w:sz w:val="16"/>
          <w:szCs w:val="16"/>
        </w:rPr>
        <w:softHyphen/>
        <w:t>ностью сгорали, а боеприпасы в штабелях подрывались не только при прямом попадании ПТАБ в их корпуса, но и через укупорку (11474,359).</w:t>
      </w:r>
    </w:p>
    <w:p w14:paraId="6E6806D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DB4305" w14:textId="359C8E39"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8 февраля 1944 г. затянулись доводка автоматики пушки и проведение некоторых доработок на самом самолете Ил-2 зав. №303124, который поначалу был построен на заводе № 30 с НС-37, а затем переоборудован под НС-45</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(50 снарядов на ствол).</w:t>
      </w:r>
    </w:p>
    <w:p w14:paraId="21A6D34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 ноября 1943 на серийном двухместном самолете, отстреляли вооружение в заводском тире и перегнали в НИИ АВ для завершения заводских и проведения государственных испытаний.</w:t>
      </w:r>
    </w:p>
    <w:p w14:paraId="1804616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показали неудовлетворительную точность стрельбы из НС-45 в воздухе. Вновь, из-за сильной отдачи пушек при стрельбе. Тем не менее, в выводах отчета указывалось, что пушки НС-45 государственные испытания на самолете Ил-2 выдержали. Требовалось уменьшить силу отдачи пушек и установить их ближе к оси самолета.</w:t>
      </w:r>
    </w:p>
    <w:p w14:paraId="7B1963A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отказом от установки на Ил-2 крупнокалиберных пушек не был проявлен интерес и к модернизированным пушкам НС-37М и НС-45М, имевшим почти вдвое меньшее усилие отдачи "на крыльевой установке самолета Ил-2" (12020).</w:t>
      </w:r>
    </w:p>
    <w:p w14:paraId="18105F6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7289735"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8 февраля</w:t>
      </w:r>
      <w:r w:rsidRPr="00070ADE">
        <w:rPr>
          <w:rFonts w:ascii="Times New Roman" w:hAnsi="Times New Roman"/>
          <w:color w:val="000000" w:themeColor="text1"/>
          <w:sz w:val="16"/>
          <w:szCs w:val="16"/>
        </w:rPr>
        <w:t xml:space="preserve"> в 1944 году завершились полигонные испытания </w:t>
      </w:r>
      <w:hyperlink r:id="rId39" w:tgtFrame="_blank" w:history="1">
        <w:r w:rsidRPr="00070ADE">
          <w:rPr>
            <w:rFonts w:ascii="Times New Roman" w:hAnsi="Times New Roman"/>
            <w:color w:val="000000" w:themeColor="text1"/>
            <w:sz w:val="16"/>
            <w:szCs w:val="16"/>
          </w:rPr>
          <w:t xml:space="preserve">«Ил-2 с «НС-45». </w:t>
        </w:r>
      </w:hyperlink>
      <w:r w:rsidRPr="00070ADE">
        <w:rPr>
          <w:rFonts w:ascii="Times New Roman" w:hAnsi="Times New Roman"/>
          <w:color w:val="000000" w:themeColor="text1"/>
          <w:sz w:val="16"/>
          <w:szCs w:val="16"/>
        </w:rPr>
        <w:t xml:space="preserve">Испытания показали неудовлетворительную эффективность стрельбы. Кроме «НС-45», на «Ил-2» «АМ-38ф» планировалась установка 45-мм пушек «ОКБ-15» конструкции Б.Г.Шпитального – «Ш-45». Последние испытывались на «Як-9Т». Но поскольку испытания </w:t>
      </w:r>
      <w:hyperlink r:id="rId40" w:tgtFrame="_blank" w:history="1">
        <w:r w:rsidRPr="00070ADE">
          <w:rPr>
            <w:rFonts w:ascii="Times New Roman" w:hAnsi="Times New Roman"/>
            <w:color w:val="000000" w:themeColor="text1"/>
            <w:sz w:val="16"/>
            <w:szCs w:val="16"/>
          </w:rPr>
          <w:t xml:space="preserve">«Ил-2» с «НС-45» </w:t>
        </w:r>
      </w:hyperlink>
      <w:r w:rsidRPr="00070ADE">
        <w:rPr>
          <w:rFonts w:ascii="Times New Roman" w:hAnsi="Times New Roman"/>
          <w:color w:val="000000" w:themeColor="text1"/>
          <w:sz w:val="16"/>
          <w:szCs w:val="16"/>
        </w:rPr>
        <w:t>дали отрицательный результат, пушки «Ш-45» на «Ил-2» устанавливать не стали (15034).</w:t>
      </w:r>
    </w:p>
    <w:p w14:paraId="7B3DAD35" w14:textId="77777777" w:rsidR="00777EFD" w:rsidRPr="00070ADE" w:rsidRDefault="00777EFD" w:rsidP="00B56F90">
      <w:pPr>
        <w:spacing w:after="0" w:line="240" w:lineRule="auto"/>
        <w:jc w:val="both"/>
        <w:rPr>
          <w:rFonts w:ascii="Times New Roman" w:hAnsi="Times New Roman"/>
          <w:color w:val="000000" w:themeColor="text1"/>
          <w:sz w:val="16"/>
          <w:szCs w:val="16"/>
        </w:rPr>
      </w:pPr>
    </w:p>
    <w:p w14:paraId="082ACC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февраля 1944 Нач. ЛИИ проф. А.В.Чесалов писал А.И.Ш. письмо N 91с (вход. 1743-1л от 10 февраля 1944):</w:t>
      </w:r>
    </w:p>
    <w:p w14:paraId="6CE4F96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Вашего указания об отпуске ЛИИ одного самолета Ил-2 с АМ-38Ф для проведения испытаний флюгерных винтов к мотору АМ-42.</w:t>
      </w:r>
    </w:p>
    <w:p w14:paraId="2740DD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имеющихся в ЛИИ 2-х самолетов Ил-2 один самолет, согласно Вашему приказу N 64с от 27 января 1944, передан на 300 завод, а второй занят важнейшими работами по радиосвязи." (1821).</w:t>
      </w:r>
    </w:p>
    <w:p w14:paraId="7E72E63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FBB777" w14:textId="77777777" w:rsidR="005913AE" w:rsidRPr="00070ADE" w:rsidRDefault="005913AE"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фераля 1944 года Макетная комиссия под председательством генерала ИАС А.А.Лапина, назначенная приказом ГУ ИАС КА 3 февраля 1944 для рассмотрения проекта и макета модифицированного Пе-8 4М-82ФН ТК-3, утвердила основное оборудование и его размещение. Конкретные требования комиссии по перекомпоновке оборудования выполнялись в присутствии макетной комиссии (7685).</w:t>
      </w:r>
    </w:p>
    <w:p w14:paraId="71BA14CA" w14:textId="77777777" w:rsidR="005913AE" w:rsidRPr="00070ADE" w:rsidRDefault="005913AE"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BC6AF1" w14:textId="77777777" w:rsidR="005913AE" w:rsidRPr="00070ADE" w:rsidRDefault="005913AE"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февраля 1944 Макетная комиссия под председательством генерала А.А. Лапина протоколом утвердила комплектацию оборудования и его размещение в новой носовой и средней частей фюзеляжа Пе-8, макет которой был закончен к 15 января 1944 г. Рассмотрение проекта в НКАП и последовавшее за ним постановление ГКО от 20 февраля 1944 г. потребовало его дальнейших доработок. В частности, окончательно остановились на мотоустановке с ТК-3, кроме того, добавилось требование к усилению огневой защиты спереди-снизу (по предложению самого Незваля) (11996).</w:t>
      </w:r>
    </w:p>
    <w:p w14:paraId="795F6634" w14:textId="77777777" w:rsidR="005913AE" w:rsidRPr="00070ADE" w:rsidRDefault="005913AE" w:rsidP="00B56F90">
      <w:pPr>
        <w:autoSpaceDE w:val="0"/>
        <w:autoSpaceDN w:val="0"/>
        <w:adjustRightInd w:val="0"/>
        <w:spacing w:after="0" w:line="240" w:lineRule="auto"/>
        <w:jc w:val="both"/>
        <w:rPr>
          <w:rFonts w:ascii="Times New Roman" w:hAnsi="Times New Roman"/>
          <w:color w:val="000000" w:themeColor="text1"/>
          <w:sz w:val="16"/>
          <w:szCs w:val="16"/>
        </w:rPr>
      </w:pPr>
    </w:p>
    <w:p w14:paraId="5BE0E41B" w14:textId="77777777" w:rsidR="005913AE" w:rsidRPr="00070ADE" w:rsidRDefault="005913AE" w:rsidP="00B56F90">
      <w:pPr>
        <w:pStyle w:val="ae"/>
        <w:shd w:val="clear" w:color="auto" w:fill="FFFFFF"/>
        <w:spacing w:before="0" w:after="0"/>
        <w:jc w:val="both"/>
        <w:rPr>
          <w:color w:val="000000" w:themeColor="text1"/>
          <w:sz w:val="16"/>
          <w:szCs w:val="16"/>
        </w:rPr>
      </w:pPr>
      <w:r w:rsidRPr="00070ADE">
        <w:rPr>
          <w:color w:val="000000" w:themeColor="text1"/>
          <w:sz w:val="16"/>
          <w:szCs w:val="16"/>
        </w:rPr>
        <w:t>8 февраля 1944 года назначенная 3 февраля 1944 года Приказом ГУ ИАС КА макетная комиссия под председательством генерала ИАС А.А.Лапина, которая рассмотрела макет Пе-8, соответствующим протоколом от утвердила основное оборудование и его размещение. Конкретные требования комиссии по перекомпоновке оборудования выполнялись в присутствии макетной комиссии (12187).</w:t>
      </w:r>
    </w:p>
    <w:p w14:paraId="5D9BCC87" w14:textId="77777777" w:rsidR="005913AE" w:rsidRPr="00070ADE" w:rsidRDefault="005913AE" w:rsidP="00B56F90">
      <w:pPr>
        <w:pStyle w:val="ae"/>
        <w:shd w:val="clear" w:color="auto" w:fill="FFFFFF"/>
        <w:spacing w:before="0" w:after="0"/>
        <w:jc w:val="both"/>
        <w:rPr>
          <w:color w:val="000000" w:themeColor="text1"/>
          <w:sz w:val="16"/>
          <w:szCs w:val="16"/>
        </w:rPr>
      </w:pPr>
    </w:p>
    <w:p w14:paraId="1BE80D6B" w14:textId="77777777" w:rsidR="005913AE" w:rsidRPr="00C94B78" w:rsidRDefault="005913A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8 февраля 1944 года макетная комиссия по модифицированного Пе-8 под председательством генерала ИАС А.А. Лапина рассмотрела макет и соответствующим протоколом утвердила основное оборудование и его размещение. Конкретные требования комиссии по перекомпоновке оборудования выполнялись в присутствии макетной комиссии.</w:t>
      </w:r>
    </w:p>
    <w:p w14:paraId="305786F5" w14:textId="77777777" w:rsidR="005913AE" w:rsidRPr="00C94B78" w:rsidRDefault="005913A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Рассмотрение проекта модифицированного Пе-8 4М-82ФН ТК-3 в НКАП и последовавшее за ним постановление ГОКО от 20 февраля 1944 года потребовало дальнейших доработок проекта. В частности, после обсуждения НКАП окончательно решено было ставить ТК. Кроме того, добавилось (по предложению Незваля) требование к увеличению огневой защиты спереди снизу (25286).</w:t>
      </w:r>
    </w:p>
    <w:p w14:paraId="28E12A9D" w14:textId="77777777" w:rsidR="005913AE" w:rsidRPr="00C94B78" w:rsidRDefault="005913AE" w:rsidP="00B56F90">
      <w:pPr>
        <w:spacing w:after="0" w:line="240" w:lineRule="auto"/>
        <w:jc w:val="both"/>
        <w:rPr>
          <w:rFonts w:ascii="Times New Roman" w:hAnsi="Times New Roman"/>
          <w:color w:val="0070C0"/>
          <w:sz w:val="16"/>
          <w:szCs w:val="16"/>
        </w:rPr>
      </w:pPr>
    </w:p>
    <w:p w14:paraId="18F77D8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февраля 1944 Нач. 1 отдела НИИ ВВС Рудинцев письмом N 1/044 направил в Секретариат НКАП А.И.Ш. для включения в Альбом по самолетам 1943 дополнительно карточки, составленные по результатам испытаний самолетов:</w:t>
      </w:r>
    </w:p>
    <w:p w14:paraId="6997E6C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ЛаГГ-3 с М-105ПФ</w:t>
      </w:r>
    </w:p>
    <w:p w14:paraId="037D63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Ту-2 2М-82ФН</w:t>
      </w:r>
    </w:p>
    <w:p w14:paraId="7C6754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3. Ил-2 с АМ-38Ф и 37 мм пушками</w:t>
      </w:r>
    </w:p>
    <w:p w14:paraId="2317DC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А-20 G-20-DO с 2Райт R-2600-23 (1821).</w:t>
      </w:r>
    </w:p>
    <w:p w14:paraId="6581CEC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E75C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февраля 1944 нач. НИИ ВВС гмиас Лосюков утвердил Акт по гос. испытаниям экземпляра улучшенного МиГ-3 № 01 с АМ-35А и винтом АВ-5Л126А производства 155 завода), которые проходили с 27 июля по 6 августа 1943</w:t>
      </w:r>
    </w:p>
    <w:p w14:paraId="29CACB8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Виза:</w:t>
      </w:r>
    </w:p>
    <w:p w14:paraId="63EFEB4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Сафронову </w:t>
      </w:r>
    </w:p>
    <w:p w14:paraId="062254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Исправить отчет, перепечатать и готовить к рассылке</w:t>
      </w:r>
    </w:p>
    <w:p w14:paraId="6E1135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февраля 1944</w:t>
      </w:r>
    </w:p>
    <w:p w14:paraId="254233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Отчет был у Лосюкова с 18 августа 1943 по 8 сентября 1944</w:t>
      </w:r>
    </w:p>
    <w:p w14:paraId="77B05F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 исполнители:</w:t>
      </w:r>
    </w:p>
    <w:p w14:paraId="44438B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 инж. А.С.Рузанов</w:t>
      </w:r>
    </w:p>
    <w:p w14:paraId="6E40C3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 л п/п В.И.Хомяков</w:t>
      </w:r>
    </w:p>
    <w:p w14:paraId="458C7B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27 июля по 6 августа 1943 было выполнено 23 полета с налетом 15:26</w:t>
      </w:r>
    </w:p>
    <w:p w14:paraId="3966E1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Цель испытаний:</w:t>
      </w:r>
    </w:p>
    <w:p w14:paraId="3AD975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Определить лтд, оценить эксплуатационные свойства с-та, работу ВМГ, спецоборудования, органов ... и управления. Оценить конструктивное и производственное выполнение с-та</w:t>
      </w:r>
    </w:p>
    <w:p w14:paraId="437CCC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Объект испытаний:</w:t>
      </w:r>
    </w:p>
    <w:p w14:paraId="25B9267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Предъявленный на испытания экземпляр улучшенного МиГ-3 с АМ-35А конструкции Микояна и Гуревича построенного на з-де № 155 согласно постановлению ГОКО от 26 февраля 1943 № 2946. Улучшенный с-т представляет собой значительную модификацию с-та МиГ-3. По своим геометрическим размерам он не отличается от серийного МиГ-3 с АМ-35А. Внесенные изменения и технологические упрощения создали улучшуенную аэродинамику и снизили полетный вес с-та.</w:t>
      </w:r>
    </w:p>
    <w:p w14:paraId="4B046CE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Конструкция с-та</w:t>
      </w:r>
    </w:p>
    <w:p w14:paraId="03D3C2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Основное отличие конструкции улучшенного МиГ-3 с АМ-35А по сравнению с серийным с-том МиГ-3 заключаются в:</w:t>
      </w:r>
    </w:p>
    <w:p w14:paraId="6DE9B7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улучшена и облегчена конструкция фюзеляжа, который представляет собой цельнодеревянный монокок со съемным дюралевым килем, взамен смашанной конструкции: сварной фермы и с деревянной частью фюзеляжа</w:t>
      </w:r>
    </w:p>
    <w:p w14:paraId="3A22DC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незначительно изменен главный лонжерон центроплана: в месте прохода через туннели водорадиатора стенка лонжерона заменена фермой. Главный лонжерон консолей выполнен не из дельтадревесины, а из дюралевой стенки.</w:t>
      </w:r>
    </w:p>
    <w:p w14:paraId="66721C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несколько сдвинута назад, расширена и улучшена кабина л. В связи с этим изменен обзор и конструкция фонаря кабины</w:t>
      </w:r>
    </w:p>
    <w:p w14:paraId="42B0BA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 связи с переделкой кинематики уборки костыля стабилизатор поднят на 200 мм и выполнен с новыми узлами крепления к фюзеляжу</w:t>
      </w:r>
    </w:p>
    <w:p w14:paraId="10EEAE0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установлены замки посадочных щитков в положении убрано</w:t>
      </w:r>
    </w:p>
    <w:p w14:paraId="2F96A5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изменена установка замка подъема шасси</w:t>
      </w:r>
    </w:p>
    <w:p w14:paraId="414B5B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механизм аварийного выпуска шасси и костыля заменен пневматическим</w:t>
      </w:r>
    </w:p>
    <w:p w14:paraId="02F017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установлены колеса размером 600х180 вместо 650 на 200</w:t>
      </w:r>
    </w:p>
    <w:p w14:paraId="4FCCE6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костыль сделан ориентирующимся со стопором, управляемым из кабины</w:t>
      </w:r>
    </w:p>
    <w:p w14:paraId="02C36C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ВМГ</w:t>
      </w:r>
    </w:p>
    <w:p w14:paraId="1E2B7A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 улучшенном с-те установлен мотор АМ-35А выпуска 1943 с редукцией 0,732, собранный с использованием некоторых-38Ф, а винт АВ-5Л-126А диаметром 3,2 м</w:t>
      </w:r>
    </w:p>
    <w:p w14:paraId="050AB0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ГК завода № 300 т. Туманским (письмо от 10 августа 1938) данный мотор в отличие оти серийных АМ-35А было разрешено эксплуатировать во время летных испытаний на оборотах 2250. Этот режим допускает продолжительность не более 5 минут и только на высотах выше границы высотности. Макс. темп. При этом допускается: выходной воды 120, входного масла 85 (на номинале допускается 110 и 85).</w:t>
      </w:r>
    </w:p>
    <w:p w14:paraId="061D22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Бензосистема</w:t>
      </w:r>
    </w:p>
    <w:p w14:paraId="26B6CC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Вместо 4-х металлических б/б, имеющихся на серийном с-те общей емкостью 500 л, на улучшенном установлен один мягкий емкостью 440 л в фюзеляже впереди л в спецконтейнере с подводом в нему нейтральных газов от выхлопа мотора.</w:t>
      </w:r>
    </w:p>
    <w:p w14:paraId="4DC6DA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Маслосистема</w:t>
      </w:r>
    </w:p>
    <w:p w14:paraId="60C736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Вместо 2-х девятидюймовых радиаторов на Миг-3 по внешним сотороным бдоков мотора на улучшенном установлен один м/р типа 33 в тоннеле под фюзеляжем</w:t>
      </w:r>
    </w:p>
    <w:p w14:paraId="558DA9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Продувка маслорадиатора регулируется заслонкой с механическим управлением. Заслонка установлена на выходе</w:t>
      </w:r>
    </w:p>
    <w:p w14:paraId="36AA278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Задний маслобак емкостью 25 л установлен с внешней стороны у правого блока мотора</w:t>
      </w:r>
    </w:p>
    <w:p w14:paraId="38BB00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Передний м/б по емкости и расположению такой же, как на МиГ-23 (емкостью 53 л).</w:t>
      </w:r>
    </w:p>
    <w:p w14:paraId="790EC0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Водосистема</w:t>
      </w:r>
    </w:p>
    <w:p w14:paraId="45EF9F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Радиатор расположен в том же месте, что и на МиГ-3, но поднят выше. Воздух для продувки радиатора поступает через два заборника, расположенных в носовой части цп с обеих сторон фюзеляжа.</w:t>
      </w:r>
    </w:p>
    <w:p w14:paraId="14D2FF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регулировки температуры воды на с-те установлен агрегат УР-2, связанный с заслонкой туннеля водорадиатора и управляемый или автоматом АРТ-41 или вручную посредством переключателя МП-1</w:t>
      </w:r>
    </w:p>
    <w:p w14:paraId="7DA289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Входная часть всасявающего патрубка мотора выведена внутрб туннеля радиатора. На с-те установлена, но не подключена система расжижения масла бензином.</w:t>
      </w:r>
    </w:p>
    <w:p w14:paraId="5F9160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w:t>
      </w:r>
    </w:p>
    <w:p w14:paraId="672732E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Состоит из 2хШВАК какл. 20 мм, установленных над мотором с запасом патронов по 150 шт.</w:t>
      </w:r>
    </w:p>
    <w:p w14:paraId="65D96B3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Спецоборудование значительно отиличается от спецоборудования серийного МиГ-3. Возможно производство дневных и ночных полетов. Но отсутствуют АГ и РПК. Особенностью является наличие автоматического электрорегулятора температуры воды (АРТ-41).</w:t>
      </w:r>
    </w:p>
    <w:p w14:paraId="60F3E5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Электрооборудование выполнено по однопроводной схеме с частичной экранизацией (экранированп система зажигания мотора и проводка от генератора до электрорегулятора). Источник питания: 1 генератор ГС-350 с акумуляторной батареей 12-А-5. Система защиты - централизованная (в кабине) плавкими предохранителями.</w:t>
      </w:r>
    </w:p>
    <w:p w14:paraId="07B40C3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работает при помощи пневмоспусков ПЭС-1. Освещение приборов в кабине осуществляется двумя кабинными лампами и двумя лампами УФО. Для ночных полетов установлена посадочная фара ФС-155 и АНО. Имеется обогрев трубки Пито и часов.</w:t>
      </w:r>
    </w:p>
    <w:p w14:paraId="214465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Средства связи</w:t>
      </w:r>
    </w:p>
    <w:p w14:paraId="57FBA3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Приемопередатчик РСИ-4, управление настройкой - дистанционное Включение - кнопкой на ручке управления. Антенна - наружная, однолучевая с мачтой высотой 900 мм. Дополнительных фильтров в цепи зажигания и бортсети нет.</w:t>
      </w:r>
    </w:p>
    <w:p w14:paraId="6BB4F5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Кислородное оборудование состоит из ксилородного прибора типа КПА-3бис и 4-х литрового баллона, также штуцера бортовой зарядки.</w:t>
      </w:r>
    </w:p>
    <w:p w14:paraId="1828D3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Вспомогательное оборудование: согнальный пистолет КП-3, патронташ к нему и аптечка малая. Фотооборудование не предусмотрено.</w:t>
      </w:r>
    </w:p>
    <w:p w14:paraId="7147AEB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Компоновка приборов выполнена в соответствии со стандартной кабиной и приборной доской истребителя</w:t>
      </w:r>
    </w:p>
    <w:p w14:paraId="6605B5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испытаний:</w:t>
      </w:r>
    </w:p>
    <w:p w14:paraId="04121E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поступил для испытаний в НИИ 27 июля. Испытания начаты 28 июля и закончены 6 августа 1943. 23 полета с налетом 15:26 из них 10 - высотные</w:t>
      </w:r>
    </w:p>
    <w:p w14:paraId="4631131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2627, 13,8% САХ, угол капотирования 23</w:t>
      </w:r>
    </w:p>
    <w:p w14:paraId="63B5630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 - 3260, 19% САХ, угол капотирования 26</w:t>
      </w:r>
    </w:p>
    <w:p w14:paraId="40A57E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Нагрузка</w:t>
      </w:r>
    </w:p>
    <w:p w14:paraId="27E394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пилот - 90</w:t>
      </w:r>
    </w:p>
    <w:p w14:paraId="60D2F84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горючее (уд. Вес 0,737) - 324</w:t>
      </w:r>
    </w:p>
    <w:p w14:paraId="188C21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масло - 58</w:t>
      </w:r>
    </w:p>
    <w:p w14:paraId="52EC08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- 80, боеприпасы 64</w:t>
      </w:r>
    </w:p>
    <w:p w14:paraId="44037B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оборудование - 17</w:t>
      </w:r>
    </w:p>
    <w:p w14:paraId="5494522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 633</w:t>
      </w:r>
    </w:p>
    <w:p w14:paraId="591F7C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лд</w:t>
      </w:r>
    </w:p>
    <w:p w14:paraId="27F8236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у земли на номинале 505, с форсажем (на взлетном режиме, 2020 и Рк 1220) - 526</w:t>
      </w:r>
    </w:p>
    <w:p w14:paraId="7572E5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Максю скорость на взлетном на 300 м - 600</w:t>
      </w:r>
    </w:p>
    <w:p w14:paraId="53D2E4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5000 - 622</w:t>
      </w:r>
    </w:p>
    <w:p w14:paraId="5C8992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гр. высотности (7000) - 656</w:t>
      </w:r>
    </w:p>
    <w:p w14:paraId="24BAC3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Макс. скорость на 9000 м - 639, Рк 830</w:t>
      </w:r>
    </w:p>
    <w:p w14:paraId="2BF0098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5000 м 6,2</w:t>
      </w:r>
    </w:p>
    <w:p w14:paraId="32AA343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7000 м 8,9</w:t>
      </w:r>
    </w:p>
    <w:p w14:paraId="46A125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9000 м 12,8</w:t>
      </w:r>
    </w:p>
    <w:p w14:paraId="2F34EA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11500, с форсажем 11900 м</w:t>
      </w:r>
    </w:p>
    <w:p w14:paraId="1C0DF7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Скороподъемность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417"/>
        <w:gridCol w:w="1418"/>
        <w:gridCol w:w="1276"/>
      </w:tblGrid>
      <w:tr w:rsidR="004D4663" w:rsidRPr="00070ADE" w14:paraId="460E7753" w14:textId="77777777">
        <w:tc>
          <w:tcPr>
            <w:tcW w:w="959" w:type="dxa"/>
            <w:tcBorders>
              <w:top w:val="single" w:sz="12" w:space="0" w:color="auto"/>
            </w:tcBorders>
          </w:tcPr>
          <w:p w14:paraId="5ECA73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12" w:space="0" w:color="auto"/>
            </w:tcBorders>
          </w:tcPr>
          <w:p w14:paraId="17C1AD4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Верт. скорость</w:t>
            </w:r>
          </w:p>
        </w:tc>
        <w:tc>
          <w:tcPr>
            <w:tcW w:w="1418" w:type="dxa"/>
            <w:tcBorders>
              <w:top w:val="single" w:sz="12" w:space="0" w:color="auto"/>
            </w:tcBorders>
          </w:tcPr>
          <w:p w14:paraId="7C21E1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Рк</w:t>
            </w:r>
          </w:p>
        </w:tc>
        <w:tc>
          <w:tcPr>
            <w:tcW w:w="1276" w:type="dxa"/>
            <w:tcBorders>
              <w:top w:val="single" w:sz="12" w:space="0" w:color="auto"/>
            </w:tcBorders>
          </w:tcPr>
          <w:p w14:paraId="3AD986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 Скорость</w:t>
            </w:r>
          </w:p>
        </w:tc>
      </w:tr>
      <w:tr w:rsidR="004D4663" w:rsidRPr="00070ADE" w14:paraId="44648DF5" w14:textId="77777777">
        <w:tc>
          <w:tcPr>
            <w:tcW w:w="959" w:type="dxa"/>
          </w:tcPr>
          <w:p w14:paraId="340484C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tc>
        <w:tc>
          <w:tcPr>
            <w:tcW w:w="1417" w:type="dxa"/>
          </w:tcPr>
          <w:p w14:paraId="2C6636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13,8</w:t>
            </w:r>
          </w:p>
        </w:tc>
        <w:tc>
          <w:tcPr>
            <w:tcW w:w="1418" w:type="dxa"/>
          </w:tcPr>
          <w:p w14:paraId="683F40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1060</w:t>
            </w:r>
          </w:p>
        </w:tc>
        <w:tc>
          <w:tcPr>
            <w:tcW w:w="1276" w:type="dxa"/>
          </w:tcPr>
          <w:p w14:paraId="5D9F53F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260</w:t>
            </w:r>
          </w:p>
        </w:tc>
      </w:tr>
      <w:tr w:rsidR="004D4663" w:rsidRPr="00070ADE" w14:paraId="5B238F24" w14:textId="77777777">
        <w:tc>
          <w:tcPr>
            <w:tcW w:w="959" w:type="dxa"/>
          </w:tcPr>
          <w:p w14:paraId="60A6D3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6500</w:t>
            </w:r>
          </w:p>
        </w:tc>
        <w:tc>
          <w:tcPr>
            <w:tcW w:w="1417" w:type="dxa"/>
          </w:tcPr>
          <w:p w14:paraId="7B0A249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w:t>
            </w:r>
          </w:p>
        </w:tc>
        <w:tc>
          <w:tcPr>
            <w:tcW w:w="1418" w:type="dxa"/>
          </w:tcPr>
          <w:p w14:paraId="4F2A71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1060</w:t>
            </w:r>
          </w:p>
        </w:tc>
        <w:tc>
          <w:tcPr>
            <w:tcW w:w="1276" w:type="dxa"/>
          </w:tcPr>
          <w:p w14:paraId="2A5006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256</w:t>
            </w:r>
          </w:p>
        </w:tc>
      </w:tr>
      <w:tr w:rsidR="004D4663" w:rsidRPr="00070ADE" w14:paraId="5336F3EF" w14:textId="77777777">
        <w:tc>
          <w:tcPr>
            <w:tcW w:w="959" w:type="dxa"/>
          </w:tcPr>
          <w:p w14:paraId="7E374F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8000</w:t>
            </w:r>
          </w:p>
        </w:tc>
        <w:tc>
          <w:tcPr>
            <w:tcW w:w="1417" w:type="dxa"/>
          </w:tcPr>
          <w:p w14:paraId="2B00A2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w:t>
            </w:r>
          </w:p>
        </w:tc>
        <w:tc>
          <w:tcPr>
            <w:tcW w:w="1418" w:type="dxa"/>
          </w:tcPr>
          <w:p w14:paraId="525FB1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890</w:t>
            </w:r>
          </w:p>
        </w:tc>
        <w:tc>
          <w:tcPr>
            <w:tcW w:w="1276" w:type="dxa"/>
          </w:tcPr>
          <w:p w14:paraId="3C34DE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248</w:t>
            </w:r>
          </w:p>
        </w:tc>
      </w:tr>
      <w:tr w:rsidR="004D4663" w:rsidRPr="00070ADE" w14:paraId="08E37E54" w14:textId="77777777">
        <w:tc>
          <w:tcPr>
            <w:tcW w:w="959" w:type="dxa"/>
            <w:tcBorders>
              <w:bottom w:val="single" w:sz="12" w:space="0" w:color="auto"/>
            </w:tcBorders>
          </w:tcPr>
          <w:p w14:paraId="7E38EA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9000</w:t>
            </w:r>
          </w:p>
        </w:tc>
        <w:tc>
          <w:tcPr>
            <w:tcW w:w="1417" w:type="dxa"/>
            <w:tcBorders>
              <w:bottom w:val="single" w:sz="12" w:space="0" w:color="auto"/>
            </w:tcBorders>
          </w:tcPr>
          <w:p w14:paraId="688AC4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w:t>
            </w:r>
          </w:p>
        </w:tc>
        <w:tc>
          <w:tcPr>
            <w:tcW w:w="1418" w:type="dxa"/>
            <w:tcBorders>
              <w:bottom w:val="single" w:sz="12" w:space="0" w:color="auto"/>
            </w:tcBorders>
          </w:tcPr>
          <w:p w14:paraId="2EA981D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780</w:t>
            </w:r>
          </w:p>
        </w:tc>
        <w:tc>
          <w:tcPr>
            <w:tcW w:w="1276" w:type="dxa"/>
            <w:tcBorders>
              <w:bottom w:val="single" w:sz="12" w:space="0" w:color="auto"/>
            </w:tcBorders>
          </w:tcPr>
          <w:p w14:paraId="37E5E0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240</w:t>
            </w:r>
          </w:p>
        </w:tc>
      </w:tr>
    </w:tbl>
    <w:p w14:paraId="1A7203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Скороподъемность на взлетном режиме не определялась из-за перегрева мотора</w:t>
      </w:r>
    </w:p>
    <w:p w14:paraId="22FC4A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Скороподъемность опреджелялась при полностью открытой заслонке водо и маслорадиаторов с площадками для охлаждения мотора</w:t>
      </w:r>
    </w:p>
    <w:p w14:paraId="43C48D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Маневренность на 8000 м</w:t>
      </w:r>
    </w:p>
    <w:p w14:paraId="6677A9B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Вираж однократный левый на 330-330 37 сек.</w:t>
      </w:r>
    </w:p>
    <w:p w14:paraId="17B610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Правый на 330-330 35 без изменения высоты</w:t>
      </w:r>
    </w:p>
    <w:p w14:paraId="3EA1A5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боевой разворот левый 370-230 - 22 с набором 400-500</w:t>
      </w:r>
    </w:p>
    <w:p w14:paraId="5A619E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правый 22</w:t>
      </w:r>
    </w:p>
    <w:p w14:paraId="6E0111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Летали также п Сафонов, п/п Кочетков, м Антипов, к Кубышкин</w:t>
      </w:r>
    </w:p>
    <w:p w14:paraId="39F93AE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планировании без закрылков возникает значительный бафтинг хвостового оперения, что свидетельствует о неправильном его расположении по высоте.</w:t>
      </w:r>
    </w:p>
    <w:p w14:paraId="295690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посадке в момент приземления с-т теряет управляемость в продольном отношении.</w:t>
      </w:r>
    </w:p>
    <w:p w14:paraId="78EAE3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пробеге есть тенденция к прыганью в трехточечном положении.</w:t>
      </w:r>
    </w:p>
    <w:p w14:paraId="663951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рулежке вода перегревается</w:t>
      </w:r>
    </w:p>
    <w:p w14:paraId="3FE842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даче форсажа после 1000 м мотор ьтрясет</w:t>
      </w:r>
    </w:p>
    <w:p w14:paraId="4C5D90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Стефановский 10 августа 1943</w:t>
      </w:r>
    </w:p>
    <w:p w14:paraId="3C8D27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Управление с-том РП легкое, элеронами - тяжелое, РВ весьма тяжелое. Перекладывание из виража в вираж медленное и тяжелое. Воевать на такой машине тяжело. Посадку производить сложно. В начале посадки велика нагрузка на ручку, после ввыбирания ручки управление нагрузка совершенно пропадает и эффективность РВ теряется. На пробеге с-т устойчив.</w:t>
      </w:r>
    </w:p>
    <w:p w14:paraId="0E37899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полете обзор в строны - хорош, вперед и назад - плохой. В полете с закрытым фонарем в кабине жарко, а при открытом - сильное задувание в кабину.</w:t>
      </w:r>
    </w:p>
    <w:p w14:paraId="03A712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Кубышкин 11 августа 1943</w:t>
      </w:r>
    </w:p>
    <w:p w14:paraId="3B73B5E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Сравнительная таблица лтд истребительных с-тов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917"/>
        <w:gridCol w:w="992"/>
        <w:gridCol w:w="993"/>
        <w:gridCol w:w="992"/>
        <w:gridCol w:w="992"/>
        <w:gridCol w:w="992"/>
      </w:tblGrid>
      <w:tr w:rsidR="004D4663" w:rsidRPr="00070ADE" w14:paraId="6AE58E7E" w14:textId="77777777">
        <w:tc>
          <w:tcPr>
            <w:tcW w:w="1601" w:type="dxa"/>
            <w:tcBorders>
              <w:top w:val="single" w:sz="12" w:space="0" w:color="auto"/>
            </w:tcBorders>
          </w:tcPr>
          <w:p w14:paraId="61174A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7" w:type="dxa"/>
            <w:tcBorders>
              <w:top w:val="single" w:sz="12" w:space="0" w:color="auto"/>
            </w:tcBorders>
          </w:tcPr>
          <w:p w14:paraId="558DE3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МиГ-3 улучшенный</w:t>
            </w:r>
          </w:p>
        </w:tc>
        <w:tc>
          <w:tcPr>
            <w:tcW w:w="992" w:type="dxa"/>
            <w:tcBorders>
              <w:top w:val="single" w:sz="12" w:space="0" w:color="auto"/>
            </w:tcBorders>
          </w:tcPr>
          <w:p w14:paraId="3F6AEF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МиГ-3 серийный № 3943, август 1941</w:t>
            </w:r>
          </w:p>
        </w:tc>
        <w:tc>
          <w:tcPr>
            <w:tcW w:w="993" w:type="dxa"/>
            <w:tcBorders>
              <w:top w:val="single" w:sz="12" w:space="0" w:color="auto"/>
            </w:tcBorders>
          </w:tcPr>
          <w:p w14:paraId="04820B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Ла-5ФН апрель 1943</w:t>
            </w:r>
          </w:p>
        </w:tc>
        <w:tc>
          <w:tcPr>
            <w:tcW w:w="992" w:type="dxa"/>
            <w:tcBorders>
              <w:top w:val="single" w:sz="12" w:space="0" w:color="auto"/>
            </w:tcBorders>
          </w:tcPr>
          <w:p w14:paraId="0C0F12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Спитфайр 56 май 1943</w:t>
            </w:r>
          </w:p>
        </w:tc>
        <w:tc>
          <w:tcPr>
            <w:tcW w:w="992" w:type="dxa"/>
            <w:tcBorders>
              <w:top w:val="single" w:sz="12" w:space="0" w:color="auto"/>
            </w:tcBorders>
          </w:tcPr>
          <w:p w14:paraId="394B6EE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Ме-109Gрель 1943 (3-х точечный)</w:t>
            </w:r>
          </w:p>
        </w:tc>
        <w:tc>
          <w:tcPr>
            <w:tcW w:w="992" w:type="dxa"/>
            <w:tcBorders>
              <w:top w:val="single" w:sz="12" w:space="0" w:color="auto"/>
            </w:tcBorders>
          </w:tcPr>
          <w:p w14:paraId="1DEB67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Як-7 М-105ПД сентябрь 1942</w:t>
            </w:r>
          </w:p>
        </w:tc>
      </w:tr>
      <w:tr w:rsidR="004D4663" w:rsidRPr="00070ADE" w14:paraId="21C5A3AD" w14:textId="77777777">
        <w:tc>
          <w:tcPr>
            <w:tcW w:w="1601" w:type="dxa"/>
          </w:tcPr>
          <w:p w14:paraId="03985C1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w:t>
            </w:r>
          </w:p>
        </w:tc>
        <w:tc>
          <w:tcPr>
            <w:tcW w:w="917" w:type="dxa"/>
          </w:tcPr>
          <w:p w14:paraId="071233A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3260</w:t>
            </w:r>
          </w:p>
        </w:tc>
        <w:tc>
          <w:tcPr>
            <w:tcW w:w="992" w:type="dxa"/>
          </w:tcPr>
          <w:p w14:paraId="605552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3299</w:t>
            </w:r>
          </w:p>
        </w:tc>
        <w:tc>
          <w:tcPr>
            <w:tcW w:w="993" w:type="dxa"/>
          </w:tcPr>
          <w:p w14:paraId="4452C1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3168</w:t>
            </w:r>
          </w:p>
        </w:tc>
        <w:tc>
          <w:tcPr>
            <w:tcW w:w="992" w:type="dxa"/>
          </w:tcPr>
          <w:p w14:paraId="35E732B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2920</w:t>
            </w:r>
          </w:p>
        </w:tc>
        <w:tc>
          <w:tcPr>
            <w:tcW w:w="992" w:type="dxa"/>
          </w:tcPr>
          <w:p w14:paraId="01923D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3023</w:t>
            </w:r>
          </w:p>
        </w:tc>
        <w:tc>
          <w:tcPr>
            <w:tcW w:w="992" w:type="dxa"/>
          </w:tcPr>
          <w:p w14:paraId="6252E91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2904</w:t>
            </w:r>
          </w:p>
        </w:tc>
      </w:tr>
      <w:tr w:rsidR="004D4663" w:rsidRPr="00070ADE" w14:paraId="4B8B3C09" w14:textId="77777777">
        <w:tc>
          <w:tcPr>
            <w:tcW w:w="1601" w:type="dxa"/>
          </w:tcPr>
          <w:p w14:paraId="3624F4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у земли</w:t>
            </w:r>
          </w:p>
        </w:tc>
        <w:tc>
          <w:tcPr>
            <w:tcW w:w="917" w:type="dxa"/>
          </w:tcPr>
          <w:p w14:paraId="42BAEA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505/526</w:t>
            </w:r>
          </w:p>
        </w:tc>
        <w:tc>
          <w:tcPr>
            <w:tcW w:w="992" w:type="dxa"/>
          </w:tcPr>
          <w:p w14:paraId="17D28D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466</w:t>
            </w:r>
          </w:p>
        </w:tc>
        <w:tc>
          <w:tcPr>
            <w:tcW w:w="993" w:type="dxa"/>
          </w:tcPr>
          <w:p w14:paraId="039836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562/595</w:t>
            </w:r>
          </w:p>
        </w:tc>
        <w:tc>
          <w:tcPr>
            <w:tcW w:w="992" w:type="dxa"/>
          </w:tcPr>
          <w:p w14:paraId="016F3A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w:t>
            </w:r>
          </w:p>
        </w:tc>
        <w:tc>
          <w:tcPr>
            <w:tcW w:w="992" w:type="dxa"/>
          </w:tcPr>
          <w:p w14:paraId="233322B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524</w:t>
            </w:r>
          </w:p>
        </w:tc>
        <w:tc>
          <w:tcPr>
            <w:tcW w:w="992" w:type="dxa"/>
          </w:tcPr>
          <w:p w14:paraId="7BC83AF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r>
      <w:tr w:rsidR="004D4663" w:rsidRPr="00070ADE" w14:paraId="262A8264" w14:textId="77777777">
        <w:tc>
          <w:tcPr>
            <w:tcW w:w="1601" w:type="dxa"/>
          </w:tcPr>
          <w:p w14:paraId="378AF1C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5000 м</w:t>
            </w:r>
          </w:p>
        </w:tc>
        <w:tc>
          <w:tcPr>
            <w:tcW w:w="917" w:type="dxa"/>
          </w:tcPr>
          <w:p w14:paraId="6869FD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622</w:t>
            </w:r>
          </w:p>
        </w:tc>
        <w:tc>
          <w:tcPr>
            <w:tcW w:w="992" w:type="dxa"/>
          </w:tcPr>
          <w:p w14:paraId="453CE5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569</w:t>
            </w:r>
          </w:p>
        </w:tc>
        <w:tc>
          <w:tcPr>
            <w:tcW w:w="993" w:type="dxa"/>
          </w:tcPr>
          <w:p w14:paraId="4C36530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622</w:t>
            </w:r>
          </w:p>
        </w:tc>
        <w:tc>
          <w:tcPr>
            <w:tcW w:w="992" w:type="dxa"/>
          </w:tcPr>
          <w:p w14:paraId="5B1D18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646</w:t>
            </w:r>
          </w:p>
        </w:tc>
        <w:tc>
          <w:tcPr>
            <w:tcW w:w="992" w:type="dxa"/>
          </w:tcPr>
          <w:p w14:paraId="06502C9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610</w:t>
            </w:r>
          </w:p>
        </w:tc>
        <w:tc>
          <w:tcPr>
            <w:tcW w:w="992" w:type="dxa"/>
          </w:tcPr>
          <w:p w14:paraId="4CCB16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577</w:t>
            </w:r>
          </w:p>
        </w:tc>
      </w:tr>
      <w:tr w:rsidR="004D4663" w:rsidRPr="00070ADE" w14:paraId="694A3E88" w14:textId="77777777">
        <w:tc>
          <w:tcPr>
            <w:tcW w:w="1601" w:type="dxa"/>
          </w:tcPr>
          <w:p w14:paraId="47D90D0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гр. высотности</w:t>
            </w:r>
          </w:p>
        </w:tc>
        <w:tc>
          <w:tcPr>
            <w:tcW w:w="917" w:type="dxa"/>
          </w:tcPr>
          <w:p w14:paraId="6CD558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656/7000</w:t>
            </w:r>
          </w:p>
        </w:tc>
        <w:tc>
          <w:tcPr>
            <w:tcW w:w="992" w:type="dxa"/>
          </w:tcPr>
          <w:p w14:paraId="4FB99E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615/7800</w:t>
            </w:r>
          </w:p>
        </w:tc>
        <w:tc>
          <w:tcPr>
            <w:tcW w:w="993" w:type="dxa"/>
          </w:tcPr>
          <w:p w14:paraId="1EF7FC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648/6500</w:t>
            </w:r>
          </w:p>
        </w:tc>
        <w:tc>
          <w:tcPr>
            <w:tcW w:w="992" w:type="dxa"/>
          </w:tcPr>
          <w:p w14:paraId="2A8B59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578/6700</w:t>
            </w:r>
          </w:p>
        </w:tc>
        <w:tc>
          <w:tcPr>
            <w:tcW w:w="992" w:type="dxa"/>
          </w:tcPr>
          <w:p w14:paraId="3EE8F0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666/7000</w:t>
            </w:r>
          </w:p>
        </w:tc>
        <w:tc>
          <w:tcPr>
            <w:tcW w:w="992" w:type="dxa"/>
          </w:tcPr>
          <w:p w14:paraId="0964562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611/7600</w:t>
            </w:r>
          </w:p>
        </w:tc>
      </w:tr>
      <w:tr w:rsidR="004D4663" w:rsidRPr="00070ADE" w14:paraId="730B21CE" w14:textId="77777777">
        <w:tc>
          <w:tcPr>
            <w:tcW w:w="1601" w:type="dxa"/>
          </w:tcPr>
          <w:p w14:paraId="604DC6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8000 м</w:t>
            </w:r>
          </w:p>
        </w:tc>
        <w:tc>
          <w:tcPr>
            <w:tcW w:w="917" w:type="dxa"/>
          </w:tcPr>
          <w:p w14:paraId="22D2F5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648</w:t>
            </w:r>
          </w:p>
        </w:tc>
        <w:tc>
          <w:tcPr>
            <w:tcW w:w="992" w:type="dxa"/>
          </w:tcPr>
          <w:p w14:paraId="122ED0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615</w:t>
            </w:r>
          </w:p>
        </w:tc>
        <w:tc>
          <w:tcPr>
            <w:tcW w:w="993" w:type="dxa"/>
          </w:tcPr>
          <w:p w14:paraId="28F3B9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628</w:t>
            </w:r>
          </w:p>
        </w:tc>
        <w:tc>
          <w:tcPr>
            <w:tcW w:w="992" w:type="dxa"/>
          </w:tcPr>
          <w:p w14:paraId="290E84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573</w:t>
            </w:r>
          </w:p>
        </w:tc>
        <w:tc>
          <w:tcPr>
            <w:tcW w:w="992" w:type="dxa"/>
          </w:tcPr>
          <w:p w14:paraId="2D09BA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660</w:t>
            </w:r>
          </w:p>
        </w:tc>
        <w:tc>
          <w:tcPr>
            <w:tcW w:w="992" w:type="dxa"/>
          </w:tcPr>
          <w:p w14:paraId="693D62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608</w:t>
            </w:r>
          </w:p>
        </w:tc>
      </w:tr>
      <w:tr w:rsidR="004D4663" w:rsidRPr="00070ADE" w14:paraId="0E326C6D" w14:textId="77777777">
        <w:tc>
          <w:tcPr>
            <w:tcW w:w="1601" w:type="dxa"/>
          </w:tcPr>
          <w:p w14:paraId="0D1CC7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 потолок</w:t>
            </w:r>
          </w:p>
        </w:tc>
        <w:tc>
          <w:tcPr>
            <w:tcW w:w="917" w:type="dxa"/>
          </w:tcPr>
          <w:p w14:paraId="242D00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11900</w:t>
            </w:r>
          </w:p>
        </w:tc>
        <w:tc>
          <w:tcPr>
            <w:tcW w:w="992" w:type="dxa"/>
          </w:tcPr>
          <w:p w14:paraId="6D6F2D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10600</w:t>
            </w:r>
          </w:p>
        </w:tc>
        <w:tc>
          <w:tcPr>
            <w:tcW w:w="993" w:type="dxa"/>
          </w:tcPr>
          <w:p w14:paraId="5D3FE5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11200</w:t>
            </w:r>
          </w:p>
        </w:tc>
        <w:tc>
          <w:tcPr>
            <w:tcW w:w="992" w:type="dxa"/>
          </w:tcPr>
          <w:p w14:paraId="77424B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11500</w:t>
            </w:r>
          </w:p>
        </w:tc>
        <w:tc>
          <w:tcPr>
            <w:tcW w:w="992" w:type="dxa"/>
          </w:tcPr>
          <w:p w14:paraId="454743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11900</w:t>
            </w:r>
          </w:p>
        </w:tc>
        <w:tc>
          <w:tcPr>
            <w:tcW w:w="992" w:type="dxa"/>
          </w:tcPr>
          <w:p w14:paraId="59E3AB6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11300</w:t>
            </w:r>
          </w:p>
        </w:tc>
      </w:tr>
      <w:tr w:rsidR="004D4663" w:rsidRPr="00070ADE" w14:paraId="52737270" w14:textId="77777777">
        <w:tc>
          <w:tcPr>
            <w:tcW w:w="1601" w:type="dxa"/>
          </w:tcPr>
          <w:p w14:paraId="3F7650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5000 м</w:t>
            </w:r>
          </w:p>
        </w:tc>
        <w:tc>
          <w:tcPr>
            <w:tcW w:w="917" w:type="dxa"/>
          </w:tcPr>
          <w:p w14:paraId="38F3E8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w:t>
            </w:r>
          </w:p>
        </w:tc>
        <w:tc>
          <w:tcPr>
            <w:tcW w:w="992" w:type="dxa"/>
          </w:tcPr>
          <w:p w14:paraId="001EDB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w:t>
            </w:r>
          </w:p>
        </w:tc>
        <w:tc>
          <w:tcPr>
            <w:tcW w:w="993" w:type="dxa"/>
          </w:tcPr>
          <w:p w14:paraId="3AD36B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w:t>
            </w:r>
          </w:p>
        </w:tc>
        <w:tc>
          <w:tcPr>
            <w:tcW w:w="992" w:type="dxa"/>
          </w:tcPr>
          <w:p w14:paraId="5BCB898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w:t>
            </w:r>
          </w:p>
        </w:tc>
        <w:tc>
          <w:tcPr>
            <w:tcW w:w="992" w:type="dxa"/>
          </w:tcPr>
          <w:p w14:paraId="2A691D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w:t>
            </w:r>
          </w:p>
        </w:tc>
        <w:tc>
          <w:tcPr>
            <w:tcW w:w="992" w:type="dxa"/>
          </w:tcPr>
          <w:p w14:paraId="1DAEB5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w:t>
            </w:r>
          </w:p>
        </w:tc>
      </w:tr>
      <w:tr w:rsidR="004D4663" w:rsidRPr="00070ADE" w14:paraId="07BBE62C" w14:textId="77777777">
        <w:tc>
          <w:tcPr>
            <w:tcW w:w="1601" w:type="dxa"/>
          </w:tcPr>
          <w:p w14:paraId="31FA09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Запас горючего (кг)</w:t>
            </w:r>
          </w:p>
        </w:tc>
        <w:tc>
          <w:tcPr>
            <w:tcW w:w="917" w:type="dxa"/>
          </w:tcPr>
          <w:p w14:paraId="605DAD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324</w:t>
            </w:r>
          </w:p>
        </w:tc>
        <w:tc>
          <w:tcPr>
            <w:tcW w:w="992" w:type="dxa"/>
          </w:tcPr>
          <w:p w14:paraId="04C6FD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335</w:t>
            </w:r>
          </w:p>
        </w:tc>
        <w:tc>
          <w:tcPr>
            <w:tcW w:w="993" w:type="dxa"/>
          </w:tcPr>
          <w:p w14:paraId="60FB4B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341</w:t>
            </w:r>
          </w:p>
        </w:tc>
        <w:tc>
          <w:tcPr>
            <w:tcW w:w="992" w:type="dxa"/>
          </w:tcPr>
          <w:p w14:paraId="23863F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288</w:t>
            </w:r>
          </w:p>
        </w:tc>
        <w:tc>
          <w:tcPr>
            <w:tcW w:w="992" w:type="dxa"/>
          </w:tcPr>
          <w:p w14:paraId="7039CF2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tc>
        <w:tc>
          <w:tcPr>
            <w:tcW w:w="992" w:type="dxa"/>
          </w:tcPr>
          <w:p w14:paraId="74CD6C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305</w:t>
            </w:r>
          </w:p>
        </w:tc>
      </w:tr>
      <w:tr w:rsidR="004D4663" w:rsidRPr="00070ADE" w14:paraId="7D0AD303" w14:textId="77777777">
        <w:tc>
          <w:tcPr>
            <w:tcW w:w="1601" w:type="dxa"/>
            <w:tcBorders>
              <w:bottom w:val="single" w:sz="12" w:space="0" w:color="auto"/>
            </w:tcBorders>
          </w:tcPr>
          <w:p w14:paraId="4E79E82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залпа (кг/сек)</w:t>
            </w:r>
          </w:p>
        </w:tc>
        <w:tc>
          <w:tcPr>
            <w:tcW w:w="917" w:type="dxa"/>
            <w:tcBorders>
              <w:bottom w:val="single" w:sz="12" w:space="0" w:color="auto"/>
            </w:tcBorders>
          </w:tcPr>
          <w:p w14:paraId="35CBBC3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2,404</w:t>
            </w:r>
          </w:p>
        </w:tc>
        <w:tc>
          <w:tcPr>
            <w:tcW w:w="992" w:type="dxa"/>
            <w:tcBorders>
              <w:bottom w:val="single" w:sz="12" w:space="0" w:color="auto"/>
            </w:tcBorders>
          </w:tcPr>
          <w:p w14:paraId="63FF7B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tc>
        <w:tc>
          <w:tcPr>
            <w:tcW w:w="993" w:type="dxa"/>
            <w:tcBorders>
              <w:bottom w:val="single" w:sz="12" w:space="0" w:color="auto"/>
            </w:tcBorders>
          </w:tcPr>
          <w:p w14:paraId="5B2212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1,76</w:t>
            </w:r>
          </w:p>
        </w:tc>
        <w:tc>
          <w:tcPr>
            <w:tcW w:w="992" w:type="dxa"/>
            <w:tcBorders>
              <w:bottom w:val="single" w:sz="12" w:space="0" w:color="auto"/>
            </w:tcBorders>
          </w:tcPr>
          <w:p w14:paraId="4532365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3,54</w:t>
            </w:r>
          </w:p>
        </w:tc>
        <w:tc>
          <w:tcPr>
            <w:tcW w:w="992" w:type="dxa"/>
            <w:tcBorders>
              <w:bottom w:val="single" w:sz="12" w:space="0" w:color="auto"/>
            </w:tcBorders>
          </w:tcPr>
          <w:p w14:paraId="325C28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1,674</w:t>
            </w:r>
          </w:p>
        </w:tc>
        <w:tc>
          <w:tcPr>
            <w:tcW w:w="992" w:type="dxa"/>
            <w:tcBorders>
              <w:bottom w:val="single" w:sz="12" w:space="0" w:color="auto"/>
            </w:tcBorders>
          </w:tcPr>
          <w:p w14:paraId="149A43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1,277</w:t>
            </w:r>
          </w:p>
        </w:tc>
      </w:tr>
    </w:tbl>
    <w:p w14:paraId="234E08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Эксполуатационная оценка</w:t>
      </w:r>
    </w:p>
    <w:p w14:paraId="039620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в эксплуатации значительно сложнее МиГ-3 серийного завода № 1. Моторные капоты не имеют люков для проверки зарядки с-та маслом и воддой. Для проверки необходимо снимать весь верхний мотокапот, что требует много времени и обязательно двух лиц</w:t>
      </w:r>
    </w:p>
    <w:p w14:paraId="316B83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полета с-т прилетает весь в масле от кока винта до костыля. Масло выбивает через уплотнение между носком вала редуктора и картером. Мал хвостовой лючек, что не позволяет тщательно осмотреть хвостовую часть и костыль</w:t>
      </w:r>
    </w:p>
    <w:p w14:paraId="04994F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Подписал ст т-л Безбатенко 11 августа 1943</w:t>
      </w:r>
    </w:p>
    <w:p w14:paraId="088AFD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Вычеркнуто Лосюковым:</w:t>
      </w:r>
    </w:p>
    <w:p w14:paraId="571C72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 выполнено постановление ГКО № 2946 от 26 февраля 1943</w:t>
      </w:r>
    </w:p>
    <w:p w14:paraId="7966A6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- 670 км/час - получено 656</w:t>
      </w:r>
    </w:p>
    <w:p w14:paraId="721969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- 12500 - получено 11900</w:t>
      </w:r>
    </w:p>
    <w:p w14:paraId="53F03BE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10000 - 13 - получено 15,7</w:t>
      </w:r>
    </w:p>
    <w:p w14:paraId="423795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 3100 - получено 3260</w:t>
      </w:r>
    </w:p>
    <w:p w14:paraId="695D85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Вместо этого написал:</w:t>
      </w:r>
    </w:p>
    <w:p w14:paraId="43D112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заключения:</w:t>
      </w:r>
    </w:p>
    <w:p w14:paraId="46CE05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Полученные данные испытаний э-ра с-та МиГ-3 с АМ-35А (улучшенного) и выявленные при испытаниях дефекты не дают основания для постановки вопроса о возобновлении серийной постройки этого с-та</w:t>
      </w:r>
    </w:p>
    <w:p w14:paraId="68A395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вычеркнул: о недоведенности темп. Режима, наличии вибрации ХО и потери эффективности рулей на посадке</w:t>
      </w:r>
    </w:p>
    <w:p w14:paraId="66A5F6F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Акт разослать: ГИ ВВС, ГК А.И.М.</w:t>
      </w:r>
    </w:p>
    <w:p w14:paraId="080118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 подписаны 11 августа Кочетковым, Хомяковым</w:t>
      </w:r>
    </w:p>
    <w:p w14:paraId="2D1424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 (от руки Лосюковым):</w:t>
      </w:r>
    </w:p>
    <w:p w14:paraId="78C782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Испытанный экз. с-та дали следующие отступления от цифр, заданных Постановлением ГОКО</w:t>
      </w:r>
    </w:p>
    <w:p w14:paraId="18DA0B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- 670 км/час - получено 656</w:t>
      </w:r>
    </w:p>
    <w:p w14:paraId="7FECCA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- 12500 - получено 11900</w:t>
      </w:r>
    </w:p>
    <w:p w14:paraId="3A28CB5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10000 - 13 - получено 15,7</w:t>
      </w:r>
    </w:p>
    <w:p w14:paraId="4A0E40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 3100 - получено 3260</w:t>
      </w:r>
    </w:p>
    <w:p w14:paraId="1FE02F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Отзывы л и техн. Состава 12 гиап, эксплуатирующих улучшенные МиГ-3 с АМ-35А</w:t>
      </w:r>
    </w:p>
    <w:p w14:paraId="768883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С-ты МиГ-3Д постройки завода № 155 № 01, 0,3, 04 и 06 прибыли в эксплуатацию в августе 1943. Оценки отрицательные (не в боевых условиях) (798,3).</w:t>
      </w:r>
    </w:p>
    <w:p w14:paraId="6E1764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85F4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февраля 1944 г. после возвращения из НИИ ВВС на И-220 №01 провели специальные испытания с целью определения незначительный бафтинг хвостового оперения и явление сваливания на крыло при полетах на больших углах атаки - недостатков, выявленных на гос. испытаниях (5669).</w:t>
      </w:r>
    </w:p>
    <w:p w14:paraId="380416A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BFA634"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8 февраля 1944 г. началь</w:t>
      </w:r>
      <w:r w:rsidRPr="00070ADE">
        <w:rPr>
          <w:rFonts w:ascii="Times New Roman" w:hAnsi="Times New Roman"/>
          <w:color w:val="000000" w:themeColor="text1"/>
          <w:sz w:val="16"/>
          <w:szCs w:val="16"/>
        </w:rPr>
        <w:softHyphen/>
        <w:t>ником НИИ ВВС был утвержден Акт по результатам государственных испытаний МиГ-3У (И-230), хотя после их окончания 8 августа 1943 г. (с тех пор прошло уже ровно полгода!) летчиками Института не было сделано ни на одной машине ни одного полета. Во</w:t>
      </w:r>
      <w:r w:rsidRPr="00070ADE">
        <w:rPr>
          <w:rFonts w:ascii="Times New Roman" w:hAnsi="Times New Roman"/>
          <w:color w:val="000000" w:themeColor="text1"/>
          <w:sz w:val="16"/>
          <w:szCs w:val="16"/>
        </w:rPr>
        <w:softHyphen/>
        <w:t>прос с организацией полноценного се</w:t>
      </w:r>
      <w:r w:rsidRPr="00070ADE">
        <w:rPr>
          <w:rFonts w:ascii="Times New Roman" w:hAnsi="Times New Roman"/>
          <w:color w:val="000000" w:themeColor="text1"/>
          <w:sz w:val="16"/>
          <w:szCs w:val="16"/>
        </w:rPr>
        <w:softHyphen/>
        <w:t>рийного производства МиГ-3У все еще не был решен, а между тем высотный пе</w:t>
      </w:r>
      <w:r w:rsidRPr="00070ADE">
        <w:rPr>
          <w:rFonts w:ascii="Times New Roman" w:hAnsi="Times New Roman"/>
          <w:color w:val="000000" w:themeColor="text1"/>
          <w:sz w:val="16"/>
          <w:szCs w:val="16"/>
        </w:rPr>
        <w:softHyphen/>
        <w:t>рехватчик вдруг оказался нужен (23396).</w:t>
      </w:r>
    </w:p>
    <w:p w14:paraId="4257E11F" w14:textId="77777777" w:rsidR="00A53A3E" w:rsidRPr="00070ADE" w:rsidRDefault="00A53A3E" w:rsidP="00B56F90">
      <w:pPr>
        <w:spacing w:after="0" w:line="240" w:lineRule="auto"/>
        <w:jc w:val="both"/>
        <w:rPr>
          <w:rFonts w:ascii="Times New Roman" w:hAnsi="Times New Roman"/>
          <w:color w:val="000000" w:themeColor="text1"/>
          <w:sz w:val="16"/>
          <w:szCs w:val="16"/>
        </w:rPr>
      </w:pPr>
    </w:p>
    <w:p w14:paraId="5E327EF0" w14:textId="77777777" w:rsidR="005913AE" w:rsidRPr="00C94B78" w:rsidRDefault="005913AE" w:rsidP="00B56F90">
      <w:pPr>
        <w:spacing w:after="0" w:line="240" w:lineRule="auto"/>
        <w:jc w:val="both"/>
        <w:rPr>
          <w:rFonts w:ascii="Times New Roman" w:hAnsi="Times New Roman"/>
          <w:color w:val="0070C0"/>
          <w:sz w:val="16"/>
          <w:szCs w:val="16"/>
        </w:rPr>
      </w:pPr>
      <w:bookmarkStart w:id="4" w:name="_Hlk194937299"/>
      <w:r w:rsidRPr="00C94B78">
        <w:rPr>
          <w:rFonts w:ascii="Times New Roman" w:hAnsi="Times New Roman"/>
          <w:color w:val="0070C0"/>
          <w:sz w:val="16"/>
          <w:szCs w:val="16"/>
        </w:rPr>
        <w:t>8 февраля 1944 г. после возвращения из НИИ ВВС на И-220 №01 провели специальные испытания с целью определения этих недостатков. 14 февраля летчик-испытатель А.П.Якимов приступил к выполнению намеченной программы (25230).</w:t>
      </w:r>
    </w:p>
    <w:p w14:paraId="523CAA35" w14:textId="77777777" w:rsidR="005913AE" w:rsidRPr="00C94B78" w:rsidRDefault="005913AE" w:rsidP="00B56F90">
      <w:pPr>
        <w:spacing w:after="0" w:line="240" w:lineRule="auto"/>
        <w:jc w:val="both"/>
        <w:rPr>
          <w:rFonts w:ascii="Times New Roman" w:hAnsi="Times New Roman"/>
          <w:color w:val="0070C0"/>
          <w:sz w:val="16"/>
          <w:szCs w:val="16"/>
        </w:rPr>
      </w:pPr>
    </w:p>
    <w:bookmarkEnd w:id="4"/>
    <w:p w14:paraId="1E0C3B1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февраля 1944 года вышел приказ НКАП</w:t>
      </w:r>
    </w:p>
    <w:p w14:paraId="5642D2B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 директором завода № 213 Гоцеридзе М.С. (директора завода № 122), освободить Березина М.Д. (8925)</w:t>
      </w:r>
    </w:p>
    <w:p w14:paraId="5C99B0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6EE6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февраля 1944 года Постановлением ГОКО № 5201сс и 28 февраля 1944 года приказом по НКАП № 149сс от НИИ-3 при СНК передан в систему НКАП и перенаименован НИИ-1 НКАП (8947).</w:t>
      </w:r>
    </w:p>
    <w:p w14:paraId="17F4CE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9EBE87"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5FFFF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FDD0D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февраля 1944 г. была подготовлена ДОКЛАДНАЯ ЗАПИСКА КОМАНДУЮЩЕГО БТ и МВ КА ПРЕДСЕДАТЕЛЮ ГКО МАРШАЛУ СОВЕТСКОГО СОЮЗА И.В. СТАЛИНУ ПО ВОПРОСУ ПЕРЕВООРУЖЕНИЯ ТАНКОВ Т-34</w:t>
      </w:r>
    </w:p>
    <w:p w14:paraId="1C41F21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Проведенными, согласно Постановления ГОКО №4776 от 15.12.1943 г. в период с 27 по 31 дека</w:t>
      </w:r>
      <w:r w:rsidRPr="00070ADE">
        <w:rPr>
          <w:rFonts w:ascii="Times New Roman" w:hAnsi="Times New Roman"/>
          <w:color w:val="000000" w:themeColor="text1"/>
          <w:sz w:val="16"/>
          <w:szCs w:val="16"/>
        </w:rPr>
        <w:softHyphen/>
        <w:t>бря 1943 г. на Гороховецком АНИОПе, испытаниями опытных образцов 85-мм танковых пушек ЛБ-1, С-50 и С-53, определена возможность установки 85-мм пушки С-53 в серийном танке Т-34.</w:t>
      </w:r>
    </w:p>
    <w:p w14:paraId="28F248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своем заключении комиссия совершенно правильно отмечает, что установка 85-мм пушки в танке Т-34 со штатным погоном (диаметр погона 1420 мм) возможна лишь как временная мера, так как условия работы экипажа в танке с этой пушкой значительно затруднены.</w:t>
      </w:r>
    </w:p>
    <w:p w14:paraId="71C8F4E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при этой пушке в башне танка могут стесненно работать только два человека, следо</w:t>
      </w:r>
      <w:r w:rsidRPr="00070ADE">
        <w:rPr>
          <w:rFonts w:ascii="Times New Roman" w:hAnsi="Times New Roman"/>
          <w:color w:val="000000" w:themeColor="text1"/>
          <w:sz w:val="16"/>
          <w:szCs w:val="16"/>
        </w:rPr>
        <w:softHyphen/>
        <w:t>вательно, разместить там третьего человека — командира танка невозможно.</w:t>
      </w:r>
    </w:p>
    <w:p w14:paraId="4567AE4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Отсутствие командира танка в башне, который обычно ведет наблюдение за полем боя и кор</w:t>
      </w:r>
      <w:r w:rsidRPr="00070ADE">
        <w:rPr>
          <w:rFonts w:ascii="Times New Roman" w:hAnsi="Times New Roman"/>
          <w:color w:val="000000" w:themeColor="text1"/>
          <w:sz w:val="16"/>
          <w:szCs w:val="16"/>
        </w:rPr>
        <w:softHyphen/>
        <w:t>ректировку огня, неизбежно отразится на том, что мощное вооружение танка не будет полностью использовано.</w:t>
      </w:r>
    </w:p>
    <w:p w14:paraId="3596103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Дальнейшие работы по повышению меткости стрельбы из танка Т-34 (установка стабилизаторов пушек и механизмов поворота башен, позволяющих получить плавную наводку), при штатном диа</w:t>
      </w:r>
      <w:r w:rsidRPr="00070ADE">
        <w:rPr>
          <w:rFonts w:ascii="Times New Roman" w:hAnsi="Times New Roman"/>
          <w:color w:val="000000" w:themeColor="text1"/>
          <w:sz w:val="16"/>
          <w:szCs w:val="16"/>
        </w:rPr>
        <w:softHyphen/>
        <w:t>метре погона башни, проводить невозможно.</w:t>
      </w:r>
    </w:p>
    <w:p w14:paraId="58F9FFA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Считаю необходимым, параллельно с установкой 85-мм пушек в башни танков Т-34 со штатным погоном, немедленно приступить к организации производства танков Т-34 с расширенной башней, имеющей диаметр погона в свету минимум 1600 мм. Причем, расширенные башни должны позво</w:t>
      </w:r>
      <w:r w:rsidRPr="00070ADE">
        <w:rPr>
          <w:rFonts w:ascii="Times New Roman" w:hAnsi="Times New Roman"/>
          <w:color w:val="000000" w:themeColor="text1"/>
          <w:sz w:val="16"/>
          <w:szCs w:val="16"/>
        </w:rPr>
        <w:softHyphen/>
        <w:t>лять одновременную работу в них 3-х человек.</w:t>
      </w:r>
    </w:p>
    <w:p w14:paraId="09D271E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этих танков необходимо организовать так, чтобы не позднее 1 мая 1944 года все танковые заводы НКТП выпускали танки только с расширенным погоном башни.</w:t>
      </w:r>
    </w:p>
    <w:p w14:paraId="6969886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вооружения 85-мм пушкой танков Т-34 со штатным погоном (до полного перехода на про</w:t>
      </w:r>
      <w:r w:rsidRPr="00070ADE">
        <w:rPr>
          <w:rFonts w:ascii="Times New Roman" w:hAnsi="Times New Roman"/>
          <w:color w:val="000000" w:themeColor="text1"/>
          <w:sz w:val="16"/>
          <w:szCs w:val="16"/>
        </w:rPr>
        <w:softHyphen/>
        <w:t>изводство башен с расширенным погоном), прошу Ваших указаний Наркомату вооружения об обе</w:t>
      </w:r>
      <w:r w:rsidRPr="00070ADE">
        <w:rPr>
          <w:rFonts w:ascii="Times New Roman" w:hAnsi="Times New Roman"/>
          <w:color w:val="000000" w:themeColor="text1"/>
          <w:sz w:val="16"/>
          <w:szCs w:val="16"/>
        </w:rPr>
        <w:softHyphen/>
        <w:t>спечении этих танков прицелами ломающегося типа, так как работа стреляющего, при наличии существующего прицела «ТОП», значительно затруднена.</w:t>
      </w:r>
    </w:p>
    <w:p w14:paraId="10A1F80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Прилагаю копию заключения Государственной комиссии по испытанию 85-мм танковых пушек.</w:t>
      </w:r>
    </w:p>
    <w:p w14:paraId="30B542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Ваших указаний.</w:t>
      </w:r>
    </w:p>
    <w:p w14:paraId="34BEF1F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Генерал-полковник танковых войск Федоренко</w:t>
      </w:r>
    </w:p>
    <w:p w14:paraId="1C55CCA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Генерал-лейтенант танковых войск Бирюков</w:t>
      </w:r>
    </w:p>
    <w:p w14:paraId="2298EB6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2224. Л. 42. Копия (11403).</w:t>
      </w:r>
    </w:p>
    <w:p w14:paraId="5F8C766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232697" w14:textId="77777777" w:rsidR="008742EC" w:rsidRPr="00C94B78" w:rsidRDefault="008742EC"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8 февраля 1944 года началась сборка третьего образца Т-44 с башней со 122-мм пуш</w:t>
      </w:r>
      <w:r w:rsidRPr="00C94B78">
        <w:rPr>
          <w:rFonts w:ascii="Times New Roman" w:hAnsi="Times New Roman"/>
          <w:color w:val="0070C0"/>
          <w:sz w:val="16"/>
          <w:szCs w:val="16"/>
        </w:rPr>
        <w:softHyphen/>
        <w:t>кой Д-25 и погоном 1800 мм (25012).</w:t>
      </w:r>
    </w:p>
    <w:p w14:paraId="3B8C2661" w14:textId="77777777" w:rsidR="008742EC" w:rsidRPr="00C94B78" w:rsidRDefault="008742EC" w:rsidP="00B56F90">
      <w:pPr>
        <w:spacing w:after="0" w:line="240" w:lineRule="auto"/>
        <w:jc w:val="both"/>
        <w:rPr>
          <w:rFonts w:ascii="Times New Roman" w:hAnsi="Times New Roman"/>
          <w:color w:val="0070C0"/>
          <w:sz w:val="16"/>
          <w:szCs w:val="16"/>
        </w:rPr>
      </w:pPr>
    </w:p>
    <w:p w14:paraId="2AA679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февраля 1944 г. была подготовлена СПРАВКА-ДОКЛАД НАЧАЛЬНИКА 1 -го ОТДЕЛА НАЧАЛЬНИКУ ШТАБА ГАВТУ КА ПО ВОПРОСУ ВЫДЕЛЕНИЯ АВТОБЕНЗИНА</w:t>
      </w:r>
    </w:p>
    <w:p w14:paraId="4F9E4BE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Управлением снабжения горючим КА на январь 1944 года для всех фронтов выделено 97480 тонн автобензина, что в среднем составляет 350 килограмм или 8,3 заправки горючего на одну исправную автомашину.</w:t>
      </w:r>
    </w:p>
    <w:p w14:paraId="06D2F2B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подсчете по отдельным фронтам, количество отпущенного горючего составляет:</w:t>
      </w:r>
    </w:p>
    <w:tbl>
      <w:tblPr>
        <w:tblW w:w="0" w:type="auto"/>
        <w:tblInd w:w="40" w:type="dxa"/>
        <w:tblLayout w:type="fixed"/>
        <w:tblCellMar>
          <w:left w:w="40" w:type="dxa"/>
          <w:right w:w="40" w:type="dxa"/>
        </w:tblCellMar>
        <w:tblLook w:val="0000" w:firstRow="0" w:lastRow="0" w:firstColumn="0" w:lastColumn="0" w:noHBand="0" w:noVBand="0"/>
      </w:tblPr>
      <w:tblGrid>
        <w:gridCol w:w="2554"/>
        <w:gridCol w:w="1286"/>
        <w:gridCol w:w="1286"/>
        <w:gridCol w:w="1277"/>
        <w:gridCol w:w="1306"/>
      </w:tblGrid>
      <w:tr w:rsidR="004D4663" w:rsidRPr="00070ADE" w14:paraId="214010A0" w14:textId="77777777">
        <w:trPr>
          <w:trHeight w:val="221"/>
        </w:trPr>
        <w:tc>
          <w:tcPr>
            <w:tcW w:w="2554" w:type="dxa"/>
            <w:tcBorders>
              <w:top w:val="single" w:sz="6" w:space="0" w:color="auto"/>
              <w:left w:val="single" w:sz="6" w:space="0" w:color="auto"/>
              <w:bottom w:val="single" w:sz="6" w:space="0" w:color="auto"/>
              <w:right w:val="single" w:sz="6" w:space="0" w:color="auto"/>
            </w:tcBorders>
          </w:tcPr>
          <w:p w14:paraId="65B59AB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FC2D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F72FF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Карельский</w:t>
            </w:r>
          </w:p>
          <w:p w14:paraId="19C4984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2612CAC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2-й Украинский</w:t>
            </w:r>
          </w:p>
          <w:p w14:paraId="39F9750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20C683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Белорусский</w:t>
            </w:r>
          </w:p>
          <w:p w14:paraId="2107B0F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F1C04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Украинский</w:t>
            </w:r>
          </w:p>
          <w:p w14:paraId="30D2C7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B5BE180" w14:textId="77777777">
        <w:trPr>
          <w:trHeight w:val="451"/>
        </w:trPr>
        <w:tc>
          <w:tcPr>
            <w:tcW w:w="2554" w:type="dxa"/>
            <w:tcBorders>
              <w:top w:val="single" w:sz="6" w:space="0" w:color="auto"/>
              <w:left w:val="single" w:sz="6" w:space="0" w:color="auto"/>
              <w:bottom w:val="single" w:sz="6" w:space="0" w:color="auto"/>
              <w:right w:val="single" w:sz="6" w:space="0" w:color="auto"/>
            </w:tcBorders>
          </w:tcPr>
          <w:p w14:paraId="31CA8E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отпущенных заправок на январь 1944 г.</w:t>
            </w:r>
          </w:p>
          <w:p w14:paraId="42B6D24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AAE72D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w:t>
            </w:r>
          </w:p>
          <w:p w14:paraId="11789C0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B060D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w:t>
            </w:r>
          </w:p>
          <w:p w14:paraId="123970F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0AF380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w:t>
            </w:r>
          </w:p>
          <w:p w14:paraId="1D043F6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7011F5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p w14:paraId="111D47E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EE6C6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Исходя из указанных отпущенных лимитов, машины на приведенном примере для основных отечественных марок могут эксплуатироваться в январе месяце:</w:t>
      </w:r>
    </w:p>
    <w:tbl>
      <w:tblPr>
        <w:tblW w:w="0" w:type="auto"/>
        <w:tblInd w:w="40" w:type="dxa"/>
        <w:tblLayout w:type="fixed"/>
        <w:tblCellMar>
          <w:left w:w="40" w:type="dxa"/>
          <w:right w:w="40" w:type="dxa"/>
        </w:tblCellMar>
        <w:tblLook w:val="0000" w:firstRow="0" w:lastRow="0" w:firstColumn="0" w:lastColumn="0" w:noHBand="0" w:noVBand="0"/>
      </w:tblPr>
      <w:tblGrid>
        <w:gridCol w:w="1853"/>
        <w:gridCol w:w="1402"/>
        <w:gridCol w:w="1402"/>
        <w:gridCol w:w="1402"/>
        <w:gridCol w:w="1411"/>
      </w:tblGrid>
      <w:tr w:rsidR="004D4663" w:rsidRPr="00070ADE" w14:paraId="07399EF4" w14:textId="77777777">
        <w:trPr>
          <w:trHeight w:val="221"/>
        </w:trPr>
        <w:tc>
          <w:tcPr>
            <w:tcW w:w="1853" w:type="dxa"/>
            <w:tcBorders>
              <w:top w:val="single" w:sz="6" w:space="0" w:color="auto"/>
              <w:left w:val="single" w:sz="6" w:space="0" w:color="auto"/>
              <w:bottom w:val="nil"/>
              <w:right w:val="single" w:sz="6" w:space="0" w:color="auto"/>
            </w:tcBorders>
          </w:tcPr>
          <w:p w14:paraId="76474B1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Марки и тип машин</w:t>
            </w:r>
          </w:p>
          <w:p w14:paraId="281972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17" w:type="dxa"/>
            <w:gridSpan w:val="4"/>
            <w:tcBorders>
              <w:top w:val="single" w:sz="6" w:space="0" w:color="auto"/>
              <w:left w:val="single" w:sz="6" w:space="0" w:color="auto"/>
              <w:bottom w:val="single" w:sz="6" w:space="0" w:color="auto"/>
              <w:right w:val="single" w:sz="6" w:space="0" w:color="auto"/>
            </w:tcBorders>
          </w:tcPr>
          <w:p w14:paraId="7341C0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Запас хода в километрах на:</w:t>
            </w:r>
          </w:p>
          <w:p w14:paraId="3C7247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CF0EBBC" w14:textId="77777777">
        <w:trPr>
          <w:trHeight w:val="221"/>
        </w:trPr>
        <w:tc>
          <w:tcPr>
            <w:tcW w:w="1853" w:type="dxa"/>
            <w:tcBorders>
              <w:top w:val="nil"/>
              <w:left w:val="single" w:sz="6" w:space="0" w:color="auto"/>
              <w:bottom w:val="single" w:sz="6" w:space="0" w:color="auto"/>
              <w:right w:val="single" w:sz="6" w:space="0" w:color="auto"/>
            </w:tcBorders>
          </w:tcPr>
          <w:p w14:paraId="4893A67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36538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D44FF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заправки</w:t>
            </w:r>
          </w:p>
          <w:p w14:paraId="1B15A4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84B0A1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 заправки</w:t>
            </w:r>
          </w:p>
          <w:p w14:paraId="61CFAC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7143D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 заправки</w:t>
            </w:r>
          </w:p>
          <w:p w14:paraId="5E8C4AA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71815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заправок</w:t>
            </w:r>
          </w:p>
          <w:p w14:paraId="01F4F1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107161C" w14:textId="77777777">
        <w:trPr>
          <w:trHeight w:val="230"/>
        </w:trPr>
        <w:tc>
          <w:tcPr>
            <w:tcW w:w="1853" w:type="dxa"/>
            <w:tcBorders>
              <w:top w:val="single" w:sz="6" w:space="0" w:color="auto"/>
              <w:left w:val="single" w:sz="6" w:space="0" w:color="auto"/>
              <w:bottom w:val="single" w:sz="6" w:space="0" w:color="auto"/>
              <w:right w:val="single" w:sz="6" w:space="0" w:color="auto"/>
            </w:tcBorders>
          </w:tcPr>
          <w:p w14:paraId="319043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ГАЗ-АА</w:t>
            </w:r>
          </w:p>
          <w:p w14:paraId="067472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C61B7F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p w14:paraId="0BDB3E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4F0B81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1460</w:t>
            </w:r>
          </w:p>
          <w:p w14:paraId="51D3B1E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15C0F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1850</w:t>
            </w:r>
          </w:p>
          <w:p w14:paraId="03C8D1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A0B43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2100</w:t>
            </w:r>
          </w:p>
          <w:p w14:paraId="2D3478B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C43E2B3" w14:textId="77777777">
        <w:trPr>
          <w:trHeight w:val="250"/>
        </w:trPr>
        <w:tc>
          <w:tcPr>
            <w:tcW w:w="1853" w:type="dxa"/>
            <w:tcBorders>
              <w:top w:val="single" w:sz="6" w:space="0" w:color="auto"/>
              <w:left w:val="single" w:sz="6" w:space="0" w:color="auto"/>
              <w:bottom w:val="single" w:sz="6" w:space="0" w:color="auto"/>
              <w:right w:val="single" w:sz="6" w:space="0" w:color="auto"/>
            </w:tcBorders>
          </w:tcPr>
          <w:p w14:paraId="17E81B0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ЗИС-5</w:t>
            </w:r>
          </w:p>
          <w:p w14:paraId="3E61696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A15856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360</w:t>
            </w:r>
          </w:p>
          <w:p w14:paraId="66ABE3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B4AA8E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1320</w:t>
            </w:r>
          </w:p>
          <w:p w14:paraId="2A3EC1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493D5A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1680</w:t>
            </w:r>
          </w:p>
          <w:p w14:paraId="7679221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01CC65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1900</w:t>
            </w:r>
          </w:p>
          <w:p w14:paraId="0AF0A0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35CD6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Следовательно, лимитированного горючего далеко недостаточно для того, чтобы эксплуати</w:t>
      </w:r>
      <w:r w:rsidRPr="00070ADE">
        <w:rPr>
          <w:rFonts w:ascii="Times New Roman" w:hAnsi="Times New Roman"/>
          <w:color w:val="000000" w:themeColor="text1"/>
          <w:sz w:val="16"/>
          <w:szCs w:val="16"/>
        </w:rPr>
        <w:softHyphen/>
        <w:t>ровать автомашины хотя бы в пределах 100 километров в сутки, т.е. 2700 километров в месяц при условии выведения 3 полных дней на проведение профилактического технического обслуживания (смотры №1,2).</w:t>
      </w:r>
    </w:p>
    <w:p w14:paraId="7BA1A9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несмотря на некомплект автотранспорта во фронтах, по количеству отпускае</w:t>
      </w:r>
      <w:r w:rsidRPr="00070ADE">
        <w:rPr>
          <w:rFonts w:ascii="Times New Roman" w:hAnsi="Times New Roman"/>
          <w:color w:val="000000" w:themeColor="text1"/>
          <w:sz w:val="16"/>
          <w:szCs w:val="16"/>
        </w:rPr>
        <w:softHyphen/>
        <w:t>мого горючего автомобильный парк не может быть эффективно использован и на запланированных количествах горючего может эксплуатироваться значительно меньшее количество автомашин (в среднем 50-60 % наличного парка исправных машин).</w:t>
      </w:r>
    </w:p>
    <w:p w14:paraId="03E374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1 отдела ГАВТУ КА инженер-полковник</w:t>
      </w:r>
    </w:p>
    <w:p w14:paraId="47EE589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41. Оп. 11584. Д. 115. Л. 121. Подлинник (11403).</w:t>
      </w:r>
    </w:p>
    <w:p w14:paraId="1DC987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5864C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февраля 1944 вышло Распоряжение ГКО № 5129. О поставке и перевозке мела, талька, каолина и асбеста для предприятий НКРП. РГАНИР, Фонд ГКО, д. 206, лл. 115-116 (11012).</w:t>
      </w:r>
    </w:p>
    <w:p w14:paraId="751EC49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867B0D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февраля 1944 вышло Постановление ГКО № 5130 О мероприятиях по развитию добычи угля в Печорском угольном бассейне в 1944 г. РГАНИР, Фонд ГКО, д. 206, лл. 117-123,124-139 (11012).</w:t>
      </w:r>
    </w:p>
    <w:p w14:paraId="7CF7EA9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DEE9AE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февраля 1944 года приказ № 69с НКВ</w:t>
      </w:r>
    </w:p>
    <w:p w14:paraId="55BAB02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исполнение распоряжения СНК за № 2324-рс от 6 февраля 1944 года о передаче завода № 352 в систему НКПС (6418, 47).</w:t>
      </w:r>
    </w:p>
    <w:p w14:paraId="760455C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5C9BED"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3ED68F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54374C"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8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61DA33F3"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8 февраля южнее Сиверский наши войска с боями продвигались вперёд и заняли несколько населённых пунктов, в том числе Молосово, Петрушина Гора, Торковичи, Овиновичи, Борщёво, Кашицы и железнодорожную станцию Торковичи.</w:t>
      </w:r>
    </w:p>
    <w:p w14:paraId="0B07ED36"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Севернее и северо-западнее города Новосокольники наши войска продолжали вестинаступательные бои, в ходе которых заняли несколько населённых пунктов.</w:t>
      </w:r>
    </w:p>
    <w:p w14:paraId="4A23F4BA"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Звенигородка и Шпола наши войска продолжали вести бои по уничтожению окружённой группировки противника и, сжимая кольцо окружения, овладели населёнными пунктами Орловец, Ксаверовка, Заводянка, Хлыстуновка, Валява, Емчиха, Лозки, Воробиевка, Слобода Мироновка. Одновременно западнее Звенигородканаши войска успешно отражали атаки танков и пехоты противника, стремившихся пробиться на помощь к окружённой группировке.</w:t>
      </w:r>
    </w:p>
    <w:p w14:paraId="607061AE"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при содействии с фланга войск 4-го Украинского фронта, развивая наступление, разбили Никопольскую группировку немцев и 8 февраля штурмом овладели городом Никополь — важным промышленным центром Украины.</w:t>
      </w:r>
    </w:p>
    <w:p w14:paraId="52602F72"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4-го Украинского фронта, прорвав сильно укреплённую оборону немцев на их плацдарме южнее города Никополь, на левом берегу Днепра, за четыре дня наступательных боёв нанесли тяжёлое поражение семи пехотным дивизиям противникаи вышли к реке Днепр на всём протяжении плацдарма. В результате этой операции наши войска полностью ликвидировали оперативно важный плацдарм немцев на левом берегу Днепра протяжением 120 километров по фронту и 35 километров в глубину. В ходе наступления наши войска овладели районными центрами Запорожской областигородом Каменка, Большая Лепетиха и заняли более 40 других населённых пунктов, среди которых крупные населённые пункты Ивановское, Новая Днепровка, Новоеводяное, Днепровка, Водяное, Большая Знаменка, Верхний Рогачик, Карай-Дубина,Ушкалка, Бабино, Нижний Рогачик, Малая Лепетиха. В этих боях нашими войсками уничтожено: танков — 53, орудий разного калибра — 217, миномётов — 118,пулемётов — 370, автомашин — 1.277, повозок с военным имуществом — 570. Противник оставил на поле боя свыше 15.000 трупов солдат и офицеров. Нашими войсками захвачены следующие трофеи: танков — 24, орудий разного калибра — 392, миномётов — 180, пулемётов — 473, винтовок и автоматов — более 4.000, автомашин— 1.686, тракторов и тягачей — 86, мотоциклов — 181, радиостанций — 18, повозок с грузами военного имущества — 1.018, складов с боеприпасами, продовольствием и другим военным имуществом — 20. Взято в плен более 2.000 немецких солдат и офицеров.</w:t>
      </w:r>
    </w:p>
    <w:p w14:paraId="4F08FD15"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7 февраля наши войска на всех фронтах подбили и уничтожили 51 немецкий танк. В воздушных боях и огнём зенитной артиллерии сбито 66 самолётов противника.</w:t>
      </w:r>
    </w:p>
    <w:p w14:paraId="26E1F236"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станции Сиверский ваши войска с боями заняли несколько населённых пунктов. Части Н-ского соединения, преодолевая сопротивление противника, овладели железнодорожной станцией и населённым пунктом Торковичи. За день боёв уничтожено более 800 немецких солдат и офицеров.</w:t>
      </w:r>
    </w:p>
    <w:p w14:paraId="4515C474"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наносила бомбо-штурмовые удары по войскам и коммуникациям противника. Советские лётчики уничтожили до 200 автомашин и много повозок сгрузами, взорвали два железнодорожных эшелона, из них один эшелон с горючим, рассеяли и частью истребили до двух батальонов гитлеровцев.</w:t>
      </w:r>
    </w:p>
    <w:p w14:paraId="6F1E70E0"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и северо-западнее города Новосокольники наши войска с боями продвигались вперёд. На одном участке немцы бросили в контратаку до полкапехоты. Гвардейцы Н-ского соединения отбили контратаку противника и, преследуя гитлеровцев, заняли несколько населённых пунктов. Уничтожено свыше батальона немецкой пехоты. Захвачены 2 танка, много винтовок и автоматов и 11 разных складов. Взяты пленные.</w:t>
      </w:r>
    </w:p>
    <w:p w14:paraId="7DDD404D"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городов Звенигородка и Шпола наши войска продолжали сжимать кольцо окружения группировки войск противника. Части Н-ского соединения в результате ожесточённого боя выбили немцев из нескольких населённых пунктов. Уничтожено не менее 600 вражеских солдат и офицеров. Захвачены трофеи, в числе которых 28 орудий разного калибра. На другом участке советские бойцы в результате ночной атаки овладели одним сильно укреплённым населённым пунктом. Западнее Звенигородка немецкие танки и пехота вновь предприняли попытки пробиться к окружённой группировке. Наши войска отбросили противника, уничтожив при этом 34 танка и самоходных орудия.</w:t>
      </w:r>
    </w:p>
    <w:p w14:paraId="2BF8BECA"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развивая успешное наступление, ночью ворвались в город Никополь. Действуя штурмовыми отрядами, советские бойцы очищали от гитлеровцев улицу за улицей. Тем временем войска 4-го Украинскогофронта переправились через реку Днепр и нанесли немцам, оборонявшим Никополь, удар с тыла и фланга. Умелыми и энергичными действиями советские войска разгромили никопольскую группировку немцев и сегодня штурмом овладели городом Никополь. Захвачены большие трофеи, которые учитываются. В результате одержанной победы Красная Армия возвратила советской стране крупнейший промышленный центр Украины — Никопольский марганцевый район. Южнее города Апостолово наши войска продолжали вести наступательные бои и заняли несколько населённых пунктов. Захвачено у немцев 34 орудия, 75 автомашин, 3 крупных склада и другие трофеи.</w:t>
      </w:r>
    </w:p>
    <w:p w14:paraId="00BC05C2"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4-го Украинского фронта несколько дней тому назад перешли в наступление и в результате ожесточённых боёв ликвидировали плацдарм противникана левом берегу Днепра, южнее города Никополь. Захваченные в плен немецкие солдаты сообщают, что недавно во всех ротах был зачитан приказ Гитлера, вкотором он требовал любой ценой удержать никопольский плацдарм. В приказе говорилось, что выполнение этой задачи будет иметь большое влияние на исход боёв на других участках Восточного фронта. Но случайно немцы построили в этом районе сильные укрепления. Оборонительный рубеж имел три ряда траншей и окопов, опоясанных проволочными заграждениями и минными полями. Особенно сильно были укреплены высоты и населённые пункты в районах, примыкающих к переправам черезДнепр.</w:t>
      </w:r>
    </w:p>
    <w:p w14:paraId="483583B2"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в ходе наступления прорвали оборону немцев, расчленили вражескиевойска на части и в ожесточённых боях разгромили семь пехотных дивизий противника. Большая группа немцев была загнана в Днепровские плавни и полностью уничтожена. Разбитые части противника устремились к переправам в район МалойЛепетихи и Большой Лепетихи. На переправах немцы были накрыты огнём нашей артиллерии и миномётов. Советские лётчики непрерывно бомбили и обстреливали из пулемётов гитлеровцев, пытавшихся перебраться на правый берег Днепра. Тысячи немецких солдат и офицеров утонули в реке. Сегодня утром наши войска заняли районный центр Запорожской области село Большая Лепетиха и тем самым завершили ликвидацию никопольского плацдарма немцев. Противник бросил много техники и военного имущества. Взято более 2 тысяч пленных.</w:t>
      </w:r>
    </w:p>
    <w:p w14:paraId="480A218D"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одном из районов Ленинградской области, совершил налёт на немецкий гарнизон в одном селе. Партизаны уничтожили 120 вражеских солдат и офицеров и освободили три тысячи советских граждан, которых немцы собирались угнать на каторгу в Германию.» (15034).</w:t>
      </w:r>
    </w:p>
    <w:p w14:paraId="47B5F404" w14:textId="77777777" w:rsidR="00777EFD" w:rsidRPr="00070ADE" w:rsidRDefault="00777EFD" w:rsidP="00B56F90">
      <w:pPr>
        <w:spacing w:after="0" w:line="240" w:lineRule="auto"/>
        <w:jc w:val="both"/>
        <w:rPr>
          <w:rFonts w:ascii="Times New Roman" w:hAnsi="Times New Roman"/>
          <w:color w:val="000000" w:themeColor="text1"/>
          <w:sz w:val="16"/>
          <w:szCs w:val="16"/>
        </w:rPr>
      </w:pPr>
    </w:p>
    <w:p w14:paraId="2A5F1678"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8 февраля</w:t>
      </w:r>
      <w:r w:rsidRPr="00070ADE">
        <w:rPr>
          <w:rFonts w:ascii="Times New Roman" w:hAnsi="Times New Roman"/>
          <w:color w:val="000000" w:themeColor="text1"/>
          <w:sz w:val="16"/>
          <w:szCs w:val="16"/>
        </w:rPr>
        <w:t xml:space="preserve"> в 1944 году советское командование предъявило немецким войскам, окруженным под Корсунь-Шевченковском, ультиматум с требованием капитуляции. Офицерам и солдатам, прекратившим сопротивление, гарантировалась жизнь и безопасность, а после войны – возвращение в Германию или любую иную страну по их желанию. Сдавшимся разрешалось сохранить военную форму, знаки различия, награды, личную собственность и ценности, а старшим офицерам – холодное оружие. Немецкое командование блокированных частей отвергло ультиматум (15034).</w:t>
      </w:r>
    </w:p>
    <w:p w14:paraId="1CEDCB58" w14:textId="77777777" w:rsidR="00777EFD" w:rsidRPr="00070ADE" w:rsidRDefault="00777EFD" w:rsidP="00B56F90">
      <w:pPr>
        <w:spacing w:after="0" w:line="240" w:lineRule="auto"/>
        <w:jc w:val="both"/>
        <w:rPr>
          <w:rFonts w:ascii="Times New Roman" w:hAnsi="Times New Roman"/>
          <w:color w:val="000000" w:themeColor="text1"/>
          <w:sz w:val="16"/>
          <w:szCs w:val="16"/>
        </w:rPr>
      </w:pPr>
    </w:p>
    <w:p w14:paraId="6AED3C76"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февраля 1944 года произошла на первый взгляд вполне рядовая авария в Высшей школе летчиков и штурманов АДД в далекой Сред</w:t>
      </w:r>
      <w:r w:rsidRPr="00070ADE">
        <w:rPr>
          <w:rFonts w:ascii="Times New Roman" w:hAnsi="Times New Roman"/>
          <w:color w:val="000000" w:themeColor="text1"/>
          <w:sz w:val="16"/>
          <w:szCs w:val="16"/>
        </w:rPr>
        <w:softHyphen/>
        <w:t>ней Азии: отказал один М-88Б на Ил-4 младшего лейтенанта Ананьева. Он 20 минут удерживал Ил-4 на одном моторе, но когда рабочий перегрелся, приказал экипажу прыгать. Ил-4 на одном моторе длительно лететь без сниже</w:t>
      </w:r>
      <w:r w:rsidRPr="00070ADE">
        <w:rPr>
          <w:rFonts w:ascii="Times New Roman" w:hAnsi="Times New Roman"/>
          <w:color w:val="000000" w:themeColor="text1"/>
          <w:sz w:val="16"/>
          <w:szCs w:val="16"/>
        </w:rPr>
        <w:softHyphen/>
        <w:t>ния не мог из-за большого сопротивления авторотирующего винта отказавшего мотора. Разработка механизма флюгирования, для поворота лопастей (при остановке мотора) потоку для снижения сопротивления, шла вяло. Во</w:t>
      </w:r>
      <w:r w:rsidRPr="00070ADE">
        <w:rPr>
          <w:rFonts w:ascii="Times New Roman" w:hAnsi="Times New Roman"/>
          <w:color w:val="000000" w:themeColor="text1"/>
          <w:sz w:val="16"/>
          <w:szCs w:val="16"/>
        </w:rPr>
        <w:softHyphen/>
        <w:t>енные поставили вопрос «ребром», и 15 апреля замнаркома авиапромышленности Дементьев строго указал Главному конструктору КБ-120 Жданову: «Наиболее отсталым участ</w:t>
      </w:r>
      <w:r w:rsidRPr="00070ADE">
        <w:rPr>
          <w:rFonts w:ascii="Times New Roman" w:hAnsi="Times New Roman"/>
          <w:color w:val="000000" w:themeColor="text1"/>
          <w:sz w:val="16"/>
          <w:szCs w:val="16"/>
        </w:rPr>
        <w:softHyphen/>
        <w:t>ком работы Вашего ОКБ является обеспечение бомбардиро</w:t>
      </w:r>
      <w:r w:rsidRPr="00070ADE">
        <w:rPr>
          <w:rFonts w:ascii="Times New Roman" w:hAnsi="Times New Roman"/>
          <w:color w:val="000000" w:themeColor="text1"/>
          <w:sz w:val="16"/>
          <w:szCs w:val="16"/>
        </w:rPr>
        <w:softHyphen/>
        <w:t>вочной авиации... флюгерными винтами. Несмотря на явную необходимость..., Вами мер к форсированию этих работ не принимается.». В августе 1944 года был выпущен головной Ил-4 с флюгерными винтами УФ-61ИФ, в декабре — с АВ-7ФЕ- 158А. Они выдержали испытания и в 1945 году были запущены в серию, но большинство Ил-4 по-прежнему сдавались с ус</w:t>
      </w:r>
      <w:r w:rsidRPr="00070ADE">
        <w:rPr>
          <w:rFonts w:ascii="Times New Roman" w:hAnsi="Times New Roman"/>
          <w:color w:val="000000" w:themeColor="text1"/>
          <w:sz w:val="16"/>
          <w:szCs w:val="16"/>
        </w:rPr>
        <w:softHyphen/>
        <w:t>таревшими воздушными винтами ВИШ-23Т. Их пытались дора</w:t>
      </w:r>
      <w:r w:rsidRPr="00070ADE">
        <w:rPr>
          <w:rFonts w:ascii="Times New Roman" w:hAnsi="Times New Roman"/>
          <w:color w:val="000000" w:themeColor="text1"/>
          <w:sz w:val="16"/>
          <w:szCs w:val="16"/>
        </w:rPr>
        <w:softHyphen/>
        <w:t>батывать, под них разрабатывали методики полета с отказом одного мотора, но сделать Ил-4 безопасным при отказе одного М-88Б так и не удалось (24140).</w:t>
      </w:r>
    </w:p>
    <w:p w14:paraId="2A35766D" w14:textId="77777777" w:rsidR="00A53A3E" w:rsidRPr="00070ADE" w:rsidRDefault="00A53A3E" w:rsidP="00B56F90">
      <w:pPr>
        <w:spacing w:after="0" w:line="240" w:lineRule="auto"/>
        <w:jc w:val="both"/>
        <w:rPr>
          <w:rFonts w:ascii="Times New Roman" w:hAnsi="Times New Roman"/>
          <w:color w:val="000000" w:themeColor="text1"/>
          <w:sz w:val="16"/>
          <w:szCs w:val="16"/>
        </w:rPr>
      </w:pPr>
    </w:p>
    <w:p w14:paraId="699EA8F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февраля 1944 советские войска освободили от фашистов Никополь (4962).</w:t>
      </w:r>
    </w:p>
    <w:p w14:paraId="06C4D5D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4C3E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февраля 1944 ночным штурмом был освобожден Никополь (430,187).</w:t>
      </w:r>
    </w:p>
    <w:p w14:paraId="3014B9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1BFC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February 8, 1944: German roops evacuate Nikopol in the Ukraine (3819).</w:t>
      </w:r>
    </w:p>
    <w:p w14:paraId="1AC0CD6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194D2D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февраля 1944 немцы, окруженные в Корсунь-Шевченковском котле, отвергли ультиматум и за 10 дней были уничтожены (2070,178).</w:t>
      </w:r>
    </w:p>
    <w:p w14:paraId="756873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1336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8 по 16 февраля 1944 326 нбад 2ВА перевезла на По-2 для 2 и 6 ТА 49 т бензина, 65 т боеприпасов, 525 снаряда для Катюш совершив 822 вылета (518,167).</w:t>
      </w:r>
    </w:p>
    <w:p w14:paraId="5322B3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52AAE3" w14:textId="77777777" w:rsidR="00777EFD"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7F72C085" w14:textId="77777777" w:rsidR="00777EFD" w:rsidRPr="00070ADE" w:rsidRDefault="00777EFD"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7A1710" w14:textId="77777777" w:rsidR="000227A2" w:rsidRPr="00070ADE" w:rsidRDefault="000227A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февраля 1944 127 B-24 Liberators Восьмой армии ВВС в сопровождении 89 P-47 Thunderbolts Восьмой и Девятой армий ВВС атакуют место размещения ФАУ-1 оружия в Сиракуре и место запуска баллистических ракет V-2 в Ваттене, Франция (20373).</w:t>
      </w:r>
    </w:p>
    <w:p w14:paraId="6FD3702A" w14:textId="77777777" w:rsidR="000227A2" w:rsidRPr="00070ADE" w:rsidRDefault="000227A2" w:rsidP="00B56F90">
      <w:pPr>
        <w:spacing w:after="0" w:line="240" w:lineRule="auto"/>
        <w:jc w:val="both"/>
        <w:rPr>
          <w:rFonts w:ascii="Times New Roman" w:hAnsi="Times New Roman"/>
          <w:color w:val="000000" w:themeColor="text1"/>
          <w:sz w:val="16"/>
          <w:szCs w:val="16"/>
        </w:rPr>
      </w:pPr>
    </w:p>
    <w:p w14:paraId="1D82FF2C" w14:textId="77777777" w:rsidR="000227A2" w:rsidRPr="00070ADE" w:rsidRDefault="000227A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февраля 1944 236 B-17 Flying Fortress Восьмой армии ВВС в сопровождении 77 истребителей P-38 Lightning, 435 P-47 и 41 P-51 Mustang атакуют железнодорожные сортировочные станции во Франкфурте-на-Майне, Германия, с потерей 13 B- 17, двух Р-38, трех Р-47 и четырех Р-51. Вместе бомбардировщики и истребители утверждают, что 17 немецких самолетов были сбиты, четыре, вероятно, сбиты и восемь повреждены в воздушном бою (20373).</w:t>
      </w:r>
    </w:p>
    <w:p w14:paraId="4583F940" w14:textId="77777777" w:rsidR="000227A2" w:rsidRPr="00070ADE" w:rsidRDefault="000227A2" w:rsidP="00B56F90">
      <w:pPr>
        <w:spacing w:after="0" w:line="240" w:lineRule="auto"/>
        <w:jc w:val="both"/>
        <w:rPr>
          <w:rFonts w:ascii="Times New Roman" w:hAnsi="Times New Roman"/>
          <w:color w:val="000000" w:themeColor="text1"/>
          <w:sz w:val="16"/>
          <w:szCs w:val="16"/>
        </w:rPr>
      </w:pPr>
    </w:p>
    <w:p w14:paraId="72FDE3EA" w14:textId="77777777" w:rsidR="000227A2" w:rsidRPr="00070ADE" w:rsidRDefault="000227A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8-9 февраля (ночь) 1944 12 Ланкастеров Squadron No. 617 RAF Bomber Command стали пионерами низкого бомбометания в рейде на завод авиадвигателей Gnome и Рон в Лиможе, Франция. После выполнения трех пролетов над заводои, чтобы предупредить французских рабочиъ о необходимости разбежаться, Wing Commander Leonard Cheshire сьросил зажигательные бомбв с высоты от 50 до 100 футов (от 15 до 30 метров), чтобы пометить цели а остальные 11 бомбардировщиков сбрасывают по одной 12 000 фунтов (5443 кг) бомбе, 10 из которых попали в цель. RAF Pathfinder никогда не использует тахнику маркировки с низкой высоты (20373).</w:t>
      </w:r>
    </w:p>
    <w:p w14:paraId="111D75C8" w14:textId="77777777" w:rsidR="000227A2" w:rsidRPr="00070ADE" w:rsidRDefault="000227A2" w:rsidP="00B56F90">
      <w:pPr>
        <w:spacing w:after="0" w:line="240" w:lineRule="auto"/>
        <w:jc w:val="both"/>
        <w:rPr>
          <w:rFonts w:ascii="Times New Roman" w:hAnsi="Times New Roman"/>
          <w:color w:val="000000" w:themeColor="text1"/>
          <w:sz w:val="16"/>
          <w:szCs w:val="16"/>
        </w:rPr>
      </w:pPr>
    </w:p>
    <w:p w14:paraId="7050AA78"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8 февраля</w:t>
      </w:r>
      <w:r w:rsidRPr="00070ADE">
        <w:rPr>
          <w:rFonts w:ascii="Times New Roman" w:hAnsi="Times New Roman"/>
          <w:color w:val="000000" w:themeColor="text1"/>
          <w:sz w:val="16"/>
          <w:szCs w:val="16"/>
        </w:rPr>
        <w:t xml:space="preserve"> в 1944 году в заливе Сула (Крит) британской субмариной «HMS Sportsman» потоплено судно «Petrella» (1923 года постройки, 4785 брт, 115 м, 10 уз) - бывшее французское грузопассажирское судно «Aveyron». На борту находилось 3173 итальянских пленных. Судно тонуло медленно, но немцы-охранники заблокировали помещения, где находились пленные и расстреливали тех из них, кто пытался спастись. Покинуть судно удалось примерно 500 итальянцам, остальные погибли (были ли потери среди экипажа и охраны неизвестно) (15034).</w:t>
      </w:r>
    </w:p>
    <w:p w14:paraId="61A8BD0C" w14:textId="77777777" w:rsidR="00777EFD" w:rsidRPr="00070ADE" w:rsidRDefault="00777EFD" w:rsidP="00B56F90">
      <w:pPr>
        <w:spacing w:after="0" w:line="240" w:lineRule="auto"/>
        <w:jc w:val="both"/>
        <w:rPr>
          <w:rFonts w:ascii="Times New Roman" w:hAnsi="Times New Roman"/>
          <w:color w:val="000000" w:themeColor="text1"/>
          <w:sz w:val="16"/>
          <w:szCs w:val="16"/>
        </w:rPr>
      </w:pPr>
    </w:p>
    <w:p w14:paraId="21694E27"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FE7EB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2F98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февраля 1944 года начальник ЛИИ проф. Чесалов А.В. писал письмо N 95с зам. наркома Авиапрома Дементьеву П.В.</w:t>
      </w:r>
    </w:p>
    <w:p w14:paraId="3FF83CC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Направляю Вам отчет "О летных испытаниях серийного самолета Ла-5 ФН N 39210319 для определения влияния состава смеси на максимальную скорость.</w:t>
      </w:r>
    </w:p>
    <w:p w14:paraId="313FB5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упомянутое на 17 листах маш. N 179.</w:t>
      </w:r>
    </w:p>
    <w:p w14:paraId="741612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 исполнители:</w:t>
      </w:r>
    </w:p>
    <w:p w14:paraId="0DD1B2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 инженер 1-й лаборатории Славов В.А.</w:t>
      </w:r>
    </w:p>
    <w:p w14:paraId="40A8F4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 инженер 3-й лаборатории Кривенко В.А.</w:t>
      </w:r>
    </w:p>
    <w:p w14:paraId="2CC1EA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 летчик Герой Советского Союза Машковский С.</w:t>
      </w:r>
    </w:p>
    <w:p w14:paraId="264283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Цель испытаний</w:t>
      </w:r>
    </w:p>
    <w:p w14:paraId="60C7A1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Определение влияния состава смеси на максимальные скорости полета самолета Ла-5 ФН.</w:t>
      </w:r>
    </w:p>
    <w:p w14:paraId="6599C3A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Объект испытаний</w:t>
      </w:r>
    </w:p>
    <w:p w14:paraId="56F396C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проводились на серийном самолете Ла-5 ФН N 39210319 производства завода N 21 июньского выпуска 1943 года с мотором М-82 ФН и винтом ВИШ-105 В диаметром 3,1 м (1821,68).</w:t>
      </w:r>
    </w:p>
    <w:p w14:paraId="59EBA06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75D9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февраля 1944 был утвержден отчет по испытаниям У-2 лимузина 3ВА, сделанного в мастерских 3ВА по проекту Н.Н.П. ви Л.Н.Марьин и л А.В.Синельников (4542, 21).</w:t>
      </w:r>
    </w:p>
    <w:p w14:paraId="272E78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D2C994" w14:textId="77777777" w:rsidR="00777EFD" w:rsidRPr="00070ADE" w:rsidRDefault="00777EFD" w:rsidP="00B56F90">
      <w:pPr>
        <w:pStyle w:val="a3"/>
        <w:rPr>
          <w:color w:val="000000" w:themeColor="text1"/>
          <w:lang w:val="ru-RU"/>
        </w:rPr>
      </w:pPr>
      <w:r w:rsidRPr="00070ADE">
        <w:rPr>
          <w:color w:val="000000" w:themeColor="text1"/>
          <w:lang w:val="ru-RU"/>
        </w:rPr>
        <w:t>9 февраля 1944 г., состоялось заседание Президиума емии Наук, на котором вопрос окончательно решили не в пользу авиационного крыла Отделения технических наук.</w:t>
      </w:r>
    </w:p>
    <w:p w14:paraId="7D8C1A3D" w14:textId="77777777" w:rsidR="00777EFD" w:rsidRPr="00070ADE" w:rsidRDefault="00777EFD" w:rsidP="00B56F90">
      <w:pPr>
        <w:pStyle w:val="a3"/>
        <w:rPr>
          <w:color w:val="000000" w:themeColor="text1"/>
          <w:lang w:val="ru-RU"/>
        </w:rPr>
      </w:pPr>
      <w:r w:rsidRPr="00070ADE">
        <w:rPr>
          <w:color w:val="000000" w:themeColor="text1"/>
          <w:lang w:val="ru-RU"/>
        </w:rPr>
        <w:t>Ниже приведём выписки из стенограммы заседания Президиума:</w:t>
      </w:r>
    </w:p>
    <w:p w14:paraId="02D79072" w14:textId="77777777" w:rsidR="00777EFD" w:rsidRPr="00070ADE" w:rsidRDefault="00777EFD" w:rsidP="00B56F90">
      <w:pPr>
        <w:pStyle w:val="a3"/>
        <w:rPr>
          <w:color w:val="000000" w:themeColor="text1"/>
          <w:lang w:val="ru-RU"/>
        </w:rPr>
      </w:pPr>
      <w:r w:rsidRPr="00070ADE">
        <w:rPr>
          <w:color w:val="000000" w:themeColor="text1"/>
          <w:lang w:val="ru-RU"/>
        </w:rPr>
        <w:t>«Акад. ЮРЬЕВ — По вопросу об организации в Академии Наук секции</w:t>
      </w:r>
      <w:r w:rsidRPr="00070ADE">
        <w:rPr>
          <w:rStyle w:val="2d"/>
          <w:rFonts w:ascii="Times New Roman" w:hAnsi="Times New Roman" w:cs="Times New Roman"/>
          <w:i w:val="0"/>
          <w:color w:val="000000" w:themeColor="text1"/>
          <w:sz w:val="16"/>
          <w:szCs w:val="16"/>
          <w:lang w:val="ru-RU"/>
        </w:rPr>
        <w:t xml:space="preserve"> авиации</w:t>
      </w:r>
      <w:r w:rsidRPr="00070ADE">
        <w:rPr>
          <w:color w:val="000000" w:themeColor="text1"/>
          <w:lang w:val="ru-RU"/>
        </w:rPr>
        <w:t xml:space="preserve"> проведено около 14 заседаний. Так что с точки зрения целесообразности организации такой секции больше высказываться не приходится — дело ясное, такая организация необходима. Вопрос другой, ей быть, — быть ли ей в АН, или, по примеру заграничных стран, при правительстве. Этот вопрос выходит за пределы компетенции АН. Но нам, непосредственным работникам в области авиации, казалось, что Академия должна была бы быть застрельщиком в гом деле, хотя бы начать работу, которая затем перешла бы в другое место. Тут беда наша заключается именно в организационной стороне дела, как это правиль- отметил Н.Г. [Бруевич]. У нас чересчур сильны центробежные стремления. Даже те товарищи, которые вначале поддерживали эту идею, потом, столкнувшись более реально с планами, начинают подчиняться все-таки центробежному стремлению: ВВС предл</w:t>
      </w:r>
      <w:r w:rsidRPr="00070ADE">
        <w:rPr>
          <w:color w:val="000000" w:themeColor="text1"/>
        </w:rPr>
        <w:t>ar</w:t>
      </w:r>
      <w:r w:rsidRPr="00070ADE">
        <w:rPr>
          <w:color w:val="000000" w:themeColor="text1"/>
          <w:lang w:val="ru-RU"/>
        </w:rPr>
        <w:t xml:space="preserve">ает у себя организовать, Наркомат авиационной промышленности предполагает лругую организацию и т.д. Сейчас назрел вопрос, чтобы всё это объединилось. Я думаю, </w:t>
      </w:r>
      <w:r w:rsidRPr="00070ADE">
        <w:rPr>
          <w:rStyle w:val="2d"/>
          <w:rFonts w:ascii="Times New Roman" w:hAnsi="Times New Roman" w:cs="Times New Roman"/>
          <w:i w:val="0"/>
          <w:color w:val="000000" w:themeColor="text1"/>
          <w:sz w:val="16"/>
          <w:szCs w:val="16"/>
          <w:lang w:val="ru-RU"/>
        </w:rPr>
        <w:t>поскольку</w:t>
      </w:r>
      <w:r w:rsidRPr="00070ADE">
        <w:rPr>
          <w:color w:val="000000" w:themeColor="text1"/>
          <w:lang w:val="ru-RU"/>
        </w:rPr>
        <w:t xml:space="preserve"> всё это направлено в Правительство, материалы там имеются, очевидно, рос должен решиться там. Но я считаю, как правильно сказал </w:t>
      </w:r>
      <w:r w:rsidRPr="00070ADE">
        <w:rPr>
          <w:color w:val="000000" w:themeColor="text1"/>
        </w:rPr>
        <w:t>A</w:t>
      </w:r>
      <w:r w:rsidRPr="00070ADE">
        <w:rPr>
          <w:color w:val="000000" w:themeColor="text1"/>
          <w:lang w:val="ru-RU"/>
        </w:rPr>
        <w:t>.</w:t>
      </w:r>
      <w:r w:rsidRPr="00070ADE">
        <w:rPr>
          <w:color w:val="000000" w:themeColor="text1"/>
        </w:rPr>
        <w:t>M</w:t>
      </w:r>
      <w:r w:rsidRPr="00070ADE">
        <w:rPr>
          <w:color w:val="000000" w:themeColor="text1"/>
          <w:lang w:val="ru-RU"/>
        </w:rPr>
        <w:t>. [Терпигорев], что т</w:t>
      </w:r>
      <w:r w:rsidRPr="00070ADE">
        <w:rPr>
          <w:rStyle w:val="2d"/>
          <w:rFonts w:ascii="Times New Roman" w:hAnsi="Times New Roman" w:cs="Times New Roman"/>
          <w:i w:val="0"/>
          <w:color w:val="000000" w:themeColor="text1"/>
          <w:sz w:val="16"/>
          <w:szCs w:val="16"/>
          <w:lang w:val="ru-RU"/>
        </w:rPr>
        <w:t xml:space="preserve"> вопрос</w:t>
      </w:r>
      <w:r w:rsidRPr="00070ADE">
        <w:rPr>
          <w:color w:val="000000" w:themeColor="text1"/>
          <w:lang w:val="ru-RU"/>
        </w:rPr>
        <w:t xml:space="preserve"> Академией Наук не снимается, несмотря на то, что ряд институтов занимается этими вопросами, это требует внима- </w:t>
      </w:r>
      <w:r w:rsidRPr="00070ADE">
        <w:rPr>
          <w:rStyle w:val="2d"/>
          <w:rFonts w:ascii="Times New Roman" w:hAnsi="Times New Roman" w:cs="Times New Roman"/>
          <w:i w:val="0"/>
          <w:color w:val="000000" w:themeColor="text1"/>
          <w:sz w:val="16"/>
          <w:szCs w:val="16"/>
          <w:lang w:val="ru-RU"/>
        </w:rPr>
        <w:t>и</w:t>
      </w:r>
      <w:r w:rsidRPr="00070ADE">
        <w:rPr>
          <w:color w:val="000000" w:themeColor="text1"/>
          <w:lang w:val="ru-RU"/>
        </w:rPr>
        <w:t xml:space="preserve"> увязки, потому здесь ставятся отдельные</w:t>
      </w:r>
      <w:r w:rsidRPr="00070ADE">
        <w:rPr>
          <w:rStyle w:val="2d"/>
          <w:rFonts w:ascii="Times New Roman" w:hAnsi="Times New Roman" w:cs="Times New Roman"/>
          <w:i w:val="0"/>
          <w:color w:val="000000" w:themeColor="text1"/>
          <w:sz w:val="16"/>
          <w:szCs w:val="16"/>
          <w:lang w:val="ru-RU"/>
        </w:rPr>
        <w:t xml:space="preserve"> авиационные ра</w:t>
      </w:r>
      <w:r w:rsidRPr="00070ADE">
        <w:rPr>
          <w:color w:val="000000" w:themeColor="text1"/>
          <w:lang w:val="ru-RU"/>
        </w:rPr>
        <w:t>боты, все</w:t>
      </w:r>
      <w:r w:rsidRPr="00070ADE">
        <w:rPr>
          <w:rStyle w:val="2d"/>
          <w:rFonts w:ascii="Times New Roman" w:hAnsi="Times New Roman" w:cs="Times New Roman"/>
          <w:i w:val="0"/>
          <w:color w:val="000000" w:themeColor="text1"/>
          <w:sz w:val="16"/>
          <w:szCs w:val="16"/>
          <w:lang w:val="ru-RU"/>
        </w:rPr>
        <w:t xml:space="preserve"> наши</w:t>
      </w:r>
      <w:r w:rsidRPr="00070ADE">
        <w:rPr>
          <w:color w:val="000000" w:themeColor="text1"/>
          <w:lang w:val="ru-RU"/>
        </w:rPr>
        <w:t xml:space="preserve"> проб</w:t>
      </w:r>
      <w:r w:rsidRPr="00070ADE">
        <w:rPr>
          <w:color w:val="000000" w:themeColor="text1"/>
          <w:lang w:val="ru-RU"/>
        </w:rPr>
        <w:softHyphen/>
        <w:t>ны чересчур комплексные и без такой уязки не обойтись. Поэтому я считаю, что этот вопрос снимается только временно и нему, очевидно, придется вернуться. Сейчас вопрос будет очевидно решён в правительстве, может быть будет создана друг организация, более мощная, но в Академии необходима такая ячейка.</w:t>
      </w:r>
    </w:p>
    <w:p w14:paraId="22CD29AD" w14:textId="77777777" w:rsidR="00777EFD" w:rsidRPr="00070ADE" w:rsidRDefault="00777EFD" w:rsidP="00B56F90">
      <w:pPr>
        <w:pStyle w:val="a3"/>
        <w:rPr>
          <w:color w:val="000000" w:themeColor="text1"/>
          <w:lang w:val="ru-RU"/>
        </w:rPr>
      </w:pPr>
      <w:r w:rsidRPr="00070ADE">
        <w:rPr>
          <w:color w:val="000000" w:themeColor="text1"/>
          <w:lang w:val="ru-RU"/>
        </w:rPr>
        <w:t>Акад. ХРИСТИАНОВИЧ — Мне кажется, что вопрос достаточно разъяснён, и я хоте бы добавить только два слова.</w:t>
      </w:r>
    </w:p>
    <w:p w14:paraId="33C49789" w14:textId="77777777" w:rsidR="00777EFD" w:rsidRPr="00070ADE" w:rsidRDefault="00777EFD" w:rsidP="00B56F90">
      <w:pPr>
        <w:pStyle w:val="a3"/>
        <w:rPr>
          <w:color w:val="000000" w:themeColor="text1"/>
          <w:lang w:val="ru-RU"/>
        </w:rPr>
      </w:pPr>
      <w:r w:rsidRPr="00070ADE">
        <w:rPr>
          <w:color w:val="000000" w:themeColor="text1"/>
          <w:lang w:val="ru-RU"/>
        </w:rPr>
        <w:t>Тут есть два вопроса. Первый вопрос о координации научно-исследовательских бот в области авиации, вопрос, который неоднократно ставится и, второй — конкретный вопрос о секции авиации.</w:t>
      </w:r>
    </w:p>
    <w:p w14:paraId="17F62A67" w14:textId="77777777" w:rsidR="00777EFD" w:rsidRPr="00070ADE" w:rsidRDefault="00777EFD" w:rsidP="00B56F90">
      <w:pPr>
        <w:pStyle w:val="a3"/>
        <w:rPr>
          <w:color w:val="000000" w:themeColor="text1"/>
          <w:lang w:val="ru-RU"/>
        </w:rPr>
      </w:pPr>
      <w:r w:rsidRPr="00070ADE">
        <w:rPr>
          <w:color w:val="000000" w:themeColor="text1"/>
          <w:lang w:val="ru-RU"/>
        </w:rPr>
        <w:t>Надо сказать, что вопрос о координации научно-исследовательских работ в облас авиации — это больной вопрос. Нельзя сказать, чтобы мы от этого не страдали. Но</w:t>
      </w:r>
      <w:r w:rsidRPr="00070ADE">
        <w:rPr>
          <w:rStyle w:val="SegoeUI1"/>
          <w:rFonts w:ascii="Times New Roman" w:hAnsi="Times New Roman" w:cs="Times New Roman"/>
          <w:i w:val="0"/>
          <w:color w:val="000000" w:themeColor="text1"/>
          <w:sz w:val="16"/>
          <w:szCs w:val="16"/>
          <w:lang w:val="ru-RU"/>
        </w:rPr>
        <w:t xml:space="preserve"> вместе с </w:t>
      </w:r>
      <w:r w:rsidRPr="00070ADE">
        <w:rPr>
          <w:color w:val="000000" w:themeColor="text1"/>
          <w:lang w:val="ru-RU"/>
        </w:rPr>
        <w:t>сте с тем, мне кажется, что высказанная Н.Г. мысль, что Академии Наук такая коордик ция не под силу, совершенно правильна. Ясно, что Академия Наук не может коор/з нировать работу наркоматских институтов, чрезвычайно мощных институтов. Но вме с тем сейчас, на опыте войны, мы все почувствовали, что недостает одного звена, т.е организующего центра в области военных наук. Поэтому мне кажется, что наличие большой комиссии под председательством В.М. Молотова или тов. Маленкова, котор решала бы важнейшие вопросы в области авиации, &lt;...&gt; целесообразно».</w:t>
      </w:r>
    </w:p>
    <w:p w14:paraId="59C57DC5" w14:textId="77777777" w:rsidR="00777EFD" w:rsidRPr="00070ADE" w:rsidRDefault="00777EFD" w:rsidP="00B56F90">
      <w:pPr>
        <w:pStyle w:val="a3"/>
        <w:rPr>
          <w:color w:val="000000" w:themeColor="text1"/>
          <w:lang w:val="ru-RU"/>
        </w:rPr>
      </w:pPr>
      <w:r w:rsidRPr="00070ADE">
        <w:rPr>
          <w:color w:val="000000" w:themeColor="text1"/>
          <w:lang w:val="ru-RU"/>
        </w:rPr>
        <w:t>Итоги обсуждения подвел Академик-секретарь АН Н.Г. Бруевич:</w:t>
      </w:r>
    </w:p>
    <w:p w14:paraId="0876CBEE" w14:textId="77777777" w:rsidR="00777EFD" w:rsidRPr="00070ADE" w:rsidRDefault="00777EFD" w:rsidP="00B56F90">
      <w:pPr>
        <w:pStyle w:val="a3"/>
        <w:rPr>
          <w:color w:val="000000" w:themeColor="text1"/>
          <w:lang w:val="ru-RU"/>
        </w:rPr>
      </w:pPr>
      <w:r w:rsidRPr="00070ADE">
        <w:rPr>
          <w:color w:val="000000" w:themeColor="text1"/>
          <w:lang w:val="ru-RU"/>
        </w:rPr>
        <w:t>«Отделение технических наук внесло в Президиум предложение об организации секи авиационных проблем. Секция авиации должна &lt;...&gt; в основном состоять из трех частей:</w:t>
      </w:r>
    </w:p>
    <w:p w14:paraId="507A2960" w14:textId="77777777" w:rsidR="00777EFD" w:rsidRPr="00070ADE" w:rsidRDefault="00777EFD" w:rsidP="00B56F90">
      <w:pPr>
        <w:pStyle w:val="a3"/>
        <w:tabs>
          <w:tab w:val="left" w:pos="435"/>
        </w:tabs>
        <w:rPr>
          <w:color w:val="000000" w:themeColor="text1"/>
          <w:lang w:val="ru-RU"/>
        </w:rPr>
      </w:pPr>
      <w:r w:rsidRPr="00070ADE">
        <w:rPr>
          <w:color w:val="000000" w:themeColor="text1"/>
          <w:lang w:val="ru-RU"/>
        </w:rPr>
        <w:t>1) координация научно-исследовательской деятельности в области авиации в Совет-, ском Союзе в академических и внеакадемических учреждениях;</w:t>
      </w:r>
    </w:p>
    <w:p w14:paraId="79921F63" w14:textId="77777777" w:rsidR="00777EFD" w:rsidRPr="00070ADE" w:rsidRDefault="00777EFD" w:rsidP="00B56F90">
      <w:pPr>
        <w:pStyle w:val="a3"/>
        <w:tabs>
          <w:tab w:val="left" w:pos="478"/>
        </w:tabs>
        <w:rPr>
          <w:color w:val="000000" w:themeColor="text1"/>
          <w:lang w:val="ru-RU"/>
        </w:rPr>
      </w:pPr>
      <w:r w:rsidRPr="00070ADE">
        <w:rPr>
          <w:color w:val="000000" w:themeColor="text1"/>
          <w:lang w:val="ru-RU"/>
        </w:rPr>
        <w:t>2) участие в составлении плана научно-исследовательских работ в области авиации по Советскому Союзу и</w:t>
      </w:r>
    </w:p>
    <w:p w14:paraId="75CB1F29" w14:textId="77777777" w:rsidR="00777EFD" w:rsidRPr="00070ADE" w:rsidRDefault="00777EFD" w:rsidP="00B56F90">
      <w:pPr>
        <w:pStyle w:val="a3"/>
        <w:tabs>
          <w:tab w:val="left" w:pos="488"/>
        </w:tabs>
        <w:rPr>
          <w:color w:val="000000" w:themeColor="text1"/>
          <w:lang w:val="ru-RU"/>
        </w:rPr>
      </w:pPr>
      <w:r w:rsidRPr="00070ADE">
        <w:rPr>
          <w:color w:val="000000" w:themeColor="text1"/>
          <w:lang w:val="ru-RU"/>
        </w:rPr>
        <w:t>3) выполнение научно-исследовательских работ в области авиации как непосредст</w:t>
      </w:r>
      <w:r w:rsidRPr="00070ADE">
        <w:rPr>
          <w:color w:val="000000" w:themeColor="text1"/>
          <w:lang w:val="ru-RU"/>
        </w:rPr>
        <w:softHyphen/>
        <w:t>венно секцией, так и руководство научно-исследовательской работой.</w:t>
      </w:r>
    </w:p>
    <w:p w14:paraId="0C774E06" w14:textId="77777777" w:rsidR="00777EFD" w:rsidRPr="00070ADE" w:rsidRDefault="00777EFD" w:rsidP="00B56F90">
      <w:pPr>
        <w:pStyle w:val="a3"/>
        <w:rPr>
          <w:color w:val="000000" w:themeColor="text1"/>
          <w:lang w:val="ru-RU"/>
        </w:rPr>
      </w:pPr>
      <w:r w:rsidRPr="00070ADE">
        <w:rPr>
          <w:color w:val="000000" w:themeColor="text1"/>
          <w:lang w:val="ru-RU"/>
        </w:rPr>
        <w:t>Предложение об организации секции рассматривалось на распорядительном засе</w:t>
      </w:r>
      <w:r w:rsidRPr="00070ADE">
        <w:rPr>
          <w:color w:val="000000" w:themeColor="text1"/>
          <w:lang w:val="ru-RU"/>
        </w:rPr>
        <w:softHyphen/>
        <w:t>дании Президиума Академии Наук. Это предложение докладывалось акад. Б.Н. Юрье</w:t>
      </w:r>
      <w:r w:rsidRPr="00070ADE">
        <w:rPr>
          <w:color w:val="000000" w:themeColor="text1"/>
          <w:lang w:val="ru-RU"/>
        </w:rPr>
        <w:softHyphen/>
        <w:t xml:space="preserve">вым, поддерживалось академиком </w:t>
      </w:r>
      <w:r w:rsidRPr="00070ADE">
        <w:rPr>
          <w:color w:val="000000" w:themeColor="text1"/>
        </w:rPr>
        <w:t>B</w:t>
      </w:r>
      <w:r w:rsidRPr="00070ADE">
        <w:rPr>
          <w:color w:val="000000" w:themeColor="text1"/>
          <w:lang w:val="ru-RU"/>
        </w:rPr>
        <w:t>.</w:t>
      </w:r>
      <w:r w:rsidRPr="00070ADE">
        <w:rPr>
          <w:color w:val="000000" w:themeColor="text1"/>
        </w:rPr>
        <w:t>C</w:t>
      </w:r>
      <w:r w:rsidRPr="00070ADE">
        <w:rPr>
          <w:color w:val="000000" w:themeColor="text1"/>
          <w:lang w:val="ru-RU"/>
        </w:rPr>
        <w:t>. Кулебакиным и вызвало на заседании очень оживленные прения. Сущность этих прений заключалась в следующем.</w:t>
      </w:r>
    </w:p>
    <w:p w14:paraId="57F905D5" w14:textId="77777777" w:rsidR="00777EFD" w:rsidRPr="00070ADE" w:rsidRDefault="00777EFD" w:rsidP="00B56F90">
      <w:pPr>
        <w:pStyle w:val="a3"/>
        <w:rPr>
          <w:color w:val="000000" w:themeColor="text1"/>
          <w:lang w:val="ru-RU"/>
        </w:rPr>
      </w:pPr>
      <w:r w:rsidRPr="00070ADE">
        <w:rPr>
          <w:color w:val="000000" w:themeColor="text1"/>
          <w:lang w:val="ru-RU"/>
        </w:rPr>
        <w:t>Первая задача секции — организация научно-исследовательской деятельности в обла</w:t>
      </w:r>
      <w:r w:rsidRPr="00070ADE">
        <w:rPr>
          <w:color w:val="000000" w:themeColor="text1"/>
          <w:lang w:val="ru-RU"/>
        </w:rPr>
        <w:softHyphen/>
        <w:t>сти авиации и планирование научно-исследовательской деятельности в области авиации в Советском Союзе. Эти задачи являются научно-организационными и могут быть выпол</w:t>
      </w:r>
      <w:r w:rsidRPr="00070ADE">
        <w:rPr>
          <w:color w:val="000000" w:themeColor="text1"/>
          <w:lang w:val="ru-RU"/>
        </w:rPr>
        <w:softHyphen/>
        <w:t>нены в том случае, если организация, которая принимается за эту работу, имеет соот</w:t>
      </w:r>
      <w:r w:rsidRPr="00070ADE">
        <w:rPr>
          <w:color w:val="000000" w:themeColor="text1"/>
          <w:lang w:val="ru-RU"/>
        </w:rPr>
        <w:softHyphen/>
        <w:t>ветствующую власть и может оказать соответствующее влияние. В прениях выступал член-корреспондент АН Келдыш, который напомнил, что такая комиссия существовала в старые годы, примерно от 1935 г. до 1939 г., под председательством члена-корреспон</w:t>
      </w:r>
      <w:r w:rsidRPr="00070ADE">
        <w:rPr>
          <w:color w:val="000000" w:themeColor="text1"/>
          <w:lang w:val="ru-RU"/>
        </w:rPr>
        <w:softHyphen/>
        <w:t>дента АН Некрасова, что эта комиссия пошла по пути организации научно-исследова</w:t>
      </w:r>
      <w:r w:rsidRPr="00070ADE">
        <w:rPr>
          <w:color w:val="000000" w:themeColor="text1"/>
          <w:lang w:val="ru-RU"/>
        </w:rPr>
        <w:softHyphen/>
        <w:t xml:space="preserve">тельской деятельности в области авиации'таким же образом, и результаты деятельности этой комиссии получились ничтожные: комиссия умерла, причём смерть её никто даже </w:t>
      </w:r>
      <w:r w:rsidRPr="00070ADE">
        <w:rPr>
          <w:rStyle w:val="SegoeUI"/>
          <w:rFonts w:ascii="Times New Roman" w:hAnsi="Times New Roman" w:cs="Times New Roman"/>
          <w:i w:val="0"/>
          <w:color w:val="000000" w:themeColor="text1"/>
          <w:lang w:val="ru-RU"/>
        </w:rPr>
        <w:t>и</w:t>
      </w:r>
      <w:r w:rsidRPr="00070ADE">
        <w:rPr>
          <w:color w:val="000000" w:themeColor="text1"/>
          <w:lang w:val="ru-RU"/>
        </w:rPr>
        <w:t xml:space="preserve"> не обнаружил, потому что жизнь её была подобна смерти. В настоящий момент поло</w:t>
      </w:r>
      <w:r w:rsidRPr="00070ADE">
        <w:rPr>
          <w:color w:val="000000" w:themeColor="text1"/>
          <w:lang w:val="ru-RU"/>
        </w:rPr>
        <w:softHyphen/>
        <w:t>жение не изменилось, поэтому вновь организуемая комиссия могла бы дать такие же результаты, как и раньше существовавшая комиссия.</w:t>
      </w:r>
    </w:p>
    <w:p w14:paraId="0761AB6D" w14:textId="77777777" w:rsidR="00777EFD" w:rsidRPr="00070ADE" w:rsidRDefault="00777EFD" w:rsidP="00B56F90">
      <w:pPr>
        <w:pStyle w:val="a3"/>
        <w:rPr>
          <w:color w:val="000000" w:themeColor="text1"/>
          <w:lang w:val="ru-RU"/>
        </w:rPr>
      </w:pPr>
      <w:r w:rsidRPr="00070ADE">
        <w:rPr>
          <w:color w:val="000000" w:themeColor="text1"/>
          <w:lang w:val="ru-RU"/>
        </w:rPr>
        <w:t>К проекту положения о секции авиационных проблем был приложен проект плана на</w:t>
      </w:r>
      <w:r w:rsidRPr="00070ADE">
        <w:rPr>
          <w:color w:val="000000" w:themeColor="text1"/>
          <w:lang w:val="ru-RU"/>
        </w:rPr>
        <w:softHyphen/>
        <w:t>учно-исследовательской деятельности секции, из которого видно, что в 1944 г. секция авиационных проблем будет заниматься не непосредственно выполнением научно-ис</w:t>
      </w:r>
      <w:r w:rsidRPr="00070ADE">
        <w:rPr>
          <w:color w:val="000000" w:themeColor="text1"/>
          <w:lang w:val="ru-RU"/>
        </w:rPr>
        <w:softHyphen/>
        <w:t>следовательских работ самой этой секцией, а будет руководить научно-исследователь- ской деятельностью других организаций или будет выполнять научно-исследовательскую работу через другие организации. Передо мной лежит план. В этом плане имеется все</w:t>
      </w:r>
      <w:r w:rsidRPr="00070ADE">
        <w:rPr>
          <w:color w:val="000000" w:themeColor="text1"/>
          <w:lang w:val="ru-RU"/>
        </w:rPr>
        <w:softHyphen/>
        <w:t>го 9 проблем, и когда я смотрю, кто же выполняет эти научно-исследовательские рабо</w:t>
      </w:r>
      <w:r w:rsidRPr="00070ADE">
        <w:rPr>
          <w:color w:val="000000" w:themeColor="text1"/>
          <w:lang w:val="ru-RU"/>
        </w:rPr>
        <w:softHyphen/>
      </w:r>
      <w:r w:rsidRPr="00070ADE">
        <w:rPr>
          <w:rStyle w:val="SegoeUI"/>
          <w:rFonts w:ascii="Times New Roman" w:hAnsi="Times New Roman" w:cs="Times New Roman"/>
          <w:i w:val="0"/>
          <w:color w:val="000000" w:themeColor="text1"/>
          <w:lang w:val="ru-RU"/>
        </w:rPr>
        <w:t>ты,</w:t>
      </w:r>
      <w:r w:rsidRPr="00070ADE">
        <w:rPr>
          <w:color w:val="000000" w:themeColor="text1"/>
          <w:lang w:val="ru-RU"/>
        </w:rPr>
        <w:t xml:space="preserve"> то видно, что все они комплексные, что все они выполняются различными органи</w:t>
      </w:r>
      <w:r w:rsidRPr="00070ADE">
        <w:rPr>
          <w:color w:val="000000" w:themeColor="text1"/>
          <w:lang w:val="ru-RU"/>
        </w:rPr>
        <w:softHyphen/>
        <w:t>зациями, главным образом неакадемическими. &lt;...&gt;». Доказывая, что АН не может брать на себя несвойственные ей задачи, Бруевич говорил: «Академия Наук почти не имеет конструкторских кадров, а конструкторские кадры при решении задач, связанных с постройкой новых приборов, являются чрезвычайно важны</w:t>
      </w:r>
      <w:r w:rsidRPr="00070ADE">
        <w:rPr>
          <w:color w:val="000000" w:themeColor="text1"/>
          <w:lang w:val="ru-RU"/>
        </w:rPr>
        <w:softHyphen/>
        <w:t>ми. Академия Наук не имеет специального оборудования, очень сложного оборудования, совершенно необходимого для разрешения актуальных специальных задач в области авиации. Труб у Академии нет, а без труб, конечно, невозможно вести исследования во</w:t>
      </w:r>
      <w:r w:rsidRPr="00070ADE">
        <w:rPr>
          <w:color w:val="000000" w:themeColor="text1"/>
          <w:lang w:val="ru-RU"/>
        </w:rPr>
        <w:softHyphen/>
        <w:t>просов, связанных с авиацией. Двигателей нет.</w:t>
      </w:r>
    </w:p>
    <w:p w14:paraId="48FA2F6B" w14:textId="77777777" w:rsidR="00777EFD" w:rsidRPr="00070ADE" w:rsidRDefault="00777EFD" w:rsidP="00B56F90">
      <w:pPr>
        <w:pStyle w:val="a3"/>
        <w:rPr>
          <w:color w:val="000000" w:themeColor="text1"/>
          <w:lang w:val="ru-RU"/>
        </w:rPr>
      </w:pPr>
      <w:r w:rsidRPr="00070ADE">
        <w:rPr>
          <w:color w:val="000000" w:themeColor="text1"/>
          <w:lang w:val="ru-RU"/>
        </w:rPr>
        <w:t>Таким образом, мы, имея научные кадры, но, не имея инженерных кадров, констру</w:t>
      </w:r>
      <w:r w:rsidRPr="00070ADE">
        <w:rPr>
          <w:color w:val="000000" w:themeColor="text1"/>
          <w:lang w:val="ru-RU"/>
        </w:rPr>
        <w:softHyphen/>
        <w:t>кторских кадров, не имея оборудования, должны говорить, что Академия может и обя</w:t>
      </w:r>
      <w:r w:rsidRPr="00070ADE">
        <w:rPr>
          <w:color w:val="000000" w:themeColor="text1"/>
          <w:lang w:val="ru-RU"/>
        </w:rPr>
        <w:softHyphen/>
        <w:t>зана решать крупные научные вопросы, связанные с авиацией и техникой авиации, но теоретического порядка. &lt;...&gt; Вот почему в результате этого обсуждения выяснилось, что имеются две точки зрения. Первая точка зрения заключается в том, что желательна организация секции авиаци</w:t>
      </w:r>
      <w:r w:rsidRPr="00070ADE">
        <w:rPr>
          <w:color w:val="000000" w:themeColor="text1"/>
          <w:lang w:val="ru-RU"/>
        </w:rPr>
        <w:softHyphen/>
        <w:t xml:space="preserve">онных проблем с этими тремя задачами: увязка научно-исследовательской деятельности </w:t>
      </w:r>
      <w:r w:rsidRPr="00070ADE">
        <w:rPr>
          <w:rStyle w:val="SegoeUI"/>
          <w:rFonts w:ascii="Times New Roman" w:hAnsi="Times New Roman" w:cs="Times New Roman"/>
          <w:i w:val="0"/>
          <w:color w:val="000000" w:themeColor="text1"/>
          <w:lang w:val="ru-RU"/>
        </w:rPr>
        <w:t>в</w:t>
      </w:r>
      <w:r w:rsidRPr="00070ADE">
        <w:rPr>
          <w:color w:val="000000" w:themeColor="text1"/>
          <w:lang w:val="ru-RU"/>
        </w:rPr>
        <w:t xml:space="preserve"> области авиации во всем Союзе, планирование научно-исследовательской деятельно</w:t>
      </w:r>
      <w:r w:rsidRPr="00070ADE">
        <w:rPr>
          <w:color w:val="000000" w:themeColor="text1"/>
          <w:lang w:val="ru-RU"/>
        </w:rPr>
        <w:softHyphen/>
        <w:t>сти во всем Союзе и непосредственное проведение научно-исследовательских работ.</w:t>
      </w:r>
    </w:p>
    <w:p w14:paraId="40F9E5E7" w14:textId="77777777" w:rsidR="00777EFD" w:rsidRPr="00070ADE" w:rsidRDefault="00777EFD" w:rsidP="00B56F90">
      <w:pPr>
        <w:pStyle w:val="a3"/>
        <w:rPr>
          <w:color w:val="000000" w:themeColor="text1"/>
          <w:lang w:val="ru-RU"/>
        </w:rPr>
      </w:pPr>
      <w:r w:rsidRPr="00070ADE">
        <w:rPr>
          <w:color w:val="000000" w:themeColor="text1"/>
          <w:lang w:val="ru-RU"/>
        </w:rPr>
        <w:t>И вторая точка зрения заключается в том, что первые две задачи не являются компе</w:t>
      </w:r>
      <w:r w:rsidRPr="00070ADE">
        <w:rPr>
          <w:color w:val="000000" w:themeColor="text1"/>
          <w:lang w:val="ru-RU"/>
        </w:rPr>
        <w:softHyphen/>
        <w:t xml:space="preserve">тенцией Академии Наук, что АН может по этому поводу представлять свои соображения </w:t>
      </w:r>
      <w:r w:rsidRPr="00070ADE">
        <w:rPr>
          <w:rStyle w:val="SegoeUI"/>
          <w:rFonts w:ascii="Times New Roman" w:hAnsi="Times New Roman" w:cs="Times New Roman"/>
          <w:i w:val="0"/>
          <w:color w:val="000000" w:themeColor="text1"/>
          <w:lang w:val="ru-RU"/>
        </w:rPr>
        <w:t>в</w:t>
      </w:r>
      <w:r w:rsidRPr="00070ADE">
        <w:rPr>
          <w:color w:val="000000" w:themeColor="text1"/>
          <w:lang w:val="ru-RU"/>
        </w:rPr>
        <w:t xml:space="preserve"> Правительство об организации такого органа, но уже в качестве правительственного, а </w:t>
      </w:r>
      <w:r w:rsidRPr="00070ADE">
        <w:rPr>
          <w:rStyle w:val="SegoeUI"/>
          <w:rFonts w:ascii="Times New Roman" w:hAnsi="Times New Roman" w:cs="Times New Roman"/>
          <w:i w:val="0"/>
          <w:color w:val="000000" w:themeColor="text1"/>
          <w:lang w:val="ru-RU"/>
        </w:rPr>
        <w:t>не</w:t>
      </w:r>
      <w:r w:rsidRPr="00070ADE">
        <w:rPr>
          <w:color w:val="000000" w:themeColor="text1"/>
          <w:lang w:val="ru-RU"/>
        </w:rPr>
        <w:t xml:space="preserve"> академического, но в АН создавать такой орган без поручения правительства нельзя».</w:t>
      </w:r>
    </w:p>
    <w:p w14:paraId="4DF59414" w14:textId="77777777" w:rsidR="00777EFD" w:rsidRPr="00070ADE" w:rsidRDefault="00777EFD" w:rsidP="00B56F90">
      <w:pPr>
        <w:pStyle w:val="a3"/>
        <w:rPr>
          <w:color w:val="000000" w:themeColor="text1"/>
          <w:lang w:val="ru-RU"/>
        </w:rPr>
      </w:pPr>
      <w:r w:rsidRPr="00070ADE">
        <w:rPr>
          <w:color w:val="000000" w:themeColor="text1"/>
          <w:lang w:val="ru-RU"/>
        </w:rPr>
        <w:t>Результатом заседания стало принятое решение о нецелесообразности создания Секции авиационных проблем в Академии наук (15789).</w:t>
      </w:r>
    </w:p>
    <w:p w14:paraId="613E8FD7" w14:textId="77777777" w:rsidR="00777EFD" w:rsidRPr="00070ADE" w:rsidRDefault="00777EFD" w:rsidP="00B56F90">
      <w:pPr>
        <w:pStyle w:val="a3"/>
        <w:rPr>
          <w:color w:val="000000" w:themeColor="text1"/>
          <w:lang w:val="ru-RU"/>
        </w:rPr>
      </w:pPr>
    </w:p>
    <w:p w14:paraId="38211D5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февраля 1944 С.П.К. завершил подготовку отчета "Реактивная установка с двигателем РД-1. Стартовый вариант" (Там же, № 25) (10676).</w:t>
      </w:r>
    </w:p>
    <w:p w14:paraId="69709F6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0A0F13D"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953866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58F88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февраля 1944 вышло Постановление ГКО № 5132 О неотложных мероприятиях по обеспечению снабжения населения продовольственными товарами в I квартале 1944 года. РГАНИР, Фонд ГКО, д. 206, лл. 141-145,146-158 (11012).</w:t>
      </w:r>
    </w:p>
    <w:p w14:paraId="1444748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137D63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февраля 1944 вышло Постановление ГКО № 5134 О мероприятиях по восстановлению и пуску в эксплуатацию предприятий сахарной, спиртовой, маслобойно-жировой и соляной промышленности Наркомпищепрома СССР в освобожденных районах левобережья Украины. РГАНИР, Фонд ГКО, д. 206, лл. 175-188,189-218 (11012).</w:t>
      </w:r>
    </w:p>
    <w:p w14:paraId="7622783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369B2B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февраля 1944 вышло Постановление ГКО № 5135 Об отпуске продовольственных, госпитальных и фуражных пайков для Красной Армии, Военно-Морского Флота и войск НКВД в феврале 1944 г. РГАНИР, Фонд ГКО, д. 207, лл. 1-4,5-6 (11012).</w:t>
      </w:r>
    </w:p>
    <w:p w14:paraId="28F9D1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2F63FF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февраля 1944 вышло Постановление ГКО № 5136 О формировании для ИА ПВО Красной Армии одного Управления истребительной авиационной дивизии по штату 015.145. РГАНИР, Фонд ГКО, д. 207, лл. 7 (11012).</w:t>
      </w:r>
    </w:p>
    <w:p w14:paraId="0C00D7A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75DCAE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февраля 1944 вышло Постановление ГКО № 5137 О плане снабжения горюче-смазочными материалами и каменноугольным топливом Красной Армии и Военно-Морского Флота на февраль 1944 года. РГАНИР, Фонд ГКО, д. 207, лл. 8-9,10-47 (11012).</w:t>
      </w:r>
    </w:p>
    <w:p w14:paraId="043CEF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0C98CE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февраля 1944 вышло Постановление ГКО № 5138 О дальнейшем увеличении мощностей по производству алюминия и магния. (7186, 48-54,55-156).</w:t>
      </w:r>
    </w:p>
    <w:p w14:paraId="3F2F618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BDF35B"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D2DA6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4913B4"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9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0D8589FB"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9 февраля на Лужском направлении наши войска,продолжая наступление, овладели районным центром Ленинградской области и крупной железнодорожной станцией Оредеж, а также с боями заняли более 30 других населённых пунктов, в том числе населённые пункты Туровка, Волок, Красные Горы, Кемка, Долговка, Малое Замошье, Большое Замошье, Гобжицы, Баньково, Хабалинка, Великое Село, Малые и Большие Влешковичи и железнодорожную станцию Зазлинье.</w:t>
      </w:r>
    </w:p>
    <w:p w14:paraId="570B0E64"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Новгорода наши войска, преодолевая сопротивление и контратаки противника, вели наступательные бои, в ходе которых заняли несколько населённых пунктов и среди них: Радоли, Озерево, Новые Гусины, Илемцы, Самокража, Раджа, Змиева Гора, Воронино и железнодорожная станция Мойка.</w:t>
      </w:r>
    </w:p>
    <w:p w14:paraId="5E33F29C"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Звенигородка и Шпола наши войска продолжали вести бои по уничтожению окружённой группировки противника и, сжимая кольцо окружения, овладели районным центром Киевской области Городище и населёнными пунктами Москаленки, Выграев, Будковка, Дердень, Руденков, Сахновка, Бровахи, Кирилловка.</w:t>
      </w:r>
    </w:p>
    <w:p w14:paraId="09EF342D"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Апостолово наши войска с боями продвигались вперёд и заняли более 40 населённых пунктов, в том числе Радушное, Александровка, Владимировка, Малая Костромочка, Андреевка, Мережино, Зелёный Луг.</w:t>
      </w:r>
    </w:p>
    <w:p w14:paraId="38B14C3C"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города Никополь наши войска овладели районным центром Днепропетровской области Чкалово, а также заняли населённые пункты Лапинка, Сулицкое, Алексеевка, Капуловка, Покровское, Перевизские и железнодорожные станции Сирко, Чертомлык.</w:t>
      </w:r>
    </w:p>
    <w:p w14:paraId="04C661E2"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8 февраля наши войска на всех фронтах подбили и уничтожили 90 немецких танков. В воздушных боях и огнём зенитной артиллерии сбито 19 самолётов противника.</w:t>
      </w:r>
    </w:p>
    <w:p w14:paraId="49A5C489"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Лужском направлении наши войска продолжали наступление и овладели районным центром Ленинградской области и крупной железнодорожной станцией Оредеж. В этом районе немцы, укрепившись на выгодных позициях, оказывали упорное сопротивление. Наши бойцы перерезали железную дорогу Оредеж—Батецкая и усилили нажим на правый фланг противника. Другие наши части, наступавшие вдоль реки Оредеж, охватили немцев с севера. Решительными ударами с различных направлений советские войска разгромили противника и заняли Оредеж. Захвачены большие трофеи. В течение дня нашими частями освобождено от немецких захватчиков более 30 других населённых пунктов. В ходе боёв уничтожено до 1.200 солдат и офицеров противника.</w:t>
      </w:r>
    </w:p>
    <w:p w14:paraId="7771A6C4"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Новгорода наши войска с боями продвигались вперёд. Противник оказывал упорное сопротивление и несколько раз переходил в контратаки. Части Н-ского соединения сломили сопротивление немцев, заняли железнодорожную станцию Мойка и несколько других населённых пунктов. Уничтожено до батальона гитлеровцев. Захвачены у немцев 18 орудий, 70 пулемётов и другие трофеи.</w:t>
      </w:r>
    </w:p>
    <w:p w14:paraId="5E1795BA"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городов Звенигородка и Шпола наши войска продолжали вести бои по уничтожению окружённой группировки противника. Части Н-ского соединения, сжимая кольцо окружения, в результате ожесточённого боя овладели сильно укреплённым узлом обороны немцев — районным центром Киевской области Городище. На поле боя остались сотни вражеских трупов. Захвачено много трофеев, в том числе 26 орудий. На другом участке советские бойцы, несмотря на крайне неблагоприятные условия погоды, переправились через водный рубеж и заняли несколько населённых пунктов. В боях за эти пункты уничтожено до 1.000 гитлеровцев и взято значительное число пленных. Западнее Звенигородки наши войска вели успешные бои с танками и пехотой противника, пытавшимися пробиться на помощь окружённой группировке. В этих боях уничтожено 42 немецких танка, 6 бронетранспортёров и 90 автомашин. Захвачены у немцев несколько исправных танков и другие трофеи.</w:t>
      </w:r>
    </w:p>
    <w:p w14:paraId="49D7E965"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города Никополь наши войска, продолжая наступление, овладели районным центром Днепропетровской области Чкалово. В бою за Чкалово уничтожено свыше 800 немецких солдат и офицеров. Захвачено 18 орудий, 10 тягачей, 60 пулемётов, 200 автомашин, крупный склад с зерном и другие трофеи. Бойцы другого нашего соединения заняли несколько населённых пунктов и взяли в плен две роты гитлеровцев.</w:t>
      </w:r>
    </w:p>
    <w:p w14:paraId="7B21A5F3"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корабли в Баренцовом море потопили транспорт противника водоизмещением в 4 тысячи тонн.</w:t>
      </w:r>
    </w:p>
    <w:p w14:paraId="54E84872"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групп белорусских партизан проникли в один город Минской области и взорвали офицерскую гостиницу. Убито 32 немецких офицера. Другая группа партизан взорвала два ресторана. В ресторанах убито и ранено более 100 гитлеровцев. Барановичские партизаны пустили под откос немецкий воинский эшелон. В результате крушения разбиты паровоз, 8 цистерн с бензином, 6 платформ с автомашинами и 2 платформы с танками.</w:t>
      </w:r>
    </w:p>
    <w:p w14:paraId="6E303047"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На-днях на одном из участков фронта на сторону Красной Армии перешли четыре немецких солдата. Перебежчики привели с собой фельдфебеля и ефрейтора. Перебежчик Арнольд К. сообщил: «Мы уже давно находимся на фронте, не раз участвовали в тяжёлых боях и привыкли смотреть смерти в глаза. Однако умирать за Гитлера, который навлёк на Германию столько горя и страданий, у нас не было никакого желания. Решив перейти на сторону русских, мы разработали подробный план. Выбрав удобный момент, мы ворвались в блиндаж, где находились фельдфебельи ефрейтор, и предложили им пойти с нами. Фельдфебель пытался оказать сопротивление, но был обезоружен. Ему связали руки. Ефрейтор выразил желание добровольно следовать за нами». Перебежчики принесли с собой пулемет и несколько винтовок.» (15035).</w:t>
      </w:r>
    </w:p>
    <w:p w14:paraId="49B8FF17" w14:textId="77777777" w:rsidR="00777EFD" w:rsidRPr="00070ADE" w:rsidRDefault="00777EFD" w:rsidP="00B56F90">
      <w:pPr>
        <w:spacing w:after="0" w:line="240" w:lineRule="auto"/>
        <w:jc w:val="both"/>
        <w:rPr>
          <w:rFonts w:ascii="Times New Roman" w:hAnsi="Times New Roman"/>
          <w:color w:val="000000" w:themeColor="text1"/>
          <w:sz w:val="16"/>
          <w:szCs w:val="16"/>
        </w:rPr>
      </w:pPr>
    </w:p>
    <w:p w14:paraId="591EF364" w14:textId="77777777" w:rsidR="00777EFD" w:rsidRPr="00070ADE" w:rsidRDefault="00777E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9 февраля</w:t>
      </w:r>
      <w:r w:rsidRPr="00070ADE">
        <w:rPr>
          <w:rFonts w:ascii="Times New Roman" w:hAnsi="Times New Roman"/>
          <w:color w:val="000000" w:themeColor="text1"/>
          <w:sz w:val="16"/>
          <w:szCs w:val="16"/>
        </w:rPr>
        <w:t xml:space="preserve"> в 1944 году возобновление боевых действий в районе Корсунь-Шевченковского (15035).</w:t>
      </w:r>
    </w:p>
    <w:p w14:paraId="136C1B99" w14:textId="77777777" w:rsidR="00777EFD" w:rsidRPr="00070ADE" w:rsidRDefault="00777EFD" w:rsidP="00B56F90">
      <w:pPr>
        <w:spacing w:after="0" w:line="240" w:lineRule="auto"/>
        <w:jc w:val="both"/>
        <w:rPr>
          <w:rFonts w:ascii="Times New Roman" w:hAnsi="Times New Roman"/>
          <w:color w:val="000000" w:themeColor="text1"/>
          <w:sz w:val="16"/>
          <w:szCs w:val="16"/>
        </w:rPr>
      </w:pPr>
    </w:p>
    <w:p w14:paraId="356B6F0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февраля 1944 вышло Постановление ГКО № 5131 О возвращении на свои стационарные аэродромы Ивановской и Pязанской высших школ штурманов и летчиков авиации ДД [дальнего действия]. (7185, 140).</w:t>
      </w:r>
    </w:p>
    <w:p w14:paraId="758E82E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41D12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февраля 1944 вышло Постановление ГКО № 5133 Об усилении и техническом оснащении аварийно-спасательной службы Военно-Морского Флота. (7185, 159-164,165-174).</w:t>
      </w:r>
    </w:p>
    <w:p w14:paraId="3302C12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B7ECBA"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2A0157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9861A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февраля 1944 английская королевская семья провела обед в йоркширтской шахте вместе с горняками (4962).</w:t>
      </w:r>
    </w:p>
    <w:p w14:paraId="40E6B24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526EF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февраля 1944 английский епископ Джордж Белл, выступая в парламенте, осудил массовые бомбардировки авиацией союзников гражданских объектов Германии (4962).</w:t>
      </w:r>
    </w:p>
    <w:p w14:paraId="0E77C86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500D22" w14:textId="77777777" w:rsidR="00583EED" w:rsidRPr="00070ADE" w:rsidRDefault="00583EE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9 февраля</w:t>
      </w:r>
      <w:r w:rsidRPr="00070ADE">
        <w:rPr>
          <w:rFonts w:ascii="Times New Roman" w:hAnsi="Times New Roman"/>
          <w:color w:val="000000" w:themeColor="text1"/>
          <w:sz w:val="16"/>
          <w:szCs w:val="16"/>
        </w:rPr>
        <w:t xml:space="preserve"> в 1944 году в палате общин британского парламента бомбардировка британскими ВВС Берлина 20 января 1944 стала причиной протестов по поводу бомбардировок немецких городов (15035).</w:t>
      </w:r>
    </w:p>
    <w:p w14:paraId="2E14928A" w14:textId="77777777" w:rsidR="00583EED" w:rsidRPr="00070ADE" w:rsidRDefault="00583EED" w:rsidP="00B56F90">
      <w:pPr>
        <w:spacing w:after="0" w:line="240" w:lineRule="auto"/>
        <w:jc w:val="both"/>
        <w:rPr>
          <w:rFonts w:ascii="Times New Roman" w:hAnsi="Times New Roman"/>
          <w:color w:val="000000" w:themeColor="text1"/>
          <w:sz w:val="16"/>
          <w:szCs w:val="16"/>
        </w:rPr>
      </w:pPr>
    </w:p>
    <w:p w14:paraId="6646930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lastRenderedPageBreak/>
        <w:t>Авиапромышленность:</w:t>
      </w:r>
    </w:p>
    <w:p w14:paraId="3C830D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A2C8D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февраля 1944 Дир. завода 240 С.В.И. писал письмо N 8/181с НКАП А.И.Ш.:</w:t>
      </w:r>
    </w:p>
    <w:p w14:paraId="220000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 Вам, что оборудовать Ил-2 системой впрыска воды в цилиндры мотора, согласно Вашего приказа N 681с, технически не представляется возможным, ввиду отсутствия места для размещения дополнительного водяного бака емкостью 80 л.</w:t>
      </w:r>
    </w:p>
    <w:p w14:paraId="7518712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Ил-2, оборудованный системой впрыска воды в НИИ ВВС КА и там же проходивший испытания, имел водяной бак в кабине стрелка. Бак занимал место стрелка и стрелок в кабине отсутствовал. для боевых самолетов такая установка водяного бака - недопустима." (2562,54).</w:t>
      </w:r>
    </w:p>
    <w:p w14:paraId="45B99D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D11B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февраля 1944 вышел приказ НКАП N 115 о поломке Ил-10 Исаковым (985,38).</w:t>
      </w:r>
    </w:p>
    <w:p w14:paraId="7D2172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3C3B5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февраля 1944 закончились летные испытания Ла-5ФН N 39210206 модифицированного ЦАГИ, которые начались 14 декабря 1943 (752,1).</w:t>
      </w:r>
    </w:p>
    <w:p w14:paraId="2CBD61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 Инженер В.Я.Молочаев</w:t>
      </w:r>
    </w:p>
    <w:p w14:paraId="785B16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 Л-к Н.В.Адамович</w:t>
      </w:r>
    </w:p>
    <w:p w14:paraId="5982D4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Было выполнено 17 полетов с налетов 7:45.</w:t>
      </w:r>
    </w:p>
    <w:p w14:paraId="0B0ED1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Трижды заменяли свечи, дважды РС-2</w:t>
      </w:r>
    </w:p>
    <w:p w14:paraId="527EFA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с-те № 206 согласно приказы НКАП № 650 от 29 октября 1943 были произведены улучшания в целях увеличения максимальной скорости. Основные изменения:</w:t>
      </w:r>
    </w:p>
    <w:p w14:paraId="6C6CBB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всасывающий патрубок перенесен под капот мотора и улучшена его аэродинамика</w:t>
      </w:r>
    </w:p>
    <w:p w14:paraId="225C251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маслорадиатор перенесен под фюзеляж рядом с 5-м шпангоутом и улучшена форма рукава</w:t>
      </w:r>
    </w:p>
    <w:p w14:paraId="4407C2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изменено дефлектирование цилиндров мотра и форма внутреннего капота</w:t>
      </w:r>
    </w:p>
    <w:p w14:paraId="78C0EF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установлены индивидуальные выхлопные патрубки на все цилиндры</w:t>
      </w:r>
    </w:p>
    <w:p w14:paraId="1CB1CB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изменена компоновка створок шасси</w:t>
      </w:r>
    </w:p>
    <w:p w14:paraId="6BCF8C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произведено спрямление носка центроплана путем образования переднего зализа, улучшена отделка самолета</w:t>
      </w:r>
    </w:p>
    <w:p w14:paraId="144454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увеличен и облагорожен задний зализ центроплана</w:t>
      </w:r>
    </w:p>
    <w:p w14:paraId="1C7C0F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проведена тщательная герметизация с-та т мелкие работы по улучшению аэродинамики</w:t>
      </w:r>
    </w:p>
    <w:p w14:paraId="5E697D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установлен винт ВИШ-105В-4 диаметром 3,1 м (лопасть ЦАГИ).</w:t>
      </w:r>
    </w:p>
    <w:p w14:paraId="0FFE9A5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получены следующие данные:</w:t>
      </w:r>
    </w:p>
    <w:p w14:paraId="3573D5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у земли (Рк 1195 при 2500 об.) - 630 км/час</w:t>
      </w:r>
    </w:p>
    <w:p w14:paraId="37C7A8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1000 м - 652 км/час</w:t>
      </w:r>
    </w:p>
    <w:p w14:paraId="01970F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1900 (форсаж) - 672 км/час</w:t>
      </w:r>
    </w:p>
    <w:p w14:paraId="1B4286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4000 (форсаж) - 641 км/час</w:t>
      </w:r>
    </w:p>
    <w:p w14:paraId="6223E8A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5000 - 661 км/час</w:t>
      </w:r>
    </w:p>
    <w:p w14:paraId="16A18A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6150 (2 гр., Рк 1000, 2400 об.) - 684 км/час</w:t>
      </w:r>
    </w:p>
    <w:p w14:paraId="4E447C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7000 - 676 км/час</w:t>
      </w:r>
    </w:p>
    <w:p w14:paraId="3459C5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8000 - 662 км/час</w:t>
      </w:r>
    </w:p>
    <w:p w14:paraId="72ECCBC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5000 м - 5,2 мин.</w:t>
      </w:r>
    </w:p>
    <w:p w14:paraId="0153232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 Скорость у земли 17 м/с</w:t>
      </w:r>
    </w:p>
    <w:p w14:paraId="6D788B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 - 3445 кг</w:t>
      </w:r>
    </w:p>
    <w:p w14:paraId="448B87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- 90</w:t>
      </w:r>
    </w:p>
    <w:p w14:paraId="37E9CA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Горючее - 345</w:t>
      </w:r>
    </w:p>
    <w:p w14:paraId="1F11A1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Масло 50</w:t>
      </w:r>
    </w:p>
    <w:p w14:paraId="0280883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- 2хСП-20 - 80</w:t>
      </w:r>
    </w:p>
    <w:p w14:paraId="17F71C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б/п - 180</w:t>
      </w:r>
    </w:p>
    <w:p w14:paraId="7DFBBF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броня - 45</w:t>
      </w:r>
    </w:p>
    <w:p w14:paraId="3DE777C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п-к РСИ-4 - 13</w:t>
      </w:r>
    </w:p>
    <w:p w14:paraId="73EB79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 за счет произведенных ЦАГИ и заводом № 21 изменений с-та полетный вес увеличен на 125 кг (всасявающие патрубки, перенос малорадиатора, герметизация, спрямление цп, отделка поверхности, металлические жалюзи)</w:t>
      </w:r>
    </w:p>
    <w:p w14:paraId="2BAE17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входе в маслогондолу между поваерхностью фюзеляжа и верхней кромкой входного отверсти туннеля м/р осуществлен специальный желоб для отвода затерможенного воздуха от входа в туннель.</w:t>
      </w:r>
    </w:p>
    <w:p w14:paraId="50D406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Стенки входной части туннеля сделаны утолщенными, чтобы создать плавное обтекание и избежать срыва на входе. Улучшена герметизация выходной части туннеля.</w:t>
      </w:r>
    </w:p>
    <w:p w14:paraId="7109BC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Патрубки расположены по шесть с каждой стороны под подвижными створками капота и по одному в неподвижных отсеках.</w:t>
      </w:r>
    </w:p>
    <w:p w14:paraId="1D88EBF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Установлены новые герметизированные дефлекторы с уменьшенными зазорами между дефлекторами и цилиндрами.</w:t>
      </w:r>
    </w:p>
    <w:p w14:paraId="28D0A2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Профиль центроплана соответствует NACA-230.</w:t>
      </w:r>
    </w:p>
    <w:p w14:paraId="66F1C8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герметизации ВМГ</w:t>
      </w:r>
    </w:p>
    <w:p w14:paraId="64B3A2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Герметизированы:</w:t>
      </w:r>
    </w:p>
    <w:p w14:paraId="5A6EB9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капот редуктора в месте расположения механизма жалюзи</w:t>
      </w:r>
    </w:p>
    <w:p w14:paraId="64C222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внутренний капот мотора, дефлекторное кольцо мотора</w:t>
      </w:r>
    </w:p>
    <w:p w14:paraId="06B262B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моторный капот, вызлопные патрубки, створки капота</w:t>
      </w:r>
    </w:p>
    <w:p w14:paraId="0481D4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заслонка маслорадиатора</w:t>
      </w:r>
    </w:p>
    <w:p w14:paraId="03C70F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отделке поверхности</w:t>
      </w:r>
    </w:p>
    <w:p w14:paraId="06AFB0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проведены работы по уменьшение волнистости поверхности крыла и устранение неровностей на кольце капота и фюзеляжа путем нанесения нитрошпаклевки. Шероховатость поверхности ждоведена до 6-8 микрон. С-т отполирован</w:t>
      </w:r>
    </w:p>
    <w:p w14:paraId="1D0BCD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з-м № 21 установлены щитки для полного закрытия куполов шасси. Поставлена у образная безмачтовая антенна. Улучшены обводы желобов пушки. Посталены обтиекатели на крепление трубки Пито к крылу. Уменьшены размеры обтекателей на различных выступающих деталях. Снят храповик с втулки вина., на кок поставлен плавный обтекатель. Газоотведные трубки обрезаны заподлицо с поверхностью.</w:t>
      </w:r>
    </w:p>
    <w:p w14:paraId="68DA32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Проведена тщательная герметизация противопожарной перегогодки, передней и задней перегородок кабины пилота, вооружения, капотов, масло и бензофильтров, тяг управления элеронами и щитками, стенок лонжеронов и разъемов крыла и по первой нервюре консоли крыла.</w:t>
      </w:r>
    </w:p>
    <w:p w14:paraId="15C0138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перечисленных были проведены и мелкие работы как по планеру, так и по ВМГ.</w:t>
      </w:r>
    </w:p>
    <w:p w14:paraId="04B9782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Температурный режим на макс. скорости при полностью открытых створках заслонки м/р были в пределах допустимого (245 гр при допускаемых 250), но тем. Входящего масла на том же режиме на 6000 м достигала 95 гр, что превышает на 120 предельно допустимую температуру.</w:t>
      </w:r>
    </w:p>
    <w:p w14:paraId="5A4382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горизонтальном полете тем. Входящего и выходящего масла ниже допустимой.</w:t>
      </w:r>
    </w:p>
    <w:p w14:paraId="6AE3FF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Проверка работы р/с с измененной антенной на производилась.</w:t>
      </w:r>
    </w:p>
    <w:p w14:paraId="47CEF2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w:t>
      </w:r>
    </w:p>
    <w:p w14:paraId="693BE5A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Улучшения, осуществляющие рекомендации ЦАГИ, рекомендованы для внедрения в серийное производство при условии устранения обнаруженных в процессе испытания эксплуатационных дефектов, и улучшения системы охлаждения масла.</w:t>
      </w:r>
    </w:p>
    <w:p w14:paraId="39E667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Считать необходимым при внедрении в серийное пр-во обеспечить снижение полетного веса с-та.</w:t>
      </w:r>
    </w:p>
    <w:p w14:paraId="571B85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Лаб. № 1 М.А.Тайц</w:t>
      </w:r>
    </w:p>
    <w:p w14:paraId="55DFB6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1-го отд. Лаб. № 1 Н.С.Строев (752,1).</w:t>
      </w:r>
    </w:p>
    <w:p w14:paraId="026A7B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18DC1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февраля 1944 г. летчик-испытатель Н.В.Адамович закончил испытания доработанного Ла-5 (заводской № 39210206), которые проходили с 16 декабря 1943. На этом самолете оценивалась эффективность мероприятий по аэродинамике, выданных работниками ЦАГИ. Доработанный Лавочкин показал скорость на 34 км/ч большую, чем серийная машина (684 км/ч на высоте 6150 м), причем мероприятия по улучшению аэродинамики были реализованы не в полном объеме. Модернизация самолета №39210206 проводилась на заводе № 21 под руководством С.М.Алексеева (4707).</w:t>
      </w:r>
    </w:p>
    <w:p w14:paraId="36BF68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07661B" w14:textId="77777777" w:rsidR="00583EED" w:rsidRPr="00070ADE" w:rsidRDefault="00583EE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10 февраля</w:t>
      </w:r>
      <w:r w:rsidRPr="00070ADE">
        <w:rPr>
          <w:rFonts w:ascii="Times New Roman" w:hAnsi="Times New Roman"/>
          <w:color w:val="000000" w:themeColor="text1"/>
          <w:sz w:val="16"/>
          <w:szCs w:val="16"/>
        </w:rPr>
        <w:t xml:space="preserve"> в 1944 году закончились испытания истребителя </w:t>
      </w:r>
      <w:hyperlink r:id="rId41" w:tgtFrame="_blank" w:history="1">
        <w:r w:rsidRPr="00070ADE">
          <w:rPr>
            <w:rFonts w:ascii="Times New Roman" w:hAnsi="Times New Roman"/>
            <w:color w:val="000000" w:themeColor="text1"/>
            <w:sz w:val="16"/>
            <w:szCs w:val="16"/>
          </w:rPr>
          <w:t xml:space="preserve">«Ла-5» </w:t>
        </w:r>
      </w:hyperlink>
      <w:r w:rsidRPr="00070ADE">
        <w:rPr>
          <w:rFonts w:ascii="Times New Roman" w:hAnsi="Times New Roman"/>
          <w:color w:val="000000" w:themeColor="text1"/>
          <w:sz w:val="16"/>
          <w:szCs w:val="16"/>
        </w:rPr>
        <w:t xml:space="preserve">(№206), ОКБ Лавочкина, на котором был выполнен комплекс доработок по улучшению аэродинамики самолёта. Продувки «Ла-5» в натурной трубе позволили определить основные направления улучшения внешней и внутренней аэродинамики самолёта: </w:t>
      </w:r>
      <w:r w:rsidRPr="00070ADE">
        <w:rPr>
          <w:rFonts w:ascii="Times New Roman" w:hAnsi="Times New Roman"/>
          <w:color w:val="000000" w:themeColor="text1"/>
          <w:sz w:val="16"/>
          <w:szCs w:val="16"/>
        </w:rPr>
        <w:lastRenderedPageBreak/>
        <w:t>раз нет более мощного мотора, значит надо "вылизывать" самолёт и облегчать конструкцию. Выяснилось, что внутренняя герметизация самолёта дает прирост скорости в 24 км/ч, полное закрытие куполов шасси - еще б км/ч; перенос маслорадиатора из-под капота двигателя под фюзеляж позволял снизить поперечное сечение радиатора за счет увеличения прохождения воздуха через него. Также благотворно влияло на аэродинамику истребителя удаление от поверхности центроплана нижней части боковых створок капота двигателя. Еще несколько километров скорости давал перенос воздухозаборника двигателя с крыши капота в корневую часть центроплана. С облегчением планера возникли трудности - все, что с машины можно было снять безболезненно - уже сняли, жертвовать прочностью конструкции, как это сделал Яковлев, Лавочкин не стал (15036).</w:t>
      </w:r>
    </w:p>
    <w:p w14:paraId="7EE4FA2A" w14:textId="77777777" w:rsidR="00583EED" w:rsidRPr="00070ADE" w:rsidRDefault="00583EED" w:rsidP="00B56F90">
      <w:pPr>
        <w:spacing w:after="0" w:line="240" w:lineRule="auto"/>
        <w:jc w:val="both"/>
        <w:rPr>
          <w:rFonts w:ascii="Times New Roman" w:hAnsi="Times New Roman"/>
          <w:color w:val="000000" w:themeColor="text1"/>
          <w:sz w:val="16"/>
          <w:szCs w:val="16"/>
        </w:rPr>
      </w:pPr>
    </w:p>
    <w:p w14:paraId="315E0D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февраля 1944 года нарком ВМФ адмирал кузнецов писал письмо N 100сс Маленкову.</w:t>
      </w:r>
    </w:p>
    <w:p w14:paraId="004164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Дополнительно к ранее представленному мною письму N 1100 лт 15 сентября 1943 года с проектом постановления ГОКО об оборудовании самолета Ли-2 под опытный магнитный трал докладываю:</w:t>
      </w:r>
    </w:p>
    <w:p w14:paraId="67C3CF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Проект самолета-тральщика разработан конструкторским бюро завода N 89 НКАП еще в 1943 году со следующими тактико-техническими данными:</w:t>
      </w:r>
    </w:p>
    <w:p w14:paraId="5DF69E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Самолет тральщик предназначается для определения наличия минных полей, состоящих как из магнитных, так и индукционных мин, выставленных противником на морских театрах.</w:t>
      </w:r>
    </w:p>
    <w:p w14:paraId="592089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Высота полета самолета при тралении мин над уровнем моря - 20 метров;</w:t>
      </w:r>
    </w:p>
    <w:p w14:paraId="5039BF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Скорость траления - 200 км/час;</w:t>
      </w:r>
    </w:p>
    <w:p w14:paraId="5271D6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Ширина полосы траления - 45 метров;</w:t>
      </w:r>
    </w:p>
    <w:p w14:paraId="74350F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Глубина места траления до 30 метров.</w:t>
      </w:r>
    </w:p>
    <w:p w14:paraId="32998D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изготовлению одного опытного самолета-тральщика, что мною и испрашивалось в письме N 1100, на полигонных испытаниях должны быть окончательно установлены тактико-технические данные самолета при тралении и на основании данных испытаний принято решение о дальнейшем обеспечении ВМФ самолетами указанного выше типа.</w:t>
      </w:r>
    </w:p>
    <w:p w14:paraId="47E41F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Использование самолетов как тральщиков, для очистки водных районов от магнитных мин в современной войне нашло широкое применение как в Германии, так и в Англии.</w:t>
      </w:r>
    </w:p>
    <w:p w14:paraId="159708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при попытке разместить заказ на поставку ВМФ десяти самолетов типа "Веллингтон", оборудованных специальным устройством для траления магнитных мин, Англией было отказано.</w:t>
      </w:r>
    </w:p>
    <w:p w14:paraId="5E3A20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Учитывая, что разработка и оборудование одного опытного самолета ЛИ-2 как тральщика, для ВМФ представляет актуальный вопрос, прошу ускорить решение по ранее представленному и согласованному с НКАП Шахуриным и НКЭП Кабановым, проекту постановления ГОКО (1825,34).</w:t>
      </w:r>
    </w:p>
    <w:p w14:paraId="770941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1DBEBE"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52B41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878F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февраля 1944 г. была подготовлена ДОКЛАДНАЯ ЗАПИСКА НАЧАЛЬНИКА ГБТУ КА НАРОДНОМУ КОМИССАРУ ТАНКОВОЙ ПРОМЫШЛЕННОСТИ СССР В. МАЛЫШЕВУ ПО РЕЗУЛЬТАТАМ ИСПЫТАНИЙ ТАНКОВ Т-34 № 520642</w:t>
      </w:r>
    </w:p>
    <w:p w14:paraId="16A4151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испытании на гарантийный километраж танков Т-34 (с пушками 85-мм Д-5) завода №112, обнаружены следующие дефекты:</w:t>
      </w:r>
    </w:p>
    <w:p w14:paraId="2FC921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танке №Г4010163 поломался валик механизма поворота башни (дет. №43-34.003) на 191 км про</w:t>
      </w:r>
      <w:r w:rsidRPr="00070ADE">
        <w:rPr>
          <w:rFonts w:ascii="Times New Roman" w:hAnsi="Times New Roman"/>
          <w:color w:val="000000" w:themeColor="text1"/>
          <w:sz w:val="16"/>
          <w:szCs w:val="16"/>
        </w:rPr>
        <w:softHyphen/>
        <w:t>бега и разрушилась пружина передней правой подвески на 284 км пробега.</w:t>
      </w:r>
    </w:p>
    <w:p w14:paraId="5215A8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танке №Г4010171 поломался такой же валик на 378 км пробега.</w:t>
      </w:r>
    </w:p>
    <w:p w14:paraId="23ED066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Причиной разрушения валиков механизмов поворота башни, по предварительному заключе</w:t>
      </w:r>
      <w:r w:rsidRPr="00070ADE">
        <w:rPr>
          <w:rFonts w:ascii="Times New Roman" w:hAnsi="Times New Roman"/>
          <w:color w:val="000000" w:themeColor="text1"/>
          <w:sz w:val="16"/>
          <w:szCs w:val="16"/>
        </w:rPr>
        <w:softHyphen/>
        <w:t>нию НИБТ полигона, является наличие подреза в месте перехода тела валика к хвостовику.</w:t>
      </w:r>
    </w:p>
    <w:p w14:paraId="571C16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Вашего распоряжения директору завода №112 т. Рубинчик:</w:t>
      </w:r>
    </w:p>
    <w:p w14:paraId="6B8E9E3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Проверить качество изготовления валиков на всех установленных в танках и собранных меха</w:t>
      </w:r>
      <w:r w:rsidRPr="00070ADE">
        <w:rPr>
          <w:rFonts w:ascii="Times New Roman" w:hAnsi="Times New Roman"/>
          <w:color w:val="000000" w:themeColor="text1"/>
          <w:sz w:val="16"/>
          <w:szCs w:val="16"/>
        </w:rPr>
        <w:softHyphen/>
        <w:t>низмах поворота башни и негодные заменить.</w:t>
      </w:r>
    </w:p>
    <w:p w14:paraId="5958A5A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 2-дневный срок выслать в распоряжение ТУ ГБТУ КА 26 валиков и бригаду специалистов, для замены валиков в механизмах поворота башни в гарантийных танках и танках, отправленных в войсковую часть.</w:t>
      </w:r>
    </w:p>
    <w:p w14:paraId="38D8EE3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Вашем решении прошу поставить меня в известность.</w:t>
      </w:r>
    </w:p>
    <w:p w14:paraId="75384E7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ГБТУ Красной Армии генерал-лейтенант танковых войск Вершинин</w:t>
      </w:r>
    </w:p>
    <w:p w14:paraId="0C26D6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ТУ ГБТУ Красной Армии инженер-подполковник Муравич</w:t>
      </w:r>
    </w:p>
    <w:p w14:paraId="48FE65B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2218. Л. 12. Копия (11403).</w:t>
      </w:r>
    </w:p>
    <w:p w14:paraId="629169E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F97F0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февраля 1944 г. была подготовлена ДОКЛАДНАЯ ЗАПИСКА ЗАМЕСТИТЕЛЯ НАЧАЛЬНИКА ГБТУ КА ЗАМЕСТИТЕЛЮ НАРКОМА ВНЕШНЕЙ ТОРГОВЛИ СССР И.О. СЕМИЧАСТНОВУ ОБ ОБЕСПЕЧЕНИИ ИМПОРТНОЙ БРОНЕТЕХНИКИ НАСТАВЛЕНИЯМИ, ПАМЯТКАМИ И ИНСТРУКЦИЯМИ НА РУССКОМ ЯЗЫКЕ № 520641</w:t>
      </w:r>
    </w:p>
    <w:p w14:paraId="02FAB9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Вместе с бронетанковой материальной частью, поступающей на вооружение Красной Армии из Англии и Америки, прибывает техническая литература только на английском языке, вследствие этого использовать ее экипажами не представляется возможным.</w:t>
      </w:r>
    </w:p>
    <w:p w14:paraId="679B266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Организация перевода технической литературы и ее издание на русский язык занимает очень продолжительное время.</w:t>
      </w:r>
    </w:p>
    <w:p w14:paraId="461C499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Отсутствие указанной литературы сильно затрудняет организацию технически правильной экс</w:t>
      </w:r>
      <w:r w:rsidRPr="00070ADE">
        <w:rPr>
          <w:rFonts w:ascii="Times New Roman" w:hAnsi="Times New Roman"/>
          <w:color w:val="000000" w:themeColor="text1"/>
          <w:sz w:val="16"/>
          <w:szCs w:val="16"/>
        </w:rPr>
        <w:softHyphen/>
        <w:t>плуатации боевой техники.</w:t>
      </w:r>
    </w:p>
    <w:p w14:paraId="463FAAA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поставить вопрос перед соответствующими организациями в Англии и Америке о следующем:</w:t>
      </w:r>
    </w:p>
    <w:p w14:paraId="1382942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Обеспечивать каждую боевую единицу (танк М4-А2, «Валентин», СУ-57, СУ-37, М-10, Т-70, бро</w:t>
      </w:r>
      <w:r w:rsidRPr="00070ADE">
        <w:rPr>
          <w:rFonts w:ascii="Times New Roman" w:hAnsi="Times New Roman"/>
          <w:color w:val="000000" w:themeColor="text1"/>
          <w:sz w:val="16"/>
          <w:szCs w:val="16"/>
        </w:rPr>
        <w:softHyphen/>
        <w:t>нетранспортеры М-2, МЗ-А1, МК-1) наставлением, памяткой и инструкциями на русском языке.</w:t>
      </w:r>
    </w:p>
    <w:p w14:paraId="13793F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 дальнейшем высылать (на русском языке) на каждую новую марку машин 300-400 экземпля</w:t>
      </w:r>
      <w:r w:rsidRPr="00070ADE">
        <w:rPr>
          <w:rFonts w:ascii="Times New Roman" w:hAnsi="Times New Roman"/>
          <w:color w:val="000000" w:themeColor="text1"/>
          <w:sz w:val="16"/>
          <w:szCs w:val="16"/>
        </w:rPr>
        <w:softHyphen/>
        <w:t>ров наглядных пособий (схем, плакатов) для облегчения изучения материальной части.</w:t>
      </w:r>
    </w:p>
    <w:p w14:paraId="2D8EB3F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ГБТУ Красной Армии генерал-лейтенант инженерно-танковой службы Лебедев</w:t>
      </w:r>
    </w:p>
    <w:p w14:paraId="5699D1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отдела ТУ ГБТУ Красной Армии инженер-подполковник Муравич</w:t>
      </w:r>
    </w:p>
    <w:p w14:paraId="65FBC1F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2190. Л. 12. Копия (11403).</w:t>
      </w:r>
    </w:p>
    <w:p w14:paraId="064DB1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BAADE5" w14:textId="77777777" w:rsidR="000227A2" w:rsidRPr="00070ADE" w:rsidRDefault="000227A2" w:rsidP="00B56F90">
      <w:pPr>
        <w:spacing w:after="0" w:line="240" w:lineRule="auto"/>
        <w:jc w:val="both"/>
        <w:rPr>
          <w:rFonts w:ascii="Times New Roman" w:hAnsi="Times New Roman"/>
          <w:color w:val="000000" w:themeColor="text1"/>
          <w:sz w:val="16"/>
          <w:szCs w:val="16"/>
        </w:rPr>
      </w:pPr>
      <w:bookmarkStart w:id="5" w:name="bookmark55"/>
      <w:r w:rsidRPr="00070ADE">
        <w:rPr>
          <w:rFonts w:ascii="Times New Roman" w:hAnsi="Times New Roman"/>
          <w:color w:val="000000" w:themeColor="text1"/>
          <w:sz w:val="16"/>
          <w:szCs w:val="16"/>
        </w:rPr>
        <w:t>10 февраля 1944 первый и второй прототипы Т- 44 (на последнем башню со 122-мм орудием заменили опытной башней от Т-43 с 85-мм орудием Д-5Т) отправили в НИИБТ для про</w:t>
      </w:r>
      <w:r w:rsidRPr="00070ADE">
        <w:rPr>
          <w:rFonts w:ascii="Times New Roman" w:hAnsi="Times New Roman"/>
          <w:color w:val="000000" w:themeColor="text1"/>
          <w:sz w:val="16"/>
          <w:szCs w:val="16"/>
        </w:rPr>
        <w:softHyphen/>
        <w:t>ведения полигонных испытаний. Как обычно бывает, они выявили целый букет конструк</w:t>
      </w:r>
      <w:r w:rsidRPr="00070ADE">
        <w:rPr>
          <w:rFonts w:ascii="Times New Roman" w:hAnsi="Times New Roman"/>
          <w:color w:val="000000" w:themeColor="text1"/>
          <w:sz w:val="16"/>
          <w:szCs w:val="16"/>
        </w:rPr>
        <w:softHyphen/>
        <w:t>тивных недостатков, которые, однако, каза</w:t>
      </w:r>
      <w:r w:rsidRPr="00070ADE">
        <w:rPr>
          <w:rFonts w:ascii="Times New Roman" w:hAnsi="Times New Roman"/>
          <w:color w:val="000000" w:themeColor="text1"/>
          <w:sz w:val="16"/>
          <w:szCs w:val="16"/>
        </w:rPr>
        <w:softHyphen/>
        <w:t>лись вполне исправимыми. Так, отмечалась необходимость улучшения температурного режима работы двигателя, повышение надежности привода вентилятора и редукто</w:t>
      </w:r>
      <w:r w:rsidRPr="00070ADE">
        <w:rPr>
          <w:rFonts w:ascii="Times New Roman" w:hAnsi="Times New Roman"/>
          <w:color w:val="000000" w:themeColor="text1"/>
          <w:sz w:val="16"/>
          <w:szCs w:val="16"/>
        </w:rPr>
        <w:softHyphen/>
        <w:t>ра трансмиссии, была рекомендована уста</w:t>
      </w:r>
      <w:r w:rsidRPr="00070ADE">
        <w:rPr>
          <w:rFonts w:ascii="Times New Roman" w:hAnsi="Times New Roman"/>
          <w:color w:val="000000" w:themeColor="text1"/>
          <w:sz w:val="16"/>
          <w:szCs w:val="16"/>
        </w:rPr>
        <w:softHyphen/>
        <w:t>новка новой планетарной трансмиссии, но, главное, военные потребовали усилить бро</w:t>
      </w:r>
      <w:r w:rsidRPr="00070ADE">
        <w:rPr>
          <w:rFonts w:ascii="Times New Roman" w:hAnsi="Times New Roman"/>
          <w:color w:val="000000" w:themeColor="text1"/>
          <w:sz w:val="16"/>
          <w:szCs w:val="16"/>
        </w:rPr>
        <w:softHyphen/>
        <w:t>нирование лобовой части корпуса до 90 мм.</w:t>
      </w:r>
    </w:p>
    <w:p w14:paraId="01AE06CF" w14:textId="77777777" w:rsidR="000227A2" w:rsidRPr="00070ADE" w:rsidRDefault="000227A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Учесть эти замечания, доработав кон</w:t>
      </w:r>
      <w:r w:rsidRPr="00070ADE">
        <w:rPr>
          <w:rFonts w:ascii="Times New Roman" w:hAnsi="Times New Roman"/>
          <w:color w:val="000000" w:themeColor="text1"/>
          <w:sz w:val="16"/>
          <w:szCs w:val="16"/>
        </w:rPr>
        <w:softHyphen/>
        <w:t>струкцию машины, предполагалась на сле</w:t>
      </w:r>
      <w:r w:rsidRPr="00070ADE">
        <w:rPr>
          <w:rFonts w:ascii="Times New Roman" w:hAnsi="Times New Roman"/>
          <w:color w:val="000000" w:themeColor="text1"/>
          <w:sz w:val="16"/>
          <w:szCs w:val="16"/>
        </w:rPr>
        <w:softHyphen/>
        <w:t>дующей партии прототипов, которые должны были быть построены к 15 апреля 1944 года (в литературе их называют - Т-44 второго варианта или второй модификации). Однако машины удалось окончить только в мае и июне (соответственно, первая и вторая). Ответственность за срыв сроков завод №183 разделил со смежниками, которые задержи</w:t>
      </w:r>
      <w:r w:rsidRPr="00070ADE">
        <w:rPr>
          <w:rFonts w:ascii="Times New Roman" w:hAnsi="Times New Roman"/>
          <w:color w:val="000000" w:themeColor="text1"/>
          <w:sz w:val="16"/>
          <w:szCs w:val="16"/>
        </w:rPr>
        <w:softHyphen/>
        <w:t>вали поставки необходимых комплектующих (например, торсионы с Кировского завода не были получены до 22 апреля 1944 года). Кроме комплектных машин по требованию военных был также изготовлен броневой корпус с башней для испытания их обстре</w:t>
      </w:r>
      <w:r w:rsidRPr="00070ADE">
        <w:rPr>
          <w:rFonts w:ascii="Times New Roman" w:hAnsi="Times New Roman"/>
          <w:color w:val="000000" w:themeColor="text1"/>
          <w:sz w:val="16"/>
          <w:szCs w:val="16"/>
        </w:rPr>
        <w:softHyphen/>
        <w:t>лом.</w:t>
      </w:r>
    </w:p>
    <w:p w14:paraId="0C47D3CC" w14:textId="77777777" w:rsidR="000227A2" w:rsidRPr="00070ADE" w:rsidRDefault="000227A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Т-44 второго варианта получили новую литую башню. По форме башня была близка к башням, устанавливавшимся на Т-34-85. По сравнению со старой башней ее высота уменьшилась на 75 мм. Толщина брони в передней части доходила до 115 мм, борта имели толщину до 90 мм, толщина литой маски пушки была доведена до 120 мм. В башне устанавливалось 85-мм орудие ЗиС-С- 53, которое с 15 января 1944 года было запу</w:t>
      </w:r>
      <w:r w:rsidRPr="00070ADE">
        <w:rPr>
          <w:rFonts w:ascii="Times New Roman" w:hAnsi="Times New Roman"/>
          <w:color w:val="000000" w:themeColor="text1"/>
          <w:sz w:val="16"/>
          <w:szCs w:val="16"/>
        </w:rPr>
        <w:softHyphen/>
        <w:t>щено в серийное производство и было гораз</w:t>
      </w:r>
      <w:r w:rsidRPr="00070ADE">
        <w:rPr>
          <w:rFonts w:ascii="Times New Roman" w:hAnsi="Times New Roman"/>
          <w:color w:val="000000" w:themeColor="text1"/>
          <w:sz w:val="16"/>
          <w:szCs w:val="16"/>
        </w:rPr>
        <w:softHyphen/>
        <w:t>до дешевле и проще, чем Д-5Т. По сравнению с первыми прототипами боекомплект умень</w:t>
      </w:r>
      <w:r w:rsidRPr="00070ADE">
        <w:rPr>
          <w:rFonts w:ascii="Times New Roman" w:hAnsi="Times New Roman"/>
          <w:color w:val="000000" w:themeColor="text1"/>
          <w:sz w:val="16"/>
          <w:szCs w:val="16"/>
        </w:rPr>
        <w:softHyphen/>
        <w:t>шился до 51 выстрела.</w:t>
      </w:r>
    </w:p>
    <w:p w14:paraId="3A94ED1D" w14:textId="77777777" w:rsidR="000227A2" w:rsidRPr="00070ADE" w:rsidRDefault="000227A2" w:rsidP="00B56F90">
      <w:pPr>
        <w:pStyle w:val="30a"/>
        <w:framePr w:w="122" w:h="160" w:wrap="around" w:hAnchor="margin" w:x="3875" w:y="1994"/>
        <w:shd w:val="clear" w:color="auto" w:fill="auto"/>
        <w:spacing w:line="240" w:lineRule="auto"/>
        <w:jc w:val="both"/>
        <w:rPr>
          <w:rFonts w:ascii="Times New Roman" w:hAnsi="Times New Roman" w:cs="Times New Roman"/>
          <w:color w:val="000000" w:themeColor="text1"/>
        </w:rPr>
      </w:pPr>
      <w:r w:rsidRPr="00070ADE">
        <w:rPr>
          <w:rFonts w:ascii="Times New Roman" w:hAnsi="Times New Roman" w:cs="Times New Roman"/>
          <w:color w:val="000000" w:themeColor="text1"/>
          <w:lang w:val="ru"/>
        </w:rPr>
        <w:t>-</w:t>
      </w:r>
      <w:r w:rsidRPr="00070ADE">
        <w:rPr>
          <w:rFonts w:ascii="Times New Roman" w:hAnsi="Times New Roman" w:cs="Times New Roman"/>
          <w:color w:val="000000" w:themeColor="text1"/>
          <w:lang w:val="en-US"/>
        </w:rPr>
        <w:t>s</w:t>
      </w:r>
    </w:p>
    <w:p w14:paraId="7E593E40" w14:textId="77777777" w:rsidR="000227A2" w:rsidRPr="00070ADE" w:rsidRDefault="000227A2" w:rsidP="00B56F90">
      <w:pPr>
        <w:pStyle w:val="48"/>
        <w:framePr w:w="25" w:h="120" w:wrap="around" w:hAnchor="margin" w:x="8389" w:y="748"/>
        <w:shd w:val="clear" w:color="auto" w:fill="auto"/>
        <w:spacing w:line="240" w:lineRule="auto"/>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I</w:t>
      </w:r>
    </w:p>
    <w:p w14:paraId="40B60E2B" w14:textId="77777777" w:rsidR="000227A2" w:rsidRPr="00070ADE" w:rsidRDefault="000227A2"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Конструкция корпуса изменилась мало. Для повышения бронестойкости существен</w:t>
      </w:r>
      <w:r w:rsidRPr="00070ADE">
        <w:rPr>
          <w:rFonts w:ascii="Times New Roman" w:hAnsi="Times New Roman"/>
          <w:color w:val="000000" w:themeColor="text1"/>
          <w:sz w:val="16"/>
          <w:szCs w:val="16"/>
        </w:rPr>
        <w:softHyphen/>
        <w:t>но понизили бронерубку механика-водителя и нарастили ее стенки до 100 мм, но толщина лобовых листов осталась прежней - 75 мм, правда, увеличили наклон нижнего лобового листа до 45 градусов. Были забронированы натяжные механизмы гусениц. Толщина бор</w:t>
      </w:r>
      <w:r w:rsidRPr="00070ADE">
        <w:rPr>
          <w:rFonts w:ascii="Times New Roman" w:hAnsi="Times New Roman"/>
          <w:color w:val="000000" w:themeColor="text1"/>
          <w:sz w:val="16"/>
          <w:szCs w:val="16"/>
        </w:rPr>
        <w:softHyphen/>
        <w:t>тов корпуса на двух прототипах второго варианта различалась. Один имел борта тол</w:t>
      </w:r>
      <w:r w:rsidRPr="00070ADE">
        <w:rPr>
          <w:rFonts w:ascii="Times New Roman" w:hAnsi="Times New Roman"/>
          <w:color w:val="000000" w:themeColor="text1"/>
          <w:sz w:val="16"/>
          <w:szCs w:val="16"/>
        </w:rPr>
        <w:softHyphen/>
        <w:t>щиной 60 мм, другой - 75 мм, однако в обоих случаях, в отличие от первых прототипов, толщина борта была одинаковой по всей высоте. Интересно, что бронекорпус, предна</w:t>
      </w:r>
      <w:r w:rsidRPr="00070ADE">
        <w:rPr>
          <w:rFonts w:ascii="Times New Roman" w:hAnsi="Times New Roman"/>
          <w:color w:val="000000" w:themeColor="text1"/>
          <w:sz w:val="16"/>
          <w:szCs w:val="16"/>
        </w:rPr>
        <w:softHyphen/>
        <w:t>значенный для обстрела, имел борта еще переменной толщины - 75 мм в верхней части и 40 мм - в нижней.</w:t>
      </w:r>
    </w:p>
    <w:p w14:paraId="234A5746" w14:textId="77777777" w:rsidR="000227A2" w:rsidRPr="00070ADE" w:rsidRDefault="000227A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Предназначавшийся специально для Т-44 двигатель В-2-44 так и не был готов, поэтому обе машины получили дизели В-2-ИС, как и первые прототипы. Подверглась некоторым изменениям ходовая часть: для оптимально</w:t>
      </w:r>
      <w:r w:rsidRPr="00070ADE">
        <w:rPr>
          <w:rFonts w:ascii="Times New Roman" w:hAnsi="Times New Roman"/>
          <w:color w:val="000000" w:themeColor="text1"/>
          <w:sz w:val="16"/>
          <w:szCs w:val="16"/>
        </w:rPr>
        <w:softHyphen/>
        <w:t>го распределения нагрузки первый опорный каток сместили вперед, а два последних - к корме танка. Сами катки имели пониженный резиновый массив. Правда, на испытаниях эти катки показали себя неважно - резино</w:t>
      </w:r>
      <w:r w:rsidRPr="00070ADE">
        <w:rPr>
          <w:rFonts w:ascii="Times New Roman" w:hAnsi="Times New Roman"/>
          <w:color w:val="000000" w:themeColor="text1"/>
          <w:sz w:val="16"/>
          <w:szCs w:val="16"/>
        </w:rPr>
        <w:softHyphen/>
        <w:t>вые бандажи неоднократно разрушались и катки выходили из строя. Поэтому рекомен</w:t>
      </w:r>
      <w:r w:rsidRPr="00070ADE">
        <w:rPr>
          <w:rFonts w:ascii="Times New Roman" w:hAnsi="Times New Roman"/>
          <w:color w:val="000000" w:themeColor="text1"/>
          <w:sz w:val="16"/>
          <w:szCs w:val="16"/>
        </w:rPr>
        <w:softHyphen/>
        <w:t>довалось вернуться к серийным опорным каткам с резиновым массивом нормальной высоты (19935).</w:t>
      </w:r>
    </w:p>
    <w:p w14:paraId="7602CF20" w14:textId="77777777" w:rsidR="000227A2" w:rsidRPr="00070ADE" w:rsidRDefault="000227A2" w:rsidP="00B56F90">
      <w:pPr>
        <w:spacing w:after="0" w:line="240" w:lineRule="auto"/>
        <w:jc w:val="both"/>
        <w:rPr>
          <w:rFonts w:ascii="Times New Roman" w:hAnsi="Times New Roman"/>
          <w:color w:val="000000" w:themeColor="text1"/>
          <w:sz w:val="16"/>
          <w:szCs w:val="16"/>
        </w:rPr>
      </w:pPr>
    </w:p>
    <w:bookmarkEnd w:id="5"/>
    <w:p w14:paraId="69C4AF06" w14:textId="77777777" w:rsidR="008742EC" w:rsidRPr="00C94B78" w:rsidRDefault="008742EC"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До 10 февраля 1944 г. танки Т-44 № 1 и №2 про</w:t>
      </w:r>
      <w:r w:rsidRPr="00C94B78">
        <w:rPr>
          <w:rFonts w:ascii="Times New Roman" w:hAnsi="Times New Roman"/>
          <w:color w:val="0070C0"/>
          <w:sz w:val="16"/>
          <w:szCs w:val="16"/>
        </w:rPr>
        <w:softHyphen/>
        <w:t>ходили обкатку и кратковременные завод</w:t>
      </w:r>
      <w:r w:rsidRPr="00C94B78">
        <w:rPr>
          <w:rFonts w:ascii="Times New Roman" w:hAnsi="Times New Roman"/>
          <w:color w:val="0070C0"/>
          <w:sz w:val="16"/>
          <w:szCs w:val="16"/>
        </w:rPr>
        <w:softHyphen/>
        <w:t>ские испытания, пройдя в общей сложно</w:t>
      </w:r>
      <w:r w:rsidRPr="00C94B78">
        <w:rPr>
          <w:rFonts w:ascii="Times New Roman" w:hAnsi="Times New Roman"/>
          <w:color w:val="0070C0"/>
          <w:sz w:val="16"/>
          <w:szCs w:val="16"/>
        </w:rPr>
        <w:softHyphen/>
        <w:t>сти 577 и 213 километров соответственно. При этом отмечалось, что средние ско</w:t>
      </w:r>
      <w:r w:rsidRPr="00C94B78">
        <w:rPr>
          <w:rFonts w:ascii="Times New Roman" w:hAnsi="Times New Roman"/>
          <w:color w:val="0070C0"/>
          <w:sz w:val="16"/>
          <w:szCs w:val="16"/>
        </w:rPr>
        <w:softHyphen/>
        <w:t>рости движения (в одинаковых условиях) у машин Т-34 и Т-44 практически одина</w:t>
      </w:r>
      <w:r w:rsidRPr="00C94B78">
        <w:rPr>
          <w:rFonts w:ascii="Times New Roman" w:hAnsi="Times New Roman"/>
          <w:color w:val="0070C0"/>
          <w:sz w:val="16"/>
          <w:szCs w:val="16"/>
        </w:rPr>
        <w:softHyphen/>
        <w:t>ковы, однако запас хода «сорокчетверки» на 33% меньше, чем у «тридцатьчетверки» (это было связано с тем, что полезная ем</w:t>
      </w:r>
      <w:r w:rsidRPr="00C94B78">
        <w:rPr>
          <w:rFonts w:ascii="Times New Roman" w:hAnsi="Times New Roman"/>
          <w:color w:val="0070C0"/>
          <w:sz w:val="16"/>
          <w:szCs w:val="16"/>
        </w:rPr>
        <w:softHyphen/>
        <w:t>кость основных топливных баков Т-44 была на 200 литров меньше, чем у Т-34). Кроме того, отмечался повышенный температур</w:t>
      </w:r>
      <w:r w:rsidRPr="00C94B78">
        <w:rPr>
          <w:rFonts w:ascii="Times New Roman" w:hAnsi="Times New Roman"/>
          <w:color w:val="0070C0"/>
          <w:sz w:val="16"/>
          <w:szCs w:val="16"/>
        </w:rPr>
        <w:softHyphen/>
        <w:t>ный режим двигателя В-2-34, установлен</w:t>
      </w:r>
      <w:r w:rsidRPr="00C94B78">
        <w:rPr>
          <w:rFonts w:ascii="Times New Roman" w:hAnsi="Times New Roman"/>
          <w:color w:val="0070C0"/>
          <w:sz w:val="16"/>
          <w:szCs w:val="16"/>
        </w:rPr>
        <w:softHyphen/>
        <w:t>ного на Т-44 № 1 (на машине № 2 смонтиро</w:t>
      </w:r>
      <w:r w:rsidRPr="00C94B78">
        <w:rPr>
          <w:rFonts w:ascii="Times New Roman" w:hAnsi="Times New Roman"/>
          <w:color w:val="0070C0"/>
          <w:sz w:val="16"/>
          <w:szCs w:val="16"/>
        </w:rPr>
        <w:softHyphen/>
        <w:t>вали В-2-ИС). Среди прочих недостатков, обнаруженных при заводских испытаниях Т-44, назывались частые обрывы стяжных болтов картера коробки перемены передач и ограничительного болта зубчатой муфты, соединяющей двигатель с гитарой, силь</w:t>
      </w:r>
      <w:r w:rsidRPr="00C94B78">
        <w:rPr>
          <w:rFonts w:ascii="Times New Roman" w:hAnsi="Times New Roman"/>
          <w:color w:val="0070C0"/>
          <w:sz w:val="16"/>
          <w:szCs w:val="16"/>
        </w:rPr>
        <w:softHyphen/>
        <w:t>ный нагрев левого борта танков выхлопны</w:t>
      </w:r>
      <w:r w:rsidRPr="00C94B78">
        <w:rPr>
          <w:rFonts w:ascii="Times New Roman" w:hAnsi="Times New Roman"/>
          <w:color w:val="0070C0"/>
          <w:sz w:val="16"/>
          <w:szCs w:val="16"/>
        </w:rPr>
        <w:softHyphen/>
        <w:t>ми газами, теснота в отделении водителя и ряд других. При этом в отчете отмечалось, что «все указанные дефекты заводу извест</w:t>
      </w:r>
      <w:r w:rsidRPr="00C94B78">
        <w:rPr>
          <w:rFonts w:ascii="Times New Roman" w:hAnsi="Times New Roman"/>
          <w:color w:val="0070C0"/>
          <w:sz w:val="16"/>
          <w:szCs w:val="16"/>
        </w:rPr>
        <w:softHyphen/>
        <w:t>ны, и КБ завода принимает все меры для их устранения».</w:t>
      </w:r>
    </w:p>
    <w:p w14:paraId="397B6F6B" w14:textId="77777777" w:rsidR="008742EC" w:rsidRPr="00C94B78" w:rsidRDefault="008742EC"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Помимо пробеговых испытаний, был про</w:t>
      </w:r>
      <w:r w:rsidRPr="00C94B78">
        <w:rPr>
          <w:rFonts w:ascii="Times New Roman" w:hAnsi="Times New Roman"/>
          <w:color w:val="0070C0"/>
          <w:sz w:val="16"/>
          <w:szCs w:val="16"/>
        </w:rPr>
        <w:softHyphen/>
        <w:t>изведен отстрел артсистемы, установлен</w:t>
      </w:r>
      <w:r w:rsidRPr="00C94B78">
        <w:rPr>
          <w:rFonts w:ascii="Times New Roman" w:hAnsi="Times New Roman"/>
          <w:color w:val="0070C0"/>
          <w:sz w:val="16"/>
          <w:szCs w:val="16"/>
        </w:rPr>
        <w:softHyphen/>
        <w:t>ной в Т-44 № 1 (всего 59 выстрелов при раз</w:t>
      </w:r>
      <w:r w:rsidRPr="00C94B78">
        <w:rPr>
          <w:rFonts w:ascii="Times New Roman" w:hAnsi="Times New Roman"/>
          <w:color w:val="0070C0"/>
          <w:sz w:val="16"/>
          <w:szCs w:val="16"/>
        </w:rPr>
        <w:softHyphen/>
        <w:t>личном положении орудия). В донесении, направленном начальнику БТУ ГБТУ КА генерал-майору Афонину, сообщалось, что «темп стрельбы 8-10 выстрелов в минуту, при осмотре системы и ее крепления после стрельбы дефектов не обнаружено».</w:t>
      </w:r>
    </w:p>
    <w:p w14:paraId="4F6E2779" w14:textId="77777777" w:rsidR="008742EC" w:rsidRPr="00C94B78" w:rsidRDefault="008742EC"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10 февраля 1944 года опытные образцы танков Т-44 №1 и Т-44 №2 (на него уста</w:t>
      </w:r>
      <w:r w:rsidRPr="00C94B78">
        <w:rPr>
          <w:rFonts w:ascii="Times New Roman" w:hAnsi="Times New Roman"/>
          <w:color w:val="0070C0"/>
          <w:sz w:val="16"/>
          <w:szCs w:val="16"/>
        </w:rPr>
        <w:softHyphen/>
        <w:t>новили башню с танка Т-43 с 85-мм пушкой Д-5Т и диаметром погона 1600 мм) отправили в Москву для проведения полигонных ис</w:t>
      </w:r>
      <w:r w:rsidRPr="00C94B78">
        <w:rPr>
          <w:rFonts w:ascii="Times New Roman" w:hAnsi="Times New Roman"/>
          <w:color w:val="0070C0"/>
          <w:sz w:val="16"/>
          <w:szCs w:val="16"/>
        </w:rPr>
        <w:softHyphen/>
        <w:t>пытаний (25012).</w:t>
      </w:r>
    </w:p>
    <w:p w14:paraId="4FED315C" w14:textId="77777777" w:rsidR="008742EC" w:rsidRPr="00C94B78" w:rsidRDefault="008742EC" w:rsidP="00B56F90">
      <w:pPr>
        <w:spacing w:after="0" w:line="240" w:lineRule="auto"/>
        <w:jc w:val="both"/>
        <w:rPr>
          <w:rFonts w:ascii="Times New Roman" w:hAnsi="Times New Roman"/>
          <w:color w:val="0070C0"/>
          <w:sz w:val="16"/>
          <w:szCs w:val="16"/>
        </w:rPr>
      </w:pPr>
    </w:p>
    <w:p w14:paraId="6D98694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февраля 1944 г. руководство Главмотовелопрома издало приказ № 7, предусматривавший следующие технические мероприятия:</w:t>
      </w:r>
    </w:p>
    <w:p w14:paraId="0B0BEE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 1 марта 1944 г. - усиление передней шпильки крепления мотора, а также увеличение диаметра колесных спиц до 4 мм;</w:t>
      </w:r>
    </w:p>
    <w:p w14:paraId="63D64EF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 15 марта 1944 г. - установление хомутика на всасывающем патрубке;</w:t>
      </w:r>
    </w:p>
    <w:p w14:paraId="2FA182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 1 мая 1944 г. - использование поковки для изготовления рычага пуска;</w:t>
      </w:r>
    </w:p>
    <w:p w14:paraId="622696F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 1 июня 1944 г. - применение двухдискового сцепления [5.81].</w:t>
      </w:r>
    </w:p>
    <w:p w14:paraId="7D7AD9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результатам полигонных испытаний М-72, проводившихся в ГБТУ, от ГМЗ, помимо перечисленного, военные специалисты требовали:</w:t>
      </w:r>
    </w:p>
    <w:p w14:paraId="6CEC48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замены металла крышки задней передачи АЛ-5 на АЛ-9;</w:t>
      </w:r>
    </w:p>
    <w:p w14:paraId="3FB2E7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повышения упругости пружин передней вилки;</w:t>
      </w:r>
    </w:p>
    <w:p w14:paraId="4D5D597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повышения передаточного отношения редуктора заднего колеса с 3,86 до 4,62;</w:t>
      </w:r>
    </w:p>
    <w:p w14:paraId="113CEE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устранения влияния причин, снижавших мощность двига</w:t>
      </w:r>
      <w:r w:rsidRPr="00070ADE">
        <w:rPr>
          <w:rFonts w:ascii="Times New Roman" w:hAnsi="Times New Roman"/>
          <w:color w:val="000000" w:themeColor="text1"/>
          <w:sz w:val="16"/>
          <w:szCs w:val="16"/>
        </w:rPr>
        <w:softHyphen/>
        <w:t>тель с 20-22 л.с. до 16-18 л.с.;</w:t>
      </w:r>
    </w:p>
    <w:p w14:paraId="6994F7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крепления к багажнику кожаной сумки от мотоцикла «Хар-лей-Дэвидсон»</w:t>
      </w:r>
    </w:p>
    <w:p w14:paraId="12E2841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испытаниях выяснилось, что М-72, сделанные на ГМЗ, выдержали гарантированный пробег 15 тыс. км с незначительны</w:t>
      </w:r>
      <w:r w:rsidRPr="00070ADE">
        <w:rPr>
          <w:rFonts w:ascii="Times New Roman" w:hAnsi="Times New Roman"/>
          <w:color w:val="000000" w:themeColor="text1"/>
          <w:sz w:val="16"/>
          <w:szCs w:val="16"/>
        </w:rPr>
        <w:softHyphen/>
        <w:t>ми отказами и поломками [5.82]. Это свидетельствовало об ус</w:t>
      </w:r>
      <w:r w:rsidRPr="00070ADE">
        <w:rPr>
          <w:rFonts w:ascii="Times New Roman" w:hAnsi="Times New Roman"/>
          <w:color w:val="000000" w:themeColor="text1"/>
          <w:sz w:val="16"/>
          <w:szCs w:val="16"/>
        </w:rPr>
        <w:softHyphen/>
        <w:t>пешной работе ГМЗ в деле повышения качества М-72 (11429).</w:t>
      </w:r>
    </w:p>
    <w:p w14:paraId="16F2A0B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50BE943" w14:textId="77777777" w:rsidR="009D1B58" w:rsidRPr="00070ADE" w:rsidRDefault="009D1B5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10 февраля 1944 завод сдал 23 машины ИСУ-152, ещё за 20 дней — 45 штук, а всего за данный месяц — 75 машин: влияние перестройки производства стало ещё более заметным.</w:t>
      </w:r>
    </w:p>
    <w:p w14:paraId="6500A14E" w14:textId="77777777" w:rsidR="009D1B58" w:rsidRPr="00070ADE" w:rsidRDefault="009D1B5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начала февраля новые САУ получили название ИСУ-152, что позволило не путать танки и САУ (18171).</w:t>
      </w:r>
    </w:p>
    <w:p w14:paraId="643911D0" w14:textId="77777777" w:rsidR="009D1B58" w:rsidRPr="00070ADE" w:rsidRDefault="009D1B58" w:rsidP="00B56F90">
      <w:pPr>
        <w:spacing w:after="0" w:line="240" w:lineRule="auto"/>
        <w:jc w:val="both"/>
        <w:rPr>
          <w:rFonts w:ascii="Times New Roman" w:hAnsi="Times New Roman"/>
          <w:color w:val="000000" w:themeColor="text1"/>
          <w:sz w:val="16"/>
          <w:szCs w:val="16"/>
        </w:rPr>
      </w:pPr>
    </w:p>
    <w:p w14:paraId="7C6D48A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февраля 1944 вышло Распоряжение ГКО № 5139 [О включении в 75-й автополк двух автобатальонов, работающих на вывозе угля, и уменьшении мобилизации на нужды армии автомашин и шоферов комбината "Сталинуголь".] (7186, 157).</w:t>
      </w:r>
    </w:p>
    <w:p w14:paraId="078924A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51045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февраля 1944 вышло Постановление ГКО № 5140 Об утверждении программы военного судостроения на 1944 год и I квартал 1944 года. РГАНИР, Фонд ГКО, д. 207, лл. 158-172,173-212 (11012).</w:t>
      </w:r>
    </w:p>
    <w:p w14:paraId="46209BB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C022C4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A6931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A7698D" w14:textId="77777777" w:rsidR="00583EED" w:rsidRPr="00070ADE" w:rsidRDefault="00583EE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10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5188F9EC" w14:textId="77777777" w:rsidR="00583EED" w:rsidRPr="00070ADE" w:rsidRDefault="00583EE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10 февраля на Лужском направлении наши войска, продолжая наступление, овладели населёнными пунктами Замостье, Ветчины, Заозерье, Крестьянский Труд, Толмачёво, Жельцы, Плосково и железнодорожной станцией Толмачёво.</w:t>
      </w:r>
    </w:p>
    <w:p w14:paraId="0EE8B951" w14:textId="77777777" w:rsidR="00583EED" w:rsidRPr="00070ADE" w:rsidRDefault="00583EE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Новгорода наши войска продолжали вести наступательные бои, в ходе которых заняли несколько населённых пунктов.</w:t>
      </w:r>
    </w:p>
    <w:p w14:paraId="1119FF18" w14:textId="77777777" w:rsidR="00583EED" w:rsidRPr="00070ADE" w:rsidRDefault="00583EE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Звенигородка и Шпола наши войска продолжали вести бои по уничтожению окружённой группировки противника и, сжимая кольцо окружения, овладели населёнными пунктами Яновка, Нехворощь, Завадовка, Набоков Хутор, Середин Яр, Яхнов, Млеев, Грузька и железнодорожными станциями Валява, Завадовка.</w:t>
      </w:r>
    </w:p>
    <w:p w14:paraId="2D5BE4B5" w14:textId="77777777" w:rsidR="00583EED" w:rsidRPr="00070ADE" w:rsidRDefault="00583EE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Апостолово наши войска вели наступательные бои и заняли несколько населённых пунктов.</w:t>
      </w:r>
    </w:p>
    <w:p w14:paraId="3961B4F1" w14:textId="77777777" w:rsidR="00583EED" w:rsidRPr="00070ADE" w:rsidRDefault="00583EE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74675C70" w14:textId="77777777" w:rsidR="00583EED" w:rsidRPr="00070ADE" w:rsidRDefault="00583EE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9 февраля наши войска на всех фронтах подбили и уничтожили 43 немецких танка. В воздушных боях и огнём зенитной артиллерии сбито 29 самолётов противника.</w:t>
      </w:r>
    </w:p>
    <w:p w14:paraId="3C521B31" w14:textId="77777777" w:rsidR="00583EED" w:rsidRPr="00070ADE" w:rsidRDefault="00583EE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Лужском направлении наши войска продолжали наступление. Части Н-ского соединения, совершив обходный манёвр, перехватили пути отхода противника и уничтожили до 400 гитлеровцев. В этом же районе захвачено у немцев 10 орудий, 20 крупнокалиберных пулемётов и 70 повозок с грузами. Сегодня наши войска, с боями продвигаясь вперёд, овладели несколькими населёнными пунктами и железнодорожной станцией Толмачёво, имеющей важное значение.</w:t>
      </w:r>
    </w:p>
    <w:p w14:paraId="34E9ECDC" w14:textId="77777777" w:rsidR="00583EED" w:rsidRPr="00070ADE" w:rsidRDefault="00583EE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Новгорода наши войска вели наступательные бои и заняли несколько населённых пунктов. В боях за эти пункты уничтожено свыше 500 немецких солдат и офицеров, подбито 3 танка и 2 самоходных орудия.</w:t>
      </w:r>
    </w:p>
    <w:p w14:paraId="0D308765" w14:textId="77777777" w:rsidR="00583EED" w:rsidRPr="00070ADE" w:rsidRDefault="00583EE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Советская авиация бомбила и штурмовала войска противника. В течение дня наши лётчики взорвали 3 немецких железнодорожных эшелона, уничтожили 8 полевых и самоходных орудий, 60 автомашин, склад боеприпасов, рассеяли и частью истребили до батальона пехоты противника.</w:t>
      </w:r>
    </w:p>
    <w:p w14:paraId="19C6EE82" w14:textId="77777777" w:rsidR="00583EED" w:rsidRPr="00070ADE" w:rsidRDefault="00583EE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городов Звенигородка и Шпола наши войска вели бои по уничтожению окружённой группировки противника. Части Н-ского соединения, сломив сопротивление немцев, заняли крупный опорный пункт — село Яновку. Бойцы другого нашего соединения овладели населёнными пунктами Завадовка, Набоков Хутор, Середин Яр, Яхнов и Млеев. На этом участке наши войска отрезали несколько немецких подразделений от основной вражеской группировки и уничтожают их. На подступах и на улицах занятого вчера советскими войсками районного центра Киевской области Городище подсчитано свыше 1.000 трупов гитлеровцев. Захвачено унемцев 24 орудия, 65 пулемётов и более 1.000 автомашин.</w:t>
      </w:r>
    </w:p>
    <w:p w14:paraId="7FB8A945" w14:textId="77777777" w:rsidR="00583EED" w:rsidRPr="00070ADE" w:rsidRDefault="00583EE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лётчики срывают попытки противника доставить грузы окружённым немецким дивизиям. В воздушных боях за день сбито 10 трехмоторный транспортных самолётов«Ю-52» и 4 немецких истребителя.</w:t>
      </w:r>
    </w:p>
    <w:p w14:paraId="6A42B72C" w14:textId="77777777" w:rsidR="00583EED" w:rsidRPr="00070ADE" w:rsidRDefault="00583EE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города Апостолово наши войска с боями заняли несколько населённых пунктов. В одном районе бойцы Н-ской части зашли в тыл противника и атаковали отступавшую немецкую часть. В ходе боя уничтожено до 700 гитлеровцев. Взята вплен значительная группа немецких солдат и офицеров. На другом участке советские бойцы, продвигаясь вперёд, истребили три роты гитлеровцев, уничтожили 15 орудий и захватили 95 автомашин с грузами.</w:t>
      </w:r>
    </w:p>
    <w:p w14:paraId="1C79FD9C" w14:textId="77777777" w:rsidR="00583EED" w:rsidRPr="00070ADE" w:rsidRDefault="00583EE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одном из районов Волынской области, из засады напал на колонну противника. Партизаны уничтожили 17 автомашин, в том числе одну легковую автомашину с четырьмя немецкими офицерами. Убито и ранено 90 гитлеровцев. Партизаны другого отряда пустили под откос немецкий бронепоезд.</w:t>
      </w:r>
    </w:p>
    <w:p w14:paraId="0F030F5C" w14:textId="77777777" w:rsidR="00583EED" w:rsidRPr="00070ADE" w:rsidRDefault="00583EE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Советское информбюро 31 января сообщило, что венгерские войска продолжают принимать самое активное участие в войне против Советского Союза на стороне немцев. Венгерское телеграфное агентство решило отрицать неопровержимые факты и, ссылаясь на авторитетные венгерские круги, заявило, что «венгерские войска не принимают участия в боях на передовой линии Восточного фронта».</w:t>
      </w:r>
    </w:p>
    <w:p w14:paraId="0370ED0E" w14:textId="77777777" w:rsidR="00583EED" w:rsidRPr="00070ADE" w:rsidRDefault="00583EE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Участие венгерских войск на передовой линии фронта на стороне немцев проверено в боях. Сотни венгерских солдат и офицеров за последнее время взяты вплен. Законно встаёт вопрос о том, что же они делали на поле боя и притом не в одиночку, а целыми соединениями?</w:t>
      </w:r>
    </w:p>
    <w:p w14:paraId="1E42E125" w14:textId="77777777" w:rsidR="00583EED" w:rsidRPr="00070ADE" w:rsidRDefault="00583EE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 факт пленения венгров опровергает лживые заявления Венгерского телеграфного агентства. Только на-днях советские войска захватили в плен большое количество солдат 18 и 19 венгерских дивизий и других соединений. Пленный младший сержант 2 батареи 89 венгерского артдивизиона Добоши Ферену заявил: «89-й артдивизион придан 35 пехотному полку 19 лёгкой пехотной дивизии. Я прибылна фронт весной 1943 года с большим транспортом венгерских войск. Нас прислали на смену 2-й венгерской армии, разбитой на Дону. Наша дивизия уже продолжительное время участвует в боях. Она понесла большие потери. Многие солдаты, не желая воевать, спрашивали офицеров: «Зачем нас сюда пригнали?» Недавно группа солдат дезертировала. Беглецов поймали и предали военно-полевомусуду. Они были приговорены к смертной казни и расстреляны в районе расположения 105 венгерского госпиталя».</w:t>
      </w:r>
    </w:p>
    <w:p w14:paraId="06C3FE9E" w14:textId="77777777" w:rsidR="00583EED" w:rsidRPr="00070ADE" w:rsidRDefault="00583EE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угоду Гитлеру правящие круги Венгрии гонят венгерских солдат на убой и в тоже время лицемерно заявляют, что венгерские войска не воюют на советско-германском фронте. Но правду не скроешь. Показания пленных венгерских солдат ещё и ещё раз разоблачают венгерских гитлеровцев.» (15036).</w:t>
      </w:r>
    </w:p>
    <w:p w14:paraId="280BB364" w14:textId="77777777" w:rsidR="00583EED" w:rsidRPr="00070ADE" w:rsidRDefault="00583EED" w:rsidP="00B56F90">
      <w:pPr>
        <w:spacing w:after="0" w:line="240" w:lineRule="auto"/>
        <w:jc w:val="both"/>
        <w:rPr>
          <w:rFonts w:ascii="Times New Roman" w:hAnsi="Times New Roman"/>
          <w:color w:val="000000" w:themeColor="text1"/>
          <w:sz w:val="16"/>
          <w:szCs w:val="16"/>
        </w:rPr>
      </w:pPr>
    </w:p>
    <w:p w14:paraId="63EDBB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10 февраля 1944 года пилоты 6го ГИАП и 25-го ИАП совершили 123 боевых вылета и в 24 боях сбили 19 вражеских машин. Советская сторона также понесла потери. </w:t>
      </w:r>
      <w:r w:rsidRPr="00070ADE">
        <w:rPr>
          <w:rFonts w:ascii="Times New Roman" w:hAnsi="Times New Roman"/>
          <w:color w:val="000000" w:themeColor="text1"/>
          <w:sz w:val="16"/>
          <w:szCs w:val="16"/>
        </w:rPr>
        <w:lastRenderedPageBreak/>
        <w:t>В тот день не повезло асу шестого полка, капитану М. Грибу, который совершил вынужденную посадку на территории, занятой противником (2691).</w:t>
      </w:r>
    </w:p>
    <w:p w14:paraId="323D06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2ECFD6" w14:textId="77777777" w:rsidR="00BD6B74" w:rsidRPr="00070ADE" w:rsidRDefault="00BD6B74" w:rsidP="00B56F90">
      <w:pPr>
        <w:pStyle w:val="ae"/>
        <w:shd w:val="clear" w:color="auto" w:fill="FFFFFF"/>
        <w:spacing w:before="0" w:after="0"/>
        <w:jc w:val="both"/>
        <w:rPr>
          <w:color w:val="000000" w:themeColor="text1"/>
          <w:sz w:val="16"/>
          <w:szCs w:val="16"/>
        </w:rPr>
      </w:pPr>
      <w:r w:rsidRPr="00070ADE">
        <w:rPr>
          <w:color w:val="000000" w:themeColor="text1"/>
          <w:sz w:val="16"/>
          <w:szCs w:val="16"/>
        </w:rPr>
        <w:t>10 февраля 1944 на фронт отправился 13-й гв. ттп на ИС-1. 15 числа эшелон с танками прибыл на станцию Фастов, где их заправили. Выгружались машины на станции Белая Церковь. К 7 часам утра машины были сосредоточены на южной окраине деревни Джурженцы. Туда добрались не все танки: 5 машин отстало из-за различных технических неисправностей. У трёх машин заглохли двигатели в связи с попаданием в топливную систему воздуха, ещё у двух случились другие неполадки с моторами. Хотя неисправности не были критичными, к началу боя полк оказался не в полном составе.</w:t>
      </w:r>
    </w:p>
    <w:p w14:paraId="20E82A33" w14:textId="77777777" w:rsidR="00BD6B74" w:rsidRPr="00070ADE" w:rsidRDefault="00BD6B74" w:rsidP="00B56F90">
      <w:pPr>
        <w:pStyle w:val="ae"/>
        <w:shd w:val="clear" w:color="auto" w:fill="FFFFFF"/>
        <w:spacing w:before="0" w:after="0"/>
        <w:jc w:val="both"/>
        <w:rPr>
          <w:color w:val="000000" w:themeColor="text1"/>
          <w:sz w:val="16"/>
          <w:szCs w:val="16"/>
        </w:rPr>
      </w:pPr>
      <w:r w:rsidRPr="00070ADE">
        <w:rPr>
          <w:color w:val="000000" w:themeColor="text1"/>
          <w:sz w:val="16"/>
          <w:szCs w:val="16"/>
        </w:rPr>
        <w:t>Боевой дебют ИС-85 состоялся 19 февраля. В этот день 1-я рота (5 танков) поддерживала наступление 109-й танковой бригады в направлении на Лисянку. Дебют этот оказался неудачным: подбив Т-34 из состава 109-й тбр, «Пантеры» подпустили ИС-85 на дистанцию 600-800 метров, после чего открыли огонь. 2 советских тяжёлых танка сгорели и 3 были подбиты. Причиной полной потери 1-й роты стало неправильное применение: вместо того, чтобы пускать тяжёлые танки вторым эшелоном, их, как обычно и поступали с тяжёлыми танками, использовали в качестве тарана (17715).</w:t>
      </w:r>
    </w:p>
    <w:p w14:paraId="05A797C2" w14:textId="77777777" w:rsidR="00BD6B74" w:rsidRPr="00070ADE" w:rsidRDefault="00BD6B74" w:rsidP="00B56F90">
      <w:pPr>
        <w:pStyle w:val="123"/>
        <w:shd w:val="clear" w:color="auto" w:fill="auto"/>
        <w:spacing w:after="0" w:line="240" w:lineRule="auto"/>
        <w:jc w:val="both"/>
        <w:rPr>
          <w:color w:val="000000" w:themeColor="text1"/>
          <w:sz w:val="16"/>
          <w:szCs w:val="16"/>
        </w:rPr>
      </w:pPr>
    </w:p>
    <w:p w14:paraId="0975ADE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февраля 1944 г. были подготовлены КРАТКИЕ УКАЗАНИЯ ПО БОЕВОМУ ПРИМЕНЕНИЮ ТЯЖЕЛЫХ ПОЛКОВ САМОХОДНОЙ АРТИЛЛЕРИИ ИСУ-152</w:t>
      </w:r>
    </w:p>
    <w:p w14:paraId="029DCB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Впредь до выхода наставления по боевому применению тяжелых полков самоходной артилле</w:t>
      </w:r>
      <w:r w:rsidRPr="00070ADE">
        <w:rPr>
          <w:rFonts w:ascii="Times New Roman" w:hAnsi="Times New Roman"/>
          <w:color w:val="000000" w:themeColor="text1"/>
          <w:sz w:val="16"/>
          <w:szCs w:val="16"/>
        </w:rPr>
        <w:softHyphen/>
        <w:t>рии ИСУ -152 принять к руководству следующее:</w:t>
      </w:r>
    </w:p>
    <w:p w14:paraId="7AA59F8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Общие положения</w:t>
      </w:r>
    </w:p>
    <w:p w14:paraId="3EE6337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Тяжелая самоходная установка ИСУ-152 обладает:</w:t>
      </w:r>
    </w:p>
    <w:p w14:paraId="205083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сильной броней, защищающей ее с 1500 метров от поражения бронебойными снарядами всех танковых и противотанковых орудий противника;</w:t>
      </w:r>
    </w:p>
    <w:p w14:paraId="4BDAD60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мощной 152-мм гаубицей-пушкой, способной уничтожать огневые точки противника, находя</w:t>
      </w:r>
      <w:r w:rsidRPr="00070ADE">
        <w:rPr>
          <w:rFonts w:ascii="Times New Roman" w:hAnsi="Times New Roman"/>
          <w:color w:val="000000" w:themeColor="text1"/>
          <w:sz w:val="16"/>
          <w:szCs w:val="16"/>
        </w:rPr>
        <w:softHyphen/>
        <w:t>щиеся в дотах и дзотах, пробивать бронебойным снарядом броню всех тяжелых танков и самоход</w:t>
      </w:r>
      <w:r w:rsidRPr="00070ADE">
        <w:rPr>
          <w:rFonts w:ascii="Times New Roman" w:hAnsi="Times New Roman"/>
          <w:color w:val="000000" w:themeColor="text1"/>
          <w:sz w:val="16"/>
          <w:szCs w:val="16"/>
        </w:rPr>
        <w:softHyphen/>
        <w:t>ных орудий на дальностях до 2000 метров.</w:t>
      </w:r>
    </w:p>
    <w:p w14:paraId="2550D7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Тяжелые самоходные установки ИСУ-152 предназначаются:</w:t>
      </w:r>
    </w:p>
    <w:p w14:paraId="295DB75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 наступлении для уничтожения огневых точек, находящихся в дотах и дзотах, живой силы, артиллерии противника, а также для борьбы с танками и самоходными орудиями;</w:t>
      </w:r>
    </w:p>
    <w:p w14:paraId="0B506F3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 обороне в основном для борьбы с тяжелыми танками и самоходными орудиями противника.</w:t>
      </w:r>
    </w:p>
    <w:p w14:paraId="27C636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Тяжелые полки самоходной артиллерии ИСУ-152 являются резервом Главного командования и при</w:t>
      </w:r>
      <w:r w:rsidRPr="00070ADE">
        <w:rPr>
          <w:rFonts w:ascii="Times New Roman" w:hAnsi="Times New Roman"/>
          <w:color w:val="000000" w:themeColor="text1"/>
          <w:sz w:val="16"/>
          <w:szCs w:val="16"/>
        </w:rPr>
        <w:softHyphen/>
        <w:t>даются преимущественно танковым и механизированным корпусам из расчета один, два полка на корпус.</w:t>
      </w:r>
    </w:p>
    <w:p w14:paraId="7A1F80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наступательном бою они применяются на направлении главного удара и там, где наиболее вероятна встреча с тяжелыми танками противника.</w:t>
      </w:r>
    </w:p>
    <w:p w14:paraId="258D85E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Применению тяжелых полков самоходной артиллерии должно предшествовать тщательное изучение противника, местности и инженерных заграждений, для чего используются данные обще</w:t>
      </w:r>
      <w:r w:rsidRPr="00070ADE">
        <w:rPr>
          <w:rFonts w:ascii="Times New Roman" w:hAnsi="Times New Roman"/>
          <w:color w:val="000000" w:themeColor="text1"/>
          <w:sz w:val="16"/>
          <w:szCs w:val="16"/>
        </w:rPr>
        <w:softHyphen/>
        <w:t>войсковой, инженерной, артиллерийской и танковой разведки.</w:t>
      </w:r>
    </w:p>
    <w:p w14:paraId="41568E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Особое внимание должно быть обращено на разведку минных полей и расчистку проходов к ним.</w:t>
      </w:r>
    </w:p>
    <w:p w14:paraId="30B56FF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Тяжелые полки самоходной артиллерии выполняют боевые задачи в полном своем составе, но в зависимости от обстановки могут быть применены и побатарейно. Дробление батарей допускать нецелесообразно.</w:t>
      </w:r>
    </w:p>
    <w:p w14:paraId="3B9613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Боевой порядок тяжелого полка самоходной артиллерии состоит из боевого эшелона и резерва. Боевой порядок батарей «Линия». Состав резерва одна батарея.</w:t>
      </w:r>
    </w:p>
    <w:p w14:paraId="077ADAD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В бою командир тяжелого полка самоходной артиллерии следует в своей самоходной установ</w:t>
      </w:r>
      <w:r w:rsidRPr="00070ADE">
        <w:rPr>
          <w:rFonts w:ascii="Times New Roman" w:hAnsi="Times New Roman"/>
          <w:color w:val="000000" w:themeColor="text1"/>
          <w:sz w:val="16"/>
          <w:szCs w:val="16"/>
        </w:rPr>
        <w:softHyphen/>
        <w:t>ке в боевых порядках полка, лично наблюдая за полем боя, управляет им и поддерживает связь по радио с командиром, которому подчинен, и своими подразделениями.</w:t>
      </w:r>
    </w:p>
    <w:p w14:paraId="0F2ACA3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Для наиболее целесообразного и полного использования своей огневой мощи тяжелые само</w:t>
      </w:r>
      <w:r w:rsidRPr="00070ADE">
        <w:rPr>
          <w:rFonts w:ascii="Times New Roman" w:hAnsi="Times New Roman"/>
          <w:color w:val="000000" w:themeColor="text1"/>
          <w:sz w:val="16"/>
          <w:szCs w:val="16"/>
        </w:rPr>
        <w:softHyphen/>
        <w:t>ходные установки ИСУ-152 ведут огонь прямой наводкой с остановок продолжительностью [до] 2-х минут на дальностях до 3-х километров и с места при действии в обороне.</w:t>
      </w:r>
    </w:p>
    <w:p w14:paraId="779C84D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встрече сильного сопротивления в глубине обороны противника тяжелый полк самоходной артиллерии может быть привлечен для короткой артподготовки с закрытых или полузакрытых огне</w:t>
      </w:r>
      <w:r w:rsidRPr="00070ADE">
        <w:rPr>
          <w:rFonts w:ascii="Times New Roman" w:hAnsi="Times New Roman"/>
          <w:color w:val="000000" w:themeColor="text1"/>
          <w:sz w:val="16"/>
          <w:szCs w:val="16"/>
        </w:rPr>
        <w:softHyphen/>
        <w:t>вых позиций.</w:t>
      </w:r>
    </w:p>
    <w:p w14:paraId="4AA0CBF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При ведении огня из тяжелой самоходной установки необходимо соблюдать экономию в сна</w:t>
      </w:r>
      <w:r w:rsidRPr="00070ADE">
        <w:rPr>
          <w:rFonts w:ascii="Times New Roman" w:hAnsi="Times New Roman"/>
          <w:color w:val="000000" w:themeColor="text1"/>
          <w:sz w:val="16"/>
          <w:szCs w:val="16"/>
        </w:rPr>
        <w:softHyphen/>
        <w:t>рядах, расходуя их в основном для уничтожения огневых точек, находящихся в дотах и дзотах и для борьбы с тяжелыми танками и самоходными орудиями противника.</w:t>
      </w:r>
    </w:p>
    <w:p w14:paraId="15BD0AC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Саперный взвод тяжелого полка самоходной артиллерии предназначается для помощи тяже</w:t>
      </w:r>
      <w:r w:rsidRPr="00070ADE">
        <w:rPr>
          <w:rFonts w:ascii="Times New Roman" w:hAnsi="Times New Roman"/>
          <w:color w:val="000000" w:themeColor="text1"/>
          <w:sz w:val="16"/>
          <w:szCs w:val="16"/>
        </w:rPr>
        <w:softHyphen/>
        <w:t>лым самоходным установкам в преодолении естественных и искусственных препятствий, особенно при преодолении минных полей.</w:t>
      </w:r>
    </w:p>
    <w:p w14:paraId="10529A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Непосредственно охранение и защиту от противотанковых групп противника выполняет рота автоматчиков полка.</w:t>
      </w:r>
    </w:p>
    <w:p w14:paraId="4BF9564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Взводы, роты автоматчиков закрепляются за батареями, а отделения за самоходными установ</w:t>
      </w:r>
      <w:r w:rsidRPr="00070ADE">
        <w:rPr>
          <w:rFonts w:ascii="Times New Roman" w:hAnsi="Times New Roman"/>
          <w:color w:val="000000" w:themeColor="text1"/>
          <w:sz w:val="16"/>
          <w:szCs w:val="16"/>
        </w:rPr>
        <w:softHyphen/>
        <w:t>ками и, как правило, постоянно несут службу при них. В бою автоматчики всегда находятся в готов</w:t>
      </w:r>
      <w:r w:rsidRPr="00070ADE">
        <w:rPr>
          <w:rFonts w:ascii="Times New Roman" w:hAnsi="Times New Roman"/>
          <w:color w:val="000000" w:themeColor="text1"/>
          <w:sz w:val="16"/>
          <w:szCs w:val="16"/>
        </w:rPr>
        <w:softHyphen/>
        <w:t>ности оказать помощь своей самоходной установке и батарее.</w:t>
      </w:r>
    </w:p>
    <w:p w14:paraId="376FAFD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Применение тяжелых полков самоходной артиллерии в наступлении</w:t>
      </w:r>
    </w:p>
    <w:p w14:paraId="52BABB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Основная задача тяжелого полка самоходной артиллерии ИСУ-152 состоит в том, чтобы своим внезапным и мощным огнем уничтожать тяжелые танки, самоходные орудия, огневые точки, нахо</w:t>
      </w:r>
      <w:r w:rsidRPr="00070ADE">
        <w:rPr>
          <w:rFonts w:ascii="Times New Roman" w:hAnsi="Times New Roman"/>
          <w:color w:val="000000" w:themeColor="text1"/>
          <w:sz w:val="16"/>
          <w:szCs w:val="16"/>
        </w:rPr>
        <w:softHyphen/>
        <w:t>дящиеся в дотах и дзотах и артиллерию противника.</w:t>
      </w:r>
    </w:p>
    <w:p w14:paraId="60C4883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Тяжелые полки самоходной артиллерии используются массированно, на направлении главного удара для совместных действий с танковыми и механизированными соединениями и применяются:</w:t>
      </w:r>
    </w:p>
    <w:p w14:paraId="6EAB45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для огневого сопровождения атаки танков и мотопехоты;</w:t>
      </w:r>
    </w:p>
    <w:p w14:paraId="3BA6970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как подвижный огневой резерв командира танкового (механизированного) соединения, когда расположение основной группы танков противника неопределенно и действия их неясны;</w:t>
      </w:r>
    </w:p>
    <w:p w14:paraId="00FC99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для короткой артиллерийской обработки промежуточного оборонительного рубежа при недо</w:t>
      </w:r>
      <w:r w:rsidRPr="00070ADE">
        <w:rPr>
          <w:rFonts w:ascii="Times New Roman" w:hAnsi="Times New Roman"/>
          <w:color w:val="000000" w:themeColor="text1"/>
          <w:sz w:val="16"/>
          <w:szCs w:val="16"/>
        </w:rPr>
        <w:softHyphen/>
        <w:t>статках для этого артиллерии соответствующих калибров;</w:t>
      </w:r>
    </w:p>
    <w:p w14:paraId="75A5E28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для действия в составе штурмовых групп по уничтожению дотов.</w:t>
      </w:r>
    </w:p>
    <w:p w14:paraId="77F156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При отражении танковой атаки тяжелые самоходные установки в первую очередь уничтожа</w:t>
      </w:r>
      <w:r w:rsidRPr="00070ADE">
        <w:rPr>
          <w:rFonts w:ascii="Times New Roman" w:hAnsi="Times New Roman"/>
          <w:color w:val="000000" w:themeColor="text1"/>
          <w:sz w:val="16"/>
          <w:szCs w:val="16"/>
        </w:rPr>
        <w:softHyphen/>
        <w:t>ют тяжелые танки и самоходные орудия противника.</w:t>
      </w:r>
    </w:p>
    <w:p w14:paraId="0092331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 наступлении боевой порядок тяжелого полка самоходной артиллерии составляет по фронту 900-1200 метров и в глубину 500 метров, с интервалами между батареями 100-150 метров. Боевой порядок батареи «линия» с интервалами между самоходными установками 50-75 метров. Резерв одна батарея.</w:t>
      </w:r>
    </w:p>
    <w:p w14:paraId="03BDF6E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При постановке задач тяжелому полку самоходной артиллерии ИСУ-152 должно быть указано:</w:t>
      </w:r>
    </w:p>
    <w:p w14:paraId="29B5F30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объекты уничтожения и район расположения или возможные направления движения основ</w:t>
      </w:r>
      <w:r w:rsidRPr="00070ADE">
        <w:rPr>
          <w:rFonts w:ascii="Times New Roman" w:hAnsi="Times New Roman"/>
          <w:color w:val="000000" w:themeColor="text1"/>
          <w:sz w:val="16"/>
          <w:szCs w:val="16"/>
        </w:rPr>
        <w:softHyphen/>
        <w:t>ной группы танков и самоходных орудий противника, особенно тяжелых;</w:t>
      </w:r>
    </w:p>
    <w:p w14:paraId="443A3E1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задача соединения и поддерживающей артиллерии;</w:t>
      </w:r>
    </w:p>
    <w:p w14:paraId="096C659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место в боевом порядке соединения;</w:t>
      </w:r>
    </w:p>
    <w:p w14:paraId="1E8205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исходные позиции, первые огневые позиции и время их занятия;</w:t>
      </w:r>
    </w:p>
    <w:p w14:paraId="7D107FA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ориентиры и способы целеуказания от поддерживаемых войск;</w:t>
      </w:r>
    </w:p>
    <w:p w14:paraId="7CFF13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командный или наблюдательный пункт командира танкового или механизированного соединения;</w:t>
      </w:r>
    </w:p>
    <w:p w14:paraId="60A46E0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сборный район и порядок пополнения в бою боеприпасами и горючим.</w:t>
      </w:r>
    </w:p>
    <w:p w14:paraId="1F1F04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В наступлении батареи тяжелого полка самоходной артиллерии, двигаясь в 300-700 м за пер</w:t>
      </w:r>
      <w:r w:rsidRPr="00070ADE">
        <w:rPr>
          <w:rFonts w:ascii="Times New Roman" w:hAnsi="Times New Roman"/>
          <w:color w:val="000000" w:themeColor="text1"/>
          <w:sz w:val="16"/>
          <w:szCs w:val="16"/>
        </w:rPr>
        <w:softHyphen/>
        <w:t>вым боевым эшелоном поддерживаемого соединения, должны искусно использовать складки мест</w:t>
      </w:r>
      <w:r w:rsidRPr="00070ADE">
        <w:rPr>
          <w:rFonts w:ascii="Times New Roman" w:hAnsi="Times New Roman"/>
          <w:color w:val="000000" w:themeColor="text1"/>
          <w:sz w:val="16"/>
          <w:szCs w:val="16"/>
        </w:rPr>
        <w:softHyphen/>
        <w:t>ности и укрытия. Стремясь как можно меньше задерживаться на одной огневой позиции.</w:t>
      </w:r>
    </w:p>
    <w:p w14:paraId="0407ED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Применение тяжелых полков самоходной артиллерии ИСУ-152 в обороне</w:t>
      </w:r>
    </w:p>
    <w:p w14:paraId="3F35474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 обороне тяжелый полк самоходной артиллерии может быть придан бронетанковым и обще</w:t>
      </w:r>
      <w:r w:rsidRPr="00070ADE">
        <w:rPr>
          <w:rFonts w:ascii="Times New Roman" w:hAnsi="Times New Roman"/>
          <w:color w:val="000000" w:themeColor="text1"/>
          <w:sz w:val="16"/>
          <w:szCs w:val="16"/>
        </w:rPr>
        <w:softHyphen/>
        <w:t>войсковым соединениям и применяется:</w:t>
      </w:r>
    </w:p>
    <w:p w14:paraId="79FC7BA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для борьбы с прорвавшимися танками и самоходными орудиями противника;</w:t>
      </w:r>
    </w:p>
    <w:p w14:paraId="6620C87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как подвижный огневой резерв в общей системе противотанковой обороны на наиболее веро</w:t>
      </w:r>
      <w:r w:rsidRPr="00070ADE">
        <w:rPr>
          <w:rFonts w:ascii="Times New Roman" w:hAnsi="Times New Roman"/>
          <w:color w:val="000000" w:themeColor="text1"/>
          <w:sz w:val="16"/>
          <w:szCs w:val="16"/>
        </w:rPr>
        <w:softHyphen/>
        <w:t>ятных направлениях атаки танков противника;</w:t>
      </w:r>
    </w:p>
    <w:p w14:paraId="12B6DDB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для огневого сопротивления контратаки танков из глубины;</w:t>
      </w:r>
    </w:p>
    <w:p w14:paraId="0C6370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для действий из засад по отражению перед передним краем обороны танковых атак противника. 2. При действии из засад самоходные установки располагаются в 400-600 метров. Засады открывают огонь только по танкам и в первую очередь по тяжелым с дистанции 300-500 метров.</w:t>
      </w:r>
    </w:p>
    <w:p w14:paraId="5DE81D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Ведение огня</w:t>
      </w:r>
    </w:p>
    <w:p w14:paraId="2CB276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Стрельба ведется:</w:t>
      </w:r>
    </w:p>
    <w:p w14:paraId="5577C0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отдельными самоходными установками для уничтожения тяжелых танков и самоходных ору</w:t>
      </w:r>
      <w:r w:rsidRPr="00070ADE">
        <w:rPr>
          <w:rFonts w:ascii="Times New Roman" w:hAnsi="Times New Roman"/>
          <w:color w:val="000000" w:themeColor="text1"/>
          <w:sz w:val="16"/>
          <w:szCs w:val="16"/>
        </w:rPr>
        <w:softHyphen/>
        <w:t>дий противника, уничтожения огневых точек, находящихся в дот и дзот;</w:t>
      </w:r>
    </w:p>
    <w:p w14:paraId="6E2564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батареей для уничтожения или разрушения неподвижных целей, когда обстановка требует решения задачи в кратчайший срок;</w:t>
      </w:r>
    </w:p>
    <w:p w14:paraId="2B832E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группой батарей или полком на подавление наиболее важных и крупных целей (артиллерий</w:t>
      </w:r>
      <w:r w:rsidRPr="00070ADE">
        <w:rPr>
          <w:rFonts w:ascii="Times New Roman" w:hAnsi="Times New Roman"/>
          <w:color w:val="000000" w:themeColor="text1"/>
          <w:sz w:val="16"/>
          <w:szCs w:val="16"/>
        </w:rPr>
        <w:softHyphen/>
        <w:t>ские батареи, колонны), требующие массового и кратковременного воздействия, в таких случаях массированный огонь может вестись как с открытых, так и с закрытых огневых позиций.</w:t>
      </w:r>
    </w:p>
    <w:p w14:paraId="62A6988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остальном командирам тяжелых полков самоходной артиллерии руководствоваться уставами, наставлениями, пособиями и инструкциями БТ и МБ КА.</w:t>
      </w:r>
    </w:p>
    <w:p w14:paraId="2C36662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БТ и МВ КА маршал бронетанковых войск Федоренко</w:t>
      </w:r>
    </w:p>
    <w:p w14:paraId="3DF9003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11351. Д. 214. Л. 140-142 с об. Копия (11403).</w:t>
      </w:r>
    </w:p>
    <w:p w14:paraId="148929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D08E058"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lastRenderedPageBreak/>
        <w:t>Внешняя политика:</w:t>
      </w:r>
    </w:p>
    <w:p w14:paraId="089384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512D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февраля 1944 года</w:t>
      </w:r>
    </w:p>
    <w:p w14:paraId="2B531E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МАРШАЛУ И. В. СТАЛИНУ</w:t>
      </w:r>
    </w:p>
    <w:p w14:paraId="2EC0DD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Уважаемый Маршал Сталин,</w:t>
      </w:r>
    </w:p>
    <w:p w14:paraId="37EC506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 получил от Советского Посла текст и ноты Советского Государственного Гимна, которые Вы соблаговолили послать по моей просьбе.</w:t>
      </w:r>
    </w:p>
    <w:p w14:paraId="7FD63B3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Волнующая музыка этого Гимна несколько раз передавалась Британской Радиовещательной Корпорацией и будет и в дальнейшем передаваться в ознаменование русских побед. Поэтому я не сомневаюсь, что британский народ в скором времени очень хорошо будет знать Гимн. Я горжусь тем, что являюсь обладателем экземпляра этого Гимна.</w:t>
      </w:r>
    </w:p>
    <w:p w14:paraId="58AB84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Искренне Ваш</w:t>
      </w:r>
    </w:p>
    <w:p w14:paraId="470AE2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Уинстон ЧЕРЧИЛЛЬ (7430).</w:t>
      </w:r>
    </w:p>
    <w:p w14:paraId="07902D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21E041" w14:textId="77777777" w:rsidR="00583EED"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4BA4ED56" w14:textId="77777777" w:rsidR="00583EED" w:rsidRPr="00070ADE" w:rsidRDefault="00583EED"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5E3264" w14:textId="77777777" w:rsidR="001E2282" w:rsidRPr="00070ADE" w:rsidRDefault="001E228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февраля 1944 169 B-17 Flying Fortress в сопровождении 64 истребителей P-38, 357 P-47 и 45 истребителей P-51 атаковали промышленный район Брауншвейга, Германия, потеряв 29 B-17, пять P-38, и четыре P-47. Бомбардировщики и истребители заявляют, что 98 немецких самолетов сбиты, 31 вероятно сбиты и 101 поврежден в воздушном бою (20373).</w:t>
      </w:r>
    </w:p>
    <w:p w14:paraId="5ABFD0BC" w14:textId="77777777" w:rsidR="001E2282" w:rsidRPr="00070ADE" w:rsidRDefault="001E2282" w:rsidP="00B56F90">
      <w:pPr>
        <w:spacing w:after="0" w:line="240" w:lineRule="auto"/>
        <w:jc w:val="both"/>
        <w:rPr>
          <w:rFonts w:ascii="Times New Roman" w:hAnsi="Times New Roman"/>
          <w:color w:val="000000" w:themeColor="text1"/>
          <w:sz w:val="16"/>
          <w:szCs w:val="16"/>
        </w:rPr>
      </w:pPr>
    </w:p>
    <w:p w14:paraId="1131E046" w14:textId="77777777" w:rsidR="00583EED" w:rsidRPr="00070ADE" w:rsidRDefault="00583EE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10 февраля</w:t>
      </w:r>
      <w:r w:rsidRPr="00070ADE">
        <w:rPr>
          <w:rFonts w:ascii="Times New Roman" w:hAnsi="Times New Roman"/>
          <w:color w:val="000000" w:themeColor="text1"/>
          <w:sz w:val="16"/>
          <w:szCs w:val="16"/>
        </w:rPr>
        <w:t xml:space="preserve"> в 1944 году (10–17 февраля) неудачное наступление союзных войск в Центральной Италии под Римом. Американские войска несут большие потери под Кассино и отступают (15036).</w:t>
      </w:r>
    </w:p>
    <w:p w14:paraId="4175A3B6" w14:textId="77777777" w:rsidR="00583EED" w:rsidRPr="00070ADE" w:rsidRDefault="00583EED" w:rsidP="00B56F90">
      <w:pPr>
        <w:spacing w:after="0" w:line="240" w:lineRule="auto"/>
        <w:jc w:val="both"/>
        <w:rPr>
          <w:rFonts w:ascii="Times New Roman" w:hAnsi="Times New Roman"/>
          <w:color w:val="000000" w:themeColor="text1"/>
          <w:sz w:val="16"/>
          <w:szCs w:val="16"/>
        </w:rPr>
      </w:pPr>
    </w:p>
    <w:p w14:paraId="5916657E"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B406D9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B8F3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Нач. ЛИИ А.В.Чесалов утвердил отчет по летным испытаниям Ла-5ФН N 39210206 модифицированного ЦАГИ, которые состоялись с 14 декабря 1943 по 10 февраля 1944 (752,1).</w:t>
      </w:r>
    </w:p>
    <w:p w14:paraId="2F501DB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Было выполнено 17 полетов с налетов 7:45.</w:t>
      </w:r>
    </w:p>
    <w:p w14:paraId="2F9115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Трижды заменяли свечи, дважды РС-2</w:t>
      </w:r>
    </w:p>
    <w:p w14:paraId="6BEB2C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 И В.Я.Молочаев</w:t>
      </w:r>
    </w:p>
    <w:p w14:paraId="381DAC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 Л Н.В.Адамович</w:t>
      </w:r>
    </w:p>
    <w:p w14:paraId="656CF2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с-те № 206 согласно приказы НКАП № 650 от 29 октября 1943 были произведены улучшания в целях увеличения максимальной скорости. Основные изменения:</w:t>
      </w:r>
    </w:p>
    <w:p w14:paraId="1F933F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всасывающий патрубок перенесен под капот мотора и улучшена его аэродинамика</w:t>
      </w:r>
    </w:p>
    <w:p w14:paraId="6EEF50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маслорадиатор перенесен под фюзеляж рядом с 5-м шпангоутом и улучшена форма рукава</w:t>
      </w:r>
    </w:p>
    <w:p w14:paraId="6DF3D43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изменено дефлектирование цилиндров мотра и форма внутреннего капота</w:t>
      </w:r>
    </w:p>
    <w:p w14:paraId="3E2081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установлены индивидуальные выхлопные патрубки на все цилиндры</w:t>
      </w:r>
    </w:p>
    <w:p w14:paraId="0013A3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изменена компоновка створок шасси</w:t>
      </w:r>
    </w:p>
    <w:p w14:paraId="0C7237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произведено спрямление носка центроплана путем образования переднего зализа, улучшена отделка самолета</w:t>
      </w:r>
    </w:p>
    <w:p w14:paraId="14D5DEE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увеличен и облагорожен задний зализ центроплана</w:t>
      </w:r>
    </w:p>
    <w:p w14:paraId="6BD4D4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проведена тщательная герметизация с-та т мелкие работы по улучшению аэродинамики</w:t>
      </w:r>
    </w:p>
    <w:p w14:paraId="5EF742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установлен винт ВИШ-105В-4 диаметром 3,1 м (лопасть ЦАГИ).</w:t>
      </w:r>
    </w:p>
    <w:p w14:paraId="4ED0471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получены следующие данные:</w:t>
      </w:r>
    </w:p>
    <w:p w14:paraId="2744C70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у земли (Рк 1195 при 2500 об.) - 630 км/час</w:t>
      </w:r>
    </w:p>
    <w:p w14:paraId="14951B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1000 м - 652 км/час</w:t>
      </w:r>
    </w:p>
    <w:p w14:paraId="37457A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1900 (форсаж) - 672 км/час</w:t>
      </w:r>
    </w:p>
    <w:p w14:paraId="7F7A0B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4000 (форсаж) - 641 км/час</w:t>
      </w:r>
    </w:p>
    <w:p w14:paraId="0816DB8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5000 - 661 км/час</w:t>
      </w:r>
    </w:p>
    <w:p w14:paraId="6FF18B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6150 (2 гр., Рк 1000, 2400 об.) - 684 км/час</w:t>
      </w:r>
    </w:p>
    <w:p w14:paraId="208F566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7000 - 676 км/час</w:t>
      </w:r>
    </w:p>
    <w:p w14:paraId="35F1B0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8000 - 662 км/час</w:t>
      </w:r>
    </w:p>
    <w:p w14:paraId="141EB28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5000 м - 5,2 мин.</w:t>
      </w:r>
    </w:p>
    <w:p w14:paraId="78B37A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 Скррость у земли 17 м/с</w:t>
      </w:r>
    </w:p>
    <w:p w14:paraId="186B6B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 - 3445 кг</w:t>
      </w:r>
    </w:p>
    <w:p w14:paraId="6C1A36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- 90</w:t>
      </w:r>
    </w:p>
    <w:p w14:paraId="44A02CB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Горючее - 345</w:t>
      </w:r>
    </w:p>
    <w:p w14:paraId="4FDF241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Масло 50</w:t>
      </w:r>
    </w:p>
    <w:p w14:paraId="3E7883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- 2хСП-20 - 80</w:t>
      </w:r>
    </w:p>
    <w:p w14:paraId="305912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б/п - 180</w:t>
      </w:r>
    </w:p>
    <w:p w14:paraId="6437D0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броня - 45</w:t>
      </w:r>
    </w:p>
    <w:p w14:paraId="4C4BBC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п-к РСИ-4 - 13</w:t>
      </w:r>
    </w:p>
    <w:p w14:paraId="107B34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 за счет произведенных ЦАГИ и заводом № 21 изменений с-та полетный вес увеличен на 125 кг (всасявающие патрубки, перенос малорадиатора, герметизация, спрямление цп, отделка поверхности, металлические жалюзи)</w:t>
      </w:r>
    </w:p>
    <w:p w14:paraId="6192D4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входе в маслогондолу между поваерхностью фюзеляжа и верхней кромкой входного отверсти туннеля м/р осуществлен специальный желоб для отвода затерможенного воздуха от входа в туннель.</w:t>
      </w:r>
    </w:p>
    <w:p w14:paraId="58E495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Стенки входной части туннеля сделаны утолщенными, чтобы создать плавное обтекание и избежать срыва на входе. Улучшена герметизация выходной части туннеля.</w:t>
      </w:r>
    </w:p>
    <w:p w14:paraId="5456A64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Патрубки расположены по шесть с каждой стороны под подвижными створками капота и по одному в неподвижных отсеках.</w:t>
      </w:r>
    </w:p>
    <w:p w14:paraId="1B363EA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Установлены новые герметизированные дефлекторы с уменьшенными зазорами между дефлекторами и цилиндрами.</w:t>
      </w:r>
    </w:p>
    <w:p w14:paraId="0B0E31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Профиль центроплана соответствует NACA-230.</w:t>
      </w:r>
    </w:p>
    <w:p w14:paraId="3A7AF73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герметизации ВМГ</w:t>
      </w:r>
    </w:p>
    <w:p w14:paraId="1A6BAD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Герметизированы:</w:t>
      </w:r>
    </w:p>
    <w:p w14:paraId="2FD91B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капот редуктора в месте расположения механизма жалюзи</w:t>
      </w:r>
    </w:p>
    <w:p w14:paraId="36FB9F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внутренний капот мотора, дефлекторное кольцо мотора</w:t>
      </w:r>
    </w:p>
    <w:p w14:paraId="6E1DB8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моторный капот, вызлопные патрубки, створки капота</w:t>
      </w:r>
    </w:p>
    <w:p w14:paraId="052EBC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заслонка маслорадиатора</w:t>
      </w:r>
    </w:p>
    <w:p w14:paraId="6D0869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отделке поверхности</w:t>
      </w:r>
    </w:p>
    <w:p w14:paraId="76B2E0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проведены работы по уменьшение волнистости поверхности крыла и устранение неровностей на кольце капота и фюзеляжа путем нанесения нитрошпаклевки. Шероховатость поверхности ждоведена до 6-8 микрон. С-т отполирован</w:t>
      </w:r>
    </w:p>
    <w:p w14:paraId="4757B0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з-м № 21 установлены щитки для полного закрытия куполов шасси. Поставлена у образная безмачтовая антенна. Улучшены обводы желобов пушки. Посталены обтиекатели на крепление трубки Пито к крылу. Уменьшены размеры обтекателей на различных выступающих деталях. Снят храповик с втулки вина., на кок поставлен плавный обтекатель. Газоотведные трубки обрезаны заподлицо с поверхностью.</w:t>
      </w:r>
    </w:p>
    <w:p w14:paraId="0A248DC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Проведена тщательная герметизация противопожарной перегогодки, передней и задней перегородок кабины пилота, вооружения, капотов, масло и бензофильтров, тяг управления элеронами и щитками, стенок лонжеронов и разъемов крыла и по первой нервюре консоли крыла.</w:t>
      </w:r>
    </w:p>
    <w:p w14:paraId="376068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перечисленных были проведены и мелкие работы как по планеру, так и по ВМГ.</w:t>
      </w:r>
    </w:p>
    <w:p w14:paraId="089AD80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Температурный режим на макс. скорости при полностью открытых створках заслонки м/р были в пределах допустимого (245 гр при допускаемых 250), но тем. Входящего масла на том же режиме на 6000 м достигала 95 гр, что превышает на 120 предельно допустимую температуру.</w:t>
      </w:r>
    </w:p>
    <w:p w14:paraId="375F7CA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горизонтальном полете тем. Входящего и выходящего масла ниже допустимой.</w:t>
      </w:r>
    </w:p>
    <w:p w14:paraId="653F19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Проверка работы р/с с измененной антенной на производилась.</w:t>
      </w:r>
    </w:p>
    <w:p w14:paraId="40B3820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Заключение:</w:t>
      </w:r>
    </w:p>
    <w:p w14:paraId="4190BA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Улучшения, осуществляющие рекомендации ЦАГИ, рекомендованы для внедрения в серийное производство при условии устранения обнаруженных в процессе испытания эксплуатационных дефектов, и улучшения системы охлаждения масла.</w:t>
      </w:r>
    </w:p>
    <w:p w14:paraId="684757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Считать необходимым при внедрении в серийное пр-во обеспечить снижение полетного веса с-та.</w:t>
      </w:r>
    </w:p>
    <w:p w14:paraId="13F9EF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Лаб. № 1 М.А.Тайц</w:t>
      </w:r>
    </w:p>
    <w:p w14:paraId="765BED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1-го отд. Лаб. № 1 Н.С.Строев (752,1).</w:t>
      </w:r>
    </w:p>
    <w:p w14:paraId="3FC62C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AAB9A3"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11 февраля</w:t>
      </w:r>
      <w:r w:rsidRPr="00070ADE">
        <w:rPr>
          <w:rFonts w:ascii="Times New Roman" w:hAnsi="Times New Roman"/>
          <w:color w:val="000000" w:themeColor="text1"/>
          <w:sz w:val="16"/>
          <w:szCs w:val="16"/>
        </w:rPr>
        <w:t xml:space="preserve"> в 1944 году на летно-испытательной базе завода № 21 завершились контрольные испытания (начались 30 января) серийного </w:t>
      </w:r>
      <w:hyperlink r:id="rId42" w:tgtFrame="_blank" w:history="1">
        <w:r w:rsidRPr="00070ADE">
          <w:rPr>
            <w:rFonts w:ascii="Times New Roman" w:hAnsi="Times New Roman"/>
            <w:color w:val="000000" w:themeColor="text1"/>
            <w:sz w:val="16"/>
            <w:szCs w:val="16"/>
          </w:rPr>
          <w:t xml:space="preserve">«Ла-5ФН» </w:t>
        </w:r>
      </w:hyperlink>
      <w:r w:rsidRPr="00070ADE">
        <w:rPr>
          <w:rFonts w:ascii="Times New Roman" w:hAnsi="Times New Roman"/>
          <w:color w:val="000000" w:themeColor="text1"/>
          <w:sz w:val="16"/>
          <w:szCs w:val="16"/>
        </w:rPr>
        <w:t>с тремя пушками «УБ-20» (15037).</w:t>
      </w:r>
    </w:p>
    <w:p w14:paraId="20A06EF2" w14:textId="77777777" w:rsidR="00355805" w:rsidRPr="00070ADE" w:rsidRDefault="00355805" w:rsidP="00B56F90">
      <w:pPr>
        <w:spacing w:after="0" w:line="240" w:lineRule="auto"/>
        <w:jc w:val="both"/>
        <w:rPr>
          <w:rFonts w:ascii="Times New Roman" w:hAnsi="Times New Roman"/>
          <w:color w:val="000000" w:themeColor="text1"/>
          <w:sz w:val="16"/>
          <w:szCs w:val="16"/>
        </w:rPr>
      </w:pPr>
    </w:p>
    <w:p w14:paraId="45CCED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года письмо Фирсаеву И.Г.</w:t>
      </w:r>
    </w:p>
    <w:p w14:paraId="61BBE7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Направляю Вам по указанию зам. наркома Яковлева А.С. просмотренный им проект постановления ГОКО по самолету тральщику.</w:t>
      </w:r>
    </w:p>
    <w:p w14:paraId="0099C4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прилагаю 5 листов материала полученного Яковлевым из ЦК и 2 фотографии, также по его указанию.</w:t>
      </w:r>
    </w:p>
    <w:p w14:paraId="260FFE8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 ГКО</w:t>
      </w:r>
    </w:p>
    <w:p w14:paraId="4EA559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разработке технического проекта и оборудовании</w:t>
      </w:r>
    </w:p>
    <w:p w14:paraId="386136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опытного самолета-тральщика"</w:t>
      </w:r>
    </w:p>
    <w:p w14:paraId="0464B32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 целях создания опытного самолета-тральщика для уничтожения магнитных мин, ГКО постановляет:</w:t>
      </w:r>
    </w:p>
    <w:p w14:paraId="263890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Нарокмавиапрому - Шахурину, директору завода N 456 Филимончуку Т.Х. и гл. конструктору Голубкову А.П. разработать технический проект переоборудования самолета Ли-2 под самолет-тральщик, произвести переоборудование самолета и предъявить его на летные испытания 1 июня 1944 года.</w:t>
      </w:r>
    </w:p>
    <w:p w14:paraId="631B52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Выделить для проведения указанной работы один самолет Ли-2 за счет плана производства текущего месяца (1825,27).</w:t>
      </w:r>
    </w:p>
    <w:p w14:paraId="2A3899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 ГОСУДАРСТВЕННОГО КОМИТЕТА ОБОРОНЫ</w:t>
      </w:r>
    </w:p>
    <w:p w14:paraId="5867474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разработке технического проекта и оборудовании опытного самолета-тральщика"</w:t>
      </w:r>
    </w:p>
    <w:p w14:paraId="0D27651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создания опытного самолета-тральщика для уничтожения магнитных мин, Государственна Комитет Обороны ПОСТАНОВЛЯЕТ:</w:t>
      </w:r>
    </w:p>
    <w:p w14:paraId="3B5CD5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Нарномавиапрому - т. ШАХУРИНУ А.И., Директору завода № 456 т. ФИЛИМОНЧУКУ Т.Х. и Главному конструктору т. ГОЛУБКОВУ разработать технический проект переоборудования самолета Ли-2 под самолет-тральщик, произвести, переоборудование самолета и предъявить его на летные испытания 1.У1 1944 г.</w:t>
      </w:r>
    </w:p>
    <w:p w14:paraId="737B570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Выделить для проведения указанной работы один самолет Ли-2 за счет плана производства текущего месяца.</w:t>
      </w:r>
    </w:p>
    <w:p w14:paraId="5DC678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Наркомэлектропрому - т. КАБАНОВУ И.Г.и Директору з-да № 627 т. ИОСИФЬЯНУ А.Г.:</w:t>
      </w:r>
    </w:p>
    <w:p w14:paraId="22084D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Разработать к 15-Ш 1944 г.технический проект монтажа электрооборудования на самолете-тральщике, в соответствии с эскизным проектом самолета-тральщика и также-техническими требованиями НКВМФ. Проектирование вести согласованно с конструктором т. ГОЛУБКОВЫМ А.П.</w:t>
      </w:r>
    </w:p>
    <w:p w14:paraId="339843D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Поставить заводу № 456 два генератора типа ПСТ-3 и 5000 метров алюминиевого кабеля сечением 1x95 кв.ми в облегченной изоляция к 15.Ш 1944 г.</w:t>
      </w:r>
    </w:p>
    <w:p w14:paraId="736F0A6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Произвести монтах электрического оборудования на самолете-тральщике к 15.У 1944 г.</w:t>
      </w:r>
    </w:p>
    <w:p w14:paraId="05EE40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Разработать технический проект мощной центральной электростанции на самолете-тральщике и изготовить опытный образец облегченного генератора мощностью не менее 150 квт.</w:t>
      </w:r>
    </w:p>
    <w:p w14:paraId="20389AD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Наркомвоенморфлоту - т. КУЗНЕЦОВУ Н.Г. провести, испытания опытного самолета-тралыщика к 1.УП 1944 г.Результаты испытаний и предложения представить ГОКО к 15.УП 1944 г.</w:t>
      </w:r>
    </w:p>
    <w:p w14:paraId="3699F87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Наркомцветмету т. - ЛОМАКО к 1 марта 1944 г. поставить заводу № 330 НКЭП, для изготовления алюминииевого кабеля, 10 тонн алюминия в вайербарсах, за счет фондов Наркомэлектропрома.</w:t>
      </w:r>
    </w:p>
    <w:p w14:paraId="4BDCA69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Наркомфину СССР - т. ЗВЕРЕВУ выделить из резервнного фонда СНК Союза ССР на проведение работ по самолету-тральщику: Наркомавиапрому 2000 тыс.рублей и Наркомэлектропрому 750 тыс. руб., в том числе для премирования отличившихся при этом работников: Наркомавиапрому 200 тыс.рублей и Наркомэлектропрому 100 тыс. руб. (1825,28).</w:t>
      </w:r>
    </w:p>
    <w:p w14:paraId="6AF0011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67A4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года вышел приказ НКАП</w:t>
      </w:r>
    </w:p>
    <w:p w14:paraId="6730026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 директором завода № 122 Ребенко С.Л. (8925)</w:t>
      </w:r>
    </w:p>
    <w:p w14:paraId="37D7FF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76ACC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7CE96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724D4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11 по 13 февраля 1944 122-мм пушка Д-25 с клиновым затвором, уста</w:t>
      </w:r>
      <w:r w:rsidRPr="00070ADE">
        <w:rPr>
          <w:rFonts w:ascii="Times New Roman" w:hAnsi="Times New Roman"/>
          <w:color w:val="000000" w:themeColor="text1"/>
          <w:sz w:val="16"/>
          <w:szCs w:val="16"/>
        </w:rPr>
        <w:softHyphen/>
        <w:t>новленная в опытном танке "Объект 240", прошла заводские испытания отстрелом на Копейском полигоне (10703).</w:t>
      </w:r>
    </w:p>
    <w:p w14:paraId="0B0C780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64DA49" w14:textId="77777777" w:rsidR="00BD6B74" w:rsidRPr="00070ADE" w:rsidRDefault="00BD6B74" w:rsidP="00B56F90">
      <w:pPr>
        <w:pStyle w:val="ae"/>
        <w:shd w:val="clear" w:color="auto" w:fill="FFFFFF"/>
        <w:spacing w:before="0" w:after="0"/>
        <w:jc w:val="both"/>
        <w:rPr>
          <w:color w:val="000000" w:themeColor="text1"/>
          <w:sz w:val="16"/>
          <w:szCs w:val="16"/>
        </w:rPr>
      </w:pPr>
      <w:r w:rsidRPr="00070ADE">
        <w:rPr>
          <w:color w:val="000000" w:themeColor="text1"/>
          <w:sz w:val="16"/>
          <w:szCs w:val="16"/>
        </w:rPr>
        <w:t>С 11 по 13 февраля 1944 переделанный танк ИС-2 с Д-25 с клиновым затвором, получивший прицел ТШ-17, был испытан на Копейском полигоне. При монтаже системы с клиновым затвором на заводе №100 была увеличена высота амбразуры башни с 590 до 610 мм. Это позволило установить пушку без съёма ограждения. Для уравновешенности системы пришлось установить дополнительный груз массой 80 кг. Было произведено 50 выстрелов. С новым орудием работа заряжающего стала более удобной. За счёт того, что клиновый затвор был меньше поршневого, увеличился свободный объём. Правда, в ходе испытаний затвор работал не очень надёжно из-за использования бывших в употреблении гильз и гильз с вмятинами. Из 34 выстрелов, сделанных 11 февраля, затвор закрылся только в 5 случаях. На 34-м выстреле случилась поломка, и танк пришлось вернуть на завод.</w:t>
      </w:r>
    </w:p>
    <w:p w14:paraId="5017227F" w14:textId="77777777" w:rsidR="00BD6B74" w:rsidRPr="00070ADE" w:rsidRDefault="00BD6B74" w:rsidP="00B56F90">
      <w:pPr>
        <w:pStyle w:val="ae"/>
        <w:shd w:val="clear" w:color="auto" w:fill="FFFFFF"/>
        <w:spacing w:before="0" w:after="0"/>
        <w:jc w:val="both"/>
        <w:rPr>
          <w:color w:val="000000" w:themeColor="text1"/>
          <w:sz w:val="16"/>
          <w:szCs w:val="16"/>
        </w:rPr>
      </w:pPr>
      <w:r w:rsidRPr="00070ADE">
        <w:rPr>
          <w:color w:val="000000" w:themeColor="text1"/>
          <w:sz w:val="16"/>
          <w:szCs w:val="16"/>
        </w:rPr>
        <w:t>Д-25 с клиновым затвором устанавливались на танки с начала марта 1944 года. Орудиями с поршневым затвором успели вооружить 145 танков. Проблемы, выявленные у новых пушек, оперативно решались заводом №9. Установка клинового затвора явно пошла на пользу. Испытания серийного танка №40398 показали, что скорострельность орудия выросла до 2-2,5 выстрелов в минуту. И такой показатель считался недостаточным, велись работы по танковым орудиям калибра 100 мм. Впрочем, реальных альтернатив для Д-25 на тот момент не было. Это орудие обладало хорошей точностью, а также превосходило 100-мм пушки по бронепробиваемости (17721).</w:t>
      </w:r>
    </w:p>
    <w:p w14:paraId="22934545" w14:textId="77777777" w:rsidR="00BD6B74" w:rsidRPr="00070ADE" w:rsidRDefault="00BD6B74" w:rsidP="00B56F90">
      <w:pPr>
        <w:pStyle w:val="123"/>
        <w:shd w:val="clear" w:color="auto" w:fill="auto"/>
        <w:spacing w:after="0" w:line="240" w:lineRule="auto"/>
        <w:jc w:val="both"/>
        <w:rPr>
          <w:color w:val="000000" w:themeColor="text1"/>
          <w:sz w:val="16"/>
          <w:szCs w:val="16"/>
        </w:rPr>
      </w:pPr>
    </w:p>
    <w:p w14:paraId="3AB91226" w14:textId="77777777" w:rsidR="008742EC" w:rsidRPr="00C94B78" w:rsidRDefault="008742EC"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11 по 13 февраля 1944 г. на Копейском полигоне проходили испытания 122 мм Д-25 с клиновым затвором и новым дульным тормозом на танке Объект 240, к тому моменту накатавшемц 4082 километра. Помимо проверенного капитального ремонта, танк получил не только новую систему, но и новую башню. При монтаже системы высота амбразуры была увеличена с 590 до 610 мм, при этом появилась возможность монтажа орудия без съема ограждения. Для уравновешенности потребовалось установить дополнительный груз массой 80 кг. Также на танк установили прицела ТШ-17.</w:t>
      </w:r>
    </w:p>
    <w:p w14:paraId="68FA169E" w14:textId="77777777" w:rsidR="008742EC" w:rsidRPr="00C94B78" w:rsidRDefault="008742EC"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Произвели 50 выстрелов. В ходе испытаний затвор работал не всегда надежно. Связано это оказалось с тем, что гильзы были уже стреляные и имели вмятины. В результате из 34 выстрелов, сделанных 11 февраля, затвор закрылся только в 5 случаях. На 34-м выстреле случилась поломка, после чего танк пришлось вернуть на завод.</w:t>
      </w:r>
    </w:p>
    <w:p w14:paraId="5D428AEE" w14:textId="77777777" w:rsidR="008742EC" w:rsidRPr="00C94B78" w:rsidRDefault="008742EC"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Тем не менее, преимущества над орудием с поршневым затвором оказались очевидными. Еще в ходе заводских испытаний отмечалось, что полезный объем боевого отделения в районе заряжающего вырос. Еще одним положительным моментом указывалось горизонтальное расположение затвора, что такое улучшало работу заряжающего. Того же мнения оказались и специалисты Гороховецкого АНИОП. Введение клинового затвора окончательно освободило командира машины от необходимости помогать заряжающему. На испытаниях, в виду плохой экстракции гильзы, скорострельность мало изменилась, имелись нарекания и к снарядным укладкам. Вместе с тем, дальнейшие испытания серийных ИС-2 с клиновым затвором показали, что прирост скорострельности получился весьма существенным. Если Д-25Т с поршневым затвором имела скорострельность до 1,5 выстрелов в минуту, то для версии с клиновым затвором этот показатель вырос до 2,5 выстрелов в минуту (25541).</w:t>
      </w:r>
    </w:p>
    <w:p w14:paraId="5CD8BD00" w14:textId="77777777" w:rsidR="008742EC" w:rsidRPr="00C94B78" w:rsidRDefault="008742EC" w:rsidP="00B56F90">
      <w:pPr>
        <w:spacing w:after="0" w:line="240" w:lineRule="auto"/>
        <w:jc w:val="both"/>
        <w:rPr>
          <w:rFonts w:ascii="Times New Roman" w:hAnsi="Times New Roman"/>
          <w:color w:val="0070C0"/>
          <w:sz w:val="16"/>
          <w:szCs w:val="16"/>
        </w:rPr>
      </w:pPr>
    </w:p>
    <w:p w14:paraId="06D527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вышло Постановление ГКО № 5141 О неотложных мерах помощи углем казанским электростанциям. РГАНИР, Фонд ГКО, д. 208, лл. 1 (11012).</w:t>
      </w:r>
    </w:p>
    <w:p w14:paraId="3A57809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9ED90A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вышло Постановление ГКО № 5142 О строительстве Андижанского газопровода для снабжения природным газом предприятий г. Андижана. РГАНИР, Фонд ГКО, д. 208, лл. 2-5,6-9 (11012).</w:t>
      </w:r>
    </w:p>
    <w:p w14:paraId="39D22D8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F2A7BD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вышло Постановление ГКО № 5143 О плане распределения природного газа на I квартал 1944 г. по трестам Главгазтоппрома при Совнаркоме СССР. РГАНИР, Фонд ГКО, д. 208, лл. 10,11-13 (11012).</w:t>
      </w:r>
    </w:p>
    <w:p w14:paraId="2BDE16D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21E01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11 февраля 1944 вышло Постановление ГКО № 5144 О плане производства и распределения древесины специального назначения на 1944 гоРГАНИР, Фонд ГКО, д. РГАНИР, Фонд ГКО, д. 208, лл. 14-18,19-28 (11012).</w:t>
      </w:r>
    </w:p>
    <w:p w14:paraId="5427BB9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35418B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вышло Распоряжение ГКО № 5145. Об обеспечении топливом Саратовской ТЭЦ в I кв. 1944 г. РГАНИР, Фонд ГКО, д. 208, лл. 29 (11012).</w:t>
      </w:r>
    </w:p>
    <w:p w14:paraId="1C44662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70F482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вышло Распоряжение ГКО № 5146. О мерах неотложной помощи Саранской ТЭЦ Наркомтекстиля РСФСР. РГАНИР, Фонд ГКО, д. 208, лл. 30-31 (11012).</w:t>
      </w:r>
    </w:p>
    <w:p w14:paraId="704EAD5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55BF7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вышло Постановление ГКО № 5147 О сокращении поставок дизель-моторов с копрами и лебедками для НКО. РГАНИР, Фонд ГКО, д. 208, лл. 32 (11012).</w:t>
      </w:r>
    </w:p>
    <w:p w14:paraId="042E474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E71AFC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вышло Распоряжение ГКО № 5148. О мерах по расширению Ткварчельской ГРЭС и передаче ей импортного оборудования. РГАНИР, Фонд ГКО, д. 208, лл. 33 (11012).</w:t>
      </w:r>
    </w:p>
    <w:p w14:paraId="6A726E7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303C19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вышло Распоряжение ГКО № 5149. О передаче 500 проверенных окруженцев на постоянную работу на завод "Красный котельщик" НКТМ (Подольск). РГАНИР, Фонд ГКО, д. 208, лл. 34 (11012).</w:t>
      </w:r>
    </w:p>
    <w:p w14:paraId="02267DD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9B6A5F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вышло Постановление ГКО № 5150 [Об отмене п.11 постановления ГКО № 4933 от 12 января 1944 г. О мероприятиях по обеспечению работы Марийского целлюлозно-бумажного комбината Наркомбумпрома.] (7187, 35).</w:t>
      </w:r>
    </w:p>
    <w:p w14:paraId="0F095D5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4F431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вышло Постановление ГКО № 5151 О передаче Наркомречфлоту Балаковского завода № 661 Наркомсудпрома. РГАНИР, Фонд ГКО, д. 208, лл. 36-37,38-44 (11012).</w:t>
      </w:r>
    </w:p>
    <w:p w14:paraId="7CCEFF0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C19EE95" w14:textId="3A19A5B8"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г. в соответствии с пост. ГКО № 5151 завод № 661 НКСП (Завод № 661 НКСП, НКРФ, Балаковская судоверфь НКРФ, Балаковский судоремонтный завод (СРЗ), ОАО «Балаковский СРЗ» /413850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Балаково Саратовской обл. ул. Коммунистическая, 20/) был возвращен в РЖ Речфлота и переименован в Балаковский СРЗ Волжского объединенного пароходства.</w:t>
      </w:r>
    </w:p>
    <w:p w14:paraId="79E29188" w14:textId="1E2892E6"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1950-е и начале 1960-х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завод выпускал баржи грузоподъемностью 150-600 т, понтоны под плавучие краны, затем до 1970 г. судостроением не занимался. Основная специализация - судоремонт.</w:t>
      </w:r>
    </w:p>
    <w:p w14:paraId="03F6129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1957 г. Балаковский затон попал под строительство плотины Саратовской ГЭС, и в 1958 г. место отстоя судов перенесено в соседний Канинский затон, который был углублен и расчищен. Здесь были установлены: двухэтажная плавмастерская, баржа с оборудованием, теплоход «Борис Щукин», в котором размещены лесозаготовительный и электромеханический цехи, компрессорный участок, караванная служба. Списанный теплоход «П. Старостин» разрезали на несколько секций, из которых сделали пожарное депо, котловую, малярный склад. В затоне были сооружены склизы из бревен, по которым лебедками спускались на воду построенные баржи. Канинский затон просуществовал до 1967 г., когда попал под затопление Саратовским водохранилищем. Зимой 1967-68 г. база отстоя судов перемещена в район шлюзов судоходного канала, а с 1968 г.- в новую бухту. В 1968 г. была построена наклонная часть слипа (горизонтальная часть строилась до 1977 г.). В 1967 г. была закрыта в связи с затоплением Алексеевсая РЭБ по обслуживанию флота и часть судов от нее была передана на Балаковский СРЗ. 24.07.1962 г. было согласовано проектное задание на строительство новых корпусов, в 1966 г. в соответствии с пост, правительства начато строительство без перерыва работ в основных цехах завода.</w:t>
      </w:r>
    </w:p>
    <w:p w14:paraId="1233A1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 № 5413 от 17.05.1993 г. Комитетом по имуществу Саратовской обл. было зарегистрировано АООТ «Балаковский СРЗ».</w:t>
      </w:r>
    </w:p>
    <w:p w14:paraId="61C71D9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(1940 г.)- около 1000 чел.</w:t>
      </w:r>
    </w:p>
    <w:p w14:paraId="2EC5FF65" w14:textId="34704331"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(-1942 г.)- Иванников, (1942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Г.А. Задорожный, (1944-57 г.)- Ф. Г. Коченин, (1957-67 г.)- А.Р. Баштовенко, (1967-77 г.)- Н.И. Царев, (1977-90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Г.А. Манжосов. Гендиректор (1990 г.-)- В.А. Горынцев.</w:t>
      </w:r>
    </w:p>
    <w:p w14:paraId="7CE3969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(1948 г.-)- С.И. Основин.</w:t>
      </w:r>
    </w:p>
    <w:p w14:paraId="4215E5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грузовые теплоходы: типа «Большая Данилиха» и «малая Данилиха» (1930-е); лодка-волокуша (ВОВ)- более 7000; малый охотник пр. 164 МО-6 (1943)- 4;</w:t>
      </w:r>
      <w:r w:rsidRPr="00070ADE">
        <w:rPr>
          <w:rFonts w:ascii="Times New Roman" w:hAnsi="Times New Roman"/>
          <w:color w:val="000000" w:themeColor="text1"/>
          <w:sz w:val="16"/>
          <w:szCs w:val="16"/>
          <w:vertAlign w:val="superscript"/>
        </w:rPr>
        <w:t>61</w:t>
      </w:r>
      <w:r w:rsidRPr="00070ADE">
        <w:rPr>
          <w:rFonts w:ascii="Times New Roman" w:hAnsi="Times New Roman"/>
          <w:color w:val="000000" w:themeColor="text1"/>
          <w:sz w:val="16"/>
          <w:szCs w:val="16"/>
        </w:rPr>
        <w:t xml:space="preserve"> баржи (1950-е-60-е); понтоны</w:t>
      </w:r>
    </w:p>
    <w:p w14:paraId="5D10FD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(1960-е); 5-тонные грейферы (1965); переоборудование лихтеров (1960-е)- 2; достройка причальных дебаркадеров (11982).</w:t>
      </w:r>
    </w:p>
    <w:p w14:paraId="6FE330F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9DB91B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вышло Распоряжение ГКО № 5152. О мерах по сокращению расхода газа на заводе № 58 НКБ. РГАНИР, Фонд ГКО, д. 208, лл. 45 (11012).</w:t>
      </w:r>
    </w:p>
    <w:p w14:paraId="7771BC5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152817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вышло Распоряжение ГКО № 5153 [О поставках автомобильных запасных частей ГУВВР НКПС.] (7187, 46).</w:t>
      </w:r>
    </w:p>
    <w:p w14:paraId="353D667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90612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вышло Постановление ГКО № 5154 Об изготовлении специальных конвейерных тележек для спеццехов заводов № 103 и 395 Наркомхимпрома. РГАНИР, Фонд ГКО, д. 208, лл. 47-49,50 (11012).</w:t>
      </w:r>
    </w:p>
    <w:p w14:paraId="30EB2BE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8FFC22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вышло Распоряжение ГКО № 5155. О мерах по бесперебойному снабжению Чагодощенского стекольного завода дровами в период весенней распутицы и летний сезон 1944 г. РГАНИР, Фонд ГКО, д. 208, лл. 51 (11012).</w:t>
      </w:r>
    </w:p>
    <w:p w14:paraId="16C8942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7E8A6A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вышло Распоряжение ГКО № 5156. Об организации в 1944 г. на заводах НКМВ производства стальной кованой арматуры. РГАНИР, Фонд ГКО, д. 208, лл. 52-53,54 (11012).</w:t>
      </w:r>
    </w:p>
    <w:p w14:paraId="234D88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079217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вышло Постановление ГКО № 5157 О восстановлении линии электропередачи Славянск-Изюм. РГАНИР, Фонд ГКО, д. 208, лл. 55-57,58-59 (11012).</w:t>
      </w:r>
    </w:p>
    <w:p w14:paraId="72066D3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B9972E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вышло Постановление ГКО № 5158 О восстановлении Сенежского целлюлозно-бумажного комбината Наркомбумпрома. РГАНИР, Фонд ГКО, д. 208, лл. 60-62,63 (11012).</w:t>
      </w:r>
    </w:p>
    <w:p w14:paraId="48D92B1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E569C8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вышло Распоряжение ГКО № 5159 [О мерах по обеспечению надежной телефонно-телеграфной связи республик Кавказа с республиками Средней Азии и с Москвой.] (7187, 64-66,67).</w:t>
      </w:r>
    </w:p>
    <w:p w14:paraId="6BBF76A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36CFF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вышло Постановление ГКО № 5160 О возобновлении строительства Невинномысского канала и Свистухинской ГЭС в Ставропольском крае. (7187, 68-69,70-75).</w:t>
      </w:r>
    </w:p>
    <w:p w14:paraId="70D3EEB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7AF6F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вышло Постановление ГКО № 5161 Об обеспечении Балахнинского целлюлозно-бумажного комбината Наркомбумпрома балансами и дровами в навигацию 1944 года. РГАНИР, Фонд ГКО, д. 208, лл. 76-81,82-84 (11012).</w:t>
      </w:r>
    </w:p>
    <w:p w14:paraId="4160689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A988DE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вышло Постановление ГКО № 5162 Об изготовлении мостовых ферм для НКПС в первом полугодии 1944 г. (7187, 85-90,91-92).</w:t>
      </w:r>
    </w:p>
    <w:p w14:paraId="3988506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813A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г. началась сборка поточных линий на ХПЗ (3905).</w:t>
      </w:r>
    </w:p>
    <w:p w14:paraId="21AC9F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7B5AA1"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11 февраля</w:t>
      </w:r>
      <w:r w:rsidRPr="00070ADE">
        <w:rPr>
          <w:rFonts w:ascii="Times New Roman" w:hAnsi="Times New Roman"/>
          <w:color w:val="000000" w:themeColor="text1"/>
          <w:sz w:val="16"/>
          <w:szCs w:val="16"/>
        </w:rPr>
        <w:t xml:space="preserve"> в 1944 году по распоряжению ГКО в Ленинграде образован Научно-исследовательский минно-торпедный институт № 400, ныне ЦНИИ «Гидроприбор» (15037).</w:t>
      </w:r>
    </w:p>
    <w:p w14:paraId="7550C68D" w14:textId="77777777" w:rsidR="00355805" w:rsidRPr="00070ADE" w:rsidRDefault="00355805" w:rsidP="00B56F90">
      <w:pPr>
        <w:spacing w:after="0" w:line="240" w:lineRule="auto"/>
        <w:jc w:val="both"/>
        <w:rPr>
          <w:rFonts w:ascii="Times New Roman" w:hAnsi="Times New Roman"/>
          <w:color w:val="000000" w:themeColor="text1"/>
          <w:sz w:val="16"/>
          <w:szCs w:val="16"/>
        </w:rPr>
      </w:pPr>
    </w:p>
    <w:p w14:paraId="36DDF700" w14:textId="77777777" w:rsidR="00355805"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7C598480" w14:textId="77777777" w:rsidR="00355805" w:rsidRPr="00070ADE" w:rsidRDefault="00355805"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3D29F9"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11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727FF884"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11 февраля на Лужском направлении наши войска продолжали вести наступательные бои, в ходе которых заняли несколько населённых пунктов.</w:t>
      </w:r>
    </w:p>
    <w:p w14:paraId="326DCF99"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в результате обходного манёвра и атаки сфронта, 11 февраля овладели городом и крупным железнодорожным узлом Шепетовка.</w:t>
      </w:r>
    </w:p>
    <w:p w14:paraId="39C1ECEF"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Севернее Звенигородка и Шпола наши войска продолжали вести бои по уничтожению окружённой группировки противника и, сжимая кольцо окружения, овладели населёнными пунктами Глушки, Черепин, Ольховчик, Мирополье, Поташня, Таганча, Паточино, Ново-Павловка, Пешковский и железнодорожной станцией Таганча.Одновременно западнее Звенигородка наши войска отбивали атаки крупных сил пехоты и танков противника, стремившихся пробиться на помощь к окружённой группировке.</w:t>
      </w:r>
    </w:p>
    <w:p w14:paraId="5FAB6A2F"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4E15735A"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10 февраля наши войска на всех фронтах подбили и уничтожили 89 немецких танков. В воздушных боях и огнём зенитной артиллерии сбиты 62 самолёта противника.</w:t>
      </w:r>
    </w:p>
    <w:p w14:paraId="27F71B37"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Массированный налёт наших самолётов на финский город Котка</w:t>
      </w:r>
    </w:p>
    <w:p w14:paraId="4DDBC673"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11 февраля большая группа наших самолетов произвела массированный налёт на финский портовый город Котка и подвергла бомбардировке военно-промышленные объекты этого города. В результате бомбардировки возникли пожары. По наблюдению экипажей наших самолётов, наиболее крупные пожары отмечены на территории целлюлозного завода, на путях железнодорожной станции, в районе штаба шюцкора, телеграфа и управления морской сторожевой охраны. Пожары сопровождались сильными взрывами. Один наш самолёт не вернулся на свою базу.</w:t>
      </w:r>
    </w:p>
    <w:p w14:paraId="03590FD5"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Объявленные не вернувшимися на свои базы при налёте на город Хельсинки в ночь на 7 февраля 4 наших бомбардировщика приземлились на других аэродромах на советской территории.</w:t>
      </w:r>
    </w:p>
    <w:p w14:paraId="0AC120FE"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Сообщение шведской газеты «Стокгольме тиднинген» о том, что советские самолёты будто бы бомбардировали 8 февраля город Ригу, не соответствует действительности. «Стокгольмс тиднинген» просто наврала.</w:t>
      </w:r>
    </w:p>
    <w:p w14:paraId="2E1B761C"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Лужском направлении наши войска, преодолевая сопротивление противника, продвинулись вперёд и заняли несколько населённых пунктов. Части Н-ского соединения в результате ожесточённого боя овладели сильно укреплённым опорным пунктом и уничтожили до батальона немецкой пехоты. Захвачены две артиллерийские батареи, 32 пулемёта, много винтовок и автоматов. В другом районе наши подразделения освободили 300 советских граждан, которых немцы пытались угнать на каторжные работы в Германию.</w:t>
      </w:r>
    </w:p>
    <w:p w14:paraId="6E8ECEBC"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сломив упорное сопротивление противника, вышли на подступы к городу Шепетовка. Немцы пытались любой ценой удержать в своих руках этот крупный железнодорожный узел и важный опорный пункт своей обороны. Они сильно укрепили все ближайшие населённые пункты и оказывали ожесточённое сопротивление. Наши пехотинцы и танкисты совершили обходный манёвр и отрезали противнику пути отхода. Другие наши части атаковали немцев с фронта. В результате упорных уличных боёв наши войска сегодня завершили разгром гарнизона противника и овладели городом Шепетовка. Захвачены большие трофеи и взято много пленных.</w:t>
      </w:r>
    </w:p>
    <w:p w14:paraId="779DF5D5"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городов Звенигородка и Шпола наши войска вели бои по уничтожению окружённой группировки противника. Советские части, овладевшие вчера опорным пунктом немцев Завадовка, уничтожили свыше 1.000 вражеских солдат и офицеров и взяли много пленных. Захвачены большие трофеи, в том числе 123 орудия разных калибров, 35 миномётов, 10 бронемашин, 970 автомашин и 6 складов с военным имуществом. Сжимая кольцо окружения, наши войска сегодня овладели рядом населённых пунктов и железнодорожной станцией Таганча. Бойцы Н-ской части, выбив гитлеровцев из населённого пункта Глушки, захватили 9 исправных танков, 27 орудий и более 100 автомашин. В другом районе наши войска ночью окружили два немецких батальона и уничтожили их. Западнее Звенигородки противник подтянул крупные силы пехоты и танков и предпринял новую попытку прорваться на помощь своей окружённой группировке. В ожесточённом бою советские артиллеристы, танкисты и бронебойщики нанесли гитлеровцам тяжёлый урон и отбили все их атаки. На поле боя осталось свыше 70 сгоревших и подбитых немецких танков и самоходных орудий.</w:t>
      </w:r>
    </w:p>
    <w:p w14:paraId="01ECF02F"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Советская авиация блокирует район окруженной группировки противника. Наши лётчики в течение дня сбили 25 вражеских самолётов, пытавшихся доставить грузы окружённым немецким дивизиям.</w:t>
      </w:r>
    </w:p>
    <w:p w14:paraId="79C6DBAA"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Группа литовских партизан проникла в город Вильнюс и подожгла большой военный склад противника. Партизаны, действующие в районе города Каунас, пустили под откос 4 немецких воинских эшелона, взорвали 5 складов и в ряде мест разрушили железнодорожное полотно. Советские патриоты убили коменданта полиции и несколько других немецких офицеров.</w:t>
      </w:r>
    </w:p>
    <w:p w14:paraId="5CE6097C"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Взятый в плен в районе Никополя пленный офицер штаба 123 немецкой пехотной дивизии капитан Макс Шенбек рассказал: «Когда русские перешли в наступление, командир дивизии приказал мне принять командование 416 полком. За два дня полк был обескровлен. Спасаясь от артиллерийского огня русских, я с остатками своего полка отошёл, не имея на то приказа, за что получил суровое предупреждение. Командование дивизии приказало мне вновь вернуться на прежние позиции, но уже было поздно. Ночью мы узнали, что находившаяся на правом фланге 16 мотодивизия разгромлена, а её остатки оставили занимаемые позиции. В районе одной высоты собралась большая толпа солдат и офицеров. Все сбились в кучу и не знали, чтоделать. Со всех сторон к высоте приближались русские танки и автоматчики. О сопротивлении нечего было думать. Мы все, как один, словно по команде, бросили оружие и сдались в плен» (15037).</w:t>
      </w:r>
    </w:p>
    <w:p w14:paraId="0006CD37" w14:textId="77777777" w:rsidR="00355805" w:rsidRPr="00070ADE" w:rsidRDefault="00355805" w:rsidP="00B56F90">
      <w:pPr>
        <w:spacing w:after="0" w:line="240" w:lineRule="auto"/>
        <w:jc w:val="both"/>
        <w:rPr>
          <w:rFonts w:ascii="Times New Roman" w:hAnsi="Times New Roman"/>
          <w:color w:val="000000" w:themeColor="text1"/>
          <w:sz w:val="16"/>
          <w:szCs w:val="16"/>
        </w:rPr>
      </w:pPr>
    </w:p>
    <w:p w14:paraId="1FFB716D"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11 февраля</w:t>
      </w:r>
      <w:r w:rsidRPr="00070ADE">
        <w:rPr>
          <w:rFonts w:ascii="Times New Roman" w:hAnsi="Times New Roman"/>
          <w:color w:val="000000" w:themeColor="text1"/>
          <w:sz w:val="16"/>
          <w:szCs w:val="16"/>
        </w:rPr>
        <w:t xml:space="preserve"> в 1944 году завершилась Ровно-Луцкая операция: войска правого крыла 1-го Украинского фронта продвинулись на запад до 80 км, заняли выгодное положение для удара с севера во фланг и тыл группы армий «Юг» (15037).</w:t>
      </w:r>
    </w:p>
    <w:p w14:paraId="0C3B3027" w14:textId="77777777" w:rsidR="00355805" w:rsidRPr="00070ADE" w:rsidRDefault="00355805" w:rsidP="00B56F90">
      <w:pPr>
        <w:spacing w:after="0" w:line="240" w:lineRule="auto"/>
        <w:jc w:val="both"/>
        <w:rPr>
          <w:rFonts w:ascii="Times New Roman" w:hAnsi="Times New Roman"/>
          <w:color w:val="000000" w:themeColor="text1"/>
          <w:sz w:val="16"/>
          <w:szCs w:val="16"/>
        </w:rPr>
      </w:pPr>
    </w:p>
    <w:p w14:paraId="55B30934"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11 февраля</w:t>
      </w:r>
      <w:r w:rsidRPr="00070ADE">
        <w:rPr>
          <w:rFonts w:ascii="Times New Roman" w:hAnsi="Times New Roman"/>
          <w:color w:val="000000" w:themeColor="text1"/>
          <w:sz w:val="16"/>
          <w:szCs w:val="16"/>
        </w:rPr>
        <w:t xml:space="preserve"> в 1944 году немецкире войска предприняли наступление в районе Звенигородки с целью деблокировать окруженную под Корсунь-Шевченковским группировку (15037).</w:t>
      </w:r>
    </w:p>
    <w:p w14:paraId="50750334" w14:textId="77777777" w:rsidR="00355805" w:rsidRPr="00070ADE" w:rsidRDefault="00355805" w:rsidP="00B56F90">
      <w:pPr>
        <w:spacing w:after="0" w:line="240" w:lineRule="auto"/>
        <w:jc w:val="both"/>
        <w:rPr>
          <w:rFonts w:ascii="Times New Roman" w:hAnsi="Times New Roman"/>
          <w:color w:val="000000" w:themeColor="text1"/>
          <w:sz w:val="16"/>
          <w:szCs w:val="16"/>
        </w:rPr>
      </w:pPr>
    </w:p>
    <w:p w14:paraId="3408D0A3"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11 февраля</w:t>
      </w:r>
      <w:r w:rsidRPr="00070ADE">
        <w:rPr>
          <w:rFonts w:ascii="Times New Roman" w:hAnsi="Times New Roman"/>
          <w:color w:val="000000" w:themeColor="text1"/>
          <w:sz w:val="16"/>
          <w:szCs w:val="16"/>
        </w:rPr>
        <w:t xml:space="preserve"> в 1944 году немецкое контрнаступление в районе Апостолово (15037).</w:t>
      </w:r>
    </w:p>
    <w:p w14:paraId="5138C286" w14:textId="77777777" w:rsidR="00355805" w:rsidRPr="00070ADE" w:rsidRDefault="00355805" w:rsidP="00B56F90">
      <w:pPr>
        <w:spacing w:after="0" w:line="240" w:lineRule="auto"/>
        <w:jc w:val="both"/>
        <w:rPr>
          <w:rFonts w:ascii="Times New Roman" w:hAnsi="Times New Roman"/>
          <w:color w:val="000000" w:themeColor="text1"/>
          <w:sz w:val="16"/>
          <w:szCs w:val="16"/>
        </w:rPr>
      </w:pPr>
    </w:p>
    <w:p w14:paraId="098B693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444F66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28875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Совнарком Украины призвал бандеровцев прекратить войну против собственного народа (4962).</w:t>
      </w:r>
    </w:p>
    <w:p w14:paraId="6EDC000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F9B89B" w14:textId="77777777" w:rsidR="00355805"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6F2BBE4A" w14:textId="77777777" w:rsidR="00355805" w:rsidRPr="00070ADE" w:rsidRDefault="00355805"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300E9F" w14:textId="77777777" w:rsidR="00355805" w:rsidRPr="00070ADE" w:rsidRDefault="00355805" w:rsidP="00B56F90">
      <w:pPr>
        <w:spacing w:after="0" w:line="240" w:lineRule="auto"/>
        <w:jc w:val="both"/>
        <w:rPr>
          <w:rFonts w:ascii="Times New Roman" w:hAnsi="Times New Roman"/>
          <w:bCs/>
          <w:color w:val="000000" w:themeColor="text1"/>
          <w:sz w:val="16"/>
          <w:szCs w:val="16"/>
        </w:rPr>
      </w:pPr>
      <w:r w:rsidRPr="00070ADE">
        <w:rPr>
          <w:rFonts w:ascii="Times New Roman" w:hAnsi="Times New Roman"/>
          <w:bCs/>
          <w:color w:val="000000" w:themeColor="text1"/>
          <w:sz w:val="16"/>
          <w:szCs w:val="16"/>
        </w:rPr>
        <w:t>11 февраля</w:t>
      </w:r>
      <w:r w:rsidRPr="00070ADE">
        <w:rPr>
          <w:rFonts w:ascii="Times New Roman" w:hAnsi="Times New Roman"/>
          <w:color w:val="000000" w:themeColor="text1"/>
          <w:sz w:val="16"/>
          <w:szCs w:val="16"/>
        </w:rPr>
        <w:t xml:space="preserve"> в 1944 году в Оттаве подписано Соглашение о принципах предоставления Канадой военных поставок Советскому Союзу (15037).</w:t>
      </w:r>
    </w:p>
    <w:p w14:paraId="5AADDFC6" w14:textId="77777777" w:rsidR="00355805" w:rsidRPr="00070ADE" w:rsidRDefault="00355805" w:rsidP="00B56F90">
      <w:pPr>
        <w:spacing w:after="0" w:line="240" w:lineRule="auto"/>
        <w:jc w:val="both"/>
        <w:rPr>
          <w:rFonts w:ascii="Times New Roman" w:hAnsi="Times New Roman"/>
          <w:bCs/>
          <w:color w:val="000000" w:themeColor="text1"/>
          <w:sz w:val="16"/>
          <w:szCs w:val="16"/>
        </w:rPr>
      </w:pPr>
    </w:p>
    <w:p w14:paraId="5B6E8C10" w14:textId="77777777" w:rsidR="00355805"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3B00398C" w14:textId="77777777" w:rsidR="00355805" w:rsidRPr="00070ADE" w:rsidRDefault="00355805"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AC93BE"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11 февраля</w:t>
      </w:r>
      <w:r w:rsidRPr="00070ADE">
        <w:rPr>
          <w:rFonts w:ascii="Times New Roman" w:hAnsi="Times New Roman"/>
          <w:color w:val="000000" w:themeColor="text1"/>
          <w:sz w:val="16"/>
          <w:szCs w:val="16"/>
        </w:rPr>
        <w:t xml:space="preserve"> в 1944 году, был облетан единственный прототип турецкого многоцелевого транспортного самолета </w:t>
      </w:r>
      <w:hyperlink r:id="rId43" w:tgtFrame="_blank" w:history="1">
        <w:r w:rsidRPr="00070ADE">
          <w:rPr>
            <w:rFonts w:ascii="Times New Roman" w:hAnsi="Times New Roman"/>
            <w:color w:val="000000" w:themeColor="text1"/>
            <w:sz w:val="16"/>
            <w:szCs w:val="16"/>
          </w:rPr>
          <w:t xml:space="preserve">«NuD.38». </w:t>
        </w:r>
      </w:hyperlink>
      <w:r w:rsidRPr="00070ADE">
        <w:rPr>
          <w:rFonts w:ascii="Times New Roman" w:hAnsi="Times New Roman"/>
          <w:color w:val="000000" w:themeColor="text1"/>
          <w:sz w:val="16"/>
          <w:szCs w:val="16"/>
        </w:rPr>
        <w:t>Проектирование и постройка затянулась на несколько лет, и самолёт успел морально устареть. Серийно «NuD.38» не выпускался (15037).</w:t>
      </w:r>
    </w:p>
    <w:p w14:paraId="01AC9860" w14:textId="77777777" w:rsidR="00355805" w:rsidRPr="00070ADE" w:rsidRDefault="00355805" w:rsidP="00B56F90">
      <w:pPr>
        <w:spacing w:after="0" w:line="240" w:lineRule="auto"/>
        <w:jc w:val="both"/>
        <w:rPr>
          <w:rFonts w:ascii="Times New Roman" w:hAnsi="Times New Roman"/>
          <w:color w:val="000000" w:themeColor="text1"/>
          <w:sz w:val="16"/>
          <w:szCs w:val="16"/>
        </w:rPr>
      </w:pPr>
    </w:p>
    <w:p w14:paraId="555E3EC4"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11 февраля</w:t>
      </w:r>
      <w:r w:rsidRPr="00070ADE">
        <w:rPr>
          <w:rFonts w:ascii="Times New Roman" w:hAnsi="Times New Roman"/>
          <w:color w:val="000000" w:themeColor="text1"/>
          <w:sz w:val="16"/>
          <w:szCs w:val="16"/>
        </w:rPr>
        <w:t xml:space="preserve"> в 1944 году USAAF выдали заказ на два прототипа дальнего эскортного истребителя «ХР-81», заранее присвоив им серийные номера 44-91000 и 44-91001. Не прошло и нескольких месяцев, как вышло новое требование - заказ на прототипы не отменялся, но вместе с ними следовало построить 13 предсерийных истребителей «YP-81». В отличии от опытный образцов, они должны были оснащаться более легкими реактивными двигателями «TG-110», крыло перемещалось на 20,5 см назад и обязательной была установка вооружения - предполагалось, что «YP-81» будет нести шесть 12,7-мм пулеметов или шесть 20-мм пушек. Детальная проработка проекта началась 5 января 1944 года (15037).</w:t>
      </w:r>
    </w:p>
    <w:p w14:paraId="1B9ABF46" w14:textId="77777777" w:rsidR="00355805" w:rsidRPr="00070ADE" w:rsidRDefault="00355805" w:rsidP="00B56F90">
      <w:pPr>
        <w:spacing w:after="0" w:line="240" w:lineRule="auto"/>
        <w:jc w:val="both"/>
        <w:rPr>
          <w:rFonts w:ascii="Times New Roman" w:hAnsi="Times New Roman"/>
          <w:color w:val="000000" w:themeColor="text1"/>
          <w:sz w:val="16"/>
          <w:szCs w:val="16"/>
        </w:rPr>
      </w:pPr>
    </w:p>
    <w:p w14:paraId="2D15528A" w14:textId="77777777" w:rsidR="001E2282" w:rsidRPr="00070ADE" w:rsidRDefault="001E228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февраля1944 первый полет Vultee XA-41 (20373).</w:t>
      </w:r>
    </w:p>
    <w:p w14:paraId="260C45AF" w14:textId="77777777" w:rsidR="001E2282" w:rsidRPr="00070ADE" w:rsidRDefault="001E2282" w:rsidP="00B56F90">
      <w:pPr>
        <w:spacing w:after="0" w:line="240" w:lineRule="auto"/>
        <w:jc w:val="both"/>
        <w:rPr>
          <w:rFonts w:ascii="Times New Roman" w:hAnsi="Times New Roman"/>
          <w:color w:val="000000" w:themeColor="text1"/>
          <w:sz w:val="16"/>
          <w:szCs w:val="16"/>
        </w:rPr>
      </w:pPr>
    </w:p>
    <w:p w14:paraId="53CCFC35" w14:textId="3EAA282D" w:rsidR="001E2282" w:rsidRPr="00070ADE" w:rsidRDefault="001E228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Был облетан единственный прототип турецкого многоцелевого транспортного самолета NuD.38. Проектирование и постройка затянулась на несколько лет, и самолёт успел морально устареть. Серийно NuD.38 не выпускался (22601).</w:t>
      </w:r>
    </w:p>
    <w:p w14:paraId="79F47177" w14:textId="77777777" w:rsidR="001E2282" w:rsidRPr="00070ADE" w:rsidRDefault="001E2282" w:rsidP="00B56F90">
      <w:pPr>
        <w:spacing w:after="0" w:line="240" w:lineRule="auto"/>
        <w:jc w:val="both"/>
        <w:rPr>
          <w:rFonts w:ascii="Times New Roman" w:hAnsi="Times New Roman"/>
          <w:color w:val="000000" w:themeColor="text1"/>
          <w:sz w:val="16"/>
          <w:szCs w:val="16"/>
        </w:rPr>
      </w:pPr>
    </w:p>
    <w:p w14:paraId="5A5D2202" w14:textId="77777777" w:rsidR="001E2282" w:rsidRPr="00070ADE" w:rsidRDefault="001E228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авианосец оперативной группы 58 ВМС США наносит удар по Эниветоку. Поддерживая американские операции на Маршалловых островах, авианосцы оперативной группы 58 ВМС США с 29 января совершили 6232 самолето-пролета и сбросили 1156,6 тонны (1 049 261 кг) бомб, потеряв 22 самолета в бою и 27 по другим причинам (20373).</w:t>
      </w:r>
    </w:p>
    <w:p w14:paraId="41EE9745" w14:textId="77777777" w:rsidR="001E2282" w:rsidRPr="00070ADE" w:rsidRDefault="001E2282" w:rsidP="00B56F90">
      <w:pPr>
        <w:spacing w:after="0" w:line="240" w:lineRule="auto"/>
        <w:jc w:val="both"/>
        <w:rPr>
          <w:rFonts w:ascii="Times New Roman" w:hAnsi="Times New Roman"/>
          <w:color w:val="000000" w:themeColor="text1"/>
          <w:sz w:val="16"/>
          <w:szCs w:val="16"/>
        </w:rPr>
      </w:pPr>
    </w:p>
    <w:p w14:paraId="792E0529" w14:textId="77777777" w:rsidR="001E2282" w:rsidRPr="00070ADE" w:rsidRDefault="001E228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223 B-17 Flying Fortress в сопровождении 82 истребителей P-38, 436 P-47 и 38 P-51 атакуют железнодорожную сортировочную станцию во Франкфурте-на-Майне, Германия, а также альтернативные цели в Людвигсхафене и Саарбрюккене с потерей пяти B-17, восьми P-38, четырех P-47 и двух P-51. Бомбардировщики и истребители вместе заявляют, что 32 немецких самолета сбиты, два вероятно сбиты и 30 повреждены в воздушном бою, истребители также утверждают, что два немецких самолета уничтожены, один, вероятно, уничтожен и два повреждены на земле (20373).</w:t>
      </w:r>
    </w:p>
    <w:p w14:paraId="7588E097" w14:textId="77777777" w:rsidR="001E2282" w:rsidRPr="00070ADE" w:rsidRDefault="001E2282" w:rsidP="00B56F90">
      <w:pPr>
        <w:spacing w:after="0" w:line="240" w:lineRule="auto"/>
        <w:jc w:val="both"/>
        <w:rPr>
          <w:rFonts w:ascii="Times New Roman" w:hAnsi="Times New Roman"/>
          <w:color w:val="000000" w:themeColor="text1"/>
          <w:sz w:val="16"/>
          <w:szCs w:val="16"/>
        </w:rPr>
      </w:pPr>
    </w:p>
    <w:p w14:paraId="1F1CF3DF" w14:textId="77777777" w:rsidR="001E2282" w:rsidRPr="00070ADE" w:rsidRDefault="001E228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201 B-24 Liberator Восьмой армии ВВС в сопровождении 85 истребителей P-47 и 41 истребителя P-51 атакуют место размещения Фау-1 в Сиракуре, Франция, и другие цели, потеряв один B-24 (20373).</w:t>
      </w:r>
    </w:p>
    <w:p w14:paraId="34C484F5" w14:textId="77777777" w:rsidR="001E2282" w:rsidRPr="00070ADE" w:rsidRDefault="001E2282" w:rsidP="00B56F90">
      <w:pPr>
        <w:spacing w:after="0" w:line="240" w:lineRule="auto"/>
        <w:jc w:val="both"/>
        <w:rPr>
          <w:rFonts w:ascii="Times New Roman" w:hAnsi="Times New Roman"/>
          <w:color w:val="000000" w:themeColor="text1"/>
          <w:sz w:val="16"/>
          <w:szCs w:val="16"/>
        </w:rPr>
      </w:pPr>
    </w:p>
    <w:p w14:paraId="1AA89149"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FDA61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DA7B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февраля 1944 года те же полки на Як-9 и ЛаГГ-3 завязали 19 сражений и сбили 4 Ю-87 и 4 Вf109. Командир 25-го ИАП одержал свою 19-го победу, к командир 6-го гвардейского, М. Авдеев - свою 15-ю победу. За два дня оба полка потеряли в обще сложности более 10 машин. В тот же день один из пилотов заявил победу над Вf109 с белым носом, что послужило почвой для очередной легенды, поскольку советские пропагандисты сразу решили, что сбитый самолет принадлежал части с названием "Белая Роза"! (2691).</w:t>
      </w:r>
    </w:p>
    <w:p w14:paraId="63CE68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79F53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февраля 1944 вышло Постановление ГКО № 5166 Об улучшении качества прозрачной авиационной брони и увеличении выпуска сталинита. РГАНИР, Фонд ГКО, д. 208, лл. 122-128,129-133 (11012).</w:t>
      </w:r>
    </w:p>
    <w:p w14:paraId="61C01D0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227B480" w14:textId="77777777" w:rsidR="00EE343A" w:rsidRPr="00070ADE" w:rsidRDefault="00EE34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февраля 1944 вышло Постановление ГКО № 5166 Об улучшении качества прозрачной авиационной брони и увеличении выпуска сталинита</w:t>
      </w:r>
    </w:p>
    <w:p w14:paraId="68444E97" w14:textId="77777777" w:rsidR="00EE343A" w:rsidRPr="00070ADE" w:rsidRDefault="00EE34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Государственный Комитет Обороны постановляет:</w:t>
      </w:r>
    </w:p>
    <w:p w14:paraId="1F87EA9F" w14:textId="77777777" w:rsidR="00EE343A" w:rsidRPr="00070ADE" w:rsidRDefault="00EE34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 целях дальнейшего улучшения качества проз</w:t>
      </w:r>
      <w:r w:rsidRPr="00070ADE">
        <w:rPr>
          <w:rFonts w:ascii="Times New Roman" w:hAnsi="Times New Roman"/>
          <w:color w:val="000000" w:themeColor="text1"/>
          <w:sz w:val="16"/>
          <w:szCs w:val="16"/>
        </w:rPr>
        <w:softHyphen/>
        <w:t>рачной авиационной брони, выпускаемой заводами "К-4" и № 48 Наркомхимпрома и удовлетворения требований ВВС Красной Армии к оптическим свойствам ее, обязать Наркомхимпром - т.Первухина и Наркомстройматериалов СССР - т.Соснина:</w:t>
      </w:r>
    </w:p>
    <w:p w14:paraId="3C40A197" w14:textId="77777777" w:rsidR="00EE343A" w:rsidRPr="00070ADE" w:rsidRDefault="00EE343A" w:rsidP="00B56F90">
      <w:pPr>
        <w:tabs>
          <w:tab w:val="left" w:pos="117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обеспечить улучшение качества бронекозырьков и сталинита,з соответствии с новыми техническими усло</w:t>
      </w:r>
      <w:r w:rsidRPr="00070ADE">
        <w:rPr>
          <w:rFonts w:ascii="Times New Roman" w:hAnsi="Times New Roman"/>
          <w:color w:val="000000" w:themeColor="text1"/>
          <w:sz w:val="16"/>
          <w:szCs w:val="16"/>
        </w:rPr>
        <w:softHyphen/>
        <w:t>виями на эти изделия, на 1944 год;</w:t>
      </w:r>
    </w:p>
    <w:p w14:paraId="1683F0CE" w14:textId="77777777" w:rsidR="00EE343A" w:rsidRPr="00070ADE" w:rsidRDefault="00EE343A" w:rsidP="00B56F90">
      <w:pPr>
        <w:tabs>
          <w:tab w:val="left" w:pos="119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 ввести с 1 марта </w:t>
      </w:r>
      <w:r w:rsidRPr="00070ADE">
        <w:rPr>
          <w:rStyle w:val="2pt"/>
          <w:rFonts w:ascii="Times New Roman" w:hAnsi="Times New Roman" w:cs="Times New Roman"/>
          <w:color w:val="000000" w:themeColor="text1"/>
          <w:spacing w:val="0"/>
          <w:sz w:val="16"/>
          <w:szCs w:val="16"/>
        </w:rPr>
        <w:t>с.г.</w:t>
      </w:r>
      <w:r w:rsidRPr="00070ADE">
        <w:rPr>
          <w:rFonts w:ascii="Times New Roman" w:hAnsi="Times New Roman"/>
          <w:color w:val="000000" w:themeColor="text1"/>
          <w:sz w:val="16"/>
          <w:szCs w:val="16"/>
        </w:rPr>
        <w:t xml:space="preserve"> двухстороннюю полировку плиток сталинита бронекозырьков К-01 для самолетов Ил-2 наравне с бронекозырьками К-04 и К-05 для истре</w:t>
      </w:r>
      <w:r w:rsidRPr="00070ADE">
        <w:rPr>
          <w:rFonts w:ascii="Times New Roman" w:hAnsi="Times New Roman"/>
          <w:color w:val="000000" w:themeColor="text1"/>
          <w:sz w:val="16"/>
          <w:szCs w:val="16"/>
        </w:rPr>
        <w:softHyphen/>
        <w:t>бителей.</w:t>
      </w:r>
    </w:p>
    <w:p w14:paraId="5EB9C53B" w14:textId="7920C6FC" w:rsidR="00EE343A" w:rsidRPr="00070ADE" w:rsidRDefault="00EE34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Обязать ВВС Красной Армии - т.Селезнева с фев</w:t>
      </w:r>
      <w:r w:rsidRPr="00070ADE">
        <w:rPr>
          <w:rFonts w:ascii="Times New Roman" w:hAnsi="Times New Roman"/>
          <w:color w:val="000000" w:themeColor="text1"/>
          <w:sz w:val="16"/>
          <w:szCs w:val="16"/>
        </w:rPr>
        <w:softHyphen/>
        <w:t xml:space="preserve">раля </w:t>
      </w:r>
      <w:r w:rsidRPr="00070ADE">
        <w:rPr>
          <w:rStyle w:val="2pt"/>
          <w:rFonts w:ascii="Times New Roman" w:hAnsi="Times New Roman" w:cs="Times New Roman"/>
          <w:color w:val="000000" w:themeColor="text1"/>
          <w:spacing w:val="0"/>
          <w:sz w:val="16"/>
          <w:szCs w:val="16"/>
        </w:rPr>
        <w:t>с.г.</w:t>
      </w:r>
      <w:r w:rsidRPr="00070ADE">
        <w:rPr>
          <w:rFonts w:ascii="Times New Roman" w:hAnsi="Times New Roman"/>
          <w:color w:val="000000" w:themeColor="text1"/>
          <w:sz w:val="16"/>
          <w:szCs w:val="16"/>
        </w:rPr>
        <w:t xml:space="preserve"> установить на стеклозаводах им-Горького,</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№25 (дублер) и № 233 Наркомстройматериалов СССР воен</w:t>
      </w:r>
      <w:r w:rsidRPr="00070ADE">
        <w:rPr>
          <w:rFonts w:ascii="Times New Roman" w:hAnsi="Times New Roman"/>
          <w:color w:val="000000" w:themeColor="text1"/>
          <w:sz w:val="16"/>
          <w:szCs w:val="16"/>
        </w:rPr>
        <w:softHyphen/>
        <w:t>ную приемку сталинита и силикатного стекла, идущих на изготовление авиаброни; увеличить для этого штат воен</w:t>
      </w:r>
      <w:r w:rsidRPr="00070ADE">
        <w:rPr>
          <w:rFonts w:ascii="Times New Roman" w:hAnsi="Times New Roman"/>
          <w:color w:val="000000" w:themeColor="text1"/>
          <w:sz w:val="16"/>
          <w:szCs w:val="16"/>
        </w:rPr>
        <w:softHyphen/>
        <w:t>ных представителей ГУЗ КА на 15 человек.</w:t>
      </w:r>
    </w:p>
    <w:p w14:paraId="17D063B2" w14:textId="77777777" w:rsidR="00EE343A" w:rsidRPr="00070ADE" w:rsidRDefault="00EE343A" w:rsidP="00B56F90">
      <w:pPr>
        <w:pStyle w:val="36"/>
        <w:shd w:val="clear" w:color="auto" w:fill="auto"/>
        <w:tabs>
          <w:tab w:val="left" w:pos="960"/>
        </w:tabs>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 Обязать Наркомстройматериалов СССР - т.Соснина:</w:t>
      </w:r>
    </w:p>
    <w:p w14:paraId="308D4F6C" w14:textId="77777777" w:rsidR="00EE343A" w:rsidRPr="00070ADE" w:rsidRDefault="00EE343A" w:rsidP="00B56F90">
      <w:pPr>
        <w:pStyle w:val="36"/>
        <w:shd w:val="clear" w:color="auto" w:fill="auto"/>
        <w:tabs>
          <w:tab w:val="left" w:pos="938"/>
        </w:tabs>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 xml:space="preserve">а) обеспечить поставку в 1 квартале </w:t>
      </w:r>
      <w:r w:rsidRPr="00070ADE">
        <w:rPr>
          <w:rStyle w:val="0pt"/>
          <w:rFonts w:ascii="Times New Roman" w:cs="Times New Roman"/>
          <w:color w:val="000000" w:themeColor="text1"/>
          <w:spacing w:val="0"/>
          <w:sz w:val="16"/>
          <w:szCs w:val="16"/>
        </w:rPr>
        <w:t>с.г.</w:t>
      </w:r>
      <w:r w:rsidRPr="00070ADE">
        <w:rPr>
          <w:rFonts w:ascii="Times New Roman" w:cs="Times New Roman"/>
          <w:color w:val="000000" w:themeColor="text1"/>
          <w:spacing w:val="0"/>
          <w:sz w:val="16"/>
          <w:szCs w:val="16"/>
        </w:rPr>
        <w:t xml:space="preserve"> заводам </w:t>
      </w:r>
      <w:r w:rsidRPr="00070ADE">
        <w:rPr>
          <w:rStyle w:val="0pt"/>
          <w:rFonts w:ascii="Times New Roman" w:cs="Times New Roman"/>
          <w:color w:val="000000" w:themeColor="text1"/>
          <w:spacing w:val="0"/>
          <w:sz w:val="16"/>
          <w:szCs w:val="16"/>
        </w:rPr>
        <w:t>№ 148 и "К-4</w:t>
      </w:r>
      <w:r w:rsidRPr="00070ADE">
        <w:rPr>
          <w:rFonts w:ascii="Times New Roman" w:cs="Times New Roman"/>
          <w:color w:val="000000" w:themeColor="text1"/>
          <w:spacing w:val="0"/>
          <w:sz w:val="16"/>
          <w:szCs w:val="16"/>
        </w:rPr>
        <w:t xml:space="preserve"> Наркомхимпрома </w:t>
      </w:r>
      <w:r w:rsidRPr="00070ADE">
        <w:rPr>
          <w:rStyle w:val="0pt"/>
          <w:rFonts w:ascii="Times New Roman" w:cs="Times New Roman"/>
          <w:color w:val="000000" w:themeColor="text1"/>
          <w:spacing w:val="0"/>
          <w:sz w:val="16"/>
          <w:szCs w:val="16"/>
        </w:rPr>
        <w:t>11000</w:t>
      </w:r>
      <w:r w:rsidRPr="00070ADE">
        <w:rPr>
          <w:rFonts w:ascii="Times New Roman" w:cs="Times New Roman"/>
          <w:color w:val="000000" w:themeColor="text1"/>
          <w:spacing w:val="0"/>
          <w:sz w:val="16"/>
          <w:szCs w:val="16"/>
        </w:rPr>
        <w:t xml:space="preserve"> комплектов сталинита, в том числе </w:t>
      </w:r>
      <w:r w:rsidRPr="00070ADE">
        <w:rPr>
          <w:rStyle w:val="0pt"/>
          <w:rFonts w:ascii="Times New Roman" w:cs="Times New Roman"/>
          <w:color w:val="000000" w:themeColor="text1"/>
          <w:spacing w:val="0"/>
          <w:sz w:val="16"/>
          <w:szCs w:val="16"/>
        </w:rPr>
        <w:t>К-01-4600</w:t>
      </w:r>
      <w:r w:rsidRPr="00070ADE">
        <w:rPr>
          <w:rFonts w:ascii="Times New Roman" w:cs="Times New Roman"/>
          <w:color w:val="000000" w:themeColor="text1"/>
          <w:spacing w:val="0"/>
          <w:sz w:val="16"/>
          <w:szCs w:val="16"/>
        </w:rPr>
        <w:t xml:space="preserve"> комплектов, </w:t>
      </w:r>
      <w:r w:rsidRPr="00070ADE">
        <w:rPr>
          <w:rStyle w:val="0pt"/>
          <w:rFonts w:ascii="Times New Roman" w:cs="Times New Roman"/>
          <w:color w:val="000000" w:themeColor="text1"/>
          <w:spacing w:val="0"/>
          <w:sz w:val="16"/>
          <w:szCs w:val="16"/>
        </w:rPr>
        <w:t>К-04 - 4100</w:t>
      </w:r>
      <w:r w:rsidRPr="00070ADE">
        <w:rPr>
          <w:rFonts w:ascii="Times New Roman" w:cs="Times New Roman"/>
          <w:color w:val="000000" w:themeColor="text1"/>
          <w:spacing w:val="0"/>
          <w:sz w:val="16"/>
          <w:szCs w:val="16"/>
        </w:rPr>
        <w:t xml:space="preserve"> комплектов </w:t>
      </w:r>
      <w:r w:rsidRPr="00070ADE">
        <w:rPr>
          <w:rStyle w:val="0pt"/>
          <w:rFonts w:ascii="Times New Roman" w:cs="Times New Roman"/>
          <w:color w:val="000000" w:themeColor="text1"/>
          <w:spacing w:val="0"/>
          <w:sz w:val="16"/>
          <w:szCs w:val="16"/>
        </w:rPr>
        <w:t xml:space="preserve">и </w:t>
      </w:r>
      <w:r w:rsidRPr="00070ADE">
        <w:rPr>
          <w:rStyle w:val="0pt"/>
          <w:rFonts w:ascii="Times New Roman" w:cs="Times New Roman"/>
          <w:color w:val="000000" w:themeColor="text1"/>
          <w:spacing w:val="0"/>
          <w:sz w:val="16"/>
          <w:szCs w:val="16"/>
          <w:lang w:val="en-US"/>
        </w:rPr>
        <w:t>K</w:t>
      </w:r>
      <w:r w:rsidRPr="00070ADE">
        <w:rPr>
          <w:rStyle w:val="0pt"/>
          <w:rFonts w:ascii="Times New Roman" w:cs="Times New Roman"/>
          <w:color w:val="000000" w:themeColor="text1"/>
          <w:spacing w:val="0"/>
          <w:sz w:val="16"/>
          <w:szCs w:val="16"/>
        </w:rPr>
        <w:t>-05 - 2300</w:t>
      </w:r>
      <w:r w:rsidRPr="00070ADE">
        <w:rPr>
          <w:rFonts w:ascii="Times New Roman" w:cs="Times New Roman"/>
          <w:color w:val="000000" w:themeColor="text1"/>
          <w:spacing w:val="0"/>
          <w:sz w:val="16"/>
          <w:szCs w:val="16"/>
        </w:rPr>
        <w:t xml:space="preserve"> комплектов, а также </w:t>
      </w:r>
      <w:r w:rsidRPr="00070ADE">
        <w:rPr>
          <w:rStyle w:val="0pt"/>
          <w:rFonts w:ascii="Times New Roman" w:cs="Times New Roman"/>
          <w:color w:val="000000" w:themeColor="text1"/>
          <w:spacing w:val="0"/>
          <w:sz w:val="16"/>
          <w:szCs w:val="16"/>
        </w:rPr>
        <w:t>105000</w:t>
      </w:r>
      <w:r w:rsidRPr="00070ADE">
        <w:rPr>
          <w:rFonts w:ascii="Times New Roman" w:cs="Times New Roman"/>
          <w:color w:val="000000" w:themeColor="text1"/>
          <w:spacing w:val="0"/>
          <w:sz w:val="16"/>
          <w:szCs w:val="16"/>
        </w:rPr>
        <w:t xml:space="preserve"> кв.мт. силикат</w:t>
      </w:r>
      <w:r w:rsidRPr="00070ADE">
        <w:rPr>
          <w:rFonts w:ascii="Times New Roman" w:cs="Times New Roman"/>
          <w:color w:val="000000" w:themeColor="text1"/>
          <w:spacing w:val="0"/>
          <w:sz w:val="16"/>
          <w:szCs w:val="16"/>
        </w:rPr>
        <w:softHyphen/>
        <w:t>ного стекла. Поставку производить равномерно по месяцам.</w:t>
      </w:r>
    </w:p>
    <w:p w14:paraId="382CBF12" w14:textId="77777777" w:rsidR="00EE343A" w:rsidRPr="00070ADE" w:rsidRDefault="00EE343A" w:rsidP="00B56F90">
      <w:pPr>
        <w:pStyle w:val="36"/>
        <w:shd w:val="clear" w:color="auto" w:fill="auto"/>
        <w:tabs>
          <w:tab w:val="left" w:pos="943"/>
        </w:tabs>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б) провести работы по расширению производства проз</w:t>
      </w:r>
      <w:r w:rsidRPr="00070ADE">
        <w:rPr>
          <w:rFonts w:ascii="Times New Roman" w:cs="Times New Roman"/>
          <w:color w:val="000000" w:themeColor="text1"/>
          <w:spacing w:val="0"/>
          <w:sz w:val="16"/>
          <w:szCs w:val="16"/>
        </w:rPr>
        <w:softHyphen/>
        <w:t xml:space="preserve">рачной авиационной брони на заводе № </w:t>
      </w:r>
      <w:r w:rsidRPr="00070ADE">
        <w:rPr>
          <w:rStyle w:val="0pt"/>
          <w:rFonts w:ascii="Times New Roman" w:cs="Times New Roman"/>
          <w:color w:val="000000" w:themeColor="text1"/>
          <w:spacing w:val="0"/>
          <w:sz w:val="16"/>
          <w:szCs w:val="16"/>
        </w:rPr>
        <w:t>233,</w:t>
      </w:r>
      <w:r w:rsidRPr="00070ADE">
        <w:rPr>
          <w:rFonts w:ascii="Times New Roman" w:cs="Times New Roman"/>
          <w:color w:val="000000" w:themeColor="text1"/>
          <w:spacing w:val="0"/>
          <w:sz w:val="16"/>
          <w:szCs w:val="16"/>
        </w:rPr>
        <w:t xml:space="preserve"> доведя выпуск сталинита в Ш квартале </w:t>
      </w:r>
      <w:r w:rsidRPr="00070ADE">
        <w:rPr>
          <w:rStyle w:val="16"/>
          <w:rFonts w:ascii="Times New Roman" w:cs="Times New Roman"/>
          <w:color w:val="000000" w:themeColor="text1"/>
          <w:spacing w:val="0"/>
          <w:u w:val="none"/>
        </w:rPr>
        <w:t>с.г.</w:t>
      </w:r>
      <w:r w:rsidRPr="00070ADE">
        <w:rPr>
          <w:rStyle w:val="0pt"/>
          <w:rFonts w:ascii="Times New Roman" w:cs="Times New Roman"/>
          <w:color w:val="000000" w:themeColor="text1"/>
          <w:spacing w:val="0"/>
          <w:sz w:val="16"/>
          <w:szCs w:val="16"/>
        </w:rPr>
        <w:t xml:space="preserve"> </w:t>
      </w:r>
      <w:r w:rsidRPr="00070ADE">
        <w:rPr>
          <w:rFonts w:ascii="Times New Roman" w:cs="Times New Roman"/>
          <w:color w:val="000000" w:themeColor="text1"/>
          <w:spacing w:val="0"/>
          <w:sz w:val="16"/>
          <w:szCs w:val="16"/>
        </w:rPr>
        <w:t>до</w:t>
      </w:r>
      <w:r w:rsidRPr="00070ADE">
        <w:rPr>
          <w:rStyle w:val="0pt"/>
          <w:rFonts w:ascii="Times New Roman" w:cs="Times New Roman"/>
          <w:color w:val="000000" w:themeColor="text1"/>
          <w:spacing w:val="0"/>
          <w:sz w:val="16"/>
          <w:szCs w:val="16"/>
        </w:rPr>
        <w:t xml:space="preserve"> 2000</w:t>
      </w:r>
      <w:r w:rsidRPr="00070ADE">
        <w:rPr>
          <w:rFonts w:ascii="Times New Roman" w:cs="Times New Roman"/>
          <w:color w:val="000000" w:themeColor="text1"/>
          <w:spacing w:val="0"/>
          <w:sz w:val="16"/>
          <w:szCs w:val="16"/>
        </w:rPr>
        <w:t xml:space="preserve"> комплектов в месяц.</w:t>
      </w:r>
    </w:p>
    <w:p w14:paraId="27AAF167" w14:textId="77777777" w:rsidR="00EE343A" w:rsidRPr="00070ADE" w:rsidRDefault="00EE343A" w:rsidP="00B56F90">
      <w:pPr>
        <w:pStyle w:val="36"/>
        <w:shd w:val="clear" w:color="auto" w:fill="auto"/>
        <w:tabs>
          <w:tab w:val="left" w:pos="958"/>
        </w:tabs>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 Отметить, что заводы Наркомстройматериалов недоснабжаются кальцинированной содой, необходимой для из</w:t>
      </w:r>
      <w:r w:rsidRPr="00070ADE">
        <w:rPr>
          <w:rFonts w:ascii="Times New Roman" w:cs="Times New Roman"/>
          <w:color w:val="000000" w:themeColor="text1"/>
          <w:spacing w:val="0"/>
          <w:sz w:val="16"/>
          <w:szCs w:val="16"/>
        </w:rPr>
        <w:softHyphen/>
        <w:t>готовления сталинита и силикатного стекла.</w:t>
      </w:r>
    </w:p>
    <w:p w14:paraId="63FBCA6B" w14:textId="77777777" w:rsidR="00EE343A" w:rsidRPr="00070ADE" w:rsidRDefault="00EE343A"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 xml:space="preserve">Обязать Наркомхимпром - т.Первухина обеспечить в 1 квартале </w:t>
      </w:r>
      <w:r w:rsidRPr="00070ADE">
        <w:rPr>
          <w:rStyle w:val="16"/>
          <w:rFonts w:ascii="Times New Roman" w:cs="Times New Roman"/>
          <w:color w:val="000000" w:themeColor="text1"/>
          <w:spacing w:val="0"/>
          <w:u w:val="none"/>
        </w:rPr>
        <w:t>с.г.</w:t>
      </w:r>
      <w:r w:rsidRPr="00070ADE">
        <w:rPr>
          <w:rFonts w:ascii="Times New Roman" w:cs="Times New Roman"/>
          <w:color w:val="000000" w:themeColor="text1"/>
          <w:spacing w:val="0"/>
          <w:sz w:val="16"/>
          <w:szCs w:val="16"/>
        </w:rPr>
        <w:t xml:space="preserve"> поставку кальцинированной соды заводам имени Горького, им.Дзержинского, № 25 (дублер) и № </w:t>
      </w:r>
      <w:r w:rsidRPr="00070ADE">
        <w:rPr>
          <w:rStyle w:val="0pt"/>
          <w:rFonts w:ascii="Times New Roman" w:cs="Times New Roman"/>
          <w:color w:val="000000" w:themeColor="text1"/>
          <w:spacing w:val="0"/>
          <w:sz w:val="16"/>
          <w:szCs w:val="16"/>
        </w:rPr>
        <w:t xml:space="preserve">233 </w:t>
      </w:r>
      <w:r w:rsidRPr="00070ADE">
        <w:rPr>
          <w:rFonts w:ascii="Times New Roman" w:cs="Times New Roman"/>
          <w:color w:val="000000" w:themeColor="text1"/>
          <w:spacing w:val="0"/>
          <w:sz w:val="16"/>
          <w:szCs w:val="16"/>
        </w:rPr>
        <w:t xml:space="preserve">Наркомстройматериалов СССР, вырабатывающим сталинит и силикатное стекло, по выделенным им фондам в количестве </w:t>
      </w:r>
      <w:r w:rsidRPr="00070ADE">
        <w:rPr>
          <w:rStyle w:val="0pt"/>
          <w:rFonts w:ascii="Times New Roman" w:cs="Times New Roman"/>
          <w:color w:val="000000" w:themeColor="text1"/>
          <w:spacing w:val="0"/>
          <w:sz w:val="16"/>
          <w:szCs w:val="16"/>
        </w:rPr>
        <w:t>2600</w:t>
      </w:r>
      <w:r w:rsidRPr="00070ADE">
        <w:rPr>
          <w:rFonts w:ascii="Times New Roman" w:cs="Times New Roman"/>
          <w:color w:val="000000" w:themeColor="text1"/>
          <w:spacing w:val="0"/>
          <w:sz w:val="16"/>
          <w:szCs w:val="16"/>
        </w:rPr>
        <w:t xml:space="preserve"> тонн равномерно по месяцам, наравне с поставками алюминиевой промышленности.</w:t>
      </w:r>
    </w:p>
    <w:p w14:paraId="4D914815" w14:textId="77777777" w:rsidR="00EE343A" w:rsidRPr="00070ADE" w:rsidRDefault="00EE343A" w:rsidP="00B56F90">
      <w:pPr>
        <w:pStyle w:val="36"/>
        <w:shd w:val="clear" w:color="auto" w:fill="auto"/>
        <w:tabs>
          <w:tab w:val="left" w:pos="958"/>
        </w:tabs>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5. Обязать Наркомчермет - т.Тевосяна, Наркомстанкостроения - т.Ефремова, Наркомпищепром СССР - т.Зотова, Наркомбумпром - т.Чеботарева, Наркомлес СССР - т.Салты</w:t>
      </w:r>
      <w:r w:rsidRPr="00070ADE">
        <w:rPr>
          <w:rFonts w:ascii="Times New Roman" w:cs="Times New Roman"/>
          <w:color w:val="000000" w:themeColor="text1"/>
          <w:spacing w:val="0"/>
          <w:sz w:val="16"/>
          <w:szCs w:val="16"/>
        </w:rPr>
        <w:softHyphen/>
        <w:t xml:space="preserve">кова, Наркомбоеприпасов - т.Ванникова, Нар «;омтекс тиль СССР - т.Акимова, Наркомлегпром СССР - т.Лукина и Нар- комместпром </w:t>
      </w:r>
      <w:r w:rsidRPr="00070ADE">
        <w:rPr>
          <w:rStyle w:val="0pt"/>
          <w:rFonts w:ascii="Times New Roman" w:cs="Times New Roman"/>
          <w:color w:val="000000" w:themeColor="text1"/>
          <w:spacing w:val="0"/>
          <w:sz w:val="16"/>
          <w:szCs w:val="16"/>
          <w:lang w:val="en-US"/>
        </w:rPr>
        <w:t>PCiCP</w:t>
      </w:r>
      <w:r w:rsidRPr="00070ADE">
        <w:rPr>
          <w:rStyle w:val="0pt"/>
          <w:rFonts w:ascii="Times New Roman" w:cs="Times New Roman"/>
          <w:color w:val="000000" w:themeColor="text1"/>
          <w:spacing w:val="0"/>
          <w:sz w:val="16"/>
          <w:szCs w:val="16"/>
        </w:rPr>
        <w:t xml:space="preserve"> -</w:t>
      </w:r>
      <w:r w:rsidRPr="00070ADE">
        <w:rPr>
          <w:rFonts w:ascii="Times New Roman" w:cs="Times New Roman"/>
          <w:color w:val="000000" w:themeColor="text1"/>
          <w:spacing w:val="0"/>
          <w:sz w:val="16"/>
          <w:szCs w:val="16"/>
        </w:rPr>
        <w:t xml:space="preserve"> т.Смиряева поставить Наркомхимпрому для заводов № </w:t>
      </w:r>
      <w:r w:rsidRPr="00070ADE">
        <w:rPr>
          <w:rStyle w:val="0pt"/>
          <w:rFonts w:ascii="Times New Roman" w:cs="Times New Roman"/>
          <w:color w:val="000000" w:themeColor="text1"/>
          <w:spacing w:val="0"/>
          <w:sz w:val="16"/>
          <w:szCs w:val="16"/>
        </w:rPr>
        <w:t>148 и "К-4"</w:t>
      </w:r>
      <w:r w:rsidRPr="00070ADE">
        <w:rPr>
          <w:rFonts w:ascii="Times New Roman" w:cs="Times New Roman"/>
          <w:color w:val="000000" w:themeColor="text1"/>
          <w:spacing w:val="0"/>
          <w:sz w:val="16"/>
          <w:szCs w:val="16"/>
        </w:rPr>
        <w:t xml:space="preserve"> и Наркомстройматериалов СССР для заводов № 25 (дублер),</w:t>
      </w:r>
      <w:r w:rsidRPr="00070ADE">
        <w:rPr>
          <w:rStyle w:val="0pt"/>
          <w:rFonts w:ascii="Times New Roman" w:cs="Times New Roman"/>
          <w:color w:val="000000" w:themeColor="text1"/>
          <w:spacing w:val="0"/>
          <w:sz w:val="16"/>
          <w:szCs w:val="16"/>
        </w:rPr>
        <w:t xml:space="preserve"> № 233</w:t>
      </w:r>
      <w:r w:rsidRPr="00070ADE">
        <w:rPr>
          <w:rFonts w:ascii="Times New Roman" w:cs="Times New Roman"/>
          <w:color w:val="000000" w:themeColor="text1"/>
          <w:spacing w:val="0"/>
          <w:sz w:val="16"/>
          <w:szCs w:val="16"/>
        </w:rPr>
        <w:t xml:space="preserve"> и имени Горького, в счет их фондов, материалы и оборудование, согласно приложениям № 1 и 2 целевым назначением для обеспечения поставки Наркомавиапрому бронекозырьков и оргстекла.</w:t>
      </w:r>
    </w:p>
    <w:p w14:paraId="598725F8" w14:textId="77777777" w:rsidR="00EE343A" w:rsidRPr="00070ADE" w:rsidRDefault="00EE34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Отгрузку материалов и оборудования заводам Нарком- химпрома и Наркомстройматериалов СССР, изготовляющим сталинит и авиационную броню, производить наравне с поставками Наркомавиапрому.</w:t>
      </w:r>
    </w:p>
    <w:p w14:paraId="30C87ADA" w14:textId="77777777" w:rsidR="00EE343A" w:rsidRPr="00070ADE" w:rsidRDefault="00EE343A" w:rsidP="00B56F90">
      <w:pPr>
        <w:tabs>
          <w:tab w:val="left" w:pos="78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Обязать Наркомстанкостроения - т.Ефремова:</w:t>
      </w:r>
    </w:p>
    <w:p w14:paraId="161DDC48" w14:textId="77777777" w:rsidR="00EE343A" w:rsidRPr="00070ADE" w:rsidRDefault="00EE343A" w:rsidP="00B56F90">
      <w:pPr>
        <w:tabs>
          <w:tab w:val="left" w:pos="348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йзготовить по чертежам Наркометройматериалов СССР и поставить зазоду</w:t>
      </w:r>
      <w:r w:rsidRPr="00070ADE">
        <w:rPr>
          <w:rFonts w:ascii="Times New Roman" w:hAnsi="Times New Roman"/>
          <w:color w:val="000000" w:themeColor="text1"/>
          <w:sz w:val="16"/>
          <w:szCs w:val="16"/>
        </w:rPr>
        <w:tab/>
        <w:t>во П квартале с.г. 15 специальных станков типа СП-2000 для шлифовки броне</w:t>
      </w:r>
      <w:r w:rsidRPr="00070ADE">
        <w:rPr>
          <w:rFonts w:ascii="Times New Roman" w:hAnsi="Times New Roman"/>
          <w:color w:val="000000" w:themeColor="text1"/>
          <w:sz w:val="16"/>
          <w:szCs w:val="16"/>
        </w:rPr>
        <w:softHyphen/>
        <w:t>стекла,</w:t>
      </w:r>
      <w:r w:rsidRPr="00070ADE">
        <w:rPr>
          <w:rStyle w:val="16"/>
          <w:rFonts w:ascii="Times New Roman" w:hAnsi="Times New Roman" w:cs="Times New Roman"/>
          <w:color w:val="000000" w:themeColor="text1"/>
          <w:spacing w:val="0"/>
          <w:u w:val="none"/>
        </w:rPr>
        <w:t xml:space="preserve"> без</w:t>
      </w:r>
      <w:r w:rsidRPr="00070ADE">
        <w:rPr>
          <w:rFonts w:ascii="Times New Roman" w:hAnsi="Times New Roman"/>
          <w:color w:val="000000" w:themeColor="text1"/>
          <w:sz w:val="16"/>
          <w:szCs w:val="16"/>
        </w:rPr>
        <w:t xml:space="preserve"> механической обработки столов этих станков, а также поставить заводу шесть станков типа "372-</w:t>
      </w:r>
      <w:r w:rsidRPr="00070ADE">
        <w:rPr>
          <w:rFonts w:ascii="Times New Roman" w:hAnsi="Times New Roman"/>
          <w:color w:val="000000" w:themeColor="text1"/>
          <w:sz w:val="16"/>
          <w:szCs w:val="16"/>
          <w:lang w:val="en-US"/>
        </w:rPr>
        <w:t>A</w:t>
      </w:r>
      <w:r w:rsidRPr="00070ADE">
        <w:rPr>
          <w:rFonts w:ascii="Times New Roman" w:hAnsi="Times New Roman"/>
          <w:color w:val="000000" w:themeColor="text1"/>
          <w:sz w:val="16"/>
          <w:szCs w:val="16"/>
        </w:rPr>
        <w:t>М", выделенных ему постановлением ГОКО № 3218 от 21 апреля 1943 года;</w:t>
      </w:r>
    </w:p>
    <w:p w14:paraId="12987CE4" w14:textId="77777777" w:rsidR="00EE343A" w:rsidRPr="00070ADE" w:rsidRDefault="00EE34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поставить Наркомхимпрому во II квартале с.г. це</w:t>
      </w:r>
      <w:r w:rsidRPr="00070ADE">
        <w:rPr>
          <w:rFonts w:ascii="Times New Roman" w:hAnsi="Times New Roman"/>
          <w:color w:val="000000" w:themeColor="text1"/>
          <w:sz w:val="16"/>
          <w:szCs w:val="16"/>
        </w:rPr>
        <w:softHyphen/>
        <w:t>левым назначением для заводов № 148 и "К-4" четыре стан</w:t>
      </w:r>
      <w:r w:rsidRPr="00070ADE">
        <w:rPr>
          <w:rFonts w:ascii="Times New Roman" w:hAnsi="Times New Roman"/>
          <w:color w:val="000000" w:themeColor="text1"/>
          <w:sz w:val="16"/>
          <w:szCs w:val="16"/>
        </w:rPr>
        <w:softHyphen/>
        <w:t>ка ДИП-300 упрощенной конструкции для обработки оргподушки броиекозырьков.</w:t>
      </w:r>
    </w:p>
    <w:p w14:paraId="7EFBFC48" w14:textId="77777777" w:rsidR="00EE343A" w:rsidRPr="00070ADE" w:rsidRDefault="00EE34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Госплану СССР предусмотреть целевое выделение ука</w:t>
      </w:r>
      <w:r w:rsidRPr="00070ADE">
        <w:rPr>
          <w:rFonts w:ascii="Times New Roman" w:hAnsi="Times New Roman"/>
          <w:color w:val="000000" w:themeColor="text1"/>
          <w:sz w:val="16"/>
          <w:szCs w:val="16"/>
        </w:rPr>
        <w:softHyphen/>
        <w:t>занного оборудования во П квартале с.г.</w:t>
      </w:r>
    </w:p>
    <w:p w14:paraId="240A64F9" w14:textId="77777777" w:rsidR="00EE343A" w:rsidRPr="00070ADE" w:rsidRDefault="00EE343A" w:rsidP="00B56F90">
      <w:pPr>
        <w:tabs>
          <w:tab w:val="left" w:pos="79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7. Обязать Главвоенпромстрой при </w:t>
      </w:r>
      <w:r w:rsidRPr="00070ADE">
        <w:rPr>
          <w:rFonts w:ascii="Times New Roman" w:hAnsi="Times New Roman"/>
          <w:color w:val="000000" w:themeColor="text1"/>
          <w:sz w:val="16"/>
          <w:szCs w:val="16"/>
          <w:lang w:val="en-US"/>
        </w:rPr>
        <w:t>C</w:t>
      </w:r>
      <w:r w:rsidRPr="00070ADE">
        <w:rPr>
          <w:rFonts w:ascii="Times New Roman" w:hAnsi="Times New Roman"/>
          <w:color w:val="000000" w:themeColor="text1"/>
          <w:sz w:val="16"/>
          <w:szCs w:val="16"/>
        </w:rPr>
        <w:t>Н</w:t>
      </w:r>
      <w:r w:rsidRPr="00070ADE">
        <w:rPr>
          <w:rFonts w:ascii="Times New Roman" w:hAnsi="Times New Roman"/>
          <w:color w:val="000000" w:themeColor="text1"/>
          <w:sz w:val="16"/>
          <w:szCs w:val="16"/>
          <w:lang w:val="en-US"/>
        </w:rPr>
        <w:t>K</w:t>
      </w:r>
      <w:r w:rsidRPr="00070ADE">
        <w:rPr>
          <w:rFonts w:ascii="Times New Roman" w:hAnsi="Times New Roman"/>
          <w:color w:val="000000" w:themeColor="text1"/>
          <w:sz w:val="16"/>
          <w:szCs w:val="16"/>
        </w:rPr>
        <w:t xml:space="preserve"> СССР - т.Про</w:t>
      </w:r>
      <w:r w:rsidRPr="00070ADE">
        <w:rPr>
          <w:rFonts w:ascii="Times New Roman" w:hAnsi="Times New Roman"/>
          <w:color w:val="000000" w:themeColor="text1"/>
          <w:sz w:val="16"/>
          <w:szCs w:val="16"/>
        </w:rPr>
        <w:softHyphen/>
        <w:t>кофьева при всех условиях выполнить в 1 и П кварталах с.г. на заводе № 233 Наркомстройматериалов СССР все строительно-монтажные, сантехнические и электротехни</w:t>
      </w:r>
      <w:r w:rsidRPr="00070ADE">
        <w:rPr>
          <w:rFonts w:ascii="Times New Roman" w:hAnsi="Times New Roman"/>
          <w:color w:val="000000" w:themeColor="text1"/>
          <w:sz w:val="16"/>
          <w:szCs w:val="16"/>
        </w:rPr>
        <w:softHyphen/>
        <w:t>ческие работы, работы по газопроводу, устройству фунда</w:t>
      </w:r>
      <w:r w:rsidRPr="00070ADE">
        <w:rPr>
          <w:rFonts w:ascii="Times New Roman" w:hAnsi="Times New Roman"/>
          <w:color w:val="000000" w:themeColor="text1"/>
          <w:sz w:val="16"/>
          <w:szCs w:val="16"/>
        </w:rPr>
        <w:softHyphen/>
        <w:t>ментов под технологическое оборудование и кладку печей первоочередных объектов строительства завода № 233 в об"еме и сроки, согласно приложёнию № 3.</w:t>
      </w:r>
    </w:p>
    <w:p w14:paraId="3DD06007" w14:textId="77777777" w:rsidR="00EE343A" w:rsidRPr="00070ADE" w:rsidRDefault="00EE34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Наркомстройматериалов СССР обеспечить Главвоенпром</w:t>
      </w:r>
      <w:r w:rsidRPr="00070ADE">
        <w:rPr>
          <w:rFonts w:ascii="Times New Roman" w:hAnsi="Times New Roman"/>
          <w:color w:val="000000" w:themeColor="text1"/>
          <w:sz w:val="16"/>
          <w:szCs w:val="16"/>
        </w:rPr>
        <w:softHyphen/>
        <w:t>строй необходимой технической документацией по согласо</w:t>
      </w:r>
      <w:r w:rsidRPr="00070ADE">
        <w:rPr>
          <w:rFonts w:ascii="Times New Roman" w:hAnsi="Times New Roman"/>
          <w:color w:val="000000" w:themeColor="text1"/>
          <w:sz w:val="16"/>
          <w:szCs w:val="16"/>
        </w:rPr>
        <w:softHyphen/>
        <w:t>ванным с ним графикам.</w:t>
      </w:r>
    </w:p>
    <w:p w14:paraId="7E00AF87" w14:textId="77777777" w:rsidR="00EE343A" w:rsidRPr="00070ADE" w:rsidRDefault="00EE343A" w:rsidP="00B56F90">
      <w:pPr>
        <w:tabs>
          <w:tab w:val="left" w:pos="79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Обязать Наркомстройматериалов СССР « т.Соснина обеспечить строительство завода № 233 всеми необходимыми строительными, сантехническими и электротехническими ма</w:t>
      </w:r>
      <w:r w:rsidRPr="00070ADE">
        <w:rPr>
          <w:rFonts w:ascii="Times New Roman" w:hAnsi="Times New Roman"/>
          <w:color w:val="000000" w:themeColor="text1"/>
          <w:sz w:val="16"/>
          <w:szCs w:val="16"/>
        </w:rPr>
        <w:softHyphen/>
        <w:t>териалами и оборудованием, в'количествах и сроки, сог</w:t>
      </w:r>
      <w:r w:rsidRPr="00070ADE">
        <w:rPr>
          <w:rFonts w:ascii="Times New Roman" w:hAnsi="Times New Roman"/>
          <w:color w:val="000000" w:themeColor="text1"/>
          <w:sz w:val="16"/>
          <w:szCs w:val="16"/>
        </w:rPr>
        <w:softHyphen/>
        <w:t>ласно приложению 4.</w:t>
      </w:r>
    </w:p>
    <w:p w14:paraId="7B5AB6B7" w14:textId="77777777" w:rsidR="00EE343A" w:rsidRPr="00070ADE" w:rsidRDefault="00EE34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Ввиду важности окончания строительства завода № 233 изготовляющего сталинит для авиационной брони, обязать Наркомчермет - т.Тевосяна, Наркомавиапром - т.Шахурина, Наркомтанкопром - т.Малышева, Главснаблес при СНК СССР - т. Лопухов, Наркомстройматериалов СССР - т.Соснина, Наркомминвооружения - т.Паршина, Наркомпище- пром СССР - т.Зотова, Наркомхимпром - т.Первухина, Главнефтеснаб при СНК СССР - т.Широкова, Наркомтяжмаш - т.Казакова, Мособлисполком - т.Тарасова поставку матери</w:t>
      </w:r>
      <w:r w:rsidRPr="00070ADE">
        <w:rPr>
          <w:rFonts w:ascii="Times New Roman" w:hAnsi="Times New Roman"/>
          <w:color w:val="000000" w:themeColor="text1"/>
          <w:sz w:val="16"/>
          <w:szCs w:val="16"/>
        </w:rPr>
        <w:softHyphen/>
        <w:t xml:space="preserve">алов и оборудования для строительства завода № </w:t>
      </w:r>
      <w:r w:rsidRPr="00070ADE">
        <w:rPr>
          <w:rStyle w:val="0pt"/>
          <w:rFonts w:ascii="Times New Roman" w:hAnsi="Times New Roman" w:cs="Times New Roman"/>
          <w:color w:val="000000" w:themeColor="text1"/>
          <w:spacing w:val="0"/>
          <w:sz w:val="16"/>
          <w:szCs w:val="16"/>
        </w:rPr>
        <w:t>233</w:t>
      </w:r>
      <w:r w:rsidRPr="00070ADE">
        <w:rPr>
          <w:rFonts w:ascii="Times New Roman" w:hAnsi="Times New Roman"/>
          <w:color w:val="000000" w:themeColor="text1"/>
          <w:sz w:val="16"/>
          <w:szCs w:val="16"/>
        </w:rPr>
        <w:t xml:space="preserve"> НКПСМ СССР, перечисленного в приложении № 4, производить впе</w:t>
      </w:r>
      <w:r w:rsidRPr="00070ADE">
        <w:rPr>
          <w:rFonts w:ascii="Times New Roman" w:hAnsi="Times New Roman"/>
          <w:color w:val="000000" w:themeColor="text1"/>
          <w:sz w:val="16"/>
          <w:szCs w:val="16"/>
        </w:rPr>
        <w:softHyphen/>
        <w:t>реди других потребителей, наравне с обеспечением важней</w:t>
      </w:r>
      <w:r w:rsidRPr="00070ADE">
        <w:rPr>
          <w:rFonts w:ascii="Times New Roman" w:hAnsi="Times New Roman"/>
          <w:color w:val="000000" w:themeColor="text1"/>
          <w:sz w:val="16"/>
          <w:szCs w:val="16"/>
        </w:rPr>
        <w:softHyphen/>
        <w:t>ших строек Наркомчермета.</w:t>
      </w:r>
    </w:p>
    <w:p w14:paraId="6220813D" w14:textId="77777777" w:rsidR="00EE343A" w:rsidRPr="00070ADE" w:rsidRDefault="00EE343A" w:rsidP="00B56F90">
      <w:pPr>
        <w:spacing w:after="0" w:line="240" w:lineRule="auto"/>
        <w:jc w:val="both"/>
        <w:rPr>
          <w:rFonts w:ascii="Times New Roman" w:hAnsi="Times New Roman"/>
          <w:color w:val="000000" w:themeColor="text1"/>
          <w:sz w:val="16"/>
          <w:szCs w:val="16"/>
        </w:rPr>
      </w:pPr>
      <w:r w:rsidRPr="00070ADE">
        <w:rPr>
          <w:rStyle w:val="0pt"/>
          <w:rFonts w:ascii="Times New Roman" w:hAnsi="Times New Roman" w:cs="Times New Roman"/>
          <w:color w:val="000000" w:themeColor="text1"/>
          <w:spacing w:val="0"/>
          <w:sz w:val="16"/>
          <w:szCs w:val="16"/>
        </w:rPr>
        <w:t>10.</w:t>
      </w:r>
      <w:r w:rsidRPr="00070ADE">
        <w:rPr>
          <w:rFonts w:ascii="Times New Roman" w:hAnsi="Times New Roman"/>
          <w:color w:val="000000" w:themeColor="text1"/>
          <w:sz w:val="16"/>
          <w:szCs w:val="16"/>
        </w:rPr>
        <w:t xml:space="preserve"> Обяэать Госплан </w:t>
      </w:r>
      <w:r w:rsidRPr="00070ADE">
        <w:rPr>
          <w:rStyle w:val="0pt"/>
          <w:rFonts w:ascii="Times New Roman" w:hAnsi="Times New Roman" w:cs="Times New Roman"/>
          <w:color w:val="000000" w:themeColor="text1"/>
          <w:spacing w:val="0"/>
          <w:sz w:val="16"/>
          <w:szCs w:val="16"/>
          <w:lang w:val="en-US"/>
        </w:rPr>
        <w:t>C</w:t>
      </w:r>
      <w:r w:rsidRPr="00070ADE">
        <w:rPr>
          <w:rStyle w:val="0pt"/>
          <w:rFonts w:ascii="Times New Roman" w:hAnsi="Times New Roman" w:cs="Times New Roman"/>
          <w:color w:val="000000" w:themeColor="text1"/>
          <w:spacing w:val="0"/>
          <w:sz w:val="16"/>
          <w:szCs w:val="16"/>
        </w:rPr>
        <w:t>С</w:t>
      </w:r>
      <w:r w:rsidRPr="00070ADE">
        <w:rPr>
          <w:rStyle w:val="0pt"/>
          <w:rFonts w:ascii="Times New Roman" w:hAnsi="Times New Roman" w:cs="Times New Roman"/>
          <w:color w:val="000000" w:themeColor="text1"/>
          <w:spacing w:val="0"/>
          <w:sz w:val="16"/>
          <w:szCs w:val="16"/>
          <w:lang w:val="en-US"/>
        </w:rPr>
        <w:t>CP</w:t>
      </w:r>
      <w:r w:rsidRPr="00070ADE">
        <w:rPr>
          <w:rStyle w:val="0pt"/>
          <w:rFonts w:ascii="Times New Roman" w:hAnsi="Times New Roman" w:cs="Times New Roman"/>
          <w:color w:val="000000" w:themeColor="text1"/>
          <w:spacing w:val="0"/>
          <w:sz w:val="16"/>
          <w:szCs w:val="16"/>
        </w:rPr>
        <w:t xml:space="preserve"> -</w:t>
      </w:r>
      <w:r w:rsidRPr="00070ADE">
        <w:rPr>
          <w:rFonts w:ascii="Times New Roman" w:hAnsi="Times New Roman"/>
          <w:color w:val="000000" w:themeColor="text1"/>
          <w:sz w:val="16"/>
          <w:szCs w:val="16"/>
        </w:rPr>
        <w:t xml:space="preserve"> т. Вознесенскоро предусмотреть во П квартале </w:t>
      </w:r>
      <w:r w:rsidRPr="00070ADE">
        <w:rPr>
          <w:rStyle w:val="16"/>
          <w:rFonts w:ascii="Times New Roman" w:hAnsi="Times New Roman" w:cs="Times New Roman"/>
          <w:color w:val="000000" w:themeColor="text1"/>
          <w:spacing w:val="0"/>
          <w:u w:val="none"/>
        </w:rPr>
        <w:t>с.г.</w:t>
      </w:r>
      <w:r w:rsidRPr="00070ADE">
        <w:rPr>
          <w:rFonts w:ascii="Times New Roman" w:hAnsi="Times New Roman"/>
          <w:color w:val="000000" w:themeColor="text1"/>
          <w:sz w:val="16"/>
          <w:szCs w:val="16"/>
        </w:rPr>
        <w:t xml:space="preserve"> целевое выделение материалов и оборудования, обеспечивающих окончание строительства об"ектов завода № </w:t>
      </w:r>
      <w:r w:rsidRPr="00070ADE">
        <w:rPr>
          <w:rStyle w:val="0pt"/>
          <w:rFonts w:ascii="Times New Roman" w:hAnsi="Times New Roman" w:cs="Times New Roman"/>
          <w:color w:val="000000" w:themeColor="text1"/>
          <w:spacing w:val="0"/>
          <w:sz w:val="16"/>
          <w:szCs w:val="16"/>
        </w:rPr>
        <w:t>233</w:t>
      </w:r>
      <w:r w:rsidRPr="00070ADE">
        <w:rPr>
          <w:rFonts w:ascii="Times New Roman" w:hAnsi="Times New Roman"/>
          <w:color w:val="000000" w:themeColor="text1"/>
          <w:sz w:val="16"/>
          <w:szCs w:val="16"/>
        </w:rPr>
        <w:t xml:space="preserve"> Наркомстройматериалов СССР, пре</w:t>
      </w:r>
      <w:r w:rsidRPr="00070ADE">
        <w:rPr>
          <w:rFonts w:ascii="Times New Roman" w:hAnsi="Times New Roman"/>
          <w:color w:val="000000" w:themeColor="text1"/>
          <w:sz w:val="16"/>
          <w:szCs w:val="16"/>
        </w:rPr>
        <w:softHyphen/>
        <w:t>дусмотренных настоящим постановлением.</w:t>
      </w:r>
    </w:p>
    <w:p w14:paraId="140AFD9E" w14:textId="77777777" w:rsidR="00EE343A" w:rsidRPr="00070ADE" w:rsidRDefault="00EE34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Подтвердить к выполнению постановление ГОКО №</w:t>
      </w:r>
      <w:r w:rsidRPr="00070ADE">
        <w:rPr>
          <w:rStyle w:val="0pt"/>
          <w:rFonts w:ascii="Times New Roman" w:hAnsi="Times New Roman" w:cs="Times New Roman"/>
          <w:color w:val="000000" w:themeColor="text1"/>
          <w:spacing w:val="0"/>
          <w:sz w:val="16"/>
          <w:szCs w:val="16"/>
        </w:rPr>
        <w:t xml:space="preserve"> 3218</w:t>
      </w:r>
      <w:r w:rsidRPr="00070ADE">
        <w:rPr>
          <w:rStyle w:val="0pt"/>
          <w:rFonts w:ascii="Times New Roman" w:hAnsi="Times New Roman" w:cs="Times New Roman"/>
          <w:color w:val="000000" w:themeColor="text1"/>
          <w:spacing w:val="0"/>
          <w:sz w:val="16"/>
          <w:szCs w:val="16"/>
          <w:lang w:val="en-US"/>
        </w:rPr>
        <w:t>c</w:t>
      </w:r>
      <w:r w:rsidRPr="00070ADE">
        <w:rPr>
          <w:rFonts w:ascii="Times New Roman" w:hAnsi="Times New Roman"/>
          <w:color w:val="000000" w:themeColor="text1"/>
          <w:sz w:val="16"/>
          <w:szCs w:val="16"/>
        </w:rPr>
        <w:t xml:space="preserve"> от </w:t>
      </w:r>
      <w:r w:rsidRPr="00070ADE">
        <w:rPr>
          <w:rStyle w:val="0pt"/>
          <w:rFonts w:ascii="Times New Roman" w:hAnsi="Times New Roman" w:cs="Times New Roman"/>
          <w:color w:val="000000" w:themeColor="text1"/>
          <w:spacing w:val="0"/>
          <w:sz w:val="16"/>
          <w:szCs w:val="16"/>
        </w:rPr>
        <w:t>21</w:t>
      </w:r>
      <w:r w:rsidRPr="00070ADE">
        <w:rPr>
          <w:rFonts w:ascii="Times New Roman" w:hAnsi="Times New Roman"/>
          <w:color w:val="000000" w:themeColor="text1"/>
          <w:sz w:val="16"/>
          <w:szCs w:val="16"/>
        </w:rPr>
        <w:t xml:space="preserve"> апреля </w:t>
      </w:r>
      <w:r w:rsidRPr="00070ADE">
        <w:rPr>
          <w:rStyle w:val="0pt"/>
          <w:rFonts w:ascii="Times New Roman" w:hAnsi="Times New Roman" w:cs="Times New Roman"/>
          <w:color w:val="000000" w:themeColor="text1"/>
          <w:spacing w:val="0"/>
          <w:sz w:val="16"/>
          <w:szCs w:val="16"/>
        </w:rPr>
        <w:t>1943</w:t>
      </w:r>
      <w:r w:rsidRPr="00070ADE">
        <w:rPr>
          <w:rFonts w:ascii="Times New Roman" w:hAnsi="Times New Roman"/>
          <w:color w:val="000000" w:themeColor="text1"/>
          <w:sz w:val="16"/>
          <w:szCs w:val="16"/>
        </w:rPr>
        <w:t xml:space="preserve"> года по строительству завода </w:t>
      </w:r>
      <w:r w:rsidRPr="00070ADE">
        <w:rPr>
          <w:rStyle w:val="0pt"/>
          <w:rFonts w:ascii="Times New Roman" w:hAnsi="Times New Roman" w:cs="Times New Roman"/>
          <w:color w:val="000000" w:themeColor="text1"/>
          <w:spacing w:val="0"/>
          <w:sz w:val="16"/>
          <w:szCs w:val="16"/>
        </w:rPr>
        <w:t>№ 233</w:t>
      </w:r>
      <w:r w:rsidRPr="00070ADE">
        <w:rPr>
          <w:rFonts w:ascii="Times New Roman" w:hAnsi="Times New Roman"/>
          <w:color w:val="000000" w:themeColor="text1"/>
          <w:sz w:val="16"/>
          <w:szCs w:val="16"/>
        </w:rPr>
        <w:t xml:space="preserve"> Наркомстройматериалов </w:t>
      </w:r>
      <w:r w:rsidRPr="00070ADE">
        <w:rPr>
          <w:rFonts w:ascii="Times New Roman" w:hAnsi="Times New Roman"/>
          <w:color w:val="000000" w:themeColor="text1"/>
          <w:sz w:val="16"/>
          <w:szCs w:val="16"/>
          <w:lang w:val="en-US"/>
        </w:rPr>
        <w:t>C</w:t>
      </w:r>
      <w:r w:rsidRPr="00070ADE">
        <w:rPr>
          <w:rFonts w:ascii="Times New Roman" w:hAnsi="Times New Roman"/>
          <w:color w:val="000000" w:themeColor="text1"/>
          <w:sz w:val="16"/>
          <w:szCs w:val="16"/>
        </w:rPr>
        <w:t>С</w:t>
      </w:r>
      <w:r w:rsidRPr="00070ADE">
        <w:rPr>
          <w:rFonts w:ascii="Times New Roman" w:hAnsi="Times New Roman"/>
          <w:color w:val="000000" w:themeColor="text1"/>
          <w:sz w:val="16"/>
          <w:szCs w:val="16"/>
          <w:lang w:val="en-US"/>
        </w:rPr>
        <w:t>CP</w:t>
      </w:r>
      <w:r w:rsidRPr="00070ADE">
        <w:rPr>
          <w:rFonts w:ascii="Times New Roman" w:hAnsi="Times New Roman"/>
          <w:color w:val="000000" w:themeColor="text1"/>
          <w:sz w:val="16"/>
          <w:szCs w:val="16"/>
        </w:rPr>
        <w:t xml:space="preserve"> и обязать:</w:t>
      </w:r>
    </w:p>
    <w:p w14:paraId="04B064ED" w14:textId="77777777" w:rsidR="00EE343A" w:rsidRPr="00070ADE" w:rsidRDefault="00EE343A" w:rsidP="00B56F90">
      <w:pPr>
        <w:spacing w:after="0" w:line="240" w:lineRule="auto"/>
        <w:jc w:val="both"/>
        <w:rPr>
          <w:rFonts w:ascii="Times New Roman" w:hAnsi="Times New Roman"/>
          <w:color w:val="000000" w:themeColor="text1"/>
          <w:sz w:val="16"/>
          <w:szCs w:val="16"/>
        </w:rPr>
      </w:pPr>
      <w:r w:rsidRPr="00070ADE">
        <w:rPr>
          <w:rStyle w:val="Garamond85pt"/>
          <w:rFonts w:ascii="Times New Roman" w:hAnsi="Times New Roman" w:cs="Times New Roman"/>
          <w:color w:val="000000" w:themeColor="text1"/>
          <w:spacing w:val="0"/>
          <w:sz w:val="16"/>
          <w:szCs w:val="16"/>
          <w:lang w:val="ru-RU"/>
        </w:rPr>
        <w:t>а)</w:t>
      </w:r>
      <w:r w:rsidRPr="00070ADE">
        <w:rPr>
          <w:rFonts w:ascii="Times New Roman" w:hAnsi="Times New Roman"/>
          <w:color w:val="000000" w:themeColor="text1"/>
          <w:sz w:val="16"/>
          <w:szCs w:val="16"/>
        </w:rPr>
        <w:t xml:space="preserve"> Наркомвнешторг - т.Микояна ускорить закупку в США и поставку заводу № </w:t>
      </w:r>
      <w:r w:rsidRPr="00070ADE">
        <w:rPr>
          <w:rStyle w:val="0pt"/>
          <w:rFonts w:ascii="Times New Roman" w:hAnsi="Times New Roman" w:cs="Times New Roman"/>
          <w:color w:val="000000" w:themeColor="text1"/>
          <w:spacing w:val="0"/>
          <w:sz w:val="16"/>
          <w:szCs w:val="16"/>
        </w:rPr>
        <w:t>233</w:t>
      </w:r>
      <w:r w:rsidRPr="00070ADE">
        <w:rPr>
          <w:rFonts w:ascii="Times New Roman" w:hAnsi="Times New Roman"/>
          <w:color w:val="000000" w:themeColor="text1"/>
          <w:sz w:val="16"/>
          <w:szCs w:val="16"/>
        </w:rPr>
        <w:t xml:space="preserve"> в возможно короткий срок оборудования для производства зеркального стекла непре</w:t>
      </w:r>
      <w:r w:rsidRPr="00070ADE">
        <w:rPr>
          <w:rFonts w:ascii="Times New Roman" w:hAnsi="Times New Roman"/>
          <w:color w:val="000000" w:themeColor="text1"/>
          <w:sz w:val="16"/>
          <w:szCs w:val="16"/>
        </w:rPr>
        <w:softHyphen/>
        <w:t>рывным способом: прокатной машины типа Бишеру, механи</w:t>
      </w:r>
      <w:r w:rsidRPr="00070ADE">
        <w:rPr>
          <w:rFonts w:ascii="Times New Roman" w:hAnsi="Times New Roman"/>
          <w:color w:val="000000" w:themeColor="text1"/>
          <w:sz w:val="16"/>
          <w:szCs w:val="16"/>
        </w:rPr>
        <w:softHyphen/>
        <w:t>ческой части Лера для отжига стекла и шлифовально-полировального конвейера для обработки стекла;</w:t>
      </w:r>
    </w:p>
    <w:p w14:paraId="7E1C995B" w14:textId="77777777" w:rsidR="00EE343A" w:rsidRPr="00070ADE" w:rsidRDefault="00EE343A"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б) НКПС - т.Кагановича - обеспечить в феврале-мар</w:t>
      </w:r>
      <w:r w:rsidRPr="00070ADE">
        <w:rPr>
          <w:rFonts w:ascii="Times New Roman" w:cs="Times New Roman"/>
          <w:color w:val="000000" w:themeColor="text1"/>
          <w:spacing w:val="0"/>
          <w:sz w:val="16"/>
          <w:szCs w:val="16"/>
        </w:rPr>
        <w:softHyphen/>
      </w:r>
      <w:r w:rsidRPr="00070ADE">
        <w:rPr>
          <w:rStyle w:val="16"/>
          <w:rFonts w:ascii="Times New Roman" w:cs="Times New Roman"/>
          <w:color w:val="000000" w:themeColor="text1"/>
          <w:spacing w:val="0"/>
          <w:u w:val="none"/>
        </w:rPr>
        <w:t>те с.г.</w:t>
      </w:r>
      <w:r w:rsidRPr="00070ADE">
        <w:rPr>
          <w:rFonts w:ascii="Times New Roman" w:cs="Times New Roman"/>
          <w:color w:val="000000" w:themeColor="text1"/>
          <w:spacing w:val="0"/>
          <w:sz w:val="16"/>
          <w:szCs w:val="16"/>
        </w:rPr>
        <w:t xml:space="preserve"> перевозку на завод № </w:t>
      </w:r>
      <w:r w:rsidRPr="00070ADE">
        <w:rPr>
          <w:rStyle w:val="0pt"/>
          <w:rFonts w:ascii="Times New Roman" w:cs="Times New Roman"/>
          <w:color w:val="000000" w:themeColor="text1"/>
          <w:spacing w:val="0"/>
          <w:sz w:val="16"/>
          <w:szCs w:val="16"/>
        </w:rPr>
        <w:t>233 по 5,000</w:t>
      </w:r>
      <w:r w:rsidRPr="00070ADE">
        <w:rPr>
          <w:rFonts w:ascii="Times New Roman" w:cs="Times New Roman"/>
          <w:color w:val="000000" w:themeColor="text1"/>
          <w:spacing w:val="0"/>
          <w:sz w:val="16"/>
          <w:szCs w:val="16"/>
        </w:rPr>
        <w:t xml:space="preserve"> тонн торфа ежемесячно, специально организованными для этой цели вертушками со ст.Торфродукт Казанской дороги до </w:t>
      </w:r>
      <w:r w:rsidRPr="00070ADE">
        <w:rPr>
          <w:rStyle w:val="16"/>
          <w:rFonts w:ascii="Times New Roman" w:cs="Times New Roman"/>
          <w:color w:val="000000" w:themeColor="text1"/>
          <w:spacing w:val="0"/>
          <w:u w:val="none"/>
        </w:rPr>
        <w:t xml:space="preserve">ст. </w:t>
      </w:r>
      <w:r w:rsidRPr="00070ADE">
        <w:rPr>
          <w:rFonts w:ascii="Times New Roman" w:cs="Times New Roman"/>
          <w:color w:val="000000" w:themeColor="text1"/>
          <w:spacing w:val="0"/>
          <w:sz w:val="16"/>
          <w:szCs w:val="16"/>
        </w:rPr>
        <w:t>Мальчики Ленинской дороги.</w:t>
      </w:r>
    </w:p>
    <w:p w14:paraId="2A344048" w14:textId="77777777" w:rsidR="00EE343A" w:rsidRPr="00070ADE" w:rsidRDefault="00EE34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Подтвердить к выполнению постановление ГОКО № 3-218с от 21 апреля года, разрешающее командиро</w:t>
      </w:r>
      <w:r w:rsidRPr="00070ADE">
        <w:rPr>
          <w:rFonts w:ascii="Times New Roman" w:hAnsi="Times New Roman"/>
          <w:color w:val="000000" w:themeColor="text1"/>
          <w:sz w:val="16"/>
          <w:szCs w:val="16"/>
        </w:rPr>
        <w:softHyphen/>
        <w:t>вать в США 10 человек специалистов Наркомстройматериалов СССР для приемки закупаемого оборудования и изучения производства бронестекла и 3 специалистов от Наркомхимпрома - для изучения производства бронестекла.</w:t>
      </w:r>
    </w:p>
    <w:p w14:paraId="3192C653" w14:textId="77777777" w:rsidR="00EE343A" w:rsidRPr="00070ADE" w:rsidRDefault="00EE343A" w:rsidP="00B56F90">
      <w:pPr>
        <w:tabs>
          <w:tab w:val="left" w:pos="82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Разрешить Наркомстройматериалов, впредь до окончания строительства газогенераторной станции на заводе № 233, расходовать ежемесячно по 600 тонн мазута для технологических нужд завода.</w:t>
      </w:r>
    </w:p>
    <w:p w14:paraId="66CF3285" w14:textId="77777777" w:rsidR="00EE343A" w:rsidRPr="00070ADE" w:rsidRDefault="00EE34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Главнефтеснабу при СНК СССР поставлять заводу № 233 в счет фондов Наркомстройматериалов СССР, указанное количество мазута, начиная с февраля 1944 года.</w:t>
      </w:r>
    </w:p>
    <w:p w14:paraId="35D20663" w14:textId="77777777" w:rsidR="00EE343A" w:rsidRPr="00070ADE" w:rsidRDefault="00EE343A" w:rsidP="00B56F90">
      <w:pPr>
        <w:tabs>
          <w:tab w:val="left" w:pos="83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Обязать Наркомстройматериалов СССР г т.Соснина довести в 1944 году добычу торфа на Мезинском торфопредприятии до 150 тыс.тонн, запретив использование его на другие нужды, кроме завода №</w:t>
      </w:r>
      <w:r w:rsidRPr="00070ADE">
        <w:rPr>
          <w:rStyle w:val="75pt0"/>
          <w:rFonts w:ascii="Times New Roman" w:hAnsi="Times New Roman" w:cs="Times New Roman"/>
          <w:color w:val="000000" w:themeColor="text1"/>
          <w:sz w:val="16"/>
          <w:szCs w:val="16"/>
        </w:rPr>
        <w:t xml:space="preserve"> 233</w:t>
      </w:r>
    </w:p>
    <w:p w14:paraId="554BD749" w14:textId="77777777" w:rsidR="00EE343A" w:rsidRPr="00070ADE" w:rsidRDefault="00EE343A" w:rsidP="00B56F90">
      <w:pPr>
        <w:tabs>
          <w:tab w:val="left" w:pos="82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В соответствии с постановлением ГОКО № 3218с от 21 апреля 1943 года обязать НКВД СССР т.Круглова к 15 февраля довести выход на работу заключенных в отдельном Лагерном пункте при заводе № 233 НКПСМ до 800 человек, за счет замены больных, находящихся в атом лаге ре.</w:t>
      </w:r>
    </w:p>
    <w:p w14:paraId="598EE4C2" w14:textId="77777777" w:rsidR="00EE343A" w:rsidRPr="00070ADE" w:rsidRDefault="00EE343A" w:rsidP="00B56F90">
      <w:pPr>
        <w:tabs>
          <w:tab w:val="left" w:pos="82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Разрешить Главвоенпромстрою при ОНК СССР организовать при УВСР № 14, занятом строительством завода №233 НКПСМ, отдел рабочего снабжения (ОРС),</w:t>
      </w:r>
    </w:p>
    <w:p w14:paraId="59EACD21" w14:textId="77777777" w:rsidR="00EE343A" w:rsidRPr="00070ADE" w:rsidRDefault="00EE34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Обязать Наркомторг - т.Любимова обеспечивать ОРС при УВСР № 14 Главвоенпромстроя всеми продуктами, в том числе крупяными изделиями, овощами и картофелем на весь контингент рабочих, ИТР и служащих, наравне с важнейши</w:t>
      </w:r>
      <w:r w:rsidRPr="00070ADE">
        <w:rPr>
          <w:rFonts w:ascii="Times New Roman" w:hAnsi="Times New Roman"/>
          <w:color w:val="000000" w:themeColor="text1"/>
          <w:sz w:val="16"/>
          <w:szCs w:val="16"/>
        </w:rPr>
        <w:softHyphen/>
        <w:t>ми стройками оборонной промышленности и черной металлур</w:t>
      </w:r>
      <w:r w:rsidRPr="00070ADE">
        <w:rPr>
          <w:rFonts w:ascii="Times New Roman" w:hAnsi="Times New Roman"/>
          <w:color w:val="000000" w:themeColor="text1"/>
          <w:sz w:val="16"/>
          <w:szCs w:val="16"/>
        </w:rPr>
        <w:softHyphen/>
        <w:t>гии.</w:t>
      </w:r>
    </w:p>
    <w:p w14:paraId="1FCC3EFC" w14:textId="77777777" w:rsidR="00EE343A" w:rsidRPr="00070ADE" w:rsidRDefault="00EE343A" w:rsidP="00B56F90">
      <w:pPr>
        <w:tabs>
          <w:tab w:val="left" w:pos="79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Обяэать НКПС - т.Кагановича:</w:t>
      </w:r>
    </w:p>
    <w:p w14:paraId="799914C6" w14:textId="77777777" w:rsidR="00EE343A" w:rsidRPr="00070ADE" w:rsidRDefault="00EE343A" w:rsidP="00B56F90">
      <w:pPr>
        <w:tabs>
          <w:tab w:val="left" w:pos="116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обеспечить первоочередное предоставление вагонов заводу № 233 НКПСМ СССР под перевозку материалов и обо</w:t>
      </w:r>
      <w:r w:rsidRPr="00070ADE">
        <w:rPr>
          <w:rFonts w:ascii="Times New Roman" w:hAnsi="Times New Roman"/>
          <w:color w:val="000000" w:themeColor="text1"/>
          <w:sz w:val="16"/>
          <w:szCs w:val="16"/>
        </w:rPr>
        <w:softHyphen/>
        <w:t>рудования для строительства завода;</w:t>
      </w:r>
    </w:p>
    <w:p w14:paraId="00BED7DC" w14:textId="77777777" w:rsidR="00EE343A" w:rsidRPr="00070ADE" w:rsidRDefault="00EE343A" w:rsidP="00B56F90">
      <w:pPr>
        <w:tabs>
          <w:tab w:val="left" w:pos="74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выделить в феврале-марте с.г. вагоны целевым наз</w:t>
      </w:r>
      <w:r w:rsidRPr="00070ADE">
        <w:rPr>
          <w:rFonts w:ascii="Times New Roman" w:hAnsi="Times New Roman"/>
          <w:color w:val="000000" w:themeColor="text1"/>
          <w:sz w:val="16"/>
          <w:szCs w:val="16"/>
        </w:rPr>
        <w:softHyphen/>
        <w:t>начением для перевозки комплектующего оборудования заво</w:t>
      </w:r>
      <w:r w:rsidRPr="00070ADE">
        <w:rPr>
          <w:rFonts w:ascii="Times New Roman" w:hAnsi="Times New Roman"/>
          <w:color w:val="000000" w:themeColor="text1"/>
          <w:sz w:val="16"/>
          <w:szCs w:val="16"/>
        </w:rPr>
        <w:softHyphen/>
        <w:t>ду № 233 НКПСМ СССР с других заводов Нзркомстройматери алов, в том числе: 5 вагонов с завода № 25 (ст.Ирбит, Свердловской дороги), 4 вагона с дублера завода № 233 (ст.Кунара, Свердловской дороги), 12 вагонов с Константиновского завода (ст.Константинова, Южно-Донецкой до</w:t>
      </w:r>
      <w:r w:rsidRPr="00070ADE">
        <w:rPr>
          <w:rFonts w:ascii="Times New Roman" w:hAnsi="Times New Roman"/>
          <w:color w:val="000000" w:themeColor="text1"/>
          <w:sz w:val="16"/>
          <w:szCs w:val="16"/>
        </w:rPr>
        <w:softHyphen/>
        <w:t>роги) и 15 вагонов для других заводов, по заявке Нарком- стройматериалов ;</w:t>
      </w:r>
    </w:p>
    <w:p w14:paraId="346BC400" w14:textId="77777777" w:rsidR="00EE343A" w:rsidRPr="00070ADE" w:rsidRDefault="00EE343A" w:rsidP="00B56F90">
      <w:pPr>
        <w:tabs>
          <w:tab w:val="left" w:pos="72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принимать от заводов № 148 и "К-4"Наркомхимпрома перевозку грузов багажом весом до 2-х тоны в.адреса за</w:t>
      </w:r>
      <w:r w:rsidRPr="00070ADE">
        <w:rPr>
          <w:rFonts w:ascii="Times New Roman" w:hAnsi="Times New Roman"/>
          <w:color w:val="000000" w:themeColor="text1"/>
          <w:sz w:val="16"/>
          <w:szCs w:val="16"/>
        </w:rPr>
        <w:softHyphen/>
        <w:t>водов № 233, 25 (дублер) и им"Горькогого" НКПСМ</w:t>
      </w:r>
    </w:p>
    <w:p w14:paraId="254B0CDE" w14:textId="77777777" w:rsidR="00EE343A" w:rsidRPr="00070ADE" w:rsidRDefault="00EE343A" w:rsidP="00B56F90">
      <w:pPr>
        <w:tabs>
          <w:tab w:val="left" w:pos="82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Обязать начальника инженерных войск Красной Ар</w:t>
      </w:r>
      <w:r w:rsidRPr="00070ADE">
        <w:rPr>
          <w:rFonts w:ascii="Times New Roman" w:hAnsi="Times New Roman"/>
          <w:color w:val="000000" w:themeColor="text1"/>
          <w:sz w:val="16"/>
          <w:szCs w:val="16"/>
        </w:rPr>
        <w:softHyphen/>
        <w:t>мии - т.Воробьева не позднее 10 марта с.г. освободить производственный корпус, бытовые и другие помещения за</w:t>
      </w:r>
      <w:r w:rsidRPr="00070ADE">
        <w:rPr>
          <w:rFonts w:ascii="Times New Roman" w:hAnsi="Times New Roman"/>
          <w:color w:val="000000" w:themeColor="text1"/>
          <w:sz w:val="16"/>
          <w:szCs w:val="16"/>
        </w:rPr>
        <w:softHyphen/>
        <w:t>вода № 233 НКПСМ СССР, временно занятые ремонтно-механическим заводом Управления оборонительных сооружений.</w:t>
      </w:r>
    </w:p>
    <w:p w14:paraId="4B396FF6" w14:textId="77777777" w:rsidR="00EE343A" w:rsidRPr="00070ADE" w:rsidRDefault="00EE34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19. Разрешить Главвоенпромстрою при СНК СССР соз</w:t>
      </w:r>
      <w:r w:rsidRPr="00070ADE">
        <w:rPr>
          <w:rFonts w:ascii="Times New Roman" w:hAnsi="Times New Roman"/>
          <w:color w:val="000000" w:themeColor="text1"/>
          <w:sz w:val="16"/>
          <w:szCs w:val="16"/>
        </w:rPr>
        <w:softHyphen/>
        <w:t>дать премиальный фонд в размене 2% от выполненных работ, для премирования рабочих, ИТР и служащих, отличившихся на строительстве завода № 233, с отнесением расходов на премирование за счет сметы производства.</w:t>
      </w:r>
    </w:p>
    <w:p w14:paraId="75890140" w14:textId="77777777" w:rsidR="00EE343A" w:rsidRPr="00070ADE" w:rsidRDefault="00EE34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Обязать Наркомминвооружения - т.Паршина:</w:t>
      </w:r>
    </w:p>
    <w:p w14:paraId="2401E458" w14:textId="77777777" w:rsidR="00EE343A" w:rsidRPr="00070ADE" w:rsidRDefault="00EE343A" w:rsidP="00B56F90">
      <w:pPr>
        <w:tabs>
          <w:tab w:val="left" w:pos="74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изготовить и поставить во П квартале с.г. заво</w:t>
      </w:r>
      <w:r w:rsidRPr="00070ADE">
        <w:rPr>
          <w:rFonts w:ascii="Times New Roman" w:hAnsi="Times New Roman"/>
          <w:color w:val="000000" w:themeColor="text1"/>
          <w:sz w:val="16"/>
          <w:szCs w:val="16"/>
        </w:rPr>
        <w:softHyphen/>
        <w:t>ду № 148 Наркомхимпрома по его чертежам - два реактора;</w:t>
      </w:r>
    </w:p>
    <w:p w14:paraId="77A1D39D" w14:textId="77777777" w:rsidR="00EE343A" w:rsidRPr="00070ADE" w:rsidRDefault="00EE343A" w:rsidP="00B56F90">
      <w:pPr>
        <w:tabs>
          <w:tab w:val="left" w:pos="73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поставить в первом квартале с.г. заводу "К-4" за счет фондов Наркомхимпрома один воздушный компрессор производительностью 120 кбм/час, один вакуум-насос, про</w:t>
      </w:r>
      <w:r w:rsidRPr="00070ADE">
        <w:rPr>
          <w:rFonts w:ascii="Times New Roman" w:hAnsi="Times New Roman"/>
          <w:color w:val="000000" w:themeColor="text1"/>
          <w:sz w:val="16"/>
          <w:szCs w:val="16"/>
        </w:rPr>
        <w:softHyphen/>
        <w:t xml:space="preserve">изводительностью </w:t>
      </w:r>
      <w:r w:rsidRPr="00070ADE">
        <w:rPr>
          <w:rStyle w:val="16"/>
          <w:rFonts w:ascii="Times New Roman" w:hAnsi="Times New Roman" w:cs="Times New Roman"/>
          <w:color w:val="000000" w:themeColor="text1"/>
          <w:spacing w:val="0"/>
          <w:u w:val="none"/>
        </w:rPr>
        <w:t>150 м</w:t>
      </w:r>
    </w:p>
    <w:p w14:paraId="16403176" w14:textId="77777777" w:rsidR="00EE343A" w:rsidRPr="00070ADE" w:rsidRDefault="00EE34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21. Обязать </w:t>
      </w:r>
      <w:r w:rsidRPr="00070ADE">
        <w:rPr>
          <w:rFonts w:ascii="Times New Roman" w:hAnsi="Times New Roman"/>
          <w:color w:val="000000" w:themeColor="text1"/>
          <w:sz w:val="16"/>
          <w:szCs w:val="16"/>
          <w:lang w:val="en-US"/>
        </w:rPr>
        <w:t>H</w:t>
      </w:r>
      <w:r w:rsidRPr="00070ADE">
        <w:rPr>
          <w:rFonts w:ascii="Times New Roman" w:hAnsi="Times New Roman"/>
          <w:color w:val="000000" w:themeColor="text1"/>
          <w:sz w:val="16"/>
          <w:szCs w:val="16"/>
        </w:rPr>
        <w:t>К</w:t>
      </w:r>
      <w:r w:rsidRPr="00070ADE">
        <w:rPr>
          <w:rFonts w:ascii="Times New Roman" w:hAnsi="Times New Roman"/>
          <w:color w:val="000000" w:themeColor="text1"/>
          <w:sz w:val="16"/>
          <w:szCs w:val="16"/>
          <w:lang w:val="en-US"/>
        </w:rPr>
        <w:t>O</w:t>
      </w:r>
      <w:r w:rsidRPr="00070ADE">
        <w:rPr>
          <w:rFonts w:ascii="Times New Roman" w:hAnsi="Times New Roman"/>
          <w:color w:val="000000" w:themeColor="text1"/>
          <w:sz w:val="16"/>
          <w:szCs w:val="16"/>
        </w:rPr>
        <w:t xml:space="preserve"> - т.Смородинова:</w:t>
      </w:r>
    </w:p>
    <w:p w14:paraId="37B6466C" w14:textId="77777777" w:rsidR="00EE343A" w:rsidRPr="00070ADE" w:rsidRDefault="00EE343A" w:rsidP="00B56F90">
      <w:pPr>
        <w:tabs>
          <w:tab w:val="left" w:pos="75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направить до 1 апреля с.г. на завод №</w:t>
      </w:r>
      <w:r w:rsidRPr="00070ADE">
        <w:rPr>
          <w:rStyle w:val="8pt-1pt"/>
          <w:rFonts w:ascii="Times New Roman" w:hAnsi="Times New Roman" w:cs="Times New Roman"/>
          <w:color w:val="000000" w:themeColor="text1"/>
          <w:spacing w:val="0"/>
        </w:rPr>
        <w:t xml:space="preserve"> 233</w:t>
      </w:r>
      <w:r w:rsidRPr="00070ADE">
        <w:rPr>
          <w:rFonts w:ascii="Times New Roman" w:hAnsi="Times New Roman"/>
          <w:color w:val="000000" w:themeColor="text1"/>
          <w:sz w:val="16"/>
          <w:szCs w:val="16"/>
        </w:rPr>
        <w:t xml:space="preserve"> Наркомстройматериалов 130 человек из числа военнообязанных, не годных к строевой службе, но годных к физическому труду;</w:t>
      </w:r>
    </w:p>
    <w:p w14:paraId="66B86CCE" w14:textId="77777777" w:rsidR="00EE343A" w:rsidRPr="00070ADE" w:rsidRDefault="00EE343A" w:rsidP="00B56F90">
      <w:pPr>
        <w:tabs>
          <w:tab w:val="left" w:pos="77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направить Главвоенпромстрою в течение первого по</w:t>
      </w:r>
      <w:r w:rsidRPr="00070ADE">
        <w:rPr>
          <w:rFonts w:ascii="Times New Roman" w:hAnsi="Times New Roman"/>
          <w:color w:val="000000" w:themeColor="text1"/>
          <w:sz w:val="16"/>
          <w:szCs w:val="16"/>
        </w:rPr>
        <w:softHyphen/>
        <w:t>лугодия 1944 года целевым назначением для строительства завода № 233 Наркомстройматериалов СССР 600 человек из числа военнообязанных, не годных к строевой службе, но годных к физическому труду, в том числе: в марте с.г. - 300 человек и в апреле-мае - 300 человек.</w:t>
      </w:r>
    </w:p>
    <w:p w14:paraId="4C33174B" w14:textId="77777777" w:rsidR="00EE343A" w:rsidRPr="00070ADE" w:rsidRDefault="00EE34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Запретить Главвоенпромстрою при СНК СССР использо</w:t>
      </w:r>
      <w:r w:rsidRPr="00070ADE">
        <w:rPr>
          <w:rFonts w:ascii="Times New Roman" w:hAnsi="Times New Roman"/>
          <w:color w:val="000000" w:themeColor="text1"/>
          <w:sz w:val="16"/>
          <w:szCs w:val="16"/>
        </w:rPr>
        <w:softHyphen/>
        <w:t>вать выделенных настоящим решением рабочих на каких бы то ни было других стройках.</w:t>
      </w:r>
    </w:p>
    <w:p w14:paraId="5F1166C5" w14:textId="77777777" w:rsidR="00EE343A" w:rsidRPr="00070ADE" w:rsidRDefault="00EE34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Обяэать Наркомередмаш - т.Акопова и директора завода имени Сталина т.Лихачева выделить з феврале с.г. заводу "К-4" Наркомхимпрома 2 автоашины ЗИС-5.</w:t>
      </w:r>
    </w:p>
    <w:p w14:paraId="39A07B31" w14:textId="77777777" w:rsidR="00EE343A" w:rsidRPr="00070ADE" w:rsidRDefault="00EE34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В целях экономии органического стекла и химика</w:t>
      </w:r>
      <w:r w:rsidRPr="00070ADE">
        <w:rPr>
          <w:rFonts w:ascii="Times New Roman" w:hAnsi="Times New Roman"/>
          <w:color w:val="000000" w:themeColor="text1"/>
          <w:sz w:val="16"/>
          <w:szCs w:val="16"/>
        </w:rPr>
        <w:softHyphen/>
        <w:t>тов, обязать Наркомхимпром - т.Первухина и Наркомстройма</w:t>
      </w:r>
      <w:r w:rsidRPr="00070ADE">
        <w:rPr>
          <w:rFonts w:ascii="Times New Roman" w:hAnsi="Times New Roman"/>
          <w:color w:val="000000" w:themeColor="text1"/>
          <w:sz w:val="16"/>
          <w:szCs w:val="16"/>
        </w:rPr>
        <w:softHyphen/>
        <w:t>териалов СССР - т.Соснина, совместно с Наркомавиапромом и ВВС КА в двухмесячный срок представить ГОКО предложения по производству авиационной брони для самолетов из сили</w:t>
      </w:r>
      <w:r w:rsidRPr="00070ADE">
        <w:rPr>
          <w:rFonts w:ascii="Times New Roman" w:hAnsi="Times New Roman"/>
          <w:color w:val="000000" w:themeColor="text1"/>
          <w:sz w:val="16"/>
          <w:szCs w:val="16"/>
        </w:rPr>
        <w:softHyphen/>
        <w:t>катного стекла без применения органической, подушки, по типу американского бронестекла.</w:t>
      </w:r>
    </w:p>
    <w:p w14:paraId="5CA2E8A8" w14:textId="77777777" w:rsidR="00EE343A" w:rsidRPr="00070ADE" w:rsidRDefault="00EE343A" w:rsidP="00B56F90">
      <w:pPr>
        <w:tabs>
          <w:tab w:val="left" w:pos="177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Обязать Московский обком ВКП(б) - т.Черноусова оказать необходимую помощь заводу № 233 Наркомстройматери</w:t>
      </w:r>
      <w:r w:rsidRPr="00070ADE">
        <w:rPr>
          <w:rFonts w:ascii="Times New Roman" w:hAnsi="Times New Roman"/>
          <w:color w:val="000000" w:themeColor="text1"/>
          <w:sz w:val="16"/>
          <w:szCs w:val="16"/>
        </w:rPr>
        <w:softHyphen/>
        <w:t>алов СССР в окончании строительства первоочередных об"ектов,установленных настоящим постановлением (19439).</w:t>
      </w:r>
    </w:p>
    <w:p w14:paraId="70C45769" w14:textId="77777777" w:rsidR="00526822" w:rsidRPr="00070ADE" w:rsidRDefault="00526822" w:rsidP="00B56F90">
      <w:pPr>
        <w:autoSpaceDE w:val="0"/>
        <w:autoSpaceDN w:val="0"/>
        <w:adjustRightInd w:val="0"/>
        <w:spacing w:after="0" w:line="240" w:lineRule="auto"/>
        <w:jc w:val="both"/>
        <w:rPr>
          <w:rFonts w:ascii="Times New Roman" w:hAnsi="Times New Roman"/>
          <w:color w:val="000000" w:themeColor="text1"/>
          <w:sz w:val="16"/>
          <w:szCs w:val="16"/>
        </w:rPr>
      </w:pPr>
    </w:p>
    <w:p w14:paraId="375A43F1" w14:textId="77777777" w:rsidR="00282955" w:rsidRPr="00070ADE" w:rsidRDefault="0028295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февраля 1944 г. вышло постановление ГОКО, обязыва</w:t>
      </w:r>
      <w:r w:rsidRPr="00070ADE">
        <w:rPr>
          <w:rFonts w:ascii="Times New Roman" w:hAnsi="Times New Roman"/>
          <w:color w:val="000000" w:themeColor="text1"/>
          <w:sz w:val="16"/>
          <w:szCs w:val="16"/>
        </w:rPr>
        <w:softHyphen/>
        <w:t>ющее наркома химической промышленности Первухина и наркома промышленности стро</w:t>
      </w:r>
      <w:r w:rsidRPr="00070ADE">
        <w:rPr>
          <w:rFonts w:ascii="Times New Roman" w:hAnsi="Times New Roman"/>
          <w:color w:val="000000" w:themeColor="text1"/>
          <w:sz w:val="16"/>
          <w:szCs w:val="16"/>
        </w:rPr>
        <w:softHyphen/>
        <w:t>ительных материалов Соснина в трехмесяч</w:t>
      </w:r>
      <w:r w:rsidRPr="00070ADE">
        <w:rPr>
          <w:rFonts w:ascii="Times New Roman" w:hAnsi="Times New Roman"/>
          <w:color w:val="000000" w:themeColor="text1"/>
          <w:sz w:val="16"/>
          <w:szCs w:val="16"/>
        </w:rPr>
        <w:softHyphen/>
        <w:t>ный срок обеспечить соответствие серийной прозрачной брони для боевых самолетов ВВС КА техническим условиям ВВС на 1944 г. (17481).</w:t>
      </w:r>
    </w:p>
    <w:p w14:paraId="1CED4480" w14:textId="77777777" w:rsidR="00282955" w:rsidRPr="00070ADE" w:rsidRDefault="00282955" w:rsidP="00B56F90">
      <w:pPr>
        <w:spacing w:after="0" w:line="240" w:lineRule="auto"/>
        <w:jc w:val="both"/>
        <w:rPr>
          <w:rFonts w:ascii="Times New Roman" w:hAnsi="Times New Roman"/>
          <w:color w:val="000000" w:themeColor="text1"/>
          <w:sz w:val="16"/>
          <w:szCs w:val="16"/>
        </w:rPr>
      </w:pPr>
    </w:p>
    <w:p w14:paraId="5569B51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35453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BF4062" w14:textId="7060F9B6" w:rsidR="003D5939" w:rsidRPr="00C94B78" w:rsidRDefault="003D593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xml:space="preserve">К 12 февраля 1944 года </w:t>
      </w:r>
      <w:r>
        <w:rPr>
          <w:rFonts w:ascii="Times New Roman" w:hAnsi="Times New Roman"/>
          <w:color w:val="0070C0"/>
          <w:sz w:val="16"/>
          <w:szCs w:val="16"/>
        </w:rPr>
        <w:t>и</w:t>
      </w:r>
      <w:r w:rsidRPr="00C94B78">
        <w:rPr>
          <w:rFonts w:ascii="Times New Roman" w:hAnsi="Times New Roman"/>
          <w:color w:val="0070C0"/>
          <w:sz w:val="16"/>
          <w:szCs w:val="16"/>
        </w:rPr>
        <w:t>значально предполагалось, что будет готово 2 опытных образца СУ-100, один с орудием Д-10с, второй с С-34. Но в виду сложностей, вызванных конструкцией орудия ЦАКБ, поначалу изготовили только одну САУ - с Д-10с (24928).</w:t>
      </w:r>
    </w:p>
    <w:p w14:paraId="6315C52B" w14:textId="77777777" w:rsidR="003D5939" w:rsidRPr="00C94B78" w:rsidRDefault="003D5939" w:rsidP="00B56F90">
      <w:pPr>
        <w:spacing w:after="0" w:line="240" w:lineRule="auto"/>
        <w:jc w:val="both"/>
        <w:rPr>
          <w:rFonts w:ascii="Times New Roman" w:hAnsi="Times New Roman"/>
          <w:color w:val="0070C0"/>
          <w:sz w:val="16"/>
          <w:szCs w:val="16"/>
        </w:rPr>
      </w:pPr>
    </w:p>
    <w:p w14:paraId="652088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февраля 1944 вышло Постановление ГКО № 5163 О мероприятиях по обеспечению выполнения программы подрядных работ Главвоенпромстроя при Совнаркоме СССР в I квартале 1944 года. РГАНИР, Фонд ГКО, д. 208, лл. 93-103,104-109 (11012).</w:t>
      </w:r>
    </w:p>
    <w:p w14:paraId="2C2C7DA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1DC77E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февраля 1944 вышло Постановление ГКО № 5164 О строительстве суперфосфатного цеха на Алавердском сернокислотном заводе. РГАНИР, Фонд ГКО, д. 208, лл. 110-113,114-118 (11012).</w:t>
      </w:r>
    </w:p>
    <w:p w14:paraId="41F1DBA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6834D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февраля 1944 вышло Постановление ГКО № 5165 О Кироваканском химическом заводе Наркомхимпрома. РГАНИР, Фонд ГКО, д. 208, лл. 119-121 (11012).</w:t>
      </w:r>
    </w:p>
    <w:p w14:paraId="264AF40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47F8CD4"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C4A58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41CFD0"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12 февраля</w:t>
      </w:r>
      <w:r w:rsidRPr="00070ADE">
        <w:rPr>
          <w:rFonts w:ascii="Times New Roman" w:hAnsi="Times New Roman"/>
          <w:color w:val="000000" w:themeColor="text1"/>
          <w:sz w:val="16"/>
          <w:szCs w:val="16"/>
        </w:rPr>
        <w:t xml:space="preserve"> 1944 году оперативная сводка Совинформбюро:</w:t>
      </w:r>
    </w:p>
    <w:p w14:paraId="06CE515B"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12 февраля на Лужском направлении наши войска, сломив сопротивление противника, овладели районным центром Ленинградской областии железнодорожным узлом Батецкая, а также с боями заняли более 40 других населённых пунктов и среди них Островенка, Ситенка, Толкова, Шалово, Турово, Жеребут, Выбор, Велеши, Глухово, Столбец, Черновицы. Наши войска полностью очистили от противника железную дорогу Ленинград-Батецкая-Новгород и вплотную подошли к городу Луга, где завязали бои на окраинах города.</w:t>
      </w:r>
    </w:p>
    <w:p w14:paraId="3413CE06"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Звенигородка и Шпола наши войска продолжали вести бои по уничтожению окружённой группировки противника и овладели населёнными пунктами Пешки, Голяки, Мельники, Нетеребка, Набутов, Деренковец, Карашин. Одновременно северо-западнее Звенигородка наши войска отбивали атаки крупных сил танков и пехоты противника, стремившихся пробиться на помощь к окруженной группировке, и нанесли ему большие потери в живой силе и технике.</w:t>
      </w:r>
    </w:p>
    <w:p w14:paraId="76D39E55"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2F6E2122"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11 февраля наши войска на всех фронтах подбили и уничтожили 81 немецкий танк. В воздушных боях и огнём зенитной артиллерии уничтожено 58 самолётов противника, из них 33 трехмоторный транспортных самолета «Ю-52».</w:t>
      </w:r>
    </w:p>
    <w:p w14:paraId="2EF9F1BD"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Лужском направлении наши войска продолжали наступление. Части Н-ского соединения, сломив сопротивление противника, овладели районным центром Ленинградской области и железнодорожным узлом Батецкая и заняли более 40 других населённых пунктов. Противник понёс большие потери в людях и технике. Части другого нашего соединения, с боями продвигаясь вперёд, вышли на подступы кгороду Луга и завязали бои на окраинах этого города. В одном районе наши бойцы внезапным ударом разгромили немецкий гарнизон опорного пункта. Уничтожены три роты гитлеровцев. Захвачены у противника 5 дальнобойных орудий калибра 210 и 305 мм, 5 зенитных орудии, 3 радиостанции, 16 автомашин, крупный склад с продовольствием и другие трофеи. Советские бойцы и командиры героически борются против немецко-фашистских захватчиков. Лейтенант Дмитриев в одном бою огнём из противотанкового орудия подбил 3 немецких танка. Пять разведчиков во главе состаршим сержантом Клименко скрытно проникли в тыл противника. Разведчики истребили 40 гитлеровцев и, захватив 6 крупнокалиберных пулемётов и 30 автоматов, вернулись в свою часть.</w:t>
      </w:r>
    </w:p>
    <w:p w14:paraId="45BBB813"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боях за город Шепетовка войска 1-го Украинского фронта разгромили крупные силы противника. Только на улицах города подсчитано 3.200 вражеских трупов, 47 сгоревших танков и 12 самоходных орудий. Наши войска захватили у немцев 67 орудий, 83 миномёта, 140 пулемётов, крупные склады с военным имуществом и другие трофеи.</w:t>
      </w:r>
    </w:p>
    <w:p w14:paraId="4D9197A1"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городов Звенигородка и Шпола наши войска продолжали вести бои по уничтожению окружённой группировки противника. Советские части вклиниваются между опорными пунктами противника и отвоёвывают у немцев одну позицию за другой. Части Н-ского соединения, с боями продвигаясь вперёд, уничтожили два батальона пехоты противника, 7 танков и 12 полевых орудий. Захвачено 15 орудий, 45 пулемётов, 55 автомашин и другие трофеи. Взято значительное число пленных. На другом участке наши бойцы решительной атакой выбили немцев из населённых пунктов Набутов и Деренковец. В окопах и траншеях осталось до 600 вражеских трупов и много оружия, брошенного гитлеровцами при отступлении. Северо-западнее Звенигородки противник бросил в бой крупные силы танков и пехоты, пытаясь прорваться на помощь своей окружённой группировке. Сражение носило крайне ожесточённый характер. Наши части мощным артиллерийским огнём и контратаками отбили атаки противника и нанесли ему большие потери. Сожжено и подбито не менее 70 немецких танков и самоходных орудий, 11 бронемашин и 18 бронетранспортёров. В ходе боя уничтожено свыше 2.000 немецких солдат и офицеров.</w:t>
      </w:r>
    </w:p>
    <w:p w14:paraId="6572D673"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Чёрном море потоплены быстроходная десантная баржа и сухогрузная баржа противника водоизмещением в 800 тонн. Транспорту противника водоизмещением в 3 тысячи тонн нанесены серьёзные повреждения.</w:t>
      </w:r>
    </w:p>
    <w:p w14:paraId="0199E740"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Винницкой области, в конце января разгромил немецкий гарнизон на железнодорожной станции. Советские патриоты разрушили станционные сооружения и взорвали стрелки.</w:t>
      </w:r>
    </w:p>
    <w:p w14:paraId="08494431"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Отряд имени Котовского, действующий в Ровенской области, вступил в бой с батальоном гитлеровцев. Не выдержав натиска партизан, немцы бежали, потеряв убитыми до 100 солдат и офицеров. Партизаны отряда имени Кирова подорвали немецкий воинский эшелон, следовавший к линии фронта. В результате крушения разбиты паровоз и 11 вагонов с военными грузами.</w:t>
      </w:r>
    </w:p>
    <w:p w14:paraId="7DC9B948"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районе города Звенигородка наши зенитчики сбили венгерский самолёт-истребитель. Лётчик лейтенант 2 венгерского истребительного отряда Миклош Кеньереш взят в плен. Пленный сообщил: «2 отряд входит в состав 102 венгерской авиационной бригады, сформированной в прошлом году. С тех пор мы непрерывно находимся на Восточном фронте и выполняем задания немецкого командования. 1 разведывательный отряд и 2 истребительный отряд приданы 4 группе 51 немецкой истребительной эскадры Мельдерс».</w:t>
      </w:r>
    </w:p>
    <w:p w14:paraId="3ED5EE50"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Правящая клика Венгрии опять оскандалилась. Пленение венгерского лётчика свидетельствует о том, что на советско-германском фронте на стороне немцев сражаются не только венгерские наземные войска, но и венгерские воздушные силы. Венгерский лётчик Миклош Кеньереш взят в плен как раз в такое время, когда венгерские гитлеровцы стряпают одно за другим неуклюжие и лживые опровержения.Они из кожи лезут вон, стараясь скрыть участие венгерских войск в боях на советско-германском фронте на стороне немцев. Показания только что взятого вплен венгерского лётчика вновь разоблачают перед всем миром жульническую игру будапештских лакеев Гитлера. Эти показания бьют их не в бровь, а прямо в глаз.» (15038).</w:t>
      </w:r>
    </w:p>
    <w:p w14:paraId="30244B8E" w14:textId="77777777" w:rsidR="00355805" w:rsidRPr="00070ADE" w:rsidRDefault="00355805" w:rsidP="00B56F90">
      <w:pPr>
        <w:spacing w:after="0" w:line="240" w:lineRule="auto"/>
        <w:jc w:val="both"/>
        <w:rPr>
          <w:rFonts w:ascii="Times New Roman" w:hAnsi="Times New Roman"/>
          <w:color w:val="000000" w:themeColor="text1"/>
          <w:sz w:val="16"/>
          <w:szCs w:val="16"/>
        </w:rPr>
      </w:pPr>
    </w:p>
    <w:p w14:paraId="7B734DEA"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lastRenderedPageBreak/>
        <w:t>12 февраля</w:t>
      </w:r>
      <w:r w:rsidRPr="00070ADE">
        <w:rPr>
          <w:rFonts w:ascii="Times New Roman" w:hAnsi="Times New Roman"/>
          <w:color w:val="000000" w:themeColor="text1"/>
          <w:sz w:val="16"/>
          <w:szCs w:val="16"/>
        </w:rPr>
        <w:t xml:space="preserve"> в 1944 году Совнарком Украины призывает бандеровцев прекратить войну против собственного народа (15038).</w:t>
      </w:r>
    </w:p>
    <w:p w14:paraId="11810737" w14:textId="77777777" w:rsidR="00355805" w:rsidRPr="00070ADE" w:rsidRDefault="00355805" w:rsidP="00B56F90">
      <w:pPr>
        <w:spacing w:after="0" w:line="240" w:lineRule="auto"/>
        <w:jc w:val="both"/>
        <w:rPr>
          <w:rFonts w:ascii="Times New Roman" w:hAnsi="Times New Roman"/>
          <w:color w:val="000000" w:themeColor="text1"/>
          <w:sz w:val="16"/>
          <w:szCs w:val="16"/>
        </w:rPr>
      </w:pPr>
    </w:p>
    <w:p w14:paraId="1DFE908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February 12, 1944: The Red Army recaptures Luga (3819).</w:t>
      </w:r>
    </w:p>
    <w:p w14:paraId="49FBC38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A8880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февраля 1944 КА освободила Лугу (3819).</w:t>
      </w:r>
    </w:p>
    <w:p w14:paraId="41B408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AC741C" w14:textId="77777777" w:rsidR="00355805"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1CEF2440" w14:textId="77777777" w:rsidR="00355805" w:rsidRPr="00070ADE" w:rsidRDefault="00355805"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4E6911"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12 февраля</w:t>
      </w:r>
      <w:r w:rsidRPr="00070ADE">
        <w:rPr>
          <w:rFonts w:ascii="Times New Roman" w:hAnsi="Times New Roman"/>
          <w:color w:val="000000" w:themeColor="text1"/>
          <w:sz w:val="16"/>
          <w:szCs w:val="16"/>
        </w:rPr>
        <w:t xml:space="preserve"> в 1944 году взлетел первый серийный </w:t>
      </w:r>
      <w:hyperlink r:id="rId44" w:tgtFrame="_blank" w:history="1">
        <w:r w:rsidRPr="00070ADE">
          <w:rPr>
            <w:rFonts w:ascii="Times New Roman" w:hAnsi="Times New Roman"/>
            <w:color w:val="000000" w:themeColor="text1"/>
            <w:sz w:val="16"/>
            <w:szCs w:val="16"/>
          </w:rPr>
          <w:t xml:space="preserve">"Бакингэм" </w:t>
        </w:r>
      </w:hyperlink>
      <w:r w:rsidRPr="00070ADE">
        <w:rPr>
          <w:rFonts w:ascii="Times New Roman" w:hAnsi="Times New Roman"/>
          <w:color w:val="000000" w:themeColor="text1"/>
          <w:sz w:val="16"/>
          <w:szCs w:val="16"/>
        </w:rPr>
        <w:t>с двигателями "Центаурус" VII и XI мощностью 2400 л.с, но со значительно сниженной высотностью по сравнению с опытными прототипами (15038).</w:t>
      </w:r>
    </w:p>
    <w:p w14:paraId="64218565" w14:textId="77777777" w:rsidR="00355805" w:rsidRPr="00070ADE" w:rsidRDefault="00355805" w:rsidP="00B56F90">
      <w:pPr>
        <w:spacing w:after="0" w:line="240" w:lineRule="auto"/>
        <w:jc w:val="both"/>
        <w:rPr>
          <w:rFonts w:ascii="Times New Roman" w:hAnsi="Times New Roman"/>
          <w:color w:val="000000" w:themeColor="text1"/>
          <w:sz w:val="16"/>
          <w:szCs w:val="16"/>
        </w:rPr>
      </w:pPr>
    </w:p>
    <w:p w14:paraId="7E80F128" w14:textId="0453E994" w:rsidR="003A1B4B" w:rsidRPr="00070ADE" w:rsidRDefault="003A1B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февраля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Взлетел первый серийный Bristol Type 163 Buckingham с двигателями "Центаурус" VII и XI мощностью 2400 л.с, но со значительно сниженной высотностью по сравнению с опытными прототипами (22600).</w:t>
      </w:r>
    </w:p>
    <w:p w14:paraId="33B096F9" w14:textId="77777777" w:rsidR="003A1B4B" w:rsidRPr="00070ADE" w:rsidRDefault="003A1B4B" w:rsidP="00B56F90">
      <w:pPr>
        <w:spacing w:after="0" w:line="240" w:lineRule="auto"/>
        <w:jc w:val="both"/>
        <w:rPr>
          <w:rFonts w:ascii="Times New Roman" w:hAnsi="Times New Roman"/>
          <w:color w:val="000000" w:themeColor="text1"/>
          <w:sz w:val="16"/>
          <w:szCs w:val="16"/>
        </w:rPr>
      </w:pPr>
    </w:p>
    <w:p w14:paraId="750753D2"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12 февраля</w:t>
      </w:r>
      <w:r w:rsidRPr="00070ADE">
        <w:rPr>
          <w:rFonts w:ascii="Times New Roman" w:hAnsi="Times New Roman"/>
          <w:color w:val="000000" w:themeColor="text1"/>
          <w:sz w:val="16"/>
          <w:szCs w:val="16"/>
        </w:rPr>
        <w:t xml:space="preserve"> в 1944 году директива Объединенного командования начальников штабов США и Великобритании о вторжении во Францию. В ней говорилось: «Независимо от установленной даты вторжения вам надлежит быть готовым в любое время использовать такие благоприятные условия как отход противника перед вашим фронтом для того, чтобы вторгнуться на континент с теми силами, которые к тому времени будут в вашем распоряжении». В случае неожиданного краха правящего режима Германии намечалось занять территории Западной Европы ранее прихода Советской Армии или установления над ними контроля национальными силами сопротивления (15038).</w:t>
      </w:r>
    </w:p>
    <w:p w14:paraId="3527A137" w14:textId="77777777" w:rsidR="00355805" w:rsidRPr="00070ADE" w:rsidRDefault="00355805" w:rsidP="00B56F90">
      <w:pPr>
        <w:spacing w:after="0" w:line="240" w:lineRule="auto"/>
        <w:jc w:val="both"/>
        <w:rPr>
          <w:rFonts w:ascii="Times New Roman" w:hAnsi="Times New Roman"/>
          <w:color w:val="000000" w:themeColor="text1"/>
          <w:sz w:val="16"/>
          <w:szCs w:val="16"/>
        </w:rPr>
      </w:pPr>
    </w:p>
    <w:p w14:paraId="62D25C06" w14:textId="77777777" w:rsidR="00D5636F" w:rsidRPr="00070ADE" w:rsidRDefault="00D5636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февраля 1944 99 B-24 в сопровождении 84 истребителей P-47 и 41 истребителя P-51 без потерь атакуют место расположения ФАУ-1 в Сен-Поль-сюр-Тернуаз / Сиракур, Франция (20373).</w:t>
      </w:r>
    </w:p>
    <w:p w14:paraId="3B214220" w14:textId="77777777" w:rsidR="00D5636F" w:rsidRPr="00070ADE" w:rsidRDefault="00D5636F" w:rsidP="00B56F90">
      <w:pPr>
        <w:spacing w:after="0" w:line="240" w:lineRule="auto"/>
        <w:jc w:val="both"/>
        <w:rPr>
          <w:rFonts w:ascii="Times New Roman" w:hAnsi="Times New Roman"/>
          <w:color w:val="000000" w:themeColor="text1"/>
          <w:sz w:val="16"/>
          <w:szCs w:val="16"/>
        </w:rPr>
      </w:pPr>
    </w:p>
    <w:p w14:paraId="4C60939F"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00C10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CFD1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февраля 1944 при контрольном испытании Ил-2 завода 18 N 1878790 были достигнуты скорости 398 км/час у земли и 415 к/час на границе высотности (1823,28).</w:t>
      </w:r>
    </w:p>
    <w:p w14:paraId="14A530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40D63E"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267C4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FA2E49" w14:textId="77777777" w:rsidR="0035263A" w:rsidRPr="00070ADE" w:rsidRDefault="0035263A" w:rsidP="00B56F90">
      <w:pPr>
        <w:pStyle w:val="a3"/>
        <w:rPr>
          <w:color w:val="000000" w:themeColor="text1"/>
          <w:lang w:val="ru-RU"/>
        </w:rPr>
      </w:pPr>
      <w:r w:rsidRPr="00070ADE">
        <w:rPr>
          <w:color w:val="000000" w:themeColor="text1"/>
          <w:lang w:val="ru-RU"/>
        </w:rPr>
        <w:t>13 февраля 1944 Сталин от просьб перешёл к обвинениям: «тов. Сталин сказал, что мы затягиваем дело с этим танком, и предложил ускорить испытания и начать производство танков Т-44. Исключительно тяжелые задачи. Не знаю даже, как их можно выполнить. Сейчас буду советоваться с директорами заводов» («Пройдёт десяток лет, и этих встреч не восстановишь уже в памяти»//Источник. №5. 1997. С. 125).</w:t>
      </w:r>
    </w:p>
    <w:p w14:paraId="45CE61F0" w14:textId="77777777" w:rsidR="0035263A" w:rsidRPr="00070ADE" w:rsidRDefault="0035263A" w:rsidP="00B56F90">
      <w:pPr>
        <w:pStyle w:val="a3"/>
        <w:rPr>
          <w:color w:val="000000" w:themeColor="text1"/>
          <w:lang w:val="ru-RU"/>
        </w:rPr>
      </w:pPr>
      <w:r w:rsidRPr="00070ADE">
        <w:rPr>
          <w:color w:val="000000" w:themeColor="text1"/>
          <w:lang w:val="ru-RU"/>
        </w:rPr>
        <w:t>Но, когда танк был готов, Сталин и Малышев, видимо, так и не решились перестраивать для его производства основные танкостроительные предприятия (12290).</w:t>
      </w:r>
    </w:p>
    <w:p w14:paraId="19900F9A" w14:textId="77777777" w:rsidR="0035263A" w:rsidRPr="00070ADE" w:rsidRDefault="0035263A" w:rsidP="00B56F90">
      <w:pPr>
        <w:pStyle w:val="a3"/>
        <w:rPr>
          <w:color w:val="000000" w:themeColor="text1"/>
          <w:lang w:val="ru-RU"/>
        </w:rPr>
      </w:pPr>
    </w:p>
    <w:p w14:paraId="46B35180" w14:textId="77777777" w:rsidR="009D1B58" w:rsidRPr="00070ADE" w:rsidRDefault="009D1B58" w:rsidP="00B56F90">
      <w:pPr>
        <w:pStyle w:val="ae"/>
        <w:spacing w:before="0" w:after="0"/>
        <w:jc w:val="both"/>
        <w:textAlignment w:val="baseline"/>
        <w:rPr>
          <w:color w:val="000000" w:themeColor="text1"/>
          <w:sz w:val="16"/>
          <w:szCs w:val="16"/>
        </w:rPr>
      </w:pPr>
      <w:r w:rsidRPr="00070ADE">
        <w:rPr>
          <w:color w:val="000000" w:themeColor="text1"/>
          <w:sz w:val="16"/>
          <w:szCs w:val="16"/>
        </w:rPr>
        <w:t>13 февраля 1944 на совещании Сталин поднял тему серийного производства Т-44, предложив ускорить испытания (18950).</w:t>
      </w:r>
    </w:p>
    <w:p w14:paraId="684A6B12" w14:textId="77777777" w:rsidR="009D1B58" w:rsidRPr="00070ADE" w:rsidRDefault="009D1B58" w:rsidP="00B56F90">
      <w:pPr>
        <w:spacing w:after="0" w:line="240" w:lineRule="auto"/>
        <w:jc w:val="both"/>
        <w:textAlignment w:val="baseline"/>
        <w:rPr>
          <w:rFonts w:ascii="Times New Roman" w:hAnsi="Times New Roman"/>
          <w:color w:val="000000" w:themeColor="text1"/>
          <w:sz w:val="16"/>
          <w:szCs w:val="16"/>
        </w:rPr>
      </w:pPr>
    </w:p>
    <w:p w14:paraId="09FA8E0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февраля 1944 вышло Постановление ГКО № 5167 О проектировании и изготовлении в НИИ-10 Наркомсудпрома опытных образцов радиолокационных станций и приборов точной наводки артиллерии для кораблей Военно-Морского Флота. РГАНИР, Фонд ГКО, д. 208, лл. 134-143,144-148 (11012).</w:t>
      </w:r>
    </w:p>
    <w:p w14:paraId="6C263E2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22B928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февраля 1944 г. вышло постановление ГКО № 5167 о проектировании и изготовлении в институте (ГС НИИ-10 НКОП, НКСП, МСП, ГКРЭ, МРП, п/я 2435, Всесоюзный государственный институт телемеханики и связи (ВГИТиС) НКТП, Всесоюзный НИИ радиоэлектронники (ВНИИРЭ) МСП, ВНИИ, НПО «Альтаир», А-1586, ГосНПО «Альтаир», ФГУП «НТК «Альтаир», ОАО «Морской НИИ радиоэлектроники (МНИИРЭ) «Альтаир» ФАП /111024 г. Москва ул. Авиамоторная, 57 тел. 673-14-32/) опытных РЛС и приборов точной наводки артиллерии для кораблей ВМФ. 8.05.1945 г. вышло постановление ГКО № 8454 о проектировании и изготовлении опытных образцов радиолокатора «Юпитер-Ill» и электрического ПУАЗО (11982).</w:t>
      </w:r>
    </w:p>
    <w:p w14:paraId="2CA0DA4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1E18C3D" w14:textId="7607F01E"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февраля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вышло Постановление ГКО за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5167 «О проектировании и изготовлении в НИИ-10 Наркомсудпрома опытных образцов радиолокационных станций и приборов точной наводки артиллерии для кораблей Военно-Морского Флота» (15736).</w:t>
      </w:r>
    </w:p>
    <w:p w14:paraId="34CDC279" w14:textId="77777777" w:rsidR="00355805" w:rsidRPr="00070ADE" w:rsidRDefault="00355805" w:rsidP="00B56F90">
      <w:pPr>
        <w:spacing w:after="0" w:line="240" w:lineRule="auto"/>
        <w:jc w:val="both"/>
        <w:rPr>
          <w:rFonts w:ascii="Times New Roman" w:hAnsi="Times New Roman"/>
          <w:color w:val="000000" w:themeColor="text1"/>
          <w:sz w:val="16"/>
          <w:szCs w:val="16"/>
        </w:rPr>
      </w:pPr>
    </w:p>
    <w:p w14:paraId="54AA6C4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февраля 1944 вышло Постановление ГКО № 5168 Об организации специализированных ремесленных училищ авиационной промышленности в г.г. Москве и Куйбышеве. (7187, 149-152,153-154).</w:t>
      </w:r>
    </w:p>
    <w:p w14:paraId="2908D53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E81D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февраля 1944 вышло Распоряжение ГКО № 5169. Об обеспечении водородом аэростатных частей КА. РГАНИР, Фонд ГКО, д. 208, лл. 155-157 (11012).</w:t>
      </w:r>
    </w:p>
    <w:p w14:paraId="2DD11E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A98B6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февраля 1944 вышло Распоряжение ГКО № 5170. О мерах по бесперебойному снабжению паром Уральского алюминиевого завода НКЦМ. РГАНИР, Фонд ГКО, д. 208, лл. 158 (11012).</w:t>
      </w:r>
    </w:p>
    <w:p w14:paraId="5F99A1B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3DEF58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февраля 1944 г. вышло Распоряжение ГКО № 5171 «Об изменениях в плане производства и поставок средств химвооружения на I кв. 1944 г.» (Д. 284. Л. 176).</w:t>
      </w:r>
    </w:p>
    <w:p w14:paraId="3B7F01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278F96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февраля 1944 вышло Распоряжение ГКО № 5172 [О мобилизации на лесозаготовительные работы пеших рабочих и возчиков с лошадьми по Красноярскому краю.] (7187, 160-161).</w:t>
      </w:r>
    </w:p>
    <w:p w14:paraId="460488E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0517B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февраля 1944 вышло Распоряжение ГКО № 5173 [Об оставлении совхоза им. Ворошилова в ведении треста пригородных совхозов Сталинского облисполкома.] (7187, 162).</w:t>
      </w:r>
    </w:p>
    <w:p w14:paraId="596C268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0F728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февраля 1944 вышло Распоряжение ГКО № 5174. Телеграмма ГКО секретарям обкомов, крайкомов, ЦК КП(б) союзных республик и председателям совнаркомов союзных и автономных республик, обл (край)исполкомов о выполнении плана лесозаготовок. РГАНИР, Фонд ГКО, д. 208, лл. 163-164 (11012).</w:t>
      </w:r>
    </w:p>
    <w:p w14:paraId="5CA931D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1EA7AB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февраля 1944 вышло Постановление ГКО № 5175 О сформировании шести строительных железнодорожных батальонов. (7187, 165).</w:t>
      </w:r>
    </w:p>
    <w:p w14:paraId="7B72CEB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71359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февраля 1944 вышло Постановление ГКО № 5176 Об оказании срочной помощи угольным комбинатом Кузнецкого бассейна по отгрузке крепежного леса в феврале и марте 1944 года. РГАНИР, Фонд ГКО, д. 208, лл. 166-171 (11012).</w:t>
      </w:r>
    </w:p>
    <w:p w14:paraId="5820FB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46BB87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февраля 1944 вышло Постановление ГКО № 5177 О выработке конструкций и изготовлении опытных образцов новых пехотных противотанковых средств. РГАНИР, Фонд ГКО, д. 208, лл. 172-174,175 (11012).</w:t>
      </w:r>
    </w:p>
    <w:p w14:paraId="33914D6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85358E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февраля 1944 вышло Постановление ГКО № 5178 О мерах по обеспечению дальнейшего роста добычи нефти на промыслах Куйбышевнефтекомбината. (7187, 176-181,182-184).</w:t>
      </w:r>
    </w:p>
    <w:p w14:paraId="6085C89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6D37AE" w14:textId="77777777" w:rsidR="00355805"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3FDB421" w14:textId="77777777" w:rsidR="00355805" w:rsidRPr="00070ADE" w:rsidRDefault="00355805"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F40605"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13 ФЕВРАЛЯ 1944 СООБЩЕНИЕ Совинформбюро:</w:t>
      </w:r>
    </w:p>
    <w:p w14:paraId="4A97B1DA"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Войска ЛЕНИНГРАДСКОГО фронта, развивая наступление, врезультате умелого обходного манёвра и последующего затем штурма вчера, 12февраля, овладели городом и железнодорожным узлом ЛУГА. Войска этого же фронта,наступающие вдоль побережья ЧУДСКОГО ОЗЕРА и к востоку от него, за пять днейнаступательных боёв овладели районными центрами Ленинградской области городомГДОВ, ПОЛНА, ЛЯДЫ, а также заняли более 800 других населённых пунктов, в томчисле крупные населённые пункты МЕЛГОВЩИНА, БОГДАНОВЩИНА, ЛАПТОВИЦЫ, ВЕТВЕННИК,БРАТУХНОВО, ОСТРОВЦЫ, ЧЕРНЕВО, </w:t>
      </w:r>
      <w:r w:rsidRPr="00070ADE">
        <w:rPr>
          <w:rFonts w:ascii="Times New Roman" w:hAnsi="Times New Roman"/>
          <w:color w:val="000000" w:themeColor="text1"/>
          <w:sz w:val="16"/>
          <w:szCs w:val="16"/>
        </w:rPr>
        <w:lastRenderedPageBreak/>
        <w:t>ЗАЯНЬЕ, СЕРБИНО, МАЛОЕ ЗАПОЛЬЕ, ЗАРУДИНЬЕ,ДОЛЖИЦЫ, УСАДИЩЕ и железнодорожные станции ЮШКИНСКАЯ, ЗАМОГИЛЬЕ, ЯЗБЫ. Нашимивойсками полностью очищено от противника восточное побережье озера ЧУДСКОЕ.</w:t>
      </w:r>
    </w:p>
    <w:p w14:paraId="388ECF56"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БАТЕЦКАЯ наши войска с боями продвигались вперёд изаняли населённые пункты РОПТИ, БОР, РУСЫНЯ, ЛУЖА, ЗАУПОРА.</w:t>
      </w:r>
    </w:p>
    <w:p w14:paraId="59B4F999"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ЗВЕНИГОРОДКА и ШПОЛА наши войска продолжали вести бои по уничтожениюокружённой группировки противника и овладели населёнными пунктами СИТНИКИ,СОТНИКИ, АРБУЗИНО и железнодорожной станцией СОТНИКИ. Одновременносеверо-западнее ЗВЕНИГОРОДКА наши войска отбивали контратаки крупных сил танкови пехоты противника, стремившихся пробиться на помощь к окружённой группировке,и нанесли ему большие потери в живой силе и технике.</w:t>
      </w:r>
    </w:p>
    <w:p w14:paraId="0ED836E1"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ив ряде пунктов бои местного значения.</w:t>
      </w:r>
    </w:p>
    <w:p w14:paraId="17BE167B"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12 февраля наши войска на всех фронтах подбили и уничтожили 102немецких танка. В воздушных боях и огнём зенитной артиллерии сбито 36 самолётовпротивника.</w:t>
      </w:r>
    </w:p>
    <w:p w14:paraId="72711DC2"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Объявленный не вернувшимся на свою базу при налёте на финский город Котка вночь на 11 февраля один наш бомбардировщик приземлился на другом аэродроме насоветской территории.</w:t>
      </w:r>
    </w:p>
    <w:p w14:paraId="788F9AB4"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Ленинградского фронта продолжали успешное наступление. Части Н-скогосоединения, выйдя на подступы к городу Луга, завязали уличные бои с противником.Немцы сильно укрепили город. Они превратили каменные здания в опорные пункты,построили большое количество дотов и, опираясь на них, оказывали упорноесопротивление. Тем временем другие наши части обошли город с востока и запада.Не давая противнику перегруппировать свои силы, советские войска штурмомовладели важным узлом железных дорог и мощным опорным пунктом обороны немцевгородом Луга. В боях на подступах к городу и на его улицах противник понёстяжёлые потери. Нашими войсками захвачены трофеи и значительное число пленных.Развивая наступление, наши войска заняли также ряд других населённых пунктов. Водном из этих пунктов подразделения Н-ской части захватили 18 орудий, 46пулемётов, 5 тяжёлых миномётов, склад боеприпасов, два склада с продовольствиеми 6 радиостанций.</w:t>
      </w:r>
    </w:p>
    <w:p w14:paraId="382ED5B7"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Ленинградского фронта, наступающие вдоль побережья Чудского озера и квостоку от него, за пять дней боёв овладели районными центрами Ленинградскойобласти городом Гдов, Полна и Ляды, а также заняли более 800 других населённыхпунктов. Партизанские отряды Ленинградской области оказывали активное содействиеКрасной Армии. Действуя в сложных условиях лесисто-болотистой местности, нашивойска широко применяли обходные манёвры. Советские подвижные отряды врывались врасположение врага, блокировали его гарнизоны в опорных пунктах и уничтожали их.Противник понёс большие потери в людях и технике. Только одно наше соединение запять дней боёв истребило свыше 2.000 немецких солдат и офицеров, уничтожило 48орудий, из них 5 самоходных. Захвачено у немцев много вооружения и военныхматериалов.</w:t>
      </w:r>
    </w:p>
    <w:p w14:paraId="77C99DBA"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городов Звенигородка и Шпола наши войска продолжали вести бои поуничтожению окружённой группировки противника. Советские артиллеристы мощнымогнём громят узлы вражеской обороны и активно поддерживают пехотинцев. ЧастиН-ского соединения, сломив сопротивление противника, заняли железнодорожнуюстанцию Сотники. На поле боя осталось 600 вражеских трупов. Захвачены трофеи, вчисле которых 13 орудий, а также несколько повреждённых танков и бронемашин. Надругом участке наши подвижные отряды отрезали группу противника в уничтожают её.Северо-западнее Звенигородки на узком участке фронта немцы ввели в действиекрупные силы пехоты и танков и неоднократно пытались пробиться на помощь своейокружённой группировке. Всю ночь и весь день шли ожесточённые бои. Одна нашачасть отбила семь вражеских атак. Подступы к советским позициям усеяны трупаминемецких солдат и офицеров и разбитой техникой противника. Отражая контратакигитлеровцев, советские войска уничтожили 60 немецких танков, 15 самоходныхорудий и 21 бронетранспортёр. Кроме того, более 20 танков противника вывели изстроя советские лётчики.</w:t>
      </w:r>
    </w:p>
    <w:p w14:paraId="0CB4D705"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Ленинградской области, с 27 января по 6февраля пустил под откос 6 воинских эшелонов и бронепоезд противника. За это жевремя партизаны взорвали две тысячи рельсов и железнодорожный мост. Советскиепатриоты на шоссейных дорогах уничтожили 60 автомашин, 8 автоцистерн с бензиноми более 200 повозок с грузами. Ружейно-пулемётным огнём сбито 4 немецкихсамолёта.</w:t>
      </w:r>
    </w:p>
    <w:p w14:paraId="10A98468" w14:textId="77777777" w:rsidR="00355805" w:rsidRPr="00070ADE" w:rsidRDefault="0035580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обер-ефрейтор 708 артиллерийского дивизиона Ганс Кернер рассказал:«Орудия нашего дивизиона обстреливали Ленинград. Командир дивизиона капитанХартель говорил солдатам: «По приказу немецкого командования город должен бытьразрушен. Непрерывный обстрел Ленинграда деморализует население и неизбежноприведёт к капитуляции города». В отдельные дни орудия батареи выпускали до 200снарядов. Сводки немецкого командования регулярно сообщали об успешном обстреле«военных объектов» Ленинграда. Но о военных объектах говорилось лишь для отводаглаз. Мы отлично знали, что каждый снаряд, выпущенный по огромному городу,обязательно угодит в какое-нибудь здание. Мы понимали, что разрушаем жилища,убиваем женщин и детей. Русское наступление застало нас врасплох. В дивизионеначалась форменная паника. Офицеры убежали на автомашинах, а солдат бросили напроизвол судьбы. Многие из нас сдались в плен, а орудия в исправном состояниипопали в руки русских» (15039).</w:t>
      </w:r>
    </w:p>
    <w:p w14:paraId="524935FD" w14:textId="77777777" w:rsidR="00355805" w:rsidRPr="00070ADE" w:rsidRDefault="00355805" w:rsidP="00B56F90">
      <w:pPr>
        <w:spacing w:after="0" w:line="240" w:lineRule="auto"/>
        <w:jc w:val="both"/>
        <w:rPr>
          <w:rFonts w:ascii="Times New Roman" w:hAnsi="Times New Roman"/>
          <w:color w:val="000000" w:themeColor="text1"/>
          <w:sz w:val="16"/>
          <w:szCs w:val="16"/>
        </w:rPr>
      </w:pPr>
    </w:p>
    <w:p w14:paraId="74087D4E" w14:textId="4C0638BD" w:rsidR="004D7B45" w:rsidRPr="00070ADE" w:rsidRDefault="004D7B45"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70ADE">
        <w:rPr>
          <w:rFonts w:ascii="Times New Roman" w:hAnsi="Times New Roman"/>
          <w:i/>
          <w:iCs/>
          <w:color w:val="000000" w:themeColor="text1"/>
          <w:sz w:val="16"/>
          <w:szCs w:val="16"/>
        </w:rPr>
        <w:t>За рубежом:</w:t>
      </w:r>
    </w:p>
    <w:p w14:paraId="3F51F320" w14:textId="77777777" w:rsidR="004D7B45" w:rsidRPr="00070ADE" w:rsidRDefault="004D7B45"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569B96C" w14:textId="77777777" w:rsidR="004D7B45" w:rsidRPr="00070ADE" w:rsidRDefault="004D7B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февраля 1944 469 бомбардировщиков Восьмой армии ВВС - 277 B-17 и 192 B-24 - в сопровождении 189 истребителей P-47 и 41 истребителя P-51 поразили объекты ФАУ-1 в районе Па-де-Кале во Франции, потеряв четыре B-17 и один P-51. Вместе бомбардировщики и истребители заявляют, что шесть немецких самолетов сбиты, два, вероятно, сбиты и четыре повреждены в воздушном бою, а также истребители заявляют, что четыре немецких самолета повреждены на земле (20373).</w:t>
      </w:r>
    </w:p>
    <w:p w14:paraId="73FB548D" w14:textId="77777777" w:rsidR="004D7B45" w:rsidRPr="00070ADE" w:rsidRDefault="004D7B45" w:rsidP="00B56F90">
      <w:pPr>
        <w:spacing w:after="0" w:line="240" w:lineRule="auto"/>
        <w:jc w:val="both"/>
        <w:rPr>
          <w:rFonts w:ascii="Times New Roman" w:hAnsi="Times New Roman"/>
          <w:color w:val="000000" w:themeColor="text1"/>
          <w:sz w:val="16"/>
          <w:szCs w:val="16"/>
        </w:rPr>
      </w:pPr>
    </w:p>
    <w:p w14:paraId="2437F01A" w14:textId="77777777" w:rsidR="004D7B45" w:rsidRPr="00070ADE" w:rsidRDefault="004D7B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февраля 1944 авианосец оперативной группы 58 ВМС США наносит удар по Эниветоку (20373).</w:t>
      </w:r>
    </w:p>
    <w:p w14:paraId="1102D0B7" w14:textId="77777777" w:rsidR="004D7B45" w:rsidRPr="00070ADE" w:rsidRDefault="004D7B45" w:rsidP="00B56F90">
      <w:pPr>
        <w:spacing w:after="0" w:line="240" w:lineRule="auto"/>
        <w:jc w:val="both"/>
        <w:rPr>
          <w:rFonts w:ascii="Times New Roman" w:hAnsi="Times New Roman"/>
          <w:color w:val="000000" w:themeColor="text1"/>
          <w:sz w:val="16"/>
          <w:szCs w:val="16"/>
        </w:rPr>
      </w:pPr>
    </w:p>
    <w:p w14:paraId="5DA90B31" w14:textId="04BC1A84"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91F40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F29A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февраля 1944 г. двухместный вариант бронированного истребителя с мотором АМ-42 был отправлен на завод № 240 для окончательной доводки" (7442).</w:t>
      </w:r>
    </w:p>
    <w:p w14:paraId="3C1344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42C9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февраля 1944 Зам. главного арбитра писал А.И.Ш. письмо N 500с:</w:t>
      </w:r>
    </w:p>
    <w:p w14:paraId="7F3294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1943 и в первые месяцы 1944 Госарбитражем рассмотрено значительное количество споров, возникших в связи с поставками предприятиями НКАП недоброкачественных самолетов и моторов:</w:t>
      </w:r>
    </w:p>
    <w:p w14:paraId="5275E00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8 августа 1943 из-за дефектов производственного характера потерпел катастрофу самолет Ил-2 N 301511 выпуска завода 30.</w:t>
      </w:r>
    </w:p>
    <w:p w14:paraId="0F2189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Этот самолет налетал с начала эксплуатации всего 9 час. 10 мин.</w:t>
      </w:r>
    </w:p>
    <w:p w14:paraId="149282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3A147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2 августа 1943 потерпел аварию из-за разрушения верхней конической шестерни вертикальной передачи самолет Ил-2 N 302317 с двигателем, поставленным заводом 45.</w:t>
      </w:r>
    </w:p>
    <w:p w14:paraId="6D2E34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вине того же завода произошла аварию самолета Ил-2 N 301441, имевшая место вследствие обрыва шатуна. Этот самолет с начала эксплуатации наработал всего 6 час. 20 мин." (1815,33).</w:t>
      </w:r>
    </w:p>
    <w:p w14:paraId="20A5C5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9A78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февраля 1944 летчик-испытатель А.П.Якимов приступил к выполнению намеченной программы дополнительных заводских испытания И-220 № 01. В процессе испытаний было установлено, что бафтинг, выражающийся в легких ударах по оперению, возникал на посадке при парашютировании на приборной скорости 180-175 км/ч. Кроме того, бафтинг появлялся и в горизонтальном полете на приборной скорости 250-260 км/ч и ниже при полностью открытых заслонках водорадиатора. Для изучения бафтинга при парашютировании также был сделан ряд исследовательских полетов на И-220 №02. где это явление было выражено более ярко. После переделки на машине зализов центроплана бафтинг больше не возникал. Сваливание на правое крыло в обязательном порядке происходило при резком добирании ручки управления на посадке. При плавном доборе ручки стремление к сваливанию выражалось значительно меньше. После снятия центральной части посадочных щитков тенденция к сваливанию значительно уменьшилась, а при посадке без перетягивания ручки управления совершенно отсутствовала (5669).</w:t>
      </w:r>
    </w:p>
    <w:p w14:paraId="4B1E80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2C6D46" w14:textId="77777777" w:rsidR="003D5939" w:rsidRPr="00C94B78" w:rsidRDefault="003D593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14 февраля 1944 г. летчик-испытатель А.П.Якимов приступил к выполнению намеченной программы на И-220 № 1 по исследованию недостатком - незначительного бафтинга хвостового оперения и явление сваливания на крыло при полетах на больших углах атаки.</w:t>
      </w:r>
    </w:p>
    <w:p w14:paraId="3F68D00D" w14:textId="77777777" w:rsidR="003D5939" w:rsidRPr="00C94B78" w:rsidRDefault="003D593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процессе испытаний было установлено, что бафтинг, выражающийся в легких ударах по оперению, возникал на посадке при парашютировании на приборной скорости 180-175 км/ч. Кроме того, бафтинг появлялся и в горизонтальном полете на приборной скорости 250-260 км/ч и ниже при полностью открытых заслонках водорадиатора. Для изучения бафтинга при парашютировании также был сделан ряд исследовательских полетов на И-220 №02, где это явление было выражено более ярко. После переделки на машине зализов центроплана бафтинг больше не возникал.</w:t>
      </w:r>
    </w:p>
    <w:p w14:paraId="33025059" w14:textId="77777777" w:rsidR="003D5939" w:rsidRPr="00C94B78" w:rsidRDefault="003D593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Сваливание на правое крыло в обязательном порядке происходило при резком добирании ручки управления на посадке. При плавном доборе ручки стремление к сваливанию выражалось значительно меньше. После снятия центральной части посадочных щитков тенденция к сваливанию значительно уменьшилась, а при посадке без перетягивания ручки управления совершенно отсутствовала. Выполнив программу испытаний, 8 марта 1944 г. И-220 №01 завели в цех для установки серийного мотора АМ-39 (25230).</w:t>
      </w:r>
    </w:p>
    <w:p w14:paraId="7AD14710" w14:textId="77777777" w:rsidR="003D5939" w:rsidRPr="00C94B78" w:rsidRDefault="003D5939" w:rsidP="00B56F90">
      <w:pPr>
        <w:spacing w:after="0" w:line="240" w:lineRule="auto"/>
        <w:jc w:val="both"/>
        <w:rPr>
          <w:rFonts w:ascii="Times New Roman" w:hAnsi="Times New Roman"/>
          <w:color w:val="0070C0"/>
          <w:sz w:val="16"/>
          <w:szCs w:val="16"/>
        </w:rPr>
      </w:pPr>
    </w:p>
    <w:p w14:paraId="6C3F3A37"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lastRenderedPageBreak/>
        <w:t>Другие оборонные отрасли:</w:t>
      </w:r>
    </w:p>
    <w:p w14:paraId="50A94D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1711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февраля 1944 г. была подготовлена ДОКЛАДНАЯ ЗАПИСКА ЗАМЕСТИТЕЛЯ НАЧАЛЬНИКА ГБТУ КА НАЧАЛЬНИКУ УФ и БП БТ и МВ КА О НЕОБХОДИМОСТИ ИЗДАНИЯ КАТАЛОГОВ ДЕТАЛЕЙ ИМПОРТНЫХ ТАНКОВ И БРОНЕТРАНСПОРТЕРОВ № 520737</w:t>
      </w:r>
    </w:p>
    <w:p w14:paraId="31FA4E2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из Америки на вооружение Красной Армии в основном поступают танки М4-А2, бронетранспортеры МЗ-А1 и СУ-57 (на базе М-2).</w:t>
      </w:r>
    </w:p>
    <w:p w14:paraId="6A9401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указанные марки машин каталогов, изданных на русском, языке не имеется.</w:t>
      </w:r>
    </w:p>
    <w:p w14:paraId="4B0E8B4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Отсутствие этих каталогов сильно тормозит правильную организацию полевого ремонта в войсковых частях.</w:t>
      </w:r>
    </w:p>
    <w:p w14:paraId="0802C3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НИБТ полигоном подготовлены к изданию эти каталоги.</w:t>
      </w:r>
    </w:p>
    <w:p w14:paraId="6D0CCD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Вашего распоряжения об издании каталогов деталей танков, бронетранспортеров следу</w:t>
      </w:r>
      <w:r w:rsidRPr="00070ADE">
        <w:rPr>
          <w:rFonts w:ascii="Times New Roman" w:hAnsi="Times New Roman"/>
          <w:color w:val="000000" w:themeColor="text1"/>
          <w:sz w:val="16"/>
          <w:szCs w:val="16"/>
        </w:rPr>
        <w:softHyphen/>
        <w:t>ющим тиражом:</w:t>
      </w:r>
    </w:p>
    <w:p w14:paraId="1F36781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1.М4-А2 - 1500 экз.</w:t>
      </w:r>
    </w:p>
    <w:p w14:paraId="07AA949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МЗ-А1 - 1000 экз.</w:t>
      </w:r>
    </w:p>
    <w:p w14:paraId="3612B36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М-2 - 1000 экз.</w:t>
      </w:r>
    </w:p>
    <w:p w14:paraId="067954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упомянутые каталоги.</w:t>
      </w:r>
      <w:r w:rsidRPr="00070ADE">
        <w:rPr>
          <w:rFonts w:ascii="Times New Roman" w:hAnsi="Times New Roman"/>
          <w:color w:val="000000" w:themeColor="text1"/>
          <w:sz w:val="16"/>
          <w:szCs w:val="16"/>
          <w:vertAlign w:val="superscript"/>
        </w:rPr>
        <w:t>1</w:t>
      </w:r>
    </w:p>
    <w:p w14:paraId="77B53DE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Главного бронетанкового управления Красной Армии генерал-лейтенант инженерно-танковой службы Лебедев</w:t>
      </w:r>
    </w:p>
    <w:p w14:paraId="7F141C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2190. Л. 11. Копия.</w:t>
      </w:r>
    </w:p>
    <w:p w14:paraId="418829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№586 ОТЧЕТ О РАБОТЕ ТЕХНИЧЕСКОГО ОТДЕЛА ГАВТУ КА</w:t>
      </w:r>
    </w:p>
    <w:p w14:paraId="1F9EBCA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февраля 1944 г.</w:t>
      </w:r>
    </w:p>
    <w:p w14:paraId="27B8B24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Технический отдел ГАВТУ КА был организован в декабре 1942 г., одновременно с организацией ГАВТУ КА. В это время отдел состоял из 3-х человек.</w:t>
      </w:r>
    </w:p>
    <w:p w14:paraId="739B42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первой половины 1943 г. происходило расширение отдела, который окончательно сформировался в штатном составе 7 офицеров и 8 вольнонаемных.</w:t>
      </w:r>
    </w:p>
    <w:p w14:paraId="2641CF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 технического отдела охватывает научно-технические вопросы и касается многих техниче</w:t>
      </w:r>
      <w:r w:rsidRPr="00070ADE">
        <w:rPr>
          <w:rFonts w:ascii="Times New Roman" w:hAnsi="Times New Roman"/>
          <w:color w:val="000000" w:themeColor="text1"/>
          <w:sz w:val="16"/>
          <w:szCs w:val="16"/>
        </w:rPr>
        <w:softHyphen/>
        <w:t>ских проблем, связанных с работой автомобильных войск Красной Армии и управлений ГАВТУ КА.</w:t>
      </w:r>
    </w:p>
    <w:p w14:paraId="45CCE43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Техническим отделом были проведены следующие наиболее важные работы с привлечением в отдельных случаях квалифицированных специалистов:</w:t>
      </w:r>
    </w:p>
    <w:p w14:paraId="605C643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Разработаны технические условия на выбраковку деталей и ремонт автомобиля Додж ШР-32.</w:t>
      </w:r>
    </w:p>
    <w:p w14:paraId="537DF92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Составлено и издано руководство по применению карбинольного клея для ремонта автодеталей.</w:t>
      </w:r>
    </w:p>
    <w:p w14:paraId="22CB750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Составлены сборники технических условий на ремонт, выбраковку, сборку и испытания авто</w:t>
      </w:r>
      <w:r w:rsidRPr="00070ADE">
        <w:rPr>
          <w:rFonts w:ascii="Times New Roman" w:hAnsi="Times New Roman"/>
          <w:color w:val="000000" w:themeColor="text1"/>
          <w:sz w:val="16"/>
          <w:szCs w:val="16"/>
        </w:rPr>
        <w:softHyphen/>
        <w:t>мобилей ГАЗ-АА и Форд-б (2С8Т).</w:t>
      </w:r>
    </w:p>
    <w:p w14:paraId="72565C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Составлена и издана инструкция по применению специального путевого клея ЦНИИАТа для ремонта в пути металлических, пластмассовых и стеклянных деталей автомобиля.</w:t>
      </w:r>
    </w:p>
    <w:p w14:paraId="7629451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Составлены и изданы технологические карты на ремонт деталей автомобилей ЗИС-5, ГАЗ-АА и М-1, экспонированных на выставке ГБТУ КА.</w:t>
      </w:r>
      <w:r w:rsidRPr="00070ADE">
        <w:rPr>
          <w:rFonts w:ascii="Times New Roman" w:hAnsi="Times New Roman"/>
          <w:color w:val="000000" w:themeColor="text1"/>
          <w:sz w:val="16"/>
          <w:szCs w:val="16"/>
          <w:vertAlign w:val="superscript"/>
        </w:rPr>
        <w:t>2</w:t>
      </w:r>
    </w:p>
    <w:p w14:paraId="284D7D3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Проведена работа по центробежной заливке тонкостенных вкладышей подшипников при их ремонте.</w:t>
      </w:r>
    </w:p>
    <w:p w14:paraId="3FC9A7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Проведен ряд работ по увеличению срока службы импортных автомобилей в армейских усло</w:t>
      </w:r>
      <w:r w:rsidRPr="00070ADE">
        <w:rPr>
          <w:rFonts w:ascii="Times New Roman" w:hAnsi="Times New Roman"/>
          <w:color w:val="000000" w:themeColor="text1"/>
          <w:sz w:val="16"/>
          <w:szCs w:val="16"/>
        </w:rPr>
        <w:softHyphen/>
        <w:t>виях, за счет повышения антидетонационных качеств отечественных автобензинов.</w:t>
      </w:r>
    </w:p>
    <w:p w14:paraId="363686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Проведена экспериментально-испытательная работа по повышению экономики отечествен</w:t>
      </w:r>
      <w:r w:rsidRPr="00070ADE">
        <w:rPr>
          <w:rFonts w:ascii="Times New Roman" w:hAnsi="Times New Roman"/>
          <w:color w:val="000000" w:themeColor="text1"/>
          <w:sz w:val="16"/>
          <w:szCs w:val="16"/>
        </w:rPr>
        <w:softHyphen/>
        <w:t>ных автодвигателей за счет повышения степени сжатия.</w:t>
      </w:r>
    </w:p>
    <w:p w14:paraId="64DAD2E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Проведен ряд работ по улучшению качества автобензина и масла, применяемого для автомо</w:t>
      </w:r>
      <w:r w:rsidRPr="00070ADE">
        <w:rPr>
          <w:rFonts w:ascii="Times New Roman" w:hAnsi="Times New Roman"/>
          <w:color w:val="000000" w:themeColor="text1"/>
          <w:sz w:val="16"/>
          <w:szCs w:val="16"/>
        </w:rPr>
        <w:softHyphen/>
        <w:t>бильного парка Красной Армии.</w:t>
      </w:r>
    </w:p>
    <w:p w14:paraId="39D9B92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Разработаны конструкции жестких сцепок для импортных автомобилей Форд-6 (2С8Т), Шевроле-3116 и Додж \\Ф-32.</w:t>
      </w:r>
    </w:p>
    <w:p w14:paraId="70A070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Проведены предварительные испытания и составлен отчет спаренных жесткой сцепкой автомобилей при периодической параллельной работе их двигателей.</w:t>
      </w:r>
    </w:p>
    <w:p w14:paraId="55F656C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Разработана конструкция, позволяющая питать генераторным газом двигатели двух автомо</w:t>
      </w:r>
      <w:r w:rsidRPr="00070ADE">
        <w:rPr>
          <w:rFonts w:ascii="Times New Roman" w:hAnsi="Times New Roman"/>
          <w:color w:val="000000" w:themeColor="text1"/>
          <w:sz w:val="16"/>
          <w:szCs w:val="16"/>
        </w:rPr>
        <w:softHyphen/>
        <w:t>билей от одной газогенераторной установки.</w:t>
      </w:r>
    </w:p>
    <w:p w14:paraId="666B8D3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Разработана конструкция автоматической жесткой сцепки для автомобиля ГАЗ-АА.</w:t>
      </w:r>
    </w:p>
    <w:p w14:paraId="47158C6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Проведено испытание газогенераторных автомобилей ЗИС-5 и ГАЗ-АА с головками блока цилиндров и задними мостами бензиновых автомобилей. Техническим отделом были подготовлены к печати:</w:t>
      </w:r>
    </w:p>
    <w:p w14:paraId="20B793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Справочник по тактико-техническим характеристикам автомобилей Германской армии.</w:t>
      </w:r>
    </w:p>
    <w:p w14:paraId="3D94E2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Справочник — «Технические характеристики советских и импортных автомобилей».</w:t>
      </w:r>
    </w:p>
    <w:p w14:paraId="13CEF0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Краткое руководство по хранению и применению этиловой жидкости В-20 и этилированных автомобильных бензинов (совместно с УСГ КА).</w:t>
      </w:r>
    </w:p>
    <w:p w14:paraId="04FC9A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Инструкция по подготовке автомобилей Красной Армии к весенне-летней эксплуатации (совместно с УЭА).</w:t>
      </w:r>
    </w:p>
    <w:p w14:paraId="69BFC60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Инструкция по подготовке автомобилей Красной Армии к осенне-зимней эксплуатации (совместно с УЭА).</w:t>
      </w:r>
    </w:p>
    <w:p w14:paraId="7D1D47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Инструкция по объему технических осмотров импортных автомобилей (совместно с УЭА). По заказу технического отдела и при его консультации и участии были выпущены Воентехфильмом следующие кинофильмы:</w:t>
      </w:r>
    </w:p>
    <w:p w14:paraId="674E9E7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Гидравлические тормоза и вакуумные усилители.</w:t>
      </w:r>
    </w:p>
    <w:p w14:paraId="4E2369D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Вождение автомобиля (в летних условиях).</w:t>
      </w:r>
    </w:p>
    <w:p w14:paraId="3FA0590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Два киножурнала, посвященные газогенераторным автомобилям.</w:t>
      </w:r>
    </w:p>
    <w:p w14:paraId="058498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работами, проведенными по заданию и при участии технического отдела, приняты следующие постановления и решения, значительно улучшающие качество автобензинов и автолов и увеличивающие срок службы импортных автомобилей:</w:t>
      </w:r>
    </w:p>
    <w:p w14:paraId="4AE48F2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Постановление ГОКО №3146-сс от 8.04.1943 г. за подписью т. Сталина И.В., о переводе с 25.04.1943 г. импортного автопарка Красной Армии на снабжение этилированным автобензином. На основе этого постановления ГОКО был издан Приказ НКО №0279 от 18.04.1943 г.</w:t>
      </w:r>
    </w:p>
    <w:p w14:paraId="3D53EA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Распоряжение СНК СССР №15205-рс от 10.08.1943 г. за подписью т. Берия Л.П., обязывающее НКНефть начиная с августа 1943 г. вырабатывать и сдавать УСГ КА для импортных автомобилей автобензин с концом кипения не выше 220°С.</w:t>
      </w:r>
    </w:p>
    <w:p w14:paraId="575B51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Распоряжение СНК СССР №16384-рс от 26.08.1943 г. за подписью т. Берия Л.П. об улучшении качества автолов с запрещением производства и применения для автопарка Красной Армии омылен-ных автолов и выпуске НКНефтью для Красной Армии автолов только сернокислотной очистки.</w:t>
      </w:r>
    </w:p>
    <w:p w14:paraId="654575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наиболее эффективной работы отдела необходимо было создать экспериментальную и испытательную базу, которая могла бы временно, впредь до организации научно-испытательного института ГАВТУ КА и полигона, заниматься научно-испытательной работой по изучению автомо</w:t>
      </w:r>
      <w:r w:rsidRPr="00070ADE">
        <w:rPr>
          <w:rFonts w:ascii="Times New Roman" w:hAnsi="Times New Roman"/>
          <w:color w:val="000000" w:themeColor="text1"/>
          <w:sz w:val="16"/>
          <w:szCs w:val="16"/>
        </w:rPr>
        <w:softHyphen/>
        <w:t>бильной материальной части, поступающей на снабжение Красной Армии.</w:t>
      </w:r>
    </w:p>
    <w:p w14:paraId="34B88C2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этой целью техническим отделом была организована экспериментально-испытательная база — 203 научно-испытательный батальон ГАВТУ КА и испытательная группа технического отдела при 59 ОАТР, в которых ведется научно-испытательная работа.</w:t>
      </w:r>
    </w:p>
    <w:p w14:paraId="26E5B5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Испытательная группа технического отдела при 59 ОАТР проводит работу с различными марками импортных автомобилей в количестве около 70, поступивших на снабжение Красной Армии. На этих автомобилях проводятся планомерные систематические дорожно-эксплуатационные испытания в обычных армейских условиях с целью выявления надежности и прочности конструкций импортных автомобилей, их приспособленности к работе в наших дорожных условиях, для определения техниче</w:t>
      </w:r>
      <w:r w:rsidRPr="00070ADE">
        <w:rPr>
          <w:rFonts w:ascii="Times New Roman" w:hAnsi="Times New Roman"/>
          <w:color w:val="000000" w:themeColor="text1"/>
          <w:sz w:val="16"/>
          <w:szCs w:val="16"/>
        </w:rPr>
        <w:softHyphen/>
        <w:t>ских и эксплуатационных характеристик машин, особенностей их обслуживания, причин характер</w:t>
      </w:r>
      <w:r w:rsidRPr="00070ADE">
        <w:rPr>
          <w:rFonts w:ascii="Times New Roman" w:hAnsi="Times New Roman"/>
          <w:color w:val="000000" w:themeColor="text1"/>
          <w:sz w:val="16"/>
          <w:szCs w:val="16"/>
        </w:rPr>
        <w:softHyphen/>
        <w:t>ных неисправностей и поломок и установления норм расхода ГСМ и запасных частей.</w:t>
      </w:r>
    </w:p>
    <w:p w14:paraId="5567F0A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числа наиболее важных работ, проведенных испытательной группой технического отдела, необходимо отметить следующие:</w:t>
      </w:r>
    </w:p>
    <w:p w14:paraId="0F87452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Испытание автомобиля Форд СР\У.</w:t>
      </w:r>
    </w:p>
    <w:p w14:paraId="5374BBE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Испытание автомобиля Додж \УС-51.</w:t>
      </w:r>
    </w:p>
    <w:p w14:paraId="4058E1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Испытание автомобиля Додж Т-110-Ь-5.</w:t>
      </w:r>
    </w:p>
    <w:p w14:paraId="2CD6D7D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Испытание автомобилей Форд-6 (2С8Т), Додж \\Ф-32, Шевроле С-7107, Студебекер Ш-6 и СМС ССКЛ/У-352 при работе их на автобензине 2 сорта с примесью этиловой жидкости и без примеси.</w:t>
      </w:r>
    </w:p>
    <w:p w14:paraId="4922D76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Испытание автомобилей Форд 2С8Т и Додж М\ГР-32 на сжиженном газе.</w:t>
      </w:r>
    </w:p>
    <w:p w14:paraId="58AD65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Определение износов двигателей импортных автомобилей.</w:t>
      </w:r>
    </w:p>
    <w:p w14:paraId="0F1321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Определение емкостей гидравлических тормозных систем импортных автомобилей.</w:t>
      </w:r>
    </w:p>
    <w:p w14:paraId="6C0264C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Испытание заменителей импортных тормозных жидкостей (1-Л, 2-Л, Б СК).</w:t>
      </w:r>
    </w:p>
    <w:p w14:paraId="32E09E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Испытание мероприятий по уменьшению разжижения масла в картерах импортных двигателей.</w:t>
      </w:r>
    </w:p>
    <w:p w14:paraId="6E3BD1F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Испытание рессор отечественного производства для импортных автомобилей.</w:t>
      </w:r>
    </w:p>
    <w:p w14:paraId="07F2BB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Испытание антифризов для импортных автомобилей. 203 НИБ обладает экспериментальной базой, состоящей из:</w:t>
      </w:r>
    </w:p>
    <w:p w14:paraId="060A8EF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Лаборатории двигателей с 6 стендами.</w:t>
      </w:r>
    </w:p>
    <w:p w14:paraId="5E1B6BB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Лаборатории ГСМ.</w:t>
      </w:r>
    </w:p>
    <w:p w14:paraId="5CFFA7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Карбюраторной лаборатории.</w:t>
      </w:r>
    </w:p>
    <w:p w14:paraId="56C1A5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Лаборатории электрооборудования. (Лаборатории мало оснащены, требуют расширения).</w:t>
      </w:r>
    </w:p>
    <w:p w14:paraId="5E09A8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Экспериментальные мастерские.</w:t>
      </w:r>
    </w:p>
    <w:p w14:paraId="338511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Из числа наиболее важных научно-испытательных работ, проведенных батальоном, необходимо отметить следующие:</w:t>
      </w:r>
    </w:p>
    <w:p w14:paraId="12EFB9F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Повышение экономики двигателей ГАЗ, за счет повышения степени сжатия.</w:t>
      </w:r>
    </w:p>
    <w:p w14:paraId="11BF21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Перевод автомобилей и обкатка двигателей после капитального ремонта на сжиженный газ.</w:t>
      </w:r>
    </w:p>
    <w:p w14:paraId="6C6CC9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Применение нефтяного и сжиженного газов для сварки и резки металлов вместо карбида кальция.</w:t>
      </w:r>
    </w:p>
    <w:p w14:paraId="2479627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Испытание автомобилей повышенной проходимости.</w:t>
      </w:r>
    </w:p>
    <w:p w14:paraId="5FC3953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Изготовление и испытание регенераторов для отвержденного бензина.</w:t>
      </w:r>
    </w:p>
    <w:p w14:paraId="6D3F85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Сравнительные испытания двигателей Форд и ЗИС-5 по определению степени разжижения топливом картерного масла.</w:t>
      </w:r>
    </w:p>
    <w:p w14:paraId="38FD76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Испытание двигателя Форд С8Т (1943 года).</w:t>
      </w:r>
    </w:p>
    <w:p w14:paraId="6EC8070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Испытания двигателя Форд 2С8Т (1942 года).</w:t>
      </w:r>
    </w:p>
    <w:p w14:paraId="0AC2D3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Перевод двигателей лебедок аэростатной защиты ПВО на питание загрязненным водородом.</w:t>
      </w:r>
    </w:p>
    <w:p w14:paraId="6F2BC5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Испытание трофейного автомобиля Хорьх.</w:t>
      </w:r>
    </w:p>
    <w:p w14:paraId="7D44B82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Приспособление газогенераторных автомобилей ЗИС-21 и ГАЗ-42 для работы на сырой древесине.</w:t>
      </w:r>
    </w:p>
    <w:p w14:paraId="5058DB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решения ряда актуальных научно-технических вопросов автомобильной службы техниче</w:t>
      </w:r>
      <w:r w:rsidRPr="00070ADE">
        <w:rPr>
          <w:rFonts w:ascii="Times New Roman" w:hAnsi="Times New Roman"/>
          <w:color w:val="000000" w:themeColor="text1"/>
          <w:sz w:val="16"/>
          <w:szCs w:val="16"/>
        </w:rPr>
        <w:softHyphen/>
        <w:t>ский отдел привлекал также НИБТ полигон ГБТУ КА и другие научно-исследовательские и произ</w:t>
      </w:r>
      <w:r w:rsidRPr="00070ADE">
        <w:rPr>
          <w:rFonts w:ascii="Times New Roman" w:hAnsi="Times New Roman"/>
          <w:color w:val="000000" w:themeColor="text1"/>
          <w:sz w:val="16"/>
          <w:szCs w:val="16"/>
        </w:rPr>
        <w:softHyphen/>
        <w:t>водственные организации, в частности НАТИ, МВТУ, ЗИС, ГАЗ.</w:t>
      </w:r>
    </w:p>
    <w:p w14:paraId="7BE0EE0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виде примера можно привести следующие работы, проведенные указанными выше организа</w:t>
      </w:r>
      <w:r w:rsidRPr="00070ADE">
        <w:rPr>
          <w:rFonts w:ascii="Times New Roman" w:hAnsi="Times New Roman"/>
          <w:color w:val="000000" w:themeColor="text1"/>
          <w:sz w:val="16"/>
          <w:szCs w:val="16"/>
        </w:rPr>
        <w:softHyphen/>
        <w:t>циями по заданию технического отдела:</w:t>
      </w:r>
    </w:p>
    <w:p w14:paraId="7F19A94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Определение влияния отечественного автомобильного бензина на состояние смазки в карте</w:t>
      </w:r>
      <w:r w:rsidRPr="00070ADE">
        <w:rPr>
          <w:rFonts w:ascii="Times New Roman" w:hAnsi="Times New Roman"/>
          <w:color w:val="000000" w:themeColor="text1"/>
          <w:sz w:val="16"/>
          <w:szCs w:val="16"/>
        </w:rPr>
        <w:softHyphen/>
        <w:t>рах импортных двигателей и испытание мероприятий по борьбе с разжижением смазки в двигате</w:t>
      </w:r>
      <w:r w:rsidRPr="00070ADE">
        <w:rPr>
          <w:rFonts w:ascii="Times New Roman" w:hAnsi="Times New Roman"/>
          <w:color w:val="000000" w:themeColor="text1"/>
          <w:sz w:val="16"/>
          <w:szCs w:val="16"/>
        </w:rPr>
        <w:softHyphen/>
        <w:t>лях импортных автомобилей.</w:t>
      </w:r>
    </w:p>
    <w:p w14:paraId="16804ED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Сравнительные испытания автомобилей ГАЗ-67 и Виллис МВ.</w:t>
      </w:r>
    </w:p>
    <w:p w14:paraId="535CF7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Испытания двигателей ГАЗ и ЗИС с повышенной степенью сжатия на этилированном бензине.</w:t>
      </w:r>
    </w:p>
    <w:p w14:paraId="309D420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Стендовые испытания двигателей автомобилей: Интернационал, Додж, СМС, Студебекер, Форд, Шевроле и Виллис.</w:t>
      </w:r>
    </w:p>
    <w:p w14:paraId="1BFC07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техническом отделе организована техническая библиотека, насчитывающая к настоящему времени около 3000 книг по различным вопросам автомобильной техники.</w:t>
      </w:r>
    </w:p>
    <w:p w14:paraId="2EB6A3F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постановлением ГОКО, ГАВТУ КА закончена организация постоянно действу</w:t>
      </w:r>
      <w:r w:rsidRPr="00070ADE">
        <w:rPr>
          <w:rFonts w:ascii="Times New Roman" w:hAnsi="Times New Roman"/>
          <w:color w:val="000000" w:themeColor="text1"/>
          <w:sz w:val="16"/>
          <w:szCs w:val="16"/>
        </w:rPr>
        <w:softHyphen/>
        <w:t>ющей выставки по ремонту и эксплуатации автомобилей. Основная работа по организации выстав</w:t>
      </w:r>
      <w:r w:rsidRPr="00070ADE">
        <w:rPr>
          <w:rFonts w:ascii="Times New Roman" w:hAnsi="Times New Roman"/>
          <w:color w:val="000000" w:themeColor="text1"/>
          <w:sz w:val="16"/>
          <w:szCs w:val="16"/>
        </w:rPr>
        <w:softHyphen/>
        <w:t>ки была выполнена техническим отделом, которому выставка до 20 января 1944 г. непосредственно подчинялась, а затем приказом начальника ГАВТУ КА была передана в подчинение ремонтному управлению ГАВТУ КА.</w:t>
      </w:r>
    </w:p>
    <w:p w14:paraId="2FBDF94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технического отдела ГАВТУ КА инженер-полковник Лавров</w:t>
      </w:r>
    </w:p>
    <w:p w14:paraId="260FEC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41. Оп. 11584. Д. 443. Л. 20-26. Подлинник (11403).</w:t>
      </w:r>
    </w:p>
    <w:p w14:paraId="4BDDE7C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B12DD4C" w14:textId="77777777" w:rsidR="009D1B58" w:rsidRPr="00070ADE" w:rsidRDefault="009D1B5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14–15 февраля 1944 года прошли первые испытания опытной системы Д-10С, всего было сделано 108 выстрелов. Что же касается заводских испытаний самой САУ-100, то они начались ближе к концу февраля. При взвешивании выяснилось, что боевая масса составляет 30 960 кг. Машина прошла 100 км со средней скоростью 24,2 км/ч. После устранения небольших неполадок машину допустили до полигонных испытаний, при этом комиссия составила список из десяти позиций по улучшению, в случае постановки СУ-100 в серию. Дополнительно комиссия подняла вопрос об улучшении вентиляции боевого отделения (18252).</w:t>
      </w:r>
    </w:p>
    <w:p w14:paraId="3DC07212" w14:textId="77777777" w:rsidR="009D1B58" w:rsidRPr="00070ADE" w:rsidRDefault="009D1B58" w:rsidP="00B56F90">
      <w:pPr>
        <w:spacing w:after="0" w:line="240" w:lineRule="auto"/>
        <w:jc w:val="both"/>
        <w:rPr>
          <w:rFonts w:ascii="Times New Roman" w:hAnsi="Times New Roman"/>
          <w:color w:val="000000" w:themeColor="text1"/>
          <w:sz w:val="16"/>
          <w:szCs w:val="16"/>
        </w:rPr>
      </w:pPr>
    </w:p>
    <w:p w14:paraId="0CB865AA" w14:textId="77777777" w:rsidR="003D5939" w:rsidRPr="00C94B78" w:rsidRDefault="003D593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14-15 февраля 1944 года орудие Д-10с прошло заводские испытания, из него произвели 108 выстрелов (24828).</w:t>
      </w:r>
    </w:p>
    <w:p w14:paraId="1920D04D" w14:textId="77777777" w:rsidR="003D5939" w:rsidRPr="00C94B78" w:rsidRDefault="003D5939" w:rsidP="00B56F90">
      <w:pPr>
        <w:spacing w:after="0" w:line="240" w:lineRule="auto"/>
        <w:jc w:val="both"/>
        <w:rPr>
          <w:rFonts w:ascii="Times New Roman" w:hAnsi="Times New Roman"/>
          <w:color w:val="0070C0"/>
          <w:sz w:val="16"/>
          <w:szCs w:val="16"/>
        </w:rPr>
      </w:pPr>
    </w:p>
    <w:p w14:paraId="1AE4DEA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февраля 1944 вышло Постановление ГКО № 5179 Об установке 3-го котла на ТЭЦ Московского автозавода им. Сталина Наркомсредмаша. РГАНИР, Фонд ГКО, д. 209, лл. 1-3,4-6 (11012).</w:t>
      </w:r>
    </w:p>
    <w:p w14:paraId="593D81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7AD7C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февраля 1944 вышло Постановление ГКО № 5180 О материально-техническом обеспечении производства автомобилей, запасных частей к ним, артиллерийских тягачей и автомобильных прицепов в I квартале 1944 года. РГАНИР, Фонд ГКО, д. 209, лл. 7-19,20-36 (11012).</w:t>
      </w:r>
    </w:p>
    <w:p w14:paraId="4595833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3D7CAE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февраля 1944 вышло Постановление ГКО № 5181 О завозе хлебофуража в Свердловскую область в феврале и марте 1944 года. РГАНИР, Фонд ГКО, д. 209, лл. 37-38,39-40 (11012).</w:t>
      </w:r>
    </w:p>
    <w:p w14:paraId="58906F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810F6C2" w14:textId="77777777" w:rsidR="00B41B6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7DD731BC" w14:textId="77777777" w:rsidR="00B41B6B" w:rsidRPr="00070ADE" w:rsidRDefault="00B41B6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9C0184"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14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52F3077C"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14 февраля южнее и юго-восточнее города Гдов наши войска продолжали наступление и заняли несколько населённых пунктов.</w:t>
      </w:r>
    </w:p>
    <w:p w14:paraId="5072F46A"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Луга наши войска вели наступательные бои, в ходе которых овладели населёнными пунктами Бараново, Заполье, Смерди, Пустошка, Дубровка, Кут, Раковичи, Наволок.</w:t>
      </w:r>
    </w:p>
    <w:p w14:paraId="65177493"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Звенигородка и Шпола наши войска продолжали вести бои по уничтожению окружённой группировки противника и, сломив его сопротивление, овладели районнымцентром Киевской области городом Корсунь-Шевченковский и населёнными пунктами Кошмак, Листвена, Петрушки, Туркенцы, Самородня. Одновременно северо-западнее Звенигородка наши войска вели ожесточённые бои с крупными силами танков и пехоты противника, стремившимися пробиться на помощь к окружённой группировке. Ценой больших потерь в живой силе и технике противнику удалось незначительно вклиниться в нашу оборону.</w:t>
      </w:r>
    </w:p>
    <w:p w14:paraId="4FE02516"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64FB963B"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13 февраля наши войска на всех фронтах подбили и уничтожили 95 немецких танков. В воздушных боях и огнём зенитной артиллерии уничтожено 38 самолётов противника.</w:t>
      </w:r>
    </w:p>
    <w:p w14:paraId="22BF3C16"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и юго-восточнее города Гдов наши войска продолжали наступление и заняли несколько населённых пунктов. В районе населённого пункта Зарудинье частиН-ского соединения окружили группу войск противника и в результате ожесточённого боя ликвидировали её. Захвачено у немцев 72 орудия, из них 3 тяжёлых на гусеничной тяге, 350 автомашин, 80 повозок с грузами, 1.500 лошадей и другие трофеи. Взято значительное количество пленных. Группа наших разведчиков в составе сержанта Кабанова, ефрейтора Денисенко, старшего сержанта Шадского, сержанта Терехова, красноармейцев Фёдорова и Швеца внезапно ворвалась в один опорный пункт противника. Немцы, застигнутые врасплох, без сопротивления сложили оружие. Разведчики захватили в плен 36 гитлеровцев и доставили их в свою часть.</w:t>
      </w:r>
    </w:p>
    <w:p w14:paraId="1D70EBFD"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Луга наши войска вели наступательные бои. Части Н-ского соединения выбили противника из населённых пунктов Раковичи и Наволок, уничтожив при этом 300 гитлеровцев. На другом участке советские войска, продвигаясь вперёд, заняли несколько населённых пунктов, в боях за которые истребили до батальона немецкой пехоты.</w:t>
      </w:r>
    </w:p>
    <w:p w14:paraId="101A1424"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овладевшие городом Луга, захватили у немцев 42 орудия, 61 миномёт, до 2.000 винтовок и автоматов, 4 танка, 2 бронемашины, 170 автомашин, 80 повозок, свыше миллиона патронов, 6 тысяч снарядов и авиабомб, 50 складов с боеприпасами, горючим и продовольствием.</w:t>
      </w:r>
    </w:p>
    <w:p w14:paraId="53836AA4"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городов Звенигородка и Шпола наши войска продолжали вести бои по уничтожению окружённой группировки противника. Части Н-ского соединения, сломив упорное сопротивление немцев, заняли несколько населённых пунктов. Развивая успех, советские бойцы нанесли удар по вражеским частям, оборонявшим опорны йпункт окружённой группировки — город Корсунь-Шевченковский. В результате ожесточённых боёв наши войска сегодня разгромили немецкий гарнизон и овладели районным центром Киевской области — городом Корсунь-Шевченковский. Одна немецкая часть предприняла попытку вырваться из окружения. Наши войска отрезали эту группу противника и уничтожили свыше 1.000 немецких солдат и офицеров. Северо-западнее города Звенигородка наши войска продолжали вести бои с крупными силами танков и пехоты противника, стремившимися пробиться на помощь к окружённой группировке. Бои носили крайне ожесточённый характер. Отдельные пункты по нескольку раз переходили из рук в руки. Советские артиллеристы, миномётчики и пехотинцы сосредоточенным огнём расстреливали наступающие колонны гитлеровцев. Ценой больших потерь немцам удалось незначительно вклиниться в нашу оборону. В ходе боя истреблено не менее 2.000 немецких солдат и офицеров, сожжено и подбито 73 танка и свыше 20 самоходных орудий противника.</w:t>
      </w:r>
    </w:p>
    <w:p w14:paraId="739EECF1"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лётчики совершили налёт на вражеский аэродром и уничтожили на земле 12 немецких трехмоторных транспортных самолётов.</w:t>
      </w:r>
    </w:p>
    <w:p w14:paraId="32F4D1D0"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Группа литовских партизан из отрядов «Жальгирис» и «Вильнюс» взорвала железнодорожный мост и пустила под откос немецкий воинский эшелон, следовавший к линии фронта. Весь состав разбит. Уничтожено более 200 солдат и офицеров противника. В другом районе советские патриоты подорвали три немецких воинских поезда и вырезали 20 километров телефонно-телеграфной линии связи.</w:t>
      </w:r>
    </w:p>
    <w:p w14:paraId="7521E091"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 Ленинградском фронте захвачен в плен военный корреспондент инженерного отдела штаба главного немецкого командования сухопутных сил Рудольф Хариг. Пленный рассказал: «Осенью прошлого года я, будучи в Берлине, получил новое назначение. Меня направили в район Ленинграда, где я должен был ознакомиться с работой немецких сапёров. В ноябре я прибыл на фронт. В штабе 50 армейского корпуса у начальника сапёрных войск полковника Дюринга я получил необходимые сведения и побывал у Лиговского канала, а также около города Пушкин. Я имел полную возможность осмотреть укрепления, возведённые под Ленинградом, и нашёл их в прекрасном состоянии. Такого же мнения придерживались военные специалисты в Берлине и на фронте. Все были в полной уверенности, что наши укрепления </w:t>
      </w:r>
      <w:r w:rsidRPr="00070ADE">
        <w:rPr>
          <w:rFonts w:ascii="Times New Roman" w:hAnsi="Times New Roman"/>
          <w:color w:val="000000" w:themeColor="text1"/>
          <w:sz w:val="16"/>
          <w:szCs w:val="16"/>
        </w:rPr>
        <w:lastRenderedPageBreak/>
        <w:t>неприступны и выдержат любой натиск советских войск. Однако последние события показали, что мы недооценили способности русских. Огонь русской артиллерии буквально смешал с землёй всё, даже самые мощные инженерные укрепления, которыемы строили и совершенствовали в течение двух лет» (15040).</w:t>
      </w:r>
    </w:p>
    <w:p w14:paraId="2FB109DF" w14:textId="77777777" w:rsidR="00B41B6B" w:rsidRPr="00070ADE" w:rsidRDefault="00B41B6B" w:rsidP="00B56F90">
      <w:pPr>
        <w:spacing w:after="0" w:line="240" w:lineRule="auto"/>
        <w:jc w:val="both"/>
        <w:rPr>
          <w:rFonts w:ascii="Times New Roman" w:hAnsi="Times New Roman"/>
          <w:color w:val="000000" w:themeColor="text1"/>
          <w:sz w:val="16"/>
          <w:szCs w:val="16"/>
        </w:rPr>
      </w:pPr>
    </w:p>
    <w:p w14:paraId="35D478C5"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14 февраля</w:t>
      </w:r>
      <w:r w:rsidRPr="00070ADE">
        <w:rPr>
          <w:rFonts w:ascii="Times New Roman" w:hAnsi="Times New Roman"/>
          <w:color w:val="000000" w:themeColor="text1"/>
          <w:sz w:val="16"/>
          <w:szCs w:val="16"/>
        </w:rPr>
        <w:t xml:space="preserve"> в 1944 году высадка силами Краснознаменного Балтийского флота десанта в районе Мерекюла (15040).</w:t>
      </w:r>
    </w:p>
    <w:p w14:paraId="3329DF5B" w14:textId="77777777" w:rsidR="00B41B6B" w:rsidRPr="00070ADE" w:rsidRDefault="00B41B6B" w:rsidP="00B56F90">
      <w:pPr>
        <w:spacing w:after="0" w:line="240" w:lineRule="auto"/>
        <w:jc w:val="both"/>
        <w:rPr>
          <w:rFonts w:ascii="Times New Roman" w:hAnsi="Times New Roman"/>
          <w:color w:val="000000" w:themeColor="text1"/>
          <w:sz w:val="16"/>
          <w:szCs w:val="16"/>
        </w:rPr>
      </w:pPr>
    </w:p>
    <w:p w14:paraId="686A6BF7" w14:textId="77777777" w:rsidR="00B41B6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55BCCEA0" w14:textId="77777777" w:rsidR="00B41B6B" w:rsidRPr="00070ADE" w:rsidRDefault="00B41B6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4FBF8B"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14 февраля</w:t>
      </w:r>
      <w:r w:rsidRPr="00070ADE">
        <w:rPr>
          <w:rFonts w:ascii="Times New Roman" w:hAnsi="Times New Roman"/>
          <w:color w:val="000000" w:themeColor="text1"/>
          <w:sz w:val="16"/>
          <w:szCs w:val="16"/>
        </w:rPr>
        <w:t xml:space="preserve"> в 1944 году (14–17 февраля) общее собрание Академии наук СССР в Москве (15040).</w:t>
      </w:r>
    </w:p>
    <w:p w14:paraId="59741528" w14:textId="77777777" w:rsidR="00B41B6B" w:rsidRPr="00070ADE" w:rsidRDefault="00B41B6B" w:rsidP="00B56F90">
      <w:pPr>
        <w:spacing w:after="0" w:line="240" w:lineRule="auto"/>
        <w:jc w:val="both"/>
        <w:rPr>
          <w:rFonts w:ascii="Times New Roman" w:hAnsi="Times New Roman"/>
          <w:color w:val="000000" w:themeColor="text1"/>
          <w:sz w:val="16"/>
          <w:szCs w:val="16"/>
        </w:rPr>
      </w:pPr>
    </w:p>
    <w:p w14:paraId="555C7B5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57F3BF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12BC9F"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14 февраля</w:t>
      </w:r>
      <w:r w:rsidRPr="00070ADE">
        <w:rPr>
          <w:rFonts w:ascii="Times New Roman" w:hAnsi="Times New Roman"/>
          <w:color w:val="000000" w:themeColor="text1"/>
          <w:sz w:val="16"/>
          <w:szCs w:val="16"/>
        </w:rPr>
        <w:t xml:space="preserve"> в 1944 году поднялся в воздух под управлением Боба Чилтона (Bob Chilton) первый прототип </w:t>
      </w:r>
      <w:hyperlink r:id="rId45" w:tgtFrame="_blank" w:history="1">
        <w:r w:rsidRPr="00070ADE">
          <w:rPr>
            <w:rFonts w:ascii="Times New Roman" w:hAnsi="Times New Roman"/>
            <w:color w:val="000000" w:themeColor="text1"/>
            <w:sz w:val="16"/>
            <w:szCs w:val="16"/>
          </w:rPr>
          <w:t>«XP-51F» (15040).</w:t>
        </w:r>
      </w:hyperlink>
    </w:p>
    <w:p w14:paraId="12DAF7BB" w14:textId="77777777" w:rsidR="00B41B6B" w:rsidRPr="00070ADE" w:rsidRDefault="00B41B6B" w:rsidP="00B56F90">
      <w:pPr>
        <w:spacing w:after="0" w:line="240" w:lineRule="auto"/>
        <w:jc w:val="both"/>
        <w:rPr>
          <w:rFonts w:ascii="Times New Roman" w:hAnsi="Times New Roman"/>
          <w:color w:val="000000" w:themeColor="text1"/>
          <w:sz w:val="16"/>
          <w:szCs w:val="16"/>
        </w:rPr>
      </w:pPr>
    </w:p>
    <w:p w14:paraId="0748C9C0" w14:textId="2035DB44" w:rsidR="004D7B45" w:rsidRPr="00070ADE" w:rsidRDefault="004D7B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февраля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Поднялся в воздух под управлением Боба Чилтона (Bob Chilton) первый прототип XP-51F.</w:t>
      </w:r>
    </w:p>
    <w:p w14:paraId="0E7075C3" w14:textId="77777777" w:rsidR="004D7B45" w:rsidRPr="00070ADE" w:rsidRDefault="004D7B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Прототип XP-51F имел лишь внешнее сходство со всеми предыдущими моделями Mustang и ни одна деталь от конструкции прежних машин не подходила к новой. Большинство изменений преследовало одну цель - снижение взлетного веса. Изменениям подверглись основные стойки шасси, колеса и покрышки получили меньшую размерность. Новые колеса потребовали установки новых дисковых тормозов. Крыло имело немного большую площадь и прямую переднюю кромку, без характерного для ранних версий Mustang изгиба. Крыло получило несколько измененный ламинарный профиль со сниженным лобовым сопротивлением. Два внутренних пулемета были сняты и вооружение XP-51F состояло из четырех 12,7 мм пулеметов Browning MG53-2 с боекомплектом по 440 патронов. Объем каждого крыльевого топливного бака был снижен до 102 американских галлонов, а фюзеляжный бак за кабиной пилота был снят (22598).</w:t>
      </w:r>
    </w:p>
    <w:p w14:paraId="0B62775C" w14:textId="77777777" w:rsidR="004D7B45" w:rsidRPr="00070ADE" w:rsidRDefault="004D7B45" w:rsidP="00B56F90">
      <w:pPr>
        <w:spacing w:after="0" w:line="240" w:lineRule="auto"/>
        <w:jc w:val="both"/>
        <w:rPr>
          <w:rFonts w:ascii="Times New Roman" w:hAnsi="Times New Roman"/>
          <w:color w:val="000000" w:themeColor="text1"/>
          <w:sz w:val="16"/>
          <w:szCs w:val="16"/>
        </w:rPr>
      </w:pPr>
    </w:p>
    <w:p w14:paraId="755E7DD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февраля 1944 немецкие фашисты взяли под контроль средиземноморское побережье вишисткой Франции (4962).</w:t>
      </w:r>
    </w:p>
    <w:p w14:paraId="450EE18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EE968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февраля 1944 приказом Гитлера ликвидирован абвер (отдел военной разведки) (4962).</w:t>
      </w:r>
    </w:p>
    <w:p w14:paraId="6A12033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1197EA"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14 февраля</w:t>
      </w:r>
      <w:r w:rsidRPr="00070ADE">
        <w:rPr>
          <w:rFonts w:ascii="Times New Roman" w:hAnsi="Times New Roman"/>
          <w:color w:val="000000" w:themeColor="text1"/>
          <w:sz w:val="16"/>
          <w:szCs w:val="16"/>
        </w:rPr>
        <w:t xml:space="preserve"> в 1944 году крейсер Сен-Луи получает попадание бомбы. 23 человека погибли, 20 ранены (15040) (15040).</w:t>
      </w:r>
    </w:p>
    <w:p w14:paraId="4DFDC46C" w14:textId="77777777" w:rsidR="00B41B6B" w:rsidRPr="00070ADE" w:rsidRDefault="00B41B6B" w:rsidP="00B56F90">
      <w:pPr>
        <w:spacing w:after="0" w:line="240" w:lineRule="auto"/>
        <w:jc w:val="both"/>
        <w:rPr>
          <w:rFonts w:ascii="Times New Roman" w:hAnsi="Times New Roman"/>
          <w:color w:val="000000" w:themeColor="text1"/>
          <w:sz w:val="16"/>
          <w:szCs w:val="16"/>
        </w:rPr>
      </w:pPr>
    </w:p>
    <w:p w14:paraId="1B6549F7"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7D33D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E4AC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(5,122) опытный образец Ил-10 был готов. Согласно В.Н.Бугайскому - ответственному представителю ОКБ С.В.И. на заводе - он был оснащен еще АМ-38Ф, так как АМ-42 еще не поступили (5,122).</w:t>
      </w:r>
    </w:p>
    <w:p w14:paraId="68CD27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1772E8" w14:textId="77777777" w:rsidR="00D5636F" w:rsidRPr="00070ADE" w:rsidRDefault="00D5636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уда</w:t>
      </w:r>
      <w:r w:rsidRPr="00070ADE">
        <w:rPr>
          <w:rFonts w:ascii="Times New Roman" w:hAnsi="Times New Roman"/>
          <w:color w:val="000000" w:themeColor="text1"/>
          <w:sz w:val="16"/>
          <w:szCs w:val="16"/>
        </w:rPr>
        <w:softHyphen/>
        <w:t>лось выполнить повторное опробование мотора АМ-42 на Су-6. Мо</w:t>
      </w:r>
      <w:r w:rsidRPr="00070ADE">
        <w:rPr>
          <w:rFonts w:ascii="Times New Roman" w:hAnsi="Times New Roman"/>
          <w:color w:val="000000" w:themeColor="text1"/>
          <w:sz w:val="16"/>
          <w:szCs w:val="16"/>
        </w:rPr>
        <w:softHyphen/>
        <w:t>тор работал нормально, но водяной ра</w:t>
      </w:r>
      <w:r w:rsidRPr="00070ADE">
        <w:rPr>
          <w:rFonts w:ascii="Times New Roman" w:hAnsi="Times New Roman"/>
          <w:color w:val="000000" w:themeColor="text1"/>
          <w:sz w:val="16"/>
          <w:szCs w:val="16"/>
        </w:rPr>
        <w:softHyphen/>
        <w:t>диатор вновь дал течь. Причина - чрез</w:t>
      </w:r>
      <w:r w:rsidRPr="00070ADE">
        <w:rPr>
          <w:rFonts w:ascii="Times New Roman" w:hAnsi="Times New Roman"/>
          <w:color w:val="000000" w:themeColor="text1"/>
          <w:sz w:val="16"/>
          <w:szCs w:val="16"/>
        </w:rPr>
        <w:softHyphen/>
        <w:t>мерно большое давление в водяной системе (4 атм вместо 2-2,5 атм). Для снижения давления в ра</w:t>
      </w:r>
      <w:r w:rsidRPr="00070ADE">
        <w:rPr>
          <w:rFonts w:ascii="Times New Roman" w:hAnsi="Times New Roman"/>
          <w:color w:val="000000" w:themeColor="text1"/>
          <w:sz w:val="16"/>
          <w:szCs w:val="16"/>
        </w:rPr>
        <w:softHyphen/>
        <w:t>диаторе в водяную систему «временно до изготовления главным конструктором мо</w:t>
      </w:r>
      <w:r w:rsidRPr="00070ADE">
        <w:rPr>
          <w:rFonts w:ascii="Times New Roman" w:hAnsi="Times New Roman"/>
          <w:color w:val="000000" w:themeColor="text1"/>
          <w:sz w:val="16"/>
          <w:szCs w:val="16"/>
        </w:rPr>
        <w:softHyphen/>
        <w:t>тора Микулиным водопомпы нормальной прокачки» включили специальные дрос</w:t>
      </w:r>
      <w:r w:rsidRPr="00070ADE">
        <w:rPr>
          <w:rFonts w:ascii="Times New Roman" w:hAnsi="Times New Roman"/>
          <w:color w:val="000000" w:themeColor="text1"/>
          <w:sz w:val="16"/>
          <w:szCs w:val="16"/>
        </w:rPr>
        <w:softHyphen/>
        <w:t>сельные заслонки перед входом в водо- радиатор, понижающие давление в водя</w:t>
      </w:r>
      <w:r w:rsidRPr="00070ADE">
        <w:rPr>
          <w:rFonts w:ascii="Times New Roman" w:hAnsi="Times New Roman"/>
          <w:color w:val="000000" w:themeColor="text1"/>
          <w:sz w:val="16"/>
          <w:szCs w:val="16"/>
        </w:rPr>
        <w:softHyphen/>
        <w:t>ной системе до требуемых норм». Кроме этого поставили радиатор «повышенной прочности». И все заработало. Самолет сочли полностью подготовленным к пере</w:t>
      </w:r>
      <w:r w:rsidRPr="00070ADE">
        <w:rPr>
          <w:rFonts w:ascii="Times New Roman" w:hAnsi="Times New Roman"/>
          <w:color w:val="000000" w:themeColor="text1"/>
          <w:sz w:val="16"/>
          <w:szCs w:val="16"/>
        </w:rPr>
        <w:softHyphen/>
        <w:t>даче на ЛИС завода (19853).</w:t>
      </w:r>
    </w:p>
    <w:p w14:paraId="559FE3C7" w14:textId="77777777" w:rsidR="00D5636F" w:rsidRPr="00070ADE" w:rsidRDefault="00D5636F" w:rsidP="00B56F90">
      <w:pPr>
        <w:spacing w:after="0" w:line="240" w:lineRule="auto"/>
        <w:jc w:val="both"/>
        <w:rPr>
          <w:rFonts w:ascii="Times New Roman" w:hAnsi="Times New Roman"/>
          <w:color w:val="000000" w:themeColor="text1"/>
          <w:sz w:val="16"/>
          <w:szCs w:val="16"/>
        </w:rPr>
      </w:pPr>
    </w:p>
    <w:p w14:paraId="217E83A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в воздух поднялся первый серийный Ер-2/АЧ-30Б 39 завода в Иркутске N 7013901 и испытания проводили Н.С.Бушкевич, А.А.Холодов, П.И.Тихонов, В.М.Токарев, И.П.Яшин. Испытания шли до 5 октября 1944. Сначала хотели испытывать 2-й - N 7013903, но на нем сразу сдали двигатели (2391,14). Потом на заводе было два стапеля с эллипсовидной и упрощенной носовой частью фюзеляжа. Использовались одновременно. Всего сделали 391 машину (1724,55).</w:t>
      </w:r>
    </w:p>
    <w:p w14:paraId="0D8E67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была машина, изготовленная в соответствии с макетом, утвержденным АДД 3 сентября 1943. Первые серийные появились еще в декабре 1943. Двигатели вынесли на 145 мм вперед, расширили кабину и посадили л рядом, увеличили площадь крыла на 1.62 м, ВО на 1.38 м, ГО на 0.62 м. Размах центроплана вырос на 290 мм, а бомбоотсек был удлинен на 102 мм. Сначала ставили ВИШ-24, а затем АВ-5ЛВ-116. Носовую установку Торопова под 12.7 мм с 220 патронами заменили на НУ-134 шарового типа под 5 магазинов по 65 патронов. На фюзеляже сначала поставили ТКУМ-5, а потом ТУМ-5М с электроприводом по горизонту под ШВАК и боезапас 200 снарядов и ОПТ-3. В ЛУ вместо БТ с ручной перезарядкой поставили УБК с пневмоперезарядкой на 275 патронов. Вместо ПС-1 в качестве бомбардировочного прицела поставили ОПБ-1Р и ночной НКПБ-7. Баки довели до 6420 л керосина. Колеса поставили 1325х485 мм и 700х300 м (2865,10).</w:t>
      </w:r>
    </w:p>
    <w:p w14:paraId="2B2589A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 был Н.М.Кокорин, вл - В.В.Лисицын, а ш - Литвинчук (2865,10).</w:t>
      </w:r>
    </w:p>
    <w:p w14:paraId="5A1F3BB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439A9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г. был выполнен первый полет бомбардировщика Ер-2 с авиадвигателями АЧ-30Б на Иркутском авиазаводе (6395).</w:t>
      </w:r>
    </w:p>
    <w:p w14:paraId="6B8ED0B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EA2DD6"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15 февраля</w:t>
      </w:r>
      <w:r w:rsidRPr="00070ADE">
        <w:rPr>
          <w:rFonts w:ascii="Times New Roman" w:hAnsi="Times New Roman"/>
          <w:color w:val="000000" w:themeColor="text1"/>
          <w:sz w:val="16"/>
          <w:szCs w:val="16"/>
        </w:rPr>
        <w:t xml:space="preserve"> 1944 году первый полет бомбардировщика Ер-2 с авиадизелями АЧ-30Б на Иркутском авиазаводе (15041).</w:t>
      </w:r>
    </w:p>
    <w:p w14:paraId="12ED427C" w14:textId="77777777" w:rsidR="00B41B6B" w:rsidRPr="00070ADE" w:rsidRDefault="00B41B6B" w:rsidP="00B56F90">
      <w:pPr>
        <w:spacing w:after="0" w:line="240" w:lineRule="auto"/>
        <w:jc w:val="both"/>
        <w:rPr>
          <w:rFonts w:ascii="Times New Roman" w:hAnsi="Times New Roman"/>
          <w:color w:val="000000" w:themeColor="text1"/>
          <w:sz w:val="16"/>
          <w:szCs w:val="16"/>
        </w:rPr>
      </w:pPr>
    </w:p>
    <w:p w14:paraId="331C5D6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г. первый иркутский Ер-2/АЧ-30Б, сданный по сборке в январе 1944, поднялся в воздух. Испытания новой машины проводили заводские летчики-испытатели Н.С. Бушкевич, А.А. Холодов, П.И. Тихонов, В.М. Токарев. Самолет принимала государственная комиссия во главе с летчиком-испытателем ПИИ ВВС Кокориным, который отметил в своем рапорте, что руководство и коллектив завода с заданием ГКО справились и головная машина показала удовлетворительные результаты по летным и боевым качествам, а также по прочности конструкции.</w:t>
      </w:r>
    </w:p>
    <w:p w14:paraId="6238D1E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построили десять Ер-2 и 20 Ил-4, в марте - восемнадцать Ер-2 и пятнадцать Ил-4. В июле 1944 г. было построено тридцать Ер-2 параллельно с последними десятью Ил-4.</w:t>
      </w:r>
    </w:p>
    <w:p w14:paraId="38DA34D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со своим предшественником, дизельный образец Ер-2 внешне отличался более вытянутыми обводами фюзеляжа, роговой компенсацией рулей поворота, большими колесами, несколько измененной конструкцией жалюзей тоннельных радиаторов и, соответственно, крыла (на носках консолей появились характерные "стаканчики").</w:t>
      </w:r>
    </w:p>
    <w:p w14:paraId="2629B1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Иркутский вариант Ер-2 имел увеличенную взлетную массу и площадь крыла, усиленное оборонительное вооружение, состоявшее из двух крупнокалиберных пулеметов УБТ и УБК, а также пушки ШВАК на ту- рельной установке ТУМ-5. Максимальная бомбовая нагрузка возросла до 5000 кг, сделав Ер-2 самым мощным двухмоторным бомбардировщиком отечественной постройки.</w:t>
      </w:r>
    </w:p>
    <w:p w14:paraId="28788D9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Строившиеся серийные самолеты отнюдь не были "близнецами" и между собой. Так длительная и сложная технология изготовления эллипсовидной носовой части и, соответственно, жесткие требования к сборочной оснастке и геометрическим контурам, побудили конструкторов изменить обводы штурманской кабины.</w:t>
      </w:r>
    </w:p>
    <w:p w14:paraId="33DBC67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 разработан вариант "со спрямленным носом", позволявший, в частности, упростить и ускорить изготовление остекления. Аэродинамика при этом не ухудшилась. Комплект упрощенных стапелей запустили в производство параллельно с уже использующейся старой оснасткой. Самолет, в зависимости от того, на какую линию сборки он попадал, мог получить разные носовые части. Таким образом, различия в иркутских машинах, которые можно видеть на сохранившихся фотоснимках, объясняются этой причиной, а не временем выпуска и серией машины. Например, уже среди первых 22 иркутских Ер-2 с симметричной кабиной пилота, часть самолетов имела новую носовую часть.</w:t>
      </w:r>
    </w:p>
    <w:p w14:paraId="1159DE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Поскольку еще в начале войны опыт использования самолетов ДБ-3, Ил-4 и Ер-2 в составе АДД выявил необходимость иметь в составе экипажа дальнего бомбардировщика второго летчика, возобновление производства Ер-2 дало благоприятную возможность реализовать это требование. Ранее были разработаны два варианта двухместной кабины: в первом - летчики сидели друг за другом по схеме "таtщем ", под доработа11 - ным ассиметричным фонарем, во втором - их кресла стояли рядом, боковое обзорное остекление правого борта устранялось и самолет оснащался классическим фонарем (этот вариант В.Г. Ермолаев и утвердил 18 ноября 1943 г.).</w:t>
      </w:r>
    </w:p>
    <w:p w14:paraId="3FC47BC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Варианты самолета имели, соответственно, наименования Ер-1 и Ер-2, что вносило путаницу в директивную конструкторско-тех- нологическую документацию. В производстве еще находился исходный "одноместный" бомбардировщик Ер-2, а службам подготовки уже стала поступать документация на "двухместный" Ер-1, потом на "двухместный" Ер-2!</w:t>
      </w:r>
    </w:p>
    <w:p w14:paraId="6FCDEC1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Когда же дошла директива "о приостановке работ над самолетом "Ер-1", руководство завода, для наведения ясности "в обозначении производимых изделий", временно ввело для "внутреннего пользования" свои индексы. Исходный "одноместный" бомбардировщик с асимметричной кабиной именовался Ер-2/1, новый, "двухместный" - Ер-2/2. Позже, когда в производстве остался только самолет с двумя летчиками, надобность в этих индексах отпала и вернулись к первоначальному обозначению Ер-2.</w:t>
      </w:r>
    </w:p>
    <w:p w14:paraId="49E81EC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Бомбардировщик нравился строевым летчикам за его удобную кабину с отличным обзором, хорошую устойчивость и легкость в управлении, высокую живучесть, значительно возросшие возможности стрелкового и бомбового вооружения. Иркутские "Ермошки" интенсивно использовались на северо-западном и прибалтийском направлениях. В частности, своими крупнокалиберными бомбами они внесли существенный вклад в успех штурма Кенигсберга.</w:t>
      </w:r>
    </w:p>
    <w:p w14:paraId="68F197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Дизельные двигатели АЧ-ЗОБ, официально считавшимися вполне надежными для серии, не переставали подбрасывать проблемы. Выходила из строя масляная система, прогорали поршневые кольца и т.п. Но зачастую причинами отказов были отнюдь не конструктивные дефекты. Для многих двигателей использовался металл, содержащий некачественные заменители дефицитных легирующих добавок, доставлявшихся из-за рубежа. "Эрзац" не выдерживал иногда даже штатной "напряженной" работы, не говоря уже о форсированных режимах... Это явилось причиной некоторых аварий на перегонах Ер-2 в строевые части, а также ряда вынужденных посадок на заводских испытаниях.</w:t>
      </w:r>
    </w:p>
    <w:p w14:paraId="173DAB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Например, на опытной машине, оснащенной флюгерными винтами, предполагалось проверить их работу при отключаемых двигателях. Новый вариант Ер-2 испытывал экипаж завода № 39 - летчик И.П. Яшин, контрольный бортмеханик П.Ф. Крейсик и бортрадист В.И. Кишкин. В воздухе левый дизель "решил играть честно" - масляная система вышла из строя и флюгировать винт пришлось в реальной аварийной ситуации. С одним работающим двигателем возникла резкая тряска и экипажу была дана команда покинуть самолет, но Яшин и Крейсик, предупредив радиста, дотянули все-таки до заводского аэродрома (12037).</w:t>
      </w:r>
    </w:p>
    <w:p w14:paraId="33E8B05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0C253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на заводские испытания поступил Ла-5 с М-82ФН и 3 20 мм пушками Б-20 (2902,30</w:t>
      </w:r>
    </w:p>
    <w:p w14:paraId="3A0FD0C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CA765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начали стрельбы в воздухе на трехточечном Ла-5. Через 4 дня машину приняли в НИИ ВВС, где летчики А.Г. Кубышкин и Г.А. Модестов приступили к Госиспытани</w:t>
      </w:r>
      <w:r w:rsidRPr="00070ADE">
        <w:rPr>
          <w:rFonts w:ascii="Times New Roman" w:hAnsi="Times New Roman"/>
          <w:color w:val="000000" w:themeColor="text1"/>
          <w:sz w:val="16"/>
          <w:szCs w:val="16"/>
        </w:rPr>
        <w:softHyphen/>
        <w:t>ям. Акт по их итогам подписали в первой декаде мар</w:t>
      </w:r>
      <w:r w:rsidRPr="00070ADE">
        <w:rPr>
          <w:rFonts w:ascii="Times New Roman" w:hAnsi="Times New Roman"/>
          <w:color w:val="000000" w:themeColor="text1"/>
          <w:sz w:val="16"/>
          <w:szCs w:val="16"/>
        </w:rPr>
        <w:softHyphen/>
        <w:t>та. Постановление ГКО № 5404с по «трехточечному» Ла-5 вышло 15 марта, когда нужды в нем уже не было. С тремя Б-20 серийно выпускались лишь Ла-7, да и то не все (11123).</w:t>
      </w:r>
    </w:p>
    <w:p w14:paraId="712983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9C0955"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г. самолёт «3Б» (т.е. вооружённый тремя новыми 20-мм синхронными пушками Б-20), или «эталон 1944 года» поступил в НИИ ВВС, где показал прекрасные лётные характеристики: максимальную скорость у земли на номинале — 597 км/ч, на 2-й границе высотности 6000 м — 680 км/ч, время набора 5000 м — 4,45 мин.</w:t>
      </w:r>
    </w:p>
    <w:p w14:paraId="5D1EE3CF"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 самым было доказано, что и при серийном АШ-82ФН можно иметь такие же лёт</w:t>
      </w:r>
      <w:r w:rsidRPr="00070ADE">
        <w:rPr>
          <w:rFonts w:ascii="Times New Roman" w:hAnsi="Times New Roman"/>
          <w:color w:val="000000" w:themeColor="text1"/>
          <w:sz w:val="16"/>
          <w:szCs w:val="16"/>
        </w:rPr>
        <w:softHyphen/>
        <w:t>ные данные, как и у И-185 с более мощным М-71 и меньшей площадью крыла. Тем бо</w:t>
      </w:r>
      <w:r w:rsidRPr="00070ADE">
        <w:rPr>
          <w:rFonts w:ascii="Times New Roman" w:hAnsi="Times New Roman"/>
          <w:color w:val="000000" w:themeColor="text1"/>
          <w:sz w:val="16"/>
          <w:szCs w:val="16"/>
        </w:rPr>
        <w:softHyphen/>
        <w:t>лее, что к 1944 г. работы завода № 19 по форсированному М-71Ф, получившему наименование АШ-72, сильно затянулись. Из-за поломок коленвала этот мотор никак не мог выйти за пределы 50-часовых испытаний (15829).</w:t>
      </w:r>
    </w:p>
    <w:p w14:paraId="0516658D" w14:textId="77777777" w:rsidR="00B41B6B" w:rsidRPr="00070ADE" w:rsidRDefault="00B41B6B" w:rsidP="00B56F90">
      <w:pPr>
        <w:spacing w:after="0" w:line="240" w:lineRule="auto"/>
        <w:jc w:val="both"/>
        <w:rPr>
          <w:rFonts w:ascii="Times New Roman" w:hAnsi="Times New Roman"/>
          <w:color w:val="000000" w:themeColor="text1"/>
          <w:sz w:val="16"/>
          <w:szCs w:val="16"/>
        </w:rPr>
      </w:pPr>
    </w:p>
    <w:p w14:paraId="12D92E66"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г. самолет 3Б - эталон Ла-5 1944 года перегнали в НИИ ВВС на государст</w:t>
      </w:r>
      <w:r w:rsidRPr="00070ADE">
        <w:rPr>
          <w:rFonts w:ascii="Times New Roman" w:hAnsi="Times New Roman"/>
          <w:color w:val="000000" w:themeColor="text1"/>
          <w:sz w:val="16"/>
          <w:szCs w:val="16"/>
        </w:rPr>
        <w:softHyphen/>
        <w:t>венные испытания. Новый Ла-5, похоже, появился для на</w:t>
      </w:r>
      <w:r w:rsidRPr="00070ADE">
        <w:rPr>
          <w:rFonts w:ascii="Times New Roman" w:hAnsi="Times New Roman"/>
          <w:color w:val="000000" w:themeColor="text1"/>
          <w:sz w:val="16"/>
          <w:szCs w:val="16"/>
        </w:rPr>
        <w:softHyphen/>
        <w:t>чальства НИИ ВВС неожиданно. В акте по результатам испытаний написано, что они нача</w:t>
      </w:r>
      <w:r w:rsidRPr="00070ADE">
        <w:rPr>
          <w:rFonts w:ascii="Times New Roman" w:hAnsi="Times New Roman"/>
          <w:color w:val="000000" w:themeColor="text1"/>
          <w:sz w:val="16"/>
          <w:szCs w:val="16"/>
        </w:rPr>
        <w:softHyphen/>
        <w:t>лись 16 числа, приказ по НИИ ВВС № 041 о проведении госиспытаний эталона 1944 са</w:t>
      </w:r>
      <w:r w:rsidRPr="00070ADE">
        <w:rPr>
          <w:rFonts w:ascii="Times New Roman" w:hAnsi="Times New Roman"/>
          <w:color w:val="000000" w:themeColor="text1"/>
          <w:sz w:val="16"/>
          <w:szCs w:val="16"/>
        </w:rPr>
        <w:softHyphen/>
        <w:t>молета Ла-5 (3-пушечный) с М-82ФН про</w:t>
      </w:r>
      <w:r w:rsidRPr="00070ADE">
        <w:rPr>
          <w:rFonts w:ascii="Times New Roman" w:hAnsi="Times New Roman"/>
          <w:color w:val="000000" w:themeColor="text1"/>
          <w:sz w:val="16"/>
          <w:szCs w:val="16"/>
        </w:rPr>
        <w:softHyphen/>
        <w:t>изводства 21 завода был подписан 19 февра</w:t>
      </w:r>
      <w:r w:rsidRPr="00070ADE">
        <w:rPr>
          <w:rFonts w:ascii="Times New Roman" w:hAnsi="Times New Roman"/>
          <w:color w:val="000000" w:themeColor="text1"/>
          <w:sz w:val="16"/>
          <w:szCs w:val="16"/>
        </w:rPr>
        <w:softHyphen/>
        <w:t>ля, и он предписывал начать работы днем раньше - 18 февраля. Испытательную брига</w:t>
      </w:r>
      <w:r w:rsidRPr="00070ADE">
        <w:rPr>
          <w:rFonts w:ascii="Times New Roman" w:hAnsi="Times New Roman"/>
          <w:color w:val="000000" w:themeColor="text1"/>
          <w:sz w:val="16"/>
          <w:szCs w:val="16"/>
        </w:rPr>
        <w:softHyphen/>
        <w:t>ду сформировали аж из 19 человек. Ведущи</w:t>
      </w:r>
      <w:r w:rsidRPr="00070ADE">
        <w:rPr>
          <w:rFonts w:ascii="Times New Roman" w:hAnsi="Times New Roman"/>
          <w:color w:val="000000" w:themeColor="text1"/>
          <w:sz w:val="16"/>
          <w:szCs w:val="16"/>
        </w:rPr>
        <w:softHyphen/>
        <w:t>ми летчиками назначили майора А.Г. Кубышкина и лейтенанта, В.А. Модестова, ведущим инженером инженер-капитана В.К. Алексеенко, правда, по факту полетать пришлось только Кубышкину (24194).</w:t>
      </w:r>
    </w:p>
    <w:p w14:paraId="30D5CC15" w14:textId="77777777" w:rsidR="00A53A3E" w:rsidRPr="00070ADE" w:rsidRDefault="00A53A3E" w:rsidP="00B56F90">
      <w:pPr>
        <w:spacing w:after="0" w:line="240" w:lineRule="auto"/>
        <w:jc w:val="both"/>
        <w:rPr>
          <w:rFonts w:ascii="Times New Roman" w:hAnsi="Times New Roman"/>
          <w:color w:val="000000" w:themeColor="text1"/>
          <w:sz w:val="16"/>
          <w:szCs w:val="16"/>
        </w:rPr>
      </w:pPr>
    </w:p>
    <w:p w14:paraId="474294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15 февраля 1944 состояние опытного строительства на 21 заводе было следующим:</w:t>
      </w:r>
    </w:p>
    <w:p w14:paraId="60491C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Внедрение металлических лонжеронов:</w:t>
      </w:r>
    </w:p>
    <w:p w14:paraId="6FC793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Пущены в ход продольно-строгальный и фрезеные станки “Ньютон”. Начата строжка и фрезеровка полок лонжеронов из поковок завода “Серп и молот”. Собрано 4 комплекта консолей крыла из деталей завода № 381. Сборка лонжеронов идет медленно из-за большого количества технологических неувязок.</w:t>
      </w:r>
    </w:p>
    <w:p w14:paraId="567CB8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 стороны руководства завода внимания к внедрению металлических лонжеронов недостаточно. Цех за месяц не собрал ни одного лонжерона.</w:t>
      </w:r>
    </w:p>
    <w:p w14:paraId="09B50E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Эталон 1944 дублер. М-83 еще не прибыл.ю Будет установлен М-82ФНА. Ведутся работы по облегчению на 100 кг. Облегчается средняя часть фюзеляжа от мотора до 5 шпангоута и устанавливается металлическая клетка - 35 кг., облегчается моторама - 10 кг. Облегчаются капоты - 15 кг.</w:t>
      </w:r>
    </w:p>
    <w:p w14:paraId="01E8AE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Ла-7 М-71 дублер.. Начата подготовительные работы к переделкам. Заборник в/радиатора будет перенесен в носки центроплана. Будет установлена специальная заслонка на всасывающий патрубок, которые будут открываться при уборке шасси.</w:t>
      </w:r>
    </w:p>
    <w:p w14:paraId="568BF91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Доводки серийных с-тов:</w:t>
      </w:r>
    </w:p>
    <w:p w14:paraId="52DFC1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целью устранения вываливания костыляв полете испытавается ограничитель на поворот кардана шторок.</w:t>
      </w:r>
    </w:p>
    <w:p w14:paraId="6D0663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Начата разработка серийных чертежей на эталон 1944 г. Срок выпуска чертежей - 1 марта.</w:t>
      </w:r>
    </w:p>
    <w:p w14:paraId="292C09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Проведение статиспытания. В ЦАГИ испытывался Ла-5 ФН № 0206 эталон 1944 дублерю Установлен мотор М-82ФНА, т.к. мотор М-83 не прибыл</w:t>
      </w:r>
    </w:p>
    <w:p w14:paraId="196E5E4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 М-71 - начата переделка с-та по типу эталона 1944. Срок - к 1 апреля (738,15).</w:t>
      </w:r>
    </w:p>
    <w:p w14:paraId="3A240C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ED7B6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года самолет Ла-5 «3Б» (т.е. вооруженнный тремя новыми 20 мм синхронными пушками Б-20), или «эта</w:t>
      </w:r>
      <w:r w:rsidRPr="00070ADE">
        <w:rPr>
          <w:rFonts w:ascii="Times New Roman" w:hAnsi="Times New Roman"/>
          <w:color w:val="000000" w:themeColor="text1"/>
          <w:sz w:val="16"/>
          <w:szCs w:val="16"/>
        </w:rPr>
        <w:softHyphen/>
        <w:t>лон 1944 года» поступил в НИИ ВВС, где показал пре</w:t>
      </w:r>
      <w:r w:rsidRPr="00070ADE">
        <w:rPr>
          <w:rFonts w:ascii="Times New Roman" w:hAnsi="Times New Roman"/>
          <w:color w:val="000000" w:themeColor="text1"/>
          <w:sz w:val="16"/>
          <w:szCs w:val="16"/>
        </w:rPr>
        <w:softHyphen/>
        <w:t>красные летные характеристики: мак</w:t>
      </w:r>
      <w:r w:rsidRPr="00070ADE">
        <w:rPr>
          <w:rFonts w:ascii="Times New Roman" w:hAnsi="Times New Roman"/>
          <w:color w:val="000000" w:themeColor="text1"/>
          <w:sz w:val="16"/>
          <w:szCs w:val="16"/>
        </w:rPr>
        <w:softHyphen/>
        <w:t>симальную скорость у земли на но</w:t>
      </w:r>
      <w:r w:rsidRPr="00070ADE">
        <w:rPr>
          <w:rFonts w:ascii="Times New Roman" w:hAnsi="Times New Roman"/>
          <w:color w:val="000000" w:themeColor="text1"/>
          <w:sz w:val="16"/>
          <w:szCs w:val="16"/>
        </w:rPr>
        <w:softHyphen/>
        <w:t>минале - 597 км/ч, на 2-й границе высотности 6000 м - 680 км/ч, время набора 5000 м - 4,45 мин. Еще в начале 1943 года, пос</w:t>
      </w:r>
      <w:r w:rsidRPr="00070ADE">
        <w:rPr>
          <w:rFonts w:ascii="Times New Roman" w:hAnsi="Times New Roman"/>
          <w:color w:val="000000" w:themeColor="text1"/>
          <w:sz w:val="16"/>
          <w:szCs w:val="16"/>
        </w:rPr>
        <w:softHyphen/>
        <w:t>ле проведения тщательных исследо</w:t>
      </w:r>
      <w:r w:rsidRPr="00070ADE">
        <w:rPr>
          <w:rFonts w:ascii="Times New Roman" w:hAnsi="Times New Roman"/>
          <w:color w:val="000000" w:themeColor="text1"/>
          <w:sz w:val="16"/>
          <w:szCs w:val="16"/>
        </w:rPr>
        <w:softHyphen/>
        <w:t>ваний Ла-5 в аэродинамических тру</w:t>
      </w:r>
      <w:r w:rsidRPr="00070ADE">
        <w:rPr>
          <w:rFonts w:ascii="Times New Roman" w:hAnsi="Times New Roman"/>
          <w:color w:val="000000" w:themeColor="text1"/>
          <w:sz w:val="16"/>
          <w:szCs w:val="16"/>
        </w:rPr>
        <w:softHyphen/>
        <w:t>бах, ЦАГИ выдал ОКБ Лавочкина це</w:t>
      </w:r>
      <w:r w:rsidRPr="00070ADE">
        <w:rPr>
          <w:rFonts w:ascii="Times New Roman" w:hAnsi="Times New Roman"/>
          <w:color w:val="000000" w:themeColor="text1"/>
          <w:sz w:val="16"/>
          <w:szCs w:val="16"/>
        </w:rPr>
        <w:softHyphen/>
        <w:t>лый ряд рекомендаций по неисполь</w:t>
      </w:r>
      <w:r w:rsidRPr="00070ADE">
        <w:rPr>
          <w:rFonts w:ascii="Times New Roman" w:hAnsi="Times New Roman"/>
          <w:color w:val="000000" w:themeColor="text1"/>
          <w:sz w:val="16"/>
          <w:szCs w:val="16"/>
        </w:rPr>
        <w:softHyphen/>
        <w:t>зованным резервам в области аэро</w:t>
      </w:r>
      <w:r w:rsidRPr="00070ADE">
        <w:rPr>
          <w:rFonts w:ascii="Times New Roman" w:hAnsi="Times New Roman"/>
          <w:color w:val="000000" w:themeColor="text1"/>
          <w:sz w:val="16"/>
          <w:szCs w:val="16"/>
        </w:rPr>
        <w:softHyphen/>
        <w:t>динамики. Часть из них успели вне</w:t>
      </w:r>
      <w:r w:rsidRPr="00070ADE">
        <w:rPr>
          <w:rFonts w:ascii="Times New Roman" w:hAnsi="Times New Roman"/>
          <w:color w:val="000000" w:themeColor="text1"/>
          <w:sz w:val="16"/>
          <w:szCs w:val="16"/>
        </w:rPr>
        <w:softHyphen/>
        <w:t>дрить в серию тогда же на Ла-5ФН: это улучшенные всасывающий и вых</w:t>
      </w:r>
      <w:r w:rsidRPr="00070ADE">
        <w:rPr>
          <w:rFonts w:ascii="Times New Roman" w:hAnsi="Times New Roman"/>
          <w:color w:val="000000" w:themeColor="text1"/>
          <w:sz w:val="16"/>
          <w:szCs w:val="16"/>
        </w:rPr>
        <w:softHyphen/>
        <w:t>лопные патрубки. Но на самом деле рекомендации ЦАГИ были го</w:t>
      </w:r>
      <w:r w:rsidRPr="00070ADE">
        <w:rPr>
          <w:rFonts w:ascii="Times New Roman" w:hAnsi="Times New Roman"/>
          <w:color w:val="000000" w:themeColor="text1"/>
          <w:sz w:val="16"/>
          <w:szCs w:val="16"/>
        </w:rPr>
        <w:softHyphen/>
        <w:t>раздо шире. Так было показа</w:t>
      </w:r>
      <w:r w:rsidRPr="00070ADE">
        <w:rPr>
          <w:rFonts w:ascii="Times New Roman" w:hAnsi="Times New Roman"/>
          <w:color w:val="000000" w:themeColor="text1"/>
          <w:sz w:val="16"/>
          <w:szCs w:val="16"/>
        </w:rPr>
        <w:softHyphen/>
        <w:t>но, что расположение маслора-диатора под фюзеляжем (за 5-м шпангоутом) в специально спрофилированном туннеле снижает его лобовое сопротив</w:t>
      </w:r>
      <w:r w:rsidRPr="00070ADE">
        <w:rPr>
          <w:rFonts w:ascii="Times New Roman" w:hAnsi="Times New Roman"/>
          <w:color w:val="000000" w:themeColor="text1"/>
          <w:sz w:val="16"/>
          <w:szCs w:val="16"/>
        </w:rPr>
        <w:softHyphen/>
        <w:t>ление в 2 раза и обеспечива</w:t>
      </w:r>
      <w:r w:rsidRPr="00070ADE">
        <w:rPr>
          <w:rFonts w:ascii="Times New Roman" w:hAnsi="Times New Roman"/>
          <w:color w:val="000000" w:themeColor="text1"/>
          <w:sz w:val="16"/>
          <w:szCs w:val="16"/>
        </w:rPr>
        <w:softHyphen/>
        <w:t>ет расход воздуха через ради</w:t>
      </w:r>
      <w:r w:rsidRPr="00070ADE">
        <w:rPr>
          <w:rFonts w:ascii="Times New Roman" w:hAnsi="Times New Roman"/>
          <w:color w:val="000000" w:themeColor="text1"/>
          <w:sz w:val="16"/>
          <w:szCs w:val="16"/>
        </w:rPr>
        <w:softHyphen/>
        <w:t>атор на 25-30% больший, чем при серийном варианте. Кроме того, для устранения преждевременного срыва обте</w:t>
      </w:r>
      <w:r w:rsidRPr="00070ADE">
        <w:rPr>
          <w:rFonts w:ascii="Times New Roman" w:hAnsi="Times New Roman"/>
          <w:color w:val="000000" w:themeColor="text1"/>
          <w:sz w:val="16"/>
          <w:szCs w:val="16"/>
        </w:rPr>
        <w:softHyphen/>
        <w:t>кания с центроплана и улуч</w:t>
      </w:r>
      <w:r w:rsidRPr="00070ADE">
        <w:rPr>
          <w:rFonts w:ascii="Times New Roman" w:hAnsi="Times New Roman"/>
          <w:color w:val="000000" w:themeColor="text1"/>
          <w:sz w:val="16"/>
          <w:szCs w:val="16"/>
        </w:rPr>
        <w:softHyphen/>
        <w:t>шения маневренных качеств самолета было рекомендовано изменить конструкцию боковых створок капота, восстановить ранее принятый при проекти</w:t>
      </w:r>
      <w:r w:rsidRPr="00070ADE">
        <w:rPr>
          <w:rFonts w:ascii="Times New Roman" w:hAnsi="Times New Roman"/>
          <w:color w:val="000000" w:themeColor="text1"/>
          <w:sz w:val="16"/>
          <w:szCs w:val="16"/>
        </w:rPr>
        <w:softHyphen/>
        <w:t>ровании профиль NАСА-230 в центроплане путем спрямления носка и улучшить сопряжение крыла с фюзеляжем увеличе</w:t>
      </w:r>
      <w:r w:rsidRPr="00070ADE">
        <w:rPr>
          <w:rFonts w:ascii="Times New Roman" w:hAnsi="Times New Roman"/>
          <w:color w:val="000000" w:themeColor="text1"/>
          <w:sz w:val="16"/>
          <w:szCs w:val="16"/>
        </w:rPr>
        <w:softHyphen/>
        <w:t>нием зализа. При изменении створок капота необходимо было увеличить расстояние между створками и верхней поверхностью крыла. Посколь</w:t>
      </w:r>
      <w:r w:rsidRPr="00070ADE">
        <w:rPr>
          <w:rFonts w:ascii="Times New Roman" w:hAnsi="Times New Roman"/>
          <w:color w:val="000000" w:themeColor="text1"/>
          <w:sz w:val="16"/>
          <w:szCs w:val="16"/>
        </w:rPr>
        <w:softHyphen/>
        <w:t>ку эти изменения требовали больших переделок, весной 1943 года их оставили на будущее. В течение 1943 года ОКБ получи</w:t>
      </w:r>
      <w:r w:rsidRPr="00070ADE">
        <w:rPr>
          <w:rFonts w:ascii="Times New Roman" w:hAnsi="Times New Roman"/>
          <w:color w:val="000000" w:themeColor="text1"/>
          <w:sz w:val="16"/>
          <w:szCs w:val="16"/>
        </w:rPr>
        <w:softHyphen/>
        <w:t>ло дополнительные «посылы» для улуч</w:t>
      </w:r>
      <w:r w:rsidRPr="00070ADE">
        <w:rPr>
          <w:rFonts w:ascii="Times New Roman" w:hAnsi="Times New Roman"/>
          <w:color w:val="000000" w:themeColor="text1"/>
          <w:sz w:val="16"/>
          <w:szCs w:val="16"/>
        </w:rPr>
        <w:softHyphen/>
        <w:t>шения конструкции. Так, при испыта</w:t>
      </w:r>
      <w:r w:rsidRPr="00070ADE">
        <w:rPr>
          <w:rFonts w:ascii="Times New Roman" w:hAnsi="Times New Roman"/>
          <w:color w:val="000000" w:themeColor="text1"/>
          <w:sz w:val="16"/>
          <w:szCs w:val="16"/>
        </w:rPr>
        <w:softHyphen/>
        <w:t>ниях Ла-5ФН в ЛИИ и НИИ ВВС, а также и при войсковых испытаниях на фронте было отмечено, что тепло</w:t>
      </w:r>
      <w:r w:rsidRPr="00070ADE">
        <w:rPr>
          <w:rFonts w:ascii="Times New Roman" w:hAnsi="Times New Roman"/>
          <w:color w:val="000000" w:themeColor="text1"/>
          <w:sz w:val="16"/>
          <w:szCs w:val="16"/>
        </w:rPr>
        <w:softHyphen/>
        <w:t>вой режим мотора М-82ФН заметно ниже, благодаря испарению топлива непосредственно в цилиндрах, по срав</w:t>
      </w:r>
      <w:r w:rsidRPr="00070ADE">
        <w:rPr>
          <w:rFonts w:ascii="Times New Roman" w:hAnsi="Times New Roman"/>
          <w:color w:val="000000" w:themeColor="text1"/>
          <w:sz w:val="16"/>
          <w:szCs w:val="16"/>
        </w:rPr>
        <w:softHyphen/>
        <w:t>нению с М-82Ф, а также и предельно допустимыми температурами головок и масла. Боковые створки на Ла-5ФН летчиками в полетах даже летом по</w:t>
      </w:r>
      <w:r w:rsidRPr="00070ADE">
        <w:rPr>
          <w:rFonts w:ascii="Times New Roman" w:hAnsi="Times New Roman"/>
          <w:color w:val="000000" w:themeColor="text1"/>
          <w:sz w:val="16"/>
          <w:szCs w:val="16"/>
        </w:rPr>
        <w:softHyphen/>
        <w:t>чти не открывались. Естественным выводом из этого стало решение уменьшить эти боковые створки, од</w:t>
      </w:r>
      <w:r w:rsidRPr="00070ADE">
        <w:rPr>
          <w:rFonts w:ascii="Times New Roman" w:hAnsi="Times New Roman"/>
          <w:color w:val="000000" w:themeColor="text1"/>
          <w:sz w:val="16"/>
          <w:szCs w:val="16"/>
        </w:rPr>
        <w:softHyphen/>
        <w:t>новременно отодвинув их от поверх</w:t>
      </w:r>
      <w:r w:rsidRPr="00070ADE">
        <w:rPr>
          <w:rFonts w:ascii="Times New Roman" w:hAnsi="Times New Roman"/>
          <w:color w:val="000000" w:themeColor="text1"/>
          <w:sz w:val="16"/>
          <w:szCs w:val="16"/>
        </w:rPr>
        <w:softHyphen/>
        <w:t>ности крыла. Критерием уменьшения стала предельно допустимая темпе</w:t>
      </w:r>
      <w:r w:rsidRPr="00070ADE">
        <w:rPr>
          <w:rFonts w:ascii="Times New Roman" w:hAnsi="Times New Roman"/>
          <w:color w:val="000000" w:themeColor="text1"/>
          <w:sz w:val="16"/>
          <w:szCs w:val="16"/>
        </w:rPr>
        <w:softHyphen/>
        <w:t>ратура головок цилиндров - 250 °С. Вместо сдвоенных и строенных вых</w:t>
      </w:r>
      <w:r w:rsidRPr="00070ADE">
        <w:rPr>
          <w:rFonts w:ascii="Times New Roman" w:hAnsi="Times New Roman"/>
          <w:color w:val="000000" w:themeColor="text1"/>
          <w:sz w:val="16"/>
          <w:szCs w:val="16"/>
        </w:rPr>
        <w:softHyphen/>
        <w:t>лопных патрубков были применены индивидуальные - на каждый цилиндр свой патрубок. Патрубки выходили по 7 с каждой стороны. Таким образом, наряду с улучше</w:t>
      </w:r>
      <w:r w:rsidRPr="00070ADE">
        <w:rPr>
          <w:rFonts w:ascii="Times New Roman" w:hAnsi="Times New Roman"/>
          <w:color w:val="000000" w:themeColor="text1"/>
          <w:sz w:val="16"/>
          <w:szCs w:val="16"/>
        </w:rPr>
        <w:softHyphen/>
        <w:t>нием аэродинамики были выбраны и все остающиеся резервы ВМГ: сни</w:t>
      </w:r>
      <w:r w:rsidRPr="00070ADE">
        <w:rPr>
          <w:rFonts w:ascii="Times New Roman" w:hAnsi="Times New Roman"/>
          <w:color w:val="000000" w:themeColor="text1"/>
          <w:sz w:val="16"/>
          <w:szCs w:val="16"/>
        </w:rPr>
        <w:softHyphen/>
        <w:t>жен расход воздуха на охлаждение мотора и уменьшены до минимума потери мощности на выхлопе. Кроме этого, был установлен винт ВИШ-105 с лопастями В-4, имеющими новый «махоустойчивый» профиль и повы</w:t>
      </w:r>
      <w:r w:rsidRPr="00070ADE">
        <w:rPr>
          <w:rFonts w:ascii="Times New Roman" w:hAnsi="Times New Roman"/>
          <w:color w:val="000000" w:themeColor="text1"/>
          <w:sz w:val="16"/>
          <w:szCs w:val="16"/>
        </w:rPr>
        <w:softHyphen/>
        <w:t>шенный КПД. Наконец, по требованию летчиков вместо одного всасывающего патруб</w:t>
      </w:r>
      <w:r w:rsidRPr="00070ADE">
        <w:rPr>
          <w:rFonts w:ascii="Times New Roman" w:hAnsi="Times New Roman"/>
          <w:color w:val="000000" w:themeColor="text1"/>
          <w:sz w:val="16"/>
          <w:szCs w:val="16"/>
        </w:rPr>
        <w:softHyphen/>
        <w:t>ка сверху капота, мешающего обзору, были установлены два всасывающих патрубка в носках центроплана, хотя это мероприятие и повышало потери давления на всасывании. Таким образом было доказано, что и при серийном моторе АШ-82ФН можно иметь такие же летные дан</w:t>
      </w:r>
      <w:r w:rsidRPr="00070ADE">
        <w:rPr>
          <w:rFonts w:ascii="Times New Roman" w:hAnsi="Times New Roman"/>
          <w:color w:val="000000" w:themeColor="text1"/>
          <w:sz w:val="16"/>
          <w:szCs w:val="16"/>
        </w:rPr>
        <w:softHyphen/>
        <w:t>ные, как и у И-185 с более мощным М-71 и меньшей площадью крыла. Тем более, что к 1944 году работы завода №19 по форсированному М-71Ф, получившему наименование АШ-72, сильно затянулись. Из-за по</w:t>
      </w:r>
      <w:r w:rsidRPr="00070ADE">
        <w:rPr>
          <w:rFonts w:ascii="Times New Roman" w:hAnsi="Times New Roman"/>
          <w:color w:val="000000" w:themeColor="text1"/>
          <w:sz w:val="16"/>
          <w:szCs w:val="16"/>
        </w:rPr>
        <w:softHyphen/>
        <w:t>ломок коленвала этот мотор никак не мог выйти за пределы 50-часовых испытаний (10714).</w:t>
      </w:r>
    </w:p>
    <w:p w14:paraId="18A2D2C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7C6838"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15 февраля</w:t>
      </w:r>
      <w:r w:rsidRPr="00070ADE">
        <w:rPr>
          <w:rFonts w:ascii="Times New Roman" w:hAnsi="Times New Roman"/>
          <w:color w:val="000000" w:themeColor="text1"/>
          <w:sz w:val="16"/>
          <w:szCs w:val="16"/>
        </w:rPr>
        <w:t xml:space="preserve"> в 1944 году на государственные испытания в НИИ ВВС поступил </w:t>
      </w:r>
      <w:hyperlink r:id="rId46" w:tgtFrame="_blank" w:history="1">
        <w:r w:rsidRPr="00070ADE">
          <w:rPr>
            <w:rFonts w:ascii="Times New Roman" w:hAnsi="Times New Roman"/>
            <w:color w:val="000000" w:themeColor="text1"/>
            <w:sz w:val="16"/>
            <w:szCs w:val="16"/>
          </w:rPr>
          <w:t xml:space="preserve">«Ла-5» </w:t>
        </w:r>
      </w:hyperlink>
      <w:r w:rsidRPr="00070ADE">
        <w:rPr>
          <w:rFonts w:ascii="Times New Roman" w:hAnsi="Times New Roman"/>
          <w:color w:val="000000" w:themeColor="text1"/>
          <w:sz w:val="16"/>
          <w:szCs w:val="16"/>
        </w:rPr>
        <w:t>"эталон 1944 г." с мотором «М-82ФН» и тремя синхронными пушками конструкции М.Е.Березина «Б-20» калибра 20 мм с боекомплектом 450 снарядов. Ведущими по машине были инженер В.П.Алексеенко и летчик-испытатель А.Г.Кубышкин. Ичпытания, начавшиеся 16 февраля показали, что максимальная скорость у земли возросла до 597 км/ч, на первой границе высотности (3250 м) - до 670 км/ч, а на второй (6000 м) - до 680 км/ч. Вертикальная скорость у земли составила 21 м/с, подъём на высоту 4000 м занимал 3,4 минуты. Управлять самолётом стало легче, хотя из-за отсутствия триммера руля поворота лётчику приходилось прикладывать значительные усилия, чтобы удержать истребитель от разворота. Температура в кабине пилота, доходившая порой до 40ОС, приносила немалые неудобства. Из-за плохой вентиляции постоянно чувствовалось присутствие отработанных газов и запах горелой резины (15041).</w:t>
      </w:r>
    </w:p>
    <w:p w14:paraId="74B6FCF7" w14:textId="77777777" w:rsidR="00B41B6B" w:rsidRPr="00070ADE" w:rsidRDefault="00B41B6B" w:rsidP="00B56F90">
      <w:pPr>
        <w:spacing w:after="0" w:line="240" w:lineRule="auto"/>
        <w:jc w:val="both"/>
        <w:rPr>
          <w:rFonts w:ascii="Times New Roman" w:hAnsi="Times New Roman"/>
          <w:color w:val="000000" w:themeColor="text1"/>
          <w:sz w:val="16"/>
          <w:szCs w:val="16"/>
        </w:rPr>
      </w:pPr>
    </w:p>
    <w:p w14:paraId="2B137A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года вышел приказ НКАП</w:t>
      </w:r>
    </w:p>
    <w:p w14:paraId="25553A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 директором завода № 33 Вигура Г.Т. (8925)</w:t>
      </w:r>
    </w:p>
    <w:p w14:paraId="51AA69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года на базе разрушенного во время оккупации завода № 35 МАП в Смоленске в соответствии с приказом НКАП был организован завод № 475.</w:t>
      </w:r>
    </w:p>
    <w:p w14:paraId="119C339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Оборудование и рабочая сила завода № 35 в июле 1941 года были эвакуированы в Куйбышев и влиты в завод № 1 МАП.</w:t>
      </w:r>
    </w:p>
    <w:p w14:paraId="30735D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1944 года по 1948 год завод занимался ремонтом самолетов типа Ла-7, ЯК-10.</w:t>
      </w:r>
    </w:p>
    <w:p w14:paraId="54CC57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1948 году завод освоил и начал серийный выпуск аэродромного оборудования (тормозные колодки, стремянки).</w:t>
      </w:r>
    </w:p>
    <w:p w14:paraId="3E3A5DA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1949 году завод освоил серийное производство планеров А-2 конструкции Антонова.</w:t>
      </w:r>
    </w:p>
    <w:p w14:paraId="6026A7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1950 году завод полностью перешел на выпуск изделий аэродромного оборудования.</w:t>
      </w:r>
    </w:p>
    <w:p w14:paraId="45E1B0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1954 года СМ выпустил распоряжение № 5472рс об изменении производственного профиля завода и переоборудовании его под выпуск самолетов-снарядов.</w:t>
      </w:r>
    </w:p>
    <w:p w14:paraId="7E2C93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приказа МАП № 352 от 3 июня 1954 года заводу было дано задание по подготовке производства изделия “10ХН” гл. конструктора Челомея (9610).</w:t>
      </w:r>
    </w:p>
    <w:p w14:paraId="0F163F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9290F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года ГУВ ГМЧ КА выдало СКБ при московским заводе “Компрессор” ТТТ на разработку подвижной установки для стрельбы снарядами М-31. Опытный образец был разработан в феврале-марте 1944 года. В качестве базы 12-зарядной установка БМ-31 было выбрано шасси грузового автомобиля повышенной проходимости серии Studebaker. В конструкции метательной установки были использованы узлы и детали нормализованной установки М-13Н, кроме направляющих и фермы. В качестве направляющих использовались укупорки снарядов М-31, которые укладывались на специальную ферму. После проведения успешных полигонных и ходовых испытаний установка была принята на вооружение Красной Армии. В дальнейшем она была заменена более совершенной установкой БМ-31-12 с сотовыми направляющими на модифицированном шасси грузового автомобиля серии Studebaker, разработанной в феврале-марте 1944 года по инициативе главного конструктора Бармина В.П. За исключением моноблока направляющих и электрооборудования остальные узлы установки были унифицированы с узлами боевой нормализованной установки М-13Н. Испытания, в частности, проводились на Софринском полигоне [70].</w:t>
      </w:r>
    </w:p>
    <w:p w14:paraId="08CF6EE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Преимуществами установки БМ-31-12 по сравнению со станками М30 и М31 были:</w:t>
      </w:r>
    </w:p>
    <w:p w14:paraId="18DD74D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дальнейшем установка использовалась для пуска реактивных снарядов М-13УК калибра 132 мм. В октябре 1944 года в соответствии с ТТТ ГУВ ГМЧ КА специалисты СКБ разработали вставку для стрельбы трофейными немецкими снарядами калибра 300 мм с помощью установок БМ-31-12. вставка надевалась на снаряд и легко вставлялась вместе со снарядом в направляющую через ее казенную часть. Вставки были предохранены стопорными устройствами от перемещения при стрельбе и от выпадения после заряжания (11772).</w:t>
      </w:r>
    </w:p>
    <w:p w14:paraId="02D86AC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384DB69" w14:textId="4C37063C"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eastAsia="Times New Roman" w:hAnsi="Times New Roman"/>
          <w:color w:val="000000" w:themeColor="text1"/>
          <w:sz w:val="16"/>
          <w:szCs w:val="16"/>
        </w:rPr>
        <w:t>15 февраля 1944 года ГУВ ГМЧ КА выдало СКБ при московским заводе “Компрессор” ТТТ на разработку подвижной установки для стрельбы снарядами М-31. Опытный образец был разработан в феврале-марте 1944 года. В качестве базы 12-зарядной установка БМ-31 было выбрано шасси грузового автомобиля повышенной проходимости серии Studebaker. В конструкции метательной установки были использованы узлы и детали нормализованной установки М-13Н, кроме направляющих и фермы. В качестве направляющих использовались укупорки снарядов М-31, которые укладывались на специальную ферму. После проведения успешных полигонных и ходовых испытаний установка была принята на вооружение Красной Армии. В дальнейшем она была заменена более совершенной установкой БМ-31-12 с сотовыми направляющими на доработанном шасси грузового автомобиля серии Studebaker, разработанной в феврале-марте 1944 года по инициативе главного конструктора Бармина В.П. За исключением моноблока направляющих и электрооборудования остальные узлы установки были унифицированы с узлами боевой нормализованной установки М-13Н. Испытания,</w:t>
      </w:r>
      <w:r w:rsidR="00B643A8" w:rsidRPr="00070ADE">
        <w:rPr>
          <w:rFonts w:ascii="Times New Roman" w:eastAsia="Times New Roman" w:hAnsi="Times New Roman"/>
          <w:color w:val="000000" w:themeColor="text1"/>
          <w:sz w:val="16"/>
          <w:szCs w:val="16"/>
        </w:rPr>
        <w:t xml:space="preserve"> </w:t>
      </w:r>
      <w:r w:rsidRPr="00070ADE">
        <w:rPr>
          <w:rFonts w:ascii="Times New Roman" w:eastAsia="Times New Roman" w:hAnsi="Times New Roman"/>
          <w:color w:val="000000" w:themeColor="text1"/>
          <w:sz w:val="16"/>
          <w:szCs w:val="16"/>
        </w:rPr>
        <w:t>в частности, проводились на Софринском полигоне. Постановлением ГОКО</w:t>
      </w:r>
      <w:r w:rsidRPr="00070ADE">
        <w:rPr>
          <w:rFonts w:ascii="Times New Roman" w:hAnsi="Times New Roman"/>
          <w:color w:val="000000" w:themeColor="text1"/>
          <w:sz w:val="16"/>
          <w:szCs w:val="16"/>
        </w:rPr>
        <w:t xml:space="preserve"> от 9 июня 1944 года "О принятии на вооружение Красной Армии боевых установок М-31 и перевооружении 12-ти дивизионов М-31" на вооружение Гвардейских минометных частей Красной Армии была принята двенадцатизарядная установка М-31 конструкции Бармина, смонтированная на автошасси для стрельбы снарядами М-31 улучшенной кучности. Постановлением также устанавливался план производства боевых установок М-31 на 2-й квартал 1944 года в количестве 250 штук. В приложении к постановлению указывается ее марка - БМ-31-12.</w:t>
      </w:r>
    </w:p>
    <w:p w14:paraId="5AE22ECD" w14:textId="77777777" w:rsidR="00B41B6B" w:rsidRPr="00070ADE" w:rsidRDefault="00B41B6B"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Преимуществами установки БМ-31-12 по сравнению со станками М30 и М31 были:</w:t>
      </w:r>
    </w:p>
    <w:p w14:paraId="322A4F48" w14:textId="77777777" w:rsidR="00B41B6B" w:rsidRPr="00070ADE" w:rsidRDefault="00B41B6B"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маневренность (возможность пережвижения);</w:t>
      </w:r>
    </w:p>
    <w:p w14:paraId="1C304AB6" w14:textId="77777777" w:rsidR="00B41B6B" w:rsidRPr="00070ADE" w:rsidRDefault="00B41B6B"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возможность стрельбы в диапазоне углов возвышения от +10 до +45°;</w:t>
      </w:r>
    </w:p>
    <w:p w14:paraId="03AEDB86" w14:textId="77777777" w:rsidR="00B41B6B" w:rsidRPr="00070ADE" w:rsidRDefault="00B41B6B"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лучшая кучность стрельбы;</w:t>
      </w:r>
    </w:p>
    <w:p w14:paraId="66284805" w14:textId="77777777" w:rsidR="00B41B6B" w:rsidRPr="00070ADE" w:rsidRDefault="00B41B6B"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возможность выезда на позицию заряженной;</w:t>
      </w:r>
    </w:p>
    <w:p w14:paraId="325FC554" w14:textId="77777777" w:rsidR="00B41B6B" w:rsidRPr="00070ADE" w:rsidRDefault="00B41B6B"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более удобное и быстрое заряжание при меньшем числе номеров расчета;</w:t>
      </w:r>
    </w:p>
    <w:p w14:paraId="1F21F55E" w14:textId="77777777" w:rsidR="00B41B6B" w:rsidRPr="00070ADE" w:rsidRDefault="00B41B6B"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исключение схода снаряда с увлечением за собой направляющих укупорок [102].</w:t>
      </w:r>
    </w:p>
    <w:p w14:paraId="74CEE66B" w14:textId="77777777" w:rsidR="00B41B6B" w:rsidRPr="00070ADE" w:rsidRDefault="00B41B6B"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В дальнейшем установка использовалась для пуска реактивных снарядов М-13УК калибра 132 мм (15981).</w:t>
      </w:r>
    </w:p>
    <w:p w14:paraId="406A9DD1" w14:textId="77777777" w:rsidR="00B41B6B" w:rsidRPr="00070ADE" w:rsidRDefault="00B41B6B" w:rsidP="00B56F90">
      <w:pPr>
        <w:spacing w:after="0" w:line="240" w:lineRule="auto"/>
        <w:jc w:val="both"/>
        <w:rPr>
          <w:rFonts w:ascii="Times New Roman" w:eastAsia="Times New Roman" w:hAnsi="Times New Roman"/>
          <w:color w:val="000000" w:themeColor="text1"/>
          <w:sz w:val="16"/>
          <w:szCs w:val="16"/>
        </w:rPr>
      </w:pPr>
    </w:p>
    <w:p w14:paraId="36F81D1D"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г. Докладная записка Г.М.Маленкова» А.И. Шахурина и А.С. Яковлева И.В. Сталину о работе Государственного института реактивной техники при СНК СССР и о мероприятиях по развитию реактивной авиации (Утверждено постановлением ГКО СССР № 5201 от 18 февраля 1944 г.)</w:t>
      </w:r>
    </w:p>
    <w:p w14:paraId="6781B96D"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Товарищу СТАЛИНУ</w:t>
      </w:r>
    </w:p>
    <w:p w14:paraId="76B366E8"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Государственный институт реактивной техники при СНК СССР, руководимый т. Костиковым, не справился с порученной ему задачей создания реактивных двигателей и самолетов.</w:t>
      </w:r>
    </w:p>
    <w:p w14:paraId="5B7FCA17"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Ввиду исключительной важности этого дела считаем необходимым возложить решение задачи развития реактивной авиации на Наркомат авиационной промышленности, создав для этой цели специальный научно-исследовательский институт реактивной авиации, в котором будут собраны все квалифицированные силы по реактивной технике.</w:t>
      </w:r>
    </w:p>
    <w:p w14:paraId="5078BF47"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всему этому делу нами было созвано специальное совещание с участием начальника ЦАГИ проф. Шишкина, начальника ЦИАМ проф* Поликовского, начальника НИИ ВВС генерал-лейтенанта Лосюкова, главн. инженера ВВС Репина и других. На этом совещании в присутствии самого т. Костикова ему были предъявлены обвинения в том, что он не только не выполнил взятые на себя обязательства, но и недобросовестно информировал правительство о своих работах, вводя в заблуждение об истинном состоянии дела* Костикову было указано, что в отчете о заводских испытаниях двигателя он поместил данные совершенно не соответствующие полученным в действительности результатам при испытаниях, что является прямым обманом.</w:t>
      </w:r>
    </w:p>
    <w:p w14:paraId="434EE85A"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ответ на все это Костиков вынужден был признать, что он провалился как начальник института. По вопросу о несоответствии данных отчета истинным результатам испытаний, Костиков признал, что он допустил грубую ошибку, которую можно расценивать как недобросовестность и обман.</w:t>
      </w:r>
    </w:p>
    <w:p w14:paraId="45348B34"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Представляем на Ваше утверждение проект постановления Государственного Комитета Обороны «О работе Государственного института реактивной техники при СНК СССР и о мероприятиях по развитию реактивной авиации».</w:t>
      </w:r>
    </w:p>
    <w:p w14:paraId="0BCD20D0"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Маленков</w:t>
      </w:r>
    </w:p>
    <w:p w14:paraId="577073A6"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Шахурин</w:t>
      </w:r>
    </w:p>
    <w:p w14:paraId="101187F7"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Яковлев</w:t>
      </w:r>
    </w:p>
    <w:p w14:paraId="0B99CE59"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I5/II-44 г.</w:t>
      </w:r>
    </w:p>
    <w:p w14:paraId="268DE7FA"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Подпись о согласии: За/ И* Сталин (с поправками)</w:t>
      </w:r>
    </w:p>
    <w:p w14:paraId="2D092BC7"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РГАСПИ. Ф. 644* On. 2« Д. 286« Л. 35* Подлинник* Машинопис автографы Г.М. Маленкова, А.И. Шахурина (23743).</w:t>
      </w:r>
    </w:p>
    <w:p w14:paraId="53E12F7C" w14:textId="77777777" w:rsidR="00A53A3E" w:rsidRPr="00070ADE" w:rsidRDefault="00A53A3E" w:rsidP="00B56F90">
      <w:pPr>
        <w:spacing w:after="0" w:line="240" w:lineRule="auto"/>
        <w:jc w:val="both"/>
        <w:rPr>
          <w:rFonts w:ascii="Times New Roman" w:hAnsi="Times New Roman"/>
          <w:color w:val="000000" w:themeColor="text1"/>
          <w:sz w:val="16"/>
          <w:szCs w:val="16"/>
        </w:rPr>
      </w:pPr>
    </w:p>
    <w:p w14:paraId="55353A0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5FF4B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0CA31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г. вышел ПРИКАЗ НКТП, НАРОДНОГО КОМИССАРА ВООРУЖЕНИЯ, КОМАНДУЮЩЕГО БТ и МВ КА И НАЧАЛЬНИКА ГАУ КА О ПОЛИГОННЫХ ИСПЫТАНИЯХ ПУШКИ Д-25 С КЛИНОВЫМ ЗАТВОРОМ В ТАНКЕ ИС-2 №022</w:t>
      </w:r>
    </w:p>
    <w:p w14:paraId="25DA51B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проверки надежности конструкции пушки Д-25 с клиновым затвором, изготовленной в соответствии с Постановлением ГОКО №4479 от 31.10.1943 г., ПРИКАЗЫВАЕМ:</w:t>
      </w:r>
    </w:p>
    <w:p w14:paraId="437D026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Провести полигонные испытания опытного образца 122-мм пушки Д-25, установленной в танк ИС.</w:t>
      </w:r>
    </w:p>
    <w:p w14:paraId="2DD273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Для проведения испытаний назначаем комиссию в составе: Председатель</w:t>
      </w:r>
    </w:p>
    <w:p w14:paraId="7DB14A6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ст. помощник начальника 1 отдела УСА ГБТУ КА инженер-подполковник т. Куприянов С.Е. Члены:</w:t>
      </w:r>
    </w:p>
    <w:p w14:paraId="15801D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от ГБТУ КА — инженер-майор т. Афанасенков</w:t>
      </w:r>
    </w:p>
    <w:p w14:paraId="6EF76C8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от ГАУ КА — ст. инженер 2 отдела АК ГАУ КА инженер-капитан т. Коновалов П.В.</w:t>
      </w:r>
    </w:p>
    <w:p w14:paraId="250B01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от НКТП — инженер т. Рыбин, инженер т. Шнейдман</w:t>
      </w:r>
    </w:p>
    <w:p w14:paraId="324C68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от НКВ — инженер-майор т. Сергеев И.А.</w:t>
      </w:r>
    </w:p>
    <w:p w14:paraId="385671A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Испытания стрельбой провести на Гороховецком АНИОПе по программе АК ГАУ. В програм</w:t>
      </w:r>
      <w:r w:rsidRPr="00070ADE">
        <w:rPr>
          <w:rFonts w:ascii="Times New Roman" w:hAnsi="Times New Roman"/>
          <w:color w:val="000000" w:themeColor="text1"/>
          <w:sz w:val="16"/>
          <w:szCs w:val="16"/>
        </w:rPr>
        <w:softHyphen/>
        <w:t>ме предусмотреть стрельбы с места и с хода.</w:t>
      </w:r>
    </w:p>
    <w:p w14:paraId="67520D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Организацию испытаний возложить на начальника Гороховецкого АНИОПа.</w:t>
      </w:r>
    </w:p>
    <w:p w14:paraId="51DBA89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Полигонные испытания провести в течение 5 суток по прибытию танка ИС-2 с пушкой Д-25 на полигон.</w:t>
      </w:r>
    </w:p>
    <w:p w14:paraId="72DF3C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Начальнику УСА ГБТУ КА обеспечить испытания:</w:t>
      </w:r>
    </w:p>
    <w:p w14:paraId="792EB0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горючесмазочными материалами из расчета на 200 км пробега.</w:t>
      </w:r>
    </w:p>
    <w:p w14:paraId="0F4412B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доставку танка на ГАНИОП.</w:t>
      </w:r>
    </w:p>
    <w:p w14:paraId="418D9B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Начальнику УСБ ГАУ обеспечить артиллерийские испытания 122-мм выстрелами согласно программы испытаний.</w:t>
      </w:r>
    </w:p>
    <w:p w14:paraId="70A33FC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Отчет и заключение по результатам испытаний председателю комиссии представить в 3-х дневный срок после окончания испытаний в 6 экземплярах для ГОКО, командующего БТ и МВ КА, НКТП, НКВ, ГАУ КА и ГБТУ КА.</w:t>
      </w:r>
    </w:p>
    <w:p w14:paraId="41D221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Народный комиссар танковой промышленности Малышев</w:t>
      </w:r>
    </w:p>
    <w:p w14:paraId="3553DAB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Народный комиссар вооружения СССР Устинов</w:t>
      </w:r>
    </w:p>
    <w:p w14:paraId="6CF984B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БТ и МВ КА генерал-полковник танковых войск Федоренко</w:t>
      </w:r>
    </w:p>
    <w:p w14:paraId="3B65B7E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ГАУ КА генерал-полковник артиллерии Яковлев</w:t>
      </w:r>
    </w:p>
    <w:p w14:paraId="484CD4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11369. Д. 483. Л. 36-37. Копия (11403).</w:t>
      </w:r>
    </w:p>
    <w:p w14:paraId="468C01E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430ECEF" w14:textId="77777777" w:rsidR="00282955" w:rsidRPr="00070ADE" w:rsidRDefault="0028295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года самоходная установка С-51 впервые была упомянута в письме Устинова Яковлеву, причем речь шла уже о готовой ма</w:t>
      </w:r>
      <w:r w:rsidRPr="00070ADE">
        <w:rPr>
          <w:rFonts w:ascii="Times New Roman" w:hAnsi="Times New Roman"/>
          <w:color w:val="000000" w:themeColor="text1"/>
          <w:sz w:val="16"/>
          <w:szCs w:val="16"/>
        </w:rPr>
        <w:softHyphen/>
        <w:t>шине:</w:t>
      </w:r>
    </w:p>
    <w:p w14:paraId="63FE3848"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«Сообщаю, что в ЦАКБ НКВ изготовлена самоходная установ</w:t>
      </w:r>
      <w:r w:rsidRPr="00070ADE">
        <w:rPr>
          <w:i w:val="0"/>
          <w:color w:val="000000" w:themeColor="text1"/>
          <w:sz w:val="16"/>
          <w:szCs w:val="16"/>
        </w:rPr>
        <w:softHyphen/>
        <w:t xml:space="preserve">ка 203-мм гаубицы Б-4 на шасси танка </w:t>
      </w:r>
      <w:r w:rsidRPr="00070ADE">
        <w:rPr>
          <w:i w:val="0"/>
          <w:color w:val="000000" w:themeColor="text1"/>
          <w:sz w:val="16"/>
          <w:szCs w:val="16"/>
          <w:lang w:val="en-US"/>
        </w:rPr>
        <w:t>KB</w:t>
      </w:r>
      <w:r w:rsidRPr="00070ADE">
        <w:rPr>
          <w:i w:val="0"/>
          <w:color w:val="000000" w:themeColor="text1"/>
          <w:sz w:val="16"/>
          <w:szCs w:val="16"/>
        </w:rPr>
        <w:t xml:space="preserve"> (система С-51). Система «С-51» прошла заводские испытания стрельбою на полигоне завода №88 (при малых углах возвышения) и на Софринском артиллерийском полигоне НКБ (при больших углах возвышения). На заводских испы</w:t>
      </w:r>
      <w:r w:rsidRPr="00070ADE">
        <w:rPr>
          <w:i w:val="0"/>
          <w:color w:val="000000" w:themeColor="text1"/>
          <w:sz w:val="16"/>
          <w:szCs w:val="16"/>
        </w:rPr>
        <w:softHyphen/>
        <w:t>таниях сделано 49 выстрелов. Система «С-51» заводские испытания стрельбой, а также пробегом, связанным с проведением испытаний, выдержала. При испытаниях скорострельность получена на 30% выше, нежели в системе «Б-4» на ее штатном лафете.</w:t>
      </w:r>
    </w:p>
    <w:p w14:paraId="2AC2097C"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Перед подачей системы «С-51» на полигонные испытания ЦАКБ НКВ вносит в эту систему добавление, согласно указаний, полученных от Пред</w:t>
      </w:r>
      <w:r w:rsidRPr="00070ADE">
        <w:rPr>
          <w:i w:val="0"/>
          <w:color w:val="000000" w:themeColor="text1"/>
          <w:sz w:val="16"/>
          <w:szCs w:val="16"/>
        </w:rPr>
        <w:softHyphen/>
        <w:t>седателя Артиллерийского Комитета — Генерал-лейтенанта Артилле</w:t>
      </w:r>
      <w:r w:rsidRPr="00070ADE">
        <w:rPr>
          <w:i w:val="0"/>
          <w:color w:val="000000" w:themeColor="text1"/>
          <w:sz w:val="16"/>
          <w:szCs w:val="16"/>
        </w:rPr>
        <w:softHyphen/>
        <w:t>рии тов. Хохлова В. И. (устанавливается противопульный броневой щит).</w:t>
      </w:r>
    </w:p>
    <w:p w14:paraId="70F2A007"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Прошу Вашего указания о проведении полигонных испытаний систе</w:t>
      </w:r>
      <w:r w:rsidRPr="00070ADE">
        <w:rPr>
          <w:i w:val="0"/>
          <w:color w:val="000000" w:themeColor="text1"/>
          <w:sz w:val="16"/>
          <w:szCs w:val="16"/>
        </w:rPr>
        <w:softHyphen/>
        <w:t>мы С-51. Эти полигонные испытания желательно провести на Софрин- ском артиллерийском полигоне НКБ ввиду отсутствия на Гороховецком АНИОПе подъемных средств, необходимых для разборки системы перед испытаниями и после испытаний.</w:t>
      </w:r>
    </w:p>
    <w:p w14:paraId="26F21F69"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Таковая разборка может быть проведена в цехах ЦАКБ НКВ.</w:t>
      </w:r>
    </w:p>
    <w:p w14:paraId="31ABC428"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Программу полигонных испытаний, а также порядок проведения этих испытаний, который будет намечен Вами, просим сообщить.</w:t>
      </w:r>
    </w:p>
    <w:p w14:paraId="2590F12C"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Дополнительно сообщаю, что при разработке проект самохода С-51 ЦАКБ НКВ предусматривало также установку на этом же шасси 152-мм пушки БР-2.</w:t>
      </w:r>
    </w:p>
    <w:p w14:paraId="4480F921" w14:textId="77777777" w:rsidR="00282955" w:rsidRPr="00070ADE" w:rsidRDefault="0028295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Согласно договоренности с Вами, мы ожидаем получение системы БР-2 в ЦАКБ для изготовления опытного образца самоходной установки этой пушки. Танк </w:t>
      </w:r>
      <w:r w:rsidRPr="00070ADE">
        <w:rPr>
          <w:rFonts w:ascii="Times New Roman" w:hAnsi="Times New Roman"/>
          <w:color w:val="000000" w:themeColor="text1"/>
          <w:sz w:val="16"/>
          <w:szCs w:val="16"/>
          <w:lang w:val="en-US"/>
        </w:rPr>
        <w:t>KB</w:t>
      </w:r>
      <w:r w:rsidRPr="00070ADE">
        <w:rPr>
          <w:rFonts w:ascii="Times New Roman" w:hAnsi="Times New Roman"/>
          <w:color w:val="000000" w:themeColor="text1"/>
          <w:sz w:val="16"/>
          <w:szCs w:val="16"/>
        </w:rPr>
        <w:t xml:space="preserve"> для изготовления этого самохода в ЦАКБ НКВ име</w:t>
      </w:r>
      <w:r w:rsidRPr="00070ADE">
        <w:rPr>
          <w:rFonts w:ascii="Times New Roman" w:hAnsi="Times New Roman"/>
          <w:color w:val="000000" w:themeColor="text1"/>
          <w:sz w:val="16"/>
          <w:szCs w:val="16"/>
        </w:rPr>
        <w:softHyphen/>
        <w:t>ется» (17484).</w:t>
      </w:r>
    </w:p>
    <w:p w14:paraId="22E24028" w14:textId="77777777" w:rsidR="00282955" w:rsidRPr="00070ADE" w:rsidRDefault="00282955" w:rsidP="00B56F90">
      <w:pPr>
        <w:spacing w:after="0" w:line="240" w:lineRule="auto"/>
        <w:jc w:val="both"/>
        <w:rPr>
          <w:rFonts w:ascii="Times New Roman" w:hAnsi="Times New Roman"/>
          <w:color w:val="000000" w:themeColor="text1"/>
          <w:sz w:val="16"/>
          <w:szCs w:val="16"/>
        </w:rPr>
      </w:pPr>
    </w:p>
    <w:p w14:paraId="5CC3F7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ГОДА ЗАКОНЧИЛИСЬ ВОЙСКОВЫЕ ИСПЫТАНИя ДЕСАНТНЫХ БРОНЕАВТОМОБИЛЕЙ БА-64 И БА-64 Б, КОТОРЫЕ ПРОХОДИЛИ С 20 ЯНВАРЯ ПО</w:t>
      </w:r>
    </w:p>
    <w:p w14:paraId="65083E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распоряжения начальника ГБТУ КА за №1167348с от 12 ноября 1943 года в 7-м гвардейском Нежинском механизированном корпусе проведены войсковые испытания десант</w:t>
      </w:r>
      <w:r w:rsidRPr="00070ADE">
        <w:rPr>
          <w:rFonts w:ascii="Times New Roman" w:hAnsi="Times New Roman"/>
          <w:color w:val="000000" w:themeColor="text1"/>
          <w:sz w:val="16"/>
          <w:szCs w:val="16"/>
        </w:rPr>
        <w:softHyphen/>
        <w:t>ных бронеавтомобилей БА-64 с целью:</w:t>
      </w:r>
    </w:p>
    <w:p w14:paraId="084B4DE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Проверить удобство размещения экипажа, прочность и надежность работы бронетранспорте</w:t>
      </w:r>
      <w:r w:rsidRPr="00070ADE">
        <w:rPr>
          <w:rFonts w:ascii="Times New Roman" w:hAnsi="Times New Roman"/>
          <w:color w:val="000000" w:themeColor="text1"/>
          <w:sz w:val="16"/>
          <w:szCs w:val="16"/>
        </w:rPr>
        <w:softHyphen/>
        <w:t>ра и способность его буксировать 45-мм противотанковую пушку.</w:t>
      </w:r>
    </w:p>
    <w:p w14:paraId="4BF8F5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Выяснить целесообразность принятия на вооружение Красной Армии десантного бронеавто</w:t>
      </w:r>
      <w:r w:rsidRPr="00070ADE">
        <w:rPr>
          <w:rFonts w:ascii="Times New Roman" w:hAnsi="Times New Roman"/>
          <w:color w:val="000000" w:themeColor="text1"/>
          <w:sz w:val="16"/>
          <w:szCs w:val="16"/>
        </w:rPr>
        <w:softHyphen/>
        <w:t>мобиля БА-64.</w:t>
      </w:r>
    </w:p>
    <w:p w14:paraId="28ED4F1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войсковые испытания были представлены три десантных бронеавтомобиля, из них два БА-64 (с узкой колеей) и один БА-64-Б (с широкой колеей).</w:t>
      </w:r>
    </w:p>
    <w:p w14:paraId="3300DB8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w:t>
      </w:r>
    </w:p>
    <w:p w14:paraId="42F3D6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Десантные бронеавтомобили были испытаны пробегом на 500 км, из которых 200 км по шоссе и 300 км по проселку плохого качества (начало февраля - ранняя весна). Испытания про</w:t>
      </w:r>
      <w:r w:rsidRPr="00070ADE">
        <w:rPr>
          <w:rFonts w:ascii="Times New Roman" w:hAnsi="Times New Roman"/>
          <w:color w:val="000000" w:themeColor="text1"/>
          <w:sz w:val="16"/>
          <w:szCs w:val="16"/>
        </w:rPr>
        <w:softHyphen/>
        <w:t>водились с экипажем 5 человек (водитель и четыре автоматчика) в зимнем обмундировании и полном боевом снаряжении. Каждая машина буксировала 45-мм противотанковую пушку без зарядного ящика на расстояние 200 км (100 км по шоссе и 100 км по проселку).</w:t>
      </w:r>
    </w:p>
    <w:p w14:paraId="1F78559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боевых действиях десантные бронеавтомобили не были, так как корпус находится в резерве.</w:t>
      </w:r>
    </w:p>
    <w:p w14:paraId="6677ABE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испытания</w:t>
      </w:r>
    </w:p>
    <w:p w14:paraId="180AFC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За все время пробега, как по шоссе, так и по проселку, десантный бронеавтомобиль с широкой колеей шел лучше десантного бронеавтомобиля с узкой колеей. На неровностях и косогорах, а также при поворо</w:t>
      </w:r>
      <w:r w:rsidRPr="00070ADE">
        <w:rPr>
          <w:rFonts w:ascii="Times New Roman" w:hAnsi="Times New Roman"/>
          <w:color w:val="000000" w:themeColor="text1"/>
          <w:sz w:val="16"/>
          <w:szCs w:val="16"/>
        </w:rPr>
        <w:softHyphen/>
        <w:t>тах на проселке ширококолейный бронеавтомобиль вел себя устойчивее узкоколейного. При наличии глу</w:t>
      </w:r>
      <w:r w:rsidRPr="00070ADE">
        <w:rPr>
          <w:rFonts w:ascii="Times New Roman" w:hAnsi="Times New Roman"/>
          <w:color w:val="000000" w:themeColor="text1"/>
          <w:sz w:val="16"/>
          <w:szCs w:val="16"/>
        </w:rPr>
        <w:softHyphen/>
        <w:t>бокой дорожной колеи или дорожных выбоин, а также на косогорах узкоколейный бронеавтомобиль имел опасность опрокидывания, поэтому замедлял скорость или делал остановки. Ширококолейный десантный бронеавтомобиль этих недостатков относительно узкоколейного десантного бронеавтомобиля не имел.</w:t>
      </w:r>
    </w:p>
    <w:p w14:paraId="788E922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Буксировка 45-мм противотанковой пушки без зарядного ящика десантным бронеавтомоби</w:t>
      </w:r>
      <w:r w:rsidRPr="00070ADE">
        <w:rPr>
          <w:rFonts w:ascii="Times New Roman" w:hAnsi="Times New Roman"/>
          <w:color w:val="000000" w:themeColor="text1"/>
          <w:sz w:val="16"/>
          <w:szCs w:val="16"/>
        </w:rPr>
        <w:softHyphen/>
        <w:t>лем БА-64 Б по шоссе вполне удовлетворительна. Бронеавтомобиль шел на 3-4 передаче и редко на 1-2 передаче. Буксировка же пушки по проселку затруднительна, движение совершалось на 1-2 передаче и редко на 3-й передаче. Из-за низкого расположения прицепного крюка на бронеавтомо</w:t>
      </w:r>
      <w:r w:rsidRPr="00070ADE">
        <w:rPr>
          <w:rFonts w:ascii="Times New Roman" w:hAnsi="Times New Roman"/>
          <w:color w:val="000000" w:themeColor="text1"/>
          <w:sz w:val="16"/>
          <w:szCs w:val="16"/>
        </w:rPr>
        <w:softHyphen/>
        <w:t>биле были случаи, что пушка сошниками задевала за грунт, в результате чего получались рывки.</w:t>
      </w:r>
    </w:p>
    <w:p w14:paraId="10891A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Размещение автоматчиков в корпусе десантного бронеавтомобиля неудовлетворительное. При посадке 4-х человек в зимнем обмундировании и полном боевом снаряжении, бойцы не в состоянии даже повернуться. Выход перевозимой команды автоматчиков через боковые дверцы до выхода води</w:t>
      </w:r>
      <w:r w:rsidRPr="00070ADE">
        <w:rPr>
          <w:rFonts w:ascii="Times New Roman" w:hAnsi="Times New Roman"/>
          <w:color w:val="000000" w:themeColor="text1"/>
          <w:sz w:val="16"/>
          <w:szCs w:val="16"/>
        </w:rPr>
        <w:softHyphen/>
        <w:t>теля из машины невозможен и даже при выходе водителя из машины очень неудобен и занимает много времени. Выход команды автоматчиков через верх корпуса также неудобен и кроме того автоматчики во время выхода через верх корпуса подвержены опасности пулеметного огня или снайпера противника.</w:t>
      </w:r>
    </w:p>
    <w:p w14:paraId="76C621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ранении команды в корпусе, раненых очень трудно удалять из корпуса в обстановке обстрела.</w:t>
      </w:r>
    </w:p>
    <w:p w14:paraId="2A002E0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Расположение бензобака в задней части корпуса на половине его высоты очень опасно в пожар</w:t>
      </w:r>
      <w:r w:rsidRPr="00070ADE">
        <w:rPr>
          <w:rFonts w:ascii="Times New Roman" w:hAnsi="Times New Roman"/>
          <w:color w:val="000000" w:themeColor="text1"/>
          <w:sz w:val="16"/>
          <w:szCs w:val="16"/>
        </w:rPr>
        <w:softHyphen/>
        <w:t>ном отношении. При попадании пули или осколка в бензобак и при возникновении пожара команда не в состоянии будет выйти из машины.</w:t>
      </w:r>
    </w:p>
    <w:p w14:paraId="63F2863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сравнении десантного бронеавтомобиля БА-64 Б с бронеавтомобилем БА-64 (с башней) и учиты</w:t>
      </w:r>
      <w:r w:rsidRPr="00070ADE">
        <w:rPr>
          <w:rFonts w:ascii="Times New Roman" w:hAnsi="Times New Roman"/>
          <w:color w:val="000000" w:themeColor="text1"/>
          <w:sz w:val="16"/>
          <w:szCs w:val="16"/>
        </w:rPr>
        <w:softHyphen/>
        <w:t>вая опыт боевых действий корпуса нужно отметить, что БА-64 (с башней) для переброски автоматчиков непригоден. За время боевых действий 7-го гвардейского Нежинского мех. корпуса БА-64 (с башней) как боевые машины не использовались, а служили лишь средством связи офицеров командования. Для целей же разведки и связи десантный БА-64 Б более удобен по сравнению с БА-64 (с башней), так как в нем кроме офицера связи могут быть помещены два автоматчика или при необходимости перевезены боеприпасы.</w:t>
      </w:r>
    </w:p>
    <w:p w14:paraId="6A13538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Требования к десантному бронеавтомобилю (бронетранспортеру)</w:t>
      </w:r>
    </w:p>
    <w:p w14:paraId="0279403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Бронетранспортер, смонтированный на шасси ГАЗ-67 для целей разведки, связи, перевозки команды автоматчиков и боеприпасов в зоне ружейно-пулеметного огня и эвакуации раненых с поля боя, должен иметь следующую конструкцию: сидение водителя и управление должно быть слева. Рядом с водителем должно быть сидение командира машины. У командира машины должен быть смотровой прибор, как и у водителя. Корпус бронетранспортера должен быть прямым по типу американского бронетранспортера МЗ-А-1 или ромбовидный по типу немецкого бронетранспортера. Высота борта должна закрывать сидящего в корпусе человека среднего роста. В корпусе должны быть откидывающиеся сидения на 4 человека вдоль машины по два человека на сторону. Бронетранспортер должен иметь дверцы по бокам для входа водите</w:t>
      </w:r>
      <w:r w:rsidRPr="00070ADE">
        <w:rPr>
          <w:rFonts w:ascii="Times New Roman" w:hAnsi="Times New Roman"/>
          <w:color w:val="000000" w:themeColor="text1"/>
          <w:sz w:val="16"/>
          <w:szCs w:val="16"/>
        </w:rPr>
        <w:softHyphen/>
        <w:t>ля и командира машины и дверцы сзади для выхода команды. Задние дверцы должны быть сделаны так, чтобы водитель мог закрыть их, не вставая с сидения. Бензобак должен быть установлен по типу автомобиля «Виллис». Дифференциалы переднего и заднего мостов должны быть защищены броневыми листами.</w:t>
      </w:r>
    </w:p>
    <w:p w14:paraId="00A01D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десантном отделении должен быть установлен ручной пулемет с возможностью кругового обстрела и обстрела зенитных целей. Спинка сидения командира машины должна быть откидывающейся. Броня бронетранспортера должна защищать от простых пуль ружейно-пулеметного огня. Вес бронетранспор</w:t>
      </w:r>
      <w:r w:rsidRPr="00070ADE">
        <w:rPr>
          <w:rFonts w:ascii="Times New Roman" w:hAnsi="Times New Roman"/>
          <w:color w:val="000000" w:themeColor="text1"/>
          <w:sz w:val="16"/>
          <w:szCs w:val="16"/>
        </w:rPr>
        <w:softHyphen/>
        <w:t>тера должен быть, возможно, меньшим и не превышать веса десантного бронеавтомобиля БА-64 Б.</w:t>
      </w:r>
    </w:p>
    <w:p w14:paraId="199863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062D6E6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Десантный бронеавтомобиль БА-64 Б (с широкой колеей) по сравнению с десантным броне</w:t>
      </w:r>
      <w:r w:rsidRPr="00070ADE">
        <w:rPr>
          <w:rFonts w:ascii="Times New Roman" w:hAnsi="Times New Roman"/>
          <w:color w:val="000000" w:themeColor="text1"/>
          <w:sz w:val="16"/>
          <w:szCs w:val="16"/>
        </w:rPr>
        <w:softHyphen/>
        <w:t>автомобилем БА-64 (с узкой колеей) имеет лучшую проходимость, устойчивость на ходу и при пово</w:t>
      </w:r>
      <w:r w:rsidRPr="00070ADE">
        <w:rPr>
          <w:rFonts w:ascii="Times New Roman" w:hAnsi="Times New Roman"/>
          <w:color w:val="000000" w:themeColor="text1"/>
          <w:sz w:val="16"/>
          <w:szCs w:val="16"/>
        </w:rPr>
        <w:softHyphen/>
        <w:t>ротах. Средняя скорость ширококолейного бронеавтомобиля по проселку выше.</w:t>
      </w:r>
    </w:p>
    <w:p w14:paraId="17F1FEE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Буксировать 45-мм противотанковую пушку без зарядного ящика десантным бронеавто</w:t>
      </w:r>
      <w:r w:rsidRPr="00070ADE">
        <w:rPr>
          <w:rFonts w:ascii="Times New Roman" w:hAnsi="Times New Roman"/>
          <w:color w:val="000000" w:themeColor="text1"/>
          <w:sz w:val="16"/>
          <w:szCs w:val="16"/>
        </w:rPr>
        <w:softHyphen/>
        <w:t>мобилем БА-64 Б можно по шоссе, по разбитому проселку можно только в исключительных слу</w:t>
      </w:r>
      <w:r w:rsidRPr="00070ADE">
        <w:rPr>
          <w:rFonts w:ascii="Times New Roman" w:hAnsi="Times New Roman"/>
          <w:color w:val="000000" w:themeColor="text1"/>
          <w:sz w:val="16"/>
          <w:szCs w:val="16"/>
        </w:rPr>
        <w:softHyphen/>
        <w:t>чаях на небольшие дистанции.</w:t>
      </w:r>
    </w:p>
    <w:p w14:paraId="39CCD5D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Десантный бронеавтомобиль БА-64 Б может быть использован для целей разведки, связи, может быть использован также для переброски автоматчиков и боеприпасов в зоне ружейно-пулеметного огня, но для этих целей он не отвечает и не удовлетворяет всем предъявляемым к нему требованиям.</w:t>
      </w:r>
    </w:p>
    <w:p w14:paraId="02356B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Десантный бронеавтомобиль БА-64 Б для целей связи и разведки более удобен по сравнению с бронеавтомобилем БА-64 (с башней).</w:t>
      </w:r>
    </w:p>
    <w:p w14:paraId="566B5A8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w:t>
      </w:r>
    </w:p>
    <w:p w14:paraId="6F7D05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Десантный бронеавтомобиль БА-64 Б в представленном виде принять на вооружение Красной Армии нецелесообразно.</w:t>
      </w:r>
    </w:p>
    <w:p w14:paraId="2A4CA88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Бронетранспортер на базе автомобиля ГАЗ-67 необходим такой, как указано в требованиях к бронетранспортеру.</w:t>
      </w:r>
    </w:p>
    <w:p w14:paraId="59EA3D4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Кроме того Красной Армии необходим бронетранспортер более мощный и с более повышен</w:t>
      </w:r>
      <w:r w:rsidRPr="00070ADE">
        <w:rPr>
          <w:rFonts w:ascii="Times New Roman" w:hAnsi="Times New Roman"/>
          <w:color w:val="000000" w:themeColor="text1"/>
          <w:sz w:val="16"/>
          <w:szCs w:val="16"/>
        </w:rPr>
        <w:softHyphen/>
        <w:t>ной проходимостью по типу американского бронетранспортера М-2 и МЗ-А-1.</w:t>
      </w:r>
    </w:p>
    <w:p w14:paraId="0A3CA3E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Для окончательной дачи заключения о прочности предъявленного к войсковым испытаниям бронеавтомобиля необходимо произвести испытания машин в боевых условиях и испытать пробе</w:t>
      </w:r>
      <w:r w:rsidRPr="00070ADE">
        <w:rPr>
          <w:rFonts w:ascii="Times New Roman" w:hAnsi="Times New Roman"/>
          <w:color w:val="000000" w:themeColor="text1"/>
          <w:sz w:val="16"/>
          <w:szCs w:val="16"/>
        </w:rPr>
        <w:softHyphen/>
        <w:t>гом на 10-15 тысяч километров, с последующим замером изношенных деталей.</w:t>
      </w:r>
    </w:p>
    <w:p w14:paraId="5368C51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эскизы двух вариантов формы корпуса бронетранспортера на 4-х листах</w:t>
      </w:r>
      <w:r w:rsidRPr="00070ADE">
        <w:rPr>
          <w:rFonts w:ascii="Times New Roman" w:hAnsi="Times New Roman"/>
          <w:color w:val="000000" w:themeColor="text1"/>
          <w:sz w:val="16"/>
          <w:szCs w:val="16"/>
          <w:vertAlign w:val="superscript"/>
        </w:rPr>
        <w:t>1</w:t>
      </w:r>
    </w:p>
    <w:p w14:paraId="755DB3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Комиссия:</w:t>
      </w:r>
    </w:p>
    <w:p w14:paraId="26C0409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 командира 7 гвардейского Нежинского МК по технической части гвардии инженер-подполковник Колесников</w:t>
      </w:r>
    </w:p>
    <w:p w14:paraId="387B91E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 начальника технического отдела 7 гвардейского Нежинского МК гвардии инженер-майор Хейфман</w:t>
      </w:r>
    </w:p>
    <w:p w14:paraId="77989CE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Представитель УБП и БМ ГБТУ КА инженер-капитан Яшин</w:t>
      </w:r>
    </w:p>
    <w:p w14:paraId="34C8829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11358. Д. 211. Л. 34-36. Подлинник (11403).</w:t>
      </w:r>
    </w:p>
    <w:p w14:paraId="0B47B7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95763A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15 февраля 1944 вышло Постановление ГКО № 5182 О неотложных мерах по улучшению энергоснабжения предприятий Урала. РГАНИР, Фонд ГКО, д. 209, лл. 41-43 (11012).</w:t>
      </w:r>
    </w:p>
    <w:p w14:paraId="089688F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211EF6F"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51B3E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3AACA5"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15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12FDE320"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15 февраля южнее и юго-восточнее города Гдов наши войска с боями продвигались вперёд и заняли несколько населённых пунктов.</w:t>
      </w:r>
    </w:p>
    <w:p w14:paraId="30FF0A68"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Луга наши войска, продолжая наступление, заняли более 40 населённых пунктов, в том числе Клабутицы, Новоселье, Шильцево, Ретюнь, Городец, Малый и Большой Брод, Горка-Петровская и железнодорожная станция серебрянка.</w:t>
      </w:r>
    </w:p>
    <w:p w14:paraId="433F1212"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Звенигородка и Шпола наши войска продолжали вести бои по уничтожению окружённой группировки противника и, сжимая кольцо окружения, овладели несколькими сильно укреплёнными опорными пунктами противника. Одновременно северо-западнее Звенигородка наши войска успешно отбили атаки танков и пехоты противника, стремившихся прорваться на помощь окружённой группировке.</w:t>
      </w:r>
    </w:p>
    <w:p w14:paraId="65A511A8"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ив ряде пунктов бои местного значения.</w:t>
      </w:r>
    </w:p>
    <w:p w14:paraId="08A34110"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14 февраля наши войска на всех фронтах подбили и уничтожили 71 немецкий танк. В воздушных боях и огнём зенитной артиллерии сбито 32 самолёта противника.</w:t>
      </w:r>
    </w:p>
    <w:p w14:paraId="7A03ACEB"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и юго-восточнее города Гдов наши войска с боями заняли несколько населённых пунктов. Части Н-ского соединения захватили у немцев 11 полевых и 3 самоходных орудия, 18 миномётов, 67 пулемётов, 2 склада боеприпасов, 3 склада с продовольствием и склад с горючим. Бойцы другого нашего соединения блокировал икрупный опорный пункт противника и разгромили его гарнизон. Разгромлен 154 полк 58 немецкой пехотной дивизии. Захвачено большое число пленных, много вооружения и военных материалов.</w:t>
      </w:r>
    </w:p>
    <w:p w14:paraId="7A0DB6B8"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Луга наши войска продолжали вести наступательные бои и заняли более 40 населённых пунктов. Немцы, опираясь на заранее подготовленные оборонительные рубежи, пытались задержать наступление советских частей. Наши бойцы, прорываясь между узлами сопротивления противника, окружают и ликвидируют вражеские гарнизоны. Части Н-ского соединения за день боёв истребили свыше 600 немецких солдат и офицеров, подбили 4 танка и захватили трофеи. В одном районе наши подразделения оседлали шоссе и тем самым отрезали путь отступления противнику. Немцы с большим трудом начали переправлять свои обозы по просёлочной дороге. Создалась большая пробка. Советские артиллеристы успешно обстреляли эту дорогу и нанесли противнику большие потери.</w:t>
      </w:r>
    </w:p>
    <w:p w14:paraId="7B279AB7"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лётчики наносили удары по коммуникациям немецких войск и уничтожили 350 автомашин и 80 повозок с грузами, 11 автобусов и до батальона пехоты противника.</w:t>
      </w:r>
    </w:p>
    <w:p w14:paraId="396751A5"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городов Звенигородка и Шпола наши войска продолжали вести бои по уничтожению окружённой группировки противника. Части Н-ского соединения ночью предприняли атаку и выбили немцев из нескольких сильно укреплённых опорных пунктов. Утром противник, стремясь вернуть потерянные позиции, перешёл в контратаку, но был отброшен артиллерийским и ружейно-пулемётным огнём. На поле боя осталось до 800 вражеских трупов. Захвачены трофеи, в числе которых 26 орудий разных калибров. Северо-западнее Звенигородки немцы продолжали свои попытки прорваться на помощь окружённой группировке. На одном участке пехота и танки противника семь раз переходили в атаку, но не добились никакого результата. Уничтожено свыше 1.000 немецких солдат и офицеров. Всего в течение дня на разных участках подбито и уничтожено до 60 немецких танков и самоходных орудий.</w:t>
      </w:r>
    </w:p>
    <w:p w14:paraId="4BB407D3"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Баренцовом море потоплен транспорт противника водоизмещением в 6.000 тонн.</w:t>
      </w:r>
    </w:p>
    <w:p w14:paraId="549CFE2C"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одном из районов Винницкой области, подорвал немецкий бронепоезд. Групповым ружейно-пулемётным огнём партизаны сбили немецкий бомбардировщик. Другой винницкий отряд атаковал вражескую колонну и истребил до роты гитлеровцев. Партизаны освободили много советских граждан, которых немцы насильно угоняли на каторгу в Германию.</w:t>
      </w:r>
    </w:p>
    <w:p w14:paraId="25CFB3A1"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Ленинградском фронте захвачена в плен большая группа немецких офицеров. Пленный лейтенант 19 полка 10 немецкой авиаполевой дивизии Альфред Берке рассказал: «Наше отступление носило беспорядочный характер. Целые подразделенияв панике бросали оружие и отходили без приказа командования. Для ловли солдат, бежавших с поля боя, были созданы заградительные команды. Но они были бессильны что-либо сделать. Часто заградительные команды сами убегали вместе с отступавшими солдатами. Командир полка возложил на меня учёт потерь. Однако гораздо проще было подсчитать не то, что мы потеряли, а то, что уцелело в полку. Только за два дня батальоны потеряли 60 процентов личного состава. Из строя выбыло более половины офицеров».</w:t>
      </w:r>
    </w:p>
    <w:p w14:paraId="2C2AF291"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лейтенант Бернгард Шольброк рассказал: «Я пробыл на Восточном фронте только один день. У меня было направление в 126 пехотную дивизию. На станцииВолосово меня высадили из поезда и назначили командиром сводной группы, наспех сколоченной из солдат, отбившихся от своих частей. Не успел я разобраться в обстановке, как появились русские танки и рассеяли мою боевую группу».</w:t>
      </w:r>
    </w:p>
    <w:p w14:paraId="06A87EAB"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командир 2 роты сапёрного батальона 11 немецкой пехотной дивизиилейтенант Вильгельм Шарф заявил: «Ввиду больших потерь, понесённых дивизией, командование бросило в бой сапёр. Все наши попытки организовать оборону неувенчались успехом. Считая сопротивление бесцельным, я приказал оставшимся солдатам сложить оружие».</w:t>
      </w:r>
    </w:p>
    <w:p w14:paraId="09101F5F"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Немецко-фашистские оккупанты производят массовую насильственную эвакуацию мирного населения Эстонии. Специальные отряды немецких солдат и эсэсовцев загоняют эстонцев в вагоны и под усиленной охраной увозят в неизвестном направлении. Гитлеровцы жестоко расправляются с каждым, кто пытается уклонятьсяот эвакуации. 5 февраля в город Ригу прибыл переполненный эшелон с мирными гражданами из Эстонии. По распоряжению немецких военных властей всех эстонцев загнали в бараки и напоили отравленным кофе. Около двух тысяч эстонцев, в том числе много женщин и детей, после страшных мучений умерли. Жители Риги наблюдали, как 6 февраля гитлеровцы на подводах вывозили за город трупы своих жертв.» (15041).</w:t>
      </w:r>
    </w:p>
    <w:p w14:paraId="4A902A4C" w14:textId="77777777" w:rsidR="00B41B6B" w:rsidRPr="00070ADE" w:rsidRDefault="00B41B6B" w:rsidP="00B56F90">
      <w:pPr>
        <w:spacing w:after="0" w:line="240" w:lineRule="auto"/>
        <w:jc w:val="both"/>
        <w:rPr>
          <w:rFonts w:ascii="Times New Roman" w:hAnsi="Times New Roman"/>
          <w:color w:val="000000" w:themeColor="text1"/>
          <w:sz w:val="16"/>
          <w:szCs w:val="16"/>
        </w:rPr>
      </w:pPr>
    </w:p>
    <w:p w14:paraId="17B37496"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15 февраля</w:t>
      </w:r>
      <w:r w:rsidRPr="00070ADE">
        <w:rPr>
          <w:rFonts w:ascii="Times New Roman" w:hAnsi="Times New Roman"/>
          <w:color w:val="000000" w:themeColor="text1"/>
          <w:sz w:val="16"/>
          <w:szCs w:val="16"/>
        </w:rPr>
        <w:t xml:space="preserve"> в 1944 году войска Ленинградского и Волховского фронтов в ходе Новгородско-Лужской операции разгромили 8 пехотных и 1 танковую дивизию противника, продвинулись на запад до 150 км, вышли на рубеж реки Нарва, Шимск (15041).</w:t>
      </w:r>
    </w:p>
    <w:p w14:paraId="5A8C6333" w14:textId="77777777" w:rsidR="00B41B6B" w:rsidRPr="00070ADE" w:rsidRDefault="00B41B6B" w:rsidP="00B56F90">
      <w:pPr>
        <w:spacing w:after="0" w:line="240" w:lineRule="auto"/>
        <w:jc w:val="both"/>
        <w:rPr>
          <w:rFonts w:ascii="Times New Roman" w:hAnsi="Times New Roman"/>
          <w:color w:val="000000" w:themeColor="text1"/>
          <w:sz w:val="16"/>
          <w:szCs w:val="16"/>
        </w:rPr>
      </w:pPr>
    </w:p>
    <w:p w14:paraId="56C68B0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года три самолета Р-47 прибыли в бухту Аян, в 800 км к югу от Магадана. Ночью началась подвижка льда, который ветер уносил в открытое море вместе с самолетами. Пилоты заняли места в кабинах и срочно взлетели. Успел подняться и самолет-лидер - С-47 Мазурука. Лишь 20 марта три Р-47 приземлились па Центральном аэродроме в Москве (3457,84).</w:t>
      </w:r>
    </w:p>
    <w:p w14:paraId="19D023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ECA4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года 13-й Гвардейский тяжелый танковый полк прорыва (ТТПП), имея в своем составе 21 танк ИС-85, прибыл в район Фастов - Белая Церковь. После марша полк получил задачу поддержать атаку 109-й танковой бригады на деревню Лисянка, для чего командиром полка была выделена рота - 5 танков ИС. К моменту вступления ее в бой последние Т-34 109-й танковой бригады, атаковавшие Лисянку в лоб, были подбиты "Пантерами" и противотанковыми штурмовыми орудиями немцев..</w:t>
      </w:r>
    </w:p>
    <w:p w14:paraId="715F81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Подпустив ИСы на расстояние 600-800 метров, немцы открыли шквальный огонь и в течение 10 минут подбили все советские тяжелые машины, при этом две из них сгорели. Каждый танк получил от 3 до 7 попаданий. На следующий день Лисянку окружили и взяли. В ней были захвачены брошенные без горючего 16 "Пантер", два Pz-IV и два штурмовых орудия. (3862).</w:t>
      </w:r>
    </w:p>
    <w:p w14:paraId="77E614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9D2C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г. вышел ПРИКАЗ № 034 ЗАМЕСТИТЕЛЯ НАРОДНОГО КОМИССАРА ОБОРОНЫ О ВВЕДЕНИИ В ДЕЙСТВИЕ “ПРАВИЛ ПО СОХРАНЕНИЮ ВОЕННОЙ ТАЙНЫ В ПЕЧАТИ КРАСНОЙ АРМИИ (НА ВОЕННОЕ ВРЕМЯ)”</w:t>
      </w:r>
    </w:p>
    <w:p w14:paraId="38D3CB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Ввести в действие объявляемые при сем “Правила по сохранению военной тайны в печати Красной Армии (на военное время)”.</w:t>
      </w:r>
    </w:p>
    <w:p w14:paraId="3024E6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Cs/>
          <w:color w:val="000000" w:themeColor="text1"/>
          <w:sz w:val="16"/>
          <w:szCs w:val="16"/>
        </w:rPr>
        <w:t>Заместитель Народного комиссара обороны Маршал Советского Союза ВАСИЛЕВСКИЙ</w:t>
      </w:r>
    </w:p>
    <w:p w14:paraId="12B5BA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г. Заместитель начальника Генерального штаба Красной Армии</w:t>
      </w:r>
    </w:p>
    <w:p w14:paraId="60AD99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генерал армии </w:t>
      </w:r>
      <w:r w:rsidRPr="00070ADE">
        <w:rPr>
          <w:rFonts w:ascii="Times New Roman" w:hAnsi="Times New Roman"/>
          <w:iCs/>
          <w:color w:val="000000" w:themeColor="text1"/>
          <w:sz w:val="16"/>
          <w:szCs w:val="16"/>
        </w:rPr>
        <w:t xml:space="preserve">АНТОНОВ </w:t>
      </w:r>
      <w:r w:rsidRPr="00070ADE">
        <w:rPr>
          <w:rFonts w:ascii="Times New Roman" w:hAnsi="Times New Roman"/>
          <w:color w:val="000000" w:themeColor="text1"/>
          <w:sz w:val="16"/>
          <w:szCs w:val="16"/>
        </w:rPr>
        <w:t>утвердил:</w:t>
      </w:r>
    </w:p>
    <w:p w14:paraId="7ED9FA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ПРАВИЛА ПО СОХРАНЕНИЮ ВОЕННОЙ ТАЙНЫ В ПЕЧАТИ КРАСНОЙ АРМИИ (НА ВОЕННОЕ ВРЕМЯ)</w:t>
      </w:r>
    </w:p>
    <w:p w14:paraId="0B6D338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Общее положение</w:t>
      </w:r>
    </w:p>
    <w:p w14:paraId="775ED9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Сведения, включенные в настоящие Правила, являются специально охраняемой военной и государственной тайной и </w:t>
      </w:r>
      <w:r w:rsidRPr="00070ADE">
        <w:rPr>
          <w:rFonts w:ascii="Times New Roman" w:hAnsi="Times New Roman"/>
          <w:b/>
          <w:bCs/>
          <w:color w:val="000000" w:themeColor="text1"/>
          <w:sz w:val="16"/>
          <w:szCs w:val="16"/>
        </w:rPr>
        <w:t xml:space="preserve">не </w:t>
      </w:r>
      <w:r w:rsidRPr="00070ADE">
        <w:rPr>
          <w:rFonts w:ascii="Times New Roman" w:hAnsi="Times New Roman"/>
          <w:color w:val="000000" w:themeColor="text1"/>
          <w:sz w:val="16"/>
          <w:szCs w:val="16"/>
        </w:rPr>
        <w:t>подлежат оглашению в открытой печати, передачах по радио открытым текстом, кино, фото, картографических изданиях, на выставках и других видах открытой информации.</w:t>
      </w:r>
    </w:p>
    <w:p w14:paraId="0CCF94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Редактор и военный цензор, разрешая к печати материал, обязаны проявлять большевистскую бдительность и учитывать, не содержит ли предназначенный к печати материал таких сведений, которые могут оказаться полезными для врага и опубликование которых может причинить ущерб обороноспособности нашей страны.</w:t>
      </w:r>
    </w:p>
    <w:p w14:paraId="1275A1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 подлежат оглашению также и те данные, из которых даже косвенным путем могут быть сделаны выводы, раскрывающие военную и государственную тайну.</w:t>
      </w:r>
    </w:p>
    <w:p w14:paraId="45BCBDD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пользовании Правилами необходимо учитывать, что в них включены основные вопросы, которые подлежат охране от разглашений в печати. Ряд вопросов, возникающих в практической работе, не может быть предусмотрен и объединен в одном документе. В силу этого обязанность военного цензора — систематически и неустанно повышать свою военно-политическую и цензорскую подготовку, обобщать опыт своей работы и на основе этого вести свою практическую работу так, чтобы не допускать ни одного разглашения военной тайны.</w:t>
      </w:r>
    </w:p>
    <w:p w14:paraId="74CB8C0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Вместе с тем цензор, руководствуясь настоящими Правилами и принимая решение разрешить или запретить те или иные сведения, не должен подходить к нему механически. Каждое такое решение цензор должен всесторонне и вдумчиво проанализировать, взвесить, обосновать.</w:t>
      </w:r>
    </w:p>
    <w:p w14:paraId="3FC838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Виновные в разглашении перечисленных в “Правилах” государственных и военных тайн привлекаются к ответственности по законам военного времени и соответствующим статьям Уголовного кодекса союзных республик.</w:t>
      </w:r>
    </w:p>
    <w:p w14:paraId="7F2E0F5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Правилах приведены военные термины: “соединение”, “часть”, “подразделение”.</w:t>
      </w:r>
    </w:p>
    <w:p w14:paraId="250ED3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 соединением понимается: бригада, дивизия, корпус, армия.</w:t>
      </w:r>
    </w:p>
    <w:p w14:paraId="44D0A76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Частью называется войсковая единица, имеющая самостоятельное хозяйство, постоянное название и присвоенный номер. Типовой войсковой частью является полк, отдельный батальон (отдельный дивизион).</w:t>
      </w:r>
    </w:p>
    <w:p w14:paraId="13B3E35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Подразделением называются единицы, на которые делится часть, а именно: батальон, дивизион, эскадрилья, рота, батарея, эскадрон, взвод, звено, отделение, расчет, экипаж.</w:t>
      </w:r>
    </w:p>
    <w:p w14:paraId="7725DC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 правительственным сообщением в Правилах имеются в виду: приказы Верховного Главнокомандующего, приказы Народного комиссара обороны, постановления СНК СССР, выступления руководителей партии и правительства, Указы Президиума Верховного Совета Союза ССР, сообщения и сводки Со-винформбюро, сообщения НКИД и ТАСС.</w:t>
      </w:r>
    </w:p>
    <w:p w14:paraId="029AF7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Запрещается открыто опубликовывать нижеследующие сведения:</w:t>
      </w:r>
    </w:p>
    <w:p w14:paraId="0E2147E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Мобилизация</w:t>
      </w:r>
    </w:p>
    <w:p w14:paraId="2DD0D1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Все сведения о мобилизационных мероприятиях правительства и отдельных наркоматов, предприятий и учреждений в отношении людского и конского состава, стратегического сырья, транспорта, промышленности и сельского хозяйства.</w:t>
      </w:r>
    </w:p>
    <w:p w14:paraId="3EF09F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Сведения по эвакуации и реэвакуации промышленных предприятий и людских ресурсов, кроме материалов, помещаемых в центральной печати.</w:t>
      </w:r>
    </w:p>
    <w:p w14:paraId="302627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Сведения о мобилизации в Красную Армию контингентов и лиц, не объявленных в открытых приказах НКО.</w:t>
      </w:r>
    </w:p>
    <w:p w14:paraId="42D406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О лицах этих контингентов разрешается в отдельных случаях публиковать статьи с описанием их учебы и боевой деятельности, не указывая, что они мобилизованы.</w:t>
      </w:r>
    </w:p>
    <w:p w14:paraId="5B18A5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Сведения о мобилизации населения и использования его на оборонительных строительствах.</w:t>
      </w:r>
    </w:p>
    <w:p w14:paraId="5B80D0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 Организация</w:t>
      </w:r>
    </w:p>
    <w:p w14:paraId="77C0CE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Сведения об организации, штатном, численном составе, некомплекте людей, машин, животных, вооружения и снаряжения в подразделениях, частях, соединениях, учреждениях и заведениях Красной Армии и Всевобуча.</w:t>
      </w:r>
    </w:p>
    <w:p w14:paraId="3AC9B1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Организацию соединений, частей и подразделений разрешается опубликовать в соответствии с приложением № 1* и открытыми уставами и наставлениями.</w:t>
      </w:r>
    </w:p>
    <w:p w14:paraId="66B372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Изменения в организации и численности подразделений, частей и соединений.</w:t>
      </w:r>
    </w:p>
    <w:p w14:paraId="0D2B3B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Данные о вновь сформированных и формируемых частях и соединениях.</w:t>
      </w:r>
    </w:p>
    <w:p w14:paraId="4EA51A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Сведения о количестве (абсолютные и в процентах), национальном составе, сроках прибытия пополнения и уровне его военной подготовки.</w:t>
      </w:r>
    </w:p>
    <w:p w14:paraId="2F0212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Об отдельных фактах прибытия пополнения в подразделения, положительные оценки его подготовки и участия в боевой деятельности опубликовывать разрешается.</w:t>
      </w:r>
    </w:p>
    <w:p w14:paraId="7D800A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Организацию училищ и курсов: число отделов, курсовых групп, численность слушателей, курсантов, преподавателей и обслуживающего состава.</w:t>
      </w:r>
    </w:p>
    <w:p w14:paraId="342B85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Шефские и другие присвоенные наименования, нумерацию войсковых частей и соединений, учреждений и заведений Красной Армии.</w:t>
      </w:r>
    </w:p>
    <w:p w14:paraId="04ABC6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Наименования и нумерацию частей и соединений, объявленных в правительственных сообщениях, упоминать в центральной и фронтовой печати без указания их дислокации разрешается, если эти части и соединения остаются в составе фронта, в котором они были объявлены.</w:t>
      </w:r>
    </w:p>
    <w:p w14:paraId="4CF767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Наименование новых фронтов или новые наименования существующих фронтов до опубликования их в правительственных сообщениях.</w:t>
      </w:r>
    </w:p>
    <w:p w14:paraId="4A37E08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Абсолютные и относительные данные о партийном, комсомольском, социальном и национальном составе подразделений, частей и соединений.</w:t>
      </w:r>
    </w:p>
    <w:p w14:paraId="5CADF10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Абсолютное число коммунистов и комсомольцев в составе ротных партийных и комсомольских организаций опубликовывать разрешается.</w:t>
      </w:r>
    </w:p>
    <w:p w14:paraId="1804DD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Число людей, проходящих и прошедших Всевобуч и допризывную подготовку за город, район, область, край, республику.</w:t>
      </w:r>
    </w:p>
    <w:p w14:paraId="0DB191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Все сведения о заградительных отрядах, штрафных батальонах и ротах.</w:t>
      </w:r>
    </w:p>
    <w:p w14:paraId="701A33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Фамилии и воинские звания командиров частей и соединений и их заместителей, начальников штабов и начальников политотделов соединений.</w:t>
      </w:r>
    </w:p>
    <w:p w14:paraId="3849AB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1. Фамилии и воинские звания этих лиц во фронтовых (окружных) газетах опубликовывать разрешается, если они упоминались и опубликованы в правительственных сообщениях и не перемещены после этого в другую часть, соединение, фронт, округ.</w:t>
      </w:r>
    </w:p>
    <w:p w14:paraId="7D4A323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2. В подписях под статьями начальников политорганов разрешается указывать воинское звание и фамилии авторов (без указания их должности), если эти статьи помещаются в газетах непосредственно руководимых ими соединений (начальника политотдела армии — в армейской газете, начальника политотдела дивизии — в дивизионной).</w:t>
      </w:r>
    </w:p>
    <w:p w14:paraId="2274D2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3. Фамилии и воинские звания командующего, члена военного совета, начальника политуправления, начальника штаба фронта (округа) печать открыто можно, для вновь сформированных фронтов (округов) фамилии и воинские звания этих лиц разрешается оглашать только после правительственных сообщений.</w:t>
      </w:r>
    </w:p>
    <w:p w14:paraId="76B2C7A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О перемещениях и назначениях офицерского состава от командира полка (им равного) и выше, а также генералов Красной Армии, кроме правительственных сообщений.</w:t>
      </w:r>
    </w:p>
    <w:p w14:paraId="43A31D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Дислокация</w:t>
      </w:r>
    </w:p>
    <w:p w14:paraId="63A7EA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Всякого рода данные, по которым можно установить: пункт, район, где находится или будет находиться подразделение, часть, соединение, как на фронте, так и в тылу.</w:t>
      </w:r>
    </w:p>
    <w:p w14:paraId="3BE43C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1. В областных, краевых и республиканских центрах разрешается общее упоминание о наличии гарнизонов без указания величины их и рода войск.</w:t>
      </w:r>
    </w:p>
    <w:p w14:paraId="3DFF77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2. Приказы начальников гарнизонов разрешается опубликовывать во всех городах.</w:t>
      </w:r>
    </w:p>
    <w:p w14:paraId="0C8E95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3. Дислокация гарнизонных Домов Красной Армии в областных, краевых и республиканских центрах для печати открыта.</w:t>
      </w:r>
    </w:p>
    <w:p w14:paraId="551CC6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Сведения о передислокации частей и соединений, их передвижение по железным дорогам, автотранспортом, водным и воздушным путями и т. д.</w:t>
      </w:r>
    </w:p>
    <w:p w14:paraId="4BEBA03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Пункты дислокации военно-учебных заведений, подчиненных Главному разведывательному управлению Красной Армии и Разведывательному управлению Генштаба Красной Армии, минометных училищ, курсов младших лейтенантов и ВУЗов ВВС.</w:t>
      </w:r>
    </w:p>
    <w:p w14:paraId="296D243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Пункты дислокации остальных военно-учебных заведений, а также Ленинградской и имени Жуковского военно-воздушных академий и Ленинградских военно-авиационных технических курсов усовершенствования для печати открыты.</w:t>
      </w:r>
    </w:p>
    <w:p w14:paraId="5B13E0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Места расположения укрепленных районов, военных складов, воинских лагерей, аэродромов и посадочных площадок, стационарных установок зенитных батарей, аэростатов воздушного заграждения.</w:t>
      </w:r>
    </w:p>
    <w:p w14:paraId="249D10E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Место печатания бригадных, дивизионных, корпусных, армейских и фронтовых изданий.</w:t>
      </w:r>
    </w:p>
    <w:p w14:paraId="389E18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IV. Боевая подготовка</w:t>
      </w:r>
    </w:p>
    <w:p w14:paraId="242F1F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Обобщенные материалы по организации и планированию боевой подготовки, тактическим учениям, военным играм и опытным учениям и маневрам. Примечание. В окружных (фронтовых) и центральных газетах разрешается освещение в печати тактических учений в масштабе не выше отдельной части; в дивизионных, армейских газетах — до подразделения.</w:t>
      </w:r>
    </w:p>
    <w:p w14:paraId="3EEA98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Уровень состояния боевой подготовки и боевой готовности соединений и частей как в целом, так и по отдельным родам войск и видам боевой подготовки.</w:t>
      </w:r>
    </w:p>
    <w:p w14:paraId="48EA63A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Статьи и заметки о неудовлетворительной подготовке мелких подразделений (рота, батарея, эскадрон, экипаж), кроме химической и противохимической, печатать разрешается.</w:t>
      </w:r>
    </w:p>
    <w:p w14:paraId="62FE24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Сведения о специальных видах боевой подготовки: подводной, радиоразведки, подслушивания и их практическом использовании в боевой обстановке.</w:t>
      </w:r>
    </w:p>
    <w:p w14:paraId="4AC983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О сроках подготовки рядового, сержантского и офицерского состава в условиях военного времени.</w:t>
      </w:r>
    </w:p>
    <w:p w14:paraId="2FB689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Все сведения о досрочных и специальных выпусках из военных академий, училищ, школ, курсов.</w:t>
      </w:r>
    </w:p>
    <w:p w14:paraId="08CBC16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V. Боевые действия</w:t>
      </w:r>
    </w:p>
    <w:p w14:paraId="0BC68DC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Военно-географическое и статистическое описание театра военных действий, сведения по его подготовке, оперативной емкости и описание операционных направлений.</w:t>
      </w:r>
    </w:p>
    <w:p w14:paraId="5B3A59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Прямые, косвенные или частичные данные об общем плане операции или боя, о районах и плане сосредоточения и развертывания войск для предстоящих действий.</w:t>
      </w:r>
    </w:p>
    <w:p w14:paraId="687F92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Наименования населенных пунктов и водных преград, занятых нашими войсками, а также пунктов и водных преград, за которые идут бои, если опубликованием их в какой-либо степени раскрывается замысел операции, задачи войск, их группировка и перегруппировка, коммуникации, разграничительные линии и стыки.</w:t>
      </w:r>
    </w:p>
    <w:p w14:paraId="0126B1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Подготовка специальных номеров газет, опубликование статей, заметок, приказов, обращений, призывов и других материалов, из которых можно сделать вывод, что данная войсковая часть или соединение ведет подготовку к наступлению, обороне, отходу и т. д.</w:t>
      </w:r>
    </w:p>
    <w:p w14:paraId="4464DF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Обобщенные материалы по оперативным и тактическим методам, а также тактическим приемам, связанным с применением нового вида вооружения и боевой техники.</w:t>
      </w:r>
    </w:p>
    <w:p w14:paraId="6CE10B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32. Операции с применением авиадесантов и рейдов кавалерийских, танковых и мотомехчастей.</w:t>
      </w:r>
    </w:p>
    <w:p w14:paraId="107F31E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1. Описание таких операций может быть разрешено к печати только с санкции Генерального штаба Красной Армии.</w:t>
      </w:r>
    </w:p>
    <w:p w14:paraId="7AAB444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2. Кавалерийские, танковые и механизированные соединения, действующие в глубине противника, могут описывать в своих газетах тактические действия своих подразделений без указания населенных пунктов.</w:t>
      </w:r>
    </w:p>
    <w:p w14:paraId="17669F2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 Описания и фотоснимки участков фронта, оборонительных полос, рубежей, минных полей, командных пунктов, газоубежищ, районов предполагаемых затоплений и заболачивания, противотанковых районов, танкоопасных направлений и инженерных сооружений.</w:t>
      </w:r>
    </w:p>
    <w:p w14:paraId="56F4425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 Суммарные сведения о захваченных трофеях и пленных, потерях противника в живой силе и технике за фронт, участок фронта, за определенный промежуток времени, кроме правительственных сообщений.</w:t>
      </w:r>
    </w:p>
    <w:p w14:paraId="73A276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Сведения о трофеях и пленных, взятых подразделением, опубликовывать разрешается во всех газетах. В центральной и фронтовой печати в отдельных случаях разрешается эти сведения опубликовывать за часть.</w:t>
      </w:r>
    </w:p>
    <w:p w14:paraId="3AB5475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 Описание боевых действий крупных соединений, участка фронта, кроме правительственных сообщений.</w:t>
      </w:r>
    </w:p>
    <w:p w14:paraId="577F4B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1. Действия бригады и дивизии разрешается опубликовывать во фронтовой печати только с санкции начальника штаба фронта.</w:t>
      </w:r>
    </w:p>
    <w:p w14:paraId="4985CDC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2. Материалы о боевых действиях, начиная от корпуса и выше, могут помещаться в открытой печати только с санкции Генерального штаба Красной Армии.</w:t>
      </w:r>
    </w:p>
    <w:p w14:paraId="2D337C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 Сведения о наличии и участии в боевых действиях подразделений и частей, состоящих из женщин.</w:t>
      </w:r>
    </w:p>
    <w:p w14:paraId="2B4EFD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Участие в боевых действиях отдельных женщин опубликовывать в печати разрешается без указания на то, что они мобилизованы.</w:t>
      </w:r>
    </w:p>
    <w:p w14:paraId="10559B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 Сведения о налетах противника на наши города, железнодорожные станции, о нарушении нормальной жизни крупных населенных пунктов, вызываемом налетами и диверсионными действиями противника, кроме правительственных сообщений.</w:t>
      </w:r>
    </w:p>
    <w:p w14:paraId="3F4B7E4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В печати соединений ПВО разрешается опубликовывать материалы об отражении налетов неприятельской авиации без указания пункта, мощности налета и произведенных разрушений.</w:t>
      </w:r>
    </w:p>
    <w:p w14:paraId="4E3775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 Сведения о налетах нашей авиации на тыловые объекты противника в том случае, если указывается конкретное наименование пункта или района, кроме правительственных сообщений.</w:t>
      </w:r>
    </w:p>
    <w:p w14:paraId="40A0D3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 Сведения и фотоснимки о разрушениях военных и экономических объектов, происшедших в результате нападения противника.</w:t>
      </w:r>
    </w:p>
    <w:p w14:paraId="74DBED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В отдельных случаях подобные сведения могут быть опубликованы в соответствии с правительственными сообщениями.</w:t>
      </w:r>
    </w:p>
    <w:p w14:paraId="3444EF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 Сведения о применении противником и его агентурой бактериальных и химических средств борьбы, кроме правительственных сообщений.</w:t>
      </w:r>
    </w:p>
    <w:p w14:paraId="53AE7C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 Об окружении противником наших частей и о методах выхода их из окружения, а также об окружении нашими частями частей противника до сообщений Совинформбюро.</w:t>
      </w:r>
    </w:p>
    <w:p w14:paraId="67EA4B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Отдельные случаи выхода из окружения наших подразделений не выше роты, при наличии поучительного опыта, могут опубликовываться во фронтовой и армейской печати с разрешения начальника штаба фронта или армии.</w:t>
      </w:r>
    </w:p>
    <w:p w14:paraId="225D9A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 Сведения о маскировке операций, боевых действий, войск и различных объектов: баз, складов, сооружений, государственного значения и других.</w:t>
      </w:r>
    </w:p>
    <w:p w14:paraId="7BE9CB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 Тактику и технику химического нападения и все сведения о подготовке к химической и бактериальной войне.</w:t>
      </w:r>
    </w:p>
    <w:p w14:paraId="5329A9A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 Все данные о состоянии, подготовке, отдельных мероприятиях по противохимической и противовоздушной, противобактериальной обороне.</w:t>
      </w:r>
    </w:p>
    <w:p w14:paraId="005F6E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В центральной печати материалы о противохимической обороне разрешается опубликовывать с санкции Главного военно-</w:t>
      </w:r>
      <w:r w:rsidRPr="00070ADE">
        <w:rPr>
          <w:rFonts w:ascii="Times New Roman" w:hAnsi="Times New Roman"/>
          <w:color w:val="000000" w:themeColor="text1"/>
          <w:sz w:val="16"/>
          <w:szCs w:val="16"/>
        </w:rPr>
        <w:br/>
        <w:t>химического управления Красной Армии.</w:t>
      </w:r>
    </w:p>
    <w:p w14:paraId="681FDD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Сведения о неразорвавшихся бомбах, снарядах, минах противника, кроме правительственных сообщений.</w:t>
      </w:r>
    </w:p>
    <w:p w14:paraId="2977C0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Разрешается опубликовывать отдельные случаи неразрыва артиллерийских снарядов и мин, если этим не вскрываются</w:t>
      </w:r>
      <w:r w:rsidRPr="00070ADE">
        <w:rPr>
          <w:rFonts w:ascii="Times New Roman" w:hAnsi="Times New Roman"/>
          <w:color w:val="000000" w:themeColor="text1"/>
          <w:sz w:val="16"/>
          <w:szCs w:val="16"/>
        </w:rPr>
        <w:br/>
        <w:t>массовый характер неразрыва и их причины.</w:t>
      </w:r>
    </w:p>
    <w:p w14:paraId="7222194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 Критические статьи и дискуссионные выступления в печати по дейст-' вующим уставам, наставлениям и их проектам.</w:t>
      </w:r>
    </w:p>
    <w:p w14:paraId="21311D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 Все сведения в абсолютных цифрах и процентах о людских потерях в боях: убитыми, ранеными, газоотравленными, обмороженными, больными, пропавшими без вести и попавшими в плен, а также о потере боевой техники, за исключением правительственных сообщений.</w:t>
      </w:r>
    </w:p>
    <w:p w14:paraId="744D32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О героической смерти бойцов и командиров под разделений в отдельных случаях опубликовывать разрешается.</w:t>
      </w:r>
    </w:p>
    <w:p w14:paraId="5099DD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2. Отдельные факты боевых потерь нашей техники (два—три самолета, танка, орудия, пулемета) опубликовывать разрешается, если при этом экипажами (расчетами) проявлены героизм, военное мастерство и противник понес значительно большие потери.</w:t>
      </w:r>
    </w:p>
    <w:p w14:paraId="39C08B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 Сведения о количестве вынесенных с поля боя санитарами раненых бойцов, командиров за один день боя или одну операцию.</w:t>
      </w:r>
    </w:p>
    <w:p w14:paraId="2AA6AFC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 Сведения о применении оружия в боях медицинским составом, кроме случаев защиты больных, раненых и самозащиты.</w:t>
      </w:r>
    </w:p>
    <w:p w14:paraId="57B16A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 Сведения о смерти генералов, командиров частей и соединений Красной Армии и Военно-Морского Флота до правительственного сообщения.</w:t>
      </w:r>
    </w:p>
    <w:p w14:paraId="4C4EFC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VI. Боевые действия партизан</w:t>
      </w:r>
    </w:p>
    <w:p w14:paraId="0D2852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 Организацию, численность партизанских отрядов, партизанских частей и соединений, количество и наименование их вооружения.</w:t>
      </w:r>
    </w:p>
    <w:p w14:paraId="5EFFE7D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 Фотоснимки партизан и их фамилии.</w:t>
      </w:r>
    </w:p>
    <w:p w14:paraId="1A6CF6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В отдельных случаях допускается опубликование фотоснимков и фамилии партизан только по специальному разрешению соответствующего штаба партизанского движения или члена военного совета фронта.</w:t>
      </w:r>
    </w:p>
    <w:p w14:paraId="612FA7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 Все сведения, прямо или косвенно раскрывающие район и место боевых действий партизан.</w:t>
      </w:r>
    </w:p>
    <w:p w14:paraId="7C269C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Разрешается опубликовывать выражения: “партизаны Украины”, “партизаны Белоруссии”, “партизаны Ленинградской области” и т.д.</w:t>
      </w:r>
    </w:p>
    <w:p w14:paraId="7043D56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 Приемы борьбы партизанских отрядов: методы боевых действий и разведки, сигнализации, система связи между партизанскими отрядами, частями Красной Армии и населением и другие сведения, могущие дать противнику данные для принятия контрмер.</w:t>
      </w:r>
    </w:p>
    <w:p w14:paraId="755FA2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 Сводные данные о результатах проведенных партизанами операций за область, республику и сводный отряд</w:t>
      </w:r>
    </w:p>
    <w:p w14:paraId="70F24A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В армейской и дивизионной печати о действии партизан разрешается лишь перепечатка материалов из фронтовых и центральных газет.</w:t>
      </w:r>
    </w:p>
    <w:p w14:paraId="1A2F72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 О совместных действиях партизанских отрядов с частями Красной Армии, кроме правительственных сообщений.</w:t>
      </w:r>
    </w:p>
    <w:p w14:paraId="293849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 О нахождении на службе немецких оккупационных властей лиц, работающих или ранее работавших по заданиям партизанских отрядов или наших органов разведки.</w:t>
      </w:r>
    </w:p>
    <w:p w14:paraId="6F592A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VII. Вооружение</w:t>
      </w:r>
    </w:p>
    <w:p w14:paraId="4AB2435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 Описание, тактико-технические данные и маркировка боевых машин и предметов вооружения, не поименованных в приложении № 2*.</w:t>
      </w:r>
    </w:p>
    <w:p w14:paraId="33CDB36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1. Все данные по боевой технике иностранных армий, ВВС и флотов, взятые из иностранной открытой печати, опубликовывать разрешается, не упоминая о нахождении ее на вооружении в Красной Армии.</w:t>
      </w:r>
    </w:p>
    <w:p w14:paraId="756922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2. Отдельные случаи использования нашими войсками трофейного вооружения противника без его опознавательных знаков (на самолетах, танках) опубликовывать разрешается.</w:t>
      </w:r>
    </w:p>
    <w:p w14:paraId="5D4F3B6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 Сведения о степени обеспеченности боевой техникой наших войск, о поступлении на вооружение новых или модернизированных образцов и видов боевой техники как отечественного производства, так и иностранных марок, а также о снятии с вооружения старых образцов.</w:t>
      </w:r>
    </w:p>
    <w:p w14:paraId="43A6E28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 Сведения о вооружении самолетов, танков, бронемашин, бронепоездов: количество пушек и пулеметов, их марки, калибры, наличие снарядов “РС” и химического вооружения, комплект боеприпасов и авиабомб их вес, марки, калибры.</w:t>
      </w:r>
    </w:p>
    <w:p w14:paraId="744CC4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070ADE">
        <w:rPr>
          <w:rFonts w:ascii="Times New Roman" w:hAnsi="Times New Roman"/>
          <w:color w:val="000000" w:themeColor="text1"/>
          <w:sz w:val="16"/>
          <w:szCs w:val="16"/>
        </w:rPr>
        <w:t>61. Сведения о вооружении системы Костикова.</w:t>
      </w:r>
    </w:p>
    <w:p w14:paraId="40233D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Упоминание этого вооружения под названием “Катюша” и “гвардейские минометы” в печати разрешается без его конструктивного и тактико-технического описания.</w:t>
      </w:r>
    </w:p>
    <w:p w14:paraId="22E917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 Все данные о телемеханических приборах и радиолокаторах принятых в Красной Армии.</w:t>
      </w:r>
    </w:p>
    <w:p w14:paraId="6330A6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 Сведения о химическом вооружении, боевых отравляющих и дегазирующих веществах, кроме перечисленных в приложении № 2.</w:t>
      </w:r>
    </w:p>
    <w:p w14:paraId="5C72D3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 Об огнеметных средствах и их применении.</w:t>
      </w:r>
    </w:p>
    <w:p w14:paraId="3C1E4E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Описание огнеметных средств разрешается согласно приложению № 2.</w:t>
      </w:r>
    </w:p>
    <w:p w14:paraId="71A378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 Сведения о взрывчатых веществах и инженерной технике, кроме перечисленных в приложении № 2.</w:t>
      </w:r>
    </w:p>
    <w:p w14:paraId="275EDE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 Сведения об изобретениях и рационализаторских предложениях, вносящих новые принципы в боевое вооружение, его усовершенствование или в тактические формы боя, а также об испытании и опытном производстве новых образцов вооружения и технических средств борьбы.</w:t>
      </w:r>
    </w:p>
    <w:p w14:paraId="7D96B92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Все остальные изобретения и рационализаторские предложения разрешается опубликовывать с санкции начальника соответствующего рода войск.</w:t>
      </w:r>
    </w:p>
    <w:p w14:paraId="1A4B484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 Сведения о массовых отрицательных явлениях в производстве, хранении и использовании не по назначению предметов вооружения и боевой техники Красной Армии.</w:t>
      </w:r>
    </w:p>
    <w:p w14:paraId="552147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 Сведения об авариях и катастрофах в воздушных, морских, танковых, мотомеханизированных, железнодорожных и других войсках.</w:t>
      </w:r>
    </w:p>
    <w:p w14:paraId="78CB71A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Примечание. Допускается опубликование отдельных единичных случаев аварий и поломок без человеческих жертв с разрешения соответствующего начальника </w:t>
      </w:r>
      <w:r w:rsidRPr="00070ADE">
        <w:rPr>
          <w:rFonts w:ascii="Times New Roman" w:hAnsi="Times New Roman"/>
          <w:color w:val="000000" w:themeColor="text1"/>
          <w:sz w:val="16"/>
          <w:szCs w:val="16"/>
        </w:rPr>
        <w:lastRenderedPageBreak/>
        <w:t>штаба.</w:t>
      </w:r>
    </w:p>
    <w:p w14:paraId="2FD44E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VIII. Дисциплина и политико-моральное состояние</w:t>
      </w:r>
    </w:p>
    <w:p w14:paraId="7ED2FE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 Все сведения о неудовлетворительном состоянии дисциплины и политико-морального состояния подразделения, части и соединения: невыполнение боевых приказов и распоряжений, случаи дезертирства, перехода на сторону врага, членовредительства, проявления недовольства материальным положением, случаи воровства, мародерства, ненормальных взаимоотношений военнослужащих между собою и с населением.</w:t>
      </w:r>
    </w:p>
    <w:p w14:paraId="7F7F20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 Сведения о воинских преступлениях при несении караульной службы и в боевом охранении: сон на посту, уход с поста, слабая бдительность и т. п.</w:t>
      </w:r>
    </w:p>
    <w:p w14:paraId="4B083F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к п.п. 69—70. С разрешения начальников соответствующих штабов в воспитательных целях допускается опубликовывать о случаях недисциплинированности и нарушений правил караульной службы, совершенных отдельными бойцами, — в дивизионных и армейских газетах и сержантами — в фронтовых (окружных) газетах.</w:t>
      </w:r>
    </w:p>
    <w:p w14:paraId="167573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 Абсолютные и относительные цифры дисциплинарных проступков в подразделениях, частях, соединениях, а также факты извращения дисциплинарной практики командным составом.</w:t>
      </w:r>
    </w:p>
    <w:p w14:paraId="32E036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В случаях массовых извращений дисциплинарной практики во фронтовых, окружных и армейских газетах допускается с разрешения начальника политоргана опубликование отдельных фактов извращения.</w:t>
      </w:r>
    </w:p>
    <w:p w14:paraId="5E98CE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 Все сведения о чрезвычайных происшествиях: обстрелах своих войск и самолетов, убийствах и ранениях военнослужащих, самоубийствах и покушениях на самоубийства, массовых заболеваниях, отравлениях пищей, массовых обмораживаниях и пр.</w:t>
      </w:r>
    </w:p>
    <w:p w14:paraId="273AE9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 Сведения о предании суду и о находящихся под следствием генералов и офицерского состава Красной Армии, а также цифровые данные о судимости рядового и сержантского состава.</w:t>
      </w:r>
    </w:p>
    <w:p w14:paraId="1A2CE5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 Критика приказов и действий начальника подчиненным.</w:t>
      </w:r>
    </w:p>
    <w:p w14:paraId="477B35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В армейских, фронтовых и окружных газетах разрешается критика действий средних и старших офицеров их начальниками или военными корреспондентами в каждом отдельном случае с разрешения члена военного совета армии, фронта, округа. Критика должна быть не грубая и не резкая, а тактичная и товарищеская.</w:t>
      </w:r>
    </w:p>
    <w:p w14:paraId="5CAE8DB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 Все, без исключения, сведения о противнике, могущие вызвать паническое и упадническое настроение как в действующей армии, так и в тылу: преувеличенные данные о результатах боевых действий противника, его материальных и технических ресурсах, переоценка морального и боевого состояния армии противника и т. д.</w:t>
      </w:r>
    </w:p>
    <w:p w14:paraId="2F803B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 Приводить выдержки из листовок, газет, радиопередач и других материалов противника, а также сообщать о фактах чтения военнослужащими и населением печатных материалов, распространяемых противником.</w:t>
      </w:r>
    </w:p>
    <w:p w14:paraId="657BD9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 Письма и дневники, и показания солдат и офицеров без разрешения начальников штабов.</w:t>
      </w:r>
    </w:p>
    <w:p w14:paraId="5B5285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IX. Материальное и финансовое обеспечение</w:t>
      </w:r>
    </w:p>
    <w:p w14:paraId="07D815C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 Всякие сведения о военном бюджете и различного рода ассигнованиях на ведение войны и сметах НКО, кроме правительственных сообщений.</w:t>
      </w:r>
    </w:p>
    <w:p w14:paraId="07C764E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 Сведения по вопросам заготовок и снабжения Красной Армии всеми видами вооружения, имущества, продовольствия и фуража.</w:t>
      </w:r>
    </w:p>
    <w:p w14:paraId="0777D3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В целях более успешного хода заготовок продовольствия и фуража для Красной Армии разрешается опубликование статей без указаний цифровых материалов и районов заготовок.</w:t>
      </w:r>
    </w:p>
    <w:p w14:paraId="1B055B6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 Сведения о выполнении промышленностью заказов для Красной Армии в абсолютных цифрах и процентах.</w:t>
      </w:r>
    </w:p>
    <w:p w14:paraId="379068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 Сведения о ремонтных базах: дислокация, мощность, производственная программа, а также данные о потребности ремонта за часть и соединение.</w:t>
      </w:r>
    </w:p>
    <w:p w14:paraId="3A14D0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 Все сведения, дающие отрицательную оценку боевого и хозяйственного снабжения фронта, округа, соединения, части, учреждения.</w:t>
      </w:r>
    </w:p>
    <w:p w14:paraId="4BA066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 Сведения о суррогатировании предметов вещевого и продовольственного снабжения в Красной Армии (образцы, технические условия, чертежи, фотоснимки и т. п.).</w:t>
      </w:r>
    </w:p>
    <w:p w14:paraId="638611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84. Детальная публикация сведений о работе войскового и армейского тыла. Примечание. Разрешается в открытой печати упоминать наименования всех учреждений войскового и армейского тыла, не указывая пункты их дислокации, численность и организацию, нумерацию, объем табельных и переходящих запасов.</w:t>
      </w:r>
    </w:p>
    <w:p w14:paraId="2969AE8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 Сведения о суммах подписки на госзаймы и лотереи в абсолютных цифрах (можно показывать в процентах к зарплате) за часть, соединение, фронт, округ.</w:t>
      </w:r>
    </w:p>
    <w:p w14:paraId="565827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X. Пути сообщения</w:t>
      </w:r>
    </w:p>
    <w:p w14:paraId="0EE9E8F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86. Сведения о состоянии действующих и строительстве новых железных и шоссейных дорог и мостов, ремонте и восстановлении старых.</w:t>
      </w:r>
    </w:p>
    <w:p w14:paraId="3E9BBD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В отдельных случаях разрешается опубликовывать в печати статьи о ремонте и строительстве дорог и мостов без указания названия дорог, района и протяженности, если этим не раскрывается характер и направление предстоящих боевых действий.</w:t>
      </w:r>
    </w:p>
    <w:p w14:paraId="77CB3D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87. Все сведения о прибытии в порты СССР иностранных и отечественных транспортов, их маршрутах, названии, количестве и наименовании доставленных грузов.</w:t>
      </w:r>
    </w:p>
    <w:p w14:paraId="4AF1EE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 Схемы, фотопланы железных и шоссейных дорог, железнодорожных узлов, станций, портов и переправ.</w:t>
      </w:r>
    </w:p>
    <w:p w14:paraId="3E5553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89. Сведения об охране, обороне, маскировке путей сообщения и связи.</w:t>
      </w:r>
    </w:p>
    <w:p w14:paraId="6A685F5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 Сообщения о пропускной способности железных дорог, узловых распорядительных и конечных станций, а также о хотя бы временном закрытии их.</w:t>
      </w:r>
    </w:p>
    <w:p w14:paraId="411DC42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 Сведения о движении воинских эшелонов, пассажирских и товарных поездов, пароходов и самолетов, о каких бы то ни было нарушениях, изменениях в движении поездов, вызванных войной и экономическим напряжением страны.</w:t>
      </w:r>
    </w:p>
    <w:p w14:paraId="2DFACD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 Данные о количестве и техническом состоянии железнодорожного, автомобильного и тракторного парков.</w:t>
      </w:r>
    </w:p>
    <w:p w14:paraId="099F37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XI. Санитарные и ветеринарные вопросы</w:t>
      </w:r>
    </w:p>
    <w:p w14:paraId="3C15B4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93. Обобщенные сведения и статистические данные о количестве раненых, характере ранения, количестве и процентах смертности в результате ранений, конкретных сроках излечения раненых, газоотравленных и подвергшихся бактериологическим поражениям и о числе лиц, возвращенных в строй, тыловые учреждения и заведения или уволенных из Красной Армии.</w:t>
      </w:r>
    </w:p>
    <w:p w14:paraId="27BF968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Общее упоминание в печати о возвращенных в строй более 70% раненых разрешается без приведения абсолютных цифр.</w:t>
      </w:r>
    </w:p>
    <w:p w14:paraId="7BFE6D3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94. Новые методы и средства лечения без санкции Главного санитарного управления Красной Армии.</w:t>
      </w:r>
    </w:p>
    <w:p w14:paraId="6AAFDA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 Отрицательные сведения о санитарном и ветеринарном состоянии Красной Армии как на фронте, так и в тылу.</w:t>
      </w:r>
    </w:p>
    <w:p w14:paraId="776AAB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96. Сведения о снижении медико-санитарных требований к призываемым в Красную Армию.</w:t>
      </w:r>
    </w:p>
    <w:p w14:paraId="523DF3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 Сведения об эпидемических, инфекционных и других заразных заболеваниях: тиф, дизентерия, чума, холера, туляремия и др., а также о смертности в войсках.</w:t>
      </w:r>
    </w:p>
    <w:p w14:paraId="2DC266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 Сводные данные о количестве обследований (в абсолютных цифрах) на групповую принадлежность крови военнослужащих и призываемых; о количестве доноров в стране, республике, области и в областных центрах.</w:t>
      </w:r>
    </w:p>
    <w:p w14:paraId="15E8823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99. Сведения о научно-исследовательских работах по санитарно-химической защите, профилактике, лечения пораженных ОВ как людского состава, так и животных.</w:t>
      </w:r>
    </w:p>
    <w:p w14:paraId="13D91D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 Научно-исследовательские работы и статистические данные по заразным и незаразным заболеваниям и ранениям животных.</w:t>
      </w:r>
    </w:p>
    <w:p w14:paraId="0B5816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 Сведения о количестве медикаментов и медицинского имущества в частях и соединениях.</w:t>
      </w:r>
    </w:p>
    <w:p w14:paraId="4D74BF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XII. Оборонительное строительство</w:t>
      </w:r>
    </w:p>
    <w:p w14:paraId="12D5AC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 Сведения о техническом состоянии, вооружении, степени оборудован-ности укрепленных районов, укрепленных полос, рубежей, узлов сопротивления, фортов, береговых батарей, береговых оборонительных сооружений, военных портов, морских, речных и авиационных баз и аэродромов.</w:t>
      </w:r>
    </w:p>
    <w:p w14:paraId="2A4C93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 Проекты, чертежи, описания долговременных фортификационных оборонительных сооружений, командных пунктов ПВО и убежищ специального назначения.</w:t>
      </w:r>
    </w:p>
    <w:p w14:paraId="56C553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Разрешается опубликовывать чертежи и описания полевых оборонительных сооружений, если они не являются опытными и не привязаны к местности.</w:t>
      </w:r>
    </w:p>
    <w:p w14:paraId="6B2ACA2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 Все сведения о новом военном и казарменном строительстве.</w:t>
      </w:r>
    </w:p>
    <w:p w14:paraId="639B5A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XIII. Организации, содействующие обороне страны</w:t>
      </w:r>
    </w:p>
    <w:p w14:paraId="59E4CF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 Сведения о работе Осоавиахима по заданию правительства, НКО, НКВМФ и о суммах, отпускаемых Осоавиахиму на выполнение этих заданий.</w:t>
      </w:r>
    </w:p>
    <w:p w14:paraId="39F2DE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 Сведения о прикомандированном к Осоавиахиму и Всевобучу офицерском составе и суммарные данные о постоянном учебно-строевом составе Осоавиахима.</w:t>
      </w:r>
    </w:p>
    <w:p w14:paraId="353C66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 Сведения о прикреплении учебных организаций Осоавиахима к войсковым частям.</w:t>
      </w:r>
    </w:p>
    <w:p w14:paraId="6933DE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108. Суммарные сведения о количестве учебных организаций в Осоавиа-химе: учебно-стрелковых центров, стрелковых клубов, клубов связи, авто-мотоклубов, кавалерийских клубов, военно-морских школ и клубов, школ ПВХО парашютно-планерных клубов, аэродромов, ангаров, их емкости и о запасах горючего.</w:t>
      </w:r>
    </w:p>
    <w:p w14:paraId="05F3D32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109. Суммарные сведения о количестве обучаемых и обученных Всевобучем и Осоавиахимом кадров различных воинских специальностей по СССР, республикам, краям и областям.</w:t>
      </w:r>
    </w:p>
    <w:p w14:paraId="75F802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 Суммарные сведения о количестве населения, подготовленного к ПВХО по СССР, республикам, краям и областям.</w:t>
      </w:r>
    </w:p>
    <w:p w14:paraId="4694A7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 Сведения о количестве боевой техники в Осоавиахиме и Всевобуче.</w:t>
      </w:r>
    </w:p>
    <w:p w14:paraId="4FFDA52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 Суммарные сведения о количестве имеющихся в Союзе, республике, крае, области противогазов, дегазационной техники, камер газоокуривания, химгородков, химполигонов, защитных комнат, газоубежищ и мастерских по ремонту противогазов.</w:t>
      </w:r>
    </w:p>
    <w:p w14:paraId="50B56F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Сведения о количествах подготавливаемых и подготовленных обществом Красного Креста медицинских сестер и санитарных инструкторов по СССР в целом, республикам, краям, областям и районам.</w:t>
      </w:r>
    </w:p>
    <w:p w14:paraId="5B848E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114. Сведения о количестве проходящих военную подготовку в гражданских учебных заведениях по Союзу, республике, краю, области.</w:t>
      </w:r>
    </w:p>
    <w:p w14:paraId="0751D8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XIV. Разные</w:t>
      </w:r>
    </w:p>
    <w:p w14:paraId="69EDBF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115. Выдержки и цитаты из материалов и изданий, имеющих ограничительные грифы: “Сов.секретно”, “Секретно”, “Для служебного пользования” и ссылки на них.</w:t>
      </w:r>
    </w:p>
    <w:p w14:paraId="60D23A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116. Сведения о правилах ведения секретной переписки, хранении секретных материалов, документов, о потере и хищении секретных бумаг.</w:t>
      </w:r>
    </w:p>
    <w:p w14:paraId="7C27C9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117. Все сведения о шифрах, шифровальной и дешифровальной работе.</w:t>
      </w:r>
    </w:p>
    <w:p w14:paraId="1D5BE9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118. Сведения о местопребывании Народного комиссара обороны, членов Государственного Комитета Обороны, заместителей Народного комиссара обороны, начальника Генерального штаба Красной Армии и его заместителей, командующих и членов военных советов фронтов, кроме правительственных сообщений.</w:t>
      </w:r>
    </w:p>
    <w:p w14:paraId="6A131C8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119. Какие бы то ни было данные о деятельности наших агентурных разведывательных органов.</w:t>
      </w:r>
    </w:p>
    <w:p w14:paraId="7A3B095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 Сведения отрицательного характера о Красной Армии и Военно-Мор-ском Флоте, взятые из иностранных источников.</w:t>
      </w:r>
    </w:p>
    <w:p w14:paraId="45E135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 Все сведения о шпионской, вредительской и диверсионной деятельности противника, о поимке шпионов, вредителей, диверсантов и о методах борьбы с ними.</w:t>
      </w:r>
    </w:p>
    <w:p w14:paraId="6BDAD1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Отдельные статьи, мобилизующие бдительность с приведением фактов шпионажа и диверсии, без указания фамилий задержанных и районов, опубликовывать разрешается с санкции соответствующего органа контрразведки.</w:t>
      </w:r>
    </w:p>
    <w:p w14:paraId="44B3FE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122. Номера телефонов войсковых частей, соединений, штабов, учреждений и заведений Красной Армии, Военно-Морского Флота и НКВД, за исключением военно-учебных заведений, комендатур и коммутаторов штабов военных округов.</w:t>
      </w:r>
    </w:p>
    <w:p w14:paraId="482F0F2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123. Сведения, могущие прямо или косвенно раскрыть мощность и дислокацию наших оборонных предприятий.</w:t>
      </w:r>
    </w:p>
    <w:p w14:paraId="50656D2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124. О восстановлении, строительстве новых предприятий наркоматов: вооружения, боеприпасов, авиационной промышленности, танковой промышленности и минометного вооружения на всей территории СССР, кроме правительственных сообщений.</w:t>
      </w:r>
    </w:p>
    <w:p w14:paraId="5E19B2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 О восстановлении и строительстве на территории, освобожденной от противника, промышленных предприятий и объектов государственного значения в 200 км от линии фронта.</w:t>
      </w:r>
    </w:p>
    <w:p w14:paraId="1AEF6A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О восстановлении и строительстве предприятий местного значения, а также коммунальных предприятий опубликовывать разрешается.</w:t>
      </w:r>
    </w:p>
    <w:p w14:paraId="6DC837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 Сведения и сообщения, связанные с посещением войсковых частей иностранными представителями, кроме правительственных сообщений.</w:t>
      </w:r>
    </w:p>
    <w:p w14:paraId="35157BA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127. Сведения о конфликтах в пограничной полосе с соседними государствами, кроме правительственных сообщений.</w:t>
      </w:r>
    </w:p>
    <w:p w14:paraId="14365E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128. Сведения о численности, местах нахождения и порядке использования военнопленных и перебежчиков противника.</w:t>
      </w:r>
    </w:p>
    <w:p w14:paraId="04E3D9E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129. Система и методы несения охраны границ, промышленных предприятий и государственных сооружений.</w:t>
      </w:r>
    </w:p>
    <w:p w14:paraId="342C25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 Сведения о методах борьбы с контрабандой и бандитизмом.</w:t>
      </w:r>
    </w:p>
    <w:p w14:paraId="1C9FCA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131. Порядок и способы передвижения и конвоирования арестованных и о конвойной службе.</w:t>
      </w:r>
    </w:p>
    <w:p w14:paraId="392473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132. Сведения о нормах и перебоях в снабжении населения СССР.</w:t>
      </w:r>
    </w:p>
    <w:p w14:paraId="4664B56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133. Разного рода частные объявления.</w:t>
      </w:r>
    </w:p>
    <w:p w14:paraId="208F57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134. Сведения, раскрывающие организацию и методы работы органов военной и гражданской цензуры и контроль иностранной печати, поступающей в СССР.</w:t>
      </w:r>
    </w:p>
    <w:p w14:paraId="361BCC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 Рецензии на книги, журналы и другие издания, имеющие ограничительный гриф, и на запрещенные и изъятые органами цензуры.</w:t>
      </w:r>
    </w:p>
    <w:p w14:paraId="6376659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136. Опубликование фамилий семей и родственников военнослужащих с указанием их местожительства, если эти семьи и родственники находятся на территории, оккупированной врагом.</w:t>
      </w:r>
    </w:p>
    <w:p w14:paraId="50237B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 Военно-топографические карты и планы с нанесенными военными объектами, карты, описания и планы городов и промышленные пункты, а также карты всех районов СССР масштаба 1:500000 и крупнее.</w:t>
      </w:r>
    </w:p>
    <w:p w14:paraId="7C35EE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Все карты и планы масштаба 1:1 000000 и крупнее, независимо от грифа, могут разрешаться к печати только с санкции Военно-топографического управления Генерального штаба Красной Армии или его органов при штабах фронтов и округов.</w:t>
      </w:r>
    </w:p>
    <w:p w14:paraId="3BFE55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138. Краткосрочные и долгосрочные прогнозы погоды, гидрологические прогнозы.</w:t>
      </w:r>
    </w:p>
    <w:p w14:paraId="271CB8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Разрешается опубликование местной информации краткосрочных сведений об изменении погоды.</w:t>
      </w:r>
    </w:p>
    <w:p w14:paraId="13D1B04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139. Нумерацию полевых почт с указанием, к какому роду войск или части, соединению, фронту они относятся.</w:t>
      </w:r>
    </w:p>
    <w:p w14:paraId="6E651E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 Сведения о судебных процессах и о приведении в исполнение приговоров судов над военнопленными.</w:t>
      </w:r>
    </w:p>
    <w:p w14:paraId="3848C0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В центральной печати разрешается опубликование этих сведений с санкции соответствующих правительственных органов, а в остальных изданиях — лишь перепечатка материалов центральной печати.</w:t>
      </w:r>
    </w:p>
    <w:p w14:paraId="5A1095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 xml:space="preserve">Начальник отдела военной цензуры Генерального штаба Красной Армии полковник БЕРЕЗИН </w:t>
      </w:r>
      <w:r w:rsidRPr="00070ADE">
        <w:rPr>
          <w:rFonts w:ascii="Times New Roman" w:hAnsi="Times New Roman"/>
          <w:color w:val="000000" w:themeColor="text1"/>
          <w:sz w:val="16"/>
          <w:szCs w:val="16"/>
        </w:rPr>
        <w:t>(9844).</w:t>
      </w:r>
    </w:p>
    <w:p w14:paraId="493AAD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2DBE0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15 февраля 1944 линия фронта стабилизировалась на рубеже река Нарова - Чудское озеро. Не снижая темпа боевых действий над сушей, Борзов при каждой возможности стремился послать самолеты в море. В течение февраля торпедоносцы произвели 14 атак, пять из которых завершились видимым успехом. На «Илы» пришлось две: 20-го в районе Таллина П.А. Колесник атаковал небольшой конвой и доложил о потоплении «5000-тонного транспорта», а 29-го своей второй победы добился старший лейтенант А.З.Большаков. Ему удалось атаковать небольшое одиночное судно севернее мыса Тахкуна. Подтверждений не на одну из атак нет. Тем не менее, противник серьезно обеспокоился началом нового наступления на свои коммуникации и предпринял эффективные меры противодействия, из которых в первую очередь необходимо отметить патрулирование ночных истребителей с РЛС в районе Таллинна (9965).</w:t>
      </w:r>
    </w:p>
    <w:p w14:paraId="54E0B15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B014946" w14:textId="77777777" w:rsidR="00B41B6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0B64F260" w14:textId="77777777" w:rsidR="00B41B6B" w:rsidRPr="00070ADE" w:rsidRDefault="00B41B6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B30E96"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15 февраля</w:t>
      </w:r>
      <w:r w:rsidRPr="00070ADE">
        <w:rPr>
          <w:rFonts w:ascii="Times New Roman" w:hAnsi="Times New Roman"/>
          <w:color w:val="000000" w:themeColor="text1"/>
          <w:sz w:val="16"/>
          <w:szCs w:val="16"/>
        </w:rPr>
        <w:t xml:space="preserve"> в 1944 году руководство Еврейского Антифашистского Комитета СССР обратилось к Сталину с предложением создать Еврейскую Советскую Социалистическую Республику на территории Крыма или в Поволжье на территории, где в прошлом была немецкая республика (15041).</w:t>
      </w:r>
    </w:p>
    <w:p w14:paraId="024375CD" w14:textId="77777777" w:rsidR="00B41B6B" w:rsidRPr="00070ADE" w:rsidRDefault="00B41B6B" w:rsidP="00B56F90">
      <w:pPr>
        <w:spacing w:after="0" w:line="240" w:lineRule="auto"/>
        <w:jc w:val="both"/>
        <w:rPr>
          <w:rFonts w:ascii="Times New Roman" w:hAnsi="Times New Roman"/>
          <w:color w:val="000000" w:themeColor="text1"/>
          <w:sz w:val="16"/>
          <w:szCs w:val="16"/>
        </w:rPr>
      </w:pPr>
    </w:p>
    <w:p w14:paraId="710ADCC3"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15 февраля</w:t>
      </w:r>
      <w:r w:rsidRPr="00070ADE">
        <w:rPr>
          <w:rFonts w:ascii="Times New Roman" w:hAnsi="Times New Roman"/>
          <w:color w:val="000000" w:themeColor="text1"/>
          <w:sz w:val="16"/>
          <w:szCs w:val="16"/>
        </w:rPr>
        <w:t xml:space="preserve"> в 1944 году польское эмигрантское правительство заявило о своем несогласии установить будущую восточную границу с СССР по линии Керзона. Вопрос о границе должен был быть рассмотрен в послевоенное время, а во время войны предлагалось провести простую демаркационную линию, причем восточнее Львова и Вильнюса (15041).</w:t>
      </w:r>
    </w:p>
    <w:p w14:paraId="48C413E3" w14:textId="77777777" w:rsidR="00B41B6B" w:rsidRPr="00070ADE" w:rsidRDefault="00B41B6B" w:rsidP="00B56F90">
      <w:pPr>
        <w:spacing w:after="0" w:line="240" w:lineRule="auto"/>
        <w:jc w:val="both"/>
        <w:rPr>
          <w:rFonts w:ascii="Times New Roman" w:hAnsi="Times New Roman"/>
          <w:color w:val="000000" w:themeColor="text1"/>
          <w:sz w:val="16"/>
          <w:szCs w:val="16"/>
        </w:rPr>
      </w:pPr>
    </w:p>
    <w:p w14:paraId="253BBD5D"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15 февраля</w:t>
      </w:r>
      <w:r w:rsidRPr="00070ADE">
        <w:rPr>
          <w:rFonts w:ascii="Times New Roman" w:hAnsi="Times New Roman"/>
          <w:color w:val="000000" w:themeColor="text1"/>
          <w:sz w:val="16"/>
          <w:szCs w:val="16"/>
        </w:rPr>
        <w:t xml:space="preserve"> в 1944 году на заседании Европейской Контрольной Комиссии советские представители предложили органичиться в документе об условиях капитуляции Германии только военными требованиями, не касаясь пока политических и экономических. Представители США настаивали на неограниченном сроке оккупации Германии (15041).</w:t>
      </w:r>
    </w:p>
    <w:p w14:paraId="7FDC60B6" w14:textId="77777777" w:rsidR="00B41B6B" w:rsidRPr="00070ADE" w:rsidRDefault="00B41B6B" w:rsidP="00B56F90">
      <w:pPr>
        <w:spacing w:after="0" w:line="240" w:lineRule="auto"/>
        <w:jc w:val="both"/>
        <w:rPr>
          <w:rFonts w:ascii="Times New Roman" w:hAnsi="Times New Roman"/>
          <w:color w:val="000000" w:themeColor="text1"/>
          <w:sz w:val="16"/>
          <w:szCs w:val="16"/>
        </w:rPr>
      </w:pPr>
    </w:p>
    <w:p w14:paraId="447734B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2C2DD0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AC782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польское правительство в изгнании отвергло предложения СССР считать “линию Керзона” советско-польской границей после войны (4962).</w:t>
      </w:r>
    </w:p>
    <w:p w14:paraId="17899C0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336CC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70E08C3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6F30B4"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15 февраля</w:t>
      </w:r>
      <w:r w:rsidRPr="00070ADE">
        <w:rPr>
          <w:rFonts w:ascii="Times New Roman" w:hAnsi="Times New Roman"/>
          <w:color w:val="000000" w:themeColor="text1"/>
          <w:sz w:val="16"/>
          <w:szCs w:val="16"/>
        </w:rPr>
        <w:t xml:space="preserve"> в 1944 году состоялся первый полет второго прототипа («DW512») обозначенного «Vickers» «Type 457», английского дальнего бомбардировщика </w:t>
      </w:r>
      <w:hyperlink r:id="rId47" w:tgtFrame="_blank" w:history="1">
        <w:r w:rsidRPr="00070ADE">
          <w:rPr>
            <w:rFonts w:ascii="Times New Roman" w:hAnsi="Times New Roman"/>
            <w:color w:val="000000" w:themeColor="text1"/>
            <w:sz w:val="16"/>
            <w:szCs w:val="16"/>
          </w:rPr>
          <w:t xml:space="preserve">«Vickers» «Windsor». </w:t>
        </w:r>
      </w:hyperlink>
      <w:r w:rsidRPr="00070ADE">
        <w:rPr>
          <w:rFonts w:ascii="Times New Roman" w:hAnsi="Times New Roman"/>
          <w:color w:val="000000" w:themeColor="text1"/>
          <w:sz w:val="16"/>
          <w:szCs w:val="16"/>
        </w:rPr>
        <w:t>Второй прототип самолета получил двигатели «Merlin» 85 мощностью 1750 л.с. Было так же построен еще один прототип – «Vickers» «Type 461» (рег.номер - NK136, первый полет - 11 июля 1944 год, после установки на него 20-мм пушек получил обозначение Type 480). Работы над самолетом продолжались и после войны. Было предложено еще несколько вариантов самолета, оставшихся на стадии прототипов (15041).</w:t>
      </w:r>
    </w:p>
    <w:p w14:paraId="51AC61CD" w14:textId="77777777" w:rsidR="00B41B6B" w:rsidRPr="00070ADE" w:rsidRDefault="00B41B6B" w:rsidP="00B56F90">
      <w:pPr>
        <w:spacing w:after="0" w:line="240" w:lineRule="auto"/>
        <w:jc w:val="both"/>
        <w:rPr>
          <w:rFonts w:ascii="Times New Roman" w:hAnsi="Times New Roman"/>
          <w:color w:val="000000" w:themeColor="text1"/>
          <w:sz w:val="16"/>
          <w:szCs w:val="16"/>
        </w:rPr>
      </w:pPr>
    </w:p>
    <w:p w14:paraId="512ED5C0" w14:textId="77777777" w:rsidR="00AD702B" w:rsidRPr="00070ADE" w:rsidRDefault="00AD702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г. был облетан второй прототип «Виндзор» Тип 457. Первый прототип, Тип 447 «Виндзор» с менее мощными Mk. 65 (по 1315 л.с. на границе высотности), имевший множество дефектов, вскоре списали – свой последний полет он совершил 23 марта, налетав всего 33 часа. Третья машина Тип 461 совершила свой первый полет 11 июля 1944 г. Без вооружения она разгонялась до 510 км/ч на высоте 7010 м.</w:t>
      </w:r>
    </w:p>
    <w:p w14:paraId="0CCAF607" w14:textId="77777777" w:rsidR="00AD702B" w:rsidRPr="00070ADE" w:rsidRDefault="00AD702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Заказчик разрешил снять хвостовую пулеметную турель, и с двумя стрелковыми точками в мотогондолах самолет получил новое обозначение Тип 480. С перегрузочным весом и 3600 кг бомб он показал дальность 4650 км, что превышало требования на 45%, и был получен заказ на 300 серийных «Виндзор» B Mk. I (Тип 483) с моторами «Грифон». Но до конца войны ни одного самолета достроить не успели. Пирсон предложил ряд способов дальнейшего повышения характеристик машины и прежде всего потолка, который не удовлетворял заказчика совершенно, однако добила проект дороговизна «безопасно-деформируемой конструкции». То, что годилось для военного времени, было слишком расточительно для послевоенного финансового кризиса (23008).</w:t>
      </w:r>
    </w:p>
    <w:p w14:paraId="614D24C3" w14:textId="77777777" w:rsidR="00AD702B" w:rsidRPr="00070ADE" w:rsidRDefault="00AD702B" w:rsidP="00B56F90">
      <w:pPr>
        <w:spacing w:after="0" w:line="240" w:lineRule="auto"/>
        <w:jc w:val="both"/>
        <w:rPr>
          <w:rFonts w:ascii="Times New Roman" w:hAnsi="Times New Roman"/>
          <w:color w:val="000000" w:themeColor="text1"/>
          <w:sz w:val="16"/>
          <w:szCs w:val="16"/>
        </w:rPr>
      </w:pPr>
    </w:p>
    <w:p w14:paraId="67882BD9" w14:textId="77777777" w:rsidR="00AD702B" w:rsidRPr="00070ADE" w:rsidRDefault="00AD702B" w:rsidP="00B56F90">
      <w:pPr>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rPr>
        <w:t xml:space="preserve">15–16 февраля (ночь) 1944 две недели отдыха для регулярных бомбардировочных эскадрилий RAF Bomber Command подошли к концу с налетом 891 бомбардировщиков на Берлин - самого большого отряда, когда-либо отправленного в Берлин, и самый крупный на сегодняшний день, за исключением трех рейдов </w:t>
      </w:r>
      <w:r w:rsidRPr="00070ADE">
        <w:rPr>
          <w:rFonts w:ascii="Times New Roman" w:hAnsi="Times New Roman"/>
          <w:color w:val="000000" w:themeColor="text1"/>
          <w:sz w:val="16"/>
          <w:szCs w:val="16"/>
        </w:rPr>
        <w:lastRenderedPageBreak/>
        <w:t>"тысячи бомбардировщиков" 1942 года, а также первый, в котором использовалось более 500 ланкастеров или более 300 галифаксов. Это ьыл последний наоет Bomber Command «битвы за Берлин», и, несмотря на облачный покров, в его ходе удалось поразить некоторые из важных военных объектов промышленности города. Сорок</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три</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бомбардировщика</w:t>
      </w:r>
      <w:r w:rsidRPr="00070ADE">
        <w:rPr>
          <w:rFonts w:ascii="Times New Roman" w:hAnsi="Times New Roman"/>
          <w:color w:val="000000" w:themeColor="text1"/>
          <w:sz w:val="16"/>
          <w:szCs w:val="16"/>
          <w:lang w:val="en-US"/>
        </w:rPr>
        <w:t xml:space="preserve"> (6,7% </w:t>
      </w:r>
      <w:r w:rsidRPr="00070ADE">
        <w:rPr>
          <w:rFonts w:ascii="Times New Roman" w:hAnsi="Times New Roman"/>
          <w:color w:val="000000" w:themeColor="text1"/>
          <w:sz w:val="16"/>
          <w:szCs w:val="16"/>
        </w:rPr>
        <w:t>сил</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не</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возвращаются</w:t>
      </w:r>
      <w:r w:rsidRPr="00070ADE">
        <w:rPr>
          <w:rFonts w:ascii="Times New Roman" w:hAnsi="Times New Roman"/>
          <w:color w:val="000000" w:themeColor="text1"/>
          <w:sz w:val="16"/>
          <w:szCs w:val="16"/>
          <w:lang w:val="en-US"/>
        </w:rPr>
        <w:t xml:space="preserve"> (20373).</w:t>
      </w:r>
    </w:p>
    <w:p w14:paraId="6E0709F5" w14:textId="77777777" w:rsidR="00AD702B" w:rsidRPr="00070ADE" w:rsidRDefault="00AD702B" w:rsidP="00B56F90">
      <w:pPr>
        <w:spacing w:after="0" w:line="240" w:lineRule="auto"/>
        <w:jc w:val="both"/>
        <w:rPr>
          <w:rFonts w:ascii="Times New Roman" w:hAnsi="Times New Roman"/>
          <w:color w:val="000000" w:themeColor="text1"/>
          <w:sz w:val="16"/>
          <w:szCs w:val="16"/>
          <w:lang w:val="en-US"/>
        </w:rPr>
      </w:pPr>
    </w:p>
    <w:p w14:paraId="5D30CB6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15 February 1944 Large scale air attack on Berlin by the Allies (270).</w:t>
      </w:r>
    </w:p>
    <w:p w14:paraId="33F888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097E0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состоялся большой налет союзников на Берлин (270).</w:t>
      </w:r>
    </w:p>
    <w:p w14:paraId="3D877D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EAFF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February 15, 1944: In Italy, bombers of the US 15th Air Force drop thousands of tons of bombs on the monastery located on the top of Monte Cassino. Subsequent attacks by British Commonwealth and Polish forces fail to capture its ruins now occupied and defended by paratroopers (the Green Devils) of 1.Fallschirmjager-Division (Heidrich) (3819).</w:t>
      </w:r>
    </w:p>
    <w:p w14:paraId="7F650AE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2613F06" w14:textId="77777777" w:rsidR="00D4630C" w:rsidRPr="00070ADE" w:rsidRDefault="00D4630C" w:rsidP="00B56F90">
      <w:pPr>
        <w:pStyle w:val="ae"/>
        <w:shd w:val="clear" w:color="auto" w:fill="FFFFFF"/>
        <w:spacing w:before="0" w:after="0"/>
        <w:jc w:val="both"/>
        <w:rPr>
          <w:color w:val="000000" w:themeColor="text1"/>
          <w:sz w:val="16"/>
          <w:szCs w:val="16"/>
        </w:rPr>
      </w:pPr>
      <w:r w:rsidRPr="00070ADE">
        <w:rPr>
          <w:rStyle w:val="a7"/>
          <w:b w:val="0"/>
          <w:color w:val="000000" w:themeColor="text1"/>
          <w:sz w:val="16"/>
          <w:szCs w:val="16"/>
        </w:rPr>
        <w:t>15-16 февраля</w:t>
      </w:r>
      <w:r w:rsidRPr="00070ADE">
        <w:rPr>
          <w:color w:val="000000" w:themeColor="text1"/>
          <w:sz w:val="16"/>
          <w:szCs w:val="16"/>
        </w:rPr>
        <w:t xml:space="preserve"> 1944 было два налета на Берлин (891 самолет), </w:t>
      </w:r>
      <w:r w:rsidRPr="00070ADE">
        <w:rPr>
          <w:rStyle w:val="a7"/>
          <w:b w:val="0"/>
          <w:color w:val="000000" w:themeColor="text1"/>
          <w:sz w:val="16"/>
          <w:szCs w:val="16"/>
        </w:rPr>
        <w:t>24-25 марта</w:t>
      </w:r>
      <w:r w:rsidRPr="00070ADE">
        <w:rPr>
          <w:color w:val="000000" w:themeColor="text1"/>
          <w:sz w:val="16"/>
          <w:szCs w:val="16"/>
        </w:rPr>
        <w:t xml:space="preserve"> (811 самолетов). Оба рейда практически не принесли эффекта (потери на земле – 529 убитых и незначительные разрушения построек), зато стоили в общей сложности 115 сбитых бомбардировщика.</w:t>
      </w:r>
    </w:p>
    <w:p w14:paraId="47BBBF0B" w14:textId="77777777" w:rsidR="00D4630C" w:rsidRPr="00070ADE" w:rsidRDefault="00D4630C" w:rsidP="00B56F90">
      <w:pPr>
        <w:pStyle w:val="ae"/>
        <w:shd w:val="clear" w:color="auto" w:fill="FFFFFF"/>
        <w:spacing w:before="0" w:after="0"/>
        <w:jc w:val="both"/>
        <w:rPr>
          <w:color w:val="000000" w:themeColor="text1"/>
          <w:sz w:val="16"/>
          <w:szCs w:val="16"/>
        </w:rPr>
      </w:pPr>
      <w:r w:rsidRPr="00070ADE">
        <w:rPr>
          <w:color w:val="000000" w:themeColor="text1"/>
          <w:sz w:val="16"/>
          <w:szCs w:val="16"/>
        </w:rPr>
        <w:t>Хотя Берлин был серьезно поврежден, на него (за 41 только крупный вылет) было сброшено 45000 тонн бомб, что повлекло гибель тысяч гражданских лиц и разрушения 326 заводов, до победы было совсем не близко.</w:t>
      </w:r>
    </w:p>
    <w:p w14:paraId="089CD820" w14:textId="77777777" w:rsidR="00D4630C" w:rsidRPr="00070ADE" w:rsidRDefault="00D4630C" w:rsidP="00B56F90">
      <w:pPr>
        <w:pStyle w:val="ae"/>
        <w:shd w:val="clear" w:color="auto" w:fill="FFFFFF"/>
        <w:spacing w:before="0" w:after="0"/>
        <w:jc w:val="both"/>
        <w:rPr>
          <w:color w:val="000000" w:themeColor="text1"/>
          <w:sz w:val="16"/>
          <w:szCs w:val="16"/>
        </w:rPr>
      </w:pPr>
      <w:r w:rsidRPr="00070ADE">
        <w:rPr>
          <w:color w:val="000000" w:themeColor="text1"/>
          <w:sz w:val="16"/>
          <w:szCs w:val="16"/>
        </w:rPr>
        <w:t xml:space="preserve">Общие потери у английской авиации к этому моменту составили </w:t>
      </w:r>
      <w:r w:rsidRPr="00070ADE">
        <w:rPr>
          <w:rStyle w:val="a7"/>
          <w:b w:val="0"/>
          <w:color w:val="000000" w:themeColor="text1"/>
          <w:sz w:val="16"/>
          <w:szCs w:val="16"/>
        </w:rPr>
        <w:t>495 самолетов и 2938 членов экипажей</w:t>
      </w:r>
      <w:r w:rsidRPr="00070ADE">
        <w:rPr>
          <w:color w:val="000000" w:themeColor="text1"/>
          <w:sz w:val="16"/>
          <w:szCs w:val="16"/>
        </w:rPr>
        <w:t xml:space="preserve"> – намного больше, чем могла себе позволить Англия.</w:t>
      </w:r>
    </w:p>
    <w:p w14:paraId="041BEFE9" w14:textId="77777777" w:rsidR="00D4630C" w:rsidRPr="00070ADE" w:rsidRDefault="00D4630C" w:rsidP="00B56F90">
      <w:pPr>
        <w:pStyle w:val="ae"/>
        <w:shd w:val="clear" w:color="auto" w:fill="FFFFFF"/>
        <w:spacing w:before="0" w:after="0"/>
        <w:jc w:val="both"/>
        <w:rPr>
          <w:color w:val="000000" w:themeColor="text1"/>
          <w:sz w:val="16"/>
          <w:szCs w:val="16"/>
        </w:rPr>
      </w:pPr>
      <w:r w:rsidRPr="00070ADE">
        <w:rPr>
          <w:color w:val="000000" w:themeColor="text1"/>
          <w:sz w:val="16"/>
          <w:szCs w:val="16"/>
        </w:rPr>
        <w:t>Бомбардировки теперь осуществлялись с большой высоты – ночью действовали тяжелые английские бомбардировщики «Либерейтор» В-24, днем подключались американские «Ле</w:t>
      </w:r>
      <w:r w:rsidRPr="00070ADE">
        <w:rPr>
          <w:color w:val="000000" w:themeColor="text1"/>
          <w:sz w:val="16"/>
          <w:szCs w:val="16"/>
        </w:rPr>
        <w:softHyphen/>
        <w:t>тающие крепости» В-17.</w:t>
      </w:r>
    </w:p>
    <w:p w14:paraId="3ECF7E88" w14:textId="1F3E7FCC" w:rsidR="00D4630C" w:rsidRPr="00070ADE" w:rsidRDefault="00D4630C" w:rsidP="00B56F90">
      <w:pPr>
        <w:pStyle w:val="ae"/>
        <w:shd w:val="clear" w:color="auto" w:fill="FFFFFF"/>
        <w:spacing w:before="0" w:after="0"/>
        <w:jc w:val="both"/>
        <w:rPr>
          <w:color w:val="000000" w:themeColor="text1"/>
          <w:sz w:val="16"/>
          <w:szCs w:val="16"/>
        </w:rPr>
      </w:pPr>
      <w:r w:rsidRPr="00070ADE">
        <w:rPr>
          <w:rStyle w:val="a7"/>
          <w:b w:val="0"/>
          <w:color w:val="000000" w:themeColor="text1"/>
          <w:sz w:val="16"/>
          <w:szCs w:val="16"/>
        </w:rPr>
        <w:t>22 марта 1944 года</w:t>
      </w:r>
      <w:r w:rsidRPr="00070ADE">
        <w:rPr>
          <w:color w:val="000000" w:themeColor="text1"/>
          <w:sz w:val="16"/>
          <w:szCs w:val="16"/>
        </w:rPr>
        <w:t xml:space="preserve"> Берлин атаковали уже американцы: 460 В-17 и 197 </w:t>
      </w:r>
      <w:hyperlink r:id="rId48" w:history="1">
        <w:r w:rsidRPr="00070ADE">
          <w:rPr>
            <w:rStyle w:val="a5"/>
            <w:rFonts w:eastAsia="Times New Roman"/>
            <w:color w:val="000000" w:themeColor="text1"/>
            <w:sz w:val="16"/>
            <w:szCs w:val="16"/>
            <w:u w:val="none"/>
          </w:rPr>
          <w:t xml:space="preserve">B-24 </w:t>
        </w:r>
      </w:hyperlink>
      <w:r w:rsidRPr="00070ADE">
        <w:rPr>
          <w:color w:val="000000" w:themeColor="text1"/>
          <w:sz w:val="16"/>
          <w:szCs w:val="16"/>
        </w:rPr>
        <w:t>нанесли удар по авиационным заводам Ораниенбурга и Бадсдорфа. Почти 1,5 миллиона жителей города остались без крова, однако это было только начало. Американцы пока только пробовали силы. До начала мая они потеряли</w:t>
      </w:r>
      <w:r w:rsidR="00B643A8" w:rsidRPr="00070ADE">
        <w:rPr>
          <w:color w:val="000000" w:themeColor="text1"/>
          <w:sz w:val="16"/>
          <w:szCs w:val="16"/>
        </w:rPr>
        <w:t xml:space="preserve"> </w:t>
      </w:r>
      <w:r w:rsidRPr="00070ADE">
        <w:rPr>
          <w:color w:val="000000" w:themeColor="text1"/>
          <w:sz w:val="16"/>
          <w:szCs w:val="16"/>
        </w:rPr>
        <w:t>38</w:t>
      </w:r>
      <w:hyperlink r:id="rId49" w:history="1">
        <w:r w:rsidRPr="00070ADE">
          <w:rPr>
            <w:rStyle w:val="a5"/>
            <w:rFonts w:eastAsia="Times New Roman"/>
            <w:color w:val="000000" w:themeColor="text1"/>
            <w:sz w:val="16"/>
            <w:szCs w:val="16"/>
            <w:u w:val="none"/>
          </w:rPr>
          <w:t xml:space="preserve"> «Летающих крепостей» B-17</w:t>
        </w:r>
      </w:hyperlink>
      <w:r w:rsidRPr="00070ADE">
        <w:rPr>
          <w:color w:val="000000" w:themeColor="text1"/>
          <w:sz w:val="16"/>
          <w:szCs w:val="16"/>
        </w:rPr>
        <w:t xml:space="preserve"> и 25 </w:t>
      </w:r>
      <w:hyperlink r:id="rId50" w:history="1">
        <w:r w:rsidRPr="00070ADE">
          <w:rPr>
            <w:rStyle w:val="a5"/>
            <w:rFonts w:eastAsia="Times New Roman"/>
            <w:color w:val="000000" w:themeColor="text1"/>
            <w:sz w:val="16"/>
            <w:szCs w:val="16"/>
            <w:u w:val="none"/>
          </w:rPr>
          <w:t>B-24</w:t>
        </w:r>
      </w:hyperlink>
      <w:r w:rsidRPr="00070ADE">
        <w:rPr>
          <w:color w:val="000000" w:themeColor="text1"/>
          <w:sz w:val="16"/>
          <w:szCs w:val="16"/>
        </w:rPr>
        <w:t>.</w:t>
      </w:r>
    </w:p>
    <w:p w14:paraId="39360CC9" w14:textId="77777777" w:rsidR="00D4630C" w:rsidRPr="00070ADE" w:rsidRDefault="00D4630C" w:rsidP="00B56F90">
      <w:pPr>
        <w:pStyle w:val="ae"/>
        <w:shd w:val="clear" w:color="auto" w:fill="FFFFFF"/>
        <w:spacing w:before="0" w:after="0"/>
        <w:jc w:val="both"/>
        <w:rPr>
          <w:color w:val="000000" w:themeColor="text1"/>
          <w:sz w:val="16"/>
          <w:szCs w:val="16"/>
        </w:rPr>
      </w:pPr>
      <w:r w:rsidRPr="00070ADE">
        <w:rPr>
          <w:rStyle w:val="a7"/>
          <w:b w:val="0"/>
          <w:color w:val="000000" w:themeColor="text1"/>
          <w:sz w:val="16"/>
          <w:szCs w:val="16"/>
        </w:rPr>
        <w:t>7 мая 1944 года</w:t>
      </w:r>
      <w:r w:rsidRPr="00070ADE">
        <w:rPr>
          <w:color w:val="000000" w:themeColor="text1"/>
          <w:sz w:val="16"/>
          <w:szCs w:val="16"/>
        </w:rPr>
        <w:t xml:space="preserve"> 600 самоле</w:t>
      </w:r>
      <w:r w:rsidRPr="00070ADE">
        <w:rPr>
          <w:color w:val="000000" w:themeColor="text1"/>
          <w:sz w:val="16"/>
          <w:szCs w:val="16"/>
        </w:rPr>
        <w:softHyphen/>
        <w:t xml:space="preserve">тов сбросили 1246 тонн бомб на центр Берлина, потеряв 6 машин. </w:t>
      </w:r>
      <w:r w:rsidRPr="00070ADE">
        <w:rPr>
          <w:rStyle w:val="a7"/>
          <w:b w:val="0"/>
          <w:color w:val="000000" w:themeColor="text1"/>
          <w:sz w:val="16"/>
          <w:szCs w:val="16"/>
        </w:rPr>
        <w:t>8 мая</w:t>
      </w:r>
      <w:r w:rsidRPr="00070ADE">
        <w:rPr>
          <w:color w:val="000000" w:themeColor="text1"/>
          <w:sz w:val="16"/>
          <w:szCs w:val="16"/>
        </w:rPr>
        <w:t xml:space="preserve"> 386 самолетов (25 сбито), а </w:t>
      </w:r>
      <w:r w:rsidRPr="00070ADE">
        <w:rPr>
          <w:rStyle w:val="a7"/>
          <w:b w:val="0"/>
          <w:color w:val="000000" w:themeColor="text1"/>
          <w:sz w:val="16"/>
          <w:szCs w:val="16"/>
        </w:rPr>
        <w:t>19 мая</w:t>
      </w:r>
      <w:r w:rsidRPr="00070ADE">
        <w:rPr>
          <w:color w:val="000000" w:themeColor="text1"/>
          <w:sz w:val="16"/>
          <w:szCs w:val="16"/>
        </w:rPr>
        <w:t xml:space="preserve"> 465 самолетов продолжили бомбардировку жилых районов. Всего до </w:t>
      </w:r>
      <w:r w:rsidRPr="00070ADE">
        <w:rPr>
          <w:rStyle w:val="a7"/>
          <w:b w:val="0"/>
          <w:color w:val="000000" w:themeColor="text1"/>
          <w:sz w:val="16"/>
          <w:szCs w:val="16"/>
        </w:rPr>
        <w:t>21 июня 1944 года</w:t>
      </w:r>
      <w:r w:rsidRPr="00070ADE">
        <w:rPr>
          <w:color w:val="000000" w:themeColor="text1"/>
          <w:sz w:val="16"/>
          <w:szCs w:val="16"/>
        </w:rPr>
        <w:t xml:space="preserve"> они потеряли 113 бомбардировщиков, из них 44 машины были уничтожены на земле, на дозаправке.</w:t>
      </w:r>
    </w:p>
    <w:p w14:paraId="69954BA4" w14:textId="77777777" w:rsidR="00D4630C" w:rsidRPr="00070ADE" w:rsidRDefault="00D4630C" w:rsidP="00B56F90">
      <w:pPr>
        <w:pStyle w:val="ae"/>
        <w:shd w:val="clear" w:color="auto" w:fill="FFFFFF"/>
        <w:spacing w:before="0" w:after="0"/>
        <w:jc w:val="both"/>
        <w:rPr>
          <w:color w:val="000000" w:themeColor="text1"/>
          <w:sz w:val="16"/>
          <w:szCs w:val="16"/>
        </w:rPr>
      </w:pPr>
      <w:r w:rsidRPr="00070ADE">
        <w:rPr>
          <w:color w:val="000000" w:themeColor="text1"/>
          <w:sz w:val="16"/>
          <w:szCs w:val="16"/>
        </w:rPr>
        <w:t>До самой осени продолжалось относительное затишье, вызванное высадкой союзных войск в Нормандии, куда была отвлечена значительная часть бомбардировочной авиации. Немецкая столица все же была атакована:</w:t>
      </w:r>
    </w:p>
    <w:p w14:paraId="1F83BD81" w14:textId="77777777" w:rsidR="00D4630C" w:rsidRPr="00070ADE" w:rsidRDefault="00D4630C" w:rsidP="00B56F90">
      <w:pPr>
        <w:pStyle w:val="ae"/>
        <w:shd w:val="clear" w:color="auto" w:fill="FFFFFF"/>
        <w:spacing w:before="0" w:after="0"/>
        <w:jc w:val="both"/>
        <w:rPr>
          <w:rStyle w:val="a7"/>
          <w:b w:val="0"/>
          <w:color w:val="000000" w:themeColor="text1"/>
          <w:sz w:val="16"/>
          <w:szCs w:val="16"/>
        </w:rPr>
      </w:pPr>
      <w:r w:rsidRPr="00070ADE">
        <w:rPr>
          <w:rStyle w:val="a7"/>
          <w:b w:val="0"/>
          <w:color w:val="000000" w:themeColor="text1"/>
          <w:sz w:val="16"/>
          <w:szCs w:val="16"/>
        </w:rPr>
        <w:t>6 августа 1944 г.</w:t>
      </w:r>
      <w:r w:rsidRPr="00070ADE">
        <w:rPr>
          <w:color w:val="000000" w:themeColor="text1"/>
          <w:sz w:val="16"/>
          <w:szCs w:val="16"/>
        </w:rPr>
        <w:t xml:space="preserve">, 128 B-17, а затем </w:t>
      </w:r>
      <w:r w:rsidRPr="00070ADE">
        <w:rPr>
          <w:rStyle w:val="a7"/>
          <w:b w:val="0"/>
          <w:color w:val="000000" w:themeColor="text1"/>
          <w:sz w:val="16"/>
          <w:szCs w:val="16"/>
        </w:rPr>
        <w:t>6 октября</w:t>
      </w:r>
      <w:r w:rsidRPr="00070ADE">
        <w:rPr>
          <w:color w:val="000000" w:themeColor="text1"/>
          <w:sz w:val="16"/>
          <w:szCs w:val="16"/>
        </w:rPr>
        <w:t xml:space="preserve"> 382 B-17 бомбили Берлин и танковые заводы в Тегеле и Шпандау. За это время было потеряно 17 машин. Ещё раз эти цели и другие заводы подверглись атаке с воздуха </w:t>
      </w:r>
      <w:r w:rsidRPr="00070ADE">
        <w:rPr>
          <w:rStyle w:val="a7"/>
          <w:b w:val="0"/>
          <w:color w:val="000000" w:themeColor="text1"/>
          <w:sz w:val="16"/>
          <w:szCs w:val="16"/>
        </w:rPr>
        <w:t>5 декабря (17416).</w:t>
      </w:r>
    </w:p>
    <w:p w14:paraId="1C09B90F" w14:textId="77777777" w:rsidR="00D4630C" w:rsidRPr="00070ADE" w:rsidRDefault="00D4630C" w:rsidP="00B56F90">
      <w:pPr>
        <w:pStyle w:val="ae"/>
        <w:shd w:val="clear" w:color="auto" w:fill="FFFFFF"/>
        <w:spacing w:before="0" w:after="0"/>
        <w:jc w:val="both"/>
        <w:rPr>
          <w:rStyle w:val="a7"/>
          <w:b w:val="0"/>
          <w:color w:val="000000" w:themeColor="text1"/>
          <w:sz w:val="16"/>
          <w:szCs w:val="16"/>
        </w:rPr>
      </w:pPr>
    </w:p>
    <w:p w14:paraId="11A25DB8" w14:textId="77777777" w:rsidR="00AD702B" w:rsidRPr="00070ADE" w:rsidRDefault="00AD702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мощные воздушные налеты союзников разрушают бенедиктинский монастырь в Монте-Кассино в Италии, но не выгоняют его немецких защитников (20373).</w:t>
      </w:r>
    </w:p>
    <w:p w14:paraId="1CF224C0" w14:textId="77777777" w:rsidR="00AD702B" w:rsidRPr="00070ADE" w:rsidRDefault="00AD702B" w:rsidP="00B56F90">
      <w:pPr>
        <w:spacing w:after="0" w:line="240" w:lineRule="auto"/>
        <w:jc w:val="both"/>
        <w:rPr>
          <w:rFonts w:ascii="Times New Roman" w:hAnsi="Times New Roman"/>
          <w:color w:val="000000" w:themeColor="text1"/>
          <w:sz w:val="16"/>
          <w:szCs w:val="16"/>
        </w:rPr>
      </w:pPr>
    </w:p>
    <w:p w14:paraId="1078A97A" w14:textId="77777777" w:rsidR="00AD702B" w:rsidRPr="00070ADE" w:rsidRDefault="00AD702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рядом с Анцио немецкая управляемая бомба уничтожает корабль Liberty, разгружающий боеприпасы, и находящийся рядом с ней десантный корабль (20373).</w:t>
      </w:r>
    </w:p>
    <w:p w14:paraId="000A6AFE" w14:textId="77777777" w:rsidR="00AD702B" w:rsidRPr="00070ADE" w:rsidRDefault="00AD702B" w:rsidP="00B56F90">
      <w:pPr>
        <w:spacing w:after="0" w:line="240" w:lineRule="auto"/>
        <w:jc w:val="both"/>
        <w:rPr>
          <w:rFonts w:ascii="Times New Roman" w:hAnsi="Times New Roman"/>
          <w:color w:val="000000" w:themeColor="text1"/>
          <w:sz w:val="16"/>
          <w:szCs w:val="16"/>
        </w:rPr>
      </w:pPr>
    </w:p>
    <w:p w14:paraId="3C0D3A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February 15-18 1944 Allied planes bomb Monte Cassino destroying landmark monastery (1050).</w:t>
      </w:r>
    </w:p>
    <w:p w14:paraId="629B9FE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752EF3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February 15, 1944. The Nazi-occupied Abbey of Monte Cassino, Italy, is destroyed by 254 American B-17 crews, B-25 crews and B-26 crews attacking in two waves (1089).</w:t>
      </w:r>
    </w:p>
    <w:p w14:paraId="13AEBEB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1D7F1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15-18 февраля 1944 самолеты союзников уничтожили замок Монте Кассино (1050;1089), сбросив 546 т бомб, но не помогло, т.к. немцы были в бункерах (2438,294).</w:t>
      </w:r>
    </w:p>
    <w:p w14:paraId="446859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4425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15-17 февраля 1944 было второе наступление на Монте-Кассино (3907,248).</w:t>
      </w:r>
    </w:p>
    <w:p w14:paraId="3B6429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91D947" w14:textId="77777777" w:rsidR="00B41B6B" w:rsidRPr="00070ADE" w:rsidRDefault="00B41B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15 февраля</w:t>
      </w:r>
      <w:r w:rsidRPr="00070ADE">
        <w:rPr>
          <w:rFonts w:ascii="Times New Roman" w:hAnsi="Times New Roman"/>
          <w:color w:val="000000" w:themeColor="text1"/>
          <w:sz w:val="16"/>
          <w:szCs w:val="16"/>
        </w:rPr>
        <w:t xml:space="preserve"> в 1944 году (15-18 февраля) неудачная попытка захвата Кассино новозеландскими и индийскими войсками (15041).</w:t>
      </w:r>
    </w:p>
    <w:p w14:paraId="52492BE5" w14:textId="77777777" w:rsidR="00B41B6B" w:rsidRPr="00070ADE" w:rsidRDefault="00B41B6B" w:rsidP="00B56F90">
      <w:pPr>
        <w:spacing w:after="0" w:line="240" w:lineRule="auto"/>
        <w:jc w:val="both"/>
        <w:rPr>
          <w:rFonts w:ascii="Times New Roman" w:hAnsi="Times New Roman"/>
          <w:color w:val="000000" w:themeColor="text1"/>
          <w:sz w:val="16"/>
          <w:szCs w:val="16"/>
        </w:rPr>
      </w:pPr>
    </w:p>
    <w:p w14:paraId="5C25C56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февраля 1944 профашистские офицеры попытались устроить путч в Аргентине (4962).</w:t>
      </w:r>
    </w:p>
    <w:p w14:paraId="30122E9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926FEF"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0DD012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834E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середине февраля 1944 старший военпред 18-го авиазавода докладывал своему руководству, что &lt;&lt; заводом по чертежам Главного конструктора изготовлен Ил-1 - двухместный вариант бронированного истребителя с мотором АМ-42, и 14.02.44 г. отправлен на завод № 240 для окончательной доводки" (7442).</w:t>
      </w:r>
    </w:p>
    <w:p w14:paraId="3D61AA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установки нового мотора АМ-42 и проверки всех систем С.В.Ильюшин направил " Заместителю Народного комиссара Авиационной промышленности товарищу Яковлеву А.С." докладную записку, в которой указывал, что 2-х двухместный бронированный штурмовик Ил-10 с мотором АМ-42 готов к первому вылету, на что и прошу Вашего разрешения" (7442).</w:t>
      </w:r>
    </w:p>
    <w:p w14:paraId="66CBB9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в силу ряда причин, связанных в основном с недоведенностью мотора АМ-42, постройка опытного двухместного Ил-1 затянулась почти на три месяца (7442).</w:t>
      </w:r>
    </w:p>
    <w:p w14:paraId="309656D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8DEBF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середине февраля 1944 в ОКБ П.О.С. был готов 1-й вариант проекта одноместного истребителя с комбини</w:t>
      </w:r>
      <w:r w:rsidRPr="00070ADE">
        <w:rPr>
          <w:rFonts w:ascii="Times New Roman" w:hAnsi="Times New Roman"/>
          <w:color w:val="000000" w:themeColor="text1"/>
          <w:sz w:val="16"/>
          <w:szCs w:val="16"/>
        </w:rPr>
        <w:softHyphen/>
        <w:t>рованной силовой установкой конст</w:t>
      </w:r>
      <w:r w:rsidRPr="00070ADE">
        <w:rPr>
          <w:rFonts w:ascii="Times New Roman" w:hAnsi="Times New Roman"/>
          <w:color w:val="000000" w:themeColor="text1"/>
          <w:sz w:val="16"/>
          <w:szCs w:val="16"/>
        </w:rPr>
        <w:softHyphen/>
        <w:t>рукции А.А.Фадеева и К.В.Холщевникова. Самолет по схеме пред</w:t>
      </w:r>
      <w:r w:rsidRPr="00070ADE">
        <w:rPr>
          <w:rFonts w:ascii="Times New Roman" w:hAnsi="Times New Roman"/>
          <w:color w:val="000000" w:themeColor="text1"/>
          <w:sz w:val="16"/>
          <w:szCs w:val="16"/>
        </w:rPr>
        <w:softHyphen/>
        <w:t>ставлял собой свободнонесущий моно</w:t>
      </w:r>
      <w:r w:rsidRPr="00070ADE">
        <w:rPr>
          <w:rFonts w:ascii="Times New Roman" w:hAnsi="Times New Roman"/>
          <w:color w:val="000000" w:themeColor="text1"/>
          <w:sz w:val="16"/>
          <w:szCs w:val="16"/>
        </w:rPr>
        <w:softHyphen/>
        <w:t>план, цельнометаллической конструкции с однокилевым хвостовым оперением и убирающимся в полете шасси. Комбинированная силовая установ</w:t>
      </w:r>
      <w:r w:rsidRPr="00070ADE">
        <w:rPr>
          <w:rFonts w:ascii="Times New Roman" w:hAnsi="Times New Roman"/>
          <w:color w:val="000000" w:themeColor="text1"/>
          <w:sz w:val="16"/>
          <w:szCs w:val="16"/>
        </w:rPr>
        <w:softHyphen/>
        <w:t>ка состояла из основного поршневого двигателя М-107А с воздушным вин</w:t>
      </w:r>
      <w:r w:rsidRPr="00070ADE">
        <w:rPr>
          <w:rFonts w:ascii="Times New Roman" w:hAnsi="Times New Roman"/>
          <w:color w:val="000000" w:themeColor="text1"/>
          <w:sz w:val="16"/>
          <w:szCs w:val="16"/>
        </w:rPr>
        <w:softHyphen/>
        <w:t>том и дополнительного ВРДК, выполняв</w:t>
      </w:r>
      <w:r w:rsidRPr="00070ADE">
        <w:rPr>
          <w:rFonts w:ascii="Times New Roman" w:hAnsi="Times New Roman"/>
          <w:color w:val="000000" w:themeColor="text1"/>
          <w:sz w:val="16"/>
          <w:szCs w:val="16"/>
        </w:rPr>
        <w:softHyphen/>
        <w:t>шего функцию ускорителя. Компрес</w:t>
      </w:r>
      <w:r w:rsidRPr="00070ADE">
        <w:rPr>
          <w:rFonts w:ascii="Times New Roman" w:hAnsi="Times New Roman"/>
          <w:color w:val="000000" w:themeColor="text1"/>
          <w:sz w:val="16"/>
          <w:szCs w:val="16"/>
        </w:rPr>
        <w:softHyphen/>
        <w:t>сор приводился во вращение двигате</w:t>
      </w:r>
      <w:r w:rsidRPr="00070ADE">
        <w:rPr>
          <w:rFonts w:ascii="Times New Roman" w:hAnsi="Times New Roman"/>
          <w:color w:val="000000" w:themeColor="text1"/>
          <w:sz w:val="16"/>
          <w:szCs w:val="16"/>
        </w:rPr>
        <w:softHyphen/>
        <w:t>лем М-107А при помощи двух валов и промежуточного редуктора. Забор воз</w:t>
      </w:r>
      <w:r w:rsidRPr="00070ADE">
        <w:rPr>
          <w:rFonts w:ascii="Times New Roman" w:hAnsi="Times New Roman"/>
          <w:color w:val="000000" w:themeColor="text1"/>
          <w:sz w:val="16"/>
          <w:szCs w:val="16"/>
        </w:rPr>
        <w:softHyphen/>
        <w:t>духа для ВРДК осуществлялся двумя воздухозаборниками, расположенными в носках центроплана крыла. Воздуш</w:t>
      </w:r>
      <w:r w:rsidRPr="00070ADE">
        <w:rPr>
          <w:rFonts w:ascii="Times New Roman" w:hAnsi="Times New Roman"/>
          <w:color w:val="000000" w:themeColor="text1"/>
          <w:sz w:val="16"/>
          <w:szCs w:val="16"/>
        </w:rPr>
        <w:softHyphen/>
        <w:t>ные каналы пролегали внутри центроп</w:t>
      </w:r>
      <w:r w:rsidRPr="00070ADE">
        <w:rPr>
          <w:rFonts w:ascii="Times New Roman" w:hAnsi="Times New Roman"/>
          <w:color w:val="000000" w:themeColor="text1"/>
          <w:sz w:val="16"/>
          <w:szCs w:val="16"/>
        </w:rPr>
        <w:softHyphen/>
        <w:t>лана, затем входили в фюзеляж и объединялись в один общий канал, который подводил воздух к осевому одноступенчатому компрессору, затем сжатый воздух поступал к передней части камеры сгорания с установлен</w:t>
      </w:r>
      <w:r w:rsidRPr="00070ADE">
        <w:rPr>
          <w:rFonts w:ascii="Times New Roman" w:hAnsi="Times New Roman"/>
          <w:color w:val="000000" w:themeColor="text1"/>
          <w:sz w:val="16"/>
          <w:szCs w:val="16"/>
        </w:rPr>
        <w:softHyphen/>
        <w:t>ными в ней форсунками. Задняя часть камеры сгорания переходила в нере</w:t>
      </w:r>
      <w:r w:rsidRPr="00070ADE">
        <w:rPr>
          <w:rFonts w:ascii="Times New Roman" w:hAnsi="Times New Roman"/>
          <w:color w:val="000000" w:themeColor="text1"/>
          <w:sz w:val="16"/>
          <w:szCs w:val="16"/>
        </w:rPr>
        <w:softHyphen/>
        <w:t>гулируемое реактивное сопло (10669).</w:t>
      </w:r>
    </w:p>
    <w:p w14:paraId="69A3351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3931BD" w14:textId="77777777" w:rsidR="009D1B58" w:rsidRPr="00070ADE" w:rsidRDefault="009D1B58" w:rsidP="00B56F90">
      <w:pPr>
        <w:pStyle w:val="ae"/>
        <w:shd w:val="clear" w:color="auto" w:fill="FFFFFF"/>
        <w:spacing w:before="0" w:after="0"/>
        <w:jc w:val="both"/>
        <w:rPr>
          <w:color w:val="000000" w:themeColor="text1"/>
          <w:sz w:val="16"/>
          <w:szCs w:val="16"/>
        </w:rPr>
      </w:pPr>
      <w:r w:rsidRPr="00070ADE">
        <w:rPr>
          <w:color w:val="000000" w:themeColor="text1"/>
          <w:sz w:val="16"/>
          <w:szCs w:val="16"/>
        </w:rPr>
        <w:t>К середине февраля 1944 был готов 1-й вариант проекта одноместного истребителя Сухого с комбинированной си ловой установкой конструкции А.А. Фадеева и К.В. Холщев никова. Само лет по схеме представлял собой свободнонесущий моноплан, цельнометаллической конструкции с однокилевым хвостовым оперением и убирающимся в полете шасси.</w:t>
      </w:r>
    </w:p>
    <w:p w14:paraId="6E35ECD5" w14:textId="77777777" w:rsidR="009D1B58" w:rsidRPr="00070ADE" w:rsidRDefault="009D1B58" w:rsidP="00B56F90">
      <w:pPr>
        <w:pStyle w:val="ae"/>
        <w:shd w:val="clear" w:color="auto" w:fill="FFFFFF"/>
        <w:spacing w:before="0" w:after="0"/>
        <w:jc w:val="both"/>
        <w:rPr>
          <w:color w:val="000000" w:themeColor="text1"/>
          <w:sz w:val="16"/>
          <w:szCs w:val="16"/>
        </w:rPr>
      </w:pPr>
      <w:r w:rsidRPr="00070ADE">
        <w:rPr>
          <w:color w:val="000000" w:themeColor="text1"/>
          <w:sz w:val="16"/>
          <w:szCs w:val="16"/>
        </w:rPr>
        <w:t>КДУ состояла из основного поршневого двигателя М-107А конструкции ОКБ В.Я. Климова с воздушным вин том и дополнительного ВРДК, выполнявшего функцию уско рителя. Компрессор приводился во вращение двигателем М-107А при помощи двух валов и промежуточного редукто ра. Забор воздуха для ВРДК осуществлялся двумя воздухо заборниками, расположенными в носках центроплана кры ла. Воздушные каналы пролегали внутри центроплана, за тем входили в фюзеляж и объединялись в один общий канал, который подводил воздух к осевому одноступенчатому комп рессору, затем сжатый воздух поступал к передней части ка меры сгорания с установленными в ней форсунками. Задняя часть камеры сгорания переходила в нерегулируемое реак тивное сопло (19586).</w:t>
      </w:r>
    </w:p>
    <w:p w14:paraId="25CBAB08" w14:textId="77777777" w:rsidR="009D1B58" w:rsidRPr="00070ADE" w:rsidRDefault="009D1B58" w:rsidP="00B56F90">
      <w:pPr>
        <w:pStyle w:val="ae"/>
        <w:shd w:val="clear" w:color="auto" w:fill="FFFFFF"/>
        <w:spacing w:before="0" w:after="0"/>
        <w:jc w:val="both"/>
        <w:rPr>
          <w:color w:val="000000" w:themeColor="text1"/>
          <w:sz w:val="16"/>
          <w:szCs w:val="16"/>
        </w:rPr>
      </w:pPr>
    </w:p>
    <w:p w14:paraId="27B9ECE4"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середине февраля 1944 года в ОКБ П.О.С. был готов первый вариант проекта самолета с ВРДК, выпол</w:t>
      </w:r>
      <w:r w:rsidRPr="00070ADE">
        <w:rPr>
          <w:rFonts w:ascii="Times New Roman" w:hAnsi="Times New Roman"/>
          <w:color w:val="000000" w:themeColor="text1"/>
          <w:sz w:val="16"/>
          <w:szCs w:val="16"/>
        </w:rPr>
        <w:softHyphen/>
        <w:t>ненного по классической схеме с воздухо</w:t>
      </w:r>
      <w:r w:rsidRPr="00070ADE">
        <w:rPr>
          <w:rFonts w:ascii="Times New Roman" w:hAnsi="Times New Roman"/>
          <w:color w:val="000000" w:themeColor="text1"/>
          <w:sz w:val="16"/>
          <w:szCs w:val="16"/>
        </w:rPr>
        <w:softHyphen/>
        <w:t>заборниками ускорителя, расположенны</w:t>
      </w:r>
      <w:r w:rsidRPr="00070ADE">
        <w:rPr>
          <w:rFonts w:ascii="Times New Roman" w:hAnsi="Times New Roman"/>
          <w:color w:val="000000" w:themeColor="text1"/>
          <w:sz w:val="16"/>
          <w:szCs w:val="16"/>
        </w:rPr>
        <w:softHyphen/>
        <w:t>ми в передних кромках центроплана. Все получалось компактно, если не считать больших потерь полного дав</w:t>
      </w:r>
      <w:r w:rsidRPr="00070ADE">
        <w:rPr>
          <w:rFonts w:ascii="Times New Roman" w:hAnsi="Times New Roman"/>
          <w:color w:val="000000" w:themeColor="text1"/>
          <w:sz w:val="16"/>
          <w:szCs w:val="16"/>
        </w:rPr>
        <w:softHyphen/>
        <w:t>ления из-за многочисленных изгибов воздуховодов на пути к ускорителю. Это учли при разработке второго варианта самолета. На этот раз воздухозаборник расположили в носовой части фюзеляжа под коком воздушного винта. Этот проект предъявили заказчику и затем включили в план опытного самолетостроения на 1944 год. Требования к машине остались таки</w:t>
      </w:r>
      <w:r w:rsidRPr="00070ADE">
        <w:rPr>
          <w:rFonts w:ascii="Times New Roman" w:hAnsi="Times New Roman"/>
          <w:color w:val="000000" w:themeColor="text1"/>
          <w:sz w:val="16"/>
          <w:szCs w:val="16"/>
        </w:rPr>
        <w:softHyphen/>
        <w:t>ми же, как и для И-250 Микояна. Пред</w:t>
      </w:r>
      <w:r w:rsidRPr="00070ADE">
        <w:rPr>
          <w:rFonts w:ascii="Times New Roman" w:hAnsi="Times New Roman"/>
          <w:color w:val="000000" w:themeColor="text1"/>
          <w:sz w:val="16"/>
          <w:szCs w:val="16"/>
        </w:rPr>
        <w:softHyphen/>
        <w:t>писывалось построить два экземпляра самолета, предъявив первый из них на летные испытания к 15 февраля 1945 года (23462).</w:t>
      </w:r>
    </w:p>
    <w:p w14:paraId="22C1ABC4" w14:textId="77777777" w:rsidR="00A53A3E" w:rsidRPr="00070ADE" w:rsidRDefault="00A53A3E" w:rsidP="00B56F90">
      <w:pPr>
        <w:spacing w:after="0" w:line="240" w:lineRule="auto"/>
        <w:jc w:val="both"/>
        <w:rPr>
          <w:rFonts w:ascii="Times New Roman" w:hAnsi="Times New Roman"/>
          <w:color w:val="000000" w:themeColor="text1"/>
          <w:sz w:val="16"/>
          <w:szCs w:val="16"/>
        </w:rPr>
      </w:pPr>
    </w:p>
    <w:p w14:paraId="37D39C06" w14:textId="77777777" w:rsidR="003D5939" w:rsidRPr="00C94B78" w:rsidRDefault="003D593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середине февраля 1944 в ОКБ П.О. Сухого был готов 1-й вариант проекта одноместного истребителя с комбинированной си</w:t>
      </w:r>
      <w:r w:rsidRPr="00C94B78">
        <w:rPr>
          <w:rFonts w:ascii="Times New Roman" w:hAnsi="Times New Roman"/>
          <w:color w:val="0070C0"/>
          <w:sz w:val="16"/>
          <w:szCs w:val="16"/>
        </w:rPr>
        <w:softHyphen/>
        <w:t>ловой установкой конструкции А.А. Фадеева и К.В. Холщевникова. Само</w:t>
      </w:r>
      <w:r w:rsidRPr="00C94B78">
        <w:rPr>
          <w:rFonts w:ascii="Times New Roman" w:hAnsi="Times New Roman"/>
          <w:color w:val="0070C0"/>
          <w:sz w:val="16"/>
          <w:szCs w:val="16"/>
        </w:rPr>
        <w:softHyphen/>
        <w:t>лет по схеме представлял собой свободнонесущий моноплан, цельнометаллической конструкции с однокилевым хвостовым оперением и убирающимся в полете шасси [72].</w:t>
      </w:r>
    </w:p>
    <w:p w14:paraId="4C155910" w14:textId="77777777" w:rsidR="003D5939" w:rsidRPr="00C94B78" w:rsidRDefault="003D593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КДУ состояла из основного поршневого двигателя М-107А конструкции ОКБ В.Я. Климова с воздушным вин</w:t>
      </w:r>
      <w:r w:rsidRPr="00C94B78">
        <w:rPr>
          <w:rFonts w:ascii="Times New Roman" w:hAnsi="Times New Roman"/>
          <w:color w:val="0070C0"/>
          <w:sz w:val="16"/>
          <w:szCs w:val="16"/>
        </w:rPr>
        <w:softHyphen/>
        <w:t>том и дополнительного ВРДК, выполнявшего функцию уско</w:t>
      </w:r>
      <w:r w:rsidRPr="00C94B78">
        <w:rPr>
          <w:rFonts w:ascii="Times New Roman" w:hAnsi="Times New Roman"/>
          <w:color w:val="0070C0"/>
          <w:sz w:val="16"/>
          <w:szCs w:val="16"/>
        </w:rPr>
        <w:softHyphen/>
        <w:t>рителя. Компрессор приводился во вращение двигателем М-107А при помощи двух валов и промежуточного редукто</w:t>
      </w:r>
      <w:r w:rsidRPr="00C94B78">
        <w:rPr>
          <w:rFonts w:ascii="Times New Roman" w:hAnsi="Times New Roman"/>
          <w:color w:val="0070C0"/>
          <w:sz w:val="16"/>
          <w:szCs w:val="16"/>
        </w:rPr>
        <w:softHyphen/>
        <w:t xml:space="preserve">ра. Забор воздуха для ВРДК осуществлялся </w:t>
      </w:r>
      <w:r w:rsidRPr="00C94B78">
        <w:rPr>
          <w:rFonts w:ascii="Times New Roman" w:hAnsi="Times New Roman"/>
          <w:color w:val="0070C0"/>
          <w:sz w:val="16"/>
          <w:szCs w:val="16"/>
        </w:rPr>
        <w:lastRenderedPageBreak/>
        <w:t>двумя воздухо</w:t>
      </w:r>
      <w:r w:rsidRPr="00C94B78">
        <w:rPr>
          <w:rFonts w:ascii="Times New Roman" w:hAnsi="Times New Roman"/>
          <w:color w:val="0070C0"/>
          <w:sz w:val="16"/>
          <w:szCs w:val="16"/>
        </w:rPr>
        <w:softHyphen/>
        <w:t>заборниками, расположенными в носках центроплана кры</w:t>
      </w:r>
      <w:r w:rsidRPr="00C94B78">
        <w:rPr>
          <w:rFonts w:ascii="Times New Roman" w:hAnsi="Times New Roman"/>
          <w:color w:val="0070C0"/>
          <w:sz w:val="16"/>
          <w:szCs w:val="16"/>
        </w:rPr>
        <w:softHyphen/>
        <w:t>ла. Воздушные каналы пролегали внутри центроплана, за</w:t>
      </w:r>
      <w:r w:rsidRPr="00C94B78">
        <w:rPr>
          <w:rFonts w:ascii="Times New Roman" w:hAnsi="Times New Roman"/>
          <w:color w:val="0070C0"/>
          <w:sz w:val="16"/>
          <w:szCs w:val="16"/>
        </w:rPr>
        <w:softHyphen/>
        <w:t>тем входили в фюзеляж и объединялись в один общий канал, который подводил воздух к осевому одноступенчатому комп</w:t>
      </w:r>
      <w:r w:rsidRPr="00C94B78">
        <w:rPr>
          <w:rFonts w:ascii="Times New Roman" w:hAnsi="Times New Roman"/>
          <w:color w:val="0070C0"/>
          <w:sz w:val="16"/>
          <w:szCs w:val="16"/>
        </w:rPr>
        <w:softHyphen/>
        <w:t>рессору, затем сжатый воздух поступал к передней части ка</w:t>
      </w:r>
      <w:r w:rsidRPr="00C94B78">
        <w:rPr>
          <w:rFonts w:ascii="Times New Roman" w:hAnsi="Times New Roman"/>
          <w:color w:val="0070C0"/>
          <w:sz w:val="16"/>
          <w:szCs w:val="16"/>
        </w:rPr>
        <w:softHyphen/>
        <w:t>меры сгорания с установленными в ней форсунками. Задняя часть камеры сгорания переходила в нерегулируемое реак</w:t>
      </w:r>
      <w:r w:rsidRPr="00C94B78">
        <w:rPr>
          <w:rFonts w:ascii="Times New Roman" w:hAnsi="Times New Roman"/>
          <w:color w:val="0070C0"/>
          <w:sz w:val="16"/>
          <w:szCs w:val="16"/>
        </w:rPr>
        <w:softHyphen/>
        <w:t>тивное сопло.</w:t>
      </w:r>
    </w:p>
    <w:p w14:paraId="6A068E35" w14:textId="77777777" w:rsidR="003D5939" w:rsidRPr="00C94B78" w:rsidRDefault="003D593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Эскизный проект 2-го варианта одноместного истребителя с КДУ (М-107А и ВРДК) А.А. Фадеева и К.В. Холщевникова был завершен в начале марта 1944 года (24920).</w:t>
      </w:r>
    </w:p>
    <w:p w14:paraId="188A6777" w14:textId="77777777" w:rsidR="003D5939" w:rsidRPr="00C94B78" w:rsidRDefault="003D5939" w:rsidP="00B56F90">
      <w:pPr>
        <w:spacing w:after="0" w:line="240" w:lineRule="auto"/>
        <w:jc w:val="both"/>
        <w:rPr>
          <w:rFonts w:ascii="Times New Roman" w:hAnsi="Times New Roman"/>
          <w:color w:val="0070C0"/>
          <w:sz w:val="16"/>
          <w:szCs w:val="16"/>
        </w:rPr>
      </w:pPr>
    </w:p>
    <w:p w14:paraId="10AFFC67" w14:textId="77777777" w:rsidR="003D5939" w:rsidRPr="00C94B78" w:rsidRDefault="003D593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середине февраля 1944 г. В ОКБ П.О.С. был готов первый вариант проекта одноместного истребителя с комбинированной силовой установкой конструкции А.А.Фадеева и К.В. Холщевникова. Самолёт по схеме представлял собой свободнонесущий моноплан цельнометаллической конструкции, с однокилевым оперением и убирающимся в полёте шасси.</w:t>
      </w:r>
    </w:p>
    <w:p w14:paraId="4A72A96C" w14:textId="77777777" w:rsidR="003D5939" w:rsidRPr="00C94B78" w:rsidRDefault="003D593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Комбинированная силовая установка состояла из основного поршневого двигателя М-107А с воздушным винтом и дополнительного ВРДК, игравшего роль ускорителя. Компрессор приводился во вращение двигателем М-107А с помощью двух валов и промежуточного редуктора. Забор воздуха для ВРДК осуществлялся двумя воздухозаборниками, которые располагались в носках центроплана. Воздушные каналы пролегали внутри центроплана крыла, затем входили в фюзеляж и объединялись в один общий канал, который подводил воздух к осевому одноступенчатому компрессору и затем воздух поступал в передней части камеры сгорания с установленными в ней форсунками. Задняя часть камеры сгорания переходила в нерегулируемое реактивное сопло.</w:t>
      </w:r>
    </w:p>
    <w:p w14:paraId="2BDA824E" w14:textId="77777777" w:rsidR="003D5939" w:rsidRPr="00C94B78" w:rsidRDefault="003D593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марта 1944 года был завершён эскизный проект второго варианта истребителя. Данный вариант имел ряд существенных отличий от предыдущего. Учитывая то, что крыльевые воздухозаборники имеют значительные потери давления, связанные с многочисленным изгибами воздушных каналов, а также с увеличенными скоростями потока из-за малых размеров проходных сечений, во втором варианте приняли решение разместить воздухозаборник под коком воздушного винта. В связи с этим изменилась компоновка самолёта. Изменения также коснулись мест размещения маслорадиатора и радиатора системы охлаждения, упростилась трансмиссия привода компрессора ВРДК.</w:t>
      </w:r>
    </w:p>
    <w:p w14:paraId="78C5BDA7" w14:textId="77777777" w:rsidR="003D5939" w:rsidRPr="00C94B78" w:rsidRDefault="003D593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 завершению проектирования 2-й вариант проекта был направлен для ознакомления в НКАП СССР и там включён в проект плана опытного строительства самолётов ВВС Красной Армии на 1944 год (24925).</w:t>
      </w:r>
    </w:p>
    <w:p w14:paraId="5509AF45" w14:textId="77777777" w:rsidR="003D5939" w:rsidRPr="00C94B78" w:rsidRDefault="003D5939" w:rsidP="00B56F90">
      <w:pPr>
        <w:spacing w:after="0" w:line="240" w:lineRule="auto"/>
        <w:jc w:val="both"/>
        <w:rPr>
          <w:rFonts w:ascii="Times New Roman" w:hAnsi="Times New Roman"/>
          <w:color w:val="0070C0"/>
          <w:sz w:val="16"/>
          <w:szCs w:val="16"/>
        </w:rPr>
      </w:pPr>
    </w:p>
    <w:p w14:paraId="116D0AEE" w14:textId="77777777" w:rsidR="009D1B58" w:rsidRPr="00070ADE" w:rsidRDefault="009D1B58"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F4908B5" w14:textId="77777777" w:rsidR="009D1B58" w:rsidRPr="00070ADE" w:rsidRDefault="009D1B58"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DFBCBA" w14:textId="77777777" w:rsidR="009D1B58" w:rsidRPr="00070ADE" w:rsidRDefault="009D1B5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середине февраля месяца 1944 подготовили техническую документацию на опытный образец СУ-100. НКТП определял сроком изготовления двух опытных образцов 12 февраля, но на практике построили одну машину. При разработке приоритетом являлась установка системы Д-10С, что же касается СУ-100 с системой С-34, то её планировалось получить не ранее 5 марта. В ходе проектирования боевая масса СУ-100, вооружённой системой Д-10С, рассчитывалась на уровне 31–31,5 т, в финальной редакции масса составила 31,6 т. Боекомплект по сравнению с СУ-85 снизился почти на треть — до 33 выстрелов. Общая конструкция орудийной установки оказалась схожей с СУ-85, при этом толщину подвижной бронировки системы увеличили до 150 мм. Также из боевого отделения убрали левый передний топливный бак, а подвеску передних опорных катков усилили.</w:t>
      </w:r>
    </w:p>
    <w:p w14:paraId="55581585" w14:textId="77777777" w:rsidR="009D1B58" w:rsidRPr="00070ADE" w:rsidRDefault="009D1B5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Несговорчивость ЦАКБ и крайне специфичное отношение Грабина к вопросу «что первичнее: орудие или база для него» сыграли в пользу КБ завода №9. В инициативном порядке и в кратчайший срок возглавляемый Ф.Ф. Петровым коллектив конструкторов разработал собственную систему калибра 100 мм. Орудие, ведущим конструктором которого являлся М.Е. Безусов, получило обозначение Д-10. Длина ствола составляла те же 56 калибров (5610 мм), что и у С-34-100, одинаковой оказалась и начальная скорость снарядов (900 м/с). Правда, длина отката у Д-10Т оказалась больше, чем у конкурента, и составляла 510–560 мм. Конструктивно система являлась логичным развитием конструкции КБ завода №9, также при её создании достигалась максимальная унификация. Например, от Д-25 брались затвор, люлька, подъёмный и поворотный механизмы.</w:t>
      </w:r>
    </w:p>
    <w:p w14:paraId="2F3E6303" w14:textId="541906B7" w:rsidR="009D1B58" w:rsidRPr="00070ADE" w:rsidRDefault="009D1B5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Параллельно с разработкой артсистем калибра 100 мм в конструкторском бюро Уральского завода тяжёлого машиностроения (УЗТМ) шли работы по созданию САУ под новые орудия. Разработку машины вела та же группа конструкторов, что и СУ-85, а также</w:t>
      </w:r>
      <w:r w:rsidR="00B643A8" w:rsidRPr="00070ADE">
        <w:rPr>
          <w:rFonts w:ascii="Times New Roman" w:hAnsi="Times New Roman"/>
          <w:color w:val="000000" w:themeColor="text1"/>
          <w:sz w:val="16"/>
          <w:szCs w:val="16"/>
        </w:rPr>
        <w:t xml:space="preserve"> </w:t>
      </w:r>
      <w:hyperlink r:id="rId51" w:history="1">
        <w:r w:rsidRPr="00070ADE">
          <w:rPr>
            <w:rStyle w:val="a5"/>
            <w:rFonts w:ascii="Times New Roman" w:hAnsi="Times New Roman"/>
            <w:color w:val="000000" w:themeColor="text1"/>
            <w:sz w:val="16"/>
            <w:szCs w:val="16"/>
            <w:u w:val="none"/>
          </w:rPr>
          <w:t>СУ-122</w:t>
        </w:r>
      </w:hyperlink>
      <w:r w:rsidRPr="00070ADE">
        <w:rPr>
          <w:rFonts w:ascii="Times New Roman" w:hAnsi="Times New Roman"/>
          <w:color w:val="000000" w:themeColor="text1"/>
          <w:sz w:val="16"/>
          <w:szCs w:val="16"/>
        </w:rPr>
        <w:t>. Работы возглавлял Л.И. Горлицкий, ведущим инженером машины выступал Н.В. Курин.</w:t>
      </w:r>
    </w:p>
    <w:p w14:paraId="07693FD0" w14:textId="77777777" w:rsidR="009D1B58" w:rsidRPr="00070ADE" w:rsidRDefault="009D1B5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многом самоходная установка, получившая обозначение СУ-100, была результатом компромиссных решений. С одной стороны, было очевидно, что необходимо расширять боевое отделение. С другой стороны, над конструкторами дамокловым мечом висело ограничение по массе. Во многом именно проблемы с перегрузкой ходовой части стали главной причиной, почему та же СУ-122М и аналогичные машины так и не стали серийными. В результате боевое отделение по основным геометрическим параметрам оставалось равнозначным СУ-85. Одинаковым оказался и угол наклона верхнего лобового листа рубки — 52 градуса от вертикали.</w:t>
      </w:r>
    </w:p>
    <w:p w14:paraId="6BC1BA3E" w14:textId="77777777" w:rsidR="009D1B58" w:rsidRPr="00070ADE" w:rsidRDefault="009D1B5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Фактически СУ-100 была развитием опытного образца модернизированной СУ-85, созданной в конце 1943 года. По сравнению с серийной СУ-85 было внесено некоторое количество улучшений, главным из которых стало появление командирской башенки. Впрочем, простой заменой орудия при разработке СУ-100 не ограничились. Для начала толщина верхнего лобового листа и люка механика-водителя увеличилась до 75 мм. Это позволило заметно увеличить стойкость брони против наиболее распространённых противотанковых орудий (прежде всего 7,5 cm Pak 40). Двухстворчатый люк для панорамы в крыше корпуса сильно изменился, также в его левой створке появился перископический прибор MK-IV. Смотровые перископические приборы по периметру рубки убрали, зато на крышу вернулся вытяжной вентилятор. От наклона кормового листа рубки отказались, что позволило выиграть немного свободного места в боевом отделении (18252).</w:t>
      </w:r>
    </w:p>
    <w:p w14:paraId="0212D8C2" w14:textId="77777777" w:rsidR="009D1B58" w:rsidRPr="00070ADE" w:rsidRDefault="009D1B58" w:rsidP="00B56F90">
      <w:pPr>
        <w:spacing w:after="0" w:line="240" w:lineRule="auto"/>
        <w:jc w:val="both"/>
        <w:rPr>
          <w:rFonts w:ascii="Times New Roman" w:hAnsi="Times New Roman"/>
          <w:color w:val="000000" w:themeColor="text1"/>
          <w:sz w:val="16"/>
          <w:szCs w:val="16"/>
        </w:rPr>
      </w:pPr>
    </w:p>
    <w:p w14:paraId="28124440"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FD100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0B2B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февраля 1944 передали на государственные испытания модернизированный истребитель Ла-5, на котором учли все рекомендации ЦАГИ: была проведена внешняя и внутренняя герметизация винто-моторной группы и планера, установлены щитки, полностью закрывающие ниши шасси, маслорадиатор перенесен под фюзеляж, а всасывающие патрубки нагнетателя - в носок центроплана, улучшена форма зализов между крылом и фюзеляжем, сокращено количество крышек капота и уменьшен размер подвижных боковых створок; за счет установки аэродинамических компенсаторов на рулях высоты удалось уменьшить усилия на ручке управления на 20-23%. "Эталон" получил усиленное вооружение из трех 20-мм пушек Березина УБ-20 с боезапасом по 150 снарядов на ствол. По программе гос. испытаний намечалось выполнить 44 полета, но в девятом полете, 20 февраля, произошел обрыв шатуна в двигателе, и летчику-испытателю А.Г.Кубышкину с трудом удалось посадить истребитель. Испытания возобновились 8 марта, после ремонта Ла-5. Когда большая часть программы была отработана, из-за производственного дефекта (плохая склейка) в воздухе разрушился 12-й шпангоут фюзеляжа, Кубышкин вновь сумел посадить поврежденный самолет. В отчете по испытаниям майор Кубышкин отметил, что значительно увеличилась горизонтальная скорость и скороподъемность, максимальная скорость достигла значения 680 км/ч на высоте 6250 м - лучший результат среди всех отечественных истребителей того времени. В то же время он указал и на недостатки "эталона 1944 г." - жара в кабине (+40-50° С), скапливание в кабине конденсата влаги, велики усилия на педалях, не предусмотрено быстрое покидание машины, отсутствует автоматика управления винто-моторной группой. Вывод Кубышкин сделал следующий: "Самолет по своим летным данным является одним из лучших истребителей. Необходимо форсировать серийную постройку с одновременным устранением вышеуказанных недостатков." (4707).</w:t>
      </w:r>
    </w:p>
    <w:p w14:paraId="7787DAB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DDB66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16 февраля 1944 г. проходил государственные испытания в НИИ ВВС Да-5ФН "эталон 1944 г." Его 1 февраля 1944 г. испытатель ЛИИ Г.М. Шиянов поднял в воздух.</w:t>
      </w:r>
    </w:p>
    <w:p w14:paraId="21AB823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нём в полной мере реализовали рекомендации ЦАГИ и добавили кое-что ещё.</w:t>
      </w:r>
    </w:p>
    <w:p w14:paraId="4BAFF21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Планер в основном соответствовал "типу 41" с металлическими лонжеронами крыла. Маслорадиатор, как и на предыдущих опытных машинах, перенесли под фюзеляж. Но воздух для нагнетателя теперь забирался через два отверстия в носке центроплана.</w:t>
      </w:r>
    </w:p>
    <w:p w14:paraId="37E742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Первоначально на "эталоне 1944 г." собирались использовать усовершенствованный мотор М-82ФНА с новым нагнетателем. Он был чуть-чуть длиннее М-82ФН. Однако вскоре выяснилось, что этот двигатель не будет готов в срок. Пришлось вернуться к М-82ФН, но его поставили на другую мотораму и несколько иначе закапо- тировали. Боковые створки укоротили по высоте. На капоте уменьшили количество различных крышек. Поставили индивидуальные (вместо спаренных и строенных) выхлопные патрубки на все цилиндры мотора.</w:t>
      </w:r>
    </w:p>
    <w:p w14:paraId="3DE898E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отличие от предшественников на истребителе установили винт ВИШ-105-В4 с профилем лопастей ЦАГИ В-4, рассчитанным на околозвуковые скорости. Он обеспечил более полное использование мощности, отдаваемой двигателем.</w:t>
      </w:r>
    </w:p>
    <w:p w14:paraId="1F3E066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Вместо двух пушек СП-20 асимметрично установили три облегчённые синхронные Б-20. Из-за нового вооружения самолёт иногда именовался "ЗБ". 20-мм пушка Б-20 была разработана на базе популярного крупнокалиберного пулемёта УБ. При той же начальной скорости снаряда и скорострельности она была почти вдвое легче. Таким образом, секундный залп истребителя возрос в полтора раза. Боезапас на каждую пушку составлял 150 патронов.</w:t>
      </w:r>
    </w:p>
    <w:p w14:paraId="29891B6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"эталоне" усовершенствовали зализы между крылом и фюзеляжем и увеличили на 3% аэродинамическую компенсацию руля высоты. Последнее почти на четверть снизило нагрузку на ручке управления.</w:t>
      </w:r>
    </w:p>
    <w:p w14:paraId="0BEDF54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стойки шасси укоротили на 80 мм. Сдвинули назад баллон сжатого воздуха, предназначавшийся для запуска двигателя. Радиоприёмник и передатчик переместили в хвост фюзеляжа, обеспечив их дистанционным управлением. Электросеть стала однопро- водной. Были и другие, более мелкие доработки. В итоге вес пустого самолёта снизился на 71 кг, а полётный - на 55 кг, но центровка сдвинулась назад, снизив запас продольной устойчивости, что особенно сказывалось при наборе высоты.</w:t>
      </w:r>
    </w:p>
    <w:p w14:paraId="42E8302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Ведущими по машине были инженер В.И. Апексеенко и лётчик А.Г. Кубыш- кин. Максимальная скорость у земли возросла до 597 км/ч, на первой границе высотности (3250 м) - до 670 км/ч, а на второй -до 680 км/ч. Вертикальная скорость у земли составила 21 м/с.</w:t>
      </w:r>
    </w:p>
    <w:p w14:paraId="608B8C2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Подъём на высоту 4000 м занимал 3,4 мин.</w:t>
      </w:r>
    </w:p>
    <w:p w14:paraId="648C7B0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испытания пришлось прервать, едва начав. 20 февраля, в девятом полёте, оборвался шатун в моторе. Кубышкину удалось сесть. На ремонт ушло свыше двух недель, полёты возобновились 8 марта. А 22 марта из-за заводского брака (плохой склейки) на рулении разрушился 12-й шпангоут. Но основная программа испытаний к этому времени уже была отработана.</w:t>
      </w:r>
    </w:p>
    <w:p w14:paraId="7C59751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мнению Кубышкина, управлять самолётом стало легче, и решили, что такое состояние вполне приемлемо, за исключением руля поворота, нагрузки от которого заметно ощущались при изменении режима работы мотора. Из- за отсутствия триммера на этом руле лётчику приходилось прикладывать значительные усилия, чтобы на взлёте удержать истребитель от разворота. Температура в кабине, доходившая позднее в жару до 40°С, приносила, конечно, пилоту неудобства. Из-за плохой вентиляции в кабине постоянно чувствовалось присутствие отработанных газов и запах горелой резины. Но в целом самолёт по своим данным мог считаться одним из лучших истребителей своего времени.</w:t>
      </w:r>
    </w:p>
    <w:p w14:paraId="0EEEE0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выводах отчёта по государственным испытаниям отмечалось: "Модифицированный самолёт Ла-5 эталон 1944 г.... по максимальной скорости, скороподъёмности стоит на уровне лучших современных истребительных самолётов, находящихся на вооружении ВВС КА и иностранных государств". Специалисты НИИ ВВС знали, что говорили, - ведь через их руки проходили не только советские боевые машины, но и трофейные немецкие, а также самолёты, поступавшие из Великобритании и США.</w:t>
      </w:r>
    </w:p>
    <w:p w14:paraId="7D184E5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заключении того же отчёта было записано: "Заданные постановлением ГКО № 5404 от 15 марта 1944 г. для улучшенного Ла-5 максимальная скорость 685 км/ч на высоте 6000 м и полётный вес 3250 кг... практически достигнуты. Рекомендовать в серийное производство самолёт Ла-5 эталон 1944 г. (Ла-7), как имеющий значительные преимущества в лётных данных над... Ла-5, с устранением отмеченных дефектов. Так как на самолёте... установлены опытные пушки УБ-20, испытания которых не закончены в НИИ АВ ВВС, считать целесообразным выпускать самолёты с серийным вооружением, т.е. две пушки СП-20 с боезапасом 340 патронов" (11986).</w:t>
      </w:r>
    </w:p>
    <w:p w14:paraId="288233F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F48403F"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февраля 1944 г. начались госиспытания в НИИ ВВС самолета 3Б - эталон Ла-5 1944 года. Испытательную брига</w:t>
      </w:r>
      <w:r w:rsidRPr="00070ADE">
        <w:rPr>
          <w:rFonts w:ascii="Times New Roman" w:hAnsi="Times New Roman"/>
          <w:color w:val="000000" w:themeColor="text1"/>
          <w:sz w:val="16"/>
          <w:szCs w:val="16"/>
        </w:rPr>
        <w:softHyphen/>
        <w:t>ду сформировали аж из 19 человек. Ведущи</w:t>
      </w:r>
      <w:r w:rsidRPr="00070ADE">
        <w:rPr>
          <w:rFonts w:ascii="Times New Roman" w:hAnsi="Times New Roman"/>
          <w:color w:val="000000" w:themeColor="text1"/>
          <w:sz w:val="16"/>
          <w:szCs w:val="16"/>
        </w:rPr>
        <w:softHyphen/>
        <w:t>ми летчиками назначили майора А.Г. Кубышкина и лейтенанта, В.А. Модестова, ведущим инженером инженер-капитана В.К. Алексеенко, правда, по факту полетать пришлось только Кубышкину.</w:t>
      </w:r>
    </w:p>
    <w:p w14:paraId="61D56748"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Программа испытаний была рассчитана на 40 полетов общей продолжительностью двадцать четыре с половиной часа. В соот</w:t>
      </w:r>
      <w:r w:rsidRPr="00070ADE">
        <w:rPr>
          <w:rFonts w:ascii="Times New Roman" w:hAnsi="Times New Roman"/>
          <w:color w:val="000000" w:themeColor="text1"/>
          <w:sz w:val="16"/>
          <w:szCs w:val="16"/>
        </w:rPr>
        <w:softHyphen/>
        <w:t>ветствии с приказом, работу планировали за</w:t>
      </w:r>
      <w:r w:rsidRPr="00070ADE">
        <w:rPr>
          <w:rFonts w:ascii="Times New Roman" w:hAnsi="Times New Roman"/>
          <w:color w:val="000000" w:themeColor="text1"/>
          <w:sz w:val="16"/>
          <w:szCs w:val="16"/>
        </w:rPr>
        <w:softHyphen/>
        <w:t>кончить за 9 летных дней, и на подготовку акт отводилось еще 3 дня. К сожалению, почти сразу все пошло вопреки планам. Уже 20 февраля вышел из строя мотор № 82111493 - срезало шпонку шестерни маслонасоса от</w:t>
      </w:r>
      <w:r w:rsidRPr="00070ADE">
        <w:rPr>
          <w:rFonts w:ascii="Times New Roman" w:hAnsi="Times New Roman"/>
          <w:color w:val="000000" w:themeColor="text1"/>
          <w:sz w:val="16"/>
          <w:szCs w:val="16"/>
        </w:rPr>
        <w:softHyphen/>
        <w:t>качки. Произошло падение давления масла и обрыв шатунов цилиндров №№ 2, 4, 6 и 8.</w:t>
      </w:r>
    </w:p>
    <w:p w14:paraId="52E8306A"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Новый мотор № 8211655 установили только 8 марта. Однако 22 марта испытания пришлось прервать, правда, теперь надол</w:t>
      </w:r>
      <w:r w:rsidRPr="00070ADE">
        <w:rPr>
          <w:rFonts w:ascii="Times New Roman" w:hAnsi="Times New Roman"/>
          <w:color w:val="000000" w:themeColor="text1"/>
          <w:sz w:val="16"/>
          <w:szCs w:val="16"/>
        </w:rPr>
        <w:softHyphen/>
        <w:t>го. Перед очередным вылетом на рулении произошло разрушение 12 шпангоута из-за непроклея. Всего удалось выполнить 9 по</w:t>
      </w:r>
      <w:r w:rsidRPr="00070ADE">
        <w:rPr>
          <w:rFonts w:ascii="Times New Roman" w:hAnsi="Times New Roman"/>
          <w:color w:val="000000" w:themeColor="text1"/>
          <w:sz w:val="16"/>
          <w:szCs w:val="16"/>
        </w:rPr>
        <w:softHyphen/>
        <w:t>летов по программе испытаний с общим на</w:t>
      </w:r>
      <w:r w:rsidRPr="00070ADE">
        <w:rPr>
          <w:rFonts w:ascii="Times New Roman" w:hAnsi="Times New Roman"/>
          <w:color w:val="000000" w:themeColor="text1"/>
          <w:sz w:val="16"/>
          <w:szCs w:val="16"/>
        </w:rPr>
        <w:softHyphen/>
        <w:t>летом 5 часов 30 минут. Казалось бы, про</w:t>
      </w:r>
      <w:r w:rsidRPr="00070ADE">
        <w:rPr>
          <w:rFonts w:ascii="Times New Roman" w:hAnsi="Times New Roman"/>
          <w:color w:val="000000" w:themeColor="text1"/>
          <w:sz w:val="16"/>
          <w:szCs w:val="16"/>
        </w:rPr>
        <w:softHyphen/>
        <w:t>исшествие явно драматическое, однако на тот момент судьба «Эталона» мало кого ин</w:t>
      </w:r>
      <w:r w:rsidRPr="00070ADE">
        <w:rPr>
          <w:rFonts w:ascii="Times New Roman" w:hAnsi="Times New Roman"/>
          <w:color w:val="000000" w:themeColor="text1"/>
          <w:sz w:val="16"/>
          <w:szCs w:val="16"/>
        </w:rPr>
        <w:softHyphen/>
        <w:t>тересовала.</w:t>
      </w:r>
    </w:p>
    <w:p w14:paraId="309624A1"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верхах, основываясь на результатах, по</w:t>
      </w:r>
      <w:r w:rsidRPr="00070ADE">
        <w:rPr>
          <w:rFonts w:ascii="Times New Roman" w:hAnsi="Times New Roman"/>
          <w:color w:val="000000" w:themeColor="text1"/>
          <w:sz w:val="16"/>
          <w:szCs w:val="16"/>
        </w:rPr>
        <w:softHyphen/>
        <w:t>лученных Георгием Михайловичем Шияновым, рассудили по-своему. Не дожидаясь даже предварительных выводов НИИ ВВС, 14 марта Г.М. Маленков, А.И. Шахурин и гене</w:t>
      </w:r>
      <w:r w:rsidRPr="00070ADE">
        <w:rPr>
          <w:rFonts w:ascii="Times New Roman" w:hAnsi="Times New Roman"/>
          <w:color w:val="000000" w:themeColor="text1"/>
          <w:sz w:val="16"/>
          <w:szCs w:val="16"/>
        </w:rPr>
        <w:softHyphen/>
        <w:t>рал-полковники Никитин и Репин направили И.В. Сталину вот такую записку: «Главным конструктором т. Лавочкиным, совместно с ЦАГИ на серийном самолете Ла-5 с серийным мотором АШ-82ФН проведен ряд аэродина</w:t>
      </w:r>
      <w:r w:rsidRPr="00070ADE">
        <w:rPr>
          <w:rFonts w:ascii="Times New Roman" w:hAnsi="Times New Roman"/>
          <w:color w:val="000000" w:themeColor="text1"/>
          <w:sz w:val="16"/>
          <w:szCs w:val="16"/>
        </w:rPr>
        <w:softHyphen/>
        <w:t>мических и конструктивных улучшений, а именно: изменена конструкция всасывающе</w:t>
      </w:r>
      <w:r w:rsidRPr="00070ADE">
        <w:rPr>
          <w:rFonts w:ascii="Times New Roman" w:hAnsi="Times New Roman"/>
          <w:color w:val="000000" w:themeColor="text1"/>
          <w:sz w:val="16"/>
          <w:szCs w:val="16"/>
        </w:rPr>
        <w:softHyphen/>
        <w:t>го патрубка (тоннель всасывания размещен в носке центроплана), изменено место уста</w:t>
      </w:r>
      <w:r w:rsidRPr="00070ADE">
        <w:rPr>
          <w:rFonts w:ascii="Times New Roman" w:hAnsi="Times New Roman"/>
          <w:color w:val="000000" w:themeColor="text1"/>
          <w:sz w:val="16"/>
          <w:szCs w:val="16"/>
        </w:rPr>
        <w:softHyphen/>
        <w:t>новки масляного радиатора, улучшено охлаждение головок цилиндров мотора, по</w:t>
      </w:r>
      <w:r w:rsidRPr="00070ADE">
        <w:rPr>
          <w:rFonts w:ascii="Times New Roman" w:hAnsi="Times New Roman"/>
          <w:color w:val="000000" w:themeColor="text1"/>
          <w:sz w:val="16"/>
          <w:szCs w:val="16"/>
        </w:rPr>
        <w:softHyphen/>
        <w:t>ставлены на все цилиндры мотора раздель</w:t>
      </w:r>
      <w:r w:rsidRPr="00070ADE">
        <w:rPr>
          <w:rFonts w:ascii="Times New Roman" w:hAnsi="Times New Roman"/>
          <w:color w:val="000000" w:themeColor="text1"/>
          <w:sz w:val="16"/>
          <w:szCs w:val="16"/>
        </w:rPr>
        <w:softHyphen/>
        <w:t>ные выхлопные патрубки, улучшена герме</w:t>
      </w:r>
      <w:r w:rsidRPr="00070ADE">
        <w:rPr>
          <w:rFonts w:ascii="Times New Roman" w:hAnsi="Times New Roman"/>
          <w:color w:val="000000" w:themeColor="text1"/>
          <w:sz w:val="16"/>
          <w:szCs w:val="16"/>
        </w:rPr>
        <w:softHyphen/>
        <w:t>тизация капота мотора, увеличен противо- капотажный угол самолета, улучшен про</w:t>
      </w:r>
      <w:r w:rsidRPr="00070ADE">
        <w:rPr>
          <w:rFonts w:ascii="Times New Roman" w:hAnsi="Times New Roman"/>
          <w:color w:val="000000" w:themeColor="text1"/>
          <w:sz w:val="16"/>
          <w:szCs w:val="16"/>
        </w:rPr>
        <w:softHyphen/>
        <w:t>филь центроплана и установлен новый винт с улучшенными лопастями. Улучшена управляемость, за счет увеличения компен</w:t>
      </w:r>
      <w:r w:rsidRPr="00070ADE">
        <w:rPr>
          <w:rFonts w:ascii="Times New Roman" w:hAnsi="Times New Roman"/>
          <w:color w:val="000000" w:themeColor="text1"/>
          <w:sz w:val="16"/>
          <w:szCs w:val="16"/>
        </w:rPr>
        <w:softHyphen/>
        <w:t>сации рулей.</w:t>
      </w:r>
    </w:p>
    <w:p w14:paraId="0B081154"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испытании модернизированного са</w:t>
      </w:r>
      <w:r w:rsidRPr="00070ADE">
        <w:rPr>
          <w:rFonts w:ascii="Times New Roman" w:hAnsi="Times New Roman"/>
          <w:color w:val="000000" w:themeColor="text1"/>
          <w:sz w:val="16"/>
          <w:szCs w:val="16"/>
        </w:rPr>
        <w:softHyphen/>
        <w:t>молета в ЛИИ НКАП получены следующие скорости полета: максимальная скорость у земли 630 км. в час, вместо 595 км. в час у се</w:t>
      </w:r>
      <w:r w:rsidRPr="00070ADE">
        <w:rPr>
          <w:rFonts w:ascii="Times New Roman" w:hAnsi="Times New Roman"/>
          <w:color w:val="000000" w:themeColor="text1"/>
          <w:sz w:val="16"/>
          <w:szCs w:val="16"/>
        </w:rPr>
        <w:softHyphen/>
        <w:t>рийного самолета; максимальная скорость на высоте 6000-метров - 685 км. в час, вме</w:t>
      </w:r>
      <w:r w:rsidRPr="00070ADE">
        <w:rPr>
          <w:rFonts w:ascii="Times New Roman" w:hAnsi="Times New Roman"/>
          <w:color w:val="000000" w:themeColor="text1"/>
          <w:sz w:val="16"/>
          <w:szCs w:val="16"/>
        </w:rPr>
        <w:softHyphen/>
        <w:t>сто 648 км. в час у серийного самолета.</w:t>
      </w:r>
    </w:p>
    <w:p w14:paraId="4F8D7904"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Просим принять следующее решение: немедленно запустить в серийное про</w:t>
      </w:r>
      <w:r w:rsidRPr="00070ADE">
        <w:rPr>
          <w:rFonts w:ascii="Times New Roman" w:hAnsi="Times New Roman"/>
          <w:color w:val="000000" w:themeColor="text1"/>
          <w:sz w:val="16"/>
          <w:szCs w:val="16"/>
        </w:rPr>
        <w:softHyphen/>
        <w:t>изводство на заводах № 21 в Горьком и № 381 в Москве модифицированный самолет, без уменьшения достигнутого уровня выпуска самолетов на заводах № 21 - 17 самолетов в сутки и № 381 - 3 самолетов в сутки;</w:t>
      </w:r>
    </w:p>
    <w:p w14:paraId="01685C75"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установить программу выпуска модифи</w:t>
      </w:r>
      <w:r w:rsidRPr="00070ADE">
        <w:rPr>
          <w:rFonts w:ascii="Times New Roman" w:hAnsi="Times New Roman"/>
          <w:color w:val="000000" w:themeColor="text1"/>
          <w:sz w:val="16"/>
          <w:szCs w:val="16"/>
        </w:rPr>
        <w:softHyphen/>
        <w:t>цированных самолетов: в мае - 20 самоле</w:t>
      </w:r>
      <w:r w:rsidRPr="00070ADE">
        <w:rPr>
          <w:rFonts w:ascii="Times New Roman" w:hAnsi="Times New Roman"/>
          <w:color w:val="000000" w:themeColor="text1"/>
          <w:sz w:val="16"/>
          <w:szCs w:val="16"/>
        </w:rPr>
        <w:softHyphen/>
        <w:t>тов, в июне - 55 самолетов, в июле - 160 са</w:t>
      </w:r>
      <w:r w:rsidRPr="00070ADE">
        <w:rPr>
          <w:rFonts w:ascii="Times New Roman" w:hAnsi="Times New Roman"/>
          <w:color w:val="000000" w:themeColor="text1"/>
          <w:sz w:val="16"/>
          <w:szCs w:val="16"/>
        </w:rPr>
        <w:softHyphen/>
        <w:t>молетов и в августе - 275 самолетов;</w:t>
      </w:r>
    </w:p>
    <w:p w14:paraId="1BAFAB5B"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присвоить модифицированному самоле</w:t>
      </w:r>
      <w:r w:rsidRPr="00070ADE">
        <w:rPr>
          <w:rFonts w:ascii="Times New Roman" w:hAnsi="Times New Roman"/>
          <w:color w:val="000000" w:themeColor="text1"/>
          <w:sz w:val="16"/>
          <w:szCs w:val="16"/>
        </w:rPr>
        <w:softHyphen/>
        <w:t>ту наименование Ла-7 с мотором АШ-82ФН.</w:t>
      </w:r>
    </w:p>
    <w:p w14:paraId="3D4D740A"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Проект постановления Государственно</w:t>
      </w:r>
      <w:r w:rsidRPr="00070ADE">
        <w:rPr>
          <w:rFonts w:ascii="Times New Roman" w:hAnsi="Times New Roman"/>
          <w:color w:val="000000" w:themeColor="text1"/>
          <w:sz w:val="16"/>
          <w:szCs w:val="16"/>
        </w:rPr>
        <w:softHyphen/>
        <w:t>го Комитета Обороны «О производстве са</w:t>
      </w:r>
      <w:r w:rsidRPr="00070ADE">
        <w:rPr>
          <w:rFonts w:ascii="Times New Roman" w:hAnsi="Times New Roman"/>
          <w:color w:val="000000" w:themeColor="text1"/>
          <w:sz w:val="16"/>
          <w:szCs w:val="16"/>
        </w:rPr>
        <w:softHyphen/>
        <w:t>молетов Ла-7» согласован со всеми заинте</w:t>
      </w:r>
      <w:r w:rsidRPr="00070ADE">
        <w:rPr>
          <w:rFonts w:ascii="Times New Roman" w:hAnsi="Times New Roman"/>
          <w:color w:val="000000" w:themeColor="text1"/>
          <w:sz w:val="16"/>
          <w:szCs w:val="16"/>
        </w:rPr>
        <w:softHyphen/>
        <w:t>ресованными наркомата». 15 марта Верхов</w:t>
      </w:r>
      <w:r w:rsidRPr="00070ADE">
        <w:rPr>
          <w:rFonts w:ascii="Times New Roman" w:hAnsi="Times New Roman"/>
          <w:color w:val="000000" w:themeColor="text1"/>
          <w:sz w:val="16"/>
          <w:szCs w:val="16"/>
        </w:rPr>
        <w:softHyphen/>
        <w:t>ный подписал постановление ГКО №5404сс «О производстве самолетов Ла-7» (24194).</w:t>
      </w:r>
    </w:p>
    <w:p w14:paraId="5F696887" w14:textId="77777777" w:rsidR="00A53A3E" w:rsidRPr="00070ADE" w:rsidRDefault="00A53A3E" w:rsidP="00B56F90">
      <w:pPr>
        <w:spacing w:after="0" w:line="240" w:lineRule="auto"/>
        <w:jc w:val="both"/>
        <w:rPr>
          <w:rFonts w:ascii="Times New Roman" w:hAnsi="Times New Roman"/>
          <w:color w:val="000000" w:themeColor="text1"/>
          <w:sz w:val="16"/>
          <w:szCs w:val="16"/>
        </w:rPr>
      </w:pPr>
    </w:p>
    <w:p w14:paraId="23AF5F17" w14:textId="77777777" w:rsidR="00AF0E95" w:rsidRPr="00C94B78" w:rsidRDefault="00AF0E9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16 февраля 1944 года проходил государственные ис</w:t>
      </w:r>
      <w:r w:rsidRPr="00C94B78">
        <w:rPr>
          <w:rFonts w:ascii="Times New Roman" w:hAnsi="Times New Roman"/>
          <w:color w:val="0070C0"/>
          <w:sz w:val="16"/>
          <w:szCs w:val="16"/>
        </w:rPr>
        <w:softHyphen/>
        <w:t>пытания в НИИ ВВС Ла-5 «Эталон 1944 года». Ведущими по ма</w:t>
      </w:r>
      <w:r w:rsidRPr="00C94B78">
        <w:rPr>
          <w:rFonts w:ascii="Times New Roman" w:hAnsi="Times New Roman"/>
          <w:color w:val="0070C0"/>
          <w:sz w:val="16"/>
          <w:szCs w:val="16"/>
        </w:rPr>
        <w:softHyphen/>
        <w:t>шине были инженер В.И. Алексеенко и летчик-испытатель А.Г. Кубышкин. Ис</w:t>
      </w:r>
      <w:r w:rsidRPr="00C94B78">
        <w:rPr>
          <w:rFonts w:ascii="Times New Roman" w:hAnsi="Times New Roman"/>
          <w:color w:val="0070C0"/>
          <w:sz w:val="16"/>
          <w:szCs w:val="16"/>
        </w:rPr>
        <w:softHyphen/>
        <w:t>пытания пришлось прервать 20 февраля, когда оборвался один из шатунов в мото</w:t>
      </w:r>
      <w:r w:rsidRPr="00C94B78">
        <w:rPr>
          <w:rFonts w:ascii="Times New Roman" w:hAnsi="Times New Roman"/>
          <w:color w:val="0070C0"/>
          <w:sz w:val="16"/>
          <w:szCs w:val="16"/>
        </w:rPr>
        <w:softHyphen/>
        <w:t>ре. На ремонт ушло свыше двух недель, а 22 марта из-за заводского брака на ру</w:t>
      </w:r>
      <w:r w:rsidRPr="00C94B78">
        <w:rPr>
          <w:rFonts w:ascii="Times New Roman" w:hAnsi="Times New Roman"/>
          <w:color w:val="0070C0"/>
          <w:sz w:val="16"/>
          <w:szCs w:val="16"/>
        </w:rPr>
        <w:softHyphen/>
        <w:t>лежке разрушился второй шпангоут. К то</w:t>
      </w:r>
      <w:r w:rsidRPr="00C94B78">
        <w:rPr>
          <w:rFonts w:ascii="Times New Roman" w:hAnsi="Times New Roman"/>
          <w:color w:val="0070C0"/>
          <w:sz w:val="16"/>
          <w:szCs w:val="16"/>
        </w:rPr>
        <w:softHyphen/>
        <w:t>му времени удалось сделать лишь девять полетов, показавших, что максимальная скорость у земли возросла до 597 км/ч, на первой границе высотности (3250 ме</w:t>
      </w:r>
      <w:r w:rsidRPr="00C94B78">
        <w:rPr>
          <w:rFonts w:ascii="Times New Roman" w:hAnsi="Times New Roman"/>
          <w:color w:val="0070C0"/>
          <w:sz w:val="16"/>
          <w:szCs w:val="16"/>
        </w:rPr>
        <w:softHyphen/>
        <w:t>тров) — до 670 км/ч, а на второй — до 680 км/ч. Вертикальная скорость у зем</w:t>
      </w:r>
      <w:r w:rsidRPr="00C94B78">
        <w:rPr>
          <w:rFonts w:ascii="Times New Roman" w:hAnsi="Times New Roman"/>
          <w:color w:val="0070C0"/>
          <w:sz w:val="16"/>
          <w:szCs w:val="16"/>
        </w:rPr>
        <w:softHyphen/>
        <w:t>ли составила 21 м/с. Подъем на высоту 4000 метров занимал 3,4 минуты.</w:t>
      </w:r>
    </w:p>
    <w:p w14:paraId="19DFB9EB" w14:textId="77777777" w:rsidR="00AF0E95" w:rsidRPr="00C94B78" w:rsidRDefault="00AF0E9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Управлять самолетом стало легче, за исключением руля поворота, нагрузки от которого заметно ощущались при изме</w:t>
      </w:r>
      <w:r w:rsidRPr="00C94B78">
        <w:rPr>
          <w:rFonts w:ascii="Times New Roman" w:hAnsi="Times New Roman"/>
          <w:color w:val="0070C0"/>
          <w:sz w:val="16"/>
          <w:szCs w:val="16"/>
        </w:rPr>
        <w:softHyphen/>
        <w:t>нении режима работы мотора. Из-за от</w:t>
      </w:r>
      <w:r w:rsidRPr="00C94B78">
        <w:rPr>
          <w:rFonts w:ascii="Times New Roman" w:hAnsi="Times New Roman"/>
          <w:color w:val="0070C0"/>
          <w:sz w:val="16"/>
          <w:szCs w:val="16"/>
        </w:rPr>
        <w:softHyphen/>
        <w:t>сутствия триммера руля поворота летчику приходилось прикладывать значительные усилия, чтобы удержать истребитель от разворота.</w:t>
      </w:r>
    </w:p>
    <w:p w14:paraId="36EC2791" w14:textId="77777777" w:rsidR="00AF0E95" w:rsidRPr="00C94B78" w:rsidRDefault="00AF0E9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Температура в кабине пилота, дохо</w:t>
      </w:r>
      <w:r w:rsidRPr="00C94B78">
        <w:rPr>
          <w:rFonts w:ascii="Times New Roman" w:hAnsi="Times New Roman"/>
          <w:color w:val="0070C0"/>
          <w:sz w:val="16"/>
          <w:szCs w:val="16"/>
        </w:rPr>
        <w:softHyphen/>
        <w:t>дившая порой до 40 градусов, приносила пилоту немалые неудобства. Из-за плохой вентиляции в кабине постоянно чувство</w:t>
      </w:r>
      <w:r w:rsidRPr="00C94B78">
        <w:rPr>
          <w:rFonts w:ascii="Times New Roman" w:hAnsi="Times New Roman"/>
          <w:color w:val="0070C0"/>
          <w:sz w:val="16"/>
          <w:szCs w:val="16"/>
        </w:rPr>
        <w:softHyphen/>
        <w:t>валось присутствие отработанных газов и запах горелой резины. Но по своим дан</w:t>
      </w:r>
      <w:r w:rsidRPr="00C94B78">
        <w:rPr>
          <w:rFonts w:ascii="Times New Roman" w:hAnsi="Times New Roman"/>
          <w:color w:val="0070C0"/>
          <w:sz w:val="16"/>
          <w:szCs w:val="16"/>
        </w:rPr>
        <w:softHyphen/>
        <w:t>ным самолет можно было считать одним из лучших истребителей.</w:t>
      </w:r>
    </w:p>
    <w:p w14:paraId="1CB6AC30" w14:textId="77777777" w:rsidR="00AF0E95" w:rsidRPr="00C94B78" w:rsidRDefault="00AF0E9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выводах отчета по результатам го</w:t>
      </w:r>
      <w:r w:rsidRPr="00C94B78">
        <w:rPr>
          <w:rFonts w:ascii="Times New Roman" w:hAnsi="Times New Roman"/>
          <w:color w:val="0070C0"/>
          <w:sz w:val="16"/>
          <w:szCs w:val="16"/>
        </w:rPr>
        <w:softHyphen/>
        <w:t>сударственным испытаниям отмечалось: «Модифицированный самолет Ла-5 эта</w:t>
      </w:r>
      <w:r w:rsidRPr="00C94B78">
        <w:rPr>
          <w:rFonts w:ascii="Times New Roman" w:hAnsi="Times New Roman"/>
          <w:color w:val="0070C0"/>
          <w:sz w:val="16"/>
          <w:szCs w:val="16"/>
        </w:rPr>
        <w:softHyphen/>
        <w:t>лон 1944 г. &lt;...&gt; по максимальной скоро</w:t>
      </w:r>
      <w:r w:rsidRPr="00C94B78">
        <w:rPr>
          <w:rFonts w:ascii="Times New Roman" w:hAnsi="Times New Roman"/>
          <w:color w:val="0070C0"/>
          <w:sz w:val="16"/>
          <w:szCs w:val="16"/>
        </w:rPr>
        <w:softHyphen/>
        <w:t>сти, скороподъемности стоит на уровне лучших современных истребительных самолетов, находящихся на вооружении ВВС КА и иностранных государств».</w:t>
      </w:r>
    </w:p>
    <w:p w14:paraId="26F85DFE" w14:textId="77777777" w:rsidR="00AF0E95" w:rsidRPr="00C94B78" w:rsidRDefault="00AF0E9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Специалисты НИИ ВВС знали, что пи</w:t>
      </w:r>
      <w:r w:rsidRPr="00C94B78">
        <w:rPr>
          <w:rFonts w:ascii="Times New Roman" w:hAnsi="Times New Roman"/>
          <w:color w:val="0070C0"/>
          <w:sz w:val="16"/>
          <w:szCs w:val="16"/>
        </w:rPr>
        <w:softHyphen/>
        <w:t>сать, ведь через их руки проходили не только советские боевые машины, но и трофейные немецкие, а также поступав</w:t>
      </w:r>
      <w:r w:rsidRPr="00C94B78">
        <w:rPr>
          <w:rFonts w:ascii="Times New Roman" w:hAnsi="Times New Roman"/>
          <w:color w:val="0070C0"/>
          <w:sz w:val="16"/>
          <w:szCs w:val="16"/>
        </w:rPr>
        <w:softHyphen/>
        <w:t>шие из Великобритании и США самолеты.</w:t>
      </w:r>
    </w:p>
    <w:p w14:paraId="213AA7BA" w14:textId="77777777" w:rsidR="00AF0E95" w:rsidRPr="00C94B78" w:rsidRDefault="00AF0E9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заключении того же отчета говори</w:t>
      </w:r>
      <w:r w:rsidRPr="00C94B78">
        <w:rPr>
          <w:rFonts w:ascii="Times New Roman" w:hAnsi="Times New Roman"/>
          <w:color w:val="0070C0"/>
          <w:sz w:val="16"/>
          <w:szCs w:val="16"/>
        </w:rPr>
        <w:softHyphen/>
        <w:t>лось:</w:t>
      </w:r>
    </w:p>
    <w:p w14:paraId="624144DD" w14:textId="77777777" w:rsidR="00AF0E95" w:rsidRPr="00C94B78" w:rsidRDefault="00AF0E9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«Заданные постановлением ГОКО (в документах встречается и такая аббреви</w:t>
      </w:r>
      <w:r w:rsidRPr="00C94B78">
        <w:rPr>
          <w:rFonts w:ascii="Times New Roman" w:hAnsi="Times New Roman"/>
          <w:color w:val="0070C0"/>
          <w:sz w:val="16"/>
          <w:szCs w:val="16"/>
        </w:rPr>
        <w:softHyphen/>
        <w:t>атура Государственного Комитета Обо</w:t>
      </w:r>
      <w:r w:rsidRPr="00C94B78">
        <w:rPr>
          <w:rFonts w:ascii="Times New Roman" w:hAnsi="Times New Roman"/>
          <w:color w:val="0070C0"/>
          <w:sz w:val="16"/>
          <w:szCs w:val="16"/>
        </w:rPr>
        <w:softHyphen/>
        <w:t xml:space="preserve">роны. </w:t>
      </w:r>
      <w:r w:rsidRPr="00C94B78">
        <w:rPr>
          <w:rFonts w:ascii="Times New Roman" w:hAnsi="Times New Roman"/>
          <w:b/>
          <w:bCs/>
          <w:color w:val="0070C0"/>
          <w:sz w:val="16"/>
          <w:szCs w:val="16"/>
        </w:rPr>
        <w:t xml:space="preserve">— Прим, авт.) </w:t>
      </w:r>
      <w:r w:rsidRPr="00C94B78">
        <w:rPr>
          <w:rFonts w:ascii="Times New Roman" w:hAnsi="Times New Roman"/>
          <w:color w:val="0070C0"/>
          <w:sz w:val="16"/>
          <w:szCs w:val="16"/>
        </w:rPr>
        <w:t>№ 5404 от 15 марта 1944 года для улучшенного Ла-5 мак</w:t>
      </w:r>
      <w:r w:rsidRPr="00C94B78">
        <w:rPr>
          <w:rFonts w:ascii="Times New Roman" w:hAnsi="Times New Roman"/>
          <w:color w:val="0070C0"/>
          <w:sz w:val="16"/>
          <w:szCs w:val="16"/>
        </w:rPr>
        <w:softHyphen/>
        <w:t>симальная скорость 685 км/ч на высоте 6000 метров и полетный вес 3250 кг &lt;...&gt; практически достигнуты.</w:t>
      </w:r>
    </w:p>
    <w:p w14:paraId="7CFBB842" w14:textId="77777777" w:rsidR="00AF0E95" w:rsidRPr="00C94B78" w:rsidRDefault="00AF0E9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Рекомендовать в серийное произ</w:t>
      </w:r>
      <w:r w:rsidRPr="00C94B78">
        <w:rPr>
          <w:rFonts w:ascii="Times New Roman" w:hAnsi="Times New Roman"/>
          <w:color w:val="0070C0"/>
          <w:sz w:val="16"/>
          <w:szCs w:val="16"/>
        </w:rPr>
        <w:softHyphen/>
        <w:t>водство самолет Ла-5 эталон 1944 года (Ла-7), как имеющий значительные преи</w:t>
      </w:r>
      <w:r w:rsidRPr="00C94B78">
        <w:rPr>
          <w:rFonts w:ascii="Times New Roman" w:hAnsi="Times New Roman"/>
          <w:color w:val="0070C0"/>
          <w:sz w:val="16"/>
          <w:szCs w:val="16"/>
        </w:rPr>
        <w:softHyphen/>
        <w:t>мущества в летных данных над &lt;...&gt; Ла-5, с устранением отмеченных дефектов. Так как на самолете &lt;...&gt; установлены опыт</w:t>
      </w:r>
      <w:r w:rsidRPr="00C94B78">
        <w:rPr>
          <w:rFonts w:ascii="Times New Roman" w:hAnsi="Times New Roman"/>
          <w:color w:val="0070C0"/>
          <w:sz w:val="16"/>
          <w:szCs w:val="16"/>
        </w:rPr>
        <w:softHyphen/>
        <w:t>ные пушки УБ-20, испытания которых не закончены в НИИ АВ ВВС, считать целесо</w:t>
      </w:r>
      <w:r w:rsidRPr="00C94B78">
        <w:rPr>
          <w:rFonts w:ascii="Times New Roman" w:hAnsi="Times New Roman"/>
          <w:color w:val="0070C0"/>
          <w:sz w:val="16"/>
          <w:szCs w:val="16"/>
        </w:rPr>
        <w:softHyphen/>
        <w:t>образным выпускать самолеты с серий</w:t>
      </w:r>
      <w:r w:rsidRPr="00C94B78">
        <w:rPr>
          <w:rFonts w:ascii="Times New Roman" w:hAnsi="Times New Roman"/>
          <w:color w:val="0070C0"/>
          <w:sz w:val="16"/>
          <w:szCs w:val="16"/>
        </w:rPr>
        <w:softHyphen/>
        <w:t>ным вооружением, т. е. две пушки СП-20 с боезапасом 340 патронов....» (24988).</w:t>
      </w:r>
    </w:p>
    <w:p w14:paraId="5FD8C458" w14:textId="77777777" w:rsidR="00AF0E95" w:rsidRPr="00C94B78" w:rsidRDefault="00AF0E95" w:rsidP="00B56F90">
      <w:pPr>
        <w:spacing w:after="0" w:line="240" w:lineRule="auto"/>
        <w:jc w:val="both"/>
        <w:rPr>
          <w:rFonts w:ascii="Times New Roman" w:hAnsi="Times New Roman"/>
          <w:color w:val="0070C0"/>
          <w:sz w:val="16"/>
          <w:szCs w:val="16"/>
        </w:rPr>
      </w:pPr>
    </w:p>
    <w:p w14:paraId="19F1544A" w14:textId="77777777" w:rsidR="00AF0E95" w:rsidRPr="00C94B78" w:rsidRDefault="00AF0E9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16 февраля 1944 г., после устранения ряда выявленных на заводских испытаниях недостатков, Ла-5 «эталон 1944 г.» был предъявлен на Государственные испытания, госиспытания проводились в Чкаловской. По программе Государственных испытаний намечалось выполнить 44 полета, но в девятом полете, 20 февраля, произошел обрыв шатуна в двигателе, и летчику-испытателю А.Г. Кубышкину с трудом удалось посадить истребитель. Испытания возобновились 8 марта, после ремонта Ла-5. Когда большая часть программы была отработана, из-за производственного дефекта (плохая склейка) в воздухе разрушился 12-й шпангоут фюзеляжа, Кубышкин вновь сумел посадить поврежденный самолет. К этому времени уже был готов прототип «эталона 1944 г.» № 2, на котором и завершили Государственные испытания, выполнив всего девять полетов вместо 44 запланированных; в частности, не проводился отстрел оружия — трех пушек Б-20. Интересный факт — параллельно с работой по Ла-5 «эталону 1944 г.» инженерам КБ Лавочкина удалось поднять максимальную скорость Ла-5ФН до 685 км/ч.</w:t>
      </w:r>
    </w:p>
    <w:p w14:paraId="5A3B5912" w14:textId="77777777" w:rsidR="00AF0E95" w:rsidRPr="00C94B78" w:rsidRDefault="00AF0E9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заключении по Государственным испытаниям «эталона 1944 г.» говорилось:</w:t>
      </w:r>
    </w:p>
    <w:p w14:paraId="31D4FE9A" w14:textId="77777777" w:rsidR="00AF0E95" w:rsidRPr="00C94B78" w:rsidRDefault="00AF0E9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Характеристики скорости и скороподъемности можно оценить как «стандартные», несколько превосходящие аналогичные показателя истребителя Ла-5ФН. Максимальная скорость на высоте 6000 м составила 680 км/ч. Управление элеронами и рулем высоты — не требует особых усилий и не нуждается в дальнейших доработках. Фонарь обеспечивает прекрасный круговой обзор из кабины. Маневренные и взлетно-посадочные характеристики самолета полностью удовлетворяют требованиям.</w:t>
      </w:r>
    </w:p>
    <w:p w14:paraId="53382579" w14:textId="77777777" w:rsidR="00AF0E95" w:rsidRPr="00C94B78" w:rsidRDefault="00AF0E9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За полученные результаты пришлось заплатить немалую цену. Из-за переноса маслорадиатора под фюзеляж, маслопроводы пришлось провести непосредственно под ногами летчика, из-за чего нормальная температура в кабине зимой была +40 град С, а летом — повышалась до +55 град. С. Учитывая, что в кабину пробивались выхлопные газы двигателя, а на стеклах фонаря образовывался конденсат, вполне можно сравнить кабину «эталона» с сауной. Кроме того, отмечался слишком тугой ход педалей руля направления и недостаточная отработанность механизма аварийного сброса фонаря кабины.</w:t>
      </w:r>
    </w:p>
    <w:p w14:paraId="2C027065" w14:textId="77777777" w:rsidR="00AF0E95" w:rsidRPr="00C94B78" w:rsidRDefault="00AF0E9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xml:space="preserve">В отчете майор Кубышкин отметил, что значительно увеличилась горизонтальная скорость и скороподъемность, максимальная скорость достигла значения 680 км/ч на высоте 6250 м — лучший результат среди всех отечественных истребителей того времени. В то же время он указал и на недостатки «эталона 1944 г.» — жара в кабине (+40–50 град. С), скапливание в кабине конденсата влаги, велики усилия на педалях, не предусмотрено быстрое покидание машины, отсутствует автоматика </w:t>
      </w:r>
      <w:r w:rsidRPr="00C94B78">
        <w:rPr>
          <w:rFonts w:ascii="Times New Roman" w:hAnsi="Times New Roman"/>
          <w:color w:val="0070C0"/>
          <w:sz w:val="16"/>
          <w:szCs w:val="16"/>
        </w:rPr>
        <w:lastRenderedPageBreak/>
        <w:t>управления винто-моторной группой. Вывод Кубышкин сделал следующий: «Самолет по своим летным данным является одним из лучших истребителей. Необходимо форсировать серийную постройку с одновременным устранением вышеуказанных недостатков». Не все из этих рекомендаций были учтены на серийных истребителях (25058).</w:t>
      </w:r>
    </w:p>
    <w:p w14:paraId="749E9992" w14:textId="77777777" w:rsidR="00AF0E95" w:rsidRPr="00C94B78" w:rsidRDefault="00AF0E95" w:rsidP="00B56F90">
      <w:pPr>
        <w:spacing w:after="0" w:line="240" w:lineRule="auto"/>
        <w:jc w:val="both"/>
        <w:rPr>
          <w:rFonts w:ascii="Times New Roman" w:hAnsi="Times New Roman"/>
          <w:color w:val="0070C0"/>
          <w:sz w:val="16"/>
          <w:szCs w:val="16"/>
        </w:rPr>
      </w:pPr>
    </w:p>
    <w:p w14:paraId="03766FCD" w14:textId="77777777" w:rsidR="00AF0E95" w:rsidRPr="00C94B78" w:rsidRDefault="00AF0E95"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 16 февраля 1944 года Ла-5 «Эталон 1944 года» проходил государственные испытания в НИИ ВВС. Ведущими по машине были инженер В.И. Алексеенко и летчик-испыта</w:t>
      </w:r>
      <w:r w:rsidRPr="00C94B78">
        <w:rPr>
          <w:rStyle w:val="aff1"/>
          <w:rFonts w:ascii="Times New Roman" w:hAnsi="Times New Roman" w:cs="Times New Roman"/>
          <w:color w:val="0070C0"/>
          <w:spacing w:val="0"/>
          <w:sz w:val="16"/>
          <w:szCs w:val="16"/>
        </w:rPr>
        <w:softHyphen/>
        <w:t>тель А. Г. Кубышкин. Испытания пришлось прервать 20 февраля, когда оборвался один из шатунов в моторе. На ремонт ушло свыше двух недель, а 22 марта из-за заводского брака на рулежке разрушился второй шпангоут. К тому времени удалось сделать лишь девять полетов, показав</w:t>
      </w:r>
      <w:r w:rsidRPr="00C94B78">
        <w:rPr>
          <w:rStyle w:val="aff1"/>
          <w:rFonts w:ascii="Times New Roman" w:hAnsi="Times New Roman" w:cs="Times New Roman"/>
          <w:color w:val="0070C0"/>
          <w:spacing w:val="0"/>
          <w:sz w:val="16"/>
          <w:szCs w:val="16"/>
        </w:rPr>
        <w:softHyphen/>
        <w:t>ших, что максимальная скорость у земли возросла до 597 км/ч, на первой границе высотности (3250 м) — до 670 км/ч, а на второй — до 680 км/ч. Вертикальная ско</w:t>
      </w:r>
      <w:r w:rsidRPr="00C94B78">
        <w:rPr>
          <w:rStyle w:val="aff1"/>
          <w:rFonts w:ascii="Times New Roman" w:hAnsi="Times New Roman" w:cs="Times New Roman"/>
          <w:color w:val="0070C0"/>
          <w:spacing w:val="0"/>
          <w:sz w:val="16"/>
          <w:szCs w:val="16"/>
        </w:rPr>
        <w:softHyphen/>
        <w:t>рость у земли составила 21 м/с. Подъем на высоту 4000 м занимал 3,4 минуты.</w:t>
      </w:r>
    </w:p>
    <w:p w14:paraId="71ABC564" w14:textId="77777777" w:rsidR="00AF0E95" w:rsidRPr="00C94B78" w:rsidRDefault="00AF0E95"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Управлять самолетом стало легче, за исключением руля поворота, нагрузки от которого заметно ощущались при изменении режима работы мотора. Из-за отсутствия трим</w:t>
      </w:r>
      <w:r w:rsidRPr="00C94B78">
        <w:rPr>
          <w:rStyle w:val="aff1"/>
          <w:rFonts w:ascii="Times New Roman" w:hAnsi="Times New Roman" w:cs="Times New Roman"/>
          <w:color w:val="0070C0"/>
          <w:spacing w:val="0"/>
          <w:sz w:val="16"/>
          <w:szCs w:val="16"/>
        </w:rPr>
        <w:softHyphen/>
        <w:t>мера руля поворота летчику приходилось прикладывать значительные усилия, чтобы удержать истребитель от раз</w:t>
      </w:r>
      <w:r w:rsidRPr="00C94B78">
        <w:rPr>
          <w:rStyle w:val="aff1"/>
          <w:rFonts w:ascii="Times New Roman" w:hAnsi="Times New Roman" w:cs="Times New Roman"/>
          <w:color w:val="0070C0"/>
          <w:spacing w:val="0"/>
          <w:sz w:val="16"/>
          <w:szCs w:val="16"/>
        </w:rPr>
        <w:softHyphen/>
        <w:t>ворота. Температура в кабине пилота, доходившая порой до 40 градусов, приносила пилоту немалые неудобства. Из- за плохой вентиляции в кабине постоянно чувствовалось присутствие отработанных газов и запах горелой резины. Но по своим данным самолет можно было считать одним из лучших истребителей.</w:t>
      </w:r>
    </w:p>
    <w:p w14:paraId="65C076D3" w14:textId="77777777" w:rsidR="00AF0E95" w:rsidRPr="00C94B78" w:rsidRDefault="00AF0E95"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выводах отчета по государственным испытаниям от</w:t>
      </w:r>
      <w:r w:rsidRPr="00C94B78">
        <w:rPr>
          <w:rStyle w:val="aff1"/>
          <w:rFonts w:ascii="Times New Roman" w:hAnsi="Times New Roman" w:cs="Times New Roman"/>
          <w:color w:val="0070C0"/>
          <w:spacing w:val="0"/>
          <w:sz w:val="16"/>
          <w:szCs w:val="16"/>
        </w:rPr>
        <w:softHyphen/>
        <w:t>мечалось: «Модифицированный самолет Ла-5 эталон 1944 года по максимальной скорости, скороподъемности стоит на уровне лучших современных истребительных са</w:t>
      </w:r>
      <w:r w:rsidRPr="00C94B78">
        <w:rPr>
          <w:rStyle w:val="aff1"/>
          <w:rFonts w:ascii="Times New Roman" w:hAnsi="Times New Roman" w:cs="Times New Roman"/>
          <w:color w:val="0070C0"/>
          <w:spacing w:val="0"/>
          <w:sz w:val="16"/>
          <w:szCs w:val="16"/>
        </w:rPr>
        <w:softHyphen/>
        <w:t>молетов, находящихся на вооружении ВВС КА и ино</w:t>
      </w:r>
      <w:r w:rsidRPr="00C94B78">
        <w:rPr>
          <w:rStyle w:val="aff1"/>
          <w:rFonts w:ascii="Times New Roman" w:hAnsi="Times New Roman" w:cs="Times New Roman"/>
          <w:color w:val="0070C0"/>
          <w:spacing w:val="0"/>
          <w:sz w:val="16"/>
          <w:szCs w:val="16"/>
        </w:rPr>
        <w:softHyphen/>
        <w:t>странных государств».</w:t>
      </w:r>
    </w:p>
    <w:p w14:paraId="239B7344" w14:textId="77777777" w:rsidR="00AF0E95" w:rsidRPr="00C94B78" w:rsidRDefault="00AF0E95"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заключение того же отчета говорилось: «Заданные постановлением ГОКО (в документах встре</w:t>
      </w:r>
      <w:r w:rsidRPr="00C94B78">
        <w:rPr>
          <w:rStyle w:val="aff1"/>
          <w:rFonts w:ascii="Times New Roman" w:hAnsi="Times New Roman" w:cs="Times New Roman"/>
          <w:color w:val="0070C0"/>
          <w:spacing w:val="0"/>
          <w:sz w:val="16"/>
          <w:szCs w:val="16"/>
        </w:rPr>
        <w:softHyphen/>
        <w:t>чается и такая аббревиатура Государственного комитета обороны) № 5404 от 15 марта 1944 года для улучшенного Ла-5 максимальная скорость 685 км/час на высоте 6000 м и полетный вес 3 250 кг... практически дос</w:t>
      </w:r>
      <w:r w:rsidRPr="00C94B78">
        <w:rPr>
          <w:rStyle w:val="aff1"/>
          <w:rFonts w:ascii="Times New Roman" w:hAnsi="Times New Roman" w:cs="Times New Roman"/>
          <w:color w:val="0070C0"/>
          <w:spacing w:val="0"/>
          <w:sz w:val="16"/>
          <w:szCs w:val="16"/>
        </w:rPr>
        <w:softHyphen/>
        <w:t>тигнуты.</w:t>
      </w:r>
    </w:p>
    <w:p w14:paraId="1DA1BFC9" w14:textId="77777777" w:rsidR="00AF0E95" w:rsidRPr="00C94B78" w:rsidRDefault="00AF0E95"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Рекомендовать в серийное производство самолет Ла-5 эталон 1944 года (Ла-7), как имеющий значительные пре</w:t>
      </w:r>
      <w:r w:rsidRPr="00C94B78">
        <w:rPr>
          <w:rStyle w:val="aff1"/>
          <w:rFonts w:ascii="Times New Roman" w:hAnsi="Times New Roman" w:cs="Times New Roman"/>
          <w:color w:val="0070C0"/>
          <w:spacing w:val="0"/>
          <w:sz w:val="16"/>
          <w:szCs w:val="16"/>
        </w:rPr>
        <w:softHyphen/>
        <w:t>имущества в летных данных над... Ла-5, с устранением от</w:t>
      </w:r>
      <w:r w:rsidRPr="00C94B78">
        <w:rPr>
          <w:rStyle w:val="aff1"/>
          <w:rFonts w:ascii="Times New Roman" w:hAnsi="Times New Roman" w:cs="Times New Roman"/>
          <w:color w:val="0070C0"/>
          <w:spacing w:val="0"/>
          <w:sz w:val="16"/>
          <w:szCs w:val="16"/>
        </w:rPr>
        <w:softHyphen/>
        <w:t>меченных дефектов. Так как на самолете... установлены опытные пушки УБ-20, испытания которых не закончены в НИИ АВ ВВС, считать целесообразным выпускать само</w:t>
      </w:r>
      <w:r w:rsidRPr="00C94B78">
        <w:rPr>
          <w:rStyle w:val="aff1"/>
          <w:rFonts w:ascii="Times New Roman" w:hAnsi="Times New Roman" w:cs="Times New Roman"/>
          <w:color w:val="0070C0"/>
          <w:spacing w:val="0"/>
          <w:sz w:val="16"/>
          <w:szCs w:val="16"/>
        </w:rPr>
        <w:softHyphen/>
        <w:t>леты с серийным вооружением, т.е. две пушки СП-20 с боезапасом 340 патронов...» (25252).</w:t>
      </w:r>
    </w:p>
    <w:p w14:paraId="614751D1" w14:textId="77777777" w:rsidR="00AF0E95" w:rsidRPr="00C94B78" w:rsidRDefault="00AF0E95" w:rsidP="00B56F90">
      <w:pPr>
        <w:spacing w:after="0" w:line="240" w:lineRule="auto"/>
        <w:jc w:val="both"/>
        <w:rPr>
          <w:rFonts w:ascii="Times New Roman" w:hAnsi="Times New Roman"/>
          <w:color w:val="0070C0"/>
          <w:sz w:val="16"/>
          <w:szCs w:val="16"/>
        </w:rPr>
      </w:pPr>
    </w:p>
    <w:p w14:paraId="2610C5A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февраля 1944 г. началь</w:t>
      </w:r>
      <w:r w:rsidRPr="00070ADE">
        <w:rPr>
          <w:rFonts w:ascii="Times New Roman" w:hAnsi="Times New Roman"/>
          <w:color w:val="000000" w:themeColor="text1"/>
          <w:sz w:val="16"/>
          <w:szCs w:val="16"/>
        </w:rPr>
        <w:softHyphen/>
        <w:t>ник 4 спецотдела НКВД СССР под</w:t>
      </w:r>
      <w:r w:rsidRPr="00070ADE">
        <w:rPr>
          <w:rFonts w:ascii="Times New Roman" w:hAnsi="Times New Roman"/>
          <w:color w:val="000000" w:themeColor="text1"/>
          <w:sz w:val="16"/>
          <w:szCs w:val="16"/>
        </w:rPr>
        <w:softHyphen/>
        <w:t>полковника госбезопасности В.А.Беке</w:t>
      </w:r>
      <w:r w:rsidRPr="00070ADE">
        <w:rPr>
          <w:rFonts w:ascii="Times New Roman" w:hAnsi="Times New Roman"/>
          <w:color w:val="000000" w:themeColor="text1"/>
          <w:sz w:val="16"/>
          <w:szCs w:val="16"/>
        </w:rPr>
        <w:softHyphen/>
        <w:t>това направил начальнику 2 отдела ГУ НАС ВВС КА генерал-майору ИАС Левину докладную записку. В ней сообщалось: «Согласно Вашему зап</w:t>
      </w:r>
      <w:r w:rsidRPr="00070ADE">
        <w:rPr>
          <w:rFonts w:ascii="Times New Roman" w:hAnsi="Times New Roman"/>
          <w:color w:val="000000" w:themeColor="text1"/>
          <w:sz w:val="16"/>
          <w:szCs w:val="16"/>
        </w:rPr>
        <w:softHyphen/>
        <w:t>росу направляю предварительные ма</w:t>
      </w:r>
      <w:r w:rsidRPr="00070ADE">
        <w:rPr>
          <w:rFonts w:ascii="Times New Roman" w:hAnsi="Times New Roman"/>
          <w:color w:val="000000" w:themeColor="text1"/>
          <w:sz w:val="16"/>
          <w:szCs w:val="16"/>
        </w:rPr>
        <w:softHyphen/>
        <w:t>териалы по установке РД-1 на само</w:t>
      </w:r>
      <w:r w:rsidRPr="00070ADE">
        <w:rPr>
          <w:rFonts w:ascii="Times New Roman" w:hAnsi="Times New Roman"/>
          <w:color w:val="000000" w:themeColor="text1"/>
          <w:sz w:val="16"/>
          <w:szCs w:val="16"/>
        </w:rPr>
        <w:softHyphen/>
        <w:t>летах Пе-2, Пе-3 и Пе-2 в высотном варианте с М-82-ТК-3.</w:t>
      </w:r>
    </w:p>
    <w:p w14:paraId="6C7C5F1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Одновременно сообщаю, что конст</w:t>
      </w:r>
      <w:r w:rsidRPr="00070ADE">
        <w:rPr>
          <w:rFonts w:ascii="Times New Roman" w:hAnsi="Times New Roman"/>
          <w:color w:val="000000" w:themeColor="text1"/>
          <w:sz w:val="16"/>
          <w:szCs w:val="16"/>
        </w:rPr>
        <w:softHyphen/>
        <w:t>руктор самолета т. Сухой ведет рабо</w:t>
      </w:r>
      <w:r w:rsidRPr="00070ADE">
        <w:rPr>
          <w:rFonts w:ascii="Times New Roman" w:hAnsi="Times New Roman"/>
          <w:color w:val="000000" w:themeColor="text1"/>
          <w:sz w:val="16"/>
          <w:szCs w:val="16"/>
        </w:rPr>
        <w:softHyphen/>
        <w:t>ты по установке РД-1 на свой самолет в высотном варианте...» (10668).</w:t>
      </w:r>
    </w:p>
    <w:p w14:paraId="7A595F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BD4950" w14:textId="77777777" w:rsidR="009D1B58" w:rsidRPr="00070ADE" w:rsidRDefault="009D1B58"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16 февраля 1944 г. док ладная записка заместителя начальника 4 спецотдела НКВД под полковника госбезопасности В.А.Бекетова, направленная начальнику 2 отдела Главного управления истре бятельно-авиационной службы ВВС генерал-майору Левину сообщала:</w:t>
      </w:r>
    </w:p>
    <w:p w14:paraId="65B2560E" w14:textId="77777777" w:rsidR="009D1B58" w:rsidRPr="00070ADE" w:rsidRDefault="009D1B58"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 xml:space="preserve"> «Согласно Вашему запросу направляю предвари тельные материалы по установке РД-1 на самолетах Пе-2, Пe-З и Пе-2 в высотном варианте с М-82-ТК-3.</w:t>
      </w:r>
    </w:p>
    <w:p w14:paraId="059C48AE" w14:textId="77777777" w:rsidR="009D1B58" w:rsidRPr="00070ADE" w:rsidRDefault="009D1B58"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Одновременно сообщаю, что конструктор самолета т. Сухой ведет работы по установке РД-1 на свой самолет в высот ном варианте...» (19586).</w:t>
      </w:r>
    </w:p>
    <w:p w14:paraId="579CFCC6" w14:textId="77777777" w:rsidR="009D1B58" w:rsidRPr="00070ADE" w:rsidRDefault="009D1B58"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C9A0F4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фев</w:t>
      </w:r>
      <w:r w:rsidRPr="00070ADE">
        <w:rPr>
          <w:rFonts w:ascii="Times New Roman" w:hAnsi="Times New Roman"/>
          <w:color w:val="000000" w:themeColor="text1"/>
          <w:sz w:val="16"/>
          <w:szCs w:val="16"/>
        </w:rPr>
        <w:softHyphen/>
        <w:t>раля 1944 г. самолет У-2, переоборудованный из серий</w:t>
      </w:r>
      <w:r w:rsidRPr="00070ADE">
        <w:rPr>
          <w:rFonts w:ascii="Times New Roman" w:hAnsi="Times New Roman"/>
          <w:color w:val="000000" w:themeColor="text1"/>
          <w:sz w:val="16"/>
          <w:szCs w:val="16"/>
        </w:rPr>
        <w:softHyphen/>
        <w:t>ного № 5842 прибыл на аэродром испытывался в НИИ ВВС КА. В течение двух дней, 17-го и 18-го февраля, произвели 18 полетов, из них 6 полетов ночью. Испытания вел инже</w:t>
      </w:r>
      <w:r w:rsidRPr="00070ADE">
        <w:rPr>
          <w:rFonts w:ascii="Times New Roman" w:hAnsi="Times New Roman"/>
          <w:color w:val="000000" w:themeColor="text1"/>
          <w:sz w:val="16"/>
          <w:szCs w:val="16"/>
        </w:rPr>
        <w:softHyphen/>
        <w:t>нер-майор Синельников, кроме него в об</w:t>
      </w:r>
      <w:r w:rsidRPr="00070ADE">
        <w:rPr>
          <w:rFonts w:ascii="Times New Roman" w:hAnsi="Times New Roman"/>
          <w:color w:val="000000" w:themeColor="text1"/>
          <w:sz w:val="16"/>
          <w:szCs w:val="16"/>
        </w:rPr>
        <w:softHyphen/>
        <w:t>лете машины участвовал генерал-майор Стефановскнй.</w:t>
      </w:r>
    </w:p>
    <w:p w14:paraId="7D49A88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Общая оценка самолета была вполне благоприятной; особо отмечалось, что из существующих лимузинов этот выполнен наиболее культурно, обладает комфортной закрытой кабиной с хорошим обзором из нее, оборудован связью между летчиком и пассажиром. Одновременно отмечалось, что в кабине нилота задувает через проти</w:t>
      </w:r>
      <w:r w:rsidRPr="00070ADE">
        <w:rPr>
          <w:rFonts w:ascii="Times New Roman" w:hAnsi="Times New Roman"/>
          <w:color w:val="000000" w:themeColor="text1"/>
          <w:sz w:val="16"/>
          <w:szCs w:val="16"/>
        </w:rPr>
        <w:softHyphen/>
        <w:t>вопожарную перегородку, при включенном плафоне пассажирской кабины образуются блики на переднем козырьке пилота, плохо закрывается фонарь. П. М. Стефановский, человек высокого роста, отметил, что его голова упирается в потолок.</w:t>
      </w:r>
    </w:p>
    <w:p w14:paraId="0DD24B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1943 г. инженер-капитан Зусман пред</w:t>
      </w:r>
      <w:r w:rsidRPr="00070ADE">
        <w:rPr>
          <w:rFonts w:ascii="Times New Roman" w:hAnsi="Times New Roman"/>
          <w:color w:val="000000" w:themeColor="text1"/>
          <w:sz w:val="16"/>
          <w:szCs w:val="16"/>
        </w:rPr>
        <w:softHyphen/>
        <w:t>ложил переоборудовать несколько стан</w:t>
      </w:r>
      <w:r w:rsidRPr="00070ADE">
        <w:rPr>
          <w:rFonts w:ascii="Times New Roman" w:hAnsi="Times New Roman"/>
          <w:color w:val="000000" w:themeColor="text1"/>
          <w:sz w:val="16"/>
          <w:szCs w:val="16"/>
        </w:rPr>
        <w:softHyphen/>
        <w:t>дартных У-2 в комфортабельные 2-х и 3-х местные лимузины для перевозки высшего командного состава и офицеров связи. Из</w:t>
      </w:r>
      <w:r w:rsidRPr="00070ADE">
        <w:rPr>
          <w:rFonts w:ascii="Times New Roman" w:hAnsi="Times New Roman"/>
          <w:color w:val="000000" w:themeColor="text1"/>
          <w:sz w:val="16"/>
          <w:szCs w:val="16"/>
        </w:rPr>
        <w:softHyphen/>
        <w:t>вестно, что в том же году два самолета под</w:t>
      </w:r>
      <w:r w:rsidRPr="00070ADE">
        <w:rPr>
          <w:rFonts w:ascii="Times New Roman" w:hAnsi="Times New Roman"/>
          <w:color w:val="000000" w:themeColor="text1"/>
          <w:sz w:val="16"/>
          <w:szCs w:val="16"/>
        </w:rPr>
        <w:softHyphen/>
        <w:t>верглись переделкам в 204-х стационарных мастерских 3-й Воздушной армии. Основ</w:t>
      </w:r>
      <w:r w:rsidRPr="00070ADE">
        <w:rPr>
          <w:rFonts w:ascii="Times New Roman" w:hAnsi="Times New Roman"/>
          <w:color w:val="000000" w:themeColor="text1"/>
          <w:sz w:val="16"/>
          <w:szCs w:val="16"/>
        </w:rPr>
        <w:softHyphen/>
        <w:t>ные изменения коснулись центральной ча</w:t>
      </w:r>
      <w:r w:rsidRPr="00070ADE">
        <w:rPr>
          <w:rFonts w:ascii="Times New Roman" w:hAnsi="Times New Roman"/>
          <w:color w:val="000000" w:themeColor="text1"/>
          <w:sz w:val="16"/>
          <w:szCs w:val="16"/>
        </w:rPr>
        <w:softHyphen/>
        <w:t>сти фюзеляжа: здесь в районе второй каби</w:t>
      </w:r>
      <w:r w:rsidRPr="00070ADE">
        <w:rPr>
          <w:rFonts w:ascii="Times New Roman" w:hAnsi="Times New Roman"/>
          <w:color w:val="000000" w:themeColor="text1"/>
          <w:sz w:val="16"/>
          <w:szCs w:val="16"/>
        </w:rPr>
        <w:softHyphen/>
        <w:t>ны по левому борту вырезали верхний лон</w:t>
      </w:r>
      <w:r w:rsidRPr="00070ADE">
        <w:rPr>
          <w:rFonts w:ascii="Times New Roman" w:hAnsi="Times New Roman"/>
          <w:color w:val="000000" w:themeColor="text1"/>
          <w:sz w:val="16"/>
          <w:szCs w:val="16"/>
        </w:rPr>
        <w:softHyphen/>
        <w:t>жерон на участке длиной 650 мм и обору</w:t>
      </w:r>
      <w:r w:rsidRPr="00070ADE">
        <w:rPr>
          <w:rFonts w:ascii="Times New Roman" w:hAnsi="Times New Roman"/>
          <w:color w:val="000000" w:themeColor="text1"/>
          <w:sz w:val="16"/>
          <w:szCs w:val="16"/>
        </w:rPr>
        <w:softHyphen/>
        <w:t>довали дверную раму с соответствующими усилениями. Обе кабины закрыли обтекае</w:t>
      </w:r>
      <w:r w:rsidRPr="00070ADE">
        <w:rPr>
          <w:rFonts w:ascii="Times New Roman" w:hAnsi="Times New Roman"/>
          <w:color w:val="000000" w:themeColor="text1"/>
          <w:sz w:val="16"/>
          <w:szCs w:val="16"/>
        </w:rPr>
        <w:softHyphen/>
        <w:t>мым прозрачным фонарем, установленным на каркасе из стальных труб. В задней пассажирской кабине сняли приборную доску и управление, проводку разместили иод иолом. Саму кабину выполнили в виде са</w:t>
      </w:r>
      <w:r w:rsidRPr="00070ADE">
        <w:rPr>
          <w:rFonts w:ascii="Times New Roman" w:hAnsi="Times New Roman"/>
          <w:color w:val="000000" w:themeColor="text1"/>
          <w:sz w:val="16"/>
          <w:szCs w:val="16"/>
        </w:rPr>
        <w:softHyphen/>
        <w:t>лона с мягким креслом, мягкой обивкой бортов и плафоном освещения. В пилот</w:t>
      </w:r>
      <w:r w:rsidRPr="00070ADE">
        <w:rPr>
          <w:rFonts w:ascii="Times New Roman" w:hAnsi="Times New Roman"/>
          <w:color w:val="000000" w:themeColor="text1"/>
          <w:sz w:val="16"/>
          <w:szCs w:val="16"/>
        </w:rPr>
        <w:softHyphen/>
        <w:t>ской кабине частично псрекомпоновали приборы летчика, тахометр перенесли на приборную доску. К дополнительным улучшениям следует отнести зализы у сты</w:t>
      </w:r>
      <w:r w:rsidRPr="00070ADE">
        <w:rPr>
          <w:rFonts w:ascii="Times New Roman" w:hAnsi="Times New Roman"/>
          <w:color w:val="000000" w:themeColor="text1"/>
          <w:sz w:val="16"/>
          <w:szCs w:val="16"/>
        </w:rPr>
        <w:softHyphen/>
        <w:t>ка нижнего крыла с фюзеляжем, неболь</w:t>
      </w:r>
      <w:r w:rsidRPr="00070ADE">
        <w:rPr>
          <w:rFonts w:ascii="Times New Roman" w:hAnsi="Times New Roman"/>
          <w:color w:val="000000" w:themeColor="text1"/>
          <w:sz w:val="16"/>
          <w:szCs w:val="16"/>
        </w:rPr>
        <w:softHyphen/>
        <w:t>шой форкиль, посадочную фару под левым нижним крылом.</w:t>
      </w:r>
    </w:p>
    <w:p w14:paraId="579A25C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сравнении со связным У-2 № 3211, ис</w:t>
      </w:r>
      <w:r w:rsidRPr="00070ADE">
        <w:rPr>
          <w:rFonts w:ascii="Times New Roman" w:hAnsi="Times New Roman"/>
          <w:color w:val="000000" w:themeColor="text1"/>
          <w:sz w:val="16"/>
          <w:szCs w:val="16"/>
        </w:rPr>
        <w:softHyphen/>
        <w:t>пытанным в НИИ ВВС в январе 1943 г., «Лимузин» № 5842 показал следующие ха</w:t>
      </w:r>
      <w:r w:rsidRPr="00070ADE">
        <w:rPr>
          <w:rFonts w:ascii="Times New Roman" w:hAnsi="Times New Roman"/>
          <w:color w:val="000000" w:themeColor="text1"/>
          <w:sz w:val="16"/>
          <w:szCs w:val="16"/>
        </w:rPr>
        <w:softHyphen/>
        <w:t>рактеристики: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4D4663" w:rsidRPr="00070ADE" w14:paraId="208A231B" w14:textId="77777777">
        <w:tc>
          <w:tcPr>
            <w:tcW w:w="3192" w:type="dxa"/>
            <w:tcBorders>
              <w:top w:val="single" w:sz="12" w:space="0" w:color="auto"/>
            </w:tcBorders>
            <w:shd w:val="clear" w:color="auto" w:fill="FFFFFF"/>
          </w:tcPr>
          <w:p w14:paraId="4FA7505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192" w:type="dxa"/>
            <w:tcBorders>
              <w:top w:val="single" w:sz="12" w:space="0" w:color="auto"/>
            </w:tcBorders>
            <w:shd w:val="clear" w:color="auto" w:fill="FFFFFF"/>
          </w:tcPr>
          <w:p w14:paraId="60C274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Лимузин» № 5842</w:t>
            </w:r>
          </w:p>
        </w:tc>
        <w:tc>
          <w:tcPr>
            <w:tcW w:w="3192" w:type="dxa"/>
            <w:tcBorders>
              <w:top w:val="single" w:sz="12" w:space="0" w:color="auto"/>
            </w:tcBorders>
            <w:shd w:val="clear" w:color="auto" w:fill="FFFFFF"/>
          </w:tcPr>
          <w:p w14:paraId="1EFB0F6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У-2 № 3211</w:t>
            </w:r>
          </w:p>
        </w:tc>
      </w:tr>
      <w:tr w:rsidR="004D4663" w:rsidRPr="00070ADE" w14:paraId="7061D839" w14:textId="77777777">
        <w:tc>
          <w:tcPr>
            <w:tcW w:w="3192" w:type="dxa"/>
            <w:shd w:val="clear" w:color="auto" w:fill="FFFFFF"/>
          </w:tcPr>
          <w:p w14:paraId="6E7189F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(кг)</w:t>
            </w:r>
          </w:p>
        </w:tc>
        <w:tc>
          <w:tcPr>
            <w:tcW w:w="3192" w:type="dxa"/>
            <w:shd w:val="clear" w:color="auto" w:fill="FFFFFF"/>
          </w:tcPr>
          <w:p w14:paraId="14C79E2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829</w:t>
            </w:r>
          </w:p>
        </w:tc>
        <w:tc>
          <w:tcPr>
            <w:tcW w:w="3192" w:type="dxa"/>
            <w:shd w:val="clear" w:color="auto" w:fill="FFFFFF"/>
          </w:tcPr>
          <w:p w14:paraId="490C1A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773</w:t>
            </w:r>
          </w:p>
        </w:tc>
      </w:tr>
      <w:tr w:rsidR="004D4663" w:rsidRPr="00070ADE" w14:paraId="16099BD7" w14:textId="77777777">
        <w:tc>
          <w:tcPr>
            <w:tcW w:w="3192" w:type="dxa"/>
            <w:shd w:val="clear" w:color="auto" w:fill="FFFFFF"/>
          </w:tcPr>
          <w:p w14:paraId="74B0EB3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 (кг)</w:t>
            </w:r>
          </w:p>
        </w:tc>
        <w:tc>
          <w:tcPr>
            <w:tcW w:w="3192" w:type="dxa"/>
            <w:shd w:val="clear" w:color="auto" w:fill="FFFFFF"/>
          </w:tcPr>
          <w:p w14:paraId="423D1F4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1182</w:t>
            </w:r>
          </w:p>
        </w:tc>
        <w:tc>
          <w:tcPr>
            <w:tcW w:w="3192" w:type="dxa"/>
            <w:shd w:val="clear" w:color="auto" w:fill="FFFFFF"/>
          </w:tcPr>
          <w:p w14:paraId="3DE5055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1050</w:t>
            </w:r>
          </w:p>
        </w:tc>
      </w:tr>
      <w:tr w:rsidR="004D4663" w:rsidRPr="00070ADE" w14:paraId="6DFCE0E0" w14:textId="77777777">
        <w:tc>
          <w:tcPr>
            <w:tcW w:w="3192" w:type="dxa"/>
            <w:shd w:val="clear" w:color="auto" w:fill="FFFFFF"/>
          </w:tcPr>
          <w:p w14:paraId="09AC4F6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 (км/ч)</w:t>
            </w:r>
          </w:p>
        </w:tc>
        <w:tc>
          <w:tcPr>
            <w:tcW w:w="3192" w:type="dxa"/>
            <w:shd w:val="clear" w:color="auto" w:fill="FFFFFF"/>
          </w:tcPr>
          <w:p w14:paraId="326F53D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168</w:t>
            </w:r>
          </w:p>
        </w:tc>
        <w:tc>
          <w:tcPr>
            <w:tcW w:w="3192" w:type="dxa"/>
            <w:shd w:val="clear" w:color="auto" w:fill="FFFFFF"/>
          </w:tcPr>
          <w:p w14:paraId="73F08A7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151</w:t>
            </w:r>
          </w:p>
        </w:tc>
      </w:tr>
      <w:tr w:rsidR="004D4663" w:rsidRPr="00070ADE" w14:paraId="6A89C98C" w14:textId="77777777">
        <w:tc>
          <w:tcPr>
            <w:tcW w:w="3192" w:type="dxa"/>
            <w:shd w:val="clear" w:color="auto" w:fill="FFFFFF"/>
          </w:tcPr>
          <w:p w14:paraId="194BF6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1000 м (мин)</w:t>
            </w:r>
          </w:p>
        </w:tc>
        <w:tc>
          <w:tcPr>
            <w:tcW w:w="3192" w:type="dxa"/>
            <w:shd w:val="clear" w:color="auto" w:fill="FFFFFF"/>
          </w:tcPr>
          <w:p w14:paraId="122C04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w:t>
            </w:r>
          </w:p>
        </w:tc>
        <w:tc>
          <w:tcPr>
            <w:tcW w:w="3192" w:type="dxa"/>
            <w:shd w:val="clear" w:color="auto" w:fill="FFFFFF"/>
          </w:tcPr>
          <w:p w14:paraId="3DBF2F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w:t>
            </w:r>
          </w:p>
        </w:tc>
      </w:tr>
      <w:tr w:rsidR="004D4663" w:rsidRPr="00070ADE" w14:paraId="6D78F216" w14:textId="77777777">
        <w:tc>
          <w:tcPr>
            <w:tcW w:w="3192" w:type="dxa"/>
            <w:tcBorders>
              <w:bottom w:val="single" w:sz="12" w:space="0" w:color="auto"/>
            </w:tcBorders>
            <w:shd w:val="clear" w:color="auto" w:fill="FFFFFF"/>
          </w:tcPr>
          <w:p w14:paraId="4305DED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(м)</w:t>
            </w:r>
          </w:p>
        </w:tc>
        <w:tc>
          <w:tcPr>
            <w:tcW w:w="3192" w:type="dxa"/>
            <w:tcBorders>
              <w:bottom w:val="single" w:sz="12" w:space="0" w:color="auto"/>
            </w:tcBorders>
            <w:shd w:val="clear" w:color="auto" w:fill="FFFFFF"/>
          </w:tcPr>
          <w:p w14:paraId="5343D0C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2900</w:t>
            </w:r>
          </w:p>
        </w:tc>
        <w:tc>
          <w:tcPr>
            <w:tcW w:w="3192" w:type="dxa"/>
            <w:tcBorders>
              <w:bottom w:val="single" w:sz="12" w:space="0" w:color="auto"/>
            </w:tcBorders>
            <w:shd w:val="clear" w:color="auto" w:fill="FFFFFF"/>
          </w:tcPr>
          <w:p w14:paraId="6BAD2BD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3000</w:t>
            </w:r>
          </w:p>
        </w:tc>
      </w:tr>
    </w:tbl>
    <w:p w14:paraId="53EC1B5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предложили доработать: в ча</w:t>
      </w:r>
      <w:r w:rsidRPr="00070ADE">
        <w:rPr>
          <w:rFonts w:ascii="Times New Roman" w:hAnsi="Times New Roman"/>
          <w:color w:val="000000" w:themeColor="text1"/>
          <w:sz w:val="16"/>
          <w:szCs w:val="16"/>
        </w:rPr>
        <w:softHyphen/>
        <w:t>стности, по рекомендации главного конст</w:t>
      </w:r>
      <w:r w:rsidRPr="00070ADE">
        <w:rPr>
          <w:rFonts w:ascii="Times New Roman" w:hAnsi="Times New Roman"/>
          <w:color w:val="000000" w:themeColor="text1"/>
          <w:sz w:val="16"/>
          <w:szCs w:val="16"/>
        </w:rPr>
        <w:softHyphen/>
        <w:t>руктора Н. Н. Поликарпова, было решено усилить фюзеляж в районе выреза пасса</w:t>
      </w:r>
      <w:r w:rsidRPr="00070ADE">
        <w:rPr>
          <w:rFonts w:ascii="Times New Roman" w:hAnsi="Times New Roman"/>
          <w:color w:val="000000" w:themeColor="text1"/>
          <w:sz w:val="16"/>
          <w:szCs w:val="16"/>
        </w:rPr>
        <w:softHyphen/>
        <w:t>жирской кабины. При проведении дорабо</w:t>
      </w:r>
      <w:r w:rsidRPr="00070ADE">
        <w:rPr>
          <w:rFonts w:ascii="Times New Roman" w:hAnsi="Times New Roman"/>
          <w:color w:val="000000" w:themeColor="text1"/>
          <w:sz w:val="16"/>
          <w:szCs w:val="16"/>
        </w:rPr>
        <w:softHyphen/>
        <w:t>ток в числе прочего отрегулировали фо</w:t>
      </w:r>
      <w:r w:rsidRPr="00070ADE">
        <w:rPr>
          <w:rFonts w:ascii="Times New Roman" w:hAnsi="Times New Roman"/>
          <w:color w:val="000000" w:themeColor="text1"/>
          <w:sz w:val="16"/>
          <w:szCs w:val="16"/>
        </w:rPr>
        <w:softHyphen/>
        <w:t>нарь кабины пилота, установили стопор от</w:t>
      </w:r>
      <w:r w:rsidRPr="00070ADE">
        <w:rPr>
          <w:rFonts w:ascii="Times New Roman" w:hAnsi="Times New Roman"/>
          <w:color w:val="000000" w:themeColor="text1"/>
          <w:sz w:val="16"/>
          <w:szCs w:val="16"/>
        </w:rPr>
        <w:softHyphen/>
        <w:t>крытого положения двери, перенесли элек</w:t>
      </w:r>
      <w:r w:rsidRPr="00070ADE">
        <w:rPr>
          <w:rFonts w:ascii="Times New Roman" w:hAnsi="Times New Roman"/>
          <w:color w:val="000000" w:themeColor="text1"/>
          <w:sz w:val="16"/>
          <w:szCs w:val="16"/>
        </w:rPr>
        <w:softHyphen/>
        <w:t>трощиток, произвели более тщательную регулировку коробки крыльев и управле</w:t>
      </w:r>
      <w:r w:rsidRPr="00070ADE">
        <w:rPr>
          <w:rFonts w:ascii="Times New Roman" w:hAnsi="Times New Roman"/>
          <w:color w:val="000000" w:themeColor="text1"/>
          <w:sz w:val="16"/>
          <w:szCs w:val="16"/>
        </w:rPr>
        <w:softHyphen/>
        <w:t>ния, окрасили капот двигателя в более тем</w:t>
      </w:r>
      <w:r w:rsidRPr="00070ADE">
        <w:rPr>
          <w:rFonts w:ascii="Times New Roman" w:hAnsi="Times New Roman"/>
          <w:color w:val="000000" w:themeColor="text1"/>
          <w:sz w:val="16"/>
          <w:szCs w:val="16"/>
        </w:rPr>
        <w:softHyphen/>
        <w:t>ный цвет. Все эти работы проделали в трех</w:t>
      </w:r>
      <w:r w:rsidRPr="00070ADE">
        <w:rPr>
          <w:rFonts w:ascii="Times New Roman" w:hAnsi="Times New Roman"/>
          <w:color w:val="000000" w:themeColor="text1"/>
          <w:sz w:val="16"/>
          <w:szCs w:val="16"/>
        </w:rPr>
        <w:softHyphen/>
        <w:t>дневный срок до 21 февраля 1944 г. в мас</w:t>
      </w:r>
      <w:r w:rsidRPr="00070ADE">
        <w:rPr>
          <w:rFonts w:ascii="Times New Roman" w:hAnsi="Times New Roman"/>
          <w:color w:val="000000" w:themeColor="text1"/>
          <w:sz w:val="16"/>
          <w:szCs w:val="16"/>
        </w:rPr>
        <w:softHyphen/>
        <w:t>терских НИИ ВВС, а затем передали само</w:t>
      </w:r>
      <w:r w:rsidRPr="00070ADE">
        <w:rPr>
          <w:rFonts w:ascii="Times New Roman" w:hAnsi="Times New Roman"/>
          <w:color w:val="000000" w:themeColor="text1"/>
          <w:sz w:val="16"/>
          <w:szCs w:val="16"/>
        </w:rPr>
        <w:softHyphen/>
        <w:t>лет в 3-ю Воздушную Армию для дальней</w:t>
      </w:r>
      <w:r w:rsidRPr="00070ADE">
        <w:rPr>
          <w:rFonts w:ascii="Times New Roman" w:hAnsi="Times New Roman"/>
          <w:color w:val="000000" w:themeColor="text1"/>
          <w:sz w:val="16"/>
          <w:szCs w:val="16"/>
        </w:rPr>
        <w:softHyphen/>
        <w:t>шей эксплуатации (11085).</w:t>
      </w:r>
    </w:p>
    <w:p w14:paraId="23E2DC3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E42B18" w14:textId="77777777" w:rsidR="00C76DF2" w:rsidRPr="00C94B78" w:rsidRDefault="00C76DF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16 февраля 1944 года в течение двух последующих дней в ходе испытаний У-2 лимузина, переоборудованного из серийного №5842, в НИИ ВВС произвели 18 полетов, из них шесть — ночью. Испыта</w:t>
      </w:r>
      <w:r w:rsidRPr="00C94B78">
        <w:rPr>
          <w:rFonts w:ascii="Times New Roman" w:hAnsi="Times New Roman"/>
          <w:color w:val="0070C0"/>
          <w:sz w:val="16"/>
          <w:szCs w:val="16"/>
        </w:rPr>
        <w:softHyphen/>
        <w:t>ния вел инженер-майор Синельников, кроме него в облете машины участвовал генерал- майор П.М.Стефановский.</w:t>
      </w:r>
    </w:p>
    <w:p w14:paraId="4A55FB9A" w14:textId="77777777" w:rsidR="00C76DF2" w:rsidRPr="00C94B78" w:rsidRDefault="00C76DF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сравнении со связным У-2 №3211, испы</w:t>
      </w:r>
      <w:r w:rsidRPr="00C94B78">
        <w:rPr>
          <w:rFonts w:ascii="Times New Roman" w:hAnsi="Times New Roman"/>
          <w:color w:val="0070C0"/>
          <w:sz w:val="16"/>
          <w:szCs w:val="16"/>
        </w:rPr>
        <w:softHyphen/>
        <w:t>танным в НИИ ВВС в январе 1943 года «лиму</w:t>
      </w:r>
      <w:r w:rsidRPr="00C94B78">
        <w:rPr>
          <w:rFonts w:ascii="Times New Roman" w:hAnsi="Times New Roman"/>
          <w:color w:val="0070C0"/>
          <w:sz w:val="16"/>
          <w:szCs w:val="16"/>
        </w:rPr>
        <w:softHyphen/>
        <w:t>зин» № 5842 показал следующие характери</w:t>
      </w:r>
      <w:r w:rsidRPr="00C94B78">
        <w:rPr>
          <w:rFonts w:ascii="Times New Roman" w:hAnsi="Times New Roman"/>
          <w:color w:val="0070C0"/>
          <w:sz w:val="16"/>
          <w:szCs w:val="16"/>
        </w:rPr>
        <w:softHyphen/>
        <w:t>стики:</w:t>
      </w:r>
    </w:p>
    <w:tbl>
      <w:tblPr>
        <w:tblOverlap w:val="neve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1695"/>
        <w:gridCol w:w="1397"/>
        <w:gridCol w:w="882"/>
      </w:tblGrid>
      <w:tr w:rsidR="00C76DF2" w:rsidRPr="00C94B78" w14:paraId="3CF2AE67" w14:textId="77777777" w:rsidTr="00D752DA">
        <w:trPr>
          <w:trHeight w:hRule="exact" w:val="320"/>
        </w:trPr>
        <w:tc>
          <w:tcPr>
            <w:tcW w:w="1695" w:type="dxa"/>
            <w:shd w:val="clear" w:color="auto" w:fill="FFFFFF"/>
            <w:vAlign w:val="bottom"/>
          </w:tcPr>
          <w:p w14:paraId="5FA23283" w14:textId="77777777" w:rsidR="00C76DF2" w:rsidRPr="00C94B78" w:rsidRDefault="00C76DF2" w:rsidP="00B56F90">
            <w:pPr>
              <w:spacing w:after="0" w:line="240" w:lineRule="auto"/>
              <w:jc w:val="both"/>
              <w:rPr>
                <w:rFonts w:ascii="Times New Roman" w:hAnsi="Times New Roman"/>
                <w:color w:val="0070C0"/>
                <w:sz w:val="16"/>
                <w:szCs w:val="16"/>
              </w:rPr>
            </w:pPr>
          </w:p>
        </w:tc>
        <w:tc>
          <w:tcPr>
            <w:tcW w:w="1397" w:type="dxa"/>
            <w:shd w:val="clear" w:color="auto" w:fill="FFFFFF"/>
            <w:vAlign w:val="bottom"/>
          </w:tcPr>
          <w:p w14:paraId="6C78B72F" w14:textId="77777777" w:rsidR="00C76DF2" w:rsidRPr="00C94B78" w:rsidRDefault="00C76DF2" w:rsidP="00B56F90">
            <w:pPr>
              <w:pStyle w:val="affffff9"/>
              <w:ind w:firstLine="0"/>
              <w:jc w:val="both"/>
              <w:rPr>
                <w:rFonts w:ascii="Times New Roman" w:hAnsi="Times New Roman" w:cs="Times New Roman"/>
                <w:color w:val="0070C0"/>
                <w:sz w:val="16"/>
                <w:szCs w:val="16"/>
              </w:rPr>
            </w:pPr>
            <w:r w:rsidRPr="00C94B78">
              <w:rPr>
                <w:rFonts w:ascii="Times New Roman" w:hAnsi="Times New Roman" w:cs="Times New Roman"/>
                <w:color w:val="0070C0"/>
                <w:sz w:val="16"/>
                <w:szCs w:val="16"/>
              </w:rPr>
              <w:t xml:space="preserve">«Лимузин» </w:t>
            </w:r>
          </w:p>
        </w:tc>
        <w:tc>
          <w:tcPr>
            <w:tcW w:w="882" w:type="dxa"/>
            <w:shd w:val="clear" w:color="auto" w:fill="FFFFFF"/>
            <w:vAlign w:val="bottom"/>
          </w:tcPr>
          <w:p w14:paraId="6E187FFB" w14:textId="77777777" w:rsidR="00C76DF2" w:rsidRPr="00C94B78" w:rsidRDefault="00C76DF2" w:rsidP="00B56F90">
            <w:pPr>
              <w:pStyle w:val="affffff9"/>
              <w:ind w:firstLine="0"/>
              <w:jc w:val="both"/>
              <w:rPr>
                <w:rFonts w:ascii="Times New Roman" w:hAnsi="Times New Roman" w:cs="Times New Roman"/>
                <w:color w:val="0070C0"/>
                <w:sz w:val="16"/>
                <w:szCs w:val="16"/>
              </w:rPr>
            </w:pPr>
            <w:r w:rsidRPr="00C94B78">
              <w:rPr>
                <w:rFonts w:ascii="Times New Roman" w:hAnsi="Times New Roman" w:cs="Times New Roman"/>
                <w:color w:val="0070C0"/>
                <w:sz w:val="16"/>
                <w:szCs w:val="16"/>
              </w:rPr>
              <w:t xml:space="preserve">У-2 </w:t>
            </w:r>
          </w:p>
        </w:tc>
      </w:tr>
      <w:tr w:rsidR="00C76DF2" w:rsidRPr="00C94B78" w14:paraId="1C6FC25A" w14:textId="77777777" w:rsidTr="00D752DA">
        <w:trPr>
          <w:trHeight w:hRule="exact" w:val="320"/>
        </w:trPr>
        <w:tc>
          <w:tcPr>
            <w:tcW w:w="1695" w:type="dxa"/>
            <w:shd w:val="clear" w:color="auto" w:fill="FFFFFF"/>
            <w:vAlign w:val="bottom"/>
          </w:tcPr>
          <w:p w14:paraId="451986C0" w14:textId="77777777" w:rsidR="00C76DF2" w:rsidRPr="00C94B78" w:rsidRDefault="00C76DF2" w:rsidP="00B56F90">
            <w:pPr>
              <w:spacing w:after="0" w:line="240" w:lineRule="auto"/>
              <w:jc w:val="both"/>
              <w:rPr>
                <w:rFonts w:ascii="Times New Roman" w:hAnsi="Times New Roman"/>
                <w:color w:val="0070C0"/>
                <w:sz w:val="16"/>
                <w:szCs w:val="16"/>
              </w:rPr>
            </w:pPr>
          </w:p>
          <w:p w14:paraId="7F534BB6" w14:textId="77777777" w:rsidR="00C76DF2" w:rsidRPr="00C94B78" w:rsidRDefault="00C76DF2" w:rsidP="00B56F90">
            <w:pPr>
              <w:spacing w:after="0" w:line="240" w:lineRule="auto"/>
              <w:jc w:val="both"/>
              <w:rPr>
                <w:rFonts w:ascii="Times New Roman" w:hAnsi="Times New Roman"/>
                <w:color w:val="0070C0"/>
                <w:sz w:val="16"/>
                <w:szCs w:val="16"/>
              </w:rPr>
            </w:pPr>
          </w:p>
        </w:tc>
        <w:tc>
          <w:tcPr>
            <w:tcW w:w="1397" w:type="dxa"/>
            <w:shd w:val="clear" w:color="auto" w:fill="FFFFFF"/>
            <w:vAlign w:val="bottom"/>
          </w:tcPr>
          <w:p w14:paraId="398C8EC3" w14:textId="77777777" w:rsidR="00C76DF2" w:rsidRPr="00C94B78" w:rsidRDefault="00C76DF2" w:rsidP="00B56F90">
            <w:pPr>
              <w:pStyle w:val="affffff9"/>
              <w:ind w:firstLine="0"/>
              <w:jc w:val="both"/>
              <w:rPr>
                <w:rFonts w:ascii="Times New Roman" w:hAnsi="Times New Roman" w:cs="Times New Roman"/>
                <w:color w:val="0070C0"/>
                <w:sz w:val="16"/>
                <w:szCs w:val="16"/>
              </w:rPr>
            </w:pPr>
            <w:r w:rsidRPr="00C94B78">
              <w:rPr>
                <w:rFonts w:ascii="Times New Roman" w:hAnsi="Times New Roman" w:cs="Times New Roman"/>
                <w:color w:val="0070C0"/>
                <w:sz w:val="16"/>
                <w:szCs w:val="16"/>
              </w:rPr>
              <w:t>№5842</w:t>
            </w:r>
          </w:p>
        </w:tc>
        <w:tc>
          <w:tcPr>
            <w:tcW w:w="882" w:type="dxa"/>
            <w:shd w:val="clear" w:color="auto" w:fill="FFFFFF"/>
            <w:vAlign w:val="bottom"/>
          </w:tcPr>
          <w:p w14:paraId="604D9C3D" w14:textId="77777777" w:rsidR="00C76DF2" w:rsidRPr="00C94B78" w:rsidRDefault="00C76DF2" w:rsidP="00B56F90">
            <w:pPr>
              <w:pStyle w:val="affffff9"/>
              <w:ind w:firstLine="0"/>
              <w:jc w:val="both"/>
              <w:rPr>
                <w:rFonts w:ascii="Times New Roman" w:hAnsi="Times New Roman" w:cs="Times New Roman"/>
                <w:color w:val="0070C0"/>
                <w:sz w:val="16"/>
                <w:szCs w:val="16"/>
              </w:rPr>
            </w:pPr>
            <w:r w:rsidRPr="00C94B78">
              <w:rPr>
                <w:rFonts w:ascii="Times New Roman" w:hAnsi="Times New Roman" w:cs="Times New Roman"/>
                <w:color w:val="0070C0"/>
                <w:sz w:val="16"/>
                <w:szCs w:val="16"/>
              </w:rPr>
              <w:t>№3211</w:t>
            </w:r>
          </w:p>
        </w:tc>
      </w:tr>
      <w:tr w:rsidR="00C76DF2" w:rsidRPr="00C94B78" w14:paraId="6F1583B2" w14:textId="77777777" w:rsidTr="00D752DA">
        <w:trPr>
          <w:trHeight w:hRule="exact" w:val="320"/>
        </w:trPr>
        <w:tc>
          <w:tcPr>
            <w:tcW w:w="1695" w:type="dxa"/>
            <w:shd w:val="clear" w:color="auto" w:fill="FFFFFF"/>
            <w:vAlign w:val="bottom"/>
          </w:tcPr>
          <w:p w14:paraId="067FC9A5" w14:textId="77777777" w:rsidR="00C76DF2" w:rsidRPr="00C94B78" w:rsidRDefault="00C76DF2" w:rsidP="00B56F90">
            <w:pPr>
              <w:pStyle w:val="affffff9"/>
              <w:ind w:firstLine="0"/>
              <w:jc w:val="both"/>
              <w:rPr>
                <w:rFonts w:ascii="Times New Roman" w:hAnsi="Times New Roman" w:cs="Times New Roman"/>
                <w:color w:val="0070C0"/>
                <w:sz w:val="16"/>
                <w:szCs w:val="16"/>
              </w:rPr>
            </w:pPr>
            <w:r w:rsidRPr="00C94B78">
              <w:rPr>
                <w:rFonts w:ascii="Times New Roman" w:hAnsi="Times New Roman" w:cs="Times New Roman"/>
                <w:color w:val="0070C0"/>
                <w:sz w:val="16"/>
                <w:szCs w:val="16"/>
              </w:rPr>
              <w:t>Вес пустого (кг)</w:t>
            </w:r>
          </w:p>
        </w:tc>
        <w:tc>
          <w:tcPr>
            <w:tcW w:w="1397" w:type="dxa"/>
            <w:shd w:val="clear" w:color="auto" w:fill="FFFFFF"/>
            <w:vAlign w:val="bottom"/>
          </w:tcPr>
          <w:p w14:paraId="6F677556" w14:textId="77777777" w:rsidR="00C76DF2" w:rsidRPr="00C94B78" w:rsidRDefault="00C76DF2" w:rsidP="00B56F90">
            <w:pPr>
              <w:pStyle w:val="affffff9"/>
              <w:ind w:firstLine="0"/>
              <w:jc w:val="both"/>
              <w:rPr>
                <w:rFonts w:ascii="Times New Roman" w:hAnsi="Times New Roman" w:cs="Times New Roman"/>
                <w:color w:val="0070C0"/>
                <w:sz w:val="16"/>
                <w:szCs w:val="16"/>
              </w:rPr>
            </w:pPr>
            <w:r w:rsidRPr="00C94B78">
              <w:rPr>
                <w:rFonts w:ascii="Times New Roman" w:hAnsi="Times New Roman" w:cs="Times New Roman"/>
                <w:color w:val="0070C0"/>
                <w:sz w:val="16"/>
                <w:szCs w:val="16"/>
              </w:rPr>
              <w:t>829</w:t>
            </w:r>
          </w:p>
        </w:tc>
        <w:tc>
          <w:tcPr>
            <w:tcW w:w="882" w:type="dxa"/>
            <w:shd w:val="clear" w:color="auto" w:fill="FFFFFF"/>
            <w:vAlign w:val="bottom"/>
          </w:tcPr>
          <w:p w14:paraId="6F0D5F7F" w14:textId="77777777" w:rsidR="00C76DF2" w:rsidRPr="00C94B78" w:rsidRDefault="00C76DF2" w:rsidP="00B56F90">
            <w:pPr>
              <w:pStyle w:val="affffff9"/>
              <w:ind w:firstLine="0"/>
              <w:jc w:val="both"/>
              <w:rPr>
                <w:rFonts w:ascii="Times New Roman" w:hAnsi="Times New Roman" w:cs="Times New Roman"/>
                <w:color w:val="0070C0"/>
                <w:sz w:val="16"/>
                <w:szCs w:val="16"/>
              </w:rPr>
            </w:pPr>
            <w:r w:rsidRPr="00C94B78">
              <w:rPr>
                <w:rFonts w:ascii="Times New Roman" w:hAnsi="Times New Roman" w:cs="Times New Roman"/>
                <w:color w:val="0070C0"/>
                <w:sz w:val="16"/>
                <w:szCs w:val="16"/>
              </w:rPr>
              <w:t>773</w:t>
            </w:r>
          </w:p>
        </w:tc>
      </w:tr>
      <w:tr w:rsidR="00C76DF2" w:rsidRPr="00C94B78" w14:paraId="07D7FC2F" w14:textId="77777777" w:rsidTr="00D752DA">
        <w:trPr>
          <w:trHeight w:hRule="exact" w:val="227"/>
        </w:trPr>
        <w:tc>
          <w:tcPr>
            <w:tcW w:w="1695" w:type="dxa"/>
            <w:shd w:val="clear" w:color="auto" w:fill="FFFFFF"/>
          </w:tcPr>
          <w:p w14:paraId="276A278C" w14:textId="77777777" w:rsidR="00C76DF2" w:rsidRPr="00C94B78" w:rsidRDefault="00C76DF2" w:rsidP="00B56F90">
            <w:pPr>
              <w:pStyle w:val="affffff9"/>
              <w:ind w:firstLine="0"/>
              <w:jc w:val="both"/>
              <w:rPr>
                <w:rFonts w:ascii="Times New Roman" w:hAnsi="Times New Roman" w:cs="Times New Roman"/>
                <w:color w:val="0070C0"/>
                <w:sz w:val="16"/>
                <w:szCs w:val="16"/>
              </w:rPr>
            </w:pPr>
            <w:r w:rsidRPr="00C94B78">
              <w:rPr>
                <w:rFonts w:ascii="Times New Roman" w:hAnsi="Times New Roman" w:cs="Times New Roman"/>
                <w:color w:val="0070C0"/>
                <w:sz w:val="16"/>
                <w:szCs w:val="16"/>
              </w:rPr>
              <w:t>Полетный вес (кг)</w:t>
            </w:r>
          </w:p>
        </w:tc>
        <w:tc>
          <w:tcPr>
            <w:tcW w:w="1397" w:type="dxa"/>
            <w:shd w:val="clear" w:color="auto" w:fill="FFFFFF"/>
          </w:tcPr>
          <w:p w14:paraId="2E7BDE48" w14:textId="77777777" w:rsidR="00C76DF2" w:rsidRPr="00C94B78" w:rsidRDefault="00C76DF2" w:rsidP="00B56F90">
            <w:pPr>
              <w:pStyle w:val="affffff9"/>
              <w:ind w:firstLine="0"/>
              <w:jc w:val="both"/>
              <w:rPr>
                <w:rFonts w:ascii="Times New Roman" w:hAnsi="Times New Roman" w:cs="Times New Roman"/>
                <w:color w:val="0070C0"/>
                <w:sz w:val="16"/>
                <w:szCs w:val="16"/>
              </w:rPr>
            </w:pPr>
            <w:r w:rsidRPr="00C94B78">
              <w:rPr>
                <w:rFonts w:ascii="Times New Roman" w:hAnsi="Times New Roman" w:cs="Times New Roman"/>
                <w:color w:val="0070C0"/>
                <w:sz w:val="16"/>
                <w:szCs w:val="16"/>
              </w:rPr>
              <w:t>1182</w:t>
            </w:r>
          </w:p>
        </w:tc>
        <w:tc>
          <w:tcPr>
            <w:tcW w:w="882" w:type="dxa"/>
            <w:shd w:val="clear" w:color="auto" w:fill="FFFFFF"/>
          </w:tcPr>
          <w:p w14:paraId="610B4160" w14:textId="77777777" w:rsidR="00C76DF2" w:rsidRPr="00C94B78" w:rsidRDefault="00C76DF2" w:rsidP="00B56F90">
            <w:pPr>
              <w:pStyle w:val="affffff9"/>
              <w:ind w:firstLine="0"/>
              <w:jc w:val="both"/>
              <w:rPr>
                <w:rFonts w:ascii="Times New Roman" w:hAnsi="Times New Roman" w:cs="Times New Roman"/>
                <w:color w:val="0070C0"/>
                <w:sz w:val="16"/>
                <w:szCs w:val="16"/>
              </w:rPr>
            </w:pPr>
            <w:r w:rsidRPr="00C94B78">
              <w:rPr>
                <w:rFonts w:ascii="Times New Roman" w:hAnsi="Times New Roman" w:cs="Times New Roman"/>
                <w:color w:val="0070C0"/>
                <w:sz w:val="16"/>
                <w:szCs w:val="16"/>
              </w:rPr>
              <w:t>1050</w:t>
            </w:r>
          </w:p>
        </w:tc>
      </w:tr>
      <w:tr w:rsidR="00C76DF2" w:rsidRPr="00C94B78" w14:paraId="0388ABD8" w14:textId="77777777" w:rsidTr="00D752DA">
        <w:trPr>
          <w:trHeight w:hRule="exact" w:val="227"/>
        </w:trPr>
        <w:tc>
          <w:tcPr>
            <w:tcW w:w="1695" w:type="dxa"/>
            <w:shd w:val="clear" w:color="auto" w:fill="FFFFFF"/>
          </w:tcPr>
          <w:p w14:paraId="03F257AB" w14:textId="77777777" w:rsidR="00C76DF2" w:rsidRPr="00C94B78" w:rsidRDefault="00C76DF2" w:rsidP="00B56F90">
            <w:pPr>
              <w:pStyle w:val="affffff9"/>
              <w:ind w:firstLine="0"/>
              <w:jc w:val="both"/>
              <w:rPr>
                <w:rFonts w:ascii="Times New Roman" w:hAnsi="Times New Roman" w:cs="Times New Roman"/>
                <w:color w:val="0070C0"/>
                <w:sz w:val="16"/>
                <w:szCs w:val="16"/>
              </w:rPr>
            </w:pPr>
            <w:r w:rsidRPr="00C94B78">
              <w:rPr>
                <w:rFonts w:ascii="Times New Roman" w:hAnsi="Times New Roman" w:cs="Times New Roman"/>
                <w:color w:val="0070C0"/>
                <w:sz w:val="16"/>
                <w:szCs w:val="16"/>
              </w:rPr>
              <w:t>Макс. скорость у земли (км/ч)</w:t>
            </w:r>
          </w:p>
        </w:tc>
        <w:tc>
          <w:tcPr>
            <w:tcW w:w="1397" w:type="dxa"/>
            <w:shd w:val="clear" w:color="auto" w:fill="FFFFFF"/>
          </w:tcPr>
          <w:p w14:paraId="0319DE44" w14:textId="77777777" w:rsidR="00C76DF2" w:rsidRPr="00C94B78" w:rsidRDefault="00C76DF2" w:rsidP="00B56F90">
            <w:pPr>
              <w:pStyle w:val="affffff9"/>
              <w:ind w:firstLine="0"/>
              <w:jc w:val="both"/>
              <w:rPr>
                <w:rFonts w:ascii="Times New Roman" w:hAnsi="Times New Roman" w:cs="Times New Roman"/>
                <w:color w:val="0070C0"/>
                <w:sz w:val="16"/>
                <w:szCs w:val="16"/>
              </w:rPr>
            </w:pPr>
            <w:r w:rsidRPr="00C94B78">
              <w:rPr>
                <w:rFonts w:ascii="Times New Roman" w:hAnsi="Times New Roman" w:cs="Times New Roman"/>
                <w:color w:val="0070C0"/>
                <w:sz w:val="16"/>
                <w:szCs w:val="16"/>
              </w:rPr>
              <w:t>168</w:t>
            </w:r>
          </w:p>
        </w:tc>
        <w:tc>
          <w:tcPr>
            <w:tcW w:w="882" w:type="dxa"/>
            <w:shd w:val="clear" w:color="auto" w:fill="FFFFFF"/>
          </w:tcPr>
          <w:p w14:paraId="12709173" w14:textId="77777777" w:rsidR="00C76DF2" w:rsidRPr="00C94B78" w:rsidRDefault="00C76DF2" w:rsidP="00B56F90">
            <w:pPr>
              <w:pStyle w:val="affffff9"/>
              <w:ind w:firstLine="0"/>
              <w:jc w:val="both"/>
              <w:rPr>
                <w:rFonts w:ascii="Times New Roman" w:hAnsi="Times New Roman" w:cs="Times New Roman"/>
                <w:color w:val="0070C0"/>
                <w:sz w:val="16"/>
                <w:szCs w:val="16"/>
              </w:rPr>
            </w:pPr>
            <w:r w:rsidRPr="00C94B78">
              <w:rPr>
                <w:rFonts w:ascii="Times New Roman" w:hAnsi="Times New Roman" w:cs="Times New Roman"/>
                <w:color w:val="0070C0"/>
                <w:sz w:val="16"/>
                <w:szCs w:val="16"/>
              </w:rPr>
              <w:t>151</w:t>
            </w:r>
          </w:p>
        </w:tc>
      </w:tr>
      <w:tr w:rsidR="00C76DF2" w:rsidRPr="00C94B78" w14:paraId="118D31D8" w14:textId="77777777" w:rsidTr="00D752DA">
        <w:trPr>
          <w:trHeight w:hRule="exact" w:val="227"/>
        </w:trPr>
        <w:tc>
          <w:tcPr>
            <w:tcW w:w="1695" w:type="dxa"/>
            <w:shd w:val="clear" w:color="auto" w:fill="FFFFFF"/>
          </w:tcPr>
          <w:p w14:paraId="2D353764" w14:textId="77777777" w:rsidR="00C76DF2" w:rsidRPr="00C94B78" w:rsidRDefault="00C76DF2" w:rsidP="00B56F90">
            <w:pPr>
              <w:pStyle w:val="affffff9"/>
              <w:ind w:firstLine="0"/>
              <w:jc w:val="both"/>
              <w:rPr>
                <w:rFonts w:ascii="Times New Roman" w:hAnsi="Times New Roman" w:cs="Times New Roman"/>
                <w:color w:val="0070C0"/>
                <w:sz w:val="16"/>
                <w:szCs w:val="16"/>
              </w:rPr>
            </w:pPr>
            <w:r w:rsidRPr="00C94B78">
              <w:rPr>
                <w:rFonts w:ascii="Times New Roman" w:hAnsi="Times New Roman" w:cs="Times New Roman"/>
                <w:color w:val="0070C0"/>
                <w:sz w:val="16"/>
                <w:szCs w:val="16"/>
              </w:rPr>
              <w:t>Время набора высоты 1000 м (мин)</w:t>
            </w:r>
          </w:p>
        </w:tc>
        <w:tc>
          <w:tcPr>
            <w:tcW w:w="1397" w:type="dxa"/>
            <w:shd w:val="clear" w:color="auto" w:fill="FFFFFF"/>
          </w:tcPr>
          <w:p w14:paraId="6D9ABA76" w14:textId="77777777" w:rsidR="00C76DF2" w:rsidRPr="00C94B78" w:rsidRDefault="00C76DF2" w:rsidP="00B56F90">
            <w:pPr>
              <w:pStyle w:val="affffff9"/>
              <w:ind w:firstLine="0"/>
              <w:jc w:val="both"/>
              <w:rPr>
                <w:rFonts w:ascii="Times New Roman" w:hAnsi="Times New Roman" w:cs="Times New Roman"/>
                <w:color w:val="0070C0"/>
                <w:sz w:val="16"/>
                <w:szCs w:val="16"/>
              </w:rPr>
            </w:pPr>
            <w:r w:rsidRPr="00C94B78">
              <w:rPr>
                <w:rFonts w:ascii="Times New Roman" w:hAnsi="Times New Roman" w:cs="Times New Roman"/>
                <w:color w:val="0070C0"/>
                <w:sz w:val="16"/>
                <w:szCs w:val="16"/>
              </w:rPr>
              <w:t>8,0</w:t>
            </w:r>
          </w:p>
        </w:tc>
        <w:tc>
          <w:tcPr>
            <w:tcW w:w="882" w:type="dxa"/>
            <w:shd w:val="clear" w:color="auto" w:fill="FFFFFF"/>
          </w:tcPr>
          <w:p w14:paraId="63F0377A" w14:textId="77777777" w:rsidR="00C76DF2" w:rsidRPr="00C94B78" w:rsidRDefault="00C76DF2" w:rsidP="00B56F90">
            <w:pPr>
              <w:pStyle w:val="affffff9"/>
              <w:ind w:firstLine="0"/>
              <w:jc w:val="both"/>
              <w:rPr>
                <w:rFonts w:ascii="Times New Roman" w:hAnsi="Times New Roman" w:cs="Times New Roman"/>
                <w:color w:val="0070C0"/>
                <w:sz w:val="16"/>
                <w:szCs w:val="16"/>
              </w:rPr>
            </w:pPr>
            <w:r w:rsidRPr="00C94B78">
              <w:rPr>
                <w:rFonts w:ascii="Times New Roman" w:hAnsi="Times New Roman" w:cs="Times New Roman"/>
                <w:color w:val="0070C0"/>
                <w:sz w:val="16"/>
                <w:szCs w:val="16"/>
              </w:rPr>
              <w:t>9,0</w:t>
            </w:r>
          </w:p>
        </w:tc>
      </w:tr>
      <w:tr w:rsidR="00C76DF2" w:rsidRPr="00C94B78" w14:paraId="724FADE2" w14:textId="77777777" w:rsidTr="00D752DA">
        <w:trPr>
          <w:trHeight w:hRule="exact" w:val="227"/>
        </w:trPr>
        <w:tc>
          <w:tcPr>
            <w:tcW w:w="1695" w:type="dxa"/>
            <w:shd w:val="clear" w:color="auto" w:fill="FFFFFF"/>
          </w:tcPr>
          <w:p w14:paraId="70BDDBDF" w14:textId="77777777" w:rsidR="00C76DF2" w:rsidRPr="00C94B78" w:rsidRDefault="00C76DF2" w:rsidP="00B56F90">
            <w:pPr>
              <w:pStyle w:val="affffff9"/>
              <w:ind w:firstLine="0"/>
              <w:jc w:val="both"/>
              <w:rPr>
                <w:rFonts w:ascii="Times New Roman" w:hAnsi="Times New Roman" w:cs="Times New Roman"/>
                <w:color w:val="0070C0"/>
                <w:sz w:val="16"/>
                <w:szCs w:val="16"/>
              </w:rPr>
            </w:pPr>
            <w:r w:rsidRPr="00C94B78">
              <w:rPr>
                <w:rFonts w:ascii="Times New Roman" w:hAnsi="Times New Roman" w:cs="Times New Roman"/>
                <w:color w:val="0070C0"/>
                <w:sz w:val="16"/>
                <w:szCs w:val="16"/>
              </w:rPr>
              <w:t>Практический потолок (м)</w:t>
            </w:r>
          </w:p>
        </w:tc>
        <w:tc>
          <w:tcPr>
            <w:tcW w:w="1397" w:type="dxa"/>
            <w:shd w:val="clear" w:color="auto" w:fill="FFFFFF"/>
          </w:tcPr>
          <w:p w14:paraId="3EA8E0E4" w14:textId="77777777" w:rsidR="00C76DF2" w:rsidRPr="00C94B78" w:rsidRDefault="00C76DF2" w:rsidP="00B56F90">
            <w:pPr>
              <w:pStyle w:val="affffff9"/>
              <w:ind w:firstLine="0"/>
              <w:jc w:val="both"/>
              <w:rPr>
                <w:rFonts w:ascii="Times New Roman" w:hAnsi="Times New Roman" w:cs="Times New Roman"/>
                <w:color w:val="0070C0"/>
                <w:sz w:val="16"/>
                <w:szCs w:val="16"/>
              </w:rPr>
            </w:pPr>
            <w:r w:rsidRPr="00C94B78">
              <w:rPr>
                <w:rFonts w:ascii="Times New Roman" w:hAnsi="Times New Roman" w:cs="Times New Roman"/>
                <w:color w:val="0070C0"/>
                <w:sz w:val="16"/>
                <w:szCs w:val="16"/>
              </w:rPr>
              <w:t>2900</w:t>
            </w:r>
          </w:p>
        </w:tc>
        <w:tc>
          <w:tcPr>
            <w:tcW w:w="882" w:type="dxa"/>
            <w:shd w:val="clear" w:color="auto" w:fill="FFFFFF"/>
          </w:tcPr>
          <w:p w14:paraId="6FC84D70" w14:textId="77777777" w:rsidR="00C76DF2" w:rsidRPr="00C94B78" w:rsidRDefault="00C76DF2" w:rsidP="00B56F90">
            <w:pPr>
              <w:pStyle w:val="affffff9"/>
              <w:ind w:firstLine="0"/>
              <w:jc w:val="both"/>
              <w:rPr>
                <w:rFonts w:ascii="Times New Roman" w:hAnsi="Times New Roman" w:cs="Times New Roman"/>
                <w:color w:val="0070C0"/>
                <w:sz w:val="16"/>
                <w:szCs w:val="16"/>
              </w:rPr>
            </w:pPr>
            <w:r w:rsidRPr="00C94B78">
              <w:rPr>
                <w:rFonts w:ascii="Times New Roman" w:hAnsi="Times New Roman" w:cs="Times New Roman"/>
                <w:color w:val="0070C0"/>
                <w:sz w:val="16"/>
                <w:szCs w:val="16"/>
              </w:rPr>
              <w:t>3000</w:t>
            </w:r>
          </w:p>
        </w:tc>
      </w:tr>
    </w:tbl>
    <w:p w14:paraId="75CE9C07" w14:textId="77777777" w:rsidR="00C76DF2" w:rsidRPr="00C94B78" w:rsidRDefault="00C76DF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Общая оценка самолета была положитель</w:t>
      </w:r>
      <w:r w:rsidRPr="00C94B78">
        <w:rPr>
          <w:rFonts w:ascii="Times New Roman" w:hAnsi="Times New Roman"/>
          <w:color w:val="0070C0"/>
          <w:sz w:val="16"/>
          <w:szCs w:val="16"/>
        </w:rPr>
        <w:softHyphen/>
        <w:t>ной. Особо подчеркивалось, что из существо</w:t>
      </w:r>
      <w:r w:rsidRPr="00C94B78">
        <w:rPr>
          <w:rFonts w:ascii="Times New Roman" w:hAnsi="Times New Roman"/>
          <w:color w:val="0070C0"/>
          <w:sz w:val="16"/>
          <w:szCs w:val="16"/>
        </w:rPr>
        <w:softHyphen/>
        <w:t>вавших «лимузинов» этот наиболее отвечает назначению: выполнен культурно, обладает комфортной закрытой кабиной с хорошим обзором и связью между летчиком и пасса</w:t>
      </w:r>
      <w:r w:rsidRPr="00C94B78">
        <w:rPr>
          <w:rFonts w:ascii="Times New Roman" w:hAnsi="Times New Roman"/>
          <w:color w:val="0070C0"/>
          <w:sz w:val="16"/>
          <w:szCs w:val="16"/>
        </w:rPr>
        <w:softHyphen/>
        <w:t>жиром. Одновременно был отмечен и ряд не</w:t>
      </w:r>
      <w:r w:rsidRPr="00C94B78">
        <w:rPr>
          <w:rFonts w:ascii="Times New Roman" w:hAnsi="Times New Roman"/>
          <w:color w:val="0070C0"/>
          <w:sz w:val="16"/>
          <w:szCs w:val="16"/>
        </w:rPr>
        <w:softHyphen/>
        <w:t>доработок: в кабине пилота задувает через противопожарную перегородку, свет от пла</w:t>
      </w:r>
      <w:r w:rsidRPr="00C94B78">
        <w:rPr>
          <w:rFonts w:ascii="Times New Roman" w:hAnsi="Times New Roman"/>
          <w:color w:val="0070C0"/>
          <w:sz w:val="16"/>
          <w:szCs w:val="16"/>
        </w:rPr>
        <w:softHyphen/>
        <w:t>фона пассажирской кабины дает блики на пе</w:t>
      </w:r>
      <w:r w:rsidRPr="00C94B78">
        <w:rPr>
          <w:rFonts w:ascii="Times New Roman" w:hAnsi="Times New Roman"/>
          <w:color w:val="0070C0"/>
          <w:sz w:val="16"/>
          <w:szCs w:val="16"/>
        </w:rPr>
        <w:softHyphen/>
        <w:t>реднем козырьке кабины пилота, плохо за</w:t>
      </w:r>
      <w:r w:rsidRPr="00C94B78">
        <w:rPr>
          <w:rFonts w:ascii="Times New Roman" w:hAnsi="Times New Roman"/>
          <w:color w:val="0070C0"/>
          <w:sz w:val="16"/>
          <w:szCs w:val="16"/>
        </w:rPr>
        <w:softHyphen/>
        <w:t>крывается фонарь. П.М.Стефановский, как человек высокого роста, отметил, что его го</w:t>
      </w:r>
      <w:r w:rsidRPr="00C94B78">
        <w:rPr>
          <w:rFonts w:ascii="Times New Roman" w:hAnsi="Times New Roman"/>
          <w:color w:val="0070C0"/>
          <w:sz w:val="16"/>
          <w:szCs w:val="16"/>
        </w:rPr>
        <w:softHyphen/>
        <w:t>лова упирается в потолок.</w:t>
      </w:r>
    </w:p>
    <w:p w14:paraId="1244AC29" w14:textId="77777777" w:rsidR="00C76DF2" w:rsidRPr="00C94B78" w:rsidRDefault="00C76DF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Самолет предложили доработать, в частно</w:t>
      </w:r>
      <w:r w:rsidRPr="00C94B78">
        <w:rPr>
          <w:rFonts w:ascii="Times New Roman" w:hAnsi="Times New Roman"/>
          <w:color w:val="0070C0"/>
          <w:sz w:val="16"/>
          <w:szCs w:val="16"/>
        </w:rPr>
        <w:softHyphen/>
        <w:t>сти — по рекомендации главного конструкто</w:t>
      </w:r>
      <w:r w:rsidRPr="00C94B78">
        <w:rPr>
          <w:rFonts w:ascii="Times New Roman" w:hAnsi="Times New Roman"/>
          <w:color w:val="0070C0"/>
          <w:sz w:val="16"/>
          <w:szCs w:val="16"/>
        </w:rPr>
        <w:softHyphen/>
      </w:r>
    </w:p>
    <w:p w14:paraId="6F8D5EDC" w14:textId="77777777" w:rsidR="00C76DF2" w:rsidRPr="00C94B78" w:rsidRDefault="00C76DF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ра Н.Н.Поликарпова — дополнительно уси</w:t>
      </w:r>
      <w:r w:rsidRPr="00C94B78">
        <w:rPr>
          <w:rFonts w:ascii="Times New Roman" w:hAnsi="Times New Roman"/>
          <w:color w:val="0070C0"/>
          <w:sz w:val="16"/>
          <w:szCs w:val="16"/>
        </w:rPr>
        <w:softHyphen/>
        <w:t>лить фюзеляж в районе выреза пассажир</w:t>
      </w:r>
      <w:r w:rsidRPr="00C94B78">
        <w:rPr>
          <w:rFonts w:ascii="Times New Roman" w:hAnsi="Times New Roman"/>
          <w:color w:val="0070C0"/>
          <w:sz w:val="16"/>
          <w:szCs w:val="16"/>
        </w:rPr>
        <w:softHyphen/>
        <w:t>ской кабины. В процессе доработок, кроме прочего, отрегулировали фонарь кабины пи</w:t>
      </w:r>
      <w:r w:rsidRPr="00C94B78">
        <w:rPr>
          <w:rFonts w:ascii="Times New Roman" w:hAnsi="Times New Roman"/>
          <w:color w:val="0070C0"/>
          <w:sz w:val="16"/>
          <w:szCs w:val="16"/>
        </w:rPr>
        <w:softHyphen/>
        <w:t>лота, установили стопор открытого положе</w:t>
      </w:r>
      <w:r w:rsidRPr="00C94B78">
        <w:rPr>
          <w:rFonts w:ascii="Times New Roman" w:hAnsi="Times New Roman"/>
          <w:color w:val="0070C0"/>
          <w:sz w:val="16"/>
          <w:szCs w:val="16"/>
        </w:rPr>
        <w:softHyphen/>
        <w:t>ния двери, перенесли электрощиток, произ</w:t>
      </w:r>
      <w:r w:rsidRPr="00C94B78">
        <w:rPr>
          <w:rFonts w:ascii="Times New Roman" w:hAnsi="Times New Roman"/>
          <w:color w:val="0070C0"/>
          <w:sz w:val="16"/>
          <w:szCs w:val="16"/>
        </w:rPr>
        <w:softHyphen/>
        <w:t>вели более тщательную регулировку коробки крыльев и управления, капот двигателя окра</w:t>
      </w:r>
      <w:r w:rsidRPr="00C94B78">
        <w:rPr>
          <w:rFonts w:ascii="Times New Roman" w:hAnsi="Times New Roman"/>
          <w:color w:val="0070C0"/>
          <w:sz w:val="16"/>
          <w:szCs w:val="16"/>
        </w:rPr>
        <w:softHyphen/>
        <w:t>сили в более темный цвет. Все эти работы проделали в трехдневный срок до 21 февраля 1944 года в мастерских НИИ ВВС. Затем само</w:t>
      </w:r>
      <w:r w:rsidRPr="00C94B78">
        <w:rPr>
          <w:rFonts w:ascii="Times New Roman" w:hAnsi="Times New Roman"/>
          <w:color w:val="0070C0"/>
          <w:sz w:val="16"/>
          <w:szCs w:val="16"/>
        </w:rPr>
        <w:softHyphen/>
        <w:t>лет передали в 3-ю Воздушную армию для дальнейшей эксплуатации (24969).</w:t>
      </w:r>
    </w:p>
    <w:p w14:paraId="1D7D0015" w14:textId="77777777" w:rsidR="00C76DF2" w:rsidRPr="00C94B78" w:rsidRDefault="00C76DF2" w:rsidP="00B56F90">
      <w:pPr>
        <w:spacing w:after="0" w:line="240" w:lineRule="auto"/>
        <w:jc w:val="both"/>
        <w:rPr>
          <w:rFonts w:ascii="Times New Roman" w:hAnsi="Times New Roman"/>
          <w:color w:val="0070C0"/>
          <w:sz w:val="16"/>
          <w:szCs w:val="16"/>
        </w:rPr>
      </w:pPr>
    </w:p>
    <w:p w14:paraId="5126CF2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8E59B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99CD9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февраля 1944 вышло Постановление ГКО № 5183 О восстановлении Харьковского завода им. Ленина Наркомтяжмаша. РГАНИР, Фонд ГКО, д. 209, лл. 44-50,51-53 (11012).</w:t>
      </w:r>
    </w:p>
    <w:p w14:paraId="5672202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3487ED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февраля 1944 вышло Распоряжение ГКО № 5186 [О создании в I полугодии 1944 г. 15 бронеавтомобилей на железнодорожном ходу.] (7189, 61).</w:t>
      </w:r>
    </w:p>
    <w:p w14:paraId="3F35DB1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21C51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февраля 1944 вышло Распоряжение ГКО № 5187. О выделении 1050 красноармейцев на постоянную работу по производству пороховой целлюлозы. РГАНИР, Фонд ГКО, д. 209, лл. 62 (11012).</w:t>
      </w:r>
    </w:p>
    <w:p w14:paraId="7A91BEE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45526F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февраля 1944 вышло Постановление ГКО № 5188 О ремонте тракторов в подсобных хозяйствах. РГАНИР, Фонд ГКО, д. 209, лл. 63 (11012).</w:t>
      </w:r>
    </w:p>
    <w:p w14:paraId="11C5A2F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60A66A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февраля 1944 вышло Постановление ГКО № 5189 О строительстве Орджоникидзевской гидроэлектростанции на р. Терек. РГАНИР, Фонд ГКО, д. 209, лл. 64-65,66-70 (11012).</w:t>
      </w:r>
    </w:p>
    <w:p w14:paraId="3811DF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0B722F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февраля 1944 вышло Постановление ГКО № 5190 Об обеспечении энергетическим оборудованием пусковых электростанций НКЭС в I квартале 1944 года. РГАНИР, Фонд ГКО, д. 209, лл. 71-74,75-83 (11012).</w:t>
      </w:r>
    </w:p>
    <w:p w14:paraId="2CC60B5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4AD003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февраля 1944 вышло Постановление ГКО № 5191 Об организации серийного производства приборов управления торпедной стрельбой "Трап" на заводе № 251 Наркомсудпрома. РГАНИР, Фонд ГКО, д. 209, лл. 84-86,87 (11012).</w:t>
      </w:r>
    </w:p>
    <w:p w14:paraId="3BEEE78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734BE7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февраля 1944 вышло Постановление ГКО № 5192 Об обеспечении производства пихтового масла в артелях промкооперации РСФСР. (7189, 88-91,92-100).</w:t>
      </w:r>
    </w:p>
    <w:p w14:paraId="1D7BE3A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DA34C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февраля 1944 вышло Постановление ГКО № 5193 Об организации производства сельскохозяйственных локомобилей на Людиновском машиностроительном заводе Наркомтяжмаша. (7189, 101-111,112-117).</w:t>
      </w:r>
    </w:p>
    <w:p w14:paraId="32274A0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4EB3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февраля 1944 вышло Постановление ГКО № 5194 О восстановлении элеваторно-складского хозяйства и мукомольно-крупяной промышленности Наркомзага в районах, освобожденных от немецкой оккупации. РГАНИР, Фонд ГКО, д. 209, лл. 118-125,126-147 (11012).</w:t>
      </w:r>
    </w:p>
    <w:p w14:paraId="6E38A7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E8E5E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февраля 1944 вышло Постановление ГКО № 5195 О восстановлении производства мельнично-элеваторного оборудования на заводах Наркомминвооружения. РГАНИР, Фонд ГКО, д. 209, лл. 148-154,155-169 (11012).</w:t>
      </w:r>
    </w:p>
    <w:p w14:paraId="06CB371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D0CBC0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февраля 1944 вышло Распоряжение ГКО № 5196. О распространении п. 20 постановления ГКО № 4556 от 13 ноября 1943 г. на работников НКМТП РСФСР, занятых на заготовках деловой древесины для предприятий союзной промышленности и крепежного леса для НКУП. РГАНИР, Фонд ГКО, д. 209, лл. 170 (11012).</w:t>
      </w:r>
    </w:p>
    <w:p w14:paraId="2C972A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593E2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февраля 1944 вышло Распоряжение ГКО № 5185 [О передаче пожарной охраны Гомеля в ведение НКВД СССР.] (7189, 60).</w:t>
      </w:r>
    </w:p>
    <w:p w14:paraId="00B2E70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56484A" w14:textId="77777777" w:rsidR="009863CA"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B20410A" w14:textId="77777777" w:rsidR="009863CA" w:rsidRPr="00070ADE" w:rsidRDefault="009863CA"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6BC8C3"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16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1501E085"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16 февраля южнее и юго-восточнее города Гдов наши войска, преодолевая сопротивление и контратаки противника, продолжали вести наступательные бои, в ходе которых заняли несколько населённых пунктов и среди них Самолва, Чудские Заходы, Люботеж, Дудино, Мошнино, Бараново и железнодорожную станцию Ямм.</w:t>
      </w:r>
    </w:p>
    <w:p w14:paraId="040F1594"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Луга наши войска с боями продвигались вперёд и заняли более 30 населённых пунктов, в том числе Овинец, Лышницы, Малое Захонье, Борки, Озерцы, Крени, Замошье и железнодорожную станцию Лямцево.</w:t>
      </w:r>
    </w:p>
    <w:p w14:paraId="51BB7846"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Звенигородка наши войска вели успешные бои по уничтожению окружённой группировки противника и, сжимая кольцо окружения, овладели сильно укреплёнными опорными пунктами его обороны Яблоновка, Дацки, Прутильцы, Тараща. Противник предпринимал неоднократные попытки прорвать кольцо окружения, но был отбит, понеся при этом огромные потери в живой силе. Одновременно наши войска успешно отбивали контратаки пехоты и танков противника, стремившихся пробиться на помощь окружённой группировке в районе юго-западнее Звенигородка.</w:t>
      </w:r>
    </w:p>
    <w:p w14:paraId="20020766"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08E29219"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15 февраля наши войска на всех фронтах подбили и уничтожили 128 немецких танков. В воздушных боях и огнём зенитной артиллерии сбито 23 самолёта противника.</w:t>
      </w:r>
    </w:p>
    <w:p w14:paraId="770B8BD7"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и юго-восточнее города Гдов наши войска вели наступательные бои и заняли несколько населённых пунктов. Части Н-ского соединения в результате ожесточённых боёв овладели сильно укреплённый опорным пунктом обороны немцев железнодорожной станцией Ямм. Захвачены трофеи и пленные. В другом районе наши войска, продвигаясь вперёд, уничтожили два батальона немецкой пехоты. Захвачено у немцев 18 орудий, несколько десятков пулемётов и 3 склада с боеприпасами и продовольствием. Отряд наших лыжников, преследуя отступающего противника, обходным манёвром перерезал дорогу, по которой двигался большой обоз немцев. Перебив охрану обоза, лыжники захватили до 400 повозок с военными грузами.</w:t>
      </w:r>
    </w:p>
    <w:p w14:paraId="1100B13E"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Луга наши войска продолжали наступление и заняли более 30 населённых пунктов. Противник предпринял несколько контратак, которые были отбиты с большими для него потерями. Части Н-ского соединения за день боёв уничтожили 600 немецких солдат и офицеров, две артиллерийские батареи и захватили 11 орудий, 36 пулемётов, 15 автомашин и 70 повозок с грузами. На другом участке наши подвижные отряды разгромили гарнизон опорного пункта немцев. Уничтожены две роты гитлеровцев. Взяты пленные.</w:t>
      </w:r>
    </w:p>
    <w:p w14:paraId="629C4DFF"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города Звенигородка наши войска вели успешные бои по ликвидации окружённой группировки противника. Сжимая кольцо окружения, наши войска выбили немцев из населённых пунктов Яблоновка, Дацки, Прутильцы и Тараща. Лишённые возможности свободного манёвра, немцы предприняли отчаянную попытку вырваться из окружения. Мощный артиллерийский огонь преградил дорогу вражеским танкам. Наши бойцы вступили в рукопашную схватку с пехотой противника, следовавшей за танками. Не выдержав удара, немцы поспешно отступили. В этом бою уничтожено свыше 2.500 солдат и офицеров противника. Сожжено и подбито 17 немецких танков. Захвачено большое число пленных. Овладев городом Корсунь-Шевченковский, части Н-ского соединения захватили 18 немецких транспортных самолётов, 20 орудий, 5 танков, 6 складов с боеприпасами и продовольствием. Кроме того, взято несколько десятков парашютов с грузами, сброшенных немецкими самолётами своим окружённым войскам. Юго-западнее Звенигородка наши войска отбивали контратаки противника, пытавшегося пробиться на помощь окружённой группировке. В ходе боёв в течение дня уничтожено до 90 немецких танков и 6 самоходных орудий.</w:t>
      </w:r>
    </w:p>
    <w:p w14:paraId="21690B80"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Краснознамённого Балтийского флота потопила транспорт противника водоизмещением 2 тысячи тонн. Морские лётчики, содействуя наступающим наземным войскам, уничтожили более 100 автомашин, разбили 3 железнодорожных эшелона и взорвали несколько складов противника с боеприпасами.</w:t>
      </w:r>
    </w:p>
    <w:p w14:paraId="55EAFB80"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Латвийский партизанский отряд за полтора месяца пустил под откос 13 немецких воинских эшелонов. В результате крушений разбиты 10 паровозов, 8 платформ и 74 вагона. В одном районе после крушения воинского эшелона гитлеровцы два дня извлекали из-под обломков вагонов трупы своих солдат и офицеров. Партизаны другого латвийского отряда разгромили несколько немецких команд, грабивших латвийские деревни.</w:t>
      </w:r>
    </w:p>
    <w:p w14:paraId="32BF3AB6"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районе Млынова сдалась в плен в полном составе 7 рота 49 пехотного полка 18 венгерской лёгкой пехотной дивизии в составе 116 солдат и 4 офицеров. Пленный командир роты капитан Михаль Ковач заявил: «Венгерские солдаты и офицеры ненавидят немцев. Мы не хотим проливать кровь за фашистскую Германию, но правительство Каллаи насильно отправило нас на фронт. Поражения немецких войск на Восточном фронте радуют венгерских патриотов. Не только солдаты, но и многиеофицеры открыто высказываются за немедленный разрыв с немцами».</w:t>
      </w:r>
    </w:p>
    <w:p w14:paraId="6D3C3075"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другом участке захвачено в плен несколько солдат 102 отдельной венгерской танковой роты. Пленный солдат Ричман рассказал: «102 отдельная танковая рота сформирована в ноябре 1943 года. В январе 1944 года мы прибыли на передовые позиции с задачей прикрыть отход немецких частей. Рота понесла ужасные потери. Все танки выбыли из строя. Немцы, чтобы спасти себя, бросили нас прямо под огонь русской артиллерии».</w:t>
      </w:r>
    </w:p>
    <w:p w14:paraId="391BD843"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Ниже публикуется акт о чудовищных зверствах немецко-фашистских мерзавцев в селе Никольское, Ленинградской области: «Захватив село, немецкие изверги разгромили известную в Ленинградской области психиатрическую лечебницу имени Кащенко, а всех больных умертвили. В лечебнице находилось свыше 1.500 стариков, женщин и подростков. Вечером 19 ноября 1941 года немецкие военные власти объявили медперсоналу, что больные эвакуируются в город Псков. Утром 20 ноября немецкие врачи произвели больным подкожное впрыскивание яда, погрузили их вмашины и увезли к противотанковому рву, в деревню Ручьи. Яд действовал быстро, и многие больные умерли в дороге. Гитлеровцы бросали в ров не только мёртвых, но и тех, в ком ещё теплилась жизнь. Затем фашистские палачи расстреляли главного врача лечебницы Дуброву, врача Дивельтову и других медицинских работников. Гитлеровцы в последнее время начали заметать следы своих преступлений. В ноябре1943 года немцы пригнали к противотанковому рву группу захваченных в плен красноармейцев, заставили их вскрыть массовые могилы, </w:t>
      </w:r>
      <w:r w:rsidRPr="00070ADE">
        <w:rPr>
          <w:rFonts w:ascii="Times New Roman" w:hAnsi="Times New Roman"/>
          <w:color w:val="000000" w:themeColor="text1"/>
          <w:sz w:val="16"/>
          <w:szCs w:val="16"/>
        </w:rPr>
        <w:lastRenderedPageBreak/>
        <w:t>извлечь трупы советских граждан и сжечь их. Затем фашистские людоеды загнали всех пленных бойцов, производивших раскопки могил, в сарай и живьём сожгли их».</w:t>
      </w:r>
    </w:p>
    <w:p w14:paraId="7C446192" w14:textId="37560CEA"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жители села Никольское О.Сафина, П.Карасёва, Е.Евстратова,</w:t>
      </w:r>
      <w:r w:rsidR="00AD702B" w:rsidRPr="00070ADE">
        <w:rPr>
          <w:rFonts w:ascii="Times New Roman" w:hAnsi="Times New Roman"/>
          <w:color w:val="000000" w:themeColor="text1"/>
          <w:sz w:val="16"/>
          <w:szCs w:val="16"/>
        </w:rPr>
        <w:t xml:space="preserve"> З</w:t>
      </w:r>
      <w:r w:rsidRPr="00070ADE">
        <w:rPr>
          <w:rFonts w:ascii="Times New Roman" w:hAnsi="Times New Roman"/>
          <w:color w:val="000000" w:themeColor="text1"/>
          <w:sz w:val="16"/>
          <w:szCs w:val="16"/>
        </w:rPr>
        <w:t>.Максимова, А.Кузьмина и другие.» (15042).</w:t>
      </w:r>
    </w:p>
    <w:p w14:paraId="66601912" w14:textId="77777777" w:rsidR="009863CA" w:rsidRPr="00070ADE" w:rsidRDefault="009863CA" w:rsidP="00B56F90">
      <w:pPr>
        <w:spacing w:after="0" w:line="240" w:lineRule="auto"/>
        <w:jc w:val="both"/>
        <w:rPr>
          <w:rFonts w:ascii="Times New Roman" w:hAnsi="Times New Roman"/>
          <w:color w:val="000000" w:themeColor="text1"/>
          <w:sz w:val="16"/>
          <w:szCs w:val="16"/>
        </w:rPr>
      </w:pPr>
    </w:p>
    <w:p w14:paraId="16A5918A"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февраля 1944 года фельдфебель Эйно Коскинен поднялся в воздух на ЛаГГ-3 на перехват Пе-2 в районе Кинкиева и устья Свири. В указанном районе он обнаружил Пе-2, сопровождаемый парой советских ЛаГГов-3. В завязавшемся бою был сбит один истребитель из 415-го ИАП.</w:t>
      </w:r>
    </w:p>
    <w:p w14:paraId="68CD144D" w14:textId="77777777" w:rsidR="00A53A3E" w:rsidRPr="00070ADE" w:rsidRDefault="00A53A3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Финские ЛаГГи-3 много раз пытались перехватить Пе-2, но всякий раз безрезультатно. Из-за многочисленных технических проблем самолеты часто находились в ремонте. Обычно в строю находился только один истребитель, который и вылетал на перехват (23548).</w:t>
      </w:r>
    </w:p>
    <w:p w14:paraId="1E90BE84" w14:textId="77777777" w:rsidR="00A53A3E" w:rsidRPr="00070ADE" w:rsidRDefault="00A53A3E" w:rsidP="00B56F90">
      <w:pPr>
        <w:spacing w:after="0" w:line="240" w:lineRule="auto"/>
        <w:jc w:val="both"/>
        <w:rPr>
          <w:rFonts w:ascii="Times New Roman" w:hAnsi="Times New Roman"/>
          <w:color w:val="000000" w:themeColor="text1"/>
          <w:sz w:val="16"/>
          <w:szCs w:val="16"/>
        </w:rPr>
      </w:pPr>
    </w:p>
    <w:p w14:paraId="706FC90E" w14:textId="77777777" w:rsidR="00C76DF2" w:rsidRPr="00C94B78" w:rsidRDefault="00C76DF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16 февраля 1944 года фельдфебель Э.Коскинен на LG-1 направился на перехват группы Пе-2, сопровождаемых двумя советскими ЛаГГ-3. Наблюдатели сообщали, что советские самолеты находятся в районе Кинкиева. Коскинен обнаружил противника и сбил один истребитель (25057).</w:t>
      </w:r>
    </w:p>
    <w:p w14:paraId="0B810ABC" w14:textId="77777777" w:rsidR="00C76DF2" w:rsidRPr="00C94B78" w:rsidRDefault="00C76DF2" w:rsidP="00B56F90">
      <w:pPr>
        <w:spacing w:after="0" w:line="240" w:lineRule="auto"/>
        <w:jc w:val="both"/>
        <w:rPr>
          <w:rFonts w:ascii="Times New Roman" w:hAnsi="Times New Roman"/>
          <w:color w:val="0070C0"/>
          <w:sz w:val="16"/>
          <w:szCs w:val="16"/>
        </w:rPr>
      </w:pPr>
    </w:p>
    <w:p w14:paraId="0FAEAB46" w14:textId="77777777" w:rsidR="009863CA"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3AED46D7" w14:textId="77777777" w:rsidR="009863CA" w:rsidRPr="00070ADE" w:rsidRDefault="009863CA"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C3789A"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16 февраля</w:t>
      </w:r>
      <w:r w:rsidRPr="00070ADE">
        <w:rPr>
          <w:rFonts w:ascii="Times New Roman" w:hAnsi="Times New Roman"/>
          <w:color w:val="000000" w:themeColor="text1"/>
          <w:sz w:val="16"/>
          <w:szCs w:val="16"/>
        </w:rPr>
        <w:t xml:space="preserve"> в 1944 году представитель правительства Финляндии Ю.Паасикиви связался с послом СССР в Швеции А.М.Коллонтай с целью обсудить условия прекращения Финляндией военных действий и выхода ее из войны (15042).</w:t>
      </w:r>
    </w:p>
    <w:p w14:paraId="54F68542" w14:textId="77777777" w:rsidR="009863CA" w:rsidRPr="00070ADE" w:rsidRDefault="009863CA" w:rsidP="00B56F90">
      <w:pPr>
        <w:spacing w:after="0" w:line="240" w:lineRule="auto"/>
        <w:jc w:val="both"/>
        <w:rPr>
          <w:rFonts w:ascii="Times New Roman" w:hAnsi="Times New Roman"/>
          <w:color w:val="000000" w:themeColor="text1"/>
          <w:sz w:val="16"/>
          <w:szCs w:val="16"/>
        </w:rPr>
      </w:pPr>
    </w:p>
    <w:p w14:paraId="1063229A" w14:textId="77777777" w:rsidR="003712D9" w:rsidRPr="00D0391D"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w:t>
      </w:r>
      <w:r w:rsidRPr="00D0391D">
        <w:rPr>
          <w:rFonts w:ascii="Times New Roman" w:hAnsi="Times New Roman"/>
          <w:i/>
          <w:iCs/>
          <w:color w:val="000000" w:themeColor="text1"/>
          <w:sz w:val="16"/>
          <w:szCs w:val="16"/>
        </w:rPr>
        <w:t xml:space="preserve"> </w:t>
      </w:r>
      <w:r w:rsidRPr="00070ADE">
        <w:rPr>
          <w:rFonts w:ascii="Times New Roman" w:hAnsi="Times New Roman"/>
          <w:i/>
          <w:iCs/>
          <w:color w:val="000000" w:themeColor="text1"/>
          <w:sz w:val="16"/>
          <w:szCs w:val="16"/>
        </w:rPr>
        <w:t>рубежом</w:t>
      </w:r>
      <w:r w:rsidRPr="00D0391D">
        <w:rPr>
          <w:rFonts w:ascii="Times New Roman" w:hAnsi="Times New Roman"/>
          <w:i/>
          <w:iCs/>
          <w:color w:val="000000" w:themeColor="text1"/>
          <w:sz w:val="16"/>
          <w:szCs w:val="16"/>
        </w:rPr>
        <w:t>:</w:t>
      </w:r>
    </w:p>
    <w:p w14:paraId="46331775" w14:textId="77777777" w:rsidR="003712D9" w:rsidRPr="00D0391D"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7FD851" w14:textId="77777777" w:rsidR="00664EC9" w:rsidRPr="00C94B78" w:rsidRDefault="00664EC9"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16 февраля 1944 г. состоялся первый полет модернизированного самолета</w:t>
      </w:r>
      <w:r w:rsidRPr="00C94B78">
        <w:rPr>
          <w:rStyle w:val="30"/>
          <w:color w:val="0070C0"/>
          <w:sz w:val="16"/>
          <w:szCs w:val="16"/>
        </w:rPr>
        <w:t xml:space="preserve"> </w:t>
      </w:r>
      <w:r w:rsidRPr="00C94B78">
        <w:rPr>
          <w:rStyle w:val="aff1"/>
          <w:rFonts w:ascii="Times New Roman" w:hAnsi="Times New Roman" w:cs="Times New Roman"/>
          <w:color w:val="0070C0"/>
          <w:spacing w:val="0"/>
          <w:sz w:val="16"/>
          <w:szCs w:val="16"/>
        </w:rPr>
        <w:t>Р-80. В связи с задержками поставок реактив</w:t>
      </w:r>
      <w:r w:rsidRPr="00C94B78">
        <w:rPr>
          <w:rStyle w:val="aff1"/>
          <w:rFonts w:ascii="Times New Roman" w:hAnsi="Times New Roman" w:cs="Times New Roman"/>
          <w:color w:val="0070C0"/>
          <w:spacing w:val="0"/>
          <w:sz w:val="16"/>
          <w:szCs w:val="16"/>
        </w:rPr>
        <w:softHyphen/>
        <w:t>ных двигателей из Великобритании на самолетах опытной се</w:t>
      </w:r>
      <w:r w:rsidRPr="00C94B78">
        <w:rPr>
          <w:rStyle w:val="aff1"/>
          <w:rFonts w:ascii="Times New Roman" w:hAnsi="Times New Roman" w:cs="Times New Roman"/>
          <w:color w:val="0070C0"/>
          <w:spacing w:val="0"/>
          <w:sz w:val="16"/>
          <w:szCs w:val="16"/>
        </w:rPr>
        <w:softHyphen/>
        <w:t xml:space="preserve">рии </w:t>
      </w:r>
      <w:r w:rsidRPr="00C94B78">
        <w:rPr>
          <w:rStyle w:val="aff1"/>
          <w:rFonts w:ascii="Times New Roman" w:hAnsi="Times New Roman" w:cs="Times New Roman"/>
          <w:color w:val="0070C0"/>
          <w:spacing w:val="0"/>
          <w:sz w:val="16"/>
          <w:szCs w:val="16"/>
          <w:lang w:val="en-US"/>
        </w:rPr>
        <w:t>YP</w:t>
      </w:r>
      <w:r w:rsidRPr="00C94B78">
        <w:rPr>
          <w:rStyle w:val="aff1"/>
          <w:rFonts w:ascii="Times New Roman" w:hAnsi="Times New Roman" w:cs="Times New Roman"/>
          <w:color w:val="0070C0"/>
          <w:spacing w:val="0"/>
          <w:sz w:val="16"/>
          <w:szCs w:val="16"/>
        </w:rPr>
        <w:t>-80</w:t>
      </w:r>
      <w:r w:rsidRPr="00C94B78">
        <w:rPr>
          <w:rStyle w:val="aff1"/>
          <w:rFonts w:ascii="Times New Roman" w:hAnsi="Times New Roman" w:cs="Times New Roman"/>
          <w:color w:val="0070C0"/>
          <w:spacing w:val="0"/>
          <w:sz w:val="16"/>
          <w:szCs w:val="16"/>
          <w:lang w:val="en-US"/>
        </w:rPr>
        <w:t>A</w:t>
      </w:r>
      <w:r w:rsidRPr="00C94B78">
        <w:rPr>
          <w:rStyle w:val="aff1"/>
          <w:rFonts w:ascii="Times New Roman" w:hAnsi="Times New Roman" w:cs="Times New Roman"/>
          <w:color w:val="0070C0"/>
          <w:spacing w:val="0"/>
          <w:sz w:val="16"/>
          <w:szCs w:val="16"/>
        </w:rPr>
        <w:t xml:space="preserve"> были установлены двигатели американского про</w:t>
      </w:r>
      <w:r w:rsidRPr="00C94B78">
        <w:rPr>
          <w:rStyle w:val="aff1"/>
          <w:rFonts w:ascii="Times New Roman" w:hAnsi="Times New Roman" w:cs="Times New Roman"/>
          <w:color w:val="0070C0"/>
          <w:spacing w:val="0"/>
          <w:sz w:val="16"/>
          <w:szCs w:val="16"/>
        </w:rPr>
        <w:softHyphen/>
        <w:t xml:space="preserve">изводства </w:t>
      </w:r>
      <w:r w:rsidRPr="00C94B78">
        <w:rPr>
          <w:rStyle w:val="aff1"/>
          <w:rFonts w:ascii="Times New Roman" w:hAnsi="Times New Roman" w:cs="Times New Roman"/>
          <w:color w:val="0070C0"/>
          <w:spacing w:val="0"/>
          <w:sz w:val="16"/>
          <w:szCs w:val="16"/>
          <w:lang w:val="en-US"/>
        </w:rPr>
        <w:t>J</w:t>
      </w:r>
      <w:r w:rsidRPr="00C94B78">
        <w:rPr>
          <w:rStyle w:val="aff1"/>
          <w:rFonts w:ascii="Times New Roman" w:hAnsi="Times New Roman" w:cs="Times New Roman"/>
          <w:color w:val="0070C0"/>
          <w:spacing w:val="0"/>
          <w:sz w:val="16"/>
          <w:szCs w:val="16"/>
        </w:rPr>
        <w:t>33 и по требованию военных усилено вооружение. Для увеличения дальности полета на концах крыла предусмо</w:t>
      </w:r>
      <w:r w:rsidRPr="00C94B78">
        <w:rPr>
          <w:rStyle w:val="aff1"/>
          <w:rFonts w:ascii="Times New Roman" w:hAnsi="Times New Roman" w:cs="Times New Roman"/>
          <w:color w:val="0070C0"/>
          <w:spacing w:val="0"/>
          <w:sz w:val="16"/>
          <w:szCs w:val="16"/>
        </w:rPr>
        <w:softHyphen/>
        <w:t>трели подвеску дополнительных топливных баков. Длина фю</w:t>
      </w:r>
      <w:r w:rsidRPr="00C94B78">
        <w:rPr>
          <w:rStyle w:val="aff1"/>
          <w:rFonts w:ascii="Times New Roman" w:hAnsi="Times New Roman" w:cs="Times New Roman"/>
          <w:color w:val="0070C0"/>
          <w:spacing w:val="0"/>
          <w:sz w:val="16"/>
          <w:szCs w:val="16"/>
        </w:rPr>
        <w:softHyphen/>
        <w:t>зеляжа под новый двигатель была увеличена на 510 мм, форма воздухозаборников также была изменена, а перед входом в них поставили отсекатель пограничного слоя. Размах крыла уве</w:t>
      </w:r>
      <w:r w:rsidRPr="00C94B78">
        <w:rPr>
          <w:rStyle w:val="aff1"/>
          <w:rFonts w:ascii="Times New Roman" w:hAnsi="Times New Roman" w:cs="Times New Roman"/>
          <w:color w:val="0070C0"/>
          <w:spacing w:val="0"/>
          <w:sz w:val="16"/>
          <w:szCs w:val="16"/>
        </w:rPr>
        <w:softHyphen/>
        <w:t>личился на 600 мм.</w:t>
      </w:r>
    </w:p>
    <w:p w14:paraId="2F9A75F1" w14:textId="77777777" w:rsidR="00664EC9" w:rsidRPr="00C94B78" w:rsidRDefault="00664EC9"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 xml:space="preserve">По его образцу построили тринадцать пред- серийных </w:t>
      </w:r>
      <w:r w:rsidRPr="00C94B78">
        <w:rPr>
          <w:rStyle w:val="aff1"/>
          <w:rFonts w:ascii="Times New Roman" w:hAnsi="Times New Roman" w:cs="Times New Roman"/>
          <w:color w:val="0070C0"/>
          <w:spacing w:val="0"/>
          <w:sz w:val="16"/>
          <w:szCs w:val="16"/>
          <w:lang w:val="en-US"/>
        </w:rPr>
        <w:t>YP</w:t>
      </w:r>
      <w:r w:rsidRPr="00C94B78">
        <w:rPr>
          <w:rStyle w:val="aff1"/>
          <w:rFonts w:ascii="Times New Roman" w:hAnsi="Times New Roman" w:cs="Times New Roman"/>
          <w:color w:val="0070C0"/>
          <w:spacing w:val="0"/>
          <w:sz w:val="16"/>
          <w:szCs w:val="16"/>
        </w:rPr>
        <w:t>-80</w:t>
      </w:r>
      <w:r w:rsidRPr="00C94B78">
        <w:rPr>
          <w:rStyle w:val="aff1"/>
          <w:rFonts w:ascii="Times New Roman" w:hAnsi="Times New Roman" w:cs="Times New Roman"/>
          <w:color w:val="0070C0"/>
          <w:spacing w:val="0"/>
          <w:sz w:val="16"/>
          <w:szCs w:val="16"/>
          <w:lang w:val="en-US"/>
        </w:rPr>
        <w:t>A</w:t>
      </w:r>
      <w:r w:rsidRPr="00C94B78">
        <w:rPr>
          <w:rStyle w:val="aff1"/>
          <w:rFonts w:ascii="Times New Roman" w:hAnsi="Times New Roman" w:cs="Times New Roman"/>
          <w:color w:val="0070C0"/>
          <w:spacing w:val="0"/>
          <w:sz w:val="16"/>
          <w:szCs w:val="16"/>
        </w:rPr>
        <w:t>. Первый из них поднялся в воздух 13 сентя</w:t>
      </w:r>
      <w:r w:rsidRPr="00C94B78">
        <w:rPr>
          <w:rStyle w:val="aff1"/>
          <w:rFonts w:ascii="Times New Roman" w:hAnsi="Times New Roman" w:cs="Times New Roman"/>
          <w:color w:val="0070C0"/>
          <w:spacing w:val="0"/>
          <w:sz w:val="16"/>
          <w:szCs w:val="16"/>
        </w:rPr>
        <w:softHyphen/>
        <w:t>бря 1944 г. Испытания проходили успешно, а на фронте пилоты все чаще стали встречаться с немецкими реактивными самоле</w:t>
      </w:r>
      <w:r w:rsidRPr="00C94B78">
        <w:rPr>
          <w:rStyle w:val="aff1"/>
          <w:rFonts w:ascii="Times New Roman" w:hAnsi="Times New Roman" w:cs="Times New Roman"/>
          <w:color w:val="0070C0"/>
          <w:spacing w:val="0"/>
          <w:sz w:val="16"/>
          <w:szCs w:val="16"/>
        </w:rPr>
        <w:softHyphen/>
        <w:t>тами. ВВС начали торопить фирму с серийным производством истребителя, получившего название «Шутинг Стар» («Падаю</w:t>
      </w:r>
      <w:r w:rsidRPr="00C94B78">
        <w:rPr>
          <w:rStyle w:val="aff1"/>
          <w:rFonts w:ascii="Times New Roman" w:hAnsi="Times New Roman" w:cs="Times New Roman"/>
          <w:color w:val="0070C0"/>
          <w:spacing w:val="0"/>
          <w:sz w:val="16"/>
          <w:szCs w:val="16"/>
        </w:rPr>
        <w:softHyphen/>
        <w:t>щая звезда»).</w:t>
      </w:r>
    </w:p>
    <w:p w14:paraId="53AB6236" w14:textId="77777777" w:rsidR="00664EC9" w:rsidRPr="00C94B78" w:rsidRDefault="00664EC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 xml:space="preserve">ВВС отправили четыре </w:t>
      </w:r>
      <w:r w:rsidRPr="00C94B78">
        <w:rPr>
          <w:rStyle w:val="aff1"/>
          <w:rFonts w:ascii="Times New Roman" w:hAnsi="Times New Roman" w:cs="Times New Roman"/>
          <w:color w:val="0070C0"/>
          <w:spacing w:val="0"/>
          <w:sz w:val="16"/>
          <w:szCs w:val="16"/>
          <w:lang w:val="en-US"/>
        </w:rPr>
        <w:t>YP</w:t>
      </w:r>
      <w:r w:rsidRPr="00C94B78">
        <w:rPr>
          <w:rStyle w:val="aff1"/>
          <w:rFonts w:ascii="Times New Roman" w:hAnsi="Times New Roman" w:cs="Times New Roman"/>
          <w:color w:val="0070C0"/>
          <w:spacing w:val="0"/>
          <w:sz w:val="16"/>
          <w:szCs w:val="16"/>
        </w:rPr>
        <w:t>-80 на Европейский театр военных действий. Два самолета на борту авианосца прибыли в Великобританию и еще два — в Северную Италию. К сожалению, ни один из них не успел встретиться с противником (25675).</w:t>
      </w:r>
    </w:p>
    <w:p w14:paraId="70E38C47" w14:textId="77777777" w:rsidR="00664EC9" w:rsidRPr="00C94B78" w:rsidRDefault="00664EC9" w:rsidP="00B56F90">
      <w:pPr>
        <w:spacing w:after="0" w:line="240" w:lineRule="auto"/>
        <w:jc w:val="both"/>
        <w:rPr>
          <w:rFonts w:ascii="Times New Roman" w:hAnsi="Times New Roman"/>
          <w:color w:val="0070C0"/>
          <w:sz w:val="16"/>
          <w:szCs w:val="16"/>
        </w:rPr>
      </w:pPr>
    </w:p>
    <w:p w14:paraId="3117AF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February 16 1944 Germans counter-attack against Anzio beachhead (1050).</w:t>
      </w:r>
    </w:p>
    <w:p w14:paraId="74A5833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CA797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февраля 1944 немцы начали контратаки против американских войск, высадившихся в Анцио (1050).</w:t>
      </w:r>
    </w:p>
    <w:p w14:paraId="147527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7534D"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16 февраля</w:t>
      </w:r>
      <w:r w:rsidRPr="00070ADE">
        <w:rPr>
          <w:rFonts w:ascii="Times New Roman" w:hAnsi="Times New Roman"/>
          <w:color w:val="000000" w:themeColor="text1"/>
          <w:sz w:val="16"/>
          <w:szCs w:val="16"/>
        </w:rPr>
        <w:t xml:space="preserve"> в 1944 году (16-20 февраля) немецкие войска попытались ликвидировать плацдарм англо-американских войск, высадившихся в районе Анцио, оттеснили их на 5 км к морю, но не смогли ликвидировать плацдарм (15042).</w:t>
      </w:r>
    </w:p>
    <w:p w14:paraId="7B93A123" w14:textId="77777777" w:rsidR="009863CA" w:rsidRPr="00070ADE" w:rsidRDefault="009863CA" w:rsidP="00B56F90">
      <w:pPr>
        <w:spacing w:after="0" w:line="240" w:lineRule="auto"/>
        <w:jc w:val="both"/>
        <w:rPr>
          <w:rFonts w:ascii="Times New Roman" w:hAnsi="Times New Roman"/>
          <w:color w:val="000000" w:themeColor="text1"/>
          <w:sz w:val="16"/>
          <w:szCs w:val="16"/>
        </w:rPr>
      </w:pPr>
    </w:p>
    <w:p w14:paraId="6999B8C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февраля 1944 Би-Би-Си объявила о создании первой в мире образовательной радиопрограммы для школьников (4962).</w:t>
      </w:r>
    </w:p>
    <w:p w14:paraId="49523D8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1017D8"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B6FC0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3B41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февраля 1944 вышел приказ НКАП N 99 c</w:t>
      </w:r>
    </w:p>
    <w:p w14:paraId="11463EB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приказом Наркома о серийном выпуске самолетов Ил-2 со стрельчатым металлическим крылом:</w:t>
      </w:r>
    </w:p>
    <w:p w14:paraId="4EE178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Директорам заводов 1, 18 и 30 Третьякову, Белянскому и Смирнову к 1 марта 1944 провести стат. испытания одного из первых выпускаемых самолетов по программе:</w:t>
      </w:r>
    </w:p>
    <w:p w14:paraId="3AD8CE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испытание полного размаха крыла с центропланом на случаи А и А'</w:t>
      </w:r>
    </w:p>
    <w:p w14:paraId="2A6E0C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испытание фюзеляжа на случаи Е1 и В + АР</w:t>
      </w:r>
    </w:p>
    <w:p w14:paraId="5ACF3B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испытание шасси, установленного на центроплане на случай E,G и E+F</w:t>
      </w:r>
    </w:p>
    <w:p w14:paraId="5B1D61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Испытание самолета завода 1 провести в лаборатории завода 18. Вес самолета 6200 кг (1663,83).</w:t>
      </w:r>
    </w:p>
    <w:p w14:paraId="1135EBE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A87F3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февраля 1944 года Шахурин писал письмо Сталину.</w:t>
      </w:r>
    </w:p>
    <w:p w14:paraId="47247F6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порядке отчета докладываю:</w:t>
      </w:r>
    </w:p>
    <w:p w14:paraId="5E393F6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Опытный самолет-истребитель Миг конструкции Микояна и Гуревича с мотором АМ-38Ф, построенный на опытном заводе Микояна, прошел 7 января 1944 года государственные испытания в НИИ ВВС.</w:t>
      </w:r>
    </w:p>
    <w:p w14:paraId="554245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при испытании показал максимальную скорость у земли: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0FB5FC6A" w14:textId="77777777">
        <w:tc>
          <w:tcPr>
            <w:tcW w:w="5636" w:type="dxa"/>
          </w:tcPr>
          <w:p w14:paraId="6A65E69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номинальной мощности</w:t>
            </w:r>
          </w:p>
        </w:tc>
        <w:tc>
          <w:tcPr>
            <w:tcW w:w="5636" w:type="dxa"/>
          </w:tcPr>
          <w:p w14:paraId="624BC4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572 км/час</w:t>
            </w:r>
          </w:p>
        </w:tc>
      </w:tr>
      <w:tr w:rsidR="004D4663" w:rsidRPr="00070ADE" w14:paraId="7386EE1F" w14:textId="77777777">
        <w:tc>
          <w:tcPr>
            <w:tcW w:w="5636" w:type="dxa"/>
          </w:tcPr>
          <w:p w14:paraId="53A124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максимальной мощности (форсаж)</w:t>
            </w:r>
          </w:p>
        </w:tc>
        <w:tc>
          <w:tcPr>
            <w:tcW w:w="5636" w:type="dxa"/>
          </w:tcPr>
          <w:p w14:paraId="68006D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608 км/час</w:t>
            </w:r>
          </w:p>
        </w:tc>
      </w:tr>
      <w:tr w:rsidR="004D4663" w:rsidRPr="00070ADE" w14:paraId="08F6FB17" w14:textId="77777777">
        <w:tc>
          <w:tcPr>
            <w:tcW w:w="5636" w:type="dxa"/>
          </w:tcPr>
          <w:p w14:paraId="1A6A1C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высоте 2600 метров:</w:t>
            </w:r>
          </w:p>
        </w:tc>
        <w:tc>
          <w:tcPr>
            <w:tcW w:w="5636" w:type="dxa"/>
          </w:tcPr>
          <w:p w14:paraId="73C934A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A443A9A" w14:textId="77777777">
        <w:tc>
          <w:tcPr>
            <w:tcW w:w="5636" w:type="dxa"/>
          </w:tcPr>
          <w:p w14:paraId="060B48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номинальной мощности</w:t>
            </w:r>
          </w:p>
        </w:tc>
        <w:tc>
          <w:tcPr>
            <w:tcW w:w="5636" w:type="dxa"/>
          </w:tcPr>
          <w:p w14:paraId="79F655B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622 км/час</w:t>
            </w:r>
          </w:p>
        </w:tc>
      </w:tr>
      <w:tr w:rsidR="004D4663" w:rsidRPr="00070ADE" w14:paraId="344B62EE" w14:textId="77777777">
        <w:tc>
          <w:tcPr>
            <w:tcW w:w="5636" w:type="dxa"/>
          </w:tcPr>
          <w:p w14:paraId="26892B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максимальной мощности (форсаж)</w:t>
            </w:r>
          </w:p>
        </w:tc>
        <w:tc>
          <w:tcPr>
            <w:tcW w:w="5636" w:type="dxa"/>
          </w:tcPr>
          <w:p w14:paraId="775288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652 км/час</w:t>
            </w:r>
          </w:p>
        </w:tc>
      </w:tr>
    </w:tbl>
    <w:p w14:paraId="4B1F026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вооружен 4 пушками Швак.</w:t>
      </w:r>
    </w:p>
    <w:p w14:paraId="7FACF1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заключении НИИ ВВС самолет Миг с мотором Ам-38Ф по взлетно-посадочным свойствам и по технике пилотирования прост и доступен для освоения летчиками средней квалификации.</w:t>
      </w:r>
    </w:p>
    <w:p w14:paraId="28C351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самолета прошло испытание удовлетворительно.</w:t>
      </w:r>
    </w:p>
    <w:p w14:paraId="68076F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Такого же типа опытный самолет, оборудованный мотором Ам-39, показал на заводских испытаниях у Микояна скорость у земли, соответствующую скоростям самолета с мотором Ам-38Ф и на высоте 7500 м - 700 км/час.</w:t>
      </w:r>
    </w:p>
    <w:p w14:paraId="0056F1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ближайшее время завод выпускает второй экземпляр этого самолета в варианте высотного истребителя-перехватчика до высоты 14500 м, оборудованный высотной кабиной.</w:t>
      </w:r>
    </w:p>
    <w:p w14:paraId="226EBE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отзывы летчиков испытателей (1825).</w:t>
      </w:r>
    </w:p>
    <w:p w14:paraId="0DA1A48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310B16"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2D83082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DBE2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февраля 1944 г. было подготовлено СООБЩЕНИЕ НАЧАЛЬНИКА ГБТУ КА НАРОДНОМУ КОМИССАРУ ТАНКОВОЙ ПРОМЫШЛЕННОСТИ СССР В. МАЛЫШЕВУ ПО ВОПРОСАМ МОДЕРНИЗАЦИИ ТАНКОВ № 520792</w:t>
      </w:r>
    </w:p>
    <w:p w14:paraId="0C904CF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 июне 1943 г. государственной комиссией испытан и рекомендован на серийное производ</w:t>
      </w:r>
      <w:r w:rsidRPr="00070ADE">
        <w:rPr>
          <w:rFonts w:ascii="Times New Roman" w:hAnsi="Times New Roman"/>
          <w:color w:val="000000" w:themeColor="text1"/>
          <w:sz w:val="16"/>
          <w:szCs w:val="16"/>
        </w:rPr>
        <w:softHyphen/>
        <w:t>ство танковый дымовой прибор для применения дымовых шашек МДШ на танках Т-34 с унификаци</w:t>
      </w:r>
      <w:r w:rsidRPr="00070ADE">
        <w:rPr>
          <w:rFonts w:ascii="Times New Roman" w:hAnsi="Times New Roman"/>
          <w:color w:val="000000" w:themeColor="text1"/>
          <w:sz w:val="16"/>
          <w:szCs w:val="16"/>
        </w:rPr>
        <w:softHyphen/>
        <w:t>ей креплений этого прибора для установки и транспортировки дополнительных топливных баков.</w:t>
      </w:r>
    </w:p>
    <w:p w14:paraId="16E65E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Чертежи для серийного производства отработаны заводом №183, утверждены Наркомтанкопромом и ТУ ГБТУ КА и разосланы заводам-изготовителям танков Т-34.</w:t>
      </w:r>
    </w:p>
    <w:p w14:paraId="1EB4DD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Ваш заместитель т. Зернов в октябре 1943 г. дал указание всем танковым заводам срочно под</w:t>
      </w:r>
      <w:r w:rsidRPr="00070ADE">
        <w:rPr>
          <w:rFonts w:ascii="Times New Roman" w:hAnsi="Times New Roman"/>
          <w:color w:val="000000" w:themeColor="text1"/>
          <w:sz w:val="16"/>
          <w:szCs w:val="16"/>
        </w:rPr>
        <w:softHyphen/>
        <w:t>готовиться к серийному изготовлению и монтажу дымовых приборов.</w:t>
      </w:r>
    </w:p>
    <w:p w14:paraId="1B99610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января с.г. я направил Вам проекты письма на имя т. Берия и постановления о принятии на вооружение дымовых приборов.</w:t>
      </w:r>
    </w:p>
    <w:p w14:paraId="662C35E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Этот материал до сих пор Вам не доложен.</w:t>
      </w:r>
    </w:p>
    <w:p w14:paraId="491C385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Вашего указания отделу главного конструктора НКТП срочно рассмотреть представлен</w:t>
      </w:r>
      <w:r w:rsidRPr="00070ADE">
        <w:rPr>
          <w:rFonts w:ascii="Times New Roman" w:hAnsi="Times New Roman"/>
          <w:color w:val="000000" w:themeColor="text1"/>
          <w:sz w:val="16"/>
          <w:szCs w:val="16"/>
        </w:rPr>
        <w:softHyphen/>
        <w:t>ный мною материал и с Вашим решением возвратить мне.</w:t>
      </w:r>
    </w:p>
    <w:p w14:paraId="5AA9D9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 октября 1943 г. завод № 112 начал выпускать огнеметные танки Т-О34 с увеличенным до 200 л. резервуаром для огнесмеси.</w:t>
      </w:r>
    </w:p>
    <w:p w14:paraId="4115DE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№174 до сих пор продолжает выпускать танки Т-О34 с резервуарами в 100 л., т.к. не имеет указаний НКТП о сроках ввода в производство увеличенного резервуара по чертежам завода №112.</w:t>
      </w:r>
    </w:p>
    <w:p w14:paraId="7F096BD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Протокол утверждения чертежей танка Т-О34 с увеличенным резервуаром и сроками ввода в производство согласован с представителями ГБТУ КА в начале ноября 1943 г., но до сих пор не под</w:t>
      </w:r>
      <w:r w:rsidRPr="00070ADE">
        <w:rPr>
          <w:rFonts w:ascii="Times New Roman" w:hAnsi="Times New Roman"/>
          <w:color w:val="000000" w:themeColor="text1"/>
          <w:sz w:val="16"/>
          <w:szCs w:val="16"/>
        </w:rPr>
        <w:softHyphen/>
        <w:t>писан начальником тех. управления НКТП.</w:t>
      </w:r>
    </w:p>
    <w:p w14:paraId="277B3CA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Вашего указания заводу № 174 срочно перейти на изготовление танков Т-О34 с увеличен</w:t>
      </w:r>
      <w:r w:rsidRPr="00070ADE">
        <w:rPr>
          <w:rFonts w:ascii="Times New Roman" w:hAnsi="Times New Roman"/>
          <w:color w:val="000000" w:themeColor="text1"/>
          <w:sz w:val="16"/>
          <w:szCs w:val="16"/>
        </w:rPr>
        <w:softHyphen/>
        <w:t>ным резервуаром по чертежам завода №112.</w:t>
      </w:r>
    </w:p>
    <w:p w14:paraId="3DD1830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ГБТУ Красной Армии генерал-лейтенант танковых войск Вершинин</w:t>
      </w:r>
    </w:p>
    <w:p w14:paraId="299D0A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ТУ ГБТУ Красной Армии инженер-подполковник Муравич</w:t>
      </w:r>
    </w:p>
    <w:p w14:paraId="08A1D70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2218. Л. 13. Копия (11403).</w:t>
      </w:r>
    </w:p>
    <w:p w14:paraId="43C2652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670900C"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февраля 1944 г. вышел приказ В.А. Малышева, где нарком всю вину возложил на руководство УТЗ и приказывал наказать виновных [1070]. Детальный анализ ситуации со стороны Свердловского обкома выявил следующее. Существенных недостатков на складе завода № 183 обнаружено не было. Кировский завод поставлял в Нижний Тагил двигатели в вагонах или на открытых платформах, установленные на деревянные подставки без упаковки в деревянные ящики, как это делалось в начале 1943 года. Были случаи, когда груз не крепился болтами к подставкам или крепился не всеми болтами. Моторы устанавливались по 3 в ряд поперек состава на расстоянии 100-150 мм друг от друга. Моторы, не укрепленные должным образом, ударялись коллекторами и получали механические повреждения. В случае установки на платформы груз часто покрывался рваным брезентом, поэтому он приходил в снегу. Исходя из этого, УТЗ предъявил ряд требований к Кировскому заводу: упаковывать моторы в ящики; усилить подставки под моторы; погрузку осуществлять только на исправные платформы и должным образом укреплять их; устранить рваный брезент[1071].</w:t>
      </w:r>
    </w:p>
    <w:p w14:paraId="67530688" w14:textId="18ED7EDF"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Налицо дефицит транспортных средств и транспортировочных материалов, который был у Кировского завода. В такой ситуации И.М. Зальцман шел по традиционному для себя пути: выполнять план вопреки всему. У нас нет сомнений, что такое решение директор принимал лично или закрывал глаза на подобную практику. В любом случае он нес за него прямую ответственность. Само поведение его подчиненных в Нижнем Тагиле хорошо показывает их желание отвести от себя все обвинения. С другой стороны, эта история показывает, какого масштаба достиг кризис заготовительного производства. Именно недостаток средств, а не безалаберность работников челябинского завода, заставил отправлять двигатели без должной упаковки.</w:t>
      </w:r>
    </w:p>
    <w:p w14:paraId="772E7801"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Точка в этом конфликте была поставлена наркомом В.А. Малышевым в начале мая 1944 г., когда он своим приказом утвердил условия хранения и транспортировки двигателей. С июня и впоследствии дизельные заводы (Кировский, № 76 и № 77) должны были обеспечивать горячую консервацию моторов и упаковывать их в специальную деревянную тару. Танкосборочные заводы (№ 112, 174 и 183) обязались хранить В-2 в упакованном виде и без специального разрешения не распаковывать. Отдельно Кировскому заводу впредь запрещалось отправлять моторы на открытых платформах, а использовать только крытые вагоны. Главснаб НКТП обеспечивал дизельные производства тарным лесом. Интересно, что свердловский и барнаульский заводы обязывались изготавливать тару сами, для Кировского завода ее должен был делать УЗТМ[1072] (23536).</w:t>
      </w:r>
    </w:p>
    <w:p w14:paraId="4CBEAE15" w14:textId="77777777" w:rsidR="002E58E0" w:rsidRPr="00070ADE" w:rsidRDefault="002E58E0" w:rsidP="00B56F90">
      <w:pPr>
        <w:spacing w:after="0" w:line="240" w:lineRule="auto"/>
        <w:jc w:val="both"/>
        <w:rPr>
          <w:rFonts w:ascii="Times New Roman" w:hAnsi="Times New Roman"/>
          <w:color w:val="000000" w:themeColor="text1"/>
          <w:sz w:val="16"/>
          <w:szCs w:val="16"/>
        </w:rPr>
      </w:pPr>
    </w:p>
    <w:p w14:paraId="13AF8B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февраля 1944 г. был подготовлен ОТЧЕТ О ВОЙСКОВОМ ИСПЫТАНИИ ДЕСАНТНЫХ БРОНЕАВТОМОБИЛЕЙ БА-64 И БА-64 Б В ПЕРИОД С 20 ЯНВАРЯ ПО 15 ФЕВРАЛЯ 1944 ГОДА</w:t>
      </w:r>
    </w:p>
    <w:p w14:paraId="50978E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распоряжения начальника ГБТУ КА за №1167348с от 12 ноября 1943 года в 7-м гвардейском Нежинском механизированном корпусе проведены войсковые испытания десант</w:t>
      </w:r>
      <w:r w:rsidRPr="00070ADE">
        <w:rPr>
          <w:rFonts w:ascii="Times New Roman" w:hAnsi="Times New Roman"/>
          <w:color w:val="000000" w:themeColor="text1"/>
          <w:sz w:val="16"/>
          <w:szCs w:val="16"/>
        </w:rPr>
        <w:softHyphen/>
        <w:t>ных бронеавтомобилей БА-64 с целью:</w:t>
      </w:r>
    </w:p>
    <w:p w14:paraId="614D9B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Проверить удобство размещения экипажа, прочность и надежность работы бронетранспорте</w:t>
      </w:r>
      <w:r w:rsidRPr="00070ADE">
        <w:rPr>
          <w:rFonts w:ascii="Times New Roman" w:hAnsi="Times New Roman"/>
          <w:color w:val="000000" w:themeColor="text1"/>
          <w:sz w:val="16"/>
          <w:szCs w:val="16"/>
        </w:rPr>
        <w:softHyphen/>
        <w:t>ра и способность его буксировать 45-мм противотанковую пушку.</w:t>
      </w:r>
    </w:p>
    <w:p w14:paraId="795CC9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Выяснить целесообразность принятия на вооружение Красной Армии десантного бронеавто</w:t>
      </w:r>
      <w:r w:rsidRPr="00070ADE">
        <w:rPr>
          <w:rFonts w:ascii="Times New Roman" w:hAnsi="Times New Roman"/>
          <w:color w:val="000000" w:themeColor="text1"/>
          <w:sz w:val="16"/>
          <w:szCs w:val="16"/>
        </w:rPr>
        <w:softHyphen/>
        <w:t>мобиля БА-64.</w:t>
      </w:r>
    </w:p>
    <w:p w14:paraId="77A548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войсковые испытания были представлены три десантных бронеавтомобиля, из них два БА-64 (с узкой колеей) и один БА-64-Б (с широкой колеей).</w:t>
      </w:r>
    </w:p>
    <w:p w14:paraId="1AE6C8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w:t>
      </w:r>
    </w:p>
    <w:p w14:paraId="22B407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Десантные бронеавтомобили были испытаны пробегом на 500 км, из которых 200 км по шоссе и 300 км по проселку плохого качества (начало февраля - ранняя весна). Испытания про</w:t>
      </w:r>
      <w:r w:rsidRPr="00070ADE">
        <w:rPr>
          <w:rFonts w:ascii="Times New Roman" w:hAnsi="Times New Roman"/>
          <w:color w:val="000000" w:themeColor="text1"/>
          <w:sz w:val="16"/>
          <w:szCs w:val="16"/>
        </w:rPr>
        <w:softHyphen/>
        <w:t>водились с экипажем 5 человек (водитель и четыре автоматчика) в зимнем обмундировании и полном боевом снаряжении. Каждая машина буксировала 45-мм противотанковую пушку без зарядного ящика на расстояние 200 км (100 км по шоссе и 100 км по проселку).</w:t>
      </w:r>
    </w:p>
    <w:p w14:paraId="6F9904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боевых действиях десантные бронеавтомобили не были, так как корпус находится в резерве.</w:t>
      </w:r>
    </w:p>
    <w:p w14:paraId="5C48906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испытания</w:t>
      </w:r>
    </w:p>
    <w:p w14:paraId="66D81FD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За все время пробега, как по шоссе, так и по проселку, десантный бронеавтомобиль с широкой колеей шел лучше десантного бронеавтомобиля с узкой колеей. На неровностях и косогорах, а также при поворо</w:t>
      </w:r>
      <w:r w:rsidRPr="00070ADE">
        <w:rPr>
          <w:rFonts w:ascii="Times New Roman" w:hAnsi="Times New Roman"/>
          <w:color w:val="000000" w:themeColor="text1"/>
          <w:sz w:val="16"/>
          <w:szCs w:val="16"/>
        </w:rPr>
        <w:softHyphen/>
        <w:t>тах на проселке ширококолейный бронеавтомобиль вел себя устойчивее узкоколейного. При наличии глу</w:t>
      </w:r>
      <w:r w:rsidRPr="00070ADE">
        <w:rPr>
          <w:rFonts w:ascii="Times New Roman" w:hAnsi="Times New Roman"/>
          <w:color w:val="000000" w:themeColor="text1"/>
          <w:sz w:val="16"/>
          <w:szCs w:val="16"/>
        </w:rPr>
        <w:softHyphen/>
        <w:t>бокой дорожной колеи или дорожных выбоин, а также на косогорах узкоколейный бронеавтомобиль имел опасность опрокидывания, поэтому замедлял скорость или делал остановки. Ширококолейный десантный бронеавтомобиль этих недостатков относительно узкоколейного десантного бронеавтомобиля не имел.</w:t>
      </w:r>
    </w:p>
    <w:p w14:paraId="0C4B9C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Буксировка 45-мм противотанковой пушки без зарядного ящика десантным бронеавтомоби</w:t>
      </w:r>
      <w:r w:rsidRPr="00070ADE">
        <w:rPr>
          <w:rFonts w:ascii="Times New Roman" w:hAnsi="Times New Roman"/>
          <w:color w:val="000000" w:themeColor="text1"/>
          <w:sz w:val="16"/>
          <w:szCs w:val="16"/>
        </w:rPr>
        <w:softHyphen/>
        <w:t>лем БА-64 Б по шоссе вполне удовлетворительна. Бронеавтомобиль шел на 3-4 передаче и редко на 1-2 передаче. Буксировка же пушки по проселку затруднительна, движение совершалось на 1-2 передаче и редко на 3-й передаче. Из-за низкого расположения прицепного крюка на бронеавтомо</w:t>
      </w:r>
      <w:r w:rsidRPr="00070ADE">
        <w:rPr>
          <w:rFonts w:ascii="Times New Roman" w:hAnsi="Times New Roman"/>
          <w:color w:val="000000" w:themeColor="text1"/>
          <w:sz w:val="16"/>
          <w:szCs w:val="16"/>
        </w:rPr>
        <w:softHyphen/>
        <w:t>биле были случаи, что пушка сошниками задевала за грунт, в результате чего получались рывки.</w:t>
      </w:r>
    </w:p>
    <w:p w14:paraId="4BB284D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Размещение автоматчиков в корпусе десантного бронеавтомобиля неудовлетворительное. При посадке 4-х человек в зимнем обмундировании и полном боевом снаряжении, бойцы не в состоянии даже повернуться. Выход перевозимой команды автоматчиков через боковые дверцы до выхода води</w:t>
      </w:r>
      <w:r w:rsidRPr="00070ADE">
        <w:rPr>
          <w:rFonts w:ascii="Times New Roman" w:hAnsi="Times New Roman"/>
          <w:color w:val="000000" w:themeColor="text1"/>
          <w:sz w:val="16"/>
          <w:szCs w:val="16"/>
        </w:rPr>
        <w:softHyphen/>
        <w:t>теля из машины невозможен и даже при выходе водителя из машины очень неудобен и занимает много времени. Выход команды автоматчиков через верх корпуса также неудобен и кроме того автоматчики во время выхода через верх корпуса подвержены опасности пулеметного огня или снайпера противника.</w:t>
      </w:r>
    </w:p>
    <w:p w14:paraId="1A9E416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ранении команды в корпусе, раненых очень трудно удалять из корпуса в обстановке обстрела.</w:t>
      </w:r>
    </w:p>
    <w:p w14:paraId="444019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Расположение бензобака в задней части корпуса на половине его высоты очень опасно в пожар</w:t>
      </w:r>
      <w:r w:rsidRPr="00070ADE">
        <w:rPr>
          <w:rFonts w:ascii="Times New Roman" w:hAnsi="Times New Roman"/>
          <w:color w:val="000000" w:themeColor="text1"/>
          <w:sz w:val="16"/>
          <w:szCs w:val="16"/>
        </w:rPr>
        <w:softHyphen/>
        <w:t>ном отношении. При попадании пули или осколка в бензобак и при возникновении пожара команда не в состоянии будет выйти из машины.</w:t>
      </w:r>
    </w:p>
    <w:p w14:paraId="6A2AEA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сравнении десантного бронеавтомобиля БА-64 Б с бронеавтомобилем БА-64 (с башней) и учиты</w:t>
      </w:r>
      <w:r w:rsidRPr="00070ADE">
        <w:rPr>
          <w:rFonts w:ascii="Times New Roman" w:hAnsi="Times New Roman"/>
          <w:color w:val="000000" w:themeColor="text1"/>
          <w:sz w:val="16"/>
          <w:szCs w:val="16"/>
        </w:rPr>
        <w:softHyphen/>
        <w:t>вая опыт боевых действий корпуса нужно отметить, что БА-64 (с башней) для переброски автоматчиков непригоден. За время боевых действий 7-го гвардейского Нежинского мех. корпуса БА-64 (с башней) как боевые машины не использовались, а служили лишь средством связи офицеров командования. Для целей же разведки и связи десантный БА-64 Б более удобен по сравнению с БА-64 (с башней), так как в нем кроме офицера связи могут быть помещены два автоматчика или при необходимости перевезены боеприпасы.</w:t>
      </w:r>
    </w:p>
    <w:p w14:paraId="0B79A5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Требования к десантному бронеавтомобилю (бронетранспортеру)</w:t>
      </w:r>
    </w:p>
    <w:p w14:paraId="54CDD6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Бронетранспортер, смонтированный на шасси ГАЗ-67 для целей разведки, связи, перевозки команды автоматчиков и боеприпасов в зоне ружейно-пулеметного огня и эвакуации раненых с поля боя, должен иметь следующую конструкцию: сидение водителя и управление должно быть слева. Рядом с водителем должно быть сидение командира машины. У командира машины должен быть смотровой прибор, как и у водителя. Корпус бронетранспортера должен быть прямым по типу американского бронетранспортера МЗ-А-1 или ромбовидный по типу немецкого бронетранспортера. Высота борта должна закрывать сидящего в корпусе человека среднего роста. В корпусе должны быть откидывающиеся сидения на 4 человека вдоль машины по два человека на сторону. Бронетранспортер должен иметь дверцы по бокам для входа водите</w:t>
      </w:r>
      <w:r w:rsidRPr="00070ADE">
        <w:rPr>
          <w:rFonts w:ascii="Times New Roman" w:hAnsi="Times New Roman"/>
          <w:color w:val="000000" w:themeColor="text1"/>
          <w:sz w:val="16"/>
          <w:szCs w:val="16"/>
        </w:rPr>
        <w:softHyphen/>
        <w:t>ля и командира машины и дверцы сзади для выхода команды. Задние дверцы должны быть сделаны так, чтобы водитель мог закрыть их, не вставая с сидения. Бензобак должен быть установлен по типу автомобиля «Виллис». Дифференциалы переднего и заднего мостов должны быть защищены броневыми листами.</w:t>
      </w:r>
    </w:p>
    <w:p w14:paraId="77A6A67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десантном отделении должен быть установлен ручной пулемет с возможностью кругового обстрела и обстрела зенитных целей. Спинка сидения командира машины должна быть откидывающейся. Броня бронетранспортера должна защищать от простых пуль ружейно-пулеметного огня. Вес бронетранспор</w:t>
      </w:r>
      <w:r w:rsidRPr="00070ADE">
        <w:rPr>
          <w:rFonts w:ascii="Times New Roman" w:hAnsi="Times New Roman"/>
          <w:color w:val="000000" w:themeColor="text1"/>
          <w:sz w:val="16"/>
          <w:szCs w:val="16"/>
        </w:rPr>
        <w:softHyphen/>
        <w:t>тера должен быть, возможно, меньшим и не превышать веса десантного бронеавтомобиля БА-64 Б.</w:t>
      </w:r>
    </w:p>
    <w:p w14:paraId="4F4C67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41348F1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Десантный бронеавтомобиль БА-64 Б (с широкой колеей) по сравнению с десантным броне</w:t>
      </w:r>
      <w:r w:rsidRPr="00070ADE">
        <w:rPr>
          <w:rFonts w:ascii="Times New Roman" w:hAnsi="Times New Roman"/>
          <w:color w:val="000000" w:themeColor="text1"/>
          <w:sz w:val="16"/>
          <w:szCs w:val="16"/>
        </w:rPr>
        <w:softHyphen/>
        <w:t>автомобилем БА-64 (с узкой колеей) имеет лучшую проходимость, устойчивость на ходу и при пово</w:t>
      </w:r>
      <w:r w:rsidRPr="00070ADE">
        <w:rPr>
          <w:rFonts w:ascii="Times New Roman" w:hAnsi="Times New Roman"/>
          <w:color w:val="000000" w:themeColor="text1"/>
          <w:sz w:val="16"/>
          <w:szCs w:val="16"/>
        </w:rPr>
        <w:softHyphen/>
        <w:t>ротах. Средняя скорость ширококолейного бронеавтомобиля по проселку выше.</w:t>
      </w:r>
    </w:p>
    <w:p w14:paraId="1862E9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Буксировать 45-мм противотанковую пушку без зарядного ящика десантным бронеавто</w:t>
      </w:r>
      <w:r w:rsidRPr="00070ADE">
        <w:rPr>
          <w:rFonts w:ascii="Times New Roman" w:hAnsi="Times New Roman"/>
          <w:color w:val="000000" w:themeColor="text1"/>
          <w:sz w:val="16"/>
          <w:szCs w:val="16"/>
        </w:rPr>
        <w:softHyphen/>
        <w:t>мобилем БА-64 Б можно по шоссе, по разбитому проселку можно только в исключительных слу</w:t>
      </w:r>
      <w:r w:rsidRPr="00070ADE">
        <w:rPr>
          <w:rFonts w:ascii="Times New Roman" w:hAnsi="Times New Roman"/>
          <w:color w:val="000000" w:themeColor="text1"/>
          <w:sz w:val="16"/>
          <w:szCs w:val="16"/>
        </w:rPr>
        <w:softHyphen/>
        <w:t>чаях на небольшие дистанции.</w:t>
      </w:r>
    </w:p>
    <w:p w14:paraId="25AAAC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Десантный бронеавтомобиль БА-64 Б может быть использован для целей разведки, связи, может быть использован также для переброски автоматчиков и боеприпасов в зоне ружейно-пулеметного огня, но для этих целей он не отвечает и не удовлетворяет всем предъявляемым к нему требованиям.</w:t>
      </w:r>
    </w:p>
    <w:p w14:paraId="1FAD1A6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Десантный бронеавтомобиль БА-64 Б для целей связи и разведки более удобен по сравнению с бронеавтомобилем БА-64 (с башней).</w:t>
      </w:r>
    </w:p>
    <w:p w14:paraId="4EDA44D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w:t>
      </w:r>
    </w:p>
    <w:p w14:paraId="2690F0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Десантный бронеавтомобиль БА-64 Б в представленном виде принять на вооружение Красной Армии нецелесообразно.</w:t>
      </w:r>
    </w:p>
    <w:p w14:paraId="2179C27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Бронетранспортер на базе автомобиля ГАЗ-67 необходим такой, как указано в требованиях к бронетранспортеру.</w:t>
      </w:r>
    </w:p>
    <w:p w14:paraId="5725738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Кроме того Красной Армии необходим бронетранспортер более мощный и с более повышен</w:t>
      </w:r>
      <w:r w:rsidRPr="00070ADE">
        <w:rPr>
          <w:rFonts w:ascii="Times New Roman" w:hAnsi="Times New Roman"/>
          <w:color w:val="000000" w:themeColor="text1"/>
          <w:sz w:val="16"/>
          <w:szCs w:val="16"/>
        </w:rPr>
        <w:softHyphen/>
        <w:t>ной проходимостью по типу американского бронетранспортера М-2 и МЗ-А-1.</w:t>
      </w:r>
    </w:p>
    <w:p w14:paraId="52CD829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Для окончательной дачи заключения о прочности предъявленного к войсковым испытаниям бронеавтомобиля необходимо произвести испытания машин в боевых условиях и испытать пробе</w:t>
      </w:r>
      <w:r w:rsidRPr="00070ADE">
        <w:rPr>
          <w:rFonts w:ascii="Times New Roman" w:hAnsi="Times New Roman"/>
          <w:color w:val="000000" w:themeColor="text1"/>
          <w:sz w:val="16"/>
          <w:szCs w:val="16"/>
        </w:rPr>
        <w:softHyphen/>
        <w:t>гом на 10-15 тысяч километров, с последующим замером изношенных деталей.</w:t>
      </w:r>
    </w:p>
    <w:p w14:paraId="3116D8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эскизы двух вариантов формы корпуса бронетранспортера на 4-х листах</w:t>
      </w:r>
      <w:r w:rsidRPr="00070ADE">
        <w:rPr>
          <w:rFonts w:ascii="Times New Roman" w:hAnsi="Times New Roman"/>
          <w:color w:val="000000" w:themeColor="text1"/>
          <w:sz w:val="16"/>
          <w:szCs w:val="16"/>
          <w:vertAlign w:val="superscript"/>
        </w:rPr>
        <w:t>1</w:t>
      </w:r>
    </w:p>
    <w:p w14:paraId="548CFD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Комиссия:</w:t>
      </w:r>
    </w:p>
    <w:p w14:paraId="3FEBA55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 командира 7 гвардейского Нежинского МК по технической части гвардии инженер-подполковник Колесников</w:t>
      </w:r>
    </w:p>
    <w:p w14:paraId="4E31F0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 начальника технического отдела 7 гвардейского Нежинского МК гвардии инженер-майор Хейфман</w:t>
      </w:r>
    </w:p>
    <w:p w14:paraId="6CDEF4C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Представитель УБП и БМ ГБТУ КА инженер-капитан Яшин</w:t>
      </w:r>
    </w:p>
    <w:p w14:paraId="4060693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11358. Д. 211. Л. 34-36. Подлинник (11403).</w:t>
      </w:r>
    </w:p>
    <w:p w14:paraId="4DB0C8A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20F9E6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февраля 1944 вышло Постановление ГКО № 5197 Об открытии советских воздушных линий в Иране. (7189, 171-172,173-174).</w:t>
      </w:r>
    </w:p>
    <w:p w14:paraId="7C3D353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2FE16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февраля 1944 вышло Постановление ГКО № 5198 [О передаче МЭИ им. В.М. Молотова дома № 14 по Красноказарменной улице в Москве.] (7189, 175).</w:t>
      </w:r>
    </w:p>
    <w:p w14:paraId="6EE7765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B4222D"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98FFD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F459F9"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17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502C5C61"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17 февраля юго-западнее и южнее Луга наши войска продолжали вести наступательные бои, в ходе которых заняли несколько населённых пунктов и среди них Щир, Страшево, Машутино, Тушитова, Осмерицы, Большие Ляды, Малый Уторгош.</w:t>
      </w:r>
    </w:p>
    <w:p w14:paraId="50E0D48C"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в результате ожесточённых боёв, продолжавшихся непрерывно в течение четырнадцати дней, 17 февраля завершили операцию по уничтожению десяти дивизий и одной бригады немцев, окружённых врайоне Корсунь-Шевченковский. В ходе этой операции немцы оставили на поле боя убитыми 52 тысячи человек. Сдалось в плен 11 тысяч немецких солдат и офицеров. Вся имевшаяся у противника техника захвачена нашими войсками.</w:t>
      </w:r>
    </w:p>
    <w:p w14:paraId="5C46DA7F"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Звенигородка наши войска успешно отбили все контратаки танков и пехоты противника.</w:t>
      </w:r>
    </w:p>
    <w:p w14:paraId="25391999"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1A97C5CC"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16 февраля наши войска на всех фронтах подбили и уничтожили 78 немецких танков. В воздушных боях и огнём зенитной артиллерии сбито 27 самолётов противника.</w:t>
      </w:r>
    </w:p>
    <w:p w14:paraId="4B8BD3F6"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Массированный налёт наших самолетов на город Хельсинки</w:t>
      </w:r>
    </w:p>
    <w:p w14:paraId="4E4F6EB1"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16 на 17 февраля большая группа наших самолётов произвела массированный налёт на город Хельсинки и в течение девяти часов бомбардировала военно-промышленные объекты этого города. В результате бомбардировки возникло много пожаров, сопровождавшихся сильными взрывами. Крупные пожары отмечены на территории судостроительной верфи, военных складов, складов торгового порта, воинских казарм и в центральной части города. В районе железнодорожной станции, электростанции и газового завода наблюдались взрывы большой силы. Пламя пожаров наши лётчики наблюдали при уходе от цели с расстояния 200 километров.</w:t>
      </w:r>
    </w:p>
    <w:p w14:paraId="58564C79"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Три наших самолёта не вернулись на свои базы.</w:t>
      </w:r>
    </w:p>
    <w:p w14:paraId="01C0A570"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Луга наши войска продолжали вести наступательные бои и заняли несколько населённых пунктов. На одном участке советские бойцы в ожесточённом бою истребили более батальона гитлеровцев.</w:t>
      </w:r>
    </w:p>
    <w:p w14:paraId="5697673E"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Захвачено у немцев 8 танков, 14 орудий, 200 автомашин и повозок. Части Н-ского соединения, стремительно продвинувшись вперёд, овладели населённым пунктом Малый Уторгош и перерезали шоссе, имеющее для противника важное значение. Уничтожено до 600 немецких солдат и офицеров.</w:t>
      </w:r>
    </w:p>
    <w:p w14:paraId="0960A027"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лётчики наносили удары по коммуникациям и боевым порядкам противника. В результате бомбардировки уничтожено более 200 автомашин, разбит железнодорожный эшелон и взорвано 5 складов с боеприпасами.</w:t>
      </w:r>
    </w:p>
    <w:p w14:paraId="5AECAE7D"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сегодня, 17 февраля, завершили ликвидацию группировки противника, окружённой в районе города Корсунь-Шевченковский. Наши войска, несмотря на сильный снегопад и вьюгу, решительными ударами сломили упорное сопротивление противника и выбили его из последних мощных узлов обороны Стеблев и Шандеровка. Советская авиация, помогая наземным войскам, непрерывно штурмовала колонны немецкой пехоты. Бросив артиллерию и обозы, противник сегодня предпринял последнюю отчаянную попытку вырваться из кольца окружения, сузившегося до предела. Немецкие войска рано утром колоннами двинулись в атаку. Наши войска встретили гитлеровцев мощным артиллерийско-миномётным и ружейно-пулемётным огнём. Разрозненные группы немцев метались из стороны в сторону, но нигде не могли найти выхода из железного кольца. Наши танкисты и пехотинцы, врываясь в толпы врагов, уничтожали гитлеровцев. Многие немцы, видя безнадёжность своего положения, сдались в плен. К исходу дня наши войска полностью уничтожили окруженную группировку немцев в составе 10 дивизий и одной бригады. За две недели боёв уничтожено 52.000 немецких солдат и офицеров. Сдалось в плен 11.000 немцев. Вся имевшаяся у противника техника и вооружение захвачены нашими войсками.</w:t>
      </w:r>
    </w:p>
    <w:p w14:paraId="44EEE5B3"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Звенигородки наши войска успешно отбили все контратаки танков и пехоты противника. За день боёв истреблено 1.800 немецких солдат и офицеров. Сожжено и подбито 54 немецких танка и 8 самоходных орудий.</w:t>
      </w:r>
    </w:p>
    <w:p w14:paraId="1BEEDA46"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белорусских партизанских отрядов за истекшую неделю пустили под откос 37 немецких воинских эшелонов. В результате крушений разбиты 19 паровозов, 580 вагонов, платформ и цистерн. За это же время советские патриоты взорвали и сожгли три железнодорожных моста, 12 мостов на шоссейных дорогах и вырезали 227 километров телефонно-телеграфной линии связи. Истреблено до двух тысяч вражеских солдат и офицеров. Групповым ружейно-пулемётным огнём партизаны сбили немецкий самолёт.».</w:t>
      </w:r>
    </w:p>
    <w:p w14:paraId="35386587"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Ликвидация окружённых в районе Корсунь-Шевченковский немецко-фашистских войск.</w:t>
      </w:r>
    </w:p>
    <w:p w14:paraId="4F9BCB6D"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и 1-го Украинского фронтов, в результате наступления из района севернее Кировоград в западном направлении и из района юго-восточнее Белая Церковь в восточном направлении, прорвали в начале февраля сильно укреплённую оборону немцев и смелым искусным манёвром окружили крупную группировку немецко-фашистских войск севернее линии Звенигородка—Шпола. В результате этой операции наши войска зажали в кольцо 11 немецкий армейский корпус генерал-лейтенанта Штеммермана и 42 немецкий армейский корпус генерала пехоты Маттенклота. В состав окружённых армейских корпусов входят: 112 пехотнаядивизия генерал-майора Либа, 88 пехотная дивизия полковника Бермана, 82 пехотная дивизия генерал-майора Гейне, 72 пехотная дивизия полковника Хонна, 167 пехотная дивизия генерал-лейтенанта Трайнберга, 168 пехотная дивизия генерал-майора Шмидт-Гоммера, 57 пехотная дивизия генерал-майора Дарлица, 332 пехотная дивизия генерал-лейтенанта Шеффера, 213 охранная дивизия генерал-лейтенанта Гешена, танковая дивизия СС «Викинг» бригадефюрера (генерал-майора) Гилле и мотобригада СС «Валония» майора Липперта. Личный состав окружённых войск противника достигал 70-80 тысяч солдат и офицеров.</w:t>
      </w:r>
    </w:p>
    <w:p w14:paraId="26D7F735"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Советское командование в лице заместителя Верховного Главнокомандующего Красной Армии Маршала Советского Союза Жукова, командующего 2-м Украинским фронтом генерала армии Конева и командующего 1-м Украинским фронтом генерала армии Ватутина, во избежание напрасного кровопролития и уничтожения окружённых немецких войск, предъявило 8 февраля 1944 года командованию и всему офицерскому составу окружённых в районе Корсуня-Шевченковского немецких войск ультиматум с предложением прекратить сопротивление. В ультиматуме сообщалось:</w:t>
      </w:r>
    </w:p>
    <w:p w14:paraId="4633613A"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избежание ненужного кровопролития, мы предлагаем Вам принять следующие условия капитуляции:</w:t>
      </w:r>
    </w:p>
    <w:p w14:paraId="3C25D805"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Все окружённые немецкие войска, во главе с Вами и с Вашими штабами, немедленно прекращают боевые действия.</w:t>
      </w:r>
    </w:p>
    <w:p w14:paraId="12DD0B84"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 передаёте нам весь личный состав, оружие, всё боевое снаряжение, транспортные средства и всю технику неповреждённой.</w:t>
      </w:r>
    </w:p>
    <w:p w14:paraId="450F764F"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Мы гарантируем всем офицерам и солдатам, прекратившим сопротивление, жизнь и безопасность, а после окончания войны возвращение в Германию или в любую другую страну по личному желанию военнопленных.</w:t>
      </w:r>
    </w:p>
    <w:p w14:paraId="7D3A86BE"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Всему личному составу сдавшихся частей будут сохранены: военная форма, знаки различия и ордена, личная собственность и ценности, а старшему офицерскому составу, кроме того, будет сохранено и холодное оружие.</w:t>
      </w:r>
    </w:p>
    <w:p w14:paraId="49502341"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Всем раненым и больным будет оказана медицинская помощь. Всем сдавшимся офицерам, унтер-офицерам и солдатам будет обеспечено немедленно питание.</w:t>
      </w:r>
    </w:p>
    <w:p w14:paraId="226554C0"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Ваш ответ ожидается к 11.00 9 февраля 1944 года по московскому времени в письменной форме через Ваших личных представителей, которым надлежит ехать легковой машиной с белым флагом по дороге, идущей от Корсунь-Шевченковский через Стеблев на Хировка.</w:t>
      </w:r>
    </w:p>
    <w:p w14:paraId="2470FEF3"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Ваш представитель будет встречен уполномоченным русским офицером в районе восточной окраины Хировка 9 февраля 1944 года в 11 часов 00 минут по московскому времени. Если Вы отклоните наше предложение сложить оружие, то войска Красной Армии и воздушного флота начнут действия по уничтожению окружённых Ваших войск и ответственность за их уничтожение понесёте Вы».</w:t>
      </w:r>
    </w:p>
    <w:p w14:paraId="1DF188C5"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«Среди командиров окружённых немецких войск были генералы и офицеры, которые видели безнадёжность и обречённость окружённых советскими войсками немецких дивизий и хотели принять ультиматум Советского Командования и капитулировать. Но командование и рядовой состав окружённых немецких войск были одурачены Гитлером, который в приказе к окружённым войскам требовал от солдат и офицеров держаться во что бы то ни стало и заверял их, что со стороны верховного командования германской армии приняты меры, гарантирующие спасение немецких войск, попавших в«котёл».</w:t>
      </w:r>
    </w:p>
    <w:p w14:paraId="5618B4E6"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такого приказа Гитлера командование окружённых немецко-фашистских войск отклонило ультиматум Советского Командования.</w:t>
      </w:r>
    </w:p>
    <w:p w14:paraId="0CE0B266"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Ввиду отклонения ультиматума, наши войска начали генеральную атаку окружённых дивизий противника и решительными действиями стали быстро уничтожать вражескую группировку.</w:t>
      </w:r>
    </w:p>
    <w:p w14:paraId="2328BA8A"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боёв по уничтожению окружённой группировки противника наши войска заняли важные укреплённые узлы обороны Корсунь-Шевченковский, Ольшана, Городище, Вербовка, Петропавловка, Орловец, Млеев, Завадовка, Деренковец, Таганча, Голяки, Яновка, Выграев, Стеблев, Шан-деровка, железнодорожные станции Валява, Завадовка, Таганча, Сотники.</w:t>
      </w:r>
    </w:p>
    <w:p w14:paraId="6C88FE8C"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Остатки окружённых немецких войск — всего 3-4 тысячи человек,— не имея в своих руках ни одного населённого пункта, пытаются спасти жизнь в оврагах и небольшой роще южнее Шандеровки, но они уничтожаются здесь нашими бойцами.</w:t>
      </w:r>
    </w:p>
    <w:p w14:paraId="5E9A2676"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Окружённые войска немцев оставили на поле боя убитыми 52 тысячи человек. Сдалось в плен 11 тысяч человек. Немцам удалось вывезти на транспортных самолётах едва ли больше 2-3 тысяч офицеров из числа окружённых немецких войск.</w:t>
      </w:r>
    </w:p>
    <w:p w14:paraId="5AC26265"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Начиная с 5 февраля немецкое командование, стянув с других участков фронта в район западнее и юго-западнее Звенигородка 8 танковых дивизий, вооружённых, главным образом, танками типа «Тигр», «Пантера» и самоходными орудиями типа «Фердинанд», а также несколько пехотных дивизий, пополнив их значительным количеством войск из резерва главного командования и сосредоточив в районе сражения более 600 бомбардировщиков, истребителей и транспортных самолётов, предпринимало отчаянные попытки ударами извне южнее Звенигородка прорваться к окружённым немецким войскам и вывести их из окружения.</w:t>
      </w:r>
    </w:p>
    <w:p w14:paraId="6E459B40"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Ценой огромных потерь врагу удалось незначительно вклиниться в боевые порядки наших войск южнее Звенигородка. Но, встретив решительное сопротивление советских войск, истощив и обескровив себя в этих боях, немцы не смогли оказать помощь окружённой группировке.</w:t>
      </w:r>
    </w:p>
    <w:p w14:paraId="7F61C8ED"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этих боях немецко-фашистские войска, безуспешно пытавшиеся пробиться на помощь окружённой группировке, с 5 по 18 февраля потеряли только убитыми до 20.000 своих солдат и офицеров. За это же время уничтожено 329 немецких самолётов, из них 179 транспортных трехмоторных самолётов «Ю-52», более 600 танков и 374 орудия. Наши войска захватили у противника 25 танков, 134 орудия.</w:t>
      </w:r>
    </w:p>
    <w:p w14:paraId="656634D7"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показывают пленные немецкие офицеры из окружённых войск, Гитлер после провала попыток спасти окружённых немцев дал немецким войскам, попавшим в «мешок», ещё один приказ, в котором требовал, чтобы окружённые немецкие солдаты и офицеры принесли себя в жертву, дабы задержать своим сопротивлением на некоторое время русские дивизии, ибо этого якобы требуют интересы германского фронта. В упомянутом приказе Гитлера содержалась прямая директива о том, чтобы окружённые немецкие солдаты и офицеры кончали жизнь самоубийством, если их положение станет безвыходным. Пленные немцы показывают также, что за последние 3-4 дня среди солдат и офицеров окружённых немецко-фашистских войск наблюдались массовые случаи самоубийства. Раненые солдаты и офицеры по приказу немецкого командования умерщвлялись и сжигались. Так, например, наши войска, захватившие населённые пункты Стеблев и Шандеровку, обнаружили большое количество сгоревших автомашин, наполненных трупами немецких солдат и офицеров.</w:t>
      </w:r>
    </w:p>
    <w:p w14:paraId="1D0608FB"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Операцией по ликвидации окружённых немецких войск руководил генерал армии т. Конев.» (15043).</w:t>
      </w:r>
    </w:p>
    <w:p w14:paraId="0B9335BE" w14:textId="77777777" w:rsidR="009863CA" w:rsidRPr="00070ADE" w:rsidRDefault="009863CA" w:rsidP="00B56F90">
      <w:pPr>
        <w:spacing w:after="0" w:line="240" w:lineRule="auto"/>
        <w:jc w:val="both"/>
        <w:rPr>
          <w:rFonts w:ascii="Times New Roman" w:hAnsi="Times New Roman"/>
          <w:color w:val="000000" w:themeColor="text1"/>
          <w:sz w:val="16"/>
          <w:szCs w:val="16"/>
        </w:rPr>
      </w:pPr>
    </w:p>
    <w:p w14:paraId="2981621D"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17 февраля</w:t>
      </w:r>
      <w:r w:rsidRPr="00070ADE">
        <w:rPr>
          <w:rFonts w:ascii="Times New Roman" w:hAnsi="Times New Roman"/>
          <w:color w:val="000000" w:themeColor="text1"/>
          <w:sz w:val="16"/>
          <w:szCs w:val="16"/>
        </w:rPr>
        <w:t xml:space="preserve"> в 1944 году советские войска 1-го и 2-го Украинских фронтов под командованием генералов армии Н.Ф.Ватутина и И.С.Конева в ходе битвы за правобережную Украину в районе Корсунь-Шевченковского выступа окружают и громят более 10 дивизий немецко-фашистской группы армий "Юг" под командованием генерал-фельдмаршала Манштейна (15043).</w:t>
      </w:r>
    </w:p>
    <w:p w14:paraId="639DACD4" w14:textId="77777777" w:rsidR="009863CA" w:rsidRPr="00070ADE" w:rsidRDefault="009863CA" w:rsidP="00B56F90">
      <w:pPr>
        <w:spacing w:after="0" w:line="240" w:lineRule="auto"/>
        <w:jc w:val="both"/>
        <w:rPr>
          <w:rFonts w:ascii="Times New Roman" w:hAnsi="Times New Roman"/>
          <w:color w:val="000000" w:themeColor="text1"/>
          <w:sz w:val="16"/>
          <w:szCs w:val="16"/>
        </w:rPr>
      </w:pPr>
    </w:p>
    <w:p w14:paraId="32FC26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17 февраля 1944 немцы построились в колонны и пытались вырваться из Корсунь-Шевченковского кольца в районе Шендеровки. Действовали б 312 нбад п П.Н.Кузнецова. Бомбили одиночно, но непрерывно танковые колонны. Выгнали под удар катюш. Все же часть прорвалась (340,165).</w:t>
      </w:r>
    </w:p>
    <w:p w14:paraId="0E70C0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8D541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февраля 1944 Ли-2 с А.Г.Кочетковым и и Ф.П.Супруном вылетел с ЦА в США по северному маршруту и прилетели в Вашингтон только 16 марта 1944 (172,168).</w:t>
      </w:r>
    </w:p>
    <w:p w14:paraId="46E09AB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9CA2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February 17, 1944: In the Ukraine, German troops encircled in the Tcherkassy pocket achieve a breakout, but at a heavy cost in men and equipment (3819).</w:t>
      </w:r>
    </w:p>
    <w:p w14:paraId="6109FC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72C30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февраля 1944 часть немецких войск прорвалась из Корсунь-Шевченковского котла (3819).</w:t>
      </w:r>
    </w:p>
    <w:p w14:paraId="555363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2CDB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февраля 1944 КА, отразив контрудар, вновь перешла в наступление на криворожском направлении. Перед наступление АДД выполнила авиационную подготовку в исключительно трудных условиях (430,188).</w:t>
      </w:r>
    </w:p>
    <w:p w14:paraId="02E9DE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0E82A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февраля 1944 пытаясь вырваться из советского окружения под Корсунем, немецкие войска попали в ловушку и были полностью уничтожены (погибло до 30 тысяч немцев) (4962).</w:t>
      </w:r>
    </w:p>
    <w:p w14:paraId="04B73B6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6EBD2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февраля 1944 погиб пионер-партизан Валя Котик (4962).</w:t>
      </w:r>
    </w:p>
    <w:p w14:paraId="275A653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EAD59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февраля 1944 в первом же боевом вылете оборвалась карьера испанского летчика-добровольца лейтенанта Эстанислао Сегуролы Гуэрки (Esta-nislao Sequrola Huerka) из состава 15/JG51. В тот момент сплошной линии фронта на данном участке не было. Немцы засели в опорных пунктах, а через многочисленные “бреши” осуществлялась переброска грузов для партизан. Один из таких переходов с запада прикрывала 37-я партизанская бригада имени Пархоменко, а с востока - армейская 37-я гвардейская стрелковая дивизия. Посередине, фактически на нейтральной полосе, в селе Паричи армейцы установили четырехорудийную 37-миллиметровую зенитную батарею. Именно она с первого залпа и подбила Bf 109G-6 незадачливого испанца, севшего на вынужденную у села Моисеевка. Вскоре немцы нашли лежащую на брюхе машину, но тела пилота в ней не было. Гуэрку объявили пропавшим без вести, а между тем, он попал в плен к партизанам. Командование бригады отправило экзотического пленника под конвоем через линию фронта, но до “Большой земли” он так и не дошел. Печальную судьбу пилота, скорее всего, определили три вещи - редкий для Восточного фронта пистолет “Маузер-Астра”, красивый сувенирный кортик, а главное - шелковое белье, ценимое партизанами дороже золота, поскольку считалось, что в нем не заводятся паразиты. Короче, испанец, которого неизвестно какая нелегкая занесла в наши лесные края, “бесследно исчез”. Что ж, на войне бывает всякое...(9974).</w:t>
      </w:r>
    </w:p>
    <w:p w14:paraId="3910C21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2F1F99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27FFFF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E770B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февраля 1944 американцами взорван католический монастырь в Италии, итальянский епископ погиб (4962).</w:t>
      </w:r>
    </w:p>
    <w:p w14:paraId="23DC90D3"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ACAE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февраля 1944 на Тихом океане американцы выбили японцев с атолла Эниветок (3907,248).</w:t>
      </w:r>
    </w:p>
    <w:p w14:paraId="7EBA67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540B9D" w14:textId="77777777" w:rsidR="00AD702B" w:rsidRPr="00070ADE" w:rsidRDefault="00AD702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февраля 1944 в ходе операции «Кэтчпол» американские войска вторгаются в Эниветок. Авианосцы USS Saratoga (CV-3), USS Sangamon (CVE-26) , USS Suwannee (CVE-27) и USS Chenango (CVE-28) поддерживают высадку (20373).</w:t>
      </w:r>
    </w:p>
    <w:p w14:paraId="2B4E7515" w14:textId="77777777" w:rsidR="00AD702B" w:rsidRPr="00070ADE" w:rsidRDefault="00AD702B" w:rsidP="00B56F90">
      <w:pPr>
        <w:spacing w:after="0" w:line="240" w:lineRule="auto"/>
        <w:jc w:val="both"/>
        <w:rPr>
          <w:rFonts w:ascii="Times New Roman" w:hAnsi="Times New Roman"/>
          <w:color w:val="000000" w:themeColor="text1"/>
          <w:sz w:val="16"/>
          <w:szCs w:val="16"/>
        </w:rPr>
      </w:pPr>
    </w:p>
    <w:p w14:paraId="7BEE6172" w14:textId="6D240B9D" w:rsidR="00AD702B" w:rsidRPr="00070ADE" w:rsidRDefault="00AD702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февраля 1944 в операции градины авианосцы ВМС США Целевой группы 58 начинают двухдневные удар по Трук Атолл, Япония - основной базе в южной части Тихого океана; это первые авианосные удары по Труку. Первоначальный вылет 72 истребителей F6F Hellcatsспривел к сбитию 30 японских истребителей и уничтожил еще 45 самолетов на земле, в результате чего было потеряно четыре Hellcats Последующий удар 18 TBF Avengers оставил менее 100 из 365 японских самолетов, которые были на Truk на рассвете. Авианосцы также наносят 30 ударов, каждый из которых превышает любую из двух волн японских самолетов, атаковавших Перл-Харбор в декабре 1941 года, по судам в гавани в течение дня. Вечером японский бомбардировщик-торпедоносец повредил авианосец USS Intrepid</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(CV-11), выведя его из строя на несколько месяцев (20373).</w:t>
      </w:r>
    </w:p>
    <w:p w14:paraId="031D42CF" w14:textId="77777777" w:rsidR="00AD702B" w:rsidRPr="00070ADE" w:rsidRDefault="00AD702B" w:rsidP="00B56F90">
      <w:pPr>
        <w:spacing w:after="0" w:line="240" w:lineRule="auto"/>
        <w:jc w:val="both"/>
        <w:rPr>
          <w:rFonts w:ascii="Times New Roman" w:hAnsi="Times New Roman"/>
          <w:color w:val="000000" w:themeColor="text1"/>
          <w:sz w:val="16"/>
          <w:szCs w:val="16"/>
        </w:rPr>
      </w:pPr>
    </w:p>
    <w:p w14:paraId="502D1D4E"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DCA20A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15AE8D" w14:textId="77777777" w:rsidR="00664EC9" w:rsidRPr="00C94B78" w:rsidRDefault="00664EC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18 февраля 1944 г. В. К. Коккинаки выполнил на Ил-10 первый полет. Меньше месяца ушло на заводские испыта</w:t>
      </w:r>
      <w:r w:rsidRPr="00C94B78">
        <w:rPr>
          <w:rStyle w:val="aff1"/>
          <w:rFonts w:ascii="Times New Roman" w:hAnsi="Times New Roman" w:cs="Times New Roman"/>
          <w:color w:val="0070C0"/>
          <w:spacing w:val="0"/>
          <w:sz w:val="16"/>
          <w:szCs w:val="16"/>
        </w:rPr>
        <w:softHyphen/>
        <w:t>ния, и 13 мая машину передали в НИИ ВВС.</w:t>
      </w:r>
    </w:p>
    <w:p w14:paraId="3ED6188F" w14:textId="77777777" w:rsidR="00664EC9" w:rsidRPr="00C94B78" w:rsidRDefault="00664EC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отличие от Ил-2 на новом штурмовике вернулись к схеме бронекорпуса самолета ЦКБ-55. Стрелок теперь раз</w:t>
      </w:r>
      <w:r w:rsidRPr="00C94B78">
        <w:rPr>
          <w:rStyle w:val="aff1"/>
          <w:rFonts w:ascii="Times New Roman" w:hAnsi="Times New Roman" w:cs="Times New Roman"/>
          <w:color w:val="0070C0"/>
          <w:spacing w:val="0"/>
          <w:sz w:val="16"/>
          <w:szCs w:val="16"/>
        </w:rPr>
        <w:softHyphen/>
        <w:t>мещался не за бронеперегородкой заднего бензобака, а за бронеспинкой летчика. Изменилась толщина отдельных листов бронекорпуса. В частности, толще стали боковые стенки, защищавшие двигатель. «Похудели» боковые стен</w:t>
      </w:r>
      <w:r w:rsidRPr="00C94B78">
        <w:rPr>
          <w:rStyle w:val="aff1"/>
          <w:rFonts w:ascii="Times New Roman" w:hAnsi="Times New Roman" w:cs="Times New Roman"/>
          <w:color w:val="0070C0"/>
          <w:spacing w:val="0"/>
          <w:sz w:val="16"/>
          <w:szCs w:val="16"/>
        </w:rPr>
        <w:softHyphen/>
        <w:t>ки кабины экипажа, а верхнюю часть бронекорпуса, недо</w:t>
      </w:r>
      <w:r w:rsidRPr="00C94B78">
        <w:rPr>
          <w:rStyle w:val="aff1"/>
          <w:rFonts w:ascii="Times New Roman" w:hAnsi="Times New Roman" w:cs="Times New Roman"/>
          <w:color w:val="0070C0"/>
          <w:spacing w:val="0"/>
          <w:sz w:val="16"/>
          <w:szCs w:val="16"/>
        </w:rPr>
        <w:softHyphen/>
        <w:t>сягаемую для зениток, изготовили из дюралюминия. Бро</w:t>
      </w:r>
      <w:r w:rsidRPr="00C94B78">
        <w:rPr>
          <w:rStyle w:val="aff1"/>
          <w:rFonts w:ascii="Times New Roman" w:hAnsi="Times New Roman" w:cs="Times New Roman"/>
          <w:color w:val="0070C0"/>
          <w:spacing w:val="0"/>
          <w:sz w:val="16"/>
          <w:szCs w:val="16"/>
        </w:rPr>
        <w:softHyphen/>
        <w:t>неспинка и заголовник летчика, а также бронеспинка стрелка состояли из двух восьмимиллиметровых бронеплит с воздушной прослойкой. Как и на Ил-2, бронекорпус Ил-10 весом 1010 кг включили в силовую схему плане</w:t>
      </w:r>
      <w:r w:rsidRPr="00C94B78">
        <w:rPr>
          <w:rStyle w:val="aff1"/>
          <w:rFonts w:ascii="Times New Roman" w:hAnsi="Times New Roman" w:cs="Times New Roman"/>
          <w:color w:val="0070C0"/>
          <w:spacing w:val="0"/>
          <w:sz w:val="16"/>
          <w:szCs w:val="16"/>
        </w:rPr>
        <w:softHyphen/>
        <w:t>ра. К бронекорпусу пристыковывалась хвостовая часть, со</w:t>
      </w:r>
      <w:r w:rsidRPr="00C94B78">
        <w:rPr>
          <w:rStyle w:val="aff1"/>
          <w:rFonts w:ascii="Times New Roman" w:hAnsi="Times New Roman" w:cs="Times New Roman"/>
          <w:color w:val="0070C0"/>
          <w:spacing w:val="0"/>
          <w:sz w:val="16"/>
          <w:szCs w:val="16"/>
        </w:rPr>
        <w:softHyphen/>
        <w:t>стоящая из набора шпангоутов и стрингеров с дюралевой обшивкой.</w:t>
      </w:r>
    </w:p>
    <w:p w14:paraId="36790EC6" w14:textId="77777777" w:rsidR="00664EC9" w:rsidRPr="00C94B78" w:rsidRDefault="00664EC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Ил-10 в соответствии с нормами прочности 1943 года относился к классу «Б» с коэффициентом перегрузки на случай «А•&gt; (соответствующим наибольшему значению коэффиuиента подъемной силы крыла), при полетном весе 6000 кг равном 8,3. Это позволяло ему выполнять фигуры не только сложного, но и высшего пилотажа (25091).</w:t>
      </w:r>
    </w:p>
    <w:p w14:paraId="5D38A030" w14:textId="77777777" w:rsidR="00664EC9" w:rsidRPr="00C94B78" w:rsidRDefault="00664EC9" w:rsidP="00B56F90">
      <w:pPr>
        <w:spacing w:after="0" w:line="240" w:lineRule="auto"/>
        <w:jc w:val="both"/>
        <w:rPr>
          <w:rFonts w:ascii="Times New Roman" w:hAnsi="Times New Roman"/>
          <w:color w:val="0070C0"/>
          <w:sz w:val="16"/>
          <w:szCs w:val="16"/>
        </w:rPr>
      </w:pPr>
    </w:p>
    <w:p w14:paraId="7E53DFB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Журавлев выбросился из МиГ АМ-39 2ТК на высоте 9 тыс. из-за пожара и благополучно приземлился, а машина разбилась в районе ст. Кудиново (Монино) (2562,35).</w:t>
      </w:r>
    </w:p>
    <w:p w14:paraId="72BB48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DFE7C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18 февраля 1944, а затем 29 мая 1944 вышли постановления ГКО N 5201 (2393,23), по которому головным ведомством по созданию РД стал НКАП, а ранее выполнявший эти функции ГИРТ при СНК был упразднен и вместо него был создан НИИ-1 (нач. П.И.Федоров, зам. В.Ф.Болховитинов), куда попала и группа А.М.Люльки и группа Глушко с 16 завода, а также завод 293 (173,229).</w:t>
      </w:r>
    </w:p>
    <w:p w14:paraId="49CC339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Постановлением N 5201 от 18 февраля 1944 ГКО указывает на совершенно недопустимое положение дела с развитием реактивной авиации (1661,80).</w:t>
      </w:r>
    </w:p>
    <w:p w14:paraId="39E3B6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Гос. Институт Реактивной Техники при СНК ликвидировать.</w:t>
      </w:r>
    </w:p>
    <w:p w14:paraId="6FEFFC4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Придавая исключительно важное значение делу создания реактивной авиации в СССР, возложить решение этой задачи на НКАП.</w:t>
      </w:r>
    </w:p>
    <w:p w14:paraId="64ADE6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Обязать НКАП - А.И.Ш. и А.С.Я.:</w:t>
      </w:r>
    </w:p>
    <w:p w14:paraId="7E75F9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собрать все квалифицированные силы по реактивной технике в СССР и организовать НИИ Реактивной Авиации (НИРА), считая основной задачей института создание реактивных двигателей.</w:t>
      </w:r>
    </w:p>
    <w:p w14:paraId="0F018C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придать новому институту исследовательско-конструкторское направление, с целью обеспечения создания надежных реактивных двигателей и самолетов и практически осуществить полеты первых реактивных самолетов в 1944</w:t>
      </w:r>
    </w:p>
    <w:p w14:paraId="4969AD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наряду с работой по созданию реактивного самолета в НИРА, поручить проектирование и постройку реактивных самолетов А.С.Я., С.А.Л., А.И.М., П.О.С.</w:t>
      </w:r>
    </w:p>
    <w:p w14:paraId="762738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к 15 марта с.г. представить в ГКО конкретные предложения о строительстве реактивных двигателей (1661,80).</w:t>
      </w:r>
    </w:p>
    <w:p w14:paraId="59AA9E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8DB16B" w14:textId="77777777" w:rsidR="009863CA"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г. Государственный Комитет Обороны своим Постановлением №5201 ориентировал НКАП на развитие реактивной авиации в СССР (6000).</w:t>
      </w:r>
    </w:p>
    <w:p w14:paraId="33DC1137" w14:textId="77777777" w:rsidR="009863CA" w:rsidRPr="00070ADE" w:rsidRDefault="009863CA"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8D3F6E" w14:textId="77777777" w:rsidR="0035263A" w:rsidRPr="00070ADE" w:rsidRDefault="0035263A" w:rsidP="00B56F90">
      <w:pPr>
        <w:widowControl w:val="0"/>
        <w:autoSpaceDE w:val="0"/>
        <w:autoSpaceDN w:val="0"/>
        <w:adjustRightInd w:val="0"/>
        <w:spacing w:after="0" w:line="240" w:lineRule="auto"/>
        <w:jc w:val="both"/>
        <w:rPr>
          <w:rFonts w:ascii="Times New Roman" w:hAnsi="Times New Roman"/>
          <w:b/>
          <w:color w:val="000000" w:themeColor="text1"/>
          <w:sz w:val="16"/>
          <w:szCs w:val="16"/>
        </w:rPr>
      </w:pPr>
      <w:r w:rsidRPr="00070ADE">
        <w:rPr>
          <w:rFonts w:ascii="Times New Roman" w:hAnsi="Times New Roman"/>
          <w:color w:val="000000" w:themeColor="text1"/>
          <w:sz w:val="16"/>
          <w:szCs w:val="16"/>
        </w:rPr>
        <w:t>18 февраля 1944 ГОСУДАРСТВЕННЫЙ КОМИТЕТ ОБОРОНЫ ПОСТАНОВЛЕНИЕ № ГКО-5201сс</w:t>
      </w:r>
    </w:p>
    <w:p w14:paraId="71C712C5"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Москва, Кремль</w:t>
      </w:r>
    </w:p>
    <w:p w14:paraId="7D2813C6"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работе Государственного института реактивной техники при СНК СССР и о мероприятиях по развитию реактивной авиации.</w:t>
      </w:r>
    </w:p>
    <w:p w14:paraId="058B9370"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Государственный Комитет Обороны постановляет:</w:t>
      </w:r>
    </w:p>
    <w:p w14:paraId="56A3D094"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Государственный Комитет Обороны отмечает, что Государственный институт реактивной техники при СНК СССР (ГИРТ), руководимый т. Костиковым, не справился с порученной ему задачей создания как реактивного двигателя, так и реактивного самолета, ни по срокам, ни по тактико-техническим данным. За полтора года ГИРТ не сумел приблизить задачу реактивного полета к практическому разрешению. </w:t>
      </w:r>
    </w:p>
    <w:p w14:paraId="6585B400"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Предложенные т. Костиковым Государственному Комитету Обороны данные его реактивных самолетов совершенно не соответствуют получающимся результатам, а сроки создания этих самолетов и двигателей сорваны. Не справившись с работой, т. Костиков принимал все меры к тому, чтобы создать видимость активной и плодотворной работы по вопросу реактивной техники, чем ввел в заблуждение правительство, а создавая ложное впечатление, что порученная ГИРТ'у задача успешно разрешается, нанес крупный ущерб развитию реактивной техники в СССР и затормозил ее развитие. </w:t>
      </w:r>
    </w:p>
    <w:p w14:paraId="555755F7"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Считая такое положение дела с развитием реактивной техники в СССР совершенно нетерпимым, Государственный Комитет Обороны постановляет: </w:t>
      </w:r>
    </w:p>
    <w:p w14:paraId="1289C923"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 Отстранить т. Костикова А.Г. от работы начальника и главного конструктора института и передать его дело прокурору Союза ССР, а Государственный институт реактивной техники при СНК СССР, как не оправдавший своего назначения, ликвидировать. </w:t>
      </w:r>
    </w:p>
    <w:p w14:paraId="4AF6067A"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 Придавая исключительно важное значение делу создания реактивной авиации в СССР, возложить решение этой задачи на Наркомат авиационной промышленности. </w:t>
      </w:r>
    </w:p>
    <w:p w14:paraId="5B634A17"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3. Обязать Наркомавиапром т.т. Шахурина и Яковлева: </w:t>
      </w:r>
    </w:p>
    <w:p w14:paraId="0B1E310C"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 собрать все квалифицированные силы по реактивной технике в СССР и организовать научно-исследовательский институт реактивной авиации (НИРА НКАП) в системе Наркомавиапрома, считая основной задачей института создание реактивных двигателей; </w:t>
      </w:r>
    </w:p>
    <w:p w14:paraId="204C40EC"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 придать новому институту исследовательско-конструкторское направление с целью обеспечить создание надежных реактивннх двигателей и самолетов и практически осуществить полеты первых реактивных самолетов в 1944 году; </w:t>
      </w:r>
    </w:p>
    <w:p w14:paraId="286373FB"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наряду с работой по созданию реактивного самолета в институте реактивной авиации, поручить проектирование и постройку реактивных самолетов Лавочкину, Микояну и Сухому; </w:t>
      </w:r>
    </w:p>
    <w:p w14:paraId="0A651A49"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 к 15 марта с.г. представить в ГОКО конкретные предложения о строительстве реактивных двигателей и реактивных самолетов. </w:t>
      </w:r>
    </w:p>
    <w:p w14:paraId="63AE1B8A"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4. Назначить начальником института реактивной авиации т. Поликовского В.И. </w:t>
      </w:r>
    </w:p>
    <w:p w14:paraId="29635FBD"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Заместителем начальника института назначить т. Абрамовича Г.Н.‚ освободив его от работы в ЦАГИ. </w:t>
      </w:r>
    </w:p>
    <w:p w14:paraId="645CB0FF"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Наркомавиапрому привлечь для работы в институте реактивной авиации профессора Стечкина Б.С., освободив его от работы на заводе № 300 НКАП. </w:t>
      </w:r>
    </w:p>
    <w:p w14:paraId="52FF1096"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Утвердить мероприятия по обеспечению развертывания работ по реактивной авиации (см. приложение).</w:t>
      </w:r>
    </w:p>
    <w:p w14:paraId="1E2C1E31"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ГОСУДАРСТВЕННОГО КОМИТЕТА ОБОРОНЫ И. СТАЛИН</w:t>
      </w:r>
    </w:p>
    <w:p w14:paraId="1D8EED28"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Послано: </w:t>
      </w:r>
    </w:p>
    <w:p w14:paraId="0F2CE995"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т.т. Маленкову, Шахурину, Яковлеву, Поликовскому, Горшенину, Будникову, Григорьяну, Молотову, Чадаеву(12638).</w:t>
      </w:r>
    </w:p>
    <w:p w14:paraId="4909A8A2" w14:textId="77777777" w:rsidR="0035263A" w:rsidRPr="00070ADE" w:rsidRDefault="0035263A" w:rsidP="00B56F90">
      <w:pPr>
        <w:spacing w:after="0" w:line="240" w:lineRule="auto"/>
        <w:jc w:val="both"/>
        <w:rPr>
          <w:rFonts w:ascii="Times New Roman" w:hAnsi="Times New Roman"/>
          <w:color w:val="000000" w:themeColor="text1"/>
          <w:sz w:val="16"/>
          <w:szCs w:val="16"/>
        </w:rPr>
      </w:pPr>
    </w:p>
    <w:p w14:paraId="12972ED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г. Государственный комитет обороны, “...придавая исключительно важное значение делу создания реактивной авиации в СССР...”, принимает важное решение об организации Научно-исследовательского института реактивной авиации в системе НКАП, считая основной задачей института создание реактивных двигателей. Этим же постановлением разработка реактивных боевых самолетов была признана первоочередной задачей советской авиационной промышленности, и к ее решению привлекли коллективы опытно-конструкторских бюро, возглавляемые А.С.Яковлевым, С.А.Лавочкиным, А.И.Микояном, П.О.Сухим.</w:t>
      </w:r>
    </w:p>
    <w:p w14:paraId="4CEC955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короткие сроки в Советском Союзе были развернуты работы по теоретическим, экспериментальным и опытно-конструкторским исследованиям различных направлений развития авиационных реактивных двигателей. Проектировались и строились жидкостные, прямоточные и пульсирующие двигатели, создавалась комбинированная (мотокомпрессорная) силовая установка. Все эти типы двигателей должны были пройти летные испытания на серийных или специально спроектированных опытных самолетах. Велась также разработка турбореактивного двигателя. Практически все работы по авиационным реактивным силовым установкам, проводившиеся в тот период, базировались на научно-техническом заделе, созданном еще в предвоенные и, частично, в военные годы.</w:t>
      </w:r>
    </w:p>
    <w:p w14:paraId="2B2B17E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Одновременно обобщались результаты теоретических и экспериментальных исследований по изучению особенностей полета на больших скоростях, проводившихся в период с 1939 по 1943 гг. Разрабатывались конкретные рекомендации конструкторам по аэродинамической компоновке новых скоростных самолетов с реактивными двигателями, которые основывались на продувках моделей в аэродинамической трубе больших скоростей Т-106, введенной в эксплуатацию в 1943 г.</w:t>
      </w:r>
    </w:p>
    <w:p w14:paraId="2F3FFFA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этих работ не замедлили сказаться. Уже через год после принятия постановления ГКО на летные испытания вышли экспериментальные самолеты со смешанными силовыми установками (Ла-7Р, Як-ЗРД, И-250, Су-5), завершилось проектирование опытных самолетов с жидкостными реактивными двигателями (И-270, “4302”), начались работы по легким и тяжелым пушечным истребителям с трофейными турбореактивными двигателями, захваченными в побежденной Германии (9528).</w:t>
      </w:r>
    </w:p>
    <w:p w14:paraId="4540BA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3E0B32"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г. в постановлении № 5201 Государственный Комитет Обороны (ГКО) указал на нетерпимое положение с развитием реактивной техники в стране. Придавая исключительное значение делу создания в СССР реактивной авиации, решение этой задачи наконец-то было целиком возложено на НКАП. Этим документом был ликвидирован ГИРТ, а А.И. Шахурину и А.С. Яковлеву поручалось собрать все квалифицированные силы и организовать Научно-исследовательский институт реактивной авиации (НИИ-1), считая его основной задачей создание реактивных двигателей. Таким образом, в структуре НКАП стало два основных центра, которым было поручено заниматься проблемами реактивного двигателестроения: НИИ-1 (образован 28 февраля 1944 г. приказом НКАП № 149 на базе ГИРТ и завода № 293) и ЦИАМ.</w:t>
      </w:r>
    </w:p>
    <w:p w14:paraId="6A405E32"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Постановлением предписывалось конкретные предложения по строительству реактивных двигателей представить в ГКО к 15 марта 1944 г. Спустя почти два месяца, 22 мая, постановлением № 5946 ГКО утвердил эти предложения. В последовавшем 30 мая приказе НКАП № 371 всем главным конструкторам, занимавшимся созданием истребителей, были официально выданы следующие задания. А.С. Яковлеву надлежало модифицировать истребитель Як-9 с мотором ВК-105ПФ, оснастив его дополнительным однокамерным ракетным двигателем РД-1 конструкции В.П. Глушко, а также разработать экспериментальный истребитель с таким же, но трехкамерным ракетным двигателем. СА. Лавочкина обязали произвести аналогичную доработку истребителя Ла-5 с мотором АШ-82ФН или АШ-83, а также спроектировать экспериментальный истребитель с реактивным двигателем ТР-1 конструкции A.M. Люльки. Н.Н. Поликарпову приказывали разработать экспериментальный истребитель с двухкамерным реактивным двигателем конструкции Л.С. Душкина, а П.О. Сухому – экспериментальный истребитель с мотором ВК-107А и дополнительным воздушно-реактивным двигателем с компрессором конструкции ЦИАМ, а также модификацию самолета Су-6 под мотор АШ-82ФН 2ТК2 или АШ-82 с дополнительным однокамерным двигателем РД-1. Что касается А.И. Микояна и М.И. Гуревича, то в их задачу входило создание экспериментального истребителя с мотором ВК-107А и дополнительным воздушно-реактивным двигателем с компрессором конструкции ЦИАМ.</w:t>
      </w:r>
    </w:p>
    <w:p w14:paraId="426A869F"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ввиду неясности, какое из направлений в реактивном двигателестроении наиболее перспективно, конструкторам поручили охватить все реально существовавшие на то время типы силовых установок – ЖРД, ТРД и ВДРК.</w:t>
      </w:r>
    </w:p>
    <w:p w14:paraId="0BBB4F2B" w14:textId="77777777" w:rsidR="0035263A" w:rsidRPr="00070ADE" w:rsidRDefault="003526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 ОКБ-155 над самолетом, получившим название И-250 и заводской шифр «Н», изложена в ряде публикаций</w:t>
      </w:r>
      <w:r w:rsidR="00E60A77" w:rsidRPr="00070ADE">
        <w:rPr>
          <w:rFonts w:ascii="Times New Roman" w:hAnsi="Times New Roman"/>
          <w:color w:val="000000" w:themeColor="text1"/>
          <w:sz w:val="16"/>
          <w:szCs w:val="16"/>
        </w:rPr>
        <w:fldChar w:fldCharType="begin"/>
      </w:r>
      <w:r w:rsidR="00E60A77" w:rsidRPr="00070ADE">
        <w:rPr>
          <w:rFonts w:ascii="Times New Roman" w:hAnsi="Times New Roman"/>
          <w:color w:val="000000" w:themeColor="text1"/>
          <w:sz w:val="16"/>
          <w:szCs w:val="16"/>
        </w:rPr>
        <w:instrText xml:space="preserve">ref HYPERLINK  \l "n_164" \* MERGEFORMAT </w:instrText>
      </w:r>
      <w:r w:rsidR="00E60A77" w:rsidRPr="00070ADE">
        <w:rPr>
          <w:rFonts w:ascii="Times New Roman" w:hAnsi="Times New Roman"/>
          <w:color w:val="000000" w:themeColor="text1"/>
          <w:sz w:val="16"/>
          <w:szCs w:val="16"/>
        </w:rPr>
        <w:fldChar w:fldCharType="separate"/>
      </w:r>
      <w:r w:rsidRPr="00070ADE">
        <w:rPr>
          <w:rFonts w:ascii="Times New Roman" w:hAnsi="Times New Roman"/>
          <w:color w:val="000000" w:themeColor="text1"/>
          <w:sz w:val="16"/>
          <w:szCs w:val="16"/>
        </w:rPr>
        <w:t>[164]</w:t>
      </w:r>
      <w:r w:rsidR="00E60A77" w:rsidRPr="00070ADE">
        <w:rPr>
          <w:rFonts w:ascii="Times New Roman" w:hAnsi="Times New Roman"/>
          <w:color w:val="000000" w:themeColor="text1"/>
          <w:sz w:val="16"/>
          <w:szCs w:val="16"/>
        </w:rPr>
        <w:fldChar w:fldCharType="end"/>
      </w:r>
      <w:r w:rsidRPr="00070ADE">
        <w:rPr>
          <w:rFonts w:ascii="Times New Roman" w:hAnsi="Times New Roman"/>
          <w:color w:val="000000" w:themeColor="text1"/>
          <w:sz w:val="16"/>
          <w:szCs w:val="16"/>
        </w:rPr>
        <w:t xml:space="preserve">. Нас же в данном случае интересует проблема серийного производства первого реактивного МиГа. Кстати, это был первый цельнометаллический самолет разработки ОКБ Микояна и Гуревича. Ведущим </w:t>
      </w:r>
      <w:r w:rsidRPr="00070ADE">
        <w:rPr>
          <w:rFonts w:ascii="Times New Roman" w:hAnsi="Times New Roman"/>
          <w:color w:val="000000" w:themeColor="text1"/>
          <w:sz w:val="16"/>
          <w:szCs w:val="16"/>
        </w:rPr>
        <w:lastRenderedPageBreak/>
        <w:t>инженером на время его проектирования и постройки назначили А.А. Андреева, а для сотрудников, занятых в проекте, объявили обязательный 10-часовой рабочий день (12207).</w:t>
      </w:r>
    </w:p>
    <w:p w14:paraId="2BD8CA16" w14:textId="77777777" w:rsidR="0035263A" w:rsidRPr="00070ADE" w:rsidRDefault="0035263A" w:rsidP="00B56F90">
      <w:pPr>
        <w:spacing w:after="0" w:line="240" w:lineRule="auto"/>
        <w:jc w:val="both"/>
        <w:rPr>
          <w:rFonts w:ascii="Times New Roman" w:hAnsi="Times New Roman"/>
          <w:color w:val="000000" w:themeColor="text1"/>
          <w:sz w:val="16"/>
          <w:szCs w:val="16"/>
        </w:rPr>
      </w:pPr>
    </w:p>
    <w:p w14:paraId="36CD80F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w:t>
      </w:r>
      <w:r w:rsidRPr="00070ADE">
        <w:rPr>
          <w:rFonts w:ascii="Times New Roman" w:hAnsi="Times New Roman"/>
          <w:color w:val="000000" w:themeColor="text1"/>
          <w:sz w:val="16"/>
          <w:szCs w:val="16"/>
        </w:rPr>
        <w:softHyphen/>
        <w:t>раля 1944 года по решению ГКО СССР в системе НКАП СССР был создан специализированный НИИ-1, объединивший все конструкторские коллективы, работающие над реактив</w:t>
      </w:r>
      <w:r w:rsidRPr="00070ADE">
        <w:rPr>
          <w:rFonts w:ascii="Times New Roman" w:hAnsi="Times New Roman"/>
          <w:color w:val="000000" w:themeColor="text1"/>
          <w:sz w:val="16"/>
          <w:szCs w:val="16"/>
        </w:rPr>
        <w:softHyphen/>
        <w:t>ными двигателями (10706).</w:t>
      </w:r>
    </w:p>
    <w:p w14:paraId="04D853F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1966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г. №5201 ГКО в своем постанов</w:t>
      </w:r>
      <w:r w:rsidRPr="00070ADE">
        <w:rPr>
          <w:rFonts w:ascii="Times New Roman" w:hAnsi="Times New Roman"/>
          <w:color w:val="000000" w:themeColor="text1"/>
          <w:sz w:val="16"/>
          <w:szCs w:val="16"/>
        </w:rPr>
        <w:softHyphen/>
        <w:t>лении указал на нетерпимое положение с раз</w:t>
      </w:r>
      <w:r w:rsidRPr="00070ADE">
        <w:rPr>
          <w:rFonts w:ascii="Times New Roman" w:hAnsi="Times New Roman"/>
          <w:color w:val="000000" w:themeColor="text1"/>
          <w:sz w:val="16"/>
          <w:szCs w:val="16"/>
        </w:rPr>
        <w:softHyphen/>
        <w:t>витием реактивной техники в стране. Решение этой проблемы было теперь целиком возложено на НКАП. Не спра</w:t>
      </w:r>
      <w:r w:rsidRPr="00070ADE">
        <w:rPr>
          <w:rFonts w:ascii="Times New Roman" w:hAnsi="Times New Roman"/>
          <w:color w:val="000000" w:themeColor="text1"/>
          <w:sz w:val="16"/>
          <w:szCs w:val="16"/>
        </w:rPr>
        <w:softHyphen/>
        <w:t>вившийся со своими задачами ГИРТ при СНК СССР был ликвидирован (дирек</w:t>
      </w:r>
      <w:r w:rsidRPr="00070ADE">
        <w:rPr>
          <w:rFonts w:ascii="Times New Roman" w:hAnsi="Times New Roman"/>
          <w:color w:val="000000" w:themeColor="text1"/>
          <w:sz w:val="16"/>
          <w:szCs w:val="16"/>
        </w:rPr>
        <w:softHyphen/>
        <w:t>тор института А. Г. Костиков за обман руководства страны был арестован), а НКАП поручалось собрать все квали</w:t>
      </w:r>
      <w:r w:rsidRPr="00070ADE">
        <w:rPr>
          <w:rFonts w:ascii="Times New Roman" w:hAnsi="Times New Roman"/>
          <w:color w:val="000000" w:themeColor="text1"/>
          <w:sz w:val="16"/>
          <w:szCs w:val="16"/>
        </w:rPr>
        <w:softHyphen/>
        <w:t>фицированные кадры и организовать Научно-исследовательский институт реактивной авиации (НИИРА) с целью создания реактивных двигателей. Пер</w:t>
      </w:r>
      <w:r w:rsidRPr="00070ADE">
        <w:rPr>
          <w:rFonts w:ascii="Times New Roman" w:hAnsi="Times New Roman"/>
          <w:color w:val="000000" w:themeColor="text1"/>
          <w:sz w:val="16"/>
          <w:szCs w:val="16"/>
        </w:rPr>
        <w:softHyphen/>
        <w:t>вым его начальником стал В.И. Поликов-ский, а его заместителем по научной ча</w:t>
      </w:r>
      <w:r w:rsidRPr="00070ADE">
        <w:rPr>
          <w:rFonts w:ascii="Times New Roman" w:hAnsi="Times New Roman"/>
          <w:color w:val="000000" w:themeColor="text1"/>
          <w:sz w:val="16"/>
          <w:szCs w:val="16"/>
        </w:rPr>
        <w:softHyphen/>
        <w:t>сти — Г.Н. Абрамович.</w:t>
      </w:r>
    </w:p>
    <w:p w14:paraId="3B71781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Позже, 22 мая 1944 г., постановлени</w:t>
      </w:r>
      <w:r w:rsidRPr="00070ADE">
        <w:rPr>
          <w:rFonts w:ascii="Times New Roman" w:hAnsi="Times New Roman"/>
          <w:color w:val="000000" w:themeColor="text1"/>
          <w:sz w:val="16"/>
          <w:szCs w:val="16"/>
        </w:rPr>
        <w:softHyphen/>
        <w:t>ем ГКО №5946 НИИРА переименовыва</w:t>
      </w:r>
      <w:r w:rsidRPr="00070ADE">
        <w:rPr>
          <w:rFonts w:ascii="Times New Roman" w:hAnsi="Times New Roman"/>
          <w:color w:val="000000" w:themeColor="text1"/>
          <w:sz w:val="16"/>
          <w:szCs w:val="16"/>
        </w:rPr>
        <w:softHyphen/>
        <w:t>ется в НИИ-1 НКАП. Начальником ин</w:t>
      </w:r>
      <w:r w:rsidRPr="00070ADE">
        <w:rPr>
          <w:rFonts w:ascii="Times New Roman" w:hAnsi="Times New Roman"/>
          <w:color w:val="000000" w:themeColor="text1"/>
          <w:sz w:val="16"/>
          <w:szCs w:val="16"/>
        </w:rPr>
        <w:softHyphen/>
        <w:t>ститута назначили генерал-майора авиа</w:t>
      </w:r>
      <w:r w:rsidRPr="00070ADE">
        <w:rPr>
          <w:rFonts w:ascii="Times New Roman" w:hAnsi="Times New Roman"/>
          <w:color w:val="000000" w:themeColor="text1"/>
          <w:sz w:val="16"/>
          <w:szCs w:val="16"/>
        </w:rPr>
        <w:softHyphen/>
        <w:t>ции П.И. Федорова. В состав института в качестве филиала № 1 было включено ОКБ-293, разрабатывавшее первые со</w:t>
      </w:r>
      <w:r w:rsidRPr="00070ADE">
        <w:rPr>
          <w:rFonts w:ascii="Times New Roman" w:hAnsi="Times New Roman"/>
          <w:color w:val="000000" w:themeColor="text1"/>
          <w:sz w:val="16"/>
          <w:szCs w:val="16"/>
        </w:rPr>
        <w:softHyphen/>
        <w:t>ветские реактивные самолеты БИ-1, а его руководитель В.Ф. Болховитинов стал первым заместите</w:t>
      </w:r>
      <w:r w:rsidRPr="00070ADE">
        <w:rPr>
          <w:rFonts w:ascii="Times New Roman" w:hAnsi="Times New Roman"/>
          <w:color w:val="000000" w:themeColor="text1"/>
          <w:sz w:val="16"/>
          <w:szCs w:val="16"/>
        </w:rPr>
        <w:softHyphen/>
        <w:t>лем начальника. Инсти</w:t>
      </w:r>
      <w:r w:rsidRPr="00070ADE">
        <w:rPr>
          <w:rFonts w:ascii="Times New Roman" w:hAnsi="Times New Roman"/>
          <w:color w:val="000000" w:themeColor="text1"/>
          <w:sz w:val="16"/>
          <w:szCs w:val="16"/>
        </w:rPr>
        <w:softHyphen/>
        <w:t>тут был переориентиро</w:t>
      </w:r>
      <w:r w:rsidRPr="00070ADE">
        <w:rPr>
          <w:rFonts w:ascii="Times New Roman" w:hAnsi="Times New Roman"/>
          <w:color w:val="000000" w:themeColor="text1"/>
          <w:sz w:val="16"/>
          <w:szCs w:val="16"/>
        </w:rPr>
        <w:softHyphen/>
        <w:t>ван на решение задач со</w:t>
      </w:r>
      <w:r w:rsidRPr="00070ADE">
        <w:rPr>
          <w:rFonts w:ascii="Times New Roman" w:hAnsi="Times New Roman"/>
          <w:color w:val="000000" w:themeColor="text1"/>
          <w:sz w:val="16"/>
          <w:szCs w:val="16"/>
        </w:rPr>
        <w:softHyphen/>
        <w:t>здания реактивный авиа</w:t>
      </w:r>
      <w:r w:rsidRPr="00070ADE">
        <w:rPr>
          <w:rFonts w:ascii="Times New Roman" w:hAnsi="Times New Roman"/>
          <w:color w:val="000000" w:themeColor="text1"/>
          <w:sz w:val="16"/>
          <w:szCs w:val="16"/>
        </w:rPr>
        <w:softHyphen/>
        <w:t>ции, в первую очередь по разработке жидкостных ракетных и воздушно-ре</w:t>
      </w:r>
      <w:r w:rsidRPr="00070ADE">
        <w:rPr>
          <w:rFonts w:ascii="Times New Roman" w:hAnsi="Times New Roman"/>
          <w:color w:val="000000" w:themeColor="text1"/>
          <w:sz w:val="16"/>
          <w:szCs w:val="16"/>
        </w:rPr>
        <w:softHyphen/>
        <w:t>активных двигателей. Разработку реактивных снарядов как непрофиль</w:t>
      </w:r>
      <w:r w:rsidRPr="00070ADE">
        <w:rPr>
          <w:rFonts w:ascii="Times New Roman" w:hAnsi="Times New Roman"/>
          <w:color w:val="000000" w:themeColor="text1"/>
          <w:sz w:val="16"/>
          <w:szCs w:val="16"/>
        </w:rPr>
        <w:softHyphen/>
        <w:t>ную тематику руковод</w:t>
      </w:r>
      <w:r w:rsidRPr="00070ADE">
        <w:rPr>
          <w:rFonts w:ascii="Times New Roman" w:hAnsi="Times New Roman"/>
          <w:color w:val="000000" w:themeColor="text1"/>
          <w:sz w:val="16"/>
          <w:szCs w:val="16"/>
        </w:rPr>
        <w:softHyphen/>
        <w:t>ство Наркомата авиапро-ма стремилось передать из НИИ-1 в другую спе</w:t>
      </w:r>
      <w:r w:rsidRPr="00070ADE">
        <w:rPr>
          <w:rFonts w:ascii="Times New Roman" w:hAnsi="Times New Roman"/>
          <w:color w:val="000000" w:themeColor="text1"/>
          <w:sz w:val="16"/>
          <w:szCs w:val="16"/>
        </w:rPr>
        <w:softHyphen/>
        <w:t>циализированную орга</w:t>
      </w:r>
      <w:r w:rsidRPr="00070ADE">
        <w:rPr>
          <w:rFonts w:ascii="Times New Roman" w:hAnsi="Times New Roman"/>
          <w:color w:val="000000" w:themeColor="text1"/>
          <w:sz w:val="16"/>
          <w:szCs w:val="16"/>
        </w:rPr>
        <w:softHyphen/>
        <w:t>низацию (11090).</w:t>
      </w:r>
    </w:p>
    <w:p w14:paraId="0B1980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204EEA"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г. выходит Постановление Государственного коми</w:t>
      </w:r>
      <w:r w:rsidRPr="00070ADE">
        <w:rPr>
          <w:rFonts w:ascii="Times New Roman" w:hAnsi="Times New Roman"/>
          <w:color w:val="000000" w:themeColor="text1"/>
          <w:sz w:val="16"/>
          <w:szCs w:val="16"/>
        </w:rPr>
        <w:softHyphen/>
        <w:t>тета обороны «О работе Государственно</w:t>
      </w:r>
      <w:r w:rsidRPr="00070ADE">
        <w:rPr>
          <w:rFonts w:ascii="Times New Roman" w:hAnsi="Times New Roman"/>
          <w:color w:val="000000" w:themeColor="text1"/>
          <w:sz w:val="16"/>
          <w:szCs w:val="16"/>
        </w:rPr>
        <w:softHyphen/>
        <w:t>го института реактивной техники при СНК СССР и о мероприятиях по развитию ре</w:t>
      </w:r>
      <w:r w:rsidRPr="00070ADE">
        <w:rPr>
          <w:rFonts w:ascii="Times New Roman" w:hAnsi="Times New Roman"/>
          <w:color w:val="000000" w:themeColor="text1"/>
          <w:sz w:val="16"/>
          <w:szCs w:val="16"/>
        </w:rPr>
        <w:softHyphen/>
        <w:t>активной авиации»:</w:t>
      </w:r>
    </w:p>
    <w:p w14:paraId="4180214D"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«Государственный Комитет Оборо</w:t>
      </w:r>
      <w:r w:rsidRPr="00070ADE">
        <w:rPr>
          <w:rFonts w:ascii="Times New Roman" w:hAnsi="Times New Roman"/>
          <w:color w:val="000000" w:themeColor="text1"/>
          <w:sz w:val="16"/>
          <w:szCs w:val="16"/>
        </w:rPr>
        <w:softHyphen/>
        <w:t>ны отмечает, что Государственный ин</w:t>
      </w:r>
      <w:r w:rsidRPr="00070ADE">
        <w:rPr>
          <w:rFonts w:ascii="Times New Roman" w:hAnsi="Times New Roman"/>
          <w:color w:val="000000" w:themeColor="text1"/>
          <w:sz w:val="16"/>
          <w:szCs w:val="16"/>
        </w:rPr>
        <w:softHyphen/>
        <w:t>ститут реактивной техники при СНК СССР (ГИРТ), руководимый т. Костико</w:t>
      </w:r>
      <w:r w:rsidRPr="00070ADE">
        <w:rPr>
          <w:rFonts w:ascii="Times New Roman" w:hAnsi="Times New Roman"/>
          <w:color w:val="000000" w:themeColor="text1"/>
          <w:sz w:val="16"/>
          <w:szCs w:val="16"/>
        </w:rPr>
        <w:softHyphen/>
        <w:t>вым, не справился с порученной ему зада</w:t>
      </w:r>
      <w:r w:rsidRPr="00070ADE">
        <w:rPr>
          <w:rFonts w:ascii="Times New Roman" w:hAnsi="Times New Roman"/>
          <w:color w:val="000000" w:themeColor="text1"/>
          <w:sz w:val="16"/>
          <w:szCs w:val="16"/>
        </w:rPr>
        <w:softHyphen/>
        <w:t>чей создания как реактивного двигателя, так и реактивного самолёта, ни по сро</w:t>
      </w:r>
      <w:r w:rsidRPr="00070ADE">
        <w:rPr>
          <w:rFonts w:ascii="Times New Roman" w:hAnsi="Times New Roman"/>
          <w:color w:val="000000" w:themeColor="text1"/>
          <w:sz w:val="16"/>
          <w:szCs w:val="16"/>
        </w:rPr>
        <w:softHyphen/>
        <w:t>кам, ни по тактико-техническим данным. За полтора года ГИРТ не сумел прибли</w:t>
      </w:r>
      <w:r w:rsidRPr="00070ADE">
        <w:rPr>
          <w:rFonts w:ascii="Times New Roman" w:hAnsi="Times New Roman"/>
          <w:color w:val="000000" w:themeColor="text1"/>
          <w:sz w:val="16"/>
          <w:szCs w:val="16"/>
        </w:rPr>
        <w:softHyphen/>
        <w:t>зить задачу реактивного полёта к пра</w:t>
      </w:r>
      <w:r w:rsidRPr="00070ADE">
        <w:rPr>
          <w:rFonts w:ascii="Times New Roman" w:hAnsi="Times New Roman"/>
          <w:color w:val="000000" w:themeColor="text1"/>
          <w:sz w:val="16"/>
          <w:szCs w:val="16"/>
        </w:rPr>
        <w:softHyphen/>
        <w:t>ктическому разрешению.</w:t>
      </w:r>
    </w:p>
    <w:p w14:paraId="6B8A6CF3"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Предложенные т. Костиковым Государ</w:t>
      </w:r>
      <w:r w:rsidRPr="00070ADE">
        <w:rPr>
          <w:rFonts w:ascii="Times New Roman" w:hAnsi="Times New Roman"/>
          <w:color w:val="000000" w:themeColor="text1"/>
          <w:sz w:val="16"/>
          <w:szCs w:val="16"/>
        </w:rPr>
        <w:softHyphen/>
        <w:t>ственному Комитету Обороны данные его реактивных самолётов совершенно не со</w:t>
      </w:r>
      <w:r w:rsidRPr="00070ADE">
        <w:rPr>
          <w:rFonts w:ascii="Times New Roman" w:hAnsi="Times New Roman"/>
          <w:color w:val="000000" w:themeColor="text1"/>
          <w:sz w:val="16"/>
          <w:szCs w:val="16"/>
        </w:rPr>
        <w:softHyphen/>
        <w:t>ответствуют получающимся результа</w:t>
      </w:r>
      <w:r w:rsidRPr="00070ADE">
        <w:rPr>
          <w:rFonts w:ascii="Times New Roman" w:hAnsi="Times New Roman"/>
          <w:color w:val="000000" w:themeColor="text1"/>
          <w:sz w:val="16"/>
          <w:szCs w:val="16"/>
        </w:rPr>
        <w:softHyphen/>
        <w:t>там, а сроки создания этих самолётов и двигателей сорваны. Не справившись с ра</w:t>
      </w:r>
      <w:r w:rsidRPr="00070ADE">
        <w:rPr>
          <w:rFonts w:ascii="Times New Roman" w:hAnsi="Times New Roman"/>
          <w:color w:val="000000" w:themeColor="text1"/>
          <w:sz w:val="16"/>
          <w:szCs w:val="16"/>
        </w:rPr>
        <w:softHyphen/>
        <w:t>ботой, т. Костиков принимал все меры к тому, чтобы создать видимость актив</w:t>
      </w:r>
      <w:r w:rsidRPr="00070ADE">
        <w:rPr>
          <w:rFonts w:ascii="Times New Roman" w:hAnsi="Times New Roman"/>
          <w:color w:val="000000" w:themeColor="text1"/>
          <w:sz w:val="16"/>
          <w:szCs w:val="16"/>
        </w:rPr>
        <w:softHyphen/>
        <w:t>ной и плодотворной работы по вопро</w:t>
      </w:r>
      <w:r w:rsidRPr="00070ADE">
        <w:rPr>
          <w:rFonts w:ascii="Times New Roman" w:hAnsi="Times New Roman"/>
          <w:color w:val="000000" w:themeColor="text1"/>
          <w:sz w:val="16"/>
          <w:szCs w:val="16"/>
        </w:rPr>
        <w:softHyphen/>
        <w:t>су реактивной техники, чем ввел в заблу</w:t>
      </w:r>
      <w:r w:rsidRPr="00070ADE">
        <w:rPr>
          <w:rFonts w:ascii="Times New Roman" w:hAnsi="Times New Roman"/>
          <w:color w:val="000000" w:themeColor="text1"/>
          <w:sz w:val="16"/>
          <w:szCs w:val="16"/>
        </w:rPr>
        <w:softHyphen/>
        <w:t>ждение правительство, а создавая лож</w:t>
      </w:r>
      <w:r w:rsidRPr="00070ADE">
        <w:rPr>
          <w:rFonts w:ascii="Times New Roman" w:hAnsi="Times New Roman"/>
          <w:color w:val="000000" w:themeColor="text1"/>
          <w:sz w:val="16"/>
          <w:szCs w:val="16"/>
        </w:rPr>
        <w:softHyphen/>
        <w:t>ное впечатление, что порученная ГИРТу задача успешно разрешается, нанес круп</w:t>
      </w:r>
      <w:r w:rsidRPr="00070ADE">
        <w:rPr>
          <w:rFonts w:ascii="Times New Roman" w:hAnsi="Times New Roman"/>
          <w:color w:val="000000" w:themeColor="text1"/>
          <w:sz w:val="16"/>
          <w:szCs w:val="16"/>
        </w:rPr>
        <w:softHyphen/>
        <w:t>ный ущерб развитию реактивной техники в СССР и затормозил ее развитие.</w:t>
      </w:r>
    </w:p>
    <w:p w14:paraId="38828849"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Считая такое положение дела с разви</w:t>
      </w:r>
      <w:r w:rsidRPr="00070ADE">
        <w:rPr>
          <w:rFonts w:ascii="Times New Roman" w:hAnsi="Times New Roman"/>
          <w:color w:val="000000" w:themeColor="text1"/>
          <w:sz w:val="16"/>
          <w:szCs w:val="16"/>
        </w:rPr>
        <w:softHyphen/>
        <w:t>тием реактивной техники в СССР совер</w:t>
      </w:r>
      <w:r w:rsidRPr="00070ADE">
        <w:rPr>
          <w:rFonts w:ascii="Times New Roman" w:hAnsi="Times New Roman"/>
          <w:color w:val="000000" w:themeColor="text1"/>
          <w:sz w:val="16"/>
          <w:szCs w:val="16"/>
        </w:rPr>
        <w:softHyphen/>
        <w:t>шенно нетерпимым, Государственный Ко</w:t>
      </w:r>
      <w:r w:rsidRPr="00070ADE">
        <w:rPr>
          <w:rFonts w:ascii="Times New Roman" w:hAnsi="Times New Roman"/>
          <w:color w:val="000000" w:themeColor="text1"/>
          <w:sz w:val="16"/>
          <w:szCs w:val="16"/>
        </w:rPr>
        <w:softHyphen/>
        <w:t>митет Обороны постановляет:</w:t>
      </w:r>
    </w:p>
    <w:p w14:paraId="02B3227A"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Отстранить т. Костикова А.Г. от работы начальника и главного кон</w:t>
      </w:r>
      <w:r w:rsidRPr="00070ADE">
        <w:rPr>
          <w:rFonts w:ascii="Times New Roman" w:hAnsi="Times New Roman"/>
          <w:color w:val="000000" w:themeColor="text1"/>
          <w:sz w:val="16"/>
          <w:szCs w:val="16"/>
        </w:rPr>
        <w:softHyphen/>
        <w:t>структора института и передать его дело прокурору Союза ССР, а Государствен</w:t>
      </w:r>
      <w:r w:rsidRPr="00070ADE">
        <w:rPr>
          <w:rFonts w:ascii="Times New Roman" w:hAnsi="Times New Roman"/>
          <w:color w:val="000000" w:themeColor="text1"/>
          <w:sz w:val="16"/>
          <w:szCs w:val="16"/>
        </w:rPr>
        <w:softHyphen/>
        <w:t>ный институт реактивной техники при СНК СССР, как не оправдавший своего на</w:t>
      </w:r>
      <w:r w:rsidRPr="00070ADE">
        <w:rPr>
          <w:rFonts w:ascii="Times New Roman" w:hAnsi="Times New Roman"/>
          <w:color w:val="000000" w:themeColor="text1"/>
          <w:sz w:val="16"/>
          <w:szCs w:val="16"/>
        </w:rPr>
        <w:softHyphen/>
        <w:t>значения, ликвидировать».</w:t>
      </w:r>
    </w:p>
    <w:p w14:paraId="2D3E6083"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Появление реактивных боевых само</w:t>
      </w:r>
      <w:r w:rsidRPr="00070ADE">
        <w:rPr>
          <w:rFonts w:ascii="Times New Roman" w:hAnsi="Times New Roman"/>
          <w:color w:val="000000" w:themeColor="text1"/>
          <w:sz w:val="16"/>
          <w:szCs w:val="16"/>
        </w:rPr>
        <w:softHyphen/>
        <w:t>лётов и у противника в лице гитлеров</w:t>
      </w:r>
      <w:r w:rsidRPr="00070ADE">
        <w:rPr>
          <w:rFonts w:ascii="Times New Roman" w:hAnsi="Times New Roman"/>
          <w:color w:val="000000" w:themeColor="text1"/>
          <w:sz w:val="16"/>
          <w:szCs w:val="16"/>
        </w:rPr>
        <w:softHyphen/>
        <w:t>ской Германии, и у союзников, которые вскоре могли стать противниками, дава</w:t>
      </w:r>
      <w:r w:rsidRPr="00070ADE">
        <w:rPr>
          <w:rFonts w:ascii="Times New Roman" w:hAnsi="Times New Roman"/>
          <w:color w:val="000000" w:themeColor="text1"/>
          <w:sz w:val="16"/>
          <w:szCs w:val="16"/>
        </w:rPr>
        <w:softHyphen/>
        <w:t>ло серьезнейший повод для беспокойст</w:t>
      </w:r>
      <w:r w:rsidRPr="00070ADE">
        <w:rPr>
          <w:rFonts w:ascii="Times New Roman" w:hAnsi="Times New Roman"/>
          <w:color w:val="000000" w:themeColor="text1"/>
          <w:sz w:val="16"/>
          <w:szCs w:val="16"/>
        </w:rPr>
        <w:softHyphen/>
        <w:t>ва. Для исправления создавшегося кри</w:t>
      </w:r>
      <w:r w:rsidRPr="00070ADE">
        <w:rPr>
          <w:rFonts w:ascii="Times New Roman" w:hAnsi="Times New Roman"/>
          <w:color w:val="000000" w:themeColor="text1"/>
          <w:sz w:val="16"/>
          <w:szCs w:val="16"/>
        </w:rPr>
        <w:softHyphen/>
        <w:t>тического положения Наркому авиапро</w:t>
      </w:r>
      <w:r w:rsidRPr="00070ADE">
        <w:rPr>
          <w:rFonts w:ascii="Times New Roman" w:hAnsi="Times New Roman"/>
          <w:color w:val="000000" w:themeColor="text1"/>
          <w:sz w:val="16"/>
          <w:szCs w:val="16"/>
        </w:rPr>
        <w:softHyphen/>
        <w:t>мышленности А.И. Шахурину и его заму по опытному самолётостроению А.С. Яков</w:t>
      </w:r>
      <w:r w:rsidRPr="00070ADE">
        <w:rPr>
          <w:rFonts w:ascii="Times New Roman" w:hAnsi="Times New Roman"/>
          <w:color w:val="000000" w:themeColor="text1"/>
          <w:sz w:val="16"/>
          <w:szCs w:val="16"/>
        </w:rPr>
        <w:softHyphen/>
        <w:t>леву тем же документом поручалось орга</w:t>
      </w:r>
      <w:r w:rsidRPr="00070ADE">
        <w:rPr>
          <w:rFonts w:ascii="Times New Roman" w:hAnsi="Times New Roman"/>
          <w:color w:val="000000" w:themeColor="text1"/>
          <w:sz w:val="16"/>
          <w:szCs w:val="16"/>
        </w:rPr>
        <w:softHyphen/>
        <w:t>низовать в своем ведомстве новый науч</w:t>
      </w:r>
      <w:r w:rsidRPr="00070ADE">
        <w:rPr>
          <w:rFonts w:ascii="Times New Roman" w:hAnsi="Times New Roman"/>
          <w:color w:val="000000" w:themeColor="text1"/>
          <w:sz w:val="16"/>
          <w:szCs w:val="16"/>
        </w:rPr>
        <w:softHyphen/>
        <w:t>но-исследовательский институт реактив</w:t>
      </w:r>
      <w:r w:rsidRPr="00070ADE">
        <w:rPr>
          <w:rFonts w:ascii="Times New Roman" w:hAnsi="Times New Roman"/>
          <w:color w:val="000000" w:themeColor="text1"/>
          <w:sz w:val="16"/>
          <w:szCs w:val="16"/>
        </w:rPr>
        <w:softHyphen/>
        <w:t>ной авиации (НИРА НКАП), собрав в нём лучших специалистов. Но в тексте были ещё два пункта:</w:t>
      </w:r>
    </w:p>
    <w:p w14:paraId="4D09524A"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наряду с работой по созданию ре</w:t>
      </w:r>
      <w:r w:rsidRPr="00070ADE">
        <w:rPr>
          <w:rFonts w:ascii="Times New Roman" w:hAnsi="Times New Roman"/>
          <w:color w:val="000000" w:themeColor="text1"/>
          <w:sz w:val="16"/>
          <w:szCs w:val="16"/>
        </w:rPr>
        <w:softHyphen/>
        <w:t>активного самолёта в институте реак</w:t>
      </w:r>
      <w:r w:rsidRPr="00070ADE">
        <w:rPr>
          <w:rFonts w:ascii="Times New Roman" w:hAnsi="Times New Roman"/>
          <w:color w:val="000000" w:themeColor="text1"/>
          <w:sz w:val="16"/>
          <w:szCs w:val="16"/>
        </w:rPr>
        <w:softHyphen/>
        <w:t>тивной авиации, поручить проектирова</w:t>
      </w:r>
      <w:r w:rsidRPr="00070ADE">
        <w:rPr>
          <w:rFonts w:ascii="Times New Roman" w:hAnsi="Times New Roman"/>
          <w:color w:val="000000" w:themeColor="text1"/>
          <w:sz w:val="16"/>
          <w:szCs w:val="16"/>
        </w:rPr>
        <w:softHyphen/>
        <w:t>ние и постройку реактивных самолётов Лавочкину, Микояну и Сухому;</w:t>
      </w:r>
    </w:p>
    <w:p w14:paraId="79A6C369"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к 15 марта с.г. представить в ГОКО конкретные предложения о строительст</w:t>
      </w:r>
      <w:r w:rsidRPr="00070ADE">
        <w:rPr>
          <w:rFonts w:ascii="Times New Roman" w:hAnsi="Times New Roman"/>
          <w:color w:val="000000" w:themeColor="text1"/>
          <w:sz w:val="16"/>
          <w:szCs w:val="16"/>
        </w:rPr>
        <w:softHyphen/>
        <w:t>ве реактивных двигателей и реактивных самолётов».</w:t>
      </w:r>
    </w:p>
    <w:p w14:paraId="0DA38DE1"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Шахурин обязательства на себя взял, и Микояну с Гуревичем поручил сразу три новых задания, обозначенных шифра</w:t>
      </w:r>
      <w:r w:rsidRPr="00070ADE">
        <w:rPr>
          <w:rFonts w:ascii="Times New Roman" w:hAnsi="Times New Roman"/>
          <w:color w:val="000000" w:themeColor="text1"/>
          <w:sz w:val="16"/>
          <w:szCs w:val="16"/>
        </w:rPr>
        <w:softHyphen/>
        <w:t>ми «Н», «Ф» и «У» (23586).</w:t>
      </w:r>
    </w:p>
    <w:p w14:paraId="5686B898" w14:textId="77777777" w:rsidR="002E58E0" w:rsidRPr="00070ADE" w:rsidRDefault="002E58E0" w:rsidP="00B56F90">
      <w:pPr>
        <w:spacing w:after="0" w:line="240" w:lineRule="auto"/>
        <w:jc w:val="both"/>
        <w:rPr>
          <w:rFonts w:ascii="Times New Roman" w:hAnsi="Times New Roman"/>
          <w:color w:val="000000" w:themeColor="text1"/>
          <w:sz w:val="16"/>
          <w:szCs w:val="16"/>
        </w:rPr>
      </w:pPr>
    </w:p>
    <w:p w14:paraId="0964807B"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г. Госкомитет обороны постановил: В связи с нетерпимым положением, сложившимся с развити</w:t>
      </w:r>
      <w:r w:rsidRPr="00070ADE">
        <w:rPr>
          <w:rFonts w:ascii="Times New Roman" w:hAnsi="Times New Roman"/>
          <w:color w:val="000000" w:themeColor="text1"/>
          <w:sz w:val="16"/>
          <w:szCs w:val="16"/>
        </w:rPr>
        <w:softHyphen/>
        <w:t>ем реактивной техники в СССР» [...] Государственный институт реактивной техники при СНК СССР ликвидировать» и возло</w:t>
      </w:r>
      <w:r w:rsidRPr="00070ADE">
        <w:rPr>
          <w:rFonts w:ascii="Times New Roman" w:hAnsi="Times New Roman"/>
          <w:color w:val="000000" w:themeColor="text1"/>
          <w:sz w:val="16"/>
          <w:szCs w:val="16"/>
        </w:rPr>
        <w:softHyphen/>
        <w:t>жить решение этой задачи на Наркомат авиационной промыш</w:t>
      </w:r>
      <w:r w:rsidRPr="00070ADE">
        <w:rPr>
          <w:rFonts w:ascii="Times New Roman" w:hAnsi="Times New Roman"/>
          <w:color w:val="000000" w:themeColor="text1"/>
          <w:sz w:val="16"/>
          <w:szCs w:val="16"/>
        </w:rPr>
        <w:softHyphen/>
        <w:t>ленности.</w:t>
      </w:r>
    </w:p>
    <w:p w14:paraId="6FA19951"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Органы НКВД 15 марта 1944 г. арестовали Костикова (уже уволенного с должности директора) по обвинению в шпионаже и вредительстве. До весны 1945 г. он находился в следственной тюрьме. Потом обвинения с него сняли и назначили начальником КБ в НИИ-24, разрабатывавший корпуса боеприпасов.</w:t>
      </w:r>
    </w:p>
    <w:p w14:paraId="25839FD4"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 ГИРТ в мае 1944 г. объединили с авиационным ОКБ-293, которым руководил Виктор Болховитинов (1899-1970), и пере</w:t>
      </w:r>
      <w:r w:rsidRPr="00070ADE">
        <w:rPr>
          <w:rFonts w:ascii="Times New Roman" w:hAnsi="Times New Roman"/>
          <w:color w:val="000000" w:themeColor="text1"/>
          <w:sz w:val="16"/>
          <w:szCs w:val="16"/>
        </w:rPr>
        <w:softHyphen/>
        <w:t>именовали в НИИ-1 наркомата авиапромышленности. Главной задачей нового НИИ Госкомитет обороны определил разработку реактивных двигателей к самолетам. Его директором назначили генерала Петра Фёдорова (1898-1945), возглавлявшего до этого НИИ ВВС. Болховитинов занял должность его заместителя по научной части.</w:t>
      </w:r>
    </w:p>
    <w:p w14:paraId="459754F8"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Переименования и реорганизации института продолжались и после войны (23550).</w:t>
      </w:r>
    </w:p>
    <w:p w14:paraId="59A37679" w14:textId="77777777" w:rsidR="002E58E0" w:rsidRPr="00070ADE" w:rsidRDefault="002E58E0" w:rsidP="00B56F90">
      <w:pPr>
        <w:spacing w:after="0" w:line="240" w:lineRule="auto"/>
        <w:jc w:val="both"/>
        <w:rPr>
          <w:rFonts w:ascii="Times New Roman" w:hAnsi="Times New Roman"/>
          <w:color w:val="000000" w:themeColor="text1"/>
          <w:sz w:val="16"/>
          <w:szCs w:val="16"/>
        </w:rPr>
      </w:pPr>
    </w:p>
    <w:p w14:paraId="6F04EBA0"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18 февраля 1944 г. по постановлению Государственного комитета обороны (ГКО) в НИИ-1 (бывший ГИРТ) разра</w:t>
      </w:r>
      <w:r w:rsidRPr="00070ADE">
        <w:rPr>
          <w:rFonts w:ascii="Times New Roman" w:hAnsi="Times New Roman"/>
          <w:color w:val="000000" w:themeColor="text1"/>
          <w:sz w:val="16"/>
          <w:szCs w:val="16"/>
        </w:rPr>
        <w:softHyphen/>
        <w:t>батывался одноместный эксперимен</w:t>
      </w:r>
      <w:r w:rsidRPr="00070ADE">
        <w:rPr>
          <w:rFonts w:ascii="Times New Roman" w:hAnsi="Times New Roman"/>
          <w:color w:val="000000" w:themeColor="text1"/>
          <w:sz w:val="16"/>
          <w:szCs w:val="16"/>
        </w:rPr>
        <w:softHyphen/>
        <w:t>тальный самолет по проекту инженера Ильи Флорентьевича Флорова для аэродинамических исследований. В качестве ДУ предлагалисъ жидкостные двигатели А.М.Исаева (тяга 1100 кгс) или Л.С. Душкина (двухкамерный, тя</w:t>
      </w:r>
      <w:r w:rsidRPr="00070ADE">
        <w:rPr>
          <w:rFonts w:ascii="Times New Roman" w:hAnsi="Times New Roman"/>
          <w:color w:val="000000" w:themeColor="text1"/>
          <w:sz w:val="16"/>
          <w:szCs w:val="16"/>
        </w:rPr>
        <w:softHyphen/>
        <w:t>га 1140 кгс), работавшие на азотной кислоте и керосине. Самолет строился по схеме цельнометаллического высо</w:t>
      </w:r>
      <w:r w:rsidRPr="00070ADE">
        <w:rPr>
          <w:rFonts w:ascii="Times New Roman" w:hAnsi="Times New Roman"/>
          <w:color w:val="000000" w:themeColor="text1"/>
          <w:sz w:val="16"/>
          <w:szCs w:val="16"/>
        </w:rPr>
        <w:softHyphen/>
        <w:t>коплана с нестреловидным (прямым) крылом, с отогнутыми вниз на 30° кон</w:t>
      </w:r>
      <w:r w:rsidRPr="00070ADE">
        <w:rPr>
          <w:rFonts w:ascii="Times New Roman" w:hAnsi="Times New Roman"/>
          <w:color w:val="000000" w:themeColor="text1"/>
          <w:sz w:val="16"/>
          <w:szCs w:val="16"/>
        </w:rPr>
        <w:softHyphen/>
        <w:t>цами, с сигарообразным фюзеляжем, лыжным посадочным шасси и взлет</w:t>
      </w:r>
      <w:r w:rsidRPr="00070ADE">
        <w:rPr>
          <w:rFonts w:ascii="Times New Roman" w:hAnsi="Times New Roman"/>
          <w:color w:val="000000" w:themeColor="text1"/>
          <w:sz w:val="16"/>
          <w:szCs w:val="16"/>
        </w:rPr>
        <w:softHyphen/>
        <w:t>ной тележкой. Горизонтальное опере</w:t>
      </w:r>
      <w:r w:rsidRPr="00070ADE">
        <w:rPr>
          <w:rFonts w:ascii="Times New Roman" w:hAnsi="Times New Roman"/>
          <w:color w:val="000000" w:themeColor="text1"/>
          <w:sz w:val="16"/>
          <w:szCs w:val="16"/>
        </w:rPr>
        <w:softHyphen/>
        <w:t>ние с концевыми шайбами (не рулями), однокилевое вертикальное оперение. Первые полеты должны были делаться на неубираемом шасси с хвостовым ко</w:t>
      </w:r>
      <w:r w:rsidRPr="00070ADE">
        <w:rPr>
          <w:rFonts w:ascii="Times New Roman" w:hAnsi="Times New Roman"/>
          <w:color w:val="000000" w:themeColor="text1"/>
          <w:sz w:val="16"/>
          <w:szCs w:val="16"/>
        </w:rPr>
        <w:softHyphen/>
        <w:t>лесом. Взлетная масса около 2400 кг (23388).</w:t>
      </w:r>
    </w:p>
    <w:p w14:paraId="2AD05A01" w14:textId="77777777" w:rsidR="002E58E0" w:rsidRPr="00070ADE" w:rsidRDefault="002E58E0" w:rsidP="00B56F90">
      <w:pPr>
        <w:spacing w:after="0" w:line="240" w:lineRule="auto"/>
        <w:jc w:val="both"/>
        <w:rPr>
          <w:rFonts w:ascii="Times New Roman" w:hAnsi="Times New Roman"/>
          <w:color w:val="000000" w:themeColor="text1"/>
          <w:sz w:val="16"/>
          <w:szCs w:val="16"/>
        </w:rPr>
      </w:pPr>
    </w:p>
    <w:p w14:paraId="7D6D0ACA" w14:textId="77777777" w:rsidR="00664EC9" w:rsidRPr="00C94B78" w:rsidRDefault="00664E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18 февраля 1944 года постановлением ГОКО № 5201 Институту реактивной техники НИИ-1 (бывший ГИРД А.Г. Костикова), переданному в состав НКАП, было поручено заниматься разработкой реактивных двигателей. Возглавил институт бывший начальник НИИ ВВС П.И. Фёдоров, его заместителем стал В.Ф. Болховитинов — создатель самолёта «БИ».</w:t>
      </w:r>
    </w:p>
    <w:p w14:paraId="5B43D41A" w14:textId="77777777" w:rsidR="00664EC9" w:rsidRPr="00C94B78" w:rsidRDefault="00664E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Новые руководители НИИ-1 проявляли живой интерес к самолётостроению. Помимо основных работ по ЖРД Исаева и Душкина, а также ТРД А.М. Люльки, было принято решение о постройке экспериментального самолёта по совместному проекту Болховитинова и Флорова. Задание утвердило 18-е Главное управление НКАП, отвечавшее за развитие реактивной техники.</w:t>
      </w:r>
    </w:p>
    <w:p w14:paraId="542CD8DD" w14:textId="77777777" w:rsidR="00664EC9" w:rsidRPr="00C94B78" w:rsidRDefault="00664E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Предполагалось построить два варианта машины: один с двигателем Исаева («4302»), другой — с двигателем Душкина («4303»). При полётной массе 2320 кг и 2350 кг соответственно, расчётные характеристики выглядели впечатляюще:</w:t>
      </w:r>
    </w:p>
    <w:p w14:paraId="578873F2" w14:textId="77777777" w:rsidR="00664EC9" w:rsidRPr="00C94B78" w:rsidRDefault="00664E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Максимальная скорость у земли: 1010 км/ч (М=0,82) и 1040 км/ч (М=0,85);</w:t>
      </w:r>
    </w:p>
    <w:p w14:paraId="28D4E6B4" w14:textId="77777777" w:rsidR="00664EC9" w:rsidRPr="00C94B78" w:rsidRDefault="00664E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 высоте 5000 м: 1015 км/ч (М=0,88) и 1050 км/ч (М=0,91);</w:t>
      </w:r>
    </w:p>
    <w:p w14:paraId="0AA34E6D" w14:textId="77777777" w:rsidR="00664EC9" w:rsidRPr="00C94B78" w:rsidRDefault="00664E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 высоте 15 000 м: 1050 км/ч (М=0,99) и 1090 км/ч (М=1,03);</w:t>
      </w:r>
    </w:p>
    <w:p w14:paraId="36046691" w14:textId="77777777" w:rsidR="00664EC9" w:rsidRPr="00C94B78" w:rsidRDefault="00664E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Время набора высоты 15 000 м: 2 мин 22 с и 1 мин 42,4 с;</w:t>
      </w:r>
    </w:p>
    <w:p w14:paraId="61DFA0A4" w14:textId="77777777" w:rsidR="00664EC9" w:rsidRPr="00C94B78" w:rsidRDefault="00664E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Практический потолок: 18 850 м и 19 750 м;</w:t>
      </w:r>
    </w:p>
    <w:p w14:paraId="5B2296DB" w14:textId="77777777" w:rsidR="00664EC9" w:rsidRPr="00C94B78" w:rsidRDefault="00664E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Продолжительность полёта: до 46 минут.</w:t>
      </w:r>
    </w:p>
    <w:p w14:paraId="5902433F" w14:textId="77777777" w:rsidR="00664EC9" w:rsidRPr="00C94B78" w:rsidRDefault="00664E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Оба аппарата предназначались для комплексных исследований: как самих ЖРД, так и аэродинамики сверхзвуковых скоростей. Особое внимание уделялось изучению распределения давления по профилю крыла и величине нагрузок в зоне волнового кризиса. Планировалось построить шесть экземпляров: два первых — для подготовки лётного состава, остальные — для проведения экспериментальных работ. Поскольку собственных производственных мощностей у института не хватало, планеры изготавливались на Горьковском авиазаводе № 21 им. Серго Орджоникидзе (тип 47). К 1 января 1946 года рабочие чертежи были готовы, и самолёты запустили в производство. Первые две машины планировалось вывести из сборочного цеха уже в марте (25717).</w:t>
      </w:r>
    </w:p>
    <w:p w14:paraId="46DAB31C" w14:textId="77777777" w:rsidR="00664EC9" w:rsidRPr="00C94B78" w:rsidRDefault="00664EC9" w:rsidP="00B56F90">
      <w:pPr>
        <w:spacing w:after="0" w:line="240" w:lineRule="auto"/>
        <w:jc w:val="both"/>
        <w:rPr>
          <w:rFonts w:ascii="Times New Roman" w:hAnsi="Times New Roman"/>
          <w:color w:val="0070C0"/>
          <w:sz w:val="16"/>
          <w:szCs w:val="16"/>
        </w:rPr>
      </w:pPr>
    </w:p>
    <w:p w14:paraId="16199C07"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года Костикова сняли с должности, разра</w:t>
      </w:r>
      <w:r w:rsidRPr="00070ADE">
        <w:rPr>
          <w:rFonts w:ascii="Times New Roman" w:hAnsi="Times New Roman"/>
          <w:color w:val="000000" w:themeColor="text1"/>
          <w:sz w:val="16"/>
          <w:szCs w:val="16"/>
        </w:rPr>
        <w:softHyphen/>
        <w:t>ботку самолета 302П прекратили, планер выбросили на свал</w:t>
      </w:r>
      <w:r w:rsidRPr="00070ADE">
        <w:rPr>
          <w:rFonts w:ascii="Times New Roman" w:hAnsi="Times New Roman"/>
          <w:color w:val="000000" w:themeColor="text1"/>
          <w:sz w:val="16"/>
          <w:szCs w:val="16"/>
        </w:rPr>
        <w:softHyphen/>
        <w:t>ку. Институт в очередной раз реорганизовали. На базе ГИРТа был создан Научно-исследовательский институт реактивной авиации Наркомата авиапромышленности (НИИРА НКАП). Его начальником по совместительству стал начальник ЦИАМ В.И.Поликовский.</w:t>
      </w:r>
    </w:p>
    <w:p w14:paraId="6F836CD7"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Интересно отметить, что в 1942-1943 годах сам Яковлев также разрабатывал проект истребителя-перехватчика с ком</w:t>
      </w:r>
      <w:r w:rsidRPr="00070ADE">
        <w:rPr>
          <w:rFonts w:ascii="Times New Roman" w:hAnsi="Times New Roman"/>
          <w:color w:val="000000" w:themeColor="text1"/>
          <w:sz w:val="16"/>
          <w:szCs w:val="16"/>
        </w:rPr>
        <w:softHyphen/>
        <w:t>бинированной двигательной установкой. Самолет Як-7Р дол</w:t>
      </w:r>
      <w:r w:rsidRPr="00070ADE">
        <w:rPr>
          <w:rFonts w:ascii="Times New Roman" w:hAnsi="Times New Roman"/>
          <w:color w:val="000000" w:themeColor="text1"/>
          <w:sz w:val="16"/>
          <w:szCs w:val="16"/>
        </w:rPr>
        <w:softHyphen/>
        <w:t>жен был оснащаться двумя ПВРД под крыльями и одним ЖРД в хвостовой части фюзеляжа. Прямоточным двигателем зани</w:t>
      </w:r>
      <w:r w:rsidRPr="00070ADE">
        <w:rPr>
          <w:rFonts w:ascii="Times New Roman" w:hAnsi="Times New Roman"/>
          <w:color w:val="000000" w:themeColor="text1"/>
          <w:sz w:val="16"/>
          <w:szCs w:val="16"/>
        </w:rPr>
        <w:softHyphen/>
        <w:t>мался И.А.Меркулов, а жидкостным... все тот же Л.С.Душкин. Проект Яковлева остался нереализованным из-за отсутствия надежно работающего ПВРД (23510).</w:t>
      </w:r>
    </w:p>
    <w:p w14:paraId="1FF36C11" w14:textId="77777777" w:rsidR="002E58E0" w:rsidRPr="00070ADE" w:rsidRDefault="002E58E0" w:rsidP="00B56F90">
      <w:pPr>
        <w:spacing w:after="0" w:line="240" w:lineRule="auto"/>
        <w:jc w:val="both"/>
        <w:rPr>
          <w:rFonts w:ascii="Times New Roman" w:hAnsi="Times New Roman"/>
          <w:color w:val="000000" w:themeColor="text1"/>
          <w:sz w:val="16"/>
          <w:szCs w:val="16"/>
        </w:rPr>
      </w:pPr>
    </w:p>
    <w:p w14:paraId="6C6915C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18 февраля 1944 г. Постановлением ГОКО № 5201сс было указано на «нетерпимое положение с реактивной техникой» и ГИРТ был ликвидирован. Одновременно все сооружения и кадры были переданы в НКАП (приказ № 111с от 18.02.1944 г.) и стали основой для образования Научно-исследовательского института реактивной авиации (НИРА) НКАП. Приказом № 115с от 18.02.1944 г. начальником временно назначен В.И. Поликовский. По приказу № 149сс от 28.02.1944 г. НИРА объединен с заводом № 293 (вместе с ОКБ-293) и преобразован в НИИ-1, в ведении 7ГУ НКАП. </w:t>
      </w:r>
    </w:p>
    <w:p w14:paraId="16764DD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Началось сосредоточение в институте основных кадров по реактивной технике. Сюда переведены: из ОКБ-293 - ЭКБ-3 М.М. Бондарюка (создан отдел ПВРД, далее- КБ-2 НИИ-1, с 10.1950 г.- самостоятельное ОКБ-670); из ЦИАМ - А.М. Люлька (выдано задание на создание ТРД тягой 1250 кг); группа В.П. Глушко; группа Л.С. Душкина; группа А.М. Исаева (ОКО при НИИ-1).</w:t>
      </w:r>
    </w:p>
    <w:p w14:paraId="5394E80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И.Ф. Флоров, работавший в ОКБ-293, в 07.1944 г. назначен начальником самолетного сектора № 43 НИИ-1 по приказу № 370сс от 30.05.1944 г. (с 1948 г.- в ЦИАМ). Здесь же с конца 1944 г. по 02.1945 г. работал А.А. Боровков. Создан самолет «4302» (1946 г.).</w:t>
      </w:r>
    </w:p>
    <w:p w14:paraId="129633D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 364с от 29.05.1944 г. начальником НИИ-1 назначен П.И. Федоров, 1-м замом по научно-исследовательской работе- В.Ф. Болховитинов. Приказом № 656с от 11.11.1944 г. НИИ-1 передан в 18ГУ, основное направление- реактивное двигателестроение. В 03.1946 г. в связи с ликвидацией 18ГУ передан в 8ГУ, с 1.10.1951 г.- в 6ГУ.</w:t>
      </w:r>
    </w:p>
    <w:p w14:paraId="27500D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03.1946 г. из НИИ-1 МАП на завод № 81 МАП переведена группа конструкторов (9 чел.), занимавшаяся установками РС. По приказу № 182сс от 30.03.1946 г. СКБ А.М. Люльки переведено на самостоятельную опытную базу- завод № 165 МАП, в состав его ОКБ передан личный состав отдела № 21 НИИ-1.</w:t>
      </w:r>
    </w:p>
    <w:p w14:paraId="452F83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1947 г. Келдышем разработан проект ракетного самолета с 2-мя ПВРД и ЖРД.</w:t>
      </w:r>
    </w:p>
    <w:p w14:paraId="4AE1925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1.07.1948 г. НИИ-1 являлся филиалом ЦИАМ (приказ № 440с от 21.06.1948 г.). В соответствии с постановлением СМ СССР от 10.03.1952 г. НИИ-1 МАП стал самостоятельным и получил также название НИИ РД (реактивных двигателей)59.</w:t>
      </w:r>
    </w:p>
    <w:p w14:paraId="4AB704A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НИИ-88 в институт переведена лаборатория по автоматической астрокоррекции под руководством И.М. Лисовича.</w:t>
      </w:r>
    </w:p>
    <w:p w14:paraId="6A39F1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 1950-х г., после выделения всех конструкторских организаций в самостоятельные, институт занимается НИР в ракетно-космической области и двигателестроении. </w:t>
      </w:r>
    </w:p>
    <w:p w14:paraId="4C01FB1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1954 г. создана лаборатория № 6 (руководитель- К.П. Осминин) по динамике КР.</w:t>
      </w:r>
    </w:p>
    <w:p w14:paraId="030A88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1950-е г. построена стендовая испытательная база в Тураево.</w:t>
      </w:r>
    </w:p>
    <w:p w14:paraId="4630274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1954 г. институт принимает активное участие в работах по МБР Р-7, МКР «Буран» и «Буря».</w:t>
      </w:r>
    </w:p>
    <w:p w14:paraId="4060793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1955 г. образован филиал по системам управления КР (начальник- Р.Г. Чачикян; гл. конструкторы: по астронавигации- И.М. Лисович, по автопилоту- Г.Н. Толстоусов).59 </w:t>
      </w:r>
    </w:p>
    <w:p w14:paraId="5017CF7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1956-57 г. построен газодинамический тепловой стенд Ц-12Т для испытаний ракет.59 </w:t>
      </w:r>
    </w:p>
    <w:p w14:paraId="3C7F95F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1950-е г. существовала лаборатория систем управления (руководитель- Б.В. Раушенбах). Разработаны системы ориентации КА на основе солнечных и лунных датчиков (Башкин, Князев). Затем группа Б.В. Раушенбаха переведена в ОКБ-1 ГКОТ.</w:t>
      </w:r>
    </w:p>
    <w:p w14:paraId="05A947B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1965 г. НИИ-1 ГКАТ передан в подчинение 2ГУ МОМ и по приказу от 6.03.1966 г. преобразован в НИИТП (тепловых процессов). В 1990-х г. передан в РКА. В 1995 г. переименован в Исследовательский центр им М.В. Келдыша. По Указу Президента РФ № 1009 от 4.08.2004 г. вошел в число стратегических оборонных предприятий.</w:t>
      </w:r>
    </w:p>
    <w:p w14:paraId="4A307A7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1960-е г.: научное обеспечение разработок ЖРД и теплозащиты головных частей ракет (1954-57 г.- БР Р-7 и МКР «Буря»), решение задач по выводу в космос КА. Проведены первые фундаментальные исследования ядерных ракетных двигателей (с конца 1950-х). Разработаны схемы электрических плазменных двигателей торцевого типа (А.А. Поротников). </w:t>
      </w:r>
    </w:p>
    <w:p w14:paraId="40D7ECC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1965 г. НИИТП- головная научно-исследовательская организация ракетного двигателестроения.</w:t>
      </w:r>
    </w:p>
    <w:p w14:paraId="36A40A5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Принимал участие в программе создания ОК «Буран». </w:t>
      </w:r>
    </w:p>
    <w:p w14:paraId="4E2DFA0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1970-80-е г.- научное обеспечение создания РДТТ для БРК.</w:t>
      </w:r>
    </w:p>
    <w:p w14:paraId="54DDEED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начале 1980-х г. создан плазмогенератор «Марабу», создающих вокруг движущегося объекта плазменную оболочку, снижающую радиолокационную заметность объекта.63 </w:t>
      </w:r>
    </w:p>
    <w:p w14:paraId="61211B4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Разработана технология создания в ионосфере плазменно-паровых облаков, отражающих РЛ-излучение (работал Ю.А. Уткин). Испытания установки «Мажор» проведены на космической станции «Мир».63 </w:t>
      </w:r>
    </w:p>
    <w:p w14:paraId="4E1F62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2000 г.: работы по ракетно-космическим энергоустановкам, исследования в области термодинамики. </w:t>
      </w:r>
    </w:p>
    <w:p w14:paraId="250C28E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Направления деятельности (2005 г.): исследования и разработки по ракетным двигателям для РКТ (ЖРД нового поколения, электроракетные двигатели); НИОКР по изделиям РКТ, подбор материалов и топлив; НИР по экологически чистым технологиям при производстве и эксплуатации РКТ; разработка технологий для военной, научной и народнохозяйственной техники; разработка энергосберегающих технологий.</w:t>
      </w:r>
    </w:p>
    <w:p w14:paraId="5E8AE1F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 отдел «Водородной энергетики» (зам. начальника отдела (2005 г.)- В. Смоляров). Работы по водородным топливным элементам.</w:t>
      </w:r>
    </w:p>
    <w:p w14:paraId="110BA0B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(1933-37 г.)- И.Т. Клейменов (репрессирован), (1937-40 г.)- Б.М. Слонимер, (1941 г.)- Н.А. Монаков, (1941 г.)- А.Н. Фоменко, (1942-02.1944 г.)- генерал-майор А.Г. Костиков (отстранен, затем репрессирован), (02.1944-)- В.И. Поликовский, (05.1944 г.-)- П.И. Федоров, (1945-46 г.)- Я.Л. Бибиков, генерал-майор ИАС, (11.1946 г.-)- М.В. Келдыш, (1948-49 г.)- В.В. Владимиров, (1949-51 г.)- В.А. Окулов, (1951-55 г.)- А.Т. Туманов, (1955-88 г.)- В.Я. Лихушин. Директор (1988-2005 г.-)- академик А.С. Коротеев.</w:t>
      </w:r>
    </w:p>
    <w:p w14:paraId="06215A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Научный руководитель (1948-61 г.)- академик М.В. Келдыш.</w:t>
      </w:r>
    </w:p>
    <w:p w14:paraId="488A9E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(1933 г.-)- С.П. Королев; по научной части - В.Ф. Болховитинов (05.1944-46 г.). Зам. директора (2003 г.)- А.М. Губертов; по ВЭС (2005 г.)- А.А. Кленчев.</w:t>
      </w:r>
    </w:p>
    <w:p w14:paraId="08F1011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(1940-41 г.)- А.Г. Костиков. Начальник КБ (1943 г.-)- А.Я. Березняк.</w:t>
      </w:r>
    </w:p>
    <w:p w14:paraId="20C33A2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Работали: (03.1938; 1944 г.) - А.П. Артемьев (РС), А.П. Ваничев, Л.А. Воскресенский, И.И. Гвай (РС), (-1937 г.)-В.П. Глушко (репрессирован, работал в ОТБ НКВД на заводе № 8), (1933- 44 г.-)- Л.С. Душкин, (1941 г.)- В.С. Зуев (ПВРД), (1930-е; 1944-)- А.М. Исаев, (-04.1938 г.)- С.П. Королев (репрессирован), (-1937 г.)- Г.Э. Лангемак (репрессирован), А.М. Люлька, В.П. Мишин, (1936-45; 1958-96 г.)- А.В. Палло (ведущий инженер по ЖРД), Г.И. Петров, Н.А. Пилюгин, Ю.А. Победоносцев (РС для «Катюши»), (-1936-38 г.-)- Б.В. Раушенбах (расчеты), (-1934-41 г.-)- М.К. Тихонравов (затем- в НИИ-4 МО), Б.Е. Черток, (1941 г.)- Е.С. Щетинков (ПВРД). </w:t>
      </w:r>
    </w:p>
    <w:p w14:paraId="7C9AB4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РС: РС-82 (пнв в 1937 г.), РС-132 (пнв в 1938 г.); М-13 (пнв в 1941 г.), М-13УК (пнв в 1943 г.), М-13ДД (пнв в 1944 г.), М-20 (1941 г.) для БМ-13 «Катюша» ; М-8 (пнв в 1941 г.) для БМ-8 «Катюша»; М-30 (пнв в 1942 г.), М-31 (пнв в 1943 г.), М-31УК (пнв в 1944 г.) для БМ-31;58 самолеты с ЖРД: «302» (1943), «4302» (1946), «4303» (1947); СЭДУ- солнечная энергодвигательная установка с СТРД- солнечным тепловым ракетным двигателем.</w:t>
      </w:r>
    </w:p>
    <w:p w14:paraId="560B4D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НИИ-1 НКАП, МАП, ГКАТ, РНИИ (ракетный) РККА, НКТП, НИИ-3 НКОП, НКБ, ГИРТ при СНК, НИРА НКАП, НИИ РД МАП, НИИТП (тепловых процессов) МОМ, НИИТП им. М.В. Келдыша РКА, ФГУП «Исследовательский центр им. М.В. Келдыша» РАКА</w:t>
      </w:r>
    </w:p>
    <w:p w14:paraId="0A9C4D2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125438 г. Москва, ул. Онежская, 8/10 тел. 456-46-08, 456-87-56 www.kerc.msk.ru (10776).</w:t>
      </w:r>
    </w:p>
    <w:p w14:paraId="2948A5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КБ-7 РНИИ</w:t>
      </w:r>
    </w:p>
    <w:p w14:paraId="630366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в 1935 г. на базе бригады ЖРД ГИРДа. Работы по жидкостным ракетам.</w:t>
      </w:r>
    </w:p>
    <w:p w14:paraId="148D196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Построена испытательная станция, в состав которой вошли: башня для огневых испытаний, пультовая, помещение для сборки ракет, электротехническая и керамическая лаборатории.</w:t>
      </w:r>
    </w:p>
    <w:p w14:paraId="041543D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(1935 г.)- Л.К. Корнеев.</w:t>
      </w:r>
    </w:p>
    <w:p w14:paraId="3ED84F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(08.1935 г.)- А.И. Полярный.</w:t>
      </w:r>
    </w:p>
    <w:p w14:paraId="0B6AA9B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Работали: (1935 г.-)- М.Г. Воробьев, П.И. Иванов (нач. группы аэродинамики), Е.М. Курило (электротехника), А.С. Раецкий, Э.П. Шептицкий (нач. конструкторской группы); (1937 г.)- М.Ю. Голлендер (нач. керамической лаборатории), Ф.Л. Якайтис, В.С. Зуев, А.Б. Ионов.</w:t>
      </w:r>
    </w:p>
    <w:p w14:paraId="15FC90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ракеты: Р-03, Р-06 (1936 г.), АНИР-5, Р-07, ЭНИР-7, Р-05, Р-10 (1939 г.); порохо-жидкостный двигатель М-17, М-29е для Р-05.</w:t>
      </w:r>
    </w:p>
    <w:p w14:paraId="1533833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Филиал № 1 НИИ-1</w:t>
      </w:r>
    </w:p>
    <w:p w14:paraId="743C797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Химки Московской обл./</w:t>
      </w:r>
    </w:p>
    <w:p w14:paraId="4F0BB5F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293 НКАП действовал в составе НИИ-1 по приказу № 149сс от 28.02.1944 г., далее- на правах филиала № 1 (по приказу № 370сс от 30.05.1944 г.). Здесь же работала группа (ОКО) А.М. Исаева по ЖРД.</w:t>
      </w:r>
    </w:p>
    <w:p w14:paraId="0F4FF34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постановлением СМ от 31.05.1946 г. и приказами № 361сс от 7.06.1946 г. и № 373с от 14.07.1946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А.М. Исаева переведена на основную территорию НИИ-1. Березняк в 12.1946 г. назначен зам. гл. конструктора ОКБ-2 завода № 1 МАП.</w:t>
      </w:r>
    </w:p>
    <w:p w14:paraId="0935005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филиала (01.1946 г.)- Нейман.</w:t>
      </w:r>
    </w:p>
    <w:p w14:paraId="515B457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КБ филиала (06.1946 г.)- А.Я. Березняк.</w:t>
      </w:r>
    </w:p>
    <w:p w14:paraId="358434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Филиал № 2 НИИ-1</w:t>
      </w:r>
    </w:p>
    <w:p w14:paraId="2BEF545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Москва Ново-Владыкино/</w:t>
      </w:r>
    </w:p>
    <w:p w14:paraId="1784860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 655с от 11.11.1944 г.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образована база НИИ-1 по данной тематике. По приказу № 699с от 27.12.1944 г. база стала филиалом № 2 НИИ-1 по реактивному вооружению.</w:t>
      </w:r>
    </w:p>
    <w:p w14:paraId="5217436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618217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соответствии с постановлением СМ СССР № 1017-419сс от 13.05.1946 г. и приказом МАП/ МСХМ № 318сс/126сс от 24.05.1946 г. для концентрации работ по пороховым РС из системы МАП в ведение МСХМ передан филиал № 2 НИИ-1 МАП (со всеми сооружениями и штатом сотрудников~ 350 чел.) с образованием на его базе КБ-2 МСХМ. В числе переведенных были начальник филиала Победоносцев, начальник отдела Е.А. Печерский и др.</w:t>
      </w:r>
    </w:p>
    <w:p w14:paraId="56BFA86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бывшего филиала и ГЦКБ-1 МСХМ образован специализированный НИИ пороховых РС (с 1.04.1947 г. получивший название НИИ-1 МСХМ).</w:t>
      </w:r>
    </w:p>
    <w:p w14:paraId="11AC8B2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филиала (1944-46 г.)- Ю.А. Победоносцев.</w:t>
      </w:r>
    </w:p>
    <w:p w14:paraId="23641EA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гл. инженер (1944 г.)- Н.В. Климовицкий.</w:t>
      </w:r>
    </w:p>
    <w:p w14:paraId="52F9D12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КБ-1, ОКБ-1 при НИИ-1 МАП гл. конструктора Л.С. Душкина</w:t>
      </w:r>
    </w:p>
    <w:p w14:paraId="54DA8EA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Л.С. Душкин работал в ГИРДе, с 1933 г.- в РНИИ, в моторной лаборатории. С 01.1938 г. возглавлял в НИИ-3 НКБ отдел по ЖРД. </w:t>
      </w:r>
    </w:p>
    <w:p w14:paraId="5F9E83D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приказом НКАП № 433сс/ов от 11.06.1942 г. для ускорения работ по реактивным двигателям планировалось перевести группу Душкина (В.А. Штоколов, А.В. Палло и др.) из НИИ-3 на завод № 293. Однако, по имеющейся информации, группа Душкина не была переведена и продолжала работать в НИИ-3 и затем в НИИ-1.</w:t>
      </w:r>
    </w:p>
    <w:p w14:paraId="5F33AD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Проводились работы по ускорителю самолета С-155 и ускорителю для Е-50.</w:t>
      </w:r>
    </w:p>
    <w:p w14:paraId="5C9ECF1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Душкин до 04.1946 г.- начальник отдела № 13 НИИ-1. В 04.1946 г.- гл. конструктор КБ-1 при НИИ-1.</w:t>
      </w:r>
    </w:p>
    <w:p w14:paraId="537B5B6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1949 г. ОКБ-1 входило в состав ЦИАМ (вместе с НИИ-1).</w:t>
      </w:r>
    </w:p>
    <w:p w14:paraId="3E6D70A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постановлением СМ СССР № 2473-973 от 10.06.1950 г. ОКБ-1 гл. конструктора Л.С. Душкина было ликвидировано, личный состав перевели в ОКБ-456, другие лаборатории НИИ-1.76 В 1955 г. Л.С. Душкин возглавил ОКБ-165-1.</w:t>
      </w:r>
    </w:p>
    <w:p w14:paraId="07879D6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Работали: (1949 г.)- Преображенский, Чурков.</w:t>
      </w:r>
    </w:p>
    <w:p w14:paraId="78AE06A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ЖРД: ОР-10 («02» для «216»), РД-12К, РДА-1-150 для РП-318, РДК-150, РДА-300, КРД-604 для «604», Д-1-А-1100 для «БИ», Д-1-Т для торпеды РТ-45 (1932-42 г.); РД-КС-1 (1946), РД-КС-3, РД-2М (1945), РД-2М3В для «302», РД-2М3ВФ для самолета «5» (1946), РД-3М, РД-КС-5, УС-2500.</w:t>
      </w:r>
    </w:p>
    <w:p w14:paraId="4742222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КБ-2 при НИИ-1 МАП гл. конструктора М.М. Бондарюка</w:t>
      </w:r>
    </w:p>
    <w:p w14:paraId="4F24811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 149сс от 28.02.1944 г. ЭКБ-3 НИИ ГВФ М.М. Бондарюка вместе с ОКБ-293 влили в состав НИИ-1. Далее оно преобразовано в отдел прямоточных двигателей, а вскоре- и в КБ-2. Сначала Бондарюк- руководитель и конструктор КБ, а с 08.1947 г.- гл. конструктор КБ-2 (в 1949 г. по совместительству работал в отделе № 5 НИИ-88).</w:t>
      </w:r>
    </w:p>
    <w:p w14:paraId="46792A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дальнейшего ускорения работ и из-за потребности в собственной экспериментальной базе 1.10.1950 г. КБ-2 выделилось в самостоятельную организацию и получило название ОКБ-670 МАП, гл. конструктор- М.М. Бондарюк.</w:t>
      </w:r>
    </w:p>
    <w:p w14:paraId="3153932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(08.1947-10.1950 г.)- М.М. Бондарюк.</w:t>
      </w:r>
    </w:p>
    <w:p w14:paraId="6E412FB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конструктора – Г.А. Варшавский.</w:t>
      </w:r>
    </w:p>
    <w:p w14:paraId="55D02C3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Работали: И.М. Вишнепольский, Ю.Н. Глазунов, Е.Я. Губер, Н.Д. Домарев, Ю.К. Ефимов, И.А. Куратов, И.Б. Леванов, А.Ф. Макеев, С.И. Платонов, С.М. Родин.</w:t>
      </w:r>
    </w:p>
    <w:p w14:paraId="2E3CFE6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ПВРД: РД-430 для Ла-126 и Ла-138 (1948); проект РД-165 для установки на НВ вертолета И.П. Братухина; РД-350; проект РД-007 для «10Х» (1948); РД-700 (РД-1, 1948); первый двухконтурный РД-1А для РС «Шторм»(1949-50), РД-550 для мишени ЛМ-15 (1949).</w:t>
      </w:r>
    </w:p>
    <w:p w14:paraId="74F815F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КБ-3 при НИИ-1 МАП гл. конструктора Г.Я. Диллона</w:t>
      </w:r>
    </w:p>
    <w:p w14:paraId="6C6EDA0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Также- это отдел вооружения № 52 НИИ-1.</w:t>
      </w:r>
    </w:p>
    <w:p w14:paraId="73AF14C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1942 г. под руководством Г.Я. Диллона и его зама В.П. Голикова начаты исследования и разработка реактивной авиационной торпеды РАТ (работали Ю.Б. Гермейер, В.А. Андреев, О.Т. Сазонова, Я.Л. Рудницкий). Закладывалась серия на заводе № 500.</w:t>
      </w:r>
    </w:p>
    <w:p w14:paraId="1EBD3F8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1944 г. Диллон работал в филиале № 2 НИИ-1 по РС.</w:t>
      </w:r>
    </w:p>
    <w:p w14:paraId="5D3C11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1948 г. действовало КБ-3 при НИИ-1. Разработан пороховой ускоритель У-5 для самолетов (1948 г., планировался выпуск на заводе № 500).</w:t>
      </w:r>
    </w:p>
    <w:p w14:paraId="646585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Видимо, после передачи филиала № 2 НИИ-1 в МСХМ и образования НИИ-1 МСХМ группа Диллона действовала там (по разным сведениям, или из отдела № 52 НИИ-1 МАП, или из НИИ-1 МСХМ, группа Г.Я. Диллона из 16 чел., зам.- В.П. Голиков, к 07.1946 г. переведена с тематикой по РАТ-52 в НИИ-2 МАП).</w:t>
      </w:r>
    </w:p>
    <w:p w14:paraId="25C0FD1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СКБ НИИ-1 МАП гл. конструктора А.М. Люльки</w:t>
      </w:r>
    </w:p>
    <w:p w14:paraId="77BA1B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Москва Лихоборы/</w:t>
      </w:r>
    </w:p>
    <w:p w14:paraId="39C91CA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Организовано при институте по приказу № 185с от 13.03.1944 г. для развития работ по ГТД. Одновременно гл. конструктором утвержден А.М. Люлька, группа которого со всем заделом и оборудованием была переведена из ЦИАМ. Работы по ТРД С-18, создан в 1945 г. Затем на его базе создан ТР-1.</w:t>
      </w:r>
    </w:p>
    <w:p w14:paraId="735E024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МАП № 182сс от 30.03.1946 г. для расширения работ СКБ переведено на самостоятельную базу- завод № 165 и получило название ОКБ-165 МАП.</w:t>
      </w:r>
    </w:p>
    <w:p w14:paraId="788A00B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(03.1944-03.1946 г.)- А.М. Люлька.</w:t>
      </w:r>
    </w:p>
    <w:p w14:paraId="614A12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ОКО при НИИ-1 МАП </w:t>
      </w:r>
    </w:p>
    <w:p w14:paraId="71B3630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Химки, г. Москва/</w:t>
      </w:r>
    </w:p>
    <w:p w14:paraId="09EAF0C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Опытно-конструкторский отдел сформирован в институте в 1944 г. Проводил работы по ЖРД.</w:t>
      </w:r>
    </w:p>
    <w:p w14:paraId="152448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Основу отдела составила группа двигателистов бывшего ОКБ-293, влитого в НИИ-1. Создан ЖРД РД-1 для «БИ», У-400-10 для экспериментальных летающих моделей ЛМ-6, ЛМ-9, ЛМ-12 (1946-47 г.), ЖРД-ускоритель СУ-1500; разрабатывался одноразовый РД У-12500 (1946 г.). </w:t>
      </w:r>
    </w:p>
    <w:p w14:paraId="2C0E9A3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отдела (-04.1946 г.)- А.М. Исаев. В 04.1946 г. Исаев возглавил ОТБ-2 в Германии (по некоторым данным, перед поездкой в Германию Исаев работал начальником цеха завода № 500).</w:t>
      </w:r>
    </w:p>
    <w:p w14:paraId="474016D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До 06.1946 г. ОКО располагался на территории филиала № 1 НИИ-1 в Химках. Затем по приказу № 361сс от 7.06.1946 г. ОКО переведен на основную территорию НИИ-1. </w:t>
      </w:r>
    </w:p>
    <w:p w14:paraId="00B7FEA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05.1948 г. в связи с большей перспективностью работ по ЖРД для РКТ ОКО Исаева переведен в НИИ-88 МВ, где образовал отдел № 9.</w:t>
      </w:r>
    </w:p>
    <w:p w14:paraId="2DB2403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Филиал НИИ-1 МАП</w:t>
      </w:r>
    </w:p>
    <w:p w14:paraId="2A5734A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Создан в составе института в 1955 г. для работ по системам управления КР. </w:t>
      </w:r>
    </w:p>
    <w:p w14:paraId="6E8B135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Создана астронавигационная система «Земля» для МКР «Буран» и аналогичная система для МКР «Буря». Гл. конструкторы систем- И.М. Лисович, Г.И. Толстоусов. В связи с прекращением работ по МКР остановлены работы и по астронавигации.</w:t>
      </w:r>
    </w:p>
    <w:p w14:paraId="6871C2B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Руководитель (1955-59 г.)- Р.Г. Чачикян (в 1942-51 г. работал на заводах № 122 НКАП, № 224 НКАП; с 1959 г.- гл. конструктор ОКБ-133 МАП).</w:t>
      </w:r>
    </w:p>
    <w:p w14:paraId="6F46C6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1962 г. в 4ГУ ГКАТ действовал филиал НИИ-1 (начальник- А.В. Ежов).</w:t>
      </w:r>
    </w:p>
    <w:p w14:paraId="093A4AA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Филиал № 2 НИИ-1 МАП, п/я 10, НИИ Машиностроения МОМ, ГУП «НИИ Машиностроения» </w:t>
      </w:r>
    </w:p>
    <w:p w14:paraId="1C4E07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/624790 г. Нижняя Салда Свердловской обл., ул. Строителей, 72 тел. (34345) 217-03/</w:t>
      </w:r>
    </w:p>
    <w:p w14:paraId="788D892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 в соответствии с постановлением правительства № 2132 от 26.12.1956 г. как предприятие п/я 10 для проведения экспериментальных исследований по ЖРД, работающих на специальных топливах. Построен ряд стендов и опытное производство (в 1962 г.- испытательный комплекс 101, в 1963 г.- гидролаборатория, в 1964 г. –механосборочный корпус). Затем, в 1970-х г. созданы испытательные комплексы № 201 и 301. В 1980 г. введен в строй испытательный комплекс для ЖРД, работающих на криогенных компонентах топлива.</w:t>
      </w:r>
    </w:p>
    <w:p w14:paraId="68D4776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Постепенно, кроме сопровождения работ различных ОКБ по ЖРД, в филиале начались самостоятельные ОКР по ЖРД малой тяги, с 1981 г.- головное предприятие в этой области. Принимал участие в программе создания ОК «Буран».</w:t>
      </w:r>
    </w:p>
    <w:p w14:paraId="39F5DEE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1981 г. филиал, п/я 10, преобразован в самостоятельный НИИ Машиностроения и передан в ведение 12ГУ МОМ. Разработка ЖРД, ракетных двигателей малой тяги. Создано более 30 ЖРДМТ.</w:t>
      </w:r>
    </w:p>
    <w:p w14:paraId="2875CD2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4A4C9E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филиала (1957-66 г.)- М.Г. Миронов.</w:t>
      </w:r>
    </w:p>
    <w:p w14:paraId="7865763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(1981 г.)- В.И. Чепак, (-2000-02 г.-)- Б.А. Некрасов.</w:t>
      </w:r>
    </w:p>
    <w:p w14:paraId="6775CB1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(2002 г.)- Е.Г. Ларин.</w:t>
      </w:r>
    </w:p>
    <w:p w14:paraId="2CFC1AF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Зам. директора по НИР (2002 г.)- Е.Г. Ларин.69 </w:t>
      </w:r>
    </w:p>
    <w:p w14:paraId="5EA3AD7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Создано: ЖРД: РДМТ-0.8, РДМТ-5 для передвижения космонавтов в открытом космосе, РДМТ-100, РДМТ-12, РДМТ-50, РДМТ-135, РДМТ-200, РДМТ-400.50 </w:t>
      </w:r>
    </w:p>
    <w:p w14:paraId="484223A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КБ «Пламя» при НИИТП МОМ, НПВО «Пламя» МОМ, ЗАО «ОКБ «Пламя»</w:t>
      </w:r>
    </w:p>
    <w:p w14:paraId="2C5F19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КБ «Пламя» образовано при НИИТП в 1978 г. из группы конструкторов ОКБ-670 во главе с И.Б. Левановым, переведенных в 1972 г. в ОКБ-4-300 для продолжения работ по ПВРД.</w:t>
      </w:r>
    </w:p>
    <w:p w14:paraId="5762678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1991 г. КБ преобразовано в самостоятельное НПВО «Пламя» МОМ. Размещалось в помещениях НИИТП. Весной 1994 г. было принято решение о преобразовании НПВО «Пламя» в ОКБ, входящее в состав НИИТП, а в 04.1994 г. НПВО ликвидировано. Коллектив перебазировался на другую территорию, где было образовано ЗАО «ОКБ «Пламя». В 02.1998 г. ОКБ ДУ «Пламя» вошло в состав ГНПЦ «Звезда-Стрела».</w:t>
      </w:r>
    </w:p>
    <w:p w14:paraId="752A243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1970-х г. велись работы по ядерному ПВРД для низколетящей КР. Работы по СПВРД для ПКР «Яхонт» (испытания- с 1987 г.). Работы по ГПВРД по программе «Орел»</w:t>
      </w:r>
    </w:p>
    <w:p w14:paraId="6CBD50F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Руководитель (1978-99 г.-)- И.Б. Леванов.</w:t>
      </w:r>
    </w:p>
    <w:p w14:paraId="35D6EF1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Гл. конструктор (1978-99 г.-)- И.Б. Леванов (10776).</w:t>
      </w:r>
    </w:p>
    <w:p w14:paraId="11A002F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29F09A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года Постановлением ГОКО за № 211сс в системе НКАП, на базе НИИ-3 при СНК и Опытного самолетостроительного завода № 293 (Химки), организован НИИ реактивной авиации № 1. Завод № 293 по утвержденной структуре института считался филиалом № 1 (9420).</w:t>
      </w:r>
    </w:p>
    <w:p w14:paraId="6A4368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164FF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вышло Постановление ГКО № 5201 О работе Государственного института реактивной техники при СНК СССР и о мероприятиях по развитию реактивной авиации. РГАНИР, Фонд ГКО, д. 210, лл. 10-12,13-25 (11012).</w:t>
      </w:r>
    </w:p>
    <w:p w14:paraId="6E07664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CEB11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w:t>
      </w:r>
      <w:r w:rsidRPr="00070ADE">
        <w:rPr>
          <w:rFonts w:ascii="Times New Roman" w:hAnsi="Times New Roman"/>
          <w:color w:val="000000" w:themeColor="text1"/>
          <w:sz w:val="16"/>
          <w:szCs w:val="16"/>
        </w:rPr>
        <w:softHyphen/>
        <w:t>раля 1944 г. вышло Постановление Государственного комитета обороны СССР № ГОКО-5201сс «О работе Государственного института реактивной техники при СНК СССР и о мероприятиях по развитию реактивной авиации».</w:t>
      </w:r>
    </w:p>
    <w:p w14:paraId="511989D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Государственный комитет обороны отмечает, что Государственный институт реактивной техники при СНК СССР (ГИРТ), руководимый т. Костиковым, не справился с порученной ему задачей создания как реактивного двигателя, так и реактивного самолета ни по срокам, ни по тактико-техническим данным. За полтора года ГИРТ не сумел приблизить задачу ре</w:t>
      </w:r>
      <w:r w:rsidRPr="00070ADE">
        <w:rPr>
          <w:rFonts w:ascii="Times New Roman" w:hAnsi="Times New Roman"/>
          <w:color w:val="000000" w:themeColor="text1"/>
          <w:sz w:val="16"/>
          <w:szCs w:val="16"/>
        </w:rPr>
        <w:softHyphen/>
        <w:t>активного полета к практическому разрешению.</w:t>
      </w:r>
    </w:p>
    <w:p w14:paraId="5BC9607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Предложенные т. Костиковым Государственному комитету обороны данные его реактив</w:t>
      </w:r>
      <w:r w:rsidRPr="00070ADE">
        <w:rPr>
          <w:rFonts w:ascii="Times New Roman" w:hAnsi="Times New Roman"/>
          <w:color w:val="000000" w:themeColor="text1"/>
          <w:sz w:val="16"/>
          <w:szCs w:val="16"/>
        </w:rPr>
        <w:softHyphen/>
        <w:t>ных самолетов совершенно не соответствуют получающимся результатам, а сроки создания этих самолетов и двигателей сорваны. Не справившись с работой, т. Костиков принимал все меры к тому, чтобы создать видимость активной и плодотворной работы по вопросу реактив</w:t>
      </w:r>
      <w:r w:rsidRPr="00070ADE">
        <w:rPr>
          <w:rFonts w:ascii="Times New Roman" w:hAnsi="Times New Roman"/>
          <w:color w:val="000000" w:themeColor="text1"/>
          <w:sz w:val="16"/>
          <w:szCs w:val="16"/>
        </w:rPr>
        <w:softHyphen/>
        <w:t>ной техники, чем ввел в заблуждение правительство, а создавая ложное впечатление, что по</w:t>
      </w:r>
      <w:r w:rsidRPr="00070ADE">
        <w:rPr>
          <w:rFonts w:ascii="Times New Roman" w:hAnsi="Times New Roman"/>
          <w:color w:val="000000" w:themeColor="text1"/>
          <w:sz w:val="16"/>
          <w:szCs w:val="16"/>
        </w:rPr>
        <w:softHyphen/>
        <w:t>рученная ГИРТу задача успешно решается, нанес крупный ущерб развитию реактивной тех</w:t>
      </w:r>
      <w:r w:rsidRPr="00070ADE">
        <w:rPr>
          <w:rFonts w:ascii="Times New Roman" w:hAnsi="Times New Roman"/>
          <w:color w:val="000000" w:themeColor="text1"/>
          <w:sz w:val="16"/>
          <w:szCs w:val="16"/>
        </w:rPr>
        <w:softHyphen/>
        <w:t>ники в СССР и затормозил ее развитие.</w:t>
      </w:r>
    </w:p>
    <w:p w14:paraId="578740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Считая такое положение дела с развитием реактивной техники в СССР совершенно не</w:t>
      </w:r>
      <w:r w:rsidRPr="00070ADE">
        <w:rPr>
          <w:rFonts w:ascii="Times New Roman" w:hAnsi="Times New Roman"/>
          <w:color w:val="000000" w:themeColor="text1"/>
          <w:sz w:val="16"/>
          <w:szCs w:val="16"/>
        </w:rPr>
        <w:softHyphen/>
        <w:t>терпимым, Государственный комитет обороны постановляет:</w:t>
      </w:r>
    </w:p>
    <w:p w14:paraId="7AB105B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Отстранить т. Костикова А. Г. от работы начальника и главного конструктора институ</w:t>
      </w:r>
      <w:r w:rsidRPr="00070ADE">
        <w:rPr>
          <w:rFonts w:ascii="Times New Roman" w:hAnsi="Times New Roman"/>
          <w:color w:val="000000" w:themeColor="text1"/>
          <w:sz w:val="16"/>
          <w:szCs w:val="16"/>
        </w:rPr>
        <w:softHyphen/>
        <w:t>та и передать его дело прокурору Союза ССР, Государственный институт реактивной техни</w:t>
      </w:r>
      <w:r w:rsidRPr="00070ADE">
        <w:rPr>
          <w:rFonts w:ascii="Times New Roman" w:hAnsi="Times New Roman"/>
          <w:color w:val="000000" w:themeColor="text1"/>
          <w:sz w:val="16"/>
          <w:szCs w:val="16"/>
        </w:rPr>
        <w:softHyphen/>
        <w:t>ки при СНК СССР, как не оправдавший своего назначения, ликвидировать.</w:t>
      </w:r>
    </w:p>
    <w:p w14:paraId="74362DC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Придавая исключительно важное значение делу создания реактивной авиации в СССР, возложить решение этой задачи на Наркомат авиационной промышленности.</w:t>
      </w:r>
    </w:p>
    <w:p w14:paraId="5D8615F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Обязать Наркомавиапром (тт. Шахурина и Яковлева):</w:t>
      </w:r>
    </w:p>
    <w:p w14:paraId="7C0557E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собрать все квалифицированные силы по реактивной технике в СССР и организовать Научно-исследовательский институт реактивной авиации (НИРА НКАП) в системе Наркомавиапрома, считая основной задачей института создание реактивных двигателей;</w:t>
      </w:r>
    </w:p>
    <w:p w14:paraId="740A3B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придать новому институту исследовательско-конструкторское направление с целью обеспечить создание надежных реактивных двигателей и самолетов и практически осуще</w:t>
      </w:r>
      <w:r w:rsidRPr="00070ADE">
        <w:rPr>
          <w:rFonts w:ascii="Times New Roman" w:hAnsi="Times New Roman"/>
          <w:color w:val="000000" w:themeColor="text1"/>
          <w:sz w:val="16"/>
          <w:szCs w:val="16"/>
        </w:rPr>
        <w:softHyphen/>
        <w:t>ствить полет первых реактивных самолетов в 1944 году;</w:t>
      </w:r>
    </w:p>
    <w:p w14:paraId="479748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наряду с работой по созданию реактивного самолета в институте реактивной авиации поручить проектирование и постройку реактивных самолетов тт. Яковлеву, Лавочкину, Микояну и Сухому;</w:t>
      </w:r>
    </w:p>
    <w:p w14:paraId="11B4DBA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к 15 марта с. г. представить в ГОКО конкретные предложения о строительстве реак</w:t>
      </w:r>
      <w:r w:rsidRPr="00070ADE">
        <w:rPr>
          <w:rFonts w:ascii="Times New Roman" w:hAnsi="Times New Roman"/>
          <w:color w:val="000000" w:themeColor="text1"/>
          <w:sz w:val="16"/>
          <w:szCs w:val="16"/>
        </w:rPr>
        <w:softHyphen/>
        <w:t>тивных двигателей и реактивных самолетов.</w:t>
      </w:r>
    </w:p>
    <w:p w14:paraId="625AFB2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начальником института реактивной авиации т. Поликовского В.И. За-начальника института назначить т. Абрамовича Г.Н., освободив его от работы в</w:t>
      </w:r>
    </w:p>
    <w:p w14:paraId="576188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Наркомавиапрому привлечь для работы в институте реактивной авиации профессора Б.С., освободив его от работы на заводе № 300 НКАП.</w:t>
      </w:r>
    </w:p>
    <w:p w14:paraId="53C7B3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Государственного комитета обороны</w:t>
      </w:r>
    </w:p>
    <w:p w14:paraId="2F476E3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Сталин</w:t>
      </w:r>
    </w:p>
    <w:p w14:paraId="625D21C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АПРФ. Ф. 3. Оп. 47. Д. 179. Лл. 22-23.</w:t>
      </w:r>
    </w:p>
    <w:p w14:paraId="29E5C6A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Опубл.: Военно-исторический журнал. — 1996. — № 2. — С. 41-42 (11751).</w:t>
      </w:r>
    </w:p>
    <w:p w14:paraId="6F02DC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C16B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г. в своем постановле</w:t>
      </w:r>
      <w:r w:rsidRPr="00070ADE">
        <w:rPr>
          <w:rFonts w:ascii="Times New Roman" w:hAnsi="Times New Roman"/>
          <w:color w:val="000000" w:themeColor="text1"/>
          <w:sz w:val="16"/>
          <w:szCs w:val="16"/>
        </w:rPr>
        <w:softHyphen/>
        <w:t>нии №5201 Государственный Комитет Обороны (ГКО) указал на нетерпимое положение с развитием реактивной техники в стране. Решение этой задачи было целиком возложено на НКАП. Этим постановлением ликвидировали не справившийся со своими задачами Го</w:t>
      </w:r>
      <w:r w:rsidRPr="00070ADE">
        <w:rPr>
          <w:rFonts w:ascii="Times New Roman" w:hAnsi="Times New Roman"/>
          <w:color w:val="000000" w:themeColor="text1"/>
          <w:sz w:val="16"/>
          <w:szCs w:val="16"/>
        </w:rPr>
        <w:softHyphen/>
        <w:t>сударственный институт реактивной техники (ГИРТ) при СНКСССР,а А.И.Шахурину и А.С.Яковлеву поручили со</w:t>
      </w:r>
      <w:r w:rsidRPr="00070ADE">
        <w:rPr>
          <w:rFonts w:ascii="Times New Roman" w:hAnsi="Times New Roman"/>
          <w:color w:val="000000" w:themeColor="text1"/>
          <w:sz w:val="16"/>
          <w:szCs w:val="16"/>
        </w:rPr>
        <w:softHyphen/>
        <w:t>брать все квалифицированные кадры и организовать Научно-исследователь</w:t>
      </w:r>
      <w:r w:rsidRPr="00070ADE">
        <w:rPr>
          <w:rFonts w:ascii="Times New Roman" w:hAnsi="Times New Roman"/>
          <w:color w:val="000000" w:themeColor="text1"/>
          <w:sz w:val="16"/>
          <w:szCs w:val="16"/>
        </w:rPr>
        <w:softHyphen/>
        <w:t>ский институт реактивной авиации (НИИ-1), считая его основной задачей создание реактивных двигателей. При этом полеты на отечественных реактив</w:t>
      </w:r>
      <w:r w:rsidRPr="00070ADE">
        <w:rPr>
          <w:rFonts w:ascii="Times New Roman" w:hAnsi="Times New Roman"/>
          <w:color w:val="000000" w:themeColor="text1"/>
          <w:sz w:val="16"/>
          <w:szCs w:val="16"/>
        </w:rPr>
        <w:softHyphen/>
        <w:t>ных самолетах предписывалось начать уже в 1944 г. Одновременно было дано указание о начале проектирования и постройки реактивных истребителей конструкторским бюро А.С. Яковлева, С.А.Лавочкина, А.И.Микояна и П.0.Су</w:t>
      </w:r>
      <w:r w:rsidRPr="00070ADE">
        <w:rPr>
          <w:rFonts w:ascii="Times New Roman" w:hAnsi="Times New Roman"/>
          <w:color w:val="000000" w:themeColor="text1"/>
          <w:sz w:val="16"/>
          <w:szCs w:val="16"/>
        </w:rPr>
        <w:softHyphen/>
        <w:t>хого. В связи с этим к 15 марта в ГКО требовалось представить конкретные предложения о строительстве реак</w:t>
      </w:r>
      <w:r w:rsidRPr="00070ADE">
        <w:rPr>
          <w:rFonts w:ascii="Times New Roman" w:hAnsi="Times New Roman"/>
          <w:color w:val="000000" w:themeColor="text1"/>
          <w:sz w:val="16"/>
          <w:szCs w:val="16"/>
        </w:rPr>
        <w:softHyphen/>
        <w:t>тивных двигателей и самолетов (11128).</w:t>
      </w:r>
    </w:p>
    <w:p w14:paraId="264589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AE68B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года в Постановлении Государственного Комитета Обороны (ГКО) отмечается, что генерал-майор Андрей Григорьевич Костиков снят с должности директора Государственного института реактивной техники за невыполнение особо важного задания по проектированию и строительству реактивного самолета - перехватчика. Заключение государственной комиссии, возглавляемой заместителем наркома авиационной промышленности А. С. Яковлевым, а также техническая экспертиза, проведенная видными специалистами, позволили сделать вывод, что обещанный Костиковым срок создания реактивного самолета (истребителя-перехватчика) являлся необоснованным и нереальным. Приводится и ссылка на объяснение самого Костикова по этому поводу. Он якобы признался, что данное им поспешное обещание вызвано «желанием прибавить себе славы, завоевать в стране положение конструктора-монополиста в области ракетной техники».</w:t>
      </w:r>
    </w:p>
    <w:p w14:paraId="41F3E4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Именно в тот злополучный для Костикова 1944 год выяснилось, что его авторство в создании «катюши» не совсем правомерно. Подчеркиваем, в 1944 году, а не в послевоенное время, как ныне утверждают некоторые защитники этого авторства, и установлено это было членами экспертной комиссии, а не академиками С. П. Королевым и В. П. Глушко, приобретшими, по утверждению тех же защитников, исключительный авторитет после 1957 года. Приведем выдержки из указанного документа:</w:t>
      </w:r>
    </w:p>
    <w:p w14:paraId="449239A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«ОТВЕТЫ ТЕХНИЧЕСКОЙ ЭКСПЕРТИЗЫ ПО ДЕЛУ КОСТИКОВА А. Г. ОТ 19 АПРЕЛЯ 1944 ГОДА.</w:t>
      </w:r>
    </w:p>
    <w:p w14:paraId="38B9864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Состав экспертизы комиссии.</w:t>
      </w:r>
    </w:p>
    <w:p w14:paraId="4060C20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Чесалов Александр Васильевич, заслуженный деятель науки и техники, профессор, кандидат технических наук, начальник летно-технического института...</w:t>
      </w:r>
    </w:p>
    <w:p w14:paraId="5B018DB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Члены: Христианович Сергей Алексеевич, академик, начальник лаборатории № 2 ЦАГИ </w:t>
      </w:r>
      <w:r w:rsidRPr="00070ADE">
        <w:rPr>
          <w:rFonts w:ascii="Times New Roman" w:hAnsi="Times New Roman"/>
          <w:color w:val="000000" w:themeColor="text1"/>
          <w:sz w:val="16"/>
          <w:szCs w:val="16"/>
          <w:vertAlign w:val="superscript"/>
        </w:rPr>
        <w:t>4</w:t>
      </w:r>
      <w:r w:rsidRPr="00070ADE">
        <w:rPr>
          <w:rFonts w:ascii="Times New Roman" w:hAnsi="Times New Roman"/>
          <w:color w:val="000000" w:themeColor="text1"/>
          <w:sz w:val="16"/>
          <w:szCs w:val="16"/>
        </w:rPr>
        <w:t>;</w:t>
      </w:r>
    </w:p>
    <w:p w14:paraId="65A7991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Ушаков Константин Андреевич, заслуженный деятель науки и техники, профессор, доктор технических наук, начальник отдела № 3, лаборатории № 1 ЦАГИ;</w:t>
      </w:r>
    </w:p>
    <w:p w14:paraId="69AA381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Левин Лев Михайлович, заместитель начальника отдела вооружения лаборатории № 2 ЦАГИ...</w:t>
      </w:r>
    </w:p>
    <w:p w14:paraId="4235BD0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ВОПРОС четвертый:</w:t>
      </w:r>
    </w:p>
    <w:p w14:paraId="22A212C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являются ли КОСТИКОВ, ГВАЙ И AБOРЕНКОВ авторами М-8, М-13 и пусковых устройств к ним? </w:t>
      </w:r>
      <w:r w:rsidRPr="00070ADE">
        <w:rPr>
          <w:rFonts w:ascii="Times New Roman" w:hAnsi="Times New Roman"/>
          <w:color w:val="000000" w:themeColor="text1"/>
          <w:sz w:val="16"/>
          <w:szCs w:val="16"/>
          <w:vertAlign w:val="superscript"/>
        </w:rPr>
        <w:t>5</w:t>
      </w:r>
    </w:p>
    <w:p w14:paraId="3EB8517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 Костиков, Гвай и Аборенков не могут считаться авторами М-8, М-13 и пусковых устройств к ним.</w:t>
      </w:r>
    </w:p>
    <w:p w14:paraId="4018FF0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Снаряд М-8 отличается незначительными видоизменениями от снаряда PC-82, разработанного в НИИ-3 в период 1934— 1937 гг.</w:t>
      </w:r>
    </w:p>
    <w:p w14:paraId="19FD1C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Снаряд М-13 является развитием снаряда РС-132, разработанного в НИИ-3 в 1937—1938 гг.</w:t>
      </w:r>
    </w:p>
    <w:p w14:paraId="1E2E68E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разработке снарядов РС-82 и РС-132, представлявших собой оригинальную конструкцию, Костиков, Гвай и Аборенков никакого отношения не имели.</w:t>
      </w:r>
    </w:p>
    <w:p w14:paraId="757C14A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рациональности установки пусковых устройств PC на легкие боевые машины, в частности на автомашины, указано, например, в книге «Ракеты, их устройство и применение» (ЛАНГЕМАК Г. Э. и ГЛУШКО В. П. ОНТИ, 1935 год, с. 119).</w:t>
      </w:r>
    </w:p>
    <w:p w14:paraId="343037B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идея создания машинной установки для ведения массированного огня реактивными снарядами не может быть приписана Костикову, Гваю и Аборенкову...</w:t>
      </w:r>
    </w:p>
    <w:p w14:paraId="38D6F9A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Подписали: Чесалов, Христианович, Ушаков, Левин» (11912).</w:t>
      </w:r>
    </w:p>
    <w:p w14:paraId="2A33FA5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716EB4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ГКО в своем постановлении №5201 впервые указал на нетерпимое положение с развитием реактивной техники в стране. При этом ликвидировался Государственный институт реактивной техники (ГИРТ) при СНК СССР и вся тематика сосредотачивалась во вновь организованном НИИ реактивной авиации (НИИ-1), подчиненном, заместителю наркома авиапромышленности А.С. Яковлеву. Этим же документом конструкторским бюро С.А. Лавочкина, А.И. Микояна, П.О.Сухого и А.С. Яковлева предписывалось приступить к созданию реактивных истребителей.</w:t>
      </w:r>
    </w:p>
    <w:p w14:paraId="354D450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Общий вид самолета Як-ЗРД с комбинированной силовой установкой. Такое решение стало закономерной реакцией на поступавшую из Германии информацию о разработке реактивной техники (12047).</w:t>
      </w:r>
    </w:p>
    <w:p w14:paraId="705D305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21593C3"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18 февраля</w:t>
      </w:r>
      <w:r w:rsidRPr="00070ADE">
        <w:rPr>
          <w:rFonts w:ascii="Times New Roman" w:hAnsi="Times New Roman"/>
          <w:color w:val="000000" w:themeColor="text1"/>
          <w:sz w:val="16"/>
          <w:szCs w:val="16"/>
        </w:rPr>
        <w:t xml:space="preserve"> в 1944 году постановлением ГКО №5201 Государственный институт ракетной техники (ГИРТ) был преобразован в Научно-исследовательский институт реактивной авиации (НИИРА) и передан в систему наркомата авиационной промышленности.</w:t>
      </w:r>
    </w:p>
    <w:p w14:paraId="50D2855E"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18 февраля 1944 года, по Постановлению ГКО СССР № 5201 «О работе Государственного института реактивной техники при СНК СССР и о мероприятиях по развитию реактивной авиации» в системе НКАП СССР был создан специализированный НИИ-1 по реактивным двигателям, объединивший все конструкторские </w:t>
      </w:r>
      <w:r w:rsidRPr="00070ADE">
        <w:rPr>
          <w:rFonts w:ascii="Times New Roman" w:hAnsi="Times New Roman"/>
          <w:color w:val="000000" w:themeColor="text1"/>
          <w:sz w:val="16"/>
          <w:szCs w:val="16"/>
        </w:rPr>
        <w:lastRenderedPageBreak/>
        <w:t>коллективы, работающие над реактивными двигателями. Государственный институт ракетной техники (ГИРТ) был преобразован в Научно-исследовательский институт реактивной авиации (НИИРА) и передан в систему наркомата авиационной промышленности.</w:t>
      </w:r>
    </w:p>
    <w:p w14:paraId="375345B5"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Постановлении №5201 Государственный Комитет Обороны (ГКО) указал на нетерпимое положение с развитием реактивной техники в стране. Придавая исключительное значение делу создания в СССР реактивной авиации, решение этой задачи наконец-то было целиком возложено на НКАП. Этим документом был ликвидирован ГИРТ, а А.И.Шахурину и А.С.Яковлеву поручалось собрать все квалифицированные силы и организовать Научно-исследовательский институт реактивной авиации (НИИ-1), считая его основной задачей создание реактивных двигателей. Таким образом, в структуре НКАП стало два основных центра, которым было поручено заниматься проблемами реактивного двигателестроения: НИИ-1 и ЦИАМ. Постановлением предписывалось конкретные предложения по строительству реактивных двигателей и самолетов представить в ГКО к 15 марта 1944 г.</w:t>
      </w:r>
    </w:p>
    <w:p w14:paraId="10A61370"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Постановлением ГКО № 5201 от 18 февраля 1944 г. Институту реактивной техники НИИ-1 (бывший ГИРТА.Г. Костикова), переданному в состав НКАП, поручили заниматься реактивными двигателями. Возглавил НИИ-1 бывший начальник НИИ ВВС П.И. Федоров, а его заместителем стал В.Ф. Болховитинов - создатель самолета "БИ".</w:t>
      </w:r>
    </w:p>
    <w:p w14:paraId="4E446BA1"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Новые руководители НИИ-1 были неравнодушны к самолетостроению. Кроме основных работ по ЖРД Исаева и Душкина, а также ТРД A.M. Люльки, решили строить экспериментальный самолет по проекту Болховитинова и Флорова. Задание было утверждено 18-ым Главным Управлением НКАП, отвечавшим за реактивную технику.</w:t>
      </w:r>
    </w:p>
    <w:p w14:paraId="31E1E551"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Предполагалось построить два варианта: один с двигателем Исаева ("4302"), другой - с двигателем Душкина ("4303"). Самолеты по проекту должны были иметь при полетной массе 2320 кг и 2350 кг соответственно: максимальную скорость у земли 1010(М=0,82)и 1040 км/ч (М=0,85), на высоте 5000 метров - 1015 (М=0,88) и 1050 км/ч (М=0,91), на высоте 15000 метров-1050(М=0,99)и 1090 км/ч(М=1,03), время набора высоты 15000 метров - 2 минуты 22 секунды и 1 минута 42,4 секунды, практический потолок - 18850 и 19750 метров, продолжительность пребывания в воздухе до 46 минут.</w:t>
      </w:r>
    </w:p>
    <w:p w14:paraId="4227287F"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"4302" представлял собой одноместный экспериментальный цельнометаллический моноплан. Крыло прямое, постоянного сечения по размаху, без поперечного V. Для улучшения поперечной устойчивости и с целью уменьшения демпфирующего крена концевые части крыла (ласты) отогнуты вниз на 45°. Профиль крыла ЦАГИ 13145, ламинарный, толщиной 13%. Фюзеляж сигарообразной формы, круглого поперечного сечения, максимальным диаметром 1150 мм. В носовой части снизу установлен буксировочный замок для безмоторного взлета на буксире. Горизонтальное оперение свободнонесущее, на нем установлены круглые шайбы, дополняющие вертикальное оперение. Киль конструктивно составляет одно целое с фюзеляжем. Обшивка всех рулей и элеронов металлическая. Шасси "4302" - наиболее сложное устройство самолета. Для первых полетов использовалось временное неубирающееся шасси (трехстержневая пирамида) с колесами от самолета Ла-5. В дальнейшем "4302" оборудовали посадочной лыжей, хвостовой пяткой и сбрасываемой тележкой.</w:t>
      </w:r>
    </w:p>
    <w:p w14:paraId="73496255"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Полеты проводились в 1947 г., всего выполнили 20 полетов, из них 19 - в варианте планера. Дальнейшего развития эта тема не получила, так как достижение высоких скоростей уже было возможно на самолетах с турбореактивными двигателями.</w:t>
      </w:r>
    </w:p>
    <w:p w14:paraId="614E3AAF"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схеме и снимке экспериментальный самолет "4302":</w:t>
      </w:r>
    </w:p>
    <w:p w14:paraId="112E2352" w14:textId="77777777" w:rsidR="00E32A8C" w:rsidRPr="00070ADE" w:rsidRDefault="00E32A8C" w:rsidP="00B56F90">
      <w:pPr>
        <w:spacing w:after="0" w:line="240" w:lineRule="auto"/>
        <w:jc w:val="both"/>
        <w:rPr>
          <w:rFonts w:ascii="Times New Roman" w:hAnsi="Times New Roman"/>
          <w:color w:val="000000" w:themeColor="text1"/>
          <w:sz w:val="16"/>
          <w:szCs w:val="16"/>
        </w:rPr>
      </w:pPr>
    </w:p>
    <w:p w14:paraId="320DA8CD" w14:textId="77777777" w:rsidR="00BD6B74" w:rsidRPr="00070ADE" w:rsidRDefault="00BD6B74"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18 февраля 1944 г. вышло Постанов</w:t>
      </w:r>
      <w:r w:rsidRPr="00070ADE">
        <w:rPr>
          <w:rFonts w:ascii="Times New Roman" w:hAnsi="Times New Roman" w:cs="Times New Roman"/>
          <w:color w:val="000000" w:themeColor="text1"/>
          <w:sz w:val="16"/>
          <w:szCs w:val="16"/>
        </w:rPr>
        <w:softHyphen/>
        <w:t>ление ГКО №5201, которое указывало на</w:t>
      </w:r>
      <w:r w:rsidRPr="00070ADE">
        <w:rPr>
          <w:rStyle w:val="BodytextItalic"/>
          <w:rFonts w:eastAsiaTheme="minorHAnsi"/>
          <w:i w:val="0"/>
          <w:color w:val="000000" w:themeColor="text1"/>
          <w:sz w:val="16"/>
          <w:szCs w:val="16"/>
        </w:rPr>
        <w:t xml:space="preserve"> «совершенно недопустимое положение дела с развитием реактивной авиации». </w:t>
      </w:r>
      <w:r w:rsidRPr="00070ADE">
        <w:rPr>
          <w:rFonts w:ascii="Times New Roman" w:hAnsi="Times New Roman" w:cs="Times New Roman"/>
          <w:color w:val="000000" w:themeColor="text1"/>
          <w:sz w:val="16"/>
          <w:szCs w:val="16"/>
        </w:rPr>
        <w:t>Этим документом ликвидировался Госу</w:t>
      </w:r>
      <w:r w:rsidRPr="00070ADE">
        <w:rPr>
          <w:rFonts w:ascii="Times New Roman" w:hAnsi="Times New Roman" w:cs="Times New Roman"/>
          <w:color w:val="000000" w:themeColor="text1"/>
          <w:sz w:val="16"/>
          <w:szCs w:val="16"/>
        </w:rPr>
        <w:softHyphen/>
        <w:t>дарственный институт реактивной тех</w:t>
      </w:r>
      <w:r w:rsidRPr="00070ADE">
        <w:rPr>
          <w:rFonts w:ascii="Times New Roman" w:hAnsi="Times New Roman" w:cs="Times New Roman"/>
          <w:color w:val="000000" w:themeColor="text1"/>
          <w:sz w:val="16"/>
          <w:szCs w:val="16"/>
        </w:rPr>
        <w:softHyphen/>
        <w:t>ники (НИИ-3) при Совнаркоме СССР, как не справившийся с возложенной на него задачей, а взамен учреждался НИИ реак</w:t>
      </w:r>
      <w:r w:rsidRPr="00070ADE">
        <w:rPr>
          <w:rFonts w:ascii="Times New Roman" w:hAnsi="Times New Roman" w:cs="Times New Roman"/>
          <w:color w:val="000000" w:themeColor="text1"/>
          <w:sz w:val="16"/>
          <w:szCs w:val="16"/>
        </w:rPr>
        <w:softHyphen/>
        <w:t>тивной авиации с символическим номе</w:t>
      </w:r>
      <w:r w:rsidRPr="00070ADE">
        <w:rPr>
          <w:rFonts w:ascii="Times New Roman" w:hAnsi="Times New Roman" w:cs="Times New Roman"/>
          <w:color w:val="000000" w:themeColor="text1"/>
          <w:sz w:val="16"/>
          <w:szCs w:val="16"/>
        </w:rPr>
        <w:softHyphen/>
        <w:t>ром «1» в системе НКАП. В Постановлении было сказано:</w:t>
      </w:r>
    </w:p>
    <w:p w14:paraId="51119A29" w14:textId="77777777" w:rsidR="00BD6B74" w:rsidRPr="00070ADE" w:rsidRDefault="00BD6B74" w:rsidP="00B56F90">
      <w:pPr>
        <w:pStyle w:val="Bodytext21"/>
        <w:shd w:val="clear" w:color="auto" w:fill="auto"/>
        <w:spacing w:line="240" w:lineRule="auto"/>
        <w:ind w:firstLine="0"/>
        <w:rPr>
          <w:rFonts w:ascii="Times New Roman" w:hAnsi="Times New Roman" w:cs="Times New Roman"/>
          <w:i w:val="0"/>
          <w:color w:val="000000" w:themeColor="text1"/>
          <w:sz w:val="16"/>
          <w:szCs w:val="16"/>
        </w:rPr>
      </w:pPr>
      <w:r w:rsidRPr="00070ADE">
        <w:rPr>
          <w:rFonts w:ascii="Times New Roman" w:hAnsi="Times New Roman" w:cs="Times New Roman"/>
          <w:i w:val="0"/>
          <w:color w:val="000000" w:themeColor="text1"/>
          <w:sz w:val="16"/>
          <w:szCs w:val="16"/>
        </w:rPr>
        <w:t>«...Придавая исключительно важное значение делу создания реактивной авиа</w:t>
      </w:r>
      <w:r w:rsidRPr="00070ADE">
        <w:rPr>
          <w:rFonts w:ascii="Times New Roman" w:hAnsi="Times New Roman" w:cs="Times New Roman"/>
          <w:i w:val="0"/>
          <w:color w:val="000000" w:themeColor="text1"/>
          <w:sz w:val="16"/>
          <w:szCs w:val="16"/>
        </w:rPr>
        <w:softHyphen/>
        <w:t>ции в СССР, возложить решение этой за</w:t>
      </w:r>
      <w:r w:rsidRPr="00070ADE">
        <w:rPr>
          <w:rFonts w:ascii="Times New Roman" w:hAnsi="Times New Roman" w:cs="Times New Roman"/>
          <w:i w:val="0"/>
          <w:color w:val="000000" w:themeColor="text1"/>
          <w:sz w:val="16"/>
          <w:szCs w:val="16"/>
        </w:rPr>
        <w:softHyphen/>
        <w:t>дачи на НКАП.</w:t>
      </w:r>
    </w:p>
    <w:p w14:paraId="2B5400FF" w14:textId="77777777" w:rsidR="00BD6B74" w:rsidRPr="00070ADE" w:rsidRDefault="00BD6B74" w:rsidP="00B56F90">
      <w:pPr>
        <w:pStyle w:val="Bodytext21"/>
        <w:shd w:val="clear" w:color="auto" w:fill="auto"/>
        <w:spacing w:line="240" w:lineRule="auto"/>
        <w:ind w:firstLine="0"/>
        <w:rPr>
          <w:rFonts w:ascii="Times New Roman" w:hAnsi="Times New Roman" w:cs="Times New Roman"/>
          <w:i w:val="0"/>
          <w:color w:val="000000" w:themeColor="text1"/>
          <w:sz w:val="16"/>
          <w:szCs w:val="16"/>
        </w:rPr>
      </w:pPr>
      <w:r w:rsidRPr="00070ADE">
        <w:rPr>
          <w:rFonts w:ascii="Times New Roman" w:hAnsi="Times New Roman" w:cs="Times New Roman"/>
          <w:i w:val="0"/>
          <w:color w:val="000000" w:themeColor="text1"/>
          <w:sz w:val="16"/>
          <w:szCs w:val="16"/>
        </w:rPr>
        <w:t>3. Обязать НКАП - А.И. Шахурина и А.С. Яковлева:</w:t>
      </w:r>
    </w:p>
    <w:p w14:paraId="50B6F1E8" w14:textId="77777777" w:rsidR="00BD6B74" w:rsidRPr="00070ADE" w:rsidRDefault="00BD6B74" w:rsidP="00B56F90">
      <w:pPr>
        <w:pStyle w:val="Bodytext21"/>
        <w:shd w:val="clear" w:color="auto" w:fill="auto"/>
        <w:spacing w:line="240" w:lineRule="auto"/>
        <w:ind w:firstLine="0"/>
        <w:rPr>
          <w:rFonts w:ascii="Times New Roman" w:hAnsi="Times New Roman" w:cs="Times New Roman"/>
          <w:i w:val="0"/>
          <w:color w:val="000000" w:themeColor="text1"/>
          <w:sz w:val="16"/>
          <w:szCs w:val="16"/>
        </w:rPr>
      </w:pPr>
      <w:r w:rsidRPr="00070ADE">
        <w:rPr>
          <w:rFonts w:ascii="Times New Roman" w:hAnsi="Times New Roman" w:cs="Times New Roman"/>
          <w:i w:val="0"/>
          <w:color w:val="000000" w:themeColor="text1"/>
          <w:sz w:val="16"/>
          <w:szCs w:val="16"/>
        </w:rPr>
        <w:t>а) собрать все квалифицированные силы по реактивной технике в СССР и организовать НИИ Реактивной Авиации (НИИРА), считая основной задачей инсти</w:t>
      </w:r>
      <w:r w:rsidRPr="00070ADE">
        <w:rPr>
          <w:rFonts w:ascii="Times New Roman" w:hAnsi="Times New Roman" w:cs="Times New Roman"/>
          <w:i w:val="0"/>
          <w:color w:val="000000" w:themeColor="text1"/>
          <w:sz w:val="16"/>
          <w:szCs w:val="16"/>
        </w:rPr>
        <w:softHyphen/>
        <w:t>тута создание реактивных двигателей.</w:t>
      </w:r>
    </w:p>
    <w:p w14:paraId="156B1EC3" w14:textId="77777777" w:rsidR="00BD6B74" w:rsidRPr="00070ADE" w:rsidRDefault="00BD6B74" w:rsidP="00B56F90">
      <w:pPr>
        <w:pStyle w:val="ae"/>
        <w:shd w:val="clear" w:color="auto" w:fill="FFFFFF"/>
        <w:spacing w:before="0" w:after="0"/>
        <w:jc w:val="both"/>
        <w:rPr>
          <w:color w:val="000000" w:themeColor="text1"/>
          <w:sz w:val="16"/>
          <w:szCs w:val="16"/>
        </w:rPr>
      </w:pPr>
      <w:r w:rsidRPr="00070ADE">
        <w:rPr>
          <w:color w:val="000000" w:themeColor="text1"/>
          <w:sz w:val="16"/>
          <w:szCs w:val="16"/>
        </w:rPr>
        <w:t>б) придать новому институту иссле- довательско-конструкторское направле</w:t>
      </w:r>
      <w:r w:rsidRPr="00070ADE">
        <w:rPr>
          <w:color w:val="000000" w:themeColor="text1"/>
          <w:sz w:val="16"/>
          <w:szCs w:val="16"/>
        </w:rPr>
        <w:softHyphen/>
        <w:t>ние, с целью обеспечения создания надеж</w:t>
      </w:r>
      <w:r w:rsidRPr="00070ADE">
        <w:rPr>
          <w:color w:val="000000" w:themeColor="text1"/>
          <w:sz w:val="16"/>
          <w:szCs w:val="16"/>
        </w:rPr>
        <w:softHyphen/>
        <w:t>ных реактивных двигателей и самолетов и практически осуществить полеты пер</w:t>
      </w:r>
      <w:r w:rsidRPr="00070ADE">
        <w:rPr>
          <w:color w:val="000000" w:themeColor="text1"/>
          <w:sz w:val="16"/>
          <w:szCs w:val="16"/>
        </w:rPr>
        <w:softHyphen/>
        <w:t>вых реактивных самолетов в 1944 г.</w:t>
      </w:r>
    </w:p>
    <w:p w14:paraId="4987CB46" w14:textId="77777777" w:rsidR="00BD6B74" w:rsidRPr="00070ADE" w:rsidRDefault="00BD6B74" w:rsidP="00B56F90">
      <w:pPr>
        <w:pStyle w:val="Bodytext21"/>
        <w:shd w:val="clear" w:color="auto" w:fill="auto"/>
        <w:tabs>
          <w:tab w:val="left" w:pos="510"/>
        </w:tabs>
        <w:spacing w:line="240" w:lineRule="auto"/>
        <w:ind w:firstLine="0"/>
        <w:rPr>
          <w:rFonts w:ascii="Times New Roman" w:hAnsi="Times New Roman" w:cs="Times New Roman"/>
          <w:i w:val="0"/>
          <w:color w:val="000000" w:themeColor="text1"/>
          <w:sz w:val="16"/>
          <w:szCs w:val="16"/>
        </w:rPr>
      </w:pPr>
      <w:r w:rsidRPr="00070ADE">
        <w:rPr>
          <w:rFonts w:ascii="Times New Roman" w:hAnsi="Times New Roman" w:cs="Times New Roman"/>
          <w:i w:val="0"/>
          <w:color w:val="000000" w:themeColor="text1"/>
          <w:sz w:val="16"/>
          <w:szCs w:val="16"/>
        </w:rPr>
        <w:t>в) наряду с работой по созданию ре</w:t>
      </w:r>
      <w:r w:rsidRPr="00070ADE">
        <w:rPr>
          <w:rFonts w:ascii="Times New Roman" w:hAnsi="Times New Roman" w:cs="Times New Roman"/>
          <w:i w:val="0"/>
          <w:color w:val="000000" w:themeColor="text1"/>
          <w:sz w:val="16"/>
          <w:szCs w:val="16"/>
        </w:rPr>
        <w:softHyphen/>
        <w:t>активного самолета в НИРА, поручить проектирование и постройку реактивных самолетов А.С. Яковлева, С.А. Лавочкина, А.И. Микояна, П.О. Сухого.</w:t>
      </w:r>
    </w:p>
    <w:p w14:paraId="798E0B40" w14:textId="77777777" w:rsidR="00BD6B74" w:rsidRPr="00070ADE" w:rsidRDefault="00BD6B74" w:rsidP="00B56F90">
      <w:pPr>
        <w:pStyle w:val="Bodytext21"/>
        <w:shd w:val="clear" w:color="auto" w:fill="auto"/>
        <w:tabs>
          <w:tab w:val="left" w:pos="481"/>
        </w:tabs>
        <w:spacing w:line="240" w:lineRule="auto"/>
        <w:ind w:firstLine="0"/>
        <w:rPr>
          <w:rFonts w:ascii="Times New Roman" w:hAnsi="Times New Roman" w:cs="Times New Roman"/>
          <w:i w:val="0"/>
          <w:color w:val="000000" w:themeColor="text1"/>
          <w:sz w:val="16"/>
          <w:szCs w:val="16"/>
        </w:rPr>
      </w:pPr>
      <w:r w:rsidRPr="00070ADE">
        <w:rPr>
          <w:rFonts w:ascii="Times New Roman" w:hAnsi="Times New Roman" w:cs="Times New Roman"/>
          <w:i w:val="0"/>
          <w:color w:val="000000" w:themeColor="text1"/>
          <w:sz w:val="16"/>
          <w:szCs w:val="16"/>
        </w:rPr>
        <w:t>г) к 15 марта с.г. представить в ГКО конкретные предложения о строитель</w:t>
      </w:r>
      <w:r w:rsidRPr="00070ADE">
        <w:rPr>
          <w:rFonts w:ascii="Times New Roman" w:hAnsi="Times New Roman" w:cs="Times New Roman"/>
          <w:i w:val="0"/>
          <w:color w:val="000000" w:themeColor="text1"/>
          <w:sz w:val="16"/>
          <w:szCs w:val="16"/>
        </w:rPr>
        <w:softHyphen/>
        <w:t>стве реактивных двигателей».</w:t>
      </w:r>
    </w:p>
    <w:p w14:paraId="595299BF" w14:textId="77777777" w:rsidR="00BD6B74" w:rsidRPr="00070ADE" w:rsidRDefault="00BD6B74"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Заметим, что в перечне конструкторов будущих реактивных самолетов отсутст</w:t>
      </w:r>
      <w:r w:rsidRPr="00070ADE">
        <w:rPr>
          <w:rFonts w:ascii="Times New Roman" w:hAnsi="Times New Roman" w:cs="Times New Roman"/>
          <w:color w:val="000000" w:themeColor="text1"/>
          <w:sz w:val="16"/>
          <w:szCs w:val="16"/>
        </w:rPr>
        <w:softHyphen/>
        <w:t>вовали Болховитинов со своим ракетным перехватчиком БИ, а также Костиков с Бисноватом с самолетом «302П». Причем для Костикова история с ПВРД кончилась очень плохо (17742).</w:t>
      </w:r>
    </w:p>
    <w:p w14:paraId="50E12C32" w14:textId="77777777" w:rsidR="00BD6B74" w:rsidRPr="00070ADE" w:rsidRDefault="00BD6B74" w:rsidP="00B56F90">
      <w:pPr>
        <w:pStyle w:val="ae"/>
        <w:shd w:val="clear" w:color="auto" w:fill="FFFFFF"/>
        <w:spacing w:before="0" w:after="0"/>
        <w:jc w:val="both"/>
        <w:rPr>
          <w:color w:val="000000" w:themeColor="text1"/>
          <w:sz w:val="16"/>
          <w:szCs w:val="16"/>
        </w:rPr>
      </w:pPr>
    </w:p>
    <w:p w14:paraId="6969650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вышло Постановление ГКО № 5202 О мерах помощи заводу № 500 Наркомавиапрома в расширении производства авиационных дизелей. РГАНИР, Фонд ГКО, д. 210, лл. 26-30,31-51 (11012).</w:t>
      </w:r>
    </w:p>
    <w:p w14:paraId="0B54FEA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6BB23D7" w14:textId="77777777" w:rsidR="00B00019" w:rsidRPr="00070ADE" w:rsidRDefault="00B000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вышло Постановление ГКО № 5202 О мерах помощи заводу № 500 Наркомавиапрома в расширении производства авиационных дизелей</w:t>
      </w:r>
    </w:p>
    <w:p w14:paraId="645AC5A5" w14:textId="77777777" w:rsidR="00B00019" w:rsidRPr="00070ADE" w:rsidRDefault="00B00019"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В целях обеспечения расширения производства авиа</w:t>
      </w:r>
      <w:r w:rsidRPr="00070ADE">
        <w:rPr>
          <w:rFonts w:ascii="Times New Roman" w:cs="Times New Roman"/>
          <w:color w:val="000000" w:themeColor="text1"/>
          <w:spacing w:val="0"/>
          <w:sz w:val="16"/>
          <w:szCs w:val="16"/>
        </w:rPr>
        <w:softHyphen/>
        <w:t>ционных дизелей на эаводе № 500 Наркомавиапрома,- Госу</w:t>
      </w:r>
      <w:r w:rsidRPr="00070ADE">
        <w:rPr>
          <w:rFonts w:ascii="Times New Roman" w:cs="Times New Roman"/>
          <w:color w:val="000000" w:themeColor="text1"/>
          <w:spacing w:val="0"/>
          <w:sz w:val="16"/>
          <w:szCs w:val="16"/>
        </w:rPr>
        <w:softHyphen/>
        <w:t>дарственный Комитет Обороны постановляет:</w:t>
      </w:r>
    </w:p>
    <w:p w14:paraId="095D4348" w14:textId="77777777" w:rsidR="00B00019" w:rsidRPr="00070ADE" w:rsidRDefault="00B00019" w:rsidP="00B56F90">
      <w:pPr>
        <w:pStyle w:val="36"/>
        <w:shd w:val="clear" w:color="auto" w:fill="auto"/>
        <w:tabs>
          <w:tab w:val="left" w:pos="1025"/>
        </w:tabs>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 Обявать Наркома в иапром - т'.Шахуринй и Управляютцйх трестами № 18 - т.Хайт и № 8 - т.Волынского закончить строительные и монтажные работы по заводу № 500 в сроки, согласно приложения № 1.</w:t>
      </w:r>
    </w:p>
    <w:p w14:paraId="59EAC9B1" w14:textId="77777777" w:rsidR="00B00019" w:rsidRPr="00070ADE" w:rsidRDefault="00B00019"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Утвердить мероприятия по обеспечению строительства и работы завода № 500 Наркомавиапрома (си.приложение № 2.</w:t>
      </w:r>
    </w:p>
    <w:p w14:paraId="1F486F68" w14:textId="77777777" w:rsidR="00B00019" w:rsidRPr="00070ADE" w:rsidRDefault="00B00019" w:rsidP="00B56F90">
      <w:pPr>
        <w:pStyle w:val="36"/>
        <w:shd w:val="clear" w:color="auto" w:fill="auto"/>
        <w:tabs>
          <w:tab w:val="left" w:pos="1012"/>
        </w:tabs>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 Учитывая необходимость быстрейшего расширения производства авиационных дизелей, поручить т.Микояну А.И. взять под особое наблюдение выполнение заказов завода</w:t>
      </w:r>
    </w:p>
    <w:p w14:paraId="38E6B608" w14:textId="77777777" w:rsidR="00B00019" w:rsidRPr="00070ADE" w:rsidRDefault="00B00019"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 500 НКАП на импортное оборудование, предусмотренных постановлениями ГОКО № 3602СС ОТ 19 июня 1943 года и № 4922с от 11 января 1944 года, обеспечив поставку этого оборудования в возможно короткий срок, впереди всех дру</w:t>
      </w:r>
      <w:r w:rsidRPr="00070ADE">
        <w:rPr>
          <w:rFonts w:ascii="Times New Roman" w:cs="Times New Roman"/>
          <w:color w:val="000000" w:themeColor="text1"/>
          <w:spacing w:val="0"/>
          <w:sz w:val="16"/>
          <w:szCs w:val="16"/>
        </w:rPr>
        <w:softHyphen/>
        <w:t>гих заказов; кроме того в текущем году дополнительно по</w:t>
      </w:r>
      <w:r w:rsidRPr="00070ADE">
        <w:rPr>
          <w:rFonts w:ascii="Times New Roman" w:cs="Times New Roman"/>
          <w:color w:val="000000" w:themeColor="text1"/>
          <w:spacing w:val="0"/>
          <w:sz w:val="16"/>
          <w:szCs w:val="16"/>
        </w:rPr>
        <w:softHyphen/>
        <w:t>ставить заводу № 500 НКАП иЗ импорта оборудование, инстру</w:t>
      </w:r>
      <w:r w:rsidRPr="00070ADE">
        <w:rPr>
          <w:rFonts w:ascii="Times New Roman" w:cs="Times New Roman"/>
          <w:color w:val="000000" w:themeColor="text1"/>
          <w:spacing w:val="0"/>
          <w:sz w:val="16"/>
          <w:szCs w:val="16"/>
        </w:rPr>
        <w:softHyphen/>
        <w:t>мент и материалы, согласно приложению № 3.</w:t>
      </w:r>
    </w:p>
    <w:p w14:paraId="05E2352A" w14:textId="77777777" w:rsidR="00B00019" w:rsidRPr="00070ADE" w:rsidRDefault="00B00019" w:rsidP="00B56F90">
      <w:pPr>
        <w:pStyle w:val="36"/>
        <w:shd w:val="clear" w:color="auto" w:fill="auto"/>
        <w:tabs>
          <w:tab w:val="left" w:pos="1019"/>
        </w:tabs>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 Обязать Наркомстанкоотроения - т.Ефремова поста</w:t>
      </w:r>
      <w:r w:rsidRPr="00070ADE">
        <w:rPr>
          <w:rFonts w:ascii="Times New Roman" w:cs="Times New Roman"/>
          <w:color w:val="000000" w:themeColor="text1"/>
          <w:spacing w:val="0"/>
          <w:sz w:val="16"/>
          <w:szCs w:val="16"/>
        </w:rPr>
        <w:softHyphen/>
        <w:t>вить во втором квартале С. .Г. заводам № 500 и 487 НКАП:</w:t>
      </w:r>
    </w:p>
    <w:p w14:paraId="521E4115" w14:textId="77777777" w:rsidR="00B00019" w:rsidRPr="00070ADE" w:rsidRDefault="00B00019" w:rsidP="00B56F90">
      <w:pPr>
        <w:tabs>
          <w:tab w:val="left" w:pos="79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 50 специальных металлорежущих станков, из них заводу № 500 - 42 станка и заводу № 487 - 3 станков, по спецификации, согласованной </w:t>
      </w:r>
      <w:r w:rsidRPr="00070ADE">
        <w:rPr>
          <w:rFonts w:ascii="Times New Roman" w:hAnsi="Times New Roman"/>
          <w:color w:val="000000" w:themeColor="text1"/>
          <w:sz w:val="16"/>
          <w:szCs w:val="16"/>
          <w:lang w:val="en-US"/>
        </w:rPr>
        <w:t>q</w:t>
      </w:r>
      <w:r w:rsidRPr="00070ADE">
        <w:rPr>
          <w:rFonts w:ascii="Times New Roman" w:hAnsi="Times New Roman"/>
          <w:color w:val="000000" w:themeColor="text1"/>
          <w:sz w:val="16"/>
          <w:szCs w:val="16"/>
        </w:rPr>
        <w:t xml:space="preserve"> Наркомавиапромом (приложение № 4); заказы на указанные станки выдать станкостроительным заводам немедленно;</w:t>
      </w:r>
    </w:p>
    <w:p w14:paraId="6DB39EA3" w14:textId="77777777" w:rsidR="00B00019" w:rsidRPr="00070ADE" w:rsidRDefault="00B00019" w:rsidP="00B56F90">
      <w:pPr>
        <w:tabs>
          <w:tab w:val="left" w:pos="79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специального режущего и мерительного-инстру</w:t>
      </w:r>
      <w:r w:rsidRPr="00070ADE">
        <w:rPr>
          <w:rFonts w:ascii="Times New Roman" w:hAnsi="Times New Roman"/>
          <w:color w:val="000000" w:themeColor="text1"/>
          <w:sz w:val="16"/>
          <w:szCs w:val="16"/>
        </w:rPr>
        <w:softHyphen/>
        <w:t>мента на 650 тыс.рублей, в том числе заводу № 500 на 600 тысяч рублей и заводу № 487 - на 50 тысяч рублей.</w:t>
      </w:r>
    </w:p>
    <w:p w14:paraId="1ED9D584" w14:textId="77777777" w:rsidR="00B00019" w:rsidRPr="00070ADE" w:rsidRDefault="00B00019" w:rsidP="00B56F90">
      <w:pPr>
        <w:tabs>
          <w:tab w:val="left" w:pos="79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Обязать Главное Управление трудовых резервов при СНК СССР - т.Москатова направить в первом полуго</w:t>
      </w:r>
      <w:r w:rsidRPr="00070ADE">
        <w:rPr>
          <w:rFonts w:ascii="Times New Roman" w:hAnsi="Times New Roman"/>
          <w:color w:val="000000" w:themeColor="text1"/>
          <w:sz w:val="16"/>
          <w:szCs w:val="16"/>
        </w:rPr>
        <w:softHyphen/>
        <w:t>дий с.г. из числа оканчивающих ремесленные училища и школы ФЗО: на завод № 500 НКАП - 1500 человек и на завод № 487 НКАП - 300 человек.</w:t>
      </w:r>
    </w:p>
    <w:p w14:paraId="25E0FE00" w14:textId="77777777" w:rsidR="00B00019" w:rsidRPr="00070ADE" w:rsidRDefault="00B00019" w:rsidP="00B56F90">
      <w:pPr>
        <w:tabs>
          <w:tab w:val="left" w:pos="79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5. Обязать НКО </w:t>
      </w:r>
      <w:r w:rsidRPr="00070ADE">
        <w:rPr>
          <w:rFonts w:ascii="Times New Roman" w:hAnsi="Times New Roman"/>
          <w:color w:val="000000" w:themeColor="text1"/>
          <w:sz w:val="16"/>
          <w:szCs w:val="16"/>
          <w:lang w:val="en-US"/>
        </w:rPr>
        <w:t>C</w:t>
      </w:r>
      <w:r w:rsidRPr="00070ADE">
        <w:rPr>
          <w:rFonts w:ascii="Times New Roman" w:hAnsi="Times New Roman"/>
          <w:color w:val="000000" w:themeColor="text1"/>
          <w:sz w:val="16"/>
          <w:szCs w:val="16"/>
        </w:rPr>
        <w:t>СС</w:t>
      </w:r>
      <w:r w:rsidRPr="00070ADE">
        <w:rPr>
          <w:rFonts w:ascii="Times New Roman" w:hAnsi="Times New Roman"/>
          <w:color w:val="000000" w:themeColor="text1"/>
          <w:sz w:val="16"/>
          <w:szCs w:val="16"/>
          <w:lang w:val="en-US"/>
        </w:rPr>
        <w:t>P</w:t>
      </w:r>
      <w:r w:rsidRPr="00070ADE">
        <w:rPr>
          <w:rFonts w:ascii="Times New Roman" w:hAnsi="Times New Roman"/>
          <w:color w:val="000000" w:themeColor="text1"/>
          <w:sz w:val="16"/>
          <w:szCs w:val="16"/>
        </w:rPr>
        <w:t xml:space="preserve"> - т.Смородинова направить до</w:t>
      </w:r>
      <w:r w:rsidRPr="00070ADE">
        <w:rPr>
          <w:rStyle w:val="Gulim5pt"/>
          <w:rFonts w:ascii="Times New Roman" w:hAnsi="Times New Roman" w:cs="Times New Roman"/>
          <w:color w:val="000000" w:themeColor="text1"/>
          <w:sz w:val="16"/>
          <w:szCs w:val="16"/>
        </w:rPr>
        <w:t xml:space="preserve"> </w:t>
      </w:r>
      <w:r w:rsidRPr="00070ADE">
        <w:rPr>
          <w:rFonts w:ascii="Times New Roman" w:hAnsi="Times New Roman"/>
          <w:color w:val="000000" w:themeColor="text1"/>
          <w:sz w:val="16"/>
          <w:szCs w:val="16"/>
        </w:rPr>
        <w:t xml:space="preserve">1 мая </w:t>
      </w:r>
      <w:r w:rsidRPr="00070ADE">
        <w:rPr>
          <w:rStyle w:val="16"/>
          <w:rFonts w:ascii="Times New Roman" w:hAnsi="Times New Roman" w:cs="Times New Roman"/>
          <w:color w:val="000000" w:themeColor="text1"/>
          <w:spacing w:val="0"/>
          <w:u w:val="none"/>
        </w:rPr>
        <w:t>с.г.</w:t>
      </w:r>
      <w:r w:rsidRPr="00070ADE">
        <w:rPr>
          <w:rFonts w:ascii="Times New Roman" w:hAnsi="Times New Roman"/>
          <w:color w:val="000000" w:themeColor="text1"/>
          <w:sz w:val="16"/>
          <w:szCs w:val="16"/>
        </w:rPr>
        <w:t xml:space="preserve"> на завод № 500 НКАП, для использования на работе в производственных цехах и на строительстве этого завода - 2000 человек иэ числа военнообязанных,, не годных к строевой службе в Красной Армии, но годных к физическому труду.</w:t>
      </w:r>
    </w:p>
    <w:p w14:paraId="437CFFB2" w14:textId="77777777" w:rsidR="00B00019" w:rsidRPr="00070ADE" w:rsidRDefault="00B00019" w:rsidP="00B56F90">
      <w:pPr>
        <w:tabs>
          <w:tab w:val="left" w:pos="79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6. Обязать Комитет по делам высшей школы при СНК СССР - т.Кафтанова направить в первом полугодии </w:t>
      </w:r>
      <w:r w:rsidRPr="00070ADE">
        <w:rPr>
          <w:rStyle w:val="16"/>
          <w:rFonts w:ascii="Times New Roman" w:hAnsi="Times New Roman" w:cs="Times New Roman"/>
          <w:color w:val="000000" w:themeColor="text1"/>
          <w:spacing w:val="0"/>
          <w:u w:val="none"/>
        </w:rPr>
        <w:t>с.г.</w:t>
      </w:r>
      <w:r w:rsidRPr="00070ADE">
        <w:rPr>
          <w:rFonts w:ascii="Times New Roman" w:hAnsi="Times New Roman"/>
          <w:color w:val="000000" w:themeColor="text1"/>
          <w:sz w:val="16"/>
          <w:szCs w:val="16"/>
        </w:rPr>
        <w:t xml:space="preserve"> на завод № 500 НКАП 150 инженеров из числа окан</w:t>
      </w:r>
      <w:r w:rsidRPr="00070ADE">
        <w:rPr>
          <w:rFonts w:ascii="Times New Roman" w:hAnsi="Times New Roman"/>
          <w:color w:val="000000" w:themeColor="text1"/>
          <w:sz w:val="16"/>
          <w:szCs w:val="16"/>
        </w:rPr>
        <w:softHyphen/>
        <w:t>чивающих ВТУЗ"ы, в счет плана междуведомственного рас</w:t>
      </w:r>
      <w:r w:rsidRPr="00070ADE">
        <w:rPr>
          <w:rFonts w:ascii="Times New Roman" w:hAnsi="Times New Roman"/>
          <w:color w:val="000000" w:themeColor="text1"/>
          <w:sz w:val="16"/>
          <w:szCs w:val="16"/>
        </w:rPr>
        <w:softHyphen/>
        <w:t>пределения молодых специалистов</w:t>
      </w:r>
    </w:p>
    <w:p w14:paraId="2D6A2442" w14:textId="77777777" w:rsidR="00B00019" w:rsidRPr="00070ADE" w:rsidRDefault="00B00019" w:rsidP="00B56F90">
      <w:pPr>
        <w:tabs>
          <w:tab w:val="left" w:pos="79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Обязать Наркомлегпром СССР - т.Лукина передать заводу № 500 НКАП, расположенный в г.Тушино завод №</w:t>
      </w:r>
      <w:r w:rsidRPr="00070ADE">
        <w:rPr>
          <w:rStyle w:val="85pt0pt"/>
          <w:rFonts w:ascii="Times New Roman" w:hAnsi="Times New Roman" w:cs="Times New Roman"/>
          <w:color w:val="000000" w:themeColor="text1"/>
          <w:spacing w:val="0"/>
          <w:sz w:val="16"/>
          <w:szCs w:val="16"/>
        </w:rPr>
        <w:t xml:space="preserve"> 10 </w:t>
      </w:r>
      <w:r w:rsidRPr="00070ADE">
        <w:rPr>
          <w:rFonts w:ascii="Times New Roman" w:hAnsi="Times New Roman"/>
          <w:color w:val="000000" w:themeColor="text1"/>
          <w:sz w:val="16"/>
          <w:szCs w:val="16"/>
        </w:rPr>
        <w:t>Наркомлегпрома, со всеми зданиями и сооружениями, жилым фондом и вспомогательными службами, а также кадрами ра</w:t>
      </w:r>
      <w:r w:rsidRPr="00070ADE">
        <w:rPr>
          <w:rFonts w:ascii="Times New Roman" w:hAnsi="Times New Roman"/>
          <w:color w:val="000000" w:themeColor="text1"/>
          <w:sz w:val="16"/>
          <w:szCs w:val="16"/>
        </w:rPr>
        <w:softHyphen/>
        <w:t>бочих и служащих.</w:t>
      </w:r>
    </w:p>
    <w:p w14:paraId="5BFDD496" w14:textId="77777777" w:rsidR="00B00019" w:rsidRPr="00070ADE" w:rsidRDefault="00B000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Наркомавиапрому - т.Шадрину взамен завода № 10 пе</w:t>
      </w:r>
      <w:r w:rsidRPr="00070ADE">
        <w:rPr>
          <w:rFonts w:ascii="Times New Roman" w:hAnsi="Times New Roman"/>
          <w:color w:val="000000" w:themeColor="text1"/>
          <w:sz w:val="16"/>
          <w:szCs w:val="16"/>
        </w:rPr>
        <w:softHyphen/>
        <w:t>редать Наркомлегпрому СОСР завод № 459 НКАП в Солнечно</w:t>
      </w:r>
      <w:r w:rsidRPr="00070ADE">
        <w:rPr>
          <w:rFonts w:ascii="Times New Roman" w:hAnsi="Times New Roman"/>
          <w:color w:val="000000" w:themeColor="text1"/>
          <w:sz w:val="16"/>
          <w:szCs w:val="16"/>
        </w:rPr>
        <w:softHyphen/>
        <w:t>горске, со всеми зданиями и сооружениями, жилым фондом и вспомогательными службами, а также кадры рабочих и служащих.</w:t>
      </w:r>
    </w:p>
    <w:p w14:paraId="33D16BD0" w14:textId="77777777" w:rsidR="00B00019" w:rsidRPr="00070ADE" w:rsidRDefault="00B000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Передачу заводов произвести в месячный срок по состоянию на 1 января 1944 года.</w:t>
      </w:r>
    </w:p>
    <w:p w14:paraId="0421E4EE" w14:textId="77777777" w:rsidR="00B00019" w:rsidRPr="00070ADE" w:rsidRDefault="00B000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Разрешить Наркомлеглроиу СССР и Наркомавиапрому пе</w:t>
      </w:r>
      <w:r w:rsidRPr="00070ADE">
        <w:rPr>
          <w:rFonts w:ascii="Times New Roman" w:hAnsi="Times New Roman"/>
          <w:color w:val="000000" w:themeColor="text1"/>
          <w:sz w:val="16"/>
          <w:szCs w:val="16"/>
        </w:rPr>
        <w:softHyphen/>
        <w:t>ревести с передаваемых ааводов № 10 и № 459 на другие свои предприятия специальное оборудование и руководящие кадры.</w:t>
      </w:r>
    </w:p>
    <w:p w14:paraId="23583430" w14:textId="77777777" w:rsidR="00B00019" w:rsidRPr="00070ADE" w:rsidRDefault="00B00019" w:rsidP="00B56F90">
      <w:pPr>
        <w:tabs>
          <w:tab w:val="left" w:pos="82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Для обеспечения нормальной перевозки из Москвы и подмосковных районов в г.Тушино работников Тушинских авиационных заводов и других промышленных предприятий, обязать НКПС - т.Кагановича электрифицировать пасса</w:t>
      </w:r>
      <w:r w:rsidRPr="00070ADE">
        <w:rPr>
          <w:rFonts w:ascii="Times New Roman" w:hAnsi="Times New Roman"/>
          <w:color w:val="000000" w:themeColor="text1"/>
          <w:sz w:val="16"/>
          <w:szCs w:val="16"/>
        </w:rPr>
        <w:softHyphen/>
        <w:t xml:space="preserve">жирское железнодорожное д в ижен </w:t>
      </w:r>
      <w:r w:rsidRPr="00070ADE">
        <w:rPr>
          <w:rStyle w:val="1pt"/>
          <w:rFonts w:ascii="Times New Roman" w:hAnsi="Times New Roman" w:cs="Times New Roman"/>
          <w:color w:val="000000" w:themeColor="text1"/>
          <w:spacing w:val="0"/>
          <w:sz w:val="16"/>
          <w:szCs w:val="16"/>
        </w:rPr>
        <w:t>ие н</w:t>
      </w:r>
      <w:r w:rsidRPr="00070ADE">
        <w:rPr>
          <w:rFonts w:ascii="Times New Roman" w:hAnsi="Times New Roman"/>
          <w:color w:val="000000" w:themeColor="text1"/>
          <w:sz w:val="16"/>
          <w:szCs w:val="16"/>
        </w:rPr>
        <w:t xml:space="preserve"> а участке, Москва - станция Нахабино, Калининской жёлезной дороги, обеспе</w:t>
      </w:r>
      <w:r w:rsidRPr="00070ADE">
        <w:rPr>
          <w:rFonts w:ascii="Times New Roman" w:hAnsi="Times New Roman"/>
          <w:color w:val="000000" w:themeColor="text1"/>
          <w:sz w:val="16"/>
          <w:szCs w:val="16"/>
        </w:rPr>
        <w:softHyphen/>
        <w:t>чив ввод в эксплоатацию электрифицированного участка к 1 ноября 1944 года.</w:t>
      </w:r>
    </w:p>
    <w:p w14:paraId="09D6D1FC" w14:textId="77777777" w:rsidR="00B00019" w:rsidRPr="00070ADE" w:rsidRDefault="00B000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 план поставки НКПС материалов целевым назначением для электрификации железнодорожного участка Москва - станция Нахабино, Калининской железной дороги (приложение № 5).</w:t>
      </w:r>
    </w:p>
    <w:p w14:paraId="11425B09" w14:textId="77777777" w:rsidR="00B00019" w:rsidRPr="00070ADE" w:rsidRDefault="00B00019" w:rsidP="00B56F90">
      <w:pPr>
        <w:tabs>
          <w:tab w:val="left" w:pos="82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Обязать Мосгорисполком - т.Пронина построить и до 1 августа с.г. сдать в эксплоатацию трамвайную линию от деревни, Щукино до поселка завода № 82 НКАП.</w:t>
      </w:r>
    </w:p>
    <w:p w14:paraId="39AB1B5F" w14:textId="77777777" w:rsidR="00B00019" w:rsidRPr="00070ADE" w:rsidRDefault="00B000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Финансирование работ по строительству новой трам</w:t>
      </w:r>
      <w:r w:rsidRPr="00070ADE">
        <w:rPr>
          <w:rFonts w:ascii="Times New Roman" w:hAnsi="Times New Roman"/>
          <w:color w:val="000000" w:themeColor="text1"/>
          <w:sz w:val="16"/>
          <w:szCs w:val="16"/>
        </w:rPr>
        <w:softHyphen/>
        <w:t>вайной линии возложить на Наркомавиапром.</w:t>
      </w:r>
    </w:p>
    <w:p w14:paraId="7445E0B4" w14:textId="77777777" w:rsidR="00B00019" w:rsidRPr="00070ADE" w:rsidRDefault="00B000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Утвердить план поставок </w:t>
      </w:r>
      <w:r w:rsidRPr="00070ADE">
        <w:rPr>
          <w:rFonts w:ascii="Times New Roman" w:hAnsi="Times New Roman"/>
          <w:color w:val="000000" w:themeColor="text1"/>
          <w:sz w:val="16"/>
          <w:szCs w:val="16"/>
          <w:lang w:val="en-US"/>
        </w:rPr>
        <w:t>Mocrop</w:t>
      </w:r>
      <w:r w:rsidRPr="00070ADE">
        <w:rPr>
          <w:rFonts w:ascii="Times New Roman" w:hAnsi="Times New Roman"/>
          <w:color w:val="000000" w:themeColor="text1"/>
          <w:sz w:val="16"/>
          <w:szCs w:val="16"/>
        </w:rPr>
        <w:t>исполкому материалов, целевым назначением для строительства трамвайной линии от деревни Щукино до поселка завода № 82 НКАП (приложе</w:t>
      </w:r>
      <w:r w:rsidRPr="00070ADE">
        <w:rPr>
          <w:rFonts w:ascii="Times New Roman" w:hAnsi="Times New Roman"/>
          <w:color w:val="000000" w:themeColor="text1"/>
          <w:sz w:val="16"/>
          <w:szCs w:val="16"/>
        </w:rPr>
        <w:softHyphen/>
        <w:t xml:space="preserve">ние № </w:t>
      </w:r>
      <w:r w:rsidRPr="00070ADE">
        <w:rPr>
          <w:rStyle w:val="16"/>
          <w:rFonts w:ascii="Times New Roman" w:hAnsi="Times New Roman" w:cs="Times New Roman"/>
          <w:color w:val="000000" w:themeColor="text1"/>
          <w:spacing w:val="0"/>
          <w:u w:val="none"/>
        </w:rPr>
        <w:t>6).</w:t>
      </w:r>
    </w:p>
    <w:p w14:paraId="37CA4763" w14:textId="77777777" w:rsidR="00B00019" w:rsidRPr="00070ADE" w:rsidRDefault="00B000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10. Обязать Госплан СССР - т.Вознесенского преду</w:t>
      </w:r>
      <w:r w:rsidRPr="00070ADE">
        <w:rPr>
          <w:rFonts w:ascii="Times New Roman" w:hAnsi="Times New Roman"/>
          <w:color w:val="000000" w:themeColor="text1"/>
          <w:sz w:val="16"/>
          <w:szCs w:val="16"/>
        </w:rPr>
        <w:softHyphen/>
        <w:t>смотреть в квартальных планах в текущем году целевое вы</w:t>
      </w:r>
      <w:r w:rsidRPr="00070ADE">
        <w:rPr>
          <w:rFonts w:ascii="Times New Roman" w:hAnsi="Times New Roman"/>
          <w:color w:val="000000" w:themeColor="text1"/>
          <w:sz w:val="16"/>
          <w:szCs w:val="16"/>
        </w:rPr>
        <w:softHyphen/>
        <w:t>деление фондов на оборудование и материалы, предусморенные настоящим постановлением заводу № 500 и стройтреста № 18 НКАП, а также НКПС для электрификации желеанодорожного участка Москва - станция Нахабино и Мосгорисполко</w:t>
      </w:r>
      <w:r w:rsidRPr="00070ADE">
        <w:rPr>
          <w:rFonts w:ascii="Times New Roman" w:hAnsi="Times New Roman"/>
          <w:color w:val="000000" w:themeColor="text1"/>
          <w:sz w:val="16"/>
          <w:szCs w:val="16"/>
        </w:rPr>
        <w:softHyphen/>
      </w:r>
      <w:r w:rsidRPr="00070ADE">
        <w:rPr>
          <w:rStyle w:val="1pt"/>
          <w:rFonts w:ascii="Times New Roman" w:hAnsi="Times New Roman" w:cs="Times New Roman"/>
          <w:color w:val="000000" w:themeColor="text1"/>
          <w:spacing w:val="0"/>
          <w:sz w:val="16"/>
          <w:szCs w:val="16"/>
        </w:rPr>
        <w:t>му -для</w:t>
      </w:r>
      <w:r w:rsidRPr="00070ADE">
        <w:rPr>
          <w:rFonts w:ascii="Times New Roman" w:hAnsi="Times New Roman"/>
          <w:color w:val="000000" w:themeColor="text1"/>
          <w:sz w:val="16"/>
          <w:szCs w:val="16"/>
        </w:rPr>
        <w:t xml:space="preserve"> продления трамвайной линии от деревни Щукино до поселка завода № 82 НКАП.</w:t>
      </w:r>
    </w:p>
    <w:p w14:paraId="66216D51" w14:textId="77777777" w:rsidR="00B00019" w:rsidRPr="00070ADE" w:rsidRDefault="00B000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Для обеспечения электроснабжения завода № 500 НКАП, обязать Наркомэле ктростанций - т. Жимерина расши</w:t>
      </w:r>
      <w:r w:rsidRPr="00070ADE">
        <w:rPr>
          <w:rFonts w:ascii="Times New Roman" w:hAnsi="Times New Roman"/>
          <w:color w:val="000000" w:themeColor="text1"/>
          <w:sz w:val="16"/>
          <w:szCs w:val="16"/>
        </w:rPr>
        <w:softHyphen/>
        <w:t xml:space="preserve">рить в первом полугодии </w:t>
      </w:r>
      <w:r w:rsidRPr="00070ADE">
        <w:rPr>
          <w:rStyle w:val="1pt"/>
          <w:rFonts w:ascii="Times New Roman" w:hAnsi="Times New Roman" w:cs="Times New Roman"/>
          <w:color w:val="000000" w:themeColor="text1"/>
          <w:spacing w:val="0"/>
          <w:sz w:val="16"/>
          <w:szCs w:val="16"/>
        </w:rPr>
        <w:t>с.г.</w:t>
      </w:r>
      <w:r w:rsidRPr="00070ADE">
        <w:rPr>
          <w:rFonts w:ascii="Times New Roman" w:hAnsi="Times New Roman"/>
          <w:color w:val="000000" w:themeColor="text1"/>
          <w:sz w:val="16"/>
          <w:szCs w:val="16"/>
        </w:rPr>
        <w:t xml:space="preserve"> электроподстанцию № 111 Мосэнерго на одну ячейку в 35 киловольт.</w:t>
      </w:r>
    </w:p>
    <w:p w14:paraId="2B6B99CA" w14:textId="08CFAE9B" w:rsidR="00B00019" w:rsidRPr="00070ADE" w:rsidRDefault="00B000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Обязать Наркомсредмаш - т.Акопова и директора Московского автозавода - т.Лихачева в двухнедельный срок поставить стройтресту № 16 НКАП - 30 грузовых ав</w:t>
      </w:r>
      <w:r w:rsidRPr="00070ADE">
        <w:rPr>
          <w:rFonts w:ascii="Times New Roman" w:hAnsi="Times New Roman"/>
          <w:color w:val="000000" w:themeColor="text1"/>
          <w:sz w:val="16"/>
          <w:szCs w:val="16"/>
        </w:rPr>
        <w:softHyphen/>
        <w:t>томашин, заводу № 500 НКАП - 15 и заводу № 487 НКАП 5 грузовых автомашин, в счет доставок НКО.</w:t>
      </w:r>
    </w:p>
    <w:p w14:paraId="59F79A4C" w14:textId="77777777" w:rsidR="00B00019" w:rsidRPr="00070ADE" w:rsidRDefault="00B000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В связи с тем, что корпус Московского авиаци</w:t>
      </w:r>
      <w:r w:rsidRPr="00070ADE">
        <w:rPr>
          <w:rFonts w:ascii="Times New Roman" w:hAnsi="Times New Roman"/>
          <w:color w:val="000000" w:themeColor="text1"/>
          <w:sz w:val="16"/>
          <w:szCs w:val="16"/>
        </w:rPr>
        <w:softHyphen/>
        <w:t>онного технологического института в г.Тушино передан, заводу № 500, обязать Наркомавиапром - т.Шахурина в ча</w:t>
      </w:r>
      <w:r w:rsidRPr="00070ADE">
        <w:rPr>
          <w:rFonts w:ascii="Times New Roman" w:hAnsi="Times New Roman"/>
          <w:color w:val="000000" w:themeColor="text1"/>
          <w:sz w:val="16"/>
          <w:szCs w:val="16"/>
        </w:rPr>
        <w:softHyphen/>
        <w:t>стичное изменение постановления ГОКО № 3919с от 13 ав</w:t>
      </w:r>
      <w:r w:rsidRPr="00070ADE">
        <w:rPr>
          <w:rFonts w:ascii="Times New Roman" w:hAnsi="Times New Roman"/>
          <w:color w:val="000000" w:themeColor="text1"/>
          <w:sz w:val="16"/>
          <w:szCs w:val="16"/>
        </w:rPr>
        <w:softHyphen/>
        <w:t>густа 1943 года передать МАТИ, для организации учебно- производственных мастерских и лабораторий, помещение бывшего филиала завода № 119 (Щемиловский переулок,дом №16).</w:t>
      </w:r>
    </w:p>
    <w:p w14:paraId="0AE72D21" w14:textId="77777777" w:rsidR="00B00019" w:rsidRPr="00070ADE" w:rsidRDefault="00B000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Распространить на серийные авиационные дизели режим хранения технической до кументацииу, установленный на заводах НКАП для серийных авиационных моторов</w:t>
      </w:r>
    </w:p>
    <w:p w14:paraId="61BB0475" w14:textId="77777777" w:rsidR="00B00019" w:rsidRPr="00070ADE" w:rsidRDefault="00B000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Обязать Наркомфин СССР - т Зверева выделить из резервного фонда СНК СССР:</w:t>
      </w:r>
    </w:p>
    <w:p w14:paraId="5EA6E28E" w14:textId="77777777" w:rsidR="00B00019" w:rsidRPr="00070ADE" w:rsidRDefault="00B000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Наркомавиапрому - 15,5 млн .рублей,- из них: 13 млн</w:t>
      </w:r>
      <w:r w:rsidRPr="00070ADE">
        <w:rPr>
          <w:rFonts w:ascii="Times New Roman" w:hAnsi="Times New Roman"/>
          <w:color w:val="000000" w:themeColor="text1"/>
          <w:sz w:val="16"/>
          <w:szCs w:val="16"/>
          <w:lang w:val="en-US"/>
        </w:rPr>
        <w:t>i</w:t>
      </w:r>
      <w:r w:rsidRPr="00070ADE">
        <w:rPr>
          <w:rFonts w:ascii="Times New Roman" w:hAnsi="Times New Roman"/>
          <w:color w:val="000000" w:themeColor="text1"/>
          <w:sz w:val="16"/>
          <w:szCs w:val="16"/>
        </w:rPr>
        <w:t>рублей на постановку и расширение серийного про</w:t>
      </w:r>
      <w:r w:rsidRPr="00070ADE">
        <w:rPr>
          <w:rFonts w:ascii="Times New Roman" w:hAnsi="Times New Roman"/>
          <w:color w:val="000000" w:themeColor="text1"/>
          <w:sz w:val="16"/>
          <w:szCs w:val="16"/>
        </w:rPr>
        <w:softHyphen/>
        <w:t xml:space="preserve">изводства авиационных дизелей на заводе № 500 2 млн. рублей на премирование работников заводов № 500 и 487. отличившихся при организации производства авиационных дизелей и топливной аппаратуры для- них; - </w:t>
      </w:r>
      <w:r w:rsidRPr="00070ADE">
        <w:rPr>
          <w:rStyle w:val="-1pt"/>
          <w:rFonts w:ascii="Times New Roman" w:hAnsi="Times New Roman" w:cs="Times New Roman"/>
          <w:color w:val="000000" w:themeColor="text1"/>
          <w:spacing w:val="0"/>
          <w:sz w:val="16"/>
          <w:szCs w:val="16"/>
        </w:rPr>
        <w:t>500</w:t>
      </w:r>
      <w:r w:rsidRPr="00070ADE">
        <w:rPr>
          <w:rFonts w:ascii="Times New Roman" w:hAnsi="Times New Roman"/>
          <w:color w:val="000000" w:themeColor="text1"/>
          <w:sz w:val="16"/>
          <w:szCs w:val="16"/>
        </w:rPr>
        <w:t xml:space="preserve"> тысяч руб</w:t>
      </w:r>
      <w:r w:rsidRPr="00070ADE">
        <w:rPr>
          <w:rFonts w:ascii="Times New Roman" w:hAnsi="Times New Roman"/>
          <w:color w:val="000000" w:themeColor="text1"/>
          <w:sz w:val="16"/>
          <w:szCs w:val="16"/>
        </w:rPr>
        <w:softHyphen/>
        <w:t>лей на премирование работников треста №.16, отличившиеся при строительстве завода № 500 НКАП;</w:t>
      </w:r>
    </w:p>
    <w:p w14:paraId="434E4A90" w14:textId="5E72961A" w:rsidR="00B00019" w:rsidRPr="00070ADE" w:rsidRDefault="00B000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Наркомстанкостроению - 500 тысяч рублей на премирование работников, отличившихся при выполнении в срок задания по изготовлению и</w:t>
      </w:r>
      <w:r w:rsidR="00C63BA9">
        <w:rPr>
          <w:rFonts w:ascii="Times New Roman" w:hAnsi="Times New Roman"/>
          <w:color w:val="000000" w:themeColor="text1"/>
          <w:sz w:val="16"/>
          <w:szCs w:val="16"/>
        </w:rPr>
        <w:t xml:space="preserve"> </w:t>
      </w:r>
      <w:r w:rsidRPr="00070ADE">
        <w:rPr>
          <w:rStyle w:val="afff7"/>
          <w:rFonts w:ascii="Times New Roman" w:hAnsi="Times New Roman" w:cs="Times New Roman"/>
          <w:b w:val="0"/>
          <w:color w:val="000000" w:themeColor="text1"/>
          <w:sz w:val="16"/>
          <w:szCs w:val="16"/>
        </w:rPr>
        <w:t>поставке заводам №</w:t>
      </w:r>
      <w:r w:rsidRPr="00070ADE">
        <w:rPr>
          <w:rFonts w:ascii="Times New Roman" w:hAnsi="Times New Roman"/>
          <w:color w:val="000000" w:themeColor="text1"/>
          <w:sz w:val="16"/>
          <w:szCs w:val="16"/>
        </w:rPr>
        <w:t xml:space="preserve"> 500 и 487 НКАП </w:t>
      </w:r>
      <w:r w:rsidRPr="00070ADE">
        <w:rPr>
          <w:rStyle w:val="16"/>
          <w:rFonts w:ascii="Times New Roman" w:hAnsi="Times New Roman" w:cs="Times New Roman"/>
          <w:color w:val="000000" w:themeColor="text1"/>
          <w:spacing w:val="0"/>
          <w:u w:val="none"/>
        </w:rPr>
        <w:t>специальных м</w:t>
      </w:r>
      <w:r w:rsidRPr="00070ADE">
        <w:rPr>
          <w:rFonts w:ascii="Times New Roman" w:hAnsi="Times New Roman"/>
          <w:color w:val="000000" w:themeColor="text1"/>
          <w:sz w:val="16"/>
          <w:szCs w:val="16"/>
        </w:rPr>
        <w:t>еталлорекущих станков.</w:t>
      </w:r>
    </w:p>
    <w:p w14:paraId="2D8F3C26" w14:textId="77777777" w:rsidR="00B00019" w:rsidRPr="00070ADE" w:rsidRDefault="00B000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Учитывая особое значение завода № 500 Наркомавиапрома в деле обеспечения выпуска авиационных дизе</w:t>
      </w:r>
      <w:r w:rsidRPr="00070ADE">
        <w:rPr>
          <w:rFonts w:ascii="Times New Roman" w:hAnsi="Times New Roman"/>
          <w:color w:val="000000" w:themeColor="text1"/>
          <w:sz w:val="16"/>
          <w:szCs w:val="16"/>
        </w:rPr>
        <w:softHyphen/>
      </w:r>
      <w:r w:rsidRPr="00070ADE">
        <w:rPr>
          <w:rStyle w:val="afff7"/>
          <w:rFonts w:ascii="Times New Roman" w:hAnsi="Times New Roman" w:cs="Times New Roman"/>
          <w:b w:val="0"/>
          <w:color w:val="000000" w:themeColor="text1"/>
          <w:sz w:val="16"/>
          <w:szCs w:val="16"/>
        </w:rPr>
        <w:t>лей</w:t>
      </w:r>
      <w:r w:rsidRPr="00070ADE">
        <w:rPr>
          <w:rFonts w:ascii="Times New Roman" w:hAnsi="Times New Roman"/>
          <w:color w:val="000000" w:themeColor="text1"/>
          <w:sz w:val="16"/>
          <w:szCs w:val="16"/>
        </w:rPr>
        <w:t xml:space="preserve"> для новых боевых самолетов - обязать все перечис</w:t>
      </w:r>
      <w:r w:rsidRPr="00070ADE">
        <w:rPr>
          <w:rFonts w:ascii="Times New Roman" w:hAnsi="Times New Roman"/>
          <w:color w:val="000000" w:themeColor="text1"/>
          <w:sz w:val="16"/>
          <w:szCs w:val="16"/>
        </w:rPr>
        <w:softHyphen/>
        <w:t>ленные в постановлении наркоматы и ведомства считать выполнение настоящего решения задачей важнейшего военно-хозяйственного значения (19440).</w:t>
      </w:r>
    </w:p>
    <w:p w14:paraId="6B033C5E" w14:textId="77777777" w:rsidR="001D435E" w:rsidRPr="00070ADE" w:rsidRDefault="001D435E" w:rsidP="00B56F90">
      <w:pPr>
        <w:autoSpaceDE w:val="0"/>
        <w:autoSpaceDN w:val="0"/>
        <w:adjustRightInd w:val="0"/>
        <w:spacing w:after="0" w:line="240" w:lineRule="auto"/>
        <w:jc w:val="both"/>
        <w:rPr>
          <w:rFonts w:ascii="Times New Roman" w:hAnsi="Times New Roman"/>
          <w:color w:val="000000" w:themeColor="text1"/>
          <w:sz w:val="16"/>
          <w:szCs w:val="16"/>
        </w:rPr>
      </w:pPr>
    </w:p>
    <w:p w14:paraId="762FD5A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г. в соответствии с пост. ГКО № 5202с и приказом № 134с/20с от 25.02.1944 г. завод № 10 НКЛП (г. Тушино) (Завод № 10 НКЛП, 1-й парашютный завод НКО /г. Тушино Московской обл./) со всеми сооружениями и личным составом передан заводу № 500 НКАП как производство № 3. Этим же приказом завод № 459 НКАП со всеми сооружениями и личным составом передан в систему НКЛП и переименован в завод № 10 НКЛП (см. завод № 459).</w:t>
      </w:r>
    </w:p>
    <w:p w14:paraId="24259E6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(1931 г.)- М.А. Савицкий, (1930-е)- Николаев.</w:t>
      </w:r>
    </w:p>
    <w:p w14:paraId="52398FD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(1931 г.)- М.А. Савицкий (11982) (11982).</w:t>
      </w:r>
    </w:p>
    <w:p w14:paraId="054FB8B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E6F2D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вышло Постановление ГКО № 5203 Об отработке и изготовлении образцов авиационного электрифицированного вооружения. РГАНИР, Фонд ГКО, д. 210, лл. 52-53 (11012).</w:t>
      </w:r>
    </w:p>
    <w:p w14:paraId="6A226E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5E5C61D" w14:textId="77777777" w:rsidR="00681333" w:rsidRPr="00070ADE" w:rsidRDefault="006813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вышло Постановление ГКО № 5203 Об отработке и изготовлении образцов авиационного электрифицированного вооружения</w:t>
      </w:r>
    </w:p>
    <w:p w14:paraId="1AEE2001" w14:textId="77777777" w:rsidR="00681333" w:rsidRPr="00070ADE" w:rsidRDefault="00681333"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В целях повышения огневой мощности истребителей и точности воздушной стрельбы, Государственный Комитет рбороны постановляет: .</w:t>
      </w:r>
    </w:p>
    <w:p w14:paraId="3C4E7532" w14:textId="77777777" w:rsidR="00681333" w:rsidRPr="00070ADE" w:rsidRDefault="00681333" w:rsidP="00B56F90">
      <w:pPr>
        <w:pStyle w:val="36"/>
        <w:shd w:val="clear" w:color="auto" w:fill="auto"/>
        <w:tabs>
          <w:tab w:val="left" w:pos="1372"/>
        </w:tabs>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 Обязать Наркомбоепрйпасо</w:t>
      </w:r>
      <w:r w:rsidRPr="00070ADE">
        <w:rPr>
          <w:rStyle w:val="affa"/>
          <w:rFonts w:ascii="Times New Roman" w:cs="Times New Roman"/>
          <w:b w:val="0"/>
          <w:color w:val="000000" w:themeColor="text1"/>
          <w:spacing w:val="0"/>
          <w:sz w:val="16"/>
          <w:szCs w:val="16"/>
        </w:rPr>
        <w:t>в - т.Ванникова, ди</w:t>
      </w:r>
      <w:r w:rsidRPr="00070ADE">
        <w:rPr>
          <w:rStyle w:val="affa"/>
          <w:rFonts w:ascii="Times New Roman" w:cs="Times New Roman"/>
          <w:color w:val="000000" w:themeColor="text1"/>
          <w:spacing w:val="0"/>
          <w:sz w:val="16"/>
          <w:szCs w:val="16"/>
        </w:rPr>
        <w:softHyphen/>
      </w:r>
      <w:r w:rsidRPr="00070ADE">
        <w:rPr>
          <w:rFonts w:ascii="Times New Roman" w:cs="Times New Roman"/>
          <w:color w:val="000000" w:themeColor="text1"/>
          <w:spacing w:val="0"/>
          <w:sz w:val="16"/>
          <w:szCs w:val="16"/>
        </w:rPr>
        <w:t>ректора завода № 521 т</w:t>
      </w:r>
      <w:r w:rsidRPr="00070ADE">
        <w:rPr>
          <w:rStyle w:val="affa"/>
          <w:rFonts w:ascii="Times New Roman" w:cs="Times New Roman"/>
          <w:color w:val="000000" w:themeColor="text1"/>
          <w:spacing w:val="0"/>
          <w:sz w:val="16"/>
          <w:szCs w:val="16"/>
        </w:rPr>
        <w:t>.</w:t>
      </w:r>
      <w:r w:rsidRPr="00070ADE">
        <w:rPr>
          <w:rStyle w:val="affa"/>
          <w:rFonts w:ascii="Times New Roman" w:cs="Times New Roman"/>
          <w:b w:val="0"/>
          <w:color w:val="000000" w:themeColor="text1"/>
          <w:spacing w:val="0"/>
          <w:sz w:val="16"/>
          <w:szCs w:val="16"/>
        </w:rPr>
        <w:t>Борисова, директора</w:t>
      </w:r>
      <w:r w:rsidRPr="00070ADE">
        <w:rPr>
          <w:rFonts w:ascii="Times New Roman" w:cs="Times New Roman"/>
          <w:color w:val="000000" w:themeColor="text1"/>
          <w:spacing w:val="0"/>
          <w:sz w:val="16"/>
          <w:szCs w:val="16"/>
        </w:rPr>
        <w:t xml:space="preserve"> завода № 253 т.Костылева и директора НИИ-6 т.Закощикова отработать и изготовить опытную партию электрокапсюлей в количест</w:t>
      </w:r>
      <w:r w:rsidRPr="00070ADE">
        <w:rPr>
          <w:rFonts w:ascii="Times New Roman" w:cs="Times New Roman"/>
          <w:color w:val="000000" w:themeColor="text1"/>
          <w:spacing w:val="0"/>
          <w:sz w:val="16"/>
          <w:szCs w:val="16"/>
        </w:rPr>
        <w:softHyphen/>
        <w:t>ве 15.000 шт. к патронам калибров 12,7; 20; 23мм и в количестве 3.000 шт. к патронам калибра 37 мм, по тактико-техническим требованиям ВВС Красной Армии, и по</w:t>
      </w:r>
      <w:r w:rsidRPr="00070ADE">
        <w:rPr>
          <w:rFonts w:ascii="Times New Roman" w:cs="Times New Roman"/>
          <w:color w:val="000000" w:themeColor="text1"/>
          <w:spacing w:val="0"/>
          <w:sz w:val="16"/>
          <w:szCs w:val="16"/>
        </w:rPr>
        <w:softHyphen/>
        <w:t>дать патроны с электрокапсюлями к 15 марта 1944 года:</w:t>
      </w:r>
    </w:p>
    <w:p w14:paraId="28F2C6CC" w14:textId="77777777" w:rsidR="00681333" w:rsidRPr="00070ADE" w:rsidRDefault="00681333" w:rsidP="00B56F90">
      <w:pPr>
        <w:pStyle w:val="36"/>
        <w:shd w:val="clear" w:color="auto" w:fill="auto"/>
        <w:tabs>
          <w:tab w:val="left" w:pos="1359"/>
        </w:tabs>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а) по500 шт. калибров 12,7; 20</w:t>
      </w:r>
      <w:r w:rsidRPr="00070ADE">
        <w:rPr>
          <w:rStyle w:val="affa"/>
          <w:rFonts w:ascii="Times New Roman" w:cs="Times New Roman"/>
          <w:color w:val="000000" w:themeColor="text1"/>
          <w:spacing w:val="0"/>
          <w:sz w:val="16"/>
          <w:szCs w:val="16"/>
        </w:rPr>
        <w:t xml:space="preserve"> </w:t>
      </w:r>
      <w:r w:rsidRPr="00070ADE">
        <w:rPr>
          <w:rStyle w:val="affa"/>
          <w:rFonts w:ascii="Times New Roman" w:cs="Times New Roman"/>
          <w:b w:val="0"/>
          <w:color w:val="000000" w:themeColor="text1"/>
          <w:spacing w:val="0"/>
          <w:sz w:val="16"/>
          <w:szCs w:val="16"/>
        </w:rPr>
        <w:t>и</w:t>
      </w:r>
      <w:r w:rsidRPr="00070ADE">
        <w:rPr>
          <w:rFonts w:ascii="Times New Roman" w:cs="Times New Roman"/>
          <w:color w:val="000000" w:themeColor="text1"/>
          <w:spacing w:val="0"/>
          <w:sz w:val="16"/>
          <w:szCs w:val="16"/>
        </w:rPr>
        <w:t xml:space="preserve"> 23мм ОКБ-140 НКАП для отработки электросинхронизатора;</w:t>
      </w:r>
    </w:p>
    <w:p w14:paraId="04C14C77" w14:textId="77777777" w:rsidR="00681333" w:rsidRPr="00070ADE" w:rsidRDefault="00681333" w:rsidP="00B56F90">
      <w:pPr>
        <w:pStyle w:val="36"/>
        <w:shd w:val="clear" w:color="auto" w:fill="auto"/>
        <w:tabs>
          <w:tab w:val="left" w:pos="1372"/>
        </w:tabs>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б) по 1000 шт. каждого калибра НКВ для отработ</w:t>
      </w:r>
      <w:r w:rsidRPr="00070ADE">
        <w:rPr>
          <w:rFonts w:ascii="Times New Roman" w:cs="Times New Roman"/>
          <w:color w:val="000000" w:themeColor="text1"/>
          <w:spacing w:val="0"/>
          <w:sz w:val="16"/>
          <w:szCs w:val="16"/>
        </w:rPr>
        <w:softHyphen/>
        <w:t>ки образцов электрифицированного вооружения;</w:t>
      </w:r>
    </w:p>
    <w:p w14:paraId="069F283B" w14:textId="77777777" w:rsidR="00681333" w:rsidRPr="00070ADE" w:rsidRDefault="00681333" w:rsidP="00B56F90">
      <w:pPr>
        <w:pStyle w:val="36"/>
        <w:shd w:val="clear" w:color="auto" w:fill="auto"/>
        <w:tabs>
          <w:tab w:val="left" w:pos="1365"/>
        </w:tabs>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в) по 3.500 шт. калибров 12,7; 20; 23мм и 2.000шт. калибра 37мм НШ АВ ВВС Красной Армии для проведения госиспытаний.</w:t>
      </w:r>
    </w:p>
    <w:p w14:paraId="22D71F59" w14:textId="77777777" w:rsidR="00681333" w:rsidRPr="00070ADE" w:rsidRDefault="006813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Обязать Наркомвооружения - т.Устинова и глав</w:t>
      </w:r>
      <w:r w:rsidRPr="00070ADE">
        <w:rPr>
          <w:rFonts w:ascii="Times New Roman" w:hAnsi="Times New Roman"/>
          <w:color w:val="000000" w:themeColor="text1"/>
          <w:sz w:val="16"/>
          <w:szCs w:val="16"/>
        </w:rPr>
        <w:softHyphen/>
        <w:t>ных конструкторов т.т.Березина, Шпитального,Нудельмана, Волкова к Ярцева</w:t>
      </w:r>
      <w:r w:rsidRPr="00070ADE">
        <w:rPr>
          <w:rStyle w:val="affa"/>
          <w:rFonts w:ascii="Times New Roman" w:hAnsi="Times New Roman" w:cs="Times New Roman"/>
          <w:color w:val="000000" w:themeColor="text1"/>
          <w:spacing w:val="0"/>
          <w:sz w:val="16"/>
          <w:szCs w:val="16"/>
        </w:rPr>
        <w:t xml:space="preserve"> </w:t>
      </w:r>
      <w:r w:rsidRPr="00070ADE">
        <w:rPr>
          <w:rStyle w:val="affa"/>
          <w:rFonts w:ascii="Times New Roman" w:hAnsi="Times New Roman" w:cs="Times New Roman"/>
          <w:b w:val="0"/>
          <w:color w:val="000000" w:themeColor="text1"/>
          <w:spacing w:val="0"/>
          <w:sz w:val="16"/>
          <w:szCs w:val="16"/>
        </w:rPr>
        <w:t>электрифицировать по тактико-техни</w:t>
      </w:r>
      <w:r w:rsidRPr="00070ADE">
        <w:rPr>
          <w:rStyle w:val="affa"/>
          <w:rFonts w:ascii="Times New Roman" w:hAnsi="Times New Roman" w:cs="Times New Roman"/>
          <w:color w:val="000000" w:themeColor="text1"/>
          <w:spacing w:val="0"/>
          <w:sz w:val="16"/>
          <w:szCs w:val="16"/>
        </w:rPr>
        <w:softHyphen/>
      </w:r>
      <w:r w:rsidRPr="00070ADE">
        <w:rPr>
          <w:rFonts w:ascii="Times New Roman" w:hAnsi="Times New Roman"/>
          <w:color w:val="000000" w:themeColor="text1"/>
          <w:sz w:val="16"/>
          <w:szCs w:val="16"/>
        </w:rPr>
        <w:t>ческим требованиям ВВС Красной Армии:</w:t>
      </w:r>
    </w:p>
    <w:p w14:paraId="31DA70D9" w14:textId="77777777" w:rsidR="00681333" w:rsidRPr="00070ADE" w:rsidRDefault="00681333" w:rsidP="00B56F90">
      <w:pPr>
        <w:tabs>
          <w:tab w:val="left" w:pos="242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т.Шпитального - 20 мм пушку "Швак",</w:t>
      </w:r>
    </w:p>
    <w:p w14:paraId="242814AB" w14:textId="77777777" w:rsidR="00681333" w:rsidRPr="00070ADE" w:rsidRDefault="00681333" w:rsidP="00B56F90">
      <w:pPr>
        <w:tabs>
          <w:tab w:val="left" w:pos="242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т.Нудельмана - 37 мм пушку "НС",</w:t>
      </w:r>
    </w:p>
    <w:p w14:paraId="30ADA3D0" w14:textId="77777777" w:rsidR="00681333" w:rsidRPr="00070ADE" w:rsidRDefault="00681333" w:rsidP="00B56F90">
      <w:pPr>
        <w:tabs>
          <w:tab w:val="left" w:pos="399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т.т.Волкова и Ярцева- 23 мм пушку "ВЯ" и подать к 15 марта 1944 года:</w:t>
      </w:r>
    </w:p>
    <w:p w14:paraId="1072252D" w14:textId="77777777" w:rsidR="00681333" w:rsidRPr="00070ADE" w:rsidRDefault="00681333" w:rsidP="00B56F90">
      <w:pPr>
        <w:tabs>
          <w:tab w:val="left" w:pos="363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 госиспытания в НИИ АВ по два образца каждо</w:t>
      </w:r>
      <w:r w:rsidRPr="00070ADE">
        <w:rPr>
          <w:rFonts w:ascii="Times New Roman" w:hAnsi="Times New Roman"/>
          <w:color w:val="000000" w:themeColor="text1"/>
          <w:sz w:val="16"/>
          <w:szCs w:val="16"/>
        </w:rPr>
        <w:softHyphen/>
        <w:t>го калибра со станками;</w:t>
      </w:r>
    </w:p>
    <w:p w14:paraId="0608F52F" w14:textId="77777777" w:rsidR="00681333" w:rsidRPr="00070ADE" w:rsidRDefault="006813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ОКБ-140 НКАП по одному образцу пулемета "УБС" к пушек "Швак" и "ВЯ" для отработки электросинхронизатора.</w:t>
      </w:r>
    </w:p>
    <w:p w14:paraId="20B2CAA4" w14:textId="77777777" w:rsidR="00681333" w:rsidRPr="00070ADE" w:rsidRDefault="006813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Обязать главных конструкторов т.т. Нудельмана,Вол</w:t>
      </w:r>
      <w:r w:rsidRPr="00070ADE">
        <w:rPr>
          <w:rFonts w:ascii="Times New Roman" w:hAnsi="Times New Roman"/>
          <w:color w:val="000000" w:themeColor="text1"/>
          <w:sz w:val="16"/>
          <w:szCs w:val="16"/>
        </w:rPr>
        <w:softHyphen/>
        <w:t>кова и Ярцева обеспечить в подаваемых на госиспытания образцах возможность одновременной стрельбы пушек при установке их на самолете "Ильюшин-2".</w:t>
      </w:r>
    </w:p>
    <w:p w14:paraId="0614C2C2" w14:textId="77777777" w:rsidR="00681333" w:rsidRPr="00070ADE" w:rsidRDefault="00681333" w:rsidP="00B56F90">
      <w:pPr>
        <w:tabs>
          <w:tab w:val="left" w:pos="79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Обяаать Наркомавиапром - т.Шахурина и главного конструктора 0КБ-140 т.Энгибаряна отработать и изгото</w:t>
      </w:r>
      <w:r w:rsidRPr="00070ADE">
        <w:rPr>
          <w:rFonts w:ascii="Times New Roman" w:hAnsi="Times New Roman"/>
          <w:color w:val="000000" w:themeColor="text1"/>
          <w:sz w:val="16"/>
          <w:szCs w:val="16"/>
        </w:rPr>
        <w:softHyphen/>
        <w:t>вить по тактико-техничебким Требованиям ВВС Красной Ар</w:t>
      </w:r>
      <w:r w:rsidRPr="00070ADE">
        <w:rPr>
          <w:rFonts w:ascii="Times New Roman" w:hAnsi="Times New Roman"/>
          <w:color w:val="000000" w:themeColor="text1"/>
          <w:sz w:val="16"/>
          <w:szCs w:val="16"/>
        </w:rPr>
        <w:softHyphen/>
        <w:t>мии электросинхронизатор для синхронной стрельбы из электрифицированного оружия калибров: 12,7; 20 к 23мм при 3-х лопастном винте и подать на наземные полигон</w:t>
      </w:r>
      <w:r w:rsidRPr="00070ADE">
        <w:rPr>
          <w:rFonts w:ascii="Times New Roman" w:hAnsi="Times New Roman"/>
          <w:color w:val="000000" w:themeColor="text1"/>
          <w:sz w:val="16"/>
          <w:szCs w:val="16"/>
        </w:rPr>
        <w:softHyphen/>
        <w:t>ные испытания в НИИ АВ к 15 марта 1944 года.</w:t>
      </w:r>
    </w:p>
    <w:p w14:paraId="65804366" w14:textId="77777777" w:rsidR="00681333" w:rsidRPr="00070ADE" w:rsidRDefault="00681333" w:rsidP="00B56F90">
      <w:pPr>
        <w:tabs>
          <w:tab w:val="left" w:pos="79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Обязать ВВС Красной Армии - т.Репина провести испытания электрифицированных образцов вооружения, пат</w:t>
      </w:r>
      <w:r w:rsidRPr="00070ADE">
        <w:rPr>
          <w:rFonts w:ascii="Times New Roman" w:hAnsi="Times New Roman"/>
          <w:color w:val="000000" w:themeColor="text1"/>
          <w:sz w:val="16"/>
          <w:szCs w:val="16"/>
        </w:rPr>
        <w:softHyphen/>
        <w:t xml:space="preserve">ронов с </w:t>
      </w:r>
      <w:r w:rsidRPr="00070ADE">
        <w:rPr>
          <w:rStyle w:val="16"/>
          <w:rFonts w:ascii="Times New Roman" w:hAnsi="Times New Roman" w:cs="Times New Roman"/>
          <w:color w:val="000000" w:themeColor="text1"/>
          <w:spacing w:val="0"/>
          <w:u w:val="none"/>
        </w:rPr>
        <w:t>элект</w:t>
      </w:r>
      <w:r w:rsidRPr="00070ADE">
        <w:rPr>
          <w:rFonts w:ascii="Times New Roman" w:hAnsi="Times New Roman"/>
          <w:color w:val="000000" w:themeColor="text1"/>
          <w:sz w:val="16"/>
          <w:szCs w:val="16"/>
        </w:rPr>
        <w:t>рокапсюлями и электросинхронизатора и до- ложит результаты испытаний к 1 апреля 1944 года (19441).</w:t>
      </w:r>
    </w:p>
    <w:p w14:paraId="04A67F5E" w14:textId="77777777" w:rsidR="00681333" w:rsidRPr="00070ADE" w:rsidRDefault="00681333" w:rsidP="00B56F90">
      <w:pPr>
        <w:autoSpaceDE w:val="0"/>
        <w:autoSpaceDN w:val="0"/>
        <w:adjustRightInd w:val="0"/>
        <w:spacing w:after="0" w:line="240" w:lineRule="auto"/>
        <w:jc w:val="both"/>
        <w:rPr>
          <w:rFonts w:ascii="Times New Roman" w:hAnsi="Times New Roman"/>
          <w:color w:val="000000" w:themeColor="text1"/>
          <w:sz w:val="16"/>
          <w:szCs w:val="16"/>
        </w:rPr>
      </w:pPr>
    </w:p>
    <w:p w14:paraId="0270EE6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вышел приказ НКАП № 106 о присвоении классов ли</w:t>
      </w:r>
    </w:p>
    <w:p w14:paraId="417784B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М.Л.Барановскому;</w:t>
      </w:r>
    </w:p>
    <w:p w14:paraId="212A63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А.Д.Перелету (952,41).</w:t>
      </w:r>
    </w:p>
    <w:p w14:paraId="724676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40867B" w14:textId="77777777" w:rsidR="006831ED" w:rsidRPr="00070ADE" w:rsidRDefault="006831E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18 февраля 1944 на основании решения комиссии Костиков был снят с должности, ГИРТ ликвидирован и передан в подчинение НКАП, как НИИ-1. 15.03.44. Костиков был арестован дома. /ул. Серафимовича д. 2 кв. 357/. В ходе следствия с 03.44. по 01.45, которое вели от НКГБ Л. Шварцман и Л. Владзимирский /оба расстреляны в 53-54гг./ собрано дело из 8 томов. В камере Костиков находился все время с подсадным агентом, инженером по специальности. В деле собраны сотни страниц, написанных Костиковым по различным техническим вопросам бисерным почерком с текстами решения уравнений в частных производных. /Интересно, мог ли решать такие уравнения «академик и ученый» В.П. Глушко/. Все конкретные технические предложения анонимно передавались на экспертизу через 4-й отдел НКВД соответствующим специалистам ОТБ. В деле имеются их отзывы, в которых отмечается ценность предложенных технических решений. По завершению следствия в </w:t>
      </w:r>
      <w:smartTag w:uri="urn:schemas-microsoft-com:office:smarttags" w:element="metricconverter">
        <w:smartTagPr>
          <w:attr w:name="ProductID" w:val="01.45 г"/>
        </w:smartTagPr>
        <w:r w:rsidRPr="00070ADE">
          <w:rPr>
            <w:rFonts w:ascii="Times New Roman" w:hAnsi="Times New Roman"/>
            <w:color w:val="000000" w:themeColor="text1"/>
            <w:sz w:val="16"/>
            <w:szCs w:val="16"/>
          </w:rPr>
          <w:t>01.45 г</w:t>
        </w:r>
      </w:smartTag>
      <w:r w:rsidRPr="00070ADE">
        <w:rPr>
          <w:rFonts w:ascii="Times New Roman" w:hAnsi="Times New Roman"/>
          <w:color w:val="000000" w:themeColor="text1"/>
          <w:sz w:val="16"/>
          <w:szCs w:val="16"/>
        </w:rPr>
        <w:t>. указывается, что «по наблюдению специальных агентов Костиков обладает незаурядными способностями конструктора и поглощен разработкой технических проблем, поэтому до окончания решения вопроса целесообразно передать его для работы в 4-й спецотдел НКВД с содержанием в условиях полной изоляции. Ни за время пребывания на свободе, ни в тюрьме, за Костиковым не отмечено антисоветских проявлений или враждебных высказываний».</w:t>
      </w:r>
    </w:p>
    <w:p w14:paraId="0A73C779" w14:textId="77777777" w:rsidR="006831ED" w:rsidRPr="00070ADE" w:rsidRDefault="006831E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28.02.45 г. постановлением НКГБ дело прекращено следствием и Костиков освобожден из под стражи. В этом постановлении говорится: «Костиков не обеспечил в определенный правительством срок выпуск самолета. Представил необоснованные преувеличенные данные по продолжительности моторного полета «302П». Убедившись в непригодности к установке на перехватчике воздушно-реактивного двигателя прямоточного типа, Костиков произвольно, без надлежащей санкции, изменил конструкцию самолета и, вместо 2-х двигателей при основном воздушно-реактивном, перешел на изготовление лишь ЖРД. В целях тщательного расследования была создана экспертно-техническая комиссия из квалифицированных специалистов и допрошено до 30 свидетелей, которые показали о существенных недостатках в создании самолета. Однако в полученных дополнительных материалах отсутствуют указания на то, что Костиков действовал в преступных целях. О возможных связях с иноразведками не добыто. Учитывая, что в результате оперативных мероприятий и тщательного расследования, вражеского умысла не установлено, Костикова из под стражи освободить и следственное дело прекратить и сдать на хранение». 28.02.45. поручением наркома Г.Б. Меркулова, с пометкой «срочно», Костиков освобожден (19590). </w:t>
      </w:r>
    </w:p>
    <w:p w14:paraId="16B81592" w14:textId="77777777" w:rsidR="006831ED" w:rsidRPr="00070ADE" w:rsidRDefault="006831ED" w:rsidP="00B56F90">
      <w:pPr>
        <w:spacing w:after="0" w:line="240" w:lineRule="auto"/>
        <w:jc w:val="both"/>
        <w:rPr>
          <w:rFonts w:ascii="Times New Roman" w:hAnsi="Times New Roman"/>
          <w:color w:val="000000" w:themeColor="text1"/>
          <w:sz w:val="16"/>
          <w:szCs w:val="16"/>
        </w:rPr>
      </w:pPr>
    </w:p>
    <w:p w14:paraId="2F2046C0"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446FCE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6028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г. вышел ПРИКАЗ НКТП СССР И КОМАНДУЮЩЕГО БТ и МВ КА О ПРОВЕДЕНИИ ПОЛИГОННЫХ ИСПЫТАНИИ ОПЫТНОГО ОБРАЗЦА ТАНКА Т-44, ИЗГОТОВЛЕННОГО ЗАВОДОМ №183 НКТП №106/020</w:t>
      </w:r>
    </w:p>
    <w:p w14:paraId="2DF975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определения тактико-технической характеристики и проверки работоспособности агрега</w:t>
      </w:r>
      <w:r w:rsidRPr="00070ADE">
        <w:rPr>
          <w:rFonts w:ascii="Times New Roman" w:hAnsi="Times New Roman"/>
          <w:color w:val="000000" w:themeColor="text1"/>
          <w:sz w:val="16"/>
          <w:szCs w:val="16"/>
        </w:rPr>
        <w:softHyphen/>
        <w:t>тов опытного образца танка Т-44 с погоном 1600 мм и пушкой Д-5 — ПРИКАЗЫВАЕМ:</w:t>
      </w:r>
    </w:p>
    <w:p w14:paraId="56299A5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Провести испытания на научно-испытательном полигоне ГБТУ КА опытного образца танка Т-44, изготовленного заводом №183.</w:t>
      </w:r>
    </w:p>
    <w:p w14:paraId="15128CB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Для проведения испытаний назначить комиссию в следующем составе:</w:t>
      </w:r>
    </w:p>
    <w:p w14:paraId="03AC25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w:t>
      </w:r>
    </w:p>
    <w:p w14:paraId="7E2DA9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Члены:</w:t>
      </w:r>
    </w:p>
    <w:p w14:paraId="38CE41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ГБТУ КА</w:t>
      </w:r>
    </w:p>
    <w:p w14:paraId="5BC48B8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гвардии полковник</w:t>
      </w:r>
    </w:p>
    <w:p w14:paraId="1E2A61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 Кульчицкий Е.А.</w:t>
      </w:r>
    </w:p>
    <w:p w14:paraId="5AE214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НИБТ полигона ГБТУ КА</w:t>
      </w:r>
    </w:p>
    <w:p w14:paraId="2E3149A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ГУФ и БП БТМВ КА От ГАУ КА От НКТП</w:t>
      </w:r>
    </w:p>
    <w:p w14:paraId="33E26AC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завода 183</w:t>
      </w:r>
    </w:p>
    <w:p w14:paraId="1027EEA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 Розенгарт Ю.И. т. Приземнов В.Д. т. Геркевич Е.Е. т. Фоменко П.К. т. Колпаков т. Химичев И.Е. т. Фрезеров Г.Р. т. Юрасов И.В. т. Кучеренко Н.А. т. Гутник Н.С.</w:t>
      </w:r>
    </w:p>
    <w:p w14:paraId="66FA33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инженер-капитан</w:t>
      </w:r>
    </w:p>
    <w:p w14:paraId="27A180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инженер-капитан</w:t>
      </w:r>
    </w:p>
    <w:p w14:paraId="79D28B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подполковник</w:t>
      </w:r>
    </w:p>
    <w:p w14:paraId="1D31E96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инженер-майор</w:t>
      </w:r>
    </w:p>
    <w:p w14:paraId="1ED40D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подполковник</w:t>
      </w:r>
    </w:p>
    <w:p w14:paraId="480876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инженер-майор</w:t>
      </w:r>
    </w:p>
    <w:p w14:paraId="07B1C3A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технического управления НКТП</w:t>
      </w:r>
    </w:p>
    <w:p w14:paraId="49AB86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ведущий инженер ОГК</w:t>
      </w:r>
    </w:p>
    <w:p w14:paraId="5450FC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главного конструктора</w:t>
      </w:r>
    </w:p>
    <w:p w14:paraId="41F7AD8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опытного отдела</w:t>
      </w:r>
    </w:p>
    <w:p w14:paraId="55CA2C5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Испытания танка Т-44 провести по программе, утвержденной командующим БТМВ КА и НКТП.</w:t>
      </w:r>
    </w:p>
    <w:p w14:paraId="481363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К испытаниям приступить 20 февраля и закончить 3 марта с.г.</w:t>
      </w:r>
    </w:p>
    <w:p w14:paraId="2ACF20A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Отчет и заключение по испытаниям представить в НКТП и ГБТУ КА 5 марта 1944 г.</w:t>
      </w:r>
    </w:p>
    <w:p w14:paraId="6723EE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Директору завода № 183 т. Максареву:</w:t>
      </w:r>
    </w:p>
    <w:p w14:paraId="688BE86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представить комиссии отчет по заводским испытаниям и полную техническую документацию опытного образца танка Т-44.</w:t>
      </w:r>
    </w:p>
    <w:p w14:paraId="5A60E7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Начальнику НИБТ полигона ГБТУ КА генерал-майору танковых войск т. Романову:</w:t>
      </w:r>
    </w:p>
    <w:p w14:paraId="52A1F3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обеспечить опытный образец танка Т-44 горюче-смазочными материалами и техническим обслуживанием на весь период испытаний;</w:t>
      </w:r>
    </w:p>
    <w:p w14:paraId="2A113A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обеспечить членов комиссии и экипаж танка на время испытаний жилплощадью;</w:t>
      </w:r>
    </w:p>
    <w:p w14:paraId="71F0105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выделить в распоряжение комиссии на время испытаний одну автомашину и обеспечить ее бензином.</w:t>
      </w:r>
    </w:p>
    <w:p w14:paraId="21AF488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Зам. Наркома танковой промышленности т. Мосину обеспечить на время испытаний членов комиссии и экипажи танков продуктами питания.</w:t>
      </w:r>
    </w:p>
    <w:p w14:paraId="5C7E06A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Зам. Наркома танковой промышленности т. Жерехову обеспечить на время испытаний чле</w:t>
      </w:r>
      <w:r w:rsidRPr="00070ADE">
        <w:rPr>
          <w:rFonts w:ascii="Times New Roman" w:hAnsi="Times New Roman"/>
          <w:color w:val="000000" w:themeColor="text1"/>
          <w:sz w:val="16"/>
          <w:szCs w:val="16"/>
        </w:rPr>
        <w:softHyphen/>
        <w:t>нов комиссии и экипажи теплым обмундированием (полушубками, валенками, ватными костюмами, шапками, рукавицами).</w:t>
      </w:r>
    </w:p>
    <w:p w14:paraId="69D1596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Народный комиссар танковой промышленности СССР</w:t>
      </w:r>
    </w:p>
    <w:p w14:paraId="1F5FBB7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Малышев</w:t>
      </w:r>
    </w:p>
    <w:p w14:paraId="36A8293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БТ и МВ КА генерал-полковник танковых войск Федоренко</w:t>
      </w:r>
    </w:p>
    <w:p w14:paraId="6C41DA0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2210. Л. 3-4. Копия (11403).</w:t>
      </w:r>
    </w:p>
    <w:p w14:paraId="355711F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8592AA3" w14:textId="77777777" w:rsidR="009D1B58" w:rsidRPr="00070ADE" w:rsidRDefault="009D1B58" w:rsidP="00B56F90">
      <w:pPr>
        <w:pStyle w:val="ae"/>
        <w:spacing w:before="0" w:after="0"/>
        <w:jc w:val="both"/>
        <w:textAlignment w:val="baseline"/>
        <w:rPr>
          <w:color w:val="000000" w:themeColor="text1"/>
          <w:sz w:val="16"/>
          <w:szCs w:val="16"/>
        </w:rPr>
      </w:pPr>
      <w:r w:rsidRPr="00070ADE">
        <w:rPr>
          <w:color w:val="000000" w:themeColor="text1"/>
          <w:sz w:val="16"/>
          <w:szCs w:val="16"/>
        </w:rPr>
        <w:t>18 февраля 1944 последовал приказ НКТП и командующего БТ и МВ КА №106сс/020 о проведении полигонных испытаний Т-44, причём сроком их начала указывалось 20 февраля, а датой окончания — 3 марта. Столь стремительное развитие событий самым прямым образом связано с интересом Сталина к данному танку и его указаниями о форсировании работ. На практике же испытания начались ещё раньше — 19 февраля. За период полигонных испытаний машина преодолела 1022 км. В связи с ускоренным характером испытаний традиционного изучения дефектных агрегатов не производилось, дело ограничилось внешним осмотром. Следует также отметить, что данные по танку брались из заводского отчёта, хотя масса танка с башней, имевшей погон диаметром 1600 мм, была явно меньше, чем у первого опытного образца. Техническое описание машины также базировалось на заводском отчёте.</w:t>
      </w:r>
    </w:p>
    <w:p w14:paraId="3FC59D5C" w14:textId="77777777" w:rsidR="009D1B58" w:rsidRPr="00070ADE" w:rsidRDefault="009D1B58" w:rsidP="00B56F90">
      <w:pPr>
        <w:pStyle w:val="ae"/>
        <w:spacing w:before="0" w:after="0"/>
        <w:jc w:val="both"/>
        <w:textAlignment w:val="baseline"/>
        <w:rPr>
          <w:color w:val="000000" w:themeColor="text1"/>
          <w:sz w:val="16"/>
          <w:szCs w:val="16"/>
        </w:rPr>
      </w:pPr>
      <w:r w:rsidRPr="00070ADE">
        <w:rPr>
          <w:color w:val="000000" w:themeColor="text1"/>
          <w:sz w:val="16"/>
          <w:szCs w:val="16"/>
        </w:rPr>
        <w:t>В ходе полигонных испытаний второй опытный образец прошёл 387 км по шоссе, 520 км по просёлку и 105 км по целине. Ввиду того, что испытания проходили в самом конце зимы, погода способствовала ухудшению дорожных условий. Тем не менее в ходе выявления максимальной скорости было получено среднее значение 52,6 км/ч. Испытатели указывали, что при лучших дорожных условиях максимальная скорость могла быть ещё выше. В ходе езды по шоссе, покрытому снегом, средняя скорость движения составила 35 км/ч и могла быть ещё выше. Ограничивающим фактором стал перегрев масла. Расход топлива при этом составил 208 л на 100 км. Тяжёлые условия на просёлке стали причиной невысокой средней скорости — 16,1 км/ч, а расход топлива вырос до 268 л на 100 км. Наконец, по целине средняя скорость составила 11,4 км/ч, а расход топлива — 520 л на 100 км. Запас топлива в зимне-весенних условиях составил 187, 145 и 73 км соответственно.</w:t>
      </w:r>
    </w:p>
    <w:p w14:paraId="1B32ACB7" w14:textId="77777777" w:rsidR="009D1B58" w:rsidRPr="00070ADE" w:rsidRDefault="009D1B58" w:rsidP="00B56F90">
      <w:pPr>
        <w:pStyle w:val="ae"/>
        <w:spacing w:before="0" w:after="0"/>
        <w:jc w:val="both"/>
        <w:textAlignment w:val="baseline"/>
        <w:rPr>
          <w:color w:val="000000" w:themeColor="text1"/>
          <w:sz w:val="16"/>
          <w:szCs w:val="16"/>
        </w:rPr>
      </w:pPr>
      <w:r w:rsidRPr="00070ADE">
        <w:rPr>
          <w:color w:val="000000" w:themeColor="text1"/>
          <w:sz w:val="16"/>
          <w:szCs w:val="16"/>
        </w:rPr>
        <w:t>Тяжёлые дорожные условия стали причиной не самых успешных результатов при преодолении препятствий. Мёрзлый грунт, покрытый толстой коркой снега со льдом, не позволил преодолеть подъём под углом даже 20 градусов. При установке шпор танк прошёл подъём в 25 градусов, а дальше снова не хватало сцепления с грунтом. Это примерно соответствовало данным Т-34. Максимальный угол преодолеваемого крена при езде по косогорам составил 15-16 градусов, дальше машина начинала сползать. Кроме того, при тяжёлых дорожных условиях возрастали нагрузки на рычаги управления — до 25-30 кг.</w:t>
      </w:r>
    </w:p>
    <w:p w14:paraId="0218973D" w14:textId="77777777" w:rsidR="009D1B58" w:rsidRPr="00070ADE" w:rsidRDefault="009D1B58" w:rsidP="00B56F90">
      <w:pPr>
        <w:pStyle w:val="ae"/>
        <w:spacing w:before="0" w:after="0"/>
        <w:jc w:val="both"/>
        <w:textAlignment w:val="baseline"/>
        <w:rPr>
          <w:color w:val="000000" w:themeColor="text1"/>
          <w:sz w:val="16"/>
          <w:szCs w:val="16"/>
        </w:rPr>
      </w:pPr>
      <w:r w:rsidRPr="00070ADE">
        <w:rPr>
          <w:color w:val="000000" w:themeColor="text1"/>
          <w:sz w:val="16"/>
          <w:szCs w:val="16"/>
        </w:rPr>
        <w:t>Одним из испытаний, которое было дополнительно проведено на НИБТ Полигоне, стало определение центра тяжести машины. И здесь разработчиков ждал неприятный сюрприз. Выяснилось, что центр тяжести сместился назад, причём довольно сильно — это влияло на ходовые качества танка на бездорожье. Кроме того, масса нареканий возникла в отношении системы охлаждения. Обдув двигателя и масляного бака холодным воздухом оказался недостаточен, кроме того, масляный бак находился рядом с выхлопной системой, которая его дополнительно нагревала. В результате температура масла даже в зимне-весенних условиях достигала 110 градусов. В ходе испытаний наблюдались проблемы с приводом вентилятора, который неоднократно ломался. Имелись претензии к надёжности работы гитары (привод от двигателя к КПП) и бортовым редукторам. Никуда не делась и главная проблема машин с ходовой Т-34 — разрушение резиновых бандажей опорных катков.</w:t>
      </w:r>
    </w:p>
    <w:p w14:paraId="046EBFD4" w14:textId="77777777" w:rsidR="009D1B58" w:rsidRPr="00070ADE" w:rsidRDefault="009D1B58" w:rsidP="00B56F90">
      <w:pPr>
        <w:pStyle w:val="ae"/>
        <w:spacing w:before="0" w:after="0"/>
        <w:jc w:val="both"/>
        <w:textAlignment w:val="baseline"/>
        <w:rPr>
          <w:color w:val="000000" w:themeColor="text1"/>
          <w:sz w:val="16"/>
          <w:szCs w:val="16"/>
        </w:rPr>
      </w:pPr>
      <w:r w:rsidRPr="00070ADE">
        <w:rPr>
          <w:color w:val="000000" w:themeColor="text1"/>
          <w:sz w:val="16"/>
          <w:szCs w:val="16"/>
        </w:rPr>
        <w:t>Немало претензий было высказано и к условиям работы экипажа опытного Т-44. В случае с местом командира танка отмечалось слишком низкое расположение сиденья и частичное перекрытие обзора смотровых приборов командирской башенки колпаком вентилятора и перископом наводчика. Не всё гладко оказалось и на месте наводчика. Его сиденье размещалось с сильным наклоном влево, ряд нареканий отмечался к работе электрического привода поворота башни. Не самым удачным решением признали совмещение рукояток ручного и электрического приводов поворота башни. В случае с заряжающим претензией стало отсутствие у него сиденья. Что же касается места механика-водителя, то улучшение обзорности оказалось частичным. При закрытых люках, включая передний смотровой лючок, обзорность резко ухудшалась. Не очень удачной оказалась и установка курсового пулемёта справа от механика-водителя. Отмечалось, что пулемёт мешал переключению передач.</w:t>
      </w:r>
    </w:p>
    <w:p w14:paraId="27C1D221" w14:textId="77777777" w:rsidR="009D1B58" w:rsidRPr="00070ADE" w:rsidRDefault="009D1B58" w:rsidP="00B56F90">
      <w:pPr>
        <w:pStyle w:val="ae"/>
        <w:spacing w:before="0" w:after="0"/>
        <w:jc w:val="both"/>
        <w:textAlignment w:val="baseline"/>
        <w:rPr>
          <w:color w:val="000000" w:themeColor="text1"/>
          <w:sz w:val="16"/>
          <w:szCs w:val="16"/>
        </w:rPr>
      </w:pPr>
      <w:r w:rsidRPr="00070ADE">
        <w:rPr>
          <w:color w:val="000000" w:themeColor="text1"/>
          <w:sz w:val="16"/>
          <w:szCs w:val="16"/>
        </w:rPr>
        <w:t>Вполне удачно прошли испытания стрельбой. Выяснилось, что орудие Д-5Т, установленное в Т-44, обеспечивает хорошую кучность. Кроме того, на практике подтвердилось предположение, что максимальная скорострельность составляет 10 выстрелов в минуту. Именно такую скорострельность получили в ходе полигонных испытаний. Средняя прицельная скорострельность была ниже — 4-5 выстрелов в минуту. Правда, при этом отмечалось, что удобно работать только с башенной укладкой. Размещение унитарных патронов в носовой укладке при определённых поворотах башни оказалось неудобным — впрочем, «чемоданы», которые размещались на полу Т-34, выглядели ещё хуже.</w:t>
      </w:r>
    </w:p>
    <w:p w14:paraId="51A7099B" w14:textId="77777777" w:rsidR="009D1B58" w:rsidRPr="00070ADE" w:rsidRDefault="009D1B58" w:rsidP="00B56F90">
      <w:pPr>
        <w:pStyle w:val="ae"/>
        <w:spacing w:before="0" w:after="0"/>
        <w:jc w:val="both"/>
        <w:textAlignment w:val="baseline"/>
        <w:rPr>
          <w:color w:val="000000" w:themeColor="text1"/>
          <w:sz w:val="16"/>
          <w:szCs w:val="16"/>
        </w:rPr>
      </w:pPr>
      <w:r w:rsidRPr="00070ADE">
        <w:rPr>
          <w:color w:val="000000" w:themeColor="text1"/>
          <w:sz w:val="16"/>
          <w:szCs w:val="16"/>
        </w:rPr>
        <w:t>По итогам испытаний был сделан неоднозначный вывод. Комиссия указала на большое число доработок, которые требовалось внести в конструкцию машины. В их числе был и выступ, который остался под двигателем, поскольку опытный образец так и не получил переделанный двигатель В-2-44. Помимо всего прочего, требовалось внести ряд улучшений, связанных с обслуживанием танка. Несмотря на это, в заключении указывалось, что Т-44 по своим боевым качествам превосходит Т-34. Ввиду высокого интереса к машине заводу №183 дали указание в месячный срок устранить недостатки и предоставить улучшенный танк на испытания (18799)</w:t>
      </w:r>
    </w:p>
    <w:p w14:paraId="102850CC" w14:textId="77777777" w:rsidR="009D1B58" w:rsidRPr="00070ADE" w:rsidRDefault="009D1B58" w:rsidP="00B56F90">
      <w:pPr>
        <w:pStyle w:val="ae"/>
        <w:spacing w:before="0" w:after="0"/>
        <w:jc w:val="both"/>
        <w:textAlignment w:val="baseline"/>
        <w:rPr>
          <w:color w:val="000000" w:themeColor="text1"/>
          <w:sz w:val="16"/>
          <w:szCs w:val="16"/>
        </w:rPr>
      </w:pPr>
    </w:p>
    <w:p w14:paraId="1A0883FF" w14:textId="77777777" w:rsidR="00A104C0" w:rsidRPr="00070ADE" w:rsidRDefault="00A104C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г. для проведения полигонных испытаний опытного образца танка Т-44, изготовленного на заводе № 183, совместным приказом НКТП и командующего БТ и МВ КА № 106сс/020 была назначена комиссия под председательством гвардии полковник Е.А. Кульчицкого, а местом проведения испытаний определен НИБТ Полигон в подмосковной Кубинке – тот самый полигон, на котором до войны Е.А. Кульчицкий проходил службу. Испытания танка Т-44 начались 19 февраля 1944 г. и завершились точно в указанный в приказе срок – 3 марта 1944 г. В заключительной части отчета, составленного по итогам проведенных полигонных испытаний и подписанного Е.А. Кульчицким 4 марта 1944 г., было записано:</w:t>
      </w:r>
    </w:p>
    <w:p w14:paraId="53BC9651" w14:textId="77777777" w:rsidR="00A104C0" w:rsidRPr="00070ADE" w:rsidRDefault="00A104C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проведенных испытаний комиссия считает:</w:t>
      </w:r>
    </w:p>
    <w:p w14:paraId="04DF829D" w14:textId="77777777" w:rsidR="00A104C0" w:rsidRPr="00070ADE" w:rsidRDefault="00A104C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Танк Т-44 по своим боевым качествам превосходит состоящий на вооружении Красной Армии танк Т-34.</w:t>
      </w:r>
    </w:p>
    <w:p w14:paraId="0DA264B4" w14:textId="77777777" w:rsidR="00A104C0" w:rsidRPr="00070ADE" w:rsidRDefault="00A104C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Выявленные в процессе испытаний дефекты танка Т-44 могут быть устранены месячный срок.</w:t>
      </w:r>
    </w:p>
    <w:p w14:paraId="29FE128D" w14:textId="77777777" w:rsidR="00A104C0" w:rsidRPr="00070ADE" w:rsidRDefault="00A104C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Учитывая острую необходимость в вооружении Красной Армии новым средним танком, комиссия считает необходимым обязать НКТП изготовить в месячный срок танк Т-44 с устраненными дефектами и предъявить его на повторные испытания».</w:t>
      </w:r>
    </w:p>
    <w:p w14:paraId="131A77CD" w14:textId="77777777" w:rsidR="00A104C0" w:rsidRPr="00070ADE" w:rsidRDefault="00A104C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2360. Л. 135] (21209).</w:t>
      </w:r>
    </w:p>
    <w:p w14:paraId="7972BF5F" w14:textId="77777777" w:rsidR="00A104C0" w:rsidRPr="00070ADE" w:rsidRDefault="00A104C0" w:rsidP="00B56F90">
      <w:pPr>
        <w:spacing w:after="0" w:line="240" w:lineRule="auto"/>
        <w:jc w:val="both"/>
        <w:rPr>
          <w:rFonts w:ascii="Times New Roman" w:hAnsi="Times New Roman"/>
          <w:color w:val="000000" w:themeColor="text1"/>
          <w:sz w:val="16"/>
          <w:szCs w:val="16"/>
        </w:rPr>
      </w:pPr>
    </w:p>
    <w:p w14:paraId="251C0A8C" w14:textId="77777777" w:rsidR="00664EC9" w:rsidRPr="00C94B78" w:rsidRDefault="00664E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18 февраля 1944 года последовал приказ НКТП и командующего БТ и МВ КА №106сс/020 о проведении полигонных испытаний танка Т-44, причем сроком их начала указывалось 20 февраля, а датой окончания – 3 марта. Столь стремительное развитие событий самым прямым образом было связано с интересом Сталина к данному танку и его указаниями о форсировании работ (25486).</w:t>
      </w:r>
    </w:p>
    <w:p w14:paraId="3FCD677D" w14:textId="77777777" w:rsidR="00664EC9" w:rsidRPr="00C94B78" w:rsidRDefault="00664EC9" w:rsidP="00B56F90">
      <w:pPr>
        <w:spacing w:after="0" w:line="240" w:lineRule="auto"/>
        <w:jc w:val="both"/>
        <w:rPr>
          <w:rFonts w:ascii="Times New Roman" w:hAnsi="Times New Roman"/>
          <w:color w:val="0070C0"/>
          <w:sz w:val="16"/>
          <w:szCs w:val="16"/>
        </w:rPr>
      </w:pPr>
    </w:p>
    <w:p w14:paraId="75B056D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г. было подготовлено СООБЩЕНИЕ ЗАМЕСТИТЕЛЯ НАЧАЛЬНИКА ТУ ГБТУ КА НАЧАЛЬНИКУ УПРАВЛЕНИЯ САМОХОДНОЙ АРТИЛЛЕРИИ ГБТУ КА ПО ВОПРОСУ ПЕРЕВООРУЖЕНИЯ ТАНКОВ Т-34 №520817</w:t>
      </w:r>
    </w:p>
    <w:p w14:paraId="09010AF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Постановлениями ГОКО №4873 от 1.01.1944 г. предусмотрено перевооружение танков Т-34 85-мм танковыми пушками образца 1944 года (С-53). В настоящее время заводы НКВ изготавливают танковые пушки Д-5 и С-53. Имеются опасения, что при недостаче пушек С-53 на танковые заводы могут быть засланы пушки другой системы, что может сорвать план выпуска танков, т.к. пушки Д-5 и С-53 не взаимозаменяемы. Такое явление имеет уже место на заводе №112. За неимением пушек С-53 завод должен был перестроиться на установку пушек Д-5, и в дальнейшем с получением пушек С-53, должен перестраиваться на установку пушек С-53, причем необходимо заменять не только установочные детали, но и башню.</w:t>
      </w:r>
    </w:p>
    <w:p w14:paraId="080E85D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вас сообщить для доклада Г.Л. Вершинину план обеспечения танковых заводов №112, 183 и Кировского 85-мм танковыми пушками на программу февраля, марта и апреля месяцев, заданную заводам Постановлением ГОКО №5020с от 23.01.1944 г.</w:t>
      </w:r>
    </w:p>
    <w:p w14:paraId="30324AD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ТУ ГБТУ Красной Армии инженер-подполковник Муравич</w:t>
      </w:r>
    </w:p>
    <w:p w14:paraId="146E3F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начальника 1 отдела ТУ ГБТУ Красной Армии инженер-майор Мирошников</w:t>
      </w:r>
    </w:p>
    <w:p w14:paraId="64801A7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2218. Л. 14. Копия (11403).</w:t>
      </w:r>
    </w:p>
    <w:p w14:paraId="2184DDE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1373B57"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г. ИЗ ПОСТАНОВЛЕНИЯ СОВНАРКОМА СССР И ЦК ВКП(б) О СТРОИТЕЛЬСТВЕ И ВОССТАНОВЛЕНИИ ТРАКТОРНЫХ ЗАВОДОВ И НАРАЩИВАНИИ ПРОИЗВОДСТВЕННЫХ МОЩНОСТЕЙ ПО ВЫПУСКУ ТРАКТОРОВ ДЛЯ СЕЛЬСКОГО ХОЗЯЙСТВА</w:t>
      </w:r>
    </w:p>
    <w:p w14:paraId="2EEC3526"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Совнарком Союза ССР и ЦК ВКП(б) отмечают, что в период войны резко снизилась механизация сельскохозяйственного производства, значительно сократилось количество тракторов в МТС и совхозах. В то же время строительство тракторных заводов из-за недостаточного обеспечения строительными материалами производится крайне медленно, а установленные мощности их не обеспечивают поставку необходимого количества тракторов сельскому хозяйству.</w:t>
      </w:r>
    </w:p>
    <w:tbl>
      <w:tblPr>
        <w:tblStyle w:val="afff5"/>
        <w:tblW w:w="0" w:type="auto"/>
        <w:tblInd w:w="150" w:type="dxa"/>
        <w:tblLook w:val="04A0" w:firstRow="1" w:lastRow="0" w:firstColumn="1" w:lastColumn="0" w:noHBand="0" w:noVBand="1"/>
      </w:tblPr>
      <w:tblGrid>
        <w:gridCol w:w="1554"/>
        <w:gridCol w:w="916"/>
        <w:gridCol w:w="916"/>
        <w:gridCol w:w="916"/>
        <w:gridCol w:w="916"/>
        <w:gridCol w:w="916"/>
      </w:tblGrid>
      <w:tr w:rsidR="002E58E0" w:rsidRPr="00070ADE" w14:paraId="7A1F5206" w14:textId="77777777" w:rsidTr="004C5D62">
        <w:tc>
          <w:tcPr>
            <w:tcW w:w="1554" w:type="dxa"/>
          </w:tcPr>
          <w:p w14:paraId="36BFC3A7" w14:textId="77777777" w:rsidR="002E58E0" w:rsidRPr="00070ADE" w:rsidRDefault="002E58E0" w:rsidP="00B56F90">
            <w:pPr>
              <w:spacing w:after="0" w:line="240" w:lineRule="auto"/>
              <w:jc w:val="both"/>
              <w:rPr>
                <w:rFonts w:ascii="Times New Roman" w:hAnsi="Times New Roman"/>
                <w:color w:val="000000" w:themeColor="text1"/>
                <w:sz w:val="16"/>
                <w:szCs w:val="16"/>
              </w:rPr>
            </w:pPr>
          </w:p>
        </w:tc>
        <w:tc>
          <w:tcPr>
            <w:tcW w:w="916" w:type="dxa"/>
          </w:tcPr>
          <w:p w14:paraId="75C1B721" w14:textId="77777777" w:rsidR="002E58E0" w:rsidRPr="00070ADE" w:rsidRDefault="002E58E0" w:rsidP="00B56F90">
            <w:pPr>
              <w:spacing w:after="0" w:line="240" w:lineRule="auto"/>
              <w:jc w:val="both"/>
              <w:rPr>
                <w:rFonts w:ascii="Times New Roman" w:hAnsi="Times New Roman"/>
                <w:color w:val="000000" w:themeColor="text1"/>
                <w:sz w:val="16"/>
                <w:szCs w:val="16"/>
              </w:rPr>
            </w:pPr>
          </w:p>
        </w:tc>
        <w:tc>
          <w:tcPr>
            <w:tcW w:w="916" w:type="dxa"/>
          </w:tcPr>
          <w:p w14:paraId="239B688C"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 г.</w:t>
            </w:r>
          </w:p>
        </w:tc>
        <w:tc>
          <w:tcPr>
            <w:tcW w:w="916" w:type="dxa"/>
          </w:tcPr>
          <w:p w14:paraId="1C068A91" w14:textId="77777777" w:rsidR="002E58E0" w:rsidRPr="00070ADE" w:rsidRDefault="002E58E0" w:rsidP="00B56F90">
            <w:pPr>
              <w:spacing w:after="0" w:line="240" w:lineRule="auto"/>
              <w:jc w:val="both"/>
              <w:rPr>
                <w:rFonts w:ascii="Times New Roman" w:hAnsi="Times New Roman"/>
                <w:color w:val="000000" w:themeColor="text1"/>
                <w:sz w:val="16"/>
                <w:szCs w:val="16"/>
              </w:rPr>
            </w:pPr>
          </w:p>
        </w:tc>
        <w:tc>
          <w:tcPr>
            <w:tcW w:w="916" w:type="dxa"/>
          </w:tcPr>
          <w:p w14:paraId="41FEAFFF"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1945 г.</w:t>
            </w:r>
          </w:p>
        </w:tc>
        <w:tc>
          <w:tcPr>
            <w:tcW w:w="916" w:type="dxa"/>
          </w:tcPr>
          <w:p w14:paraId="62B2A2E0" w14:textId="77777777" w:rsidR="002E58E0" w:rsidRPr="00070ADE" w:rsidRDefault="002E58E0" w:rsidP="00B56F90">
            <w:pPr>
              <w:spacing w:after="0" w:line="240" w:lineRule="auto"/>
              <w:jc w:val="both"/>
              <w:rPr>
                <w:rFonts w:ascii="Times New Roman" w:hAnsi="Times New Roman"/>
                <w:color w:val="000000" w:themeColor="text1"/>
                <w:sz w:val="16"/>
                <w:szCs w:val="16"/>
              </w:rPr>
            </w:pPr>
          </w:p>
        </w:tc>
      </w:tr>
      <w:tr w:rsidR="002E58E0" w:rsidRPr="00070ADE" w14:paraId="49820291" w14:textId="77777777" w:rsidTr="004C5D62">
        <w:tc>
          <w:tcPr>
            <w:tcW w:w="1554" w:type="dxa"/>
          </w:tcPr>
          <w:p w14:paraId="1E9AAA8A"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Алтайском заводе тракторов СХТЗ-НАТИ</w:t>
            </w:r>
          </w:p>
        </w:tc>
        <w:tc>
          <w:tcPr>
            <w:tcW w:w="916" w:type="dxa"/>
          </w:tcPr>
          <w:p w14:paraId="2E8D3B70"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w:t>
            </w:r>
          </w:p>
        </w:tc>
        <w:tc>
          <w:tcPr>
            <w:tcW w:w="916" w:type="dxa"/>
          </w:tcPr>
          <w:p w14:paraId="7B2E0037"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тыс.</w:t>
            </w:r>
          </w:p>
        </w:tc>
        <w:tc>
          <w:tcPr>
            <w:tcW w:w="916" w:type="dxa"/>
          </w:tcPr>
          <w:p w14:paraId="2ECB3797"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916" w:type="dxa"/>
          </w:tcPr>
          <w:p w14:paraId="45206E34"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ТЫС.</w:t>
            </w:r>
          </w:p>
        </w:tc>
        <w:tc>
          <w:tcPr>
            <w:tcW w:w="916" w:type="dxa"/>
          </w:tcPr>
          <w:p w14:paraId="08308C46"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w:t>
            </w:r>
          </w:p>
        </w:tc>
      </w:tr>
      <w:tr w:rsidR="002E58E0" w:rsidRPr="00070ADE" w14:paraId="29239D0D" w14:textId="77777777" w:rsidTr="004C5D62">
        <w:tc>
          <w:tcPr>
            <w:tcW w:w="1554" w:type="dxa"/>
          </w:tcPr>
          <w:p w14:paraId="1BA943CD"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Владимирском заводе тракторов УН-2</w:t>
            </w:r>
          </w:p>
        </w:tc>
        <w:tc>
          <w:tcPr>
            <w:tcW w:w="916" w:type="dxa"/>
          </w:tcPr>
          <w:p w14:paraId="479AE21E"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0,4</w:t>
            </w:r>
          </w:p>
        </w:tc>
        <w:tc>
          <w:tcPr>
            <w:tcW w:w="916" w:type="dxa"/>
          </w:tcPr>
          <w:p w14:paraId="1BE18027"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тыс.</w:t>
            </w:r>
          </w:p>
        </w:tc>
        <w:tc>
          <w:tcPr>
            <w:tcW w:w="916" w:type="dxa"/>
          </w:tcPr>
          <w:p w14:paraId="34FE172F"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w:t>
            </w:r>
          </w:p>
        </w:tc>
        <w:tc>
          <w:tcPr>
            <w:tcW w:w="916" w:type="dxa"/>
          </w:tcPr>
          <w:p w14:paraId="12CC36B3"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тыс.</w:t>
            </w:r>
          </w:p>
        </w:tc>
        <w:tc>
          <w:tcPr>
            <w:tcW w:w="916" w:type="dxa"/>
          </w:tcPr>
          <w:p w14:paraId="3F5B3596"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2E58E0" w:rsidRPr="00070ADE" w14:paraId="2FC21B55" w14:textId="77777777" w:rsidTr="004C5D62">
        <w:tc>
          <w:tcPr>
            <w:tcW w:w="1554" w:type="dxa"/>
          </w:tcPr>
          <w:p w14:paraId="564CC23B"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Липецком заводе тракторов «Кировец-35»</w:t>
            </w:r>
          </w:p>
        </w:tc>
        <w:tc>
          <w:tcPr>
            <w:tcW w:w="916" w:type="dxa"/>
          </w:tcPr>
          <w:p w14:paraId="59C42859"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0,7</w:t>
            </w:r>
          </w:p>
        </w:tc>
        <w:tc>
          <w:tcPr>
            <w:tcW w:w="916" w:type="dxa"/>
          </w:tcPr>
          <w:p w14:paraId="554CD325"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тыс.</w:t>
            </w:r>
          </w:p>
        </w:tc>
        <w:tc>
          <w:tcPr>
            <w:tcW w:w="916" w:type="dxa"/>
          </w:tcPr>
          <w:p w14:paraId="7F4D1318"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w:t>
            </w:r>
          </w:p>
        </w:tc>
        <w:tc>
          <w:tcPr>
            <w:tcW w:w="916" w:type="dxa"/>
          </w:tcPr>
          <w:p w14:paraId="4AE28C0F"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тыс.</w:t>
            </w:r>
          </w:p>
        </w:tc>
        <w:tc>
          <w:tcPr>
            <w:tcW w:w="916" w:type="dxa"/>
          </w:tcPr>
          <w:p w14:paraId="7023FD87"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2E58E0" w:rsidRPr="00070ADE" w14:paraId="004335BB" w14:textId="77777777" w:rsidTr="004C5D62">
        <w:tc>
          <w:tcPr>
            <w:tcW w:w="1554" w:type="dxa"/>
          </w:tcPr>
          <w:p w14:paraId="449F45F3"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Харьковском заводе тракторов «Кировец-35»</w:t>
            </w:r>
          </w:p>
        </w:tc>
        <w:tc>
          <w:tcPr>
            <w:tcW w:w="916" w:type="dxa"/>
          </w:tcPr>
          <w:p w14:paraId="2D4B4C5A"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0,1</w:t>
            </w:r>
          </w:p>
        </w:tc>
        <w:tc>
          <w:tcPr>
            <w:tcW w:w="916" w:type="dxa"/>
          </w:tcPr>
          <w:p w14:paraId="3CBCE0B4"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тыс.</w:t>
            </w:r>
          </w:p>
        </w:tc>
        <w:tc>
          <w:tcPr>
            <w:tcW w:w="916" w:type="dxa"/>
          </w:tcPr>
          <w:p w14:paraId="35052239"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tc>
        <w:tc>
          <w:tcPr>
            <w:tcW w:w="916" w:type="dxa"/>
          </w:tcPr>
          <w:p w14:paraId="20FEAD77"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тыс.</w:t>
            </w:r>
          </w:p>
        </w:tc>
        <w:tc>
          <w:tcPr>
            <w:tcW w:w="916" w:type="dxa"/>
          </w:tcPr>
          <w:p w14:paraId="65517004"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bl>
    <w:p w14:paraId="2D70E61B"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Считая снабжение сельского хозяйства тракторами важнейшей хозяйственно-политической задачей в деле обеспечения населения страны хлебом и промышленности сельскохозяйственным сырьем, Совнарком Союза ССР и ЦК ВКП(б) постановляют:</w:t>
      </w:r>
    </w:p>
    <w:p w14:paraId="5F3862DD"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Установить на 1944 г. план производства тракторов на тракторных заводах Наркомсредмаша в размере 5,5 тыс. шт. и довести его в 1945 г. до 27,0 тыс. шт. со следующим распределением по заводам:</w:t>
      </w:r>
    </w:p>
    <w:p w14:paraId="1135A456"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Обязать Наркомсредмаш:</w:t>
      </w:r>
    </w:p>
    <w:p w14:paraId="51EE27DF"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расширить и дооборудовать строящиеся тракторные заводы на следующую мощность:</w:t>
      </w:r>
    </w:p>
    <w:p w14:paraId="387C6B6E"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Алтайский тракторный завод — на выпуск 50 тракторов СХТЗ-НАТИ в сутки;</w:t>
      </w:r>
    </w:p>
    <w:p w14:paraId="18323780"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Липецкий тракторный завод — на выпуск 50 тракторов «Кировец-35» в сутки;</w:t>
      </w:r>
    </w:p>
    <w:p w14:paraId="5987E97D"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Владимирский тракторный завод — на выпуск 50 тракторов УН-2 в сутки;</w:t>
      </w:r>
    </w:p>
    <w:p w14:paraId="4E153EE5"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восстановить Харьковский тракторный эавод на мощность по выпуску 50 тракторов «Кировец-35» в сутки;</w:t>
      </w:r>
    </w:p>
    <w:p w14:paraId="201AB2E8"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организовать производство запасных частей к тракторам в размере не менее 25 % к трудоемкости основного производства...</w:t>
      </w:r>
    </w:p>
    <w:p w14:paraId="3B4E2E58"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Обязать НКО:</w:t>
      </w:r>
    </w:p>
    <w:p w14:paraId="4154CB6C"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вернуть до 1 мая 1944 г. из Красной Армии из числа офицерского, сержантского и рядового состава для работы на тракторных заводах и в Гипросредмаше 300 инженеров и техников, находящихся в тыловых воинских учреждениях, преимущественно работавших ранее на автотракторных заводах и по проектированию их, по списку, составленному Наркомсредмашем;</w:t>
      </w:r>
    </w:p>
    <w:p w14:paraId="6D0CC5D3"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передать Наркомстрою и Наркомсредмашу до 1 мая 1944 г. для строительства и производства тракторных заводов из числа не годных к строевой службе в Красной Армии, но годных к физическому труду и старших возрастов до 55 лет 12 500 человек.</w:t>
      </w:r>
    </w:p>
    <w:p w14:paraId="1E0E1675"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Обязать Комитет по учету и распределению рабочей силы при Совнаркоме СССР мобилизовать и направить из местного населения:</w:t>
      </w:r>
    </w:p>
    <w:p w14:paraId="1D804213"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Наркомсредмашу в первом полугодии 1944 г. для работы на тракторных заводах и заводах тракторного электрооборудования 7500 человек;</w:t>
      </w:r>
    </w:p>
    <w:p w14:paraId="5C7395E3"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Наркомстрою на строительство Куйбышевского завода тракторного электрооборудования в I квартале 1944 г. 2 тыс. человек.</w:t>
      </w:r>
    </w:p>
    <w:p w14:paraId="594A0E23"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Обязать Главное управление трудовых резервов при Совнаркоме СССР:</w:t>
      </w:r>
    </w:p>
    <w:p w14:paraId="090D4B68"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передать Наркомсредмашу в первом полугодии 1944 г. 2 тыс. человек, окончивших ремесленные училища и школы ФЗО;</w:t>
      </w:r>
    </w:p>
    <w:p w14:paraId="5E127D77"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организовать в первом полугодии 1944 г. четыре специальных ремесленных училища тракторной промышленности с контингентом учащихся 2600 человек;</w:t>
      </w:r>
    </w:p>
    <w:p w14:paraId="06643046"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организовать в первом полугодии 1944 г. четыре школы фабрично-заводского обучения тракторной промышленности с контингентом учащихся до 1850 человек;</w:t>
      </w:r>
    </w:p>
    <w:p w14:paraId="4C9CB270"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направлять всех учащихся ремесленных училищ и школ фабрично-заводского обучения тракторной промышленности по окончании производственного обучения только на тракторные заводы Наркомсредмаша.</w:t>
      </w:r>
    </w:p>
    <w:p w14:paraId="327657B1"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...30. Обязать Комитет по учету и распределению рабочей силы при СНК СССР и облисполкомы Воронежской, Ивановской, Харьковскойобластей и Алтайский крайисполком призвать в январе 1944 г. сверх контингентов </w:t>
      </w:r>
    </w:p>
    <w:p w14:paraId="010EF573"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очередного призыва в организуемые ремесленные училища и школы фабрично-заводского обучения тракторной промышленности 3 тыс. человек установленных возрастов из числа городской и сельской молодежи в количествах, указанных Комитетом по учету и распределению рабочей силы при СНК СССР.</w:t>
      </w:r>
    </w:p>
    <w:p w14:paraId="35EAEF94"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Обязать Комитет по делам высшей школы при СНК СССР направить тракторным заводам, заводам автотракторного электрооборудования и Гипросредмашу Наркомсредмаша 620 инженеров из числа оканчивающих учебные заведения в первом полугодии 1944 г.</w:t>
      </w:r>
    </w:p>
    <w:p w14:paraId="10F5E074"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 Освободить от мобилизации и призыва в Красную Армию и запретить разбронирование рабочих с 3-го разряда и выше, ИТР и служащих Наркомсредмаша и Наркомстроя, занятых на производстве и строительстве тракторных заводов и заводов тракторного электрооборудования, а также работников HATH, Гипросредмаша, «Союзпроммехаыизации» Наркомтяжмаша и руководящий и профессорско-преподавательский состав Алтайского машиностроительного института и тракторных техникумов.</w:t>
      </w:r>
    </w:p>
    <w:p w14:paraId="43B07F5B"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34. Запретить партийным, советским и военным организациям производить мобилизацию, в том числе на проведение сельскохозяйственных работ (уборочная, посевная и вывозка зерна), автомобильного и гужеврго </w:t>
      </w:r>
    </w:p>
    <w:p w14:paraId="6512AF42"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транспорта строительно-монтажных организаций Наркомстроя, тракторных заводов, заводов тракторного электрооборудования, HATИ и Средмашстроя, занятых на строительстве и производстве тракторных заводов Наркомсредмаша.</w:t>
      </w:r>
    </w:p>
    <w:p w14:paraId="18DA51B8"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 Возложить на народного комиссара по строительству и на народного комиссара среднего машиностроения персональную ответственность за окончание строительства тракторных заводов и создание мощностей, обеспечивающих выполнение плана производства тракторов в сроки, установленные настоящим постановлением.</w:t>
      </w:r>
    </w:p>
    <w:p w14:paraId="0A7DB20D"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 Ввиду особой важности подготовки тракторных мощностей запретить кому бы то ни было уменьшать или изменять поставки материалов и оборудования, а также вносить предложения об уменьшении квартальных и месячных планов поставок на материалы и оборудование для тракторных заводов и заводов тракторного электрооборудования и строительства этих заводов.</w:t>
      </w:r>
    </w:p>
    <w:p w14:paraId="132444AA"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 Обязать обкомы ВКП(б): Воронежский, Ивановский, Харьковский и Алтайский крайком ВКП(б) оказывать необходимую помощь в проведении работ по восстановлению, расширению и строительству тракторных заводов для создания мощностей, установленных настоящим постановлением, считая это важнейшей задачей областных партийных организаций.</w:t>
      </w:r>
    </w:p>
    <w:p w14:paraId="716ADA1D"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39. Обязать народных комиссаров, связанных с поставками для строек тракторных заводов, и первых секретарей обкомов и крайкомов ВКП(б) ежемесячно докладывать Совнаркому СССР и ЦК ВКП(б) о выполнении возложенных на них настоящим постановлением обязательств и о помощи, оказанной стройкам и тракторным заводам.</w:t>
      </w:r>
    </w:p>
    <w:p w14:paraId="2B3E78C2"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 Предупредить начальников строительства, директоров заводов-поставщиков, руководителей союзных сбытовых организаций и директоров тракторных заводов, что невыполнение установленного задания по наращиванию мощностей тракторных заводов и поставок, предусмотренных настоящим постановлением, будет рассматриваться как преступление, а виновные в срыве этого постановления будут привлекаться к ответственности.</w:t>
      </w:r>
    </w:p>
    <w:p w14:paraId="16AB6573"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 Установить:</w:t>
      </w:r>
    </w:p>
    <w:p w14:paraId="485F9E61"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переходящие Красные знамена ЦК ВКП(б) и первые премии:</w:t>
      </w:r>
    </w:p>
    <w:p w14:paraId="174BD285"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 — строительным организациям Наркомстроя, осуществляющим строительство тракторных заводов, и второе : тракторным заводам Наркомсредмаша;</w:t>
      </w:r>
    </w:p>
    <w:p w14:paraId="52D805A4"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переходящее Красное знамя ВЦСПС, Наркомсредмаша и Наркомтроя, две вторые премии и три третьих премии предприятиям — поставзщикам материалов и оборудования для строительства и производтва тракторных заводов.</w:t>
      </w:r>
    </w:p>
    <w:p w14:paraId="445D4FCD" w14:textId="77777777" w:rsidR="002E58E0" w:rsidRPr="00070ADE" w:rsidRDefault="002E58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Решения партии и правительства по хозяйственным вопросам, т. 3, 1941—1952 горн. КГ 1968, с. 183—187 (23979).</w:t>
      </w:r>
    </w:p>
    <w:p w14:paraId="4ACB428A" w14:textId="77777777" w:rsidR="002E58E0" w:rsidRPr="00070ADE" w:rsidRDefault="002E58E0" w:rsidP="00B56F90">
      <w:pPr>
        <w:spacing w:after="0" w:line="240" w:lineRule="auto"/>
        <w:jc w:val="both"/>
        <w:rPr>
          <w:rFonts w:ascii="Times New Roman" w:hAnsi="Times New Roman"/>
          <w:color w:val="000000" w:themeColor="text1"/>
          <w:sz w:val="16"/>
          <w:szCs w:val="16"/>
        </w:rPr>
      </w:pPr>
    </w:p>
    <w:p w14:paraId="01413B5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вышло Постановление ГКО № 5199 О создании машиностроительной базы Наркомата заготовок. (7190, 1-3,4-6).</w:t>
      </w:r>
    </w:p>
    <w:p w14:paraId="3E8D2A7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A36FE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вышло Постановление ГКО № 5200 О поставках лесоматериалов для восстановления водоснабжения Донбасса и заводов черной металлургии. РГАНИР, Фонд ГКО, д. 210, лл. 7-8,9 (11012).</w:t>
      </w:r>
    </w:p>
    <w:p w14:paraId="4109A1B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98E331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вышло Постановление ГКО № 5204 О восстановлении производства тракторов СТЗ-3 на Сталинградском тракторном заводе. РГАНИР, Фонд ГКО, д. 210, лл. 54-58,59-104 (11012).</w:t>
      </w:r>
    </w:p>
    <w:p w14:paraId="4F4BB1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5E5972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вышло Распоряжение ГКО № 5205. Об изготовлении оборудования для мартеновских печей № 3 и 4 на Златоустовском металлургическом заводе НКЧМ. РГАНИР, Фонд ГКО, д. 210, лл. 105 (11012).</w:t>
      </w:r>
    </w:p>
    <w:p w14:paraId="73E38AB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B4DF5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года был утвержден Устав завода № 75 НКВ (9279).</w:t>
      </w:r>
    </w:p>
    <w:p w14:paraId="78C3F0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EA81A7"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327C9C3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82AF51"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18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3D8CAA7D"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18 февраля юго-западнее и южнее города Луга наши войска с боями продвигались вперед и заняли несколько населённых пунктов.</w:t>
      </w:r>
    </w:p>
    <w:p w14:paraId="5875652F"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Новгорода наши войска вели наступательные бои, в ходе которых овладели районным центром Ленинградской области и крупной железнодорожнойстанцией Шимск, а также заняли населённые пункты Нижний Прихон, Вешка, Старый Шимск.</w:t>
      </w:r>
    </w:p>
    <w:p w14:paraId="2AB7ABDE"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озера Ильмень наши войска, перейдя в наступление, с боями овладели городом и железнодорожным узлом Старая Русса, а также заняли более 40 других населённых пунктов, в том числе населённые пункты Парфеева, Большая Козанка, Чирикова, Пенна, Нагаткино, Ожедово, Великое Село, Лосытина, Соколово, Байнова, Святогорша.</w:t>
      </w:r>
    </w:p>
    <w:p w14:paraId="63493DC9"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Звенигородка наши войска полностью уничтожили отдельные разрозненные группы противника, скрывавшиеся после ликвидации окружённых немецких войск в оврагах и роще южнее Шандеровка.</w:t>
      </w:r>
    </w:p>
    <w:p w14:paraId="0BD43591"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6717C494"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17 февраля наши войска на всех фронтах подбили и уничтожили 61 немецкий танк. В воздушных боях и огнём зенитной артиллерии сбито 12 самолётов противника.</w:t>
      </w:r>
    </w:p>
    <w:p w14:paraId="15DD57DB"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Луга наши войска с боями заняли несколько населённых пунктов. В одном районе советские подразделения, продвигаясь болотами и лесными дорогами, зашли в тыл противнику и разгромили немецкий гарнизон в крупном населённом пункте. Наши бойцы истребили до батальона гитлеровцев и захватили 11 орудий, склад боеприпасов и два склада с военным имуществом. Шесть наших бойцов во главе со старшим сержантом Орловым заметили проходивший по дороге отряд противника. Организовав по обе стороны дороги засаду, советские бойцы подпустили немцев на близкое расстояние, а затем огнём из автоматов убили 26 гитлеровцев. Оставшиеся в живых 30 немецких солдат вместе со своим командиром обер-лейтенантом сложили оружие и сдались в плен.</w:t>
      </w:r>
    </w:p>
    <w:p w14:paraId="67802A39"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Новгорода наши войска сломили сопротивление противника и овладели районным центром Ленинградской области и крупной железнодорожной станцией Шимск. В боях за Шимск уничтожено до двух батальонов немецкой пехоты. Захвачены у немцев артиллерийские батареи, много пулемётов, личного оружия, а также склады боеприпасов.</w:t>
      </w:r>
    </w:p>
    <w:p w14:paraId="3AE0B95B"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озера Ильмень наши войска после артиллерийской подготовки перешли в наступление. Части Н-ского соединения преодолели сильно укреплённую полосу обороны противника и обошли город Старая Русса с юго-запада. В это же время наши ударные отряды стремительной атакой ворвались в город с востока. Немцы превратили Старую Руссу в крепость. Они построили большое количество дотов и дзотов, прикрыли все подступы минными полями и инженерными заграждениями. В результате ожесточённого боя наши войска овладели городом и железнодорожным узлом Старая Русса. Гитлеровцы предприняли несколько контратак, но были отброшены с большими для них потерями. Развивая успех, наши бойцы заняли свыше 40 других населённых пунктов. Захвачены крупные склады и другие трофеи. Взяты пленные.</w:t>
      </w:r>
    </w:p>
    <w:p w14:paraId="5A339A12"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города Звенигородка наши войска полностью уничтожили последние разрозненные группы противника, скрывавшиеся после ликвидации окружённых немецких войск. Наши бойцы вылавливали отдельные группы немецких солдат и офицеров, пытавшихся спасти жизнь в оврагах и небольшой роще южнее населённого пункта Шандеровка. В течение ночи и дня советские подразделения прочёсывали рощу и прилегающую к ней местность. Многие группы окоченевших немецких солдат и офицеров, не оказывая сопротивления, сдались в плен. Гитлеровцы, пытавшиеся спастись бегством, уничтожены. Производится сбор и учёт трофеев, захваченных нашими войсками в результате ликвидации окружённых в районе города Корсунь-Шевченковский десяти дивизий и одной бригады противника.</w:t>
      </w:r>
    </w:p>
    <w:p w14:paraId="08AA7F5B"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Крымские партизанские отряды в январе и феврале нанесли ряд ударов немецко-фашистским оккупантам. За это время пущено под откос 6 немецких воинских эшелонов. Партизаны разрушили пути на трех железнодорожных станциях, уничтожили 80 автомашин, взорвали два склада с горючим и склад боеприпасов. 7 февраля крупные силы немцев и румын предприняли наступление против партизан. В пятидневных боях советские патриоты измотали гитлеровцев, а затем нанесли им контрудар. Потеряв в этих боях до 800 человек, противник бежал, оставив на поле боя своих раненых солдат и офицеров.</w:t>
      </w:r>
    </w:p>
    <w:p w14:paraId="0FE47F3B"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Взятый в плен в районе Витебска солдат 2 роты 550 немецкого штрафного батальона Ульрих Гарт рассказал: «Я бывший капитан немецкой армии. Командовал ротой 4 авиаполевой дивизии. В октябре прошлого года на офицерском вечере я имел неосторожность заявить, что военный крах Германии неизбежен. За эти слова военно-полевой суд приговорил меня к 8 месяцам тюремного заключения и лишил офицерского звания. Наказание отбывал в военной тюрьме в городе Борисове, гдевстретил значительную группу немецких офицеров. Соседями по тюремной камере оказались обер-лейтенант Зукау, лейтенант Курт Бауэр, обер-лейтенант Керх и другие. В январе 1944 года меня досрочно освободили из тюрьмы и послали рядовым в 550 штрафной батальон. Внутренне я был уже давно подготовлен к тому, чтобы сдаться в плен. Поэтому, когда русские солдаты приблизились к нашим позициям, я без сопротивления сложил оружие».</w:t>
      </w:r>
    </w:p>
    <w:p w14:paraId="4BF1C49D"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Жители села Вознесенка, Запорожской области, рассказали о зверствах немецко-фашистских мерзавцев: «Гитлеровцы беспощадно и зверски истребляли советских людей. Только за один день они расстреляли свыше ста жителей нашего села. Много трупов женщин, стариков и детей, замученных немцами, теперь обнаружены в колодцах и в оврагах. Накануне отступления фашистские бандиты сожгли восемь средних и начальных школ, больницу, зернохранилище, электростанцию и около 1.300 жилых домов колхозников. Эти чудовищные злодеяния совершили немецкие солдаты во главе с военным комендантом палачом Вирсом. От имени жителей села Вознесенки мы обращаемся к воинам нашей Красной Армии с призывом: «Беспощадно бейте проклятых немцев! Отомстите им за все преступления, которые они совершили на нашей родине!» (15044).</w:t>
      </w:r>
    </w:p>
    <w:p w14:paraId="15108E22" w14:textId="77777777" w:rsidR="009863CA" w:rsidRPr="00070ADE" w:rsidRDefault="009863CA" w:rsidP="00B56F90">
      <w:pPr>
        <w:spacing w:after="0" w:line="240" w:lineRule="auto"/>
        <w:jc w:val="both"/>
        <w:rPr>
          <w:rFonts w:ascii="Times New Roman" w:hAnsi="Times New Roman"/>
          <w:color w:val="000000" w:themeColor="text1"/>
          <w:sz w:val="16"/>
          <w:szCs w:val="16"/>
        </w:rPr>
      </w:pPr>
    </w:p>
    <w:p w14:paraId="372972B0" w14:textId="77777777" w:rsidR="00B37F6A" w:rsidRPr="00070ADE" w:rsidRDefault="00B37F6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18 на 19 февраля 1944 целью Пе-8 был железнодорожный узел Псков. К вылету готовилось 19 кораблей, но взлетело 18, так как у Пе-8 №421010 (командир корабля Угрюмов), из 25-го гв. АПДД во время старта обнаружили проблемы с тормозами. Первый корабль взлетел в 17 ч. 41 мин., крайний в 18 ч. 15 мин. Через 13 минут после взлета, из-за от</w:t>
      </w:r>
      <w:r w:rsidRPr="00070ADE">
        <w:rPr>
          <w:rFonts w:ascii="Times New Roman" w:hAnsi="Times New Roman"/>
          <w:color w:val="000000" w:themeColor="text1"/>
          <w:sz w:val="16"/>
          <w:szCs w:val="16"/>
        </w:rPr>
        <w:softHyphen/>
        <w:t>каза материальной части вернулся и произвел посадку на своем аэродроме Пе-8 №42059 из 25-го гв. АПДД (командир корабля Шатров, штурман Гладкий). Основную цель бомбили шестнадцать кораблей в период с 20 ч. 20 мин. по 21ч. 15 мин. На цель было сброшено: 16 ФАБ-2000, 2 ФАБ-ЮООтга, 6 ФАБ-1000,12 ФАБ- 500тга, 36 ФАБ-500,12 ФАБ-250тга, 8 ФАБ-250, 27 ЗАБ-ЮОцк, 31 САБ-100, 3 ФОТАБ-Ю0-60.</w:t>
      </w:r>
    </w:p>
    <w:p w14:paraId="4C219697" w14:textId="77777777" w:rsidR="00B37F6A" w:rsidRPr="00070ADE" w:rsidRDefault="00B37F6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состава 25-го гв. АПДД основную цель бомбили Пе-8 с заводскими номерами: 42076 (командир корабля Адамов), 42067 (командир корабля Обухов), 42028 (командир корабля Симо</w:t>
      </w:r>
      <w:r w:rsidRPr="00070ADE">
        <w:rPr>
          <w:rFonts w:ascii="Times New Roman" w:hAnsi="Times New Roman"/>
          <w:color w:val="000000" w:themeColor="text1"/>
          <w:sz w:val="16"/>
          <w:szCs w:val="16"/>
        </w:rPr>
        <w:softHyphen/>
        <w:t>нов), 42088 (командир корабля Сугак), 42410 (командир корабля Ищенко), 42311 (командир корабля Зеленский), 42611 (командир корабля Лисачёв). Из состава 890-го АПДД бомбили основную цель Пе-8 с заводскими номерами: № 385Д (командир корабля Лавровский), 4214 (командир корабля Откидач), 42078 (командир корабля Белков), 42098 (командир корабля Кокарев), 42089 (командир корабля Архаров), 42810 (командир корабля Олей</w:t>
      </w:r>
      <w:r w:rsidRPr="00070ADE">
        <w:rPr>
          <w:rFonts w:ascii="Times New Roman" w:hAnsi="Times New Roman"/>
          <w:color w:val="000000" w:themeColor="text1"/>
          <w:sz w:val="16"/>
          <w:szCs w:val="16"/>
        </w:rPr>
        <w:softHyphen/>
        <w:t xml:space="preserve">ников), 42910 (командир </w:t>
      </w:r>
      <w:r w:rsidRPr="00070ADE">
        <w:rPr>
          <w:rFonts w:ascii="Times New Roman" w:hAnsi="Times New Roman"/>
          <w:color w:val="000000" w:themeColor="text1"/>
          <w:sz w:val="16"/>
          <w:szCs w:val="16"/>
        </w:rPr>
        <w:lastRenderedPageBreak/>
        <w:t>корабля Шамрай), 42111 (командир корабля Самохин), 42211(командир корабля Невенчанный). Пе-8 42210 (командир корабля Бездольный) из 25-го гв. АПДД, бомбил запасную цель - железнодорожный узел Дедовичи (в 20 ч.27 мин). На запасную цель было сброшено: 2 ФАБ-2000,2 ФАБ-500, ЗАБ-100цк. После выполнения задания все корабли произвели посадку на своем аэродроме в период с 22 ч. 56 мин. по 00 ч.08 мин. Потерь не было (19559).</w:t>
      </w:r>
    </w:p>
    <w:p w14:paraId="3F9AF1BA" w14:textId="77777777" w:rsidR="00B37F6A" w:rsidRPr="00070ADE" w:rsidRDefault="00B37F6A" w:rsidP="00B56F90">
      <w:pPr>
        <w:spacing w:after="0" w:line="240" w:lineRule="auto"/>
        <w:jc w:val="both"/>
        <w:rPr>
          <w:rFonts w:ascii="Times New Roman" w:hAnsi="Times New Roman"/>
          <w:color w:val="000000" w:themeColor="text1"/>
          <w:sz w:val="16"/>
          <w:szCs w:val="16"/>
        </w:rPr>
      </w:pPr>
    </w:p>
    <w:p w14:paraId="3638425D" w14:textId="77777777" w:rsidR="009863CA" w:rsidRPr="00070ADE" w:rsidRDefault="009863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18 февраля</w:t>
      </w:r>
      <w:r w:rsidRPr="00070ADE">
        <w:rPr>
          <w:rFonts w:ascii="Times New Roman" w:hAnsi="Times New Roman"/>
          <w:color w:val="000000" w:themeColor="text1"/>
          <w:sz w:val="16"/>
          <w:szCs w:val="16"/>
        </w:rPr>
        <w:t xml:space="preserve"> в 1944 году город Старая Русса (Новгородская область) освобожден от фашистских захватчиков. В честь знаменательной даты 18 февраля 1994 г. в городе открыт Музей Северо-Западного фронта</w:t>
      </w:r>
    </w:p>
    <w:p w14:paraId="2756C2CD" w14:textId="77777777" w:rsidR="009863CA" w:rsidRPr="00070ADE" w:rsidRDefault="009863CA" w:rsidP="00B56F90">
      <w:pPr>
        <w:spacing w:after="0" w:line="240" w:lineRule="auto"/>
        <w:jc w:val="both"/>
        <w:rPr>
          <w:rFonts w:ascii="Times New Roman" w:hAnsi="Times New Roman"/>
          <w:color w:val="000000" w:themeColor="text1"/>
          <w:sz w:val="16"/>
          <w:szCs w:val="16"/>
        </w:rPr>
      </w:pPr>
    </w:p>
    <w:p w14:paraId="467C04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закончилась Корсунь-шевченковская операция, которая началась 25 января 1944 и в которой была велика роль штурмовиков и вообще авиации (340,163).</w:t>
      </w:r>
    </w:p>
    <w:p w14:paraId="1EBAB8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примеру Сталинграда 2ВА и 10 иак ПВО создали 4 зоны уничтожения вражеских самолетов и бомбили аэродромы Умани, Винницы, Новоукраинки за внешним кольцом окружения. С 31 января по 18 февраля уничтожили в воздухе 257, в т.ч. 31 транспортный и 457 на аэродромах. Поддерживая 6 и 2ТА 326 нбад доставила 49 т бензина, 65 т боеприпасов, 525 РС (340,164).</w:t>
      </w:r>
    </w:p>
    <w:p w14:paraId="7C4C9B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F6234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согласно сообщению Совинформбюро большая группа с АДД ночью совершила налет на Псков и разбомбила эшелоны и склады. Возникло 80 пожаров, горело 15 эшелонов. 3 самолета не вернулось (438,895).</w:t>
      </w:r>
    </w:p>
    <w:p w14:paraId="7AB3B0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79E1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rPr>
        <w:t xml:space="preserve">February 18, 1944: The Red Army recaptures Staraja Russa. </w:t>
      </w:r>
      <w:r w:rsidRPr="00070ADE">
        <w:rPr>
          <w:rFonts w:ascii="Times New Roman" w:hAnsi="Times New Roman"/>
          <w:color w:val="000000" w:themeColor="text1"/>
          <w:sz w:val="16"/>
          <w:szCs w:val="16"/>
          <w:lang w:val="en-US"/>
        </w:rPr>
        <w:t>Heeresgruppe Nord (Schorner) falls back to the line Narva-Pleskau-Oposhka (3819).</w:t>
      </w:r>
    </w:p>
    <w:p w14:paraId="10C02B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752AC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КА освободила Старую Руссу. Группа Север отступила на линию Нарва-Псков-Опочка (3819).</w:t>
      </w:r>
    </w:p>
    <w:p w14:paraId="799DE4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4E34C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советские войска освободили Старую Руссу (4962).</w:t>
      </w:r>
    </w:p>
    <w:p w14:paraId="084C69B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80C27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советский генерал Иван Конев произведен в маршалы (4962).</w:t>
      </w:r>
    </w:p>
    <w:p w14:paraId="44B1040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F5692C" w14:textId="77777777" w:rsidR="00B37F6A" w:rsidRPr="00070ADE" w:rsidRDefault="00B37F6A"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42D09FE4" w14:textId="77777777" w:rsidR="00B37F6A" w:rsidRPr="00070ADE" w:rsidRDefault="00B37F6A"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92BEAD" w14:textId="77777777" w:rsidR="00B37F6A" w:rsidRPr="00070ADE" w:rsidRDefault="00B37F6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Решение исполкома Моссовета:</w:t>
      </w:r>
    </w:p>
    <w:p w14:paraId="10A9CC51" w14:textId="77777777" w:rsidR="00B37F6A" w:rsidRPr="00070ADE" w:rsidRDefault="00B37F6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 общественных местах (театрах, кино, парках, метро, трамвае, на стадионах, катках и т. д.) и на улицах гор. Москвы дети должны строго соблюдать установленный общественный порядокУ а также правила поведения для учащихся.</w:t>
      </w:r>
    </w:p>
    <w:p w14:paraId="5D0FEE41" w14:textId="77777777" w:rsidR="00B37F6A" w:rsidRPr="00070ADE" w:rsidRDefault="00B37F6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Запретить индивидуальную продажу билетов в кино, театры и др. зрелищные предприятия детям и подросткам до 16 лет во все дни недели, за исключением воскресений, праздников и дней зимних и весенних каникул.</w:t>
      </w:r>
    </w:p>
    <w:p w14:paraId="4734219C" w14:textId="77777777" w:rsidR="00B37F6A" w:rsidRPr="00070ADE" w:rsidRDefault="00B37F6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дни учебных занятий допускать посещение детьми и подростками кино и театров в организованном порядке в сопровождении педагога, воспитателя или пионервожатого.</w:t>
      </w:r>
    </w:p>
    <w:p w14:paraId="35FA2A06" w14:textId="77777777" w:rsidR="00B37F6A" w:rsidRPr="00070ADE" w:rsidRDefault="00B37F6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Запретить пребывание детей и подростков до 16 лет в кино, театрах и других зрелищных предприятиях после 20 часов. Вечерние постановки, в детских театрах, сеансы в детских кино и другие зрелищные и увеселительные мероприятия в детских и внешкольных учреждениях заканчивать не позднее 20 часов.</w:t>
      </w:r>
    </w:p>
    <w:p w14:paraId="592B058A" w14:textId="77777777" w:rsidR="00B37F6A" w:rsidRPr="00070ADE" w:rsidRDefault="00B37F6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Обязать директоров театров, кино и других зрелищных предприятий на продаваемых детям и подросткам до 16 лет билетах ставить штамп "детский". Запретить впуск взрослых в кино и театры по билетам со штампом "детский" и детей по билетам без соответствующего штампа.</w:t>
      </w:r>
    </w:p>
    <w:p w14:paraId="62806568" w14:textId="77777777" w:rsidR="00B37F6A" w:rsidRPr="00070ADE" w:rsidRDefault="00B37F6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Запретить допуск детей и подростков до 16 лет на кинокартины, спектакли и другие зрелищные мероприятия, не предусмотренные репертуарам для детей.</w:t>
      </w:r>
    </w:p>
    <w:p w14:paraId="72BF44A8" w14:textId="77777777" w:rsidR="00B37F6A" w:rsidRPr="00070ADE" w:rsidRDefault="00B37F6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Запретить детям до 16 лет:</w:t>
      </w:r>
    </w:p>
    <w:p w14:paraId="2EB9E73B" w14:textId="77777777" w:rsidR="00B37F6A" w:rsidRPr="00070ADE" w:rsidRDefault="00B37F6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пребывание на улицах после 10 часов вечера без сопровождения взрослых;</w:t>
      </w:r>
    </w:p>
    <w:p w14:paraId="2CE88233" w14:textId="77777777" w:rsidR="00B37F6A" w:rsidRPr="00070ADE" w:rsidRDefault="00B37F6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торговлю папиросами, спичками и др. предметами;</w:t>
      </w:r>
    </w:p>
    <w:p w14:paraId="6ED7A81B" w14:textId="77777777" w:rsidR="00B37F6A" w:rsidRPr="00070ADE" w:rsidRDefault="00B37F6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проезд на подножках трамваев, на буферах, а также катанье на коньках и санках по улицам, площадям и тротуарам гор. Москвы</w:t>
      </w:r>
    </w:p>
    <w:p w14:paraId="6258FBE2" w14:textId="77777777" w:rsidR="00B37F6A" w:rsidRPr="00070ADE" w:rsidRDefault="00B37F6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Обязать управляющих и комендантов домов и общежитий строго наблюдать за поведением детей во дворах и на прилегающих ко дворам участках, привлекая к ответственности как нарушителей общественного порядка, так и их родителей.</w:t>
      </w:r>
    </w:p>
    <w:p w14:paraId="0AC3F27C" w14:textId="77777777" w:rsidR="00B37F6A" w:rsidRPr="00070ADE" w:rsidRDefault="00B37F6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Взрослое население гор. Москвы и общественность обязаны наблюдать за поведением детей и, в случае необходимости, задерживать нарушителей общественного порядка и направлять их к родителям или в органы милиции.</w:t>
      </w:r>
    </w:p>
    <w:p w14:paraId="1A3A294F" w14:textId="77777777" w:rsidR="00B37F6A" w:rsidRPr="00070ADE" w:rsidRDefault="00B37F6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Обязать органы милиции гор. Москвы: а) привлекать к уголовной ответственности лиц, толкающих детей на нарушение</w:t>
      </w:r>
    </w:p>
    <w:p w14:paraId="444F8042" w14:textId="77777777" w:rsidR="00B37F6A" w:rsidRPr="00070ADE" w:rsidRDefault="00B37F6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в случае нарушения детьми правил поведения в общественных местах и на улице, подвергать родителей штрафу в административном порядке до 200 рублей или привлекать к судебной ответственности.</w:t>
      </w:r>
    </w:p>
    <w:p w14:paraId="38F84589" w14:textId="77777777" w:rsidR="00B37F6A" w:rsidRPr="00070ADE" w:rsidRDefault="00B37F6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Контроль за выполнением настоящего решения возложить на органы милиции и народного образования гор. Москвы (18692).</w:t>
      </w:r>
    </w:p>
    <w:p w14:paraId="27905F47" w14:textId="77777777" w:rsidR="00B37F6A" w:rsidRPr="00070ADE" w:rsidRDefault="00B37F6A" w:rsidP="00B56F90">
      <w:pPr>
        <w:spacing w:after="0" w:line="240" w:lineRule="auto"/>
        <w:jc w:val="both"/>
        <w:rPr>
          <w:rFonts w:ascii="Times New Roman" w:hAnsi="Times New Roman"/>
          <w:color w:val="000000" w:themeColor="text1"/>
          <w:sz w:val="16"/>
          <w:szCs w:val="16"/>
        </w:rPr>
      </w:pPr>
    </w:p>
    <w:p w14:paraId="68A3FDB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7648FD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3484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года было получено:</w:t>
      </w:r>
    </w:p>
    <w:p w14:paraId="1EC597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СЕКРЕТНО И ЛИЧНО ДЛЯ МАРШАЛА СТАЛИНА ОТ ПРЕЗИДЕНТА РУЗВЕЛЬТА</w:t>
      </w:r>
    </w:p>
    <w:p w14:paraId="1D3EF1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 рад сообщить Вам в ответ на Ваше послание от 29 января, что суда Соединенных Штатов, указанные ниже, могут быть предоставлены командованию Военно-Морского Флота СССР во временное пользование до тех пор, пока для замены их в распоряжение Советского Союза не сможет быть предоставлен соответствующий итальянский тоннаж.</w:t>
      </w:r>
    </w:p>
    <w:p w14:paraId="12BC256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Крейсер “Мильвоки” должен прибыть 8 марта в один из портов Соединенного Королевства, который пока еще не выбран.</w:t>
      </w:r>
    </w:p>
    <w:p w14:paraId="56F412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Торговые суда “Джон Горри” и “Гарри Перси” водоизмещением в 10000 тонн каждое сейчас находятся соответственно в Ливерпуле и Глазго (7430).</w:t>
      </w:r>
    </w:p>
    <w:p w14:paraId="6C748F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AF5E01"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18 февраля</w:t>
      </w:r>
      <w:r w:rsidRPr="00070ADE">
        <w:rPr>
          <w:rFonts w:ascii="Times New Roman" w:hAnsi="Times New Roman"/>
          <w:color w:val="000000" w:themeColor="text1"/>
          <w:sz w:val="16"/>
          <w:szCs w:val="16"/>
        </w:rPr>
        <w:t xml:space="preserve"> в 1944 году польское эмигрантское правительство в Лондоне утвердило план «Буря», согласно которому во время вступления Советской армии на территорию Польши польские части Армии Крайовой выйдут из подполья и постараются захватывать отдельные районы и населенные пункты после ухода оттуда немецких, но до вступления советских войск, устанавливая там администрацию, связанную с лондонским правительством (15044).</w:t>
      </w:r>
    </w:p>
    <w:p w14:paraId="38B62DB2" w14:textId="77777777" w:rsidR="00E32A8C" w:rsidRPr="00070ADE" w:rsidRDefault="00E32A8C" w:rsidP="00B56F90">
      <w:pPr>
        <w:spacing w:after="0" w:line="240" w:lineRule="auto"/>
        <w:jc w:val="both"/>
        <w:rPr>
          <w:rFonts w:ascii="Times New Roman" w:hAnsi="Times New Roman"/>
          <w:color w:val="000000" w:themeColor="text1"/>
          <w:sz w:val="16"/>
          <w:szCs w:val="16"/>
        </w:rPr>
      </w:pPr>
    </w:p>
    <w:p w14:paraId="4003DDA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F5A4CC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3FEEE4"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за сутки до назначенного расстрела немцами лидеров французского Сопротивления английской авиацией разрушены стены тюрьмы Амьена (многие лидеры Сопротивления погибли при попытке бежать) (4962).</w:t>
      </w:r>
    </w:p>
    <w:p w14:paraId="0DBC8C0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55A5D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немецкой подлодкой у берегов Италии потоплен английский крейсер “Пенелопа” (4962).</w:t>
      </w:r>
    </w:p>
    <w:p w14:paraId="11C8F2A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6F61AB" w14:textId="77777777" w:rsidR="00A104C0" w:rsidRPr="00070ADE" w:rsidRDefault="00A104C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самолеты оперативной группы 58 завершили свои двухдневные удары по Труку, начав в ранние утренние часы с первой авианосной ночной бомбардировки в истории ВМС США - рейда 12 TBF-1C Avengers, который демонстрирует ценность таких налетов т вызвал 13 прямых попаданий бомб и семь попаданий при промахах по японским кораблям в гавани. В остальное время самолеты ВМС США работают над японскими береговыми сооружениями на острове Трук; японские самолеты не поднимаются, чтобы противостоять атакам. К моменту выхода оперативной группы 58 из боя ее самолеты совершили в общей сложности 1250 боевых вылетов за два дня нанесения ударов, сбросив 400 тонн (164 600 кг) бомб и торпед против судов и 94 тонны (85 276 кг) бомб на аэродромы и береговые сооружения, потопив два вспомогательных крейсера, два эсминца, два тендера подводных лодок, авиационный транспорт и 23 торговых судна, включая шесть танкеров и 17 грузовых судов общим объемом 200000 регистровых тонн, и уничтожив или повредив 250-275 японских самолетов в обмен за потерю 17 американских самолетов в бою и 8 по другим причинам (20373).</w:t>
      </w:r>
    </w:p>
    <w:p w14:paraId="6602BB14" w14:textId="77777777" w:rsidR="00A104C0" w:rsidRPr="00070ADE" w:rsidRDefault="00A104C0" w:rsidP="00B56F90">
      <w:pPr>
        <w:spacing w:after="0" w:line="240" w:lineRule="auto"/>
        <w:jc w:val="both"/>
        <w:rPr>
          <w:rFonts w:ascii="Times New Roman" w:hAnsi="Times New Roman"/>
          <w:color w:val="000000" w:themeColor="text1"/>
          <w:sz w:val="16"/>
          <w:szCs w:val="16"/>
        </w:rPr>
      </w:pPr>
    </w:p>
    <w:p w14:paraId="11CFE5EE" w14:textId="77777777" w:rsidR="00A104C0" w:rsidRPr="00070ADE" w:rsidRDefault="00A104C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1944 в операции Иерихон, де Хэвилленд Mosquitos из эскадрильи No. 487 Королевских ВВС Новой Зеландии и № 464 эскадрильи ВВС Австралии, разрушили тюремные стен в Амьене, Франция, позволяя захваченным членам французского Сопротивления бежать (20373).</w:t>
      </w:r>
    </w:p>
    <w:p w14:paraId="6FB49202" w14:textId="77777777" w:rsidR="00A104C0" w:rsidRPr="00070ADE" w:rsidRDefault="00A104C0" w:rsidP="00B56F90">
      <w:pPr>
        <w:spacing w:after="0" w:line="240" w:lineRule="auto"/>
        <w:jc w:val="both"/>
        <w:rPr>
          <w:rFonts w:ascii="Times New Roman" w:hAnsi="Times New Roman"/>
          <w:color w:val="000000" w:themeColor="text1"/>
          <w:sz w:val="16"/>
          <w:szCs w:val="16"/>
        </w:rPr>
      </w:pPr>
    </w:p>
    <w:p w14:paraId="651151DF"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47EBF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7692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февраля 1944 вышел приказ по НИИ ВВС N 041 о проведении гос. испытаний эталона 1944 самолета Ла-5 (3 пушечный) с М-82ФН производства 21 завода. Начала - 18 февраля и хотели закончить за 9 дней и акт еще через 3 дня. Вед. ли А.Г.Кубышкин, В.А.Модестов (987,44).</w:t>
      </w:r>
    </w:p>
    <w:p w14:paraId="78F159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проведении госиспытаний эталона 1944 года самолета Ла-5 (3-х пушечный) с мотором М-82ФН, производства ОТК завода № 21</w:t>
      </w:r>
    </w:p>
    <w:p w14:paraId="5E0A78E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 1</w:t>
      </w:r>
    </w:p>
    <w:p w14:paraId="52CCDFC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3-го Отд. НИИ провести госиспытания самолета Ла-5 (3-х пушечный) с мотором М-82ФН, производства ОТК завода № 21 по утвержденной летной прорамме</w:t>
      </w:r>
    </w:p>
    <w:p w14:paraId="18B2A9E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 2</w:t>
      </w:r>
    </w:p>
    <w:p w14:paraId="192D6C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начать 18 февраля 1944 и закончить в течение 9 летных дней. Акт по испытаниям представить мне на утверждение через 3 дня после окончания испытаний.</w:t>
      </w:r>
    </w:p>
    <w:p w14:paraId="7E9B989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 3</w:t>
      </w:r>
    </w:p>
    <w:p w14:paraId="323ACD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проведения испытаний назначаю:</w:t>
      </w:r>
    </w:p>
    <w:p w14:paraId="14FABF9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Ви ик В.К.Алексеенко</w:t>
      </w:r>
    </w:p>
    <w:p w14:paraId="7293AF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Вл к А.Г.Кубышкина м л В.А.Модестова</w:t>
      </w:r>
    </w:p>
    <w:p w14:paraId="26B5716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Пом. Ви сттл И.В.Жулева</w:t>
      </w:r>
    </w:p>
    <w:p w14:paraId="19CD2F1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 по ВМГ ик Н.М.Милошевского</w:t>
      </w:r>
    </w:p>
    <w:p w14:paraId="6F94BD6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 по вооружению им В.А.Бердина</w:t>
      </w:r>
    </w:p>
    <w:p w14:paraId="383210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 по спецоборудованию им Самойлова</w:t>
      </w:r>
    </w:p>
    <w:p w14:paraId="73A725C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техник тл В.А.Федотова</w:t>
      </w:r>
    </w:p>
    <w:p w14:paraId="6E60D6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40B0D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т по вооружению стл Ф.П.Наумова</w:t>
      </w:r>
    </w:p>
    <w:p w14:paraId="070D63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т по спецоборудованию тл Н.Д.Маркина</w:t>
      </w:r>
    </w:p>
    <w:p w14:paraId="27B7014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2B9CC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механика ст Г.К.Бушмакина</w:t>
      </w:r>
    </w:p>
    <w:p w14:paraId="1CD5E9D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5788B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 по маневренности ик В.А.Булинского</w:t>
      </w:r>
    </w:p>
    <w:p w14:paraId="0C977E1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лл облета Стефановского, Хомякова, Дзюба, Прошакова, Голофастова, Антипова, Гриднева</w:t>
      </w:r>
    </w:p>
    <w:p w14:paraId="2ACC99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Программа госиспытаний эталона 1944 с-та Ла-5 (3-х пушечный) с мотором М-82ФН, производства ОТК завода № 21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54"/>
        <w:gridCol w:w="2078"/>
        <w:gridCol w:w="2078"/>
      </w:tblGrid>
      <w:tr w:rsidR="004D4663" w:rsidRPr="00070ADE" w14:paraId="0E4B2CEA" w14:textId="77777777">
        <w:tc>
          <w:tcPr>
            <w:tcW w:w="7054" w:type="dxa"/>
            <w:tcBorders>
              <w:top w:val="single" w:sz="12" w:space="0" w:color="auto"/>
            </w:tcBorders>
          </w:tcPr>
          <w:p w14:paraId="063769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078" w:type="dxa"/>
            <w:tcBorders>
              <w:top w:val="single" w:sz="12" w:space="0" w:color="auto"/>
            </w:tcBorders>
          </w:tcPr>
          <w:p w14:paraId="16D873B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полетов</w:t>
            </w:r>
          </w:p>
        </w:tc>
        <w:tc>
          <w:tcPr>
            <w:tcW w:w="2078" w:type="dxa"/>
            <w:tcBorders>
              <w:top w:val="single" w:sz="12" w:space="0" w:color="auto"/>
            </w:tcBorders>
          </w:tcPr>
          <w:p w14:paraId="08DC80F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Продолжительность</w:t>
            </w:r>
          </w:p>
        </w:tc>
      </w:tr>
      <w:tr w:rsidR="004D4663" w:rsidRPr="00070ADE" w14:paraId="6AF8A66D" w14:textId="77777777">
        <w:tc>
          <w:tcPr>
            <w:tcW w:w="7054" w:type="dxa"/>
          </w:tcPr>
          <w:p w14:paraId="7506C98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Испытания на земле...</w:t>
            </w:r>
          </w:p>
        </w:tc>
        <w:tc>
          <w:tcPr>
            <w:tcW w:w="2078" w:type="dxa"/>
          </w:tcPr>
          <w:p w14:paraId="206EF7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078" w:type="dxa"/>
          </w:tcPr>
          <w:p w14:paraId="5C09471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3F9A412" w14:textId="77777777">
        <w:tc>
          <w:tcPr>
            <w:tcW w:w="7054" w:type="dxa"/>
          </w:tcPr>
          <w:p w14:paraId="60158D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 Испытания в воздухе</w:t>
            </w:r>
          </w:p>
        </w:tc>
        <w:tc>
          <w:tcPr>
            <w:tcW w:w="2078" w:type="dxa"/>
          </w:tcPr>
          <w:p w14:paraId="35E127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078" w:type="dxa"/>
          </w:tcPr>
          <w:p w14:paraId="19BF1E4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F98554B" w14:textId="77777777">
        <w:tc>
          <w:tcPr>
            <w:tcW w:w="7054" w:type="dxa"/>
          </w:tcPr>
          <w:p w14:paraId="2B18204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Ознакомительный полет, эвффективность управления и ..</w:t>
            </w:r>
          </w:p>
        </w:tc>
        <w:tc>
          <w:tcPr>
            <w:tcW w:w="2078" w:type="dxa"/>
          </w:tcPr>
          <w:p w14:paraId="579C1B0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2078" w:type="dxa"/>
          </w:tcPr>
          <w:p w14:paraId="1AC62C2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0:30</w:t>
            </w:r>
          </w:p>
        </w:tc>
      </w:tr>
      <w:tr w:rsidR="004D4663" w:rsidRPr="00070ADE" w14:paraId="43591771" w14:textId="77777777">
        <w:tc>
          <w:tcPr>
            <w:tcW w:w="7054" w:type="dxa"/>
          </w:tcPr>
          <w:p w14:paraId="520CED8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Тарировка указателя скорости (километраж)</w:t>
            </w:r>
          </w:p>
        </w:tc>
        <w:tc>
          <w:tcPr>
            <w:tcW w:w="2078" w:type="dxa"/>
          </w:tcPr>
          <w:p w14:paraId="5500E7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2078" w:type="dxa"/>
          </w:tcPr>
          <w:p w14:paraId="1ECD419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w:t>
            </w:r>
          </w:p>
        </w:tc>
      </w:tr>
      <w:tr w:rsidR="004D4663" w:rsidRPr="00070ADE" w14:paraId="4EED130D" w14:textId="77777777">
        <w:tc>
          <w:tcPr>
            <w:tcW w:w="7054" w:type="dxa"/>
          </w:tcPr>
          <w:p w14:paraId="4BE513A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Определение наивыгоднейшей скрости набора высоты (зубцы)</w:t>
            </w:r>
          </w:p>
        </w:tc>
        <w:tc>
          <w:tcPr>
            <w:tcW w:w="2078" w:type="dxa"/>
          </w:tcPr>
          <w:p w14:paraId="2E2EEF9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2078" w:type="dxa"/>
          </w:tcPr>
          <w:p w14:paraId="59A94C9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w:t>
            </w:r>
          </w:p>
        </w:tc>
      </w:tr>
      <w:tr w:rsidR="004D4663" w:rsidRPr="00070ADE" w14:paraId="1F88C6AB" w14:textId="77777777">
        <w:tc>
          <w:tcPr>
            <w:tcW w:w="7054" w:type="dxa"/>
          </w:tcPr>
          <w:p w14:paraId="7800C8C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Определение скороподъмности до потолка и макс. скор. по высотам</w:t>
            </w:r>
          </w:p>
        </w:tc>
        <w:tc>
          <w:tcPr>
            <w:tcW w:w="2078" w:type="dxa"/>
          </w:tcPr>
          <w:p w14:paraId="5122E8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2078" w:type="dxa"/>
          </w:tcPr>
          <w:p w14:paraId="4339E81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tc>
      </w:tr>
      <w:tr w:rsidR="004D4663" w:rsidRPr="00070ADE" w14:paraId="0422C45E" w14:textId="77777777">
        <w:tc>
          <w:tcPr>
            <w:tcW w:w="7054" w:type="dxa"/>
          </w:tcPr>
          <w:p w14:paraId="5D3A569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Определение тепловых режимов ВМН и продувки радиатора</w:t>
            </w:r>
          </w:p>
        </w:tc>
        <w:tc>
          <w:tcPr>
            <w:tcW w:w="2078" w:type="dxa"/>
          </w:tcPr>
          <w:p w14:paraId="2218380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2078" w:type="dxa"/>
          </w:tcPr>
          <w:p w14:paraId="162AD46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w:t>
            </w:r>
          </w:p>
        </w:tc>
      </w:tr>
      <w:tr w:rsidR="004D4663" w:rsidRPr="00070ADE" w14:paraId="609AE86D" w14:textId="77777777">
        <w:tc>
          <w:tcPr>
            <w:tcW w:w="7054" w:type="dxa"/>
          </w:tcPr>
          <w:p w14:paraId="44D3FAE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Определение взлетно посадочных свойств</w:t>
            </w:r>
          </w:p>
        </w:tc>
        <w:tc>
          <w:tcPr>
            <w:tcW w:w="2078" w:type="dxa"/>
          </w:tcPr>
          <w:p w14:paraId="134E397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2078" w:type="dxa"/>
          </w:tcPr>
          <w:p w14:paraId="3AFEEB7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r>
      <w:tr w:rsidR="004D4663" w:rsidRPr="00070ADE" w14:paraId="4C640A4C" w14:textId="77777777">
        <w:tc>
          <w:tcPr>
            <w:tcW w:w="7054" w:type="dxa"/>
          </w:tcPr>
          <w:p w14:paraId="31D3750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Определение характеристик маневренности на 100 м и 5000 м</w:t>
            </w:r>
          </w:p>
        </w:tc>
        <w:tc>
          <w:tcPr>
            <w:tcW w:w="2078" w:type="dxa"/>
          </w:tcPr>
          <w:p w14:paraId="183DD9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2078" w:type="dxa"/>
          </w:tcPr>
          <w:p w14:paraId="17CDC75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2:30</w:t>
            </w:r>
          </w:p>
        </w:tc>
      </w:tr>
      <w:tr w:rsidR="004D4663" w:rsidRPr="00070ADE" w14:paraId="782EEC0D" w14:textId="77777777">
        <w:tc>
          <w:tcPr>
            <w:tcW w:w="7054" w:type="dxa"/>
          </w:tcPr>
          <w:p w14:paraId="34EBF5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Определение дальности и продолжительности полета</w:t>
            </w:r>
          </w:p>
        </w:tc>
        <w:tc>
          <w:tcPr>
            <w:tcW w:w="2078" w:type="dxa"/>
          </w:tcPr>
          <w:p w14:paraId="5B2F6AA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2078" w:type="dxa"/>
          </w:tcPr>
          <w:p w14:paraId="451CAD3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tc>
      </w:tr>
      <w:tr w:rsidR="004D4663" w:rsidRPr="00070ADE" w14:paraId="2BE5A647" w14:textId="77777777">
        <w:tc>
          <w:tcPr>
            <w:tcW w:w="7054" w:type="dxa"/>
          </w:tcPr>
          <w:p w14:paraId="3B22A8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Определение дальности р/связи (в компл. с зад. п. 8)</w:t>
            </w:r>
          </w:p>
        </w:tc>
        <w:tc>
          <w:tcPr>
            <w:tcW w:w="2078" w:type="dxa"/>
          </w:tcPr>
          <w:p w14:paraId="3BA0973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078" w:type="dxa"/>
          </w:tcPr>
          <w:p w14:paraId="1AD6577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0F4F8C6" w14:textId="77777777">
        <w:tc>
          <w:tcPr>
            <w:tcW w:w="7054" w:type="dxa"/>
          </w:tcPr>
          <w:p w14:paraId="2428C0E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испытание пушечного вооружения (по спецпрограмме)</w:t>
            </w:r>
          </w:p>
        </w:tc>
        <w:tc>
          <w:tcPr>
            <w:tcW w:w="2078" w:type="dxa"/>
          </w:tcPr>
          <w:p w14:paraId="4A7DCA0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2078" w:type="dxa"/>
          </w:tcPr>
          <w:p w14:paraId="56BBE2B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tc>
      </w:tr>
      <w:tr w:rsidR="004D4663" w:rsidRPr="00070ADE" w14:paraId="3F1613E8" w14:textId="77777777">
        <w:tc>
          <w:tcPr>
            <w:tcW w:w="7054" w:type="dxa"/>
          </w:tcPr>
          <w:p w14:paraId="50F86E3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Облет самолета другими л</w:t>
            </w:r>
          </w:p>
        </w:tc>
        <w:tc>
          <w:tcPr>
            <w:tcW w:w="2078" w:type="dxa"/>
          </w:tcPr>
          <w:p w14:paraId="65A8125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2078" w:type="dxa"/>
          </w:tcPr>
          <w:p w14:paraId="7BD5407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3:30</w:t>
            </w:r>
          </w:p>
        </w:tc>
      </w:tr>
      <w:tr w:rsidR="004D4663" w:rsidRPr="00070ADE" w14:paraId="4259987D" w14:textId="77777777">
        <w:tc>
          <w:tcPr>
            <w:tcW w:w="7054" w:type="dxa"/>
          </w:tcPr>
          <w:p w14:paraId="4D0671A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Проверка штопорных свойств (до 2-х витков) и пикирования до скрости 650 км/час по прибору</w:t>
            </w:r>
          </w:p>
        </w:tc>
        <w:tc>
          <w:tcPr>
            <w:tcW w:w="2078" w:type="dxa"/>
          </w:tcPr>
          <w:p w14:paraId="0B42699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2078" w:type="dxa"/>
          </w:tcPr>
          <w:p w14:paraId="0DD869A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w:t>
            </w:r>
          </w:p>
        </w:tc>
      </w:tr>
      <w:tr w:rsidR="004D4663" w:rsidRPr="00070ADE" w14:paraId="792220F1" w14:textId="77777777">
        <w:tc>
          <w:tcPr>
            <w:tcW w:w="7054" w:type="dxa"/>
            <w:tcBorders>
              <w:bottom w:val="single" w:sz="12" w:space="0" w:color="auto"/>
            </w:tcBorders>
          </w:tcPr>
          <w:p w14:paraId="023BBA1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tc>
        <w:tc>
          <w:tcPr>
            <w:tcW w:w="2078" w:type="dxa"/>
            <w:tcBorders>
              <w:bottom w:val="single" w:sz="12" w:space="0" w:color="auto"/>
            </w:tcBorders>
          </w:tcPr>
          <w:p w14:paraId="485E030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c>
          <w:tcPr>
            <w:tcW w:w="2078" w:type="dxa"/>
            <w:tcBorders>
              <w:bottom w:val="single" w:sz="12" w:space="0" w:color="auto"/>
            </w:tcBorders>
          </w:tcPr>
          <w:p w14:paraId="59A7101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24:30</w:t>
            </w:r>
          </w:p>
        </w:tc>
      </w:tr>
    </w:tbl>
    <w:p w14:paraId="2D56B9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Летные характеристики определяются после перерегулировки агрегата впрыска НБ-3У по ТУ завода № 19 представителем завода № 19</w:t>
      </w:r>
    </w:p>
    <w:p w14:paraId="73220D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3 отд. НИИ Сафронов</w:t>
      </w:r>
    </w:p>
    <w:p w14:paraId="7C77D9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февраля 1944</w:t>
      </w:r>
    </w:p>
    <w:p w14:paraId="1CF0F18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Врид Нач. 2 отделения 3 отдела НИИ Степаненко</w:t>
      </w:r>
    </w:p>
    <w:p w14:paraId="626FA9E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февраля 1944 (987,44).</w:t>
      </w:r>
    </w:p>
    <w:p w14:paraId="70D6E5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2418C7" w14:textId="77777777" w:rsidR="00605B2B" w:rsidRPr="00C94B78" w:rsidRDefault="00605B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19 февраля по 22 февраля 1944 года под руковод</w:t>
      </w:r>
      <w:r w:rsidRPr="00C94B78">
        <w:rPr>
          <w:rFonts w:ascii="Times New Roman" w:hAnsi="Times New Roman"/>
          <w:color w:val="0070C0"/>
          <w:sz w:val="16"/>
          <w:szCs w:val="16"/>
        </w:rPr>
        <w:softHyphen/>
        <w:t>ством ст. техника лейтенанта В.В.Часовнико</w:t>
      </w:r>
      <w:r w:rsidRPr="00C94B78">
        <w:rPr>
          <w:rFonts w:ascii="Times New Roman" w:hAnsi="Times New Roman"/>
          <w:color w:val="0070C0"/>
          <w:sz w:val="16"/>
          <w:szCs w:val="16"/>
        </w:rPr>
        <w:softHyphen/>
        <w:t>ва и летчика инженер-капитана С.Г.Фролова в НИИ ВВС велись повторные испытания У-2ВС №4504 – эталона на первое полугодие 1944. Ниже перечислены основные зафиксирован</w:t>
      </w:r>
      <w:r w:rsidRPr="00C94B78">
        <w:rPr>
          <w:rFonts w:ascii="Times New Roman" w:hAnsi="Times New Roman"/>
          <w:color w:val="0070C0"/>
          <w:sz w:val="16"/>
          <w:szCs w:val="16"/>
        </w:rPr>
        <w:softHyphen/>
        <w:t>ные характеристики</w:t>
      </w:r>
      <w:r w:rsidRPr="00C94B78">
        <w:rPr>
          <w:rFonts w:ascii="Times New Roman" w:eastAsia="Times New Roman" w:hAnsi="Times New Roman"/>
          <w:color w:val="0070C0"/>
          <w:sz w:val="16"/>
          <w:szCs w:val="16"/>
          <w:lang w:eastAsia="ru-RU"/>
        </w:rPr>
        <w:fldChar w:fldCharType="begin"/>
      </w:r>
      <w:r w:rsidRPr="00C94B78">
        <w:rPr>
          <w:rFonts w:ascii="Times New Roman" w:hAnsi="Times New Roman"/>
          <w:color w:val="0070C0"/>
          <w:sz w:val="16"/>
          <w:szCs w:val="16"/>
        </w:rPr>
        <w:instrText xml:space="preserve"> TOC \o "1-5" \h \z </w:instrText>
      </w:r>
      <w:r w:rsidRPr="00C94B78">
        <w:rPr>
          <w:rFonts w:ascii="Times New Roman" w:eastAsia="Times New Roman" w:hAnsi="Times New Roman"/>
          <w:color w:val="0070C0"/>
          <w:sz w:val="16"/>
          <w:szCs w:val="16"/>
          <w:lang w:eastAsia="ru-RU"/>
        </w:rPr>
        <w:fldChar w:fldCharType="separate"/>
      </w:r>
      <w:r w:rsidRPr="00C94B78">
        <w:rPr>
          <w:rFonts w:ascii="Times New Roman" w:hAnsi="Times New Roman"/>
          <w:color w:val="0070C0"/>
          <w:sz w:val="16"/>
          <w:szCs w:val="16"/>
        </w:rPr>
        <w:t>:</w:t>
      </w:r>
    </w:p>
    <w:p w14:paraId="7DD76FBE" w14:textId="77777777" w:rsidR="00605B2B" w:rsidRPr="00C94B78" w:rsidRDefault="00605B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Вес пустого (кг)</w:t>
      </w:r>
      <w:r w:rsidRPr="00C94B78">
        <w:rPr>
          <w:rFonts w:ascii="Times New Roman" w:hAnsi="Times New Roman"/>
          <w:color w:val="0070C0"/>
          <w:sz w:val="16"/>
          <w:szCs w:val="16"/>
        </w:rPr>
        <w:tab/>
        <w:t>808</w:t>
      </w:r>
    </w:p>
    <w:p w14:paraId="4CE6C9FA" w14:textId="77777777" w:rsidR="00605B2B" w:rsidRPr="00C94B78" w:rsidRDefault="00605B2B" w:rsidP="00B56F90">
      <w:pPr>
        <w:tabs>
          <w:tab w:val="right" w:leader="dot" w:pos="3908"/>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Полетный вес нормальный (кг)</w:t>
      </w:r>
      <w:r w:rsidRPr="00C94B78">
        <w:rPr>
          <w:rFonts w:ascii="Times New Roman" w:hAnsi="Times New Roman"/>
          <w:color w:val="0070C0"/>
          <w:sz w:val="16"/>
          <w:szCs w:val="16"/>
        </w:rPr>
        <w:tab/>
        <w:t>1350</w:t>
      </w:r>
    </w:p>
    <w:p w14:paraId="4CDF62B2" w14:textId="77777777" w:rsidR="00605B2B" w:rsidRPr="00C94B78" w:rsidRDefault="00605B2B" w:rsidP="00B56F90">
      <w:pPr>
        <w:tabs>
          <w:tab w:val="right" w:leader="dot" w:pos="3908"/>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Бомбовая нагрузка (кг)</w:t>
      </w:r>
      <w:r w:rsidRPr="00C94B78">
        <w:rPr>
          <w:rFonts w:ascii="Times New Roman" w:hAnsi="Times New Roman"/>
          <w:color w:val="0070C0"/>
          <w:sz w:val="16"/>
          <w:szCs w:val="16"/>
        </w:rPr>
        <w:tab/>
        <w:t>250</w:t>
      </w:r>
    </w:p>
    <w:p w14:paraId="30DA2F91" w14:textId="77777777" w:rsidR="00605B2B" w:rsidRPr="00C94B78" w:rsidRDefault="00605B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(5 х ФАБ-50)</w:t>
      </w:r>
    </w:p>
    <w:p w14:paraId="3D5F8C8B" w14:textId="77777777" w:rsidR="00605B2B" w:rsidRPr="00C94B78" w:rsidRDefault="00605B2B" w:rsidP="00B56F90">
      <w:pPr>
        <w:tabs>
          <w:tab w:val="left" w:leader="dot" w:pos="3481"/>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Скорость у земли (км/ч)</w:t>
      </w:r>
      <w:r w:rsidRPr="00C94B78">
        <w:rPr>
          <w:rFonts w:ascii="Times New Roman" w:hAnsi="Times New Roman"/>
          <w:color w:val="0070C0"/>
          <w:sz w:val="16"/>
          <w:szCs w:val="16"/>
        </w:rPr>
        <w:tab/>
        <w:t>144</w:t>
      </w:r>
    </w:p>
    <w:p w14:paraId="159F732F" w14:textId="77777777" w:rsidR="00605B2B" w:rsidRPr="00C94B78" w:rsidRDefault="00605B2B" w:rsidP="00B56F90">
      <w:pPr>
        <w:tabs>
          <w:tab w:val="left" w:pos="3139"/>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Время набора высоты</w:t>
      </w:r>
      <w:r w:rsidRPr="00C94B78">
        <w:rPr>
          <w:rFonts w:ascii="Times New Roman" w:hAnsi="Times New Roman"/>
          <w:color w:val="0070C0"/>
          <w:sz w:val="16"/>
          <w:szCs w:val="16"/>
        </w:rPr>
        <w:tab/>
        <w:t>&gt;</w:t>
      </w:r>
    </w:p>
    <w:p w14:paraId="21129EE1" w14:textId="77777777" w:rsidR="00605B2B" w:rsidRPr="00C94B78" w:rsidRDefault="00605B2B" w:rsidP="00B56F90">
      <w:pPr>
        <w:tabs>
          <w:tab w:val="left" w:leader="dot" w:pos="3481"/>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1000м (мин)</w:t>
      </w:r>
      <w:r w:rsidRPr="00C94B78">
        <w:rPr>
          <w:rFonts w:ascii="Times New Roman" w:hAnsi="Times New Roman"/>
          <w:color w:val="0070C0"/>
          <w:sz w:val="16"/>
          <w:szCs w:val="16"/>
        </w:rPr>
        <w:tab/>
        <w:t>23,2</w:t>
      </w:r>
      <w:r w:rsidRPr="00C94B78">
        <w:rPr>
          <w:rFonts w:ascii="Times New Roman" w:hAnsi="Times New Roman"/>
          <w:color w:val="0070C0"/>
          <w:sz w:val="16"/>
          <w:szCs w:val="16"/>
        </w:rPr>
        <w:fldChar w:fldCharType="end"/>
      </w:r>
    </w:p>
    <w:p w14:paraId="6265D82E" w14:textId="77777777" w:rsidR="00605B2B" w:rsidRPr="00C94B78" w:rsidRDefault="00605B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итоговом заключении указывалось, что У-2ВС №4504 испытания прошел удовлетво</w:t>
      </w:r>
      <w:r w:rsidRPr="00C94B78">
        <w:rPr>
          <w:rFonts w:ascii="Times New Roman" w:hAnsi="Times New Roman"/>
          <w:color w:val="0070C0"/>
          <w:sz w:val="16"/>
          <w:szCs w:val="16"/>
        </w:rPr>
        <w:softHyphen/>
        <w:t>рительно, внесенные конструктивные изме</w:t>
      </w:r>
      <w:r w:rsidRPr="00C94B78">
        <w:rPr>
          <w:rFonts w:ascii="Times New Roman" w:hAnsi="Times New Roman"/>
          <w:color w:val="0070C0"/>
          <w:sz w:val="16"/>
          <w:szCs w:val="16"/>
        </w:rPr>
        <w:softHyphen/>
        <w:t>нения являются целесообразными, а получен</w:t>
      </w:r>
      <w:r w:rsidRPr="00C94B78">
        <w:rPr>
          <w:rFonts w:ascii="Times New Roman" w:hAnsi="Times New Roman"/>
          <w:color w:val="0070C0"/>
          <w:sz w:val="16"/>
          <w:szCs w:val="16"/>
        </w:rPr>
        <w:softHyphen/>
        <w:t>ные летные данные удовлетворяют требова</w:t>
      </w:r>
      <w:r w:rsidRPr="00C94B78">
        <w:rPr>
          <w:rFonts w:ascii="Times New Roman" w:hAnsi="Times New Roman"/>
          <w:color w:val="0070C0"/>
          <w:sz w:val="16"/>
          <w:szCs w:val="16"/>
        </w:rPr>
        <w:softHyphen/>
        <w:t>ниям, предъявляемым к эталону У-2ВС на 1944 год.</w:t>
      </w:r>
    </w:p>
    <w:p w14:paraId="7823509F" w14:textId="77777777" w:rsidR="00605B2B" w:rsidRPr="00C94B78" w:rsidRDefault="00605B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 технике пилотирования У-2ВС №4504 ничем не отличался от серийных У-2, ранее проходивших испытания. Шкворневая уста</w:t>
      </w:r>
      <w:r w:rsidRPr="00C94B78">
        <w:rPr>
          <w:rFonts w:ascii="Times New Roman" w:hAnsi="Times New Roman"/>
          <w:color w:val="0070C0"/>
          <w:sz w:val="16"/>
          <w:szCs w:val="16"/>
        </w:rPr>
        <w:softHyphen/>
        <w:t>новка оказалась удобной в эксплуатации и обеспечивала безотказную стрельбу из пу</w:t>
      </w:r>
      <w:r w:rsidRPr="00C94B78">
        <w:rPr>
          <w:rFonts w:ascii="Times New Roman" w:hAnsi="Times New Roman"/>
          <w:color w:val="0070C0"/>
          <w:sz w:val="16"/>
          <w:szCs w:val="16"/>
        </w:rPr>
        <w:softHyphen/>
        <w:t>лемета в стороны на 68°, вниз с борта 53° и вверх до 60°. Боезапас 630 патронов в 10 ма</w:t>
      </w:r>
      <w:r w:rsidRPr="00C94B78">
        <w:rPr>
          <w:rFonts w:ascii="Times New Roman" w:hAnsi="Times New Roman"/>
          <w:color w:val="0070C0"/>
          <w:sz w:val="16"/>
          <w:szCs w:val="16"/>
        </w:rPr>
        <w:softHyphen/>
        <w:t>газинах посчитали излишним и рекомендова</w:t>
      </w:r>
      <w:r w:rsidRPr="00C94B78">
        <w:rPr>
          <w:rFonts w:ascii="Times New Roman" w:hAnsi="Times New Roman"/>
          <w:color w:val="0070C0"/>
          <w:sz w:val="16"/>
          <w:szCs w:val="16"/>
        </w:rPr>
        <w:softHyphen/>
        <w:t>ли сократить до 315 патронов (5 магазинов). Предлагалось установить лампы УФО для ос</w:t>
      </w:r>
      <w:r w:rsidRPr="00C94B78">
        <w:rPr>
          <w:rFonts w:ascii="Times New Roman" w:hAnsi="Times New Roman"/>
          <w:color w:val="0070C0"/>
          <w:sz w:val="16"/>
          <w:szCs w:val="16"/>
        </w:rPr>
        <w:softHyphen/>
        <w:t>вещения приборной доски, пилотажные при</w:t>
      </w:r>
      <w:r w:rsidRPr="00C94B78">
        <w:rPr>
          <w:rFonts w:ascii="Times New Roman" w:hAnsi="Times New Roman"/>
          <w:color w:val="0070C0"/>
          <w:sz w:val="16"/>
          <w:szCs w:val="16"/>
        </w:rPr>
        <w:softHyphen/>
        <w:t>боры перекомпоновать (в который раз), изме</w:t>
      </w:r>
      <w:r w:rsidRPr="00C94B78">
        <w:rPr>
          <w:rFonts w:ascii="Times New Roman" w:hAnsi="Times New Roman"/>
          <w:color w:val="0070C0"/>
          <w:sz w:val="16"/>
          <w:szCs w:val="16"/>
        </w:rPr>
        <w:softHyphen/>
        <w:t>нить монтаж аккумулятора.</w:t>
      </w:r>
    </w:p>
    <w:p w14:paraId="7DD8E3E3" w14:textId="77777777" w:rsidR="00605B2B" w:rsidRPr="00C94B78" w:rsidRDefault="00605B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У-2 ВС №4504 рекомендовался к постройке как эталон первого полугодия 1944 года для всех четырех заводов при обязательном уст</w:t>
      </w:r>
      <w:r w:rsidRPr="00C94B78">
        <w:rPr>
          <w:rFonts w:ascii="Times New Roman" w:hAnsi="Times New Roman"/>
          <w:color w:val="0070C0"/>
          <w:sz w:val="16"/>
          <w:szCs w:val="16"/>
        </w:rPr>
        <w:softHyphen/>
        <w:t>ранении недостатков и установке шумо-пла- мегасителя ШПГ-2. Заводу №387 предлага</w:t>
      </w:r>
      <w:r w:rsidRPr="00C94B78">
        <w:rPr>
          <w:rFonts w:ascii="Times New Roman" w:hAnsi="Times New Roman"/>
          <w:color w:val="0070C0"/>
          <w:sz w:val="16"/>
          <w:szCs w:val="16"/>
        </w:rPr>
        <w:softHyphen/>
        <w:t>лось продолжить работу по совершенствова</w:t>
      </w:r>
      <w:r w:rsidRPr="00C94B78">
        <w:rPr>
          <w:rFonts w:ascii="Times New Roman" w:hAnsi="Times New Roman"/>
          <w:color w:val="0070C0"/>
          <w:sz w:val="16"/>
          <w:szCs w:val="16"/>
        </w:rPr>
        <w:softHyphen/>
        <w:t>нию самолета и подготовить эталон второго полугодия 1944 года. Предполагалось исполь</w:t>
      </w:r>
      <w:r w:rsidRPr="00C94B78">
        <w:rPr>
          <w:rFonts w:ascii="Times New Roman" w:hAnsi="Times New Roman"/>
          <w:color w:val="0070C0"/>
          <w:sz w:val="16"/>
          <w:szCs w:val="16"/>
        </w:rPr>
        <w:softHyphen/>
        <w:t>зовать форсированный М-11Ф, для уменьше</w:t>
      </w:r>
      <w:r w:rsidRPr="00C94B78">
        <w:rPr>
          <w:rFonts w:ascii="Times New Roman" w:hAnsi="Times New Roman"/>
          <w:color w:val="0070C0"/>
          <w:sz w:val="16"/>
          <w:szCs w:val="16"/>
        </w:rPr>
        <w:softHyphen/>
        <w:t>ния длины пробега и повышения маневренно</w:t>
      </w:r>
      <w:r w:rsidRPr="00C94B78">
        <w:rPr>
          <w:rFonts w:ascii="Times New Roman" w:hAnsi="Times New Roman"/>
          <w:color w:val="0070C0"/>
          <w:sz w:val="16"/>
          <w:szCs w:val="16"/>
        </w:rPr>
        <w:softHyphen/>
        <w:t>сти при рулении основные колеса оборудо</w:t>
      </w:r>
      <w:r w:rsidRPr="00C94B78">
        <w:rPr>
          <w:rFonts w:ascii="Times New Roman" w:hAnsi="Times New Roman"/>
          <w:color w:val="0070C0"/>
          <w:sz w:val="16"/>
          <w:szCs w:val="16"/>
        </w:rPr>
        <w:softHyphen/>
        <w:t>вать тормозами, вместо костыльной пяты ус</w:t>
      </w:r>
      <w:r w:rsidRPr="00C94B78">
        <w:rPr>
          <w:rFonts w:ascii="Times New Roman" w:hAnsi="Times New Roman"/>
          <w:color w:val="0070C0"/>
          <w:sz w:val="16"/>
          <w:szCs w:val="16"/>
        </w:rPr>
        <w:softHyphen/>
        <w:t>тановить костыльное колесо, установить бро- нечашку на сиденье пилота, использовать но</w:t>
      </w:r>
      <w:r w:rsidRPr="00C94B78">
        <w:rPr>
          <w:rFonts w:ascii="Times New Roman" w:hAnsi="Times New Roman"/>
          <w:color w:val="0070C0"/>
          <w:sz w:val="16"/>
          <w:szCs w:val="16"/>
        </w:rPr>
        <w:softHyphen/>
        <w:t>вый бомбардировочный прицел (24969).</w:t>
      </w:r>
    </w:p>
    <w:p w14:paraId="04AB6CAF" w14:textId="77777777" w:rsidR="00605B2B" w:rsidRPr="00C94B78" w:rsidRDefault="00605B2B" w:rsidP="00B56F90">
      <w:pPr>
        <w:spacing w:after="0" w:line="240" w:lineRule="auto"/>
        <w:jc w:val="both"/>
        <w:rPr>
          <w:rFonts w:ascii="Times New Roman" w:hAnsi="Times New Roman"/>
          <w:color w:val="0070C0"/>
          <w:sz w:val="16"/>
          <w:szCs w:val="16"/>
        </w:rPr>
      </w:pPr>
    </w:p>
    <w:p w14:paraId="7F1D28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февраля 1944 года был утвержден Устав завода № 355 НКВ</w:t>
      </w:r>
    </w:p>
    <w:p w14:paraId="1C94FF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355 является действующим заводом на новой базе. Когда завод находился на старой базе (Загорск) его Устав утвержден еще не был и этот завод до сих пор не зарегистрирован (9279).</w:t>
      </w:r>
    </w:p>
    <w:p w14:paraId="1B1FF6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40174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февраля 1944 вышло Распоряжение ГКО № 5213. О поставке НКВМФ оборудования для аэростатных частей. РГАНИР, Фонд ГКО, д. 210, лл. 139-140,141-142 (11012).</w:t>
      </w:r>
    </w:p>
    <w:p w14:paraId="19CA51B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1ADBF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февраля 1944 года:</w:t>
      </w:r>
    </w:p>
    <w:p w14:paraId="0199AD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«ВЫПИСКА управление кадров ЦК ВКП(б).</w:t>
      </w:r>
    </w:p>
    <w:p w14:paraId="7F9D4E6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Совещание о работе научно-исследовательского института-3 при СНК СССР</w:t>
      </w:r>
    </w:p>
    <w:p w14:paraId="50D6F44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февраля 1944 года.</w:t>
      </w:r>
    </w:p>
    <w:p w14:paraId="616512B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АРТЕМЬЕВ:... и вот первый год был приглашен работающий в то время у профессора ФИЛИППОВА ЛАНГЕМАК. Он в качестве подсобного работника работал для помощи во всякого рода вычислениях.</w:t>
      </w:r>
    </w:p>
    <w:p w14:paraId="7D8AE92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БУДНИКОВ: у профессора ФИЛИППОВА он кем работал?</w:t>
      </w:r>
    </w:p>
    <w:p w14:paraId="551FDA6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АРТЕМЬЕВ: он был слушателем артиллерийской академии, он выполнял какую-то тему у профессора ФИЛИППОВА.</w:t>
      </w:r>
    </w:p>
    <w:p w14:paraId="420B96A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ГАЙДУКОВ: когда получились снаряды М-8, М-152?</w:t>
      </w:r>
      <w:r w:rsidRPr="00070ADE">
        <w:rPr>
          <w:rFonts w:ascii="Times New Roman" w:hAnsi="Times New Roman"/>
          <w:color w:val="000000" w:themeColor="text1"/>
          <w:sz w:val="16"/>
          <w:szCs w:val="16"/>
          <w:vertAlign w:val="superscript"/>
        </w:rPr>
        <w:t>9</w:t>
      </w:r>
    </w:p>
    <w:p w14:paraId="519EBB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ГОЛОС: М-13 не было, а первый снаряд, который пошел на вооружение, появился в 1933 году. Это были первые образцы типа 8...</w:t>
      </w:r>
    </w:p>
    <w:p w14:paraId="518D6C2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ГАЙДУКОВ: Лангемак на вращающихся настаивал?</w:t>
      </w:r>
    </w:p>
    <w:p w14:paraId="397C12C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АРТЕМЬЕВ: они настаивали потому, что они считались авторами этого дела, по-видимому, это служило одним из мотивов, они работали над ним около 3 лет,</w:t>
      </w:r>
    </w:p>
    <w:p w14:paraId="67E83B1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ГАЙДУКОВ: кто же в то время (1932 г.) занимался 82-мм снарядами?</w:t>
      </w:r>
    </w:p>
    <w:p w14:paraId="5330F94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 ЛАНГЕМАК, ПОЙДА, ШВАРЦ.</w:t>
      </w:r>
    </w:p>
    <w:p w14:paraId="18D779D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ГАЙДУКОВ: какую роль сыграл ЛАНГЕМАК?</w:t>
      </w:r>
    </w:p>
    <w:p w14:paraId="1D6A530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 ЛАНГЕМАК сыграл большую роль.</w:t>
      </w:r>
    </w:p>
    <w:p w14:paraId="12FEE05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ГАЙДУКОВ: он был главным инженером?</w:t>
      </w:r>
    </w:p>
    <w:p w14:paraId="56F081E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 да, с 1934 года».</w:t>
      </w:r>
    </w:p>
    <w:p w14:paraId="63B46C2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Итак, названы фамилии трех инженеров, вплотную занимавшихся созданием реактивных снарядов. Что касается Федора Николаевича Пойды, то он в дальнейшем или сам устранился от этой темы, или же его другие «отодвинули». По крайней мере, при его допросе (в качестве свидетеля) 26 февраля 1944 года речь шла только о присвоении Костиковым и Аборенковым чужого изобретения. Сам же Пойда к тему времени, судя по протоколу допроса, работал в другом научно-исследовательском институте. Леонид Эмильевич Шварц продолжал работать в НИИ-3 и после ареста И. Т. Клейменова и Г. Э. Лангемака. Хотя в показаниях арестованных, в частности Клейменова, он и назывался участником контрреволюционной группы, но к уголовной ответственности не привлекался. В 1944 году Шварц с группой конструкторов попал в авиакатастрофу и погиб. Участником создания «катюши» в те годы он тоже официально не считался. Точно так же, как и Георгий Эрихович Лангемак, названный первым, и вполне заслуженно, в этой тройке. Он был артиллеристом, можно сказать, профессионалом, имел большой боевой и конструкторский стаж (11912).</w:t>
      </w:r>
    </w:p>
    <w:p w14:paraId="1BA53FC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D8D611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23D232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EE0A3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 фе</w:t>
      </w:r>
      <w:r w:rsidRPr="00070ADE">
        <w:rPr>
          <w:rFonts w:ascii="Times New Roman" w:hAnsi="Times New Roman"/>
          <w:color w:val="000000" w:themeColor="text1"/>
          <w:sz w:val="16"/>
          <w:szCs w:val="16"/>
        </w:rPr>
        <w:softHyphen/>
        <w:t>враля по 5 марта того же года один из трех (№ 2) Т-44 (первой модификации) прошел испытания на НИБТ полигоне, в результате которых было выявлено много конструктивных недостатков машины. Па вооружение танк не принимался и в серийном производстве не состоял. Явился прототипом танка Т-44 (второй модификации) (10703).</w:t>
      </w:r>
    </w:p>
    <w:p w14:paraId="340A6F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10E208" w14:textId="77777777" w:rsidR="003118D9" w:rsidRPr="00070ADE" w:rsidRDefault="003118D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 февраля 1944 г. начались и завершились точно в указанный в приказе срок – 3 марта 1944 г. НИБТ Полигон в подмосковной Кубинке полигонные испытания опытного образца танка Т-44, изготовленного на заводе № 183В заключительной части отчета, составленного по итогам проведенных полигонных испытаний и подписанного Е.А. Кульчицким 4 марта 1944 г., было записано:</w:t>
      </w:r>
    </w:p>
    <w:p w14:paraId="10BC18BD" w14:textId="77777777" w:rsidR="003118D9" w:rsidRPr="00070ADE" w:rsidRDefault="003118D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проведенных испытаний комиссия считает:</w:t>
      </w:r>
    </w:p>
    <w:p w14:paraId="1B0DB73F" w14:textId="77777777" w:rsidR="003118D9" w:rsidRPr="00070ADE" w:rsidRDefault="003118D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Танк Т-44 по своим боевым качествам превосходит состоящий на вооружении Красной Армии танк Т-34.</w:t>
      </w:r>
    </w:p>
    <w:p w14:paraId="783BA248" w14:textId="77777777" w:rsidR="003118D9" w:rsidRPr="00070ADE" w:rsidRDefault="003118D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Выявленные в процессе испытаний дефекты танка Т-44 могут быть устранены месячный срок.</w:t>
      </w:r>
    </w:p>
    <w:p w14:paraId="22CD9F6A" w14:textId="77777777" w:rsidR="003118D9" w:rsidRPr="00070ADE" w:rsidRDefault="003118D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Учитывая острую необходимость в вооружении Красной Армии новым средним танком, комиссия считает необходимым обязать НКТП изготовить в месячный срок танк Т-44 с устраненными дефектами и предъявить его на повторные испытания».</w:t>
      </w:r>
    </w:p>
    <w:p w14:paraId="456977B4" w14:textId="77777777" w:rsidR="003118D9" w:rsidRPr="00070ADE" w:rsidRDefault="003118D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2360. Л. 135] (21209).</w:t>
      </w:r>
    </w:p>
    <w:p w14:paraId="7A221831" w14:textId="77777777" w:rsidR="003118D9" w:rsidRPr="00070ADE" w:rsidRDefault="003118D9" w:rsidP="00B56F90">
      <w:pPr>
        <w:spacing w:after="0" w:line="240" w:lineRule="auto"/>
        <w:jc w:val="both"/>
        <w:rPr>
          <w:rFonts w:ascii="Times New Roman" w:hAnsi="Times New Roman"/>
          <w:color w:val="000000" w:themeColor="text1"/>
          <w:sz w:val="16"/>
          <w:szCs w:val="16"/>
        </w:rPr>
      </w:pPr>
    </w:p>
    <w:p w14:paraId="25CDFF74" w14:textId="77777777" w:rsidR="00031E6D" w:rsidRPr="00C94B78" w:rsidRDefault="00031E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19 февраля по 5 мар</w:t>
      </w:r>
      <w:r w:rsidRPr="00C94B78">
        <w:rPr>
          <w:rFonts w:ascii="Times New Roman" w:hAnsi="Times New Roman"/>
          <w:color w:val="0070C0"/>
          <w:sz w:val="16"/>
          <w:szCs w:val="16"/>
        </w:rPr>
        <w:softHyphen/>
        <w:t>та 1944 года на НИБТ полигоне прошли испытания трех «сорокчетверок». При этом в конструкции танков выявилось большое количество конструк</w:t>
      </w:r>
      <w:r w:rsidRPr="00C94B78">
        <w:rPr>
          <w:rFonts w:ascii="Times New Roman" w:hAnsi="Times New Roman"/>
          <w:color w:val="0070C0"/>
          <w:sz w:val="16"/>
          <w:szCs w:val="16"/>
        </w:rPr>
        <w:softHyphen/>
        <w:t>тивных недостатков и недоработок.</w:t>
      </w:r>
    </w:p>
    <w:p w14:paraId="6ACDBF95" w14:textId="77777777" w:rsidR="00031E6D" w:rsidRPr="00C94B78" w:rsidRDefault="00031E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После обсуждения результатов испыта</w:t>
      </w:r>
      <w:r w:rsidRPr="00C94B78">
        <w:rPr>
          <w:rFonts w:ascii="Times New Roman" w:hAnsi="Times New Roman"/>
          <w:color w:val="0070C0"/>
          <w:sz w:val="16"/>
          <w:szCs w:val="16"/>
        </w:rPr>
        <w:softHyphen/>
        <w:t>ний первых опытных образцов Т-44 был на</w:t>
      </w:r>
      <w:r w:rsidRPr="00C94B78">
        <w:rPr>
          <w:rFonts w:ascii="Times New Roman" w:hAnsi="Times New Roman"/>
          <w:color w:val="0070C0"/>
          <w:sz w:val="16"/>
          <w:szCs w:val="16"/>
        </w:rPr>
        <w:softHyphen/>
        <w:t>мечен перечень необходимых изменений в конструкции танка, основными из которых были: улучшение температурного режима работы двигателя, повышение надежности привода вентилятора и входного редуктора трансмиссии, установка воздухоочистителей «Мультициклон», установка новой плане</w:t>
      </w:r>
      <w:r w:rsidRPr="00C94B78">
        <w:rPr>
          <w:rFonts w:ascii="Times New Roman" w:hAnsi="Times New Roman"/>
          <w:color w:val="0070C0"/>
          <w:sz w:val="16"/>
          <w:szCs w:val="16"/>
        </w:rPr>
        <w:softHyphen/>
        <w:t>тарной трансмиссии, усиление бронирова</w:t>
      </w:r>
      <w:r w:rsidRPr="00C94B78">
        <w:rPr>
          <w:rFonts w:ascii="Times New Roman" w:hAnsi="Times New Roman"/>
          <w:color w:val="0070C0"/>
          <w:sz w:val="16"/>
          <w:szCs w:val="16"/>
        </w:rPr>
        <w:softHyphen/>
        <w:t>ния лобовой части корпуса и ряд других (25012).</w:t>
      </w:r>
    </w:p>
    <w:p w14:paraId="723BAB0A" w14:textId="77777777" w:rsidR="00031E6D" w:rsidRPr="00C94B78" w:rsidRDefault="00031E6D" w:rsidP="00B56F90">
      <w:pPr>
        <w:spacing w:after="0" w:line="240" w:lineRule="auto"/>
        <w:jc w:val="both"/>
        <w:rPr>
          <w:rFonts w:ascii="Times New Roman" w:hAnsi="Times New Roman"/>
          <w:color w:val="0070C0"/>
          <w:sz w:val="16"/>
          <w:szCs w:val="16"/>
        </w:rPr>
      </w:pPr>
    </w:p>
    <w:p w14:paraId="761D9ED5" w14:textId="77777777" w:rsidR="00031E6D" w:rsidRPr="00C94B78" w:rsidRDefault="00031E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19 февраля 1944 г. начались испытания второго опытного образца Т-44. За период полигонных испытаний машина преодолела 1022 километра. В связи с ускоренным характером испытаний традиционного изучения дефектных агрегатов не производилось, дело ограничилось внешним осмотром. Следует также отметить, что данные по танку брались из заводского отчета, хотя масса танка с башней, имевшей погон диаметром 1600 мм, была явно меньше, чем у первого опытного образца. Техническое описание машины также базировалось на заводском отчете.</w:t>
      </w:r>
    </w:p>
    <w:p w14:paraId="6963497D" w14:textId="77777777" w:rsidR="00031E6D" w:rsidRPr="00C94B78" w:rsidRDefault="00031E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ходе проведения полигонных испытаний второй опытный образец прошел 387 километров по шоссе, 520 по проселку и 105 по целине. В виду того, что испытания проходили в самый конец зимы, погода способствовала ухудшению дорожных условий. Тем не менее, в ходе выявления максимальной скорости было получено среднее значение 52,6 км/ч. Испытатели указывали, что при лучших дорожных условиях максимальная скорость могла быть еще выше. В ходе езды по шоссе, покрытое снегом, средняя скорость движения составила 35 км/ч, при этом она могла быть еще выше. Ограничивающим фактором стал перегрев масла. Расход топлива при этом составил 208 литров на 100 километров. Тяжелые условия на проселке стали причиной невысокой средней скорости – 16,1 км/ч, а расход топлива вырос до 268 литров на 100 километров. Наконец, по целине средняя скорость составила 11,4 км/ч, а расход топлива – 520 литров на 100 километров.</w:t>
      </w:r>
    </w:p>
    <w:p w14:paraId="210720D8" w14:textId="77777777" w:rsidR="00031E6D" w:rsidRPr="00C94B78" w:rsidRDefault="00031E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 ход испытаний прямым образом влияли тяжелые походные условия. Особенно это касалось преодоления препятствий. Мерзлый грунт, покрытый толстой коркой снега со льдом, не позволил преодолеть подъем под углом даже 20 градусов. При установке шпор танк прошел подъем 25 градусов. Дальше снова не хватало сцепления с грунтом. Это примерно соответствовало данным Т-34. Максимальный угол преодолеваемого крена при езде по косогорам составил 15-16 градусов, дальше машина начинала сползать.</w:t>
      </w:r>
    </w:p>
    <w:p w14:paraId="2983CF8B" w14:textId="77777777" w:rsidR="00031E6D" w:rsidRPr="00C94B78" w:rsidRDefault="00031E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Также на НИБТ Полигоне было решено определить центр тяжести машины. Выяснилось, что центр тяжести сместился назад, причем довольно сильно. Это влияло на ходовые качества танка на бездорожье. Кроме того, масса нареканий была высказана в отношении системы охлаждения. Обдув двигателя и масляного холодным воздухом оказался недостаточен, кроме того, масляный бак находился рядом с выхлопной системой, которая его дополнительно нагревала. В результате температура масла, даже в зимне-весенних условиях, достигала 110 градусов. В ходе испытаний наблюдались проблемы с приводом вентилятора, который неоднократно ломался. Имелись претензии к надежности работы гитары (привод от двигателя к КПП) и бортовым редукторам. Никуда не делась и главная проблема машин с ходовой Т-34 – разрушение резиновых бандажей опорных катков.</w:t>
      </w:r>
    </w:p>
    <w:p w14:paraId="40BDCF81" w14:textId="77777777" w:rsidR="00031E6D" w:rsidRPr="00C94B78" w:rsidRDefault="00031E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Набралось немало нареканий и к местам размещения экипажа. Размещение механика-водителя в будке улучшило обзорность, но хватало нюансов. При закрытых люках, включая передний смотровой лючок, обзорность резко ухудшалась. Также не очень удачной оказалась и установка курсового пулемета справа от механика-водителя. Отмечалось, что пулемет мешал переключению передач. На месте командира указывалось на слишком низкое расположение сиденья и частичное перекрытие обзора смотровых приборов командирской башенки колпаком вентилятора и перископом наводчика. Сиденье наводчика размещалось с сильным наклоном влево, ряд нареканий отмечалось к работе электрического привода поворота башни. У заряжающего и вовсе не было сиденья.</w:t>
      </w:r>
    </w:p>
    <w:p w14:paraId="4CCE50B1" w14:textId="77777777" w:rsidR="00031E6D" w:rsidRPr="00C94B78" w:rsidRDefault="00031E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Испытания стрельбой показали, что максимальная скорострельность составляет 10 выстрелов в минуту. Впрочем, средняя прицельная скорострельность была ниже – 4-5 выстрелов в минуту. При этом отмечалось, что удобно работать было только с башенной укладкой. Одним словом, выводы по Т-44 были сделаны неоднозначными. С одной стороны, танк выглядел перспективно, с другой же, явно получился «сырым». Также требовалось внести ряд улучшений, связанных с обслуживанием танка. Впрочем, как выяснилось дальше, у НИБТ Полигона выводы оказались довольно мягкими (25486).</w:t>
      </w:r>
    </w:p>
    <w:p w14:paraId="21FA856C" w14:textId="77777777" w:rsidR="00031E6D" w:rsidRPr="00C94B78" w:rsidRDefault="00031E6D" w:rsidP="00B56F90">
      <w:pPr>
        <w:spacing w:after="0" w:line="240" w:lineRule="auto"/>
        <w:jc w:val="both"/>
        <w:rPr>
          <w:rFonts w:ascii="Times New Roman" w:hAnsi="Times New Roman"/>
          <w:color w:val="0070C0"/>
          <w:sz w:val="16"/>
          <w:szCs w:val="16"/>
        </w:rPr>
      </w:pPr>
    </w:p>
    <w:p w14:paraId="37F444B8" w14:textId="77777777" w:rsidR="00875F54" w:rsidRPr="00070ADE" w:rsidRDefault="00875F5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февраля 1944 г. вышел приказ наркома танковой промышленности В.А.Малышева, где подробно были разъяснены меры по немедленной модернизации брони Т-34 с расширенным погоном. Во-первых, резко возрастало бронирование лба корпуса и передних боковых стенок башни - до 75 мм, а бронировка люка механика-водителя и защиты пулемета - до 90 мм. Увеличение веса должно было компенсироваться снижением бронирования на 5—10 мм днища, крыши, нижнего кормового листа и других второстепенных элементов корпуса. Во-вторых, необходимо было повысить надежность трансмиссии танка за счет изменения настроек коробки перемены передач, бортовых передач и т. д. Третье изменение касалось пожарной безопасности машины: требовалось отработать перенос топливных баков из моторного и боевого отделений на кормовую часть[1013]. Таким образом, на этом этапе был выбран некий смешанный вариант нового бронирования среднего танка, фактически включавший все предложения ЦНИИ-48 в части усиления толщины корпуса.</w:t>
      </w:r>
    </w:p>
    <w:p w14:paraId="30FD197E" w14:textId="77777777" w:rsidR="00875F54" w:rsidRPr="00070ADE" w:rsidRDefault="00875F5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 поставил предельно жесткие сроки. Уже к 1 марта УТЗ должен был выдать всю необходимую техдокументацию заводам, занятым в производстве Т-34: № 50, 112, 174 и УЗТМ. Завод № 183 должен был изготовить два опытных образца к 15 марта и испытать их до 22 марта, заводы №№ 112 и 174 - к 25 марта изготовить по одному новому танку по чертежам завода № 183. Но самое интересное, что всем директорам обозначенных заводов необходимо было, не дожидаясь результатов испытаний, сразу же после получения чертежей приступить к подготовке техпроцесса[1014]. Это был довольно странный приказ, и реальных последствий он не имел. В таком виде модернизация Т-34 не была осуществлена.</w:t>
      </w:r>
    </w:p>
    <w:p w14:paraId="78C7B7A8" w14:textId="77777777" w:rsidR="00875F54" w:rsidRPr="00070ADE" w:rsidRDefault="00875F5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итоге был выбран первый вариант ЦНИИ-48 - как самый дешевый и простой при реализации, поскольку второй вариант предусматривал увеличение толщины лобового листа (что было затруднительно уже само по себе - см. на проект Т-43) и не давал принципиальных преимуществ. Тем более невозможен был смешанный вариант, содержащийся в февральском приказе В. А. Малышева: усиление всей башни и лба корпуса.</w:t>
      </w:r>
    </w:p>
    <w:p w14:paraId="20DDB3C6" w14:textId="77777777" w:rsidR="00875F54" w:rsidRPr="00070ADE" w:rsidRDefault="00875F5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Именно так на свет появился Т-34-85 с более мощной 85-миллиметровой пушкой. На танке установили литую башню с толщиной брони в лобовой проекции 90 мм, по типу башни Т-43. Тем более что технологический процесс и ее конструкция в целом уже были отработаны специалистами Броневого института, которые в 1943 г. в рамках работ по созданию литой брони высокой твердости для тяжелых танков ряд изысканий вели по литым башням Т-43[1015]. Новая башня имела дифференцированную броню: лоб - 90 мм, борт - 75 мм, корма - 52 мм. По данным исследователя С.В. Устьянцева, к концу февраля 1944 г. технология производства новой башни и все работы по монтажу оборудования на заводе № 183 были закончены[1016].</w:t>
      </w:r>
    </w:p>
    <w:p w14:paraId="744683A0" w14:textId="77777777" w:rsidR="00875F54" w:rsidRPr="00070ADE" w:rsidRDefault="00875F5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было единственно возможное усиление бронирования среднего танка. Изготовить новую литую башню не составляло большого труда (по сравнению с организацией массового производства 75-миллиметровых броневых листов): ее могли делать и впоследствии делали все бронекорпусные производства заводов № 112, 174, 183. Правда, и здесь не обошлось без недостатков. Новый вариант Т-34 был разработан и принят без настоятельной рекомендации ЦНИИ-48 об изыскании возможности облегчить существующую конструкцию корпуса. Если быть точным, то вес бронекорпуса без башни все же несколько снизился - с 11,5 тонн до 11,35 тонн. Тогда как вес башни (без вооружения) увеличился с 3,14 до 4,56 тонн[1017]. Другими словами, новая башня дала танку более 1,5 тонн нового веса, а массу корпуса (без башни) удалось уменьшить всего на</w:t>
      </w:r>
    </w:p>
    <w:p w14:paraId="50348304" w14:textId="77777777" w:rsidR="00875F54" w:rsidRPr="00070ADE" w:rsidRDefault="00875F5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 кг! Напомним, что ЦНИИ-48 в качестве одного из радикальных вариантов модернизации Т-34 предложил оставить на Т-34 только легкую броню, поскольку в этом случае его выживаемость увеличится за счет повышенной маневренности. Конструкция танка уже в 1943 г. была предельно перегружена, что привело к недостаточной скорости.</w:t>
      </w:r>
    </w:p>
    <w:p w14:paraId="09930DE4" w14:textId="77777777" w:rsidR="00875F54" w:rsidRPr="00070ADE" w:rsidRDefault="00875F5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среди исследователей нет единого мнения об изменениях весовых характеристик Т-34. С.В. Устьянцев и Д.Г. Колмаков считают, что с 1943 по 1944 г. (т. е. Т-34 и Т-34-85) вес танка увеличился с 31,4 до 33 тонн[1018]. Авторы коллективной работы «Неизвестный Т-34» называют несколько иные данные: с 30,9 до 32,2— 32,5 тонны[1019]. М. Барятинский увеличивает вес с 30,9 до 32 тонн[1020]. Но в любом случае весовые характеристики модернизированного танка снова были повышены более чем на тонну (как раз разница в весе, указанная нами), а значит, скорость и маневренность вновь несколько снизились, что шло вразрез с рекомендациями специалистов Броневого института. Новый вариант модернизации только усилил эти недостатки.</w:t>
      </w:r>
    </w:p>
    <w:p w14:paraId="6988AAB5" w14:textId="77777777" w:rsidR="00875F54" w:rsidRPr="00070ADE" w:rsidRDefault="00875F5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1938-1939 гг. прототип нового среднего танка - Т-32 проектировался с учетом веса 19 тонн[1021]. Уже после принятия на вооружение и начала серийного производства вес Т-34 постоянно увеличивался все годы выпуска, достигнув в итоге 32-33 тонн. Но подвеска и мощность двигателя за это время фактически не изменились. Более того, необходимо учитывать, что двигатель В-2 первоначально разрабатывался для быстроходного танка БТ, который, в зависимости от модификации, весил от 11 до 14 тонн. Таким образом, к концу войны разница между проектным и реальным весом Т-34 составила 12 тонн или более, но мощность двигателя и характеристики подвески не изменились.</w:t>
      </w:r>
    </w:p>
    <w:p w14:paraId="3B09DB83" w14:textId="77777777" w:rsidR="00875F54" w:rsidRPr="00070ADE" w:rsidRDefault="00875F5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полностью внедрить новую башню и отменить в производстве старую оказалось не так просто. Изначально только к лету 1944 г. планировалось перейти на производство новой модификации на всех заводах. Но и этот срок оказался невыполнимым. В конце марта 1944 г. нарком танковой промышленности приказал утвердить новые сроки перехода омского завода № 174 на выпуск Т-34 с новыми пушками. В апреле необходимо было изготовить первые 15 танков с пушкой С-53, но установленной в штатный погон. С мая предписывалось выпускать Т-34 только с новыми пушками. Переход на новые башни должен был затянуться до сентября 1944 г.: в мае необходимо было изготовить 25 танков с новыми башнями с погоном 1600 мм, в июне - 50, в июле - 75, в августе - 100, с сентября - полностью (150 танков). С 10 июля завод должен был прекратить отливку старых башен[1022]. Следовательно, вплоть до августа 1944 г. завод № 174 продолжал выпускать Т-34 с новой пушкой, но старой башней.</w:t>
      </w:r>
    </w:p>
    <w:p w14:paraId="043710CD" w14:textId="77777777" w:rsidR="00875F54" w:rsidRPr="00070ADE" w:rsidRDefault="00875F5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Новая 85-миллиметровая пушка Т-34 только калибром могла быть сравнима с немецкими 75- и 88-миллиметровыми аналогами. В реальности она значительно уступала по бронепробиваемости немецким системам. Немецкие снаряды 75 и 88 мм имели лучшие показатели по пробитию брони даже при более низком весе и на более низких скоростях. ЦНИИ-48 к концу 1943 г. предоставил результаты сравнительных испытаний советских и немецких противотанковых снарядов, которые он проводил в течение года на полигоне свердловского завода № 9 НКВ и Гороховецком полигоне. Снаряды испытывались по одинаковым броневым плитам БСТ и БВТ толщиной 75 и 90 мм. В результате выяснилось, что немецкие 75- и 88-миллиметровые снаряды обладают возможностью пробивать броню на 30-40 % толще, чем советские 85-милиметровые. Преимущество немецких снарядов заключалось в более совершенной конструкции и подборе марок стали. В отличие от тупоголовых советских аналогов, немецкие снаряды имели остроконечную форму головной части, которая была упрочнена напаянным бронебойным наконечником. А в ряде случаев встречалась головная часть из высоко-углеродистой специальной стали, закаленной на высокую твердость. Но начать новое серийное снарядное производство советской промышленности, по мнению представителей Броневого института, не позволял парк имеющихся металлообрабатывающих станков[1023].</w:t>
      </w:r>
    </w:p>
    <w:p w14:paraId="4F8C44A4" w14:textId="77777777" w:rsidR="00875F54" w:rsidRPr="00070ADE" w:rsidRDefault="00875F5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Поэтому в реальности Т-34-85 получил артиллерийскую систему с характеристиками, безусловно, лучше, чем у «старой» 76,2-миллиметровой пушки, но танк (как и советская противотанковая пушка соответствующего калибра) продолжал уступать в бронепробиваемости немецким 75- и 88</w:t>
      </w:r>
      <w:r w:rsidRPr="00070ADE">
        <w:rPr>
          <w:rFonts w:ascii="Times New Roman" w:hAnsi="Times New Roman"/>
          <w:color w:val="000000" w:themeColor="text1"/>
          <w:sz w:val="16"/>
          <w:szCs w:val="16"/>
        </w:rPr>
        <w:softHyphen/>
        <w:t>миллиметровым противотанковым и танковым пушкам. Именно в силу этих особенностей советские конструкторы вынуждены были проектировать во второй половине войны противотанковые артиллерийские системы повышенного калибра. Так на свет появились 100- и 122-миллиметровые противотанковые пушки для самоходной и полевой артиллерии (23536).</w:t>
      </w:r>
    </w:p>
    <w:p w14:paraId="53321BF2" w14:textId="77777777" w:rsidR="00875F54" w:rsidRPr="00070ADE" w:rsidRDefault="00875F54" w:rsidP="00B56F90">
      <w:pPr>
        <w:spacing w:after="0" w:line="240" w:lineRule="auto"/>
        <w:jc w:val="both"/>
        <w:rPr>
          <w:rFonts w:ascii="Times New Roman" w:hAnsi="Times New Roman"/>
          <w:color w:val="000000" w:themeColor="text1"/>
          <w:sz w:val="16"/>
          <w:szCs w:val="16"/>
        </w:rPr>
      </w:pPr>
    </w:p>
    <w:p w14:paraId="0F611F6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февраля 1944 г. была подготовлена ДОКЛАДНАЯ ЗАПИСКА КОМАНДУЮЩЕГО БТ и МВ КА И НАЧАЛЬНИКА ГАУ КА В ГОСУДАРСТВЕННЫЙ КОМИТЕТ ОБОРОНЫ О РЕЗУЛЬТАТАХ ИСПЫТАНИЯ 85-мм ТАНКОВЫХ ПУШЕК С-53</w:t>
      </w:r>
    </w:p>
    <w:p w14:paraId="1BFDBF5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Докладываем о результатах испытания 85-мм танковых пушек С-53 серийного изготовления завода №92.</w:t>
      </w:r>
    </w:p>
    <w:p w14:paraId="70A1D3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февраля с.г. на Гороховецком АНИОПе в присутствии специальной комиссии были проведены испытания двух головных образцов 85-мм танковой пушки С-53 серийного производства завода №92.</w:t>
      </w:r>
    </w:p>
    <w:p w14:paraId="0B361BB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 пушка была установлена в танк Т-34 со штатной башней, а другая в танк Т-34 с расширен</w:t>
      </w:r>
      <w:r w:rsidRPr="00070ADE">
        <w:rPr>
          <w:rFonts w:ascii="Times New Roman" w:hAnsi="Times New Roman"/>
          <w:color w:val="000000" w:themeColor="text1"/>
          <w:sz w:val="16"/>
          <w:szCs w:val="16"/>
        </w:rPr>
        <w:softHyphen/>
        <w:t>ной башней.</w:t>
      </w:r>
    </w:p>
    <w:p w14:paraId="35D2AE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полигонных испытаний комиссия пришла к заключению, что пушка испытания выдержала.</w:t>
      </w:r>
    </w:p>
    <w:p w14:paraId="6E7C341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на испытаниях было установлено, что серийные пушки С-53 и установка этих пушек в башнях танков Т-34 имеет дефекты, которые необходимо устранить при изготовлении пушек и танков Т-34-85, вооруженных пушками С-53.</w:t>
      </w:r>
    </w:p>
    <w:p w14:paraId="2DE84CC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Одновременно комиссия отметила преимущества размещения пушки С-53 в расширенной башне по сравнению с размещением этой пушки в старой башне.</w:t>
      </w:r>
    </w:p>
    <w:p w14:paraId="43D614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Расширенная башня позволяет удобно разместить командира, освобожденного от обязанностей наводчика, осуществляющего круговое наблюдение и корректировку огня. Скорострельность из пушки С-53, установленной в расширенной башне, значительно выше.</w:t>
      </w:r>
    </w:p>
    <w:p w14:paraId="06E62A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обеспечения надежной работы 85-мм танковых пушек С-53 необходимо обязать НКВ (т. Устинова) и НКТП (т. Малышева) в ближайшее время, при выпуске первой партии пушек С-53 и танков Т-34-85, вооруженных этой пушкой, устранить дефекты, указанные в заключении комиссии по испытаниям.</w:t>
      </w:r>
    </w:p>
    <w:p w14:paraId="4702889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Перечень мероприятий по устранению выявленных дефектов сообщен тт. Устинову и Малышеву.</w:t>
      </w:r>
    </w:p>
    <w:p w14:paraId="473E49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Представляю заключение комиссии по испытаниям.</w:t>
      </w:r>
    </w:p>
    <w:p w14:paraId="3B89C1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Ваших указаний т. Устинову и т. Малышеву.</w:t>
      </w:r>
    </w:p>
    <w:p w14:paraId="2ECA6A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БТ и МВ Красной Армии генерал-полковник танковых войск Федоренко</w:t>
      </w:r>
    </w:p>
    <w:p w14:paraId="266AC99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ГАУ Красной Армии генерал-полковник артиллерии Яковлев</w:t>
      </w:r>
    </w:p>
    <w:p w14:paraId="69C534F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11369. Д. 496. Л. 7. Копия (11403).</w:t>
      </w:r>
    </w:p>
    <w:p w14:paraId="4D8D087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68BCF2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февраля 1944 вышло Постановление ГКО № 5206 О мероприятиях по обеспечению монтажа и пуска в эксплуатацию турбокислотной установки системы академика Капицы производительностью 2000 литров в час на объекте № 2 в г. Балашихе Глававтогена Наркомтяжмаша. РГАНИР, Фонд ГКО, д. 210, лл. 106-107,108-131 (11012).</w:t>
      </w:r>
    </w:p>
    <w:p w14:paraId="2C96A49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A343E9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февраля 1944 вышло Распоряжение ГКО № 5207. О мобилизации 600 военнообязанных местных национальностей, не годных к строевой службе, в Узбекской ССР и направлении их на хлопкоочистительные заводы НКсовхозов УзССР. РГАНИР, Фонд ГКО, д. 210, лл. 132 (11012).</w:t>
      </w:r>
    </w:p>
    <w:p w14:paraId="31531B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C51D64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февраля 1944 вышло Постановление ГКО № 5208 О выделении НККХ РСФСР 5 грузовых автомашин для подвоза угля Иркутской электростанции. РГАНИР, Фонд ГКО, д. 210, лл. 133 (11012).</w:t>
      </w:r>
    </w:p>
    <w:p w14:paraId="4A9591F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70EAC5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февраля 1944 вышло Постановление ГКО № 5209 Об организации производства древесного креолина на лесохимических предприятиях Наркомлеса СССР. РГАНИР, Фонд ГКО, д. 210, лл. 134 (11012).</w:t>
      </w:r>
    </w:p>
    <w:p w14:paraId="38F5809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D53AAB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февраля 1944 вышло Распоряжение ГКО № 5210. О проведении изыскательских работ и разработки проекта ГЭС на р. Вятке Татарской АССР. РГАНИР, Фонд ГКО, д. 210, лл. 135 (11012).</w:t>
      </w:r>
    </w:p>
    <w:p w14:paraId="4DC8808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FF86DC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19 февраля 1944 вышло Распоряжение ГКО № 5211 [Об отнесении расходов по обеспечению всеми видами довольствия офицеров, работающих в Комитете по делам высшей школы при СНК СССР, за счет комитета.] (7190, 136).</w:t>
      </w:r>
    </w:p>
    <w:p w14:paraId="18991D6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08C5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февраля 1944 вышло Распоряжение ГКО № 5212. О расширении выпуска сельхозинвентаря и запасных частей к тракторам на Чистопольском заводе НКАТ РСФСР. РГАНИР, Фонд ГКО, д. 210, лл. 137-138 (11012).</w:t>
      </w:r>
    </w:p>
    <w:p w14:paraId="7C98AF0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87F4E7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февраля 1944 вышло Распоряжение ГКО № 5214. О мерах по обеспечению ввода в действие в 1944 г. пусковых объектов Узбекского металлургического завода НКЧМ. РГАНИР, Фонд ГКО, д. 210, лл. 143-146,147-149 (11012).</w:t>
      </w:r>
    </w:p>
    <w:p w14:paraId="16F1608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510F13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февраля 1944 вышло Постановление ГКО № 5215 О добыче торфа и подготовке предприятий Наркомата электростанций к торфосезону 1944 г. (7190, 150-159,160-192).</w:t>
      </w:r>
    </w:p>
    <w:p w14:paraId="36027A1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1367A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февраля 1944 вышло Постановление ГКО № 5217 О мерах по увеличению ресурсов крепежного леса для каменноугольной и рудной промышленности. РГАНИР, Фонд ГКО, д. 210, лл. 200-201,202-208 (11012).</w:t>
      </w:r>
    </w:p>
    <w:p w14:paraId="3B7D3A1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E29F020"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39EDD3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E3CABF"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19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04E5E8B7"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19 февраля юго-западнее и южнее города Луга наши войска овладели районным центром Ленинградской области и железнодорожной станцией Плюсса, а также с боями заняли более 30 других населённых пунктов и среди них Петрилово, Бутырки, Окрино, Которска, Любенское, Крица, Скирицы, Дуброво, Александровка.</w:t>
      </w:r>
    </w:p>
    <w:p w14:paraId="031D7A8B"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озера Ильмень наши войска с боями продвигались вперёд и заняли более100 населённых пунктов, в том числе Большое Вороново, Нагово, Муравьево, Большое Орехово, Заболотье, Григорово, Должицы, Морильница, Речные Котцы, Петрухново, Дорожкино, Харино и железнодорожные станции Наговская, Тулебля.</w:t>
      </w:r>
    </w:p>
    <w:p w14:paraId="1CF2D39B"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2AACA220"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18 февраля наши войска на всех фронтах подбили и уничтожили 47 немецких танков. В воздушных боях и огнём зенитной артиллерии сбито 8 самолётов противника.».</w:t>
      </w:r>
    </w:p>
    <w:p w14:paraId="3BD474AD"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Налёт наших самолётов на железнодорожный узел Псков.</w:t>
      </w:r>
    </w:p>
    <w:p w14:paraId="608CDC86"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19 февраля большая группа наших самолётов произвела налёт на железнодорожный узел Псков. Бомбардировке были подвергнуты десятки немецких воинских эшелонов, сгрудившихся на этом узле, и военные склады противника. В результате бомбардировки возникло до 80 пожаров, сопровождавшихся сильными взрывами. Горело не менее 15 железнодорожных эшелонов противника. К концу бомбардировки вся территория железнодорожного узла была охвачена сплошным огнём. Кроме того, крупные пожары и взрывы большой силы наблюдением отмечены в районе военных складов противника и на территории аэродрома.</w:t>
      </w:r>
    </w:p>
    <w:p w14:paraId="16F4EC0E"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Три наших самолёта не вернулись на свои базы.».</w:t>
      </w:r>
    </w:p>
    <w:p w14:paraId="4D1093BA"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Луга части Н-ского соединения в результате напряжённых боёв разгромили противника и заняли районный центр Ленинградской области и железнодорожную станцию Плюсса. На подступах к посёлку и его улицах остались сотни вражеских трупов. Захвачено много трофеев и пленных. На других участках наши войска вели наступательные бои и заняли более 30 населённых пунктов. Советские артиллеристы, расчищая путь пехоте и танкам, подавили огонь 15 артиллерийских и свыше 20 миномётных батарей противника. Успешно действуют наши мелкие подразделения и отряды. На одном участке 50 советских лыжников внезапно напали на вражеский опорный пункт. Наши бойцы истребили до роты гитлеровцев и взяли 56 пленных. На другом участке наше подразделение совершило обходный манёвр и нанесло противнику удар с тыла. Немцы в панике отступили, оставив на поле боя свыше 200 своих убитых и раненых солдат и офицеров.</w:t>
      </w:r>
    </w:p>
    <w:p w14:paraId="10001AB8"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озера Ильмень наши войска с боями заняли более ста населённых пунктов. Противник, укрепившись на заранее подготовленных рубежах, пытался остановить наступление советских войск. Бойцы Н-ского соединения стремительным ударом сломили сопротивление немцев и, преследуя их по пятам, заняли ряд населённых пунктов. В этом бою советские части нанесли тяжёлое поражение 21 немецкой авиаполевой дивизии и захватили много трофеев. Другое наше соединение форсировало водный рубеж и, успешно продвигаясь вперёд, уничтожило до 800 немецких солдат и офицеров. Захвачено 19 орудий, 18 миномётов, 60 пулемётов, 2 склада боеприпасов, склады с продовольствием и инженерным имуществом.</w:t>
      </w:r>
    </w:p>
    <w:p w14:paraId="6F0DB7A5"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Немцы направили батальон пехоты против одного партизанского отряда, действующего в Каменец-Подольской области. В течение дня советские патриоты отбивали атаки немцев и уничтожили более 200 вражеских солдат и офицеров. Другой отряд каменец-подольских партизан за несколько дней подорвал на минах 8 вражеских эшелонов. Разбиты 6 паровозов и 70 вагонов. Под обломками вагонов погибло до 300 гитлеровцев.</w:t>
      </w:r>
    </w:p>
    <w:p w14:paraId="7C4B149F"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ликвидации окружённой в районе Корсунь-Шевченковский группировки противника взято в плен большое количество немецких солдат и офицеров из дивизии СС «Викинг». Пленные солдаты Людвиг Райман, Венделин Вейс, Гельмут Фогель, Генрих Мюллер, Иоганн Курц и другие рассказали: «Вначале офицеры всячески скрывали от нас тот факт, что наши дивизии попали в «котёл». Но всем было ясно,что мы очутились в ловушке. Пятого февраля офицеры во всех подразделениях огласили приказ Гитлера, в котором он обещал вызволить нас из окружения и требовал держаться до последнего человека. Командир дивизии сообщил, что на помощь нам идут восемь танковых дивизий. Каждый день солдат широко информировалио том, что танковая армия, действующая извне, одерживает успехи и всё ближе и ближе подходит к нам. Солдатам зачитали радиограмму командира танковой армии генерал-лейтенанта Хубе. В этой радиограмме было всего лишь четыре слова: «Я вас выручу. Хубе». Но мы напрасно ждали спасения. Кольцо с каждым днём сжималось всё теснее.</w:t>
      </w:r>
    </w:p>
    <w:p w14:paraId="67631650"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дивизия, насчитывавшая около 7 тысяч солдат и офицеров, за две недели потеряла более четырёх тысяч человек. Нам приходилось всё время отступать под ураганным огнём русских. Дороги были запружены брошенными машинами и орудиями. Мы были в отчаянии. В ночь на 17 февраля солдатам выдали по усиленной порции водки и разрешили съесть неприкосновенный запас продуктов. В 2 часа был объявлен приказ, в котором говорилось, что на помощь извне больше нечего рассчитывать. На рассвете была предпринята последняя и самая отчаянная попытка вырваться из кольца. Впереди шла дивизия СС «Викинг», за ней мотобригада «Валония». Замыкали колонну штабы и остатки 72 и 112 пехотных дивизий. Этой колонной командовал командир нашей дивизии Гилле. Всего в колонне было около восьми тысяч солдат и офицеров. Пушки, автомашины, всё военное имущество и даже личные вещи приказано было бросить. Едва мы прошли 300 метров, как на нас напали русские танки. Они ворвались в гущу колонны и гусеницами утюжили и давили ряды солдат. За танками появились казаки. Началась такая мясорубка, какой мы ещё нигде и никогда не видели за всё время войны. Вся колонна была уничтожена. Нам удалось спрятаться около разбитых автомашин. На следующий день утром мы сдались в плен».</w:t>
      </w:r>
    </w:p>
    <w:p w14:paraId="5F5BF352"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Потери противника и трофеи наших войск в результате ликвидации немецко-фашистских войск, окруженных в районе Корсунь-Шевченковский.</w:t>
      </w:r>
    </w:p>
    <w:p w14:paraId="65927F15"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боёв по уничтожению немецко-фашистских войск, окружённых в районе Корсунь-Шевченковский, с 3 по 18 февраля сего года войска 2 Украинского фронта нанесли противнику следующие потери:</w:t>
      </w:r>
    </w:p>
    <w:p w14:paraId="402230DB"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Уничтожено: самолётов — 430, танков — 155, орудий разного калибра — 376, самоходных орудий — 59, миномётов — 269, пулемётов — 900.</w:t>
      </w:r>
    </w:p>
    <w:p w14:paraId="7AB90E6F"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поле боя обнаружено 55.000 трупов немецких солдат и офицеров. Среди убитых обнаружен труп командующего группой немецких войск, окружённых в районе Корсунь-Шевченковский, генерала артиллерии Вильгельма Штеммермана.</w:t>
      </w:r>
    </w:p>
    <w:p w14:paraId="286BA01A"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это же время войска 2 Украинского фронта захватили следующие трофеи: самолётов — 41, танков — 116, бронемашин — 32, орудий разного калибра — 618, самоходных орудий — 51, миномётов — 267, пулемётов — 789, бронетранспортёров —85, автомашин — 10.000, паровозов — 7, вагонов и цистерн — 415, тягачей — 127, повозок с военными грузами — 4.050, лошадей — 6.418, противогазов — 39.200, складов с боеприпасами и различным военным имуществом — 64.</w:t>
      </w:r>
    </w:p>
    <w:p w14:paraId="43E9CEF3"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Взято в плен 18.200 солдат и офицеров противника.» (15045).</w:t>
      </w:r>
    </w:p>
    <w:p w14:paraId="7BB52162" w14:textId="77777777" w:rsidR="00E32A8C" w:rsidRPr="00070ADE" w:rsidRDefault="00E32A8C" w:rsidP="00B56F90">
      <w:pPr>
        <w:spacing w:after="0" w:line="240" w:lineRule="auto"/>
        <w:jc w:val="both"/>
        <w:rPr>
          <w:rFonts w:ascii="Times New Roman" w:hAnsi="Times New Roman"/>
          <w:color w:val="000000" w:themeColor="text1"/>
          <w:sz w:val="16"/>
          <w:szCs w:val="16"/>
        </w:rPr>
      </w:pPr>
    </w:p>
    <w:p w14:paraId="6ECE96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февраля 1944 состоялся первый вылет В-25 к партизанам Югославии; из шести экипажей только один дотянул обратно до своего аэродрома, остальные сели на запасных - ближе к фронту. Это было первое крупномасштабное привлечение бомбардировщиков В-25 для переброски грузов. В феврале 1944 года с Украины они перевозили оружие, медикаменты, продовольствие для Народно-освободительной армии Югославии. "Митчелл" временами применялся в качестве транспортной машины. Он имел емкий фюзеляж, в который при перебазировании можно было загрузить до 20 человек-техников и оружейников. В-25 мог доставить до 1 тонны груза на расстояние 2240 км. В бомбоотсеках устанавливали дополнительные бензобаки, а груз размещали в кабине. Каждый самолет брал до 12 парашютных мешков по 100 кг, которые сбрасывались через люки. Позже часть груза размещалась в бомбоотсеке. Сперва полеты в Югославию осуществляла специальная группа 15-й гвардейской авиадивизии под командованием майора А.П. Дудника. В феврале 1944 группа совершила 39 самолето-вылетов, перебросив 15 т грузов. С 3 мая на перевозки переключили практически всю дивизию - 44 экипажа. Эти полеты продолжались до освобождения Югославии. В одном из таких полетов летчик А.Каракозов атаковал над побережьем Черного моря и сбил немецкий бомбардировщик, а затем повредил второй (3457,94).</w:t>
      </w:r>
    </w:p>
    <w:p w14:paraId="065E53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C571CC" w14:textId="77777777" w:rsidR="00BD6B74" w:rsidRPr="00070ADE" w:rsidRDefault="00BD6B74"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lastRenderedPageBreak/>
        <w:t xml:space="preserve">19 февраля 1944 года в районе Лисянки атаковавшие населённый пункт танки 13-го гвардейского тяжёлого танкового полка попали под огонь немецких средних танков </w:t>
      </w:r>
      <w:hyperlink r:id="rId52" w:history="1">
        <w:r w:rsidRPr="00070ADE">
          <w:rPr>
            <w:rFonts w:ascii="Times New Roman" w:eastAsia="Times New Roman" w:hAnsi="Times New Roman"/>
            <w:color w:val="000000" w:themeColor="text1"/>
            <w:sz w:val="16"/>
            <w:szCs w:val="16"/>
            <w:lang w:eastAsia="ru-RU"/>
          </w:rPr>
          <w:t>Pz.Kpfw.Panther</w:t>
        </w:r>
      </w:hyperlink>
      <w:r w:rsidRPr="00070ADE">
        <w:rPr>
          <w:rFonts w:ascii="Times New Roman" w:eastAsia="Times New Roman" w:hAnsi="Times New Roman"/>
          <w:color w:val="000000" w:themeColor="text1"/>
          <w:sz w:val="16"/>
          <w:szCs w:val="16"/>
          <w:lang w:eastAsia="ru-RU"/>
        </w:rPr>
        <w:t>. Рассчитанная на защиту от 88-мм пушки KwK 36 L/56 лобовая броня ИС-1 оказалась пробита 75-мм пушками KwK 42 L/70. Два советских танка сгорели и три были подбиты.</w:t>
      </w:r>
    </w:p>
    <w:p w14:paraId="10AB97BF" w14:textId="77777777" w:rsidR="00BD6B74" w:rsidRPr="00070ADE" w:rsidRDefault="00BD6B74"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На подобный результат боя повлияли и дефекты брони. Но главная причина пробитий заключалась в том, что защита была недостаточной. Этот же вывод сделал и инженер-майор А.И. Шамин, старший помощник начальника испытательного отдела НИБТ Полигона, которого прикомандировали к 13-му гв. ттп. Его критике подверглась и форма лобовой части корпуса. Ступенчатая форма и наличие люка-пробки ослабляли броню. Выводы Шамина были включены в общее заключение НИБТ Полигона по испытаниям ИС-1 и ИС-2, выпущенных в январе–феврале 1944 года. Первым же пунктом недостатков, выявленных по итогам испытаний, значилось «несоответствие броневой защиты башни и лобовой части корпуса мощности вооружения»/</w:t>
      </w:r>
    </w:p>
    <w:p w14:paraId="21E93EF3" w14:textId="77777777" w:rsidR="00BD6B74" w:rsidRPr="00070ADE" w:rsidRDefault="00BD6B74"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 xml:space="preserve">Для решения проблемы предлагалось усилить защиту башни и лобовой части корпуса за счёт более рациональных углов наклона листов, а также применения брони более высокого качества. Образцом при этом была выбрана лобовая часть корпуса Т-34. НИБТ Полигон предлагал изменить верхний лобовой лист корпуса: при той же толщине в 120 мм его следовало делать из катаной брони, а угол наклона увеличить до 30 градусов от горизонтали. Это должно было обеспечить надёжную защиту от огня 88-мм пушки Pak 43 L/71, установленной на истребителе танков </w:t>
      </w:r>
      <w:hyperlink r:id="rId53" w:history="1">
        <w:r w:rsidRPr="00070ADE">
          <w:rPr>
            <w:rFonts w:ascii="Times New Roman" w:eastAsia="Times New Roman" w:hAnsi="Times New Roman"/>
            <w:color w:val="000000" w:themeColor="text1"/>
            <w:sz w:val="16"/>
            <w:szCs w:val="16"/>
            <w:lang w:eastAsia="ru-RU"/>
          </w:rPr>
          <w:t>Ferdinand</w:t>
        </w:r>
      </w:hyperlink>
      <w:r w:rsidRPr="00070ADE">
        <w:rPr>
          <w:rFonts w:ascii="Times New Roman" w:eastAsia="Times New Roman" w:hAnsi="Times New Roman"/>
          <w:color w:val="000000" w:themeColor="text1"/>
          <w:sz w:val="16"/>
          <w:szCs w:val="16"/>
          <w:lang w:eastAsia="ru-RU"/>
        </w:rPr>
        <w:t>. Конструкторами учитывались испытания как этой машины, так и результаты обстрела другого трофея с Курской дуги — среднего танка Pz.Kpfw.Panther Ausf.D. При толщине верхнего лобового листа «Пантеры» в 80 мм и угле его наклона в 35 градусов от горизонтали обеспечивался более высокий уровень защиты, чем у ИС-2. 85-мм бронебойный снаряд не пробивал такую плиту даже в упор, а собственная пушка «Пантеры» пробивала верхний лобовой лист на дистанции 200 метров.</w:t>
      </w:r>
    </w:p>
    <w:p w14:paraId="0C20AB79" w14:textId="77777777" w:rsidR="00BD6B74" w:rsidRPr="00070ADE" w:rsidRDefault="00BD6B74"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 xml:space="preserve">Интересными оказались результаты обстрела верхнего лобового листа Pz.Kpfw.Panther Ausf.D пушкой Pak 43, установленной на САУ </w:t>
      </w:r>
      <w:hyperlink r:id="rId54" w:history="1">
        <w:r w:rsidRPr="00070ADE">
          <w:rPr>
            <w:rFonts w:ascii="Times New Roman" w:eastAsia="Times New Roman" w:hAnsi="Times New Roman"/>
            <w:color w:val="000000" w:themeColor="text1"/>
            <w:sz w:val="16"/>
            <w:szCs w:val="16"/>
            <w:lang w:eastAsia="ru-RU"/>
          </w:rPr>
          <w:t>Hornisse</w:t>
        </w:r>
      </w:hyperlink>
      <w:r w:rsidRPr="00070ADE">
        <w:rPr>
          <w:rFonts w:ascii="Times New Roman" w:eastAsia="Times New Roman" w:hAnsi="Times New Roman"/>
          <w:color w:val="000000" w:themeColor="text1"/>
          <w:sz w:val="16"/>
          <w:szCs w:val="16"/>
          <w:lang w:eastAsia="ru-RU"/>
        </w:rPr>
        <w:t>. На дистанции 600 метров её снаряд проделал пролом размером 300×250 мм и рикошетировал.</w:t>
      </w:r>
    </w:p>
    <w:p w14:paraId="5C5F0777" w14:textId="77777777" w:rsidR="00BD6B74" w:rsidRPr="00070ADE" w:rsidRDefault="00BD6B74"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В отчёте специалисты НИБТ Полигона предлагали усилить и борта корпуса. Их толщина снижалась с 90 до 75 мм, но должны были использоваться катаные листы, расположенные под углом в 45 градусов. Для этого пришлось бы увеличить ширину корпуса танка. Толщину лба башни предлагалось увеличить до 200 мм, а бортов — до 150 мм. В списке предложений значилась замена 122-мм орудия Д-25 на пушку калибра 100 мм, имеющую более высокую скорострельность. Эти предложения носили инициативный характер (17756).</w:t>
      </w:r>
    </w:p>
    <w:p w14:paraId="44AE3726" w14:textId="77777777" w:rsidR="00BD6B74" w:rsidRPr="00070ADE" w:rsidRDefault="00BD6B74" w:rsidP="00B56F90">
      <w:pPr>
        <w:pStyle w:val="ae"/>
        <w:shd w:val="clear" w:color="auto" w:fill="FFFFFF"/>
        <w:spacing w:before="0" w:after="0"/>
        <w:jc w:val="both"/>
        <w:rPr>
          <w:color w:val="000000" w:themeColor="text1"/>
          <w:sz w:val="16"/>
          <w:szCs w:val="16"/>
        </w:rPr>
      </w:pPr>
    </w:p>
    <w:p w14:paraId="6A867B41" w14:textId="77777777" w:rsidR="00BD6B74" w:rsidRPr="00070ADE" w:rsidRDefault="00BD6B74" w:rsidP="00B56F90">
      <w:pPr>
        <w:pStyle w:val="ae"/>
        <w:shd w:val="clear" w:color="auto" w:fill="FFFFFF"/>
        <w:spacing w:before="0" w:after="0"/>
        <w:jc w:val="both"/>
        <w:rPr>
          <w:color w:val="000000" w:themeColor="text1"/>
          <w:sz w:val="16"/>
          <w:szCs w:val="16"/>
        </w:rPr>
      </w:pPr>
      <w:r w:rsidRPr="00070ADE">
        <w:rPr>
          <w:color w:val="000000" w:themeColor="text1"/>
          <w:sz w:val="16"/>
          <w:szCs w:val="16"/>
        </w:rPr>
        <w:t>19 февраля 1944 состоялся боевой дебют ИС-85. В этот день 1-я рота (5 танков) поддерживала наступление 109-й танковой бригады в направлении на Лисянку. Дебют этот оказался неудачным: подбив Т-34 из состава 109-й тбр, «Пантеры» подпустили ИС-85 на дистанцию 600-800 метров, после чего открыли огонь. 2 советских тяжёлых танка сгорели и 3 были подбиты. Причиной полной потери 1-й роты стало неправильное применение: вместо того, чтобы пускать тяжёлые танки вторым эшелоном, их, как обычно и поступали с тяжёлыми танками, использовали в качестве тарана.</w:t>
      </w:r>
    </w:p>
    <w:p w14:paraId="44334D45" w14:textId="77777777" w:rsidR="00BD6B74" w:rsidRPr="00070ADE" w:rsidRDefault="00BD6B74" w:rsidP="00B56F90">
      <w:pPr>
        <w:pStyle w:val="ae"/>
        <w:shd w:val="clear" w:color="auto" w:fill="FFFFFF"/>
        <w:spacing w:before="0" w:after="0"/>
        <w:jc w:val="both"/>
        <w:rPr>
          <w:color w:val="000000" w:themeColor="text1"/>
          <w:sz w:val="16"/>
          <w:szCs w:val="16"/>
        </w:rPr>
      </w:pPr>
      <w:r w:rsidRPr="00070ADE">
        <w:rPr>
          <w:color w:val="000000" w:themeColor="text1"/>
          <w:sz w:val="16"/>
          <w:szCs w:val="16"/>
        </w:rPr>
        <w:t xml:space="preserve">Стоит отметить, что ИС-85 создавался в расчёте на то, что в лобовой проекции он будет «держать» бронебойный снаряд 88-мм пушки KwK 36 L/56, установленной на </w:t>
      </w:r>
      <w:hyperlink r:id="rId55" w:history="1">
        <w:r w:rsidRPr="00070ADE">
          <w:rPr>
            <w:rStyle w:val="a5"/>
            <w:color w:val="000000" w:themeColor="text1"/>
            <w:sz w:val="16"/>
            <w:szCs w:val="16"/>
            <w:u w:val="none"/>
          </w:rPr>
          <w:t>Pz.Kpfw.Tiger Ausf.E</w:t>
        </w:r>
      </w:hyperlink>
      <w:r w:rsidRPr="00070ADE">
        <w:rPr>
          <w:color w:val="000000" w:themeColor="text1"/>
          <w:sz w:val="16"/>
          <w:szCs w:val="16"/>
        </w:rPr>
        <w:t>. Что же касается «Пантер», то эти танки оказались более опасными противниками. Эти машины были быстрее, в лобовой проекции, благодаря рациональным углам наклона корпуса, оказались лучше защищены, а главное — были вооружены 75-мм пушкой KwK 42 L/70, которая имела более высокие показатели пробития. Неудивительно, что на дистанции 600-900 метров пушка «Пантеры» относительно легко пробивала ИС-85.</w:t>
      </w:r>
    </w:p>
    <w:p w14:paraId="7F28360A" w14:textId="77777777" w:rsidR="00BD6B74" w:rsidRPr="00070ADE" w:rsidRDefault="00BD6B74"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Вместе с тем часть пробитий оказалась результатом недоработки конструкции корпуса и башни. Два танка были поражены в люк-пробку, причём в одном случае его вышибло рикошетировавшим снарядом. В двух случаях произошло сквозное пробитие передней части корпуса с правой стороны. Неудивительно, что со стороны Шамина форма носовой части корпуса подверглась критике.</w:t>
      </w:r>
    </w:p>
    <w:p w14:paraId="44AE2601" w14:textId="77777777" w:rsidR="00BD6B74" w:rsidRPr="00070ADE" w:rsidRDefault="00BD6B74"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После неудачного дебюта в боевом использовании ИС-1 последовала пауза до 2 марта. То, что танки неплохо были защищены от огня пушки «Тигра», показали результаты последующих боёв. 5 марта машины вновь пошли в бой с задачей выйти к юго-западной окраине города Умань. По машинам с дистанции 600-800 метров открыли огонь замаскированные 88-мм зенитные пушки Flak 18. Один из танков получил 6 снарядных попаданий, при этом лишь одно, пришедшееся на правый угол передней части корпуса, оказалось сквозным. Правда, после попадания одного из снарядов в борт корпуса образовалась сквозная трещина.</w:t>
      </w:r>
    </w:p>
    <w:p w14:paraId="67F4BE51" w14:textId="77777777" w:rsidR="00BD6B74" w:rsidRPr="00070ADE" w:rsidRDefault="00BD6B74" w:rsidP="00B56F90">
      <w:pPr>
        <w:pStyle w:val="ae"/>
        <w:shd w:val="clear" w:color="auto" w:fill="FFFFFF"/>
        <w:spacing w:before="0" w:after="0"/>
        <w:jc w:val="both"/>
        <w:rPr>
          <w:color w:val="000000" w:themeColor="text1"/>
          <w:sz w:val="16"/>
          <w:szCs w:val="16"/>
        </w:rPr>
      </w:pPr>
      <w:r w:rsidRPr="00070ADE">
        <w:rPr>
          <w:color w:val="000000" w:themeColor="text1"/>
          <w:sz w:val="16"/>
          <w:szCs w:val="16"/>
        </w:rPr>
        <w:t xml:space="preserve">Также в бою за Умань один танк получил сквозное пробитие нижнего лобового листа из такого экзотического орудия, как </w:t>
      </w:r>
      <w:hyperlink r:id="rId56" w:history="1">
        <w:r w:rsidRPr="00070ADE">
          <w:rPr>
            <w:rStyle w:val="a5"/>
            <w:color w:val="000000" w:themeColor="text1"/>
            <w:sz w:val="16"/>
            <w:szCs w:val="16"/>
            <w:u w:val="none"/>
          </w:rPr>
          <w:t>2,8 cm s.Pz.B. 41</w:t>
        </w:r>
      </w:hyperlink>
      <w:r w:rsidRPr="00070ADE">
        <w:rPr>
          <w:color w:val="000000" w:themeColor="text1"/>
          <w:sz w:val="16"/>
          <w:szCs w:val="16"/>
        </w:rPr>
        <w:t>.</w:t>
      </w:r>
    </w:p>
    <w:p w14:paraId="33360DFB" w14:textId="77777777" w:rsidR="00BD6B74" w:rsidRPr="00070ADE" w:rsidRDefault="00BD6B74"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После боёв за Умань в строю 13-го гв. ттп осталось 5 танков. Во время марша на Ямполь по техническим причинам из строя вышли 2 танка. Ещё один ИС-85 вышел из строя в боях за Ямполь. Оставшиеся машины дошли до города Бельцы, где также стали жертвами технических неисправностей (17715).</w:t>
      </w:r>
    </w:p>
    <w:p w14:paraId="3BC326E2" w14:textId="77777777" w:rsidR="00BD6B74" w:rsidRPr="00070ADE" w:rsidRDefault="00BD6B74" w:rsidP="00B56F90">
      <w:pPr>
        <w:pStyle w:val="123"/>
        <w:shd w:val="clear" w:color="auto" w:fill="auto"/>
        <w:spacing w:after="0" w:line="240" w:lineRule="auto"/>
        <w:jc w:val="both"/>
        <w:rPr>
          <w:color w:val="000000" w:themeColor="text1"/>
          <w:sz w:val="16"/>
          <w:szCs w:val="16"/>
        </w:rPr>
      </w:pPr>
    </w:p>
    <w:p w14:paraId="48B777A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февраля 1944 вышло Постановление ГКО № 5216 О привлечении организаций Осоавиахима к работам по разминированию и сбору трофейного и отечественного имущества в районах, освобожденных от немецкой оккупации. (7190, 193-198,199).</w:t>
      </w:r>
    </w:p>
    <w:p w14:paraId="417538E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15A2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февраля 1944 ГКО поручил Осоавиахиму разминирование всей освобожденной территории и сбор трофейного оружия и боеприпасов (324,84).</w:t>
      </w:r>
    </w:p>
    <w:p w14:paraId="5E1A4A9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ABEFFA"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19 февраля</w:t>
      </w:r>
      <w:r w:rsidRPr="00070ADE">
        <w:rPr>
          <w:rFonts w:ascii="Times New Roman" w:hAnsi="Times New Roman"/>
          <w:color w:val="000000" w:themeColor="text1"/>
          <w:sz w:val="16"/>
          <w:szCs w:val="16"/>
        </w:rPr>
        <w:t xml:space="preserve"> в 1944 году государственный комитет обороны принял постановление «О привлечении организаций ОСОАВИАХИМа к работам по разминированию и сбору трофейного и отечественного имущества в районах, освобожденных от немецкой оккупации». За 1944—1945 гг. команды Общества очистили от боеприпасов 1 600 000 кв. км освобожденной территории, свыше 150 тыс. населенных пунктов, обезвредили более 75 млн. взрывоопасных предметов (15045).</w:t>
      </w:r>
    </w:p>
    <w:p w14:paraId="2C2205FD" w14:textId="77777777" w:rsidR="00E32A8C" w:rsidRPr="00070ADE" w:rsidRDefault="00E32A8C" w:rsidP="00B56F90">
      <w:pPr>
        <w:spacing w:after="0" w:line="240" w:lineRule="auto"/>
        <w:jc w:val="both"/>
        <w:rPr>
          <w:rFonts w:ascii="Times New Roman" w:hAnsi="Times New Roman"/>
          <w:color w:val="000000" w:themeColor="text1"/>
          <w:sz w:val="16"/>
          <w:szCs w:val="16"/>
        </w:rPr>
      </w:pPr>
    </w:p>
    <w:p w14:paraId="304C8F48" w14:textId="77777777" w:rsidR="00E32A8C"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042184DE" w14:textId="77777777" w:rsidR="00E32A8C" w:rsidRPr="00070ADE" w:rsidRDefault="00E32A8C"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F2E59C"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19 февраля</w:t>
      </w:r>
      <w:r w:rsidRPr="00070ADE">
        <w:rPr>
          <w:rFonts w:ascii="Times New Roman" w:hAnsi="Times New Roman"/>
          <w:color w:val="000000" w:themeColor="text1"/>
          <w:sz w:val="16"/>
          <w:szCs w:val="16"/>
        </w:rPr>
        <w:t xml:space="preserve"> в 1944 году советские представители передали Финляндии условия перемирия: разрыв отношений с Германией, итернирование германских войск и кораблей в Финляндии, восстановление советско-финской границы 1940 года и отвод финских войск на эту линию, немедленное возвращение советских и союзных военнопленных (15045).</w:t>
      </w:r>
    </w:p>
    <w:p w14:paraId="455F448C" w14:textId="77777777" w:rsidR="00E32A8C" w:rsidRPr="00070ADE" w:rsidRDefault="00E32A8C" w:rsidP="00B56F90">
      <w:pPr>
        <w:spacing w:after="0" w:line="240" w:lineRule="auto"/>
        <w:jc w:val="both"/>
        <w:rPr>
          <w:rFonts w:ascii="Times New Roman" w:hAnsi="Times New Roman"/>
          <w:color w:val="000000" w:themeColor="text1"/>
          <w:sz w:val="16"/>
          <w:szCs w:val="16"/>
        </w:rPr>
      </w:pPr>
    </w:p>
    <w:p w14:paraId="72D5958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06D596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FEC3C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февраля 1944 немецкая авиация совершила самый массированный налет на Лондон, начиная с мая 1940 (3807,368).</w:t>
      </w:r>
    </w:p>
    <w:p w14:paraId="2AAA31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3F33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февраля 1944 по распоряжению штаба Люфтваффе на базе Отдельной разведгруппы Верховного главнокомандования Люфтваффе сформировали специальную эскадру KG-200 для Абвера с 20 немецкими и трофейными машинами (в т.ч. В-17 и В-24) на вооружении. Применяли супербомбы системы Мистел и возили О.Скорцени и С.Бандеру. С июня 1944 по март 1945 сбросили 600 диверсантов (1565,17).</w:t>
      </w:r>
    </w:p>
    <w:p w14:paraId="39B3F7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C34755" w14:textId="77777777" w:rsidR="003118D9" w:rsidRPr="00070ADE" w:rsidRDefault="003118D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19–20 февраля 1944 в поддержку наступления армии США на плацдарме в Анцио тактические самолеты союзников сбросили 972 тонны (881 793 кг) бомб, а стратегические бомбардировщики союзников атакуют Гроттаферрата , Альбано Лациале, Дженцано ди Рома и Веллетри, Италия (20373).</w:t>
      </w:r>
    </w:p>
    <w:p w14:paraId="41945189" w14:textId="77777777" w:rsidR="003118D9" w:rsidRPr="00070ADE" w:rsidRDefault="003118D9" w:rsidP="00B56F90">
      <w:pPr>
        <w:spacing w:after="0" w:line="240" w:lineRule="auto"/>
        <w:jc w:val="both"/>
        <w:rPr>
          <w:rFonts w:ascii="Times New Roman" w:hAnsi="Times New Roman"/>
          <w:color w:val="000000" w:themeColor="text1"/>
          <w:sz w:val="16"/>
          <w:szCs w:val="16"/>
        </w:rPr>
      </w:pPr>
    </w:p>
    <w:p w14:paraId="7208D473" w14:textId="77777777" w:rsidR="003118D9" w:rsidRPr="00070ADE" w:rsidRDefault="003118D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19–20 февраля (ночь) 1944 823 британских бомбардировщика атакуют Лейпциг, Германия. Ночные истребители перехватывают их над побережьем Нидерландов и атакуют на всем пути к цели, где четыре бомбардировщика теряются при столкновениях и еще 20 сбиты зенитными орудиями. Лейпциг покрыт облаками, и большинство бомб брошено наугад. Семьдесят восемь бомбардировщиков (9,5 процента от силы) не возвращаются. Для Bomber Command это самые высокие потери в одном рейде за время Второй мировой войны. Высокий уровень потерь среди Halifaxes (34 самолетов, или 13,3 процента или 14,9 тех, которые не поворнули назавд) побуждает бомбардировочное командование отозвать Halifax II и Halifax V из дальнейших операций над Германией (20373).</w:t>
      </w:r>
    </w:p>
    <w:p w14:paraId="57CB3E41" w14:textId="77777777" w:rsidR="003118D9" w:rsidRPr="00070ADE" w:rsidRDefault="003118D9" w:rsidP="00B56F90">
      <w:pPr>
        <w:spacing w:after="0" w:line="240" w:lineRule="auto"/>
        <w:jc w:val="both"/>
        <w:rPr>
          <w:rFonts w:ascii="Times New Roman" w:hAnsi="Times New Roman"/>
          <w:color w:val="000000" w:themeColor="text1"/>
          <w:sz w:val="16"/>
          <w:szCs w:val="16"/>
        </w:rPr>
      </w:pPr>
    </w:p>
    <w:p w14:paraId="483B038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B0265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0A049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1944-го было получено разрешение НКАП и заводские испытания двухместного варианта бронированного истребителя с мотором АМ-42 начались (7442).</w:t>
      </w:r>
    </w:p>
    <w:p w14:paraId="095E9E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 по испытаниям: “Испытания прошел и подлежит передаче на государственные испытания. Самолет обладает запасом устойчивости по всем трем осям”(7442).</w:t>
      </w:r>
    </w:p>
    <w:p w14:paraId="0DEB9F1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438BF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вышло Постановление ГКО № 5221 О постройке модернизированного самолета Пе-8 с моторами М-82ФН на заводе № 22. РГАНИР, Фонд ГКО, д. 211, лл. 5-8 (11012).</w:t>
      </w:r>
    </w:p>
    <w:p w14:paraId="715CCB8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FF81917"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вышло Постановление ГКО № 5221 О постройке модернизированного самолета Пе-8 с моторами М-82ФН на заводе № 22</w:t>
      </w:r>
    </w:p>
    <w:p w14:paraId="3BE73955"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улучшения летно-тактических данных само</w:t>
      </w:r>
      <w:r w:rsidRPr="00070ADE">
        <w:rPr>
          <w:rFonts w:ascii="Times New Roman" w:hAnsi="Times New Roman"/>
          <w:color w:val="000000" w:themeColor="text1"/>
          <w:sz w:val="16"/>
          <w:szCs w:val="16"/>
        </w:rPr>
        <w:softHyphen/>
        <w:t>лета Пе-8, Государственный Комитет Обороны постановляет:</w:t>
      </w:r>
    </w:p>
    <w:p w14:paraId="308F51A3"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 Обязать Наркомазиапром - т.Шахурина, директора завода № 22 т.Окулова и главного конструктора т.Незваль спроектировать и построить один модернизированный само</w:t>
      </w:r>
      <w:r w:rsidRPr="00070ADE">
        <w:rPr>
          <w:rFonts w:ascii="Times New Roman" w:hAnsi="Times New Roman"/>
          <w:color w:val="000000" w:themeColor="text1"/>
          <w:sz w:val="16"/>
          <w:szCs w:val="16"/>
        </w:rPr>
        <w:softHyphen/>
        <w:t>лет Пе-8 с моторами М-82ФН с ТК-3 с улучшенными аэро</w:t>
      </w:r>
      <w:r w:rsidRPr="00070ADE">
        <w:rPr>
          <w:rFonts w:ascii="Times New Roman" w:hAnsi="Times New Roman"/>
          <w:color w:val="000000" w:themeColor="text1"/>
          <w:sz w:val="16"/>
          <w:szCs w:val="16"/>
        </w:rPr>
        <w:softHyphen/>
        <w:t>динамическими данными и увеличенной бомбовой нагрузкой. Самолет выпустить, внеся в него следующие изменения:</w:t>
      </w:r>
    </w:p>
    <w:p w14:paraId="053BB94E"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 установить моторы </w:t>
      </w:r>
      <w:r w:rsidRPr="00070ADE">
        <w:rPr>
          <w:rFonts w:ascii="Times New Roman" w:hAnsi="Times New Roman"/>
          <w:color w:val="000000" w:themeColor="text1"/>
          <w:sz w:val="16"/>
          <w:szCs w:val="16"/>
          <w:lang w:val="en-US"/>
        </w:rPr>
        <w:t>M</w:t>
      </w:r>
      <w:r w:rsidRPr="00070ADE">
        <w:rPr>
          <w:rFonts w:ascii="Times New Roman" w:hAnsi="Times New Roman"/>
          <w:color w:val="000000" w:themeColor="text1"/>
          <w:sz w:val="16"/>
          <w:szCs w:val="16"/>
        </w:rPr>
        <w:t>-8Ф</w:t>
      </w:r>
      <w:r w:rsidRPr="00070ADE">
        <w:rPr>
          <w:rFonts w:ascii="Times New Roman" w:hAnsi="Times New Roman"/>
          <w:color w:val="000000" w:themeColor="text1"/>
          <w:sz w:val="16"/>
          <w:szCs w:val="16"/>
          <w:lang w:val="en-US"/>
        </w:rPr>
        <w:t>QH</w:t>
      </w:r>
      <w:r w:rsidRPr="00070ADE">
        <w:rPr>
          <w:rFonts w:ascii="Times New Roman" w:hAnsi="Times New Roman"/>
          <w:color w:val="000000" w:themeColor="text1"/>
          <w:sz w:val="16"/>
          <w:szCs w:val="16"/>
        </w:rPr>
        <w:t xml:space="preserve"> с редукцией 9/16, обо</w:t>
      </w:r>
      <w:r w:rsidRPr="00070ADE">
        <w:rPr>
          <w:rFonts w:ascii="Times New Roman" w:hAnsi="Times New Roman"/>
          <w:color w:val="000000" w:themeColor="text1"/>
          <w:sz w:val="16"/>
          <w:szCs w:val="16"/>
        </w:rPr>
        <w:softHyphen/>
        <w:t>рудованные турбокомпрессорами;</w:t>
      </w:r>
    </w:p>
    <w:p w14:paraId="5F4085B4"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6) увеличить бомболюк в фюзеляже для внутренней подвески бомбы калибром 5.000 </w:t>
      </w:r>
      <w:r w:rsidRPr="00070ADE">
        <w:rPr>
          <w:rStyle w:val="1pt"/>
          <w:rFonts w:ascii="Times New Roman" w:hAnsi="Times New Roman" w:cs="Times New Roman"/>
          <w:color w:val="000000" w:themeColor="text1"/>
          <w:spacing w:val="0"/>
          <w:sz w:val="16"/>
          <w:szCs w:val="16"/>
        </w:rPr>
        <w:t>кг.</w:t>
      </w:r>
      <w:r w:rsidRPr="00070ADE">
        <w:rPr>
          <w:rFonts w:ascii="Times New Roman" w:hAnsi="Times New Roman"/>
          <w:color w:val="000000" w:themeColor="text1"/>
          <w:sz w:val="16"/>
          <w:szCs w:val="16"/>
        </w:rPr>
        <w:t xml:space="preserve"> или 6 бомб по 1.000 </w:t>
      </w:r>
      <w:r w:rsidRPr="00070ADE">
        <w:rPr>
          <w:rStyle w:val="1pt"/>
          <w:rFonts w:ascii="Times New Roman" w:hAnsi="Times New Roman" w:cs="Times New Roman"/>
          <w:color w:val="000000" w:themeColor="text1"/>
          <w:spacing w:val="0"/>
          <w:sz w:val="16"/>
          <w:szCs w:val="16"/>
        </w:rPr>
        <w:t>кг.;</w:t>
      </w:r>
    </w:p>
    <w:p w14:paraId="49563636" w14:textId="77777777" w:rsidR="00F51A95" w:rsidRPr="00070ADE" w:rsidRDefault="00F51A95" w:rsidP="00B56F90">
      <w:pPr>
        <w:tabs>
          <w:tab w:val="left" w:pos="129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увеличить угол обстрела носовой стрелковой точ</w:t>
      </w:r>
      <w:r w:rsidRPr="00070ADE">
        <w:rPr>
          <w:rFonts w:ascii="Times New Roman" w:hAnsi="Times New Roman"/>
          <w:color w:val="000000" w:themeColor="text1"/>
          <w:sz w:val="16"/>
          <w:szCs w:val="16"/>
        </w:rPr>
        <w:softHyphen/>
        <w:t>ки до 110°;</w:t>
      </w:r>
    </w:p>
    <w:p w14:paraId="0B6A9E12" w14:textId="77777777" w:rsidR="00F51A95" w:rsidRPr="00070ADE" w:rsidRDefault="00F51A95" w:rsidP="00B56F90">
      <w:pPr>
        <w:tabs>
          <w:tab w:val="left" w:pos="129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установить дополнительно две бортовые стрелко</w:t>
      </w:r>
      <w:r w:rsidRPr="00070ADE">
        <w:rPr>
          <w:rFonts w:ascii="Times New Roman" w:hAnsi="Times New Roman"/>
          <w:color w:val="000000" w:themeColor="text1"/>
          <w:sz w:val="16"/>
          <w:szCs w:val="16"/>
        </w:rPr>
        <w:softHyphen/>
        <w:t>вые течки;</w:t>
      </w:r>
    </w:p>
    <w:p w14:paraId="143ED3F6" w14:textId="77777777" w:rsidR="00F51A95" w:rsidRPr="00070ADE" w:rsidRDefault="00F51A95" w:rsidP="00B56F90">
      <w:pPr>
        <w:tabs>
          <w:tab w:val="left" w:pos="129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уменьшить мидель фюзеляжа, переделать его носо</w:t>
      </w:r>
      <w:r w:rsidRPr="00070ADE">
        <w:rPr>
          <w:rFonts w:ascii="Times New Roman" w:hAnsi="Times New Roman"/>
          <w:color w:val="000000" w:themeColor="text1"/>
          <w:sz w:val="16"/>
          <w:szCs w:val="16"/>
        </w:rPr>
        <w:softHyphen/>
        <w:t>вую часть, обеспечив размещение обоих пилотов рядом и более переднее их расположение;</w:t>
      </w:r>
    </w:p>
    <w:p w14:paraId="4956396B" w14:textId="77777777" w:rsidR="00F51A95" w:rsidRPr="00070ADE" w:rsidRDefault="00F51A95" w:rsidP="00B56F90">
      <w:pPr>
        <w:tabs>
          <w:tab w:val="left" w:pos="131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 закапотировать полностью колеса в убранном по</w:t>
      </w:r>
      <w:r w:rsidRPr="00070ADE">
        <w:rPr>
          <w:rFonts w:ascii="Times New Roman" w:hAnsi="Times New Roman"/>
          <w:color w:val="000000" w:themeColor="text1"/>
          <w:sz w:val="16"/>
          <w:szCs w:val="16"/>
        </w:rPr>
        <w:softHyphen/>
        <w:t>ложении;</w:t>
      </w:r>
    </w:p>
    <w:p w14:paraId="0BE5886E"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 произвести герметизацию самолет</w:t>
      </w:r>
    </w:p>
    <w:p w14:paraId="7FAF8D2B"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Установить, что модернизированный самолет., по сравнению с серийным самолетом Пе-8, должен обладать следующими преимуществами:</w:t>
      </w:r>
    </w:p>
    <w:p w14:paraId="0CC7A715"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максимальной скорости у земли больше - на 30 км/час</w:t>
      </w:r>
    </w:p>
    <w:p w14:paraId="626178DD"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максимальной скорости на гра</w:t>
      </w:r>
      <w:r w:rsidRPr="00070ADE">
        <w:rPr>
          <w:rFonts w:ascii="Times New Roman" w:hAnsi="Times New Roman"/>
          <w:color w:val="000000" w:themeColor="text1"/>
          <w:sz w:val="16"/>
          <w:szCs w:val="16"/>
        </w:rPr>
        <w:softHyphen/>
        <w:t>нице высотности больше - на 80 км/час</w:t>
      </w:r>
    </w:p>
    <w:p w14:paraId="5066A4E1"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практическому потолку выше - на 3000 м</w:t>
      </w:r>
    </w:p>
    <w:p w14:paraId="0CD0297A"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дальности полета с 4.000 кг. бомб дальше - на 500 км</w:t>
      </w:r>
    </w:p>
    <w:p w14:paraId="28D3E9B7"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максимальной бомбовой нагрузке больше - на 2000 кг</w:t>
      </w:r>
    </w:p>
    <w:p w14:paraId="64B9D464"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стрелковому вооружению больше на 2 пулемета УБТ</w:t>
      </w:r>
    </w:p>
    <w:p w14:paraId="4815E209"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пушки и 5 пулеметов вместо 2 пушек и 3 пулеметов).</w:t>
      </w:r>
    </w:p>
    <w:p w14:paraId="0A8D47B8"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Самолет пред"явить на летные испытания к 15 июля 1944 года со следующими летно-тактическими данными при полетном весе 26 тонн:</w:t>
      </w:r>
    </w:p>
    <w:p w14:paraId="69050627"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у земли - 390 км/час</w:t>
      </w:r>
    </w:p>
    <w:p w14:paraId="00C9FBBC" w14:textId="77777777" w:rsidR="00F51A95" w:rsidRPr="00070ADE" w:rsidRDefault="00F51A95" w:rsidP="00B56F90">
      <w:pPr>
        <w:tabs>
          <w:tab w:val="left" w:pos="226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высоте 9.000 мт - 500 км/час</w:t>
      </w:r>
    </w:p>
    <w:p w14:paraId="5FCB0E8C"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под"ема на высоту 6.000 мт - 16 минут</w:t>
      </w:r>
    </w:p>
    <w:p w14:paraId="0BF9F3FF"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- 11000 м</w:t>
      </w:r>
    </w:p>
    <w:p w14:paraId="0F122221"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техническая дальность по боевому профилю с 2000 кг бомб при весе 35000 кг - 5000 км</w:t>
      </w:r>
    </w:p>
    <w:p w14:paraId="45B41112"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с дополнительными баками при весе 37.500 кг - 6000 км</w:t>
      </w:r>
    </w:p>
    <w:p w14:paraId="27FFCB83"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техническая дальность по боево</w:t>
      </w:r>
      <w:r w:rsidRPr="00070ADE">
        <w:rPr>
          <w:rFonts w:ascii="Times New Roman" w:hAnsi="Times New Roman"/>
          <w:color w:val="000000" w:themeColor="text1"/>
          <w:sz w:val="16"/>
          <w:szCs w:val="16"/>
        </w:rPr>
        <w:softHyphen/>
        <w:t>му профилю с 6.000 кг бомб - 4200 км</w:t>
      </w:r>
    </w:p>
    <w:p w14:paraId="1B2F309E"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техническая дальность по боево</w:t>
      </w:r>
      <w:r w:rsidRPr="00070ADE">
        <w:rPr>
          <w:rFonts w:ascii="Times New Roman" w:hAnsi="Times New Roman"/>
          <w:color w:val="000000" w:themeColor="text1"/>
          <w:sz w:val="16"/>
          <w:szCs w:val="16"/>
        </w:rPr>
        <w:softHyphen/>
        <w:t>му профилю с 8000 кг бомб - 3100 км</w:t>
      </w:r>
    </w:p>
    <w:p w14:paraId="7C68D092"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разбег при максимальном полет</w:t>
      </w:r>
      <w:r w:rsidRPr="00070ADE">
        <w:rPr>
          <w:rFonts w:ascii="Times New Roman" w:hAnsi="Times New Roman"/>
          <w:color w:val="000000" w:themeColor="text1"/>
          <w:sz w:val="16"/>
          <w:szCs w:val="16"/>
        </w:rPr>
        <w:softHyphen/>
        <w:t>ном весе 37. 500 кг - 800 м</w:t>
      </w:r>
    </w:p>
    <w:p w14:paraId="5C167390"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стрелковое вооружение:</w:t>
      </w:r>
    </w:p>
    <w:p w14:paraId="645C4556"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носовая установке - 1 пулемет калибра</w:t>
      </w:r>
      <w:r w:rsidRPr="00070ADE">
        <w:rPr>
          <w:rStyle w:val="Batang95pt1pt"/>
          <w:rFonts w:ascii="Times New Roman" w:hAnsi="Times New Roman" w:cs="Times New Roman"/>
          <w:color w:val="000000" w:themeColor="text1"/>
          <w:spacing w:val="0"/>
          <w:sz w:val="16"/>
          <w:szCs w:val="16"/>
        </w:rPr>
        <w:t xml:space="preserve"> 12.7</w:t>
      </w:r>
      <w:r w:rsidRPr="00070ADE">
        <w:rPr>
          <w:rFonts w:ascii="Times New Roman" w:hAnsi="Times New Roman"/>
          <w:color w:val="000000" w:themeColor="text1"/>
          <w:sz w:val="16"/>
          <w:szCs w:val="16"/>
        </w:rPr>
        <w:t xml:space="preserve"> мм с ко</w:t>
      </w:r>
      <w:r w:rsidRPr="00070ADE">
        <w:rPr>
          <w:rFonts w:ascii="Times New Roman" w:hAnsi="Times New Roman"/>
          <w:color w:val="000000" w:themeColor="text1"/>
          <w:sz w:val="16"/>
          <w:szCs w:val="16"/>
        </w:rPr>
        <w:softHyphen/>
        <w:t>нусом обстрела до 110® с бое</w:t>
      </w:r>
      <w:r w:rsidRPr="00070ADE">
        <w:rPr>
          <w:rFonts w:ascii="Times New Roman" w:hAnsi="Times New Roman"/>
          <w:color w:val="000000" w:themeColor="text1"/>
          <w:sz w:val="16"/>
          <w:szCs w:val="16"/>
        </w:rPr>
        <w:softHyphen/>
        <w:t xml:space="preserve">запасом </w:t>
      </w:r>
      <w:r w:rsidRPr="00070ADE">
        <w:rPr>
          <w:rStyle w:val="0pt"/>
          <w:rFonts w:ascii="Times New Roman" w:hAnsi="Times New Roman" w:cs="Times New Roman"/>
          <w:color w:val="000000" w:themeColor="text1"/>
          <w:spacing w:val="0"/>
          <w:sz w:val="16"/>
          <w:szCs w:val="16"/>
        </w:rPr>
        <w:t>200</w:t>
      </w:r>
      <w:r w:rsidRPr="00070ADE">
        <w:rPr>
          <w:rFonts w:ascii="Times New Roman" w:hAnsi="Times New Roman"/>
          <w:color w:val="000000" w:themeColor="text1"/>
          <w:sz w:val="16"/>
          <w:szCs w:val="16"/>
        </w:rPr>
        <w:t xml:space="preserve"> патронов</w:t>
      </w:r>
    </w:p>
    <w:p w14:paraId="42DCCEE8"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кормовая установка - 1 пушка калибра 20 ми для обстрела задней полусферы с боезапасом 400 снарядов,</w:t>
      </w:r>
    </w:p>
    <w:p w14:paraId="2BFA6BE1"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верхняя установка т. 1-пушка калибра 20 мм для обстрела верхней полусферы с боезапасов 400 снарядов,</w:t>
      </w:r>
    </w:p>
    <w:p w14:paraId="41096929" w14:textId="77777777" w:rsidR="00F51A95" w:rsidRPr="00070ADE" w:rsidRDefault="00F51A95" w:rsidP="00B56F90">
      <w:pPr>
        <w:tabs>
          <w:tab w:val="left" w:pos="257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в обтекате- 2 пулемета калибра 12,7 мм лях шасси - для обстрела знпз-назад с боезапасом 800 патронов,</w:t>
      </w:r>
    </w:p>
    <w:p w14:paraId="21141C3E"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бортовая установке - 2 пулемета калибра 12,7 мм</w:t>
      </w:r>
    </w:p>
    <w:p w14:paraId="1B8C41E7"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обстрела вперед-вниз и назад вниз с боезапасом 400 патронов.</w:t>
      </w:r>
    </w:p>
    <w:p w14:paraId="6EC90A6A"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Калибр подвешиваемых бомб от 100 кг до 5,000 кг</w:t>
      </w:r>
    </w:p>
    <w:p w14:paraId="31A179FF"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Наркомфину СССР - т.Звереву выделить НКАП из резервного фонда СНК СССР:</w:t>
      </w:r>
    </w:p>
    <w:p w14:paraId="1AD1FE49"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пять миллионов рублёй на проектирование и по</w:t>
      </w:r>
      <w:r w:rsidRPr="00070ADE">
        <w:rPr>
          <w:rFonts w:ascii="Times New Roman" w:hAnsi="Times New Roman"/>
          <w:color w:val="000000" w:themeColor="text1"/>
          <w:sz w:val="16"/>
          <w:szCs w:val="16"/>
        </w:rPr>
        <w:softHyphen/>
        <w:t>стройку модернизированного самолета Пе-8;</w:t>
      </w:r>
    </w:p>
    <w:p w14:paraId="0514F769"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для поощрения работников ОКБ и завода за выпол</w:t>
      </w:r>
      <w:r w:rsidRPr="00070ADE">
        <w:rPr>
          <w:rFonts w:ascii="Times New Roman" w:hAnsi="Times New Roman"/>
          <w:color w:val="000000" w:themeColor="text1"/>
          <w:sz w:val="16"/>
          <w:szCs w:val="16"/>
        </w:rPr>
        <w:softHyphen/>
        <w:t>нение задания в установленный срок 500.тыс.рублей.</w:t>
      </w:r>
    </w:p>
    <w:p w14:paraId="1064362A" w14:textId="77777777" w:rsidR="00F51A95" w:rsidRPr="00070ADE" w:rsidRDefault="00F51A95" w:rsidP="00B56F90">
      <w:pPr>
        <w:tabs>
          <w:tab w:val="left" w:pos="82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Обязать Нарксксредмаш -</w:t>
      </w:r>
      <w:r w:rsidRPr="00070ADE">
        <w:rPr>
          <w:rStyle w:val="affa"/>
          <w:rFonts w:ascii="Times New Roman" w:hAnsi="Times New Roman" w:cs="Times New Roman"/>
          <w:color w:val="000000" w:themeColor="text1"/>
          <w:spacing w:val="0"/>
          <w:sz w:val="16"/>
          <w:szCs w:val="16"/>
        </w:rPr>
        <w:t xml:space="preserve"> г.</w:t>
      </w:r>
      <w:r w:rsidRPr="00070ADE">
        <w:rPr>
          <w:rFonts w:ascii="Times New Roman" w:hAnsi="Times New Roman"/>
          <w:color w:val="000000" w:themeColor="text1"/>
          <w:sz w:val="16"/>
          <w:szCs w:val="16"/>
        </w:rPr>
        <w:t>Акопова в первом квартале</w:t>
      </w:r>
      <w:r w:rsidRPr="00070ADE">
        <w:rPr>
          <w:rStyle w:val="affa"/>
          <w:rFonts w:ascii="Times New Roman" w:hAnsi="Times New Roman" w:cs="Times New Roman"/>
          <w:color w:val="000000" w:themeColor="text1"/>
          <w:spacing w:val="0"/>
          <w:sz w:val="16"/>
          <w:szCs w:val="16"/>
        </w:rPr>
        <w:t xml:space="preserve"> </w:t>
      </w:r>
      <w:r w:rsidRPr="00070ADE">
        <w:rPr>
          <w:rStyle w:val="affa"/>
          <w:rFonts w:ascii="Times New Roman" w:hAnsi="Times New Roman" w:cs="Times New Roman"/>
          <w:b w:val="0"/>
          <w:color w:val="000000" w:themeColor="text1"/>
          <w:spacing w:val="0"/>
          <w:sz w:val="16"/>
          <w:szCs w:val="16"/>
        </w:rPr>
        <w:t>1944</w:t>
      </w:r>
      <w:r w:rsidRPr="00070ADE">
        <w:rPr>
          <w:rFonts w:ascii="Times New Roman" w:hAnsi="Times New Roman"/>
          <w:color w:val="000000" w:themeColor="text1"/>
          <w:sz w:val="16"/>
          <w:szCs w:val="16"/>
        </w:rPr>
        <w:t xml:space="preserve"> года дополнительно выделить Наркомавиалрому </w:t>
      </w:r>
      <w:r w:rsidRPr="00070ADE">
        <w:rPr>
          <w:rStyle w:val="affa"/>
          <w:rFonts w:ascii="Times New Roman" w:hAnsi="Times New Roman" w:cs="Times New Roman"/>
          <w:color w:val="000000" w:themeColor="text1"/>
          <w:spacing w:val="0"/>
          <w:sz w:val="16"/>
          <w:szCs w:val="16"/>
        </w:rPr>
        <w:t>для ОКБ т.Незваль одну</w:t>
      </w:r>
      <w:r w:rsidRPr="00070ADE">
        <w:rPr>
          <w:rFonts w:ascii="Times New Roman" w:hAnsi="Times New Roman"/>
          <w:color w:val="000000" w:themeColor="text1"/>
          <w:sz w:val="16"/>
          <w:szCs w:val="16"/>
        </w:rPr>
        <w:t xml:space="preserve"> легковую и</w:t>
      </w:r>
      <w:r w:rsidRPr="00070ADE">
        <w:rPr>
          <w:rStyle w:val="affa"/>
          <w:rFonts w:ascii="Times New Roman" w:hAnsi="Times New Roman" w:cs="Times New Roman"/>
          <w:color w:val="000000" w:themeColor="text1"/>
          <w:spacing w:val="0"/>
          <w:sz w:val="16"/>
          <w:szCs w:val="16"/>
        </w:rPr>
        <w:t xml:space="preserve"> одну</w:t>
      </w:r>
      <w:r w:rsidRPr="00070ADE">
        <w:rPr>
          <w:rFonts w:ascii="Times New Roman" w:hAnsi="Times New Roman"/>
          <w:color w:val="000000" w:themeColor="text1"/>
          <w:sz w:val="16"/>
          <w:szCs w:val="16"/>
        </w:rPr>
        <w:t xml:space="preserve"> грузовую трех</w:t>
      </w:r>
      <w:r w:rsidRPr="00070ADE">
        <w:rPr>
          <w:rFonts w:ascii="Times New Roman" w:hAnsi="Times New Roman"/>
          <w:color w:val="000000" w:themeColor="text1"/>
          <w:sz w:val="16"/>
          <w:szCs w:val="16"/>
        </w:rPr>
        <w:softHyphen/>
        <w:t>тонную автомашины^</w:t>
      </w:r>
    </w:p>
    <w:p w14:paraId="6F7E9384" w14:textId="77777777" w:rsidR="00F51A95" w:rsidRPr="00070ADE" w:rsidRDefault="00F51A95" w:rsidP="00B56F90">
      <w:pPr>
        <w:tabs>
          <w:tab w:val="left" w:pos="81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Обязать Наркомторг СССР т Любимова выделить для ОКБ т.Незваль, начиная с марта сего года дополни</w:t>
      </w:r>
      <w:r w:rsidRPr="00070ADE">
        <w:rPr>
          <w:rFonts w:ascii="Times New Roman" w:hAnsi="Times New Roman"/>
          <w:color w:val="000000" w:themeColor="text1"/>
          <w:sz w:val="16"/>
          <w:szCs w:val="16"/>
        </w:rPr>
        <w:softHyphen/>
        <w:t>тельно 15 литерных пайков, 30 пайков Р-4 и 50 вторых горячих.</w:t>
      </w:r>
    </w:p>
    <w:p w14:paraId="65EE19E0" w14:textId="77777777" w:rsidR="00F51A95" w:rsidRPr="00070ADE" w:rsidRDefault="00F51A95" w:rsidP="00B56F90">
      <w:pPr>
        <w:tabs>
          <w:tab w:val="left" w:pos="81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Обязать Наркомтекстильпром СССР - т.Акимова выделить ОКБ т. Незваль за счет переходящих остатков промышленности специальным назначением:</w:t>
      </w:r>
    </w:p>
    <w:p w14:paraId="7A638801" w14:textId="77777777" w:rsidR="00F51A95" w:rsidRPr="00070ADE" w:rsidRDefault="00F51A95" w:rsidP="00B56F90">
      <w:pPr>
        <w:pStyle w:val="34"/>
        <w:shd w:val="clear" w:color="auto" w:fill="auto"/>
        <w:tabs>
          <w:tab w:val="left" w:pos="3382"/>
        </w:tabs>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хлопчатобумажной</w:t>
      </w:r>
      <w:r w:rsidRPr="00070ADE">
        <w:rPr>
          <w:rStyle w:val="3d"/>
          <w:rFonts w:eastAsia="Gungsuh"/>
          <w:color w:val="000000" w:themeColor="text1"/>
          <w:spacing w:val="0"/>
          <w:sz w:val="16"/>
          <w:szCs w:val="16"/>
        </w:rPr>
        <w:t xml:space="preserve"> </w:t>
      </w:r>
      <w:r w:rsidRPr="00070ADE">
        <w:rPr>
          <w:rStyle w:val="3d"/>
          <w:rFonts w:eastAsia="Gungsuh"/>
          <w:b w:val="0"/>
          <w:color w:val="000000" w:themeColor="text1"/>
          <w:spacing w:val="0"/>
          <w:sz w:val="16"/>
          <w:szCs w:val="16"/>
        </w:rPr>
        <w:t>ткани - на 10000 руб.</w:t>
      </w:r>
    </w:p>
    <w:p w14:paraId="57658234" w14:textId="77777777" w:rsidR="00F51A95" w:rsidRPr="00070ADE" w:rsidRDefault="00F51A95" w:rsidP="00B56F90">
      <w:pPr>
        <w:tabs>
          <w:tab w:val="left" w:pos="338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шерстяной ткани - на 50.000 рублей.</w:t>
      </w:r>
    </w:p>
    <w:p w14:paraId="6C40D7D5" w14:textId="77777777" w:rsidR="00F51A95" w:rsidRPr="00070ADE" w:rsidRDefault="00F51A95" w:rsidP="00B56F90">
      <w:pPr>
        <w:spacing w:after="0" w:line="240" w:lineRule="auto"/>
        <w:jc w:val="both"/>
        <w:rPr>
          <w:rFonts w:ascii="Times New Roman" w:hAnsi="Times New Roman"/>
          <w:color w:val="000000" w:themeColor="text1"/>
          <w:sz w:val="16"/>
          <w:szCs w:val="16"/>
        </w:rPr>
      </w:pPr>
      <w:r w:rsidRPr="00070ADE">
        <w:rPr>
          <w:rFonts w:ascii="Times New Roman" w:eastAsia="Times New Roman" w:hAnsi="Times New Roman"/>
          <w:color w:val="000000" w:themeColor="text1"/>
          <w:sz w:val="16"/>
          <w:szCs w:val="16"/>
          <w:lang w:eastAsia="ru-RU"/>
        </w:rPr>
        <w:t>8. Обяэать Нарконлегпром СССР - т.Лукина выде</w:t>
      </w:r>
      <w:r w:rsidRPr="00070ADE">
        <w:rPr>
          <w:rFonts w:ascii="Times New Roman" w:eastAsia="Times New Roman" w:hAnsi="Times New Roman"/>
          <w:color w:val="000000" w:themeColor="text1"/>
          <w:sz w:val="16"/>
          <w:szCs w:val="16"/>
          <w:lang w:eastAsia="ru-RU"/>
        </w:rPr>
        <w:softHyphen/>
        <w:t>лить ОКБ т.Незваль за счет переходящих остатков про</w:t>
      </w:r>
      <w:r w:rsidRPr="00070ADE">
        <w:rPr>
          <w:rFonts w:ascii="Times New Roman" w:eastAsia="Times New Roman" w:hAnsi="Times New Roman"/>
          <w:color w:val="000000" w:themeColor="text1"/>
          <w:sz w:val="16"/>
          <w:szCs w:val="16"/>
          <w:lang w:eastAsia="ru-RU"/>
        </w:rPr>
        <w:softHyphen/>
        <w:t xml:space="preserve">мышленности целевым назначением обуви - 300 пар </w:t>
      </w:r>
      <w:r w:rsidRPr="00070ADE">
        <w:rPr>
          <w:rFonts w:ascii="Times New Roman" w:hAnsi="Times New Roman"/>
          <w:color w:val="000000" w:themeColor="text1"/>
          <w:sz w:val="16"/>
          <w:szCs w:val="16"/>
        </w:rPr>
        <w:t>(19444).</w:t>
      </w:r>
    </w:p>
    <w:p w14:paraId="0EA50982" w14:textId="77777777" w:rsidR="00F51A95" w:rsidRPr="00070ADE" w:rsidRDefault="00F51A95" w:rsidP="00B56F90">
      <w:pPr>
        <w:autoSpaceDE w:val="0"/>
        <w:autoSpaceDN w:val="0"/>
        <w:adjustRightInd w:val="0"/>
        <w:spacing w:after="0" w:line="240" w:lineRule="auto"/>
        <w:jc w:val="both"/>
        <w:rPr>
          <w:rFonts w:ascii="Times New Roman" w:hAnsi="Times New Roman"/>
          <w:color w:val="000000" w:themeColor="text1"/>
          <w:sz w:val="16"/>
          <w:szCs w:val="16"/>
        </w:rPr>
      </w:pPr>
    </w:p>
    <w:p w14:paraId="6C6A6E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года вышло постановление ГКО, которое потребовало дальнейших доработок проекта модифицированного Пе-8 4М-82ФН ТК-3. После обсуждения НКАП окончательно решено было ставить ТК, добавилось требование к увеличению огневой защиты спереди-снизу (по предложению Незваля) (7685).</w:t>
      </w:r>
    </w:p>
    <w:p w14:paraId="4A2D9A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86D059" w14:textId="77777777" w:rsidR="00673CAB" w:rsidRPr="00070ADE" w:rsidRDefault="00673CAB" w:rsidP="00B56F90">
      <w:pPr>
        <w:pStyle w:val="ae"/>
        <w:shd w:val="clear" w:color="auto" w:fill="FFFFFF"/>
        <w:spacing w:before="0" w:after="0"/>
        <w:jc w:val="both"/>
        <w:rPr>
          <w:color w:val="000000" w:themeColor="text1"/>
          <w:sz w:val="16"/>
          <w:szCs w:val="16"/>
        </w:rPr>
      </w:pPr>
      <w:r w:rsidRPr="00070ADE">
        <w:rPr>
          <w:color w:val="000000" w:themeColor="text1"/>
          <w:sz w:val="16"/>
          <w:szCs w:val="16"/>
        </w:rPr>
        <w:t>20 февраля 1944 года остановлени ГКО потребовало дальнейших доработок проекта Пе-8 4М-82ФН ТК-3. В частности, после обсуждения НКАП окончательно решено было ставить ТК, добавилось требование к увеличению огневой защиты спереди-снизу (по предложению Незваля) (12187).</w:t>
      </w:r>
    </w:p>
    <w:p w14:paraId="18F3D0E2" w14:textId="77777777" w:rsidR="00673CAB" w:rsidRPr="00070ADE" w:rsidRDefault="00673CAB" w:rsidP="00B56F90">
      <w:pPr>
        <w:pStyle w:val="ae"/>
        <w:shd w:val="clear" w:color="auto" w:fill="FFFFFF"/>
        <w:spacing w:before="0" w:after="0"/>
        <w:jc w:val="both"/>
        <w:rPr>
          <w:color w:val="000000" w:themeColor="text1"/>
          <w:sz w:val="16"/>
          <w:szCs w:val="16"/>
        </w:rPr>
      </w:pPr>
    </w:p>
    <w:p w14:paraId="0C38CDBA" w14:textId="77777777" w:rsidR="00FD2BDD" w:rsidRPr="00C94B78" w:rsidRDefault="00FD2BD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20 февраля 1944 года постановление ГОКО т предшествовавшие ему рассмотрение проекта модифицированного Пе-8 4М-82ФН ТК-3 в НКАП потребовало дальнейших доработок проекта. В частности, после обсуждения НКАП окончательно решено было ставить ТК. Кроме того, добавилось (по предложению Незваля) требование к увеличению огневой защиты спереди снизу (25286).</w:t>
      </w:r>
    </w:p>
    <w:p w14:paraId="7A391E8D" w14:textId="77777777" w:rsidR="00FD2BDD" w:rsidRPr="00C94B78" w:rsidRDefault="00FD2BDD" w:rsidP="00B56F90">
      <w:pPr>
        <w:spacing w:after="0" w:line="240" w:lineRule="auto"/>
        <w:jc w:val="both"/>
        <w:rPr>
          <w:rFonts w:ascii="Times New Roman" w:hAnsi="Times New Roman"/>
          <w:color w:val="0070C0"/>
          <w:sz w:val="16"/>
          <w:szCs w:val="16"/>
        </w:rPr>
      </w:pPr>
    </w:p>
    <w:p w14:paraId="5CA12CD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вышло Постановление ГКО № 5219 О переоборудовании самолетов Як-9 в варианте истребителя-бомбардировщика. РГАНИР, Фонд ГКО, д. 211, лл. 2-3 (11012).</w:t>
      </w:r>
    </w:p>
    <w:p w14:paraId="2E41290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4D039AE" w14:textId="1038955E" w:rsidR="00B21490" w:rsidRPr="00070ADE" w:rsidRDefault="00B214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вышло Постановление ГКО № 5220 О выпуске самолетов Як-9 в варианте истребителя-бомбардировщика</w:t>
      </w:r>
    </w:p>
    <w:p w14:paraId="134181E9" w14:textId="77777777" w:rsidR="00B21490" w:rsidRPr="00070ADE" w:rsidRDefault="00B21490"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Государственный Комитет Обороны постановляет:</w:t>
      </w:r>
    </w:p>
    <w:p w14:paraId="532175E0" w14:textId="77777777" w:rsidR="00B21490" w:rsidRPr="00070ADE" w:rsidRDefault="00B21490"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Style w:val="affa"/>
          <w:rFonts w:ascii="Times New Roman" w:cs="Times New Roman"/>
          <w:color w:val="000000" w:themeColor="text1"/>
          <w:spacing w:val="0"/>
          <w:sz w:val="16"/>
          <w:szCs w:val="16"/>
        </w:rPr>
        <w:t>1.</w:t>
      </w:r>
      <w:r w:rsidRPr="00070ADE">
        <w:rPr>
          <w:rFonts w:ascii="Times New Roman" w:cs="Times New Roman"/>
          <w:color w:val="000000" w:themeColor="text1"/>
          <w:spacing w:val="0"/>
          <w:sz w:val="16"/>
          <w:szCs w:val="16"/>
        </w:rPr>
        <w:t xml:space="preserve"> Обязать Наркомавиапрон - т.Шахурина</w:t>
      </w:r>
      <w:r w:rsidRPr="00070ADE">
        <w:rPr>
          <w:rStyle w:val="affa"/>
          <w:rFonts w:ascii="Times New Roman" w:cs="Times New Roman"/>
          <w:color w:val="000000" w:themeColor="text1"/>
          <w:spacing w:val="0"/>
          <w:sz w:val="16"/>
          <w:szCs w:val="16"/>
        </w:rPr>
        <w:t xml:space="preserve"> </w:t>
      </w:r>
      <w:r w:rsidRPr="00070ADE">
        <w:rPr>
          <w:rStyle w:val="affa"/>
          <w:rFonts w:ascii="Times New Roman" w:cs="Times New Roman"/>
          <w:b w:val="0"/>
          <w:color w:val="000000" w:themeColor="text1"/>
          <w:spacing w:val="0"/>
          <w:sz w:val="16"/>
          <w:szCs w:val="16"/>
        </w:rPr>
        <w:t>и т.Яковлева</w:t>
      </w:r>
      <w:r w:rsidRPr="00070ADE">
        <w:rPr>
          <w:rStyle w:val="affa"/>
          <w:rFonts w:ascii="Times New Roman" w:cs="Times New Roman"/>
          <w:color w:val="000000" w:themeColor="text1"/>
          <w:spacing w:val="0"/>
          <w:sz w:val="16"/>
          <w:szCs w:val="16"/>
        </w:rPr>
        <w:t xml:space="preserve"> </w:t>
      </w:r>
      <w:r w:rsidRPr="00070ADE">
        <w:rPr>
          <w:rFonts w:ascii="Times New Roman" w:cs="Times New Roman"/>
          <w:color w:val="000000" w:themeColor="text1"/>
          <w:spacing w:val="0"/>
          <w:sz w:val="16"/>
          <w:szCs w:val="16"/>
        </w:rPr>
        <w:t>переоборудовать и сдать ВВС КА 80 самолетов Як-9 (на два полка)</w:t>
      </w:r>
      <w:r w:rsidRPr="00070ADE">
        <w:rPr>
          <w:rStyle w:val="affa"/>
          <w:rFonts w:ascii="Times New Roman" w:cs="Times New Roman"/>
          <w:color w:val="000000" w:themeColor="text1"/>
          <w:spacing w:val="0"/>
          <w:sz w:val="16"/>
          <w:szCs w:val="16"/>
        </w:rPr>
        <w:t xml:space="preserve"> в</w:t>
      </w:r>
      <w:r w:rsidRPr="00070ADE">
        <w:rPr>
          <w:rFonts w:ascii="Times New Roman" w:cs="Times New Roman"/>
          <w:color w:val="000000" w:themeColor="text1"/>
          <w:spacing w:val="0"/>
          <w:sz w:val="16"/>
          <w:szCs w:val="16"/>
        </w:rPr>
        <w:t xml:space="preserve"> варианте истребителя-бомбардировщика, с сохране</w:t>
      </w:r>
      <w:r w:rsidRPr="00070ADE">
        <w:rPr>
          <w:rFonts w:ascii="Times New Roman" w:cs="Times New Roman"/>
          <w:color w:val="000000" w:themeColor="text1"/>
          <w:spacing w:val="0"/>
          <w:sz w:val="16"/>
          <w:szCs w:val="16"/>
        </w:rPr>
        <w:softHyphen/>
        <w:t>нием максимальных скоростей и дальности серийных самоле</w:t>
      </w:r>
      <w:r w:rsidRPr="00070ADE">
        <w:rPr>
          <w:rFonts w:ascii="Times New Roman" w:cs="Times New Roman"/>
          <w:color w:val="000000" w:themeColor="text1"/>
          <w:spacing w:val="0"/>
          <w:sz w:val="16"/>
          <w:szCs w:val="16"/>
        </w:rPr>
        <w:softHyphen/>
        <w:t>тов Як-9.</w:t>
      </w:r>
    </w:p>
    <w:p w14:paraId="45B3EEFD" w14:textId="77777777" w:rsidR="00B21490" w:rsidRPr="00070ADE" w:rsidRDefault="00B21490"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Вооружение самолета:</w:t>
      </w:r>
    </w:p>
    <w:p w14:paraId="22E426DF" w14:textId="77777777" w:rsidR="00B21490" w:rsidRPr="00070ADE" w:rsidRDefault="00B21490" w:rsidP="00B56F90">
      <w:pPr>
        <w:pStyle w:val="36"/>
        <w:shd w:val="clear" w:color="auto" w:fill="auto"/>
        <w:tabs>
          <w:tab w:val="left" w:pos="1195"/>
        </w:tabs>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а) бомбовое - кассета в задней кабине под 200 кг. противотанковых авиационных бомб;</w:t>
      </w:r>
    </w:p>
    <w:p w14:paraId="25B3ED04" w14:textId="77777777" w:rsidR="00B21490" w:rsidRPr="00070ADE" w:rsidRDefault="00B21490" w:rsidP="00B56F90">
      <w:pPr>
        <w:pStyle w:val="36"/>
        <w:shd w:val="clear" w:color="auto" w:fill="auto"/>
        <w:tabs>
          <w:tab w:val="left" w:pos="1195"/>
        </w:tabs>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 xml:space="preserve">б) </w:t>
      </w:r>
      <w:r w:rsidRPr="00070ADE">
        <w:rPr>
          <w:rStyle w:val="affa"/>
          <w:rFonts w:ascii="Times New Roman" w:cs="Times New Roman"/>
          <w:b w:val="0"/>
          <w:color w:val="000000" w:themeColor="text1"/>
          <w:spacing w:val="0"/>
          <w:sz w:val="16"/>
          <w:szCs w:val="16"/>
        </w:rPr>
        <w:t>стрелковое - одна</w:t>
      </w:r>
      <w:r w:rsidRPr="00070ADE">
        <w:rPr>
          <w:rFonts w:ascii="Times New Roman" w:cs="Times New Roman"/>
          <w:b/>
          <w:color w:val="000000" w:themeColor="text1"/>
          <w:spacing w:val="0"/>
          <w:sz w:val="16"/>
          <w:szCs w:val="16"/>
        </w:rPr>
        <w:t xml:space="preserve"> </w:t>
      </w:r>
      <w:r w:rsidRPr="00070ADE">
        <w:rPr>
          <w:rFonts w:ascii="Times New Roman" w:cs="Times New Roman"/>
          <w:color w:val="000000" w:themeColor="text1"/>
          <w:spacing w:val="0"/>
          <w:sz w:val="16"/>
          <w:szCs w:val="16"/>
        </w:rPr>
        <w:t>пушка</w:t>
      </w:r>
      <w:r w:rsidRPr="00070ADE">
        <w:rPr>
          <w:rStyle w:val="affa"/>
          <w:rFonts w:ascii="Times New Roman" w:cs="Times New Roman"/>
          <w:color w:val="000000" w:themeColor="text1"/>
          <w:spacing w:val="0"/>
          <w:sz w:val="16"/>
          <w:szCs w:val="16"/>
        </w:rPr>
        <w:t xml:space="preserve"> </w:t>
      </w:r>
      <w:r w:rsidRPr="00070ADE">
        <w:rPr>
          <w:rStyle w:val="affa"/>
          <w:rFonts w:ascii="Times New Roman" w:cs="Times New Roman"/>
          <w:b w:val="0"/>
          <w:color w:val="000000" w:themeColor="text1"/>
          <w:spacing w:val="0"/>
          <w:sz w:val="16"/>
          <w:szCs w:val="16"/>
        </w:rPr>
        <w:t>Швак</w:t>
      </w:r>
      <w:r w:rsidRPr="00070ADE">
        <w:rPr>
          <w:rFonts w:ascii="Times New Roman" w:cs="Times New Roman"/>
          <w:color w:val="000000" w:themeColor="text1"/>
          <w:spacing w:val="0"/>
          <w:sz w:val="16"/>
          <w:szCs w:val="16"/>
        </w:rPr>
        <w:t xml:space="preserve"> калибра 20 мм и один пулемет УБС калибра 12,7 мм.</w:t>
      </w:r>
    </w:p>
    <w:p w14:paraId="0298682E" w14:textId="77777777" w:rsidR="00B21490" w:rsidRPr="00070ADE" w:rsidRDefault="00B21490"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Срок поставки:</w:t>
      </w:r>
    </w:p>
    <w:p w14:paraId="2BE16941" w14:textId="77777777" w:rsidR="00B21490" w:rsidRPr="00070ADE" w:rsidRDefault="00B21490"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 xml:space="preserve">40 самолетов - к 10 апреля 1944 </w:t>
      </w:r>
      <w:r w:rsidRPr="00070ADE">
        <w:rPr>
          <w:rStyle w:val="1pt"/>
          <w:rFonts w:ascii="Times New Roman" w:cs="Times New Roman"/>
          <w:color w:val="000000" w:themeColor="text1"/>
          <w:spacing w:val="0"/>
          <w:sz w:val="16"/>
          <w:szCs w:val="16"/>
        </w:rPr>
        <w:t>г.,</w:t>
      </w:r>
      <w:r w:rsidRPr="00070ADE">
        <w:rPr>
          <w:rFonts w:ascii="Times New Roman" w:cs="Times New Roman"/>
          <w:color w:val="000000" w:themeColor="text1"/>
          <w:spacing w:val="0"/>
          <w:sz w:val="16"/>
          <w:szCs w:val="16"/>
        </w:rPr>
        <w:t xml:space="preserve"> </w:t>
      </w:r>
      <w:r w:rsidRPr="00070ADE">
        <w:rPr>
          <w:rStyle w:val="1pt"/>
          <w:rFonts w:ascii="Times New Roman" w:cs="Times New Roman"/>
          <w:color w:val="000000" w:themeColor="text1"/>
          <w:spacing w:val="0"/>
          <w:sz w:val="16"/>
          <w:szCs w:val="16"/>
        </w:rPr>
        <w:t>из</w:t>
      </w:r>
      <w:r w:rsidRPr="00070ADE">
        <w:rPr>
          <w:rFonts w:ascii="Times New Roman" w:cs="Times New Roman"/>
          <w:color w:val="000000" w:themeColor="text1"/>
          <w:spacing w:val="0"/>
          <w:sz w:val="16"/>
          <w:szCs w:val="16"/>
        </w:rPr>
        <w:t xml:space="preserve"> них 10 самолетов оборудованных радиополукомпасами,</w:t>
      </w:r>
    </w:p>
    <w:p w14:paraId="018FB378" w14:textId="77777777" w:rsidR="00B21490" w:rsidRPr="00070ADE" w:rsidRDefault="00B21490"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 xml:space="preserve">40 самолетов - к 1 мая 1944 </w:t>
      </w:r>
      <w:r w:rsidRPr="00070ADE">
        <w:rPr>
          <w:rStyle w:val="1pt"/>
          <w:rFonts w:ascii="Times New Roman" w:cs="Times New Roman"/>
          <w:color w:val="000000" w:themeColor="text1"/>
          <w:spacing w:val="0"/>
          <w:sz w:val="16"/>
          <w:szCs w:val="16"/>
        </w:rPr>
        <w:t>г.,</w:t>
      </w:r>
      <w:r w:rsidRPr="00070ADE">
        <w:rPr>
          <w:rFonts w:ascii="Times New Roman" w:cs="Times New Roman"/>
          <w:color w:val="000000" w:themeColor="text1"/>
          <w:spacing w:val="0"/>
          <w:sz w:val="16"/>
          <w:szCs w:val="16"/>
        </w:rPr>
        <w:t xml:space="preserve"> </w:t>
      </w:r>
      <w:r w:rsidRPr="00070ADE">
        <w:rPr>
          <w:rStyle w:val="1pt"/>
          <w:rFonts w:ascii="Times New Roman" w:cs="Times New Roman"/>
          <w:color w:val="000000" w:themeColor="text1"/>
          <w:spacing w:val="0"/>
          <w:sz w:val="16"/>
          <w:szCs w:val="16"/>
        </w:rPr>
        <w:t>из</w:t>
      </w:r>
      <w:r w:rsidRPr="00070ADE">
        <w:rPr>
          <w:rFonts w:ascii="Times New Roman" w:cs="Times New Roman"/>
          <w:color w:val="000000" w:themeColor="text1"/>
          <w:spacing w:val="0"/>
          <w:sz w:val="16"/>
          <w:szCs w:val="16"/>
        </w:rPr>
        <w:t xml:space="preserve"> них 10 са</w:t>
      </w:r>
      <w:r w:rsidRPr="00070ADE">
        <w:rPr>
          <w:rFonts w:ascii="Times New Roman" w:cs="Times New Roman"/>
          <w:color w:val="000000" w:themeColor="text1"/>
          <w:spacing w:val="0"/>
          <w:sz w:val="16"/>
          <w:szCs w:val="16"/>
        </w:rPr>
        <w:softHyphen/>
        <w:t>молетов оборудованных радиопо</w:t>
      </w:r>
      <w:r w:rsidRPr="00070ADE">
        <w:rPr>
          <w:rFonts w:ascii="Times New Roman" w:cs="Times New Roman"/>
          <w:color w:val="000000" w:themeColor="text1"/>
          <w:spacing w:val="0"/>
          <w:sz w:val="16"/>
          <w:szCs w:val="16"/>
        </w:rPr>
        <w:softHyphen/>
        <w:t>лукомпасами.</w:t>
      </w:r>
    </w:p>
    <w:p w14:paraId="00E4A657" w14:textId="77777777" w:rsidR="00B21490" w:rsidRPr="00070ADE" w:rsidRDefault="00B21490"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 ВВС КА - т.Новикову передать до 1 марта 1944 года Наркомавиапрому для переоборудования восемьдесят самолетов Як-9, прибывающих на завод № 301.</w:t>
      </w:r>
    </w:p>
    <w:p w14:paraId="5ECDFD5E" w14:textId="77777777" w:rsidR="00B21490" w:rsidRPr="00070ADE" w:rsidRDefault="00B214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Обязать Наркомфин СССР - т.Зверева выделить в рас</w:t>
      </w:r>
      <w:r w:rsidRPr="00070ADE">
        <w:rPr>
          <w:rFonts w:ascii="Times New Roman" w:hAnsi="Times New Roman"/>
          <w:color w:val="000000" w:themeColor="text1"/>
          <w:sz w:val="16"/>
          <w:szCs w:val="16"/>
        </w:rPr>
        <w:softHyphen/>
        <w:t>поряжение Наркомавиапрома из резервного фонда СНК:</w:t>
      </w:r>
    </w:p>
    <w:p w14:paraId="1F7DF978" w14:textId="77777777" w:rsidR="00B21490" w:rsidRPr="00070ADE" w:rsidRDefault="00B21490" w:rsidP="00B56F90">
      <w:pPr>
        <w:tabs>
          <w:tab w:val="left" w:pos="74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заводу № 115 на постройку самолета Як-9 бомбарди</w:t>
      </w:r>
      <w:r w:rsidRPr="00070ADE">
        <w:rPr>
          <w:rFonts w:ascii="Times New Roman" w:hAnsi="Times New Roman"/>
          <w:color w:val="000000" w:themeColor="text1"/>
          <w:sz w:val="16"/>
          <w:szCs w:val="16"/>
        </w:rPr>
        <w:softHyphen/>
        <w:t>ровщик - 1,5 млн.рублей, в том числе для премирования ОКБ - т.Яковлева за разработку чертежей истребителя-бомбардировщика к 25 февраля 1944 года 150,0 тысяч рублей;</w:t>
      </w:r>
    </w:p>
    <w:p w14:paraId="3ED8348E" w14:textId="77777777" w:rsidR="00B21490" w:rsidRPr="00070ADE" w:rsidRDefault="00B214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для премирования работников серийного завода за выполнение работ в срок - 150,0 тысяч рублей (19442).</w:t>
      </w:r>
    </w:p>
    <w:p w14:paraId="0764FBC3" w14:textId="77777777" w:rsidR="00B21490" w:rsidRPr="00070ADE" w:rsidRDefault="00B21490" w:rsidP="00B56F90">
      <w:pPr>
        <w:autoSpaceDE w:val="0"/>
        <w:autoSpaceDN w:val="0"/>
        <w:adjustRightInd w:val="0"/>
        <w:spacing w:after="0" w:line="240" w:lineRule="auto"/>
        <w:jc w:val="both"/>
        <w:rPr>
          <w:rFonts w:ascii="Times New Roman" w:hAnsi="Times New Roman"/>
          <w:color w:val="000000" w:themeColor="text1"/>
          <w:sz w:val="16"/>
          <w:szCs w:val="16"/>
        </w:rPr>
      </w:pPr>
    </w:p>
    <w:p w14:paraId="481B28F4" w14:textId="77777777" w:rsidR="00B21490" w:rsidRPr="00070ADE" w:rsidRDefault="00B21490"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постановление ГКО N 5200 поручило сделать Як-9ДД (65,138) 80 в варианте истребителя сопровождения с дальностью 2000 км. на заводе 153 (953,86).</w:t>
      </w:r>
    </w:p>
    <w:p w14:paraId="54FEEC8F" w14:textId="77777777" w:rsidR="00B21490" w:rsidRPr="00070ADE" w:rsidRDefault="00B21490"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C6149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вышло Постановление ГКО № 5220 О выпуске самолетов Як-9 в варианте истребителей сопровождения с дальностью 2000 км. РГАНИР, Фонд ГКО, д. 211, лл. 4 (11012).</w:t>
      </w:r>
    </w:p>
    <w:p w14:paraId="1410111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76C4FFC" w14:textId="77777777" w:rsidR="00B21490" w:rsidRPr="00070ADE" w:rsidRDefault="00B214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вышло Постановление ГКО № 5220 О выпуске самолетов Як-9 в варианте истребителей сопровождения с дальностью 2000 км</w:t>
      </w:r>
    </w:p>
    <w:p w14:paraId="21454BF8" w14:textId="77777777" w:rsidR="00B21490" w:rsidRPr="00070ADE" w:rsidRDefault="00B21490"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Государственный Комитет Обороны постановляет:</w:t>
      </w:r>
    </w:p>
    <w:p w14:paraId="7A801F43" w14:textId="77777777" w:rsidR="00B21490" w:rsidRPr="00070ADE" w:rsidRDefault="00B21490" w:rsidP="00B56F90">
      <w:pPr>
        <w:pStyle w:val="47"/>
        <w:shd w:val="clear" w:color="auto" w:fill="auto"/>
        <w:tabs>
          <w:tab w:val="left" w:pos="1630"/>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lastRenderedPageBreak/>
        <w:t>1. Обязать Наркомавиапром - т.Шахурина, т.Яковлева и директора завода № 153 - т.Лисицына изготовить и сдать ВВС КА восемьдесят самолетов Як-9 (на два полка) в варианте истребителя сопровождения, с сохранением максимальных скоро</w:t>
      </w:r>
      <w:r w:rsidRPr="00070ADE">
        <w:rPr>
          <w:rFonts w:ascii="Times New Roman" w:hAnsi="Times New Roman" w:cs="Times New Roman"/>
          <w:color w:val="000000" w:themeColor="text1"/>
          <w:sz w:val="16"/>
          <w:szCs w:val="16"/>
        </w:rPr>
        <w:softHyphen/>
        <w:t>стей серийных самолетов Як-9.</w:t>
      </w:r>
    </w:p>
    <w:p w14:paraId="203C5A0F" w14:textId="77777777" w:rsidR="00B21490" w:rsidRPr="00070ADE" w:rsidRDefault="00B21490" w:rsidP="00B56F90">
      <w:pPr>
        <w:pStyle w:val="47"/>
        <w:shd w:val="clear" w:color="auto" w:fill="auto"/>
        <w:tabs>
          <w:tab w:val="left" w:pos="5263"/>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Дальность самолета на наивыгоднейшей скорости - 2000 км.</w:t>
      </w:r>
    </w:p>
    <w:p w14:paraId="4657A9B8" w14:textId="77777777" w:rsidR="00B21490" w:rsidRPr="00070ADE" w:rsidRDefault="00B21490"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Вооружение: одна пушка Швак калибра 20 мм и один пулемет Березина калибра 12,7 мм.</w:t>
      </w:r>
    </w:p>
    <w:p w14:paraId="2C16E17F" w14:textId="77777777" w:rsidR="00B21490" w:rsidRPr="00070ADE" w:rsidRDefault="00B21490"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Срок поставки:</w:t>
      </w:r>
    </w:p>
    <w:p w14:paraId="04D57CF6" w14:textId="77777777" w:rsidR="00B21490" w:rsidRPr="00070ADE" w:rsidRDefault="00B21490"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40 самолетов г- к 15 мая 1944 года 4С самолетов - к 15 июня 1944 года ИЗ этого числа 20 самолетов должны быть оборудованы радио</w:t>
      </w:r>
      <w:r w:rsidRPr="00070ADE">
        <w:rPr>
          <w:rFonts w:ascii="Times New Roman" w:hAnsi="Times New Roman" w:cs="Times New Roman"/>
          <w:color w:val="000000" w:themeColor="text1"/>
          <w:sz w:val="16"/>
          <w:szCs w:val="16"/>
        </w:rPr>
        <w:softHyphen/>
        <w:t>полукомпасами РПК-10.</w:t>
      </w:r>
    </w:p>
    <w:p w14:paraId="0D27A936" w14:textId="77777777" w:rsidR="00B21490" w:rsidRPr="00070ADE" w:rsidRDefault="00B21490" w:rsidP="00B56F90">
      <w:pPr>
        <w:pStyle w:val="47"/>
        <w:shd w:val="clear" w:color="auto" w:fill="auto"/>
        <w:tabs>
          <w:tab w:val="left" w:pos="1630"/>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2. Обязать Наркомфин СССР - т.Зверева выделить в распо</w:t>
      </w:r>
      <w:r w:rsidRPr="00070ADE">
        <w:rPr>
          <w:rFonts w:ascii="Times New Roman" w:hAnsi="Times New Roman" w:cs="Times New Roman"/>
          <w:color w:val="000000" w:themeColor="text1"/>
          <w:sz w:val="16"/>
          <w:szCs w:val="16"/>
        </w:rPr>
        <w:softHyphen/>
        <w:t>ряжение Наркомавиапрома из резервного фонда СНК заводу № 115 на постройку самолета Як-9 истребитель сопровождения 1,5 млн. рублей, в том числе: для премирования ОКБ т.Яковлева эа раз</w:t>
      </w:r>
      <w:r w:rsidRPr="00070ADE">
        <w:rPr>
          <w:rFonts w:ascii="Times New Roman" w:hAnsi="Times New Roman" w:cs="Times New Roman"/>
          <w:color w:val="000000" w:themeColor="text1"/>
          <w:sz w:val="16"/>
          <w:szCs w:val="16"/>
        </w:rPr>
        <w:softHyphen/>
        <w:t>работку чертежей истребителя сопровождения к 25 февраля 1944 года 100,0 тысяч рублей.</w:t>
      </w:r>
    </w:p>
    <w:p w14:paraId="459326CD" w14:textId="77777777" w:rsidR="00B21490" w:rsidRPr="00070ADE" w:rsidRDefault="00B214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премирования работников серийного вавода № 153 за выполнение работ в срок - 200,0 тысяч рублей (19443).</w:t>
      </w:r>
    </w:p>
    <w:p w14:paraId="39446A6D" w14:textId="77777777" w:rsidR="00B21490" w:rsidRPr="00070ADE" w:rsidRDefault="00B21490" w:rsidP="00B56F90">
      <w:pPr>
        <w:autoSpaceDE w:val="0"/>
        <w:autoSpaceDN w:val="0"/>
        <w:adjustRightInd w:val="0"/>
        <w:spacing w:after="0" w:line="240" w:lineRule="auto"/>
        <w:jc w:val="both"/>
        <w:rPr>
          <w:rFonts w:ascii="Times New Roman" w:hAnsi="Times New Roman"/>
          <w:color w:val="000000" w:themeColor="text1"/>
          <w:sz w:val="16"/>
          <w:szCs w:val="16"/>
        </w:rPr>
      </w:pPr>
    </w:p>
    <w:p w14:paraId="65C6F051" w14:textId="77777777" w:rsidR="00FD2BDD" w:rsidRPr="00C94B78" w:rsidRDefault="00FD2BD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20 февраля 1944 года вышло постановление ГКО, на основании которого был построен Як-9ДД - истребитель «дальнего действия». В апреле был готов для проведения испытаний. Государственные испытания длились с 24 июля по 2 августа 1944 года (только неделю!) после чего самолет был направлен в серийное производство. В период с мая 1944 года по сентябрь 1945 года было построено 399 Як</w:t>
      </w:r>
      <w:r w:rsidRPr="00C94B78">
        <w:rPr>
          <w:rFonts w:ascii="Times New Roman" w:hAnsi="Times New Roman"/>
          <w:color w:val="0070C0"/>
          <w:sz w:val="16"/>
          <w:szCs w:val="16"/>
        </w:rPr>
        <w:noBreakHyphen/>
        <w:t>9ДД (это дает средний темп производства – 25 самолетов в день).</w:t>
      </w:r>
    </w:p>
    <w:p w14:paraId="1BFE43F8" w14:textId="77777777" w:rsidR="00FD2BDD" w:rsidRPr="00C94B78" w:rsidRDefault="00FD2BD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Войсковые испытания, для оценки боевой ценности Як</w:t>
      </w:r>
      <w:r w:rsidRPr="00C94B78">
        <w:rPr>
          <w:rFonts w:ascii="Times New Roman" w:hAnsi="Times New Roman"/>
          <w:color w:val="0070C0"/>
          <w:sz w:val="16"/>
          <w:szCs w:val="16"/>
        </w:rPr>
        <w:noBreakHyphen/>
        <w:t>9ДД, были проведены с 9 марта по 25 апреля 1945 года. На новых машинах летали пилоты из 368 ИАП, 334 НАД и 6 БАК (Бомбардировочный авиационный корпус), который имел на вооружении Ту</w:t>
      </w:r>
      <w:r w:rsidRPr="00C94B78">
        <w:rPr>
          <w:rFonts w:ascii="Times New Roman" w:hAnsi="Times New Roman"/>
          <w:color w:val="0070C0"/>
          <w:sz w:val="16"/>
          <w:szCs w:val="16"/>
        </w:rPr>
        <w:noBreakHyphen/>
        <w:t>2. В испытаниях приняло участие 40 Як</w:t>
      </w:r>
      <w:r w:rsidRPr="00C94B78">
        <w:rPr>
          <w:rFonts w:ascii="Times New Roman" w:hAnsi="Times New Roman"/>
          <w:color w:val="0070C0"/>
          <w:sz w:val="16"/>
          <w:szCs w:val="16"/>
        </w:rPr>
        <w:noBreakHyphen/>
        <w:t>9ДД из 1</w:t>
      </w:r>
      <w:r w:rsidRPr="00C94B78">
        <w:rPr>
          <w:rFonts w:ascii="Times New Roman" w:hAnsi="Times New Roman"/>
          <w:color w:val="0070C0"/>
          <w:sz w:val="16"/>
          <w:szCs w:val="16"/>
        </w:rPr>
        <w:noBreakHyphen/>
        <w:t>й и 2</w:t>
      </w:r>
      <w:r w:rsidRPr="00C94B78">
        <w:rPr>
          <w:rFonts w:ascii="Times New Roman" w:hAnsi="Times New Roman"/>
          <w:color w:val="0070C0"/>
          <w:sz w:val="16"/>
          <w:szCs w:val="16"/>
        </w:rPr>
        <w:noBreakHyphen/>
        <w:t>й производственных серий, которые были изготовлены между маем и августом 1944 года (25077).</w:t>
      </w:r>
    </w:p>
    <w:p w14:paraId="04825431" w14:textId="77777777" w:rsidR="00FD2BDD" w:rsidRPr="00C94B78" w:rsidRDefault="00FD2BDD" w:rsidP="00B56F90">
      <w:pPr>
        <w:spacing w:after="0" w:line="240" w:lineRule="auto"/>
        <w:jc w:val="both"/>
        <w:rPr>
          <w:rFonts w:ascii="Times New Roman" w:hAnsi="Times New Roman"/>
          <w:color w:val="0070C0"/>
          <w:sz w:val="16"/>
          <w:szCs w:val="16"/>
        </w:rPr>
      </w:pPr>
    </w:p>
    <w:p w14:paraId="10B3BD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А.Г.Кубышкин на Ла-5 ФН эталон 1944 на 2 заходе со стороны Монино почувствовал перебои в работе мотора и еле-еле сел (817).</w:t>
      </w:r>
    </w:p>
    <w:p w14:paraId="5A7112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EFE8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у А.Г.Кубышкин Ла-5 М-82ФН "эталон 1944" над аэродромом Чкаловское при заходе со стороны Монино затрясло мотор и он перестал тянуть, но посадил машину благополучно (755).</w:t>
      </w:r>
    </w:p>
    <w:p w14:paraId="14B8B2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B127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к Кубышкин А.Г. на Ла-5 с М-82ФН 2эталон 1944 г.) на аэродроме Чкаловская.</w:t>
      </w:r>
    </w:p>
    <w:p w14:paraId="0342C4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втором заходе со стороны Монино на скорости 300 км/час почувствовал на слух изменившийся тон в работе мотора. Не доходя до конца базы л дал сектор газа немного вперед. Мотор сразу затрясло, из выхлопных патрубков появился белый дым и мотор почти совсем перестал тянуть. Л-к принял решение садиться. При подходе к земле во время посадки мотор совсем остановился. Посадка произведена благополучно и без пвреждения матчасти. При осмотре обнаружилась поломка шатунов в 2, 4, 6 и 8 цилендрах. В слитом из отстойника масле обнаружины куски метадда и куски поршневых колец.</w:t>
      </w:r>
    </w:p>
    <w:p w14:paraId="3388F4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Виновник: производственный дефект Мотор требует замены и восстановительного ремонта. Мотор передан в мастерские ТОМП для разборки и устранения причин аварии мотора. Отправлено письмо ГИ ИАС т. Репину. Акты разосланы заводам № 21 и 19 (755,3). </w:t>
      </w:r>
    </w:p>
    <w:p w14:paraId="281C05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09C6E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в ходе гос. испытаний модернизированного Ла-5, произошел обрыв шатуна в двигателе, и летчику-испытателю А.Г.Кубышкину с трудом удалось посадить истребитель. Испытания возобновились 8 марта, после ремонта Ла-5. Когда большая часть программы была отработана, из-за производственного дефекта (плохая склейка) в воздухе разрушился 12-й шпангоут фюзеляжа, Кубышкин вновь сумел посадить поврежденный самолет. В отчете по испытаниям майор Кубышкин отметил, что значительно увеличилась горизонтальная скорость и скороподъемность, максимальная скорость достигла значения 680 км/ч на высоте 6250 м - лучший результат среди всех отечественных истребителей того времени. В то же время он указал и на недостатки "эталона 1944 г." - жара в кабине (+40-50° С), скапливание в кабине конденсата влаги, велики усилия на педалях, не предусмотрено быстрое покидание машины, отсутствует автоматика управления винто-моторной группой. Вывод Кубышкин сделал следующий: "Самолет по своим летным данным является одним из лучших истребителей. Необходимо форсировать серийную постройку с одновременным устранением вышеуказанных недостатков." (4707).</w:t>
      </w:r>
    </w:p>
    <w:p w14:paraId="502123C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664D2E"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 февраля</w:t>
      </w:r>
      <w:r w:rsidRPr="00070ADE">
        <w:rPr>
          <w:rFonts w:ascii="Times New Roman" w:hAnsi="Times New Roman"/>
          <w:color w:val="000000" w:themeColor="text1"/>
          <w:sz w:val="16"/>
          <w:szCs w:val="16"/>
        </w:rPr>
        <w:t xml:space="preserve"> в 1944 году (начало 16.02.44) оборвался один из шатунов мотора у проходившего государственные испытания в НИИ ВВС истребителя Ла-7 "эталон 1944 года". На ремонт ушло свыше двух недель. 22 марта из-за заводского брака на рулежке разрушился второй шпангоут. К этому времени удалось сделать лишь девять полетов, показавших, что максимальная скорость у земли возросла до 597 км/ч, на первой границе высотности (3250 м) - до 670 км/ч, а на второй (6000 м) - до 680 км/ч. Вертикальная скорость у земли составила 21 м/с, подъем на высоту 4000 м занимал 3,4 минуты. Ведущими по машине были инженер В.П.Алексеенко и летчик А.Г.Кубышкин (15046).</w:t>
      </w:r>
    </w:p>
    <w:p w14:paraId="49ABA6EA" w14:textId="77777777" w:rsidR="00E32A8C" w:rsidRPr="00070ADE" w:rsidRDefault="00E32A8C" w:rsidP="00B56F90">
      <w:pPr>
        <w:spacing w:after="0" w:line="240" w:lineRule="auto"/>
        <w:jc w:val="both"/>
        <w:rPr>
          <w:rFonts w:ascii="Times New Roman" w:hAnsi="Times New Roman"/>
          <w:color w:val="000000" w:themeColor="text1"/>
          <w:sz w:val="16"/>
          <w:szCs w:val="16"/>
        </w:rPr>
      </w:pPr>
    </w:p>
    <w:p w14:paraId="592F4A9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в девятом полёте Ла-5ФН “эталон 1944”, оборвался шатун в моторе. Кубышкину удалось сесть. На ремонт ушло свыше двух недель, полёты возобновились 8 марта. А 22 марта из-за заводского брака (плохой склейки) на рулении разрушился 12-й шпангоут. Но основная программа испытаний к этому времени уже была отработана.</w:t>
      </w:r>
    </w:p>
    <w:p w14:paraId="064DEFD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мнению Кубышкина, управлять самолётом стало легче, и решили, что такое состояние вполне приемлемо, за исключением руля поворота, нагрузки от которого заметно ощущались при изменении режима работы мотора. Из- за отсутствия триммера на этом руле лётчику приходилось прикладывать значительные усилия, чтобы на взлёте удержать истребитель от разворота. Температура в кабине, доходившая позднее в жару до 40°С, приносила, конечно, пилоту неудобства. Из-за плохой вентиляции в кабине постоянно чувствовалось присутствие отработанных газов и запах горелой резины. Но в целом самолёт по своим данным мог считаться одним из лучших истребителей своего времени.</w:t>
      </w:r>
    </w:p>
    <w:p w14:paraId="76F76C5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выводах отчёта по государственным испытаниям отмечалось: "Модифицированный самолёт Ла-5 эталон 1944 г.... по максимальной скорости, скороподъёмности стоит на уровне лучших современных истребительных самолётов, находящихся на вооружении ВВС КА и иностранных государств". Специалисты НИИ ВВС знали, что говорили, - ведь через их руки проходили не только советские боевые машины, но и трофейные немецкие, а также самолёты, поступавшие из Великобритании и США.</w:t>
      </w:r>
    </w:p>
    <w:p w14:paraId="0D041F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заключении того же отчёта было записано: "Заданные постановлением ГКО № 5404 от 15 марта 1944 г. для улучшенного Ла-5 максимальная скорость 685 км/ч на высоте 6000 м и полётный вес 3250 кг... практически достигнуты. Рекомендовать в серийное производство самолёт Ла-5 эталон 1944 г. (Ла-7), как имеющий значительные преимущества в лётных данных над... Ла-5, с устранением отмеченных дефектов. Так как на самолёте... установлены опытные пушки УБ-20, испытания которых не закончены в НИИ АВ ВВС, считать целесообразным выпускать самолёты с серийным вооружением, т.е. две пушки СП-20 с боезапасом 340 патронов" (11986).</w:t>
      </w:r>
    </w:p>
    <w:p w14:paraId="724869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EFFC2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20 февраля 1944 состояние опытного строительства на 21 заводе было следующим:</w:t>
      </w:r>
    </w:p>
    <w:p w14:paraId="14D933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 М-82ФН - истребитель дальнего сопровождения (строится силами серийного пр-ва). Дополнительные баки расположены в консолях - 96 л, за бронеспинкой - 140 л. Емкость крайних баков увеличена на 30 кг. Общее количество горючего - 620 кг. Срок выполнения работ - 1 марта 1944.</w:t>
      </w:r>
    </w:p>
    <w:p w14:paraId="6BAA352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Доводка серийнызх с-тов </w:t>
      </w:r>
    </w:p>
    <w:p w14:paraId="7BC732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Изготовление чертежей на установку дополнительного бачка в системе дренажирования маслобака. Бачек устанвливается внутьри основного м/б. Он должен устранять выброс масла из системы дренажирования.</w:t>
      </w:r>
    </w:p>
    <w:p w14:paraId="23E37E4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Разрабатываются чертежи для для с-тов 39 типа и типа эталонг 1944 на установку автоматики управления Р-7 и газом. АРТЦ-43 и автомата переключения скоростей нагнетателя. Один комплект автомата переключения скоростей нагнетателя на з-д уже прибыл. </w:t>
      </w:r>
    </w:p>
    <w:p w14:paraId="69709D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Приступили к изготовлению мягких б/б по ркеомендациям ВИАМа. Изготовление болванок баков и амортизатора. Отсутствие резины для бензостойкого слоя сдерживает сборкук баков.</w:t>
      </w:r>
    </w:p>
    <w:p w14:paraId="205314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Выпущен с-т Ла-5Ф с индивидуальными выхлопными патрубками. Ожидается прирост скорости на 10-15 км/час</w:t>
      </w:r>
    </w:p>
    <w:p w14:paraId="2E49CA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статиспытания6</w:t>
      </w:r>
    </w:p>
    <w:p w14:paraId="5FDA70A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Носки цп выдержали 95% установленной нагрузки.</w:t>
      </w:r>
    </w:p>
    <w:p w14:paraId="5A2190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Ранее она бралась завышенной, т.к. влияниу Су брали с учетом Ре</w:t>
      </w:r>
    </w:p>
    <w:p w14:paraId="549EA3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Лагг-3 - 31 тип</w:t>
      </w:r>
    </w:p>
    <w:p w14:paraId="65027C1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Ла-7 - 37 тип</w:t>
      </w:r>
    </w:p>
    <w:p w14:paraId="2B5FF1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Ла-5Ф и ФН со срезаным гаргротом - 39 тип</w:t>
      </w:r>
    </w:p>
    <w:p w14:paraId="1AC35F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Ла-5ФН с металлическими лонжеронами - 41 тип</w:t>
      </w:r>
    </w:p>
    <w:p w14:paraId="54246C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Ла-7 - 45 тип</w:t>
      </w:r>
    </w:p>
    <w:p w14:paraId="145C53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Ла-9 48 тип (738,15).</w:t>
      </w:r>
    </w:p>
    <w:p w14:paraId="350189D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4E4B21" w14:textId="77777777" w:rsidR="00FD2BDD" w:rsidRPr="00C94B78" w:rsidRDefault="00FD2BD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20 февраля 1944 г. в девятом полете государственных испытаний Ла-5 «эталон 1944 г.», произошел обрыв шатуна в двигателе, и летчику-испытателю А.Г. Кубышкину с трудом удалось посадить истребитель. Испытания возобновились 8 марта, после ремонта Ла-5. Когда большая часть программы была отработана, из-за производственного дефекта (плохая склейка) в воздухе разрушился 12-й шпангоут фюзеляжа, Кубышкин вновь сумел посадить поврежденный самолет. К этому времени уже был готов прототип «эталона 1944 г.» № 2, на котором и завершили Государственные испытания, выполнив всего девять полетов вместо 44 запланированных; в частности, не проводился отстрел оружия — трех пушек Б-20. Интересный факт — параллельно с работой по Ла-5 «эталону 1944 г.» инженерам КБ Лавочкина удалось поднять максимальную скорость Ла-5ФН до 685 км/ч.</w:t>
      </w:r>
    </w:p>
    <w:p w14:paraId="12A52940" w14:textId="77777777" w:rsidR="00FD2BDD" w:rsidRPr="00C94B78" w:rsidRDefault="00FD2BD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заключении по Государственным испытаниям «эталона 1944 г.» говорилось:</w:t>
      </w:r>
    </w:p>
    <w:p w14:paraId="652C4441" w14:textId="77777777" w:rsidR="00FD2BDD" w:rsidRPr="00C94B78" w:rsidRDefault="00FD2BD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Характеристики скорости и скороподъемности можно оценить как «стандартные», несколько превосходящие аналогичные показателя истребителя Ла-5ФН. Максимальная скорость на высоте 6000 м составила 680 км/ч. Управление элеронами и рулем высоты — не требует особых усилий и не нуждается в дальнейших доработках. Фонарь обеспечивает прекрасный круговой обзор из кабины. Маневренные и взлетно-посадочные характеристики самолета полностью удовлетворяют требованиям.</w:t>
      </w:r>
    </w:p>
    <w:p w14:paraId="6E4360CE" w14:textId="77777777" w:rsidR="00FD2BDD" w:rsidRPr="00C94B78" w:rsidRDefault="00FD2BD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За полученные результаты пришлось заплатить немалую цену. Из-за переноса маслорадиатора под фюзеляж, маслопроводы пришлось провести непосредственно под ногами летчика, из-за чего нормальная температура в кабине зимой была +40 град С, а летом — повышалась до +55 град. С. Учитывая, что в кабину пробивались выхлопные газы двигателя, а на стеклах фонаря образовывался конденсат, вполне можно сравнить кабину «эталона» с сауной. Кроме того, отмечался слишком тугой ход педалей руля направления и недостаточная отработанность механизма аварийного сброса фонаря кабины.</w:t>
      </w:r>
    </w:p>
    <w:p w14:paraId="29E5ADF5" w14:textId="77777777" w:rsidR="00FD2BDD" w:rsidRPr="00C94B78" w:rsidRDefault="00FD2BD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отчете майор Кубышкин отметил, что значительно увеличилась горизонтальная скорость и скороподъемность, максимальная скорость достигла значения 680 км/ч на высоте 6250 м — лучший результат среди всех отечественных истребителей того времени. В то же время он указал и на недостатки «эталона 1944 г.» — жара в кабине (+40–50 град. С), скапливание в кабине конденсата влаги, велики усилия на педалях, не предусмотрено быстрое покидание машины, отсутствует автоматика управления винто-моторной группой. Вывод Кубышкин сделал следующий: «Самолет по своим летным данным является одним из лучших истребителей. Необходимо форсировать серийную постройку с одновременным устранением вышеуказанных недостатков». Не все из этих рекомендаций были учтены на серийных истребителях (25058).</w:t>
      </w:r>
    </w:p>
    <w:p w14:paraId="6B4F51DD" w14:textId="77777777" w:rsidR="00FD2BDD" w:rsidRPr="00C94B78" w:rsidRDefault="00FD2BDD" w:rsidP="00B56F90">
      <w:pPr>
        <w:spacing w:after="0" w:line="240" w:lineRule="auto"/>
        <w:jc w:val="both"/>
        <w:rPr>
          <w:rFonts w:ascii="Times New Roman" w:hAnsi="Times New Roman"/>
          <w:color w:val="0070C0"/>
          <w:sz w:val="16"/>
          <w:szCs w:val="16"/>
        </w:rPr>
      </w:pPr>
    </w:p>
    <w:p w14:paraId="171250C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согласно журнала наблюдения за проектированием, постройкой и испытаниями МиГ-3 - по изд. Д - зам. Нач. 1ВА Московского фронта ПВО гас т. ? отказался принимать 6-й самолет серии “Д”, ссылаясь на недоведенность этой серии:</w:t>
      </w:r>
    </w:p>
    <w:p w14:paraId="34B1C14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с-т не позволяет производить посадку на 3 точки,</w:t>
      </w:r>
    </w:p>
    <w:p w14:paraId="22518D1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температурные режимы мотора не доведены,</w:t>
      </w:r>
    </w:p>
    <w:p w14:paraId="2D9EE80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наблюдается явление дрожания хвостовой части (992,12).</w:t>
      </w:r>
    </w:p>
    <w:p w14:paraId="4438164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BEEF4F0" w14:textId="77777777" w:rsidR="00171125" w:rsidRPr="00070ADE" w:rsidRDefault="0017112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1945 года был построен второй экземпляр И-225. Машину осна</w:t>
      </w:r>
      <w:r w:rsidRPr="00070ADE">
        <w:rPr>
          <w:rFonts w:ascii="Times New Roman" w:hAnsi="Times New Roman"/>
          <w:color w:val="000000" w:themeColor="text1"/>
          <w:sz w:val="16"/>
          <w:szCs w:val="16"/>
        </w:rPr>
        <w:softHyphen/>
        <w:t>стили форсированным мотором АМ-42ФБ с турбо</w:t>
      </w:r>
      <w:r w:rsidRPr="00070ADE">
        <w:rPr>
          <w:rFonts w:ascii="Times New Roman" w:hAnsi="Times New Roman"/>
          <w:color w:val="000000" w:themeColor="text1"/>
          <w:sz w:val="16"/>
          <w:szCs w:val="16"/>
        </w:rPr>
        <w:softHyphen/>
        <w:t>компрессором АМТК-1А, воздухо-воздушным радиа</w:t>
      </w:r>
      <w:r w:rsidRPr="00070ADE">
        <w:rPr>
          <w:rFonts w:ascii="Times New Roman" w:hAnsi="Times New Roman"/>
          <w:color w:val="000000" w:themeColor="text1"/>
          <w:sz w:val="16"/>
          <w:szCs w:val="16"/>
        </w:rPr>
        <w:softHyphen/>
        <w:t>тором, трёхлопастным вин</w:t>
      </w:r>
      <w:r w:rsidRPr="00070ADE">
        <w:rPr>
          <w:rFonts w:ascii="Times New Roman" w:hAnsi="Times New Roman"/>
          <w:color w:val="000000" w:themeColor="text1"/>
          <w:sz w:val="16"/>
          <w:szCs w:val="16"/>
        </w:rPr>
        <w:softHyphen/>
        <w:t>том АВ-5Л-22В диаметром 3,6 м. Вооружение включало четыре синхронные 20-мм пушки СШ-20 с боекомплектом по 100 патронов. Опытные пушки СШ-20 в дальнейшем планировали заме</w:t>
      </w:r>
      <w:r w:rsidRPr="00070ADE">
        <w:rPr>
          <w:rFonts w:ascii="Times New Roman" w:hAnsi="Times New Roman"/>
          <w:color w:val="000000" w:themeColor="text1"/>
          <w:sz w:val="16"/>
          <w:szCs w:val="16"/>
        </w:rPr>
        <w:softHyphen/>
        <w:t>нить на серийные Б-20.</w:t>
      </w:r>
    </w:p>
    <w:p w14:paraId="79376FC7" w14:textId="77777777" w:rsidR="00171125" w:rsidRPr="00070ADE" w:rsidRDefault="0017112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лётчик-испытатель А.П. Деев выполнил на И-225 № 02 первый вылет. Од</w:t>
      </w:r>
      <w:r w:rsidRPr="00070ADE">
        <w:rPr>
          <w:rFonts w:ascii="Times New Roman" w:hAnsi="Times New Roman"/>
          <w:color w:val="000000" w:themeColor="text1"/>
          <w:sz w:val="16"/>
          <w:szCs w:val="16"/>
        </w:rPr>
        <w:softHyphen/>
        <w:t>нако и второй машине не повезло. 26 апре</w:t>
      </w:r>
      <w:r w:rsidRPr="00070ADE">
        <w:rPr>
          <w:rFonts w:ascii="Times New Roman" w:hAnsi="Times New Roman"/>
          <w:color w:val="000000" w:themeColor="text1"/>
          <w:sz w:val="16"/>
          <w:szCs w:val="16"/>
        </w:rPr>
        <w:softHyphen/>
        <w:t>ля самолёт потерпел аварию при перелёте с места вынужденной посадки. После заме</w:t>
      </w:r>
      <w:r w:rsidRPr="00070ADE">
        <w:rPr>
          <w:rFonts w:ascii="Times New Roman" w:hAnsi="Times New Roman"/>
          <w:color w:val="000000" w:themeColor="text1"/>
          <w:sz w:val="16"/>
          <w:szCs w:val="16"/>
        </w:rPr>
        <w:softHyphen/>
        <w:t>ны разрушенного фюзеляжа новым в июне истребитель покинул сборочный цех. На за</w:t>
      </w:r>
      <w:r w:rsidRPr="00070ADE">
        <w:rPr>
          <w:rFonts w:ascii="Times New Roman" w:hAnsi="Times New Roman"/>
          <w:color w:val="000000" w:themeColor="text1"/>
          <w:sz w:val="16"/>
          <w:szCs w:val="16"/>
        </w:rPr>
        <w:softHyphen/>
        <w:t>водских испытаниях второй И-225 развил максимальную скорость 560 км/ч у земли и 726 км/ч на высоте 10000 м, которую самолёт наби</w:t>
      </w:r>
      <w:r w:rsidRPr="00070ADE">
        <w:rPr>
          <w:rFonts w:ascii="Times New Roman" w:hAnsi="Times New Roman"/>
          <w:color w:val="000000" w:themeColor="text1"/>
          <w:sz w:val="16"/>
          <w:szCs w:val="16"/>
        </w:rPr>
        <w:softHyphen/>
        <w:t>рал за 8,8 минуты.</w:t>
      </w:r>
    </w:p>
    <w:p w14:paraId="5EC82844" w14:textId="77777777" w:rsidR="00171125" w:rsidRPr="00070ADE" w:rsidRDefault="0017112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сожалению, многообещающие характеристики были дискредитированы крайне ненадёжной рабо</w:t>
      </w:r>
      <w:r w:rsidRPr="00070ADE">
        <w:rPr>
          <w:rFonts w:ascii="Times New Roman" w:hAnsi="Times New Roman"/>
          <w:color w:val="000000" w:themeColor="text1"/>
          <w:sz w:val="16"/>
          <w:szCs w:val="16"/>
        </w:rPr>
        <w:softHyphen/>
        <w:t>той силовой установки, из-за чего И-225 больше стоял в ангаре, чем летал, а его государственные испытания так и не начались. Не помог и мотор АМ-44 с непо</w:t>
      </w:r>
      <w:r w:rsidRPr="00070ADE">
        <w:rPr>
          <w:rFonts w:ascii="Times New Roman" w:hAnsi="Times New Roman"/>
          <w:color w:val="000000" w:themeColor="text1"/>
          <w:sz w:val="16"/>
          <w:szCs w:val="16"/>
        </w:rPr>
        <w:softHyphen/>
        <w:t>средственным впрыском, который поставили на ма</w:t>
      </w:r>
      <w:r w:rsidRPr="00070ADE">
        <w:rPr>
          <w:rFonts w:ascii="Times New Roman" w:hAnsi="Times New Roman"/>
          <w:color w:val="000000" w:themeColor="text1"/>
          <w:sz w:val="16"/>
          <w:szCs w:val="16"/>
        </w:rPr>
        <w:softHyphen/>
        <w:t>шину в 1946 году. Испытания И-225 № 02 официально прекратили лишь весной 1947 года, когда реактивные самолёты уже не выглядели как экзотика. Достигнув предела совершенства, поршневые истребители долж</w:t>
      </w:r>
      <w:r w:rsidRPr="00070ADE">
        <w:rPr>
          <w:rFonts w:ascii="Times New Roman" w:hAnsi="Times New Roman"/>
          <w:color w:val="000000" w:themeColor="text1"/>
          <w:sz w:val="16"/>
          <w:szCs w:val="16"/>
        </w:rPr>
        <w:softHyphen/>
        <w:t>ны были уступить дорогу новым концепциям, новым силовым установкам, новой аэродинамике (23379).</w:t>
      </w:r>
    </w:p>
    <w:p w14:paraId="3FBDA606" w14:textId="77777777" w:rsidR="00171125" w:rsidRPr="00070ADE" w:rsidRDefault="00171125" w:rsidP="00B56F90">
      <w:pPr>
        <w:spacing w:after="0" w:line="240" w:lineRule="auto"/>
        <w:jc w:val="both"/>
        <w:rPr>
          <w:rFonts w:ascii="Times New Roman" w:hAnsi="Times New Roman"/>
          <w:color w:val="000000" w:themeColor="text1"/>
          <w:sz w:val="16"/>
          <w:szCs w:val="16"/>
        </w:rPr>
      </w:pPr>
    </w:p>
    <w:p w14:paraId="36BAA0E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г. в приказе НКАП описывается случай на заводе № 153. Там, во время испытательного полета на Як-7б летчик Ситников Г.Е. «обстрелял боевыми снарядами территорию железнодорожной станции "Заводская", причем один снаряд попал в здание школы». Подробности неизвестны, но за такую стрельбу пилот Ситников получил всего лишь строгий выговор (12049).</w:t>
      </w:r>
    </w:p>
    <w:p w14:paraId="30BC210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C4BD239"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3CCB5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6AB5D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вышло Распоряжение ГКО № 5218 [О мобилизации в Киевской, Черниговской и Полтавской обл. 2,4 тыс. допризывников для работ на Юго-Западной ж.д.] (7191, 1).</w:t>
      </w:r>
    </w:p>
    <w:p w14:paraId="5BCF7E14"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24B83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вышло Распоряжение ГКО № 5222 [О выделении 1050 военнообязанных, не годных к строевой службе, НКМФ СССР.] (7191, 9).</w:t>
      </w:r>
    </w:p>
    <w:p w14:paraId="15BB952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55F97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вышло Постановление ГКО № 5223 Об обеспечении углем Ленинграда. РГАНИР, Фонд ГКО, д. 211, лл. 10 (11012).</w:t>
      </w:r>
    </w:p>
    <w:p w14:paraId="754F630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197E55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вышло Постановление ГКО № 5224 О восстановлении первой очереди торфопредприятий "Назия" треста "Ленгосторф" Наркомата электростанций. РГАНИР, Фонд ГКО, д. 211, лл. 11-16,17-20 (11012).</w:t>
      </w:r>
    </w:p>
    <w:p w14:paraId="3B46A2C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FE0B55F"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A9AB8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95BF4B"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47D89822"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20 февраля юго-западнее и южнее города Луга наши войска с боями продвигались вперёд и заняли населённые пункты Погорелово, Полосы, Записенье, Звягино, Милютино, Заполье, Большой и Малый Звад.</w:t>
      </w:r>
    </w:p>
    <w:p w14:paraId="5B511BCE"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Новгорода наши войска вели наступательные бои, в ходе которых овладели районным центром Ленинградской области и железнодорожной станцией Уторгош, а также заняли населённые пункты Медведь, Высоково, Ванец, Плосково, Брянская, Донец, Михалкино, Мшага Воскресенская, Сосницы, Углы.</w:t>
      </w:r>
    </w:p>
    <w:p w14:paraId="51A4844D"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озера Ильмень наши войска, продолжая развивать наступление, с боями заняли более 100 населённых пунктов, в том числе Ретле, Коростынь, Буреги,Псижа, Бахмутово, Горицы, Сельцо, Михалково, Чудиново, Личино, Шилова Гора, Свистуха, Верехново и железнодорожные станции Перетёрки, Парники.</w:t>
      </w:r>
    </w:p>
    <w:p w14:paraId="2F746F57"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20E02FA1"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19 февраля наши войска на всех фронтах подбили и уничтожили 10 немецких танков. В воздушных боях и огнём зенитной артиллерии сбито 19 самолётов противника.</w:t>
      </w:r>
    </w:p>
    <w:p w14:paraId="538FF0DB"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Луга наши войска с боями продвигались вперёд и заняли несколько населённых пунктов. Бойцы Н-ской части, выбив противника из одного населённого пункта, уничтожили 400 немецких солдат и офицеров. Отступая, немцы оставили 50 орудий, много станковых пулемётов и другого вооружения, большой обоз и десятки автомашин с военными грузами. На другом участке наши подразделения истребили до батальона немецкой пехоты и захватили трофеи и пленных.</w:t>
      </w:r>
    </w:p>
    <w:p w14:paraId="5417D255"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Новгорода наши войска, сломив сопротивление противника, овладели районным центром Ленинградской области и железнодорожной станцией Утортош. В бою за Утортош советские бойцы разгромили два полка немецкой пехоты, захватили много трофеев и пленных. Части Н-ского соединения переправились через реку Шелонь и стремительным ударом выбили гитлеровцев из нескольких населённых пунктов. На поле боя осталось свыше 600 вражеских трупов. Захвачены 23 орудия, 2 склада боеприпасов и склад с сапёрным имуществом. В другом районе наш подвижной отряд проник в тыл противника и уничтожил две роты гитлеровцев.</w:t>
      </w:r>
    </w:p>
    <w:p w14:paraId="30ECD960"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озера Ильмень наши войска, развивая наступление, заняли более 100 населённых пунктов и железнодорожные станции Перетёрки и Парники. Немцы,отступая под ударами советских войск, бросают технику и вооружение. На одном участке немецкие автоматчики, опираясь на сильно укреплённые узлы обороны, пытались задержать наши наступающие части, чтобы дать возможность своим основным силам привести себя в порядок. Советские войска обошли вражеские узлы обороны и продолжали продвигаться вперёд. Окружённые немецкие автоматчики общим числом до500 человек ночью были ликвидированы. Захвачено 9 противотанковых орудий, 70пулемётов, много автоматов и патронов.</w:t>
      </w:r>
    </w:p>
    <w:p w14:paraId="095C1131"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Ленинградские партизаны за пять дней взорвали и уничтожили свыше трёх тысяч железнодорожных рельсов, 5 мостов и 140 немецких автомашин и повозок с военными грузами. Из засад и в открытых боях советские патриоты истребили свыше батальона гитлеровцев. Огнём из противотанковых ружей и пулемётов сбито 3 немецких самолёта. Один отряд ленинградских партизан выбил немцев из двух населённых пунктов и удержал их в своих руках до подхода частей Красной Армии.</w:t>
      </w:r>
    </w:p>
    <w:p w14:paraId="2C0C4C0F"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Взятый в плен в районе Корсунь-Шевченковский врач немецкой танковой дивизии СС «Викинг» капитан Вальтер Михль сообщил: «Наш лазарет и перевязочный пункт были расположены в Корсуне. За период с 1 по 14 февраля к нам поступило 440 легко раненых солдат и офицеров. Тяжело раненые в лазарет не поступали. </w:t>
      </w:r>
      <w:r w:rsidRPr="00070ADE">
        <w:rPr>
          <w:rFonts w:ascii="Times New Roman" w:hAnsi="Times New Roman"/>
          <w:color w:val="000000" w:themeColor="text1"/>
          <w:sz w:val="16"/>
          <w:szCs w:val="16"/>
        </w:rPr>
        <w:lastRenderedPageBreak/>
        <w:t>Мне известно, что офицеры, выполняя приказ Гитлера, пристреливали всех тяжелораненых немецких солдат. Немецкое командование пыталось вывезти офицеров из окружения на транспортных самолётах. Однако осуществление этой задачи было в значительной мере сорвано советскими лётчиками. На моих глазах русские истребители сожгли только что оторвавшиеся от земли четыре транспортных самолёта, на которых находилось около ста офицеров. Все они погибли».</w:t>
      </w:r>
    </w:p>
    <w:p w14:paraId="6ECEAB52"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публикуется акт о чудовищных злодеяниях немецко-фашистских мерзавцев на хуторе Камень, Полесской области: «Восьмого января 1944 года группа немецких солдат и офицеров на двух танках ворвалась в хутор Камень и учинила зверскую расправу над мирными жителями. Этот хутор был полностью сожжён немцами ещё весной 1943 года. Оставшиеся в живых жители ютились в шалашах и землянках. Немецкие танкисты с хода открыли огонь из пушек и пулемётов. Фашистские палачи не пощадили никого — ни стариков, ни старух, ни детей. В одной землянке погибли Акулина Воскевич и четверо детей в возрасте от одного года до 14 лет. В другой землянке были убиты Мария Сланевич, Анастасия Мартынович, Ольга Шевель — 14 лет, Леонид Шевель — 4 лет, Лора Шевель — 2 месяцев и другие. Нескольким жителям удалось убежать из хутора. Они хотели пробраться в лес. Немцы нагнали убегавших и долго мучили беззащитных людей. Всего только трём взрослым жителям хутора, подписавшим этот акт, и двум мальчикам удалось скрыться от немецких людоедов. Советские бойцы и командиры, вступив в Камень, увидели жуткую картину немецких зверств, не поддающихся описанию. Над трупами советских граждан, погибших от рук фашистских палачей, мы поклялись беспощадно мстить немецким извергам».</w:t>
      </w:r>
    </w:p>
    <w:p w14:paraId="098F5AC2"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гвардии майор Стецюра, гвардии майор Свердликов, гвардии майор Козлов, гвардии красноармеец Шишкин, жители хутора Кузьма Воскевич, Ирина Копылова, Наталия Мастич.» (15046).</w:t>
      </w:r>
    </w:p>
    <w:p w14:paraId="5B998297" w14:textId="77777777" w:rsidR="00E32A8C" w:rsidRPr="00070ADE" w:rsidRDefault="00E32A8C" w:rsidP="00B56F90">
      <w:pPr>
        <w:spacing w:after="0" w:line="240" w:lineRule="auto"/>
        <w:jc w:val="both"/>
        <w:rPr>
          <w:rFonts w:ascii="Times New Roman" w:hAnsi="Times New Roman"/>
          <w:color w:val="000000" w:themeColor="text1"/>
          <w:sz w:val="16"/>
          <w:szCs w:val="16"/>
        </w:rPr>
      </w:pPr>
    </w:p>
    <w:p w14:paraId="2B33CAF3"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 февраля</w:t>
      </w:r>
      <w:r w:rsidRPr="00070ADE">
        <w:rPr>
          <w:rFonts w:ascii="Times New Roman" w:hAnsi="Times New Roman"/>
          <w:color w:val="000000" w:themeColor="text1"/>
          <w:sz w:val="16"/>
          <w:szCs w:val="16"/>
        </w:rPr>
        <w:t xml:space="preserve"> в 1944 году корабли и авиация Северного флота начали 2-ю комбинированную операцию на морских коммуникациях противника у побережья Северной Норвегии (15046).</w:t>
      </w:r>
    </w:p>
    <w:p w14:paraId="7CFD9BEC" w14:textId="77777777" w:rsidR="00E32A8C" w:rsidRPr="00070ADE" w:rsidRDefault="00E32A8C" w:rsidP="00B56F90">
      <w:pPr>
        <w:spacing w:after="0" w:line="240" w:lineRule="auto"/>
        <w:jc w:val="both"/>
        <w:rPr>
          <w:rFonts w:ascii="Times New Roman" w:hAnsi="Times New Roman"/>
          <w:color w:val="000000" w:themeColor="text1"/>
          <w:sz w:val="16"/>
          <w:szCs w:val="16"/>
        </w:rPr>
      </w:pPr>
    </w:p>
    <w:p w14:paraId="2853B02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на аэродроме Гатов, около юго-западной окраины Берлина, сформировали секретную эскадру KG200. Ее штаб был создан на основе опытного подразделения Главного командования Люфтваффе (Versuchsverband Ob.d.E.). Тогда же на аэродроме Финов, в 45 км северо-восточнее Берлина, на базе авиагруппы «Гартенфельд» сформировали 1-ю группу KG200, позднее в мае в Дедельсдорфе была сформирована 2-я группа эскадры. Формально KG200 входила в состав бомбардировочной авиации, однако поскольку эскадра предназначалась для выполнения различных специальных и секретных заданий, то она получила на вооружение самые разные типы самолетов. Ее штабное звено было оснащено двухмоторными Ju-188 и четырехмоторными FW-200 «Кондор». 1-я эскадрилья, предназначавшаяся для полетов на большие расстояния, использовала транспортные самолеты Ju-252, Ju-352, а также «Арадо» Аг-232 и четырехмоторные Ju-290. Аг-232 «Многоножка» был создан еще в 1941 г. специально для действий с неподготовленных грунтовых площадок. Конструкция этого транспортного самолета была поистине уникальной. Помимо основных шасси, он имел в нижней части фюзеляжа 11 пар небольших колес, на которые при необходимости надевались специальные каучуковые гусеницы. При посадке на них транспортник мог преодолевать канавы и ямы шириной до полутора метров, что для других машин того времени заканчивалось неизбежной катастрофой. Основное шасси состояло из полуубираемой носовой стойки и убираемых в крыло основных стоек. Последние имели возможность поджиматься на время погрузочно-разгрузочных работ. При этом самолет опускался на колеса дополнительных шасси, и задний грузовой люк оказывался на уровне кузова грузовика. После окончания работ основные стойки шасси поднимали самолет так, чтобы при взлете дополнительные шасси не касались земли. Фактически «Арадо-232» имел отдельные взлетные и посадочные шасси! Самолет мог перевозить до семи тонн грузов, причем в грузовой отсек могли поместиться несколько мотоциклов и даже легковой автомобиль. Общий взлетный вес машины мог составлять до 20 т при дальности полета 1300 км. НедостаткомАг-232, как и всех транспортников, была низкая скорость – не более 300 км/ч. Поэтому для защиты от истребителей на нем установили один 13-мм пулемет в носовой части, два таких же – в задней кабине и одну 20-мм пушку MG151 – в верхней башне. Первые два опытных экземпляра принимали участие в снабжении 6-й армии в Сталинграде, затем, после ввода в строй еще трех самолетов, они использовались на Восточном фронте в интересах Главного командования Люфтваффе. При этом за весь 1943 г. не было потеряно ни одной машины. И вот в феврале 1944 г. все пять «Многоножек» поступили в распоряжение эскадры KG200. Ju-290 был сконструирован в 1942 г. как модификация бомбардировщика «Юнкерс-90». Огромный самолет длиной 42 м весил 45 т и мог летать со скоростью 440 км/ч. 2-я эскадрилья использовала транспортные Ju-52, бомбардировщики Ju-88, Ju-188 и Do-217, а также трофейные В-17 «Летающая Крепость» и В-24 «Либерейтор». 3-я эскадрилья предназначалась для действий над морем, поэтому ее пилоты летали на гидросамолетах самых разных типов, от допотопного биплана Не-59 до шестимоторной летающей лодки «Блом унд Фосс» BW-222. Это чудище длиной 46 м и размахом крыльев 36 м весило почти 50 т! 4-я эскадрилья была оснащена различными легкими самолетами. И наконец, II./KG200 получила на вооружение старые бомбардировщики Не-111, а также буксировщики планеров He-lllZ, истребители FW-190, планеры Go-242 и др. машины. В общей сложности на вооружении секретной эскадры находилось 26 типов самолетов!</w:t>
      </w:r>
    </w:p>
    <w:p w14:paraId="2D99DF7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то что фронт откатывался все дальше на запад, спецслужбы Третьего рейха продолжали десятками забрасывать шпионов и диверсантов в советский тыл, в т.ч. и в районы Поволжья. Агентам ставились задачи по дестабилизации обстановки в тылу, проведению профашистской пропаганды и распространению соответствующих печатных материалов, созданию бандформирований из числа уголовных элементов и дезертиров.</w:t>
      </w:r>
    </w:p>
    <w:p w14:paraId="031E0E5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сокращенного курса подготовки шпионов на различных самолетах KG200 по ночам забрасывали в лесные и малонаселенные районы, где им легче было раствориться на местности. Поскольку Поволжье от линии фронта отделяли от 700 до 1000 км, полет транспортного самолета многократно фиксировался постами ВНОС и РЛС, и рассчитывать на полную внезапность, как то бывало ранее, не приходилось. Тем не менее немцы, видимо, полагая, что на дворе по-прежнему 1942 г., продолжали совершать полеты в Поволжье даже в светлое время суток (11774).</w:t>
      </w:r>
    </w:p>
    <w:p w14:paraId="331968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0D5DB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20-го февраля 1944 в районе Таллина П.А. Колесник атаковал небольшой конвой и доложил о потоплении «5000-тонного транспорта», а 29-го своей второй победы добился старший лейтенант А.З.Большаков. Ему удалось атаковать небольшое одиночное судно севернее мыса Тахкуна. Подтверждений не на одну из атак нет. Тем не менее, противник серьезно обеспокоился началом нового наступления на свои коммуникации и предпринял эффективные меры противодействия, из которых в первую очередь необходимо отметить патрулирование ночных истребителей с РЛС в районе Таллинна (9965).</w:t>
      </w:r>
    </w:p>
    <w:p w14:paraId="576251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1ED309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336DB5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CFFCB3"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в Киеве состоялся антифашистский митинг (4962).</w:t>
      </w:r>
    </w:p>
    <w:p w14:paraId="501E1054"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655449" w14:textId="77777777" w:rsidR="00E32A8C"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465F5254" w14:textId="77777777" w:rsidR="00E32A8C" w:rsidRPr="00070ADE" w:rsidRDefault="00E32A8C"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E64A3D"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 февраля</w:t>
      </w:r>
      <w:r w:rsidRPr="00070ADE">
        <w:rPr>
          <w:rFonts w:ascii="Times New Roman" w:hAnsi="Times New Roman"/>
          <w:color w:val="000000" w:themeColor="text1"/>
          <w:sz w:val="16"/>
          <w:szCs w:val="16"/>
        </w:rPr>
        <w:t xml:space="preserve"> в 1944 году У.Черчилль в личном послании И.В.Сталину добивался согласия отложить вопрос о восточных границах Польши на послевоенное время и признания польского эмигрантского правительства в его текущем составе (15046).</w:t>
      </w:r>
    </w:p>
    <w:p w14:paraId="0ABAEB51" w14:textId="77777777" w:rsidR="00E32A8C" w:rsidRPr="00070ADE" w:rsidRDefault="00E32A8C" w:rsidP="00B56F90">
      <w:pPr>
        <w:spacing w:after="0" w:line="240" w:lineRule="auto"/>
        <w:jc w:val="both"/>
        <w:rPr>
          <w:rFonts w:ascii="Times New Roman" w:hAnsi="Times New Roman"/>
          <w:color w:val="000000" w:themeColor="text1"/>
          <w:sz w:val="16"/>
          <w:szCs w:val="16"/>
        </w:rPr>
      </w:pPr>
    </w:p>
    <w:p w14:paraId="3FE23E2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070ADE">
        <w:rPr>
          <w:rFonts w:ascii="Times New Roman" w:hAnsi="Times New Roman"/>
          <w:i/>
          <w:iCs/>
          <w:color w:val="000000" w:themeColor="text1"/>
          <w:sz w:val="16"/>
          <w:szCs w:val="16"/>
        </w:rPr>
        <w:t>За</w:t>
      </w:r>
      <w:r w:rsidRPr="00070ADE">
        <w:rPr>
          <w:rFonts w:ascii="Times New Roman" w:hAnsi="Times New Roman"/>
          <w:i/>
          <w:iCs/>
          <w:color w:val="000000" w:themeColor="text1"/>
          <w:sz w:val="16"/>
          <w:szCs w:val="16"/>
          <w:lang w:val="en-US"/>
        </w:rPr>
        <w:t xml:space="preserve"> </w:t>
      </w:r>
      <w:r w:rsidRPr="00070ADE">
        <w:rPr>
          <w:rFonts w:ascii="Times New Roman" w:hAnsi="Times New Roman"/>
          <w:i/>
          <w:iCs/>
          <w:color w:val="000000" w:themeColor="text1"/>
          <w:sz w:val="16"/>
          <w:szCs w:val="16"/>
        </w:rPr>
        <w:t>рубежом</w:t>
      </w:r>
      <w:r w:rsidRPr="00070ADE">
        <w:rPr>
          <w:rFonts w:ascii="Times New Roman" w:hAnsi="Times New Roman"/>
          <w:i/>
          <w:iCs/>
          <w:color w:val="000000" w:themeColor="text1"/>
          <w:sz w:val="16"/>
          <w:szCs w:val="16"/>
          <w:lang w:val="en-US"/>
        </w:rPr>
        <w:t>:</w:t>
      </w:r>
    </w:p>
    <w:p w14:paraId="6576E2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1CD6EA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20 February 1944 Major US daylight raids on Germany resumed (270).</w:t>
      </w:r>
    </w:p>
    <w:p w14:paraId="7BE4376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D2ECB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February 20, 1944: 970 bombers of the US 8th Air Force carry out attacks against Hamburg, Leipzig and Braunschweig (3819).</w:t>
      </w:r>
    </w:p>
    <w:p w14:paraId="07503FA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3E5D6A8" w14:textId="77777777" w:rsidR="00712C09" w:rsidRPr="00070ADE" w:rsidRDefault="00712C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Восьмая армия ВВС начала операции Аргумент, шестидневную кампания, предполагающую масштабные нападения на немецкую авиационную промышленности и уничтожение самолетов люфтваффе в воздушном бою. Позже операция стала неофициально именоваться «Большая неделя». В первый день 1003 бомбардировщика Восьмой армии ВВС в сопровождении 835 истребителей нанесли удар по целям в Германии, включая аэродром Лейпциг - Моккау, аэродром Тутов, Абнаундорф, Бернбург, Брауншвейг, Гота, Хайтерблик, Нойпетритор, Ошерслебен, Росток и Вильгельмстор. Слюзники потеряли 21 бомбардировщик и четыре истребителя и заявляют, что 126 немецких самолетов сбиты, 40 вероятно сбиты и 66 повреждены в воздушных боях.</w:t>
      </w:r>
    </w:p>
    <w:p w14:paraId="3368CFE3" w14:textId="77777777" w:rsidR="00712C09" w:rsidRPr="00070ADE" w:rsidRDefault="00712C09" w:rsidP="00B56F90">
      <w:pPr>
        <w:spacing w:after="0" w:line="240" w:lineRule="auto"/>
        <w:jc w:val="both"/>
        <w:rPr>
          <w:rFonts w:ascii="Times New Roman" w:hAnsi="Times New Roman"/>
          <w:color w:val="000000" w:themeColor="text1"/>
          <w:sz w:val="16"/>
          <w:szCs w:val="16"/>
        </w:rPr>
      </w:pPr>
    </w:p>
    <w:p w14:paraId="4DA659C3" w14:textId="664F1E37" w:rsidR="00712C09" w:rsidRPr="00070ADE" w:rsidRDefault="00712C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Стал первым из пяти дней скоординированных нападений USAAF и RAF на немецкую авиационную промышленность. Эти налеты историки позже назвали "The Big Week" - "Большая Неделя". В этот день имел место первый налет тысячи самолетов на заводы по производству истребителей в Брунсвике, Oschersleben, Бернберге и Лейпциге. За время Big Week было потеряно 244 тяжелых бомбардировщика В-17 и В-24 и 33 истребителя эскорта. Однако эти набеги сыграли важную роль в сокращении сил Люфтваффе и облегчили высадку союзников в Нормандии. Ухудшившиеся метеорологические условия положили конец Big Week. Но после этих налетов Люфтваффе оправиться уже не смогли (22592).</w:t>
      </w:r>
    </w:p>
    <w:p w14:paraId="01CE6D01" w14:textId="77777777" w:rsidR="00712C09" w:rsidRPr="00070ADE" w:rsidRDefault="00712C09" w:rsidP="00B56F90">
      <w:pPr>
        <w:spacing w:after="0" w:line="240" w:lineRule="auto"/>
        <w:jc w:val="both"/>
        <w:rPr>
          <w:rFonts w:ascii="Times New Roman" w:hAnsi="Times New Roman"/>
          <w:color w:val="000000" w:themeColor="text1"/>
          <w:sz w:val="16"/>
          <w:szCs w:val="16"/>
        </w:rPr>
      </w:pPr>
    </w:p>
    <w:p w14:paraId="2CA66C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February 20, 1944. The first mission of "Big Week" - six days of strikes by Eighth Air Force (based in England) and Fifteenth Air Force (based in Italy) against German aircraft plants--is flown (1089).</w:t>
      </w:r>
    </w:p>
    <w:p w14:paraId="07A679A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6AD03A0" w14:textId="77777777" w:rsidR="00712C09" w:rsidRPr="00070ADE" w:rsidRDefault="00712C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20–21 февраля (ночь) 1944 598 британских бомбардировщиков наносят удар по Штутгарту, Германия, в результате чего из-за отвлечения немецких ночных истребителей было потеряно только девять самолетов (1,5% сил), хотя еще пять бомбардировщиков разбиваются по возвращении в Англию.</w:t>
      </w:r>
    </w:p>
    <w:p w14:paraId="0670D53D" w14:textId="77777777" w:rsidR="00712C09" w:rsidRPr="00070ADE" w:rsidRDefault="00712C09" w:rsidP="00B56F90">
      <w:pPr>
        <w:spacing w:after="0" w:line="240" w:lineRule="auto"/>
        <w:jc w:val="both"/>
        <w:rPr>
          <w:rFonts w:ascii="Times New Roman" w:hAnsi="Times New Roman"/>
          <w:color w:val="000000" w:themeColor="text1"/>
          <w:sz w:val="16"/>
          <w:szCs w:val="16"/>
        </w:rPr>
      </w:pPr>
    </w:p>
    <w:p w14:paraId="18960A8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возобновились дневные налеты авиации США на Германию (270) и 8ВА из Англии и 15ВА из Италии выполнили удары по немецким авиазаводам (1089).</w:t>
      </w:r>
    </w:p>
    <w:p w14:paraId="4F1FD25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D50489"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 февраля</w:t>
      </w:r>
      <w:r w:rsidRPr="00070ADE">
        <w:rPr>
          <w:rFonts w:ascii="Times New Roman" w:hAnsi="Times New Roman"/>
          <w:color w:val="000000" w:themeColor="text1"/>
          <w:sz w:val="16"/>
          <w:szCs w:val="16"/>
        </w:rPr>
        <w:t xml:space="preserve"> в 1944 году (20–25 февраля) воздушная операция англо-американских стратегических ВВС против авиационных заводов Германии (15046).</w:t>
      </w:r>
    </w:p>
    <w:p w14:paraId="111BC6B3" w14:textId="77777777" w:rsidR="00E32A8C" w:rsidRPr="00070ADE" w:rsidRDefault="00E32A8C" w:rsidP="00B56F90">
      <w:pPr>
        <w:spacing w:after="0" w:line="240" w:lineRule="auto"/>
        <w:jc w:val="both"/>
        <w:rPr>
          <w:rFonts w:ascii="Times New Roman" w:hAnsi="Times New Roman"/>
          <w:color w:val="000000" w:themeColor="text1"/>
          <w:sz w:val="16"/>
          <w:szCs w:val="16"/>
        </w:rPr>
      </w:pPr>
    </w:p>
    <w:p w14:paraId="71A28D14"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 февраля</w:t>
      </w:r>
      <w:r w:rsidRPr="00070ADE">
        <w:rPr>
          <w:rFonts w:ascii="Times New Roman" w:hAnsi="Times New Roman"/>
          <w:color w:val="000000" w:themeColor="text1"/>
          <w:sz w:val="16"/>
          <w:szCs w:val="16"/>
        </w:rPr>
        <w:t xml:space="preserve"> в 1944 году стал первым из пяти дней скоординированных нападений USAAF и RAF на немецкую авиационную промышленность. Эти налеты историки позже назвали "The Big Week" - "Большая Неделя". В этот день имел место первый налет тысячи самолетов на заводы по производству истребителей в Брунсвике, Oschersleben, Бернберге и Лейпциге. За время «Big Week» было потеряно 244 тяжелых бомбардировщика «В-17» и «В-24» и 33 истребителя эскорта. Однако эти набеги сыграли важную роль в сокращении сил Люфтваффе и облегчили высадку союзников в Нормандии. Ухудшившиеся метеорологические условия положили конец «Big Week». Но после этих налетов Люфтваффе оправиться уже не смогли (15046).</w:t>
      </w:r>
    </w:p>
    <w:p w14:paraId="040B201F" w14:textId="77777777" w:rsidR="00E32A8C" w:rsidRPr="00070ADE" w:rsidRDefault="00E32A8C" w:rsidP="00B56F90">
      <w:pPr>
        <w:spacing w:after="0" w:line="240" w:lineRule="auto"/>
        <w:jc w:val="both"/>
        <w:rPr>
          <w:rFonts w:ascii="Times New Roman" w:hAnsi="Times New Roman"/>
          <w:color w:val="000000" w:themeColor="text1"/>
          <w:sz w:val="16"/>
          <w:szCs w:val="16"/>
        </w:rPr>
      </w:pPr>
    </w:p>
    <w:p w14:paraId="39DBEF72"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 февраля</w:t>
      </w:r>
      <w:r w:rsidRPr="00070ADE">
        <w:rPr>
          <w:rFonts w:ascii="Times New Roman" w:hAnsi="Times New Roman"/>
          <w:color w:val="000000" w:themeColor="text1"/>
          <w:sz w:val="16"/>
          <w:szCs w:val="16"/>
        </w:rPr>
        <w:t xml:space="preserve"> в 1944 году массированный авианалет британских ВВС на Лейпциг (15046).</w:t>
      </w:r>
    </w:p>
    <w:p w14:paraId="457DCC5E" w14:textId="77777777" w:rsidR="00E32A8C" w:rsidRPr="00070ADE" w:rsidRDefault="00E32A8C" w:rsidP="00B56F90">
      <w:pPr>
        <w:spacing w:after="0" w:line="240" w:lineRule="auto"/>
        <w:jc w:val="both"/>
        <w:rPr>
          <w:rFonts w:ascii="Times New Roman" w:hAnsi="Times New Roman"/>
          <w:color w:val="000000" w:themeColor="text1"/>
          <w:sz w:val="16"/>
          <w:szCs w:val="16"/>
        </w:rPr>
      </w:pPr>
    </w:p>
    <w:p w14:paraId="061617D4"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 февраля</w:t>
      </w:r>
      <w:r w:rsidRPr="00070ADE">
        <w:rPr>
          <w:rFonts w:ascii="Times New Roman" w:hAnsi="Times New Roman"/>
          <w:color w:val="000000" w:themeColor="text1"/>
          <w:sz w:val="16"/>
          <w:szCs w:val="16"/>
        </w:rPr>
        <w:t xml:space="preserve"> в 1944 году восточным формированиям в составе вермахта предписано носить немецкую форму со знаками различия РОА, УОВ и других национальных легионов (15046).</w:t>
      </w:r>
    </w:p>
    <w:p w14:paraId="189CE627" w14:textId="77777777" w:rsidR="00E32A8C" w:rsidRPr="00070ADE" w:rsidRDefault="00E32A8C" w:rsidP="00B56F90">
      <w:pPr>
        <w:spacing w:after="0" w:line="240" w:lineRule="auto"/>
        <w:jc w:val="both"/>
        <w:rPr>
          <w:rFonts w:ascii="Times New Roman" w:hAnsi="Times New Roman"/>
          <w:color w:val="000000" w:themeColor="text1"/>
          <w:sz w:val="16"/>
          <w:szCs w:val="16"/>
        </w:rPr>
      </w:pPr>
    </w:p>
    <w:p w14:paraId="56361A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1944 диверсанты взорвали мост, по которому в Германию перевозили тяжелую воду (3907,248).</w:t>
      </w:r>
    </w:p>
    <w:p w14:paraId="74999F9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8BCF8D"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 февраля</w:t>
      </w:r>
      <w:r w:rsidRPr="00070ADE">
        <w:rPr>
          <w:rFonts w:ascii="Times New Roman" w:hAnsi="Times New Roman"/>
          <w:color w:val="000000" w:themeColor="text1"/>
          <w:sz w:val="16"/>
          <w:szCs w:val="16"/>
        </w:rPr>
        <w:t xml:space="preserve"> в 1944 году диверсионный отряд на озере Тиннсьё в Норвегии взрывает переправу, по которой перевозили в Германию "тяжелую" воду для атомных исследований (15046).</w:t>
      </w:r>
    </w:p>
    <w:p w14:paraId="42A62585" w14:textId="77777777" w:rsidR="00E32A8C" w:rsidRPr="00070ADE" w:rsidRDefault="00E32A8C" w:rsidP="00B56F90">
      <w:pPr>
        <w:spacing w:after="0" w:line="240" w:lineRule="auto"/>
        <w:jc w:val="both"/>
        <w:rPr>
          <w:rFonts w:ascii="Times New Roman" w:hAnsi="Times New Roman"/>
          <w:color w:val="000000" w:themeColor="text1"/>
          <w:sz w:val="16"/>
          <w:szCs w:val="16"/>
        </w:rPr>
      </w:pPr>
    </w:p>
    <w:p w14:paraId="7AFA3C39"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CE55FE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9CEAE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февраля 1944 вышел приказ НКАП N 121с</w:t>
      </w:r>
    </w:p>
    <w:p w14:paraId="3CEB51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организации агрегатного завода по производству металлического крыла стрельчатой конструкции самолета Ил-2:</w:t>
      </w:r>
    </w:p>
    <w:p w14:paraId="2AA7D8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Завод 64 6 ГУ передать в ведение 10 ГУ</w:t>
      </w:r>
    </w:p>
    <w:p w14:paraId="041FB04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Нач. 10 ГУ, зам. наркома Кузнецову и директору завода 64 Сердюк организовать на заводе 64 в Воронеже производство металлических крыльев самолета Ил-2</w:t>
      </w:r>
    </w:p>
    <w:p w14:paraId="4EBB0B0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Директору завода 64 обеспечить выпуск металлических крыльев самолета Ил-2 в 1944 в след. количестве:</w:t>
      </w:r>
    </w:p>
    <w:p w14:paraId="78A401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стрельчатой конструкции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03F147F6" w14:textId="77777777">
        <w:tc>
          <w:tcPr>
            <w:tcW w:w="5636" w:type="dxa"/>
          </w:tcPr>
          <w:p w14:paraId="46E647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июнь</w:t>
            </w:r>
          </w:p>
        </w:tc>
        <w:tc>
          <w:tcPr>
            <w:tcW w:w="5636" w:type="dxa"/>
          </w:tcPr>
          <w:p w14:paraId="0B4C29E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комплектов</w:t>
            </w:r>
          </w:p>
        </w:tc>
      </w:tr>
      <w:tr w:rsidR="004D4663" w:rsidRPr="00070ADE" w14:paraId="2EF807E0" w14:textId="77777777">
        <w:tc>
          <w:tcPr>
            <w:tcW w:w="5636" w:type="dxa"/>
          </w:tcPr>
          <w:p w14:paraId="5A625A3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июль</w:t>
            </w:r>
          </w:p>
        </w:tc>
        <w:tc>
          <w:tcPr>
            <w:tcW w:w="5636" w:type="dxa"/>
          </w:tcPr>
          <w:p w14:paraId="0A2B01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w:t>
            </w:r>
          </w:p>
        </w:tc>
      </w:tr>
      <w:tr w:rsidR="004D4663" w:rsidRPr="00070ADE" w14:paraId="51E3DC1B" w14:textId="77777777">
        <w:tc>
          <w:tcPr>
            <w:tcW w:w="5636" w:type="dxa"/>
          </w:tcPr>
          <w:p w14:paraId="7C52E25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август</w:t>
            </w:r>
          </w:p>
        </w:tc>
        <w:tc>
          <w:tcPr>
            <w:tcW w:w="5636" w:type="dxa"/>
          </w:tcPr>
          <w:p w14:paraId="12C2AF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w:t>
            </w:r>
          </w:p>
        </w:tc>
      </w:tr>
      <w:tr w:rsidR="004D4663" w:rsidRPr="00070ADE" w14:paraId="44CD57EB" w14:textId="77777777">
        <w:tc>
          <w:tcPr>
            <w:tcW w:w="5636" w:type="dxa"/>
          </w:tcPr>
          <w:p w14:paraId="2D7FDCD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сентябрь</w:t>
            </w:r>
          </w:p>
        </w:tc>
        <w:tc>
          <w:tcPr>
            <w:tcW w:w="5636" w:type="dxa"/>
          </w:tcPr>
          <w:p w14:paraId="1D46EB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w:t>
            </w:r>
          </w:p>
        </w:tc>
      </w:tr>
      <w:tr w:rsidR="004D4663" w:rsidRPr="00070ADE" w14:paraId="22FFE4BF" w14:textId="77777777">
        <w:tc>
          <w:tcPr>
            <w:tcW w:w="5636" w:type="dxa"/>
          </w:tcPr>
          <w:p w14:paraId="14B2B20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октябрь</w:t>
            </w:r>
          </w:p>
        </w:tc>
        <w:tc>
          <w:tcPr>
            <w:tcW w:w="5636" w:type="dxa"/>
          </w:tcPr>
          <w:p w14:paraId="26659B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145</w:t>
            </w:r>
          </w:p>
        </w:tc>
      </w:tr>
    </w:tbl>
    <w:p w14:paraId="4DF738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доведением выпуска крыльев на 1 ноября до 6 комплектов в сутки</w:t>
      </w:r>
    </w:p>
    <w:p w14:paraId="203E3F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существующей конструкции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4F83A7D6" w14:textId="77777777">
        <w:tc>
          <w:tcPr>
            <w:tcW w:w="5636" w:type="dxa"/>
          </w:tcPr>
          <w:p w14:paraId="0F196D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май</w:t>
            </w:r>
          </w:p>
        </w:tc>
        <w:tc>
          <w:tcPr>
            <w:tcW w:w="5636" w:type="dxa"/>
          </w:tcPr>
          <w:p w14:paraId="5D9245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комплектов</w:t>
            </w:r>
          </w:p>
        </w:tc>
      </w:tr>
      <w:tr w:rsidR="004D4663" w:rsidRPr="00070ADE" w14:paraId="3F184D77" w14:textId="77777777">
        <w:tc>
          <w:tcPr>
            <w:tcW w:w="5636" w:type="dxa"/>
          </w:tcPr>
          <w:p w14:paraId="08CAA6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июнь</w:t>
            </w:r>
          </w:p>
        </w:tc>
        <w:tc>
          <w:tcPr>
            <w:tcW w:w="5636" w:type="dxa"/>
          </w:tcPr>
          <w:p w14:paraId="6166C82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r>
      <w:tr w:rsidR="004D4663" w:rsidRPr="00070ADE" w14:paraId="7B40B6EC" w14:textId="77777777">
        <w:tc>
          <w:tcPr>
            <w:tcW w:w="5636" w:type="dxa"/>
          </w:tcPr>
          <w:p w14:paraId="22609F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июль</w:t>
            </w:r>
          </w:p>
        </w:tc>
        <w:tc>
          <w:tcPr>
            <w:tcW w:w="5636" w:type="dxa"/>
          </w:tcPr>
          <w:p w14:paraId="6FE33A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r>
      <w:tr w:rsidR="004D4663" w:rsidRPr="00070ADE" w14:paraId="26F928D0" w14:textId="77777777">
        <w:tc>
          <w:tcPr>
            <w:tcW w:w="5636" w:type="dxa"/>
          </w:tcPr>
          <w:p w14:paraId="7CB66D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август</w:t>
            </w:r>
          </w:p>
        </w:tc>
        <w:tc>
          <w:tcPr>
            <w:tcW w:w="5636" w:type="dxa"/>
          </w:tcPr>
          <w:p w14:paraId="7DA110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r>
    </w:tbl>
    <w:p w14:paraId="3F9F8B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до конца года по 50 комплектов в месяц</w:t>
      </w:r>
    </w:p>
    <w:p w14:paraId="66A47E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Производство металлического крыла стрельчатой конструкции самолета Ил-2 на заводе 64 организовать по технологии завода 30 (1662,4).</w:t>
      </w:r>
    </w:p>
    <w:p w14:paraId="4F8B61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1E702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февраля 1944 завод 64 перевели в разряд агрегатных и он стал делать крылья для Ил-2 (236,42).</w:t>
      </w:r>
    </w:p>
    <w:p w14:paraId="77C044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23245B" w14:textId="35FD232E" w:rsidR="0047055E" w:rsidRPr="00070ADE" w:rsidRDefault="0047055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февраля 1944 года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Согласно приказа НКАП завод</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64 в Воронеже получил задание изготовлять агрегаты (крылья) самолета ИЛ-2, этим же приказом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завод</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переведен в разряд агрегатных заводов второй категории (19829).</w:t>
      </w:r>
    </w:p>
    <w:p w14:paraId="2D368283" w14:textId="77777777" w:rsidR="0047055E" w:rsidRPr="00070ADE" w:rsidRDefault="0047055E" w:rsidP="00B56F90">
      <w:pPr>
        <w:spacing w:after="0" w:line="240" w:lineRule="auto"/>
        <w:jc w:val="both"/>
        <w:rPr>
          <w:rFonts w:ascii="Times New Roman" w:hAnsi="Times New Roman"/>
          <w:color w:val="000000" w:themeColor="text1"/>
          <w:sz w:val="16"/>
          <w:szCs w:val="16"/>
        </w:rPr>
      </w:pPr>
    </w:p>
    <w:p w14:paraId="1F39B20F" w14:textId="77777777" w:rsidR="00282955" w:rsidRPr="00070ADE" w:rsidRDefault="0028295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февраля 1944 специалисты НИИ ВВС, ВИАМ и Главстройстекло НКПСМ подготовили обсто</w:t>
      </w:r>
      <w:r w:rsidRPr="00070ADE">
        <w:rPr>
          <w:rFonts w:ascii="Times New Roman" w:hAnsi="Times New Roman"/>
          <w:color w:val="000000" w:themeColor="text1"/>
          <w:sz w:val="16"/>
          <w:szCs w:val="16"/>
        </w:rPr>
        <w:softHyphen/>
        <w:t>ятельный доклад «О состоянии производства прозрачной брони», в котором делалась оценка возможностей отечественной промышленно</w:t>
      </w:r>
      <w:r w:rsidRPr="00070ADE">
        <w:rPr>
          <w:rFonts w:ascii="Times New Roman" w:hAnsi="Times New Roman"/>
          <w:color w:val="000000" w:themeColor="text1"/>
          <w:sz w:val="16"/>
          <w:szCs w:val="16"/>
        </w:rPr>
        <w:softHyphen/>
        <w:t>сти по улучшению качества и повышению объе</w:t>
      </w:r>
      <w:r w:rsidRPr="00070ADE">
        <w:rPr>
          <w:rFonts w:ascii="Times New Roman" w:hAnsi="Times New Roman"/>
          <w:color w:val="000000" w:themeColor="text1"/>
          <w:sz w:val="16"/>
          <w:szCs w:val="16"/>
        </w:rPr>
        <w:softHyphen/>
        <w:t>мов выпуска изделий из прозрачной брони.</w:t>
      </w:r>
    </w:p>
    <w:p w14:paraId="0370B475" w14:textId="77777777" w:rsidR="00282955" w:rsidRPr="00070ADE" w:rsidRDefault="0028295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Отмечалось, что резко повысить оптиче</w:t>
      </w:r>
      <w:r w:rsidRPr="00070ADE">
        <w:rPr>
          <w:rFonts w:ascii="Times New Roman" w:hAnsi="Times New Roman"/>
          <w:color w:val="000000" w:themeColor="text1"/>
          <w:sz w:val="16"/>
          <w:szCs w:val="16"/>
        </w:rPr>
        <w:softHyphen/>
        <w:t>ское качество бронестекла можно лишь с пе</w:t>
      </w:r>
      <w:r w:rsidRPr="00070ADE">
        <w:rPr>
          <w:rFonts w:ascii="Times New Roman" w:hAnsi="Times New Roman"/>
          <w:color w:val="000000" w:themeColor="text1"/>
          <w:sz w:val="16"/>
          <w:szCs w:val="16"/>
        </w:rPr>
        <w:softHyphen/>
        <w:t>реходом на зеркальное стекло по довоенной технологии. Однако производство такого сте</w:t>
      </w:r>
      <w:r w:rsidRPr="00070ADE">
        <w:rPr>
          <w:rFonts w:ascii="Times New Roman" w:hAnsi="Times New Roman"/>
          <w:color w:val="000000" w:themeColor="text1"/>
          <w:sz w:val="16"/>
          <w:szCs w:val="16"/>
        </w:rPr>
        <w:softHyphen/>
        <w:t>кла было возможным только на двух стеклоза</w:t>
      </w:r>
      <w:r w:rsidRPr="00070ADE">
        <w:rPr>
          <w:rFonts w:ascii="Times New Roman" w:hAnsi="Times New Roman"/>
          <w:color w:val="000000" w:themeColor="text1"/>
          <w:sz w:val="16"/>
          <w:szCs w:val="16"/>
        </w:rPr>
        <w:softHyphen/>
        <w:t>водах - Люберецком № 233 и Константиновском № 25 «Автостекло». Для этого требовалось активизировать восстановительные работы на Константиновском заводе, форсировать мон</w:t>
      </w:r>
      <w:r w:rsidRPr="00070ADE">
        <w:rPr>
          <w:rFonts w:ascii="Times New Roman" w:hAnsi="Times New Roman"/>
          <w:color w:val="000000" w:themeColor="text1"/>
          <w:sz w:val="16"/>
          <w:szCs w:val="16"/>
        </w:rPr>
        <w:softHyphen/>
        <w:t>таж на Люберецком заводе двух ротационных шлифовально-полировочных станков (площадь стекла - 50 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 увеличить количество</w:t>
      </w:r>
      <w:r w:rsidRPr="00070ADE">
        <w:rPr>
          <w:rStyle w:val="75pt"/>
          <w:rFonts w:ascii="Times New Roman" w:hAnsi="Times New Roman" w:cs="Times New Roman"/>
          <w:b w:val="0"/>
          <w:color w:val="000000" w:themeColor="text1"/>
          <w:sz w:val="16"/>
          <w:szCs w:val="16"/>
        </w:rPr>
        <w:t xml:space="preserve"> Горшко</w:t>
      </w:r>
      <w:r w:rsidRPr="00070ADE">
        <w:rPr>
          <w:rStyle w:val="75pt"/>
          <w:rFonts w:ascii="Times New Roman" w:hAnsi="Times New Roman" w:cs="Times New Roman"/>
          <w:b w:val="0"/>
          <w:color w:val="000000" w:themeColor="text1"/>
          <w:sz w:val="16"/>
          <w:szCs w:val="16"/>
        </w:rPr>
        <w:softHyphen/>
      </w:r>
      <w:r w:rsidRPr="00070ADE">
        <w:rPr>
          <w:rFonts w:ascii="Times New Roman" w:hAnsi="Times New Roman"/>
          <w:color w:val="000000" w:themeColor="text1"/>
          <w:sz w:val="16"/>
          <w:szCs w:val="16"/>
        </w:rPr>
        <w:t xml:space="preserve">вых печей для плавки стекла, а также ускорить </w:t>
      </w:r>
      <w:r w:rsidRPr="00070ADE">
        <w:rPr>
          <w:rStyle w:val="aff7"/>
          <w:rFonts w:ascii="Times New Roman" w:hAnsi="Times New Roman" w:cs="Times New Roman"/>
          <w:i w:val="0"/>
          <w:color w:val="000000" w:themeColor="text1"/>
        </w:rPr>
        <w:t>«закупку в США шлифовально-полировочного конвейера, прокатной машины и механиче</w:t>
      </w:r>
      <w:r w:rsidRPr="00070ADE">
        <w:rPr>
          <w:rStyle w:val="aff7"/>
          <w:rFonts w:ascii="Times New Roman" w:hAnsi="Times New Roman" w:cs="Times New Roman"/>
          <w:i w:val="0"/>
          <w:color w:val="000000" w:themeColor="text1"/>
        </w:rPr>
        <w:softHyphen/>
        <w:t>ской части Лера (печи для отжига)»,</w:t>
      </w:r>
      <w:r w:rsidRPr="00070ADE">
        <w:rPr>
          <w:rFonts w:ascii="Times New Roman" w:hAnsi="Times New Roman"/>
          <w:color w:val="000000" w:themeColor="text1"/>
          <w:sz w:val="16"/>
          <w:szCs w:val="16"/>
        </w:rPr>
        <w:t xml:space="preserve"> поскольку </w:t>
      </w:r>
      <w:r w:rsidRPr="00070ADE">
        <w:rPr>
          <w:rStyle w:val="aff7"/>
          <w:rFonts w:ascii="Times New Roman" w:hAnsi="Times New Roman" w:cs="Times New Roman"/>
          <w:i w:val="0"/>
          <w:color w:val="000000" w:themeColor="text1"/>
        </w:rPr>
        <w:t>«фирма может поставить это оборудование че</w:t>
      </w:r>
      <w:r w:rsidRPr="00070ADE">
        <w:rPr>
          <w:rStyle w:val="aff7"/>
          <w:rFonts w:ascii="Times New Roman" w:hAnsi="Times New Roman" w:cs="Times New Roman"/>
          <w:i w:val="0"/>
          <w:color w:val="000000" w:themeColor="text1"/>
        </w:rPr>
        <w:softHyphen/>
        <w:t>рез 12 месяцев со дня заключения договора».</w:t>
      </w:r>
    </w:p>
    <w:p w14:paraId="15C7992A" w14:textId="77777777" w:rsidR="00282955" w:rsidRPr="00070ADE" w:rsidRDefault="00282955" w:rsidP="00B56F90">
      <w:pPr>
        <w:pStyle w:val="7"/>
        <w:shd w:val="clear" w:color="auto" w:fill="auto"/>
        <w:spacing w:line="240" w:lineRule="auto"/>
        <w:rPr>
          <w:rFonts w:ascii="Times New Roman" w:cs="Times New Roman"/>
          <w:color w:val="000000" w:themeColor="text1"/>
          <w:spacing w:val="0"/>
          <w:sz w:val="16"/>
          <w:szCs w:val="16"/>
        </w:rPr>
      </w:pPr>
      <w:r w:rsidRPr="00070ADE">
        <w:rPr>
          <w:rStyle w:val="75"/>
          <w:rFonts w:ascii="Times New Roman" w:hAnsi="Times New Roman" w:cs="Times New Roman"/>
          <w:i w:val="0"/>
          <w:color w:val="000000" w:themeColor="text1"/>
          <w:sz w:val="16"/>
          <w:szCs w:val="16"/>
        </w:rPr>
        <w:t xml:space="preserve">Между тем, в справке указывалось, что </w:t>
      </w:r>
      <w:r w:rsidRPr="00070ADE">
        <w:rPr>
          <w:rFonts w:ascii="Times New Roman" w:cs="Times New Roman"/>
          <w:color w:val="000000" w:themeColor="text1"/>
          <w:spacing w:val="0"/>
          <w:sz w:val="16"/>
          <w:szCs w:val="16"/>
        </w:rPr>
        <w:t>«нарком стройматериалов, по-видимому, мало уделяет внимания реализации этого постанов</w:t>
      </w:r>
      <w:r w:rsidRPr="00070ADE">
        <w:rPr>
          <w:rFonts w:ascii="Times New Roman" w:cs="Times New Roman"/>
          <w:color w:val="000000" w:themeColor="text1"/>
          <w:spacing w:val="0"/>
          <w:sz w:val="16"/>
          <w:szCs w:val="16"/>
        </w:rPr>
        <w:softHyphen/>
        <w:t xml:space="preserve">ления, так как до сих пор идет лишь переписка </w:t>
      </w:r>
      <w:r w:rsidRPr="00070ADE">
        <w:rPr>
          <w:rStyle w:val="76"/>
          <w:rFonts w:ascii="Times New Roman" w:hAnsi="Times New Roman" w:cs="Times New Roman"/>
          <w:b w:val="0"/>
          <w:i w:val="0"/>
          <w:color w:val="000000" w:themeColor="text1"/>
          <w:sz w:val="16"/>
          <w:szCs w:val="16"/>
        </w:rPr>
        <w:t>с</w:t>
      </w:r>
      <w:r w:rsidRPr="00070ADE">
        <w:rPr>
          <w:rFonts w:ascii="Times New Roman" w:cs="Times New Roman"/>
          <w:color w:val="000000" w:themeColor="text1"/>
          <w:spacing w:val="0"/>
          <w:sz w:val="16"/>
          <w:szCs w:val="16"/>
        </w:rPr>
        <w:t xml:space="preserve"> фирмами, а намеченные специалисты</w:t>
      </w:r>
      <w:r w:rsidRPr="00070ADE">
        <w:rPr>
          <w:rStyle w:val="76"/>
          <w:rFonts w:ascii="Times New Roman" w:hAnsi="Times New Roman" w:cs="Times New Roman"/>
          <w:b w:val="0"/>
          <w:i w:val="0"/>
          <w:color w:val="000000" w:themeColor="text1"/>
          <w:sz w:val="16"/>
          <w:szCs w:val="16"/>
        </w:rPr>
        <w:t xml:space="preserve"> в'</w:t>
      </w:r>
      <w:r w:rsidRPr="00070ADE">
        <w:rPr>
          <w:rFonts w:ascii="Times New Roman" w:cs="Times New Roman"/>
          <w:color w:val="000000" w:themeColor="text1"/>
          <w:spacing w:val="0"/>
          <w:sz w:val="16"/>
          <w:szCs w:val="16"/>
        </w:rPr>
        <w:t xml:space="preserve"> США по закупке и освоению этих агрегатов до сих пор не посланы».</w:t>
      </w:r>
    </w:p>
    <w:p w14:paraId="254B9DA0" w14:textId="77777777" w:rsidR="00282955" w:rsidRPr="00070ADE" w:rsidRDefault="00282955" w:rsidP="00B56F90">
      <w:pPr>
        <w:pStyle w:val="7"/>
        <w:shd w:val="clear" w:color="auto" w:fill="auto"/>
        <w:spacing w:line="240" w:lineRule="auto"/>
        <w:rPr>
          <w:rFonts w:ascii="Times New Roman" w:cs="Times New Roman"/>
          <w:color w:val="000000" w:themeColor="text1"/>
          <w:spacing w:val="0"/>
          <w:sz w:val="16"/>
          <w:szCs w:val="16"/>
        </w:rPr>
      </w:pPr>
      <w:r w:rsidRPr="00070ADE">
        <w:rPr>
          <w:rStyle w:val="75"/>
          <w:rFonts w:ascii="Times New Roman" w:hAnsi="Times New Roman" w:cs="Times New Roman"/>
          <w:i w:val="0"/>
          <w:color w:val="000000" w:themeColor="text1"/>
          <w:sz w:val="16"/>
          <w:szCs w:val="16"/>
        </w:rPr>
        <w:t>Вторым направлением улучшения качества бронестекла считался переход</w:t>
      </w:r>
      <w:r w:rsidRPr="00070ADE">
        <w:rPr>
          <w:rFonts w:ascii="Times New Roman" w:cs="Times New Roman"/>
          <w:color w:val="000000" w:themeColor="text1"/>
          <w:spacing w:val="0"/>
          <w:sz w:val="16"/>
          <w:szCs w:val="16"/>
        </w:rPr>
        <w:t xml:space="preserve"> «на триплексованный тип брони»,</w:t>
      </w:r>
      <w:r w:rsidRPr="00070ADE">
        <w:rPr>
          <w:rStyle w:val="75"/>
          <w:rFonts w:ascii="Times New Roman" w:hAnsi="Times New Roman" w:cs="Times New Roman"/>
          <w:i w:val="0"/>
          <w:color w:val="000000" w:themeColor="text1"/>
          <w:sz w:val="16"/>
          <w:szCs w:val="16"/>
        </w:rPr>
        <w:t xml:space="preserve"> что одновременно снижа</w:t>
      </w:r>
      <w:r w:rsidRPr="00070ADE">
        <w:rPr>
          <w:rStyle w:val="75"/>
          <w:rFonts w:ascii="Times New Roman" w:hAnsi="Times New Roman" w:cs="Times New Roman"/>
          <w:i w:val="0"/>
          <w:color w:val="000000" w:themeColor="text1"/>
          <w:sz w:val="16"/>
          <w:szCs w:val="16"/>
        </w:rPr>
        <w:softHyphen/>
        <w:t>ло и стоимость одного комплекта за счет</w:t>
      </w:r>
      <w:r w:rsidRPr="00070ADE">
        <w:rPr>
          <w:rFonts w:ascii="Times New Roman" w:cs="Times New Roman"/>
          <w:color w:val="000000" w:themeColor="text1"/>
          <w:spacing w:val="0"/>
          <w:sz w:val="16"/>
          <w:szCs w:val="16"/>
        </w:rPr>
        <w:t xml:space="preserve"> «от</w:t>
      </w:r>
      <w:r w:rsidRPr="00070ADE">
        <w:rPr>
          <w:rFonts w:ascii="Times New Roman" w:cs="Times New Roman"/>
          <w:color w:val="000000" w:themeColor="text1"/>
          <w:spacing w:val="0"/>
          <w:sz w:val="16"/>
          <w:szCs w:val="16"/>
        </w:rPr>
        <w:softHyphen/>
        <w:t>сутствия органического стекла и удешевления обработки силикатного стекла (применения механизированной обработки на конвейерах, уменьшение рабочей силы)».</w:t>
      </w:r>
      <w:r w:rsidRPr="00070ADE">
        <w:rPr>
          <w:rStyle w:val="75"/>
          <w:rFonts w:ascii="Times New Roman" w:hAnsi="Times New Roman" w:cs="Times New Roman"/>
          <w:i w:val="0"/>
          <w:color w:val="000000" w:themeColor="text1"/>
          <w:sz w:val="16"/>
          <w:szCs w:val="16"/>
        </w:rPr>
        <w:t xml:space="preserve"> Но возможности отечественной промышленности по производ</w:t>
      </w:r>
      <w:r w:rsidRPr="00070ADE">
        <w:rPr>
          <w:rStyle w:val="75"/>
          <w:rFonts w:ascii="Times New Roman" w:hAnsi="Times New Roman" w:cs="Times New Roman"/>
          <w:i w:val="0"/>
          <w:color w:val="000000" w:themeColor="text1"/>
          <w:sz w:val="16"/>
          <w:szCs w:val="16"/>
        </w:rPr>
        <w:softHyphen/>
        <w:t>ству триплекса были ограниченными. В част</w:t>
      </w:r>
      <w:r w:rsidRPr="00070ADE">
        <w:rPr>
          <w:rStyle w:val="75"/>
          <w:rFonts w:ascii="Times New Roman" w:hAnsi="Times New Roman" w:cs="Times New Roman"/>
          <w:i w:val="0"/>
          <w:color w:val="000000" w:themeColor="text1"/>
          <w:sz w:val="16"/>
          <w:szCs w:val="16"/>
        </w:rPr>
        <w:softHyphen/>
        <w:t>ности, несмотря на то, что в СССР уже</w:t>
      </w:r>
      <w:r w:rsidRPr="00070ADE">
        <w:rPr>
          <w:rFonts w:ascii="Times New Roman" w:cs="Times New Roman"/>
          <w:color w:val="000000" w:themeColor="text1"/>
          <w:spacing w:val="0"/>
          <w:sz w:val="16"/>
          <w:szCs w:val="16"/>
        </w:rPr>
        <w:t xml:space="preserve"> «суще</w:t>
      </w:r>
      <w:r w:rsidRPr="00070ADE">
        <w:rPr>
          <w:rFonts w:ascii="Times New Roman" w:cs="Times New Roman"/>
          <w:color w:val="000000" w:themeColor="text1"/>
          <w:spacing w:val="0"/>
          <w:sz w:val="16"/>
          <w:szCs w:val="16"/>
        </w:rPr>
        <w:softHyphen/>
        <w:t>ствовало производство автомобильного три</w:t>
      </w:r>
      <w:r w:rsidRPr="00070ADE">
        <w:rPr>
          <w:rFonts w:ascii="Times New Roman" w:cs="Times New Roman"/>
          <w:color w:val="000000" w:themeColor="text1"/>
          <w:spacing w:val="0"/>
          <w:sz w:val="16"/>
          <w:szCs w:val="16"/>
        </w:rPr>
        <w:softHyphen/>
        <w:t>плекса на базе целлюлоида»,</w:t>
      </w:r>
      <w:r w:rsidRPr="00070ADE">
        <w:rPr>
          <w:rStyle w:val="75"/>
          <w:rFonts w:ascii="Times New Roman" w:hAnsi="Times New Roman" w:cs="Times New Roman"/>
          <w:i w:val="0"/>
          <w:color w:val="000000" w:themeColor="text1"/>
          <w:sz w:val="16"/>
          <w:szCs w:val="16"/>
        </w:rPr>
        <w:t xml:space="preserve"> этот опыт нельзя было перенести</w:t>
      </w:r>
      <w:r w:rsidRPr="00070ADE">
        <w:rPr>
          <w:rFonts w:ascii="Times New Roman" w:cs="Times New Roman"/>
          <w:color w:val="000000" w:themeColor="text1"/>
          <w:spacing w:val="0"/>
          <w:sz w:val="16"/>
          <w:szCs w:val="16"/>
        </w:rPr>
        <w:t xml:space="preserve"> «в сколь-нибудь значительной части, на производство триплексной прозрач</w:t>
      </w:r>
      <w:r w:rsidRPr="00070ADE">
        <w:rPr>
          <w:rFonts w:ascii="Times New Roman" w:cs="Times New Roman"/>
          <w:color w:val="000000" w:themeColor="text1"/>
          <w:spacing w:val="0"/>
          <w:sz w:val="16"/>
          <w:szCs w:val="16"/>
        </w:rPr>
        <w:softHyphen/>
        <w:t>ной брони, так как целлюлоидный триплекс не является светостойким».</w:t>
      </w:r>
    </w:p>
    <w:p w14:paraId="60EAD3E5" w14:textId="77777777" w:rsidR="00282955" w:rsidRPr="00070ADE" w:rsidRDefault="0028295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организации производства зер</w:t>
      </w:r>
      <w:r w:rsidRPr="00070ADE">
        <w:rPr>
          <w:rFonts w:ascii="Times New Roman" w:hAnsi="Times New Roman"/>
          <w:color w:val="000000" w:themeColor="text1"/>
          <w:sz w:val="16"/>
          <w:szCs w:val="16"/>
        </w:rPr>
        <w:softHyphen/>
        <w:t>кального силикатного стекла для изготовления комбинированной и триплексной прозрачной брони, требовалось обеспечить выпуск каче</w:t>
      </w:r>
      <w:r w:rsidRPr="00070ADE">
        <w:rPr>
          <w:rFonts w:ascii="Times New Roman" w:hAnsi="Times New Roman"/>
          <w:color w:val="000000" w:themeColor="text1"/>
          <w:sz w:val="16"/>
          <w:szCs w:val="16"/>
        </w:rPr>
        <w:softHyphen/>
        <w:t>ственных склеивающих материалов. Оказа</w:t>
      </w:r>
      <w:r w:rsidRPr="00070ADE">
        <w:rPr>
          <w:rFonts w:ascii="Times New Roman" w:hAnsi="Times New Roman"/>
          <w:color w:val="000000" w:themeColor="text1"/>
          <w:sz w:val="16"/>
          <w:szCs w:val="16"/>
        </w:rPr>
        <w:softHyphen/>
        <w:t>лось, что</w:t>
      </w:r>
      <w:r w:rsidRPr="00070ADE">
        <w:rPr>
          <w:rStyle w:val="aff7"/>
          <w:rFonts w:ascii="Times New Roman" w:hAnsi="Times New Roman" w:cs="Times New Roman"/>
          <w:i w:val="0"/>
          <w:color w:val="000000" w:themeColor="text1"/>
        </w:rPr>
        <w:t xml:space="preserve"> «опытно-заводские работы по новым видам склеивающих материалов, а именно метилакрилатной пленки и пленок на базе бут- варовиальваров»,</w:t>
      </w:r>
      <w:r w:rsidRPr="00070ADE">
        <w:rPr>
          <w:rFonts w:ascii="Times New Roman" w:hAnsi="Times New Roman"/>
          <w:color w:val="000000" w:themeColor="text1"/>
          <w:sz w:val="16"/>
          <w:szCs w:val="16"/>
        </w:rPr>
        <w:t xml:space="preserve"> которые в это время прово</w:t>
      </w:r>
      <w:r w:rsidRPr="00070ADE">
        <w:rPr>
          <w:rFonts w:ascii="Times New Roman" w:hAnsi="Times New Roman"/>
          <w:color w:val="000000" w:themeColor="text1"/>
          <w:sz w:val="16"/>
          <w:szCs w:val="16"/>
        </w:rPr>
        <w:softHyphen/>
        <w:t>дил главхимпластмасс НКХП,</w:t>
      </w:r>
      <w:r w:rsidRPr="00070ADE">
        <w:rPr>
          <w:rStyle w:val="aff7"/>
          <w:rFonts w:ascii="Times New Roman" w:hAnsi="Times New Roman" w:cs="Times New Roman"/>
          <w:i w:val="0"/>
          <w:color w:val="000000" w:themeColor="text1"/>
        </w:rPr>
        <w:t xml:space="preserve"> «еще далеки от получения практических результатов».</w:t>
      </w:r>
    </w:p>
    <w:p w14:paraId="2BCFF10D" w14:textId="77777777" w:rsidR="00282955" w:rsidRPr="00070ADE" w:rsidRDefault="0028295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Поскольку английская прозрачная броня изготавливалась на базе гидрат ацетил-целлюлозы, пластифицированной диметилфтала- том, и отличалась прекрасным качеством, то изучался и этот вопрос. Но и здесь не все было благополучно. Как оказалось, существующая отечественная</w:t>
      </w:r>
      <w:r w:rsidRPr="00070ADE">
        <w:rPr>
          <w:rStyle w:val="aff7"/>
          <w:rFonts w:ascii="Times New Roman" w:hAnsi="Times New Roman" w:cs="Times New Roman"/>
          <w:i w:val="0"/>
          <w:color w:val="000000" w:themeColor="text1"/>
        </w:rPr>
        <w:t xml:space="preserve"> «технология склейки на ацетил- целлюлозной пленке в достаточной степени» не разработана»</w:t>
      </w:r>
      <w:r w:rsidRPr="00070ADE">
        <w:rPr>
          <w:rFonts w:ascii="Times New Roman" w:hAnsi="Times New Roman"/>
          <w:color w:val="000000" w:themeColor="text1"/>
          <w:sz w:val="16"/>
          <w:szCs w:val="16"/>
        </w:rPr>
        <w:t xml:space="preserve"> и не могла использоваться в серийном производстве.</w:t>
      </w:r>
    </w:p>
    <w:p w14:paraId="635F5909" w14:textId="77777777" w:rsidR="00282955" w:rsidRPr="00070ADE" w:rsidRDefault="0028295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оценкам специалистов НИИ ВВС, ВИАМ и НКХП, производство комбинированной про</w:t>
      </w:r>
      <w:r w:rsidRPr="00070ADE">
        <w:rPr>
          <w:rFonts w:ascii="Times New Roman" w:hAnsi="Times New Roman"/>
          <w:color w:val="000000" w:themeColor="text1"/>
          <w:sz w:val="16"/>
          <w:szCs w:val="16"/>
        </w:rPr>
        <w:softHyphen/>
        <w:t>зрачной брони на существующих заводах могло быть увеличено в 1,5 раза. В то же вре</w:t>
      </w:r>
      <w:r w:rsidRPr="00070ADE">
        <w:rPr>
          <w:rFonts w:ascii="Times New Roman" w:hAnsi="Times New Roman"/>
          <w:color w:val="000000" w:themeColor="text1"/>
          <w:sz w:val="16"/>
          <w:szCs w:val="16"/>
        </w:rPr>
        <w:softHyphen/>
        <w:t>мя изготовление прозрачной брони по типу иностранной могло быть организовано только при условии расширения Люберецкого и вос</w:t>
      </w:r>
      <w:r w:rsidRPr="00070ADE">
        <w:rPr>
          <w:rFonts w:ascii="Times New Roman" w:hAnsi="Times New Roman"/>
          <w:color w:val="000000" w:themeColor="text1"/>
          <w:sz w:val="16"/>
          <w:szCs w:val="16"/>
        </w:rPr>
        <w:softHyphen/>
        <w:t>становления Константиновского заводов и не ранее, чем через год.</w:t>
      </w:r>
    </w:p>
    <w:p w14:paraId="5BE79BE3" w14:textId="77777777" w:rsidR="00282955" w:rsidRPr="00070ADE" w:rsidRDefault="0028295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определения возможности исполь</w:t>
      </w:r>
      <w:r w:rsidRPr="00070ADE">
        <w:rPr>
          <w:rFonts w:ascii="Times New Roman" w:hAnsi="Times New Roman"/>
          <w:color w:val="000000" w:themeColor="text1"/>
          <w:sz w:val="16"/>
          <w:szCs w:val="16"/>
        </w:rPr>
        <w:softHyphen/>
        <w:t>зования зарубежного бронестекла на оте</w:t>
      </w:r>
      <w:r w:rsidRPr="00070ADE">
        <w:rPr>
          <w:rFonts w:ascii="Times New Roman" w:hAnsi="Times New Roman"/>
          <w:color w:val="000000" w:themeColor="text1"/>
          <w:sz w:val="16"/>
          <w:szCs w:val="16"/>
        </w:rPr>
        <w:softHyphen/>
        <w:t>чественных самолетах по заказу Наркомата авиапромышленности в Англии изготовили и поставили в СССР 50 комплектов передней прозрачной брони для фонаря кабины пило</w:t>
      </w:r>
      <w:r w:rsidRPr="00070ADE">
        <w:rPr>
          <w:rFonts w:ascii="Times New Roman" w:hAnsi="Times New Roman"/>
          <w:color w:val="000000" w:themeColor="text1"/>
          <w:sz w:val="16"/>
          <w:szCs w:val="16"/>
        </w:rPr>
        <w:softHyphen/>
        <w:t>та самолета Ил-2. Из них часть комплектов в марте- апреле 1944 г. проходила испытания в ВИАМ и НИИ ВВС.</w:t>
      </w:r>
    </w:p>
    <w:p w14:paraId="5F5449B3" w14:textId="77777777" w:rsidR="00282955" w:rsidRPr="00070ADE" w:rsidRDefault="0028295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Толщина бронестекла от детали к детали изменялась незначительно - в пределах 37,6- 38,3 мм. Внешний осмотр показал отсутствие сколько-нибудь значительных дефектов дета</w:t>
      </w:r>
      <w:r w:rsidRPr="00070ADE">
        <w:rPr>
          <w:rFonts w:ascii="Times New Roman" w:hAnsi="Times New Roman"/>
          <w:color w:val="000000" w:themeColor="text1"/>
          <w:sz w:val="16"/>
          <w:szCs w:val="16"/>
        </w:rPr>
        <w:softHyphen/>
        <w:t>лей. Как отмечалось в протоколе испытаний, в представленных деталях</w:t>
      </w:r>
      <w:r w:rsidRPr="00070ADE">
        <w:rPr>
          <w:rStyle w:val="aff7"/>
          <w:rFonts w:ascii="Times New Roman" w:hAnsi="Times New Roman" w:cs="Times New Roman"/>
          <w:i w:val="0"/>
          <w:color w:val="000000" w:themeColor="text1"/>
        </w:rPr>
        <w:t xml:space="preserve"> «не было обнаруже</w:t>
      </w:r>
      <w:r w:rsidRPr="00070ADE">
        <w:rPr>
          <w:rStyle w:val="aff7"/>
          <w:rFonts w:ascii="Times New Roman" w:hAnsi="Times New Roman" w:cs="Times New Roman"/>
          <w:i w:val="0"/>
          <w:color w:val="000000" w:themeColor="text1"/>
        </w:rPr>
        <w:softHyphen/>
        <w:t>но даже мельчайших пузырей в склеивающих слоях или каких-либо видимых дефектов в сте</w:t>
      </w:r>
      <w:r w:rsidRPr="00070ADE">
        <w:rPr>
          <w:rStyle w:val="aff7"/>
          <w:rFonts w:ascii="Times New Roman" w:hAnsi="Times New Roman" w:cs="Times New Roman"/>
          <w:i w:val="0"/>
          <w:color w:val="000000" w:themeColor="text1"/>
        </w:rPr>
        <w:softHyphen/>
        <w:t>кломассе».</w:t>
      </w:r>
      <w:r w:rsidRPr="00070ADE">
        <w:rPr>
          <w:rFonts w:ascii="Times New Roman" w:hAnsi="Times New Roman"/>
          <w:color w:val="000000" w:themeColor="text1"/>
          <w:sz w:val="16"/>
          <w:szCs w:val="16"/>
        </w:rPr>
        <w:t xml:space="preserve"> Качество механической обработки, особенно фрезерования торцов, аккуратность склейки и герметизации торцевых швов нахо</w:t>
      </w:r>
      <w:r w:rsidRPr="00070ADE">
        <w:rPr>
          <w:rFonts w:ascii="Times New Roman" w:hAnsi="Times New Roman"/>
          <w:color w:val="000000" w:themeColor="text1"/>
          <w:sz w:val="16"/>
          <w:szCs w:val="16"/>
        </w:rPr>
        <w:softHyphen/>
        <w:t>дились на высоком уровне.</w:t>
      </w:r>
    </w:p>
    <w:p w14:paraId="3F9C49FE" w14:textId="77777777" w:rsidR="00282955" w:rsidRPr="00070ADE" w:rsidRDefault="00282955" w:rsidP="00B56F90">
      <w:pPr>
        <w:pStyle w:val="7"/>
        <w:shd w:val="clear" w:color="auto" w:fill="auto"/>
        <w:spacing w:line="240" w:lineRule="auto"/>
        <w:rPr>
          <w:rFonts w:ascii="Times New Roman" w:cs="Times New Roman"/>
          <w:color w:val="000000" w:themeColor="text1"/>
          <w:spacing w:val="0"/>
          <w:sz w:val="16"/>
          <w:szCs w:val="16"/>
        </w:rPr>
      </w:pPr>
      <w:r w:rsidRPr="00070ADE">
        <w:rPr>
          <w:rStyle w:val="75"/>
          <w:rFonts w:ascii="Times New Roman" w:hAnsi="Times New Roman" w:cs="Times New Roman"/>
          <w:i w:val="0"/>
          <w:color w:val="000000" w:themeColor="text1"/>
          <w:sz w:val="16"/>
          <w:szCs w:val="16"/>
        </w:rPr>
        <w:lastRenderedPageBreak/>
        <w:t>В отличие от аналогичных отечественных деталей,</w:t>
      </w:r>
      <w:r w:rsidRPr="00070ADE">
        <w:rPr>
          <w:rFonts w:ascii="Times New Roman" w:cs="Times New Roman"/>
          <w:color w:val="000000" w:themeColor="text1"/>
          <w:spacing w:val="0"/>
          <w:sz w:val="16"/>
          <w:szCs w:val="16"/>
        </w:rPr>
        <w:t xml:space="preserve"> «состоящих из подушек органическо</w:t>
      </w:r>
      <w:r w:rsidRPr="00070ADE">
        <w:rPr>
          <w:rFonts w:ascii="Times New Roman" w:cs="Times New Roman"/>
          <w:color w:val="000000" w:themeColor="text1"/>
          <w:spacing w:val="0"/>
          <w:sz w:val="16"/>
          <w:szCs w:val="16"/>
        </w:rPr>
        <w:softHyphen/>
        <w:t>го стекла и таблеток сталинита, склеенных при помощи пленки БМА, каждая английская де</w:t>
      </w:r>
      <w:r w:rsidRPr="00070ADE">
        <w:rPr>
          <w:rFonts w:ascii="Times New Roman" w:cs="Times New Roman"/>
          <w:color w:val="000000" w:themeColor="text1"/>
          <w:spacing w:val="0"/>
          <w:sz w:val="16"/>
          <w:szCs w:val="16"/>
        </w:rPr>
        <w:softHyphen/>
        <w:t>таль представляла собой комплект из 5 слоев сплошных силикатных стекол различных тол</w:t>
      </w:r>
      <w:r w:rsidRPr="00070ADE">
        <w:rPr>
          <w:rFonts w:ascii="Times New Roman" w:cs="Times New Roman"/>
          <w:color w:val="000000" w:themeColor="text1"/>
          <w:spacing w:val="0"/>
          <w:sz w:val="16"/>
          <w:szCs w:val="16"/>
        </w:rPr>
        <w:softHyphen/>
        <w:t>щин, разобщенных друг относительно 'друга склеивающей пленкой».</w:t>
      </w:r>
    </w:p>
    <w:p w14:paraId="69CF79AD" w14:textId="77777777" w:rsidR="00282955" w:rsidRPr="00070ADE" w:rsidRDefault="0028295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Светопрозрачность образцов находилась в диапазоне 82-84%, что было лучше, чем у отечественного бронестекла. Причем после прохождения всех испытаний (воздействие хо</w:t>
      </w:r>
      <w:r w:rsidRPr="00070ADE">
        <w:rPr>
          <w:rFonts w:ascii="Times New Roman" w:hAnsi="Times New Roman"/>
          <w:color w:val="000000" w:themeColor="text1"/>
          <w:sz w:val="16"/>
          <w:szCs w:val="16"/>
        </w:rPr>
        <w:softHyphen/>
        <w:t>лода, нагрева, запыления и воды) светопроз</w:t>
      </w:r>
      <w:r w:rsidRPr="00070ADE">
        <w:rPr>
          <w:rFonts w:ascii="Times New Roman" w:hAnsi="Times New Roman"/>
          <w:color w:val="000000" w:themeColor="text1"/>
          <w:sz w:val="16"/>
          <w:szCs w:val="16"/>
        </w:rPr>
        <w:softHyphen/>
        <w:t>рачность деталей не изменилась. Оптическое искажение всех деталей (смещение оптиче</w:t>
      </w:r>
      <w:r w:rsidRPr="00070ADE">
        <w:rPr>
          <w:rFonts w:ascii="Times New Roman" w:hAnsi="Times New Roman"/>
          <w:color w:val="000000" w:themeColor="text1"/>
          <w:sz w:val="16"/>
          <w:szCs w:val="16"/>
        </w:rPr>
        <w:softHyphen/>
        <w:t>ского луча) не превышало 6 угловых минут. При этом наблюдалось только угловое смещение, без искажения формы и размеров. Стандарт</w:t>
      </w:r>
      <w:r w:rsidRPr="00070ADE">
        <w:rPr>
          <w:rFonts w:ascii="Times New Roman" w:hAnsi="Times New Roman"/>
          <w:color w:val="000000" w:themeColor="text1"/>
          <w:sz w:val="16"/>
          <w:szCs w:val="16"/>
        </w:rPr>
        <w:softHyphen/>
        <w:t>ные испытания на теплостойкость, морозо</w:t>
      </w:r>
      <w:r w:rsidRPr="00070ADE">
        <w:rPr>
          <w:rFonts w:ascii="Times New Roman" w:hAnsi="Times New Roman"/>
          <w:color w:val="000000" w:themeColor="text1"/>
          <w:sz w:val="16"/>
          <w:szCs w:val="16"/>
        </w:rPr>
        <w:softHyphen/>
        <w:t>стойкость, термостойкость детали прошли с оценкой хорошо и отлично.</w:t>
      </w:r>
    </w:p>
    <w:p w14:paraId="577BCAF9" w14:textId="77777777" w:rsidR="00282955" w:rsidRPr="00070ADE" w:rsidRDefault="00282955" w:rsidP="00B56F90">
      <w:pPr>
        <w:pStyle w:val="7"/>
        <w:shd w:val="clear" w:color="auto" w:fill="auto"/>
        <w:spacing w:line="240" w:lineRule="auto"/>
        <w:rPr>
          <w:rStyle w:val="75"/>
          <w:rFonts w:ascii="Times New Roman" w:hAnsi="Times New Roman" w:cs="Times New Roman"/>
          <w:i w:val="0"/>
          <w:color w:val="000000" w:themeColor="text1"/>
          <w:sz w:val="16"/>
          <w:szCs w:val="16"/>
        </w:rPr>
      </w:pPr>
      <w:r w:rsidRPr="00070ADE">
        <w:rPr>
          <w:rStyle w:val="75"/>
          <w:rFonts w:ascii="Times New Roman" w:hAnsi="Times New Roman" w:cs="Times New Roman"/>
          <w:i w:val="0"/>
          <w:color w:val="000000" w:themeColor="text1"/>
          <w:sz w:val="16"/>
          <w:szCs w:val="16"/>
        </w:rPr>
        <w:t>Учитывая, что</w:t>
      </w:r>
      <w:r w:rsidRPr="00070ADE">
        <w:rPr>
          <w:rFonts w:ascii="Times New Roman" w:cs="Times New Roman"/>
          <w:color w:val="000000" w:themeColor="text1"/>
          <w:spacing w:val="0"/>
          <w:sz w:val="16"/>
          <w:szCs w:val="16"/>
        </w:rPr>
        <w:t xml:space="preserve"> «пулестойкость английской брони хуже отечественной брони равного веса и может быть компенсирована только увели</w:t>
      </w:r>
      <w:r w:rsidRPr="00070ADE">
        <w:rPr>
          <w:rFonts w:ascii="Times New Roman" w:cs="Times New Roman"/>
          <w:color w:val="000000" w:themeColor="text1"/>
          <w:spacing w:val="0"/>
          <w:sz w:val="16"/>
          <w:szCs w:val="16"/>
        </w:rPr>
        <w:softHyphen/>
        <w:t>чением толщины стекла и веса»,</w:t>
      </w:r>
      <w:r w:rsidRPr="00070ADE">
        <w:rPr>
          <w:rStyle w:val="75"/>
          <w:rFonts w:ascii="Times New Roman" w:hAnsi="Times New Roman" w:cs="Times New Roman"/>
          <w:i w:val="0"/>
          <w:color w:val="000000" w:themeColor="text1"/>
          <w:sz w:val="16"/>
          <w:szCs w:val="16"/>
        </w:rPr>
        <w:t xml:space="preserve"> был сделан вывод о нецелесообразности полного</w:t>
      </w:r>
      <w:r w:rsidRPr="00070ADE">
        <w:rPr>
          <w:rFonts w:ascii="Times New Roman" w:cs="Times New Roman"/>
          <w:color w:val="000000" w:themeColor="text1"/>
          <w:spacing w:val="0"/>
          <w:sz w:val="16"/>
          <w:szCs w:val="16"/>
        </w:rPr>
        <w:t xml:space="preserve"> «заим</w:t>
      </w:r>
      <w:r w:rsidRPr="00070ADE">
        <w:rPr>
          <w:rFonts w:ascii="Times New Roman" w:cs="Times New Roman"/>
          <w:color w:val="000000" w:themeColor="text1"/>
          <w:spacing w:val="0"/>
          <w:sz w:val="16"/>
          <w:szCs w:val="16"/>
        </w:rPr>
        <w:softHyphen/>
        <w:t>ствования английской брони»</w:t>
      </w:r>
      <w:r w:rsidRPr="00070ADE">
        <w:rPr>
          <w:rStyle w:val="75"/>
          <w:rFonts w:ascii="Times New Roman" w:hAnsi="Times New Roman" w:cs="Times New Roman"/>
          <w:i w:val="0"/>
          <w:color w:val="000000" w:themeColor="text1"/>
          <w:sz w:val="16"/>
          <w:szCs w:val="16"/>
        </w:rPr>
        <w:t xml:space="preserve"> в отечественной промышленности (17481).</w:t>
      </w:r>
    </w:p>
    <w:p w14:paraId="4326863A" w14:textId="77777777" w:rsidR="00282955" w:rsidRPr="00070ADE" w:rsidRDefault="00282955" w:rsidP="00B56F90">
      <w:pPr>
        <w:pStyle w:val="7"/>
        <w:shd w:val="clear" w:color="auto" w:fill="auto"/>
        <w:spacing w:line="240" w:lineRule="auto"/>
        <w:rPr>
          <w:rFonts w:ascii="Times New Roman" w:cs="Times New Roman"/>
          <w:color w:val="000000" w:themeColor="text1"/>
          <w:spacing w:val="0"/>
          <w:sz w:val="16"/>
          <w:szCs w:val="16"/>
        </w:rPr>
      </w:pPr>
    </w:p>
    <w:p w14:paraId="37F83B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февраля 1944 г. в мас</w:t>
      </w:r>
      <w:r w:rsidRPr="00070ADE">
        <w:rPr>
          <w:rFonts w:ascii="Times New Roman" w:hAnsi="Times New Roman"/>
          <w:color w:val="000000" w:themeColor="text1"/>
          <w:sz w:val="16"/>
          <w:szCs w:val="16"/>
        </w:rPr>
        <w:softHyphen/>
        <w:t>терских НИИ ВВС У-2 Лимузин№ 5842 доработали: в ча</w:t>
      </w:r>
      <w:r w:rsidRPr="00070ADE">
        <w:rPr>
          <w:rFonts w:ascii="Times New Roman" w:hAnsi="Times New Roman"/>
          <w:color w:val="000000" w:themeColor="text1"/>
          <w:sz w:val="16"/>
          <w:szCs w:val="16"/>
        </w:rPr>
        <w:softHyphen/>
        <w:t>стности, по рекомендации главного конст</w:t>
      </w:r>
      <w:r w:rsidRPr="00070ADE">
        <w:rPr>
          <w:rFonts w:ascii="Times New Roman" w:hAnsi="Times New Roman"/>
          <w:color w:val="000000" w:themeColor="text1"/>
          <w:sz w:val="16"/>
          <w:szCs w:val="16"/>
        </w:rPr>
        <w:softHyphen/>
        <w:t>руктора Н. Н. Поликарпова, было решено усилить фюзеляж в районе выреза пасса</w:t>
      </w:r>
      <w:r w:rsidRPr="00070ADE">
        <w:rPr>
          <w:rFonts w:ascii="Times New Roman" w:hAnsi="Times New Roman"/>
          <w:color w:val="000000" w:themeColor="text1"/>
          <w:sz w:val="16"/>
          <w:szCs w:val="16"/>
        </w:rPr>
        <w:softHyphen/>
        <w:t>жирской кабины. При проведении дорабо</w:t>
      </w:r>
      <w:r w:rsidRPr="00070ADE">
        <w:rPr>
          <w:rFonts w:ascii="Times New Roman" w:hAnsi="Times New Roman"/>
          <w:color w:val="000000" w:themeColor="text1"/>
          <w:sz w:val="16"/>
          <w:szCs w:val="16"/>
        </w:rPr>
        <w:softHyphen/>
        <w:t>ток в числе прочего отрегулировали фо</w:t>
      </w:r>
      <w:r w:rsidRPr="00070ADE">
        <w:rPr>
          <w:rFonts w:ascii="Times New Roman" w:hAnsi="Times New Roman"/>
          <w:color w:val="000000" w:themeColor="text1"/>
          <w:sz w:val="16"/>
          <w:szCs w:val="16"/>
        </w:rPr>
        <w:softHyphen/>
        <w:t>нарь кабины пилота, установили стопор от</w:t>
      </w:r>
      <w:r w:rsidRPr="00070ADE">
        <w:rPr>
          <w:rFonts w:ascii="Times New Roman" w:hAnsi="Times New Roman"/>
          <w:color w:val="000000" w:themeColor="text1"/>
          <w:sz w:val="16"/>
          <w:szCs w:val="16"/>
        </w:rPr>
        <w:softHyphen/>
        <w:t>крытого положения двери, перенесли элек</w:t>
      </w:r>
      <w:r w:rsidRPr="00070ADE">
        <w:rPr>
          <w:rFonts w:ascii="Times New Roman" w:hAnsi="Times New Roman"/>
          <w:color w:val="000000" w:themeColor="text1"/>
          <w:sz w:val="16"/>
          <w:szCs w:val="16"/>
        </w:rPr>
        <w:softHyphen/>
        <w:t>трощиток, произвели более тщательную регулировку коробки крыльев и управле</w:t>
      </w:r>
      <w:r w:rsidRPr="00070ADE">
        <w:rPr>
          <w:rFonts w:ascii="Times New Roman" w:hAnsi="Times New Roman"/>
          <w:color w:val="000000" w:themeColor="text1"/>
          <w:sz w:val="16"/>
          <w:szCs w:val="16"/>
        </w:rPr>
        <w:softHyphen/>
        <w:t>ния, окрасили капот двигателя в более тем</w:t>
      </w:r>
      <w:r w:rsidRPr="00070ADE">
        <w:rPr>
          <w:rFonts w:ascii="Times New Roman" w:hAnsi="Times New Roman"/>
          <w:color w:val="000000" w:themeColor="text1"/>
          <w:sz w:val="16"/>
          <w:szCs w:val="16"/>
        </w:rPr>
        <w:softHyphen/>
        <w:t>ный цвет, а затем передали само</w:t>
      </w:r>
      <w:r w:rsidRPr="00070ADE">
        <w:rPr>
          <w:rFonts w:ascii="Times New Roman" w:hAnsi="Times New Roman"/>
          <w:color w:val="000000" w:themeColor="text1"/>
          <w:sz w:val="16"/>
          <w:szCs w:val="16"/>
        </w:rPr>
        <w:softHyphen/>
        <w:t>лет в 3-ю Воздушную Армию для дальней</w:t>
      </w:r>
      <w:r w:rsidRPr="00070ADE">
        <w:rPr>
          <w:rFonts w:ascii="Times New Roman" w:hAnsi="Times New Roman"/>
          <w:color w:val="000000" w:themeColor="text1"/>
          <w:sz w:val="16"/>
          <w:szCs w:val="16"/>
        </w:rPr>
        <w:softHyphen/>
        <w:t>шей эксплуатации (11085). Первоначально этот самолет именовал</w:t>
      </w:r>
      <w:r w:rsidRPr="00070ADE">
        <w:rPr>
          <w:rFonts w:ascii="Times New Roman" w:hAnsi="Times New Roman"/>
          <w:color w:val="000000" w:themeColor="text1"/>
          <w:sz w:val="16"/>
          <w:szCs w:val="16"/>
        </w:rPr>
        <w:softHyphen/>
        <w:t>ся У-2ШС, а с августа 1944 г. - По-2ШС. Его появление напрямую связано с много</w:t>
      </w:r>
      <w:r w:rsidRPr="00070ADE">
        <w:rPr>
          <w:rFonts w:ascii="Times New Roman" w:hAnsi="Times New Roman"/>
          <w:color w:val="000000" w:themeColor="text1"/>
          <w:sz w:val="16"/>
          <w:szCs w:val="16"/>
        </w:rPr>
        <w:softHyphen/>
        <w:t>численными попытками различных конст-рукторов переделать У-2 в самолет с закры</w:t>
      </w:r>
      <w:r w:rsidRPr="00070ADE">
        <w:rPr>
          <w:rFonts w:ascii="Times New Roman" w:hAnsi="Times New Roman"/>
          <w:color w:val="000000" w:themeColor="text1"/>
          <w:sz w:val="16"/>
          <w:szCs w:val="16"/>
        </w:rPr>
        <w:softHyphen/>
        <w:t>той кабиной. Оказывается, Николай Нико</w:t>
      </w:r>
      <w:r w:rsidRPr="00070ADE">
        <w:rPr>
          <w:rFonts w:ascii="Times New Roman" w:hAnsi="Times New Roman"/>
          <w:color w:val="000000" w:themeColor="text1"/>
          <w:sz w:val="16"/>
          <w:szCs w:val="16"/>
        </w:rPr>
        <w:softHyphen/>
        <w:t>лаевич Поликарпов внимательно следил за этими работами, но оценивал их скептиче</w:t>
      </w:r>
      <w:r w:rsidRPr="00070ADE">
        <w:rPr>
          <w:rFonts w:ascii="Times New Roman" w:hAnsi="Times New Roman"/>
          <w:color w:val="000000" w:themeColor="text1"/>
          <w:sz w:val="16"/>
          <w:szCs w:val="16"/>
        </w:rPr>
        <w:softHyphen/>
        <w:t>ски как неполномасштабные и даже кустар</w:t>
      </w:r>
      <w:r w:rsidRPr="00070ADE">
        <w:rPr>
          <w:rFonts w:ascii="Times New Roman" w:hAnsi="Times New Roman"/>
          <w:color w:val="000000" w:themeColor="text1"/>
          <w:sz w:val="16"/>
          <w:szCs w:val="16"/>
        </w:rPr>
        <w:softHyphen/>
        <w:t>ные. По его мнению, все переделанные ма</w:t>
      </w:r>
      <w:r w:rsidRPr="00070ADE">
        <w:rPr>
          <w:rFonts w:ascii="Times New Roman" w:hAnsi="Times New Roman"/>
          <w:color w:val="000000" w:themeColor="text1"/>
          <w:sz w:val="16"/>
          <w:szCs w:val="16"/>
        </w:rPr>
        <w:softHyphen/>
        <w:t>шины имели заднюю центровку, тесную кабину, недостаточную путевую устойчи</w:t>
      </w:r>
      <w:r w:rsidRPr="00070ADE">
        <w:rPr>
          <w:rFonts w:ascii="Times New Roman" w:hAnsi="Times New Roman"/>
          <w:color w:val="000000" w:themeColor="text1"/>
          <w:sz w:val="16"/>
          <w:szCs w:val="16"/>
        </w:rPr>
        <w:softHyphen/>
        <w:t>вость. Видимо, терпение у него в какой-то момент закончилось, и он сам решил произ</w:t>
      </w:r>
      <w:r w:rsidRPr="00070ADE">
        <w:rPr>
          <w:rFonts w:ascii="Times New Roman" w:hAnsi="Times New Roman"/>
          <w:color w:val="000000" w:themeColor="text1"/>
          <w:sz w:val="16"/>
          <w:szCs w:val="16"/>
        </w:rPr>
        <w:softHyphen/>
        <w:t>вести подобное преобразование одного из самых удачных своих творений (11085).</w:t>
      </w:r>
    </w:p>
    <w:p w14:paraId="49194F6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07F8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февраля 1944 года вышел приказ НКАП</w:t>
      </w:r>
    </w:p>
    <w:p w14:paraId="2BDB47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 директором завода № 32 Горюнова С.А. (8925)</w:t>
      </w:r>
    </w:p>
    <w:p w14:paraId="16607C1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февраля 1944 года вышел приказ МАП за № 121, согласно которому завод № 64 был переведен в ведение 10 гл. управления и получил задание изготовлять (крылья) агрегаты самолета ИЛ-2, этим же приказом завод № 64 переведен в разряд агрегатных заводов второй категории. Оснастка была получена с завода № 18 на крыло старой конструкции самолета ИЛ-2.</w:t>
      </w:r>
    </w:p>
    <w:p w14:paraId="0E856E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МАП за № 30 от 9 января 1945 года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w:t>
      </w:r>
    </w:p>
    <w:p w14:paraId="2FFC40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w:t>
      </w:r>
    </w:p>
    <w:p w14:paraId="7B490B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1946 и 1947 гг. заводом освоены следующие агрегаты:</w:t>
      </w:r>
    </w:p>
    <w:p w14:paraId="3C37F2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хвостовая часть фюзеляжа;</w:t>
      </w:r>
    </w:p>
    <w:p w14:paraId="494C56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оперение;</w:t>
      </w:r>
    </w:p>
    <w:p w14:paraId="109B63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шасси. 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34511D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26F1D36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26483FF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3CCB5C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w:t>
      </w:r>
    </w:p>
    <w:p w14:paraId="609706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 Белявский</w:t>
      </w:r>
    </w:p>
    <w:p w14:paraId="1CDBD4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Производственный профиль – самолет Ан-10 конструкции Антонова</w:t>
      </w:r>
    </w:p>
    <w:p w14:paraId="3879233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Характеристика аэродрома завода</w:t>
      </w:r>
    </w:p>
    <w:p w14:paraId="1A47EE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5497C3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21F7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февраля 1944 года вышло решение ГКО за № 522с и 9 марта 1944 года вышел приказ НКАП за № 178, согласно которым на завод № 65 была возложена задача по организации производства гильз для авиационных заводов. С апреля 1944 года завод приступил к выпуску этой продукции.</w:t>
      </w:r>
    </w:p>
    <w:p w14:paraId="7B0DA6D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удовлетворения самолетных и моторных заводов трубами, профилями и прутками из алюминиевых сплавов приказом НКАП за № 595 от 5 сентября 1945 года заводу № 65 было поручено организовать производство этих полуфабрикатов.</w:t>
      </w:r>
    </w:p>
    <w:p w14:paraId="55C5AEB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приказа МАП № 289 от 13 мая 1946 года завод приступил к восстановлению прокатного производства.</w:t>
      </w:r>
    </w:p>
    <w:p w14:paraId="1BCD6A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МАП за 3 96 от 21 февраля 1955 года при заводе № 65 организовано ОКБ-65 на которое возложена разработка новых технологических процессов производства деталей и полуфабрикатов и создание новой техники для заводов авиапромышленности. 11 августа 1961 года ЦК КПСС и СМ вынесли постановление за № 728-304 об организации ВНИИ технологии легких и специальных сплавов (ВНИИТЛиСС) с опытным заводом на базе ОКБ-65 и завода № 65.</w:t>
      </w:r>
    </w:p>
    <w:p w14:paraId="327F0C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Начальником филиала завода № 95 с января по 23 декабря 1942 года был И.В. Селихов 23 декабря 1942 года приказом НКАП за № 134-ок директором филиала завода № 95 был назначен Румянцев Б.Ф.</w:t>
      </w:r>
    </w:p>
    <w:p w14:paraId="4F040F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реорганизации филиала в самостоятельный завод № 65 директором завода № 95 был назначен Румянцев Б.Ф.</w:t>
      </w:r>
    </w:p>
    <w:p w14:paraId="69D5FDF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НКАП № 254/к от 22 марта 1944 года на должность директора завода назначен Коваль Б.А.</w:t>
      </w:r>
    </w:p>
    <w:p w14:paraId="517E15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6CFA5F6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5C2AB76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6DCBB5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Москва, Кунцево, ул. Горбунова, д. 20 (9894).</w:t>
      </w:r>
    </w:p>
    <w:p w14:paraId="3B0588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641A6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февраля 1944 вышло Постановление ГКО № 5226 Об организации производства штамповок авиамоторных цилиндров на заводе № 65 Наркомавиапрома. РГАНИР, Фонд ГКО, д. 211, лл. 31-34,35-42 (11012).</w:t>
      </w:r>
    </w:p>
    <w:p w14:paraId="41560E3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D6BB57D"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81E32A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8A445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февраля 1944 вышло Постановление ГКО № 5225 Об извлечении металла обрушенных ферм железнодорожных мостов и улучшении эксплуатации вновь восстановленных жел.-дор. мостов и судоходства. (7191, 21-24,25-30).</w:t>
      </w:r>
    </w:p>
    <w:p w14:paraId="586D0B0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4E1A8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февраля 1944 вышло Постановление ГКО № 5227 Об увеличении выпуска специальных станков для производства авиамоторных цилиндров и снарядов крупных калибров на заводе имени Орджоникидзе Наркомстанкостроения. (7191, 43-45,46-50).</w:t>
      </w:r>
    </w:p>
    <w:p w14:paraId="515CDCA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8AA9B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февраля 1944 вышло Постановление ГКО № 5228 О мерах по оказанию помощи азербайджанской нефтяной промышленности. (7191, 51-65,66-75).</w:t>
      </w:r>
    </w:p>
    <w:p w14:paraId="4C9CEB2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F5265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февраля 1944 вышло Распоряжение ГКО № 5229 Об обеспечении поставки торфа заводам черной металлургии и Наркомтанкопрома на Урале. (7191, 76-77).</w:t>
      </w:r>
    </w:p>
    <w:p w14:paraId="69CC607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9CDFE3"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февраля 1944 вышло Распоряжение ГКО № 5230 [О выделении угля из госрезерва для Забайкальской и Амурской ж.д.] (7191, 78).</w:t>
      </w:r>
    </w:p>
    <w:p w14:paraId="7D45E59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8517A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февраля 1944 вышло Постановление ГКО № 5231 [О назначении Афанасьева А.А. уполномоченным ГКО по импортным перевозкам на Дальнем Востоке.] (7191, 79).</w:t>
      </w:r>
    </w:p>
    <w:p w14:paraId="75E89CF5"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DA4DA0"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CE0DF4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E151EC"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21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4410A300"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21 февраля юго-западнее и южнее города Луга наши войска с боями заняли несколько населённых пунктов и среди них Селище, Воцкая, Кириллково, Килошицы, Вашково, Ивановская, Похонь, Городище.</w:t>
      </w:r>
    </w:p>
    <w:p w14:paraId="4D4A0FCA"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юго-западнее и южнее озера Ильмень наши войска продолжали развивать успешное наступление и овладели районными центрами Ленинградской области городом Сольцы, Волот, Поддорье, районным центром Калининской области городом Холм, атакже с боями заняли более 100 других населённых пунктов, в том числе Большой Уторгош, Низова, Острова, Игнатово, Лопатуха, Большое и Малое Заборовье, Свинорд, Иловенка, Угоща, Ципино, Гущиха, Сухарево и железнодорожные станции Низы, Сольцы, Верещино, Шелонь, Волот.</w:t>
      </w:r>
    </w:p>
    <w:p w14:paraId="2D4C9B97"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Криворожском направлении наши войска, перейдя в наступление, сломили сопротивление противника и овладели узловой железнодорожной станцией Долгинцево, а также с боями заняли более 50 населённых пунктов, в том числе Ново-Ивановка, Божедаровка, Вечерний Кут, Божаново, Ново-Украинка, Полтавцы, Анновка, Ивановка, Новый Кривой Рог и железнодорожные станции Роковатая, Коломойцево, Каганович, Радушная. Наши войска вплотную подошли к городу Кривой Рог и завязали бои на окраинах города.</w:t>
      </w:r>
    </w:p>
    <w:p w14:paraId="6EF9B636"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7CD024F5"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20 февраля наши войска на всех фронтах подбили и уничтожили 40 немецких танков. В воздушных боях и огнём зенитной артиллерии сбито 11 самолётов противника.</w:t>
      </w:r>
    </w:p>
    <w:p w14:paraId="5826C835"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озера Ильмень наши войска после ожесточённых боёв овладели районным центром Калининской области городом Холм. Немцы в течение длительного времени укрепляли этот город и превратили его в мощный опорный пункт. Наши войска, действуя с юга на север, прорвали оборону противника и, быстро продвигаясь вперёд, перерезали шоссе Холм-Локня, являвшееся основной коммуникацией немцев. Одновременно советские части форсировали реку Ловать севернее и южнее городаХолм и завязали уличные бои. К исходу дня, разгромив противника, наши войска овладели городом Холм. На улицах города немцы оставили более 500 трупов своих солдат и офицеров. Захвачено 20 танков, 32 орудия, 120 пулемётов, свыше 600 автоматов и винтовок, склады с боеприпасами и продовольствием. На аэродроме захвачено 45 немецких самолётов, часть из которых повреждена и разбита. Взято значительное число пленных.</w:t>
      </w:r>
    </w:p>
    <w:p w14:paraId="62DB872C"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Луга наши войска освободили от немецко-фашистских захватчиков несколько населённых пунктов. В боях за эти пункты уничтожено до 800 немецких солдат и офицеров, 4 танка, 16 орудий, из них 2 самоходных. Захвачено много трофеев и пленных. На одном участке, отражая контратаку противника, бронебойщики младший сержант Аксентьев и красноармеец Орехов подбили 3 немецких танка и уничтожили вражеских танкистов, пытавшихся спастись бегством.</w:t>
      </w:r>
    </w:p>
    <w:p w14:paraId="1ADD8EBC"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озера Ильмень наши войска продолжали развивать успешное наступление и овладели районным центром Ленинградской области городом Сольцы. Части другого нашего соединения стремительными ударами овладели районными центрами Ленинградской области Волот и Поддорье, а также заняли много других населённых пунктов. Противник несёт большие потери в живой силе и технике. Бойцы Н-ского соединения в течение дня истребили два батальона гитлеровцев. Захвачены трофеи, в числе которых 30 орудий и миномётов, 52 пулемёта, 5 радиостанций, большой обоз с военными материалами, 9 складов с боеприпасами, горючим и с продовольствием. Взята в плен большая группа немецких солдат и офицеров.</w:t>
      </w:r>
    </w:p>
    <w:p w14:paraId="40B97D6A"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Криворожском направлении наши войска перешли в наступление и, сломив сопротивление противника, штурмом овладели узловой железнодорожной станцией Долгинцево, а также заняли более 50 других населённых пунктов. Развивая успех, наши войска вплотную подошли к городу Кривой Рог и завязали бои на окраинах города. Стремясь любой ценой удержать Кривой Рог в своих руках, немцы спешно подтянули крупные силы пехоты и танков и неоднократно бросались в контратаки. Применяя обходный манёвр, части Н-ского соединения окружили и уничтожили вражеские гарнизоны в ряде крупных населённых пунктов. Истреблено до 1.500 немецких солдат и офицеров. Наши войска, действующие южнее Кривого Рога, отбили ожесточённые контратаки противника и с боями продвигались вперёд. Разгромлено два полка немецкой пехоты. Захвачено 40 орудий, 67 пулемётов, 327 автомашин и другие трофеи.</w:t>
      </w:r>
    </w:p>
    <w:p w14:paraId="270D316A"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Балтийском море потоплен транспорт противника водоизмещением в 5 тысяч тонн.</w:t>
      </w:r>
    </w:p>
    <w:p w14:paraId="402D642F"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Украинский партизанский отряд имени 24 годовщины Красной Армии напал на немецкий гарнизон, расположенный в районном центре Волынской области. Гитлеровцы, укрывшись в каменных зданиях, оказывали упорное сопротивление. Партизаны в течение трёх дней вели бой с противником и уничтожили до 200 вражеских солдат и офицеров. Захвачен обоз с боеприпасами, 160 автоматов и винтовок и другие трофеи. Партизаны другого отряда подорвали на минах эшелон с немецкой жандармерией и полицией. Убито и ранено много гитлеровцев.</w:t>
      </w:r>
    </w:p>
    <w:p w14:paraId="28692D27"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Взятый в плен в районе Корсунь-Шевченковский переводчик штаба 57 немецкой пехотной дивизии лейтенант Винеке рассказал: «В бесплодных попытках прорвать кольцо окружения наша дивизия понесла чудовищные потери. Роты таяли не по дням, а по часам. На 16 февраля в полках осталось по 40-50-человек. Многие офицеры видели всю безнадежность нашего положения и считали дальнейшее сопротивление безумием. Мы надеялись, что после сталинградской катастрофы, которая потрясла всю Германию, Гитлер не решится на новую авантюру. Однако мы ошиблись.Сталинградская трагедия повторилась в Приднепровье. Ради сохранения своего престижа Гитлер снова пожертвовал десятками тысяч жизней солдат и офицеров».</w:t>
      </w:r>
    </w:p>
    <w:p w14:paraId="65F5EEFB"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Итоги месячного наступления войск Ленинградского и Волховского фронтов</w:t>
      </w:r>
    </w:p>
    <w:p w14:paraId="26DE0DC5"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Ленинградского фронта в первой половине января месяца перешли в наступление против немецко-фашистских войск, державших в осаде город Ленинград; одновременно войска Волховского фронта начали наступление на город Новгород.</w:t>
      </w:r>
    </w:p>
    <w:p w14:paraId="2FC2F856"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Ленинградского фронта ударами из районов Пулково и южнее Ораниенбаум прорвали сильно укреплённую, глубоко эшелонированную долговременную оборону немцев к юго-западу от Ленинграда. В то же время войска Волховского фронта, форсировав реку Волхов и верховье озера Ильмень, также успешно прорвали сильно укреплённую долговременную оборону немцев севернее и южнее Новгорода.</w:t>
      </w:r>
    </w:p>
    <w:p w14:paraId="65BDD6CD"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широко применяя обходные манёвры в сочетании с фронтальными ударами, в первые 5-6 дней наступления овладели основными укреплёнными опорными пунктами немецкой обороны городами Красное Село, Ропша, Новгород, гарнизоны которых были окружены и уничтожены. Под ударами наших войск потерпела крушение сильнейшая оборона немцев, которую они сами расценивали, как неприступный и непреодолимый «северный вал», как «стальное кольцо» блокады Ленинграда.</w:t>
      </w:r>
    </w:p>
    <w:p w14:paraId="3EE67554"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Преследуя разбитые части немцев, наши войска в ходе непрерывного наступления последовательно выбили противника с ряда промежуточных укреплённых рубежей на подступах к реке Луга и подошли к этой реке, где немцы пытались остановить наше наступление на заблаговременно построенном сильном оборонительном рубеже. Однако решительными и умелыми действиями наших войск река Луга была форсирована, а немецкие позиции на этой реке были прорваны в районе города Луга и обойдены сфлангов южнее Кингисепп и станции Батецкая.</w:t>
      </w:r>
    </w:p>
    <w:p w14:paraId="2A2FDED9"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наступления наши войска за месяц боёв продвинулись вперёд на 150-250 километров, очистили от противника побережье Финского залива до устья реки Нарва и всю территорию восточнее реки Нарва и Чудского озера, выйдя на линию Середка, Струги Красные, Плюсса, Уторгош, Шимск. Нашими войсками освобождены города Петергоф, Урицк, Ропша, Красное Село, Пушкин, Павловск, Гатчина, Мга, Тосно, Кингисепп, Гдов, Луга, Любань, Чудово, Новгород, районные центры Ленинградской области Волосово, Осьмино, Ляды, Полна, Плюсса, Оредеж, Батецкая, Уторгош, Шимски около 4.000 других населённых пунктов.</w:t>
      </w:r>
    </w:p>
    <w:p w14:paraId="098501AD"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Освобождена важнейшая железнодорожная магистраль, связывающая Ленинград с Москвой, — Октябрьская железная дорога, а также освобождены железнодорожные линии Ленинград-Вологда, Ленинград-Мга-Рыбинск, Ленинград-Новгород, Ленинград-Батецкая, Ленинград-Луга, Ленинград-Ораниенбаум-Веймарн, Ленинград-Кингисепп, Веймарн-Гдов, Гатчина-Тосно.</w:t>
      </w:r>
    </w:p>
    <w:p w14:paraId="4E9E1154"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За месяц боёв нанесено тяжёлое поражение основным силам 18 армии немцев в составе: 11, 21, 24, 58, 61, 121, 126, 170, 212, 215, 225, 227, 290 пехотных, 8 и 28 лёгкопехотных, 1, 9, 10, 12, 13 авиаполевых дивизий, полицейской дивизии СС, испанского легиона; танково-гренадерских дивизий СС «Нидерланды»,«Нордланд», «Фельдхернхалле», а также 12 танковой дивизии. Разгромлена крупная артиллерийская группировка тяжёлой артиллерии главного командования немецкой армии, обстреливавшая Ленинград и имевшая на своём вооружении 320 орудий калибром от 150 до 406 миллиметров.</w:t>
      </w:r>
    </w:p>
    <w:p w14:paraId="210BA84C"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Уничтожено: самолётов — 97, танков — 275, орудий разного калибра — 1.962, в том числе орудий калибра от 150 до 406 мм — 102, миномётов — 2.235, пулемётов —3.642, автомашин — 4.278, складов разных — 460.</w:t>
      </w:r>
    </w:p>
    <w:p w14:paraId="57442AD9"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Противник потерял только убитыми свыше 90.000 солдат и офицеров.</w:t>
      </w:r>
    </w:p>
    <w:p w14:paraId="6D2CAC5C"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Нашими войсками захвачены следующие трофеи: танков — 189, орудий разного калибра — 1.852, в том числе орудий калибра от 150 до 406 мм — 178; миномётов —2.543, пулемётов — 4.660, винтовок и автоматов — 42.000, снарядов разного калибра — более 1.000.000, патронов — 17.000.000, автомашин — 2.648, железнодорожных вагонов — 615, складов с военным имуществом — 353.</w:t>
      </w:r>
    </w:p>
    <w:p w14:paraId="65DD23FB"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Взято в плен 7.200 немецких солдат и офицеров.» (15047).</w:t>
      </w:r>
    </w:p>
    <w:p w14:paraId="6FBA3703" w14:textId="77777777" w:rsidR="00E32A8C" w:rsidRPr="00070ADE" w:rsidRDefault="00E32A8C" w:rsidP="00B56F90">
      <w:pPr>
        <w:spacing w:after="0" w:line="240" w:lineRule="auto"/>
        <w:jc w:val="both"/>
        <w:rPr>
          <w:rFonts w:ascii="Times New Roman" w:hAnsi="Times New Roman"/>
          <w:color w:val="000000" w:themeColor="text1"/>
          <w:sz w:val="16"/>
          <w:szCs w:val="16"/>
        </w:rPr>
      </w:pPr>
    </w:p>
    <w:p w14:paraId="55DD5E55"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21 февраля</w:t>
      </w:r>
      <w:r w:rsidRPr="00070ADE">
        <w:rPr>
          <w:rFonts w:ascii="Times New Roman" w:hAnsi="Times New Roman"/>
          <w:color w:val="000000" w:themeColor="text1"/>
          <w:sz w:val="16"/>
          <w:szCs w:val="16"/>
        </w:rPr>
        <w:t xml:space="preserve"> в 1944 году началась Рогачевско-Жлобинская наступательная операция войск 1-го Белорусского фронта (15047).</w:t>
      </w:r>
    </w:p>
    <w:p w14:paraId="2878C09E" w14:textId="77777777" w:rsidR="00E32A8C" w:rsidRPr="00070ADE" w:rsidRDefault="00E32A8C" w:rsidP="00B56F90">
      <w:pPr>
        <w:spacing w:after="0" w:line="240" w:lineRule="auto"/>
        <w:jc w:val="both"/>
        <w:rPr>
          <w:rFonts w:ascii="Times New Roman" w:hAnsi="Times New Roman"/>
          <w:color w:val="000000" w:themeColor="text1"/>
          <w:sz w:val="16"/>
          <w:szCs w:val="16"/>
        </w:rPr>
      </w:pPr>
    </w:p>
    <w:p w14:paraId="3B8229C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C 21 по 26 февраля 1944 была Рогачевско-Жлобинская операция. Уничтожили плацдарм немцев на левом берегу Днепра и заняли свой плацдарм на правом берегу. Продвинулись на 25 км на 60 км фронте (2443,80).</w:t>
      </w:r>
    </w:p>
    <w:p w14:paraId="0B8A13A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20F5BD" w14:textId="77777777" w:rsidR="00E32A8C"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4A80281B" w14:textId="77777777" w:rsidR="00E32A8C" w:rsidRPr="00070ADE" w:rsidRDefault="00E32A8C"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8F627C"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21 февраля</w:t>
      </w:r>
      <w:r w:rsidRPr="00070ADE">
        <w:rPr>
          <w:rFonts w:ascii="Times New Roman" w:hAnsi="Times New Roman"/>
          <w:color w:val="000000" w:themeColor="text1"/>
          <w:sz w:val="16"/>
          <w:szCs w:val="16"/>
        </w:rPr>
        <w:t xml:space="preserve"> в 1944 году руководство Еврейского Антифашистского Комитета СССР обратилось к В.М.Молотову с предложением создать Еврейскую Советскую Социалистическую Республику на территории Крыма или в Поволжье на территории, где в прошлом была республика немцев. Молотов отрицательно отнесся к идее создания Еврейской автономии на Волге: «евреи — народ городской и нельзя сажать евреев за трактор», а в отношении Крыма предложил написать письмо советскому руководству (15047).</w:t>
      </w:r>
    </w:p>
    <w:p w14:paraId="64C1FE3F" w14:textId="77777777" w:rsidR="00E32A8C" w:rsidRPr="00070ADE" w:rsidRDefault="00E32A8C" w:rsidP="00B56F90">
      <w:pPr>
        <w:spacing w:after="0" w:line="240" w:lineRule="auto"/>
        <w:jc w:val="both"/>
        <w:rPr>
          <w:rFonts w:ascii="Times New Roman" w:hAnsi="Times New Roman"/>
          <w:color w:val="000000" w:themeColor="text1"/>
          <w:sz w:val="16"/>
          <w:szCs w:val="16"/>
        </w:rPr>
      </w:pPr>
    </w:p>
    <w:p w14:paraId="0143908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180B61A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AD433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февраля 1944 года</w:t>
      </w:r>
    </w:p>
    <w:p w14:paraId="1CF97A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ЛИЧНО И СЕКРЕТНО ОТ ПРЕМЬЕРА И. В. СТАЛИНА ПРЕЗИДЕНТУ Ф. Д. РУЗВЕЛЬТУ</w:t>
      </w:r>
    </w:p>
    <w:p w14:paraId="29CF02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Ваше послание от 18 февраля получил. Благодарю за сообщение.</w:t>
      </w:r>
    </w:p>
    <w:p w14:paraId="05A33E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Оно, однако, не исчерпывает вопроса, поскольку в нем ничего не говорится об англо-американских миноносцах и подводных лодках взамен итальянских (восьми миноносцев и четырех подводных лодок), как это было решено в Тегеране. Я надеюсь получить скорый ответ по этим вопросам, затронутым в моем послании от 29 января (7430).</w:t>
      </w:r>
    </w:p>
    <w:p w14:paraId="62A9211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668F0A"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21 февраля</w:t>
      </w:r>
      <w:r w:rsidRPr="00070ADE">
        <w:rPr>
          <w:rFonts w:ascii="Times New Roman" w:hAnsi="Times New Roman"/>
          <w:color w:val="000000" w:themeColor="text1"/>
          <w:sz w:val="16"/>
          <w:szCs w:val="16"/>
        </w:rPr>
        <w:t xml:space="preserve"> в 1944 году германский посланник в Хельсинки В.Блюхер заявил министру иностранных дел Финляндии, что сепаратные переговоры о мире с СССР являются предательством со всеми вытекающими отсюда последствиями (15047).</w:t>
      </w:r>
    </w:p>
    <w:p w14:paraId="328A262F" w14:textId="77777777" w:rsidR="00E32A8C" w:rsidRPr="00070ADE" w:rsidRDefault="00E32A8C" w:rsidP="00B56F90">
      <w:pPr>
        <w:spacing w:after="0" w:line="240" w:lineRule="auto"/>
        <w:jc w:val="both"/>
        <w:rPr>
          <w:rFonts w:ascii="Times New Roman" w:hAnsi="Times New Roman"/>
          <w:color w:val="000000" w:themeColor="text1"/>
          <w:sz w:val="16"/>
          <w:szCs w:val="16"/>
        </w:rPr>
      </w:pPr>
    </w:p>
    <w:p w14:paraId="78E7B1B6"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B998E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02E779" w14:textId="77777777" w:rsidR="003700E8" w:rsidRPr="00070ADE" w:rsidRDefault="003700E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февраля 1941 британский авианосец HMS Chaser присоединяется к эскорту арктического конвоя JW 57, направлявшегося из Лох-Эве, Шотландия, в Кольский залив в Советском Союзе. Это первый раз, когда авианосец сопровождал арктический конвой с февраля 1943 года. К тому времени, когда Чейзер вернется в Скапа-Флоу 9 марта после сопровождения возвращающегося конвоя RA 57, его самолеты потопили или участвовал в потоплении трех немецких подводных лодок. Было потеряно только одно торговое судно (20373).</w:t>
      </w:r>
    </w:p>
    <w:p w14:paraId="017704B2" w14:textId="77777777" w:rsidR="003700E8" w:rsidRPr="00070ADE" w:rsidRDefault="003700E8" w:rsidP="00B56F90">
      <w:pPr>
        <w:spacing w:after="0" w:line="240" w:lineRule="auto"/>
        <w:jc w:val="both"/>
        <w:rPr>
          <w:rFonts w:ascii="Times New Roman" w:hAnsi="Times New Roman"/>
          <w:color w:val="000000" w:themeColor="text1"/>
          <w:sz w:val="16"/>
          <w:szCs w:val="16"/>
        </w:rPr>
      </w:pPr>
    </w:p>
    <w:p w14:paraId="4DFBDE2E" w14:textId="77777777" w:rsidR="003700E8" w:rsidRPr="00070ADE" w:rsidRDefault="003700E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февраля 1944 года был облетан головной самолет «Бэкингем» B Mk. 1 с «центаврами» Mk. VII/Mk. XI (правый/левый), весной начались его поставки, но в боевых операциях «Бэкингем» широкого участия так и не принял. Фирма акцентировала внимание на преимуществе в дальности, но Заказчик не внял аргументам и урезал контракт до 119 машин. Штаб Бомбардировочного Командования решил не ломать устоявшуюся тактику и схему разделения боевых задач с американской авиацией. Было решено использовать «Бэкингем» в качестве курьерского, и после сдачи 54-го серийного экземпляра самолет начал поставляться именно в таком варианте под индексом С. Mk 1. Еще до конца года бомбардировщики B Mk. 1 начали передаваться в учебные части, в мае 1945-го их эксплуатация была прекращена, а фирме «Бристоль» в качестве «утешительного приза» поручили создать на его базе учебный самолет и дальний торпедоносец-бомбардировщик, о котором мы поговорим в будущем (22899).</w:t>
      </w:r>
    </w:p>
    <w:p w14:paraId="5287696C" w14:textId="77777777" w:rsidR="003700E8" w:rsidRPr="00070ADE" w:rsidRDefault="003700E8" w:rsidP="00B56F90">
      <w:pPr>
        <w:spacing w:after="0" w:line="240" w:lineRule="auto"/>
        <w:jc w:val="both"/>
        <w:rPr>
          <w:rFonts w:ascii="Times New Roman" w:hAnsi="Times New Roman"/>
          <w:color w:val="000000" w:themeColor="text1"/>
          <w:sz w:val="16"/>
          <w:szCs w:val="16"/>
        </w:rPr>
      </w:pPr>
    </w:p>
    <w:p w14:paraId="7D062A7F"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февраля 1944 г. ПРОТОКОЛЬНАЯ ЗАПИСЬ СОВЕЩАНИЯ ПО ВОПРОСУ ОБ УЧАСТИИ МОНОПОЛИЙ НАЦИСТСКОЙ ГЕРМАНИИ О РАЗДЕЛЕ И ВЫВОЗЕ ПРОМЫШЛЕННЫХ ПРЕДПРИЯТИЙ СОВЕТСКОГО СОЮЗА</w:t>
      </w:r>
    </w:p>
    <w:p w14:paraId="709946BD"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 Берлин</w:t>
      </w:r>
    </w:p>
    <w:p w14:paraId="433BC38F"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Присутствовали господа:</w:t>
      </w:r>
    </w:p>
    <w:p w14:paraId="66CA2B60"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Росскопф и Клинкхард Максхютте</w:t>
      </w:r>
    </w:p>
    <w:p w14:paraId="74EEE753"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Холтей группа Лауххаммер</w:t>
      </w:r>
    </w:p>
    <w:p w14:paraId="0C2D591C"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Маттнер группа Хавель</w:t>
      </w:r>
    </w:p>
    <w:p w14:paraId="42C047AF"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Цикфельдт Ромбах</w:t>
      </w:r>
    </w:p>
    <w:p w14:paraId="658AED79"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Теннхардт концерн Делен</w:t>
      </w:r>
    </w:p>
    <w:p w14:paraId="1DC52030"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Рихтер «Днепросталь»</w:t>
      </w:r>
    </w:p>
    <w:p w14:paraId="2E709420"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Мюллер «Миттельшталь»</w:t>
      </w:r>
    </w:p>
    <w:p w14:paraId="2FEF5C6E"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вступительном слове д-р Мюллер информирует господ о согла</w:t>
      </w:r>
      <w:r w:rsidRPr="00070ADE">
        <w:rPr>
          <w:rFonts w:ascii="Times New Roman" w:hAnsi="Times New Roman"/>
          <w:color w:val="000000" w:themeColor="text1"/>
          <w:sz w:val="16"/>
          <w:szCs w:val="16"/>
        </w:rPr>
        <w:softHyphen/>
        <w:t>шении, которое достигнуто относительно раздела складов.</w:t>
      </w:r>
    </w:p>
    <w:p w14:paraId="0CB9A269" w14:textId="3EE94422"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Общество с ограниченными правами «Днепросталь» передало скла</w:t>
      </w:r>
      <w:r w:rsidRPr="00070ADE">
        <w:rPr>
          <w:rFonts w:ascii="Times New Roman" w:hAnsi="Times New Roman"/>
          <w:color w:val="000000" w:themeColor="text1"/>
          <w:sz w:val="16"/>
          <w:szCs w:val="16"/>
        </w:rPr>
        <w:softHyphen/>
        <w:t>ды компании «Бергхютте Ост», причем склады из Торна, Данцига и Ке</w:t>
      </w:r>
      <w:r w:rsidRPr="00070ADE">
        <w:rPr>
          <w:rFonts w:ascii="Times New Roman" w:hAnsi="Times New Roman"/>
          <w:color w:val="000000" w:themeColor="text1"/>
          <w:sz w:val="16"/>
          <w:szCs w:val="16"/>
        </w:rPr>
        <w:softHyphen/>
        <w:t>нигсберга тем временем должны быть перевезены в Верхнюю Силезию. Ответственный за управление складами: г-н диплом-инженер Кинне, Гляйвиц, Верхняя Силезия, Бойтнерштрассе, 6 (тел.: Гляйвиц, 36-38), а также г-н д-р Лют, Берлин SO</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16, Копеникерштрассе, 82 (тел.: 67-35-47). Интересы «Рейхсверке Герман Геринг» представляет машинострои</w:t>
      </w:r>
      <w:r w:rsidRPr="00070ADE">
        <w:rPr>
          <w:rFonts w:ascii="Times New Roman" w:hAnsi="Times New Roman"/>
          <w:color w:val="000000" w:themeColor="text1"/>
          <w:sz w:val="16"/>
          <w:szCs w:val="16"/>
        </w:rPr>
        <w:softHyphen/>
        <w:t>тельное управление, г-н профессор Биретт, в то время как окончательное решение о распределении складов и приеме имущества, еще подлежаще</w:t>
      </w:r>
      <w:r w:rsidRPr="00070ADE">
        <w:rPr>
          <w:rFonts w:ascii="Times New Roman" w:hAnsi="Times New Roman"/>
          <w:color w:val="000000" w:themeColor="text1"/>
          <w:sz w:val="16"/>
          <w:szCs w:val="16"/>
        </w:rPr>
        <w:softHyphen/>
        <w:t>го разделу, остается за г-ном государственным советником Шибером, а также за бюро г-на директора Шликера.</w:t>
      </w:r>
    </w:p>
    <w:p w14:paraId="48983D55"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Задачей совещания было: согласовать между собой требования от</w:t>
      </w:r>
      <w:r w:rsidRPr="00070ADE">
        <w:rPr>
          <w:rFonts w:ascii="Times New Roman" w:hAnsi="Times New Roman"/>
          <w:color w:val="000000" w:themeColor="text1"/>
          <w:sz w:val="16"/>
          <w:szCs w:val="16"/>
        </w:rPr>
        <w:softHyphen/>
        <w:t>дельных групп. Достигли единого мнения, что тот концерн, который пред</w:t>
      </w:r>
      <w:r w:rsidRPr="00070ADE">
        <w:rPr>
          <w:rFonts w:ascii="Times New Roman" w:hAnsi="Times New Roman"/>
          <w:color w:val="000000" w:themeColor="text1"/>
          <w:sz w:val="16"/>
          <w:szCs w:val="16"/>
        </w:rPr>
        <w:softHyphen/>
        <w:t>ставит лучшие документальные обоснования на металл и сталь, должен получить наибольшие преимущества при распределении, причем, конеч</w:t>
      </w:r>
      <w:r w:rsidRPr="00070ADE">
        <w:rPr>
          <w:rFonts w:ascii="Times New Roman" w:hAnsi="Times New Roman"/>
          <w:color w:val="000000" w:themeColor="text1"/>
          <w:sz w:val="16"/>
          <w:szCs w:val="16"/>
        </w:rPr>
        <w:softHyphen/>
        <w:t>но, при определении количества требуемого металла и стали в бюро Шликера будут подходить, согласно опыту, с широких позиций. Что ка</w:t>
      </w:r>
      <w:r w:rsidRPr="00070ADE">
        <w:rPr>
          <w:rFonts w:ascii="Times New Roman" w:hAnsi="Times New Roman"/>
          <w:color w:val="000000" w:themeColor="text1"/>
          <w:sz w:val="16"/>
          <w:szCs w:val="16"/>
        </w:rPr>
        <w:softHyphen/>
        <w:t>сается нас, то было бы целесообразнее не указывать на необходимость получения металла и стали, согласно документам; нам ясно, однако, что мы имеем основания требовать, при соответствующем обосновании, спе</w:t>
      </w:r>
      <w:r w:rsidRPr="00070ADE">
        <w:rPr>
          <w:rFonts w:ascii="Times New Roman" w:hAnsi="Times New Roman"/>
          <w:color w:val="000000" w:themeColor="text1"/>
          <w:sz w:val="16"/>
          <w:szCs w:val="16"/>
        </w:rPr>
        <w:softHyphen/>
        <w:t>циализированные машины для особой продукции.</w:t>
      </w:r>
    </w:p>
    <w:p w14:paraId="1375BFA5"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Наряду с требованиями на специализированные машины для особо</w:t>
      </w:r>
      <w:r w:rsidRPr="00070ADE">
        <w:rPr>
          <w:rFonts w:ascii="Times New Roman" w:hAnsi="Times New Roman"/>
          <w:color w:val="000000" w:themeColor="text1"/>
          <w:sz w:val="16"/>
          <w:szCs w:val="16"/>
        </w:rPr>
        <w:softHyphen/>
        <w:t>го применения концерн может доложить о своей потребности в машинах общего назначения, таких как строгальные станки, сверлильные, шлифо</w:t>
      </w:r>
      <w:r w:rsidRPr="00070ADE">
        <w:rPr>
          <w:rFonts w:ascii="Times New Roman" w:hAnsi="Times New Roman"/>
          <w:color w:val="000000" w:themeColor="text1"/>
          <w:sz w:val="16"/>
          <w:szCs w:val="16"/>
        </w:rPr>
        <w:softHyphen/>
        <w:t>вальные, ручные сверлильные, далее — о потребности в электромоторах, а также в складских и электроматериалах, в том числе в химикалиях и в лабораторном оборудовании, в арматуре, проволоке, домкратах, цепях, слесарных инструментах и талях, что можно обосновать как остро необ</w:t>
      </w:r>
      <w:r w:rsidRPr="00070ADE">
        <w:rPr>
          <w:rFonts w:ascii="Times New Roman" w:hAnsi="Times New Roman"/>
          <w:color w:val="000000" w:themeColor="text1"/>
          <w:sz w:val="16"/>
          <w:szCs w:val="16"/>
        </w:rPr>
        <w:softHyphen/>
        <w:t>ходимый ремонтный материал.</w:t>
      </w:r>
    </w:p>
    <w:p w14:paraId="2745E7A6"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этим общим заявкам вначале будет отмечено только количество требуемых заводами материалов, без окончательного распределения, поскольку оказалось бесполезно начинать окончательное распределение, пока не установлено еще, как велики претензии группы Флика на эти материалы и на долю в машинах общего назначения. Так как в справке, представленной в наше распоряжение г-ном Рихтером из «Днепросталь» относительно складов и распределения, ничего не сказано о вывезенном с Украины имуществе, мы с полным основанием считаем, что имеем пра</w:t>
      </w:r>
      <w:r w:rsidRPr="00070ADE">
        <w:rPr>
          <w:rFonts w:ascii="Times New Roman" w:hAnsi="Times New Roman"/>
          <w:color w:val="000000" w:themeColor="text1"/>
          <w:sz w:val="16"/>
          <w:szCs w:val="16"/>
        </w:rPr>
        <w:softHyphen/>
        <w:t>во предъявить требование на удовлетворение 100% заявок группы Фли</w:t>
      </w:r>
      <w:r w:rsidRPr="00070ADE">
        <w:rPr>
          <w:rFonts w:ascii="Times New Roman" w:hAnsi="Times New Roman"/>
          <w:color w:val="000000" w:themeColor="text1"/>
          <w:sz w:val="16"/>
          <w:szCs w:val="16"/>
        </w:rPr>
        <w:softHyphen/>
        <w:t>ка, так как данное имущество во много раз превышает наши заявки.</w:t>
      </w:r>
    </w:p>
    <w:p w14:paraId="3FD48274"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данным г-на Рихтера, склад в Торне содержит округленно 110 т, склад в Данциге — округленно 100 т, в Кенигсберге — 50 т, Заальбурге — 150 т, в то время как бывший склад в Одерберге, содержавший мелкие материалы, не может оцениваться по весу. В целом, однако, содержимое складов оценивается в 500 т (округленно).</w:t>
      </w:r>
    </w:p>
    <w:p w14:paraId="569D69FD"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Вес предоставленной нам доли колеблется между 600 и 700 т, после чего мы прежде всего намереваемся потребовать еще складские матери</w:t>
      </w:r>
      <w:r w:rsidRPr="00070ADE">
        <w:rPr>
          <w:rFonts w:ascii="Times New Roman" w:hAnsi="Times New Roman"/>
          <w:color w:val="000000" w:themeColor="text1"/>
          <w:sz w:val="16"/>
          <w:szCs w:val="16"/>
        </w:rPr>
        <w:softHyphen/>
        <w:t>алы и электроматериалы, арматуру и т. д. приблизительно на 100-200 т.</w:t>
      </w:r>
    </w:p>
    <w:p w14:paraId="6FF8048C"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Вывезенное с Украины имущество находится в 900 вагонах, каждый по 15 т, что ориентировочно дает около 1300 т веса. Из этого количества мы также должны не упустить определенные требования для нашей груп</w:t>
      </w:r>
      <w:r w:rsidRPr="00070ADE">
        <w:rPr>
          <w:rFonts w:ascii="Times New Roman" w:hAnsi="Times New Roman"/>
          <w:color w:val="000000" w:themeColor="text1"/>
          <w:sz w:val="16"/>
          <w:szCs w:val="16"/>
        </w:rPr>
        <w:softHyphen/>
        <w:t>пы, как, например, уже сделала компания Линке — Гофман насчет дос</w:t>
      </w:r>
      <w:r w:rsidRPr="00070ADE">
        <w:rPr>
          <w:rFonts w:ascii="Times New Roman" w:hAnsi="Times New Roman"/>
          <w:color w:val="000000" w:themeColor="text1"/>
          <w:sz w:val="16"/>
          <w:szCs w:val="16"/>
        </w:rPr>
        <w:softHyphen/>
        <w:t>тавленных туда паровозов, требующих ремонта.</w:t>
      </w:r>
    </w:p>
    <w:p w14:paraId="18D34F72"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заключение нужно указать, что мы имеем особое, предпочтитель</w:t>
      </w:r>
      <w:r w:rsidRPr="00070ADE">
        <w:rPr>
          <w:rFonts w:ascii="Times New Roman" w:hAnsi="Times New Roman"/>
          <w:color w:val="000000" w:themeColor="text1"/>
          <w:sz w:val="16"/>
          <w:szCs w:val="16"/>
        </w:rPr>
        <w:softHyphen/>
        <w:t>ное право на возвращение части поставленных нашими заводами машин (ср. склад в Заальбурге, ст. 6., склад в Данциге, ст. 11).</w:t>
      </w:r>
    </w:p>
    <w:p w14:paraId="7D9B8122"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Относительно наших требований мы договорились о следующем (склад в Торне не успели запросить за недостатком времени).</w:t>
      </w:r>
    </w:p>
    <w:p w14:paraId="51B5E272"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Машины специального назначения</w:t>
      </w:r>
    </w:p>
    <w:p w14:paraId="49BD1B3C"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этого требуется точное обоснование предприятий, в случае не</w:t>
      </w:r>
      <w:r w:rsidRPr="00070ADE">
        <w:rPr>
          <w:rFonts w:ascii="Times New Roman" w:hAnsi="Times New Roman"/>
          <w:color w:val="000000" w:themeColor="text1"/>
          <w:sz w:val="16"/>
          <w:szCs w:val="16"/>
        </w:rPr>
        <w:softHyphen/>
        <w:t>обходимости приложение удостоверений о разрешении заявок или за</w:t>
      </w:r>
      <w:r w:rsidRPr="00070ADE">
        <w:rPr>
          <w:rFonts w:ascii="Times New Roman" w:hAnsi="Times New Roman"/>
          <w:color w:val="000000" w:themeColor="text1"/>
          <w:sz w:val="16"/>
          <w:szCs w:val="16"/>
        </w:rPr>
        <w:softHyphen/>
        <w:t>казов на машины.</w:t>
      </w:r>
    </w:p>
    <w:p w14:paraId="76CAB53E"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а) Машины общего назначения;</w:t>
      </w:r>
    </w:p>
    <w:p w14:paraId="599813AB"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детали машины;</w:t>
      </w:r>
    </w:p>
    <w:p w14:paraId="3A37629C"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машины, которые должны быть предоставлены группе Флика. По пунктам 2а и 26 может понадобиться наряду с обоснованием прило</w:t>
      </w:r>
      <w:r w:rsidRPr="00070ADE">
        <w:rPr>
          <w:rFonts w:ascii="Times New Roman" w:hAnsi="Times New Roman"/>
          <w:color w:val="000000" w:themeColor="text1"/>
          <w:sz w:val="16"/>
          <w:szCs w:val="16"/>
        </w:rPr>
        <w:softHyphen/>
        <w:t>жение документов на железо и металл.</w:t>
      </w:r>
    </w:p>
    <w:p w14:paraId="79CECC31"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Моторы.</w:t>
      </w:r>
    </w:p>
    <w:p w14:paraId="0D7C659F"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Точно так же нужны обоснования, документы на металл и железо.</w:t>
      </w:r>
    </w:p>
    <w:p w14:paraId="785334F0"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а) Материалы складские (в общем);</w:t>
      </w:r>
    </w:p>
    <w:p w14:paraId="2B22D386" w14:textId="7332D3B8"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электроматериалы (в общем);</w:t>
      </w:r>
    </w:p>
    <w:p w14:paraId="72198ABA" w14:textId="6391D896"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химикалии и лабораторное оборудование;</w:t>
      </w:r>
    </w:p>
    <w:p w14:paraId="58EBF39C" w14:textId="3950144F"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арматура;</w:t>
      </w:r>
    </w:p>
    <w:p w14:paraId="6EED9331" w14:textId="251443E1"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инструменты;</w:t>
      </w:r>
    </w:p>
    <w:p w14:paraId="2B34B1BE" w14:textId="71D12002"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проволока и цепи;</w:t>
      </w:r>
    </w:p>
    <w:p w14:paraId="1F939214" w14:textId="06A9E00B"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толь и домкраты.</w:t>
      </w:r>
    </w:p>
    <w:p w14:paraId="7B57CAC0"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Фотомножительные аппараты.</w:t>
      </w:r>
    </w:p>
    <w:p w14:paraId="720A1E82"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этим предметам, наряду с общим обоснованием и при необходи</w:t>
      </w:r>
      <w:r w:rsidRPr="00070ADE">
        <w:rPr>
          <w:rFonts w:ascii="Times New Roman" w:hAnsi="Times New Roman"/>
          <w:color w:val="000000" w:themeColor="text1"/>
          <w:sz w:val="16"/>
          <w:szCs w:val="16"/>
        </w:rPr>
        <w:softHyphen/>
        <w:t>мости, приложением документов на железо и металл, целесообразно предъявить принятые ранее основные положения о том, в каком размере должна участвовать в разделе группа Флика.</w:t>
      </w:r>
    </w:p>
    <w:p w14:paraId="09415DB0"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статьям 1-4 должно быть распределено все:</w:t>
      </w:r>
    </w:p>
    <w:p w14:paraId="2BB3D12D"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По спискам складов, т. е. согласно наличию.</w:t>
      </w:r>
    </w:p>
    <w:p w14:paraId="2C6C7394"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По заказам, которые должны быть приняты от нас.</w:t>
      </w:r>
    </w:p>
    <w:p w14:paraId="579AD280"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Мюллер</w:t>
      </w:r>
    </w:p>
    <w:p w14:paraId="698A5B41" w14:textId="77777777" w:rsidR="00E32A8C" w:rsidRPr="00070ADE" w:rsidRDefault="00E3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Печатается по: Преступные цели — преступные средства. М., 1985. С. 293-295.</w:t>
      </w:r>
    </w:p>
    <w:p w14:paraId="7BDBB5E2" w14:textId="77777777" w:rsidR="00E32A8C" w:rsidRPr="00070ADE" w:rsidRDefault="00E32A8C" w:rsidP="00B56F90">
      <w:pPr>
        <w:spacing w:after="0" w:line="240" w:lineRule="auto"/>
        <w:jc w:val="both"/>
        <w:rPr>
          <w:rFonts w:ascii="Times New Roman" w:hAnsi="Times New Roman"/>
          <w:color w:val="000000" w:themeColor="text1"/>
          <w:sz w:val="16"/>
          <w:szCs w:val="16"/>
        </w:rPr>
      </w:pPr>
    </w:p>
    <w:p w14:paraId="36DDA72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февраля 1944 США потребовали от Ирландии высылки из Дублина немецких и японских дипломатов (4962).</w:t>
      </w:r>
    </w:p>
    <w:p w14:paraId="7063176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86A5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февраля 1944 в США на NBC состоялась первая регулярная еженедельная телепрограмма War as it happens (3263,92).</w:t>
      </w:r>
    </w:p>
    <w:p w14:paraId="5C8D2D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19D4DD"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D07FD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8867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февраля 1944 закончились заводские испытания тяжелого ш Ил-8 с АМ-42, которые начались 10 мая 1943 (3846,19).</w:t>
      </w:r>
    </w:p>
    <w:p w14:paraId="39F6EC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DA8B1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22 февраля 1944 г. с 10 мая 1943 г. на Ил-АМ-42 (экз. № 1) в общей сложности в период было выпол</w:t>
      </w:r>
      <w:r w:rsidRPr="00070ADE">
        <w:rPr>
          <w:rFonts w:ascii="Times New Roman" w:hAnsi="Times New Roman"/>
          <w:color w:val="000000" w:themeColor="text1"/>
          <w:sz w:val="16"/>
          <w:szCs w:val="16"/>
        </w:rPr>
        <w:softHyphen/>
        <w:t>нено 40 полетов с суммарным нале</w:t>
      </w:r>
      <w:r w:rsidRPr="00070ADE">
        <w:rPr>
          <w:rFonts w:ascii="Times New Roman" w:hAnsi="Times New Roman"/>
          <w:color w:val="000000" w:themeColor="text1"/>
          <w:sz w:val="16"/>
          <w:szCs w:val="16"/>
        </w:rPr>
        <w:softHyphen/>
        <w:t>том 21 час 9 минут.</w:t>
      </w:r>
    </w:p>
    <w:p w14:paraId="6B15CBF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полетном весе 7200 кг с вин</w:t>
      </w:r>
      <w:r w:rsidRPr="00070ADE">
        <w:rPr>
          <w:rFonts w:ascii="Times New Roman" w:hAnsi="Times New Roman"/>
          <w:color w:val="000000" w:themeColor="text1"/>
          <w:sz w:val="16"/>
          <w:szCs w:val="16"/>
        </w:rPr>
        <w:softHyphen/>
        <w:t>том АВ-5л-18Б была получена до</w:t>
      </w:r>
      <w:r w:rsidRPr="00070ADE">
        <w:rPr>
          <w:rFonts w:ascii="Times New Roman" w:hAnsi="Times New Roman"/>
          <w:color w:val="000000" w:themeColor="text1"/>
          <w:sz w:val="16"/>
          <w:szCs w:val="16"/>
        </w:rPr>
        <w:softHyphen/>
        <w:t>вольно высокая скорость горизонтального полета: 470 км/ч - на вы</w:t>
      </w:r>
      <w:r w:rsidRPr="00070ADE">
        <w:rPr>
          <w:rFonts w:ascii="Times New Roman" w:hAnsi="Times New Roman"/>
          <w:color w:val="000000" w:themeColor="text1"/>
          <w:sz w:val="16"/>
          <w:szCs w:val="16"/>
        </w:rPr>
        <w:softHyphen/>
        <w:t>соте 2240 м и 434,5 км/ч - у земли. Вертикальная скорость у земли со</w:t>
      </w:r>
      <w:r w:rsidRPr="00070ADE">
        <w:rPr>
          <w:rFonts w:ascii="Times New Roman" w:hAnsi="Times New Roman"/>
          <w:color w:val="000000" w:themeColor="text1"/>
          <w:sz w:val="16"/>
          <w:szCs w:val="16"/>
        </w:rPr>
        <w:softHyphen/>
        <w:t>ставила 8,32 м/с, а время подъема на высоту 1000 м - 1,97 мин. Это были неплохие результаты. Как от</w:t>
      </w:r>
      <w:r w:rsidRPr="00070ADE">
        <w:rPr>
          <w:rFonts w:ascii="Times New Roman" w:hAnsi="Times New Roman"/>
          <w:color w:val="000000" w:themeColor="text1"/>
          <w:sz w:val="16"/>
          <w:szCs w:val="16"/>
        </w:rPr>
        <w:softHyphen/>
        <w:t>мечал Коккинаки, "...на всех режи</w:t>
      </w:r>
      <w:r w:rsidRPr="00070ADE">
        <w:rPr>
          <w:rFonts w:ascii="Times New Roman" w:hAnsi="Times New Roman"/>
          <w:color w:val="000000" w:themeColor="text1"/>
          <w:sz w:val="16"/>
          <w:szCs w:val="16"/>
        </w:rPr>
        <w:softHyphen/>
        <w:t>мах полета чувствуется большой за</w:t>
      </w:r>
      <w:r w:rsidRPr="00070ADE">
        <w:rPr>
          <w:rFonts w:ascii="Times New Roman" w:hAnsi="Times New Roman"/>
          <w:color w:val="000000" w:themeColor="text1"/>
          <w:sz w:val="16"/>
          <w:szCs w:val="16"/>
        </w:rPr>
        <w:softHyphen/>
        <w:t>пас мощности".</w:t>
      </w:r>
    </w:p>
    <w:p w14:paraId="3E3F87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имел удовлетворитель</w:t>
      </w:r>
      <w:r w:rsidRPr="00070ADE">
        <w:rPr>
          <w:rFonts w:ascii="Times New Roman" w:hAnsi="Times New Roman"/>
          <w:color w:val="000000" w:themeColor="text1"/>
          <w:sz w:val="16"/>
          <w:szCs w:val="16"/>
        </w:rPr>
        <w:softHyphen/>
        <w:t>ную устойчивость по всем направ</w:t>
      </w:r>
      <w:r w:rsidRPr="00070ADE">
        <w:rPr>
          <w:rFonts w:ascii="Times New Roman" w:hAnsi="Times New Roman"/>
          <w:color w:val="000000" w:themeColor="text1"/>
          <w:sz w:val="16"/>
          <w:szCs w:val="16"/>
        </w:rPr>
        <w:softHyphen/>
        <w:t>лениям. При соответствующей балан</w:t>
      </w:r>
      <w:r w:rsidRPr="00070ADE">
        <w:rPr>
          <w:rFonts w:ascii="Times New Roman" w:hAnsi="Times New Roman"/>
          <w:color w:val="000000" w:themeColor="text1"/>
          <w:sz w:val="16"/>
          <w:szCs w:val="16"/>
        </w:rPr>
        <w:softHyphen/>
        <w:t>сировке триммером самолет позво</w:t>
      </w:r>
      <w:r w:rsidRPr="00070ADE">
        <w:rPr>
          <w:rFonts w:ascii="Times New Roman" w:hAnsi="Times New Roman"/>
          <w:color w:val="000000" w:themeColor="text1"/>
          <w:sz w:val="16"/>
          <w:szCs w:val="16"/>
        </w:rPr>
        <w:softHyphen/>
        <w:t>лял полет с брошенной ручкой уп</w:t>
      </w:r>
      <w:r w:rsidRPr="00070ADE">
        <w:rPr>
          <w:rFonts w:ascii="Times New Roman" w:hAnsi="Times New Roman"/>
          <w:color w:val="000000" w:themeColor="text1"/>
          <w:sz w:val="16"/>
          <w:szCs w:val="16"/>
        </w:rPr>
        <w:softHyphen/>
        <w:t>равления. Виражил и пикировал ус</w:t>
      </w:r>
      <w:r w:rsidRPr="00070ADE">
        <w:rPr>
          <w:rFonts w:ascii="Times New Roman" w:hAnsi="Times New Roman"/>
          <w:color w:val="000000" w:themeColor="text1"/>
          <w:sz w:val="16"/>
          <w:szCs w:val="16"/>
        </w:rPr>
        <w:softHyphen/>
        <w:t>тойчиво, без рысканий. Это обеспе</w:t>
      </w:r>
      <w:r w:rsidRPr="00070ADE">
        <w:rPr>
          <w:rFonts w:ascii="Times New Roman" w:hAnsi="Times New Roman"/>
          <w:color w:val="000000" w:themeColor="text1"/>
          <w:sz w:val="16"/>
          <w:szCs w:val="16"/>
        </w:rPr>
        <w:softHyphen/>
        <w:t>чивало лучшие условия для прицели</w:t>
      </w:r>
      <w:r w:rsidRPr="00070ADE">
        <w:rPr>
          <w:rFonts w:ascii="Times New Roman" w:hAnsi="Times New Roman"/>
          <w:color w:val="000000" w:themeColor="text1"/>
          <w:sz w:val="16"/>
          <w:szCs w:val="16"/>
        </w:rPr>
        <w:softHyphen/>
        <w:t>вания и стрельбы.</w:t>
      </w:r>
    </w:p>
    <w:p w14:paraId="2637298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пилотировании Ил-АМ-42 ни</w:t>
      </w:r>
      <w:r w:rsidRPr="00070ADE">
        <w:rPr>
          <w:rFonts w:ascii="Times New Roman" w:hAnsi="Times New Roman"/>
          <w:color w:val="000000" w:themeColor="text1"/>
          <w:sz w:val="16"/>
          <w:szCs w:val="16"/>
        </w:rPr>
        <w:softHyphen/>
        <w:t>чем не отличается от Ил-2. Для вы</w:t>
      </w:r>
      <w:r w:rsidRPr="00070ADE">
        <w:rPr>
          <w:rFonts w:ascii="Times New Roman" w:hAnsi="Times New Roman"/>
          <w:color w:val="000000" w:themeColor="text1"/>
          <w:sz w:val="16"/>
          <w:szCs w:val="16"/>
        </w:rPr>
        <w:softHyphen/>
        <w:t>лета на Ил-АМ-42 обучение и вы</w:t>
      </w:r>
      <w:r w:rsidRPr="00070ADE">
        <w:rPr>
          <w:rFonts w:ascii="Times New Roman" w:hAnsi="Times New Roman"/>
          <w:color w:val="000000" w:themeColor="text1"/>
          <w:sz w:val="16"/>
          <w:szCs w:val="16"/>
        </w:rPr>
        <w:softHyphen/>
        <w:t>возка излишни", — указывалось в от</w:t>
      </w:r>
      <w:r w:rsidRPr="00070ADE">
        <w:rPr>
          <w:rFonts w:ascii="Times New Roman" w:hAnsi="Times New Roman"/>
          <w:color w:val="000000" w:themeColor="text1"/>
          <w:sz w:val="16"/>
          <w:szCs w:val="16"/>
        </w:rPr>
        <w:softHyphen/>
        <w:t>чете по испытаниям.</w:t>
      </w:r>
    </w:p>
    <w:p w14:paraId="2D4130F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Было решено готовить машину к государственным испытаниям. В этой связи 22 февраля на самолете был установлен винт диаметром 4,0 м и изменена компенсация элеронов с целью снижения нагрузок на ручку управления. Пробный полет показал, что новый винт "погоды не делает". Его срочно заменили "старым" про</w:t>
      </w:r>
      <w:r w:rsidRPr="00070ADE">
        <w:rPr>
          <w:rFonts w:ascii="Times New Roman" w:hAnsi="Times New Roman"/>
          <w:color w:val="000000" w:themeColor="text1"/>
          <w:sz w:val="16"/>
          <w:szCs w:val="16"/>
        </w:rPr>
        <w:softHyphen/>
        <w:t>веренным винтом АВ-5л-18Б, с кото</w:t>
      </w:r>
      <w:r w:rsidRPr="00070ADE">
        <w:rPr>
          <w:rFonts w:ascii="Times New Roman" w:hAnsi="Times New Roman"/>
          <w:color w:val="000000" w:themeColor="text1"/>
          <w:sz w:val="16"/>
          <w:szCs w:val="16"/>
        </w:rPr>
        <w:softHyphen/>
        <w:t>рым Ил-АМ-42 (экз. № 1) 26 февра</w:t>
      </w:r>
      <w:r w:rsidRPr="00070ADE">
        <w:rPr>
          <w:rFonts w:ascii="Times New Roman" w:hAnsi="Times New Roman"/>
          <w:color w:val="000000" w:themeColor="text1"/>
          <w:sz w:val="16"/>
          <w:szCs w:val="16"/>
        </w:rPr>
        <w:softHyphen/>
        <w:t>ля перелетел на аэродром НИИ ВВС, где официально был передан воен</w:t>
      </w:r>
      <w:r w:rsidRPr="00070ADE">
        <w:rPr>
          <w:rFonts w:ascii="Times New Roman" w:hAnsi="Times New Roman"/>
          <w:color w:val="000000" w:themeColor="text1"/>
          <w:sz w:val="16"/>
          <w:szCs w:val="16"/>
        </w:rPr>
        <w:softHyphen/>
        <w:t>ным специалистам для производства государственных летных испытаний (11427).</w:t>
      </w:r>
    </w:p>
    <w:p w14:paraId="38FFE5B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1C9EF5" w14:textId="481417C2"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22 февраля 1944 несмотря на неустойчивую работу мотора АМ-42, опытный разведчик-корректировщик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все же сумел успешно завершить программу заводских испытаний. Летал начальник ЛИС завода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240 генерал-майор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Коккинаки. Испытания обеспечивались бригадой в составе ведущего инженера по испытаниям 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Виноградова, инженера по винтомоторной группе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Семенова и бортмеханика самолета 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Б.</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Кюсса. В общей сложности в период с 10 мая 1943 года по 22 февраля 1944-го было выполнено 40 полетов с суммарным налетом 21</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 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мин.</w:t>
      </w:r>
    </w:p>
    <w:p w14:paraId="010AF20D" w14:textId="6E8D66FF"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полетном весе 7200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с винтом АВ-5 л-18Б была получена довольно высокая скорость горизонтального полета: 470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на высоте 2240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и 434,5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у земли. Вертикальная скорость у земли составила 8,32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м/с, а время подъема на высоту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1,97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мин. Это были неплохие результаты. Как отмечал Коккинаки, «на всех режимах полета чувствуется большой запас мощности».</w:t>
      </w:r>
    </w:p>
    <w:p w14:paraId="1BF4966C"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имел удовлетворительную устойчивость по всем направлениям. При соответствующей балансировке триммером самолет позволял полет с брошенной ручкой управления. Виражил и пикировал устойчиво, без рысканий. Это обеспечивало лучшие условия для прицеливания и стрельбы.</w:t>
      </w:r>
    </w:p>
    <w:p w14:paraId="113B5B78" w14:textId="62D9955F"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пилотировании Ил-АМ-42 ничем не отличается от Ил-2. Для вылета на Ил-АМ-42 обучение и вывозка излишни»,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указывалось в отчете по испытаниям.</w:t>
      </w:r>
    </w:p>
    <w:p w14:paraId="2D30CC58" w14:textId="13D390F8"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Было решено готовить машину к государственным испытаниям. В этой связи 22 февраля на самолете установили винт диаметром 4,0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а также изменили компенсацию элеронов с целью снижения нагрузок на ручку управления. Пробный полет показал, что новый винт «погоды не делает». Его срочно заменили «старым» проверенным винтом АВ-5 л-18Б, с которым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26 февраля перелетел на аэродром НИИ ВВС.</w:t>
      </w:r>
    </w:p>
    <w:p w14:paraId="441C2193" w14:textId="5552F6A9"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начальника НИИ ВВС для производства государственных летных испытаний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ведущим летчиком по самолету был назначен летчик-испытатель подполковник 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Долгов, а ведущим инженером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инженер-майор 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Аброщенко. В состав испытательной бригады вошли также инженер-капитан 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Наливкин (по винтомоторной группе), старший техник-лейтенант 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Матвеев (по спецоборудованию) и инженер-майор К.</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Романов (по вооружению) (17490).</w:t>
      </w:r>
    </w:p>
    <w:p w14:paraId="0640DF2F" w14:textId="77777777" w:rsidR="005C20A0" w:rsidRPr="00070ADE" w:rsidRDefault="005C20A0" w:rsidP="00B56F90">
      <w:pPr>
        <w:spacing w:after="0" w:line="240" w:lineRule="auto"/>
        <w:jc w:val="both"/>
        <w:rPr>
          <w:rFonts w:ascii="Times New Roman" w:hAnsi="Times New Roman"/>
          <w:color w:val="000000" w:themeColor="text1"/>
          <w:sz w:val="16"/>
          <w:szCs w:val="16"/>
        </w:rPr>
      </w:pPr>
    </w:p>
    <w:p w14:paraId="01BEB08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22 февраля 1944 несмотря на неустойчивую работу мотора АМ-42, разведчик-корректировщик Ил-АМ-42 экз. №1 сумел успешно завершить программу заводских испытаний. Через четыре дня самолет перелетел на аэродром НИИ ВВС, где до 8 апреля проходил государственные испытания.</w:t>
      </w:r>
    </w:p>
    <w:p w14:paraId="0B878D4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первую очередь определялись летно-технические данные в варианте штурмовика-бомбардировщика и только затем - в варианте разведчика-корректировщика. Как показали полеты, основные данные Ил-АМ-42 заметно превосходили Ил-2 АМ-38ф, хотя, по мнению военных, уже не отвечали в полном объеме требованиям.</w:t>
      </w:r>
    </w:p>
    <w:p w14:paraId="6A42B86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Ил-АМ-42 имел удовлетворительную устойчивость по всем направлениям. Самолет позволял полет с брошенной ручкой управления. Виражил и пикировал устойчиво, без рысканий. Это обеспечивало лучшие условия для прицеливания и стрельбы.</w:t>
      </w:r>
    </w:p>
    <w:p w14:paraId="1CA9245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тоже время указывались и ряд серьезных недостатков. В частности, не доведена система заполнения бензобаков нейтральным газом. Заднюю бронеперегородку штурмана предлагалось сделать экранированной - две бронеплиты по 8 мм, и обеспечить защиту его головы бронестеклом.</w:t>
      </w:r>
    </w:p>
    <w:p w14:paraId="1FE3315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Оказалось, что при посадке на фюзеляж штурман выбраться из своей кабины не сможет, "так как фонарь летчика при открытии надвигается на фонарь штурмана".</w:t>
      </w:r>
    </w:p>
    <w:p w14:paraId="69E8780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ни летчик, ни штурман не могли прицельно сбросить бомбы.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 - штурман, "что требует соответствующей методической проработки".</w:t>
      </w:r>
    </w:p>
    <w:p w14:paraId="1651587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дополнение к этому, бомбовый прицел штурмана в полете нещадно забрызгивался маслом, которое выбивалось из-под уплот- нительного кольца втулки винта и носка коленчатого вала мотора. Установка маслоотражателей проблемы не решило.</w:t>
      </w:r>
    </w:p>
    <w:p w14:paraId="49BBC8B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Работой оборонительной установки ВУ-8 с пулеметом УБК и ее возможностями в бою военные испытатели остались недовольны.</w:t>
      </w:r>
    </w:p>
    <w:p w14:paraId="440FD52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Предъявлялись претензии и к спецоборудованию самолета.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 - "летчик и штурман совмещают лишние функции".</w:t>
      </w:r>
    </w:p>
    <w:p w14:paraId="2E70BCE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недостатки, Ил-АМ-42 был рекомендован для постановки в серийное производство. При этом в сопроводительной записке к Акту по госиспытаниям от 12 апреля самолет уже именовался как Ил-8 АМ-42.</w:t>
      </w:r>
    </w:p>
    <w:p w14:paraId="360C39F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Надо сказать, к этому времени сложилась весьма непростая ситуация. Очевидно, что результаты испытаний Ил-8 не могли удовлетворить военных в полном объеме - ни штурмовик, ни бомбардировщик. В то же время испытания штурмовика Су-6 проходили очень сложно по причине плохой работы, установленного на самолете экземпляра мотора АМ-42.</w:t>
      </w:r>
    </w:p>
    <w:p w14:paraId="0E19AF1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сложившейся обстановке ВВС сделали попытку вернуться к первоначальной цельнометаллической конструкции Ил-2. Это позволяло улучшить боевые и эксплуатационные качества самолета и несколько разрядить напряженность в вопросе постановки на вооружение штурмовика, отвечающего современным требованиям (12020).</w:t>
      </w:r>
    </w:p>
    <w:p w14:paraId="0A5E31A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AA3FE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февраля 1944 на самолете Ил-АМ-42 был установлен винт диаметром 4,0 м и изменена компенсация элеронов с целью снижения нагрузок на ручку управления. Пробный полет показал, что новый винт "погоды не делает". Его срочно заменили "старым" про</w:t>
      </w:r>
      <w:r w:rsidRPr="00070ADE">
        <w:rPr>
          <w:rFonts w:ascii="Times New Roman" w:hAnsi="Times New Roman"/>
          <w:color w:val="000000" w:themeColor="text1"/>
          <w:sz w:val="16"/>
          <w:szCs w:val="16"/>
        </w:rPr>
        <w:softHyphen/>
        <w:t>веренным винтом АВ-5л-18Б, с кото</w:t>
      </w:r>
      <w:r w:rsidRPr="00070ADE">
        <w:rPr>
          <w:rFonts w:ascii="Times New Roman" w:hAnsi="Times New Roman"/>
          <w:color w:val="000000" w:themeColor="text1"/>
          <w:sz w:val="16"/>
          <w:szCs w:val="16"/>
        </w:rPr>
        <w:softHyphen/>
        <w:t>рым Ил-АМ-42 (экз. № 1) 26 февра</w:t>
      </w:r>
      <w:r w:rsidRPr="00070ADE">
        <w:rPr>
          <w:rFonts w:ascii="Times New Roman" w:hAnsi="Times New Roman"/>
          <w:color w:val="000000" w:themeColor="text1"/>
          <w:sz w:val="16"/>
          <w:szCs w:val="16"/>
        </w:rPr>
        <w:softHyphen/>
        <w:t>ля перелетел на аэродром НИИ ВВС, где официально был передан воен</w:t>
      </w:r>
      <w:r w:rsidRPr="00070ADE">
        <w:rPr>
          <w:rFonts w:ascii="Times New Roman" w:hAnsi="Times New Roman"/>
          <w:color w:val="000000" w:themeColor="text1"/>
          <w:sz w:val="16"/>
          <w:szCs w:val="16"/>
        </w:rPr>
        <w:softHyphen/>
        <w:t>ным специалистам для производства государственных летных испытаний (11427).</w:t>
      </w:r>
    </w:p>
    <w:p w14:paraId="6061BA5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3711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февраля 1944 г. Летчик-испытатель ГИ. Комаров начал проводить заводские летные испытания Су-6 АМ-42. На самолете устано</w:t>
      </w:r>
      <w:r w:rsidRPr="00070ADE">
        <w:rPr>
          <w:rFonts w:ascii="Times New Roman" w:hAnsi="Times New Roman"/>
          <w:color w:val="000000" w:themeColor="text1"/>
          <w:sz w:val="16"/>
          <w:szCs w:val="16"/>
        </w:rPr>
        <w:softHyphen/>
        <w:t>вили две пушки ОКБ-16 (96 снарядов), два пулемета ШКАС (1350 патронов) - один пулемет УБТ (196 патронов). Целью испытаний были: отработка ВМГ, изуче</w:t>
      </w:r>
      <w:r w:rsidRPr="00070ADE">
        <w:rPr>
          <w:rFonts w:ascii="Times New Roman" w:hAnsi="Times New Roman"/>
          <w:color w:val="000000" w:themeColor="text1"/>
          <w:sz w:val="16"/>
          <w:szCs w:val="16"/>
        </w:rPr>
        <w:softHyphen/>
        <w:t>ние поведения самолета на сверхмакси</w:t>
      </w:r>
      <w:r w:rsidRPr="00070ADE">
        <w:rPr>
          <w:rFonts w:ascii="Times New Roman" w:hAnsi="Times New Roman"/>
          <w:color w:val="000000" w:themeColor="text1"/>
          <w:sz w:val="16"/>
          <w:szCs w:val="16"/>
        </w:rPr>
        <w:softHyphen/>
        <w:t>мальных скоростях, качественная оценка нагрузок на органы управления, получе</w:t>
      </w:r>
      <w:r w:rsidRPr="00070ADE">
        <w:rPr>
          <w:rFonts w:ascii="Times New Roman" w:hAnsi="Times New Roman"/>
          <w:color w:val="000000" w:themeColor="text1"/>
          <w:sz w:val="16"/>
          <w:szCs w:val="16"/>
        </w:rPr>
        <w:softHyphen/>
        <w:t>ние основных летных характеристик, лет-но-тактическая и эксплуатационная оценка. Всего за период с 22 февраля по 21 марта было совершено 8 полетов с об</w:t>
      </w:r>
      <w:r w:rsidRPr="00070ADE">
        <w:rPr>
          <w:rFonts w:ascii="Times New Roman" w:hAnsi="Times New Roman"/>
          <w:color w:val="000000" w:themeColor="text1"/>
          <w:sz w:val="16"/>
          <w:szCs w:val="16"/>
        </w:rPr>
        <w:softHyphen/>
        <w:t>щим налетом 4 часа 20 минут. Получены следующие летные данные: максималь</w:t>
      </w:r>
      <w:r w:rsidRPr="00070ADE">
        <w:rPr>
          <w:rFonts w:ascii="Times New Roman" w:hAnsi="Times New Roman"/>
          <w:color w:val="000000" w:themeColor="text1"/>
          <w:sz w:val="16"/>
          <w:szCs w:val="16"/>
        </w:rPr>
        <w:softHyphen/>
        <w:t>ная скорость у земли - 490 км/ч, длина разбега - 420 метров, скорость отрыва -170 - 180 км/ч, скорость планирования (с отклоненными щитками) - 230 - 240 км/ч, скорость на высоте 380 м - 497 км/ч. ВМГ на всех режимах работала устой</w:t>
      </w:r>
      <w:r w:rsidRPr="00070ADE">
        <w:rPr>
          <w:rFonts w:ascii="Times New Roman" w:hAnsi="Times New Roman"/>
          <w:color w:val="000000" w:themeColor="text1"/>
          <w:sz w:val="16"/>
          <w:szCs w:val="16"/>
        </w:rPr>
        <w:softHyphen/>
        <w:t>чиво. При пикировании (на сверхмакси</w:t>
      </w:r>
      <w:r w:rsidRPr="00070ADE">
        <w:rPr>
          <w:rFonts w:ascii="Times New Roman" w:hAnsi="Times New Roman"/>
          <w:color w:val="000000" w:themeColor="text1"/>
          <w:sz w:val="16"/>
          <w:szCs w:val="16"/>
        </w:rPr>
        <w:softHyphen/>
        <w:t>мальной скорости) показатель доходил до 530 км/ч. В поведении самолета от</w:t>
      </w:r>
      <w:r w:rsidRPr="00070ADE">
        <w:rPr>
          <w:rFonts w:ascii="Times New Roman" w:hAnsi="Times New Roman"/>
          <w:color w:val="000000" w:themeColor="text1"/>
          <w:sz w:val="16"/>
          <w:szCs w:val="16"/>
        </w:rPr>
        <w:softHyphen/>
        <w:t>клонений не было. Для уменьшения на</w:t>
      </w:r>
      <w:r w:rsidRPr="00070ADE">
        <w:rPr>
          <w:rFonts w:ascii="Times New Roman" w:hAnsi="Times New Roman"/>
          <w:color w:val="000000" w:themeColor="text1"/>
          <w:sz w:val="16"/>
          <w:szCs w:val="16"/>
        </w:rPr>
        <w:softHyphen/>
        <w:t>грузок на ручку и педали управления от рулей были изменены осевые и роговые компенсации. В заключении отчета о проведении за</w:t>
      </w:r>
      <w:r w:rsidRPr="00070ADE">
        <w:rPr>
          <w:rFonts w:ascii="Times New Roman" w:hAnsi="Times New Roman"/>
          <w:color w:val="000000" w:themeColor="text1"/>
          <w:sz w:val="16"/>
          <w:szCs w:val="16"/>
        </w:rPr>
        <w:softHyphen/>
        <w:t>водских летных испытаний, составлен</w:t>
      </w:r>
      <w:r w:rsidRPr="00070ADE">
        <w:rPr>
          <w:rFonts w:ascii="Times New Roman" w:hAnsi="Times New Roman"/>
          <w:color w:val="000000" w:themeColor="text1"/>
          <w:sz w:val="16"/>
          <w:szCs w:val="16"/>
        </w:rPr>
        <w:softHyphen/>
        <w:t>ном начальником ЛИС Е.С. Фельснером, ведущим инженером В. П. Балуевым, ве</w:t>
      </w:r>
      <w:r w:rsidRPr="00070ADE">
        <w:rPr>
          <w:rFonts w:ascii="Times New Roman" w:hAnsi="Times New Roman"/>
          <w:color w:val="000000" w:themeColor="text1"/>
          <w:sz w:val="16"/>
          <w:szCs w:val="16"/>
        </w:rPr>
        <w:softHyphen/>
        <w:t>дущим летчиком Г. И. Комаровым и утвержденном П. О. Сухим, говорилось, что самолет Су-6 с АМ-42 может быть пе</w:t>
      </w:r>
      <w:r w:rsidRPr="00070ADE">
        <w:rPr>
          <w:rFonts w:ascii="Times New Roman" w:hAnsi="Times New Roman"/>
          <w:color w:val="000000" w:themeColor="text1"/>
          <w:sz w:val="16"/>
          <w:szCs w:val="16"/>
        </w:rPr>
        <w:softHyphen/>
        <w:t>редан на госиспытания (10718).</w:t>
      </w:r>
    </w:p>
    <w:p w14:paraId="7BB939E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8D5E51" w14:textId="77777777" w:rsidR="009F5230" w:rsidRPr="00070ADE" w:rsidRDefault="009F523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февраля 1944 официально начались за</w:t>
      </w:r>
      <w:r w:rsidRPr="00070ADE">
        <w:rPr>
          <w:rFonts w:ascii="Times New Roman" w:hAnsi="Times New Roman"/>
          <w:color w:val="000000" w:themeColor="text1"/>
          <w:sz w:val="16"/>
          <w:szCs w:val="16"/>
        </w:rPr>
        <w:softHyphen/>
        <w:t>водские летные испытания Су-6 с АМ-42. Ведущим ин</w:t>
      </w:r>
      <w:r w:rsidRPr="00070ADE">
        <w:rPr>
          <w:rFonts w:ascii="Times New Roman" w:hAnsi="Times New Roman"/>
          <w:color w:val="000000" w:themeColor="text1"/>
          <w:sz w:val="16"/>
          <w:szCs w:val="16"/>
        </w:rPr>
        <w:softHyphen/>
        <w:t>женером был В.П. Балуев, ведущим летчи</w:t>
      </w:r>
      <w:r w:rsidRPr="00070ADE">
        <w:rPr>
          <w:rFonts w:ascii="Times New Roman" w:hAnsi="Times New Roman"/>
          <w:color w:val="000000" w:themeColor="text1"/>
          <w:sz w:val="16"/>
          <w:szCs w:val="16"/>
        </w:rPr>
        <w:softHyphen/>
        <w:t>ком - Г.И. Комаров.</w:t>
      </w:r>
    </w:p>
    <w:p w14:paraId="5A68237D" w14:textId="77777777" w:rsidR="009F5230" w:rsidRPr="00070ADE" w:rsidRDefault="009F523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6 дней выполнили че</w:t>
      </w:r>
      <w:r w:rsidRPr="00070ADE">
        <w:rPr>
          <w:rFonts w:ascii="Times New Roman" w:hAnsi="Times New Roman"/>
          <w:color w:val="000000" w:themeColor="text1"/>
          <w:sz w:val="16"/>
          <w:szCs w:val="16"/>
        </w:rPr>
        <w:softHyphen/>
        <w:t>тыре полета на отработку винтомоторной группы, в том числе один полет на высоту 4500 м. Мотор и системы на всех режимах работали устойчиво. Имело место только выбрасывание масла из-под носка вала редуктора. С этим дефектом пришлось по</w:t>
      </w:r>
      <w:r w:rsidRPr="00070ADE">
        <w:rPr>
          <w:rFonts w:ascii="Times New Roman" w:hAnsi="Times New Roman"/>
          <w:color w:val="000000" w:themeColor="text1"/>
          <w:sz w:val="16"/>
          <w:szCs w:val="16"/>
        </w:rPr>
        <w:softHyphen/>
        <w:t>возиться.</w:t>
      </w:r>
    </w:p>
    <w:p w14:paraId="682658FC" w14:textId="77777777" w:rsidR="009F5230" w:rsidRPr="00070ADE" w:rsidRDefault="009F523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до 21 марта на Су-6 АМ-42 уда</w:t>
      </w:r>
      <w:r w:rsidRPr="00070ADE">
        <w:rPr>
          <w:rFonts w:ascii="Times New Roman" w:hAnsi="Times New Roman"/>
          <w:color w:val="000000" w:themeColor="text1"/>
          <w:sz w:val="16"/>
          <w:szCs w:val="16"/>
        </w:rPr>
        <w:softHyphen/>
        <w:t>лось выполнить 8 полетов с суммарным налетом 4 ч 50 мин. Были получены не</w:t>
      </w:r>
      <w:r w:rsidRPr="00070ADE">
        <w:rPr>
          <w:rFonts w:ascii="Times New Roman" w:hAnsi="Times New Roman"/>
          <w:color w:val="000000" w:themeColor="text1"/>
          <w:sz w:val="16"/>
          <w:szCs w:val="16"/>
        </w:rPr>
        <w:softHyphen/>
        <w:t>плохие летные данные. Максимальная скорость у земли достигала 490 км/ч. Раз</w:t>
      </w:r>
      <w:r w:rsidRPr="00070ADE">
        <w:rPr>
          <w:rFonts w:ascii="Times New Roman" w:hAnsi="Times New Roman"/>
          <w:color w:val="000000" w:themeColor="text1"/>
          <w:sz w:val="16"/>
          <w:szCs w:val="16"/>
        </w:rPr>
        <w:softHyphen/>
        <w:t>бег составил 420 м. При пикировании скорость доводилась до 530 км/ч по при</w:t>
      </w:r>
      <w:r w:rsidRPr="00070ADE">
        <w:rPr>
          <w:rFonts w:ascii="Times New Roman" w:hAnsi="Times New Roman"/>
          <w:color w:val="000000" w:themeColor="text1"/>
          <w:sz w:val="16"/>
          <w:szCs w:val="16"/>
        </w:rPr>
        <w:softHyphen/>
        <w:t>бору. Самолет вел себя устойчиво. Ника</w:t>
      </w:r>
      <w:r w:rsidRPr="00070ADE">
        <w:rPr>
          <w:rFonts w:ascii="Times New Roman" w:hAnsi="Times New Roman"/>
          <w:color w:val="000000" w:themeColor="text1"/>
          <w:sz w:val="16"/>
          <w:szCs w:val="16"/>
        </w:rPr>
        <w:softHyphen/>
        <w:t>ких ненормальностей не наблюдалось.</w:t>
      </w:r>
    </w:p>
    <w:p w14:paraId="2230AEF0" w14:textId="77777777" w:rsidR="009F5230" w:rsidRPr="00070ADE" w:rsidRDefault="009F523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уменьшения нагрузок на ручку управ</w:t>
      </w:r>
      <w:r w:rsidRPr="00070ADE">
        <w:rPr>
          <w:rFonts w:ascii="Times New Roman" w:hAnsi="Times New Roman"/>
          <w:color w:val="000000" w:themeColor="text1"/>
          <w:sz w:val="16"/>
          <w:szCs w:val="16"/>
        </w:rPr>
        <w:softHyphen/>
        <w:t>ления самолетом и педали от рулей не</w:t>
      </w:r>
      <w:r w:rsidRPr="00070ADE">
        <w:rPr>
          <w:rFonts w:ascii="Times New Roman" w:hAnsi="Times New Roman"/>
          <w:color w:val="000000" w:themeColor="text1"/>
          <w:sz w:val="16"/>
          <w:szCs w:val="16"/>
        </w:rPr>
        <w:softHyphen/>
        <w:t>сколько изменили роговую и осевую ком</w:t>
      </w:r>
      <w:r w:rsidRPr="00070ADE">
        <w:rPr>
          <w:rFonts w:ascii="Times New Roman" w:hAnsi="Times New Roman"/>
          <w:color w:val="000000" w:themeColor="text1"/>
          <w:sz w:val="16"/>
          <w:szCs w:val="16"/>
        </w:rPr>
        <w:softHyphen/>
        <w:t>пенсации. Вместе с тем отмечалось, что «мотор работает богато», а свечи ВГ-27 обеспечивают нормальную работу мотора только в течение 2 ч, после чего их при</w:t>
      </w:r>
      <w:r w:rsidRPr="00070ADE">
        <w:rPr>
          <w:rFonts w:ascii="Times New Roman" w:hAnsi="Times New Roman"/>
          <w:color w:val="000000" w:themeColor="text1"/>
          <w:sz w:val="16"/>
          <w:szCs w:val="16"/>
        </w:rPr>
        <w:softHyphen/>
        <w:t>ходится менять.</w:t>
      </w:r>
    </w:p>
    <w:p w14:paraId="40B3FC89" w14:textId="77777777" w:rsidR="009F5230" w:rsidRPr="00070ADE" w:rsidRDefault="009F523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решили передать на госу</w:t>
      </w:r>
      <w:r w:rsidRPr="00070ADE">
        <w:rPr>
          <w:rFonts w:ascii="Times New Roman" w:hAnsi="Times New Roman"/>
          <w:color w:val="000000" w:themeColor="text1"/>
          <w:sz w:val="16"/>
          <w:szCs w:val="16"/>
        </w:rPr>
        <w:softHyphen/>
        <w:t>дарственные испытания. Однако 29 марта при жесткой посадке на аэродром Чкаловская (ГК НИИ ВВС) хвостовая часть и оперение получили серьезные поврежде</w:t>
      </w:r>
      <w:r w:rsidRPr="00070ADE">
        <w:rPr>
          <w:rFonts w:ascii="Times New Roman" w:hAnsi="Times New Roman"/>
          <w:color w:val="000000" w:themeColor="text1"/>
          <w:sz w:val="16"/>
          <w:szCs w:val="16"/>
        </w:rPr>
        <w:softHyphen/>
        <w:t>ния. Самолет перевезли на завод №289 для ремонта. (19853).</w:t>
      </w:r>
    </w:p>
    <w:p w14:paraId="53EBFB52" w14:textId="77777777" w:rsidR="009F5230" w:rsidRPr="00070ADE" w:rsidRDefault="009F5230" w:rsidP="00B56F90">
      <w:pPr>
        <w:spacing w:after="0" w:line="240" w:lineRule="auto"/>
        <w:jc w:val="both"/>
        <w:rPr>
          <w:rFonts w:ascii="Times New Roman" w:hAnsi="Times New Roman"/>
          <w:color w:val="000000" w:themeColor="text1"/>
          <w:sz w:val="16"/>
          <w:szCs w:val="16"/>
        </w:rPr>
      </w:pPr>
    </w:p>
    <w:p w14:paraId="0BF002F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февраля 1944 официально начались заводские испытания. Испытания проводили ведущий инженер В. П. Балуев, веду</w:t>
      </w:r>
      <w:r w:rsidRPr="00070ADE">
        <w:rPr>
          <w:rFonts w:ascii="Times New Roman" w:hAnsi="Times New Roman"/>
          <w:color w:val="000000" w:themeColor="text1"/>
          <w:sz w:val="16"/>
          <w:szCs w:val="16"/>
        </w:rPr>
        <w:softHyphen/>
        <w:t>щий летчик Г.И. Комаров. Однако при первом же опробовании мотора на земле про</w:t>
      </w:r>
      <w:r w:rsidRPr="00070ADE">
        <w:rPr>
          <w:rFonts w:ascii="Times New Roman" w:hAnsi="Times New Roman"/>
          <w:color w:val="000000" w:themeColor="text1"/>
          <w:sz w:val="16"/>
          <w:szCs w:val="16"/>
        </w:rPr>
        <w:softHyphen/>
        <w:t>изошел разрыв водорадиатора по обчайке из-за повышенного давления в водосистеме — 4 атм вместо 2—2,5 атм. Уже к 28 февраля самолет был полностью подготовлен к передаче на ЛИС завода для продолжения заводских испытаний. За это время на самолет «временно до изготовления главным конст</w:t>
      </w:r>
      <w:r w:rsidRPr="00070ADE">
        <w:rPr>
          <w:rFonts w:ascii="Times New Roman" w:hAnsi="Times New Roman"/>
          <w:color w:val="000000" w:themeColor="text1"/>
          <w:sz w:val="16"/>
          <w:szCs w:val="16"/>
        </w:rPr>
        <w:softHyphen/>
        <w:t>руктором мотора Микулиным водопомпы нормальной про</w:t>
      </w:r>
      <w:r w:rsidRPr="00070ADE">
        <w:rPr>
          <w:rFonts w:ascii="Times New Roman" w:hAnsi="Times New Roman"/>
          <w:color w:val="000000" w:themeColor="text1"/>
          <w:sz w:val="16"/>
          <w:szCs w:val="16"/>
        </w:rPr>
        <w:softHyphen/>
        <w:t>качки» установили дроссельные заслонки перед входом в водо-радиатор, снижающие давление в водосистеме до требуемых норм. Кроме того, радиаторным заводом изготовлен радиатор повышенной прочности.</w:t>
      </w:r>
    </w:p>
    <w:p w14:paraId="11AF0E8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до 21 марта на Су-6 АМ-42 удалось выполнить 8 полетов с суммарным налетом 4 ч 50 мин. Были получены неплохие летные данные. Максимальная скорость у земли составила 490 км/ч. Длина разбега — 420 м.</w:t>
      </w:r>
    </w:p>
    <w:p w14:paraId="03CE40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Винтомоторная группа на всех режимах работала устойчиво. При пикировании скорость достигала 530 км/ч по прибору. Самолет вел себя устойчиво. Никаких ненормальностей не наблюдалось. Для уменьшения нагрузок на ручку управления самалетоми педали от рулей несколько изменили роговую и осевую компенсации.</w:t>
      </w:r>
    </w:p>
    <w:p w14:paraId="1A8732E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Вместе с тем отмечалось, что «мотор работает богато», а свечи ВГ-27 обеспечивают нормальную работу мотора только в течение 2 ч, после чего их приходится заменять.</w:t>
      </w:r>
    </w:p>
    <w:p w14:paraId="4FB7C37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целом по летным и эксплуатационным данным самолет оценили положительно. Бьшо решено передать его на государ</w:t>
      </w:r>
      <w:r w:rsidRPr="00070ADE">
        <w:rPr>
          <w:rFonts w:ascii="Times New Roman" w:hAnsi="Times New Roman"/>
          <w:color w:val="000000" w:themeColor="text1"/>
          <w:sz w:val="16"/>
          <w:szCs w:val="16"/>
        </w:rPr>
        <w:softHyphen/>
        <w:t>ственные испытания (11474,434).</w:t>
      </w:r>
    </w:p>
    <w:p w14:paraId="57D1C0D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E086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с 22 февраля по 21 марта 1944 года заводской летчик-испыта'тель Г.И.Комаров и ведущий инженер В.П.Балуев выполнили на самолете Су-6 АМ-42 программу заводских летных испытаний (11845).</w:t>
      </w:r>
    </w:p>
    <w:p w14:paraId="54986A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455444" w14:textId="77777777" w:rsidR="005C20A0" w:rsidRPr="00070ADE" w:rsidRDefault="005C20A0"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22 февраля 1944 официально начались заводские ис</w:t>
      </w:r>
      <w:r w:rsidRPr="00070ADE">
        <w:rPr>
          <w:color w:val="000000" w:themeColor="text1"/>
          <w:sz w:val="16"/>
          <w:szCs w:val="16"/>
        </w:rPr>
        <w:softHyphen/>
        <w:t>пытания Су-6 АМ-42. Испытания проводили ведущий инженер В. П. Балуев, ведущий летчик Г. И. Комаров.</w:t>
      </w:r>
    </w:p>
    <w:p w14:paraId="5CBEBE32" w14:textId="77777777" w:rsidR="005C20A0" w:rsidRPr="00070ADE" w:rsidRDefault="005C20A0"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Всего до 21 марта на Су-6 АМ-42 удалось вы</w:t>
      </w:r>
      <w:r w:rsidRPr="00070ADE">
        <w:rPr>
          <w:color w:val="000000" w:themeColor="text1"/>
          <w:sz w:val="16"/>
          <w:szCs w:val="16"/>
        </w:rPr>
        <w:softHyphen/>
        <w:t>полнить всего 8 полетов с суммарным налетом 4 ч 50 мин. Были получены неплохие летные дан</w:t>
      </w:r>
      <w:r w:rsidRPr="00070ADE">
        <w:rPr>
          <w:color w:val="000000" w:themeColor="text1"/>
          <w:sz w:val="16"/>
          <w:szCs w:val="16"/>
        </w:rPr>
        <w:softHyphen/>
        <w:t>ные. Максимальная скорость у земли составила 490 км/ч. Длина разбега — 420 м (17500).</w:t>
      </w:r>
    </w:p>
    <w:p w14:paraId="1C9369FE" w14:textId="77777777" w:rsidR="005C20A0" w:rsidRPr="00070ADE" w:rsidRDefault="005C20A0" w:rsidP="00B56F90">
      <w:pPr>
        <w:spacing w:after="0" w:line="240" w:lineRule="auto"/>
        <w:jc w:val="both"/>
        <w:rPr>
          <w:rFonts w:ascii="Times New Roman" w:hAnsi="Times New Roman"/>
          <w:color w:val="000000" w:themeColor="text1"/>
          <w:sz w:val="16"/>
          <w:szCs w:val="16"/>
        </w:rPr>
      </w:pPr>
    </w:p>
    <w:p w14:paraId="5E5609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февраля 1944 вышел приказ НКАП N 123 "О выпуске 80 самолетов Як-9 (два полка) в варианте истребителя сопровождения с дальностью 2000 км. на заводе 153 в исполнение постановления ГКО N 5200 от 20 февраля 1944 (953,86).</w:t>
      </w:r>
    </w:p>
    <w:p w14:paraId="25B147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Приказываю:</w:t>
      </w:r>
    </w:p>
    <w:p w14:paraId="1D03FA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Воронину и ... изготовить и сдать ВВС КА 80 с-тов Як-9 (на два полка) в в варианте истребителя сопровождения с сохранением мак. Скорости с увеличением дальности на наивысшей скорости до 2000 км.</w:t>
      </w:r>
    </w:p>
    <w:p w14:paraId="3C9D0F8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1хШВАК и 1хБС</w:t>
      </w:r>
    </w:p>
    <w:p w14:paraId="706A88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изготовления 40 - к 15 мая 1944, остальных 40 - к 15 июня 1944 (953,86).</w:t>
      </w:r>
    </w:p>
    <w:p w14:paraId="42151F0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55464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февраля 1944 г. при снятии максимальных скоростей по высотам на Як-9 М-107А примерно на 5500 м разрушились коренные подшипники нагнетателя, что привело к заклиниванию мотора. Афанасий Григорьевич Прошаков проявил завидное самообладание и высокое летное мастерство. Мгновенно оценив ситуацию, он выключил мотор за несколько мгновений до того как тот загорелся, а затем точно спланировал на взлетную полосу. За сохранение ценной материальной части майору Прошакову объявили благодарность по институту и наградили именными часами.</w:t>
      </w:r>
    </w:p>
    <w:p w14:paraId="45753A9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серьезное летное происшествие, ведущий летчик-испытатель положительно оценивал машину (4842).</w:t>
      </w:r>
    </w:p>
    <w:p w14:paraId="3D5509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мнению Прошакова присоединились летчики облета А.Г.Кубышкин и Ю.А.Антипов. Последний писал: "По своим летно-тактическим данным: горизонтальной скорости и схоропольемност-и самолет Як-9У превосходит все известные отечественные и импортные истребители, а также немецкие Bf109G и FW190A. В технике пилотирования самолет так же прост, как и серийные Як-9...”</w:t>
      </w:r>
    </w:p>
    <w:p w14:paraId="024BBD7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итоги испытаний сформулировал а двух пунктах заключения начальник НИИ ВВС генерал-лейтенант П.А.Лосюков:</w:t>
      </w:r>
    </w:p>
    <w:p w14:paraId="2EAF16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 Опытный самолет Як-9У по основным летно-тактическим данным в диапазоне высот от земли до 6000 м является лучшим из известных отечественных и иностранных истребителей.</w:t>
      </w:r>
    </w:p>
    <w:p w14:paraId="0E03E7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Большое количество серьезных дефектов, особенно по винто-моторной группе, не позволяют нормально эксплуатировать самолет на всем диапазоне высот.” (4842).</w:t>
      </w:r>
    </w:p>
    <w:p w14:paraId="46C295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DD76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февраля 1944 С.П.К. завершил подготовку проекта тематического плана работ по реактивным установкам с двигателем РД-1 на 1944 г. (Там же, № 100, л. 2-22) (10676).</w:t>
      </w:r>
    </w:p>
    <w:p w14:paraId="181352D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85DAF4A" w14:textId="77777777" w:rsidR="00914045"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D1A71A9" w14:textId="77777777" w:rsidR="00914045" w:rsidRPr="00070ADE" w:rsidRDefault="00914045"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87610B"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февраля 1944 г.ЗАПИСКА И. В. КУРЧАТОВА СТАРШЕМУ ОПЕР</w:t>
      </w:r>
      <w:r w:rsidRPr="00070ADE">
        <w:rPr>
          <w:rFonts w:ascii="Times New Roman" w:hAnsi="Times New Roman"/>
          <w:color w:val="000000" w:themeColor="text1"/>
          <w:sz w:val="16"/>
          <w:szCs w:val="16"/>
        </w:rPr>
        <w:softHyphen/>
        <w:t>УПОЛНОМОЧЕННОМУ НКГБ СССР Е. М. ПОТАПОВОЙ О ДОПОЛНИТЕЛЬНЫХ СВЕДЕНИЯХ К ПОЛУЧЕННЫМ МАТЕРИАЛАМ «ПО ЗАВОДУ ТЯЖЕЛОЙ ВОДЫ»</w:t>
      </w:r>
    </w:p>
    <w:p w14:paraId="36A2DE8E"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Материал по заводу тяжелой воды был просмотрен мной и тов. Корнфельдом М. О.</w:t>
      </w:r>
    </w:p>
    <w:p w14:paraId="2140B54B"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Материал очень ценен, т. к. он дает схему производства методом элек</w:t>
      </w:r>
      <w:r w:rsidRPr="00070ADE">
        <w:rPr>
          <w:rFonts w:ascii="Times New Roman" w:hAnsi="Times New Roman"/>
          <w:color w:val="000000" w:themeColor="text1"/>
          <w:sz w:val="16"/>
          <w:szCs w:val="16"/>
        </w:rPr>
        <w:softHyphen/>
        <w:t>тролиза, в которой сложное и взрывоопасное сжигание газов может быть заменено изотопным обменом в реакционных колоннах.</w:t>
      </w:r>
    </w:p>
    <w:p w14:paraId="4A77D191"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Чрезвычайно важно было бы получить следующие дополнительные данные:</w:t>
      </w:r>
    </w:p>
    <w:p w14:paraId="71AF80EA"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отношение объема реакционной колонны к количеству пропуска</w:t>
      </w:r>
      <w:r w:rsidRPr="00070ADE">
        <w:rPr>
          <w:rFonts w:ascii="Times New Roman" w:hAnsi="Times New Roman"/>
          <w:color w:val="000000" w:themeColor="text1"/>
          <w:sz w:val="16"/>
          <w:szCs w:val="16"/>
        </w:rPr>
        <w:softHyphen/>
        <w:t>емого через нее в единицу времени (час или минуту) водорода;</w:t>
      </w:r>
    </w:p>
    <w:p w14:paraId="74F177A8"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более точную схему соединения электролизеров и реакционных колонн.</w:t>
      </w:r>
    </w:p>
    <w:p w14:paraId="6E886289"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Курчатов 22.02.44 г.</w:t>
      </w:r>
    </w:p>
    <w:p w14:paraId="01392160"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Экз. единственный</w:t>
      </w:r>
    </w:p>
    <w:p w14:paraId="07C2203E" w14:textId="69B6D63A"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документе имеется помета: «T.</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Трауру. Необходимо оценки полу</w:t>
      </w:r>
      <w:r w:rsidRPr="00070ADE">
        <w:rPr>
          <w:rFonts w:ascii="Times New Roman" w:hAnsi="Times New Roman"/>
          <w:color w:val="000000" w:themeColor="text1"/>
          <w:sz w:val="16"/>
          <w:szCs w:val="16"/>
        </w:rPr>
        <w:softHyphen/>
        <w:t>чать официальным] путем, а не в форме частных записок. Г. Овакимян. 26.11.44 г.»</w:t>
      </w:r>
    </w:p>
    <w:p w14:paraId="3D5B9F20"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[Помета:] «Т[ов.] Соловьеву [ ... ]. 28.11.44 г.»</w:t>
      </w:r>
    </w:p>
    <w:p w14:paraId="7EF4613B" w14:textId="4D8EC759"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Опубликовано: Атомный проект СССР. Документы и материалы.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3-х т. Т. 1. 1938 1945. Ч. 2. М., Изд. МФТИ, 2002. С. 36 (15493).</w:t>
      </w:r>
    </w:p>
    <w:p w14:paraId="00430B6D" w14:textId="77777777" w:rsidR="00914045" w:rsidRPr="00070ADE" w:rsidRDefault="00914045" w:rsidP="00B56F90">
      <w:pPr>
        <w:spacing w:after="0" w:line="240" w:lineRule="auto"/>
        <w:jc w:val="both"/>
        <w:rPr>
          <w:rFonts w:ascii="Times New Roman" w:hAnsi="Times New Roman"/>
          <w:color w:val="000000" w:themeColor="text1"/>
          <w:sz w:val="16"/>
          <w:szCs w:val="16"/>
        </w:rPr>
      </w:pPr>
    </w:p>
    <w:p w14:paraId="2719F2CC"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98437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4A803B"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22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5526298E"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22 февраля юго-западнее и южнее Луга наши войска вели наступательные бои, в ходе которых заняли несколько населённых пунктов и среди них Букино (10 клм. северо-восточнее Струги Красные), Сеглицы, Малые b Большие Льзи, Дертины, Боротно, Видони.</w:t>
      </w:r>
    </w:p>
    <w:p w14:paraId="3415096C"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озера Ильмень наши войска продолжали развивать успешное наступление и с боями заняли более 200 населённых пунктов, в том числе Дуброво, Эгребня, Апраксино, Морино, Сорокино, Михайловский (16 клм. восточнее Дно), Новое Панкратово, Крутец, Глухая Горушка, Барево, Переходы, Гусево, Вашкова, Большая и Малая Пухова и железнодорожные станции Мяково, Морино.</w:t>
      </w:r>
    </w:p>
    <w:p w14:paraId="26175019"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Холм наши войска с боями продвигались вперёд и заняли более 100 населённых пунктов, в том числе Мазуры, Горки Лесовые, Заход, Усадьба, Иванисово, Селебино, Палашутино.</w:t>
      </w:r>
    </w:p>
    <w:p w14:paraId="67689D15"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продолжая наступление, после ожесточённыхбоёв сломили сопротивление противника и 22 февраля штурмом овладели крупным промышленным центром Украины городом Кривой Рог.</w:t>
      </w:r>
    </w:p>
    <w:p w14:paraId="335F0BD7"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60560F72"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21 февраля наши войска на всех фронтах подбили и уничтожили 48 немецких танков. В воздушных боях и огнём зенитной артиллерии сбито 8 самолётов противника.</w:t>
      </w:r>
    </w:p>
    <w:p w14:paraId="609B682C"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озера Ильмень наши войска продолжали успешное наступление и заняли более 200 населённых пунктов. Противник контратаками пытался задержать продвижение советских войск, но был отброшен с большими для него потерями. Части Н-ского соединения, с боями продвигаясь вперёд, истребили до 800 немецких солдат и офицеров, уничтожили 6 танков и самоходных орудий. Захвачены у немцев 19 орудий, 66 пулемётов, 17 миномётов, несколько складов с боеприпасами и большой склад с горючим. В одном районе наш подвижной отряд прорвался в тыл противника и захватил 140 автомашин и повозок с различными грузами.</w:t>
      </w:r>
    </w:p>
    <w:p w14:paraId="44F83F12"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Холм наши войска с боями заняли более 100 населённых пунктов. Применяя смелые обходные манёвры, советские части громят узлы обороны немцев, уничтожают живую силу и технику противника. Бойцы Н-ского соединения, перехватив пути отступления немецко-фашистских войск, в течение дня уничтожили до 1.500 гитлеровцев. Захвачено 29 танков, 30 орудий, 70 пулеметов, 52 автомашины и другие трофеи. Взято в плен большое число немецких солдат и офицеров.</w:t>
      </w:r>
    </w:p>
    <w:p w14:paraId="02985C47"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продолжая наступление, вчера вышли на окраины города Кривой Рог и завязали бои на улицах заводских посёлков. Ожесточённые бои продолжались всю ночь. Противник предполагал, что основной удар будет нанесён с юго-востока, и стянул сюда свои главные силы. Тем временем советские части прорвались к северо-восточным окраинам города, форсировали реку Саксагань и стремительным ударом овладели опорными пунктами немцев, прикрывавшими Кривой Рог с севера. Сегодня наши войска атаковали противника с различных направлений иштурмом овладели крупным промышленным центром Украины городом Кривой Рог и районом Криворожских рудников. Противник понёс огромные потери в живой силе итехнике. На подступах к городу и на его улицах валяются тысячи вражеских трупов. Спасаясь бегством, остатки разгромленных частей противника бросили много орудий, миномётов, пулемётов и автомашин. Советские войска захватили крупные склады с военным имуществом.</w:t>
      </w:r>
    </w:p>
    <w:p w14:paraId="2A18AEE4"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партизанских отрядов, действующих в Витебской области, в течение одной ночи разгромили немецкие гарнизоны в 15 населённых пунктах. Убито и ранено свыше 400 гитлеровцев. В последние дни советские патриоты вели ожесточённые бои с пехотой и танками противника, предпринявшими поход против партизанских отрядов. В этих боях советские патриоты разгромили три роты гитлеровцев, подбили3 танка и взорвали два склада противника с боеприпасами.</w:t>
      </w:r>
    </w:p>
    <w:p w14:paraId="0FFA22EC"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Взятый в плен в районе Корсунь-Шевченковский командир 246 полка 88 немецкой пехотной дивизии подполковник Кристоф Флейман заявил: "Зажатые в кольце, части дивизии были перемолоты. Начиная с 15 февраля, полк, которым я командовал, перестал существовать, как единая воинская часть. Штаба у меня фактически не было, большинство офицеров выбыло из строя. Я не мог руководить рассеянными и деморализованными группами солдат и 16 февраля приказал уцелевшим офицерам и унтер-офицерам действовать на свой риск и страх. К этому времени в «котле»царила полная неразбериха. Единого командования, единого руководства уже не было. Каждый военачальник действовал по своему усмотрению. Разрозненные группы солдат сдавались в плен. Окружённые немецкие войска были разгромлены».</w:t>
      </w:r>
    </w:p>
    <w:p w14:paraId="0A1A63CC"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Потери противника и трофеи наших войск в результате ликвидации наступления немцев в районе южнее Звенигородка.</w:t>
      </w:r>
    </w:p>
    <w:p w14:paraId="31733518"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«Начиная с 5 февраля, немецкое командование, стянув с других участков фронта врайон юго-западнее Звенигородка 8 танковых и несколько пехотных дивизий, предприняло отчаянные попытки ударом извне прорваться к окружённым в районе Корсунь-Шевченковский немецким войскам.</w:t>
      </w:r>
    </w:p>
    <w:p w14:paraId="2BC8A519"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Ценой огромных потерь врагу удалось незначительно вклиниться в боевые порядки наших войск южнее Звенигородка. Как известно, встретив решительное сопротивление советских войск, истощив и обескровив себя в этих боях, немцы не смогли оказатьпомощи своей окружённой группировке, и 17 февраля она была полностью ликвидирована нашими войсками.</w:t>
      </w:r>
    </w:p>
    <w:p w14:paraId="4B727F95"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ликвидации группировки немцев, окружённой в районе Корсунь-Шевченковский, наши войска обрушили удар против немецких войск, пытавшихся помочь своим окружённым войскам, и в четырёхдневных боях нанесли немцам новое серьёзное поражение, превратившееся в разгром немцев.</w:t>
      </w:r>
    </w:p>
    <w:p w14:paraId="02954642"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боёв с 5 по 21 февраля наши войска нанесли немецким войскам, наступавшим из района южнее Звенигородка, следующие потери:</w:t>
      </w:r>
    </w:p>
    <w:p w14:paraId="33B4FE43"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Уничтожено: самолётов 329, танков 827, автомашин 1.638, орудий 446.</w:t>
      </w:r>
    </w:p>
    <w:p w14:paraId="418B113B"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Противник в этих боях потерял убитыми до 27.000 своих солдат и офицеров.</w:t>
      </w:r>
    </w:p>
    <w:p w14:paraId="0F20DA74"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Захвачено: танков 115, орудий 270, автомашин 1.850, бронетранспортёров и бронемашин 50, штабных автобусов 10.</w:t>
      </w:r>
    </w:p>
    <w:p w14:paraId="7A695BB2"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Взято пленных до 1.500 человек.».</w:t>
      </w:r>
    </w:p>
    <w:p w14:paraId="36EFA769"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Комедия в ставке Гитлера</w:t>
      </w:r>
    </w:p>
    <w:p w14:paraId="22F648C7"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февраля Верховное Главнокомандование Красной Армии объявило об окружении крупной группировки немецких войск в районе севернее Звенигородка-Шпола. Советское Информбюро ежедневно сообщало о ходе уничтожения окружённых немецких войск.</w:t>
      </w:r>
    </w:p>
    <w:p w14:paraId="5D52C7C4"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февраля сего года был издан приказ Верховного Главнокомандующего Красной Армии о завершении после ожесточённых четырнадцатидневных боёв операции по уничтожению 10 дивизий и одной бригады 8-й армии немцев, окружённых в районе Корсунь-Шевченковский. В этот же день Советское Информбюро опубликовало фактические данные об итогах этой блестяще проведённой нашими войсками операции по уничтожению крупной группировки вражеских войск. Немецкое командование упорно замалчивало факт окружения своих войск и даже трезвонило о каких-то успешных боях в этом районе.</w:t>
      </w:r>
    </w:p>
    <w:p w14:paraId="4BC6A35D"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1943 года, после уничтожения советскими войсками трёхсоттысячной немецко-фашистской армии под Сталинградом, верховное командование германской армии возымело смелость признать тяжёлое поражение своей армии на советско-германском фронте. Правящая гитлеровская клика объявила тогда по всей Германии трёхдневный траур по своей трёхсоттысячной армии, окружённой и уничтоженной советскими войсками у стен Сталинграда. Но теперь наступили другие времена, и гитлеровцы запели другие песни. Ныне гитлеровская клика, после тяжёлых поражений немецкой армии в течение истекшего года, не осмеливается более открыто признавать тяжёлые неудачи, постигшие немецкую армию на нашем фронте. Немецко-фашистская военная машина, поставленная Красной Армией на грань полного поражения, не может выдержать подобных признаний без серьёзных военно-политических потрясений. Понятно поэтому, в силу каких причин ставка Гитлера настойчиво скрывала от германской армии, немецкого народа и мирового общественного мнения как сам факт окружения более семидесяти тысяч немецко-фашистских войск севернее линии Звенигородка-Шпола, так и особенно факт их ликвидации Красной Армией.</w:t>
      </w:r>
    </w:p>
    <w:p w14:paraId="1E75F59D"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Но как ни стремились немцы замолчать тягчайшее поражение своих войск, заговорить им всё же пришлось, ибо в результате ликвидации 10 окружённых немецких дивизий было перебито 55 тысяч немецких солдат и офицеров и взято вплен 18.200 немцев, а также захвачена вся техника и всё вооружение окружённых немецких войск.</w:t>
      </w:r>
    </w:p>
    <w:p w14:paraId="2E5C3ECF"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известно, немецкое командование предприняло отчаянные попытки вызволитьсвои войска из окружения, и, когда это не удалось, гитлеровцев охватила паника и растерянность. Нельзя расценить трюк, который выкинуло немецкое командование, иначе, как, отчаянный шаг зарвавшихся картёжных игроков и жуликов. А трюк этот состоит в том, что уже после ликвидации окружённых в районе Корсунь-Шевченковский немецко-фашистских войск ставка Гитлера объявила о том, будто бы уничтоженные свыше семидесяти тысяч немецких солдат и офицеров спокойно здравствуют, благополучно прорвавшись из окружения.</w:t>
      </w:r>
    </w:p>
    <w:p w14:paraId="23E25C93"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Конечно, немцы были бы непрочь устроить парад своим исчезнувшим 10 дивизиям,но, как говорится, мёртвых не воскресишь.</w:t>
      </w:r>
    </w:p>
    <w:p w14:paraId="3E0630EB"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Потеряв десятки тысяч солдат и офицеров, уничтоженных Красной Армией за 14 дней боёв по ликвидации окружённых немецких дивизий, гитлеровцы утешают себя: если нет больше 10 немецко-фашистских дивизий, зато есть генералы, бросившие свои войска на произвол судьбы и скрывшиеся от них на самолётах. Это, прежде всего, командир 112 пехотной дивизии генерал-майор Либ и командир танковой дивизии СС «Викинг» генерал-майор Гилле. Воспользовавшись тем, что бросившиесвои войска и сбежавшие на транспортных самолётах немецкие генералы оказались в ставке немецкой армии, гитлеровцы разыграли смехотворную комедию. Гитлер принял этих генералов в своей ставке и выдал им «высшие награды» якобы за их«выдающиеся личные заслуги и за мужественную борьбу руководимых ими войск».</w:t>
      </w:r>
    </w:p>
    <w:p w14:paraId="0E8F8615"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Понятно, что в любой армии, построенной на общепринятых принципах, эти генералы-дезертиры, заведшие свои войска в тупик и бесчестно бросившие их там на истребление, были бы преданы вечному позору и сурово судимы. Но Гитлеру и его эсэсовским генералам не до чести.</w:t>
      </w:r>
    </w:p>
    <w:p w14:paraId="33179DE2"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Понятна цель всей этой жульнической комедии, инсценированной в гитлеровской ставке: гитлеровцы пытаются при помощи этого дурацкого трюка скрыть второй Сталинград, устроенный Красной Армией для немецких войск, скрыть невиданное побоище, которое устроила Красная Армия немецко-фашистским разбойникам, скрыть преступления Гитлера, который обрёк 10 немецких дивизий на истребление.</w:t>
      </w:r>
    </w:p>
    <w:p w14:paraId="2C10C12B"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Эту же цель преследует и следующий акт комедии — награждение командира 11-гонемецкого армейского корпуса генерала Штеммермана, командовавшего окружённой группировкой и убитого в ходе боёв по ликвидации окружённых немецких дивизий. Труп этого незадачливого генерала был подобран на поле боя во всём его генеральском облачении после ликвидации окружённых немецких войск. Понятно, что теперь гитлеровский орден нужен Штеммерману не больше, чем мёртвому припарка.</w:t>
      </w:r>
    </w:p>
    <w:p w14:paraId="19CF4ED6"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комедии, так неумно разыгранной в гитлеровской ставке, одно очевидно: плохие времена наступили для немецко-фашистской армии на советско-германском фронте, коль Гитлер начал выдавать свои погибшие войска за действующие и награждать генералов, постыдно сбежавших с поля боя. Для всех очевидно также, что этот новый жульнический трюк, потерявших голову гитлеровцев, эта их шитая лыком новая комедия никого не может ввести в заблуждение относительно судьбы уничтоженных советскими войсками десяти немецких дивизий в районе Корсунь-Шевченковский.» (15048).</w:t>
      </w:r>
    </w:p>
    <w:p w14:paraId="411034C5" w14:textId="77777777" w:rsidR="00914045" w:rsidRPr="00070ADE" w:rsidRDefault="00914045" w:rsidP="00B56F90">
      <w:pPr>
        <w:spacing w:after="0" w:line="240" w:lineRule="auto"/>
        <w:jc w:val="both"/>
        <w:rPr>
          <w:rFonts w:ascii="Times New Roman" w:hAnsi="Times New Roman"/>
          <w:color w:val="000000" w:themeColor="text1"/>
          <w:sz w:val="16"/>
          <w:szCs w:val="16"/>
        </w:rPr>
      </w:pPr>
    </w:p>
    <w:p w14:paraId="25C538EB" w14:textId="77777777" w:rsidR="00914045" w:rsidRPr="00070ADE" w:rsidRDefault="0091404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22 февраля</w:t>
      </w:r>
      <w:r w:rsidRPr="00070ADE">
        <w:rPr>
          <w:rFonts w:ascii="Times New Roman" w:hAnsi="Times New Roman"/>
          <w:color w:val="000000" w:themeColor="text1"/>
          <w:sz w:val="16"/>
          <w:szCs w:val="16"/>
        </w:rPr>
        <w:t xml:space="preserve"> в 1944 году (22 – 25 февраля) безуспешное наступление войск Западного фронта на оршанском направлении (15048).</w:t>
      </w:r>
    </w:p>
    <w:p w14:paraId="1A255090" w14:textId="77777777" w:rsidR="00914045" w:rsidRPr="00070ADE" w:rsidRDefault="00914045" w:rsidP="00B56F90">
      <w:pPr>
        <w:spacing w:after="0" w:line="240" w:lineRule="auto"/>
        <w:jc w:val="both"/>
        <w:rPr>
          <w:rFonts w:ascii="Times New Roman" w:hAnsi="Times New Roman"/>
          <w:color w:val="000000" w:themeColor="text1"/>
          <w:sz w:val="16"/>
          <w:szCs w:val="16"/>
        </w:rPr>
      </w:pPr>
    </w:p>
    <w:p w14:paraId="249058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февраля 1944 группа советских Ли-2 отбуксировала в Югославию из Бари планера с руководителями военных миссий союзников в штаб НОА Югославии. Планера садились в горах (438,896).</w:t>
      </w:r>
    </w:p>
    <w:p w14:paraId="50ACF0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8966F3"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февраля 1944 советские войска освободили от фашистов Кривой Рог (4962).</w:t>
      </w:r>
    </w:p>
    <w:p w14:paraId="533F256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8A07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February 22, 1944: German troops evacuate Krivoi Rog in the Ukraine (3819).</w:t>
      </w:r>
    </w:p>
    <w:p w14:paraId="22593B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4543D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февраля 1944 КА овладела Кривым Рогом (430,188).</w:t>
      </w:r>
    </w:p>
    <w:p w14:paraId="3EBA2BE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32FBA3"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49EC50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EAE8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февраля 1944 всем начальникам ИТЛ и УИТЛК-ОИТК НКВД/УНКВД был разослан циркуляр НКВД № 66:</w:t>
      </w:r>
    </w:p>
    <w:p w14:paraId="13F0D3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“НКВД СССР за последнее время в лагерях вскрыты ряд фактов обвешивания и недодачи хлеба заключенным с целью хищений путем подпиливания и уменьшения этим веса металлических гирь. В соответствии с этим приказываю: начальникам лагерей, УИТЛК-ОИТК НКВД/УНКВД под личную ответственность с получением сего произвести выверку гирь и весов во всех без исключения хлеборезках, каптерках, кухнях-столовых, буфетах, ларьках, киосках, магазинах, продбазах, складах, кладовых всех лагерных подразделений и колоний. При обнаружении фактов злоупотреблений виновных привлечь к ответственности. Неисправные гири и весы из употребления изъять, произвести их ремонт и клеймение. О результатах проверки донести мне к 20 апреля. Заместитель Народного комиссара внутренних дел СССР комиссар госбезопасности 2 ранга Чернышов” (7560).</w:t>
      </w:r>
    </w:p>
    <w:p w14:paraId="190165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9FE279"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41C029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FC632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февраля 1944 года</w:t>
      </w:r>
    </w:p>
    <w:p w14:paraId="0474D1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СТРОГО СЕКРЕТНО И ЛИЧНО ПОСЛАНИЕ ОТ г-на ЧЕРЧИЛЛЯ МАРШАЛУ СТАЛИНУ</w:t>
      </w:r>
    </w:p>
    <w:p w14:paraId="109A7D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Итальянские суда.</w:t>
      </w:r>
    </w:p>
    <w:p w14:paraId="11C5EA3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февраля я направил Вам послание, подписанное Президентом и мною, а также личное письмо, адресованное Послу Кларку Керру, содержание которого он должен изложить Вам лично. Дело заключается в том, что я предоставляю из британских ресурсов 8 эсминцев и 4 подводные лодки, а также линейный корабль и 20 тысяч тонн торговых судов. Соединенные Штаты предоставят крейсер и 20 тысяч тонн торговых судов. Я удивлялся, почему я не получил послания от Вас с подтверждением этого, так как я надеялся, что Вы будете довольны теми усилиями, которые я приложил. Мне стало известно, что Посол Кларк Керр хотел вручить послание Вам лично, однако Вы были на фронте. Я телеграфировал ему о том, чтобы он исправил это положение. В подготовке кораблей не было никакого промедления (7430).</w:t>
      </w:r>
    </w:p>
    <w:p w14:paraId="70B5E6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5A1154"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53578B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B23EDD" w14:textId="77777777" w:rsidR="003700E8" w:rsidRPr="00070ADE" w:rsidRDefault="003700E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февраля 1944 Военно-воздушные силы армии США создают Стратегические военно-воздушные силы США, которые берут на себя контроль над стратегическими бомбардировками США в штабах стратегического планирования и разведки Европы, а также в функциях целеуказания и планирования и координации. Одновременно с этим Восьмая воздушная армия реорганизуется, чтобы взять на себя функции VIII бомбардировочного командования как организации с прямым оперативным управлением боевыми силами, а VIII бомбардировочное командование деактивируется (20373).</w:t>
      </w:r>
    </w:p>
    <w:p w14:paraId="642270B6" w14:textId="77777777" w:rsidR="003700E8" w:rsidRPr="00070ADE" w:rsidRDefault="003700E8" w:rsidP="00B56F90">
      <w:pPr>
        <w:spacing w:after="0" w:line="240" w:lineRule="auto"/>
        <w:jc w:val="both"/>
        <w:rPr>
          <w:rFonts w:ascii="Times New Roman" w:hAnsi="Times New Roman"/>
          <w:color w:val="000000" w:themeColor="text1"/>
          <w:sz w:val="16"/>
          <w:szCs w:val="16"/>
        </w:rPr>
      </w:pPr>
    </w:p>
    <w:p w14:paraId="6084DD0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февраля 1944 из-за взрыва, организованного на железнодорожном мосту греческими партизанами, погибли до 400 немецких солдат (4962).</w:t>
      </w:r>
    </w:p>
    <w:p w14:paraId="64202EC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43B57F" w14:textId="77777777" w:rsidR="003700E8" w:rsidRPr="00070ADE" w:rsidRDefault="003700E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февраля 1944 сопротивление японцев на Эниветоке прекращается (20373).</w:t>
      </w:r>
    </w:p>
    <w:p w14:paraId="6A96A812" w14:textId="77777777" w:rsidR="003700E8" w:rsidRPr="00070ADE" w:rsidRDefault="003700E8" w:rsidP="00B56F90">
      <w:pPr>
        <w:spacing w:after="0" w:line="240" w:lineRule="auto"/>
        <w:jc w:val="both"/>
        <w:rPr>
          <w:rFonts w:ascii="Times New Roman" w:hAnsi="Times New Roman"/>
          <w:color w:val="000000" w:themeColor="text1"/>
          <w:sz w:val="16"/>
          <w:szCs w:val="16"/>
        </w:rPr>
      </w:pPr>
    </w:p>
    <w:p w14:paraId="30BA99B3" w14:textId="77777777" w:rsidR="003700E8" w:rsidRPr="00070ADE" w:rsidRDefault="003700E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22–23 февраля (ночь) 1944 японские самолеты совершили четыре налета на корабли 58-й оперативной группы ВМС США в атолле Трук, не причинив ущерба (20373).</w:t>
      </w:r>
    </w:p>
    <w:p w14:paraId="01A735BB" w14:textId="77777777" w:rsidR="003700E8" w:rsidRPr="00070ADE" w:rsidRDefault="003700E8" w:rsidP="00B56F90">
      <w:pPr>
        <w:spacing w:after="0" w:line="240" w:lineRule="auto"/>
        <w:jc w:val="both"/>
        <w:rPr>
          <w:rFonts w:ascii="Times New Roman" w:hAnsi="Times New Roman"/>
          <w:color w:val="000000" w:themeColor="text1"/>
          <w:sz w:val="16"/>
          <w:szCs w:val="16"/>
        </w:rPr>
      </w:pPr>
    </w:p>
    <w:p w14:paraId="41AF954F"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7FFCB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3636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февраля 1944 года А.И.Шахурин подписал Приказ наркома Авиапрома О постройке модернизированного самолета Пе-8 с мотором М-82ФН на заводе N 22</w:t>
      </w:r>
    </w:p>
    <w:p w14:paraId="69E4B0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исполнение постановления ГКО от 20 февраля 1944 года N 5221с - приказываю:</w:t>
      </w:r>
    </w:p>
    <w:p w14:paraId="055DB38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Начальнику 10-го Гл. управления - зам. наркома - Кузнецову А.И., директору завода N 22 - Окулову и гл. конструктору - Незваль:</w:t>
      </w:r>
    </w:p>
    <w:p w14:paraId="76BE27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Спроектировать и построить один модернизированный самолет Пе-8 с моторами М-82ФН с ТК-3 с улучшенными аэродинамическими данными и увеличенной бомбовой нагрузкой.</w:t>
      </w:r>
    </w:p>
    <w:p w14:paraId="77FC50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выпустить, внеся в него следующие изменения:</w:t>
      </w:r>
    </w:p>
    <w:p w14:paraId="25BA62F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установить моторы М-82ФН с редукцией 9/16, оборудованные турбокомпрессорами;</w:t>
      </w:r>
    </w:p>
    <w:p w14:paraId="7A72FB0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увеличить бомболюк в фюзеляже для внутренней подвески бомбы калибром 5000 кг или 6 бомб по 1000 кг;</w:t>
      </w:r>
    </w:p>
    <w:p w14:paraId="281584A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увеличить угол обстрела носовой стрелковой точки до 110 градусов;</w:t>
      </w:r>
    </w:p>
    <w:p w14:paraId="5C8EC2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установить дополнительно две бортовые стрелковые точки;</w:t>
      </w:r>
    </w:p>
    <w:p w14:paraId="6BBDF0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д) уменьшить мидель фюзеляжа, переделать его носовую часть, обеспечив размещение обоих пилотов рядом и более переднее их расположение;</w:t>
      </w:r>
    </w:p>
    <w:p w14:paraId="70BE73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 закапотировать полностью колеса в убранном положении;</w:t>
      </w:r>
    </w:p>
    <w:p w14:paraId="556680B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 произвести герметизацию самолета.</w:t>
      </w:r>
    </w:p>
    <w:p w14:paraId="5865B4B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Модернизированный самолет, по сравнению с серийным самолетом Пе-8, должен обладать следующими преимуществами: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17381068" w14:textId="77777777">
        <w:tc>
          <w:tcPr>
            <w:tcW w:w="5636" w:type="dxa"/>
          </w:tcPr>
          <w:p w14:paraId="50D3AD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максимальной скор. у земли больше</w:t>
            </w:r>
          </w:p>
        </w:tc>
        <w:tc>
          <w:tcPr>
            <w:tcW w:w="5636" w:type="dxa"/>
          </w:tcPr>
          <w:p w14:paraId="63C4FD5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30 км/час</w:t>
            </w:r>
          </w:p>
        </w:tc>
      </w:tr>
      <w:tr w:rsidR="004D4663" w:rsidRPr="00070ADE" w14:paraId="6B5371BC" w14:textId="77777777">
        <w:tc>
          <w:tcPr>
            <w:tcW w:w="5636" w:type="dxa"/>
          </w:tcPr>
          <w:p w14:paraId="5CDA2D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максимальной скорости на границе</w:t>
            </w:r>
          </w:p>
        </w:tc>
        <w:tc>
          <w:tcPr>
            <w:tcW w:w="5636" w:type="dxa"/>
          </w:tcPr>
          <w:p w14:paraId="391B67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8272B49" w14:textId="77777777">
        <w:tc>
          <w:tcPr>
            <w:tcW w:w="5636" w:type="dxa"/>
          </w:tcPr>
          <w:p w14:paraId="7B3F21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высотности больше</w:t>
            </w:r>
          </w:p>
        </w:tc>
        <w:tc>
          <w:tcPr>
            <w:tcW w:w="5636" w:type="dxa"/>
          </w:tcPr>
          <w:p w14:paraId="3FF2FED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80 км/час</w:t>
            </w:r>
          </w:p>
        </w:tc>
      </w:tr>
      <w:tr w:rsidR="004D4663" w:rsidRPr="00070ADE" w14:paraId="42724A7A" w14:textId="77777777">
        <w:tc>
          <w:tcPr>
            <w:tcW w:w="5636" w:type="dxa"/>
          </w:tcPr>
          <w:p w14:paraId="41B47D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практическому потолку выше</w:t>
            </w:r>
          </w:p>
        </w:tc>
        <w:tc>
          <w:tcPr>
            <w:tcW w:w="5636" w:type="dxa"/>
          </w:tcPr>
          <w:p w14:paraId="4445BD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3000 м</w:t>
            </w:r>
          </w:p>
        </w:tc>
      </w:tr>
      <w:tr w:rsidR="004D4663" w:rsidRPr="00070ADE" w14:paraId="4B89E2D2" w14:textId="77777777">
        <w:tc>
          <w:tcPr>
            <w:tcW w:w="5636" w:type="dxa"/>
          </w:tcPr>
          <w:p w14:paraId="35A011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дальности полета с 4000 кг бомб</w:t>
            </w:r>
          </w:p>
        </w:tc>
        <w:tc>
          <w:tcPr>
            <w:tcW w:w="5636" w:type="dxa"/>
          </w:tcPr>
          <w:p w14:paraId="58C653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8B9EA80" w14:textId="77777777">
        <w:tc>
          <w:tcPr>
            <w:tcW w:w="5636" w:type="dxa"/>
          </w:tcPr>
          <w:p w14:paraId="03CF7C1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дальше</w:t>
            </w:r>
          </w:p>
        </w:tc>
        <w:tc>
          <w:tcPr>
            <w:tcW w:w="5636" w:type="dxa"/>
          </w:tcPr>
          <w:p w14:paraId="49D8441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500 км</w:t>
            </w:r>
          </w:p>
        </w:tc>
      </w:tr>
      <w:tr w:rsidR="004D4663" w:rsidRPr="00070ADE" w14:paraId="544EF6A0" w14:textId="77777777">
        <w:tc>
          <w:tcPr>
            <w:tcW w:w="5636" w:type="dxa"/>
          </w:tcPr>
          <w:p w14:paraId="5F65DB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максимальной бомбовой нагрузке</w:t>
            </w:r>
          </w:p>
        </w:tc>
        <w:tc>
          <w:tcPr>
            <w:tcW w:w="5636" w:type="dxa"/>
          </w:tcPr>
          <w:p w14:paraId="61A00E3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27DD031" w14:textId="77777777">
        <w:tc>
          <w:tcPr>
            <w:tcW w:w="5636" w:type="dxa"/>
          </w:tcPr>
          <w:p w14:paraId="745848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больше</w:t>
            </w:r>
          </w:p>
        </w:tc>
        <w:tc>
          <w:tcPr>
            <w:tcW w:w="5636" w:type="dxa"/>
          </w:tcPr>
          <w:p w14:paraId="79DD1B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2000 кг</w:t>
            </w:r>
          </w:p>
        </w:tc>
      </w:tr>
      <w:tr w:rsidR="004D4663" w:rsidRPr="00070ADE" w14:paraId="059879CC" w14:textId="77777777">
        <w:tc>
          <w:tcPr>
            <w:tcW w:w="5636" w:type="dxa"/>
          </w:tcPr>
          <w:p w14:paraId="1FA8BA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стрелковому вооружению больше</w:t>
            </w:r>
          </w:p>
        </w:tc>
        <w:tc>
          <w:tcPr>
            <w:tcW w:w="5636" w:type="dxa"/>
          </w:tcPr>
          <w:p w14:paraId="26F44F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 пулемета</w:t>
            </w:r>
          </w:p>
        </w:tc>
      </w:tr>
      <w:tr w:rsidR="004D4663" w:rsidRPr="00070ADE" w14:paraId="03850161" w14:textId="77777777">
        <w:tc>
          <w:tcPr>
            <w:tcW w:w="5636" w:type="dxa"/>
          </w:tcPr>
          <w:p w14:paraId="45852F1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216D91F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УБТ-12,7</w:t>
            </w:r>
          </w:p>
        </w:tc>
      </w:tr>
      <w:tr w:rsidR="004D4663" w:rsidRPr="00070ADE" w14:paraId="338F5D30" w14:textId="77777777">
        <w:tc>
          <w:tcPr>
            <w:tcW w:w="5636" w:type="dxa"/>
          </w:tcPr>
          <w:p w14:paraId="2092A1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(две пушки и 5 пулеметов вместо 2 пушек и 3 пулеметов).</w:t>
            </w:r>
          </w:p>
        </w:tc>
        <w:tc>
          <w:tcPr>
            <w:tcW w:w="5636" w:type="dxa"/>
          </w:tcPr>
          <w:p w14:paraId="344AC5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DF6C94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Самолет предъявить на летные испытания к 15 июля 1944 года со следующими летно-тактическими данными при полетном весе 28 тонн: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2789CB2F" w14:textId="77777777">
        <w:tc>
          <w:tcPr>
            <w:tcW w:w="5636" w:type="dxa"/>
          </w:tcPr>
          <w:p w14:paraId="1F93EC7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у земли</w:t>
            </w:r>
          </w:p>
        </w:tc>
        <w:tc>
          <w:tcPr>
            <w:tcW w:w="5636" w:type="dxa"/>
          </w:tcPr>
          <w:p w14:paraId="08E3D5B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390 км/час</w:t>
            </w:r>
          </w:p>
        </w:tc>
      </w:tr>
      <w:tr w:rsidR="004D4663" w:rsidRPr="00070ADE" w14:paraId="55601C8C" w14:textId="77777777">
        <w:tc>
          <w:tcPr>
            <w:tcW w:w="5636" w:type="dxa"/>
          </w:tcPr>
          <w:p w14:paraId="6C44826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w:t>
            </w:r>
          </w:p>
        </w:tc>
        <w:tc>
          <w:tcPr>
            <w:tcW w:w="5636" w:type="dxa"/>
          </w:tcPr>
          <w:p w14:paraId="1B4C337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D1109A9" w14:textId="77777777">
        <w:tc>
          <w:tcPr>
            <w:tcW w:w="5636" w:type="dxa"/>
          </w:tcPr>
          <w:p w14:paraId="6334146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высоте 9000 м</w:t>
            </w:r>
          </w:p>
        </w:tc>
        <w:tc>
          <w:tcPr>
            <w:tcW w:w="5636" w:type="dxa"/>
          </w:tcPr>
          <w:p w14:paraId="5FFFA2A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 км/час</w:t>
            </w:r>
          </w:p>
        </w:tc>
      </w:tr>
      <w:tr w:rsidR="004D4663" w:rsidRPr="00070ADE" w14:paraId="32BFAAFC" w14:textId="77777777">
        <w:tc>
          <w:tcPr>
            <w:tcW w:w="5636" w:type="dxa"/>
          </w:tcPr>
          <w:p w14:paraId="41AC7C6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подъема на высоту</w:t>
            </w:r>
          </w:p>
        </w:tc>
        <w:tc>
          <w:tcPr>
            <w:tcW w:w="5636" w:type="dxa"/>
          </w:tcPr>
          <w:p w14:paraId="112E27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BA22933" w14:textId="77777777">
        <w:tc>
          <w:tcPr>
            <w:tcW w:w="5636" w:type="dxa"/>
          </w:tcPr>
          <w:p w14:paraId="7E0F5C3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6000 м</w:t>
            </w:r>
          </w:p>
        </w:tc>
        <w:tc>
          <w:tcPr>
            <w:tcW w:w="5636" w:type="dxa"/>
          </w:tcPr>
          <w:p w14:paraId="2E52701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мин.</w:t>
            </w:r>
          </w:p>
        </w:tc>
      </w:tr>
      <w:tr w:rsidR="004D4663" w:rsidRPr="00070ADE" w14:paraId="7326FD95" w14:textId="77777777">
        <w:tc>
          <w:tcPr>
            <w:tcW w:w="5636" w:type="dxa"/>
          </w:tcPr>
          <w:p w14:paraId="0713480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w:t>
            </w:r>
          </w:p>
        </w:tc>
        <w:tc>
          <w:tcPr>
            <w:tcW w:w="5636" w:type="dxa"/>
          </w:tcPr>
          <w:p w14:paraId="09BEAE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11000 м</w:t>
            </w:r>
          </w:p>
        </w:tc>
      </w:tr>
      <w:tr w:rsidR="004D4663" w:rsidRPr="00070ADE" w14:paraId="5561760C" w14:textId="77777777">
        <w:tc>
          <w:tcPr>
            <w:tcW w:w="5636" w:type="dxa"/>
          </w:tcPr>
          <w:p w14:paraId="39DB426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техническая дальность по</w:t>
            </w:r>
          </w:p>
        </w:tc>
        <w:tc>
          <w:tcPr>
            <w:tcW w:w="5636" w:type="dxa"/>
          </w:tcPr>
          <w:p w14:paraId="2B902ED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4EEC5B3" w14:textId="77777777">
        <w:tc>
          <w:tcPr>
            <w:tcW w:w="5636" w:type="dxa"/>
          </w:tcPr>
          <w:p w14:paraId="16FA8D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боевому профилю с 2000 кг</w:t>
            </w:r>
          </w:p>
        </w:tc>
        <w:tc>
          <w:tcPr>
            <w:tcW w:w="5636" w:type="dxa"/>
          </w:tcPr>
          <w:p w14:paraId="252419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DFB85CD" w14:textId="77777777">
        <w:tc>
          <w:tcPr>
            <w:tcW w:w="5636" w:type="dxa"/>
          </w:tcPr>
          <w:p w14:paraId="072362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 при весе 35000 кг</w:t>
            </w:r>
          </w:p>
        </w:tc>
        <w:tc>
          <w:tcPr>
            <w:tcW w:w="5636" w:type="dxa"/>
          </w:tcPr>
          <w:p w14:paraId="73981F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5000 км</w:t>
            </w:r>
          </w:p>
        </w:tc>
      </w:tr>
      <w:tr w:rsidR="004D4663" w:rsidRPr="00070ADE" w14:paraId="2CD924BD" w14:textId="77777777">
        <w:tc>
          <w:tcPr>
            <w:tcW w:w="5636" w:type="dxa"/>
          </w:tcPr>
          <w:p w14:paraId="2548C93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с дополнительными баками</w:t>
            </w:r>
          </w:p>
        </w:tc>
        <w:tc>
          <w:tcPr>
            <w:tcW w:w="5636" w:type="dxa"/>
          </w:tcPr>
          <w:p w14:paraId="745CF2B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C689C84" w14:textId="77777777">
        <w:tc>
          <w:tcPr>
            <w:tcW w:w="5636" w:type="dxa"/>
          </w:tcPr>
          <w:p w14:paraId="216325A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весе 37500 кг</w:t>
            </w:r>
          </w:p>
        </w:tc>
        <w:tc>
          <w:tcPr>
            <w:tcW w:w="5636" w:type="dxa"/>
          </w:tcPr>
          <w:p w14:paraId="73A92E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6000 км</w:t>
            </w:r>
          </w:p>
        </w:tc>
      </w:tr>
      <w:tr w:rsidR="004D4663" w:rsidRPr="00070ADE" w14:paraId="2FE184E4" w14:textId="77777777">
        <w:tc>
          <w:tcPr>
            <w:tcW w:w="5636" w:type="dxa"/>
          </w:tcPr>
          <w:p w14:paraId="1449559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техническая дальность по</w:t>
            </w:r>
          </w:p>
        </w:tc>
        <w:tc>
          <w:tcPr>
            <w:tcW w:w="5636" w:type="dxa"/>
          </w:tcPr>
          <w:p w14:paraId="5C6528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EDF3C48" w14:textId="77777777">
        <w:tc>
          <w:tcPr>
            <w:tcW w:w="5636" w:type="dxa"/>
          </w:tcPr>
          <w:p w14:paraId="79B3EDA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боевому профилю с 6000 кг</w:t>
            </w:r>
          </w:p>
        </w:tc>
        <w:tc>
          <w:tcPr>
            <w:tcW w:w="5636" w:type="dxa"/>
          </w:tcPr>
          <w:p w14:paraId="06B0FC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364A446" w14:textId="77777777">
        <w:tc>
          <w:tcPr>
            <w:tcW w:w="5636" w:type="dxa"/>
          </w:tcPr>
          <w:p w14:paraId="6518810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w:t>
            </w:r>
          </w:p>
        </w:tc>
        <w:tc>
          <w:tcPr>
            <w:tcW w:w="5636" w:type="dxa"/>
          </w:tcPr>
          <w:p w14:paraId="7819DD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4200 км</w:t>
            </w:r>
          </w:p>
        </w:tc>
      </w:tr>
      <w:tr w:rsidR="004D4663" w:rsidRPr="00070ADE" w14:paraId="783A3BD6" w14:textId="77777777">
        <w:tc>
          <w:tcPr>
            <w:tcW w:w="5636" w:type="dxa"/>
          </w:tcPr>
          <w:p w14:paraId="16FEC19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техническая дальность по</w:t>
            </w:r>
          </w:p>
        </w:tc>
        <w:tc>
          <w:tcPr>
            <w:tcW w:w="5636" w:type="dxa"/>
          </w:tcPr>
          <w:p w14:paraId="46564F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BEF1FFB" w14:textId="77777777">
        <w:tc>
          <w:tcPr>
            <w:tcW w:w="5636" w:type="dxa"/>
          </w:tcPr>
          <w:p w14:paraId="6D168B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боевому профилю с 8000 кг</w:t>
            </w:r>
          </w:p>
        </w:tc>
        <w:tc>
          <w:tcPr>
            <w:tcW w:w="5636" w:type="dxa"/>
          </w:tcPr>
          <w:p w14:paraId="14E763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A652B81" w14:textId="77777777">
        <w:tc>
          <w:tcPr>
            <w:tcW w:w="5636" w:type="dxa"/>
          </w:tcPr>
          <w:p w14:paraId="6FAA9B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w:t>
            </w:r>
          </w:p>
        </w:tc>
        <w:tc>
          <w:tcPr>
            <w:tcW w:w="5636" w:type="dxa"/>
          </w:tcPr>
          <w:p w14:paraId="7F2E9D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3100 км</w:t>
            </w:r>
          </w:p>
        </w:tc>
      </w:tr>
      <w:tr w:rsidR="004D4663" w:rsidRPr="00070ADE" w14:paraId="1E7E812C" w14:textId="77777777">
        <w:tc>
          <w:tcPr>
            <w:tcW w:w="5636" w:type="dxa"/>
          </w:tcPr>
          <w:p w14:paraId="5642CC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разбег при максимальном </w:t>
            </w:r>
          </w:p>
        </w:tc>
        <w:tc>
          <w:tcPr>
            <w:tcW w:w="5636" w:type="dxa"/>
          </w:tcPr>
          <w:p w14:paraId="5BA686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56BE068" w14:textId="77777777">
        <w:tc>
          <w:tcPr>
            <w:tcW w:w="5636" w:type="dxa"/>
          </w:tcPr>
          <w:p w14:paraId="762E3C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полетном весе 37500 кг</w:t>
            </w:r>
          </w:p>
        </w:tc>
        <w:tc>
          <w:tcPr>
            <w:tcW w:w="5636" w:type="dxa"/>
          </w:tcPr>
          <w:p w14:paraId="66D286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 м</w:t>
            </w:r>
          </w:p>
        </w:tc>
      </w:tr>
      <w:tr w:rsidR="004D4663" w:rsidRPr="00070ADE" w14:paraId="27F62A79" w14:textId="77777777">
        <w:tc>
          <w:tcPr>
            <w:tcW w:w="5636" w:type="dxa"/>
          </w:tcPr>
          <w:p w14:paraId="068CBBE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стрелковое вооружение:</w:t>
            </w:r>
          </w:p>
        </w:tc>
        <w:tc>
          <w:tcPr>
            <w:tcW w:w="5636" w:type="dxa"/>
          </w:tcPr>
          <w:p w14:paraId="6011DA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23432CF" w14:textId="77777777">
        <w:tc>
          <w:tcPr>
            <w:tcW w:w="5636" w:type="dxa"/>
          </w:tcPr>
          <w:p w14:paraId="29C81C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носовая установка</w:t>
            </w:r>
          </w:p>
        </w:tc>
        <w:tc>
          <w:tcPr>
            <w:tcW w:w="5636" w:type="dxa"/>
          </w:tcPr>
          <w:p w14:paraId="7CF5867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пулемет кал. 12,7 мм с</w:t>
            </w:r>
          </w:p>
        </w:tc>
      </w:tr>
      <w:tr w:rsidR="004D4663" w:rsidRPr="00070ADE" w14:paraId="31E7B45B" w14:textId="77777777">
        <w:tc>
          <w:tcPr>
            <w:tcW w:w="5636" w:type="dxa"/>
          </w:tcPr>
          <w:p w14:paraId="578E16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0F77F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конусом обстрела до 110</w:t>
            </w:r>
          </w:p>
        </w:tc>
      </w:tr>
      <w:tr w:rsidR="004D4663" w:rsidRPr="00070ADE" w14:paraId="37F1BE50" w14:textId="77777777">
        <w:tc>
          <w:tcPr>
            <w:tcW w:w="5636" w:type="dxa"/>
          </w:tcPr>
          <w:p w14:paraId="20FEC66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90D22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градусов с боезапасом 200</w:t>
            </w:r>
          </w:p>
        </w:tc>
      </w:tr>
      <w:tr w:rsidR="004D4663" w:rsidRPr="00070ADE" w14:paraId="6BFAE523" w14:textId="77777777">
        <w:tc>
          <w:tcPr>
            <w:tcW w:w="5636" w:type="dxa"/>
          </w:tcPr>
          <w:p w14:paraId="501EE69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4C802A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патронов</w:t>
            </w:r>
          </w:p>
        </w:tc>
      </w:tr>
      <w:tr w:rsidR="004D4663" w:rsidRPr="00070ADE" w14:paraId="7BB4B1A9" w14:textId="77777777">
        <w:tc>
          <w:tcPr>
            <w:tcW w:w="5636" w:type="dxa"/>
          </w:tcPr>
          <w:p w14:paraId="13356E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кормовая установка</w:t>
            </w:r>
          </w:p>
        </w:tc>
        <w:tc>
          <w:tcPr>
            <w:tcW w:w="5636" w:type="dxa"/>
          </w:tcPr>
          <w:p w14:paraId="03D41EF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пушка кал. 20 мм для</w:t>
            </w:r>
          </w:p>
        </w:tc>
      </w:tr>
      <w:tr w:rsidR="004D4663" w:rsidRPr="00070ADE" w14:paraId="6E991CDC" w14:textId="77777777">
        <w:tc>
          <w:tcPr>
            <w:tcW w:w="5636" w:type="dxa"/>
          </w:tcPr>
          <w:p w14:paraId="5E10889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B5608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обстрела задней полусферы</w:t>
            </w:r>
          </w:p>
        </w:tc>
      </w:tr>
      <w:tr w:rsidR="004D4663" w:rsidRPr="00070ADE" w14:paraId="307F13D5" w14:textId="77777777">
        <w:tc>
          <w:tcPr>
            <w:tcW w:w="5636" w:type="dxa"/>
          </w:tcPr>
          <w:p w14:paraId="02F50F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E6414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боезапасом 400 патронов</w:t>
            </w:r>
          </w:p>
        </w:tc>
      </w:tr>
      <w:tr w:rsidR="004D4663" w:rsidRPr="00070ADE" w14:paraId="16341E12" w14:textId="77777777">
        <w:tc>
          <w:tcPr>
            <w:tcW w:w="5636" w:type="dxa"/>
          </w:tcPr>
          <w:p w14:paraId="162899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верхняя установка</w:t>
            </w:r>
          </w:p>
        </w:tc>
        <w:tc>
          <w:tcPr>
            <w:tcW w:w="5636" w:type="dxa"/>
          </w:tcPr>
          <w:p w14:paraId="2E97F2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пушка кал. 20 мм для</w:t>
            </w:r>
          </w:p>
        </w:tc>
      </w:tr>
      <w:tr w:rsidR="004D4663" w:rsidRPr="00070ADE" w14:paraId="1A157126" w14:textId="77777777">
        <w:tc>
          <w:tcPr>
            <w:tcW w:w="5636" w:type="dxa"/>
          </w:tcPr>
          <w:p w14:paraId="687256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561F58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обстрела верхней полусферы</w:t>
            </w:r>
          </w:p>
        </w:tc>
      </w:tr>
      <w:tr w:rsidR="004D4663" w:rsidRPr="00070ADE" w14:paraId="240ACFFC" w14:textId="77777777">
        <w:tc>
          <w:tcPr>
            <w:tcW w:w="5636" w:type="dxa"/>
          </w:tcPr>
          <w:p w14:paraId="43A273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4A2C642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боезапасом 400 снарядов</w:t>
            </w:r>
          </w:p>
        </w:tc>
      </w:tr>
      <w:tr w:rsidR="004D4663" w:rsidRPr="00070ADE" w14:paraId="68CE0771" w14:textId="77777777">
        <w:tc>
          <w:tcPr>
            <w:tcW w:w="5636" w:type="dxa"/>
          </w:tcPr>
          <w:p w14:paraId="4DD9C9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в обтекателях</w:t>
            </w:r>
          </w:p>
        </w:tc>
        <w:tc>
          <w:tcPr>
            <w:tcW w:w="5636" w:type="dxa"/>
          </w:tcPr>
          <w:p w14:paraId="371983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7610F14" w14:textId="77777777">
        <w:tc>
          <w:tcPr>
            <w:tcW w:w="5636" w:type="dxa"/>
          </w:tcPr>
          <w:p w14:paraId="430073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шасси</w:t>
            </w:r>
          </w:p>
        </w:tc>
        <w:tc>
          <w:tcPr>
            <w:tcW w:w="5636" w:type="dxa"/>
          </w:tcPr>
          <w:p w14:paraId="03538D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пулемета кал. 12,7 мм для</w:t>
            </w:r>
          </w:p>
        </w:tc>
      </w:tr>
      <w:tr w:rsidR="004D4663" w:rsidRPr="00070ADE" w14:paraId="0E0F092F" w14:textId="77777777">
        <w:tc>
          <w:tcPr>
            <w:tcW w:w="5636" w:type="dxa"/>
          </w:tcPr>
          <w:p w14:paraId="218C44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1D1A1E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обстрела вниз-назад с боезапасом</w:t>
            </w:r>
          </w:p>
        </w:tc>
      </w:tr>
      <w:tr w:rsidR="004D4663" w:rsidRPr="00070ADE" w14:paraId="713A4A89" w14:textId="77777777">
        <w:tc>
          <w:tcPr>
            <w:tcW w:w="5636" w:type="dxa"/>
          </w:tcPr>
          <w:p w14:paraId="71DFF6A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806A0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 патронов</w:t>
            </w:r>
          </w:p>
        </w:tc>
      </w:tr>
      <w:tr w:rsidR="004D4663" w:rsidRPr="00070ADE" w14:paraId="651A36C7" w14:textId="77777777">
        <w:tc>
          <w:tcPr>
            <w:tcW w:w="5636" w:type="dxa"/>
          </w:tcPr>
          <w:p w14:paraId="644A52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бортовая установка</w:t>
            </w:r>
          </w:p>
        </w:tc>
        <w:tc>
          <w:tcPr>
            <w:tcW w:w="5636" w:type="dxa"/>
          </w:tcPr>
          <w:p w14:paraId="1241104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пулемета кал. 12,7 мм для</w:t>
            </w:r>
          </w:p>
        </w:tc>
      </w:tr>
      <w:tr w:rsidR="004D4663" w:rsidRPr="00070ADE" w14:paraId="02F1C1ED" w14:textId="77777777">
        <w:tc>
          <w:tcPr>
            <w:tcW w:w="5636" w:type="dxa"/>
          </w:tcPr>
          <w:p w14:paraId="39B458F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6C5F26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обстрела вперед-вниз и назад</w:t>
            </w:r>
          </w:p>
        </w:tc>
      </w:tr>
      <w:tr w:rsidR="004D4663" w:rsidRPr="00070ADE" w14:paraId="33E964F6" w14:textId="77777777">
        <w:tc>
          <w:tcPr>
            <w:tcW w:w="5636" w:type="dxa"/>
          </w:tcPr>
          <w:p w14:paraId="0FA9466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BFF158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вниз с боезапасом 400 патронов</w:t>
            </w:r>
          </w:p>
        </w:tc>
      </w:tr>
    </w:tbl>
    <w:p w14:paraId="1BD2FC8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Калибр подвешиваемых бомб от 100 кг до 5000 кг.</w:t>
      </w:r>
    </w:p>
    <w:p w14:paraId="082E5B4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Этим же постановленнием Государственный Комитет Обороны обязал:</w:t>
      </w:r>
    </w:p>
    <w:p w14:paraId="757067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Наркомфин СССР - т. Зверева выделить НКАП из резервного фонда СНК СССР:</w:t>
      </w:r>
    </w:p>
    <w:p w14:paraId="744F73E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пять миллионов рублей на проектирование и постройку модернизированного самолёта Пе-8;</w:t>
      </w:r>
    </w:p>
    <w:p w14:paraId="271DE3A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для поощрения работников ОКБ и завода за выполнение задания в установленный срок - 500 тыс .рублей.</w:t>
      </w:r>
    </w:p>
    <w:p w14:paraId="40B307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Наркомсредмаш - т. Акопова в первом квартале 1944 года дополнительно выделить Наркомавивпрому для ОКБ т. Незваль одну легковую и одну грузовую трехтонную автомашины.</w:t>
      </w:r>
    </w:p>
    <w:p w14:paraId="2F32F2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Нарксмторг СССР - т. Любимова выделить для СКБ т. Нез</w:t>
      </w:r>
      <w:r w:rsidRPr="00070ADE">
        <w:rPr>
          <w:rFonts w:ascii="Times New Roman" w:hAnsi="Times New Roman"/>
          <w:color w:val="000000" w:themeColor="text1"/>
          <w:sz w:val="16"/>
          <w:szCs w:val="16"/>
        </w:rPr>
        <w:softHyphen/>
        <w:t>валь, начиная с мартя сего года дополнительно 15 литерных пайков 30 пайков Р-4 и 50 вторых горячих.</w:t>
      </w:r>
    </w:p>
    <w:p w14:paraId="507B78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Наркомтекстиль - т. Акимова выделить ОКБ т. Незваль за счёт перехсдящих остатков промышленности специальным назначе</w:t>
      </w:r>
      <w:r w:rsidRPr="00070ADE">
        <w:rPr>
          <w:rFonts w:ascii="Times New Roman" w:hAnsi="Times New Roman"/>
          <w:color w:val="000000" w:themeColor="text1"/>
          <w:sz w:val="16"/>
          <w:szCs w:val="16"/>
        </w:rPr>
        <w:softHyphen/>
        <w:t>нием:</w:t>
      </w:r>
    </w:p>
    <w:p w14:paraId="2BD2E8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хлопчатобумажной ткани - на 10000 руб.</w:t>
      </w:r>
    </w:p>
    <w:p w14:paraId="55318F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Шерстяной ткани - на 50000 руб.</w:t>
      </w:r>
    </w:p>
    <w:p w14:paraId="696450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Наркомлегпром СССР - т. Лукина выделить ОКБ т. Незваль за счёт переходящих остатков промышленности целевым назначением обуви - 200 пар. (1823,6).</w:t>
      </w:r>
    </w:p>
    <w:p w14:paraId="48688E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420F3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февраля 1944 был составлен акт по установке ПВРД ДМ-4с конструкции И.А.Меркулова на самолете Як-7Б N 820803 с М105ПФ на заводе 482 (367,55).</w:t>
      </w:r>
    </w:p>
    <w:p w14:paraId="774DCD1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C233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февраля 1944 вышел приказ НКАП N 125 "О переоборудовании 80 самолетов Як-9 (два полка) в варианте истребителя-бомбардировщика в исполнение постановления ГКО N 5219 от 20 февраля 1944. Кассета - 200 кг противотанковых осв. бомб за кабиной + 1хШВАК и 1хУБС. 40 - к 10 апреля и из них 10 с РПК-10, а 40 - к 1 мая и из них 10 с РПК-10 (954,108).</w:t>
      </w:r>
    </w:p>
    <w:p w14:paraId="7B3E228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Приказываю:</w:t>
      </w:r>
    </w:p>
    <w:p w14:paraId="19C00A2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Начальнику ПГУ Зам. НКАП тов. Воронину и директору завода № 301 тов. Смирнову переоборудовать и сдать ВВС КА 80 с-тов Як-9 (на два полка) в варианте истребителя-бомбардировщика с сохранием макс. скорости и дальности серийных Як-9.</w:t>
      </w:r>
    </w:p>
    <w:p w14:paraId="775199E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С-0ты должны иметь следующее вооружение:</w:t>
      </w:r>
    </w:p>
    <w:p w14:paraId="108963A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бомбовая кассета в задней кабине под 200 кг противотанковых бомб</w:t>
      </w:r>
    </w:p>
    <w:p w14:paraId="01C0843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стрелковое 1хШВАК и 1хБС</w:t>
      </w:r>
    </w:p>
    <w:p w14:paraId="519BF7B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Установить сроки сдачи: 40 - к 10 апреля (10 из них оборудовать РПК-10) и 40 к 1 мая 1944 (10 из них оборудовать РПК-10) (953,86).</w:t>
      </w:r>
    </w:p>
    <w:p w14:paraId="677AC58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F8B6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февраля 1944 г. был подготовлен АКТ о выполненных работ на самолете ЯК-7Б № 820803 с мотором № 105-ПФ № 45-32.</w:t>
      </w:r>
    </w:p>
    <w:p w14:paraId="3F8483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23 февраля 1944 г. Мы нижеподписавшиеся: гл. инженер за</w:t>
      </w:r>
      <w:r w:rsidRPr="00070ADE">
        <w:rPr>
          <w:rFonts w:ascii="Times New Roman" w:hAnsi="Times New Roman"/>
          <w:color w:val="000000" w:themeColor="text1"/>
          <w:sz w:val="16"/>
          <w:szCs w:val="16"/>
        </w:rPr>
        <w:softHyphen/>
        <w:t>вода т.Ромадин. В .А., нач. цеха к б т.Лаптев Н.С., за нач. ОТК. з-да т. Цесарский Г. А. и ведущий инженер с-та т. Нико</w:t>
      </w:r>
      <w:r w:rsidRPr="00070ADE">
        <w:rPr>
          <w:rFonts w:ascii="Times New Roman" w:hAnsi="Times New Roman"/>
          <w:color w:val="000000" w:themeColor="text1"/>
          <w:sz w:val="16"/>
          <w:szCs w:val="16"/>
        </w:rPr>
        <w:softHyphen/>
        <w:t>лаевский Б. А. составили настоящий акт в том, что на заводе * 482 НКАП были проведены следующие работы по самолету:</w:t>
      </w:r>
    </w:p>
    <w:p w14:paraId="59C14CF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Подвеска дополнительных двигателей.</w:t>
      </w:r>
    </w:p>
    <w:p w14:paraId="67B2F6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Монтаж бензопровода к дополнит, двигателям.</w:t>
      </w:r>
    </w:p>
    <w:p w14:paraId="579AF0A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Установка агрегатов бензо-системн /дополнит. помпа,</w:t>
      </w:r>
    </w:p>
    <w:p w14:paraId="6E0EAAA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Монтаж управления кранами.</w:t>
      </w:r>
    </w:p>
    <w:p w14:paraId="43B6ACA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Монтаж э л. проводки зажигания дополнит. двигателей.</w:t>
      </w:r>
    </w:p>
    <w:p w14:paraId="520A5B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 контрольных приборов - * .</w:t>
      </w:r>
    </w:p>
    <w:p w14:paraId="72693A7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Оборудование задней кабины д/наблюдателя.</w:t>
      </w:r>
    </w:p>
    <w:p w14:paraId="49F432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Отработка пасси и пневм</w:t>
      </w:r>
      <w:r w:rsidR="00A44782" w:rsidRPr="00070ADE">
        <w:rPr>
          <w:rFonts w:ascii="Times New Roman" w:hAnsi="Times New Roman"/>
          <w:color w:val="000000" w:themeColor="text1"/>
          <w:sz w:val="16"/>
          <w:szCs w:val="16"/>
        </w:rPr>
        <w:t>о</w:t>
      </w:r>
      <w:r w:rsidRPr="00070ADE">
        <w:rPr>
          <w:rFonts w:ascii="Times New Roman" w:hAnsi="Times New Roman"/>
          <w:color w:val="000000" w:themeColor="text1"/>
          <w:sz w:val="16"/>
          <w:szCs w:val="16"/>
        </w:rPr>
        <w:t>системы.</w:t>
      </w:r>
    </w:p>
    <w:p w14:paraId="3838D7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Тарировка приборов.</w:t>
      </w:r>
    </w:p>
    <w:p w14:paraId="77BAEA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Устранение дефектов по ведомости ОТК.</w:t>
      </w:r>
    </w:p>
    <w:p w14:paraId="58BA58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Окраска, самолета.</w:t>
      </w:r>
    </w:p>
    <w:p w14:paraId="7FDCFF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Вышеперечисленные работы произведены по чертежам, эскизам конструкторского бюро /нач. т .Меркулов И.А./ и по указаниям вед.- инженера самолета т. Николаевского Б. А./ - Все указанные работа приняты ОТК завода" (11081).</w:t>
      </w:r>
    </w:p>
    <w:p w14:paraId="5C3D7E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20898E" w14:textId="77777777" w:rsidR="00A44782" w:rsidRPr="00070ADE" w:rsidRDefault="00A44782" w:rsidP="00B56F90">
      <w:pPr>
        <w:pStyle w:val="ae"/>
        <w:shd w:val="clear" w:color="auto" w:fill="FFFFFF"/>
        <w:spacing w:before="0" w:after="0"/>
        <w:jc w:val="both"/>
        <w:rPr>
          <w:color w:val="000000" w:themeColor="text1"/>
          <w:sz w:val="16"/>
          <w:szCs w:val="16"/>
        </w:rPr>
      </w:pPr>
      <w:r w:rsidRPr="00070ADE">
        <w:rPr>
          <w:color w:val="000000" w:themeColor="text1"/>
          <w:sz w:val="16"/>
          <w:szCs w:val="16"/>
        </w:rPr>
        <w:t>23 февраля 1944 г.</w:t>
      </w:r>
    </w:p>
    <w:p w14:paraId="0149EA8D" w14:textId="77777777" w:rsidR="00A44782" w:rsidRPr="00070ADE" w:rsidRDefault="00A44782" w:rsidP="00B56F90">
      <w:pPr>
        <w:pStyle w:val="ae"/>
        <w:shd w:val="clear" w:color="auto" w:fill="FFFFFF"/>
        <w:spacing w:before="0" w:after="0"/>
        <w:jc w:val="both"/>
        <w:rPr>
          <w:color w:val="000000" w:themeColor="text1"/>
          <w:sz w:val="16"/>
          <w:szCs w:val="16"/>
        </w:rPr>
      </w:pPr>
      <w:r w:rsidRPr="00070ADE">
        <w:rPr>
          <w:color w:val="000000" w:themeColor="text1"/>
          <w:sz w:val="16"/>
          <w:szCs w:val="16"/>
        </w:rPr>
        <w:t>«Акт выполненных работ на самолете Як-7Б № 820803 с мотором М-105ПФ № 45—32.</w:t>
      </w:r>
    </w:p>
    <w:p w14:paraId="0BB7CE29" w14:textId="77777777" w:rsidR="00A44782" w:rsidRPr="00070ADE" w:rsidRDefault="00A44782" w:rsidP="00B56F90">
      <w:pPr>
        <w:pStyle w:val="ae"/>
        <w:shd w:val="clear" w:color="auto" w:fill="FFFFFF"/>
        <w:spacing w:before="0" w:after="0"/>
        <w:jc w:val="both"/>
        <w:rPr>
          <w:color w:val="000000" w:themeColor="text1"/>
          <w:sz w:val="16"/>
          <w:szCs w:val="16"/>
        </w:rPr>
      </w:pPr>
      <w:r w:rsidRPr="00070ADE">
        <w:rPr>
          <w:color w:val="000000" w:themeColor="text1"/>
          <w:sz w:val="16"/>
          <w:szCs w:val="16"/>
        </w:rPr>
        <w:t>23 февраля 1944 г. Мы нижеподписавшиеся: гл. инженер завода т. Ромадин В.А., нач. цеха № 6 т. Лаптев Н.С., за нач. ОТК з-да т. Цесарский Г.А. и ведущий инженер т. Николаев ский Б.А. составили настоящий акт в том, что на заводе J T 482 НКАП были проведены следующие работы по самолету:</w:t>
      </w:r>
    </w:p>
    <w:p w14:paraId="256CB172" w14:textId="77777777" w:rsidR="00A44782" w:rsidRPr="00070ADE" w:rsidRDefault="00A44782" w:rsidP="00B56F90">
      <w:pPr>
        <w:pStyle w:val="ae"/>
        <w:shd w:val="clear" w:color="auto" w:fill="FFFFFF"/>
        <w:spacing w:before="0" w:after="0"/>
        <w:jc w:val="both"/>
        <w:rPr>
          <w:color w:val="000000" w:themeColor="text1"/>
          <w:sz w:val="16"/>
          <w:szCs w:val="16"/>
        </w:rPr>
      </w:pPr>
      <w:r w:rsidRPr="00070ADE">
        <w:rPr>
          <w:color w:val="000000" w:themeColor="text1"/>
          <w:sz w:val="16"/>
          <w:szCs w:val="16"/>
        </w:rPr>
        <w:t>1. Подвеска дополнительных двигателей.</w:t>
      </w:r>
    </w:p>
    <w:p w14:paraId="55E02A62" w14:textId="77777777" w:rsidR="00A44782" w:rsidRPr="00070ADE" w:rsidRDefault="00A44782" w:rsidP="00B56F90">
      <w:pPr>
        <w:pStyle w:val="ae"/>
        <w:shd w:val="clear" w:color="auto" w:fill="FFFFFF"/>
        <w:spacing w:before="0" w:after="0"/>
        <w:jc w:val="both"/>
        <w:rPr>
          <w:color w:val="000000" w:themeColor="text1"/>
          <w:sz w:val="16"/>
          <w:szCs w:val="16"/>
        </w:rPr>
      </w:pPr>
      <w:r w:rsidRPr="00070ADE">
        <w:rPr>
          <w:color w:val="000000" w:themeColor="text1"/>
          <w:sz w:val="16"/>
          <w:szCs w:val="16"/>
        </w:rPr>
        <w:t>2. Монтаж бензопровода к дополнительным двигателям.</w:t>
      </w:r>
    </w:p>
    <w:p w14:paraId="13C6CA22" w14:textId="77777777" w:rsidR="00A44782" w:rsidRPr="00070ADE" w:rsidRDefault="00A44782" w:rsidP="00B56F90">
      <w:pPr>
        <w:pStyle w:val="ae"/>
        <w:shd w:val="clear" w:color="auto" w:fill="FFFFFF"/>
        <w:spacing w:before="0" w:after="0"/>
        <w:jc w:val="both"/>
        <w:rPr>
          <w:color w:val="000000" w:themeColor="text1"/>
          <w:sz w:val="16"/>
          <w:szCs w:val="16"/>
        </w:rPr>
      </w:pPr>
      <w:r w:rsidRPr="00070ADE">
        <w:rPr>
          <w:color w:val="000000" w:themeColor="text1"/>
          <w:sz w:val="16"/>
          <w:szCs w:val="16"/>
        </w:rPr>
        <w:t>3. Установка агрегатов бензосистемы (дополнительная помпа, краны).</w:t>
      </w:r>
    </w:p>
    <w:p w14:paraId="4C4531F3" w14:textId="77777777" w:rsidR="00A44782" w:rsidRPr="00070ADE" w:rsidRDefault="00A44782" w:rsidP="00B56F90">
      <w:pPr>
        <w:pStyle w:val="ae"/>
        <w:shd w:val="clear" w:color="auto" w:fill="FFFFFF"/>
        <w:spacing w:before="0" w:after="0"/>
        <w:jc w:val="both"/>
        <w:rPr>
          <w:color w:val="000000" w:themeColor="text1"/>
          <w:sz w:val="16"/>
          <w:szCs w:val="16"/>
        </w:rPr>
      </w:pPr>
      <w:r w:rsidRPr="00070ADE">
        <w:rPr>
          <w:color w:val="000000" w:themeColor="text1"/>
          <w:sz w:val="16"/>
          <w:szCs w:val="16"/>
        </w:rPr>
        <w:t>4. Монтаж управления кранами.</w:t>
      </w:r>
    </w:p>
    <w:p w14:paraId="159A0894" w14:textId="77777777" w:rsidR="00A44782" w:rsidRPr="00070ADE" w:rsidRDefault="00A44782" w:rsidP="00B56F90">
      <w:pPr>
        <w:pStyle w:val="ae"/>
        <w:shd w:val="clear" w:color="auto" w:fill="FFFFFF"/>
        <w:spacing w:before="0" w:after="0"/>
        <w:jc w:val="both"/>
        <w:rPr>
          <w:color w:val="000000" w:themeColor="text1"/>
          <w:sz w:val="16"/>
          <w:szCs w:val="16"/>
        </w:rPr>
      </w:pPr>
      <w:r w:rsidRPr="00070ADE">
        <w:rPr>
          <w:color w:val="000000" w:themeColor="text1"/>
          <w:sz w:val="16"/>
          <w:szCs w:val="16"/>
        </w:rPr>
        <w:t>5. Монтаж электропроводки зажигания дополнительных двигателей.</w:t>
      </w:r>
    </w:p>
    <w:p w14:paraId="5147CC50" w14:textId="77777777" w:rsidR="00A44782" w:rsidRPr="00070ADE" w:rsidRDefault="00A44782" w:rsidP="00B56F90">
      <w:pPr>
        <w:pStyle w:val="ae"/>
        <w:shd w:val="clear" w:color="auto" w:fill="FFFFFF"/>
        <w:spacing w:before="0" w:after="0"/>
        <w:jc w:val="both"/>
        <w:rPr>
          <w:color w:val="000000" w:themeColor="text1"/>
          <w:sz w:val="16"/>
          <w:szCs w:val="16"/>
        </w:rPr>
      </w:pPr>
      <w:r w:rsidRPr="00070ADE">
        <w:rPr>
          <w:color w:val="000000" w:themeColor="text1"/>
          <w:sz w:val="16"/>
          <w:szCs w:val="16"/>
        </w:rPr>
        <w:t>6. Монтаж контрольных приборов.</w:t>
      </w:r>
    </w:p>
    <w:p w14:paraId="4A75FBE5" w14:textId="77777777" w:rsidR="00A44782" w:rsidRPr="00070ADE" w:rsidRDefault="00A44782" w:rsidP="00B56F90">
      <w:pPr>
        <w:pStyle w:val="ae"/>
        <w:shd w:val="clear" w:color="auto" w:fill="FFFFFF"/>
        <w:spacing w:before="0" w:after="0"/>
        <w:jc w:val="both"/>
        <w:rPr>
          <w:color w:val="000000" w:themeColor="text1"/>
          <w:sz w:val="16"/>
          <w:szCs w:val="16"/>
        </w:rPr>
      </w:pPr>
      <w:r w:rsidRPr="00070ADE">
        <w:rPr>
          <w:color w:val="000000" w:themeColor="text1"/>
          <w:sz w:val="16"/>
          <w:szCs w:val="16"/>
        </w:rPr>
        <w:t>7. Оборудование задней кабины для наблюдателя.</w:t>
      </w:r>
    </w:p>
    <w:p w14:paraId="2B4D4A13" w14:textId="77777777" w:rsidR="00A44782" w:rsidRPr="00070ADE" w:rsidRDefault="00A44782" w:rsidP="00B56F90">
      <w:pPr>
        <w:pStyle w:val="ae"/>
        <w:shd w:val="clear" w:color="auto" w:fill="FFFFFF"/>
        <w:spacing w:before="0" w:after="0"/>
        <w:jc w:val="both"/>
        <w:rPr>
          <w:color w:val="000000" w:themeColor="text1"/>
          <w:sz w:val="16"/>
          <w:szCs w:val="16"/>
        </w:rPr>
      </w:pPr>
      <w:r w:rsidRPr="00070ADE">
        <w:rPr>
          <w:color w:val="000000" w:themeColor="text1"/>
          <w:sz w:val="16"/>
          <w:szCs w:val="16"/>
        </w:rPr>
        <w:t>8. Отработка шасси и пневмосистемы.</w:t>
      </w:r>
    </w:p>
    <w:p w14:paraId="4F1F7220" w14:textId="77777777" w:rsidR="00A44782" w:rsidRPr="00070ADE" w:rsidRDefault="00A44782" w:rsidP="00B56F90">
      <w:pPr>
        <w:pStyle w:val="ae"/>
        <w:shd w:val="clear" w:color="auto" w:fill="FFFFFF"/>
        <w:spacing w:before="0" w:after="0"/>
        <w:jc w:val="both"/>
        <w:rPr>
          <w:color w:val="000000" w:themeColor="text1"/>
          <w:sz w:val="16"/>
          <w:szCs w:val="16"/>
        </w:rPr>
      </w:pPr>
      <w:r w:rsidRPr="00070ADE">
        <w:rPr>
          <w:color w:val="000000" w:themeColor="text1"/>
          <w:sz w:val="16"/>
          <w:szCs w:val="16"/>
        </w:rPr>
        <w:t>9. Тарировка приборов.</w:t>
      </w:r>
    </w:p>
    <w:p w14:paraId="046A0A73" w14:textId="77777777" w:rsidR="00A44782" w:rsidRPr="00070ADE" w:rsidRDefault="00A44782" w:rsidP="00B56F90">
      <w:pPr>
        <w:pStyle w:val="ae"/>
        <w:shd w:val="clear" w:color="auto" w:fill="FFFFFF"/>
        <w:spacing w:before="0" w:after="0"/>
        <w:jc w:val="both"/>
        <w:rPr>
          <w:color w:val="000000" w:themeColor="text1"/>
          <w:sz w:val="16"/>
          <w:szCs w:val="16"/>
        </w:rPr>
      </w:pPr>
      <w:r w:rsidRPr="00070ADE">
        <w:rPr>
          <w:color w:val="000000" w:themeColor="text1"/>
          <w:sz w:val="16"/>
          <w:szCs w:val="16"/>
        </w:rPr>
        <w:t>10. Устранение дефектов по ведомости ОТК.</w:t>
      </w:r>
    </w:p>
    <w:p w14:paraId="731F8290" w14:textId="77777777" w:rsidR="00A44782" w:rsidRPr="00070ADE" w:rsidRDefault="00A44782" w:rsidP="00B56F90">
      <w:pPr>
        <w:pStyle w:val="ae"/>
        <w:shd w:val="clear" w:color="auto" w:fill="FFFFFF"/>
        <w:spacing w:before="0" w:after="0"/>
        <w:jc w:val="both"/>
        <w:rPr>
          <w:color w:val="000000" w:themeColor="text1"/>
          <w:sz w:val="16"/>
          <w:szCs w:val="16"/>
        </w:rPr>
      </w:pPr>
      <w:r w:rsidRPr="00070ADE">
        <w:rPr>
          <w:color w:val="000000" w:themeColor="text1"/>
          <w:sz w:val="16"/>
          <w:szCs w:val="16"/>
        </w:rPr>
        <w:t>11. Окраска самолета.</w:t>
      </w:r>
    </w:p>
    <w:p w14:paraId="1AE0D5A3" w14:textId="77777777" w:rsidR="00A44782" w:rsidRPr="00070ADE" w:rsidRDefault="00A44782"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Вышеперечисленные работы произведены по чертежам, эскизам КБ нач. т. Меркулов И.А. и по указаниям ведущего инженера самолета т. Николаевского Б.А.</w:t>
      </w:r>
    </w:p>
    <w:p w14:paraId="3E70837D" w14:textId="77777777" w:rsidR="00A44782" w:rsidRPr="00070ADE" w:rsidRDefault="00A44782"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Все указанные работы приняты ОТК завода» (19586).</w:t>
      </w:r>
    </w:p>
    <w:p w14:paraId="7D7131DE" w14:textId="77777777" w:rsidR="00A44782" w:rsidRPr="00070ADE" w:rsidRDefault="00A44782" w:rsidP="00B56F90">
      <w:pPr>
        <w:pStyle w:val="ae"/>
        <w:shd w:val="clear" w:color="auto" w:fill="FFFFFF"/>
        <w:spacing w:before="0" w:after="0"/>
        <w:jc w:val="both"/>
        <w:rPr>
          <w:color w:val="000000" w:themeColor="text1"/>
          <w:sz w:val="16"/>
          <w:szCs w:val="16"/>
        </w:rPr>
      </w:pPr>
    </w:p>
    <w:p w14:paraId="174976F5" w14:textId="77777777" w:rsidR="00171125" w:rsidRPr="00070ADE" w:rsidRDefault="0017112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февраля 1944 г. закончилось переоборудование серийного самолета Як-7Б №820803 под установку двух ДМ-4с (№16 и №17) на заводе №482 ведущим инжене</w:t>
      </w:r>
      <w:r w:rsidRPr="00070ADE">
        <w:rPr>
          <w:rFonts w:ascii="Times New Roman" w:hAnsi="Times New Roman"/>
          <w:color w:val="000000" w:themeColor="text1"/>
          <w:sz w:val="16"/>
          <w:szCs w:val="16"/>
        </w:rPr>
        <w:softHyphen/>
        <w:t>ром СКБ Б.А. Николаевским. Выбор базовой модели самолета для летных ис</w:t>
      </w:r>
      <w:r w:rsidRPr="00070ADE">
        <w:rPr>
          <w:rFonts w:ascii="Times New Roman" w:hAnsi="Times New Roman"/>
          <w:color w:val="000000" w:themeColor="text1"/>
          <w:sz w:val="16"/>
          <w:szCs w:val="16"/>
        </w:rPr>
        <w:softHyphen/>
        <w:t>пытаний оказался не случаен. Во-первых, самолет обла</w:t>
      </w:r>
      <w:r w:rsidRPr="00070ADE">
        <w:rPr>
          <w:rFonts w:ascii="Times New Roman" w:hAnsi="Times New Roman"/>
          <w:color w:val="000000" w:themeColor="text1"/>
          <w:sz w:val="16"/>
          <w:szCs w:val="16"/>
        </w:rPr>
        <w:softHyphen/>
        <w:t>дал хорошей устойчивостью и управляемостью, во-вто</w:t>
      </w:r>
      <w:r w:rsidRPr="00070ADE">
        <w:rPr>
          <w:rFonts w:ascii="Times New Roman" w:hAnsi="Times New Roman"/>
          <w:color w:val="000000" w:themeColor="text1"/>
          <w:sz w:val="16"/>
          <w:szCs w:val="16"/>
        </w:rPr>
        <w:softHyphen/>
        <w:t>рых, достаточно высокой максимальной скоростью и, в- третьих, в его закабинном отсеке свободно помещалось рабочее место наблюдателя с необходимыми контроль</w:t>
      </w:r>
      <w:r w:rsidRPr="00070ADE">
        <w:rPr>
          <w:rFonts w:ascii="Times New Roman" w:hAnsi="Times New Roman"/>
          <w:color w:val="000000" w:themeColor="text1"/>
          <w:sz w:val="16"/>
          <w:szCs w:val="16"/>
        </w:rPr>
        <w:softHyphen/>
        <w:t>но-измерительными приборами. Двигатели ДМ-4с с ди</w:t>
      </w:r>
      <w:r w:rsidRPr="00070ADE">
        <w:rPr>
          <w:rFonts w:ascii="Times New Roman" w:hAnsi="Times New Roman"/>
          <w:color w:val="000000" w:themeColor="text1"/>
          <w:sz w:val="16"/>
          <w:szCs w:val="16"/>
        </w:rPr>
        <w:softHyphen/>
        <w:t>аметром миделя 500 и длиной 2300 мм, подвешенные под крыльями на специальных узлах, питались от общей бензосистемы самолета. Для их размещения пришлось укоротить посадочные щитки с внешней стороны на 500 мм. Органы управления дополнительными моторами вы</w:t>
      </w:r>
      <w:r w:rsidRPr="00070ADE">
        <w:rPr>
          <w:rFonts w:ascii="Times New Roman" w:hAnsi="Times New Roman"/>
          <w:color w:val="000000" w:themeColor="text1"/>
          <w:sz w:val="16"/>
          <w:szCs w:val="16"/>
        </w:rPr>
        <w:softHyphen/>
        <w:t>водились в кабину летчика. Зажигание и подача бензи</w:t>
      </w:r>
      <w:r w:rsidRPr="00070ADE">
        <w:rPr>
          <w:rFonts w:ascii="Times New Roman" w:hAnsi="Times New Roman"/>
          <w:color w:val="000000" w:themeColor="text1"/>
          <w:sz w:val="16"/>
          <w:szCs w:val="16"/>
        </w:rPr>
        <w:softHyphen/>
        <w:t>на в ДМ осуществлялись одновременно одним движени</w:t>
      </w:r>
      <w:r w:rsidRPr="00070ADE">
        <w:rPr>
          <w:rFonts w:ascii="Times New Roman" w:hAnsi="Times New Roman"/>
          <w:color w:val="000000" w:themeColor="text1"/>
          <w:sz w:val="16"/>
          <w:szCs w:val="16"/>
        </w:rPr>
        <w:softHyphen/>
        <w:t>ем ручки включения. На щитке зажигания располагалось два бленкера, сигнализировавших летчику о начале горе</w:t>
      </w:r>
      <w:r w:rsidRPr="00070ADE">
        <w:rPr>
          <w:rFonts w:ascii="Times New Roman" w:hAnsi="Times New Roman"/>
          <w:color w:val="000000" w:themeColor="text1"/>
          <w:sz w:val="16"/>
          <w:szCs w:val="16"/>
        </w:rPr>
        <w:softHyphen/>
        <w:t>ния в ДМ. Масса двух двигателей составляла 90 кг. Для испытаний подготовили несколько вариантов основных элементов конструкции ДМ (воздухозаборника, форсу</w:t>
      </w:r>
      <w:r w:rsidRPr="00070ADE">
        <w:rPr>
          <w:rFonts w:ascii="Times New Roman" w:hAnsi="Times New Roman"/>
          <w:color w:val="000000" w:themeColor="text1"/>
          <w:sz w:val="16"/>
          <w:szCs w:val="16"/>
        </w:rPr>
        <w:softHyphen/>
        <w:t>нок и дефлекторов камеры сгорания, сопла), чтобы под</w:t>
      </w:r>
      <w:r w:rsidRPr="00070ADE">
        <w:rPr>
          <w:rFonts w:ascii="Times New Roman" w:hAnsi="Times New Roman"/>
          <w:color w:val="000000" w:themeColor="text1"/>
          <w:sz w:val="16"/>
          <w:szCs w:val="16"/>
        </w:rPr>
        <w:softHyphen/>
        <w:t>бором их оптимального сочетания обеспечить устойчи</w:t>
      </w:r>
      <w:r w:rsidRPr="00070ADE">
        <w:rPr>
          <w:rFonts w:ascii="Times New Roman" w:hAnsi="Times New Roman"/>
          <w:color w:val="000000" w:themeColor="text1"/>
          <w:sz w:val="16"/>
          <w:szCs w:val="16"/>
        </w:rPr>
        <w:softHyphen/>
        <w:t>вость процесса горения (23381).</w:t>
      </w:r>
    </w:p>
    <w:p w14:paraId="78656061" w14:textId="77777777" w:rsidR="00171125" w:rsidRPr="00070ADE" w:rsidRDefault="00171125" w:rsidP="00B56F90">
      <w:pPr>
        <w:spacing w:after="0" w:line="240" w:lineRule="auto"/>
        <w:jc w:val="both"/>
        <w:rPr>
          <w:rFonts w:ascii="Times New Roman" w:hAnsi="Times New Roman"/>
          <w:color w:val="000000" w:themeColor="text1"/>
          <w:sz w:val="16"/>
          <w:szCs w:val="16"/>
        </w:rPr>
      </w:pPr>
    </w:p>
    <w:p w14:paraId="5C677EFD" w14:textId="77777777" w:rsidR="00336754" w:rsidRPr="00C94B78" w:rsidRDefault="003367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23 февраля 1944:</w:t>
      </w:r>
    </w:p>
    <w:p w14:paraId="097FAA92" w14:textId="77777777" w:rsidR="00336754" w:rsidRPr="00C94B78" w:rsidRDefault="003367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«Акт выполненных работ на самолете Як-7Б № 820803 с мотором М-105ПФ № 45-32.</w:t>
      </w:r>
    </w:p>
    <w:p w14:paraId="01BF63C8" w14:textId="77777777" w:rsidR="00336754" w:rsidRPr="00C94B78" w:rsidRDefault="003367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23 февраля 1944 г. Мы нижеподписавшиеся: гл. инженер завода т. Ромадин В.А., нач. цеха № 6 т. Лаптев Н.С., за нач. ОТК з-да т. Цесарский Г.А. и ведущий инженер т. Николаев</w:t>
      </w:r>
      <w:r w:rsidRPr="00C94B78">
        <w:rPr>
          <w:rFonts w:ascii="Times New Roman" w:hAnsi="Times New Roman"/>
          <w:color w:val="0070C0"/>
          <w:sz w:val="16"/>
          <w:szCs w:val="16"/>
        </w:rPr>
        <w:softHyphen/>
        <w:t>ский Б.А. составили настоящий акт в том, что на заводе NT 482 НКАП были проведены следующие работы по самолету:</w:t>
      </w:r>
    </w:p>
    <w:p w14:paraId="2663A0BC" w14:textId="77777777" w:rsidR="00336754" w:rsidRPr="00C94B78" w:rsidRDefault="00336754" w:rsidP="00B56F90">
      <w:pPr>
        <w:widowControl w:val="0"/>
        <w:tabs>
          <w:tab w:val="left" w:pos="610"/>
        </w:tabs>
        <w:spacing w:after="0" w:line="240" w:lineRule="auto"/>
        <w:jc w:val="both"/>
        <w:rPr>
          <w:rFonts w:ascii="Times New Roman" w:hAnsi="Times New Roman"/>
          <w:color w:val="0070C0"/>
          <w:sz w:val="16"/>
          <w:szCs w:val="16"/>
        </w:rPr>
      </w:pPr>
      <w:bookmarkStart w:id="6" w:name="bookmark236"/>
      <w:bookmarkEnd w:id="6"/>
      <w:r w:rsidRPr="00C94B78">
        <w:rPr>
          <w:rFonts w:ascii="Times New Roman" w:hAnsi="Times New Roman"/>
          <w:color w:val="0070C0"/>
          <w:sz w:val="16"/>
          <w:szCs w:val="16"/>
        </w:rPr>
        <w:t>1. Подвеска дополнительных двигателей.</w:t>
      </w:r>
    </w:p>
    <w:p w14:paraId="571A252A" w14:textId="77777777" w:rsidR="00336754" w:rsidRPr="00C94B78" w:rsidRDefault="00336754" w:rsidP="00B56F90">
      <w:pPr>
        <w:widowControl w:val="0"/>
        <w:tabs>
          <w:tab w:val="left" w:pos="625"/>
        </w:tabs>
        <w:spacing w:after="0" w:line="240" w:lineRule="auto"/>
        <w:jc w:val="both"/>
        <w:rPr>
          <w:rFonts w:ascii="Times New Roman" w:hAnsi="Times New Roman"/>
          <w:color w:val="0070C0"/>
          <w:sz w:val="16"/>
          <w:szCs w:val="16"/>
        </w:rPr>
      </w:pPr>
      <w:bookmarkStart w:id="7" w:name="bookmark237"/>
      <w:bookmarkEnd w:id="7"/>
      <w:r w:rsidRPr="00C94B78">
        <w:rPr>
          <w:rFonts w:ascii="Times New Roman" w:hAnsi="Times New Roman"/>
          <w:color w:val="0070C0"/>
          <w:sz w:val="16"/>
          <w:szCs w:val="16"/>
        </w:rPr>
        <w:t>2. Монтаж бензопровода к дополнительным двигателям.</w:t>
      </w:r>
    </w:p>
    <w:p w14:paraId="21109713" w14:textId="77777777" w:rsidR="00336754" w:rsidRPr="00C94B78" w:rsidRDefault="00336754" w:rsidP="00B56F90">
      <w:pPr>
        <w:widowControl w:val="0"/>
        <w:tabs>
          <w:tab w:val="left" w:pos="626"/>
        </w:tabs>
        <w:spacing w:after="0" w:line="240" w:lineRule="auto"/>
        <w:jc w:val="both"/>
        <w:rPr>
          <w:rFonts w:ascii="Times New Roman" w:hAnsi="Times New Roman"/>
          <w:color w:val="0070C0"/>
          <w:sz w:val="16"/>
          <w:szCs w:val="16"/>
        </w:rPr>
      </w:pPr>
      <w:bookmarkStart w:id="8" w:name="bookmark238"/>
      <w:bookmarkEnd w:id="8"/>
      <w:r w:rsidRPr="00C94B78">
        <w:rPr>
          <w:rFonts w:ascii="Times New Roman" w:hAnsi="Times New Roman"/>
          <w:color w:val="0070C0"/>
          <w:sz w:val="16"/>
          <w:szCs w:val="16"/>
        </w:rPr>
        <w:t>3. Установка агрегатов бензосистемы (дополнительная пом</w:t>
      </w:r>
      <w:r w:rsidRPr="00C94B78">
        <w:rPr>
          <w:rFonts w:ascii="Times New Roman" w:hAnsi="Times New Roman"/>
          <w:color w:val="0070C0"/>
          <w:sz w:val="16"/>
          <w:szCs w:val="16"/>
        </w:rPr>
        <w:softHyphen/>
        <w:t>па, краны).</w:t>
      </w:r>
    </w:p>
    <w:p w14:paraId="14806D13" w14:textId="77777777" w:rsidR="00336754" w:rsidRPr="00C94B78" w:rsidRDefault="00336754" w:rsidP="00B56F90">
      <w:pPr>
        <w:widowControl w:val="0"/>
        <w:tabs>
          <w:tab w:val="left" w:pos="639"/>
        </w:tabs>
        <w:spacing w:after="0" w:line="240" w:lineRule="auto"/>
        <w:jc w:val="both"/>
        <w:rPr>
          <w:rFonts w:ascii="Times New Roman" w:hAnsi="Times New Roman"/>
          <w:color w:val="0070C0"/>
          <w:sz w:val="16"/>
          <w:szCs w:val="16"/>
        </w:rPr>
      </w:pPr>
      <w:bookmarkStart w:id="9" w:name="bookmark239"/>
      <w:bookmarkEnd w:id="9"/>
      <w:r w:rsidRPr="00C94B78">
        <w:rPr>
          <w:rFonts w:ascii="Times New Roman" w:hAnsi="Times New Roman"/>
          <w:color w:val="0070C0"/>
          <w:sz w:val="16"/>
          <w:szCs w:val="16"/>
        </w:rPr>
        <w:t>4. Монтаж управления кранами.</w:t>
      </w:r>
    </w:p>
    <w:p w14:paraId="1DE53C15" w14:textId="77777777" w:rsidR="00336754" w:rsidRPr="00C94B78" w:rsidRDefault="00336754" w:rsidP="00B56F90">
      <w:pPr>
        <w:widowControl w:val="0"/>
        <w:tabs>
          <w:tab w:val="left" w:pos="650"/>
        </w:tabs>
        <w:spacing w:after="0" w:line="240" w:lineRule="auto"/>
        <w:jc w:val="both"/>
        <w:rPr>
          <w:rFonts w:ascii="Times New Roman" w:hAnsi="Times New Roman"/>
          <w:color w:val="0070C0"/>
          <w:sz w:val="16"/>
          <w:szCs w:val="16"/>
        </w:rPr>
      </w:pPr>
      <w:bookmarkStart w:id="10" w:name="bookmark240"/>
      <w:bookmarkEnd w:id="10"/>
      <w:r w:rsidRPr="00C94B78">
        <w:rPr>
          <w:rFonts w:ascii="Times New Roman" w:hAnsi="Times New Roman"/>
          <w:b/>
          <w:bCs/>
          <w:color w:val="0070C0"/>
          <w:sz w:val="16"/>
          <w:szCs w:val="16"/>
        </w:rPr>
        <w:t xml:space="preserve">5. </w:t>
      </w:r>
      <w:r w:rsidRPr="00C94B78">
        <w:rPr>
          <w:rFonts w:ascii="Times New Roman" w:hAnsi="Times New Roman"/>
          <w:color w:val="0070C0"/>
          <w:sz w:val="16"/>
          <w:szCs w:val="16"/>
        </w:rPr>
        <w:t>Монтаж электропроводки зажигания дополнительных двигателей.</w:t>
      </w:r>
    </w:p>
    <w:p w14:paraId="7E3EC4B9" w14:textId="77777777" w:rsidR="00336754" w:rsidRPr="00C94B78" w:rsidRDefault="00336754" w:rsidP="00B56F90">
      <w:pPr>
        <w:widowControl w:val="0"/>
        <w:tabs>
          <w:tab w:val="left" w:pos="639"/>
        </w:tabs>
        <w:spacing w:after="0" w:line="240" w:lineRule="auto"/>
        <w:jc w:val="both"/>
        <w:rPr>
          <w:rFonts w:ascii="Times New Roman" w:hAnsi="Times New Roman"/>
          <w:color w:val="0070C0"/>
          <w:sz w:val="16"/>
          <w:szCs w:val="16"/>
        </w:rPr>
      </w:pPr>
      <w:bookmarkStart w:id="11" w:name="bookmark241"/>
      <w:bookmarkEnd w:id="11"/>
      <w:r w:rsidRPr="00C94B78">
        <w:rPr>
          <w:rFonts w:ascii="Times New Roman" w:hAnsi="Times New Roman"/>
          <w:color w:val="0070C0"/>
          <w:sz w:val="16"/>
          <w:szCs w:val="16"/>
        </w:rPr>
        <w:t>6. Монтаж контрольных приборов.</w:t>
      </w:r>
    </w:p>
    <w:p w14:paraId="490DD7E8" w14:textId="77777777" w:rsidR="00336754" w:rsidRPr="00C94B78" w:rsidRDefault="00336754" w:rsidP="00B56F90">
      <w:pPr>
        <w:widowControl w:val="0"/>
        <w:tabs>
          <w:tab w:val="left" w:pos="639"/>
        </w:tabs>
        <w:spacing w:after="0" w:line="240" w:lineRule="auto"/>
        <w:jc w:val="both"/>
        <w:rPr>
          <w:rFonts w:ascii="Times New Roman" w:hAnsi="Times New Roman"/>
          <w:color w:val="0070C0"/>
          <w:sz w:val="16"/>
          <w:szCs w:val="16"/>
        </w:rPr>
      </w:pPr>
      <w:bookmarkStart w:id="12" w:name="bookmark242"/>
      <w:bookmarkEnd w:id="12"/>
      <w:r w:rsidRPr="00C94B78">
        <w:rPr>
          <w:rFonts w:ascii="Times New Roman" w:hAnsi="Times New Roman"/>
          <w:color w:val="0070C0"/>
          <w:sz w:val="16"/>
          <w:szCs w:val="16"/>
        </w:rPr>
        <w:t>7. Оборудование задней кабины для наблюдателя.</w:t>
      </w:r>
    </w:p>
    <w:p w14:paraId="3320ABEF" w14:textId="77777777" w:rsidR="00336754" w:rsidRPr="00C94B78" w:rsidRDefault="00336754" w:rsidP="00B56F90">
      <w:pPr>
        <w:widowControl w:val="0"/>
        <w:tabs>
          <w:tab w:val="left" w:pos="639"/>
        </w:tabs>
        <w:spacing w:after="0" w:line="240" w:lineRule="auto"/>
        <w:jc w:val="both"/>
        <w:rPr>
          <w:rFonts w:ascii="Times New Roman" w:hAnsi="Times New Roman"/>
          <w:color w:val="0070C0"/>
          <w:sz w:val="16"/>
          <w:szCs w:val="16"/>
        </w:rPr>
      </w:pPr>
      <w:bookmarkStart w:id="13" w:name="bookmark243"/>
      <w:bookmarkEnd w:id="13"/>
      <w:r w:rsidRPr="00C94B78">
        <w:rPr>
          <w:rFonts w:ascii="Times New Roman" w:hAnsi="Times New Roman"/>
          <w:color w:val="0070C0"/>
          <w:sz w:val="16"/>
          <w:szCs w:val="16"/>
        </w:rPr>
        <w:t>8. Отработка шасси и пневмосистемы.</w:t>
      </w:r>
    </w:p>
    <w:p w14:paraId="0770C2B3" w14:textId="77777777" w:rsidR="00336754" w:rsidRPr="00C94B78" w:rsidRDefault="00336754" w:rsidP="00B56F90">
      <w:pPr>
        <w:widowControl w:val="0"/>
        <w:tabs>
          <w:tab w:val="left" w:pos="639"/>
        </w:tabs>
        <w:spacing w:after="0" w:line="240" w:lineRule="auto"/>
        <w:jc w:val="both"/>
        <w:rPr>
          <w:rFonts w:ascii="Times New Roman" w:hAnsi="Times New Roman"/>
          <w:color w:val="0070C0"/>
          <w:sz w:val="16"/>
          <w:szCs w:val="16"/>
        </w:rPr>
      </w:pPr>
      <w:bookmarkStart w:id="14" w:name="bookmark244"/>
      <w:bookmarkEnd w:id="14"/>
      <w:r w:rsidRPr="00C94B78">
        <w:rPr>
          <w:rFonts w:ascii="Times New Roman" w:hAnsi="Times New Roman"/>
          <w:color w:val="0070C0"/>
          <w:sz w:val="16"/>
          <w:szCs w:val="16"/>
        </w:rPr>
        <w:t>9. Тарировка приборов.</w:t>
      </w:r>
    </w:p>
    <w:p w14:paraId="0BE9FC76" w14:textId="77777777" w:rsidR="00336754" w:rsidRPr="00C94B78" w:rsidRDefault="00336754" w:rsidP="00B56F90">
      <w:pPr>
        <w:widowControl w:val="0"/>
        <w:tabs>
          <w:tab w:val="left" w:pos="711"/>
        </w:tabs>
        <w:spacing w:after="0" w:line="240" w:lineRule="auto"/>
        <w:jc w:val="both"/>
        <w:rPr>
          <w:rFonts w:ascii="Times New Roman" w:hAnsi="Times New Roman"/>
          <w:color w:val="0070C0"/>
          <w:sz w:val="16"/>
          <w:szCs w:val="16"/>
        </w:rPr>
      </w:pPr>
      <w:bookmarkStart w:id="15" w:name="bookmark245"/>
      <w:bookmarkEnd w:id="15"/>
      <w:r w:rsidRPr="00C94B78">
        <w:rPr>
          <w:rFonts w:ascii="Times New Roman" w:hAnsi="Times New Roman"/>
          <w:color w:val="0070C0"/>
          <w:sz w:val="16"/>
          <w:szCs w:val="16"/>
        </w:rPr>
        <w:t>10. Устранение дефектов по ведомости ОТК.</w:t>
      </w:r>
    </w:p>
    <w:p w14:paraId="2A86ED85" w14:textId="77777777" w:rsidR="00336754" w:rsidRPr="00C94B78" w:rsidRDefault="00336754" w:rsidP="00B56F90">
      <w:pPr>
        <w:widowControl w:val="0"/>
        <w:tabs>
          <w:tab w:val="left" w:pos="726"/>
        </w:tabs>
        <w:spacing w:after="0" w:line="240" w:lineRule="auto"/>
        <w:jc w:val="both"/>
        <w:rPr>
          <w:rFonts w:ascii="Times New Roman" w:hAnsi="Times New Roman"/>
          <w:color w:val="0070C0"/>
          <w:sz w:val="16"/>
          <w:szCs w:val="16"/>
        </w:rPr>
      </w:pPr>
      <w:bookmarkStart w:id="16" w:name="bookmark246"/>
      <w:bookmarkEnd w:id="16"/>
      <w:r w:rsidRPr="00C94B78">
        <w:rPr>
          <w:rFonts w:ascii="Times New Roman" w:hAnsi="Times New Roman"/>
          <w:color w:val="0070C0"/>
          <w:sz w:val="16"/>
          <w:szCs w:val="16"/>
        </w:rPr>
        <w:t>11. Окраска самолета.</w:t>
      </w:r>
    </w:p>
    <w:p w14:paraId="1552D911" w14:textId="77777777" w:rsidR="00336754" w:rsidRPr="00C94B78" w:rsidRDefault="003367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Вышеперечисленные работы произведены по чертежам, эскизам КБ нач. т. Меркулов И.А. и по указаниям ведущего инженера самолета т. Николаевского Б.А.</w:t>
      </w:r>
    </w:p>
    <w:p w14:paraId="265E1B2C" w14:textId="77777777" w:rsidR="00336754" w:rsidRPr="00C94B78" w:rsidRDefault="003367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Все указанные работы приняты ОТК завода» [41] (24920).</w:t>
      </w:r>
    </w:p>
    <w:p w14:paraId="03453118" w14:textId="77777777" w:rsidR="00336754" w:rsidRPr="00C94B78" w:rsidRDefault="00336754" w:rsidP="00B56F90">
      <w:pPr>
        <w:spacing w:after="0" w:line="240" w:lineRule="auto"/>
        <w:jc w:val="both"/>
        <w:rPr>
          <w:rFonts w:ascii="Times New Roman" w:hAnsi="Times New Roman"/>
          <w:color w:val="0070C0"/>
          <w:sz w:val="16"/>
          <w:szCs w:val="16"/>
        </w:rPr>
      </w:pPr>
    </w:p>
    <w:p w14:paraId="7A92FB3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февраля 1944 вышло Распоряжение ГКО № 5232. Об обеспечении качественным прокатом заказов авиационной промышленности. РГАНИР, Фонд ГКО, д. 211, лл. 80-82 (11012).</w:t>
      </w:r>
    </w:p>
    <w:p w14:paraId="73BC90F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413780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9EF91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AC203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февраля 1944 г. была подготовлена ИНСТРУКЦИЯ 4-го ОТДЕЛА УБП БТ и МВ КА ОБ ОСОБЕННОСТЯХ ИСПОЛЬЗОВАНИЯ 85-мм ТАНКОВОЙ ПУШКИ</w:t>
      </w:r>
    </w:p>
    <w:p w14:paraId="645C378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Устанавливаемая на Т-34 85-мм пушка выпускается двух образцов Д5-Т-85 и С-58. В бою пушку обслуживают два человека, к-р орудия и заряжающий.</w:t>
      </w:r>
    </w:p>
    <w:p w14:paraId="40CBA2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Обе системы по своим боевым свойствам существенной разницы не имеют и предназначаются для борьбы с бронетанковыми средствами противника, подавления артиллерийских батарей, орудий противо</w:t>
      </w:r>
      <w:r w:rsidRPr="00070ADE">
        <w:rPr>
          <w:rFonts w:ascii="Times New Roman" w:hAnsi="Times New Roman"/>
          <w:color w:val="000000" w:themeColor="text1"/>
          <w:sz w:val="16"/>
          <w:szCs w:val="16"/>
        </w:rPr>
        <w:softHyphen/>
        <w:t>танковой обороны и поражения живой силы противника с предельных дистанций стрельбы 1500-2000 м.</w:t>
      </w:r>
    </w:p>
    <w:p w14:paraId="5F20C5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 боекомплект входят осколочно-фугасные и бронебойные снаряды (всего 48-55 шт.). Вес уни</w:t>
      </w:r>
      <w:r w:rsidRPr="00070ADE">
        <w:rPr>
          <w:rFonts w:ascii="Times New Roman" w:hAnsi="Times New Roman"/>
          <w:color w:val="000000" w:themeColor="text1"/>
          <w:sz w:val="16"/>
          <w:szCs w:val="16"/>
        </w:rPr>
        <w:softHyphen/>
        <w:t>тарного патрона, округленно — 16 кг.</w:t>
      </w:r>
    </w:p>
    <w:p w14:paraId="075687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Решение боевой (огневой) задачи обеспечивается:</w:t>
      </w:r>
    </w:p>
    <w:p w14:paraId="1D9B976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мощностью артогня;</w:t>
      </w:r>
    </w:p>
    <w:p w14:paraId="750CEA9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маневренностью по вертикальному (- 5 + 25 градусов) и горизонтальному (360 градусов) наве</w:t>
      </w:r>
      <w:r w:rsidRPr="00070ADE">
        <w:rPr>
          <w:rFonts w:ascii="Times New Roman" w:hAnsi="Times New Roman"/>
          <w:color w:val="000000" w:themeColor="text1"/>
          <w:sz w:val="16"/>
          <w:szCs w:val="16"/>
        </w:rPr>
        <w:softHyphen/>
        <w:t>дению орудия;</w:t>
      </w:r>
    </w:p>
    <w:p w14:paraId="0B90935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достаточно высокой скорострельностью орудия (4 выстрела в минуту).</w:t>
      </w:r>
    </w:p>
    <w:p w14:paraId="4470A35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Начальные скорости:</w:t>
      </w:r>
    </w:p>
    <w:p w14:paraId="3037A9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бр. сн. - 793 м/с;</w:t>
      </w:r>
    </w:p>
    <w:p w14:paraId="626DC2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оск. фуг. сн. — 783 м/с.</w:t>
      </w:r>
    </w:p>
    <w:p w14:paraId="27C01B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Незначительная разница в начальных скоростях позволила иметь телескопический прицел с одной шкалой, используемой для стрельбы обоими видами снарядов — бр. и оск. фуг. (прицел шар</w:t>
      </w:r>
      <w:r w:rsidRPr="00070ADE">
        <w:rPr>
          <w:rFonts w:ascii="Times New Roman" w:hAnsi="Times New Roman"/>
          <w:color w:val="000000" w:themeColor="text1"/>
          <w:sz w:val="16"/>
          <w:szCs w:val="16"/>
        </w:rPr>
        <w:softHyphen/>
        <w:t>нирный). Прицел ЮТ-15 постепенно будет заменен.</w:t>
      </w:r>
    </w:p>
    <w:p w14:paraId="0FF1E2E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Настильность траектории снарядов обеспечивает дальность прямого выстрела по целям:</w:t>
      </w:r>
    </w:p>
    <w:p w14:paraId="4D9AC72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танк Т-VI («Тигр») - высотой 2,94 м на 1000 м;</w:t>
      </w:r>
    </w:p>
    <w:p w14:paraId="45D814F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танк Т-У («Пантера») — высотой 2,91 м на 1000 м;</w:t>
      </w:r>
    </w:p>
    <w:p w14:paraId="0DA824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танк Т-ГУ (средний) — высотой 2, 63 м на 900 м;</w:t>
      </w:r>
    </w:p>
    <w:p w14:paraId="068304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г) танк Т-III (средний) — высотой 2,49 м на 900 м.</w:t>
      </w:r>
    </w:p>
    <w:p w14:paraId="6B6232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Мощность и большая пробивная способность снаряда, небольшая величина рассеивания (на 1000 м величина Вв и Вб равны 0,16 м) дает возможность успешной борьбы с тяжелыми и средними танками противника.</w:t>
      </w:r>
    </w:p>
    <w:p w14:paraId="312BB5E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Большая начальная скорость пушки, а следовательно, хорошая настильность и пробивная спо</w:t>
      </w:r>
      <w:r w:rsidRPr="00070ADE">
        <w:rPr>
          <w:rFonts w:ascii="Times New Roman" w:hAnsi="Times New Roman"/>
          <w:color w:val="000000" w:themeColor="text1"/>
          <w:sz w:val="16"/>
          <w:szCs w:val="16"/>
        </w:rPr>
        <w:softHyphen/>
        <w:t>собность — вносят некоторые особенности ведения огня из пушек этого калибра:</w:t>
      </w:r>
    </w:p>
    <w:p w14:paraId="74EE12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стрельба должна вестись с предельных дистанций (с учетом характера цели, возможности наблюдения) и по сложившейся боевой обстановке от 1500 до 2000 м;</w:t>
      </w:r>
    </w:p>
    <w:p w14:paraId="6C447E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малое полетное время снаряда до цели не позволяет производить корректирование огня по боковому отклонению отмеченным прицелом до момента разрыва снаряда, стрелок не успе</w:t>
      </w:r>
      <w:r w:rsidRPr="00070ADE">
        <w:rPr>
          <w:rFonts w:ascii="Times New Roman" w:hAnsi="Times New Roman"/>
          <w:color w:val="000000" w:themeColor="text1"/>
          <w:sz w:val="16"/>
          <w:szCs w:val="16"/>
        </w:rPr>
        <w:softHyphen/>
        <w:t>вает восстановить наводку, поэтому обучение корректированию огня должно производиться главным образом выносом точки прицеливания на величину наблюдаемого бокового отклонения. Корректирование по дальности, на дистанциях свыше 1200 м производится прицелом, на близких дистанциях выносом точки прицеливания.</w:t>
      </w:r>
    </w:p>
    <w:p w14:paraId="1AB08F5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затруднено наблюдение за разрывами со стороны стреляющего (при стрельбе на дальность до 1000-1200 м), дым, пыль после выстрела не успевают быстро рассеяться.</w:t>
      </w:r>
    </w:p>
    <w:p w14:paraId="02773F6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стрельбе из танка весь состав экипажа должен тщательно наблюдать за разрывами и помо</w:t>
      </w:r>
      <w:r w:rsidRPr="00070ADE">
        <w:rPr>
          <w:rFonts w:ascii="Times New Roman" w:hAnsi="Times New Roman"/>
          <w:color w:val="000000" w:themeColor="text1"/>
          <w:sz w:val="16"/>
          <w:szCs w:val="16"/>
        </w:rPr>
        <w:softHyphen/>
        <w:t>гать стреляющему корректировать огонь.</w:t>
      </w:r>
    </w:p>
    <w:p w14:paraId="33C7A9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стрельба по движущимся танкам (целям) под КУ близким к ±90 градусов на дальностях до 800-1000 м со скоростью до 15 км/ч ведется с прицеливаем в передний обрез цели. При скорости цели до 20 км/ч, точка прицеливания выносится на !/</w:t>
      </w:r>
      <w:r w:rsidRPr="00070ADE">
        <w:rPr>
          <w:rFonts w:ascii="Times New Roman" w:hAnsi="Times New Roman"/>
          <w:color w:val="000000" w:themeColor="text1"/>
          <w:sz w:val="16"/>
          <w:szCs w:val="16"/>
          <w:vertAlign w:val="subscript"/>
        </w:rPr>
        <w:t>2</w:t>
      </w:r>
      <w:r w:rsidRPr="00070ADE">
        <w:rPr>
          <w:rFonts w:ascii="Times New Roman" w:hAnsi="Times New Roman"/>
          <w:color w:val="000000" w:themeColor="text1"/>
          <w:sz w:val="16"/>
          <w:szCs w:val="16"/>
        </w:rPr>
        <w:t xml:space="preserve"> фигуры в сторону движения цели.</w:t>
      </w:r>
    </w:p>
    <w:p w14:paraId="0DCA32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косом движении цели указанная поправка берется в два раза меньше.</w:t>
      </w:r>
    </w:p>
    <w:p w14:paraId="210BFA0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Основным боевым качеством 85-мм пушки является ее кучность и меткость боя.</w:t>
      </w:r>
    </w:p>
    <w:p w14:paraId="6384B0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обучении стрельбе из этих пушек главное внимание должно быть обращено на точное определение исходных данных и правильный выбор точки прицеливания.</w:t>
      </w:r>
    </w:p>
    <w:p w14:paraId="74674D9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Сравнительно небольшой боекомплект танка, высокие боевые качества пушки обязывают эки</w:t>
      </w:r>
      <w:r w:rsidRPr="00070ADE">
        <w:rPr>
          <w:rFonts w:ascii="Times New Roman" w:hAnsi="Times New Roman"/>
          <w:color w:val="000000" w:themeColor="text1"/>
          <w:sz w:val="16"/>
          <w:szCs w:val="16"/>
        </w:rPr>
        <w:softHyphen/>
        <w:t>паж танка рационально и наиболее эффективно использовать боеприпасы. Различные виды снаря</w:t>
      </w:r>
      <w:r w:rsidRPr="00070ADE">
        <w:rPr>
          <w:rFonts w:ascii="Times New Roman" w:hAnsi="Times New Roman"/>
          <w:color w:val="000000" w:themeColor="text1"/>
          <w:sz w:val="16"/>
          <w:szCs w:val="16"/>
        </w:rPr>
        <w:softHyphen/>
        <w:t>дов должны быть использованы строго в соответствии с характером цели.</w:t>
      </w:r>
    </w:p>
    <w:p w14:paraId="3A1890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4 отдела УБП БТ и МВ КА подполковник Д. Калинин</w:t>
      </w:r>
    </w:p>
    <w:p w14:paraId="5B62741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11353. Д. 199 Л. 79-80. Копия (11403).</w:t>
      </w:r>
    </w:p>
    <w:p w14:paraId="6B0B65F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F53EB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февраля 1944 вышло Постановление ГКО № 5233 О подготовке к пропуску весеннего паводка и восстановлению Днепровской гидроэлектростанции им. В.И.Ленина. РГАНИР, Фонд ГКО, д. 211, лл. 83-84,85-95 (11012).</w:t>
      </w:r>
    </w:p>
    <w:p w14:paraId="4177E8A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0263C0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февраля 1944 вышло Постановление ГКО № 5234 О добыче торфа торфопредприятиями наркоматов и ведомств в 1944 году. РГАНИР, Фонд ГКО, д. 211, лл. 96-103,104-160 (11012).</w:t>
      </w:r>
    </w:p>
    <w:p w14:paraId="45D9595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E4644E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февраля 1944 вышло Постановление ГКО № 5235 О неотложных мерах по подготовке к лесосплаву в навигацию 1944 г. (7191, 161-179,180-197).</w:t>
      </w:r>
    </w:p>
    <w:p w14:paraId="28CE8FB7"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6C16A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8ACEC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F394E2"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77A35C51"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23 февраля юго-западнее и южнее города Луга наши войска продолжали вести наступательные бои, в ходе которых сломили сопротивление противника и овладели районным центром Ленинградской области и крупной железнодорожной станцией Струги Красные, а также с боями заняли более 30 других населённых пунктов, в том числе Дуброво, Жупаново, Лудони, Велени, Щирск, Теребуни, Хредино, Залазы, Поречье, Видони, Замушки.</w:t>
      </w:r>
    </w:p>
    <w:p w14:paraId="511994CC"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озера Ильмень наши войска, продолжая развивать успешное наступление, с боями заняли более 150 населённых пунктов, в том числе Ситня, Зелеменье, Городище, Лукома, Залесье, Замошки, Шильская, Выскодь, Вишенка, Гаврово, Дроздиха, Хотован, Адершино, Петрово, Семёновщина и железнодорожные станции Куклино, Леменка, Гачки, Поломка, Дно 3-я. Наши войска, преодолевая сопротивление противника, вплотную подошли к городу и крупному железнодорожномуузлу ДНО и завязали уличные бои на северной и восточной окраинах города.</w:t>
      </w:r>
    </w:p>
    <w:p w14:paraId="5D6E3C3C"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города Кривой Рог наши войска продолжали вести наступательные бои, в ходе которых заняли несколько населённых пунктов.</w:t>
      </w:r>
    </w:p>
    <w:p w14:paraId="6909B9BD"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35276FBD"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22 февраля наши войска на всех фронтах подбили и уничтожили 140 немецких танков. В воздушных боях и огнём зенитной артиллерии сбито 20 самолётовпротивника.».</w:t>
      </w:r>
    </w:p>
    <w:p w14:paraId="44F6649A"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Налёт наших самолётов на город Або (Турку).</w:t>
      </w:r>
    </w:p>
    <w:p w14:paraId="3B7E319A"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23 февраля наша авиация произвела массированный налёт на финский портовый город Або (Турку) и подвергла бомбардировке военно-промышленные объекты этого города. В результате бомбардировки возникло много пожаров, сопровождавшихся взрывами. Особенно крупные пожары и сильные взрывы наблюдением отмечены на территории судостроительной верфи и механического завода, а также в районе военных складов противника.</w:t>
      </w:r>
    </w:p>
    <w:p w14:paraId="7341A99F"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Четыре наших самолёта не вернулись на свои базы.</w:t>
      </w:r>
    </w:p>
    <w:p w14:paraId="3915404F"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иностранной печати появились сообщения, будто бы русские самолёты сбросили бомбы в районе Стокгольма. Все эти сообщения не соответствуют действительности. Никаких русских самолётов в районе Стокгольма не было, и поэтому они не могли сбросить бомб в этом районе.».</w:t>
      </w:r>
    </w:p>
    <w:p w14:paraId="7F50E0CD"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Луга наши войска овладели районным центром Ленинградской области и крупной железнодорожной станцией Струги Красные, а также заняли более 30 других населённых пунктов. На одном участке бойцы Н-ской части, продвигаясь вперёд, истребили до батальона немецкой пехоты. Артиллеристы и миномётчики этой же части подбили 4 вражеских танка, 7 орудий и взорвали три крупных склада боеприпасов. В другом районе батальон под командованием капитана Тимошина оседлал шоссейную дорогу в тылу противника и в течение трёх суток удерживал её до подхода главных сил. За это время наши бойцы отразили несколько контратак противника и истребили более 200 гитлеровцев.</w:t>
      </w:r>
    </w:p>
    <w:p w14:paraId="5CCD0AF6"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озера Ильмень наши войска продолжали успешное наступление. Преодолевая сопротивление противника, уничтожая его живую силу и технику, советские бойцы освободили от немецко-фашистских захватчиков более 150 населённых пунктов. Части Н-ского соединения, стремительно продвигаясь вперёд, разгромили несколько узлов вражеской обороны и завязали бои на окраинах города и крупного железнодорожного узла Дно. За день боёв уничтожено свыше 1.500 гитлеровцев. Захвачены трофеи и взято в плен много немецких солдат и офицеров.</w:t>
      </w:r>
    </w:p>
    <w:p w14:paraId="412A6E30"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города Кривой Рог наши войска продолжали вести наступательные бои и заняли несколько населённых пунктов. В боях на подступах к городу Кривой Рог наши войска, по неполным данным, истребили до 6.000 немецких солдат и офицеров. Захвачено у немцев 16 танков, более 100 орудий, 680 пулемётов, 7 тысяч автоматов и винтовок, 660 автомашин, 170 вагонов и много повозок с грузами, 6 крупных складов с боеприпасами и военным имуществом. Трофеи, захваченные в городе Кривой Рог, подсчитываются.</w:t>
      </w:r>
    </w:p>
    <w:p w14:paraId="13D1F3B8"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Молдавский партизанский отряд, направляясь на боевое задание, встретил батальон немецкой пехоты. Партизаны атаковали противника и в ожесточённом бою уничтожили до 100 гитлеровцев. Группа партизан отряда, действующего в Каменец-Подольской области, проникла на железнодорожную станцию и взорвала вражеский эшелон с горючим. Возник большой пожар, сопровождавшийся сильными взрывами. Уничтожено 20 цистерн с горючим и 32 вагона с разными военными грузами.</w:t>
      </w:r>
    </w:p>
    <w:p w14:paraId="787F89DF"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 Верховного Главнокомандующего товарища Сталина о 26-й годовщине Красной Армии вызвал огромное воодушевление и новый патриотический подъём трудящихся Советской страны. На митингах и собраниях рабочие, колхозники и интеллигенция горячо приветствуют славную Красную Армию, любимого вождя товарища Сталина и заявляют, что они обеспечат Красную Армию всем необходимым для скорейшего и окончательного разгрома немецко-фашистских захватчиков.</w:t>
      </w:r>
    </w:p>
    <w:p w14:paraId="4FD91A69"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Московском металлургическом заводе «Серп и молот» на митинге выступил сталевар тов. Дроздов. Он сказал: «С глубоким удовлетворением и с чувством гордости мы встретили сталинские слова о том, что усилия рабочего класса приближают час нашей окончательной победы. Мы постараемся увеличить выплавку металла, чтобы наша Красная Армия могла нанести ещё более сокрушительные удары немецким гадам. Великий и мудрый вождь призывает нас трезво оценивать силы врага, быть бдительными, не зазнаваться, не допускать самоуспокоенности и беспечности. Мы заверяем товарища Сталина, что советские рабочие свято выполнят его указания. Я обязуюсь с каждой плавки выдавать по 5 тонн стали сверх задания». Рабочие завода «Серп и молот» взяли на себя конкретные обязательства по увеличению выпуска продукции.</w:t>
      </w:r>
    </w:p>
    <w:p w14:paraId="56D70549"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большим подъёмом прошли митинги на предприятиях Ленинграда. На митинге коллектива завода, где секретарём парткома т. Капралов, выступил бригадир кузнечно-термического цеха тов. Гришин: «Освобождение Ленинграда от вражескойблокады, — сказал он, — является крупнейшей победой нашей героической КраснойАрмии. Мы будем работать так, как нас учит великий Сталин. Став на стахановскую вахту, моя бригада вдвое увеличила выработку продукции. Вчера и сегодня каждыйиз нас дал по две-две с половиной нормы». Работница чугунолитейного цеха тов. Дерко заявила: «От всего сердца мы благодарим нашу Красную Армию и великого полководца товарища Сталина. Ленинград снова дышит полной грудью. Мы даём товарищу Сталину нерушимое слово, что будем и впредь работать по-фронтовому, по-ленинградски».</w:t>
      </w:r>
    </w:p>
    <w:p w14:paraId="11F2A4E1"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 Куйбышевском машиностроительном заводе рабочие отметили годовщину КраснойАрмии выпуском сверхплановой продукции. 23 февраля коллектив завода отправил нафронт изделия, изготовленные сверх февральского плана. В цехах завода состоялисьмноголюдные митинги. Слесарь тов. Феоктистов при общем одобрении всех рабочихзаявил: «Сегодня вся страна горячо приветствует доблестную Красную Армию. Мы заверяем нашего любимого вождя товарища Сталина, что самоотверженным трудом будем ещё больше помогать Красной Армии в её священной борьбе против немецких захватчиков» (15049).</w:t>
      </w:r>
    </w:p>
    <w:p w14:paraId="24ABF9AC" w14:textId="77777777" w:rsidR="00B609F6" w:rsidRPr="00070ADE" w:rsidRDefault="00B609F6" w:rsidP="00B56F90">
      <w:pPr>
        <w:spacing w:after="0" w:line="240" w:lineRule="auto"/>
        <w:jc w:val="both"/>
        <w:rPr>
          <w:rFonts w:ascii="Times New Roman" w:hAnsi="Times New Roman"/>
          <w:color w:val="000000" w:themeColor="text1"/>
          <w:sz w:val="16"/>
          <w:szCs w:val="16"/>
        </w:rPr>
      </w:pPr>
    </w:p>
    <w:p w14:paraId="7495FC38" w14:textId="77777777" w:rsidR="00A44782" w:rsidRPr="00070ADE" w:rsidRDefault="00A44782" w:rsidP="00B56F90">
      <w:pPr>
        <w:pStyle w:val="a8"/>
        <w:jc w:val="both"/>
        <w:rPr>
          <w:rFonts w:ascii="Times New Roman" w:hAnsi="Times New Roman" w:cs="Times New Roman"/>
          <w:color w:val="000000" w:themeColor="text1"/>
        </w:rPr>
      </w:pPr>
      <w:r w:rsidRPr="00070ADE">
        <w:rPr>
          <w:rFonts w:ascii="Times New Roman" w:hAnsi="Times New Roman" w:cs="Times New Roman"/>
          <w:color w:val="000000" w:themeColor="text1"/>
        </w:rPr>
        <w:t>23 февраля 1944 г. ведомая Кудымовым шестерка И-16 3-й ОИАЭ прикрывала в районе пункта Покровское пятерку Ил-2 группы к-на Клименко из 57-го ШАП. На обратном пути И-16-х атаковали истребители противника. По заявлению Кудымова, в завязавшемся бою ему удалось сбить ведущего группы, который упал на советской территории, поэтому воздушную победу подтвердили наземные войска. Им оказался FW 190, на вертикальном оперении которого было нарисовано 29 символов сбитых самолетов. Указанный воздушный бой стал одним из последних с участием И-16. В феврале 1944 г. 13-я эскадрилья вошла в состав 21-го ИАП ВВС КБФ, затем ее перевооружили — сначала на Як-7, затем на Як-9Д (19109).</w:t>
      </w:r>
    </w:p>
    <w:p w14:paraId="38F9EE26" w14:textId="77777777" w:rsidR="00A44782" w:rsidRPr="00070ADE" w:rsidRDefault="00A44782" w:rsidP="00B56F90">
      <w:pPr>
        <w:pStyle w:val="a8"/>
        <w:jc w:val="both"/>
        <w:rPr>
          <w:rFonts w:ascii="Times New Roman" w:hAnsi="Times New Roman" w:cs="Times New Roman"/>
          <w:color w:val="000000" w:themeColor="text1"/>
        </w:rPr>
      </w:pPr>
    </w:p>
    <w:p w14:paraId="5AADDBD7" w14:textId="1D4EDD93" w:rsidR="00B603E7" w:rsidRPr="00070ADE" w:rsidRDefault="00B603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февраля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Бомбардировка ВВС СССР Стокгольма. Во Второй мировой войне Швеция сохраняла нейтралитет, однако 23 февраля 1944 года и ей досталось. Стокилограммовой бомбой подчистую уничтожило недавно открытый летний театр — от него остался лишь кратер. В этой запутанной истории замешаны русский шпион и три «заблудившихся» советских бомбардировщика. Почему некоторые районы Стокгольма и город Стренгнес стали мишенью для авиабомб, до сих пор так и не выяснили. Хотя улики — в том числе фрагменты бомб с кириллическими буквами — указывали на Россию, её представители без колебаний заявили, что той ночью взрывы раздавались лишь в финских городах — Хельсинки, Турку и Котке. Швеция же всегда считала бомбардировку «несчастным случаем» из-за советской ошибки в навигации.</w:t>
      </w:r>
    </w:p>
    <w:p w14:paraId="5AD7B792" w14:textId="77777777" w:rsidR="00B603E7" w:rsidRPr="00070ADE" w:rsidRDefault="00B603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одной из версий, бомбардировка Стокгольма стала открытым предостережением Москвы: перестаньте поддерживать финнов, пусть и неофициально. По другой, Советы сбросили бомбы, чтобы надавить на Швецию и заставить Стокгольм отпустить советского шпиона Василия Сидоренко. Его арестовали в Стокгольме в 1942 году, обвинили в шпионаже и бросили за решетку на острове Лонгхольмен. Однако после бомбардировки отпустили (22589).</w:t>
      </w:r>
    </w:p>
    <w:p w14:paraId="20AA4E88" w14:textId="77777777" w:rsidR="00B603E7" w:rsidRPr="00070ADE" w:rsidRDefault="00B603E7" w:rsidP="00B56F90">
      <w:pPr>
        <w:spacing w:after="0" w:line="240" w:lineRule="auto"/>
        <w:jc w:val="both"/>
        <w:rPr>
          <w:rFonts w:ascii="Times New Roman" w:hAnsi="Times New Roman"/>
          <w:color w:val="000000" w:themeColor="text1"/>
          <w:sz w:val="16"/>
          <w:szCs w:val="16"/>
        </w:rPr>
      </w:pPr>
    </w:p>
    <w:p w14:paraId="673200B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февраля 1944 г. на центральном участке Восточного фронта партизанами сбит Ju 88C-6 майора Алоиза Лехнера (Alois Lechner), командира ночной истребительной эскадры I/NJG100, кавалера Рыцарского креста и одного из наиболее известных пилотов немецкой ночной авиации. До своей гибели Лехнер успел одержать 45 воздушных побед (9974).</w:t>
      </w:r>
    </w:p>
    <w:p w14:paraId="04536A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F1CB1BD"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5ADB69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66F0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февраля 1944 была проведена массовая депортация чеченцев и ингушей (1348,123) и была упразднена ЧИ АССР (3907,248).</w:t>
      </w:r>
    </w:p>
    <w:p w14:paraId="3E3783E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CB3F8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февраля 1944 Сталин упразднил Чечено-Ингушскую Автономную Республику (4962).</w:t>
      </w:r>
    </w:p>
    <w:p w14:paraId="7A501FD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E33F9E"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1944 году по обвинению в пособничестве немецко-фашистским оккупантам и измене родине упразднена Чечено-Ингушская Автономная Республика. Началась депортация в Казахстан и районы Крайнего Севера чеченского и ингушского народов. Депортации подлежало все население - от младенцев до древних стариков. 14 ноября 1989 г. Верховный Совет СССР принял декларацию о признании незаконными и преступными репрессивные акты против народов, подвергшихся насильственному переселению. 26 апреля 1991 г. Верховный Совет РСФСР принял закон «О реабилитации репрессированных народов» (15049).</w:t>
      </w:r>
    </w:p>
    <w:p w14:paraId="1F0C849D" w14:textId="77777777" w:rsidR="00B609F6" w:rsidRPr="00070ADE" w:rsidRDefault="00B609F6" w:rsidP="00B56F90">
      <w:pPr>
        <w:spacing w:after="0" w:line="240" w:lineRule="auto"/>
        <w:jc w:val="both"/>
        <w:rPr>
          <w:rFonts w:ascii="Times New Roman" w:hAnsi="Times New Roman"/>
          <w:color w:val="000000" w:themeColor="text1"/>
          <w:sz w:val="16"/>
          <w:szCs w:val="16"/>
        </w:rPr>
      </w:pPr>
    </w:p>
    <w:p w14:paraId="3E484A6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765A792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E6A80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февраля 1944 советская военная миссия прилетела в Югославию (1138,292). Летели на Ли-2 из Бари с планерами и приземлились на аэродром Медыно Поле (455,151).</w:t>
      </w:r>
    </w:p>
    <w:p w14:paraId="36CA07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94D1C8" w14:textId="77777777" w:rsidR="00B609F6"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0B40DB5F" w14:textId="77777777" w:rsidR="00B609F6" w:rsidRPr="00070ADE" w:rsidRDefault="00B609F6"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7893C5" w14:textId="77777777" w:rsidR="00B603E7" w:rsidRPr="00070ADE" w:rsidRDefault="00B603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февраля 1944 самолеты шести авианосцев Оперативной группы 58 наносят первый удар союзников по японским войскам на Марианских островах , атакуя Гуам, Рота и Тиниан, впервые обнаруживая расположение японских аэродромов на островах, уничтожая 168 японских самолетов, потопив два грузовых корабля и несколько меньших судов, и выполнив первые миссии союзников по фотографической разведке, когда-либо проъодившие над Марианскими островами (20373).</w:t>
      </w:r>
    </w:p>
    <w:p w14:paraId="66C9A9C8" w14:textId="77777777" w:rsidR="00B603E7" w:rsidRPr="00070ADE" w:rsidRDefault="00B603E7" w:rsidP="00B56F90">
      <w:pPr>
        <w:spacing w:after="0" w:line="240" w:lineRule="auto"/>
        <w:jc w:val="both"/>
        <w:rPr>
          <w:rFonts w:ascii="Times New Roman" w:hAnsi="Times New Roman"/>
          <w:color w:val="000000" w:themeColor="text1"/>
          <w:sz w:val="16"/>
          <w:szCs w:val="16"/>
        </w:rPr>
      </w:pPr>
    </w:p>
    <w:p w14:paraId="618346DB" w14:textId="77777777" w:rsidR="00B603E7" w:rsidRPr="00070ADE" w:rsidRDefault="00B603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23–24 февраля (ночь) 1944 во время налета на Дюссельдорф, Германия, бомбардировочная группа ВВС Великобритании на Де Хэвилленда Москито 692-й эскадрильи становится первой, Москито которой сбросывает 4 000-фунтовую (1219 кг) бомбу. Mosquitos будет регулярно нести 4000-фунтовые юомбы до конца Второй мировой войны, используя их против таких далеких целей, как Берлин (20373).</w:t>
      </w:r>
    </w:p>
    <w:p w14:paraId="0442314E" w14:textId="77777777" w:rsidR="00B603E7" w:rsidRPr="00070ADE" w:rsidRDefault="00B603E7" w:rsidP="00B56F90">
      <w:pPr>
        <w:spacing w:after="0" w:line="240" w:lineRule="auto"/>
        <w:jc w:val="both"/>
        <w:rPr>
          <w:rFonts w:ascii="Times New Roman" w:hAnsi="Times New Roman"/>
          <w:color w:val="000000" w:themeColor="text1"/>
          <w:sz w:val="16"/>
          <w:szCs w:val="16"/>
        </w:rPr>
      </w:pPr>
    </w:p>
    <w:p w14:paraId="522C8CC6"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февраля</w:t>
      </w:r>
      <w:r w:rsidRPr="00070ADE">
        <w:rPr>
          <w:rFonts w:ascii="Times New Roman" w:hAnsi="Times New Roman"/>
          <w:color w:val="000000" w:themeColor="text1"/>
          <w:sz w:val="16"/>
          <w:szCs w:val="16"/>
        </w:rPr>
        <w:t xml:space="preserve"> в 1944 году первый рейд американских торпедоносцев на Марианские острова (15049).</w:t>
      </w:r>
    </w:p>
    <w:p w14:paraId="122169CA" w14:textId="77777777" w:rsidR="00B609F6" w:rsidRPr="00070ADE" w:rsidRDefault="00B609F6" w:rsidP="00B56F90">
      <w:pPr>
        <w:spacing w:after="0" w:line="240" w:lineRule="auto"/>
        <w:jc w:val="both"/>
        <w:rPr>
          <w:rFonts w:ascii="Times New Roman" w:hAnsi="Times New Roman"/>
          <w:color w:val="000000" w:themeColor="text1"/>
          <w:sz w:val="16"/>
          <w:szCs w:val="16"/>
        </w:rPr>
      </w:pPr>
    </w:p>
    <w:p w14:paraId="26E42667"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9A203D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7A92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февраля 1944 года директор и гл. конструктор завода N 240 С.В.И. писал письмо N 8/249с Шахурину.</w:t>
      </w:r>
    </w:p>
    <w:p w14:paraId="3445680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опытном самолете Ил-6 установлены два дизель-мотора М-30Б, которые до поставки на самолет Ил-6 наработали больше 160 часов и прошли переборку на заводе N 500.</w:t>
      </w:r>
    </w:p>
    <w:p w14:paraId="65B41B8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Продолжать испытание самолета Ил-6 со столь старыми моторами сопряжено с риском, а кроме того, при испытании можем получить неверные данные, так как моторы имеют повышенную теплоотдачу в воду и масло, повышенный расход масла и топлива и пониженную мощность.</w:t>
      </w:r>
    </w:p>
    <w:p w14:paraId="4990B4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успешного проведения летных испытаний самолета Ил-6 прошу Вашего распоряжения о выделении двух серийных дизель-моторов М-30Б, выпускаемых в настоящее время заводом N 500, для установки на самолет Ил-6 (2562,64).</w:t>
      </w:r>
    </w:p>
    <w:p w14:paraId="4F7318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712618" w14:textId="77777777" w:rsidR="00B609F6" w:rsidRPr="00070ADE" w:rsidRDefault="00B609F6" w:rsidP="00B56F90">
      <w:pPr>
        <w:pStyle w:val="a3"/>
        <w:rPr>
          <w:color w:val="000000" w:themeColor="text1"/>
          <w:lang w:val="ru-RU"/>
        </w:rPr>
      </w:pPr>
      <w:r w:rsidRPr="00070ADE">
        <w:rPr>
          <w:color w:val="000000" w:themeColor="text1"/>
          <w:lang w:val="ru-RU"/>
        </w:rPr>
        <w:t>24 февраля 1944 г. о решении Прези</w:t>
      </w:r>
      <w:r w:rsidRPr="00070ADE">
        <w:rPr>
          <w:color w:val="000000" w:themeColor="text1"/>
          <w:lang w:val="ru-RU"/>
        </w:rPr>
        <w:softHyphen/>
        <w:t>диума доложили Молотову, и вопрос сняли:</w:t>
      </w:r>
    </w:p>
    <w:p w14:paraId="48CF2F79" w14:textId="77777777" w:rsidR="00B609F6" w:rsidRPr="00070ADE" w:rsidRDefault="00B609F6" w:rsidP="00B56F90">
      <w:pPr>
        <w:pStyle w:val="a3"/>
        <w:rPr>
          <w:color w:val="000000" w:themeColor="text1"/>
          <w:lang w:val="ru-RU"/>
        </w:rPr>
      </w:pPr>
      <w:r w:rsidRPr="00070ADE">
        <w:rPr>
          <w:color w:val="000000" w:themeColor="text1"/>
          <w:lang w:val="ru-RU"/>
        </w:rPr>
        <w:t>«ЗАМЕСТИТЕЛЮ ПРЕДСЕДАТЕЛЯ СОВЕТА НАРОДНЫХ КОМИССАРОВ СОЮЗА ССР</w:t>
      </w:r>
    </w:p>
    <w:p w14:paraId="4F5D1D1B" w14:textId="77777777" w:rsidR="00B609F6" w:rsidRPr="00070ADE" w:rsidRDefault="00B609F6" w:rsidP="00B56F90">
      <w:pPr>
        <w:pStyle w:val="a3"/>
        <w:rPr>
          <w:color w:val="000000" w:themeColor="text1"/>
          <w:lang w:val="ru-RU"/>
        </w:rPr>
      </w:pPr>
      <w:r w:rsidRPr="00070ADE">
        <w:rPr>
          <w:color w:val="000000" w:themeColor="text1"/>
          <w:lang w:val="ru-RU"/>
        </w:rPr>
        <w:t xml:space="preserve">товарищу В.М. МОЛОТОВУ Президиум Академии Наук СССР на заседании 9 февраля с.г., рассмотрев вопрос об организации в Академии секции авиационных проблем, признал нецелесообразной организацию в Академии указанной секции и просил ряд академиков принять участие </w:t>
      </w:r>
      <w:r w:rsidRPr="00070ADE">
        <w:rPr>
          <w:rStyle w:val="SegoeUI"/>
          <w:rFonts w:ascii="Times New Roman" w:hAnsi="Times New Roman" w:cs="Times New Roman"/>
          <w:i w:val="0"/>
          <w:color w:val="000000" w:themeColor="text1"/>
          <w:lang w:val="ru-RU"/>
        </w:rPr>
        <w:t>в</w:t>
      </w:r>
      <w:r w:rsidRPr="00070ADE">
        <w:rPr>
          <w:color w:val="000000" w:themeColor="text1"/>
          <w:lang w:val="ru-RU"/>
        </w:rPr>
        <w:t xml:space="preserve"> работах по основным научным проблемам развития авиационной науки и техники в одном из институтов Академии Наук.</w:t>
      </w:r>
    </w:p>
    <w:p w14:paraId="42328115" w14:textId="77777777" w:rsidR="00B609F6" w:rsidRPr="00070ADE" w:rsidRDefault="00B609F6" w:rsidP="00B56F90">
      <w:pPr>
        <w:pStyle w:val="a3"/>
        <w:rPr>
          <w:color w:val="000000" w:themeColor="text1"/>
          <w:lang w:val="ru-RU"/>
        </w:rPr>
      </w:pPr>
      <w:r w:rsidRPr="00070ADE">
        <w:rPr>
          <w:color w:val="000000" w:themeColor="text1"/>
          <w:lang w:val="ru-RU"/>
        </w:rPr>
        <w:t>На заседании было высказано пожелание о том, чтобы постановление и выступлени. по вопросу организации Секции авиационных проблем были доведены до сведения Сс вета Народных Комиссаров СССР.</w:t>
      </w:r>
    </w:p>
    <w:p w14:paraId="268EC82A" w14:textId="77777777" w:rsidR="00B609F6" w:rsidRPr="00070ADE" w:rsidRDefault="00B609F6" w:rsidP="00B56F90">
      <w:pPr>
        <w:pStyle w:val="a3"/>
        <w:tabs>
          <w:tab w:val="left" w:pos="5116"/>
        </w:tabs>
        <w:rPr>
          <w:color w:val="000000" w:themeColor="text1"/>
          <w:lang w:val="ru-RU"/>
        </w:rPr>
      </w:pPr>
      <w:r w:rsidRPr="00070ADE">
        <w:rPr>
          <w:color w:val="000000" w:themeColor="text1"/>
          <w:lang w:val="ru-RU"/>
        </w:rPr>
        <w:t>ПРИЛОЖЕНИЕ: Постановление Президиума от 9 февр. 1944 г. и стенограмма выст, лений академика Б.Н. Юрьева, академика С.А. Христиановича и академика Н.Г. Бруевич Вице-президент Академии Наук СССР</w:t>
      </w:r>
      <w:r w:rsidRPr="00070ADE">
        <w:rPr>
          <w:color w:val="000000" w:themeColor="text1"/>
          <w:lang w:val="ru-RU"/>
        </w:rPr>
        <w:tab/>
        <w:t>академик (А.А. Байков)</w:t>
      </w:r>
    </w:p>
    <w:p w14:paraId="4EA1BC50" w14:textId="77777777" w:rsidR="00B609F6" w:rsidRPr="00070ADE" w:rsidRDefault="00B609F6" w:rsidP="00B56F90">
      <w:pPr>
        <w:pStyle w:val="a3"/>
        <w:tabs>
          <w:tab w:val="left" w:pos="5153"/>
        </w:tabs>
        <w:rPr>
          <w:color w:val="000000" w:themeColor="text1"/>
          <w:lang w:val="ru-RU"/>
        </w:rPr>
      </w:pPr>
      <w:r w:rsidRPr="00070ADE">
        <w:rPr>
          <w:color w:val="000000" w:themeColor="text1"/>
          <w:lang w:val="ru-RU"/>
        </w:rPr>
        <w:t>Академик-секретарь Академии Наук СССР</w:t>
      </w:r>
      <w:r w:rsidRPr="00070ADE">
        <w:rPr>
          <w:color w:val="000000" w:themeColor="text1"/>
          <w:lang w:val="ru-RU"/>
        </w:rPr>
        <w:tab/>
        <w:t>академик (Н.Г.Бруевич)»</w:t>
      </w:r>
    </w:p>
    <w:p w14:paraId="2DC226B9" w14:textId="77777777" w:rsidR="00B609F6" w:rsidRPr="00070ADE" w:rsidRDefault="00B609F6" w:rsidP="00B56F90">
      <w:pPr>
        <w:pStyle w:val="a3"/>
        <w:rPr>
          <w:color w:val="000000" w:themeColor="text1"/>
          <w:lang w:val="ru-RU"/>
        </w:rPr>
      </w:pPr>
      <w:r w:rsidRPr="00070ADE">
        <w:rPr>
          <w:color w:val="000000" w:themeColor="text1"/>
          <w:lang w:val="ru-RU"/>
        </w:rPr>
        <w:t>«Выписка из протокола Заседания Президиума от «9» февраля 1944 г. МОСКВА 1. Об организации Секции авиации.</w:t>
      </w:r>
    </w:p>
    <w:p w14:paraId="0C5462FF" w14:textId="77777777" w:rsidR="00B609F6" w:rsidRPr="00070ADE" w:rsidRDefault="00B609F6" w:rsidP="00B56F90">
      <w:pPr>
        <w:pStyle w:val="a3"/>
        <w:tabs>
          <w:tab w:val="left" w:pos="8148"/>
        </w:tabs>
        <w:rPr>
          <w:color w:val="000000" w:themeColor="text1"/>
          <w:lang w:val="ru-RU"/>
        </w:rPr>
      </w:pPr>
      <w:r w:rsidRPr="00070ADE">
        <w:rPr>
          <w:color w:val="000000" w:themeColor="text1"/>
          <w:lang w:val="ru-RU"/>
        </w:rPr>
        <w:t xml:space="preserve">Докладчики: академики Н.Г. Бруевич, </w:t>
      </w:r>
      <w:r w:rsidRPr="00070ADE">
        <w:rPr>
          <w:color w:val="000000" w:themeColor="text1"/>
        </w:rPr>
        <w:t>A</w:t>
      </w:r>
      <w:r w:rsidRPr="00070ADE">
        <w:rPr>
          <w:color w:val="000000" w:themeColor="text1"/>
          <w:lang w:val="ru-RU"/>
        </w:rPr>
        <w:t>.</w:t>
      </w:r>
      <w:r w:rsidRPr="00070ADE">
        <w:rPr>
          <w:color w:val="000000" w:themeColor="text1"/>
        </w:rPr>
        <w:t>M</w:t>
      </w:r>
      <w:r w:rsidRPr="00070ADE">
        <w:rPr>
          <w:color w:val="000000" w:themeColor="text1"/>
          <w:lang w:val="ru-RU"/>
        </w:rPr>
        <w:t>. Терпигорев.</w:t>
      </w:r>
      <w:r w:rsidRPr="00070ADE">
        <w:rPr>
          <w:color w:val="000000" w:themeColor="text1"/>
          <w:lang w:val="ru-RU"/>
        </w:rPr>
        <w:tab/>
      </w:r>
    </w:p>
    <w:p w14:paraId="1C6697AC" w14:textId="77777777" w:rsidR="00B609F6" w:rsidRPr="00070ADE" w:rsidRDefault="00B609F6" w:rsidP="00B56F90">
      <w:pPr>
        <w:pStyle w:val="a3"/>
        <w:tabs>
          <w:tab w:val="left" w:pos="498"/>
        </w:tabs>
        <w:rPr>
          <w:color w:val="000000" w:themeColor="text1"/>
          <w:lang w:val="ru-RU"/>
        </w:rPr>
      </w:pPr>
      <w:r w:rsidRPr="00070ADE">
        <w:rPr>
          <w:color w:val="000000" w:themeColor="text1"/>
          <w:lang w:val="ru-RU"/>
        </w:rPr>
        <w:t>1. Считать организацию Секции авиационных проблем в Академии Наук нецелесообразной, так как это мероприятие отвлечет имеющиеся в Академии крупнейшие научнь силы от работы по значительным научным проблемам, важным для развития авиаци-| онной науки и техники, на путь организационно-плановой деятельности, являющейс компетенцией советских руководящих органов.</w:t>
      </w:r>
    </w:p>
    <w:p w14:paraId="26D55C74" w14:textId="77777777" w:rsidR="00B609F6" w:rsidRPr="00070ADE" w:rsidRDefault="00B609F6" w:rsidP="00B56F90">
      <w:pPr>
        <w:pStyle w:val="a3"/>
        <w:tabs>
          <w:tab w:val="left" w:pos="518"/>
        </w:tabs>
        <w:rPr>
          <w:color w:val="000000" w:themeColor="text1"/>
          <w:lang w:val="ru-RU"/>
        </w:rPr>
      </w:pPr>
      <w:r w:rsidRPr="00070ADE">
        <w:rPr>
          <w:color w:val="000000" w:themeColor="text1"/>
          <w:lang w:val="ru-RU"/>
        </w:rPr>
        <w:t xml:space="preserve">2. Просить академиков Б.Н. Юрьева, А.А. Микулина, </w:t>
      </w:r>
      <w:r w:rsidRPr="00070ADE">
        <w:rPr>
          <w:color w:val="000000" w:themeColor="text1"/>
        </w:rPr>
        <w:t>B</w:t>
      </w:r>
      <w:r w:rsidRPr="00070ADE">
        <w:rPr>
          <w:color w:val="000000" w:themeColor="text1"/>
          <w:lang w:val="ru-RU"/>
        </w:rPr>
        <w:t>.</w:t>
      </w:r>
      <w:r w:rsidRPr="00070ADE">
        <w:rPr>
          <w:color w:val="000000" w:themeColor="text1"/>
        </w:rPr>
        <w:t>C</w:t>
      </w:r>
      <w:r w:rsidRPr="00070ADE">
        <w:rPr>
          <w:color w:val="000000" w:themeColor="text1"/>
          <w:lang w:val="ru-RU"/>
        </w:rPr>
        <w:t>. Кулебакина, членов-корреспондентов А.С. Яковлева, В.Я. Климова, А.Н. Туполева и А.И. Некрасова принять участие в работах Академии по основным научным проблемам, важным для развития авиацион-</w:t>
      </w:r>
      <w:r w:rsidRPr="00070ADE">
        <w:rPr>
          <w:color w:val="000000" w:themeColor="text1"/>
        </w:rPr>
        <w:t>f</w:t>
      </w:r>
      <w:r w:rsidRPr="00070ADE">
        <w:rPr>
          <w:color w:val="000000" w:themeColor="text1"/>
          <w:lang w:val="ru-RU"/>
        </w:rPr>
        <w:t xml:space="preserve"> ной науки и техники в одном из институтов Академии Наук, по собственному выбору.</w:t>
      </w:r>
    </w:p>
    <w:p w14:paraId="6248A61B" w14:textId="77777777" w:rsidR="00B609F6" w:rsidRPr="00070ADE" w:rsidRDefault="00B609F6" w:rsidP="00B56F90">
      <w:pPr>
        <w:pStyle w:val="a3"/>
        <w:tabs>
          <w:tab w:val="left" w:pos="5858"/>
        </w:tabs>
        <w:rPr>
          <w:color w:val="000000" w:themeColor="text1"/>
          <w:lang w:val="ru-RU"/>
        </w:rPr>
      </w:pPr>
      <w:r w:rsidRPr="00070ADE">
        <w:rPr>
          <w:color w:val="000000" w:themeColor="text1"/>
          <w:lang w:val="ru-RU"/>
        </w:rPr>
        <w:t>п.п. Вице-президент Академии Наук СССР,</w:t>
      </w:r>
      <w:r w:rsidRPr="00070ADE">
        <w:rPr>
          <w:color w:val="000000" w:themeColor="text1"/>
          <w:lang w:val="ru-RU"/>
        </w:rPr>
        <w:tab/>
        <w:t>академик А.А. Байков</w:t>
      </w:r>
    </w:p>
    <w:p w14:paraId="18193D17" w14:textId="77777777" w:rsidR="00B609F6" w:rsidRPr="00070ADE" w:rsidRDefault="00B609F6" w:rsidP="00B56F90">
      <w:pPr>
        <w:pStyle w:val="a3"/>
        <w:tabs>
          <w:tab w:val="left" w:pos="5868"/>
        </w:tabs>
        <w:rPr>
          <w:color w:val="000000" w:themeColor="text1"/>
          <w:lang w:val="ru-RU"/>
        </w:rPr>
      </w:pPr>
      <w:r w:rsidRPr="00070ADE">
        <w:rPr>
          <w:color w:val="000000" w:themeColor="text1"/>
          <w:lang w:val="ru-RU"/>
        </w:rPr>
        <w:t>Академик-секретарь Академии Наук СССР,</w:t>
      </w:r>
      <w:r w:rsidRPr="00070ADE">
        <w:rPr>
          <w:color w:val="000000" w:themeColor="text1"/>
          <w:lang w:val="ru-RU"/>
        </w:rPr>
        <w:tab/>
        <w:t>академик Н.Г, Бруевич» (15789).</w:t>
      </w:r>
    </w:p>
    <w:p w14:paraId="1B4968AF" w14:textId="77777777" w:rsidR="00B609F6" w:rsidRPr="00070ADE" w:rsidRDefault="00B609F6" w:rsidP="00B56F90">
      <w:pPr>
        <w:pStyle w:val="a3"/>
        <w:rPr>
          <w:color w:val="000000" w:themeColor="text1"/>
          <w:lang w:val="ru-RU"/>
        </w:rPr>
      </w:pPr>
    </w:p>
    <w:p w14:paraId="6A41C66E"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86667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9943B8" w14:textId="77777777" w:rsidR="005C20A0" w:rsidRPr="00070ADE" w:rsidRDefault="005C20A0"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24 февраля 1944 было подписано постановление ГКО №2943 «Об изготовлении опытных образцов танков “ИС”». Более индекс КВ-13 не использовался.</w:t>
      </w:r>
    </w:p>
    <w:p w14:paraId="11C79BF9" w14:textId="77777777" w:rsidR="005C20A0" w:rsidRPr="00070ADE" w:rsidRDefault="005C20A0"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После подписания постановления ГКО № 2943 работы по ИС перешли в иную фазу. На следующий день Зальцман подписал приказ по НКТП № 104сс. Согласно ему, УЗТМ обязали к 27 февраля подать корпуса, а монтаж танка заканчивался к 8 марта. Больше того, директорам ЧКЗ и завода № 200 Зальцман дал указание готовиться к серийному производству ИС. Сборка ИС-1 (так стали официально называть КВ-13 второго варианта) закончилась, как и требовало постановление ГКО, 8 марта, тогда же состоялись стационарные испытания. Боевая масса танка оказалась ниже расчётной: по результатам взвешивания выяснилось, что полная боевая масса составила не 38,5 тонн, а 37,1. В целом танк соответствовал документации, которую разработали ещё в начале декабря 1942 года. Изменения коснулись КПП, командирской башенки и ряда других элементов (17688).</w:t>
      </w:r>
    </w:p>
    <w:p w14:paraId="31B766CA" w14:textId="77777777" w:rsidR="005C20A0" w:rsidRPr="00070ADE" w:rsidRDefault="005C20A0" w:rsidP="00B56F90">
      <w:pPr>
        <w:spacing w:after="0" w:line="240" w:lineRule="auto"/>
        <w:jc w:val="both"/>
        <w:rPr>
          <w:rFonts w:ascii="Times New Roman" w:hAnsi="Times New Roman"/>
          <w:color w:val="000000" w:themeColor="text1"/>
          <w:sz w:val="16"/>
          <w:szCs w:val="16"/>
        </w:rPr>
      </w:pPr>
    </w:p>
    <w:p w14:paraId="63EF2A3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февраля 1944 вышло Распоряжение ГКО № 5236 [Об обеспечении в феврале 1944 г. важнейших потребителей нефтепродуктами за счет ГУГМР и пополнении госрезерва.] (7192, 1).</w:t>
      </w:r>
    </w:p>
    <w:p w14:paraId="6933BA8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889801" w14:textId="77777777" w:rsidR="00B609F6"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33C1D9B" w14:textId="77777777" w:rsidR="00B609F6" w:rsidRPr="00070ADE" w:rsidRDefault="00B609F6"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48827A"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24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6CC24604"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24 февраля юго-западнее и южнее Струги Красные наши войска, продолжая наступление, овладели районным центром Ленинградскойобласти Серёдка, а также с боями заняли более 50 других населённых пунктов, в том числе Баглицы, Заходы, Мишоколь, Ерехново, Закрупичье, Пустое Лесково, Щегли, Моложани, Тужерино, Перехожа, Радежа, Маяково, Кочерицы и железнодорожные станции Боровик, Середкино, Владимирский Лагерь.</w:t>
      </w:r>
    </w:p>
    <w:p w14:paraId="7404F8C8"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озера Ильмень войска 2-го Прибалтийского фронта при прямом содействии войск Ленинградского фронта, продолжая развивать успешное наступление, 24 февраля штурмом овладели городом и крупным железнодорожным узлом Дно, а также с боями заняли более 100 других населённых пунктов, в том числе Вязье, Воробино, Веретье, Опока, Вошково, Сухарево, Юрково, Большое Тресно, Скугры, Головино, Чернево, Северное Устье, Острый Камень, Городня, Бродки и железнодорожную станцию Вязье.</w:t>
      </w:r>
    </w:p>
    <w:p w14:paraId="7DC8F37C"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Холм наши войска с боями продвигались вперёд и занялиболее 40 населённых пунктов, в том числе Цевло, Макарино, Вихрище, Ямно, Юхово, Осиновка, Корелки, Харайлово, Шерихово и железнодорожную станцию Самолуково.</w:t>
      </w:r>
    </w:p>
    <w:p w14:paraId="2131CC5E"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На-днях войска Первого Белорусского фронта перешли в наступление против немецко-фашистских войск, расположенных в районе Рогачёв. Успешно форсировавреку Днепр, наши войска прорвали сильно укреплённую оборону противника на фронте 50 километров, за три дня напряжённых боёв продвинулись вперёд на 20-25 километров и 24 февраля штурмом овладели городом и крупной железнодорожной станцией Рогачёв — важным опорным пунктом противника на Бобруйском направлении, а также с боями заняли более 100 других населённых пунктов, в том числе крупные населённые пункты Новый Быхов, Лазаревичи, Виляховка, Верхняя и Нижняя Тощица, Кистени, Вищин, Дедово, Еленово, Мадоры, Селец, Старое Село, Озеране, Большая и Малая Коноплица, Заборово, Турск, Ходосовичи, Цупер, Луговая Варня, Колыбовка и железнодорожную станцию Тощица. Нашими войсками полностью ликвидирован важный плацдарм немцев на левом берегу Днепра, восточнее Рогачёв и Жлобин.</w:t>
      </w:r>
    </w:p>
    <w:p w14:paraId="0E79F06B"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артиллерийско-миномётная перестрелка и в ряде пунктов бои местного значения.</w:t>
      </w:r>
    </w:p>
    <w:p w14:paraId="7708EA2C"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23 февраля наши войска на всех фронтах подбили и уничтожили 29 немецких танков. В воздушных боях и огнём зенитной артиллерии сбито 18 самолётов противника.</w:t>
      </w:r>
    </w:p>
    <w:p w14:paraId="2C0C87C2"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станции Струги Красные наши войска, с боями продвигаясь вперёд, овладели районным центром Ленинградской области Середка, а также освободили от немецких захватчиков более 50 других населённых пунктов. Части Н-ского соединения в бою за один крупный населённый пункт истребили до 700 немецких солдат и офицеров, уничтожили 10 танков и самоходных орудий. В другом районе советскими войсками разгромлен полк немецкой пехоты. Только небольшая часть гитлеровцев спаслась бегством, бросив вооружение и военное имущество своего полка.</w:t>
      </w:r>
    </w:p>
    <w:p w14:paraId="77C0D4FF"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озера Ильмень наши войска вчера подошли к городу Дно и завязали бои на его окраинах. Немцы спешно подтянули в этот район две пехотные дивизии и оказывали упорное сопротивление. Ночью советские войска с различных направлений стремительно атаковали противника и в результате ожесточённых боёв овладели городом и крупным железнодорожным узлом Дно. Захвачено много трофеев. Преследуя разбитые части противника, наши войска заняли свыше ста других населённых пунктов и железнодорожную станцию Вязье, расположенную южнее города Дно.</w:t>
      </w:r>
    </w:p>
    <w:p w14:paraId="3BB82B54"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Белорусского фронта несколько дней назад перешли в наступление. После мощной артиллерийской подготовки и сильного бомбового удара нашей авиации советские войска прорвали оборону немцев на восточном берегу Днепра. Одна за другой наши части быстро переправились через Днепр и, не давая противнику опомниться, ворвались в немецкие траншеи на западном берегу реки. Преодолевая сопротивление и отражая контратаки врага, советские бойцы стремительнопродвинулись вперёд и перерезали железную дорогу Рогачёв-Могилёв. Особенно упорные бои происходили за город Рогачёв. Наши войска, нанося немцам удары с фронта, частью сил пробрались лесом и болотами и обошли противника с фланга. Сегодня наши бойцы штурмом овладели городом Рогачёв —- важным опорным пунктом обороны немцев на Бобруйском направлении. Противник понёс огромные потери в людях и технике. Только одно наше соединение истребило до 4.000 немецких солдат и офицеров, уничтожило 24 танка и самоходных орудия. По неполным данным, бойцы этого соединения захватили 62 орудия, 27 миномётов, 120 пулемётов, 35 радиостанций и несколько складов с боеприпасами и военным имуществом. Взято значительное количество пленных.</w:t>
      </w:r>
    </w:p>
    <w:p w14:paraId="2363168D"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«Смерть фашизму», действующий в Минской области, за месяц боевых действий подорвал 80 немецких автомашин с военными грузами. Кроме того, партизаны пустили под откос 4 паровоза и 30 вагонов с солдатами и вооружением. Партизанский отряд имени Лазо из засады напал на немецкий обоз, уничтожил охрану и захватил много боеприпасов, обмундирования и продовольствия.</w:t>
      </w:r>
    </w:p>
    <w:p w14:paraId="2B64DB51"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огромным воодушевлением встретили красноармейцы, краснофлотцы, сержанты, офицеры и генералы Красной Армии приказ Верховного Главнокомандующего товарища Сталина о 26-й годовщине Красной Армии. В прифронтовых и тыловых гарнизонах, а также на многих участках фронта, где это позволяла военная обстановка, состоялись массовые митинги.</w:t>
      </w:r>
    </w:p>
    <w:p w14:paraId="573E7FD3"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1-м Украинском фронте на митинге Н-ской части выступил старший сержант тов. Овчинников. Он заявил: «Красная Армия пришла к своей 26-й годовщине с замечательными победами. Многие из нас прошли боевой славный путь, участвовали в боях против немецких захватчиков под Москвой, Сталинградом, Курском и на Днепре, где Красная Армия нанесла гитлеровцам тяжёлые поражения. Но нам нельзя успокаиваться. Враг ещё не разбит. Мы будем наносить противнику ещё более сокрушительные удары и приложим все усилия, чтобы с честью выполнить приказ вождя». На митинге в части, где командиром подполковник тов. Плагин ,красноармеец тов. Яргачёв сказал: «Родина доверила нам свою судьбу и дала нам в руки замечательное оружие. Клянусь тебе, товарищ Сталин, что буду сражаться до последнего вздоха и бить проклятых гитлеровцев до тех пор, пока они не будут повержены в прах».</w:t>
      </w:r>
    </w:p>
    <w:p w14:paraId="13BAB3D9"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3-м Украинском фронте на митинге в части, где командиром подполковник тов. Смоляков, майор тов. Мартынюк сказал: «Товарищ Сталин подвёл славные итоги побед Красной Армии за истекший год и осветил нам путь к окончательной победе над немецко-фашистскими захватчиками. Гитлеровская армия оказалась на грани катастрофы. Но враг сам не прыгнет в пропасть. Его нужно подвести к пропасти и столкнуть в бездну. Мы, советские воины, с честью, выполним приказ товарища Сталина и очистим нашу родную землю от фашистской нечисти».</w:t>
      </w:r>
    </w:p>
    <w:p w14:paraId="7C923869"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2-м Прибалтийском фронте на митинге в Н-ской части с речью выступил сержант тов. Тимошко: «Я переживаю большую радость и очень взволнован,— говорит он. — Вчера победоносная Красная Армия освободила мой родной город — Кривой Рог. Приказ товарища Сталина воодушевляет нас на новые боевые подвиги во славу советского оружия. Мы не успокоимся до тех пор, пока окончательно не добьём немецких захватчиков».</w:t>
      </w:r>
    </w:p>
    <w:p w14:paraId="108B1746"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Западном фронте выступивший на митинге в Н-ском авиационном полку капитан тов. Вайгачёв сказал: «От Балтики до Чёрного моря Красная Армия наступает и гонит врага с нашей земли. Немецкая армия стоит перед крахом. Лётчики-штурмовики будут непрерывно совершенствовать своё боевое мастерство и ещё злее громить противника». Младший сержант казах тов. Кодырбаев в речи на митинге бойцов и офицеров Н-ской части заявил: «За время войны я уничтожил десятки немецких бандитов. Я их бил так, как мне наказывал казахский народ. Я беспощадно уничтожаю гитлеровских шакалов за горе и страдания, которые они причинили русским, украинцам, белоруссам, за кровь и слезы советских людей. Товарищ Сталин ясно указывает нам путь к окончательной победе над врагом. Мы все, как один, выполним сталинский приказ» (15050).</w:t>
      </w:r>
    </w:p>
    <w:p w14:paraId="4308871C" w14:textId="77777777" w:rsidR="00B609F6" w:rsidRPr="00070ADE" w:rsidRDefault="00B609F6" w:rsidP="00B56F90">
      <w:pPr>
        <w:spacing w:after="0" w:line="240" w:lineRule="auto"/>
        <w:jc w:val="both"/>
        <w:rPr>
          <w:rFonts w:ascii="Times New Roman" w:hAnsi="Times New Roman"/>
          <w:color w:val="000000" w:themeColor="text1"/>
          <w:sz w:val="16"/>
          <w:szCs w:val="16"/>
        </w:rPr>
      </w:pPr>
    </w:p>
    <w:p w14:paraId="39341D3B"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24 февраля</w:t>
      </w:r>
      <w:r w:rsidRPr="00070ADE">
        <w:rPr>
          <w:rFonts w:ascii="Times New Roman" w:hAnsi="Times New Roman"/>
          <w:color w:val="000000" w:themeColor="text1"/>
          <w:sz w:val="16"/>
          <w:szCs w:val="16"/>
        </w:rPr>
        <w:t xml:space="preserve"> в 1944 году приказом Ставки ВГК Белорусский фронт разделен на 1-й и 2-й Белорусские фронты (15050).</w:t>
      </w:r>
    </w:p>
    <w:p w14:paraId="1F523508" w14:textId="77777777" w:rsidR="00B609F6" w:rsidRPr="00070ADE" w:rsidRDefault="00B609F6" w:rsidP="00B56F90">
      <w:pPr>
        <w:spacing w:after="0" w:line="240" w:lineRule="auto"/>
        <w:jc w:val="both"/>
        <w:rPr>
          <w:rFonts w:ascii="Times New Roman" w:hAnsi="Times New Roman"/>
          <w:color w:val="000000" w:themeColor="text1"/>
          <w:sz w:val="16"/>
          <w:szCs w:val="16"/>
        </w:rPr>
      </w:pPr>
    </w:p>
    <w:p w14:paraId="2FC92A28" w14:textId="77777777" w:rsidR="00B609F6"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5363077D" w14:textId="77777777" w:rsidR="00B609F6" w:rsidRPr="00070ADE" w:rsidRDefault="00B609F6"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2320C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февраля 1944 года было получено:</w:t>
      </w:r>
    </w:p>
    <w:p w14:paraId="73AD28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ЛИЧНО И СЕКРЕТНО МАРШАЛУ СТАЛИНУ ОТ ПРЕЗИДЕНТА РУЗВЕЛЬТА</w:t>
      </w:r>
    </w:p>
    <w:p w14:paraId="54E5045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Ваше послание от 21 февраля относительно передачи взаймы Советскому Военно-Морскому Флоту британских и американских судов получено.</w:t>
      </w:r>
    </w:p>
    <w:p w14:paraId="70E50E4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мне известно, Великобритания предоставит линейный корабль, четыре подводные лодки и восемь эскадренных миноносцев. Я запросил об этом по телеграфу Премьер-Министра. Когда я получу от него ответ, я извещу Вас (7430).</w:t>
      </w:r>
    </w:p>
    <w:p w14:paraId="1E61468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DBA4C1" w14:textId="77777777" w:rsidR="00B609F6"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494C2F51" w14:textId="77777777" w:rsidR="00B609F6" w:rsidRPr="00070ADE" w:rsidRDefault="00B609F6"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C020E7"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24 февраля</w:t>
      </w:r>
      <w:r w:rsidRPr="00070ADE">
        <w:rPr>
          <w:rFonts w:ascii="Times New Roman" w:hAnsi="Times New Roman"/>
          <w:color w:val="000000" w:themeColor="text1"/>
          <w:sz w:val="16"/>
          <w:szCs w:val="16"/>
        </w:rPr>
        <w:t xml:space="preserve"> в 1944 году майор Вильгельм Хергет, и гауптман Людвиг Майстер из состава NJG4, облетали третий прототип немецкого ночного всепогодного истребителя </w:t>
      </w:r>
      <w:hyperlink r:id="rId57" w:tgtFrame="_blank" w:history="1">
        <w:r w:rsidRPr="00070ADE">
          <w:rPr>
            <w:rFonts w:ascii="Times New Roman" w:hAnsi="Times New Roman"/>
            <w:color w:val="000000" w:themeColor="text1"/>
            <w:sz w:val="16"/>
            <w:szCs w:val="16"/>
          </w:rPr>
          <w:t xml:space="preserve">«Ta-154V-3» </w:t>
        </w:r>
      </w:hyperlink>
      <w:r w:rsidRPr="00070ADE">
        <w:rPr>
          <w:rFonts w:ascii="Times New Roman" w:hAnsi="Times New Roman"/>
          <w:color w:val="000000" w:themeColor="text1"/>
          <w:sz w:val="16"/>
          <w:szCs w:val="16"/>
        </w:rPr>
        <w:t xml:space="preserve">(сер. №0003, бортовой код TE+FG) </w:t>
      </w:r>
      <w:hyperlink r:id="rId58" w:tgtFrame="_blank" w:history="1">
        <w:r w:rsidRPr="00070ADE">
          <w:rPr>
            <w:rFonts w:ascii="Times New Roman" w:hAnsi="Times New Roman"/>
            <w:color w:val="000000" w:themeColor="text1"/>
            <w:sz w:val="16"/>
            <w:szCs w:val="16"/>
          </w:rPr>
          <w:t>www.airwar.ru/enc/fww2/ta154.html</w:t>
        </w:r>
      </w:hyperlink>
      <w:r w:rsidRPr="00070ADE">
        <w:rPr>
          <w:rFonts w:ascii="Times New Roman" w:hAnsi="Times New Roman"/>
          <w:color w:val="000000" w:themeColor="text1"/>
          <w:sz w:val="16"/>
          <w:szCs w:val="16"/>
        </w:rPr>
        <w:t xml:space="preserve"> , выразили удовлетворение управляемостью и скоростью нового истребителя, который "выдал" до 620 км/ч на высоте 6-8 км. 26 мая 1944 года, после ряда аварий, прототип был списан (15050).</w:t>
      </w:r>
    </w:p>
    <w:p w14:paraId="07BAF5AB" w14:textId="77777777" w:rsidR="00B609F6" w:rsidRPr="00070ADE" w:rsidRDefault="00B609F6" w:rsidP="00B56F90">
      <w:pPr>
        <w:spacing w:after="0" w:line="240" w:lineRule="auto"/>
        <w:jc w:val="both"/>
        <w:rPr>
          <w:rFonts w:ascii="Times New Roman" w:hAnsi="Times New Roman"/>
          <w:color w:val="000000" w:themeColor="text1"/>
          <w:sz w:val="16"/>
          <w:szCs w:val="16"/>
        </w:rPr>
      </w:pPr>
    </w:p>
    <w:p w14:paraId="6DEBBC69" w14:textId="77777777" w:rsidR="00C10A30" w:rsidRPr="00070ADE" w:rsidRDefault="00C10A3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февраля 1944 на военном аэродроме Винер-Нойштадт высшие офицеры Люфтваффе Эрхард Мильх, Kommando der Erprobungsstellen Оберст Эдгар Петерсен и оберстлейтенант Зигфрид Кнемейер (главный авиационный технолог Геринга) по очереди управляют четырехмоторным прототипом стратегического четырехдвигательного бомбардировщика He 177 V102 Heinkel (20373).</w:t>
      </w:r>
    </w:p>
    <w:p w14:paraId="07A80D4C" w14:textId="77777777" w:rsidR="00C10A30" w:rsidRPr="00070ADE" w:rsidRDefault="00C10A30" w:rsidP="00B56F90">
      <w:pPr>
        <w:spacing w:after="0" w:line="240" w:lineRule="auto"/>
        <w:jc w:val="both"/>
        <w:rPr>
          <w:rFonts w:ascii="Times New Roman" w:hAnsi="Times New Roman"/>
          <w:color w:val="000000" w:themeColor="text1"/>
          <w:sz w:val="16"/>
          <w:szCs w:val="16"/>
        </w:rPr>
      </w:pPr>
    </w:p>
    <w:p w14:paraId="2A6F59FE"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24 февраля</w:t>
      </w:r>
      <w:r w:rsidRPr="00070ADE">
        <w:rPr>
          <w:rFonts w:ascii="Times New Roman" w:hAnsi="Times New Roman"/>
          <w:color w:val="000000" w:themeColor="text1"/>
          <w:sz w:val="16"/>
          <w:szCs w:val="16"/>
        </w:rPr>
        <w:t xml:space="preserve"> в 1944 году один </w:t>
      </w:r>
      <w:hyperlink r:id="rId59" w:tgtFrame="_blank" w:history="1">
        <w:r w:rsidRPr="00070ADE">
          <w:rPr>
            <w:rFonts w:ascii="Times New Roman" w:hAnsi="Times New Roman"/>
            <w:color w:val="000000" w:themeColor="text1"/>
            <w:sz w:val="16"/>
            <w:szCs w:val="16"/>
          </w:rPr>
          <w:t xml:space="preserve">«Do.217m-1» </w:t>
        </w:r>
      </w:hyperlink>
      <w:r w:rsidRPr="00070ADE">
        <w:rPr>
          <w:rFonts w:ascii="Times New Roman" w:hAnsi="Times New Roman"/>
          <w:color w:val="000000" w:themeColor="text1"/>
          <w:sz w:val="16"/>
          <w:szCs w:val="16"/>
        </w:rPr>
        <w:t>(заводской номер 56051) попал в руки союзников, когда самолет из II./КG.2 во время налета на Лондон получил незначительные повреждения от зенитного огня. Экипаж быстро оставил машину на высоте 3000 м, а покинутый самолет на пологом снижении сел почти без повреждений у Кембриджа. «Do.217m-1» = на планер «Do.217k-1» были установлены двигатели "Даймлер-Бенц" «DB-603А» (15050).</w:t>
      </w:r>
    </w:p>
    <w:p w14:paraId="0CDC39F2" w14:textId="77777777" w:rsidR="00B609F6" w:rsidRPr="00070ADE" w:rsidRDefault="00B609F6" w:rsidP="00B56F90">
      <w:pPr>
        <w:spacing w:after="0" w:line="240" w:lineRule="auto"/>
        <w:jc w:val="both"/>
        <w:rPr>
          <w:rFonts w:ascii="Times New Roman" w:hAnsi="Times New Roman"/>
          <w:color w:val="000000" w:themeColor="text1"/>
          <w:sz w:val="16"/>
          <w:szCs w:val="16"/>
        </w:rPr>
      </w:pPr>
    </w:p>
    <w:p w14:paraId="77A7B621"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24 февраля</w:t>
      </w:r>
      <w:r w:rsidRPr="00070ADE">
        <w:rPr>
          <w:rFonts w:ascii="Times New Roman" w:hAnsi="Times New Roman"/>
          <w:color w:val="000000" w:themeColor="text1"/>
          <w:sz w:val="16"/>
          <w:szCs w:val="16"/>
        </w:rPr>
        <w:t xml:space="preserve"> в 1944 году массированный авианалет британских ВВС на Швайнфурт (15050).</w:t>
      </w:r>
    </w:p>
    <w:p w14:paraId="7802F92F" w14:textId="77777777" w:rsidR="00B609F6" w:rsidRPr="00070ADE" w:rsidRDefault="00B609F6" w:rsidP="00B56F90">
      <w:pPr>
        <w:spacing w:after="0" w:line="240" w:lineRule="auto"/>
        <w:jc w:val="both"/>
        <w:rPr>
          <w:rFonts w:ascii="Times New Roman" w:hAnsi="Times New Roman"/>
          <w:color w:val="000000" w:themeColor="text1"/>
          <w:sz w:val="16"/>
          <w:szCs w:val="16"/>
        </w:rPr>
      </w:pPr>
    </w:p>
    <w:p w14:paraId="6F11E328" w14:textId="77777777" w:rsidR="00C10A30" w:rsidRPr="00070ADE" w:rsidRDefault="00C10A3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февраля 1944 266 B-17 Летающие Крепости из аосьмой армии ВВС США выполнили налет на завод шариковых подшипников в Швайнфурте, Германия (20373).</w:t>
      </w:r>
    </w:p>
    <w:p w14:paraId="1C44725D" w14:textId="77777777" w:rsidR="00C10A30" w:rsidRPr="00070ADE" w:rsidRDefault="00C10A30" w:rsidP="00B56F90">
      <w:pPr>
        <w:spacing w:after="0" w:line="240" w:lineRule="auto"/>
        <w:jc w:val="both"/>
        <w:rPr>
          <w:rFonts w:ascii="Times New Roman" w:hAnsi="Times New Roman"/>
          <w:color w:val="000000" w:themeColor="text1"/>
          <w:sz w:val="16"/>
          <w:szCs w:val="16"/>
        </w:rPr>
      </w:pPr>
    </w:p>
    <w:p w14:paraId="08E424F1" w14:textId="77777777" w:rsidR="00C10A30" w:rsidRPr="00070ADE" w:rsidRDefault="00C10A3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24–25 февраля (ночь) 1944 734 британских бомбардировщика совершают первый налет бомбардировочного командования Королевских ВВС на Швайнфурт. Впервые они атакуют двумя волнами, из 392 и 342 самолетов, вынуждая немецкие ночные истребители подняться, чтобы встретить первую волну (которая теряет 22 бомбардировщика, 5,6 процента сил), но не готовы встретить вторую волну, которая теряет всего 11 бомбардировщиков (3,2 процента). Общие потери британцев - 33 бомбардировщика (4,5 процента) (20373).</w:t>
      </w:r>
    </w:p>
    <w:p w14:paraId="3369EC25" w14:textId="77777777" w:rsidR="00C10A30" w:rsidRPr="00070ADE" w:rsidRDefault="00C10A30" w:rsidP="00B56F90">
      <w:pPr>
        <w:spacing w:after="0" w:line="240" w:lineRule="auto"/>
        <w:jc w:val="both"/>
        <w:rPr>
          <w:rFonts w:ascii="Times New Roman" w:hAnsi="Times New Roman"/>
          <w:color w:val="000000" w:themeColor="text1"/>
          <w:sz w:val="16"/>
          <w:szCs w:val="16"/>
        </w:rPr>
      </w:pPr>
    </w:p>
    <w:p w14:paraId="251E812D"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24 февраля</w:t>
      </w:r>
      <w:r w:rsidRPr="00070ADE">
        <w:rPr>
          <w:rFonts w:ascii="Times New Roman" w:hAnsi="Times New Roman"/>
          <w:color w:val="000000" w:themeColor="text1"/>
          <w:sz w:val="16"/>
          <w:szCs w:val="16"/>
        </w:rPr>
        <w:t xml:space="preserve"> в 1944 году перебазирование основных сил японского флота в Сингапур (15050).</w:t>
      </w:r>
    </w:p>
    <w:p w14:paraId="1E4E73FD" w14:textId="77777777" w:rsidR="00B609F6" w:rsidRPr="00070ADE" w:rsidRDefault="00B609F6" w:rsidP="00B56F90">
      <w:pPr>
        <w:spacing w:after="0" w:line="240" w:lineRule="auto"/>
        <w:jc w:val="both"/>
        <w:rPr>
          <w:rFonts w:ascii="Times New Roman" w:hAnsi="Times New Roman"/>
          <w:color w:val="000000" w:themeColor="text1"/>
          <w:sz w:val="16"/>
          <w:szCs w:val="16"/>
        </w:rPr>
      </w:pPr>
    </w:p>
    <w:p w14:paraId="42C4862E" w14:textId="77777777" w:rsidR="00B609F6" w:rsidRPr="00070ADE" w:rsidRDefault="00B609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24 февраля</w:t>
      </w:r>
      <w:r w:rsidRPr="00070ADE">
        <w:rPr>
          <w:rFonts w:ascii="Times New Roman" w:hAnsi="Times New Roman"/>
          <w:color w:val="000000" w:themeColor="text1"/>
          <w:sz w:val="16"/>
          <w:szCs w:val="16"/>
        </w:rPr>
        <w:t xml:space="preserve"> в 1944 году военный переворот в Аргентине. Приход к власти патриотически настроенной Группы объединенных офицеров во главе с полковником Х.Д.Перроном – заместителем военного министра в правительстве Рамиреса. Рамирес передал власть вице-президенту Э.Х.Фаррелю. Перрон занял посты вице-президента и военного министра. США и Великобритания не признали новое правительство, объявившее о нейтралитете в войне (15050).</w:t>
      </w:r>
    </w:p>
    <w:p w14:paraId="085C6150" w14:textId="77777777" w:rsidR="00B609F6" w:rsidRPr="00070ADE" w:rsidRDefault="00B609F6" w:rsidP="00B56F90">
      <w:pPr>
        <w:spacing w:after="0" w:line="240" w:lineRule="auto"/>
        <w:jc w:val="both"/>
        <w:rPr>
          <w:rFonts w:ascii="Times New Roman" w:hAnsi="Times New Roman"/>
          <w:color w:val="000000" w:themeColor="text1"/>
          <w:sz w:val="16"/>
          <w:szCs w:val="16"/>
        </w:rPr>
      </w:pPr>
    </w:p>
    <w:p w14:paraId="5B0E024B"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37AD4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4983F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 вышел приказ НКАП N 134с/20с в исполнение постановления ГКО N 5202с от 18 февраля 1944 о передаче НКЛП завода 459 в Солнечногорске вместо 10 завода НКЛП, который отдали заводу 500 (1647,52).</w:t>
      </w:r>
    </w:p>
    <w:p w14:paraId="5157777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8ECB9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 г. по приказу № 134с/20с завод № 459 в Солнечногорске со всеми сооружениями и личным составом передан в систему НКЛП и переименован в завод № 10 НКЛП. Производство парашютной техники для систем катапультирования самолетов МиГ, Ил-28, Ту-4. Затем- в ведении МособлСНХ. В 1963 г. переименован в СМЗ в ведении Минлегпрома. В 1965 г. СМЗ передан в МАП.</w:t>
      </w:r>
    </w:p>
    <w:p w14:paraId="38249AD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1968 г. налажен выпуск туристического снаряжения- палаток и рюкзаков.</w:t>
      </w:r>
    </w:p>
    <w:p w14:paraId="6F55458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11.1992 г. завод преобразован в АО. По решению правительства № 22-р от 9.01.2004 г. вошло в перечень стратегических предприятий.</w:t>
      </w:r>
    </w:p>
    <w:p w14:paraId="35585B6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(2002 г.) тормозных парашютных систем, грузовых, спасательных и спортивных парашютов разработки НИИП, парапланов, воздушных шаров.</w:t>
      </w:r>
    </w:p>
    <w:p w14:paraId="19B83E4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(2004 г.)- 646 чел.</w:t>
      </w:r>
    </w:p>
    <w:p w14:paraId="4C3A609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(1942 г.-)- Денисов(Данилов). Начальник- Ткачев. Гендиректор (2002 г.)- Ю.В. Торбахов, (2007 г.)- А.А. Королев.</w:t>
      </w:r>
    </w:p>
    <w:p w14:paraId="76996F0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Коммерческий директор (2002 г.)- М.М. Пахомов (11982).</w:t>
      </w:r>
    </w:p>
    <w:p w14:paraId="7745536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99CA98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 г. приказом № 134с/ 20с в соответствии с пост. ГКО № 5202с от 18.02.1944 г. заводу № 500 передан завод № 10 НКЛП ( г. Тушино) со всеми сооружениями и личным составом. Заводу передан также лабораторный корпус МАТИ в Тушино (на 02.1944 г.). Была оказана помощь в кадрах (по приказам № 78с от 5.02.1944 г., № 137с от 25.02.1944 г., № 160сс от 4.03.1944 г., № 206сс от 21.03.1944 г.): переведено на постоянную работу большое количество специалистов с завода № 34 (около 200 чел.), завода № 265 (около 600 чел.), завода № 45 (250 чел.), а также всего около 170 чел. с заводов № 16, № 24, № 26, № 27, № 30, № 43, № 315, № 381. 14.03.1944 г. вышло постановление ГКО № 5398 о дополнительных мерах по расширению производства дизеля АЧ-30Б на заводе. В 1946 г. на базе АЧ-30 создан (совместно с Кировским заводом) ТД-30 для тяжелого танка ИС-7.</w:t>
      </w:r>
    </w:p>
    <w:p w14:paraId="4A213C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08.1946 г. при заводе сформировано ОКБ гл. конструктора С.С. Баландина, переведенного с завода № 41 МАП, для продолжения работ по двигателю МБ-8.</w:t>
      </w:r>
    </w:p>
    <w:p w14:paraId="7822548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СМ № 874-366сс от 17.04.1946 г. и приказом № 392с от 21.06.1946 г. на завод № 500 переведена с завода № 45 группа немецких специалистов во главе с гл. конструктором авиадизеля М. Герлахом для продолжения работ по авиадизелю М-224. Группа действовала как ОКБ-2 завода № 500 в системе 8ГУ. На 09.1948 г. здесь работало 54 немецких специалиста. В 1950 г. они переведены на опытный завод № 2 МАП.</w:t>
      </w:r>
    </w:p>
    <w:p w14:paraId="58118D0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31.12.1947 г. был построен 1-й РД-500, в 10.1948 г. начат серийный выпуск двигателя.</w:t>
      </w:r>
    </w:p>
    <w:p w14:paraId="345CBC4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 создан отдел систем ЧПУ.</w:t>
      </w:r>
    </w:p>
    <w:p w14:paraId="64AFF57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МАП от 9.06.1954 г. при заводе № 500 создана Специальная конструкторская группа (СКГ-10) во главе с В.Н. Челомеем по созданию морских КР, 26.08.1955 г. СКГ преобразована в ОКБ-52 МАП и перебазирована в Реутов.</w:t>
      </w:r>
    </w:p>
    <w:p w14:paraId="4D68B1D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СМ СССР № 713-342 от 26.06.1957 г. завод передан в ведение СНХ РСФСР. С 07.1954 г.- предприятие п/я-75, с 30.08.1960 г.- организация п/я- 4704. С 9.07.1963 г.- ММЗ «Красный Октябрь», с 10.03.1977 г.- ММПО «Красный Октябрь», с 18.11.1983 г.- «ММПО им. В.В. Чернышева», с 27.12.1991 г.- ГММПП им. В.В. Чернышева, с 23.02.1994 г.- ОАО «ММП им. В.В. Чернышева». По решению правительства № 22-р от 9.01.2004 г. вошло в перечень стратегических предприятий.</w:t>
      </w:r>
    </w:p>
    <w:p w14:paraId="447C71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(2005 г.): подготовка к производству РД-93- двигателя для китайского истребителя FC-1 на базе РД-33; ВК-3000; освоение выпуска РД-ЗЗМК, РД-1700.</w:t>
      </w:r>
    </w:p>
    <w:p w14:paraId="750C026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(1942-46 г.)- А.Д. Чаромский-Броничев, (1947-52 г.)- В.М. Яковлев, (1967-82 г.)- К.Р. Хачатуров.</w:t>
      </w:r>
    </w:p>
    <w:p w14:paraId="68C440D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конструктора (04.1944 г.-)- В.М. Яковлев.</w:t>
      </w:r>
    </w:p>
    <w:p w14:paraId="4BF77C4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(1942-43 г.)- А. Г. Вовк, (1944 г.)- А.П. Петров, (1945-48 г.)- М.Л. Кононенко, (1948-83 г.)- В.В. Чернышев {15.07.1906-}. Гендиректор (1983-97 г.)- А.Н. Напольнов, (10.1997-2002 г.)- О.Н. Третьяков,</w:t>
      </w:r>
      <w:r w:rsidRPr="00070ADE">
        <w:rPr>
          <w:rFonts w:ascii="Times New Roman" w:hAnsi="Times New Roman"/>
          <w:color w:val="000000" w:themeColor="text1"/>
          <w:sz w:val="16"/>
          <w:szCs w:val="16"/>
          <w:vertAlign w:val="superscript"/>
        </w:rPr>
        <w:t>49</w:t>
      </w:r>
      <w:r w:rsidRPr="00070ADE">
        <w:rPr>
          <w:rFonts w:ascii="Times New Roman" w:hAnsi="Times New Roman"/>
          <w:color w:val="000000" w:themeColor="text1"/>
          <w:sz w:val="16"/>
          <w:szCs w:val="16"/>
        </w:rPr>
        <w:t xml:space="preserve"> (2002-04; 12.2008 г.)- А.С. Новиков, (10.2004 г.)- О.Н. Третьяков.</w:t>
      </w:r>
    </w:p>
    <w:p w14:paraId="7066736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Исполнительный директор (2002 г.)- О.Н. Третьяков. Зам. гендиректора: по ВЭС (2002 г.)- А.А. Носков; по финансовым вопросам (2002 г.)- В.И. Шулепов.</w:t>
      </w:r>
    </w:p>
    <w:p w14:paraId="2566DDB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(1945-47 г.)- В.В. Чернышев, (1984-97 г.)- О.Н. Третьяков.</w:t>
      </w:r>
    </w:p>
    <w:p w14:paraId="765463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цехов: (1945 г.)- И.Н. Смирнов.</w:t>
      </w:r>
    </w:p>
    <w:p w14:paraId="1E6B1A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лабораторий: физической (1945 г.)- А.И. Маслов.</w:t>
      </w:r>
    </w:p>
    <w:p w14:paraId="0DEE92C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техбюро (1945 г.)- П.В. Погостин.</w:t>
      </w:r>
    </w:p>
    <w:p w14:paraId="1481409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 дизельные двигатели: авиационные:</w:t>
      </w:r>
      <w:r w:rsidRPr="00070ADE">
        <w:rPr>
          <w:rFonts w:ascii="Times New Roman" w:hAnsi="Times New Roman"/>
          <w:color w:val="000000" w:themeColor="text1"/>
          <w:sz w:val="16"/>
          <w:szCs w:val="16"/>
        </w:rPr>
        <w:t xml:space="preserve"> АЧ-30Б (1943-46)- 900, АЧ-31 (1945-46)- 58, АЧ-30БФ, М501 (1946-53); танковый ТД-30 (1946);</w:t>
      </w:r>
      <w:r w:rsidRPr="00070ADE">
        <w:rPr>
          <w:rFonts w:ascii="Times New Roman" w:hAnsi="Times New Roman"/>
          <w:iCs/>
          <w:color w:val="000000" w:themeColor="text1"/>
          <w:sz w:val="16"/>
          <w:szCs w:val="16"/>
        </w:rPr>
        <w:t xml:space="preserve"> ГТД:</w:t>
      </w:r>
      <w:r w:rsidRPr="00070ADE">
        <w:rPr>
          <w:rFonts w:ascii="Times New Roman" w:hAnsi="Times New Roman"/>
          <w:color w:val="000000" w:themeColor="text1"/>
          <w:sz w:val="16"/>
          <w:szCs w:val="16"/>
        </w:rPr>
        <w:t xml:space="preserve"> РД-500 (1947-51)- 1274, ВК-1 (1950-53)- 3744, АМ-5А (1952-61)- 2985, Р11-300, Р11Ф-300 (1958-), Р11АФ-300, Р11АФ2-300, Р11В-300 - более 12.000 всех модификаций, Р27В-300 (1974-91), Р27Ф2-300, Р29Б-300, Р35-300, РД-33 (1984-2005-), ТВ7-117С (1991-2005-), ВСУ ГТДЭ-117;</w:t>
      </w:r>
      <w:r w:rsidRPr="00070ADE">
        <w:rPr>
          <w:rFonts w:ascii="Times New Roman" w:hAnsi="Times New Roman"/>
          <w:iCs/>
          <w:color w:val="000000" w:themeColor="text1"/>
          <w:sz w:val="16"/>
          <w:szCs w:val="16"/>
        </w:rPr>
        <w:t xml:space="preserve"> ЖРД </w:t>
      </w:r>
      <w:r w:rsidRPr="00070ADE">
        <w:rPr>
          <w:rFonts w:ascii="Times New Roman" w:hAnsi="Times New Roman"/>
          <w:color w:val="000000" w:themeColor="text1"/>
          <w:sz w:val="16"/>
          <w:szCs w:val="16"/>
        </w:rPr>
        <w:t>С2.1150 для МКР «Буря» (1958-59)- 50; гл. редукторы ВР-2, ВР-8, ВР-14, ВР-24, ВР-252, ВР-80; ремонт двигателей РД-33, Р29-300 (2002), Р27Ф2М-300 (2002), Р35 (2002), Р11Ф-300 (2004);</w:t>
      </w:r>
      <w:r w:rsidRPr="00070ADE">
        <w:rPr>
          <w:rFonts w:ascii="Times New Roman" w:hAnsi="Times New Roman"/>
          <w:color w:val="000000" w:themeColor="text1"/>
          <w:sz w:val="16"/>
          <w:szCs w:val="16"/>
          <w:vertAlign w:val="superscript"/>
        </w:rPr>
        <w:t xml:space="preserve">69 </w:t>
      </w:r>
      <w:r w:rsidRPr="00070ADE">
        <w:rPr>
          <w:rFonts w:ascii="Times New Roman" w:hAnsi="Times New Roman"/>
          <w:color w:val="000000" w:themeColor="text1"/>
          <w:sz w:val="16"/>
          <w:szCs w:val="16"/>
        </w:rPr>
        <w:t>торпеда РАТ-52 (1949-50)- экспериментальная партия, МКР «Буря» (1959-)- 52; лодочные моторы «Москва», «Нептун» (1970-е).</w:t>
      </w:r>
    </w:p>
    <w:p w14:paraId="3D96F2F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Специальная конструкторская группа (СКГ) при заводе № 500 МАП, п/я 010</w:t>
      </w:r>
    </w:p>
    <w:p w14:paraId="62F2A91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МАП от 9.06.1954 г. при заводе № 500 создана СКГ, п/я 010, во главе с В.Н. Челомеем по созданию морских крылатых УР. В 1955 г. она преобразована в ОКБ-52 и перебазировалась в Реутов.</w:t>
      </w:r>
    </w:p>
    <w:p w14:paraId="124ECC20" w14:textId="196A921B"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ОКБ завода № 500, ОКБ-1 завода № 500 НКАП, ОКБ-500 МАП, ОКБ-500-1 МАП, «Тушинское МКБ (ТМКБ) «Союз» МАП, ГУП «ТМКБ «Союз» /125362</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Москва ул. Вишневая, 7 тел. 491-58-65/</w:t>
      </w:r>
    </w:p>
    <w:p w14:paraId="73F9B4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ОКБ завода № 500 образовано по приказу НКАП № 444с от 13.07.1942 г. на базе завода № 500 в Тушино. В него вошли КБ гл. конструктора Ф.Я. Тулупова и группа 4-го Спецотдела НКВД при заводе № 16 А.Д. Чаромского. Возглавил ОКБ А.Д. Чаромский. Работы по установке М-30 на Ер-2 и ТБ-7. Работы по дизелю М-20, для чего весь задел по нему переведен с завода № 16. Под руководством Чаромского на базе М-30 созданы АЧ- 30Б, АЧ-30БФ, АЧ-31, АЧ-32.</w:t>
      </w:r>
    </w:p>
    <w:p w14:paraId="4D8E7A4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заводе действовала также конструкторская группа под руководством В.М. Яковлева (одновременно-гл. конструктора ОКБ-45)- работы по танковым дизелям ТЧ-ЗОС, ТЧ-30Б (1946 г.).</w:t>
      </w:r>
    </w:p>
    <w:p w14:paraId="6DF5BF4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 414сс от 1.07.1946 г. коллективы Чаромского и Яковлева (ОКБ-45) объединены в единое ОКБ- 500 8ГУ МАП. Гл. конструктором назначен В.М. Яковлев. Чаромский с 1947 г. работает в ЦИАМ.</w:t>
      </w:r>
    </w:p>
    <w:p w14:paraId="07B8A7B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по дизелям АЧ-31, М-51 (М.М. Масленников), М-501 (В.М. Яковлев). В 1946-53г,- работы по воспроизводству немецкого дизеля Jumo-224 и разработке на его базе дизеля М-224. Работы по освоению производства ТРД РД-500 (1947-48 г.). Для разработки конструкторской документации по РД-500 были созданы конструкторские бригады.</w:t>
      </w:r>
    </w:p>
    <w:p w14:paraId="520700E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СМ № 599-302 от 23.02.1953 г. на территории ленинградского завода «Звезда» им. К.Е. Ворошилова было создано ОКБ-800, гл. конструктором которого назначен В.М. Яковлев.</w:t>
      </w:r>
    </w:p>
    <w:p w14:paraId="71BA8D8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 156 от 19.04.1957 г. Ленинградский филиал ОКБ-45 на заводе № 466 преобразован в филиал ОКБ-500. В 08.1957 г.- в ведении ЗГУ МАП. Приказом ГКАТ № 210 от 17.06.1958 г. филиал преобразован в самостоятельное ОКБ при заводе № 466.</w:t>
      </w:r>
    </w:p>
    <w:p w14:paraId="1CD5998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МАП № 175 от 30.04.1966 г. ОКБ-500 переименовано в Тушинское Машиностроительное КБ «Союз». Пост, правительства от 22.04.1996 г. предприятие преобразовано в ГУП «ТМКБ «Союз».</w:t>
      </w:r>
    </w:p>
    <w:p w14:paraId="496F2C7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Разработка атомных двигателей, доводка и сопровождение в серии Р-11-300, Р-27Ф2М-300, Р-29-300, Р-35, РД-33. Разработаны установки на базе ГТД, выработавших ресурс, для очистки ВПП, тушения пожаров, очистки труб нефтепроводов; малогабаритные автономные энергоустановки. Создано более 40 типов и модификаций ТРД.</w:t>
      </w:r>
    </w:p>
    <w:p w14:paraId="49092D44" w14:textId="63840182"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состав предприятия входит (2002 г.): КБ, ОП, лабораторная база, испытательная станция. Имелись филиалы 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Жуковский и 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Ахтубинске Астраханской обл.</w:t>
      </w:r>
    </w:p>
    <w:p w14:paraId="001A5C5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2006 г. ТМКБ «Союз» являлось дочерним предприятием РСК «МиГ».</w:t>
      </w:r>
    </w:p>
    <w:p w14:paraId="0E55A99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(2002 г.): разработка Р95-300; внедрение мобильной информационно-диагностической системы наземного контроля КСК-88; установка для беспрокруточной внутренней консервации двигателей; разработка привода ГТП 55СТ-20 для энергетики; (2006 г.): разработка двигателя РД-1700.</w:t>
      </w:r>
    </w:p>
    <w:p w14:paraId="07579E8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(13.07.1942-14.05.1946)- А.Д. Чаромский-Броничев, (14.07.1946-09.1953 г.)- В.М. Яковлев, (1957-65 г.)- Н. Г. Мецхваришвили {1911-65}, (1966-82 г.)- К.Р. Хачатуров, (1982-87 г.)- Ю.Е. Швецов, (1987- 2005 г.)- Р.Ю. Нусберг {29.07.1929-},</w:t>
      </w:r>
      <w:r w:rsidRPr="00070ADE">
        <w:rPr>
          <w:rFonts w:ascii="Times New Roman" w:hAnsi="Times New Roman"/>
          <w:color w:val="000000" w:themeColor="text1"/>
          <w:sz w:val="16"/>
          <w:szCs w:val="16"/>
          <w:vertAlign w:val="superscript"/>
        </w:rPr>
        <w:t>49</w:t>
      </w:r>
      <w:r w:rsidRPr="00070ADE">
        <w:rPr>
          <w:rFonts w:ascii="Times New Roman" w:hAnsi="Times New Roman"/>
          <w:color w:val="000000" w:themeColor="text1"/>
          <w:sz w:val="16"/>
          <w:szCs w:val="16"/>
        </w:rPr>
        <w:t xml:space="preserve"> (2005 г.-)- Л.С. Бардычев.</w:t>
      </w:r>
    </w:p>
    <w:p w14:paraId="4768C0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зам. гл. конструктора (1942-04.1944 г.)- Ф.Я. Тулупов, (04.1944 г.-&gt; И.Е. Скляр, (2002 г.)- А.В. Лобурев. Зам. гл. конструктора: (-04.1944 г.)- И.Е. Скляр; по экспериментальным работам (04.1944 г.-)- Ф.Я. Тулупов; по внедрению АЧ-ЗОБ (04.1944 г.-)- В.М. Яковлев; по эксплуатации (-2000-02 г.-)- В.М. Рузин; (1964-67 г.)- К.Р. Хачатуров, (-2000-02 г.-)- В.И. Винокуров; А.А. Михайловский, С.Р. Саркисов.</w:t>
      </w:r>
    </w:p>
    <w:p w14:paraId="18A2EBF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зам. ответственного руководителя- С.Р. Саркисов. И.О. начальника (1942 г.)- Ф.Я. Тулупов; начальник (1957 г.-)- С.Р. Саркисов. Директор (-1967 г.)- С.Р. Саркисов, (-2000-02 г.-&gt; В.И. Винокуров. Гендиректор (2005 г.)- Л.С. Бардычев.</w:t>
      </w:r>
    </w:p>
    <w:p w14:paraId="3D42EA3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управления по маркетингу и стратегическому планированию (2006 г.)- С.В. Залашков.</w:t>
      </w:r>
    </w:p>
    <w:p w14:paraId="4B206CD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 ТРД:</w:t>
      </w:r>
      <w:r w:rsidRPr="00070ADE">
        <w:rPr>
          <w:rFonts w:ascii="Times New Roman" w:hAnsi="Times New Roman"/>
          <w:color w:val="000000" w:themeColor="text1"/>
          <w:sz w:val="16"/>
          <w:szCs w:val="16"/>
        </w:rPr>
        <w:t xml:space="preserve"> РД-500, Р11Ф-300, Р27Ф2М-300, Р29-300, Р29Б-300, Р29БС-300, Р-35, РД-33, РД-1700; ГТУ55СТ-20 на базе Р29-300; дизель М-501 для ВМФ (1946-48); микро-ЖРД Р210 для КА (1963); мобильная система КСК-88.</w:t>
      </w:r>
      <w:r w:rsidRPr="00070ADE">
        <w:rPr>
          <w:rFonts w:ascii="Times New Roman" w:hAnsi="Times New Roman"/>
          <w:color w:val="000000" w:themeColor="text1"/>
          <w:sz w:val="16"/>
          <w:szCs w:val="16"/>
          <w:vertAlign w:val="superscript"/>
        </w:rPr>
        <w:t>101</w:t>
      </w:r>
    </w:p>
    <w:p w14:paraId="35FC4FA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ОКБ-2 завода № 500, ОКБ-500-2 МАП гл. конструктора С.С. Баландина /Тушино/</w:t>
      </w:r>
    </w:p>
    <w:p w14:paraId="2B892B9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 515с от 5.08.1946 г. при заводе № 500 сформировано ОКБ-2 гл. конструктора С.С. Баландина, переведенного с группой из 9 чел. с завода № 41 МАП, для продолжения работ по двигателю МБ-8. Разработка 24-цилиндрового мотора воздушного охлаждения М-127. Баландин назначен гл. конструктором мотора на заводе. В ОКБ переведены 11 чел. ИТР из ЦИАМ, 50 чел. с завода № 500. Работы велись и в 1948 г.</w:t>
      </w:r>
    </w:p>
    <w:p w14:paraId="485AED5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(08.1946-04.1947 г.-) - С.С. Баландин.</w:t>
      </w:r>
    </w:p>
    <w:p w14:paraId="635105FD" w14:textId="1DA2103D"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конструктора (08.1946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Г.П. Зайцев, (08.1946 г.-) - К.А. Гильзин (11982).</w:t>
      </w:r>
    </w:p>
    <w:p w14:paraId="365FA8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ED9D8E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 вышло Распоряжение ГКО № 5250. О капитальном ремонте аэросаней для Красной Армии. РГАНИР, Фонд ГКО, д. 212, лл. 86,87-93 (11012).</w:t>
      </w:r>
    </w:p>
    <w:p w14:paraId="5662886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D18C97E"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AF69EF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411A34"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 г.</w:t>
      </w:r>
    </w:p>
    <w:p w14:paraId="5F971AD9"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Фонд 4845 Опись 1 Дело 259 Листы 1 – 42</w:t>
      </w:r>
    </w:p>
    <w:p w14:paraId="42EDEE7E"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СЕКРЕТНО</w:t>
      </w:r>
    </w:p>
    <w:p w14:paraId="3CE334AF"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Экз. № 5</w:t>
      </w:r>
    </w:p>
    <w:p w14:paraId="73690067"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НАУЧНО-ИСПЫТАТЕЛЬНЫЙ БРОНЕТАНКОВЫЙ ПОЛИГОН ГБТУ КА</w:t>
      </w:r>
    </w:p>
    <w:p w14:paraId="1E415FAA"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«УТВЕРЖДАЮ»</w:t>
      </w:r>
    </w:p>
    <w:p w14:paraId="4CFFB421"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НИБТ Полигона</w:t>
      </w:r>
    </w:p>
    <w:p w14:paraId="08AE38BF"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Генерал-Майор Танковых войск подпись (Романов)</w:t>
      </w:r>
    </w:p>
    <w:p w14:paraId="1EC3BA4D"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1945 г.</w:t>
      </w:r>
    </w:p>
    <w:p w14:paraId="55CED751"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ОТЧЕТ</w:t>
      </w:r>
    </w:p>
    <w:p w14:paraId="7B2712DE"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надежности работы двигателей В2-34 и В2-ИС при гарантийных испытаниях</w:t>
      </w:r>
    </w:p>
    <w:p w14:paraId="250BC3B0"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танков и самоходных установок в 1944 г.</w:t>
      </w:r>
    </w:p>
    <w:p w14:paraId="4F5F0649"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Отдел</w:t>
      </w:r>
    </w:p>
    <w:p w14:paraId="0B810613"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силовых установок</w:t>
      </w:r>
    </w:p>
    <w:p w14:paraId="6FD2BB6D"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1945 г.</w:t>
      </w:r>
    </w:p>
    <w:p w14:paraId="026D2B1B"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ОГЛАВЛЕНИЕ</w:t>
      </w:r>
    </w:p>
    <w:p w14:paraId="311B4A81"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ВВЕДЕНИЕ.</w:t>
      </w:r>
    </w:p>
    <w:p w14:paraId="7F060A55"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Изучение причин преждевременного выхода из строя двигателей В2-34 и В2-ИС НИБТ Полигоном производилось по тем дефектам двигателей, которые были обнаружены в процессе гарантийных испытаний танков и самоходных установок в 1943 и 1944 годах.</w:t>
      </w:r>
    </w:p>
    <w:p w14:paraId="25C75D0F"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Выход двигателей В2-34 и В2-ИС из строя раньше гарантийного срока объясняется конструктивными недостатками отдельных узлов или вспомогательных агрегатов с одной стороны и с другой – имеют место производственные дефекты.</w:t>
      </w:r>
    </w:p>
    <w:p w14:paraId="6C49DDCA"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снижение в 1944 г. производственных и конструктивных дефектов двигателя, качество его остается еще низким, вследствие чего 14 танков Т-34 (из 34 проходивших испытания) и 6 танков "ИС" (из 19) не выдержали испытаний на гарантийный срок службы.</w:t>
      </w:r>
    </w:p>
    <w:p w14:paraId="68CE8A50"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 ЗАКЛЮЧЕНИЕ.</w:t>
      </w:r>
    </w:p>
    <w:p w14:paraId="569D09AF"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Надежность в работе дизельмоторов В2-34, по данным гарантийных испытаний танков и самоходных установок на полигоне, в 1944 году значительно повысилась по сравнению с 1943 годом.</w:t>
      </w:r>
    </w:p>
    <w:p w14:paraId="61896A9E"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Несмотря на снижение в 1944 г. производственных и конструктивных дефектов двигателя В-2, качество его остается еще низким. По этой причине 14 танков Т-34 (из 34 проходивших испытания) и 6 танков "ИС" (из 19 проходивших испытания) не выдержали испытаний на гарантийный срок службы.</w:t>
      </w:r>
    </w:p>
    <w:p w14:paraId="6FCC2CC0"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Лучшие результаты, при гарантийных испытаниях танков на полигоне, показали двигатели Кировского завода и завода № 77. Двигатели завода № 76 имели более низкие результаты, что можно объяснить худшей постановкой на этом заводе технологии производства и контроля.</w:t>
      </w:r>
    </w:p>
    <w:p w14:paraId="06DDBD89"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повышения надежности работы двигателей В2-34 и В2-ИС заводам необходимо:</w:t>
      </w:r>
    </w:p>
    <w:p w14:paraId="03BCE6F2"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Разработать более совершенный, в конструктивном отношении, привод к агрегатам нижнего картера. Желательно в сопряжении нижнего вертикального валика с цилиндрической шестерней (дет. № 302-23-5) установить гибкую муфту с целью предохранения деталей привода водяного и масляного насосов от ударных нагрузок.</w:t>
      </w:r>
    </w:p>
    <w:p w14:paraId="00F491E8"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 двигателях В2-34 необходимо осуществить автоматический подвод смазки к водяному насосу.</w:t>
      </w:r>
    </w:p>
    <w:p w14:paraId="418E2967"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Для надежности работы коленчатого вала и коренных подшипников необходимо улучшить смазку подшипников, отдаленных от передней опоры (6 – 8 подшипники).</w:t>
      </w:r>
    </w:p>
    <w:p w14:paraId="05D73023"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Для повышения надежности поршневых колец (устранение разрушений в стыках) целесообразно перейти на разрез щели (замка) колец под углом 60°, вместо 45°.</w:t>
      </w:r>
    </w:p>
    <w:p w14:paraId="2B5E53E2"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Разработать новую более надежную конструкцию воздушных фильтров с автоматической очисткой пылесборного бункера от пыли; в летних условиях воздух желательно забирать из боевого отделения, а осенью и зимой из моторного (наличие шибера или дроссельной заслонки).</w:t>
      </w:r>
    </w:p>
    <w:p w14:paraId="5CC4BC2C"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В целях снижения вредного влияния колебаний двигателя танковым заводам необходимо:</w:t>
      </w:r>
    </w:p>
    <w:p w14:paraId="0273D13C"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увеличить жесткость подмоторной рамы на танках Т-34;</w:t>
      </w:r>
    </w:p>
    <w:p w14:paraId="302E97D4"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б) при сборке танков повысить контроль:</w:t>
      </w:r>
    </w:p>
    <w:p w14:paraId="0683803B"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за точностью центровки двигателя с коробкой перемены передач;</w:t>
      </w:r>
    </w:p>
    <w:p w14:paraId="7DDB043D"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за статической балансировкой маховика и главного фрикциона в сборе с вентилятором.</w:t>
      </w:r>
    </w:p>
    <w:p w14:paraId="563E89D3"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Повысить контроль за изготовлением, сборкой и термической обработкой деталей двигателя и его топливной аппаратуры.</w:t>
      </w:r>
    </w:p>
    <w:p w14:paraId="383A529F"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Разработать более надежную конструкцию привода от инерционного стартера к коленчатому валу на двигателях В2-ИС.</w:t>
      </w:r>
    </w:p>
    <w:p w14:paraId="308077FA"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Разработать мероприятия, предохраняющие двигатель В2-ИС от преждевременного выхода из строя в зимних условиях, по причине осмоления деталей двигателя при его работе на малых оборотах: целесообразно в систему охлаждения танков устанавливать термостат.</w:t>
      </w:r>
    </w:p>
    <w:p w14:paraId="4B877FF8"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Танковым заводам необходимо срочно потребовать от завода-поставщика масляных манометров поставки на всю длину капиллярной трубки манометра – гибкой металлической армировки.</w:t>
      </w:r>
    </w:p>
    <w:p w14:paraId="2845383E"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В целях оказания помощи моторостроительным заводам в коренном улучшении качества двигателей, учитывая также увеличение на 1945 год срока службы двигателей (для В2-34 – до 250 часов и В2-ИС – до 200 часов), необходимо ввести метод проведения полигонных испытаний двигателей на гарантийный срок их службы.</w:t>
      </w:r>
    </w:p>
    <w:p w14:paraId="028B72A0"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НИБТ ПОЛИГОНА ПО НАУЧНО-ИСПЫТАТЕЛЬНОЙ ЧАСТИ</w:t>
      </w:r>
    </w:p>
    <w:p w14:paraId="3AB91E45"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ИНЖЕНЕР-ПОЛКОВНИК подпись 23.2.45 (СЫЧ)</w:t>
      </w:r>
    </w:p>
    <w:p w14:paraId="6ACB151B"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ОТДЕЛА СИЛОВЫХ УСТАНОВОК</w:t>
      </w:r>
    </w:p>
    <w:p w14:paraId="0BF5AE10"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ИНЖЕНЕР-МАЙОР подпись (ПОЧТАРЕВ)</w:t>
      </w:r>
    </w:p>
    <w:p w14:paraId="6B235C06"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ИНЖЕНЕР СИЛОВЫХ УСТАНОВОК</w:t>
      </w:r>
    </w:p>
    <w:p w14:paraId="468E4592"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ТЕХНИК-ЛЕЙТЕНАНТ подпись (ТОЛМАЧЕВ)</w:t>
      </w:r>
    </w:p>
    <w:p w14:paraId="5B0FC163"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63</w:t>
      </w:r>
    </w:p>
    <w:p w14:paraId="067ADA85"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 – нач. ГБТУ КА</w:t>
      </w:r>
    </w:p>
    <w:p w14:paraId="321DD4D8"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2 – нач. ТУ ГБТУ КА</w:t>
      </w:r>
    </w:p>
    <w:p w14:paraId="3D7B229C"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3 – НКТП</w:t>
      </w:r>
    </w:p>
    <w:p w14:paraId="37EB80BB"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4 – Кировский моторостр. з-д</w:t>
      </w:r>
    </w:p>
    <w:p w14:paraId="60B65967"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5 – НИБТ Полигон</w:t>
      </w:r>
    </w:p>
    <w:p w14:paraId="4E90AB98"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23.2.45 г.</w:t>
      </w:r>
    </w:p>
    <w:p w14:paraId="1F13C4A1"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2. ВОДЯНОЙ НАСОС И ЕГО ПРИВОД.</w:t>
      </w:r>
    </w:p>
    <w:p w14:paraId="546B293B"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гарантийных испытаний танков и самоходных установок (СУ) на НИБТ Полигоне в 1944 г. из 34-х двигателей В2-34, 14 двигателей испытания не выдержали вследствие конструктивных недостатков отдельных узлов или вспомогательных агрегатов двигателя с одной стороны и с другой – имеют место производственные дефекты. По тем де причинам не выдержали испытаний 6 двигателей В2-ИС из 19 двигателей, принимавших участие в испытаниях.</w:t>
      </w:r>
    </w:p>
    <w:p w14:paraId="2E19A6FC"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дефектам конструктивного характера надежность двигателя снижена, главным образом, за счет массового выхода из строя водяного насоса и его привода.</w:t>
      </w:r>
    </w:p>
    <w:p w14:paraId="2927D043"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Преждевременный выход из строя деталей водяного насоса в значительной мере снижает срок службы двигателя и в отдельных случаях может привезти к выходу из строя всего двигателя. К неисправностям водяного насоса следует отнести разрушение сухаря и обжимной втулки привода насоса, а также хвостовика нижнего вертикального валика водяного насоса.</w:t>
      </w:r>
    </w:p>
    <w:p w14:paraId="776D7573"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случаев преждевременного разрушения деталей водяного насоса у двигателя В2-34, в процессе испытаний танков на гарантийный километраж, представлено в таблице № 1.</w:t>
      </w:r>
    </w:p>
    <w:p w14:paraId="3D3FB82F"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 № 1.</w:t>
      </w:r>
    </w:p>
    <w:p w14:paraId="5089C335"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видно из таблицы № 1, 10 двигателей В2-34 не выдержали испытаний вследствие преждевременного разрушения деталей водяного насоса, что составляет 29,5% от общего количества двигателей В2-34, проходивших испытания.</w:t>
      </w:r>
    </w:p>
    <w:p w14:paraId="5012A3D1"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Преждевременное разрушение деталей водяного насоса также наблюдается у двигателя В2-ИС. Из 20 двигателей – два не выдержали испытаний по причине разрушения сухаря привода водяного насоса.</w:t>
      </w:r>
    </w:p>
    <w:p w14:paraId="7623616A"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разборке нескольких насосов, вышедших из строя раньше гарантийного срока установлено, что в полости корпуса насоса посторонних предметов не было и состояние крыльчатки было хорошее.</w:t>
      </w:r>
    </w:p>
    <w:p w14:paraId="465D0D34"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Разрушенные детали водяного насоса каждый раз подвергались лабораторным исследованиям, данные которых сведены в таблице № 2.</w:t>
      </w:r>
    </w:p>
    <w:p w14:paraId="7AD05ABB"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 № 2.</w:t>
      </w:r>
    </w:p>
    <w:p w14:paraId="2635A5C8"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Лабораторные анализы материалов, вышедших из строя деталей водяного насоса (см. таблицу № 2), подтверждают, что разрушение их не связано с качеством материала или термической или механической обработкой.</w:t>
      </w:r>
    </w:p>
    <w:p w14:paraId="7325A838"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Гарантийные испытания двигателей типа В-2 установлено, что разрушение сухаря и обжимной втулки привода насоса, а также хвостовиков нижнего вертикального валика и валика водяного насоса происходит вследствие несовершенства конструкции привода. Кроме этого, существенным дефектом в конструкции водяного насоса является отсутствие автоматического подвода смазки к бронзовой втулке корпуса водяного насоса (на двигателях В2-34). Недостаточно регулярное поступление смазки к водяному насосу, как правило приводит к повышенному износу бронзовой втулки корпуса насоса. Микрометражные данные показали, что через 40 – 50 часов работы двигателя зазоры валика водяного насоса и бронзовой втулки обычно увеличены в 2 – 5 раз против допускаемого зазора для ремонтного двигателя.</w:t>
      </w:r>
    </w:p>
    <w:p w14:paraId="06B35FE3"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на привод водяного насоса кроме основных ударных нагрузок, возникающих при резком изменении числа оборотов двигателя, передаются дополнительные ударные нагрузки, появляющиеся вследствие вибрации валика насоса (из-за наличия больших люфтов валика в бронзовой втулке корпуса насоса).</w:t>
      </w:r>
    </w:p>
    <w:p w14:paraId="2A723E8A"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1. Разрушенный сухарь привода водяного насоса. Рис. № 2. Разрушение хвостовика водяного насоса.</w:t>
      </w:r>
    </w:p>
    <w:p w14:paraId="7BD5FB03"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3. Нижний вертикальный валик с разрушенным хвостовиком.</w:t>
      </w:r>
    </w:p>
    <w:p w14:paraId="5B0B9BD9"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то, что НИБТ полигон, начиная с 1943 г. неоднократно отмечал в своих отчетах, что основной причиной разрушения привода водяного насоса является несовершенство конструкции, тем не менее и до конца 1944 г. некоторые моторостроительные заводы (например № 76) считали серийную конструкцию привода надежной, а его разрушение объясняли воздействием на крыльчатку насоса посторонних предметов (частицы накипи, пайки радиаторов и проч.). Такая точка зрения не подтверждается опытными данными полигона и по-видимому, кроме предположений нет таких данных и на заводе № 76.</w:t>
      </w:r>
    </w:p>
    <w:p w14:paraId="6766B41D"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требованию ГБТУ КА, для устранения дефектов по водяному насосу, моторостроительными заводами в июле 1944 г. были предъявлены для испытаний следующие конструкции приводов водяного насоса:</w:t>
      </w:r>
    </w:p>
    <w:p w14:paraId="6A18A608"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"Кулачный привод на шлицах" конструкции завода № 77.</w:t>
      </w:r>
    </w:p>
    <w:p w14:paraId="4EA67784"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"Кулачный привод на лысках" конструкции завода № 37.</w:t>
      </w:r>
    </w:p>
    <w:p w14:paraId="6343F165"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"Шлицевой привод" конструкции Кировского завода.</w:t>
      </w:r>
    </w:p>
    <w:p w14:paraId="4090A5DB"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Водяной насос с закрытой крыльчаткой конструкции завода № 76 (при этом серийный привод насоса остался без изменений).</w:t>
      </w:r>
    </w:p>
    <w:p w14:paraId="08378732"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приведенных опытных образцов наилучшим оказался "кулачный привод на шлицах" конструкции завода № 77 (рис. 4), который отработал 200 часов без единого дефекта, износы деталей водяного насоса при этом не выходят за пределы допускаемых норм. Полигон рекомендовал принять эту конструкцию в серию, взамен существующей ненадежной конструкции привода водяного насоса.</w:t>
      </w:r>
    </w:p>
    <w:p w14:paraId="554A4B53"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4. Конструкция кулачного привода к водяному насосу.</w:t>
      </w:r>
    </w:p>
    <w:p w14:paraId="1E3897E8"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 нижний вертикальный валик; 2 – шестерня; 3 – валик водяного насоса; 4 – гайка кулачка; 5 – кулачок.</w:t>
      </w:r>
    </w:p>
    <w:p w14:paraId="7C285035"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Остальные образцы испытаний не выдержали вследствие имеющихся у конструктивных недостатков. Наихудшие результаты показал водяной насос с закрытой крыльчаткой, у которого на 7-м часу работы двигателя произошло скручивание хвостовика валика (типичный дефект для серийного привода).</w:t>
      </w:r>
    </w:p>
    <w:p w14:paraId="3199F28C"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повышения надежности работы привода к агрегатам водяного и масляного насосов необходимо:</w:t>
      </w:r>
    </w:p>
    <w:p w14:paraId="79FAB0E9"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Разработать более совершенный, в конструктивном отношении, упругий привод к агрегатам нижнего картера. Желательно в сопряжении нижнего вертикального валика с цилиндрической шестерней (дет. № 302-23-5) установить гибкую муфту типа GMC (рис. № 5) с целью предохранения деталей водяного и масляного насосов от ударных нагрузок, возникающих при резком изменении числа оборотов двигателя.</w:t>
      </w:r>
    </w:p>
    <w:p w14:paraId="2161C27F"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5. Гибкая муфта рессорного валика привода нагнетателя двигателя GMC.</w:t>
      </w:r>
    </w:p>
    <w:p w14:paraId="3E6F52AF"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 пластинчатые пружины; б – кулачок.</w:t>
      </w:r>
    </w:p>
    <w:p w14:paraId="4FC3E787"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 двигателях В2-34 необходимо осуществить автоматический подвод смазки к водяному насосу.</w:t>
      </w:r>
    </w:p>
    <w:p w14:paraId="29960BB9"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3. КРИВОШИПНО-ШАТУННЫЙ МЕХАНИЗМ И ПОРШНЕВАЯ ГРУППА.</w:t>
      </w:r>
    </w:p>
    <w:p w14:paraId="7C4C7E56"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время гарантийных испытаний танков и самоходных установок имели место следующие дефекты:</w:t>
      </w:r>
    </w:p>
    <w:p w14:paraId="1D97AA0C"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Выход из строя поршневой группы на двигателе В2-ИС № 41173 танка "ИС" (декабрьского выпуска) после 73-х часов его работы.</w:t>
      </w:r>
    </w:p>
    <w:p w14:paraId="5E634B20"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осмотра деталей после разборки двигателя установлено:</w:t>
      </w:r>
    </w:p>
    <w:p w14:paraId="2245F061"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Правая группа:</w:t>
      </w:r>
    </w:p>
    <w:p w14:paraId="70238656"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Подплавление боковой поверхности уплотнительного пояса поршня 3-го цилиндра и разрушение поршневых колец.</w:t>
      </w:r>
    </w:p>
    <w:p w14:paraId="1DE58DED"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 Подплавление верхней части уплотнительного пояса поршня 6-го цилиндра (верхний буртик) и разрушение 2-го и 3-го колец.</w:t>
      </w:r>
    </w:p>
    <w:p w14:paraId="0A827A2B"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Разрушение верхних поршневых колец 2-го и 5-го поршней.</w:t>
      </w:r>
    </w:p>
    <w:p w14:paraId="4A957885"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Левая группа:</w:t>
      </w:r>
    </w:p>
    <w:p w14:paraId="633D694B"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Подплавление уплотнительного пояса второго цилиндра.</w:t>
      </w:r>
    </w:p>
    <w:p w14:paraId="45FD606D"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Разрушение верхних поршневых колец 1-го, 4-го и 5-го поршней.</w:t>
      </w:r>
    </w:p>
    <w:p w14:paraId="24690AF1"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Разрушение 1-го и 2-го колец поршня 3-го цилиндра.</w:t>
      </w:r>
    </w:p>
    <w:p w14:paraId="6CD5951E"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Нагарообразование в камере сгорания и на головках поршней было незначительное. Смолоотложение на тарелях клапанов не обнаружено. На штоках клапанов лакообразной пленки, характерной для случаев неправильного прогрева двигателя не обнаружено (поверхность штока блестящая). Неразрушенные кольца в канавках поршней и клапаны в направляющих втулках подвижны.</w:t>
      </w:r>
    </w:p>
    <w:p w14:paraId="58C68A5F"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Топливный насос и форсунки при их разборке и проверке на специальных установках дефектов не имели. На корпусах форсунок обнаружено обильное смолоотложение по причине прорыва газов из камеры сгорания наружу через уплотнение стыка между форсункой и головкой двигателя.</w:t>
      </w:r>
    </w:p>
    <w:p w14:paraId="53B73CB2"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сборке двигателя на заводе форсунки не были достаточно плотно затянуты, вследствие чего во время работы двигателя имел место прорыв газов из камеры сгорания. Таким образом, выход из строя поршневой группы двигателя является следствием плохой затяжки форсунок, из-за чего двигатель имел пониженную компрессию и температуру сжатия. По этой причине самовоспламенение рабочей смеси происходило позже нормального, а ее сгорание перемещалось на такт расширения, что и вызвало местные перегревы поршней, потерю упругости компрессионных колец (особенно верхних) и разрушение их.</w:t>
      </w:r>
    </w:p>
    <w:p w14:paraId="37A05EDE"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6. Разрушенные поршни с двигателя В2-ИС после 73 часов его работы.</w:t>
      </w:r>
    </w:p>
    <w:p w14:paraId="1E643B33"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7. Состояние форсунок с двигателя В2-ИС после 73 часов его работы (а – смолоотложение на корпусах форсунок. б – форсунка без смолоотложений).</w:t>
      </w:r>
    </w:p>
    <w:p w14:paraId="063FD11F"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8. Разрушенный шатун с двигателя В2-34 № 4015302.</w:t>
      </w:r>
    </w:p>
    <w:p w14:paraId="59465193"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 двигателе В2-34 № 4015302 завода № 77 (февральского выпуска) после 52 часов работы двигателя произошел обрыв шатунов 1-го левого и 1-го правого цилиндров.</w:t>
      </w:r>
    </w:p>
    <w:p w14:paraId="79B460E5"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Осмотром деталей двигателя после его разборки установлено:</w:t>
      </w:r>
    </w:p>
    <w:p w14:paraId="17F631FF"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смазка на трущихся поверхностях деталей имеется, поршни в гильзах цилиндров перемещаются легко;</w:t>
      </w:r>
    </w:p>
    <w:p w14:paraId="5AE8C067"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задиры на шатунной шейке и вкладыше, а также зеркале цилиндров отсутствуют.</w:t>
      </w:r>
    </w:p>
    <w:p w14:paraId="2E2A152C"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Причиной обрыва главного шатуна, как показал анализ материалов, является наличие неметаллических включений в материале шатуна, особенно в слоях близких к поверхности, что и привело в начале к образованию трещин, а затем к обрыву главного шатуна. Материал прицепного шатуна дефектов не имел. Его разрушение произошло в результате воздействия на него разрушенного главного шатуна.</w:t>
      </w:r>
    </w:p>
    <w:p w14:paraId="1F7B0617"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Необходимо отметить, что во втором квартале 1944 г. для повышения прочности шатунов, заводами введена полировка поверхности главного шатуна вместо окончательной обработки его под "</w:t>
      </w:r>
      <w:r w:rsidRPr="00070ADE">
        <w:rPr>
          <w:rFonts w:ascii="Cambria Math" w:hAnsi="Cambria Math" w:cs="Cambria Math"/>
          <w:color w:val="000000" w:themeColor="text1"/>
          <w:sz w:val="16"/>
          <w:szCs w:val="16"/>
        </w:rPr>
        <w:t>∇∇∇</w:t>
      </w:r>
      <w:r w:rsidRPr="00070ADE">
        <w:rPr>
          <w:rFonts w:ascii="Times New Roman" w:hAnsi="Times New Roman"/>
          <w:color w:val="000000" w:themeColor="text1"/>
          <w:sz w:val="16"/>
          <w:szCs w:val="16"/>
        </w:rPr>
        <w:t>". Чистота механической обработки прицепного шатуна также повышена. Обработка ведется под "</w:t>
      </w:r>
      <w:r w:rsidRPr="00070ADE">
        <w:rPr>
          <w:rFonts w:ascii="Cambria Math" w:hAnsi="Cambria Math" w:cs="Cambria Math"/>
          <w:color w:val="000000" w:themeColor="text1"/>
          <w:sz w:val="16"/>
          <w:szCs w:val="16"/>
        </w:rPr>
        <w:t>∇∇∇</w:t>
      </w:r>
      <w:r w:rsidRPr="00070ADE">
        <w:rPr>
          <w:rFonts w:ascii="Times New Roman" w:hAnsi="Times New Roman"/>
          <w:color w:val="000000" w:themeColor="text1"/>
          <w:sz w:val="16"/>
          <w:szCs w:val="16"/>
        </w:rPr>
        <w:t>" вместо "</w:t>
      </w:r>
      <w:r w:rsidRPr="00070ADE">
        <w:rPr>
          <w:rFonts w:ascii="Cambria Math" w:hAnsi="Cambria Math" w:cs="Cambria Math"/>
          <w:color w:val="000000" w:themeColor="text1"/>
          <w:sz w:val="16"/>
          <w:szCs w:val="16"/>
        </w:rPr>
        <w:t>∇∇</w:t>
      </w:r>
      <w:r w:rsidRPr="00070ADE">
        <w:rPr>
          <w:rFonts w:ascii="Times New Roman" w:hAnsi="Times New Roman"/>
          <w:color w:val="000000" w:themeColor="text1"/>
          <w:sz w:val="16"/>
          <w:szCs w:val="16"/>
        </w:rPr>
        <w:t>".</w:t>
      </w:r>
    </w:p>
    <w:p w14:paraId="4DA5504F"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 двигателе В2-ИС № 411478 с самоходной установки ИСУ-152 (декабрьского выпуска) в первые часы работы двигателя после гарантийных испытаний (на 1100 км) был обнаружен повышенный расход масла и стук в двигателе.</w:t>
      </w:r>
    </w:p>
    <w:p w14:paraId="5A06CA21"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осмотра деталей после разборки двигателя обнаружено подплавление уплотнительного пояса поршня 3-го цилиндра правой группы и 6-го левой группы. Поршневые кольца (особенно 1-е и 2-е) разрушены во 2, 3 и 5-м цилиндрах правой группы и 4, 5 и 6-м левой группы. Остальные кольца потеряли упругость, зазор в замках колец в свободном состоянии = 6 – 8 мм.</w:t>
      </w:r>
    </w:p>
    <w:p w14:paraId="51852F40"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внешнему виду кольца разрушились на мелкие части (величиной 3 – 5 мм). Излом крупнозернистый, светлый. У неразрушенных колец имеет место выкрашивание кромок в замке, по этой причине некоторые кольца заклинены в канавке поршня.</w:t>
      </w:r>
    </w:p>
    <w:p w14:paraId="7D728D3A"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Смолоотложений на тарелях клапанов не обнаружено, нагарообразование в камере сгорания и на головках поршней было незначительное. Топливный насос и форсунки дефектов не имели, газораспределение двигателя установлено правильно.</w:t>
      </w:r>
    </w:p>
    <w:p w14:paraId="2EA0E840"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выяснения причин разрушения поршневых колец последние были подвергнуты лабораторному анализу. Данные лабораторных исследований приведены ниже:</w:t>
      </w:r>
    </w:p>
    <w:p w14:paraId="6DFAB497"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Химический состав материала в %%</w:t>
      </w:r>
    </w:p>
    <w:p w14:paraId="45EF00C9"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приведенных данных следует, что по химическому составу материал соответствует марке антифрикционных чугунов с повышенным содержанием марганца на 0,35% против ТУ.</w:t>
      </w:r>
    </w:p>
    <w:p w14:paraId="7CFE09A4"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Просмотром нетравленого микрошлифа, в поперечном и продольном сечениях, установлено большое количество графитных включений. Графитные включения большого размера расположены в виде прерывчатой сетки и гнезд (рис. № 9).</w:t>
      </w:r>
    </w:p>
    <w:p w14:paraId="38C4C4A0"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Микроструктура материала поршневых колец с феррито-перлитовой основой. Имеется большое количество графитных включений, расположенных в виде прерывчатой сетки и гнезд (рис. № 10).</w:t>
      </w:r>
    </w:p>
    <w:p w14:paraId="6FB80544"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9. Графитные включения. Нетравленый микрошлиф, увеличение 100.</w:t>
      </w:r>
    </w:p>
    <w:p w14:paraId="01AEE510"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10. Микроструктура материала поршневых колец. Феррит с перлитовой основой. Увеличение 500.</w:t>
      </w:r>
    </w:p>
    <w:p w14:paraId="2D9644E5"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Шлиф травлен 4 % раствором азотной кислоты в спирте.</w:t>
      </w:r>
    </w:p>
    <w:p w14:paraId="78DDD3DE"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рис. 9 и 10 следует, что микроструктура поршневых колец неудовлетворительная ввиду большого количества неравномерно распределенного графита в виде гнезд и прерывчатой сетки.</w:t>
      </w:r>
    </w:p>
    <w:p w14:paraId="7115D1D9"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данных лабораторных исследований материала поршневых колец можно заключить, что поломка их произошла по причине дефекта материала (наличие графита в виде прерывчатой сетки и гнезд). Повышенное содержание марганца на 0,35% против ТУ способствовало увеличению хрупкости чугуна.</w:t>
      </w:r>
    </w:p>
    <w:p w14:paraId="6D2068BE"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Следует отметить, что при разборки многих двигателей В2-34 и В2-ИС после гарантийных испытаний было обнаружено разрушение кромок стыка поршневых колец. По этой причине некоторые кольца заклинивает (прихватывание) в канавках поршня, что в дальнейшем вызывает их разрушение. Для повышения надежности поршневых колец (устранение разрушений в стыках) целесообразно перейти на разрез щели (замка) колец под углом 60° вместо 45°.</w:t>
      </w:r>
    </w:p>
    <w:p w14:paraId="0F5F250E"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На двигателе В2-34 № 409077 завода № 76 с самоходной установки "СУ-100" Уралмашзавода (октябрьский выпуск) на 52 часу его испытаний произошел обрыв шпилек крепления основания упорного подшипника распределительных валиков левой группы. Вследствие этого была нарушена установка газораспределения и двигатель вышел из строя. Причиной обрыва шпилек явилось отсутствие шплинта (дет. 354-11) под гайку шпильки подшипника, что привело к произвольному отвертыванию гайки, а затем и разрушению шпилек.</w:t>
      </w:r>
    </w:p>
    <w:p w14:paraId="501D5071"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4. АГРЕГАТЫ СИСТЕМЫ ПИТАНИЯ.</w:t>
      </w:r>
    </w:p>
    <w:p w14:paraId="0FA3EE66"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1943 г. и особенно в начале 1944 г. при гарантийных испытаниях танков и СУ имелись случаи отказы в работе топливного насоса НК-1 из-за поломки пружин плунжеров и излома выступов поворотной втулки плунжера.</w:t>
      </w:r>
    </w:p>
    <w:p w14:paraId="1EFD6F63"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Лабораторные анализы материала пружин подтвердили, что их поломка во всех случаях объясняется применением дефектного материала (материал имел неметаллические включения, волосовины). Следует также отметить, что в некоторых случаях поломка пружин объясняется неправильной их термической обработкой. Например, на двигателе В2-ИС мартовского выпуска с самоходной установки ИСУ-152 сломанная пружина имела твердость по Роквеллу шкала С = 48,5 – 50 ед., что для пружины из хромистой стали является завышенной.</w:t>
      </w:r>
    </w:p>
    <w:p w14:paraId="7BA6E282"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Заклинивание, при работе двигателя, витков сломанной пружины между поворотной втулкой и тарелкой, закрепленной на головке плунжера, обычно вызывает излом выступов поворотной втулки.</w:t>
      </w:r>
    </w:p>
    <w:p w14:paraId="4C4C823F"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2-м квартале 1944 г. моторостроительными заводами введено оцинкование поверхности пружин вместо оксидирования, сто дает возможность легко обнаруживать волосовины на магнофлоксе. Это мероприятие должно повысить качество контроля.</w:t>
      </w:r>
    </w:p>
    <w:p w14:paraId="2E2D8FD1"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Полигоном таже отмечалось, что имеются неоднократные случаи зависания иглы в корпусе распылителя форсунки и неплотная посадка иглы в седле распылителя, вследствие чего форсунка отказывает в работе (подтекание, плохой распыл топлива). В процессе эксплоатации двигателя, через 100 часов его работы, затяжка пружин форсунок снижалась обычно на 20 – 30 кг/см² (с 200 кг/см² до 170 – 180 кг/см²). В 1944 г. заводами, с целью повышения устойчивости регулировки затяжки пружин форсунок, повышена твердость штанги с HRс = 49 – 54 на HRс 55 – 59 ед. и заменен материал штанги со стали ХВ-2 на сталь ШХ-9 (ГОСТ-801-41).</w:t>
      </w:r>
    </w:p>
    <w:p w14:paraId="24F3121B"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время гарантийных испытаний двигателя В2-ИС № 405604 с танка ИС июньского выпуска было обнаружено самопроизвольное отворачивание контргайки регулировочной пробки пружины форсунки по причине неудовлетворительной затяжки контргайки на заводе.</w:t>
      </w:r>
    </w:p>
    <w:p w14:paraId="1C0A4CBC"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двигателе В2-34 № КР-407234 имел место один случай разрушения шпилек привода топливного насоса (дет. 334-29-5). Разрушение шпилек произошло по месту резьбовой части (рис. 12). В результате лабораторного анализа установлено:</w:t>
      </w:r>
    </w:p>
    <w:p w14:paraId="522E813E"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твердость по Роквеллу на поверхности = 21 – 22; торец = 24 – 25;</w:t>
      </w:r>
    </w:p>
    <w:p w14:paraId="5D210329"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микроструктура материала мелкозернистый перлит. Перлит в виде отдельных зерен. Расположение зерен равномерное.</w:t>
      </w:r>
    </w:p>
    <w:p w14:paraId="56831B5A"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при наличии перлитовой структуры твердость шпилек является низкой, что могло послужить причиной разрушения.</w:t>
      </w:r>
    </w:p>
    <w:p w14:paraId="7EBD3544"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двигателе В2-ИС № 4011735 (танк "ИС" февральского выпуска) на 29 часу работы имело место разрушение зубьев шестерни привода топливного насоса (рис. 13).</w:t>
      </w:r>
    </w:p>
    <w:p w14:paraId="3BB16F49"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11. Контргайка с регулировочной пробкой. Гайка помята кулачком распределительного вала.</w:t>
      </w:r>
    </w:p>
    <w:p w14:paraId="2107077B"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12. Разрушение шпильки привода топливного насоса на двигателе В2-34 № КР-407234.</w:t>
      </w:r>
    </w:p>
    <w:p w14:paraId="25B6C9DC"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13. Разрушение зубьев шестерни привода топливного насоса.</w:t>
      </w:r>
    </w:p>
    <w:p w14:paraId="706ABE08"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При лабораторном исследовании оказалось, что зубья имели твердость по Роквеллу шкала С, на поверхности = 39 – 40 ед. вместо 53 – 60 ед. по ТУ, по сечению зуба 40 – 41 (нормальная). Микроструктура материала сорбит. Из вышеизложенного следует, что разрушение зубьев произошло вследствие их низкой твердости и неудовлетворительной цементации.</w:t>
      </w:r>
    </w:p>
    <w:p w14:paraId="4A093330"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Анализируя изложенные в § 3 и § 4 дефекты двигателей В2-34 и В2-ИС можно сделать вывод, что контроль за изготовлением, сборкой и термической обработкой деталей двигателя и его топливной аппаратуры остается еще на низком уровне.</w:t>
      </w:r>
    </w:p>
    <w:p w14:paraId="5DFDA30F"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5. КОЛЕНЧАТЫЙ ВАЛ И ПОДШИПНИКИ.</w:t>
      </w:r>
    </w:p>
    <w:p w14:paraId="6665627E"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Коленчатый вал.</w:t>
      </w:r>
    </w:p>
    <w:p w14:paraId="5A807921"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данным гарантийных испытаний танков на полигоне в 1943 году, а также данных ремонтных заводов, характерным дефектом в коленчатом вале двигателей В-2 являлось образование трещин в шейках и носке вала (6 – 4 коренные шейки).</w:t>
      </w:r>
    </w:p>
    <w:p w14:paraId="0DB3BC69"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предложение НИБТ Полигона и по инициативе самих моторостроительных заводов, для повышения надежности работы коленчатого вала, в 1944 г. внесен ряд конструктивных улучшений (переход на 2-х радиусную галтель, усилена 4-я поперечная перегородка картера по толщине на 2 – 5 мм как более нагруженная и т.д.). Эти мероприятия безусловно повысили надежность работы коленчатого вала.</w:t>
      </w:r>
    </w:p>
    <w:p w14:paraId="434FBE51"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гарантийных и полигонных испытаний танков Т-34 в 1944 г. указанных дефектов обнаружено не было. При испытаниях тяжелых танков с двигателями В2-ИС январского. Февральского и ноябрьского выпусков обнаружены обмятия и наклеп на шлицах носка вала. По данным НКТП в 1944 г. также зафиксировано несколько случаев образования трещин и поломок коленчатых валов двигателей В-2 в действующих БТ частях.</w:t>
      </w:r>
    </w:p>
    <w:p w14:paraId="65450FC7"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Причины образования трещин в коленчатом вале:</w:t>
      </w:r>
    </w:p>
    <w:p w14:paraId="257B23C8"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Большие изгибающие моменты, возникающие в коленчатом вале вследствие неравномерного износа коренных подшипников (особенно 6 и 8 подшипники).</w:t>
      </w:r>
    </w:p>
    <w:p w14:paraId="00186502"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Недостаточная жесткость подмоторной рамы на танке Т-34, а также недостаточный контроль за центровкой двигателя относительно КПП и статической балансировкой маховика в сборе с главным фрикционом и вентилятором.</w:t>
      </w:r>
    </w:p>
    <w:p w14:paraId="42E7BDCA"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Производственные дефекты.</w:t>
      </w:r>
    </w:p>
    <w:p w14:paraId="4F68D3D6"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Подшипники.</w:t>
      </w:r>
    </w:p>
    <w:p w14:paraId="03939DF9"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Еще в 1943 г. экспериментальными работами полигона было установлено, что односторонний ввод масла в коленчатый вал не обеспечивает надежной смазки коренных подшипников, отдаленных от передней опоры (давление в носке вала в 2 – 4 раза меньше по сравнению с давлением на входе в коленчатый вал). По этой причине имеются частные случаи подплавления подшипников в войсковых частях, особенно в период зимней эксплоатации. Моторостроительные заводы до сих пор не улучшили смазку коренных подшипников, отдаленных от передней опоры.</w:t>
      </w:r>
    </w:p>
    <w:p w14:paraId="51201C24"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полигон проводит испытания масляных насосов повышенной производительности конструкции заводов № 76 и № 77 на двигателях В2-34. Полезность данного мероприятия и надежность в работе этих насосов окончательно полигоном еще не изучена.</w:t>
      </w:r>
    </w:p>
    <w:p w14:paraId="57E4843E"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6. ДЕФЕКТЫ, ОБНАРУЖЕННЫЕ НА ДВИГАТЕЛЯХ В2-ИС</w:t>
      </w:r>
    </w:p>
    <w:p w14:paraId="74B21F54"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ПРОЦЕССЕ ЗИМНЕЙ ИХ ЭКСПЛОАТАЦИИ.</w:t>
      </w:r>
    </w:p>
    <w:p w14:paraId="7068CD6D"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 процессе испытаний тяжелых танков и самоходных установок на НИБТ Полигоне было установлено, что с наступлением низких температур при запусках дизельмоторов В2-ИС наблюдаются частые случаи скручивания рессорного валика инерционного стартера (дет. № 305-48-2).</w:t>
      </w:r>
    </w:p>
    <w:p w14:paraId="7F9DCECC"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полигоне с ноября месяца 1944 г. по 1 февраля 1945 г. при запусках дизельмоторов В2-ИС имело место 10 случаев скручивания рессорного валика инерционного стартера (рис. 14).</w:t>
      </w:r>
    </w:p>
    <w:p w14:paraId="64136038"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Лабораторными исследованиями полигона установлено, что причиной разрушения валика является недостаточная его прочность при запуске холодного или недостаточно прогретого двигателя. Только в одном из 10 случаев причиной разрушения валика являлась дефектность материала. Характер скручивания валиков не относится к усталостному излому.</w:t>
      </w:r>
    </w:p>
    <w:p w14:paraId="565F24C7"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повышения надежности работы валика (дет. № 305-48-2) Кировским заводом разработана новая конструкция рессорного валика (дет. № 2305-48-11). В отличие от серийного, рессорный валик новой конструкции шлицован на всю длину.</w:t>
      </w:r>
    </w:p>
    <w:p w14:paraId="1B12B75E"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Испытаниями установлено, что опытный рессорный валик по своей прочности на 15% выше прочности серийного валика. Однако следует отметить, что опытный рессорный валик также как и серийный при зимних условиях запуска непрогретого двигателя подвергается нагрузкам. Превышающим предел его упругости, вследствие чего имеют место остаточные деформации. Ниже на рис. 15 приведены графики остаточных деформаций рессорных валиков (опытного и серийного) при испытании их на крутильной машине системы Амслера.</w:t>
      </w:r>
    </w:p>
    <w:p w14:paraId="38115928"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разработки и введения в серию более надежной конструкции привода, полигон рекомендовал опытный рессорный валик для серийного производства в качестве временного мероприятия.</w:t>
      </w:r>
    </w:p>
    <w:p w14:paraId="0C961C5D"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14. Скрученный рессорный валик инерционного стартера двигателя В2-ИС № 4031046.</w:t>
      </w:r>
    </w:p>
    <w:p w14:paraId="75CAE48A"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15. График остаточных деформаций рессорных валиков на кручение.</w:t>
      </w:r>
    </w:p>
    <w:p w14:paraId="03AE6A4A"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16. Выхлопной клапан после 21 часа работы двигателя на холостом ходу.</w:t>
      </w:r>
    </w:p>
    <w:p w14:paraId="55303894"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Полигоном также было установлено, что с наступлением низких температур при частых прогревах двигателя В2-ИС (работа на холостом ходу) наблюдаются случаи смолоотложения на деталях двигателя. Особенно обильному смолоотложению подвергаются гильзы цилиндров, выхлопные клапаны, боковая поверхность и днище поршня. Осмоление деталей двигателя затрудняет его запуск, а в некоторых случаях выводит двигатель окончательно из строя.</w:t>
      </w:r>
    </w:p>
    <w:p w14:paraId="35F7593D"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полигоне после 21 часа специальных испытаний двигатель В2-ИС отказал в заводке вследствие заедания выхлопных клапанов в направляющих втулках. После разборки и осмотра деталей двигателя установлено: штоки выхлопных клапанов были покрыты плотным слоем лакообразной пленки, некоторые клапаны зависли в направляющих. Боковая поверхность поршней и зеркало гильз цилиндров покрыты лакообразной пленкой. На головке поршня были смолистые отложения, в виде темной массы толщиной 2 – 3 мм. Поршневые кольца, а также их канавки в поршнях покрыты липкой массой. Ниже на рис. № 16 и № 17 представлены осмоленные детали двигателя.</w:t>
      </w:r>
    </w:p>
    <w:p w14:paraId="6D2739F8"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определения температурного режима двигателя В2-ИС при котором происходит ненормальное смесеобразование, сгорание рабочей смеси и, как следствие, осмоление деталей двигателя, полигоном были проведены специальные испытания. Опытные данные, полученные при испытаниях представлены на графиках рис. № 18 и № 19.</w:t>
      </w:r>
    </w:p>
    <w:p w14:paraId="14E7E3DF"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17. Поршень со смолоотложением на головке.</w:t>
      </w:r>
    </w:p>
    <w:p w14:paraId="1F1D9065"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18. Изменение удельного расхода топлива, температуры выхлопных газов и эффективной мощности двигателя</w:t>
      </w:r>
    </w:p>
    <w:p w14:paraId="4C3936E0"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зависимости от температурного режима двигателя.</w:t>
      </w:r>
    </w:p>
    <w:p w14:paraId="49FB1474"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19. Изменение максимального давления сгорания в зависимости от температурного режима двигателя.</w:t>
      </w:r>
    </w:p>
    <w:p w14:paraId="404C8141"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Анализируя кривые, приведенные на рис. № 18 и № 19, характеризующие эффективность сгорания топлива в зависимости от температурного режима двигателя, можно сделать следующие выводы:</w:t>
      </w:r>
    </w:p>
    <w:p w14:paraId="52076FA8"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Нормальный процесс образования смеси и ее сгорание происходит после прогрева двигателя до температур охлаждающей жидкости (на выходе) = 65°С и выше. В интервале температур от 35 – 40°С до 65°С происходит постепенное улучшение условий сгорания рабочей смеси.</w:t>
      </w:r>
    </w:p>
    <w:p w14:paraId="02536018"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При работе дизельмотора на холостом ходу или малых нагрузках в условиях низкого температурного состояния двигателя (температура охлаждающей жидкости до 35 – 40°С) и минусовой температуры воздуха, поступающего в двигатель, процесс образования рабочей смеси и ее сгорание происходит ненормально (оседание топлива на стенки камеры сгорания и поршня, низкая температура сжатия, замедленное горение, пропуски вспышек и т.д.), вследствие чего в дизеле неизбежно происходит процесс интенсивного образования смолистых веществ.</w:t>
      </w:r>
    </w:p>
    <w:p w14:paraId="539A26F3"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Двигателя В2-ИС вследствие повышенной эффективности системы охлаждения (танков "ИС" и "ИСУ") особенно предрасположены к смолообразованию при эксплоатации их в зимних условиях. Для повышения надежности работы двигателя В2-ИС необходимо разработать мероприятия, предохраняющие двигатель от преждевременного выхода из строя, в зимних условиях, по причине осмоления деталей при его работе на малых оборотах.</w:t>
      </w:r>
    </w:p>
    <w:p w14:paraId="5BD514E4"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7. ФИЛЬТРАЦИЯ ВОЗДУХА, ПОСТУПАЮЩЕГО В ДВИГАТЕЛЬ.</w:t>
      </w:r>
    </w:p>
    <w:p w14:paraId="188F4CCA"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Гарантийные испытания танков на НИБТ Полигоне, а также опыт отечественной войны показал, что недостаточная фильтрация воздуха, поступающего в двигатель, сокращает срок его службы в 2 – 3 раза против нормального.</w:t>
      </w:r>
    </w:p>
    <w:p w14:paraId="4C81B2AE"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Заводами до сих пор не создан танковый воздухоочиститель, обеспечивающий длительное время удовлетворительную очистку воздуха при движении танка по пыльному проселку и не требующий при этом сложного и частого ухода. Созданные в 1944 г. воздушные фильтры "Мультициклон" для двигателей В2-34 и В2-ИС безусловно лучше, чем воздухоочистители "Циклон", но они также не удовлетворяют требования надежной очистки воздуха от пыли и удобства их обслуживания. Гарантийные испытания танков и самоходных установок летом 1944 г. подтвердили, что воздушные фильтры "Мультициклон" в силу своих конструктивных и производственных недостатков, при движении танков по пыльному проселку, не обеспечивают необходимую очистку воздуха от пыли. Вследствие недостаточной фильтрации воздуха, по данным 2-го главного управления НКТП, в танковых соединениях одного из фронтов в 3-м квартале (особенно июль и август) зафиксировано 59 случаев преждевременного износа поршневых колец в связи с чем двигатели имели повышенный расход масла.</w:t>
      </w:r>
    </w:p>
    <w:p w14:paraId="26B09A20"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Известно, что условия работы воздушных фильтров в значительной степени зависят от расположения их приемных окон на танке или СУ. На танках Т-34 и "ИС" воздушные фильтры работают в крайне тяжелых условиях, т.к. забор воздуха ими происходит из наиболее запыленных мест в танке. В связи с этим бункера </w:t>
      </w:r>
      <w:r w:rsidRPr="00070ADE">
        <w:rPr>
          <w:rFonts w:ascii="Times New Roman" w:hAnsi="Times New Roman"/>
          <w:color w:val="000000" w:themeColor="text1"/>
          <w:sz w:val="16"/>
          <w:szCs w:val="16"/>
        </w:rPr>
        <w:lastRenderedPageBreak/>
        <w:t>воздухоочистителей, при пыльной дороге, быстро заполняются пылью, и очистка воздуха еще более ухудшается. Кроме этого, промасленная проволочная набивка кассет фильтра (канитель) через 3 – 5 часов работы двигателя теряет улавливающую способность вследствие отсутствия обновления загустевшей масляной пленки, в дальнейшем поэтому происходит сухая инерционная очистка воздуха. При обильном же смачивании канители масло стекает вниз и ускоряет засорение отверстий конусов циклонов, изолируя их от пылесборного бункера.</w:t>
      </w:r>
    </w:p>
    <w:p w14:paraId="60157A17"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время испытаний танка 183 завода с двигателем КР-406714 (августовского выпуска), после 7 часов работы двигателя, бункеры были заполнены полностью пылью, канительная набивка нижних и верхних кассет была в пыли. Пыль также была обнаружена во всасывающих коллекторах.</w:t>
      </w:r>
    </w:p>
    <w:p w14:paraId="32F9B499"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пробеге танка завода 112 с двигателем № Е-4060416 в тех же условиях после 4,5 часов работы двигателя бункеры воздухоочистителя были заполнены пылью почти полностью, пыль находилась также в нижних и верхних кассетах. Ниже на рис. 20 приведено фото проволочной набивки кассет воздухоочистителя двигателя В2-34 с танка 112 завода (августовского выпуска) после 4,5 часов работы двигателя при движении танка по запыленному проселку.</w:t>
      </w:r>
    </w:p>
    <w:p w14:paraId="30922F2B"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Гарантийные испытания танков на НИБТ Полигоне, а также опыт отечественной войны показал, что недостаточная фильтрация воздуха, поступающего в двигатель, сокращает срок его службы в 2 – 3 раза против нормального.</w:t>
      </w:r>
    </w:p>
    <w:p w14:paraId="73285970"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Заводами до сих пор не создан танковый воздухоочиститель, обеспечивающий длительное время удовлетворительную очистку воздуха при движении танка по пыльному проселку и не требующий при этом сложного и частого ухода. Созданные в 1944 г. воздушные фильтры "Мультициклон" для двигателей В2-34 и В2-ИС безусловно лучше, чем воздухоочистители "Циклон", но они также не удовлетворяют требования надежной очистки воздуха от пыли и удобства их обслуживания. Гарантийные испытания танков и самоходных установок летом 1944 г. подтвердили, что воздушные фильтры "Мультициклон" в силу своих конструктивных и производственных недостатков, при движении танков по пыльному проселку, не обеспечивают необходимую очистку воздуха от пыли. Вследствие недостаточной фильтрации воздуха, по данным 2-го главного управления НКТП, в танковых соединениях одного из фронтов в 3-м квартале (особенно июль и август) зафиксировано 59 случаев преждевременного износа поршневых колец в связи с чем двигатели имели повышенный расход масла.</w:t>
      </w:r>
    </w:p>
    <w:p w14:paraId="6DFC0F34"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Известно, что условия работы воздушных фильтров в значительной степени зависят от расположения их приемных окон на танке или СУ. На танках Т-34 и "ИС" воздушные фильтры работают в крайне тяжелых условиях, т.к. забор воздуха ими происходит из наиболее запыленных мест в танке. В связи с этим бункера воздухоочистителей, при пыльной дороге, быстро заполняются пылью, и очистка воздуха еще более ухудшается. Кроме этого, промасленная проволочная набивка кассет фильтра (канитель) через 3 – 5 часов работы двигателя теряет улавливающую способность вследствие отсутствия обновления загустевшей масляной пленки, в дальнейшем поэтому происходит сухая инерционная очистка воздуха. При обильном же смачивании канители масло стекает вниз и ускоряет засорение отверстий конусов циклонов, изолируя их от пылесборного бункера.</w:t>
      </w:r>
    </w:p>
    <w:p w14:paraId="79E01EEB"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время испытаний танка 183 завода с двигателем КР-406714 (августовского выпуска), после 7 часов работы двигателя, бункеры были заполнены полностью пылью, канительная набивка нижних и верхних кассет была в пыли. Пыль также была обнаружена во всасывающих коллекторах.</w:t>
      </w:r>
    </w:p>
    <w:p w14:paraId="260F2644"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пробеге танка завода 112 с двигателем № Е-4060416 в тех же условиях после 4,5 часов работы двигателя бункеры воздухоочистителя были заполнены пылью почти полностью, пыль находилась также в нижних и верхних кассетах. Ниже на рис. 20 приведено фото проволочной набивки кассет воздухоочистителя двигателя В2-34 с танка 112 завода (августовского выпуска) после 4,5 часов работы двигателя при движении танка по запыленному проселку. После разборки фильтра (до промывки канители) из нее было выбито 655 гр. Пыли, что наглядно представлено на рис. 21.</w:t>
      </w:r>
    </w:p>
    <w:p w14:paraId="2E3BD326"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20. Состояние верхних слоев канители после 4,5 часов работы двигателя в пыльных дорожных условиях.</w:t>
      </w:r>
    </w:p>
    <w:p w14:paraId="4820277B"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21. Пыль, выбитая из канители после 4,5 часов работы двигателя в пыльных дорожных условиях.</w:t>
      </w:r>
    </w:p>
    <w:p w14:paraId="149768E3"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Недостаточная фильтрация воздуха, поступающего в двигатель, приводит к преждевременному износу поршневых колец, вследствие чего у двигателя теряется компрессия, что приводит к снижению мощности двигателя и увеличенному расходу смазки.</w:t>
      </w:r>
    </w:p>
    <w:p w14:paraId="0F9F7FB8"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испытаний танков на полигоне в августе 1944 г. из 3-х двигателей В2-34, два двигателя (после 1000 км испытаний) вышли из строя по причине плохой фильтрации воздуха. Например: двигатель № КР-406714 изготовления Кировского завода (августовского выпуска), на 61 часу его работы произошел обрыв шпилек крепления крышки нижней головки шатуна 3-го цилиндра. Обрыв шпилек произошел по причине подплавления вкладыша подшипника на шатунной шейке, вследствие закупорки смолистыми отложениями масляного канала шатунной шейки коленвала, подводящего масло к подшипнику. Обильное смолоотложение имело место в связи с недостаточной фильтрацией засасываемого двигателем воздуха, что привело к преждевременному разрушению поршневых колец (в 1, 2, 3, 4 и 6 цилиндрах) левой группы и в последствие к обильному загрязнению масла (в картере двигателя) пылью.</w:t>
      </w:r>
    </w:p>
    <w:p w14:paraId="74F3729C"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числу производственных недостатков следует отнести небрежное изготовление корпуса и головки воздухоочистителей, ненадежное уплотнение в месте разъема головки и бункера с корпусом фильтра. При частой разборке воздухоочистителей, для его очистки и промывки, нарушается герметизация в местах стыков, что приводит в дальнейшем к подсосу запыленного воздуха через щели, минуя циклоны воздухоочистителей или даже проволочную набивку кассет.</w:t>
      </w:r>
    </w:p>
    <w:p w14:paraId="3A80B06D"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Выемка воздухоочистителей из танка, разборка их и установка после промывки требует много времени (1,5 – 2 часа) вследствие плохой подгонки сопряженных деталей и затрудненного доступа к воздухоочистителям.</w:t>
      </w:r>
    </w:p>
    <w:p w14:paraId="75FD12D9"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Необходимо отметить, что на немецких танках (особенно на последних образцах) уделено большое внимание легкости и удобству разборки воздушных фильтров для их промывки и перезарядки. Благодаря этому время на промывку и перезарядку сокращено до минимума, что от части компенсирует сравнительно небольшую пылеулавливающую их емкость.</w:t>
      </w:r>
    </w:p>
    <w:p w14:paraId="08C8F317"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улучшения фильтрации воздуха, поступающего в двигатель, моторостроительных заводам необходимо:</w:t>
      </w:r>
    </w:p>
    <w:p w14:paraId="20226E55"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Разработать новую, более надежную конструкцию воздушных фильтров с автоматической очисткой пылесборного бункера от пыли.</w:t>
      </w:r>
    </w:p>
    <w:p w14:paraId="63EF7676"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 летних условиях воздух желательно забирать из боевого отделения, а осенью и зимой из моторного (наличие шибера или дроссельной заслонки).</w:t>
      </w:r>
    </w:p>
    <w:p w14:paraId="74A086EC"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Воздушные фильтры не должны требовать очистки или промывки фильтрующего материала раньше 10 – 12 часов работы двигателя (100 – 150 км движения танка).</w:t>
      </w:r>
    </w:p>
    <w:p w14:paraId="4D6507D1"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8. ПОДВЕСКА ДВИГАТЕЛЯ.</w:t>
      </w:r>
    </w:p>
    <w:p w14:paraId="37E9AEF9"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Подвеска двигателя в танке заслуживает особого внимания с точки зрения создания нормальных условий для работы двигателя – снижения до минимума его вибраций, оказывающих вредное влияние на износ деталей двигателя.</w:t>
      </w:r>
    </w:p>
    <w:p w14:paraId="1AEA5C54"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Поломки коленчатых валов со стороны носка и наблюдаемые при гарантийных испытаниях танков на полигоне, а также в условиях их войсковой эксплоатации наклеп шлиц и трещины носка вала являются в значительной степени результатом воздействия на коленчатый вал дополнительных нагрузок от вибрации двигателя и коробки перемены передач.</w:t>
      </w:r>
    </w:p>
    <w:p w14:paraId="2BE4BC23"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исследования причин колебаний двигателей В2-ИС и В2-34 в танках, НИБТ Полигоном были проведены специальные испытания при работе двигателей под нагрузкой и без нагрузки. Нагрузка на двигатель создавалась букировкой второго танка при движении по твердой грунтовой дороге на первой и второй передаче. Колебания двигателей определялись в вертикальной плоскости относительно корпуса танка с помощью регистрирующего аппарата системы Гейгера.</w:t>
      </w:r>
    </w:p>
    <w:p w14:paraId="01125858"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на рис. 22 приведена виброграмма вертикальных колебаний двигателя В2-34 при работе его без нагрузки, на рис. 23 – под нагрузкой. Обороты двигателя поддерживались в первом случае 1600 – 1650 об/мин и во втором случае (под нагрузкой) 1600 – 1700 об/мин.</w:t>
      </w:r>
    </w:p>
    <w:p w14:paraId="37D3E257"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приведенных виброграмм следует, что максимальная величина вертикальных колебаний двигателя В2-34 при работе его без нагрузки составляет 0,55 мм (обороты коленчатого вала = 1600 – 1650 об/мин) и под нагрузкой при 1650 – 1700 об/мин = 0,7 мм.</w:t>
      </w:r>
    </w:p>
    <w:p w14:paraId="569EEA30"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22. Виброграмма вертикальных колебаний двигателя В2-34 при работе его без нагрузки на танке Т-34.</w:t>
      </w:r>
    </w:p>
    <w:p w14:paraId="298B1CCA"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23. Виброграмма колебаний двигателя В2-34 при работе его под нагрузкой на танке Т-34.</w:t>
      </w:r>
    </w:p>
    <w:p w14:paraId="58DC33B1"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24. Виброграмма колебаний двигателя В2-ИС при работе его без нагрузки.</w:t>
      </w:r>
    </w:p>
    <w:p w14:paraId="12B803FE"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Многократное снятие виброграмм колебаний двигателя В2-34 в танке Т-34 показывает, что максимальный размах колебаний двигателя (удвоенная амплитуда) при работе его под нагрузкой незначительно отличается по своей величине от размаха колебаний двигателя при работе без нагрузки (при одинаковых оборотах двигателя). Анализ виброграмм также показывает, что частота колебаний двигателя при работе его как под нагрузкой, так и без нагрузки, совпадает с числом оборотов двигателя за одно и тоже время. На основании вышеизложенного можно заключить, что вынужденные колебания двигателя В2-34 при работе его в танке возбуждаются периодически действующими внешними силами, вызванными неточностью центровки двигателя относительно КПП и, по-видимому, неуравновешенностью (дисбалансом) маховика и главного фрикциона.</w:t>
      </w:r>
    </w:p>
    <w:p w14:paraId="387DCFF6"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Большой интерес представляют полученные данные по исследованию колебаний двигателей В2-ИС на танках ИС. На рис. 24 представлена виброграмма колебаний двигателя В2-ИС при работе его без нагрузки.</w:t>
      </w:r>
    </w:p>
    <w:p w14:paraId="4D9FDC0B"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виброграммы рис. 24 видно, что максимальная величина вертикальных колебаний двигателя В2-ИС на танке "ИС" при работе без нагрузки (при 1600 – 1700 об/мин) составляет 0,15 мм. Известно, что на танке "ИС" конструкция подмоторной рамы (мощные кронштейны, приваренные к бортам корпуса танка) являются более жесткой чем на танке Т-34. Вследствие этого максимальный размах колебаний двигателя на танке "ИС" в 4 – 5 раз меньше по сравнению с колебаниями двигателя В2-34 в танке Т-34. В связи с тем, что на отмеченных выше образцах танков установлены однотипные двигатели, базирующиеся на различные по конструкции и жесткости подмоторные рамы, представляет интерес сравнение максимального размаха колебаний двигателей в зависимости от их оборотов. Наглядно это представлено на графике рис. 25.</w:t>
      </w:r>
    </w:p>
    <w:p w14:paraId="08C97D5F"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25. Зависимость величины максимальных колебаний двигателей В-2 при работе без нагрузки на разных танках.</w:t>
      </w:r>
    </w:p>
    <w:p w14:paraId="34DB6427"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видно из графика рис. 25 минимальные значения удвоенной амплитуды колебаний в интервале эксплоатационных оборотов двигателя В-2 получены на танках "ИС", что объясняется более жесткой подмоторной рамой на танке "ИС" по сравнению с рамой танка Т-34.</w:t>
      </w:r>
    </w:p>
    <w:p w14:paraId="5F9E0050"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целях снижения вредного влияния колебаний двигателя танковым заводам необходимо:</w:t>
      </w:r>
    </w:p>
    <w:p w14:paraId="4B7ED63A"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Увеличить жесткость подмоторной рамы на танках Т-34.</w:t>
      </w:r>
    </w:p>
    <w:p w14:paraId="5BED4EC1"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При сборке танков повысить контроль:</w:t>
      </w:r>
    </w:p>
    <w:p w14:paraId="39F31A3B"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за точностью центровки двигателя с КПП;</w:t>
      </w:r>
    </w:p>
    <w:p w14:paraId="3E42144A"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за статической балансировкой маховика и главного фрикциона в сборе с вентилятором.</w:t>
      </w:r>
    </w:p>
    <w:p w14:paraId="08111FF8"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9. СРАВНИТЕЛЬНАЯ ОЦЕНКА КАЧЕСТВА ДВИГАТЕЛЕЙ В-2,</w:t>
      </w:r>
    </w:p>
    <w:p w14:paraId="140432B5"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ИЗГОТОВЛЕННЫХ РАЗЛИЧНЫМИ МОТОРОСТРОИТЕЛЬНЫМИ ЗАВОДАМИ В 1943 и 1944 г.</w:t>
      </w:r>
    </w:p>
    <w:p w14:paraId="0019F36B"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Гарантийные испытания танков и самоходных установок на полигоне в 1944 г. показали, что их надежность в работе снижена за счет преждевременного разрушения ответственных деталей в двигателях. Так, например: 14 танков с двигателями В2-34 испытаний не выдержали (из 19 танков, не выдержавших испытаний) по причине дефектов двигателя, что составляет 41% от общего количества танков, проходивших гарантийные испытания. Из общего количества двигателей В2-34 каждого завода, при гарантийных испытаниях танков и СУ в 1944 году не выдержали испытаний дизельмоторы:</w:t>
      </w:r>
    </w:p>
    <w:p w14:paraId="7E9C030B"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Кировского завода – 30,8% (4 двигателя из 13)</w:t>
      </w:r>
    </w:p>
    <w:p w14:paraId="422DBF86"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Завода № 77 – 42,8% (3 двигателя из 7)</w:t>
      </w:r>
    </w:p>
    <w:p w14:paraId="701948F9"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Завода № 76 – 50% (7 двигателей из 14)</w:t>
      </w:r>
    </w:p>
    <w:p w14:paraId="15117BBC"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несмотря на однотипную конструкцию двигателей, изготовленных различными заводами, наименьший процент преждевременного выхода двигателей В2-34 из строя показали двигатели Кировского завода. Двигатели завода № 76 показали более низкие результаты чем двигатели Кировского завода и завода № 77. Ниже в таблице № 3 приведены причины, вследствие которых двигатели не выдержали испытаний.</w:t>
      </w:r>
    </w:p>
    <w:p w14:paraId="5AC497C3"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 № 3.</w:t>
      </w:r>
    </w:p>
    <w:p w14:paraId="42FF0415"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таблице № 4 приведено количество конструктивных и производственных дефектов двигателей за время гарантийных испытаний танков и самоходных установок в 1944 г. Для сравнения в этой же таблице приведены данные по этим же дефектам двигателей за 1943 г.</w:t>
      </w:r>
    </w:p>
    <w:p w14:paraId="4C4C7737"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 № 4.</w:t>
      </w:r>
    </w:p>
    <w:p w14:paraId="2C864DCD"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Табличные данные наглядно показывают, что моторостроительные в 1944 г. значительно улучшили качество двигателя за счет повышения технологической дисциплины обработки деталей двигателя и их сборки. Если в 1943 г. на один двигатель В2-34 приходилось дефектов производственного характера 1,1 то в 1944 г. подобных дефектов на один двигатель = 0,33, т.е. меньше в 3 раза. Большинство конструктивных дефектов двигателей относится за счет преждевременного разрушения деталей привода водяного насоса.</w:t>
      </w:r>
    </w:p>
    <w:p w14:paraId="37637CA0"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снижение в 1944 г. производственных и конструктивных дефектов двигателя В-2, качество его остается еще низким, вследствие чего 41% танков Т-34 не выдержали испытаний на гарантийный срок службы в течение 1000 км. Следует также отметить, что во время испытаний имело место 13 случаев (на танках Т-34) течи масла и топлива из-под штуцерных соединений, причем 8 из них относится к танкам Кировского завода.</w:t>
      </w:r>
    </w:p>
    <w:p w14:paraId="7EB0E714"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Полигон в 1943 г. и 1944 г. неоднократно отмечал, что на танках и самоходных установках наблюдаются частые случаи выхода из строя масляных манометров вследствие поломок капиллярных трубок в местах больших перегибов трубок. Этот дефект до сего времени не устранен. Танковым заводам необходимо срочно потребовать от завода-поставщика масляных манометров постановки на всю длину капиллярной трубки манометра – гибкой металлической армировки.</w:t>
      </w:r>
    </w:p>
    <w:p w14:paraId="639DEC1D"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в таблице № 5 сведены поломки и неисправности двигателей В2-ИС, обнаруженные в процессе гарантийных испытаний танков и СУ на полигоне в 1944 г.</w:t>
      </w:r>
    </w:p>
    <w:p w14:paraId="3C780C7F"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 № 5.</w:t>
      </w:r>
    </w:p>
    <w:p w14:paraId="6484368E"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и характер дефектов двигателей В2-ИС,</w:t>
      </w:r>
    </w:p>
    <w:p w14:paraId="3F2DDE4C"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обнаруженных во время гарантийных испытаний танков и СУ.</w:t>
      </w:r>
    </w:p>
    <w:p w14:paraId="5DB5D4FC" w14:textId="77777777" w:rsidR="006D542A" w:rsidRPr="00070ADE" w:rsidRDefault="006D54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(23526)</w:t>
      </w:r>
    </w:p>
    <w:p w14:paraId="23B8BD69" w14:textId="77777777" w:rsidR="006D542A" w:rsidRPr="00070ADE" w:rsidRDefault="006D542A" w:rsidP="00B56F90">
      <w:pPr>
        <w:spacing w:after="0" w:line="240" w:lineRule="auto"/>
        <w:jc w:val="both"/>
        <w:rPr>
          <w:rFonts w:ascii="Times New Roman" w:hAnsi="Times New Roman"/>
          <w:color w:val="000000" w:themeColor="text1"/>
          <w:sz w:val="16"/>
          <w:szCs w:val="16"/>
        </w:rPr>
      </w:pPr>
    </w:p>
    <w:p w14:paraId="423D72C6" w14:textId="0EA1B520"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 г. приказом № 139с в соответствии с пост. ГКО № 4922 от 11.01.1944 г. завод (ГС завод № 224 НКОП, НКАП, МАП, ГКАТ, Ленинградский государственный завод метеорологических приборов «Метприбор» ВСНХ, НКТП, НКОП, Опытный завод «Прибор» МАП, Ленинградский государственный завод «Прибор» МАП, АООТ «Опытный завод «Прибор», ОАО «НПО «Прибор» /г. Ленинград 18-я линия Васильевского о-ва (у Финляндского пер.) (1942 г.)/ /199034</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Санкт-Петербург 17-я линия Васильевского о-ва, 2А; 17-я линия, 4-6 тел. 323-24-57/), который базировался на четырех площадках: по Иностранному пер., по Финляндскому пер., по Наличному пер., 7Б и по 18/19 линии Васильевского острова, 10, был определен как завод контрольно-испытательной и штурманской аппаратуры.</w:t>
      </w:r>
    </w:p>
    <w:p w14:paraId="4A68F83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 72с от 25.02.1946 г. завод с 1.02.1946 г. становится опытной базой гл. конструктора A.M. Неусыпина, а по приказу № 430с от 4.07.1946 г. преобразуется в Опытный завод № 224 МАП. В 08.1957 г.- в ведении 4ГУ ГКАТ.</w:t>
      </w:r>
    </w:p>
    <w:p w14:paraId="3807FBA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1966 г. завод № 224 переименован в Опытный завод «Прибор». В 1975 г. Ленинградский государственный завод «Прибор» стал головным предприятием НПО «Сфера», в составе которого находился по 1992 г. В 1993 г. завод преобразован в АООТ «Опытный завод «Прибор», в 2000 г. - в ОАО «НПО «Прибор». В 1990-е-2002 г. являлся филиалом НПО «Сфера».</w:t>
      </w:r>
    </w:p>
    <w:p w14:paraId="254CFD3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(2002 г.): разработка, конструирование, проведение испытаний и организация серийного выпуска информационно-измерительных систем для исследований техники, летных испытаний ЛА; систем эксплуатационного контроля технических комплексов с сохранением информации в экстремальных условиях, систем контроля и диагностики двигателей, турбин, трансмиссий; (2005 г.): разработка и производство: аппаратуры радиационного, химического и биологического контроля для ВМФ; систем охранной и пожарной сигнализации; аппаратуры газового анализа, частотного регулирования электроприводов.</w:t>
      </w:r>
    </w:p>
    <w:p w14:paraId="159A395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(2002 г.)- 350 чел.</w:t>
      </w:r>
    </w:p>
    <w:p w14:paraId="5897623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(-4.07.1937 г.)- М.И. Савченко, (4.07-11.09.1937 г.)- А.И. Архаров, (11.09.1937-17.02.1938 г.)- Н.Я. Балакирев, (17.02.1938-41 г.-)- Е.Д. Васильев, (-09.1943-02.1945 Г.-)- А.А. Адеев. Гендиректор (-2002-05 г.-&gt; Б.А. Елизаров.</w:t>
      </w:r>
    </w:p>
    <w:p w14:paraId="42A022D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(2006 г.)- А. Иванов.</w:t>
      </w:r>
    </w:p>
    <w:p w14:paraId="146453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директора (02.1944 г.-)- A.M. Неусыпин. Зам. гендиректора по экономике и финансам (2002 г.)- Д.А. Воробьев.</w:t>
      </w:r>
    </w:p>
    <w:p w14:paraId="67F4F7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(02.1944 г.-)- A.M. Неусыпин, (2002 г.)- А.Е. Понкратов.</w:t>
      </w:r>
      <w:r w:rsidRPr="00070ADE">
        <w:rPr>
          <w:rFonts w:ascii="Times New Roman" w:hAnsi="Times New Roman"/>
          <w:color w:val="000000" w:themeColor="text1"/>
          <w:sz w:val="16"/>
          <w:szCs w:val="16"/>
          <w:vertAlign w:val="superscript"/>
        </w:rPr>
        <w:t>69</w:t>
      </w:r>
    </w:p>
    <w:p w14:paraId="3BD63679" w14:textId="74CF6C40"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цехов: сборочного (03.1937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Г.К. Петров.</w:t>
      </w:r>
    </w:p>
    <w:p w14:paraId="23F4A19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визир НВ-56, барографы (1936);</w:t>
      </w:r>
      <w:r w:rsidRPr="00070ADE">
        <w:rPr>
          <w:rFonts w:ascii="Times New Roman" w:hAnsi="Times New Roman"/>
          <w:iCs/>
          <w:color w:val="000000" w:themeColor="text1"/>
          <w:sz w:val="16"/>
          <w:szCs w:val="16"/>
        </w:rPr>
        <w:t xml:space="preserve"> приборы:</w:t>
      </w:r>
      <w:r w:rsidRPr="00070ADE">
        <w:rPr>
          <w:rFonts w:ascii="Times New Roman" w:hAnsi="Times New Roman"/>
          <w:color w:val="000000" w:themeColor="text1"/>
          <w:sz w:val="16"/>
          <w:szCs w:val="16"/>
        </w:rPr>
        <w:t xml:space="preserve"> РР-1, -19, -32, -36, -37, -48, МВ-8, -11, -3, АД-2, МО- 5, МТ-25, МС-7, Н-723, МД-19, АС-12, -17 (1938); электроакустический детонометр ЭАД-3 (1945); светолучевые регистраторы К-4-21, К-12-21, К-20-21 (1950-е); информационно-измерительные системы К-60-41, «Гамма» (1960-е); системы аварийной регистрации параметров полета: МСРП-12-96 (1950-60-е), МСРП-64 (1970-80-е), МСРП-А-01 для Ту-160, Ту-154М (1970-80-е), МСРП-А-02 для Ту-204, Ил-96, Ил-114, РЗБН-1 для Ту-334 (11982).</w:t>
      </w:r>
    </w:p>
    <w:p w14:paraId="7AE7EB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E3BEEA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 вышло Постановление ГКО № 5237 Об уполномоченных ГОКО по дровозаготовкам для железнодорожного транспорта по Архангельской области и Карело-Финской ССР. (7192, 2).</w:t>
      </w:r>
    </w:p>
    <w:p w14:paraId="4C4031B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C1507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 вышло Распоряжение ГКО № 5238 [О поставках резинотехнических изделий НКТП, НКСМ, НКНП, НКлесу и НКАП.] (7192, 3-4).</w:t>
      </w:r>
    </w:p>
    <w:p w14:paraId="7439BF0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622D6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 г. вышло Постановление ГКО № 5239 «Об обеспечении 5-го Управления НКГБ СССР специальной аппаратурой» (Д. 288. Л. 115–117).</w:t>
      </w:r>
    </w:p>
    <w:p w14:paraId="5F75D6A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6B8FB5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 вышло Распоряжение ГКО № 5240 [О прекращении мобилизации молодежи Хабаровского края в школы ФЗО.] (7192, 9).</w:t>
      </w:r>
    </w:p>
    <w:p w14:paraId="418F32A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9779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 вышло Распоряжение ГКО № 5241. О восстановлении электротехнических сооружений в Харькове. РГАНИР, Фонд ГКО, д. 212, лл. 10 (11012).</w:t>
      </w:r>
    </w:p>
    <w:p w14:paraId="271C0F5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A865F03"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 вышло Распоряжение ГКО № 5243 [О мерах по обеспечению опытного производства стирола и метилстирола на заводе № 739 НКРП.] (7192, 12).</w:t>
      </w:r>
    </w:p>
    <w:p w14:paraId="0FF7FC7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9C226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 вышло Распоряжение ГКО № 5242. О передаче помещения завода № 3 треста "Мосгорместпром" ГАУ КА. РГАНИР, Фонд ГКО, д. 212, лл. 11 (11012).</w:t>
      </w:r>
    </w:p>
    <w:p w14:paraId="7BE017A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EF8BD95" w14:textId="77777777" w:rsidR="00C473F1"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 вышло Распоряжение ГКО № 5244. Об изготовлении заготовок и узлов для морских реактивных установок измененной конструкции. РГАНИР, Фонд ГКО, д. 212, лл. 13 (11012).</w:t>
      </w:r>
    </w:p>
    <w:p w14:paraId="078DDB78" w14:textId="77777777" w:rsidR="00C473F1" w:rsidRPr="00070ADE" w:rsidRDefault="00C473F1" w:rsidP="00B56F90">
      <w:pPr>
        <w:autoSpaceDE w:val="0"/>
        <w:autoSpaceDN w:val="0"/>
        <w:adjustRightInd w:val="0"/>
        <w:spacing w:after="0" w:line="240" w:lineRule="auto"/>
        <w:jc w:val="both"/>
        <w:rPr>
          <w:rFonts w:ascii="Times New Roman" w:hAnsi="Times New Roman"/>
          <w:color w:val="000000" w:themeColor="text1"/>
          <w:sz w:val="16"/>
          <w:szCs w:val="16"/>
        </w:rPr>
      </w:pPr>
    </w:p>
    <w:p w14:paraId="68293201" w14:textId="3A26DCF5" w:rsidR="00673CAB" w:rsidRPr="00070ADE" w:rsidRDefault="00673CA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ГОСУДАРСТВЕННЫЙ КОМИТЕТ ОБОРОНЫ РАСПОРЯЖЕНИЕ № ГКО-5244сс</w:t>
      </w:r>
    </w:p>
    <w:p w14:paraId="0F703F09" w14:textId="77777777" w:rsidR="00C473F1"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Москва, Кремль</w:t>
      </w:r>
    </w:p>
    <w:p w14:paraId="602EFA9C"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 изготовлении заготовок и узлов для морских реактивных установок измененной конструкции.</w:t>
      </w:r>
    </w:p>
    <w:p w14:paraId="0551114F"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Государственный Комитет Обороны постановляет:</w:t>
      </w:r>
    </w:p>
    <w:p w14:paraId="1211C6FD"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связи с внесением конструктивных изменений в морские реактивные установки М-8-М и М-13-М обязать: </w:t>
      </w:r>
    </w:p>
    <w:p w14:paraId="4F0B8FBB"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 НКПС (т. Кагановича) изготовить в марте 1944 года на МЭМРЗ в счет плана 10 штук приборов управления огнем (ПУО) измененной конструкции и поставить заводам Норкомминвооружения №№ 740 и 760; </w:t>
      </w:r>
    </w:p>
    <w:p w14:paraId="0995DF24"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 Наркомтанкопром (т. Малышева) поставить в марте 1944 г. заводу № 760 из числа ремонтных танков 10 исправных комплектов верхних и нижних колец погона танка Т-34 (старой конструкции) и 10 комплектов заготовки колец из стали марки 45 размеров 960 х 95 х 65 и 960 х 50 х 35 мм заводу № 740 НКВМ; </w:t>
      </w:r>
    </w:p>
    <w:p w14:paraId="559E1243"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Наркомчермет (т. Тевосяна) поставить в марте 1944 года заводу № 740 НКМВ 10 штук заготовки колец из стали марки 45 размером 1070 х 65 х 60 мм.</w:t>
      </w:r>
    </w:p>
    <w:p w14:paraId="2C2F784C"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ПРЕДСЕДАТЕЛЯ ГОСУДАРСТВЕННОГО КОМИТЕТА ОБОРОНЫ В. МОЛОТОВ</w:t>
      </w:r>
    </w:p>
    <w:p w14:paraId="3426BAED"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Разослать: </w:t>
      </w:r>
    </w:p>
    <w:p w14:paraId="4CDDDC3B"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т.т. Молотову, Маленкову, Берия, Вознесенскому, Кузнецову (НКВМФ), Паршину, Шайдукову, Дегтяреву, Яковлеву, Кагановичу, Малышеву, Борисову, Чадаеву; </w:t>
      </w:r>
    </w:p>
    <w:p w14:paraId="76569DDE"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Тевосяну (12639).</w:t>
      </w:r>
    </w:p>
    <w:p w14:paraId="73F35710" w14:textId="77777777" w:rsidR="00673CAB" w:rsidRPr="00070ADE" w:rsidRDefault="00673CAB" w:rsidP="00B56F90">
      <w:pPr>
        <w:spacing w:after="0" w:line="240" w:lineRule="auto"/>
        <w:jc w:val="both"/>
        <w:rPr>
          <w:rFonts w:ascii="Times New Roman" w:hAnsi="Times New Roman"/>
          <w:color w:val="000000" w:themeColor="text1"/>
          <w:sz w:val="16"/>
          <w:szCs w:val="16"/>
        </w:rPr>
      </w:pPr>
    </w:p>
    <w:p w14:paraId="5960061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 вышло Распоряжение ГКО № 5245 [О выполнении программы военно-морского судостроения и снабжения действующего флота специальными электроизмерительными приборами.] (7192, 14-16,17-19).</w:t>
      </w:r>
    </w:p>
    <w:p w14:paraId="53D73F6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A84D7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 вышло Распоряжение ГКО № 5246. О рассмотрении предложений СНК УССР по мерам помощи в восстановлении местной промышленности и промысловой кооперации УССР. РГАНИР, Фонд ГКО, д. 212, лл. 20,21-56 (11012).</w:t>
      </w:r>
    </w:p>
    <w:p w14:paraId="6AB0185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0A3444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 вышло Постановление ГКО № 5247 Об обеспечении рыбной промышленности лесоматериалами для выработки тары и ремонта флота к весенней путине 1944 года. РГАНИР, Фонд ГКО, д. 212, лл. 57-61 (11012).</w:t>
      </w:r>
    </w:p>
    <w:p w14:paraId="127E72B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803AF0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 вышло Постановление ГКО № 5248 Об организации производства судовых дизелей и палубных механизмов на заводе № 337 Наркомсудпрома. РГАНИР, Фонд ГКО, д. 212, лл. 62-66,67-71 (11012).</w:t>
      </w:r>
    </w:p>
    <w:p w14:paraId="605F392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020BB4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 вышло Постановление ГКО № 5249 О восстановлении средств радиосвязи и радиовещания в г. Киеве. РГАНИР, Фонд ГКО, д. 212, лл. 72-75,76-85 (11012).</w:t>
      </w:r>
    </w:p>
    <w:p w14:paraId="42BCE7E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41A998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 вышло Распоряжение ГКО № 5252. О выделении НКЭП дополнительно в I кв. 1944 г. 60 т нитролаков и растворителей. РГАНИР, Фонд ГКО, д. 212, лл. 115 (11012).</w:t>
      </w:r>
    </w:p>
    <w:p w14:paraId="6B81E5B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7EB52CC" w14:textId="77777777" w:rsidR="00336754" w:rsidRPr="00C94B78" w:rsidRDefault="003367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25 февраля 1944 г. начальник 1-го отдела УК ВМФ инженер-капитан 2-го ранга Котов направил в Казань уточнённые требования к проекту 72. Назначение авианосца определялось следующим образом: «Оперативное и тактическое обеспечение авиацией всех видов манёвренного соединения, действующего в море и у берегов противника, а также самостоятельные действия авиации в случае, если манёвренное соединение прикрывает действия авианосцев». Обращает на себя внимание то, что последнее слово стоит во множественном числе — то есть предполагалась серийная постройка авианосцев.</w:t>
      </w:r>
    </w:p>
    <w:p w14:paraId="79D43293" w14:textId="77777777" w:rsidR="00336754" w:rsidRPr="00C94B78" w:rsidRDefault="0033675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Артиллерия корабля должна была использоваться для отражения атак авиации и лёгких сил противника: эсминцев и торпедных катеров. Поэтому в любом варианте авианосец должен был иметь не менее восьми спаренных 130-мм установок Б-2У (двенадцать – для варианта на 60 самолётов). 85-мм установки могли быть спаренными, 37-мм автоматы также предполагались спаренными — то есть число стволов увеличивалось вдвое. Кроме того, ангар больше не требовалось защищать от 130-мм снарядов. Остальные требования оставались неизменными с января 1943 года. Особо оговаривалось то, что на волне до 9 баллов крен корабля не должен был затруднять взлёт и посадку самолётов. Интересно, что вплоть до мая 1944 года Управление кораблестроения продолжало настаивать на проработке промежуточного варианта — авианосца на 45 самолётов (25374).</w:t>
      </w:r>
    </w:p>
    <w:p w14:paraId="5CA522C4" w14:textId="77777777" w:rsidR="00336754" w:rsidRPr="00C94B78" w:rsidRDefault="00336754" w:rsidP="00B56F90">
      <w:pPr>
        <w:spacing w:after="0" w:line="240" w:lineRule="auto"/>
        <w:jc w:val="both"/>
        <w:rPr>
          <w:rFonts w:ascii="Times New Roman" w:hAnsi="Times New Roman"/>
          <w:color w:val="0070C0"/>
          <w:sz w:val="16"/>
          <w:szCs w:val="16"/>
        </w:rPr>
      </w:pPr>
    </w:p>
    <w:p w14:paraId="715613AA" w14:textId="77777777" w:rsidR="00C473F1"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E3D428B" w14:textId="77777777" w:rsidR="00C473F1" w:rsidRPr="00070ADE" w:rsidRDefault="00C473F1"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2E839E"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25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167C3C49"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25 февраля юго-западнее и южнее Струги Красные наши войска, продолжая наступление, овладели населёнными пунктами Мельницы, Лутово, Площаны, Квашенкина Горка, Кебско, Гориста и железнодорожной станцией Лапино.</w:t>
      </w:r>
    </w:p>
    <w:p w14:paraId="372187F9"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южнее города ДНО наши войска продолжали развивать успешное наступление и овладели районным центром Ленинградской области Дедовичи, а также с боями заняли более 40 других населённых пунктов, в том числе Борзилицы, Ядреево, Демянка, Шилинка, Арбузова, Красная Острова, Заходы, Старые Липки, Тимоново, Сажино и железнодорожные станции, Бакач, Дедовичи.</w:t>
      </w:r>
    </w:p>
    <w:p w14:paraId="1C6A31ED"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Холм наши войска с боями продвигались вперёд и заняли несколько населённых пунктов, в том числе Межник, Барлаево, Наволоки, Исаково, Дорка, Бородино, Кладовицы.</w:t>
      </w:r>
    </w:p>
    <w:p w14:paraId="310A1C1A"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города Рогачёв наши войска продолжали вести наступательные бои, в ходе которых заняли несколько населённых пунктов.</w:t>
      </w:r>
    </w:p>
    <w:p w14:paraId="6BE4E477"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действия разведки.</w:t>
      </w:r>
    </w:p>
    <w:p w14:paraId="471D8CF6"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24 февраля наши войска на всех фронтах подбили и уничтожили 24 немецких танка. В воздушных боях и огнём зенитной артиллерии сбито 43 самолёта противника.</w:t>
      </w:r>
    </w:p>
    <w:p w14:paraId="53B58A37"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Объявленные не вернувшимися на свои базы при налёте на финский город Або (Турку) четыре наших самолёта приземлились на других аэродромах на советской территории.</w:t>
      </w:r>
    </w:p>
    <w:p w14:paraId="76843971"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Стругов Красных части Н-ского соединения заняли несколько населённых пунктов, уничтожив при этом более 400 немецких солдат и офицеров. В одном районе десять наших бойцов во главе с лейтенантом Соколовым, прочёсывая опушку леса, встретили большую группу немцев. Советские бойцы огнём из автоматов истребили 40 гитлеровцев, а 25 немецких солдат взяли в плен. Другая группа наших разведчиков напала на немецких лыжников. Разведчики уничтожили до роты гитлеровцев и захватили 30 пленных.</w:t>
      </w:r>
    </w:p>
    <w:p w14:paraId="499C9F9B"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южнее города Дно наши войска продолжали успешное наступление. Советские части, стремительно продвинувшись вперёд, овладели районным центром Ленинградской области и железнодорожной станцией Дедовичи. На другом участке наши бойцы отрезали пути отхода немцам и в результате ожесточённой схватки уничтожили их. На поле боя осталось до 700 вражеских трупов. Захвачено 7 орудий, 43 пулемёта, 16 миномётов и 80 повозок с различными грузами. Взяты пленные.</w:t>
      </w:r>
    </w:p>
    <w:p w14:paraId="18A3EB62"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города Рогачёв наши войска с боями продвигались вперёд. Противник подтянул крупные подкрепления и контратаками пытался вернуть утраченные позиции. На одном участке немецкая пехота и танки в течение дня предприняли четырнадцать контратак, но каждый раз отступали с большими для них потерями. На другом участке наши войска, развивая наступление, выбили врага из нескольких населённых пунктов. За день боёв уничтожено 2.500 немецких солдат и офицеров. Захвачено у немцев 13 танков, 40 полевых и 3 самоходных орудия, много миномётов и стрелкового вооружения, 8 тысяч противотанковых мин и два склада с инженерным имуществом. Взято значительное количество пленных. В боях за город Рогачёв наши войска уничтожили до 6.000 немецких солдат и офицеров, 26 танков и самоходныхорудий, 86 полевых орудий, 56 миномётов, 140 автомашин и 27 бронемашин. Захвачено у немцев 68 орудий, 88 миномётов, 160 пулемётов, более 2.000 винтовоки автоматов, 80 автомашин, 200 лошадей, 8 танков, 2 самоходных орудия, 3 склада боеприпасов, 8 продовольственных складов, 18 радиостанций, 29 вагонов с боеприпасами и другие трофеи.</w:t>
      </w:r>
    </w:p>
    <w:p w14:paraId="6389BB8F"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Львовской области, внезапно атаковал двигавшуюся по дороге колонну немецкой пехоты. Советские патриоты истребили несколько десятков гитлеровцев и захватили их оружие. Другой отряд львовских партизан разгромил вражеский гарнизон, уничтожив при этом 46 немецких солдат и офицеров. Захвачено 6 пулемётов, 56 автоматов и винтовок, 12 повозок с патронамии гранатами.</w:t>
      </w:r>
    </w:p>
    <w:p w14:paraId="35ED3631"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Немецкие солдаты и офицеры, взятые в плен при ликвидации вражеских войск, окружённых в районе Корсунь-Шевченковский, рассказывают, что в последние дни в «котле» царил полный хаос. Немцы уже понимали, что их обманули и они обречены на гибель. Пленный адъютант 3 дивизиона 188 артполка 38 немецкой пехотной дивизии обер-лейтенант Бертольд Шихон сообщил: «Отклонив ультиматум русских о капитуляции, немецкое командование проявило преступное равнодушие к судьбе своих солдат и офицеров. Солдат всё время уверяли, что принимаются самые решительные меры, чтобы прорвать кольцо окружения извне. В то же время говорили, что семьи солдат и офицеров, сдавшихся в плен, будут поголовно направлены в концлагери. 17-го февраля 1944 года наступил черный день. В этот день прекратили свое существование десять наших отборных дивизий».</w:t>
      </w:r>
    </w:p>
    <w:p w14:paraId="6844B616"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Пленный офицер-наблюдатель тяжелого дивизиона 157 артполка 57 немецкой пехотной дивизии лейтенант Вили Лейнвебер рассказал: «Настроение офицеров в «котле» было очень подавленное. Мы сознавали, что не выберемся из западни, вкоторую попали, и считали себя смертниками. В последние дни чрезвычайно обострилась ненависть к эсэсовцам. По приказу Гилле здоровые офицеры эсэсовских частей вывозились на самолетах, в то время как тяжело раненых офицеров полевых частей оставляли в «котле». В последний день русские учинили нам невиданное побоище. Толпы солдат, как стадо баранов, метались из стороны в сторону, </w:t>
      </w:r>
      <w:r w:rsidRPr="00070ADE">
        <w:rPr>
          <w:rFonts w:ascii="Times New Roman" w:hAnsi="Times New Roman"/>
          <w:color w:val="000000" w:themeColor="text1"/>
          <w:sz w:val="16"/>
          <w:szCs w:val="16"/>
        </w:rPr>
        <w:lastRenderedPageBreak/>
        <w:t>но нигде не могли укрыться от убийственного огня. Весь район был устлан трупами. Жутко было смотреть на эту картину. В этот день много тысяч немецких солдат и офицеров поплатилось своей жизнью за авантюру немецкого командования» (15051).</w:t>
      </w:r>
    </w:p>
    <w:p w14:paraId="2F0A645A" w14:textId="77777777" w:rsidR="00C473F1" w:rsidRPr="00070ADE" w:rsidRDefault="00C473F1" w:rsidP="00B56F90">
      <w:pPr>
        <w:spacing w:after="0" w:line="240" w:lineRule="auto"/>
        <w:jc w:val="both"/>
        <w:rPr>
          <w:rFonts w:ascii="Times New Roman" w:hAnsi="Times New Roman"/>
          <w:color w:val="000000" w:themeColor="text1"/>
          <w:sz w:val="16"/>
          <w:szCs w:val="16"/>
        </w:rPr>
      </w:pPr>
    </w:p>
    <w:p w14:paraId="3CB89BED"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114294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4DEEC3"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 вышло Постановление ГКО № 5251 О мероприятиях по улучшению работы московского трамвая. (7192, 94-100,101-114).</w:t>
      </w:r>
    </w:p>
    <w:p w14:paraId="42CD80B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D09A97" w14:textId="77777777" w:rsidR="00C473F1"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3DC77B15" w14:textId="77777777" w:rsidR="00C473F1" w:rsidRPr="00070ADE" w:rsidRDefault="00C473F1"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A3CF59" w14:textId="77777777" w:rsidR="00C10A30" w:rsidRPr="00070ADE" w:rsidRDefault="00C10A3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 немецкие управляемые бомбы потопили британский эсминец HMS Inglefield у Анцио с тяжелыми человеческими жертвами (20373).</w:t>
      </w:r>
    </w:p>
    <w:p w14:paraId="1D566DAA" w14:textId="77777777" w:rsidR="00C10A30" w:rsidRPr="00070ADE" w:rsidRDefault="00C10A30" w:rsidP="00B56F90">
      <w:pPr>
        <w:spacing w:after="0" w:line="240" w:lineRule="auto"/>
        <w:jc w:val="both"/>
        <w:rPr>
          <w:rFonts w:ascii="Times New Roman" w:hAnsi="Times New Roman"/>
          <w:color w:val="000000" w:themeColor="text1"/>
          <w:sz w:val="16"/>
          <w:szCs w:val="16"/>
        </w:rPr>
      </w:pPr>
    </w:p>
    <w:p w14:paraId="17B9CEA1" w14:textId="77777777" w:rsidR="00C10A30" w:rsidRPr="00070ADE" w:rsidRDefault="00C10A3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25–26 февраля (ночь) 1944 594 британских бомбардировщика совершают первый крупный налет на Аугсбург, Германия. В ясную погоду и перед минимальной немецкой обороной, рейд чрезвычайно успешным, уничтожив большую часть города и вызва 246 больших и средних и 820 малых пожаров. Германия осуждает этот рейд как крайний пример «террористического напалдения» (29373).</w:t>
      </w:r>
    </w:p>
    <w:p w14:paraId="4E38AEFC" w14:textId="77777777" w:rsidR="00C10A30" w:rsidRPr="00070ADE" w:rsidRDefault="00C10A30" w:rsidP="00B56F90">
      <w:pPr>
        <w:spacing w:after="0" w:line="240" w:lineRule="auto"/>
        <w:jc w:val="both"/>
        <w:rPr>
          <w:rFonts w:ascii="Times New Roman" w:hAnsi="Times New Roman"/>
          <w:color w:val="000000" w:themeColor="text1"/>
          <w:sz w:val="16"/>
          <w:szCs w:val="16"/>
        </w:rPr>
      </w:pPr>
    </w:p>
    <w:p w14:paraId="28C9A182"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25 февраля</w:t>
      </w:r>
      <w:r w:rsidRPr="00070ADE">
        <w:rPr>
          <w:rFonts w:ascii="Times New Roman" w:hAnsi="Times New Roman"/>
          <w:color w:val="000000" w:themeColor="text1"/>
          <w:sz w:val="16"/>
          <w:szCs w:val="16"/>
        </w:rPr>
        <w:t xml:space="preserve"> в 1944 году массированный авианалет американских ВВС на Аугсбург, Регенсбург и Штутгарт (15051).</w:t>
      </w:r>
    </w:p>
    <w:p w14:paraId="5A45B9A3" w14:textId="77777777" w:rsidR="00C473F1" w:rsidRPr="00070ADE" w:rsidRDefault="00C473F1" w:rsidP="00B56F90">
      <w:pPr>
        <w:spacing w:after="0" w:line="240" w:lineRule="auto"/>
        <w:jc w:val="both"/>
        <w:rPr>
          <w:rFonts w:ascii="Times New Roman" w:hAnsi="Times New Roman"/>
          <w:color w:val="000000" w:themeColor="text1"/>
          <w:sz w:val="16"/>
          <w:szCs w:val="16"/>
        </w:rPr>
      </w:pPr>
    </w:p>
    <w:p w14:paraId="3FEF9202"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25 февраля</w:t>
      </w:r>
      <w:r w:rsidRPr="00070ADE">
        <w:rPr>
          <w:rFonts w:ascii="Times New Roman" w:hAnsi="Times New Roman"/>
          <w:color w:val="000000" w:themeColor="text1"/>
          <w:sz w:val="16"/>
          <w:szCs w:val="16"/>
        </w:rPr>
        <w:t xml:space="preserve"> в 1944 году принятие японским правительством «Программы чрезвычайных мероприятий по подготовке к решительному сражению на территории Японии» (15051).</w:t>
      </w:r>
    </w:p>
    <w:p w14:paraId="64C130DD" w14:textId="77777777" w:rsidR="00C473F1" w:rsidRPr="00070ADE" w:rsidRDefault="00C473F1" w:rsidP="00B56F90">
      <w:pPr>
        <w:spacing w:after="0" w:line="240" w:lineRule="auto"/>
        <w:jc w:val="both"/>
        <w:rPr>
          <w:rFonts w:ascii="Times New Roman" w:hAnsi="Times New Roman"/>
          <w:color w:val="000000" w:themeColor="text1"/>
          <w:sz w:val="16"/>
          <w:szCs w:val="16"/>
        </w:rPr>
      </w:pPr>
    </w:p>
    <w:p w14:paraId="627C7BD4" w14:textId="77777777" w:rsidR="00C473F1" w:rsidRPr="00070ADE" w:rsidRDefault="00C473F1" w:rsidP="00B56F90">
      <w:pPr>
        <w:spacing w:after="0" w:line="240" w:lineRule="auto"/>
        <w:jc w:val="both"/>
        <w:rPr>
          <w:rFonts w:ascii="Times New Roman" w:hAnsi="Times New Roman"/>
          <w:bCs/>
          <w:color w:val="000000" w:themeColor="text1"/>
          <w:sz w:val="16"/>
          <w:szCs w:val="16"/>
        </w:rPr>
      </w:pPr>
      <w:r w:rsidRPr="00070ADE">
        <w:rPr>
          <w:rFonts w:ascii="Times New Roman" w:hAnsi="Times New Roman"/>
          <w:bCs/>
          <w:color w:val="000000" w:themeColor="text1"/>
          <w:sz w:val="16"/>
          <w:szCs w:val="16"/>
        </w:rPr>
        <w:t>25 февраля</w:t>
      </w:r>
      <w:r w:rsidRPr="00070ADE">
        <w:rPr>
          <w:rFonts w:ascii="Times New Roman" w:hAnsi="Times New Roman"/>
          <w:color w:val="000000" w:themeColor="text1"/>
          <w:sz w:val="16"/>
          <w:szCs w:val="16"/>
        </w:rPr>
        <w:t xml:space="preserve"> в 1944 году американская подводная лодка «Rasher» потопила японские судна "Ryusei Maru" (1911 года постройки, 4805 брт, 117 м, 9 уз) и "Tango Maru" (бывшее голландский "Toenjoek" 1926 года постройки, 6200 брт, 137 м, 13 уз). Эти транспорты 24 февраля 1944 вышли из Сурабайи в Амбон (эскорт - тральщики W-8 и W-11 и эскортный корабль "Takunan Maru No.5") и 25 февраля 1944 подверглись атаке подводной лодки «USS Rasher» («SS-269»). В 20:45, был торпедирован (3 попадания) и потоплен "Танго Мару" в 25 милях севернее о. Бали в точке 07-41N, 115-10E.</w:t>
      </w:r>
    </w:p>
    <w:p w14:paraId="5CA76348"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Позднее, в 22:25, лодка из надводного положения четырёхторпедным залпом (3 попадания) отправила на дно и "Рюсей Мару" в точке 07-55Т, 115-15E. На борту "Танго Мару" находились 3500 яванских рабочих (насильственно взятых в качестве, по сути, рабов - ромуши, так их называли японцы) и несколько сотен пленных (погибло по разным оценкам 3500-3800 человек, спаслось около 500 человек), "Рюсей Мару" - 6600 японских солдат из различных подразделений (погибло 4998 человек). Вообще эта лодка дважды топила суда с названием "Танго Мару". Первым был танкер в 2046 брт, потопленный 8 ноября 1943 в Макассарском проливе (15051).</w:t>
      </w:r>
    </w:p>
    <w:p w14:paraId="1C98B73F" w14:textId="77777777" w:rsidR="00C473F1" w:rsidRPr="00070ADE" w:rsidRDefault="00C473F1" w:rsidP="00B56F90">
      <w:pPr>
        <w:spacing w:after="0" w:line="240" w:lineRule="auto"/>
        <w:jc w:val="both"/>
        <w:rPr>
          <w:rFonts w:ascii="Times New Roman" w:hAnsi="Times New Roman"/>
          <w:color w:val="000000" w:themeColor="text1"/>
          <w:sz w:val="16"/>
          <w:szCs w:val="16"/>
        </w:rPr>
      </w:pPr>
    </w:p>
    <w:p w14:paraId="14483568" w14:textId="77777777" w:rsidR="00C10A30" w:rsidRPr="00070ADE" w:rsidRDefault="00C10A3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февраля 1944 года потоплен Tango Maru, около 3000 погибших (20190).</w:t>
      </w:r>
    </w:p>
    <w:p w14:paraId="31359BB7" w14:textId="77777777" w:rsidR="00C10A30" w:rsidRPr="00070ADE" w:rsidRDefault="00C10A30" w:rsidP="00B56F90">
      <w:pPr>
        <w:spacing w:after="0" w:line="240" w:lineRule="auto"/>
        <w:jc w:val="both"/>
        <w:rPr>
          <w:rFonts w:ascii="Times New Roman" w:hAnsi="Times New Roman"/>
          <w:color w:val="000000" w:themeColor="text1"/>
          <w:sz w:val="16"/>
          <w:szCs w:val="16"/>
        </w:rPr>
      </w:pPr>
    </w:p>
    <w:p w14:paraId="29BAA98E"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90772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CE97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на гос. испытания в НИИ ВВС прибыл опытный двухместный самолет ИЛ с мотором АМ-42 и винтом АВ-5Л-18Б конструкции С.В.И. (экз. 1, производство завода 240). Летные испытания проходили с 29 февраля по 30 марта 1944 (1865).</w:t>
      </w:r>
    </w:p>
    <w:p w14:paraId="69849C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641EAE"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Ил-АМ-42 со «старым» проверенным винтом АВ-5 л-18Б перелетел с завода № 240 на аэродром НИИ ВВС.</w:t>
      </w:r>
    </w:p>
    <w:p w14:paraId="5EF9BF44" w14:textId="3D20416D"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начальника НИИ ВВС для производства государственных летных испытаний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ведущим летчиком по самолету был назначен летчик-испытатель подполковник 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Долгов, а ведущим инженером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инженер-майор 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Аброщенко. В состав испытательной бригады вошли также инженер-капитан 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Наливкин (по винтомоторной группе), старший техник-лейтенант 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Матвеев (по спецоборудованию) и инженер-майор К.</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Романов (по вооружению) (17490).</w:t>
      </w:r>
    </w:p>
    <w:p w14:paraId="2E2B8D8A" w14:textId="77777777" w:rsidR="005C20A0" w:rsidRPr="00070ADE" w:rsidRDefault="005C20A0" w:rsidP="00B56F90">
      <w:pPr>
        <w:spacing w:after="0" w:line="240" w:lineRule="auto"/>
        <w:jc w:val="both"/>
        <w:rPr>
          <w:rFonts w:ascii="Times New Roman" w:hAnsi="Times New Roman"/>
          <w:color w:val="000000" w:themeColor="text1"/>
          <w:sz w:val="16"/>
          <w:szCs w:val="16"/>
        </w:rPr>
      </w:pPr>
    </w:p>
    <w:p w14:paraId="57E1A7F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после того как к 22 февраля 1944, несмотря на неустойчивую работу мотора АМ-42, разведчик-корректировщик Ил-АМ-42 экз. №1 сумел успешно завершить программу заводских испытаний, самолет перелетел на аэродром НИИ ВВС, где до 8 апреля проходил государственные испытания.</w:t>
      </w:r>
    </w:p>
    <w:p w14:paraId="06F4CD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первую очередь определялись летно-технические данные в варианте штурмовика-бомбардировщика и только затем - в варианте разведчика-корректировщика. Как показали полеты, основные данные Ил-АМ-42 заметно превосходили Ил-2 АМ-38ф, хотя, по мнению военных, уже не отвечали в полном объеме требованиям.</w:t>
      </w:r>
    </w:p>
    <w:p w14:paraId="7875BDE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Ил-АМ-42 имел удовлетворительную устойчивость по всем направлениям. Самолет позволял полет с брошенной ручкой управления. Виражил и пикировал устойчиво, без рысканий. Это обеспечивало лучшие условия для прицеливания и стрельбы.</w:t>
      </w:r>
    </w:p>
    <w:p w14:paraId="5802E4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тоже время указывались и ряд серьезных недостатков. В частности, не доведена система заполнения бензобаков нейтральным газом. Заднюю бронеперегородку штурмана предлагалось сделать экранированной - две бронеплиты по 8 мм, и обеспечить защиту его головы бронестеклом.</w:t>
      </w:r>
    </w:p>
    <w:p w14:paraId="020E0BE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Оказалось, что при посадке на фюзеляж штурман выбраться из своей кабины не сможет, "так как фонарь летчика при открытии надвигается на фонарь штурмана".</w:t>
      </w:r>
    </w:p>
    <w:p w14:paraId="6FEAEC8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ни летчик, ни штурман не могли прицельно сбросить бомбы.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 - штурман, "что требует соответствующей методической проработки".</w:t>
      </w:r>
    </w:p>
    <w:p w14:paraId="228050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дополнение к этому, бомбовый прицел штурмана в полете нещадно забрызгивался маслом, которое выбивалось из-под уплот- нительного кольца втулки винта и носка коленчатого вала мотора. Установка маслоотражателей проблемы не решило.</w:t>
      </w:r>
    </w:p>
    <w:p w14:paraId="2FA6F3E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Работой оборонительной установки ВУ-8 с пулеметом УБК и ее возможностями в бою военные испытатели остались недовольны.</w:t>
      </w:r>
    </w:p>
    <w:p w14:paraId="32E88F9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Предъявлялись претензии и к спецоборудованию самолета.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 - "летчик и штурман совмещают лишние функции".</w:t>
      </w:r>
    </w:p>
    <w:p w14:paraId="1ED921B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недостатки, Ил-АМ-42 был рекомендован для постановки в серийное производство. При этом в сопроводительной записке к Акту по госиспытаниям от 12 апреля самолет уже именовался как Ил-8 АМ-42.</w:t>
      </w:r>
    </w:p>
    <w:p w14:paraId="0AEF5A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Надо сказать, к этому времени сложилась весьма непростая ситуация. Очевидно, что результаты испытаний Ил-8 не могли удовлетворить военных в полном объеме - ни штурмовик, ни бомбардировщик. В то же время испытания штурмовика Су-6 проходили очень сложно по причине плохой работы, установленного на самолете экземпляра мотора АМ-42.</w:t>
      </w:r>
    </w:p>
    <w:p w14:paraId="1B6EAA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сложившейся обстановке ВВС сделали попытку вернуться к первоначальной цельнометаллической конструкции Ил-2. Это позволяло улучшить боевые и эксплуатационные качества самолета и несколько разрядить напряженность в вопросе постановки на вооружение штурмовика, отвечающего современным требованиям (12020).</w:t>
      </w:r>
    </w:p>
    <w:p w14:paraId="7F8FC2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134B381" w14:textId="77777777" w:rsidR="002F4D0E" w:rsidRPr="00070ADE" w:rsidRDefault="002F4D0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26 февраля 1944 года опытный двухместный самолет Ил с мотором АМ-42 и винтом АВ-5Л-18Б конструкции С.В. Ильюшина (экземпляр № 1, производства завода № 240) прибыл на госиспытания в НИИ ВВС. Они начались 29 февраля. Мартовская погода растянула испытания «тяжелого» «Ила» до конца месяца, тем временем завод № 18 закончил свою часть работы по «легкому» штурмовику. 10 марта 1944 года двухместный вариант Ил-1 в сопровождении заводской бригады отправили в Москву на авиазавод № 240 для дальнейшей доводки и проведения испытаний. Это уже был не истребитель Ил-1, но и ставший впоследствии привычным облик Ил10, как в экстерьере, так и конструктивно новый самолет еще до конца не обрел. На тот момент машина представляла собой уникальный двухместныйИл-1, взлететь которому так и не пришлось. Главным отличием этого самолета была задняя стрелковая установка, которая вписалась в фюзеляж почти без изменения его обводов. По бокам и снизу ее прикрыли листами брони в 5 и 6 мм толщиной. Задний бронепакет пилотской кабины «разрезали» с небольшим припуском, и нижнюю часть поместили позади стрелка, причем, выше фюзеляжа никакой защиты не предусматривалось. Общий «привес» брони составил 167 кг. Задняя стрелковая установка была прикрыта полусферическим колпаком по типу установок МВ-3 или УТК. К сожалению, найти детальную информацию по ней пока не удалось. Для обеспечения плавного перехода от створки фонаря пилота к колпаку турели высотуфонаря увеличили примерно на 9 сантиметров, при этом левая боковая панель створки пилота стала откидываться налево, а остальная часть – направо. По бокам турель все же выступала за обводы фонаря. В комплект вооружения вошли два ШКАСа в крыле с общим боекомплектом 1500 патронов, а также бомбардировочная оснастка в виде двух бомбоотсеков в центроплане и двух точек наружной подвески. Ракетное оружие не устанавливалось. Вес пустого самолета составлял 4673 кг – по сравнению с одноместным вариантом второй Ил-1 потяжелел на 388 кг. Появление стрелка на </w:t>
      </w:r>
      <w:r w:rsidRPr="00070ADE">
        <w:rPr>
          <w:rFonts w:ascii="Times New Roman" w:hAnsi="Times New Roman"/>
          <w:color w:val="000000" w:themeColor="text1"/>
          <w:sz w:val="16"/>
          <w:szCs w:val="16"/>
        </w:rPr>
        <w:lastRenderedPageBreak/>
        <w:t>самолете сдвинуло центр тяжести всего на 18 сантиметров, однако для сохранения приемлемого диапазона центровок среднюю аэродинамическую хорду крыла пришлось подвинуть назад примерно на такую же величину. Это было сделано отработанным на Ил-2 приемом – консолям крыла придали небольшую стреловидность. По передней кромке она составила 12 градусов 7 минут. Немного изменили наклон осей основных стоек шасси, чтобы противокапотажный угол оставался в разумных пределах. В Москве на заводе № 240 самолет подвергли целому ряду доработок. По предложению НИИ ВВС оптимизировали расположение и толщину бронепанелей. В частности установили дюралевые листы в верхней наименее поражаемой части капота мотора. На основе полученного в ходе доводки тяжелого Ила с АМ-42 доработали систему охлаждения. К водо- и маслорадиатору воздух теперь поступал по профилированным тоннелям. Аэродинамическое сопротивление турели посчитали чрезмерным и заменили ее установкой ВУ-7 с опытной пушкой Ш-20 калибра 20 мм. Эта установка была конструктивно подобна турели ВУ-8 с пулеметом УБК, успешно испытанной на «тяжелом» Ил №1 с АМ-42. Мидель фюзеляжа удалось снизить до 1,54 кв. м (у одноместного Ил-1 этот параметр составлял 1,5 кв. м). После доработок взлетный вес самолета вырос с 6100 до 6300 килограмм. Забегая вперед, стоит заметить, что при запуске в серию пушку Шпитального постановлением ГКО заменили пулеметом Березина, и первые серийные Ил-10 строили с установкой ВУ-8. ВУ-9 с пушкой Б-20 начали монтировать позднее. 30 марта 1944 г. в НИИ ВВС с общим налетом 19 часов 30 минут в 44 полетах успешно завершились госиспытания опытного двухместного «тяжелого» «Ил» № 1 с мотором АМ42 и винтом АВ-5Л-18Б конструкции С.В. Ильюшина (экземпляр № 1, производство завода № 240 мая 1943 года). Самолет был рекомендован в серию в двух вариантах, однако моторов, пригодных к установке на этой самой серии, по сути, так и не было. Более того, по предложению наркома авиапромышленности А.И. Шахурина, И.В. Сталин, постановлением ГКО № 5525с от 3 апреля освободил Александра Александровича Микулина от обязанностей Главного конструктора завода № 24 в Куйбышеве. Этот пост занял Михаил Романович Флисский, которому и предстояло спасать АМ-42. Завод № 18 неспешно (по меркам того времени) приступил к освоению производства штурмовика Ил-8 или изделия «М» по внутризаводскому шифру. Однако этим планам не суждено было сбыться. Во второй половине апреля Сергей Владимирович Ильюшин завершил «операцию прикрытия». Двухместный вариант самолета Ил-1 после выполнения комплекса доработок на заводе № 240 получил (сначала полуофициально) новое наименование – Ил-10. События стали развиваться в ускоренном темпе. 18 апреля Владимир Константинович Коккинаки выполнил на новой машине первый вылет, а уже 27 мая с положительной оценкой завершились государственные испытания в НИИ ВВС. За следующие два месяца была проделана огромная работа по организации, планированиюи подготовке производстваИл-10 (21005)</w:t>
      </w:r>
    </w:p>
    <w:p w14:paraId="6DD749B5" w14:textId="77777777" w:rsidR="002F4D0E" w:rsidRPr="00070ADE" w:rsidRDefault="002F4D0E" w:rsidP="00B56F90">
      <w:pPr>
        <w:spacing w:after="0" w:line="240" w:lineRule="auto"/>
        <w:jc w:val="both"/>
        <w:rPr>
          <w:rFonts w:ascii="Times New Roman" w:hAnsi="Times New Roman"/>
          <w:color w:val="000000" w:themeColor="text1"/>
          <w:sz w:val="16"/>
          <w:szCs w:val="16"/>
        </w:rPr>
      </w:pPr>
    </w:p>
    <w:p w14:paraId="49246A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вместо 1 марта 1944 Ил-8-1 АМ-42 был сдан на гос. испытания досрочно (2217).</w:t>
      </w:r>
    </w:p>
    <w:p w14:paraId="152437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7B21E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26 февраля по 27 мая 1944 проходили гос. испытания тяжелого ш Ил-8 АМ-42 (3846,20).</w:t>
      </w:r>
    </w:p>
    <w:p w14:paraId="73CF94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8F0A9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ГК завода 35 Жданов в телеграмме на завод 240 сообщил, что новые винты для Ил-2 АМ-38Ф он может изготовить к 1 апреля с.г. (2562,49).</w:t>
      </w:r>
    </w:p>
    <w:p w14:paraId="739582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AB5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w:t>
      </w:r>
      <w:r w:rsidRPr="00070ADE">
        <w:rPr>
          <w:rFonts w:ascii="Times New Roman" w:hAnsi="Times New Roman"/>
          <w:color w:val="000000" w:themeColor="text1"/>
          <w:sz w:val="16"/>
          <w:szCs w:val="16"/>
        </w:rPr>
        <w:softHyphen/>
        <w:t>ля 1944 с про</w:t>
      </w:r>
      <w:r w:rsidRPr="00070ADE">
        <w:rPr>
          <w:rFonts w:ascii="Times New Roman" w:hAnsi="Times New Roman"/>
          <w:color w:val="000000" w:themeColor="text1"/>
          <w:sz w:val="16"/>
          <w:szCs w:val="16"/>
        </w:rPr>
        <w:softHyphen/>
        <w:t>веренным винтом АВ-5л-18Б Ил-АМ-42 (экз. № 1) перелетел на аэродром НИИ ВВС, где официально был передан воен</w:t>
      </w:r>
      <w:r w:rsidRPr="00070ADE">
        <w:rPr>
          <w:rFonts w:ascii="Times New Roman" w:hAnsi="Times New Roman"/>
          <w:color w:val="000000" w:themeColor="text1"/>
          <w:sz w:val="16"/>
          <w:szCs w:val="16"/>
        </w:rPr>
        <w:softHyphen/>
        <w:t>ным специалистам для производства государственных летных испытаний.</w:t>
      </w:r>
    </w:p>
    <w:p w14:paraId="34FBA04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Ведущим летчиком по Ил-АМ-42 (экз. № 1) был назначен летчик-ис</w:t>
      </w:r>
      <w:r w:rsidRPr="00070ADE">
        <w:rPr>
          <w:rFonts w:ascii="Times New Roman" w:hAnsi="Times New Roman"/>
          <w:color w:val="000000" w:themeColor="text1"/>
          <w:sz w:val="16"/>
          <w:szCs w:val="16"/>
        </w:rPr>
        <w:softHyphen/>
        <w:t>пытатель подполковник А. К. Долгов, а ведущим инженером - инженер-майор П. Т. Аброщенко. В состав ис</w:t>
      </w:r>
      <w:r w:rsidRPr="00070ADE">
        <w:rPr>
          <w:rFonts w:ascii="Times New Roman" w:hAnsi="Times New Roman"/>
          <w:color w:val="000000" w:themeColor="text1"/>
          <w:sz w:val="16"/>
          <w:szCs w:val="16"/>
        </w:rPr>
        <w:softHyphen/>
        <w:t>пытательной бригады вошли также инженер-капитан И. М. Наливкин (по винтомоторной группе), старший тех</w:t>
      </w:r>
      <w:r w:rsidRPr="00070ADE">
        <w:rPr>
          <w:rFonts w:ascii="Times New Roman" w:hAnsi="Times New Roman"/>
          <w:color w:val="000000" w:themeColor="text1"/>
          <w:sz w:val="16"/>
          <w:szCs w:val="16"/>
        </w:rPr>
        <w:softHyphen/>
        <w:t>ник-лейтенант С. Е. Матвеев (по спе</w:t>
      </w:r>
      <w:r w:rsidRPr="00070ADE">
        <w:rPr>
          <w:rFonts w:ascii="Times New Roman" w:hAnsi="Times New Roman"/>
          <w:color w:val="000000" w:themeColor="text1"/>
          <w:sz w:val="16"/>
          <w:szCs w:val="16"/>
        </w:rPr>
        <w:softHyphen/>
        <w:t>цоборудованию) и инженер-майор К. И. Романов (по вооружению).</w:t>
      </w:r>
    </w:p>
    <w:p w14:paraId="343F82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следующий день после полу</w:t>
      </w:r>
      <w:r w:rsidRPr="00070ADE">
        <w:rPr>
          <w:rFonts w:ascii="Times New Roman" w:hAnsi="Times New Roman"/>
          <w:color w:val="000000" w:themeColor="text1"/>
          <w:sz w:val="16"/>
          <w:szCs w:val="16"/>
        </w:rPr>
        <w:softHyphen/>
        <w:t>чения самолета испытательная бри</w:t>
      </w:r>
      <w:r w:rsidRPr="00070ADE">
        <w:rPr>
          <w:rFonts w:ascii="Times New Roman" w:hAnsi="Times New Roman"/>
          <w:color w:val="000000" w:themeColor="text1"/>
          <w:sz w:val="16"/>
          <w:szCs w:val="16"/>
        </w:rPr>
        <w:softHyphen/>
        <w:t>гада института провела тщательный осмотр самолета и его взвешивание, а 28 февраля А. К. Долгов выполнил на нем ознакомительный полет про</w:t>
      </w:r>
      <w:r w:rsidRPr="00070ADE">
        <w:rPr>
          <w:rFonts w:ascii="Times New Roman" w:hAnsi="Times New Roman"/>
          <w:color w:val="000000" w:themeColor="text1"/>
          <w:sz w:val="16"/>
          <w:szCs w:val="16"/>
        </w:rPr>
        <w:softHyphen/>
        <w:t>должительностью 20 минут. В поле</w:t>
      </w:r>
      <w:r w:rsidRPr="00070ADE">
        <w:rPr>
          <w:rFonts w:ascii="Times New Roman" w:hAnsi="Times New Roman"/>
          <w:color w:val="000000" w:themeColor="text1"/>
          <w:sz w:val="16"/>
          <w:szCs w:val="16"/>
        </w:rPr>
        <w:softHyphen/>
        <w:t>те потек левый маслобак. Вдобавок, на посадке отказали тормоза левой стойки шасси, но благодаря мастер</w:t>
      </w:r>
      <w:r w:rsidRPr="00070ADE">
        <w:rPr>
          <w:rFonts w:ascii="Times New Roman" w:hAnsi="Times New Roman"/>
          <w:color w:val="000000" w:themeColor="text1"/>
          <w:sz w:val="16"/>
          <w:szCs w:val="16"/>
        </w:rPr>
        <w:softHyphen/>
        <w:t>ству летчика обошлось без поломки. Замена маслобака, тормозов и ле</w:t>
      </w:r>
      <w:r w:rsidRPr="00070ADE">
        <w:rPr>
          <w:rFonts w:ascii="Times New Roman" w:hAnsi="Times New Roman"/>
          <w:color w:val="000000" w:themeColor="text1"/>
          <w:sz w:val="16"/>
          <w:szCs w:val="16"/>
        </w:rPr>
        <w:softHyphen/>
        <w:t>вого колеса шасси продолжалась до 5.00 следующего дня, поскольку именно 29 февраля официально на</w:t>
      </w:r>
      <w:r w:rsidRPr="00070ADE">
        <w:rPr>
          <w:rFonts w:ascii="Times New Roman" w:hAnsi="Times New Roman"/>
          <w:color w:val="000000" w:themeColor="text1"/>
          <w:sz w:val="16"/>
          <w:szCs w:val="16"/>
        </w:rPr>
        <w:softHyphen/>
        <w:t>чинались государственные испытания самолета (11427).</w:t>
      </w:r>
    </w:p>
    <w:p w14:paraId="0377AA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0D4F6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закончились контрольные гос. испытания Як-9Д ПФ с винтом ВИШ-61В N 08-85 153 завода, построенного в ноябре 1943 и собранного на заводе 301 в декабре 1943, которые начались 14 января 1944 (712,4).</w:t>
      </w:r>
    </w:p>
    <w:p w14:paraId="2500511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3447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2Д МиГ был направлен на гос. испытания в НИИ ВВС (992,13). Перед отправкой ОКБ-155 устранило недостатки И-231 (МиГ-3У с АМ-39А и удлиненными консолями), выявленные за заводских испытания, и поставило новый винт АВ-5Л-126Е, облегченный на 25.3 кг испытания продолжались недолго, т.к. 8 марта 1944 П.М.Стефановский потерпел аварию (5046,34).</w:t>
      </w:r>
    </w:p>
    <w:p w14:paraId="28B2AEB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E6051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согласно журнала наблюдения за проектированием, постройкой и испытаниями МиГ-3 от 29 февраля 1944 изд. 2Д отправлено в НИИ ВВС на госиспытания (992,12).</w:t>
      </w:r>
    </w:p>
    <w:p w14:paraId="385D1B7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C7B9AFB" w14:textId="77777777" w:rsidR="00614D0B" w:rsidRPr="00070ADE" w:rsidRDefault="00614D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после устране</w:t>
      </w:r>
      <w:r w:rsidRPr="00070ADE">
        <w:rPr>
          <w:rFonts w:ascii="Times New Roman" w:hAnsi="Times New Roman"/>
          <w:color w:val="000000" w:themeColor="text1"/>
          <w:sz w:val="16"/>
          <w:szCs w:val="16"/>
        </w:rPr>
        <w:softHyphen/>
        <w:t>ния выявленных недостатков и установки облегчённо</w:t>
      </w:r>
      <w:r w:rsidRPr="00070ADE">
        <w:rPr>
          <w:rFonts w:ascii="Times New Roman" w:hAnsi="Times New Roman"/>
          <w:color w:val="000000" w:themeColor="text1"/>
          <w:sz w:val="16"/>
          <w:szCs w:val="16"/>
        </w:rPr>
        <w:softHyphen/>
        <w:t>го винта АВ-5Л-126Е истребитель И-231 отправили в НИИ ВВС КА на го</w:t>
      </w:r>
      <w:r w:rsidRPr="00070ADE">
        <w:rPr>
          <w:rFonts w:ascii="Times New Roman" w:hAnsi="Times New Roman"/>
          <w:color w:val="000000" w:themeColor="text1"/>
          <w:sz w:val="16"/>
          <w:szCs w:val="16"/>
        </w:rPr>
        <w:softHyphen/>
        <w:t>сударственные испытания. К сожалению, они продолжались недолго, так как 8 марта самолёт, пилотируемый лётчиком-испытателем П.М. Стефановским, потер</w:t>
      </w:r>
      <w:r w:rsidRPr="00070ADE">
        <w:rPr>
          <w:rFonts w:ascii="Times New Roman" w:hAnsi="Times New Roman"/>
          <w:color w:val="000000" w:themeColor="text1"/>
          <w:sz w:val="16"/>
          <w:szCs w:val="16"/>
        </w:rPr>
        <w:softHyphen/>
        <w:t>пел аварию. При посадке не вышли щитки-закрылки и отказали тормоза, из-за чего в конце пробега маши</w:t>
      </w:r>
      <w:r w:rsidRPr="00070ADE">
        <w:rPr>
          <w:rFonts w:ascii="Times New Roman" w:hAnsi="Times New Roman"/>
          <w:color w:val="000000" w:themeColor="text1"/>
          <w:sz w:val="16"/>
          <w:szCs w:val="16"/>
        </w:rPr>
        <w:softHyphen/>
        <w:t>на выкатилась за пределы полосы и скапотировала. И-231 вернули создателям для восстановительного ре</w:t>
      </w:r>
      <w:r w:rsidRPr="00070ADE">
        <w:rPr>
          <w:rFonts w:ascii="Times New Roman" w:hAnsi="Times New Roman"/>
          <w:color w:val="000000" w:themeColor="text1"/>
          <w:sz w:val="16"/>
          <w:szCs w:val="16"/>
        </w:rPr>
        <w:softHyphen/>
        <w:t>монта, после которого 12 мая его вновь передали во</w:t>
      </w:r>
      <w:r w:rsidRPr="00070ADE">
        <w:rPr>
          <w:rFonts w:ascii="Times New Roman" w:hAnsi="Times New Roman"/>
          <w:color w:val="000000" w:themeColor="text1"/>
          <w:sz w:val="16"/>
          <w:szCs w:val="16"/>
        </w:rPr>
        <w:softHyphen/>
        <w:t>енным. Однако 19 мая в полёте при переходе на фор</w:t>
      </w:r>
      <w:r w:rsidRPr="00070ADE">
        <w:rPr>
          <w:rFonts w:ascii="Times New Roman" w:hAnsi="Times New Roman"/>
          <w:color w:val="000000" w:themeColor="text1"/>
          <w:sz w:val="16"/>
          <w:szCs w:val="16"/>
        </w:rPr>
        <w:softHyphen/>
        <w:t>сированный режим вышел из строя мотор. Получение нового мотора АМ-39 затянулось, и вскоре работы по самолёту были вообще прекращены (23379).</w:t>
      </w:r>
    </w:p>
    <w:p w14:paraId="0CF580DA" w14:textId="77777777" w:rsidR="00614D0B" w:rsidRPr="00070ADE" w:rsidRDefault="00614D0B" w:rsidP="00B56F90">
      <w:pPr>
        <w:spacing w:after="0" w:line="240" w:lineRule="auto"/>
        <w:jc w:val="both"/>
        <w:rPr>
          <w:rFonts w:ascii="Times New Roman" w:hAnsi="Times New Roman"/>
          <w:color w:val="000000" w:themeColor="text1"/>
          <w:sz w:val="16"/>
          <w:szCs w:val="16"/>
        </w:rPr>
      </w:pPr>
    </w:p>
    <w:p w14:paraId="415CF3BA" w14:textId="77777777" w:rsidR="00614D0B" w:rsidRPr="00070ADE" w:rsidRDefault="00614D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w:t>
      </w:r>
      <w:r w:rsidRPr="00070ADE">
        <w:rPr>
          <w:rFonts w:ascii="Times New Roman" w:hAnsi="Times New Roman"/>
          <w:color w:val="000000" w:themeColor="text1"/>
          <w:sz w:val="16"/>
          <w:szCs w:val="16"/>
        </w:rPr>
        <w:softHyphen/>
        <w:t>раля 1944 г. на Центральном аэродроме им. Фрунзе на Ходынском поле в Москве, к которому примыкала территория завода №155, состоялась передача машины И-231 на госиспытания. В тот же день П.М. Стефановский сам перегнал машину на подмосковный аэродром НИИ ВВС в Чкаловской у го</w:t>
      </w:r>
      <w:r w:rsidRPr="00070ADE">
        <w:rPr>
          <w:rFonts w:ascii="Times New Roman" w:hAnsi="Times New Roman"/>
          <w:color w:val="000000" w:themeColor="text1"/>
          <w:sz w:val="16"/>
          <w:szCs w:val="16"/>
        </w:rPr>
        <w:softHyphen/>
        <w:t>рода Щелково. В этом полете он отметил плохую работу тормозов и для устранения дефекта в Чкаловскую прибыла заводская бригада. Пока она работала, аэродром за</w:t>
      </w:r>
      <w:r w:rsidRPr="00070ADE">
        <w:rPr>
          <w:rFonts w:ascii="Times New Roman" w:hAnsi="Times New Roman"/>
          <w:color w:val="000000" w:themeColor="text1"/>
          <w:sz w:val="16"/>
          <w:szCs w:val="16"/>
        </w:rPr>
        <w:softHyphen/>
        <w:t>валило снегом, и полеты прервались. Погода улучшилась только в начале марта, и начальник НИИ ВВС П.А. Лосю</w:t>
      </w:r>
      <w:r w:rsidRPr="00070ADE">
        <w:rPr>
          <w:rFonts w:ascii="Times New Roman" w:hAnsi="Times New Roman"/>
          <w:color w:val="000000" w:themeColor="text1"/>
          <w:sz w:val="16"/>
          <w:szCs w:val="16"/>
        </w:rPr>
        <w:softHyphen/>
        <w:t>ков сразу мобилизовал всех (не исклю</w:t>
      </w:r>
      <w:r w:rsidRPr="00070ADE">
        <w:rPr>
          <w:rFonts w:ascii="Times New Roman" w:hAnsi="Times New Roman"/>
          <w:color w:val="000000" w:themeColor="text1"/>
          <w:sz w:val="16"/>
          <w:szCs w:val="16"/>
        </w:rPr>
        <w:softHyphen/>
        <w:t>чая летчиков) на уборку снега. Его убрать- то - убрали, но не далеко: двухметровые кучи высились то тут, то там вокруг не</w:t>
      </w:r>
      <w:r w:rsidRPr="00070ADE">
        <w:rPr>
          <w:rFonts w:ascii="Times New Roman" w:hAnsi="Times New Roman"/>
          <w:color w:val="000000" w:themeColor="text1"/>
          <w:sz w:val="16"/>
          <w:szCs w:val="16"/>
        </w:rPr>
        <w:softHyphen/>
        <w:t>большой расчищенной площадки непра</w:t>
      </w:r>
      <w:r w:rsidRPr="00070ADE">
        <w:rPr>
          <w:rFonts w:ascii="Times New Roman" w:hAnsi="Times New Roman"/>
          <w:color w:val="000000" w:themeColor="text1"/>
          <w:sz w:val="16"/>
          <w:szCs w:val="16"/>
        </w:rPr>
        <w:softHyphen/>
        <w:t>вильной формы (23398).</w:t>
      </w:r>
    </w:p>
    <w:p w14:paraId="25FEF9D1" w14:textId="77777777" w:rsidR="00614D0B" w:rsidRPr="00070ADE" w:rsidRDefault="00614D0B" w:rsidP="00B56F90">
      <w:pPr>
        <w:spacing w:after="0" w:line="240" w:lineRule="auto"/>
        <w:jc w:val="both"/>
        <w:rPr>
          <w:rFonts w:ascii="Times New Roman" w:hAnsi="Times New Roman"/>
          <w:color w:val="000000" w:themeColor="text1"/>
          <w:sz w:val="16"/>
          <w:szCs w:val="16"/>
        </w:rPr>
      </w:pPr>
    </w:p>
    <w:p w14:paraId="4E6771EB" w14:textId="77777777" w:rsidR="00D5421A" w:rsidRPr="00C94B78" w:rsidRDefault="00D5421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26 февраля 1944 года И-231 на государственные испытания предъявили с новым винтом АВ-5Л-126Е. Первые полеты обнадеживали, но 8 марта самолет снова был поломан. П.М. Стефановский, пилотировавший МиГ, обнару</w:t>
      </w:r>
      <w:r w:rsidRPr="00C94B78">
        <w:rPr>
          <w:rFonts w:ascii="Times New Roman" w:hAnsi="Times New Roman"/>
          <w:color w:val="0070C0"/>
          <w:sz w:val="16"/>
          <w:szCs w:val="16"/>
        </w:rPr>
        <w:softHyphen/>
        <w:t>жил, что не выходят закрылки. Это было не самое страш</w:t>
      </w:r>
      <w:r w:rsidRPr="00C94B78">
        <w:rPr>
          <w:rFonts w:ascii="Times New Roman" w:hAnsi="Times New Roman"/>
          <w:color w:val="0070C0"/>
          <w:sz w:val="16"/>
          <w:szCs w:val="16"/>
        </w:rPr>
        <w:softHyphen/>
        <w:t>ное, поскольку взлетно-посадочная полоса аэродрома Чкаловская имела достаточную длину и у самолета име</w:t>
      </w:r>
      <w:r w:rsidRPr="00C94B78">
        <w:rPr>
          <w:rFonts w:ascii="Times New Roman" w:hAnsi="Times New Roman"/>
          <w:color w:val="0070C0"/>
          <w:sz w:val="16"/>
          <w:szCs w:val="16"/>
        </w:rPr>
        <w:softHyphen/>
        <w:t>лись тормоза. Но после касания выяснилось, что и они не работают, поскольку были связаны с одной пневмосисте</w:t>
      </w:r>
      <w:r w:rsidRPr="00C94B78">
        <w:rPr>
          <w:rFonts w:ascii="Times New Roman" w:hAnsi="Times New Roman"/>
          <w:color w:val="0070C0"/>
          <w:sz w:val="16"/>
          <w:szCs w:val="16"/>
        </w:rPr>
        <w:softHyphen/>
        <w:t>мой. Проскочив полосу, самолет врезался в сугроб и скапо</w:t>
      </w:r>
      <w:r w:rsidRPr="00C94B78">
        <w:rPr>
          <w:rFonts w:ascii="Times New Roman" w:hAnsi="Times New Roman"/>
          <w:color w:val="0070C0"/>
          <w:sz w:val="16"/>
          <w:szCs w:val="16"/>
        </w:rPr>
        <w:softHyphen/>
        <w:t>тировал... Сколько таких посадок было у Петра Михайло</w:t>
      </w:r>
      <w:r w:rsidRPr="00C94B78">
        <w:rPr>
          <w:rFonts w:ascii="Times New Roman" w:hAnsi="Times New Roman"/>
          <w:color w:val="0070C0"/>
          <w:sz w:val="16"/>
          <w:szCs w:val="16"/>
        </w:rPr>
        <w:softHyphen/>
        <w:t>вича, и каждый раз ангел-хранитель выносил его из, каза</w:t>
      </w:r>
      <w:r w:rsidRPr="00C94B78">
        <w:rPr>
          <w:rFonts w:ascii="Times New Roman" w:hAnsi="Times New Roman"/>
          <w:color w:val="0070C0"/>
          <w:sz w:val="16"/>
          <w:szCs w:val="16"/>
        </w:rPr>
        <w:softHyphen/>
        <w:t>лось бы, фатальных ситуаций, хорошо описанных в его воспоминаниях «Триста неизвестных».</w:t>
      </w:r>
    </w:p>
    <w:p w14:paraId="718A1AE9" w14:textId="77777777" w:rsidR="00D5421A" w:rsidRPr="00C94B78" w:rsidRDefault="00D5421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Очередной ремонт самолета затянулся почти до середи</w:t>
      </w:r>
      <w:r w:rsidRPr="00C94B78">
        <w:rPr>
          <w:rFonts w:ascii="Times New Roman" w:hAnsi="Times New Roman"/>
          <w:color w:val="0070C0"/>
          <w:sz w:val="16"/>
          <w:szCs w:val="16"/>
        </w:rPr>
        <w:softHyphen/>
        <w:t>ны мая, но и на этот раз ему не повезло. В полете 19 мая от</w:t>
      </w:r>
      <w:r w:rsidRPr="00C94B78">
        <w:rPr>
          <w:rFonts w:ascii="Times New Roman" w:hAnsi="Times New Roman"/>
          <w:color w:val="0070C0"/>
          <w:sz w:val="16"/>
          <w:szCs w:val="16"/>
        </w:rPr>
        <w:softHyphen/>
        <w:t>казал двигатель, а другого не нашлось, и дальнейшие рабо</w:t>
      </w:r>
      <w:r w:rsidRPr="00C94B78">
        <w:rPr>
          <w:rFonts w:ascii="Times New Roman" w:hAnsi="Times New Roman"/>
          <w:color w:val="0070C0"/>
          <w:sz w:val="16"/>
          <w:szCs w:val="16"/>
        </w:rPr>
        <w:softHyphen/>
        <w:t>ты по И-231 прекратили (25030).</w:t>
      </w:r>
    </w:p>
    <w:p w14:paraId="5A3754FA" w14:textId="77777777" w:rsidR="00D5421A" w:rsidRPr="00C94B78" w:rsidRDefault="00D5421A" w:rsidP="00B56F90">
      <w:pPr>
        <w:spacing w:after="0" w:line="240" w:lineRule="auto"/>
        <w:jc w:val="both"/>
        <w:rPr>
          <w:rFonts w:ascii="Times New Roman" w:hAnsi="Times New Roman"/>
          <w:color w:val="0070C0"/>
          <w:sz w:val="16"/>
          <w:szCs w:val="16"/>
        </w:rPr>
      </w:pPr>
    </w:p>
    <w:p w14:paraId="17C3F03C" w14:textId="77777777" w:rsidR="00D5421A" w:rsidRPr="00C94B78" w:rsidRDefault="00D5421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26 февраля 1944 года начались государственные испытания И</w:t>
      </w:r>
      <w:r w:rsidRPr="00C94B78">
        <w:rPr>
          <w:rFonts w:ascii="Times New Roman" w:hAnsi="Times New Roman"/>
          <w:color w:val="0070C0"/>
          <w:sz w:val="16"/>
          <w:szCs w:val="16"/>
        </w:rPr>
        <w:noBreakHyphen/>
        <w:t>231, но уже спустя несколько дней их пришлось прервать. 8 марта самолет пилотировал П.М. Стефановский. При заходе на посадку он обнаружил, что не выходят закрылки. Чтобы спасти прототип, он решил садиться на полосу аэродрома. Но после касания выяснилось, что не работают и тормоза. Самолет на скорости проскочил полосу и врезался в кучу снега на ее конце. Машина капотировала. Ударом Стефановского вырвало из ремней и выкинуло из кабины, благо он при посадке успел открыть фонарь. Это спасло ему жизнь, хотя летчик и получил сильную контузию.</w:t>
      </w:r>
    </w:p>
    <w:p w14:paraId="52E3F979" w14:textId="77777777" w:rsidR="00D5421A" w:rsidRPr="00C94B78" w:rsidRDefault="00D5421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Ремонт машины в ОКБ</w:t>
      </w:r>
      <w:r w:rsidRPr="00C94B78">
        <w:rPr>
          <w:rFonts w:ascii="Times New Roman" w:hAnsi="Times New Roman"/>
          <w:color w:val="0070C0"/>
          <w:sz w:val="16"/>
          <w:szCs w:val="16"/>
        </w:rPr>
        <w:noBreakHyphen/>
        <w:t>155 продолжался до начала мая. 12 мая машина попала в НИИ ВВС, но уже 19 мая случился отказ двигателя, который вышел из строя при попытке резко добавить газу. Другого двигателя АМ</w:t>
      </w:r>
      <w:r w:rsidRPr="00C94B78">
        <w:rPr>
          <w:rFonts w:ascii="Times New Roman" w:hAnsi="Times New Roman"/>
          <w:color w:val="0070C0"/>
          <w:sz w:val="16"/>
          <w:szCs w:val="16"/>
        </w:rPr>
        <w:noBreakHyphen/>
        <w:t>39А в распоряжении конструкторов не было, а ожидать доставки нового было бы слишком долго, поэтому дальнейшие испытания И</w:t>
      </w:r>
      <w:r w:rsidRPr="00C94B78">
        <w:rPr>
          <w:rFonts w:ascii="Times New Roman" w:hAnsi="Times New Roman"/>
          <w:color w:val="0070C0"/>
          <w:sz w:val="16"/>
          <w:szCs w:val="16"/>
        </w:rPr>
        <w:noBreakHyphen/>
        <w:t>231 свернули (25067).</w:t>
      </w:r>
    </w:p>
    <w:p w14:paraId="0EE68255" w14:textId="77777777" w:rsidR="00D5421A" w:rsidRPr="00C94B78" w:rsidRDefault="00D5421A" w:rsidP="00B56F90">
      <w:pPr>
        <w:spacing w:after="0" w:line="240" w:lineRule="auto"/>
        <w:jc w:val="both"/>
        <w:rPr>
          <w:rFonts w:ascii="Times New Roman" w:hAnsi="Times New Roman"/>
          <w:color w:val="0070C0"/>
          <w:sz w:val="16"/>
          <w:szCs w:val="16"/>
        </w:rPr>
      </w:pPr>
    </w:p>
    <w:p w14:paraId="3C22B585" w14:textId="77777777" w:rsidR="00D5421A" w:rsidRPr="00C94B78" w:rsidRDefault="00D5421A" w:rsidP="00B56F90">
      <w:pPr>
        <w:widowControl w:val="0"/>
        <w:tabs>
          <w:tab w:val="left" w:pos="534"/>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26 февраля 1944 г. И-231 был предъявлен на госиспытания с новым облегчённым винтом АВ-5Л-126Е. Испытания дважды прерывались после поломок самолёта, и в конечном счёте работы по И-231 прекратили в связи с решением не запускать АМ-39 в серию (25038).</w:t>
      </w:r>
    </w:p>
    <w:p w14:paraId="1A9A8377" w14:textId="77777777" w:rsidR="00D5421A" w:rsidRPr="00C94B78" w:rsidRDefault="00D5421A" w:rsidP="00B56F90">
      <w:pPr>
        <w:spacing w:after="0" w:line="240" w:lineRule="auto"/>
        <w:jc w:val="both"/>
        <w:rPr>
          <w:rFonts w:ascii="Times New Roman" w:hAnsi="Times New Roman"/>
          <w:color w:val="0070C0"/>
          <w:sz w:val="16"/>
          <w:szCs w:val="16"/>
        </w:rPr>
      </w:pPr>
    </w:p>
    <w:p w14:paraId="66F295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ш-и к В.В.Ковынев и и-к Скворцова подписали Донесение штурмана-испытатели и штурмана облета по результатам дополнительных (после переделок, произведенных ГК завода 51 тов. Поликарповым) испытаний модернизированного самолета У-2ВС с мотором М-11Д и винтом ВФШ Д=2.35м - эталон первого полугодия 1944 (3461).</w:t>
      </w:r>
    </w:p>
    <w:p w14:paraId="03667B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324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ви 3 отд. НИИ ВВС ст.л Тиняков подписал донесение летчика облета по результатам дополнительных (после переделок, произведенных ГК завода 51 тов. Поликарповым) испытаний модернизированного самолета У-2ВС с мотором М-11Д и винтом ВФШ Д=2.35м - эталон первого полугодия 1944 (3461).</w:t>
      </w:r>
    </w:p>
    <w:p w14:paraId="60DB3D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C6A62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26 февраля 1944 За Нач. 4 отд. 3 отд. НИИ ВВС и-м Синельников, Пом. Нач. 4 отд. 3 отд. НИИ ВВС по летной части п/п Долгов, ви 4 отд. 3 отд. ст.-т-л Часовников и вл 4 отд. 3 отд. Фролов подписали выводы по результатам дополнительных (после переделок, произведенных ГК завода 51 тов. Поликарповым) испытаний модернизированного самолета У-2ВС с мотором М-11Д и винтом ВФШ Д=2.35м - эталон первого полугодия 1944 (3461).</w:t>
      </w:r>
    </w:p>
    <w:p w14:paraId="40E06EC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0759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ви 4 отд. 3 отд. НИИ ВВС ст-т-л Часовников подписал Дефекты, выявленные при испытаниях самолета У-2 ВС N 4504 - эталон первого полугодия 1944 (3461).</w:t>
      </w:r>
    </w:p>
    <w:p w14:paraId="1DEF68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82A2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г. на основании приказа НКАП № 146с на территорию завода № 41 было переведено в течение месяца ОКБ завода № 154 НКАП из г. Андижана со всеми кадрами и оборудованием для концентрации работ по легким моторам. Модификации мотора М-11: М-11Ф (испытан в 02.1945 г., ведущий конструктор- А.М. Власенко), М-11Я, М-12 (испытан в 05.1945 г., ведущий конструктор- А.М. Власенко). В 04.1946 г. в МАП сделан вывод о неудовлетворительной работе ОКБ. Планировалось его ликвидировать и объединить с заводом № 41 с 1.09.1946 г., а работы по модернизации М-11 прекратить (приказ МАП № 414с от 1.07.1946 г.). Е.В. Урмин освобожден от должности (04.1946 г. или ранее), далее снова работал в ЦИАМ и на преподавательской работе. Однако работы по М-11 были продолжены. Их руководителем и начальником ОКБ назначен И.А. Мужилов (до ВОВ работал на заводе № 16, с 11.1940 г. был начальником СКО завода № 451 НКАП, затем работал на заводе № 41). Работы по М-11ФР. В связи с развертыванием работ по ГТД производство моторов М-11 перевели на завод № 154, туда же планировалось перевести и ОКБ (приказ № 546сс от 15.08.1946 г.). Однако ОКБ осталось на заводе, были проведены испытания и доводка М-11ФРВ, создан опытный М-13, в 1947-48 г. построено 3 экземпляра, проведены заводские и гос. стендовые испытания. В 1948 г. ОКБ ликвидировано (в рамках сокращения опытных работ), работы по М-13 прекращены. Гл. конструктор (1944-46 г.)- Е.В. Урмин (до этого - гл. конструктор ОКБ-29), (1950-е г.)- Н.Е. Наумов. Начальник (1946-48 г.) - И.А. Мужилов. (10776).</w:t>
      </w:r>
    </w:p>
    <w:p w14:paraId="22AA951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526581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г. и 8 января 1944 г. и на основании приказов НКАП № 146с и № 16с при заводе № 41 в составе 8ГУ образовано ОКБ с опытной базой для работ по маломощным моторам.</w:t>
      </w:r>
    </w:p>
    <w:p w14:paraId="2B0D4D4F" w14:textId="53D96383"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приказа № 146с от 26.02.1944 г. на территорию завода № 41 было переведено в течение месяца ОКБ завода № 154 НКАП из</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Андижана со всеми кадрами и оборудованием для концентрации работ по легким моторам.</w:t>
      </w:r>
    </w:p>
    <w:p w14:paraId="385B8DF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Модификации мотора М-11: М-11Ф (испытан в 02.1945 г., ведущий конструктор- A.M. Власенко), М-11Я, М- 12 (испытан в 05.1945 г., ведущий конструктор- A.M. Власенко).</w:t>
      </w:r>
    </w:p>
    <w:p w14:paraId="2B62146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04.1946 г. в МАП сделан вывод о неудовлетворительной работе ОКБ. Планировалось его ликвидировать и объединить с заводом № 41 с 1.09.1946 г., а работы по модернизации М-11 прекратить (приказ МАП № 414с от 1.07.1946 г.). Е.В. Урмин освобожден от должности (04.1946 г. или ранее), далее снова работал в ЦИАМ и на преподавательской работе. Однако работы по М-11 были продолжены. Их руководителем и начальником ОКБ назначен И.А. Мужилов (до ВОВ работал на заводе № 16, с 11.1940 г. был начальником СКО завода № 451 НКАП. затем работал на заводе № 41). Работы по М-11ФР. В связи с развертыванием работ по ГТД производство моторов М-11 перевели на завод № 154, туда же планировалось перевести и ОКБ (приказ № 546сс от 15.08.1946 г.). Однако ОКБ осталось на заводе, были проведены испытания и доводка М-11ФРВ, создан опытный М-13, в 1947-48 г. построено 3 экземпляра, проведены заводские и гос. стендовые испытания.</w:t>
      </w:r>
    </w:p>
    <w:p w14:paraId="6CB5547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1948 г. ОКБ ликвидировано (в рамках сокращения опытных работ), работы по М-13 прекращены.</w:t>
      </w:r>
    </w:p>
    <w:p w14:paraId="037610A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(1944-46 г.)- Е.В. Урмин.</w:t>
      </w:r>
    </w:p>
    <w:p w14:paraId="636AA69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(1946-48 г.)- И.А. Мужилов (11982).</w:t>
      </w:r>
    </w:p>
    <w:p w14:paraId="0D85143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5647DE2"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26 февраля 1944 г. Акт по госиспытаниям винтов </w:t>
      </w:r>
      <w:r w:rsidRPr="00070ADE">
        <w:rPr>
          <w:rFonts w:ascii="Times New Roman" w:hAnsi="Times New Roman"/>
          <w:bCs/>
          <w:color w:val="000000" w:themeColor="text1"/>
          <w:sz w:val="16"/>
          <w:szCs w:val="16"/>
        </w:rPr>
        <w:t>АВ-5-167А</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2154"/>
        <w:gridCol w:w="1059"/>
        <w:gridCol w:w="1373"/>
        <w:gridCol w:w="6289"/>
      </w:tblGrid>
      <w:tr w:rsidR="004D4663" w:rsidRPr="00070ADE" w14:paraId="582C7E9C" w14:textId="77777777" w:rsidTr="00137373">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3B3E1806" w14:textId="091E8758"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Винт АВ-5-167А.</w:t>
            </w:r>
            <w:r w:rsidR="00C63BA9">
              <w:rPr>
                <w:rFonts w:ascii="Times New Roman" w:hAnsi="Times New Roman"/>
                <w:bCs/>
                <w:color w:val="000000" w:themeColor="text1"/>
                <w:sz w:val="16"/>
                <w:szCs w:val="16"/>
              </w:rPr>
              <w:t xml:space="preserve">  </w:t>
            </w:r>
            <w:r w:rsidRPr="00070ADE">
              <w:rPr>
                <w:rFonts w:ascii="Times New Roman" w:hAnsi="Times New Roman"/>
                <w:bCs/>
                <w:color w:val="000000" w:themeColor="text1"/>
                <w:sz w:val="16"/>
                <w:szCs w:val="16"/>
              </w:rPr>
              <w:t>Производство завода № 35.</w:t>
            </w:r>
            <w:r w:rsidR="00C63BA9">
              <w:rPr>
                <w:rFonts w:ascii="Times New Roman" w:hAnsi="Times New Roman"/>
                <w:bCs/>
                <w:color w:val="000000" w:themeColor="text1"/>
                <w:sz w:val="16"/>
                <w:szCs w:val="16"/>
              </w:rPr>
              <w:t xml:space="preserve">  </w:t>
            </w:r>
            <w:r w:rsidRPr="00070ADE">
              <w:rPr>
                <w:rFonts w:ascii="Times New Roman" w:hAnsi="Times New Roman"/>
                <w:bCs/>
                <w:color w:val="000000" w:themeColor="text1"/>
                <w:sz w:val="16"/>
                <w:szCs w:val="16"/>
              </w:rPr>
              <w:t>Конструктор Жданов.</w:t>
            </w:r>
          </w:p>
        </w:tc>
      </w:tr>
      <w:tr w:rsidR="004D4663" w:rsidRPr="00070ADE" w14:paraId="0F69DE54"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E021E1C"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7249E02D"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гидравлическ.</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172A0D8B"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Предназначен для</w:t>
            </w:r>
          </w:p>
          <w:p w14:paraId="43565640"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237BD66"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Ту-2 с АШ-82Ф</w:t>
            </w:r>
          </w:p>
        </w:tc>
      </w:tr>
      <w:tr w:rsidR="004D4663" w:rsidRPr="00070ADE" w14:paraId="0F3A98E3"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B83020C"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1BF275C8"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F9D3107" w14:textId="77777777" w:rsidR="00673CAB" w:rsidRPr="00070ADE" w:rsidRDefault="00673CAB" w:rsidP="00B56F90">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C6EBC4D" w14:textId="77777777" w:rsidR="00673CAB" w:rsidRPr="00070ADE" w:rsidRDefault="00673CAB" w:rsidP="00B56F90">
            <w:pPr>
              <w:spacing w:after="0" w:line="240" w:lineRule="auto"/>
              <w:jc w:val="both"/>
              <w:rPr>
                <w:rFonts w:ascii="Times New Roman" w:hAnsi="Times New Roman"/>
                <w:color w:val="000000" w:themeColor="text1"/>
                <w:sz w:val="16"/>
                <w:szCs w:val="16"/>
              </w:rPr>
            </w:pPr>
          </w:p>
        </w:tc>
      </w:tr>
      <w:tr w:rsidR="004D4663" w:rsidRPr="00070ADE" w14:paraId="21B9189A"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607F7CF"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0ABA94A6"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32E54C9E" w14:textId="77777777" w:rsidR="00673CAB" w:rsidRPr="00070ADE" w:rsidRDefault="00673CAB" w:rsidP="00B56F90">
            <w:pPr>
              <w:spacing w:after="0" w:line="240" w:lineRule="auto"/>
              <w:jc w:val="both"/>
              <w:rPr>
                <w:rFonts w:ascii="Times New Roman" w:hAnsi="Times New Roman"/>
                <w:color w:val="000000" w:themeColor="text1"/>
                <w:sz w:val="16"/>
                <w:szCs w:val="16"/>
              </w:rPr>
            </w:pPr>
          </w:p>
        </w:tc>
      </w:tr>
      <w:tr w:rsidR="004D4663" w:rsidRPr="00070ADE" w14:paraId="3690281A"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4F17F32"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4FA9844B"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дюраль АК-1</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5451700" w14:textId="77777777" w:rsidR="00673CAB" w:rsidRPr="00070ADE" w:rsidRDefault="00673CAB" w:rsidP="00B56F90">
            <w:pPr>
              <w:spacing w:after="0" w:line="240" w:lineRule="auto"/>
              <w:jc w:val="both"/>
              <w:rPr>
                <w:rFonts w:ascii="Times New Roman" w:hAnsi="Times New Roman"/>
                <w:color w:val="000000" w:themeColor="text1"/>
                <w:sz w:val="16"/>
                <w:szCs w:val="16"/>
              </w:rPr>
            </w:pPr>
          </w:p>
        </w:tc>
      </w:tr>
      <w:tr w:rsidR="004D4663" w:rsidRPr="00070ADE" w14:paraId="78E2EE7E"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35F43C3"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08B77346"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0CDF955" w14:textId="77777777" w:rsidR="00673CAB" w:rsidRPr="00070ADE" w:rsidRDefault="00673CAB" w:rsidP="00B56F90">
            <w:pPr>
              <w:spacing w:after="0" w:line="240" w:lineRule="auto"/>
              <w:jc w:val="both"/>
              <w:rPr>
                <w:rFonts w:ascii="Times New Roman" w:hAnsi="Times New Roman"/>
                <w:color w:val="000000" w:themeColor="text1"/>
                <w:sz w:val="16"/>
                <w:szCs w:val="16"/>
              </w:rPr>
            </w:pPr>
          </w:p>
        </w:tc>
      </w:tr>
      <w:tr w:rsidR="004D4663" w:rsidRPr="00070ADE" w14:paraId="7BBB812B"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4E455F4"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36C25286"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292,5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7E4B333" w14:textId="77777777" w:rsidR="00673CAB" w:rsidRPr="00070ADE" w:rsidRDefault="00673CAB" w:rsidP="00B56F90">
            <w:pPr>
              <w:spacing w:after="0" w:line="240" w:lineRule="auto"/>
              <w:jc w:val="both"/>
              <w:rPr>
                <w:rFonts w:ascii="Times New Roman" w:hAnsi="Times New Roman"/>
                <w:color w:val="000000" w:themeColor="text1"/>
                <w:sz w:val="16"/>
                <w:szCs w:val="16"/>
              </w:rPr>
            </w:pPr>
          </w:p>
        </w:tc>
      </w:tr>
      <w:tr w:rsidR="004D4663" w:rsidRPr="00070ADE" w14:paraId="2B32B98F"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3574010"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25417FF4"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CD67AD2" w14:textId="77777777" w:rsidR="00673CAB" w:rsidRPr="00070ADE" w:rsidRDefault="00673CAB" w:rsidP="00B56F90">
            <w:pPr>
              <w:spacing w:after="0" w:line="240" w:lineRule="auto"/>
              <w:jc w:val="both"/>
              <w:rPr>
                <w:rFonts w:ascii="Times New Roman" w:hAnsi="Times New Roman"/>
                <w:color w:val="000000" w:themeColor="text1"/>
                <w:sz w:val="16"/>
                <w:szCs w:val="16"/>
              </w:rPr>
            </w:pPr>
          </w:p>
        </w:tc>
      </w:tr>
      <w:tr w:rsidR="004D4663" w:rsidRPr="00070ADE" w14:paraId="59063052"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40572AC"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700D1483"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0D8D23C" w14:textId="77777777" w:rsidR="00673CAB" w:rsidRPr="00070ADE" w:rsidRDefault="00673CAB" w:rsidP="00B56F90">
            <w:pPr>
              <w:spacing w:after="0" w:line="240" w:lineRule="auto"/>
              <w:jc w:val="both"/>
              <w:rPr>
                <w:rFonts w:ascii="Times New Roman" w:hAnsi="Times New Roman"/>
                <w:color w:val="000000" w:themeColor="text1"/>
                <w:sz w:val="16"/>
                <w:szCs w:val="16"/>
              </w:rPr>
            </w:pPr>
          </w:p>
        </w:tc>
      </w:tr>
      <w:tr w:rsidR="004D4663" w:rsidRPr="00070ADE" w14:paraId="26E33E19"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D78A28A"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78005F6C"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159A387" w14:textId="77777777" w:rsidR="00673CAB" w:rsidRPr="00070ADE" w:rsidRDefault="00673CAB" w:rsidP="00B56F90">
            <w:pPr>
              <w:spacing w:after="0" w:line="240" w:lineRule="auto"/>
              <w:jc w:val="both"/>
              <w:rPr>
                <w:rFonts w:ascii="Times New Roman" w:hAnsi="Times New Roman"/>
                <w:color w:val="000000" w:themeColor="text1"/>
                <w:sz w:val="16"/>
                <w:szCs w:val="16"/>
              </w:rPr>
            </w:pPr>
          </w:p>
        </w:tc>
      </w:tr>
      <w:tr w:rsidR="004D4663" w:rsidRPr="00070ADE" w14:paraId="23E86049"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6D20691"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Минимальный установочный угол</w:t>
            </w:r>
          </w:p>
          <w:p w14:paraId="7252DF6F"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7052A1C7"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D154442" w14:textId="77777777" w:rsidR="00673CAB" w:rsidRPr="00070ADE" w:rsidRDefault="00673CAB" w:rsidP="00B56F90">
            <w:pPr>
              <w:spacing w:after="0" w:line="240" w:lineRule="auto"/>
              <w:jc w:val="both"/>
              <w:rPr>
                <w:rFonts w:ascii="Times New Roman" w:hAnsi="Times New Roman"/>
                <w:color w:val="000000" w:themeColor="text1"/>
                <w:sz w:val="16"/>
                <w:szCs w:val="16"/>
              </w:rPr>
            </w:pPr>
          </w:p>
        </w:tc>
      </w:tr>
      <w:tr w:rsidR="004D4663" w:rsidRPr="00070ADE" w14:paraId="227F74FC"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4C28EDD"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6EF6C8E"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31,3</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A246D3C" w14:textId="77777777" w:rsidR="00673CAB" w:rsidRPr="00070ADE" w:rsidRDefault="00673CAB" w:rsidP="00B56F90">
            <w:pPr>
              <w:spacing w:after="0" w:line="240" w:lineRule="auto"/>
              <w:jc w:val="both"/>
              <w:rPr>
                <w:rFonts w:ascii="Times New Roman" w:hAnsi="Times New Roman"/>
                <w:color w:val="000000" w:themeColor="text1"/>
                <w:sz w:val="16"/>
                <w:szCs w:val="16"/>
              </w:rPr>
            </w:pPr>
          </w:p>
        </w:tc>
      </w:tr>
      <w:tr w:rsidR="004D4663" w:rsidRPr="00070ADE" w14:paraId="3F01A42D"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EB7A764"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69D5183"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197,5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C4CF28B" w14:textId="77777777" w:rsidR="00673CAB" w:rsidRPr="00070ADE" w:rsidRDefault="00673CAB" w:rsidP="00B56F90">
            <w:pPr>
              <w:spacing w:after="0" w:line="240" w:lineRule="auto"/>
              <w:jc w:val="both"/>
              <w:rPr>
                <w:rFonts w:ascii="Times New Roman" w:hAnsi="Times New Roman"/>
                <w:color w:val="000000" w:themeColor="text1"/>
                <w:sz w:val="16"/>
                <w:szCs w:val="16"/>
              </w:rPr>
            </w:pPr>
          </w:p>
        </w:tc>
      </w:tr>
      <w:tr w:rsidR="004D4663" w:rsidRPr="00070ADE" w14:paraId="11F13337"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D04187B"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612C011F"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033E550" w14:textId="77777777" w:rsidR="00673CAB" w:rsidRPr="00070ADE" w:rsidRDefault="00673CAB" w:rsidP="00B56F90">
            <w:pPr>
              <w:spacing w:after="0" w:line="240" w:lineRule="auto"/>
              <w:jc w:val="both"/>
              <w:rPr>
                <w:rFonts w:ascii="Times New Roman" w:hAnsi="Times New Roman"/>
                <w:color w:val="000000" w:themeColor="text1"/>
                <w:sz w:val="16"/>
                <w:szCs w:val="16"/>
              </w:rPr>
            </w:pPr>
          </w:p>
        </w:tc>
      </w:tr>
      <w:tr w:rsidR="004D4663" w:rsidRPr="00070ADE" w14:paraId="531C46C5"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D466FE9"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24040EB"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6075A34" w14:textId="77777777" w:rsidR="00673CAB" w:rsidRPr="00070ADE" w:rsidRDefault="00673CAB" w:rsidP="00B56F90">
            <w:pPr>
              <w:spacing w:after="0" w:line="240" w:lineRule="auto"/>
              <w:jc w:val="both"/>
              <w:rPr>
                <w:rFonts w:ascii="Times New Roman" w:hAnsi="Times New Roman"/>
                <w:color w:val="000000" w:themeColor="text1"/>
                <w:sz w:val="16"/>
                <w:szCs w:val="16"/>
              </w:rPr>
            </w:pPr>
          </w:p>
        </w:tc>
      </w:tr>
      <w:tr w:rsidR="004D4663" w:rsidRPr="00070ADE" w14:paraId="7AF28F9B"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ED3D126"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1F0B99FD"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1B1F4A11"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Состояние</w:t>
            </w:r>
          </w:p>
          <w:p w14:paraId="1A6928C6"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F4DE90E"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Винт летные испытания прошел удовлетворительно и может быть рекомендован в эксплоатацию взамен винтов обратной схемы АВ-5-167А на с-тах Ту-2 с 2АШ-82ФН.</w:t>
            </w:r>
          </w:p>
        </w:tc>
      </w:tr>
      <w:tr w:rsidR="004D4663" w:rsidRPr="00070ADE" w14:paraId="668FF500"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67C1F20"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22C2E52B"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Р-7А и Р-10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9DE7498" w14:textId="77777777" w:rsidR="00673CAB" w:rsidRPr="00070ADE" w:rsidRDefault="00673CAB" w:rsidP="00B56F90">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62BBA1E" w14:textId="77777777" w:rsidR="00673CAB" w:rsidRPr="00070ADE" w:rsidRDefault="00673CAB" w:rsidP="00B56F90">
            <w:pPr>
              <w:spacing w:after="0" w:line="240" w:lineRule="auto"/>
              <w:jc w:val="both"/>
              <w:rPr>
                <w:rFonts w:ascii="Times New Roman" w:hAnsi="Times New Roman"/>
                <w:color w:val="000000" w:themeColor="text1"/>
                <w:sz w:val="16"/>
                <w:szCs w:val="16"/>
              </w:rPr>
            </w:pPr>
          </w:p>
        </w:tc>
      </w:tr>
      <w:tr w:rsidR="004D4663" w:rsidRPr="00070ADE" w14:paraId="492DC008"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BB6F49D"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74D30F49"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FFE6512" w14:textId="77777777" w:rsidR="00673CAB" w:rsidRPr="00070ADE" w:rsidRDefault="00673CAB" w:rsidP="00B56F90">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D783FA0" w14:textId="77777777" w:rsidR="00673CAB" w:rsidRPr="00070ADE" w:rsidRDefault="00673CAB" w:rsidP="00B56F90">
            <w:pPr>
              <w:spacing w:after="0" w:line="240" w:lineRule="auto"/>
              <w:jc w:val="both"/>
              <w:rPr>
                <w:rFonts w:ascii="Times New Roman" w:hAnsi="Times New Roman"/>
                <w:color w:val="000000" w:themeColor="text1"/>
                <w:sz w:val="16"/>
                <w:szCs w:val="16"/>
              </w:rPr>
            </w:pPr>
          </w:p>
        </w:tc>
      </w:tr>
      <w:tr w:rsidR="004D4663" w:rsidRPr="00070ADE" w14:paraId="67AF9AD0" w14:textId="77777777" w:rsidTr="00137373">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B2CC3C0" w14:textId="77777777" w:rsidR="00673CAB" w:rsidRPr="00070ADE" w:rsidRDefault="00673CAB" w:rsidP="00B56F90">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7F5E9C93" w14:textId="77777777" w:rsidR="00673CAB" w:rsidRPr="00070ADE" w:rsidRDefault="00673CAB" w:rsidP="00B56F90">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6BA9AF1B"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Источник сведений: Акт по госиспытаниям винтов от 26.2.44 г.</w:t>
            </w:r>
          </w:p>
        </w:tc>
      </w:tr>
    </w:tbl>
    <w:p w14:paraId="56D30F14"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(12227).</w:t>
      </w:r>
    </w:p>
    <w:p w14:paraId="79F65338" w14:textId="77777777" w:rsidR="00673CAB" w:rsidRPr="00070ADE" w:rsidRDefault="00673CAB" w:rsidP="00B56F90">
      <w:pPr>
        <w:spacing w:after="0" w:line="240" w:lineRule="auto"/>
        <w:jc w:val="both"/>
        <w:rPr>
          <w:rFonts w:ascii="Times New Roman" w:hAnsi="Times New Roman"/>
          <w:color w:val="000000" w:themeColor="text1"/>
          <w:sz w:val="16"/>
          <w:szCs w:val="16"/>
        </w:rPr>
      </w:pPr>
    </w:p>
    <w:p w14:paraId="79E38D3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вышло Постановление ГКО № 5254 О послевоенном развитии международных воздушных линий СССР. (7192, 118-119).</w:t>
      </w:r>
    </w:p>
    <w:p w14:paraId="29AC88C3"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07735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года, согласно протокола допроса Федора Николаевича Пойды (свидетеля), подписанного следователем по важнейшим делам Прокуратуры СССР Бурлаевым, вот что показал Пойда:</w:t>
      </w:r>
    </w:p>
    <w:p w14:paraId="47E0838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Костиков, будучи инженером, над снарядными вопросами не работал. Он работал над кислородным двигателем, но двигатель этот практического осуществления не получил.</w:t>
      </w:r>
    </w:p>
    <w:p w14:paraId="0B23CC3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1937 году (в конце...) был арестован гл[авный] инженер реактивного института Лангемак и Костиков был назначен на должность, которую занимал до него Лангемак.</w:t>
      </w:r>
    </w:p>
    <w:p w14:paraId="775DDD2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 обладая необходимыми техническими познаниями, во всяком случае в реактивных снарядах, Костиков работал плохо. Перед началом Отечественной войны стал вопрос об удалении его с должности главного инженера института.</w:t>
      </w:r>
    </w:p>
    <w:p w14:paraId="66F9069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...Вопрос о снятии Костикова с работы был оформлен... Но тут неожиданно узнали, что Костикову за М-13 было присвоено звание Героя Труда.</w:t>
      </w:r>
    </w:p>
    <w:p w14:paraId="7A7EB3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Трудно представить, чтобы сам Костиков не понимал, что такая высокая оценка его работы является выражением не столько его личной заслуги, сколько заслуг коллектива института. Костиков во всяком случае знал, что к М-13 он имеет очень малое отношение, никогда не работал по снарядам.</w:t>
      </w:r>
    </w:p>
    <w:p w14:paraId="69B2B3F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Как было доложено в Правительство, что Костиков был связан с «катюшей» (так в народе называют М-13], я не знаю. Слышал только, что докладывали Костиков и Аборенков и расхваливали друг друга...»</w:t>
      </w:r>
    </w:p>
    <w:p w14:paraId="07AF27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материалах немало свидетельств, подтверждающих, что созданию машинной установки М-13 предшествовали многолетние экспериментальные работы по изобретению отечественных снарядов, которые проводились в институте реактивной техники. Несомненно, в бытность А. Г. Костикова главным инженером, а затем и директором института изобретение продолжало совершенствоваться и именно при нем было окончательно доработано и стало применяться в боевой обстановке. Так что полностью отвергать причастность Костикова к внедрению нового оружия тоже неправильно. Но заслуга его в разработке «катюши» довольно-таки минимальна, а «передача» ему идеи создания реактивного миномета — акт совсем несправедливый. Тем не менее плод коллективного труде, т. е. реактивные снаряды, получившие условное наименование М-8 и М-13, постепенно стали связывать только с именем руководителя института.</w:t>
      </w:r>
    </w:p>
    <w:p w14:paraId="657C13D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Тогда же конструктор И. И. Гвай, инженеры А. П. Павленко и А. С. Попов разработали машинную установку (идея, как уже сообщалось, принадлежала работникам этого же института Г. Э. Лангемаку и В. П. Глушко, к тому времени репрессированным) с поперечным расположением на автомашине направляющих планок для производства одновременного залпа 24 снарядами. В дальнейшем по предложению инженера В. Н. Галковского, которое одобрил и главный инженер А. Г. Костиков, поперечные направляющие заменили на продольные, удлинив их, чем достигалась устойчивость боевой машины при стрельбе и более высокая кучность огня.</w:t>
      </w:r>
    </w:p>
    <w:p w14:paraId="64131C6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1939 году после удачных полигонных испытаний, каким-то образом отодвинув основных участников доработки, испытаний и внедрения нового оружия, Костиков и Гвай сделали заявку на признание их авторами изобретения. Когда же к ним изъявил желание присоединиться и заместитель начальника Главного артиллерийского управления Наркомата обороны (НКО) Аборенков, они не посмели отказаться. Аборенков был не только влиятельным лицом, но, возможно, обладал и немалой пробивной силой. Не исключено, что именно после его настоятельных ходатайств Отдел изобретений НКО признал всех троих изобретателями машинной установки М-13 и выдал им авторские свидетельства (11912).</w:t>
      </w:r>
    </w:p>
    <w:p w14:paraId="4C35F6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D3EB790" w14:textId="77777777" w:rsidR="00903E13" w:rsidRPr="00070ADE" w:rsidRDefault="00903E13" w:rsidP="00B56F90">
      <w:pPr>
        <w:pStyle w:val="ae"/>
        <w:spacing w:before="0" w:after="0"/>
        <w:jc w:val="both"/>
        <w:rPr>
          <w:rStyle w:val="mfont1"/>
          <w:rFonts w:eastAsia="Times New Roman"/>
          <w:color w:val="000000" w:themeColor="text1"/>
          <w:sz w:val="16"/>
          <w:szCs w:val="16"/>
        </w:rPr>
      </w:pPr>
      <w:r w:rsidRPr="00070ADE">
        <w:rPr>
          <w:rStyle w:val="mfont1"/>
          <w:rFonts w:eastAsia="Times New Roman"/>
          <w:color w:val="000000" w:themeColor="text1"/>
          <w:sz w:val="16"/>
          <w:szCs w:val="16"/>
        </w:rPr>
        <w:t>26 февраля 1944 года следователь по важнейшим делам Прокуратуры СССР Бурлаев составил протокол допроса Федора Николаевича Пойды (свидетеля), подписанный Пойдой:</w:t>
      </w:r>
    </w:p>
    <w:p w14:paraId="7A14DD16" w14:textId="77777777" w:rsidR="00903E13" w:rsidRPr="00070ADE" w:rsidRDefault="00903E13" w:rsidP="00B56F90">
      <w:pPr>
        <w:pStyle w:val="ae"/>
        <w:spacing w:before="0" w:after="0"/>
        <w:jc w:val="both"/>
        <w:rPr>
          <w:color w:val="000000" w:themeColor="text1"/>
          <w:sz w:val="16"/>
          <w:szCs w:val="16"/>
        </w:rPr>
      </w:pPr>
      <w:r w:rsidRPr="00070ADE">
        <w:rPr>
          <w:rStyle w:val="mfont1"/>
          <w:rFonts w:eastAsia="Times New Roman"/>
          <w:color w:val="000000" w:themeColor="text1"/>
          <w:sz w:val="16"/>
          <w:szCs w:val="16"/>
        </w:rPr>
        <w:t>Вот что показал Пойда:</w:t>
      </w:r>
    </w:p>
    <w:p w14:paraId="0D7283AA" w14:textId="77777777" w:rsidR="00903E13" w:rsidRPr="00070ADE" w:rsidRDefault="00903E13" w:rsidP="00B56F90">
      <w:pPr>
        <w:pStyle w:val="ae"/>
        <w:spacing w:before="0" w:after="0"/>
        <w:jc w:val="both"/>
        <w:rPr>
          <w:color w:val="000000" w:themeColor="text1"/>
          <w:sz w:val="16"/>
          <w:szCs w:val="16"/>
        </w:rPr>
      </w:pPr>
      <w:r w:rsidRPr="00070ADE">
        <w:rPr>
          <w:rStyle w:val="mfont1"/>
          <w:rFonts w:eastAsia="Times New Roman"/>
          <w:color w:val="000000" w:themeColor="text1"/>
          <w:sz w:val="16"/>
          <w:szCs w:val="16"/>
        </w:rPr>
        <w:t>«... Костиков, будучи инженером, над снарядными вопросами не работал. Он работал над кислородным двигателем, но двигатель этот практического осуществления не получил.</w:t>
      </w:r>
    </w:p>
    <w:p w14:paraId="7D31CF2B" w14:textId="77777777" w:rsidR="00903E13" w:rsidRPr="00070ADE" w:rsidRDefault="00903E13" w:rsidP="00B56F90">
      <w:pPr>
        <w:pStyle w:val="ae"/>
        <w:spacing w:before="0" w:after="0"/>
        <w:jc w:val="both"/>
        <w:rPr>
          <w:color w:val="000000" w:themeColor="text1"/>
          <w:sz w:val="16"/>
          <w:szCs w:val="16"/>
        </w:rPr>
      </w:pPr>
      <w:r w:rsidRPr="00070ADE">
        <w:rPr>
          <w:rStyle w:val="mfont1"/>
          <w:rFonts w:eastAsia="Times New Roman"/>
          <w:color w:val="000000" w:themeColor="text1"/>
          <w:sz w:val="16"/>
          <w:szCs w:val="16"/>
        </w:rPr>
        <w:t>В 1937 году (в конце...) был арестован гл[авный] инженер реактивного института Лангемак и Костиков был назначен на должность, которую занимал до него Лангемак.</w:t>
      </w:r>
    </w:p>
    <w:p w14:paraId="7AE5B095" w14:textId="77777777" w:rsidR="00903E13" w:rsidRPr="00070ADE" w:rsidRDefault="00903E13" w:rsidP="00B56F90">
      <w:pPr>
        <w:pStyle w:val="ae"/>
        <w:spacing w:before="0" w:after="0"/>
        <w:jc w:val="both"/>
        <w:rPr>
          <w:color w:val="000000" w:themeColor="text1"/>
          <w:sz w:val="16"/>
          <w:szCs w:val="16"/>
        </w:rPr>
      </w:pPr>
      <w:r w:rsidRPr="00070ADE">
        <w:rPr>
          <w:rStyle w:val="mfont1"/>
          <w:rFonts w:eastAsia="Times New Roman"/>
          <w:color w:val="000000" w:themeColor="text1"/>
          <w:sz w:val="16"/>
          <w:szCs w:val="16"/>
        </w:rPr>
        <w:t>Не обладая необходимыми техническими познаниями, во всяком случае в реактивных снарядах, Костиков работал плохо. Перед началом Отечественной войны стал вопрос об удалении его с должности главного инженера института.</w:t>
      </w:r>
    </w:p>
    <w:p w14:paraId="58B45005" w14:textId="77777777" w:rsidR="00903E13" w:rsidRPr="00070ADE" w:rsidRDefault="00903E13" w:rsidP="00B56F90">
      <w:pPr>
        <w:pStyle w:val="ae"/>
        <w:spacing w:before="0" w:after="0"/>
        <w:jc w:val="both"/>
        <w:rPr>
          <w:color w:val="000000" w:themeColor="text1"/>
          <w:sz w:val="16"/>
          <w:szCs w:val="16"/>
        </w:rPr>
      </w:pPr>
      <w:r w:rsidRPr="00070ADE">
        <w:rPr>
          <w:rStyle w:val="mfont1"/>
          <w:rFonts w:eastAsia="Times New Roman"/>
          <w:color w:val="000000" w:themeColor="text1"/>
          <w:sz w:val="16"/>
          <w:szCs w:val="16"/>
        </w:rPr>
        <w:t>...Вопрос о снятии Костикова с работы был оформлен... Но тут неожиданно узнали, что Костикову за М-13 было присвоено звание Героя Труда.</w:t>
      </w:r>
    </w:p>
    <w:p w14:paraId="186EAE74" w14:textId="77777777" w:rsidR="00903E13" w:rsidRPr="00070ADE" w:rsidRDefault="00903E13" w:rsidP="00B56F90">
      <w:pPr>
        <w:pStyle w:val="ae"/>
        <w:spacing w:before="0" w:after="0"/>
        <w:jc w:val="both"/>
        <w:rPr>
          <w:color w:val="000000" w:themeColor="text1"/>
          <w:sz w:val="16"/>
          <w:szCs w:val="16"/>
        </w:rPr>
      </w:pPr>
      <w:r w:rsidRPr="00070ADE">
        <w:rPr>
          <w:rStyle w:val="mfont1"/>
          <w:rFonts w:eastAsia="Times New Roman"/>
          <w:color w:val="000000" w:themeColor="text1"/>
          <w:sz w:val="16"/>
          <w:szCs w:val="16"/>
        </w:rPr>
        <w:t>Трудно представить, чтобы сам Костиков не понимал, что такая высокая оценка его работы является выражением не столько его личной заслуги, сколько заслуг коллектива института. Костиков во всяком случае знал, что к М-13 он имеет очень малое отношение, никогда не работал по снарядам.</w:t>
      </w:r>
    </w:p>
    <w:p w14:paraId="69275B6D" w14:textId="77777777" w:rsidR="00903E13" w:rsidRPr="00070ADE" w:rsidRDefault="00903E13" w:rsidP="00B56F90">
      <w:pPr>
        <w:pStyle w:val="ae"/>
        <w:spacing w:before="0" w:after="0"/>
        <w:jc w:val="both"/>
        <w:rPr>
          <w:rStyle w:val="mfont1"/>
          <w:rFonts w:eastAsia="Times New Roman"/>
          <w:color w:val="000000" w:themeColor="text1"/>
          <w:sz w:val="16"/>
          <w:szCs w:val="16"/>
        </w:rPr>
      </w:pPr>
      <w:r w:rsidRPr="00070ADE">
        <w:rPr>
          <w:rStyle w:val="mfont1"/>
          <w:rFonts w:eastAsia="Times New Roman"/>
          <w:color w:val="000000" w:themeColor="text1"/>
          <w:sz w:val="16"/>
          <w:szCs w:val="16"/>
        </w:rPr>
        <w:t>Как было доложено в Правительство, что Костиков был связан с «катюшей» (так в народе называют М-13], я не знаю. Слышал только, что докладывали Костиков и Аборенков и расхваливали друг друга...» (12723).</w:t>
      </w:r>
    </w:p>
    <w:p w14:paraId="25EB42C9" w14:textId="77777777" w:rsidR="00903E13" w:rsidRPr="00070ADE" w:rsidRDefault="00903E13" w:rsidP="00B56F90">
      <w:pPr>
        <w:pStyle w:val="ae"/>
        <w:spacing w:before="0" w:after="0"/>
        <w:jc w:val="both"/>
        <w:rPr>
          <w:color w:val="000000" w:themeColor="text1"/>
          <w:sz w:val="16"/>
          <w:szCs w:val="16"/>
        </w:rPr>
      </w:pPr>
    </w:p>
    <w:p w14:paraId="4D6DD8DC"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A2540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271F8C"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вышло Постановление ГКО № 5253 Об обеспечении Центрального артиллерийского конструкторского бюро Наркомата вооружения инженерно-техническим персоналом и рабочей силой. (7192, 116-117).</w:t>
      </w:r>
    </w:p>
    <w:p w14:paraId="41F2238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4A2B4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вышло Постановление ГКО № 5255 О применении кислорода в металлургическом производстве. РГАНИР, Фонд ГКО, д. 212, лл. 120-125,126-137 (11012).</w:t>
      </w:r>
    </w:p>
    <w:p w14:paraId="156AAA2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80E0A2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года 203-мм самоходная гаубица на шасси танка КВ-1с, с которого была снята башня и установлена вращающаяся часть 203-мм гаубицы Б-4 - гаубица С-51 поступила на АНИОП для проведения полигонных испытаний (3861).</w:t>
      </w:r>
    </w:p>
    <w:p w14:paraId="0DA7A4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63E11F" w14:textId="77777777" w:rsidR="00A44782" w:rsidRPr="00070ADE" w:rsidRDefault="00A44782" w:rsidP="00B56F90">
      <w:pPr>
        <w:pStyle w:val="ae"/>
        <w:spacing w:before="0" w:after="0"/>
        <w:jc w:val="both"/>
        <w:textAlignment w:val="baseline"/>
        <w:rPr>
          <w:color w:val="000000" w:themeColor="text1"/>
          <w:sz w:val="16"/>
          <w:szCs w:val="16"/>
        </w:rPr>
      </w:pPr>
      <w:r w:rsidRPr="00070ADE">
        <w:rPr>
          <w:color w:val="000000" w:themeColor="text1"/>
          <w:sz w:val="16"/>
          <w:szCs w:val="16"/>
        </w:rPr>
        <w:t>26 февраля 1944, согласно отчёту завода №183, закончилась разработка чертежей усиления брони Т-34, а 4 марта их разослали по заводам. Впрочем, приоритетом являлся танк по первому варианту, без вынесения баков в кормовую часть. Расчёты показали, что даже в первом варианте модернизации боевая масса превысит 32 т. Для проверки надёжности работы трансмиссии и ходовой части заводское руководство решило испытать Т-34, нагруженный до боевой массы 34 т. При этом бортовые передачи оставались старыми, а КПП модернизировалась. Решение использовать бортовые передачи старого типа объяснялось тем, что попытка их переделки закончилась неудачно. Помимо усиленной КПП, на танке, первоначально носившем заводское обозначение Т-34М, предполагалось использовать 5-роликовые ведущие колёса уменьшенного диаметра.</w:t>
      </w:r>
    </w:p>
    <w:p w14:paraId="59C04F48" w14:textId="77777777" w:rsidR="00A44782" w:rsidRPr="00070ADE" w:rsidRDefault="00A44782" w:rsidP="00B56F90">
      <w:pPr>
        <w:pStyle w:val="ae"/>
        <w:spacing w:before="0" w:after="0"/>
        <w:jc w:val="both"/>
        <w:textAlignment w:val="baseline"/>
        <w:rPr>
          <w:color w:val="000000" w:themeColor="text1"/>
          <w:sz w:val="16"/>
          <w:szCs w:val="16"/>
        </w:rPr>
      </w:pPr>
      <w:r w:rsidRPr="00070ADE">
        <w:rPr>
          <w:color w:val="000000" w:themeColor="text1"/>
          <w:sz w:val="16"/>
          <w:szCs w:val="16"/>
        </w:rPr>
        <w:t>В конструкцию корпуса и башни, которую утвердили приказом НКТП №109сс, внесли некоторые изменения. От идеи уменьшения толщины нижнего кормового листа до 30 мм на заводе отказались, поскольку это снизило бы жёсткость задней части. Вместо этого до 30 мм уменьшили толщину бронировок картеров бортовых передач. Также некоторым изменениям подвергалась башня. С разработкой башни была связана небольшая задержка, поскольку требовалось изготовить новые модели, а завод №183 и так был загружен выпуском моделей для серийной башни Т-34-85. Также завод имел собственное мнение по поводу некоторых узлов Т-34М – там считали, что картеры надо оставить толщиной 45 мм, а на башню следует ставить командирскую башенку от Т-44 как более удачную. Имелись идеи и по другим узлам. Впрочем, как показали дальнейшие события, многие предложения так и остались на бумаге (18998).</w:t>
      </w:r>
    </w:p>
    <w:p w14:paraId="41AE6216" w14:textId="77777777" w:rsidR="00A44782" w:rsidRPr="00070ADE" w:rsidRDefault="00A44782" w:rsidP="00B56F90">
      <w:pPr>
        <w:pStyle w:val="ae"/>
        <w:spacing w:before="0" w:after="0"/>
        <w:jc w:val="both"/>
        <w:textAlignment w:val="baseline"/>
        <w:rPr>
          <w:color w:val="000000" w:themeColor="text1"/>
          <w:sz w:val="16"/>
          <w:szCs w:val="16"/>
        </w:rPr>
      </w:pPr>
    </w:p>
    <w:p w14:paraId="59F5B32B" w14:textId="77777777" w:rsidR="00282955" w:rsidRPr="00070ADE" w:rsidRDefault="00282955" w:rsidP="00B56F90">
      <w:pPr>
        <w:pStyle w:val="a3"/>
        <w:rPr>
          <w:color w:val="000000" w:themeColor="text1"/>
          <w:lang w:val="ru-RU"/>
        </w:rPr>
      </w:pPr>
      <w:r w:rsidRPr="00070ADE">
        <w:rPr>
          <w:color w:val="000000" w:themeColor="text1"/>
          <w:lang w:val="ru-RU"/>
        </w:rPr>
        <w:t>26 февраля 1944, Самоходная установка С-51 поступила на АНИОП, а спустя два дня прибыла техническая документа</w:t>
      </w:r>
      <w:r w:rsidRPr="00070ADE">
        <w:rPr>
          <w:color w:val="000000" w:themeColor="text1"/>
          <w:lang w:val="ru-RU"/>
        </w:rPr>
        <w:softHyphen/>
        <w:t>ция. Проблему отсутствия на АНИОП подъемных средств решили тем, что разбор и обмер установочных частей гаубицы проводили на заводе №112. В полном объеме произвести необходимые работы по разбору, впрочем, не удалось. До начала испытаний С-51 прошла 150 киломе</w:t>
      </w:r>
      <w:r w:rsidRPr="00070ADE">
        <w:rPr>
          <w:color w:val="000000" w:themeColor="text1"/>
          <w:lang w:val="ru-RU"/>
        </w:rPr>
        <w:softHyphen/>
        <w:t>тров пробега, из них 120 километров было пройдено от АНИОП до за</w:t>
      </w:r>
      <w:r w:rsidRPr="00070ADE">
        <w:rPr>
          <w:color w:val="000000" w:themeColor="text1"/>
          <w:lang w:val="ru-RU"/>
        </w:rPr>
        <w:softHyphen/>
        <w:t>вода № 112 и обратно.</w:t>
      </w:r>
    </w:p>
    <w:p w14:paraId="41E755E8" w14:textId="77777777" w:rsidR="00282955" w:rsidRPr="00070ADE" w:rsidRDefault="00282955" w:rsidP="00B56F90">
      <w:pPr>
        <w:pStyle w:val="a3"/>
        <w:rPr>
          <w:color w:val="000000" w:themeColor="text1"/>
          <w:lang w:val="ru-RU"/>
        </w:rPr>
      </w:pPr>
      <w:r w:rsidRPr="00070ADE">
        <w:rPr>
          <w:color w:val="000000" w:themeColor="text1"/>
          <w:lang w:val="ru-RU"/>
        </w:rPr>
        <w:t>Испытания самоходной установки начались 16 марта 1944 года. Ввиду отсутствия на АНИОП фугасных снарядов для Б-4 стрельбу на кучность проводили бетонобойными боеприпасами, что одновремен</w:t>
      </w:r>
      <w:r w:rsidRPr="00070ADE">
        <w:rPr>
          <w:color w:val="000000" w:themeColor="text1"/>
          <w:lang w:val="ru-RU"/>
        </w:rPr>
        <w:softHyphen/>
        <w:t>но сократило программу полигонных испытаний. 16-го числа было сделано 18 выстрелов. Всего же за время огневых испытаний, про</w:t>
      </w:r>
      <w:r w:rsidRPr="00070ADE">
        <w:rPr>
          <w:color w:val="000000" w:themeColor="text1"/>
          <w:lang w:val="ru-RU"/>
        </w:rPr>
        <w:softHyphen/>
        <w:t>должавшихся до 24 марта, было произведено 209 выстрелов, из них 135 усиленным зарядом.</w:t>
      </w:r>
    </w:p>
    <w:p w14:paraId="62D78497" w14:textId="77777777" w:rsidR="00282955" w:rsidRPr="00070ADE" w:rsidRDefault="00282955" w:rsidP="00B56F90">
      <w:pPr>
        <w:pStyle w:val="a3"/>
        <w:rPr>
          <w:color w:val="000000" w:themeColor="text1"/>
          <w:lang w:val="ru-RU"/>
        </w:rPr>
      </w:pPr>
      <w:r w:rsidRPr="00070ADE">
        <w:rPr>
          <w:color w:val="000000" w:themeColor="text1"/>
          <w:lang w:val="ru-RU"/>
        </w:rPr>
        <w:t>В ходе стрельбы под углом 30 градусов выяснилось, что во время про</w:t>
      </w:r>
      <w:r w:rsidRPr="00070ADE">
        <w:rPr>
          <w:color w:val="000000" w:themeColor="text1"/>
          <w:lang w:val="ru-RU"/>
        </w:rPr>
        <w:softHyphen/>
        <w:t>ведения выстрела С-51 отходит на 1000 — 1300 мм, а накат вперед состав</w:t>
      </w:r>
      <w:r w:rsidRPr="00070ADE">
        <w:rPr>
          <w:color w:val="000000" w:themeColor="text1"/>
          <w:lang w:val="ru-RU"/>
        </w:rPr>
        <w:softHyphen/>
        <w:t>лял 200 мм. При стрельбе носовая часть самоходной установки поднима</w:t>
      </w:r>
      <w:r w:rsidRPr="00070ADE">
        <w:rPr>
          <w:color w:val="000000" w:themeColor="text1"/>
          <w:lang w:val="ru-RU"/>
        </w:rPr>
        <w:softHyphen/>
        <w:t>лась вверх на величину от 250 до 450 мм, в то время как корма приседала на 200—300 мм. Одновременно отмечалось, что величина прыжка право</w:t>
      </w:r>
      <w:r w:rsidRPr="00070ADE">
        <w:rPr>
          <w:color w:val="000000" w:themeColor="text1"/>
          <w:lang w:val="ru-RU"/>
        </w:rPr>
        <w:softHyphen/>
        <w:t>го борта была на 100 мм выше, чем левого. При стрельбе на угол 45</w:t>
      </w:r>
      <w:r w:rsidRPr="00070ADE">
        <w:rPr>
          <w:rStyle w:val="BodytextConstantia"/>
          <w:rFonts w:ascii="Times New Roman" w:hAnsi="Times New Roman" w:cs="Times New Roman"/>
          <w:b w:val="0"/>
          <w:color w:val="000000" w:themeColor="text1"/>
          <w:sz w:val="16"/>
          <w:szCs w:val="16"/>
          <w:lang w:val="ru-RU"/>
        </w:rPr>
        <w:t>гра</w:t>
      </w:r>
      <w:r w:rsidRPr="00070ADE">
        <w:rPr>
          <w:color w:val="000000" w:themeColor="text1"/>
          <w:lang w:val="ru-RU"/>
        </w:rPr>
        <w:t>дусов отход самохода достигал 750—1000 мм, а накат 330 мм, носоваячасть поднималась на 100—180 мм, а кормовая приседала на 120—140 мм. Стрельба на угле 57 градусов выявила отход 400—750 мм, накат 300 мм, подъем носовой части на 60—150 мм, а оседание кормовой части на 50— 100 мм. Таким образом, устойчивость С-51 признали неудовлетвори</w:t>
      </w:r>
      <w:r w:rsidRPr="00070ADE">
        <w:rPr>
          <w:color w:val="000000" w:themeColor="text1"/>
          <w:lang w:val="ru-RU"/>
        </w:rPr>
        <w:softHyphen/>
        <w:t>тельной, кроме того, отмечалась высокая сбиваемость прицела.</w:t>
      </w:r>
    </w:p>
    <w:p w14:paraId="0106707F" w14:textId="77777777" w:rsidR="00282955" w:rsidRPr="00070ADE" w:rsidRDefault="00282955" w:rsidP="00B56F90">
      <w:pPr>
        <w:pStyle w:val="a3"/>
        <w:rPr>
          <w:color w:val="000000" w:themeColor="text1"/>
          <w:lang w:val="ru-RU"/>
        </w:rPr>
      </w:pPr>
      <w:r w:rsidRPr="00070ADE">
        <w:rPr>
          <w:color w:val="000000" w:themeColor="text1"/>
          <w:lang w:val="ru-RU"/>
        </w:rPr>
        <w:t>Стрельба на прочность (100 выстрелов усиленным зарядом) про</w:t>
      </w:r>
      <w:r w:rsidRPr="00070ADE">
        <w:rPr>
          <w:color w:val="000000" w:themeColor="text1"/>
          <w:lang w:val="ru-RU"/>
        </w:rPr>
        <w:softHyphen/>
        <w:t>блем не выявила, повреждений осмотром не обнаружилось. Испыта</w:t>
      </w:r>
      <w:r w:rsidRPr="00070ADE">
        <w:rPr>
          <w:color w:val="000000" w:themeColor="text1"/>
          <w:lang w:val="ru-RU"/>
        </w:rPr>
        <w:softHyphen/>
        <w:t>ния на скорострельность, в которых принимало участие 7 человек рас</w:t>
      </w:r>
      <w:r w:rsidRPr="00070ADE">
        <w:rPr>
          <w:color w:val="000000" w:themeColor="text1"/>
          <w:lang w:val="ru-RU"/>
        </w:rPr>
        <w:softHyphen/>
        <w:t>чета, выявила среднюю цифру, равную 1 выстрелу в 1,5 минуты.</w:t>
      </w:r>
    </w:p>
    <w:p w14:paraId="6F16713B" w14:textId="77777777" w:rsidR="00282955" w:rsidRPr="00070ADE" w:rsidRDefault="00282955" w:rsidP="00B56F90">
      <w:pPr>
        <w:pStyle w:val="a3"/>
        <w:rPr>
          <w:color w:val="000000" w:themeColor="text1"/>
          <w:lang w:val="ru-RU"/>
        </w:rPr>
      </w:pPr>
      <w:r w:rsidRPr="00070ADE">
        <w:rPr>
          <w:color w:val="000000" w:themeColor="text1"/>
          <w:lang w:val="ru-RU"/>
        </w:rPr>
        <w:t>Испытания пробегом проводились с 25 марта по 4 апреля. Само</w:t>
      </w:r>
      <w:r w:rsidRPr="00070ADE">
        <w:rPr>
          <w:color w:val="000000" w:themeColor="text1"/>
          <w:lang w:val="ru-RU"/>
        </w:rPr>
        <w:softHyphen/>
        <w:t>ходную установку проверяли в различных дорожных условиях, глуби</w:t>
      </w:r>
      <w:r w:rsidRPr="00070ADE">
        <w:rPr>
          <w:color w:val="000000" w:themeColor="text1"/>
          <w:lang w:val="ru-RU"/>
        </w:rPr>
        <w:softHyphen/>
        <w:t>на снежного покрова при этом достигала 200 мм. В общей сложности С-51 прошла 524 километра, из них 16 по булыжной мостовой и 40 по бездорожью. Основной объем ходовых испытаний пришелся на ас</w:t>
      </w:r>
      <w:r w:rsidRPr="00070ADE">
        <w:rPr>
          <w:color w:val="000000" w:themeColor="text1"/>
          <w:lang w:val="ru-RU"/>
        </w:rPr>
        <w:softHyphen/>
        <w:t>фальтированное шоссе, поскольку требовались поездки на завод № 112. В ходе ходовых испытаний на шоссе была достигнута максимальная скорость 32 км/ч, а по бездорожью 22 км/ч. Специальных испыта</w:t>
      </w:r>
      <w:r w:rsidRPr="00070ADE">
        <w:rPr>
          <w:color w:val="000000" w:themeColor="text1"/>
          <w:lang w:val="ru-RU"/>
        </w:rPr>
        <w:softHyphen/>
        <w:t>ний не проводилось, поскольку имелись различные поломки ходовой части. На 240-м километре вышли их строя правый бортовой фрикци</w:t>
      </w:r>
      <w:r w:rsidRPr="00070ADE">
        <w:rPr>
          <w:color w:val="000000" w:themeColor="text1"/>
          <w:lang w:val="ru-RU"/>
        </w:rPr>
        <w:softHyphen/>
        <w:t>он и тормозная лента, еще раз правый фрикцион дал о себе знать на 360-м километре. Несколько раз имели место проблемы с гусеничны</w:t>
      </w:r>
      <w:r w:rsidRPr="00070ADE">
        <w:rPr>
          <w:color w:val="000000" w:themeColor="text1"/>
          <w:lang w:val="ru-RU"/>
        </w:rPr>
        <w:softHyphen/>
        <w:t>ми лентами, срезало болты на крышках катков. Вместе с тем с двига</w:t>
      </w:r>
      <w:r w:rsidRPr="00070ADE">
        <w:rPr>
          <w:color w:val="000000" w:themeColor="text1"/>
          <w:lang w:val="ru-RU"/>
        </w:rPr>
        <w:softHyphen/>
        <w:t>телем и торсионами проблем не возникало, что лишний раз подтверж</w:t>
      </w:r>
      <w:r w:rsidRPr="00070ADE">
        <w:rPr>
          <w:color w:val="000000" w:themeColor="text1"/>
          <w:lang w:val="ru-RU"/>
        </w:rPr>
        <w:softHyphen/>
        <w:t>дало прочность ходовой части после программы огневых испытаний.</w:t>
      </w:r>
    </w:p>
    <w:p w14:paraId="4B02CE02" w14:textId="77777777" w:rsidR="00282955" w:rsidRPr="00070ADE" w:rsidRDefault="00282955" w:rsidP="00B56F90">
      <w:pPr>
        <w:pStyle w:val="a3"/>
        <w:rPr>
          <w:color w:val="000000" w:themeColor="text1"/>
          <w:lang w:val="ru-RU"/>
        </w:rPr>
      </w:pPr>
      <w:r w:rsidRPr="00070ADE">
        <w:rPr>
          <w:color w:val="000000" w:themeColor="text1"/>
          <w:lang w:val="ru-RU"/>
        </w:rPr>
        <w:t>Завершились испытания 6 апреля, а 9-го числа комиссия АНИОП дала заключение по их результатам:</w:t>
      </w:r>
    </w:p>
    <w:p w14:paraId="45A6058F"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«1. Самоходная гаубица «С-51» в основном испытания выдержала,</w:t>
      </w:r>
    </w:p>
    <w:p w14:paraId="0D3008D5"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так как:</w:t>
      </w:r>
    </w:p>
    <w:p w14:paraId="06CF8A9B" w14:textId="77777777" w:rsidR="00282955" w:rsidRPr="00070ADE" w:rsidRDefault="00282955" w:rsidP="00B56F90">
      <w:pPr>
        <w:pStyle w:val="Bodytext141"/>
        <w:shd w:val="clear" w:color="auto" w:fill="auto"/>
        <w:tabs>
          <w:tab w:val="left" w:pos="905"/>
        </w:tabs>
        <w:spacing w:line="240" w:lineRule="auto"/>
        <w:ind w:firstLine="0"/>
        <w:jc w:val="both"/>
        <w:rPr>
          <w:i w:val="0"/>
          <w:color w:val="000000" w:themeColor="text1"/>
          <w:sz w:val="16"/>
          <w:szCs w:val="16"/>
        </w:rPr>
      </w:pPr>
      <w:r w:rsidRPr="00070ADE">
        <w:rPr>
          <w:i w:val="0"/>
          <w:color w:val="000000" w:themeColor="text1"/>
          <w:sz w:val="16"/>
          <w:szCs w:val="16"/>
        </w:rPr>
        <w:t>а) работа и прочность агрегатов и механизмов орудия — удовлет</w:t>
      </w:r>
      <w:r w:rsidRPr="00070ADE">
        <w:rPr>
          <w:i w:val="0"/>
          <w:color w:val="000000" w:themeColor="text1"/>
          <w:sz w:val="16"/>
          <w:szCs w:val="16"/>
        </w:rPr>
        <w:softHyphen/>
        <w:t>ворительные.</w:t>
      </w:r>
    </w:p>
    <w:p w14:paraId="63050AC3" w14:textId="77777777" w:rsidR="00282955" w:rsidRPr="00070ADE" w:rsidRDefault="00282955" w:rsidP="00B56F90">
      <w:pPr>
        <w:pStyle w:val="Bodytext141"/>
        <w:shd w:val="clear" w:color="auto" w:fill="auto"/>
        <w:tabs>
          <w:tab w:val="left" w:pos="900"/>
        </w:tabs>
        <w:spacing w:line="240" w:lineRule="auto"/>
        <w:ind w:firstLine="0"/>
        <w:jc w:val="both"/>
        <w:rPr>
          <w:i w:val="0"/>
          <w:color w:val="000000" w:themeColor="text1"/>
          <w:sz w:val="16"/>
          <w:szCs w:val="16"/>
        </w:rPr>
      </w:pPr>
      <w:r w:rsidRPr="00070ADE">
        <w:rPr>
          <w:i w:val="0"/>
          <w:color w:val="000000" w:themeColor="text1"/>
          <w:sz w:val="16"/>
          <w:szCs w:val="16"/>
        </w:rPr>
        <w:t>б) прочность установочных частей орудия — достаточная.</w:t>
      </w:r>
    </w:p>
    <w:p w14:paraId="537ACC5B" w14:textId="77777777" w:rsidR="00282955" w:rsidRPr="00070ADE" w:rsidRDefault="00282955" w:rsidP="00B56F90">
      <w:pPr>
        <w:pStyle w:val="Bodytext141"/>
        <w:shd w:val="clear" w:color="auto" w:fill="auto"/>
        <w:tabs>
          <w:tab w:val="left" w:pos="866"/>
        </w:tabs>
        <w:spacing w:line="240" w:lineRule="auto"/>
        <w:ind w:firstLine="0"/>
        <w:jc w:val="both"/>
        <w:rPr>
          <w:i w:val="0"/>
          <w:color w:val="000000" w:themeColor="text1"/>
          <w:sz w:val="16"/>
          <w:szCs w:val="16"/>
        </w:rPr>
      </w:pPr>
      <w:r w:rsidRPr="00070ADE">
        <w:rPr>
          <w:i w:val="0"/>
          <w:color w:val="000000" w:themeColor="text1"/>
          <w:sz w:val="16"/>
          <w:szCs w:val="16"/>
        </w:rPr>
        <w:t>в) работа и прочность агрегатов и механизмов самохода — удовлет</w:t>
      </w:r>
      <w:r w:rsidRPr="00070ADE">
        <w:rPr>
          <w:i w:val="0"/>
          <w:color w:val="000000" w:themeColor="text1"/>
          <w:sz w:val="16"/>
          <w:szCs w:val="16"/>
        </w:rPr>
        <w:softHyphen/>
        <w:t>ворительная, за исключением трансмиссионной группы, которая во время испытаний имела ряд дефектов, вызванных общим пло</w:t>
      </w:r>
      <w:r w:rsidRPr="00070ADE">
        <w:rPr>
          <w:i w:val="0"/>
          <w:color w:val="000000" w:themeColor="text1"/>
          <w:sz w:val="16"/>
          <w:szCs w:val="16"/>
        </w:rPr>
        <w:softHyphen/>
        <w:t>хим техническим состоянием ее до испытаний и изношенностью деталей.</w:t>
      </w:r>
    </w:p>
    <w:p w14:paraId="28FEA004"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lastRenderedPageBreak/>
        <w:t>2. Существенными недостатками самоходной гаубицы «С-51» при</w:t>
      </w:r>
    </w:p>
    <w:p w14:paraId="4B4D94F1"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стрельбе являются:</w:t>
      </w:r>
    </w:p>
    <w:p w14:paraId="7A57B312" w14:textId="77777777" w:rsidR="00282955" w:rsidRPr="00070ADE" w:rsidRDefault="00282955" w:rsidP="00B56F90">
      <w:pPr>
        <w:pStyle w:val="Bodytext141"/>
        <w:shd w:val="clear" w:color="auto" w:fill="auto"/>
        <w:tabs>
          <w:tab w:val="left" w:pos="905"/>
        </w:tabs>
        <w:spacing w:line="240" w:lineRule="auto"/>
        <w:ind w:firstLine="0"/>
        <w:jc w:val="both"/>
        <w:rPr>
          <w:i w:val="0"/>
          <w:color w:val="000000" w:themeColor="text1"/>
          <w:sz w:val="16"/>
          <w:szCs w:val="16"/>
        </w:rPr>
      </w:pPr>
      <w:r w:rsidRPr="00070ADE">
        <w:rPr>
          <w:i w:val="0"/>
          <w:color w:val="000000" w:themeColor="text1"/>
          <w:sz w:val="16"/>
          <w:szCs w:val="16"/>
        </w:rPr>
        <w:t>а) большой отход назад и сбиваемость наводки, особенно при малых углах возвышения, вследствие неудовлетворительной устойчиво</w:t>
      </w:r>
      <w:r w:rsidRPr="00070ADE">
        <w:rPr>
          <w:i w:val="0"/>
          <w:color w:val="000000" w:themeColor="text1"/>
          <w:sz w:val="16"/>
          <w:szCs w:val="16"/>
        </w:rPr>
        <w:softHyphen/>
        <w:t>сти самохода при выстреле.</w:t>
      </w:r>
    </w:p>
    <w:p w14:paraId="117DAB5C" w14:textId="77777777" w:rsidR="00282955" w:rsidRPr="00070ADE" w:rsidRDefault="0028295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Большое боковое рассеивание снарядов вследствие бокового сме</w:t>
      </w:r>
      <w:r w:rsidRPr="00070ADE">
        <w:rPr>
          <w:rFonts w:ascii="Times New Roman" w:hAnsi="Times New Roman"/>
          <w:color w:val="000000" w:themeColor="text1"/>
          <w:sz w:val="16"/>
          <w:szCs w:val="16"/>
        </w:rPr>
        <w:softHyphen/>
        <w:t>щения орудия при выстреле.</w:t>
      </w:r>
    </w:p>
    <w:p w14:paraId="1D23989A"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Данные недостатки возможно устранить путем постановки сошни</w:t>
      </w:r>
      <w:r w:rsidRPr="00070ADE">
        <w:rPr>
          <w:i w:val="0"/>
          <w:color w:val="000000" w:themeColor="text1"/>
          <w:sz w:val="16"/>
          <w:szCs w:val="16"/>
        </w:rPr>
        <w:softHyphen/>
        <w:t>ков в задней части корпуса самохода, как это было применено на 203-мм самоходной установке «СУ-14» конструкции и изготовления Кировского завода, проходившей испытания на НИАПе в 1936 году.</w:t>
      </w:r>
    </w:p>
    <w:p w14:paraId="79A21DEA"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Учитывая, что гаубица в основном будет вести стрельбу при больших углах возвышения, при которых отход назад и сбиваемость наводки менее значительны, для устранения отхода самохода при сравнительно редких и эпизодических стрельбах под малыми углами возвышения можно реко</w:t>
      </w:r>
      <w:r w:rsidRPr="00070ADE">
        <w:rPr>
          <w:i w:val="0"/>
          <w:color w:val="000000" w:themeColor="text1"/>
          <w:sz w:val="16"/>
          <w:szCs w:val="16"/>
        </w:rPr>
        <w:softHyphen/>
        <w:t>мендовать подкладывать сзади под гусеницы деревянные брусья из подруч</w:t>
      </w:r>
      <w:r w:rsidRPr="00070ADE">
        <w:rPr>
          <w:i w:val="0"/>
          <w:color w:val="000000" w:themeColor="text1"/>
          <w:sz w:val="16"/>
          <w:szCs w:val="16"/>
        </w:rPr>
        <w:softHyphen/>
        <w:t>ного материала.</w:t>
      </w:r>
    </w:p>
    <w:p w14:paraId="5B628F45"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3. АНИОП считает, что 203 мм самоходная гаубица «С-51 по срав</w:t>
      </w:r>
      <w:r w:rsidRPr="00070ADE">
        <w:rPr>
          <w:i w:val="0"/>
          <w:color w:val="000000" w:themeColor="text1"/>
          <w:sz w:val="16"/>
          <w:szCs w:val="16"/>
        </w:rPr>
        <w:softHyphen/>
        <w:t>нению с 203-мм гаубицей «Б-4» обладает большей маневренностью движения и огня при сохранении своего огневого могущества и по устранении недостатков, выявленных при испытании и отмеченных в настоящем отчете, может быть рекомендована на вооружение Красной Армии» (17484).</w:t>
      </w:r>
    </w:p>
    <w:p w14:paraId="6F1F2E3E" w14:textId="77777777" w:rsidR="00282955" w:rsidRPr="00070ADE" w:rsidRDefault="00282955" w:rsidP="00B56F90">
      <w:pPr>
        <w:spacing w:after="0" w:line="240" w:lineRule="auto"/>
        <w:jc w:val="both"/>
        <w:rPr>
          <w:rFonts w:ascii="Times New Roman" w:hAnsi="Times New Roman"/>
          <w:color w:val="000000" w:themeColor="text1"/>
          <w:sz w:val="16"/>
          <w:szCs w:val="16"/>
        </w:rPr>
      </w:pPr>
    </w:p>
    <w:p w14:paraId="6DEC2EBD" w14:textId="77777777" w:rsidR="00E94E2C" w:rsidRPr="00C94B78" w:rsidRDefault="00E94E2C"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26 февраля 1944 г. гаубица 203-мм самоходная гаубица С-51 ЦАКБ, которая в ходе заводских испытаний сделала 42 выстрела и прошла 80 км обкатки, поступила на АНИОП для проведения полигонных испытаний. Испытательные стрельбы были начаты 16 марта 1944 г. В ходе полигонных испытаний было сделано 209 выстрелов и пройдено 244 км.</w:t>
      </w:r>
    </w:p>
    <w:p w14:paraId="18C9E9B2" w14:textId="77777777" w:rsidR="00E94E2C" w:rsidRPr="00C94B78" w:rsidRDefault="00E94E2C"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Стрельба велась бронебойным снарядом весом 100 кг. Были отмечены большой отход системы назад при выстреле, сбива-емость наводки, а также большое боковое рассеивание, обусловленное боковым смещением орудия при выстреле.</w:t>
      </w:r>
    </w:p>
    <w:p w14:paraId="15170DD6" w14:textId="77777777" w:rsidR="00E94E2C" w:rsidRPr="00C94B78" w:rsidRDefault="00E94E2C"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При малых углах возвышения из-за откатывания самохода «бойцы слетали с платформы установки и падали на грунт».</w:t>
      </w:r>
    </w:p>
    <w:p w14:paraId="307A78C0" w14:textId="77777777" w:rsidR="00E94E2C" w:rsidRPr="00C94B78" w:rsidRDefault="00E94E2C"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Во время пробега по шоссе со средней скоростью 32 км/ч запас хода оказался 200 км, а по грунтовой дороге со скоростью 23 км/ч запас хода составил 160 км. Максимальный преодолеваемый подъем — 22°.</w:t>
      </w:r>
    </w:p>
    <w:p w14:paraId="65772574" w14:textId="77777777" w:rsidR="00E94E2C" w:rsidRPr="00C94B78" w:rsidRDefault="00E94E2C"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Согласно заключению комиссии АНИОПа от 8 апреля 1944 г. система в основном испытания выдержала и может быть рекомендована к принятию на вооружение в РККА.</w:t>
      </w:r>
    </w:p>
    <w:p w14:paraId="26E4CCD3" w14:textId="77777777" w:rsidR="00E94E2C" w:rsidRPr="00C94B78" w:rsidRDefault="00E94E2C"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Тем не менее на вооружение система принята не была. По-видимому, это связано с нежеланием промышленности возобновлять производство Б-4, прекращенное в начале 1942 г.</w:t>
      </w:r>
    </w:p>
    <w:p w14:paraId="329293E5" w14:textId="77777777" w:rsidR="00E94E2C" w:rsidRPr="00C94B78" w:rsidRDefault="00E94E2C"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Таким же образом Грабин создал 152-мм самоходную пушку С-59, установив вращающуюся часть 152-мм пушки Бр-2 на шасси танка КВ-1с. Но ГАУ не приняло на вооружение ни С-51, ни С-59.</w:t>
      </w:r>
    </w:p>
    <w:p w14:paraId="3C40787B" w14:textId="77777777" w:rsidR="00E94E2C" w:rsidRPr="00C94B78" w:rsidRDefault="00E94E2C"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Неудовлетворительная маневренность лафета Б-4 заставила Артуправление наряду с попытками модернизировать этот лафет начать проектирование принципиально нового колесного лафета (25440).</w:t>
      </w:r>
    </w:p>
    <w:p w14:paraId="105ADAAE" w14:textId="77777777" w:rsidR="00E94E2C" w:rsidRPr="00C94B78" w:rsidRDefault="00E94E2C" w:rsidP="00B56F90">
      <w:pPr>
        <w:spacing w:after="0" w:line="240" w:lineRule="auto"/>
        <w:jc w:val="both"/>
        <w:rPr>
          <w:rFonts w:ascii="Times New Roman" w:hAnsi="Times New Roman"/>
          <w:color w:val="0070C0"/>
          <w:sz w:val="16"/>
          <w:szCs w:val="16"/>
        </w:rPr>
      </w:pPr>
    </w:p>
    <w:p w14:paraId="1A3DFB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года был подготовлен:</w:t>
      </w:r>
    </w:p>
    <w:p w14:paraId="56D71A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w:t>
      </w:r>
    </w:p>
    <w:p w14:paraId="15316B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Ленинград,</w:t>
      </w:r>
    </w:p>
    <w:p w14:paraId="23E710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исполнение приказа НКМВ за № 476 от 24 декабря 1943 года произвели сдачу-приемку материальных ценностей законсервированных предприятий:</w:t>
      </w:r>
    </w:p>
    <w:p w14:paraId="725EA3D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управление № 6</w:t>
      </w:r>
    </w:p>
    <w:p w14:paraId="33C19F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823</w:t>
      </w:r>
    </w:p>
    <w:p w14:paraId="2605EE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854 (Геологоразведка)</w:t>
      </w:r>
    </w:p>
    <w:p w14:paraId="4CAAD9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844 (Металлометр)</w:t>
      </w:r>
    </w:p>
    <w:p w14:paraId="515F40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управление № 3</w:t>
      </w:r>
    </w:p>
    <w:p w14:paraId="4E38880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754 (Леншвеймаш)</w:t>
      </w:r>
    </w:p>
    <w:p w14:paraId="69C7E9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752 (Лентрикмаш)</w:t>
      </w:r>
    </w:p>
    <w:p w14:paraId="3543CC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Главармалит</w:t>
      </w:r>
    </w:p>
    <w:p w14:paraId="0503302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824 (8660,72).</w:t>
      </w:r>
    </w:p>
    <w:p w14:paraId="665AF6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1B18DF" w14:textId="77777777" w:rsidR="00E94E2C" w:rsidRPr="00C94B78" w:rsidRDefault="00E94E2C"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26 февраля 1944 г. начальник 1-го отдела УК ВМФ инженер-капитан 2-го ранга Котов сообщил ЦКБ-17, что в первых числах марта для проработки ряда вопросов по системам связи и управления огнём авианосца в Казань будут командированы заместитель главного конструктора самолётов для авианосца 72 проекта и представители Наркомата ВМФ. Кроме того, Котов писал, что требования по приборам управления стрельбой прорабатываются в Артиллерийском управлении ВМФ и будут сообщены дополнительно (13 марта они прибыли из Артиллерийского научно-исследовательского морского института (АНИМИ) ВМФ) (25374).</w:t>
      </w:r>
    </w:p>
    <w:p w14:paraId="7895F68E" w14:textId="77777777" w:rsidR="00E94E2C" w:rsidRPr="00C94B78" w:rsidRDefault="00E94E2C" w:rsidP="00B56F90">
      <w:pPr>
        <w:spacing w:after="0" w:line="240" w:lineRule="auto"/>
        <w:jc w:val="both"/>
        <w:rPr>
          <w:rFonts w:ascii="Times New Roman" w:hAnsi="Times New Roman"/>
          <w:color w:val="0070C0"/>
          <w:sz w:val="16"/>
          <w:szCs w:val="16"/>
        </w:rPr>
      </w:pPr>
    </w:p>
    <w:p w14:paraId="4A9D2450"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986EC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308E9E"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26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19DC0ABC"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26 февраля на Псковском направлении наши войска, продолжая развивать наступление, овладели городом и крупной железнодорожной станцией Порхов, районным центром Ленинградской области и железнодорожной станцией Новоселье, а также с боями заняли более 100 других населённых пунктов, в том числе Колядуха, Ивановщина, Елевицы, Красная Малаховка, Ямкино, Гусли, Подоклинье, Поляны, Заханье, Тимоново.</w:t>
      </w:r>
    </w:p>
    <w:p w14:paraId="29947EC7"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Холм наши войска с боями продвигались вперёд и овладели районным центром Калининской области и крупной железнодорожной станцией Локня, а также с боями заняли более 150 других населённых пунктов и среди них крупные населённые пункты Чихачёво, Шилово, Большие Ляды, Утехино, Морозово, Прокопино, Сергеевская, Сметанино и железнодорожные станции Плотовец, Чихачёво, Ашево, Лозовицы, Сущево, Загоскино, Тигощи, Стримовичи. Нашими войсками полностью очищена от противника железная дорога Дно-Новосокольники.</w:t>
      </w:r>
    </w:p>
    <w:p w14:paraId="40D05FC6"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Новосокольники наши войска вели наступательные бои, в ходе которых заняли более 60 населённых пунктов, в том числе Василёво, Поддубье, Грыжево, Суворово, Сушино, Манукова, Уструги, Заходы и железнодорожныестанции Маево, Уструги.</w:t>
      </w:r>
    </w:p>
    <w:p w14:paraId="14F713B6"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поиски разведчиков.</w:t>
      </w:r>
    </w:p>
    <w:p w14:paraId="65BBEC5B"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25 февраля наши войска на всех фронтах подбили и уничтожили 36 немецких танков. В воздушных боях и огнём зенитной артиллерии сбито 39 самолётов противника.</w:t>
      </w:r>
    </w:p>
    <w:p w14:paraId="75674495"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Псковском направлении наши войска продолжали развивать наступление. Части Н-ского соединения в результате напряжённых боёв овладели городом и крупной железнодорожной станцией Порхов. Другое наше соединение заняло районный центр Ленинградской области и железнодорожную станцию Новоселье. Уничтожено свыше 1.500 немецких солдат и офицеров, сожжено и подбито 7 танков и самоходных орудий. Захвачены трофеи и пленные.</w:t>
      </w:r>
    </w:p>
    <w:p w14:paraId="15BF0D0E"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Холм наши войска с боями продвигались вперёд и освободили от немецко-фашистских захватчиков более 150 населённых пунктов. Советские части переправились через реку Шелонь и вышли к шоссе Порхов-Чихачёво. Противник особенно упорно оборонялся на железнодорожной станции Чихачёво. К исходу дня советские бойцы сломили сопротивление немцев и овладели станцией. Захвачено у противника 26 орудий, 15 складов с боеприпасами, 3 склада спродовольствием, 50 автомашин, крупный обоз с военными материалами и другие трофеи. Взяты пленные. Наши войска использовали захваченную немецкую артиллерию и трофейные боеприпасы. Советские артиллеристы из немецких орудий и немецкими снарядами обстреливают отступающие войска противника. На другом участке части Н-ского соединения в ночном бою сломили упорное сопротивление противника и овладели районным центром Калининской области и железнодорожной станцией Локня. В бою за Локню уничтожено свыше 700 немцев. Нашими бойцами захвачено 5 исправных танков, 12 орудий, 5 складов с боеприпасами и 2 склада с инженерным имуществом. Освобождено несколько тысяч советских граждан, которых немцы угоняли на каторгу в Германию.</w:t>
      </w:r>
    </w:p>
    <w:p w14:paraId="5D648E8D"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города Новосокольники наши войска, преодолев сильно укреплённую полосу обороны противника, стремительно продвинулись вперёд и заняли свыше 60 населённых пунктов. В бою за один пункт части Н-ского соединения разбили немецкий пехотный полк и уничтожили 6 артиллерийских и миномётных батарей. В другом районе советские бойцы проникли в тыл противника и ночью ворвались в село, занятое ротой немецкой пехоты. Нападение было проведено настолько внезапно, что никто из немцев не успел убежать. Большая часть гитлеровцев уничтожена, а остальные взяты в плен.</w:t>
      </w:r>
    </w:p>
    <w:p w14:paraId="75BDA776"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партизанских отрядов, действующих в Витебской области, в полуторамесячных непрерывных боях разгромили немецкие гарнизоны в 30 населённых пунктах. Уничтожено свыше тысячи гитлеровцев. За это же время советские патриоты пустили под откос 46 немецких воинских эшелонов. В течение только одной ночи партизаны взорвали около четырёх тысяч рельсов.</w:t>
      </w:r>
    </w:p>
    <w:p w14:paraId="07CE5DD2"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Взятый в плен в районе южнее Звенигорода унтер-офицер 108 гренадерского полка 14 немецкой танковой дивизии Франц Шульц рассказал: «Наша дивизия, вместе сдругими танковыми и пехотными соединениями, пыталась извне прорваться на помощь немецким войскам, окружённым в районе Корсунь-Шевченковский. Командование не считалось ни с какими потерями. Нас забрасывали приказами, полными угроз, торопили и подхлёстывали. Солдатам внушали, что, когда речь идёт </w:t>
      </w:r>
      <w:r w:rsidRPr="00070ADE">
        <w:rPr>
          <w:rFonts w:ascii="Times New Roman" w:hAnsi="Times New Roman"/>
          <w:color w:val="000000" w:themeColor="text1"/>
          <w:sz w:val="16"/>
          <w:szCs w:val="16"/>
        </w:rPr>
        <w:lastRenderedPageBreak/>
        <w:t>о престиже немецких вооружённых сил, никакие, даже самые тяжёлые, жертвы не являются чрезмерными. Во всех приказах говорилось, что надо спешить и любой ценой освободить окружённые дивизии, иначе будет поздно. Первые же дни показали, что эта попытка была обречена на провал. В ожесточённых боях 14 дивизия понесла исключительно тяжёлые потери. Наш полк был отрезан от своих соседей и окружён. Командир полка майор Брезе приказал нашему батальону во что бы то ни стало пробиться сквозь кольцо русских и расчистить путь остальным подразделениям. Получив приказ, батальон двинулся в соседнее село, которое, по данным разведки, никем не было занято. Близ села на нас неожиданно напали русские танки. Началась невообразимая паника. Я спрятался в сарае. Крестьяне меня задержали и передали красноармейцам. Здесь, в плену, я встретил многих солдат 108 полка».</w:t>
      </w:r>
    </w:p>
    <w:p w14:paraId="12F1EFD3"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публикуется акт о зверствах немецко-фашистских мерзавцев в деревне Ольховец, Калининской области: «В прошлом году в деревню Ольховец нагрянулн емецкий карательный отряд. Каратели пробыли в деревне три дня. Этих чёрных дней мы не забудем никогда. Немцы выгнали крестьян из домов на улицу и арестовали всех жителей, у кого в этот день кто-либо из членов семьи отсутствовал. Арестованных заперли в хлеву. Вскоре гитлеровцы пригнали группу арестованных женщин с детьми из деревни Овинище. Ночью немецкие изверги облили горючей смесью хлев, в котором находились арестованные, и подожгли его. В огне погибло 45 наших односельчан, в числе которых было много подростков и детей».</w:t>
      </w:r>
    </w:p>
    <w:p w14:paraId="668A1D69"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жители деревни Ольховец: П.Клементьева, А.Параева, Т.Клементьева и другие.» (15052).</w:t>
      </w:r>
    </w:p>
    <w:p w14:paraId="5B9721FB" w14:textId="77777777" w:rsidR="00C473F1" w:rsidRPr="00070ADE" w:rsidRDefault="00C473F1" w:rsidP="00B56F90">
      <w:pPr>
        <w:spacing w:after="0" w:line="240" w:lineRule="auto"/>
        <w:jc w:val="both"/>
        <w:rPr>
          <w:rFonts w:ascii="Times New Roman" w:hAnsi="Times New Roman"/>
          <w:color w:val="000000" w:themeColor="text1"/>
          <w:sz w:val="16"/>
          <w:szCs w:val="16"/>
        </w:rPr>
      </w:pPr>
    </w:p>
    <w:p w14:paraId="4FFF760C"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26 февраля</w:t>
      </w:r>
      <w:r w:rsidRPr="00070ADE">
        <w:rPr>
          <w:rFonts w:ascii="Times New Roman" w:hAnsi="Times New Roman"/>
          <w:color w:val="000000" w:themeColor="text1"/>
          <w:sz w:val="16"/>
          <w:szCs w:val="16"/>
        </w:rPr>
        <w:t xml:space="preserve"> в 1944 году авиация дальнего действия СССР совершла самый мощный и продолжительный за время войны </w:t>
      </w:r>
      <w:hyperlink r:id="rId60" w:tgtFrame="_blank" w:history="1">
        <w:r w:rsidRPr="00070ADE">
          <w:rPr>
            <w:rFonts w:ascii="Times New Roman" w:hAnsi="Times New Roman"/>
            <w:color w:val="000000" w:themeColor="text1"/>
            <w:sz w:val="16"/>
            <w:szCs w:val="16"/>
          </w:rPr>
          <w:t xml:space="preserve">налет на Хельсинки. </w:t>
        </w:r>
      </w:hyperlink>
      <w:r w:rsidRPr="00070ADE">
        <w:rPr>
          <w:rFonts w:ascii="Times New Roman" w:hAnsi="Times New Roman"/>
          <w:color w:val="000000" w:themeColor="text1"/>
          <w:sz w:val="16"/>
          <w:szCs w:val="16"/>
        </w:rPr>
        <w:t>В течение 10 часов 13 минут 880 бомбардировщиков, прорвавшихся к Хельсинки, сбросили 6452 бомб общим тоннажем 1066,8 тонн. Финские посты ВНОС получили заблаговременное предупреждение и к 18.15 обнаружили приближение 130 самолетов. Через полчаса на город упали первые бомбы. Впоследствии служба ВНОС условно разделила весь налет на три этапа. До 22.30 с востока подходили самолеты по 20-30 машин в группе, причем в каждой из них имелся экипаж-осветитель. С 22.30 до 2.30 одиночные самолеты изматывали ПВО. Затем последовали новые волны бомбардировщиков по 2-10 самолетов, в которых головные экипажи освещали цель. Атаки велись с пяти направлений. Целые кварталы оказались в огне, отмечалось более 40 взрывов. Было хорошо видно, как горели эшелоны и склады на железнодорожной станции, территории газового завода и электростанции окутались сплошным дымом… На этот раз блокировщики «A-20G» не только обстреливали зенитные точки противника, но и пытались препятствовать взлету ночных истребителей. В ночь на 27 февраля отличились экипажи блокировщиков подполковника Бурлуцкого, майора Курятника и капитана Кочнева. Учитывая большое количество самолетов, заходивших на цель разными курсами, перед стартом были предприняты дополнительные меры предосторожности. Командование потребовало строго выдерживать эшелоны и временные интервалы. Требовалось не допустить повторения трагического происшествия в ночь на 11 февраля, когда в плохих метеоусловиях над Кронштадтом одновременно кружились множество машин, и «Ли-2» Героя Советского Союза майора Я.И.Пляшечника из 1-го Гвардейского авиационного полка 5-го авиационного корпуса столкнулся с «Ли-2» лейтенанта Т.А.Кобзева из 102-го авиационного полка 7-го авиационного корпуса. Тогда погибли 12 членов экипажей. Благодаря четкой дисциплине, во время налета на Хельсинки подобных случаев удалось избежать. В ночь на 27 февраля авиация дальнего действия лишилось 9 бомбардировщиков, но все потери оказались боевыми – они не превысили одного процента от числа вылетевших машин авиации дальнего действия Особая роль при осуществлении третьего налета принадлежала авиаторам 7-го авиационного корпуса. Наиболее подготовленные из них стартовали в ночь трижды. В историческом формуляре корпуса имеется такая запись: "На двух аэродромах аэроузла Левашове-Озерки плотно разместились 90 боевых самолетов. Дерзко, но выгодно: 30 км от передовых частей ленинградской группировки противника на юго-западе, 12 км от переднего края немецко-финских войск на Карельском перешейке. До Хельсинки по прямой – 290 км. Это исключительно смелый пример базирования ночной бомбардировочной авиации в непосредственной близости от переднего края…" 35 авиаторов за налеты на Хельсинки были удостоены звания Героев Советского Союза, двое из них – летчики 5-го гвардейского авиационного полка майор П.А.Таран и В.Н.Сипов – получили Золотые Звезды во второй раз. Любопытно, что капитана Н.П.Краснова из 10-го гвардейского авиационного полка представляли к высокому званию еще осенью 1943 г., но из-за нарушений дисциплины его фамилия тогда не была внесена в список награжденных. И лишь после успешного выполнения четырех рейдов на Хельсинки, утром 27 февраля 1944 г. командир дивизии 3-й гвардейской авиационной дивизии полковник Бровко написал на аттестации летчика: "Достоин высокого звания". На счету Н.П.Краснова к тому времени имелись 275 боевых вылетов, в том числе 73 выполненных днем и 14 – на дальние цели (15052).</w:t>
      </w:r>
    </w:p>
    <w:p w14:paraId="1660785D" w14:textId="77777777" w:rsidR="00C473F1" w:rsidRPr="00070ADE" w:rsidRDefault="00C473F1" w:rsidP="00B56F90">
      <w:pPr>
        <w:spacing w:after="0" w:line="240" w:lineRule="auto"/>
        <w:jc w:val="both"/>
        <w:rPr>
          <w:rFonts w:ascii="Times New Roman" w:hAnsi="Times New Roman"/>
          <w:color w:val="000000" w:themeColor="text1"/>
          <w:sz w:val="16"/>
          <w:szCs w:val="16"/>
        </w:rPr>
      </w:pPr>
    </w:p>
    <w:p w14:paraId="0DF63EA3" w14:textId="77777777" w:rsidR="00A44782" w:rsidRPr="00070ADE" w:rsidRDefault="00A4478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26 на 27 февраля 1944 45-я АДДД снова летала бомбить Хельсинки. В период с 17 ч. 02 мин. по 18 ч. 06 мин. взлетело 18 самолетов. Один корабль из 890-го АПДД вернулся и сел на своем аэродроме, не выполнив задания из-за отказа мат части. Остальные 17 бомбили цель в период с 21 ч. мин. по 22 ч. 01 мин. На цель было сброшено: 2 ФАБ-2000тга, 18 ФАБ-2000,2 ФАБ-1000 тга, 8 ФАБ-500 тга, 10 ФАБ-500,4 ФАБ- 250тга, 8 ФАБ-250, 23 ЗАБ-ЮО цк, 34 САБ-100,4 ФОТАБ-100-60. Из состава 25-го гв. АПДД основную цель бомбили Пе-8 с заводскими номерами: 42076 (командир корабля Адамов), 42067 (командир корабля Обухов), 42028 (командир корабля Симонов), 42088 (командир корабля Сугак), 42059 (командир корабля Шатров), 42410 (командир корабля Ищенко), 421010 (командир корабля Угрюмов), 42311 (командир корабля Зеленский), 42611 (командир корабля Каминский). Из состава 890 АПДД бомбили основную цель Пе-8 с заводскими номе</w:t>
      </w:r>
      <w:r w:rsidRPr="00070ADE">
        <w:rPr>
          <w:rFonts w:ascii="Times New Roman" w:hAnsi="Times New Roman"/>
          <w:color w:val="000000" w:themeColor="text1"/>
          <w:sz w:val="16"/>
          <w:szCs w:val="16"/>
        </w:rPr>
        <w:softHyphen/>
        <w:t>рами: 4214 (командир корабля Сукоркин), 42078 (командир корабля Белков), 42098 (командир корабля Кокарев), 42089 (ко</w:t>
      </w:r>
      <w:r w:rsidRPr="00070ADE">
        <w:rPr>
          <w:rFonts w:ascii="Times New Roman" w:hAnsi="Times New Roman"/>
          <w:color w:val="000000" w:themeColor="text1"/>
          <w:sz w:val="16"/>
          <w:szCs w:val="16"/>
        </w:rPr>
        <w:softHyphen/>
        <w:t>мандир корабля Архаров), 42810 (коман</w:t>
      </w:r>
      <w:r w:rsidRPr="00070ADE">
        <w:rPr>
          <w:rFonts w:ascii="Times New Roman" w:hAnsi="Times New Roman"/>
          <w:color w:val="000000" w:themeColor="text1"/>
          <w:sz w:val="16"/>
          <w:szCs w:val="16"/>
        </w:rPr>
        <w:softHyphen/>
        <w:t>дир корабля Олейников), 42211 (командир корабля Самохин), 42411(командир кора</w:t>
      </w:r>
      <w:r w:rsidRPr="00070ADE">
        <w:rPr>
          <w:rFonts w:ascii="Times New Roman" w:hAnsi="Times New Roman"/>
          <w:color w:val="000000" w:themeColor="text1"/>
          <w:sz w:val="16"/>
          <w:szCs w:val="16"/>
        </w:rPr>
        <w:softHyphen/>
        <w:t>бля Романов), 42711 (командир корабля Марусиченко). Два корабля получили по</w:t>
      </w:r>
      <w:r w:rsidRPr="00070ADE">
        <w:rPr>
          <w:rFonts w:ascii="Times New Roman" w:hAnsi="Times New Roman"/>
          <w:color w:val="000000" w:themeColor="text1"/>
          <w:sz w:val="16"/>
          <w:szCs w:val="16"/>
        </w:rPr>
        <w:softHyphen/>
        <w:t>вреждения от огня зенитной артиллерии. Пе-8 421010 (командир корабля Угрюмое, штурман Легкоступ) не вернулся с бое</w:t>
      </w:r>
      <w:r w:rsidRPr="00070ADE">
        <w:rPr>
          <w:rFonts w:ascii="Times New Roman" w:hAnsi="Times New Roman"/>
          <w:color w:val="000000" w:themeColor="text1"/>
          <w:sz w:val="16"/>
          <w:szCs w:val="16"/>
        </w:rPr>
        <w:softHyphen/>
        <w:t>вого задания. В 22 ч. 00 мин. радист этого экипажа дал сигнал о бомбометании, после чего связь с экипажем прекрати</w:t>
      </w:r>
      <w:r w:rsidRPr="00070ADE">
        <w:rPr>
          <w:rFonts w:ascii="Times New Roman" w:hAnsi="Times New Roman"/>
          <w:color w:val="000000" w:themeColor="text1"/>
          <w:sz w:val="16"/>
          <w:szCs w:val="16"/>
        </w:rPr>
        <w:softHyphen/>
        <w:t>лась. Некоторые экипажи в это же время видели над целью горящий Пе-8, который упал в 10-15 километрах северо-западнее Хельсинки. Погибли все двенадцать чле</w:t>
      </w:r>
      <w:r w:rsidRPr="00070ADE">
        <w:rPr>
          <w:rFonts w:ascii="Times New Roman" w:hAnsi="Times New Roman"/>
          <w:color w:val="000000" w:themeColor="text1"/>
          <w:sz w:val="16"/>
          <w:szCs w:val="16"/>
        </w:rPr>
        <w:softHyphen/>
        <w:t>нов экипажа.</w:t>
      </w:r>
    </w:p>
    <w:p w14:paraId="3ACDA531" w14:textId="77777777" w:rsidR="00A44782" w:rsidRPr="00070ADE" w:rsidRDefault="00A4478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Командир корабля капитан Угрюмов и штурман майор Легкоступ, ранее, входя в состав разных экипажей, уже были сбиты под Орлом в ночь с 20 на 21 июля 1943-го года. Тогда они смогли спастись на парашютах, а в этот раз, к сожалению погибли.</w:t>
      </w:r>
    </w:p>
    <w:p w14:paraId="7E47288E" w14:textId="77777777" w:rsidR="00A44782" w:rsidRPr="00070ADE" w:rsidRDefault="00A4478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состав экипажа кроме командира корабля гвардии капитана Угрюмова А.С. входили: 2-й летчик гвардии стар</w:t>
      </w:r>
      <w:r w:rsidRPr="00070ADE">
        <w:rPr>
          <w:rFonts w:ascii="Times New Roman" w:hAnsi="Times New Roman"/>
          <w:color w:val="000000" w:themeColor="text1"/>
          <w:sz w:val="16"/>
          <w:szCs w:val="16"/>
        </w:rPr>
        <w:softHyphen/>
        <w:t>ший лейтенант Булатников В.В., штурман корабля гвардии старший лейтенант Гончаров С.И., штурман полка гвардии майор Легкоступ М.Е. (в этом полете он был в качестве проверяющего), стрелок бомбардир гвардии младший лейтенант Лежнев И.Ф., борттехник гвардии стар</w:t>
      </w:r>
      <w:r w:rsidRPr="00070ADE">
        <w:rPr>
          <w:rFonts w:ascii="Times New Roman" w:hAnsi="Times New Roman"/>
          <w:color w:val="000000" w:themeColor="text1"/>
          <w:sz w:val="16"/>
          <w:szCs w:val="16"/>
        </w:rPr>
        <w:softHyphen/>
        <w:t>ший техник-лейтенант Солдатов Я.Я., помощник борттехника гвардии старший техник-лейтенант Прохоров И.С., воздуш</w:t>
      </w:r>
      <w:r w:rsidRPr="00070ADE">
        <w:rPr>
          <w:rFonts w:ascii="Times New Roman" w:hAnsi="Times New Roman"/>
          <w:color w:val="000000" w:themeColor="text1"/>
          <w:sz w:val="16"/>
          <w:szCs w:val="16"/>
        </w:rPr>
        <w:softHyphen/>
        <w:t>ный стрелок-радист гвардии старший лейтенант Павлов М,И., стрелок гвардии старший сержант Спретнюк А.В., стрелок гвардии старшина Петров М.Г., стрелок гвардии старший сержант Смирнов А.А., стрелок гвардии сержант Смирнов В.И.</w:t>
      </w:r>
    </w:p>
    <w:p w14:paraId="0AEBD509" w14:textId="77777777" w:rsidR="00A44782" w:rsidRPr="00070ADE" w:rsidRDefault="00A4478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возвращении домой, на корабле №42089 (командир корабля Архаров, штурман Корогородов) заклинил один мотор, в результате была произведена посадка на аэродроме Выползово. Остальные пятнадцать самолетов произ</w:t>
      </w:r>
      <w:r w:rsidRPr="00070ADE">
        <w:rPr>
          <w:rFonts w:ascii="Times New Roman" w:hAnsi="Times New Roman"/>
          <w:color w:val="000000" w:themeColor="text1"/>
          <w:sz w:val="16"/>
          <w:szCs w:val="16"/>
        </w:rPr>
        <w:softHyphen/>
        <w:t>вели посадку на своем аэродроме (19559).</w:t>
      </w:r>
    </w:p>
    <w:p w14:paraId="14588114" w14:textId="77777777" w:rsidR="00A44782" w:rsidRPr="00070ADE" w:rsidRDefault="00A44782" w:rsidP="00B56F90">
      <w:pPr>
        <w:spacing w:after="0" w:line="240" w:lineRule="auto"/>
        <w:jc w:val="both"/>
        <w:rPr>
          <w:rFonts w:ascii="Times New Roman" w:hAnsi="Times New Roman"/>
          <w:color w:val="000000" w:themeColor="text1"/>
          <w:sz w:val="16"/>
          <w:szCs w:val="16"/>
        </w:rPr>
      </w:pPr>
    </w:p>
    <w:p w14:paraId="225CA8B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около 600 советских самолетов совершили самый мощный за время войны налет на Хельсинки (4962).</w:t>
      </w:r>
    </w:p>
    <w:p w14:paraId="57C072A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FA6CA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26 на 27 февраля для атаки на Хельсинки в 45-й авиадивизии собрали 18 боевых кораблей. Пе-8 №421010 экипажа Угрюмова был сбит зенитным огнем в 10-12 км от центра города, самолет загорелся и упал в Финский залив точно на юг от Хельсинки (12025).</w:t>
      </w:r>
    </w:p>
    <w:p w14:paraId="7E26CDD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1B340B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44C597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5B653B"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26 февраля</w:t>
      </w:r>
      <w:r w:rsidRPr="00070ADE">
        <w:rPr>
          <w:rFonts w:ascii="Times New Roman" w:hAnsi="Times New Roman"/>
          <w:color w:val="000000" w:themeColor="text1"/>
          <w:sz w:val="16"/>
          <w:szCs w:val="16"/>
        </w:rPr>
        <w:t xml:space="preserve"> в 1944 году НКВД СССР за подписью Л.П.Берия издал приказ № 00186с/с «О мероприятиях по выселению из Кабардино–Балкарской АССР балкарского населения». Для подготовки и проведения операции по депортации балкарцев предлагалось осуществить следующие мероприятия:</w:t>
      </w:r>
    </w:p>
    <w:p w14:paraId="2C478963"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Организовать пять оперативных секторов:.</w:t>
      </w:r>
    </w:p>
    <w:p w14:paraId="4F6E65AB"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Первый - Эльбрусский, в составе Эльбрусского района, место дислокации село Нижний Баксан. Начальник оперативного сектора генерал-майор Петров, его заместители: по оперативной работе майор ГБ Афанасенко, по войскам - полковник Дроженко.</w:t>
      </w:r>
    </w:p>
    <w:p w14:paraId="593F2EA1"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Второй оперативный сектор - Чегемский, в составе Чегемского района, место дислокации село Нижний Чегем. Начальник сектора генерал-майор Прошин, его заместители; по оперативной работе подполковник ГБ Парцхаладзе, по военной - полковник Шевцов.</w:t>
      </w:r>
    </w:p>
    <w:p w14:paraId="67ECCAB3"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Третий оперативный сектор - Хуламо-Безенгиевский в составе Хуламо-Безенгиевского района, место дислокации село Кашкатау. Начальник сектора подполковник ГБ Шестаков, его заместители: по оперативной работе подполковник Краснов, по войскам - подполковник Каменев; Четвертый оперативный сектор - Черекский в составе Черекского района, место дислокации село Куспарты. Начальник сектора комиссар ГБ Клепов, его заместители: по оперативной работе подполковник ГБ Хапов, по войскам - полковник Алексеев.</w:t>
      </w:r>
    </w:p>
    <w:p w14:paraId="02292AAB"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Пятый оперативный сектор - Нальчикский, в составе города Нальчика, село Ташлы-Тала Лескенского района, сёла Хабаз и Кичмалка Нагорного района. Место дислокации город Нальчик. Начальник сектора подполковник ГБ Золотов, его заместители: по оперативной работе полковник милиции Егоров, по войскам - полковник Харьков.</w:t>
      </w:r>
    </w:p>
    <w:p w14:paraId="00569C58"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Ответственность за подготовку и проведение операции возложить на генерал-майора Пияшева. Его заместителями назначить наркома внутренних дел Кабардино-Балкарской АССР полковник ГБ Бзиаву, наркома госбезопасности КБАССР полковник ГБ Филатова, генерал-майора Сладкевич.</w:t>
      </w:r>
    </w:p>
    <w:p w14:paraId="15B8949F"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Выделить для проведения операции следующие соединения и части войск НКВД:</w:t>
      </w:r>
    </w:p>
    <w:p w14:paraId="652A4828"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Московская стрелковая дивизия без 10-го полка; 23-я стрелковая бригада, 263-й, 266-й, 136-й,170-й стрелковые полки, 3-й мотострелковый полк, Московская военно-техническое училище, Саратовское военное училище, Орджоникидзевское пограничное училище, Школа усовершенствования политсостава, Отдельный батальон промышленных войск. Общая численность - 17.000 человек.</w:t>
      </w:r>
    </w:p>
    <w:p w14:paraId="221F2384"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для обеспечения необходимых оперативных мероприятий выделялось 4.000 оперативных работников НКВД -НКГБ. Для конвоирования выселенных выделялся 244-й полк конвойных войск НКВД. Срок сосредоточения полка в городе Нальчике - 1 марта 1944 года; войск и оперативного состава по участкам - 5 марта 1944 года.</w:t>
      </w:r>
    </w:p>
    <w:p w14:paraId="1FA23188"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оперативных секторов перед операцией по переселению предлагалось на основании оперативных материалов арестовать антисоветски настроенных лиц после оцепления населенных пунктов.</w:t>
      </w:r>
    </w:p>
    <w:p w14:paraId="2C52F930"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Координация всей работы по переселению, перевозкам, конвоирования и охраны выселяемых, а также снабжение войск и обеспечение связи руководства операцией с оперсекторами возлагалось на группу в составе: начальника 3-го управления НКГБ СССР комиссара ГБ 3-го ранга Мильштейна, начальника автобронетанковой службы 1-ой московской стрелковой дивизии майора Ильинского, начальника управления конвойных войск НКВД СССР генерал-майора Бочкова, начальника связи 1-ой Московской стрелковой дивизии Федюнькина, заместителя начальника отдела управления военного снабжения НКВД СССР подполковника Бродского.</w:t>
      </w:r>
    </w:p>
    <w:p w14:paraId="062E648F" w14:textId="77777777" w:rsidR="00C473F1" w:rsidRPr="00070ADE" w:rsidRDefault="00C473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Днем начала операции приказом устанавливался 10 марта 1944 года, однако затем днем икс стал 8 марта (15052).</w:t>
      </w:r>
    </w:p>
    <w:p w14:paraId="3CD46551" w14:textId="77777777" w:rsidR="00C473F1" w:rsidRPr="00070ADE" w:rsidRDefault="00C473F1" w:rsidP="00B56F90">
      <w:pPr>
        <w:spacing w:after="0" w:line="240" w:lineRule="auto"/>
        <w:jc w:val="both"/>
        <w:rPr>
          <w:rFonts w:ascii="Times New Roman" w:hAnsi="Times New Roman"/>
          <w:color w:val="000000" w:themeColor="text1"/>
          <w:sz w:val="16"/>
          <w:szCs w:val="16"/>
        </w:rPr>
      </w:pPr>
    </w:p>
    <w:p w14:paraId="3B3FA4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приказом № 85 на базе Управления строительства гидротехнических узлов на реке Волге (Волгострой) НКВД и Рыбинского ИТЛ воссоздавался Волжский ИТЛ (Волголаг), начальником которого был назначен - с должности главного инженера Широкстроя НКВД - генерал-майор инженерно-технической службы В. Д. Журин (в 1937-м он уже был главным инженером Волгостроя НКВД, а в 1940-1942 годах - начальником Волгостроя-Волголага) (7560).</w:t>
      </w:r>
    </w:p>
    <w:p w14:paraId="138649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D05323"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501227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7C860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года</w:t>
      </w:r>
    </w:p>
    <w:p w14:paraId="3B2EAEA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СЕКРЕТНО И ЛИЧНО ОТ ПРЕМЬЕРА И. В. СТАЛИНА ПРЕМЬЕР-МИНИСТРУ г-ну У. ЧЕРЧИЛЛЮ И ПРЕЗИДЕНТУ г-ну Ф. РУЗВЕЛЬТУ</w:t>
      </w:r>
    </w:p>
    <w:p w14:paraId="08F037E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Ваших послания, в том числе от 7 февраля об итальянских судах, получил 24 февраля. Я ознакомился также г письмом по этому вопросу г-на Керра на имя В. М. Молотова</w:t>
      </w:r>
      <w:r w:rsidRPr="00070ADE">
        <w:rPr>
          <w:rFonts w:ascii="Times New Roman" w:hAnsi="Times New Roman"/>
          <w:color w:val="000000" w:themeColor="text1"/>
          <w:sz w:val="16"/>
          <w:szCs w:val="16"/>
          <w:vertAlign w:val="superscript"/>
        </w:rPr>
        <w:t>70</w:t>
      </w:r>
      <w:r w:rsidRPr="00070ADE">
        <w:rPr>
          <w:rFonts w:ascii="Times New Roman" w:hAnsi="Times New Roman"/>
          <w:color w:val="000000" w:themeColor="text1"/>
          <w:sz w:val="16"/>
          <w:szCs w:val="16"/>
        </w:rPr>
        <w:t>.</w:t>
      </w:r>
    </w:p>
    <w:p w14:paraId="029C97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Благодарю Вас и г-на Президента за сообщение о Вашем решении осуществить передачу во временное пользование Советскому Союзу Великобританией 8 эсминцев и 4 подводных лодок, а также линейного корабля и 20 тыс. тонн торговых судов и Соединенными Штатами крейсера и 20 тыс. тонн торговых судов. Поскольку г-н Керр специально предупредил, что все эсминцы являются старыми, у меня имеется некоторое опасение относительно боевых качеств этих эсминцев. Между тем мне кажется, что для английского и американского флотов не может представлять затруднений выделить в числе восьми эсминцев хотя бы половину эсминцев современных, а не старых. Я все же надеюсь, что Вы и Президент найдете возможным, чтобы в числе передаваемых эсминцев было по крайней мере четыре современных. В результате военных действий со стороны Германии и Италии у нас погибла значительная часть наших эсминцев. Поэтому для нас имеет большое значение хотя бы частичное восполнение этих потерь (7430).</w:t>
      </w:r>
    </w:p>
    <w:p w14:paraId="4C6AA8A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D62B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года</w:t>
      </w:r>
    </w:p>
    <w:p w14:paraId="5D451EE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СЕКРЕТНО И ЛИЧНО ОТ ПРЕМЬЕРА И. В. СТАЛИНА ПРЕЗИДЕНТУ г-ну Ф. РУЗВЕЛЬТУ И ПРЕМЬЕР-МИНИСТРУ г-ну У. ЧЕРЧИЛЛЮ</w:t>
      </w:r>
    </w:p>
    <w:p w14:paraId="3FBF14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Ваших послания об итальянских судах получил 24 и 25 февраля через г-на Гарримана. Получил также Ваше совместное с г-ном Премьер-Министром послание от 7 февраля</w:t>
      </w:r>
      <w:r w:rsidRPr="00070ADE">
        <w:rPr>
          <w:rFonts w:ascii="Times New Roman" w:hAnsi="Times New Roman"/>
          <w:color w:val="000000" w:themeColor="text1"/>
          <w:sz w:val="16"/>
          <w:szCs w:val="16"/>
          <w:vertAlign w:val="superscript"/>
        </w:rPr>
        <w:t>60</w:t>
      </w:r>
      <w:r w:rsidRPr="00070ADE">
        <w:rPr>
          <w:rFonts w:ascii="Times New Roman" w:hAnsi="Times New Roman"/>
          <w:color w:val="000000" w:themeColor="text1"/>
          <w:sz w:val="16"/>
          <w:szCs w:val="16"/>
        </w:rPr>
        <w:t>, переданное мне через Британского Посла г-на Керра 24 февраля.</w:t>
      </w:r>
    </w:p>
    <w:p w14:paraId="207BAB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Благодарю Вас и г-на Премьер-Министра за сообщение о Вашем решении осуществить передачу во временное пользование Советскому Союзу Великобританией 8 эсминцев и 4 подводных лодок, а также линейного корабля и 20 тыс. тонн торговых судов и Соединенными Штатами крейсера и 20 тыс. тонн торговых судов. Поскольку г-н Керр специально предупредил, что все эсминцы являются старыми, у меня имеется некоторое опасение относительно боевых качеств этих эсминцев. Между тем мне кажется, что для английского и американского флотов не может представлять затруднений выделить в числе восьми эсминцев хотя бы половину эсминцев современных, а не старых. Я все же надеюсь, что Вы и Премьер-Министр найдете возможным, чтобы в числе передаваемых эсминцев было по крайней мере четыре современных. В результате военных действий со стороны Германии и Италии у нас погибла значительная часть наших эсминцев. Поэтому для нас имеет большое значение хотя бы частичное восполнение этих потерь (7430).</w:t>
      </w:r>
    </w:p>
    <w:p w14:paraId="437E075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EC99AD"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13D072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C4194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февраля 1944 был последний немецкий налет на Лондон (3907,248).</w:t>
      </w:r>
    </w:p>
    <w:p w14:paraId="040B38D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8FC3AE" w14:textId="77777777" w:rsidR="00F35A80" w:rsidRPr="00070ADE" w:rsidRDefault="00F35A8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26 февраля</w:t>
      </w:r>
      <w:r w:rsidRPr="00070ADE">
        <w:rPr>
          <w:rFonts w:ascii="Times New Roman" w:hAnsi="Times New Roman"/>
          <w:color w:val="000000" w:themeColor="text1"/>
          <w:sz w:val="16"/>
          <w:szCs w:val="16"/>
        </w:rPr>
        <w:t xml:space="preserve"> в 1944 году массированный авианалет британских ВВС на Аугсбург. Разрушен исторический центр города (15052).</w:t>
      </w:r>
    </w:p>
    <w:p w14:paraId="4F52B98F" w14:textId="77777777" w:rsidR="00F35A80" w:rsidRPr="00070ADE" w:rsidRDefault="00F35A80" w:rsidP="00B56F90">
      <w:pPr>
        <w:spacing w:after="0" w:line="240" w:lineRule="auto"/>
        <w:jc w:val="both"/>
        <w:rPr>
          <w:rFonts w:ascii="Times New Roman" w:hAnsi="Times New Roman"/>
          <w:color w:val="000000" w:themeColor="text1"/>
          <w:sz w:val="16"/>
          <w:szCs w:val="16"/>
        </w:rPr>
      </w:pPr>
    </w:p>
    <w:p w14:paraId="33A58A80"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0BF2B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F05B77" w14:textId="50A9A375"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февраля 1944 на следующий день после получения самолета Ил-АМ-42 со «старым» проверенным винтом АВ-5 л-18Б испытательная бригада НИИ ВВС провела тщательный осмотр самолета и его взвешивание, а 28 февраля 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Долгов выполнил ознакомительный полет продолжительностью 20 минут. В полете потек левый маслобак. Вдобавок на посадке отказали тормоза левого шасси, но благодаря мастерству летчика обошлось без поломки. Замена маслобака, тормозов и левого колеса шасси продолжалась до 5.00 следующего дня, поскольку именно 29 февраля официально начинались государственные испытания самолета.</w:t>
      </w:r>
    </w:p>
    <w:p w14:paraId="4FF1D0A7"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Первый испытательный полет, в котором планировалось определить расход горючего на различных режимах, длился 55 минут и был прекращен вследствие самопроизвольного возрастания давления наддува. На посадке вновь отказали тормоза левого шасси. Работа по замене тормозов, свечей и регулировке карбюраторов затянулась до 2 часов ночи, но утром 1 марта и днем погода была совершенно нелетной. Решили провести весь комплекс наземных испытаний бомбардировочного вооружения.</w:t>
      </w:r>
    </w:p>
    <w:p w14:paraId="0ADE6A37" w14:textId="285709B6"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следующий день погода опять была нелетная. Самолет загнали в институтский тир, где произвели отстрел оборонительной установки ВУ-8. Здесь испытателей ждала «неприятность»: прострелили киль, стабилизатор, рули направления и высоты. Однако погода и аэродромные службы сделали бригаде подарок</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 течение следующих трех дней при неважной погоде аэродром был «не готов к взлету: рыхлый снег, вода».</w:t>
      </w:r>
    </w:p>
    <w:p w14:paraId="119D87C4"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Было решено одновременно с устранением пулевых повреждений провести на самолете небольшие доработки, улучшающие эксплуатационные и пилотажные качества машины. Заново отрегулировали карбюраторы, поставили новые троса управления «из-за большой заершенности старых», уменьшили щели между нижней частью крыла и элеронами (поставлена более широкая пластина), заменили покрышку костыльного колеса и лючки над бомболюком с левой внутренней стороны. Параллельно успели отработать химическое вооружение самолета.</w:t>
      </w:r>
    </w:p>
    <w:p w14:paraId="636E1E20"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марта утром удалось выполнить один часовой полет на замер скорости и скороподъемности по высотам, так как с 11.00 полеты были запрещены. На следующий день погода благоприятствовала проведению испытаний, но в первом же полете на определение расхода горючего лопнула трубка, подводящая воду к левому блоку цилиндров. Пришлось идти на посадку и устранять неисправность.</w:t>
      </w:r>
    </w:p>
    <w:p w14:paraId="1286AD1C"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марта с утра стояла нелетная погода, но к 16.00 развеялось и удалось выполнить один полет на полигон для бомбометания и стрельбы из пушек и пулеметов. Вечером вновь пришлось менять свечи.</w:t>
      </w:r>
    </w:p>
    <w:p w14:paraId="53ABCBD6" w14:textId="0E044E99"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Ввиду нелетной погоды в течение следующего дня самолет «затащили»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тир, где отстреляли все вооружение.</w:t>
      </w:r>
    </w:p>
    <w:p w14:paraId="00B7A138"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11–13 марта погода была ограниченно летной, но летать все же удавалось. Всего было выполнено 15 взлетов и посадок для определения взлетно-посадочных характеристик самолета, три полета на стрельбу и бомбометание по наземным целям и определение скороподъемности самолета по высотам.</w:t>
      </w:r>
    </w:p>
    <w:p w14:paraId="1FB097F8"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погода окончательно испортилась, но летать все равно было бы нельзя, так как у самолета обнаружилась течь бензина из трубки подвода к карбюраторам и поломка уплотнительного кольца вала редуктора. Выявились и другие неисправности.</w:t>
      </w:r>
    </w:p>
    <w:p w14:paraId="54C2C888" w14:textId="111E75F0"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Следующие четыре дня прошли в хлопотах по устранению дефектов самолета. Попутно установили новые элероны с увеличенной аэродинамической компенсацией (29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вместо 27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w:t>
      </w:r>
    </w:p>
    <w:p w14:paraId="4F93DAAA" w14:textId="3752770F"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неблагоприятные метеоусловия, 19 марта удалось выполнить 8 непродолжительных полетов, в том числе 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на определение взлетно-посадочных свойств и по одному полету на бомбометание, проверку действия в воздухе ВАП-250 и замер расхода горючего. Всего за день налетали 1</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 55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мин. В ходе последнего полета сгорели прокладки всасывающих патрубков.</w:t>
      </w:r>
    </w:p>
    <w:p w14:paraId="76389867"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Устранение вновь выявленных неисправностей затянулось до 22 марта, но в этот день погода опять оказалась нелетной. Только на следующий день удалось выполнить один часовой полет на замер расхода горючего. Затем последовал четырехдневный перерыв в полетах из-за плохой погоды. Наконец, 28 марта установилась </w:t>
      </w:r>
      <w:r w:rsidRPr="00070ADE">
        <w:rPr>
          <w:rFonts w:ascii="Times New Roman" w:hAnsi="Times New Roman"/>
          <w:color w:val="000000" w:themeColor="text1"/>
          <w:sz w:val="16"/>
          <w:szCs w:val="16"/>
        </w:rPr>
        <w:lastRenderedPageBreak/>
        <w:t>устойчивая летная погода, которая продержалась три дня. В эти дни бригада испытателей работала весьма активно и 30 марта в 18.00 рапортовала руководству института об успешном завершении государственных испытаний.</w:t>
      </w:r>
    </w:p>
    <w:p w14:paraId="743B8FCA" w14:textId="20E21F98"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испытания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продолжались в течение 31 календарного дня, из которых летных дней было всего 10, нелетных</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14. Еще 7 дней пришлось затратить на ремонт и доводку самолета. В общей сложности было выполнено 44 полета с налетом 19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 30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мин.</w:t>
      </w:r>
    </w:p>
    <w:p w14:paraId="2C0839A3" w14:textId="6FF3710B"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испытаний самолет облетали ведущий инженер-летчик 3-го отдела НИИ ВВС инженер-майор 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Синельников, летчик-испытатель 4-го отдела майор 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Субботин, старший летчик-испытатель 3-го отдела майор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Журавлев и летчик-испытатель подполковник 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Нюхтиков. В качестве штурманов облета участвовали капитан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Горбунов, заместитель начальника 4-го отдела полковник 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Шауров, помощник начальника 6-го отдела капитан Васильев, штурман-испытатель капитан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Ковынев, штурман-испытатель подполковник 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Цветков.</w:t>
      </w:r>
    </w:p>
    <w:p w14:paraId="5297E26D"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документов, самолет проходил испытания в двух вариантах: разведчика-корректировщика и штурмовика-бомбардировщика, которые отличались друг от друга фактически только бомбовой нагрузкой и заправкой самолета горючим и маслом. Состав фото- и радиооборудования самолета в ходе испытаний оставался неизменным и соответствовал «следопыту».</w:t>
      </w:r>
    </w:p>
    <w:p w14:paraId="27D662FD"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Стрелково-пушечное вооружение самолета в обоих вариантах назначения было одинаковым и включало две пушки ВЯ (300 патронов), два пулемета ШКАС (1500 патронов) и оборонительный пулемет УБК (3 диска по 50 патронов) на ВУ-8. Ракетное вооружение не предусматривалось.</w:t>
      </w:r>
    </w:p>
    <w:p w14:paraId="66A05342" w14:textId="1CD1F1E4"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 полетный вес штурмовика-бомбардировщика устанавливался в 7260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в перегрузку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7660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Полезная нагрузка при нормальном полетном весе составляла 1995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w:t>
      </w:r>
    </w:p>
    <w:p w14:paraId="2FA6F287" w14:textId="625A188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перегрузочном варианте допускалась подвеска до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в том числе на двух внешних узлах две бомбы типа ФАБ-500 или два выливных авиаприбора ВАП-250 или УХАП-250.</w:t>
      </w:r>
    </w:p>
    <w:p w14:paraId="32B2FFEF" w14:textId="785D61EE"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Нагрузка в варианте «следопыта» ограничивалась 1460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и отличалась от штурмового варианта отсутствием бомбовой нагрузки и увеличенным до 120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весом съемного оборудования.</w:t>
      </w:r>
    </w:p>
    <w:p w14:paraId="181133F7" w14:textId="3D20EAE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Поскольку состав съемного оборудования на самолете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соответствовал варианту разведчика-корректировщика, то при загрузке 600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и полной заправке горючим и маслом вес самолета на 65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превышал нормальный полетный вес, установленный для штурмовика-бомбардировщика. Поэтому при проведении испытательных полетов в варианте штурмовика вес горючего уменьшался ровно на 65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w:t>
      </w:r>
    </w:p>
    <w:p w14:paraId="670350C9" w14:textId="6943D439"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АМ-42 на протяжении всего времени испытаний работал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и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 Отмечался и большой расход горючего на номинальном режиме работы мотора, который при контрольном полете 19 марта составил 295–315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г/л.</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 ч.</w:t>
      </w:r>
    </w:p>
    <w:p w14:paraId="053F28DB"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испытаний пришлось заменить маслоуплотнитель носка вала редуктора мотора, регулятор давления наддува, прокладки под всасывающими патрубками (для чего был демонтирован карбюратор). Дважды заменили весь комплект свечей, по одному разу все свечи внешнего ряда, водяную трубку (подводящую охлаждающую воду к левому блоку цилиндров мотора от помпы) и бензотрубку (подводящую топливо к карбюраторам). Из-за течи по сварке трижды ремонтировались маслобаки. Одновременно были отремонтированы все карбюраторы и коллекторы нагнетателя.</w:t>
      </w:r>
    </w:p>
    <w:p w14:paraId="630F1A5F"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выполнении работ по устранению недостатков и дефектов «в полный рост» проявилась непродуманность конструкции винтомоторной группы с точки зрения удобства эксплуатации. Например, для того чтобы снять водяную трубку, необходимо было демонтировать блоки мотора, выхлопные патрубки и левый маслобак, а затем вернуть их на свои места. Замена трубопровода, подводящего горючее к карбюраторам, выливалась в полный демонтаж всасывающей трубы нагнетателя и карбюратора. Испытатели отмечали трудоемкую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большую длину (без технологических разъемов), что серьезно усложняло их замену и ремонт.</w:t>
      </w:r>
    </w:p>
    <w:p w14:paraId="55738CEC"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общем, проблем с мотором хватало с избытком, но бригаде НИИ ВВС все же удалось отлетать программу испытаний почти в полном объеме.</w:t>
      </w:r>
    </w:p>
    <w:p w14:paraId="4CF20E7A" w14:textId="20D09B18"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первую очередь определялись летно-технические данные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в варианте штурмовика-бомбардировщика и только затем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 варианте разведчика-корректировщика. Как показали полеты, основные данные нового самолета заметно превосходили Ил-2, хотя, по мнению военных, уже не отвечали в полном объеме современным требованиям.</w:t>
      </w:r>
    </w:p>
    <w:p w14:paraId="7D2248DD" w14:textId="5F3B207D"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нормальном полетном весе (600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на внутренней подвеске) максимальная скорость полета оказалась равной 472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на высоте 2500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и 428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у земли. Вертикальная скорость не превышала 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м/с на высоте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и 6,7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у земли. Разбег самолета с отклоненными на 17° щитками и с форсажем мотора составил 435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Пробег при посадочном весе 5900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с применением тормозов и отклонением щитков на 45° оказался в пределах 465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Посадочная скорость равнялась 136</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w:t>
      </w:r>
    </w:p>
    <w:p w14:paraId="275251BB" w14:textId="41CB9EFB"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Разведчик-корректировщик на всех высотах летал на 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быстрее штурмовика-бомбардировщика. Примерно на 22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была выше скороподъемность и на 11</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горизонтальная маневренность. Лучшими были и взлетно-посадочные характеристики. Из-за непостоянства наддува в полете при работе мотора, тряски и выработки ресурса мотора (к моменту начала полетов в варианте «следопыта» остаток ресурса составлял 4–5 часов) измерить скороподъемность выше границы высотности не удалось.</w:t>
      </w:r>
    </w:p>
    <w:p w14:paraId="1C1627C3" w14:textId="08873E01"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всех вариантах полетного веса центровка самолета (шасси выпущено) находилась в пределах от 19,9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САХ (пустой самолет) до 23,3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(перегрузочный вариант с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w:t>
      </w:r>
    </w:p>
    <w:p w14:paraId="1900197E" w14:textId="4F8071DE"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полета на высоте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и скорости 308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составила 820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на 155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 больше дальности полета Ил-2 АМ-38ф. При этом отмечалось, что дальность полета 2-го экземпляра Ил-АМ-42, на котором установлены бензобаки емкостью 1020 л, будет достигать 980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w:t>
      </w:r>
    </w:p>
    <w:p w14:paraId="33DEAC59" w14:textId="637A367C"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своим пилотажным свойствам Ил-АМ-42 оказался достаточно простым и легким в управлении. В сравнении с Ил-2 новый самолет обладал значительно лучшей продольной устойчивостью и управляемостью, что упростило технику пилотирования, особенно на виражах и бреющих полетах. Летчики-испытатели отмечали, что Ил-АМ-42 в отличие от Ил-2 «на вираже позволяет значительно выбирать ручку руля высоты на себя, для уменьшения радиуса виража». Пикировал самолет устойчиво. Просадка на выводе оказалась несколько больше, чем у серийного Ил-2. Сила отдачи при стрельбе из пушек почти не сказывалась на пилотировании самолетом и прицеливании. Маневренность Ил-АМ-42 в вертикальной и горизонтальной плоскостях оказалась почти такой же, как у серийной «двойки», даже несколько хуже, и считалась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летного состава для перехода с Ил-2 не требует»,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указывалось в отчете по испытаниям.</w:t>
      </w:r>
    </w:p>
    <w:p w14:paraId="0086A74E"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улучшения пилотажных качеств машины летчики предлагали на руль поворота установить триммер, а на элероны «наклепать ножи для регулировки от подваливания».</w:t>
      </w:r>
    </w:p>
    <w:p w14:paraId="48CD0E10" w14:textId="32FA1FD2"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Указывалось, что Ил-АМ-42 строился по нормам прочности 1941 года и относится к классу Б</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ограниченно маневренных самолетов. При полетном весе 7250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разрушающая перегрузка равнялась 7,5 единицы, эксплуатационная перегрузка («установленная главным конструктором самолета»)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4,96 единицы.</w:t>
      </w:r>
    </w:p>
    <w:p w14:paraId="7DA15486"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Помимо неудовлетворительной работы мотора АМ-42 отмечались и ряд других недостатков, отнесенных специалистами института к разряду основных.</w:t>
      </w:r>
    </w:p>
    <w:p w14:paraId="3134A6BF"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частности, для самолета боя представлялось обязательным наличие системы заполнения бензобаков нейтральным газом. На Ил-АМ-42, как указывалось выше, такая система имелась, но на государственные испытания официально она не предъявлялась, так как не была доведена до рабочего состояния.</w:t>
      </w:r>
    </w:p>
    <w:p w14:paraId="4BEDAFD9" w14:textId="6AC06658"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Схему бронирования Ил-АМ-42 специалисты НИИ ВВС оценили как не отвечающую современным требованиям. Соответствующее заключение начальник 8-го отдела института инженер-полковник Лагутин утвердил 24 марта. В ряду особо уязвимых мест значились задняя бронеперегородка штурмана-стрелка (толщина 12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и моторная часть снизу-сбоку (толщина 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рекомендовалось «снять с корпуса/…/передние броневые детали за втулкой винта, уменьшить с 5 до 2,5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толщину деталей пояса кабины летчика в местах примыкания крыла к фюзеляжу». Кроме этого, требовалось заднюю перегородку штурмана установить по образцу 2-го экземпляра Ил-АМ-42, то есть сделать экранированной две бронеплиты по 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и обеспечить защиту головы штурмана бронестеклом.</w:t>
      </w:r>
    </w:p>
    <w:p w14:paraId="787FF617" w14:textId="3AC3149B"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 же время отмечалось, что обе кабины</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летчика и штурмана-стрелка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 сравнении с Ил-2 имеют увеличенные размеры, что улучшает условия боевой работы экипажа. В кабине штурмана-стрелка вместо брезентовой ленты (как на Ил-2) устанавливалось постоянное откидное сиденье. Штурман облета капитан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Горбунов отмечал, что в кабине «тепло, задуваний нет, можно работать без летных очков». Посадка в кабину через нижний люк в бронекорпусе была признана удобной. В аварийной ситуации штурман легко покидал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6010BD86"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достоинству машины было отнесено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поскольку это сильно облегчало работу летчика в бою.</w:t>
      </w:r>
    </w:p>
    <w:p w14:paraId="7D43B08B"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Положительно оценили наличие дублирования в каналах управления рулем высоты, поворота, элеронами и триммерами.</w:t>
      </w:r>
    </w:p>
    <w:p w14:paraId="28D8AFCC" w14:textId="67FA7121"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в кабине пилота прицела ПБП-1б на легкосъемном кронштейне обеспечивала летчику дополнительную безопасность при посадке с убранным шасси. Как известно, на Ил-2 ранних серий летчики часто ударялись о прицел ПБП-1 головой во время вынужденных посадок, что нередко приводило к серьезным травмам, а в ряде случаев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и к смертельным исходам.</w:t>
      </w:r>
    </w:p>
    <w:p w14:paraId="1BDCDCC9" w14:textId="6F19B490"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Бомбовое вооружение штурмовика-бомбардировщика Ил-АМ-42 по номенклатуре бомб и весу в целом соответствовало требованиям войны. Бомбометание допускалось как с горизонтального полета, так и с пикирования, но под углами не более 25–30°, хотя на испытаниях самолет пикировал до 40° без каких-либо нареканий. Для бомбометания с горизонтального полета предназначался прицел ОПБ-1р. Сброс бомб мог осуществляться и штурманом, и летчиком. Однако </w:t>
      </w:r>
      <w:r w:rsidRPr="00070ADE">
        <w:rPr>
          <w:rFonts w:ascii="Times New Roman" w:hAnsi="Times New Roman"/>
          <w:color w:val="000000" w:themeColor="text1"/>
          <w:sz w:val="16"/>
          <w:szCs w:val="16"/>
        </w:rPr>
        <w:lastRenderedPageBreak/>
        <w:t>прицельно сбросить бомбы ни тот ни другой не могли.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штурман, «что требует соответствующей методической проработки».</w:t>
      </w:r>
    </w:p>
    <w:p w14:paraId="030EBCED" w14:textId="09702C62"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бомбовый прицел штурмана в полете нещадно забрызгивался маслом, которое выбивалось из-под уплотнительного кольца втулки винта и носка коленчатого вала мотора. По этим причинам в первом же полете на испытание бомбового вооружения 9 марта штурман капитан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Горбунов был вынужден сбросить все бомбы залпом, неприцельно, за один заход. Для предохранения прицела от попадания масла на заводе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240 был изготовлен специальный щиток. Установка щитка на самолет положение не улучшило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оптика забрызгивалась маслом. Прицельное бомбометание по-прежнему оставалось невозможным. В испытательном полете 19 марта со щитком из-за замасливания оптики Горбунов сбросил все бомбы аварийно. В то же время отмечалось, что работать с ОПБ-1р в боевом положении удобно, а сам прицел является наиболее подходящим для установки на Ил-АМ-42, если, конечно, «устранить забрызгивание оптики прицела маслом».</w:t>
      </w:r>
    </w:p>
    <w:p w14:paraId="67728286"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этим причинам для бомбометания с горизонтального полета рекомендовалось использовать прицельную систему, отработанную для Ил-2: разметку и визирные штыри на бронекапоте самолета, метки и прицельные линии на лобовом и боковых бронестеклах фонаря кабины.</w:t>
      </w:r>
    </w:p>
    <w:p w14:paraId="2F0631E3"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Бомбометание с пикирования по методике ничем не отличалось от таковой на Ил-2 и в целом показало хорошие результаты вследствие лучшей устойчивости самолета при пикировании.</w:t>
      </w:r>
    </w:p>
    <w:p w14:paraId="1BB4AED4"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Отметим, что маслом забрызгивалось и переднее бронестекло фонаря кабины пилота, что, естественно, ухудшало условия прицеливания.</w:t>
      </w:r>
    </w:p>
    <w:p w14:paraId="7DA3BAED"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отработки стрелково-пушечного вооружения было выполнено в общей сложности 19 полетов, из них «9 полетов со стрельбой по наземным целям и 10 полетов с ВУ-8».</w:t>
      </w:r>
    </w:p>
    <w:p w14:paraId="0D4713FB"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Если к пушкам ВЯ и пулеметам ШКАС при стрельбе в воздухе каких-либо серьезных претензий у военных испытателей не было, то работой оборонительной установки ВУ-8 с пулеметом УБК и ее возможностями они остались недовольны.</w:t>
      </w:r>
    </w:p>
    <w:p w14:paraId="7AD63DA6" w14:textId="016903F4"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недостатки ВУ-8 в явном виде проявились в воздушном бою с немецким истребителем Bf109G-2, который состоялся 30 апреля. За воздушного стрелка вылетал штурман-испытатель подполковник 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Цветков. Атаки выполнялись со всех возможных в реальном бою направлений. При этом на маршруте полета от Чкаловской до Ногинска «мессер» успевал выполнить до 8–9 атак, находясь всегда в задней полусфере и отворачивая всякий раз в сторону с набором высоты.</w:t>
      </w:r>
    </w:p>
    <w:p w14:paraId="080815B9" w14:textId="4B54BD66"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Оказалось, что за время одной атаки «мессершмитта» штурман успевал только развернуть установку в сторону истребителя и выставить пулемет в необходимое положение для стрельбы по нему, а на прицеливание оставалось «такое незначительное время, что точно навести прицел с требуемой поправкой на скорость цели не удалось ни разу». С одной стороны, это обуславливалось большими угловыми скоростями цели, а с другой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значительными усилиями для удерживания пулемета при прицеливании и стрельбе. Дело в том, что для выполнения грубой наводки на цель штурману приходилось одной рукой (правой) удерживать пулемет, а другой рукой (левой)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фиксировать стопор каретки установки и одновременно «доворачивать пулеметную установку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углового сектора точной наводки пулемета. Требовалось вновь перемещать саму установку и выполнять точную наводку пулеметом и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 То есть «одной рукой довести пулемет и прицелиться невозможно».</w:t>
      </w:r>
    </w:p>
    <w:p w14:paraId="39361CF8"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Положение усугублялось еще и тем обстоятельством, что при работе с пулеметом имело место «много мелких трудноуловимых препятствий, затруднявших маневр пулеметом и установкой».</w:t>
      </w:r>
    </w:p>
    <w:p w14:paraId="6C0229DC" w14:textId="580F32AD"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донесения Цветкова, производить прицеливание при стрельбе вверх было крайне неудобно, так как «приходится опускаться на корточки, и получается очень напряженное, неустойчивое положение». При поворотах установки на левый борт очень трудно использовать доводочные углы пулемета, требовалось менять положение туловища относительно оружия, а поскольку прицел располагался слева от пулемета,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устойчивым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во время прицеливания и стрельбы все время приходилось подыскивать место, куда бы поставить ноги. Отсюда потеря времени на прицеливание. Практически получалось так, что обеспечить прицельный огонь с левого борта было нельзя.</w:t>
      </w:r>
    </w:p>
    <w:p w14:paraId="2A0CDFF9"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Стрельба с незастопоренной установкой показала, что пулемет в этом случае резко уходит к правому борту, а при стрельбе с застопоренной установкой пулемет сильно трясет.</w:t>
      </w:r>
    </w:p>
    <w:p w14:paraId="4AF92175" w14:textId="633464B6"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Ведение прицельного огня на виражах оказалось невозможным, так как пулемет прижимает вниз, а «приподнять и удержать его не хватает силы», не говоря уже о том, чтобы одновременно с этим еще и поворачивать установку в сторону цели. Во время воздушного боя на виражах истребитель легко держался в хвосте и на первом же вираже заходил строго в хвост на дистанцию открытия действительного огня 100–150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w:t>
      </w:r>
    </w:p>
    <w:p w14:paraId="528562B7"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мнению подполковника Цветкова, маневренность ВУ-8 и пулемета в целом явно недостаточная для эффективного отражения атак истребителей, «в лучшем случае она может позволить сделать одну прицельную очередь, и то с недостаточной точностью прицеливания». Одновременно отмечалось, что сама установка ВУ-8 заметно лучше, чем блистерная установка БЛУБ на Су-6, и несколько лучше, чем ВУБ-3 на Ил-2.</w:t>
      </w:r>
    </w:p>
    <w:p w14:paraId="6228DED2"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Справедливости ради следует отметить, что при всех атаках со стороны задней полусферы летчик по команде штурмана энергичным маневром успевал доворачивать самолет таким образом, чтобы штурман мог держать противника в секторе обстрела. Это до некоторой степени компенсировало ограниченность углов обстрела установки, однако не обеспечивало ведение прицельной стрельбы.</w:t>
      </w:r>
    </w:p>
    <w:p w14:paraId="54F8FE0C" w14:textId="1E96EA2C"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отражении атак истребителя со стороны солнца выявилась еще одна интересная особенность ВУ-8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плексиглас козырька установки слепил штурмана еще больше, чем солнце, вследствие чего прицеливаться было невозможно.</w:t>
      </w:r>
    </w:p>
    <w:p w14:paraId="6F36F171"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переговорное устройство штурмана и летчика работало неудовлетворительно: «… сильный треск и шум не давали разговаривать, переключатель абонентской коробки во время боя несколько раз самопроизвольно переключался в положение РС или РК, что нарушало связь с летчиком».</w:t>
      </w:r>
    </w:p>
    <w:p w14:paraId="29D96926"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Серьезными недостатками ВУ-8 считались небольшая емкость магазина пулемета УБК и большое время его смены. Полсотни патронов в магазине оказалось недостаточно для отражения даже одной атаки истребителя. В то же время на его замену уходило около одной минуты, что было совершенно неприемлемым для реальных условий боя. В отчете указывалось, что за счет некоторых конструктивных улучшений можно сократить время смены магазина до 45–50 секунд, но все равно оно оставалось большим.</w:t>
      </w:r>
    </w:p>
    <w:p w14:paraId="14A39C44" w14:textId="5850C230"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ранее принятыми подобными установками преимуществ не имеет, за исключением того, что защищает стрелка от задувания»,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констатировал подполковник Цветков после проведенного им воздушного боя с немецким истребителем.</w:t>
      </w:r>
    </w:p>
    <w:p w14:paraId="63AE9ECA"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выводах отчета предлагалось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3D0E8D2A" w14:textId="1FB505B1"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Предъявлялись претензии и к спецоборудованию самолета. В частности,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«летчик и штурман совмещают лишние функции».</w:t>
      </w:r>
    </w:p>
    <w:p w14:paraId="724A5FAB"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столь обширный перечень дефектов и недостатков Ил-АМ-42, в заключении акта по испытаниям самолет был рекомендован к запуску в серийное производство в вариантах штурмовика-бомбардировщика и разведчика-корректировщика.</w:t>
      </w:r>
    </w:p>
    <w:p w14:paraId="2A45140A" w14:textId="071FE103"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целью выявления боевых качеств Ил-АМ-42 предлагалось «выпустить войсковую серию этих самолетов». Причем когда акт подписывал начальник НИИ ВВС генерал-лейтенант 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Лосюков, то он собственноручно дописал к этому пункту документа: «…даже с 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час. ресурсом АМ-42 (если не успеют моторы со 100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час. ресурсом)».</w:t>
      </w:r>
    </w:p>
    <w:p w14:paraId="371E9348" w14:textId="2D9C857D"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Военные специалисты считали необходимым «просить Наркома авиапромышленности тов. Шахурина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 дать задания: а) Главному конструктору мотора АМ-42 тов. Микулину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 довести опытный мотор до состояния пригодного к нормальной эксплуатации. б) Главному конструктору самолета Ил с АМ-42 тов. Ильюшину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 до запуска в серийное производство устранить дефекты, отмеченные в выводах…»</w:t>
      </w:r>
    </w:p>
    <w:p w14:paraId="2B050E38"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 касается установки на самолет кассет ДАГ-10 и крупнокалиберных пушек 11П, а также величины бомбовой нагрузки с этими пушками, то решение планировалось принять после проведения испытаний 2-го экземпляра самолета Ил-АМ-42 (17490).</w:t>
      </w:r>
    </w:p>
    <w:p w14:paraId="7BFF44BF" w14:textId="77777777" w:rsidR="005C20A0" w:rsidRPr="00070ADE" w:rsidRDefault="005C20A0" w:rsidP="00B56F90">
      <w:pPr>
        <w:spacing w:after="0" w:line="240" w:lineRule="auto"/>
        <w:jc w:val="both"/>
        <w:rPr>
          <w:rFonts w:ascii="Times New Roman" w:hAnsi="Times New Roman"/>
          <w:color w:val="000000" w:themeColor="text1"/>
          <w:sz w:val="16"/>
          <w:szCs w:val="16"/>
        </w:rPr>
      </w:pPr>
    </w:p>
    <w:p w14:paraId="0AFD3B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февраля 1944 года на Як-9У в ходе гос. испытаний в НИИ ВВС поставили новый, второй мотор ВК-107А (1821,133).</w:t>
      </w:r>
    </w:p>
    <w:p w14:paraId="2FDC23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430EC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февраля 1944 вл и-к Фролов подписал Летную оценку по результатам дополнительных (после переделок, произведенных ГК завода 51 тов. Поликарповым) испытаний модернизированного самолета У-2ВС с мотором М-11Д и винтом ВФШ Д=2.35м - эталон первого полугодия 1944 (3461).</w:t>
      </w:r>
    </w:p>
    <w:p w14:paraId="4699A40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3791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февраля 1944 г.С.П.К. подготовил:</w:t>
      </w:r>
    </w:p>
    <w:p w14:paraId="61E0D10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ПРОЕКТ ТЕМАТИЧЕСКОГО ПЛАНА РАБОТ ПО РЕАКТИВНЫМ УСТАНОВКАМ С ДВИГАТЕЛЕМ РД-1 НА 1944 г.</w:t>
      </w:r>
    </w:p>
    <w:p w14:paraId="08BF701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ВВЕДЕНИЕ</w:t>
      </w:r>
    </w:p>
    <w:p w14:paraId="333C73A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Применение на винтомоторных самолетах вспомогательного двигателя РД-1 связано с рядом присущих жидкостным реактивным двигателям особенностей.</w:t>
      </w:r>
    </w:p>
    <w:p w14:paraId="312CCDB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числу их относятся: значительная мощность и высокая приемистость при малом весе двигателя, а также независимость развиваемой тяги от скорости и высоты полета.</w:t>
      </w:r>
    </w:p>
    <w:p w14:paraId="1EDBCFD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Эти качества позволяют достигнуть большой скорости, скороподъемности и высоты полета самолетов, что недоступно с помощью других известных в настоящее время двигателей. Одновременно установка на самолетах жидкостного двигателя типа РД-1 влечет за собой необходимость утяжеления машин за счет реактивного топлива, удельный расход которого значителен.</w:t>
      </w:r>
    </w:p>
    <w:p w14:paraId="71C19B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силу этого использование реактивного двигателя и, следовательно, расходование топлива может происходить только в отдельные, сравнительно короткие моменты полета, а в остальное время полет совершается на основном моторе с перегрузкой.</w:t>
      </w:r>
    </w:p>
    <w:p w14:paraId="2B8253B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Использование в качестве одного из компонентов топлива азотной кислоты требует создания на самолетах надежно отработанных специальных систем, конструкции, предохранительных устройств и связано со специальными условиями эксплуатации.</w:t>
      </w:r>
    </w:p>
    <w:p w14:paraId="41D1C03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Вследствие этого при практическом решении той или иной задачи по применению двигателей типа РД-1 нельзя обходить вопросы, связанные с реактивной установкой на самолете в целом. Простой установкой реактивных двигателей и "удобных" по объему топливных баков невозможно достичь сколь-либо удовлетворительных результатов.</w:t>
      </w:r>
    </w:p>
    <w:p w14:paraId="26C89F3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Вместе с тем, несмотря на указанные выше особенности и новизну всего дела, несомненно, что самолеты, оборудованные реактивными установками с РД-1, рационально разработанными и скомпонованными для конкретного назначения, могут представлять самостоятельный и значительный интерес в системе боевого оснащения ВВС Красной Армии.</w:t>
      </w:r>
    </w:p>
    <w:p w14:paraId="79906CD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отдельных случаях реактивные установки специализированного типа с двигателем РД-1 дадут наилучшее возможное в настоящее время решение задачи, например, в вариантах: высотном, для полета на сверхвысотах, большого винтомоторного потолка, стартовом — при значительной перегрузке машин бомбами или горючим.</w:t>
      </w:r>
    </w:p>
    <w:p w14:paraId="34ABB9D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Следует отметить, что в дальнейшем, с ростом высотности и взлетной мощности авиамоторов, реактивные установки названных типов не потеряют своего значения, а соответственно дадут новые результаты.</w:t>
      </w:r>
    </w:p>
    <w:p w14:paraId="3B042E6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ближайшее время вспомогательные реактивные установки с РД-1 на винтомоторных самолетах явятся наиболее жизненной формой практического использования жидкостных реактивных двигателей на их современной стадии развития.</w:t>
      </w:r>
    </w:p>
    <w:p w14:paraId="2A7567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по реактивным установкам с двигателем РД-1 проводились с февраля 1943 г. группой № 5 ОКБ-16. В прошлом году силами группы № 5 была разработана и осуществлена на заводе № 22 модификация самолета Пе-2 № 15/185 с опытной реактивной установкой, двигателем РД-1 и частично произведены летные испытания этой машины. Полученные в результате испытаний экспериментальные данные близко совпадают с расчетными. Опытная материальная часть в процессе испытаний работала нормально.</w:t>
      </w:r>
    </w:p>
    <w:p w14:paraId="751B443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Одновременно разрабатывались вопросы дальнейшего применения реактивных установок с двигателем РД-1 в различных вариантах.</w:t>
      </w:r>
    </w:p>
    <w:p w14:paraId="3215B72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 качестве ускорителя: переработка опытной установки для использования в первую очередь на самолетах типа "Пе" с целью улучшения скоростных данных.</w:t>
      </w:r>
    </w:p>
    <w:p w14:paraId="0620D2C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Двухмоторный самолет типа "Пе" является наиболее подходящим для этой цели, так как наряду с высокими летными данными обеспечивается значительная продолжительность использования реактивных двигателей без изменения в остальное время полета летно-тактического лица машины.</w:t>
      </w:r>
    </w:p>
    <w:p w14:paraId="3441D9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легких одномоторных самолетах удовлетворение всех этих условий недоступно и использование реактивного ускорителя практически себя не оправдывает.</w:t>
      </w:r>
    </w:p>
    <w:p w14:paraId="5D3B539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Наоборот, при решении задачи высоты наилучшими самолетами для полетов с помощью вспомогательного реактивного двигателя являются машины типа легких одномоторных истребителей.</w:t>
      </w:r>
    </w:p>
    <w:p w14:paraId="4802AD2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 высотном варианте: для полетов на сверхвысотах, выше винтомоторного потолка. Работы велись вначале применительно к высотной модификации самолета Пе-2, а затем для легких истребителей типа "Яковлев", "Лавочкин", что по полученным результатам представило значительный интерес.</w:t>
      </w:r>
    </w:p>
    <w:p w14:paraId="29B9C78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 стартовом варианте: в виде типовой стартовой секции, пригодной для различных типов самолетов с целью обеспечения возможности значительной перегрузки последних бомбовой нагрузкой или горючим.</w:t>
      </w:r>
    </w:p>
    <w:p w14:paraId="572934E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проекту тематического плана группы № 5 на 1944 г. намечены следующие темы, являющиеся продолжением и развитием работ прошлого года.</w:t>
      </w:r>
    </w:p>
    <w:p w14:paraId="62DF631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Реактивная установка — вариант ускорителя на самолетах "Пе".</w:t>
      </w:r>
    </w:p>
    <w:p w14:paraId="2EE9A6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Окончание испытаний первого самолета Пе-2 № 15/185 с РУ, доводочных и экспериментальных работ прошлого года с постройкой трех машин Пе-2, оборудованных реактивными установками для сдачи на войсковые испытания.</w:t>
      </w:r>
    </w:p>
    <w:p w14:paraId="54A45B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с РД-1 может быть до 690 км/ч для Пе-2 с моторами М-107 А.</w:t>
      </w:r>
    </w:p>
    <w:p w14:paraId="40564A4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Высотная модификация истребителя "Лавочкин" с мотором М-82 ФНВ 2ТВ-В и реактивной установкой в специальном высотном варианте с РД-1 при ; рабочей высоте 14000-15000 м и продолжительности полета машины на этой высоте 20-30 мин.</w:t>
      </w:r>
    </w:p>
    <w:p w14:paraId="496BB83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Эта работа намечена как основная новая тема группы. Дальнейшая работа группы ориентирована на решение именно этой задачи, представляющей большой интерес для ВВС Красной Армии.</w:t>
      </w:r>
    </w:p>
    <w:p w14:paraId="4487FC7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Реактивная установка с двигателем РД-1 на самолетах типа "Пе".</w:t>
      </w:r>
    </w:p>
    <w:p w14:paraId="2FEC2D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 по реактивной установке на самолетах "Пе" является продолжением работ, начатых в 1943 г. В основу их положена первая модификация самолета Пе-2 № 15/185 с опытной реактивной установкой РУ-1, испытанная в прошлом году.</w:t>
      </w:r>
    </w:p>
    <w:p w14:paraId="1293C4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Тематическим планом 1944 г. предусматривается оборудование трех самолетов типа "Пе" с реактивными установками аналогичного типа с учетом по возможности всех требований, выявившихся в процессе испытаний и эксплуатации машины № 15/185.</w:t>
      </w:r>
    </w:p>
    <w:p w14:paraId="49F1219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самолетов "Пе" наибольший эффект достигается при установке двух двигателей РД-1 с общей тягой 600 кг. Возможный запас реактивного топлива на борту "Пе" обеспечивает значительную длительность и многократность использования двигателя РД-1 в нужные моменты полета, существенно не изменяя в остальное время летно-тактического лица машины.</w:t>
      </w:r>
    </w:p>
    <w:p w14:paraId="42A398F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полете с двигателями РД-1 значительно повышаются скоростные и высотные качества самолета: максимальная скорость полета на высотах 4000-8000 м возрастает на 160 км/ч, достигая 740 км/ч. Скороподъемность увеличивается в среднем на 40%. Время набора высоты 5000-8000 м составляет соответственно 4,4-7,7 мин.</w:t>
      </w:r>
    </w:p>
    <w:p w14:paraId="193126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Повышается боевая высота полета, которая при РУ получается в пределах 5000-9000 м.</w:t>
      </w:r>
    </w:p>
    <w:p w14:paraId="0D8BFD7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Включение двигателей РД-1 с 5000-8000 м позволяет довольно длительное время совершать полет на высотах 9000-11000 м, т.е. выше винтомоторного потолка самолета.</w:t>
      </w:r>
    </w:p>
    <w:p w14:paraId="4E8840F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Далее, в таблице и на графиках [при публикации опущены] приведены сравнительные данные самолетов "Пе" в вариантах бомбардировщика и истребителя с моторами М-105 ПФ и М-107А в модификации с реактивными установками, а также данные современных истребителей и бомбардировщиков.</w:t>
      </w:r>
    </w:p>
    <w:p w14:paraId="5C30D8B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62"/>
        <w:gridCol w:w="3409"/>
        <w:gridCol w:w="3287"/>
      </w:tblGrid>
      <w:tr w:rsidR="004D4663" w:rsidRPr="00070ADE" w14:paraId="629EF51C" w14:textId="77777777" w:rsidTr="003712D9">
        <w:trPr>
          <w:jc w:val="center"/>
        </w:trPr>
        <w:tc>
          <w:tcPr>
            <w:tcW w:w="2662" w:type="dxa"/>
            <w:tcBorders>
              <w:top w:val="single" w:sz="12" w:space="0" w:color="auto"/>
            </w:tcBorders>
          </w:tcPr>
          <w:p w14:paraId="58F6928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Расчетные летные данные</w:t>
            </w:r>
          </w:p>
        </w:tc>
        <w:tc>
          <w:tcPr>
            <w:tcW w:w="3409" w:type="dxa"/>
            <w:gridSpan w:val="2"/>
            <w:tcBorders>
              <w:top w:val="single" w:sz="12" w:space="0" w:color="auto"/>
            </w:tcBorders>
          </w:tcPr>
          <w:p w14:paraId="06616CF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Пе-2"И" 2М-107А</w:t>
            </w:r>
          </w:p>
        </w:tc>
      </w:tr>
      <w:tr w:rsidR="004D4663" w:rsidRPr="00070ADE" w14:paraId="6D7BE6F7" w14:textId="77777777">
        <w:trPr>
          <w:jc w:val="center"/>
        </w:trPr>
        <w:tc>
          <w:tcPr>
            <w:tcW w:w="2662" w:type="dxa"/>
          </w:tcPr>
          <w:p w14:paraId="072E0C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409" w:type="dxa"/>
          </w:tcPr>
          <w:p w14:paraId="0CAD5E2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2РД-1</w:t>
            </w:r>
          </w:p>
          <w:p w14:paraId="7201BD8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w:t>
            </w:r>
            <w:r w:rsidRPr="00070ADE">
              <w:rPr>
                <w:rFonts w:ascii="Times New Roman" w:hAnsi="Times New Roman"/>
                <w:color w:val="000000" w:themeColor="text1"/>
                <w:sz w:val="16"/>
                <w:szCs w:val="16"/>
                <w:vertAlign w:val="subscript"/>
              </w:rPr>
              <w:t>max</w:t>
            </w:r>
            <w:r w:rsidRPr="00070ADE">
              <w:rPr>
                <w:rFonts w:ascii="Times New Roman" w:hAnsi="Times New Roman"/>
                <w:color w:val="000000" w:themeColor="text1"/>
                <w:sz w:val="16"/>
                <w:szCs w:val="16"/>
              </w:rPr>
              <w:t xml:space="preserve"> = 600 кг,</w:t>
            </w:r>
          </w:p>
          <w:p w14:paraId="47D1E40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w:t>
            </w:r>
            <w:r w:rsidRPr="00070ADE">
              <w:rPr>
                <w:rFonts w:ascii="Times New Roman" w:hAnsi="Times New Roman"/>
                <w:color w:val="000000" w:themeColor="text1"/>
                <w:sz w:val="16"/>
                <w:szCs w:val="16"/>
                <w:vertAlign w:val="subscript"/>
              </w:rPr>
              <w:t>нач</w:t>
            </w:r>
            <w:r w:rsidRPr="00070ADE">
              <w:rPr>
                <w:rFonts w:ascii="Times New Roman" w:hAnsi="Times New Roman"/>
                <w:color w:val="000000" w:themeColor="text1"/>
                <w:sz w:val="16"/>
                <w:szCs w:val="16"/>
              </w:rPr>
              <w:t xml:space="preserve"> = 9500 кг</w:t>
            </w:r>
          </w:p>
        </w:tc>
        <w:tc>
          <w:tcPr>
            <w:tcW w:w="3287" w:type="dxa"/>
          </w:tcPr>
          <w:p w14:paraId="5A269D1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без РУ</w:t>
            </w:r>
          </w:p>
          <w:p w14:paraId="16664BF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G</w:t>
            </w:r>
            <w:r w:rsidRPr="00070ADE">
              <w:rPr>
                <w:rFonts w:ascii="Times New Roman" w:hAnsi="Times New Roman"/>
                <w:color w:val="000000" w:themeColor="text1"/>
                <w:sz w:val="16"/>
                <w:szCs w:val="16"/>
                <w:vertAlign w:val="subscript"/>
              </w:rPr>
              <w:t>пол</w:t>
            </w:r>
            <w:r w:rsidRPr="00070ADE">
              <w:rPr>
                <w:rFonts w:ascii="Times New Roman" w:hAnsi="Times New Roman"/>
                <w:color w:val="000000" w:themeColor="text1"/>
                <w:sz w:val="16"/>
                <w:szCs w:val="16"/>
              </w:rPr>
              <w:t xml:space="preserve"> = 8000 кг</w:t>
            </w:r>
          </w:p>
        </w:tc>
      </w:tr>
      <w:tr w:rsidR="005106D0" w:rsidRPr="00070ADE" w14:paraId="25DE5A94" w14:textId="77777777">
        <w:trPr>
          <w:jc w:val="center"/>
        </w:trPr>
        <w:tc>
          <w:tcPr>
            <w:tcW w:w="2662" w:type="dxa"/>
            <w:tcBorders>
              <w:bottom w:val="single" w:sz="12" w:space="0" w:color="auto"/>
            </w:tcBorders>
          </w:tcPr>
          <w:p w14:paraId="4558751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Скорость, км/ч </w:t>
            </w:r>
          </w:p>
          <w:p w14:paraId="6D90A16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8000 м</w:t>
            </w:r>
          </w:p>
          <w:p w14:paraId="608E145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Время набора высоты, мин </w:t>
            </w:r>
          </w:p>
          <w:p w14:paraId="45B0032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5000м </w:t>
            </w:r>
          </w:p>
          <w:p w14:paraId="0C7516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8000м</w:t>
            </w:r>
            <w:r w:rsidRPr="00070ADE">
              <w:rPr>
                <w:rFonts w:ascii="Times New Roman" w:hAnsi="Times New Roman"/>
                <w:color w:val="000000" w:themeColor="text1"/>
                <w:sz w:val="16"/>
                <w:szCs w:val="16"/>
              </w:rPr>
              <w:br/>
              <w:t>Потолок, м</w:t>
            </w:r>
          </w:p>
          <w:p w14:paraId="02FC76C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Продолжительность полета с РД-1,</w:t>
            </w:r>
          </w:p>
          <w:p w14:paraId="2A66A35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мин </w:t>
            </w:r>
          </w:p>
          <w:p w14:paraId="3E9506A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 полной тяге </w:t>
            </w:r>
          </w:p>
          <w:p w14:paraId="762D923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 средней тяге </w:t>
            </w:r>
          </w:p>
          <w:p w14:paraId="4D4FBF8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 крейсерской скорости </w:t>
            </w:r>
          </w:p>
          <w:p w14:paraId="077416B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высота 10000 м </w:t>
            </w:r>
          </w:p>
          <w:p w14:paraId="0B98D89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 11000 м</w:t>
            </w:r>
          </w:p>
        </w:tc>
        <w:tc>
          <w:tcPr>
            <w:tcW w:w="3409" w:type="dxa"/>
            <w:tcBorders>
              <w:bottom w:val="single" w:sz="12" w:space="0" w:color="auto"/>
            </w:tcBorders>
          </w:tcPr>
          <w:p w14:paraId="01BA6F8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740</w:t>
            </w:r>
          </w:p>
          <w:p w14:paraId="685550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740</w:t>
            </w:r>
          </w:p>
          <w:p w14:paraId="2C0CA27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w:t>
            </w:r>
          </w:p>
          <w:p w14:paraId="7BC211E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w:t>
            </w:r>
          </w:p>
          <w:p w14:paraId="5F351D0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12100</w:t>
            </w:r>
          </w:p>
          <w:p w14:paraId="13A8C25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C350B3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9FBA42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35D64DD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p w14:paraId="7974A50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AEC677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w:t>
            </w:r>
          </w:p>
          <w:p w14:paraId="2A4A43B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w:t>
            </w:r>
          </w:p>
        </w:tc>
        <w:tc>
          <w:tcPr>
            <w:tcW w:w="3287" w:type="dxa"/>
            <w:tcBorders>
              <w:bottom w:val="single" w:sz="12" w:space="0" w:color="auto"/>
            </w:tcBorders>
          </w:tcPr>
          <w:p w14:paraId="7E152E4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640</w:t>
            </w:r>
          </w:p>
          <w:p w14:paraId="0D9E4A3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568</w:t>
            </w:r>
          </w:p>
          <w:p w14:paraId="0C91FEC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w:t>
            </w:r>
          </w:p>
          <w:p w14:paraId="57E7766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w:t>
            </w:r>
          </w:p>
          <w:p w14:paraId="65B709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10400</w:t>
            </w:r>
          </w:p>
          <w:p w14:paraId="39F5DA1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7BC47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D0FB43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E8297F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30C0EA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09A300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631217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bl>
    <w:p w14:paraId="5E45B30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780"/>
        <w:gridCol w:w="1685"/>
        <w:gridCol w:w="1685"/>
        <w:gridCol w:w="2209"/>
      </w:tblGrid>
      <w:tr w:rsidR="004D4663" w:rsidRPr="00070ADE" w14:paraId="77699DBB" w14:textId="77777777">
        <w:trPr>
          <w:jc w:val="center"/>
        </w:trPr>
        <w:tc>
          <w:tcPr>
            <w:tcW w:w="3780" w:type="dxa"/>
            <w:tcBorders>
              <w:top w:val="single" w:sz="12" w:space="0" w:color="auto"/>
            </w:tcBorders>
          </w:tcPr>
          <w:p w14:paraId="32F14C5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Расчетные летные данные</w:t>
            </w:r>
          </w:p>
        </w:tc>
        <w:tc>
          <w:tcPr>
            <w:tcW w:w="1685" w:type="dxa"/>
            <w:tcBorders>
              <w:top w:val="single" w:sz="12" w:space="0" w:color="auto"/>
            </w:tcBorders>
          </w:tcPr>
          <w:p w14:paraId="6E0B503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Пе-3 2М-105 ПФ</w:t>
            </w:r>
          </w:p>
        </w:tc>
        <w:tc>
          <w:tcPr>
            <w:tcW w:w="1685" w:type="dxa"/>
            <w:tcBorders>
              <w:top w:val="single" w:sz="12" w:space="0" w:color="auto"/>
            </w:tcBorders>
          </w:tcPr>
          <w:p w14:paraId="431061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 2М-105 ПФ</w:t>
            </w:r>
          </w:p>
        </w:tc>
        <w:tc>
          <w:tcPr>
            <w:tcW w:w="2209" w:type="dxa"/>
            <w:tcBorders>
              <w:top w:val="single" w:sz="12" w:space="0" w:color="auto"/>
            </w:tcBorders>
          </w:tcPr>
          <w:p w14:paraId="66842A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 Пе-3</w:t>
            </w:r>
          </w:p>
        </w:tc>
      </w:tr>
      <w:tr w:rsidR="004D4663" w:rsidRPr="00070ADE" w14:paraId="73161680" w14:textId="77777777">
        <w:trPr>
          <w:jc w:val="center"/>
        </w:trPr>
        <w:tc>
          <w:tcPr>
            <w:tcW w:w="3780" w:type="dxa"/>
          </w:tcPr>
          <w:p w14:paraId="29D50AC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85" w:type="dxa"/>
          </w:tcPr>
          <w:p w14:paraId="6D0BCAF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2РД-1</w:t>
            </w:r>
          </w:p>
          <w:p w14:paraId="7876289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w:t>
            </w:r>
            <w:r w:rsidRPr="00070ADE">
              <w:rPr>
                <w:rFonts w:ascii="Times New Roman" w:hAnsi="Times New Roman"/>
                <w:color w:val="000000" w:themeColor="text1"/>
                <w:sz w:val="16"/>
                <w:szCs w:val="16"/>
                <w:vertAlign w:val="subscript"/>
              </w:rPr>
              <w:t>max</w:t>
            </w:r>
            <w:r w:rsidRPr="00070ADE">
              <w:rPr>
                <w:rFonts w:ascii="Times New Roman" w:hAnsi="Times New Roman"/>
                <w:color w:val="000000" w:themeColor="text1"/>
                <w:sz w:val="16"/>
                <w:szCs w:val="16"/>
              </w:rPr>
              <w:t xml:space="preserve"> = 600 кг,</w:t>
            </w:r>
            <w:r w:rsidRPr="00070ADE">
              <w:rPr>
                <w:rFonts w:ascii="Times New Roman" w:hAnsi="Times New Roman"/>
                <w:color w:val="000000" w:themeColor="text1"/>
                <w:sz w:val="16"/>
                <w:szCs w:val="16"/>
              </w:rPr>
              <w:br/>
              <w:t>G</w:t>
            </w:r>
            <w:r w:rsidRPr="00070ADE">
              <w:rPr>
                <w:rFonts w:ascii="Times New Roman" w:hAnsi="Times New Roman"/>
                <w:color w:val="000000" w:themeColor="text1"/>
                <w:sz w:val="16"/>
                <w:szCs w:val="16"/>
                <w:vertAlign w:val="subscript"/>
              </w:rPr>
              <w:t>нач</w:t>
            </w:r>
            <w:r w:rsidRPr="00070ADE">
              <w:rPr>
                <w:rFonts w:ascii="Times New Roman" w:hAnsi="Times New Roman"/>
                <w:color w:val="000000" w:themeColor="text1"/>
                <w:sz w:val="16"/>
                <w:szCs w:val="16"/>
              </w:rPr>
              <w:t xml:space="preserve"> = 8840 кг</w:t>
            </w:r>
          </w:p>
        </w:tc>
        <w:tc>
          <w:tcPr>
            <w:tcW w:w="1685" w:type="dxa"/>
          </w:tcPr>
          <w:p w14:paraId="67FF1D6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РД-1</w:t>
            </w:r>
            <w:r w:rsidRPr="00070ADE">
              <w:rPr>
                <w:rFonts w:ascii="Times New Roman" w:hAnsi="Times New Roman"/>
                <w:color w:val="000000" w:themeColor="text1"/>
                <w:sz w:val="16"/>
                <w:szCs w:val="16"/>
              </w:rPr>
              <w:br/>
              <w:t>P</w:t>
            </w:r>
            <w:r w:rsidRPr="00070ADE">
              <w:rPr>
                <w:rFonts w:ascii="Times New Roman" w:hAnsi="Times New Roman"/>
                <w:color w:val="000000" w:themeColor="text1"/>
                <w:sz w:val="16"/>
                <w:szCs w:val="16"/>
                <w:vertAlign w:val="subscript"/>
              </w:rPr>
              <w:t>max</w:t>
            </w:r>
            <w:r w:rsidRPr="00070ADE">
              <w:rPr>
                <w:rFonts w:ascii="Times New Roman" w:hAnsi="Times New Roman"/>
                <w:color w:val="000000" w:themeColor="text1"/>
                <w:sz w:val="16"/>
                <w:szCs w:val="16"/>
              </w:rPr>
              <w:t xml:space="preserve"> = 300 кг,</w:t>
            </w:r>
            <w:r w:rsidRPr="00070ADE">
              <w:rPr>
                <w:rFonts w:ascii="Times New Roman" w:hAnsi="Times New Roman"/>
                <w:color w:val="000000" w:themeColor="text1"/>
                <w:sz w:val="16"/>
                <w:szCs w:val="16"/>
              </w:rPr>
              <w:br/>
              <w:t>G</w:t>
            </w:r>
            <w:r w:rsidRPr="00070ADE">
              <w:rPr>
                <w:rFonts w:ascii="Times New Roman" w:hAnsi="Times New Roman"/>
                <w:color w:val="000000" w:themeColor="text1"/>
                <w:sz w:val="16"/>
                <w:szCs w:val="16"/>
                <w:vertAlign w:val="subscript"/>
              </w:rPr>
              <w:t>нач</w:t>
            </w:r>
            <w:r w:rsidRPr="00070ADE">
              <w:rPr>
                <w:rFonts w:ascii="Times New Roman" w:hAnsi="Times New Roman"/>
                <w:color w:val="000000" w:themeColor="text1"/>
                <w:sz w:val="16"/>
                <w:szCs w:val="16"/>
              </w:rPr>
              <w:t xml:space="preserve"> = 8800 кг</w:t>
            </w:r>
          </w:p>
        </w:tc>
        <w:tc>
          <w:tcPr>
            <w:tcW w:w="2209" w:type="dxa"/>
          </w:tcPr>
          <w:p w14:paraId="4118442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без РУ</w:t>
            </w:r>
          </w:p>
          <w:p w14:paraId="5AFB3B1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G</w:t>
            </w:r>
            <w:r w:rsidRPr="00070ADE">
              <w:rPr>
                <w:rFonts w:ascii="Times New Roman" w:hAnsi="Times New Roman"/>
                <w:color w:val="000000" w:themeColor="text1"/>
                <w:sz w:val="16"/>
                <w:szCs w:val="16"/>
                <w:vertAlign w:val="subscript"/>
              </w:rPr>
              <w:t>нач</w:t>
            </w:r>
            <w:r w:rsidRPr="00070ADE">
              <w:rPr>
                <w:rFonts w:ascii="Times New Roman" w:hAnsi="Times New Roman"/>
                <w:color w:val="000000" w:themeColor="text1"/>
                <w:sz w:val="16"/>
                <w:szCs w:val="16"/>
              </w:rPr>
              <w:t xml:space="preserve"> = 8200-8800 кг</w:t>
            </w:r>
          </w:p>
        </w:tc>
      </w:tr>
      <w:tr w:rsidR="004D4663" w:rsidRPr="00070ADE" w14:paraId="0A06C11D" w14:textId="77777777">
        <w:trPr>
          <w:jc w:val="center"/>
        </w:trPr>
        <w:tc>
          <w:tcPr>
            <w:tcW w:w="3780" w:type="dxa"/>
            <w:tcBorders>
              <w:bottom w:val="single" w:sz="12" w:space="0" w:color="auto"/>
            </w:tcBorders>
          </w:tcPr>
          <w:p w14:paraId="316A1B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Скорость, км/ч </w:t>
            </w:r>
          </w:p>
          <w:p w14:paraId="4E9E457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8000 м</w:t>
            </w:r>
          </w:p>
          <w:p w14:paraId="28DB55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Время набора высоты, мин </w:t>
            </w:r>
          </w:p>
          <w:p w14:paraId="017B1B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5000м </w:t>
            </w:r>
          </w:p>
          <w:p w14:paraId="6AD985E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8000м</w:t>
            </w:r>
          </w:p>
          <w:p w14:paraId="35F41CA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Потолок, м</w:t>
            </w:r>
          </w:p>
          <w:p w14:paraId="70FB4D2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Продолжительность полета с РД-1, мин </w:t>
            </w:r>
          </w:p>
          <w:p w14:paraId="73CB333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 полной тяге </w:t>
            </w:r>
          </w:p>
          <w:p w14:paraId="5577EC3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 средней тяге </w:t>
            </w:r>
          </w:p>
          <w:p w14:paraId="74ACE45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 крейсерской скорости </w:t>
            </w:r>
          </w:p>
          <w:p w14:paraId="27C10E4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высота 10000 м </w:t>
            </w:r>
          </w:p>
          <w:p w14:paraId="344DEC5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 11000 м</w:t>
            </w:r>
          </w:p>
        </w:tc>
        <w:tc>
          <w:tcPr>
            <w:tcW w:w="1685" w:type="dxa"/>
            <w:tcBorders>
              <w:bottom w:val="single" w:sz="12" w:space="0" w:color="auto"/>
            </w:tcBorders>
          </w:tcPr>
          <w:p w14:paraId="2C70E66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690</w:t>
            </w:r>
          </w:p>
          <w:p w14:paraId="0243CF9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687</w:t>
            </w:r>
          </w:p>
          <w:p w14:paraId="7E809D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73418D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w:t>
            </w:r>
          </w:p>
          <w:p w14:paraId="14AA22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8,9</w:t>
            </w:r>
          </w:p>
          <w:p w14:paraId="5DEF423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11000</w:t>
            </w:r>
          </w:p>
          <w:p w14:paraId="3ECD091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AE24C2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369193F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p w14:paraId="09E581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4B296D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p w14:paraId="125123A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685" w:type="dxa"/>
            <w:tcBorders>
              <w:bottom w:val="single" w:sz="12" w:space="0" w:color="auto"/>
            </w:tcBorders>
          </w:tcPr>
          <w:p w14:paraId="4DD263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603</w:t>
            </w:r>
          </w:p>
          <w:p w14:paraId="1B3E87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595</w:t>
            </w:r>
          </w:p>
          <w:p w14:paraId="48EF66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335891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w:t>
            </w:r>
          </w:p>
          <w:p w14:paraId="57D8483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13,4</w:t>
            </w:r>
          </w:p>
          <w:p w14:paraId="1F5817B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9500</w:t>
            </w:r>
          </w:p>
          <w:p w14:paraId="1191986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98F61C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7-10</w:t>
            </w:r>
          </w:p>
          <w:p w14:paraId="2CA622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12-17</w:t>
            </w:r>
          </w:p>
          <w:p w14:paraId="7C94A5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D9337D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3D360D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209" w:type="dxa"/>
            <w:tcBorders>
              <w:bottom w:val="single" w:sz="12" w:space="0" w:color="auto"/>
            </w:tcBorders>
          </w:tcPr>
          <w:p w14:paraId="1F36270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536</w:t>
            </w:r>
          </w:p>
          <w:p w14:paraId="7B8480C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w:t>
            </w:r>
          </w:p>
          <w:p w14:paraId="254E0DF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E7AA05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w:t>
            </w:r>
          </w:p>
          <w:p w14:paraId="0164DFE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15EE554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9000-8300</w:t>
            </w:r>
          </w:p>
          <w:p w14:paraId="734AF6C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DEB635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A4FC84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1C2BE9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7171B5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C80F36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bl>
    <w:p w14:paraId="402B31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летным качествам из семейства самолетов "Пе" наибольший интерес представляет самолет Пе-2 "И" с моторами М-107А и реактивной установкой с двумя двигателями РД-1, а также истребительный вариант — самолет Пе-3.</w:t>
      </w:r>
    </w:p>
    <w:p w14:paraId="54103B6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частности, анализируя данные самолета Пе-2 "И" с реактивной установкой в вариантах бомбардировщика-истребителя, можно сказать, что по скорости полета и скороподъемности с РД-1 эта машина оставит позади не только все известные машины этого класса, но и многие лучшие одномоторные истребители.</w:t>
      </w:r>
    </w:p>
    <w:p w14:paraId="0DC3E11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бомбардировщик самолет Пе-2 "И" с реактивной установкой будет неуязвим для истребителей с учетом вероятного роста их показателей в течение значительного периода времени.</w:t>
      </w:r>
    </w:p>
    <w:p w14:paraId="2E9F27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истребитель самолет Пе-2 "И" с реактивной установкой, будучи дополнительно оборудован пушечным вооружением, может быть использован для решения самых разнообразных новых тактических задач. Реактивная установка, используемая в нужные моменты боя, обеспечивает решающее превосходство в воздухе над противником.</w:t>
      </w:r>
    </w:p>
    <w:p w14:paraId="2AAE61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Включение двигателя РД-1 с начальных высот, близких к потолку, позволит осуществить полет выше винтомоторного потолка в течение длительного времени на крейсерских режимах. При этом самолет будет обладать значительным резервом мощности, который обеспечит ему нужную маневренность по скорости и высоте при ведении боя.</w:t>
      </w:r>
    </w:p>
    <w:p w14:paraId="7ED023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Следует отметить, что использование самолетов Пе-2 "И" с реактивными установками для полетов выше винтомоторного потолка послужит базой для дальнейших работ в этой области и для отработки всей необходимой материальной части.</w:t>
      </w:r>
    </w:p>
    <w:p w14:paraId="11EACAB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Окончательное установление типа и тактического лица самолетов из семейства "Пе", оборудованных реактивными установками, определится при согласовании с заказчиком тактико-технических требований.</w:t>
      </w:r>
    </w:p>
    <w:p w14:paraId="776E721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Сравнительная таблица летных данных самолетов "Пе", оборудованных I реактивными установками с РД-1, приведена выше.</w:t>
      </w:r>
    </w:p>
    <w:p w14:paraId="631CBAD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ОСНОВНЫЕ ЭТАПЫ РАБОТ</w:t>
      </w:r>
    </w:p>
    <w:p w14:paraId="6039CC0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приводятся в укрупненном виде основные этапы работ. Сроки исполнения могут быть установлены после уточнения задания.</w:t>
      </w:r>
    </w:p>
    <w:p w14:paraId="24564D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Переработка рабочих чертежей реактивной установки и соответствующих мест конструкции самолета, составление технических условий на изготовление и другой документации для производства — 18000 н/ч.</w:t>
      </w:r>
    </w:p>
    <w:p w14:paraId="1DE79F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Опытные работы, лабораторные и предварительные испытания.</w:t>
      </w:r>
    </w:p>
    <w:p w14:paraId="59E9A0A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Разработка типовых агрегатов и арматуры. Составление атласа типовых конструкций — 7000 н/ч.</w:t>
      </w:r>
    </w:p>
    <w:p w14:paraId="72C547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Разработка наземного оборудования и рабочих чертежей кислотного заправщика — 9000 н/ч.</w:t>
      </w:r>
    </w:p>
    <w:p w14:paraId="1556524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Проведение совместных летных испытаний реактивной установки РУ-1 с двигателем РД-1 на самолете Пе-2 № 15/185 — 10000 н/ч.</w:t>
      </w:r>
    </w:p>
    <w:p w14:paraId="2BA00D7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Постройка трех самолетов и наземного оборудования — 51000 н/ч (по РУ-21000 н/ч).</w:t>
      </w:r>
    </w:p>
    <w:p w14:paraId="36308E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Заводские летные испытания самолетов и испытания их по дополнительной программе — 15000 н/ч.</w:t>
      </w:r>
    </w:p>
    <w:p w14:paraId="7FC8646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Пункты 1, 3, 4 выполняются группой № 5. Пункты плана 2, 5, 7 выполняются самолетным заводом совместно с группой № 5. Пункт 6 выполняется самолетным заводом по проекту и под руководством группы № 5.</w:t>
      </w:r>
    </w:p>
    <w:p w14:paraId="45C1491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Всего: </w:t>
      </w:r>
    </w:p>
    <w:p w14:paraId="231CF6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конструкторских работ — 38000 н/ч; </w:t>
      </w:r>
    </w:p>
    <w:p w14:paraId="291A36F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работ по летным испытаниям — 25000 н/ч; </w:t>
      </w:r>
    </w:p>
    <w:p w14:paraId="6DBC3ED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лабораторных, опытных и производственных работ — 15000 н/ч; </w:t>
      </w:r>
    </w:p>
    <w:p w14:paraId="69C350A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производственных работ по трем машинам — 51000 н/ч.</w:t>
      </w:r>
    </w:p>
    <w:p w14:paraId="04FB4B9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КРАТКАЯ ХАРАКТЕРИСТИКА РАБОТ</w:t>
      </w:r>
    </w:p>
    <w:p w14:paraId="378F25D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осуществлении первой серии самолетов "Пе" с реактивными установками необходимо полное обеспечение надежности, безопасности и удобства эксплуатации новой материальной части. Недочеты в этих вопросах поведут к задержкам и даже могут вовсе не обеспечить ее.</w:t>
      </w:r>
    </w:p>
    <w:p w14:paraId="09AC52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Поэтому, наряду с учетом опыта работ с самолетом Пе-2 № 15/185 с РУ и соответствующей переработкой чертежей, намечено проведение комплекса опытных работ и мероприятий по доводке и отработке нужных мест и узлов.</w:t>
      </w:r>
    </w:p>
    <w:p w14:paraId="32E5A95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Краткая характеристика этих работ приводится ниже.</w:t>
      </w:r>
    </w:p>
    <w:p w14:paraId="2F9ECC0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Переработка рабочих чертежей реактивной установки, самолета и подготовка документации для производства.</w:t>
      </w:r>
    </w:p>
    <w:p w14:paraId="7A05ABF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основу работ положена опытная реактивная установка РУ-1, осуществленная на самолете № 15/185.</w:t>
      </w:r>
    </w:p>
    <w:p w14:paraId="46A3F0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Полностью используется конструкция всех основных узлов, агрегатов, механизмов, арматуры, а также систем установки: топливных, пусковой, дренажирования и наддува, управления и т.д., с соответствующей перекомпоновкой последних применительно к выбранному типу машин из семейства самолетов "Пе".</w:t>
      </w:r>
    </w:p>
    <w:p w14:paraId="1A49D9F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Переработке заново и доводке подлежат отдельные узлы и места. При установке двух двигателей РД-1 новым является монтаж на самолете двух комплектов агрегатов РД-1 с раздельными системой запуска, управлением и приводами на обоих моторах.</w:t>
      </w:r>
    </w:p>
    <w:p w14:paraId="1E3B7D9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осуществлении в будущем двухкамерного реактивного двигателя РД-2 тягой 600 кг возможно некоторое упрощение схемы при замене двух двигателей РД-1 одним двигателем РД-2.</w:t>
      </w:r>
    </w:p>
    <w:p w14:paraId="6B4E182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 Опытные работы. Как указывалось выше, главными требованиями при использовании реактивных двигательных установок в действительных условиях эксплуатации являются: </w:t>
      </w:r>
    </w:p>
    <w:p w14:paraId="2E011AC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обеспечение надежности действия всех агрегатов; </w:t>
      </w:r>
    </w:p>
    <w:p w14:paraId="7B6E493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осуществление условий для наиболее безопасной работы экипажа в боевой обстановке; </w:t>
      </w:r>
    </w:p>
    <w:p w14:paraId="50FCCBC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обеспечение удобства эксплуатации в полевых условиях.</w:t>
      </w:r>
    </w:p>
    <w:p w14:paraId="0D218B4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 целью удовлетворения этих требований попутно с переработкой проекта РУ намечено проведение следующих работ, многие из которых выполнялись частично в прошлом году и могут быть в короткий срок окончены: </w:t>
      </w:r>
    </w:p>
    <w:p w14:paraId="5AE7CB7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переработка ряда агрегатов, механизмов и арматуры, работающих в азотной кислоте или ее парах; в результате должны быть получены надежно отработанные типовые конструкции с гарантированным сроком службы, пригодные для использования на любых типах самолетов с реактивными установками;</w:t>
      </w:r>
    </w:p>
    <w:p w14:paraId="0974D34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проведение работ по созданию стойких в эксплуатации кислотных трубопроводов и соединений с обеспечением гарантированного срока их службы;</w:t>
      </w:r>
    </w:p>
    <w:p w14:paraId="61D9C5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экспериментальные работы по тонкостенным кислотным бакам с целью обоснования гарантированного срока их службы; </w:t>
      </w:r>
    </w:p>
    <w:p w14:paraId="7A76B0E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 разработка и доводка измерительных и контрольных приборов и указателей для работы в кислоте или ее парах; работа производится совместно с заводами № 448 и 230 по согласованному ТУ с учетом требований серийного производства; </w:t>
      </w:r>
    </w:p>
    <w:p w14:paraId="366D2F0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 теоретические и экспериментальные работы по изучению влияния газовой струи реактивного двигателя на органы управления и части самолета применительно к машине типа "Пе"; </w:t>
      </w:r>
    </w:p>
    <w:p w14:paraId="15B2513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е) предварительная разработка гидравлических приводов для реактивных установок применительно к самолетам типа "Пе"; </w:t>
      </w:r>
    </w:p>
    <w:p w14:paraId="74E1DEB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ж) создание стойких в парах азотной кислоты лакокрасочных покрытий и смазок для алюминиевых сплавов и сталей; работа производится совместно с заводом № 22; </w:t>
      </w:r>
    </w:p>
    <w:p w14:paraId="18297CA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з) разработка герметизации кислотных баков, агрегатов и трубопроводов, устанавливаемых на самолетах типа "Пе"; </w:t>
      </w:r>
    </w:p>
    <w:p w14:paraId="0AA0D83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переработка отдельных узлов и деталей установки с целью сокращения потребляемого количества нержавеющих сталей и введения заменителей. Примечания.</w:t>
      </w:r>
    </w:p>
    <w:p w14:paraId="5794320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 пп. "а, б, ж, з" работы начаты в прошлом году.</w:t>
      </w:r>
    </w:p>
    <w:p w14:paraId="6B5084F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 По пункту "г" в прошлом году начаты работы на заводе № 448. Работы по контрольно-измерительным приборам и механизмам на заводе № 230 необходимо включить в план этого завода на 1944 г.</w:t>
      </w:r>
    </w:p>
    <w:p w14:paraId="0B0A080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 пункту "з" в части работ по проектированию резиновых деталей для кислотных агрегатов необходимо участие Института резины (НИИРП).</w:t>
      </w:r>
    </w:p>
    <w:p w14:paraId="1AE361D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РАЗРАБОТКА ТИПОВЫХ АГРЕГАТОВ И АРМАТУРЫ</w:t>
      </w:r>
    </w:p>
    <w:p w14:paraId="202D58C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Агрегаты и арматура, применяемые в реактивных установках и работающие в азотной кислоте или ее парах, являются специфичными по своей конструкции, используемым материалам, обработке, покрытиям деталей и т.д.</w:t>
      </w:r>
    </w:p>
    <w:p w14:paraId="06B2FAA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Конструкции, разработанные для первой опытной установки РУ-1, работали в большинстве случаев нормально и после некоторых доработок и система- </w:t>
      </w:r>
    </w:p>
    <w:p w14:paraId="1B46629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76тизации имеющегося материала (см. предшествующий раздел) могут в дальнейшем использоваться для установок различных типов.</w:t>
      </w:r>
    </w:p>
    <w:p w14:paraId="763FE0E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Потребность в этом имеется уже в данное время, в связи с чем намечена разработка следующих типов конструкций: </w:t>
      </w:r>
    </w:p>
    <w:p w14:paraId="0BA3559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 арматуры для топливных трубопроводов высокого давления, низкого давления, проводки дренажирования, баков, соединений и пр.; </w:t>
      </w:r>
    </w:p>
    <w:p w14:paraId="1417FF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 фильтров (топливных и воздушных); </w:t>
      </w:r>
    </w:p>
    <w:p w14:paraId="77C271D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клапанов всех типов (предохранительных, редукционных, обратных); </w:t>
      </w:r>
    </w:p>
    <w:p w14:paraId="7996A5F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 вентилей и кранов всех типов (топливных, дренажных, сливных для магистралей высокого и низкого давлений); </w:t>
      </w:r>
    </w:p>
    <w:p w14:paraId="2369D29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 механизмов и устройств для топливных систем (для подключения, сепарирования); </w:t>
      </w:r>
    </w:p>
    <w:p w14:paraId="2DC1C1C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е) контрольных, измерительных, сигнальных устройств, механизмов и приборов; </w:t>
      </w:r>
    </w:p>
    <w:p w14:paraId="7D34BD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ж) крепежных деталей и соединений; </w:t>
      </w:r>
    </w:p>
    <w:p w14:paraId="6B55A94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з) трубопроводов высоких и низких давлений; и) соединительных элементов кислотных баков; </w:t>
      </w:r>
    </w:p>
    <w:p w14:paraId="504C701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герметичных кислотостойких уплотнений для различных подвижных передач.</w:t>
      </w:r>
    </w:p>
    <w:p w14:paraId="1F753E6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итоге этих работ должен быть составлен атлас типовых конструкций с рекомендациями.</w:t>
      </w:r>
    </w:p>
    <w:p w14:paraId="6FE8E9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IV. РАЗРАБОТКА НАЗЕМНОГО ОБОРУДОВАНИЯ</w:t>
      </w:r>
    </w:p>
    <w:p w14:paraId="555321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Особенностью эксплуатации самолетов с реактивными установками является применение азотной кислоты в качестве одного из элементов топлива для двигателя РД-1.</w:t>
      </w:r>
    </w:p>
    <w:p w14:paraId="71382BE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Наземное оборудование и заправочные средства, примененные при испытаниях первой реактивной установки, обеспечивают работы с одиночным самолетом в условиях заводского аэродрома.</w:t>
      </w:r>
    </w:p>
    <w:p w14:paraId="12F8E39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Эксплуатация в полевых условиях группы самолетов с реактивными установками требует создания самоходного и по возможности комплексного агрегата-заправщика.</w:t>
      </w:r>
    </w:p>
    <w:p w14:paraId="713F9A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Надо отметить, что от удачного обеспечения эксплуатации самолетов с реактивными установками в значительной мере будет зависеть успешность их использования и внедрения. Поэтому предусматривается разработка специального кислотного автозаправщика с цистерной для транспортировки кислоты, могущего полностью обслуживать три-пять самолетов. Наиболее трудным вопросом является разработка кислотных подкачивающих устройств с приводом от автомотора. Для начала целесообразно применить проверенную на ручном заправщике РУ-1 схему питания при помощи сжатого воздуха, внеся в нее некоторые улучшения. Принципиальная и габаритная схемы такого автозаправщика разработаны в прошлом году.</w:t>
      </w:r>
    </w:p>
    <w:p w14:paraId="301621D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дальнейшем следует передать специальным организациям разработку и постройку полностью механизированных кислотных автозаправщиков.</w:t>
      </w:r>
    </w:p>
    <w:p w14:paraId="5C1E430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V. ПРОВЕДЕНИЕ СОВМЕСТНЫХ ЛЕТНЫХ ИСПЫТАНИЙ РЕАКТИВНОЙ УСТАНОВКИ РУ-1 С ДВИГАТЕЛЕМ РД-1 НА САМОЛЕТЕ Пе-2 № 15/185</w:t>
      </w:r>
    </w:p>
    <w:p w14:paraId="0FFF17C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проводились по утвержденной программе совместных испытаний и состояли из 19 полетов, в числе которых — 13 с работающим двигателем РД-1.</w:t>
      </w:r>
    </w:p>
    <w:p w14:paraId="4840D14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Задачей испытаний является проверка надежности работы двигателей РД-1 и реактивной установки в целом и снятие летных характеристик Пе-2 с РД-1. Предварительно намечена серия отладочных полетов по заводской программе.</w:t>
      </w:r>
    </w:p>
    <w:p w14:paraId="79A9D81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проведения испытаний — март-июнь с.г.</w:t>
      </w:r>
    </w:p>
    <w:p w14:paraId="03D43D9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VI. ПОСТРОЙКА ТРЕХ САМОЛЕТОВ И НАЗЕМНОГО ОБОРУДОВАНИЯ</w:t>
      </w:r>
    </w:p>
    <w:p w14:paraId="004B326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Трудоемкость работ, связанных с изготовлением, монтажем двигательной установки, и переделок по самолету составляет на одну головную машину 8000 н/ч в дополнение к ее серийной трудоемкости (около 15000 н/ч для Пе-2 "И"). В случае переоборудования под реактивную установку готовой машины с проведением ее демонтажа и переделок на месте трудоемкость работ увеличивается на 100%.</w:t>
      </w:r>
    </w:p>
    <w:p w14:paraId="5FD978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условиях завода № 22 постройка трех головных самолетов может быть осуществлена в течение 3 месяцев с момента запуска в производство при условии выдачи заводу задания с этим сроком.</w:t>
      </w:r>
    </w:p>
    <w:p w14:paraId="34FF12F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переоборудовании под реактивную установку готовых самолетов трудоемкость увеличится на 50%.</w:t>
      </w:r>
    </w:p>
    <w:p w14:paraId="3886D9E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VII. ЗАВОДСКИЕ ЛЕТНЫЕ ИСПЫТАНИЯ ГОЛОВНЫХ САМОЛЕТОВ И ИСПЫТАНИЯ ИХ ПО ДОПОЛНИТЕЛЬНОЙ ПРОГРАММЕ</w:t>
      </w:r>
    </w:p>
    <w:p w14:paraId="2861724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Заводские летные испытания головных самолетов с реактивными установками необходимо провести в объеме программы, принятой для первой машины Пе-2 № 15/185, со снятием данных по скоростям на высотах, скороподъемности и взлетным свойствам.</w:t>
      </w:r>
    </w:p>
    <w:p w14:paraId="3D69794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Следует отметить, что область применения реактивных двигателей в действительных условиях изучена очень мало и полученный до сего времени экспериментальный материал недостаточен. Поэтому предусматриваются после проведения заводских летных испытаний по дополнительной программе в следующем объеме: </w:t>
      </w:r>
    </w:p>
    <w:p w14:paraId="125DE20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 высотные полеты до 11000-12000 м выше винтомоторного потолка самолета с включением двигателя РД-1 с высот 8000-9000 м — 10 полетов; </w:t>
      </w:r>
    </w:p>
    <w:p w14:paraId="36B4BC2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 полеты на определение маневренности с работающим РД-1 — 4 полета; </w:t>
      </w:r>
    </w:p>
    <w:p w14:paraId="4EA1D71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полеты с перегрузкой до наибольшего возможного полетного веса -2 полета; </w:t>
      </w:r>
    </w:p>
    <w:p w14:paraId="31C5616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 полеты для проверки отдельных тактических задач (по специальной программе) — 10 полетов; </w:t>
      </w:r>
    </w:p>
    <w:p w14:paraId="7C3764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контрольные полеты — 4 полета. Всего 30 полетов.</w:t>
      </w:r>
    </w:p>
    <w:p w14:paraId="7422A38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VIII. ОРГАНИЗАЦИЯ РАБОТ</w:t>
      </w:r>
    </w:p>
    <w:p w14:paraId="6FE92FF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Осуществление самолетов "Пе" с реактивной установкой связано с рядом вопросов организационного характера, практическое разрешение которых возможно после согласования с заказчиком тактико-технических требований, установления сроков и места постройки.</w:t>
      </w:r>
    </w:p>
    <w:p w14:paraId="5FE1E52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Предварительные соображения по организации работ представляются в следующем виде.</w:t>
      </w:r>
    </w:p>
    <w:p w14:paraId="7821F67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Рабочий проект реактивной установки и чертежи связанных с этим переделок по самолету, расчеты, технические условия на изготовление и остальная техническая документация разрабатываются группой № 5 и передаются самолетному заводу. Как указывалось ранее, эти работы начаты группой в прошлом году, и окончание их предусматривается этим планом. Далее группа № 5 осуществляет техническую помощь и консультацию самолетному заводу при постройке и испытании самолетов.</w:t>
      </w:r>
    </w:p>
    <w:p w14:paraId="49F839F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Агрегаты реактивного двигателя РД-1 подаются заводом-поставщиком этих двигателей самолетному заводу в готовом виде.</w:t>
      </w:r>
    </w:p>
    <w:p w14:paraId="52D5C9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Моторы с приводами для насосного агрегата РД-1 подаются заводом-изготовителем этих моторов самолетному заводу в готовом виде.</w:t>
      </w:r>
    </w:p>
    <w:p w14:paraId="6EA6A3B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сего времени заводом № 16 изготовлялись или разрабатывались моторы с приводами следующих типов: М-105 РА и М-105 ПФ. Для моторов М-107А и М-1 потребуется разработка нового привода, для мотора М-107А -также нового насосного агрегата двигателя РД-1. В этом случае должно быть выдано соответствующее задание конструкторам моторов и двигателя.</w:t>
      </w:r>
    </w:p>
    <w:p w14:paraId="09E4D58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Постройка самолетов, необходимые опытные работы и изготовление агрегатов для предварительных испытаний выполняются самолетным заводом, поставляющим готовые машины с реактивными установками на летные испытания. Для производственно-технологической увязки первую машину из числа строящихся желательно по срокам изготовления выдвинуть вперед.</w:t>
      </w:r>
    </w:p>
    <w:p w14:paraId="2AE0F26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ведутся по проекту и при технической консультации со стороны группы № 5.</w:t>
      </w:r>
    </w:p>
    <w:p w14:paraId="12C099D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Монтаж реактивных установок на самолетах может производиться как с самого начала в процессе изготовления последних, так и путем переоборудования уже готовых машин. Последний вариант может представлять практический интерес для производства серийного завода при постройке только трех машин. В частности, это может потребоваться в случае оборудования самолетов Пе-3, снятых с производства, но изготовляемых заводом № 22 в количестве около 15 машин.</w:t>
      </w:r>
    </w:p>
    <w:p w14:paraId="01DA6B9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 Разработка наземного оборудования и первых экземпляров кислотного автозаправщика производится группой № 5. Производственные работы выполняются заводом № 22.</w:t>
      </w:r>
    </w:p>
    <w:p w14:paraId="335ECA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 Все перечисленные выше работы необходимо включить в программу соответствующих заводов и организаций на 1944 г., в том числе и группы № 5 ОКБ.</w:t>
      </w:r>
    </w:p>
    <w:p w14:paraId="5678B1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Соответствующие работы по двигателю РД-1, необходимые для выполнения тактико-технических требований, должны предусматриваться планом работ конструкторского бюро реактивных двигателей (КБ-2).</w:t>
      </w:r>
    </w:p>
    <w:p w14:paraId="6F3D84B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Высотный истребитель — модификация самолета "Лавочкин" с мотором М-82 2ТК-3 и реактивной установкой с двигателем РД-1.</w:t>
      </w:r>
    </w:p>
    <w:p w14:paraId="261A245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Разработка модификации высотного истребителя (ВИ) намечена как основная новая тема группы № 5 на 1944 г.</w:t>
      </w:r>
    </w:p>
    <w:p w14:paraId="53F039B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выяснения общего положения с дальнейшими работами, развитием группы и ее производственными возможностями в проект тематического плана включается только первая часть работ: разработка проекта ВИ и проведение связанных с этим экспериментальных работ.</w:t>
      </w:r>
    </w:p>
    <w:p w14:paraId="41E369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Рабочая высота ВИ — 14000-15000 м, продолжительность полета на крейсерских режимах — 20-30 мин. На этих режимах полет происходит выше винтомоторного потолка за счет мощности, развиваемой двигателем РД-1 в дополнение к мощности мотора самолета.</w:t>
      </w:r>
    </w:p>
    <w:p w14:paraId="4C54AC3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Использование двигателей РД-1 для полетов выше винтомоторного потолка впервые было разработано применительно к высотному варианту самолета Пе-2 в прошлом году.</w:t>
      </w:r>
    </w:p>
    <w:p w14:paraId="675FDF6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Наиболее интересные результаты с меньшими техническими затратами получаются при использовании для этой цели легкого одномоторного истребителя типа "Яковлев" или "Лавочкин".</w:t>
      </w:r>
    </w:p>
    <w:p w14:paraId="640B0E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Ниже приводятся краткие данные высотной модификации самолета "Лавочкин" с реактивной установкой с одним двигателем РД-1 для семейства машин с весами в диапазоне 3700-5800 кг при различных запасах реактивного топлива: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502"/>
        <w:gridCol w:w="1139"/>
      </w:tblGrid>
      <w:tr w:rsidR="004D4663" w:rsidRPr="00070ADE" w14:paraId="17665F25" w14:textId="77777777">
        <w:trPr>
          <w:jc w:val="center"/>
        </w:trPr>
        <w:tc>
          <w:tcPr>
            <w:tcW w:w="7502" w:type="dxa"/>
            <w:tcBorders>
              <w:top w:val="single" w:sz="12" w:space="0" w:color="auto"/>
              <w:bottom w:val="single" w:sz="12" w:space="0" w:color="auto"/>
            </w:tcBorders>
          </w:tcPr>
          <w:p w14:paraId="1737027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Рабочая высота полета, м</w:t>
            </w:r>
          </w:p>
          <w:p w14:paraId="34654B4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Наибольшая продолжительность полета на рабочей высоте при крейсерской скорости 540 км/ч, мин </w:t>
            </w:r>
          </w:p>
          <w:p w14:paraId="2D0656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Максимальная скорость с РД-1 на рабочей высоте (в течение 6-15 мин), км/ч </w:t>
            </w:r>
          </w:p>
          <w:p w14:paraId="672FBB0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Время набора высоты от 11000 м до потолка, мин </w:t>
            </w:r>
          </w:p>
          <w:p w14:paraId="2D26739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Потолок, м</w:t>
            </w:r>
          </w:p>
        </w:tc>
        <w:tc>
          <w:tcPr>
            <w:tcW w:w="1139" w:type="dxa"/>
            <w:tcBorders>
              <w:top w:val="single" w:sz="12" w:space="0" w:color="auto"/>
              <w:bottom w:val="single" w:sz="12" w:space="0" w:color="auto"/>
            </w:tcBorders>
          </w:tcPr>
          <w:p w14:paraId="372DAB0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14000-15000</w:t>
            </w:r>
          </w:p>
          <w:p w14:paraId="6E07A5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30-15</w:t>
            </w:r>
          </w:p>
          <w:p w14:paraId="36651D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720-780</w:t>
            </w:r>
          </w:p>
          <w:p w14:paraId="6039113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6-10</w:t>
            </w:r>
          </w:p>
          <w:p w14:paraId="085747B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15000-18000</w:t>
            </w:r>
          </w:p>
        </w:tc>
      </w:tr>
    </w:tbl>
    <w:p w14:paraId="4D5CBBF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Осуществление ВИ для полетов на высоте 14000-15000 м в течение продолжительного для реактивного самолета времени является новой, технически трудной задачей и, несомненно, потребует хорошо координированной совместной работы самолетчиков, мотористов и работников реактивной техники.</w:t>
      </w:r>
    </w:p>
    <w:p w14:paraId="79A5104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Потребуется создание ряда новых агрегатов и в целом — реактивной установки специальной высотной схемы и конструкции, так как в данном случае для решения задачи известные схемы РУ не обеспечивают в полной мере нужные результаты. Для проверки отдельных вопросов, связанных с новой схемой РУ, потребуется проведение летных испытаний самолета (без РД-1) с целью снятия дополнительных летных характеристик, необходимых при разработке проекта и построении самолетного стенда для испытания новых агрегатов.</w:t>
      </w:r>
    </w:p>
    <w:p w14:paraId="4C6DA00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Следующий этап — постройка головных машин ВИ.</w:t>
      </w:r>
    </w:p>
    <w:p w14:paraId="24A0DD5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Предварительные работы ведутся в настоящее время группой № 5. Выполнение всего комплекса работ по осуществлению ВИ возможно в короткие сроки при наличии солидной производственной и летной базы. В качестве последней, по нашему мнению, может служить завод-изготовитель серийных машин этого типа, на котором и необходимо организовать бюро по ВИ на основе группы № 5. Все работы по ВИ должны вестись в тесной связи с конструктором самолета.</w:t>
      </w:r>
      <w:r w:rsidRPr="00070ADE">
        <w:rPr>
          <w:rFonts w:ascii="Times New Roman" w:hAnsi="Times New Roman"/>
          <w:color w:val="000000" w:themeColor="text1"/>
          <w:sz w:val="16"/>
          <w:szCs w:val="16"/>
        </w:rPr>
        <w:br/>
        <w:t>ОСНОВНЫЕ ЭТАПЫ ПЕРВОЙ ЧАСТИ РАБОТ</w:t>
      </w:r>
    </w:p>
    <w:p w14:paraId="4A57762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Изыскания, расчеты и разработка проекта высотной модификации самолета "Лавочкин" с М-82 2ТК-3 с реактивной установкой — 3000 н/ч.</w:t>
      </w:r>
    </w:p>
    <w:p w14:paraId="185C3D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Изготовление опытных агрегатов и узлов установки для самолетного стенда — 6000 н/ч.</w:t>
      </w:r>
    </w:p>
    <w:p w14:paraId="25B93C6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Проведение испытаний на самолетном стенде — 8000 н/ч. (ААН, р. 4, оп. 17, № 100, л. 2-22) (10676).</w:t>
      </w:r>
    </w:p>
    <w:p w14:paraId="4E4EEC7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4D39D00"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53AF32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8FC796"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февраля 1944 вышло Постановление ГКО № 5256 Об общем плане перевозок народнохозяйственных и воинских грузов по железнодорожному транспорту на март 1944 года. (7192, 138).</w:t>
      </w:r>
    </w:p>
    <w:p w14:paraId="43E88ED9"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BCEE01"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февраля 1944 вышло Постановление ГКО № 5257 О плане перевозок народнохозяйственных грузов по железнодорожному и водному транспорту на март 1944 года. (7193, 1-6,7-192).</w:t>
      </w:r>
    </w:p>
    <w:p w14:paraId="2A0367AB"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ACD3A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февраля 1944 Петрозаводцы заложили два ТЩ типа МТ-1 (10671).</w:t>
      </w:r>
    </w:p>
    <w:p w14:paraId="044080E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99E6348" w14:textId="77777777" w:rsidR="00AD0763"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C538592" w14:textId="77777777" w:rsidR="00AD0763" w:rsidRPr="00070ADE" w:rsidRDefault="00AD0763"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37DF4B"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27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297E355C"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27 февраля на Псковском направлении наши войска продолжали развивать наступление и с боями заняли более 60 населённых пунктов, в том числе Замельничье, Весцы, Черемша, Заходцы, Цапелька, Подложье,Рык, Каменка, Жателы, Щерепицы, Горки, Дубровка и железнодорожная станция Маслогостицы.</w:t>
      </w:r>
    </w:p>
    <w:p w14:paraId="69D1E0AA"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города Холм наши войска с боями продвигались вперёд, овладели районным центром Калининской области Бежаницы, а также заняли более 100 других населённых пунктов, в том числе крупные населённые пункты Кузнецова, Самуйлиха, Заход, Гритьково, Мухрово, Дворцы, Оленино, Луг.</w:t>
      </w:r>
    </w:p>
    <w:p w14:paraId="33A4B638"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Новосокольники наши войска продолжали вести наступательные бои, в ходе которых заняли более 50 населённых пунктов и среди них Китово, Сенютино, Большая и Малая Лешна, Пружинцы, Сеньково, Ваулино, Пустошка и железнодорожные станции Забелье, Пустошка.</w:t>
      </w:r>
    </w:p>
    <w:p w14:paraId="50EF61BA"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города Луцк несколько дней назад немцы предприняли наступление против наших войск, занимающих плацдармы на западном берегу реки Стырь. Противнику вначале удалось незначительно вклиниться в нашу оборону, но последующими контратаками наших войск немцы не только были отброшены в исходное положение, но и потеряли несколько новых населённых пунктов. В этих боях противник понёс большие потери в живой силе и технике.</w:t>
      </w:r>
    </w:p>
    <w:p w14:paraId="0A84FF2E"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Апостолово наши войска овладели районным центром Николаевской области Ново-Воронцовка и населёнными пунктами Осокоревка, Фирсовка, Золотая Балка,Гавриловка, Петровка, Крещенка, Владимировка.</w:t>
      </w:r>
    </w:p>
    <w:p w14:paraId="2B3E3CB0"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поиски разведчиков.</w:t>
      </w:r>
    </w:p>
    <w:p w14:paraId="0DAAEF87"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26 февраля наши войска на всех фронтах подбили и уничтожили 30 немецких танков. В воздушных боях и огнём зенитной артиллерии сбито 27 самолётов противника.</w:t>
      </w:r>
    </w:p>
    <w:p w14:paraId="71B3BB5F"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Массированный налёт нашей авиации на военно-промышленныеобъекты города Хельсинки</w:t>
      </w:r>
    </w:p>
    <w:p w14:paraId="17282799"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27 февраля крупные соединения нашей авиации произвели массированный налёт на военно-промышленные объекты города Хельсинки. В течение десяти часов наши самолёты бомбардировали железнодорожный узел, военные склады, воинские казармы и заводы города Хельсинки.</w:t>
      </w:r>
    </w:p>
    <w:p w14:paraId="7A83C443"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бомбардировки возникли десятки пожаров, которые,распространяясь, охватили весь город. Особенно крупные пожары отмечены на территории железнодорожного узла, портовых складов, артиллерийских складов, судостроительной верфи и бензохранилищ. Весь город был окутан дымом,поднимавшимся на высоту до 3.000 метров. Пожары сопровождались взрывами огромной силы. Наши лётчики при уходе от цели наблюдали пламя пожаров с расстояния в 350-400 километров.</w:t>
      </w:r>
    </w:p>
    <w:p w14:paraId="2C0D3A93"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Три наших самолёта не вернулись на свои базы.</w:t>
      </w:r>
    </w:p>
    <w:p w14:paraId="128CD32D"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Псковском направлении наши войска продолжали успешное наступление. В одном районе противник, подтянув свежие силы, пытался задержать продвижение советских частей. Наша пехота, при активной поддержке артиллерии, сломила сопротивление немцев и овладела рядом населённых пунктов. На поле боя осталось до 800 трупов вражеских солдат и офицеров. Захвачены две артиллерийские и четыре миномётные батареи, брошенные немцами на огневых позициях, а также большое количество снарядов и мин. Советские танкисты гусеницами своих машин раздавили 4 немецких орудия и 6 тяжёлых миномётов вместе с их расчётами.</w:t>
      </w:r>
    </w:p>
    <w:p w14:paraId="3F8E1A8C"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города Холм наши войска с боями продвигались вперёд и заняли более100 населённых пунктов. Немцы, опираясь на заранее подготовленный оборонительный рубеж и заминировав все дороги, упорно защищали село Бежаницы. Советские части обошли противника и после ожесточённого боя, неоднократно переходившего в рукопашные схватки, овладели районным центром Калининской области Бежаницы.Уничтожено до полка вражеской пехоты. Захвачено 15 танков, 23 орудия, 45 автомашин, 7 складов с боеприпасами и 6 складов с продовольствием. Взято в плен значительное количество немецких солдат и офицеров.</w:t>
      </w:r>
    </w:p>
    <w:p w14:paraId="499D4559"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города Новосокольники части Н-ского соединения освободили от немецко-фашистских захватчиков более 50 населённых пунктов, в том числе железнодорожные станции Пустошку и Забелье. Немцы превратили Пустошку в сильно укреплённый узел обороны. Советские бойцы выбили гитлеровцев из дзотов и одновременными ударами с разных направлений разгромили немецкий гарнизон. На поле боя осталось много вражеских трупов. Захвачены трофеи и пленные. В другом районе наши автоматчики в течение дня вели бой в лесу, в ходе которого истребили 400 немецких солдат и офицеров.</w:t>
      </w:r>
    </w:p>
    <w:p w14:paraId="317A5507"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Апостолово наши войска атаковали противника и, преодолев несколько линий окопов и траншей, ворвались в районный центр Николаевскойо бласти Ново-Воронцовку. В результате боя уничтожено свыше батальона гитлеровцев, 4 танка и 3 самоходных орудия. Овладев Ново-Воронцовкой и развивая успех, наши части заняли ещё несколько пунктов. Противник безуспешно пытался контратаками восстановить положение. Отбивая вражеские контратаки, наши войска уничтожили до 2 тысяч гитлеровцев, сожгли и подбили 18 немецких танков и самоходных орудий.</w:t>
      </w:r>
    </w:p>
    <w:p w14:paraId="3D1CC463"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Лётчики Краснознамённого Балтийского флота совершили успешный налёт на аэродром противника. Сброшенными бомбами уничтожены и повреждены на земле 16 немецких самолётов. Кроме того, в воздушном бою над аэродромом сбито два самолёта противника.</w:t>
      </w:r>
    </w:p>
    <w:p w14:paraId="13A6D173"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Литовский партизанский отряд «Смерть оккупантам» совершил налёт на станцию узкоколейной железной дороги. Советские патриоты перебили немецкую охрану, уничтожили склады, три паровоза и несколько платформ. Партизанский отряд имени Адама Мицкевича из засады обстрелял немецкую колонну на шоссейной дороге. Уничтожены 4 автомашины и 19 гитлеровцев. Захвачено 17 винтовок и 6 пистолетов.</w:t>
      </w:r>
    </w:p>
    <w:p w14:paraId="01BDE732"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После того, как Красная Армия вышибла немцев из Киева, наместник Гитлера наУкраине, известный бандит и палач Эрих Кох поспешно удрал в Восточную Пруссию. В Кенигсберге Кох оправился от испуга и написал новогоднее послание немецким солдатам—уроженцам Восточной Пруссии, находящимся на советско-германском фронте. Незадачливый наместник извещает своих земляков, что он переменил местожительство и усиленно готовится к предстоящим воздушным налётам на </w:t>
      </w:r>
      <w:r w:rsidRPr="00070ADE">
        <w:rPr>
          <w:rFonts w:ascii="Times New Roman" w:hAnsi="Times New Roman"/>
          <w:color w:val="000000" w:themeColor="text1"/>
          <w:sz w:val="16"/>
          <w:szCs w:val="16"/>
        </w:rPr>
        <w:lastRenderedPageBreak/>
        <w:t>Восточную Пруссию, строит щели, укрытия и водоёмы на случай пожаров. Далее Кох повествует о достижениях в других областях: «Я смог осуществить на практике новые идеи. Упомяну здесь только о ремонтных мастерских, в которых под девизом «староепревращается в новое» устраняются многие заботы, связанные с одеждой и обувью».</w:t>
      </w:r>
    </w:p>
    <w:p w14:paraId="6D5B2867"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Вот какие «идеи» обуревают ныне Эриха Коха! В связи с этим нелишне вспомнить времена, когда он носился с другими «идеями». В декабре 1942 года Кох в таком же новогоднем поздравлении писал солдатам на фронт: «На огромных просторах Украины,которой я управляю... имеется пространство для всех солдат. Здесь найдётся место для каждого, кто хочет. Вы знаете о неизмеримых богатствах этой страны... Выможете мне поверить, что я вытяну из Украины последнее, чтобы только обеспечить вас и ваших родных».</w:t>
      </w:r>
    </w:p>
    <w:p w14:paraId="5D29DCF2"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новогоднем послании на 1944 год уже и помина нет о плодородных землях и неизмеримых богатствах Украины. Эрих Кох ныне довольствуется малым. Он теперь осуществляет «новые идеи» и организует мастерские по ремонту изношенных сапог и старых штанов.</w:t>
      </w:r>
    </w:p>
    <w:p w14:paraId="2A0E257A"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Немецко-фашистские захватчики мечтали стать хозяевами несметных богатствУкраины. Но, как говорится, по усам текло, да в рот не попало. Сотни тысяч немцев уже получили по два-три аршина украинской земли. Те же два-три аршина земли получат и остальные немецкие изверги.» (15053).</w:t>
      </w:r>
    </w:p>
    <w:p w14:paraId="7BC092EE" w14:textId="77777777" w:rsidR="00AD0763" w:rsidRPr="00070ADE" w:rsidRDefault="00AD0763" w:rsidP="00B56F90">
      <w:pPr>
        <w:spacing w:after="0" w:line="240" w:lineRule="auto"/>
        <w:jc w:val="both"/>
        <w:rPr>
          <w:rFonts w:ascii="Times New Roman" w:hAnsi="Times New Roman"/>
          <w:color w:val="000000" w:themeColor="text1"/>
          <w:sz w:val="16"/>
          <w:szCs w:val="16"/>
        </w:rPr>
      </w:pPr>
    </w:p>
    <w:p w14:paraId="25D1BDF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A711F7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D112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28 февраля 1944 Ил-2М был "полностью подготовлен к пробному полету" (11427).</w:t>
      </w:r>
    </w:p>
    <w:p w14:paraId="4FC5D61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B3952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28 февраля 1944 Ил-2М был "полностью подготовлен к пробному полету".</w:t>
      </w:r>
    </w:p>
    <w:p w14:paraId="4B6F21F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страховки на Ил-2М был установлен мотор АМ-38ф, смонтированы бензобаки объемом 1020 л, цельнометаллическая хвостовая часть фюзеляжа и хвостовое оперение, а также цельнометаллическое крыло с двумя 37-мм пушками 11 П (90 снарядов) и двумя ШKAC. При этом пушки 11П, в отличие от серийного Ил-2 с такими же пушками, размещались внутри крыла и ближе к оси самолета, a ШKAC дальше. Нормальная бомбовая нагрузка составляла 400 кг (в перегрузку 800 кг). Для защиты задней нижней полусферы в хвостовой части имелась кассета ДАГ-10 с десятью авиа-ционными гранатами АГ-2. Ракетное оружие отсутствовало. Стальная бронебашня сначала была переделана с целью улучшения обзора, "для чего примерно 50% стальной броневой поверхности башни заменяется броневым стеклом", а затем снята вовсе. Вместо нее смонтировали ВУ-8.</w:t>
      </w:r>
    </w:p>
    <w:p w14:paraId="0175C36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Изменялось и бронирование. В отличие от Ил-2 (РК) на Ил-2М летчик сзади защищался двумя разнесенными 8-мм броне- плитами. Такие же разнесенные бронеплиты устанавливались и вместо задней 12-мм бронестенки кабины стрелка (12020).</w:t>
      </w:r>
    </w:p>
    <w:p w14:paraId="1DD5869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398BEE6"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А.К.Долгов выполнил на Ил-АМ-42 со «старым» проверенным винтом АВ-5 л-18Б ознакомительный полет продолжительностью 20 минут. В полете потек левый маслобак. Вдобавок на посадке отказали тормоза левого шасси, но благодаря мастерству летчика обошлось без поломки. Замена маслобака, тормозов и левого колеса шасси продолжалась до 5.00 следующего дня, поскольку именно 29 февраля официально начинались государственные испытания самолета.</w:t>
      </w:r>
    </w:p>
    <w:p w14:paraId="35E04872"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Первый испытательный полет, в котором планировалось определить расход горючего на различных режимах, длился 55 минут и был прекращен вследствие самопроизвольного возрастания давления наддува. На посадке вновь отказали тормоза левого шасси. Работа по замене тормозов, свечей и регулировке карбюраторов затянулась до 2 часов ночи, но утром 1 марта и днем погода была совершенно нелетной. Решили провести весь комплекс наземных испытаний бомбардировочного вооружения.</w:t>
      </w:r>
    </w:p>
    <w:p w14:paraId="78481929" w14:textId="3E053F75"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следующий день погода опять была нелетная. Самолет загнали в институтский тир, где произвели отстрел оборонительной установки ВУ-8. Здесь испытателей ждала «неприятность»: прострелили киль, стабилизатор, рули направления и высоты. Однако погода и аэродромные службы сделали бригаде подарок</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 течение следующих трех дней при неважной погоде аэродром был «не готов к взлету: рыхлый снег, вода».</w:t>
      </w:r>
    </w:p>
    <w:p w14:paraId="00FA3707"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Было решено одновременно с устранением пулевых повреждений провести на самолете небольшие доработки, улучшающие эксплуатационные и пилотажные качества машины. Заново отрегулировали карбюраторы, поставили новые троса управления «из-за большой заершенности старых», уменьшили щели между нижней частью крыла и элеронами (поставлена более широкая пластина), заменили покрышку костыльного колеса и лючки над бомболюком с левой внутренней стороны. Параллельно успели отработать химическое вооружение самолета.</w:t>
      </w:r>
    </w:p>
    <w:p w14:paraId="1A1DC835"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марта утром удалось выполнить один часовой полет на замер скорости и скороподъемности по высотам, так как с 11.00 полеты были запрещены. На следующий день погода благоприятствовала проведению испытаний, но в первом же полете на определение расхода горючего лопнула трубка, подводящая воду к левому блоку цилиндров. Пришлось идти на посадку и устранять неисправность.</w:t>
      </w:r>
    </w:p>
    <w:p w14:paraId="039669BB"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марта с утра стояла нелетная погода, но к 16.00 развеялось и удалось выполнить один полет на полигон для бомбометания и стрельбы из пушек и пулеметов. Вечером вновь пришлось менять свечи.</w:t>
      </w:r>
    </w:p>
    <w:p w14:paraId="3C62ED0F" w14:textId="0AC40D79"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Ввиду нелетной погоды в течение следующего дня самолет «затащили»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тир, где отстреляли все вооружение.</w:t>
      </w:r>
    </w:p>
    <w:p w14:paraId="3A2D2A89"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11–13 марта погода была ограниченно летной, но летать все же удавалось. Всего было выполнено 15 взлетов и посадок для определения взлетно-посадочных характеристик самолета, три полета на стрельбу и бомбометание по наземным целям и определение скороподъемности самолета по высотам.</w:t>
      </w:r>
    </w:p>
    <w:p w14:paraId="71C58FE6"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погода окончательно испортилась, но летать все равно было бы нельзя, так как у самолета обнаружилась течь бензина из трубки подвода к карбюраторам и поломка уплотнительного кольца вала редуктора. Выявились и другие неисправности.</w:t>
      </w:r>
    </w:p>
    <w:p w14:paraId="432E6B5B" w14:textId="55333BCE"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Следующие четыре дня прошли в хлопотах по устранению дефектов самолета. Попутно установили новые элероны с увеличенной аэродинамической компенсацией (29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вместо 27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w:t>
      </w:r>
    </w:p>
    <w:p w14:paraId="66D96530" w14:textId="45185611"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неблагоприятные метеоусловия, 19 марта удалось выполнить 8 непродолжительных полетов, в том числе 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на определение взлетно-посадочных свойств и по одному полету на бомбометание, проверку действия в воздухе ВАП-250 и замер расхода горючего. Всего за день налетали 1</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 55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мин. В ходе последнего полета сгорели прокладки всасывающих патрубков.</w:t>
      </w:r>
    </w:p>
    <w:p w14:paraId="3D0BC831"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Устранение вновь выявленных неисправностей затянулось до 22 марта, но в этот день погода опять оказалась нелетной. Только на следующий день удалось выполнить один часовой полет на замер расхода горючего. Затем последовал четырехдневный перерыв в полетах из-за плохой погоды. Наконец, 28 марта установилась устойчивая летная погода, которая продержалась три дня. В эти дни бригада испытателей работала весьма активно и 30 марта в 18.00 рапортовала руководству института об успешном завершении государственных испытаний.</w:t>
      </w:r>
    </w:p>
    <w:p w14:paraId="080BCCE8" w14:textId="2D0EF831"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испытания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продолжались в течение 31 календарного дня, из которых летных дней было всего 10, нелетных</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14. Еще 7 дней пришлось затратить на ремонт и доводку самолета. В общей сложности было выполнено 44 полета с налетом 19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 30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мин.</w:t>
      </w:r>
    </w:p>
    <w:p w14:paraId="47C0903C" w14:textId="797DD485"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испытаний самолет облетали ведущий инженер-летчик 3-го отдела НИИ ВВС инженер-майор 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Синельников, летчик-испытатель 4-го отдела майор 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Субботин, старший летчик-испытатель 3-го отдела майор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Журавлев и летчик-испытатель подполковник 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Нюхтиков. В качестве штурманов облета участвовали капитан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Горбунов, заместитель начальника 4-го отдела полковник 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Шауров, помощник начальника 6-го отдела капитан Васильев, штурман-испытатель капитан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Ковынев, штурман-испытатель подполковник 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Цветков.</w:t>
      </w:r>
    </w:p>
    <w:p w14:paraId="416A313A"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документов, самолет проходил испытания в двух вариантах: разведчика-корректировщика и штурмовика-бомбардировщика, которые отличались друг от друга фактически только бомбовой нагрузкой и заправкой самолета горючим и маслом. Состав фото- и радиооборудования самолета в ходе испытаний оставался неизменным и соответствовал «следопыту».</w:t>
      </w:r>
    </w:p>
    <w:p w14:paraId="21EF5956"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Стрелково-пушечное вооружение самолета в обоих вариантах назначения было одинаковым и включало две пушки ВЯ (300 патронов), два пулемета ШКАС (1500 патронов) и оборонительный пулемет УБК (3 диска по 50 патронов) на ВУ-8. Ракетное вооружение не предусматривалось.</w:t>
      </w:r>
    </w:p>
    <w:p w14:paraId="7642F4DB" w14:textId="1350E54D"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 полетный вес штурмовика-бомбардировщика устанавливался в 7260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в перегрузку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7660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Полезная нагрузка при нормальном полетном весе составляла 1995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w:t>
      </w:r>
    </w:p>
    <w:p w14:paraId="01B873BE" w14:textId="4C9A2BE9"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перегрузочном варианте допускалась подвеска до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в том числе на двух внешних узлах две бомбы типа ФАБ-500 или два выливных авиаприбора ВАП-250 или УХАП-250.</w:t>
      </w:r>
    </w:p>
    <w:p w14:paraId="1C3CEF02" w14:textId="45C13A71"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Нагрузка в варианте «следопыта» ограничивалась 1460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и отличалась от штурмового варианта отсутствием бомбовой нагрузки и увеличенным до 120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весом съемного оборудования.</w:t>
      </w:r>
    </w:p>
    <w:p w14:paraId="68A9CEEE" w14:textId="5A09E658"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Поскольку состав съемного оборудования на самолете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соответствовал варианту разведчика-корректировщика, то при загрузке 600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и полной заправке горючим и маслом вес самолета на 65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превышал нормальный полетный вес, установленный для штурмовика-бомбардировщика. Поэтому при проведении испытательных полетов в варианте штурмовика вес горючего уменьшался ровно на 65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w:t>
      </w:r>
    </w:p>
    <w:p w14:paraId="557481F0" w14:textId="74031DDB"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АМ-42 на протяжении всего времени испытаний работал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и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 Отмечался и большой расход горючего на номинальном режиме работы мотора, который при контрольном полете 19 марта составил 295–315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г/л.</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 ч.</w:t>
      </w:r>
    </w:p>
    <w:p w14:paraId="71A9A93A"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ходе испытаний пришлось заменить маслоуплотнитель носка вала редуктора мотора, регулятор давления наддува, прокладки под всасывающими патрубками (для чего был демонтирован карбюратор). Дважды заменили весь комплект свечей, по одному разу все свечи внешнего ряда, водяную трубку (подводящую охлаждающую </w:t>
      </w:r>
      <w:r w:rsidRPr="00070ADE">
        <w:rPr>
          <w:rFonts w:ascii="Times New Roman" w:hAnsi="Times New Roman"/>
          <w:color w:val="000000" w:themeColor="text1"/>
          <w:sz w:val="16"/>
          <w:szCs w:val="16"/>
        </w:rPr>
        <w:lastRenderedPageBreak/>
        <w:t>воду к левому блоку цилиндров мотора от помпы) и бензотрубку (подводящую топливо к карбюраторам). Из-за течи по сварке трижды ремонтировались маслобаки. Одновременно были отремонтированы все карбюраторы и коллекторы нагнетателя.</w:t>
      </w:r>
    </w:p>
    <w:p w14:paraId="14CE1C7F"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выполнении работ по устранению недостатков и дефектов «в полный рост» проявилась непродуманность конструкции винтомоторной группы с точки зрения удобства эксплуатации. Например, для того чтобы снять водяную трубку, необходимо было демонтировать блоки мотора, выхлопные патрубки и левый маслобак, а затем вернуть их на свои места. Замена трубопровода, подводящего горючее к карбюраторам, выливалась в полный демонтаж всасывающей трубы нагнетателя и карбюратора. Испытатели отмечали трудоемкую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большую длину (без технологических разъемов), что серьезно усложняло их замену и ремонт.</w:t>
      </w:r>
    </w:p>
    <w:p w14:paraId="4227E284"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общем, проблем с мотором хватало с избытком, но бригаде НИИ ВВС все же удалось отлетать программу испытаний почти в полном объеме.</w:t>
      </w:r>
    </w:p>
    <w:p w14:paraId="0F29CC81" w14:textId="4F04FA92"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первую очередь определялись летно-технические данные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в варианте штурмовика-бомбардировщика и только затем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 варианте разведчика-корректировщика. Как показали полеты, основные данные нового самолета заметно превосходили Ил-2, хотя, по мнению военных, уже не отвечали в полном объеме современным требованиям.</w:t>
      </w:r>
    </w:p>
    <w:p w14:paraId="51972F94" w14:textId="37308EAE"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нормальном полетном весе (600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на внутренней подвеске) максимальная скорость полета оказалась равной 472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на высоте 2500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и 428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у земли. Вертикальная скорость не превышала 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м/с на высоте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и 6,7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у земли. Разбег самолета с отклоненными на 17° щитками и с форсажем мотора составил 435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Пробег при посадочном весе 5900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с применением тормозов и отклонением щитков на 45° оказался в пределах 465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Посадочная скорость равнялась 136</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w:t>
      </w:r>
    </w:p>
    <w:p w14:paraId="30091BE1" w14:textId="70574890"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Разведчик-корректировщик на всех высотах летал на 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быстрее штурмовика-бомбардировщика. Примерно на 22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была выше скороподъемность и на 11</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горизонтальная маневренность. Лучшими были и взлетно-посадочные характеристики. Из-за непостоянства наддува в полете при работе мотора, тряски и выработки ресурса мотора (к моменту начала полетов в варианте «следопыта» остаток ресурса составлял 4–5 часов) измерить скороподъемность выше границы высотности не удалось.</w:t>
      </w:r>
    </w:p>
    <w:p w14:paraId="687F5BC8" w14:textId="7985CEEB"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всех вариантах полетного веса центровка самолета (шасси выпущено) находилась в пределах от 19,9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САХ (пустой самолет) до 23,3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(перегрузочный вариант с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w:t>
      </w:r>
    </w:p>
    <w:p w14:paraId="78F0E7B6" w14:textId="3DB2B602"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полета на высоте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и скорости 308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составила 820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на 155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 больше дальности полета Ил-2 АМ-38ф. При этом отмечалось, что дальность полета 2-го экземпляра Ил-АМ-42, на котором установлены бензобаки емкостью 1020 л, будет достигать 980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w:t>
      </w:r>
    </w:p>
    <w:p w14:paraId="4CF62C13" w14:textId="0BC6BCAC"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своим пилотажным свойствам Ил-АМ-42 оказался достаточно простым и легким в управлении. В сравнении с Ил-2 новый самолет обладал значительно лучшей продольной устойчивостью и управляемостью, что упростило технику пилотирования, особенно на виражах и бреющих полетах. Летчики-испытатели отмечали, что Ил-АМ-42 в отличие от Ил-2 «на вираже позволяет значительно выбирать ручку руля высоты на себя, для уменьшения радиуса виража». Пикировал самолет устойчиво. Просадка на выводе оказалась несколько больше, чем у серийного Ил-2. Сила отдачи при стрельбе из пушек почти не сказывалась на пилотировании самолетом и прицеливании. Маневренность Ил-АМ-42 в вертикальной и горизонтальной плоскостях оказалась почти такой же, как у серийной «двойки», даже несколько хуже, и считалась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летного состава для перехода с Ил-2 не требует»,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указывалось в отчете по испытаниям.</w:t>
      </w:r>
    </w:p>
    <w:p w14:paraId="1B05B197"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улучшения пилотажных качеств машины летчики предлагали на руль поворота установить триммер, а на элероны «наклепать ножи для регулировки от подваливания».</w:t>
      </w:r>
    </w:p>
    <w:p w14:paraId="447ABBC8" w14:textId="48F69E4A"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Указывалось, что Ил-АМ-42 строился по нормам прочности 1941 года и относится к классу Б</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ограниченно маневренных самолетов. При полетном весе 7250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разрушающая перегрузка равнялась 7,5 единицы, эксплуатационная перегрузка («установленная главным конструктором самолета»)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4,96 единицы.</w:t>
      </w:r>
    </w:p>
    <w:p w14:paraId="3382BDE6"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Помимо неудовлетворительной работы мотора АМ-42 отмечались и ряд других недостатков, отнесенных специалистами института к разряду основных.</w:t>
      </w:r>
    </w:p>
    <w:p w14:paraId="39BBFD04"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частности, для самолета боя представлялось обязательным наличие системы заполнения бензобаков нейтральным газом. На Ил-АМ-42, как указывалось выше, такая система имелась, но на государственные испытания официально она не предъявлялась, так как не была доведена до рабочего состояния.</w:t>
      </w:r>
    </w:p>
    <w:p w14:paraId="7BE661D5" w14:textId="7E587A33"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Схему бронирования Ил-АМ-42 специалисты НИИ ВВС оценили как не отвечающую современным требованиям. Соответствующее заключение начальник 8-го отдела института инженер-полковник Лагутин утвердил 24 марта. В ряду особо уязвимых мест значились задняя бронеперегородка штурмана-стрелка (толщина 12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и моторная часть снизу-сбоку (толщина 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рекомендовалось «снять с корпуса/…/передние броневые детали за втулкой винта, уменьшить с 5 до 2,5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толщину деталей пояса кабины летчика в местах примыкания крыла к фюзеляжу». Кроме этого, требовалось заднюю перегородку штурмана установить по образцу 2-го экземпляра Ил-АМ-42, то есть сделать экранированной две бронеплиты по 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и обеспечить защиту головы штурмана бронестеклом.</w:t>
      </w:r>
    </w:p>
    <w:p w14:paraId="50443159" w14:textId="6D85D49F"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 же время отмечалось, что обе кабины</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летчика и штурмана-стрелка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 сравнении с Ил-2 имеют увеличенные размеры, что улучшает условия боевой работы экипажа. В кабине штурмана-стрелка вместо брезентовой ленты (как на Ил-2) устанавливалось постоянное откидное сиденье. Штурман облета капитан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Горбунов отмечал, что в кабине «тепло, задуваний нет, можно работать без летных очков». Посадка в кабину через нижний люк в бронекорпусе была признана удобной. В аварийной ситуации штурман легко покидал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6325FEAB"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достоинству машины было отнесено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поскольку это сильно облегчало работу летчика в бою.</w:t>
      </w:r>
    </w:p>
    <w:p w14:paraId="43A7D012"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Положительно оценили наличие дублирования в каналах управления рулем высоты, поворота, элеронами и триммерами.</w:t>
      </w:r>
    </w:p>
    <w:p w14:paraId="17E6163D" w14:textId="64A1A5E4"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в кабине пилота прицела ПБП-1б на легкосъемном кронштейне обеспечивала летчику дополнительную безопасность при посадке с убранным шасси. Как известно, на Ил-2 ранних серий летчики часто ударялись о прицел ПБП-1 головой во время вынужденных посадок, что нередко приводило к серьезным травмам, а в ряде случаев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и к смертельным исходам.</w:t>
      </w:r>
    </w:p>
    <w:p w14:paraId="70EFD183" w14:textId="6AFE8DBF"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Бомбовое вооружение штурмовика-бомбардировщика Ил-АМ-42 по номенклатуре бомб и весу в целом соответствовало требованиям войны. Бомбометание допускалось как с горизонтального полета, так и с пикирования, но под углами не более 25–30°, хотя на испытаниях самолет пикировал до 40° без каких-либо нареканий. Для бомбометания с горизонтального полета предназначался прицел ОПБ-1р. Сброс бомб мог осуществляться и штурманом, и летчиком. Однако прицельно сбросить бомбы ни тот ни другой не могли.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штурман, «что требует соответствующей методической проработки».</w:t>
      </w:r>
    </w:p>
    <w:p w14:paraId="3B458700" w14:textId="49D9F7B6"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бомбовый прицел штурмана в полете нещадно забрызгивался маслом, которое выбивалось из-под уплотнительного кольца втулки винта и носка коленчатого вала мотора. По этим причинам в первом же полете на испытание бомбового вооружения 9 марта штурман капитан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Горбунов был вынужден сбросить все бомбы залпом, неприцельно, за один заход. Для предохранения прицела от попадания масла на заводе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240 был изготовлен специальный щиток. Установка щитка на самолет положение не улучшило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оптика забрызгивалась маслом. Прицельное бомбометание по-прежнему оставалось невозможным. В испытательном полете 19 марта со щитком из-за замасливания оптики Горбунов сбросил все бомбы аварийно. В то же время отмечалось, что работать с ОПБ-1р в боевом положении удобно, а сам прицел является наиболее подходящим для установки на Ил-АМ-42, если, конечно, «устранить забрызгивание оптики прицела маслом».</w:t>
      </w:r>
    </w:p>
    <w:p w14:paraId="7558E0F1"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этим причинам для бомбометания с горизонтального полета рекомендовалось использовать прицельную систему, отработанную для Ил-2: разметку и визирные штыри на бронекапоте самолета, метки и прицельные линии на лобовом и боковых бронестеклах фонаря кабины.</w:t>
      </w:r>
    </w:p>
    <w:p w14:paraId="6DBA6480"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Бомбометание с пикирования по методике ничем не отличалось от таковой на Ил-2 и в целом показало хорошие результаты вследствие лучшей устойчивости самолета при пикировании.</w:t>
      </w:r>
    </w:p>
    <w:p w14:paraId="22AE7285"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Отметим, что маслом забрызгивалось и переднее бронестекло фонаря кабины пилота, что, естественно, ухудшало условия прицеливания.</w:t>
      </w:r>
    </w:p>
    <w:p w14:paraId="196C2113"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отработки стрелково-пушечного вооружения было выполнено в общей сложности 19 полетов, из них «9 полетов со стрельбой по наземным целям и 10 полетов с ВУ-8».</w:t>
      </w:r>
    </w:p>
    <w:p w14:paraId="643D97B0"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Если к пушкам ВЯ и пулеметам ШКАС при стрельбе в воздухе каких-либо серьезных претензий у военных испытателей не было, то работой оборонительной установки ВУ-8 с пулеметом УБК и ее возможностями они остались недовольны.</w:t>
      </w:r>
    </w:p>
    <w:p w14:paraId="29F12736" w14:textId="36CC6E7F"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недостатки ВУ-8 в явном виде проявились в воздушном бою с немецким истребителем Bf109G-2, который состоялся 30 апреля. За воздушного стрелка вылетал штурман-испытатель подполковник 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Цветков. Атаки выполнялись со всех возможных в реальном бою направлений. При этом на маршруте полета от Чкаловской до Ногинска «мессер» успевал выполнить до 8–9 атак, находясь всегда в задней полусфере и отворачивая всякий раз в сторону с набором высоты.</w:t>
      </w:r>
    </w:p>
    <w:p w14:paraId="237A0827" w14:textId="47E03F64"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Оказалось, что за время одной атаки «мессершмитта» штурман успевал только развернуть установку в сторону истребителя и выставить пулемет в необходимое положение для стрельбы по нему, а на прицеливание оставалось «такое незначительное время, что точно навести прицел с требуемой поправкой на скорость цели не удалось ни разу». С одной стороны, это обуславливалось большими угловыми скоростями цели, а с другой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 значительными усилиями для удерживания пулемета при прицеливании и стрельбе. Дело в том, что для выполнения грубой наводки на цель штурману приходилось одной рукой (правой) удерживать пулемет, а другой </w:t>
      </w:r>
      <w:r w:rsidRPr="00070ADE">
        <w:rPr>
          <w:rFonts w:ascii="Times New Roman" w:hAnsi="Times New Roman"/>
          <w:color w:val="000000" w:themeColor="text1"/>
          <w:sz w:val="16"/>
          <w:szCs w:val="16"/>
        </w:rPr>
        <w:lastRenderedPageBreak/>
        <w:t>рукой (левой)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фиксировать стопор каретки установки и одновременно «доворачивать пулеметную установку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углового сектора точной наводки пулемета. Требовалось вновь перемещать саму установку и выполнять точную наводку пулеметом и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 То есть «одной рукой довести пулемет и прицелиться невозможно».</w:t>
      </w:r>
    </w:p>
    <w:p w14:paraId="1B97893A"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Положение усугублялось еще и тем обстоятельством, что при работе с пулеметом имело место «много мелких трудноуловимых препятствий, затруднявших маневр пулеметом и установкой».</w:t>
      </w:r>
    </w:p>
    <w:p w14:paraId="1F782D5F" w14:textId="1603E73A"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донесения Цветкова, производить прицеливание при стрельбе вверх было крайне неудобно, так как «приходится опускаться на корточки, и получается очень напряженное, неустойчивое положение». При поворотах установки на левый борт очень трудно использовать доводочные углы пулемета, требовалось менять положение туловища относительно оружия, а поскольку прицел располагался слева от пулемета,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устойчивым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во время прицеливания и стрельбы все время приходилось подыскивать место, куда бы поставить ноги. Отсюда потеря времени на прицеливание. Практически получалось так, что обеспечить прицельный огонь с левого борта было нельзя.</w:t>
      </w:r>
    </w:p>
    <w:p w14:paraId="60714AEF"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Стрельба с незастопоренной установкой показала, что пулемет в этом случае резко уходит к правому борту, а при стрельбе с застопоренной установкой пулемет сильно трясет.</w:t>
      </w:r>
    </w:p>
    <w:p w14:paraId="7554A037" w14:textId="2140D7B5"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Ведение прицельного огня на виражах оказалось невозможным, так как пулемет прижимает вниз, а «приподнять и удержать его не хватает силы», не говоря уже о том, чтобы одновременно с этим еще и поворачивать установку в сторону цели. Во время воздушного боя на виражах истребитель легко держался в хвосте и на первом же вираже заходил строго в хвост на дистанцию открытия действительного огня 100–150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w:t>
      </w:r>
    </w:p>
    <w:p w14:paraId="4A9365AD"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мнению подполковника Цветкова, маневренность ВУ-8 и пулемета в целом явно недостаточная для эффективного отражения атак истребителей, «в лучшем случае она может позволить сделать одну прицельную очередь, и то с недостаточной точностью прицеливания». Одновременно отмечалось, что сама установка ВУ-8 заметно лучше, чем блистерная установка БЛУБ на Су-6, и несколько лучше, чем ВУБ-3 на Ил-2.</w:t>
      </w:r>
    </w:p>
    <w:p w14:paraId="13B075E4"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Справедливости ради следует отметить, что при всех атаках со стороны задней полусферы летчик по команде штурмана энергичным маневром успевал доворачивать самолет таким образом, чтобы штурман мог держать противника в секторе обстрела. Это до некоторой степени компенсировало ограниченность углов обстрела установки, однако не обеспечивало ведение прицельной стрельбы.</w:t>
      </w:r>
    </w:p>
    <w:p w14:paraId="73A76FB6" w14:textId="4AABF3AE"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отражении атак истребителя со стороны солнца выявилась еще одна интересная особенность ВУ-8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плексиглас козырька установки слепил штурмана еще больше, чем солнце, вследствие чего прицеливаться было невозможно.</w:t>
      </w:r>
    </w:p>
    <w:p w14:paraId="797588AF"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переговорное устройство штурмана и летчика работало неудовлетворительно: «… сильный треск и шум не давали разговаривать, переключатель абонентской коробки во время боя несколько раз самопроизвольно переключался в положение РС или РК, что нарушало связь с летчиком».</w:t>
      </w:r>
    </w:p>
    <w:p w14:paraId="2D098D3F"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Серьезными недостатками ВУ-8 считались небольшая емкость магазина пулемета УБК и большое время его смены. Полсотни патронов в магазине оказалось недостаточно для отражения даже одной атаки истребителя. В то же время на его замену уходило около одной минуты, что было совершенно неприемлемым для реальных условий боя. В отчете указывалось, что за счет некоторых конструктивных улучшений можно сократить время смены магазина до 45–50 секунд, но все равно оно оставалось большим.</w:t>
      </w:r>
    </w:p>
    <w:p w14:paraId="627C8479" w14:textId="20847FFE"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ранее принятыми подобными установками преимуществ не имеет, за исключением того, что защищает стрелка от задувания»,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констатировал подполковник Цветков после проведенного им воздушного боя с немецким истребителем.</w:t>
      </w:r>
    </w:p>
    <w:p w14:paraId="5DF306F3"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выводах отчета предлагалось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4F5E6ED2" w14:textId="205FC509"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Предъявлялись претензии и к спецоборудованию самолета. В частности,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«летчик и штурман совмещают лишние функции».</w:t>
      </w:r>
    </w:p>
    <w:p w14:paraId="74CE4042"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столь обширный перечень дефектов и недостатков Ил-АМ-42, в заключении акта по испытаниям самолет был рекомендован к запуску в серийное производство в вариантах штурмовика-бомбардировщика и разведчика-корректировщика.</w:t>
      </w:r>
    </w:p>
    <w:p w14:paraId="2784193E" w14:textId="01DA65DB"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целью выявления боевых качеств Ил-АМ-42 предлагалось «выпустить войсковую серию этих самолетов». Причем когда акт подписывал начальник НИИ ВВС генерал-лейтенант 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Лосюков, то он собственноручно дописал к этому пункту документа: «…даже с 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час. ресурсом АМ-42 (если не успеют моторы со 100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час. ресурсом)».</w:t>
      </w:r>
    </w:p>
    <w:p w14:paraId="11C91D58" w14:textId="267FBB9B"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Военные специалисты считали необходимым «просить Наркома авиапромышленности тов. Шахурина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 дать задания: а) Главному конструктору мотора АМ-42 тов. Микулину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 довести опытный мотор до состояния пригодного к нормальной эксплуатации. б) Главному конструктору самолета Ил с АМ-42 тов. Ильюшину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 до запуска в серийное производство устранить дефекты, отмеченные в выводах…»</w:t>
      </w:r>
    </w:p>
    <w:p w14:paraId="6B7766D3" w14:textId="77777777" w:rsidR="005C20A0" w:rsidRPr="00070ADE" w:rsidRDefault="005C20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 касается установки на самолет кассет ДАГ-10 и крупнокалиберных пушек 11П, а также величины бомбовой нагрузки с этими пушками, то решение планировалось принять после проведения испытаний 2-го экземпляра самолета Ил-АМ-42 (17490).</w:t>
      </w:r>
    </w:p>
    <w:p w14:paraId="5EB08CC9" w14:textId="77777777" w:rsidR="005C20A0" w:rsidRPr="00070ADE" w:rsidRDefault="005C20A0" w:rsidP="00B56F90">
      <w:pPr>
        <w:spacing w:after="0" w:line="240" w:lineRule="auto"/>
        <w:jc w:val="both"/>
        <w:rPr>
          <w:rFonts w:ascii="Times New Roman" w:hAnsi="Times New Roman"/>
          <w:color w:val="000000" w:themeColor="text1"/>
          <w:sz w:val="16"/>
          <w:szCs w:val="16"/>
        </w:rPr>
      </w:pPr>
    </w:p>
    <w:p w14:paraId="3615D6A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28 февраля 1944 самолет Су-6 был полностью подготовлен к передаче на ЛИС завода для продолжения заводских испытаний. За это время на самолет «временно до изготовления главным конст</w:t>
      </w:r>
      <w:r w:rsidRPr="00070ADE">
        <w:rPr>
          <w:rFonts w:ascii="Times New Roman" w:hAnsi="Times New Roman"/>
          <w:color w:val="000000" w:themeColor="text1"/>
          <w:sz w:val="16"/>
          <w:szCs w:val="16"/>
        </w:rPr>
        <w:softHyphen/>
        <w:t>руктором мотора Микулиным водопомпы нормальной про</w:t>
      </w:r>
      <w:r w:rsidRPr="00070ADE">
        <w:rPr>
          <w:rFonts w:ascii="Times New Roman" w:hAnsi="Times New Roman"/>
          <w:color w:val="000000" w:themeColor="text1"/>
          <w:sz w:val="16"/>
          <w:szCs w:val="16"/>
        </w:rPr>
        <w:softHyphen/>
        <w:t>качки» установили дроссельные заслонки перед входом в водо-радиатор, снижающие давление в водосистеме до требуемых норм. Кроме того, радиаторным заводом изготовлен радиатор повышенной прочности.</w:t>
      </w:r>
    </w:p>
    <w:p w14:paraId="7ED8CA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до 21 марта на Су-6 АМ-42 удалось выполнить 8 полетов с суммарным налетом 4 ч 50 мин. Были получены неплохие летные данные. Максимальная скорость у земли составила 490 км/ч. Длина разбега — 420 м.</w:t>
      </w:r>
    </w:p>
    <w:p w14:paraId="5DDD06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Винтомоторная группа на всех режимах работала устойчиво. При пикировании скорость достигала 530 км/ч по прибору. Самолет вел себя устойчиво. Никаких ненормальностей не наблюдалось. Для уменьшения нагрузок на ручку управления самалетоми педали от рулей несколько изменили роговую и осевую компенсации.</w:t>
      </w:r>
    </w:p>
    <w:p w14:paraId="0361C8D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Вместе с тем отмечалось, что «мотор работает богато», а свечи ВГ-27 обеспечивают нормальную работу мотора только в течение 2 ч, после чего их приходится заменять.</w:t>
      </w:r>
    </w:p>
    <w:p w14:paraId="5962AB0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целом по летным и эксплуатационным данным самолет оценили положительно. Былшо решено передать его на государ</w:t>
      </w:r>
      <w:r w:rsidRPr="00070ADE">
        <w:rPr>
          <w:rFonts w:ascii="Times New Roman" w:hAnsi="Times New Roman"/>
          <w:color w:val="000000" w:themeColor="text1"/>
          <w:sz w:val="16"/>
          <w:szCs w:val="16"/>
        </w:rPr>
        <w:softHyphen/>
        <w:t>ственные испытания (11474,434).</w:t>
      </w:r>
    </w:p>
    <w:p w14:paraId="394844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71E5A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г. И-231 (2Д) А.И.М. с АМ-39А передали на госиспытания, но 8 марта он потерпел аварию из-за отказа щитков-закрылков и тормозов при посадке. Вскоре работы по И-231 были прекращены вследствие задержки с получением нового мотора (9032).</w:t>
      </w:r>
    </w:p>
    <w:p w14:paraId="408394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F710D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г. авиастроители завода № 82 собрали первенца - Як-9У М-107А. По плану, устранить производственные недостатки предполагалось на пяти машинах нулевой серии. Однако и нулевую, и первую серию (из десяти истребителей) военная приемка долго отказывалась оформлять (4842).</w:t>
      </w:r>
    </w:p>
    <w:p w14:paraId="2B4DCF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24722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было подготовлено письмо № 841058 Нач. Упр. ВУЗ ВВС КА гл иас Иванова (ГУ обучения, формирования и комплектования ВВС КА) Зам. Командующего ВВС КА гпа Никитину:</w:t>
      </w:r>
    </w:p>
    <w:p w14:paraId="083BB0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Виза: гм Шишкину:</w:t>
      </w:r>
    </w:p>
    <w:p w14:paraId="74F143D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Поручить лично Лазареву возглавить группу по разбору аварийных случаев.</w:t>
      </w:r>
    </w:p>
    <w:p w14:paraId="66C4DD3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отд. 3 войдет ви, от Лавочкина прибудет представитель 7 марта 1944</w:t>
      </w:r>
    </w:p>
    <w:p w14:paraId="296814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последние 4 месяца 1943 г. ВУЗ ВВС КА произошло 10 катастроф с-та Ла-5, из них в текущем году 5. Обстоятельства идентичны. При пилотировании или воздушном бое с-т Ла-5 произвольно входит в пикирование под различными углами от 30 до 90 гр. и пикирует до земли. Были разрушения планера (срыв обшивки, обрыв органов управления), обрыв хвоста по 11 шпангоуту. Мотор во всех случаях работал до удара о землю. Летчики погибали. В Батайской школе - 5 сл., Борисоглебской школе - 3 сл., в Чугуевской школе - 1 сл., Конотопском училище - 1 сл. В действующей армии (1ВА) зафиксирован случай разрушения с-та Ла-5 № 05-10 в воздухе, причем л удалось посадить с-т. (765,22).</w:t>
      </w:r>
    </w:p>
    <w:p w14:paraId="18F873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62FC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вышел приказ НКАП N 149сс:</w:t>
      </w:r>
    </w:p>
    <w:p w14:paraId="068D57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"Постановлением N 5201 от 18 февраля 1944 ГКО указывает на совершенно недопустимое положение дела с развитием реактивной авиации (1661,80):</w:t>
      </w:r>
    </w:p>
    <w:p w14:paraId="77554B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Гос. Институт Реактивной Техники при СНК ликвидировать.</w:t>
      </w:r>
    </w:p>
    <w:p w14:paraId="1E331A8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Придавая исключительно важное значение делу создания реактивной авиации в СССР, возложить решение этой задачи на НКАП.</w:t>
      </w:r>
    </w:p>
    <w:p w14:paraId="298C90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Обязать НКАП - А.И.Ш. и А.С.Я.:</w:t>
      </w:r>
    </w:p>
    <w:p w14:paraId="1085878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собрать все квалифицированные силы по реактивной технике в СССР и организовать НИИ Реактивной Авиации (НИРА), считая основной задачей института создание реактивных двигателей.</w:t>
      </w:r>
    </w:p>
    <w:p w14:paraId="6DAC9E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 придать новому институту исследовательско-конструкторское направление, с целью обеспечения создания надежных реактивных двигателей и самолетов и </w:t>
      </w:r>
      <w:r w:rsidRPr="00070ADE">
        <w:rPr>
          <w:rFonts w:ascii="Times New Roman" w:hAnsi="Times New Roman"/>
          <w:color w:val="000000" w:themeColor="text1"/>
          <w:sz w:val="16"/>
          <w:szCs w:val="16"/>
        </w:rPr>
        <w:lastRenderedPageBreak/>
        <w:t>практически осуществить полеты первых реактивных самолетов в 1944</w:t>
      </w:r>
    </w:p>
    <w:p w14:paraId="124012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наряду с работой по созданию реактивного самолета в НИРА, поручить проектирование и постройку реактивных самолетов А.С.Я., С.А.Л., А.И.М., П.О.С.</w:t>
      </w:r>
    </w:p>
    <w:p w14:paraId="3F12D8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к 15 марта с.г. представить в ГКО конкретные предложения о строительстве реактивных двигателей</w:t>
      </w:r>
    </w:p>
    <w:p w14:paraId="51076C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исполнение указанного постановления:</w:t>
      </w:r>
    </w:p>
    <w:p w14:paraId="24CFD7D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Зам. наркома А.С.Я. и Нач. 7 ГУ С.Н.Шишкину организовать в системе 7 ГУ на базе ГИРТ при СНК и завода 293 НИИ РА, присвоив ему литерное наименование НИИ-1 (1661,80).</w:t>
      </w:r>
    </w:p>
    <w:p w14:paraId="54984D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D23A1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г. вышел приказ НКАП №149, в соответствии с которым на базе ГИРТ и завода №293 органи</w:t>
      </w:r>
      <w:r w:rsidRPr="00070ADE">
        <w:rPr>
          <w:rFonts w:ascii="Times New Roman" w:hAnsi="Times New Roman"/>
          <w:color w:val="000000" w:themeColor="text1"/>
          <w:sz w:val="16"/>
          <w:szCs w:val="16"/>
        </w:rPr>
        <w:softHyphen/>
        <w:t>зовали НИИ-1 НКАП. Таким образом, в структуре НКАП стало два основных центра, которым было поручено зани</w:t>
      </w:r>
      <w:r w:rsidRPr="00070ADE">
        <w:rPr>
          <w:rFonts w:ascii="Times New Roman" w:hAnsi="Times New Roman"/>
          <w:color w:val="000000" w:themeColor="text1"/>
          <w:sz w:val="16"/>
          <w:szCs w:val="16"/>
        </w:rPr>
        <w:softHyphen/>
        <w:t>маться проблемами реактивного дви-гателестроения НИИ-1 и ЦИАМ. Воз</w:t>
      </w:r>
      <w:r w:rsidRPr="00070ADE">
        <w:rPr>
          <w:rFonts w:ascii="Times New Roman" w:hAnsi="Times New Roman"/>
          <w:color w:val="000000" w:themeColor="text1"/>
          <w:sz w:val="16"/>
          <w:szCs w:val="16"/>
        </w:rPr>
        <w:softHyphen/>
        <w:t>главивший в НИИ-1 отдел турбореак</w:t>
      </w:r>
      <w:r w:rsidRPr="00070ADE">
        <w:rPr>
          <w:rFonts w:ascii="Times New Roman" w:hAnsi="Times New Roman"/>
          <w:color w:val="000000" w:themeColor="text1"/>
          <w:sz w:val="16"/>
          <w:szCs w:val="16"/>
        </w:rPr>
        <w:softHyphen/>
        <w:t>тивных двигателей А.М.Люлька пере</w:t>
      </w:r>
      <w:r w:rsidRPr="00070ADE">
        <w:rPr>
          <w:rFonts w:ascii="Times New Roman" w:hAnsi="Times New Roman"/>
          <w:color w:val="000000" w:themeColor="text1"/>
          <w:sz w:val="16"/>
          <w:szCs w:val="16"/>
        </w:rPr>
        <w:softHyphen/>
        <w:t>вез из Ленинграда чертежи и детали РД-1 и после трехлетнего перерыва продолжил работы по созданию оте</w:t>
      </w:r>
      <w:r w:rsidRPr="00070ADE">
        <w:rPr>
          <w:rFonts w:ascii="Times New Roman" w:hAnsi="Times New Roman"/>
          <w:color w:val="000000" w:themeColor="text1"/>
          <w:sz w:val="16"/>
          <w:szCs w:val="16"/>
        </w:rPr>
        <w:softHyphen/>
        <w:t>чественного ТРД (11128).</w:t>
      </w:r>
    </w:p>
    <w:p w14:paraId="290BF3F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9B937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г. по приказу НКАП № 149сс завод № 293 вошел в состав НИИ-1 НКАП, а по приказу № 370сс от 30.05.1944 г. стал его филиалом № 1 (начальник (01.1946 г.)- Нейман, начальник КБ- А.Я. Березняк). Продолжены работы по «БИ». Здесь же работала группа (ОКО) А.М. Исаева по ЖРД (10776).</w:t>
      </w:r>
    </w:p>
    <w:p w14:paraId="4D7507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DA63BB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г. по приказу № 149сс НИРА был объединен с заводом № 293 (вместе с ОКБ-293) и преобразован в НИИ-1, в ведении 7ГУ НКАП. Началось сосредоточение в институте основных кадров по реактивной технике. Сюда переведены: из ОКБ-293 - ЭКБ-3 М.М. Бондарюка (создан отдел ПВРД, далее- КБ-2 НИИ-1, с 10.1950 г.- самостоятельное ОКБ-670); из ЦИАМ - А.М. Люлька (выдано задание на создание ТРД тягой 1250 кг); группа В.П. Глушко; группа Л.С. Душкина; группа А.М. Исаева (ОКО при НИИ-1).</w:t>
      </w:r>
    </w:p>
    <w:p w14:paraId="0D4CAE8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И.Ф. Флоров, работавший в ОКБ-293, в 07.1944 г. назначен начальником самолетного сектора № 43 НИИ-1 по приказу № 370сс от 30.05.1944 г. (с 1948 г.- в ЦИАМ). Здесь же с конца 1944 г. по 02.1945 г. работал А.А. Боровков. Создан самолет «4302» (1946 г.).</w:t>
      </w:r>
    </w:p>
    <w:p w14:paraId="51D1020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 364с от 29.05.1944 г. начальником НИИ-1 назначен П.И. Федоров, 1-м замом по научно-исследовательской работе- В.Ф. Болховитинов. Приказом № 656с от 11.11.1944 г. НИИ-1 передан в 18ГУ, основное направление- реактивное двигателестроение. В 03.1946 г. в связи с ликвидацией 18ГУ передан в 8ГУ, с 1.10.1951 г.- в 6ГУ.</w:t>
      </w:r>
    </w:p>
    <w:p w14:paraId="5A46D5B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03.1946 г. из НИИ-1 МАП на завод № 81 МАП переведена группа конструкторов (9 чел.), занимавшаяся установками РС. По приказу № 182сс от 30.03.1946 г. СКБ А.М. Люльки переведено на самостоятельную опытную базу- завод № 165 МАП, в состав его ОКБ передан личный состав отдела № 21 НИИ-1.</w:t>
      </w:r>
    </w:p>
    <w:p w14:paraId="6A811F1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1947 г. Келдышем разработан проект ракетного самолета с 2-мя ПВРД и ЖРД.</w:t>
      </w:r>
    </w:p>
    <w:p w14:paraId="7692F19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1.07.1948 г. НИИ-1 являлся филиалом ЦИАМ (приказ № 440с от 21.06.1948 г.). В соответствии с постановлением СМ СССР от 10.03.1952 г. НИИ-1 МАП стал самостоятельным и получил также название НИИ РД (реактивных двигателей)59.</w:t>
      </w:r>
    </w:p>
    <w:p w14:paraId="7E4A790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НИИ-88 в институт переведена лаборатория по автоматической астрокоррекции под руководством И.М. Лисовича.</w:t>
      </w:r>
    </w:p>
    <w:p w14:paraId="0A11FFA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 1950-х г., после выделения всех конструкторских организаций в самостоятельные, институт занимается НИР в ракетно-космической области и двигателестроении. </w:t>
      </w:r>
    </w:p>
    <w:p w14:paraId="6F8951C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1954 г. создана лаборатория № 6 (руководитель- К.П. Осминин) по динамике КР.</w:t>
      </w:r>
    </w:p>
    <w:p w14:paraId="021239C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1950-е г. построена стендовая испытательная база в Тураево.</w:t>
      </w:r>
    </w:p>
    <w:p w14:paraId="103F20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1954 г. институт принимает активное участие в работах по МБР Р-7, МКР «Буран» и «Буря».</w:t>
      </w:r>
    </w:p>
    <w:p w14:paraId="60D6163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1955 г. образован филиал по системам управления КР (начальник- Р.Г. Чачикян; гл. конструкторы: по астронавигации- И.М. Лисович, по автопилоту- Г.Н. Толстоусов).59 </w:t>
      </w:r>
    </w:p>
    <w:p w14:paraId="1020479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1956-57 г. построен газодинамический тепловой стенд Ц-12Т для испытаний ракет.59 </w:t>
      </w:r>
    </w:p>
    <w:p w14:paraId="4167BB2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1950-е г. существовала лаборатория систем управления (руководитель- Б.В. Раушенбах). Разработаны системы ориентации КА на основе солнечных и лунных датчиков (Башкин, Князев). Затем группа Б.В. Раушенбаха переведена в ОКБ-1 ГКОТ.</w:t>
      </w:r>
    </w:p>
    <w:p w14:paraId="4384C48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1965 г. НИИ-1 ГКАТ передан в подчинение 2ГУ МОМ и по приказу от 6.03.1966 г. преобразован в НИИТП (тепловых процессов). В 1990-х г. передан в РКА. В 1995 г. переименован в Исследовательский центр им М.В. Келдыша. По Указу Президента РФ № 1009 от 4.08.2004 г. вошел в число стратегических оборонных предприятий.</w:t>
      </w:r>
    </w:p>
    <w:p w14:paraId="5775443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1960-е г.: научное обеспечение разработок ЖРД и теплозащиты головных частей ракет (1954-57 г.- БР Р-7 и МКР «Буря»), решение задач по выводу в космос КА. Проведены первые фундаментальные исследования ядерных ракетных двигателей (с конца 1950-х). Разработаны схемы электрических плазменных двигателей торцевого типа (А.А. Поротников). </w:t>
      </w:r>
    </w:p>
    <w:p w14:paraId="48C5E60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1965 г. НИИТП- головная научно-исследовательская организация ракетного двигателестроения.</w:t>
      </w:r>
    </w:p>
    <w:p w14:paraId="6B15F59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Принимал участие в программе создания ОК «Буран». </w:t>
      </w:r>
    </w:p>
    <w:p w14:paraId="447C00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1970-80-е г.- научное обеспечение создания РДТТ для БРК.</w:t>
      </w:r>
    </w:p>
    <w:p w14:paraId="641C68F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начале 1980-х г. создан плазмогенератор «Марабу», создающих вокруг движущегося объекта плазменную оболочку, снижающую радиолокационную заметность объекта.63 </w:t>
      </w:r>
    </w:p>
    <w:p w14:paraId="30F3BA2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Разработана технология создания в ионосфере плазменно-паровых облаков, отражающих РЛ-излучение (работал Ю.А. Уткин). Испытания установки «Мажор» проведены на космической станции «Мир».63 </w:t>
      </w:r>
    </w:p>
    <w:p w14:paraId="113A202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2000 г.: работы по ракетно-космическим энергоустановкам, исследования в области термодинамики. </w:t>
      </w:r>
    </w:p>
    <w:p w14:paraId="7DF0167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Направления деятельности (2005 г.): исследования и разработки по ракетным двигателям для РКТ (ЖРД нового поколения, электроракетные двигатели); НИОКР по изделиям РКТ, подбор материалов и топлив; НИР по экологически чистым технологиям при производстве и эксплуатации РКТ; разработка технологий для военной, научной и народнохозяйственной техники; разработка энергосберегающих технологий.</w:t>
      </w:r>
    </w:p>
    <w:p w14:paraId="7E99AF3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 отдел «Водородной энергетики» (зам. начальника отдела (2005 г.)- В. Смоляров). Работы по водородным топливным элементам.</w:t>
      </w:r>
    </w:p>
    <w:p w14:paraId="68E3937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(1933-37 г.)- И.Т. Клейменов (репрессирован), (1937-40 г.)- Б.М. Слонимер, (1941 г.)- Н.А. Монаков, (1941 г.)- А.Н. Фоменко, (1942-02.1944 г.)- генерал-майор А.Г. Костиков (отстранен, затем репрессирован), (02.1944-)- В.И. Поликовский, (05.1944 г.-)- П.И. Федоров, (1945-46 г.)- Я.Л. Бибиков, генерал-майор ИАС, (11.1946 г.-)- М.В. Келдыш, (1948-49 г.)- В.В. Владимиров, (1949-51 г.)- В.А. Окулов, (1951-55 г.)- А.Т. Туманов, (1955-88 г.)- В.Я. Лихушин. Директор (1988-2005 г.-)- академик А.С. Коротеев.</w:t>
      </w:r>
    </w:p>
    <w:p w14:paraId="7D9C34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Научный руководитель (1948-61 г.)- академик М.В. Келдыш.</w:t>
      </w:r>
    </w:p>
    <w:p w14:paraId="6C9287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(1933 г.-)- С.П. Королев; по научной части - В.Ф. Болховитинов (05.1944-46 г.). Зам. директора (2003 г.)- А.М. Губертов; по ВЭС (2005 г.)- А.А. Кленчев.</w:t>
      </w:r>
    </w:p>
    <w:p w14:paraId="4C6E4C7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(1940-41 г.)- А.Г. Костиков. Начальник КБ (1943 г.-)- А.Я. Березняк.</w:t>
      </w:r>
    </w:p>
    <w:p w14:paraId="3E78D70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Работали: (03.1938; 1944 г.) - А.П. Артемьев (РС), А.П. Ваничев, Л.А. Воскресенский, И.И. Гвай (РС), (-1937 г.)-В.П. Глушко (репрессирован, работал в ОТБ НКВД на заводе № 8), (1933- 44 г.-)- Л.С. Душкин, (1941 г.)- В.С. Зуев (ПВРД), (1930-е; 1944-)- А.М. Исаев, (-04.1938 г.)- С.П. Королев (репрессирован), (-1937 г.)- Г.Э. Лангемак (репрессирован), А.М. Люлька, В.П. Мишин, (1936-45; 1958-96 г.)- А.В. Палло (ведущий инженер по ЖРД), Г.И. Петров, Н.А. Пилюгин, Ю.А. Победоносцев (РС для «Катюши»), (-1936-38 г.-)- Б.В. Раушенбах (расчеты), (-1934-41 г.-)- М.К. Тихонравов (затем- в НИИ-4 МО), Б.Е. Черток, (1941 г.)- Е.С. Щетинков (ПВРД). </w:t>
      </w:r>
    </w:p>
    <w:p w14:paraId="3CDE51A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РС: РС-82 (пнв в 1937 г.), РС-132 (пнв в 1938 г.); М-13 (пнв в 1941 г.), М-13УК (пнв в 1943 г.), М-13ДД (пнв в 1944 г.), М-20 (1941 г.) для БМ-13 «Катюша» ; М-8 (пнв в 1941 г.) для БМ-8 «Катюша»; М-30 (пнв в 1942 г.), М-31 (пнв в 1943 г.), М-31УК (пнв в 1944 г.) для БМ-31;58 самолеты с ЖРД: «302» (1943), «4302» (1946), «4303» (1947); СЭДУ- солнечная энергодвигательная установка с СТРД- солнечным тепловым ракетным двигателем.</w:t>
      </w:r>
    </w:p>
    <w:p w14:paraId="37EE73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НИИ-1 НКАП, МАП, ГКАТ, РНИИ (ракетный) РККА, НКТП, НИИ-3 НКОП, НКБ, ГИРТ при СНК, НИРА НКАП, НИИ РД МАП, НИИТП (тепловых процессов) МОМ, НИИТП им. М.В. Келдыша РКА, ФГУП «Исследовательский центр им. М.В. Келдыша» РАКА</w:t>
      </w:r>
    </w:p>
    <w:p w14:paraId="51DBFDB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125438 г. Москва, ул. Онежская, 8/10 тел. 456-46-08, 456-87-56 www.kerc.msk.ru (10776).</w:t>
      </w:r>
    </w:p>
    <w:p w14:paraId="7FA15B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КБ-7 РНИИ</w:t>
      </w:r>
    </w:p>
    <w:p w14:paraId="6C46E1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в 1935 г. на базе бригады ЖРД ГИРДа. Работы по жидкостным ракетам.</w:t>
      </w:r>
    </w:p>
    <w:p w14:paraId="76551DA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Построена испытательная станция, в состав которой вошли: башня для огневых испытаний, пультовая, помещение для сборки ракет, электротехническая и керамическая лаборатории.</w:t>
      </w:r>
    </w:p>
    <w:p w14:paraId="3A60700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(1935 г.)- Л.К. Корнеев.</w:t>
      </w:r>
    </w:p>
    <w:p w14:paraId="20B7ACD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(08.1935 г.)- А.И. Полярный.</w:t>
      </w:r>
    </w:p>
    <w:p w14:paraId="416D9EB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Работали: (1935 г.-)- М.Г. Воробьев, П.И. Иванов (нач. группы аэродинамики), Е.М. Курило (электротехника), А.С. Раецкий, Э.П. Шептицкий (нач. конструкторской группы); (1937 г.)- М.Ю. Голлендер (нач. керамической лаборатории), Ф.Л. Якайтис, В.С. Зуев, А.Б. Ионов.</w:t>
      </w:r>
    </w:p>
    <w:p w14:paraId="256E0B8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ракеты: Р-03, Р-06 (1936 г.), АНИР-5, Р-07, ЭНИР-7, Р-05, Р-10 (1939 г.); порохо-жидкостный двигатель М-17, М-29е для Р-05.</w:t>
      </w:r>
    </w:p>
    <w:p w14:paraId="09BCECF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Филиал № 1 НИИ-1</w:t>
      </w:r>
    </w:p>
    <w:p w14:paraId="2FDCB9E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/г. Химки Московской обл./</w:t>
      </w:r>
    </w:p>
    <w:p w14:paraId="41D4561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293 НКАП действовал в составе НИИ-1 по приказу № 149сс от 28.02.1944 г., далее- на правах филиала № 1 (по приказу № 370сс от 30.05.1944 г.). Здесь же работала группа (ОКО) А.М. Исаева по ЖРД.</w:t>
      </w:r>
    </w:p>
    <w:p w14:paraId="09F695C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постановлением СМ от 31.05.1946 г. и приказами № 361сс от 7.06.1946 г. и № 373с от 14.07.1946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А.М. Исаева переведена на основную территорию НИИ-1. Березняк в 12.1946 г. назначен зам. гл. конструктора ОКБ-2 завода № 1 МАП.</w:t>
      </w:r>
    </w:p>
    <w:p w14:paraId="53DCD7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филиала (01.1946 г.)- Нейман.</w:t>
      </w:r>
    </w:p>
    <w:p w14:paraId="5A4BB0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КБ филиала (06.1946 г.)- А.Я. Березняк.</w:t>
      </w:r>
    </w:p>
    <w:p w14:paraId="24CA092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Филиал № 2 НИИ-1</w:t>
      </w:r>
    </w:p>
    <w:p w14:paraId="75CDF9D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Москва Ново-Владыкино/</w:t>
      </w:r>
    </w:p>
    <w:p w14:paraId="79F7147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 655с от 11.11.1944 г.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образована база НИИ-1 по данной тематике. По приказу № 699с от 27.12.1944 г. база стала филиалом № 2 НИИ-1 по реактивному вооружению.</w:t>
      </w:r>
    </w:p>
    <w:p w14:paraId="16D9AF4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3826866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постановлением СМ СССР № 1017-419сс от 13.05.1946 г. и приказом МАП/ МСХМ № 318сс/126сс от 24.05.1946 г. для концентрации работ по пороховым РС из системы МАП в ведение МСХМ передан филиал № 2 НИИ-1 МАП (со всеми сооружениями и штатом сотрудников~ 350 чел.) с образованием на его базе КБ-2 МСХМ. В числе переведенных были начальник филиала Победоносцев, начальник отдела Е.А. Печерский и др.</w:t>
      </w:r>
    </w:p>
    <w:p w14:paraId="38FF9D3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бывшего филиала и ГЦКБ-1 МСХМ образован специализированный НИИ пороховых РС (с 1.04.1947 г. получивший название НИИ-1 МСХМ).</w:t>
      </w:r>
    </w:p>
    <w:p w14:paraId="413F723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филиала (1944-46 г.)- Ю.А. Победоносцев.</w:t>
      </w:r>
    </w:p>
    <w:p w14:paraId="3A0C9D8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гл. инженер (1944 г.)- Н.В. Климовицкий.</w:t>
      </w:r>
    </w:p>
    <w:p w14:paraId="1103910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КБ-1, ОКБ-1 при НИИ-1 МАП гл. конструктора Л.С. Душкина</w:t>
      </w:r>
    </w:p>
    <w:p w14:paraId="50DF2B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Л.С. Душкин работал в ГИРДе, с 1933 г.- в РНИИ, в моторной лаборатории. С 01.1938 г. возглавлял в НИИ-3 НКБ отдел по ЖРД. </w:t>
      </w:r>
    </w:p>
    <w:p w14:paraId="1CA43A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приказом НКАП № 433сс/ов от 11.06.1942 г. для ускорения работ по реактивным двигателям планировалось перевести группу Душкина (В.А. Штоколов, А.В. Палло и др.) из НИИ-3 на завод № 293. Однако, по имеющейся информации, группа Душкина не была переведена и продолжала работать в НИИ-3 и затем в НИИ-1.</w:t>
      </w:r>
    </w:p>
    <w:p w14:paraId="637363D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Проводились работы по ускорителю самолета С-155 и ускорителю для Е-50.</w:t>
      </w:r>
    </w:p>
    <w:p w14:paraId="5CC904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Душкин до 04.1946 г.- начальник отдела № 13 НИИ-1. В 04.1946 г.- гл. конструктор КБ-1 при НИИ-1.</w:t>
      </w:r>
    </w:p>
    <w:p w14:paraId="26BE3F2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1949 г. ОКБ-1 входило в состав ЦИАМ (вместе с НИИ-1).</w:t>
      </w:r>
    </w:p>
    <w:p w14:paraId="6B8870E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постановлением СМ СССР № 2473-973 от 10.06.1950 г. ОКБ-1 гл. конструктора Л.С. Душкина было ликвидировано, личный состав перевели в ОКБ-456, другие лаборатории НИИ-1.76 В 1955 г. Л.С. Душкин возглавил ОКБ-165-1.</w:t>
      </w:r>
    </w:p>
    <w:p w14:paraId="6C6177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Работали: (1949 г.)- Преображенский, Чурков.</w:t>
      </w:r>
    </w:p>
    <w:p w14:paraId="7232ABA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ЖРД: ОР-10 («02» для «216»), РД-12К, РДА-1-150 для РП-318, РДК-150, РДА-300, КРД-604 для «604», Д-1-А-1100 для «БИ», Д-1-Т для торпеды РТ-45 (1932-42 г.); РД-КС-1 (1946), РД-КС-3, РД-2М (1945), РД-2М3В для «302», РД-2М3ВФ для самолета «5» (1946), РД-3М, РД-КС-5, УС-2500.</w:t>
      </w:r>
    </w:p>
    <w:p w14:paraId="1CEF7E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КБ-2 при НИИ-1 МАП гл. конструктора М.М. Бондарюка</w:t>
      </w:r>
    </w:p>
    <w:p w14:paraId="2ACE4EE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 149сс от 28.02.1944 г. ЭКБ-3 НИИ ГВФ М.М. Бондарюка вместе с ОКБ-293 влили в состав НИИ-1. Далее оно преобразовано в отдел прямоточных двигателей, а вскоре- и в КБ-2. Сначала Бондарюк- руководитель и конструктор КБ, а с 08.1947 г.- гл. конструктор КБ-2 (в 1949 г. по совместительству работал в отделе № 5 НИИ-88).</w:t>
      </w:r>
    </w:p>
    <w:p w14:paraId="47B6E85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дальнейшего ускорения работ и из-за потребности в собственной экспериментальной базе 1.10.1950 г. КБ-2 выделилось в самостоятельную организацию и получило название ОКБ-670 МАП, гл. конструктор- М.М. Бондарюк.</w:t>
      </w:r>
    </w:p>
    <w:p w14:paraId="4EFB15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(08.1947-10.1950 г.)- М.М. Бондарюк.</w:t>
      </w:r>
    </w:p>
    <w:p w14:paraId="117325E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конструктора – Г.А. Варшавский.</w:t>
      </w:r>
    </w:p>
    <w:p w14:paraId="09813D0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Работали: И.М. Вишнепольский, Ю.Н. Глазунов, Е.Я. Губер, Н.Д. Домарев, Ю.К. Ефимов, И.А. Куратов, И.Б. Леванов, А.Ф. Макеев, С.И. Платонов, С.М. Родин.</w:t>
      </w:r>
    </w:p>
    <w:p w14:paraId="3E0ED49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ПВРД: РД-430 для Ла-126 и Ла-138 (1948); проект РД-165 для установки на НВ вертолета И.П. Братухина; РД-350; проект РД-007 для «10Х» (1948); РД-700 (РД-1, 1948); первый двухконтурный РД-1А для РС «Шторм»(1949-50), РД-550 для мишени ЛМ-15 (1949).</w:t>
      </w:r>
    </w:p>
    <w:p w14:paraId="59FD79C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КБ-3 при НИИ-1 МАП гл. конструктора Г.Я. Диллона</w:t>
      </w:r>
    </w:p>
    <w:p w14:paraId="6C3646A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Также- это отдел вооружения № 52 НИИ-1.</w:t>
      </w:r>
    </w:p>
    <w:p w14:paraId="7941295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1942 г. под руководством Г.Я. Диллона и его зама В.П. Голикова начаты исследования и разработка реактивной авиационной торпеды РАТ (работали Ю.Б. Гермейер, В.А. Андреев, О.Т. Сазонова, Я.Л. Рудницкий). Закладывалась серия на заводе № 500.</w:t>
      </w:r>
    </w:p>
    <w:p w14:paraId="53DBE31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1944 г. Диллон работал в филиале № 2 НИИ-1 по РС.</w:t>
      </w:r>
    </w:p>
    <w:p w14:paraId="35A4E11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1948 г. действовало КБ-3 при НИИ-1. Разработан пороховой ускоритель У-5 для самолетов (1948 г., планировался выпуск на заводе № 500).</w:t>
      </w:r>
    </w:p>
    <w:p w14:paraId="115D39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Видимо, после передачи филиала № 2 НИИ-1 в МСХМ и образования НИИ-1 МСХМ группа Диллона действовала там (по разным сведениям, или из отдела № 52 НИИ-1 МАП, или из НИИ-1 МСХМ, группа Г.Я. Диллона из 16 чел., зам.- В.П. Голиков, к 07.1946 г. переведена с тематикой по РАТ-52 в НИИ-2 МАП).</w:t>
      </w:r>
    </w:p>
    <w:p w14:paraId="406D27E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СКБ НИИ-1 МАП гл. конструктора А.М. Люльки</w:t>
      </w:r>
    </w:p>
    <w:p w14:paraId="36A0A15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Москва Лихоборы/</w:t>
      </w:r>
    </w:p>
    <w:p w14:paraId="4B5A209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Организовано при институте по приказу № 185с от 13.03.1944 г. для развития работ по ГТД. Одновременно гл. конструктором утвержден А.М. Люлька, группа которого со всем заделом и оборудованием была переведена из ЦИАМ. Работы по ТРД С-18, создан в 1945 г. Затем на его базе создан ТР-1.</w:t>
      </w:r>
    </w:p>
    <w:p w14:paraId="5BA1B54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МАП № 182сс от 30.03.1946 г. для расширения работ СКБ переведено на самостоятельную базу- завод № 165 и получило название ОКБ-165 МАП.</w:t>
      </w:r>
    </w:p>
    <w:p w14:paraId="65B405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(03.1944-03.1946 г.)- А.М. Люлька.</w:t>
      </w:r>
    </w:p>
    <w:p w14:paraId="4645411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ОКО при НИИ-1 МАП </w:t>
      </w:r>
    </w:p>
    <w:p w14:paraId="69DE23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Химки, г. Москва/</w:t>
      </w:r>
    </w:p>
    <w:p w14:paraId="0A004A4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Опытно-конструкторский отдел сформирован в институте в 1944 г. Проводил работы по ЖРД.</w:t>
      </w:r>
    </w:p>
    <w:p w14:paraId="482D8FC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Основу отдела составила группа двигателистов бывшего ОКБ-293, влитого в НИИ-1. Создан ЖРД РД-1 для «БИ», У-400-10 для экспериментальных летающих моделей ЛМ-6, ЛМ-9, ЛМ-12 (1946-47 г.), ЖРД-ускоритель СУ-1500; разрабатывался одноразовый РД У-12500 (1946 г.). </w:t>
      </w:r>
    </w:p>
    <w:p w14:paraId="16F1C24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отдела (-04.1946 г.)- А.М. Исаев. В 04.1946 г. Исаев возглавил ОТБ-2 в Германии (по некоторым данным, перед поездкой в Германию Исаев работал начальником цеха завода № 500).</w:t>
      </w:r>
    </w:p>
    <w:p w14:paraId="53B6D05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До 06.1946 г. ОКО располагался на территории филиала № 1 НИИ-1 в Химках. Затем по приказу № 361сс от 7.06.1946 г. ОКО переведен на основную территорию НИИ-1. </w:t>
      </w:r>
    </w:p>
    <w:p w14:paraId="2764974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05.1948 г. в связи с большей перспективностью работ по ЖРД для РКТ ОКО Исаева переведен в НИИ-88 МВ, где образовал отдел № 9.</w:t>
      </w:r>
    </w:p>
    <w:p w14:paraId="590CD65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Филиал НИИ-1 МАП</w:t>
      </w:r>
    </w:p>
    <w:p w14:paraId="5C88778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Создан в составе института в 1955 г. для работ по системам управления КР. </w:t>
      </w:r>
    </w:p>
    <w:p w14:paraId="7A5DD29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Создана астронавигационная система «Земля» для МКР «Буран» и аналогичная система для МКР «Буря». Гл. конструкторы систем- И.М. Лисович, Г.И. Толстоусов. В связи с прекращением работ по МКР остановлены работы и по астронавигации.</w:t>
      </w:r>
    </w:p>
    <w:p w14:paraId="7C653B0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Руководитель (1955-59 г.)- Р.Г. Чачикян (в 1942-51 г. работал на заводах № 122 НКАП, № 224 НКАП; с 1959 г.- гл. конструктор ОКБ-133 МАП).</w:t>
      </w:r>
    </w:p>
    <w:p w14:paraId="5295864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1962 г. в 4ГУ ГКАТ действовал филиал НИИ-1 (начальник- А.В. Ежов).</w:t>
      </w:r>
    </w:p>
    <w:p w14:paraId="4D4D47C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Филиал № 2 НИИ-1 МАП, п/я 10, НИИ Машиностроения МОМ, ГУП «НИИ Машиностроения» </w:t>
      </w:r>
    </w:p>
    <w:p w14:paraId="28C886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/624790 г. Нижняя Салда Свердловской обл., ул. Строителей, 72 тел. (34345) 217-03/</w:t>
      </w:r>
    </w:p>
    <w:p w14:paraId="2FEBEFF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 в соответствии с постановлением правительства № 2132 от 26.12.1956 г. как предприятие п/я 10 для проведения экспериментальных исследований по ЖРД, работающих на специальных топливах. Построен ряд стендов и опытное производство (в 1962 г.- испытательный комплекс 101, в 1963 г.- гидролаборатория, в 1964 г. –механосборочный корпус). Затем, в 1970-х г. созданы испытательные комплексы № 201 и 301. В 1980 г. введен в строй испытательный комплекс для ЖРД, работающих на криогенных компонентах топлива.</w:t>
      </w:r>
    </w:p>
    <w:p w14:paraId="0961720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Постепенно, кроме сопровождения работ различных ОКБ по ЖРД, в филиале начались самостоятельные ОКР по ЖРД малой тяги, с 1981 г.- головное предприятие в этой области. Принимал участие в программе создания ОК «Буран».</w:t>
      </w:r>
    </w:p>
    <w:p w14:paraId="7A5F6E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1981 г. филиал, п/я 10, преобразован в самостоятельный НИИ Машиностроения и передан в ведение 12ГУ МОМ. Разработка ЖРД, ракетных двигателей малой тяги. Создано более 30 ЖРДМТ.</w:t>
      </w:r>
    </w:p>
    <w:p w14:paraId="3A2696C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7574254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филиала (1957-66 г.)- М.Г. Миронов.</w:t>
      </w:r>
    </w:p>
    <w:p w14:paraId="03C77A8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(1981 г.)- В.И. Чепак, (-2000-02 г.-)- Б.А. Некрасов.</w:t>
      </w:r>
    </w:p>
    <w:p w14:paraId="16B43D3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(2002 г.)- Е.Г. Ларин.</w:t>
      </w:r>
    </w:p>
    <w:p w14:paraId="1B9D85A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Зам. директора по НИР (2002 г.)- Е.Г. Ларин.69 </w:t>
      </w:r>
    </w:p>
    <w:p w14:paraId="051E331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Создано: ЖРД: РДМТ-0.8, РДМТ-5 для передвижения космонавтов в открытом космосе, РДМТ-100, РДМТ-12, РДМТ-50, РДМТ-135, РДМТ-200, РДМТ-400.50 </w:t>
      </w:r>
    </w:p>
    <w:p w14:paraId="729B9D4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КБ «Пламя» при НИИТП МОМ, НПВО «Пламя» МОМ, ЗАО «ОКБ «Пламя»</w:t>
      </w:r>
    </w:p>
    <w:p w14:paraId="56ED7A0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КБ «Пламя» образовано при НИИТП в 1978 г. из группы конструкторов ОКБ-670 во главе с И.Б. Левановым, переведенных в 1972 г. в ОКБ-4-300 для продолжения работ по ПВРД.</w:t>
      </w:r>
    </w:p>
    <w:p w14:paraId="6F6FDC5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1991 г. КБ преобразовано в самостоятельное НПВО «Пламя» МОМ. Размещалось в помещениях НИИТП. Весной 1994 г. было принято решение о преобразовании НПВО «Пламя» в ОКБ, входящее в состав НИИТП, а в 04.1994 г. НПВО ликвидировано. Коллектив перебазировался на другую территорию, где было образовано ЗАО «ОКБ «Пламя». В 02.1998 г. ОКБ ДУ «Пламя» вошло в состав ГНПЦ «Звезда-Стрела».</w:t>
      </w:r>
    </w:p>
    <w:p w14:paraId="31643E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1970-х г. велись работы по ядерному ПВРД для низколетящей КР. Работы по СПВРД для ПКР «Яхонт» (испытания- с 1987 г.). Работы по ГПВРД по программе «Орел»</w:t>
      </w:r>
    </w:p>
    <w:p w14:paraId="6DB734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Руководитель (1978-99 г.-)- И.Б. Леванов.</w:t>
      </w:r>
    </w:p>
    <w:p w14:paraId="286F20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(1978-99 г.-)- И.Б. Леванов (10776).</w:t>
      </w:r>
    </w:p>
    <w:p w14:paraId="4A4E540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9F9572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28 февраля 1944 г. завод № 293 НКАП действовал в составе НИИ-1 по приказу № 149сс, далее - на правах филиала № 1 (по приказу № 370сс от 30.05.1944 г.). Здесь же работала группа (ОКО) A.M. Исаева по ЖРД.</w:t>
      </w:r>
    </w:p>
    <w:p w14:paraId="2D91FE4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Имелся исытательный стенд, на котором были проведены испытания ТРД Jumo-004.</w:t>
      </w:r>
    </w:p>
    <w:p w14:paraId="54D5256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СМ от 31.05.1946 г. и приказами № 361сс от 7.06.1946 г. и № 373с от 14.07.1946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A.M. Исаева переведена на основную территорию НИИ-1. Березняк в 12.1946 г. назначен зам. гл. конструктора ОКБ-2 завода № 1 МАП.</w:t>
      </w:r>
    </w:p>
    <w:p w14:paraId="100926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филиала (01.1946 г.)- Нейман.</w:t>
      </w:r>
    </w:p>
    <w:p w14:paraId="4A208C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КБ филиала (06.1946 г.)- А.Я. Березняк (11982).</w:t>
      </w:r>
    </w:p>
    <w:p w14:paraId="5DB6765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BE8147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г. ЭКБ-3 вместе с ОКБ-293 переведено в НИИ-1 МАП (10776).</w:t>
      </w:r>
    </w:p>
    <w:p w14:paraId="51671AE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B7F4CA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г. По приказу № 149сс от ЭКБ гл. конструктора М.М. Бондарюка вместе с ОКБ-293 переведено в НИИ-1 МАП (11982).</w:t>
      </w:r>
    </w:p>
    <w:p w14:paraId="5DABB85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FCBEB8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г. по приказу № 149сс ЭКБ-3 НИИ ГВФ М.М. Бондарюка вместе с ОКБ-293 влито в состав НИИ-1. Далее оно преобразовано в отдел прямоточных двигателей, а вскоре- в КБ-2. Сначала Бондарюк- руководитель и конструктор КБ, а с 08.1947 г.- гл. конструктор КБ-2 (в 1949 г. по совместительству работал в отделе № 5 НИИ-88).</w:t>
      </w:r>
    </w:p>
    <w:p w14:paraId="6D18430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дальнейшего ускорения работ и из-за потребности в собственной экспериментальной базе 1.10.1950 г. КБ-2 выделено в самостоятельную организацию и получило название ОКБ-670 МАП, гл. конструктор- М.М. Бондарюк.</w:t>
      </w:r>
    </w:p>
    <w:p w14:paraId="56D1713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 первый двухконтурный РД-1А для PC «Шторм».</w:t>
      </w:r>
    </w:p>
    <w:p w14:paraId="3BF0171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(08.1947-10.1950 г.)- М.М. Бондарюк.</w:t>
      </w:r>
    </w:p>
    <w:p w14:paraId="04B22F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конструктора - Г.А. Варшавский.</w:t>
      </w:r>
    </w:p>
    <w:p w14:paraId="42D6695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ПВРД: РД-430 для Ла-126 и Ла-138 (1948), РД-165 (проект для установки на НВ вертолета И.П. Братухина), РД-350, РД-007 (проект для «10Х», 1948), РД-700 (РД-1, 1948), РД-1А (1949-50), РД-550 для мишени ЛМ-15 (1949) (11982).</w:t>
      </w:r>
    </w:p>
    <w:p w14:paraId="369529BE" w14:textId="77777777" w:rsidR="00AD0763" w:rsidRPr="00070ADE" w:rsidRDefault="00AD0763" w:rsidP="00B56F90">
      <w:pPr>
        <w:autoSpaceDE w:val="0"/>
        <w:autoSpaceDN w:val="0"/>
        <w:adjustRightInd w:val="0"/>
        <w:spacing w:after="0" w:line="240" w:lineRule="auto"/>
        <w:jc w:val="both"/>
        <w:rPr>
          <w:rFonts w:ascii="Times New Roman" w:hAnsi="Times New Roman"/>
          <w:color w:val="000000" w:themeColor="text1"/>
          <w:sz w:val="16"/>
          <w:szCs w:val="16"/>
        </w:rPr>
      </w:pPr>
    </w:p>
    <w:p w14:paraId="136F3BC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г. по приказу № 149сс завод № 293 вошел в состав НИИ-1 НКАП, а по приказу № 370сс от 30.05.1944 г. стал его филиалом № 1 (начальник (01.1946 г.)- Нейман, начальник КБ- А.Я. Березняк). Продолжены работы по «БИ».</w:t>
      </w:r>
    </w:p>
    <w:p w14:paraId="2D54643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СМ № 1145-471сс от 31.05.1946 г. (о развитии работ по реактивной технике) и приказами № 361сс от 7.06.1946 г. и № 373с от 14.06.1946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В 10.1946 г. отдел A.M. Исаева переведен на основную территорию НИИ-1. Березняк в 12.1946 г. назначен зам. гл. конструктора ОКБ-2 завода № 1 МАП.</w:t>
      </w:r>
    </w:p>
    <w:p w14:paraId="199614B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1.05.1948 г. завод передан из 7ГУ в 14ГУ. 1.04.1953 г. завод № 293 передан в подчинение КБ-1 ТГУ СМ (по приказу МАП № 229сс от 21.02.1953 г.) как опытная база.</w:t>
      </w:r>
    </w:p>
    <w:p w14:paraId="2DA545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начала 1954 г. преобразован в опытную базу ОКБ-2 МАП П.Д. Грушина (с этого времени перестало существовать название «завод № 293»).</w:t>
      </w:r>
    </w:p>
    <w:p w14:paraId="3866945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(1940-44 г.)- В.Ф. Болховитинов, (1946-53 г.)- М.Р. Бисноват, (03.1952 г.)- Ф.П. Герасимов.</w:t>
      </w:r>
    </w:p>
    <w:p w14:paraId="52548F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(1940-44 г.)- В.Ф. Болховитинов, (1946-53 г.)- М.Р. Бисноват.</w:t>
      </w:r>
    </w:p>
    <w:p w14:paraId="111B14D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директора: по производству (09.1940 г.-)- А.И. Мамучашвили; по «БИ» (09.1942 г.)- И.Ф. Флоров; (06.1946 г.-)- В.Н. Елагин.</w:t>
      </w:r>
    </w:p>
    <w:p w14:paraId="56FC15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конструктора по «БИ» (09.1942 г.)- И.Ф. Флоров.</w:t>
      </w:r>
    </w:p>
    <w:p w14:paraId="1FD30BE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(03.1941 г.-&gt; Л.А. Кац.</w:t>
      </w:r>
    </w:p>
    <w:p w14:paraId="7E7C5C4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цехов: сборочного (-10.1940 г.)- И.А. Иванов (11982).</w:t>
      </w:r>
    </w:p>
    <w:p w14:paraId="03EE0FCE" w14:textId="77777777" w:rsidR="00AD0763" w:rsidRPr="00070ADE" w:rsidRDefault="00AD0763"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E101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года начальник штаба НИИ ВВС генерал-майор ИАС Иващенко писал письмо N 1/072 Шахурину.</w:t>
      </w:r>
    </w:p>
    <w:p w14:paraId="791165A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Направляю дополнительные альбомные карточки, составленные по результатам испытаний объектов, в НИИ ВВС, для включения их в альбомы, ранее высланные Вам:</w:t>
      </w:r>
    </w:p>
    <w:p w14:paraId="2B76C1B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"Альбом средств механизации ВВС" - 10 карточек для служебного пользования.</w:t>
      </w:r>
    </w:p>
    <w:p w14:paraId="05F26C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"Альбом бензобаков и систем нейтральных газов самолетов ВВС" - 3 карточки для служебного пользования.</w:t>
      </w:r>
    </w:p>
    <w:p w14:paraId="404901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"Альбом материалов авиаброни и схем бронирования самолетов" - 1 карточка ("Схема бронирования с-та Су-6") - с грифом "секретно" и 2 карточки - несекретные.</w:t>
      </w:r>
    </w:p>
    <w:p w14:paraId="4BDB044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"Альбом авиаколес" - 3 карточки несекретн.</w:t>
      </w:r>
    </w:p>
    <w:p w14:paraId="2C3F56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"Альбом антиобледенительных устройств самолетов" - 1 карточка несекретная.</w:t>
      </w:r>
    </w:p>
    <w:p w14:paraId="14D911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1 карточка ("Схема бронирования самолета Су-6") - с грифом "секретно",</w:t>
      </w:r>
    </w:p>
    <w:p w14:paraId="668F93F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карточек - для служебного пользования.</w:t>
      </w:r>
    </w:p>
    <w:p w14:paraId="2D2B6F0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карточек - несекретных.</w:t>
      </w:r>
    </w:p>
    <w:p w14:paraId="764F17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- 20 карточек (1821).</w:t>
      </w:r>
    </w:p>
    <w:p w14:paraId="533D51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5DC0A4"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1B43E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C036DA"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вышло Распоряжение ГКО № 5258 О мероприятиях, обеспечивающих развитие автогенной промышленности Наркомтяжмаша. (7194, 1-2,3-20).</w:t>
      </w:r>
    </w:p>
    <w:p w14:paraId="4B05323F"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6567B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г. постановлением Государственного Комитета Обороны был создан Государственный союзный научно-исследовательский институт автогенной промышленности "НИИавтоген" С 1945 г. назывался Государственный союзный научно-исследовательский институт автогенной обработки металлов, с 1946 г. - Всесоюзный научно-исследовательский институт автогенной обработки металлов "ВНИИавтоген". Приказом Госкомитета химического и нефтяного машиностроения при Госплане СССР от 12 августа 1964 г. институт переименован во Всесоюзный научно-исследовательский и конструкторский институт автогенного машиностроения "ВНИИавтогенмаш" (12102).</w:t>
      </w:r>
    </w:p>
    <w:p w14:paraId="4A47ABBF" w14:textId="77777777" w:rsidR="00AD0763" w:rsidRPr="00070ADE" w:rsidRDefault="00AD0763" w:rsidP="00B56F90">
      <w:pPr>
        <w:autoSpaceDE w:val="0"/>
        <w:autoSpaceDN w:val="0"/>
        <w:adjustRightInd w:val="0"/>
        <w:spacing w:after="0" w:line="240" w:lineRule="auto"/>
        <w:jc w:val="both"/>
        <w:rPr>
          <w:rFonts w:ascii="Times New Roman" w:hAnsi="Times New Roman"/>
          <w:color w:val="000000" w:themeColor="text1"/>
          <w:sz w:val="16"/>
          <w:szCs w:val="16"/>
        </w:rPr>
      </w:pPr>
    </w:p>
    <w:p w14:paraId="3A948BF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вышло Постановление ГКО № 5259 Об обеспечении Сухонских предприятий Наркомбумпрома балансами и дровами. РГАНИР, Фонд ГКО, д. 214, лл. 21-23 (11012).</w:t>
      </w:r>
    </w:p>
    <w:p w14:paraId="6FC94FF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90D0E5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28 февраля 1944 вышло Постановление ГКО № 5260 О мероприятиях по обеспечению топливом электростанций Ярэнерго Наркомэлектростанций и Костромской ТЭЦ Наркомтекстиля СССР в I полугодии 1944 г. РГАНИР, Фонд ГКО, д. 214, лл. 24-26 (11012).</w:t>
      </w:r>
    </w:p>
    <w:p w14:paraId="24EC238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21CD368"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вышло Распоряжение ГКО № 5261 [О разрешении ремонтировать автомобили гражданских организаций за счет снижения плана ремонта автомашин для КА на Тбилисском авторемонтном заводе.] (7194, 27).</w:t>
      </w:r>
    </w:p>
    <w:p w14:paraId="76E707EE"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283C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вышло Распоряжение ГКО № 5262. О закреплении до 1 мая 1944 г. за НКРП 30 военнослужащих, откомандированных в его Распоряжение в ноябре 1943 г. РГАНИР, Фонд ГКО, д. 214, лл. 28 (11012).</w:t>
      </w:r>
    </w:p>
    <w:p w14:paraId="5AB0A04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5023CB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вышло Распоряжение ГКО № 5263. О заказе на импорт компрессоров и турбокомпрессоров для кислородных установок системы академика Капица. РГАНИР, Фонд ГКО, д. 214, лл. 29-30 (11012).</w:t>
      </w:r>
    </w:p>
    <w:p w14:paraId="01DFAEF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D4810F2"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вышло Распоряжение ГКО № 5264 [О мерах по удовлетворению неотложных нужд предприятий НКЧМ в противопожарном оборудовании.] (7194, 31).</w:t>
      </w:r>
    </w:p>
    <w:p w14:paraId="50BEFE3D"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2C515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вышло Постановление ГКО № 5265 О восстановлении Гомельского стекольного завода им. Сталина и торфопредприятия "Большевик" Наркомстройматериалов СССР. РГАНИР, Фонд ГКО, д. 214, лл. 32-39,40-49 (11012).</w:t>
      </w:r>
    </w:p>
    <w:p w14:paraId="21392EA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9BF916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вышло Постановление ГКО № 5266 О производства особо дефицитных деталей к тракторам для нужд сельского хозяйства. РГАНИР, Фонд ГКО, д. 214, лл. 50-53,54-57 (11012).</w:t>
      </w:r>
    </w:p>
    <w:p w14:paraId="353A53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9A992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вышло Распоряжение ГКО № 5267. Об обеспечении квалифицированной рабочей силой и ИТР восстанавливаемых рудников Криворожского железорудного и Никопольского марганцевого бассейнов НКЧМ. РГАНИР, Фонд ГКО, д. 214, лл. 58-60 (11012).</w:t>
      </w:r>
    </w:p>
    <w:p w14:paraId="19616E5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9D347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вышло Постановление ГКО № 5268 О мерах помощи по восстановлению и пуску в эксплуатацию холодильников Наркоммясомолпрома СССР. РГАНИР, Фонд ГКО, д. 214, лл. 61-64,65-71 (11012).</w:t>
      </w:r>
    </w:p>
    <w:p w14:paraId="4973FDB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1D9507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вышло Постановление ГКО № 5269 О развитии производства металлорежущих станков на предприятиях Наркомата станкостроения. РГАНИР, Фонд ГКО, д. 214, лл. 72-82,83-120 (11012).</w:t>
      </w:r>
    </w:p>
    <w:p w14:paraId="08EFB54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F32E0CF" w14:textId="77777777" w:rsidR="00614D0B" w:rsidRPr="00070ADE" w:rsidRDefault="00614D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г. ИЗ ПОСТАНОВЛЕНИЯ ГКО О МЕРАХ ПО ВОССТАНОВЛЕИНИЮ ПРОМЫШЛЕННОСТИ РЕЖУЩИХ СТАНКОВ НА МЕТАЛЛОПРЕДПРИЯТИЯХ НАРКОМАТА СТАНКОСТРОЕНИЯ СССР</w:t>
      </w:r>
    </w:p>
    <w:p w14:paraId="0DE76A0D" w14:textId="77777777" w:rsidR="00614D0B" w:rsidRPr="00070ADE" w:rsidRDefault="00614D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Государственный Комитет Обороны считает, что дальнейшее увеличение выпуска оборонной продукции для удовлетворения нужд фронта (боеприпасы, артиллерийское и стрелковое вооружение, самолеты и танки), а также проведение мероприятий по быстрейшему восстановлению промышленности, транспорта и сельского хозяйства в освобожденных от немецкой оккупации районах, и в первую очередь угольной промышленности, черной металлургии, энергосистем и железнодорожного транспорта, требуют резкого расширения станкостроения, являющегося основной базой технического вооружения промышленности и усиления мощи СССР.</w:t>
      </w:r>
    </w:p>
    <w:p w14:paraId="01DC2A27" w14:textId="77777777" w:rsidR="00614D0B" w:rsidRPr="00070ADE" w:rsidRDefault="00614D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Придавая выполнению этой задачи первостепенное значение, Государственный Комитет Обороны постановляет:</w:t>
      </w:r>
    </w:p>
    <w:p w14:paraId="7649BAD5" w14:textId="77777777" w:rsidR="00614D0B" w:rsidRPr="00070ADE" w:rsidRDefault="00614D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Установить план выпуска металлорежущих станков на предприятиях Наркомата станкостроения в 1944 г. в количестве 21 тыс. шт. против 14 тыс., выпущенных в 1943 г.</w:t>
      </w:r>
    </w:p>
    <w:p w14:paraId="05918515" w14:textId="77777777" w:rsidR="00614D0B" w:rsidRPr="00070ADE" w:rsidRDefault="00614D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Для обеспечения выполнения устанавливаемого настоящим постановлением плана выпуска металлорежущих станков и прироста мощностей обязать Наркомат станкостроения:</w:t>
      </w:r>
    </w:p>
    <w:p w14:paraId="3AAB18DF" w14:textId="77777777" w:rsidR="00614D0B" w:rsidRPr="00070ADE" w:rsidRDefault="00614D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восстановить Краматорский, Киевский, Дубенский, Новочеркасский, ленинградские и Гомельский станкостроительные заводы НКСС в сроки и на мощность согласно приложению;</w:t>
      </w:r>
    </w:p>
    <w:p w14:paraId="50E5FD3A" w14:textId="77777777" w:rsidR="00614D0B" w:rsidRPr="00070ADE" w:rsidRDefault="00614D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установить план ввода мощностей в 1944 г. по станкозаводам и заводам смежного производства, обеспечивающих выпуск в 1945 г. металлорежущих станков в количестве 35 тыс. шт.;</w:t>
      </w:r>
    </w:p>
    <w:p w14:paraId="22306839" w14:textId="77777777" w:rsidR="00614D0B" w:rsidRPr="00070ADE" w:rsidRDefault="00614D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утвердить план капитальных затрат на 1944 г. по эаводам Наркомата танкостроения в размере 300 млн. руб., из них на достройку, расширение и восстановление станкозаводов, смежного производства 206,5 млн. руб.;</w:t>
      </w:r>
    </w:p>
    <w:p w14:paraId="361B177E" w14:textId="77777777" w:rsidR="00614D0B" w:rsidRPr="00070ADE" w:rsidRDefault="00614D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провести проектно-изыскательские работы по строительству в 1945 г. пяти новых станкостроительных заводов.</w:t>
      </w:r>
    </w:p>
    <w:p w14:paraId="48610CDF" w14:textId="77777777" w:rsidR="00614D0B" w:rsidRPr="00070ADE" w:rsidRDefault="00614D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Обязать Наркомат станкостроения организовать в течение 1944 г. на ведущих станкостроительных заводах экспериментальные цехи и на остальных заводах станочные лаборатории для всесторонних научно-исследовательских и экспериментальных работ в области изыскания и более широкого внедрения в станкостроении полноценных заменителей и испытания опытных узлов и металлорежущих станков.</w:t>
      </w:r>
    </w:p>
    <w:p w14:paraId="4E37A785" w14:textId="77777777" w:rsidR="00614D0B" w:rsidRPr="00070ADE" w:rsidRDefault="00614D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Обязать Наркомат станкостроения организовать в 1944 г. производство координатно-расточных станков на одном из восстанавливаемых заводов Наркомата станкостроения, обеспечив подготовку технической документации, оснастки, моделей и квалифицированной рабочей силы, и о ходе подготовки организации производства доложить к 1 июля 1944 г. Совнаркому Союза ССР.</w:t>
      </w:r>
    </w:p>
    <w:p w14:paraId="4822715B" w14:textId="77777777" w:rsidR="00614D0B" w:rsidRPr="00070ADE" w:rsidRDefault="00614D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Запретить местным, советским и партийным организациям, уполномоченным ГОКО и военным властям производить без согласия народного комиссара станкостроения мобилизацию рабочих, ИТР и служащих на любые работы, изымать из наличия (или направляемые) металлы, материалы, оборудование и все другие виды средств материально-технического оснащения и транспорта, а также занимать служебные и жилые помещения, принадлежащие заводам Наркомстанкостроения и строительно-монтажным организациям, осуществляющим их строительство или восстановление.</w:t>
      </w:r>
    </w:p>
    <w:p w14:paraId="6C639A4E" w14:textId="77777777" w:rsidR="00614D0B" w:rsidRPr="00070ADE" w:rsidRDefault="00614D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В целях обеспечения выполнения устанавливаемого настоящим постановлением плана выпуска металлорежущих станков в 1944 и 1945 гг. утвердить мероприятия по подготовке квалифицированной рабочей силы для предприятий станко-инструментальной промышленности Наркомстанкостроения.</w:t>
      </w:r>
    </w:p>
    <w:p w14:paraId="442391E7" w14:textId="77777777" w:rsidR="00614D0B" w:rsidRPr="00070ADE" w:rsidRDefault="00614D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Обязать НКО:</w:t>
      </w:r>
    </w:p>
    <w:p w14:paraId="23A13698" w14:textId="77777777" w:rsidR="00614D0B" w:rsidRPr="00070ADE" w:rsidRDefault="00614D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передать для работы на заводах Наркомата станкостроения во II</w:t>
      </w:r>
      <w:r w:rsidRPr="00070ADE">
        <w:rPr>
          <w:rFonts w:ascii="Times New Roman" w:hAnsi="Times New Roman"/>
          <w:color w:val="000000" w:themeColor="text1"/>
          <w:sz w:val="16"/>
          <w:szCs w:val="16"/>
        </w:rPr>
        <w:tab/>
        <w:t>и III кварталах 1944 г. 2 тыс. военнообязанных, освобожденных от строевой службы в войсковых частях Красной Армии;]</w:t>
      </w:r>
    </w:p>
    <w:p w14:paraId="7AB8195E" w14:textId="77777777" w:rsidR="00614D0B" w:rsidRPr="00070ADE" w:rsidRDefault="00614D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мобилизовать в I и II кварталах 1944 г. для работы на стройках Наркомата станкостроения 3 тыс. человек из числа военнообязанных, не годных к строевой службе, но годных к физическому труду.</w:t>
      </w:r>
    </w:p>
    <w:p w14:paraId="03B2152D" w14:textId="77777777" w:rsidR="00614D0B" w:rsidRPr="00070ADE" w:rsidRDefault="00614D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Обязать НКО (Главное инженерное управление) демобилизовать и направить в первом полугодии 1944 г. для работы в системе Главного строительного управления Наркомата станкостроения инженеров и техников по 50 человек в I и II кварталах.</w:t>
      </w:r>
    </w:p>
    <w:p w14:paraId="61E313B9" w14:textId="77777777" w:rsidR="00614D0B" w:rsidRPr="00070ADE" w:rsidRDefault="00614D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Обязать Комитет по учету и распределению рабочей силы при СНК СССР мобилизовать в I квартале 1944 г. 400 человек для работы на стройках Главного строительного управления Наркомата станкостроения, из них: 100 человек из городского неработающего населения в г. Москве и 300 человек из числа сельского населения, для работы на стройках в г. Чимкенте —150 человек и г. Новосибирске — 150 человек.</w:t>
      </w:r>
    </w:p>
    <w:p w14:paraId="5F7878C5" w14:textId="77777777" w:rsidR="00614D0B" w:rsidRPr="00070ADE" w:rsidRDefault="00614D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Решения партии и правительства по хозяйственным вопросам, т. З, с. 190-193 (23978).</w:t>
      </w:r>
    </w:p>
    <w:p w14:paraId="2BBE123B" w14:textId="77777777" w:rsidR="00614D0B" w:rsidRPr="00070ADE" w:rsidRDefault="00614D0B" w:rsidP="00B56F90">
      <w:pPr>
        <w:spacing w:after="0" w:line="240" w:lineRule="auto"/>
        <w:jc w:val="both"/>
        <w:rPr>
          <w:rFonts w:ascii="Times New Roman" w:hAnsi="Times New Roman"/>
          <w:color w:val="000000" w:themeColor="text1"/>
          <w:sz w:val="16"/>
          <w:szCs w:val="16"/>
        </w:rPr>
      </w:pPr>
    </w:p>
    <w:p w14:paraId="6F0B11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 ранее 28 февраля - не позднее 15 марта 1944 г.2:</w:t>
      </w:r>
    </w:p>
    <w:p w14:paraId="16BBC8D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Справка секретариата СНК СССР о состоянии работ по проблеме урана 1 </w:t>
      </w:r>
    </w:p>
    <w:p w14:paraId="3D13E41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начале августа 1943 г. т. Курчатов представил т. Молотову В. М. отчет о работе Лаборатории № 2. В этом отчете изложено состояние разработки проблемы урана и намечены перспективы для дальнейшего развития. </w:t>
      </w:r>
    </w:p>
    <w:p w14:paraId="3F227BA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 работе Лаборатории № 2 за последние 6-7 месяцев т. Курчатов сообщил следующее. </w:t>
      </w:r>
    </w:p>
    <w:p w14:paraId="28EFB1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Получение металлического и шестифтористого урана3</w:t>
      </w:r>
    </w:p>
    <w:p w14:paraId="0E89CAA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Свердловская группа Лаборатории № 2, которой руководит проф[ессор] Кикоин, установила центрифугу и произвела ее опробование на разделение смеси водорода-воздуха. Эти опыты были начаты в сентябре. Опыты на опробование установки центрифуги на смеси воздуха-водорода закончены с положительным результатом в феврале 1944 г. Опыты показали правильность идеи, положенной в основу конструкции центрифуги. </w:t>
      </w:r>
    </w:p>
    <w:p w14:paraId="572F742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 разделению изотопов урана методом центрифугирования можно было приступить уже давно, но пока еще не было получено необходимое количество и не было исследовано нужное для этого химическое соединение — шестифтористый уран. Шестифтористый уран получается из металлического урана. Однако ни то, ни другое вещество у нас не изготовлялось, способ их получения не был известен. </w:t>
      </w:r>
    </w:p>
    <w:p w14:paraId="5287EB1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 xml:space="preserve">Сначала Лаборатория № 2 возложила задачу получения металлического и шестифтористого урана на Радиевый институт (академик Хлопин). Радиевый институт предполагал получить эти вещества еще в середине 1943 года, но этой задачи не решил. В связи с этим разрешение задачи получения металлического урана было возложено на Государственный институт редких металлов Наркомцветмета (Гиредмет), а получение шестифтористого урана — на Научно-исследовательский институт-42 Наркомхимпрома (НИИ-42). </w:t>
      </w:r>
    </w:p>
    <w:p w14:paraId="4351980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Институт редких металлов в настоящее время уже получил до 10 килограммов металлического урана и передал их Лаборатории №2. Как оказалось, полученный металлический уран пригоден для получения шестифтористого урана и по своему качеству не хуже металлического урана, продававшегося до войны немецкой фирмой «Кальбаум». </w:t>
      </w:r>
    </w:p>
    <w:p w14:paraId="2C4349B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Лаборатория № 2 передала металлический уран Научно-исследовательскому институту-42, которому к настоящему времени удалось получить уже около 3 килограммов шестифтористого урана. Таким образом, впервые в СССР удалось получить шестифтористый уран. К опытам по разделению шестифтористого урана намечено приступить в середине марта 1944 г. </w:t>
      </w:r>
    </w:p>
    <w:p w14:paraId="2C70029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II. Изготовление циклотрона </w:t>
      </w:r>
    </w:p>
    <w:p w14:paraId="60213B0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Изготовление циклотрона задержалось из-за невыполнения Новокраматорским заводом Наркомтяжмаша механической обработки основных частей циклотрона. Обработка электромагнита была закончена лишь в феврале. Сейчас производится изготовление обмотки электромагнита на заводе №624 НКЭП, который намечает закончить свою работу в марте. К монтажу циклотрона намечено приступить в апреле. </w:t>
      </w:r>
    </w:p>
    <w:p w14:paraId="75E1FD9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III. О диффузионной установке </w:t>
      </w:r>
    </w:p>
    <w:p w14:paraId="79C979D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Распоряжением ГОКО от 16.VIII.43 г. Наркомавиапрому поручено создать при лаборатории № 4 ЦАГИ группу специалистов для составления проекта диффузионной установки по разделению изотопов урана. Эта группа должна работать под руководством академика Христиановича. К 15.ХI-43 г. эта группа обязана была составить рабочий проект диффузионной 20-ступенчатой машины. 'Технические условия изготовления диффузионной установки было поручено дать Лаборатории № 2, что она и сделала в ноябре 1943 г. До настоящего времени все еще продолжается проектирование модели диффузионной установки в ЦАГИ. Работа эта ведется крайне неудовлетворительными темпами. Наркомавиапром, несмотря на специальное письмо т. Молотова, не уделяет этому делу должного внимания. </w:t>
      </w:r>
    </w:p>
    <w:p w14:paraId="4154291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IV. Вероятность действия быстрых нейтронов на уран-235 </w:t>
      </w:r>
    </w:p>
    <w:p w14:paraId="54BA08B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Установлено, что вероятность действия быстрых нейтронов на уран-235 высока, что соответствует сведениям, изложенным в спецматериалах (английских, американских). Собственных измерений вероятности действия быстрых нейтронов на уран-235 ранее у нас в СССР не было, а данные спецматериалов4 вызывали в этой части некоторое сомнение. В настоящее время, в результате полученных т. Петржаком (Радиевый институт) данных выяснено, что в случае осуществления бомбы из урана-235 ее вес может быть и небольшим. </w:t>
      </w:r>
    </w:p>
    <w:p w14:paraId="7FEC28E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V. К вопросу осуществления котла из металлического урана </w:t>
      </w:r>
    </w:p>
    <w:p w14:paraId="21E9B4A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За последнее время на основе опыта т. Курчатова Б.В. (брат руководителя Лаборатории) выяснено, что потеря нейтронов в результате их столкновения с ураном-238 не играет существенной роли для осуществления котла из металлического урана5. Ранее этот вопрос в СССР также не изучался. Никаких данных в спецматериалах по этому вопросу не было пока обнаружено. </w:t>
      </w:r>
    </w:p>
    <w:p w14:paraId="1DC548C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VI. К вопросу осуществления уран-графитового котла </w:t>
      </w:r>
    </w:p>
    <w:p w14:paraId="3486FF9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Опытами, произведенными Лабораторией № 2 (т. Курчатов И.В.), выяснено, что типовая продукция наших графитовых заводов не пригодна для осуществления уран-графитового котла, так как графит, выдаваемый нашими заводами, содержит значительное количество примесей. Так, например, зольность наших графитированных электродов достигает 1-2%. Между тем опыты, проведенные Лабораторией № 2 с двумя сортами американского ачесоновского графита, показали, что зольность этих сортов графита равна в одном случае 0,5%, в другом — 0,05%. </w:t>
      </w:r>
    </w:p>
    <w:p w14:paraId="3A0949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Необходимо было решить сложнейшую задачу — получить на наших заводах предельно чистый графит, необходимый для уран-графитового котла. К этой задаче и приступил Наркомцветмет (по просьбе Лаборатории № 2) на Московском электродном заводе. Получена первая опытная партия чистого графита в количестве 200 килограммов. Оказалось, что этот графит по качеству почти подходит для уран-графитового котла. В настоящее время заказана более крупная партия — 5 тонн. Заводом принимаются меры к дальнейшему улучшению качества графита. Есть основание считать, что в 1944 году удастся решить задачу получения чистого отечественного графита. </w:t>
      </w:r>
    </w:p>
    <w:p w14:paraId="1146828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Решен чрезвычайно важный вопрос о структуре уран-графитового котла. Исследовано, что более рационально строить уран-графитовый котел из крупных блоков урана, распределенных в графите, а не в виде смеси мелких зерен урана и графита. В этой части проведена большая работа и полностью расшифрованы краткие указания, имевшиеся в специальных материалах. </w:t>
      </w:r>
    </w:p>
    <w:p w14:paraId="590B2AB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VII. К вопросу получения тяжелой воды </w:t>
      </w:r>
    </w:p>
    <w:p w14:paraId="1C72CA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Получение тяжелой воды необходимо для осуществления котла, могущего действовать на смеси «уран-тяжелая вода». В настоящее время уже монтируются в здании Лаборатории № 2 в Серебряном бору изготовленные Наркомхимпромом 4 ректификационных колонны. Пуск в эксплуатацию установок намечен в июне 1944 года. Кроме того, разработана схема получения тяжелой воды методом электролиза со сжиганием на базе Чирчикского комбината. Техническое задание на проектирование завода тяжелой воды, работающего по этому методу, передано в Государственный проектный институт № 3 НКХП для осуществления проекта. Производительность завода проектируется на получение 300 килограммов тяжелой воды в год (килограмм тяжелой воды в Америке стоит в настоящее время 5 тыс. долларов). </w:t>
      </w:r>
    </w:p>
    <w:p w14:paraId="7AC8F18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VIII. Заключение </w:t>
      </w:r>
    </w:p>
    <w:p w14:paraId="09E688E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Лаборатория № 2 считает, что она уже закончила теоретические лабораторные испытательные работы. Лаборатория может приступить к практическому осуществлению намеченных задач. С этой целью в настоящее время ведется проектирование завода для получения шестифтористого урана. Ведется также проектирование цеха по изготовлению металлического урана на заводе «А» Наркомцветмета. Ведется проектирование завода для получения тяжелой воды на Чирчике. Намечается проектирование завода с диффузионными установками для получения урана-235. Работы предполагается проводить в специальном филиале Лаборатории № 2, который намечено организовать в Ленинграде. </w:t>
      </w:r>
    </w:p>
    <w:p w14:paraId="6C1FF7F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Основной вопрос, который сейчас особенно требует разрешения, это обеспечение урановым сырьем дальнейших практических работ Лаборатории № 2. Работы по изысканию залежей урана, а также вопрос об импортировании уранового сырья стоит сейчас со всей остротой. </w:t>
      </w:r>
    </w:p>
    <w:p w14:paraId="2179837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АП РФ. Ф. 56, оп. 1, д. 941, л. 51-54. Незаверенная копия. </w:t>
      </w:r>
    </w:p>
    <w:p w14:paraId="4DB5756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position w:val="8"/>
          <w:sz w:val="16"/>
          <w:szCs w:val="16"/>
          <w:vertAlign w:val="superscript"/>
        </w:rPr>
        <w:t xml:space="preserve">1 </w:t>
      </w:r>
      <w:r w:rsidRPr="00070ADE">
        <w:rPr>
          <w:rFonts w:ascii="Times New Roman" w:hAnsi="Times New Roman"/>
          <w:color w:val="000000" w:themeColor="text1"/>
          <w:sz w:val="16"/>
          <w:szCs w:val="16"/>
        </w:rPr>
        <w:t xml:space="preserve">Собственный заголовок документа: «Об уране (справка является дополнением к записке т. Курчатова от 30 июля 1943 г.)». Судя по стилю изложения, возможно, документ подготовлен заместителем заведующего секретариатом СНК СССР Д.В. Смирновым. Для удобства читателей документ публикуется полностью, без исключения частей текста, перенесенных почти без изменений из справки от 28 ноября 1943 г. (см. документ № 194). </w:t>
      </w:r>
    </w:p>
    <w:p w14:paraId="4566A0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position w:val="8"/>
          <w:sz w:val="16"/>
          <w:szCs w:val="16"/>
          <w:vertAlign w:val="superscript"/>
        </w:rPr>
        <w:t xml:space="preserve">2 </w:t>
      </w:r>
      <w:r w:rsidRPr="00070ADE">
        <w:rPr>
          <w:rFonts w:ascii="Times New Roman" w:hAnsi="Times New Roman"/>
          <w:color w:val="000000" w:themeColor="text1"/>
          <w:sz w:val="16"/>
          <w:szCs w:val="16"/>
        </w:rPr>
        <w:t xml:space="preserve">Датируется по содержанию документа - в тексте упоминаются работы, выполненные в феврале 1944 г. и намеченные на март 1944 г. </w:t>
      </w:r>
    </w:p>
    <w:p w14:paraId="0D2745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position w:val="8"/>
          <w:sz w:val="16"/>
          <w:szCs w:val="16"/>
          <w:vertAlign w:val="superscript"/>
        </w:rPr>
        <w:t xml:space="preserve">3 </w:t>
      </w:r>
      <w:r w:rsidRPr="00070ADE">
        <w:rPr>
          <w:rFonts w:ascii="Times New Roman" w:hAnsi="Times New Roman"/>
          <w:color w:val="000000" w:themeColor="text1"/>
          <w:sz w:val="16"/>
          <w:szCs w:val="16"/>
        </w:rPr>
        <w:t xml:space="preserve">Здесь и далее подчеркнуто автором. </w:t>
      </w:r>
    </w:p>
    <w:p w14:paraId="36B1AA1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position w:val="8"/>
          <w:sz w:val="16"/>
          <w:szCs w:val="16"/>
          <w:vertAlign w:val="superscript"/>
        </w:rPr>
        <w:t xml:space="preserve">4 </w:t>
      </w:r>
      <w:r w:rsidRPr="00070ADE">
        <w:rPr>
          <w:rFonts w:ascii="Times New Roman" w:hAnsi="Times New Roman"/>
          <w:color w:val="000000" w:themeColor="text1"/>
          <w:sz w:val="16"/>
          <w:szCs w:val="16"/>
        </w:rPr>
        <w:t xml:space="preserve">Здесь и далее речь идет о разведматериалах. </w:t>
      </w:r>
    </w:p>
    <w:p w14:paraId="58D7729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position w:val="8"/>
          <w:sz w:val="16"/>
          <w:szCs w:val="16"/>
          <w:vertAlign w:val="superscript"/>
        </w:rPr>
        <w:t xml:space="preserve">5 </w:t>
      </w:r>
      <w:r w:rsidRPr="00070ADE">
        <w:rPr>
          <w:rFonts w:ascii="Times New Roman" w:hAnsi="Times New Roman"/>
          <w:color w:val="000000" w:themeColor="text1"/>
          <w:sz w:val="16"/>
          <w:szCs w:val="16"/>
        </w:rPr>
        <w:t>Ошибочное утверждение - дальнейшие исследования показали, что в балансе нейтронов резонансный захват в уране-238 играет значительную роль. (Примечание Н.С. Работнова.) (11323).</w:t>
      </w:r>
    </w:p>
    <w:p w14:paraId="5C5438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609E19F"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42162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C455F8"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28 февраля</w:t>
      </w:r>
      <w:r w:rsidRPr="00070ADE">
        <w:rPr>
          <w:rFonts w:ascii="Times New Roman" w:hAnsi="Times New Roman"/>
          <w:color w:val="000000" w:themeColor="text1"/>
          <w:sz w:val="16"/>
          <w:szCs w:val="16"/>
        </w:rPr>
        <w:t xml:space="preserve"> в 1944 году оперативная сводка Совинформбюро:</w:t>
      </w:r>
    </w:p>
    <w:p w14:paraId="5A2307EC"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28 февраля на Псковском направлении наши войска, продолжая развивать наступление, овладели районными центрами Ленинградской области Карамышево, Славковичи, Пожеревицы, а также с боями заняли более 450 других населённых пунктов и среди них крупные населённые пункты Егорьевщина, Ольгино Поле, Скоморохова Гора, Торошино, Большое Загорье, Юхново-Солодово, Выставка, Сумская, Крюково, Большие и Малые Пети, Лютые Болота, Заречье, Подгорье, Филистово, Вязовицы, Кустово, Одорье, Цвень, Варитина и железнодорожные станции Молоди, Торошино, Лунёво, Подсевы, Вешки, Карамышево.</w:t>
      </w:r>
    </w:p>
    <w:p w14:paraId="0CF3DA41"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Новосокольники наши войска, продолжая наступление, с боями заняли более 200 населённых пунктов, в том числе крупные населённые пункты Михалкино, Подлужье, Слобода (5 км восточнее Новоржев), Нлимово, Гривино, Вешелиха, Бельково, Туровские Холмы, Захарино, Заложье, Заполье, Скоково, Чернецова, Большие Боталки, Мольгино, Васьково, Сергейцево.</w:t>
      </w:r>
    </w:p>
    <w:p w14:paraId="0208AA36"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поиски разведчиков.</w:t>
      </w:r>
    </w:p>
    <w:p w14:paraId="21768EBE"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27 февраля наши войска на всех фронтах подбили и уничтожили 21 немецкий танк. В воздушных боях и огнём зенитной артиллерии уничтожено 98 самолётов противника.</w:t>
      </w:r>
    </w:p>
    <w:p w14:paraId="5C4EE08C"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 Псковском направлении наши войска продолжали наступление. Части Н-ского соединения выбили немцев из посёлка и железнодорожной станции Торошино, важного опорного пункта немцев на дальних подступах к Пскову. В бою за эту станцию уничтожено более 700 вражеских солдат и офицеров, сожжено и подбито 7 танков и самоходных орудий противника. Взято большое число пленных. Части другого нашего соединения овладели районными центрами Ленинградской области Карамышево иСлавковичи и успешно форсировали реку Череха. В бою за опорные пункты немцев, расположенные на западном берегу этой реки, уничтожено до </w:t>
      </w:r>
      <w:r w:rsidRPr="00070ADE">
        <w:rPr>
          <w:rFonts w:ascii="Times New Roman" w:hAnsi="Times New Roman"/>
          <w:color w:val="000000" w:themeColor="text1"/>
          <w:sz w:val="16"/>
          <w:szCs w:val="16"/>
        </w:rPr>
        <w:lastRenderedPageBreak/>
        <w:t>батальона гитлеровцев. Нашими войсками занят районный центр Ленинградской области Пожеревицы и более 450 других населённых пунктов. В одном районе советские подвижные части отрезали противнику пути отхода и громят его отступающие колонны. Истреблено свыше 500 немецких солдат и офицеров. Захвачено 26 орудий, 80 пулемётов, 60 автомашин и крупный обоз с военным имуществом.</w:t>
      </w:r>
    </w:p>
    <w:p w14:paraId="59093D50"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наносила удары по тылам немецких войск. Бомбами и пушечно-пулемётным огнём советские лётчики взорвали 2 железнодорожных эшелона и уничтожили 170 автомашин и повозок противника с войсками и грузами. В воздушных боях сбито 12 немецких самолётов.</w:t>
      </w:r>
    </w:p>
    <w:p w14:paraId="528219D3"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города Новосокольники наши войска заняли более 200 населённых пунктов. За несколько дней боёв наши войска нанесли поражение трём дивизиям противника. Преследуя немцев, советские части стремительно продвинулись вдоль шоссе Бежаницы-Новоржев. Немцы пытались задержаться на промежуточном оборонительном рубеже, идущем вдоль реки Льста. Наши бойцы форсировали реку и заняли населённый пункт Слобода, находящийся в пяти километрах восточнее города Новоржев. Отступая под ударами советских войск, гитлеровцы бросают вооружение, боеприпасы и большое количество военных материалов. Захвачено много пленных.Освобождено несколько тысяч мирных жителей, которых немцы угоняли на каторгу в Германию.</w:t>
      </w:r>
    </w:p>
    <w:p w14:paraId="6425A5D7"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лётчики в воздушных боях сбили 9 и уничтожили на аэродроме 32 самолёта противника. Кроме того, советские зенитчики сбили 5 немецких самолётов.</w:t>
      </w:r>
    </w:p>
    <w:p w14:paraId="1358226B"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Балтийском море потоплен транспорт противника водоизмещением в 5 тысяч тонн.</w:t>
      </w:r>
    </w:p>
    <w:p w14:paraId="372D1945"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Пинской области, напал на немецкий гарнизон и истребил несколько десятков гитлеровцев. Советские патриоты захватили две тысячи пудов зерна, награбленного немцами у населения, 60 бочек горючего, много винтовок, боеприпасов и другие трофеи. Отнятое у немцев зерно роздано местным жителям. Другой отряд пинских партизан пустил под откос немецкий воинский эшелон и огнём из противотанковых ружей вывел из строя 8 паровозов.</w:t>
      </w:r>
    </w:p>
    <w:p w14:paraId="582F40F6"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рядах немецко-фашистской армии всё шире распространяются дезертирство и пораженческие настроения. В декабре прошлого года гитлеровцы в районе станции Струги Красные разоружили 600 немецких солдат, отказавшихся ехать на фронт, и отправили их в концлагерь. Концлагери и тюрьмы в Пскове переполнены. За две недели с 15 по 31 января текущего года в Псков было-доставлено с различных участков Ленинградского фронта 1.200 немецких солдат и офицеров, закованных в кандалы. Эти солдаты принадлежат к различным немецким частям. Арестованным предъявлено обвинение в том, что они без приказа самовольно оставили позиции и бросили своё оружие. Такой же концлагерь размещён в казармах бывшего пятого латвийского пехотного полка в городе Рига.</w:t>
      </w:r>
    </w:p>
    <w:p w14:paraId="27DBEF7E"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публикуется акт о зверствах немецко-фашистских мерзавцев в селе Слободка, Киевской области: «За время оккупации немцы ограбили жителей села, замучили и убили многих ни в чём не повинных людей. Особенно гитлеровцы ненавидели и преследовали советскую интеллигенцию. От рук фашистских палачей погибли учителя и учительницы Григорий Качаенко, Виктор Гнатьев, Иван Курьян, Ольга Абрамова, Филипп Андрущенко, Фёдор Михайлов и Луния Скоба. Гитлеровские варвары разрушили больницы, электростанцию, уничтожили плотину и рыбные водоёмы колхоза, вырубили замечательный колхозный парк. Немцы опустошили село и, отступая, сожгли много жилых домов и хозяйственных построек колхозников» (15054).</w:t>
      </w:r>
    </w:p>
    <w:p w14:paraId="3B7F6B3F" w14:textId="77777777" w:rsidR="00AD0763" w:rsidRPr="00070ADE" w:rsidRDefault="00AD0763" w:rsidP="00B56F90">
      <w:pPr>
        <w:spacing w:after="0" w:line="240" w:lineRule="auto"/>
        <w:jc w:val="both"/>
        <w:rPr>
          <w:rFonts w:ascii="Times New Roman" w:hAnsi="Times New Roman"/>
          <w:color w:val="000000" w:themeColor="text1"/>
          <w:sz w:val="16"/>
          <w:szCs w:val="16"/>
        </w:rPr>
      </w:pPr>
    </w:p>
    <w:p w14:paraId="22422BC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в Мурманск прибыл конвой союзников из 52 кораблей (4962).</w:t>
      </w:r>
    </w:p>
    <w:p w14:paraId="5F9532C0" w14:textId="77777777" w:rsidR="003712D9" w:rsidRPr="00070ADE" w:rsidRDefault="003712D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C8CC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машина Ватутина попала в засаду националистов и тяжело раненный генерал через несколько дней скончался в госпитале (2070,178).</w:t>
      </w:r>
    </w:p>
    <w:p w14:paraId="276BD1B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58EC96" w14:textId="77777777" w:rsidR="00A44782" w:rsidRPr="00070ADE" w:rsidRDefault="00A44782"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64791C8B" w14:textId="77777777" w:rsidR="00A44782" w:rsidRPr="00070ADE" w:rsidRDefault="00A44782"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48E9A0" w14:textId="77777777" w:rsidR="00A44782" w:rsidRPr="00070ADE" w:rsidRDefault="00A4478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В Комитете по делам кинематографии состоялся просмотр цветного художественного фильма "Багдадский вор", производства Александра Корда (Англия). Основой фильма послужила сказка о багдадском мальчике Абу, который попадает в мир волшебных превращений. С 1 марта новый фильм был выпущен на экраны столицы. В связи с показом фильма "Багдадский вор" в Москве вновь стала популярной песня середины 1930-х годов:</w:t>
      </w:r>
    </w:p>
    <w:p w14:paraId="29374C89" w14:textId="77777777" w:rsidR="00A44782" w:rsidRPr="00070ADE" w:rsidRDefault="00A4478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Малой Дмитровке вчера Смотрел "Багдадского вора". Пока смотрел "Багдадский вор", Московский вор бумажник спер (18692).</w:t>
      </w:r>
    </w:p>
    <w:p w14:paraId="497FDA18" w14:textId="77777777" w:rsidR="00A44782" w:rsidRPr="00070ADE" w:rsidRDefault="00A44782" w:rsidP="00B56F90">
      <w:pPr>
        <w:spacing w:after="0" w:line="240" w:lineRule="auto"/>
        <w:jc w:val="both"/>
        <w:rPr>
          <w:rFonts w:ascii="Times New Roman" w:hAnsi="Times New Roman"/>
          <w:color w:val="000000" w:themeColor="text1"/>
          <w:sz w:val="16"/>
          <w:szCs w:val="16"/>
        </w:rPr>
      </w:pPr>
    </w:p>
    <w:p w14:paraId="3CFB12CD" w14:textId="19DD088C" w:rsidR="00CB1F80" w:rsidRPr="00070ADE" w:rsidRDefault="00CB1F80"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Внешняя политика</w:t>
      </w:r>
      <w:r w:rsidRPr="00070ADE">
        <w:rPr>
          <w:rFonts w:ascii="Times New Roman" w:hAnsi="Times New Roman"/>
          <w:i/>
          <w:iCs/>
          <w:color w:val="000000" w:themeColor="text1"/>
          <w:sz w:val="16"/>
          <w:szCs w:val="16"/>
        </w:rPr>
        <w:t>:</w:t>
      </w:r>
    </w:p>
    <w:p w14:paraId="070D0EC1" w14:textId="77777777" w:rsidR="00CB1F80" w:rsidRPr="00070ADE" w:rsidRDefault="00CB1F80"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A229AF"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28 февраля 1944 года начальником ГВФ генерал-полковником Ф.А. Астаховым члену Государственного комитета обороны (ГКО) Г.М. Маленкову был представлен отчет подполковника Коконина по полету Вышинского в Алжир, в котором освещались маршруты и весь ход перелёта.</w:t>
      </w:r>
    </w:p>
    <w:p w14:paraId="6425EF1F"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сопроводительном письме Астахов отмечал, что «тов. Вышинский вполне удовлетворён этим перелётом и дал отличную оценку организации и экипажу».</w:t>
      </w:r>
    </w:p>
    <w:p w14:paraId="1E535C38"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xml:space="preserve">По указанию Маленкова отчёт был направлен на ознакомление А.И. Шахурину – наркому авиапрома и члену комиссии по делам международных воздушных линий СССР при СНК СССР. </w:t>
      </w:r>
    </w:p>
    <w:p w14:paraId="7F058FA8"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документе (далее – Отчёт) отсутствуют подробности о передвижениях А.Я. Вышинского, основное внимание сосредоточено на других аспектах этого перелёта.</w:t>
      </w:r>
    </w:p>
    <w:p w14:paraId="13650C88"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«Экипаж имел задание доставить в Алжир комиссию, возглавляемую Заместителем Наркома Иностранных дел тов. Вышинским и по распоряжению последнего выполнить полёты на месте по другим маршрутам.</w:t>
      </w:r>
    </w:p>
    <w:p w14:paraId="269E717C"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Кроме этого основного задания перед экипажем была поставлена задача собрать возможно более полный материал по воздушным линиям Северной Африки. (О возможной подоплёке этого задания будет рассказано в конце статьи – Прим. автора).</w:t>
      </w:r>
    </w:p>
    <w:p w14:paraId="27745EBE"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xml:space="preserve">В соответствии с этими заданиями экипаж совершил следующие рейсы: </w:t>
      </w:r>
    </w:p>
    <w:p w14:paraId="36635772"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 Москва – Тегеран – Каир – Алжир.</w:t>
      </w:r>
    </w:p>
    <w:p w14:paraId="1C1E81A4"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 Алжир – Каир – Италия /через Кастель-Бенито/ –Алжир.</w:t>
      </w:r>
    </w:p>
    <w:p w14:paraId="59602028"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3. Алжир – Каир – Алжир.</w:t>
      </w:r>
    </w:p>
    <w:p w14:paraId="57BE857B"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4. Алжир – Французское Марокко – Алжир.</w:t>
      </w:r>
    </w:p>
    <w:p w14:paraId="4313AF8D"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5. Алжир – Италия – Алжир.</w:t>
      </w:r>
    </w:p>
    <w:p w14:paraId="65429554"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6. Алжир – Каир – Тегеран – Москва.</w:t>
      </w:r>
    </w:p>
    <w:p w14:paraId="4667A0F1"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За время этих рейсов самолёт покрыл 33936 км.И при средней путевой скорости 227 км. в час налетал 141 час 05 минут. Из них над пустыней – 67 ч. 45 м., или 27100 км, над морем – 22 ч., или 5024 км. Один из полётов на участке Кастель-Бенито – Каир был совершен ночью. Длительность ночного полета над пустыней – 7 ч. 18 м. При полётах по Французскому Марокко самолет покрыл 2803 км за 11 ч. 85 м.</w:t>
      </w:r>
    </w:p>
    <w:p w14:paraId="109606D5"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xml:space="preserve">За границей Советского Союза экипаж совершал посадки в следующих пунктах: в Иране – Тегеран, в Ираке – Хаббания, в Египте – Каир, в Ливии – Эль-Адем (район Тобрука) и Кастель-Бенито (район Триполи), в Алжире – Мезон-Бланж (правильно Мезон Бланш – аэродром г. Алжир – Прим. автора), в Марокко – Рабат, Марокеш (правильно – Марракеш – Прим. автора), Агадир, Казба-Тадла, Фаз, в Италии – Бриндизи, Бари, Таранто, Неаполь. </w:t>
      </w:r>
    </w:p>
    <w:p w14:paraId="6690E594"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Почти во всех пунктах поездки имели место ночевки и заправки самолёта горючим» (орфография и пунктуация по подлиннику) (РГАЭ Ф.8044 оп. 1 д. 1186 лл. 57, 58. 60–99 (переписка и отчёт о перелёте) (25656).</w:t>
      </w:r>
    </w:p>
    <w:p w14:paraId="5FC4548D" w14:textId="77777777" w:rsidR="00CB1F80" w:rsidRPr="00C94B78" w:rsidRDefault="00CB1F80" w:rsidP="00B56F90">
      <w:pPr>
        <w:spacing w:after="0" w:line="240" w:lineRule="auto"/>
        <w:jc w:val="both"/>
        <w:rPr>
          <w:rFonts w:ascii="Times New Roman" w:hAnsi="Times New Roman"/>
          <w:color w:val="0070C0"/>
          <w:sz w:val="16"/>
          <w:szCs w:val="16"/>
        </w:rPr>
      </w:pPr>
    </w:p>
    <w:p w14:paraId="48DE98A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1E92C83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168F8A"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28 февраля</w:t>
      </w:r>
      <w:r w:rsidRPr="00070ADE">
        <w:rPr>
          <w:rFonts w:ascii="Times New Roman" w:hAnsi="Times New Roman"/>
          <w:color w:val="000000" w:themeColor="text1"/>
          <w:sz w:val="16"/>
          <w:szCs w:val="16"/>
        </w:rPr>
        <w:t xml:space="preserve"> в 1944 году первый полёт второго опытного тяжелого бомбардировщика </w:t>
      </w:r>
      <w:hyperlink r:id="rId61" w:tgtFrame="_blank" w:history="1">
        <w:r w:rsidRPr="00070ADE">
          <w:rPr>
            <w:rFonts w:ascii="Times New Roman" w:hAnsi="Times New Roman"/>
            <w:color w:val="000000" w:themeColor="text1"/>
            <w:sz w:val="16"/>
            <w:szCs w:val="16"/>
          </w:rPr>
          <w:t xml:space="preserve">«Hе.277-V2» </w:t>
        </w:r>
      </w:hyperlink>
      <w:r w:rsidRPr="00070ADE">
        <w:rPr>
          <w:rFonts w:ascii="Times New Roman" w:hAnsi="Times New Roman"/>
          <w:color w:val="000000" w:themeColor="text1"/>
          <w:sz w:val="16"/>
          <w:szCs w:val="16"/>
        </w:rPr>
        <w:t>(компания «Heinkel», Германия). В переписке "Хейнкеля" назывался «Hе.177b-5/R-1». Он был переделан из «Hе.177a-5/R-8», на стабилизаторе были установлены дополнительные кили, чтобы улучшить устойчивость по курсу. В апреле он был переведён в Рехлин для официальных испытаний (15054).</w:t>
      </w:r>
    </w:p>
    <w:p w14:paraId="7C8D5A26" w14:textId="77777777" w:rsidR="00AD0763" w:rsidRPr="00070ADE" w:rsidRDefault="00AD0763" w:rsidP="00B56F90">
      <w:pPr>
        <w:spacing w:after="0" w:line="240" w:lineRule="auto"/>
        <w:jc w:val="both"/>
        <w:rPr>
          <w:rFonts w:ascii="Times New Roman" w:hAnsi="Times New Roman"/>
          <w:color w:val="000000" w:themeColor="text1"/>
          <w:sz w:val="16"/>
          <w:szCs w:val="16"/>
        </w:rPr>
      </w:pPr>
    </w:p>
    <w:p w14:paraId="66711BE1" w14:textId="77777777" w:rsidR="002F4D0E" w:rsidRPr="00070ADE" w:rsidRDefault="002F4D0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года был облетан второй опытный He177B-0 V102, на который поставили дополнительные кили, и в тот же день Хейнкель направил в Министерство авиации официальный рапорт о самолете и вновь предложил запустить его в серийное производство. Реакции не последовало, однако 23 мая на совещании у Гитлера отношение к Не177В внезапно изменилось — его горячо поддержал Геринг, назвав «ядром новой бомбардировочной авиации», и потребовал срочно начать серийный выпуск с темпом 200 штук в месяц. Самолет, названный по предложению Хейнкеля Не277В (такой индекс уже ставился на его чертежах с 1940 года, первые опытные самолеты были обозначены He277V1 и V2), предназначался для уничтожения конвоев в Атлантике и для прицельных бомбардировок важнейших объектов в Великобритании в дневное время. Но самолет, как и Не177А, страдал недостаточной путевой устойчивостью и управляемостью. Тогда на третьем прототипе He277V3 сделали двухкилевое оперение, заодно улучшив сектора обстрела верхних огневых башен — передней дистанционно-управляемой FDL131E/F2 с парой пулеметов калибра 13,2 мм и задней обитаемой EDL131A-2, в которой был один такой же пулемет с электрическими силовыми приводами. В лобовом остеклении кабины экипажа в шаровой установке стоял пулемет MG81J винтовочного калибра, еще по четыре таких пулемета «смотрели» назад в гондоле под кабиной и в хвосте в установках HDL81V с гидравлическим приводом.</w:t>
      </w:r>
    </w:p>
    <w:p w14:paraId="1C477616" w14:textId="77777777" w:rsidR="002F4D0E" w:rsidRPr="00070ADE" w:rsidRDefault="002F4D0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Чтобы ускорить начало поставок Не277, было решено на первой серийной модификации не ставить аппаратуру наведения противокорабельных ракет Hs293 и планирующих бомб РС1400 «Фриц-Х», ограничившись лишь подвеской тяжелых свободнопадающих фугасок SC2500. Официально самолет все еще рассматривался и как носитель атомной бомбы, но фирма все еще не получила даже ее габаритных чертежей (22883).</w:t>
      </w:r>
    </w:p>
    <w:p w14:paraId="7C89DA51" w14:textId="77777777" w:rsidR="002F4D0E" w:rsidRPr="00070ADE" w:rsidRDefault="002F4D0E" w:rsidP="00B56F90">
      <w:pPr>
        <w:spacing w:after="0" w:line="240" w:lineRule="auto"/>
        <w:jc w:val="both"/>
        <w:rPr>
          <w:rFonts w:ascii="Times New Roman" w:hAnsi="Times New Roman"/>
          <w:color w:val="000000" w:themeColor="text1"/>
          <w:sz w:val="16"/>
          <w:szCs w:val="16"/>
        </w:rPr>
      </w:pPr>
    </w:p>
    <w:p w14:paraId="55C86CC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lastRenderedPageBreak/>
        <w:t>February 28 1944 First firing of Nazi Germany's Wasserfall antiaircraft missile (1038).</w:t>
      </w:r>
    </w:p>
    <w:p w14:paraId="0501D10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1BDD9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состоялся первый полет немецкой зенитной ракеты Вассерфаль (1038).</w:t>
      </w:r>
    </w:p>
    <w:p w14:paraId="5B5B83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FE1E90" w14:textId="3481981E" w:rsidR="00B73184" w:rsidRPr="00070ADE" w:rsidRDefault="00B731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г. на острове Грейфсвальдер-Ойе состоялся первый удачный запуск зенитной ракеты Вассерфаль. Ракета на дозвуковой скорости достигла высоты 7 км. После доработки она смогла летать со сверхзвукой скоростью. Например, 8 марта 1945</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ракета развила скорость 760 м/с (45,6 км/мин, 2736 км/час) и достигла высоты 19 км. Одни источники говорят, что было выполнено 25 пусков, 15 из которых признали успешными, по другим — за два года запустили около 50 ракет. В любом случае, ракету подготовили к серийному производству, но было уже поздно — шли последние недели войны (23372).</w:t>
      </w:r>
    </w:p>
    <w:p w14:paraId="61E75413" w14:textId="77777777" w:rsidR="00B73184" w:rsidRPr="00070ADE" w:rsidRDefault="00B73184" w:rsidP="00B56F90">
      <w:pPr>
        <w:spacing w:after="0" w:line="240" w:lineRule="auto"/>
        <w:jc w:val="both"/>
        <w:rPr>
          <w:rFonts w:ascii="Times New Roman" w:hAnsi="Times New Roman"/>
          <w:color w:val="000000" w:themeColor="text1"/>
          <w:sz w:val="16"/>
          <w:szCs w:val="16"/>
        </w:rPr>
      </w:pPr>
    </w:p>
    <w:p w14:paraId="60C6D5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февраля 1944 было наступление британских войск в Верхней Бирме (3907,248).</w:t>
      </w:r>
    </w:p>
    <w:p w14:paraId="470562C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AC554C"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25123F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DEA9E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февраля 1944 при контрольном испытании Ил-2 завода 18 N 1876382 были достигнуты скорости 398.5 км/час у земли и 412 к/час на границе высотности (1823,28).</w:t>
      </w:r>
    </w:p>
    <w:p w14:paraId="3227F8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64DAD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февраля по 30 марта 1944 в НИИ ВВС проходили гос. испытания опытный двухместный самолет ИЛ с мотором АМ-42 и винтом АВ-5Л-18Б конструкции С.В.И. (экз. 1, производство завода 240 мая 1943). Прибыл 26 февраля 1944.</w:t>
      </w:r>
    </w:p>
    <w:p w14:paraId="322CB0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Выполнил 44 полета с общим налетом 19:30.</w:t>
      </w:r>
    </w:p>
    <w:p w14:paraId="778AF0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Проходил испытания в двух вариантах:</w:t>
      </w:r>
    </w:p>
    <w:p w14:paraId="283AFC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разведчика-корректировщика</w:t>
      </w:r>
    </w:p>
    <w:p w14:paraId="7A0526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штурмовика-бомбардировщика</w:t>
      </w:r>
    </w:p>
    <w:p w14:paraId="32983FA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Полеты проводились с нормальным и перегрузочным весом с внутренней и наружной подвеской бомб (1865).</w:t>
      </w:r>
    </w:p>
    <w:p w14:paraId="15CF00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Ил-1 (но не ясно, одноместный или сразу двухместный) был готов на 18 заводе в конце февраля 1944. К этому времени якобы уже прошли и прочностные испытания (111,161).</w:t>
      </w:r>
    </w:p>
    <w:p w14:paraId="4141BB6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Машину отправили в Москву на завод 240 (1605,2).</w:t>
      </w:r>
    </w:p>
    <w:p w14:paraId="11BF3F9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F7C0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29 февраля по 30 марта 1944-го тяжелый штурмовик Ил-8 с АМ-42 (первый опытный экземпляр), несмотря на дефекты мотора (дымление, тряска, засорение воздушных клапанов карбюраторов, быстрый износ поршневых колец и т.д.) успешно прошел Государственные испытания.</w:t>
      </w:r>
    </w:p>
    <w:p w14:paraId="6BB2FBF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Ведущий летчик-испытатель - А.К.Долгов, ведущий инженер - П.Т.Аброщенко. Самолет был рекомендован к запуску в серийное производство в вариантах тяжелого штурмовика-бомбардировщика и разведчика-корректировщика.</w:t>
      </w:r>
    </w:p>
    <w:p w14:paraId="4C7998D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своим пилотажным свойствам штурмовик оказался в целом простым и достаточно легким в управлении. Основные летно-технические данные Ил-8 заметно превосходили Ил-2, хотя уже и не отвечали в полном объеме современным требованиям.</w:t>
      </w:r>
    </w:p>
    <w:p w14:paraId="6FE91CA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нормальном взлетном весе 7260 кг (против 6160 кг у Ил-2 АМ-38ф) новый штурмовик имел максимальную скорость 472 км/ч на высоте 2500 м (у Ил-2 - 416 км/ч на высоте 1400 м). Дальность же полета Ил-8 почти в два раза превысила таковую у Ил-2 и составила 1180 км.</w:t>
      </w:r>
    </w:p>
    <w:p w14:paraId="5CFE68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его маневренность в вертикальной и горизонтальной плоскостях была хуже, чем у Ил-2, и была явно недостаточной для условий боевых действий заключительного периода войны.</w:t>
      </w:r>
    </w:p>
    <w:p w14:paraId="2703701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серию Ил-8 не пошел. Было решено путем улучшения аэродинамики повысить его основные летные данные.</w:t>
      </w:r>
    </w:p>
    <w:p w14:paraId="49EF429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этим решением на втором опытном самолете Ил-8 АМ-42 была полностью перекомпонована система охлаждения и смазки мотора, установлены новые крыло, оперение и шасси, доработаны элероны, рули высоты и направления, внесены изменения в оборудование самолета, трехлопастный воздушный винт был заменен на четырехлопастный.</w:t>
      </w:r>
    </w:p>
    <w:p w14:paraId="7ADABC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Общий вес брони на самолете увеличился до 1120 кг. Распределение толщины брони было сделано с учетом опыта боевого применения штурмовика Ил-2.</w:t>
      </w:r>
    </w:p>
    <w:p w14:paraId="3471E6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и агрегаты прикрывались снизу и с боков броней толщиной 4, б и 8 мм. Наиболее поражаемые участки бронекорпуса штурмовика (снизу с боку) имели толщину брони 8 мм.</w:t>
      </w:r>
    </w:p>
    <w:p w14:paraId="10B6325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Верхняя часть бронекорпуса, имевшая поверхность двойной кривизны, выполнялась из дюралюмино-вых листов толщиной от 1,5 до 4,0 мм.</w:t>
      </w:r>
    </w:p>
    <w:p w14:paraId="38B5748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Дело в том, что верхняя передняя часть бронекорпуса Ил-2, как показал опыт его боевого применения, практически не поражалась в воздушных боях.</w:t>
      </w:r>
    </w:p>
    <w:p w14:paraId="2443C80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Кабина пилота с боков и снизу бронировалась листами толщиной 4,5 и б мм. Козырек фонаря пилота выполнялся из 64-мм прозрачной брони с металлической окантовкой.</w:t>
      </w:r>
    </w:p>
    <w:p w14:paraId="575E0A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Боковые крышки фонаря выполнялись из металлической брони (толщиной б мм) и плексигласа. Сбоку фонаря имелись сдвижные форточки. Сверху над головой пилота устанавливалась бронеплита толщиной 8 мм.</w:t>
      </w:r>
    </w:p>
    <w:p w14:paraId="4DC720F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сравнении с первой опытной машиной, со стороны задней полусферы пилот и штурман-стрелок прикрывались, защищались более эффективными бронестенками, образованными двумя рядом стоящими бронеплитами толщиной по 8 мм каждая, с промежутком между ними.</w:t>
      </w:r>
    </w:p>
    <w:p w14:paraId="6B4916A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Такая схема бронирования эффективно защищала стрелка и пилота от поражения 20-мм снарядов авиапушек. Снизу и с боков стрелок прикрывался броней 4 и б мм.</w:t>
      </w:r>
    </w:p>
    <w:p w14:paraId="6DF6B3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Отметим, что в дальнейшем при запуске Ил-8-го в серийное производство защиту стрелка со стороны задней полусферы предполагалось усилить путем установки двух бронеплит толщиной 4 мм (внутренняя бронеплита) и 12 мм (внешняя бронеплита), отстоящих друг от друга на небольшом расстоянии.</w:t>
      </w:r>
    </w:p>
    <w:p w14:paraId="2C50FD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Полигонные испытания показали, что бронестойкость системы броне-листов при неизменном расстоянии между ними значительно повышается, если увеличивать разнос толщин листов.</w:t>
      </w:r>
    </w:p>
    <w:p w14:paraId="3A0EADA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этом случае разворот оси снаряда при прохождении последнего через внешнюю бронеплиту (толщина 12 мм), играющей роль своеобразного экрана, существенно увеличивался, а это приводило к резкому снижению бронепробиваемых свойств снаряда.</w:t>
      </w:r>
    </w:p>
    <w:p w14:paraId="602899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Воздух для охлаждения радиаторов модифицированного штурмовика Ил-8 АМ-42, поступал теперь по двум тоннелям: справа и слева от мотора.</w:t>
      </w:r>
    </w:p>
    <w:p w14:paraId="1096192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Вход в тоннель образовывался вырезом в носке центроплана и углублением в боковой части капота мотора.</w:t>
      </w:r>
    </w:p>
    <w:p w14:paraId="694E8E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правому тоннелю подводился воздух только к трубчато-пластинча-тому водорадиатору (фронтовая поверхность 5ф=33,5 дм2), а по левому, имевшему два рукава, - к водо- и мас-лорадиаторам (фронтовая поверхность маслорадиатора 5ф=12 дм2).</w:t>
      </w:r>
    </w:p>
    <w:p w14:paraId="05C2A4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Температура воды и масла регулировалась открытием бронезаслонок на выходе тоннеля. Бронезаслонки (толщина брони 5 и б мм) управлялись из кабины пилота. Снизутоннели прикрывались б-мм броней, а с боков -4-мм броневым корпусом. Со стороны заднего лонжерона тоннели прикрывались б-мм броней.</w:t>
      </w:r>
    </w:p>
    <w:p w14:paraId="172FD54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Такое компоновочное решение позволило сделать более плавными обводы бронекорпуса, чем у первого опытного Ил-8, а более выгодная в аэродинамическом отношении схема продува радиаторов уменьшило их размеры и сопротивление.</w:t>
      </w:r>
    </w:p>
    <w:p w14:paraId="2115914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установили более совершенные пушки конструкции А. Нудельмана и А. Суранова НС-23 калибра 23 мм с боезапасом 300 снарядов, прошедших к 4 мая 1944 г. весь комплекс наземных, а к 7 мая 44-го - и летных государственных испытаний на истребителе Як-9.</w:t>
      </w:r>
    </w:p>
    <w:p w14:paraId="537443F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Пушки НС-23 были разработаны в ОКБ-16 под новый 23-мм патрон с уменьшенным зарядом и имели, по сравнению с ВЯ-23, почти вдвое меньший вес (37,5-38,2 кг) и в 1,6 раз меньшую отдачу при стрельбе.</w:t>
      </w:r>
    </w:p>
    <w:p w14:paraId="2E6114E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обстоятельство позволило спроектировать на штурмовике более простую и легкую крыльевую пушечную установку, значительно упрощавшую эксплуатацию новых пушек.</w:t>
      </w:r>
    </w:p>
    <w:p w14:paraId="5D6BD3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два оружейника могли, примерно, за 10 мин демонтировать обе пушки, уложить снаряды в патронные ящики, смонтировать и зарядить пушки. Аналогичная работа на штурмовике Ил-2 с пушками ВЯ требовала не менее 30 мин.</w:t>
      </w:r>
    </w:p>
    <w:p w14:paraId="0C9E0A2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Главное же преимущество при установке на новый штурмовик пушек НС-23 заключалось в повышении точности стрельбы из них, так как рассеивание снарядов при автоматической стрельбе из них с самолета было примерно в 2-3 раза меньше, чем у пушек ВЯ.</w:t>
      </w:r>
    </w:p>
    <w:p w14:paraId="25F851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крыльевых пулемета ШКАСтак же, как и на серийных Ил-2, имели суммарный боезапас в 1500 патронов.</w:t>
      </w:r>
    </w:p>
    <w:p w14:paraId="425CC6A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Оборонительное вооружение было усилено: вместо УБК в кабине стрелка на подвижной установке ВУ-9 устанавливалась новая 20-мм авиапушка конструкции М.Е.Березина УБ-20, имевшая, в сравнении с пушкой ШВАК, меньший вес (25 кг против 42 кг) и габариты.</w:t>
      </w:r>
    </w:p>
    <w:p w14:paraId="7C3E560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Отметим, что в августе 44-го установка пушки Березина УБ-20 на турели ВУБ-3 успешно прошла испытания на одном из серийных Ил-2 АМ-38Ф. Однако в серию установку внедрять не стали по причине еще низкой надежности самой пушки.</w:t>
      </w:r>
    </w:p>
    <w:p w14:paraId="7E7818F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защиты задней нижней полусферы в хвостовой части опытного Ил-8-го №2 была установлена кассета ДАГ-10 с десятью авиационными гранатами АГ-2.</w:t>
      </w:r>
    </w:p>
    <w:p w14:paraId="6061EF3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Более мощным стало и бомбовое вооружение. Нормальная бомбовая нагрузка тяжелого штурмовика, в отличие от серийных Ил-2, была доведена до 1000 кг.</w:t>
      </w:r>
    </w:p>
    <w:p w14:paraId="282372E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 бомбовый груз размещался в четырех центропланных бом-боотсеках.</w:t>
      </w:r>
    </w:p>
    <w:p w14:paraId="72FB61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Штурмовик мог взять на борт 346 противотанковых авиабомб ПТАБ-2,5-1,5. Это на 46 и 150 бомб больше, чем могли взять, соответственно, Ил-8 № 1 и Ил-2 АМ-</w:t>
      </w:r>
      <w:r w:rsidRPr="00070ADE">
        <w:rPr>
          <w:rFonts w:ascii="Times New Roman" w:hAnsi="Times New Roman"/>
          <w:color w:val="000000" w:themeColor="text1"/>
          <w:sz w:val="16"/>
          <w:szCs w:val="16"/>
        </w:rPr>
        <w:lastRenderedPageBreak/>
        <w:t>38Ф. Наружные бомбовые держатели штурмовика обеспечивали подвеску двух ФАБ-500.</w:t>
      </w:r>
    </w:p>
    <w:p w14:paraId="30C91F3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был снабжен компасом ПДК-43Ф, радиопередатчиком РСИ-ЗМГ и радиоприемником РСИ-бМУ (управление приемником дистанционное), радиополукомпасом РПКО-10 и радиоопознавателем СЧ-3. Для обеспечения работы радиооборудования на машине были установлены две антенны: одна для СЧ-3, вторая для связной радиостанции и РПКО.</w:t>
      </w:r>
    </w:p>
    <w:p w14:paraId="2EBED20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Фотооборудование штурмовика состояло из фотоустановки под фотоаппарат АФА-ИМ, обеспечивающая плановую съемку и съемку назад под углами 25° и 50°.</w:t>
      </w:r>
    </w:p>
    <w:p w14:paraId="698B28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Словом, получился весьма неплохой штурмовик-бомбардировщик, имевший повышенную боевую эффективность при действиях по бронетех-нике вермахта.</w:t>
      </w:r>
    </w:p>
    <w:p w14:paraId="1A8E996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Оценки показывают, что летчик с хорошей летной и стрелковой подготовкой на Ил-8 АМ-42 с НС-23 в реальных боевых условиях вполне мог уже в первой атаке обеспечить гарантированное поражение, например, немецкого истребителя танков типа Jg Pz 38(t) “Hetzer” (атака сбоку, угол планирования 25-30°, дистанция открытия огня 300-400 м) - вероятность поражения 0,94-0,63, тогда как пилот Ил-2 с ВЯ-23 в этих же условиях мог поразить “Hetzer” лишь с вероятностью около 0,24-0,15.</w:t>
      </w:r>
    </w:p>
    <w:p w14:paraId="6B9FFF7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Поражение тяжелой бронетехники было возможно лишь бомбовым вооружением (9649).</w:t>
      </w:r>
    </w:p>
    <w:p w14:paraId="7417C25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8806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февраля 1944 официально на</w:t>
      </w:r>
      <w:r w:rsidRPr="00070ADE">
        <w:rPr>
          <w:rFonts w:ascii="Times New Roman" w:hAnsi="Times New Roman"/>
          <w:color w:val="000000" w:themeColor="text1"/>
          <w:sz w:val="16"/>
          <w:szCs w:val="16"/>
        </w:rPr>
        <w:softHyphen/>
        <w:t>чинались государственные испытания самолета Ил-АМ-42 (11427).</w:t>
      </w:r>
    </w:p>
    <w:p w14:paraId="5367CCA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Первый испытательный полет Ил-АМ-42, в котором планировалось оп</w:t>
      </w:r>
      <w:r w:rsidRPr="00070ADE">
        <w:rPr>
          <w:rFonts w:ascii="Times New Roman" w:hAnsi="Times New Roman"/>
          <w:color w:val="000000" w:themeColor="text1"/>
          <w:sz w:val="16"/>
          <w:szCs w:val="16"/>
        </w:rPr>
        <w:softHyphen/>
        <w:t>ределить расход горючего на раз</w:t>
      </w:r>
      <w:r w:rsidRPr="00070ADE">
        <w:rPr>
          <w:rFonts w:ascii="Times New Roman" w:hAnsi="Times New Roman"/>
          <w:color w:val="000000" w:themeColor="text1"/>
          <w:sz w:val="16"/>
          <w:szCs w:val="16"/>
        </w:rPr>
        <w:softHyphen/>
        <w:t>личных режимах, длился 55 минут и был прекращен вследствие самопро</w:t>
      </w:r>
      <w:r w:rsidRPr="00070ADE">
        <w:rPr>
          <w:rFonts w:ascii="Times New Roman" w:hAnsi="Times New Roman"/>
          <w:color w:val="000000" w:themeColor="text1"/>
          <w:sz w:val="16"/>
          <w:szCs w:val="16"/>
        </w:rPr>
        <w:softHyphen/>
        <w:t>извольного возрастания давления наддува. На посадке вновь отказа</w:t>
      </w:r>
      <w:r w:rsidRPr="00070ADE">
        <w:rPr>
          <w:rFonts w:ascii="Times New Roman" w:hAnsi="Times New Roman"/>
          <w:color w:val="000000" w:themeColor="text1"/>
          <w:sz w:val="16"/>
          <w:szCs w:val="16"/>
        </w:rPr>
        <w:softHyphen/>
        <w:t>ли тормоза левого шасси. Работа по замене тормозов, свечей и регули</w:t>
      </w:r>
      <w:r w:rsidRPr="00070ADE">
        <w:rPr>
          <w:rFonts w:ascii="Times New Roman" w:hAnsi="Times New Roman"/>
          <w:color w:val="000000" w:themeColor="text1"/>
          <w:sz w:val="16"/>
          <w:szCs w:val="16"/>
        </w:rPr>
        <w:softHyphen/>
        <w:t>ровке карбюраторов затянулась до 2 часов ночи, но утром 1 марта и днем погода была совершенно нелет</w:t>
      </w:r>
      <w:r w:rsidRPr="00070ADE">
        <w:rPr>
          <w:rFonts w:ascii="Times New Roman" w:hAnsi="Times New Roman"/>
          <w:color w:val="000000" w:themeColor="text1"/>
          <w:sz w:val="16"/>
          <w:szCs w:val="16"/>
        </w:rPr>
        <w:softHyphen/>
        <w:t>ной. Решили провести весь комплекс наземных испытаний бомбардировоч</w:t>
      </w:r>
      <w:r w:rsidRPr="00070ADE">
        <w:rPr>
          <w:rFonts w:ascii="Times New Roman" w:hAnsi="Times New Roman"/>
          <w:color w:val="000000" w:themeColor="text1"/>
          <w:sz w:val="16"/>
          <w:szCs w:val="16"/>
        </w:rPr>
        <w:softHyphen/>
        <w:t>ного вооружения.</w:t>
      </w:r>
    </w:p>
    <w:p w14:paraId="50234A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следующий день погода опять была нелетная. Самолет загнали в институтский тир, где произвели от</w:t>
      </w:r>
      <w:r w:rsidRPr="00070ADE">
        <w:rPr>
          <w:rFonts w:ascii="Times New Roman" w:hAnsi="Times New Roman"/>
          <w:color w:val="000000" w:themeColor="text1"/>
          <w:sz w:val="16"/>
          <w:szCs w:val="16"/>
        </w:rPr>
        <w:softHyphen/>
        <w:t>стрел оборонительной установки ВУ-8. Здесь испытателей ждала "не</w:t>
      </w:r>
      <w:r w:rsidRPr="00070ADE">
        <w:rPr>
          <w:rFonts w:ascii="Times New Roman" w:hAnsi="Times New Roman"/>
          <w:color w:val="000000" w:themeColor="text1"/>
          <w:sz w:val="16"/>
          <w:szCs w:val="16"/>
        </w:rPr>
        <w:softHyphen/>
        <w:t>приятность": прострелили киль, ста</w:t>
      </w:r>
      <w:r w:rsidRPr="00070ADE">
        <w:rPr>
          <w:rFonts w:ascii="Times New Roman" w:hAnsi="Times New Roman"/>
          <w:color w:val="000000" w:themeColor="text1"/>
          <w:sz w:val="16"/>
          <w:szCs w:val="16"/>
        </w:rPr>
        <w:softHyphen/>
        <w:t>билизатор, рули направления и вы</w:t>
      </w:r>
      <w:r w:rsidRPr="00070ADE">
        <w:rPr>
          <w:rFonts w:ascii="Times New Roman" w:hAnsi="Times New Roman"/>
          <w:color w:val="000000" w:themeColor="text1"/>
          <w:sz w:val="16"/>
          <w:szCs w:val="16"/>
        </w:rPr>
        <w:softHyphen/>
        <w:t>соты. Однако погода и аэродромные службы сделали бригаде подарок -в течение следующих трех дней аэро</w:t>
      </w:r>
      <w:r w:rsidRPr="00070ADE">
        <w:rPr>
          <w:rFonts w:ascii="Times New Roman" w:hAnsi="Times New Roman"/>
          <w:color w:val="000000" w:themeColor="text1"/>
          <w:sz w:val="16"/>
          <w:szCs w:val="16"/>
        </w:rPr>
        <w:softHyphen/>
        <w:t>дром был "не ютов к взлету: рыхлый снег, вода".</w:t>
      </w:r>
    </w:p>
    <w:p w14:paraId="74F9B1C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Было решено, одновременно с ус</w:t>
      </w:r>
      <w:r w:rsidRPr="00070ADE">
        <w:rPr>
          <w:rFonts w:ascii="Times New Roman" w:hAnsi="Times New Roman"/>
          <w:color w:val="000000" w:themeColor="text1"/>
          <w:sz w:val="16"/>
          <w:szCs w:val="16"/>
        </w:rPr>
        <w:softHyphen/>
        <w:t>транением пулевых повреждений провести на самолете небольшие до</w:t>
      </w:r>
      <w:r w:rsidRPr="00070ADE">
        <w:rPr>
          <w:rFonts w:ascii="Times New Roman" w:hAnsi="Times New Roman"/>
          <w:color w:val="000000" w:themeColor="text1"/>
          <w:sz w:val="16"/>
          <w:szCs w:val="16"/>
        </w:rPr>
        <w:softHyphen/>
        <w:t>работки, улучшающие эксплуатаци</w:t>
      </w:r>
      <w:r w:rsidRPr="00070ADE">
        <w:rPr>
          <w:rFonts w:ascii="Times New Roman" w:hAnsi="Times New Roman"/>
          <w:color w:val="000000" w:themeColor="text1"/>
          <w:sz w:val="16"/>
          <w:szCs w:val="16"/>
        </w:rPr>
        <w:softHyphen/>
        <w:t>онные и пилотажные качества маши</w:t>
      </w:r>
      <w:r w:rsidRPr="00070ADE">
        <w:rPr>
          <w:rFonts w:ascii="Times New Roman" w:hAnsi="Times New Roman"/>
          <w:color w:val="000000" w:themeColor="text1"/>
          <w:sz w:val="16"/>
          <w:szCs w:val="16"/>
        </w:rPr>
        <w:softHyphen/>
        <w:t>ны. Заново отрегулировали карбю</w:t>
      </w:r>
      <w:r w:rsidRPr="00070ADE">
        <w:rPr>
          <w:rFonts w:ascii="Times New Roman" w:hAnsi="Times New Roman"/>
          <w:color w:val="000000" w:themeColor="text1"/>
          <w:sz w:val="16"/>
          <w:szCs w:val="16"/>
        </w:rPr>
        <w:softHyphen/>
        <w:t>раторы, поставили новые троса уп</w:t>
      </w:r>
      <w:r w:rsidRPr="00070ADE">
        <w:rPr>
          <w:rFonts w:ascii="Times New Roman" w:hAnsi="Times New Roman"/>
          <w:color w:val="000000" w:themeColor="text1"/>
          <w:sz w:val="16"/>
          <w:szCs w:val="16"/>
        </w:rPr>
        <w:softHyphen/>
        <w:t>равления "из-за большой заершен-ности старых", уменьшили щели меж</w:t>
      </w:r>
      <w:r w:rsidRPr="00070ADE">
        <w:rPr>
          <w:rFonts w:ascii="Times New Roman" w:hAnsi="Times New Roman"/>
          <w:color w:val="000000" w:themeColor="text1"/>
          <w:sz w:val="16"/>
          <w:szCs w:val="16"/>
        </w:rPr>
        <w:softHyphen/>
        <w:t>ду нижней частью крыла и элерона</w:t>
      </w:r>
      <w:r w:rsidRPr="00070ADE">
        <w:rPr>
          <w:rFonts w:ascii="Times New Roman" w:hAnsi="Times New Roman"/>
          <w:color w:val="000000" w:themeColor="text1"/>
          <w:sz w:val="16"/>
          <w:szCs w:val="16"/>
        </w:rPr>
        <w:softHyphen/>
        <w:t>ми (поставлена более широкая пла</w:t>
      </w:r>
      <w:r w:rsidRPr="00070ADE">
        <w:rPr>
          <w:rFonts w:ascii="Times New Roman" w:hAnsi="Times New Roman"/>
          <w:color w:val="000000" w:themeColor="text1"/>
          <w:sz w:val="16"/>
          <w:szCs w:val="16"/>
        </w:rPr>
        <w:softHyphen/>
        <w:t>стина), заменили покрышку костыль</w:t>
      </w:r>
      <w:r w:rsidRPr="00070ADE">
        <w:rPr>
          <w:rFonts w:ascii="Times New Roman" w:hAnsi="Times New Roman"/>
          <w:color w:val="000000" w:themeColor="text1"/>
          <w:sz w:val="16"/>
          <w:szCs w:val="16"/>
        </w:rPr>
        <w:softHyphen/>
        <w:t>ного колеса и лючки над бомболю-ком с левой внутренней стороны. Па</w:t>
      </w:r>
      <w:r w:rsidRPr="00070ADE">
        <w:rPr>
          <w:rFonts w:ascii="Times New Roman" w:hAnsi="Times New Roman"/>
          <w:color w:val="000000" w:themeColor="text1"/>
          <w:sz w:val="16"/>
          <w:szCs w:val="16"/>
        </w:rPr>
        <w:softHyphen/>
        <w:t>раллельно успели отработать химво-оружение самолета (11427).</w:t>
      </w:r>
    </w:p>
    <w:p w14:paraId="2A2508B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CB1E2E"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февраля 1944 официально начинались государственные испытания самолет Ил-АМ-42 со «старым» проверенным винтом АВ-5 л-18Б а.</w:t>
      </w:r>
    </w:p>
    <w:p w14:paraId="3051A72C"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Первый испытательный полет, в котором планировалось определить расход горючего на различных режимах, длился 55 минут и был прекращен вследствие самопроизвольного возрастания давления наддува. На посадке вновь отказали тормоза левого шасси. Работа по замене тормозов, свечей и регулировке карбюраторов затянулась до 2 часов ночи, но утром 1 марта и днем погода была совершенно нелетной. Решили провести весь комплекс наземных испытаний бомбардировочного вооружения.</w:t>
      </w:r>
    </w:p>
    <w:p w14:paraId="4787225E" w14:textId="5A2BEC44"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следующий день погода опять была нелетная. Самолет загнали в институтский тир, где произвели отстрел оборонительной установки ВУ-8. Здесь испытателей ждала «неприятность»: прострелили киль, стабилизатор, рули направления и высоты. Однако погода и аэродромные службы сделали бригаде подарок</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 течение следующих трех дней при неважной погоде аэродром был «не готов к взлету: рыхлый снег, вода».</w:t>
      </w:r>
    </w:p>
    <w:p w14:paraId="263E52C2"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Было решено одновременно с устранением пулевых повреждений провести на самолете небольшие доработки, улучшающие эксплуатационные и пилотажные качества машины. Заново отрегулировали карбюраторы, поставили новые троса управления «из-за большой заершенности старых», уменьшили щели между нижней частью крыла и элеронами (поставлена более широкая пластина), заменили покрышку костыльного колеса и лючки над бомболюком с левой внутренней стороны. Параллельно успели отработать химическое вооружение самолета.</w:t>
      </w:r>
    </w:p>
    <w:p w14:paraId="3FF99174"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марта утром удалось выполнить один часовой полет на замер скорости и скороподъемности по высотам, так как с 11.00 полеты были запрещены. На следующий день погода благоприятствовала проведению испытаний, но в первом же полете на определение расхода горючего лопнула трубка, подводящая воду к левому блоку цилиндров. Пришлось идти на посадку и устранять неисправность.</w:t>
      </w:r>
    </w:p>
    <w:p w14:paraId="644DD2B9"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марта с утра стояла нелетная погода, но к 16.00 развеялось и удалось выполнить один полет на полигон для бомбометания и стрельбы из пушек и пулеметов. Вечером вновь пришлось менять свечи.</w:t>
      </w:r>
    </w:p>
    <w:p w14:paraId="1899FD45" w14:textId="2DB15D4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Ввиду нелетной погоды в течение следующего дня самолет «затащили»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тир, где отстреляли все вооружение.</w:t>
      </w:r>
    </w:p>
    <w:p w14:paraId="6695EF6B"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11–13 марта погода была ограниченно летной, но летать все же удавалось. Всего было выполнено 15 взлетов и посадок для определения взлетно-посадочных характеристик самолета, три полета на стрельбу и бомбометание по наземным целям и определение скороподъемности самолета по высотам.</w:t>
      </w:r>
    </w:p>
    <w:p w14:paraId="210ED448"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погода окончательно испортилась, но летать все равно было бы нельзя, так как у самолета обнаружилась течь бензина из трубки подвода к карбюраторам и поломка уплотнительного кольца вала редуктора. Выявились и другие неисправности.</w:t>
      </w:r>
    </w:p>
    <w:p w14:paraId="50F2A406" w14:textId="7BA71A20"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Следующие четыре дня прошли в хлопотах по устранению дефектов самолета. Попутно установили новые элероны с увеличенной аэродинамической компенсацией (29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вместо 27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w:t>
      </w:r>
    </w:p>
    <w:p w14:paraId="078B5A2B" w14:textId="755301FC"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неблагоприятные метеоусловия, 19 марта удалось выполнить 8 непродолжительных полетов, в том числе 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на определение взлетно-посадочных свойств и по одному полету на бомбометание, проверку действия в воздухе ВАП-250 и замер расхода горючего. Всего за день налетали 1</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 55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мин. В ходе последнего полета сгорели прокладки всасывающих патрубков.</w:t>
      </w:r>
    </w:p>
    <w:p w14:paraId="080ECAE3"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Устранение вновь выявленных неисправностей затянулось до 22 марта, но в этот день погода опять оказалась нелетной. Только на следующий день удалось выполнить один часовой полет на замер расхода горючего. Затем последовал четырехдневный перерыв в полетах из-за плохой погоды. Наконец, 28 марта установилась устойчивая летная погода, которая продержалась три дня. В эти дни бригада испытателей работала весьма активно и 30 марта в 18.00 рапортовала руководству института об успешном завершении государственных испытаний.</w:t>
      </w:r>
    </w:p>
    <w:p w14:paraId="3A8A20D6" w14:textId="4B0B762B"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испытания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продолжались в течение 31 календарного дня, из которых летных дней было всего 10, нелетных</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14. Еще 7 дней пришлось затратить на ремонт и доводку самолета. В общей сложности было выполнено 44 полета с налетом 19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 30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мин.</w:t>
      </w:r>
    </w:p>
    <w:p w14:paraId="601A7853" w14:textId="1972486C"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испытаний самолет облетали ведущий инженер-летчик 3-го отдела НИИ ВВС инженер-майор 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Синельников, летчик-испытатель 4-го отдела майор 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Субботин, старший летчик-испытатель 3-го отдела майор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Журавлев и летчик-испытатель подполковник 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Нюхтиков. В качестве штурманов облета участвовали капитан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Горбунов, заместитель начальника 4-го отдела полковник 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Шауров, помощник начальника 6-го отдела капитан Васильев, штурман-испытатель капитан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Ковынев, штурман-испытатель подполковник 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Цветков.</w:t>
      </w:r>
    </w:p>
    <w:p w14:paraId="7286E609"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документов, самолет проходил испытания в двух вариантах: разведчика-корректировщика и штурмовика-бомбардировщика, которые отличались друг от друга фактически только бомбовой нагрузкой и заправкой самолета горючим и маслом. Состав фото- и радиооборудования самолета в ходе испытаний оставался неизменным и соответствовал «следопыту».</w:t>
      </w:r>
    </w:p>
    <w:p w14:paraId="3C33D7F6"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Стрелково-пушечное вооружение самолета в обоих вариантах назначения было одинаковым и включало две пушки ВЯ (300 патронов), два пулемета ШКАС (1500 патронов) и оборонительный пулемет УБК (3 диска по 50 патронов) на ВУ-8. Ракетное вооружение не предусматривалось.</w:t>
      </w:r>
    </w:p>
    <w:p w14:paraId="2BF0D967" w14:textId="544CA855"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 полетный вес штурмовика-бомбардировщика устанавливался в 7260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в перегрузку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7660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Полезная нагрузка при нормальном полетном весе составляла 1995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w:t>
      </w:r>
    </w:p>
    <w:p w14:paraId="51D10082" w14:textId="64119AEC"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перегрузочном варианте допускалась подвеска до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в том числе на двух внешних узлах две бомбы типа ФАБ-500 или два выливных авиаприбора ВАП-250 или УХАП-250.</w:t>
      </w:r>
    </w:p>
    <w:p w14:paraId="5A0D6EFD" w14:textId="46C832EB"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Нагрузка в варианте «следопыта» ограничивалась 1460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и отличалась от штурмового варианта отсутствием бомбовой нагрузки и увеличенным до 120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весом съемного оборудования.</w:t>
      </w:r>
    </w:p>
    <w:p w14:paraId="5067D21A" w14:textId="5A0F62D6"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Поскольку состав съемного оборудования на самолете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соответствовал варианту разведчика-корректировщика, то при загрузке 600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и полной заправке горючим и маслом вес самолета на 65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превышал нормальный полетный вес, установленный для штурмовика-бомбардировщика. Поэтому при проведении испытательных полетов в варианте штурмовика вес горючего уменьшался ровно на 65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w:t>
      </w:r>
    </w:p>
    <w:p w14:paraId="39F40264" w14:textId="42A27FBD"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АМ-42 на протяжении всего времени испытаний работал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и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 Отмечался и большой расход горючего на номинальном режиме работы мотора, который при контрольном полете 19 марта составил 295–315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г/л.</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 ч.</w:t>
      </w:r>
    </w:p>
    <w:p w14:paraId="610C9316"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испытаний пришлось заменить маслоуплотнитель носка вала редуктора мотора, регулятор давления наддува, прокладки под всасывающими патрубками (для чего был демонтирован карбюратор). Дважды заменили весь комплект свечей, по одному разу все свечи внешнего ряда, водяную трубку (подводящую охлаждающую воду к левому блоку цилиндров мотора от помпы) и бензотрубку (подводящую топливо к карбюраторам). Из-за течи по сварке трижды ремонтировались маслобаки. Одновременно были отремонтированы все карбюраторы и коллекторы нагнетателя.</w:t>
      </w:r>
    </w:p>
    <w:p w14:paraId="3A73AE40"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При выполнении работ по устранению недостатков и дефектов «в полный рост» проявилась непродуманность конструкции винтомоторной группы с точки зрения удобства эксплуатации. Например, для того чтобы снять водяную трубку, необходимо было демонтировать блоки мотора, выхлопные патрубки и левый маслобак, а затем вернуть их на свои места. Замена трубопровода, подводящего горючее к карбюраторам, выливалась в полный демонтаж всасывающей трубы нагнетателя и карбюратора. Испытатели отмечали трудоемкую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большую длину (без технологических разъемов), что серьезно усложняло их замену и ремонт.</w:t>
      </w:r>
    </w:p>
    <w:p w14:paraId="02F09F60"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общем, проблем с мотором хватало с избытком, но бригаде НИИ ВВС все же удалось отлетать программу испытаний почти в полном объеме.</w:t>
      </w:r>
    </w:p>
    <w:p w14:paraId="641EDC59" w14:textId="1D7CED45"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первую очередь определялись летно-технические данные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в варианте штурмовика-бомбардировщика и только затем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 варианте разведчика-корректировщика. Как показали полеты, основные данные нового самолета заметно превосходили Ил-2, хотя, по мнению военных, уже не отвечали в полном объеме современным требованиям.</w:t>
      </w:r>
    </w:p>
    <w:p w14:paraId="0EF81E33" w14:textId="2993F24C"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нормальном полетном весе (600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на внутренней подвеске) максимальная скорость полета оказалась равной 472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на высоте 2500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и 428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у земли. Вертикальная скорость не превышала 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м/с на высоте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и 6,7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у земли. Разбег самолета с отклоненными на 17° щитками и с форсажем мотора составил 435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Пробег при посадочном весе 5900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с применением тормозов и отклонением щитков на 45° оказался в пределах 465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Посадочная скорость равнялась 136</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w:t>
      </w:r>
    </w:p>
    <w:p w14:paraId="5FAB492A" w14:textId="0147C81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Разведчик-корректировщик на всех высотах летал на 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быстрее штурмовика-бомбардировщика. Примерно на 22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была выше скороподъемность и на 11</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горизонтальная маневренность. Лучшими были и взлетно-посадочные характеристики. Из-за непостоянства наддува в полете при работе мотора, тряски и выработки ресурса мотора (к моменту начала полетов в варианте «следопыта» остаток ресурса составлял 4–5 часов) измерить скороподъемность выше границы высотности не удалось.</w:t>
      </w:r>
    </w:p>
    <w:p w14:paraId="4922CAC4" w14:textId="2311894B"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всех вариантах полетного веса центровка самолета (шасси выпущено) находилась в пределах от 19,9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САХ (пустой самолет) до 23,3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(перегрузочный вариант с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w:t>
      </w:r>
    </w:p>
    <w:p w14:paraId="56C99A5E" w14:textId="62B2F07F"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полета на высоте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и скорости 308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составила 820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на 155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 больше дальности полета Ил-2 АМ-38ф. При этом отмечалось, что дальность полета 2-го экземпляра Ил-АМ-42, на котором установлены бензобаки емкостью 1020 л, будет достигать 980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w:t>
      </w:r>
    </w:p>
    <w:p w14:paraId="0F33E7D6" w14:textId="5B798E61"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своим пилотажным свойствам Ил-АМ-42 оказался достаточно простым и легким в управлении. В сравнении с Ил-2 новый самолет обладал значительно лучшей продольной устойчивостью и управляемостью, что упростило технику пилотирования, особенно на виражах и бреющих полетах. Летчики-испытатели отмечали, что Ил-АМ-42 в отличие от Ил-2 «на вираже позволяет значительно выбирать ручку руля высоты на себя, для уменьшения радиуса виража». Пикировал самолет устойчиво. Просадка на выводе оказалась несколько больше, чем у серийного Ил-2. Сила отдачи при стрельбе из пушек почти не сказывалась на пилотировании самолетом и прицеливании. Маневренность Ил-АМ-42 в вертикальной и горизонтальной плоскостях оказалась почти такой же, как у серийной «двойки», даже несколько хуже, и считалась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летного состава для перехода с Ил-2 не требует»,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указывалось в отчете по испытаниям.</w:t>
      </w:r>
    </w:p>
    <w:p w14:paraId="5551AE7E"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улучшения пилотажных качеств машины летчики предлагали на руль поворота установить триммер, а на элероны «наклепать ножи для регулировки от подваливания».</w:t>
      </w:r>
    </w:p>
    <w:p w14:paraId="39A008FE" w14:textId="0EB0F3B0"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Указывалось, что Ил-АМ-42 строился по нормам прочности 1941 года и относится к классу Б</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ограниченно маневренных самолетов. При полетном весе 7250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разрушающая перегрузка равнялась 7,5 единицы, эксплуатационная перегрузка («установленная главным конструктором самолета»)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4,96 единицы.</w:t>
      </w:r>
    </w:p>
    <w:p w14:paraId="4B85BD5B"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Помимо неудовлетворительной работы мотора АМ-42 отмечались и ряд других недостатков, отнесенных специалистами института к разряду основных.</w:t>
      </w:r>
    </w:p>
    <w:p w14:paraId="64BE3807"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частности, для самолета боя представлялось обязательным наличие системы заполнения бензобаков нейтральным газом. На Ил-АМ-42, как указывалось выше, такая система имелась, но на государственные испытания официально она не предъявлялась, так как не была доведена до рабочего состояния.</w:t>
      </w:r>
    </w:p>
    <w:p w14:paraId="70785AED" w14:textId="324479CC"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Схему бронирования Ил-АМ-42 специалисты НИИ ВВС оценили как не отвечающую современным требованиям. Соответствующее заключение начальник 8-го отдела института инженер-полковник Лагутин утвердил 24 марта. В ряду особо уязвимых мест значились задняя бронеперегородка штурмана-стрелка (толщина 12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и моторная часть снизу-сбоку (толщина 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рекомендовалось «снять с корпуса/…/передние броневые детали за втулкой винта, уменьшить с 5 до 2,5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толщину деталей пояса кабины летчика в местах примыкания крыла к фюзеляжу». Кроме этого, требовалось заднюю перегородку штурмана установить по образцу 2-го экземпляра Ил-АМ-42, то есть сделать экранированной две бронеплиты по 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и обеспечить защиту головы штурмана бронестеклом.</w:t>
      </w:r>
    </w:p>
    <w:p w14:paraId="54453600" w14:textId="59124283"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 же время отмечалось, что обе кабины</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летчика и штурмана-стрелка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 сравнении с Ил-2 имеют увеличенные размеры, что улучшает условия боевой работы экипажа. В кабине штурмана-стрелка вместо брезентовой ленты (как на Ил-2) устанавливалось постоянное откидное сиденье. Штурман облета капитан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Горбунов отмечал, что в кабине «тепло, задуваний нет, можно работать без летных очков». Посадка в кабину через нижний люк в бронекорпусе была признана удобной. В аварийной ситуации штурман легко покидал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7E357A3C"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достоинству машины было отнесено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поскольку это сильно облегчало работу летчика в бою.</w:t>
      </w:r>
    </w:p>
    <w:p w14:paraId="649F40A3"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Положительно оценили наличие дублирования в каналах управления рулем высоты, поворота, элеронами и триммерами.</w:t>
      </w:r>
    </w:p>
    <w:p w14:paraId="4C7F9C55" w14:textId="74749E01"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в кабине пилота прицела ПБП-1б на легкосъемном кронштейне обеспечивала летчику дополнительную безопасность при посадке с убранным шасси. Как известно, на Ил-2 ранних серий летчики часто ударялись о прицел ПБП-1 головой во время вынужденных посадок, что нередко приводило к серьезным травмам, а в ряде случаев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и к смертельным исходам.</w:t>
      </w:r>
    </w:p>
    <w:p w14:paraId="569D5107" w14:textId="4A734310"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Бомбовое вооружение штурмовика-бомбардировщика Ил-АМ-42 по номенклатуре бомб и весу в целом соответствовало требованиям войны. Бомбометание допускалось как с горизонтального полета, так и с пикирования, но под углами не более 25–30°, хотя на испытаниях самолет пикировал до 40° без каких-либо нареканий. Для бомбометания с горизонтального полета предназначался прицел ОПБ-1р. Сброс бомб мог осуществляться и штурманом, и летчиком. Однако прицельно сбросить бомбы ни тот ни другой не могли.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штурман, «что требует соответствующей методической проработки».</w:t>
      </w:r>
    </w:p>
    <w:p w14:paraId="6C3A65D0" w14:textId="13B86B58"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бомбовый прицел штурмана в полете нещадно забрызгивался маслом, которое выбивалось из-под уплотнительного кольца втулки винта и носка коленчатого вала мотора. По этим причинам в первом же полете на испытание бомбового вооружения 9 марта штурман капитан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Горбунов был вынужден сбросить все бомбы залпом, неприцельно, за один заход. Для предохранения прицела от попадания масла на заводе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240 был изготовлен специальный щиток. Установка щитка на самолет положение не улучшило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оптика забрызгивалась маслом. Прицельное бомбометание по-прежнему оставалось невозможным. В испытательном полете 19 марта со щитком из-за замасливания оптики Горбунов сбросил все бомбы аварийно. В то же время отмечалось, что работать с ОПБ-1р в боевом положении удобно, а сам прицел является наиболее подходящим для установки на Ил-АМ-42, если, конечно, «устранить забрызгивание оптики прицела маслом».</w:t>
      </w:r>
    </w:p>
    <w:p w14:paraId="1760C876"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этим причинам для бомбометания с горизонтального полета рекомендовалось использовать прицельную систему, отработанную для Ил-2: разметку и визирные штыри на бронекапоте самолета, метки и прицельные линии на лобовом и боковых бронестеклах фонаря кабины.</w:t>
      </w:r>
    </w:p>
    <w:p w14:paraId="76F71FEB"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Бомбометание с пикирования по методике ничем не отличалось от таковой на Ил-2 и в целом показало хорошие результаты вследствие лучшей устойчивости самолета при пикировании.</w:t>
      </w:r>
    </w:p>
    <w:p w14:paraId="01907E66"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Отметим, что маслом забрызгивалось и переднее бронестекло фонаря кабины пилота, что, естественно, ухудшало условия прицеливания.</w:t>
      </w:r>
    </w:p>
    <w:p w14:paraId="1F4DC4A1"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отработки стрелково-пушечного вооружения было выполнено в общей сложности 19 полетов, из них «9 полетов со стрельбой по наземным целям и 10 полетов с ВУ-8».</w:t>
      </w:r>
    </w:p>
    <w:p w14:paraId="057D2976"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Если к пушкам ВЯ и пулеметам ШКАС при стрельбе в воздухе каких-либо серьезных претензий у военных испытателей не было, то работой оборонительной установки ВУ-8 с пулеметом УБК и ее возможностями они остались недовольны.</w:t>
      </w:r>
    </w:p>
    <w:p w14:paraId="2DAC5219" w14:textId="163E6808"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недостатки ВУ-8 в явном виде проявились в воздушном бою с немецким истребителем Bf109G-2, который состоялся 30 апреля. За воздушного стрелка вылетал штурман-испытатель подполковник 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Цветков. Атаки выполнялись со всех возможных в реальном бою направлений. При этом на маршруте полета от Чкаловской до Ногинска «мессер» успевал выполнить до 8–9 атак, находясь всегда в задней полусфере и отворачивая всякий раз в сторону с набором высоты.</w:t>
      </w:r>
    </w:p>
    <w:p w14:paraId="46D64A15" w14:textId="59911304"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Оказалось, что за время одной атаки «мессершмитта» штурман успевал только развернуть установку в сторону истребителя и выставить пулемет в необходимое положение для стрельбы по нему, а на прицеливание оставалось «такое незначительное время, что точно навести прицел с требуемой поправкой на скорость цели не удалось ни разу». С одной стороны, это обуславливалось большими угловыми скоростями цели, а с другой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значительными усилиями для удерживания пулемета при прицеливании и стрельбе. Дело в том, что для выполнения грубой наводки на цель штурману приходилось одной рукой (правой) удерживать пулемет, а другой рукой (левой)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 фиксировать стопор каретки установки и одновременно «доворачивать пулеметную установку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углового сектора </w:t>
      </w:r>
      <w:r w:rsidRPr="00070ADE">
        <w:rPr>
          <w:rFonts w:ascii="Times New Roman" w:hAnsi="Times New Roman"/>
          <w:color w:val="000000" w:themeColor="text1"/>
          <w:sz w:val="16"/>
          <w:szCs w:val="16"/>
        </w:rPr>
        <w:lastRenderedPageBreak/>
        <w:t>точной наводки пулемета. Требовалось вновь перемещать саму установку и выполнять точную наводку пулеметом и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 То есть «одной рукой довести пулемет и прицелиться невозможно».</w:t>
      </w:r>
    </w:p>
    <w:p w14:paraId="25E4E448"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Положение усугублялось еще и тем обстоятельством, что при работе с пулеметом имело место «много мелких трудноуловимых препятствий, затруднявших маневр пулеметом и установкой».</w:t>
      </w:r>
    </w:p>
    <w:p w14:paraId="59165574" w14:textId="0C88180E"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донесения Цветкова, производить прицеливание при стрельбе вверх было крайне неудобно, так как «приходится опускаться на корточки, и получается очень напряженное, неустойчивое положение». При поворотах установки на левый борт очень трудно использовать доводочные углы пулемета, требовалось менять положение туловища относительно оружия, а поскольку прицел располагался слева от пулемета,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устойчивым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во время прицеливания и стрельбы все время приходилось подыскивать место, куда бы поставить ноги. Отсюда потеря времени на прицеливание. Практически получалось так, что обеспечить прицельный огонь с левого борта было нельзя.</w:t>
      </w:r>
    </w:p>
    <w:p w14:paraId="48D91EED"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Стрельба с незастопоренной установкой показала, что пулемет в этом случае резко уходит к правому борту, а при стрельбе с застопоренной установкой пулемет сильно трясет.</w:t>
      </w:r>
    </w:p>
    <w:p w14:paraId="4C84577E" w14:textId="5A9C9723"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Ведение прицельного огня на виражах оказалось невозможным, так как пулемет прижимает вниз, а «приподнять и удержать его не хватает силы», не говоря уже о том, чтобы одновременно с этим еще и поворачивать установку в сторону цели. Во время воздушного боя на виражах истребитель легко держался в хвосте и на первом же вираже заходил строго в хвост на дистанцию открытия действительного огня 100–150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w:t>
      </w:r>
    </w:p>
    <w:p w14:paraId="0C1D5E1C"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мнению подполковника Цветкова, маневренность ВУ-8 и пулемета в целом явно недостаточная для эффективного отражения атак истребителей, «в лучшем случае она может позволить сделать одну прицельную очередь, и то с недостаточной точностью прицеливания». Одновременно отмечалось, что сама установка ВУ-8 заметно лучше, чем блистерная установка БЛУБ на Су-6, и несколько лучше, чем ВУБ-3 на Ил-2.</w:t>
      </w:r>
    </w:p>
    <w:p w14:paraId="5DB009C6"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Справедливости ради следует отметить, что при всех атаках со стороны задней полусферы летчик по команде штурмана энергичным маневром успевал доворачивать самолет таким образом, чтобы штурман мог держать противника в секторе обстрела. Это до некоторой степени компенсировало ограниченность углов обстрела установки, однако не обеспечивало ведение прицельной стрельбы.</w:t>
      </w:r>
    </w:p>
    <w:p w14:paraId="4573D436" w14:textId="0D4A36E0"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отражении атак истребителя со стороны солнца выявилась еще одна интересная особенность ВУ-8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плексиглас козырька установки слепил штурмана еще больше, чем солнце, вследствие чего прицеливаться было невозможно.</w:t>
      </w:r>
    </w:p>
    <w:p w14:paraId="07A0E8F2"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переговорное устройство штурмана и летчика работало неудовлетворительно: «… сильный треск и шум не давали разговаривать, переключатель абонентской коробки во время боя несколько раз самопроизвольно переключался в положение РС или РК, что нарушало связь с летчиком».</w:t>
      </w:r>
    </w:p>
    <w:p w14:paraId="431550C6"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Серьезными недостатками ВУ-8 считались небольшая емкость магазина пулемета УБК и большое время его смены. Полсотни патронов в магазине оказалось недостаточно для отражения даже одной атаки истребителя. В то же время на его замену уходило около одной минуты, что было совершенно неприемлемым для реальных условий боя. В отчете указывалось, что за счет некоторых конструктивных улучшений можно сократить время смены магазина до 45–50 секунд, но все равно оно оставалось большим.</w:t>
      </w:r>
    </w:p>
    <w:p w14:paraId="23C89300" w14:textId="5FBD2E42"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ранее принятыми подобными установками преимуществ не имеет, за исключением того, что защищает стрелка от задувания»,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констатировал подполковник Цветков после проведенного им воздушного боя с немецким истребителем.</w:t>
      </w:r>
    </w:p>
    <w:p w14:paraId="60BC1D06"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выводах отчета предлагалось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2BB24799" w14:textId="7C775986"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Предъявлялись претензии и к спецоборудованию самолета. В частности,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«летчик и штурман совмещают лишние функции».</w:t>
      </w:r>
    </w:p>
    <w:p w14:paraId="717178F1"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столь обширный перечень дефектов и недостатков Ил-АМ-42, в заключении акта по испытаниям самолет был рекомендован к запуску в серийное производство в вариантах штурмовика-бомбардировщика и разведчика-корректировщика.</w:t>
      </w:r>
    </w:p>
    <w:p w14:paraId="2939B6E1" w14:textId="2C73827C"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целью выявления боевых качеств Ил-АМ-42 предлагалось «выпустить войсковую серию этих самолетов». Причем когда акт подписывал начальник НИИ ВВС генерал-лейтенант 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Лосюков, то он собственноручно дописал к этому пункту документа: «…даже с 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час. ресурсом АМ-42 (если не успеют моторы со 100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час. ресурсом)».</w:t>
      </w:r>
    </w:p>
    <w:p w14:paraId="26299CFF" w14:textId="6D763760"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Военные специалисты считали необходимым «просить Наркома авиапромышленности тов. Шахурина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 дать задания: а) Главному конструктору мотора АМ-42 тов. Микулину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 довести опытный мотор до состояния пригодного к нормальной эксплуатации. б) Главному конструктору самолета Ил с АМ-42 тов. Ильюшину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 до запуска в серийное производство устранить дефекты, отмеченные в выводах…»</w:t>
      </w:r>
    </w:p>
    <w:p w14:paraId="2578B283" w14:textId="77777777" w:rsidR="000169CA" w:rsidRPr="00070ADE" w:rsidRDefault="000169C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 касается установки на самолет кассет ДАГ-10 и крупнокалиберных пушек 11П, а также величины бомбовой нагрузки с этими пушками, то решение планировалось принять после проведения испытаний 2-го экземпляра самолета Ил-АМ-42 (17490).</w:t>
      </w:r>
    </w:p>
    <w:p w14:paraId="22651732" w14:textId="77777777" w:rsidR="000169CA" w:rsidRPr="00070ADE" w:rsidRDefault="000169CA" w:rsidP="00B56F90">
      <w:pPr>
        <w:spacing w:after="0" w:line="240" w:lineRule="auto"/>
        <w:jc w:val="both"/>
        <w:rPr>
          <w:rFonts w:ascii="Times New Roman" w:hAnsi="Times New Roman"/>
          <w:color w:val="000000" w:themeColor="text1"/>
          <w:sz w:val="16"/>
          <w:szCs w:val="16"/>
        </w:rPr>
      </w:pPr>
    </w:p>
    <w:p w14:paraId="721862A1" w14:textId="77777777" w:rsidR="00BD409E" w:rsidRPr="00070ADE" w:rsidRDefault="00BD409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февраля 1944 в НИИ ВВС начались госиспытания опытного двухместного самолета Ил с мотором АМ-42 и винтом АВ-5Л-18Б конструкции С.В. Ильюшина (экземпляр № 1, производства завода № 240), который прибыл на испытания 26 февраля 1944 года. Мартовская погода растянула испытания «тяжелого» «Ила» до конца месяца, тем временем завод № 18 закончил свою часть работы по «легкому» штурмовику. 10 марта 1944 года двухместный вариант Ил-1 в сопровождении заводской бригады отправили в Москву на авиазавод № 240 для дальнейшей доводки и проведения испытаний. Это уже был не истребитель Ил-1, но и ставший впоследствии привычным облик Ил10, как в экстерьере, так и конструктивно новый самолет еще до конца не обрел. На тот момент машина представляла собой уникальный двухместныйИл-1, взлететь которому так и не пришлось. Главным отличием этого самолета была задняя стрелковая установка, которая вписалась в фюзеляж почти без изменения его обводов. По бокам и снизу ее прикрыли листами брони в 5 и 6 мм толщиной. Задний бронепакет пилотской кабины «разрезали» с небольшим припуском, и нижнюю часть поместили позади стрелка, причем, выше фюзеляжа никакой защиты не предусматривалось. Общий «привес» брони составил 167 кг. Задняя стрелковая установка была прикрыта полусферическим колпаком по типу установок МВ-3 или УТК. К сожалению, найти детальную информацию по ней пока не удалось. Для обеспечения плавного перехода от створки фонаря пилота к колпаку турели высотуфонаря увеличили примерно на 9 сантиметров, при этом левая боковая панель створки пилота стала откидываться налево, а остальная часть – направо. По бокам турель все же выступала за обводы фонаря. В комплект вооружения вошли два ШКАСа в крыле с общим боекомплектом 1500 патронов, а также бомбардировочная оснастка в виде двух бомбоотсеков в центроплане и двух точек наружной подвески. Ракетное оружие не устанавливалось. Вес пустого самолета составлял 4673 кг – по сравнению с одноместным вариантом второй Ил-1 потяжелел на 388 кг. Появление стрелка на самолете сдвинуло центр тяжести всего на 18 сантиметров, однако для сохранения приемлемого диапазона центровок среднюю аэродинамическую хорду крыла пришлось подвинуть назад примерно на такую же величину. Это было сделано отработанным на Ил-2 приемом – консолям крыла придали небольшую стреловидность. По передней кромке она составила 12 градусов 7 минут. Немного изменили наклон осей основных стоек шасси, чтобы противокапотажный угол оставался в разумных пределах. В Москве на заводе № 240 самолет подвергли целому ряду доработок. По предложению НИИ ВВС оптимизировали расположение и толщину бронепанелей. В частности установили дюралевые листы в верхней наименее поражаемой части капота мотора. На основе полученного в ходе доводки тяжелого Ила с АМ-42 доработали систему охлаждения. К водо- и маслорадиатору воздух теперь поступал по профилированным тоннелям. Аэродинамическое сопротивление турели посчитали чрезмерным и заменили ее установкой ВУ-7 с опытной пушкой Ш-20 калибра 20 мм. Эта установка была конструктивно подобна турели ВУ-8 с пулеметом УБК, успешно испытанной на «тяжелом» Ил №1 с АМ-42. Мидель фюзеляжа удалось снизить до 1,54 кв. м (у одноместного Ил-1 этот параметр составлял 1,5 кв. м). После доработок взлетный вес самолета вырос с 6100 до 6300 килограмм. Забегая вперед стоит заметить, что при запуске в серию пушку Шпитального постановлением ГКО заменили пулеметом Березина, и первые серийные Ил-10 строили с установкой ВУ-8. ВУ-9 с пушкой Б-20 начали монтировать позднее. 30 марта 1944 г. в НИИ ВВС с общим налетом 19 часов 30 минут в 44 полетах успешно завершились госиспытания опытного двухместного «тяжелого» «Ил» № 1 с мотором АМ42 и винтом АВ-5Л-18Б конструкции С.В. Ильюшина (экземпляр № 1, производство завода № 240 мая 1943 года). Самолет был рекомендован в серию в двух вариантах, однако моторов, пригодных к установке на этой самой серии, по сути, так и не было. Более того, по предложению наркома авиапромышленности А.И. Шахурина, И.В. Сталин, постановлением ГКО № 5525с от 3 апреля освободил Александра Александровича Микулина от обязанностей Главного конструктора завода № 24 в Куйбышеве. Этот пост занял Михаил Романович Флисский, которому и предстояло спасать АМ-42. Завод № 18 неспешно (по меркам того времени) приступил к освоению производства штурмовика Ил-8 или изделия «М» по внутризаводскому шифру. Однако этим планам не суждено было сбыться. Во второй половине апреля Сергей Владимирович Ильюшин завершил «операцию прикрытия». Двухместный вариант самолета Ил-1 после выполнения комплекса доработок на заводе № 240 получил (сначала полуофициально) новое наименование – Ил-10. События стали развиваться в ускоренном темпе. 18 апреля Владимир Константинович Коккинаки выполнил на новой машине первый вылет, а уже 27 мая с положительной оценкой завершились государственные испытания в НИИ ВВС. За следующие два месяца была проделана огромная работа по организации, планированиюи подготовке производстваИл-10 (21005)</w:t>
      </w:r>
    </w:p>
    <w:p w14:paraId="2C8CBBD1" w14:textId="77777777" w:rsidR="00BD409E" w:rsidRPr="00070ADE" w:rsidRDefault="00BD409E" w:rsidP="00B56F90">
      <w:pPr>
        <w:spacing w:after="0" w:line="240" w:lineRule="auto"/>
        <w:jc w:val="both"/>
        <w:rPr>
          <w:rFonts w:ascii="Times New Roman" w:hAnsi="Times New Roman"/>
          <w:color w:val="000000" w:themeColor="text1"/>
          <w:sz w:val="16"/>
          <w:szCs w:val="16"/>
        </w:rPr>
      </w:pPr>
    </w:p>
    <w:p w14:paraId="1B37973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февраля 1944 2Д МиГ выполнил первые 2 полета в рамках гос. испытаний в НИИ ВВС и выполнил 6 полетов, пока 8 марта не потерпел аварию при посадке (992,13).</w:t>
      </w:r>
    </w:p>
    <w:p w14:paraId="3EB08F0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6B603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29 февраля 1944 согласно журнала наблюдения за проектированием, постройкой и испытаниями МиГ-3 от 29 февраля 1944 на изд. 2Д произведено три полета, а всего с мотором № 016 произведено 17 полетов. В этот день полет на определение максимальной скорости не выполнен из-за выбивания масла из носка вала редуктора (992,12).</w:t>
      </w:r>
    </w:p>
    <w:p w14:paraId="305747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F5ABB9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февраля 1944 вышел отчет о гос. испытаниях У-2 Лимузина 3-й воздушной армии, изготовленного по проекту Н.Н.П. в 204 стационарных мастерских 3 ВА вед. инженером А.В.Синельниковым (1076,721).</w:t>
      </w:r>
    </w:p>
    <w:p w14:paraId="76DC72A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26DA0B"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278791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D8E8CE" w14:textId="77777777" w:rsidR="00046E0B" w:rsidRPr="00070ADE" w:rsidRDefault="00046E0B" w:rsidP="00B56F90">
      <w:pPr>
        <w:pStyle w:val="ae"/>
        <w:spacing w:before="0" w:after="0"/>
        <w:jc w:val="both"/>
        <w:textAlignment w:val="baseline"/>
        <w:rPr>
          <w:color w:val="000000" w:themeColor="text1"/>
          <w:sz w:val="16"/>
          <w:szCs w:val="16"/>
        </w:rPr>
      </w:pPr>
      <w:r w:rsidRPr="00070ADE">
        <w:rPr>
          <w:color w:val="000000" w:themeColor="text1"/>
          <w:sz w:val="16"/>
          <w:szCs w:val="16"/>
        </w:rPr>
        <w:t>29 февраля 1944 Малышев по указанию Сталина подготовил проект постановления ГКО «Об организации производства средних танков Т-44 на заводе №183 Наркомтанкопрома». Согласно постановлению, первые 25 танков нового типа выпускались на заводе №183 в мае 1944 года, в июне их число вырастало до 50, в июле – до 150, в августе – до 300, в сентябре – до 500, в октябре – до 650 штук. Выпуск Т-34-85 при этом постепенно сокращался, а с сентября 1944 года прекращался полностью. Впрочем, ввиду выявившихся проблем с испытаниями опытных Т-44 постановление так и не было подписано. Сам завод №183 неоднократно выступал за организацию выпуска Т-44 на своих мощностях, но этого так и не случилось (19047).</w:t>
      </w:r>
    </w:p>
    <w:p w14:paraId="1A67EA93" w14:textId="77777777" w:rsidR="00046E0B" w:rsidRPr="00070ADE" w:rsidRDefault="00046E0B" w:rsidP="00B56F90">
      <w:pPr>
        <w:pStyle w:val="ae"/>
        <w:spacing w:before="0" w:after="0"/>
        <w:jc w:val="both"/>
        <w:textAlignment w:val="baseline"/>
        <w:rPr>
          <w:color w:val="000000" w:themeColor="text1"/>
          <w:sz w:val="16"/>
          <w:szCs w:val="16"/>
        </w:rPr>
      </w:pPr>
    </w:p>
    <w:p w14:paraId="1F9EC4A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февраля 1944 года П. Паршин писал письмо № А-3-2170/9 в Совнарком Молотову В.М.</w:t>
      </w:r>
    </w:p>
    <w:p w14:paraId="28EBC7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НКВМ просит передать в его систему строительство бывш. завода № 304 НКВ в Рязани для организации на нем производства дорожных и строительных машин.</w:t>
      </w:r>
    </w:p>
    <w:p w14:paraId="7862FB2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Принципиальное согласие на передачу со стороны НКВ (Устинова) получено (9281).</w:t>
      </w:r>
    </w:p>
    <w:p w14:paraId="084A491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E287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29 февраля 1944 года вышел приказ № 102, 7 ноября 1943 года вышел приказ № 404 и 29 сентября 1943 года вышел приказ № 321 и во исполнение Постановление СНК № 941 от 1 сентября 1943 года согласно которым проектировался Часовой завод № 5 в Сердобске Пензенской области </w:t>
      </w:r>
    </w:p>
    <w:p w14:paraId="217F3B9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Первоначальное назначение завода – выпуск миниатюрных будильников типа Юнгана и настольных часов.</w:t>
      </w:r>
    </w:p>
    <w:p w14:paraId="291D5A4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приказом НКВМ № 102 от 29 февраля 1944 года проектирование было приостановлено.</w:t>
      </w:r>
    </w:p>
    <w:p w14:paraId="661D5AD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Здания и сооружения под часовой завод, приспособленные для пуска первой очереди из зданий, в которых размещались НКВД, НКГБ и Райвоенкомат Сердобска. К организации завода на месте приступили в январе 1944 года (10425).</w:t>
      </w:r>
    </w:p>
    <w:p w14:paraId="0F33C0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F7C37F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февраля 1944 г. по пр. № 102 производство часов-ходиков и оборудование с завода (Завод №835 НКМВ, 5 -й часовой завод НКМВ, Чистопольский часовой завод (ЧЧЗ) ММиП, МРП, ПО «Восток», АП, АООТ, ОАО «ЧЧЗ «Восток» /г. Чистополь ул. К. Маркса, 15 «Часзавод» (1948г.)/ /Татарстан 422981 г. Чистополь ул. Энгельса, 127/ /Московское представительство: г. Москва ул. Клары Цеткин, 2/3/) было передано на ГЧЗ-5 (Сердобский часовой завод).</w:t>
      </w:r>
    </w:p>
    <w:p w14:paraId="6B7C7E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1947-48г. Чистопольский часовой завод - в ведении Главчаспрома ММиП.</w:t>
      </w:r>
    </w:p>
    <w:p w14:paraId="2217CBD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составе предприятия (1947г.) цехи: основные: автоматный, прессовый, механический (К-43), механо</w:t>
      </w:r>
      <w:r w:rsidRPr="00070ADE">
        <w:rPr>
          <w:rFonts w:ascii="Times New Roman" w:hAnsi="Times New Roman"/>
          <w:color w:val="000000" w:themeColor="text1"/>
          <w:sz w:val="16"/>
          <w:szCs w:val="16"/>
        </w:rPr>
        <w:softHyphen/>
        <w:t>сборочный спецприборов, гальванический, сборочный электрочасов, механо-сборочный электрочасов, инструментальный, сборочный (К-43), ремонтно-механический, платино-мостовой, деревообделочный, корпусной; вспомогательные: ремонтно-строительный, энергетический, котельные.</w:t>
      </w:r>
    </w:p>
    <w:p w14:paraId="05F4D30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Сразу после войны освоен выпуск механических наручных часов, которые стали основной продукцией завода. В начале 1950-х г. разработаны часы «Победа» в пылевлагонепроницаемом корпусе (В.П. Дудин). В 1965г. разработаны часы «Командирские», завод стал официальным поставщиком часов для МО.</w:t>
      </w:r>
    </w:p>
    <w:p w14:paraId="1C4F683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Затем завод частично перепрофилирован для производства высокоточных компонентов антенных станций. 15.01.1970г. ЧЧЗ вошел в состав ЦНПО «Вымпел».</w:t>
      </w:r>
      <w:r w:rsidRPr="00070ADE">
        <w:rPr>
          <w:rFonts w:ascii="Times New Roman" w:hAnsi="Times New Roman"/>
          <w:color w:val="000000" w:themeColor="text1"/>
          <w:sz w:val="16"/>
          <w:szCs w:val="16"/>
          <w:vertAlign w:val="superscript"/>
        </w:rPr>
        <w:t>1</w:t>
      </w:r>
      <w:r w:rsidRPr="00070ADE">
        <w:rPr>
          <w:rFonts w:ascii="Times New Roman" w:hAnsi="Times New Roman"/>
          <w:color w:val="000000" w:themeColor="text1"/>
          <w:sz w:val="16"/>
          <w:szCs w:val="16"/>
        </w:rPr>
        <w:t>® С 1986г. ЧЧЗ - в ведении МРП.</w:t>
      </w:r>
    </w:p>
    <w:p w14:paraId="2D5CD45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2000-х г. завод выпускал около 1 млн часов в год. В 2007г. планировалось организовать совместное производство кварцевых часов с швейцарской фирмой Techno Time мощностью 1,5 млн часов в год, но это не было реализовано. Являлся (2010г.) одним из двух часовых заводов полного цикла в России (наряду с заводом «Мак-Тайм»).</w:t>
      </w:r>
    </w:p>
    <w:p w14:paraId="5D4A5AA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04.2010г. начата процедура банкротства предприятия.</w:t>
      </w:r>
    </w:p>
    <w:p w14:paraId="0884A51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оборудования: (1946г.)- 923 ед., (1947г.)- 1118 ед.</w:t>
      </w:r>
    </w:p>
    <w:p w14:paraId="63BE36D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Площадь: территории (1947г.)- 5,34 га; застройки (1947г.)- 16702 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 производственная (1946г.)-</w:t>
      </w:r>
    </w:p>
    <w:p w14:paraId="134A23D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11558 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 (1947г.)- 12717 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w:t>
      </w:r>
    </w:p>
    <w:p w14:paraId="1E4D5A6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(1946г.)- 2124 чел., (1947г.)- 2112 чел.</w:t>
      </w:r>
    </w:p>
    <w:p w14:paraId="1892DC5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(-06.1942-48Г.-)- Лукьянов, (1986г.-)- В.В. Цивилин. Гендиректор (04.2010г.)- Е. Пухов. Временный управляющий (04.2010г.-)- А. Волков.</w:t>
      </w:r>
    </w:p>
    <w:p w14:paraId="551BE02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(1948г.)- Григорьев.</w:t>
      </w:r>
    </w:p>
    <w:p w14:paraId="29731D3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механик (1950-е)- В.П. Дудин.</w:t>
      </w:r>
    </w:p>
    <w:p w14:paraId="4035D50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Руководитель Московского представительства (2000г.)- Е.П. Сидоров.</w:t>
      </w:r>
    </w:p>
    <w:p w14:paraId="6C39360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 часы:</w:t>
      </w:r>
      <w:r w:rsidRPr="00070ADE">
        <w:rPr>
          <w:rFonts w:ascii="Times New Roman" w:hAnsi="Times New Roman"/>
          <w:color w:val="000000" w:themeColor="text1"/>
          <w:sz w:val="16"/>
          <w:szCs w:val="16"/>
        </w:rPr>
        <w:t xml:space="preserve"> карманные КЧ (1947); наручные РЧД (1947), «Победа» (1950-е), «Командирские» (1965- ), «Генеральские», «Восток», «Амфибия», «Штурманские» (1990-е); морские МЧМ, МЧД (1947); автомобильные электрочасы 5ЧТ (1947); танковые ТЧ (1947); пульсомер К-43 к прибору ПАУ-22; часовые механизмы для специзделий 13А, РР-45, РР-19, 509 (ЯМД); механизм срочности МС (1947).</w:t>
      </w:r>
      <w:r w:rsidRPr="00070ADE">
        <w:rPr>
          <w:rFonts w:ascii="Times New Roman" w:hAnsi="Times New Roman"/>
          <w:color w:val="000000" w:themeColor="text1"/>
          <w:sz w:val="16"/>
          <w:szCs w:val="16"/>
          <w:vertAlign w:val="superscript"/>
        </w:rPr>
        <w:t>129</w:t>
      </w:r>
    </w:p>
    <w:p w14:paraId="69DB240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Чистопольское конструкторско-технологическое бюро (КТБ)</w:t>
      </w:r>
    </w:p>
    <w:p w14:paraId="170301D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15.01.1970г. вошло в состав ЦНПО «Вымпел» (11982).</w:t>
      </w:r>
      <w:r w:rsidRPr="00070ADE">
        <w:rPr>
          <w:rFonts w:ascii="Times New Roman" w:hAnsi="Times New Roman"/>
          <w:color w:val="000000" w:themeColor="text1"/>
          <w:sz w:val="16"/>
          <w:szCs w:val="16"/>
          <w:vertAlign w:val="superscript"/>
        </w:rPr>
        <w:t>104</w:t>
      </w:r>
    </w:p>
    <w:p w14:paraId="696A0C9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470D56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февраля 1944 На Балтийском заводе заложены 17-й и 18-й стотонники. В постройке находился 21 ТЩ; 3 достраивались на плаву, 12 - на стапелях, для 6 изготовлялись секции и обрабатывался металл. Заложен один БМО (10671). На всех судостроительных заводах продолжались работы по постройке и ремонту кораблей. В ремонте находились линкор "Октябрьская революция", крейсеры "Киров" и "Максим Горький", лидеры "Минск" и "Ленинград"; 7 эсминцев ("Сторожевой", "Грозящий", "Вице-адмирал Дрозд", "Свирепый".и др.), 14 ПЛ (гарантийные работы на К-56, Л-21; аварийный ремонт на С-4, П-2, П-3 и др.), 49 КТЩ типа КМ-4, 5 БК, 6 МБК, 6 БМО, 20 ТК типа Д-3 и другие. Ждановцы закончили ремонт эсминцев "Строгий" и "Стройный" (10671).</w:t>
      </w:r>
    </w:p>
    <w:p w14:paraId="17B7387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AFD1C18"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B2BA4C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5D3B0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29-го февраля 1944 своей второй победы добился старший лейтенант А.З.Большаков. Ему удалось атаковать небольшое одиночное судно севернее мыса Тахкуна. Подтверждений не на одну из атак нет. Тем не менее, противник серьезно обеспокоился началом нового наступления на свои коммуникации и предпринял эффективные меры противодействия, из которых в первую очередь необходимо отметить патрулирование ночных истребителей с РЛС в районе Таллинна (9965).</w:t>
      </w:r>
    </w:p>
    <w:p w14:paraId="27AEB2D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40EE100"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79DABE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F90F48" w14:textId="77777777" w:rsidR="00BD409E" w:rsidRPr="00070ADE" w:rsidRDefault="00BD409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29 февраля 1944 за месяц самолеты седьмой армии ВВС США сделали около 1000 боевых вылетов против японских войск на Jaluit, Малоэлап, Wotje и Науру. Японские самолеты их не перехватили, но японские зенитные орудия сбили семь бомбардировщиков и два истребителя (20373).</w:t>
      </w:r>
    </w:p>
    <w:p w14:paraId="10CC2DED" w14:textId="77777777" w:rsidR="00BD409E" w:rsidRPr="00070ADE" w:rsidRDefault="00BD409E" w:rsidP="00B56F90">
      <w:pPr>
        <w:spacing w:after="0" w:line="240" w:lineRule="auto"/>
        <w:jc w:val="both"/>
        <w:rPr>
          <w:rFonts w:ascii="Times New Roman" w:hAnsi="Times New Roman"/>
          <w:color w:val="000000" w:themeColor="text1"/>
          <w:sz w:val="16"/>
          <w:szCs w:val="16"/>
        </w:rPr>
      </w:pPr>
    </w:p>
    <w:p w14:paraId="040A9ED0" w14:textId="77777777" w:rsidR="00BD409E" w:rsidRPr="00070ADE" w:rsidRDefault="00BD409E" w:rsidP="00B56F90">
      <w:pPr>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rPr>
        <w:t>29 февраля 1944 в рамках программы «дезинформации» был опубликован специальный четырехстраничный пропагандистский буклет под названием «Штерненбаннер» который вскоре используется для того, чтобы заставить командование Люфтваффе думать, что «американский бомбардировщик с размахом крыльев 47 метров» скоро будет использовался для нападения на нацистскую Германию</w:t>
      </w:r>
      <w:r w:rsidRPr="00070ADE">
        <w:rPr>
          <w:rFonts w:ascii="Times New Roman" w:hAnsi="Times New Roman"/>
          <w:color w:val="000000" w:themeColor="text1"/>
          <w:sz w:val="16"/>
          <w:szCs w:val="16"/>
          <w:lang w:val="en-US"/>
        </w:rPr>
        <w:t xml:space="preserve"> (20373).</w:t>
      </w:r>
    </w:p>
    <w:p w14:paraId="267B5081" w14:textId="77777777" w:rsidR="00BD409E" w:rsidRPr="00070ADE" w:rsidRDefault="00BD409E" w:rsidP="00B56F90">
      <w:pPr>
        <w:spacing w:after="0" w:line="240" w:lineRule="auto"/>
        <w:jc w:val="both"/>
        <w:rPr>
          <w:rFonts w:ascii="Times New Roman" w:hAnsi="Times New Roman"/>
          <w:color w:val="000000" w:themeColor="text1"/>
          <w:sz w:val="16"/>
          <w:szCs w:val="16"/>
          <w:lang w:val="en-US"/>
        </w:rPr>
      </w:pPr>
    </w:p>
    <w:p w14:paraId="57CA23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February 29, 1944: In Italy, another German counterattack against the US Fifth Army's bridgehead at Anzio is repulsed (3819).</w:t>
      </w:r>
    </w:p>
    <w:p w14:paraId="00BB86E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533C0E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февраля 1944 5А США отбила еще одну контратаку у Анцио (3819).</w:t>
      </w:r>
    </w:p>
    <w:p w14:paraId="1D7D695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3E1B4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февраля 1944 войска США начали высадку на островах Адмиралтейства Архипелага Бисмарка в Южной части Тихого океана (2247,2).</w:t>
      </w:r>
    </w:p>
    <w:p w14:paraId="3CA898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EDFB9A"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6DA0BC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577BC2"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В конце февраля 1944 г., когда пер</w:t>
      </w:r>
      <w:r w:rsidRPr="00C94B78">
        <w:rPr>
          <w:rFonts w:ascii="Times New Roman" w:hAnsi="Times New Roman"/>
          <w:color w:val="0070C0"/>
          <w:sz w:val="16"/>
          <w:szCs w:val="16"/>
        </w:rPr>
        <w:softHyphen/>
        <w:t>вый образец был уже готов на 70%, прошла макетная комиссия по Пе-2И. На нем вместо пушки стоял пулемет УБК. а вторая зона нейтрального газа и дистанционно управляемая огневая точка отсутствовали (24934)</w:t>
      </w:r>
    </w:p>
    <w:p w14:paraId="2133B026" w14:textId="77777777" w:rsidR="00CB1F80" w:rsidRPr="00C94B78" w:rsidRDefault="00CB1F80" w:rsidP="00B56F90">
      <w:pPr>
        <w:spacing w:after="0" w:line="240" w:lineRule="auto"/>
        <w:jc w:val="both"/>
        <w:rPr>
          <w:rFonts w:ascii="Times New Roman" w:hAnsi="Times New Roman"/>
          <w:color w:val="0070C0"/>
          <w:sz w:val="16"/>
          <w:szCs w:val="16"/>
        </w:rPr>
      </w:pPr>
    </w:p>
    <w:p w14:paraId="56F96038"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конце февраля 1944 г. завершили первый самолет Пе-2М, четыре других выходили один за другим с интервалом примерно в де</w:t>
      </w:r>
      <w:r w:rsidRPr="00C94B78">
        <w:rPr>
          <w:rFonts w:ascii="Times New Roman" w:hAnsi="Times New Roman"/>
          <w:color w:val="0070C0"/>
          <w:sz w:val="16"/>
          <w:szCs w:val="16"/>
        </w:rPr>
        <w:softHyphen/>
        <w:t>сять дней. Дистанционно управляемые установки на них стояли, но работали крайне плохо. Ни один из выпущенных бомбардировщиков не довели до бое</w:t>
      </w:r>
      <w:r w:rsidRPr="00C94B78">
        <w:rPr>
          <w:rFonts w:ascii="Times New Roman" w:hAnsi="Times New Roman"/>
          <w:color w:val="0070C0"/>
          <w:sz w:val="16"/>
          <w:szCs w:val="16"/>
        </w:rPr>
        <w:softHyphen/>
        <w:t>способного состояния, ВВС их не при</w:t>
      </w:r>
      <w:r w:rsidRPr="00C94B78">
        <w:rPr>
          <w:rFonts w:ascii="Times New Roman" w:hAnsi="Times New Roman"/>
          <w:color w:val="0070C0"/>
          <w:sz w:val="16"/>
          <w:szCs w:val="16"/>
        </w:rPr>
        <w:softHyphen/>
        <w:t>нимали и не оплачивали. Предусмо</w:t>
      </w:r>
      <w:r w:rsidRPr="00C94B78">
        <w:rPr>
          <w:rFonts w:ascii="Times New Roman" w:hAnsi="Times New Roman"/>
          <w:color w:val="0070C0"/>
          <w:sz w:val="16"/>
          <w:szCs w:val="16"/>
        </w:rPr>
        <w:softHyphen/>
        <w:t>тренный приказом НКАП третий опыт</w:t>
      </w:r>
      <w:r w:rsidRPr="00C94B78">
        <w:rPr>
          <w:rFonts w:ascii="Times New Roman" w:hAnsi="Times New Roman"/>
          <w:color w:val="0070C0"/>
          <w:sz w:val="16"/>
          <w:szCs w:val="16"/>
        </w:rPr>
        <w:softHyphen/>
        <w:t>ный образец Пе-2И строить не стали.</w:t>
      </w:r>
    </w:p>
    <w:p w14:paraId="37ED29F3"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Концепцию машины пришлось пе</w:t>
      </w:r>
      <w:r w:rsidRPr="00C94B78">
        <w:rPr>
          <w:rFonts w:ascii="Times New Roman" w:hAnsi="Times New Roman"/>
          <w:color w:val="0070C0"/>
          <w:sz w:val="16"/>
          <w:szCs w:val="16"/>
        </w:rPr>
        <w:softHyphen/>
        <w:t>ресмотреть в соответствии с пожела</w:t>
      </w:r>
      <w:r w:rsidRPr="00C94B78">
        <w:rPr>
          <w:rFonts w:ascii="Times New Roman" w:hAnsi="Times New Roman"/>
          <w:color w:val="0070C0"/>
          <w:sz w:val="16"/>
          <w:szCs w:val="16"/>
        </w:rPr>
        <w:softHyphen/>
        <w:t>ниями командования ВВС В резуль</w:t>
      </w:r>
      <w:r w:rsidRPr="00C94B78">
        <w:rPr>
          <w:rFonts w:ascii="Times New Roman" w:hAnsi="Times New Roman"/>
          <w:color w:val="0070C0"/>
          <w:sz w:val="16"/>
          <w:szCs w:val="16"/>
        </w:rPr>
        <w:softHyphen/>
        <w:t>тате появился Пе-2М - некий гибрид Пе-2И и серийного Пе-2. Он снова стал трехместным. В задней части кабины штурмана смонтировали под</w:t>
      </w:r>
      <w:r w:rsidRPr="00C94B78">
        <w:rPr>
          <w:rFonts w:ascii="Times New Roman" w:hAnsi="Times New Roman"/>
          <w:color w:val="0070C0"/>
          <w:sz w:val="16"/>
          <w:szCs w:val="16"/>
        </w:rPr>
        <w:softHyphen/>
        <w:t>вижную установку ВУ-5-20 с пушкой УБ-20 и боекомплектом в 200 патро</w:t>
      </w:r>
      <w:r w:rsidRPr="00C94B78">
        <w:rPr>
          <w:rFonts w:ascii="Times New Roman" w:hAnsi="Times New Roman"/>
          <w:color w:val="0070C0"/>
          <w:sz w:val="16"/>
          <w:szCs w:val="16"/>
        </w:rPr>
        <w:softHyphen/>
        <w:t>нов. Стрелок-радист также получил пушку УБ-20 с 200 патронами в лю</w:t>
      </w:r>
      <w:r w:rsidRPr="00C94B78">
        <w:rPr>
          <w:rFonts w:ascii="Times New Roman" w:hAnsi="Times New Roman"/>
          <w:color w:val="0070C0"/>
          <w:sz w:val="16"/>
          <w:szCs w:val="16"/>
        </w:rPr>
        <w:softHyphen/>
        <w:t>ковой установке ЛУС-20. Обе турели имели электромеханический привод. Третья пушка УБ-20 с боекомплектом 120 патронов размещалась неподвиж</w:t>
      </w:r>
      <w:r w:rsidRPr="00C94B78">
        <w:rPr>
          <w:rFonts w:ascii="Times New Roman" w:hAnsi="Times New Roman"/>
          <w:color w:val="0070C0"/>
          <w:sz w:val="16"/>
          <w:szCs w:val="16"/>
        </w:rPr>
        <w:softHyphen/>
        <w:t>но под сиденьем пилота, как у Пе-2И. Нормальная бомбовая нагрузка уве</w:t>
      </w:r>
      <w:r w:rsidRPr="00C94B78">
        <w:rPr>
          <w:rFonts w:ascii="Times New Roman" w:hAnsi="Times New Roman"/>
          <w:color w:val="0070C0"/>
          <w:sz w:val="16"/>
          <w:szCs w:val="16"/>
        </w:rPr>
        <w:softHyphen/>
        <w:t>личилась до 1000 кг. Для размещения на внутренней подвеске «необрезанной» бомбы ФАБ-1000М43 пришлось увеличить габариты отсека.</w:t>
      </w:r>
    </w:p>
    <w:p w14:paraId="206F0E72"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 характеристикам Пе-2М заметно опережал серийные «Пешки», хотя и от</w:t>
      </w:r>
      <w:r w:rsidRPr="00C94B78">
        <w:rPr>
          <w:rFonts w:ascii="Times New Roman" w:hAnsi="Times New Roman"/>
          <w:color w:val="0070C0"/>
          <w:sz w:val="16"/>
          <w:szCs w:val="16"/>
        </w:rPr>
        <w:softHyphen/>
        <w:t>ставал от Пе-2И. Усиленное вооружение вызвало одобрение у военных. Руко</w:t>
      </w:r>
      <w:r w:rsidRPr="00C94B78">
        <w:rPr>
          <w:rFonts w:ascii="Times New Roman" w:hAnsi="Times New Roman"/>
          <w:color w:val="0070C0"/>
          <w:sz w:val="16"/>
          <w:szCs w:val="16"/>
        </w:rPr>
        <w:softHyphen/>
        <w:t>водство НКАП и главный конструктор ОКО-22 считали, что изменения не столь принципиальны и не требуют проведе</w:t>
      </w:r>
      <w:r w:rsidRPr="00C94B78">
        <w:rPr>
          <w:rFonts w:ascii="Times New Roman" w:hAnsi="Times New Roman"/>
          <w:color w:val="0070C0"/>
          <w:sz w:val="16"/>
          <w:szCs w:val="16"/>
        </w:rPr>
        <w:softHyphen/>
        <w:t>ния государственных испытаний нового варианта, поэтому малую серию Пе-2М заложили уже в феврале 1945 г.</w:t>
      </w:r>
      <w:r>
        <w:rPr>
          <w:rFonts w:ascii="Times New Roman" w:hAnsi="Times New Roman"/>
          <w:color w:val="0070C0"/>
          <w:sz w:val="16"/>
          <w:szCs w:val="16"/>
        </w:rPr>
        <w:t xml:space="preserve"> </w:t>
      </w:r>
      <w:r w:rsidRPr="00C94B78">
        <w:rPr>
          <w:rFonts w:ascii="Times New Roman" w:hAnsi="Times New Roman"/>
          <w:color w:val="0070C0"/>
          <w:sz w:val="16"/>
          <w:szCs w:val="16"/>
        </w:rPr>
        <w:t>(24934).</w:t>
      </w:r>
    </w:p>
    <w:p w14:paraId="5F89E39C" w14:textId="77777777" w:rsidR="00CB1F80" w:rsidRPr="00C94B78" w:rsidRDefault="00CB1F80" w:rsidP="00B56F90">
      <w:pPr>
        <w:spacing w:after="0" w:line="240" w:lineRule="auto"/>
        <w:jc w:val="both"/>
        <w:rPr>
          <w:rFonts w:ascii="Times New Roman" w:hAnsi="Times New Roman"/>
          <w:color w:val="0070C0"/>
          <w:sz w:val="16"/>
          <w:szCs w:val="16"/>
        </w:rPr>
      </w:pPr>
    </w:p>
    <w:p w14:paraId="76029A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февраля 1944 г. в очередной сводке военпреда отдела главного конструктора (ОГК) завода № 21 инженер-капитана В.Р. Ефремова отмечалось, что в ОГК осуществляется разработка проекта истребителя Ла-ВРД с газотурбинным ВРД конструкции А.М. Люлька со статической тягой 1250 кгc. Разработкой самолета руководил, по-видимому, С.М. Алексеев. Он выбрал двухбалочную схему с цельнометаллическим однолонжеронным крылом ламинарного профиля ЦАГИ. Двигатель Ла-ВРД устанавливался под крылом в фюзеляже-гондоле позади герметичной кабины летчика. Шасси спроектировали трехопорным, причем передняя стойка убиралась назад за бронеспинку летчика, а основные - также поворотом назад в сочленения балок с крылом. Вооружение располагалось в балках и включало две пушки НС-23 с общим запасом 120 снарядов. Взлетная масса машины по проекту составляла 3300 кг, а полезная нагрузка - 910 кг. Крыло с относительно небольшой площадью 15,5 м2 имело удлинение 5,85. Схема самолета была утверждена С.М. Лавочкиным и согласована с ЦАГИ. Расчетные летные данные самолета были следующими: максимальная скорость полёта у земли - 890 км/ч, на высоте 5000 м - 850 км/ч, время набора высоты 5000 м - 2,5 мин, а практический потолок - 15 000 м. Посадочная скорость ожидалась на уровне 140 км/ч. Отметим, что так же, как у Гу-ВРД, расчетные летные данные в основном были вполне реальными. Однако в металле и этот проект реализован не был (9018).</w:t>
      </w:r>
    </w:p>
    <w:p w14:paraId="5CDCA68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ECB5A7" w14:textId="77777777" w:rsidR="00046E0B" w:rsidRPr="00070ADE" w:rsidRDefault="00046E0B"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конце февра ля 1944 г. в очередной сводке военпреда при ОКБ завода № 21 инженер-капитана В.Р. Ефремова сообщалось, что в ОКБ осуществляется разработка проекта истребителя Ла-ВРД с ТРД Люльки со статической тягой 1250 кгс. В.Р. Ефремов отмечал только, что не решен вопрос о приемис тости двигателя A.M. Люльки. Тем не менее было принято решение о постройке этого самолета с передачей первого эк земпляра на летные испытания к 1 марта 1946 г. К 1 ноября 1944 г. был закончен эскизный проект, но по независящим от его создателей причинам Ла-ВРД тоже не пошел в производ ство. В результате начало серьезного развертывания работ по созданию турбореактивных самолетов в России было задержа но на полтора-два года. Машина создавалась в московском филиале ОКБ под ру ководством С.А. Алексеева, установившим с двигателистами тесные контакты (19586).</w:t>
      </w:r>
    </w:p>
    <w:p w14:paraId="6F0174C6" w14:textId="77777777" w:rsidR="00046E0B" w:rsidRPr="00070ADE" w:rsidRDefault="00046E0B" w:rsidP="00B56F90">
      <w:pPr>
        <w:pStyle w:val="ae"/>
        <w:shd w:val="clear" w:color="auto" w:fill="FFFFFF"/>
        <w:spacing w:before="0" w:after="0"/>
        <w:jc w:val="both"/>
        <w:rPr>
          <w:color w:val="000000" w:themeColor="text1"/>
          <w:sz w:val="16"/>
          <w:szCs w:val="16"/>
        </w:rPr>
      </w:pPr>
    </w:p>
    <w:p w14:paraId="39240E18"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конце февра</w:t>
      </w:r>
      <w:r w:rsidRPr="00C94B78">
        <w:rPr>
          <w:rFonts w:ascii="Times New Roman" w:hAnsi="Times New Roman"/>
          <w:color w:val="0070C0"/>
          <w:sz w:val="16"/>
          <w:szCs w:val="16"/>
        </w:rPr>
        <w:softHyphen/>
        <w:t>ля 1944 г. в очередной сводке военпреда при ОКБ завода № 21 инженер-капитана В.Р. Ефремова сообщалось, что в ОКБ осуществляется разработка проекта истребителя Ла-ВРД с ТРД Люльки со статической тягой 1250 кгс [56].</w:t>
      </w:r>
    </w:p>
    <w:p w14:paraId="373D8BDB"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Машина создавалась в московском филиале ОКБ под ру</w:t>
      </w:r>
      <w:r w:rsidRPr="00C94B78">
        <w:rPr>
          <w:rFonts w:ascii="Times New Roman" w:hAnsi="Times New Roman"/>
          <w:color w:val="0070C0"/>
          <w:sz w:val="16"/>
          <w:szCs w:val="16"/>
        </w:rPr>
        <w:softHyphen/>
        <w:t>ководством С.А. Алексеева, установившим с двигателистами тесные контакты. Несмотря на огромные трудности, к концу 1944 г. КБ A.M. Люльки удалось собрать стендовый образец ТРД. На заводе № 21 разработали предварительный проект экспериментального реактивного истребителя, который в до</w:t>
      </w:r>
      <w:r w:rsidRPr="00C94B78">
        <w:rPr>
          <w:rFonts w:ascii="Times New Roman" w:hAnsi="Times New Roman"/>
          <w:color w:val="0070C0"/>
          <w:sz w:val="16"/>
          <w:szCs w:val="16"/>
        </w:rPr>
        <w:softHyphen/>
        <w:t>кументах ОКБ обозначался как Ла-ВРД. По компоновочной схеме самолет представлял собой двухбалочный двухкилевой моноплан с высокорасположенным крылом, боковыми возду</w:t>
      </w:r>
      <w:r w:rsidRPr="00C94B78">
        <w:rPr>
          <w:rFonts w:ascii="Times New Roman" w:hAnsi="Times New Roman"/>
          <w:color w:val="0070C0"/>
          <w:sz w:val="16"/>
          <w:szCs w:val="16"/>
        </w:rPr>
        <w:softHyphen/>
        <w:t>хозаборниками, трехколесным шасси (переднее колесо убира</w:t>
      </w:r>
      <w:r w:rsidRPr="00C94B78">
        <w:rPr>
          <w:rFonts w:ascii="Times New Roman" w:hAnsi="Times New Roman"/>
          <w:color w:val="0070C0"/>
          <w:sz w:val="16"/>
          <w:szCs w:val="16"/>
        </w:rPr>
        <w:softHyphen/>
        <w:t>лось назад за бронеспинку летчика, а основные стойки скла</w:t>
      </w:r>
      <w:r w:rsidRPr="00C94B78">
        <w:rPr>
          <w:rFonts w:ascii="Times New Roman" w:hAnsi="Times New Roman"/>
          <w:color w:val="0070C0"/>
          <w:sz w:val="16"/>
          <w:szCs w:val="16"/>
        </w:rPr>
        <w:softHyphen/>
        <w:t>дывались назад в сочленении балок с крылом) и являлся не</w:t>
      </w:r>
      <w:r w:rsidRPr="00C94B78">
        <w:rPr>
          <w:rFonts w:ascii="Times New Roman" w:hAnsi="Times New Roman"/>
          <w:color w:val="0070C0"/>
          <w:sz w:val="16"/>
          <w:szCs w:val="16"/>
        </w:rPr>
        <w:softHyphen/>
        <w:t>посредственным развитием известной схемы двухбалочных истребителей с толкающим воздушным винтом. Для обеспече</w:t>
      </w:r>
      <w:r w:rsidRPr="00C94B78">
        <w:rPr>
          <w:rFonts w:ascii="Times New Roman" w:hAnsi="Times New Roman"/>
          <w:color w:val="0070C0"/>
          <w:sz w:val="16"/>
          <w:szCs w:val="16"/>
        </w:rPr>
        <w:softHyphen/>
        <w:t>ния хорошего подвода воздуха к ТРД, расположенному за ка</w:t>
      </w:r>
      <w:r w:rsidRPr="00C94B78">
        <w:rPr>
          <w:rFonts w:ascii="Times New Roman" w:hAnsi="Times New Roman"/>
          <w:color w:val="0070C0"/>
          <w:sz w:val="16"/>
          <w:szCs w:val="16"/>
        </w:rPr>
        <w:softHyphen/>
        <w:t>биной пилота, последнюю пришлось сильно ужать, а воору</w:t>
      </w:r>
      <w:r w:rsidRPr="00C94B78">
        <w:rPr>
          <w:rFonts w:ascii="Times New Roman" w:hAnsi="Times New Roman"/>
          <w:color w:val="0070C0"/>
          <w:sz w:val="16"/>
          <w:szCs w:val="16"/>
        </w:rPr>
        <w:softHyphen/>
        <w:t>жение, обычно располагаемое на самолетах такой схемы в но</w:t>
      </w:r>
      <w:r w:rsidRPr="00C94B78">
        <w:rPr>
          <w:rFonts w:ascii="Times New Roman" w:hAnsi="Times New Roman"/>
          <w:color w:val="0070C0"/>
          <w:sz w:val="16"/>
          <w:szCs w:val="16"/>
        </w:rPr>
        <w:softHyphen/>
        <w:t>совой части фюзеляжа, перенести в балки крыла. Самолет вооружили двумя пушками калибра 23 мм с общим боезапа</w:t>
      </w:r>
      <w:r w:rsidRPr="00C94B78">
        <w:rPr>
          <w:rFonts w:ascii="Times New Roman" w:hAnsi="Times New Roman"/>
          <w:color w:val="0070C0"/>
          <w:sz w:val="16"/>
          <w:szCs w:val="16"/>
        </w:rPr>
        <w:softHyphen/>
        <w:t>сом 120 патронов [57].</w:t>
      </w:r>
    </w:p>
    <w:p w14:paraId="4F2B21EE"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Предполагалось, что Ла-ВРД будет иметь максимальную скорость у земли 890 км/ч, время набора высоты 5000 м — 2,5 мин, практический потолок 15 000 м. Эти данные были весьма приблизительны, поскольку реальные тяговые харак</w:t>
      </w:r>
      <w:r w:rsidRPr="00C94B78">
        <w:rPr>
          <w:rFonts w:ascii="Times New Roman" w:hAnsi="Times New Roman"/>
          <w:color w:val="0070C0"/>
          <w:sz w:val="16"/>
          <w:szCs w:val="16"/>
        </w:rPr>
        <w:softHyphen/>
        <w:t>теристики двигателя не были точно известны. Тем не менее конструкторы, впервые взявшись за проектирование реактив</w:t>
      </w:r>
      <w:r w:rsidRPr="00C94B78">
        <w:rPr>
          <w:rFonts w:ascii="Times New Roman" w:hAnsi="Times New Roman"/>
          <w:color w:val="0070C0"/>
          <w:sz w:val="16"/>
          <w:szCs w:val="16"/>
        </w:rPr>
        <w:softHyphen/>
        <w:t>ного истребителя, ввели в его схему основные элементы, впос</w:t>
      </w:r>
      <w:r w:rsidRPr="00C94B78">
        <w:rPr>
          <w:rFonts w:ascii="Times New Roman" w:hAnsi="Times New Roman"/>
          <w:color w:val="0070C0"/>
          <w:sz w:val="16"/>
          <w:szCs w:val="16"/>
        </w:rPr>
        <w:softHyphen/>
        <w:t>ледствии рекомендованные ЦАГИ для широкого применения: высокорасположенное крыло, трехколесное шасси с носовым колесом, размещение кабины летчика в носовой части само</w:t>
      </w:r>
      <w:r w:rsidRPr="00C94B78">
        <w:rPr>
          <w:rFonts w:ascii="Times New Roman" w:hAnsi="Times New Roman"/>
          <w:color w:val="0070C0"/>
          <w:sz w:val="16"/>
          <w:szCs w:val="16"/>
        </w:rPr>
        <w:softHyphen/>
        <w:t>лета [57].</w:t>
      </w:r>
    </w:p>
    <w:p w14:paraId="44C18B57"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shd w:val="clear" w:color="auto" w:fill="FFFFFF"/>
        </w:rPr>
        <w:t>Так же, как у Гу-ВРД, у Ла-ВРД рас</w:t>
      </w:r>
      <w:r w:rsidRPr="00C94B78">
        <w:rPr>
          <w:rFonts w:ascii="Times New Roman" w:hAnsi="Times New Roman"/>
          <w:color w:val="0070C0"/>
          <w:sz w:val="16"/>
          <w:szCs w:val="16"/>
          <w:shd w:val="clear" w:color="auto" w:fill="FFFFFF"/>
        </w:rPr>
        <w:softHyphen/>
        <w:t>четные летные данные в основном были вполне реальными.</w:t>
      </w:r>
    </w:p>
    <w:p w14:paraId="500B6750" w14:textId="77777777" w:rsidR="00CB1F80" w:rsidRPr="00C94B78" w:rsidRDefault="00CB1F80" w:rsidP="00B56F90">
      <w:pPr>
        <w:spacing w:after="0" w:line="240" w:lineRule="auto"/>
        <w:jc w:val="both"/>
        <w:rPr>
          <w:rFonts w:ascii="Times New Roman" w:hAnsi="Times New Roman"/>
          <w:color w:val="0070C0"/>
          <w:sz w:val="16"/>
          <w:szCs w:val="16"/>
        </w:rPr>
      </w:pPr>
      <w:bookmarkStart w:id="17" w:name="bookmark319"/>
      <w:r w:rsidRPr="00C94B78">
        <w:rPr>
          <w:rFonts w:ascii="Times New Roman" w:hAnsi="Times New Roman"/>
          <w:color w:val="0070C0"/>
          <w:sz w:val="16"/>
          <w:szCs w:val="16"/>
        </w:rPr>
        <w:t>В</w:t>
      </w:r>
      <w:bookmarkEnd w:id="17"/>
      <w:r w:rsidRPr="00C94B78">
        <w:rPr>
          <w:rFonts w:ascii="Times New Roman" w:hAnsi="Times New Roman"/>
          <w:color w:val="0070C0"/>
          <w:sz w:val="16"/>
          <w:szCs w:val="16"/>
        </w:rPr>
        <w:t>.Р. Ефремов отмечал только, что не решен вопрос о приемис</w:t>
      </w:r>
      <w:r w:rsidRPr="00C94B78">
        <w:rPr>
          <w:rFonts w:ascii="Times New Roman" w:hAnsi="Times New Roman"/>
          <w:color w:val="0070C0"/>
          <w:sz w:val="16"/>
          <w:szCs w:val="16"/>
        </w:rPr>
        <w:softHyphen/>
        <w:t>тости двигателя A.M. Люльки. Тем не менее было принято решение о постройке этого самолета с передачей первого эк</w:t>
      </w:r>
      <w:r w:rsidRPr="00C94B78">
        <w:rPr>
          <w:rFonts w:ascii="Times New Roman" w:hAnsi="Times New Roman"/>
          <w:color w:val="0070C0"/>
          <w:sz w:val="16"/>
          <w:szCs w:val="16"/>
        </w:rPr>
        <w:softHyphen/>
        <w:t>земпляра на летные испытания к 1 марта 1946 г. К 1 ноября 1944 г. был закончен эскизный проект, но по независящим от его создателей причинам Ла-ВРД тоже не пошел в производ</w:t>
      </w:r>
      <w:r w:rsidRPr="00C94B78">
        <w:rPr>
          <w:rFonts w:ascii="Times New Roman" w:hAnsi="Times New Roman"/>
          <w:color w:val="0070C0"/>
          <w:sz w:val="16"/>
          <w:szCs w:val="16"/>
        </w:rPr>
        <w:softHyphen/>
        <w:t>ство. В результате начало серьезного развертывания работ по созданию турбореактивных самолетов в России было задержа</w:t>
      </w:r>
      <w:r w:rsidRPr="00C94B78">
        <w:rPr>
          <w:rFonts w:ascii="Times New Roman" w:hAnsi="Times New Roman"/>
          <w:color w:val="0070C0"/>
          <w:sz w:val="16"/>
          <w:szCs w:val="16"/>
        </w:rPr>
        <w:softHyphen/>
        <w:t>но на полтора-два года [56] (24920).</w:t>
      </w:r>
    </w:p>
    <w:p w14:paraId="608758AE" w14:textId="77777777" w:rsidR="00CB1F80" w:rsidRPr="00C94B78" w:rsidRDefault="00CB1F80" w:rsidP="00B56F90">
      <w:pPr>
        <w:spacing w:after="0" w:line="240" w:lineRule="auto"/>
        <w:jc w:val="both"/>
        <w:rPr>
          <w:rFonts w:ascii="Times New Roman" w:hAnsi="Times New Roman"/>
          <w:color w:val="0070C0"/>
          <w:sz w:val="16"/>
          <w:szCs w:val="16"/>
        </w:rPr>
      </w:pPr>
    </w:p>
    <w:p w14:paraId="07AEE4CA" w14:textId="77777777" w:rsidR="003E3C99" w:rsidRPr="00070ADE" w:rsidRDefault="003E3C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w:t>
      </w:r>
      <w:r w:rsidRPr="00070ADE">
        <w:rPr>
          <w:rFonts w:ascii="Times New Roman" w:hAnsi="Times New Roman"/>
          <w:color w:val="000000" w:themeColor="text1"/>
          <w:sz w:val="16"/>
          <w:szCs w:val="16"/>
        </w:rPr>
        <w:softHyphen/>
        <w:t>це февраля 1944 г. опытный перехватчик И-231 сдали на Государственные испытания. На аэродроме Научно-испытательного института Военно-воздушных сил само</w:t>
      </w:r>
      <w:r w:rsidRPr="00070ADE">
        <w:rPr>
          <w:rFonts w:ascii="Times New Roman" w:hAnsi="Times New Roman"/>
          <w:color w:val="000000" w:themeColor="text1"/>
          <w:sz w:val="16"/>
          <w:szCs w:val="16"/>
        </w:rPr>
        <w:softHyphen/>
        <w:t>лет И-231 принял один из наиболее опыт</w:t>
      </w:r>
      <w:r w:rsidRPr="00070ADE">
        <w:rPr>
          <w:rFonts w:ascii="Times New Roman" w:hAnsi="Times New Roman"/>
          <w:color w:val="000000" w:themeColor="text1"/>
          <w:sz w:val="16"/>
          <w:szCs w:val="16"/>
        </w:rPr>
        <w:softHyphen/>
        <w:t>ных пилотов - Петр Михайлович Стефановский. Ранее он много летал на опыт</w:t>
      </w:r>
      <w:r w:rsidRPr="00070ADE">
        <w:rPr>
          <w:rFonts w:ascii="Times New Roman" w:hAnsi="Times New Roman"/>
          <w:color w:val="000000" w:themeColor="text1"/>
          <w:sz w:val="16"/>
          <w:szCs w:val="16"/>
        </w:rPr>
        <w:softHyphen/>
        <w:t>ных и серийных самолетах МиГ-3, мало того - он на них воевал в 1941 г., и назна</w:t>
      </w:r>
      <w:r w:rsidRPr="00070ADE">
        <w:rPr>
          <w:rFonts w:ascii="Times New Roman" w:hAnsi="Times New Roman"/>
          <w:color w:val="000000" w:themeColor="text1"/>
          <w:sz w:val="16"/>
          <w:szCs w:val="16"/>
        </w:rPr>
        <w:softHyphen/>
        <w:t>чение его ведущим летчиком для прове</w:t>
      </w:r>
      <w:r w:rsidRPr="00070ADE">
        <w:rPr>
          <w:rFonts w:ascii="Times New Roman" w:hAnsi="Times New Roman"/>
          <w:color w:val="000000" w:themeColor="text1"/>
          <w:sz w:val="16"/>
          <w:szCs w:val="16"/>
        </w:rPr>
        <w:softHyphen/>
        <w:t>дения Государственных испытаний нового МиГа было вполне обоснованным.</w:t>
      </w:r>
    </w:p>
    <w:p w14:paraId="5B8BC37E" w14:textId="77777777" w:rsidR="003E3C99" w:rsidRPr="00070ADE" w:rsidRDefault="003E3C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Передача машины состоялась 26 фев</w:t>
      </w:r>
      <w:r w:rsidRPr="00070ADE">
        <w:rPr>
          <w:rFonts w:ascii="Times New Roman" w:hAnsi="Times New Roman"/>
          <w:color w:val="000000" w:themeColor="text1"/>
          <w:sz w:val="16"/>
          <w:szCs w:val="16"/>
        </w:rPr>
        <w:softHyphen/>
        <w:t>раля 1944 г. на Центральном аэродроме им. Фрунзе на Ходынском поле в Москве, к которому примыкала территория завода №155. В тот же день П.М. Стефановский сам перегнал машину на подмосковный аэродром НИИ ВВС в Чкаловской у го</w:t>
      </w:r>
      <w:r w:rsidRPr="00070ADE">
        <w:rPr>
          <w:rFonts w:ascii="Times New Roman" w:hAnsi="Times New Roman"/>
          <w:color w:val="000000" w:themeColor="text1"/>
          <w:sz w:val="16"/>
          <w:szCs w:val="16"/>
        </w:rPr>
        <w:softHyphen/>
        <w:t>рода Щелково. В этом полете он отметил плохую работу тормозов и для устранения дефекта в Чкаловскую прибыла заводская бригада. Пока она работала, аэродром за</w:t>
      </w:r>
      <w:r w:rsidRPr="00070ADE">
        <w:rPr>
          <w:rFonts w:ascii="Times New Roman" w:hAnsi="Times New Roman"/>
          <w:color w:val="000000" w:themeColor="text1"/>
          <w:sz w:val="16"/>
          <w:szCs w:val="16"/>
        </w:rPr>
        <w:softHyphen/>
        <w:t>валило снегом, и полеты прервались. Погода улучшилась только в начале марта, и начальник НИИ ВВС П.А. Лосю</w:t>
      </w:r>
      <w:r w:rsidRPr="00070ADE">
        <w:rPr>
          <w:rFonts w:ascii="Times New Roman" w:hAnsi="Times New Roman"/>
          <w:color w:val="000000" w:themeColor="text1"/>
          <w:sz w:val="16"/>
          <w:szCs w:val="16"/>
        </w:rPr>
        <w:softHyphen/>
        <w:t>ков сразу мобилизовал всех (не исклю</w:t>
      </w:r>
      <w:r w:rsidRPr="00070ADE">
        <w:rPr>
          <w:rFonts w:ascii="Times New Roman" w:hAnsi="Times New Roman"/>
          <w:color w:val="000000" w:themeColor="text1"/>
          <w:sz w:val="16"/>
          <w:szCs w:val="16"/>
        </w:rPr>
        <w:softHyphen/>
        <w:t>чая летчиков) на уборку снега. Его убрать- то - убрали, но не далеко: двухметровые кучи высились то тут, то там вокруг не</w:t>
      </w:r>
      <w:r w:rsidRPr="00070ADE">
        <w:rPr>
          <w:rFonts w:ascii="Times New Roman" w:hAnsi="Times New Roman"/>
          <w:color w:val="000000" w:themeColor="text1"/>
          <w:sz w:val="16"/>
          <w:szCs w:val="16"/>
        </w:rPr>
        <w:softHyphen/>
        <w:t>большой расчищенной площадки непра</w:t>
      </w:r>
      <w:r w:rsidRPr="00070ADE">
        <w:rPr>
          <w:rFonts w:ascii="Times New Roman" w:hAnsi="Times New Roman"/>
          <w:color w:val="000000" w:themeColor="text1"/>
          <w:sz w:val="16"/>
          <w:szCs w:val="16"/>
        </w:rPr>
        <w:softHyphen/>
        <w:t>вильной формы (23398).</w:t>
      </w:r>
    </w:p>
    <w:p w14:paraId="1BD795C3" w14:textId="77777777" w:rsidR="003E3C99" w:rsidRPr="00070ADE" w:rsidRDefault="003E3C99" w:rsidP="00B56F90">
      <w:pPr>
        <w:spacing w:after="0" w:line="240" w:lineRule="auto"/>
        <w:jc w:val="both"/>
        <w:rPr>
          <w:rFonts w:ascii="Times New Roman" w:hAnsi="Times New Roman"/>
          <w:color w:val="000000" w:themeColor="text1"/>
          <w:sz w:val="16"/>
          <w:szCs w:val="16"/>
        </w:rPr>
      </w:pPr>
    </w:p>
    <w:p w14:paraId="25E9B71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февраля 1944 работала комиссия по приемке макета Пе-2И В.М.М., когда первый экз. был на 70% готов (2471,36).</w:t>
      </w:r>
    </w:p>
    <w:p w14:paraId="1222654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94C9F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февраля 1944 г., когда первый экземпляр самолета был уже готов на 70 %, работала макетная комиссия по самолету Пе-2И В.М.М. Замечания комиссии в основном были связаны со стрелковым вооружением, которое признали недостаточным (как указывалось выше, на первом опытном Пе-2И в неподвижной установке стоял пулемет УБК вместо обещанной В.М. Мясищевым пушки УБ-20), а также с размещением спецоборудования. Комиссия приняла решение на первом опытном Пе-2И ничего не менять, а все замечания потребовала устранить на “дублере” и первых серийных машинах (4476).</w:t>
      </w:r>
    </w:p>
    <w:p w14:paraId="0314A2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83B6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февраля 1944 г., когда первый экземпляр самолета был уже готов на 70%, работала макетная комиссия по самолету Пе-2И. Замечания комиссии в основном были связаны со стрелковым вооружением, которое признали недостаточным (как указывалось выше, на первом опытном Пе-2И в неподвижной установке стоял пулемет УБК вместо обещанной Мясишевым пушки УБ-20), а также с размещением спецоборудования. Комиссия приняла решение на первом опытном Пе-2И ничего не менять, а все замечания потребовала устранить на "дублере" и первых серийных машинах (12042).</w:t>
      </w:r>
    </w:p>
    <w:p w14:paraId="55FC291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5C1A1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февраля 1944 состоялись первые полеты Пе-2Б с аэродрома завода № 22. Они принесли разочарование - максимальная скорость составила всего 524 км/ч вместо запланированных 560 км/ч. Началось скрупулезное исследование влияния различных факторов на скорость полета: положение створок масляных и водорадиаторов, формы тоннелей, всех выступающих деталей. Постепенное введение улучшений дало прибавку скорости 10 км/ч. Вскоре после передачи Пе-2Б на государственные испытания выяснилось, что моторамы силовых установок имеют трещины (один из конструктивно-технологических дефектов Пе-2, оставшийся не устраненным до окончания производства). Самолет вернули на завод для усиления моторам (4476).</w:t>
      </w:r>
    </w:p>
    <w:p w14:paraId="306C5A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D232B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февраля 1944 начались первые испытательные полеты Пе-2Б, которые принесли разочарование - максимальная скорость составила всего 524 км/ч вместо запланированных 560 км/ч. Началось скрупулезное исследование влияния на скорость полета различных факторов, таких, как положение створок масло- и водорадиаторов, форма тоннелей радиаторов, а также всех выступающих деталей. Постепенное введение улучшений дало прибавку скорости 10 км/ч. Самолет стали готовить к передаче на госиспытания, но пик интереса к нему у Мясишева прошел. Главный конструктор сделал ставку на принципиально новую машину Пе-2И с моторами М-107А(в 1944 г. они стали называться ВК-107А).</w:t>
      </w:r>
    </w:p>
    <w:p w14:paraId="65EF72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Вскоре после передачи Пе-2Б на государственные испытания выяснилось, что моторамы силовых установок имеют трещины. Самолет вернули на завод для усиления моторам. Снова в НИИ ВВС он попал только в мае-июне 1944 г., когда Пе-2И уже летал. И хотя НИИ ВВС но результатам госиспытаний рекомендовал передать Пе-2Б в серию, НКАП отклонил это предложение (12042).</w:t>
      </w:r>
    </w:p>
    <w:p w14:paraId="2E09E17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C1C4B9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48C5E6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0F90D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конца февраля 1944 на АНИОПе проводилисьполигонные испытания 203 мм опытной тяжелой самоходной артиллерийской установки С-51 ЦАКБ. Прошла 209 км и сделала 209 выстрелов. Недостатки: большой откат, изменение первоначальной наводки, боковое рассеивание. В основном испытания выдержала и была рекомендована к принятию на вооружение, но дальнейшие работы - не велись (7437, 35).</w:t>
      </w:r>
    </w:p>
    <w:p w14:paraId="1834F4C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A0551B" w14:textId="1578C550"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конца февраля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1944 г. на Ржевке начались полигонные испытания разработанной в ЦАКБ В.Г.Грабиным установки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САУ С-51, в которой на шасси тяжёлого танка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КВ-1C была установлена 203-мм гаубица Б-4, которая существенным доработкам не подвергалось. Во время заводских испытаний САУ-51 прошла 80 км и произвела 42 выстрела. На Ржевке было пройдено 209 км и произведено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209 выстрелов. Установка в основном испытания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выдержала и была рекомендована к принятию на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вооружение Советской Армии. Однако дальнейшие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работы по системе не проводились, на вооружение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она не принималась (15132).</w:t>
      </w:r>
    </w:p>
    <w:p w14:paraId="1BEDD795" w14:textId="77777777" w:rsidR="00AD0763" w:rsidRPr="00070ADE" w:rsidRDefault="00AD0763" w:rsidP="00B56F90">
      <w:pPr>
        <w:spacing w:after="0" w:line="240" w:lineRule="auto"/>
        <w:jc w:val="both"/>
        <w:rPr>
          <w:rFonts w:ascii="Times New Roman" w:hAnsi="Times New Roman"/>
          <w:color w:val="000000" w:themeColor="text1"/>
          <w:sz w:val="16"/>
          <w:szCs w:val="16"/>
        </w:rPr>
      </w:pPr>
    </w:p>
    <w:p w14:paraId="4813124B" w14:textId="77777777" w:rsidR="00CB1F80" w:rsidRPr="00C94B78" w:rsidRDefault="00CB1F8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концу февраля 1944 г. 100 мм орудие Д-10с установили на САУ. Заводские испытания, в объеме 100 километров, выявили 10 пунктов доработок. Одним из ключевых вопросов стала вентиляция боевого отделения: несмотря на то, что САУ вернули вентилятор, стало ясно - одного МВ-12 маловато. Вместе с тем, опытную СУ-100 допустили до полигонных испытаний. Кроме того, машина показала неплохую подвижность. Средняя скорость движения составила 24,2 км/ч, что примерно на уровне СУ-85 (24928).</w:t>
      </w:r>
    </w:p>
    <w:p w14:paraId="1EB19CBE" w14:textId="77777777" w:rsidR="00CB1F80" w:rsidRPr="00C94B78" w:rsidRDefault="00CB1F80" w:rsidP="00B56F90">
      <w:pPr>
        <w:spacing w:after="0" w:line="240" w:lineRule="auto"/>
        <w:jc w:val="both"/>
        <w:rPr>
          <w:rFonts w:ascii="Times New Roman" w:hAnsi="Times New Roman"/>
          <w:color w:val="0070C0"/>
          <w:sz w:val="16"/>
          <w:szCs w:val="16"/>
        </w:rPr>
      </w:pPr>
    </w:p>
    <w:p w14:paraId="0E7442C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февраля 1944 г. замнаркома Ж. Котин был назначен по совмести</w:t>
      </w:r>
      <w:r w:rsidRPr="00070ADE">
        <w:rPr>
          <w:rFonts w:ascii="Times New Roman" w:hAnsi="Times New Roman"/>
          <w:color w:val="000000" w:themeColor="text1"/>
          <w:sz w:val="16"/>
          <w:szCs w:val="16"/>
        </w:rPr>
        <w:softHyphen/>
        <w:t>тельству главным конструктором ЧКЗ с личной ответст</w:t>
      </w:r>
      <w:r w:rsidRPr="00070ADE">
        <w:rPr>
          <w:rFonts w:ascii="Times New Roman" w:hAnsi="Times New Roman"/>
          <w:color w:val="000000" w:themeColor="text1"/>
          <w:sz w:val="16"/>
          <w:szCs w:val="16"/>
        </w:rPr>
        <w:softHyphen/>
        <w:t>венностью за каждую выпускаемую партию танков. В это время все новые разработки на ЧКЗ и заводе № 100 были прекращены. Порядок приемки танков изменился. Теперь один танк (на выбор) из каждых пятидесяти обязательно испытывался на 300-км сдаточной трассе, а один танк в ме</w:t>
      </w:r>
      <w:r w:rsidRPr="00070ADE">
        <w:rPr>
          <w:rFonts w:ascii="Times New Roman" w:hAnsi="Times New Roman"/>
          <w:color w:val="000000" w:themeColor="text1"/>
          <w:sz w:val="16"/>
          <w:szCs w:val="16"/>
        </w:rPr>
        <w:softHyphen/>
        <w:t>сяц, кроме того, проходил испытания на гарантированный пробег в 1000 км. Сначала каждые 3 дня, затем каждые 5 дней Ж. Котин собирал информацию и докладывал в нар</w:t>
      </w:r>
      <w:r w:rsidRPr="00070ADE">
        <w:rPr>
          <w:rFonts w:ascii="Times New Roman" w:hAnsi="Times New Roman"/>
          <w:color w:val="000000" w:themeColor="text1"/>
          <w:sz w:val="16"/>
          <w:szCs w:val="16"/>
        </w:rPr>
        <w:softHyphen/>
        <w:t>комат о дефектах серийных танков и путях их устранения. В воинские части отправлялись заводские бригады для оперативного устранения дефектов, обнаруженных при освоении новых танков. Наиболее характерные дефекты, меры по борьбе с ними и пути их устранения были сведены в памятки механику-водителю, ремонтной роте и «ин</w:t>
      </w:r>
      <w:r w:rsidRPr="00070ADE">
        <w:rPr>
          <w:rFonts w:ascii="Times New Roman" w:hAnsi="Times New Roman"/>
          <w:color w:val="000000" w:themeColor="text1"/>
          <w:sz w:val="16"/>
          <w:szCs w:val="16"/>
        </w:rPr>
        <w:softHyphen/>
        <w:t>струкции по эксплуатации тяжелого танка» (11135).</w:t>
      </w:r>
    </w:p>
    <w:p w14:paraId="1D318E8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349AAC" w14:textId="77777777" w:rsidR="00046E0B" w:rsidRPr="00070ADE" w:rsidRDefault="00046E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концу февраля 1944 начались заводские испытаний САУ-100. При взвешивании выяснилось, что боевая масса составляет 30 960 кг. Машина прошла 100 км со средней скоростью 24,2 км/ч. После устранения небольших неполадок машину допустили до полигонных испытаний, при этом комиссия составила список из десяти позиций по улучшению, в случае постановки СУ-100 в серию. Дополнительно комиссия подняла вопрос об улучшении вентиляции боевого отделения.</w:t>
      </w:r>
    </w:p>
    <w:p w14:paraId="2A1E679E" w14:textId="77777777" w:rsidR="00046E0B" w:rsidRPr="00070ADE" w:rsidRDefault="00046E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Полигонные испытания проходили на Гороховецком АНИОП с 9 по 27 марта. Систему испытали стрельбой в объёме 1040 выстрелов, из них 517 — усиленным зарядом. В ходе испытаний при использовании разных групп укладок была получена скорострельность от 4 до 8 выстрелов в минуту. Также установка прошла 564 км, из них 125 — по целине. Дополнительно машина прошла ещё 300 км по шоссе и просёлку (это происходило во время испытаний стрельбой) (18252).</w:t>
      </w:r>
    </w:p>
    <w:p w14:paraId="6B79D58A" w14:textId="77777777" w:rsidR="00046E0B" w:rsidRPr="00070ADE" w:rsidRDefault="00046E0B" w:rsidP="00B56F90">
      <w:pPr>
        <w:spacing w:after="0" w:line="240" w:lineRule="auto"/>
        <w:jc w:val="both"/>
        <w:rPr>
          <w:rFonts w:ascii="Times New Roman" w:hAnsi="Times New Roman"/>
          <w:color w:val="000000" w:themeColor="text1"/>
          <w:sz w:val="16"/>
          <w:szCs w:val="16"/>
        </w:rPr>
      </w:pPr>
    </w:p>
    <w:p w14:paraId="3C01F1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февраля 1944 года на заводе N 9 в соответствии с обращением Уралмаша, получившего поручение начать производство 100-мм САУ, под руководством Ф.Ф.Петрова была сконструирована новая 100-мм пушка Д-10С. Д-10С создавалась на основе морского зенитного орудия Д-10, которое было легче С-34 и устанавливалось в серийном корпусе без его существенных изменений и без излишнего увеличения массы машины (3862).</w:t>
      </w:r>
    </w:p>
    <w:p w14:paraId="31955BB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EC810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11DD1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EA3A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при контрольном испытании Ил-2 завода 30 N 304054 были достигнуты скорости 397.5 км/час у земли и 419 км/час на границе высотности (1823,28).</w:t>
      </w:r>
    </w:p>
    <w:p w14:paraId="17D39C6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246CC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вышел отчет о заводских испытаниях Ил-2 АМ-38Ф N 3653 завода 1, а данные по дальности указаны по отчету НИИ ВВС КА по машине N 302804: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145A494E" w14:textId="77777777">
        <w:tc>
          <w:tcPr>
            <w:tcW w:w="5636" w:type="dxa"/>
          </w:tcPr>
          <w:p w14:paraId="0C6D886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у земли</w:t>
            </w:r>
          </w:p>
        </w:tc>
        <w:tc>
          <w:tcPr>
            <w:tcW w:w="5636" w:type="dxa"/>
          </w:tcPr>
          <w:p w14:paraId="611597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386 км/час</w:t>
            </w:r>
          </w:p>
        </w:tc>
      </w:tr>
      <w:tr w:rsidR="004D4663" w:rsidRPr="00070ADE" w14:paraId="102ED20E" w14:textId="77777777">
        <w:tc>
          <w:tcPr>
            <w:tcW w:w="5636" w:type="dxa"/>
          </w:tcPr>
          <w:p w14:paraId="66BAF12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1150 м</w:t>
            </w:r>
          </w:p>
        </w:tc>
        <w:tc>
          <w:tcPr>
            <w:tcW w:w="5636" w:type="dxa"/>
          </w:tcPr>
          <w:p w14:paraId="2CC156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410 км/час</w:t>
            </w:r>
          </w:p>
        </w:tc>
      </w:tr>
      <w:tr w:rsidR="004D4663" w:rsidRPr="00070ADE" w14:paraId="2D154055" w14:textId="77777777">
        <w:tc>
          <w:tcPr>
            <w:tcW w:w="5636" w:type="dxa"/>
          </w:tcPr>
          <w:p w14:paraId="6F3D0E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подъема на 3000 м</w:t>
            </w:r>
          </w:p>
        </w:tc>
        <w:tc>
          <w:tcPr>
            <w:tcW w:w="5636" w:type="dxa"/>
          </w:tcPr>
          <w:p w14:paraId="1455727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 м</w:t>
            </w:r>
          </w:p>
        </w:tc>
      </w:tr>
      <w:tr w:rsidR="004D4663" w:rsidRPr="00070ADE" w14:paraId="7536F333" w14:textId="77777777">
        <w:tc>
          <w:tcPr>
            <w:tcW w:w="5636" w:type="dxa"/>
          </w:tcPr>
          <w:p w14:paraId="2351D57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Потолок</w:t>
            </w:r>
          </w:p>
        </w:tc>
        <w:tc>
          <w:tcPr>
            <w:tcW w:w="5636" w:type="dxa"/>
          </w:tcPr>
          <w:p w14:paraId="157644B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6600 м</w:t>
            </w:r>
          </w:p>
        </w:tc>
      </w:tr>
      <w:tr w:rsidR="004D4663" w:rsidRPr="00070ADE" w14:paraId="04174BD0" w14:textId="77777777">
        <w:tc>
          <w:tcPr>
            <w:tcW w:w="5636" w:type="dxa"/>
          </w:tcPr>
          <w:p w14:paraId="581CD9B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полета с 300 кг</w:t>
            </w:r>
          </w:p>
        </w:tc>
        <w:tc>
          <w:tcPr>
            <w:tcW w:w="5636" w:type="dxa"/>
          </w:tcPr>
          <w:p w14:paraId="65DA55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81BA2F4" w14:textId="77777777">
        <w:tc>
          <w:tcPr>
            <w:tcW w:w="5636" w:type="dxa"/>
          </w:tcPr>
          <w:p w14:paraId="0CC427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 на 0.8 макс.</w:t>
            </w:r>
          </w:p>
        </w:tc>
        <w:tc>
          <w:tcPr>
            <w:tcW w:w="5636" w:type="dxa"/>
          </w:tcPr>
          <w:p w14:paraId="5C2B670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 км</w:t>
            </w:r>
          </w:p>
        </w:tc>
      </w:tr>
      <w:tr w:rsidR="004D4663" w:rsidRPr="00070ADE" w14:paraId="4C1C0A79" w14:textId="77777777">
        <w:tc>
          <w:tcPr>
            <w:tcW w:w="5636" w:type="dxa"/>
          </w:tcPr>
          <w:p w14:paraId="27471B5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 с 400 кг бомб</w:t>
            </w:r>
          </w:p>
        </w:tc>
        <w:tc>
          <w:tcPr>
            <w:tcW w:w="5636" w:type="dxa"/>
          </w:tcPr>
          <w:p w14:paraId="6DF0DB5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6300 кг</w:t>
            </w:r>
          </w:p>
        </w:tc>
      </w:tr>
      <w:tr w:rsidR="004D4663" w:rsidRPr="00070ADE" w14:paraId="13ED3365" w14:textId="77777777">
        <w:tc>
          <w:tcPr>
            <w:tcW w:w="5636" w:type="dxa"/>
          </w:tcPr>
          <w:p w14:paraId="6ACAAAA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w:t>
            </w:r>
          </w:p>
        </w:tc>
        <w:tc>
          <w:tcPr>
            <w:tcW w:w="5636" w:type="dxa"/>
          </w:tcPr>
          <w:p w14:paraId="7C02D6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r>
      <w:tr w:rsidR="004D4663" w:rsidRPr="00070ADE" w14:paraId="2D0DD912" w14:textId="77777777">
        <w:tc>
          <w:tcPr>
            <w:tcW w:w="5636" w:type="dxa"/>
          </w:tcPr>
          <w:p w14:paraId="0DD953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Бомбовая нагрузка</w:t>
            </w:r>
          </w:p>
        </w:tc>
        <w:tc>
          <w:tcPr>
            <w:tcW w:w="5636" w:type="dxa"/>
          </w:tcPr>
          <w:p w14:paraId="655C9D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tc>
      </w:tr>
      <w:tr w:rsidR="004D4663" w:rsidRPr="00070ADE" w14:paraId="39824A2A" w14:textId="77777777">
        <w:tc>
          <w:tcPr>
            <w:tcW w:w="5636" w:type="dxa"/>
          </w:tcPr>
          <w:p w14:paraId="074D4AA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w:t>
            </w:r>
          </w:p>
        </w:tc>
        <w:tc>
          <w:tcPr>
            <w:tcW w:w="5636" w:type="dxa"/>
          </w:tcPr>
          <w:p w14:paraId="3B369F1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3672728" w14:textId="77777777">
        <w:tc>
          <w:tcPr>
            <w:tcW w:w="5636" w:type="dxa"/>
          </w:tcPr>
          <w:p w14:paraId="5663FD0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вперед</w:t>
            </w:r>
          </w:p>
        </w:tc>
        <w:tc>
          <w:tcPr>
            <w:tcW w:w="5636" w:type="dxa"/>
          </w:tcPr>
          <w:p w14:paraId="54EFED1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2х762 мм</w:t>
            </w:r>
          </w:p>
        </w:tc>
      </w:tr>
      <w:tr w:rsidR="004D4663" w:rsidRPr="00070ADE" w14:paraId="13A3DDC4" w14:textId="77777777">
        <w:tc>
          <w:tcPr>
            <w:tcW w:w="5636" w:type="dxa"/>
          </w:tcPr>
          <w:p w14:paraId="7755EBE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6486D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2х23 мм</w:t>
            </w:r>
          </w:p>
        </w:tc>
      </w:tr>
      <w:tr w:rsidR="005106D0" w:rsidRPr="00070ADE" w14:paraId="6A4D5A70" w14:textId="77777777">
        <w:tc>
          <w:tcPr>
            <w:tcW w:w="5636" w:type="dxa"/>
          </w:tcPr>
          <w:p w14:paraId="107F54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назад</w:t>
            </w:r>
          </w:p>
        </w:tc>
        <w:tc>
          <w:tcPr>
            <w:tcW w:w="5636" w:type="dxa"/>
          </w:tcPr>
          <w:p w14:paraId="7FE75FA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1х12.7 мм (1880,165)</w:t>
            </w:r>
          </w:p>
        </w:tc>
      </w:tr>
    </w:tbl>
    <w:p w14:paraId="349373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CA5AE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закончились государственные испытания двухместного Ил-2 АМ-38Ф, вооруженного мощными 45-мм пушками НС-45 с боезапасом по 50 снарядов на ствол, которые проходили с сентября 1943. Разрушающее действие снаряда этой пушки было вдвое выше по сравнению с НС-37. Из-за сложностей с доводкой автоматики пушек НС-45 госиспытания самолета затянулись до февраля 1944 г. Результаты стрельбы с Ил-2 по наземным целям из этих пушек оказались неудовлетворительными из-за большой отдачи, достигавшей 7000 кгс. Требовалось установить на пушку мощный дульный тормоз. Такую работу выполнили, но к тому времени уже, видимо, не было потребности в этих самолетах, и НС-45 с дульным тормозом на Ил-2 не устанавливали (9528).</w:t>
      </w:r>
    </w:p>
    <w:p w14:paraId="490EA86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5EAE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на обычном серийном самолете Ил-2 зав. № 302221 с целью улучшения звукоизоляции были выполнены следующие доработки.</w:t>
      </w:r>
    </w:p>
    <w:p w14:paraId="155C9B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Между подвижной и неподвижной частью фонаря кабины пилота проложили слой резины. Боковые стекла на подвиж</w:t>
      </w:r>
      <w:r w:rsidRPr="00070ADE">
        <w:rPr>
          <w:rFonts w:ascii="Times New Roman" w:hAnsi="Times New Roman"/>
          <w:color w:val="000000" w:themeColor="text1"/>
          <w:sz w:val="16"/>
          <w:szCs w:val="16"/>
        </w:rPr>
        <w:softHyphen/>
        <w:t>ной части фонаря кабины летчика закрепили и в пазы проло</w:t>
      </w:r>
      <w:r w:rsidRPr="00070ADE">
        <w:rPr>
          <w:rFonts w:ascii="Times New Roman" w:hAnsi="Times New Roman"/>
          <w:color w:val="000000" w:themeColor="text1"/>
          <w:sz w:val="16"/>
          <w:szCs w:val="16"/>
        </w:rPr>
        <w:softHyphen/>
        <w:t>жили слой резины. Щели между прозрачным бронестеклом и металлическими боковинками в передней части фонаря каби</w:t>
      </w:r>
      <w:r w:rsidRPr="00070ADE">
        <w:rPr>
          <w:rFonts w:ascii="Times New Roman" w:hAnsi="Times New Roman"/>
          <w:color w:val="000000" w:themeColor="text1"/>
          <w:sz w:val="16"/>
          <w:szCs w:val="16"/>
        </w:rPr>
        <w:softHyphen/>
        <w:t>ны летчика заделали войлоком, а в капоте у входа в тоннель водррадиатора — алюминиевыми заглушками.</w:t>
      </w:r>
    </w:p>
    <w:p w14:paraId="1CC313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уровень акустических шумов в кабине летчика понизился на 7—18 Дб. Одновременно уменьшились электри</w:t>
      </w:r>
      <w:r w:rsidRPr="00070ADE">
        <w:rPr>
          <w:rFonts w:ascii="Times New Roman" w:hAnsi="Times New Roman"/>
          <w:color w:val="000000" w:themeColor="text1"/>
          <w:sz w:val="16"/>
          <w:szCs w:val="16"/>
        </w:rPr>
        <w:softHyphen/>
        <w:t>ческие помехи на выходе СПУФ-2 — отношение сигнал/шум при оборотах мотора 2000—2050 об/мин возросло с 3—9 до 15—17. Качество внутрисамолетной связи резко улучшилось. По заключению летчика-испытателя и экспериментатора вес</w:t>
      </w:r>
      <w:r w:rsidRPr="00070ADE">
        <w:rPr>
          <w:rFonts w:ascii="Times New Roman" w:hAnsi="Times New Roman"/>
          <w:color w:val="000000" w:themeColor="text1"/>
          <w:sz w:val="16"/>
          <w:szCs w:val="16"/>
        </w:rPr>
        <w:softHyphen/>
        <w:t>ти переговоры с помощью СПУФ-2 на всех режимах полета стало вполне возможным.</w:t>
      </w:r>
    </w:p>
    <w:p w14:paraId="02BF39B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Оказалось, что при оборотах мотора 2000 об/мин уровень аку</w:t>
      </w:r>
      <w:r w:rsidRPr="00070ADE">
        <w:rPr>
          <w:rFonts w:ascii="Times New Roman" w:hAnsi="Times New Roman"/>
          <w:color w:val="000000" w:themeColor="text1"/>
          <w:sz w:val="16"/>
          <w:szCs w:val="16"/>
        </w:rPr>
        <w:softHyphen/>
        <w:t>стических шумов в кабине летчика и стрелка (скорость полета 330 км/ч) достигали значений 116 и 110 Дб, соответственно. При повышении оборотов до 2050 об/мин (скорость полета 345 км/ч) уровень шумов возрастал до 126 Дб у летчика и до 118 Дб у стрелка.</w:t>
      </w:r>
    </w:p>
    <w:p w14:paraId="7D14C5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Акустические шумы, действуя на ларингофоны, создают электрические помехи. Причем чем более чувствительны ларин</w:t>
      </w:r>
      <w:r w:rsidRPr="00070ADE">
        <w:rPr>
          <w:rFonts w:ascii="Times New Roman" w:hAnsi="Times New Roman"/>
          <w:color w:val="000000" w:themeColor="text1"/>
          <w:sz w:val="16"/>
          <w:szCs w:val="16"/>
        </w:rPr>
        <w:softHyphen/>
        <w:t>гофоны, тем сильнее сказываются на качестве связи акустиче</w:t>
      </w:r>
      <w:r w:rsidRPr="00070ADE">
        <w:rPr>
          <w:rFonts w:ascii="Times New Roman" w:hAnsi="Times New Roman"/>
          <w:color w:val="000000" w:themeColor="text1"/>
          <w:sz w:val="16"/>
          <w:szCs w:val="16"/>
        </w:rPr>
        <w:softHyphen/>
        <w:t>ские шумы. Кроме того, акустические шумы маскируют речь, пе</w:t>
      </w:r>
      <w:r w:rsidRPr="00070ADE">
        <w:rPr>
          <w:rFonts w:ascii="Times New Roman" w:hAnsi="Times New Roman"/>
          <w:color w:val="000000" w:themeColor="text1"/>
          <w:sz w:val="16"/>
          <w:szCs w:val="16"/>
        </w:rPr>
        <w:softHyphen/>
        <w:t>редаваемую по самолетному переговорному устройству СПУФ-2.</w:t>
      </w:r>
    </w:p>
    <w:p w14:paraId="20E9413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Изменение электрических характеристик усилителя и зву</w:t>
      </w:r>
      <w:r w:rsidRPr="00070ADE">
        <w:rPr>
          <w:rFonts w:ascii="Times New Roman" w:hAnsi="Times New Roman"/>
          <w:color w:val="000000" w:themeColor="text1"/>
          <w:sz w:val="16"/>
          <w:szCs w:val="16"/>
        </w:rPr>
        <w:softHyphen/>
        <w:t>коизоляция ларингофонов несколько улучшали качество рабо</w:t>
      </w:r>
      <w:r w:rsidRPr="00070ADE">
        <w:rPr>
          <w:rFonts w:ascii="Times New Roman" w:hAnsi="Times New Roman"/>
          <w:color w:val="000000" w:themeColor="text1"/>
          <w:sz w:val="16"/>
          <w:szCs w:val="16"/>
        </w:rPr>
        <w:softHyphen/>
        <w:t>ты СПУФ-2 на малых оборотах мотора, но не спасали положе</w:t>
      </w:r>
      <w:r w:rsidRPr="00070ADE">
        <w:rPr>
          <w:rFonts w:ascii="Times New Roman" w:hAnsi="Times New Roman"/>
          <w:color w:val="000000" w:themeColor="text1"/>
          <w:sz w:val="16"/>
          <w:szCs w:val="16"/>
        </w:rPr>
        <w:softHyphen/>
        <w:t>ния при высоких оборотах мотора.</w:t>
      </w:r>
    </w:p>
    <w:p w14:paraId="2F781F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Удовлетворительную работу СПУФ-2 на всех режимах по</w:t>
      </w:r>
      <w:r w:rsidRPr="00070ADE">
        <w:rPr>
          <w:rFonts w:ascii="Times New Roman" w:hAnsi="Times New Roman"/>
          <w:color w:val="000000" w:themeColor="text1"/>
          <w:sz w:val="16"/>
          <w:szCs w:val="16"/>
        </w:rPr>
        <w:softHyphen/>
        <w:t>лета удалось обеспечить только при улучшении звукоизоляции кабин летчика и стрелка, то есть при снижении уровня акусти</w:t>
      </w:r>
      <w:r w:rsidRPr="00070ADE">
        <w:rPr>
          <w:rFonts w:ascii="Times New Roman" w:hAnsi="Times New Roman"/>
          <w:color w:val="000000" w:themeColor="text1"/>
          <w:sz w:val="16"/>
          <w:szCs w:val="16"/>
        </w:rPr>
        <w:softHyphen/>
        <w:t>ческих шумов в кабинах, особенно в кабине летчика.</w:t>
      </w:r>
    </w:p>
    <w:p w14:paraId="2E58361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наркомата авиапромышленности потребовали обязать директоров авиазаводов №№ 1, 18 и 30 в кратчайший срок на всех вновь выпускаемых самолетах улучшить качество звукоизоляции кабин Ил-2 по образцу самолета, прошедшего испы</w:t>
      </w:r>
      <w:r w:rsidRPr="00070ADE">
        <w:rPr>
          <w:rFonts w:ascii="Times New Roman" w:hAnsi="Times New Roman"/>
          <w:color w:val="000000" w:themeColor="text1"/>
          <w:sz w:val="16"/>
          <w:szCs w:val="16"/>
        </w:rPr>
        <w:softHyphen/>
        <w:t>тания. Все находящиеся в строю самолеты Ил-2 предлагалось доработать силами технического состава частей (11474,378).</w:t>
      </w:r>
    </w:p>
    <w:p w14:paraId="091EC04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C3540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1944-го "полуфабрикат" Ил-10 с завода N 18 отправили для окончательной сборки в Москву на завод N 240 (1605).</w:t>
      </w:r>
    </w:p>
    <w:p w14:paraId="0F7BBAD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44D516" w14:textId="77777777" w:rsidR="00C77E93" w:rsidRPr="00C94B78" w:rsidRDefault="00C77E93"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lastRenderedPageBreak/>
        <w:t>В феврале 1944 года «полуфабрикат» Ил-10 с завода № 18 отправили для окончательной сборки в Москву на за</w:t>
      </w:r>
      <w:r w:rsidRPr="00C94B78">
        <w:rPr>
          <w:rStyle w:val="aff1"/>
          <w:rFonts w:ascii="Times New Roman" w:hAnsi="Times New Roman" w:cs="Times New Roman"/>
          <w:color w:val="0070C0"/>
          <w:spacing w:val="0"/>
          <w:sz w:val="16"/>
          <w:szCs w:val="16"/>
        </w:rPr>
        <w:softHyphen/>
        <w:t>вод № 240. 18 февраля В. К. Коккинаки выполнил на нем первый полет. Меньше месяца ушло на заводские испыта</w:t>
      </w:r>
      <w:r w:rsidRPr="00C94B78">
        <w:rPr>
          <w:rStyle w:val="aff1"/>
          <w:rFonts w:ascii="Times New Roman" w:hAnsi="Times New Roman" w:cs="Times New Roman"/>
          <w:color w:val="0070C0"/>
          <w:spacing w:val="0"/>
          <w:sz w:val="16"/>
          <w:szCs w:val="16"/>
        </w:rPr>
        <w:softHyphen/>
        <w:t>ния, и 13 мая машину передали в НИИ ВВС.</w:t>
      </w:r>
    </w:p>
    <w:p w14:paraId="36AF906C" w14:textId="77777777" w:rsidR="00C77E93" w:rsidRPr="00C94B78" w:rsidRDefault="00C77E93"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отличие от Ил-2 на новом штурмовике вернулись к схеме бронекорпуса самолета ЦКБ-55. Стрелок теперь раз</w:t>
      </w:r>
      <w:r w:rsidRPr="00C94B78">
        <w:rPr>
          <w:rStyle w:val="aff1"/>
          <w:rFonts w:ascii="Times New Roman" w:hAnsi="Times New Roman" w:cs="Times New Roman"/>
          <w:color w:val="0070C0"/>
          <w:spacing w:val="0"/>
          <w:sz w:val="16"/>
          <w:szCs w:val="16"/>
        </w:rPr>
        <w:softHyphen/>
        <w:t>мещался не за бронеперегородкой заднего бензобака, а за бронеспинкой летчика. Изменилась толщина отдельных листов бронекорпуса. В частности, толще стали боковые стенки, защищавшие двигатель. «Похудели» боковые стен</w:t>
      </w:r>
      <w:r w:rsidRPr="00C94B78">
        <w:rPr>
          <w:rStyle w:val="aff1"/>
          <w:rFonts w:ascii="Times New Roman" w:hAnsi="Times New Roman" w:cs="Times New Roman"/>
          <w:color w:val="0070C0"/>
          <w:spacing w:val="0"/>
          <w:sz w:val="16"/>
          <w:szCs w:val="16"/>
        </w:rPr>
        <w:softHyphen/>
        <w:t>ки кабины экипажа, а верхнюю часть бронекорпуса, недо</w:t>
      </w:r>
      <w:r w:rsidRPr="00C94B78">
        <w:rPr>
          <w:rStyle w:val="aff1"/>
          <w:rFonts w:ascii="Times New Roman" w:hAnsi="Times New Roman" w:cs="Times New Roman"/>
          <w:color w:val="0070C0"/>
          <w:spacing w:val="0"/>
          <w:sz w:val="16"/>
          <w:szCs w:val="16"/>
        </w:rPr>
        <w:softHyphen/>
        <w:t>сягаемую для зениток, изготовили из дюралюминия. Бро</w:t>
      </w:r>
      <w:r w:rsidRPr="00C94B78">
        <w:rPr>
          <w:rStyle w:val="aff1"/>
          <w:rFonts w:ascii="Times New Roman" w:hAnsi="Times New Roman" w:cs="Times New Roman"/>
          <w:color w:val="0070C0"/>
          <w:spacing w:val="0"/>
          <w:sz w:val="16"/>
          <w:szCs w:val="16"/>
        </w:rPr>
        <w:softHyphen/>
        <w:t>неспинка и заголовник летчика, а также бронеспинка стрелка состояли из двух восьмимиллиметровых бронеплит с воздушной прослойкой. Как и на Ил-2, бронекорпус Ил-10 весом 1010 кг включили в силовую схему плане</w:t>
      </w:r>
      <w:r w:rsidRPr="00C94B78">
        <w:rPr>
          <w:rStyle w:val="aff1"/>
          <w:rFonts w:ascii="Times New Roman" w:hAnsi="Times New Roman" w:cs="Times New Roman"/>
          <w:color w:val="0070C0"/>
          <w:spacing w:val="0"/>
          <w:sz w:val="16"/>
          <w:szCs w:val="16"/>
        </w:rPr>
        <w:softHyphen/>
        <w:t>ра. К бронекорпусу пристыковывалась хвостовая часть, со</w:t>
      </w:r>
      <w:r w:rsidRPr="00C94B78">
        <w:rPr>
          <w:rStyle w:val="aff1"/>
          <w:rFonts w:ascii="Times New Roman" w:hAnsi="Times New Roman" w:cs="Times New Roman"/>
          <w:color w:val="0070C0"/>
          <w:spacing w:val="0"/>
          <w:sz w:val="16"/>
          <w:szCs w:val="16"/>
        </w:rPr>
        <w:softHyphen/>
        <w:t>стоящая из набора шпангоутов и стрингеров с дюралевой обшивкой.</w:t>
      </w:r>
    </w:p>
    <w:p w14:paraId="08445A80" w14:textId="77777777" w:rsidR="00C77E93" w:rsidRPr="00C94B78" w:rsidRDefault="00C77E93"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Ил-10 в соответствии с нормами прочности 1943 года относился к классу «Б» с коэффициентом перегрузки на случай «А•&gt; (соответствующим наибольшему значению коэффиuиента подъемной силы крыла), при полетном весе 6000 кг равном 8,3. Это позволяло ему выполнять фигуры не только сложного, но и высшего пилотажа (25091).</w:t>
      </w:r>
    </w:p>
    <w:p w14:paraId="41509D1E" w14:textId="77777777" w:rsidR="00C77E93" w:rsidRPr="00C94B78" w:rsidRDefault="00C77E93" w:rsidP="00B56F90">
      <w:pPr>
        <w:spacing w:after="0" w:line="240" w:lineRule="auto"/>
        <w:jc w:val="both"/>
        <w:rPr>
          <w:rFonts w:ascii="Times New Roman" w:hAnsi="Times New Roman"/>
          <w:color w:val="0070C0"/>
          <w:sz w:val="16"/>
          <w:szCs w:val="16"/>
        </w:rPr>
      </w:pPr>
    </w:p>
    <w:p w14:paraId="18BC387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первый опытный штурмовик Ил-8 с мотором АМ-42 был передан на государственные испытания (9649).</w:t>
      </w:r>
    </w:p>
    <w:p w14:paraId="07CE8C4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E7C32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на испытания предъявили опытный штурмовик-бомбардировщик Ил-8, являв</w:t>
      </w:r>
      <w:r w:rsidRPr="00070ADE">
        <w:rPr>
          <w:rFonts w:ascii="Times New Roman" w:hAnsi="Times New Roman"/>
          <w:color w:val="000000" w:themeColor="text1"/>
          <w:sz w:val="16"/>
          <w:szCs w:val="16"/>
        </w:rPr>
        <w:softHyphen/>
        <w:t>шийся модификацией машины Ил-АМ-42. Его испытания также шли нелегко и затянулись до осени, а после переделки бронекоробки и системы охлаждения их пришлось перенести на 1945 г. (10781).</w:t>
      </w:r>
    </w:p>
    <w:p w14:paraId="6B37713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8FEF29E"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феврале 1944 г., наконец, закончились государ</w:t>
      </w:r>
      <w:r w:rsidRPr="00070ADE">
        <w:rPr>
          <w:rFonts w:ascii="Times New Roman" w:hAnsi="Times New Roman" w:cs="Times New Roman"/>
          <w:color w:val="000000" w:themeColor="text1"/>
          <w:sz w:val="16"/>
          <w:szCs w:val="16"/>
        </w:rPr>
        <w:softHyphen/>
        <w:t>ственные испытания Ил-АМ-42, испытания которого были прерва</w:t>
      </w:r>
      <w:r w:rsidRPr="00070ADE">
        <w:rPr>
          <w:rFonts w:ascii="Times New Roman" w:hAnsi="Times New Roman" w:cs="Times New Roman"/>
          <w:color w:val="000000" w:themeColor="text1"/>
          <w:sz w:val="16"/>
          <w:szCs w:val="16"/>
        </w:rPr>
        <w:softHyphen/>
        <w:t>ны в 1943 г. с рекомендацией о его запуске в серию. У конструкторского коллектива появилась возможность до начала серийного произ</w:t>
      </w:r>
      <w:r w:rsidRPr="00070ADE">
        <w:rPr>
          <w:rFonts w:ascii="Times New Roman" w:hAnsi="Times New Roman" w:cs="Times New Roman"/>
          <w:color w:val="000000" w:themeColor="text1"/>
          <w:sz w:val="16"/>
          <w:szCs w:val="16"/>
        </w:rPr>
        <w:softHyphen/>
        <w:t>водства значительно улучшить летные и бо</w:t>
      </w:r>
      <w:r w:rsidRPr="00070ADE">
        <w:rPr>
          <w:rFonts w:ascii="Times New Roman" w:hAnsi="Times New Roman" w:cs="Times New Roman"/>
          <w:color w:val="000000" w:themeColor="text1"/>
          <w:sz w:val="16"/>
          <w:szCs w:val="16"/>
        </w:rPr>
        <w:softHyphen/>
        <w:t>евые возможности этой машины. Опираясь на новые технические решения уже приме</w:t>
      </w:r>
      <w:r w:rsidRPr="00070ADE">
        <w:rPr>
          <w:rFonts w:ascii="Times New Roman" w:hAnsi="Times New Roman" w:cs="Times New Roman"/>
          <w:color w:val="000000" w:themeColor="text1"/>
          <w:sz w:val="16"/>
          <w:szCs w:val="16"/>
        </w:rPr>
        <w:softHyphen/>
        <w:t>ненные в конструкции самолета Ил-10 и по</w:t>
      </w:r>
      <w:r w:rsidRPr="00070ADE">
        <w:rPr>
          <w:rFonts w:ascii="Times New Roman" w:hAnsi="Times New Roman" w:cs="Times New Roman"/>
          <w:color w:val="000000" w:themeColor="text1"/>
          <w:sz w:val="16"/>
          <w:szCs w:val="16"/>
        </w:rPr>
        <w:softHyphen/>
        <w:t>явившиеся к тому моменту результаты его летных испытаний, С.В. Ильюшин предло</w:t>
      </w:r>
      <w:r w:rsidRPr="00070ADE">
        <w:rPr>
          <w:rFonts w:ascii="Times New Roman" w:hAnsi="Times New Roman" w:cs="Times New Roman"/>
          <w:color w:val="000000" w:themeColor="text1"/>
          <w:sz w:val="16"/>
          <w:szCs w:val="16"/>
        </w:rPr>
        <w:softHyphen/>
        <w:t>жил существенно изменить конструкцию нового тяжелого штурмовика, заложив в нее все технические новинки, появившиеся за это время на Ил-10.</w:t>
      </w:r>
    </w:p>
    <w:p w14:paraId="77AE74AE"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результате проведенной модерни</w:t>
      </w:r>
      <w:r w:rsidRPr="00070ADE">
        <w:rPr>
          <w:rFonts w:ascii="Times New Roman" w:hAnsi="Times New Roman" w:cs="Times New Roman"/>
          <w:color w:val="000000" w:themeColor="text1"/>
          <w:sz w:val="16"/>
          <w:szCs w:val="16"/>
        </w:rPr>
        <w:softHyphen/>
        <w:t>зации полностью изменился облик само</w:t>
      </w:r>
      <w:r w:rsidRPr="00070ADE">
        <w:rPr>
          <w:rFonts w:ascii="Times New Roman" w:hAnsi="Times New Roman" w:cs="Times New Roman"/>
          <w:color w:val="000000" w:themeColor="text1"/>
          <w:sz w:val="16"/>
          <w:szCs w:val="16"/>
        </w:rPr>
        <w:softHyphen/>
        <w:t>лета: появились новый бронекорпус, новое крыло, хвостовое оперение и шасси. На двигатель установили новый воздушный винт. Вместо пушек ВЯ-23 в крыле появи</w:t>
      </w:r>
      <w:r w:rsidRPr="00070ADE">
        <w:rPr>
          <w:rFonts w:ascii="Times New Roman" w:hAnsi="Times New Roman" w:cs="Times New Roman"/>
          <w:color w:val="000000" w:themeColor="text1"/>
          <w:sz w:val="16"/>
          <w:szCs w:val="16"/>
        </w:rPr>
        <w:softHyphen/>
        <w:t>лись более мощные пушки НС-23, а в ка</w:t>
      </w:r>
      <w:r w:rsidRPr="00070ADE">
        <w:rPr>
          <w:rFonts w:ascii="Times New Roman" w:hAnsi="Times New Roman" w:cs="Times New Roman"/>
          <w:color w:val="000000" w:themeColor="text1"/>
          <w:sz w:val="16"/>
          <w:szCs w:val="16"/>
        </w:rPr>
        <w:softHyphen/>
        <w:t>бине воздушного стрелка - пушка УБ-20. В четырех отсеках нового крыла теперь мог</w:t>
      </w:r>
      <w:r w:rsidRPr="00070ADE">
        <w:rPr>
          <w:rFonts w:ascii="Times New Roman" w:hAnsi="Times New Roman" w:cs="Times New Roman"/>
          <w:color w:val="000000" w:themeColor="text1"/>
          <w:sz w:val="16"/>
          <w:szCs w:val="16"/>
        </w:rPr>
        <w:softHyphen/>
        <w:t>ли размещаться авиабомбы общей массой до 1000 кг. На наружных держателях обе</w:t>
      </w:r>
      <w:r w:rsidRPr="00070ADE">
        <w:rPr>
          <w:rFonts w:ascii="Times New Roman" w:hAnsi="Times New Roman" w:cs="Times New Roman"/>
          <w:color w:val="000000" w:themeColor="text1"/>
          <w:sz w:val="16"/>
          <w:szCs w:val="16"/>
        </w:rPr>
        <w:softHyphen/>
        <w:t>спечивалась подвеска двух авиабомб с мас</w:t>
      </w:r>
      <w:r w:rsidRPr="00070ADE">
        <w:rPr>
          <w:rFonts w:ascii="Times New Roman" w:hAnsi="Times New Roman" w:cs="Times New Roman"/>
          <w:color w:val="000000" w:themeColor="text1"/>
          <w:sz w:val="16"/>
          <w:szCs w:val="16"/>
        </w:rPr>
        <w:softHyphen/>
        <w:t>сой по 500 кг каждая. Нормальная бомбовая нагрузка штурмовика составляла 1000 кг. Первый полет нового опытного самолета, получившего обозначение Ил-8, состоялся только в октябре 1944 г. Проявившаяся в воздухе сильнейшая тряска нового четы- рехлопастного винта, установленного на самолете, прервала начавшиеся полеты. Подбор и испытания новых винтов других типов снова отодвинули проведение го</w:t>
      </w:r>
      <w:r w:rsidRPr="00070ADE">
        <w:rPr>
          <w:rFonts w:ascii="Times New Roman" w:hAnsi="Times New Roman" w:cs="Times New Roman"/>
          <w:color w:val="000000" w:themeColor="text1"/>
          <w:sz w:val="16"/>
          <w:szCs w:val="16"/>
        </w:rPr>
        <w:softHyphen/>
        <w:t>сиспытаний до мая 1945 г. В связи с за</w:t>
      </w:r>
      <w:r w:rsidRPr="00070ADE">
        <w:rPr>
          <w:rFonts w:ascii="Times New Roman" w:hAnsi="Times New Roman" w:cs="Times New Roman"/>
          <w:color w:val="000000" w:themeColor="text1"/>
          <w:sz w:val="16"/>
          <w:szCs w:val="16"/>
        </w:rPr>
        <w:softHyphen/>
        <w:t>кончившимися к этому моменту военными действиями, дальнейшие работы по этому самолету были прекращены (12734).</w:t>
      </w:r>
    </w:p>
    <w:p w14:paraId="7ABF3CE1"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p>
    <w:p w14:paraId="158F85B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представитель ОКБ на заводе В.Н. Бугайский докладывал С. В. Ильюшину: “Наконец можно рапортовать, машину закончили. Отправку в Москву намечаем к 15 февраля... Мотор заменить не сумели, так как его нам не дали до сих пор... Машина получилась хорошая во всех отношениях... исключительно перспективная и многообещающая, а главное, ясная во всех элементах. Хорошо бы к лету запустить в серию... Это будет достойный подарок Родине... Прошу Вас дать указание, чтобы прибывшую в Москву машину Ил-1 наш народ проверил самым тщательным образом” (9528).</w:t>
      </w:r>
    </w:p>
    <w:p w14:paraId="3E0A833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57DF5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Ил-8 передали на госиспытания, по результатам которых его рекомендовали в серийное производство в вариантах штурмовика-бомбардировщика и разведчика-корректировщика.</w:t>
      </w:r>
    </w:p>
    <w:p w14:paraId="2A2006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это время уже выявились высокие летные данные скоростного штурмовика Ил-10, и с целью улучшения летных параметров Ил-8 Ильюшин внес предложение о переделке системы охлаждения и смазки, а также шасси и оперения по типу Ил-10. В связи с этим на втором опытном Ил-8 изменили систему охлаждения и смазки, установили новые бронекорпус, крыло, оперение и шасси, доработали элероны, рули высоты и направления, внесли изменения в состав оборудования, трехлопастный воздушный винт заменили четырехлопастным. По сути получился новый самолет, сохранивший старое обозначение.</w:t>
      </w:r>
    </w:p>
    <w:p w14:paraId="29957E8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Изменилось и вооружение второго опытного Ил-8. Вместо пушек ВЯ установили НС-23, в кабине стрелка пулемет заменили подвижной пушкой УБ-20, а для защиты нижней полусферы в хвосте фюзеляжа разместили кассету с десятью авиационными гранатами АГ-2, сбрасывать которые могли и летчик, и стрелок. Увеличили бомбовую нагрузку: в четырех центропланных бомбоотсеках размещались бомбы общим весом до 1000 кг. Наружные бомбовые замки обеспечивали подвеску двух 500-кг фугасных бомб (9528).</w:t>
      </w:r>
    </w:p>
    <w:p w14:paraId="6723343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98016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начались гос. испытания Ил-8 и его рекомендовали в серию как Ш-Бомб и разведчик-корректировщик. Не пошел, так как решили за счет аэродинамики повысить ЛХ. Если первый вариант максимально использовал компоновочные и конструктивные решения Ил-2, то второй вариант Ил-8 - совсем другой - с учетом опыта по Ил-10. Сделали в конце 1944 и гос. испытания состоялись уже после войны (173,134).</w:t>
      </w:r>
    </w:p>
    <w:p w14:paraId="7E7A557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2E4F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на испытания был предъявлен опытный штурмовик-бомбардировщик Ил-8, являвшийся модификацией машины Ил-АМ-42. Его испытания также шли нелегко (9032).</w:t>
      </w:r>
    </w:p>
    <w:p w14:paraId="299BEA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82504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1944-го первый опытный Ил-8 передали на государственные испытания, по результатам которых был рекомендован в серийное производство в вариантах штурмовика-бомбардировщика и разведчика-корректировщика (9532,6).</w:t>
      </w:r>
    </w:p>
    <w:p w14:paraId="6B4FB0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B00F8E" w14:textId="77777777" w:rsidR="00091792" w:rsidRPr="00C94B78" w:rsidRDefault="00091792"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феврале 1944 года первый вариант Ил-8 передали на государственные испытания, по результатам которых его рекомендовали в серийное производство. В НКАП запла</w:t>
      </w:r>
      <w:r w:rsidRPr="00C94B78">
        <w:rPr>
          <w:rStyle w:val="aff1"/>
          <w:rFonts w:ascii="Times New Roman" w:hAnsi="Times New Roman" w:cs="Times New Roman"/>
          <w:color w:val="0070C0"/>
          <w:spacing w:val="0"/>
          <w:sz w:val="16"/>
          <w:szCs w:val="16"/>
        </w:rPr>
        <w:softHyphen/>
        <w:t>нировали его выпуск в 1944 году на заводе № 18 и с первого полугодия следующего года - на заводах № 1 и № 30. Но этого не произошло, поскольку к тому времени был решен вопрос с производством Ил-10 (25091).</w:t>
      </w:r>
    </w:p>
    <w:p w14:paraId="49518105" w14:textId="77777777" w:rsidR="00091792" w:rsidRPr="00C94B78" w:rsidRDefault="00091792" w:rsidP="00B56F90">
      <w:pPr>
        <w:spacing w:after="0" w:line="240" w:lineRule="auto"/>
        <w:jc w:val="both"/>
        <w:rPr>
          <w:rFonts w:ascii="Times New Roman" w:hAnsi="Times New Roman"/>
          <w:color w:val="0070C0"/>
          <w:sz w:val="16"/>
          <w:szCs w:val="16"/>
        </w:rPr>
      </w:pPr>
    </w:p>
    <w:p w14:paraId="6B3E9A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закончились наземные гос. испытания УБ-20, которые начались в январе 1944 (759,3).</w:t>
      </w:r>
    </w:p>
    <w:p w14:paraId="5BCBBE2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4C03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на Су-8 из-за подтекания мас</w:t>
      </w:r>
      <w:r w:rsidRPr="00070ADE">
        <w:rPr>
          <w:rFonts w:ascii="Times New Roman" w:hAnsi="Times New Roman"/>
          <w:color w:val="000000" w:themeColor="text1"/>
          <w:sz w:val="16"/>
          <w:szCs w:val="16"/>
        </w:rPr>
        <w:softHyphen/>
        <w:t>ла возникла необходимость заме</w:t>
      </w:r>
      <w:r w:rsidRPr="00070ADE">
        <w:rPr>
          <w:rFonts w:ascii="Times New Roman" w:hAnsi="Times New Roman"/>
          <w:color w:val="000000" w:themeColor="text1"/>
          <w:sz w:val="16"/>
          <w:szCs w:val="16"/>
        </w:rPr>
        <w:softHyphen/>
        <w:t>ны кожухов толкателей, а повышен</w:t>
      </w:r>
      <w:r w:rsidRPr="00070ADE">
        <w:rPr>
          <w:rFonts w:ascii="Times New Roman" w:hAnsi="Times New Roman"/>
          <w:color w:val="000000" w:themeColor="text1"/>
          <w:sz w:val="16"/>
          <w:szCs w:val="16"/>
        </w:rPr>
        <w:softHyphen/>
        <w:t>ная температура головок цилинд</w:t>
      </w:r>
      <w:r w:rsidRPr="00070ADE">
        <w:rPr>
          <w:rFonts w:ascii="Times New Roman" w:hAnsi="Times New Roman"/>
          <w:color w:val="000000" w:themeColor="text1"/>
          <w:sz w:val="16"/>
          <w:szCs w:val="16"/>
        </w:rPr>
        <w:softHyphen/>
        <w:t>ров была устранена путем продле</w:t>
      </w:r>
      <w:r w:rsidRPr="00070ADE">
        <w:rPr>
          <w:rFonts w:ascii="Times New Roman" w:hAnsi="Times New Roman"/>
          <w:color w:val="000000" w:themeColor="text1"/>
          <w:sz w:val="16"/>
          <w:szCs w:val="16"/>
        </w:rPr>
        <w:softHyphen/>
        <w:t>ния профилированных частей лопа</w:t>
      </w:r>
      <w:r w:rsidRPr="00070ADE">
        <w:rPr>
          <w:rFonts w:ascii="Times New Roman" w:hAnsi="Times New Roman"/>
          <w:color w:val="000000" w:themeColor="text1"/>
          <w:sz w:val="16"/>
          <w:szCs w:val="16"/>
        </w:rPr>
        <w:softHyphen/>
        <w:t>стей воздушных винтов до втулок с помощью наклейки специальных деревянных накладок (11853).</w:t>
      </w:r>
    </w:p>
    <w:p w14:paraId="293A39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C6144D"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феврале 1944 г. по завершению полетов в НИИ ВВС противотанковый са</w:t>
      </w:r>
      <w:r w:rsidRPr="00070ADE">
        <w:rPr>
          <w:rFonts w:ascii="Times New Roman" w:hAnsi="Times New Roman" w:cs="Times New Roman"/>
          <w:color w:val="000000" w:themeColor="text1"/>
          <w:sz w:val="16"/>
          <w:szCs w:val="16"/>
        </w:rPr>
        <w:softHyphen/>
        <w:t>молет Харрикей зав. № КХ-305 по</w:t>
      </w:r>
      <w:r w:rsidRPr="00070ADE">
        <w:rPr>
          <w:rFonts w:ascii="Times New Roman" w:hAnsi="Times New Roman" w:cs="Times New Roman"/>
          <w:color w:val="000000" w:themeColor="text1"/>
          <w:sz w:val="16"/>
          <w:szCs w:val="16"/>
        </w:rPr>
        <w:softHyphen/>
        <w:t>ступил в НИИ АВ ВВС для производства кон</w:t>
      </w:r>
      <w:r w:rsidRPr="00070ADE">
        <w:rPr>
          <w:rFonts w:ascii="Times New Roman" w:hAnsi="Times New Roman" w:cs="Times New Roman"/>
          <w:color w:val="000000" w:themeColor="text1"/>
          <w:sz w:val="16"/>
          <w:szCs w:val="16"/>
        </w:rPr>
        <w:softHyphen/>
        <w:t>трольных испытаний вооружения. Отчет по испытаниям утвержден начальником НИИ АВ генерал-майором М.В. Гуревичем 17 марта.</w:t>
      </w:r>
    </w:p>
    <w:p w14:paraId="7F05A57C"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Испытания в НИИ ВВС проводились объединенной бригадой специалистов 3-го и 4-го отделов института. Ведущим инженером по испытаниям был назначен инженер-капитан Рабкин (3-й отдел), его помощником - инженер-капитан Колосов (4-й отдел). На самолетах летали: летчик- испытатель 3-го отдела майор Голофастов и летчик-испытатель 4-го отдела старший лейтенант Поминальный.</w:t>
      </w:r>
    </w:p>
    <w:p w14:paraId="16AA8C3F"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НИИ АВ к испытаниям привлекались специалисты 7-го отдела института: майор В.С. Полубиченко - ответственный по ис</w:t>
      </w:r>
      <w:r w:rsidRPr="00070ADE">
        <w:rPr>
          <w:rFonts w:ascii="Times New Roman" w:hAnsi="Times New Roman" w:cs="Times New Roman"/>
          <w:color w:val="000000" w:themeColor="text1"/>
          <w:sz w:val="16"/>
          <w:szCs w:val="16"/>
        </w:rPr>
        <w:softHyphen/>
        <w:t>пытаниям, старший техник-лейтенант Ф.Ф. Сивцов, летчик-испытатель капитан А.В. Кусакин и механик по вооружению старший сержант Ф.Я. Анохин.</w:t>
      </w:r>
    </w:p>
    <w:p w14:paraId="27D30CA7"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Всего в НИИ ВВС было выполнено 27 полетов с суммарным налетом 18 ч 40 мин, втом числе: на самолете зав. N9 КХ-305 -16 полетов (12 ч 10 мин), на самолете зав. № КХ-171 - 11 полетов (6 ч 30 мин). С начала эксплуатации мотор «Мерлин» XX №87591 на самолете зав. № КХ-305 наработал 52 ч 14 мин, а мотор № 87437 на самолете зав. № КХ-171 -71 ч 11 мин.</w:t>
      </w:r>
    </w:p>
    <w:p w14:paraId="66992C3F"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НИИ АВ ВВС на самолете зав. № КХ- 305 выполнили еще 9 контрольных полетов на отстрел вооружения в воздухе по воз</w:t>
      </w:r>
      <w:r w:rsidRPr="00070ADE">
        <w:rPr>
          <w:rFonts w:ascii="Times New Roman" w:hAnsi="Times New Roman" w:cs="Times New Roman"/>
          <w:color w:val="000000" w:themeColor="text1"/>
          <w:sz w:val="16"/>
          <w:szCs w:val="16"/>
        </w:rPr>
        <w:softHyphen/>
        <w:t>душным и наземным целям.</w:t>
      </w:r>
    </w:p>
    <w:p w14:paraId="1D4354F7"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Судя по песчаному камуфляжу, само</w:t>
      </w:r>
      <w:r w:rsidRPr="00070ADE">
        <w:rPr>
          <w:rFonts w:ascii="Times New Roman" w:hAnsi="Times New Roman" w:cs="Times New Roman"/>
          <w:color w:val="000000" w:themeColor="text1"/>
          <w:sz w:val="16"/>
          <w:szCs w:val="16"/>
        </w:rPr>
        <w:softHyphen/>
        <w:t>леты применялись в Северной Африке.</w:t>
      </w:r>
    </w:p>
    <w:p w14:paraId="3B1F46AC"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Истребители оснащались пылефильтром, установленным на всасывающем патрубке мотора.</w:t>
      </w:r>
    </w:p>
    <w:p w14:paraId="39E6FE24"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Штурмовой вариант самолета «Харрикейн» 1Ю представлял собой серийный самолет «Харрикейн» НС с усиленным бро</w:t>
      </w:r>
      <w:r w:rsidRPr="00070ADE">
        <w:rPr>
          <w:rFonts w:ascii="Times New Roman" w:hAnsi="Times New Roman" w:cs="Times New Roman"/>
          <w:color w:val="000000" w:themeColor="text1"/>
          <w:sz w:val="16"/>
          <w:szCs w:val="16"/>
        </w:rPr>
        <w:softHyphen/>
        <w:t>нированием, доработанный под установку крупнокалиберных пушек.</w:t>
      </w:r>
    </w:p>
    <w:p w14:paraId="6DB073C2"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На самолете устанавливался дере</w:t>
      </w:r>
      <w:r w:rsidRPr="00070ADE">
        <w:rPr>
          <w:rFonts w:ascii="Times New Roman" w:hAnsi="Times New Roman" w:cs="Times New Roman"/>
          <w:color w:val="000000" w:themeColor="text1"/>
          <w:sz w:val="16"/>
          <w:szCs w:val="16"/>
        </w:rPr>
        <w:softHyphen/>
        <w:t>вянный трехлопастный воздушный винт изменяемого в полете шага фирмы Ротол Н5-5/3 диаметром 3,43 м. Система разжи</w:t>
      </w:r>
      <w:r w:rsidRPr="00070ADE">
        <w:rPr>
          <w:rFonts w:ascii="Times New Roman" w:hAnsi="Times New Roman" w:cs="Times New Roman"/>
          <w:color w:val="000000" w:themeColor="text1"/>
          <w:sz w:val="16"/>
          <w:szCs w:val="16"/>
        </w:rPr>
        <w:softHyphen/>
        <w:t>жения масла бензином, невыключаемый воздушный фильтр и другие агрегаты си</w:t>
      </w:r>
      <w:r w:rsidRPr="00070ADE">
        <w:rPr>
          <w:rFonts w:ascii="Times New Roman" w:hAnsi="Times New Roman" w:cs="Times New Roman"/>
          <w:color w:val="000000" w:themeColor="text1"/>
          <w:sz w:val="16"/>
          <w:szCs w:val="16"/>
        </w:rPr>
        <w:softHyphen/>
        <w:t>стемы винтомоторной группы такие же, как у Мк.ПС. Вместо двух кислородных балло</w:t>
      </w:r>
      <w:r w:rsidRPr="00070ADE">
        <w:rPr>
          <w:rFonts w:ascii="Times New Roman" w:hAnsi="Times New Roman" w:cs="Times New Roman"/>
          <w:color w:val="000000" w:themeColor="text1"/>
          <w:sz w:val="16"/>
          <w:szCs w:val="16"/>
        </w:rPr>
        <w:softHyphen/>
        <w:t>нов оставлен один.</w:t>
      </w:r>
    </w:p>
    <w:p w14:paraId="2555BAA9"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Под крылом Мк.1Ю размещались две пушки Виккерс 5 калибра 40 мм с суммар</w:t>
      </w:r>
      <w:r w:rsidRPr="00070ADE">
        <w:rPr>
          <w:rFonts w:ascii="Times New Roman" w:hAnsi="Times New Roman" w:cs="Times New Roman"/>
          <w:color w:val="000000" w:themeColor="text1"/>
          <w:sz w:val="16"/>
          <w:szCs w:val="16"/>
        </w:rPr>
        <w:softHyphen/>
        <w:t>ным боекомплектом 30 снарядов и в кры</w:t>
      </w:r>
      <w:r w:rsidRPr="00070ADE">
        <w:rPr>
          <w:rFonts w:ascii="Times New Roman" w:hAnsi="Times New Roman" w:cs="Times New Roman"/>
          <w:color w:val="000000" w:themeColor="text1"/>
          <w:sz w:val="16"/>
          <w:szCs w:val="16"/>
        </w:rPr>
        <w:softHyphen/>
        <w:t>ле два пулемета Кольт-Браунинг калибра 7,69 мм с боекомплектом 1300 патронов. Вместо пушек допускалась подвеска до</w:t>
      </w:r>
      <w:r w:rsidRPr="00070ADE">
        <w:rPr>
          <w:rFonts w:ascii="Times New Roman" w:hAnsi="Times New Roman" w:cs="Times New Roman"/>
          <w:color w:val="000000" w:themeColor="text1"/>
          <w:sz w:val="16"/>
          <w:szCs w:val="16"/>
        </w:rPr>
        <w:softHyphen/>
        <w:t>полнительных бензобаков.</w:t>
      </w:r>
    </w:p>
    <w:p w14:paraId="64E6AF7F"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lastRenderedPageBreak/>
        <w:t>В правом крыле предусматривалась установка фотокинопулемета для учебных целей и для контроля результатов стрельб, но на поступивших в НИИ ВВС самолетах фотокинопулеметы отсутствовали.</w:t>
      </w:r>
    </w:p>
    <w:p w14:paraId="00E78DA2"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Управление огнем пушек и пулеме</w:t>
      </w:r>
      <w:r w:rsidRPr="00070ADE">
        <w:rPr>
          <w:rFonts w:ascii="Times New Roman" w:hAnsi="Times New Roman" w:cs="Times New Roman"/>
          <w:color w:val="000000" w:themeColor="text1"/>
          <w:sz w:val="16"/>
          <w:szCs w:val="16"/>
        </w:rPr>
        <w:softHyphen/>
        <w:t>тов раздельное," электропневматическое. Стрельба из пулеметов велась с помощью электрокнопки, смонтированной на ручке управления, а из пушек, также электрокноп</w:t>
      </w:r>
      <w:r w:rsidRPr="00070ADE">
        <w:rPr>
          <w:rFonts w:ascii="Times New Roman" w:hAnsi="Times New Roman" w:cs="Times New Roman"/>
          <w:color w:val="000000" w:themeColor="text1"/>
          <w:sz w:val="16"/>
          <w:szCs w:val="16"/>
        </w:rPr>
        <w:softHyphen/>
        <w:t>кой, но смонтированной на секторе газа.</w:t>
      </w:r>
    </w:p>
    <w:p w14:paraId="4E3121F2"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Для прицеливания при стрельбе ис</w:t>
      </w:r>
      <w:r w:rsidRPr="00070ADE">
        <w:rPr>
          <w:rFonts w:ascii="Times New Roman" w:hAnsi="Times New Roman" w:cs="Times New Roman"/>
          <w:color w:val="000000" w:themeColor="text1"/>
          <w:sz w:val="16"/>
          <w:szCs w:val="16"/>
        </w:rPr>
        <w:softHyphen/>
        <w:t>пользовался коллиматорный прицел Реф</w:t>
      </w:r>
      <w:r w:rsidRPr="00070ADE">
        <w:rPr>
          <w:rFonts w:ascii="Times New Roman" w:hAnsi="Times New Roman" w:cs="Times New Roman"/>
          <w:color w:val="000000" w:themeColor="text1"/>
          <w:sz w:val="16"/>
          <w:szCs w:val="16"/>
        </w:rPr>
        <w:softHyphen/>
        <w:t>лектор Сайт Мк.115 с электрической под</w:t>
      </w:r>
      <w:r w:rsidRPr="00070ADE">
        <w:rPr>
          <w:rFonts w:ascii="Times New Roman" w:hAnsi="Times New Roman" w:cs="Times New Roman"/>
          <w:color w:val="000000" w:themeColor="text1"/>
          <w:sz w:val="16"/>
          <w:szCs w:val="16"/>
        </w:rPr>
        <w:softHyphen/>
        <w:t>светкой.</w:t>
      </w:r>
    </w:p>
    <w:p w14:paraId="4DF00D31"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Установка пулеметов Кольт-Баунинг ничем не отличалась от установки на се</w:t>
      </w:r>
      <w:r w:rsidRPr="00070ADE">
        <w:rPr>
          <w:rFonts w:ascii="Times New Roman" w:hAnsi="Times New Roman" w:cs="Times New Roman"/>
          <w:color w:val="000000" w:themeColor="text1"/>
          <w:sz w:val="16"/>
          <w:szCs w:val="16"/>
        </w:rPr>
        <w:softHyphen/>
        <w:t>рийном самолете типа Мк.ПС, за исклю</w:t>
      </w:r>
      <w:r w:rsidRPr="00070ADE">
        <w:rPr>
          <w:rFonts w:ascii="Times New Roman" w:hAnsi="Times New Roman" w:cs="Times New Roman"/>
          <w:color w:val="000000" w:themeColor="text1"/>
          <w:sz w:val="16"/>
          <w:szCs w:val="16"/>
        </w:rPr>
        <w:softHyphen/>
        <w:t>чением увеличенного боезапаса (лента в патронном ящике).</w:t>
      </w:r>
    </w:p>
    <w:p w14:paraId="0D36F2A9"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Пушки помещались в специальном об</w:t>
      </w:r>
      <w:r w:rsidRPr="00070ADE">
        <w:rPr>
          <w:rFonts w:ascii="Times New Roman" w:hAnsi="Times New Roman" w:cs="Times New Roman"/>
          <w:color w:val="000000" w:themeColor="text1"/>
          <w:sz w:val="16"/>
          <w:szCs w:val="16"/>
        </w:rPr>
        <w:softHyphen/>
        <w:t>текателе под крылом и крепились на двух узлах, из которых передний являлся сило</w:t>
      </w:r>
      <w:r w:rsidRPr="00070ADE">
        <w:rPr>
          <w:rFonts w:ascii="Times New Roman" w:hAnsi="Times New Roman" w:cs="Times New Roman"/>
          <w:color w:val="000000" w:themeColor="text1"/>
          <w:sz w:val="16"/>
          <w:szCs w:val="16"/>
        </w:rPr>
        <w:softHyphen/>
        <w:t>вым, а задний - регулировочным. При этом стволы пушек на 1080 мм выступали за переднюю кромку крыла.</w:t>
      </w:r>
    </w:p>
    <w:p w14:paraId="1007F96A"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Автоматика пушек Виккерс 8 работала на принципе отдачи с длинным ходом ство</w:t>
      </w:r>
      <w:r w:rsidRPr="00070ADE">
        <w:rPr>
          <w:rFonts w:ascii="Times New Roman" w:hAnsi="Times New Roman" w:cs="Times New Roman"/>
          <w:color w:val="000000" w:themeColor="text1"/>
          <w:sz w:val="16"/>
          <w:szCs w:val="16"/>
        </w:rPr>
        <w:softHyphen/>
        <w:t>ла, запирание клиновое. Сила отдачи при стрельбе поглощалась работой автомати</w:t>
      </w:r>
      <w:r w:rsidRPr="00070ADE">
        <w:rPr>
          <w:rFonts w:ascii="Times New Roman" w:hAnsi="Times New Roman" w:cs="Times New Roman"/>
          <w:color w:val="000000" w:themeColor="text1"/>
          <w:sz w:val="16"/>
          <w:szCs w:val="16"/>
        </w:rPr>
        <w:softHyphen/>
        <w:t>ки, возвратной и буферной пружинами и гидравлическим тормозом. В гидротормоз заливалось веретенное масло или смесь веретенного масла с техническим кероси</w:t>
      </w:r>
      <w:r w:rsidRPr="00070ADE">
        <w:rPr>
          <w:rFonts w:ascii="Times New Roman" w:hAnsi="Times New Roman" w:cs="Times New Roman"/>
          <w:color w:val="000000" w:themeColor="text1"/>
          <w:sz w:val="16"/>
          <w:szCs w:val="16"/>
        </w:rPr>
        <w:softHyphen/>
        <w:t>ном (в соотношении 60/40).</w:t>
      </w:r>
    </w:p>
    <w:p w14:paraId="1CF81DF1"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Питание пушек - магазинное. Магазин на 15 снарядов жестко крепился к пушке болтами. Зарядка магазина производи</w:t>
      </w:r>
      <w:r w:rsidRPr="00070ADE">
        <w:rPr>
          <w:rFonts w:ascii="Times New Roman" w:hAnsi="Times New Roman" w:cs="Times New Roman"/>
          <w:color w:val="000000" w:themeColor="text1"/>
          <w:sz w:val="16"/>
          <w:szCs w:val="16"/>
        </w:rPr>
        <w:softHyphen/>
        <w:t>лась непосредственно на самолете.</w:t>
      </w:r>
    </w:p>
    <w:p w14:paraId="75A1767F"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Перезарядка пушек осуществлялась вручную с помощью специальной рукоятки с цепной передачей. Перезаряжать пушку можно было только на земле. В воздухе летчик имел возможность лишь повторно взвести ударник. Для этого на левом бор</w:t>
      </w:r>
      <w:r w:rsidRPr="00070ADE">
        <w:rPr>
          <w:rFonts w:ascii="Times New Roman" w:hAnsi="Times New Roman" w:cs="Times New Roman"/>
          <w:color w:val="000000" w:themeColor="text1"/>
          <w:sz w:val="16"/>
          <w:szCs w:val="16"/>
        </w:rPr>
        <w:softHyphen/>
        <w:t>ту располагалась гашетка пневмовзвода ударников пушек. С ее помощью летчик в полете мог повторно взвести ударники пу</w:t>
      </w:r>
      <w:r w:rsidRPr="00070ADE">
        <w:rPr>
          <w:rFonts w:ascii="Times New Roman" w:hAnsi="Times New Roman" w:cs="Times New Roman"/>
          <w:color w:val="000000" w:themeColor="text1"/>
          <w:sz w:val="16"/>
          <w:szCs w:val="16"/>
        </w:rPr>
        <w:softHyphen/>
        <w:t>шек и продолжить стрельбу.</w:t>
      </w:r>
    </w:p>
    <w:p w14:paraId="4E4BDF12"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Длина пушки достигала 2970 мм, при высоте с магазином 533 мм (без магазина 278 мм) и ширине 210 мм. Общий вес пуш</w:t>
      </w:r>
      <w:r w:rsidRPr="00070ADE">
        <w:rPr>
          <w:rFonts w:ascii="Times New Roman" w:hAnsi="Times New Roman" w:cs="Times New Roman"/>
          <w:color w:val="000000" w:themeColor="text1"/>
          <w:sz w:val="16"/>
          <w:szCs w:val="16"/>
        </w:rPr>
        <w:softHyphen/>
        <w:t>ки с магазином и 15 бронебойными снаря</w:t>
      </w:r>
      <w:r w:rsidRPr="00070ADE">
        <w:rPr>
          <w:rFonts w:ascii="Times New Roman" w:hAnsi="Times New Roman" w:cs="Times New Roman"/>
          <w:color w:val="000000" w:themeColor="text1"/>
          <w:sz w:val="16"/>
          <w:szCs w:val="16"/>
        </w:rPr>
        <w:softHyphen/>
        <w:t>дами составлял 180,2 кг, в том числе: сама пушка - 141,7 кг, магазин без патронов - 16,0 кг, боекомплект - 22,5 кг.</w:t>
      </w:r>
    </w:p>
    <w:p w14:paraId="4FB995F9"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Броней на самолете защищались: летчик, мотор, водо- и маслорадиаторы. Общий вес брони достигал 185 кг.</w:t>
      </w:r>
    </w:p>
    <w:p w14:paraId="1DBB4288"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Бронекозырек кабины летчика состоял из трех плит пулестойкого стекла. Средняя плита имела толщину 35 мм, а боковые</w:t>
      </w:r>
    </w:p>
    <w:p w14:paraId="33F4236A" w14:textId="77777777" w:rsidR="00903E13" w:rsidRPr="00070ADE" w:rsidRDefault="00903E13" w:rsidP="00B56F90">
      <w:pPr>
        <w:pStyle w:val="47"/>
        <w:numPr>
          <w:ilvl w:val="0"/>
          <w:numId w:val="1"/>
        </w:numPr>
        <w:shd w:val="clear" w:color="auto" w:fill="auto"/>
        <w:tabs>
          <w:tab w:val="left" w:pos="169"/>
        </w:tabs>
        <w:autoSpaceDE/>
        <w:autoSpaceDN/>
        <w:adjustRightInd/>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 32 мм. Спереди сверху летчик защи</w:t>
      </w:r>
      <w:r w:rsidRPr="00070ADE">
        <w:rPr>
          <w:rFonts w:ascii="Times New Roman" w:hAnsi="Times New Roman" w:cs="Times New Roman"/>
          <w:color w:val="000000" w:themeColor="text1"/>
          <w:sz w:val="16"/>
          <w:szCs w:val="16"/>
        </w:rPr>
        <w:softHyphen/>
        <w:t>щался двумя бронеплитами толщиной по 4,75 мм, одна из которых устанавливалась перед расширительным бачком, а вторая</w:t>
      </w:r>
    </w:p>
    <w:p w14:paraId="37FF6257" w14:textId="77777777" w:rsidR="00903E13" w:rsidRPr="00070ADE" w:rsidRDefault="00903E13" w:rsidP="00B56F90">
      <w:pPr>
        <w:pStyle w:val="47"/>
        <w:numPr>
          <w:ilvl w:val="0"/>
          <w:numId w:val="1"/>
        </w:numPr>
        <w:shd w:val="clear" w:color="auto" w:fill="auto"/>
        <w:tabs>
          <w:tab w:val="left" w:pos="222"/>
        </w:tabs>
        <w:autoSpaceDE/>
        <w:autoSpaceDN/>
        <w:adjustRightInd/>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перед резервным бензобаком. Снизу спереди летчика прикрывали две бронеплиты по 4,75 мм под боковыми капотами мотора, по одной с каждой стороны. Под сиденьем располагалась бронеплита тол</w:t>
      </w:r>
      <w:r w:rsidRPr="00070ADE">
        <w:rPr>
          <w:rFonts w:ascii="Times New Roman" w:hAnsi="Times New Roman" w:cs="Times New Roman"/>
          <w:color w:val="000000" w:themeColor="text1"/>
          <w:sz w:val="16"/>
          <w:szCs w:val="16"/>
        </w:rPr>
        <w:softHyphen/>
        <w:t>щиной 7,5 мм. Со стороны задней полу</w:t>
      </w:r>
      <w:r w:rsidRPr="00070ADE">
        <w:rPr>
          <w:rFonts w:ascii="Times New Roman" w:hAnsi="Times New Roman" w:cs="Times New Roman"/>
          <w:color w:val="000000" w:themeColor="text1"/>
          <w:sz w:val="16"/>
          <w:szCs w:val="16"/>
        </w:rPr>
        <w:softHyphen/>
        <w:t>сферы летчик защищался бронеспинкой, состоящей из четырех 4,75-мм бронеплит и бронезаголовника толщиной 10,25 мм.</w:t>
      </w:r>
    </w:p>
    <w:p w14:paraId="5B6C6C5C"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Водо- и маслорадиаторы защища</w:t>
      </w:r>
      <w:r w:rsidRPr="00070ADE">
        <w:rPr>
          <w:rFonts w:ascii="Times New Roman" w:hAnsi="Times New Roman" w:cs="Times New Roman"/>
          <w:color w:val="000000" w:themeColor="text1"/>
          <w:sz w:val="16"/>
          <w:szCs w:val="16"/>
        </w:rPr>
        <w:softHyphen/>
        <w:t>лись снизу пятью 4,5-мм бронеплитами. Бронирование мотора включало четыре бронеплиты с левой стороны толщиной 4,25 и 4,75 мм, три плиты с правой сто</w:t>
      </w:r>
      <w:r w:rsidRPr="00070ADE">
        <w:rPr>
          <w:rFonts w:ascii="Times New Roman" w:hAnsi="Times New Roman" w:cs="Times New Roman"/>
          <w:color w:val="000000" w:themeColor="text1"/>
          <w:sz w:val="16"/>
          <w:szCs w:val="16"/>
        </w:rPr>
        <w:softHyphen/>
        <w:t>роны толщиной 4,75, 5,25 и 6,75 мм и три бронеплиты снизу толщиной 7,5 мм, 5,25 и 4,75 мм. Все плиты крепились к подкосам моторной рамы и закрывались капотами мотора.</w:t>
      </w:r>
    </w:p>
    <w:p w14:paraId="6985ED92"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Масса пустого самолета составлял 2763 кг. Нормальный полетный вес - 3650 кг.</w:t>
      </w:r>
    </w:p>
    <w:p w14:paraId="51F7E64F"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На номинальном режиме работы мо</w:t>
      </w:r>
      <w:r w:rsidRPr="00070ADE">
        <w:rPr>
          <w:rFonts w:ascii="Times New Roman" w:hAnsi="Times New Roman" w:cs="Times New Roman"/>
          <w:color w:val="000000" w:themeColor="text1"/>
          <w:sz w:val="16"/>
          <w:szCs w:val="16"/>
        </w:rPr>
        <w:softHyphen/>
        <w:t>тора максимальная скорость самолета «Харрикейн» 1Ю зав. № КХ-305 достигала 398 км/ч - у земли, 460 км/ч - на 1-й гра</w:t>
      </w:r>
      <w:r w:rsidRPr="00070ADE">
        <w:rPr>
          <w:rFonts w:ascii="Times New Roman" w:hAnsi="Times New Roman" w:cs="Times New Roman"/>
          <w:color w:val="000000" w:themeColor="text1"/>
          <w:sz w:val="16"/>
          <w:szCs w:val="16"/>
        </w:rPr>
        <w:softHyphen/>
        <w:t>нице высотности (3400 м), 478 км/ч - на 2-й границе высотности (5300 м). На бое</w:t>
      </w:r>
      <w:r w:rsidRPr="00070ADE">
        <w:rPr>
          <w:rFonts w:ascii="Times New Roman" w:hAnsi="Times New Roman" w:cs="Times New Roman"/>
          <w:color w:val="000000" w:themeColor="text1"/>
          <w:sz w:val="16"/>
          <w:szCs w:val="16"/>
        </w:rPr>
        <w:softHyphen/>
        <w:t>вом режиме работы мотора, который мож</w:t>
      </w:r>
      <w:r w:rsidRPr="00070ADE">
        <w:rPr>
          <w:rFonts w:ascii="Times New Roman" w:hAnsi="Times New Roman" w:cs="Times New Roman"/>
          <w:color w:val="000000" w:themeColor="text1"/>
          <w:sz w:val="16"/>
          <w:szCs w:val="16"/>
        </w:rPr>
        <w:softHyphen/>
        <w:t>но было использовать в течение не более 5 мин, скорость самолета на высоте воз</w:t>
      </w:r>
      <w:r w:rsidRPr="00070ADE">
        <w:rPr>
          <w:rFonts w:ascii="Times New Roman" w:hAnsi="Times New Roman" w:cs="Times New Roman"/>
          <w:color w:val="000000" w:themeColor="text1"/>
          <w:sz w:val="16"/>
          <w:szCs w:val="16"/>
        </w:rPr>
        <w:softHyphen/>
        <w:t>растала на 6-8 км/ч. При этом границы вы</w:t>
      </w:r>
      <w:r w:rsidRPr="00070ADE">
        <w:rPr>
          <w:rFonts w:ascii="Times New Roman" w:hAnsi="Times New Roman" w:cs="Times New Roman"/>
          <w:color w:val="000000" w:themeColor="text1"/>
          <w:sz w:val="16"/>
          <w:szCs w:val="16"/>
        </w:rPr>
        <w:softHyphen/>
        <w:t>сотности несколько смещались вверх на 300-350 м. Практический потолок - 9650 м.</w:t>
      </w:r>
    </w:p>
    <w:p w14:paraId="2E4B5099"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Вертикальная скорость у земли состав</w:t>
      </w:r>
      <w:r w:rsidRPr="00070ADE">
        <w:rPr>
          <w:rFonts w:ascii="Times New Roman" w:hAnsi="Times New Roman" w:cs="Times New Roman"/>
          <w:color w:val="000000" w:themeColor="text1"/>
          <w:sz w:val="16"/>
          <w:szCs w:val="16"/>
        </w:rPr>
        <w:softHyphen/>
        <w:t>ляла 9,7 м/с, на высоте 2000 м - 10,5 м/с, а на 3000 м -11,2 м/с. Соответственно, на вы</w:t>
      </w:r>
      <w:r w:rsidRPr="00070ADE">
        <w:rPr>
          <w:rFonts w:ascii="Times New Roman" w:hAnsi="Times New Roman" w:cs="Times New Roman"/>
          <w:color w:val="000000" w:themeColor="text1"/>
          <w:sz w:val="16"/>
          <w:szCs w:val="16"/>
        </w:rPr>
        <w:softHyphen/>
        <w:t>соту 1000 м самолет забирался за 1,8 мин, на 3000 м - за 5,0 мин, а на 5000 м - за 8,5 мин.</w:t>
      </w:r>
    </w:p>
    <w:p w14:paraId="1A5FC6A4"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Самолет на высоте 1000 м разгонялся при даче полного газа от скорости 0,7 до 0,95 максимальной за 0,72 мин, а тормо</w:t>
      </w:r>
      <w:r w:rsidRPr="00070ADE">
        <w:rPr>
          <w:rFonts w:ascii="Times New Roman" w:hAnsi="Times New Roman" w:cs="Times New Roman"/>
          <w:color w:val="000000" w:themeColor="text1"/>
          <w:sz w:val="16"/>
          <w:szCs w:val="16"/>
        </w:rPr>
        <w:softHyphen/>
        <w:t>зил при сбросе газа до скорости 0,7 макси</w:t>
      </w:r>
      <w:r w:rsidRPr="00070ADE">
        <w:rPr>
          <w:rFonts w:ascii="Times New Roman" w:hAnsi="Times New Roman" w:cs="Times New Roman"/>
          <w:color w:val="000000" w:themeColor="text1"/>
          <w:sz w:val="16"/>
          <w:szCs w:val="16"/>
        </w:rPr>
        <w:softHyphen/>
        <w:t>мальной за 0,48 мин.</w:t>
      </w:r>
    </w:p>
    <w:p w14:paraId="675438E0"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Скорость, скороподъемность и раз</w:t>
      </w:r>
      <w:r w:rsidRPr="00070ADE">
        <w:rPr>
          <w:rFonts w:ascii="Times New Roman" w:hAnsi="Times New Roman" w:cs="Times New Roman"/>
          <w:color w:val="000000" w:themeColor="text1"/>
          <w:sz w:val="16"/>
          <w:szCs w:val="16"/>
        </w:rPr>
        <w:softHyphen/>
        <w:t>гонные характеристики замерялись с пылефильтром, установленным на всасы</w:t>
      </w:r>
      <w:r w:rsidRPr="00070ADE">
        <w:rPr>
          <w:rFonts w:ascii="Times New Roman" w:hAnsi="Times New Roman" w:cs="Times New Roman"/>
          <w:color w:val="000000" w:themeColor="text1"/>
          <w:sz w:val="16"/>
          <w:szCs w:val="16"/>
        </w:rPr>
        <w:softHyphen/>
        <w:t>вающем патрубке мотора, при закрытом фонаре и полностью открытой заслонке радиаторов.</w:t>
      </w:r>
    </w:p>
    <w:p w14:paraId="2516C52A"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За один боевой разворот (левый и пра</w:t>
      </w:r>
      <w:r w:rsidRPr="00070ADE">
        <w:rPr>
          <w:rFonts w:ascii="Times New Roman" w:hAnsi="Times New Roman" w:cs="Times New Roman"/>
          <w:color w:val="000000" w:themeColor="text1"/>
          <w:sz w:val="16"/>
          <w:szCs w:val="16"/>
        </w:rPr>
        <w:softHyphen/>
        <w:t>вый) с высоты 5000 м при скорости ввода 412 км/ч самолет набирал 460 м. Скорость выхода в горизонтальный полет - 267 км/ч. На выполнение маневра затрачивалось 28 сек.</w:t>
      </w:r>
    </w:p>
    <w:p w14:paraId="7596A349"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При выполнении правого переворота при скорости ввода 207-215 км/ч самолет терял до 700 м высоты, а при выполнении левого переворота - 830 м. Скорость на выходе из переворота - 309-329 км/ч.</w:t>
      </w:r>
    </w:p>
    <w:p w14:paraId="2F032F37"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Виражи самолет выполнял устойчиво и легко сохранял заданный крен. Время полного виража на высоте 1000 м состав</w:t>
      </w:r>
      <w:r w:rsidRPr="00070ADE">
        <w:rPr>
          <w:rFonts w:ascii="Times New Roman" w:hAnsi="Times New Roman" w:cs="Times New Roman"/>
          <w:color w:val="000000" w:themeColor="text1"/>
          <w:sz w:val="16"/>
          <w:szCs w:val="16"/>
        </w:rPr>
        <w:softHyphen/>
        <w:t>ляло 22 с при выполнении левого виража и 29-30 с при выполнении правого вира</w:t>
      </w:r>
      <w:r w:rsidRPr="00070ADE">
        <w:rPr>
          <w:rFonts w:ascii="Times New Roman" w:hAnsi="Times New Roman" w:cs="Times New Roman"/>
          <w:color w:val="000000" w:themeColor="text1"/>
          <w:sz w:val="16"/>
          <w:szCs w:val="16"/>
        </w:rPr>
        <w:softHyphen/>
        <w:t>жа. При этом радиус виража не превышал 315 и 470 м, соответственно.</w:t>
      </w:r>
    </w:p>
    <w:p w14:paraId="28372906"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Разбег самолета при взлете находил</w:t>
      </w:r>
      <w:r w:rsidRPr="00070ADE">
        <w:rPr>
          <w:rFonts w:ascii="Times New Roman" w:hAnsi="Times New Roman" w:cs="Times New Roman"/>
          <w:color w:val="000000" w:themeColor="text1"/>
          <w:sz w:val="16"/>
          <w:szCs w:val="16"/>
        </w:rPr>
        <w:softHyphen/>
        <w:t>ся в пределах 420 м. Скорость отрыва - 152 км/ч. Посадочная скорость равнялась 123 км/ч. Пробег при посадке со щитками, отклоненными на 80', не превышал 440 м.</w:t>
      </w:r>
    </w:p>
    <w:p w14:paraId="672D8F10"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Максимальная дальность полета на высоте 910-950 м при скорости полета 265 км/ч достигала 825 км (3 ч).</w:t>
      </w:r>
    </w:p>
    <w:p w14:paraId="59D64861"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ходе испытаний было выполнено че</w:t>
      </w:r>
      <w:r w:rsidRPr="00070ADE">
        <w:rPr>
          <w:rFonts w:ascii="Times New Roman" w:hAnsi="Times New Roman" w:cs="Times New Roman"/>
          <w:color w:val="000000" w:themeColor="text1"/>
          <w:sz w:val="16"/>
          <w:szCs w:val="16"/>
        </w:rPr>
        <w:softHyphen/>
        <w:t>тыре полета на пикирование под углами от 30' до 55°. Максимальная скорость на пики</w:t>
      </w:r>
      <w:r w:rsidRPr="00070ADE">
        <w:rPr>
          <w:rFonts w:ascii="Times New Roman" w:hAnsi="Times New Roman" w:cs="Times New Roman"/>
          <w:color w:val="000000" w:themeColor="text1"/>
          <w:sz w:val="16"/>
          <w:szCs w:val="16"/>
        </w:rPr>
        <w:softHyphen/>
        <w:t>ровании доводилась до 630 км/ч (скорость ввода 380 км/ч), а перегрузка на выводе из пикирования до 3 единиц.</w:t>
      </w:r>
    </w:p>
    <w:p w14:paraId="0CA39CD7"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Пикировал самолет устойчиво. Поведение самолета с триммерами руля поворота, установленными нейтрально, было нормальным, тенденции к затяги</w:t>
      </w:r>
      <w:r w:rsidRPr="00070ADE">
        <w:rPr>
          <w:rFonts w:ascii="Times New Roman" w:hAnsi="Times New Roman" w:cs="Times New Roman"/>
          <w:color w:val="000000" w:themeColor="text1"/>
          <w:sz w:val="16"/>
          <w:szCs w:val="16"/>
        </w:rPr>
        <w:softHyphen/>
        <w:t>ванию в пикирование не наблюдалось. Усилия на рули нормальные. Однако при достижении скорости 610-620 км/ч из-за отсасывания и срыва воздушного потока с замков обтекателей подкрыльевых пушек появлялась заметная тряска плоскостей и вибрация педалей ножного управления.</w:t>
      </w:r>
    </w:p>
    <w:p w14:paraId="7BC49149"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Летчики, облетавшие «Харрикейн» 1Ю, отмечали хороший обзор вперед, в сторону и вверх и неудовлетворительный - вперед- вниз и назад. Габариты кабины позволяли летчику наклоняться в стороны, что сочли недостатком самолета. Бронестекло ко</w:t>
      </w:r>
      <w:r w:rsidRPr="00070ADE">
        <w:rPr>
          <w:rFonts w:ascii="Times New Roman" w:hAnsi="Times New Roman" w:cs="Times New Roman"/>
          <w:color w:val="000000" w:themeColor="text1"/>
          <w:sz w:val="16"/>
          <w:szCs w:val="16"/>
        </w:rPr>
        <w:softHyphen/>
        <w:t>зырька фонаря и целлулоид подвижной части имели удовлетворительную про</w:t>
      </w:r>
      <w:r w:rsidRPr="00070ADE">
        <w:rPr>
          <w:rFonts w:ascii="Times New Roman" w:hAnsi="Times New Roman" w:cs="Times New Roman"/>
          <w:color w:val="000000" w:themeColor="text1"/>
          <w:sz w:val="16"/>
          <w:szCs w:val="16"/>
        </w:rPr>
        <w:softHyphen/>
        <w:t>зрачность и почти не давали искажений. Случаев отколов и обмерзания бронестек</w:t>
      </w:r>
      <w:r w:rsidRPr="00070ADE">
        <w:rPr>
          <w:rFonts w:ascii="Times New Roman" w:hAnsi="Times New Roman" w:cs="Times New Roman"/>
          <w:color w:val="000000" w:themeColor="text1"/>
          <w:sz w:val="16"/>
          <w:szCs w:val="16"/>
        </w:rPr>
        <w:softHyphen/>
        <w:t>ла и целлулоида при полетах в условиях зимы не наблюдалось. Размещение не</w:t>
      </w:r>
      <w:r w:rsidRPr="00070ADE">
        <w:rPr>
          <w:rFonts w:ascii="Times New Roman" w:hAnsi="Times New Roman" w:cs="Times New Roman"/>
          <w:color w:val="000000" w:themeColor="text1"/>
          <w:sz w:val="16"/>
          <w:szCs w:val="16"/>
        </w:rPr>
        <w:softHyphen/>
        <w:t>которых приборов на приборной доске и рычагов управления оказалось неудобным (например, рычаг управления уборкой и выпуском шасси).</w:t>
      </w:r>
    </w:p>
    <w:p w14:paraId="3F068BAA"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Анализ схемы бронирования показал, что броня прикрывала летчика в горизон</w:t>
      </w:r>
      <w:r w:rsidRPr="00070ADE">
        <w:rPr>
          <w:rFonts w:ascii="Times New Roman" w:hAnsi="Times New Roman" w:cs="Times New Roman"/>
          <w:color w:val="000000" w:themeColor="text1"/>
          <w:sz w:val="16"/>
          <w:szCs w:val="16"/>
        </w:rPr>
        <w:softHyphen/>
        <w:t>тальной плоскости в угловом конусе 30-40° и в вертикальной плоскости до 10-15" вверх и 15-20° вниз по отношению к продольной оси самолета. В этом диапазоне углов вполне обеспечивалась защита от пора</w:t>
      </w:r>
      <w:r w:rsidRPr="00070ADE">
        <w:rPr>
          <w:rFonts w:ascii="Times New Roman" w:hAnsi="Times New Roman" w:cs="Times New Roman"/>
          <w:color w:val="000000" w:themeColor="text1"/>
          <w:sz w:val="16"/>
          <w:szCs w:val="16"/>
        </w:rPr>
        <w:softHyphen/>
        <w:t>жения бронебойными пулями нормально</w:t>
      </w:r>
      <w:r w:rsidRPr="00070ADE">
        <w:rPr>
          <w:rFonts w:ascii="Times New Roman" w:hAnsi="Times New Roman" w:cs="Times New Roman"/>
          <w:color w:val="000000" w:themeColor="text1"/>
          <w:sz w:val="16"/>
          <w:szCs w:val="16"/>
        </w:rPr>
        <w:softHyphen/>
        <w:t>го калибра при стрельбе с дистанции не менее 100-150 м и бронебойными пулями крупного калибра с дистанции 400-500 м и более. Между тем летчик не имел броне</w:t>
      </w:r>
      <w:r w:rsidRPr="00070ADE">
        <w:rPr>
          <w:rFonts w:ascii="Times New Roman" w:hAnsi="Times New Roman" w:cs="Times New Roman"/>
          <w:color w:val="000000" w:themeColor="text1"/>
          <w:sz w:val="16"/>
          <w:szCs w:val="16"/>
        </w:rPr>
        <w:softHyphen/>
        <w:t>вой защиты сбоку и сверху. Совершенно не были защищены бензо- и маслобаки. Защита мотора, водо- и маслорадиатора считалась недостаточной. Мотор не имел брони сверху, водо- и маслорадиаторы не защищались со стороны входа и выхода воздушного тоннеля.</w:t>
      </w:r>
    </w:p>
    <w:p w14:paraId="7928D331"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 общему мнению летчиков увели</w:t>
      </w:r>
      <w:r w:rsidRPr="00070ADE">
        <w:rPr>
          <w:rFonts w:ascii="Times New Roman" w:hAnsi="Times New Roman" w:cs="Times New Roman"/>
          <w:color w:val="000000" w:themeColor="text1"/>
          <w:sz w:val="16"/>
          <w:szCs w:val="16"/>
        </w:rPr>
        <w:softHyphen/>
        <w:t>чение полетного веса и ухудшение аэро</w:t>
      </w:r>
      <w:r w:rsidRPr="00070ADE">
        <w:rPr>
          <w:rFonts w:ascii="Times New Roman" w:hAnsi="Times New Roman" w:cs="Times New Roman"/>
          <w:color w:val="000000" w:themeColor="text1"/>
          <w:sz w:val="16"/>
          <w:szCs w:val="16"/>
        </w:rPr>
        <w:softHyphen/>
        <w:t>динамики самолета Мк.1Ю по сравнению с Мк.НС привело к заметному понижению летных данных и маневренности самолета, как в вертикальной, так и в горизонталь</w:t>
      </w:r>
      <w:r w:rsidRPr="00070ADE">
        <w:rPr>
          <w:rFonts w:ascii="Times New Roman" w:hAnsi="Times New Roman" w:cs="Times New Roman"/>
          <w:color w:val="000000" w:themeColor="text1"/>
          <w:sz w:val="16"/>
          <w:szCs w:val="16"/>
        </w:rPr>
        <w:softHyphen/>
        <w:t>ной плоскости. Для выполнения фигур, «скорости приходится держать больше на 5-7 миль/ч, так как самолет тяжелее и инер</w:t>
      </w:r>
      <w:r w:rsidRPr="00070ADE">
        <w:rPr>
          <w:rFonts w:ascii="Times New Roman" w:hAnsi="Times New Roman" w:cs="Times New Roman"/>
          <w:color w:val="000000" w:themeColor="text1"/>
          <w:sz w:val="16"/>
          <w:szCs w:val="16"/>
        </w:rPr>
        <w:softHyphen/>
        <w:t>тнее». Продольная и поперечная устойчи</w:t>
      </w:r>
      <w:r w:rsidRPr="00070ADE">
        <w:rPr>
          <w:rFonts w:ascii="Times New Roman" w:hAnsi="Times New Roman" w:cs="Times New Roman"/>
          <w:color w:val="000000" w:themeColor="text1"/>
          <w:sz w:val="16"/>
          <w:szCs w:val="16"/>
        </w:rPr>
        <w:softHyphen/>
        <w:t>вость самолета оставляла желать лучшего. Сбалансированность самолета в горизон</w:t>
      </w:r>
      <w:r w:rsidRPr="00070ADE">
        <w:rPr>
          <w:rFonts w:ascii="Times New Roman" w:hAnsi="Times New Roman" w:cs="Times New Roman"/>
          <w:color w:val="000000" w:themeColor="text1"/>
          <w:sz w:val="16"/>
          <w:szCs w:val="16"/>
        </w:rPr>
        <w:softHyphen/>
        <w:t>тальном полете была затруднена и требо</w:t>
      </w:r>
      <w:r w:rsidRPr="00070ADE">
        <w:rPr>
          <w:rFonts w:ascii="Times New Roman" w:hAnsi="Times New Roman" w:cs="Times New Roman"/>
          <w:color w:val="000000" w:themeColor="text1"/>
          <w:sz w:val="16"/>
          <w:szCs w:val="16"/>
        </w:rPr>
        <w:softHyphen/>
        <w:t>вала постоянной регулировки положения триммера при изменении скорости поле</w:t>
      </w:r>
      <w:r w:rsidRPr="00070ADE">
        <w:rPr>
          <w:rFonts w:ascii="Times New Roman" w:hAnsi="Times New Roman" w:cs="Times New Roman"/>
          <w:color w:val="000000" w:themeColor="text1"/>
          <w:sz w:val="16"/>
          <w:szCs w:val="16"/>
        </w:rPr>
        <w:softHyphen/>
        <w:t>та. На вертикальных фигурах самолет бы</w:t>
      </w:r>
      <w:r w:rsidRPr="00070ADE">
        <w:rPr>
          <w:rFonts w:ascii="Times New Roman" w:hAnsi="Times New Roman" w:cs="Times New Roman"/>
          <w:color w:val="000000" w:themeColor="text1"/>
          <w:sz w:val="16"/>
          <w:szCs w:val="16"/>
        </w:rPr>
        <w:softHyphen/>
        <w:t>стро терял скорость, набор высоты на им</w:t>
      </w:r>
      <w:r w:rsidRPr="00070ADE">
        <w:rPr>
          <w:rFonts w:ascii="Times New Roman" w:hAnsi="Times New Roman" w:cs="Times New Roman"/>
          <w:color w:val="000000" w:themeColor="text1"/>
          <w:sz w:val="16"/>
          <w:szCs w:val="16"/>
        </w:rPr>
        <w:softHyphen/>
        <w:t>мельмане и боевом развороте сократился. В то же время техника пилотирования Мк.1Ю практически ничем не отличалась от самолетов «Харрикейн» НС или ИВ.</w:t>
      </w:r>
    </w:p>
    <w:p w14:paraId="2E3B0838"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Проведенный 27 декабря 1943 г. учеб</w:t>
      </w:r>
      <w:r w:rsidRPr="00070ADE">
        <w:rPr>
          <w:rFonts w:ascii="Times New Roman" w:hAnsi="Times New Roman" w:cs="Times New Roman"/>
          <w:color w:val="000000" w:themeColor="text1"/>
          <w:sz w:val="16"/>
          <w:szCs w:val="16"/>
        </w:rPr>
        <w:softHyphen/>
        <w:t>ный воздушный бой с трофейным истре</w:t>
      </w:r>
      <w:r w:rsidRPr="00070ADE">
        <w:rPr>
          <w:rFonts w:ascii="Times New Roman" w:hAnsi="Times New Roman" w:cs="Times New Roman"/>
          <w:color w:val="000000" w:themeColor="text1"/>
          <w:sz w:val="16"/>
          <w:szCs w:val="16"/>
        </w:rPr>
        <w:softHyphen/>
        <w:t>бителем В1109С-4 показал, что самолет «Харрикейн» 1Ю воздушный бой с ним вести не может. Причем не только наступатель</w:t>
      </w:r>
      <w:r w:rsidRPr="00070ADE">
        <w:rPr>
          <w:rFonts w:ascii="Times New Roman" w:hAnsi="Times New Roman" w:cs="Times New Roman"/>
          <w:color w:val="000000" w:themeColor="text1"/>
          <w:sz w:val="16"/>
          <w:szCs w:val="16"/>
        </w:rPr>
        <w:softHyphen/>
        <w:t>ный бой, но и оборонительный. Немецкий истребитель имел явное преимущество в горизонтальной и в вертикальной плоско</w:t>
      </w:r>
      <w:r w:rsidRPr="00070ADE">
        <w:rPr>
          <w:rFonts w:ascii="Times New Roman" w:hAnsi="Times New Roman" w:cs="Times New Roman"/>
          <w:color w:val="000000" w:themeColor="text1"/>
          <w:sz w:val="16"/>
          <w:szCs w:val="16"/>
        </w:rPr>
        <w:softHyphen/>
        <w:t>сти. На виражах «мессер» заходил в хвост «Харрикейну» уже после первого виража на левом вираже и после двух виражей - на правом. При атаках ВШ9С-4 сверху-сза</w:t>
      </w:r>
      <w:r w:rsidRPr="00070ADE">
        <w:rPr>
          <w:rFonts w:ascii="Times New Roman" w:hAnsi="Times New Roman" w:cs="Times New Roman"/>
          <w:color w:val="000000" w:themeColor="text1"/>
          <w:sz w:val="16"/>
          <w:szCs w:val="16"/>
        </w:rPr>
        <w:softHyphen/>
        <w:t>ди старшему лейтенанту Поминальному, пилотировавшему «Харрикейн», удавалось вывернуться только из-под первой атаки «мессершмитта», уйти от последующих атак не получалось. Подавляющее пре</w:t>
      </w:r>
      <w:r w:rsidRPr="00070ADE">
        <w:rPr>
          <w:rFonts w:ascii="Times New Roman" w:hAnsi="Times New Roman" w:cs="Times New Roman"/>
          <w:color w:val="000000" w:themeColor="text1"/>
          <w:sz w:val="16"/>
          <w:szCs w:val="16"/>
        </w:rPr>
        <w:softHyphen/>
        <w:t>имущество в вертикальном маневре не</w:t>
      </w:r>
      <w:r w:rsidRPr="00070ADE">
        <w:rPr>
          <w:rFonts w:ascii="Times New Roman" w:hAnsi="Times New Roman" w:cs="Times New Roman"/>
          <w:color w:val="000000" w:themeColor="text1"/>
          <w:sz w:val="16"/>
          <w:szCs w:val="16"/>
        </w:rPr>
        <w:softHyphen/>
        <w:t>мецкого истребителя позволяло капитану Кувшинову, который летал на ВГ109С-4, свободно занимать выгодную для ата</w:t>
      </w:r>
      <w:r w:rsidRPr="00070ADE">
        <w:rPr>
          <w:rFonts w:ascii="Times New Roman" w:hAnsi="Times New Roman" w:cs="Times New Roman"/>
          <w:color w:val="000000" w:themeColor="text1"/>
          <w:sz w:val="16"/>
          <w:szCs w:val="16"/>
        </w:rPr>
        <w:softHyphen/>
        <w:t>ки позицию и атаковать «Харрикейн» Поминального из любого положения.</w:t>
      </w:r>
    </w:p>
    <w:p w14:paraId="29B72B48"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После обмена мнениями летчика</w:t>
      </w:r>
      <w:r w:rsidRPr="00070ADE">
        <w:rPr>
          <w:rFonts w:ascii="Times New Roman" w:hAnsi="Times New Roman" w:cs="Times New Roman"/>
          <w:color w:val="000000" w:themeColor="text1"/>
          <w:sz w:val="16"/>
          <w:szCs w:val="16"/>
        </w:rPr>
        <w:softHyphen/>
        <w:t>ми был сделан вывод о недопустимости воздушного боя одиночного самолета «Харрикейн» 1Ю не только с группой но даже и с одиночным истребителем про</w:t>
      </w:r>
      <w:r w:rsidRPr="00070ADE">
        <w:rPr>
          <w:rFonts w:ascii="Times New Roman" w:hAnsi="Times New Roman" w:cs="Times New Roman"/>
          <w:color w:val="000000" w:themeColor="text1"/>
          <w:sz w:val="16"/>
          <w:szCs w:val="16"/>
        </w:rPr>
        <w:softHyphen/>
        <w:t>тивника. Рекомендовалось боевые зада-.' выполнять только группой и воздушньГ- бой вести в боевом порядке круг или вы</w:t>
      </w:r>
      <w:r w:rsidRPr="00070ADE">
        <w:rPr>
          <w:rFonts w:ascii="Times New Roman" w:hAnsi="Times New Roman" w:cs="Times New Roman"/>
          <w:color w:val="000000" w:themeColor="text1"/>
          <w:sz w:val="16"/>
          <w:szCs w:val="16"/>
        </w:rPr>
        <w:softHyphen/>
        <w:t>полняя ножницы с оттягиванием на свою территорию.</w:t>
      </w:r>
    </w:p>
    <w:p w14:paraId="730421F3"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Вооружение самолета отстрели</w:t>
      </w:r>
      <w:r w:rsidRPr="00070ADE">
        <w:rPr>
          <w:rFonts w:ascii="Times New Roman" w:hAnsi="Times New Roman" w:cs="Times New Roman"/>
          <w:color w:val="000000" w:themeColor="text1"/>
          <w:sz w:val="16"/>
          <w:szCs w:val="16"/>
        </w:rPr>
        <w:softHyphen/>
        <w:t>валось как на земле, так и в воздухе. Стрельба велась снарядами, «снаряжен</w:t>
      </w:r>
      <w:r w:rsidRPr="00070ADE">
        <w:rPr>
          <w:rFonts w:ascii="Times New Roman" w:hAnsi="Times New Roman" w:cs="Times New Roman"/>
          <w:color w:val="000000" w:themeColor="text1"/>
          <w:sz w:val="16"/>
          <w:szCs w:val="16"/>
        </w:rPr>
        <w:softHyphen/>
        <w:t>ными стальными корпусами бронебойных снарядов, так как других боекомплектов для пушек МК-Н - 40 мм, в снабжающих организациях ВВС не имелось». При этом в снарядах отсутствовали «разрывной заряд ВВ и донный взрыватель, заглуш</w:t>
      </w:r>
      <w:r w:rsidRPr="00070ADE">
        <w:rPr>
          <w:rFonts w:ascii="Times New Roman" w:hAnsi="Times New Roman" w:cs="Times New Roman"/>
          <w:color w:val="000000" w:themeColor="text1"/>
          <w:sz w:val="16"/>
          <w:szCs w:val="16"/>
        </w:rPr>
        <w:softHyphen/>
        <w:t>ка вместо него не поставлена», так что внутренняя полость снаряда сообщалась с зарядной каморой патрона. То есть, снаряды «не имели ни фугасного, ни за</w:t>
      </w:r>
      <w:r w:rsidRPr="00070ADE">
        <w:rPr>
          <w:rFonts w:ascii="Times New Roman" w:hAnsi="Times New Roman" w:cs="Times New Roman"/>
          <w:color w:val="000000" w:themeColor="text1"/>
          <w:sz w:val="16"/>
          <w:szCs w:val="16"/>
        </w:rPr>
        <w:softHyphen/>
        <w:t>жигательного действия, а внутренняя и внешняя баллистика его отличалась от баллистики боевого снаряда». Очевидно, такие снаряды боевого значения не име</w:t>
      </w:r>
      <w:r w:rsidRPr="00070ADE">
        <w:rPr>
          <w:rFonts w:ascii="Times New Roman" w:hAnsi="Times New Roman" w:cs="Times New Roman"/>
          <w:color w:val="000000" w:themeColor="text1"/>
          <w:sz w:val="16"/>
          <w:szCs w:val="16"/>
        </w:rPr>
        <w:softHyphen/>
        <w:t>ли, их использование ограничивалось только учебными целями. Но других сна</w:t>
      </w:r>
      <w:r w:rsidRPr="00070ADE">
        <w:rPr>
          <w:rFonts w:ascii="Times New Roman" w:hAnsi="Times New Roman" w:cs="Times New Roman"/>
          <w:color w:val="000000" w:themeColor="text1"/>
          <w:sz w:val="16"/>
          <w:szCs w:val="16"/>
        </w:rPr>
        <w:softHyphen/>
        <w:t>рядов союзники не поставили!</w:t>
      </w:r>
    </w:p>
    <w:p w14:paraId="00975B58"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общей сложности из пушек было вы</w:t>
      </w:r>
      <w:r w:rsidRPr="00070ADE">
        <w:rPr>
          <w:rFonts w:ascii="Times New Roman" w:hAnsi="Times New Roman" w:cs="Times New Roman"/>
          <w:color w:val="000000" w:themeColor="text1"/>
          <w:sz w:val="16"/>
          <w:szCs w:val="16"/>
        </w:rPr>
        <w:softHyphen/>
        <w:t>полнено 620 выстрелов, в том числе 212 выстрелов на земле и 408 в воздухе.</w:t>
      </w:r>
    </w:p>
    <w:p w14:paraId="49980062"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Пушки пристреливались сходящимся веером на стандартную для ВВС КА дистан</w:t>
      </w:r>
      <w:r w:rsidRPr="00070ADE">
        <w:rPr>
          <w:rFonts w:ascii="Times New Roman" w:hAnsi="Times New Roman" w:cs="Times New Roman"/>
          <w:color w:val="000000" w:themeColor="text1"/>
          <w:sz w:val="16"/>
          <w:szCs w:val="16"/>
        </w:rPr>
        <w:softHyphen/>
        <w:t>цию - 400 м. Рассеивание определялось стрельбой на земле и в воздухе по щитам. Стрельба велась одиночно и очередями.</w:t>
      </w:r>
    </w:p>
    <w:p w14:paraId="67537908"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На земле рассеивание определялось одиночной стрельбой на дальность 50 и 400 м по щиту 2x2 м, поставленному верти</w:t>
      </w:r>
      <w:r w:rsidRPr="00070ADE">
        <w:rPr>
          <w:rFonts w:ascii="Times New Roman" w:hAnsi="Times New Roman" w:cs="Times New Roman"/>
          <w:color w:val="000000" w:themeColor="text1"/>
          <w:sz w:val="16"/>
          <w:szCs w:val="16"/>
        </w:rPr>
        <w:softHyphen/>
        <w:t>кально. При стрельбе овальных отверстий в щите обнаружено не было, что характе</w:t>
      </w:r>
      <w:r w:rsidRPr="00070ADE">
        <w:rPr>
          <w:rFonts w:ascii="Times New Roman" w:hAnsi="Times New Roman" w:cs="Times New Roman"/>
          <w:color w:val="000000" w:themeColor="text1"/>
          <w:sz w:val="16"/>
          <w:szCs w:val="16"/>
        </w:rPr>
        <w:softHyphen/>
        <w:t>ризовало хорошую устойчивость снаряда в полете на данных дистанциях.</w:t>
      </w:r>
    </w:p>
    <w:p w14:paraId="08570D83"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lastRenderedPageBreak/>
        <w:t>Для левой пушки боковое отклоне</w:t>
      </w:r>
      <w:r w:rsidRPr="00070ADE">
        <w:rPr>
          <w:rFonts w:ascii="Times New Roman" w:hAnsi="Times New Roman" w:cs="Times New Roman"/>
          <w:color w:val="000000" w:themeColor="text1"/>
          <w:sz w:val="16"/>
          <w:szCs w:val="16"/>
        </w:rPr>
        <w:softHyphen/>
        <w:t>ние на дистанции 400 м составило всего 10,3 см, вертикальное - 17,0 см, а для пра</w:t>
      </w:r>
      <w:r w:rsidRPr="00070ADE">
        <w:rPr>
          <w:rFonts w:ascii="Times New Roman" w:hAnsi="Times New Roman" w:cs="Times New Roman"/>
          <w:color w:val="000000" w:themeColor="text1"/>
          <w:sz w:val="16"/>
          <w:szCs w:val="16"/>
        </w:rPr>
        <w:softHyphen/>
        <w:t>вой пушки -13,0 и 16,2 см, соответственно. При стрельбе пулеметов Кольт-Браунинг отклонение оказалось даже выше, чем при стрельбе из пушек: боковое и вертикаль</w:t>
      </w:r>
      <w:r w:rsidRPr="00070ADE">
        <w:rPr>
          <w:rFonts w:ascii="Times New Roman" w:hAnsi="Times New Roman" w:cs="Times New Roman"/>
          <w:color w:val="000000" w:themeColor="text1"/>
          <w:sz w:val="16"/>
          <w:szCs w:val="16"/>
        </w:rPr>
        <w:softHyphen/>
        <w:t>ное отклонения для левого пулемета рав</w:t>
      </w:r>
      <w:r w:rsidRPr="00070ADE">
        <w:rPr>
          <w:rFonts w:ascii="Times New Roman" w:hAnsi="Times New Roman" w:cs="Times New Roman"/>
          <w:color w:val="000000" w:themeColor="text1"/>
          <w:sz w:val="16"/>
          <w:szCs w:val="16"/>
        </w:rPr>
        <w:softHyphen/>
        <w:t>нялись 23,6 и 26,7 см, для правого пулеме</w:t>
      </w:r>
      <w:r w:rsidRPr="00070ADE">
        <w:rPr>
          <w:rFonts w:ascii="Times New Roman" w:hAnsi="Times New Roman" w:cs="Times New Roman"/>
          <w:color w:val="000000" w:themeColor="text1"/>
          <w:sz w:val="16"/>
          <w:szCs w:val="16"/>
        </w:rPr>
        <w:softHyphen/>
        <w:t>та-20,6 и 35,8 см.</w:t>
      </w:r>
    </w:p>
    <w:p w14:paraId="0EAE19C2"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Коэффициент искажения рассеивания с увеличением дистанции стрельбы до</w:t>
      </w:r>
      <w:r w:rsidRPr="00070ADE">
        <w:rPr>
          <w:rFonts w:ascii="Times New Roman" w:hAnsi="Times New Roman" w:cs="Times New Roman"/>
          <w:color w:val="000000" w:themeColor="text1"/>
          <w:sz w:val="16"/>
          <w:szCs w:val="16"/>
        </w:rPr>
        <w:softHyphen/>
        <w:t>стигал величин 0,63-1,32 - у пушек и 0,78- 1,77 - у пулеметов, что «указывает на невы</w:t>
      </w:r>
      <w:r w:rsidRPr="00070ADE">
        <w:rPr>
          <w:rFonts w:ascii="Times New Roman" w:hAnsi="Times New Roman" w:cs="Times New Roman"/>
          <w:color w:val="000000" w:themeColor="text1"/>
          <w:sz w:val="16"/>
          <w:szCs w:val="16"/>
        </w:rPr>
        <w:softHyphen/>
        <w:t>сокие баллистические качества оружия на данной установке».</w:t>
      </w:r>
    </w:p>
    <w:p w14:paraId="481EDFAC"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воздухе пушки отстреляли капитаны Голофастов, Кувшинов, Пикуленко, Кусакин и старший лейтенант Поминальный. Стрельба велась в горизонтальном полете, на виражах, на наборе высоты, а после вы</w:t>
      </w:r>
      <w:r w:rsidRPr="00070ADE">
        <w:rPr>
          <w:rFonts w:ascii="Times New Roman" w:hAnsi="Times New Roman" w:cs="Times New Roman"/>
          <w:color w:val="000000" w:themeColor="text1"/>
          <w:sz w:val="16"/>
          <w:szCs w:val="16"/>
        </w:rPr>
        <w:softHyphen/>
        <w:t>полнения пилотажа и по наземной цели с пикирования (по щитам и контуру самоле</w:t>
      </w:r>
      <w:r w:rsidRPr="00070ADE">
        <w:rPr>
          <w:rFonts w:ascii="Times New Roman" w:hAnsi="Times New Roman" w:cs="Times New Roman"/>
          <w:color w:val="000000" w:themeColor="text1"/>
          <w:sz w:val="16"/>
          <w:szCs w:val="16"/>
        </w:rPr>
        <w:softHyphen/>
        <w:t>та:. Кроме того, один полет был выполнен для стрельбы на большой высоте.</w:t>
      </w:r>
    </w:p>
    <w:p w14:paraId="6377AC2A"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Пушки при стрельбе в воздухе пока</w:t>
      </w:r>
      <w:r w:rsidRPr="00070ADE">
        <w:rPr>
          <w:rFonts w:ascii="Times New Roman" w:hAnsi="Times New Roman" w:cs="Times New Roman"/>
          <w:color w:val="000000" w:themeColor="text1"/>
          <w:sz w:val="16"/>
          <w:szCs w:val="16"/>
        </w:rPr>
        <w:softHyphen/>
        <w:t>зан/ себя, как надежное и безотказное оружие. Отдача при стрельбе из пушек более мягкая, чем при стрельбе из 37-мм -ушек НС-37 на самолетах Як-9т и ЛаГГ-3. С/нхронность стрельбы оценивалась как отличная.</w:t>
      </w:r>
    </w:p>
    <w:p w14:paraId="0114A991"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При стрельбе в горизонтальном поле</w:t>
      </w:r>
      <w:r w:rsidRPr="00070ADE">
        <w:rPr>
          <w:rFonts w:ascii="Times New Roman" w:hAnsi="Times New Roman" w:cs="Times New Roman"/>
          <w:color w:val="000000" w:themeColor="text1"/>
          <w:sz w:val="16"/>
          <w:szCs w:val="16"/>
        </w:rPr>
        <w:softHyphen/>
        <w:t>те самолет «ощущает толчки и зарывается носом вниз». Такие же толчки имели место и на всех других режимах. На пикировании самолет во время стрельбы стремился увеличить угол пикирования и «его необ</w:t>
      </w:r>
      <w:r w:rsidRPr="00070ADE">
        <w:rPr>
          <w:rFonts w:ascii="Times New Roman" w:hAnsi="Times New Roman" w:cs="Times New Roman"/>
          <w:color w:val="000000" w:themeColor="text1"/>
          <w:sz w:val="16"/>
          <w:szCs w:val="16"/>
        </w:rPr>
        <w:softHyphen/>
        <w:t>ходимо удерживать ручкой управления». Сила отдачи при стрельбе «несколько при</w:t>
      </w:r>
      <w:r w:rsidRPr="00070ADE">
        <w:rPr>
          <w:rFonts w:ascii="Times New Roman" w:hAnsi="Times New Roman" w:cs="Times New Roman"/>
          <w:color w:val="000000" w:themeColor="text1"/>
          <w:sz w:val="16"/>
          <w:szCs w:val="16"/>
        </w:rPr>
        <w:softHyphen/>
        <w:t>тормаживает самолет, снижая скорость самолета на пикировании». При стрельбе во время набора высоты наблюдалось не</w:t>
      </w:r>
      <w:r w:rsidRPr="00070ADE">
        <w:rPr>
          <w:rFonts w:ascii="Times New Roman" w:hAnsi="Times New Roman" w:cs="Times New Roman"/>
          <w:color w:val="000000" w:themeColor="text1"/>
          <w:sz w:val="16"/>
          <w:szCs w:val="16"/>
        </w:rPr>
        <w:softHyphen/>
        <w:t>которое уменьшение угла.</w:t>
      </w:r>
    </w:p>
    <w:p w14:paraId="10B9DF25"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Чем длиннее очередь из пушек, «тем опускание носа самолета и толчки более за</w:t>
      </w:r>
      <w:r w:rsidRPr="00070ADE">
        <w:rPr>
          <w:rFonts w:ascii="Times New Roman" w:hAnsi="Times New Roman" w:cs="Times New Roman"/>
          <w:color w:val="000000" w:themeColor="text1"/>
          <w:sz w:val="16"/>
          <w:szCs w:val="16"/>
        </w:rPr>
        <w:softHyphen/>
        <w:t>метны». При очередях свыше 5-6 снарядов «удержать самолет от зарывания носом ста</w:t>
      </w:r>
      <w:r w:rsidRPr="00070ADE">
        <w:rPr>
          <w:rFonts w:ascii="Times New Roman" w:hAnsi="Times New Roman" w:cs="Times New Roman"/>
          <w:color w:val="000000" w:themeColor="text1"/>
          <w:sz w:val="16"/>
          <w:szCs w:val="16"/>
        </w:rPr>
        <w:softHyphen/>
        <w:t>новится затруднительно», «самолет начина</w:t>
      </w:r>
      <w:r w:rsidRPr="00070ADE">
        <w:rPr>
          <w:rFonts w:ascii="Times New Roman" w:hAnsi="Times New Roman" w:cs="Times New Roman"/>
          <w:color w:val="000000" w:themeColor="text1"/>
          <w:sz w:val="16"/>
          <w:szCs w:val="16"/>
        </w:rPr>
        <w:softHyphen/>
        <w:t>ет раскачиваться в полете» и «прицельная стрельба становится"'невозможной».</w:t>
      </w:r>
    </w:p>
    <w:p w14:paraId="45B23C26"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Для обеспечения более точного по</w:t>
      </w:r>
      <w:r w:rsidRPr="00070ADE">
        <w:rPr>
          <w:rFonts w:ascii="Times New Roman" w:hAnsi="Times New Roman" w:cs="Times New Roman"/>
          <w:color w:val="000000" w:themeColor="text1"/>
          <w:sz w:val="16"/>
          <w:szCs w:val="16"/>
        </w:rPr>
        <w:softHyphen/>
        <w:t>ражения цели рекомендовалось произво</w:t>
      </w:r>
      <w:r w:rsidRPr="00070ADE">
        <w:rPr>
          <w:rFonts w:ascii="Times New Roman" w:hAnsi="Times New Roman" w:cs="Times New Roman"/>
          <w:color w:val="000000" w:themeColor="text1"/>
          <w:sz w:val="16"/>
          <w:szCs w:val="16"/>
        </w:rPr>
        <w:softHyphen/>
        <w:t>дить стрельбу очередями по 2-3 максимум 4 снаряда из каждой пушки. При этом ко</w:t>
      </w:r>
      <w:r w:rsidRPr="00070ADE">
        <w:rPr>
          <w:rFonts w:ascii="Times New Roman" w:hAnsi="Times New Roman" w:cs="Times New Roman"/>
          <w:color w:val="000000" w:themeColor="text1"/>
          <w:sz w:val="16"/>
          <w:szCs w:val="16"/>
        </w:rPr>
        <w:softHyphen/>
        <w:t>роткая очередь была рациональна и с точки зрения тактического применения самолета (более экономного расхода небольшого боекомплекта к пушкам).</w:t>
      </w:r>
    </w:p>
    <w:p w14:paraId="61BA5B80"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При стрельбе из одной пушки (правой или левой) самолет разворачивался в сто</w:t>
      </w:r>
      <w:r w:rsidRPr="00070ADE">
        <w:rPr>
          <w:rFonts w:ascii="Times New Roman" w:hAnsi="Times New Roman" w:cs="Times New Roman"/>
          <w:color w:val="000000" w:themeColor="text1"/>
          <w:sz w:val="16"/>
          <w:szCs w:val="16"/>
        </w:rPr>
        <w:softHyphen/>
        <w:t>рону стреляющей пушки, а так как «темп стрельбы очень мал, то держать самолет ногой, парируя рулями его отход от цели, почти невозможно». По заявлениям летчи</w:t>
      </w:r>
      <w:r w:rsidRPr="00070ADE">
        <w:rPr>
          <w:rFonts w:ascii="Times New Roman" w:hAnsi="Times New Roman" w:cs="Times New Roman"/>
          <w:color w:val="000000" w:themeColor="text1"/>
          <w:sz w:val="16"/>
          <w:szCs w:val="16"/>
        </w:rPr>
        <w:softHyphen/>
        <w:t>ков «получается разбалтывание самолета относительно вертикальной оси на ли</w:t>
      </w:r>
      <w:r w:rsidRPr="00070ADE">
        <w:rPr>
          <w:rFonts w:ascii="Times New Roman" w:hAnsi="Times New Roman" w:cs="Times New Roman"/>
          <w:color w:val="000000" w:themeColor="text1"/>
          <w:sz w:val="16"/>
          <w:szCs w:val="16"/>
        </w:rPr>
        <w:softHyphen/>
        <w:t>нии прицеливания, что ухудшает качество стрельбы». То есть прицельным был только первый снаряд в очереди.</w:t>
      </w:r>
    </w:p>
    <w:p w14:paraId="45552FFE"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Наиболее удобными углами пикирова</w:t>
      </w:r>
      <w:r w:rsidRPr="00070ADE">
        <w:rPr>
          <w:rFonts w:ascii="Times New Roman" w:hAnsi="Times New Roman" w:cs="Times New Roman"/>
          <w:color w:val="000000" w:themeColor="text1"/>
          <w:sz w:val="16"/>
          <w:szCs w:val="16"/>
        </w:rPr>
        <w:softHyphen/>
        <w:t>ния при стрельбе по наземной цели с точки зрения потери высоты и увеличения скоро</w:t>
      </w:r>
      <w:r w:rsidRPr="00070ADE">
        <w:rPr>
          <w:rFonts w:ascii="Times New Roman" w:hAnsi="Times New Roman" w:cs="Times New Roman"/>
          <w:color w:val="000000" w:themeColor="text1"/>
          <w:sz w:val="16"/>
          <w:szCs w:val="16"/>
        </w:rPr>
        <w:softHyphen/>
        <w:t>сти на пикировании, а также удобства при</w:t>
      </w:r>
      <w:r w:rsidRPr="00070ADE">
        <w:rPr>
          <w:rFonts w:ascii="Times New Roman" w:hAnsi="Times New Roman" w:cs="Times New Roman"/>
          <w:color w:val="000000" w:themeColor="text1"/>
          <w:sz w:val="16"/>
          <w:szCs w:val="16"/>
        </w:rPr>
        <w:softHyphen/>
        <w:t>целивания считался диапазон 35-45°. При высоте ввода в пикирование 500-550 м дистанция огня составляла 500-700 м, что было более чем достаточно для прицели</w:t>
      </w:r>
      <w:r w:rsidRPr="00070ADE">
        <w:rPr>
          <w:rFonts w:ascii="Times New Roman" w:hAnsi="Times New Roman" w:cs="Times New Roman"/>
          <w:color w:val="000000" w:themeColor="text1"/>
          <w:sz w:val="16"/>
          <w:szCs w:val="16"/>
        </w:rPr>
        <w:softHyphen/>
        <w:t>вания и производства 2-3 очередей.</w:t>
      </w:r>
    </w:p>
    <w:p w14:paraId="701EEBBA"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Важно отметить, что при стрельбе в воздухе по наземной цели «Харрикейн» допускал перенос огня от первоначальной точки наводки в боковом направлении и по дальности в пределах 10-15°, «что было за</w:t>
      </w:r>
      <w:r w:rsidRPr="00070ADE">
        <w:rPr>
          <w:rFonts w:ascii="Times New Roman" w:hAnsi="Times New Roman" w:cs="Times New Roman"/>
          <w:color w:val="000000" w:themeColor="text1"/>
          <w:sz w:val="16"/>
          <w:szCs w:val="16"/>
        </w:rPr>
        <w:softHyphen/>
        <w:t>труднено, а порой неосуществимо, на са</w:t>
      </w:r>
      <w:r w:rsidRPr="00070ADE">
        <w:rPr>
          <w:rFonts w:ascii="Times New Roman" w:hAnsi="Times New Roman" w:cs="Times New Roman"/>
          <w:color w:val="000000" w:themeColor="text1"/>
          <w:sz w:val="16"/>
          <w:szCs w:val="16"/>
        </w:rPr>
        <w:softHyphen/>
        <w:t>молете Ил-2 с 37-мм пушками».</w:t>
      </w:r>
    </w:p>
    <w:p w14:paraId="6D463135"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Летчикам понравилось удобное распо</w:t>
      </w:r>
      <w:r w:rsidRPr="00070ADE">
        <w:rPr>
          <w:rFonts w:ascii="Times New Roman" w:hAnsi="Times New Roman" w:cs="Times New Roman"/>
          <w:color w:val="000000" w:themeColor="text1"/>
          <w:sz w:val="16"/>
          <w:szCs w:val="16"/>
        </w:rPr>
        <w:softHyphen/>
        <w:t>ложение электрокнопки управления огнем из пушек на секторе газа под левую руку. Поскольку пулеметы приводились в дей</w:t>
      </w:r>
      <w:r w:rsidRPr="00070ADE">
        <w:rPr>
          <w:rFonts w:ascii="Times New Roman" w:hAnsi="Times New Roman" w:cs="Times New Roman"/>
          <w:color w:val="000000" w:themeColor="text1"/>
          <w:sz w:val="16"/>
          <w:szCs w:val="16"/>
        </w:rPr>
        <w:softHyphen/>
        <w:t>ствие кнопкой на ручке управления само</w:t>
      </w:r>
      <w:r w:rsidRPr="00070ADE">
        <w:rPr>
          <w:rFonts w:ascii="Times New Roman" w:hAnsi="Times New Roman" w:cs="Times New Roman"/>
          <w:color w:val="000000" w:themeColor="text1"/>
          <w:sz w:val="16"/>
          <w:szCs w:val="16"/>
        </w:rPr>
        <w:softHyphen/>
        <w:t>летом, то такое расположение управления пушками позволяло вести одновременный огонь из пушек и пулеметов.</w:t>
      </w:r>
    </w:p>
    <w:p w14:paraId="38DABB29"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Существенным недостатком системы управления вооружением посчитали от</w:t>
      </w:r>
      <w:r w:rsidRPr="00070ADE">
        <w:rPr>
          <w:rFonts w:ascii="Times New Roman" w:hAnsi="Times New Roman" w:cs="Times New Roman"/>
          <w:color w:val="000000" w:themeColor="text1"/>
          <w:sz w:val="16"/>
          <w:szCs w:val="16"/>
        </w:rPr>
        <w:softHyphen/>
        <w:t>сутствие приспособления перезарядки пушек в воздухе. По этой причине устра</w:t>
      </w:r>
      <w:r w:rsidRPr="00070ADE">
        <w:rPr>
          <w:rFonts w:ascii="Times New Roman" w:hAnsi="Times New Roman" w:cs="Times New Roman"/>
          <w:color w:val="000000" w:themeColor="text1"/>
          <w:sz w:val="16"/>
          <w:szCs w:val="16"/>
        </w:rPr>
        <w:softHyphen/>
        <w:t>нить возможные задержки в стрельбе лет</w:t>
      </w:r>
      <w:r w:rsidRPr="00070ADE">
        <w:rPr>
          <w:rFonts w:ascii="Times New Roman" w:hAnsi="Times New Roman" w:cs="Times New Roman"/>
          <w:color w:val="000000" w:themeColor="text1"/>
          <w:sz w:val="16"/>
          <w:szCs w:val="16"/>
        </w:rPr>
        <w:softHyphen/>
        <w:t>чик не мог. В полете в случае осечки лет</w:t>
      </w:r>
      <w:r w:rsidRPr="00070ADE">
        <w:rPr>
          <w:rFonts w:ascii="Times New Roman" w:hAnsi="Times New Roman" w:cs="Times New Roman"/>
          <w:color w:val="000000" w:themeColor="text1"/>
          <w:sz w:val="16"/>
          <w:szCs w:val="16"/>
        </w:rPr>
        <w:softHyphen/>
        <w:t>чик мог только повторно взвести ударный механизм, «что отсутствие системы пере</w:t>
      </w:r>
      <w:r w:rsidRPr="00070ADE">
        <w:rPr>
          <w:rFonts w:ascii="Times New Roman" w:hAnsi="Times New Roman" w:cs="Times New Roman"/>
          <w:color w:val="000000" w:themeColor="text1"/>
          <w:sz w:val="16"/>
          <w:szCs w:val="16"/>
        </w:rPr>
        <w:softHyphen/>
        <w:t>зарядки не компенсирует». В то же время взведение ударника (с помощью гашетки на левом борту) и контроль давления в воздушной системе управления оружием (с помощью манометра) осуществлялось просто и удобно.</w:t>
      </w:r>
    </w:p>
    <w:p w14:paraId="3A4AE5F1"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Прицеливание при помощи прицела Рефлектор Сайт Мк.115 простое. Включать прицел и регулировать накал лампы под</w:t>
      </w:r>
      <w:r w:rsidRPr="00070ADE">
        <w:rPr>
          <w:rFonts w:ascii="Times New Roman" w:hAnsi="Times New Roman" w:cs="Times New Roman"/>
          <w:color w:val="000000" w:themeColor="text1"/>
          <w:sz w:val="16"/>
          <w:szCs w:val="16"/>
        </w:rPr>
        <w:softHyphen/>
        <w:t>светки удобно.</w:t>
      </w:r>
    </w:p>
    <w:p w14:paraId="6664246B"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Попытка отстрелять все вооружение самолета на высоте 7500-8000 м оказа</w:t>
      </w:r>
      <w:r w:rsidRPr="00070ADE">
        <w:rPr>
          <w:rFonts w:ascii="Times New Roman" w:hAnsi="Times New Roman" w:cs="Times New Roman"/>
          <w:color w:val="000000" w:themeColor="text1"/>
          <w:sz w:val="16"/>
          <w:szCs w:val="16"/>
        </w:rPr>
        <w:softHyphen/>
        <w:t>лась неудачной. Из-за низкой температу</w:t>
      </w:r>
      <w:r w:rsidRPr="00070ADE">
        <w:rPr>
          <w:rFonts w:ascii="Times New Roman" w:hAnsi="Times New Roman" w:cs="Times New Roman"/>
          <w:color w:val="000000" w:themeColor="text1"/>
          <w:sz w:val="16"/>
          <w:szCs w:val="16"/>
        </w:rPr>
        <w:softHyphen/>
        <w:t>ры воздуха - около -54°С, оружие отказало в действии. На земле были определены не</w:t>
      </w:r>
      <w:r w:rsidRPr="00070ADE">
        <w:rPr>
          <w:rFonts w:ascii="Times New Roman" w:hAnsi="Times New Roman" w:cs="Times New Roman"/>
          <w:color w:val="000000" w:themeColor="text1"/>
          <w:sz w:val="16"/>
          <w:szCs w:val="16"/>
        </w:rPr>
        <w:softHyphen/>
        <w:t>отдачи в пушках и пулеметах, хотя оружие было смазано незамерзающей смазкой.</w:t>
      </w:r>
    </w:p>
    <w:p w14:paraId="2AD5FCDB"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Летчики сочли, что «боекомплект 15 снарядов на пушку и темп стрельбы 100-110 выстрелов в минуту не могут удовлетворить ТТТ, предъявляемым ВВС к самолету-истребителю». Боекомплект к пулеметам был вполне достаточным.</w:t>
      </w:r>
    </w:p>
    <w:p w14:paraId="6E522B2F"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Основные результаты при стрельбе по щиту с пикирования под углом 45° с дистан</w:t>
      </w:r>
      <w:r w:rsidRPr="00070ADE">
        <w:rPr>
          <w:rFonts w:ascii="Times New Roman" w:hAnsi="Times New Roman" w:cs="Times New Roman"/>
          <w:color w:val="000000" w:themeColor="text1"/>
          <w:sz w:val="16"/>
          <w:szCs w:val="16"/>
        </w:rPr>
        <w:softHyphen/>
        <w:t>ции 500-700 м сводились к следующему. Боковое отклонение и отклонение по даль</w:t>
      </w:r>
      <w:r w:rsidRPr="00070ADE">
        <w:rPr>
          <w:rFonts w:ascii="Times New Roman" w:hAnsi="Times New Roman" w:cs="Times New Roman"/>
          <w:color w:val="000000" w:themeColor="text1"/>
          <w:sz w:val="16"/>
          <w:szCs w:val="16"/>
        </w:rPr>
        <w:softHyphen/>
        <w:t>ности достигали: короткая очередь (2-3 снаряда) -1,08 и 1,70 м, длинная очередь (6-7 снарядов) - 1,51 и 2,39 м, рассеива</w:t>
      </w:r>
      <w:r w:rsidRPr="00070ADE">
        <w:rPr>
          <w:rFonts w:ascii="Times New Roman" w:hAnsi="Times New Roman" w:cs="Times New Roman"/>
          <w:color w:val="000000" w:themeColor="text1"/>
          <w:sz w:val="16"/>
          <w:szCs w:val="16"/>
        </w:rPr>
        <w:softHyphen/>
        <w:t>ние коротких очередей (5 очередей) - 1,55 и 3,11 м, рассеивание длинных очередей (2 очереди)-2,02 и 5,32 м.</w:t>
      </w:r>
    </w:p>
    <w:p w14:paraId="614F8ACE"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Наблюдались значительные отклоне</w:t>
      </w:r>
      <w:r w:rsidRPr="00070ADE">
        <w:rPr>
          <w:rFonts w:ascii="Times New Roman" w:hAnsi="Times New Roman" w:cs="Times New Roman"/>
          <w:color w:val="000000" w:themeColor="text1"/>
          <w:sz w:val="16"/>
          <w:szCs w:val="16"/>
        </w:rPr>
        <w:softHyphen/>
        <w:t>ния центра группирования в вертикальной плоскости (по дальности) с увеличением длины очереди. Если при стрельбе корот</w:t>
      </w:r>
      <w:r w:rsidRPr="00070ADE">
        <w:rPr>
          <w:rFonts w:ascii="Times New Roman" w:hAnsi="Times New Roman" w:cs="Times New Roman"/>
          <w:color w:val="000000" w:themeColor="text1"/>
          <w:sz w:val="16"/>
          <w:szCs w:val="16"/>
        </w:rPr>
        <w:softHyphen/>
        <w:t>кими очередями рассеивание центра груп</w:t>
      </w:r>
      <w:r w:rsidRPr="00070ADE">
        <w:rPr>
          <w:rFonts w:ascii="Times New Roman" w:hAnsi="Times New Roman" w:cs="Times New Roman"/>
          <w:color w:val="000000" w:themeColor="text1"/>
          <w:sz w:val="16"/>
          <w:szCs w:val="16"/>
        </w:rPr>
        <w:softHyphen/>
        <w:t>пирования очереди находилось в пределах от -1,1 до -2,4 м, то при переходе к стрель</w:t>
      </w:r>
      <w:r w:rsidRPr="00070ADE">
        <w:rPr>
          <w:rFonts w:ascii="Times New Roman" w:hAnsi="Times New Roman" w:cs="Times New Roman"/>
          <w:color w:val="000000" w:themeColor="text1"/>
          <w:sz w:val="16"/>
          <w:szCs w:val="16"/>
        </w:rPr>
        <w:softHyphen/>
        <w:t>бе длинными очередями резко возраста</w:t>
      </w:r>
      <w:r w:rsidRPr="00070ADE">
        <w:rPr>
          <w:rFonts w:ascii="Times New Roman" w:hAnsi="Times New Roman" w:cs="Times New Roman"/>
          <w:color w:val="000000" w:themeColor="text1"/>
          <w:sz w:val="16"/>
          <w:szCs w:val="16"/>
        </w:rPr>
        <w:softHyphen/>
        <w:t>ло - до -3,12-4,47 м. Это обстоятельство вполне соответствовало показаниям лет</w:t>
      </w:r>
      <w:r w:rsidRPr="00070ADE">
        <w:rPr>
          <w:rFonts w:ascii="Times New Roman" w:hAnsi="Times New Roman" w:cs="Times New Roman"/>
          <w:color w:val="000000" w:themeColor="text1"/>
          <w:sz w:val="16"/>
          <w:szCs w:val="16"/>
        </w:rPr>
        <w:softHyphen/>
        <w:t>чиков о стремлении самолета «зарываться носом при стрельбе на пикировании».</w:t>
      </w:r>
    </w:p>
    <w:p w14:paraId="438CEDDB"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При стрельбе из одной пушки с увели</w:t>
      </w:r>
      <w:r w:rsidRPr="00070ADE">
        <w:rPr>
          <w:rFonts w:ascii="Times New Roman" w:hAnsi="Times New Roman" w:cs="Times New Roman"/>
          <w:color w:val="000000" w:themeColor="text1"/>
          <w:sz w:val="16"/>
          <w:szCs w:val="16"/>
        </w:rPr>
        <w:softHyphen/>
        <w:t>чением длины очереди центр группирова</w:t>
      </w:r>
      <w:r w:rsidRPr="00070ADE">
        <w:rPr>
          <w:rFonts w:ascii="Times New Roman" w:hAnsi="Times New Roman" w:cs="Times New Roman"/>
          <w:color w:val="000000" w:themeColor="text1"/>
          <w:sz w:val="16"/>
          <w:szCs w:val="16"/>
        </w:rPr>
        <w:softHyphen/>
        <w:t>ния очереди «резко смещался в сторону стреляющей пушки под самолет», причем «тенденция эта одинаковая как для правой, так и для левой пушки».</w:t>
      </w:r>
    </w:p>
    <w:tbl>
      <w:tblPr>
        <w:tblW w:w="0" w:type="auto"/>
        <w:tblLayout w:type="fixed"/>
        <w:tblCellMar>
          <w:left w:w="10" w:type="dxa"/>
          <w:right w:w="10" w:type="dxa"/>
        </w:tblCellMar>
        <w:tblLook w:val="04A0" w:firstRow="1" w:lastRow="0" w:firstColumn="1" w:lastColumn="0" w:noHBand="0" w:noVBand="1"/>
      </w:tblPr>
      <w:tblGrid>
        <w:gridCol w:w="2050"/>
        <w:gridCol w:w="926"/>
        <w:gridCol w:w="922"/>
        <w:gridCol w:w="926"/>
        <w:gridCol w:w="922"/>
        <w:gridCol w:w="931"/>
      </w:tblGrid>
      <w:tr w:rsidR="004D4663" w:rsidRPr="00070ADE" w14:paraId="772C2CA6" w14:textId="77777777" w:rsidTr="00903E13">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08DCF6A"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Характеристика/тип пушки</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B5ADBB8"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НС-45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7ABDCE3"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«Виккерс» 3</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745CF65"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М4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C325B37"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НС-37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2E21AD5"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ВЯ</w:t>
            </w:r>
          </w:p>
        </w:tc>
      </w:tr>
      <w:tr w:rsidR="004D4663" w:rsidRPr="00070ADE" w14:paraId="50FFD944"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74B9E33F"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Калибр, мм</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1A4FED5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750C30E"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057962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7B281421"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B993E82"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23</w:t>
            </w:r>
          </w:p>
        </w:tc>
      </w:tr>
      <w:tr w:rsidR="004D4663" w:rsidRPr="00070ADE" w14:paraId="20135CE6" w14:textId="77777777" w:rsidTr="00903E13">
        <w:trPr>
          <w:trHeight w:val="226"/>
        </w:trPr>
        <w:tc>
          <w:tcPr>
            <w:tcW w:w="2050" w:type="dxa"/>
            <w:tcBorders>
              <w:top w:val="single" w:sz="4" w:space="0" w:color="auto"/>
              <w:left w:val="single" w:sz="4" w:space="0" w:color="auto"/>
              <w:right w:val="single" w:sz="4" w:space="0" w:color="auto"/>
            </w:tcBorders>
            <w:shd w:val="clear" w:color="auto" w:fill="FFFFFF"/>
          </w:tcPr>
          <w:p w14:paraId="023EEFF5" w14:textId="77777777" w:rsidR="00903E13" w:rsidRPr="00070ADE" w:rsidRDefault="00903E13" w:rsidP="00B56F90">
            <w:pPr>
              <w:spacing w:after="0" w:line="240" w:lineRule="auto"/>
              <w:jc w:val="both"/>
              <w:rPr>
                <w:rFonts w:ascii="Times New Roman" w:hAnsi="Times New Roman"/>
                <w:color w:val="000000" w:themeColor="text1"/>
                <w:sz w:val="16"/>
                <w:szCs w:val="16"/>
              </w:rPr>
            </w:pPr>
          </w:p>
        </w:tc>
        <w:tc>
          <w:tcPr>
            <w:tcW w:w="926" w:type="dxa"/>
            <w:tcBorders>
              <w:top w:val="single" w:sz="4" w:space="0" w:color="auto"/>
              <w:left w:val="single" w:sz="4" w:space="0" w:color="auto"/>
              <w:right w:val="single" w:sz="4" w:space="0" w:color="auto"/>
            </w:tcBorders>
            <w:shd w:val="clear" w:color="auto" w:fill="FFFFFF"/>
          </w:tcPr>
          <w:p w14:paraId="43882CD8"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5A2D4611"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Отдача при</w:t>
            </w:r>
          </w:p>
        </w:tc>
        <w:tc>
          <w:tcPr>
            <w:tcW w:w="926" w:type="dxa"/>
            <w:tcBorders>
              <w:top w:val="single" w:sz="4" w:space="0" w:color="auto"/>
              <w:left w:val="single" w:sz="4" w:space="0" w:color="auto"/>
              <w:right w:val="single" w:sz="4" w:space="0" w:color="auto"/>
            </w:tcBorders>
            <w:shd w:val="clear" w:color="auto" w:fill="FFFFFF"/>
          </w:tcPr>
          <w:p w14:paraId="15E5E4BA"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2F847249"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Отдача при</w:t>
            </w:r>
          </w:p>
        </w:tc>
        <w:tc>
          <w:tcPr>
            <w:tcW w:w="931" w:type="dxa"/>
            <w:tcBorders>
              <w:top w:val="single" w:sz="4" w:space="0" w:color="auto"/>
              <w:left w:val="single" w:sz="4" w:space="0" w:color="auto"/>
              <w:right w:val="single" w:sz="4" w:space="0" w:color="auto"/>
            </w:tcBorders>
            <w:shd w:val="clear" w:color="auto" w:fill="FFFFFF"/>
          </w:tcPr>
          <w:p w14:paraId="072135A3"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Отвод газов</w:t>
            </w:r>
          </w:p>
        </w:tc>
      </w:tr>
      <w:tr w:rsidR="004D4663" w:rsidRPr="00070ADE" w14:paraId="644194D8" w14:textId="77777777" w:rsidTr="00903E13">
        <w:trPr>
          <w:trHeight w:val="197"/>
        </w:trPr>
        <w:tc>
          <w:tcPr>
            <w:tcW w:w="2050" w:type="dxa"/>
            <w:tcBorders>
              <w:left w:val="single" w:sz="4" w:space="0" w:color="auto"/>
              <w:right w:val="single" w:sz="4" w:space="0" w:color="auto"/>
            </w:tcBorders>
            <w:shd w:val="clear" w:color="auto" w:fill="FFFFFF"/>
          </w:tcPr>
          <w:p w14:paraId="21DF9D40"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Принцип действия</w:t>
            </w:r>
          </w:p>
        </w:tc>
        <w:tc>
          <w:tcPr>
            <w:tcW w:w="926" w:type="dxa"/>
            <w:tcBorders>
              <w:left w:val="single" w:sz="4" w:space="0" w:color="auto"/>
              <w:right w:val="single" w:sz="4" w:space="0" w:color="auto"/>
            </w:tcBorders>
            <w:shd w:val="clear" w:color="auto" w:fill="FFFFFF"/>
          </w:tcPr>
          <w:p w14:paraId="1AA074D9"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коротком</w:t>
            </w:r>
          </w:p>
        </w:tc>
        <w:tc>
          <w:tcPr>
            <w:tcW w:w="922" w:type="dxa"/>
            <w:tcBorders>
              <w:left w:val="single" w:sz="4" w:space="0" w:color="auto"/>
              <w:right w:val="single" w:sz="4" w:space="0" w:color="auto"/>
            </w:tcBorders>
            <w:shd w:val="clear" w:color="auto" w:fill="FFFFFF"/>
          </w:tcPr>
          <w:p w14:paraId="18AF5F15"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длинном</w:t>
            </w:r>
          </w:p>
        </w:tc>
        <w:tc>
          <w:tcPr>
            <w:tcW w:w="926" w:type="dxa"/>
            <w:tcBorders>
              <w:left w:val="single" w:sz="4" w:space="0" w:color="auto"/>
              <w:right w:val="single" w:sz="4" w:space="0" w:color="auto"/>
            </w:tcBorders>
            <w:shd w:val="clear" w:color="auto" w:fill="FFFFFF"/>
          </w:tcPr>
          <w:p w14:paraId="1ADF6F97"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коротком</w:t>
            </w:r>
          </w:p>
        </w:tc>
        <w:tc>
          <w:tcPr>
            <w:tcW w:w="922" w:type="dxa"/>
            <w:tcBorders>
              <w:left w:val="single" w:sz="4" w:space="0" w:color="auto"/>
              <w:right w:val="single" w:sz="4" w:space="0" w:color="auto"/>
            </w:tcBorders>
            <w:shd w:val="clear" w:color="auto" w:fill="FFFFFF"/>
          </w:tcPr>
          <w:p w14:paraId="08C8A7DC"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коротком</w:t>
            </w:r>
          </w:p>
        </w:tc>
        <w:tc>
          <w:tcPr>
            <w:tcW w:w="931" w:type="dxa"/>
            <w:tcBorders>
              <w:left w:val="single" w:sz="4" w:space="0" w:color="auto"/>
              <w:right w:val="single" w:sz="4" w:space="0" w:color="auto"/>
            </w:tcBorders>
            <w:shd w:val="clear" w:color="auto" w:fill="FFFFFF"/>
          </w:tcPr>
          <w:p w14:paraId="14DC58A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из канала</w:t>
            </w:r>
          </w:p>
        </w:tc>
      </w:tr>
      <w:tr w:rsidR="004D4663" w:rsidRPr="00070ADE" w14:paraId="33DC1882" w14:textId="77777777" w:rsidTr="00903E13">
        <w:trPr>
          <w:trHeight w:val="163"/>
        </w:trPr>
        <w:tc>
          <w:tcPr>
            <w:tcW w:w="2050" w:type="dxa"/>
            <w:tcBorders>
              <w:left w:val="single" w:sz="4" w:space="0" w:color="auto"/>
              <w:bottom w:val="single" w:sz="4" w:space="0" w:color="auto"/>
              <w:right w:val="single" w:sz="4" w:space="0" w:color="auto"/>
            </w:tcBorders>
            <w:shd w:val="clear" w:color="auto" w:fill="FFFFFF"/>
          </w:tcPr>
          <w:p w14:paraId="42F819AE" w14:textId="77777777" w:rsidR="00903E13" w:rsidRPr="00070ADE" w:rsidRDefault="00903E13" w:rsidP="00B56F90">
            <w:pPr>
              <w:spacing w:after="0" w:line="240" w:lineRule="auto"/>
              <w:jc w:val="both"/>
              <w:rPr>
                <w:rFonts w:ascii="Times New Roman" w:hAnsi="Times New Roman"/>
                <w:color w:val="000000" w:themeColor="text1"/>
                <w:sz w:val="16"/>
                <w:szCs w:val="16"/>
              </w:rPr>
            </w:pPr>
          </w:p>
        </w:tc>
        <w:tc>
          <w:tcPr>
            <w:tcW w:w="926" w:type="dxa"/>
            <w:tcBorders>
              <w:left w:val="single" w:sz="4" w:space="0" w:color="auto"/>
              <w:bottom w:val="single" w:sz="4" w:space="0" w:color="auto"/>
              <w:right w:val="single" w:sz="4" w:space="0" w:color="auto"/>
            </w:tcBorders>
            <w:shd w:val="clear" w:color="auto" w:fill="FFFFFF"/>
          </w:tcPr>
          <w:p w14:paraId="42FE01A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25931F0B"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ходе ствола</w:t>
            </w:r>
          </w:p>
        </w:tc>
        <w:tc>
          <w:tcPr>
            <w:tcW w:w="926" w:type="dxa"/>
            <w:tcBorders>
              <w:left w:val="single" w:sz="4" w:space="0" w:color="auto"/>
              <w:bottom w:val="single" w:sz="4" w:space="0" w:color="auto"/>
              <w:right w:val="single" w:sz="4" w:space="0" w:color="auto"/>
            </w:tcBorders>
            <w:shd w:val="clear" w:color="auto" w:fill="FFFFFF"/>
          </w:tcPr>
          <w:p w14:paraId="181AB0A1"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52F6DCD7"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ходе ствола</w:t>
            </w:r>
          </w:p>
        </w:tc>
        <w:tc>
          <w:tcPr>
            <w:tcW w:w="931" w:type="dxa"/>
            <w:tcBorders>
              <w:left w:val="single" w:sz="4" w:space="0" w:color="auto"/>
              <w:bottom w:val="single" w:sz="4" w:space="0" w:color="auto"/>
              <w:right w:val="single" w:sz="4" w:space="0" w:color="auto"/>
            </w:tcBorders>
            <w:shd w:val="clear" w:color="auto" w:fill="FFFFFF"/>
          </w:tcPr>
          <w:p w14:paraId="63830177"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ствола</w:t>
            </w:r>
          </w:p>
        </w:tc>
      </w:tr>
      <w:tr w:rsidR="004D4663" w:rsidRPr="00070ADE" w14:paraId="19E0DA1F"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DA50ABF"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Питание</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F99FADB"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Звеньевое</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139899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Магазин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7610EA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Магазин</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17BBC24"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Звеньевое</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72ED6FA4"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Зеньевое</w:t>
            </w:r>
          </w:p>
        </w:tc>
      </w:tr>
      <w:tr w:rsidR="004D4663" w:rsidRPr="00070ADE" w14:paraId="38B77C52"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621C8E55"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Темп стрельбы, выстр./мин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C8D401F"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1E1DF05"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110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135A319"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1BEDF94"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250</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72942760"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600</w:t>
            </w:r>
          </w:p>
        </w:tc>
      </w:tr>
      <w:tr w:rsidR="004D4663" w:rsidRPr="00070ADE" w14:paraId="69BF1951"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722925BC"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Начальная скорость, м/с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F99963C"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781</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22535DE"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585</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89056B8"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610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45BBF37"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878</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3EC369D0"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915</w:t>
            </w:r>
          </w:p>
        </w:tc>
      </w:tr>
      <w:tr w:rsidR="004D4663" w:rsidRPr="00070ADE" w14:paraId="5D3E6E63"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633B2093"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Вес пушки,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E5D93AC"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163,8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6F71962"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157,7</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0958DA9"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108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46843B2"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162,5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EF9B91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66</w:t>
            </w:r>
          </w:p>
        </w:tc>
      </w:tr>
      <w:tr w:rsidR="004D4663" w:rsidRPr="00070ADE" w14:paraId="4FDCF903"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3F1DAD4C"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Вес снаряда,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08E1493"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5B82EAF"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1,041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5E3BCF9"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CD58EA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0,732</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7CE4940"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0,197</w:t>
            </w:r>
          </w:p>
        </w:tc>
      </w:tr>
      <w:tr w:rsidR="004D4663" w:rsidRPr="00070ADE" w14:paraId="1D71A214"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6B49BCFB"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Вес секундного залпа,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6E3E1AC"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4,44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F5539F4"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1,91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39D47DE"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1,63</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3DADDC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3,05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6E7BC641"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1,97</w:t>
            </w:r>
          </w:p>
        </w:tc>
      </w:tr>
      <w:tr w:rsidR="004D4663" w:rsidRPr="00070ADE" w14:paraId="16E7B4B4"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2B63937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Дульная энергия,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61DDB0F"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33110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2698E3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18158</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6819D90"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12327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5865F07"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28761</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7EF84E7B"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8406</w:t>
            </w:r>
          </w:p>
        </w:tc>
      </w:tr>
      <w:tr w:rsidR="004D4663" w:rsidRPr="00070ADE" w14:paraId="331039CB"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520C2625"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Дульная мощность, кг/с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7204198"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137956</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B812A20"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33289</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539F985"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30819</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C2652BC"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119837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5540D3F5"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84064</w:t>
            </w:r>
          </w:p>
        </w:tc>
      </w:tr>
      <w:tr w:rsidR="004D4663" w:rsidRPr="00070ADE" w14:paraId="23F7046C" w14:textId="77777777" w:rsidTr="00903E13">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085E7C8"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Показатель качества оружия</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C199E9F"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842</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7DE7381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211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A5FADC9"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285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39AD35C"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737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55AB3402"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1274</w:t>
            </w:r>
          </w:p>
        </w:tc>
      </w:tr>
    </w:tbl>
    <w:p w14:paraId="567178F4"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Как положительный факт отмечалась простая эксплуатация пушек: «пушки ос</w:t>
      </w:r>
      <w:r w:rsidRPr="00070ADE">
        <w:rPr>
          <w:rFonts w:ascii="Times New Roman" w:hAnsi="Times New Roman" w:cs="Times New Roman"/>
          <w:color w:val="000000" w:themeColor="text1"/>
          <w:sz w:val="16"/>
          <w:szCs w:val="16"/>
        </w:rPr>
        <w:softHyphen/>
        <w:t>ваиваются техническим составом легко и быстро». Подходы к пушкам удобные. Зарядка магазина производилась непо</w:t>
      </w:r>
      <w:r w:rsidRPr="00070ADE">
        <w:rPr>
          <w:rFonts w:ascii="Times New Roman" w:hAnsi="Times New Roman" w:cs="Times New Roman"/>
          <w:color w:val="000000" w:themeColor="text1"/>
          <w:sz w:val="16"/>
          <w:szCs w:val="16"/>
        </w:rPr>
        <w:softHyphen/>
        <w:t>средственно на самолете. При двух рабо</w:t>
      </w:r>
      <w:r w:rsidRPr="00070ADE">
        <w:rPr>
          <w:rFonts w:ascii="Times New Roman" w:hAnsi="Times New Roman" w:cs="Times New Roman"/>
          <w:color w:val="000000" w:themeColor="text1"/>
          <w:sz w:val="16"/>
          <w:szCs w:val="16"/>
        </w:rPr>
        <w:softHyphen/>
        <w:t>тающих техниках на приведение в боевую готовность одной пушки после стрельбы (снятие обтекателя пушки, частичная раз</w:t>
      </w:r>
      <w:r w:rsidRPr="00070ADE">
        <w:rPr>
          <w:rFonts w:ascii="Times New Roman" w:hAnsi="Times New Roman" w:cs="Times New Roman"/>
          <w:color w:val="000000" w:themeColor="text1"/>
          <w:sz w:val="16"/>
          <w:szCs w:val="16"/>
        </w:rPr>
        <w:softHyphen/>
        <w:t>борка, чистка и смазка пушки, зарядка ма</w:t>
      </w:r>
      <w:r w:rsidRPr="00070ADE">
        <w:rPr>
          <w:rFonts w:ascii="Times New Roman" w:hAnsi="Times New Roman" w:cs="Times New Roman"/>
          <w:color w:val="000000" w:themeColor="text1"/>
          <w:sz w:val="16"/>
          <w:szCs w:val="16"/>
        </w:rPr>
        <w:softHyphen/>
        <w:t>газина, постановка обтекателя) уходило не более 26 мин, в том числе всего 2 мин - на зарядку пушки.</w:t>
      </w:r>
    </w:p>
    <w:p w14:paraId="5A39FAB0"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тронного ящика, чистка, смазка, укладка ленты в ящик, зарядка пулемета и закрытие лючка) около 20 мин, подготовка оружия занимала не более полутора часов.</w:t>
      </w:r>
    </w:p>
    <w:p w14:paraId="7D5307CD"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ходе стрельб пушки и пушечные установки показали высокую надежность. Если исключить из рассмотрения резуль</w:t>
      </w:r>
      <w:r w:rsidRPr="00070ADE">
        <w:rPr>
          <w:rFonts w:ascii="Times New Roman" w:hAnsi="Times New Roman" w:cs="Times New Roman"/>
          <w:color w:val="000000" w:themeColor="text1"/>
          <w:sz w:val="16"/>
          <w:szCs w:val="16"/>
        </w:rPr>
        <w:softHyphen/>
        <w:t>таты стрельбы на большой высоте (7500- 8000 м), то процент задержек в стрельбе по вине пушек составил всего 0,16%, а пулеметов 0,13% от общего числа выстре</w:t>
      </w:r>
      <w:r w:rsidRPr="00070ADE">
        <w:rPr>
          <w:rFonts w:ascii="Times New Roman" w:hAnsi="Times New Roman" w:cs="Times New Roman"/>
          <w:color w:val="000000" w:themeColor="text1"/>
          <w:sz w:val="16"/>
          <w:szCs w:val="16"/>
        </w:rPr>
        <w:softHyphen/>
        <w:t>лов. При этом после устранения дефекта, вызвавшего задержку в стрельбе пушки, отказы пушек больше не повторялись. По пулеметам все отказы относились только к правому пулемету, который имел «не</w:t>
      </w:r>
      <w:r w:rsidRPr="00070ADE">
        <w:rPr>
          <w:rFonts w:ascii="Times New Roman" w:hAnsi="Times New Roman" w:cs="Times New Roman"/>
          <w:color w:val="000000" w:themeColor="text1"/>
          <w:sz w:val="16"/>
          <w:szCs w:val="16"/>
        </w:rPr>
        <w:softHyphen/>
        <w:t>устранимый дефект - тугой ход подвиж</w:t>
      </w:r>
      <w:r w:rsidRPr="00070ADE">
        <w:rPr>
          <w:rFonts w:ascii="Times New Roman" w:hAnsi="Times New Roman" w:cs="Times New Roman"/>
          <w:color w:val="000000" w:themeColor="text1"/>
          <w:sz w:val="16"/>
          <w:szCs w:val="16"/>
        </w:rPr>
        <w:softHyphen/>
        <w:t>ных частей, не зависящий от конструкции оружия».</w:t>
      </w:r>
    </w:p>
    <w:p w14:paraId="755F49D1"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 вине пушечной установки задержек не было вовсе. Пневмосистема и электроп</w:t>
      </w:r>
      <w:r w:rsidRPr="00070ADE">
        <w:rPr>
          <w:rFonts w:ascii="Times New Roman" w:hAnsi="Times New Roman" w:cs="Times New Roman"/>
          <w:color w:val="000000" w:themeColor="text1"/>
          <w:sz w:val="16"/>
          <w:szCs w:val="16"/>
        </w:rPr>
        <w:softHyphen/>
        <w:t>невматическое управление вооружением работали надежно и безотказно.</w:t>
      </w:r>
    </w:p>
    <w:p w14:paraId="639FCAFD"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Имелись и недостатки. Пушки было трудно снаряжать - «стеснен подход к ру</w:t>
      </w:r>
      <w:r w:rsidRPr="00070ADE">
        <w:rPr>
          <w:rFonts w:ascii="Times New Roman" w:hAnsi="Times New Roman" w:cs="Times New Roman"/>
          <w:color w:val="000000" w:themeColor="text1"/>
          <w:sz w:val="16"/>
          <w:szCs w:val="16"/>
        </w:rPr>
        <w:softHyphen/>
        <w:t>коятке магазина при заряжании, особенно при зимней эксплуатации». Конструкция защелок, фиксирующих положение руко</w:t>
      </w:r>
      <w:r w:rsidRPr="00070ADE">
        <w:rPr>
          <w:rFonts w:ascii="Times New Roman" w:hAnsi="Times New Roman" w:cs="Times New Roman"/>
          <w:color w:val="000000" w:themeColor="text1"/>
          <w:sz w:val="16"/>
          <w:szCs w:val="16"/>
        </w:rPr>
        <w:softHyphen/>
        <w:t>ятки магазина, оказалась неудачной и не</w:t>
      </w:r>
      <w:r w:rsidRPr="00070ADE">
        <w:rPr>
          <w:rFonts w:ascii="Times New Roman" w:hAnsi="Times New Roman" w:cs="Times New Roman"/>
          <w:color w:val="000000" w:themeColor="text1"/>
          <w:sz w:val="16"/>
          <w:szCs w:val="16"/>
        </w:rPr>
        <w:softHyphen/>
        <w:t>прочной. Окно магазина пушки распола</w:t>
      </w:r>
      <w:r w:rsidRPr="00070ADE">
        <w:rPr>
          <w:rFonts w:ascii="Times New Roman" w:hAnsi="Times New Roman" w:cs="Times New Roman"/>
          <w:color w:val="000000" w:themeColor="text1"/>
          <w:sz w:val="16"/>
          <w:szCs w:val="16"/>
        </w:rPr>
        <w:softHyphen/>
        <w:t>галось крайне неудобно, что затрудняло работу при снаряжении магазина патро</w:t>
      </w:r>
      <w:r w:rsidRPr="00070ADE">
        <w:rPr>
          <w:rFonts w:ascii="Times New Roman" w:hAnsi="Times New Roman" w:cs="Times New Roman"/>
          <w:color w:val="000000" w:themeColor="text1"/>
          <w:sz w:val="16"/>
          <w:szCs w:val="16"/>
        </w:rPr>
        <w:softHyphen/>
        <w:t>нами. К тому же можно было повредить руки. Гильзоотводное окно имело разме</w:t>
      </w:r>
      <w:r w:rsidRPr="00070ADE">
        <w:rPr>
          <w:rFonts w:ascii="Times New Roman" w:hAnsi="Times New Roman" w:cs="Times New Roman"/>
          <w:color w:val="000000" w:themeColor="text1"/>
          <w:sz w:val="16"/>
          <w:szCs w:val="16"/>
        </w:rPr>
        <w:softHyphen/>
        <w:t>ры ровно под размер гильзы, поэтому для извлечения гильзы или снаряда из патрон</w:t>
      </w:r>
      <w:r w:rsidRPr="00070ADE">
        <w:rPr>
          <w:rFonts w:ascii="Times New Roman" w:hAnsi="Times New Roman" w:cs="Times New Roman"/>
          <w:color w:val="000000" w:themeColor="text1"/>
          <w:sz w:val="16"/>
          <w:szCs w:val="16"/>
        </w:rPr>
        <w:softHyphen/>
        <w:t>ника необходимо было производить не</w:t>
      </w:r>
      <w:r w:rsidRPr="00070ADE">
        <w:rPr>
          <w:rFonts w:ascii="Times New Roman" w:hAnsi="Times New Roman" w:cs="Times New Roman"/>
          <w:color w:val="000000" w:themeColor="text1"/>
          <w:sz w:val="16"/>
          <w:szCs w:val="16"/>
        </w:rPr>
        <w:softHyphen/>
        <w:t>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Как следствие, открывание и закрывание лючков становилось затруднительным. Обтекатели пушек оказались недостаточ</w:t>
      </w:r>
      <w:r w:rsidRPr="00070ADE">
        <w:rPr>
          <w:rFonts w:ascii="Times New Roman" w:hAnsi="Times New Roman" w:cs="Times New Roman"/>
          <w:color w:val="000000" w:themeColor="text1"/>
          <w:sz w:val="16"/>
          <w:szCs w:val="16"/>
        </w:rPr>
        <w:softHyphen/>
        <w:t>но жесткими и при резком выводе из пики</w:t>
      </w:r>
      <w:r w:rsidRPr="00070ADE">
        <w:rPr>
          <w:rFonts w:ascii="Times New Roman" w:hAnsi="Times New Roman" w:cs="Times New Roman"/>
          <w:color w:val="000000" w:themeColor="text1"/>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070ADE">
        <w:rPr>
          <w:rFonts w:ascii="Times New Roman" w:hAnsi="Times New Roman" w:cs="Times New Roman"/>
          <w:color w:val="000000" w:themeColor="text1"/>
          <w:sz w:val="16"/>
          <w:szCs w:val="16"/>
        </w:rPr>
        <w:softHyphen/>
        <w:t>мировались.</w:t>
      </w:r>
    </w:p>
    <w:p w14:paraId="043B33B1"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Сравнение летно-боевых качеств «Харрикейн» 1Ю с советскими истребите</w:t>
      </w:r>
      <w:r w:rsidRPr="00070ADE">
        <w:rPr>
          <w:rFonts w:ascii="Times New Roman" w:hAnsi="Times New Roman" w:cs="Times New Roman"/>
          <w:color w:val="000000" w:themeColor="text1"/>
          <w:sz w:val="16"/>
          <w:szCs w:val="16"/>
        </w:rPr>
        <w:softHyphen/>
        <w:t>лями Як-9т, ЛаГГ-3 и штурмовиком Ил-2, вооруженных пушками калибра 37 мм НС- 37, оказалось не в пользу «англичанина».</w:t>
      </w:r>
    </w:p>
    <w:p w14:paraId="6E3AB05D"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Отмечалось, что «пушка Виккерс 5 калибра 40 мм по темпу стрельбы и на</w:t>
      </w:r>
      <w:r w:rsidRPr="00070ADE">
        <w:rPr>
          <w:rFonts w:ascii="Times New Roman" w:hAnsi="Times New Roman" w:cs="Times New Roman"/>
          <w:color w:val="000000" w:themeColor="text1"/>
          <w:sz w:val="16"/>
          <w:szCs w:val="16"/>
        </w:rPr>
        <w:softHyphen/>
        <w:t>чальной скорости снаряда стоит ниже современных систем авиационных авто</w:t>
      </w:r>
      <w:r w:rsidRPr="00070ADE">
        <w:rPr>
          <w:rFonts w:ascii="Times New Roman" w:hAnsi="Times New Roman" w:cs="Times New Roman"/>
          <w:color w:val="000000" w:themeColor="text1"/>
          <w:sz w:val="16"/>
          <w:szCs w:val="16"/>
        </w:rPr>
        <w:softHyphen/>
        <w:t>матических пушек и значительно ниже от</w:t>
      </w:r>
      <w:r w:rsidRPr="00070ADE">
        <w:rPr>
          <w:rFonts w:ascii="Times New Roman" w:hAnsi="Times New Roman" w:cs="Times New Roman"/>
          <w:color w:val="000000" w:themeColor="text1"/>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070ADE">
        <w:rPr>
          <w:rFonts w:ascii="Times New Roman" w:hAnsi="Times New Roman" w:cs="Times New Roman"/>
          <w:color w:val="000000" w:themeColor="text1"/>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4D4663" w:rsidRPr="00070ADE" w14:paraId="2E195EA7"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5C8CE049"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lastRenderedPageBreak/>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23853E24"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49ADBAF4"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28E9EE3F"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3165A4EE"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23750139"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5ABCBB7A"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15711402"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20</w:t>
            </w:r>
          </w:p>
        </w:tc>
      </w:tr>
      <w:tr w:rsidR="004D4663" w:rsidRPr="00070ADE" w14:paraId="28D149AB"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1E5102EA"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24E9811C"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2D0AC832"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11AEE269"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7D308B1E"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4A55E7D9"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5CAC43A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57AD2780"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МП-20</w:t>
            </w:r>
          </w:p>
        </w:tc>
      </w:tr>
      <w:tr w:rsidR="004D4663" w:rsidRPr="00070ADE" w14:paraId="4FFBE062" w14:textId="77777777" w:rsidTr="00903E13">
        <w:trPr>
          <w:trHeight w:val="600"/>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0003FBBE"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33DD5A9A"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4DE990BA"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1461FB83"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0DFA9AC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62104AA9"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260D2018"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6095055E"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19</w:t>
            </w:r>
          </w:p>
        </w:tc>
      </w:tr>
    </w:tbl>
    <w:p w14:paraId="0CDBE566"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Несмотря на больший калибр, броне- пробиваемость английской пушки оказа</w:t>
      </w:r>
      <w:r w:rsidRPr="00070ADE">
        <w:rPr>
          <w:rFonts w:ascii="Times New Roman" w:hAnsi="Times New Roman" w:cs="Times New Roman"/>
          <w:color w:val="000000" w:themeColor="text1"/>
          <w:sz w:val="16"/>
          <w:szCs w:val="16"/>
        </w:rPr>
        <w:softHyphen/>
        <w:t>лась хуже отечественной пушки калибра 37 мм НС-37. С дистанции 300 м броне</w:t>
      </w:r>
      <w:r w:rsidRPr="00070ADE">
        <w:rPr>
          <w:rFonts w:ascii="Times New Roman" w:hAnsi="Times New Roman" w:cs="Times New Roman"/>
          <w:color w:val="000000" w:themeColor="text1"/>
          <w:sz w:val="16"/>
          <w:szCs w:val="16"/>
        </w:rPr>
        <w:softHyphen/>
        <w:t>бойный снаряд к пушке НС-37 пробивал при нормальном попадании до 48,3 мм гомогенной танковой брони, тогда как бронебойный снаряд к пушке Виккерс 5 - только 38-41 мм.</w:t>
      </w:r>
    </w:p>
    <w:p w14:paraId="6AFC2CB4"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Советские истребители Як-9т и ЛаГГ- 3, хотя и имели несколько меньший вес се</w:t>
      </w:r>
      <w:r w:rsidRPr="00070ADE">
        <w:rPr>
          <w:rFonts w:ascii="Times New Roman" w:hAnsi="Times New Roman" w:cs="Times New Roman"/>
          <w:color w:val="000000" w:themeColor="text1"/>
          <w:sz w:val="16"/>
          <w:szCs w:val="16"/>
        </w:rPr>
        <w:softHyphen/>
        <w:t>кундного залпа, но заметно превосходили английский истребитель танков по летным данным.</w:t>
      </w:r>
    </w:p>
    <w:p w14:paraId="674BED80"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Наступательное стрелково-пушечное вооружение Ил-2 по сравнению с оружи</w:t>
      </w:r>
      <w:r w:rsidRPr="00070ADE">
        <w:rPr>
          <w:rFonts w:ascii="Times New Roman" w:hAnsi="Times New Roman" w:cs="Times New Roman"/>
          <w:color w:val="000000" w:themeColor="text1"/>
          <w:sz w:val="16"/>
          <w:szCs w:val="16"/>
        </w:rPr>
        <w:softHyphen/>
        <w:t>ем «Харрикейн» 1Ю имело почти в 1,5 раза больший вес секундного залпа. При этом боекомплект к пушкам у Ил-2 по времени непрерывной стрельбы был также больше. Если принять во внимание значительно лучшее бронирование самолета Ил-2, на</w:t>
      </w:r>
      <w:r w:rsidRPr="00070ADE">
        <w:rPr>
          <w:rFonts w:ascii="Times New Roman" w:hAnsi="Times New Roman" w:cs="Times New Roman"/>
          <w:color w:val="000000" w:themeColor="text1"/>
          <w:sz w:val="16"/>
          <w:szCs w:val="16"/>
        </w:rPr>
        <w:softHyphen/>
        <w:t>личие обороны задней полусферы и бом</w:t>
      </w:r>
      <w:r w:rsidRPr="00070ADE">
        <w:rPr>
          <w:rFonts w:ascii="Times New Roman" w:hAnsi="Times New Roman" w:cs="Times New Roman"/>
          <w:color w:val="000000" w:themeColor="text1"/>
          <w:sz w:val="16"/>
          <w:szCs w:val="16"/>
        </w:rPr>
        <w:softHyphen/>
        <w:t>бового вооружения, то преимущество его системы вооружения считались несомнен</w:t>
      </w:r>
      <w:r w:rsidRPr="00070ADE">
        <w:rPr>
          <w:rFonts w:ascii="Times New Roman" w:hAnsi="Times New Roman" w:cs="Times New Roman"/>
          <w:color w:val="000000" w:themeColor="text1"/>
          <w:sz w:val="16"/>
          <w:szCs w:val="16"/>
        </w:rPr>
        <w:softHyphen/>
        <w:t>ными.</w:t>
      </w:r>
    </w:p>
    <w:p w14:paraId="66E327EE"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Зато у «Харрикейна» было другое пре</w:t>
      </w:r>
      <w:r w:rsidRPr="00070ADE">
        <w:rPr>
          <w:rFonts w:ascii="Times New Roman" w:hAnsi="Times New Roman" w:cs="Times New Roman"/>
          <w:color w:val="000000" w:themeColor="text1"/>
          <w:sz w:val="16"/>
          <w:szCs w:val="16"/>
        </w:rPr>
        <w:softHyphen/>
        <w:t>имущество. Рассеивание нескольких оче</w:t>
      </w:r>
      <w:r w:rsidRPr="00070ADE">
        <w:rPr>
          <w:rFonts w:ascii="Times New Roman" w:hAnsi="Times New Roman" w:cs="Times New Roman"/>
          <w:color w:val="000000" w:themeColor="text1"/>
          <w:sz w:val="16"/>
          <w:szCs w:val="16"/>
        </w:rPr>
        <w:softHyphen/>
        <w:t>редей при стрельбе в воздухе из пушек по полотнищам, расположенным на земле, у самолета «Харрикейн» оказалось при</w:t>
      </w:r>
      <w:r w:rsidRPr="00070ADE">
        <w:rPr>
          <w:rFonts w:ascii="Times New Roman" w:hAnsi="Times New Roman" w:cs="Times New Roman"/>
          <w:color w:val="000000" w:themeColor="text1"/>
          <w:sz w:val="16"/>
          <w:szCs w:val="16"/>
        </w:rPr>
        <w:softHyphen/>
        <w:t>мерно в 2-2,5 раза меньше, чем у само</w:t>
      </w:r>
      <w:r w:rsidRPr="00070ADE">
        <w:rPr>
          <w:rFonts w:ascii="Times New Roman" w:hAnsi="Times New Roman" w:cs="Times New Roman"/>
          <w:color w:val="000000" w:themeColor="text1"/>
          <w:sz w:val="16"/>
          <w:szCs w:val="16"/>
        </w:rPr>
        <w:softHyphen/>
        <w:t>летов ЛаГГ-3 и Як-9т с пушкой НС-37, и в 6-6,5 раз меньше, чем у самолета Ил-2 с пушками НС-37. Смещение центров груп</w:t>
      </w:r>
      <w:r w:rsidRPr="00070ADE">
        <w:rPr>
          <w:rFonts w:ascii="Times New Roman" w:hAnsi="Times New Roman" w:cs="Times New Roman"/>
          <w:color w:val="000000" w:themeColor="text1"/>
          <w:sz w:val="16"/>
          <w:szCs w:val="16"/>
        </w:rPr>
        <w:softHyphen/>
        <w:t>пирования попаданий по отношению точки наводки прицела у самолета «Харрикейн» меньше, чем у Ил-2 с НС-37 примерно в 4-11 раз меньше.</w:t>
      </w:r>
    </w:p>
    <w:p w14:paraId="337FCCE6"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Рассеивание при стрельбе в воздухе из пушек у самолета «Харрикейн» 1Ю, по сравнению с рассеиванием при стрельбе на земле, возрастало в 10-18 раз, а у само</w:t>
      </w:r>
      <w:r w:rsidRPr="00070ADE">
        <w:rPr>
          <w:rFonts w:ascii="Times New Roman" w:hAnsi="Times New Roman" w:cs="Times New Roman"/>
          <w:color w:val="000000" w:themeColor="text1"/>
          <w:sz w:val="16"/>
          <w:szCs w:val="16"/>
        </w:rPr>
        <w:softHyphen/>
        <w:t>лета Ил-2 - в 30-100 раз. Следовательно, ведение прицельного огня в воздухе с самолета «Харрикейн» 1Ю «значительно удобнее и точнее, чем со сравниваемыми отечественными самолетами».к правому пулемету, который имел «не</w:t>
      </w:r>
      <w:r w:rsidRPr="00070ADE">
        <w:rPr>
          <w:rFonts w:ascii="Times New Roman" w:hAnsi="Times New Roman" w:cs="Times New Roman"/>
          <w:color w:val="000000" w:themeColor="text1"/>
          <w:sz w:val="16"/>
          <w:szCs w:val="16"/>
        </w:rPr>
        <w:softHyphen/>
        <w:t>устранимый дефект - тугой ход подвиж</w:t>
      </w:r>
      <w:r w:rsidRPr="00070ADE">
        <w:rPr>
          <w:rFonts w:ascii="Times New Roman" w:hAnsi="Times New Roman" w:cs="Times New Roman"/>
          <w:color w:val="000000" w:themeColor="text1"/>
          <w:sz w:val="16"/>
          <w:szCs w:val="16"/>
        </w:rPr>
        <w:softHyphen/>
        <w:t>ных частей, не зависящий от конструкции оружия».</w:t>
      </w:r>
    </w:p>
    <w:p w14:paraId="48E45B90"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 вине пушечной установки задержек не было вовсе. Пневмосистема и электроп</w:t>
      </w:r>
      <w:r w:rsidRPr="00070ADE">
        <w:rPr>
          <w:rFonts w:ascii="Times New Roman" w:hAnsi="Times New Roman" w:cs="Times New Roman"/>
          <w:color w:val="000000" w:themeColor="text1"/>
          <w:sz w:val="16"/>
          <w:szCs w:val="16"/>
        </w:rPr>
        <w:softHyphen/>
        <w:t>невматическое управление вооружением работали надежно и безотказно.</w:t>
      </w:r>
    </w:p>
    <w:p w14:paraId="7B996C24"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Имелись и недостатки. Пушки было трудно снаряжать - «стеснен подход к ру</w:t>
      </w:r>
      <w:r w:rsidRPr="00070ADE">
        <w:rPr>
          <w:rFonts w:ascii="Times New Roman" w:hAnsi="Times New Roman" w:cs="Times New Roman"/>
          <w:color w:val="000000" w:themeColor="text1"/>
          <w:sz w:val="16"/>
          <w:szCs w:val="16"/>
        </w:rPr>
        <w:softHyphen/>
        <w:t>коятке магазина при заряжании, особенно при зимней эксплуатации». Конструкция защелок, фиксирующих положение руко</w:t>
      </w:r>
      <w:r w:rsidRPr="00070ADE">
        <w:rPr>
          <w:rFonts w:ascii="Times New Roman" w:hAnsi="Times New Roman" w:cs="Times New Roman"/>
          <w:color w:val="000000" w:themeColor="text1"/>
          <w:sz w:val="16"/>
          <w:szCs w:val="16"/>
        </w:rPr>
        <w:softHyphen/>
        <w:t>ятки магазина, оказалась неудачной и не</w:t>
      </w:r>
      <w:r w:rsidRPr="00070ADE">
        <w:rPr>
          <w:rFonts w:ascii="Times New Roman" w:hAnsi="Times New Roman" w:cs="Times New Roman"/>
          <w:color w:val="000000" w:themeColor="text1"/>
          <w:sz w:val="16"/>
          <w:szCs w:val="16"/>
        </w:rPr>
        <w:softHyphen/>
        <w:t>прочной. Окно магазина пушки распола</w:t>
      </w:r>
      <w:r w:rsidRPr="00070ADE">
        <w:rPr>
          <w:rFonts w:ascii="Times New Roman" w:hAnsi="Times New Roman" w:cs="Times New Roman"/>
          <w:color w:val="000000" w:themeColor="text1"/>
          <w:sz w:val="16"/>
          <w:szCs w:val="16"/>
        </w:rPr>
        <w:softHyphen/>
        <w:t>галось крайне неудобно, что затрудняло работу при снаряжении магазина патро</w:t>
      </w:r>
      <w:r w:rsidRPr="00070ADE">
        <w:rPr>
          <w:rFonts w:ascii="Times New Roman" w:hAnsi="Times New Roman" w:cs="Times New Roman"/>
          <w:color w:val="000000" w:themeColor="text1"/>
          <w:sz w:val="16"/>
          <w:szCs w:val="16"/>
        </w:rPr>
        <w:softHyphen/>
        <w:t>нами. К тому же можно было повредить руки. Гильзоотводное окно имело разме</w:t>
      </w:r>
      <w:r w:rsidRPr="00070ADE">
        <w:rPr>
          <w:rFonts w:ascii="Times New Roman" w:hAnsi="Times New Roman" w:cs="Times New Roman"/>
          <w:color w:val="000000" w:themeColor="text1"/>
          <w:sz w:val="16"/>
          <w:szCs w:val="16"/>
        </w:rPr>
        <w:softHyphen/>
        <w:t>ры ровно под размер гильзы, поэтому для извлечения гильзы или снаряда из патрон</w:t>
      </w:r>
      <w:r w:rsidRPr="00070ADE">
        <w:rPr>
          <w:rFonts w:ascii="Times New Roman" w:hAnsi="Times New Roman" w:cs="Times New Roman"/>
          <w:color w:val="000000" w:themeColor="text1"/>
          <w:sz w:val="16"/>
          <w:szCs w:val="16"/>
        </w:rPr>
        <w:softHyphen/>
        <w:t>ника необходимо было производить не</w:t>
      </w:r>
      <w:r w:rsidRPr="00070ADE">
        <w:rPr>
          <w:rFonts w:ascii="Times New Roman" w:hAnsi="Times New Roman" w:cs="Times New Roman"/>
          <w:color w:val="000000" w:themeColor="text1"/>
          <w:sz w:val="16"/>
          <w:szCs w:val="16"/>
        </w:rPr>
        <w:softHyphen/>
        <w:t>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Как следствие, открывание и закрывание лючков становилось затруднительным. Обтекатели пушек оказались недостаточ</w:t>
      </w:r>
      <w:r w:rsidRPr="00070ADE">
        <w:rPr>
          <w:rFonts w:ascii="Times New Roman" w:hAnsi="Times New Roman" w:cs="Times New Roman"/>
          <w:color w:val="000000" w:themeColor="text1"/>
          <w:sz w:val="16"/>
          <w:szCs w:val="16"/>
        </w:rPr>
        <w:softHyphen/>
        <w:t>но жесткими и при резком выводе из пики</w:t>
      </w:r>
      <w:r w:rsidRPr="00070ADE">
        <w:rPr>
          <w:rFonts w:ascii="Times New Roman" w:hAnsi="Times New Roman" w:cs="Times New Roman"/>
          <w:color w:val="000000" w:themeColor="text1"/>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070ADE">
        <w:rPr>
          <w:rFonts w:ascii="Times New Roman" w:hAnsi="Times New Roman" w:cs="Times New Roman"/>
          <w:color w:val="000000" w:themeColor="text1"/>
          <w:sz w:val="16"/>
          <w:szCs w:val="16"/>
        </w:rPr>
        <w:softHyphen/>
        <w:t>мировались.</w:t>
      </w:r>
    </w:p>
    <w:p w14:paraId="47D69032"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Сравнение летно-боевых качеств «Харрикейн» 1Ю с советскими истребите</w:t>
      </w:r>
      <w:r w:rsidRPr="00070ADE">
        <w:rPr>
          <w:rFonts w:ascii="Times New Roman" w:hAnsi="Times New Roman" w:cs="Times New Roman"/>
          <w:color w:val="000000" w:themeColor="text1"/>
          <w:sz w:val="16"/>
          <w:szCs w:val="16"/>
        </w:rPr>
        <w:softHyphen/>
        <w:t>лями Як-9т, ЛаГГ-3 и штурмовиком Ил-2, вооруженных пушками калибра 37 мм НС- 37, оказалось не в пользу «англичанина».</w:t>
      </w:r>
    </w:p>
    <w:p w14:paraId="0D66B665"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Отмечалось, что «пушка Виккерс 3 калибра 40 мм по темпу стрельбы и на</w:t>
      </w:r>
      <w:r w:rsidRPr="00070ADE">
        <w:rPr>
          <w:rFonts w:ascii="Times New Roman" w:hAnsi="Times New Roman" w:cs="Times New Roman"/>
          <w:color w:val="000000" w:themeColor="text1"/>
          <w:sz w:val="16"/>
          <w:szCs w:val="16"/>
        </w:rPr>
        <w:softHyphen/>
        <w:t>чальной скорости снаряда стоит ниже современных систем авиационных авто</w:t>
      </w:r>
      <w:r w:rsidRPr="00070ADE">
        <w:rPr>
          <w:rFonts w:ascii="Times New Roman" w:hAnsi="Times New Roman" w:cs="Times New Roman"/>
          <w:color w:val="000000" w:themeColor="text1"/>
          <w:sz w:val="16"/>
          <w:szCs w:val="16"/>
        </w:rPr>
        <w:softHyphen/>
        <w:t>матических пушек и значительно ниже от</w:t>
      </w:r>
      <w:r w:rsidRPr="00070ADE">
        <w:rPr>
          <w:rFonts w:ascii="Times New Roman" w:hAnsi="Times New Roman" w:cs="Times New Roman"/>
          <w:color w:val="000000" w:themeColor="text1"/>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070ADE">
        <w:rPr>
          <w:rFonts w:ascii="Times New Roman" w:hAnsi="Times New Roman" w:cs="Times New Roman"/>
          <w:color w:val="000000" w:themeColor="text1"/>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p w14:paraId="386FE735" w14:textId="77777777" w:rsidR="00903E13" w:rsidRPr="00070ADE" w:rsidRDefault="00903E13" w:rsidP="00B56F90">
      <w:pPr>
        <w:pStyle w:val="aff2"/>
        <w:shd w:val="clear" w:color="auto" w:fill="auto"/>
        <w:spacing w:line="240" w:lineRule="auto"/>
        <w:rPr>
          <w:rFonts w:ascii="Times New Roman" w:hAnsi="Times New Roman" w:cs="Times New Roman"/>
          <w:i w:val="0"/>
          <w:color w:val="000000" w:themeColor="text1"/>
          <w:sz w:val="16"/>
          <w:szCs w:val="16"/>
          <w:lang w:val="ru-RU"/>
        </w:rPr>
      </w:pPr>
      <w:r w:rsidRPr="00070ADE">
        <w:rPr>
          <w:rFonts w:ascii="Times New Roman" w:hAnsi="Times New Roman" w:cs="Times New Roman"/>
          <w:i w:val="0"/>
          <w:color w:val="000000" w:themeColor="text1"/>
          <w:sz w:val="16"/>
          <w:szCs w:val="16"/>
          <w:lang w:val="ru-RU"/>
        </w:rPr>
        <w:t>Деформация обтекателей правой и левой пушек после пикирования и резкого вывода 19.12.43 (старший лейтенант Поминальный)</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4D4663" w:rsidRPr="00070ADE" w14:paraId="3893962A"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38059DAB"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A7E728D"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6FFD655C"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672667F7"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76F5E26"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167BB578"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22ED7205"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0A3BF0DA"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20</w:t>
            </w:r>
          </w:p>
        </w:tc>
      </w:tr>
      <w:tr w:rsidR="004D4663" w:rsidRPr="00070ADE" w14:paraId="5B20FE33"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10F4A13A"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13D9EAF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2A18B93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11871E0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07977CE3"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599EC67D"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3B3181D3"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754E6260"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МП-20</w:t>
            </w:r>
          </w:p>
        </w:tc>
      </w:tr>
      <w:tr w:rsidR="004D4663" w:rsidRPr="00070ADE" w14:paraId="30F48E2B" w14:textId="77777777" w:rsidTr="00903E13">
        <w:trPr>
          <w:trHeight w:val="595"/>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1BC4D82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69A4F9A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790B53CF"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429B36F7"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57988ADB"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1213C755"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1BD2BE34"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7ED79ED0"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19</w:t>
            </w:r>
          </w:p>
        </w:tc>
      </w:tr>
    </w:tbl>
    <w:p w14:paraId="30FEE429"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 результатам испытаний самолета «Харрикейн» 1Ю и его вооружения управ</w:t>
      </w:r>
      <w:r w:rsidRPr="00070ADE">
        <w:rPr>
          <w:rFonts w:ascii="Times New Roman" w:hAnsi="Times New Roman" w:cs="Times New Roman"/>
          <w:color w:val="000000" w:themeColor="text1"/>
          <w:sz w:val="16"/>
          <w:szCs w:val="16"/>
        </w:rPr>
        <w:softHyphen/>
        <w:t>ление технической эксплуатации ВВС КА в марте 1944 г. специальным информа</w:t>
      </w:r>
      <w:r w:rsidRPr="00070ADE">
        <w:rPr>
          <w:rFonts w:ascii="Times New Roman" w:hAnsi="Times New Roman" w:cs="Times New Roman"/>
          <w:color w:val="000000" w:themeColor="text1"/>
          <w:sz w:val="16"/>
          <w:szCs w:val="16"/>
        </w:rPr>
        <w:softHyphen/>
        <w:t>ционным письмом довело до сведения летного и технического состава строевых полков ВВС КА особенности техники пи-</w:t>
      </w:r>
    </w:p>
    <w:p w14:paraId="3D83B8E2"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лотирования самолета и его основные летные данные. Указывалось, что по тех</w:t>
      </w:r>
      <w:r w:rsidRPr="00070ADE">
        <w:rPr>
          <w:rFonts w:ascii="Times New Roman" w:hAnsi="Times New Roman" w:cs="Times New Roman"/>
          <w:color w:val="000000" w:themeColor="text1"/>
          <w:sz w:val="16"/>
          <w:szCs w:val="16"/>
        </w:rPr>
        <w:softHyphen/>
        <w:t>нике пилотирования самолет «Харрикейн» 1Ю не отличается от «Харрикейна» ПС. Дальность и продолжительность полета «Харрикейна» 1Ю и Харрикейна» ПС прак</w:t>
      </w:r>
      <w:r w:rsidRPr="00070ADE">
        <w:rPr>
          <w:rFonts w:ascii="Times New Roman" w:hAnsi="Times New Roman" w:cs="Times New Roman"/>
          <w:color w:val="000000" w:themeColor="text1"/>
          <w:sz w:val="16"/>
          <w:szCs w:val="16"/>
        </w:rPr>
        <w:softHyphen/>
        <w:t>тически равны. В связи с появлением тря</w:t>
      </w:r>
      <w:r w:rsidRPr="00070ADE">
        <w:rPr>
          <w:rFonts w:ascii="Times New Roman" w:hAnsi="Times New Roman" w:cs="Times New Roman"/>
          <w:color w:val="000000" w:themeColor="text1"/>
          <w:sz w:val="16"/>
          <w:szCs w:val="16"/>
        </w:rPr>
        <w:softHyphen/>
        <w:t>ски при скорости порядка 380-385 миль/ч (610-620 км/ч) скорость пикирования са</w:t>
      </w:r>
      <w:r w:rsidRPr="00070ADE">
        <w:rPr>
          <w:rFonts w:ascii="Times New Roman" w:hAnsi="Times New Roman" w:cs="Times New Roman"/>
          <w:color w:val="000000" w:themeColor="text1"/>
          <w:sz w:val="16"/>
          <w:szCs w:val="16"/>
        </w:rPr>
        <w:softHyphen/>
        <w:t>молета «Харрикейн» НО ограничивалась 375 миль/ч (600 км/ч).</w:t>
      </w:r>
    </w:p>
    <w:p w14:paraId="01589497"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17 мая 1944 г. заместитель начальни</w:t>
      </w:r>
      <w:r w:rsidRPr="00070ADE">
        <w:rPr>
          <w:rFonts w:ascii="Times New Roman" w:hAnsi="Times New Roman" w:cs="Times New Roman"/>
          <w:color w:val="000000" w:themeColor="text1"/>
          <w:sz w:val="16"/>
          <w:szCs w:val="16"/>
        </w:rPr>
        <w:softHyphen/>
        <w:t>ка оперативного управления ВВС КА ге- нерал-майор А.П. Некрасов направил на</w:t>
      </w:r>
      <w:r w:rsidRPr="00070ADE">
        <w:rPr>
          <w:rFonts w:ascii="Times New Roman" w:hAnsi="Times New Roman" w:cs="Times New Roman"/>
          <w:color w:val="000000" w:themeColor="text1"/>
          <w:sz w:val="16"/>
          <w:szCs w:val="16"/>
        </w:rPr>
        <w:softHyphen/>
        <w:t>чальнику штаба ВВС генерал-полковнику С.А. Худякову заключение о боевых воз</w:t>
      </w:r>
      <w:r w:rsidRPr="00070ADE">
        <w:rPr>
          <w:rFonts w:ascii="Times New Roman" w:hAnsi="Times New Roman" w:cs="Times New Roman"/>
          <w:color w:val="000000" w:themeColor="text1"/>
          <w:sz w:val="16"/>
          <w:szCs w:val="16"/>
        </w:rPr>
        <w:softHyphen/>
        <w:t>можностях самолета «Харрикейн» !Ю.</w:t>
      </w:r>
    </w:p>
    <w:p w14:paraId="3E491A34"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документе констатировалось, что «вследствие слабого могущества выстре</w:t>
      </w:r>
      <w:r w:rsidRPr="00070ADE">
        <w:rPr>
          <w:rFonts w:ascii="Times New Roman" w:hAnsi="Times New Roman" w:cs="Times New Roman"/>
          <w:color w:val="000000" w:themeColor="text1"/>
          <w:sz w:val="16"/>
          <w:szCs w:val="16"/>
        </w:rPr>
        <w:softHyphen/>
        <w:t>ла стрелково-пушечного оружия, отсут</w:t>
      </w:r>
      <w:r w:rsidRPr="00070ADE">
        <w:rPr>
          <w:rFonts w:ascii="Times New Roman" w:hAnsi="Times New Roman" w:cs="Times New Roman"/>
          <w:color w:val="000000" w:themeColor="text1"/>
          <w:sz w:val="16"/>
          <w:szCs w:val="16"/>
        </w:rPr>
        <w:softHyphen/>
        <w:t>ствия бомбардировочного вооружения и недостаточного бронирования, самолет «Харрикейн» 1Ю не может быть эффек</w:t>
      </w:r>
      <w:r w:rsidRPr="00070ADE">
        <w:rPr>
          <w:rFonts w:ascii="Times New Roman" w:hAnsi="Times New Roman" w:cs="Times New Roman"/>
          <w:color w:val="000000" w:themeColor="text1"/>
          <w:sz w:val="16"/>
          <w:szCs w:val="16"/>
        </w:rPr>
        <w:softHyphen/>
        <w:t>тивно использован, как истребитель тан</w:t>
      </w:r>
      <w:r w:rsidRPr="00070ADE">
        <w:rPr>
          <w:rFonts w:ascii="Times New Roman" w:hAnsi="Times New Roman" w:cs="Times New Roman"/>
          <w:color w:val="000000" w:themeColor="text1"/>
          <w:sz w:val="16"/>
          <w:szCs w:val="16"/>
        </w:rPr>
        <w:softHyphen/>
        <w:t>ков или штурмовик». Боеприпасы пушек НС-37 калибра 37 мм и ВЯ калибра 23 мм, состоящие из осколочно-зажигательных и бронебойно-зажигательных снарядов, имеют больший разрушающий эффект у цели по сравнению с боеприпасами к пуш</w:t>
      </w:r>
      <w:r w:rsidRPr="00070ADE">
        <w:rPr>
          <w:rFonts w:ascii="Times New Roman" w:hAnsi="Times New Roman" w:cs="Times New Roman"/>
          <w:color w:val="000000" w:themeColor="text1"/>
          <w:sz w:val="16"/>
          <w:szCs w:val="16"/>
        </w:rPr>
        <w:softHyphen/>
        <w:t>ке Виккерс 5, а бронебойный снаряд пушки НС-37 обладает к тому же еще и большей бронепробиваемостью.</w:t>
      </w:r>
    </w:p>
    <w:p w14:paraId="157F2352"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 xml:space="preserve">Внимание руководства обращалось на ненормальную ситуацию со снабжением ВВС КА снарядами к пушкам Виккерс 5. По этому поводу в докладе указывалось: </w:t>
      </w:r>
      <w:r w:rsidRPr="00070ADE">
        <w:rPr>
          <w:rStyle w:val="aff7"/>
          <w:rFonts w:ascii="Times New Roman" w:hAnsi="Times New Roman" w:cs="Times New Roman"/>
          <w:i w:val="0"/>
          <w:color w:val="000000" w:themeColor="text1"/>
        </w:rPr>
        <w:t>«Получаемые нами бронебойные снаряды от англичан, являются недозаряженны- ми (нет взрывчатого вещества и донного взрывателя), вследствие чего баллистиче</w:t>
      </w:r>
      <w:r w:rsidRPr="00070ADE">
        <w:rPr>
          <w:rStyle w:val="aff7"/>
          <w:rFonts w:ascii="Times New Roman" w:hAnsi="Times New Roman" w:cs="Times New Roman"/>
          <w:i w:val="0"/>
          <w:color w:val="000000" w:themeColor="text1"/>
        </w:rPr>
        <w:softHyphen/>
        <w:t>ские характеристики снарядов плохие и не отвечают тактико-техническим требовани</w:t>
      </w:r>
      <w:r w:rsidRPr="00070ADE">
        <w:rPr>
          <w:rStyle w:val="aff7"/>
          <w:rFonts w:ascii="Times New Roman" w:hAnsi="Times New Roman" w:cs="Times New Roman"/>
          <w:i w:val="0"/>
          <w:color w:val="000000" w:themeColor="text1"/>
        </w:rPr>
        <w:softHyphen/>
        <w:t>ям к боеприпасам воздушного боя. Такой тип снаряда не в состоянии пробить броню среднего танка в 45 мм на дистанции 300 м под углом встречи к нормали 30°, а бронь толщиной меньше, чем 30 мм, или пла</w:t>
      </w:r>
      <w:r w:rsidRPr="00070ADE">
        <w:rPr>
          <w:rStyle w:val="aff7"/>
          <w:rFonts w:ascii="Times New Roman" w:hAnsi="Times New Roman" w:cs="Times New Roman"/>
          <w:i w:val="0"/>
          <w:color w:val="000000" w:themeColor="text1"/>
        </w:rPr>
        <w:softHyphen/>
        <w:t>нер самолета, он способен пробить, но не разрушить, так как снаряд не имеет ни за</w:t>
      </w:r>
      <w:r w:rsidRPr="00070ADE">
        <w:rPr>
          <w:rStyle w:val="aff7"/>
          <w:rFonts w:ascii="Times New Roman" w:hAnsi="Times New Roman" w:cs="Times New Roman"/>
          <w:i w:val="0"/>
          <w:color w:val="000000" w:themeColor="text1"/>
        </w:rPr>
        <w:softHyphen/>
        <w:t>жигательного, ни фугасного снаряжения. Поэтому такие снаряды могут быть исполь</w:t>
      </w:r>
      <w:r w:rsidRPr="00070ADE">
        <w:rPr>
          <w:rStyle w:val="aff7"/>
          <w:rFonts w:ascii="Times New Roman" w:hAnsi="Times New Roman" w:cs="Times New Roman"/>
          <w:i w:val="0"/>
          <w:color w:val="000000" w:themeColor="text1"/>
        </w:rPr>
        <w:softHyphen/>
        <w:t>зованы для учебных целей или каклафето- пробные. Для поражения самолетов в воз</w:t>
      </w:r>
      <w:r w:rsidRPr="00070ADE">
        <w:rPr>
          <w:rStyle w:val="aff7"/>
          <w:rFonts w:ascii="Times New Roman" w:hAnsi="Times New Roman" w:cs="Times New Roman"/>
          <w:i w:val="0"/>
          <w:color w:val="000000" w:themeColor="text1"/>
        </w:rPr>
        <w:softHyphen/>
        <w:t>духе нужны снаряды осколочно-фугасного действия».</w:t>
      </w:r>
    </w:p>
    <w:p w14:paraId="497ACB58"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При сопоставимых летных данных у земли основной ударный самолет ВВС КА штурмовик Ил-2 имел значительно более сильное бронирование, бомбардировоч</w:t>
      </w:r>
      <w:r w:rsidRPr="00070ADE">
        <w:rPr>
          <w:rFonts w:ascii="Times New Roman" w:hAnsi="Times New Roman" w:cs="Times New Roman"/>
          <w:color w:val="000000" w:themeColor="text1"/>
          <w:sz w:val="16"/>
          <w:szCs w:val="16"/>
        </w:rPr>
        <w:softHyphen/>
        <w:t>ное вооружение и воздушного стрелка для защиты от атак истребителей против</w:t>
      </w:r>
      <w:r w:rsidRPr="00070ADE">
        <w:rPr>
          <w:rFonts w:ascii="Times New Roman" w:hAnsi="Times New Roman" w:cs="Times New Roman"/>
          <w:color w:val="000000" w:themeColor="text1"/>
          <w:sz w:val="16"/>
          <w:szCs w:val="16"/>
        </w:rPr>
        <w:softHyphen/>
        <w:t>ника со стороны задней полусферы. По этим причинам боевые качества Ил-2 оценивались специалистами оператив</w:t>
      </w:r>
      <w:r w:rsidRPr="00070ADE">
        <w:rPr>
          <w:rFonts w:ascii="Times New Roman" w:hAnsi="Times New Roman" w:cs="Times New Roman"/>
          <w:color w:val="000000" w:themeColor="text1"/>
          <w:sz w:val="16"/>
          <w:szCs w:val="16"/>
        </w:rPr>
        <w:softHyphen/>
        <w:t>ного управления значительно выше, чем «Харрикейна»1Ю.</w:t>
      </w:r>
    </w:p>
    <w:p w14:paraId="06D7BE8C"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На основании этого делался вывод, что «самолет «Харрикейн» НО в качестве штурмовика применять нецелесообразно, вследствие слабого могущества выстре</w:t>
      </w:r>
      <w:r w:rsidRPr="00070ADE">
        <w:rPr>
          <w:rFonts w:ascii="Times New Roman" w:hAnsi="Times New Roman" w:cs="Times New Roman"/>
          <w:color w:val="000000" w:themeColor="text1"/>
          <w:sz w:val="16"/>
          <w:szCs w:val="16"/>
        </w:rPr>
        <w:softHyphen/>
        <w:t>ла стрелково-пушечного вооружения, от</w:t>
      </w:r>
      <w:r w:rsidRPr="00070ADE">
        <w:rPr>
          <w:rFonts w:ascii="Times New Roman" w:hAnsi="Times New Roman" w:cs="Times New Roman"/>
          <w:color w:val="000000" w:themeColor="text1"/>
          <w:sz w:val="16"/>
          <w:szCs w:val="16"/>
        </w:rPr>
        <w:softHyphen/>
        <w:t>сутствия бомбардировочного вооружения и слабого бронирования». Истребитель предлагалось использовать в системе ПВО страны в качестве истребителя-перехват- чика, но при условии использования бое</w:t>
      </w:r>
      <w:r w:rsidRPr="00070ADE">
        <w:rPr>
          <w:rFonts w:ascii="Times New Roman" w:hAnsi="Times New Roman" w:cs="Times New Roman"/>
          <w:color w:val="000000" w:themeColor="text1"/>
          <w:sz w:val="16"/>
          <w:szCs w:val="16"/>
        </w:rPr>
        <w:softHyphen/>
        <w:t>припасов «осколочно-трассирующего или осколочно-зажигательного снаряжения».</w:t>
      </w:r>
    </w:p>
    <w:p w14:paraId="1DB5B097"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Известна резолюция генерала Худяко</w:t>
      </w:r>
      <w:r w:rsidRPr="00070ADE">
        <w:rPr>
          <w:rStyle w:val="2f1"/>
          <w:rFonts w:ascii="Times New Roman" w:hAnsi="Times New Roman" w:cs="Times New Roman"/>
          <w:i w:val="0"/>
          <w:color w:val="000000" w:themeColor="text1"/>
          <w:sz w:val="16"/>
          <w:szCs w:val="16"/>
        </w:rPr>
        <w:t>ва, которую тот наложил на документ:</w:t>
      </w:r>
      <w:r w:rsidRPr="00070ADE">
        <w:rPr>
          <w:rFonts w:ascii="Times New Roman" w:hAnsi="Times New Roman"/>
          <w:color w:val="000000" w:themeColor="text1"/>
          <w:sz w:val="16"/>
          <w:szCs w:val="16"/>
        </w:rPr>
        <w:t xml:space="preserve"> «ОУ. Подготовить справку такого же содержа</w:t>
      </w:r>
      <w:r w:rsidRPr="00070ADE">
        <w:rPr>
          <w:rFonts w:ascii="Times New Roman" w:hAnsi="Times New Roman"/>
          <w:color w:val="000000" w:themeColor="text1"/>
          <w:sz w:val="16"/>
          <w:szCs w:val="16"/>
        </w:rPr>
        <w:softHyphen/>
        <w:t>ния главному инженеру ВВС за моей под</w:t>
      </w:r>
      <w:r w:rsidRPr="00070ADE">
        <w:rPr>
          <w:rFonts w:ascii="Times New Roman" w:hAnsi="Times New Roman"/>
          <w:color w:val="000000" w:themeColor="text1"/>
          <w:sz w:val="16"/>
          <w:szCs w:val="16"/>
        </w:rPr>
        <w:softHyphen/>
        <w:t>писью».</w:t>
      </w:r>
      <w:r w:rsidRPr="00070ADE">
        <w:rPr>
          <w:rStyle w:val="2f1"/>
          <w:rFonts w:ascii="Times New Roman" w:hAnsi="Times New Roman" w:cs="Times New Roman"/>
          <w:i w:val="0"/>
          <w:color w:val="000000" w:themeColor="text1"/>
          <w:sz w:val="16"/>
          <w:szCs w:val="16"/>
        </w:rPr>
        <w:t xml:space="preserve"> Уже 23 мая справка ушла в аппарат генерала Репина.</w:t>
      </w:r>
    </w:p>
    <w:p w14:paraId="5E445F61"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Пока «Харрикейны» 1Ю зав. №№ КХ-171 и КХ-305 испытывались и принималось ре</w:t>
      </w:r>
      <w:r w:rsidRPr="00070ADE">
        <w:rPr>
          <w:rFonts w:ascii="Times New Roman" w:hAnsi="Times New Roman" w:cs="Times New Roman"/>
          <w:color w:val="000000" w:themeColor="text1"/>
          <w:sz w:val="16"/>
          <w:szCs w:val="16"/>
        </w:rPr>
        <w:softHyphen/>
        <w:t>шение о целесообразности применения самолетов этого типа в ВВС КА, личный состав 246-го иап начиная с октября 1943 г. прошел полный курс переучивания на английский противотанковый истребитель в 25-м запасном истребительном авиапол</w:t>
      </w:r>
      <w:r w:rsidRPr="00070ADE">
        <w:rPr>
          <w:rFonts w:ascii="Times New Roman" w:hAnsi="Times New Roman" w:cs="Times New Roman"/>
          <w:color w:val="000000" w:themeColor="text1"/>
          <w:sz w:val="16"/>
          <w:szCs w:val="16"/>
        </w:rPr>
        <w:softHyphen/>
        <w:t>ку ВВС Закавказского военного округа (г. Аджи-Кабул) (12735).</w:t>
      </w:r>
    </w:p>
    <w:p w14:paraId="000BF3DE"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p>
    <w:p w14:paraId="19BFDD63" w14:textId="77777777" w:rsidR="00735554" w:rsidRPr="00070ADE" w:rsidRDefault="00735554"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предложили разработать для Ил-4 пневматический антиобледенитель по типу американ</w:t>
      </w:r>
      <w:r w:rsidRPr="00070ADE">
        <w:rPr>
          <w:rFonts w:ascii="Times New Roman" w:hAnsi="Times New Roman"/>
          <w:color w:val="000000" w:themeColor="text1"/>
          <w:sz w:val="16"/>
          <w:szCs w:val="16"/>
        </w:rPr>
        <w:softHyphen/>
        <w:t>ского «Гудрич». У него сжатый воздух то подавался, то стравливался из рези</w:t>
      </w:r>
      <w:r w:rsidRPr="00070ADE">
        <w:rPr>
          <w:rFonts w:ascii="Times New Roman" w:hAnsi="Times New Roman"/>
          <w:color w:val="000000" w:themeColor="text1"/>
          <w:sz w:val="16"/>
          <w:szCs w:val="16"/>
        </w:rPr>
        <w:softHyphen/>
        <w:t>новых камер, стряхивая наледь. Но ни</w:t>
      </w:r>
      <w:r w:rsidRPr="00070ADE">
        <w:rPr>
          <w:rFonts w:ascii="Times New Roman" w:hAnsi="Times New Roman"/>
          <w:color w:val="000000" w:themeColor="text1"/>
          <w:sz w:val="16"/>
          <w:szCs w:val="16"/>
        </w:rPr>
        <w:softHyphen/>
        <w:t>каких сведений о создании отечествен</w:t>
      </w:r>
      <w:r w:rsidRPr="00070ADE">
        <w:rPr>
          <w:rFonts w:ascii="Times New Roman" w:hAnsi="Times New Roman"/>
          <w:color w:val="000000" w:themeColor="text1"/>
          <w:sz w:val="16"/>
          <w:szCs w:val="16"/>
        </w:rPr>
        <w:softHyphen/>
        <w:t>ной конструкции такого типа нет (10734,81).</w:t>
      </w:r>
    </w:p>
    <w:p w14:paraId="709CD1C3" w14:textId="77777777" w:rsidR="00735554" w:rsidRPr="00070ADE" w:rsidRDefault="00735554"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2B37CD" w14:textId="77777777" w:rsidR="0096643E" w:rsidRPr="00070ADE" w:rsidRDefault="0096643E"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закончились заводские летные испытания самолета Пе-2 с новыми моторами М-1, которые шли с ноября 1943. В акте по испытаниям отмечалось, что данные могут быть еще улучшены. Для этого на самолете следовало реализовать комплекс мер по совершенствованию аэродинамики, предложенный ЦАГИ и осуществленный на Пе-2Б. Однако наркомат авиапромышленности уже связал свои планы с моторами М-107А. Запускать в производство сразу два новых двигателя жидкостного охлаждения было неразумно. Поэтому у Пе-2 с М-1 шансов на серию не осталось (4476).</w:t>
      </w:r>
    </w:p>
    <w:p w14:paraId="49087F4D" w14:textId="77777777" w:rsidR="0096643E" w:rsidRPr="00070ADE" w:rsidRDefault="0096643E"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087FEB" w14:textId="77777777" w:rsidR="0096643E" w:rsidRPr="00070ADE" w:rsidRDefault="0096643E"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закончились испытания Пе-2 с М-1, которые проходили с ноября 1943. Этот мотор, созданный на заводе № 16, представлял собой на мотогондоле самолета непосредственное развитие М-105 с сохранением его внешних форм и основных размеров (диаметр цилиндров был все же незначительно увеличен). По расчетам, M-l должен был обеспечивать максимальную мощность 1500 л.с. у земли и 1300 л.с. на второй границе высотности 5000 м.</w:t>
      </w:r>
    </w:p>
    <w:p w14:paraId="6F203721" w14:textId="77777777" w:rsidR="0096643E" w:rsidRPr="00070ADE" w:rsidRDefault="0096643E"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Для установки новых многообещающих моторов завод выделил серийный Пе-2 зав. № 12/224. После выполненных переделок мотогондолы "пешки" заметно изменились внешне. Так, выхлопные патрубки переместились с боковых поверхностей капота на верхнюю, вместо двух симметрично расположенных всасывающих патрубков нагнетателя смонтировали один увеличенный слева от мотора. Появились также специальные кожухи для продува пространства внутри развала моторов, где монтировались свечи, генератор ГС-1000 и другие агрегаты.</w:t>
      </w:r>
    </w:p>
    <w:p w14:paraId="41EFE83F" w14:textId="77777777" w:rsidR="0096643E" w:rsidRPr="00070ADE" w:rsidRDefault="0096643E"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проводил заводской летчик Кондырев. Самолет с более мощными двигателями показал очень неплохие летные данные: максимальную скорость 475 км/ч у земли и 562 км/ч на высоте 6000 м при нормальной полетной массе 8300 кг. Время подъема на высоту 5000 м сократилось по сравнению с серийным на 2,6 мин.</w:t>
      </w:r>
    </w:p>
    <w:p w14:paraId="2BAD8B16" w14:textId="77777777" w:rsidR="0096643E" w:rsidRPr="00070ADE" w:rsidRDefault="0096643E"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акте отмечалось, что полученные данные могут быть улучшены. Для этого на самолете следовало реализовать комплекс мер по совершенствованию аэродинамики, предложенный ЦАГИ и осуществленный на Пе-2Б. Однако наркомат авиапромышленности уже связал свои перспективные планы с моторами M-I07A, а запускать в производство сразу два новых двигателя жидкостного охлаждения было неразумно, поэтому у Пе-2 с М-1 шансов на серию не осталось.</w:t>
      </w:r>
    </w:p>
    <w:p w14:paraId="3BBD886F" w14:textId="77777777" w:rsidR="0096643E" w:rsidRPr="00070ADE" w:rsidRDefault="0096643E"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Зато предпринимались попытки кратковременно повысить мощность обычных серийных моторов М-105ПФ за счет впрыска воды во всасывающие патрубки нагнетателей. Для проведения опытов был выделен Пе-2 зав. № 14/226. Результаты оказались неважными, поэтому самолет весной 1944 г. снова переоборудовали, но уже с другой целью. Сущность модификации заключалась в следующем:</w:t>
      </w:r>
    </w:p>
    <w:p w14:paraId="7127E210" w14:textId="77777777" w:rsidR="0096643E" w:rsidRPr="00070ADE" w:rsidRDefault="0096643E"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носок консольной части крыла до 25% хорды заменялся профилем NACA 230;</w:t>
      </w:r>
    </w:p>
    <w:p w14:paraId="2218748E" w14:textId="77777777" w:rsidR="0096643E" w:rsidRPr="00070ADE" w:rsidRDefault="0096643E"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переделывались законцовки консолей, в связи с чем размах крыла возрастал на 0,92 м, а площадь на 0,848 м!;</w:t>
      </w:r>
    </w:p>
    <w:p w14:paraId="1F3C1F10" w14:textId="77777777" w:rsidR="0096643E" w:rsidRPr="00070ADE" w:rsidRDefault="0096643E"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изменялся передний лонжерон, средние части нервюр и входная часть тоннелей водорадиаторов.</w:t>
      </w:r>
    </w:p>
    <w:p w14:paraId="60807A7C" w14:textId="77777777" w:rsidR="0096643E" w:rsidRPr="00070ADE" w:rsidRDefault="0096643E"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испытаний, законченных в мае 1944 г., установили, что модифицированное крыло заметно улучшало летно-техниче- ские свойства "пешки", особенно на малых скоростях. Упростилось поведение самолета при посадке, он перестал валиться на крыло, уверенно летал на одном моторе. Новый профиль консолей плюс усовершенствованная технология отделки крыла в совокупности "добавили" машине 100 км дальности, способствовали увеличению потолка на 500 м и уменьшению длины разбега на 40 м.</w:t>
      </w:r>
    </w:p>
    <w:p w14:paraId="3BE7C070" w14:textId="77777777" w:rsidR="0096643E" w:rsidRPr="00070ADE" w:rsidRDefault="0096643E"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сожалению, и это техническое решение несмотря на положительную оценку НИИ ВВС, осталось не внедренным в серию. Причина все та же нежелание руководства наркомата авиапромышленности принимать назревшие, но "слишком радикальные" решения. Нарком А.И. Шахурин не отважился санкционировать переход на новое крыло, что неизбежно привело бы к замене части технологического оборудования и временному снижению темпов выпуска "пешек"...</w:t>
      </w:r>
    </w:p>
    <w:p w14:paraId="44CE56EA" w14:textId="77777777" w:rsidR="0096643E" w:rsidRPr="00070ADE" w:rsidRDefault="0096643E"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Заметим, что нарком имел объективные причины опасаться за снабжение авиации КА фронтовыми бомбардировщиками. Летом 1943 г. правительство США в одностороннем порядке пересмотрело заказ фирме "Дуглас", поставлявшей для американских, английских и советских ВВС бомбардировщик-штурмовик А-20 (у нас его многочисленные варианты называли "Бостон", хотя сами американцы предпочитали другое наименование - "Хэвок"). Заокеанские предприятия перешли на выпуск преимущественно модификации A-20G, не соответствовавшей запросам ВВС КА в связи с отсутствием штурмана в составе экипажа. Накануне нового, 1944 г. в НКАП и ГКО оживленно обсуждалась возможность и целесообразность отказа от поставок "Бостонов" (12042).</w:t>
      </w:r>
    </w:p>
    <w:p w14:paraId="3AE91AC3" w14:textId="77777777" w:rsidR="0096643E" w:rsidRPr="00070ADE" w:rsidRDefault="0096643E" w:rsidP="00B56F90">
      <w:pPr>
        <w:autoSpaceDE w:val="0"/>
        <w:autoSpaceDN w:val="0"/>
        <w:adjustRightInd w:val="0"/>
        <w:spacing w:after="0" w:line="240" w:lineRule="auto"/>
        <w:jc w:val="both"/>
        <w:rPr>
          <w:rFonts w:ascii="Times New Roman" w:hAnsi="Times New Roman"/>
          <w:color w:val="000000" w:themeColor="text1"/>
          <w:sz w:val="16"/>
          <w:szCs w:val="16"/>
        </w:rPr>
      </w:pPr>
    </w:p>
    <w:p w14:paraId="1BB476D2" w14:textId="77777777" w:rsidR="0096643E" w:rsidRPr="00070ADE" w:rsidRDefault="0096643E"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ОКБ завода 22 в Казани, возглавляемое В.М.М., получило задание на разработку нового фронтового бомбардировщика со скоростью полета на 100 км/ч больше, чем строевые (у Пе-2 было 500-530 км/ч). Для ускорения внедрения решили использовать имеющуюся оснастку и стали делать Пе-2И - двухместного бомбардировщика. Сделали за 63 дня (1086,20).</w:t>
      </w:r>
    </w:p>
    <w:p w14:paraId="753F10CE" w14:textId="77777777" w:rsidR="0096643E" w:rsidRPr="00070ADE" w:rsidRDefault="0096643E"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74A9B9" w14:textId="57CFE13F" w:rsidR="0096643E" w:rsidRPr="00070ADE" w:rsidRDefault="0096643E"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феврале 1944 г. ОКБ Казанского авиационного завода № 22, возглавляемое В.М. Мясищевым, получило задание срочно разработать новый фронтовой бомбардировщик, обладающий скоростью полета как минимум на 100 км/ч большей, чем у самолетов этого класса, стоящих на вооружении. В то время наибольшая скорость серийных Пе-2 не превышала 500...530 км/ч.</w:t>
      </w:r>
    </w:p>
    <w:p w14:paraId="099FCD7E" w14:textId="77777777" w:rsidR="0096643E" w:rsidRPr="00070ADE" w:rsidRDefault="0096643E" w:rsidP="00B56F90">
      <w:pPr>
        <w:pStyle w:val="ae"/>
        <w:shd w:val="clear" w:color="auto" w:fill="FFFFFF"/>
        <w:spacing w:before="0" w:after="0"/>
        <w:jc w:val="both"/>
        <w:rPr>
          <w:color w:val="000000" w:themeColor="text1"/>
          <w:sz w:val="16"/>
          <w:szCs w:val="16"/>
        </w:rPr>
      </w:pPr>
      <w:r w:rsidRPr="00070ADE">
        <w:rPr>
          <w:color w:val="000000" w:themeColor="text1"/>
          <w:sz w:val="16"/>
          <w:szCs w:val="16"/>
        </w:rPr>
        <w:t>Для ускорения создания и внедрения новой модели в производство приходилось рассчитывать лишь на использование технологической оснастки серийного завода. Поэтому при раз работке более скоростной машины конструкторы взяли за основу самолет Пе-2. Первый опытный экземпляр нового двухместного бомбардировщика Пе-2И был спроектирован и построен за 63 дня. Его испытания (летчик-испытатель К.И. Жданов и ведущий инженер Г.Н. Назаров) были начаты в мае 1944 г. и показали, что усовершенствованная машина отвечает предъявленным требованиям. С бомбовой нагрузкой в 500 кг самолет развивал скорость 556 км/ч в полете у земли, 617 км/ч на вы соте 2950 м и 656 км/ч на высоте 5650 м.</w:t>
      </w:r>
    </w:p>
    <w:p w14:paraId="529AFF7D" w14:textId="77777777" w:rsidR="0096643E" w:rsidRPr="00070ADE" w:rsidRDefault="0096643E" w:rsidP="00B56F90">
      <w:pPr>
        <w:pStyle w:val="ae"/>
        <w:shd w:val="clear" w:color="auto" w:fill="FFFFFF"/>
        <w:spacing w:before="0" w:after="0"/>
        <w:jc w:val="both"/>
        <w:rPr>
          <w:color w:val="000000" w:themeColor="text1"/>
          <w:sz w:val="16"/>
          <w:szCs w:val="16"/>
        </w:rPr>
      </w:pPr>
      <w:r w:rsidRPr="00070ADE">
        <w:rPr>
          <w:color w:val="000000" w:themeColor="text1"/>
          <w:sz w:val="16"/>
          <w:szCs w:val="16"/>
        </w:rPr>
        <w:t>Дальность полета самолета Пе-2И оказалась большей, чем у серийного самолета на 1000 км, и составляла 2275 км. Высоту 5000 м он набирал за 7 мин, т.е. быстрее исходной машины на 2,5 мин.</w:t>
      </w:r>
    </w:p>
    <w:p w14:paraId="1F483867" w14:textId="77777777" w:rsidR="0096643E" w:rsidRPr="00070ADE" w:rsidRDefault="0096643E" w:rsidP="00B56F90">
      <w:pPr>
        <w:pStyle w:val="ae"/>
        <w:shd w:val="clear" w:color="auto" w:fill="FFFFFF"/>
        <w:spacing w:before="0" w:after="0"/>
        <w:jc w:val="both"/>
        <w:rPr>
          <w:color w:val="000000" w:themeColor="text1"/>
          <w:sz w:val="16"/>
          <w:szCs w:val="16"/>
        </w:rPr>
      </w:pPr>
      <w:r w:rsidRPr="00070ADE">
        <w:rPr>
          <w:color w:val="000000" w:themeColor="text1"/>
          <w:sz w:val="16"/>
          <w:szCs w:val="16"/>
        </w:rPr>
        <w:t>Новый скоростной бомбардировщик, способный наносить удары по наземным целям с горизонтального полета и с пикирования, отличался от прототипа более высокой энерговооруженностью, а также более совершенной внешней и внутренней аэродинамикой. Помимо улучшения летных данных это позво лило значительно повысить самый главный показатель боевого летательного аппарата — бомбовую нагрузку. Одновременного роста перечисленных выше характеристик удалось достичь в результате проведения ряда мероприятий и нововведений. Мо торы М-105ПФ были заменены ВК-107А значительно большей мощности (1650/1450 л.с. против 1210/1180 л.с). Крыло получило новые теоретические контуры, образованные из дужек улучшенных скоростных профилей. От носка до переднего лонжерона— «NACA-23012» и до задней кромки— профиль •B-BS». Вместо низкопланной схемы самолет получил среднее расположение крыла относительно фюзеляжа. Крыло было при поднято с целью размещения под его центропланом более вместительного бомбового отсека, позволяющего нести авиабомбу калибром в 1000 кг, для ударов по мощным фортификационным сооружениям противника, крупным наземным и морским целям (19586).</w:t>
      </w:r>
    </w:p>
    <w:p w14:paraId="30A880AA" w14:textId="77777777" w:rsidR="0096643E" w:rsidRPr="00070ADE" w:rsidRDefault="0096643E" w:rsidP="00B56F90">
      <w:pPr>
        <w:pStyle w:val="ae"/>
        <w:shd w:val="clear" w:color="auto" w:fill="FFFFFF"/>
        <w:spacing w:before="0" w:after="0"/>
        <w:jc w:val="both"/>
        <w:rPr>
          <w:color w:val="000000" w:themeColor="text1"/>
          <w:sz w:val="16"/>
          <w:szCs w:val="16"/>
        </w:rPr>
      </w:pPr>
    </w:p>
    <w:p w14:paraId="16FE06CF" w14:textId="77777777" w:rsidR="0096643E" w:rsidRPr="00070ADE" w:rsidRDefault="0096643E"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в НИИ ВВС испытали Головной серийный самолет Пе-2 с М-82Ф. Из-за неудовлетворительной работы карбюраторов и высотных корректоров двигатели на высоте более 3000-4000 м не использовались на полную мощность, поэтому максимальная скорость самолета на второй границе высотности оказалась меньше, чем на первой границе (526 км/час). Главных же причин, сдерживавших серийный выпуск, было две: нехватка двигателей М-82Ф и очень низкое качество маслорадиаторов (3542).</w:t>
      </w:r>
    </w:p>
    <w:p w14:paraId="2A57E481" w14:textId="77777777" w:rsidR="0096643E" w:rsidRPr="00070ADE" w:rsidRDefault="0096643E"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E5F046" w14:textId="77777777" w:rsidR="0096643E" w:rsidRPr="00070ADE" w:rsidRDefault="0096643E"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закончились заводские испытания Пе-2 - переделанного серийного N 12/224 с М-1 - развитием М-105 и вышел акт. Летал Кондырев (2205,43).</w:t>
      </w:r>
    </w:p>
    <w:p w14:paraId="783F64E0" w14:textId="77777777" w:rsidR="0096643E" w:rsidRPr="00070ADE" w:rsidRDefault="0096643E"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0DCF1A" w14:textId="77777777" w:rsidR="0096643E" w:rsidRPr="00070ADE" w:rsidRDefault="0096643E"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в ходе боевого вылета на бомбёжку Хельсинки был выявлен опасный дефект конструкции Пе-8. Экипаж, выполняя противозенитный манёвр, услышал звучный удар где-то позади кабины пилотов. Машина благополучно долетела до своего аэродрома и совершила посадку. После приземления самолёт тщательно осмотрели, но ничего не нашли.</w:t>
      </w:r>
    </w:p>
    <w:p w14:paraId="33CED750" w14:textId="77777777" w:rsidR="0096643E" w:rsidRPr="00070ADE" w:rsidRDefault="0096643E"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Спустя некоторое время такой же удар и приблизительно в том же месте зафиксировал экипаж, перегонявший Пе-8 на завод в Казань. При тщательном осмотре центроплана на этой машине удалось обнаружить след незначительного (на 1 - 2 мм) сдвига нижнего пояса заднего лонжерона по отношению к обойме центрального узла крепления подкосов - как раз позади кабины. Причиной мог быть разрыв трубы, что и подтвердилось при разборке. Перед Незвалем и его коллегами предстала труба, разорванная по крайнему ряду заклёпок. Разрыв был очень ровный и чистый, как обрезанный. То же выявилось и на первом Пе-8.</w:t>
      </w:r>
    </w:p>
    <w:p w14:paraId="2126DAC0" w14:textId="77777777" w:rsidR="0096643E" w:rsidRPr="00070ADE" w:rsidRDefault="0096643E"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Проверили расчёты и убедились, что напряжения не только не превышают допустимых значений, но и имеется достаточный запас прочности. Дальше копаться не стали и приняли решение о местном усилении конструкции. На части парка бомбардировщиков провели доработки, а у остальных машин ограничили бомбовую нагрузку 3200 кг. Случаи разрыва труб лонжеронов прекратились и о проблеме вскоре забыли.</w:t>
      </w:r>
    </w:p>
    <w:p w14:paraId="6AA2C48D" w14:textId="77777777" w:rsidR="0096643E" w:rsidRPr="00070ADE" w:rsidRDefault="0096643E"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на самом деле причина разрушений была иной. Для поясов лонжеронов центроплана по рекомендации ВИАМ была в своё время выбрана сталь ЗОХГСА. Исследования, проведённые Н.И. Мариным, показали, что, работая при высоких напряжениях, она склонна к усталостным разрушениям и при этом обладает очень низким ресурсом. Ничего не оставалось делать, как снижать напряжения в лонжеронах. Переходить на другой сортамент труб было нереально, поэтому через трубы пропустили дополнительные стальные элементы с довольно сложной системой крепления их к узлам лонжеронов. Завод изготовил требуемые детали и специальный инструмент, а заводская бригада совместно с техническим составом провела необходимые доработки Пе-8.</w:t>
      </w:r>
    </w:p>
    <w:p w14:paraId="015B3609" w14:textId="77777777" w:rsidR="0096643E" w:rsidRPr="00070ADE" w:rsidRDefault="0096643E"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до прекращения производства за 1944 г. выпустили 14 самолётов с М-82 и четыре - с дизелями, включая два Пе-8ОН (11996).</w:t>
      </w:r>
    </w:p>
    <w:p w14:paraId="23349E76" w14:textId="77777777" w:rsidR="0096643E" w:rsidRPr="00070ADE" w:rsidRDefault="0096643E" w:rsidP="00B56F90">
      <w:pPr>
        <w:autoSpaceDE w:val="0"/>
        <w:autoSpaceDN w:val="0"/>
        <w:adjustRightInd w:val="0"/>
        <w:spacing w:after="0" w:line="240" w:lineRule="auto"/>
        <w:jc w:val="both"/>
        <w:rPr>
          <w:rFonts w:ascii="Times New Roman" w:hAnsi="Times New Roman"/>
          <w:color w:val="000000" w:themeColor="text1"/>
          <w:sz w:val="16"/>
          <w:szCs w:val="16"/>
        </w:rPr>
      </w:pPr>
    </w:p>
    <w:p w14:paraId="4249079F" w14:textId="77777777" w:rsidR="0096643E" w:rsidRPr="00C94B78" w:rsidRDefault="00966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г. заводские испытания самолета Пе-2 2М-1 завершились, дав следующие результаты (приведено сравнение с самолетом Пе-2 №12/224 с двигателями М-105ПФ до его переоборудования под моторы М-1):</w:t>
      </w:r>
    </w:p>
    <w:p w14:paraId="06B639F4" w14:textId="77777777" w:rsidR="0096643E" w:rsidRPr="00C94B78" w:rsidRDefault="00966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максимальная скорость у земли 475 км/ч (на 10 км/ч больше, чем по расчету и на 26 км/ч или на 6% больше, чем у этого же самолета до доработки);</w:t>
      </w:r>
    </w:p>
    <w:p w14:paraId="17D9FB4B" w14:textId="77777777" w:rsidR="0096643E" w:rsidRPr="00C94B78" w:rsidRDefault="00966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максимальная скорость на II границе высотности достигла 562 км/ч (на 12 км/ч больше, чем по расчету и на 55 км/ч или на 10,8% больше, чем у этого же самолета до доработки, при том, что граница высотности выросла с 3650 до 6000 м);</w:t>
      </w:r>
    </w:p>
    <w:p w14:paraId="208A21D2" w14:textId="77777777" w:rsidR="0096643E" w:rsidRPr="00C94B78" w:rsidRDefault="00966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время набора высоты 5000 м составило 7,9 мин. (на 0,2 мин. больше, чем по расчету, но на 2,6 мин. меньше, чем у этого же самолета до доработки).</w:t>
      </w:r>
    </w:p>
    <w:p w14:paraId="6E404A41" w14:textId="77777777" w:rsidR="0096643E" w:rsidRPr="00C94B78" w:rsidRDefault="00966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Это были очень хорошие результаты, однако не известно, как показали себя двигатели М-1 по надежности и ремонтной пригодности, также нет сведений о дальности полета, но вероятно она уменьшилась, т.к. расход топлива существенно вырос.</w:t>
      </w:r>
    </w:p>
    <w:p w14:paraId="336D9F11" w14:textId="77777777" w:rsidR="0096643E" w:rsidRPr="00C94B78" w:rsidRDefault="00966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Главным препятствием на пути запуска в серию двигателей М-1 стали их отличия по размерам цилиндров, поршней, шатунов и коленвала. Все это требовало создания нового комплекта литейной, штамповочной и контрольной оснастки – слишком трудоемкой и дорогой, что оказалось непозволительно в военное время – мотор М-1 в серию запущен не был (25430).</w:t>
      </w:r>
    </w:p>
    <w:p w14:paraId="0F7C27F8" w14:textId="77777777" w:rsidR="0096643E" w:rsidRPr="00C94B78" w:rsidRDefault="0096643E" w:rsidP="00B56F90">
      <w:pPr>
        <w:spacing w:after="0" w:line="240" w:lineRule="auto"/>
        <w:jc w:val="both"/>
        <w:rPr>
          <w:rFonts w:ascii="Times New Roman" w:hAnsi="Times New Roman"/>
          <w:color w:val="0070C0"/>
          <w:sz w:val="16"/>
          <w:szCs w:val="16"/>
        </w:rPr>
      </w:pPr>
    </w:p>
    <w:p w14:paraId="291611F0" w14:textId="77777777" w:rsidR="0096643E" w:rsidRPr="00C94B78" w:rsidRDefault="00966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1944-го Головной серийный Пе-2 с М-82Ф испытали в НИИ ВВС, причем это был не № 1/226 (у него в ходе заводских испытают оборвался шатун, и самолет вышел из строя), а самолет № 1/232. Из-за неудовлетворительной работы карбюраторов и высотных корректоров двигатели на высоте более 3000-4000 м недодавали мощности, поэтому максимальная скорость самолета на второй границе высотности оказалась меньшей, чем на первой (526 км/ч). Главных же причин, сдерживавших серийный выпуск Пе-2 с М-82, было две: нехватка двигателей М-82Ф и массовый брак маслорадиаторов. До сих пор не совсем ясно, как мог ГКО планировать массовый выпуск «пешек» со швецовскими двигателями, если их не хватало даже для истребителей Лавочкина (25305).</w:t>
      </w:r>
    </w:p>
    <w:p w14:paraId="4EBAEA8B" w14:textId="77777777" w:rsidR="0096643E" w:rsidRPr="00C94B78" w:rsidRDefault="0096643E" w:rsidP="00B56F90">
      <w:pPr>
        <w:spacing w:after="0" w:line="240" w:lineRule="auto"/>
        <w:jc w:val="both"/>
        <w:rPr>
          <w:rFonts w:ascii="Times New Roman" w:hAnsi="Times New Roman"/>
          <w:color w:val="0070C0"/>
          <w:sz w:val="16"/>
          <w:szCs w:val="16"/>
        </w:rPr>
      </w:pPr>
    </w:p>
    <w:p w14:paraId="549842C3" w14:textId="77777777" w:rsidR="00091792" w:rsidRPr="00070ADE" w:rsidRDefault="00091792"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февраля 1944 г. велись летные испытания Пе-2 с двигателями М-1, которые начались 16 декабря 1943 г. Разработка проекта двигателя М-116П осуществлялась в конструктор</w:t>
      </w:r>
      <w:r w:rsidRPr="00070ADE">
        <w:rPr>
          <w:rFonts w:ascii="Times New Roman" w:hAnsi="Times New Roman"/>
          <w:color w:val="000000" w:themeColor="text1"/>
          <w:sz w:val="16"/>
          <w:szCs w:val="16"/>
        </w:rPr>
        <w:softHyphen/>
        <w:t>ском бюро завода № 16 в Казани с 1942 г. Он представлял собой мо</w:t>
      </w:r>
      <w:r w:rsidRPr="00070ADE">
        <w:rPr>
          <w:rFonts w:ascii="Times New Roman" w:hAnsi="Times New Roman"/>
          <w:color w:val="000000" w:themeColor="text1"/>
          <w:sz w:val="16"/>
          <w:szCs w:val="16"/>
        </w:rPr>
        <w:softHyphen/>
        <w:t>дернизацию серийного двигателя М-105П (впоследствии М-105ПФ). На нем вернулись к диаметру цилиндра 150 мм (как на М-103), ввели новые гильзы, четырехклапанный механизм газораспределения с улучшенной гидравликой, усиленные коленвал и редуктор, усовершенствовали охлажде</w:t>
      </w:r>
      <w:r w:rsidRPr="00070ADE">
        <w:rPr>
          <w:rFonts w:ascii="Times New Roman" w:hAnsi="Times New Roman"/>
          <w:color w:val="000000" w:themeColor="text1"/>
          <w:sz w:val="16"/>
          <w:szCs w:val="16"/>
        </w:rPr>
        <w:softHyphen/>
        <w:t>ние верхней части блока, изменили схему смазки коренных подшипников, внесли еще ряд мелких изменений. По сравнению с М-105ПФ мотор фор</w:t>
      </w:r>
      <w:r w:rsidRPr="00070ADE">
        <w:rPr>
          <w:rFonts w:ascii="Times New Roman" w:hAnsi="Times New Roman"/>
          <w:color w:val="000000" w:themeColor="text1"/>
          <w:sz w:val="16"/>
          <w:szCs w:val="16"/>
        </w:rPr>
        <w:softHyphen/>
        <w:t>сировали по оборотам. В серийное производство М-1 не запускался, поскольку сочли, что он менее унифицирован с М-105ПФ, чем М-107А (ВК-107А).</w:t>
      </w:r>
    </w:p>
    <w:p w14:paraId="704626E7" w14:textId="77777777" w:rsidR="00091792" w:rsidRPr="00070ADE" w:rsidRDefault="00091792"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Характеристики:</w:t>
      </w:r>
    </w:p>
    <w:p w14:paraId="4E4F539E" w14:textId="77777777" w:rsidR="00091792" w:rsidRPr="00070ADE" w:rsidRDefault="00091792"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12-цилиндровый, У-образный рядный, четырехтактный, жидкостно</w:t>
      </w:r>
      <w:r w:rsidRPr="00070ADE">
        <w:rPr>
          <w:rFonts w:ascii="Times New Roman" w:hAnsi="Times New Roman"/>
          <w:color w:val="000000" w:themeColor="text1"/>
          <w:sz w:val="16"/>
          <w:szCs w:val="16"/>
        </w:rPr>
        <w:softHyphen/>
        <w:t>го охлаждения, редукторный, с одноступенчатым двухскоростным ПЦН;</w:t>
      </w:r>
    </w:p>
    <w:p w14:paraId="5447BD39" w14:textId="77777777" w:rsidR="00091792" w:rsidRPr="00070ADE" w:rsidRDefault="00091792"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диаметр цилиндра/ход поршня 150/170 мм;</w:t>
      </w:r>
    </w:p>
    <w:p w14:paraId="5F3311F7" w14:textId="77777777" w:rsidR="00091792" w:rsidRPr="00070ADE" w:rsidRDefault="00091792"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объем 36,0 л;</w:t>
      </w:r>
    </w:p>
    <w:p w14:paraId="45451DE7" w14:textId="77777777" w:rsidR="00091792" w:rsidRPr="00070ADE" w:rsidRDefault="00091792"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степень сжатия 6,6;</w:t>
      </w:r>
    </w:p>
    <w:p w14:paraId="0798F359" w14:textId="77777777" w:rsidR="00091792" w:rsidRPr="00070ADE" w:rsidRDefault="00091792"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мощность 1300/1500 л.с.:</w:t>
      </w:r>
    </w:p>
    <w:p w14:paraId="11BC5B4D" w14:textId="77777777" w:rsidR="00091792" w:rsidRPr="00070ADE" w:rsidRDefault="00091792"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вес 660 кг.</w:t>
      </w:r>
    </w:p>
    <w:p w14:paraId="020754C5" w14:textId="77777777" w:rsidR="00091792" w:rsidRPr="00070ADE" w:rsidRDefault="00091792"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 устанавливался на переделанном серийном самолете Пе-2. Его пред</w:t>
      </w:r>
      <w:r w:rsidRPr="00070ADE">
        <w:rPr>
          <w:rFonts w:ascii="Times New Roman" w:hAnsi="Times New Roman"/>
          <w:color w:val="000000" w:themeColor="text1"/>
          <w:sz w:val="16"/>
          <w:szCs w:val="16"/>
        </w:rPr>
        <w:softHyphen/>
        <w:t>полагали также установить на одном из истребителей А.С. Яковлева (11852).</w:t>
      </w:r>
    </w:p>
    <w:p w14:paraId="6E4BBB17" w14:textId="77777777" w:rsidR="00091792" w:rsidRPr="00070ADE" w:rsidRDefault="00091792"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EC83EB"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shd w:val="clear" w:color="auto" w:fill="FFFFFF"/>
        </w:rPr>
        <w:t>В феврале 1944 г. ОКБ Казанского авиационного завода № 22, возглавляемое В.М. Мясищевым, получило задание сроч</w:t>
      </w:r>
      <w:r w:rsidRPr="00C94B78">
        <w:rPr>
          <w:rFonts w:ascii="Times New Roman" w:hAnsi="Times New Roman"/>
          <w:color w:val="0070C0"/>
          <w:sz w:val="16"/>
          <w:szCs w:val="16"/>
          <w:shd w:val="clear" w:color="auto" w:fill="FFFFFF"/>
        </w:rPr>
        <w:softHyphen/>
        <w:t>но разработать новый фронтовой бомбардировщик, обладаю</w:t>
      </w:r>
      <w:r w:rsidRPr="00C94B78">
        <w:rPr>
          <w:rFonts w:ascii="Times New Roman" w:hAnsi="Times New Roman"/>
          <w:color w:val="0070C0"/>
          <w:sz w:val="16"/>
          <w:szCs w:val="16"/>
          <w:shd w:val="clear" w:color="auto" w:fill="FFFFFF"/>
        </w:rPr>
        <w:softHyphen/>
        <w:t>щий скоростью полета как минимум на 100 км/ч большей, чем у самолетов этого класса, стоящих на вооружении. В то время наибольшая скорость серийных Пе-2 не превышала 500-</w:t>
      </w:r>
      <w:bookmarkStart w:id="18" w:name="bookmark320"/>
      <w:bookmarkEnd w:id="18"/>
      <w:r w:rsidRPr="00C94B78">
        <w:rPr>
          <w:rFonts w:ascii="Times New Roman" w:hAnsi="Times New Roman"/>
          <w:color w:val="0070C0"/>
          <w:sz w:val="16"/>
          <w:szCs w:val="16"/>
        </w:rPr>
        <w:t>530 км/ч</w:t>
      </w:r>
    </w:p>
    <w:p w14:paraId="728D8F7B"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Для ускорения создания и внедрения новой модели в про</w:t>
      </w:r>
      <w:r w:rsidRPr="00C94B78">
        <w:rPr>
          <w:rFonts w:ascii="Times New Roman" w:hAnsi="Times New Roman"/>
          <w:color w:val="0070C0"/>
          <w:sz w:val="16"/>
          <w:szCs w:val="16"/>
        </w:rPr>
        <w:softHyphen/>
        <w:t>изводство приходилось рассчитывать лишь на использование технологической оснастки серийного завода. Поэтому при раз</w:t>
      </w:r>
      <w:r w:rsidRPr="00C94B78">
        <w:rPr>
          <w:rFonts w:ascii="Times New Roman" w:hAnsi="Times New Roman"/>
          <w:color w:val="0070C0"/>
          <w:sz w:val="16"/>
          <w:szCs w:val="16"/>
        </w:rPr>
        <w:softHyphen/>
        <w:t>работке более скоростной машины конструкторы взяли за ос</w:t>
      </w:r>
      <w:r w:rsidRPr="00C94B78">
        <w:rPr>
          <w:rFonts w:ascii="Times New Roman" w:hAnsi="Times New Roman"/>
          <w:color w:val="0070C0"/>
          <w:sz w:val="16"/>
          <w:szCs w:val="16"/>
        </w:rPr>
        <w:softHyphen/>
        <w:t>нову самолет Пе-2. Первый опытный экземпляр нового двухме</w:t>
      </w:r>
      <w:r w:rsidRPr="00C94B78">
        <w:rPr>
          <w:rFonts w:ascii="Times New Roman" w:hAnsi="Times New Roman"/>
          <w:color w:val="0070C0"/>
          <w:sz w:val="16"/>
          <w:szCs w:val="16"/>
        </w:rPr>
        <w:softHyphen/>
        <w:t>стного бомбардировщика Пе-2И был спроектирован и построен за 63 дня. Его испытания (летчик-испытатель К.И. Жданов и ведущий инженер Г.Н. Назаров) были начаты в мае 1944 г. и показали, что усовершенствованная машина отвечает предъяв</w:t>
      </w:r>
      <w:r w:rsidRPr="00C94B78">
        <w:rPr>
          <w:rFonts w:ascii="Times New Roman" w:hAnsi="Times New Roman"/>
          <w:color w:val="0070C0"/>
          <w:sz w:val="16"/>
          <w:szCs w:val="16"/>
        </w:rPr>
        <w:softHyphen/>
        <w:t>ленным требованиям. С бомбовой нагрузкой в 500 кг самолет развивал скорость 556 км/ч в полете у земли, 617 км/ч на вы</w:t>
      </w:r>
      <w:r w:rsidRPr="00C94B78">
        <w:rPr>
          <w:rFonts w:ascii="Times New Roman" w:hAnsi="Times New Roman"/>
          <w:color w:val="0070C0"/>
          <w:sz w:val="16"/>
          <w:szCs w:val="16"/>
        </w:rPr>
        <w:softHyphen/>
        <w:t>соте 2950 м и 656 км/ч на высоте 5650 м.</w:t>
      </w:r>
    </w:p>
    <w:p w14:paraId="3BC65BF8"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Дальность полета самолета Пе-2И оказалась большей, чем у серийного самолета на 1000 км, и составляла 2275 км. Вы</w:t>
      </w:r>
      <w:r w:rsidRPr="00C94B78">
        <w:rPr>
          <w:rFonts w:ascii="Times New Roman" w:hAnsi="Times New Roman"/>
          <w:color w:val="0070C0"/>
          <w:sz w:val="16"/>
          <w:szCs w:val="16"/>
        </w:rPr>
        <w:softHyphen/>
        <w:t>соту 5000 м он набирал за 7 мин, т.е. быстрее исходной ма</w:t>
      </w:r>
      <w:r w:rsidRPr="00C94B78">
        <w:rPr>
          <w:rFonts w:ascii="Times New Roman" w:hAnsi="Times New Roman"/>
          <w:color w:val="0070C0"/>
          <w:sz w:val="16"/>
          <w:szCs w:val="16"/>
        </w:rPr>
        <w:softHyphen/>
        <w:t>шины на 2,5 мин [58].</w:t>
      </w:r>
    </w:p>
    <w:p w14:paraId="43C2FD5B"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Новый скоростной бомбардировщик, способный наносить удары по наземным целям с горизонтального полета и с пики</w:t>
      </w:r>
      <w:r w:rsidRPr="00C94B78">
        <w:rPr>
          <w:rFonts w:ascii="Times New Roman" w:hAnsi="Times New Roman"/>
          <w:color w:val="0070C0"/>
          <w:sz w:val="16"/>
          <w:szCs w:val="16"/>
        </w:rPr>
        <w:softHyphen/>
        <w:t>рования, отличался от прототипа более высокой энерговоору</w:t>
      </w:r>
      <w:r w:rsidRPr="00C94B78">
        <w:rPr>
          <w:rFonts w:ascii="Times New Roman" w:hAnsi="Times New Roman"/>
          <w:color w:val="0070C0"/>
          <w:sz w:val="16"/>
          <w:szCs w:val="16"/>
        </w:rPr>
        <w:softHyphen/>
        <w:t>женностью, а также более совершенной внешней и внутренней аэродинамикой. Помимо улучшения летных данных это позво</w:t>
      </w:r>
      <w:r w:rsidRPr="00C94B78">
        <w:rPr>
          <w:rFonts w:ascii="Times New Roman" w:hAnsi="Times New Roman"/>
          <w:color w:val="0070C0"/>
          <w:sz w:val="16"/>
          <w:szCs w:val="16"/>
        </w:rPr>
        <w:softHyphen/>
        <w:t>лило значительно повысить самый главный показатель боевого летательного аппарата — бомбовую нагрузку. Одновременного роста перечисленных выше характеристик удалось достичь в результате проведения ряда мероприятий и нововведений. Мо</w:t>
      </w:r>
      <w:r w:rsidRPr="00C94B78">
        <w:rPr>
          <w:rFonts w:ascii="Times New Roman" w:hAnsi="Times New Roman"/>
          <w:color w:val="0070C0"/>
          <w:sz w:val="16"/>
          <w:szCs w:val="16"/>
        </w:rPr>
        <w:softHyphen/>
        <w:t>торы М-105ПФ были заменены ВК-107А значительно большей мощности (1650/1450 л.с. против 1210/1180 л.с). Крыло полу</w:t>
      </w:r>
      <w:r w:rsidRPr="00C94B78">
        <w:rPr>
          <w:rFonts w:ascii="Times New Roman" w:hAnsi="Times New Roman"/>
          <w:color w:val="0070C0"/>
          <w:sz w:val="16"/>
          <w:szCs w:val="16"/>
        </w:rPr>
        <w:softHyphen/>
        <w:t>чило новые теоретические контуры, образованные из дужек улучшенных скоростных профилей. От носка до переднего лон</w:t>
      </w:r>
      <w:r w:rsidRPr="00C94B78">
        <w:rPr>
          <w:rFonts w:ascii="Times New Roman" w:hAnsi="Times New Roman"/>
          <w:color w:val="0070C0"/>
          <w:sz w:val="16"/>
          <w:szCs w:val="16"/>
        </w:rPr>
        <w:softHyphen/>
        <w:t>жерона— «NACA-23012» и до задней кромки— профиль •B-BS». Вместо низкопланной схемы самолет получил среднее расположение крыла относительно фюзеляжа. Крыло было при</w:t>
      </w:r>
      <w:r w:rsidRPr="00C94B78">
        <w:rPr>
          <w:rFonts w:ascii="Times New Roman" w:hAnsi="Times New Roman"/>
          <w:color w:val="0070C0"/>
          <w:sz w:val="16"/>
          <w:szCs w:val="16"/>
        </w:rPr>
        <w:softHyphen/>
        <w:t>поднято с целью размещения под его центропланом более вмес</w:t>
      </w:r>
      <w:r w:rsidRPr="00C94B78">
        <w:rPr>
          <w:rFonts w:ascii="Times New Roman" w:hAnsi="Times New Roman"/>
          <w:color w:val="0070C0"/>
          <w:sz w:val="16"/>
          <w:szCs w:val="16"/>
        </w:rPr>
        <w:softHyphen/>
        <w:t>тительного бомбового отсека, позволяющего нести авиабомбу калибром в 1000 кг, для ударов по мощным фортификацион</w:t>
      </w:r>
      <w:r w:rsidRPr="00C94B78">
        <w:rPr>
          <w:rFonts w:ascii="Times New Roman" w:hAnsi="Times New Roman"/>
          <w:color w:val="0070C0"/>
          <w:sz w:val="16"/>
          <w:szCs w:val="16"/>
        </w:rPr>
        <w:softHyphen/>
        <w:t>ным сооружениям противника, крупным наземным и морским Целям [58].</w:t>
      </w:r>
    </w:p>
    <w:p w14:paraId="2A7E51BE"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Для расширения возможностей боевого применения само</w:t>
      </w:r>
      <w:r w:rsidRPr="00C94B78">
        <w:rPr>
          <w:rFonts w:ascii="Times New Roman" w:hAnsi="Times New Roman"/>
          <w:color w:val="0070C0"/>
          <w:sz w:val="16"/>
          <w:szCs w:val="16"/>
        </w:rPr>
        <w:softHyphen/>
        <w:t>летов Пе-2И в составе звеньев, эскадрилий и даже полков была предусмотрена частичная замена (в заводских или полевых условиях) бомб на пушки. В передней зоне бомбового отсека можно было установить две пушки ШВАК калибра 20 мм или 37 мм. В таком варианте Пе-2И превращался в двухместный истребитель сопровождения [58].</w:t>
      </w:r>
    </w:p>
    <w:p w14:paraId="4B12BD04"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Столь мощный и разнообразный арсенал боевого оснаще</w:t>
      </w:r>
      <w:r w:rsidRPr="00C94B78">
        <w:rPr>
          <w:rFonts w:ascii="Times New Roman" w:hAnsi="Times New Roman"/>
          <w:color w:val="0070C0"/>
          <w:sz w:val="16"/>
          <w:szCs w:val="16"/>
        </w:rPr>
        <w:softHyphen/>
        <w:t>ния для заключительного периода Второй мировой войны по</w:t>
      </w:r>
      <w:r w:rsidRPr="00C94B78">
        <w:rPr>
          <w:rFonts w:ascii="Times New Roman" w:hAnsi="Times New Roman"/>
          <w:color w:val="0070C0"/>
          <w:sz w:val="16"/>
          <w:szCs w:val="16"/>
        </w:rPr>
        <w:softHyphen/>
        <w:t>зволял экипажу уверенно вести не только бомбометание по самым различным целям, но разведку и даже воздушный бой с любым противником (24920).</w:t>
      </w:r>
    </w:p>
    <w:p w14:paraId="28EA17E0" w14:textId="77777777" w:rsidR="0065195F" w:rsidRPr="00C94B78" w:rsidRDefault="0065195F" w:rsidP="00B56F90">
      <w:pPr>
        <w:spacing w:after="0" w:line="240" w:lineRule="auto"/>
        <w:jc w:val="both"/>
        <w:rPr>
          <w:rFonts w:ascii="Times New Roman" w:hAnsi="Times New Roman"/>
          <w:color w:val="0070C0"/>
          <w:sz w:val="16"/>
          <w:szCs w:val="16"/>
        </w:rPr>
      </w:pPr>
    </w:p>
    <w:p w14:paraId="37A2A28D"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г. в журнале «Флайт» была статья «Русский пикирующий бомбардировщик». Согласно статье:</w:t>
      </w:r>
    </w:p>
    <w:p w14:paraId="7542BB35"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Большой интерес представляет собой вклад русских инженеров в мировое авиастроение. Этот вклад, скорее всего, значительно более весомый, чем принято считать. Конечно, в конструкциях прослеживается влияние американской и британской конструкторских школ, тем не менее русский – далеко не «копиисты». Детальный анализ советского пикирующего бомбардировщика провел шведский инженер Нильс Хультен, опубликовавший свои исследования в шведском и здании «Флюг» и швейцарском «Интеравиа» (вероятно Хультен получил возможность подробно ознакомиться с финскими самолетами Пе</w:t>
      </w:r>
      <w:r w:rsidRPr="00C94B78">
        <w:rPr>
          <w:rFonts w:ascii="Times New Roman" w:hAnsi="Times New Roman"/>
          <w:color w:val="0070C0"/>
          <w:sz w:val="16"/>
          <w:szCs w:val="16"/>
        </w:rPr>
        <w:noBreakHyphen/>
        <w:t>2).</w:t>
      </w:r>
    </w:p>
    <w:p w14:paraId="1C14E51B"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Русский самолет Пе</w:t>
      </w:r>
      <w:r w:rsidRPr="00C94B78">
        <w:rPr>
          <w:rFonts w:ascii="Times New Roman" w:hAnsi="Times New Roman"/>
          <w:color w:val="0070C0"/>
          <w:sz w:val="16"/>
          <w:szCs w:val="16"/>
        </w:rPr>
        <w:noBreakHyphen/>
        <w:t>2 представляет собой пикирующий бомбардировщик, оснащенный двумя V</w:t>
      </w:r>
      <w:r w:rsidRPr="00C94B78">
        <w:rPr>
          <w:rFonts w:ascii="Times New Roman" w:hAnsi="Times New Roman"/>
          <w:color w:val="0070C0"/>
          <w:sz w:val="16"/>
          <w:szCs w:val="16"/>
        </w:rPr>
        <w:noBreakHyphen/>
        <w:t>образными 12</w:t>
      </w:r>
      <w:r w:rsidRPr="00C94B78">
        <w:rPr>
          <w:rFonts w:ascii="Times New Roman" w:hAnsi="Times New Roman"/>
          <w:color w:val="0070C0"/>
          <w:sz w:val="16"/>
          <w:szCs w:val="16"/>
        </w:rPr>
        <w:noBreakHyphen/>
        <w:t>цилиндровыми двигателями жидкостного охлаждения М</w:t>
      </w:r>
      <w:r w:rsidRPr="00C94B78">
        <w:rPr>
          <w:rFonts w:ascii="Times New Roman" w:hAnsi="Times New Roman"/>
          <w:color w:val="0070C0"/>
          <w:sz w:val="16"/>
          <w:szCs w:val="16"/>
        </w:rPr>
        <w:noBreakHyphen/>
        <w:t>105Р мощностью по 1100 л.с. каждый. Это среднеплан цельнометаллической конструкции с экипажем из трех человек (летчик, радист</w:t>
      </w:r>
      <w:r w:rsidRPr="00C94B78">
        <w:rPr>
          <w:rFonts w:ascii="Times New Roman" w:hAnsi="Times New Roman"/>
          <w:color w:val="0070C0"/>
          <w:sz w:val="16"/>
          <w:szCs w:val="16"/>
        </w:rPr>
        <w:noBreakHyphen/>
        <w:t>бомбардир (?) и воздушный стрелок. Ортодоксальный внешний вид самолета тем не менее отличает чистота аэродинамических форм.</w:t>
      </w:r>
    </w:p>
    <w:p w14:paraId="68A5F23B"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Стрелковое и бомбовое вооружение самолета может широко меняться в зависимости от выполняемых им задач. Оборонительное вооружение включает четыре пулемета калибра 7,62 мм, два из них установлены в носовой части фюзеляжа, и два направлены назад: один в верхней части фюзеляжа, второй – в нижней. Возможно два альтернативных варианта вооружения: два пулемета калибра 12,7 м и два 7.62</w:t>
      </w:r>
      <w:r w:rsidRPr="00C94B78">
        <w:rPr>
          <w:rFonts w:ascii="Times New Roman" w:hAnsi="Times New Roman"/>
          <w:color w:val="0070C0"/>
          <w:sz w:val="16"/>
          <w:szCs w:val="16"/>
        </w:rPr>
        <w:noBreakHyphen/>
        <w:t>мм пулемета: четыре 7,62</w:t>
      </w:r>
      <w:r w:rsidRPr="00C94B78">
        <w:rPr>
          <w:rFonts w:ascii="Times New Roman" w:hAnsi="Times New Roman"/>
          <w:color w:val="0070C0"/>
          <w:sz w:val="16"/>
          <w:szCs w:val="16"/>
        </w:rPr>
        <w:noBreakHyphen/>
        <w:t>мм пулемета и два 12,7</w:t>
      </w:r>
      <w:r w:rsidRPr="00C94B78">
        <w:rPr>
          <w:rFonts w:ascii="Times New Roman" w:hAnsi="Times New Roman"/>
          <w:color w:val="0070C0"/>
          <w:sz w:val="16"/>
          <w:szCs w:val="16"/>
        </w:rPr>
        <w:noBreakHyphen/>
        <w:t>мм пулемета. В последнем случае два пулемета калибра 7,62 мм устанавливаются в блистерах по бортам фюзеляжа.</w:t>
      </w:r>
    </w:p>
    <w:p w14:paraId="414AAED4"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Для защиты нижней задней полусферы на самолете имеется оригинальная стрелковая точка, которая может подниматься и опускаться. В нижней позиции стрелок ведет огонь, пользуясь перископическим прицелом.</w:t>
      </w:r>
    </w:p>
    <w:p w14:paraId="6921DC58"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Нормальная бомбовая нагрузка составляет 600 кг, но может быть увеличена до 1000 кг. Под центропланам имеется четыре внешних держателя для бомб, кроме того по одной бомбе можно подвешивать в задние отсеки мотогондол. В фюзеляжном бамбоотсеке установлены два держателя. Предусмотрена возможность подвески бомб различного калибра. Так на внешние держатели можно подвесить две 50</w:t>
      </w:r>
      <w:r w:rsidRPr="00C94B78">
        <w:rPr>
          <w:rFonts w:ascii="Times New Roman" w:hAnsi="Times New Roman"/>
          <w:color w:val="0070C0"/>
          <w:sz w:val="16"/>
          <w:szCs w:val="16"/>
        </w:rPr>
        <w:noBreakHyphen/>
        <w:t>кг бомбы, четыре 250 кг, четыре 200 кг или четыре 150 кг. При подвеске бомб во внутренних отсеках фюзеляжа и мотогондол всего можно подвесить десять 100</w:t>
      </w:r>
      <w:r w:rsidRPr="00C94B78">
        <w:rPr>
          <w:rFonts w:ascii="Times New Roman" w:hAnsi="Times New Roman"/>
          <w:color w:val="0070C0"/>
          <w:sz w:val="16"/>
          <w:szCs w:val="16"/>
        </w:rPr>
        <w:noBreakHyphen/>
        <w:t>кг бомб (шесть внутри и четыре снаружи).</w:t>
      </w:r>
    </w:p>
    <w:p w14:paraId="530F1A4C"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Привод бомбосбрасывателей – электрический. Сброс может производиться как по отдельности, так и залпом. Бомбосбрасыватели представляют собой очень легкую конструкцию, легко демонтируются в случае необходимости.</w:t>
      </w:r>
    </w:p>
    <w:p w14:paraId="0570B8E5"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передней кабине расположены места летчика и радиста</w:t>
      </w:r>
      <w:r w:rsidRPr="00C94B78">
        <w:rPr>
          <w:rFonts w:ascii="Times New Roman" w:hAnsi="Times New Roman"/>
          <w:color w:val="0070C0"/>
          <w:sz w:val="16"/>
          <w:szCs w:val="16"/>
        </w:rPr>
        <w:noBreakHyphen/>
        <w:t>бомбардира, летчики и бомбардир сидят спина к спине. Бомбардир имеет возможность пролезать рядом с креслом летчика в переднюю застекленную часть самолета, где установлен перископический бомбардировочный прицел.</w:t>
      </w:r>
    </w:p>
    <w:p w14:paraId="5071D027"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Количество электромоторов рекордно для самолета такого класса.</w:t>
      </w:r>
    </w:p>
    <w:p w14:paraId="394B5364"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 оценкам летчиков Пе</w:t>
      </w:r>
      <w:r w:rsidRPr="00C94B78">
        <w:rPr>
          <w:rFonts w:ascii="Times New Roman" w:hAnsi="Times New Roman"/>
          <w:color w:val="0070C0"/>
          <w:sz w:val="16"/>
          <w:szCs w:val="16"/>
        </w:rPr>
        <w:noBreakHyphen/>
        <w:t>2 чрезвычайно приятен в пилотировании, однако имеет ряд недостатков. К примеру, самолет склонен к сваливанию при выполнении резких маневров. Самолет очень устойчив на пикировании и обладает высокой точностью бомбометания. Не смотря на высокую нагрузку на крыло, самолет очень прост на посадке (25072).</w:t>
      </w:r>
    </w:p>
    <w:p w14:paraId="19CAFA66" w14:textId="77777777" w:rsidR="0065195F" w:rsidRPr="00C94B78" w:rsidRDefault="0065195F" w:rsidP="00B56F90">
      <w:pPr>
        <w:spacing w:after="0" w:line="240" w:lineRule="auto"/>
        <w:jc w:val="both"/>
        <w:rPr>
          <w:rFonts w:ascii="Times New Roman" w:hAnsi="Times New Roman"/>
          <w:color w:val="0070C0"/>
          <w:sz w:val="16"/>
          <w:szCs w:val="16"/>
        </w:rPr>
      </w:pPr>
    </w:p>
    <w:p w14:paraId="2024400C" w14:textId="77777777" w:rsidR="00735554" w:rsidRPr="00070ADE" w:rsidRDefault="00735554"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в Казани на 22 заводе выпустили головной серийный новый Пе-3, на котором оставили старое крыло и сохранили турель ВУБ-1, вместо 2-х поставили одну пушку под фюзеляжем и сохранили ВУБ-1. Хотели вместо ШКАС в коке поставить ДЭУ-1 с УБ, но не смогли довести и заменили 2хДАГ-10. За 1 кв. Собрали 19, но ВВС их не приняли (2475,19).</w:t>
      </w:r>
    </w:p>
    <w:p w14:paraId="29B9DE8F" w14:textId="77777777" w:rsidR="00735554" w:rsidRPr="00070ADE" w:rsidRDefault="00735554"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9BD164" w14:textId="77777777" w:rsidR="00735554" w:rsidRPr="00070ADE" w:rsidRDefault="00735554"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был готов первый Пе-3 новой модификации со стрелковой установкой ФЗ, но сильно отличался от макета, предъявленного в ноябре 1943 (235,6).</w:t>
      </w:r>
    </w:p>
    <w:p w14:paraId="26BCC112" w14:textId="77777777" w:rsidR="00735554" w:rsidRPr="00070ADE" w:rsidRDefault="00735554"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6FEB48" w14:textId="77777777" w:rsidR="00735554" w:rsidRPr="00070ADE" w:rsidRDefault="00735554"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феврале 1944 г был закончен первый самолет усовершенствованного Пе-3 на казанском заводе. По мнению заказчика (ВВС), он коренным образом отличался от макета, предъявленного в ноябре 1943 г., и абсолютно не соответствовал требованиям времени. Из конъюнктурных соображений наркомат авиапромышленности запретил внедрение в серию верхних установок “ФЗ”, рассчитывая на то, что для новейшего варианта бомбардировщика Пе-2И они не потребуются, стало быть, и </w:t>
      </w:r>
      <w:r w:rsidRPr="00070ADE">
        <w:rPr>
          <w:rFonts w:ascii="Times New Roman" w:hAnsi="Times New Roman"/>
          <w:color w:val="000000" w:themeColor="text1"/>
          <w:sz w:val="16"/>
          <w:szCs w:val="16"/>
        </w:rPr>
        <w:lastRenderedPageBreak/>
        <w:t>Пе-3 без них обойдется. Крыло на Пе-3 также осталось обычным, серийным. По неясным причинам завод не сумел отладить двухпушечную установку ШВАК под центропланом и ограничился всего одной пушкой. В носовом коке остался пулемет УБК. Поскольку дистанционная электрифицированная установка ДЭУ по-прежнему не была готова, то в хвостовой части фюзеляжа смонтировали два держателя ДАГ-10 с авиационными гранатами АГ-2. Ввиду явного несоответствия машины техническому заданию, Пе-3 (постройки завода № 22) на государственные испытания не передавался (в первом квартале 1944 г. выпустили 19 Пе-3). Все изготовленные самолеты, кроме двух, передали на вооружение 48-го драп и 98-го орап (4476).</w:t>
      </w:r>
    </w:p>
    <w:p w14:paraId="5EA1F8F4" w14:textId="77777777" w:rsidR="00735554" w:rsidRPr="00070ADE" w:rsidRDefault="00735554"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D893A4"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феврале 1944 г. первый самолет-истребитель Пе-3 построили на заводе № 22. По мнению представителей ВВС, он коренным образом отличался от макета, предъявленного в ноябре 1943 г., и абсолютно не соответствовал требованиям времени. Завод по неясным причинам не отладил подцентропланную двухпу- шечную установку ШВАК и ограничился всего одним стволом. В носовом коке "в наследство" от серийной "пешки" остался пулемет УБК. Дистанционная электрифицированная установка ДЭУ, обещанная в макете, по- прежнему не была готова; вместо нее в хвостовой части фюзеляжа смонтировали две кас- сетницы ДАГ-10 с авиационными фанатами АГ-2. Ввиду явного несоответствия машины техническому заданию Пе-3 постройки завода № 22 на государственные испытания не передавался (все же в первом квартале 1944 г. выпустили 19 Пе-3). Все изготовленные самолеты, кроме двух, передали на вооружение 48-го и 98-го разведывательных полков. </w:t>
      </w:r>
    </w:p>
    <w:p w14:paraId="3DA4BCBE"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Летно-технические данные истребителей семейства Пе-2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735554" w:rsidRPr="00070ADE" w14:paraId="7DCA02D9" w14:textId="77777777" w:rsidTr="00D752DA">
        <w:tc>
          <w:tcPr>
            <w:tcW w:w="1868" w:type="dxa"/>
            <w:tcBorders>
              <w:top w:val="single" w:sz="12" w:space="0" w:color="auto"/>
            </w:tcBorders>
          </w:tcPr>
          <w:p w14:paraId="73E98768"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Характеристика</w:t>
            </w:r>
          </w:p>
        </w:tc>
        <w:tc>
          <w:tcPr>
            <w:tcW w:w="1868" w:type="dxa"/>
            <w:tcBorders>
              <w:top w:val="single" w:sz="12" w:space="0" w:color="auto"/>
            </w:tcBorders>
          </w:tcPr>
          <w:p w14:paraId="60FC9E6F"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1868" w:type="dxa"/>
            <w:tcBorders>
              <w:top w:val="single" w:sz="12" w:space="0" w:color="auto"/>
            </w:tcBorders>
          </w:tcPr>
          <w:p w14:paraId="5656F9B1"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Пе-3</w:t>
            </w:r>
          </w:p>
        </w:tc>
        <w:tc>
          <w:tcPr>
            <w:tcW w:w="1868" w:type="dxa"/>
            <w:tcBorders>
              <w:top w:val="single" w:sz="12" w:space="0" w:color="auto"/>
            </w:tcBorders>
          </w:tcPr>
          <w:p w14:paraId="61B5CE52"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Пе-2И</w:t>
            </w:r>
          </w:p>
        </w:tc>
        <w:tc>
          <w:tcPr>
            <w:tcW w:w="1868" w:type="dxa"/>
            <w:tcBorders>
              <w:top w:val="single" w:sz="12" w:space="0" w:color="auto"/>
            </w:tcBorders>
          </w:tcPr>
          <w:p w14:paraId="16B90385"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Пе-Збис</w:t>
            </w:r>
          </w:p>
        </w:tc>
        <w:tc>
          <w:tcPr>
            <w:tcW w:w="1868" w:type="dxa"/>
            <w:tcBorders>
              <w:top w:val="single" w:sz="12" w:space="0" w:color="auto"/>
            </w:tcBorders>
          </w:tcPr>
          <w:p w14:paraId="52C8D617"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Пе-3</w:t>
            </w:r>
          </w:p>
        </w:tc>
      </w:tr>
      <w:tr w:rsidR="00735554" w:rsidRPr="00070ADE" w14:paraId="63A83F0B" w14:textId="77777777" w:rsidTr="00D752DA">
        <w:tc>
          <w:tcPr>
            <w:tcW w:w="1868" w:type="dxa"/>
          </w:tcPr>
          <w:p w14:paraId="49DC3E82"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Дата испытаний</w:t>
            </w:r>
          </w:p>
        </w:tc>
        <w:tc>
          <w:tcPr>
            <w:tcW w:w="1868" w:type="dxa"/>
          </w:tcPr>
          <w:p w14:paraId="2156EED9"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3.1940</w:t>
            </w:r>
          </w:p>
        </w:tc>
        <w:tc>
          <w:tcPr>
            <w:tcW w:w="1868" w:type="dxa"/>
          </w:tcPr>
          <w:p w14:paraId="1F15CAB5"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8.1941</w:t>
            </w:r>
          </w:p>
        </w:tc>
        <w:tc>
          <w:tcPr>
            <w:tcW w:w="1868" w:type="dxa"/>
          </w:tcPr>
          <w:p w14:paraId="220E4D5C"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9.1941</w:t>
            </w:r>
          </w:p>
        </w:tc>
        <w:tc>
          <w:tcPr>
            <w:tcW w:w="1868" w:type="dxa"/>
          </w:tcPr>
          <w:p w14:paraId="19BA8077"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5.1942</w:t>
            </w:r>
          </w:p>
        </w:tc>
        <w:tc>
          <w:tcPr>
            <w:tcW w:w="1868" w:type="dxa"/>
          </w:tcPr>
          <w:p w14:paraId="22DF17FE"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8.1944</w:t>
            </w:r>
          </w:p>
        </w:tc>
      </w:tr>
      <w:tr w:rsidR="00735554" w:rsidRPr="00070ADE" w14:paraId="679C2C04" w14:textId="77777777" w:rsidTr="00D752DA">
        <w:tc>
          <w:tcPr>
            <w:tcW w:w="1868" w:type="dxa"/>
          </w:tcPr>
          <w:p w14:paraId="488765AF"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w:t>
            </w:r>
          </w:p>
        </w:tc>
        <w:tc>
          <w:tcPr>
            <w:tcW w:w="1868" w:type="dxa"/>
          </w:tcPr>
          <w:p w14:paraId="0D54B881"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1868" w:type="dxa"/>
          </w:tcPr>
          <w:p w14:paraId="0636DCBF"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1868" w:type="dxa"/>
          </w:tcPr>
          <w:p w14:paraId="01BF417D"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1868" w:type="dxa"/>
          </w:tcPr>
          <w:p w14:paraId="2140116F"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1868" w:type="dxa"/>
          </w:tcPr>
          <w:p w14:paraId="31E98B92"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r>
      <w:tr w:rsidR="00735554" w:rsidRPr="00070ADE" w14:paraId="4AC96517" w14:textId="77777777" w:rsidTr="00D752DA">
        <w:tc>
          <w:tcPr>
            <w:tcW w:w="1868" w:type="dxa"/>
          </w:tcPr>
          <w:p w14:paraId="6D517655"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м</w:t>
            </w:r>
          </w:p>
        </w:tc>
        <w:tc>
          <w:tcPr>
            <w:tcW w:w="1868" w:type="dxa"/>
          </w:tcPr>
          <w:p w14:paraId="693595C2"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12,69</w:t>
            </w:r>
          </w:p>
        </w:tc>
        <w:tc>
          <w:tcPr>
            <w:tcW w:w="1868" w:type="dxa"/>
          </w:tcPr>
          <w:p w14:paraId="47BF2F7C"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12,66</w:t>
            </w:r>
          </w:p>
        </w:tc>
        <w:tc>
          <w:tcPr>
            <w:tcW w:w="1868" w:type="dxa"/>
          </w:tcPr>
          <w:p w14:paraId="0C8D7321"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12,66</w:t>
            </w:r>
          </w:p>
        </w:tc>
        <w:tc>
          <w:tcPr>
            <w:tcW w:w="1868" w:type="dxa"/>
          </w:tcPr>
          <w:p w14:paraId="29866C9E"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12,66</w:t>
            </w:r>
          </w:p>
        </w:tc>
        <w:tc>
          <w:tcPr>
            <w:tcW w:w="1868" w:type="dxa"/>
          </w:tcPr>
          <w:p w14:paraId="2501A2A5"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12,66</w:t>
            </w:r>
          </w:p>
        </w:tc>
      </w:tr>
      <w:tr w:rsidR="00735554" w:rsidRPr="00070ADE" w14:paraId="0E3C8BBC" w14:textId="77777777" w:rsidTr="00D752DA">
        <w:tc>
          <w:tcPr>
            <w:tcW w:w="1868" w:type="dxa"/>
          </w:tcPr>
          <w:p w14:paraId="2B37F255"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Размах крыла, м</w:t>
            </w:r>
          </w:p>
        </w:tc>
        <w:tc>
          <w:tcPr>
            <w:tcW w:w="1868" w:type="dxa"/>
          </w:tcPr>
          <w:p w14:paraId="1C586B97"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c>
          <w:tcPr>
            <w:tcW w:w="1868" w:type="dxa"/>
          </w:tcPr>
          <w:p w14:paraId="072448FD"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17,13</w:t>
            </w:r>
          </w:p>
        </w:tc>
        <w:tc>
          <w:tcPr>
            <w:tcW w:w="1868" w:type="dxa"/>
          </w:tcPr>
          <w:p w14:paraId="1610D02E"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17,13</w:t>
            </w:r>
          </w:p>
        </w:tc>
        <w:tc>
          <w:tcPr>
            <w:tcW w:w="1868" w:type="dxa"/>
          </w:tcPr>
          <w:p w14:paraId="1E0F2604"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17,13</w:t>
            </w:r>
          </w:p>
        </w:tc>
        <w:tc>
          <w:tcPr>
            <w:tcW w:w="1868" w:type="dxa"/>
          </w:tcPr>
          <w:p w14:paraId="46322EDC"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17,13</w:t>
            </w:r>
          </w:p>
        </w:tc>
      </w:tr>
      <w:tr w:rsidR="00735554" w:rsidRPr="00070ADE" w14:paraId="598B4A53" w14:textId="77777777" w:rsidTr="00D752DA">
        <w:tc>
          <w:tcPr>
            <w:tcW w:w="1868" w:type="dxa"/>
          </w:tcPr>
          <w:p w14:paraId="43C96EA8"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двигателей</w:t>
            </w:r>
          </w:p>
        </w:tc>
        <w:tc>
          <w:tcPr>
            <w:tcW w:w="1868" w:type="dxa"/>
          </w:tcPr>
          <w:p w14:paraId="21A70830"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М-105ТК-3</w:t>
            </w:r>
          </w:p>
        </w:tc>
        <w:tc>
          <w:tcPr>
            <w:tcW w:w="1868" w:type="dxa"/>
          </w:tcPr>
          <w:p w14:paraId="1FF1D528"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М-105Р</w:t>
            </w:r>
          </w:p>
        </w:tc>
        <w:tc>
          <w:tcPr>
            <w:tcW w:w="1868" w:type="dxa"/>
          </w:tcPr>
          <w:p w14:paraId="1B8B3075"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М-105Р</w:t>
            </w:r>
          </w:p>
        </w:tc>
        <w:tc>
          <w:tcPr>
            <w:tcW w:w="1868" w:type="dxa"/>
          </w:tcPr>
          <w:p w14:paraId="45CEB293"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М-105РА</w:t>
            </w:r>
          </w:p>
        </w:tc>
        <w:tc>
          <w:tcPr>
            <w:tcW w:w="1868" w:type="dxa"/>
          </w:tcPr>
          <w:p w14:paraId="25A5827A"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ВК-105ПФ</w:t>
            </w:r>
          </w:p>
        </w:tc>
      </w:tr>
      <w:tr w:rsidR="00735554" w:rsidRPr="00070ADE" w14:paraId="10BCA013" w14:textId="77777777" w:rsidTr="00D752DA">
        <w:tc>
          <w:tcPr>
            <w:tcW w:w="1868" w:type="dxa"/>
          </w:tcPr>
          <w:p w14:paraId="4FAF4158"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Мощность двигателей, л.с.,</w:t>
            </w:r>
          </w:p>
        </w:tc>
        <w:tc>
          <w:tcPr>
            <w:tcW w:w="1868" w:type="dxa"/>
          </w:tcPr>
          <w:p w14:paraId="116ABC17"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6BE8024"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546D15A"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8DA2F3A"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552B37D"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735554" w:rsidRPr="00070ADE" w14:paraId="1E4D0585" w14:textId="77777777" w:rsidTr="00D752DA">
        <w:tc>
          <w:tcPr>
            <w:tcW w:w="1868" w:type="dxa"/>
          </w:tcPr>
          <w:p w14:paraId="2F55AE54"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расчетной высоте</w:t>
            </w:r>
          </w:p>
        </w:tc>
        <w:tc>
          <w:tcPr>
            <w:tcW w:w="1868" w:type="dxa"/>
          </w:tcPr>
          <w:p w14:paraId="050D938D"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1050</w:t>
            </w:r>
          </w:p>
        </w:tc>
        <w:tc>
          <w:tcPr>
            <w:tcW w:w="1868" w:type="dxa"/>
          </w:tcPr>
          <w:p w14:paraId="74E24330"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1100</w:t>
            </w:r>
          </w:p>
        </w:tc>
        <w:tc>
          <w:tcPr>
            <w:tcW w:w="1868" w:type="dxa"/>
          </w:tcPr>
          <w:p w14:paraId="273886C5"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1100</w:t>
            </w:r>
          </w:p>
        </w:tc>
        <w:tc>
          <w:tcPr>
            <w:tcW w:w="1868" w:type="dxa"/>
          </w:tcPr>
          <w:p w14:paraId="3E96F0A2"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1100</w:t>
            </w:r>
          </w:p>
        </w:tc>
        <w:tc>
          <w:tcPr>
            <w:tcW w:w="1868" w:type="dxa"/>
          </w:tcPr>
          <w:p w14:paraId="3F9A521D"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1260</w:t>
            </w:r>
          </w:p>
        </w:tc>
      </w:tr>
      <w:tr w:rsidR="00735554" w:rsidRPr="00070ADE" w14:paraId="6D9AE9E6" w14:textId="77777777" w:rsidTr="00D752DA">
        <w:tc>
          <w:tcPr>
            <w:tcW w:w="1868" w:type="dxa"/>
          </w:tcPr>
          <w:p w14:paraId="0BD970C6"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расчетная высота, м</w:t>
            </w:r>
          </w:p>
        </w:tc>
        <w:tc>
          <w:tcPr>
            <w:tcW w:w="1868" w:type="dxa"/>
          </w:tcPr>
          <w:p w14:paraId="2FC80AE9"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6600</w:t>
            </w:r>
          </w:p>
        </w:tc>
        <w:tc>
          <w:tcPr>
            <w:tcW w:w="1868" w:type="dxa"/>
          </w:tcPr>
          <w:p w14:paraId="28576237"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5000</w:t>
            </w:r>
          </w:p>
        </w:tc>
        <w:tc>
          <w:tcPr>
            <w:tcW w:w="1868" w:type="dxa"/>
          </w:tcPr>
          <w:p w14:paraId="3B5F9C17"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5000</w:t>
            </w:r>
          </w:p>
        </w:tc>
        <w:tc>
          <w:tcPr>
            <w:tcW w:w="1868" w:type="dxa"/>
          </w:tcPr>
          <w:p w14:paraId="5DF3FC77"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5000</w:t>
            </w:r>
          </w:p>
        </w:tc>
        <w:tc>
          <w:tcPr>
            <w:tcW w:w="1868" w:type="dxa"/>
          </w:tcPr>
          <w:p w14:paraId="74294076"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3850</w:t>
            </w:r>
          </w:p>
        </w:tc>
      </w:tr>
      <w:tr w:rsidR="00735554" w:rsidRPr="00070ADE" w14:paraId="1C6356C6" w14:textId="77777777" w:rsidTr="00D752DA">
        <w:tc>
          <w:tcPr>
            <w:tcW w:w="1868" w:type="dxa"/>
          </w:tcPr>
          <w:p w14:paraId="6B0C0048"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Масса пустого, кг</w:t>
            </w:r>
          </w:p>
        </w:tc>
        <w:tc>
          <w:tcPr>
            <w:tcW w:w="1868" w:type="dxa"/>
          </w:tcPr>
          <w:p w14:paraId="4673C15E"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5887</w:t>
            </w:r>
          </w:p>
        </w:tc>
        <w:tc>
          <w:tcPr>
            <w:tcW w:w="1868" w:type="dxa"/>
          </w:tcPr>
          <w:p w14:paraId="61CE0CB0"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5730</w:t>
            </w:r>
          </w:p>
        </w:tc>
        <w:tc>
          <w:tcPr>
            <w:tcW w:w="1868" w:type="dxa"/>
          </w:tcPr>
          <w:p w14:paraId="38C9981A"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5770</w:t>
            </w:r>
          </w:p>
        </w:tc>
        <w:tc>
          <w:tcPr>
            <w:tcW w:w="1868" w:type="dxa"/>
          </w:tcPr>
          <w:p w14:paraId="28DCE0F5"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5858</w:t>
            </w:r>
          </w:p>
        </w:tc>
        <w:tc>
          <w:tcPr>
            <w:tcW w:w="1868" w:type="dxa"/>
          </w:tcPr>
          <w:p w14:paraId="3CAEE3BB"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735554" w:rsidRPr="00070ADE" w14:paraId="6EDD65A5" w14:textId="77777777" w:rsidTr="00D752DA">
        <w:tc>
          <w:tcPr>
            <w:tcW w:w="1868" w:type="dxa"/>
          </w:tcPr>
          <w:p w14:paraId="2A04BB9A"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Полетная масса, кг</w:t>
            </w:r>
          </w:p>
        </w:tc>
        <w:tc>
          <w:tcPr>
            <w:tcW w:w="1868" w:type="dxa"/>
          </w:tcPr>
          <w:p w14:paraId="129DDC56"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7200</w:t>
            </w:r>
          </w:p>
        </w:tc>
        <w:tc>
          <w:tcPr>
            <w:tcW w:w="1868" w:type="dxa"/>
          </w:tcPr>
          <w:p w14:paraId="4D1A9D78"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7860</w:t>
            </w:r>
          </w:p>
        </w:tc>
        <w:tc>
          <w:tcPr>
            <w:tcW w:w="1868" w:type="dxa"/>
          </w:tcPr>
          <w:p w14:paraId="1117D059"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8030</w:t>
            </w:r>
          </w:p>
        </w:tc>
        <w:tc>
          <w:tcPr>
            <w:tcW w:w="1868" w:type="dxa"/>
          </w:tcPr>
          <w:p w14:paraId="59A0B24F"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8000</w:t>
            </w:r>
          </w:p>
        </w:tc>
        <w:tc>
          <w:tcPr>
            <w:tcW w:w="1868" w:type="dxa"/>
          </w:tcPr>
          <w:p w14:paraId="04E56196"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8270</w:t>
            </w:r>
          </w:p>
        </w:tc>
      </w:tr>
      <w:tr w:rsidR="00735554" w:rsidRPr="00070ADE" w14:paraId="77C82942" w14:textId="77777777" w:rsidTr="00D752DA">
        <w:tc>
          <w:tcPr>
            <w:tcW w:w="1868" w:type="dxa"/>
          </w:tcPr>
          <w:p w14:paraId="3E9166F3"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км/ч:</w:t>
            </w:r>
          </w:p>
        </w:tc>
        <w:tc>
          <w:tcPr>
            <w:tcW w:w="1868" w:type="dxa"/>
          </w:tcPr>
          <w:p w14:paraId="6B27436E"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C52B3EB"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BCD1A02"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66B9E30"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9A05ACC"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735554" w:rsidRPr="00070ADE" w14:paraId="61BDE1B5" w14:textId="77777777" w:rsidTr="00D752DA">
        <w:tc>
          <w:tcPr>
            <w:tcW w:w="1868" w:type="dxa"/>
          </w:tcPr>
          <w:p w14:paraId="54E3D16C"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w:t>
            </w:r>
          </w:p>
        </w:tc>
        <w:tc>
          <w:tcPr>
            <w:tcW w:w="1868" w:type="dxa"/>
          </w:tcPr>
          <w:p w14:paraId="42E5ED3B"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455</w:t>
            </w:r>
          </w:p>
        </w:tc>
        <w:tc>
          <w:tcPr>
            <w:tcW w:w="1868" w:type="dxa"/>
          </w:tcPr>
          <w:p w14:paraId="09CAD7D7"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444</w:t>
            </w:r>
          </w:p>
        </w:tc>
        <w:tc>
          <w:tcPr>
            <w:tcW w:w="1868" w:type="dxa"/>
          </w:tcPr>
          <w:p w14:paraId="45C6F9B2"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454</w:t>
            </w:r>
          </w:p>
        </w:tc>
        <w:tc>
          <w:tcPr>
            <w:tcW w:w="1868" w:type="dxa"/>
          </w:tcPr>
          <w:p w14:paraId="7D65EA0B"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438</w:t>
            </w:r>
          </w:p>
        </w:tc>
        <w:tc>
          <w:tcPr>
            <w:tcW w:w="1868" w:type="dxa"/>
          </w:tcPr>
          <w:p w14:paraId="49D093AB"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465</w:t>
            </w:r>
          </w:p>
        </w:tc>
      </w:tr>
      <w:tr w:rsidR="00735554" w:rsidRPr="00070ADE" w14:paraId="468C4CE4" w14:textId="77777777" w:rsidTr="00D752DA">
        <w:tc>
          <w:tcPr>
            <w:tcW w:w="1868" w:type="dxa"/>
          </w:tcPr>
          <w:p w14:paraId="4C88CDBF"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расчетной высоте</w:t>
            </w:r>
          </w:p>
        </w:tc>
        <w:tc>
          <w:tcPr>
            <w:tcW w:w="1868" w:type="dxa"/>
          </w:tcPr>
          <w:p w14:paraId="3749EEEE"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538</w:t>
            </w:r>
          </w:p>
        </w:tc>
        <w:tc>
          <w:tcPr>
            <w:tcW w:w="1868" w:type="dxa"/>
          </w:tcPr>
          <w:p w14:paraId="2A5FF26F"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535</w:t>
            </w:r>
          </w:p>
        </w:tc>
        <w:tc>
          <w:tcPr>
            <w:tcW w:w="1868" w:type="dxa"/>
          </w:tcPr>
          <w:p w14:paraId="3DE45B39"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540</w:t>
            </w:r>
          </w:p>
        </w:tc>
        <w:tc>
          <w:tcPr>
            <w:tcW w:w="1868" w:type="dxa"/>
          </w:tcPr>
          <w:p w14:paraId="7C8C7DCF"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530</w:t>
            </w:r>
          </w:p>
        </w:tc>
        <w:tc>
          <w:tcPr>
            <w:tcW w:w="1868" w:type="dxa"/>
          </w:tcPr>
          <w:p w14:paraId="34C361D1"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527</w:t>
            </w:r>
          </w:p>
        </w:tc>
      </w:tr>
      <w:tr w:rsidR="00735554" w:rsidRPr="00070ADE" w14:paraId="2B07B9D5" w14:textId="77777777" w:rsidTr="00D752DA">
        <w:tc>
          <w:tcPr>
            <w:tcW w:w="1868" w:type="dxa"/>
          </w:tcPr>
          <w:p w14:paraId="0F6EA8FD"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м</w:t>
            </w:r>
          </w:p>
        </w:tc>
        <w:tc>
          <w:tcPr>
            <w:tcW w:w="1868" w:type="dxa"/>
          </w:tcPr>
          <w:p w14:paraId="2355A371"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76BDC00"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6FE3BD72"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9500</w:t>
            </w:r>
          </w:p>
        </w:tc>
        <w:tc>
          <w:tcPr>
            <w:tcW w:w="1868" w:type="dxa"/>
          </w:tcPr>
          <w:p w14:paraId="0EE7A944"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9100</w:t>
            </w:r>
          </w:p>
        </w:tc>
        <w:tc>
          <w:tcPr>
            <w:tcW w:w="1868" w:type="dxa"/>
          </w:tcPr>
          <w:p w14:paraId="68554A13"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8800</w:t>
            </w:r>
          </w:p>
        </w:tc>
      </w:tr>
      <w:tr w:rsidR="00735554" w:rsidRPr="00070ADE" w14:paraId="055233B7" w14:textId="77777777" w:rsidTr="00D752DA">
        <w:tc>
          <w:tcPr>
            <w:tcW w:w="1868" w:type="dxa"/>
          </w:tcPr>
          <w:p w14:paraId="6270EEAD"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полета, км</w:t>
            </w:r>
          </w:p>
        </w:tc>
        <w:tc>
          <w:tcPr>
            <w:tcW w:w="1868" w:type="dxa"/>
          </w:tcPr>
          <w:p w14:paraId="21815BEF"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1400'</w:t>
            </w:r>
          </w:p>
        </w:tc>
        <w:tc>
          <w:tcPr>
            <w:tcW w:w="1868" w:type="dxa"/>
          </w:tcPr>
          <w:p w14:paraId="7AB0A7AD"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2150</w:t>
            </w:r>
          </w:p>
        </w:tc>
        <w:tc>
          <w:tcPr>
            <w:tcW w:w="1868" w:type="dxa"/>
          </w:tcPr>
          <w:p w14:paraId="661D9F77"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1780</w:t>
            </w:r>
          </w:p>
        </w:tc>
        <w:tc>
          <w:tcPr>
            <w:tcW w:w="1868" w:type="dxa"/>
          </w:tcPr>
          <w:p w14:paraId="197B8FBE"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2000</w:t>
            </w:r>
          </w:p>
        </w:tc>
        <w:tc>
          <w:tcPr>
            <w:tcW w:w="1868" w:type="dxa"/>
          </w:tcPr>
          <w:p w14:paraId="34463B00"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1650</w:t>
            </w:r>
          </w:p>
        </w:tc>
      </w:tr>
      <w:tr w:rsidR="00735554" w:rsidRPr="00070ADE" w14:paraId="596603BA" w14:textId="77777777" w:rsidTr="00D752DA">
        <w:tc>
          <w:tcPr>
            <w:tcW w:w="1868" w:type="dxa"/>
          </w:tcPr>
          <w:p w14:paraId="3D96963F"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5000 м, мин</w:t>
            </w:r>
          </w:p>
        </w:tc>
        <w:tc>
          <w:tcPr>
            <w:tcW w:w="1868" w:type="dxa"/>
          </w:tcPr>
          <w:p w14:paraId="550ED384"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6,8/4000 м</w:t>
            </w:r>
          </w:p>
        </w:tc>
        <w:tc>
          <w:tcPr>
            <w:tcW w:w="1868" w:type="dxa"/>
          </w:tcPr>
          <w:p w14:paraId="34D5469F"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w:t>
            </w:r>
          </w:p>
        </w:tc>
        <w:tc>
          <w:tcPr>
            <w:tcW w:w="1868" w:type="dxa"/>
          </w:tcPr>
          <w:p w14:paraId="7503092A"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w:t>
            </w:r>
          </w:p>
        </w:tc>
        <w:tc>
          <w:tcPr>
            <w:tcW w:w="1868" w:type="dxa"/>
          </w:tcPr>
          <w:p w14:paraId="1083946F"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9,65</w:t>
            </w:r>
          </w:p>
        </w:tc>
        <w:tc>
          <w:tcPr>
            <w:tcW w:w="1868" w:type="dxa"/>
          </w:tcPr>
          <w:p w14:paraId="22E229B0"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735554" w:rsidRPr="00070ADE" w14:paraId="1C35437E" w14:textId="77777777" w:rsidTr="00D752DA">
        <w:tc>
          <w:tcPr>
            <w:tcW w:w="1868" w:type="dxa"/>
          </w:tcPr>
          <w:p w14:paraId="39A9D8A7"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стрелковое</w:t>
            </w:r>
          </w:p>
        </w:tc>
        <w:tc>
          <w:tcPr>
            <w:tcW w:w="1868" w:type="dxa"/>
          </w:tcPr>
          <w:p w14:paraId="43E94F97"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2хШВАК</w:t>
            </w:r>
          </w:p>
        </w:tc>
        <w:tc>
          <w:tcPr>
            <w:tcW w:w="1868" w:type="dxa"/>
          </w:tcPr>
          <w:p w14:paraId="689F3449"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2хБК</w:t>
            </w:r>
          </w:p>
        </w:tc>
        <w:tc>
          <w:tcPr>
            <w:tcW w:w="1868" w:type="dxa"/>
          </w:tcPr>
          <w:p w14:paraId="3EA5CBF5"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2хШВАК</w:t>
            </w:r>
          </w:p>
        </w:tc>
        <w:tc>
          <w:tcPr>
            <w:tcW w:w="1868" w:type="dxa"/>
          </w:tcPr>
          <w:p w14:paraId="798E3E02"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1хШВАК</w:t>
            </w:r>
          </w:p>
        </w:tc>
        <w:tc>
          <w:tcPr>
            <w:tcW w:w="1868" w:type="dxa"/>
          </w:tcPr>
          <w:p w14:paraId="60EDC1EB"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IxLUBAK</w:t>
            </w:r>
          </w:p>
        </w:tc>
      </w:tr>
      <w:tr w:rsidR="00735554" w:rsidRPr="00070ADE" w14:paraId="19F37813" w14:textId="77777777" w:rsidTr="00D752DA">
        <w:tc>
          <w:tcPr>
            <w:tcW w:w="1868" w:type="dxa"/>
          </w:tcPr>
          <w:p w14:paraId="426AFA90"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D1B2C39"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ЗхШКАС</w:t>
            </w:r>
          </w:p>
        </w:tc>
        <w:tc>
          <w:tcPr>
            <w:tcW w:w="1868" w:type="dxa"/>
          </w:tcPr>
          <w:p w14:paraId="367C4C3E"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2хШКАС</w:t>
            </w:r>
          </w:p>
        </w:tc>
        <w:tc>
          <w:tcPr>
            <w:tcW w:w="1868" w:type="dxa"/>
          </w:tcPr>
          <w:p w14:paraId="5985AF94"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2хБК</w:t>
            </w:r>
          </w:p>
        </w:tc>
        <w:tc>
          <w:tcPr>
            <w:tcW w:w="1868" w:type="dxa"/>
          </w:tcPr>
          <w:p w14:paraId="78AD9E6C"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ЗхУБК</w:t>
            </w:r>
          </w:p>
        </w:tc>
        <w:tc>
          <w:tcPr>
            <w:tcW w:w="1868" w:type="dxa"/>
          </w:tcPr>
          <w:p w14:paraId="37A39763"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2хУБК</w:t>
            </w:r>
          </w:p>
        </w:tc>
      </w:tr>
      <w:tr w:rsidR="00735554" w:rsidRPr="00070ADE" w14:paraId="28B7AD6C" w14:textId="77777777" w:rsidTr="00D752DA">
        <w:tc>
          <w:tcPr>
            <w:tcW w:w="1868" w:type="dxa"/>
          </w:tcPr>
          <w:p w14:paraId="2C5232D7"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87535F3"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3A38EEE"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4AF30A0"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1хШКАС</w:t>
            </w:r>
          </w:p>
        </w:tc>
        <w:tc>
          <w:tcPr>
            <w:tcW w:w="1868" w:type="dxa"/>
          </w:tcPr>
          <w:p w14:paraId="2FE9672E"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1хШКАС</w:t>
            </w:r>
          </w:p>
        </w:tc>
        <w:tc>
          <w:tcPr>
            <w:tcW w:w="1868" w:type="dxa"/>
          </w:tcPr>
          <w:p w14:paraId="28282F9F"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735554" w:rsidRPr="00070ADE" w14:paraId="4CCB5377" w14:textId="77777777" w:rsidTr="00D752DA">
        <w:tc>
          <w:tcPr>
            <w:tcW w:w="1868" w:type="dxa"/>
            <w:tcBorders>
              <w:bottom w:val="single" w:sz="12" w:space="0" w:color="auto"/>
            </w:tcBorders>
          </w:tcPr>
          <w:p w14:paraId="2984C6BA"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Нормальная бомбовая нагрузка, кг</w:t>
            </w:r>
          </w:p>
        </w:tc>
        <w:tc>
          <w:tcPr>
            <w:tcW w:w="1868" w:type="dxa"/>
            <w:tcBorders>
              <w:bottom w:val="single" w:sz="12" w:space="0" w:color="auto"/>
            </w:tcBorders>
          </w:tcPr>
          <w:p w14:paraId="65C893C7"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tc>
        <w:tc>
          <w:tcPr>
            <w:tcW w:w="1868" w:type="dxa"/>
            <w:tcBorders>
              <w:bottom w:val="single" w:sz="12" w:space="0" w:color="auto"/>
            </w:tcBorders>
          </w:tcPr>
          <w:p w14:paraId="5ADA1AB3"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7003</w:t>
            </w:r>
          </w:p>
        </w:tc>
        <w:tc>
          <w:tcPr>
            <w:tcW w:w="1868" w:type="dxa"/>
            <w:tcBorders>
              <w:bottom w:val="single" w:sz="12" w:space="0" w:color="auto"/>
            </w:tcBorders>
          </w:tcPr>
          <w:p w14:paraId="7C3F23F5"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1868" w:type="dxa"/>
            <w:tcBorders>
              <w:bottom w:val="single" w:sz="12" w:space="0" w:color="auto"/>
            </w:tcBorders>
          </w:tcPr>
          <w:p w14:paraId="1D537387"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7003</w:t>
            </w:r>
          </w:p>
        </w:tc>
        <w:tc>
          <w:tcPr>
            <w:tcW w:w="1868" w:type="dxa"/>
            <w:tcBorders>
              <w:bottom w:val="single" w:sz="12" w:space="0" w:color="auto"/>
            </w:tcBorders>
          </w:tcPr>
          <w:p w14:paraId="2583CFE5"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5002</w:t>
            </w:r>
          </w:p>
        </w:tc>
      </w:tr>
    </w:tbl>
    <w:p w14:paraId="2F4DDCD0"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Расчетная величина</w:t>
      </w:r>
    </w:p>
    <w:p w14:paraId="591CF692"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 перегрузку на наружной полнеске</w:t>
      </w:r>
    </w:p>
    <w:p w14:paraId="472C252B"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 перегрузку на наружной подвеске и н мотогонлольных бомбоотееках</w:t>
      </w:r>
    </w:p>
    <w:p w14:paraId="039AAC34"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 мотогонлольных бомбоотееках (12042).</w:t>
      </w:r>
    </w:p>
    <w:p w14:paraId="5FCD089A"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p>
    <w:p w14:paraId="73C4C5D6" w14:textId="77777777" w:rsidR="0096643E" w:rsidRPr="00C94B78" w:rsidRDefault="00966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года Королёв пришел к выводу, что если установить на Пе-3 два РД-1 суммарной тяги 600 кг, то самолет приобретает дальность полёта около 1000 км и высокие лётные качества, и писал:</w:t>
      </w:r>
    </w:p>
    <w:p w14:paraId="5EE69FCC" w14:textId="77777777" w:rsidR="0096643E" w:rsidRPr="00C94B78" w:rsidRDefault="00966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этом случае Пе-3 на участке догона противника по максимальной скорости становится на уровень новейших истребителей. Значительное увеличение скороподъёмности и одновременно высоты боевого применения позволит с успехом использовать Пе-3 для уничтожения самолётов противника, идущих на большой высоте. Запас реактивного топлива на Пе-3 обеспечивает последнему выполнение ряда новых тактических задач. &lt;…&gt;</w:t>
      </w:r>
    </w:p>
    <w:p w14:paraId="508D3518" w14:textId="77777777" w:rsidR="0096643E" w:rsidRPr="00C94B78" w:rsidRDefault="00966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Самолёт поднимается на бензиновых моторах до высоты 9000-11000 м и совершает горизонтальный полёт. При обнаружении летящего выше противника лётчик переводит поршневые моторы на режим полного газа, включает реактивные двигатели РД-1 на полную тягу и в короткое время набирает нужную высоту. Далее, если необходимо догнать самолёт противника, то дальнейший полёт по горизонтали на «площадке» происходит при полной тяге РД-1 (на Н = 15 000 м и Vmax = 785 км/час). Если же нужно продержаться на большой высоте, то это происходит на минимально потребной тяге и крейсерских режимах (V = 500-660 км/час)».</w:t>
      </w:r>
    </w:p>
    <w:p w14:paraId="543AA758" w14:textId="77777777" w:rsidR="0096643E" w:rsidRPr="00C94B78" w:rsidRDefault="00966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качестве варианта для модернизации рассматривался и бомбардировщик Пе-2И с моторами М — 107А, который представлял собой радикальную переработку исходной конструкции. Королёв писал:</w:t>
      </w:r>
    </w:p>
    <w:p w14:paraId="6932BBB3" w14:textId="77777777" w:rsidR="0096643E" w:rsidRPr="00C94B78" w:rsidRDefault="00966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 своим боевым данным самолёт «И» с реактивной установкой в варианте бомбардировщика и истребителя оставит далеко позади все известные самолёты не только этих классов, но и одноместные истребители. Как бомбардировщик самолёт Пе-2И с реактивной установкой будет неуязвим для истребителей с учётом роста их скоростей за период создания серийных машин типа «И». Как истребитель самолёт «И», обладая высокими качествами, может быть использован для решения самых разнообразных истребительных задач. Реактивная установка, включаемая в необходимые моменты боя, обеспечивает ему решающее превосходство в воздухе над противником».</w:t>
      </w:r>
    </w:p>
    <w:p w14:paraId="5A57AEF9" w14:textId="77777777" w:rsidR="0096643E" w:rsidRPr="00C94B78" w:rsidRDefault="00966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Идея о применении ракетного двигателя для повышения высоты полёта истребителя была осуществлена — правда, не на самолётах Пе-2И, а на машине конструкции Семёна Алексеевича Лавочкина (25227).</w:t>
      </w:r>
    </w:p>
    <w:p w14:paraId="70E06457" w14:textId="77777777" w:rsidR="0096643E" w:rsidRPr="00C94B78" w:rsidRDefault="0096643E" w:rsidP="00B56F90">
      <w:pPr>
        <w:spacing w:after="0" w:line="240" w:lineRule="auto"/>
        <w:jc w:val="both"/>
        <w:rPr>
          <w:rFonts w:ascii="Times New Roman" w:hAnsi="Times New Roman"/>
          <w:color w:val="0070C0"/>
          <w:sz w:val="16"/>
          <w:szCs w:val="16"/>
        </w:rPr>
      </w:pPr>
    </w:p>
    <w:p w14:paraId="1C79F0BD"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построили десять Ер-2 и 20 Ил-4, в марте - восемнадцать Ер-2 и пятнадцать Ил-4. В июле 1944 г. было построено тридцать Ер-2 параллельно с последними десятью Ил-4.</w:t>
      </w:r>
    </w:p>
    <w:p w14:paraId="0D15346A"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со своим предшественником, дизельный образец Ер-2 внешне отличался более вытянутыми обводами фюзеляжа, роговой компенсацией рулей поворота, большими колесами, несколько измененной конструкцией жалюзей тоннельных радиаторов и, соответственно, крыла (на носках консолей появились характерные "стаканчики").</w:t>
      </w:r>
    </w:p>
    <w:p w14:paraId="0188915E"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Иркутский вариант Ер-2 имел увеличенную взлетную массу и площадь крыла, усиленное оборонительное вооружение, состоявшее из двух крупнокалиберных пулеметов УБТ и УБК, а также пушки ШВАК на ту- рельной установке ТУМ-5. Максимальная бомбовая нагрузка возросла до 5000 кг, сделав Ер-2 самым мощным двухмоторным бомбардировщиком отечественной постройки.</w:t>
      </w:r>
    </w:p>
    <w:p w14:paraId="6F3D61DE"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Строившиеся серийные самолеты отнюдь не были "близнецами" и между собой. Так длительная и сложная технология изготовления эллипсовидной носовой части и, соответственно, жесткие требования к сборочной оснастке и геометрическим контурам, побудили конструкторов изменить обводы штурманской кабины.</w:t>
      </w:r>
    </w:p>
    <w:p w14:paraId="20E06DA0"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 разработан вариант "со спрямленным носом", позволявший, в частности, упростить и ускорить изготовление остекления. Аэродинамика при этом не ухудшилась. Комплект упрощенных стапелей запустили в производство параллельно с уже использующейся старой оснасткой. Самолет, в зависимости от того, на какую линию сборки он попадал, мог получить разные носовые части. Таким образом, различия в иркутских машинах, которые можно видеть на сохранившихся фотоснимках, объясняются этой причиной, а не временем выпуска и серией машины. Например, уже среди первых 22 иркутских Ер-2 с симметричной кабиной пилота, часть самолетов имела новую носовую часть.</w:t>
      </w:r>
    </w:p>
    <w:p w14:paraId="5CDA4866"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Поскольку еще в начале войны опыт использования самолетов ДБ-3, Ил-4 и Ер-2 в составе АДД выявил необходимость иметь в составе экипажа дальнего бомбардировщика второго летчика, возобновление производства Ер-2 дало благоприятную возможность реализовать это требование. Ранее были разработаны два варианта двухместной кабины: в первом - летчики сидели друг за другом по схеме "таtщем ", под доработа11 - ным ассиметричным фонарем, во втором - их кресла </w:t>
      </w:r>
      <w:r w:rsidRPr="00070ADE">
        <w:rPr>
          <w:rFonts w:ascii="Times New Roman" w:hAnsi="Times New Roman"/>
          <w:color w:val="000000" w:themeColor="text1"/>
          <w:sz w:val="16"/>
          <w:szCs w:val="16"/>
        </w:rPr>
        <w:lastRenderedPageBreak/>
        <w:t>стояли рядом, боковое обзорное остекление правого борта устранялось и самолет оснащался классическим фонарем (этот вариант В.Г. Ермолаев и утвердил 18 ноября 1943 г.).</w:t>
      </w:r>
    </w:p>
    <w:p w14:paraId="3D185084"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Варианты самолета имели, соответственно, наименования Ер-1 и Ер-2, что вносило путаницу в директивную конструкторско-тех- нологическую документацию. В производстве еще находился исходный "одноместный" бомбардировщик Ер-2, а службам подготовки уже стала поступать документация на "двухместный" Ер-1, потом на "двухместный" Ер-2!</w:t>
      </w:r>
    </w:p>
    <w:p w14:paraId="68D59B29"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Когда же дошла директива "о приостановке работ над самолетом "Ер-1", руководство завода, для наведения ясности "в обозначении производимых изделий", временно ввело для "внутреннего пользования" свои индексы. Исходный "одноместный" бомбардировщик с асимметричной кабиной именовался Ер-2/1, новый, "двухместный" - Ер-2/2. Позже, когда в производстве остался только самолет с двумя летчиками, надобность в этих индексах отпала и вернулись к первоначальному обозначению Ер-2.</w:t>
      </w:r>
    </w:p>
    <w:p w14:paraId="65AE7179"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Бомбардировщик нравился строевым летчикам за его удобную кабину с отличным обзором, хорошую устойчивость и легкость в управлении, высокую живучесть, значительно возросшие возможности стрелкового и бомбового вооружения. Иркутские "Ермошки" интенсивно использовались на северо-западном и прибалтийском направлениях. В частности, своими крупнокалиберными бомбами они внесли существенный вклад в успех штурма Кенигсберга.</w:t>
      </w:r>
    </w:p>
    <w:p w14:paraId="70441947"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Дизельные двигатели АЧ-ЗОБ, официально считавшимися вполне надежными для серии, не переставали подбрасывать проблемы. Выходила из строя масляная система, прогорали поршневые кольца и т.п. Но зачастую причинами отказов были отнюдь не конструктивные дефекты. Для многих двигателей использовался металл, содержащий некачественные заменители дефицитных легирующих добавок, доставлявшихся из-за рубежа. "Эрзац" не выдерживал иногда даже штатной "напряженной" работы, не говоря уже о форсированных режимах... Это явилось причиной некоторых аварий на перегонах Ер-2 в строевые части, а также ряда вынужденных посадок на заводских испытаниях.</w:t>
      </w:r>
    </w:p>
    <w:p w14:paraId="7F8AAF53"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Например, на опытной машине, оснащенной флюгерными винтами, предполагалось проверить их работу при отключаемых двигателях. Новый вариант Ер-2 испытывал экипаж завода № 39 - летчик И.П. Яшин, контрольный бортмеханик П.Ф. Крейсик и бортрадист В.И. Кишкин. В воздухе левый дизель "решил играть честно" - масляная система вышла из строя и флюгировать винт пришлось в реальной аварийной ситуации. С одним работающим двигателем возникла резкая тряска и экипажу была дана команда покинуть самолет, но Яшин и Крейсик, предупредив радиста, дотянули все-таки до заводского аэродрома (12037).</w:t>
      </w:r>
    </w:p>
    <w:p w14:paraId="06751125" w14:textId="77777777" w:rsidR="00735554" w:rsidRPr="00070ADE" w:rsidRDefault="00735554" w:rsidP="00B56F90">
      <w:pPr>
        <w:autoSpaceDE w:val="0"/>
        <w:autoSpaceDN w:val="0"/>
        <w:adjustRightInd w:val="0"/>
        <w:spacing w:after="0" w:line="240" w:lineRule="auto"/>
        <w:jc w:val="both"/>
        <w:rPr>
          <w:rFonts w:ascii="Times New Roman" w:hAnsi="Times New Roman"/>
          <w:color w:val="000000" w:themeColor="text1"/>
          <w:sz w:val="16"/>
          <w:szCs w:val="16"/>
        </w:rPr>
      </w:pPr>
    </w:p>
    <w:p w14:paraId="286FAF0D" w14:textId="77777777" w:rsidR="00091792" w:rsidRPr="00070ADE" w:rsidRDefault="000917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года начались государственные испытания головного серийного Ер-2 2АЧ-30Б, а в августе первые 10 самолетов были сданы в войска. Но выпуск Ер-2, трудоемкость которых была примерно вдвое выше, чем у бомбардировщиков Ильюшина, постоянно отставал от плана. Хотя 39-й завод в 1944 году сократил сдачу Ил-4 почти в 6 раз и вскоре прекратил ее совсем, темпы поставок «еров» колебались от 2-х до 30 машин в месяц (22871).</w:t>
      </w:r>
    </w:p>
    <w:p w14:paraId="5F9B542C" w14:textId="77777777" w:rsidR="00091792" w:rsidRPr="00070ADE" w:rsidRDefault="00091792" w:rsidP="00B56F90">
      <w:pPr>
        <w:spacing w:after="0" w:line="240" w:lineRule="auto"/>
        <w:jc w:val="both"/>
        <w:rPr>
          <w:rFonts w:ascii="Times New Roman" w:hAnsi="Times New Roman"/>
          <w:color w:val="000000" w:themeColor="text1"/>
          <w:sz w:val="16"/>
          <w:szCs w:val="16"/>
        </w:rPr>
      </w:pPr>
    </w:p>
    <w:p w14:paraId="05E08C6F"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на самолете № 100716 смонтировали кили с увеличенной площадью верхней части. Устойчивость действительно улучшилась. По результатам испытаний в марте новое оперение рекомендовали к внедрению на серийных бомбардировщиках.</w:t>
      </w:r>
    </w:p>
    <w:p w14:paraId="1278200C"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Ввели усиленные коки винтов, немного изменили раскрой обшивки на консолях, применили новые выхлопные коллекторы. Улучшение снабжения легкими сплавами позволило уже с 3-й серии заменить часть шпона на обшивке носа фюзеляжа металлическим листом. Теперь деревянным остался только участок между 1-ми 3-м шпангоутами. С 8-й серии откидную створку люковой установки заменили неподвижным козырьком. С 11-й серии сферический гидроаккумулятор (большей емкости) пришел на смену цилиндрическому. Усилили задние подкосы шасси. Изменили всасывающие патрубки моторов, что несколько повысило реально развиваемую ими мощность. Внедрили более толстую обтяжку на рулях поворота. Смонтировали новые кислородные приборы КП-12 вместо КП-Збис (с самолета N° 3/20), вернули назад посадочную фару на левом крыле, ранее сочтенную ненужной роскошью. На одном самолете поставили даже две фары, на другом обеспечили отопление кабин теплым воздухом (11988).</w:t>
      </w:r>
    </w:p>
    <w:p w14:paraId="257215CC"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Серийное производство Ту-2 в годы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091792" w:rsidRPr="00070ADE" w14:paraId="33276F73" w14:textId="77777777" w:rsidTr="00D752DA">
        <w:tc>
          <w:tcPr>
            <w:tcW w:w="2242" w:type="dxa"/>
            <w:tcBorders>
              <w:top w:val="single" w:sz="12" w:space="0" w:color="auto"/>
            </w:tcBorders>
          </w:tcPr>
          <w:p w14:paraId="24BAF7BF"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33BF1C8D"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1942</w:t>
            </w:r>
          </w:p>
        </w:tc>
        <w:tc>
          <w:tcPr>
            <w:tcW w:w="2242" w:type="dxa"/>
            <w:tcBorders>
              <w:top w:val="single" w:sz="12" w:space="0" w:color="auto"/>
            </w:tcBorders>
          </w:tcPr>
          <w:p w14:paraId="45B70F9C"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w:t>
            </w:r>
          </w:p>
        </w:tc>
        <w:tc>
          <w:tcPr>
            <w:tcW w:w="2242" w:type="dxa"/>
            <w:tcBorders>
              <w:top w:val="single" w:sz="12" w:space="0" w:color="auto"/>
            </w:tcBorders>
          </w:tcPr>
          <w:p w14:paraId="1ADEAAF7"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w:t>
            </w:r>
          </w:p>
        </w:tc>
        <w:tc>
          <w:tcPr>
            <w:tcW w:w="2242" w:type="dxa"/>
            <w:tcBorders>
              <w:top w:val="single" w:sz="12" w:space="0" w:color="auto"/>
            </w:tcBorders>
          </w:tcPr>
          <w:p w14:paraId="6B5190A8"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1945</w:t>
            </w:r>
          </w:p>
        </w:tc>
      </w:tr>
      <w:tr w:rsidR="00091792" w:rsidRPr="00070ADE" w14:paraId="73CEF5CD" w14:textId="77777777" w:rsidTr="00D752DA">
        <w:tc>
          <w:tcPr>
            <w:tcW w:w="2242" w:type="dxa"/>
          </w:tcPr>
          <w:p w14:paraId="0AEB5058"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166 (Омск)</w:t>
            </w:r>
          </w:p>
        </w:tc>
        <w:tc>
          <w:tcPr>
            <w:tcW w:w="2242" w:type="dxa"/>
          </w:tcPr>
          <w:p w14:paraId="0075F0FA"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w:t>
            </w:r>
          </w:p>
        </w:tc>
        <w:tc>
          <w:tcPr>
            <w:tcW w:w="2242" w:type="dxa"/>
          </w:tcPr>
          <w:p w14:paraId="47AA525A"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12 1)</w:t>
            </w:r>
          </w:p>
        </w:tc>
        <w:tc>
          <w:tcPr>
            <w:tcW w:w="2242" w:type="dxa"/>
          </w:tcPr>
          <w:p w14:paraId="6C2634FD"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242" w:type="dxa"/>
          </w:tcPr>
          <w:p w14:paraId="10CBC19A"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091792" w:rsidRPr="00070ADE" w14:paraId="4557BD25" w14:textId="77777777" w:rsidTr="00D752DA">
        <w:tc>
          <w:tcPr>
            <w:tcW w:w="2242" w:type="dxa"/>
            <w:tcBorders>
              <w:bottom w:val="single" w:sz="12" w:space="0" w:color="auto"/>
            </w:tcBorders>
          </w:tcPr>
          <w:p w14:paraId="65B8B6E7"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23 (Москва)</w:t>
            </w:r>
          </w:p>
        </w:tc>
        <w:tc>
          <w:tcPr>
            <w:tcW w:w="2242" w:type="dxa"/>
            <w:tcBorders>
              <w:bottom w:val="single" w:sz="12" w:space="0" w:color="auto"/>
            </w:tcBorders>
          </w:tcPr>
          <w:p w14:paraId="7A4D9874"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242" w:type="dxa"/>
            <w:tcBorders>
              <w:bottom w:val="single" w:sz="12" w:space="0" w:color="auto"/>
            </w:tcBorders>
          </w:tcPr>
          <w:p w14:paraId="0DDE807F"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25 3)</w:t>
            </w:r>
          </w:p>
        </w:tc>
        <w:tc>
          <w:tcPr>
            <w:tcW w:w="2242" w:type="dxa"/>
            <w:tcBorders>
              <w:bottom w:val="single" w:sz="12" w:space="0" w:color="auto"/>
            </w:tcBorders>
          </w:tcPr>
          <w:p w14:paraId="2BF44069"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378 4)</w:t>
            </w:r>
          </w:p>
        </w:tc>
        <w:tc>
          <w:tcPr>
            <w:tcW w:w="2242" w:type="dxa"/>
            <w:tcBorders>
              <w:bottom w:val="single" w:sz="12" w:space="0" w:color="auto"/>
            </w:tcBorders>
          </w:tcPr>
          <w:p w14:paraId="5457BF6E"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742 2)</w:t>
            </w:r>
          </w:p>
        </w:tc>
      </w:tr>
    </w:tbl>
    <w:p w14:paraId="52001AA5"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 включая доработанные заводом № 156; 2) - сдано 736; 3) - из задела завода № 166; сдано 3; 4) - сдано 360 (11988).</w:t>
      </w:r>
    </w:p>
    <w:p w14:paraId="690AFC7D"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p>
    <w:p w14:paraId="65852B5D"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в Иркутске начались государственные испытания доработанного и одновременно первого серийного самолета Ер-2 с М-30Б. Ведущими по машине были инженер Н.М. Кокорин, летчик В.В. Лисицын и штурман Литвинчук. Со 2 по 5 апреля экипаж Лисицына совершил перелет по маршруту Иркутск - Красноярск - Новосибирск - Омск - Свердловск - Москва (аэродром Чкаловская) с промежуточными посадками в указанных пунктах. Испытания проходили довольно тяжело из-за многочисленных дефектов и шесть раз прерывались для доводки как самой машины, так и двигателей, в том числе и для их замены. В конечном счете, после выполния 66 полетов, в октябре пришлось прекратить испытания до полной доводки самолета.</w:t>
      </w:r>
    </w:p>
    <w:p w14:paraId="40DD7477"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новой модификации Ер-2 так и не устранили его раскачку в горизонтальном полете с крыла на крыло. По-прежнему на скоростях, меньших 240 км/ч по прибору, самолет не мог сохранять горизонтальный полет с брошенным управлением и переходил в спираль с быстрым нарастанием скорости, хотя при максимальном полетном весе выполнял виражи с креном до 50°, демонстрируя устойчивость и легкость в управлении (11994).</w:t>
      </w:r>
    </w:p>
    <w:p w14:paraId="0AC9BF5E"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p>
    <w:p w14:paraId="78BF2D38" w14:textId="77777777" w:rsidR="00091792" w:rsidRPr="00070ADE" w:rsidRDefault="000917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года Пе-8 №42611 после выполнения боевого задания на Хельсинки. экипаж, выполняя противозенитный маневр, услышал какой-то звонкий удар где-то позади кабины пилотов Машина благополучно долетела до своего аэродрома и совершила нормальную посадку. В ОКБ было сообщено, что после посадки самолет был тщательно осмотрен техсоставом, но никаких дефектов обнаружено не было.</w:t>
      </w:r>
    </w:p>
    <w:p w14:paraId="5936C6C3" w14:textId="77777777" w:rsidR="00091792" w:rsidRPr="00070ADE" w:rsidRDefault="000917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Спустя некоторое время такой же удар и приблизительно в том же районе, за кабиной пилотов, зафиксировал экипаж, перегонявший один из Пе-8 на заводской аэродром в Казань. Повторное проявление непонятного дефекта всерьез встревожило ОКБ, начали появляться предположения, что произошло разрушение какого-либо силового элемента центроплана. При тщательном осмотре центроплана на этой машине удалось обнаружить след незначительного сдвига нижнего пояса заднего лонжерона по отношению к обойме центрального узла крепления подкосов лонжерона. Как раз этот узел находился позади передней кабины экипажа. Анализ следа сдвига показал, что труба пояса лонжерона вышла из-под обоймы узла на 1-2 мм. Причиной подобного мог быть только разрыв самой трубы, что подтвердилось после снятия обоймы узла, когда перед Незвалем и его коллегами предстала во всей красе труба лонжерона, разорванная по крайнему ряду заклепок. Разрыв был очень ровным и чистым и, казалось как будто специально обрезанным.</w:t>
      </w:r>
    </w:p>
    <w:p w14:paraId="257405C7" w14:textId="77777777" w:rsidR="00091792" w:rsidRPr="00070ADE" w:rsidRDefault="000917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выяснилось вскоре, все было серьезней и глубже. Еще на этапе проектирования для поясов лонжеронов центроплана, по рекомендации ВИАМ, была выбрана на то время новая высокопрочная сталь ЗОХГСА "Хромансиль", по своим характеристикам допускавшая работу при высоких удельных напряжениях и дававшая значительное облегчение конструкции. В то время толком об усталостных напряжениях и их влиянии на долговечность мало что было известно, и никаких рекомендаций со стороны ЦАГИ и ВИАМ у самолетчиков по этим особенностям работы материалов и конструкций не было. На момент проявления дефекта в ОКБ были далеки от понимания существа проблемы. Еще раз тщательно проверили прочностные расчеты, убедились, что действующие напряжения не только не превышают допустимых значений, но и имеют достаточный запас прочности. Дальше копаться не стали, решив, что в этом месте трубы лонжеронов, видимо, имеют какое-то местное ослабление, и приняли решение о местном усилении конструкции. После этого разобрали этот же узел на Пе-8 №42611, на котором впервые проявился дефект — труба лонжерона была также срезана. Разработка конкретных конструктивных мероприятий по усилению трубчатого лонжерона оказалась достаточно сложной конструкторской и технологической задачей, ведь предстояло проводить усиление на самолетах, которые находились в строю. На части парка Пе-8 провели доработки, ограничив для остальных машин максимальную бомбовую нагрузку на уровне 3200 кг. Случаи разрыва труб лонжеронов прекратились и о проблеме и в ОКБ, и в эксплуатации вскоре забыли.</w:t>
      </w:r>
    </w:p>
    <w:p w14:paraId="6F0E5C16" w14:textId="77777777" w:rsidR="00091792" w:rsidRPr="00070ADE" w:rsidRDefault="000917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Одновременно в ЦАГИ и ВИАМ провели дополнительные исследования "Хромансиля", ведь помимо Пе-8 подобное разрушение лонжеронов зафиксировали на истребителе </w:t>
      </w:r>
      <w:r w:rsidRPr="00070ADE">
        <w:rPr>
          <w:rFonts w:ascii="Times New Roman" w:hAnsi="Times New Roman"/>
          <w:color w:val="000000" w:themeColor="text1"/>
          <w:sz w:val="16"/>
          <w:szCs w:val="16"/>
          <w:lang w:val="en-US"/>
        </w:rPr>
        <w:t>JIa</w:t>
      </w:r>
      <w:r w:rsidRPr="00070ADE">
        <w:rPr>
          <w:rFonts w:ascii="Times New Roman" w:hAnsi="Times New Roman"/>
          <w:color w:val="000000" w:themeColor="text1"/>
          <w:sz w:val="16"/>
          <w:szCs w:val="16"/>
        </w:rPr>
        <w:t>-7, а это уже было более чем серьезно. Количество Пе-8 исчислялось десятками, а истребители с маркой "Ла" строили тысячами.</w:t>
      </w:r>
    </w:p>
    <w:p w14:paraId="14EFAC0F" w14:textId="77777777" w:rsidR="00091792" w:rsidRPr="00070ADE" w:rsidRDefault="000917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Детальные исследования разрушенных деталей из ЗОХГСА, проведенные доктором технических наук Н.И.Мариным, показали, что эта высокопрочная сталь, работая при высоких напряжениях, склонна к усталостным разрушениям и обладает очень низким ресурсом в случае воздействия нагрузок подобного характера.</w:t>
      </w:r>
    </w:p>
    <w:p w14:paraId="49A87CDD" w14:textId="77777777" w:rsidR="00091792" w:rsidRPr="00070ADE" w:rsidRDefault="000917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Ничего не оставалось делать, как снижать расчетные напряжения в сечении лонжеронов. Переходить на другой сортамент труб было не реально, поэтому внутрь труб пропустили дополнительные стальные элементы с довольно сложной системой крепления их к узлам лонжеронов. Завод изготовил требуемые элементы усиления и специальный инструмент, а заводская бригада совместно с техсоставом 25-го полка провела необходимые доработки строевых Пе-8. Все эти проблемы привели к тому что под конец войны Пе-8 в основном стояли на земле на доработках. В 25-м полку с ноября 1944 года экипажи совершали на Пе-8 только тренировочные полеты с целью поддержания квалификации летного состава. В 890-м полку практически все машины не летали, за исключением "старушки" ТБ-7 №385 "Дублера". К маю 1945 года в "наземном" строю находилось 32 самолета Пе-8. 9 мая 1945 года Пе-8 из состава 890-го полка обеспечивал праздничный салют над Москвой (12726).</w:t>
      </w:r>
    </w:p>
    <w:p w14:paraId="5FCAF3B7" w14:textId="77777777" w:rsidR="00091792" w:rsidRPr="00070ADE" w:rsidRDefault="00091792" w:rsidP="00B56F90">
      <w:pPr>
        <w:pStyle w:val="ae"/>
        <w:spacing w:before="0" w:after="0"/>
        <w:jc w:val="both"/>
        <w:rPr>
          <w:color w:val="000000" w:themeColor="text1"/>
          <w:sz w:val="16"/>
          <w:szCs w:val="16"/>
        </w:rPr>
      </w:pPr>
    </w:p>
    <w:p w14:paraId="07F48D9F" w14:textId="4F485952" w:rsidR="00091792" w:rsidRPr="00070ADE" w:rsidRDefault="00091792" w:rsidP="00B56F90">
      <w:pPr>
        <w:spacing w:after="0" w:line="240" w:lineRule="auto"/>
        <w:jc w:val="both"/>
        <w:rPr>
          <w:rFonts w:ascii="Times New Roman" w:hAnsi="Times New Roman"/>
          <w:color w:val="000000" w:themeColor="text1"/>
          <w:sz w:val="16"/>
          <w:szCs w:val="16"/>
          <w:shd w:val="clear" w:color="auto" w:fill="FFFFFF"/>
        </w:rPr>
      </w:pPr>
      <w:r w:rsidRPr="00070ADE">
        <w:rPr>
          <w:rFonts w:ascii="Times New Roman" w:hAnsi="Times New Roman"/>
          <w:color w:val="000000" w:themeColor="text1"/>
          <w:sz w:val="16"/>
          <w:szCs w:val="16"/>
          <w:shd w:val="clear" w:color="auto" w:fill="FFFFFF"/>
        </w:rPr>
        <w:lastRenderedPageBreak/>
        <w:t>В феврале 1944 года</w:t>
      </w:r>
      <w:r w:rsidR="00C63BA9">
        <w:rPr>
          <w:rFonts w:ascii="Times New Roman" w:hAnsi="Times New Roman"/>
          <w:color w:val="000000" w:themeColor="text1"/>
          <w:sz w:val="16"/>
          <w:szCs w:val="16"/>
          <w:shd w:val="clear" w:color="auto" w:fill="FFFFFF"/>
        </w:rPr>
        <w:t xml:space="preserve"> </w:t>
      </w:r>
      <w:r w:rsidRPr="00070ADE">
        <w:rPr>
          <w:rFonts w:ascii="Times New Roman" w:hAnsi="Times New Roman"/>
          <w:color w:val="000000" w:themeColor="text1"/>
          <w:sz w:val="16"/>
          <w:szCs w:val="16"/>
          <w:shd w:val="clear" w:color="auto" w:fill="FFFFFF"/>
        </w:rPr>
        <w:t>во время боевого вылета Пе-8 №42611 на Хельсинки произошел странный случай. После выполнения боевого задания экипаж, выполняя противозенитный маневр, услышал какой-то звонкий удар где-то позади кабины пилотов. Машина благополучно долетела до своего аэродрома и совершила нормальную посадку. В ОКБ было сообщено, что после посадки самолет был тщательно осмотрен техсоставом, но никаких дефектов обнаружено не было.</w:t>
      </w:r>
    </w:p>
    <w:p w14:paraId="4BE9D3F1" w14:textId="77777777" w:rsidR="00091792" w:rsidRPr="00070ADE" w:rsidRDefault="00091792" w:rsidP="00B56F90">
      <w:pPr>
        <w:spacing w:after="0" w:line="240" w:lineRule="auto"/>
        <w:jc w:val="both"/>
        <w:rPr>
          <w:rFonts w:ascii="Times New Roman" w:hAnsi="Times New Roman"/>
          <w:color w:val="000000" w:themeColor="text1"/>
          <w:sz w:val="16"/>
          <w:szCs w:val="16"/>
          <w:shd w:val="clear" w:color="auto" w:fill="FFFFFF"/>
        </w:rPr>
      </w:pPr>
      <w:r w:rsidRPr="00070ADE">
        <w:rPr>
          <w:rFonts w:ascii="Times New Roman" w:hAnsi="Times New Roman"/>
          <w:color w:val="000000" w:themeColor="text1"/>
          <w:sz w:val="16"/>
          <w:szCs w:val="16"/>
          <w:shd w:val="clear" w:color="auto" w:fill="FFFFFF"/>
        </w:rPr>
        <w:t>Спустя некоторое время такой же удар и приблизительно в том же районе, за кабиной пилотов, зафиксировал экипаж, перегонявший один из Пе-8 на заводской аэродром в Казань. Повторное проявление непонятного дефекта всерьез встревожило ОКБ, начали появляться предположения, что произошло разрушение какого-либо силового элемента центроплана. При тщательном осмотре центроплана на этой машине удалось обнаружить след незначительного сдвига нижнего пояса заднего лонжерона по отношению к обойме центрального узла крепления подкосов лонжерона. Как раз этот узел находился позади передней кабины экипажа. Анализ следа сдвига показал, что труба пояса лонжерона вышла из под обоймы узла на 1-2 мм. Причиной подобного мог быть только разрыв самой трубы, что подтвердилось после снятия обоймы узла, когда перед Не-звалем и его коллегами предстала во всей красе труба лонжерона, разорванная по крайнему ряду заклепок. Разрыв был очень ровным и чистым и, казалось как будто специально обрезанным.</w:t>
      </w:r>
    </w:p>
    <w:p w14:paraId="6474B3D1" w14:textId="77777777" w:rsidR="00091792" w:rsidRPr="00070ADE" w:rsidRDefault="000917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Как выяснилось вскоре, все было серьезней и глубже. Еще на этапе проектирования для поясов лонжеронов центроплана, по рекомендации ВИАМ, была выбрана на то время новая высокопрочная сталь ЗОХГСА "Хромансиль", по своим характеристикам допускавшая работу при высоких удельных напряжениях и дававшая значительное облегчение конструкции. В то время толком об усталостных напряжениях и их влиянии на долговечность мало что было известно, и никаких рекомендаций со стороны ЦАГИ и ВИАМ у самолетчиков по этим особенностям работы материалов и конструкций не было. На момент проявления дефекта в ОКБ были далеки от понимания существа проблемы. Еще раз тщательно проверили прочностные расчеты, убедились, что действующие напряжения не только не превышают допустимых значений, но и имеют достаточный запас прочности. Дальше копаться не стали, решив, что в этом месте трубы лонжеронов, видимо, имеют какое-то местное ослабление, и приняли решение о местном усилении конструкции. После этого разобрали этот же узел на Пе-8 №42611, на котором впервые проявился дефект - труба лонжерона была также срезана. Разработка конкретных конструктивных мероприятий по усилению трубчатого лонжерона оказалась достаточно сложной конструкторской и технологической задачей, ведь предстояло проводить усиление на самолетах, которые находились в строю. На части парка Пе-8 провели доработки, ограничив для остальных машин максимальную бомбовую нагрузку на уровне 3200 кг. Случаи разрыва труб лонжеронов прекратились, и о проблеме и в ОКБ, и в эксплуатации вскоре забыли (19656).</w:t>
      </w:r>
    </w:p>
    <w:p w14:paraId="6C234F03" w14:textId="77777777" w:rsidR="00091792" w:rsidRPr="00070ADE" w:rsidRDefault="00091792" w:rsidP="00B56F90">
      <w:pPr>
        <w:spacing w:after="0" w:line="240" w:lineRule="auto"/>
        <w:jc w:val="both"/>
        <w:rPr>
          <w:rFonts w:ascii="Times New Roman" w:hAnsi="Times New Roman"/>
          <w:color w:val="000000" w:themeColor="text1"/>
          <w:sz w:val="16"/>
          <w:szCs w:val="16"/>
        </w:rPr>
      </w:pPr>
    </w:p>
    <w:p w14:paraId="01EDA5E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в ОКБ П.О.С. был разработан проект одноместного истребителя с моторами М-107 и ВРДК, а в марте разработали второй вариант, который стал Су-5 (1454,67).</w:t>
      </w:r>
    </w:p>
    <w:p w14:paraId="1502EE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81C5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П.О.С. разработал проект одноместного истребителя И-2 2хМ-107, расположенными в фюзеляже за кабиной л, смещенными к бортам и работающими на соосные винты (9537,18).</w:t>
      </w:r>
    </w:p>
    <w:p w14:paraId="09800B2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38396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года по личному распоряжению Сталина харьковский завод внепланово передал 61 истребитель Як-9 и Як-9Т личному составу полка французских летчиков "Нормандия-Неман" (10674).</w:t>
      </w:r>
    </w:p>
    <w:p w14:paraId="57FFB9C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887D7F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года из сборочного цеха завода № 166 выкатили 11 первых машин Як-9У, а со следующего месяца заказчик начал принимать доработанные Як-9У. В феврале того же года сдал первую серийную машину московский завод № 82. В мае того же года омские авиастроители сдали заказчику 90 Як-9У, а завод № 82 - 50 машин (12046).</w:t>
      </w:r>
    </w:p>
    <w:p w14:paraId="5E743D0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C55EE6A" w14:textId="77777777" w:rsidR="00903E13" w:rsidRPr="00070ADE" w:rsidRDefault="00903E13"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В феврале 1944 г. на втором прототипе Як-9У, после всего 9 часов работы разрушились подшип</w:t>
      </w:r>
      <w:r w:rsidRPr="00070ADE">
        <w:rPr>
          <w:rFonts w:ascii="Times New Roman" w:cs="Times New Roman"/>
          <w:color w:val="000000" w:themeColor="text1"/>
          <w:spacing w:val="0"/>
        </w:rPr>
        <w:softHyphen/>
        <w:t>ники нагнетателя, и двигатель заклинило. Летчик-испытатель А. Прошаков с боль</w:t>
      </w:r>
      <w:r w:rsidRPr="00070ADE">
        <w:rPr>
          <w:rFonts w:ascii="Times New Roman" w:cs="Times New Roman"/>
          <w:color w:val="000000" w:themeColor="text1"/>
          <w:spacing w:val="0"/>
        </w:rPr>
        <w:softHyphen/>
        <w:t>шим трудом посадил аварийную машину. В отчете о дальнейших испытаниях акку</w:t>
      </w:r>
      <w:r w:rsidRPr="00070ADE">
        <w:rPr>
          <w:rFonts w:ascii="Times New Roman" w:cs="Times New Roman"/>
          <w:color w:val="000000" w:themeColor="text1"/>
          <w:spacing w:val="0"/>
        </w:rPr>
        <w:softHyphen/>
        <w:t>ратно говорилось о том, что, хотя Як-9У, по идее, должен превосходить основные немецкие истребители (была достигнута максимальная скорость 700 км/ч), все же «большое количество серьезных дефек</w:t>
      </w:r>
      <w:r w:rsidRPr="00070ADE">
        <w:rPr>
          <w:rFonts w:ascii="Times New Roman" w:cs="Times New Roman"/>
          <w:color w:val="000000" w:themeColor="text1"/>
          <w:spacing w:val="0"/>
        </w:rPr>
        <w:softHyphen/>
        <w:t>тов, особенно по винтомоторной группе, не позволяет нормально эксплуатировать этот самолет на всем диапазоне высот».</w:t>
      </w:r>
    </w:p>
    <w:p w14:paraId="77A82D2C" w14:textId="77777777" w:rsidR="00903E13" w:rsidRPr="00070ADE" w:rsidRDefault="00903E13"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Однако ожидаемые боевые возможно</w:t>
      </w:r>
      <w:r w:rsidRPr="00070ADE">
        <w:rPr>
          <w:rFonts w:ascii="Times New Roman" w:cs="Times New Roman"/>
          <w:color w:val="000000" w:themeColor="text1"/>
          <w:spacing w:val="0"/>
        </w:rPr>
        <w:softHyphen/>
        <w:t>сти самолета были столь высоки, что уже в мае 1944 г. его запустили в массовое про</w:t>
      </w:r>
      <w:r w:rsidRPr="00070ADE">
        <w:rPr>
          <w:rFonts w:ascii="Times New Roman" w:cs="Times New Roman"/>
          <w:color w:val="000000" w:themeColor="text1"/>
          <w:spacing w:val="0"/>
        </w:rPr>
        <w:softHyphen/>
        <w:t>изводство (12741).</w:t>
      </w:r>
    </w:p>
    <w:p w14:paraId="09D9FAEE" w14:textId="77777777" w:rsidR="00903E13" w:rsidRPr="00070ADE" w:rsidRDefault="00903E13" w:rsidP="00B56F90">
      <w:pPr>
        <w:pStyle w:val="27"/>
        <w:shd w:val="clear" w:color="auto" w:fill="auto"/>
        <w:spacing w:after="0" w:line="240" w:lineRule="auto"/>
        <w:ind w:firstLine="0"/>
        <w:rPr>
          <w:rFonts w:ascii="Times New Roman" w:cs="Times New Roman"/>
          <w:color w:val="000000" w:themeColor="text1"/>
          <w:spacing w:val="0"/>
        </w:rPr>
      </w:pPr>
    </w:p>
    <w:p w14:paraId="0A7C3F60" w14:textId="77777777" w:rsidR="00337326" w:rsidRPr="00070ADE" w:rsidRDefault="00337326"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В феврале 1944 г. из сборочного цеха за</w:t>
      </w:r>
      <w:r w:rsidRPr="00070ADE">
        <w:rPr>
          <w:rFonts w:ascii="Times New Roman" w:cs="Times New Roman"/>
          <w:color w:val="000000" w:themeColor="text1"/>
          <w:spacing w:val="0"/>
        </w:rPr>
        <w:softHyphen/>
        <w:t>вода № 166 выкатили первые 11 серийных машин Як-9У с мотором М-107А и пушкой МП-20, а со следующего месяца началась их приёмка. В феврале сдал первый та</w:t>
      </w:r>
      <w:r w:rsidRPr="00070ADE">
        <w:rPr>
          <w:rFonts w:ascii="Times New Roman" w:cs="Times New Roman"/>
          <w:color w:val="000000" w:themeColor="text1"/>
          <w:spacing w:val="0"/>
        </w:rPr>
        <w:softHyphen/>
        <w:t>кой истребитель и московский завод № 82. В мае омские авиастроители построили 90 Як-9У, а завод № 82 - 50 (19103).</w:t>
      </w:r>
    </w:p>
    <w:p w14:paraId="5B980138" w14:textId="77777777" w:rsidR="00337326" w:rsidRPr="00070ADE" w:rsidRDefault="00337326" w:rsidP="00B56F90">
      <w:pPr>
        <w:pStyle w:val="27"/>
        <w:shd w:val="clear" w:color="auto" w:fill="auto"/>
        <w:spacing w:after="0" w:line="240" w:lineRule="auto"/>
        <w:ind w:firstLine="0"/>
        <w:rPr>
          <w:rFonts w:ascii="Times New Roman" w:cs="Times New Roman"/>
          <w:color w:val="000000" w:themeColor="text1"/>
          <w:spacing w:val="0"/>
        </w:rPr>
      </w:pPr>
    </w:p>
    <w:p w14:paraId="35A73212"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и марте 1944 года в ходе дополнительных госиспытаний ис пытывались машины Як-9Д № 07-06 и № 08-85. С марта 1943-го по июнь 1946 года выпущено 3058 истребителей Як-9Д (12046).</w:t>
      </w:r>
    </w:p>
    <w:p w14:paraId="6A38ACB6" w14:textId="77777777" w:rsidR="00091792" w:rsidRPr="00070ADE" w:rsidRDefault="00091792" w:rsidP="00B56F90">
      <w:pPr>
        <w:autoSpaceDE w:val="0"/>
        <w:autoSpaceDN w:val="0"/>
        <w:adjustRightInd w:val="0"/>
        <w:spacing w:after="0" w:line="240" w:lineRule="auto"/>
        <w:jc w:val="both"/>
        <w:rPr>
          <w:rFonts w:ascii="Times New Roman" w:hAnsi="Times New Roman"/>
          <w:color w:val="000000" w:themeColor="text1"/>
          <w:sz w:val="16"/>
          <w:szCs w:val="16"/>
        </w:rPr>
      </w:pPr>
    </w:p>
    <w:p w14:paraId="30E309A5" w14:textId="77777777" w:rsidR="00091792" w:rsidRPr="00C94B78" w:rsidRDefault="0009179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г. провели два пробных полета Як</w:t>
      </w:r>
      <w:r w:rsidRPr="00C94B78">
        <w:rPr>
          <w:rFonts w:ascii="Times New Roman" w:hAnsi="Times New Roman"/>
          <w:color w:val="0070C0"/>
          <w:sz w:val="16"/>
          <w:szCs w:val="16"/>
        </w:rPr>
        <w:noBreakHyphen/>
        <w:t>3 (36–20) ВК</w:t>
      </w:r>
      <w:r w:rsidRPr="00C94B78">
        <w:rPr>
          <w:rFonts w:ascii="Times New Roman" w:hAnsi="Times New Roman"/>
          <w:color w:val="0070C0"/>
          <w:sz w:val="16"/>
          <w:szCs w:val="16"/>
        </w:rPr>
        <w:noBreakHyphen/>
        <w:t>105ПД с двухступенчатым наддувом. Удалось достичь высоты лишь 9000 метров, после чего давление топлива упало до нуля. 19 февраля 1945 года самолет передали в ЛИИ. Тут он получил новый двигатель с наддувом Э</w:t>
      </w:r>
      <w:r w:rsidRPr="00C94B78">
        <w:rPr>
          <w:rFonts w:ascii="Times New Roman" w:hAnsi="Times New Roman"/>
          <w:color w:val="0070C0"/>
          <w:sz w:val="16"/>
          <w:szCs w:val="16"/>
        </w:rPr>
        <w:noBreakHyphen/>
        <w:t>100, а испытания продолжались до 5 мая 1945 года. Кроме того, самолет получил новое вооружение, состоявшее из пушки НС</w:t>
      </w:r>
      <w:r w:rsidRPr="00C94B78">
        <w:rPr>
          <w:rFonts w:ascii="Times New Roman" w:hAnsi="Times New Roman"/>
          <w:color w:val="0070C0"/>
          <w:sz w:val="16"/>
          <w:szCs w:val="16"/>
        </w:rPr>
        <w:noBreakHyphen/>
        <w:t>23 (60 выстрелов). Размах крыльев увеличили на 60 см. двигатель вращал винт ВИШ</w:t>
      </w:r>
      <w:r w:rsidRPr="00C94B78">
        <w:rPr>
          <w:rFonts w:ascii="Times New Roman" w:hAnsi="Times New Roman"/>
          <w:color w:val="0070C0"/>
          <w:sz w:val="16"/>
          <w:szCs w:val="16"/>
        </w:rPr>
        <w:noBreakHyphen/>
        <w:t>105Л</w:t>
      </w:r>
      <w:r w:rsidRPr="00C94B78">
        <w:rPr>
          <w:rFonts w:ascii="Times New Roman" w:hAnsi="Times New Roman"/>
          <w:color w:val="0070C0"/>
          <w:sz w:val="16"/>
          <w:szCs w:val="16"/>
        </w:rPr>
        <w:noBreakHyphen/>
        <w:t>2 диаметром 3 метра. Хотя самолет имел потолок 11500 метров, на практике лететь горизонтально на высотах более 10000 метров истребитель не мог из</w:t>
      </w:r>
      <w:r w:rsidRPr="00C94B78">
        <w:rPr>
          <w:rFonts w:ascii="Times New Roman" w:hAnsi="Times New Roman"/>
          <w:color w:val="0070C0"/>
          <w:sz w:val="16"/>
          <w:szCs w:val="16"/>
        </w:rPr>
        <w:noBreakHyphen/>
        <w:t>за перегрева двигателя (25075).</w:t>
      </w:r>
    </w:p>
    <w:p w14:paraId="10F5CA5C" w14:textId="77777777" w:rsidR="00091792" w:rsidRPr="00C94B78" w:rsidRDefault="00091792" w:rsidP="00B56F90">
      <w:pPr>
        <w:spacing w:after="0" w:line="240" w:lineRule="auto"/>
        <w:jc w:val="both"/>
        <w:rPr>
          <w:rFonts w:ascii="Times New Roman" w:hAnsi="Times New Roman"/>
          <w:color w:val="0070C0"/>
          <w:sz w:val="16"/>
          <w:szCs w:val="16"/>
        </w:rPr>
      </w:pPr>
    </w:p>
    <w:p w14:paraId="717395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года появился самолет ЛаГГ-3 «105-2» с двигателем М-105ПФ-2 стартовой мощностью 1290 л.с. и рабочей мощностью 1310 л.с. на высоте 2000 м. Емкость топливных баков сократили с 405 до 377 л, пушку ШВАК заменили пушкой ВЯ-23 с боекомплектом 85 выстрелов. Пулемет БС имел боекомплект 185 выстрелов. Истребитель проходил государственные испытания с 10 мая по 12 июня 1944 года. Закончились они отрицательно. У самолета отметили недоработки в конструкции винтомоторной группы, слабое вооружение и низкие летные параметры. Самолет «105-2» значительно уступал по возможностям немецким истребителям Bf-109G-6 и Fw-190D-9. В результате в НИИ ВВС признали бесперспективным дальнейшее совершенствование ЛаГГа-3 и подняли вопрос о прекращении его серийного выпуска. Дальнейшие планы тбилисских конструкторов так и не были реализованы. В частности они предполагали оснастить самолет эластичными самогерметизирующимися баками. В отличие от жестких баков с резиновой обшивкой, у мягких баков сами стенки были сделаны из самозатягивающейся резины (11749).</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11"/>
        <w:gridCol w:w="1380"/>
        <w:gridCol w:w="1380"/>
        <w:gridCol w:w="1534"/>
        <w:gridCol w:w="1074"/>
        <w:gridCol w:w="770"/>
      </w:tblGrid>
      <w:tr w:rsidR="004D4663" w:rsidRPr="00070ADE" w14:paraId="726E4FCC" w14:textId="77777777" w:rsidTr="003712D9">
        <w:tc>
          <w:tcPr>
            <w:tcW w:w="1611" w:type="dxa"/>
            <w:gridSpan w:val="6"/>
            <w:tcBorders>
              <w:top w:val="single" w:sz="12" w:space="0" w:color="auto"/>
            </w:tcBorders>
          </w:tcPr>
          <w:p w14:paraId="7A46350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Серийное производство ЛаГГ-3</w:t>
            </w:r>
          </w:p>
        </w:tc>
      </w:tr>
      <w:tr w:rsidR="004D4663" w:rsidRPr="00070ADE" w14:paraId="00C2DD62" w14:textId="77777777" w:rsidTr="003712D9">
        <w:tc>
          <w:tcPr>
            <w:tcW w:w="1611" w:type="dxa"/>
          </w:tcPr>
          <w:p w14:paraId="0CF82CB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380" w:type="dxa"/>
          </w:tcPr>
          <w:p w14:paraId="27D90A3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1941</w:t>
            </w:r>
          </w:p>
        </w:tc>
        <w:tc>
          <w:tcPr>
            <w:tcW w:w="1380" w:type="dxa"/>
          </w:tcPr>
          <w:p w14:paraId="4C6A3C6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1942</w:t>
            </w:r>
          </w:p>
        </w:tc>
        <w:tc>
          <w:tcPr>
            <w:tcW w:w="1534" w:type="dxa"/>
          </w:tcPr>
          <w:p w14:paraId="229CBD8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w:t>
            </w:r>
          </w:p>
        </w:tc>
        <w:tc>
          <w:tcPr>
            <w:tcW w:w="1074" w:type="dxa"/>
          </w:tcPr>
          <w:p w14:paraId="7220742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w:t>
            </w:r>
          </w:p>
        </w:tc>
        <w:tc>
          <w:tcPr>
            <w:tcW w:w="770" w:type="dxa"/>
          </w:tcPr>
          <w:p w14:paraId="6215FE1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tc>
      </w:tr>
      <w:tr w:rsidR="004D4663" w:rsidRPr="00070ADE" w14:paraId="31B4F115" w14:textId="77777777" w:rsidTr="003712D9">
        <w:tc>
          <w:tcPr>
            <w:tcW w:w="1611" w:type="dxa"/>
          </w:tcPr>
          <w:p w14:paraId="4EB39E3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 производства</w:t>
            </w:r>
          </w:p>
        </w:tc>
        <w:tc>
          <w:tcPr>
            <w:tcW w:w="1380" w:type="dxa"/>
          </w:tcPr>
          <w:p w14:paraId="5BC984D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3149</w:t>
            </w:r>
          </w:p>
        </w:tc>
        <w:tc>
          <w:tcPr>
            <w:tcW w:w="1380" w:type="dxa"/>
          </w:tcPr>
          <w:p w14:paraId="5CFAF24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2819</w:t>
            </w:r>
          </w:p>
        </w:tc>
        <w:tc>
          <w:tcPr>
            <w:tcW w:w="1534" w:type="dxa"/>
          </w:tcPr>
          <w:p w14:paraId="222D0E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1111</w:t>
            </w:r>
          </w:p>
        </w:tc>
        <w:tc>
          <w:tcPr>
            <w:tcW w:w="1074" w:type="dxa"/>
          </w:tcPr>
          <w:p w14:paraId="35997D0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215</w:t>
            </w:r>
          </w:p>
        </w:tc>
        <w:tc>
          <w:tcPr>
            <w:tcW w:w="770" w:type="dxa"/>
          </w:tcPr>
          <w:p w14:paraId="5C5E88D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7294</w:t>
            </w:r>
          </w:p>
        </w:tc>
      </w:tr>
      <w:tr w:rsidR="004D4663" w:rsidRPr="00070ADE" w14:paraId="0DBBDFFF" w14:textId="77777777" w:rsidTr="003712D9">
        <w:tc>
          <w:tcPr>
            <w:tcW w:w="1611" w:type="dxa"/>
          </w:tcPr>
          <w:p w14:paraId="05917CF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по факту</w:t>
            </w:r>
          </w:p>
        </w:tc>
        <w:tc>
          <w:tcPr>
            <w:tcW w:w="1380" w:type="dxa"/>
          </w:tcPr>
          <w:p w14:paraId="3973A40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2463</w:t>
            </w:r>
          </w:p>
        </w:tc>
        <w:tc>
          <w:tcPr>
            <w:tcW w:w="1380" w:type="dxa"/>
          </w:tcPr>
          <w:p w14:paraId="2468CFB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2736</w:t>
            </w:r>
          </w:p>
        </w:tc>
        <w:tc>
          <w:tcPr>
            <w:tcW w:w="1534" w:type="dxa"/>
          </w:tcPr>
          <w:p w14:paraId="63F5DFF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1065</w:t>
            </w:r>
          </w:p>
        </w:tc>
        <w:tc>
          <w:tcPr>
            <w:tcW w:w="1074" w:type="dxa"/>
          </w:tcPr>
          <w:p w14:paraId="6A9E1F4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229</w:t>
            </w:r>
          </w:p>
        </w:tc>
        <w:tc>
          <w:tcPr>
            <w:tcW w:w="770" w:type="dxa"/>
          </w:tcPr>
          <w:p w14:paraId="4F23067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6493</w:t>
            </w:r>
          </w:p>
        </w:tc>
      </w:tr>
      <w:tr w:rsidR="004D4663" w:rsidRPr="00070ADE" w14:paraId="2A8209AB" w14:textId="77777777" w:rsidTr="003712D9">
        <w:tc>
          <w:tcPr>
            <w:tcW w:w="1611" w:type="dxa"/>
          </w:tcPr>
          <w:p w14:paraId="7B8CE82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ВВС</w:t>
            </w:r>
          </w:p>
        </w:tc>
        <w:tc>
          <w:tcPr>
            <w:tcW w:w="1380" w:type="dxa"/>
          </w:tcPr>
          <w:p w14:paraId="67B38BB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356 (66)х</w:t>
            </w:r>
          </w:p>
        </w:tc>
        <w:tc>
          <w:tcPr>
            <w:tcW w:w="1380" w:type="dxa"/>
          </w:tcPr>
          <w:p w14:paraId="6E04D4D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277 (61)*</w:t>
            </w:r>
          </w:p>
        </w:tc>
        <w:tc>
          <w:tcPr>
            <w:tcW w:w="1534" w:type="dxa"/>
          </w:tcPr>
          <w:p w14:paraId="4A66D7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251 (44)**</w:t>
            </w:r>
          </w:p>
        </w:tc>
        <w:tc>
          <w:tcPr>
            <w:tcW w:w="1074" w:type="dxa"/>
          </w:tcPr>
          <w:p w14:paraId="6671082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w:t>
            </w:r>
          </w:p>
        </w:tc>
        <w:tc>
          <w:tcPr>
            <w:tcW w:w="770" w:type="dxa"/>
          </w:tcPr>
          <w:p w14:paraId="195344C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26E976D4" w14:textId="77777777" w:rsidTr="003712D9">
        <w:tc>
          <w:tcPr>
            <w:tcW w:w="1611" w:type="dxa"/>
          </w:tcPr>
          <w:p w14:paraId="59B99F4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ПВО</w:t>
            </w:r>
          </w:p>
        </w:tc>
        <w:tc>
          <w:tcPr>
            <w:tcW w:w="1380" w:type="dxa"/>
          </w:tcPr>
          <w:p w14:paraId="411FCBB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 (12)</w:t>
            </w:r>
          </w:p>
        </w:tc>
        <w:tc>
          <w:tcPr>
            <w:tcW w:w="1380" w:type="dxa"/>
          </w:tcPr>
          <w:p w14:paraId="7BD8224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228 (59)</w:t>
            </w:r>
          </w:p>
        </w:tc>
        <w:tc>
          <w:tcPr>
            <w:tcW w:w="1534" w:type="dxa"/>
          </w:tcPr>
          <w:p w14:paraId="2DA7A0A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168 (30)</w:t>
            </w:r>
          </w:p>
        </w:tc>
        <w:tc>
          <w:tcPr>
            <w:tcW w:w="1074" w:type="dxa"/>
          </w:tcPr>
          <w:p w14:paraId="12CA528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 (10)</w:t>
            </w:r>
          </w:p>
        </w:tc>
        <w:tc>
          <w:tcPr>
            <w:tcW w:w="770" w:type="dxa"/>
          </w:tcPr>
          <w:p w14:paraId="76CCB93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813BC45" w14:textId="77777777" w:rsidTr="003712D9">
        <w:tc>
          <w:tcPr>
            <w:tcW w:w="1611" w:type="dxa"/>
            <w:tcBorders>
              <w:bottom w:val="single" w:sz="12" w:space="0" w:color="auto"/>
            </w:tcBorders>
          </w:tcPr>
          <w:p w14:paraId="658057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Морская авиация</w:t>
            </w:r>
          </w:p>
        </w:tc>
        <w:tc>
          <w:tcPr>
            <w:tcW w:w="1380" w:type="dxa"/>
            <w:tcBorders>
              <w:bottom w:val="single" w:sz="12" w:space="0" w:color="auto"/>
            </w:tcBorders>
          </w:tcPr>
          <w:p w14:paraId="07A56F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380" w:type="dxa"/>
            <w:tcBorders>
              <w:bottom w:val="single" w:sz="12" w:space="0" w:color="auto"/>
            </w:tcBorders>
          </w:tcPr>
          <w:p w14:paraId="70C2727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 (13)</w:t>
            </w:r>
          </w:p>
        </w:tc>
        <w:tc>
          <w:tcPr>
            <w:tcW w:w="1534" w:type="dxa"/>
            <w:tcBorders>
              <w:bottom w:val="single" w:sz="12" w:space="0" w:color="auto"/>
            </w:tcBorders>
          </w:tcPr>
          <w:p w14:paraId="6EAF1E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235 (?)</w:t>
            </w:r>
          </w:p>
        </w:tc>
        <w:tc>
          <w:tcPr>
            <w:tcW w:w="1074" w:type="dxa"/>
            <w:tcBorders>
              <w:bottom w:val="single" w:sz="12" w:space="0" w:color="auto"/>
            </w:tcBorders>
          </w:tcPr>
          <w:p w14:paraId="4F31B5F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157</w:t>
            </w:r>
          </w:p>
        </w:tc>
        <w:tc>
          <w:tcPr>
            <w:tcW w:w="770" w:type="dxa"/>
            <w:tcBorders>
              <w:bottom w:val="single" w:sz="12" w:space="0" w:color="auto"/>
            </w:tcBorders>
          </w:tcPr>
          <w:p w14:paraId="411FB29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bl>
    <w:p w14:paraId="282AACB6" w14:textId="77777777" w:rsidR="003712D9" w:rsidRPr="00070ADE" w:rsidRDefault="003712D9" w:rsidP="00B56F90">
      <w:pPr>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Cs/>
          <w:color w:val="000000" w:themeColor="text1"/>
          <w:sz w:val="16"/>
          <w:szCs w:val="16"/>
        </w:rPr>
        <w:t>(11749).</w:t>
      </w:r>
    </w:p>
    <w:p w14:paraId="08308F86" w14:textId="77777777" w:rsidR="003712D9" w:rsidRPr="00070ADE" w:rsidRDefault="003712D9" w:rsidP="00B56F90">
      <w:pPr>
        <w:autoSpaceDE w:val="0"/>
        <w:autoSpaceDN w:val="0"/>
        <w:adjustRightInd w:val="0"/>
        <w:spacing w:after="0" w:line="240" w:lineRule="auto"/>
        <w:jc w:val="both"/>
        <w:rPr>
          <w:rFonts w:ascii="Times New Roman" w:hAnsi="Times New Roman"/>
          <w:iCs/>
          <w:color w:val="000000" w:themeColor="text1"/>
          <w:sz w:val="16"/>
          <w:szCs w:val="16"/>
        </w:rPr>
      </w:pPr>
    </w:p>
    <w:p w14:paraId="147152F9" w14:textId="77777777" w:rsidR="003E3C99" w:rsidRPr="00070ADE" w:rsidRDefault="003E3C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года появился самолет ЛаГГ-3 «105-2» с двигателем М-105ПФ-2 стартовой мощностью 1290 л.с. и рабочей мощностью 1310 л.с. на высоте 2000 м. Емкость топливных баков сократили с 405 до 377 л, пушку ШВАК заменили пушкой ВЯ-23 с боекомплектом 85 выстрелов. Пулемет БС имел боекомплект 185 выстрелов. Истребитель проходил государственные испытания с 10 мая по 12 июня 1944 года. Закончились они отрицательно. У самолета отметили недоработки в конструкции винтомоторной группы, слабое вооружение и низкие летные параметры. Самолет «105-2» значительно уступал по возможностям немецким истребителям Bf-109G-6 и FW-190D-9. В результате в НИИ ВВС признали бесперспективным дальнейшее совершенствование ЛаГГа-3 и подняли вопрос о прекращении его серийного выпуска. Дальнейшие планы тбилисских конструкторов так и не были реализованы. В частности, они предполагали оснастить самолет эластичными самогерметизирующимися баками. В отличие от жестких баков с резиновой обшивкой, у мягких баков сами стенки были сделаны из самозатягивающейся резины (23548).</w:t>
      </w:r>
    </w:p>
    <w:p w14:paraId="5A88CE62" w14:textId="77777777" w:rsidR="003E3C99" w:rsidRPr="00070ADE" w:rsidRDefault="003E3C99" w:rsidP="00B56F90">
      <w:pPr>
        <w:spacing w:after="0" w:line="240" w:lineRule="auto"/>
        <w:jc w:val="both"/>
        <w:rPr>
          <w:rFonts w:ascii="Times New Roman" w:hAnsi="Times New Roman"/>
          <w:color w:val="000000" w:themeColor="text1"/>
          <w:sz w:val="16"/>
          <w:szCs w:val="16"/>
        </w:rPr>
      </w:pPr>
    </w:p>
    <w:p w14:paraId="49FEAD2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феврале 1944 г. построили второй экземпляр, "105-2", с двигателем М-105ПФ-2 взлетной мощностью, возросшей до 1290 л.е., а на первой границе высотности (200 м) - 1310 л.с. По сравнению с предшественником, объем бензобаков уменьшили с 405 до 377 л, а 20-мм пушку ШВАК заменили на 23-мм ВЯ-23 с боезапасом 85 патронов. При этом запас для пулемета БС был равен 185 патронам. Истребитель, находившийся на государственных испытаниях с 10 мая по 12 июня, их не выдержал. Недоведенные винтомоторная группа и вооружение, а также низкие летные данные истребителя сделали свое дело. Самолет "105-2" уступал немецким истребителям </w:t>
      </w:r>
      <w:r w:rsidRPr="00070ADE">
        <w:rPr>
          <w:rFonts w:ascii="Times New Roman" w:hAnsi="Times New Roman"/>
          <w:color w:val="000000" w:themeColor="text1"/>
          <w:sz w:val="16"/>
          <w:szCs w:val="16"/>
        </w:rPr>
        <w:lastRenderedPageBreak/>
        <w:t>по основным параметрам. В итоге, НИИ ВВС счел нецелесообразным продолжение модернизации ЛаГГ-3, и в этом же году его серийное производство было завершено (11983).</w:t>
      </w:r>
    </w:p>
    <w:p w14:paraId="4A45376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9C921DA" w14:textId="77777777" w:rsidR="00091792" w:rsidRPr="00070ADE" w:rsidRDefault="000917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года 31-м заводом был построен самолет 105-2 – один из последних ЛаГГ-3.</w:t>
      </w:r>
    </w:p>
    <w:p w14:paraId="2424669D" w14:textId="77777777" w:rsidR="00091792" w:rsidRPr="00070ADE" w:rsidRDefault="000917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Владимир Петрович Горбунов попытался поднять летные характеристики ЛаГГ-3 если не до уровня Як-3, то, по крайней мере, приблизиться путем внедрения рекомендации ЦАГИ, реализованные на новых «Яках». Опыт работы с институтом уже имелся. Помимо постройки второго прототипа самолета «105», был подготовлен, по крайней мере, еще один ЛаГГ-3 с облагороженными обводами носовой части (гаргрот при этом не срезали) для натурных испытаний в аэродинамической трубе. Переделкой обводов носа дело, конечно, не ограничилось. В.П. Горбунов не мог не понимать, что реально «дотянуться» до уровня Як-3 вряд ли получится, поэтому была предпринята попытка превзойти конкурентов в мощи стрелкового вооружения. На самолет 105-2 – так на заводе стали называть второй прототип, а первый при этом получил обозначение 105-1, – было решено установить мотор-пушку Волкова-Ярцева калибром 23 мм. В связи с установкой новой пушки переделали лафет и установили дополнительный кронштейн для его крепления, изменили форму и конструкцию патронных коробок и гильзоотвода, установили звеньесборник для пушки ВЯ-23, а механическое управление стрельбой перевели на пневматику. При этом боекомплект пушки ВЯ-23 составил 85 патронов вместо 160 у пушки МП-20, а у пулемета УБС он сократился до 185 патронов вместо прежних 200.</w:t>
      </w:r>
    </w:p>
    <w:p w14:paraId="23815447" w14:textId="77777777" w:rsidR="00091792" w:rsidRPr="00070ADE" w:rsidRDefault="000917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Кардинальной переделке подверглась ВМГ. На самолет поставили мотор М-105ПФ2 и винт типа ВИШ-105СВ с профилированной комлевой частью лопастей. На носок вала редуктора был установлен центробежный маслоотражатель типа ЛИИ НКАП. Серьезно переделали каркас капота и схему капотирования мотора. По рекомендации ЦАГИ выхлопные патрубки изготовили по типу Як-3. Маслорадиатор ОП-352 был заменен двумя последовательно соединенными радиаторами типа ВМС-8 с трубкой К-4, толщиной 0,1 мм, которые переместили в фюзеляж, что придало носовой части самолета более обтекаемые формы.</w:t>
      </w:r>
    </w:p>
    <w:p w14:paraId="338AE6F5" w14:textId="77777777" w:rsidR="00091792" w:rsidRPr="00070ADE" w:rsidRDefault="000917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Тбилисские конструкторы не стали копировать яковлевский вариант c совмещенными воздухозаборниками маслорадиаторов и нагнетателя в корне крыла. В нижней части фюзеляжа перед тоннелем водорадиатора разместили два заборника для охлаждения маслорадиаторов, которые установили под поликом кабины пилота, а воздухозаборники нагнетателя оставили в корне центроплана. Такое решение могло несколько поднять границы высотности мотора. Патрубки сброса воздуха разместили по бортам кабины ниже фонаря кабины пилота. Модернизация маслосистемы повлекла за собой ряд доработок планера. Из-за прокладки тоннелей маслорадиаторов общая емкость топливных баков уменьшилась на 28 литров – с 405 до 377. Бензобаки для самолета 105-2 изготовили при этом заново. Была изменена конструкция 4-го и 5-го шпангоутов фюзеляжа. В нижней ферме 4-го шпангоута прорезали два круглых отверстия под тоннель маслорадиатора, а нижнюю часть шпангоута № 5 изменили под установку фермы для крепления сидения пилота и качалки управления РВ. Помимо этого, было увеличено плечо качалки управления элеронами для уменьшения нагрузки на ручку управления, а ее саму изготовили по типу ручки стандартной кабины. Также было изменено управление заслонками маслорадиатора и дренажная трубка суфлерного бачка. Выпуск и уборка шасси теперь осуществлялся от пневмосистемы.</w:t>
      </w:r>
    </w:p>
    <w:p w14:paraId="72CB2390" w14:textId="77777777" w:rsidR="00091792" w:rsidRPr="00070ADE" w:rsidRDefault="0009179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повышения летных характеристик была улучшена внешняя отделка и отполирована передняя кромка крыла самолета 105-2, козырьку кабины пилота придана сферическая форма, улучшена герметизация противопожарной перегородки, крыла, кабины пилота и хвостовой части фюзеляжа, облагорожены обводы тоннеля водорадиатора. Однако по непонятным причинам щитки колес шасси на 105-2 ставить не стали, хотя по данным ЛИИ их применение на первых сериях «облегченных» ЛаГГ-3 увеличивало максимальную скорость на 5-7 км/ч (23197).</w:t>
      </w:r>
    </w:p>
    <w:p w14:paraId="76202DFD" w14:textId="77777777" w:rsidR="00091792" w:rsidRPr="00070ADE" w:rsidRDefault="00091792" w:rsidP="00B56F90">
      <w:pPr>
        <w:spacing w:after="0" w:line="240" w:lineRule="auto"/>
        <w:jc w:val="both"/>
        <w:rPr>
          <w:rFonts w:ascii="Times New Roman" w:hAnsi="Times New Roman"/>
          <w:color w:val="000000" w:themeColor="text1"/>
          <w:sz w:val="16"/>
          <w:szCs w:val="16"/>
        </w:rPr>
      </w:pPr>
    </w:p>
    <w:p w14:paraId="2B1EB7B6" w14:textId="77777777" w:rsidR="00091792" w:rsidRPr="00C94B78" w:rsidRDefault="00091792"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феврале 1944 года на заводе № 31 Горбунов построил второй экземпляр ма</w:t>
      </w:r>
      <w:r w:rsidRPr="00C94B78">
        <w:rPr>
          <w:rStyle w:val="aff1"/>
          <w:rFonts w:ascii="Times New Roman" w:hAnsi="Times New Roman" w:cs="Times New Roman"/>
          <w:color w:val="0070C0"/>
          <w:spacing w:val="0"/>
          <w:sz w:val="16"/>
          <w:szCs w:val="16"/>
        </w:rPr>
        <w:softHyphen/>
        <w:t>шины «105-2», или «Дублер», с двигателем ВК-105ПФ-2. По сравнению с предшественником объем бензобаков у него уменьшили с 405 до 377 литров, а пушку ШВАК заме</w:t>
      </w:r>
      <w:r w:rsidRPr="00C94B78">
        <w:rPr>
          <w:rStyle w:val="aff1"/>
          <w:rFonts w:ascii="Times New Roman" w:hAnsi="Times New Roman" w:cs="Times New Roman"/>
          <w:color w:val="0070C0"/>
          <w:spacing w:val="0"/>
          <w:sz w:val="16"/>
          <w:szCs w:val="16"/>
        </w:rPr>
        <w:softHyphen/>
        <w:t>нили ВЯ-23 калибра 23 мм. При этом сократился боеком</w:t>
      </w:r>
      <w:r w:rsidRPr="00C94B78">
        <w:rPr>
          <w:rStyle w:val="aff1"/>
          <w:rFonts w:ascii="Times New Roman" w:hAnsi="Times New Roman" w:cs="Times New Roman"/>
          <w:color w:val="0070C0"/>
          <w:spacing w:val="0"/>
          <w:sz w:val="16"/>
          <w:szCs w:val="16"/>
        </w:rPr>
        <w:softHyphen/>
        <w:t>плект как у пушки (до 85 патронов), так и у БС (до 185 па</w:t>
      </w:r>
      <w:r w:rsidRPr="00C94B78">
        <w:rPr>
          <w:rStyle w:val="aff1"/>
          <w:rFonts w:ascii="Times New Roman" w:hAnsi="Times New Roman" w:cs="Times New Roman"/>
          <w:color w:val="0070C0"/>
          <w:spacing w:val="0"/>
          <w:sz w:val="16"/>
          <w:szCs w:val="16"/>
        </w:rPr>
        <w:softHyphen/>
        <w:t>тронов). Истребитель, находившийся на государственных испытаниях с 10 мая по 12 июня, их так и не выдержал. Недоведенные винтомоторная группа и вооружение, а также низкие летно-технические данные сделали свое дело. Са</w:t>
      </w:r>
      <w:r w:rsidRPr="00C94B78">
        <w:rPr>
          <w:rStyle w:val="aff1"/>
          <w:rFonts w:ascii="Times New Roman" w:hAnsi="Times New Roman" w:cs="Times New Roman"/>
          <w:color w:val="0070C0"/>
          <w:spacing w:val="0"/>
          <w:sz w:val="16"/>
          <w:szCs w:val="16"/>
        </w:rPr>
        <w:softHyphen/>
        <w:t>молет «105-2» не только уступал немецким истребителям по летным характеристикам, но и имел более слабое воору</w:t>
      </w:r>
      <w:r w:rsidRPr="00C94B78">
        <w:rPr>
          <w:rStyle w:val="aff1"/>
          <w:rFonts w:ascii="Times New Roman" w:hAnsi="Times New Roman" w:cs="Times New Roman"/>
          <w:color w:val="0070C0"/>
          <w:spacing w:val="0"/>
          <w:sz w:val="16"/>
          <w:szCs w:val="16"/>
        </w:rPr>
        <w:softHyphen/>
        <w:t>жение. В итоге НИИ ВВС счел нецелесообразным продол</w:t>
      </w:r>
      <w:r w:rsidRPr="00C94B78">
        <w:rPr>
          <w:rStyle w:val="aff1"/>
          <w:rFonts w:ascii="Times New Roman" w:hAnsi="Times New Roman" w:cs="Times New Roman"/>
          <w:color w:val="0070C0"/>
          <w:spacing w:val="0"/>
          <w:sz w:val="16"/>
          <w:szCs w:val="16"/>
        </w:rPr>
        <w:softHyphen/>
        <w:t>жение работы по дальнейшей модернизации ЛаГГ-3, и в этом же году завершилось его серийное производство (25252).</w:t>
      </w:r>
    </w:p>
    <w:p w14:paraId="547A9868" w14:textId="77777777" w:rsidR="00091792" w:rsidRPr="00C94B78" w:rsidRDefault="00091792" w:rsidP="00B56F90">
      <w:pPr>
        <w:spacing w:after="0" w:line="240" w:lineRule="auto"/>
        <w:jc w:val="both"/>
        <w:rPr>
          <w:rFonts w:ascii="Times New Roman" w:hAnsi="Times New Roman"/>
          <w:color w:val="0070C0"/>
          <w:sz w:val="16"/>
          <w:szCs w:val="16"/>
        </w:rPr>
      </w:pPr>
    </w:p>
    <w:p w14:paraId="5C6AADB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"эталон 1944 г." Ла-5ФН показал на испытаниях скорость 680 км/ч. "Эталон 1944 г." был разработан на базе планера "тип 41", у которого двигатель остался тот же, но мотоустановка претерпела существенные изменения: переделали раму, переместили воздухозаборники и масляный радиатор, ввели индивидуальные выхлопные патрубки и новый винт ВИШ-105В4. Если у Ла-5ФН вооружение состояло из двух 20-мм пушек СП-20 (ШВАК), то на "эталоне" монтировались уже три облегченных УБ-20 такого же калибра. С лета того же года истребитель запустили в серийное производство под обозначением Ла-7; он строился на двух заводах до конца 1946 г. Серийные машины имели максимальную скорость 650 - 660 км/ч. На малых и средних высотах Ла-7 мог успешно вести бой с любым отечественным или зарубежным истребителем. Но Лавочкину хотелось большего...(11990).</w:t>
      </w:r>
    </w:p>
    <w:p w14:paraId="03978D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Серийное производство самолетов семейства Ла-5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4D4663" w:rsidRPr="00070ADE" w14:paraId="17030219" w14:textId="77777777">
        <w:tc>
          <w:tcPr>
            <w:tcW w:w="1868" w:type="dxa"/>
            <w:tcBorders>
              <w:top w:val="single" w:sz="12" w:space="0" w:color="auto"/>
            </w:tcBorders>
          </w:tcPr>
          <w:p w14:paraId="681AE05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6A1DB98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w:t>
            </w:r>
          </w:p>
        </w:tc>
        <w:tc>
          <w:tcPr>
            <w:tcW w:w="1868" w:type="dxa"/>
            <w:tcBorders>
              <w:top w:val="single" w:sz="12" w:space="0" w:color="auto"/>
            </w:tcBorders>
          </w:tcPr>
          <w:p w14:paraId="1163724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1941 год</w:t>
            </w:r>
          </w:p>
        </w:tc>
        <w:tc>
          <w:tcPr>
            <w:tcW w:w="1868" w:type="dxa"/>
            <w:tcBorders>
              <w:top w:val="single" w:sz="12" w:space="0" w:color="auto"/>
            </w:tcBorders>
          </w:tcPr>
          <w:p w14:paraId="2F238F1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1942 год</w:t>
            </w:r>
          </w:p>
        </w:tc>
        <w:tc>
          <w:tcPr>
            <w:tcW w:w="1868" w:type="dxa"/>
            <w:tcBorders>
              <w:top w:val="single" w:sz="12" w:space="0" w:color="auto"/>
            </w:tcBorders>
          </w:tcPr>
          <w:p w14:paraId="02345C6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 год</w:t>
            </w:r>
          </w:p>
        </w:tc>
        <w:tc>
          <w:tcPr>
            <w:tcW w:w="1868" w:type="dxa"/>
            <w:tcBorders>
              <w:top w:val="single" w:sz="12" w:space="0" w:color="auto"/>
            </w:tcBorders>
          </w:tcPr>
          <w:p w14:paraId="2DC91A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 год</w:t>
            </w:r>
          </w:p>
        </w:tc>
      </w:tr>
      <w:tr w:rsidR="004D4663" w:rsidRPr="00070ADE" w14:paraId="38398C84" w14:textId="77777777">
        <w:tc>
          <w:tcPr>
            <w:tcW w:w="1868" w:type="dxa"/>
          </w:tcPr>
          <w:p w14:paraId="697448C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w:t>
            </w:r>
          </w:p>
        </w:tc>
        <w:tc>
          <w:tcPr>
            <w:tcW w:w="1868" w:type="dxa"/>
          </w:tcPr>
          <w:p w14:paraId="2D19EAD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6540C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180EED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A57628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56CC12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8198188" w14:textId="77777777">
        <w:tc>
          <w:tcPr>
            <w:tcW w:w="1868" w:type="dxa"/>
          </w:tcPr>
          <w:p w14:paraId="12D07E0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Ла-5Ф,</w:t>
            </w:r>
          </w:p>
        </w:tc>
        <w:tc>
          <w:tcPr>
            <w:tcW w:w="1868" w:type="dxa"/>
          </w:tcPr>
          <w:p w14:paraId="637F460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4AE6DE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2BC392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9EA34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8EE46A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B56FF9D" w14:textId="77777777">
        <w:tc>
          <w:tcPr>
            <w:tcW w:w="1868" w:type="dxa"/>
          </w:tcPr>
          <w:p w14:paraId="058B2AD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Ла-5ФН</w:t>
            </w:r>
          </w:p>
        </w:tc>
        <w:tc>
          <w:tcPr>
            <w:tcW w:w="1868" w:type="dxa"/>
          </w:tcPr>
          <w:p w14:paraId="46F6DA9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w:t>
            </w:r>
          </w:p>
        </w:tc>
        <w:tc>
          <w:tcPr>
            <w:tcW w:w="1868" w:type="dxa"/>
          </w:tcPr>
          <w:p w14:paraId="072B8E1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2CF7090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1107</w:t>
            </w:r>
          </w:p>
        </w:tc>
        <w:tc>
          <w:tcPr>
            <w:tcW w:w="1868" w:type="dxa"/>
          </w:tcPr>
          <w:p w14:paraId="1C2166D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4619</w:t>
            </w:r>
          </w:p>
        </w:tc>
        <w:tc>
          <w:tcPr>
            <w:tcW w:w="1868" w:type="dxa"/>
          </w:tcPr>
          <w:p w14:paraId="4873537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3503</w:t>
            </w:r>
          </w:p>
        </w:tc>
      </w:tr>
      <w:tr w:rsidR="004D4663" w:rsidRPr="00070ADE" w14:paraId="0431A088" w14:textId="77777777">
        <w:tc>
          <w:tcPr>
            <w:tcW w:w="1868" w:type="dxa"/>
          </w:tcPr>
          <w:p w14:paraId="2398E0A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AEF76D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w:t>
            </w:r>
          </w:p>
        </w:tc>
        <w:tc>
          <w:tcPr>
            <w:tcW w:w="1868" w:type="dxa"/>
          </w:tcPr>
          <w:p w14:paraId="0FAE8F2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36B60FA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w:t>
            </w:r>
          </w:p>
        </w:tc>
        <w:tc>
          <w:tcPr>
            <w:tcW w:w="1868" w:type="dxa"/>
          </w:tcPr>
          <w:p w14:paraId="0184312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1868" w:type="dxa"/>
          </w:tcPr>
          <w:p w14:paraId="475E355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DD34B91" w14:textId="77777777">
        <w:tc>
          <w:tcPr>
            <w:tcW w:w="1868" w:type="dxa"/>
          </w:tcPr>
          <w:p w14:paraId="7EE8306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Ла-5Ф</w:t>
            </w:r>
          </w:p>
        </w:tc>
        <w:tc>
          <w:tcPr>
            <w:tcW w:w="1868" w:type="dxa"/>
          </w:tcPr>
          <w:p w14:paraId="2C951B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№381</w:t>
            </w:r>
          </w:p>
        </w:tc>
        <w:tc>
          <w:tcPr>
            <w:tcW w:w="1868" w:type="dxa"/>
          </w:tcPr>
          <w:p w14:paraId="6F4E1B0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226FC79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3548C30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239</w:t>
            </w:r>
          </w:p>
        </w:tc>
        <w:tc>
          <w:tcPr>
            <w:tcW w:w="1868" w:type="dxa"/>
          </w:tcPr>
          <w:p w14:paraId="436D93F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221</w:t>
            </w:r>
          </w:p>
        </w:tc>
      </w:tr>
      <w:tr w:rsidR="004D4663" w:rsidRPr="00070ADE" w14:paraId="4345CB8D" w14:textId="77777777">
        <w:tc>
          <w:tcPr>
            <w:tcW w:w="1868" w:type="dxa"/>
            <w:tcBorders>
              <w:bottom w:val="single" w:sz="12" w:space="0" w:color="auto"/>
            </w:tcBorders>
          </w:tcPr>
          <w:p w14:paraId="0E06E0C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38EA09B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№99</w:t>
            </w:r>
          </w:p>
        </w:tc>
        <w:tc>
          <w:tcPr>
            <w:tcW w:w="1868" w:type="dxa"/>
            <w:tcBorders>
              <w:bottom w:val="single" w:sz="12" w:space="0" w:color="auto"/>
            </w:tcBorders>
          </w:tcPr>
          <w:p w14:paraId="05844A2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Borders>
              <w:bottom w:val="single" w:sz="12" w:space="0" w:color="auto"/>
            </w:tcBorders>
          </w:tcPr>
          <w:p w14:paraId="3F1DF11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Borders>
              <w:bottom w:val="single" w:sz="12" w:space="0" w:color="auto"/>
            </w:tcBorders>
          </w:tcPr>
          <w:p w14:paraId="7AB601C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184</w:t>
            </w:r>
          </w:p>
        </w:tc>
        <w:tc>
          <w:tcPr>
            <w:tcW w:w="1868" w:type="dxa"/>
            <w:tcBorders>
              <w:bottom w:val="single" w:sz="12" w:space="0" w:color="auto"/>
            </w:tcBorders>
          </w:tcPr>
          <w:p w14:paraId="336EF8A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w:t>
            </w:r>
          </w:p>
        </w:tc>
      </w:tr>
    </w:tbl>
    <w:p w14:paraId="679EB2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Согласно отчету завода № 31 за 1942 г. заказчику сдали 21 самолет Ла-5 (12032)</w:t>
      </w:r>
    </w:p>
    <w:p w14:paraId="4E32768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0FAAC7C" w14:textId="77777777" w:rsidR="00FC46A1" w:rsidRPr="00070ADE" w:rsidRDefault="00FC46A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на летные испытания в ЛИИ АП поступил Ла-5 «эталон 1944 года», на который конструкторы ОКБ С.А. Лавочкина вновь установили три пушки УБ-20, заменили лонжероны крыла металлическими, произвели герметизацию (18999).</w:t>
      </w:r>
    </w:p>
    <w:p w14:paraId="2BB7B96F" w14:textId="77777777" w:rsidR="00FC46A1" w:rsidRPr="00070ADE" w:rsidRDefault="00FC46A1" w:rsidP="00B56F90">
      <w:pPr>
        <w:spacing w:after="0" w:line="240" w:lineRule="auto"/>
        <w:jc w:val="both"/>
        <w:rPr>
          <w:rFonts w:ascii="Times New Roman" w:hAnsi="Times New Roman"/>
          <w:color w:val="000000" w:themeColor="text1"/>
          <w:sz w:val="16"/>
          <w:szCs w:val="16"/>
        </w:rPr>
      </w:pPr>
    </w:p>
    <w:p w14:paraId="4251AD7E"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при опробова</w:t>
      </w:r>
      <w:r w:rsidRPr="00070ADE">
        <w:rPr>
          <w:rFonts w:ascii="Times New Roman" w:hAnsi="Times New Roman"/>
          <w:color w:val="000000" w:themeColor="text1"/>
          <w:sz w:val="16"/>
          <w:szCs w:val="16"/>
        </w:rPr>
        <w:softHyphen/>
        <w:t>нии мотора на земле в маслосистеме Ла-5 с М-82ФН и двумя ТК-3, увеличенной длиной и площадью крыла и увеличенной площадью опере</w:t>
      </w:r>
      <w:r w:rsidRPr="00070ADE">
        <w:rPr>
          <w:rFonts w:ascii="Times New Roman" w:hAnsi="Times New Roman"/>
          <w:color w:val="000000" w:themeColor="text1"/>
          <w:sz w:val="16"/>
          <w:szCs w:val="16"/>
        </w:rPr>
        <w:softHyphen/>
        <w:t>ния, с запланированной боевой высотой 13500 м, также называемый как самолёт «А» или Ла-5А появилась стружка, и его пришлось заменить. Наконец, 17 марта начались лётные испытания, их проводил лётчик-испытатель Г.М. Шиянов. Провели семь полётов, снова отмечалась высокая температура головок ци</w:t>
      </w:r>
      <w:r w:rsidRPr="00070ADE">
        <w:rPr>
          <w:rFonts w:ascii="Times New Roman" w:hAnsi="Times New Roman"/>
          <w:color w:val="000000" w:themeColor="text1"/>
          <w:sz w:val="16"/>
          <w:szCs w:val="16"/>
        </w:rPr>
        <w:softHyphen/>
        <w:t>линдров, на высотах более 2000 м доходившая до 240-260°С, а с высоты 5000 м на</w:t>
      </w:r>
      <w:r w:rsidRPr="00070ADE">
        <w:rPr>
          <w:rFonts w:ascii="Times New Roman" w:hAnsi="Times New Roman"/>
          <w:color w:val="000000" w:themeColor="text1"/>
          <w:sz w:val="16"/>
          <w:szCs w:val="16"/>
        </w:rPr>
        <w:softHyphen/>
        <w:t>чинало падать давление бензина и возникало сильное дымление из турбокомпрессора, причём дым попадал в кабину пилота, и полёт приходилось прекращать. Также имели место дефекты в работе бензо- и маслопомп и системы зажигания (15830).</w:t>
      </w:r>
    </w:p>
    <w:p w14:paraId="52799BC4" w14:textId="77777777" w:rsidR="00AD0763" w:rsidRPr="00070ADE" w:rsidRDefault="00AD0763" w:rsidP="00B56F90">
      <w:pPr>
        <w:spacing w:after="0" w:line="240" w:lineRule="auto"/>
        <w:jc w:val="both"/>
        <w:rPr>
          <w:rFonts w:ascii="Times New Roman" w:hAnsi="Times New Roman"/>
          <w:color w:val="000000" w:themeColor="text1"/>
          <w:sz w:val="16"/>
          <w:szCs w:val="16"/>
        </w:rPr>
      </w:pPr>
    </w:p>
    <w:p w14:paraId="1B5236C9" w14:textId="77777777" w:rsidR="00091792" w:rsidRPr="00C94B78" w:rsidRDefault="0009179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г. испытывался Ла-5ФН, на котором две пушки ШВАК заменили тремя синхронными пушками УБ-20 (24984).</w:t>
      </w:r>
    </w:p>
    <w:p w14:paraId="3C0C8DA5" w14:textId="77777777" w:rsidR="00091792" w:rsidRPr="00C94B78" w:rsidRDefault="00091792" w:rsidP="00B56F90">
      <w:pPr>
        <w:spacing w:after="0" w:line="240" w:lineRule="auto"/>
        <w:jc w:val="both"/>
        <w:rPr>
          <w:rFonts w:ascii="Times New Roman" w:hAnsi="Times New Roman"/>
          <w:color w:val="0070C0"/>
          <w:sz w:val="16"/>
          <w:szCs w:val="16"/>
        </w:rPr>
      </w:pPr>
    </w:p>
    <w:p w14:paraId="48A2B780" w14:textId="77777777" w:rsidR="00091792" w:rsidRPr="00C94B78" w:rsidRDefault="00091792"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В феврале 1944 года заводом № 381 был выпущен Ла-5ФН № 3811022 с металлическими лонжеронами, который, видимо, был самым легким. При весе 3145 кг он развивал скорость 595 км/ч на высоте 5950 м, а самым тяжелым — горьковский Ла-5ФН № 39210206 — 3445 кг (25252).</w:t>
      </w:r>
    </w:p>
    <w:p w14:paraId="25668B0F" w14:textId="77777777" w:rsidR="00091792" w:rsidRPr="00C94B78" w:rsidRDefault="00091792" w:rsidP="00B56F90">
      <w:pPr>
        <w:spacing w:after="0" w:line="240" w:lineRule="auto"/>
        <w:jc w:val="both"/>
        <w:rPr>
          <w:rFonts w:ascii="Times New Roman" w:hAnsi="Times New Roman"/>
          <w:color w:val="0070C0"/>
          <w:sz w:val="16"/>
          <w:szCs w:val="16"/>
        </w:rPr>
      </w:pPr>
    </w:p>
    <w:p w14:paraId="465DBCF5" w14:textId="77777777" w:rsidR="00091792" w:rsidRPr="00C94B78" w:rsidRDefault="0009179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года на за</w:t>
      </w:r>
      <w:r w:rsidRPr="00C94B78">
        <w:rPr>
          <w:rFonts w:ascii="Times New Roman" w:hAnsi="Times New Roman"/>
          <w:color w:val="0070C0"/>
          <w:sz w:val="16"/>
          <w:szCs w:val="16"/>
        </w:rPr>
        <w:softHyphen/>
        <w:t>воде № 381 построили первый опытный экземпляр Ла-7 (№ 3815758) с тремя син</w:t>
      </w:r>
      <w:r w:rsidRPr="00C94B78">
        <w:rPr>
          <w:rFonts w:ascii="Times New Roman" w:hAnsi="Times New Roman"/>
          <w:color w:val="0070C0"/>
          <w:sz w:val="16"/>
          <w:szCs w:val="16"/>
        </w:rPr>
        <w:softHyphen/>
        <w:t>хронными пушками Б-20с конструкции М.Е. Березина с суммарным боезапасом 440 патронов. Помимо этого, на самолете установили автомат, регулирующий тем</w:t>
      </w:r>
      <w:r w:rsidRPr="00C94B78">
        <w:rPr>
          <w:rFonts w:ascii="Times New Roman" w:hAnsi="Times New Roman"/>
          <w:color w:val="0070C0"/>
          <w:sz w:val="16"/>
          <w:szCs w:val="16"/>
        </w:rPr>
        <w:softHyphen/>
        <w:t>пературу головок цилиндров двигателя, объединенное управление винтом и га</w:t>
      </w:r>
      <w:r w:rsidRPr="00C94B78">
        <w:rPr>
          <w:rFonts w:ascii="Times New Roman" w:hAnsi="Times New Roman"/>
          <w:color w:val="0070C0"/>
          <w:sz w:val="16"/>
          <w:szCs w:val="16"/>
        </w:rPr>
        <w:softHyphen/>
        <w:t>зом, а также радиополукомпас РПК-10 (24988).</w:t>
      </w:r>
    </w:p>
    <w:p w14:paraId="1526DF05" w14:textId="77777777" w:rsidR="00091792" w:rsidRPr="00C94B78" w:rsidRDefault="00091792" w:rsidP="00B56F90">
      <w:pPr>
        <w:spacing w:after="0" w:line="240" w:lineRule="auto"/>
        <w:jc w:val="both"/>
        <w:rPr>
          <w:rFonts w:ascii="Times New Roman" w:hAnsi="Times New Roman"/>
          <w:color w:val="0070C0"/>
          <w:sz w:val="16"/>
          <w:szCs w:val="16"/>
          <w:shd w:val="clear" w:color="auto" w:fill="FFFFFF"/>
        </w:rPr>
      </w:pPr>
    </w:p>
    <w:p w14:paraId="4246F969"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года прототип нового истребителя Ла-7 был спроектирован под установку трех синхронных пушек Б-20. В июне — июле 1944 года в НИИ ВВС удалось провести первые испытания трех синхронных мушек Б-20 на одном из истребителей Ла-7. Они выявили, что при выбросе гильз в воздух из зализов крыла случались повреждения консолей крыла и хвостового оперения. Машину доработали, сделав выброс гильз под фюзеляж, и в сентябре вновь испытали в НИИ ВВС (25391).</w:t>
      </w:r>
    </w:p>
    <w:p w14:paraId="37DB1553" w14:textId="77777777" w:rsidR="0065195F" w:rsidRPr="00C94B78" w:rsidRDefault="0065195F" w:rsidP="00B56F90">
      <w:pPr>
        <w:spacing w:after="0" w:line="240" w:lineRule="auto"/>
        <w:jc w:val="both"/>
        <w:rPr>
          <w:rFonts w:ascii="Times New Roman" w:hAnsi="Times New Roman"/>
          <w:color w:val="0070C0"/>
          <w:sz w:val="16"/>
          <w:szCs w:val="16"/>
        </w:rPr>
      </w:pPr>
    </w:p>
    <w:p w14:paraId="1E59A06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АМ-39А-ТК с турбонагнетателями ТК-Б испытывался на самолете И-224 (11852).</w:t>
      </w:r>
    </w:p>
    <w:p w14:paraId="6F6B15A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29EAF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в ОКБ-155 начались работы над истребителем, получившим наименование И-250 и заводской шифр "Н". К моменту выхода Постановления №5946 (30 мая 1944) уже полным ходом шло эскизное проектирование (6000).</w:t>
      </w:r>
    </w:p>
    <w:p w14:paraId="35284DD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3FF76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П.М.Стефановский пригнал с завода в НИИ ВВС МиГ-3ДД с АМ-39 и совершил на нем первый полет. выявилась плохая работа тормозов. Потом аэродром завалило снегом и полеты прервались. 8 марта 1944 на аэродроме Чкаловская П.М.С. разбился, но остался жив. На посадке врезался в сугроб (817).</w:t>
      </w:r>
    </w:p>
    <w:p w14:paraId="3F039F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7F1779" w14:textId="77777777" w:rsidR="003E3C99" w:rsidRPr="00070ADE" w:rsidRDefault="003E3C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закончились заводские испытания И-231, которые шли с 18 октября 1943. Существенных дефектов отмечено не было и положенная доработка свелась в основном к дальнейшим улучшениям самолета. В частности, на нем установили новый воздушный винт АВ-5Л-126Е, об</w:t>
      </w:r>
      <w:r w:rsidRPr="00070ADE">
        <w:rPr>
          <w:rFonts w:ascii="Times New Roman" w:hAnsi="Times New Roman"/>
          <w:color w:val="000000" w:themeColor="text1"/>
          <w:sz w:val="16"/>
          <w:szCs w:val="16"/>
        </w:rPr>
        <w:softHyphen/>
        <w:t>легченный на 25,3 кг. В таком виде в кон</w:t>
      </w:r>
      <w:r w:rsidRPr="00070ADE">
        <w:rPr>
          <w:rFonts w:ascii="Times New Roman" w:hAnsi="Times New Roman"/>
          <w:color w:val="000000" w:themeColor="text1"/>
          <w:sz w:val="16"/>
          <w:szCs w:val="16"/>
        </w:rPr>
        <w:softHyphen/>
        <w:t>це февраля опытный перехватчик сдали на Государственные испытания.</w:t>
      </w:r>
    </w:p>
    <w:p w14:paraId="32B46569" w14:textId="77777777" w:rsidR="003E3C99" w:rsidRPr="00070ADE" w:rsidRDefault="003E3C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этому этапу машина подошла с не</w:t>
      </w:r>
      <w:r w:rsidRPr="00070ADE">
        <w:rPr>
          <w:rFonts w:ascii="Times New Roman" w:hAnsi="Times New Roman"/>
          <w:color w:val="000000" w:themeColor="text1"/>
          <w:sz w:val="16"/>
          <w:szCs w:val="16"/>
        </w:rPr>
        <w:softHyphen/>
        <w:t>плохими показателями. Дальность само</w:t>
      </w:r>
      <w:r w:rsidRPr="00070ADE">
        <w:rPr>
          <w:rFonts w:ascii="Times New Roman" w:hAnsi="Times New Roman"/>
          <w:color w:val="000000" w:themeColor="text1"/>
          <w:sz w:val="16"/>
          <w:szCs w:val="16"/>
        </w:rPr>
        <w:softHyphen/>
        <w:t>лета составила 1350 км, и это было очень хорошо. Напомним, большинство истре</w:t>
      </w:r>
      <w:r w:rsidRPr="00070ADE">
        <w:rPr>
          <w:rFonts w:ascii="Times New Roman" w:hAnsi="Times New Roman"/>
          <w:color w:val="000000" w:themeColor="text1"/>
          <w:sz w:val="16"/>
          <w:szCs w:val="16"/>
        </w:rPr>
        <w:softHyphen/>
        <w:t>бителей Яковлева и Лавочкина выпу</w:t>
      </w:r>
      <w:r w:rsidRPr="00070ADE">
        <w:rPr>
          <w:rFonts w:ascii="Times New Roman" w:hAnsi="Times New Roman"/>
          <w:color w:val="000000" w:themeColor="text1"/>
          <w:sz w:val="16"/>
          <w:szCs w:val="16"/>
        </w:rPr>
        <w:softHyphen/>
        <w:t>ска 1943-1944 гг. могли пролететь лишь 650-1000 км, такая дальность была лишь у Як-9Д - при большем запасе топлива. Дальность для самолета ПВО была не по</w:t>
      </w:r>
      <w:r w:rsidRPr="00070ADE">
        <w:rPr>
          <w:rFonts w:ascii="Times New Roman" w:hAnsi="Times New Roman"/>
          <w:color w:val="000000" w:themeColor="text1"/>
          <w:sz w:val="16"/>
          <w:szCs w:val="16"/>
        </w:rPr>
        <w:softHyphen/>
        <w:t>следним параметром, т.к. она определяла рубежи перехвата и требуемую плотность расположения аэродромов. Важен был и резерв топлива на случай сложных мете</w:t>
      </w:r>
      <w:r w:rsidRPr="00070ADE">
        <w:rPr>
          <w:rFonts w:ascii="Times New Roman" w:hAnsi="Times New Roman"/>
          <w:color w:val="000000" w:themeColor="text1"/>
          <w:sz w:val="16"/>
          <w:szCs w:val="16"/>
        </w:rPr>
        <w:softHyphen/>
        <w:t>оусловий - требования по всепогодности в авиации ПВО были выше, чем во фрон</w:t>
      </w:r>
      <w:r w:rsidRPr="00070ADE">
        <w:rPr>
          <w:rFonts w:ascii="Times New Roman" w:hAnsi="Times New Roman"/>
          <w:color w:val="000000" w:themeColor="text1"/>
          <w:sz w:val="16"/>
          <w:szCs w:val="16"/>
        </w:rPr>
        <w:softHyphen/>
        <w:t>товых частях ВВС.</w:t>
      </w:r>
    </w:p>
    <w:p w14:paraId="4DA328B6" w14:textId="77777777" w:rsidR="003E3C99" w:rsidRPr="00070ADE" w:rsidRDefault="003E3C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составил 11 400 м - это было несколько мень</w:t>
      </w:r>
      <w:r w:rsidRPr="00070ADE">
        <w:rPr>
          <w:rFonts w:ascii="Times New Roman" w:hAnsi="Times New Roman"/>
          <w:color w:val="000000" w:themeColor="text1"/>
          <w:sz w:val="16"/>
          <w:szCs w:val="16"/>
        </w:rPr>
        <w:softHyphen/>
        <w:t>ше, чем у И-230 №2, но все же достаточ</w:t>
      </w:r>
      <w:r w:rsidRPr="00070ADE">
        <w:rPr>
          <w:rFonts w:ascii="Times New Roman" w:hAnsi="Times New Roman"/>
          <w:color w:val="000000" w:themeColor="text1"/>
          <w:sz w:val="16"/>
          <w:szCs w:val="16"/>
        </w:rPr>
        <w:softHyphen/>
        <w:t>но для перехвата большинства целей, с которыми тогда имела дело ПВО в ты</w:t>
      </w:r>
      <w:r w:rsidRPr="00070ADE">
        <w:rPr>
          <w:rFonts w:ascii="Times New Roman" w:hAnsi="Times New Roman"/>
          <w:color w:val="000000" w:themeColor="text1"/>
          <w:sz w:val="16"/>
          <w:szCs w:val="16"/>
        </w:rPr>
        <w:softHyphen/>
        <w:t>ловых районах. Высоту 5000 м само</w:t>
      </w:r>
      <w:r w:rsidRPr="00070ADE">
        <w:rPr>
          <w:rFonts w:ascii="Times New Roman" w:hAnsi="Times New Roman"/>
          <w:color w:val="000000" w:themeColor="text1"/>
          <w:sz w:val="16"/>
          <w:szCs w:val="16"/>
        </w:rPr>
        <w:softHyphen/>
        <w:t>лет набирал всего за 4,5 мин - быстрее большинства наших истребителей того времени и на уровне самых лучших за</w:t>
      </w:r>
      <w:r w:rsidRPr="00070ADE">
        <w:rPr>
          <w:rFonts w:ascii="Times New Roman" w:hAnsi="Times New Roman"/>
          <w:color w:val="000000" w:themeColor="text1"/>
          <w:sz w:val="16"/>
          <w:szCs w:val="16"/>
        </w:rPr>
        <w:softHyphen/>
        <w:t>рубежных образцов. На высоте 7000 м была получена скорость 707 км/ч - все</w:t>
      </w:r>
      <w:r w:rsidRPr="00070ADE">
        <w:rPr>
          <w:rFonts w:ascii="Times New Roman" w:hAnsi="Times New Roman"/>
          <w:color w:val="000000" w:themeColor="text1"/>
          <w:sz w:val="16"/>
          <w:szCs w:val="16"/>
        </w:rPr>
        <w:softHyphen/>
        <w:t>союзный рекорд снова (в который раз!) был за Микояном. По оценке летчиков, самолет для перехвата высотных и ско</w:t>
      </w:r>
      <w:r w:rsidRPr="00070ADE">
        <w:rPr>
          <w:rFonts w:ascii="Times New Roman" w:hAnsi="Times New Roman"/>
          <w:color w:val="000000" w:themeColor="text1"/>
          <w:sz w:val="16"/>
          <w:szCs w:val="16"/>
        </w:rPr>
        <w:softHyphen/>
        <w:t>ростных целей подходил лучше, чем Як-9, «Киттихаук», «Аэрокобра» и даже «Спитфайр» (23398).</w:t>
      </w:r>
    </w:p>
    <w:p w14:paraId="075DB778" w14:textId="77777777" w:rsidR="003E3C99" w:rsidRPr="00070ADE" w:rsidRDefault="003E3C99" w:rsidP="00B56F90">
      <w:pPr>
        <w:spacing w:after="0" w:line="240" w:lineRule="auto"/>
        <w:jc w:val="both"/>
        <w:rPr>
          <w:rFonts w:ascii="Times New Roman" w:hAnsi="Times New Roman"/>
          <w:color w:val="000000" w:themeColor="text1"/>
          <w:sz w:val="16"/>
          <w:szCs w:val="16"/>
        </w:rPr>
      </w:pPr>
    </w:p>
    <w:p w14:paraId="4D8D2237" w14:textId="77777777" w:rsidR="00091792" w:rsidRPr="00C94B78" w:rsidRDefault="0009179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года в ОКБ Микояна начали работы над истребителем, получившим наименование И-250 и заводской шифр "Н"</w:t>
      </w:r>
      <w:r w:rsidRPr="00C94B78">
        <w:rPr>
          <w:rFonts w:ascii="Times New Roman" w:hAnsi="Times New Roman"/>
          <w:b/>
          <w:bCs/>
          <w:i/>
          <w:iCs/>
          <w:color w:val="0070C0"/>
          <w:sz w:val="16"/>
          <w:szCs w:val="16"/>
        </w:rPr>
        <w:t>.</w:t>
      </w:r>
      <w:r w:rsidRPr="00C94B78">
        <w:rPr>
          <w:rFonts w:ascii="Times New Roman" w:hAnsi="Times New Roman"/>
          <w:color w:val="0070C0"/>
          <w:sz w:val="16"/>
          <w:szCs w:val="16"/>
        </w:rPr>
        <w:t xml:space="preserve"> К моменту выхода Постановления №5946 уже полным ходом шло эскизное проектирование, а 22 мая главный инженер ВВС генерал-полковник А.К.Репин утвердил тактико-технические требования к новой машине. По расчетам максимальная скорость истребителя И-250, с применением ВРДК, должна была составить 825 км/ч на высоте 7000 м. В сентябре в НКАП и ВВС был утвержден эскизный проект, а 26 октября 1944 года рассмотрен макет самолета (24925).</w:t>
      </w:r>
    </w:p>
    <w:p w14:paraId="3A666E26" w14:textId="77777777" w:rsidR="00091792" w:rsidRPr="00C94B78" w:rsidRDefault="00091792" w:rsidP="00B56F90">
      <w:pPr>
        <w:spacing w:after="0" w:line="240" w:lineRule="auto"/>
        <w:jc w:val="both"/>
        <w:rPr>
          <w:rFonts w:ascii="Times New Roman" w:hAnsi="Times New Roman"/>
          <w:color w:val="0070C0"/>
          <w:sz w:val="16"/>
          <w:szCs w:val="16"/>
        </w:rPr>
      </w:pPr>
    </w:p>
    <w:p w14:paraId="2A429DB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февраля 1944 г. начались заводские испытания АШ-83 (АШ-83ФН) - дальнейшее развитие АШ-82ФН с форсированием по наддуву и оборо</w:t>
      </w:r>
      <w:r w:rsidRPr="00070ADE">
        <w:rPr>
          <w:rFonts w:ascii="Times New Roman" w:hAnsi="Times New Roman"/>
          <w:color w:val="000000" w:themeColor="text1"/>
          <w:sz w:val="16"/>
          <w:szCs w:val="16"/>
        </w:rPr>
        <w:softHyphen/>
        <w:t>там. Изменен носок картера, усилен коленвал, увеличен диаметр крыльчат</w:t>
      </w:r>
      <w:r w:rsidRPr="00070ADE">
        <w:rPr>
          <w:rFonts w:ascii="Times New Roman" w:hAnsi="Times New Roman"/>
          <w:color w:val="000000" w:themeColor="text1"/>
          <w:sz w:val="16"/>
          <w:szCs w:val="16"/>
        </w:rPr>
        <w:softHyphen/>
        <w:t>ки ПЦН, на крыльчатке ликвидированы вырезы, гильза параболического профиля (позднее с технологическим сужением) с усиленным фланцем, небольшие изменения в механизме газораспределения и маслосистеме. Новый агрегат непосредственного впрыска В ноябре того же года мотор успешно прошел гос</w:t>
      </w:r>
      <w:r w:rsidRPr="00070ADE">
        <w:rPr>
          <w:rFonts w:ascii="Times New Roman" w:hAnsi="Times New Roman"/>
          <w:color w:val="000000" w:themeColor="text1"/>
          <w:sz w:val="16"/>
          <w:szCs w:val="16"/>
        </w:rPr>
        <w:softHyphen/>
        <w:t>испытания. С конца 1944 г. до сентября 1945 г. АШ-83 проходил летные испытания на истребителе Ла-7. Выпускался с апреля 1945 г. на заводе № 19 в Молотове. Всего изготовили 93 экз.</w:t>
      </w:r>
    </w:p>
    <w:p w14:paraId="58A98E5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Характеристики:</w:t>
      </w:r>
    </w:p>
    <w:p w14:paraId="7BC641B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14-цилиндровый двухрядный звездообразный, воздушного охлаждения, редукторный, с одноступенчатым двухскоростным ПЦН;</w:t>
      </w:r>
    </w:p>
    <w:p w14:paraId="7FD33C4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диаметр цилиндра/ход поршня 155,5/155 мм;</w:t>
      </w:r>
    </w:p>
    <w:p w14:paraId="65BD52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объем 41,2 л;</w:t>
      </w:r>
    </w:p>
    <w:p w14:paraId="2B2153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степень сжатия 6,9;</w:t>
      </w:r>
    </w:p>
    <w:p w14:paraId="38981BE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мощность по проекту 1500/1900 л.с., реально доведена до 1585/1900 л.с.;</w:t>
      </w:r>
    </w:p>
    <w:p w14:paraId="3E72B37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вес 915 кг (по другим данным, 921 кг).</w:t>
      </w:r>
    </w:p>
    <w:p w14:paraId="515B106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АШ-83 устанавливался на опытных самолетах Ту-2, Ла-7 (Ла-120). Его использование предполагалось в проектах «64» (Ту-10), И-211 (11852).</w:t>
      </w:r>
    </w:p>
    <w:p w14:paraId="2D91202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0F30F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февраля 1944 г. завод № 51 сдал заказчику всего четыре планера БДП-2 и достраивался пятый. От дальнейшего выпуска БДП отказались (10667).</w:t>
      </w:r>
    </w:p>
    <w:p w14:paraId="25D5AB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0FE43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решением ГКО был создан НИИ для разработки реактивных двигателей. Это был НИИ-1, созданный на базе НИИ-3 (262,83).</w:t>
      </w:r>
    </w:p>
    <w:p w14:paraId="29B311A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339C3E" w14:textId="77777777" w:rsidR="00D73CDA" w:rsidRPr="00070ADE" w:rsidRDefault="00D73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года в ЦАГИ состоялась представи</w:t>
      </w:r>
      <w:r w:rsidRPr="00070ADE">
        <w:rPr>
          <w:rFonts w:ascii="Times New Roman" w:hAnsi="Times New Roman"/>
          <w:color w:val="000000" w:themeColor="text1"/>
          <w:sz w:val="16"/>
          <w:szCs w:val="16"/>
        </w:rPr>
        <w:softHyphen/>
        <w:t>тельная конференция, на которой с докладом о вы</w:t>
      </w:r>
      <w:r w:rsidRPr="00070ADE">
        <w:rPr>
          <w:rFonts w:ascii="Times New Roman" w:hAnsi="Times New Roman"/>
          <w:color w:val="000000" w:themeColor="text1"/>
          <w:sz w:val="16"/>
          <w:szCs w:val="16"/>
        </w:rPr>
        <w:softHyphen/>
        <w:t>полненной работе в области ВРДК выступил Г.Н. Абрамович.</w:t>
      </w:r>
    </w:p>
    <w:p w14:paraId="56FD99D0" w14:textId="77777777" w:rsidR="00D73CDA" w:rsidRPr="00070ADE" w:rsidRDefault="00D73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этого результаты своих теоретических исследований ГН. Абрамович доложил на научно-техническом со</w:t>
      </w:r>
      <w:r w:rsidRPr="00070ADE">
        <w:rPr>
          <w:rFonts w:ascii="Times New Roman" w:hAnsi="Times New Roman"/>
          <w:color w:val="000000" w:themeColor="text1"/>
          <w:sz w:val="16"/>
          <w:szCs w:val="16"/>
        </w:rPr>
        <w:softHyphen/>
        <w:t>вете Центрального института авиационного моторо</w:t>
      </w:r>
      <w:r w:rsidRPr="00070ADE">
        <w:rPr>
          <w:rFonts w:ascii="Times New Roman" w:hAnsi="Times New Roman"/>
          <w:color w:val="000000" w:themeColor="text1"/>
          <w:sz w:val="16"/>
          <w:szCs w:val="16"/>
        </w:rPr>
        <w:softHyphen/>
        <w:t>строения (ЦИАМ). Его доклад вызвал большой ин</w:t>
      </w:r>
      <w:r w:rsidRPr="00070ADE">
        <w:rPr>
          <w:rFonts w:ascii="Times New Roman" w:hAnsi="Times New Roman"/>
          <w:color w:val="000000" w:themeColor="text1"/>
          <w:sz w:val="16"/>
          <w:szCs w:val="16"/>
        </w:rPr>
        <w:softHyphen/>
        <w:t>терес, и начальник ЦИАМ В.И. Поликовский создал у себя в институте специальное КБ под руководством К.В. Холщевникова. Задачей этого коллектива являлась конструкторская проработка различных схем ВРДК.</w:t>
      </w:r>
    </w:p>
    <w:p w14:paraId="5A02AF9B" w14:textId="77777777" w:rsidR="00D73CDA" w:rsidRPr="00070ADE" w:rsidRDefault="00D73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показывали расчёты, при отборе на компрессор 30% мощности авиамотора можно получить от ВРДК дополнительную тягу, равную тяге винта. Это дало бы возможность увеличить максимальную скорость на 120—150 км/ч при одновременном увеличении взлётной массы на 800—1000 кг. Такую схему иначе как промежуточной назвать нельзя, но при ней сохра</w:t>
      </w:r>
      <w:r w:rsidRPr="00070ADE">
        <w:rPr>
          <w:rFonts w:ascii="Times New Roman" w:hAnsi="Times New Roman"/>
          <w:color w:val="000000" w:themeColor="text1"/>
          <w:sz w:val="16"/>
          <w:szCs w:val="16"/>
        </w:rPr>
        <w:softHyphen/>
        <w:t>нялись такие же, как у серийных поршневых истреби</w:t>
      </w:r>
      <w:r w:rsidRPr="00070ADE">
        <w:rPr>
          <w:rFonts w:ascii="Times New Roman" w:hAnsi="Times New Roman"/>
          <w:color w:val="000000" w:themeColor="text1"/>
          <w:sz w:val="16"/>
          <w:szCs w:val="16"/>
        </w:rPr>
        <w:softHyphen/>
        <w:t>телей, взлётные и манёвренные качества.</w:t>
      </w:r>
    </w:p>
    <w:p w14:paraId="3417BCE1" w14:textId="77777777" w:rsidR="00D73CDA" w:rsidRPr="00070ADE" w:rsidRDefault="00D73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числе приглашённых были и главные конструкторы А.И. Ми</w:t>
      </w:r>
      <w:r w:rsidRPr="00070ADE">
        <w:rPr>
          <w:rFonts w:ascii="Times New Roman" w:hAnsi="Times New Roman"/>
          <w:color w:val="000000" w:themeColor="text1"/>
          <w:sz w:val="16"/>
          <w:szCs w:val="16"/>
        </w:rPr>
        <w:softHyphen/>
        <w:t>коян и П.О. Сухой, для которых этот доклад, был, ве</w:t>
      </w:r>
      <w:r w:rsidRPr="00070ADE">
        <w:rPr>
          <w:rFonts w:ascii="Times New Roman" w:hAnsi="Times New Roman"/>
          <w:color w:val="000000" w:themeColor="text1"/>
          <w:sz w:val="16"/>
          <w:szCs w:val="16"/>
        </w:rPr>
        <w:softHyphen/>
        <w:t>роятно, важней, чем для остальных «самолётчиков». В качестве маршевого двигателя лучше вписывался в компоновку мотор жидкостного охлаждения, для него на порядок легче было сделать редуктор для при</w:t>
      </w:r>
      <w:r w:rsidRPr="00070ADE">
        <w:rPr>
          <w:rFonts w:ascii="Times New Roman" w:hAnsi="Times New Roman"/>
          <w:color w:val="000000" w:themeColor="text1"/>
          <w:sz w:val="16"/>
          <w:szCs w:val="16"/>
        </w:rPr>
        <w:softHyphen/>
        <w:t>вода компрессора ускорителя. Наивысшими характе</w:t>
      </w:r>
      <w:r w:rsidRPr="00070ADE">
        <w:rPr>
          <w:rFonts w:ascii="Times New Roman" w:hAnsi="Times New Roman"/>
          <w:color w:val="000000" w:themeColor="text1"/>
          <w:sz w:val="16"/>
          <w:szCs w:val="16"/>
        </w:rPr>
        <w:softHyphen/>
        <w:t>ристиками в 1944 году располагал мотор ВК-107А. Сложности с его охлаждением в данном случае не смущали конструк</w:t>
      </w:r>
      <w:r w:rsidRPr="00070ADE">
        <w:rPr>
          <w:rFonts w:ascii="Times New Roman" w:hAnsi="Times New Roman"/>
          <w:color w:val="000000" w:themeColor="text1"/>
          <w:sz w:val="16"/>
          <w:szCs w:val="16"/>
        </w:rPr>
        <w:softHyphen/>
        <w:t>торов — ведь установленный в воздухо</w:t>
      </w:r>
      <w:r w:rsidRPr="00070ADE">
        <w:rPr>
          <w:rFonts w:ascii="Times New Roman" w:hAnsi="Times New Roman"/>
          <w:color w:val="000000" w:themeColor="text1"/>
          <w:sz w:val="16"/>
          <w:szCs w:val="16"/>
        </w:rPr>
        <w:softHyphen/>
        <w:t>водном канале водорадиатор имел при</w:t>
      </w:r>
      <w:r w:rsidRPr="00070ADE">
        <w:rPr>
          <w:rFonts w:ascii="Times New Roman" w:hAnsi="Times New Roman"/>
          <w:color w:val="000000" w:themeColor="text1"/>
          <w:sz w:val="16"/>
          <w:szCs w:val="16"/>
        </w:rPr>
        <w:softHyphen/>
        <w:t>нудительный обдув. За компрессором находилась камера сгорания, или «топ</w:t>
      </w:r>
      <w:r w:rsidRPr="00070ADE">
        <w:rPr>
          <w:rFonts w:ascii="Times New Roman" w:hAnsi="Times New Roman"/>
          <w:color w:val="000000" w:themeColor="text1"/>
          <w:sz w:val="16"/>
          <w:szCs w:val="16"/>
        </w:rPr>
        <w:softHyphen/>
        <w:t>ка», по терминологии тех лет (23379).</w:t>
      </w:r>
    </w:p>
    <w:p w14:paraId="0DB5C8FA" w14:textId="77777777" w:rsidR="00D73CDA" w:rsidRPr="00070ADE" w:rsidRDefault="00D73CDA" w:rsidP="00B56F90">
      <w:pPr>
        <w:spacing w:after="0" w:line="240" w:lineRule="auto"/>
        <w:jc w:val="both"/>
        <w:rPr>
          <w:rFonts w:ascii="Times New Roman" w:hAnsi="Times New Roman"/>
          <w:color w:val="000000" w:themeColor="text1"/>
          <w:sz w:val="16"/>
          <w:szCs w:val="16"/>
        </w:rPr>
      </w:pPr>
    </w:p>
    <w:p w14:paraId="6AE387A6" w14:textId="77777777" w:rsidR="00091792" w:rsidRPr="00070ADE" w:rsidRDefault="00091792"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феврале 1944 г., как раз когда вышло это постановление по закрытию НИИ-3 и созданию НИИРА, а летающая лаборато</w:t>
      </w:r>
      <w:r w:rsidRPr="00070ADE">
        <w:rPr>
          <w:rFonts w:ascii="Times New Roman" w:hAnsi="Times New Roman" w:cs="Times New Roman"/>
          <w:color w:val="000000" w:themeColor="text1"/>
          <w:sz w:val="16"/>
          <w:szCs w:val="16"/>
        </w:rPr>
        <w:softHyphen/>
        <w:t>рия Яковлева готовилась к испытательным полетам, закончила свою работу комиссия во главе с заместителем наркома ави</w:t>
      </w:r>
      <w:r w:rsidRPr="00070ADE">
        <w:rPr>
          <w:rFonts w:ascii="Times New Roman" w:hAnsi="Times New Roman" w:cs="Times New Roman"/>
          <w:color w:val="000000" w:themeColor="text1"/>
          <w:sz w:val="16"/>
          <w:szCs w:val="16"/>
        </w:rPr>
        <w:softHyphen/>
        <w:t>апромышленности по опытному строи</w:t>
      </w:r>
      <w:r w:rsidRPr="00070ADE">
        <w:rPr>
          <w:rFonts w:ascii="Times New Roman" w:hAnsi="Times New Roman" w:cs="Times New Roman"/>
          <w:color w:val="000000" w:themeColor="text1"/>
          <w:sz w:val="16"/>
          <w:szCs w:val="16"/>
        </w:rPr>
        <w:softHyphen/>
        <w:t>тельству А.С. Яковлевым, с участием члена Военного совета Гвардейских минометных частей Л.М. Гайдукова как представителя Заказчика по оценке работы НИИ РТ во</w:t>
      </w:r>
      <w:r w:rsidRPr="00070ADE">
        <w:rPr>
          <w:rFonts w:ascii="Times New Roman" w:hAnsi="Times New Roman" w:cs="Times New Roman"/>
          <w:color w:val="000000" w:themeColor="text1"/>
          <w:sz w:val="16"/>
          <w:szCs w:val="16"/>
        </w:rPr>
        <w:softHyphen/>
        <w:t>обще и по проекту «302П» в частности. Она выявила, что построенный самолет до сих пор не имеет двигателей. Это само по себе было не таким уж необычным делом, такие проблемы были не у одного Кости</w:t>
      </w:r>
      <w:r w:rsidRPr="00070ADE">
        <w:rPr>
          <w:rFonts w:ascii="Times New Roman" w:hAnsi="Times New Roman" w:cs="Times New Roman"/>
          <w:color w:val="000000" w:themeColor="text1"/>
          <w:sz w:val="16"/>
          <w:szCs w:val="16"/>
        </w:rPr>
        <w:softHyphen/>
        <w:t>кова, но он и Бисноват самовольно внесли изменения в конструкцию самолета и те</w:t>
      </w:r>
      <w:r w:rsidRPr="00070ADE">
        <w:rPr>
          <w:rFonts w:ascii="Times New Roman" w:hAnsi="Times New Roman" w:cs="Times New Roman"/>
          <w:color w:val="000000" w:themeColor="text1"/>
          <w:sz w:val="16"/>
          <w:szCs w:val="16"/>
        </w:rPr>
        <w:softHyphen/>
        <w:t>перь ПВРД в его силовой установке вовсе не был предусмотрен, что было грубым нарушением выданного НИИ РТ техниче</w:t>
      </w:r>
      <w:r w:rsidRPr="00070ADE">
        <w:rPr>
          <w:rFonts w:ascii="Times New Roman" w:hAnsi="Times New Roman" w:cs="Times New Roman"/>
          <w:color w:val="000000" w:themeColor="text1"/>
          <w:sz w:val="16"/>
          <w:szCs w:val="16"/>
        </w:rPr>
        <w:softHyphen/>
        <w:t>ского задания. После реорганизации и пе</w:t>
      </w:r>
      <w:r w:rsidRPr="00070ADE">
        <w:rPr>
          <w:rFonts w:ascii="Times New Roman" w:hAnsi="Times New Roman" w:cs="Times New Roman"/>
          <w:color w:val="000000" w:themeColor="text1"/>
          <w:sz w:val="16"/>
          <w:szCs w:val="16"/>
        </w:rPr>
        <w:softHyphen/>
        <w:t>реподчинения института Костиков был не только уволен, но 15 апреля 1944 г. аре</w:t>
      </w:r>
      <w:r w:rsidRPr="00070ADE">
        <w:rPr>
          <w:rFonts w:ascii="Times New Roman" w:hAnsi="Times New Roman" w:cs="Times New Roman"/>
          <w:color w:val="000000" w:themeColor="text1"/>
          <w:sz w:val="16"/>
          <w:szCs w:val="16"/>
        </w:rPr>
        <w:softHyphen/>
        <w:t>стован и вскоре осужден по обвинению в обмане правительства в части изменения конструкции силовой установки самолета «302П». Скажете - слишком круто? Но со</w:t>
      </w:r>
      <w:r w:rsidRPr="00070ADE">
        <w:rPr>
          <w:rFonts w:ascii="Times New Roman" w:hAnsi="Times New Roman" w:cs="Times New Roman"/>
          <w:color w:val="000000" w:themeColor="text1"/>
          <w:sz w:val="16"/>
          <w:szCs w:val="16"/>
        </w:rPr>
        <w:softHyphen/>
        <w:t>вершенно законно, да и время было во</w:t>
      </w:r>
      <w:r w:rsidRPr="00070ADE">
        <w:rPr>
          <w:rFonts w:ascii="Times New Roman" w:hAnsi="Times New Roman" w:cs="Times New Roman"/>
          <w:color w:val="000000" w:themeColor="text1"/>
          <w:sz w:val="16"/>
          <w:szCs w:val="16"/>
        </w:rPr>
        <w:softHyphen/>
        <w:t>енное. И что интересно, он и как человек, и как руководитель создал себе такое ре</w:t>
      </w:r>
      <w:r w:rsidRPr="00070ADE">
        <w:rPr>
          <w:rFonts w:ascii="Times New Roman" w:hAnsi="Times New Roman" w:cs="Times New Roman"/>
          <w:color w:val="000000" w:themeColor="text1"/>
          <w:sz w:val="16"/>
          <w:szCs w:val="16"/>
        </w:rPr>
        <w:softHyphen/>
        <w:t>номе, что никто из коллег и подчиненных за него, похоже, не затупился (17742).</w:t>
      </w:r>
    </w:p>
    <w:p w14:paraId="35D7CC00" w14:textId="77777777" w:rsidR="00091792" w:rsidRPr="00070ADE" w:rsidRDefault="00091792" w:rsidP="00B56F90">
      <w:pPr>
        <w:spacing w:after="0" w:line="240" w:lineRule="auto"/>
        <w:jc w:val="both"/>
        <w:rPr>
          <w:rFonts w:ascii="Times New Roman" w:hAnsi="Times New Roman"/>
          <w:color w:val="000000" w:themeColor="text1"/>
          <w:sz w:val="16"/>
          <w:szCs w:val="16"/>
        </w:rPr>
      </w:pPr>
    </w:p>
    <w:p w14:paraId="32B9F265" w14:textId="77777777" w:rsidR="00091792" w:rsidRPr="00070ADE" w:rsidRDefault="00091792"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в ЦАГИ состоялась представительная конференция. Выступил Г.Н.Абрамович, а А.И.Микоян и П.О.Сухой решились на И-250 и И-105 (197,31).</w:t>
      </w:r>
    </w:p>
    <w:p w14:paraId="2294D0BA" w14:textId="77777777" w:rsidR="00091792" w:rsidRPr="00070ADE" w:rsidRDefault="00091792"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1846B6" w14:textId="77777777" w:rsidR="00091792" w:rsidRPr="00070ADE" w:rsidRDefault="00091792"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феврале 1944 г. в ЦАГИ на представительной конферев ции с докладом о проделанной работе выступил Г.Н. Абрамо вич. В числе приглашенных на конференции присутствовали и главные конструкторы А.И. Микоян и П.О. Сухой, КБ кото рых не были заняты заботами о серийных машинах и поэтому могли себе позволить заняться экспериментальными самоле тами с ВРДК. Они выбрали наиболее кратчайший и наименее рискованный путь к созданию КДУ из ПД и ВРДК. В качестве ПД легче входили в такую компоновочную схему двига тели с жидкостным охлаждением. В 1944 г. наивысшими ха рактеристиками обладал ПД ВК-107А. Сложности с охлажде нием ПД не испугали конструкторов. Водорадиатор имел при нудительный обдув (19586).</w:t>
      </w:r>
    </w:p>
    <w:p w14:paraId="385D9779" w14:textId="77777777" w:rsidR="00091792" w:rsidRPr="00070ADE" w:rsidRDefault="00091792" w:rsidP="00B56F90">
      <w:pPr>
        <w:pStyle w:val="ae"/>
        <w:shd w:val="clear" w:color="auto" w:fill="FFFFFF"/>
        <w:spacing w:before="0" w:after="0"/>
        <w:jc w:val="both"/>
        <w:rPr>
          <w:color w:val="000000" w:themeColor="text1"/>
          <w:sz w:val="16"/>
          <w:szCs w:val="16"/>
        </w:rPr>
      </w:pPr>
    </w:p>
    <w:p w14:paraId="5ACE201B" w14:textId="77777777" w:rsidR="00091792" w:rsidRPr="00C94B78" w:rsidRDefault="0009179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г. в ЦАГИ на представительной конференции с докладом о проделанной работе по реактивным машинам выступил Г.Н. Абрамович. В числе приглашенных на конференции присутствовали и главные конструкторы А.И. Микоян и П.О. Сухой, КБ кото</w:t>
      </w:r>
      <w:r w:rsidRPr="00C94B78">
        <w:rPr>
          <w:rFonts w:ascii="Times New Roman" w:hAnsi="Times New Roman"/>
          <w:color w:val="0070C0"/>
          <w:sz w:val="16"/>
          <w:szCs w:val="16"/>
        </w:rPr>
        <w:softHyphen/>
        <w:t>рых не были заняты заботами о серийных машинах и поэтому могли себе позволить заняться экспериментальными самоле</w:t>
      </w:r>
      <w:r w:rsidRPr="00C94B78">
        <w:rPr>
          <w:rFonts w:ascii="Times New Roman" w:hAnsi="Times New Roman"/>
          <w:color w:val="0070C0"/>
          <w:sz w:val="16"/>
          <w:szCs w:val="16"/>
        </w:rPr>
        <w:softHyphen/>
        <w:t>тами с ВРДК. Они выбрали наиболее кратчайший и наименее рискованный путь к созданию КДУ из ПД и ВРДК. В качестве ПД легче входили в такую компоновочную схему двига</w:t>
      </w:r>
      <w:r w:rsidRPr="00C94B78">
        <w:rPr>
          <w:rFonts w:ascii="Times New Roman" w:hAnsi="Times New Roman"/>
          <w:color w:val="0070C0"/>
          <w:sz w:val="16"/>
          <w:szCs w:val="16"/>
        </w:rPr>
        <w:softHyphen/>
        <w:t>тели с жидкостным охлаждением. В 1944 г. наивысшими ха</w:t>
      </w:r>
      <w:r w:rsidRPr="00C94B78">
        <w:rPr>
          <w:rFonts w:ascii="Times New Roman" w:hAnsi="Times New Roman"/>
          <w:color w:val="0070C0"/>
          <w:sz w:val="16"/>
          <w:szCs w:val="16"/>
        </w:rPr>
        <w:softHyphen/>
        <w:t>рактеристиками обладал ПД ВК-107А. Сложности с охлажде</w:t>
      </w:r>
      <w:r w:rsidRPr="00C94B78">
        <w:rPr>
          <w:rFonts w:ascii="Times New Roman" w:hAnsi="Times New Roman"/>
          <w:color w:val="0070C0"/>
          <w:sz w:val="16"/>
          <w:szCs w:val="16"/>
        </w:rPr>
        <w:softHyphen/>
        <w:t>нием ПД не испугали конструкторов. Водорадиатор имел при</w:t>
      </w:r>
      <w:r w:rsidRPr="00C94B78">
        <w:rPr>
          <w:rFonts w:ascii="Times New Roman" w:hAnsi="Times New Roman"/>
          <w:color w:val="0070C0"/>
          <w:sz w:val="16"/>
          <w:szCs w:val="16"/>
        </w:rPr>
        <w:softHyphen/>
        <w:t>нудительный обдув [44], [45] (24920).</w:t>
      </w:r>
    </w:p>
    <w:p w14:paraId="30B29648" w14:textId="77777777" w:rsidR="00091792" w:rsidRPr="00C94B78" w:rsidRDefault="00091792" w:rsidP="00B56F90">
      <w:pPr>
        <w:spacing w:after="0" w:line="240" w:lineRule="auto"/>
        <w:jc w:val="both"/>
        <w:rPr>
          <w:rFonts w:ascii="Times New Roman" w:hAnsi="Times New Roman"/>
          <w:color w:val="0070C0"/>
          <w:sz w:val="16"/>
          <w:szCs w:val="16"/>
        </w:rPr>
      </w:pPr>
    </w:p>
    <w:p w14:paraId="4E3C2644" w14:textId="77777777" w:rsidR="00091792" w:rsidRPr="00C94B78" w:rsidRDefault="0009179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г. в ЦАГИ состоялась представительная конференция, на которой с докладом о выполненной работе выступил Г.Н. Абрамович. В числе приглашенных на конференцию присутствовали и главные конструкторы А.И. Микоян и П.О. Сухой, для которых доклад Абрамовича, был, вероятно, важней, чем для остальных. Их КБ не занимались в то время серийными машинами и, вследствие этого, могли позволить себе роскошь заняться экспериментальными самолетами с ВРДК. Кратчайший и наименее рискованный путь к созданию таких самолетов сулила комбинированная схема «ВМГ + реактивный ускоритель», и именно на ней остановили свой выбор проектанты Сухого и Микояна, создавшие впоследствии опытный истребитель Су-5 (И-107) и строившийся малой серией МиГ-13 (И-250) (24925)</w:t>
      </w:r>
      <w:r w:rsidRPr="00C94B78">
        <w:rPr>
          <w:rFonts w:ascii="Times New Roman" w:hAnsi="Times New Roman"/>
          <w:i/>
          <w:iCs/>
          <w:color w:val="0070C0"/>
          <w:sz w:val="16"/>
          <w:szCs w:val="16"/>
        </w:rPr>
        <w:t>.</w:t>
      </w:r>
    </w:p>
    <w:p w14:paraId="7494DDEF" w14:textId="77777777" w:rsidR="00091792" w:rsidRPr="00C94B78" w:rsidRDefault="00091792" w:rsidP="00B56F90">
      <w:pPr>
        <w:spacing w:after="0" w:line="240" w:lineRule="auto"/>
        <w:jc w:val="both"/>
        <w:rPr>
          <w:rFonts w:ascii="Times New Roman" w:hAnsi="Times New Roman"/>
          <w:color w:val="0070C0"/>
          <w:sz w:val="16"/>
          <w:szCs w:val="16"/>
        </w:rPr>
      </w:pPr>
    </w:p>
    <w:p w14:paraId="55B947A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НИИ-3 при СНК был ликвидирован и прекращена работа над самолетом 302. работа по разработке двигателя на основе Д2А с насосной подачей была сохранена и включена в план НИИ-1 (2928,80).</w:t>
      </w:r>
    </w:p>
    <w:p w14:paraId="3FFEA1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881D1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феврале 1944 года в США командировали представителей НИИ ВВС инженеров А.Г.Кочеткова и Ф. И.Супруна. Перед ними поставили задачу испытать Р-63А раньше, чем массовый поток этих самолетов хлынет в Советский Союз. Разбив одну "Кингкобру", Кочеткову удалось доказать американцам необходимость улучшения противоштопорных свойств истребителя - наследственной беды потомка "Аэрокобры". Впоследствии фирма внесла изменения в конструкцию, частично </w:t>
      </w:r>
      <w:r w:rsidRPr="00070ADE">
        <w:rPr>
          <w:rFonts w:ascii="Times New Roman" w:hAnsi="Times New Roman"/>
          <w:color w:val="000000" w:themeColor="text1"/>
          <w:sz w:val="16"/>
          <w:szCs w:val="16"/>
        </w:rPr>
        <w:lastRenderedPageBreak/>
        <w:t>устранившие этот недостаток (3457,78).</w:t>
      </w:r>
    </w:p>
    <w:p w14:paraId="4ED12C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47A2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А.Г.Кочетков в США вошел на Кингкобре в штопор и разбил ее (1020).</w:t>
      </w:r>
    </w:p>
    <w:p w14:paraId="45EFBDC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4F71CD"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в США командировали представителей НИИ ВВС инженеров А.Г. Кочеткова и Ф.П. Супруна. Перед ними поставили задачу испытать Р-63А раньше, чем массовый поток этих самолётов хлынет в СССР.</w:t>
      </w:r>
    </w:p>
    <w:p w14:paraId="17CD9367"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уже говорилось, одним из основных недостатков «Аэрокобры» являлась задняя центровка, возникавшая при некоторых вариантах загрузки. Она провоцировала срыв в штопор, который мог переходить в ещё более опасный плоский. Вторым существенным дефектом была недостаточная жёсткость хвостовой части фюзеляжа и оперения, деформировавшихся при резком маневрирований. Американские конструкторы доказывали, что внесённые ими в Р-63 изменения «излечили» самолёт от этих «болезней». Об этом подробно рассказывал подполковнику Кочеткову американский инженер Рей, побывавший в нашей стране с делегацией фирмы «Белл» в сентябре 1943 г. Но нашим специалистам в это не очень верилось.</w:t>
      </w:r>
    </w:p>
    <w:p w14:paraId="449C864C"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Ознакомившись с новым истребителем, Кочетков с Супруном решили доказать, что недостатки устранены лишь частично, и опасность для пилотов по-прежнему сохраняется. Кочетков был не только инженером, но и лётчиком. Получив от американцев новенький истребитель Р-63А-6, 29 апреля 1944 г. он «загнал» его в плоский штопор, из которого не смог выйти. «Отмотав» некоторое количество витков, после тщетных попыток вывести истребитель в прямолинейный полёт на высоте 900 м Кочетков сбросил дверь и выпрыгнул с парашютом. К месту его приземления прикатило всё руководство фирмы во главе с вице-1 резидентом компании Джонсоном. Все вместе отправились осматривать обломки «Кингкобры». Вместо ожидаемого нагоняя советский лётчик получил благодарность за выявленный дефект и предложение отметить событие в ресторане. Так Кочеткову удалось доказать американцам необходимость улучшения противоштопорных свойств истребителя - наследственной беды потомка «Аэрокобры».</w:t>
      </w:r>
    </w:p>
    <w:p w14:paraId="43D8EE12"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память все присутствовавшие прямо у обломков истребителя оставили свои автографы на единственном нашедшемся листочке бумаге - долларовой банкноте, извлечённой кем-то из бумажника. Этот «счастливый доллар» Кочетков потом долго носил с собой. Позже лётчику вручили памятный знак фирмы «Ирвин», поставлявшей парашюты, - значок в виде золотой гусеницы. Такой выдавали каждому, кто спасся на парашюте её изготовления.</w:t>
      </w:r>
    </w:p>
    <w:p w14:paraId="743207EB"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Кочетков также провёл учебные воздушные бои с истребителями Р-39 и Р-51. Результаты определялись по кадрам фо- токинопулемёта. «Аэрокобра» проиграла без всяких сомнений, бой с «Мустангом», по общей оценке, окончился вничью.</w:t>
      </w:r>
    </w:p>
    <w:p w14:paraId="3E66CB57"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этого Кочетков вывел из строя ещё одну «Кингкобру», прокрутив на ней высший пилотаж с большими перегрузками. У самолёта выявили выпучивание и вмятины обшивки на крыле и в хвостовой части фюзеляжа. Фирма внесла изменения в конструкцию, частично устранившие недостатки, но не сразу и не в полной мере (12265).</w:t>
      </w:r>
    </w:p>
    <w:p w14:paraId="0893A3F2" w14:textId="77777777" w:rsidR="00673CAB" w:rsidRPr="00070ADE" w:rsidRDefault="00673CAB" w:rsidP="00B56F90">
      <w:pPr>
        <w:spacing w:after="0" w:line="240" w:lineRule="auto"/>
        <w:jc w:val="both"/>
        <w:rPr>
          <w:rFonts w:ascii="Times New Roman" w:hAnsi="Times New Roman"/>
          <w:color w:val="000000" w:themeColor="text1"/>
          <w:sz w:val="16"/>
          <w:szCs w:val="16"/>
        </w:rPr>
      </w:pPr>
    </w:p>
    <w:p w14:paraId="7F6E383D" w14:textId="77777777" w:rsidR="003E3C99" w:rsidRPr="00070ADE" w:rsidRDefault="003E3C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в США ко</w:t>
      </w:r>
      <w:r w:rsidRPr="00070ADE">
        <w:rPr>
          <w:rFonts w:ascii="Times New Roman" w:hAnsi="Times New Roman"/>
          <w:color w:val="000000" w:themeColor="text1"/>
          <w:sz w:val="16"/>
          <w:szCs w:val="16"/>
        </w:rPr>
        <w:softHyphen/>
        <w:t>мандировали представителей НИИ ВВС инженеров А.Г. Кочеткова и Ф.П. Супруна. Перед ними поставили задачу испытать Р-63А раньше, чем массовый поток этих самолетов хлынет в Советский Союз.</w:t>
      </w:r>
    </w:p>
    <w:p w14:paraId="42707180" w14:textId="77777777" w:rsidR="003E3C99" w:rsidRPr="00070ADE" w:rsidRDefault="003E3C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Ознакомившись с новым истребителем Р-63, Кочетков с Супруном решили доказать, что недостатки Р-39 устранены лишь частично, и опасность для пилотов по-прежнему со</w:t>
      </w:r>
      <w:r w:rsidRPr="00070ADE">
        <w:rPr>
          <w:rFonts w:ascii="Times New Roman" w:hAnsi="Times New Roman"/>
          <w:color w:val="000000" w:themeColor="text1"/>
          <w:sz w:val="16"/>
          <w:szCs w:val="16"/>
        </w:rPr>
        <w:softHyphen/>
        <w:t>храняется. Кочетков был не только инже</w:t>
      </w:r>
      <w:r w:rsidRPr="00070ADE">
        <w:rPr>
          <w:rFonts w:ascii="Times New Roman" w:hAnsi="Times New Roman"/>
          <w:color w:val="000000" w:themeColor="text1"/>
          <w:sz w:val="16"/>
          <w:szCs w:val="16"/>
        </w:rPr>
        <w:softHyphen/>
        <w:t>нером, но и летчиком. Получив новенький истребитель Р-63А-6, 29 апреля 1944 г. он «загнал» его в плоский штопор, из кото</w:t>
      </w:r>
      <w:r w:rsidRPr="00070ADE">
        <w:rPr>
          <w:rFonts w:ascii="Times New Roman" w:hAnsi="Times New Roman"/>
          <w:color w:val="000000" w:themeColor="text1"/>
          <w:sz w:val="16"/>
          <w:szCs w:val="16"/>
        </w:rPr>
        <w:softHyphen/>
        <w:t>рого не смог выйти. «Отмотав» некоторое количество витков, после тщетных по</w:t>
      </w:r>
      <w:r w:rsidRPr="00070ADE">
        <w:rPr>
          <w:rFonts w:ascii="Times New Roman" w:hAnsi="Times New Roman"/>
          <w:color w:val="000000" w:themeColor="text1"/>
          <w:sz w:val="16"/>
          <w:szCs w:val="16"/>
        </w:rPr>
        <w:softHyphen/>
        <w:t>пыток вывести истребитель в прямоли</w:t>
      </w:r>
      <w:r w:rsidRPr="00070ADE">
        <w:rPr>
          <w:rFonts w:ascii="Times New Roman" w:hAnsi="Times New Roman"/>
          <w:color w:val="000000" w:themeColor="text1"/>
          <w:sz w:val="16"/>
          <w:szCs w:val="16"/>
        </w:rPr>
        <w:softHyphen/>
        <w:t>нейный полет на высоте 900 м Кочетков сбросил дверь и выпрыгнул с парашю</w:t>
      </w:r>
      <w:r w:rsidRPr="00070ADE">
        <w:rPr>
          <w:rFonts w:ascii="Times New Roman" w:hAnsi="Times New Roman"/>
          <w:color w:val="000000" w:themeColor="text1"/>
          <w:sz w:val="16"/>
          <w:szCs w:val="16"/>
        </w:rPr>
        <w:softHyphen/>
        <w:t>том. К месту его приземления прикатило все руководство «Белл» во главе с вице- президентом компании Джонсоном. Все вместе отправились осматривать обломки «Кингкобры». Вместо ожидаемого наго</w:t>
      </w:r>
      <w:r w:rsidRPr="00070ADE">
        <w:rPr>
          <w:rFonts w:ascii="Times New Roman" w:hAnsi="Times New Roman"/>
          <w:color w:val="000000" w:themeColor="text1"/>
          <w:sz w:val="16"/>
          <w:szCs w:val="16"/>
        </w:rPr>
        <w:softHyphen/>
        <w:t>няя советский летчик получил благодар</w:t>
      </w:r>
      <w:r w:rsidRPr="00070ADE">
        <w:rPr>
          <w:rFonts w:ascii="Times New Roman" w:hAnsi="Times New Roman"/>
          <w:color w:val="000000" w:themeColor="text1"/>
          <w:sz w:val="16"/>
          <w:szCs w:val="16"/>
        </w:rPr>
        <w:softHyphen/>
        <w:t>ность за выявленный дефект и предложе</w:t>
      </w:r>
      <w:r w:rsidRPr="00070ADE">
        <w:rPr>
          <w:rFonts w:ascii="Times New Roman" w:hAnsi="Times New Roman"/>
          <w:color w:val="000000" w:themeColor="text1"/>
          <w:sz w:val="16"/>
          <w:szCs w:val="16"/>
        </w:rPr>
        <w:softHyphen/>
        <w:t>ние отметить событие в ресторане. Так Кочеткову удалось доказать американцам необходимость улучшения противошто- порных свойств истребителя — наследст</w:t>
      </w:r>
      <w:r w:rsidRPr="00070ADE">
        <w:rPr>
          <w:rFonts w:ascii="Times New Roman" w:hAnsi="Times New Roman"/>
          <w:color w:val="000000" w:themeColor="text1"/>
          <w:sz w:val="16"/>
          <w:szCs w:val="16"/>
        </w:rPr>
        <w:softHyphen/>
        <w:t>венной беды потомка «Аэрокобры».</w:t>
      </w:r>
    </w:p>
    <w:p w14:paraId="6EBF005B" w14:textId="77777777" w:rsidR="003E3C99" w:rsidRPr="00070ADE" w:rsidRDefault="003E3C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память все присутствовавшие пря</w:t>
      </w:r>
      <w:r w:rsidRPr="00070ADE">
        <w:rPr>
          <w:rFonts w:ascii="Times New Roman" w:hAnsi="Times New Roman"/>
          <w:color w:val="000000" w:themeColor="text1"/>
          <w:sz w:val="16"/>
          <w:szCs w:val="16"/>
        </w:rPr>
        <w:softHyphen/>
        <w:t>мо у обломков истребителя оставили свои автографы на единственном нашедшемся листочке бумаги — долларовой банкноте, извлеченной кем-то из бумажника. Этот «счастливый доллар» Кочетков потом дол</w:t>
      </w:r>
      <w:r w:rsidRPr="00070ADE">
        <w:rPr>
          <w:rFonts w:ascii="Times New Roman" w:hAnsi="Times New Roman"/>
          <w:color w:val="000000" w:themeColor="text1"/>
          <w:sz w:val="16"/>
          <w:szCs w:val="16"/>
        </w:rPr>
        <w:softHyphen/>
        <w:t>го носил с собой. Позже летчику вручили памятный знак фирмы «Ирвин», постав</w:t>
      </w:r>
      <w:r w:rsidRPr="00070ADE">
        <w:rPr>
          <w:rFonts w:ascii="Times New Roman" w:hAnsi="Times New Roman"/>
          <w:color w:val="000000" w:themeColor="text1"/>
          <w:sz w:val="16"/>
          <w:szCs w:val="16"/>
        </w:rPr>
        <w:softHyphen/>
        <w:t>лявшей парашюты — значок в виде золо</w:t>
      </w:r>
      <w:r w:rsidRPr="00070ADE">
        <w:rPr>
          <w:rFonts w:ascii="Times New Roman" w:hAnsi="Times New Roman"/>
          <w:color w:val="000000" w:themeColor="text1"/>
          <w:sz w:val="16"/>
          <w:szCs w:val="16"/>
        </w:rPr>
        <w:softHyphen/>
        <w:t>той гусеницы. Такой выдавали каждому, кто спасся на парашюте ее изготовления (23513).</w:t>
      </w:r>
    </w:p>
    <w:p w14:paraId="307DA07D" w14:textId="77777777" w:rsidR="003E3C99" w:rsidRPr="00070ADE" w:rsidRDefault="003E3C99" w:rsidP="00B56F90">
      <w:pPr>
        <w:spacing w:after="0" w:line="240" w:lineRule="auto"/>
        <w:jc w:val="both"/>
        <w:rPr>
          <w:rFonts w:ascii="Times New Roman" w:hAnsi="Times New Roman"/>
          <w:color w:val="000000" w:themeColor="text1"/>
          <w:sz w:val="16"/>
          <w:szCs w:val="16"/>
        </w:rPr>
      </w:pPr>
    </w:p>
    <w:p w14:paraId="5E82B7F2" w14:textId="77777777" w:rsidR="003E3C99" w:rsidRPr="00070ADE" w:rsidRDefault="003E3C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одна из ма</w:t>
      </w:r>
      <w:r w:rsidRPr="00070ADE">
        <w:rPr>
          <w:rFonts w:ascii="Times New Roman" w:hAnsi="Times New Roman"/>
          <w:color w:val="000000" w:themeColor="text1"/>
          <w:sz w:val="16"/>
          <w:szCs w:val="16"/>
        </w:rPr>
        <w:softHyphen/>
        <w:t>шин «Харрикейна» IID с 40 мм пушками была передана на НИПАВ, где в nepвую очередь интересовались ее пушками. Испытания показали, что как штурмо</w:t>
      </w:r>
      <w:r w:rsidRPr="00070ADE">
        <w:rPr>
          <w:rFonts w:ascii="Times New Roman" w:hAnsi="Times New Roman"/>
          <w:color w:val="000000" w:themeColor="text1"/>
          <w:sz w:val="16"/>
          <w:szCs w:val="16"/>
        </w:rPr>
        <w:softHyphen/>
        <w:t>вик самолет малопригоден, так как слабо бронирован и не имеет бомбардировоч</w:t>
      </w:r>
      <w:r w:rsidRPr="00070ADE">
        <w:rPr>
          <w:rFonts w:ascii="Times New Roman" w:hAnsi="Times New Roman"/>
          <w:color w:val="000000" w:themeColor="text1"/>
          <w:sz w:val="16"/>
          <w:szCs w:val="16"/>
        </w:rPr>
        <w:softHyphen/>
        <w:t>ного вооружения. Все, что мог сделать «Харрикейн» IID, наш Ил-2 выполнял го</w:t>
      </w:r>
      <w:r w:rsidRPr="00070ADE">
        <w:rPr>
          <w:rFonts w:ascii="Times New Roman" w:hAnsi="Times New Roman"/>
          <w:color w:val="000000" w:themeColor="text1"/>
          <w:sz w:val="16"/>
          <w:szCs w:val="16"/>
        </w:rPr>
        <w:softHyphen/>
        <w:t>раздо лучше. Кроме того, в нашей стране не имелось своих осколочно-фугасных и бронебойно-зажигательных снарядов калибра 40 мм; можно было полагаться только на поставки из Англии, что, конеч</w:t>
      </w:r>
      <w:r w:rsidRPr="00070ADE">
        <w:rPr>
          <w:rFonts w:ascii="Times New Roman" w:hAnsi="Times New Roman"/>
          <w:color w:val="000000" w:themeColor="text1"/>
          <w:sz w:val="16"/>
          <w:szCs w:val="16"/>
        </w:rPr>
        <w:softHyphen/>
        <w:t>но, снижало ценность машины. Решили использовать «Харрикейны» IID в системе ПВО тыловых районов против тихоход</w:t>
      </w:r>
      <w:r w:rsidRPr="00070ADE">
        <w:rPr>
          <w:rFonts w:ascii="Times New Roman" w:hAnsi="Times New Roman"/>
          <w:color w:val="000000" w:themeColor="text1"/>
          <w:sz w:val="16"/>
          <w:szCs w:val="16"/>
        </w:rPr>
        <w:softHyphen/>
        <w:t xml:space="preserve">ных бомбардировщиков. </w:t>
      </w:r>
    </w:p>
    <w:p w14:paraId="57D7A544" w14:textId="77777777" w:rsidR="003E3C99" w:rsidRPr="00070ADE" w:rsidRDefault="003E3C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1943 г. машинами типов IID и IV вооружили 441-й иап 106-й дивизии ПВО, дислоци</w:t>
      </w:r>
      <w:r w:rsidRPr="00070ADE">
        <w:rPr>
          <w:rFonts w:ascii="Times New Roman" w:hAnsi="Times New Roman"/>
          <w:color w:val="000000" w:themeColor="text1"/>
          <w:sz w:val="16"/>
          <w:szCs w:val="16"/>
        </w:rPr>
        <w:softHyphen/>
        <w:t>ровавшийся в районе станции Бологое. Там они эксплуатировались в 1943-44 го</w:t>
      </w:r>
      <w:r w:rsidRPr="00070ADE">
        <w:rPr>
          <w:rFonts w:ascii="Times New Roman" w:hAnsi="Times New Roman"/>
          <w:color w:val="000000" w:themeColor="text1"/>
          <w:sz w:val="16"/>
          <w:szCs w:val="16"/>
        </w:rPr>
        <w:softHyphen/>
        <w:t>дах. «Харрикейны» несколько раз подни</w:t>
      </w:r>
      <w:r w:rsidRPr="00070ADE">
        <w:rPr>
          <w:rFonts w:ascii="Times New Roman" w:hAnsi="Times New Roman"/>
          <w:color w:val="000000" w:themeColor="text1"/>
          <w:sz w:val="16"/>
          <w:szCs w:val="16"/>
        </w:rPr>
        <w:softHyphen/>
        <w:t>мались на перехват, но ни одного случая боевого столкновения с противником не зафиксировано. Командир полка неодно</w:t>
      </w:r>
      <w:r w:rsidRPr="00070ADE">
        <w:rPr>
          <w:rFonts w:ascii="Times New Roman" w:hAnsi="Times New Roman"/>
          <w:color w:val="000000" w:themeColor="text1"/>
          <w:sz w:val="16"/>
          <w:szCs w:val="16"/>
        </w:rPr>
        <w:softHyphen/>
        <w:t>кратно обращался с просьбами забрать тя</w:t>
      </w:r>
      <w:r w:rsidRPr="00070ADE">
        <w:rPr>
          <w:rFonts w:ascii="Times New Roman" w:hAnsi="Times New Roman"/>
          <w:color w:val="000000" w:themeColor="text1"/>
          <w:sz w:val="16"/>
          <w:szCs w:val="16"/>
        </w:rPr>
        <w:softHyphen/>
        <w:t>желовесные и неуклюжие «Харрикейны» и пересадить пилотов на Як-9, на которых летали остальные полки дивизии, и в кон</w:t>
      </w:r>
      <w:r w:rsidRPr="00070ADE">
        <w:rPr>
          <w:rFonts w:ascii="Times New Roman" w:hAnsi="Times New Roman"/>
          <w:color w:val="000000" w:themeColor="text1"/>
          <w:sz w:val="16"/>
          <w:szCs w:val="16"/>
        </w:rPr>
        <w:softHyphen/>
        <w:t>це концов своего добился.</w:t>
      </w:r>
    </w:p>
    <w:p w14:paraId="06EC0031" w14:textId="77777777" w:rsidR="003E3C99" w:rsidRPr="00070ADE" w:rsidRDefault="003E3C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 не менее подобные самолеты все таки попали на передовую. Еще до полу</w:t>
      </w:r>
      <w:r w:rsidRPr="00070ADE">
        <w:rPr>
          <w:rFonts w:ascii="Times New Roman" w:hAnsi="Times New Roman"/>
          <w:color w:val="000000" w:themeColor="text1"/>
          <w:sz w:val="16"/>
          <w:szCs w:val="16"/>
        </w:rPr>
        <w:softHyphen/>
        <w:t>чения заключения НИИ ВВС, в ноябре 1943 г. в Аджикабуле на «Харрикейнах» IID из первых партий начали переучивать 246-й иап. Лишь в июне 1944 г. этот полк направили на фронт под Бобруйск. Но и эта часть практически не видела боевых действий. В сентябре ее полностью пере</w:t>
      </w:r>
      <w:r w:rsidRPr="00070ADE">
        <w:rPr>
          <w:rFonts w:ascii="Times New Roman" w:hAnsi="Times New Roman"/>
          <w:color w:val="000000" w:themeColor="text1"/>
          <w:sz w:val="16"/>
          <w:szCs w:val="16"/>
        </w:rPr>
        <w:softHyphen/>
        <w:t>садили на Як-1 (23513).</w:t>
      </w:r>
    </w:p>
    <w:p w14:paraId="26D00D27" w14:textId="77777777" w:rsidR="003E3C99" w:rsidRPr="00070ADE" w:rsidRDefault="003E3C99" w:rsidP="00B56F90">
      <w:pPr>
        <w:spacing w:after="0" w:line="240" w:lineRule="auto"/>
        <w:jc w:val="both"/>
        <w:rPr>
          <w:rFonts w:ascii="Times New Roman" w:hAnsi="Times New Roman"/>
          <w:color w:val="000000" w:themeColor="text1"/>
          <w:sz w:val="16"/>
          <w:szCs w:val="16"/>
        </w:rPr>
      </w:pPr>
    </w:p>
    <w:p w14:paraId="1695513C" w14:textId="77777777" w:rsidR="003E3C99" w:rsidRPr="00070ADE" w:rsidRDefault="003E3C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Шахурин, при обсуждении предложения фирмы «Бристоль» приобрести лицензию на двигатель «Сентаурус», опять предложил сначала приобрести пять-десять моторов разных типов (включая «Сентаурус») и испытать их в СССР (23356).</w:t>
      </w:r>
    </w:p>
    <w:p w14:paraId="795A29E2" w14:textId="77777777" w:rsidR="003E3C99" w:rsidRPr="00070ADE" w:rsidRDefault="003E3C99" w:rsidP="00B56F90">
      <w:pPr>
        <w:spacing w:after="0" w:line="240" w:lineRule="auto"/>
        <w:jc w:val="both"/>
        <w:rPr>
          <w:rFonts w:ascii="Times New Roman" w:hAnsi="Times New Roman"/>
          <w:color w:val="000000" w:themeColor="text1"/>
          <w:sz w:val="16"/>
          <w:szCs w:val="16"/>
        </w:rPr>
      </w:pPr>
    </w:p>
    <w:p w14:paraId="23053E80" w14:textId="77777777"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в отчёте о работе 3-го отдела Управления заказов самолётов и мото</w:t>
      </w:r>
      <w:r w:rsidRPr="00070ADE">
        <w:rPr>
          <w:rFonts w:ascii="Times New Roman" w:hAnsi="Times New Roman"/>
          <w:color w:val="000000" w:themeColor="text1"/>
          <w:sz w:val="16"/>
          <w:szCs w:val="16"/>
        </w:rPr>
        <w:softHyphen/>
        <w:t>ров ГУЗ ВВС КА за 1943 г. в отношении завода N 19 указывалось: «...Заводом в 1943 г. проведена большая работа по устранению дефектов, выявленных в строевых частях, в ре</w:t>
      </w:r>
      <w:r w:rsidRPr="00070ADE">
        <w:rPr>
          <w:rFonts w:ascii="Times New Roman" w:hAnsi="Times New Roman"/>
          <w:color w:val="000000" w:themeColor="text1"/>
          <w:sz w:val="16"/>
          <w:szCs w:val="16"/>
        </w:rPr>
        <w:softHyphen/>
        <w:t>зультате чего моторы М-82 стали самыми надёжными из отечественных моторов» (15829).</w:t>
      </w:r>
    </w:p>
    <w:p w14:paraId="1B3B8833" w14:textId="77777777" w:rsidR="00AD0763" w:rsidRPr="00070ADE" w:rsidRDefault="00AD0763" w:rsidP="00B56F90">
      <w:pPr>
        <w:spacing w:after="0" w:line="240" w:lineRule="auto"/>
        <w:jc w:val="both"/>
        <w:rPr>
          <w:rFonts w:ascii="Times New Roman" w:hAnsi="Times New Roman"/>
          <w:color w:val="000000" w:themeColor="text1"/>
          <w:sz w:val="16"/>
          <w:szCs w:val="16"/>
        </w:rPr>
      </w:pPr>
    </w:p>
    <w:p w14:paraId="55E4BBE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вышел отчет о работе 3 отдела Управления заказов самоле</w:t>
      </w:r>
      <w:r w:rsidRPr="00070ADE">
        <w:rPr>
          <w:rFonts w:ascii="Times New Roman" w:hAnsi="Times New Roman"/>
          <w:color w:val="000000" w:themeColor="text1"/>
          <w:sz w:val="16"/>
          <w:szCs w:val="16"/>
        </w:rPr>
        <w:softHyphen/>
        <w:t>тов и моторов ГУЗ ВВС КА за 1943 год, в котором в отношении завода №19 указы</w:t>
      </w:r>
      <w:r w:rsidRPr="00070ADE">
        <w:rPr>
          <w:rFonts w:ascii="Times New Roman" w:hAnsi="Times New Roman"/>
          <w:color w:val="000000" w:themeColor="text1"/>
          <w:sz w:val="16"/>
          <w:szCs w:val="16"/>
        </w:rPr>
        <w:softHyphen/>
        <w:t>валось:</w:t>
      </w:r>
    </w:p>
    <w:p w14:paraId="43089F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Заводом в 1943 году проведе</w:t>
      </w:r>
      <w:r w:rsidRPr="00070ADE">
        <w:rPr>
          <w:rFonts w:ascii="Times New Roman" w:hAnsi="Times New Roman"/>
          <w:color w:val="000000" w:themeColor="text1"/>
          <w:sz w:val="16"/>
          <w:szCs w:val="16"/>
        </w:rPr>
        <w:softHyphen/>
        <w:t>на большая работа по устранению дефектов, выявленных в строевых час-</w:t>
      </w:r>
    </w:p>
    <w:p w14:paraId="3CCE4AA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тях, в результате чего моторы М-82 стали самыми надежными из отече</w:t>
      </w:r>
      <w:r w:rsidRPr="00070ADE">
        <w:rPr>
          <w:rFonts w:ascii="Times New Roman" w:hAnsi="Times New Roman"/>
          <w:color w:val="000000" w:themeColor="text1"/>
          <w:sz w:val="16"/>
          <w:szCs w:val="16"/>
        </w:rPr>
        <w:softHyphen/>
        <w:t>ственных моторов» (10714).</w:t>
      </w:r>
    </w:p>
    <w:p w14:paraId="511388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67313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СКБ завода Компрессор закончил разработку рабочих чертежей судовой ракетной установки 24-М-8 и в апреле 1944 завод 740 закончил изготовление двух установок. Которые потом испытывались в ЧМ (4305,35).</w:t>
      </w:r>
    </w:p>
    <w:p w14:paraId="12D8121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A4FE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0618F59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0692681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39AF0F3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Тушино. Производственный профиль – авиамоторный (9861).</w:t>
      </w:r>
    </w:p>
    <w:p w14:paraId="0BE7B6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48A0F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РММ НКАП, созданные в ноябре 1943 на территории эвакуированного авиазавода, были переименованы в завод № 489 4ГУ НКАП для ремонта ГАЗ-АА для фронта, изготовления товаров ширпотреба и т.п. Сейчас это Днепропетровкий агрегатный завод (9987).</w:t>
      </w:r>
    </w:p>
    <w:p w14:paraId="24537E5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22B74F" w14:textId="78F500BB"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феврале 1944 г. заводу № 167 167 (Завод № 167 НКАП, МАП /г. Химки;</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Кунцево Московской обл.;</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Саратов/) поручена организация производства стабилизаторов, килей и нервюр для Як-3. С 04.1944 г. завод передан из ИГУ в 1ГУНКАП.</w:t>
      </w:r>
    </w:p>
    <w:p w14:paraId="78DF142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НКАП № 21с от 28.01.1946 г. на площадку завода № 167 переведен завод № 213 НКАП и с 1.01.1946 г. образован единый завод № 213 НКАП. Завод № 167 выбыл из числа действующих.</w:t>
      </w:r>
    </w:p>
    <w:p w14:paraId="2115472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(08.1941 г.)- Н.Д. Андреев, Лепилин, (01.1946 г.)- Белов.</w:t>
      </w:r>
    </w:p>
    <w:p w14:paraId="4857907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в/винты: ВИШ-22, АВ-1; лыжи; лонжероны для И-200 (1939), оперение, нервюры для Як-3 (1943); дельтадревесина (11982).</w:t>
      </w:r>
    </w:p>
    <w:p w14:paraId="624EE5C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5FF8BB10"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г. СКБ завода «Компрессор» закончило разработку рабочих чертежей катерной установки 24-М-8. В апреле 1944 г. завод № 740 изготовил два опытных образца 24-М-8. В июле 1944 г. установки 24-М-8 успешно прошли корабельные испытания на Чёрном море. 19 сентября 1944 г. установка 24-М-8 была принята на вооружение ВМФ (25435).</w:t>
      </w:r>
    </w:p>
    <w:p w14:paraId="642D50F7" w14:textId="77777777" w:rsidR="0065195F" w:rsidRPr="00C94B78" w:rsidRDefault="0065195F" w:rsidP="00B56F90">
      <w:pPr>
        <w:spacing w:after="0" w:line="240" w:lineRule="auto"/>
        <w:jc w:val="both"/>
        <w:rPr>
          <w:rFonts w:ascii="Times New Roman" w:hAnsi="Times New Roman"/>
          <w:color w:val="0070C0"/>
          <w:sz w:val="16"/>
          <w:szCs w:val="16"/>
        </w:rPr>
      </w:pPr>
    </w:p>
    <w:p w14:paraId="58DB7F0F"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в ОВИП числилось 271 военно</w:t>
      </w:r>
      <w:r w:rsidRPr="00070ADE">
        <w:rPr>
          <w:rFonts w:ascii="Times New Roman" w:hAnsi="Times New Roman"/>
          <w:color w:val="000000" w:themeColor="text1"/>
          <w:sz w:val="16"/>
          <w:szCs w:val="16"/>
        </w:rPr>
        <w:softHyphen/>
        <w:t>служащих (в том числе 56 офицеров) и 55 воль</w:t>
      </w:r>
      <w:r w:rsidRPr="00070ADE">
        <w:rPr>
          <w:rFonts w:ascii="Times New Roman" w:hAnsi="Times New Roman"/>
          <w:color w:val="000000" w:themeColor="text1"/>
          <w:sz w:val="16"/>
          <w:szCs w:val="16"/>
        </w:rPr>
        <w:softHyphen/>
        <w:t>нонаёмных. В его парке имелось 35 аэростатов заграждения, 5 аэростатов артиллерийского на</w:t>
      </w:r>
      <w:r w:rsidRPr="00070ADE">
        <w:rPr>
          <w:rFonts w:ascii="Times New Roman" w:hAnsi="Times New Roman"/>
          <w:color w:val="000000" w:themeColor="text1"/>
          <w:sz w:val="16"/>
          <w:szCs w:val="16"/>
        </w:rPr>
        <w:softHyphen/>
        <w:t>блюдения, 14 аэростатных лебёдок, 2 зенитных прожектора.</w:t>
      </w:r>
    </w:p>
    <w:p w14:paraId="77A64E6B"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Основными типами аэростатов артиллерий</w:t>
      </w:r>
      <w:r w:rsidRPr="00070ADE">
        <w:rPr>
          <w:rFonts w:ascii="Times New Roman" w:hAnsi="Times New Roman"/>
          <w:color w:val="000000" w:themeColor="text1"/>
          <w:sz w:val="16"/>
          <w:szCs w:val="16"/>
        </w:rPr>
        <w:softHyphen/>
        <w:t>ского наблюдения были АН-540, БД, а с 1944 г. и КАН-640. Общее число изготовленных в годы войны ААН составляло 474 оболочки, из них АН- 540-378 (выпускались во все годы войны), БД-40 (изготавливались в 1941-1943 гг.), КАН-640-56 (изготовлены в 1944 и 1945 гг.).</w:t>
      </w:r>
    </w:p>
    <w:p w14:paraId="421B5542"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характеристики аэростатов артиллерийского наблюдения периода Великой Отечественной войны</w:t>
      </w:r>
    </w:p>
    <w:tbl>
      <w:tblPr>
        <w:tblW w:w="0" w:type="auto"/>
        <w:jc w:val="center"/>
        <w:tblLayout w:type="fixed"/>
        <w:tblCellMar>
          <w:left w:w="10" w:type="dxa"/>
          <w:right w:w="10" w:type="dxa"/>
        </w:tblCellMar>
        <w:tblLook w:val="04A0" w:firstRow="1" w:lastRow="0" w:firstColumn="1" w:lastColumn="0" w:noHBand="0" w:noVBand="1"/>
      </w:tblPr>
      <w:tblGrid>
        <w:gridCol w:w="869"/>
        <w:gridCol w:w="950"/>
        <w:gridCol w:w="850"/>
        <w:gridCol w:w="691"/>
        <w:gridCol w:w="946"/>
        <w:gridCol w:w="1094"/>
        <w:gridCol w:w="1032"/>
        <w:gridCol w:w="1181"/>
        <w:gridCol w:w="984"/>
        <w:gridCol w:w="1214"/>
      </w:tblGrid>
      <w:tr w:rsidR="004D4663" w:rsidRPr="00070ADE" w14:paraId="566610A9" w14:textId="77777777" w:rsidTr="00076D96">
        <w:trPr>
          <w:trHeight w:val="542"/>
          <w:jc w:val="center"/>
        </w:trPr>
        <w:tc>
          <w:tcPr>
            <w:tcW w:w="869" w:type="dxa"/>
            <w:tcBorders>
              <w:top w:val="single" w:sz="4" w:space="0" w:color="auto"/>
              <w:left w:val="single" w:sz="4" w:space="0" w:color="auto"/>
              <w:bottom w:val="single" w:sz="4" w:space="0" w:color="auto"/>
              <w:right w:val="single" w:sz="4" w:space="0" w:color="auto"/>
            </w:tcBorders>
            <w:shd w:val="clear" w:color="auto" w:fill="FFFFFF"/>
          </w:tcPr>
          <w:p w14:paraId="2DA29E84"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Индекс</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52A80A1D"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Год раз</w:t>
            </w:r>
            <w:r w:rsidRPr="00070ADE">
              <w:rPr>
                <w:rFonts w:ascii="Times New Roman" w:hAnsi="Times New Roman"/>
                <w:color w:val="000000" w:themeColor="text1"/>
                <w:sz w:val="16"/>
                <w:szCs w:val="16"/>
              </w:rPr>
              <w:softHyphen/>
              <w:t>работки</w:t>
            </w: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1398E469"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Объём, м3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6B7F5CDE"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м</w:t>
            </w:r>
          </w:p>
        </w:tc>
        <w:tc>
          <w:tcPr>
            <w:tcW w:w="946" w:type="dxa"/>
            <w:tcBorders>
              <w:top w:val="single" w:sz="4" w:space="0" w:color="auto"/>
              <w:left w:val="single" w:sz="4" w:space="0" w:color="auto"/>
              <w:bottom w:val="single" w:sz="4" w:space="0" w:color="auto"/>
              <w:right w:val="single" w:sz="4" w:space="0" w:color="auto"/>
            </w:tcBorders>
            <w:shd w:val="clear" w:color="auto" w:fill="FFFFFF"/>
          </w:tcPr>
          <w:p w14:paraId="101AB0DB"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Диаметр м</w:t>
            </w:r>
          </w:p>
        </w:tc>
        <w:tc>
          <w:tcPr>
            <w:tcW w:w="1094" w:type="dxa"/>
            <w:tcBorders>
              <w:top w:val="single" w:sz="4" w:space="0" w:color="auto"/>
              <w:left w:val="single" w:sz="4" w:space="0" w:color="auto"/>
              <w:bottom w:val="single" w:sz="4" w:space="0" w:color="auto"/>
              <w:right w:val="single" w:sz="4" w:space="0" w:color="auto"/>
            </w:tcBorders>
            <w:shd w:val="clear" w:color="auto" w:fill="FFFFFF"/>
          </w:tcPr>
          <w:p w14:paraId="6AFF6CF1"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Снаряжен</w:t>
            </w:r>
            <w:r w:rsidRPr="00070ADE">
              <w:rPr>
                <w:rFonts w:ascii="Times New Roman" w:hAnsi="Times New Roman"/>
                <w:color w:val="000000" w:themeColor="text1"/>
                <w:sz w:val="16"/>
                <w:szCs w:val="16"/>
              </w:rPr>
              <w:softHyphen/>
              <w:t>ный вес, кг</w:t>
            </w:r>
          </w:p>
        </w:tc>
        <w:tc>
          <w:tcPr>
            <w:tcW w:w="1032" w:type="dxa"/>
            <w:tcBorders>
              <w:top w:val="single" w:sz="4" w:space="0" w:color="auto"/>
              <w:left w:val="single" w:sz="4" w:space="0" w:color="auto"/>
              <w:bottom w:val="single" w:sz="4" w:space="0" w:color="auto"/>
              <w:right w:val="single" w:sz="4" w:space="0" w:color="auto"/>
            </w:tcBorders>
            <w:shd w:val="clear" w:color="auto" w:fill="FFFFFF"/>
          </w:tcPr>
          <w:p w14:paraId="640339E8"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 подъёма, м</w:t>
            </w:r>
          </w:p>
        </w:tc>
        <w:tc>
          <w:tcPr>
            <w:tcW w:w="1181" w:type="dxa"/>
            <w:tcBorders>
              <w:top w:val="single" w:sz="4" w:space="0" w:color="auto"/>
              <w:left w:val="single" w:sz="4" w:space="0" w:color="auto"/>
              <w:bottom w:val="single" w:sz="4" w:space="0" w:color="auto"/>
              <w:right w:val="single" w:sz="4" w:space="0" w:color="auto"/>
            </w:tcBorders>
            <w:shd w:val="clear" w:color="auto" w:fill="FFFFFF"/>
          </w:tcPr>
          <w:p w14:paraId="6AD169E5"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Предельный ветер, м/с</w:t>
            </w:r>
          </w:p>
        </w:tc>
        <w:tc>
          <w:tcPr>
            <w:tcW w:w="984" w:type="dxa"/>
            <w:tcBorders>
              <w:top w:val="single" w:sz="4" w:space="0" w:color="auto"/>
              <w:left w:val="single" w:sz="4" w:space="0" w:color="auto"/>
              <w:bottom w:val="single" w:sz="4" w:space="0" w:color="auto"/>
              <w:right w:val="single" w:sz="4" w:space="0" w:color="auto"/>
            </w:tcBorders>
            <w:shd w:val="clear" w:color="auto" w:fill="FFFFFF"/>
          </w:tcPr>
          <w:p w14:paraId="7ED8769D"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Диаметр троса, мм</w:t>
            </w:r>
          </w:p>
        </w:tc>
        <w:tc>
          <w:tcPr>
            <w:tcW w:w="1214" w:type="dxa"/>
            <w:tcBorders>
              <w:top w:val="single" w:sz="4" w:space="0" w:color="auto"/>
              <w:left w:val="single" w:sz="4" w:space="0" w:color="auto"/>
              <w:bottom w:val="single" w:sz="4" w:space="0" w:color="auto"/>
              <w:right w:val="single" w:sz="4" w:space="0" w:color="auto"/>
            </w:tcBorders>
            <w:shd w:val="clear" w:color="auto" w:fill="FFFFFF"/>
          </w:tcPr>
          <w:p w14:paraId="514B7220"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кон</w:t>
            </w:r>
            <w:r w:rsidRPr="00070ADE">
              <w:rPr>
                <w:rFonts w:ascii="Times New Roman" w:hAnsi="Times New Roman"/>
                <w:color w:val="000000" w:themeColor="text1"/>
                <w:sz w:val="16"/>
                <w:szCs w:val="16"/>
              </w:rPr>
              <w:softHyphen/>
              <w:t>струкции</w:t>
            </w:r>
          </w:p>
        </w:tc>
      </w:tr>
      <w:tr w:rsidR="004D4663" w:rsidRPr="00070ADE" w14:paraId="37CD0F84" w14:textId="77777777" w:rsidTr="00076D96">
        <w:trPr>
          <w:trHeight w:val="360"/>
          <w:jc w:val="center"/>
        </w:trPr>
        <w:tc>
          <w:tcPr>
            <w:tcW w:w="869" w:type="dxa"/>
            <w:tcBorders>
              <w:top w:val="single" w:sz="4" w:space="0" w:color="auto"/>
              <w:left w:val="single" w:sz="4" w:space="0" w:color="auto"/>
              <w:bottom w:val="single" w:sz="4" w:space="0" w:color="auto"/>
              <w:right w:val="single" w:sz="4" w:space="0" w:color="auto"/>
            </w:tcBorders>
            <w:shd w:val="clear" w:color="auto" w:fill="FFFFFF"/>
          </w:tcPr>
          <w:p w14:paraId="249A17D6"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АН-350</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46912A8F"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Конец 1930-х</w:t>
            </w: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4A1A842B"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764D45C0"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18,2</w:t>
            </w:r>
          </w:p>
        </w:tc>
        <w:tc>
          <w:tcPr>
            <w:tcW w:w="946" w:type="dxa"/>
            <w:tcBorders>
              <w:top w:val="single" w:sz="4" w:space="0" w:color="auto"/>
              <w:left w:val="single" w:sz="4" w:space="0" w:color="auto"/>
              <w:bottom w:val="single" w:sz="4" w:space="0" w:color="auto"/>
              <w:right w:val="single" w:sz="4" w:space="0" w:color="auto"/>
            </w:tcBorders>
            <w:shd w:val="clear" w:color="auto" w:fill="FFFFFF"/>
          </w:tcPr>
          <w:p w14:paraId="0D79D8AE"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1094" w:type="dxa"/>
            <w:tcBorders>
              <w:top w:val="single" w:sz="4" w:space="0" w:color="auto"/>
              <w:left w:val="single" w:sz="4" w:space="0" w:color="auto"/>
              <w:bottom w:val="single" w:sz="4" w:space="0" w:color="auto"/>
              <w:right w:val="single" w:sz="4" w:space="0" w:color="auto"/>
            </w:tcBorders>
            <w:shd w:val="clear" w:color="auto" w:fill="FFFFFF"/>
          </w:tcPr>
          <w:p w14:paraId="167A3D7E"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032" w:type="dxa"/>
            <w:tcBorders>
              <w:top w:val="single" w:sz="4" w:space="0" w:color="auto"/>
              <w:left w:val="single" w:sz="4" w:space="0" w:color="auto"/>
              <w:bottom w:val="single" w:sz="4" w:space="0" w:color="auto"/>
              <w:right w:val="single" w:sz="4" w:space="0" w:color="auto"/>
            </w:tcBorders>
            <w:shd w:val="clear" w:color="auto" w:fill="FFFFFF"/>
          </w:tcPr>
          <w:p w14:paraId="6A95B9AD"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w:t>
            </w:r>
          </w:p>
        </w:tc>
        <w:tc>
          <w:tcPr>
            <w:tcW w:w="1181" w:type="dxa"/>
            <w:tcBorders>
              <w:top w:val="single" w:sz="4" w:space="0" w:color="auto"/>
              <w:left w:val="single" w:sz="4" w:space="0" w:color="auto"/>
              <w:bottom w:val="single" w:sz="4" w:space="0" w:color="auto"/>
              <w:right w:val="single" w:sz="4" w:space="0" w:color="auto"/>
            </w:tcBorders>
            <w:shd w:val="clear" w:color="auto" w:fill="FFFFFF"/>
          </w:tcPr>
          <w:p w14:paraId="0D0116D0"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c>
          <w:tcPr>
            <w:tcW w:w="984" w:type="dxa"/>
            <w:tcBorders>
              <w:top w:val="single" w:sz="4" w:space="0" w:color="auto"/>
              <w:left w:val="single" w:sz="4" w:space="0" w:color="auto"/>
              <w:bottom w:val="single" w:sz="4" w:space="0" w:color="auto"/>
              <w:right w:val="single" w:sz="4" w:space="0" w:color="auto"/>
            </w:tcBorders>
            <w:shd w:val="clear" w:color="auto" w:fill="FFFFFF"/>
          </w:tcPr>
          <w:p w14:paraId="7DD4F1CA"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w:t>
            </w:r>
          </w:p>
        </w:tc>
        <w:tc>
          <w:tcPr>
            <w:tcW w:w="1214" w:type="dxa"/>
            <w:tcBorders>
              <w:top w:val="single" w:sz="4" w:space="0" w:color="auto"/>
              <w:left w:val="single" w:sz="4" w:space="0" w:color="auto"/>
              <w:bottom w:val="single" w:sz="4" w:space="0" w:color="auto"/>
              <w:right w:val="single" w:sz="4" w:space="0" w:color="auto"/>
            </w:tcBorders>
            <w:shd w:val="clear" w:color="auto" w:fill="FFFFFF"/>
          </w:tcPr>
          <w:p w14:paraId="6D4CD67B"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стягивающий</w:t>
            </w:r>
          </w:p>
        </w:tc>
      </w:tr>
      <w:tr w:rsidR="004D4663" w:rsidRPr="00070ADE" w14:paraId="50563EF4" w14:textId="77777777" w:rsidTr="00076D96">
        <w:trPr>
          <w:trHeight w:val="360"/>
          <w:jc w:val="center"/>
        </w:trPr>
        <w:tc>
          <w:tcPr>
            <w:tcW w:w="869" w:type="dxa"/>
            <w:tcBorders>
              <w:top w:val="single" w:sz="4" w:space="0" w:color="auto"/>
              <w:left w:val="single" w:sz="4" w:space="0" w:color="auto"/>
              <w:bottom w:val="single" w:sz="4" w:space="0" w:color="auto"/>
              <w:right w:val="single" w:sz="4" w:space="0" w:color="auto"/>
            </w:tcBorders>
            <w:shd w:val="clear" w:color="auto" w:fill="FFFFFF"/>
          </w:tcPr>
          <w:p w14:paraId="50D904E8"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АН-540</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309E1CD6"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Конец 1930-х</w:t>
            </w: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3CC50E71"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540</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6EC7D093"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21,3</w:t>
            </w:r>
          </w:p>
        </w:tc>
        <w:tc>
          <w:tcPr>
            <w:tcW w:w="946" w:type="dxa"/>
            <w:tcBorders>
              <w:top w:val="single" w:sz="4" w:space="0" w:color="auto"/>
              <w:left w:val="single" w:sz="4" w:space="0" w:color="auto"/>
              <w:bottom w:val="single" w:sz="4" w:space="0" w:color="auto"/>
              <w:right w:val="single" w:sz="4" w:space="0" w:color="auto"/>
            </w:tcBorders>
            <w:shd w:val="clear" w:color="auto" w:fill="FFFFFF"/>
          </w:tcPr>
          <w:p w14:paraId="02999B35"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w:t>
            </w:r>
          </w:p>
        </w:tc>
        <w:tc>
          <w:tcPr>
            <w:tcW w:w="1094" w:type="dxa"/>
            <w:tcBorders>
              <w:top w:val="single" w:sz="4" w:space="0" w:color="auto"/>
              <w:left w:val="single" w:sz="4" w:space="0" w:color="auto"/>
              <w:bottom w:val="single" w:sz="4" w:space="0" w:color="auto"/>
              <w:right w:val="single" w:sz="4" w:space="0" w:color="auto"/>
            </w:tcBorders>
            <w:shd w:val="clear" w:color="auto" w:fill="FFFFFF"/>
          </w:tcPr>
          <w:p w14:paraId="59E3E0D9"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284</w:t>
            </w:r>
          </w:p>
        </w:tc>
        <w:tc>
          <w:tcPr>
            <w:tcW w:w="1032" w:type="dxa"/>
            <w:tcBorders>
              <w:top w:val="single" w:sz="4" w:space="0" w:color="auto"/>
              <w:left w:val="single" w:sz="4" w:space="0" w:color="auto"/>
              <w:bottom w:val="single" w:sz="4" w:space="0" w:color="auto"/>
              <w:right w:val="single" w:sz="4" w:space="0" w:color="auto"/>
            </w:tcBorders>
            <w:shd w:val="clear" w:color="auto" w:fill="FFFFFF"/>
          </w:tcPr>
          <w:p w14:paraId="1635BF33"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tc>
        <w:tc>
          <w:tcPr>
            <w:tcW w:w="1181" w:type="dxa"/>
            <w:tcBorders>
              <w:top w:val="single" w:sz="4" w:space="0" w:color="auto"/>
              <w:left w:val="single" w:sz="4" w:space="0" w:color="auto"/>
              <w:bottom w:val="single" w:sz="4" w:space="0" w:color="auto"/>
              <w:right w:val="single" w:sz="4" w:space="0" w:color="auto"/>
            </w:tcBorders>
            <w:shd w:val="clear" w:color="auto" w:fill="FFFFFF"/>
          </w:tcPr>
          <w:p w14:paraId="26F4D441"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tc>
        <w:tc>
          <w:tcPr>
            <w:tcW w:w="984" w:type="dxa"/>
            <w:tcBorders>
              <w:top w:val="single" w:sz="4" w:space="0" w:color="auto"/>
              <w:left w:val="single" w:sz="4" w:space="0" w:color="auto"/>
              <w:bottom w:val="single" w:sz="4" w:space="0" w:color="auto"/>
              <w:right w:val="single" w:sz="4" w:space="0" w:color="auto"/>
            </w:tcBorders>
            <w:shd w:val="clear" w:color="auto" w:fill="FFFFFF"/>
          </w:tcPr>
          <w:p w14:paraId="197F9B74"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w:t>
            </w:r>
          </w:p>
        </w:tc>
        <w:tc>
          <w:tcPr>
            <w:tcW w:w="1214" w:type="dxa"/>
            <w:tcBorders>
              <w:top w:val="single" w:sz="4" w:space="0" w:color="auto"/>
              <w:left w:val="single" w:sz="4" w:space="0" w:color="auto"/>
              <w:bottom w:val="single" w:sz="4" w:space="0" w:color="auto"/>
              <w:right w:val="single" w:sz="4" w:space="0" w:color="auto"/>
            </w:tcBorders>
            <w:shd w:val="clear" w:color="auto" w:fill="FFFFFF"/>
          </w:tcPr>
          <w:p w14:paraId="4F7B82D0"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стягивающий</w:t>
            </w:r>
          </w:p>
        </w:tc>
      </w:tr>
      <w:tr w:rsidR="004D4663" w:rsidRPr="00070ADE" w14:paraId="7F633439" w14:textId="77777777" w:rsidTr="00076D96">
        <w:trPr>
          <w:trHeight w:val="178"/>
          <w:jc w:val="center"/>
        </w:trPr>
        <w:tc>
          <w:tcPr>
            <w:tcW w:w="869" w:type="dxa"/>
            <w:tcBorders>
              <w:top w:val="single" w:sz="4" w:space="0" w:color="auto"/>
              <w:left w:val="single" w:sz="4" w:space="0" w:color="auto"/>
              <w:bottom w:val="single" w:sz="4" w:space="0" w:color="auto"/>
              <w:right w:val="single" w:sz="4" w:space="0" w:color="auto"/>
            </w:tcBorders>
            <w:shd w:val="clear" w:color="auto" w:fill="FFFFFF"/>
          </w:tcPr>
          <w:p w14:paraId="17B9E4DE"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БД</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518DE466"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1940</w:t>
            </w: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4B800F65"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1080</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0ADB7694"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w:t>
            </w:r>
          </w:p>
        </w:tc>
        <w:tc>
          <w:tcPr>
            <w:tcW w:w="946" w:type="dxa"/>
            <w:tcBorders>
              <w:top w:val="single" w:sz="4" w:space="0" w:color="auto"/>
              <w:left w:val="single" w:sz="4" w:space="0" w:color="auto"/>
              <w:bottom w:val="single" w:sz="4" w:space="0" w:color="auto"/>
              <w:right w:val="single" w:sz="4" w:space="0" w:color="auto"/>
            </w:tcBorders>
            <w:shd w:val="clear" w:color="auto" w:fill="FFFFFF"/>
          </w:tcPr>
          <w:p w14:paraId="2060B9EC"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8,6</w:t>
            </w:r>
          </w:p>
        </w:tc>
        <w:tc>
          <w:tcPr>
            <w:tcW w:w="1094" w:type="dxa"/>
            <w:tcBorders>
              <w:top w:val="single" w:sz="4" w:space="0" w:color="auto"/>
              <w:left w:val="single" w:sz="4" w:space="0" w:color="auto"/>
              <w:bottom w:val="single" w:sz="4" w:space="0" w:color="auto"/>
              <w:right w:val="single" w:sz="4" w:space="0" w:color="auto"/>
            </w:tcBorders>
            <w:shd w:val="clear" w:color="auto" w:fill="FFFFFF"/>
          </w:tcPr>
          <w:p w14:paraId="39C96861"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w:t>
            </w:r>
          </w:p>
        </w:tc>
        <w:tc>
          <w:tcPr>
            <w:tcW w:w="1032" w:type="dxa"/>
            <w:tcBorders>
              <w:top w:val="single" w:sz="4" w:space="0" w:color="auto"/>
              <w:left w:val="single" w:sz="4" w:space="0" w:color="auto"/>
              <w:bottom w:val="single" w:sz="4" w:space="0" w:color="auto"/>
              <w:right w:val="single" w:sz="4" w:space="0" w:color="auto"/>
            </w:tcBorders>
            <w:shd w:val="clear" w:color="auto" w:fill="FFFFFF"/>
          </w:tcPr>
          <w:p w14:paraId="7EB61C50"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w:t>
            </w:r>
          </w:p>
        </w:tc>
        <w:tc>
          <w:tcPr>
            <w:tcW w:w="1181" w:type="dxa"/>
            <w:tcBorders>
              <w:top w:val="single" w:sz="4" w:space="0" w:color="auto"/>
              <w:left w:val="single" w:sz="4" w:space="0" w:color="auto"/>
              <w:bottom w:val="single" w:sz="4" w:space="0" w:color="auto"/>
              <w:right w:val="single" w:sz="4" w:space="0" w:color="auto"/>
            </w:tcBorders>
            <w:shd w:val="clear" w:color="auto" w:fill="FFFFFF"/>
          </w:tcPr>
          <w:p w14:paraId="2B69296B"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984" w:type="dxa"/>
            <w:tcBorders>
              <w:top w:val="single" w:sz="4" w:space="0" w:color="auto"/>
              <w:left w:val="single" w:sz="4" w:space="0" w:color="auto"/>
              <w:bottom w:val="single" w:sz="4" w:space="0" w:color="auto"/>
              <w:right w:val="single" w:sz="4" w:space="0" w:color="auto"/>
            </w:tcBorders>
            <w:shd w:val="clear" w:color="auto" w:fill="FFFFFF"/>
          </w:tcPr>
          <w:p w14:paraId="7C66A730"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w:t>
            </w:r>
          </w:p>
        </w:tc>
        <w:tc>
          <w:tcPr>
            <w:tcW w:w="1214" w:type="dxa"/>
            <w:tcBorders>
              <w:top w:val="single" w:sz="4" w:space="0" w:color="auto"/>
              <w:left w:val="single" w:sz="4" w:space="0" w:color="auto"/>
              <w:bottom w:val="single" w:sz="4" w:space="0" w:color="auto"/>
              <w:right w:val="single" w:sz="4" w:space="0" w:color="auto"/>
            </w:tcBorders>
            <w:shd w:val="clear" w:color="auto" w:fill="FFFFFF"/>
          </w:tcPr>
          <w:p w14:paraId="0928DAEC"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стягивающий</w:t>
            </w:r>
          </w:p>
        </w:tc>
      </w:tr>
      <w:tr w:rsidR="004D4663" w:rsidRPr="00070ADE" w14:paraId="0CC73DA8" w14:textId="77777777" w:rsidTr="00076D96">
        <w:trPr>
          <w:trHeight w:val="182"/>
          <w:jc w:val="center"/>
        </w:trPr>
        <w:tc>
          <w:tcPr>
            <w:tcW w:w="869" w:type="dxa"/>
            <w:tcBorders>
              <w:top w:val="single" w:sz="4" w:space="0" w:color="auto"/>
              <w:left w:val="single" w:sz="4" w:space="0" w:color="auto"/>
              <w:bottom w:val="single" w:sz="4" w:space="0" w:color="auto"/>
              <w:right w:val="single" w:sz="4" w:space="0" w:color="auto"/>
            </w:tcBorders>
            <w:shd w:val="clear" w:color="auto" w:fill="FFFFFF"/>
          </w:tcPr>
          <w:p w14:paraId="1BD75A28"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КАН-640</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2FAA764A"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1942</w:t>
            </w: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3988D2D8"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510D79C4"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22,5</w:t>
            </w:r>
          </w:p>
        </w:tc>
        <w:tc>
          <w:tcPr>
            <w:tcW w:w="946" w:type="dxa"/>
            <w:tcBorders>
              <w:top w:val="single" w:sz="4" w:space="0" w:color="auto"/>
              <w:left w:val="single" w:sz="4" w:space="0" w:color="auto"/>
              <w:bottom w:val="single" w:sz="4" w:space="0" w:color="auto"/>
              <w:right w:val="single" w:sz="4" w:space="0" w:color="auto"/>
            </w:tcBorders>
            <w:shd w:val="clear" w:color="auto" w:fill="FFFFFF"/>
          </w:tcPr>
          <w:p w14:paraId="0D05311E"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w:t>
            </w:r>
          </w:p>
        </w:tc>
        <w:tc>
          <w:tcPr>
            <w:tcW w:w="1094" w:type="dxa"/>
            <w:tcBorders>
              <w:top w:val="single" w:sz="4" w:space="0" w:color="auto"/>
              <w:left w:val="single" w:sz="4" w:space="0" w:color="auto"/>
              <w:bottom w:val="single" w:sz="4" w:space="0" w:color="auto"/>
              <w:right w:val="single" w:sz="4" w:space="0" w:color="auto"/>
            </w:tcBorders>
            <w:shd w:val="clear" w:color="auto" w:fill="FFFFFF"/>
          </w:tcPr>
          <w:p w14:paraId="1B3A085E"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321</w:t>
            </w:r>
          </w:p>
        </w:tc>
        <w:tc>
          <w:tcPr>
            <w:tcW w:w="1032" w:type="dxa"/>
            <w:tcBorders>
              <w:top w:val="single" w:sz="4" w:space="0" w:color="auto"/>
              <w:left w:val="single" w:sz="4" w:space="0" w:color="auto"/>
              <w:bottom w:val="single" w:sz="4" w:space="0" w:color="auto"/>
              <w:right w:val="single" w:sz="4" w:space="0" w:color="auto"/>
            </w:tcBorders>
            <w:shd w:val="clear" w:color="auto" w:fill="FFFFFF"/>
          </w:tcPr>
          <w:p w14:paraId="1C5FC808"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tc>
        <w:tc>
          <w:tcPr>
            <w:tcW w:w="1181" w:type="dxa"/>
            <w:tcBorders>
              <w:top w:val="single" w:sz="4" w:space="0" w:color="auto"/>
              <w:left w:val="single" w:sz="4" w:space="0" w:color="auto"/>
              <w:bottom w:val="single" w:sz="4" w:space="0" w:color="auto"/>
              <w:right w:val="single" w:sz="4" w:space="0" w:color="auto"/>
            </w:tcBorders>
            <w:shd w:val="clear" w:color="auto" w:fill="FFFFFF"/>
          </w:tcPr>
          <w:p w14:paraId="21899221"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w:t>
            </w:r>
          </w:p>
        </w:tc>
        <w:tc>
          <w:tcPr>
            <w:tcW w:w="984" w:type="dxa"/>
            <w:tcBorders>
              <w:top w:val="single" w:sz="4" w:space="0" w:color="auto"/>
              <w:left w:val="single" w:sz="4" w:space="0" w:color="auto"/>
              <w:bottom w:val="single" w:sz="4" w:space="0" w:color="auto"/>
              <w:right w:val="single" w:sz="4" w:space="0" w:color="auto"/>
            </w:tcBorders>
            <w:shd w:val="clear" w:color="auto" w:fill="FFFFFF"/>
          </w:tcPr>
          <w:p w14:paraId="35B7D0CF"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w:t>
            </w:r>
          </w:p>
        </w:tc>
        <w:tc>
          <w:tcPr>
            <w:tcW w:w="1214" w:type="dxa"/>
            <w:tcBorders>
              <w:top w:val="single" w:sz="4" w:space="0" w:color="auto"/>
              <w:left w:val="single" w:sz="4" w:space="0" w:color="auto"/>
              <w:bottom w:val="single" w:sz="4" w:space="0" w:color="auto"/>
              <w:right w:val="single" w:sz="4" w:space="0" w:color="auto"/>
            </w:tcBorders>
            <w:shd w:val="clear" w:color="auto" w:fill="FFFFFF"/>
          </w:tcPr>
          <w:p w14:paraId="67D2605A"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стягивающий</w:t>
            </w:r>
          </w:p>
        </w:tc>
      </w:tr>
      <w:tr w:rsidR="004D4663" w:rsidRPr="00070ADE" w14:paraId="16F6F763" w14:textId="77777777" w:rsidTr="00076D96">
        <w:trPr>
          <w:trHeight w:val="187"/>
          <w:jc w:val="center"/>
        </w:trPr>
        <w:tc>
          <w:tcPr>
            <w:tcW w:w="869" w:type="dxa"/>
            <w:tcBorders>
              <w:top w:val="single" w:sz="4" w:space="0" w:color="auto"/>
              <w:left w:val="single" w:sz="4" w:space="0" w:color="auto"/>
              <w:bottom w:val="single" w:sz="4" w:space="0" w:color="auto"/>
              <w:right w:val="single" w:sz="4" w:space="0" w:color="auto"/>
            </w:tcBorders>
            <w:shd w:val="clear" w:color="auto" w:fill="FFFFFF"/>
          </w:tcPr>
          <w:p w14:paraId="52950B28"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АН-540Б</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3AD9CF0E"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1947</w:t>
            </w: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50E9178A"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540</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1938DF9A"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21,3</w:t>
            </w:r>
          </w:p>
        </w:tc>
        <w:tc>
          <w:tcPr>
            <w:tcW w:w="946" w:type="dxa"/>
            <w:tcBorders>
              <w:top w:val="single" w:sz="4" w:space="0" w:color="auto"/>
              <w:left w:val="single" w:sz="4" w:space="0" w:color="auto"/>
              <w:bottom w:val="single" w:sz="4" w:space="0" w:color="auto"/>
              <w:right w:val="single" w:sz="4" w:space="0" w:color="auto"/>
            </w:tcBorders>
            <w:shd w:val="clear" w:color="auto" w:fill="FFFFFF"/>
          </w:tcPr>
          <w:p w14:paraId="35E6E1F3"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w:t>
            </w:r>
          </w:p>
        </w:tc>
        <w:tc>
          <w:tcPr>
            <w:tcW w:w="1094" w:type="dxa"/>
            <w:tcBorders>
              <w:top w:val="single" w:sz="4" w:space="0" w:color="auto"/>
              <w:left w:val="single" w:sz="4" w:space="0" w:color="auto"/>
              <w:bottom w:val="single" w:sz="4" w:space="0" w:color="auto"/>
              <w:right w:val="single" w:sz="4" w:space="0" w:color="auto"/>
            </w:tcBorders>
            <w:shd w:val="clear" w:color="auto" w:fill="FFFFFF"/>
          </w:tcPr>
          <w:p w14:paraId="7576FA4C"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278</w:t>
            </w:r>
          </w:p>
        </w:tc>
        <w:tc>
          <w:tcPr>
            <w:tcW w:w="1032" w:type="dxa"/>
            <w:tcBorders>
              <w:top w:val="single" w:sz="4" w:space="0" w:color="auto"/>
              <w:left w:val="single" w:sz="4" w:space="0" w:color="auto"/>
              <w:bottom w:val="single" w:sz="4" w:space="0" w:color="auto"/>
              <w:right w:val="single" w:sz="4" w:space="0" w:color="auto"/>
            </w:tcBorders>
            <w:shd w:val="clear" w:color="auto" w:fill="FFFFFF"/>
          </w:tcPr>
          <w:p w14:paraId="706D1956"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1181" w:type="dxa"/>
            <w:tcBorders>
              <w:top w:val="single" w:sz="4" w:space="0" w:color="auto"/>
              <w:left w:val="single" w:sz="4" w:space="0" w:color="auto"/>
              <w:bottom w:val="single" w:sz="4" w:space="0" w:color="auto"/>
              <w:right w:val="single" w:sz="4" w:space="0" w:color="auto"/>
            </w:tcBorders>
            <w:shd w:val="clear" w:color="auto" w:fill="FFFFFF"/>
          </w:tcPr>
          <w:p w14:paraId="2471EF75"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tc>
        <w:tc>
          <w:tcPr>
            <w:tcW w:w="984" w:type="dxa"/>
            <w:tcBorders>
              <w:top w:val="single" w:sz="4" w:space="0" w:color="auto"/>
              <w:left w:val="single" w:sz="4" w:space="0" w:color="auto"/>
              <w:bottom w:val="single" w:sz="4" w:space="0" w:color="auto"/>
              <w:right w:val="single" w:sz="4" w:space="0" w:color="auto"/>
            </w:tcBorders>
            <w:shd w:val="clear" w:color="auto" w:fill="FFFFFF"/>
          </w:tcPr>
          <w:p w14:paraId="41FC0EAE"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w:t>
            </w:r>
          </w:p>
        </w:tc>
        <w:tc>
          <w:tcPr>
            <w:tcW w:w="1214" w:type="dxa"/>
            <w:tcBorders>
              <w:top w:val="single" w:sz="4" w:space="0" w:color="auto"/>
              <w:left w:val="single" w:sz="4" w:space="0" w:color="auto"/>
              <w:bottom w:val="single" w:sz="4" w:space="0" w:color="auto"/>
              <w:right w:val="single" w:sz="4" w:space="0" w:color="auto"/>
            </w:tcBorders>
            <w:shd w:val="clear" w:color="auto" w:fill="FFFFFF"/>
          </w:tcPr>
          <w:p w14:paraId="7DCC055F"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баллонетный</w:t>
            </w:r>
          </w:p>
        </w:tc>
      </w:tr>
    </w:tbl>
    <w:p w14:paraId="1B7D5DC5"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Величина предельной скорости ветра на боевой высоте ААН даётся по данным заводских ин</w:t>
      </w:r>
      <w:r w:rsidRPr="00070ADE">
        <w:rPr>
          <w:rFonts w:ascii="Times New Roman" w:hAnsi="Times New Roman"/>
          <w:color w:val="000000" w:themeColor="text1"/>
          <w:sz w:val="16"/>
          <w:szCs w:val="16"/>
        </w:rPr>
        <w:softHyphen/>
        <w:t>струкций, фактически её значение для каждого типа аэростата было заметно меньше.</w:t>
      </w:r>
    </w:p>
    <w:p w14:paraId="33830903"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ААН БД («боевого действия»), поднимавший в воздух четырёх воздухоплавателей в двух кор</w:t>
      </w:r>
      <w:r w:rsidRPr="00070ADE">
        <w:rPr>
          <w:rFonts w:ascii="Times New Roman" w:hAnsi="Times New Roman"/>
          <w:color w:val="000000" w:themeColor="text1"/>
          <w:sz w:val="16"/>
          <w:szCs w:val="16"/>
        </w:rPr>
        <w:softHyphen/>
        <w:t>зинах, был хорошим с точки зрения аэродина</w:t>
      </w:r>
      <w:r w:rsidRPr="00070ADE">
        <w:rPr>
          <w:rFonts w:ascii="Times New Roman" w:hAnsi="Times New Roman"/>
          <w:color w:val="000000" w:themeColor="text1"/>
          <w:sz w:val="16"/>
          <w:szCs w:val="16"/>
        </w:rPr>
        <w:softHyphen/>
        <w:t>мики и довольно устойчиво стоял в воздухе при больших ветрах. До войны обучение наблюдате</w:t>
      </w:r>
      <w:r w:rsidRPr="00070ADE">
        <w:rPr>
          <w:rFonts w:ascii="Times New Roman" w:hAnsi="Times New Roman"/>
          <w:color w:val="000000" w:themeColor="text1"/>
          <w:sz w:val="16"/>
          <w:szCs w:val="16"/>
        </w:rPr>
        <w:softHyphen/>
        <w:t>лей проводилось именно на аэростатах данного типа. Боевой опыт, однако, показал, что аэростат громоздок, для его обслуживания необходим большой наземный расчёт, а сам он представля</w:t>
      </w:r>
      <w:r w:rsidRPr="00070ADE">
        <w:rPr>
          <w:rFonts w:ascii="Times New Roman" w:hAnsi="Times New Roman"/>
          <w:color w:val="000000" w:themeColor="text1"/>
          <w:sz w:val="16"/>
          <w:szCs w:val="16"/>
        </w:rPr>
        <w:softHyphen/>
        <w:t>ет заметную цель для летчиков и артиллеристов противника. В частях аэростаты БД заменили сначала на аэростаты АН-540 со стягивающей си</w:t>
      </w:r>
      <w:r w:rsidRPr="00070ADE">
        <w:rPr>
          <w:rFonts w:ascii="Times New Roman" w:hAnsi="Times New Roman"/>
          <w:color w:val="000000" w:themeColor="text1"/>
          <w:sz w:val="16"/>
          <w:szCs w:val="16"/>
        </w:rPr>
        <w:softHyphen/>
        <w:t>стемой, затем на баллонетные аэростаты того же типа АН-540Б.</w:t>
      </w:r>
    </w:p>
    <w:p w14:paraId="44FD85A4"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АН-350 требовал мало газа для своего напол</w:t>
      </w:r>
      <w:r w:rsidRPr="00070ADE">
        <w:rPr>
          <w:rFonts w:ascii="Times New Roman" w:hAnsi="Times New Roman"/>
          <w:color w:val="000000" w:themeColor="text1"/>
          <w:sz w:val="16"/>
          <w:szCs w:val="16"/>
        </w:rPr>
        <w:softHyphen/>
        <w:t>нения. Этим обстоятельством пользовались воз</w:t>
      </w:r>
      <w:r w:rsidRPr="00070ADE">
        <w:rPr>
          <w:rFonts w:ascii="Times New Roman" w:hAnsi="Times New Roman"/>
          <w:color w:val="000000" w:themeColor="text1"/>
          <w:sz w:val="16"/>
          <w:szCs w:val="16"/>
        </w:rPr>
        <w:softHyphen/>
        <w:t>духоплаватели Ленинграда, когда из-за дефици</w:t>
      </w:r>
      <w:r w:rsidRPr="00070ADE">
        <w:rPr>
          <w:rFonts w:ascii="Times New Roman" w:hAnsi="Times New Roman"/>
          <w:color w:val="000000" w:themeColor="text1"/>
          <w:sz w:val="16"/>
          <w:szCs w:val="16"/>
        </w:rPr>
        <w:softHyphen/>
        <w:t>та электроэнергии и сырья химический завод ощутимо сократил выработку водорода. Однако именно из-за малого объёма оболочки АН-350 поднимал только одного наблюдателя на высо</w:t>
      </w:r>
      <w:r w:rsidRPr="00070ADE">
        <w:rPr>
          <w:rFonts w:ascii="Times New Roman" w:hAnsi="Times New Roman"/>
          <w:color w:val="000000" w:themeColor="text1"/>
          <w:sz w:val="16"/>
          <w:szCs w:val="16"/>
        </w:rPr>
        <w:softHyphen/>
        <w:t>ту не более 700 м. Он был очень неустойчив при сильном ветре, и при его порывах натянутый трос мог придавать его оболочке отрицательный угол атаки. В результате аэростат пикировал, ударялся о землю и отскакивал в нормальное положение. В таких случаях аэронавтам рекомендовалось браться за трапецию и в момент удара подтяги</w:t>
      </w:r>
      <w:r w:rsidRPr="00070ADE">
        <w:rPr>
          <w:rFonts w:ascii="Times New Roman" w:hAnsi="Times New Roman"/>
          <w:color w:val="000000" w:themeColor="text1"/>
          <w:sz w:val="16"/>
          <w:szCs w:val="16"/>
        </w:rPr>
        <w:softHyphen/>
        <w:t>ваться на руках.</w:t>
      </w:r>
    </w:p>
    <w:p w14:paraId="4CFCBE57"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Аэростат АН-540 очень нравился воздухопла</w:t>
      </w:r>
      <w:r w:rsidRPr="00070ADE">
        <w:rPr>
          <w:rFonts w:ascii="Times New Roman" w:hAnsi="Times New Roman"/>
          <w:color w:val="000000" w:themeColor="text1"/>
          <w:sz w:val="16"/>
          <w:szCs w:val="16"/>
        </w:rPr>
        <w:softHyphen/>
        <w:t>вателям. Он поднимал двух человек, в воздухе вёл себя спокойно и не рыскал по ветру. Подъём на боевую высоту и спуск с неё занимал всего четыре-пять минут. Дальность наблюдения при благоприятных условиях составляла: стреляю</w:t>
      </w:r>
      <w:r w:rsidRPr="00070ADE">
        <w:rPr>
          <w:rFonts w:ascii="Times New Roman" w:hAnsi="Times New Roman"/>
          <w:color w:val="000000" w:themeColor="text1"/>
          <w:sz w:val="16"/>
          <w:szCs w:val="16"/>
        </w:rPr>
        <w:softHyphen/>
        <w:t>щих батарей — до 20 км, колонн механизирован</w:t>
      </w:r>
      <w:r w:rsidRPr="00070ADE">
        <w:rPr>
          <w:rFonts w:ascii="Times New Roman" w:hAnsi="Times New Roman"/>
          <w:color w:val="000000" w:themeColor="text1"/>
          <w:sz w:val="16"/>
          <w:szCs w:val="16"/>
        </w:rPr>
        <w:softHyphen/>
        <w:t>ных войск — до 25 км, разрывов осколочно-фу</w:t>
      </w:r>
      <w:r w:rsidRPr="00070ADE">
        <w:rPr>
          <w:rFonts w:ascii="Times New Roman" w:hAnsi="Times New Roman"/>
          <w:color w:val="000000" w:themeColor="text1"/>
          <w:sz w:val="16"/>
          <w:szCs w:val="16"/>
        </w:rPr>
        <w:softHyphen/>
        <w:t>гасных снарядов 122-мм калибра — до 20 км, разрывов осколочно-фугасных снарядов 152-мм калибра — до 25 км.</w:t>
      </w:r>
    </w:p>
    <w:p w14:paraId="171F00AD"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Остро стоял вопрос защиты наблюдателей, находившихся в корзине аэростата, от враже</w:t>
      </w:r>
      <w:r w:rsidRPr="00070ADE">
        <w:rPr>
          <w:rFonts w:ascii="Times New Roman" w:hAnsi="Times New Roman"/>
          <w:color w:val="000000" w:themeColor="text1"/>
          <w:sz w:val="16"/>
          <w:szCs w:val="16"/>
        </w:rPr>
        <w:softHyphen/>
        <w:t>ского огня. В частях предпринимались попытки подручными средствами бронировать корзину. В 3-м ОВДААН по инициативе С.Д. Джилкишева в корзине установили бронеспинку с Ил-2, но нарушение равновесия аэростата при подъёме сделало наблюдения невозможными. Неудачей окончились и попытки вооружить наблюдателей ручными пулемётами.</w:t>
      </w:r>
    </w:p>
    <w:p w14:paraId="1B69A3FF"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части ПВО поступали аэростаты загражде</w:t>
      </w:r>
      <w:r w:rsidRPr="00070ADE">
        <w:rPr>
          <w:rFonts w:ascii="Times New Roman" w:hAnsi="Times New Roman"/>
          <w:color w:val="000000" w:themeColor="text1"/>
          <w:sz w:val="16"/>
          <w:szCs w:val="16"/>
        </w:rPr>
        <w:softHyphen/>
        <w:t>ния системы тандем К6В-К6Н, одиночные аэро</w:t>
      </w:r>
      <w:r w:rsidRPr="00070ADE">
        <w:rPr>
          <w:rFonts w:ascii="Times New Roman" w:hAnsi="Times New Roman"/>
          <w:color w:val="000000" w:themeColor="text1"/>
          <w:sz w:val="16"/>
          <w:szCs w:val="16"/>
        </w:rPr>
        <w:softHyphen/>
        <w:t>статы типа КО-1, а затем баллонетные аэростаты тандем и одиночные БАЗ-136 производства завода «Каучук». Главными требованиями, предъявляемыми к аэростатам заграждения, были высотность и возможность подъёма при высоких скоростях ветра.</w:t>
      </w:r>
    </w:p>
    <w:p w14:paraId="3EC53B7D"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Первыми серийными высотными АЗ были аэростаты системы тандем КТВ-КТН, выпус</w:t>
      </w:r>
      <w:r w:rsidRPr="00070ADE">
        <w:rPr>
          <w:rFonts w:ascii="Times New Roman" w:hAnsi="Times New Roman"/>
          <w:color w:val="000000" w:themeColor="text1"/>
          <w:sz w:val="16"/>
          <w:szCs w:val="16"/>
        </w:rPr>
        <w:softHyphen/>
        <w:t>ка 1938 г., выполненные со стягивающей си</w:t>
      </w:r>
      <w:r w:rsidRPr="00070ADE">
        <w:rPr>
          <w:rFonts w:ascii="Times New Roman" w:hAnsi="Times New Roman"/>
          <w:color w:val="000000" w:themeColor="text1"/>
          <w:sz w:val="16"/>
          <w:szCs w:val="16"/>
        </w:rPr>
        <w:softHyphen/>
        <w:t>стемой. Они имели статический потолок до 5000 м и могли производить подъёмы при вет</w:t>
      </w:r>
      <w:r w:rsidRPr="00070ADE">
        <w:rPr>
          <w:rFonts w:ascii="Times New Roman" w:hAnsi="Times New Roman"/>
          <w:color w:val="000000" w:themeColor="text1"/>
          <w:sz w:val="16"/>
          <w:szCs w:val="16"/>
        </w:rPr>
        <w:softHyphen/>
        <w:t>рах до 14-16 м/с.</w:t>
      </w:r>
    </w:p>
    <w:p w14:paraId="2F87F9B0"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Аэростаты К6В-К6Н представляли собой мо</w:t>
      </w:r>
      <w:r w:rsidRPr="00070ADE">
        <w:rPr>
          <w:rFonts w:ascii="Times New Roman" w:hAnsi="Times New Roman"/>
          <w:color w:val="000000" w:themeColor="text1"/>
          <w:sz w:val="16"/>
          <w:szCs w:val="16"/>
        </w:rPr>
        <w:softHyphen/>
        <w:t>дернизированные аэростаты КТВ-КТН, у кото</w:t>
      </w:r>
      <w:r w:rsidRPr="00070ADE">
        <w:rPr>
          <w:rFonts w:ascii="Times New Roman" w:hAnsi="Times New Roman"/>
          <w:color w:val="000000" w:themeColor="text1"/>
          <w:sz w:val="16"/>
          <w:szCs w:val="16"/>
        </w:rPr>
        <w:softHyphen/>
        <w:t>рых круглые кольцевые стабилизаторы заменили стабилизаторами треугольной формы с обтекае</w:t>
      </w:r>
      <w:r w:rsidRPr="00070ADE">
        <w:rPr>
          <w:rFonts w:ascii="Times New Roman" w:hAnsi="Times New Roman"/>
          <w:color w:val="000000" w:themeColor="text1"/>
          <w:sz w:val="16"/>
          <w:szCs w:val="16"/>
        </w:rPr>
        <w:softHyphen/>
        <w:t>мым профилем, что увеличило допустимую ско</w:t>
      </w:r>
      <w:r w:rsidRPr="00070ADE">
        <w:rPr>
          <w:rFonts w:ascii="Times New Roman" w:hAnsi="Times New Roman"/>
          <w:color w:val="000000" w:themeColor="text1"/>
          <w:sz w:val="16"/>
          <w:szCs w:val="16"/>
        </w:rPr>
        <w:softHyphen/>
        <w:t>рость ветра для подъёма аэростатов до 20 м/с при сохранении статического потолка.</w:t>
      </w:r>
    </w:p>
    <w:p w14:paraId="0E828F29"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Одиночный аэростат КО-1 имел стягивающую систему. Его оболочку образовали из оболочки аэростата КТВ путём вклейки дополнительного полотнища, что увеличило объём до 500 м3 и по</w:t>
      </w:r>
      <w:r w:rsidRPr="00070ADE">
        <w:rPr>
          <w:rFonts w:ascii="Times New Roman" w:hAnsi="Times New Roman"/>
          <w:color w:val="000000" w:themeColor="text1"/>
          <w:sz w:val="16"/>
          <w:szCs w:val="16"/>
        </w:rPr>
        <w:softHyphen/>
        <w:t>высило потолок до 3900 м.</w:t>
      </w:r>
    </w:p>
    <w:p w14:paraId="41BAD08A"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Затруднения с сырьём для амортшнуров и не</w:t>
      </w:r>
      <w:r w:rsidRPr="00070ADE">
        <w:rPr>
          <w:rFonts w:ascii="Times New Roman" w:hAnsi="Times New Roman"/>
          <w:color w:val="000000" w:themeColor="text1"/>
          <w:sz w:val="16"/>
          <w:szCs w:val="16"/>
        </w:rPr>
        <w:softHyphen/>
        <w:t>морозостойкость последних послужили причи</w:t>
      </w:r>
      <w:r w:rsidRPr="00070ADE">
        <w:rPr>
          <w:rFonts w:ascii="Times New Roman" w:hAnsi="Times New Roman"/>
          <w:color w:val="000000" w:themeColor="text1"/>
          <w:sz w:val="16"/>
          <w:szCs w:val="16"/>
        </w:rPr>
        <w:softHyphen/>
        <w:t>ной введения в эксплуатацию аэростатов балло- нетного типа БАЗ-136. Они имели максимальный объём 490 м3 и могли применяться как в одиноч</w:t>
      </w:r>
      <w:r w:rsidRPr="00070ADE">
        <w:rPr>
          <w:rFonts w:ascii="Times New Roman" w:hAnsi="Times New Roman"/>
          <w:color w:val="000000" w:themeColor="text1"/>
          <w:sz w:val="16"/>
          <w:szCs w:val="16"/>
        </w:rPr>
        <w:softHyphen/>
        <w:t>ном виде, так и в системе тандем — для этого требовалось изменить только начальный объём аэростата, так как конструкция и объём балло</w:t>
      </w:r>
      <w:r w:rsidRPr="00070ADE">
        <w:rPr>
          <w:rFonts w:ascii="Times New Roman" w:hAnsi="Times New Roman"/>
          <w:color w:val="000000" w:themeColor="text1"/>
          <w:sz w:val="16"/>
          <w:szCs w:val="16"/>
        </w:rPr>
        <w:softHyphen/>
        <w:t>нета в этих аэростатах были одинаковы. Стати</w:t>
      </w:r>
      <w:r w:rsidRPr="00070ADE">
        <w:rPr>
          <w:rFonts w:ascii="Times New Roman" w:hAnsi="Times New Roman"/>
          <w:color w:val="000000" w:themeColor="text1"/>
          <w:sz w:val="16"/>
          <w:szCs w:val="16"/>
        </w:rPr>
        <w:softHyphen/>
        <w:t>ческий потолок одиночного БАЗ-136 составлял 3800 м, а аэростата системы тандем — 5500 м. Аэростат допускал подъём при скорости ветра до 18 м/с. АЗ данного типа только в 1942 г. по</w:t>
      </w:r>
      <w:r w:rsidRPr="00070ADE">
        <w:rPr>
          <w:rFonts w:ascii="Times New Roman" w:hAnsi="Times New Roman"/>
          <w:color w:val="000000" w:themeColor="text1"/>
          <w:sz w:val="16"/>
          <w:szCs w:val="16"/>
        </w:rPr>
        <w:softHyphen/>
        <w:t>ступило более 670 штук, а всего до конца войны их выпустили 4271 единицу.</w:t>
      </w:r>
    </w:p>
    <w:p w14:paraId="36DF2443"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 эксплуатации БАЗ-136 показал, что компенсация изменений объёма аэростата при подъёме и спуске наилучшим образом достигает</w:t>
      </w:r>
      <w:r w:rsidRPr="00070ADE">
        <w:rPr>
          <w:rFonts w:ascii="Times New Roman" w:hAnsi="Times New Roman"/>
          <w:color w:val="000000" w:themeColor="text1"/>
          <w:sz w:val="16"/>
          <w:szCs w:val="16"/>
        </w:rPr>
        <w:softHyphen/>
        <w:t>ся при помощи комбинированной системы. Та</w:t>
      </w:r>
      <w:r w:rsidRPr="00070ADE">
        <w:rPr>
          <w:rFonts w:ascii="Times New Roman" w:hAnsi="Times New Roman"/>
          <w:color w:val="000000" w:themeColor="text1"/>
          <w:sz w:val="16"/>
          <w:szCs w:val="16"/>
        </w:rPr>
        <w:softHyphen/>
        <w:t>кую систему компенсации применили в одиноч</w:t>
      </w:r>
      <w:r w:rsidRPr="00070ADE">
        <w:rPr>
          <w:rFonts w:ascii="Times New Roman" w:hAnsi="Times New Roman"/>
          <w:color w:val="000000" w:themeColor="text1"/>
          <w:sz w:val="16"/>
          <w:szCs w:val="16"/>
        </w:rPr>
        <w:softHyphen/>
        <w:t>ном аэростате КАЗ. Несмотря на значительное увеличение максимального объёма КАЗ, основ</w:t>
      </w:r>
      <w:r w:rsidRPr="00070ADE">
        <w:rPr>
          <w:rFonts w:ascii="Times New Roman" w:hAnsi="Times New Roman"/>
          <w:color w:val="000000" w:themeColor="text1"/>
          <w:sz w:val="16"/>
          <w:szCs w:val="16"/>
        </w:rPr>
        <w:softHyphen/>
        <w:t>ные его размеры при начальном объёме у земли находились в пределах габарита БАЗ-136, поэто</w:t>
      </w:r>
      <w:r w:rsidRPr="00070ADE">
        <w:rPr>
          <w:rFonts w:ascii="Times New Roman" w:hAnsi="Times New Roman"/>
          <w:color w:val="000000" w:themeColor="text1"/>
          <w:sz w:val="16"/>
          <w:szCs w:val="16"/>
        </w:rPr>
        <w:softHyphen/>
        <w:t>му обслуживавшее его аэростатное отделение не превышало нормальное. К концу войны КАЗ по</w:t>
      </w:r>
      <w:r w:rsidRPr="00070ADE">
        <w:rPr>
          <w:rFonts w:ascii="Times New Roman" w:hAnsi="Times New Roman"/>
          <w:color w:val="000000" w:themeColor="text1"/>
          <w:sz w:val="16"/>
          <w:szCs w:val="16"/>
        </w:rPr>
        <w:softHyphen/>
        <w:t>ступили в части аэростатов заграждения Москвы и Ленинграда.</w:t>
      </w:r>
    </w:p>
    <w:p w14:paraId="297EE7EC"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другими аэростатами он не давал выигрыша в рабочей высоте, но допускал подъём почти в штормовую погоду и буксировку в под</w:t>
      </w:r>
      <w:r w:rsidRPr="00070ADE">
        <w:rPr>
          <w:rFonts w:ascii="Times New Roman" w:hAnsi="Times New Roman"/>
          <w:color w:val="000000" w:themeColor="text1"/>
          <w:sz w:val="16"/>
          <w:szCs w:val="16"/>
        </w:rPr>
        <w:softHyphen/>
        <w:t>нятом состоянии.</w:t>
      </w:r>
    </w:p>
    <w:p w14:paraId="04940A73"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как АЗ новых типов не хватало, то в ча</w:t>
      </w:r>
      <w:r w:rsidRPr="00070ADE">
        <w:rPr>
          <w:rFonts w:ascii="Times New Roman" w:hAnsi="Times New Roman"/>
          <w:color w:val="000000" w:themeColor="text1"/>
          <w:sz w:val="16"/>
          <w:szCs w:val="16"/>
        </w:rPr>
        <w:softHyphen/>
        <w:t>стях использовались старые системы КВ-КН, ТВ, ТС. Для обучения парашютным прыжкам в ВДВ применялись аэростаты КАН-640, и продолжали использоваться аэростаты типа БД.</w:t>
      </w:r>
    </w:p>
    <w:p w14:paraId="3E619CB8"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Создать высотные аэростаты заграждения с потолком 6000, 8000 и 10 000 м не удалось/</w:t>
      </w:r>
    </w:p>
    <w:p w14:paraId="41C60880"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компетентному мнению А.И. Бернштейна имевшиеся тогда баллонные материалы и торо</w:t>
      </w:r>
      <w:r w:rsidRPr="00070ADE">
        <w:rPr>
          <w:rFonts w:ascii="Times New Roman" w:hAnsi="Times New Roman"/>
          <w:color w:val="000000" w:themeColor="text1"/>
          <w:sz w:val="16"/>
          <w:szCs w:val="16"/>
        </w:rPr>
        <w:softHyphen/>
        <w:t>сы не позволяли создать и поставить на воору</w:t>
      </w:r>
      <w:r w:rsidRPr="00070ADE">
        <w:rPr>
          <w:rFonts w:ascii="Times New Roman" w:hAnsi="Times New Roman"/>
          <w:color w:val="000000" w:themeColor="text1"/>
          <w:sz w:val="16"/>
          <w:szCs w:val="16"/>
        </w:rPr>
        <w:softHyphen/>
        <w:t>жение АЗ, обеспечивающие стабильный потолок 8000-10 000 м. Подъём аэростатов на такую высо</w:t>
      </w:r>
      <w:r w:rsidRPr="00070ADE">
        <w:rPr>
          <w:rFonts w:ascii="Times New Roman" w:hAnsi="Times New Roman"/>
          <w:color w:val="000000" w:themeColor="text1"/>
          <w:sz w:val="16"/>
          <w:szCs w:val="16"/>
        </w:rPr>
        <w:softHyphen/>
        <w:t>ту был возможен только на оболочках разового применения, имевших меньший вес, чем стан</w:t>
      </w:r>
      <w:r w:rsidRPr="00070ADE">
        <w:rPr>
          <w:rFonts w:ascii="Times New Roman" w:hAnsi="Times New Roman"/>
          <w:color w:val="000000" w:themeColor="text1"/>
          <w:sz w:val="16"/>
          <w:szCs w:val="16"/>
        </w:rPr>
        <w:softHyphen/>
        <w:t>дартные. По этой же причине не удалось создать и одиночный АЗ с потолком 4000 м8.</w:t>
      </w:r>
    </w:p>
    <w:p w14:paraId="6540DF2E"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годы войны в СССР разработали разъёмный вертлюг РВ-133 для вскрытия разрывной щели аэростата в случае обрыва троса и устройство для отсоединения аэростата заграждения от троса при налёте самолёта на последний.</w:t>
      </w:r>
    </w:p>
    <w:p w14:paraId="04BEC8E6"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Разъёмный вертлюг РВ-133 состоял из трёх основных частей: корпуса с упорным подшипни</w:t>
      </w:r>
      <w:r w:rsidRPr="00070ADE">
        <w:rPr>
          <w:rFonts w:ascii="Times New Roman" w:hAnsi="Times New Roman"/>
          <w:color w:val="000000" w:themeColor="text1"/>
          <w:sz w:val="16"/>
          <w:szCs w:val="16"/>
        </w:rPr>
        <w:softHyphen/>
        <w:t>ком, карабина и вилки с сепаратором. К верхней вилке при помощи валика крепился карабин для присоединения к привязному такелажу аэростата. Нижняя вилка, на которой помещался сепаратор, присоединяла верхний конец троса. При обрыве троса нижняя вилка от сообщаемого тросом толч</w:t>
      </w:r>
      <w:r w:rsidRPr="00070ADE">
        <w:rPr>
          <w:rFonts w:ascii="Times New Roman" w:hAnsi="Times New Roman"/>
          <w:color w:val="000000" w:themeColor="text1"/>
          <w:sz w:val="16"/>
          <w:szCs w:val="16"/>
        </w:rPr>
        <w:softHyphen/>
        <w:t>ка подскакивала вверх, в результате чего сепара</w:t>
      </w:r>
      <w:r w:rsidRPr="00070ADE">
        <w:rPr>
          <w:rFonts w:ascii="Times New Roman" w:hAnsi="Times New Roman"/>
          <w:color w:val="000000" w:themeColor="text1"/>
          <w:sz w:val="16"/>
          <w:szCs w:val="16"/>
        </w:rPr>
        <w:softHyphen/>
        <w:t>тор под действием собственного веса и силы от- жатия пружины падал вниз и вместе с вилкой вы</w:t>
      </w:r>
      <w:r w:rsidRPr="00070ADE">
        <w:rPr>
          <w:rFonts w:ascii="Times New Roman" w:hAnsi="Times New Roman"/>
          <w:color w:val="000000" w:themeColor="text1"/>
          <w:sz w:val="16"/>
          <w:szCs w:val="16"/>
        </w:rPr>
        <w:softHyphen/>
        <w:t>падал из корпуса вертлюга, освобождая от аэро</w:t>
      </w:r>
      <w:r w:rsidRPr="00070ADE">
        <w:rPr>
          <w:rFonts w:ascii="Times New Roman" w:hAnsi="Times New Roman"/>
          <w:color w:val="000000" w:themeColor="text1"/>
          <w:sz w:val="16"/>
          <w:szCs w:val="16"/>
        </w:rPr>
        <w:softHyphen/>
        <w:t>стата верхний участок оборванного троса. Трос действием своего веса сообщал рывок разрывной вожже и вскрывал разрывное приспособление.</w:t>
      </w:r>
    </w:p>
    <w:p w14:paraId="262DC339"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РВ-133 стал поступать в части АЗ с 1943 г. По свидетельству А.И. Бернштейна, никакого эф</w:t>
      </w:r>
      <w:r w:rsidRPr="00070ADE">
        <w:rPr>
          <w:rFonts w:ascii="Times New Roman" w:hAnsi="Times New Roman"/>
          <w:color w:val="000000" w:themeColor="text1"/>
          <w:sz w:val="16"/>
          <w:szCs w:val="16"/>
        </w:rPr>
        <w:softHyphen/>
        <w:t>фекта, кроме хлопот и случаев самосрабатывания вертлюга, это новшество не дало.</w:t>
      </w:r>
    </w:p>
    <w:p w14:paraId="44A726DE"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тросов аэростатов заграждения. Трос АЗ выводил из строя столкнувшийся с ним самолёт, перепиливая элементы конструкции по</w:t>
      </w:r>
      <w:r w:rsidRPr="00070ADE">
        <w:rPr>
          <w:rFonts w:ascii="Times New Roman" w:hAnsi="Times New Roman"/>
          <w:color w:val="000000" w:themeColor="text1"/>
          <w:sz w:val="16"/>
          <w:szCs w:val="16"/>
        </w:rPr>
        <w:softHyphen/>
        <w:t>следнего. Чтобы срезать стальной термически об</w:t>
      </w:r>
      <w:r w:rsidRPr="00070ADE">
        <w:rPr>
          <w:rFonts w:ascii="Times New Roman" w:hAnsi="Times New Roman"/>
          <w:color w:val="000000" w:themeColor="text1"/>
          <w:sz w:val="16"/>
          <w:szCs w:val="16"/>
        </w:rPr>
        <w:softHyphen/>
        <w:t>работанный болт диаметром 26 мм (или дюрале</w:t>
      </w:r>
      <w:r w:rsidRPr="00070ADE">
        <w:rPr>
          <w:rFonts w:ascii="Times New Roman" w:hAnsi="Times New Roman"/>
          <w:color w:val="000000" w:themeColor="text1"/>
          <w:sz w:val="16"/>
          <w:szCs w:val="16"/>
        </w:rPr>
        <w:softHyphen/>
        <w:t>вый стержень диаметром 80 мм), закреплённый на летящем со скоростью 310-320 км/ч самолёте, требовалось протянуть через него 180 м троса.</w:t>
      </w:r>
    </w:p>
    <w:p w14:paraId="5B8ADF39"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началу 1940-х годов скорости самолётов приблизились к критической скорости попереч</w:t>
      </w:r>
      <w:r w:rsidRPr="00070ADE">
        <w:rPr>
          <w:rFonts w:ascii="Times New Roman" w:hAnsi="Times New Roman"/>
          <w:color w:val="000000" w:themeColor="text1"/>
          <w:sz w:val="16"/>
          <w:szCs w:val="16"/>
        </w:rPr>
        <w:softHyphen/>
        <w:t>ного удара троса, при которой тот разрушался. Введение инерционного звена повышало эффек</w:t>
      </w:r>
      <w:r w:rsidRPr="00070ADE">
        <w:rPr>
          <w:rFonts w:ascii="Times New Roman" w:hAnsi="Times New Roman"/>
          <w:color w:val="000000" w:themeColor="text1"/>
          <w:sz w:val="16"/>
          <w:szCs w:val="16"/>
        </w:rPr>
        <w:softHyphen/>
        <w:t>тивность тросов. Теперь возникшая при налёте самолёта на трос первичная волна динамической нагрузки, распространяясь по тросу со скоростью до 4500 м/с, доходила до инерционного звена, ко</w:t>
      </w:r>
      <w:r w:rsidRPr="00070ADE">
        <w:rPr>
          <w:rFonts w:ascii="Times New Roman" w:hAnsi="Times New Roman"/>
          <w:color w:val="000000" w:themeColor="text1"/>
          <w:sz w:val="16"/>
          <w:szCs w:val="16"/>
        </w:rPr>
        <w:softHyphen/>
        <w:t>торое от резкого толчка срабатывало и перерезало трос резаком. Жёсткое закрепление троса в одной из точек ликвидировалось, и отражённая нагру зочная волна исчезала. От освобождённого кон</w:t>
      </w:r>
      <w:r w:rsidRPr="00070ADE">
        <w:rPr>
          <w:rFonts w:ascii="Times New Roman" w:hAnsi="Times New Roman"/>
          <w:color w:val="000000" w:themeColor="text1"/>
          <w:sz w:val="16"/>
          <w:szCs w:val="16"/>
        </w:rPr>
        <w:softHyphen/>
        <w:t>ца троса шла разгрузочная волна, освобождав</w:t>
      </w:r>
      <w:r w:rsidRPr="00070ADE">
        <w:rPr>
          <w:rFonts w:ascii="Times New Roman" w:hAnsi="Times New Roman"/>
          <w:color w:val="000000" w:themeColor="text1"/>
          <w:sz w:val="16"/>
          <w:szCs w:val="16"/>
        </w:rPr>
        <w:softHyphen/>
        <w:t xml:space="preserve">шая трос от ударного </w:t>
      </w:r>
      <w:r w:rsidRPr="00070ADE">
        <w:rPr>
          <w:rFonts w:ascii="Times New Roman" w:hAnsi="Times New Roman"/>
          <w:color w:val="000000" w:themeColor="text1"/>
          <w:sz w:val="16"/>
          <w:szCs w:val="16"/>
        </w:rPr>
        <w:lastRenderedPageBreak/>
        <w:t>напряжения, и тем самым предохраняя его от разрушения. Освобождённая часть троса, неся на себе парашют, перетягивалась с большой скоростью летящим самолётом. Пара</w:t>
      </w:r>
      <w:r w:rsidRPr="00070ADE">
        <w:rPr>
          <w:rFonts w:ascii="Times New Roman" w:hAnsi="Times New Roman"/>
          <w:color w:val="000000" w:themeColor="text1"/>
          <w:sz w:val="16"/>
          <w:szCs w:val="16"/>
        </w:rPr>
        <w:softHyphen/>
        <w:t>шют, создавая своим сопротивлением некоторое натяжение троса, способствовал перепиливанию элементов конструкции самолёта. Освобождён</w:t>
      </w:r>
      <w:r w:rsidRPr="00070ADE">
        <w:rPr>
          <w:rFonts w:ascii="Times New Roman" w:hAnsi="Times New Roman"/>
          <w:color w:val="000000" w:themeColor="text1"/>
          <w:sz w:val="16"/>
          <w:szCs w:val="16"/>
        </w:rPr>
        <w:softHyphen/>
        <w:t>ная часть верхней ветви троса несла на себе мину, взрывавшуюся при ударе о самолёт.</w:t>
      </w:r>
    </w:p>
    <w:p w14:paraId="79A27FF8"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Корпус осколочно-зажигательной мины воз</w:t>
      </w:r>
      <w:r w:rsidRPr="00070ADE">
        <w:rPr>
          <w:rFonts w:ascii="Times New Roman" w:hAnsi="Times New Roman"/>
          <w:color w:val="000000" w:themeColor="text1"/>
          <w:sz w:val="16"/>
          <w:szCs w:val="16"/>
        </w:rPr>
        <w:softHyphen/>
        <w:t>душного заграждения МВЗ-1 (вес 1,2 кг) пред</w:t>
      </w:r>
      <w:r w:rsidRPr="00070ADE">
        <w:rPr>
          <w:rFonts w:ascii="Times New Roman" w:hAnsi="Times New Roman"/>
          <w:color w:val="000000" w:themeColor="text1"/>
          <w:sz w:val="16"/>
          <w:szCs w:val="16"/>
        </w:rPr>
        <w:softHyphen/>
        <w:t>ставлял собой корпус 45-мм снаряда зенитной артиллерии, приспособленный для установки взрывателя ВАЗ-1. Взрыватель служил для под</w:t>
      </w:r>
      <w:r w:rsidRPr="00070ADE">
        <w:rPr>
          <w:rFonts w:ascii="Times New Roman" w:hAnsi="Times New Roman"/>
          <w:color w:val="000000" w:themeColor="text1"/>
          <w:sz w:val="16"/>
          <w:szCs w:val="16"/>
        </w:rPr>
        <w:softHyphen/>
        <w:t>рыва мины при ударе о самолёт.</w:t>
      </w:r>
    </w:p>
    <w:p w14:paraId="6A144D5E"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над этой системой велись по заданию МГК ВКП (б) с конца 1941 г. бригадой в составе военного инженера Г. Украинского (аэростаты, инерционные замки и разъёмы), инженера по во</w:t>
      </w:r>
      <w:r w:rsidRPr="00070ADE">
        <w:rPr>
          <w:rFonts w:ascii="Times New Roman" w:hAnsi="Times New Roman"/>
          <w:color w:val="000000" w:themeColor="text1"/>
          <w:sz w:val="16"/>
          <w:szCs w:val="16"/>
        </w:rPr>
        <w:softHyphen/>
        <w:t>оружению Н. Миронова и инженера И.Л. Глуш- кова (парашюты).</w:t>
      </w:r>
    </w:p>
    <w:p w14:paraId="27E90E27"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конца войны поставки инерционного зве</w:t>
      </w:r>
      <w:r w:rsidRPr="00070ADE">
        <w:rPr>
          <w:rFonts w:ascii="Times New Roman" w:hAnsi="Times New Roman"/>
          <w:color w:val="000000" w:themeColor="text1"/>
          <w:sz w:val="16"/>
          <w:szCs w:val="16"/>
        </w:rPr>
        <w:softHyphen/>
        <w:t>на с миной воздушного заграждения в части АЗ шли не комплектно, а по частям и в недостаточ</w:t>
      </w:r>
      <w:r w:rsidRPr="00070ADE">
        <w:rPr>
          <w:rFonts w:ascii="Times New Roman" w:hAnsi="Times New Roman"/>
          <w:color w:val="000000" w:themeColor="text1"/>
          <w:sz w:val="16"/>
          <w:szCs w:val="16"/>
        </w:rPr>
        <w:softHyphen/>
        <w:t>ном количестве.</w:t>
      </w:r>
    </w:p>
    <w:p w14:paraId="32D0C370"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Лебёдки и полевые водородные установки. Для подъёма аэростатов использовались освоен</w:t>
      </w:r>
      <w:r w:rsidRPr="00070ADE">
        <w:rPr>
          <w:rFonts w:ascii="Times New Roman" w:hAnsi="Times New Roman"/>
          <w:color w:val="000000" w:themeColor="text1"/>
          <w:sz w:val="16"/>
          <w:szCs w:val="16"/>
        </w:rPr>
        <w:softHyphen/>
        <w:t>ные промышленностью лебёдки ЛЗ-3 и ЛЗ-3П. С 1941-1942 гг. автолебёдки Л3-3 работали от бо</w:t>
      </w:r>
      <w:r w:rsidRPr="00070ADE">
        <w:rPr>
          <w:rFonts w:ascii="Times New Roman" w:hAnsi="Times New Roman"/>
          <w:color w:val="000000" w:themeColor="text1"/>
          <w:sz w:val="16"/>
          <w:szCs w:val="16"/>
        </w:rPr>
        <w:softHyphen/>
        <w:t>лее мощных двигателей ГАЗ-М (50 л.с.), что улуч</w:t>
      </w:r>
      <w:r w:rsidRPr="00070ADE">
        <w:rPr>
          <w:rFonts w:ascii="Times New Roman" w:hAnsi="Times New Roman"/>
          <w:color w:val="000000" w:themeColor="text1"/>
          <w:sz w:val="16"/>
          <w:szCs w:val="16"/>
        </w:rPr>
        <w:softHyphen/>
        <w:t>шило их характеристики по сравнению с довоен</w:t>
      </w:r>
      <w:r w:rsidRPr="00070ADE">
        <w:rPr>
          <w:rFonts w:ascii="Times New Roman" w:hAnsi="Times New Roman"/>
          <w:color w:val="000000" w:themeColor="text1"/>
          <w:sz w:val="16"/>
          <w:szCs w:val="16"/>
        </w:rPr>
        <w:softHyphen/>
        <w:t>ными образцами. При обстреле лебёдки против</w:t>
      </w:r>
      <w:r w:rsidRPr="00070ADE">
        <w:rPr>
          <w:rFonts w:ascii="Times New Roman" w:hAnsi="Times New Roman"/>
          <w:color w:val="000000" w:themeColor="text1"/>
          <w:sz w:val="16"/>
          <w:szCs w:val="16"/>
        </w:rPr>
        <w:softHyphen/>
        <w:t>ником ЛЗ-3 могла покинуть опасное место со ско</w:t>
      </w:r>
      <w:r w:rsidRPr="00070ADE">
        <w:rPr>
          <w:rFonts w:ascii="Times New Roman" w:hAnsi="Times New Roman"/>
          <w:color w:val="000000" w:themeColor="text1"/>
          <w:sz w:val="16"/>
          <w:szCs w:val="16"/>
        </w:rPr>
        <w:softHyphen/>
        <w:t>ростью до 25 км/ч или описывать круги и «вось</w:t>
      </w:r>
      <w:r w:rsidRPr="00070ADE">
        <w:rPr>
          <w:rFonts w:ascii="Times New Roman" w:hAnsi="Times New Roman"/>
          <w:color w:val="000000" w:themeColor="text1"/>
          <w:sz w:val="16"/>
          <w:szCs w:val="16"/>
        </w:rPr>
        <w:softHyphen/>
        <w:t>мерки» на подъёмном поле, не опуская аэростат.</w:t>
      </w:r>
    </w:p>
    <w:p w14:paraId="0DE66E4A"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Безмоторная полустационарная лебёдка ЛЗ-3П образца 1942 г. предназначалась для аэро</w:t>
      </w:r>
      <w:r w:rsidRPr="00070ADE">
        <w:rPr>
          <w:rFonts w:ascii="Times New Roman" w:hAnsi="Times New Roman"/>
          <w:color w:val="000000" w:themeColor="text1"/>
          <w:sz w:val="16"/>
          <w:szCs w:val="16"/>
        </w:rPr>
        <w:softHyphen/>
        <w:t>статов всех систем с потолком до 8000 м при ско</w:t>
      </w:r>
      <w:r w:rsidRPr="00070ADE">
        <w:rPr>
          <w:rFonts w:ascii="Times New Roman" w:hAnsi="Times New Roman"/>
          <w:color w:val="000000" w:themeColor="text1"/>
          <w:sz w:val="16"/>
          <w:szCs w:val="16"/>
        </w:rPr>
        <w:softHyphen/>
        <w:t>ростях выбирания 0,2-1,5 м/с. Её устанавливали на двухколёсной тележке и приводили в действие от колеса грузового автомобиля ГАЗ-АА, М-1 или ЗиС-5. Л3-3П перевозилась в прицепе к ГАЗ- АА или в кузове автомобиля. В 1944 г. началось производство автолебёдки ЛН-3 на автомашине «Студебеккер».</w:t>
      </w:r>
    </w:p>
    <w:p w14:paraId="5C21D51D"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Малый объём выпуска лебёдок задерживал приведение в боевую готовность частей АЗ в на</w:t>
      </w:r>
      <w:r w:rsidRPr="00070ADE">
        <w:rPr>
          <w:rFonts w:ascii="Times New Roman" w:hAnsi="Times New Roman"/>
          <w:color w:val="000000" w:themeColor="text1"/>
          <w:sz w:val="16"/>
          <w:szCs w:val="16"/>
        </w:rPr>
        <w:softHyphen/>
        <w:t>чале войны и развертывание новых частей в годы войны. Так, части АЗ Восточного фронта ПВО в конце 1943 г. при штатном количестве 513 лебё</w:t>
      </w:r>
      <w:r w:rsidRPr="00070ADE">
        <w:rPr>
          <w:rFonts w:ascii="Times New Roman" w:hAnsi="Times New Roman"/>
          <w:color w:val="000000" w:themeColor="text1"/>
          <w:sz w:val="16"/>
          <w:szCs w:val="16"/>
        </w:rPr>
        <w:softHyphen/>
        <w:t>док имели менее половины от этого числа.</w:t>
      </w:r>
    </w:p>
    <w:p w14:paraId="18F99746"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Наполнение оболочки водородом производи</w:t>
      </w:r>
      <w:r w:rsidRPr="00070ADE">
        <w:rPr>
          <w:rFonts w:ascii="Times New Roman" w:hAnsi="Times New Roman"/>
          <w:color w:val="000000" w:themeColor="text1"/>
          <w:sz w:val="16"/>
          <w:szCs w:val="16"/>
        </w:rPr>
        <w:softHyphen/>
        <w:t>лось из газгольдеров или баллонов высокого дав</w:t>
      </w:r>
      <w:r w:rsidRPr="00070ADE">
        <w:rPr>
          <w:rFonts w:ascii="Times New Roman" w:hAnsi="Times New Roman"/>
          <w:color w:val="000000" w:themeColor="text1"/>
          <w:sz w:val="16"/>
          <w:szCs w:val="16"/>
        </w:rPr>
        <w:softHyphen/>
        <w:t>ления. В газгольдер объёмом 125 м3, как правило, принимался газ, полученный из полевых газодобывательных установок. В баллоне высокого дав</w:t>
      </w:r>
      <w:r w:rsidRPr="00070ADE">
        <w:rPr>
          <w:rFonts w:ascii="Times New Roman" w:hAnsi="Times New Roman"/>
          <w:color w:val="000000" w:themeColor="text1"/>
          <w:sz w:val="16"/>
          <w:szCs w:val="16"/>
        </w:rPr>
        <w:softHyphen/>
        <w:t>ления хранилось около 6 м3 водорода под давле</w:t>
      </w:r>
      <w:r w:rsidRPr="00070ADE">
        <w:rPr>
          <w:rFonts w:ascii="Times New Roman" w:hAnsi="Times New Roman"/>
          <w:color w:val="000000" w:themeColor="text1"/>
          <w:sz w:val="16"/>
          <w:szCs w:val="16"/>
        </w:rPr>
        <w:softHyphen/>
        <w:t>нием 150 атм. Для наполнения одной оболочки требовалось 140 таких баллонов (один железно</w:t>
      </w:r>
      <w:r w:rsidRPr="00070ADE">
        <w:rPr>
          <w:rFonts w:ascii="Times New Roman" w:hAnsi="Times New Roman"/>
          <w:color w:val="000000" w:themeColor="text1"/>
          <w:sz w:val="16"/>
          <w:szCs w:val="16"/>
        </w:rPr>
        <w:softHyphen/>
        <w:t>дорожный вагон вмещал около 200 баллонов).</w:t>
      </w:r>
    </w:p>
    <w:p w14:paraId="3A2D14D3"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Транспортировка баллонов на автомобилях требовала большого количества транспортных средств и серьёзных физических усилий от коман</w:t>
      </w:r>
      <w:r w:rsidRPr="00070ADE">
        <w:rPr>
          <w:rFonts w:ascii="Times New Roman" w:hAnsi="Times New Roman"/>
          <w:color w:val="000000" w:themeColor="text1"/>
          <w:sz w:val="16"/>
          <w:szCs w:val="16"/>
        </w:rPr>
        <w:softHyphen/>
        <w:t>ды. Поэтому в частях ААН старались получать газ в полевых установках типа ПВУ-100 или ВУГ-120 (производительностью 100-120 м3/ч), применяв</w:t>
      </w:r>
      <w:r w:rsidRPr="00070ADE">
        <w:rPr>
          <w:rFonts w:ascii="Times New Roman" w:hAnsi="Times New Roman"/>
          <w:color w:val="000000" w:themeColor="text1"/>
          <w:sz w:val="16"/>
          <w:szCs w:val="16"/>
        </w:rPr>
        <w:softHyphen/>
        <w:t>шихся и в частях АЗ. За пять-шесть часов работы установка давала газ на полный объём аэростата и на его подполнение в первые дни работы.</w:t>
      </w:r>
    </w:p>
    <w:p w14:paraId="6E84A590"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Громоздкую установку «Оксилит ЗИС-12», смонтированную на шасси ЗиС-12 и прицепе к нему, сменили ВУГ-500, ВУГ-ЗИС-500, обо</w:t>
      </w:r>
      <w:r w:rsidRPr="00070ADE">
        <w:rPr>
          <w:rFonts w:ascii="Times New Roman" w:hAnsi="Times New Roman"/>
          <w:color w:val="000000" w:themeColor="text1"/>
          <w:sz w:val="16"/>
          <w:szCs w:val="16"/>
        </w:rPr>
        <w:softHyphen/>
        <w:t>рудование которых монтировалось на шасси ЗиС-12 (ВУГ-ЗИС-500) или на трёхтонном при</w:t>
      </w:r>
      <w:r w:rsidRPr="00070ADE">
        <w:rPr>
          <w:rFonts w:ascii="Times New Roman" w:hAnsi="Times New Roman"/>
          <w:color w:val="000000" w:themeColor="text1"/>
          <w:sz w:val="16"/>
          <w:szCs w:val="16"/>
        </w:rPr>
        <w:softHyphen/>
        <w:t>цепе (ВУГ-500). Эти установки не получили, од</w:t>
      </w:r>
      <w:r w:rsidRPr="00070ADE">
        <w:rPr>
          <w:rFonts w:ascii="Times New Roman" w:hAnsi="Times New Roman"/>
          <w:color w:val="000000" w:themeColor="text1"/>
          <w:sz w:val="16"/>
          <w:szCs w:val="16"/>
        </w:rPr>
        <w:softHyphen/>
        <w:t>нако, широкого распространения.</w:t>
      </w:r>
    </w:p>
    <w:p w14:paraId="71D06704"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предпринятые усилия, некото</w:t>
      </w:r>
      <w:r w:rsidRPr="00070ADE">
        <w:rPr>
          <w:rFonts w:ascii="Times New Roman" w:hAnsi="Times New Roman"/>
          <w:color w:val="000000" w:themeColor="text1"/>
          <w:sz w:val="16"/>
          <w:szCs w:val="16"/>
        </w:rPr>
        <w:softHyphen/>
        <w:t>рые недостатки отечественной воздухоплава</w:t>
      </w:r>
      <w:r w:rsidRPr="00070ADE">
        <w:rPr>
          <w:rFonts w:ascii="Times New Roman" w:hAnsi="Times New Roman"/>
          <w:color w:val="000000" w:themeColor="text1"/>
          <w:sz w:val="16"/>
          <w:szCs w:val="16"/>
        </w:rPr>
        <w:softHyphen/>
        <w:t>тельной техники остались не устранёнными до конца войны. К ним можно отнести: низкую ве</w:t>
      </w:r>
      <w:r w:rsidRPr="00070ADE">
        <w:rPr>
          <w:rFonts w:ascii="Times New Roman" w:hAnsi="Times New Roman"/>
          <w:color w:val="000000" w:themeColor="text1"/>
          <w:sz w:val="16"/>
          <w:szCs w:val="16"/>
        </w:rPr>
        <w:softHyphen/>
        <w:t>троустойчивость аэростатов на всех высотах, зна</w:t>
      </w:r>
      <w:r w:rsidRPr="00070ADE">
        <w:rPr>
          <w:rFonts w:ascii="Times New Roman" w:hAnsi="Times New Roman"/>
          <w:color w:val="000000" w:themeColor="text1"/>
          <w:sz w:val="16"/>
          <w:szCs w:val="16"/>
        </w:rPr>
        <w:softHyphen/>
        <w:t>чительно уступавшую английским аналогам; вы</w:t>
      </w:r>
      <w:r w:rsidRPr="00070ADE">
        <w:rPr>
          <w:rFonts w:ascii="Times New Roman" w:hAnsi="Times New Roman"/>
          <w:color w:val="000000" w:themeColor="text1"/>
          <w:sz w:val="16"/>
          <w:szCs w:val="16"/>
        </w:rPr>
        <w:softHyphen/>
        <w:t>сокую газопроницаемость оболочек аэростатов; большой эксплуатационный расход водорода, особенно в боевых условиях, из-за его недоста</w:t>
      </w:r>
      <w:r w:rsidRPr="00070ADE">
        <w:rPr>
          <w:rFonts w:ascii="Times New Roman" w:hAnsi="Times New Roman"/>
          <w:color w:val="000000" w:themeColor="text1"/>
          <w:sz w:val="16"/>
          <w:szCs w:val="16"/>
        </w:rPr>
        <w:softHyphen/>
        <w:t>точной очистки; малую производительность по</w:t>
      </w:r>
      <w:r w:rsidRPr="00070ADE">
        <w:rPr>
          <w:rFonts w:ascii="Times New Roman" w:hAnsi="Times New Roman"/>
          <w:color w:val="000000" w:themeColor="text1"/>
          <w:sz w:val="16"/>
          <w:szCs w:val="16"/>
        </w:rPr>
        <w:softHyphen/>
        <w:t>левых газодобывающих станций, что вызывало большую зависимость от стационарных источ</w:t>
      </w:r>
      <w:r w:rsidRPr="00070ADE">
        <w:rPr>
          <w:rFonts w:ascii="Times New Roman" w:hAnsi="Times New Roman"/>
          <w:color w:val="000000" w:themeColor="text1"/>
          <w:sz w:val="16"/>
          <w:szCs w:val="16"/>
        </w:rPr>
        <w:softHyphen/>
        <w:t>ников водорода; отсутствие в частях специаль</w:t>
      </w:r>
      <w:r w:rsidRPr="00070ADE">
        <w:rPr>
          <w:rFonts w:ascii="Times New Roman" w:hAnsi="Times New Roman"/>
          <w:color w:val="000000" w:themeColor="text1"/>
          <w:sz w:val="16"/>
          <w:szCs w:val="16"/>
        </w:rPr>
        <w:softHyphen/>
        <w:t>ного технического оборудования и приборов для эксплуатации и войскового ремонта; сложность боевой работы и повышенную уязвимость аэро</w:t>
      </w:r>
      <w:r w:rsidRPr="00070ADE">
        <w:rPr>
          <w:rFonts w:ascii="Times New Roman" w:hAnsi="Times New Roman"/>
          <w:color w:val="000000" w:themeColor="text1"/>
          <w:sz w:val="16"/>
          <w:szCs w:val="16"/>
        </w:rPr>
        <w:softHyphen/>
        <w:t>статов системы тандем; недостаточную проходи</w:t>
      </w:r>
      <w:r w:rsidRPr="00070ADE">
        <w:rPr>
          <w:rFonts w:ascii="Times New Roman" w:hAnsi="Times New Roman"/>
          <w:color w:val="000000" w:themeColor="text1"/>
          <w:sz w:val="16"/>
          <w:szCs w:val="16"/>
        </w:rPr>
        <w:softHyphen/>
        <w:t>мость автомобиля лебёдки (20120).</w:t>
      </w:r>
    </w:p>
    <w:p w14:paraId="630CFF42" w14:textId="77777777" w:rsidR="00D13803" w:rsidRPr="00070ADE" w:rsidRDefault="00D13803" w:rsidP="00B56F90">
      <w:pPr>
        <w:spacing w:after="0" w:line="240" w:lineRule="auto"/>
        <w:jc w:val="both"/>
        <w:rPr>
          <w:rFonts w:ascii="Times New Roman" w:hAnsi="Times New Roman"/>
          <w:color w:val="000000" w:themeColor="text1"/>
          <w:sz w:val="16"/>
          <w:szCs w:val="16"/>
        </w:rPr>
      </w:pPr>
    </w:p>
    <w:p w14:paraId="07D1B90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3B3B15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A7E744" w14:textId="77777777" w:rsidR="00D4630C" w:rsidRPr="00070ADE" w:rsidRDefault="00D4630C"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феврале 1944 года ОКБ-172 и завод №100 начали разрабатывать технический проект БЛ-13, первые наработки по теме появились в июле (17209).</w:t>
      </w:r>
    </w:p>
    <w:p w14:paraId="17601B89" w14:textId="77777777" w:rsidR="00D4630C" w:rsidRPr="00070ADE" w:rsidRDefault="00D4630C" w:rsidP="00B56F90">
      <w:pPr>
        <w:pStyle w:val="ae"/>
        <w:shd w:val="clear" w:color="auto" w:fill="FFFFFF"/>
        <w:spacing w:before="0" w:after="0"/>
        <w:jc w:val="both"/>
        <w:rPr>
          <w:color w:val="000000" w:themeColor="text1"/>
          <w:sz w:val="16"/>
          <w:szCs w:val="16"/>
        </w:rPr>
      </w:pPr>
    </w:p>
    <w:p w14:paraId="5D0D05C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феврале 1944 г. на заводе № 562 было закончено строительство испытательной базы, что резко сократило время, затрачиваемое на приемные стендовые испытания зарядов, проводившиеся ранее на стендах других предприятий. Первое испытание ракетных зарядов на своей базе было проведено 20 октября 1944 г. </w:t>
      </w:r>
    </w:p>
    <w:p w14:paraId="57A26C5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мае 1944 г. вступила в строй центральная заводская лаборатория. Результаты проводимых ею анализов приобрели с этого времени официальный характер и начали вноситься в формуляры на выпускаемую продукцию. До мая 1944 г. все необходимые анализы порохов проводились Московским пороховым институтом, что неизбежно удлиняло сроки сдачи готовой, продукции. </w:t>
      </w:r>
    </w:p>
    <w:p w14:paraId="0D2249E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результате выпуск порохов в 1944 г. почти в два раза превысил выпуск в 1943 г. В 1945 г. планы производства ракетных зарядов на заводе 512 были уменьшены. Причиной этого явилось полное развертывание в 1944 г. производства ракетных зарядов на ряде мощных пороховых заводов на востоке страны. </w:t>
      </w:r>
    </w:p>
    <w:p w14:paraId="7779DAA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за годы Великой Отечественной войны завод 512 изготовил около 550 тыс. ракетных зарядов, в том числе для снарядов M-13 около 217 тыс. и для M-13 около 308 тыс. [</w:t>
      </w:r>
      <w:r w:rsidRPr="00070ADE">
        <w:rPr>
          <w:rFonts w:ascii="Times New Roman" w:hAnsi="Times New Roman"/>
          <w:iCs/>
          <w:color w:val="000000" w:themeColor="text1"/>
          <w:sz w:val="16"/>
          <w:szCs w:val="16"/>
        </w:rPr>
        <w:t>Так в тексте. вероятно имелось в виду М-13 и М-8 — im</w:t>
      </w:r>
      <w:r w:rsidRPr="00070ADE">
        <w:rPr>
          <w:rFonts w:ascii="Times New Roman" w:hAnsi="Times New Roman"/>
          <w:color w:val="000000" w:themeColor="text1"/>
          <w:sz w:val="16"/>
          <w:szCs w:val="16"/>
        </w:rPr>
        <w:t>]. Все поставленные заряды отличались исключительно высоким качеством. Завод не имел ни одной рекламации от войск за весь период Великой Отечественной войны (11209).</w:t>
      </w:r>
    </w:p>
    <w:p w14:paraId="18C68AF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1945 г. после окончания Великой Отечественной войны завод 512 как валовый завод по выпуску порохов и зарядов из них прекратил свое существование и был преобразован в научно-исследовательский институт. [</w:t>
      </w:r>
      <w:r w:rsidRPr="00070ADE">
        <w:rPr>
          <w:rFonts w:ascii="Times New Roman" w:hAnsi="Times New Roman"/>
          <w:iCs/>
          <w:color w:val="000000" w:themeColor="text1"/>
          <w:sz w:val="16"/>
          <w:szCs w:val="16"/>
        </w:rPr>
        <w:t>НИИ-125, г.Дзержинский Московской обл., МАП (1947), МОМ (1965), позднее Научно-исследовательский химико-технологический институт</w:t>
      </w:r>
      <w:r w:rsidRPr="00070ADE">
        <w:rPr>
          <w:rFonts w:ascii="Times New Roman" w:hAnsi="Times New Roman"/>
          <w:color w:val="000000" w:themeColor="text1"/>
          <w:sz w:val="16"/>
          <w:szCs w:val="16"/>
        </w:rPr>
        <w:t>] (11209).</w:t>
      </w:r>
    </w:p>
    <w:p w14:paraId="13CF070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84D0F0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бронебойно-трассирующий подкалиберный снаряд БР-365П к 85-мм пушке, разработанный НИИ-24, был принят на вооружение РККА Специализированные заводы Наркомата боеприпасов быстро осво</w:t>
      </w:r>
      <w:r w:rsidRPr="00070ADE">
        <w:rPr>
          <w:rFonts w:ascii="Times New Roman" w:hAnsi="Times New Roman"/>
          <w:color w:val="000000" w:themeColor="text1"/>
          <w:sz w:val="16"/>
          <w:szCs w:val="16"/>
        </w:rPr>
        <w:softHyphen/>
        <w:t>или массовое производство подкалиберных бронебойных снарядов. До конца войны было выпущено около 3,4 млн 45-мм подкалиберных сна</w:t>
      </w:r>
      <w:r w:rsidRPr="00070ADE">
        <w:rPr>
          <w:rFonts w:ascii="Times New Roman" w:hAnsi="Times New Roman"/>
          <w:color w:val="000000" w:themeColor="text1"/>
          <w:sz w:val="16"/>
          <w:szCs w:val="16"/>
        </w:rPr>
        <w:softHyphen/>
        <w:t>рядов, около 0,5 млн - 57-мм, более 1 млн - 76-мм, 95 тыс. - 85-мм сна</w:t>
      </w:r>
      <w:r w:rsidRPr="00070ADE">
        <w:rPr>
          <w:rFonts w:ascii="Times New Roman" w:hAnsi="Times New Roman"/>
          <w:color w:val="000000" w:themeColor="text1"/>
          <w:sz w:val="16"/>
          <w:szCs w:val="16"/>
        </w:rPr>
        <w:softHyphen/>
        <w:t>рядов. Сердечники из твердых сплавов для подкалиберных снарядов в те</w:t>
      </w:r>
      <w:r w:rsidRPr="00070ADE">
        <w:rPr>
          <w:rFonts w:ascii="Times New Roman" w:hAnsi="Times New Roman"/>
          <w:color w:val="000000" w:themeColor="text1"/>
          <w:sz w:val="16"/>
          <w:szCs w:val="16"/>
        </w:rPr>
        <w:softHyphen/>
        <w:t>чение всей войны изготавливали на Московском комбинате твердых сплавов (директор А.И. Андрюшин) и Кировоградском заводе твердых сплавов на Урале (директор З.Б. Друтман). Бронебойный сердечник являлся основной деталью снаряда; он спе</w:t>
      </w:r>
      <w:r w:rsidRPr="00070ADE">
        <w:rPr>
          <w:rFonts w:ascii="Times New Roman" w:hAnsi="Times New Roman"/>
          <w:color w:val="000000" w:themeColor="text1"/>
          <w:sz w:val="16"/>
          <w:szCs w:val="16"/>
        </w:rPr>
        <w:softHyphen/>
        <w:t>кался из карбида вольфрама с небольшой примесью никеля, кобальта и других металлов. Материал сердечника обладал очень высокой удель</w:t>
      </w:r>
      <w:r w:rsidRPr="00070ADE">
        <w:rPr>
          <w:rFonts w:ascii="Times New Roman" w:hAnsi="Times New Roman"/>
          <w:color w:val="000000" w:themeColor="text1"/>
          <w:sz w:val="16"/>
          <w:szCs w:val="16"/>
        </w:rPr>
        <w:softHyphen/>
        <w:t>ной массой и всеми свойствами сверхтвердых сплавов. Сам сердечник имел остроголовую цилиндро-оживальную форму. Попытки заменить сердечники из карбида вольфрама стальными положительных результатов не дали, так как переход к стали с любыми механическими свойствами и любого состава был связан с потерей твердости и массы сердечника. Для уменьшения расхода вольфрама немцы изготавливали составные сердечники, имевшие верхнюю часть из сверхтвердого сплава и нижнюю - из стали. Бронебойное действие снарядов с составными сердечниками было ниже бронебойного дейст</w:t>
      </w:r>
      <w:r w:rsidRPr="00070ADE">
        <w:rPr>
          <w:rFonts w:ascii="Times New Roman" w:hAnsi="Times New Roman"/>
          <w:color w:val="000000" w:themeColor="text1"/>
          <w:sz w:val="16"/>
          <w:szCs w:val="16"/>
        </w:rPr>
        <w:softHyphen/>
        <w:t>вия снарядов с сердечниками, изготовленными из твердого сплава. Баллистический наконечник изготавливался из легкого и мягкого материала — пластмассы, электрона, алюминия - или штамповался из листового железа и служил только для удержания сердечника в поддо</w:t>
      </w:r>
      <w:r w:rsidRPr="00070ADE">
        <w:rPr>
          <w:rFonts w:ascii="Times New Roman" w:hAnsi="Times New Roman"/>
          <w:color w:val="000000" w:themeColor="text1"/>
          <w:sz w:val="16"/>
          <w:szCs w:val="16"/>
        </w:rPr>
        <w:softHyphen/>
        <w:t>не и придания головной части снаряда удобообтекаемой формы (10703).</w:t>
      </w:r>
    </w:p>
    <w:p w14:paraId="0F45581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Данные о пробитии броневой защиты немецких танков и САУ (1944 г.)</w:t>
      </w:r>
    </w:p>
    <w:tbl>
      <w:tblPr>
        <w:tblW w:w="0" w:type="auto"/>
        <w:tblInd w:w="40" w:type="dxa"/>
        <w:tblLayout w:type="fixed"/>
        <w:tblCellMar>
          <w:left w:w="40" w:type="dxa"/>
          <w:right w:w="40" w:type="dxa"/>
        </w:tblCellMar>
        <w:tblLook w:val="0000" w:firstRow="0" w:lastRow="0" w:firstColumn="0" w:lastColumn="0" w:noHBand="0" w:noVBand="0"/>
      </w:tblPr>
      <w:tblGrid>
        <w:gridCol w:w="1027"/>
        <w:gridCol w:w="2141"/>
        <w:gridCol w:w="7555"/>
      </w:tblGrid>
      <w:tr w:rsidR="004D4663" w:rsidRPr="00070ADE" w14:paraId="0A739C73" w14:textId="77777777">
        <w:trPr>
          <w:trHeight w:val="394"/>
        </w:trPr>
        <w:tc>
          <w:tcPr>
            <w:tcW w:w="1027" w:type="dxa"/>
            <w:tcBorders>
              <w:top w:val="single" w:sz="6" w:space="0" w:color="auto"/>
              <w:left w:val="single" w:sz="6" w:space="0" w:color="auto"/>
              <w:bottom w:val="single" w:sz="6" w:space="0" w:color="auto"/>
              <w:right w:val="single" w:sz="6" w:space="0" w:color="auto"/>
            </w:tcBorders>
          </w:tcPr>
          <w:p w14:paraId="7250D26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Калибр БПС, мм</w:t>
            </w:r>
          </w:p>
        </w:tc>
        <w:tc>
          <w:tcPr>
            <w:tcW w:w="2141" w:type="dxa"/>
            <w:tcBorders>
              <w:top w:val="single" w:sz="6" w:space="0" w:color="auto"/>
              <w:left w:val="single" w:sz="6" w:space="0" w:color="auto"/>
              <w:bottom w:val="single" w:sz="6" w:space="0" w:color="auto"/>
              <w:right w:val="single" w:sz="6" w:space="0" w:color="auto"/>
            </w:tcBorders>
          </w:tcPr>
          <w:p w14:paraId="21A3A84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эффективной стрельбы, м</w:t>
            </w:r>
          </w:p>
        </w:tc>
        <w:tc>
          <w:tcPr>
            <w:tcW w:w="7555" w:type="dxa"/>
            <w:tcBorders>
              <w:top w:val="single" w:sz="6" w:space="0" w:color="auto"/>
              <w:left w:val="single" w:sz="6" w:space="0" w:color="auto"/>
              <w:bottom w:val="single" w:sz="6" w:space="0" w:color="auto"/>
              <w:right w:val="single" w:sz="6" w:space="0" w:color="auto"/>
            </w:tcBorders>
          </w:tcPr>
          <w:p w14:paraId="1E7BB2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Пробиваемая броневая защита</w:t>
            </w:r>
          </w:p>
        </w:tc>
      </w:tr>
      <w:tr w:rsidR="004D4663" w:rsidRPr="00070ADE" w14:paraId="50096838" w14:textId="77777777">
        <w:trPr>
          <w:trHeight w:val="192"/>
        </w:trPr>
        <w:tc>
          <w:tcPr>
            <w:tcW w:w="1027" w:type="dxa"/>
            <w:tcBorders>
              <w:top w:val="single" w:sz="6" w:space="0" w:color="auto"/>
              <w:left w:val="single" w:sz="6" w:space="0" w:color="auto"/>
              <w:bottom w:val="nil"/>
              <w:right w:val="single" w:sz="6" w:space="0" w:color="auto"/>
            </w:tcBorders>
          </w:tcPr>
          <w:p w14:paraId="104599E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c>
          <w:tcPr>
            <w:tcW w:w="2141" w:type="dxa"/>
            <w:tcBorders>
              <w:top w:val="single" w:sz="6" w:space="0" w:color="auto"/>
              <w:left w:val="single" w:sz="6" w:space="0" w:color="auto"/>
              <w:bottom w:val="single" w:sz="6" w:space="0" w:color="auto"/>
              <w:right w:val="single" w:sz="6" w:space="0" w:color="auto"/>
            </w:tcBorders>
          </w:tcPr>
          <w:p w14:paraId="592E209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300</w:t>
            </w:r>
          </w:p>
        </w:tc>
        <w:tc>
          <w:tcPr>
            <w:tcW w:w="7555" w:type="dxa"/>
            <w:tcBorders>
              <w:top w:val="single" w:sz="6" w:space="0" w:color="auto"/>
              <w:left w:val="single" w:sz="6" w:space="0" w:color="auto"/>
              <w:bottom w:val="single" w:sz="6" w:space="0" w:color="auto"/>
              <w:right w:val="single" w:sz="6" w:space="0" w:color="auto"/>
            </w:tcBorders>
          </w:tcPr>
          <w:p w14:paraId="59A5FD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Лобовая и бортовая броневая защита танков Т-Ш и Т-ГУ</w:t>
            </w:r>
          </w:p>
        </w:tc>
      </w:tr>
      <w:tr w:rsidR="004D4663" w:rsidRPr="00070ADE" w14:paraId="6CF4D032" w14:textId="77777777">
        <w:trPr>
          <w:trHeight w:val="192"/>
        </w:trPr>
        <w:tc>
          <w:tcPr>
            <w:tcW w:w="1027" w:type="dxa"/>
            <w:tcBorders>
              <w:top w:val="nil"/>
              <w:left w:val="single" w:sz="6" w:space="0" w:color="auto"/>
              <w:bottom w:val="single" w:sz="6" w:space="0" w:color="auto"/>
              <w:right w:val="single" w:sz="6" w:space="0" w:color="auto"/>
            </w:tcBorders>
          </w:tcPr>
          <w:p w14:paraId="13F0112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141" w:type="dxa"/>
            <w:tcBorders>
              <w:top w:val="single" w:sz="6" w:space="0" w:color="auto"/>
              <w:left w:val="single" w:sz="6" w:space="0" w:color="auto"/>
              <w:bottom w:val="single" w:sz="6" w:space="0" w:color="auto"/>
              <w:right w:val="single" w:sz="6" w:space="0" w:color="auto"/>
            </w:tcBorders>
          </w:tcPr>
          <w:p w14:paraId="7BCDB7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доЗОО</w:t>
            </w:r>
          </w:p>
        </w:tc>
        <w:tc>
          <w:tcPr>
            <w:tcW w:w="7555" w:type="dxa"/>
            <w:tcBorders>
              <w:top w:val="single" w:sz="6" w:space="0" w:color="auto"/>
              <w:left w:val="single" w:sz="6" w:space="0" w:color="auto"/>
              <w:bottom w:val="single" w:sz="6" w:space="0" w:color="auto"/>
              <w:right w:val="single" w:sz="6" w:space="0" w:color="auto"/>
            </w:tcBorders>
          </w:tcPr>
          <w:p w14:paraId="1E137E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Бортовая броневая защита танков Т-У "Пантера", Т- VI "Тигр I" и САУ "Фердинанд" (по нормали)</w:t>
            </w:r>
          </w:p>
        </w:tc>
      </w:tr>
      <w:tr w:rsidR="004D4663" w:rsidRPr="00070ADE" w14:paraId="5F277A55" w14:textId="77777777">
        <w:trPr>
          <w:trHeight w:val="192"/>
        </w:trPr>
        <w:tc>
          <w:tcPr>
            <w:tcW w:w="1027" w:type="dxa"/>
            <w:tcBorders>
              <w:top w:val="single" w:sz="6" w:space="0" w:color="auto"/>
              <w:left w:val="single" w:sz="6" w:space="0" w:color="auto"/>
              <w:bottom w:val="nil"/>
              <w:right w:val="single" w:sz="6" w:space="0" w:color="auto"/>
            </w:tcBorders>
          </w:tcPr>
          <w:p w14:paraId="06E3F7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76,2</w:t>
            </w:r>
          </w:p>
        </w:tc>
        <w:tc>
          <w:tcPr>
            <w:tcW w:w="2141" w:type="dxa"/>
            <w:tcBorders>
              <w:top w:val="single" w:sz="6" w:space="0" w:color="auto"/>
              <w:left w:val="single" w:sz="6" w:space="0" w:color="auto"/>
              <w:bottom w:val="single" w:sz="6" w:space="0" w:color="auto"/>
              <w:right w:val="single" w:sz="6" w:space="0" w:color="auto"/>
            </w:tcBorders>
          </w:tcPr>
          <w:p w14:paraId="72A6C4E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400</w:t>
            </w:r>
          </w:p>
        </w:tc>
        <w:tc>
          <w:tcPr>
            <w:tcW w:w="7555" w:type="dxa"/>
            <w:tcBorders>
              <w:top w:val="single" w:sz="6" w:space="0" w:color="auto"/>
              <w:left w:val="single" w:sz="6" w:space="0" w:color="auto"/>
              <w:bottom w:val="single" w:sz="6" w:space="0" w:color="auto"/>
              <w:right w:val="single" w:sz="6" w:space="0" w:color="auto"/>
            </w:tcBorders>
          </w:tcPr>
          <w:p w14:paraId="02DC795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Бортовая броневая защита танков Т-У "Пантера", Т- VI "Тигр I" и САУ "Фердинанд" (по нормали)</w:t>
            </w:r>
          </w:p>
        </w:tc>
      </w:tr>
      <w:tr w:rsidR="004D4663" w:rsidRPr="00070ADE" w14:paraId="088236BF" w14:textId="77777777">
        <w:trPr>
          <w:trHeight w:val="230"/>
        </w:trPr>
        <w:tc>
          <w:tcPr>
            <w:tcW w:w="1027" w:type="dxa"/>
            <w:tcBorders>
              <w:top w:val="nil"/>
              <w:left w:val="single" w:sz="6" w:space="0" w:color="auto"/>
              <w:bottom w:val="single" w:sz="6" w:space="0" w:color="auto"/>
              <w:right w:val="single" w:sz="6" w:space="0" w:color="auto"/>
            </w:tcBorders>
          </w:tcPr>
          <w:p w14:paraId="088D018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141" w:type="dxa"/>
            <w:tcBorders>
              <w:top w:val="single" w:sz="6" w:space="0" w:color="auto"/>
              <w:left w:val="single" w:sz="6" w:space="0" w:color="auto"/>
              <w:bottom w:val="single" w:sz="6" w:space="0" w:color="auto"/>
              <w:right w:val="single" w:sz="6" w:space="0" w:color="auto"/>
            </w:tcBorders>
          </w:tcPr>
          <w:p w14:paraId="248038B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200</w:t>
            </w:r>
          </w:p>
        </w:tc>
        <w:tc>
          <w:tcPr>
            <w:tcW w:w="7555" w:type="dxa"/>
            <w:tcBorders>
              <w:top w:val="single" w:sz="6" w:space="0" w:color="auto"/>
              <w:left w:val="single" w:sz="6" w:space="0" w:color="auto"/>
              <w:bottom w:val="single" w:sz="6" w:space="0" w:color="auto"/>
              <w:right w:val="single" w:sz="6" w:space="0" w:color="auto"/>
            </w:tcBorders>
          </w:tcPr>
          <w:p w14:paraId="660C7F7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Лобовая и бортовая броневая защита танков Т-У "Пантера" и Т- VI "Тигр I"</w:t>
            </w:r>
          </w:p>
        </w:tc>
      </w:tr>
    </w:tbl>
    <w:p w14:paraId="067AFA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(10703).</w:t>
      </w:r>
    </w:p>
    <w:p w14:paraId="36E14FA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2E04291B"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года на заводе № 9 был изготовлен опытный образец орудия Д-10с, параллельно изготовили и танковую версию системы, Д-10Т.</w:t>
      </w:r>
    </w:p>
    <w:p w14:paraId="70A9CC12"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Пока на заводе №9 работали над орудием, КБ УЗТМ разрабатывало "повозку" для Д-10с. Как уже говорилось выше, базой послужил модернизированный вариант СУ-85. В отличие от предшественницы, СУ-100 получила увеличенную броневую защиту лобовой части рубки. Ее толщина выросла с 45 до 75 мм, это должно было "снимать" бронебойные снаряды 7,5 cm Pak 40 и ее танковых/самоходных аналогов. Бронировки орудийной установки имели ту же толщину, в результате суммарная толщина достигала до 150 мм. С ВЛД убрали выступ под люк для панорамного прицела, что улучшило ситуацию со стойкостью брони. Сам люк получил перископический смотровой прибор МК-IV. В связи с более крупными унитарами боекомплект снизился до 33 патронов. Боевая масса выросла, но не так значительно, как в случае с С-34 - до 30,96 тонн. (24928).</w:t>
      </w:r>
    </w:p>
    <w:p w14:paraId="3D06B185" w14:textId="77777777" w:rsidR="0065195F" w:rsidRPr="00C94B78" w:rsidRDefault="0065195F" w:rsidP="00B56F90">
      <w:pPr>
        <w:spacing w:after="0" w:line="240" w:lineRule="auto"/>
        <w:jc w:val="both"/>
        <w:rPr>
          <w:rFonts w:ascii="Times New Roman" w:hAnsi="Times New Roman"/>
          <w:color w:val="0070C0"/>
          <w:sz w:val="16"/>
          <w:szCs w:val="16"/>
        </w:rPr>
      </w:pPr>
    </w:p>
    <w:p w14:paraId="44D51335"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года первые 46 орудий Д-25Т с клиновыми затворами были сданы заводом №9, тогда же их стали ставить в тяжелые танки ИС-2. Первые орудия с клиновыми затворами прибыли в Челябинск 21 февраля, именно они ставились на большую половину танков февральского выпуска. Пори этом ЧКЗ столкнулся рядом недочетов по системе. Проблемы имелись с лапками экстрактора, стопором ограждения орудия, планка отката располагалась неудобно, требовалось сместить боковой уровень на щитке, всего разных нареканий набралось 10 пунктов (25541).</w:t>
      </w:r>
    </w:p>
    <w:p w14:paraId="3D4EB491" w14:textId="77777777" w:rsidR="0065195F" w:rsidRPr="00C94B78" w:rsidRDefault="0065195F" w:rsidP="00B56F90">
      <w:pPr>
        <w:spacing w:after="0" w:line="240" w:lineRule="auto"/>
        <w:jc w:val="both"/>
        <w:rPr>
          <w:rFonts w:ascii="Times New Roman" w:hAnsi="Times New Roman"/>
          <w:color w:val="0070C0"/>
          <w:sz w:val="16"/>
          <w:szCs w:val="16"/>
        </w:rPr>
      </w:pPr>
    </w:p>
    <w:p w14:paraId="7CB9F19D"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феврале 1944 г. после освобождения Луги деятельность полигона была возобновлена. Продолжалась она и в послевоенные годы. Роль полигона в развитии отечественной артиллерии возрастала. В 1952 г. он был переименован в Центральный учебно-опытный артиллерийский полигон и передан в непосредственное подчинение командующего артиллерией Советской Армии.</w:t>
      </w:r>
    </w:p>
    <w:p w14:paraId="04771178"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Спустя десять лет на базе Центрального учебно-опытного артиллерийского полигона создается Общевойсковой полигон центрального подчинения, однако уже в 1969 г. все возвращается на круги своя: общевойсковой полигон переименовывается в артиллерийский с изменениями в структурном штате. И только южный участок полигона (учебный центр Струги Красные) передается в Ленинградский военный округ.</w:t>
      </w:r>
    </w:p>
    <w:p w14:paraId="66E5DEC4"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33-й артиллерийский полигон под Лугой и сегодня впечатляет размерами (45 на 30 км, общая площадь 96.006 гектаров). Он по-прежнему вносит большой вклад в совершенствование мастерства артиллеристов и развитие артиллерии как рода войск в целом.</w:t>
      </w:r>
    </w:p>
    <w:p w14:paraId="1B9FEB8F"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территория полигона используемая военными сократилась. Формально, он имеет вышеупомянутые рамки. Но фактически стрельбы проводятся на значительно меньшей территории. Въезд на большую часть этой территории доступен всем желающим. Там даже проводятся соревнования джиперов (12296).</w:t>
      </w:r>
    </w:p>
    <w:p w14:paraId="611C8512" w14:textId="77777777" w:rsidR="00673CAB" w:rsidRPr="00070ADE" w:rsidRDefault="00673CAB" w:rsidP="00B56F90">
      <w:pPr>
        <w:spacing w:after="0" w:line="240" w:lineRule="auto"/>
        <w:jc w:val="both"/>
        <w:rPr>
          <w:rFonts w:ascii="Times New Roman" w:hAnsi="Times New Roman"/>
          <w:color w:val="000000" w:themeColor="text1"/>
          <w:sz w:val="16"/>
          <w:szCs w:val="16"/>
        </w:rPr>
      </w:pPr>
    </w:p>
    <w:p w14:paraId="1E29DF41" w14:textId="02A8501F" w:rsidR="00C5076B" w:rsidRPr="00070ADE" w:rsidRDefault="00C507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февраля 1944 года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запустили в серию Д-25Т и ставилось на тяжёлый танк ИС-2. Логичным решением виделось создание самоходной версии орудия, но не всё было так просто. Дело в том, что Д-25 и А-19 – далеко не одно и то же. От А-19 танковое орудие, разработанное КБ завода №9, унаследовало только баллистику и затвор, а при переходе на клиновой затвор осталась только баллистика. В результате получилось два варианта: либо адаптировать под трубу А-19 клиновой затвор, разработанный КБ завода №9, либо адаптировать саму Д-25 под установку в рубку ИСУ-122. От первого варианта отказались довольно быстро, поскольку делать сразу два варианта А-19 завод №172 был не в состоянии. Таким образом, в марте 1944 года остался единственный вариант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адаптация танкового орудия под самоходную установку (18335).</w:t>
      </w:r>
    </w:p>
    <w:p w14:paraId="476680AD" w14:textId="77777777" w:rsidR="00C5076B" w:rsidRPr="00070ADE" w:rsidRDefault="00C5076B" w:rsidP="00B56F90">
      <w:pPr>
        <w:spacing w:after="0" w:line="240" w:lineRule="auto"/>
        <w:jc w:val="both"/>
        <w:rPr>
          <w:rFonts w:ascii="Times New Roman" w:hAnsi="Times New Roman"/>
          <w:color w:val="000000" w:themeColor="text1"/>
          <w:sz w:val="16"/>
          <w:szCs w:val="16"/>
        </w:rPr>
      </w:pPr>
    </w:p>
    <w:p w14:paraId="71EDB285"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опытный образец гаубицы Б-4 на шасси КВ-1с – проекта С-51 ЦАКБ Грабина вышел на заводские испытания, которые проводились по сокращенной программе. Основной этап испытаний прошел в марте-апреле 1944 года на Гороховецком артиллерийском полигоне. В ходе этих тестов прототип прошел 115 км и произвел 209 выстрелов. Результаты оказались неутешительными и выявили фатальные недостатки конструкции (25600).</w:t>
      </w:r>
    </w:p>
    <w:p w14:paraId="46E68171" w14:textId="77777777" w:rsidR="0065195F" w:rsidRPr="00C94B78" w:rsidRDefault="0065195F" w:rsidP="00B56F90">
      <w:pPr>
        <w:spacing w:after="0" w:line="240" w:lineRule="auto"/>
        <w:jc w:val="both"/>
        <w:rPr>
          <w:rFonts w:ascii="Times New Roman" w:hAnsi="Times New Roman"/>
          <w:color w:val="0070C0"/>
          <w:sz w:val="16"/>
          <w:szCs w:val="16"/>
        </w:rPr>
      </w:pPr>
    </w:p>
    <w:p w14:paraId="21B52278" w14:textId="77777777" w:rsidR="0065195F" w:rsidRPr="00C94B78" w:rsidRDefault="0065195F"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В феврале 1944 г. на Научно-ис</w:t>
      </w:r>
      <w:r w:rsidRPr="00C94B78">
        <w:rPr>
          <w:rStyle w:val="aff1"/>
          <w:rFonts w:ascii="Times New Roman" w:hAnsi="Times New Roman" w:cs="Times New Roman"/>
          <w:color w:val="0070C0"/>
          <w:spacing w:val="0"/>
          <w:sz w:val="16"/>
          <w:szCs w:val="16"/>
        </w:rPr>
        <w:softHyphen/>
        <w:t>следовательском полигоне Сибирского военного округа с удовлетворительными результатами прошли полигонные испытания КПВ-44.</w:t>
      </w:r>
    </w:p>
    <w:p w14:paraId="3CF81AC1"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инициативном порядке в отделе главного конструктора завода № 2 (г. Ковров) в 1943 г. в началось проектирова</w:t>
      </w:r>
      <w:r w:rsidRPr="00C94B78">
        <w:rPr>
          <w:rStyle w:val="aff1"/>
          <w:rFonts w:ascii="Times New Roman" w:hAnsi="Times New Roman" w:cs="Times New Roman"/>
          <w:color w:val="0070C0"/>
          <w:spacing w:val="0"/>
          <w:sz w:val="16"/>
          <w:szCs w:val="16"/>
        </w:rPr>
        <w:softHyphen/>
        <w:t>ние 14,5-мм пулемета на базе 20-мм малосерийной авиаци</w:t>
      </w:r>
      <w:r w:rsidRPr="00C94B78">
        <w:rPr>
          <w:rStyle w:val="aff1"/>
          <w:rFonts w:ascii="Times New Roman" w:hAnsi="Times New Roman" w:cs="Times New Roman"/>
          <w:color w:val="0070C0"/>
          <w:spacing w:val="0"/>
          <w:sz w:val="16"/>
          <w:szCs w:val="16"/>
        </w:rPr>
        <w:softHyphen/>
        <w:t>онной пушки В-20. Пулемет создавался под патрон 14,5-мм противотанкового ружья. Ведущим конструктором по пуле</w:t>
      </w:r>
      <w:r w:rsidRPr="00C94B78">
        <w:rPr>
          <w:rStyle w:val="aff1"/>
          <w:rFonts w:ascii="Times New Roman" w:hAnsi="Times New Roman" w:cs="Times New Roman"/>
          <w:color w:val="0070C0"/>
          <w:spacing w:val="0"/>
          <w:sz w:val="16"/>
          <w:szCs w:val="16"/>
        </w:rPr>
        <w:softHyphen/>
        <w:t>мету был СВ. Владимиров. Через 6 месяцев после начала проектирования был изготовлен первый образец 14,5-мм пулемета, получившего индекс КПВ-44 (крупнокалибер</w:t>
      </w:r>
      <w:r w:rsidRPr="00C94B78">
        <w:rPr>
          <w:rStyle w:val="aff1"/>
          <w:rFonts w:ascii="Times New Roman" w:hAnsi="Times New Roman" w:cs="Times New Roman"/>
          <w:color w:val="0070C0"/>
          <w:spacing w:val="0"/>
          <w:sz w:val="16"/>
          <w:szCs w:val="16"/>
        </w:rPr>
        <w:softHyphen/>
        <w:t>ный пулемет Владимирова обр. 1944 г.). Автоматика КПВ работала за счет энергии отдачи при коротком ходе ствола. Питание пулемета ленточное, лента металлическая звеньевая на 40 патронов. Ленты укладывались в металлическую патронную коробку. Вес тела КПВ-44 составлял 38 кг, длина 1930 мм, темп стрельбы 500—550 выстр/мин.</w:t>
      </w:r>
    </w:p>
    <w:p w14:paraId="15272AB1"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ап</w:t>
      </w:r>
      <w:r w:rsidRPr="00C94B78">
        <w:rPr>
          <w:rStyle w:val="aff1"/>
          <w:rFonts w:ascii="Times New Roman" w:hAnsi="Times New Roman" w:cs="Times New Roman"/>
          <w:color w:val="0070C0"/>
          <w:spacing w:val="0"/>
          <w:sz w:val="16"/>
          <w:szCs w:val="16"/>
        </w:rPr>
        <w:softHyphen/>
        <w:t>реле 1944 г. было решено изготовить серию из 50 пулеметов и одну зенитную установку для войсковых испытаний (25437).</w:t>
      </w:r>
    </w:p>
    <w:p w14:paraId="1A9D9435" w14:textId="77777777" w:rsidR="0065195F" w:rsidRPr="00C94B78" w:rsidRDefault="0065195F" w:rsidP="00B56F90">
      <w:pPr>
        <w:spacing w:after="0" w:line="240" w:lineRule="auto"/>
        <w:jc w:val="both"/>
        <w:rPr>
          <w:rFonts w:ascii="Times New Roman" w:hAnsi="Times New Roman"/>
          <w:color w:val="0070C0"/>
          <w:sz w:val="16"/>
          <w:szCs w:val="16"/>
        </w:rPr>
      </w:pPr>
    </w:p>
    <w:p w14:paraId="4263524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года ЦНИИ-48 получил задание на проведение НИР по теме "Исследование бронестойкости корпуса тяжелого танка ИС". Проведенная работа показала, что при существующей форме лобовой части корпуса он будет гарантирован от пробития немецкими 75 и 88-мм снарядами лишь в случае применения брони толщиной не менее 145-150-мм. (то есть на 20-30-мм больше существующей)..</w:t>
      </w:r>
    </w:p>
    <w:p w14:paraId="77592B9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рекомендации ЦНИИ-48 были изменены режимы закалки, а также конструкция лобовой части корпуса ИС-2. Новый корпус, с так называемым "спрямленным" носом, сохранил прежнюю толщину брони. Из лобового листа изъяли люк-пробку механика-водителя, существенно снижавшую его прочность. Сам лист расположили под углом 60° к вертикали, что обеспечило при курсовых углах обстрела +30° непробитие его из 88-мм немецкой танковой пушки KwK 36 даже при стрельбе в упор..</w:t>
      </w:r>
    </w:p>
    <w:p w14:paraId="32E91A1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Уязвимым местом оставался нижний лобовой лист, имевший угол наклона 30° к вертикали Для придания ему большего угла наклона требовалось существенное изменение конструкции отделения управления Однако, учитывая, что вероятность попадания в нижний лобовой лист меньше, чем в другие части корпуса, его решили не трогать..</w:t>
      </w:r>
    </w:p>
    <w:p w14:paraId="339BAC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 касается башни, то существенно усилить ее бронезащиту не удалось. Спроектированная под 85-мм пушку, она была статически полностью уравновешена. После установки 122-мм орудия момент неуравновешенности достигал 1000 кг/м. Кроме того, техническое задание предполагало увеличение лобовой брони до 130 мм, что привело бы к еще большей неуравновешенности и потребовало бы внедрения нового механизма поворота. Поскольку осуществить эти мероприятия без радикального изменения конструкции башни было нельзя, от них пришлось отказаться..</w:t>
      </w:r>
    </w:p>
    <w:p w14:paraId="76343A9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Вместе с тем в процессе производства облик башни существенно изменился. Башни танков первой серии выпуска 1943 года имели узкую амбразуру. После установки пушки Д-25Т, несмотря на то, что ее люлька была такой же, как и у Д-5Т, пользоваться телескопическим прицелом стало очень неудобно. (3862).</w:t>
      </w:r>
    </w:p>
    <w:p w14:paraId="4CB8287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551070"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года Центральный научно</w:t>
      </w:r>
      <w:r w:rsidRPr="00C94B78">
        <w:rPr>
          <w:rFonts w:ascii="Times New Roman" w:hAnsi="Times New Roman"/>
          <w:color w:val="0070C0"/>
          <w:sz w:val="16"/>
          <w:szCs w:val="16"/>
        </w:rPr>
        <w:softHyphen/>
        <w:t>исследовательский институт №48 (ЦНИИ- 48) получил задание на проведение научно</w:t>
      </w:r>
      <w:r w:rsidRPr="00C94B78">
        <w:rPr>
          <w:rFonts w:ascii="Times New Roman" w:hAnsi="Times New Roman"/>
          <w:color w:val="0070C0"/>
          <w:sz w:val="16"/>
          <w:szCs w:val="16"/>
        </w:rPr>
        <w:softHyphen/>
        <w:t>исследовательской работы по теме «Исследо</w:t>
      </w:r>
      <w:r w:rsidRPr="00C94B78">
        <w:rPr>
          <w:rFonts w:ascii="Times New Roman" w:hAnsi="Times New Roman"/>
          <w:color w:val="0070C0"/>
          <w:sz w:val="16"/>
          <w:szCs w:val="16"/>
        </w:rPr>
        <w:softHyphen/>
        <w:t>вание бронестойкости корпуса тяжелого танка ИС». Проведенная работа показала, что при су</w:t>
      </w:r>
      <w:r w:rsidRPr="00C94B78">
        <w:rPr>
          <w:rFonts w:ascii="Times New Roman" w:hAnsi="Times New Roman"/>
          <w:color w:val="0070C0"/>
          <w:sz w:val="16"/>
          <w:szCs w:val="16"/>
        </w:rPr>
        <w:softHyphen/>
        <w:t>ществующей форме лобовой части корпуса он будет гарантирован от пробития немецкими 75- и 88-мм снарядами лишь в случае применения бро</w:t>
      </w:r>
      <w:r w:rsidRPr="00C94B78">
        <w:rPr>
          <w:rFonts w:ascii="Times New Roman" w:hAnsi="Times New Roman"/>
          <w:color w:val="0070C0"/>
          <w:sz w:val="16"/>
          <w:szCs w:val="16"/>
        </w:rPr>
        <w:softHyphen/>
        <w:t>ни толщиной не менее 145 - 150 мм (то есть на 20 - 30 мм больше штатной). По рекомендации ЦНИИ-48 были изменены режимы закалки, а также конструкция лобовой части корпуса.</w:t>
      </w:r>
    </w:p>
    <w:p w14:paraId="28645E5F"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Новый корпус ИС-2, с так называемым «спрям</w:t>
      </w:r>
      <w:r w:rsidRPr="00C94B78">
        <w:rPr>
          <w:rFonts w:ascii="Times New Roman" w:hAnsi="Times New Roman"/>
          <w:color w:val="0070C0"/>
          <w:sz w:val="16"/>
          <w:szCs w:val="16"/>
        </w:rPr>
        <w:softHyphen/>
        <w:t>ленным носом», сохранил прежнюю толщину брони. Из лобового листа изъяли люк-пробку механика-водителя, существенно снижавшую его прочность. Сам лист расположили под углом 60</w:t>
      </w:r>
      <w:r w:rsidRPr="00C94B78">
        <w:rPr>
          <w:rFonts w:ascii="Times New Roman" w:hAnsi="Times New Roman"/>
          <w:color w:val="0070C0"/>
          <w:sz w:val="16"/>
          <w:szCs w:val="16"/>
          <w:vertAlign w:val="superscript"/>
        </w:rPr>
        <w:t>о</w:t>
      </w:r>
      <w:r w:rsidRPr="00C94B78">
        <w:rPr>
          <w:rFonts w:ascii="Times New Roman" w:hAnsi="Times New Roman"/>
          <w:color w:val="0070C0"/>
          <w:sz w:val="16"/>
          <w:szCs w:val="16"/>
        </w:rPr>
        <w:t xml:space="preserve"> к вертикали, что обеспечило при курсовых углах обстрела + 30° непробитие его из 88</w:t>
      </w:r>
      <w:r w:rsidRPr="00C94B78">
        <w:rPr>
          <w:rFonts w:ascii="Times New Roman" w:hAnsi="Times New Roman"/>
          <w:color w:val="0070C0"/>
          <w:sz w:val="16"/>
          <w:szCs w:val="16"/>
        </w:rPr>
        <w:softHyphen/>
        <w:t>мм немецкой танковой пушки KwK 36 даже при стрельбе в упор. Уязвимым местом оставался нижний лобовой лист, имевший угол наклона 30</w:t>
      </w:r>
      <w:r w:rsidRPr="00C94B78">
        <w:rPr>
          <w:rFonts w:ascii="Times New Roman" w:hAnsi="Times New Roman"/>
          <w:color w:val="0070C0"/>
          <w:sz w:val="16"/>
          <w:szCs w:val="16"/>
          <w:vertAlign w:val="superscript"/>
        </w:rPr>
        <w:t xml:space="preserve">о </w:t>
      </w:r>
      <w:r w:rsidRPr="00C94B78">
        <w:rPr>
          <w:rFonts w:ascii="Times New Roman" w:hAnsi="Times New Roman"/>
          <w:color w:val="0070C0"/>
          <w:sz w:val="16"/>
          <w:szCs w:val="16"/>
        </w:rPr>
        <w:t>к вертикали. Для придания ему большего угла наклона требовалось существенное изменение конструкции отделения управления. Однако, учи</w:t>
      </w:r>
      <w:r w:rsidRPr="00C94B78">
        <w:rPr>
          <w:rFonts w:ascii="Times New Roman" w:hAnsi="Times New Roman"/>
          <w:color w:val="0070C0"/>
          <w:sz w:val="16"/>
          <w:szCs w:val="16"/>
        </w:rPr>
        <w:softHyphen/>
        <w:t>тывая, что вероятность попадания в нижний лобовой лист меньше, чем в другие части корпуса, его решили не трогать. С целью уси</w:t>
      </w:r>
      <w:r w:rsidRPr="00C94B78">
        <w:rPr>
          <w:rFonts w:ascii="Times New Roman" w:hAnsi="Times New Roman"/>
          <w:color w:val="0070C0"/>
          <w:sz w:val="16"/>
          <w:szCs w:val="16"/>
        </w:rPr>
        <w:softHyphen/>
        <w:t>ления бронезащиты нижнего лобового листа с 15 июля 1944 года на нем между буксирными крюками начали размещать укладку запасных траков. «Уралмашзавод» перешел на выпуск бронекорпусов со спрямленным сварным носом в мае 1944 года, а завод №200 начал выпускать такие же корпуса, но с литым носом с июня 1944 года. Впрочем, некоторое время танки со старыми и новыми корпусами выпускались параллельно, до полного израсходования задела.</w:t>
      </w:r>
    </w:p>
    <w:p w14:paraId="2D853981"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Что касается башни, то существенно усилить ее бронезащиту не удалось (25001).</w:t>
      </w:r>
    </w:p>
    <w:p w14:paraId="6AFBDF47" w14:textId="77777777" w:rsidR="0065195F" w:rsidRPr="00C94B78" w:rsidRDefault="0065195F" w:rsidP="00B56F90">
      <w:pPr>
        <w:spacing w:after="0" w:line="240" w:lineRule="auto"/>
        <w:jc w:val="both"/>
        <w:rPr>
          <w:rFonts w:ascii="Times New Roman" w:hAnsi="Times New Roman"/>
          <w:color w:val="0070C0"/>
          <w:sz w:val="16"/>
          <w:szCs w:val="16"/>
        </w:rPr>
      </w:pPr>
    </w:p>
    <w:p w14:paraId="4FF4477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в Че</w:t>
      </w:r>
      <w:r w:rsidRPr="00070ADE">
        <w:rPr>
          <w:rFonts w:ascii="Times New Roman" w:hAnsi="Times New Roman"/>
          <w:color w:val="000000" w:themeColor="text1"/>
          <w:sz w:val="16"/>
          <w:szCs w:val="16"/>
        </w:rPr>
        <w:softHyphen/>
        <w:t>лябинске конструкторским бюро завода № 100 под руководством А.С. Ермолаева в целях повышения огневой мощи тяжелого танка был разработан Танк "Объект 245" (ИС-100). Опытный образец танка, который по документам НКТП проходил под маркой ИС-4, был изготовлен в феврале - марте 1944 г. Установка основного оружия в башню танка была произведена в марте - апреле на заводе № 9 НКВ. Ведущим инженером машины от завода № 100 был Н.И. Замо-рянский, от завода № 9 - М.Е. Безусов. В период с марта по апрель и в июне 1944 г. машина прошла заводские испытания. На вооружение танк не принимался и серийном производстве не состоял. Танк был создан на базе серийного танка ИС-1 и отличался от него установкой 100-мм пушки Д-10Т с длиной ствола 56 калибров и клино</w:t>
      </w:r>
      <w:r w:rsidRPr="00070ADE">
        <w:rPr>
          <w:rFonts w:ascii="Times New Roman" w:hAnsi="Times New Roman"/>
          <w:color w:val="000000" w:themeColor="text1"/>
          <w:sz w:val="16"/>
          <w:szCs w:val="16"/>
        </w:rPr>
        <w:softHyphen/>
        <w:t>вым затвором. Высота линии огня составляла 1950 мм, длина отката -570 мм. Вместе с пушкой был спарен 7,62-мм пулемет ДТ. Для наводки в цель спаренной установки оружия использовался телескопический шарнирный прицел ТШ с 2,5-кратным увеличением. Углы вертикаль</w:t>
      </w:r>
      <w:r w:rsidRPr="00070ADE">
        <w:rPr>
          <w:rFonts w:ascii="Times New Roman" w:hAnsi="Times New Roman"/>
          <w:color w:val="000000" w:themeColor="text1"/>
          <w:sz w:val="16"/>
          <w:szCs w:val="16"/>
        </w:rPr>
        <w:softHyphen/>
        <w:t>ной наводки пушки находились в интервале от -3 до +20°. Для удале</w:t>
      </w:r>
      <w:r w:rsidRPr="00070ADE">
        <w:rPr>
          <w:rFonts w:ascii="Times New Roman" w:hAnsi="Times New Roman"/>
          <w:color w:val="000000" w:themeColor="text1"/>
          <w:sz w:val="16"/>
          <w:szCs w:val="16"/>
        </w:rPr>
        <w:softHyphen/>
        <w:t>ния пороховых газов из боевого отделения применялся вентилятор по</w:t>
      </w:r>
      <w:r w:rsidRPr="00070ADE">
        <w:rPr>
          <w:rFonts w:ascii="Times New Roman" w:hAnsi="Times New Roman"/>
          <w:color w:val="000000" w:themeColor="text1"/>
          <w:sz w:val="16"/>
          <w:szCs w:val="16"/>
        </w:rPr>
        <w:softHyphen/>
        <w:t>вышенной производительности (10703).</w:t>
      </w:r>
    </w:p>
    <w:p w14:paraId="6965DC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D445A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на завершающем этапе проведения Корсунь-Шевченковской на</w:t>
      </w:r>
      <w:r w:rsidRPr="00070ADE">
        <w:rPr>
          <w:rFonts w:ascii="Times New Roman" w:hAnsi="Times New Roman"/>
          <w:color w:val="000000" w:themeColor="text1"/>
          <w:sz w:val="16"/>
          <w:szCs w:val="16"/>
        </w:rPr>
        <w:softHyphen/>
        <w:t>ступательной операции впервые был применен танк ИС-1 (10703).</w:t>
      </w:r>
    </w:p>
    <w:p w14:paraId="0181768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AC14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начались проектные работы по установке вышеназванных орудий в башне танка ИС-85 (11135).</w:t>
      </w:r>
    </w:p>
    <w:p w14:paraId="0A9559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AD37EA" w14:textId="77777777" w:rsidR="00D13803" w:rsidRPr="00070ADE" w:rsidRDefault="00D13803" w:rsidP="00B56F90">
      <w:pPr>
        <w:shd w:val="clear" w:color="auto" w:fill="FFFFFF"/>
        <w:spacing w:after="0" w:line="240" w:lineRule="auto"/>
        <w:jc w:val="both"/>
        <w:rPr>
          <w:rFonts w:ascii="Times New Roman" w:hAnsi="Times New Roman"/>
          <w:color w:val="000000" w:themeColor="text1"/>
          <w:sz w:val="16"/>
          <w:szCs w:val="16"/>
        </w:rPr>
      </w:pPr>
      <w:r w:rsidRPr="00070ADE">
        <w:rPr>
          <w:rStyle w:val="680"/>
          <w:rFonts w:ascii="Times New Roman" w:hAnsi="Times New Roman" w:cs="Times New Roman"/>
          <w:color w:val="000000" w:themeColor="text1"/>
          <w:sz w:val="16"/>
          <w:szCs w:val="16"/>
        </w:rPr>
        <w:t>Вторым изменением февраля 1944 года стало расширение количества поставщиков корпусов и башен ИС-2. К данным работам с янва</w:t>
      </w:r>
      <w:r w:rsidRPr="00070ADE">
        <w:rPr>
          <w:rStyle w:val="680"/>
          <w:rFonts w:ascii="Times New Roman" w:hAnsi="Times New Roman" w:cs="Times New Roman"/>
          <w:color w:val="000000" w:themeColor="text1"/>
          <w:sz w:val="16"/>
          <w:szCs w:val="16"/>
        </w:rPr>
        <w:softHyphen/>
        <w:t>ря 1944 года вернулся свердловский завод УЗТМ. Это стало результатом мер НКТП, при</w:t>
      </w:r>
      <w:r w:rsidRPr="00070ADE">
        <w:rPr>
          <w:rStyle w:val="680"/>
          <w:rFonts w:ascii="Times New Roman" w:hAnsi="Times New Roman" w:cs="Times New Roman"/>
          <w:color w:val="000000" w:themeColor="text1"/>
          <w:sz w:val="16"/>
          <w:szCs w:val="16"/>
        </w:rPr>
        <w:softHyphen/>
        <w:t>нятых в рамках подготовки к полномасштаб</w:t>
      </w:r>
      <w:r w:rsidRPr="00070ADE">
        <w:rPr>
          <w:rStyle w:val="680"/>
          <w:rFonts w:ascii="Times New Roman" w:hAnsi="Times New Roman" w:cs="Times New Roman"/>
          <w:color w:val="000000" w:themeColor="text1"/>
          <w:sz w:val="16"/>
          <w:szCs w:val="16"/>
        </w:rPr>
        <w:softHyphen/>
        <w:t>ному производству ИС-2. В январе 1944 года при плане в 14 башен для ИС-2 УЗТМ сдал 16 штук. В этом же месяце УЗТМ сдал 52 носовые детали для корпуса ИС-2. Впрочем, неболь</w:t>
      </w:r>
      <w:r w:rsidRPr="00070ADE">
        <w:rPr>
          <w:rStyle w:val="680"/>
          <w:rFonts w:ascii="Times New Roman" w:hAnsi="Times New Roman" w:cs="Times New Roman"/>
          <w:color w:val="000000" w:themeColor="text1"/>
          <w:sz w:val="16"/>
          <w:szCs w:val="16"/>
        </w:rPr>
        <w:softHyphen/>
        <w:t>шой объем выпуска танков данного типа при</w:t>
      </w:r>
      <w:r w:rsidRPr="00070ADE">
        <w:rPr>
          <w:rStyle w:val="680"/>
          <w:rFonts w:ascii="Times New Roman" w:hAnsi="Times New Roman" w:cs="Times New Roman"/>
          <w:color w:val="000000" w:themeColor="text1"/>
          <w:sz w:val="16"/>
          <w:szCs w:val="16"/>
        </w:rPr>
        <w:softHyphen/>
        <w:t>вел к тому, что свердловские башни и лобо</w:t>
      </w:r>
      <w:r w:rsidRPr="00070ADE">
        <w:rPr>
          <w:rStyle w:val="680"/>
          <w:rFonts w:ascii="Times New Roman" w:hAnsi="Times New Roman" w:cs="Times New Roman"/>
          <w:color w:val="000000" w:themeColor="text1"/>
          <w:sz w:val="16"/>
          <w:szCs w:val="16"/>
        </w:rPr>
        <w:softHyphen/>
        <w:t>вые детали корпуса стали использовать с февраля 1944 года. При этом с самого начала продукция УЗТМ отличалась. Во-первых, на лобовые детали корпуса УЗТМ не наносили литьевых номеров по центру, зато на изгибе лобовой детали виден широкий срез литей</w:t>
      </w:r>
      <w:r w:rsidRPr="00070ADE">
        <w:rPr>
          <w:rStyle w:val="680"/>
          <w:rFonts w:ascii="Times New Roman" w:hAnsi="Times New Roman" w:cs="Times New Roman"/>
          <w:color w:val="000000" w:themeColor="text1"/>
          <w:sz w:val="16"/>
          <w:szCs w:val="16"/>
        </w:rPr>
        <w:softHyphen/>
        <w:t>ной прибыли. Во-вторых, имелся «двухэтаж</w:t>
      </w:r>
      <w:r w:rsidRPr="00070ADE">
        <w:rPr>
          <w:rStyle w:val="680"/>
          <w:rFonts w:ascii="Times New Roman" w:hAnsi="Times New Roman" w:cs="Times New Roman"/>
          <w:color w:val="000000" w:themeColor="text1"/>
          <w:sz w:val="16"/>
          <w:szCs w:val="16"/>
        </w:rPr>
        <w:softHyphen/>
        <w:t xml:space="preserve">ный» литьевой номер на </w:t>
      </w:r>
      <w:r w:rsidRPr="00070ADE">
        <w:rPr>
          <w:rStyle w:val="690"/>
          <w:rFonts w:ascii="Times New Roman" w:hAnsi="Times New Roman" w:cs="Times New Roman"/>
          <w:color w:val="000000" w:themeColor="text1"/>
          <w:sz w:val="16"/>
          <w:szCs w:val="16"/>
        </w:rPr>
        <w:t>там были три горизонтальных полосы. В- третьих, УЗТМ сразу перешел на изготовление башен по чертежу 240-57-Сб117, и там изна</w:t>
      </w:r>
      <w:r w:rsidRPr="00070ADE">
        <w:rPr>
          <w:rStyle w:val="690"/>
          <w:rFonts w:ascii="Times New Roman" w:hAnsi="Times New Roman" w:cs="Times New Roman"/>
          <w:color w:val="000000" w:themeColor="text1"/>
          <w:sz w:val="16"/>
          <w:szCs w:val="16"/>
        </w:rPr>
        <w:softHyphen/>
        <w:t>чально ставились короткие поручни. В-чет</w:t>
      </w:r>
      <w:r w:rsidRPr="00070ADE">
        <w:rPr>
          <w:rStyle w:val="690"/>
          <w:rFonts w:ascii="Times New Roman" w:hAnsi="Times New Roman" w:cs="Times New Roman"/>
          <w:color w:val="000000" w:themeColor="text1"/>
          <w:sz w:val="16"/>
          <w:szCs w:val="16"/>
        </w:rPr>
        <w:softHyphen/>
        <w:t>вертых, у свердловских башен не было лить</w:t>
      </w:r>
      <w:r w:rsidRPr="00070ADE">
        <w:rPr>
          <w:rStyle w:val="690"/>
          <w:rFonts w:ascii="Times New Roman" w:hAnsi="Times New Roman" w:cs="Times New Roman"/>
          <w:color w:val="000000" w:themeColor="text1"/>
          <w:sz w:val="16"/>
          <w:szCs w:val="16"/>
        </w:rPr>
        <w:softHyphen/>
        <w:t>евых номеров на корме (вместо них отлива</w:t>
      </w:r>
      <w:r w:rsidRPr="00070ADE">
        <w:rPr>
          <w:rStyle w:val="690"/>
          <w:rFonts w:ascii="Times New Roman" w:hAnsi="Times New Roman" w:cs="Times New Roman"/>
          <w:color w:val="000000" w:themeColor="text1"/>
          <w:sz w:val="16"/>
          <w:szCs w:val="16"/>
        </w:rPr>
        <w:softHyphen/>
        <w:t>лось две вертикальных полоски), шов между литьевыми формами имел иную конфигура</w:t>
      </w:r>
      <w:r w:rsidRPr="00070ADE">
        <w:rPr>
          <w:rStyle w:val="690"/>
          <w:rFonts w:ascii="Times New Roman" w:hAnsi="Times New Roman" w:cs="Times New Roman"/>
          <w:color w:val="000000" w:themeColor="text1"/>
          <w:sz w:val="16"/>
          <w:szCs w:val="16"/>
        </w:rPr>
        <w:softHyphen/>
        <w:t>цию. В носовой части башни шов уходил вверх, отчасти повторяя форму скоса башни. Наконец, отличались командирские башен</w:t>
      </w:r>
      <w:r w:rsidRPr="00070ADE">
        <w:rPr>
          <w:rStyle w:val="690"/>
          <w:rFonts w:ascii="Times New Roman" w:hAnsi="Times New Roman" w:cs="Times New Roman"/>
          <w:color w:val="000000" w:themeColor="text1"/>
          <w:sz w:val="16"/>
          <w:szCs w:val="16"/>
        </w:rPr>
        <w:softHyphen/>
        <w:t>ки. На башнях завода № 200 ставились ба</w:t>
      </w:r>
      <w:r w:rsidRPr="00070ADE">
        <w:rPr>
          <w:rStyle w:val="690"/>
          <w:rFonts w:ascii="Times New Roman" w:hAnsi="Times New Roman" w:cs="Times New Roman"/>
          <w:color w:val="000000" w:themeColor="text1"/>
          <w:sz w:val="16"/>
          <w:szCs w:val="16"/>
        </w:rPr>
        <w:softHyphen/>
        <w:t>шенки, имевшие характерные «грани», ближе к февралю 1944 года грани немного «сглади</w:t>
      </w:r>
      <w:r w:rsidRPr="00070ADE">
        <w:rPr>
          <w:rStyle w:val="690"/>
          <w:rFonts w:ascii="Times New Roman" w:hAnsi="Times New Roman" w:cs="Times New Roman"/>
          <w:color w:val="000000" w:themeColor="text1"/>
          <w:sz w:val="16"/>
          <w:szCs w:val="16"/>
        </w:rPr>
        <w:softHyphen/>
        <w:t>ли», а смотровые щели стали шире. Коман</w:t>
      </w:r>
      <w:r w:rsidRPr="00070ADE">
        <w:rPr>
          <w:rStyle w:val="690"/>
          <w:rFonts w:ascii="Times New Roman" w:hAnsi="Times New Roman" w:cs="Times New Roman"/>
          <w:color w:val="000000" w:themeColor="text1"/>
          <w:sz w:val="16"/>
          <w:szCs w:val="16"/>
        </w:rPr>
        <w:softHyphen/>
        <w:t>дирские башенки производства УЗТМ «гра</w:t>
      </w:r>
      <w:r w:rsidRPr="00070ADE">
        <w:rPr>
          <w:rStyle w:val="690"/>
          <w:rFonts w:ascii="Times New Roman" w:hAnsi="Times New Roman" w:cs="Times New Roman"/>
          <w:color w:val="000000" w:themeColor="text1"/>
          <w:sz w:val="16"/>
          <w:szCs w:val="16"/>
        </w:rPr>
        <w:softHyphen/>
        <w:t>ней» не имели, зато имелись срезы от шести литейных прибылей, а в районе смотровых щелей можно легко увидеть шов.</w:t>
      </w:r>
    </w:p>
    <w:p w14:paraId="1446EA92" w14:textId="77777777" w:rsidR="00D13803" w:rsidRPr="00070ADE" w:rsidRDefault="00D13803" w:rsidP="00B56F90">
      <w:pPr>
        <w:shd w:val="clear" w:color="auto" w:fill="FFFFFF"/>
        <w:spacing w:after="0" w:line="240" w:lineRule="auto"/>
        <w:jc w:val="both"/>
        <w:rPr>
          <w:rStyle w:val="690"/>
          <w:rFonts w:ascii="Times New Roman" w:hAnsi="Times New Roman" w:cs="Times New Roman"/>
          <w:color w:val="000000" w:themeColor="text1"/>
          <w:sz w:val="16"/>
          <w:szCs w:val="16"/>
        </w:rPr>
      </w:pPr>
      <w:r w:rsidRPr="00070ADE">
        <w:rPr>
          <w:rStyle w:val="690"/>
          <w:rFonts w:ascii="Times New Roman" w:hAnsi="Times New Roman" w:cs="Times New Roman"/>
          <w:color w:val="000000" w:themeColor="text1"/>
          <w:sz w:val="16"/>
          <w:szCs w:val="16"/>
        </w:rPr>
        <w:lastRenderedPageBreak/>
        <w:t>Следует также отметить, что в первой по</w:t>
      </w:r>
      <w:r w:rsidRPr="00070ADE">
        <w:rPr>
          <w:rStyle w:val="690"/>
          <w:rFonts w:ascii="Times New Roman" w:hAnsi="Times New Roman" w:cs="Times New Roman"/>
          <w:color w:val="000000" w:themeColor="text1"/>
          <w:sz w:val="16"/>
          <w:szCs w:val="16"/>
        </w:rPr>
        <w:softHyphen/>
        <w:t>ловине 1944 года был еще один смежник по корпусному производству ИС. Речь идет о за</w:t>
      </w:r>
      <w:r w:rsidRPr="00070ADE">
        <w:rPr>
          <w:rStyle w:val="690"/>
          <w:rFonts w:ascii="Times New Roman" w:hAnsi="Times New Roman" w:cs="Times New Roman"/>
          <w:color w:val="000000" w:themeColor="text1"/>
          <w:sz w:val="16"/>
          <w:szCs w:val="16"/>
        </w:rPr>
        <w:softHyphen/>
        <w:t>воде № 178 в Кулебаках. С самого начала про</w:t>
      </w:r>
      <w:r w:rsidRPr="00070ADE">
        <w:rPr>
          <w:rStyle w:val="690"/>
          <w:rFonts w:ascii="Times New Roman" w:hAnsi="Times New Roman" w:cs="Times New Roman"/>
          <w:color w:val="000000" w:themeColor="text1"/>
          <w:sz w:val="16"/>
          <w:szCs w:val="16"/>
        </w:rPr>
        <w:softHyphen/>
        <w:t>изводства ИС там выпускались командирские башенки, а также пробки люков механика-во</w:t>
      </w:r>
      <w:r w:rsidRPr="00070ADE">
        <w:rPr>
          <w:rStyle w:val="690"/>
          <w:rFonts w:ascii="Times New Roman" w:hAnsi="Times New Roman" w:cs="Times New Roman"/>
          <w:color w:val="000000" w:themeColor="text1"/>
          <w:sz w:val="16"/>
          <w:szCs w:val="16"/>
        </w:rPr>
        <w:softHyphen/>
        <w:t>дителя. За 1943 год завод сдал 142 командир</w:t>
      </w:r>
      <w:r w:rsidRPr="00070ADE">
        <w:rPr>
          <w:rStyle w:val="690"/>
          <w:rFonts w:ascii="Times New Roman" w:hAnsi="Times New Roman" w:cs="Times New Roman"/>
          <w:color w:val="000000" w:themeColor="text1"/>
          <w:sz w:val="16"/>
          <w:szCs w:val="16"/>
        </w:rPr>
        <w:softHyphen/>
        <w:t>ских башенки и 134 люка-пробки. В январе ассортимент выпускаемой для ИС продукции в Кулебаках сократился до командирской ба</w:t>
      </w:r>
      <w:r w:rsidRPr="00070ADE">
        <w:rPr>
          <w:rStyle w:val="690"/>
          <w:rFonts w:ascii="Times New Roman" w:hAnsi="Times New Roman" w:cs="Times New Roman"/>
          <w:color w:val="000000" w:themeColor="text1"/>
          <w:sz w:val="16"/>
          <w:szCs w:val="16"/>
        </w:rPr>
        <w:softHyphen/>
        <w:t>шенки, причем сдали их 54% от нормы, по</w:t>
      </w:r>
      <w:r w:rsidRPr="00070ADE">
        <w:rPr>
          <w:rStyle w:val="690"/>
          <w:rFonts w:ascii="Times New Roman" w:hAnsi="Times New Roman" w:cs="Times New Roman"/>
          <w:color w:val="000000" w:themeColor="text1"/>
          <w:sz w:val="16"/>
          <w:szCs w:val="16"/>
        </w:rPr>
        <w:softHyphen/>
        <w:t>скольку на завод пришел срочный заказ на изготовление 300 люков механика-водителя для СУ-76М он их продолжал выпускать из стали средней твердости 66Л. Первые башенки из стали вы</w:t>
      </w:r>
      <w:r w:rsidRPr="00070ADE">
        <w:rPr>
          <w:rStyle w:val="690"/>
          <w:rFonts w:ascii="Times New Roman" w:hAnsi="Times New Roman" w:cs="Times New Roman"/>
          <w:color w:val="000000" w:themeColor="text1"/>
          <w:sz w:val="16"/>
          <w:szCs w:val="16"/>
        </w:rPr>
        <w:softHyphen/>
        <w:t>сокой твердости 70Л завод № 178 сдал уже ближе к концу марта. В апреле сдали еще 24 командирских башенки уже из стали 70Л. На этом выпуск командирских башенок в Куле- баках закончился, как и производство по линии ИС/ИСУ в целом (19874).</w:t>
      </w:r>
    </w:p>
    <w:p w14:paraId="7FA19F5A" w14:textId="77777777" w:rsidR="00D13803" w:rsidRPr="00070ADE" w:rsidRDefault="00D13803" w:rsidP="00B56F90">
      <w:pPr>
        <w:shd w:val="clear" w:color="auto" w:fill="FFFFFF"/>
        <w:spacing w:after="0" w:line="240" w:lineRule="auto"/>
        <w:jc w:val="both"/>
        <w:rPr>
          <w:rStyle w:val="690"/>
          <w:rFonts w:ascii="Times New Roman" w:hAnsi="Times New Roman" w:cs="Times New Roman"/>
          <w:color w:val="000000" w:themeColor="text1"/>
          <w:sz w:val="16"/>
          <w:szCs w:val="16"/>
        </w:rPr>
      </w:pPr>
    </w:p>
    <w:p w14:paraId="6069DEAE"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г. на ЧКЗ в сутки делали 4 - 5 танков и САУ, а в июле должны были делать 16. За счет чего можно было повысить втрое производительность труда? Только за счет того, что измученные до предела люди должны были работать втрое быстрее (25001).</w:t>
      </w:r>
    </w:p>
    <w:p w14:paraId="5890AB8D" w14:textId="77777777" w:rsidR="0065195F" w:rsidRPr="00C94B78" w:rsidRDefault="0065195F" w:rsidP="00B56F90">
      <w:pPr>
        <w:spacing w:after="0" w:line="240" w:lineRule="auto"/>
        <w:jc w:val="both"/>
        <w:rPr>
          <w:rFonts w:ascii="Times New Roman" w:hAnsi="Times New Roman"/>
          <w:color w:val="0070C0"/>
          <w:sz w:val="16"/>
          <w:szCs w:val="16"/>
        </w:rPr>
      </w:pPr>
    </w:p>
    <w:p w14:paraId="4112211B"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Февраль 1944 г. стал последним месяцем, когда ИС-2 выпускались с Д-25Т, оснащенными поршневыми затворами. Ранее считалось, что таких орудий построили 145 штук, но это оказалось неверной информацией. Посчитать количество орудий можно по числу присланных с завода №172 поршневых затворов - 35 в декабре 1943 года, 36 в январе 1944 года и 30 в феврале. Далее ИС-2 стали получать орудия с клиновыми затворами, которые уже полностью выпускались на заводе №9. Таким образом, требования внедрить на танках орудия с клиновым затвором удалось выполнить уже на третий месяц серийного производства ИС-2 (24902).</w:t>
      </w:r>
    </w:p>
    <w:p w14:paraId="6F8CDD53" w14:textId="77777777" w:rsidR="0065195F" w:rsidRPr="00C94B78" w:rsidRDefault="0065195F" w:rsidP="00B56F90">
      <w:pPr>
        <w:spacing w:after="0" w:line="240" w:lineRule="auto"/>
        <w:jc w:val="both"/>
        <w:rPr>
          <w:rFonts w:ascii="Times New Roman" w:hAnsi="Times New Roman"/>
          <w:color w:val="0070C0"/>
          <w:sz w:val="16"/>
          <w:szCs w:val="16"/>
        </w:rPr>
      </w:pPr>
    </w:p>
    <w:p w14:paraId="0A13B52A"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года на испытаниях ИС-2 при стрельбе с дистанции 1000 метров 7 выстрелов вписалось в окружность диаметром 1 метр. Так что торопили завод №9 с клиновым затвором совсем не зря (24902).</w:t>
      </w:r>
    </w:p>
    <w:p w14:paraId="3119B10D" w14:textId="77777777" w:rsidR="0065195F" w:rsidRPr="00C94B78" w:rsidRDefault="0065195F" w:rsidP="00B56F90">
      <w:pPr>
        <w:spacing w:after="0" w:line="240" w:lineRule="auto"/>
        <w:jc w:val="both"/>
        <w:rPr>
          <w:rFonts w:ascii="Times New Roman" w:hAnsi="Times New Roman"/>
          <w:color w:val="0070C0"/>
          <w:sz w:val="16"/>
          <w:szCs w:val="16"/>
        </w:rPr>
      </w:pPr>
    </w:p>
    <w:p w14:paraId="1EA5A684" w14:textId="77777777" w:rsidR="001A00DE" w:rsidRPr="00070ADE" w:rsidRDefault="001A00DE" w:rsidP="00B56F90">
      <w:pPr>
        <w:pStyle w:val="ae"/>
        <w:spacing w:before="0" w:after="0"/>
        <w:jc w:val="both"/>
        <w:textAlignment w:val="baseline"/>
        <w:rPr>
          <w:color w:val="000000" w:themeColor="text1"/>
          <w:sz w:val="16"/>
          <w:szCs w:val="16"/>
        </w:rPr>
      </w:pPr>
      <w:r w:rsidRPr="00070ADE">
        <w:rPr>
          <w:color w:val="000000" w:themeColor="text1"/>
          <w:sz w:val="16"/>
          <w:szCs w:val="16"/>
        </w:rPr>
        <w:t>В феврале 1944 года план по выпуску СУ-85 был таким же, как и в январе — 175 машин. За первые 10 дней февраля были сданы 54, а к 20 февраля — 112 машин. Но из 200 орудий, которые завод должен был получить в феврале, к этому моменту пришло всего 37 штук. Только к концу месяца завод получил недостающие орудия, и план снова удалось перевыполнить: было сдано 176 машин. Завод №9 в этом месяце сдал 139 пушек, а завод №8 — 42, часть из которых была Д-5С85А. Самоходные установки с системами Д-5С85А получили название СУ-85А. В марте УЗТМ получил 102 Д-5С85 и 89 Д-5С85А. При этом из 191 машины, сданной в марте 1944 года, 112 являлись СУ-85, а 79 — СУ-85А.</w:t>
      </w:r>
    </w:p>
    <w:p w14:paraId="53F1DC03" w14:textId="77777777" w:rsidR="001A00DE" w:rsidRPr="00070ADE" w:rsidRDefault="001A00DE" w:rsidP="00B56F90">
      <w:pPr>
        <w:pStyle w:val="ae"/>
        <w:spacing w:before="0" w:after="0"/>
        <w:jc w:val="both"/>
        <w:textAlignment w:val="baseline"/>
        <w:rPr>
          <w:color w:val="000000" w:themeColor="text1"/>
          <w:sz w:val="16"/>
          <w:szCs w:val="16"/>
        </w:rPr>
      </w:pPr>
      <w:r w:rsidRPr="00070ADE">
        <w:rPr>
          <w:color w:val="000000" w:themeColor="text1"/>
          <w:sz w:val="16"/>
          <w:szCs w:val="16"/>
        </w:rPr>
        <w:t>Ситуацию с выпуском двух орудий с одинаковым назначением, но с разными и не подходящими друг другу для замены стволами, затворами и ограждениями, сложно назвать нормальной. Не удивительно, что было решено выпуск Д-5С85 на заводе №9 прекратить. Этому поспособствовал и переход Т-34-85 с пушки Д-5Т на С-53 разработки Центрального артиллерийского конструкторского бюро (ЦАКБ). Из 200 сданных в апреле СУ-85 175 штук относились к версии СУ-85А. А в мае все 205 сданных машин были СУ-85А. В июне УЗТМ вышел на пиковый показатель, построив 210 машин в месяц. Всё лето 1944 года завод выдерживал такой темп производства. Решение освободить УЗТМ от производства Т-34 было весьма здравым (17719).</w:t>
      </w:r>
    </w:p>
    <w:p w14:paraId="00923290" w14:textId="77777777" w:rsidR="001A00DE" w:rsidRPr="00070ADE" w:rsidRDefault="001A00DE" w:rsidP="00B56F90">
      <w:pPr>
        <w:spacing w:after="0" w:line="240" w:lineRule="auto"/>
        <w:jc w:val="both"/>
        <w:rPr>
          <w:rFonts w:ascii="Times New Roman" w:hAnsi="Times New Roman"/>
          <w:color w:val="000000" w:themeColor="text1"/>
          <w:sz w:val="16"/>
          <w:szCs w:val="16"/>
        </w:rPr>
      </w:pPr>
    </w:p>
    <w:p w14:paraId="6D6C3D8E" w14:textId="77777777" w:rsidR="00D13803" w:rsidRPr="00070ADE" w:rsidRDefault="00D13803"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были существенные изменения Су-85 и прежде всего они косну</w:t>
      </w:r>
      <w:r w:rsidRPr="00070ADE">
        <w:rPr>
          <w:rFonts w:ascii="Times New Roman" w:hAnsi="Times New Roman"/>
          <w:color w:val="000000" w:themeColor="text1"/>
          <w:sz w:val="16"/>
          <w:szCs w:val="16"/>
        </w:rPr>
        <w:softHyphen/>
        <w:t>лись орудийной системы.</w:t>
      </w:r>
    </w:p>
    <w:p w14:paraId="6C8257C3" w14:textId="77777777" w:rsidR="00D13803" w:rsidRPr="00070ADE" w:rsidRDefault="00D13803" w:rsidP="00B56F90">
      <w:pPr>
        <w:spacing w:after="0" w:line="240" w:lineRule="auto"/>
        <w:jc w:val="both"/>
        <w:rPr>
          <w:rFonts w:ascii="Times New Roman" w:hAnsi="Times New Roman"/>
          <w:color w:val="000000" w:themeColor="text1"/>
          <w:sz w:val="16"/>
          <w:szCs w:val="16"/>
        </w:rPr>
      </w:pPr>
      <w:r w:rsidRPr="00070ADE">
        <w:rPr>
          <w:rStyle w:val="631"/>
          <w:rFonts w:ascii="Times New Roman" w:hAnsi="Times New Roman" w:cs="Times New Roman"/>
          <w:color w:val="000000" w:themeColor="text1"/>
          <w:sz w:val="16"/>
          <w:szCs w:val="16"/>
        </w:rPr>
        <w:t>Были в феврале и другие изменения кон</w:t>
      </w:r>
      <w:r w:rsidRPr="00070ADE">
        <w:rPr>
          <w:rStyle w:val="631"/>
          <w:rFonts w:ascii="Times New Roman" w:hAnsi="Times New Roman" w:cs="Times New Roman"/>
          <w:color w:val="000000" w:themeColor="text1"/>
          <w:sz w:val="16"/>
          <w:szCs w:val="16"/>
        </w:rPr>
        <w:softHyphen/>
        <w:t>струкции. Так, начали приваривать новые укороченные поручни. По крайней мере, СУ- 85 с серийным номером СУ 402221, храня</w:t>
      </w:r>
      <w:r w:rsidRPr="00070ADE">
        <w:rPr>
          <w:rStyle w:val="631"/>
          <w:rFonts w:ascii="Times New Roman" w:hAnsi="Times New Roman" w:cs="Times New Roman"/>
          <w:color w:val="000000" w:themeColor="text1"/>
          <w:sz w:val="16"/>
          <w:szCs w:val="16"/>
        </w:rPr>
        <w:softHyphen/>
        <w:t>щаяся в Варшаве (это единственная дожив</w:t>
      </w:r>
      <w:r w:rsidRPr="00070ADE">
        <w:rPr>
          <w:rStyle w:val="660"/>
          <w:rFonts w:ascii="Times New Roman" w:hAnsi="Times New Roman" w:cs="Times New Roman"/>
          <w:color w:val="000000" w:themeColor="text1"/>
          <w:sz w:val="16"/>
          <w:szCs w:val="16"/>
          <w:lang w:val="ru-RU"/>
        </w:rPr>
        <w:t>шая до наших дней СУ-85 с артиллерийской системой Д5-С-85), уже имеет такие поручни. Еще одним видимым изменением стало соединение кормового листа рубки с борта</w:t>
      </w:r>
      <w:r w:rsidRPr="00070ADE">
        <w:rPr>
          <w:rStyle w:val="660"/>
          <w:rFonts w:ascii="Times New Roman" w:hAnsi="Times New Roman" w:cs="Times New Roman"/>
          <w:color w:val="000000" w:themeColor="text1"/>
          <w:sz w:val="16"/>
          <w:szCs w:val="16"/>
          <w:lang w:val="ru-RU"/>
        </w:rPr>
        <w:softHyphen/>
        <w:t>ми в шип - его внедрили в 1-м квартале 1944 года. Тогда же произошло смещение писто</w:t>
      </w:r>
      <w:r w:rsidRPr="00070ADE">
        <w:rPr>
          <w:rStyle w:val="660"/>
          <w:rFonts w:ascii="Times New Roman" w:hAnsi="Times New Roman" w:cs="Times New Roman"/>
          <w:color w:val="000000" w:themeColor="text1"/>
          <w:sz w:val="16"/>
          <w:szCs w:val="16"/>
          <w:lang w:val="ru-RU"/>
        </w:rPr>
        <w:softHyphen/>
        <w:t>летного порта на правом борту рубки. С 20 февраля 1944 года ставятся новые более мас</w:t>
      </w:r>
      <w:r w:rsidRPr="00070ADE">
        <w:rPr>
          <w:rStyle w:val="660"/>
          <w:rFonts w:ascii="Times New Roman" w:hAnsi="Times New Roman" w:cs="Times New Roman"/>
          <w:color w:val="000000" w:themeColor="text1"/>
          <w:sz w:val="16"/>
          <w:szCs w:val="16"/>
          <w:lang w:val="ru-RU"/>
        </w:rPr>
        <w:softHyphen/>
        <w:t xml:space="preserve">сивные петли люка под панораму </w:t>
      </w:r>
      <w:r w:rsidRPr="00070ADE">
        <w:rPr>
          <w:rFonts w:ascii="Times New Roman" w:hAnsi="Times New Roman"/>
          <w:color w:val="000000" w:themeColor="text1"/>
          <w:sz w:val="16"/>
          <w:szCs w:val="16"/>
        </w:rPr>
        <w:t xml:space="preserve">(19889). </w:t>
      </w:r>
    </w:p>
    <w:p w14:paraId="5F6DB253" w14:textId="77777777" w:rsidR="00D13803" w:rsidRPr="00070ADE" w:rsidRDefault="00D13803" w:rsidP="00B56F90">
      <w:pPr>
        <w:shd w:val="clear" w:color="auto" w:fill="FFFFFF"/>
        <w:spacing w:after="0" w:line="240" w:lineRule="auto"/>
        <w:jc w:val="both"/>
        <w:rPr>
          <w:rFonts w:ascii="Times New Roman" w:hAnsi="Times New Roman"/>
          <w:color w:val="000000" w:themeColor="text1"/>
          <w:sz w:val="16"/>
          <w:szCs w:val="16"/>
        </w:rPr>
      </w:pPr>
    </w:p>
    <w:p w14:paraId="03AA7F21" w14:textId="77777777" w:rsidR="001A00DE" w:rsidRPr="00070ADE" w:rsidRDefault="001A00DE"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В феврале 1944 года на бронетанковом ремонтном заводе (БТРЗ) №1 переделали в тягачи 6 танков КВ-1с. Параллельно с этим переделывать КВ-1с в тягачи начали и на БТРЗ №6, за февраль там подобную конверсию прошли 4 танка. Связано это было с тем, что тягачи-эвакуаторы в РККА являлись большой редкостью, а производство «Ворошиловцев» закончилось осенью 1941 года. В качестве базы для тягачей использовались не только КВ-1с, но и КВ-1. Объем производства таких машин оказался небольшим. Единичные машины выпускали ремзаводы №1 и №7. Наиболее массово тягачи на базе КВ-1 и КВ-1с строил ремзавод №6. Например, за июль 1944 года здесь было сдано 14 тягачей (17692).</w:t>
      </w:r>
    </w:p>
    <w:p w14:paraId="3EDBCD09" w14:textId="77777777" w:rsidR="001A00DE" w:rsidRPr="00070ADE" w:rsidRDefault="001A00DE" w:rsidP="00B56F90">
      <w:pPr>
        <w:spacing w:after="0" w:line="240" w:lineRule="auto"/>
        <w:jc w:val="both"/>
        <w:rPr>
          <w:rFonts w:ascii="Times New Roman" w:hAnsi="Times New Roman"/>
          <w:color w:val="000000" w:themeColor="text1"/>
          <w:sz w:val="16"/>
          <w:szCs w:val="16"/>
        </w:rPr>
      </w:pPr>
    </w:p>
    <w:p w14:paraId="1155B28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в результате проведения испытаний опытного образца стабилизатора в танке Т-34 на НИБТ полигоне были выявлены его недостатки, после устранения которых, СКБ НКСП весной 1944 г. был разработан новый стабилизатор для танковой пушки ЗИС-С-53 для танка Т-34-85 - СТП-С-53, получив</w:t>
      </w:r>
      <w:r w:rsidRPr="00070ADE">
        <w:rPr>
          <w:rFonts w:ascii="Times New Roman" w:hAnsi="Times New Roman"/>
          <w:color w:val="000000" w:themeColor="text1"/>
          <w:sz w:val="16"/>
          <w:szCs w:val="16"/>
        </w:rPr>
        <w:softHyphen/>
        <w:t>ший наименование "Таран". На основании постановления ГКО от 7 ноября 1944 г. заводом № 112 и НИИ-627 в начале 1945 г. для проведения всесторонних испытаний были изготовлены 4 опытных танка Т-34-85 со стабилизатором "Таран". Результаты испытаний были использованы уже после окончания Великой Отечественной войны при создании однопплоскостного стабилизатора "Горизонт" для 100-мм пушки среднего танка Т-54 (10703).</w:t>
      </w:r>
    </w:p>
    <w:p w14:paraId="1FAE16D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AE37D9"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года завод №183 получил приказ НКТП, по которому ему предписывалось спроектировать и испытать в марте тогоже года модернизированные образцы танка Т-34-85. Испытания двух таких машин, получивших обозначение Т-35-85М, прошли с 24 мая по 10 июня 1944 года на НИБТ полигоне. Модернизация заключалась в следующем: верхний лобовой лист корпуса установили толщиной 75 мм. башня имела бронезащиту 90 мм в лобовой части и 70 - 52 на бортах. Во избежание увеличения массы танка уменьшили толщину листов дниша. днища подкрылков, крыши моторного и трансмиссионного отделения с 20 до 15 мм и нижнего листа кормы с 45 до 30 мм. В результате масса Т-34М составила 32,3 тонны.</w:t>
      </w:r>
    </w:p>
    <w:p w14:paraId="5AA17D8F"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втором образце, кроме того вместо шести топливных баков, размещенных на серийном Т-34-85 в боевом и моторном отделениях, в корме установили два топливных бака емкостью по 190 л, из-за чего пришлось изменить форму кормовой части корпуса.</w:t>
      </w:r>
    </w:p>
    <w:p w14:paraId="005ACF5D"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Проведенные на полигоне испытания показали неплохие результаты, но все же не обеспечивали надежной защиты от новых немецких танковых и противотанковых орудий. Например, при обстреле верхнего лобового листа толщиной 75 мм из 75-мм пушки «Пантеры» он пробивался бронебойным снарядом с дистанции 650 метров, а из 88-мм пушки РаК 43 с дистанции до 2000 метров. Вопрос об организации серийного производства танков Т-34-85М не поднимался.</w:t>
      </w:r>
    </w:p>
    <w:p w14:paraId="36D1D24A"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начала серийного производства Т-34-85 делались попытки усилить их вооружение (12217).</w:t>
      </w:r>
    </w:p>
    <w:p w14:paraId="2A7D40DE" w14:textId="77777777" w:rsidR="00673CAB" w:rsidRPr="00070ADE" w:rsidRDefault="00673CAB" w:rsidP="00B56F90">
      <w:pPr>
        <w:spacing w:after="0" w:line="240" w:lineRule="auto"/>
        <w:jc w:val="both"/>
        <w:rPr>
          <w:rFonts w:ascii="Times New Roman" w:hAnsi="Times New Roman"/>
          <w:color w:val="000000" w:themeColor="text1"/>
          <w:sz w:val="16"/>
          <w:szCs w:val="16"/>
        </w:rPr>
      </w:pPr>
    </w:p>
    <w:p w14:paraId="222E60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февраля 1944 г. завод № 112 начал постепенный переход на выпуск танков Т-34-85, вооруженный пушками ЗИС-С-53. В 1944 г. заседал военным представителе 8695 танков Т-34-85, оснащенных радиостанцией 9Р (линейные танки), 129 - радиостанцией РСБ-Ф (командир</w:t>
      </w:r>
      <w:r w:rsidRPr="00070ADE">
        <w:rPr>
          <w:rFonts w:ascii="Times New Roman" w:hAnsi="Times New Roman"/>
          <w:color w:val="000000" w:themeColor="text1"/>
          <w:sz w:val="16"/>
          <w:szCs w:val="16"/>
        </w:rPr>
        <w:softHyphen/>
        <w:t>ские) и 255 танков без установки радиостанций. 30 линейных танков из общего числа выпущенных танков были оснащены автоматической си</w:t>
      </w:r>
      <w:r w:rsidRPr="00070ADE">
        <w:rPr>
          <w:rFonts w:ascii="Times New Roman" w:hAnsi="Times New Roman"/>
          <w:color w:val="000000" w:themeColor="text1"/>
          <w:sz w:val="16"/>
          <w:szCs w:val="16"/>
        </w:rPr>
        <w:softHyphen/>
        <w:t>стемой ППО (10703).</w:t>
      </w:r>
    </w:p>
    <w:p w14:paraId="683F0F5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3C04D9"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года началось производство танков Т-34-85 с пушкой ЗИС-С-53 на заводе № 112, сначала параллельно с тридцатьчетверками, вооруженными 85-мм орудиями Д5-Т (всего их изготовлено 255 машин). С 15 марта Т-34-85 с ЗИС-С-53 начал выпускать завод № 183, а с июня - и № 174.</w:t>
      </w:r>
    </w:p>
    <w:p w14:paraId="5792D1EC"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конца войны в конструкцию танка Т-34-85 внесли ряд изменений - установлен воздухоочиститель типа «Мультициклон», введены два вентилятора на башне, изменена конструкция передних грязевых щитков, установлена радиостанция 9РС вместо 9РМ, улучшена конструкция механизма поворота башни, введена установка морских дымовых шашек (МДШ) на корме, двухстворчатая крышка люка командирской башенки была заменена одностворчатой (12217).</w:t>
      </w:r>
    </w:p>
    <w:p w14:paraId="368C2373" w14:textId="77777777" w:rsidR="00673CAB" w:rsidRPr="00070ADE" w:rsidRDefault="00673CAB" w:rsidP="00B56F90">
      <w:pPr>
        <w:spacing w:after="0" w:line="240" w:lineRule="auto"/>
        <w:jc w:val="both"/>
        <w:rPr>
          <w:rFonts w:ascii="Times New Roman" w:hAnsi="Times New Roman"/>
          <w:color w:val="000000" w:themeColor="text1"/>
          <w:sz w:val="16"/>
          <w:szCs w:val="16"/>
        </w:rPr>
      </w:pPr>
    </w:p>
    <w:p w14:paraId="26299347"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года завод №183 получил приказ нарко</w:t>
      </w:r>
      <w:r w:rsidRPr="00C94B78">
        <w:rPr>
          <w:rFonts w:ascii="Times New Roman" w:hAnsi="Times New Roman"/>
          <w:color w:val="0070C0"/>
          <w:sz w:val="16"/>
          <w:szCs w:val="16"/>
        </w:rPr>
        <w:softHyphen/>
        <w:t>ма танковой промышленности, по которо</w:t>
      </w:r>
      <w:r w:rsidRPr="00C94B78">
        <w:rPr>
          <w:rFonts w:ascii="Times New Roman" w:hAnsi="Times New Roman"/>
          <w:color w:val="0070C0"/>
          <w:sz w:val="16"/>
          <w:szCs w:val="16"/>
        </w:rPr>
        <w:softHyphen/>
        <w:t>му ему предписывалось спроектировать и ис</w:t>
      </w:r>
      <w:r w:rsidRPr="00C94B78">
        <w:rPr>
          <w:rFonts w:ascii="Times New Roman" w:hAnsi="Times New Roman"/>
          <w:color w:val="0070C0"/>
          <w:sz w:val="16"/>
          <w:szCs w:val="16"/>
        </w:rPr>
        <w:softHyphen/>
        <w:t>пытать в марте того же года модернизиро</w:t>
      </w:r>
      <w:r w:rsidRPr="00C94B78">
        <w:rPr>
          <w:rFonts w:ascii="Times New Roman" w:hAnsi="Times New Roman"/>
          <w:color w:val="0070C0"/>
          <w:sz w:val="16"/>
          <w:szCs w:val="16"/>
        </w:rPr>
        <w:softHyphen/>
        <w:t>ванные образцы танка Т-34-85 с усиленным бронированием. Однако выполнение при</w:t>
      </w:r>
      <w:r w:rsidRPr="00C94B78">
        <w:rPr>
          <w:rFonts w:ascii="Times New Roman" w:hAnsi="Times New Roman"/>
          <w:color w:val="0070C0"/>
          <w:sz w:val="16"/>
          <w:szCs w:val="16"/>
        </w:rPr>
        <w:softHyphen/>
        <w:t>каза затянулось из-за загрузки конструктор</w:t>
      </w:r>
      <w:r w:rsidRPr="00C94B78">
        <w:rPr>
          <w:rFonts w:ascii="Times New Roman" w:hAnsi="Times New Roman"/>
          <w:color w:val="0070C0"/>
          <w:sz w:val="16"/>
          <w:szCs w:val="16"/>
        </w:rPr>
        <w:softHyphen/>
        <w:t>ского бюро и самого предприятия работами по организации серийного выпуска Т-34-85 с пушкой ЗИС-С-53 и модернизацией опыт</w:t>
      </w:r>
      <w:r w:rsidRPr="00C94B78">
        <w:rPr>
          <w:rFonts w:ascii="Times New Roman" w:hAnsi="Times New Roman"/>
          <w:color w:val="0070C0"/>
          <w:sz w:val="16"/>
          <w:szCs w:val="16"/>
        </w:rPr>
        <w:softHyphen/>
        <w:t>ных образцов Т-44 (о них будет рассказано ниже), и лишь в мае 1944 года две модерни</w:t>
      </w:r>
      <w:r w:rsidRPr="00C94B78">
        <w:rPr>
          <w:rFonts w:ascii="Times New Roman" w:hAnsi="Times New Roman"/>
          <w:color w:val="0070C0"/>
          <w:sz w:val="16"/>
          <w:szCs w:val="16"/>
        </w:rPr>
        <w:softHyphen/>
        <w:t>зированных машины, получившие обозначе</w:t>
      </w:r>
      <w:r w:rsidRPr="00C94B78">
        <w:rPr>
          <w:rFonts w:ascii="Times New Roman" w:hAnsi="Times New Roman"/>
          <w:color w:val="0070C0"/>
          <w:sz w:val="16"/>
          <w:szCs w:val="16"/>
        </w:rPr>
        <w:softHyphen/>
        <w:t>ние Т-34-85М, были готовы (25012).</w:t>
      </w:r>
    </w:p>
    <w:p w14:paraId="2403CA1C" w14:textId="77777777" w:rsidR="0065195F" w:rsidRPr="00C94B78" w:rsidRDefault="0065195F" w:rsidP="00B56F90">
      <w:pPr>
        <w:spacing w:after="0" w:line="240" w:lineRule="auto"/>
        <w:jc w:val="both"/>
        <w:rPr>
          <w:rFonts w:ascii="Times New Roman" w:hAnsi="Times New Roman"/>
          <w:color w:val="0070C0"/>
          <w:sz w:val="16"/>
          <w:szCs w:val="16"/>
        </w:rPr>
      </w:pPr>
    </w:p>
    <w:p w14:paraId="3938CF0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завод “Красное сормово” смог дать заказчику танки, оснащенные более мощным 85-мм оруди</w:t>
      </w:r>
      <w:r w:rsidRPr="00070ADE">
        <w:rPr>
          <w:rFonts w:ascii="Times New Roman" w:hAnsi="Times New Roman"/>
          <w:color w:val="000000" w:themeColor="text1"/>
          <w:sz w:val="16"/>
          <w:szCs w:val="16"/>
        </w:rPr>
        <w:softHyphen/>
        <w:t>ем, нареканий на качество которых не было.</w:t>
      </w:r>
    </w:p>
    <w:p w14:paraId="536A96E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Одной из первых частей, получивших танки Т-34-85, был 38-й отдельный танковый полк, укомплектованный из соста</w:t>
      </w:r>
      <w:r w:rsidRPr="00070ADE">
        <w:rPr>
          <w:rFonts w:ascii="Times New Roman" w:hAnsi="Times New Roman"/>
          <w:color w:val="000000" w:themeColor="text1"/>
          <w:sz w:val="16"/>
          <w:szCs w:val="16"/>
        </w:rPr>
        <w:softHyphen/>
        <w:t>ва танковой колонны «Димитрий Донской».</w:t>
      </w:r>
    </w:p>
    <w:p w14:paraId="3B2D176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Эта колонна не является неизвестной. Упоминания о ней не раз всплывали в средствах массовой информации. Глав</w:t>
      </w:r>
      <w:r w:rsidRPr="00070ADE">
        <w:rPr>
          <w:rFonts w:ascii="Times New Roman" w:hAnsi="Times New Roman"/>
          <w:color w:val="000000" w:themeColor="text1"/>
          <w:sz w:val="16"/>
          <w:szCs w:val="16"/>
        </w:rPr>
        <w:softHyphen/>
        <w:t>ной ее особенностью было то, что танки колонны были пост</w:t>
      </w:r>
      <w:r w:rsidRPr="00070ADE">
        <w:rPr>
          <w:rFonts w:ascii="Times New Roman" w:hAnsi="Times New Roman"/>
          <w:color w:val="000000" w:themeColor="text1"/>
          <w:sz w:val="16"/>
          <w:szCs w:val="16"/>
        </w:rPr>
        <w:softHyphen/>
        <w:t>роены на средства верующих Русской Православной Церкви.</w:t>
      </w:r>
    </w:p>
    <w:p w14:paraId="4BE8B12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самых первых дней войны Русская Православная Церковь принимала активное участие в укреплении оборо</w:t>
      </w:r>
      <w:r w:rsidRPr="00070ADE">
        <w:rPr>
          <w:rFonts w:ascii="Times New Roman" w:hAnsi="Times New Roman"/>
          <w:color w:val="000000" w:themeColor="text1"/>
          <w:sz w:val="16"/>
          <w:szCs w:val="16"/>
        </w:rPr>
        <w:softHyphen/>
        <w:t>носпособности страны. Уже 23 июня по предложению ле</w:t>
      </w:r>
      <w:r w:rsidRPr="00070ADE">
        <w:rPr>
          <w:rFonts w:ascii="Times New Roman" w:hAnsi="Times New Roman"/>
          <w:color w:val="000000" w:themeColor="text1"/>
          <w:sz w:val="16"/>
          <w:szCs w:val="16"/>
        </w:rPr>
        <w:softHyphen/>
        <w:t>нинградского митрополита Алексия (Симанского) прихо</w:t>
      </w:r>
      <w:r w:rsidRPr="00070ADE">
        <w:rPr>
          <w:rFonts w:ascii="Times New Roman" w:hAnsi="Times New Roman"/>
          <w:color w:val="000000" w:themeColor="text1"/>
          <w:sz w:val="16"/>
          <w:szCs w:val="16"/>
        </w:rPr>
        <w:softHyphen/>
        <w:t>ды Северной столицы начали сбор средств на подарки во</w:t>
      </w:r>
      <w:r w:rsidRPr="00070ADE">
        <w:rPr>
          <w:rFonts w:ascii="Times New Roman" w:hAnsi="Times New Roman"/>
          <w:color w:val="000000" w:themeColor="text1"/>
          <w:sz w:val="16"/>
          <w:szCs w:val="16"/>
        </w:rPr>
        <w:softHyphen/>
        <w:t>инам. В тот же день патриарший местоблюститель Сергий (Страгородский) благословил это начинание для храмов всей страны. Однако, не имея банковского счета, Церковь не имела возможности аккумулирования средств, вести строгий учет и контроль расходования полученных сумм.</w:t>
      </w:r>
    </w:p>
    <w:p w14:paraId="38E1D9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декабря 1942 г. глава Русской Православной Церкви обратился к архипастырям, пастырям и приходским общи</w:t>
      </w:r>
      <w:r w:rsidRPr="00070ADE">
        <w:rPr>
          <w:rFonts w:ascii="Times New Roman" w:hAnsi="Times New Roman"/>
          <w:color w:val="000000" w:themeColor="text1"/>
          <w:sz w:val="16"/>
          <w:szCs w:val="16"/>
        </w:rPr>
        <w:softHyphen/>
        <w:t>нам с призывом о сборе средств на постройку танковой ко</w:t>
      </w:r>
      <w:r w:rsidRPr="00070ADE">
        <w:rPr>
          <w:rFonts w:ascii="Times New Roman" w:hAnsi="Times New Roman"/>
          <w:color w:val="000000" w:themeColor="text1"/>
          <w:sz w:val="16"/>
          <w:szCs w:val="16"/>
        </w:rPr>
        <w:softHyphen/>
        <w:t>лонны имени Димитрия Донского. 5 января 1943 г. И. Ста</w:t>
      </w:r>
      <w:r w:rsidRPr="00070ADE">
        <w:rPr>
          <w:rFonts w:ascii="Times New Roman" w:hAnsi="Times New Roman"/>
          <w:color w:val="000000" w:themeColor="text1"/>
          <w:sz w:val="16"/>
          <w:szCs w:val="16"/>
        </w:rPr>
        <w:softHyphen/>
        <w:t>лин направил митрополиту Сергию телеграмму с благодар</w:t>
      </w:r>
      <w:r w:rsidRPr="00070ADE">
        <w:rPr>
          <w:rFonts w:ascii="Times New Roman" w:hAnsi="Times New Roman"/>
          <w:color w:val="000000" w:themeColor="text1"/>
          <w:sz w:val="16"/>
          <w:szCs w:val="16"/>
        </w:rPr>
        <w:softHyphen/>
        <w:t>ностью русскому духовенству и пастве за заботу о броне</w:t>
      </w:r>
      <w:r w:rsidRPr="00070ADE">
        <w:rPr>
          <w:rFonts w:ascii="Times New Roman" w:hAnsi="Times New Roman"/>
          <w:color w:val="000000" w:themeColor="text1"/>
          <w:sz w:val="16"/>
          <w:szCs w:val="16"/>
        </w:rPr>
        <w:softHyphen/>
        <w:t>танковых войсках Красной Армии. А вскоре Государствен</w:t>
      </w:r>
      <w:r w:rsidRPr="00070ADE">
        <w:rPr>
          <w:rFonts w:ascii="Times New Roman" w:hAnsi="Times New Roman"/>
          <w:color w:val="000000" w:themeColor="text1"/>
          <w:sz w:val="16"/>
          <w:szCs w:val="16"/>
        </w:rPr>
        <w:softHyphen/>
        <w:t xml:space="preserve">ный банк СССР получил указание И. Сталина об открытии Специального счета Русской </w:t>
      </w:r>
      <w:r w:rsidRPr="00070ADE">
        <w:rPr>
          <w:rFonts w:ascii="Times New Roman" w:hAnsi="Times New Roman"/>
          <w:color w:val="000000" w:themeColor="text1"/>
          <w:sz w:val="16"/>
          <w:szCs w:val="16"/>
        </w:rPr>
        <w:lastRenderedPageBreak/>
        <w:t>Православной церкви, для .Сбора средств, что стало фактом признания юридического статуса РПЦ впервые за годы советской власти. &gt;, В январе 1943 г. большие денежные средства поступили га указанный счет в Москве, Ленинграде и Свердловске. Всего для создания танковой колонны в 1943 году Церковью было собрано свыше 8 миллионов рублей, а также большое количество предметов из драгоценных металлов, ювелирных изделий, антикварных предметов, произведений искусств...</w:t>
      </w:r>
    </w:p>
    <w:p w14:paraId="4B61C84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Наибольший вклад внесли верующие Москвы — более 2 млн. руб., свыше 1 млн. руб. собрали верующие Ленин</w:t>
      </w:r>
      <w:r w:rsidRPr="00070ADE">
        <w:rPr>
          <w:rFonts w:ascii="Times New Roman" w:hAnsi="Times New Roman"/>
          <w:color w:val="000000" w:themeColor="text1"/>
          <w:sz w:val="16"/>
          <w:szCs w:val="16"/>
        </w:rPr>
        <w:softHyphen/>
        <w:t>града, 650 тыс. руб. поступило на счет РПЦ из Куйбышева, по полмиллиона дали Астрахань и Пенза, по 400 тыс. — Ка</w:t>
      </w:r>
      <w:r w:rsidRPr="00070ADE">
        <w:rPr>
          <w:rFonts w:ascii="Times New Roman" w:hAnsi="Times New Roman"/>
          <w:color w:val="000000" w:themeColor="text1"/>
          <w:sz w:val="16"/>
          <w:szCs w:val="16"/>
        </w:rPr>
        <w:softHyphen/>
        <w:t>зань и Саратов, немногим более 300 тыс. дала Пермь.</w:t>
      </w:r>
    </w:p>
    <w:p w14:paraId="014D68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Большие суммы поступали и из сельской местности. Например, Ивановская обл. собрала 146 тыс. руб. На свя</w:t>
      </w:r>
      <w:r w:rsidRPr="00070ADE">
        <w:rPr>
          <w:rFonts w:ascii="Times New Roman" w:hAnsi="Times New Roman"/>
          <w:color w:val="000000" w:themeColor="text1"/>
          <w:sz w:val="16"/>
          <w:szCs w:val="16"/>
        </w:rPr>
        <w:softHyphen/>
        <w:t>тое дело отдавали свое не только в тылу. Уже звучали в пе-%ати воспоминания протоиерея церкви села Троицкого Днепропетровской области И. Ивлева: «В церковной кассе денег не было, а их надо было достать... Я благословил двух 75-летних старушек на это великое дело. Пусть имена их бу</w:t>
      </w:r>
      <w:r w:rsidRPr="00070ADE">
        <w:rPr>
          <w:rFonts w:ascii="Times New Roman" w:hAnsi="Times New Roman"/>
          <w:color w:val="000000" w:themeColor="text1"/>
          <w:sz w:val="16"/>
          <w:szCs w:val="16"/>
        </w:rPr>
        <w:softHyphen/>
        <w:t>дут известны людям: Ковригина Мария Максимовна и Гор-бенко Матрена Максимовна.” (11135).</w:t>
      </w:r>
    </w:p>
    <w:p w14:paraId="11B355E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F37D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были изготовлены два эталонных Т-44, вооруженных соответственно 85-мм пушкой Д-5Т и 122-мм пушкой Д-25Т-44. Эти машины предполагалось использовать в качестве образцов при организации се</w:t>
      </w:r>
      <w:r w:rsidRPr="00070ADE">
        <w:rPr>
          <w:rFonts w:ascii="Times New Roman" w:hAnsi="Times New Roman"/>
          <w:color w:val="000000" w:themeColor="text1"/>
          <w:sz w:val="16"/>
          <w:szCs w:val="16"/>
        </w:rPr>
        <w:softHyphen/>
        <w:t>рийного производства. В частности, на них были установ</w:t>
      </w:r>
      <w:r w:rsidRPr="00070ADE">
        <w:rPr>
          <w:rFonts w:ascii="Times New Roman" w:hAnsi="Times New Roman"/>
          <w:color w:val="000000" w:themeColor="text1"/>
          <w:sz w:val="16"/>
          <w:szCs w:val="16"/>
        </w:rPr>
        <w:softHyphen/>
        <w:t>лены дизели не В-2-УМ (520 л.с.), а выпущенные на Ки</w:t>
      </w:r>
      <w:r w:rsidRPr="00070ADE">
        <w:rPr>
          <w:rFonts w:ascii="Times New Roman" w:hAnsi="Times New Roman"/>
          <w:color w:val="000000" w:themeColor="text1"/>
          <w:sz w:val="16"/>
          <w:szCs w:val="16"/>
        </w:rPr>
        <w:softHyphen/>
        <w:t>ровском заводе дизели В-2-ИС, специально приспособ</w:t>
      </w:r>
      <w:r w:rsidRPr="00070ADE">
        <w:rPr>
          <w:rFonts w:ascii="Times New Roman" w:hAnsi="Times New Roman"/>
          <w:color w:val="000000" w:themeColor="text1"/>
          <w:sz w:val="16"/>
          <w:szCs w:val="16"/>
        </w:rPr>
        <w:softHyphen/>
        <w:t>ленные под более тесное силовое отделение Т-44. Вы</w:t>
      </w:r>
      <w:r w:rsidRPr="00070ADE">
        <w:rPr>
          <w:rFonts w:ascii="Times New Roman" w:hAnsi="Times New Roman"/>
          <w:color w:val="000000" w:themeColor="text1"/>
          <w:sz w:val="16"/>
          <w:szCs w:val="16"/>
        </w:rPr>
        <w:softHyphen/>
        <w:t>хлопные патрубки, оканчивавшиеся на прототипе корот</w:t>
      </w:r>
      <w:r w:rsidRPr="00070ADE">
        <w:rPr>
          <w:rFonts w:ascii="Times New Roman" w:hAnsi="Times New Roman"/>
          <w:color w:val="000000" w:themeColor="text1"/>
          <w:sz w:val="16"/>
          <w:szCs w:val="16"/>
        </w:rPr>
        <w:softHyphen/>
        <w:t>кими отражательными козырьками — «шайбами», теперь выводились в прямоугольный выхлопной короб, который отводил горячие выхлопные газы в область кормы танка. Боеукладка танка претерпела изменения и превратилась в удобный для работы заряжающего стеллаж (11135).</w:t>
      </w:r>
    </w:p>
    <w:p w14:paraId="431BA88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1D8DFD" w14:textId="77777777" w:rsidR="00C5076B" w:rsidRPr="00070ADE" w:rsidRDefault="00C5076B" w:rsidP="00B56F90">
      <w:pPr>
        <w:pStyle w:val="ae"/>
        <w:spacing w:before="0" w:after="0"/>
        <w:jc w:val="both"/>
        <w:textAlignment w:val="baseline"/>
        <w:rPr>
          <w:color w:val="000000" w:themeColor="text1"/>
          <w:sz w:val="16"/>
          <w:szCs w:val="16"/>
        </w:rPr>
      </w:pPr>
      <w:r w:rsidRPr="00070ADE">
        <w:rPr>
          <w:color w:val="000000" w:themeColor="text1"/>
          <w:sz w:val="16"/>
          <w:szCs w:val="16"/>
        </w:rPr>
        <w:t>В феврале 1944 года, когда только построили первые опытные образцы, впервые был поднят вопрос серийного производства Т-44. 29 февраля Малышев по указанию Сталина подготовил проект постановления ГКО «Об организации производства средних танков Т-44 на заводе №183 Наркомтанкопрома». Согласно постановлению, первые 25 танков нового типа выпускались на заводе №183 в мае 1944 года, в июне их число вырастало до 50, в июле – до 150, в августе – до 300, в сентябре – до 500, в октябре – до 650 штук. Выпуск Т-34-85 при этом постепенно сокращался, а с сентября 1944 года прекращался полностью. Впрочем, ввиду выявившихся проблем с испытаниями опытных Т-44 постановление так и не было подписано. Сам завод №183 неоднократно выступал за организацию выпуска Т-44 на своих мощностях, но этого так и не случилось (19047).</w:t>
      </w:r>
    </w:p>
    <w:p w14:paraId="63DCE897" w14:textId="77777777" w:rsidR="00C5076B" w:rsidRPr="00070ADE" w:rsidRDefault="00C5076B" w:rsidP="00B56F90">
      <w:pPr>
        <w:pStyle w:val="ae"/>
        <w:spacing w:before="0" w:after="0"/>
        <w:jc w:val="both"/>
        <w:textAlignment w:val="baseline"/>
        <w:rPr>
          <w:color w:val="000000" w:themeColor="text1"/>
          <w:sz w:val="16"/>
          <w:szCs w:val="16"/>
        </w:rPr>
      </w:pPr>
    </w:p>
    <w:p w14:paraId="2CD3E636" w14:textId="77777777" w:rsidR="00C5076B" w:rsidRPr="00070ADE" w:rsidRDefault="00C5076B" w:rsidP="00B56F90">
      <w:pPr>
        <w:pStyle w:val="ae"/>
        <w:spacing w:before="0" w:after="0"/>
        <w:jc w:val="both"/>
        <w:textAlignment w:val="baseline"/>
        <w:rPr>
          <w:color w:val="000000" w:themeColor="text1"/>
          <w:sz w:val="16"/>
          <w:szCs w:val="16"/>
        </w:rPr>
      </w:pPr>
      <w:r w:rsidRPr="00070ADE">
        <w:rPr>
          <w:color w:val="000000" w:themeColor="text1"/>
          <w:sz w:val="16"/>
          <w:szCs w:val="16"/>
        </w:rPr>
        <w:t>В феврале 1944 года первый опытный образец Т-44 отправился в Москву на показ высшему руководству. Второй образец направили на НИБТ Полигон в подмосковную Кубинку. Третья же машина осталась на заводе №183, где, как уже говорилось, проходила заводские испытания. В отличие от ходовых испытаний, испытания стрельбой оказались не столь успешными. Причиной тому стала крайне низкая скорострельность, достигавшая 2-3 выстрела в минуту. С этим ещё как-то можно было мириться в тяжёлом танке ИС-2 и самоходных установках ИСУ, но для среднего танка такой показатель оказался явно недостаточным. Крайне небольшим оказался и боекомплект. В результате весной 1944 года было принято решение отказаться от идеи установки орудия Д-25 в башню Т-44.</w:t>
      </w:r>
    </w:p>
    <w:p w14:paraId="58337B09" w14:textId="77777777" w:rsidR="00C5076B" w:rsidRPr="00070ADE" w:rsidRDefault="00C5076B" w:rsidP="00B56F90">
      <w:pPr>
        <w:pStyle w:val="ae"/>
        <w:spacing w:before="0" w:after="0"/>
        <w:jc w:val="both"/>
        <w:textAlignment w:val="baseline"/>
        <w:rPr>
          <w:color w:val="000000" w:themeColor="text1"/>
          <w:sz w:val="16"/>
          <w:szCs w:val="16"/>
        </w:rPr>
      </w:pPr>
      <w:r w:rsidRPr="00070ADE">
        <w:rPr>
          <w:color w:val="000000" w:themeColor="text1"/>
          <w:sz w:val="16"/>
          <w:szCs w:val="16"/>
        </w:rPr>
        <w:t>К моменту прибытия второго опытного образца Т-44 на НИБТ Полигон он успел пройти 300 км. В отличие от Т-43, который во многом погубили затянувшиеся сроки начала тестов, с Т-44 тянуть резину не стали (18799).</w:t>
      </w:r>
    </w:p>
    <w:p w14:paraId="4A03E4CE" w14:textId="77777777" w:rsidR="00C5076B" w:rsidRPr="00070ADE" w:rsidRDefault="00C5076B" w:rsidP="00B56F90">
      <w:pPr>
        <w:spacing w:after="0" w:line="240" w:lineRule="auto"/>
        <w:jc w:val="both"/>
        <w:textAlignment w:val="baseline"/>
        <w:rPr>
          <w:rFonts w:ascii="Times New Roman" w:hAnsi="Times New Roman"/>
          <w:bCs/>
          <w:iCs/>
          <w:noProof/>
          <w:color w:val="000000" w:themeColor="text1"/>
          <w:sz w:val="16"/>
          <w:szCs w:val="16"/>
          <w:bdr w:val="none" w:sz="0" w:space="0" w:color="auto" w:frame="1"/>
          <w:lang w:eastAsia="ru-RU"/>
        </w:rPr>
      </w:pPr>
    </w:p>
    <w:p w14:paraId="4541633B"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года работы по танкам Т-44 разделились. Первый опытный образец Т-44 отправился в Москву на показ высшему руководству. Второй образец направили на НИБТ Полигон в подмосковную Кубинку. К моменту прибытия второго опытного образца Т-44 на НИБТ Полигон он успел пройти 300 километров (25486).</w:t>
      </w:r>
    </w:p>
    <w:p w14:paraId="7888B3BC" w14:textId="77777777" w:rsidR="0065195F" w:rsidRPr="00C94B78" w:rsidRDefault="0065195F" w:rsidP="00B56F90">
      <w:pPr>
        <w:spacing w:after="0" w:line="240" w:lineRule="auto"/>
        <w:jc w:val="both"/>
        <w:rPr>
          <w:rFonts w:ascii="Times New Roman" w:hAnsi="Times New Roman"/>
          <w:color w:val="0070C0"/>
          <w:sz w:val="16"/>
          <w:szCs w:val="16"/>
        </w:rPr>
      </w:pPr>
    </w:p>
    <w:p w14:paraId="2F642351"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xml:space="preserve">В феврале 1944 года появился третий вариант башни </w:t>
      </w:r>
      <w:r w:rsidRPr="00C94B78">
        <w:rPr>
          <w:rFonts w:ascii="Times New Roman" w:hAnsi="Times New Roman"/>
          <w:color w:val="0070C0"/>
          <w:sz w:val="16"/>
          <w:szCs w:val="16"/>
          <w:lang w:val="en-US"/>
        </w:rPr>
        <w:t>N</w:t>
      </w:r>
      <w:r w:rsidRPr="00C94B78">
        <w:rPr>
          <w:rFonts w:ascii="Times New Roman" w:hAnsi="Times New Roman"/>
          <w:color w:val="0070C0"/>
          <w:sz w:val="16"/>
          <w:szCs w:val="16"/>
        </w:rPr>
        <w:t>-44, который иногда приписывают как установленный на второй опытный образец, но это не так. Как следует из исторической справки, подготовленной в ГБТУ КА, в феврале 1944 года Малышев распорядился изготовить третий опытный образец танка Т-44. С технической точки зрения он полностью повторял первую опытную машину, за исключением вооружения. Вместо 85-мм системы Д-5Т в башню было установлено 122-мм орудие Д-25-44.</w:t>
      </w:r>
    </w:p>
    <w:p w14:paraId="2FABA32F"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xml:space="preserve">От штатной Д-25Т данная система отличалась уменьшенной на 2-4% мощностью выстрела, а также менее габаритными и тяжелыми откатными частями. Кроме того, использовалось унитарное заряжание, что потенциально позволяло поднять скорострельность. Установка более крупного орудия в третий вариант башни не вызвала особых проблем, поскольку башня по первому варианту изначально разрабатывалась, что называется, на вырост. Правда, боекомплект оказался скромным – он составил 24 унитара. С другой стороны, у </w:t>
      </w:r>
      <w:r w:rsidRPr="00C94B78">
        <w:rPr>
          <w:rFonts w:ascii="Times New Roman" w:hAnsi="Times New Roman"/>
          <w:color w:val="0070C0"/>
          <w:sz w:val="16"/>
          <w:szCs w:val="16"/>
          <w:lang w:val="en-US"/>
        </w:rPr>
        <w:t>BC</w:t>
      </w:r>
      <w:r w:rsidRPr="00C94B78">
        <w:rPr>
          <w:rFonts w:ascii="Times New Roman" w:hAnsi="Times New Roman"/>
          <w:color w:val="0070C0"/>
          <w:sz w:val="16"/>
          <w:szCs w:val="16"/>
        </w:rPr>
        <w:t>-2 боекомплект составлял 28 выстрелов, тоже негусто/</w:t>
      </w:r>
    </w:p>
    <w:p w14:paraId="66A003DC"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ходе заводских испытаний третий образец Т-44 преодолел самое большую дистанцию, пройдя 2340 км. В ходе длительных испытаний была достигнута средняя скорость движения 24 км/ч, а средний расход топлива составил 210 литров на 100 километров. В отличие от ходовых испытаний, испытания стрельбой оказались не столь успешными. Причиной тому стала низкая скорострельность, достигавшая 2-3 выстрела в минуту. С этим еще как-то можно было мириться в тяжелом танке ИС-2 и самоходных установках ИСУ, но для среднего танка данная скорострельность оказалась явно недостаточной. Крайне небольшим оказался и боекомплект/</w:t>
      </w:r>
    </w:p>
    <w:p w14:paraId="23C0FB32"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Результатом стало то, что далее от идеи установки 122-мм пушки Д-25Т отказались. Тем более что от погона диаметром 1800 мм также было решено отказаться. Тем не менее, работы по усилению вооружения Т-44 не остановились (26383).</w:t>
      </w:r>
    </w:p>
    <w:p w14:paraId="3D7172B3" w14:textId="77777777" w:rsidR="0065195F" w:rsidRPr="00C94B78" w:rsidRDefault="0065195F" w:rsidP="00B56F90">
      <w:pPr>
        <w:spacing w:after="0" w:line="240" w:lineRule="auto"/>
        <w:jc w:val="both"/>
        <w:rPr>
          <w:rFonts w:ascii="Times New Roman" w:hAnsi="Times New Roman"/>
          <w:color w:val="0070C0"/>
          <w:sz w:val="16"/>
          <w:szCs w:val="16"/>
        </w:rPr>
      </w:pPr>
    </w:p>
    <w:p w14:paraId="2C1A8FE0"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года появилась третья башня для Т-44 и идеологом ее создания стал Малышев. Ставилась она на третий образец Т-44. С технической точки зрения он полностью повторял первую опытную машину, за исключением вооружения. Вместо 85-мм системы Д-5Т в башню было установлено 122-мм орудие Д-25-44. Причиной, не в последнюю очередь, стали результаты обстрела «Пантеры» и САУ «Фердинанд» в конце 1943 года. Выяснилось, что 85-мм бронебойный снаряд Д-5Т не пробивает верхний лобовой лист «Пантеры» с любых дистанций, для Д-25Т лоб немецкого танка не представлял проблем (25486).</w:t>
      </w:r>
    </w:p>
    <w:p w14:paraId="120E49C3" w14:textId="77777777" w:rsidR="0065195F" w:rsidRPr="00C94B78" w:rsidRDefault="0065195F" w:rsidP="00B56F90">
      <w:pPr>
        <w:spacing w:after="0" w:line="240" w:lineRule="auto"/>
        <w:jc w:val="both"/>
        <w:rPr>
          <w:rFonts w:ascii="Times New Roman" w:hAnsi="Times New Roman"/>
          <w:color w:val="0070C0"/>
          <w:sz w:val="16"/>
          <w:szCs w:val="16"/>
        </w:rPr>
      </w:pPr>
    </w:p>
    <w:p w14:paraId="126D9931" w14:textId="22B2942E" w:rsidR="00C5076B" w:rsidRPr="00070ADE" w:rsidRDefault="00C5076B" w:rsidP="00B56F90">
      <w:pPr>
        <w:pStyle w:val="ae"/>
        <w:spacing w:before="0" w:after="0"/>
        <w:jc w:val="both"/>
        <w:textAlignment w:val="baseline"/>
        <w:rPr>
          <w:color w:val="000000" w:themeColor="text1"/>
          <w:sz w:val="16"/>
          <w:szCs w:val="16"/>
        </w:rPr>
      </w:pPr>
      <w:r w:rsidRPr="00070ADE">
        <w:rPr>
          <w:color w:val="000000" w:themeColor="text1"/>
          <w:sz w:val="16"/>
          <w:szCs w:val="16"/>
        </w:rPr>
        <w:t>В феврале 1944 года появился третий вариант башни. Некоторые источники указывают, что данная башня устанавливалась на второй опытный образец, но это не так. Как следует из исторической справки, подготовленной в ГБТУ КА, в феврале 1944 года Малышев распорядился изготовить третий опытный образец Т-44. С технической точки зрения он полностью повторял первую опытную машину, за исключением вооружения. Вместо 85-мм системы Д-5Т в башню было установлено 122-мм орудие Д-25-44. От штатной пушки Д-25Т данное орудие отличалось уменьшенной на 2-4% мощностью выстрела, а также менее габаритными и тяжёлыми откатными частями. Кроме того, использовалось унитарное заряжание. Установка не вызвала особых проблем, поскольку башня по первому варианту изначально разрабатывалась, что называется, на вырост. Причиной появления Д-25-44 не в последнюю очередь стали результаты обстрела «Пантеры» и</w:t>
      </w:r>
      <w:r w:rsidR="00B643A8" w:rsidRPr="00070ADE">
        <w:rPr>
          <w:color w:val="000000" w:themeColor="text1"/>
          <w:sz w:val="16"/>
          <w:szCs w:val="16"/>
        </w:rPr>
        <w:t xml:space="preserve"> </w:t>
      </w:r>
      <w:hyperlink r:id="rId62" w:history="1">
        <w:r w:rsidRPr="00070ADE">
          <w:rPr>
            <w:rStyle w:val="a5"/>
            <w:bCs/>
            <w:iCs/>
            <w:color w:val="000000" w:themeColor="text1"/>
            <w:sz w:val="16"/>
            <w:szCs w:val="16"/>
            <w:u w:val="none"/>
            <w:bdr w:val="none" w:sz="0" w:space="0" w:color="auto" w:frame="1"/>
          </w:rPr>
          <w:t>«Фердинанда»</w:t>
        </w:r>
      </w:hyperlink>
      <w:r w:rsidR="00B643A8" w:rsidRPr="00070ADE">
        <w:rPr>
          <w:color w:val="000000" w:themeColor="text1"/>
          <w:sz w:val="16"/>
          <w:szCs w:val="16"/>
        </w:rPr>
        <w:t xml:space="preserve"> </w:t>
      </w:r>
      <w:r w:rsidRPr="00070ADE">
        <w:rPr>
          <w:color w:val="000000" w:themeColor="text1"/>
          <w:sz w:val="16"/>
          <w:szCs w:val="16"/>
        </w:rPr>
        <w:t>в конце 1943 года. Выяснилось, что 85-мм бронебойный снаряд Д-5Т не пробивает верхний лобовой лист «Пантеры» с любых дистанций, а для Д-25Т лоб немецкого танка не представляет проблем.</w:t>
      </w:r>
    </w:p>
    <w:p w14:paraId="119AA4ED" w14:textId="77777777" w:rsidR="00C5076B" w:rsidRPr="00070ADE" w:rsidRDefault="00C5076B" w:rsidP="00B56F90">
      <w:pPr>
        <w:pStyle w:val="ae"/>
        <w:spacing w:before="0" w:after="0"/>
        <w:jc w:val="both"/>
        <w:textAlignment w:val="baseline"/>
        <w:rPr>
          <w:color w:val="000000" w:themeColor="text1"/>
          <w:sz w:val="16"/>
          <w:szCs w:val="16"/>
        </w:rPr>
      </w:pPr>
      <w:r w:rsidRPr="00070ADE">
        <w:rPr>
          <w:color w:val="000000" w:themeColor="text1"/>
          <w:sz w:val="16"/>
          <w:szCs w:val="16"/>
        </w:rPr>
        <w:t>Согласно первоначальному плану, первые два опытных образца Т-44 должны были получить разные башни. Первый танк, подобно эскизному проекту, получал башню с диаметром погона 1800 мм и 85-мм орудие Д-5Т. Вторая машина также получала 85-мм орудие Д-5Т, но имела другую башню — с диаметром погона 1600 мм. Башня по первому варианту больше напоминала то, что предлагалось по эскизному проекту. Вместе с тем КБ-520 внесло целый ряд изменений, поменяв и технологию изготовления. Теперь башня изготовлялась методом литья, с вварной крышей. Использование литья позволило создать конструкцию довольно сложной формы, достаточно сказать, что углы наклона левой и правой стенок башни были не одинаковыми. Отчасти башня напоминала конструкцию для Т-43 по второму варианту, но при этом стенки крыши находились под наклоном. Также в носовой части появился высокий выступ, поскольку при определённых углах башня перекрывала люк механика-водителя.</w:t>
      </w:r>
    </w:p>
    <w:p w14:paraId="74B5CD72" w14:textId="77777777" w:rsidR="00C5076B" w:rsidRPr="00070ADE" w:rsidRDefault="00C5076B" w:rsidP="00B56F90">
      <w:pPr>
        <w:pStyle w:val="ae"/>
        <w:spacing w:before="0" w:after="0"/>
        <w:jc w:val="both"/>
        <w:textAlignment w:val="baseline"/>
        <w:rPr>
          <w:color w:val="000000" w:themeColor="text1"/>
          <w:sz w:val="16"/>
          <w:szCs w:val="16"/>
        </w:rPr>
      </w:pPr>
      <w:r w:rsidRPr="00070ADE">
        <w:rPr>
          <w:color w:val="000000" w:themeColor="text1"/>
          <w:sz w:val="16"/>
          <w:szCs w:val="16"/>
        </w:rPr>
        <w:t>Башня второго типа, с уменьшенным до 1600 мм диаметром погона, появилась неслучайно. Одной из причин стало то, что для запуска в серию башни с диаметром погона 1800 мм требовались дополнительные станки, а это, помимо всего прочего, влекло дополнительные затраты по времени. В то же время погон диаметром 1600 мм уже осваивали для выпуска Т-34-85. Также башня с уменьшенным погоном имела чуть меньшую массу. С конструктивной точки зрения эта башня была больше похожа на Т-43. Например, аналогичным образом выполнялись пистолетные порты, схоже выглядели борта башни. В связи с наличием будки механика-водителя у этой башни также пришлось поднимать высоту нижней части. Как и в случае с первым вариантом башни, это повышало риск попадания в основание башни вражеских снарядов, а также их рикошет в крышу отделения управления.</w:t>
      </w:r>
    </w:p>
    <w:p w14:paraId="7D9774D6" w14:textId="5F52C008" w:rsidR="00C5076B" w:rsidRPr="00070ADE" w:rsidRDefault="00C5076B" w:rsidP="00B56F90">
      <w:pPr>
        <w:pStyle w:val="ae"/>
        <w:spacing w:before="0" w:after="0"/>
        <w:jc w:val="both"/>
        <w:textAlignment w:val="baseline"/>
        <w:rPr>
          <w:color w:val="000000" w:themeColor="text1"/>
          <w:sz w:val="16"/>
          <w:szCs w:val="16"/>
        </w:rPr>
      </w:pPr>
      <w:r w:rsidRPr="00070ADE">
        <w:rPr>
          <w:color w:val="000000" w:themeColor="text1"/>
          <w:sz w:val="16"/>
          <w:szCs w:val="16"/>
        </w:rPr>
        <w:t>В ходе создания опытных образцов Т-44 переделке подверглись не только башни, но и размещение боекомплекта. Изначально все 54 унитарных патрона калибра 85 мм размещались в носовой укладке. Это решение выглядело более удобным, чем размещение боезапаса в закрытых ящиках на полу боевого отделения, но не идеальным. В результате появилась новая система укладки боекомплекта. 4 патрона разместили в укладке первой очереди на правом борту башни (как в танке</w:t>
      </w:r>
      <w:r w:rsidR="00B643A8" w:rsidRPr="00070ADE">
        <w:rPr>
          <w:color w:val="000000" w:themeColor="text1"/>
          <w:sz w:val="16"/>
          <w:szCs w:val="16"/>
        </w:rPr>
        <w:t xml:space="preserve"> </w:t>
      </w:r>
      <w:hyperlink r:id="rId63" w:history="1">
        <w:r w:rsidRPr="00070ADE">
          <w:rPr>
            <w:rStyle w:val="a5"/>
            <w:bCs/>
            <w:iCs/>
            <w:color w:val="000000" w:themeColor="text1"/>
            <w:sz w:val="16"/>
            <w:szCs w:val="16"/>
            <w:u w:val="none"/>
            <w:bdr w:val="none" w:sz="0" w:space="0" w:color="auto" w:frame="1"/>
          </w:rPr>
          <w:t>Т-34-85</w:t>
        </w:r>
      </w:hyperlink>
      <w:r w:rsidRPr="00070ADE">
        <w:rPr>
          <w:color w:val="000000" w:themeColor="text1"/>
          <w:sz w:val="16"/>
          <w:szCs w:val="16"/>
        </w:rPr>
        <w:t>). Ещё 16 патронов оказались в забашенной нише, а число патронов в носовой укладке сократили до 30. Также изменили в лучшую сторону укладки магазинов к ДТ — всего их возилось 44 штуки. В случае с третьим опытным образцом боекомплект оказался более скромным — 24 выстрела.</w:t>
      </w:r>
    </w:p>
    <w:p w14:paraId="366A41A2" w14:textId="77777777" w:rsidR="00C5076B" w:rsidRPr="00070ADE" w:rsidRDefault="00C5076B" w:rsidP="00B56F90">
      <w:pPr>
        <w:spacing w:after="0" w:line="240" w:lineRule="auto"/>
        <w:jc w:val="both"/>
        <w:textAlignment w:val="baseline"/>
        <w:rPr>
          <w:rFonts w:ascii="Times New Roman" w:hAnsi="Times New Roman"/>
          <w:color w:val="000000" w:themeColor="text1"/>
          <w:sz w:val="16"/>
          <w:szCs w:val="16"/>
        </w:rPr>
      </w:pPr>
      <w:r w:rsidRPr="00070ADE">
        <w:rPr>
          <w:rFonts w:ascii="Times New Roman" w:hAnsi="Times New Roman"/>
          <w:color w:val="000000" w:themeColor="text1"/>
          <w:sz w:val="16"/>
          <w:szCs w:val="16"/>
        </w:rPr>
        <w:t>Для третьей опытной машины разработали специальную версию орудия Д-25Т с унитарным заряжанием.</w:t>
      </w:r>
    </w:p>
    <w:p w14:paraId="2564C27D" w14:textId="43FAAF63" w:rsidR="00C5076B" w:rsidRPr="00070ADE" w:rsidRDefault="00C5076B" w:rsidP="00B56F90">
      <w:pPr>
        <w:pStyle w:val="ae"/>
        <w:spacing w:before="0" w:after="0"/>
        <w:jc w:val="both"/>
        <w:textAlignment w:val="baseline"/>
        <w:rPr>
          <w:color w:val="000000" w:themeColor="text1"/>
          <w:sz w:val="16"/>
          <w:szCs w:val="16"/>
        </w:rPr>
      </w:pPr>
      <w:r w:rsidRPr="00070ADE">
        <w:rPr>
          <w:color w:val="000000" w:themeColor="text1"/>
          <w:sz w:val="16"/>
          <w:szCs w:val="16"/>
        </w:rPr>
        <w:t>С точки зрения шасси все три построенных образца были идентичными. Корпус танка остался неизменным по сравнению с эскизным проектом. При его создании КБ-520 ориентировался прежде всего на защиту от 75-мм противотанковой пушки</w:t>
      </w:r>
      <w:r w:rsidR="00B643A8" w:rsidRPr="00070ADE">
        <w:rPr>
          <w:color w:val="000000" w:themeColor="text1"/>
          <w:sz w:val="16"/>
          <w:szCs w:val="16"/>
        </w:rPr>
        <w:t xml:space="preserve"> </w:t>
      </w:r>
      <w:hyperlink r:id="rId64" w:history="1">
        <w:r w:rsidRPr="00070ADE">
          <w:rPr>
            <w:rStyle w:val="a5"/>
            <w:bCs/>
            <w:iCs/>
            <w:color w:val="000000" w:themeColor="text1"/>
            <w:sz w:val="16"/>
            <w:szCs w:val="16"/>
            <w:u w:val="none"/>
            <w:bdr w:val="none" w:sz="0" w:space="0" w:color="auto" w:frame="1"/>
          </w:rPr>
          <w:t>Pak 40</w:t>
        </w:r>
      </w:hyperlink>
      <w:r w:rsidR="00B643A8" w:rsidRPr="00070ADE">
        <w:rPr>
          <w:color w:val="000000" w:themeColor="text1"/>
          <w:sz w:val="16"/>
          <w:szCs w:val="16"/>
        </w:rPr>
        <w:t xml:space="preserve"> </w:t>
      </w:r>
      <w:r w:rsidRPr="00070ADE">
        <w:rPr>
          <w:color w:val="000000" w:themeColor="text1"/>
          <w:sz w:val="16"/>
          <w:szCs w:val="16"/>
        </w:rPr>
        <w:t xml:space="preserve">— на тот момент самого массового противотанкового средства немецкой армии. Защита лба башни оценивалась куда ниже: согласно расчётам, лоб башни не пробивался Pak 40 на дистанции 1400 м и дальше. Толщина вертикально расположенных </w:t>
      </w:r>
      <w:r w:rsidRPr="00070ADE">
        <w:rPr>
          <w:color w:val="000000" w:themeColor="text1"/>
          <w:sz w:val="16"/>
          <w:szCs w:val="16"/>
        </w:rPr>
        <w:lastRenderedPageBreak/>
        <w:t>бортов корпуса достигала 45 мм, при этом в верхней части приваривались экраны толщиной 30 мм. Таким образом, общая толщина бортов корпуса в месте установки экранов составляла 75 мм. Высота корпуса была существенно снижена: в передней части она составляла 830 мм, а в кормовой части — 965 мм. Сохранялась и рубка (будка) механика-водителя (18799).</w:t>
      </w:r>
    </w:p>
    <w:p w14:paraId="2585F8B3" w14:textId="77777777" w:rsidR="00C5076B" w:rsidRPr="00070ADE" w:rsidRDefault="00C5076B" w:rsidP="00B56F90">
      <w:pPr>
        <w:spacing w:after="0" w:line="240" w:lineRule="auto"/>
        <w:jc w:val="both"/>
        <w:textAlignment w:val="baseline"/>
        <w:rPr>
          <w:rFonts w:ascii="Times New Roman" w:hAnsi="Times New Roman"/>
          <w:bCs/>
          <w:iCs/>
          <w:noProof/>
          <w:color w:val="000000" w:themeColor="text1"/>
          <w:sz w:val="16"/>
          <w:szCs w:val="16"/>
          <w:bdr w:val="none" w:sz="0" w:space="0" w:color="auto" w:frame="1"/>
          <w:lang w:eastAsia="ru-RU"/>
        </w:rPr>
      </w:pPr>
    </w:p>
    <w:p w14:paraId="1FA2A2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был выпущен опытный образец самоходной уста</w:t>
      </w:r>
      <w:r w:rsidRPr="00070ADE">
        <w:rPr>
          <w:rFonts w:ascii="Times New Roman" w:hAnsi="Times New Roman"/>
          <w:color w:val="000000" w:themeColor="text1"/>
          <w:sz w:val="16"/>
          <w:szCs w:val="16"/>
        </w:rPr>
        <w:softHyphen/>
        <w:t>новки СУ-85БМ-П, вооруженный 85-мм пушкой Д-5С-85БМ, ствол ко</w:t>
      </w:r>
      <w:r w:rsidRPr="00070ADE">
        <w:rPr>
          <w:rFonts w:ascii="Times New Roman" w:hAnsi="Times New Roman"/>
          <w:color w:val="000000" w:themeColor="text1"/>
          <w:sz w:val="16"/>
          <w:szCs w:val="16"/>
        </w:rPr>
        <w:softHyphen/>
        <w:t>торой был удлинен за счет установки гладкой насадки. Начальная ско</w:t>
      </w:r>
      <w:r w:rsidRPr="00070ADE">
        <w:rPr>
          <w:rFonts w:ascii="Times New Roman" w:hAnsi="Times New Roman"/>
          <w:color w:val="000000" w:themeColor="text1"/>
          <w:sz w:val="16"/>
          <w:szCs w:val="16"/>
        </w:rPr>
        <w:softHyphen/>
        <w:t>рость бронебойного снаряда возросла до 1050 м/с. Этот снаряд проби</w:t>
      </w:r>
      <w:r w:rsidRPr="00070ADE">
        <w:rPr>
          <w:rFonts w:ascii="Times New Roman" w:hAnsi="Times New Roman"/>
          <w:color w:val="000000" w:themeColor="text1"/>
          <w:sz w:val="16"/>
          <w:szCs w:val="16"/>
        </w:rPr>
        <w:softHyphen/>
        <w:t>вал лобовую броню немецкого танка Т-VI "Тигр I" на дальности 2000 м (10703).</w:t>
      </w:r>
    </w:p>
    <w:p w14:paraId="3D4E450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BB3AD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на Уралмашзаводе была создана новая САУ СУ-85БМ-II с еще более длинной и мощной пушкой Д-10-85 завода 9 с начальной скоростью снаряда 1050 м и дальностью прямого выстрела 1375 м. В связи с появлением еще более мощного 100 мм орудия тема развития не получила (4406).</w:t>
      </w:r>
    </w:p>
    <w:p w14:paraId="6FCC47E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EE68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т.к. из-за большой загрузки ЦАКБ работы по С-51 затяну</w:t>
      </w:r>
      <w:r w:rsidRPr="00070ADE">
        <w:rPr>
          <w:rFonts w:ascii="Times New Roman" w:hAnsi="Times New Roman"/>
          <w:color w:val="000000" w:themeColor="text1"/>
          <w:sz w:val="16"/>
          <w:szCs w:val="16"/>
        </w:rPr>
        <w:softHyphen/>
        <w:t>лись, начались заводские испыта</w:t>
      </w:r>
      <w:r w:rsidRPr="00070ADE">
        <w:rPr>
          <w:rFonts w:ascii="Times New Roman" w:hAnsi="Times New Roman"/>
          <w:color w:val="000000" w:themeColor="text1"/>
          <w:sz w:val="16"/>
          <w:szCs w:val="16"/>
        </w:rPr>
        <w:softHyphen/>
        <w:t>ния опытного образца. Ввиду ограничений по времени они велись по сокращенной программе, а поскольку интерес к САУ был очень большой, то еще до завершения заводских испытаний машина-была передана на АНИОП. Но здесь С-51 повела себя не лучшим образом. Неудач</w:t>
      </w:r>
      <w:r w:rsidRPr="00070ADE">
        <w:rPr>
          <w:rFonts w:ascii="Times New Roman" w:hAnsi="Times New Roman"/>
          <w:color w:val="000000" w:themeColor="text1"/>
          <w:sz w:val="16"/>
          <w:szCs w:val="16"/>
        </w:rPr>
        <w:softHyphen/>
        <w:t>ный баланс артсистемы привел к тому, что на марше маши</w:t>
      </w:r>
      <w:r w:rsidRPr="00070ADE">
        <w:rPr>
          <w:rFonts w:ascii="Times New Roman" w:hAnsi="Times New Roman"/>
          <w:color w:val="000000" w:themeColor="text1"/>
          <w:sz w:val="16"/>
          <w:szCs w:val="16"/>
        </w:rPr>
        <w:softHyphen/>
        <w:t>на показала себя неустойчивой и была склонна к опроки</w:t>
      </w:r>
      <w:r w:rsidRPr="00070ADE">
        <w:rPr>
          <w:rFonts w:ascii="Times New Roman" w:hAnsi="Times New Roman"/>
          <w:color w:val="000000" w:themeColor="text1"/>
          <w:sz w:val="16"/>
          <w:szCs w:val="16"/>
        </w:rPr>
        <w:softHyphen/>
        <w:t>дыванию. Во время стрельбы из-за высокой линии огня САУ сильно раскачивалась и сдвигалась назад чаще всего со значительным боковым смещением, что обязательно приводило к сбиванию наводки и большому рассеиванию снарядов. При малых углах возвышения отдача была стол] велика, что практически все номера расчета (в том числе и наводчик) не могли удержаться на своих местах на лафете. Стало очевидно, что для нормального функционирования необходим откидной сошник и машина требует доработок. Тем не менее С-51 все же была рекомендована для при</w:t>
      </w:r>
      <w:r w:rsidRPr="00070ADE">
        <w:rPr>
          <w:rFonts w:ascii="Times New Roman" w:hAnsi="Times New Roman"/>
          <w:color w:val="000000" w:themeColor="text1"/>
          <w:sz w:val="16"/>
          <w:szCs w:val="16"/>
        </w:rPr>
        <w:softHyphen/>
        <w:t>нятия на вооружение с учетом устранения отмеченных недо</w:t>
      </w:r>
      <w:r w:rsidRPr="00070ADE">
        <w:rPr>
          <w:rFonts w:ascii="Times New Roman" w:hAnsi="Times New Roman"/>
          <w:color w:val="000000" w:themeColor="text1"/>
          <w:sz w:val="16"/>
          <w:szCs w:val="16"/>
        </w:rPr>
        <w:softHyphen/>
        <w:t>статков после второй фазы полигонных испытаний (11417).</w:t>
      </w:r>
    </w:p>
    <w:p w14:paraId="772E56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Тактико-технические характеристики тяжелых САУ 1943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694"/>
        <w:gridCol w:w="850"/>
        <w:gridCol w:w="850"/>
        <w:gridCol w:w="945"/>
        <w:gridCol w:w="935"/>
      </w:tblGrid>
      <w:tr w:rsidR="004D4663" w:rsidRPr="00070ADE" w14:paraId="5D71E4CA" w14:textId="77777777">
        <w:trPr>
          <w:trHeight w:val="182"/>
        </w:trPr>
        <w:tc>
          <w:tcPr>
            <w:tcW w:w="2694" w:type="dxa"/>
            <w:tcBorders>
              <w:top w:val="single" w:sz="12" w:space="0" w:color="auto"/>
            </w:tcBorders>
          </w:tcPr>
          <w:p w14:paraId="47C58F7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1D34F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12" w:space="0" w:color="auto"/>
            </w:tcBorders>
          </w:tcPr>
          <w:p w14:paraId="58861A8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152-мм</w:t>
            </w:r>
          </w:p>
        </w:tc>
        <w:tc>
          <w:tcPr>
            <w:tcW w:w="850" w:type="dxa"/>
            <w:tcBorders>
              <w:top w:val="single" w:sz="12" w:space="0" w:color="auto"/>
            </w:tcBorders>
          </w:tcPr>
          <w:p w14:paraId="2BB3D63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152-мм</w:t>
            </w:r>
          </w:p>
          <w:p w14:paraId="2D2D5A3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Borders>
              <w:top w:val="single" w:sz="12" w:space="0" w:color="auto"/>
            </w:tcBorders>
          </w:tcPr>
          <w:p w14:paraId="3FE9C0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152-мм</w:t>
            </w:r>
          </w:p>
          <w:p w14:paraId="0584F9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Borders>
              <w:top w:val="single" w:sz="12" w:space="0" w:color="auto"/>
            </w:tcBorders>
          </w:tcPr>
          <w:p w14:paraId="59578A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203-мм</w:t>
            </w:r>
          </w:p>
          <w:p w14:paraId="0E5B3E4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3906FBE" w14:textId="77777777">
        <w:trPr>
          <w:trHeight w:val="192"/>
        </w:trPr>
        <w:tc>
          <w:tcPr>
            <w:tcW w:w="2694" w:type="dxa"/>
          </w:tcPr>
          <w:p w14:paraId="75630AE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ТТХ / Марка </w:t>
            </w:r>
          </w:p>
          <w:p w14:paraId="73A5FA8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1884F3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САУ СУ-152</w:t>
            </w:r>
          </w:p>
        </w:tc>
        <w:tc>
          <w:tcPr>
            <w:tcW w:w="850" w:type="dxa"/>
          </w:tcPr>
          <w:p w14:paraId="255443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СУ-Д-15*</w:t>
            </w:r>
          </w:p>
          <w:p w14:paraId="2CB25B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516C9D8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ИСУ-152</w:t>
            </w:r>
          </w:p>
          <w:p w14:paraId="4EE3489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006388F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С-51</w:t>
            </w:r>
          </w:p>
          <w:p w14:paraId="058A3E9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F84BA24" w14:textId="77777777">
        <w:trPr>
          <w:trHeight w:val="192"/>
        </w:trPr>
        <w:tc>
          <w:tcPr>
            <w:tcW w:w="2694" w:type="dxa"/>
          </w:tcPr>
          <w:p w14:paraId="771B8D0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Боевая масса, кг </w:t>
            </w:r>
          </w:p>
          <w:p w14:paraId="76FEE1C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B28A4C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45600</w:t>
            </w:r>
          </w:p>
        </w:tc>
        <w:tc>
          <w:tcPr>
            <w:tcW w:w="850" w:type="dxa"/>
          </w:tcPr>
          <w:p w14:paraId="5146282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31000</w:t>
            </w:r>
          </w:p>
          <w:p w14:paraId="0B7F536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2EAFA48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46000</w:t>
            </w:r>
          </w:p>
          <w:p w14:paraId="2348CB6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3AAF226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49750</w:t>
            </w:r>
          </w:p>
          <w:p w14:paraId="6BC6AA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7ACD7B8" w14:textId="77777777">
        <w:trPr>
          <w:trHeight w:val="192"/>
        </w:trPr>
        <w:tc>
          <w:tcPr>
            <w:tcW w:w="2694" w:type="dxa"/>
          </w:tcPr>
          <w:p w14:paraId="61E5C6E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чел.</w:t>
            </w:r>
          </w:p>
          <w:p w14:paraId="470B6A5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BFCA70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850" w:type="dxa"/>
          </w:tcPr>
          <w:p w14:paraId="46A0ED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26B1B01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09BDED1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563DCA7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1B8E51F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p w14:paraId="3DEC27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A9B5AF4" w14:textId="77777777">
        <w:trPr>
          <w:trHeight w:val="163"/>
        </w:trPr>
        <w:tc>
          <w:tcPr>
            <w:tcW w:w="6274" w:type="dxa"/>
            <w:gridSpan w:val="5"/>
          </w:tcPr>
          <w:p w14:paraId="2CDC756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Размерения. Мм</w:t>
            </w:r>
          </w:p>
          <w:p w14:paraId="2090B5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4C9202F" w14:textId="77777777">
        <w:trPr>
          <w:trHeight w:val="202"/>
        </w:trPr>
        <w:tc>
          <w:tcPr>
            <w:tcW w:w="2694" w:type="dxa"/>
          </w:tcPr>
          <w:p w14:paraId="64FD28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Длина общая </w:t>
            </w:r>
          </w:p>
          <w:p w14:paraId="5F09378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FA450D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8950</w:t>
            </w:r>
          </w:p>
        </w:tc>
        <w:tc>
          <w:tcPr>
            <w:tcW w:w="850" w:type="dxa"/>
          </w:tcPr>
          <w:p w14:paraId="5DBE52A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7000</w:t>
            </w:r>
          </w:p>
          <w:p w14:paraId="69757E9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5B869A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9050</w:t>
            </w:r>
          </w:p>
          <w:p w14:paraId="55E9030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6725895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9350</w:t>
            </w:r>
          </w:p>
          <w:p w14:paraId="2611D2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F2AE1EA" w14:textId="77777777">
        <w:trPr>
          <w:trHeight w:val="182"/>
        </w:trPr>
        <w:tc>
          <w:tcPr>
            <w:tcW w:w="2694" w:type="dxa"/>
          </w:tcPr>
          <w:p w14:paraId="02E4746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Ширина </w:t>
            </w:r>
          </w:p>
          <w:p w14:paraId="1153732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974AAA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3250</w:t>
            </w:r>
          </w:p>
        </w:tc>
        <w:tc>
          <w:tcPr>
            <w:tcW w:w="850" w:type="dxa"/>
          </w:tcPr>
          <w:p w14:paraId="1BC3CE9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6100</w:t>
            </w:r>
          </w:p>
          <w:p w14:paraId="41D85AD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242256A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6770</w:t>
            </w:r>
          </w:p>
          <w:p w14:paraId="54632F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7C1CF5C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3380</w:t>
            </w:r>
          </w:p>
          <w:p w14:paraId="7E0E8C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374F344" w14:textId="77777777">
        <w:trPr>
          <w:trHeight w:val="192"/>
        </w:trPr>
        <w:tc>
          <w:tcPr>
            <w:tcW w:w="2694" w:type="dxa"/>
          </w:tcPr>
          <w:p w14:paraId="7B298EA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Высота </w:t>
            </w:r>
          </w:p>
          <w:p w14:paraId="04532CF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5F0902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2450</w:t>
            </w:r>
          </w:p>
        </w:tc>
        <w:tc>
          <w:tcPr>
            <w:tcW w:w="850" w:type="dxa"/>
          </w:tcPr>
          <w:p w14:paraId="78D6867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3000</w:t>
            </w:r>
          </w:p>
          <w:p w14:paraId="58F0CDA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290E84D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3070</w:t>
            </w:r>
          </w:p>
          <w:p w14:paraId="2D0A172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7726E2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3400</w:t>
            </w:r>
          </w:p>
          <w:p w14:paraId="29D5A0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043D144" w14:textId="77777777">
        <w:trPr>
          <w:trHeight w:val="192"/>
        </w:trPr>
        <w:tc>
          <w:tcPr>
            <w:tcW w:w="2694" w:type="dxa"/>
          </w:tcPr>
          <w:p w14:paraId="38A51A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Клиренс </w:t>
            </w:r>
          </w:p>
          <w:p w14:paraId="30E4130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8B9B10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440</w:t>
            </w:r>
          </w:p>
        </w:tc>
        <w:tc>
          <w:tcPr>
            <w:tcW w:w="850" w:type="dxa"/>
          </w:tcPr>
          <w:p w14:paraId="46C9451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p w14:paraId="326B69C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5DC4DD0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470</w:t>
            </w:r>
          </w:p>
          <w:p w14:paraId="645FBC5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47CA3A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343E2CA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4351BB9" w14:textId="77777777">
        <w:trPr>
          <w:trHeight w:val="173"/>
        </w:trPr>
        <w:tc>
          <w:tcPr>
            <w:tcW w:w="6274" w:type="dxa"/>
            <w:gridSpan w:val="5"/>
          </w:tcPr>
          <w:p w14:paraId="54C00C4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w:t>
            </w:r>
          </w:p>
          <w:p w14:paraId="66A49D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C5F4D5D" w14:textId="77777777">
        <w:trPr>
          <w:trHeight w:val="192"/>
        </w:trPr>
        <w:tc>
          <w:tcPr>
            <w:tcW w:w="2694" w:type="dxa"/>
          </w:tcPr>
          <w:p w14:paraId="147571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Орудие, кал </w:t>
            </w:r>
          </w:p>
          <w:p w14:paraId="788F5D6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EFE99C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152,4-мм</w:t>
            </w:r>
          </w:p>
        </w:tc>
        <w:tc>
          <w:tcPr>
            <w:tcW w:w="850" w:type="dxa"/>
          </w:tcPr>
          <w:p w14:paraId="785E0FA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152,4-мм,</w:t>
            </w:r>
          </w:p>
          <w:p w14:paraId="4B8C5C6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62C0CAE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152-мм</w:t>
            </w:r>
          </w:p>
          <w:p w14:paraId="19340B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7C9DBDB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203,2-мм</w:t>
            </w:r>
          </w:p>
          <w:p w14:paraId="4A835BA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5788BDD" w14:textId="77777777">
        <w:trPr>
          <w:trHeight w:val="192"/>
        </w:trPr>
        <w:tc>
          <w:tcPr>
            <w:tcW w:w="2694" w:type="dxa"/>
          </w:tcPr>
          <w:p w14:paraId="5F27B7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Тип </w:t>
            </w:r>
          </w:p>
          <w:p w14:paraId="11C1788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63A82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МЛ-20С</w:t>
            </w:r>
          </w:p>
        </w:tc>
        <w:tc>
          <w:tcPr>
            <w:tcW w:w="850" w:type="dxa"/>
          </w:tcPr>
          <w:p w14:paraId="4DA79B5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Д-15</w:t>
            </w:r>
          </w:p>
          <w:p w14:paraId="31FE96D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0EECBDB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МЛ-20С</w:t>
            </w:r>
          </w:p>
          <w:p w14:paraId="2B36337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596192A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Б-4</w:t>
            </w:r>
          </w:p>
          <w:p w14:paraId="0F4502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727AF69" w14:textId="77777777">
        <w:trPr>
          <w:trHeight w:val="182"/>
        </w:trPr>
        <w:tc>
          <w:tcPr>
            <w:tcW w:w="2694" w:type="dxa"/>
          </w:tcPr>
          <w:p w14:paraId="5C9A94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Длина ствола, клб </w:t>
            </w:r>
          </w:p>
          <w:p w14:paraId="314285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007440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28,8</w:t>
            </w:r>
          </w:p>
        </w:tc>
        <w:tc>
          <w:tcPr>
            <w:tcW w:w="850" w:type="dxa"/>
          </w:tcPr>
          <w:p w14:paraId="11C9AEE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24,3</w:t>
            </w:r>
          </w:p>
          <w:p w14:paraId="01480FD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449473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28,8</w:t>
            </w:r>
          </w:p>
          <w:p w14:paraId="0E2DA71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086F554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322742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EC2D4D6" w14:textId="77777777">
        <w:trPr>
          <w:trHeight w:val="192"/>
        </w:trPr>
        <w:tc>
          <w:tcPr>
            <w:tcW w:w="2694" w:type="dxa"/>
          </w:tcPr>
          <w:p w14:paraId="3881196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скорость сн м/с</w:t>
            </w:r>
          </w:p>
          <w:p w14:paraId="4BB8381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54DBD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tc>
        <w:tc>
          <w:tcPr>
            <w:tcW w:w="850" w:type="dxa"/>
          </w:tcPr>
          <w:p w14:paraId="426ABE5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381</w:t>
            </w:r>
          </w:p>
          <w:p w14:paraId="14152BA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0B3999C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p w14:paraId="3BCCA8B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3571CE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550-600</w:t>
            </w:r>
          </w:p>
          <w:p w14:paraId="69FB74F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2B72B0D" w14:textId="77777777">
        <w:trPr>
          <w:trHeight w:val="182"/>
        </w:trPr>
        <w:tc>
          <w:tcPr>
            <w:tcW w:w="2694" w:type="dxa"/>
          </w:tcPr>
          <w:p w14:paraId="436BFCE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Угол гориз. наведения </w:t>
            </w:r>
          </w:p>
          <w:p w14:paraId="20D2A1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B982A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850" w:type="dxa"/>
          </w:tcPr>
          <w:p w14:paraId="279A7F7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6D19EA3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163B8A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p w14:paraId="05435C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0437ABF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66CD07F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D1A5931" w14:textId="77777777">
        <w:trPr>
          <w:trHeight w:val="192"/>
        </w:trPr>
        <w:tc>
          <w:tcPr>
            <w:tcW w:w="2694" w:type="dxa"/>
          </w:tcPr>
          <w:p w14:paraId="27FB84E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Угол верт. наведения </w:t>
            </w:r>
          </w:p>
          <w:p w14:paraId="7725D94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20D1F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-5+18'</w:t>
            </w:r>
          </w:p>
        </w:tc>
        <w:tc>
          <w:tcPr>
            <w:tcW w:w="850" w:type="dxa"/>
          </w:tcPr>
          <w:p w14:paraId="4C90BA0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w:t>
            </w:r>
          </w:p>
          <w:p w14:paraId="673D49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3547209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w:t>
            </w:r>
          </w:p>
          <w:p w14:paraId="04BA06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6F85940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-0+60'</w:t>
            </w:r>
          </w:p>
          <w:p w14:paraId="728CC2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528CC6D" w14:textId="77777777">
        <w:trPr>
          <w:trHeight w:val="182"/>
        </w:trPr>
        <w:tc>
          <w:tcPr>
            <w:tcW w:w="2694" w:type="dxa"/>
          </w:tcPr>
          <w:p w14:paraId="16DC662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Снарядов, шт. </w:t>
            </w:r>
          </w:p>
          <w:p w14:paraId="20468B6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D5DD31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850" w:type="dxa"/>
          </w:tcPr>
          <w:p w14:paraId="237804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p w14:paraId="4E5D187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647F9D7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p w14:paraId="0EC7AB3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1D00AC3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p w14:paraId="3DDC3D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2FF1440" w14:textId="77777777">
        <w:trPr>
          <w:trHeight w:val="192"/>
        </w:trPr>
        <w:tc>
          <w:tcPr>
            <w:tcW w:w="2694" w:type="dxa"/>
          </w:tcPr>
          <w:p w14:paraId="49374B7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Пулеметов, шт. х кал -</w:t>
            </w:r>
          </w:p>
          <w:p w14:paraId="6955D95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D8077D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Pr>
          <w:p w14:paraId="648134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BD2F52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77130BB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1x12,7 мм</w:t>
            </w:r>
          </w:p>
          <w:p w14:paraId="30B466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13C0EDA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_</w:t>
            </w:r>
          </w:p>
          <w:p w14:paraId="6B6A95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7065D60" w14:textId="77777777">
        <w:trPr>
          <w:trHeight w:val="192"/>
        </w:trPr>
        <w:tc>
          <w:tcPr>
            <w:tcW w:w="2694" w:type="dxa"/>
          </w:tcPr>
          <w:p w14:paraId="3EB8DC0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Патронов, шт.</w:t>
            </w:r>
          </w:p>
          <w:p w14:paraId="54DEC1D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0BFADF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Pr>
          <w:p w14:paraId="5481106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65E2F8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1653497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p w14:paraId="1436C6E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147A6AB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75D72B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BA5ECBD" w14:textId="77777777">
        <w:trPr>
          <w:trHeight w:val="163"/>
        </w:trPr>
        <w:tc>
          <w:tcPr>
            <w:tcW w:w="6274" w:type="dxa"/>
            <w:gridSpan w:val="5"/>
          </w:tcPr>
          <w:p w14:paraId="6A38FA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Толщина брони, мм</w:t>
            </w:r>
          </w:p>
          <w:p w14:paraId="26F3A24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84AF474" w14:textId="77777777">
        <w:trPr>
          <w:trHeight w:val="202"/>
        </w:trPr>
        <w:tc>
          <w:tcPr>
            <w:tcW w:w="2694" w:type="dxa"/>
          </w:tcPr>
          <w:p w14:paraId="5777F22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Вертик. корпуса </w:t>
            </w:r>
          </w:p>
          <w:p w14:paraId="2F92177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29BF5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70-60</w:t>
            </w:r>
          </w:p>
        </w:tc>
        <w:tc>
          <w:tcPr>
            <w:tcW w:w="850" w:type="dxa"/>
          </w:tcPr>
          <w:p w14:paraId="041D30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p w14:paraId="6ED125C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68A3EA6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120-90-60</w:t>
            </w:r>
          </w:p>
          <w:p w14:paraId="736590B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1A6EC2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p w14:paraId="263632E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BE71280" w14:textId="77777777">
        <w:trPr>
          <w:trHeight w:val="182"/>
        </w:trPr>
        <w:tc>
          <w:tcPr>
            <w:tcW w:w="2694" w:type="dxa"/>
          </w:tcPr>
          <w:p w14:paraId="3E90AC4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Гориз. корпуса </w:t>
            </w:r>
          </w:p>
          <w:p w14:paraId="4F2E0B1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46C4F6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20-30</w:t>
            </w:r>
          </w:p>
        </w:tc>
        <w:tc>
          <w:tcPr>
            <w:tcW w:w="850" w:type="dxa"/>
          </w:tcPr>
          <w:p w14:paraId="3A2E879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10-20</w:t>
            </w:r>
          </w:p>
          <w:p w14:paraId="2614AB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01F14EF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30-20</w:t>
            </w:r>
          </w:p>
          <w:p w14:paraId="216DED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1130ED0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p w14:paraId="1D031F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78110E3" w14:textId="77777777">
        <w:trPr>
          <w:trHeight w:val="202"/>
        </w:trPr>
        <w:tc>
          <w:tcPr>
            <w:tcW w:w="2694" w:type="dxa"/>
          </w:tcPr>
          <w:p w14:paraId="0ABD7F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Рубка</w:t>
            </w:r>
          </w:p>
          <w:p w14:paraId="22E3A4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23C56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70-60</w:t>
            </w:r>
          </w:p>
        </w:tc>
        <w:tc>
          <w:tcPr>
            <w:tcW w:w="850" w:type="dxa"/>
          </w:tcPr>
          <w:p w14:paraId="2FE14D9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p w14:paraId="716BAB5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4A984B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120-60</w:t>
            </w:r>
          </w:p>
          <w:p w14:paraId="4F941C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002869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_</w:t>
            </w:r>
          </w:p>
          <w:p w14:paraId="295AB29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79B33B3" w14:textId="77777777">
        <w:trPr>
          <w:trHeight w:val="163"/>
        </w:trPr>
        <w:tc>
          <w:tcPr>
            <w:tcW w:w="6274" w:type="dxa"/>
            <w:gridSpan w:val="5"/>
          </w:tcPr>
          <w:p w14:paraId="4D719C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Силовая установка</w:t>
            </w:r>
          </w:p>
          <w:p w14:paraId="1A98164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275AD4F" w14:textId="77777777">
        <w:trPr>
          <w:trHeight w:val="202"/>
        </w:trPr>
        <w:tc>
          <w:tcPr>
            <w:tcW w:w="2694" w:type="dxa"/>
          </w:tcPr>
          <w:p w14:paraId="781B43A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База т. </w:t>
            </w:r>
          </w:p>
          <w:p w14:paraId="4900220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52673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КВ-1С</w:t>
            </w:r>
          </w:p>
        </w:tc>
        <w:tc>
          <w:tcPr>
            <w:tcW w:w="850" w:type="dxa"/>
          </w:tcPr>
          <w:p w14:paraId="4F1DA99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 Т-34</w:t>
            </w:r>
          </w:p>
          <w:p w14:paraId="3FFFE5B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571B76F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 ИС</w:t>
            </w:r>
          </w:p>
          <w:p w14:paraId="53B0B0E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3C7EBA4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 КВ-1С</w:t>
            </w:r>
          </w:p>
          <w:p w14:paraId="64BDDA8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B487135" w14:textId="77777777">
        <w:trPr>
          <w:trHeight w:val="182"/>
        </w:trPr>
        <w:tc>
          <w:tcPr>
            <w:tcW w:w="2694" w:type="dxa"/>
          </w:tcPr>
          <w:p w14:paraId="57868C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Мощность макс. ,л.с. </w:t>
            </w:r>
          </w:p>
          <w:p w14:paraId="5FDB7ED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29E733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tc>
        <w:tc>
          <w:tcPr>
            <w:tcW w:w="850" w:type="dxa"/>
          </w:tcPr>
          <w:p w14:paraId="13B624A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4DA7D15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3A16BE7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520</w:t>
            </w:r>
          </w:p>
          <w:p w14:paraId="1595962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26AD1AA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p w14:paraId="59E32D2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8419ECF" w14:textId="77777777">
        <w:trPr>
          <w:trHeight w:val="192"/>
        </w:trPr>
        <w:tc>
          <w:tcPr>
            <w:tcW w:w="2694" w:type="dxa"/>
          </w:tcPr>
          <w:p w14:paraId="252BED0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 част. вращ. об/мин </w:t>
            </w:r>
          </w:p>
          <w:p w14:paraId="212FDE7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47616F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2000</w:t>
            </w:r>
          </w:p>
        </w:tc>
        <w:tc>
          <w:tcPr>
            <w:tcW w:w="850" w:type="dxa"/>
          </w:tcPr>
          <w:p w14:paraId="015B706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1850</w:t>
            </w:r>
          </w:p>
          <w:p w14:paraId="2BF4BAA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66A93C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1850</w:t>
            </w:r>
          </w:p>
          <w:p w14:paraId="05909F0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1830815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2000</w:t>
            </w:r>
          </w:p>
          <w:p w14:paraId="17DEC5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1964E23" w14:textId="77777777">
        <w:trPr>
          <w:trHeight w:val="192"/>
        </w:trPr>
        <w:tc>
          <w:tcPr>
            <w:tcW w:w="2694" w:type="dxa"/>
          </w:tcPr>
          <w:p w14:paraId="6876496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Передач КПП 6/2</w:t>
            </w:r>
          </w:p>
          <w:p w14:paraId="1CEA1A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C13216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4F4908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w:t>
            </w:r>
          </w:p>
          <w:p w14:paraId="155A7D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4B845FD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w:t>
            </w:r>
          </w:p>
          <w:p w14:paraId="305D6F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0B7F1AC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w:t>
            </w:r>
          </w:p>
          <w:p w14:paraId="2632AFF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7A47D51" w14:textId="77777777">
        <w:trPr>
          <w:trHeight w:val="192"/>
        </w:trPr>
        <w:tc>
          <w:tcPr>
            <w:tcW w:w="2694" w:type="dxa"/>
          </w:tcPr>
          <w:p w14:paraId="7E4044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км/ч</w:t>
            </w:r>
          </w:p>
          <w:p w14:paraId="0288D83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6DAF1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w:t>
            </w:r>
          </w:p>
        </w:tc>
        <w:tc>
          <w:tcPr>
            <w:tcW w:w="850" w:type="dxa"/>
          </w:tcPr>
          <w:p w14:paraId="28724E1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442B00A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40C5E6C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p w14:paraId="0332684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3FD686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p w14:paraId="23E9B3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81F1A57" w14:textId="77777777">
        <w:trPr>
          <w:trHeight w:val="173"/>
        </w:trPr>
        <w:tc>
          <w:tcPr>
            <w:tcW w:w="2694" w:type="dxa"/>
          </w:tcPr>
          <w:p w14:paraId="5C687A3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Среднетехнич км/ч </w:t>
            </w:r>
          </w:p>
          <w:p w14:paraId="2F24ADF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D33132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н.д.</w:t>
            </w:r>
          </w:p>
        </w:tc>
        <w:tc>
          <w:tcPr>
            <w:tcW w:w="850" w:type="dxa"/>
          </w:tcPr>
          <w:p w14:paraId="1B73B0D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w:t>
            </w:r>
          </w:p>
          <w:p w14:paraId="4054F05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1596171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w:t>
            </w:r>
          </w:p>
          <w:p w14:paraId="39FFEDF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2A593A8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p w14:paraId="3C273B6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595E11A" w14:textId="77777777">
        <w:trPr>
          <w:trHeight w:val="173"/>
        </w:trPr>
        <w:tc>
          <w:tcPr>
            <w:tcW w:w="2694" w:type="dxa"/>
          </w:tcPr>
          <w:p w14:paraId="6C42445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топлива</w:t>
            </w:r>
          </w:p>
        </w:tc>
        <w:tc>
          <w:tcPr>
            <w:tcW w:w="850" w:type="dxa"/>
          </w:tcPr>
          <w:p w14:paraId="4545659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Диз. толпливо</w:t>
            </w:r>
          </w:p>
        </w:tc>
        <w:tc>
          <w:tcPr>
            <w:tcW w:w="850" w:type="dxa"/>
          </w:tcPr>
          <w:p w14:paraId="12567E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Диз.топливо</w:t>
            </w:r>
          </w:p>
          <w:p w14:paraId="1B3E485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3F69F26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Диз. топливо</w:t>
            </w:r>
          </w:p>
          <w:p w14:paraId="5E85D14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4EBA8BE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Диз.топливо</w:t>
            </w:r>
          </w:p>
        </w:tc>
      </w:tr>
      <w:tr w:rsidR="004D4663" w:rsidRPr="00070ADE" w14:paraId="50982BA2" w14:textId="77777777">
        <w:trPr>
          <w:trHeight w:val="182"/>
        </w:trPr>
        <w:tc>
          <w:tcPr>
            <w:tcW w:w="2694" w:type="dxa"/>
          </w:tcPr>
          <w:p w14:paraId="41E9878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Емк. бака, л.</w:t>
            </w:r>
          </w:p>
          <w:p w14:paraId="3700FAC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BA212C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850" w:type="dxa"/>
          </w:tcPr>
          <w:p w14:paraId="53B7AF7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н.д.</w:t>
            </w:r>
          </w:p>
          <w:p w14:paraId="48D256A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4852D48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2CB1128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202138DD"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Н.Д.</w:t>
            </w:r>
          </w:p>
          <w:p w14:paraId="358F2C0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4F93E24" w14:textId="77777777">
        <w:trPr>
          <w:trHeight w:val="182"/>
        </w:trPr>
        <w:tc>
          <w:tcPr>
            <w:tcW w:w="2694" w:type="dxa"/>
          </w:tcPr>
          <w:p w14:paraId="78CEB6B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Запас хода, км </w:t>
            </w:r>
          </w:p>
          <w:p w14:paraId="2D43CA7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CBC191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w:t>
            </w:r>
          </w:p>
        </w:tc>
        <w:tc>
          <w:tcPr>
            <w:tcW w:w="850" w:type="dxa"/>
          </w:tcPr>
          <w:p w14:paraId="771C697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н.д.</w:t>
            </w:r>
          </w:p>
          <w:p w14:paraId="1806E4B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5B80AB9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w:t>
            </w:r>
          </w:p>
          <w:p w14:paraId="72430C9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Pr>
          <w:p w14:paraId="114766D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7B41C39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070ADE" w14:paraId="3A945D59" w14:textId="77777777">
        <w:trPr>
          <w:trHeight w:val="192"/>
        </w:trPr>
        <w:tc>
          <w:tcPr>
            <w:tcW w:w="2694" w:type="dxa"/>
            <w:tcBorders>
              <w:bottom w:val="single" w:sz="12" w:space="0" w:color="auto"/>
            </w:tcBorders>
          </w:tcPr>
          <w:p w14:paraId="08D1AD3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 днные по проекту</w:t>
            </w:r>
          </w:p>
          <w:p w14:paraId="6EEFE5E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0453F2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239BAC3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29A6D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Borders>
              <w:bottom w:val="single" w:sz="12" w:space="0" w:color="auto"/>
            </w:tcBorders>
          </w:tcPr>
          <w:p w14:paraId="26F1AA05"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14529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5" w:type="dxa"/>
            <w:tcBorders>
              <w:bottom w:val="single" w:sz="12" w:space="0" w:color="auto"/>
            </w:tcBorders>
          </w:tcPr>
          <w:p w14:paraId="46B13D5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8B7F0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8CDEF3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3F5E8FD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опытный образец самоходной гаубицы С-51, которая была разработана в ЦАКБ под руковод</w:t>
      </w:r>
      <w:r w:rsidRPr="00070ADE">
        <w:rPr>
          <w:rFonts w:ascii="Times New Roman" w:hAnsi="Times New Roman"/>
          <w:color w:val="000000" w:themeColor="text1"/>
          <w:sz w:val="16"/>
          <w:szCs w:val="16"/>
        </w:rPr>
        <w:softHyphen/>
        <w:t>ством В.Г. Грабина в 1943 г., после Заводских испытаний поступил на АНИОП, где в марте того же года прошел полигонные испытания и был рекомендован к принятию на вооружение. Однако на вооружение установка не прини</w:t>
      </w:r>
      <w:r w:rsidRPr="00070ADE">
        <w:rPr>
          <w:rFonts w:ascii="Times New Roman" w:hAnsi="Times New Roman"/>
          <w:color w:val="000000" w:themeColor="text1"/>
          <w:sz w:val="16"/>
          <w:szCs w:val="16"/>
        </w:rPr>
        <w:softHyphen/>
        <w:t>малась и в серийном производстве не состояла по причине прекраще</w:t>
      </w:r>
      <w:r w:rsidRPr="00070ADE">
        <w:rPr>
          <w:rFonts w:ascii="Times New Roman" w:hAnsi="Times New Roman"/>
          <w:color w:val="000000" w:themeColor="text1"/>
          <w:sz w:val="16"/>
          <w:szCs w:val="16"/>
        </w:rPr>
        <w:softHyphen/>
        <w:t>ния производства гаубиц Б-4 в начале 1942 г. Машина была создана на базе танка КВ-1С и имела компоновочную схему с кормовым расположением моторно-трансмиссионного отделе</w:t>
      </w:r>
      <w:r w:rsidRPr="00070ADE">
        <w:rPr>
          <w:rFonts w:ascii="Times New Roman" w:hAnsi="Times New Roman"/>
          <w:color w:val="000000" w:themeColor="text1"/>
          <w:sz w:val="16"/>
          <w:szCs w:val="16"/>
        </w:rPr>
        <w:softHyphen/>
        <w:t>ния и открытой установкой основного оружия в носовой части корпуса. Расчет (экипаж) установки состоял из десяти человек. В качестве основного оружия была использована качающаяся часть 203-мм гаубицы Б-4 обр. 1931 г. с поршневым затвором и баллистикой 203-мм гаубицы Б-4БМ. В связи с установкой орудия на новую само</w:t>
      </w:r>
      <w:r w:rsidRPr="00070ADE">
        <w:rPr>
          <w:rFonts w:ascii="Times New Roman" w:hAnsi="Times New Roman"/>
          <w:color w:val="000000" w:themeColor="text1"/>
          <w:sz w:val="16"/>
          <w:szCs w:val="16"/>
        </w:rPr>
        <w:softHyphen/>
        <w:t>ходную базу его конструкция существенных изменений не претерпела. В походном положении ствол гаубицы оттягивался назад. Высота ли</w:t>
      </w:r>
      <w:r w:rsidRPr="00070ADE">
        <w:rPr>
          <w:rFonts w:ascii="Times New Roman" w:hAnsi="Times New Roman"/>
          <w:color w:val="000000" w:themeColor="text1"/>
          <w:sz w:val="16"/>
          <w:szCs w:val="16"/>
        </w:rPr>
        <w:softHyphen/>
        <w:t>нии огня составляла 2795 мм. Стрельба велась только с места. Механиз</w:t>
      </w:r>
      <w:r w:rsidRPr="00070ADE">
        <w:rPr>
          <w:rFonts w:ascii="Times New Roman" w:hAnsi="Times New Roman"/>
          <w:color w:val="000000" w:themeColor="text1"/>
          <w:sz w:val="16"/>
          <w:szCs w:val="16"/>
        </w:rPr>
        <w:softHyphen/>
        <w:t>мы наводки (подъемный, приведения на заряжание и поворотный) сек</w:t>
      </w:r>
      <w:r w:rsidRPr="00070ADE">
        <w:rPr>
          <w:rFonts w:ascii="Times New Roman" w:hAnsi="Times New Roman"/>
          <w:color w:val="000000" w:themeColor="text1"/>
          <w:sz w:val="16"/>
          <w:szCs w:val="16"/>
        </w:rPr>
        <w:softHyphen/>
        <w:t>торного типа обеспечивали углы вертикальной наводки от 0 до +60° (10703).</w:t>
      </w:r>
    </w:p>
    <w:p w14:paraId="29C1A8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7BCE7F" w14:textId="77777777" w:rsidR="001A00DE" w:rsidRPr="00070ADE" w:rsidRDefault="001A00DE"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феврале 1944 года С-51 ЦАКБ прошли Заводские испытания. В их ходе было произведено 49 выстрелов. Выяснилось, что скорострельность, по сравнению с буксируемой Б-4, выросла на 30%. После испытаний был поднят вопрос о постройке ещё одной САУ, получившей индекс С-59. От С-51 она отличалась только орудием — 152-мм пушкой особой мощности БР-2.</w:t>
      </w:r>
    </w:p>
    <w:p w14:paraId="79AD8B8A" w14:textId="77777777" w:rsidR="001A00DE" w:rsidRPr="00070ADE" w:rsidRDefault="001A00DE"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По завершению заводских испытаний С-51 чуть переделали, после чего она отправилась на Гороховецкий АНИОП для полигонных испытаний. Машина прибыла туда 26 февраля, испытания начались позже — 16 марта. Из-за отсутствия оборудования на полигоне разбор и обмер частей гаубицы проводили на заводе №112. Полностью разобрать её, впрочем, не удалось. До начала испытаний С-51 прошла 150 километров, из которых 120 километров было пройдено по маршруту от АНИОП до завода №112 и обратно.</w:t>
      </w:r>
    </w:p>
    <w:p w14:paraId="11CF302F" w14:textId="77777777" w:rsidR="001A00DE" w:rsidRPr="00070ADE" w:rsidRDefault="001A00DE"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Предполагалось, что стрелять С-51 будет осколочно-фугасными снарядами, но их не было, и использовались бетонобойные. За время огневых испытаний, продолжавшихся до 24 марта, было произведено 209 выстрелов, из которых 135 усиленным зарядом.</w:t>
      </w:r>
    </w:p>
    <w:p w14:paraId="54784913" w14:textId="77777777" w:rsidR="001A00DE" w:rsidRPr="00070ADE" w:rsidRDefault="001A00DE"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При стрельбе под углом 30 градусов выяснилось, что установка откатывается назад на 1000-1300 мм, накат вперёд составлял 200 мм. При стрельбе носовая часть самоходной установки поднималась вверх на 250–450 мм, в то время как корма приседала на 200–300 мм. Высота прыжка с правого борта была на 100 мм выше, чем с левого.</w:t>
      </w:r>
    </w:p>
    <w:p w14:paraId="25983B1D" w14:textId="77777777" w:rsidR="001A00DE" w:rsidRPr="00070ADE" w:rsidRDefault="001A00DE"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При стрельбе под углом 45 градусов отход самохода достигал 750–1000 мм, а накат — 330 мм, носовая часть поднималась на 100–180 мм, а кормовая приседала на 120–140 мм. Стрельба на угле возвышения 57 градусов происходила с отходом на 400–750 мм, накатом — 300 мм, подъёмом носовой части — на 60–150 мм и оседание кормовой части — на 50–100 мм.</w:t>
      </w:r>
    </w:p>
    <w:p w14:paraId="5C209FE0" w14:textId="77777777" w:rsidR="001A00DE" w:rsidRPr="00070ADE" w:rsidRDefault="001A00DE"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результате устойчивость С-51 признали неудовлетворительной. Кроме того, отмечалась сильная сбиваемость прицела (18075).</w:t>
      </w:r>
    </w:p>
    <w:p w14:paraId="6AA23422" w14:textId="77777777" w:rsidR="001A00DE" w:rsidRPr="00070ADE" w:rsidRDefault="001A00DE" w:rsidP="00B56F90">
      <w:pPr>
        <w:shd w:val="clear" w:color="auto" w:fill="FFFFFF"/>
        <w:spacing w:after="0" w:line="240" w:lineRule="auto"/>
        <w:jc w:val="both"/>
        <w:rPr>
          <w:rFonts w:ascii="Times New Roman" w:hAnsi="Times New Roman"/>
          <w:noProof/>
          <w:color w:val="000000" w:themeColor="text1"/>
          <w:sz w:val="16"/>
          <w:szCs w:val="16"/>
          <w:lang w:eastAsia="ru-RU"/>
        </w:rPr>
      </w:pPr>
    </w:p>
    <w:p w14:paraId="6BB6DB6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был выпущен опытный образец Су-100 с пушкой Д10-С и начались испытания (4406).</w:t>
      </w:r>
    </w:p>
    <w:p w14:paraId="610D1E6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54DAB1" w14:textId="77777777" w:rsidR="00C5076B" w:rsidRPr="00070ADE" w:rsidRDefault="00C507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года начались работы по изготовлению опытного образца СУ-100. НКТП определял сроком изготовления двух опытных образцов 12 февраля, но на практике построили одну машину. К середине месяца подготовили техническую документацию на опытный образец. При разработке приоритетом являлась установка системы Д-10С, что же касается СУ-100 с системой С-34, то её планировалось получить не ранее 5 марта. В ходе проектирования боевая масса СУ-100, вооружённой системой Д-10С, рассчитывалась на уровне 31–31,5 т, в финальной редакции масса составила 31,6 т. Боекомплект по сравнению с СУ-85 снизился почти на треть — до 33 выстрелов. Общая конструкция орудийной установки оказалась схожей с СУ-85, при этом толщину подвижной бронировки системы увеличили до 150 мм. Также из боевого отделения убрали левый передний топливный бак, а подвеску передних опорных катков усилили.</w:t>
      </w:r>
    </w:p>
    <w:p w14:paraId="0556A0C1" w14:textId="77777777" w:rsidR="00C5076B" w:rsidRPr="00070ADE" w:rsidRDefault="00C507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Несговорчивость ЦАКБ и крайне специфичное отношение Грабина к вопросу «что первичнее: орудие или база для него» сыграли в пользу КБ завода №9. В инициативном порядке и в кратчайший срок возглавляемый Ф.Ф. Петровым коллектив конструкторов разработал собственную систему калибра 100 мм. Орудие, ведущим конструктором которого являлся М.Е. Безусов, получило обозначение Д-10. Длина ствола составляла те же 56 калибров (5610 мм), что и у С-34-100, одинаковой оказалась и начальная скорость снарядов (900 м/с). Правда, длина отката у Д-10Т оказалась больше, чем у конкурента, и составляла 510–560 мм. Конструктивно система являлась логичным развитием конструкции КБ завода №9, также при её создании достигалась максимальная унификация. Например, от Д-25 брались затвор, люлька, подъёмный и поворотный механизмы.</w:t>
      </w:r>
    </w:p>
    <w:p w14:paraId="6761C788" w14:textId="13FB6D5B" w:rsidR="00C5076B" w:rsidRPr="00070ADE" w:rsidRDefault="00C507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Параллельно с разработкой артсистем калибра 100 мм в конструкторском бюро Уральского завода тяжёлого машиностроения (УЗТМ) шли работы по созданию САУ под новые орудия. Разработку машины вела та же группа конструкторов, что и СУ-85, а также</w:t>
      </w:r>
      <w:r w:rsidR="00B643A8" w:rsidRPr="00070ADE">
        <w:rPr>
          <w:rFonts w:ascii="Times New Roman" w:hAnsi="Times New Roman"/>
          <w:color w:val="000000" w:themeColor="text1"/>
          <w:sz w:val="16"/>
          <w:szCs w:val="16"/>
        </w:rPr>
        <w:t xml:space="preserve"> </w:t>
      </w:r>
      <w:hyperlink r:id="rId65" w:history="1">
        <w:r w:rsidRPr="00070ADE">
          <w:rPr>
            <w:rStyle w:val="a5"/>
            <w:rFonts w:ascii="Times New Roman" w:hAnsi="Times New Roman"/>
            <w:color w:val="000000" w:themeColor="text1"/>
            <w:sz w:val="16"/>
            <w:szCs w:val="16"/>
            <w:u w:val="none"/>
          </w:rPr>
          <w:t>СУ-122</w:t>
        </w:r>
      </w:hyperlink>
      <w:r w:rsidRPr="00070ADE">
        <w:rPr>
          <w:rFonts w:ascii="Times New Roman" w:hAnsi="Times New Roman"/>
          <w:color w:val="000000" w:themeColor="text1"/>
          <w:sz w:val="16"/>
          <w:szCs w:val="16"/>
        </w:rPr>
        <w:t>. Работы возглавлял Л.И. Горлицкий, ведущим инженером машины выступал Н.В. Курин.</w:t>
      </w:r>
    </w:p>
    <w:p w14:paraId="2D3087D2" w14:textId="77777777" w:rsidR="00C5076B" w:rsidRPr="00070ADE" w:rsidRDefault="00C507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многом самоходная установка, получившая обозначение СУ-100, была результатом компромиссных решений. С одной стороны, было очевидно, что необходимо расширять боевое отделение. С другой стороны, над конструкторами дамокловым мечом висело ограничение по массе. Во многом именно проблемы с перегрузкой ходовой части стали главной причиной, почему та же СУ-122М и аналогичные машины так и не стали серийными. В результате боевое отделение по основным геометрическим параметрам оставалось равнозначным СУ-85. Одинаковым оказался и угол наклона верхнего лобового листа рубки — 52 градуса от вертикали.</w:t>
      </w:r>
    </w:p>
    <w:p w14:paraId="39D74DD8" w14:textId="77777777" w:rsidR="00C5076B" w:rsidRPr="00070ADE" w:rsidRDefault="00C5076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Фактически СУ-100 была развитием опытного образца модернизированной СУ-85, созданной в конце 1943 года. По сравнению с серийной СУ-85 было внесено некоторое количество улучшений, главным из которых стало появление командирской башенки. Впрочем, простой заменой орудия при разработке СУ-100 не ограничились. Для начала толщина верхнего лобового листа и люка механика-водителя увеличилась до 75 мм. Это позволило заметно увеличить стойкость брони против наиболее распространённых противотанковых орудий (прежде всего 7,5 cm Pak 40). Двухстворчатый люк для панорамы в крыше корпуса сильно изменился, также в его левой створке появился перископический прибор MK-IV. Смотровые перископические приборы по периметру рубки убрали, зато на крышу вернулся вытяжной вентилятор. От наклона кормового листа рубки отказались, что позволило выиграть немного свободного места в боевом отделении (18252).</w:t>
      </w:r>
    </w:p>
    <w:p w14:paraId="13D2270C" w14:textId="77777777" w:rsidR="00C5076B" w:rsidRPr="00070ADE" w:rsidRDefault="00C5076B" w:rsidP="00B56F90">
      <w:pPr>
        <w:spacing w:after="0" w:line="240" w:lineRule="auto"/>
        <w:jc w:val="both"/>
        <w:rPr>
          <w:rFonts w:ascii="Times New Roman" w:hAnsi="Times New Roman"/>
          <w:color w:val="000000" w:themeColor="text1"/>
          <w:sz w:val="16"/>
          <w:szCs w:val="16"/>
        </w:rPr>
      </w:pPr>
    </w:p>
    <w:p w14:paraId="7B911219"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года первый опытный образец Су-100 прошел заводские испытания, со</w:t>
      </w:r>
      <w:r w:rsidRPr="00C94B78">
        <w:rPr>
          <w:rFonts w:ascii="Times New Roman" w:hAnsi="Times New Roman"/>
          <w:color w:val="0070C0"/>
          <w:sz w:val="16"/>
          <w:szCs w:val="16"/>
        </w:rPr>
        <w:softHyphen/>
        <w:t>стоявшие из 30 выстрелов и 150 км пробега. 3 марта самоход отправили на АНИОП в Гороховец для прохождения государ</w:t>
      </w:r>
      <w:r w:rsidRPr="00C94B78">
        <w:rPr>
          <w:rFonts w:ascii="Times New Roman" w:hAnsi="Times New Roman"/>
          <w:color w:val="0070C0"/>
          <w:sz w:val="16"/>
          <w:szCs w:val="16"/>
        </w:rPr>
        <w:softHyphen/>
        <w:t>ственных испытаний (25002).</w:t>
      </w:r>
    </w:p>
    <w:p w14:paraId="07704565" w14:textId="77777777" w:rsidR="0065195F" w:rsidRPr="00C94B78" w:rsidRDefault="0065195F" w:rsidP="00B56F90">
      <w:pPr>
        <w:spacing w:after="0" w:line="240" w:lineRule="auto"/>
        <w:jc w:val="both"/>
        <w:rPr>
          <w:rFonts w:ascii="Times New Roman" w:hAnsi="Times New Roman"/>
          <w:color w:val="0070C0"/>
          <w:sz w:val="16"/>
          <w:szCs w:val="16"/>
        </w:rPr>
      </w:pPr>
    </w:p>
    <w:p w14:paraId="7922E4EB"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года начались испытания самоходной артиллерийской установки СУ-100, в ходе которых было произведено 1040 выстрелов и пройдено 864 км. При создании СУ-100 конструкторы Уралмашзавода использовали наработки по модернизированной СУ-85, созданной в конце 1943 года. Состав экипажа СУ-100 по сравнению с СУ-85 не изменился, но было внесено много существенных улучшений, из которых наиболее заметным стало появление командирской башенки. Впрочем, при разработке новой ПТ САУ был не только увеличен калибр орудия. Для обеспечения защиты от наиболее распространенных немецких 75-мм орудий Pak 40 и Kw.K.40 L/48 толщина верхнего лобового листа и люка механика-водителя возросла до 75 мм при угле наклона 50°. Толщина бортовой брони осталась прежней – 45 мм. Толщина маски орудия составляла 100 мм. Двустворчатый люк для панорамы в крыше корпуса сильно изменился, также в его левой створке появился перископический прибор MK-IV. Смотровые перископические приборы по периметру рубки убрали, зато на крышу вернулся вытяжной вентилятор. От наклона кормового листа рубки отказались, что увеличило объём боевого отделения. Общая конструкция орудийной установки оказалась схожей с СУ-85. Также из боевого отделения убрали левый передний топливный бак, а подвеску передних опорных катков усилили. Боекомплект по сравнению с СУ-85 снизился почти на треть, до 33 выстрелов. Пушка монтировалась в лобовой плите рубки в литой рамке на двойных цапфах, позволявших её наведение в вертикальной плоскости в пределах от −3 до +20° и в горизонтальной ±8°. При стрельбе прямой наводкой наведение на цель осуществлялось при помощи телескопического шарнирного прицела ТШ-19, а с закрытых позиций — при помощи панорамы Герца и бокового уровня. В ходе испытаний была получена скорострельность до 8 выстр./мин. Практическая скорострельность орудия составляла 4—6 выстр./мин. (25488).</w:t>
      </w:r>
    </w:p>
    <w:p w14:paraId="4AB4F22C" w14:textId="77777777" w:rsidR="0065195F" w:rsidRPr="00C94B78" w:rsidRDefault="0065195F" w:rsidP="00B56F90">
      <w:pPr>
        <w:spacing w:after="0" w:line="240" w:lineRule="auto"/>
        <w:jc w:val="both"/>
        <w:rPr>
          <w:rFonts w:ascii="Times New Roman" w:hAnsi="Times New Roman"/>
          <w:color w:val="0070C0"/>
          <w:sz w:val="16"/>
          <w:szCs w:val="16"/>
        </w:rPr>
      </w:pPr>
    </w:p>
    <w:p w14:paraId="0030A718" w14:textId="77777777" w:rsidR="00673CAB" w:rsidRPr="00070ADE" w:rsidRDefault="00673CAB" w:rsidP="00B56F90">
      <w:pPr>
        <w:pStyle w:val="a3"/>
        <w:rPr>
          <w:color w:val="000000" w:themeColor="text1"/>
          <w:lang w:val="ru-RU"/>
        </w:rPr>
      </w:pPr>
      <w:r w:rsidRPr="00070ADE">
        <w:rPr>
          <w:color w:val="000000" w:themeColor="text1"/>
          <w:lang w:val="ru-RU"/>
        </w:rPr>
        <w:t xml:space="preserve">В феврале 1944 УЗТМ уже изготовил САУ с пушкой Д-10С Петрова. Испытания новой самоходки прошли успешно. 100-мм орудие Д-10С, установленное на этой САУ, обладало самой высокой бронепробиваемостью среди всех орудий, устанавливаемых на серийные советские танки и САУ в ходе войны (пробивало 132-мм броню на дистанции 500 метров под углом 30 градусов). 3 июля 1944 года ГКО своим постановлением № 6131 принял СУ-100 на вооружение (РГАСПИ. Ф. 644. Оп. 1. Д. 270. Л. 32-36). Но начало её производства на УЗТМ задержалось до сентября 1944 года. Дело в том, что 100-мм пушка Б-34, на основе баллистики которой создавались все эти орудия, не имела бронебойного снаряда. Разработка и подготовка производства такого снаряда должны были завершиться только к </w:t>
      </w:r>
      <w:r w:rsidRPr="00070ADE">
        <w:rPr>
          <w:color w:val="000000" w:themeColor="text1"/>
        </w:rPr>
        <w:t>IV</w:t>
      </w:r>
      <w:r w:rsidRPr="00070ADE">
        <w:rPr>
          <w:color w:val="000000" w:themeColor="text1"/>
          <w:lang w:val="ru-RU"/>
        </w:rPr>
        <w:t xml:space="preserve"> кварталу </w:t>
      </w:r>
      <w:r w:rsidRPr="00070ADE">
        <w:rPr>
          <w:color w:val="000000" w:themeColor="text1"/>
          <w:lang w:val="ru-RU"/>
        </w:rPr>
        <w:lastRenderedPageBreak/>
        <w:t>1944 года. За это время Грабину удалось заставить УЗТМ всё-таки выполнить вариант СУ-100, вооруженный его пушкой. Но на вооружение он так и не был принят (12290).</w:t>
      </w:r>
    </w:p>
    <w:p w14:paraId="6586EBE1" w14:textId="77777777" w:rsidR="00673CAB" w:rsidRPr="00070ADE" w:rsidRDefault="00673CAB" w:rsidP="00B56F90">
      <w:pPr>
        <w:pStyle w:val="a3"/>
        <w:rPr>
          <w:color w:val="000000" w:themeColor="text1"/>
          <w:lang w:val="ru-RU"/>
        </w:rPr>
      </w:pPr>
    </w:p>
    <w:p w14:paraId="0413FE5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УЗТМ совместно с заводом № 50 НКТП изгото</w:t>
      </w:r>
      <w:r w:rsidRPr="00070ADE">
        <w:rPr>
          <w:rFonts w:ascii="Times New Roman" w:hAnsi="Times New Roman"/>
          <w:color w:val="000000" w:themeColor="text1"/>
          <w:sz w:val="16"/>
          <w:szCs w:val="16"/>
        </w:rPr>
        <w:softHyphen/>
        <w:t>вил опытный образец самоходной установки СУ-100, вооруженный 100-мм пушкой Д-10С, который успешно прошел заводские испытания. Государственные испытания установки проходили на Гороховецком АНИОПе с 9 по 27 марта. Испытания САУ выдержала и была призна</w:t>
      </w:r>
      <w:r w:rsidRPr="00070ADE">
        <w:rPr>
          <w:rFonts w:ascii="Times New Roman" w:hAnsi="Times New Roman"/>
          <w:color w:val="000000" w:themeColor="text1"/>
          <w:sz w:val="16"/>
          <w:szCs w:val="16"/>
        </w:rPr>
        <w:softHyphen/>
        <w:t>на годной для принятия на вооружение РККА после проведения неко</w:t>
      </w:r>
      <w:r w:rsidRPr="00070ADE">
        <w:rPr>
          <w:rFonts w:ascii="Times New Roman" w:hAnsi="Times New Roman"/>
          <w:color w:val="000000" w:themeColor="text1"/>
          <w:sz w:val="16"/>
          <w:szCs w:val="16"/>
        </w:rPr>
        <w:softHyphen/>
        <w:t>торых улучшений ее конструкции. На основании результатов испыта</w:t>
      </w:r>
      <w:r w:rsidRPr="00070ADE">
        <w:rPr>
          <w:rFonts w:ascii="Times New Roman" w:hAnsi="Times New Roman"/>
          <w:color w:val="000000" w:themeColor="text1"/>
          <w:sz w:val="16"/>
          <w:szCs w:val="16"/>
        </w:rPr>
        <w:softHyphen/>
        <w:t>ний 14 апреля 1944 г. заводу было дано распоряжение о немедленной подготовке серийного производства самоходной установки СУ-100 (10703).</w:t>
      </w:r>
    </w:p>
    <w:p w14:paraId="0E12260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49B82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был выпущен на УЗТМ совместно с заводом № 50 НКТП первый опытный образец установки СУ-100 Объект-138. Машина прошла заводские и полигонные испытания на Гороховецком АНИОПе в марте 1944 г. По результатам испытаний в мае - июне 1944 г. был изготовлен второй опытный образец, который стал головным образцом серийного производства. Серийное производство было организовано на •УЗТМ с сентября 1944 г. по октябрь 1945 г. За время Великой Отечественной войны с сентября 1944 г. до 1 июня 1945 г. было выпущено 1560 самоходных установок, которые широко использовали в боях на заключительном этапе войны. Всего за время серийного производства выпустили 2495 самоходных установок СУ-100 (10703).</w:t>
      </w:r>
    </w:p>
    <w:p w14:paraId="4C299EC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BE365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года первый опытный образец СУ-100 прошел заводские испытания, состоявшие из 30 выстрелов и 150 км пробега.</w:t>
      </w:r>
    </w:p>
    <w:p w14:paraId="6337FBA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История с ЦАКБ с 85 мм пушкой в случае 100 мм пушки повторилась с точностью. Получив чертежи орудия С-34, на "Уралмаше" убедились, что эта пушка для самохода не годится: она имела внушительные размеры по ширине, при наведении влево упиралась во вторую подвеску, не позволяла разместить люк водителя. Были необходимы большие изменения в серийном корпусе САУ, в том числе и в его геометрической схеме, что влекло за собой изменение стендов для сварки и сборки. Требовалось перейти на торсионную подвеску, сместить рабочее место механика-водителя и все агрегаты управления машиной на 100 мм влево, расширить верхнюю часть корпуса до габаритов гусениц, что вызвало бы увеличение массы САУ на 3,5 т по сравнению с СУ-85. При этом ЦАКБ снова заняло непримиримую ведомственную позицию: давая свою танковую пушку С-34 для установки на САУ, оно требовало использовать ее без изменений и настаивало на приспособлении САУ к пушке. "Уралмашзавод" вновь обратился к заводу № 9, и там создали 100-мм орудие Д-10С, которое было легче С-34 и устанавливалось в серийном корпусе без его существенных изменений и без излишнего увеличения массы машины (9637).</w:t>
      </w:r>
    </w:p>
    <w:p w14:paraId="75BE114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17AABCC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Уралмашзавод с помощью завода № 50 изготовил первый опытный образец самохода с лобовой броней рубки, доведенной до 75 мм, и провел заводские ис</w:t>
      </w:r>
      <w:r w:rsidRPr="00070ADE">
        <w:rPr>
          <w:rFonts w:ascii="Times New Roman" w:hAnsi="Times New Roman"/>
          <w:color w:val="000000" w:themeColor="text1"/>
          <w:sz w:val="16"/>
          <w:szCs w:val="16"/>
        </w:rPr>
        <w:softHyphen/>
        <w:t>пытания 150 км пробега и 30 выстрелами. 3 марта 1944 г. артсамоход был отправлен на Гороховецкий полигон, где в пе</w:t>
      </w:r>
      <w:r w:rsidRPr="00070ADE">
        <w:rPr>
          <w:rFonts w:ascii="Times New Roman" w:hAnsi="Times New Roman"/>
          <w:color w:val="000000" w:themeColor="text1"/>
          <w:sz w:val="16"/>
          <w:szCs w:val="16"/>
        </w:rPr>
        <w:softHyphen/>
        <w:t>риод с 9 по 27 марта проходили Государственные испытания.</w:t>
      </w:r>
    </w:p>
    <w:p w14:paraId="0C19A1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Государственная комиссия под руководством полковни</w:t>
      </w:r>
      <w:r w:rsidRPr="00070ADE">
        <w:rPr>
          <w:rFonts w:ascii="Times New Roman" w:hAnsi="Times New Roman"/>
          <w:color w:val="000000" w:themeColor="text1"/>
          <w:sz w:val="16"/>
          <w:szCs w:val="16"/>
        </w:rPr>
        <w:softHyphen/>
        <w:t>ка Рупышева провела указанные испытания в более жестком режиме, чем было изначально запланировано, причем ужес</w:t>
      </w:r>
      <w:r w:rsidRPr="00070ADE">
        <w:rPr>
          <w:rFonts w:ascii="Times New Roman" w:hAnsi="Times New Roman"/>
          <w:color w:val="000000" w:themeColor="text1"/>
          <w:sz w:val="16"/>
          <w:szCs w:val="16"/>
        </w:rPr>
        <w:softHyphen/>
        <w:t>точение режима вызывалось требованиями ЦАКБ. Всего в ходе испытаний было пройдено 864 км пробега и выполнено 1040 выстрелов. И, несмотря на то, что за поведением само</w:t>
      </w:r>
      <w:r w:rsidRPr="00070ADE">
        <w:rPr>
          <w:rFonts w:ascii="Times New Roman" w:hAnsi="Times New Roman"/>
          <w:color w:val="000000" w:themeColor="text1"/>
          <w:sz w:val="16"/>
          <w:szCs w:val="16"/>
        </w:rPr>
        <w:softHyphen/>
        <w:t>хода наблюдало большое число глаз, комиссия рекомендо</w:t>
      </w:r>
      <w:r w:rsidRPr="00070ADE">
        <w:rPr>
          <w:rFonts w:ascii="Times New Roman" w:hAnsi="Times New Roman"/>
          <w:color w:val="000000" w:themeColor="text1"/>
          <w:sz w:val="16"/>
          <w:szCs w:val="16"/>
        </w:rPr>
        <w:softHyphen/>
        <w:t>вала указанный самоход на вооружение Красной Армии с учетом ликвидации отмеченных недостатков:</w:t>
      </w:r>
    </w:p>
    <w:p w14:paraId="4E545DB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Введением блокировки электроспуска для устранения самопроизвольных выстрелов при неподготовленном орудии или неожиданно для заряжающего (отмечались случаи травматизма заряжающих в ходе боев осени—зи</w:t>
      </w:r>
      <w:r w:rsidRPr="00070ADE">
        <w:rPr>
          <w:rFonts w:ascii="Times New Roman" w:hAnsi="Times New Roman"/>
          <w:color w:val="000000" w:themeColor="text1"/>
          <w:sz w:val="16"/>
          <w:szCs w:val="16"/>
        </w:rPr>
        <w:softHyphen/>
        <w:t>мы 1943 г.)</w:t>
      </w:r>
    </w:p>
    <w:p w14:paraId="159D4A7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Улучшением рабочего места командира.</w:t>
      </w:r>
    </w:p>
    <w:p w14:paraId="4E3EAE8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Улучшением крепления орудия по-походному.</w:t>
      </w:r>
    </w:p>
    <w:p w14:paraId="55B9DE6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Улучшением вентиляции боевого отделения.</w:t>
      </w:r>
    </w:p>
    <w:p w14:paraId="56954D0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Улучшением крепления боеприпасов.</w:t>
      </w:r>
    </w:p>
    <w:p w14:paraId="38B940A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Изъятием смазки газойлем коленвала двигателя и заме</w:t>
      </w:r>
      <w:r w:rsidRPr="00070ADE">
        <w:rPr>
          <w:rFonts w:ascii="Times New Roman" w:hAnsi="Times New Roman"/>
          <w:color w:val="000000" w:themeColor="text1"/>
          <w:sz w:val="16"/>
          <w:szCs w:val="16"/>
        </w:rPr>
        <w:softHyphen/>
        <w:t>ной ее смазкой авиамаслом.</w:t>
      </w:r>
    </w:p>
    <w:p w14:paraId="35F19C6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Улучшением защелок люков и крышек (11417).</w:t>
      </w:r>
    </w:p>
    <w:p w14:paraId="110A30E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F02CFB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по результатам испытаний ЗСУ-37 была рекомендована к принятию на вооружение РККА, однако завод № 38 не располагал необходимым оборудованием для ее серийного производст</w:t>
      </w:r>
      <w:r w:rsidRPr="00070ADE">
        <w:rPr>
          <w:rFonts w:ascii="Times New Roman" w:hAnsi="Times New Roman"/>
          <w:color w:val="000000" w:themeColor="text1"/>
          <w:sz w:val="16"/>
          <w:szCs w:val="16"/>
        </w:rPr>
        <w:softHyphen/>
        <w:t>ва. Чертежи установки были переданы в КБ завода № 40, где они были доработаны коллективом конструкторов под руководством Л.Ф. Попова. Весной 1944 г. заводом № 40 был выпущен второй опытный образец, который отличался от своего прототипа силовой установкой, размера</w:t>
      </w:r>
      <w:r w:rsidRPr="00070ADE">
        <w:rPr>
          <w:rFonts w:ascii="Times New Roman" w:hAnsi="Times New Roman"/>
          <w:color w:val="000000" w:themeColor="text1"/>
          <w:sz w:val="16"/>
          <w:szCs w:val="16"/>
        </w:rPr>
        <w:softHyphen/>
        <w:t>ми и массой, а также конструкцией вращающейся башни. В июле 1944 г. этот образец прошел полигонные испытания на НИБТ полигоне. По ре</w:t>
      </w:r>
      <w:r w:rsidRPr="00070ADE">
        <w:rPr>
          <w:rFonts w:ascii="Times New Roman" w:hAnsi="Times New Roman"/>
          <w:color w:val="000000" w:themeColor="text1"/>
          <w:sz w:val="16"/>
          <w:szCs w:val="16"/>
        </w:rPr>
        <w:softHyphen/>
        <w:t>зультатам испытаний летом того же года был выпущен третий опытный образец самоходной установки, на котором была вновь использована силовая установка СУ-76М. В октябре - ноябре 1944 г. этот опытный образец успешно прошел полигонные испытания и был рекомендован к принятию на вооружение РККА. В 1945 - 1948 гг. ЗСУ производилась на заводе № 40 в г. Мытищи Московской области. В 1945 г. было изго</w:t>
      </w:r>
      <w:r w:rsidRPr="00070ADE">
        <w:rPr>
          <w:rFonts w:ascii="Times New Roman" w:hAnsi="Times New Roman"/>
          <w:color w:val="000000" w:themeColor="text1"/>
          <w:sz w:val="16"/>
          <w:szCs w:val="16"/>
        </w:rPr>
        <w:softHyphen/>
        <w:t>товлено 12 самоходных установок ЗСУ-37 (10703).</w:t>
      </w:r>
    </w:p>
    <w:p w14:paraId="39E718A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A9F74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изготовленный опытный образец зе</w:t>
      </w:r>
      <w:r w:rsidRPr="00070ADE">
        <w:rPr>
          <w:rFonts w:ascii="Times New Roman" w:hAnsi="Times New Roman"/>
          <w:color w:val="000000" w:themeColor="text1"/>
          <w:sz w:val="16"/>
          <w:szCs w:val="16"/>
        </w:rPr>
        <w:softHyphen/>
        <w:t>нитной САУ СУ-17 прошел заводские испытания, которые выявили ряд незначительных дефектов. Машина была ре</w:t>
      </w:r>
      <w:r w:rsidRPr="00070ADE">
        <w:rPr>
          <w:rFonts w:ascii="Times New Roman" w:hAnsi="Times New Roman"/>
          <w:color w:val="000000" w:themeColor="text1"/>
          <w:sz w:val="16"/>
          <w:szCs w:val="16"/>
        </w:rPr>
        <w:softHyphen/>
        <w:t>комендована для принятия на вооружение с учетом внесе</w:t>
      </w:r>
      <w:r w:rsidRPr="00070ADE">
        <w:rPr>
          <w:rFonts w:ascii="Times New Roman" w:hAnsi="Times New Roman"/>
          <w:color w:val="000000" w:themeColor="text1"/>
          <w:sz w:val="16"/>
          <w:szCs w:val="16"/>
        </w:rPr>
        <w:softHyphen/>
        <w:t>ния в ее конструкцию необходимых доработок.</w:t>
      </w:r>
    </w:p>
    <w:p w14:paraId="2080C14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мощности завода не позволяли обеспечить па</w:t>
      </w:r>
      <w:r w:rsidRPr="00070ADE">
        <w:rPr>
          <w:rFonts w:ascii="Times New Roman" w:hAnsi="Times New Roman"/>
          <w:color w:val="000000" w:themeColor="text1"/>
          <w:sz w:val="16"/>
          <w:szCs w:val="16"/>
        </w:rPr>
        <w:softHyphen/>
        <w:t>раллельный с СУ-76 выпуск указанных САУ, а его техничес</w:t>
      </w:r>
      <w:r w:rsidRPr="00070ADE">
        <w:rPr>
          <w:rFonts w:ascii="Times New Roman" w:hAnsi="Times New Roman"/>
          <w:color w:val="000000" w:themeColor="text1"/>
          <w:sz w:val="16"/>
          <w:szCs w:val="16"/>
        </w:rPr>
        <w:softHyphen/>
        <w:t>кое перевооружение в ближайший год не планировалось. К тому же М.Н. Щукин занял место главного конструктора восстанавливаемого Харьковского завода № 75 (бывший Харьковский завод № 183), куда он перебрался осенью.</w:t>
      </w:r>
    </w:p>
    <w:p w14:paraId="068484B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Поэтому вся конструкгорско-технологическая докумен</w:t>
      </w:r>
      <w:r w:rsidRPr="00070ADE">
        <w:rPr>
          <w:rFonts w:ascii="Times New Roman" w:hAnsi="Times New Roman"/>
          <w:color w:val="000000" w:themeColor="text1"/>
          <w:sz w:val="16"/>
          <w:szCs w:val="16"/>
        </w:rPr>
        <w:softHyphen/>
        <w:t>тация по машине была передана на завод № 40 в Мытищи, который также выпускал СУ-76 и конструкторское бюро ко</w:t>
      </w:r>
      <w:r w:rsidRPr="00070ADE">
        <w:rPr>
          <w:rFonts w:ascii="Times New Roman" w:hAnsi="Times New Roman"/>
          <w:color w:val="000000" w:themeColor="text1"/>
          <w:sz w:val="16"/>
          <w:szCs w:val="16"/>
        </w:rPr>
        <w:softHyphen/>
        <w:t>торого выступило с инициативой по проведению упроще</w:t>
      </w:r>
      <w:r w:rsidRPr="00070ADE">
        <w:rPr>
          <w:rFonts w:ascii="Times New Roman" w:hAnsi="Times New Roman"/>
          <w:color w:val="000000" w:themeColor="text1"/>
          <w:sz w:val="16"/>
          <w:szCs w:val="16"/>
        </w:rPr>
        <w:softHyphen/>
        <w:t>ния конструкции самоходной зенитной пушки с целью уве</w:t>
      </w:r>
      <w:r w:rsidRPr="00070ADE">
        <w:rPr>
          <w:rFonts w:ascii="Times New Roman" w:hAnsi="Times New Roman"/>
          <w:color w:val="000000" w:themeColor="text1"/>
          <w:sz w:val="16"/>
          <w:szCs w:val="16"/>
        </w:rPr>
        <w:softHyphen/>
        <w:t>личения удельного выпуска и снижения закупочной цены (11417).</w:t>
      </w:r>
    </w:p>
    <w:p w14:paraId="24E3F683"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74C280"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ЦАКБ предложило свое баллис</w:t>
      </w:r>
      <w:r w:rsidRPr="00070ADE">
        <w:rPr>
          <w:rFonts w:ascii="Times New Roman" w:hAnsi="Times New Roman"/>
          <w:color w:val="000000" w:themeColor="text1"/>
          <w:sz w:val="16"/>
          <w:szCs w:val="16"/>
        </w:rPr>
        <w:softHyphen/>
        <w:t>тическое решение 85-мм пушки большой мощности с ис</w:t>
      </w:r>
      <w:r w:rsidRPr="00070ADE">
        <w:rPr>
          <w:rFonts w:ascii="Times New Roman" w:hAnsi="Times New Roman"/>
          <w:color w:val="000000" w:themeColor="text1"/>
          <w:sz w:val="16"/>
          <w:szCs w:val="16"/>
        </w:rPr>
        <w:softHyphen/>
        <w:t>пользованием гильзы от 100-мм выстрела орудия Б-34 или 122-мм выстрела орудия А-19. Но так как 122-мм гильза ис</w:t>
      </w:r>
      <w:r w:rsidRPr="00070ADE">
        <w:rPr>
          <w:rFonts w:ascii="Times New Roman" w:hAnsi="Times New Roman"/>
          <w:color w:val="000000" w:themeColor="text1"/>
          <w:sz w:val="16"/>
          <w:szCs w:val="16"/>
        </w:rPr>
        <w:softHyphen/>
        <w:t>пользовалась от выстрела раздельного заряжания и име</w:t>
      </w:r>
      <w:r w:rsidRPr="00070ADE">
        <w:rPr>
          <w:rFonts w:ascii="Times New Roman" w:hAnsi="Times New Roman"/>
          <w:color w:val="000000" w:themeColor="text1"/>
          <w:sz w:val="16"/>
          <w:szCs w:val="16"/>
        </w:rPr>
        <w:softHyphen/>
        <w:t>лись некоторые объективные трудности организации вы</w:t>
      </w:r>
      <w:r w:rsidRPr="00070ADE">
        <w:rPr>
          <w:rFonts w:ascii="Times New Roman" w:hAnsi="Times New Roman"/>
          <w:color w:val="000000" w:themeColor="text1"/>
          <w:sz w:val="16"/>
          <w:szCs w:val="16"/>
        </w:rPr>
        <w:softHyphen/>
        <w:t>пуска унитаров с ней, то НКВ и НКБ разрешили использо</w:t>
      </w:r>
      <w:r w:rsidRPr="00070ADE">
        <w:rPr>
          <w:rFonts w:ascii="Times New Roman" w:hAnsi="Times New Roman"/>
          <w:color w:val="000000" w:themeColor="text1"/>
          <w:sz w:val="16"/>
          <w:szCs w:val="16"/>
        </w:rPr>
        <w:softHyphen/>
        <w:t>вать только первый вариант с гильзой от Б-34, но несколь</w:t>
      </w:r>
      <w:r w:rsidRPr="00070ADE">
        <w:rPr>
          <w:rFonts w:ascii="Times New Roman" w:hAnsi="Times New Roman"/>
          <w:color w:val="000000" w:themeColor="text1"/>
          <w:sz w:val="16"/>
          <w:szCs w:val="16"/>
        </w:rPr>
        <w:softHyphen/>
        <w:t>ко увеличенным «зарядным отношением» (11417).</w:t>
      </w:r>
    </w:p>
    <w:p w14:paraId="12568A3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62D2C5" w14:textId="015DAC2B" w:rsidR="00112471" w:rsidRPr="00070ADE" w:rsidRDefault="00112471"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февраля 1944 года орудиеД-25 с клиновым затвором и новым дульным тормозом стали ставить на</w:t>
      </w:r>
      <w:r w:rsidR="00B643A8" w:rsidRPr="00070ADE">
        <w:rPr>
          <w:rFonts w:ascii="Times New Roman" w:hAnsi="Times New Roman"/>
          <w:color w:val="000000" w:themeColor="text1"/>
          <w:sz w:val="16"/>
          <w:szCs w:val="16"/>
        </w:rPr>
        <w:t xml:space="preserve"> </w:t>
      </w:r>
      <w:hyperlink r:id="rId66" w:tgtFrame="_self" w:history="1">
        <w:r w:rsidRPr="00070ADE">
          <w:rPr>
            <w:rStyle w:val="a5"/>
            <w:rFonts w:ascii="Times New Roman" w:hAnsi="Times New Roman"/>
            <w:color w:val="000000" w:themeColor="text1"/>
            <w:sz w:val="16"/>
            <w:szCs w:val="16"/>
          </w:rPr>
          <w:t>ИС-2</w:t>
        </w:r>
      </w:hyperlink>
      <w:r w:rsidRPr="00070ADE">
        <w:rPr>
          <w:rFonts w:ascii="Times New Roman" w:hAnsi="Times New Roman"/>
          <w:color w:val="000000" w:themeColor="text1"/>
          <w:sz w:val="16"/>
          <w:szCs w:val="16"/>
        </w:rPr>
        <w:t>. Что же касается орудий с поршневым затвором, то их выпустили всего 106 штук, это можно легко посчитать по числу полученных с завода №172 казенных частей. Их на заводе №9 не выпускали. А вот орудие с клиновым затвором уже полностью производилось в Свердловске (19840).</w:t>
      </w:r>
    </w:p>
    <w:p w14:paraId="623CACC7" w14:textId="77777777" w:rsidR="00112471" w:rsidRPr="00070ADE" w:rsidRDefault="00112471" w:rsidP="00B56F90">
      <w:pPr>
        <w:spacing w:after="0" w:line="240" w:lineRule="auto"/>
        <w:jc w:val="both"/>
        <w:rPr>
          <w:rFonts w:ascii="Times New Roman" w:eastAsia="Times New Roman" w:hAnsi="Times New Roman"/>
          <w:color w:val="000000" w:themeColor="text1"/>
          <w:sz w:val="16"/>
          <w:szCs w:val="16"/>
          <w:shd w:val="clear" w:color="auto" w:fill="DCDCDC"/>
          <w:lang w:eastAsia="ru-RU"/>
        </w:rPr>
      </w:pPr>
    </w:p>
    <w:p w14:paraId="1D00E7B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года были испытаны опытные образцы полевого транспортера береговой артиллерии (ПТБАРов) и дали положительные результаты (3861).</w:t>
      </w:r>
    </w:p>
    <w:p w14:paraId="46C58CB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B3A49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проект артиллерийского тягача А-45 з-да № 75 был доработан и в марте 1944 началось изготовление первых 10 машин (7382, 47).</w:t>
      </w:r>
    </w:p>
    <w:p w14:paraId="3DBE0E7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C80C64" w14:textId="77777777" w:rsidR="003E3C99" w:rsidRPr="00070ADE" w:rsidRDefault="003E3C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был опубликован обзор старшего техника-лейтенанта С.Б. Чистозвонова, посвященный развитию немецкого танкового двигателестроения[1121]. В конце статьи автор представил свою версию отказа германской промышленности от дизеля для танков. Редакция журнала сделала специальную пометку, что это только предположение самого С.Б. Чистозвонова.</w:t>
      </w:r>
    </w:p>
    <w:p w14:paraId="31903923" w14:textId="77777777" w:rsidR="003E3C99" w:rsidRPr="00070ADE" w:rsidRDefault="003E3C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Германии были разработаны и хорошо известны авиадизели, которые можно было применять в танкостроении: двухтактный фирмы «Юнкере» или 12-цилиндровый «Даймлер-Бенц» DB-603. Это были уже выпускающиеся модели. Отказ немецких конструкторов от использования этих установок был их принципиальным решением, поскольку они не видели в дизеле радикальных преимуществ в случае применения в танке. У бензинового мотора есть несколько важнейших положительных особенностей: минимальные габариты, безотказно сть запуска, дешевизна конструкции и долговечность.</w:t>
      </w:r>
    </w:p>
    <w:p w14:paraId="04ECC145" w14:textId="77777777" w:rsidR="003E3C99" w:rsidRPr="00070ADE" w:rsidRDefault="003E3C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 дизельный двигатель обеспечивает экономию топлива до 30 %. Но для его изготовления требуется значительно больший, чем для карбюраторного мотора, расход высоколегированных сталей и высококвалифицированного человеческого труда. При относительно короткой жизни танка в реальных условиях боя, экономия топлива выглядела крайне незначительным преимуществом на фоне вложенных в него усилий. Более высокую пожароопасно сть бензинового двигателя автор тоже поставил под сомнение: при должной продуманности конструкции пожарная опасность от технической неисправности будет сведена на нет, а при попадании снаряда в мотор или топливо пожар почти неизбежно возникал и в дизельном двигателе[1122].</w:t>
      </w:r>
    </w:p>
    <w:p w14:paraId="09BF2779" w14:textId="77777777" w:rsidR="003E3C99" w:rsidRPr="00070ADE" w:rsidRDefault="003E3C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Мы согласны с данным автором в том, что германские конструкторы (как, впрочем, и подавляющее большинство их иностранных коллег) совершенно осознанно не стали применять двигатели на тяжелом топливе для бронетехники. На том этапе развития промышленности и технологий в серийном производстве сложно было воплотить достаточно надежный и относительно дешевый дизельный мотор. Но в Советском Союзе, где напомним, обратная связь между конструкторской мыслью </w:t>
      </w:r>
      <w:r w:rsidRPr="00070ADE">
        <w:rPr>
          <w:rFonts w:ascii="Times New Roman" w:hAnsi="Times New Roman"/>
          <w:color w:val="000000" w:themeColor="text1"/>
          <w:sz w:val="16"/>
          <w:szCs w:val="16"/>
        </w:rPr>
        <w:lastRenderedPageBreak/>
        <w:t>и военным производством с одной стороны и выбором властных решений с другой работала с сильными искажениями, ставка была сделана именно на дизель. Уже во второй половине XX века такие моторы стали набирать популярность во всем мире. С течением времени они стали настолько компактными и дешевыми (впрочем, оставаясь все равно дороже бензиновых), что их начали применять не только для военной техники, но и в гражданском автомобилестроении (23536).</w:t>
      </w:r>
    </w:p>
    <w:p w14:paraId="0559F14D" w14:textId="77777777" w:rsidR="003E3C99" w:rsidRPr="00070ADE" w:rsidRDefault="003E3C99" w:rsidP="00B56F90">
      <w:pPr>
        <w:spacing w:after="0" w:line="240" w:lineRule="auto"/>
        <w:jc w:val="both"/>
        <w:rPr>
          <w:rFonts w:ascii="Times New Roman" w:hAnsi="Times New Roman"/>
          <w:color w:val="000000" w:themeColor="text1"/>
          <w:sz w:val="16"/>
          <w:szCs w:val="16"/>
        </w:rPr>
      </w:pPr>
    </w:p>
    <w:p w14:paraId="3F3DF4B9" w14:textId="77777777" w:rsidR="00AD0763" w:rsidRPr="00070ADE" w:rsidRDefault="00AD0763" w:rsidP="00B56F90">
      <w:pPr>
        <w:pStyle w:val="book"/>
        <w:ind w:firstLine="0"/>
        <w:jc w:val="both"/>
        <w:rPr>
          <w:color w:val="000000" w:themeColor="text1"/>
          <w:sz w:val="16"/>
          <w:szCs w:val="16"/>
        </w:rPr>
      </w:pPr>
      <w:r w:rsidRPr="00070ADE">
        <w:rPr>
          <w:color w:val="000000" w:themeColor="text1"/>
          <w:sz w:val="16"/>
          <w:szCs w:val="16"/>
        </w:rPr>
        <w:t>В феврале 1944 г. по распоряжению Берии был создан специальный отдел «С», в задачу которого входили сбор и обработка информации по атомной тематике. Начальником отдела был назначен разведчик П.А. Судоплатов (15225).</w:t>
      </w:r>
    </w:p>
    <w:p w14:paraId="46E242F6" w14:textId="77777777" w:rsidR="00AD0763" w:rsidRPr="00070ADE" w:rsidRDefault="00AD0763" w:rsidP="00B56F90">
      <w:pPr>
        <w:pStyle w:val="book"/>
        <w:ind w:firstLine="0"/>
        <w:jc w:val="both"/>
        <w:rPr>
          <w:color w:val="000000" w:themeColor="text1"/>
          <w:sz w:val="16"/>
          <w:szCs w:val="16"/>
        </w:rPr>
      </w:pPr>
    </w:p>
    <w:p w14:paraId="566022F4"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года, согласно воспоминаниям Павла Судоплатова в книге «Спецоперации. Лубянка и Кремль 1930–1950 годы»: «состоялось первое совещание руководителей военной разведки и НКВД по атомной проблеме в кабинете Берии на Лубянке. От военных присутствовали Ильичев и Мильштейн, от НКВД – Фитин и Овакимян. Я был официально представлен как руководитель группы «С», координировавший усилия в этой области. С этого времени разведка Наркомата обороны (будущее ГРУ) регулярно направляла нам всю поступавшую информацию по атомной проблеме»</w:t>
      </w:r>
      <w:bookmarkStart w:id="19" w:name="n_68"/>
      <w:r w:rsidRPr="00C94B78">
        <w:rPr>
          <w:rFonts w:ascii="Times New Roman" w:hAnsi="Times New Roman"/>
          <w:color w:val="0070C0"/>
          <w:sz w:val="16"/>
          <w:szCs w:val="16"/>
        </w:rPr>
        <w:t xml:space="preserve"> (25184).</w:t>
      </w:r>
      <w:bookmarkEnd w:id="19"/>
    </w:p>
    <w:p w14:paraId="4129C4EE" w14:textId="77777777" w:rsidR="0065195F" w:rsidRPr="00C94B78" w:rsidRDefault="0065195F" w:rsidP="00B56F90">
      <w:pPr>
        <w:spacing w:after="0" w:line="240" w:lineRule="auto"/>
        <w:jc w:val="both"/>
        <w:rPr>
          <w:rFonts w:ascii="Times New Roman" w:hAnsi="Times New Roman"/>
          <w:color w:val="0070C0"/>
          <w:sz w:val="16"/>
          <w:szCs w:val="16"/>
        </w:rPr>
      </w:pPr>
    </w:p>
    <w:p w14:paraId="7A74B394"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1944 г. по распоряжению Берии был создан специальный отдел «С», в задачу которого входили сбор и обработка информации по атомной тематике. Начальником отдела был назначен разведчик П. А. Судоплатов (25184).</w:t>
      </w:r>
    </w:p>
    <w:p w14:paraId="6A1A1BCA" w14:textId="77777777" w:rsidR="0065195F" w:rsidRPr="00C94B78" w:rsidRDefault="0065195F" w:rsidP="00B56F90">
      <w:pPr>
        <w:spacing w:after="0" w:line="240" w:lineRule="auto"/>
        <w:jc w:val="both"/>
        <w:rPr>
          <w:rFonts w:ascii="Times New Roman" w:hAnsi="Times New Roman"/>
          <w:color w:val="0070C0"/>
          <w:sz w:val="16"/>
          <w:szCs w:val="16"/>
        </w:rPr>
      </w:pPr>
    </w:p>
    <w:p w14:paraId="712FA477" w14:textId="27483F9F" w:rsidR="00FC3A63" w:rsidRPr="00070ADE" w:rsidRDefault="00FC3A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феврале 1944 года Управление кораблестроения Военно-Морских Сил (УК</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ВМС) выдает тактико-техническое задание (ТТЗ) на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проектирование экспериментального катера на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подводных крыльях (19678).</w:t>
      </w:r>
    </w:p>
    <w:p w14:paraId="4BC565E9" w14:textId="77777777" w:rsidR="00FC3A63" w:rsidRPr="00070ADE" w:rsidRDefault="00FC3A63" w:rsidP="00B56F90">
      <w:pPr>
        <w:spacing w:after="0" w:line="240" w:lineRule="auto"/>
        <w:jc w:val="both"/>
        <w:rPr>
          <w:rFonts w:ascii="Times New Roman" w:hAnsi="Times New Roman"/>
          <w:color w:val="000000" w:themeColor="text1"/>
          <w:sz w:val="16"/>
          <w:szCs w:val="16"/>
        </w:rPr>
      </w:pPr>
    </w:p>
    <w:p w14:paraId="6EE37F1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88ED72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E14964"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состоялось 6 массированных налетов на Хельсинки, Оулу, Котку и Турку. Это была первая из двух стратегических операций АДД за время ВОВ. Эту операцию трудно признать успешной, во всяком случае перемирие с Финляндией было подписано только через полгода (3772).</w:t>
      </w:r>
    </w:p>
    <w:p w14:paraId="7FC940B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C49FF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АДД провела серию мощных налетов на Хельсинки. Они были интересны четкой .организацией действий атакующих сил. Каждый кор</w:t>
      </w:r>
      <w:r w:rsidRPr="00070ADE">
        <w:rPr>
          <w:rFonts w:ascii="Times New Roman" w:hAnsi="Times New Roman"/>
          <w:color w:val="000000" w:themeColor="text1"/>
          <w:sz w:val="16"/>
          <w:szCs w:val="16"/>
        </w:rPr>
        <w:softHyphen/>
        <w:t>пус выделял разведчиков погоды, само</w:t>
      </w:r>
      <w:r w:rsidRPr="00070ADE">
        <w:rPr>
          <w:rFonts w:ascii="Times New Roman" w:hAnsi="Times New Roman"/>
          <w:color w:val="000000" w:themeColor="text1"/>
          <w:sz w:val="16"/>
          <w:szCs w:val="16"/>
        </w:rPr>
        <w:softHyphen/>
        <w:t>леты наведения, освещения цели, по</w:t>
      </w:r>
      <w:r w:rsidRPr="00070ADE">
        <w:rPr>
          <w:rFonts w:ascii="Times New Roman" w:hAnsi="Times New Roman"/>
          <w:color w:val="000000" w:themeColor="text1"/>
          <w:sz w:val="16"/>
          <w:szCs w:val="16"/>
        </w:rPr>
        <w:softHyphen/>
        <w:t>давления зенитной артиллерии, контро</w:t>
      </w:r>
      <w:r w:rsidRPr="00070ADE">
        <w:rPr>
          <w:rFonts w:ascii="Times New Roman" w:hAnsi="Times New Roman"/>
          <w:color w:val="000000" w:themeColor="text1"/>
          <w:sz w:val="16"/>
          <w:szCs w:val="16"/>
        </w:rPr>
        <w:softHyphen/>
        <w:t>ля результатов удара и атакующую группу. Поскольку основной целью яв</w:t>
      </w:r>
      <w:r w:rsidRPr="00070ADE">
        <w:rPr>
          <w:rFonts w:ascii="Times New Roman" w:hAnsi="Times New Roman"/>
          <w:color w:val="000000" w:themeColor="text1"/>
          <w:sz w:val="16"/>
          <w:szCs w:val="16"/>
        </w:rPr>
        <w:softHyphen/>
        <w:t>лялось оказание давления на финское правительство, готовившееся выйти из рядов союзников Германии, а не разру</w:t>
      </w:r>
      <w:r w:rsidRPr="00070ADE">
        <w:rPr>
          <w:rFonts w:ascii="Times New Roman" w:hAnsi="Times New Roman"/>
          <w:color w:val="000000" w:themeColor="text1"/>
          <w:sz w:val="16"/>
          <w:szCs w:val="16"/>
        </w:rPr>
        <w:softHyphen/>
        <w:t>шение города, налет растянули во вре</w:t>
      </w:r>
      <w:r w:rsidRPr="00070ADE">
        <w:rPr>
          <w:rFonts w:ascii="Times New Roman" w:hAnsi="Times New Roman"/>
          <w:color w:val="000000" w:themeColor="text1"/>
          <w:sz w:val="16"/>
          <w:szCs w:val="16"/>
        </w:rPr>
        <w:softHyphen/>
        <w:t>мени. Самолеты шли друг за другом с интервалом 10-15 секунд почти 12 ча</w:t>
      </w:r>
      <w:r w:rsidRPr="00070ADE">
        <w:rPr>
          <w:rFonts w:ascii="Times New Roman" w:hAnsi="Times New Roman"/>
          <w:color w:val="000000" w:themeColor="text1"/>
          <w:sz w:val="16"/>
          <w:szCs w:val="16"/>
        </w:rPr>
        <w:softHyphen/>
        <w:t>сов подряд. Налеты масштабами по</w:t>
      </w:r>
      <w:r w:rsidRPr="00070ADE">
        <w:rPr>
          <w:rFonts w:ascii="Times New Roman" w:hAnsi="Times New Roman"/>
          <w:color w:val="000000" w:themeColor="text1"/>
          <w:sz w:val="16"/>
          <w:szCs w:val="16"/>
        </w:rPr>
        <w:softHyphen/>
        <w:t>меньше организовали и на другие горо</w:t>
      </w:r>
      <w:r w:rsidRPr="00070ADE">
        <w:rPr>
          <w:rFonts w:ascii="Times New Roman" w:hAnsi="Times New Roman"/>
          <w:color w:val="000000" w:themeColor="text1"/>
          <w:sz w:val="16"/>
          <w:szCs w:val="16"/>
        </w:rPr>
        <w:softHyphen/>
        <w:t>да Финляндии. В марте последовал массированный налет на Таллин. АЛЛ поддерживала операции по освобождению Крыма (в частности, парализовала работу портов Констанца и Галац, через которые осу</w:t>
      </w:r>
      <w:r w:rsidRPr="00070ADE">
        <w:rPr>
          <w:rFonts w:ascii="Times New Roman" w:hAnsi="Times New Roman"/>
          <w:color w:val="000000" w:themeColor="text1"/>
          <w:sz w:val="16"/>
          <w:szCs w:val="16"/>
        </w:rPr>
        <w:softHyphen/>
        <w:t>ществлялась связь с блокированным полуостровом). Бомбили и позиции немцев непосредственно под Севасто</w:t>
      </w:r>
      <w:r w:rsidRPr="00070ADE">
        <w:rPr>
          <w:rFonts w:ascii="Times New Roman" w:hAnsi="Times New Roman"/>
          <w:color w:val="000000" w:themeColor="text1"/>
          <w:sz w:val="16"/>
          <w:szCs w:val="16"/>
        </w:rPr>
        <w:softHyphen/>
        <w:t>полем (10734,81).</w:t>
      </w:r>
    </w:p>
    <w:p w14:paraId="2038DD4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8EE3B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года в ходе боевого вылета Пе-8 №42611 на Хельсинки после выполнения боевого задания экипаж, выполняя противозенитный маневр, услышал какой-то звонкий удар где-то позади кабины пилотов. Машина благополучно долетела до своего аэродрома и совершила нормальную посадку В ОКБ было сообщено, что после посадки самолет был тщательно осмотрен техсоставом, но никаких дефектов обнаружено не было. Спустя некоторое время такой же удар и приблизительно в том же районе, за кабиной пилотов, зафиксировал экипаж, перегонявший один из Пе-8 на заводской аэродром в Казань. Повторное проявление непонятного дефекта всерьез встревожило ОКБ, начали появляться предположения, что произошло разрушение какого-либо силового элемента центроплана. При тщательном осмотре центроплана на этой машине удалось обнаружить след незначительного сдвига нижнего пояса заднего лонжерона по отношению к обойме центрального узла крепления подкосов лонжерона. Как раз этот узел находился позади передней кабины экипажа. Анализ следа сдвига показал, что труба пояса лонжерона вышла из под обоймы узла на 1-2 мм. Причиной подобного мог быть только разрыв самой трубы, что подтвердилось после снятия обоймы узла, когда перед Не-звалем и его коллегами предстала во всей красе труба лонжерона, разорванная по крайнему ряду заклепок. Разрыв был очень ровным и чистым и, казалось как будто специально обрезанным. Как выяснилось вскоре, все было серьезней и глубже. Еще на этапе проектирования для поясов лонжеронов центроплана, по рекомендации ВИАМ, была выбрана на то время новая высокопрочная сталь 30ХГСА "Хромансиль", по своим характеристикам допускавшая работу при высоких удельных напряжениях и дававшая значительное облегчение конструкции. В то время толком об усталостных напряжениях и их влиянии на долговечность мало что было известно, и никаких рекомендаций со стороны ЦАГИ и ВИАМ у самолетчиков по этим особенностям работы материалов и конструкций не было. На момент проявления дефекта в ОКБ были далеки от понимания существа проблемы. Еще раз тщательно проверили прочностные расчеты, убедились, что действующие напряжения не только не превышают допустимых значений, но и имеют достаточный запас прочности. Дальше копаться не стали, решив, что в этом месте трубы лонжеронов, видимо, имеют какое-то местное ослабление, и приняли решение о местном усилении конструкции. После этого разобрали этот же узел на Пе-8 №42611, на котором впервые проявился дефект - труба лонжерона была также срезана. Разработка конкретных конструктивных мероприятий по усилению трубчатого лонжерона оказалась достаточно сложной конструкторской и технологической задачей, ведь предстояло проводить усиление на самолетах, которые находились в строю. На части парка Пе-8 провели доработки, ограничив для остальных машин максимальную бомбовую нагрузку на уровне 3200 кг. Случаи разрыва труб лонжеронов прекратились, и о проблеме и в ОКБ, и в эксплуатации вскоре забыли. Одновременно в ЦАГИ и ВИАМ провели дополнительные исследования "Хромансиля", ведь помимо Пе-8 подобное разрушение лонжеронов зафиксировали на истребителе Ла-7, а это уже было более чем серьезно. Количество Пе-8 исчислялось десятками, а истребители с маркой "Ла" строили тысячами. Детальные исследования разрушенных деталей из 30ХГСА, проведенные доктором технических наук Н.И.Мариным, показали, что эта высо-копрочная сталь, работая при высоких напряжениях, склонна к усталостным разрушениям и обладает очень низким ресурсом в случае воздействия нагрузок подобного характера. Ничего не оставалось делать, как снижать расчетные напряжения в сечении лонжеронов. Переходить на другой сортамент труб было не реально, поэтому внутрь труб пропустили дополнительные стальные элементы с довольно сложной системой крепления их к узлам лонжеронов. Завод изготовил требуемые элементы усиления и специальный инструмент, а заводская бригада совместно с техсоставом 25-го полка провела необходимые доработки строевых Пе-8 (7685).</w:t>
      </w:r>
    </w:p>
    <w:p w14:paraId="44C37A7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3CFE0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февралю 1944 года во 2-м гвардейском полку полковника И.Ф.Балашова, где В-25 вооружили 1-ю эскадрилью, которой командовал дважды Герой Советского Союза А. И. Молодчий, насчитывалось уже 20 В-25, в основном новейшей модификации J. Американские заводы освоили очередную модификацию В-25J с усиленным вооружением в 1943 году. При установке спереди па бортах фюзеляжа дополнительных пулеметных контейнеров оно доходило до 11 стволов калибра 12,7 мм. На одного человека увеличился экипаж. У нас, правда, летали с экипажем из пяти человек - функции штурмана и бомбардира по-прежнему совмещались. Хотя на модели стояли более мощные моторы R-2600-29, увеличение веса (в том числе из-за большей бомбовой нагрузки) снизило все летные характеристики самолета (3457,92).</w:t>
      </w:r>
    </w:p>
    <w:p w14:paraId="30EAC04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9DF5ED" w14:textId="77777777" w:rsidR="00D73CDA" w:rsidRPr="00070ADE" w:rsidRDefault="00D73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впервые в крупных масштабах бомбардировщики В-25 были привлечены для переброски грузов.</w:t>
      </w:r>
    </w:p>
    <w:p w14:paraId="76F08B4B" w14:textId="77777777" w:rsidR="00D73CDA" w:rsidRPr="00070ADE" w:rsidRDefault="00D73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Б-25 имел емкий фю</w:t>
      </w:r>
      <w:r w:rsidRPr="00070ADE">
        <w:rPr>
          <w:rFonts w:ascii="Times New Roman" w:hAnsi="Times New Roman"/>
          <w:color w:val="000000" w:themeColor="text1"/>
          <w:sz w:val="16"/>
          <w:szCs w:val="16"/>
        </w:rPr>
        <w:softHyphen/>
        <w:t>зеляж, в который при перебазировании можно было загрузить до 20 человек — техников и оружейников. В-25 мог доста</w:t>
      </w:r>
      <w:r w:rsidRPr="00070ADE">
        <w:rPr>
          <w:rFonts w:ascii="Times New Roman" w:hAnsi="Times New Roman"/>
          <w:color w:val="000000" w:themeColor="text1"/>
          <w:sz w:val="16"/>
          <w:szCs w:val="16"/>
        </w:rPr>
        <w:softHyphen/>
        <w:t>вить до 1 т груза на расстояние 2240 км.</w:t>
      </w:r>
    </w:p>
    <w:p w14:paraId="051CA261" w14:textId="77777777" w:rsidR="00D73CDA" w:rsidRPr="00070ADE" w:rsidRDefault="00D73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Украины они перевозили оружие, ме</w:t>
      </w:r>
      <w:r w:rsidRPr="00070ADE">
        <w:rPr>
          <w:rFonts w:ascii="Times New Roman" w:hAnsi="Times New Roman"/>
          <w:color w:val="000000" w:themeColor="text1"/>
          <w:sz w:val="16"/>
          <w:szCs w:val="16"/>
        </w:rPr>
        <w:softHyphen/>
        <w:t>дикаменты, продовольствие для Народно- освободительной армии Югославии. В бомбоотсеках устанавливали допол</w:t>
      </w:r>
      <w:r w:rsidRPr="00070ADE">
        <w:rPr>
          <w:rFonts w:ascii="Times New Roman" w:hAnsi="Times New Roman"/>
          <w:color w:val="000000" w:themeColor="text1"/>
          <w:sz w:val="16"/>
          <w:szCs w:val="16"/>
        </w:rPr>
        <w:softHyphen/>
        <w:t>нительные бензобаки, а груз размещали в кабине. Каждый самолет брал до 12 па</w:t>
      </w:r>
      <w:r w:rsidRPr="00070ADE">
        <w:rPr>
          <w:rFonts w:ascii="Times New Roman" w:hAnsi="Times New Roman"/>
          <w:color w:val="000000" w:themeColor="text1"/>
          <w:sz w:val="16"/>
          <w:szCs w:val="16"/>
        </w:rPr>
        <w:softHyphen/>
        <w:t>рашютных мешков ПДММ-100 по 100 кг, которые сбрасывались через люки. Позже часть груза размещалась в бомбоотсеке. Сперва полеты в Югославию осуществ</w:t>
      </w:r>
      <w:r w:rsidRPr="00070ADE">
        <w:rPr>
          <w:rFonts w:ascii="Times New Roman" w:hAnsi="Times New Roman"/>
          <w:color w:val="000000" w:themeColor="text1"/>
          <w:sz w:val="16"/>
          <w:szCs w:val="16"/>
        </w:rPr>
        <w:softHyphen/>
        <w:t>ляла специальная Южная группа 15-й гвардейской дивизии под командованием майора А.П. Дудника. В нее входили пять (по другим данным — шесть) экипажей из 14-го и 22-го гв. апдд.</w:t>
      </w:r>
    </w:p>
    <w:p w14:paraId="368E0688" w14:textId="77777777" w:rsidR="00D73CDA" w:rsidRPr="00070ADE" w:rsidRDefault="00D73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Первый вылет, неудачный, состоялся 19 февраля; самолеты вернулись обратно, только один дотянул обратно до своего аэродрома, остальные сели на запасных — ближе к фронту. Первым произвел сброс грузов в Югославии Б.И. Жилин в ночь на 15 марта. 23 марта самолет Г.Г. Агамирова был атакован парой истребителей FW 190. Стрелок Интезаров поджег одного из них, затем В-25 скрылся в облаках. С 3 мая на перевозки переключили практически всю 4-ю гвардейскую (бывшую 222-ю) диви</w:t>
      </w:r>
      <w:r w:rsidRPr="00070ADE">
        <w:rPr>
          <w:rFonts w:ascii="Times New Roman" w:hAnsi="Times New Roman"/>
          <w:color w:val="000000" w:themeColor="text1"/>
          <w:sz w:val="16"/>
          <w:szCs w:val="16"/>
        </w:rPr>
        <w:softHyphen/>
        <w:t>зию — 44 экипажа. Эти полеты продолжа</w:t>
      </w:r>
      <w:r w:rsidRPr="00070ADE">
        <w:rPr>
          <w:rFonts w:ascii="Times New Roman" w:hAnsi="Times New Roman"/>
          <w:color w:val="000000" w:themeColor="text1"/>
          <w:sz w:val="16"/>
          <w:szCs w:val="16"/>
        </w:rPr>
        <w:softHyphen/>
        <w:t>лись до освобождения Югославии. В од</w:t>
      </w:r>
      <w:r w:rsidRPr="00070ADE">
        <w:rPr>
          <w:rFonts w:ascii="Times New Roman" w:hAnsi="Times New Roman"/>
          <w:color w:val="000000" w:themeColor="text1"/>
          <w:sz w:val="16"/>
          <w:szCs w:val="16"/>
        </w:rPr>
        <w:softHyphen/>
        <w:t>ном из них летчик А. Каракозов атаковал над побережьем Черного моря и сбил не</w:t>
      </w:r>
      <w:r w:rsidRPr="00070ADE">
        <w:rPr>
          <w:rFonts w:ascii="Times New Roman" w:hAnsi="Times New Roman"/>
          <w:color w:val="000000" w:themeColor="text1"/>
          <w:sz w:val="16"/>
          <w:szCs w:val="16"/>
        </w:rPr>
        <w:softHyphen/>
        <w:t>мецкий бомбардировщик, а затем повре</w:t>
      </w:r>
      <w:r w:rsidRPr="00070ADE">
        <w:rPr>
          <w:rFonts w:ascii="Times New Roman" w:hAnsi="Times New Roman"/>
          <w:color w:val="000000" w:themeColor="text1"/>
          <w:sz w:val="16"/>
          <w:szCs w:val="16"/>
        </w:rPr>
        <w:softHyphen/>
        <w:t>дил второй (23513).</w:t>
      </w:r>
    </w:p>
    <w:p w14:paraId="019D5817" w14:textId="77777777" w:rsidR="00D73CDA" w:rsidRPr="00070ADE" w:rsidRDefault="00D73CDA" w:rsidP="00B56F90">
      <w:pPr>
        <w:spacing w:after="0" w:line="240" w:lineRule="auto"/>
        <w:jc w:val="both"/>
        <w:rPr>
          <w:rFonts w:ascii="Times New Roman" w:hAnsi="Times New Roman"/>
          <w:color w:val="000000" w:themeColor="text1"/>
          <w:sz w:val="16"/>
          <w:szCs w:val="16"/>
        </w:rPr>
      </w:pPr>
    </w:p>
    <w:p w14:paraId="38DFBD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все тяжелые танковые полки прорыва перевели на новые штаты, и они стали име</w:t>
      </w:r>
      <w:r w:rsidRPr="00070ADE">
        <w:rPr>
          <w:rFonts w:ascii="Times New Roman" w:hAnsi="Times New Roman"/>
          <w:color w:val="000000" w:themeColor="text1"/>
          <w:sz w:val="16"/>
          <w:szCs w:val="16"/>
        </w:rPr>
        <w:softHyphen/>
        <w:t>новаться тяжелыми танковыми полками. В них 375 чело</w:t>
      </w:r>
      <w:r w:rsidRPr="00070ADE">
        <w:rPr>
          <w:rFonts w:ascii="Times New Roman" w:hAnsi="Times New Roman"/>
          <w:color w:val="000000" w:themeColor="text1"/>
          <w:sz w:val="16"/>
          <w:szCs w:val="16"/>
        </w:rPr>
        <w:softHyphen/>
        <w:t>век, четыре танкодые роты ИС-2 (21 танк), рота автоматчи</w:t>
      </w:r>
      <w:r w:rsidRPr="00070ADE">
        <w:rPr>
          <w:rFonts w:ascii="Times New Roman" w:hAnsi="Times New Roman"/>
          <w:color w:val="000000" w:themeColor="text1"/>
          <w:sz w:val="16"/>
          <w:szCs w:val="16"/>
        </w:rPr>
        <w:softHyphen/>
        <w:t>ков, саперный и хозяйственный взводы, полковой меди</w:t>
      </w:r>
      <w:r w:rsidRPr="00070ADE">
        <w:rPr>
          <w:rFonts w:ascii="Times New Roman" w:hAnsi="Times New Roman"/>
          <w:color w:val="000000" w:themeColor="text1"/>
          <w:sz w:val="16"/>
          <w:szCs w:val="16"/>
        </w:rPr>
        <w:softHyphen/>
        <w:t>цинский пункт. Уже'при формировании полков им присва</w:t>
      </w:r>
      <w:r w:rsidRPr="00070ADE">
        <w:rPr>
          <w:rFonts w:ascii="Times New Roman" w:hAnsi="Times New Roman"/>
          <w:color w:val="000000" w:themeColor="text1"/>
          <w:sz w:val="16"/>
          <w:szCs w:val="16"/>
        </w:rPr>
        <w:softHyphen/>
        <w:t>ивалось наименование «гвардейский». Отдельные танковые полки также были переформиро</w:t>
      </w:r>
      <w:r w:rsidRPr="00070ADE">
        <w:rPr>
          <w:rFonts w:ascii="Times New Roman" w:hAnsi="Times New Roman"/>
          <w:color w:val="000000" w:themeColor="text1"/>
          <w:sz w:val="16"/>
          <w:szCs w:val="16"/>
        </w:rPr>
        <w:softHyphen/>
        <w:t>ваны Суть этой реорганизации, проведенной в начале 1944 г., состояла в исключении из них легких танков, усиле</w:t>
      </w:r>
      <w:r w:rsidRPr="00070ADE">
        <w:rPr>
          <w:rFonts w:ascii="Times New Roman" w:hAnsi="Times New Roman"/>
          <w:color w:val="000000" w:themeColor="text1"/>
          <w:sz w:val="16"/>
          <w:szCs w:val="16"/>
        </w:rPr>
        <w:softHyphen/>
        <w:t>ния подразделений обеспечения и обслуживания. В целом в полку должно было быть 386 человек и 35 танков (11135).</w:t>
      </w:r>
    </w:p>
    <w:p w14:paraId="7A8843F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A519C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года имевшиеся в составе Красной Армии танковые полки прорыва, укомплектованные танками KB, были переведены на новые штаты. Одновременно началось формирование новых частей, оснащенных машинами ИС, которые стали именоваться тяжелыми танковыми полками. При этом им еще при формировании присваивалось наименование "гвардейский", как бы авансом..</w:t>
      </w:r>
    </w:p>
    <w:p w14:paraId="50DAAB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По штату в новых полках насчитывалось 375 человек личного состава, четыре танковые роты ИС (по 5 машин в каждой роте плюс 1 командирский танк), рота автоматчиков, рота технического обеспечения, зенитная батарея, саперный, хозяйственный взводы и полковой медицинский пункт. Формирование велось в Тесницком танковом лагере под Тулой..</w:t>
      </w:r>
    </w:p>
    <w:p w14:paraId="6FE8ACC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Особенностью экипажа тяжелого танка ИС было наличие в нем двух офицеров - командира танка и старшего механика-водителя и двух сержантов - наводчика орудия и заряжающего (он же младший механик-водитель). Подобный состав экипажей говорит о важности задачи, которая возлагалась на новые машины и вооруженные ими гвардейские полки..</w:t>
      </w:r>
    </w:p>
    <w:p w14:paraId="4C39827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сожалению, только небольшая часть экипажей ранее воевала на тяжелых танках KB и Черчилль и имела боевой опыт. В основном же личный состав прибывал из училищ, иногда после дополнительной подготовки на ЧКЗ. При отправке на фронт к полкам прикомандировывались представители ГБТУ для наблюдения за использованием новых танков. (3862).</w:t>
      </w:r>
    </w:p>
    <w:p w14:paraId="5550162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6DE19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танковый полк был переведен на новый штат, по которому в нем имелось три танковые роты, уком</w:t>
      </w:r>
      <w:r w:rsidRPr="00070ADE">
        <w:rPr>
          <w:rFonts w:ascii="Times New Roman" w:hAnsi="Times New Roman"/>
          <w:color w:val="000000" w:themeColor="text1"/>
          <w:sz w:val="16"/>
          <w:szCs w:val="16"/>
        </w:rPr>
        <w:softHyphen/>
        <w:t>плектованные только средними танками. В результате в полку стало 35 танков Т-34, а легкие танки из штата были выведены. С этого момента и до конца войны в бригаде не происходило никаких изменений (11135).</w:t>
      </w:r>
    </w:p>
    <w:p w14:paraId="1E73D2B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66A7BE"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года появились штаты № 010/463 и 010/464 отдельных линейных танковых полков по 21 машине в каждом - первый комплектовался Т-34-76, а второй Т-34-85 (отличались только численностью личного состава). Однако лимит штатной численности бронетанковых войск не позволял производить массовых формирований по этим штатам. По штату № 010/463, с соответствующим изменением, формировались и огнеметные танковые полки. Для механизированных бригад в феврале 1944 года устанавливается штат № 010/465 — 35 Т-34 или Т-34-85. Такая организация танковых полков сохранилась до конца войны.</w:t>
      </w:r>
    </w:p>
    <w:p w14:paraId="693DFCE3"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танковых полков в ходе войны постепенно уменьшалось: если к 1 января 1943 года их имелось 34, то к 1 января 1944 года 135 (84 отдельных, остальные в мех- бригадах), к 1 января 1945 года 112 (70 отдельных), а к 1 мая 1945 года 103 (61 отдельный) (12217).</w:t>
      </w:r>
    </w:p>
    <w:p w14:paraId="0A1B7AA4" w14:textId="77777777" w:rsidR="00673CAB" w:rsidRPr="00070ADE" w:rsidRDefault="00673CAB" w:rsidP="00B56F90">
      <w:pPr>
        <w:spacing w:after="0" w:line="240" w:lineRule="auto"/>
        <w:jc w:val="both"/>
        <w:rPr>
          <w:rFonts w:ascii="Times New Roman" w:hAnsi="Times New Roman"/>
          <w:color w:val="000000" w:themeColor="text1"/>
          <w:sz w:val="16"/>
          <w:szCs w:val="16"/>
        </w:rPr>
      </w:pPr>
    </w:p>
    <w:p w14:paraId="40015891" w14:textId="77777777" w:rsidR="0065195F" w:rsidRPr="00C94B78" w:rsidRDefault="0065195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февраля 1944 года гвардейских танковых полков прорыва переименованных в гвардейские тяжелые танковые полки прорыва. Комплектовались они по штату № 010/460: согласно ему, полк получал 21 танк (командирский и 4 роты по 5 танков в каждой), бронемашину БА-64 и 3 бронетранспортера Universal Carrier. В дальнейшем штаты уже не менялись, выбранная концепция была признана оптимальной (24902).</w:t>
      </w:r>
    </w:p>
    <w:p w14:paraId="0EAF8D6B" w14:textId="77777777" w:rsidR="0065195F" w:rsidRPr="00C94B78" w:rsidRDefault="0065195F" w:rsidP="00B56F90">
      <w:pPr>
        <w:spacing w:after="0" w:line="240" w:lineRule="auto"/>
        <w:jc w:val="both"/>
        <w:rPr>
          <w:rFonts w:ascii="Times New Roman" w:hAnsi="Times New Roman"/>
          <w:color w:val="0070C0"/>
          <w:sz w:val="16"/>
          <w:szCs w:val="16"/>
        </w:rPr>
      </w:pPr>
    </w:p>
    <w:p w14:paraId="5B3CA7D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года сформировали первые части, оснащенные ИСУ. Они были организованы по тому же принципу, что и части тяжелых танков и назывались подобным образом: отдельный тяжелый самоходно-артиллерийский полк (ОТСАП). ОТСАП состоял из четырех батарей (всего 21 самоходка)..</w:t>
      </w:r>
    </w:p>
    <w:p w14:paraId="40FEC64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основном, полки были однородны по составу и ИСУ-152 и ИСУ-122 старались не смешивать в составе одной части, хотя, справедливости ради следует отметить, что тактического различия в то время между двумя типами САУ не делали - оба типа машин решали один и тот же круг задач..</w:t>
      </w:r>
    </w:p>
    <w:p w14:paraId="09098B55"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Главной целью ИСУ было поддерживать наступательные операции, поэтому ОТСАП находились в резерве армий и фронтов. Ожидалось, что полкам самоходной артиллерии придется вести огонь с дальних дистанций по укрепленным точкам и противотанковым позициям противника и поддерживать огнем наступательные действия пехоты и танков. Самоходные установки не были предназначены для ближнего боя, поскольку ограниченный горизонтальный сектор обстрела делал их уязвимыми к фланговым атакам. Большое время перезарядки (из-за раздельного заряжания) также не располагал к бою на коротких дистанциях. В качестве дальнобойных истребителей танков особой популярностью пользовались ИСУ-122. Часто эти самоходные орудия устраивали засады на колонны немецких тяжелых танков. ИСУ-152 меньше подходила для противотанковой борьбы и до конца войны не имели бронебойных снарядов. Вместо них использовались полубронебойные или бетонобойные, а иногда и фугасные снаряды. Именно поэтому МЛ-20С обладала посредственной бронепробиваемостью по сравнению со 122-мм. Начальная скорость ее снаряда также была ниже, чем у А-19 (Д-25). На дистанции 1000 метров МЛ-20С пробивала броню толщиной 120 мм, в то время как А-19 - 150 мм. Кроме того, система управления огнем ИСУ-152 не была приспособлена для ведения прицельного огня на дистанции более 1000 метров..</w:t>
      </w:r>
    </w:p>
    <w:p w14:paraId="4E32E0D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ИСУ-152 предпочитали использовать там, где были нужны их мощные осколочно-фугасные снаряды. Особенно хорошо себя зарекомендовали ИСУ-152 в уличных боях, где их гаубичный огонь выбивал из траншей окопавшегося противника. (3862).</w:t>
      </w:r>
    </w:p>
    <w:p w14:paraId="10E7A0D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116B8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пл С-16 ("Герой Советского Союза Нурсеитов") и С-19 были сдан</w:t>
      </w:r>
      <w:r w:rsidRPr="00070ADE">
        <w:rPr>
          <w:rFonts w:ascii="Times New Roman" w:hAnsi="Times New Roman"/>
          <w:color w:val="000000" w:themeColor="text1"/>
          <w:sz w:val="16"/>
          <w:szCs w:val="16"/>
        </w:rPr>
        <w:softHyphen/>
        <w:t>ны астраханским заводом на Каспии (3898).</w:t>
      </w:r>
    </w:p>
    <w:p w14:paraId="3457390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341F6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был введен новый Боевой устав бронетанковых и механизированных войск Красной Армии, отменивший действие Уста</w:t>
      </w:r>
      <w:r w:rsidRPr="00070ADE">
        <w:rPr>
          <w:rFonts w:ascii="Times New Roman" w:hAnsi="Times New Roman"/>
          <w:color w:val="000000" w:themeColor="text1"/>
          <w:sz w:val="16"/>
          <w:szCs w:val="16"/>
        </w:rPr>
        <w:softHyphen/>
        <w:t>ва бронетанковых войск РККА 1938 г. Согласно положениям данного устава для облегчения распознавания боевых машин применялись двух- или трехзначные числа, которые устанавливались командиром соединения (части) для каждой машины. Они наносились спереди, сбо</w:t>
      </w:r>
      <w:r w:rsidRPr="00070ADE">
        <w:rPr>
          <w:rFonts w:ascii="Times New Roman" w:hAnsi="Times New Roman"/>
          <w:color w:val="000000" w:themeColor="text1"/>
          <w:sz w:val="16"/>
          <w:szCs w:val="16"/>
        </w:rPr>
        <w:softHyphen/>
        <w:t>ку и сзади на башне. Кроме того, по бортам башни с правой стороны -левее цифр, с левой стороны — правее цифр, наносилась пятиконечная звезда. Летом цифры наносились белой краской, зимой - красной. Раз</w:t>
      </w:r>
      <w:r w:rsidRPr="00070ADE">
        <w:rPr>
          <w:rFonts w:ascii="Times New Roman" w:hAnsi="Times New Roman"/>
          <w:color w:val="000000" w:themeColor="text1"/>
          <w:sz w:val="16"/>
          <w:szCs w:val="16"/>
        </w:rPr>
        <w:softHyphen/>
        <w:t>мер цифр: высота от 30 до 50 см, ширина их составляла 2/3 высоты, ши</w:t>
      </w:r>
      <w:r w:rsidRPr="00070ADE">
        <w:rPr>
          <w:rFonts w:ascii="Times New Roman" w:hAnsi="Times New Roman"/>
          <w:color w:val="000000" w:themeColor="text1"/>
          <w:sz w:val="16"/>
          <w:szCs w:val="16"/>
        </w:rPr>
        <w:softHyphen/>
        <w:t>рина линии цифры - 1/6 высоты. Как правило, первой цифрой обозна</w:t>
      </w:r>
      <w:r w:rsidRPr="00070ADE">
        <w:rPr>
          <w:rFonts w:ascii="Times New Roman" w:hAnsi="Times New Roman"/>
          <w:color w:val="000000" w:themeColor="text1"/>
          <w:sz w:val="16"/>
          <w:szCs w:val="16"/>
        </w:rPr>
        <w:softHyphen/>
        <w:t>чался номер батальона, второй — роты, третьей — взвода или номер бое</w:t>
      </w:r>
      <w:r w:rsidRPr="00070ADE">
        <w:rPr>
          <w:rFonts w:ascii="Times New Roman" w:hAnsi="Times New Roman"/>
          <w:color w:val="000000" w:themeColor="text1"/>
          <w:sz w:val="16"/>
          <w:szCs w:val="16"/>
        </w:rPr>
        <w:softHyphen/>
        <w:t>вой машины в роте. Звезда наносилась красной краской, ее размер со</w:t>
      </w:r>
      <w:r w:rsidRPr="00070ADE">
        <w:rPr>
          <w:rFonts w:ascii="Times New Roman" w:hAnsi="Times New Roman"/>
          <w:color w:val="000000" w:themeColor="text1"/>
          <w:sz w:val="16"/>
          <w:szCs w:val="16"/>
        </w:rPr>
        <w:softHyphen/>
        <w:t>ставлял от 10 до 15 см. Помимо тактических и опознавательных знаков на легких самоход</w:t>
      </w:r>
      <w:r w:rsidRPr="00070ADE">
        <w:rPr>
          <w:rFonts w:ascii="Times New Roman" w:hAnsi="Times New Roman"/>
          <w:color w:val="000000" w:themeColor="text1"/>
          <w:sz w:val="16"/>
          <w:szCs w:val="16"/>
        </w:rPr>
        <w:softHyphen/>
        <w:t>ных установках СУ-76 (СУ-76М) и легких танках Т-70 (Т-70М), нано</w:t>
      </w:r>
      <w:r w:rsidRPr="00070ADE">
        <w:rPr>
          <w:rFonts w:ascii="Times New Roman" w:hAnsi="Times New Roman"/>
          <w:color w:val="000000" w:themeColor="text1"/>
          <w:sz w:val="16"/>
          <w:szCs w:val="16"/>
        </w:rPr>
        <w:softHyphen/>
        <w:t>сились заводские номера машин, которые в войсках, как правило не за</w:t>
      </w:r>
      <w:r w:rsidRPr="00070ADE">
        <w:rPr>
          <w:rFonts w:ascii="Times New Roman" w:hAnsi="Times New Roman"/>
          <w:color w:val="000000" w:themeColor="text1"/>
          <w:sz w:val="16"/>
          <w:szCs w:val="16"/>
        </w:rPr>
        <w:softHyphen/>
        <w:t>крашивали. На завершающем этапе Великой Отечественной войны к тактичес</w:t>
      </w:r>
      <w:r w:rsidRPr="00070ADE">
        <w:rPr>
          <w:rFonts w:ascii="Times New Roman" w:hAnsi="Times New Roman"/>
          <w:color w:val="000000" w:themeColor="text1"/>
          <w:sz w:val="16"/>
          <w:szCs w:val="16"/>
        </w:rPr>
        <w:softHyphen/>
        <w:t>ким знакам, обозначавшим часть (соединение), добавлялись силуэты зверей и птиц с сочетанием геометрических фигур или полос. Для опознавания авиацией своих бронетанковых частей и соедине</w:t>
      </w:r>
      <w:r w:rsidRPr="00070ADE">
        <w:rPr>
          <w:rFonts w:ascii="Times New Roman" w:hAnsi="Times New Roman"/>
          <w:color w:val="000000" w:themeColor="text1"/>
          <w:sz w:val="16"/>
          <w:szCs w:val="16"/>
        </w:rPr>
        <w:softHyphen/>
        <w:t>ний в РККА в период 1941 - 1942 гг. на танках наносились белые поло</w:t>
      </w:r>
      <w:r w:rsidRPr="00070ADE">
        <w:rPr>
          <w:rFonts w:ascii="Times New Roman" w:hAnsi="Times New Roman"/>
          <w:color w:val="000000" w:themeColor="text1"/>
          <w:sz w:val="16"/>
          <w:szCs w:val="16"/>
        </w:rPr>
        <w:softHyphen/>
        <w:t>сы. Широкая белая поперечная полоса наносилась на крыше башни с помощью краски или белой материи. С 1942 г. и до окончания войны широкое распространение получил опознавательный знак в виде бело</w:t>
      </w:r>
      <w:r w:rsidRPr="00070ADE">
        <w:rPr>
          <w:rFonts w:ascii="Times New Roman" w:hAnsi="Times New Roman"/>
          <w:color w:val="000000" w:themeColor="text1"/>
          <w:sz w:val="16"/>
          <w:szCs w:val="16"/>
        </w:rPr>
        <w:softHyphen/>
        <w:t>го (для зимних условий - красного) треугольника. В некоторых воин</w:t>
      </w:r>
      <w:r w:rsidRPr="00070ADE">
        <w:rPr>
          <w:rFonts w:ascii="Times New Roman" w:hAnsi="Times New Roman"/>
          <w:color w:val="000000" w:themeColor="text1"/>
          <w:sz w:val="16"/>
          <w:szCs w:val="16"/>
        </w:rPr>
        <w:softHyphen/>
        <w:t>ских частях на бронированных машинах в центре белого треугольника наносился желтый круг иногда с красной звездой. Вместо треугольника мог наноситься белый (для зимних условий - красный) круг или дру</w:t>
      </w:r>
      <w:r w:rsidRPr="00070ADE">
        <w:rPr>
          <w:rFonts w:ascii="Times New Roman" w:hAnsi="Times New Roman"/>
          <w:color w:val="000000" w:themeColor="text1"/>
          <w:sz w:val="16"/>
          <w:szCs w:val="16"/>
        </w:rPr>
        <w:softHyphen/>
        <w:t>гой опознавательный знак (10703).</w:t>
      </w:r>
    </w:p>
    <w:p w14:paraId="17A5AC6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D3BA2B"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5A99D9C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44EF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года, функция координации деятельности разведывательных служб по атомной проблеме была возложена на специально созданную в рамках НКГБ группу «С» под руководством генерал-майора П. А. Судоплатова. Она занималась координацией работы НКГБ и РУ по сбору и обработки материалов из США, Канады и Великобритании. На эту группу, а потом и отдел, возложили также функции по реализации полученных данных внутри страны (Соловьев В. О. Сочинения: В 18 кн. Кн. IV: История России с древнейших времен. Т. 7—8. — М.: Мысль, 1989. — 572 с.).</w:t>
      </w:r>
    </w:p>
    <w:p w14:paraId="7EB347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добычу информации по атомной тематике были ориентированы не только резидентуры работающие в США, Великобритании, Канаде и Мексике, но и в самой Германии. Например резидентура советской военной разведки «Дора». В мае 1942 года Ш. Радо получил список вопросов по данной теме. Получить необходимые сведения он поручил Сиси, Пакбо и Пьеру. Правда, по оценкам советских ученых, добытая информация свидетельствовала об отставании Германии в этой сфере и больше аналогичных задач резидентуре не ставилось (Соловьев В. О. Сочинения: В 18 кн. Кн. V История России с древнейших времен. Т. 9—10. — М.: Мысль, 1990. — 718 с.).</w:t>
      </w:r>
    </w:p>
    <w:p w14:paraId="3ED964F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ноябре 1943 года из Москвы в Нью-Йорк на имя многоопытного резидента В. Зарубина была направлена ориентировка, в которой сообщалось, что в США для работы по «Энормозу» выехал ряд ведущих ученых из Англии, в том числе К. Фукс, немецкий эмигрант, член Компартии Германии. Ранее он занимался исследованиями в области быстрых нейтронов в Бирмингемском университете и был завербован разведкой ГРУ.</w:t>
      </w:r>
    </w:p>
    <w:p w14:paraId="35035D0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Дело в том, что вклад К. Фукса в реализацию проекта «Тьюб эллойз» был настолько велик, что научный руководитель американского проекта Оппенгеймер пригласил его, вместе с группой английских коллег в США. Вот так агент советской разведки попал в самое сердце проекта «Манхэттен» — в знаменитый атомный город Лос-Аламос (11765).</w:t>
      </w:r>
    </w:p>
    <w:p w14:paraId="5D14B4B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7E652B16"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0A32F90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8976E9" w14:textId="77777777" w:rsidR="00FC3A63" w:rsidRPr="00070ADE" w:rsidRDefault="00FC3A63" w:rsidP="00B56F90">
      <w:pPr>
        <w:pStyle w:val="rtejustify"/>
        <w:shd w:val="clear" w:color="auto" w:fill="FFFFFF"/>
        <w:spacing w:before="0" w:after="0"/>
        <w:rPr>
          <w:color w:val="000000" w:themeColor="text1"/>
          <w:sz w:val="16"/>
          <w:szCs w:val="16"/>
        </w:rPr>
      </w:pPr>
      <w:r w:rsidRPr="00070ADE">
        <w:rPr>
          <w:color w:val="000000" w:themeColor="text1"/>
          <w:sz w:val="16"/>
          <w:szCs w:val="16"/>
        </w:rPr>
        <w:t>В феврале 1944 года начался выпуск самой массовой версии «Фокке-Вульфа» – FW 190A-8. Ее вооружение снова усилили путем замены фюзеляжных пулеметов MG-17 на крупнокалиберные MG-131. Масса секундного залпа увеличилась до 7,69 кг, а взлетная масса – до 4385 кг. Скорость новой модификации осталась на прежнем уровне, но маневренность и скороподъемность еще более ухудшились. Фактически А-8 представлял собой «летающую зенитную батарею» для перехвата тяжелых бомбардировщиков и был плохо приспособлен для боев с истребителями.</w:t>
      </w:r>
    </w:p>
    <w:p w14:paraId="14A3A6E8" w14:textId="77777777" w:rsidR="00FC3A63" w:rsidRPr="00070ADE" w:rsidRDefault="00FC3A63" w:rsidP="00B56F90">
      <w:pPr>
        <w:pStyle w:val="rtejustify"/>
        <w:shd w:val="clear" w:color="auto" w:fill="FFFFFF"/>
        <w:spacing w:before="0" w:after="0"/>
        <w:rPr>
          <w:color w:val="000000" w:themeColor="text1"/>
          <w:sz w:val="16"/>
          <w:szCs w:val="16"/>
        </w:rPr>
      </w:pPr>
      <w:r w:rsidRPr="00070ADE">
        <w:rPr>
          <w:color w:val="000000" w:themeColor="text1"/>
          <w:sz w:val="16"/>
          <w:szCs w:val="16"/>
        </w:rPr>
        <w:t>Особенно это относится к субмодификациям FW 190A-8/R1 и FW 190A-8/R2. У первого из них, вместо двух внешних крыльевых пушек MG-151/20, стояли четыре таких орудия в подкрыльевых контейнерах, а у второго – две 30-миллиметровые пушки МК-103. Масса этих машин достигала 4,5 тонн, а максимальная скорость не дотягивала до 600 км/ч. Огневая мощь этих истребителей для восточного фронта была избыточной, поэтому использовали их только на Западе и в тыловой ПВО.</w:t>
      </w:r>
    </w:p>
    <w:p w14:paraId="6546D916" w14:textId="77777777" w:rsidR="00FC3A63" w:rsidRPr="00070ADE" w:rsidRDefault="00FC3A63" w:rsidP="00B56F90">
      <w:pPr>
        <w:pStyle w:val="rtejustify"/>
        <w:shd w:val="clear" w:color="auto" w:fill="FFFFFF"/>
        <w:spacing w:before="0" w:after="0"/>
        <w:rPr>
          <w:color w:val="000000" w:themeColor="text1"/>
          <w:sz w:val="16"/>
          <w:szCs w:val="16"/>
        </w:rPr>
      </w:pPr>
      <w:r w:rsidRPr="00070ADE">
        <w:rPr>
          <w:color w:val="000000" w:themeColor="text1"/>
          <w:sz w:val="16"/>
          <w:szCs w:val="16"/>
        </w:rPr>
        <w:lastRenderedPageBreak/>
        <w:t>Зато на востоке очень широко применялись бомбардировочные модификации «Фокке-Вульфа» – FW 190F и FW 190G. FW 190F-1 создали в конце 1942 года на базе FW 190А-4. Консольные пушки были сняты, а на их месте укреплены четыре пилона ЕТС-50 для 50-килограммовых бомб. Под фюзеляжем установили пилон ЕТС-501, на который можно было подвесить одну бомбу массой 250 или 500 кг, либо через переходник ER-4 – четыре 50-килограммовые бомбы.</w:t>
      </w:r>
    </w:p>
    <w:p w14:paraId="6A0313C8" w14:textId="77777777" w:rsidR="00FC3A63" w:rsidRPr="00070ADE" w:rsidRDefault="00FC3A63" w:rsidP="00B56F90">
      <w:pPr>
        <w:pStyle w:val="rtejustify"/>
        <w:shd w:val="clear" w:color="auto" w:fill="FFFFFF"/>
        <w:spacing w:before="0" w:after="0"/>
        <w:rPr>
          <w:color w:val="000000" w:themeColor="text1"/>
          <w:sz w:val="16"/>
          <w:szCs w:val="16"/>
        </w:rPr>
      </w:pPr>
      <w:r w:rsidRPr="00070ADE">
        <w:rPr>
          <w:color w:val="000000" w:themeColor="text1"/>
          <w:sz w:val="16"/>
          <w:szCs w:val="16"/>
        </w:rPr>
        <w:t>Днище фюзеляжа в районе бензобаков прикрыли 5-миллиметровой броней для защиты от пуль и осколков зенитных снарядов. Из такой же брони сделали щитки, прикрывающие колеса шасси, а откидные створки нижней части капота двигателя выполнили из 6-миллиметровой брони.</w:t>
      </w:r>
    </w:p>
    <w:p w14:paraId="131AC3FD" w14:textId="77777777" w:rsidR="00FC3A63" w:rsidRPr="00070ADE" w:rsidRDefault="00FC3A63" w:rsidP="00B56F90">
      <w:pPr>
        <w:pStyle w:val="rtejustify"/>
        <w:shd w:val="clear" w:color="auto" w:fill="FFFFFF"/>
        <w:spacing w:before="0" w:after="0"/>
        <w:rPr>
          <w:color w:val="000000" w:themeColor="text1"/>
          <w:sz w:val="16"/>
          <w:szCs w:val="16"/>
        </w:rPr>
      </w:pPr>
      <w:r w:rsidRPr="00070ADE">
        <w:rPr>
          <w:color w:val="000000" w:themeColor="text1"/>
          <w:sz w:val="16"/>
          <w:szCs w:val="16"/>
        </w:rPr>
        <w:t>FW 190F-2 выпускался с весны 1943 г. на базе FW 190А-5, отличаясь от него теми же особенностями, что и F-1 от А-4. Летом того же года начался выпуск FW 190F-3 (базовая модель FW 190А-6). На нем впервые установили увеличенный и, как бы, слегка «раздутый» фонарь кабины, обеспечивший лучший обзор в стороны и вниз при атаках наземных целей. В дальнейшем такой фонарь стал отличительным признаком всех ударных модификаций «Фокке-Вульфа». Для F-3 был характерен подфюзеляжный держатель ЕТС-250 для одной 250-килограммовой бомбы или 300-литрового ПТБ. Как правило, его дополняли подкрыльевые пилоны ЕТС-50.</w:t>
      </w:r>
    </w:p>
    <w:p w14:paraId="04DD7CB5" w14:textId="77777777" w:rsidR="00FC3A63" w:rsidRPr="00070ADE" w:rsidRDefault="00FC3A63" w:rsidP="00B56F90">
      <w:pPr>
        <w:pStyle w:val="rtejustify"/>
        <w:shd w:val="clear" w:color="auto" w:fill="FFFFFF"/>
        <w:spacing w:before="0" w:after="0"/>
        <w:rPr>
          <w:color w:val="000000" w:themeColor="text1"/>
          <w:sz w:val="16"/>
          <w:szCs w:val="16"/>
        </w:rPr>
      </w:pPr>
      <w:r w:rsidRPr="00070ADE">
        <w:rPr>
          <w:color w:val="000000" w:themeColor="text1"/>
          <w:sz w:val="16"/>
          <w:szCs w:val="16"/>
        </w:rPr>
        <w:t>Рассмотрим на примере F-3 летно-технические данные штурмовых модификаций FW 190. Стандартная взлетная масса машины составляла 4400 кг, максимальная с бомбовой нагрузкой – 4950 кг. Максимальная скорость без внешних подвесок – 547 км/ч у земли и 630 км/ч на высоте 5500 м, то есть она была примерно такой же, как и у базовой истребительной модификации. Но наивысшее значение скороподъемности равнялось всего 10,7 м/с, а это значит, что даже «пустому» F-3 бой на вертикалях был противопоказан. Ну а на горизонталях любые модификации «Фокке-Вульфа» отнюдь не блистали.</w:t>
      </w:r>
    </w:p>
    <w:p w14:paraId="4005DD48" w14:textId="77777777" w:rsidR="00FC3A63" w:rsidRPr="00070ADE" w:rsidRDefault="00FC3A63" w:rsidP="00B56F90">
      <w:pPr>
        <w:pStyle w:val="rtejustify"/>
        <w:shd w:val="clear" w:color="auto" w:fill="FFFFFF"/>
        <w:spacing w:before="0" w:after="0"/>
        <w:rPr>
          <w:color w:val="000000" w:themeColor="text1"/>
          <w:sz w:val="16"/>
          <w:szCs w:val="16"/>
        </w:rPr>
      </w:pPr>
      <w:r w:rsidRPr="00070ADE">
        <w:rPr>
          <w:color w:val="000000" w:themeColor="text1"/>
          <w:sz w:val="16"/>
          <w:szCs w:val="16"/>
        </w:rPr>
        <w:t>С 250-килограммовой бомбой под фюзеляжем скорость «Фокке-Вульфа» у земли снижалась до 500 км/ч, а на высоте – до 560. Надо заметить, что для бомбардировщика такие показатели выглядели очень неплохо. Они позволяли, имея запас высоты, удрать от большинства наших истребителей и донести боевую нагрузку до цели (19178).</w:t>
      </w:r>
    </w:p>
    <w:p w14:paraId="3C06EF78" w14:textId="77777777" w:rsidR="00FC3A63" w:rsidRPr="00070ADE" w:rsidRDefault="00FC3A63" w:rsidP="00B56F90">
      <w:pPr>
        <w:pStyle w:val="rtejustify"/>
        <w:shd w:val="clear" w:color="auto" w:fill="FFFFFF"/>
        <w:spacing w:before="0" w:after="0"/>
        <w:rPr>
          <w:color w:val="000000" w:themeColor="text1"/>
          <w:sz w:val="16"/>
          <w:szCs w:val="16"/>
        </w:rPr>
      </w:pPr>
    </w:p>
    <w:p w14:paraId="711DA00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началась серия Ме-262 (88,177).</w:t>
      </w:r>
    </w:p>
    <w:p w14:paraId="18918A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1316E7" w14:textId="77777777" w:rsidR="00AD5BC7" w:rsidRPr="00C94B78" w:rsidRDefault="00AD5BC7"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феврале 1944 года налеты авиации союзников на предприя</w:t>
      </w:r>
      <w:r w:rsidRPr="00C94B78">
        <w:rPr>
          <w:rStyle w:val="aff1"/>
          <w:rFonts w:ascii="Times New Roman" w:hAnsi="Times New Roman" w:cs="Times New Roman"/>
          <w:color w:val="0070C0"/>
          <w:spacing w:val="0"/>
          <w:sz w:val="16"/>
          <w:szCs w:val="16"/>
        </w:rPr>
        <w:softHyphen/>
        <w:t>тия авиационной промышленности Герма</w:t>
      </w:r>
      <w:r w:rsidRPr="00C94B78">
        <w:rPr>
          <w:rStyle w:val="aff1"/>
          <w:rFonts w:ascii="Times New Roman" w:hAnsi="Times New Roman" w:cs="Times New Roman"/>
          <w:color w:val="0070C0"/>
          <w:spacing w:val="0"/>
          <w:sz w:val="16"/>
          <w:szCs w:val="16"/>
        </w:rPr>
        <w:softHyphen/>
        <w:t>нии, проходившие под названием «Большая неделя», причинили большой ущерб производству Ме-262. В ре</w:t>
      </w:r>
      <w:r w:rsidRPr="00C94B78">
        <w:rPr>
          <w:rStyle w:val="aff1"/>
          <w:rFonts w:ascii="Times New Roman" w:hAnsi="Times New Roman" w:cs="Times New Roman"/>
          <w:color w:val="0070C0"/>
          <w:spacing w:val="0"/>
          <w:sz w:val="16"/>
          <w:szCs w:val="16"/>
        </w:rPr>
        <w:softHyphen/>
        <w:t>зультате на заводах в Аугсбурге и Регенсбур</w:t>
      </w:r>
      <w:r w:rsidRPr="00C94B78">
        <w:rPr>
          <w:rStyle w:val="aff1"/>
          <w:rFonts w:ascii="Times New Roman" w:hAnsi="Times New Roman" w:cs="Times New Roman"/>
          <w:color w:val="0070C0"/>
          <w:spacing w:val="0"/>
          <w:sz w:val="16"/>
          <w:szCs w:val="16"/>
        </w:rPr>
        <w:softHyphen/>
        <w:t>ге 100 самолетов, к строительству которых приступили с опозданием, так и не выпусти</w:t>
      </w:r>
      <w:r w:rsidRPr="00C94B78">
        <w:rPr>
          <w:rStyle w:val="aff1"/>
          <w:rFonts w:ascii="Times New Roman" w:hAnsi="Times New Roman" w:cs="Times New Roman"/>
          <w:color w:val="0070C0"/>
          <w:spacing w:val="0"/>
          <w:sz w:val="16"/>
          <w:szCs w:val="16"/>
        </w:rPr>
        <w:softHyphen/>
        <w:t>ли. Острая нехватка кадров и материалов от</w:t>
      </w:r>
      <w:r w:rsidRPr="00C94B78">
        <w:rPr>
          <w:rStyle w:val="aff1"/>
          <w:rFonts w:ascii="Times New Roman" w:hAnsi="Times New Roman" w:cs="Times New Roman"/>
          <w:color w:val="0070C0"/>
          <w:spacing w:val="0"/>
          <w:sz w:val="16"/>
          <w:szCs w:val="16"/>
        </w:rPr>
        <w:softHyphen/>
        <w:t>тянула начало серийного производства до конца марта 1944 г. А когда четыре недели спустя первые серийные самолеты находи</w:t>
      </w:r>
      <w:r w:rsidRPr="00C94B78">
        <w:rPr>
          <w:rStyle w:val="aff1"/>
          <w:rFonts w:ascii="Times New Roman" w:hAnsi="Times New Roman" w:cs="Times New Roman"/>
          <w:color w:val="0070C0"/>
          <w:spacing w:val="0"/>
          <w:sz w:val="16"/>
          <w:szCs w:val="16"/>
        </w:rPr>
        <w:softHyphen/>
        <w:t>лись в ц</w:t>
      </w:r>
      <w:r w:rsidRPr="00C94B78">
        <w:rPr>
          <w:rStyle w:val="aff1"/>
          <w:rFonts w:ascii="Times New Roman" w:hAnsi="Times New Roman" w:cs="Times New Roman"/>
          <w:color w:val="0070C0"/>
          <w:spacing w:val="0"/>
          <w:sz w:val="16"/>
          <w:szCs w:val="16"/>
          <w:lang w:val="en-US"/>
        </w:rPr>
        <w:t>exe</w:t>
      </w:r>
      <w:r w:rsidRPr="00C94B78">
        <w:rPr>
          <w:rStyle w:val="aff1"/>
          <w:rFonts w:ascii="Times New Roman" w:hAnsi="Times New Roman" w:cs="Times New Roman"/>
          <w:color w:val="0070C0"/>
          <w:spacing w:val="0"/>
          <w:sz w:val="16"/>
          <w:szCs w:val="16"/>
        </w:rPr>
        <w:t xml:space="preserve"> окончательной сборки в Лейпхейме, они были 24 апреля разрушены мощным дневным налетом американских бомбардировшиков...(25113).</w:t>
      </w:r>
    </w:p>
    <w:p w14:paraId="7D6282A4" w14:textId="77777777" w:rsidR="00AD5BC7" w:rsidRPr="00C94B78" w:rsidRDefault="00AD5BC7" w:rsidP="00B56F90">
      <w:pPr>
        <w:spacing w:after="0" w:line="240" w:lineRule="auto"/>
        <w:jc w:val="both"/>
        <w:rPr>
          <w:rFonts w:ascii="Times New Roman" w:hAnsi="Times New Roman"/>
          <w:color w:val="0070C0"/>
          <w:sz w:val="16"/>
          <w:szCs w:val="16"/>
        </w:rPr>
      </w:pPr>
    </w:p>
    <w:p w14:paraId="227A6B6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на полигоне Куммерсдорф в присутствии Гебельса проводилось испытание новой зенитной ракеты, которые были засняты на пленку. Изображение на пленке показало, что ракету сопровождало сферическое тело, невидимое с земли, которое совершало круги вокруг ракеты (7579).</w:t>
      </w:r>
    </w:p>
    <w:p w14:paraId="4D77E6C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DE14C7" w14:textId="77777777" w:rsidR="00AD0763" w:rsidRPr="00070ADE" w:rsidRDefault="00AD0763" w:rsidP="00B56F90">
      <w:pPr>
        <w:pStyle w:val="book"/>
        <w:ind w:firstLine="0"/>
        <w:jc w:val="both"/>
        <w:rPr>
          <w:color w:val="000000" w:themeColor="text1"/>
          <w:sz w:val="16"/>
          <w:szCs w:val="16"/>
        </w:rPr>
      </w:pPr>
      <w:r w:rsidRPr="00070ADE">
        <w:rPr>
          <w:color w:val="000000" w:themeColor="text1"/>
          <w:sz w:val="16"/>
          <w:szCs w:val="16"/>
        </w:rPr>
        <w:t>В феврале 1944 г. состоялся первый старт ракеты «Вассерфаль». «Вассерфаль» («Водопад») была разработана в Пенемюнде под руководством Вернера фон Брауна и внешне ракета представляла собой в два раза уменьшенную копию баллистической ракеты ФАУ-2. «Вассерфаль» имела радиокомандную систему наведения с использованием двух РЛС. Одна РЛС следила за целью, а вторая отслеживала ЗУР. При этом обе отметки (от цели и от ракеты) выводились на одну электронно-лучевую трубку. Оператор с помощью ручки управления на так называемом «кнюппеле» старался совместить на экране отметки от цели и ЗУР. Сигналы от «кнюппеля» поступали в счетно-решающее устройство фирмы «Сименс», где вырабатывались необходимые команды, которые через передатчик по радиоканалу передавали на ракету. Пуск ракеты производился вертикально с особого пускового стола. В полете ракета управлялась с помощью газовых и аэродинамических рулей. Боевая часть ракеты «Вассерфаль» содержала от 100 до 150 кг взрывчатого вещества. Для ракеты было спроектировано четыре типа взрывателей (два радиовзрывателя, один инфракрасный и один оптический). Всего до окончания войны по различным сведениям было запущено от 25 до 50 ракет. К маю 1945 г. ракета была готова к серийному производству (15225).</w:t>
      </w:r>
    </w:p>
    <w:p w14:paraId="61CFC2A6" w14:textId="77777777" w:rsidR="00AD0763" w:rsidRPr="00070ADE" w:rsidRDefault="00AD0763" w:rsidP="00B56F90">
      <w:pPr>
        <w:pStyle w:val="book"/>
        <w:ind w:firstLine="0"/>
        <w:jc w:val="both"/>
        <w:rPr>
          <w:color w:val="000000" w:themeColor="text1"/>
          <w:sz w:val="16"/>
          <w:szCs w:val="16"/>
        </w:rPr>
      </w:pPr>
    </w:p>
    <w:p w14:paraId="7A6B488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февралю 1944 года, со значительным отставанием от графика, ракеты «Wasserfall» были переданы на полигон, расположенный на острове Грефсвальдер. К марту 1945 года «Wasserfall» уже достигал высоты от 18000 до 20000 метров и скорости 760 км/ч. Старт производился вертикально вверх со специального пускового станка, и уже в воздухе ракета поворачивалась на цель.</w:t>
      </w:r>
    </w:p>
    <w:p w14:paraId="00CA1D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Снаряд «Wasserfall» представлял собой уменьшенную в два раза «V-2». Отличительной чертой было то, что он имел четыре коротких крыла. Очевидно, предполагалось, что эта ракета после подъема на заданную высоту должна была развернуться и атаковать бомбардировщик либо в лоб, либо в хвост.</w:t>
      </w:r>
    </w:p>
    <w:p w14:paraId="64EB515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как зенитные ракеты должны в течение продолжительного времени сохраняться в заправленном состоянии, а жидкий кислород для этого непригоден, то двигатель ракеты «Wasserfall» работал на топливной смеси, компоненты которой назывались «сальбай» и «визоль». «Сальбай» представлял собой 98-процентную азотную кислоту, используемую в качестве окислителя. «Визоль» – винилизобутиловый спирт – служил горючим.</w:t>
      </w:r>
    </w:p>
    <w:p w14:paraId="329C1F3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Снаряд «Wasserfall» состоял из следующих частей. В носовой части помещался радиовзрыватель, срабатывавший по радиосигналу, передаваемому с земли; позднее он был заменен дистанционным взрывателем. Затем шла боевая головка, наполненная взрывчатым веществом – аматолом. Верхний отсек диаметром 914 мм представлял собой сферический баллон со сжатым воздухом, которым приводились в действие регулировочные механизмы – сервомоторы. Непосредственно под этим баллоном помещался отсек с клапанами, а далее шел бак с «визолем», бак с «сальбаем» и, наконец, двигательный отсек, в котором находились двигатель и вспомогательные устройства. Стабилизаторы и газовые рули монтировались на двигательном отсеке, а к внешней оболочке ракеты на уровне топливных баков крепились четыре крыла.</w:t>
      </w:r>
    </w:p>
    <w:p w14:paraId="2A66778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концу войны «Wasserfall» была настолько готова, что могла быть развернута для боевого дежурства, но Третий Рейх перестал существовать.</w:t>
      </w:r>
    </w:p>
    <w:p w14:paraId="3803EA6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Послевоенные сообщения о том, что ракета «Wasserfall» применялась в боевой обстановке, были ошибочными. Найденные протоколы 40 экспериментальных пусков говорят о том, что лишь в 14 случаях пуски этих ракет были успешными (11688).</w:t>
      </w:r>
    </w:p>
    <w:p w14:paraId="094551E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3630F5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 Гитлер назначил куратором операции ракетного удара по США оберштурмбаннфюрера СС Отто Скорцени, которому доверяли самые ответственные поручения, в том числе имевшие отношение к «специальному оружию».</w:t>
      </w:r>
    </w:p>
    <w:p w14:paraId="4A51287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Операция получила название «Elster» («Сорока»).</w:t>
      </w:r>
    </w:p>
    <w:p w14:paraId="268A5A9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Ракетный удар должен был наноситься во взаимодействии с Японией (Орлов А.С. «Чудо-оружие»: обманутые надежды фюрера. Смоленск: Русич, 1999.): Германия обстреливает Вашингтон и Нью-Йорк межконтинентальными двухступенчатыми ракетами, а японцы одновременно со всплывших подводных лодок наносят удар ракетами V1 по Сан-Франциско и Лос-Анджелесу. Чертежи V1 были посланы в Японию на подводной лодке, но она была потоплена (11686).</w:t>
      </w:r>
    </w:p>
    <w:p w14:paraId="24C201E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5A05E38" w14:textId="77777777" w:rsidR="00D73CDA" w:rsidRPr="00070ADE" w:rsidRDefault="00D73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 1944 г. ознаменовался двумя важными событиями — развертыванием в составе Люфтваффе воздушного флота «Рейх», которому поручалось координиро</w:t>
      </w:r>
      <w:r w:rsidRPr="00070ADE">
        <w:rPr>
          <w:rFonts w:ascii="Times New Roman" w:hAnsi="Times New Roman"/>
          <w:color w:val="000000" w:themeColor="text1"/>
          <w:sz w:val="16"/>
          <w:szCs w:val="16"/>
        </w:rPr>
        <w:softHyphen/>
        <w:t>вать действия всех оборонявших небо Герма</w:t>
      </w:r>
      <w:r w:rsidRPr="00070ADE">
        <w:rPr>
          <w:rFonts w:ascii="Times New Roman" w:hAnsi="Times New Roman"/>
          <w:color w:val="000000" w:themeColor="text1"/>
          <w:sz w:val="16"/>
          <w:szCs w:val="16"/>
        </w:rPr>
        <w:softHyphen/>
        <w:t>нии сил, и началом серии массированных воздушных налетов союзников на заводы немецкой авиационной промышленности, получивших название «Большая неделя». Согласно отчетам американских штабов, в этом месяце Восьмые ВВС США потеряли 3,5% всех четырехмоторных бомбардиров</w:t>
      </w:r>
      <w:r w:rsidRPr="00070ADE">
        <w:rPr>
          <w:rFonts w:ascii="Times New Roman" w:hAnsi="Times New Roman"/>
          <w:color w:val="000000" w:themeColor="text1"/>
          <w:sz w:val="16"/>
          <w:szCs w:val="16"/>
        </w:rPr>
        <w:softHyphen/>
        <w:t>щиков, 3,1% получили повреждения в воз</w:t>
      </w:r>
      <w:r w:rsidRPr="00070ADE">
        <w:rPr>
          <w:rFonts w:ascii="Times New Roman" w:hAnsi="Times New Roman"/>
          <w:color w:val="000000" w:themeColor="text1"/>
          <w:sz w:val="16"/>
          <w:szCs w:val="16"/>
        </w:rPr>
        <w:softHyphen/>
        <w:t>душных боях, а еще 26,8% всех машин воз</w:t>
      </w:r>
      <w:r w:rsidRPr="00070ADE">
        <w:rPr>
          <w:rFonts w:ascii="Times New Roman" w:hAnsi="Times New Roman"/>
          <w:color w:val="000000" w:themeColor="text1"/>
          <w:sz w:val="16"/>
          <w:szCs w:val="16"/>
        </w:rPr>
        <w:softHyphen/>
        <w:t>вращались с пробоинами от зенитных сна</w:t>
      </w:r>
      <w:r w:rsidRPr="00070ADE">
        <w:rPr>
          <w:rFonts w:ascii="Times New Roman" w:hAnsi="Times New Roman"/>
          <w:color w:val="000000" w:themeColor="text1"/>
          <w:sz w:val="16"/>
          <w:szCs w:val="16"/>
        </w:rPr>
        <w:softHyphen/>
        <w:t>рядов. Немцы же безвозвратно лишались за месяц примерно трети своих истребитель</w:t>
      </w:r>
      <w:r w:rsidRPr="00070ADE">
        <w:rPr>
          <w:rFonts w:ascii="Times New Roman" w:hAnsi="Times New Roman"/>
          <w:color w:val="000000" w:themeColor="text1"/>
          <w:sz w:val="16"/>
          <w:szCs w:val="16"/>
        </w:rPr>
        <w:softHyphen/>
        <w:t>ных сил, а в марте потери оказались беспре</w:t>
      </w:r>
      <w:r w:rsidRPr="00070ADE">
        <w:rPr>
          <w:rFonts w:ascii="Times New Roman" w:hAnsi="Times New Roman"/>
          <w:color w:val="000000" w:themeColor="text1"/>
          <w:sz w:val="16"/>
          <w:szCs w:val="16"/>
        </w:rPr>
        <w:softHyphen/>
        <w:t>цедентно большими — 56,4%. Среди погиб</w:t>
      </w:r>
      <w:r w:rsidRPr="00070ADE">
        <w:rPr>
          <w:rFonts w:ascii="Times New Roman" w:hAnsi="Times New Roman"/>
          <w:color w:val="000000" w:themeColor="text1"/>
          <w:sz w:val="16"/>
          <w:szCs w:val="16"/>
        </w:rPr>
        <w:softHyphen/>
        <w:t>ших летчиков был командир эскадры JG2 подполковник Э. Майер, имевший на счету 353 боевых вылета и 102 победы (примерно половина — на «Фокке-Вульфах», включая 25 уничтоженных четырехмоторных амери</w:t>
      </w:r>
      <w:r w:rsidRPr="00070ADE">
        <w:rPr>
          <w:rFonts w:ascii="Times New Roman" w:hAnsi="Times New Roman"/>
          <w:color w:val="000000" w:themeColor="text1"/>
          <w:sz w:val="16"/>
          <w:szCs w:val="16"/>
        </w:rPr>
        <w:softHyphen/>
        <w:t>канских бомбовозов) (23190).</w:t>
      </w:r>
    </w:p>
    <w:p w14:paraId="544B82D4" w14:textId="77777777" w:rsidR="00D73CDA" w:rsidRPr="00070ADE" w:rsidRDefault="00D73CDA" w:rsidP="00B56F90">
      <w:pPr>
        <w:spacing w:after="0" w:line="240" w:lineRule="auto"/>
        <w:jc w:val="both"/>
        <w:rPr>
          <w:rFonts w:ascii="Times New Roman" w:hAnsi="Times New Roman"/>
          <w:color w:val="000000" w:themeColor="text1"/>
          <w:sz w:val="16"/>
          <w:szCs w:val="16"/>
        </w:rPr>
      </w:pPr>
    </w:p>
    <w:p w14:paraId="6FE6DBD9" w14:textId="77777777" w:rsidR="00D73CDA" w:rsidRPr="00070ADE" w:rsidRDefault="00D73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w:t>
      </w:r>
      <w:r w:rsidRPr="00070ADE">
        <w:rPr>
          <w:rFonts w:ascii="Times New Roman" w:hAnsi="Times New Roman"/>
          <w:color w:val="000000" w:themeColor="text1"/>
          <w:sz w:val="16"/>
          <w:szCs w:val="16"/>
        </w:rPr>
        <w:softHyphen/>
        <w:t>чиная с февраля 1944 г. самолеты модификации Ju 87G-2 изготавливались в варианте проти</w:t>
      </w:r>
      <w:r w:rsidRPr="00070ADE">
        <w:rPr>
          <w:rFonts w:ascii="Times New Roman" w:hAnsi="Times New Roman"/>
          <w:color w:val="000000" w:themeColor="text1"/>
          <w:sz w:val="16"/>
          <w:szCs w:val="16"/>
        </w:rPr>
        <w:softHyphen/>
        <w:t>вотанковых непосредственно на заводе, Базовой машиной для них служил вариант D-5, поэтому «Гус</w:t>
      </w:r>
      <w:r w:rsidRPr="00070ADE">
        <w:rPr>
          <w:rFonts w:ascii="Times New Roman" w:hAnsi="Times New Roman"/>
          <w:color w:val="000000" w:themeColor="text1"/>
          <w:sz w:val="16"/>
          <w:szCs w:val="16"/>
        </w:rPr>
        <w:softHyphen/>
        <w:t>тав-2» отличался от предшественников увеличенным размахом крыла. Снизу под консолями отсутствовали не только тор</w:t>
      </w:r>
      <w:r w:rsidRPr="00070ADE">
        <w:rPr>
          <w:rFonts w:ascii="Times New Roman" w:hAnsi="Times New Roman"/>
          <w:color w:val="000000" w:themeColor="text1"/>
          <w:sz w:val="16"/>
          <w:szCs w:val="16"/>
        </w:rPr>
        <w:softHyphen/>
        <w:t>мозные щитки, но и кронштейны с привод</w:t>
      </w:r>
      <w:r w:rsidRPr="00070ADE">
        <w:rPr>
          <w:rFonts w:ascii="Times New Roman" w:hAnsi="Times New Roman"/>
          <w:color w:val="000000" w:themeColor="text1"/>
          <w:sz w:val="16"/>
          <w:szCs w:val="16"/>
        </w:rPr>
        <w:softHyphen/>
        <w:t>ными механизмами, боекомплект 37-мм пу</w:t>
      </w:r>
      <w:r w:rsidRPr="00070ADE">
        <w:rPr>
          <w:rFonts w:ascii="Times New Roman" w:hAnsi="Times New Roman"/>
          <w:color w:val="000000" w:themeColor="text1"/>
          <w:sz w:val="16"/>
          <w:szCs w:val="16"/>
        </w:rPr>
        <w:softHyphen/>
        <w:t>шек увеличился вдвое. Часть самолетов сохранила встроенные крыльевые пушки MG 151/20, на других эти орудия были де</w:t>
      </w:r>
      <w:r w:rsidRPr="00070ADE">
        <w:rPr>
          <w:rFonts w:ascii="Times New Roman" w:hAnsi="Times New Roman"/>
          <w:color w:val="000000" w:themeColor="text1"/>
          <w:sz w:val="16"/>
          <w:szCs w:val="16"/>
        </w:rPr>
        <w:softHyphen/>
        <w:t>монтированы. Основным назначением ос</w:t>
      </w:r>
      <w:r w:rsidRPr="00070ADE">
        <w:rPr>
          <w:rFonts w:ascii="Times New Roman" w:hAnsi="Times New Roman"/>
          <w:color w:val="000000" w:themeColor="text1"/>
          <w:sz w:val="16"/>
          <w:szCs w:val="16"/>
        </w:rPr>
        <w:softHyphen/>
        <w:t>тавленных 20-миллиметровок была прист</w:t>
      </w:r>
      <w:r w:rsidRPr="00070ADE">
        <w:rPr>
          <w:rFonts w:ascii="Times New Roman" w:hAnsi="Times New Roman"/>
          <w:color w:val="000000" w:themeColor="text1"/>
          <w:sz w:val="16"/>
          <w:szCs w:val="16"/>
        </w:rPr>
        <w:softHyphen/>
        <w:t>релка перед использованием ВК-3.7 (Bord Kannone 3.7 cm — это наименование полу</w:t>
      </w:r>
      <w:r w:rsidRPr="00070ADE">
        <w:rPr>
          <w:rFonts w:ascii="Times New Roman" w:hAnsi="Times New Roman"/>
          <w:color w:val="000000" w:themeColor="text1"/>
          <w:sz w:val="16"/>
          <w:szCs w:val="16"/>
        </w:rPr>
        <w:softHyphen/>
        <w:t>чила Яак 18 в контейнерном варианте). Не</w:t>
      </w:r>
      <w:r w:rsidRPr="00070ADE">
        <w:rPr>
          <w:rFonts w:ascii="Times New Roman" w:hAnsi="Times New Roman"/>
          <w:color w:val="000000" w:themeColor="text1"/>
          <w:sz w:val="16"/>
          <w:szCs w:val="16"/>
        </w:rPr>
        <w:softHyphen/>
        <w:t>которые машины оборудовались трубчаты</w:t>
      </w:r>
      <w:r w:rsidRPr="00070ADE">
        <w:rPr>
          <w:rFonts w:ascii="Times New Roman" w:hAnsi="Times New Roman"/>
          <w:color w:val="000000" w:themeColor="text1"/>
          <w:sz w:val="16"/>
          <w:szCs w:val="16"/>
        </w:rPr>
        <w:softHyphen/>
        <w:t>ми пламегасителями на выхлопных патруб</w:t>
      </w:r>
      <w:r w:rsidRPr="00070ADE">
        <w:rPr>
          <w:rFonts w:ascii="Times New Roman" w:hAnsi="Times New Roman"/>
          <w:color w:val="000000" w:themeColor="text1"/>
          <w:sz w:val="16"/>
          <w:szCs w:val="16"/>
        </w:rPr>
        <w:softHyphen/>
        <w:t>ках, заимствованными от D-8. На таких са</w:t>
      </w:r>
      <w:r w:rsidRPr="00070ADE">
        <w:rPr>
          <w:rFonts w:ascii="Times New Roman" w:hAnsi="Times New Roman"/>
          <w:color w:val="000000" w:themeColor="text1"/>
          <w:sz w:val="16"/>
          <w:szCs w:val="16"/>
        </w:rPr>
        <w:softHyphen/>
        <w:t>молетах можно было «охотиться» за танками и ночью.</w:t>
      </w:r>
    </w:p>
    <w:p w14:paraId="068D1610" w14:textId="77777777" w:rsidR="00D73CDA" w:rsidRPr="00070ADE" w:rsidRDefault="00D73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230 выпущенных G-2 подавляющее большинство — 174 машины — построил за</w:t>
      </w:r>
      <w:r w:rsidRPr="00070ADE">
        <w:rPr>
          <w:rFonts w:ascii="Times New Roman" w:hAnsi="Times New Roman"/>
          <w:color w:val="000000" w:themeColor="text1"/>
          <w:sz w:val="16"/>
          <w:szCs w:val="16"/>
        </w:rPr>
        <w:softHyphen/>
        <w:t>вод «Вессерфлюг» в Лемвердере летом и в начале осени 1944 г. На заключитель</w:t>
      </w:r>
      <w:r w:rsidRPr="00070ADE">
        <w:rPr>
          <w:rFonts w:ascii="Times New Roman" w:hAnsi="Times New Roman"/>
          <w:color w:val="000000" w:themeColor="text1"/>
          <w:sz w:val="16"/>
          <w:szCs w:val="16"/>
        </w:rPr>
        <w:softHyphen/>
        <w:t>ном этапе войны противотанковые «штуки» использовались немцами для «затыка</w:t>
      </w:r>
      <w:r w:rsidRPr="00070ADE">
        <w:rPr>
          <w:rFonts w:ascii="Times New Roman" w:hAnsi="Times New Roman"/>
          <w:color w:val="000000" w:themeColor="text1"/>
          <w:sz w:val="16"/>
          <w:szCs w:val="16"/>
        </w:rPr>
        <w:softHyphen/>
        <w:t>ния дыр», возникавших в результате проры</w:t>
      </w:r>
      <w:r w:rsidRPr="00070ADE">
        <w:rPr>
          <w:rFonts w:ascii="Times New Roman" w:hAnsi="Times New Roman"/>
          <w:color w:val="000000" w:themeColor="text1"/>
          <w:sz w:val="16"/>
          <w:szCs w:val="16"/>
        </w:rPr>
        <w:softHyphen/>
        <w:t>вов войск союзников. Эти самолеты полу</w:t>
      </w:r>
      <w:r w:rsidRPr="00070ADE">
        <w:rPr>
          <w:rFonts w:ascii="Times New Roman" w:hAnsi="Times New Roman"/>
          <w:color w:val="000000" w:themeColor="text1"/>
          <w:sz w:val="16"/>
          <w:szCs w:val="16"/>
        </w:rPr>
        <w:softHyphen/>
        <w:t>чили в вермахте многочисленные неофици</w:t>
      </w:r>
      <w:r w:rsidRPr="00070ADE">
        <w:rPr>
          <w:rFonts w:ascii="Times New Roman" w:hAnsi="Times New Roman"/>
          <w:color w:val="000000" w:themeColor="text1"/>
          <w:sz w:val="16"/>
          <w:szCs w:val="16"/>
        </w:rPr>
        <w:softHyphen/>
        <w:t>альные наименования вроде «птичка с пуш</w:t>
      </w:r>
      <w:r w:rsidRPr="00070ADE">
        <w:rPr>
          <w:rFonts w:ascii="Times New Roman" w:hAnsi="Times New Roman"/>
          <w:color w:val="000000" w:themeColor="text1"/>
          <w:sz w:val="16"/>
          <w:szCs w:val="16"/>
        </w:rPr>
        <w:softHyphen/>
        <w:t>кой» (Kanonenvogel), «убийца танков» (Panzerknacker) или «длинноствольная шту</w:t>
      </w:r>
      <w:r w:rsidRPr="00070ADE">
        <w:rPr>
          <w:rFonts w:ascii="Times New Roman" w:hAnsi="Times New Roman"/>
          <w:color w:val="000000" w:themeColor="text1"/>
          <w:sz w:val="16"/>
          <w:szCs w:val="16"/>
        </w:rPr>
        <w:softHyphen/>
        <w:t>ка» (Stuka mit den Langen Stangen) (24187).</w:t>
      </w:r>
    </w:p>
    <w:p w14:paraId="6D940B99" w14:textId="77777777" w:rsidR="00D73CDA" w:rsidRPr="00070ADE" w:rsidRDefault="00D73CDA" w:rsidP="00B56F90">
      <w:pPr>
        <w:spacing w:after="0" w:line="240" w:lineRule="auto"/>
        <w:jc w:val="both"/>
        <w:rPr>
          <w:rFonts w:ascii="Times New Roman" w:hAnsi="Times New Roman"/>
          <w:color w:val="000000" w:themeColor="text1"/>
          <w:sz w:val="16"/>
          <w:szCs w:val="16"/>
        </w:rPr>
      </w:pPr>
    </w:p>
    <w:p w14:paraId="638DD7BA" w14:textId="77777777" w:rsidR="00D73CDA" w:rsidRPr="00070ADE" w:rsidRDefault="00D73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года авиабазу в Абадане посетил шахиншах Ирана Мохаммед Реза Пехлеви. Он высоко оценил ее работу. На авиабазе отмечались все советские праздники, устраива</w:t>
      </w:r>
      <w:r w:rsidRPr="00070ADE">
        <w:rPr>
          <w:rFonts w:ascii="Times New Roman" w:hAnsi="Times New Roman"/>
          <w:color w:val="000000" w:themeColor="text1"/>
          <w:sz w:val="16"/>
          <w:szCs w:val="16"/>
        </w:rPr>
        <w:softHyphen/>
        <w:t>лись приемы для иностранцев, которые охотно посещались англичанами, американцами и местными иранскими властями. Американцы в свою очередь устроили большой прием в фев</w:t>
      </w:r>
      <w:r w:rsidRPr="00070ADE">
        <w:rPr>
          <w:rFonts w:ascii="Times New Roman" w:hAnsi="Times New Roman"/>
          <w:color w:val="000000" w:themeColor="text1"/>
          <w:sz w:val="16"/>
          <w:szCs w:val="16"/>
        </w:rPr>
        <w:softHyphen/>
        <w:t>рале 1944 года, пригласив советских офицеров во главе с ко</w:t>
      </w:r>
      <w:r w:rsidRPr="00070ADE">
        <w:rPr>
          <w:rFonts w:ascii="Times New Roman" w:hAnsi="Times New Roman"/>
          <w:color w:val="000000" w:themeColor="text1"/>
          <w:sz w:val="16"/>
          <w:szCs w:val="16"/>
        </w:rPr>
        <w:softHyphen/>
        <w:t>мандиром базы (24342).</w:t>
      </w:r>
    </w:p>
    <w:p w14:paraId="5399F12E" w14:textId="77777777" w:rsidR="00D73CDA" w:rsidRPr="00070ADE" w:rsidRDefault="00D73CDA" w:rsidP="00B56F90">
      <w:pPr>
        <w:spacing w:after="0" w:line="240" w:lineRule="auto"/>
        <w:jc w:val="both"/>
        <w:rPr>
          <w:rFonts w:ascii="Times New Roman" w:hAnsi="Times New Roman"/>
          <w:color w:val="000000" w:themeColor="text1"/>
          <w:sz w:val="16"/>
          <w:szCs w:val="16"/>
        </w:rPr>
      </w:pPr>
    </w:p>
    <w:p w14:paraId="41D0242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в эскадрилье Selbst Opfer Mann - Staffel K.-H.Lange в составе II./KG 200 было 120 добровольцев, которые тренировались на планерах для дальнейших полетах на Fi-103. Около 50-60 чел. дал Отто Скорцени, а остальных - рейхюгендфюрер Артур Аксман (2703,2).</w:t>
      </w:r>
    </w:p>
    <w:p w14:paraId="6908DF10"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62474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1944 года был создан прототип ХР-80А с американским ТРД 1-40 «Дженерал Электрик». Первые серийные образцы поступили на вооружение в 1945 году как Р-80А «Шутинг Стар». Самолеты этой модификации принимали участие в корейской войне (1950—1953 годы) и состояли на вооружении американской армии до 1953 года.</w:t>
      </w:r>
    </w:p>
    <w:p w14:paraId="19560A5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1943 году командование ВВС США было сильно обеспокоено появлением на вооружении у люфтваффе реактивных истребителей Me-163 и Ме-262. ВВС США сделало заказ компании «Локхид» разработать проект реактивного истребителя на основе британского двигателя Хавиланд (Халфорд) Х-1Б Гоблин. Время на разработку отводилось необычайно короткое — 180 дней. Исполнитель успешно справился с заказом и проект ХР-80 был готов всего на два дня позднее поставленного срока. Однако были проблемы с двигателем, и первый полет состоялся лишь в январе 1944 года. </w:t>
      </w:r>
    </w:p>
    <w:p w14:paraId="14D6D23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Кордела поступали комплектные, подробные материалы о новейших военных самолетах и зарождавшейся тогда военной технике США. В частности была получена полная документация о первом американском реактивном истребителе — бомбардировщике Р-80А «Шутинг Стар», построенном компанией «Локхид».</w:t>
      </w:r>
    </w:p>
    <w:p w14:paraId="104B6D7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1944 год от Кордела было получено 98 секретных законченных научно-исследовательских работ объемом более 5000 страниц. Из них 50% получили оценку «весьма ценные», 40% — «ценные» и 10% — «представляющие оперативный интерес» (Преображенский КГБ в Японии. Шпион, который любил Токио. — М.: Центрполиграф, 2000 — 457 с.).</w:t>
      </w:r>
    </w:p>
    <w:p w14:paraId="38B212E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Высока вероятность того, что под оперативным псевдонимом Кордел скрывался друг детства Ю. Розенберга У. Перл, который начал работать на советскую разведку в 1942 году (Прохоренко О. Рельсы и астрология // Гудок. — 2000. — 29 окт.). Правда, не ясно, кто указал на потенциальный источник информации — сам Ю. Розенберг или агент Кирилл. Скорее всего в роли агента-наводчика выступил Либерал, но из-за того, что примерно до 1998 года его активная работа на советскую разведку тщательно скрывалась, было решено приписать его вербовку Кириллу. Добавим лишь, что местом работы Кордела, если он действительно У. Перл, была лаборатория Национального управления по аэронавтике (НАСА) (11765).</w:t>
      </w:r>
    </w:p>
    <w:p w14:paraId="228C81D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35CC42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февраля 1944 г. начали поступать в войска Великобритании танки "Шерман Файрфлай" с английской версией 76-мм пушки. Они единственные из танков союзников были способны бороться с немецкими "Тиграми" и "Пантерами", да и то на близких расстояниях (3905).</w:t>
      </w:r>
    </w:p>
    <w:p w14:paraId="18DD0F5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7E12CE" w14:textId="77777777" w:rsidR="00112471" w:rsidRPr="00070ADE" w:rsidRDefault="0011247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феврале1944 первый полет Токио Коку Ки-107 (20373).</w:t>
      </w:r>
    </w:p>
    <w:p w14:paraId="00A46BAA" w14:textId="77777777" w:rsidR="00112471" w:rsidRPr="00070ADE" w:rsidRDefault="00112471" w:rsidP="00B56F90">
      <w:pPr>
        <w:spacing w:after="0" w:line="240" w:lineRule="auto"/>
        <w:jc w:val="both"/>
        <w:rPr>
          <w:rFonts w:ascii="Times New Roman" w:hAnsi="Times New Roman"/>
          <w:color w:val="000000" w:themeColor="text1"/>
          <w:sz w:val="16"/>
          <w:szCs w:val="16"/>
        </w:rPr>
      </w:pPr>
    </w:p>
    <w:p w14:paraId="73A23EEA"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2548DB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CCB4B6" w14:textId="77777777" w:rsidR="001A00DE" w:rsidRPr="00070ADE" w:rsidRDefault="001A00D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С февраля по май 1944 г. в ЦАГИ, ЛИИ НКАП и НИИ АВ ВВС проводились специальные исследования по определению прочности крыла Ил-2 с пушками 11П, величины силы отдачи таких пушек при стрельбе на упругом лафете и влияние стрельбы из них на конструкцию самолета Ил-2.</w:t>
      </w:r>
    </w:p>
    <w:p w14:paraId="783D9C28" w14:textId="77777777" w:rsidR="001A00DE" w:rsidRPr="00070ADE" w:rsidRDefault="001A00D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Так, уже к 20 марта в 4-й лаборатории ЛИИ НКАП была завершена работа по определению си</w:t>
      </w:r>
      <w:r w:rsidRPr="00070ADE">
        <w:rPr>
          <w:color w:val="000000" w:themeColor="text1"/>
          <w:sz w:val="16"/>
          <w:szCs w:val="16"/>
        </w:rPr>
        <w:softHyphen/>
        <w:t>лы отдачи пушки 11П при закреплении на лафете с различной жесткостью.</w:t>
      </w:r>
    </w:p>
    <w:p w14:paraId="6E9C960D" w14:textId="77777777" w:rsidR="001A00DE" w:rsidRPr="00070ADE" w:rsidRDefault="001A00D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Испытывалась пушка серийного изготовления, полученная со склада завода № 30. В цилиндр ги</w:t>
      </w:r>
      <w:r w:rsidRPr="00070ADE">
        <w:rPr>
          <w:color w:val="000000" w:themeColor="text1"/>
          <w:sz w:val="16"/>
          <w:szCs w:val="16"/>
        </w:rPr>
        <w:softHyphen/>
        <w:t>дротормоза заливалась штатная водоглицериновая смесь. Все стрельбы выполнялись при температуре окружающего воздуха 5—10°</w:t>
      </w:r>
      <w:r w:rsidRPr="00070ADE">
        <w:rPr>
          <w:color w:val="000000" w:themeColor="text1"/>
          <w:sz w:val="16"/>
          <w:szCs w:val="16"/>
          <w:lang w:val="en-US"/>
        </w:rPr>
        <w:t>C</w:t>
      </w:r>
      <w:r w:rsidRPr="00070ADE">
        <w:rPr>
          <w:color w:val="000000" w:themeColor="text1"/>
          <w:sz w:val="16"/>
          <w:szCs w:val="16"/>
        </w:rPr>
        <w:t>.</w:t>
      </w:r>
    </w:p>
    <w:p w14:paraId="083563BE"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Было установлено, что сила отдачи пушки «зави</w:t>
      </w:r>
      <w:r w:rsidRPr="00070ADE">
        <w:rPr>
          <w:rFonts w:ascii="Times New Roman" w:hAnsi="Times New Roman"/>
          <w:color w:val="000000" w:themeColor="text1"/>
          <w:sz w:val="16"/>
          <w:szCs w:val="16"/>
        </w:rPr>
        <w:softHyphen/>
        <w:t>сит от жесткости ее опоры и для испытанного об</w:t>
      </w:r>
      <w:r w:rsidRPr="00070ADE">
        <w:rPr>
          <w:rFonts w:ascii="Times New Roman" w:hAnsi="Times New Roman"/>
          <w:color w:val="000000" w:themeColor="text1"/>
          <w:sz w:val="16"/>
          <w:szCs w:val="16"/>
        </w:rPr>
        <w:softHyphen/>
        <w:t>разца пушки изменяется в пределах 3400—5000 кг и выше (при жесткостях выше 700 кг/мм)». При определении силы отдачи пушки необходимо учи</w:t>
      </w:r>
      <w:r w:rsidRPr="00070ADE">
        <w:rPr>
          <w:rFonts w:ascii="Times New Roman" w:hAnsi="Times New Roman"/>
          <w:color w:val="000000" w:themeColor="text1"/>
          <w:sz w:val="16"/>
          <w:szCs w:val="16"/>
        </w:rPr>
        <w:softHyphen/>
        <w:t>тывать смещение крепления пушки при стрельбе: «при статической силе, равной силе отдачи, кре</w:t>
      </w:r>
      <w:r w:rsidRPr="00070ADE">
        <w:rPr>
          <w:rFonts w:ascii="Times New Roman" w:hAnsi="Times New Roman"/>
          <w:color w:val="000000" w:themeColor="text1"/>
          <w:sz w:val="16"/>
          <w:szCs w:val="16"/>
        </w:rPr>
        <w:softHyphen/>
        <w:t>пление перемещается на 6—8 мм (без учета дефор</w:t>
      </w:r>
      <w:r w:rsidRPr="00070ADE">
        <w:rPr>
          <w:rFonts w:ascii="Times New Roman" w:hAnsi="Times New Roman"/>
          <w:color w:val="000000" w:themeColor="text1"/>
          <w:sz w:val="16"/>
          <w:szCs w:val="16"/>
        </w:rPr>
        <w:softHyphen/>
        <w:t>мации изгиба крыла)».</w:t>
      </w:r>
    </w:p>
    <w:p w14:paraId="03401C9C" w14:textId="77777777" w:rsidR="001A00DE" w:rsidRPr="00070ADE" w:rsidRDefault="001A00D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При стрельбах имели место удары ствола пуш</w:t>
      </w:r>
      <w:r w:rsidRPr="00070ADE">
        <w:rPr>
          <w:color w:val="000000" w:themeColor="text1"/>
          <w:sz w:val="16"/>
          <w:szCs w:val="16"/>
        </w:rPr>
        <w:softHyphen/>
        <w:t>ки в конце отката, что приводило к значительному увеличению силы отдачи. После регулировки дли</w:t>
      </w:r>
      <w:r w:rsidRPr="00070ADE">
        <w:rPr>
          <w:color w:val="000000" w:themeColor="text1"/>
          <w:sz w:val="16"/>
          <w:szCs w:val="16"/>
        </w:rPr>
        <w:softHyphen/>
        <w:t>ны отката ствола согласно инструкции удары ство</w:t>
      </w:r>
      <w:r w:rsidRPr="00070ADE">
        <w:rPr>
          <w:color w:val="000000" w:themeColor="text1"/>
          <w:sz w:val="16"/>
          <w:szCs w:val="16"/>
        </w:rPr>
        <w:softHyphen/>
        <w:t>ла пушки прекратились. Как следствие, значение силы отдачи пушки оказалось в пределах 3600— 4600 кг при всех значениях жесткости лафета.</w:t>
      </w:r>
    </w:p>
    <w:p w14:paraId="4D964312" w14:textId="77777777" w:rsidR="001A00DE" w:rsidRPr="00070ADE" w:rsidRDefault="001A00D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На основании этого был сделан вывод, что «си</w:t>
      </w:r>
      <w:r w:rsidRPr="00070ADE">
        <w:rPr>
          <w:color w:val="000000" w:themeColor="text1"/>
          <w:sz w:val="16"/>
          <w:szCs w:val="16"/>
        </w:rPr>
        <w:softHyphen/>
        <w:t>ла отдачи пушки целиком определяется регулиров</w:t>
      </w:r>
      <w:r w:rsidRPr="00070ADE">
        <w:rPr>
          <w:color w:val="000000" w:themeColor="text1"/>
          <w:sz w:val="16"/>
          <w:szCs w:val="16"/>
        </w:rPr>
        <w:softHyphen/>
        <w:t>кой и условиями работы ее гидротормоза, поэтому приведенные выше данные могут касаться только данного конкретного экземпляра пушки, испытан</w:t>
      </w:r>
      <w:r w:rsidRPr="00070ADE">
        <w:rPr>
          <w:color w:val="000000" w:themeColor="text1"/>
          <w:sz w:val="16"/>
          <w:szCs w:val="16"/>
        </w:rPr>
        <w:softHyphen/>
        <w:t>ного при данных температурах и проч. условиях».</w:t>
      </w:r>
    </w:p>
    <w:p w14:paraId="1897DE70" w14:textId="77777777" w:rsidR="001A00DE" w:rsidRPr="00070ADE" w:rsidRDefault="001A00D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этой связи предлагалось определить «степень постоянства работы гидротормоза» при специаль</w:t>
      </w:r>
      <w:r w:rsidRPr="00070ADE">
        <w:rPr>
          <w:color w:val="000000" w:themeColor="text1"/>
          <w:sz w:val="16"/>
          <w:szCs w:val="16"/>
        </w:rPr>
        <w:softHyphen/>
        <w:t>ных испытаниях, а также «поставить ряд исследо</w:t>
      </w:r>
      <w:r w:rsidRPr="00070ADE">
        <w:rPr>
          <w:color w:val="000000" w:themeColor="text1"/>
          <w:sz w:val="16"/>
          <w:szCs w:val="16"/>
        </w:rPr>
        <w:softHyphen/>
        <w:t>вательских работ для дальнейшего изучения силы отдачи пушки 11П и изучения воздействия на само</w:t>
      </w:r>
      <w:r w:rsidRPr="00070ADE">
        <w:rPr>
          <w:color w:val="000000" w:themeColor="text1"/>
          <w:sz w:val="16"/>
          <w:szCs w:val="16"/>
        </w:rPr>
        <w:softHyphen/>
        <w:t>лет силы отдачи оружия крупного калибра» (17500).</w:t>
      </w:r>
    </w:p>
    <w:p w14:paraId="153D3174" w14:textId="77777777" w:rsidR="001A00DE" w:rsidRPr="00070ADE" w:rsidRDefault="001A00DE" w:rsidP="00B56F90">
      <w:pPr>
        <w:spacing w:after="0" w:line="240" w:lineRule="auto"/>
        <w:jc w:val="both"/>
        <w:rPr>
          <w:rFonts w:ascii="Times New Roman" w:hAnsi="Times New Roman"/>
          <w:color w:val="000000" w:themeColor="text1"/>
          <w:sz w:val="16"/>
          <w:szCs w:val="16"/>
        </w:rPr>
      </w:pPr>
    </w:p>
    <w:p w14:paraId="679EDC8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феврале-марте 1944 ОКБ А.Н.Т. произвело исследовательские работы в ходе испытаний машины N 716 с увеличенной площадью вертикального оперения. Рекомендовали в серию (1835,32).</w:t>
      </w:r>
    </w:p>
    <w:p w14:paraId="547FC38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7D9FC9"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феврале-марте 1944 года в ОКБ П.О.Сухого велась работа над проектом одноместного истре</w:t>
      </w:r>
      <w:r w:rsidRPr="00070ADE">
        <w:rPr>
          <w:rFonts w:ascii="Times New Roman" w:hAnsi="Times New Roman"/>
          <w:color w:val="000000" w:themeColor="text1"/>
          <w:sz w:val="16"/>
          <w:szCs w:val="16"/>
        </w:rPr>
        <w:softHyphen/>
        <w:t>бителя с двумя двигателями М-107, расположенными в фюзеляже за кабиной летчика - один за другим вдоль продольной оси самолета. Передний двигатель был смещен к правому борту фюзеляжа, а задний - к левому. Привод соосных винтов осуществлялся удлиненными вала</w:t>
      </w:r>
      <w:r w:rsidRPr="00070ADE">
        <w:rPr>
          <w:rFonts w:ascii="Times New Roman" w:hAnsi="Times New Roman"/>
          <w:color w:val="000000" w:themeColor="text1"/>
          <w:sz w:val="16"/>
          <w:szCs w:val="16"/>
        </w:rPr>
        <w:softHyphen/>
        <w:t>ми. Самолет цельнометаллической конструкции имел весьма изящные аэродинамические формы.</w:t>
      </w:r>
    </w:p>
    <w:p w14:paraId="2267B844"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самолета состояло из трех пушек. Одна помещалась в носовой части фюзеляжа, две дру</w:t>
      </w:r>
      <w:r w:rsidRPr="00070ADE">
        <w:rPr>
          <w:rFonts w:ascii="Times New Roman" w:hAnsi="Times New Roman"/>
          <w:color w:val="000000" w:themeColor="text1"/>
          <w:sz w:val="16"/>
          <w:szCs w:val="16"/>
        </w:rPr>
        <w:softHyphen/>
        <w:t>гие - в консолях крыла.</w:t>
      </w:r>
    </w:p>
    <w:p w14:paraId="0014BECE"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Бронирование летчика включа</w:t>
      </w:r>
      <w:r w:rsidRPr="00070ADE">
        <w:rPr>
          <w:rFonts w:ascii="Times New Roman" w:hAnsi="Times New Roman"/>
          <w:color w:val="000000" w:themeColor="text1"/>
          <w:sz w:val="16"/>
          <w:szCs w:val="16"/>
        </w:rPr>
        <w:softHyphen/>
        <w:t>ло передний бронещиток 10-мм толщины, 60-мм бронестекло и 1 2-мм бронеспинку.</w:t>
      </w:r>
    </w:p>
    <w:p w14:paraId="36E89DD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По-видимому, проект не был за</w:t>
      </w:r>
      <w:r w:rsidRPr="00070ADE">
        <w:rPr>
          <w:rFonts w:ascii="Times New Roman" w:hAnsi="Times New Roman"/>
          <w:color w:val="000000" w:themeColor="text1"/>
          <w:sz w:val="16"/>
          <w:szCs w:val="16"/>
        </w:rPr>
        <w:softHyphen/>
        <w:t>вершен, т.к. никаких сведений о нем в документах не найдено (11754).</w:t>
      </w:r>
    </w:p>
    <w:p w14:paraId="14FCBD2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E6054F" w14:textId="77777777" w:rsidR="00AD5BC7" w:rsidRPr="00C94B78" w:rsidRDefault="00AD5BC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феврале-марте 1944 года в ОКБ П.О.Сухого велась работа над проектом одноместного истребителя с двумя двигателями М-107, расположенными в фюзеляже за кабиной летчика — один за другим вдоль продольной оси самолета. Передний двигатель был смещен к правому борту фюзеляжа, а задний — к левому. Привод соосных винтов осуществлялся удлиненными валами. Самолет цельнометаллической конструкции имел весьма изящные аэродинамические формы.</w:t>
      </w:r>
    </w:p>
    <w:p w14:paraId="6E6673AD" w14:textId="77777777" w:rsidR="00AD5BC7" w:rsidRPr="00C94B78" w:rsidRDefault="00AD5BC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Вооружение самолета состояло из трех пушек. Одна помещалась в носовой части фюзеляжа, две другие — в консолях крыла.</w:t>
      </w:r>
    </w:p>
    <w:p w14:paraId="6B7094BA" w14:textId="77777777" w:rsidR="00AD5BC7" w:rsidRPr="00C94B78" w:rsidRDefault="00AD5BC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Бронирование летчика включало передний бронещиток 10-мм толщины, 60-мм бронестекло и 1 2-мм бронеспинку.</w:t>
      </w:r>
    </w:p>
    <w:p w14:paraId="59069E87" w14:textId="77777777" w:rsidR="00AD5BC7" w:rsidRPr="00C94B78" w:rsidRDefault="00AD5BC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По-видимому, проект не был завершен, т.к. никаких сведений о нем в документах не найдено (25264).</w:t>
      </w:r>
    </w:p>
    <w:p w14:paraId="6DFC7DBA" w14:textId="77777777" w:rsidR="00AD5BC7" w:rsidRPr="00C94B78" w:rsidRDefault="00AD5BC7" w:rsidP="00B56F90">
      <w:pPr>
        <w:spacing w:after="0" w:line="240" w:lineRule="auto"/>
        <w:jc w:val="both"/>
        <w:rPr>
          <w:rFonts w:ascii="Times New Roman" w:hAnsi="Times New Roman"/>
          <w:color w:val="0070C0"/>
          <w:sz w:val="16"/>
          <w:szCs w:val="16"/>
        </w:rPr>
      </w:pPr>
    </w:p>
    <w:p w14:paraId="3EF1DD3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феврале-апреле 1944 проходили гос. испытания Як-3Т - переделки серийного Як-3 с двумя синхронными п Б-20С с боезапасом по 100 снарядов и одной центральной Н-37 с 25 снарядами. Машину предельно облегчили сняв все лишнее (1728,33).</w:t>
      </w:r>
    </w:p>
    <w:p w14:paraId="5FC10CA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15B91F" w14:textId="77777777" w:rsidR="00AD5BC7" w:rsidRPr="00C94B78" w:rsidRDefault="00AD5BC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 марте 1944 г. на одном самолете Ли-2 испытали тепловой антиобледенитель, вписанный в контур крыла (ранее его делали выступаю</w:t>
      </w:r>
      <w:r w:rsidRPr="00C94B78">
        <w:rPr>
          <w:rFonts w:ascii="Times New Roman" w:hAnsi="Times New Roman"/>
          <w:color w:val="0070C0"/>
          <w:sz w:val="16"/>
          <w:szCs w:val="16"/>
        </w:rPr>
        <w:softHyphen/>
        <w:t>щим). Это восстановило первоначаль</w:t>
      </w:r>
      <w:r w:rsidRPr="00C94B78">
        <w:rPr>
          <w:rFonts w:ascii="Times New Roman" w:hAnsi="Times New Roman"/>
          <w:color w:val="0070C0"/>
          <w:sz w:val="16"/>
          <w:szCs w:val="16"/>
        </w:rPr>
        <w:softHyphen/>
        <w:t xml:space="preserve">ный аэродинамический профиль крыла, улучшив его обтекание (25015). </w:t>
      </w:r>
    </w:p>
    <w:p w14:paraId="536BCF73" w14:textId="77777777" w:rsidR="00AD5BC7" w:rsidRPr="00C94B78" w:rsidRDefault="00AD5BC7" w:rsidP="00B56F90">
      <w:pPr>
        <w:spacing w:after="0" w:line="240" w:lineRule="auto"/>
        <w:jc w:val="both"/>
        <w:rPr>
          <w:rFonts w:ascii="Times New Roman" w:hAnsi="Times New Roman"/>
          <w:color w:val="0070C0"/>
          <w:sz w:val="16"/>
          <w:szCs w:val="16"/>
        </w:rPr>
      </w:pPr>
    </w:p>
    <w:p w14:paraId="0C0E616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феврале-марте 1944 года по инициативе главного конструктора Бармина В.П. БМ-31 была заменена более совершенной установкой БМ-31-12 с сотовыми направляющими на модифицированном шасси грузового автомобиля серии Studebaker, разработанной За исключением моноблока направляющих и электрооборудования остальные узлы установки были унифицированы с узлами боевой нормализованной установки М-13Н. Испытания, в частности, проводились на Софринском полигоне [70].</w:t>
      </w:r>
    </w:p>
    <w:p w14:paraId="1EBC130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Преимуществами установки БМ-31-12 по сравнению со станками М30 и М31 были:</w:t>
      </w:r>
    </w:p>
    <w:p w14:paraId="303390A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дальнейшем установка использовалась для пуска реактивных снарядов М-13УК калибра 132 мм. В октябре 1944 года в соответствии с ТТТ ГУВ ГМЧ КА специалисты СКБ разработали вставку для стрельбы трофейными немецкими снарядами калибра 300 мм с помощью установок БМ-31-12. вставка надевалась на снаряд и легко вставлялась вместе со снарядом в направляющую через ее казенную часть. Вставки были предохранены стопорными устройствами от перемещения при стрельбе и от выпадения после заряжания (11772).</w:t>
      </w:r>
    </w:p>
    <w:p w14:paraId="4540E94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64117E3" w14:textId="15701781"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eastAsia="Times New Roman" w:hAnsi="Times New Roman"/>
          <w:color w:val="000000" w:themeColor="text1"/>
          <w:sz w:val="16"/>
          <w:szCs w:val="16"/>
        </w:rPr>
        <w:t xml:space="preserve">В феврале-марте 1944 года был разработан опытный образец подвижной установки для стрельбы снарядами М-31. В качестве базы 12-зарядной установка БМ-31 было выбрано шасси грузового автомобиля повышенной проходимости серии Studebaker. В конструкции метательной установки были использованы узлы и детали нормализованной установки М-13Н, кроме направляющих и фермы. В качестве направляющих использовались укупорки снарядов М-31, которые укладывались на специальную ферму. После проведения успешных полигонных и ходовых испытаний установка была принята на вооружение Красной Армии. В дальнейшем она была заменена более совершенной установкой БМ-31-12 с сотовыми направляющими на доработанном шасси грузового автомобиля серии Studebaker, разработанной в феврале-марте 1944 года по инициативе главного конструктора Бармина В.П. За исключением моноблока направляющих и электрооборудования остальные узлы </w:t>
      </w:r>
      <w:r w:rsidRPr="00070ADE">
        <w:rPr>
          <w:rFonts w:ascii="Times New Roman" w:eastAsia="Times New Roman" w:hAnsi="Times New Roman"/>
          <w:color w:val="000000" w:themeColor="text1"/>
          <w:sz w:val="16"/>
          <w:szCs w:val="16"/>
        </w:rPr>
        <w:lastRenderedPageBreak/>
        <w:t>установки были унифицированы с узлами боевой нормализованной установки М-13Н. Испытания,</w:t>
      </w:r>
      <w:r w:rsidR="00B643A8" w:rsidRPr="00070ADE">
        <w:rPr>
          <w:rFonts w:ascii="Times New Roman" w:eastAsia="Times New Roman" w:hAnsi="Times New Roman"/>
          <w:color w:val="000000" w:themeColor="text1"/>
          <w:sz w:val="16"/>
          <w:szCs w:val="16"/>
        </w:rPr>
        <w:t xml:space="preserve"> </w:t>
      </w:r>
      <w:r w:rsidRPr="00070ADE">
        <w:rPr>
          <w:rFonts w:ascii="Times New Roman" w:eastAsia="Times New Roman" w:hAnsi="Times New Roman"/>
          <w:color w:val="000000" w:themeColor="text1"/>
          <w:sz w:val="16"/>
          <w:szCs w:val="16"/>
        </w:rPr>
        <w:t>в частности, проводились на Софринском полигоне. Постановлением ГОКО</w:t>
      </w:r>
      <w:r w:rsidRPr="00070ADE">
        <w:rPr>
          <w:rFonts w:ascii="Times New Roman" w:hAnsi="Times New Roman"/>
          <w:color w:val="000000" w:themeColor="text1"/>
          <w:sz w:val="16"/>
          <w:szCs w:val="16"/>
        </w:rPr>
        <w:t xml:space="preserve"> от 9 июня 1944 года "О принятии на вооружение Красной Армии боевых установок М-31 и перевооружении 12-ти дивизионов М-31" на вооружение Гвардейских минометных частей Красной Армии была принята двенадцатизарядная установка М-31 конструкции Бармина, смонтированная на автошасси для стрельбы снарядами М-31 улучшенной кучности. Постановлением также устанавливался план производства боевых установок М-31 на 2-й квартал 1944 года в количестве 250 штук. В приложении к постановлению указывается ее марка - БМ-31-12.</w:t>
      </w:r>
    </w:p>
    <w:p w14:paraId="6A3E3EEC" w14:textId="77777777" w:rsidR="00AD0763" w:rsidRPr="00070ADE" w:rsidRDefault="00AD0763"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Преимуществами установки БМ-31-12 по сравнению со станками М30 и М31 были:</w:t>
      </w:r>
    </w:p>
    <w:p w14:paraId="7100CD4E" w14:textId="77777777" w:rsidR="00AD0763" w:rsidRPr="00070ADE" w:rsidRDefault="00AD0763"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маневренность (возможность пережвижения);</w:t>
      </w:r>
    </w:p>
    <w:p w14:paraId="46D126EA" w14:textId="77777777" w:rsidR="00AD0763" w:rsidRPr="00070ADE" w:rsidRDefault="00AD0763"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возможность стрельбы в диапазоне углов возвышения от +10 до +45°;</w:t>
      </w:r>
    </w:p>
    <w:p w14:paraId="60CEC954" w14:textId="77777777" w:rsidR="00AD0763" w:rsidRPr="00070ADE" w:rsidRDefault="00AD0763"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лучшая кучность стрельбы;</w:t>
      </w:r>
    </w:p>
    <w:p w14:paraId="780E920D" w14:textId="77777777" w:rsidR="00AD0763" w:rsidRPr="00070ADE" w:rsidRDefault="00AD0763"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возможность выезда на позицию заряженной;</w:t>
      </w:r>
    </w:p>
    <w:p w14:paraId="6205E432" w14:textId="77777777" w:rsidR="00AD0763" w:rsidRPr="00070ADE" w:rsidRDefault="00AD0763"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более удобное и быстрое заряжание при меньшем числе номеров расчета;</w:t>
      </w:r>
    </w:p>
    <w:p w14:paraId="17104C86" w14:textId="77777777" w:rsidR="00AD0763" w:rsidRPr="00070ADE" w:rsidRDefault="00AD0763"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исключение схода снаряда с увлечением за собой направляющих укупорок [102].</w:t>
      </w:r>
    </w:p>
    <w:p w14:paraId="67547BE8" w14:textId="77777777" w:rsidR="00AD0763" w:rsidRPr="00070ADE" w:rsidRDefault="00AD0763"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В дальнейшем установка использовалась для пуска реактивных снарядов М-13УК калибра 132 мм (15981).</w:t>
      </w:r>
    </w:p>
    <w:p w14:paraId="2F225B35" w14:textId="77777777" w:rsidR="00AD0763" w:rsidRPr="00070ADE" w:rsidRDefault="00AD0763" w:rsidP="00B56F90">
      <w:pPr>
        <w:spacing w:after="0" w:line="240" w:lineRule="auto"/>
        <w:jc w:val="both"/>
        <w:rPr>
          <w:rFonts w:ascii="Times New Roman" w:eastAsia="Times New Roman" w:hAnsi="Times New Roman"/>
          <w:color w:val="000000" w:themeColor="text1"/>
          <w:sz w:val="16"/>
          <w:szCs w:val="16"/>
        </w:rPr>
      </w:pPr>
    </w:p>
    <w:p w14:paraId="5411D79F" w14:textId="76AD497B"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eastAsia="Times New Roman" w:hAnsi="Times New Roman"/>
          <w:color w:val="000000" w:themeColor="text1"/>
          <w:sz w:val="16"/>
          <w:szCs w:val="16"/>
        </w:rPr>
        <w:t>В феврале-марте 1944 года по инициативе главного конструктора Бармина В.П. была разработана установка БМ-31-12 с сотовыми направляющими на доработанном шасси грузового автомобиля серии Studebaker. За исключением моноблока направляющих и электрооборудования остальные узлы установки были унифицированы с узлами боевой нормализованной установки М-13Н. Испытания,</w:t>
      </w:r>
      <w:r w:rsidR="00B643A8" w:rsidRPr="00070ADE">
        <w:rPr>
          <w:rFonts w:ascii="Times New Roman" w:eastAsia="Times New Roman" w:hAnsi="Times New Roman"/>
          <w:color w:val="000000" w:themeColor="text1"/>
          <w:sz w:val="16"/>
          <w:szCs w:val="16"/>
        </w:rPr>
        <w:t xml:space="preserve"> </w:t>
      </w:r>
      <w:r w:rsidRPr="00070ADE">
        <w:rPr>
          <w:rFonts w:ascii="Times New Roman" w:eastAsia="Times New Roman" w:hAnsi="Times New Roman"/>
          <w:color w:val="000000" w:themeColor="text1"/>
          <w:sz w:val="16"/>
          <w:szCs w:val="16"/>
        </w:rPr>
        <w:t>в частности, проводились на Софринском полигоне. Постановлением ГОКО</w:t>
      </w:r>
      <w:r w:rsidRPr="00070ADE">
        <w:rPr>
          <w:rFonts w:ascii="Times New Roman" w:hAnsi="Times New Roman"/>
          <w:color w:val="000000" w:themeColor="text1"/>
          <w:sz w:val="16"/>
          <w:szCs w:val="16"/>
        </w:rPr>
        <w:t xml:space="preserve"> от 9 июня 1944 года "О принятии на вооружение Красной Армии боевых установок М-31 и перевооружении 12-ти дивизионов М-31" на вооружение Гвардейских минометных частей Красной Армии была принята двенадцатизарядная установка М-31 конструкции Бармина, смонтированная на автошасси для стрельбы снарядами М-31 улучшенной кучности. Постановлением также устанавливался план производства боевых установок М-31 на 2-й квартал 1944 года в количестве 250 штук. В приложении к постановлению указывается ее марка - БМ-31-12.</w:t>
      </w:r>
    </w:p>
    <w:p w14:paraId="4B89C0A8" w14:textId="77777777" w:rsidR="00AD0763" w:rsidRPr="00070ADE" w:rsidRDefault="00AD0763"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Преимуществами установки БМ-31-12 по сравнению со станками М30 и М31 были:</w:t>
      </w:r>
    </w:p>
    <w:p w14:paraId="7EB0DB52" w14:textId="77777777" w:rsidR="00AD0763" w:rsidRPr="00070ADE" w:rsidRDefault="00AD0763"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маневренность (возможность пережвижения);</w:t>
      </w:r>
    </w:p>
    <w:p w14:paraId="61DAE760" w14:textId="77777777" w:rsidR="00AD0763" w:rsidRPr="00070ADE" w:rsidRDefault="00AD0763"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возможность стрельбы в диапазоне углов возвышения от +10 до +45°;</w:t>
      </w:r>
    </w:p>
    <w:p w14:paraId="25EB4131" w14:textId="77777777" w:rsidR="00AD0763" w:rsidRPr="00070ADE" w:rsidRDefault="00AD0763"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лучшая кучность стрельбы;</w:t>
      </w:r>
    </w:p>
    <w:p w14:paraId="4D30BD2E" w14:textId="77777777" w:rsidR="00AD0763" w:rsidRPr="00070ADE" w:rsidRDefault="00AD0763"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возможность выезда на позицию заряженной;</w:t>
      </w:r>
    </w:p>
    <w:p w14:paraId="61D67962" w14:textId="77777777" w:rsidR="00AD0763" w:rsidRPr="00070ADE" w:rsidRDefault="00AD0763"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более удобное и быстрое заряжание при меньшем числе номеров расчета;</w:t>
      </w:r>
    </w:p>
    <w:p w14:paraId="7BFB7F1D" w14:textId="77777777" w:rsidR="00AD0763" w:rsidRPr="00070ADE" w:rsidRDefault="00AD0763"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исключение схода снаряда с увлечением за собой направляющих укупорок [102].</w:t>
      </w:r>
    </w:p>
    <w:p w14:paraId="7A48658E" w14:textId="77777777" w:rsidR="00AD0763" w:rsidRPr="00070ADE" w:rsidRDefault="00AD0763"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В дальнейшем установка использовалась для пуска реактивных снарядов М-13УК калибра 132 мм (15981).</w:t>
      </w:r>
    </w:p>
    <w:p w14:paraId="466CF9B0" w14:textId="77777777" w:rsidR="00AD0763" w:rsidRPr="00070ADE" w:rsidRDefault="00AD0763" w:rsidP="00B56F90">
      <w:pPr>
        <w:spacing w:after="0" w:line="240" w:lineRule="auto"/>
        <w:jc w:val="both"/>
        <w:rPr>
          <w:rFonts w:ascii="Times New Roman" w:eastAsia="Times New Roman" w:hAnsi="Times New Roman"/>
          <w:color w:val="000000" w:themeColor="text1"/>
          <w:sz w:val="16"/>
          <w:szCs w:val="16"/>
        </w:rPr>
      </w:pPr>
    </w:p>
    <w:p w14:paraId="591DFB50" w14:textId="77777777" w:rsidR="00AD5BC7" w:rsidRPr="00C94B78" w:rsidRDefault="00AD5BC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 — марте 1944 г. для стрельбы снарядами М-31, а позже и М-31УК СКБ «Компрессор» разработал 12-зарядную БМ-31-12 на шасси автомобиля «Студебеккер». Первоначально пусковая установка предназначалась для стрельбы из деревянных укупорочных ящиков. Позже перешли на стрельбу с направляющих сотового типа. Каждая направляющая ячейка сотового типа состояла из четырёх труб диаметром 32 мм и длиной 3 м, находившихся внутри связывающих их восьмигранных обойм. Трубы и ячейки располагались относительно друг друга так, что в поперечном сечении образовывали квадрат, в который вписывалась окружность диаметром 306 мм (25435).</w:t>
      </w:r>
    </w:p>
    <w:p w14:paraId="6E3F1975" w14:textId="77777777" w:rsidR="00AD5BC7" w:rsidRPr="00C94B78" w:rsidRDefault="00AD5BC7" w:rsidP="00B56F90">
      <w:pPr>
        <w:spacing w:after="0" w:line="240" w:lineRule="auto"/>
        <w:jc w:val="both"/>
        <w:rPr>
          <w:rFonts w:ascii="Times New Roman" w:hAnsi="Times New Roman"/>
          <w:color w:val="0070C0"/>
          <w:sz w:val="16"/>
          <w:szCs w:val="16"/>
        </w:rPr>
      </w:pPr>
    </w:p>
    <w:p w14:paraId="5DB3AD94"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116DC0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0413D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феврале-марте 1944 года проходили первые испытания третьего прототипа Т-44-2, который был вооружен 122-мм орудием Д-25-44Т, отличавшимся от своего серийного собрата Д-25 унитарным заряжанием (предполагалось, что это повысит скорострельность орудия в танке), но окончились неудачно: орудие вышло из строя и было возвращено на завод (3862).</w:t>
      </w:r>
    </w:p>
    <w:p w14:paraId="387B1A3E"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AA9A42"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феврале—марте 1944 г. одна из первых трех машин Т-44 первой модификации прошла испытания на НИБТ поли</w:t>
      </w:r>
      <w:r w:rsidRPr="00070ADE">
        <w:rPr>
          <w:rFonts w:ascii="Times New Roman" w:hAnsi="Times New Roman"/>
          <w:color w:val="000000" w:themeColor="text1"/>
          <w:sz w:val="16"/>
          <w:szCs w:val="16"/>
        </w:rPr>
        <w:softHyphen/>
        <w:t>гоне, в результате которых было выявлено большое количество конструктивных недо</w:t>
      </w:r>
      <w:r w:rsidRPr="00070ADE">
        <w:rPr>
          <w:rFonts w:ascii="Times New Roman" w:hAnsi="Times New Roman"/>
          <w:color w:val="000000" w:themeColor="text1"/>
          <w:sz w:val="16"/>
          <w:szCs w:val="16"/>
        </w:rPr>
        <w:softHyphen/>
        <w:t>статков. На третьем опытном образце танка ус</w:t>
      </w:r>
      <w:r w:rsidRPr="00070ADE">
        <w:rPr>
          <w:rFonts w:ascii="Times New Roman" w:hAnsi="Times New Roman"/>
          <w:color w:val="000000" w:themeColor="text1"/>
          <w:sz w:val="16"/>
          <w:szCs w:val="16"/>
        </w:rPr>
        <w:softHyphen/>
        <w:t>танавливалась 122-мм пушка Д-25-44 (11468).</w:t>
      </w:r>
    </w:p>
    <w:p w14:paraId="5CECB8BB"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96ED14" w14:textId="77777777" w:rsidR="00112471" w:rsidRPr="00070ADE" w:rsidRDefault="0011247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феврале-марте 1944 года провели первые испытания Т-44 со 122-мм оруди</w:t>
      </w:r>
      <w:r w:rsidRPr="00070ADE">
        <w:rPr>
          <w:rFonts w:ascii="Times New Roman" w:hAnsi="Times New Roman"/>
          <w:color w:val="000000" w:themeColor="text1"/>
          <w:sz w:val="16"/>
          <w:szCs w:val="16"/>
        </w:rPr>
        <w:softHyphen/>
        <w:t>ем, но окончились они неудачно: орудие вышло из строя и было возвращено на завод. В апреле, после переустановки башни на корпус прото</w:t>
      </w:r>
      <w:r w:rsidRPr="00070ADE">
        <w:rPr>
          <w:rFonts w:ascii="Times New Roman" w:hAnsi="Times New Roman"/>
          <w:color w:val="000000" w:themeColor="text1"/>
          <w:sz w:val="16"/>
          <w:szCs w:val="16"/>
        </w:rPr>
        <w:softHyphen/>
        <w:t>типа №3, испытания возобновились. Выясни</w:t>
      </w:r>
      <w:r w:rsidRPr="00070ADE">
        <w:rPr>
          <w:rFonts w:ascii="Times New Roman" w:hAnsi="Times New Roman"/>
          <w:color w:val="000000" w:themeColor="text1"/>
          <w:sz w:val="16"/>
          <w:szCs w:val="16"/>
        </w:rPr>
        <w:softHyphen/>
        <w:t>лось, что существенного повышения скоро</w:t>
      </w:r>
      <w:r w:rsidRPr="00070ADE">
        <w:rPr>
          <w:rFonts w:ascii="Times New Roman" w:hAnsi="Times New Roman"/>
          <w:color w:val="000000" w:themeColor="text1"/>
          <w:sz w:val="16"/>
          <w:szCs w:val="16"/>
        </w:rPr>
        <w:softHyphen/>
        <w:t>стрельности за счет унитарного заряжания добиться не удается. Скорострельность составила всего 2-3 выстр./мин. (при раз</w:t>
      </w:r>
      <w:r w:rsidRPr="00070ADE">
        <w:rPr>
          <w:rFonts w:ascii="Times New Roman" w:hAnsi="Times New Roman"/>
          <w:color w:val="000000" w:themeColor="text1"/>
          <w:sz w:val="16"/>
          <w:szCs w:val="16"/>
        </w:rPr>
        <w:softHyphen/>
        <w:t>дельном заряжании - 1 выстр./мин). Боль</w:t>
      </w:r>
      <w:r w:rsidRPr="00070ADE">
        <w:rPr>
          <w:rFonts w:ascii="Times New Roman" w:hAnsi="Times New Roman"/>
          <w:color w:val="000000" w:themeColor="text1"/>
          <w:sz w:val="16"/>
          <w:szCs w:val="16"/>
        </w:rPr>
        <w:softHyphen/>
        <w:t>шая масса и размер унитарного выстрела сильно осложняли работу экипажа. Заряжать пушку из-за ее низкой посадки и недостаточ</w:t>
      </w:r>
      <w:r w:rsidRPr="00070ADE">
        <w:rPr>
          <w:rFonts w:ascii="Times New Roman" w:hAnsi="Times New Roman"/>
          <w:color w:val="000000" w:themeColor="text1"/>
          <w:sz w:val="16"/>
          <w:szCs w:val="16"/>
        </w:rPr>
        <w:softHyphen/>
        <w:t>ного «заднего отрезка» даже в башне с пого</w:t>
      </w:r>
      <w:r w:rsidRPr="00070ADE">
        <w:rPr>
          <w:rFonts w:ascii="Times New Roman" w:hAnsi="Times New Roman"/>
          <w:color w:val="000000" w:themeColor="text1"/>
          <w:sz w:val="16"/>
          <w:szCs w:val="16"/>
        </w:rPr>
        <w:softHyphen/>
        <w:t>ном в 1800 мм было очень сложно. К тому же, боекомплект, составлявший всего 24 выстре</w:t>
      </w:r>
      <w:r w:rsidRPr="00070ADE">
        <w:rPr>
          <w:rFonts w:ascii="Times New Roman" w:hAnsi="Times New Roman"/>
          <w:color w:val="000000" w:themeColor="text1"/>
          <w:sz w:val="16"/>
          <w:szCs w:val="16"/>
        </w:rPr>
        <w:softHyphen/>
        <w:t>ла, сочли явно недостаточным (19935).</w:t>
      </w:r>
    </w:p>
    <w:p w14:paraId="1311DA5B" w14:textId="77777777" w:rsidR="00112471" w:rsidRPr="00070ADE" w:rsidRDefault="00112471" w:rsidP="00B56F90">
      <w:pPr>
        <w:spacing w:after="0" w:line="240" w:lineRule="auto"/>
        <w:jc w:val="both"/>
        <w:rPr>
          <w:rFonts w:ascii="Times New Roman" w:hAnsi="Times New Roman"/>
          <w:color w:val="000000" w:themeColor="text1"/>
          <w:sz w:val="16"/>
          <w:szCs w:val="16"/>
        </w:rPr>
      </w:pPr>
    </w:p>
    <w:p w14:paraId="0077C736"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феврале-марте 1944 г. два эталонных танка Т-44 испытывались совместно с Т-34 и трофейной «Пантерой» и про</w:t>
      </w:r>
      <w:r w:rsidRPr="00070ADE">
        <w:rPr>
          <w:rFonts w:ascii="Times New Roman" w:hAnsi="Times New Roman"/>
          <w:color w:val="000000" w:themeColor="text1"/>
          <w:sz w:val="16"/>
          <w:szCs w:val="16"/>
        </w:rPr>
        <w:softHyphen/>
        <w:t>демонстрировали свои преимущества не только в плане бое</w:t>
      </w:r>
      <w:r w:rsidRPr="00070ADE">
        <w:rPr>
          <w:rFonts w:ascii="Times New Roman" w:hAnsi="Times New Roman"/>
          <w:color w:val="000000" w:themeColor="text1"/>
          <w:sz w:val="16"/>
          <w:szCs w:val="16"/>
        </w:rPr>
        <w:softHyphen/>
        <w:t>вых качеств, но также в отношении надежности механизмов и узлов. Помимо этого, Т-44 был легче обоих указанных об</w:t>
      </w:r>
      <w:r w:rsidRPr="00070ADE">
        <w:rPr>
          <w:rFonts w:ascii="Times New Roman" w:hAnsi="Times New Roman"/>
          <w:color w:val="000000" w:themeColor="text1"/>
          <w:sz w:val="16"/>
          <w:szCs w:val="16"/>
        </w:rPr>
        <w:softHyphen/>
        <w:t>разцов, а его броневая защита в лобовой части оказалась не хуже немецкой кошки. При этом вооружение нового танка оказалось на уровне тяжелого танка ИС и немецкого «Тигра» и могло быть еще усилено установкой новой башни (11135).</w:t>
      </w:r>
    </w:p>
    <w:p w14:paraId="0E221DF7"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E43AD0" w14:textId="77777777" w:rsidR="00337326" w:rsidRPr="00070ADE" w:rsidRDefault="003373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феврале-марта 1944 проходили полигонные испытания первого опытного образца танка Т-44 (18276).</w:t>
      </w:r>
    </w:p>
    <w:p w14:paraId="47B117BD" w14:textId="77777777" w:rsidR="00337326" w:rsidRPr="00070ADE" w:rsidRDefault="00337326" w:rsidP="00B56F90">
      <w:pPr>
        <w:spacing w:after="0" w:line="240" w:lineRule="auto"/>
        <w:jc w:val="both"/>
        <w:rPr>
          <w:rFonts w:ascii="Times New Roman" w:hAnsi="Times New Roman"/>
          <w:color w:val="000000" w:themeColor="text1"/>
          <w:sz w:val="16"/>
          <w:szCs w:val="16"/>
        </w:rPr>
      </w:pPr>
    </w:p>
    <w:p w14:paraId="6FE88B78"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 марте 1944 г. один из танков Т-44 первой модификации прошел испытания на НИБТ полигоне, в результате которых было выявлено много конструктивных недостатков новой машины. Третий опытный танк Т-44-122 был вооружен 122-мм пушкой Д-25-44. После устранения недостатков, выявленных на полигонных испыта</w:t>
      </w:r>
      <w:r w:rsidRPr="00070ADE">
        <w:rPr>
          <w:rFonts w:ascii="Times New Roman" w:hAnsi="Times New Roman"/>
          <w:color w:val="000000" w:themeColor="text1"/>
          <w:sz w:val="16"/>
          <w:szCs w:val="16"/>
        </w:rPr>
        <w:softHyphen/>
        <w:t>ниях, были изготовлены два танка второй модификации. Один из них был испытан на НИБТ полигоне в июне - июле 1944 г. Танк имел бое</w:t>
      </w:r>
      <w:r w:rsidRPr="00070ADE">
        <w:rPr>
          <w:rFonts w:ascii="Times New Roman" w:hAnsi="Times New Roman"/>
          <w:color w:val="000000" w:themeColor="text1"/>
          <w:sz w:val="16"/>
          <w:szCs w:val="16"/>
        </w:rPr>
        <w:softHyphen/>
        <w:t>вую массу 31,3 т, был вооружен 85-мм пушкой ЗИС-С-53. Толщина бро</w:t>
      </w:r>
      <w:r w:rsidRPr="00070ADE">
        <w:rPr>
          <w:rFonts w:ascii="Times New Roman" w:hAnsi="Times New Roman"/>
          <w:color w:val="000000" w:themeColor="text1"/>
          <w:sz w:val="16"/>
          <w:szCs w:val="16"/>
        </w:rPr>
        <w:softHyphen/>
        <w:t>ни лобовой части башни была увеличена до 115 мм, а борта корпуса из</w:t>
      </w:r>
      <w:r w:rsidRPr="00070ADE">
        <w:rPr>
          <w:rFonts w:ascii="Times New Roman" w:hAnsi="Times New Roman"/>
          <w:color w:val="000000" w:themeColor="text1"/>
          <w:sz w:val="16"/>
          <w:szCs w:val="16"/>
        </w:rPr>
        <w:softHyphen/>
        <w:t>готавливались из катаных 75-мм броневых листов (10703).</w:t>
      </w:r>
    </w:p>
    <w:p w14:paraId="473B6451"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75F045" w14:textId="77777777" w:rsidR="00AD5BC7" w:rsidRPr="00C94B78" w:rsidRDefault="00AD5BC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феврале-марте 1944 года на НИБТ Полигоне прошли испытания первого Т-44, результаты которых стали причиной для серьёзных размышлений. Не умаляя ряда достоинств, которыми обладал Т-44, комиссия справедливо указала на массу недочетов.</w:t>
      </w:r>
    </w:p>
    <w:p w14:paraId="7F8F519E" w14:textId="77777777" w:rsidR="00AD5BC7" w:rsidRPr="00C94B78" w:rsidRDefault="00AD5BC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При испытании обстрелом корпуса первого варианта Т-44 выяснилось, что будка механика-водителя, к которой и так имелись претензии, является еще и уязвимым местом. В результате последовала команда о переделке будки, сделав ее менее уязвимой к вражескому огню. Также потребовалась доработка нижнего лобового листа корпуса и его бортов.</w:t>
      </w:r>
    </w:p>
    <w:p w14:paraId="383B1056" w14:textId="77777777" w:rsidR="00AD5BC7" w:rsidRPr="00C94B78" w:rsidRDefault="00AD5BC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 результатам испытаний предлагалось в течение месяца устранить обнаруженные недостатки, построив улучшенный образец машины. Выводы комиссии поддержал нарком танковой промышленности В.А. Малышев, который 23 марта 1944 года дал указание о постройке двух опытных образцов Т-44, в которых устранялись обнаруженные на испытаниях недочеты. Также диаметр опорных катков увеличивался до 830 мм (такой же диаметр имели катки Т-34) (25624).</w:t>
      </w:r>
    </w:p>
    <w:p w14:paraId="4CEE897C" w14:textId="77777777" w:rsidR="00AD5BC7" w:rsidRPr="00C94B78" w:rsidRDefault="00AD5BC7" w:rsidP="00B56F90">
      <w:pPr>
        <w:spacing w:after="0" w:line="240" w:lineRule="auto"/>
        <w:jc w:val="both"/>
        <w:rPr>
          <w:rFonts w:ascii="Times New Roman" w:hAnsi="Times New Roman"/>
          <w:color w:val="0070C0"/>
          <w:sz w:val="16"/>
          <w:szCs w:val="16"/>
        </w:rPr>
      </w:pPr>
    </w:p>
    <w:p w14:paraId="4C845CA7" w14:textId="095ADFF3" w:rsidR="00337326" w:rsidRPr="00070ADE" w:rsidRDefault="003373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феврале-марте 1944 года всерьёз начала рассматриваться тема усиления защиты ИС-2. Причиной тому стал не самый успешный дебют предшественника —</w:t>
      </w:r>
      <w:r w:rsidR="00B643A8" w:rsidRPr="00070ADE">
        <w:rPr>
          <w:rFonts w:ascii="Times New Roman" w:hAnsi="Times New Roman"/>
          <w:color w:val="000000" w:themeColor="text1"/>
          <w:sz w:val="16"/>
          <w:szCs w:val="16"/>
        </w:rPr>
        <w:t xml:space="preserve"> </w:t>
      </w:r>
      <w:hyperlink r:id="rId67" w:history="1">
        <w:r w:rsidRPr="00070ADE">
          <w:rPr>
            <w:rStyle w:val="a5"/>
            <w:rFonts w:ascii="Times New Roman" w:hAnsi="Times New Roman"/>
            <w:color w:val="000000" w:themeColor="text1"/>
            <w:sz w:val="16"/>
            <w:szCs w:val="16"/>
            <w:u w:val="none"/>
          </w:rPr>
          <w:t>ИС-85</w:t>
        </w:r>
      </w:hyperlink>
      <w:r w:rsidRPr="00070ADE">
        <w:rPr>
          <w:rFonts w:ascii="Times New Roman" w:hAnsi="Times New Roman"/>
          <w:color w:val="000000" w:themeColor="text1"/>
          <w:sz w:val="16"/>
          <w:szCs w:val="16"/>
        </w:rPr>
        <w:t>. В ходе первого же боя за Лисянку оказалось, что лобовая броня этих танков пробивается снарядами 75-мм орудий KwK 42 L/70, установленных на немецких</w:t>
      </w:r>
      <w:r w:rsidR="00B643A8" w:rsidRPr="00070ADE">
        <w:rPr>
          <w:rFonts w:ascii="Times New Roman" w:hAnsi="Times New Roman"/>
          <w:color w:val="000000" w:themeColor="text1"/>
          <w:sz w:val="16"/>
          <w:szCs w:val="16"/>
        </w:rPr>
        <w:t xml:space="preserve"> </w:t>
      </w:r>
      <w:hyperlink r:id="rId68" w:history="1">
        <w:r w:rsidRPr="00070ADE">
          <w:rPr>
            <w:rStyle w:val="a5"/>
            <w:rFonts w:ascii="Times New Roman" w:hAnsi="Times New Roman"/>
            <w:color w:val="000000" w:themeColor="text1"/>
            <w:sz w:val="16"/>
            <w:szCs w:val="16"/>
            <w:u w:val="none"/>
          </w:rPr>
          <w:t>Pz.Kpfw.Panther</w:t>
        </w:r>
      </w:hyperlink>
      <w:r w:rsidRPr="00070ADE">
        <w:rPr>
          <w:rFonts w:ascii="Times New Roman" w:hAnsi="Times New Roman"/>
          <w:color w:val="000000" w:themeColor="text1"/>
          <w:sz w:val="16"/>
          <w:szCs w:val="16"/>
        </w:rPr>
        <w:t>. Причиной недостаточной защиты стал и заводской брак, но было очевидно: против пушки «Пантеры» лоб нового советского тяжёлого танка слабоват. А ИС-2 имел такой же корпус и аналогичную по конструкции башню (18099).</w:t>
      </w:r>
    </w:p>
    <w:p w14:paraId="0CE35BB9" w14:textId="18A142E3" w:rsidR="00337326" w:rsidRPr="00070ADE" w:rsidRDefault="003373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велись по двум направлениям. 8 апреля 1944 года было подписано постановление ГКО №5583сс «Об изготовлении опытных образцов нового тяжёлого танка на Кировском заводе НКТП». Его третий пункт предписывал в трёхмесячный срок провести необходимые работы по усилению броневой защиты ИС-2. Также требовалось усовершенствовать трансмиссию и ходовую часть, используя наработки по проекту тяжёлого танка Объект 701. Фактически речь шла о глубокой модернизации ИС-2. Данные работы велись как СКБ-2 Челябинского Кировского завода (ЧКЗ), так и опытным заводом №100. На опытном заводе приоритет получила глубокая модернизация машины, что привело к появлению</w:t>
      </w:r>
      <w:r w:rsidR="00B643A8" w:rsidRPr="00070ADE">
        <w:rPr>
          <w:rFonts w:ascii="Times New Roman" w:hAnsi="Times New Roman"/>
          <w:color w:val="000000" w:themeColor="text1"/>
          <w:sz w:val="16"/>
          <w:szCs w:val="16"/>
        </w:rPr>
        <w:t xml:space="preserve"> </w:t>
      </w:r>
      <w:hyperlink r:id="rId69" w:history="1">
        <w:r w:rsidRPr="00070ADE">
          <w:rPr>
            <w:rStyle w:val="a5"/>
            <w:rFonts w:ascii="Times New Roman" w:hAnsi="Times New Roman"/>
            <w:color w:val="000000" w:themeColor="text1"/>
            <w:sz w:val="16"/>
            <w:szCs w:val="16"/>
            <w:u w:val="none"/>
          </w:rPr>
          <w:t>нескольких проектов</w:t>
        </w:r>
      </w:hyperlink>
      <w:r w:rsidRPr="00070ADE">
        <w:rPr>
          <w:rFonts w:ascii="Times New Roman" w:hAnsi="Times New Roman"/>
          <w:color w:val="000000" w:themeColor="text1"/>
          <w:sz w:val="16"/>
          <w:szCs w:val="16"/>
        </w:rPr>
        <w:t>, которые, впрочем, так и не вышли за рамки эскизных работ.</w:t>
      </w:r>
    </w:p>
    <w:p w14:paraId="09426EA6" w14:textId="77777777" w:rsidR="00337326" w:rsidRPr="00070ADE" w:rsidRDefault="003373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СКБ-2 ЧКЗ выбрало для себя другой путь. В отличие от опытного завода, мало связанного с производственниками, в КБ при заводе-производителе прекрасно понимали специфику работ. Здесь уже и так велись работы по новому танку Объект 701, который в перспективе должен был заменить ИС-2. Радикальная модернизация ИС-2, таким образом, могла стать конкурентом для своего же проекта. Кроме того, над ЧКЗ дамокловым мечом висело требование об увеличении </w:t>
      </w:r>
      <w:r w:rsidRPr="00070ADE">
        <w:rPr>
          <w:rFonts w:ascii="Times New Roman" w:hAnsi="Times New Roman"/>
          <w:color w:val="000000" w:themeColor="text1"/>
          <w:sz w:val="16"/>
          <w:szCs w:val="16"/>
        </w:rPr>
        <w:lastRenderedPageBreak/>
        <w:t>объёмов производства как ИС, так и самоходных установок на его базе. Поэтому большой модернизацией там и не занимались, по крайней мере, до середины лета 1944 года. А вот конструкцию и качество серийной машины на ЧКЗ постоянно улучшали. Например, в июне 1944 года здесь внедрили изменённую конструкцию башни и орудийной бронировки, которая стала немного лучше «держать» снаряды с лобовой проекции (18099).</w:t>
      </w:r>
    </w:p>
    <w:p w14:paraId="549B90BF" w14:textId="77777777" w:rsidR="00337326" w:rsidRPr="00070ADE" w:rsidRDefault="003373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Наиболее проблемной оказалась конструкция лобовой части корпуса. Одна её характерная черта была унаследована даже не от КВ-13, а ещё от КВ-1. Речь идёт о своеобразной «ступеньке», в которой размещался смотровой люк механика-водителя. Такое решение улучшало обзорность, но создавало целую массу проблем. «Ступенька» заметно усложняла конструкцию лобовой детали корпуса и часто становилась причиной брака. Кроме того, смотровой люк являлся крайне уязвимым элементом. Часть поражений лобовой детали ИС-85 в ходе дебюта под Лисянкой пришлась именно на люк. Верхняя часть самой «ступеньки» имела небольшой угол наклона, что также не способствовало улучшению ситуации с защитой.</w:t>
      </w:r>
    </w:p>
    <w:p w14:paraId="6F0CE34C" w14:textId="77777777" w:rsidR="00337326" w:rsidRPr="00070ADE" w:rsidRDefault="00337326" w:rsidP="00B56F90">
      <w:pPr>
        <w:spacing w:after="0" w:line="240" w:lineRule="auto"/>
        <w:jc w:val="both"/>
        <w:rPr>
          <w:rFonts w:ascii="Times New Roman" w:hAnsi="Times New Roman"/>
          <w:color w:val="000000" w:themeColor="text1"/>
          <w:sz w:val="16"/>
          <w:szCs w:val="16"/>
        </w:rPr>
      </w:pPr>
    </w:p>
    <w:p w14:paraId="5C78DABC" w14:textId="77777777" w:rsidR="00337326" w:rsidRPr="00070ADE" w:rsidRDefault="00337326"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 марте 1944 г. опытный образец танка Объект 245, который по документам НКТП проходил под маркой ИС-4, был изготовлен. Установка основного оружия в башню танка была произведена в марте - апреле на заводе № 9 НКВ. Ведущим инженером машины от завода № 100 был Н.И. Заморянский, от завода № 9 - М.Е. Безусов. В период с марта по апрель и в июне 1944 г. машина прошла заводские испытания. На вооружение танк не принимался и серийном производстве не состоял. Танк был создан на базе серийного танка ИС-1 и отличался от него установкой 100-мм пушки Д-10Т с длиной ствола 56 калибров и клино</w:t>
      </w:r>
      <w:r w:rsidRPr="00070ADE">
        <w:rPr>
          <w:rFonts w:ascii="Times New Roman" w:hAnsi="Times New Roman"/>
          <w:color w:val="000000" w:themeColor="text1"/>
          <w:sz w:val="16"/>
          <w:szCs w:val="16"/>
        </w:rPr>
        <w:softHyphen/>
        <w:t>вым затвором. Высота линии огня составляла 1950 мм, длина отката -570 мм. Вместе с пушкой был спарен 7,62-мм пулемет ДТ. Для наводки в цель спаренной установки оружия использовался телескопический шарнирный прицел ТШ с 2,5-кратным увеличением. Углы вертикаль</w:t>
      </w:r>
      <w:r w:rsidRPr="00070ADE">
        <w:rPr>
          <w:rFonts w:ascii="Times New Roman" w:hAnsi="Times New Roman"/>
          <w:color w:val="000000" w:themeColor="text1"/>
          <w:sz w:val="16"/>
          <w:szCs w:val="16"/>
        </w:rPr>
        <w:softHyphen/>
        <w:t>ной наводки пушки находились в интервале от -3 до +20°. Для удале</w:t>
      </w:r>
      <w:r w:rsidRPr="00070ADE">
        <w:rPr>
          <w:rFonts w:ascii="Times New Roman" w:hAnsi="Times New Roman"/>
          <w:color w:val="000000" w:themeColor="text1"/>
          <w:sz w:val="16"/>
          <w:szCs w:val="16"/>
        </w:rPr>
        <w:softHyphen/>
        <w:t>ния пороховых газов из боевого отделения применялся вентилятор по</w:t>
      </w:r>
      <w:r w:rsidRPr="00070ADE">
        <w:rPr>
          <w:rFonts w:ascii="Times New Roman" w:hAnsi="Times New Roman"/>
          <w:color w:val="000000" w:themeColor="text1"/>
          <w:sz w:val="16"/>
          <w:szCs w:val="16"/>
        </w:rPr>
        <w:softHyphen/>
        <w:t>вышенной производительности (10703).</w:t>
      </w:r>
    </w:p>
    <w:p w14:paraId="236C4F84" w14:textId="77777777" w:rsidR="00337326" w:rsidRPr="00070ADE" w:rsidRDefault="00337326"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33400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 марте 1944 г. три опытных образца бронеавтомобиля БА-64Е прошли войсковые испытания в 3-й Гвардейской танковой ар</w:t>
      </w:r>
      <w:r w:rsidRPr="00070ADE">
        <w:rPr>
          <w:rFonts w:ascii="Times New Roman" w:hAnsi="Times New Roman"/>
          <w:color w:val="000000" w:themeColor="text1"/>
          <w:sz w:val="16"/>
          <w:szCs w:val="16"/>
        </w:rPr>
        <w:softHyphen/>
        <w:t>мии и 7-м Нежинском механизированном корпусе, по результатам кото</w:t>
      </w:r>
      <w:r w:rsidRPr="00070ADE">
        <w:rPr>
          <w:rFonts w:ascii="Times New Roman" w:hAnsi="Times New Roman"/>
          <w:color w:val="000000" w:themeColor="text1"/>
          <w:sz w:val="16"/>
          <w:szCs w:val="16"/>
        </w:rPr>
        <w:softHyphen/>
        <w:t>рых машины получили отрицательное заключение (10703).</w:t>
      </w:r>
    </w:p>
    <w:p w14:paraId="022C853F"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BA9947" w14:textId="77777777" w:rsidR="00AD5BC7" w:rsidRPr="00C94B78" w:rsidRDefault="00AD5BC7"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А феврале – марте 1944 года по инициативе горкома комсомола Ташкента на вагоноремонтном заводе города сверхплана изготовили один бронепоезд типа БП-43. Таким образом, в 1942 – 1944 годах был построен и передан Красной Армии 21 бронепоезд типа БП-43. Кроме того, во второй половине 1943 года броневые заводы наркомата танковой промышленности изготовили 35 комплектов брони для БП-43 с расчетом их дальнейшего строительства. Но в связи с небольшими потерями бронепоездов на фронтах в 1943 году, их изготовление прекратили (25635).</w:t>
      </w:r>
    </w:p>
    <w:p w14:paraId="0B971615" w14:textId="77777777" w:rsidR="00AD5BC7" w:rsidRPr="00C94B78" w:rsidRDefault="00AD5BC7" w:rsidP="00B56F90">
      <w:pPr>
        <w:spacing w:after="0" w:line="240" w:lineRule="auto"/>
        <w:jc w:val="both"/>
        <w:rPr>
          <w:rFonts w:ascii="Times New Roman" w:hAnsi="Times New Roman"/>
          <w:color w:val="0070C0"/>
          <w:sz w:val="16"/>
          <w:szCs w:val="16"/>
        </w:rPr>
      </w:pPr>
    </w:p>
    <w:p w14:paraId="01006B8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и октябре 1944 г. со</w:t>
      </w:r>
      <w:r w:rsidRPr="00070ADE">
        <w:rPr>
          <w:rFonts w:ascii="Times New Roman" w:hAnsi="Times New Roman"/>
          <w:color w:val="000000" w:themeColor="text1"/>
          <w:sz w:val="16"/>
          <w:szCs w:val="16"/>
        </w:rPr>
        <w:softHyphen/>
        <w:t>ответственно пл М-202 ("Рыбник Донбаса") и М-203 ("Иркутский рыбак") были сданы заводом 638 на Черном море (3898).</w:t>
      </w:r>
    </w:p>
    <w:p w14:paraId="082AB368"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314336"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1EC62AA"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91DCF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феврале-марте 1944 года под Мелитополем действовала группа из 10 С-47 под командованием Б.Лабутина. В условиях распутицы только авиация позволяла поддерживать темпы наступления. Самолеты подвозили патроны, снаряды (в том числе для реактивных минометов), продукты, обувь и обмундирование. Обратными рейсами вывозили раненых. Летали недалеко, поэтому, делали по 5-6 вылетов в день (3457,135).</w:t>
      </w:r>
    </w:p>
    <w:p w14:paraId="6AD6B4F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E93B46"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 апреле 1944 г. 1-й оапп работал в полосе 1-го Прибалтийского фронта. Полк потерял три экипажа, но доставил партизанам 41 т вооружения, боеприпасов и других грузов (12266).</w:t>
      </w:r>
    </w:p>
    <w:p w14:paraId="1393DAA7" w14:textId="77777777" w:rsidR="00673CAB" w:rsidRPr="00070ADE" w:rsidRDefault="00673CAB" w:rsidP="00B56F90">
      <w:pPr>
        <w:spacing w:after="0" w:line="240" w:lineRule="auto"/>
        <w:jc w:val="both"/>
        <w:rPr>
          <w:rFonts w:ascii="Times New Roman" w:hAnsi="Times New Roman"/>
          <w:color w:val="000000" w:themeColor="text1"/>
          <w:sz w:val="16"/>
          <w:szCs w:val="16"/>
        </w:rPr>
      </w:pPr>
    </w:p>
    <w:p w14:paraId="2A37F390"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феврале—апреле 1944 г. 1 -й оапп работал в по</w:t>
      </w:r>
      <w:r w:rsidRPr="00070ADE">
        <w:rPr>
          <w:rFonts w:ascii="Times New Roman" w:hAnsi="Times New Roman"/>
          <w:color w:val="000000" w:themeColor="text1"/>
          <w:sz w:val="16"/>
          <w:szCs w:val="16"/>
        </w:rPr>
        <w:softHyphen/>
        <w:t>лосе 1-го Прибалтийского фронта. Полк потерял три экипажа, но доставил партизанам 41 т вооружения, боеприпасов и других грузов.</w:t>
      </w:r>
    </w:p>
    <w:p w14:paraId="3F87AC4F" w14:textId="77777777" w:rsidR="00673CAB" w:rsidRPr="00070ADE" w:rsidRDefault="00673C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Последний полет на планере к партизанам Бело</w:t>
      </w:r>
      <w:r w:rsidRPr="00070ADE">
        <w:rPr>
          <w:rFonts w:ascii="Times New Roman" w:hAnsi="Times New Roman"/>
          <w:color w:val="000000" w:themeColor="text1"/>
          <w:sz w:val="16"/>
          <w:szCs w:val="16"/>
        </w:rPr>
        <w:softHyphen/>
        <w:t>руссии в район Ушачи совершил А. Синицын в апреле 1944 г. На этом боевые планерные операции в Вели</w:t>
      </w:r>
      <w:r w:rsidRPr="00070ADE">
        <w:rPr>
          <w:rFonts w:ascii="Times New Roman" w:hAnsi="Times New Roman"/>
          <w:color w:val="000000" w:themeColor="text1"/>
          <w:sz w:val="16"/>
          <w:szCs w:val="16"/>
        </w:rPr>
        <w:softHyphen/>
        <w:t>кой Отечественной войне закончились (12300).</w:t>
      </w:r>
    </w:p>
    <w:p w14:paraId="52EA3A19" w14:textId="77777777" w:rsidR="00673CAB" w:rsidRPr="00070ADE" w:rsidRDefault="00673CAB" w:rsidP="00B56F90">
      <w:pPr>
        <w:spacing w:after="0" w:line="240" w:lineRule="auto"/>
        <w:jc w:val="both"/>
        <w:rPr>
          <w:rFonts w:ascii="Times New Roman" w:hAnsi="Times New Roman"/>
          <w:color w:val="000000" w:themeColor="text1"/>
          <w:sz w:val="16"/>
          <w:szCs w:val="16"/>
        </w:rPr>
      </w:pPr>
    </w:p>
    <w:p w14:paraId="7EC3C465" w14:textId="77777777" w:rsidR="00673CAB" w:rsidRPr="00070ADE" w:rsidRDefault="00673CAB" w:rsidP="00B56F90">
      <w:pPr>
        <w:pStyle w:val="aff4"/>
        <w:shd w:val="clear" w:color="auto" w:fill="auto"/>
        <w:tabs>
          <w:tab w:val="left" w:pos="130"/>
        </w:tabs>
        <w:spacing w:line="240" w:lineRule="auto"/>
        <w:rPr>
          <w:rFonts w:ascii="Times New Roman" w:hAnsi="Times New Roman" w:cs="Times New Roman"/>
          <w:i w:val="0"/>
          <w:color w:val="000000" w:themeColor="text1"/>
          <w:sz w:val="16"/>
          <w:szCs w:val="16"/>
          <w:lang w:val="ru-RU"/>
        </w:rPr>
      </w:pPr>
      <w:r w:rsidRPr="00070ADE">
        <w:rPr>
          <w:rFonts w:ascii="Times New Roman" w:hAnsi="Times New Roman" w:cs="Times New Roman"/>
          <w:i w:val="0"/>
          <w:color w:val="000000" w:themeColor="text1"/>
          <w:sz w:val="16"/>
          <w:szCs w:val="16"/>
          <w:lang w:val="ru-RU"/>
        </w:rPr>
        <w:t>В феврале 1944 года было письмо И. В. Сталину командующего бронетанковыми и механизированными войсками Красной Армии генерал-полковника Я. Н. Федоренко: «Докладываю, что потребность в танках на фронтах с каждым месяцем увеличивается. Танковые и механизированные войска Действующей Армии, беспрерывно участвуя во всех операциях наших войск, имеют значительную убыль в танках. Выпускаемое количество танков заводами Наркомтанкопрома не дает возможности удовлетворить минимальной потребности укомплектования действующих танковых частей. Создать же танковый резерв Ставки к весне 1944 года не представляется никакой возможности (Мировые войны ХХ века. Кн. 4. Вторая мировая война: документы и материалы / Сост. Ю. А. Никифоров, отв. ред. М. Ю. Мягков. М., 2002. С. 422).» Далее Федоренко требует повысить месячное производство с 1575 средних и тяжелых танков и САУ до 1825 в марте, 2000 в апреле, 2200 в мае, а в октябре 1944 года Федоренко считал возможным довести производство танков до 3000 в месяц. Записка показывает, что реакцией на высокие потери было не требование дать новую технику, применение которой снизит потери, а дать больше танков, чтобы потери компенсировать. Эта позиция обрекала Т-44 на печальную судьбу (12290).</w:t>
      </w:r>
    </w:p>
    <w:p w14:paraId="37524570" w14:textId="77777777" w:rsidR="00673CAB" w:rsidRPr="00070ADE" w:rsidRDefault="00673CAB" w:rsidP="00B56F90">
      <w:pPr>
        <w:pStyle w:val="a3"/>
        <w:rPr>
          <w:color w:val="000000" w:themeColor="text1"/>
          <w:lang w:val="ru-RU"/>
        </w:rPr>
      </w:pPr>
    </w:p>
    <w:p w14:paraId="6A3E9F2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F6C36E3"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82AA9B"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зимы 1944 на заводе № 166 заложили следующую серию истребителей Як-9 с моторами М-107А и ее основой стал Як-9У, разработанный ОКБ-115 в декабое 1943. Хотя заводские испытания машина прошла сравнительно успешно, но многие недостатки, отмеченные в акте по результатам государственных испытаний, приходилось устранять в чертежах как бы задним числом. Это конечно сказалось на темпах работы омичей. По их рассказам, А.С.Яковлев, занятый другими работами, ни разу не посетил завод в течение всего 1944 г. и все вопросы согласовывало руководство завода с заместителем главного конструктора Н.К.Скржинским. Не обошлось и без горячей полемики.</w:t>
      </w:r>
    </w:p>
    <w:p w14:paraId="30D7FE2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воспоминаниям Л.С.Щавинского, в то время начальника летно-испытательной станции (ЛИС) 166-го завода, после первых “гонок двигателя” он не сомневался, что выхлопные патрубки слишком сильно прижаты к двигателю и это создает излишне высокую температуру в подкапотном пространстве истребителя. Скржинский же считал, что надо строить серию по чертежам опытного самолета и был противником внесения каких-либо изменений кроме тех, которые осуществил А.С.Яковлев. Тем не менее, результаты облета первого серийного Як-9У, собранного в Омске 16 марта 1944 г., показали, что изменения придется вносить, и в немалых количествах (4842).</w:t>
      </w:r>
    </w:p>
    <w:p w14:paraId="693E3C7D"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A38033" w14:textId="77777777" w:rsidR="001A00DE" w:rsidRPr="00070ADE" w:rsidRDefault="001A00DE"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279D084" w14:textId="77777777" w:rsidR="001A00DE" w:rsidRPr="00070ADE" w:rsidRDefault="001A00DE"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40FCF8" w14:textId="77777777" w:rsidR="001A00DE" w:rsidRPr="00070ADE" w:rsidRDefault="001A00DE" w:rsidP="00B56F90">
      <w:pPr>
        <w:pStyle w:val="ae"/>
        <w:shd w:val="clear" w:color="auto" w:fill="FFFFFF"/>
        <w:spacing w:before="0" w:after="0"/>
        <w:jc w:val="both"/>
        <w:rPr>
          <w:color w:val="000000" w:themeColor="text1"/>
          <w:sz w:val="16"/>
          <w:szCs w:val="16"/>
        </w:rPr>
      </w:pPr>
      <w:r w:rsidRPr="00070ADE">
        <w:rPr>
          <w:color w:val="000000" w:themeColor="text1"/>
          <w:sz w:val="16"/>
          <w:szCs w:val="16"/>
        </w:rPr>
        <w:t>На зиму-весну 1944 года пришёлся пик боевого применения ИС-85. 8-й гв. ттп оказался соседом 13-го гв. ттп, действуя вместе с ним в составе 3-го танкового корпуса. На фронт полк прибыл в то же время, 19 февраля 1944 года. К 13 марта в составе полка осталось 5 танков. Как и в случае с 13-м гв. ттп, часть потерь была вызвана техническими причинами. 58-й и 1-й гв. ттп в марте 1944 года действовали в составе 1-й гвардейской армии.</w:t>
      </w:r>
    </w:p>
    <w:p w14:paraId="56358598" w14:textId="77777777" w:rsidR="001A00DE" w:rsidRPr="00070ADE" w:rsidRDefault="001A00DE" w:rsidP="00B56F90">
      <w:pPr>
        <w:pStyle w:val="ae"/>
        <w:shd w:val="clear" w:color="auto" w:fill="FFFFFF"/>
        <w:spacing w:before="0" w:after="0"/>
        <w:jc w:val="both"/>
        <w:rPr>
          <w:color w:val="000000" w:themeColor="text1"/>
          <w:sz w:val="16"/>
          <w:szCs w:val="16"/>
        </w:rPr>
      </w:pPr>
      <w:r w:rsidRPr="00070ADE">
        <w:rPr>
          <w:color w:val="000000" w:themeColor="text1"/>
          <w:sz w:val="16"/>
          <w:szCs w:val="16"/>
        </w:rPr>
        <w:t>24 марта последовал приказ вывести полки на переформирования, после чего все уцелевшие ИС-85 оказались в составе 1-го гв. ттп. Почти все полки, ранее имевшие на вооружении ИС-1, получили ИС-2. ИС-1 «всплывали» позже как командирские, например, в составе 71-го гв. ттп.</w:t>
      </w:r>
    </w:p>
    <w:p w14:paraId="5E52FE58" w14:textId="77777777" w:rsidR="001A00DE" w:rsidRPr="00070ADE" w:rsidRDefault="001A00DE" w:rsidP="00B56F90">
      <w:pPr>
        <w:pStyle w:val="ae"/>
        <w:shd w:val="clear" w:color="auto" w:fill="FFFFFF"/>
        <w:spacing w:before="0" w:after="0"/>
        <w:jc w:val="both"/>
        <w:rPr>
          <w:color w:val="000000" w:themeColor="text1"/>
          <w:sz w:val="16"/>
          <w:szCs w:val="16"/>
        </w:rPr>
      </w:pPr>
      <w:r w:rsidRPr="00070ADE">
        <w:rPr>
          <w:color w:val="000000" w:themeColor="text1"/>
          <w:sz w:val="16"/>
          <w:szCs w:val="16"/>
        </w:rPr>
        <w:t>Единственным полком, в котором ИС-1 задержались надолго, оказался 1-й гв. ттп. Ко 2 апреля в нём имелось 5 танков данного типа, к концу месяца их осталось 2. В мае полк имел очень пёстрый состав: 18 ИС-1, 4 ИС-2, 5 СУ-76, 5 ИСУ-152 и даже 1 Т-70. Правда, из этого числа 15 ИС-1 требовали капитального ремонта, так что их быстро изъяли. В середине июля 1944 года, когда началась Львовско-Сандомирская операция, полк имел на вооружении 12 ИС и ИСУ, 3 Т-34 и 5 СУ-76. Крайне неоднородный состав полка сохранился и далее. К 6 августа в боеготовности находилось 6 ИС-1, 1 ИС-2, 1 КВ-85 и 1 ИСУ-152. В среднем ремонте находилось по одному КВ-1с, ИС-1 и ИС-2, плюс 2 ИСУ-152.</w:t>
      </w:r>
    </w:p>
    <w:p w14:paraId="30F465EA" w14:textId="77777777" w:rsidR="001A00DE" w:rsidRPr="00070ADE" w:rsidRDefault="001A00DE"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таком пёстром составе полк участвовал в Восточно-Карпатской операции. К этому периоду относится последний случай массового применения ИС-1. Помимо 1-го гв. ттп, эти танки использовались примерно в тех же местах и 12-й гвардейской танковой бригадой, которая к 18 октября 1944 года получила пополнение и имела 11 ИС-1, 4 ИС-2 и 30 Т-34.</w:t>
      </w:r>
    </w:p>
    <w:p w14:paraId="2AF683B9" w14:textId="77777777" w:rsidR="001A00DE" w:rsidRPr="00070ADE" w:rsidRDefault="001A00DE"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Войну пережили единичные экземпляры ИС-1, один из них даже умудрился промелькнуть на одном из военных парадов в конце 40-х годов. Увы, ни одна машина данного типа не дожила до наших дней. Вряд ли танкисты вспоминали этот танк с особой теплотой, слишком уж много технических проблем было связано с ним. К тому же он не мог похвастаться столь мощной пушкой, как ИС-2. Вместе с тем ИС-1 стал одной из важных вех отечественного танкостроения и последней ступенькой на сложном пути к ИС-2, которому, в свою очередь, было суждено стать одним из лучших тяжёлых танков Второй мировой войны (17715).</w:t>
      </w:r>
    </w:p>
    <w:p w14:paraId="4E280F25" w14:textId="77777777" w:rsidR="001A00DE" w:rsidRPr="00070ADE" w:rsidRDefault="001A00DE" w:rsidP="00B56F90">
      <w:pPr>
        <w:spacing w:after="0" w:line="240" w:lineRule="auto"/>
        <w:jc w:val="both"/>
        <w:rPr>
          <w:rFonts w:ascii="Times New Roman" w:hAnsi="Times New Roman"/>
          <w:color w:val="000000" w:themeColor="text1"/>
          <w:sz w:val="16"/>
          <w:szCs w:val="16"/>
        </w:rPr>
      </w:pPr>
    </w:p>
    <w:p w14:paraId="71D9EE75"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09DED8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AEF531" w14:textId="77777777" w:rsidR="001A00DE" w:rsidRPr="00070ADE" w:rsidRDefault="001A00D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К весне 1944 г. основным сред</w:t>
      </w:r>
      <w:r w:rsidRPr="00070ADE">
        <w:rPr>
          <w:color w:val="000000" w:themeColor="text1"/>
          <w:sz w:val="16"/>
          <w:szCs w:val="16"/>
        </w:rPr>
        <w:softHyphen/>
        <w:t>ством борьбы штурмовиков Ил-2 с немецкими танками всех типов стали противотанковые куму</w:t>
      </w:r>
      <w:r w:rsidRPr="00070ADE">
        <w:rPr>
          <w:color w:val="000000" w:themeColor="text1"/>
          <w:sz w:val="16"/>
          <w:szCs w:val="16"/>
        </w:rPr>
        <w:softHyphen/>
        <w:t>лятивные авиабомбы ПТАБ-2,5-1,5 и реактивные снаряды с осколочно-фугасной и бронебойной ча</w:t>
      </w:r>
      <w:r w:rsidRPr="00070ADE">
        <w:rPr>
          <w:color w:val="000000" w:themeColor="text1"/>
          <w:sz w:val="16"/>
          <w:szCs w:val="16"/>
        </w:rPr>
        <w:softHyphen/>
        <w:t>стью калибра 132 мм. Именно с развитием систем вооружения этого типа и связывалось повышение противотанковых свойств ВВС КА. В то же время авиационные пушки ВЯ калибра 23 мм высокой баллистики по-прежнему оставались наилучшим средством поражения достаточно многочисленной легкобронированной техники (бронетранспорте</w:t>
      </w:r>
      <w:r w:rsidRPr="00070ADE">
        <w:rPr>
          <w:color w:val="000000" w:themeColor="text1"/>
          <w:sz w:val="16"/>
          <w:szCs w:val="16"/>
        </w:rPr>
        <w:softHyphen/>
        <w:t>ры, бронемашины, СУ и САУ на базе легких тан</w:t>
      </w:r>
      <w:r w:rsidRPr="00070ADE">
        <w:rPr>
          <w:color w:val="000000" w:themeColor="text1"/>
          <w:sz w:val="16"/>
          <w:szCs w:val="16"/>
        </w:rPr>
        <w:softHyphen/>
        <w:t>ков и т.д.) (17500).</w:t>
      </w:r>
    </w:p>
    <w:p w14:paraId="340130C5" w14:textId="77777777" w:rsidR="001A00DE" w:rsidRPr="00070ADE" w:rsidRDefault="001A00DE" w:rsidP="00B56F90">
      <w:pPr>
        <w:spacing w:after="0" w:line="240" w:lineRule="auto"/>
        <w:jc w:val="both"/>
        <w:rPr>
          <w:rFonts w:ascii="Times New Roman" w:hAnsi="Times New Roman"/>
          <w:color w:val="000000" w:themeColor="text1"/>
          <w:sz w:val="16"/>
          <w:szCs w:val="16"/>
        </w:rPr>
      </w:pPr>
    </w:p>
    <w:p w14:paraId="2CB8B27C"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началу весны 1944 года часть новых стапелей модифицированного Пе-8 4М-82ФН ТК-3, а также некоторое количество деталей для новой машины было уже изготовлено (7685).</w:t>
      </w:r>
    </w:p>
    <w:p w14:paraId="44A40C5F"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7B83BB" w14:textId="77777777" w:rsidR="009A1031" w:rsidRPr="00070ADE" w:rsidRDefault="009A1031" w:rsidP="00B56F90">
      <w:pPr>
        <w:pStyle w:val="ae"/>
        <w:shd w:val="clear" w:color="auto" w:fill="FFFFFF"/>
        <w:spacing w:before="0" w:after="0"/>
        <w:jc w:val="both"/>
        <w:rPr>
          <w:color w:val="000000" w:themeColor="text1"/>
          <w:sz w:val="16"/>
          <w:szCs w:val="16"/>
        </w:rPr>
      </w:pPr>
      <w:r w:rsidRPr="00070ADE">
        <w:rPr>
          <w:color w:val="000000" w:themeColor="text1"/>
          <w:sz w:val="16"/>
          <w:szCs w:val="16"/>
        </w:rPr>
        <w:t>К началу весны 1944 года часть новых стапелей, а также некоторое количество деталей для новой версии Пе-8 было уже изготовлено (12187).</w:t>
      </w:r>
    </w:p>
    <w:p w14:paraId="71799A5C" w14:textId="77777777" w:rsidR="009A1031" w:rsidRPr="00070ADE" w:rsidRDefault="009A1031" w:rsidP="00B56F90">
      <w:pPr>
        <w:pStyle w:val="ae"/>
        <w:shd w:val="clear" w:color="auto" w:fill="FFFFFF"/>
        <w:spacing w:before="0" w:after="0"/>
        <w:jc w:val="both"/>
        <w:rPr>
          <w:color w:val="000000" w:themeColor="text1"/>
          <w:sz w:val="16"/>
          <w:szCs w:val="16"/>
        </w:rPr>
      </w:pPr>
    </w:p>
    <w:p w14:paraId="0A4E2B07" w14:textId="77777777" w:rsidR="00BD0048" w:rsidRPr="00070ADE" w:rsidRDefault="00BD004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lang w:eastAsia="ru-RU" w:bidi="ru-RU"/>
        </w:rPr>
        <w:t>К весне 1944 г. первые Ту-2 нового по</w:t>
      </w:r>
      <w:r w:rsidRPr="00070ADE">
        <w:rPr>
          <w:rFonts w:ascii="Times New Roman" w:hAnsi="Times New Roman"/>
          <w:color w:val="000000" w:themeColor="text1"/>
          <w:sz w:val="16"/>
          <w:szCs w:val="16"/>
          <w:lang w:eastAsia="ru-RU" w:bidi="ru-RU"/>
        </w:rPr>
        <w:softHyphen/>
        <w:t>коления стали поступать в части ВВС. Ими стали перевооружать уже освоившие предыдущую модификацию 12-й и 152-й полки. 12-й бап в конце 1943 г. был отведен с фронта на подмосковный аэродром Кубинка. Там экипажи на</w:t>
      </w:r>
      <w:r w:rsidRPr="00070ADE">
        <w:rPr>
          <w:rFonts w:ascii="Times New Roman" w:hAnsi="Times New Roman"/>
          <w:color w:val="000000" w:themeColor="text1"/>
          <w:sz w:val="16"/>
          <w:szCs w:val="16"/>
          <w:lang w:eastAsia="ru-RU" w:bidi="ru-RU"/>
        </w:rPr>
        <w:softHyphen/>
        <w:t>чали осваивать Ту-2 с мото</w:t>
      </w:r>
      <w:r w:rsidRPr="00070ADE">
        <w:rPr>
          <w:rFonts w:ascii="Times New Roman" w:hAnsi="Times New Roman"/>
          <w:color w:val="000000" w:themeColor="text1"/>
          <w:sz w:val="16"/>
          <w:szCs w:val="16"/>
          <w:lang w:eastAsia="ru-RU" w:bidi="ru-RU"/>
        </w:rPr>
        <w:softHyphen/>
        <w:t>рами М-82ФН. Изучение но</w:t>
      </w:r>
      <w:r w:rsidRPr="00070ADE">
        <w:rPr>
          <w:rFonts w:ascii="Times New Roman" w:hAnsi="Times New Roman"/>
          <w:color w:val="000000" w:themeColor="text1"/>
          <w:sz w:val="16"/>
          <w:szCs w:val="16"/>
          <w:lang w:eastAsia="ru-RU" w:bidi="ru-RU"/>
        </w:rPr>
        <w:softHyphen/>
        <w:t>вой техники шло прямо на заводе №25. 152-й бап про</w:t>
      </w:r>
      <w:r w:rsidRPr="00070ADE">
        <w:rPr>
          <w:rFonts w:ascii="Times New Roman" w:hAnsi="Times New Roman"/>
          <w:color w:val="000000" w:themeColor="text1"/>
          <w:sz w:val="16"/>
          <w:szCs w:val="16"/>
          <w:lang w:eastAsia="ru-RU" w:bidi="ru-RU"/>
        </w:rPr>
        <w:softHyphen/>
        <w:t>ходил переформирование в Йошкар-Оле. Поступле</w:t>
      </w:r>
      <w:r w:rsidRPr="00070ADE">
        <w:rPr>
          <w:rFonts w:ascii="Times New Roman" w:hAnsi="Times New Roman"/>
          <w:color w:val="000000" w:themeColor="text1"/>
          <w:sz w:val="16"/>
          <w:szCs w:val="16"/>
          <w:lang w:eastAsia="ru-RU" w:bidi="ru-RU"/>
        </w:rPr>
        <w:softHyphen/>
        <w:t>ние все большего количе</w:t>
      </w:r>
      <w:r w:rsidRPr="00070ADE">
        <w:rPr>
          <w:rFonts w:ascii="Times New Roman" w:hAnsi="Times New Roman"/>
          <w:color w:val="000000" w:themeColor="text1"/>
          <w:sz w:val="16"/>
          <w:szCs w:val="16"/>
          <w:lang w:eastAsia="ru-RU" w:bidi="ru-RU"/>
        </w:rPr>
        <w:softHyphen/>
        <w:t>ства машин позволило уком</w:t>
      </w:r>
      <w:r w:rsidRPr="00070ADE">
        <w:rPr>
          <w:rStyle w:val="aff1"/>
          <w:rFonts w:ascii="Times New Roman" w:hAnsi="Times New Roman" w:cs="Times New Roman"/>
          <w:color w:val="000000" w:themeColor="text1"/>
          <w:spacing w:val="0"/>
          <w:sz w:val="16"/>
          <w:szCs w:val="16"/>
        </w:rPr>
        <w:t>плектовать бомбардировщиками Тупо</w:t>
      </w:r>
      <w:r w:rsidRPr="00070ADE">
        <w:rPr>
          <w:rStyle w:val="aff1"/>
          <w:rFonts w:ascii="Times New Roman" w:hAnsi="Times New Roman" w:cs="Times New Roman"/>
          <w:color w:val="000000" w:themeColor="text1"/>
          <w:spacing w:val="0"/>
          <w:sz w:val="16"/>
          <w:szCs w:val="16"/>
        </w:rPr>
        <w:softHyphen/>
        <w:t>лева еще один полк, 454-й, ранее летав</w:t>
      </w:r>
      <w:r w:rsidRPr="00070ADE">
        <w:rPr>
          <w:rStyle w:val="aff1"/>
          <w:rFonts w:ascii="Times New Roman" w:hAnsi="Times New Roman" w:cs="Times New Roman"/>
          <w:color w:val="000000" w:themeColor="text1"/>
          <w:spacing w:val="0"/>
          <w:sz w:val="16"/>
          <w:szCs w:val="16"/>
        </w:rPr>
        <w:softHyphen/>
        <w:t>ший на А-20В. Командовал им майор А.А. Татулов.</w:t>
      </w:r>
    </w:p>
    <w:p w14:paraId="73D56B9B" w14:textId="77777777" w:rsidR="00BD0048" w:rsidRPr="00070ADE" w:rsidRDefault="00BD004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lang w:eastAsia="ru-RU" w:bidi="ru-RU"/>
        </w:rPr>
        <w:t>Все три полка свели в 554-ю бомбар</w:t>
      </w:r>
      <w:r w:rsidRPr="00070ADE">
        <w:rPr>
          <w:rFonts w:ascii="Times New Roman" w:hAnsi="Times New Roman"/>
          <w:color w:val="000000" w:themeColor="text1"/>
          <w:sz w:val="16"/>
          <w:szCs w:val="16"/>
          <w:lang w:eastAsia="ru-RU" w:bidi="ru-RU"/>
        </w:rPr>
        <w:softHyphen/>
        <w:t>дировочную авиадивизию (бад), коман</w:t>
      </w:r>
      <w:r w:rsidRPr="00070ADE">
        <w:rPr>
          <w:rFonts w:ascii="Times New Roman" w:hAnsi="Times New Roman"/>
          <w:color w:val="000000" w:themeColor="text1"/>
          <w:sz w:val="16"/>
          <w:szCs w:val="16"/>
          <w:lang w:eastAsia="ru-RU" w:bidi="ru-RU"/>
        </w:rPr>
        <w:softHyphen/>
        <w:t>диром которой стал полковник И.П. Скок. В начале мая 1944 г. это соединение до</w:t>
      </w:r>
      <w:r w:rsidRPr="00070ADE">
        <w:rPr>
          <w:rFonts w:ascii="Times New Roman" w:hAnsi="Times New Roman"/>
          <w:color w:val="000000" w:themeColor="text1"/>
          <w:sz w:val="16"/>
          <w:szCs w:val="16"/>
          <w:lang w:eastAsia="ru-RU" w:bidi="ru-RU"/>
        </w:rPr>
        <w:softHyphen/>
        <w:t>стигло стадии боеготовности. В том же месяце дивизию перебросили на Ле</w:t>
      </w:r>
      <w:r w:rsidRPr="00070ADE">
        <w:rPr>
          <w:rFonts w:ascii="Times New Roman" w:hAnsi="Times New Roman"/>
          <w:color w:val="000000" w:themeColor="text1"/>
          <w:sz w:val="16"/>
          <w:szCs w:val="16"/>
          <w:lang w:eastAsia="ru-RU" w:bidi="ru-RU"/>
        </w:rPr>
        <w:softHyphen/>
        <w:t>нинградский фронт, где готовился про</w:t>
      </w:r>
      <w:r w:rsidRPr="00070ADE">
        <w:rPr>
          <w:rFonts w:ascii="Times New Roman" w:hAnsi="Times New Roman"/>
          <w:color w:val="000000" w:themeColor="text1"/>
          <w:sz w:val="16"/>
          <w:szCs w:val="16"/>
          <w:lang w:eastAsia="ru-RU" w:bidi="ru-RU"/>
        </w:rPr>
        <w:softHyphen/>
        <w:t>рыв укрепленной «линии Маннергейма». Так, 12-й бап, имевший 50 машин, распо</w:t>
      </w:r>
      <w:r w:rsidRPr="00070ADE">
        <w:rPr>
          <w:rFonts w:ascii="Times New Roman" w:hAnsi="Times New Roman"/>
          <w:color w:val="000000" w:themeColor="text1"/>
          <w:sz w:val="16"/>
          <w:szCs w:val="16"/>
          <w:lang w:eastAsia="ru-RU" w:bidi="ru-RU"/>
        </w:rPr>
        <w:softHyphen/>
        <w:t>ложился на аэродроме Углово. К началу июня в дивизии насчитывалось 87 Ту-2, в том числе 74 исправных. Соединение вошло в состав 15-й воздушной армии.</w:t>
      </w:r>
    </w:p>
    <w:p w14:paraId="5D8E0D23" w14:textId="77777777" w:rsidR="00BD0048" w:rsidRPr="00070ADE" w:rsidRDefault="00BD0048" w:rsidP="00B56F90">
      <w:pPr>
        <w:spacing w:after="0" w:line="240" w:lineRule="auto"/>
        <w:jc w:val="both"/>
        <w:rPr>
          <w:rFonts w:ascii="Times New Roman" w:hAnsi="Times New Roman"/>
          <w:color w:val="000000" w:themeColor="text1"/>
          <w:sz w:val="16"/>
          <w:szCs w:val="16"/>
          <w:lang w:eastAsia="ru-RU" w:bidi="ru-RU"/>
        </w:rPr>
      </w:pPr>
      <w:r w:rsidRPr="00070ADE">
        <w:rPr>
          <w:rFonts w:ascii="Times New Roman" w:hAnsi="Times New Roman"/>
          <w:color w:val="000000" w:themeColor="text1"/>
          <w:sz w:val="16"/>
          <w:szCs w:val="16"/>
          <w:lang w:eastAsia="ru-RU" w:bidi="ru-RU"/>
        </w:rPr>
        <w:t>Первоначально факт наличия в со</w:t>
      </w:r>
      <w:r w:rsidRPr="00070ADE">
        <w:rPr>
          <w:rFonts w:ascii="Times New Roman" w:hAnsi="Times New Roman"/>
          <w:color w:val="000000" w:themeColor="text1"/>
          <w:sz w:val="16"/>
          <w:szCs w:val="16"/>
          <w:lang w:eastAsia="ru-RU" w:bidi="ru-RU"/>
        </w:rPr>
        <w:softHyphen/>
        <w:t>ставе советских ВВС целого соедине</w:t>
      </w:r>
      <w:r w:rsidRPr="00070ADE">
        <w:rPr>
          <w:rFonts w:ascii="Times New Roman" w:hAnsi="Times New Roman"/>
          <w:color w:val="000000" w:themeColor="text1"/>
          <w:sz w:val="16"/>
          <w:szCs w:val="16"/>
          <w:lang w:eastAsia="ru-RU" w:bidi="ru-RU"/>
        </w:rPr>
        <w:softHyphen/>
        <w:t>ния новых бомбардировщиков хотели сохранить в тайне до начала наступле</w:t>
      </w:r>
      <w:r w:rsidRPr="00070ADE">
        <w:rPr>
          <w:rFonts w:ascii="Times New Roman" w:hAnsi="Times New Roman"/>
          <w:color w:val="000000" w:themeColor="text1"/>
          <w:sz w:val="16"/>
          <w:szCs w:val="16"/>
          <w:lang w:eastAsia="ru-RU" w:bidi="ru-RU"/>
        </w:rPr>
        <w:softHyphen/>
        <w:t>ния в Белоруссии, но перевесила необхо</w:t>
      </w:r>
      <w:r w:rsidRPr="00070ADE">
        <w:rPr>
          <w:rFonts w:ascii="Times New Roman" w:hAnsi="Times New Roman"/>
          <w:color w:val="000000" w:themeColor="text1"/>
          <w:sz w:val="16"/>
          <w:szCs w:val="16"/>
          <w:lang w:eastAsia="ru-RU" w:bidi="ru-RU"/>
        </w:rPr>
        <w:softHyphen/>
        <w:t>димость разрушения мощных оборони</w:t>
      </w:r>
      <w:r w:rsidRPr="00070ADE">
        <w:rPr>
          <w:rFonts w:ascii="Times New Roman" w:hAnsi="Times New Roman"/>
          <w:color w:val="000000" w:themeColor="text1"/>
          <w:sz w:val="16"/>
          <w:szCs w:val="16"/>
          <w:lang w:eastAsia="ru-RU" w:bidi="ru-RU"/>
        </w:rPr>
        <w:softHyphen/>
        <w:t>тельных сооружений на финской границе. Только Ту-2 могли летать днем с бомбами ФАБ-1000. Кроме того, его большая даль</w:t>
      </w:r>
      <w:r w:rsidRPr="00070ADE">
        <w:rPr>
          <w:rFonts w:ascii="Times New Roman" w:hAnsi="Times New Roman"/>
          <w:color w:val="000000" w:themeColor="text1"/>
          <w:sz w:val="16"/>
          <w:szCs w:val="16"/>
          <w:lang w:eastAsia="ru-RU" w:bidi="ru-RU"/>
        </w:rPr>
        <w:softHyphen/>
        <w:t>ность облегчала обеспечение операции: машины могли наносить удары с аэро</w:t>
      </w:r>
      <w:r w:rsidRPr="00070ADE">
        <w:rPr>
          <w:rFonts w:ascii="Times New Roman" w:hAnsi="Times New Roman"/>
          <w:color w:val="000000" w:themeColor="text1"/>
          <w:sz w:val="16"/>
          <w:szCs w:val="16"/>
          <w:lang w:eastAsia="ru-RU" w:bidi="ru-RU"/>
        </w:rPr>
        <w:softHyphen/>
        <w:t>дромов в районе Ленинграда. При этом, правда, Сталин приказал военным беречь дивизию «как зеницу ока».</w:t>
      </w:r>
    </w:p>
    <w:p w14:paraId="2D9AE1BD" w14:textId="77777777" w:rsidR="00BD0048" w:rsidRPr="00070ADE" w:rsidRDefault="00BD004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lang w:eastAsia="ru-RU" w:bidi="ru-RU"/>
        </w:rPr>
        <w:t>Действия авиации в Карелии начались 8 июня 1944 г. Самолеты нанесли удары по железнодорожным узлам, мостам, шта</w:t>
      </w:r>
      <w:r w:rsidRPr="00070ADE">
        <w:rPr>
          <w:rFonts w:ascii="Times New Roman" w:hAnsi="Times New Roman"/>
          <w:color w:val="000000" w:themeColor="text1"/>
          <w:sz w:val="16"/>
          <w:szCs w:val="16"/>
          <w:lang w:eastAsia="ru-RU" w:bidi="ru-RU"/>
        </w:rPr>
        <w:softHyphen/>
        <w:t>бам и скоплениям войск противника. Ле</w:t>
      </w:r>
      <w:r w:rsidRPr="00070ADE">
        <w:rPr>
          <w:rFonts w:ascii="Times New Roman" w:hAnsi="Times New Roman"/>
          <w:color w:val="000000" w:themeColor="text1"/>
          <w:sz w:val="16"/>
          <w:szCs w:val="16"/>
          <w:lang w:eastAsia="ru-RU" w:bidi="ru-RU"/>
        </w:rPr>
        <w:softHyphen/>
        <w:t>тали группами по семь-девять машин. Прикрытие истребителями осуществля</w:t>
      </w:r>
      <w:r w:rsidRPr="00070ADE">
        <w:rPr>
          <w:rFonts w:ascii="Times New Roman" w:hAnsi="Times New Roman"/>
          <w:color w:val="000000" w:themeColor="text1"/>
          <w:sz w:val="16"/>
          <w:szCs w:val="16"/>
          <w:lang w:eastAsia="ru-RU" w:bidi="ru-RU"/>
        </w:rPr>
        <w:softHyphen/>
        <w:t>лось только у передовой. На маршруте за</w:t>
      </w:r>
      <w:r w:rsidRPr="00070ADE">
        <w:rPr>
          <w:rFonts w:ascii="Times New Roman" w:hAnsi="Times New Roman"/>
          <w:color w:val="000000" w:themeColor="text1"/>
          <w:sz w:val="16"/>
          <w:szCs w:val="16"/>
          <w:lang w:eastAsia="ru-RU" w:bidi="ru-RU"/>
        </w:rPr>
        <w:softHyphen/>
        <w:t>щиту должны были обеспечить скорость и мощное оборонительное вооружение. За</w:t>
      </w:r>
      <w:r w:rsidRPr="00070ADE">
        <w:rPr>
          <w:rFonts w:ascii="Times New Roman" w:hAnsi="Times New Roman"/>
          <w:color w:val="000000" w:themeColor="text1"/>
          <w:sz w:val="16"/>
          <w:szCs w:val="16"/>
          <w:lang w:eastAsia="ru-RU" w:bidi="ru-RU"/>
        </w:rPr>
        <w:softHyphen/>
        <w:t>тем Ту-2 также начали работать по оборо</w:t>
      </w:r>
      <w:r w:rsidRPr="00070ADE">
        <w:rPr>
          <w:rFonts w:ascii="Times New Roman" w:hAnsi="Times New Roman"/>
          <w:color w:val="000000" w:themeColor="text1"/>
          <w:sz w:val="16"/>
          <w:szCs w:val="16"/>
          <w:lang w:eastAsia="ru-RU" w:bidi="ru-RU"/>
        </w:rPr>
        <w:softHyphen/>
        <w:t>нительным сооружениям, включая бетон</w:t>
      </w:r>
      <w:r w:rsidRPr="00070ADE">
        <w:rPr>
          <w:rFonts w:ascii="Times New Roman" w:hAnsi="Times New Roman"/>
          <w:color w:val="000000" w:themeColor="text1"/>
          <w:sz w:val="16"/>
          <w:szCs w:val="16"/>
          <w:lang w:eastAsia="ru-RU" w:bidi="ru-RU"/>
        </w:rPr>
        <w:softHyphen/>
        <w:t>ные форты. Летчик 12-го бап И.И. Шир- кин вспоминал: «Бомбили скопления войск противника, танковые группировки, желез</w:t>
      </w:r>
      <w:r w:rsidRPr="00070ADE">
        <w:rPr>
          <w:rFonts w:ascii="Times New Roman" w:hAnsi="Times New Roman"/>
          <w:color w:val="000000" w:themeColor="text1"/>
          <w:sz w:val="16"/>
          <w:szCs w:val="16"/>
          <w:lang w:eastAsia="ru-RU" w:bidi="ru-RU"/>
        </w:rPr>
        <w:softHyphen/>
        <w:t>нодорожные узлы, совершая в день по два, а то и по три вылета». Против укрепле</w:t>
      </w:r>
      <w:r w:rsidRPr="00070ADE">
        <w:rPr>
          <w:rFonts w:ascii="Times New Roman" w:hAnsi="Times New Roman"/>
          <w:color w:val="000000" w:themeColor="text1"/>
          <w:sz w:val="16"/>
          <w:szCs w:val="16"/>
          <w:lang w:eastAsia="ru-RU" w:bidi="ru-RU"/>
        </w:rPr>
        <w:softHyphen/>
        <w:t>ний использовали фугасные бомбы круп</w:t>
      </w:r>
      <w:r w:rsidRPr="00070ADE">
        <w:rPr>
          <w:rFonts w:ascii="Times New Roman" w:hAnsi="Times New Roman"/>
          <w:color w:val="000000" w:themeColor="text1"/>
          <w:sz w:val="16"/>
          <w:szCs w:val="16"/>
          <w:lang w:eastAsia="ru-RU" w:bidi="ru-RU"/>
        </w:rPr>
        <w:softHyphen/>
        <w:t>ного калибра, а также специальные бето- нобойные бомбы серии ДС с ракетными ускорителями, поступившие на вооруже</w:t>
      </w:r>
      <w:r w:rsidRPr="00070ADE">
        <w:rPr>
          <w:rFonts w:ascii="Times New Roman" w:hAnsi="Times New Roman"/>
          <w:color w:val="000000" w:themeColor="text1"/>
          <w:sz w:val="16"/>
          <w:szCs w:val="16"/>
          <w:lang w:eastAsia="ru-RU" w:bidi="ru-RU"/>
        </w:rPr>
        <w:softHyphen/>
        <w:t>ние перед самой войной. Их из-за боль</w:t>
      </w:r>
      <w:r w:rsidRPr="00070ADE">
        <w:rPr>
          <w:rFonts w:ascii="Times New Roman" w:hAnsi="Times New Roman"/>
          <w:color w:val="000000" w:themeColor="text1"/>
          <w:sz w:val="16"/>
          <w:szCs w:val="16"/>
          <w:lang w:eastAsia="ru-RU" w:bidi="ru-RU"/>
        </w:rPr>
        <w:softHyphen/>
        <w:t>шой длины (более 2 м) размещали на на</w:t>
      </w:r>
      <w:r w:rsidRPr="00070ADE">
        <w:rPr>
          <w:rFonts w:ascii="Times New Roman" w:hAnsi="Times New Roman"/>
          <w:color w:val="000000" w:themeColor="text1"/>
          <w:sz w:val="16"/>
          <w:szCs w:val="16"/>
          <w:lang w:eastAsia="ru-RU" w:bidi="ru-RU"/>
        </w:rPr>
        <w:softHyphen/>
        <w:t>ружной подвеске; при этом еще четыре ФАБ-250 грузили в бомбоотсек. Такие бо</w:t>
      </w:r>
      <w:r w:rsidRPr="00070ADE">
        <w:rPr>
          <w:rFonts w:ascii="Times New Roman" w:hAnsi="Times New Roman"/>
          <w:color w:val="000000" w:themeColor="text1"/>
          <w:sz w:val="16"/>
          <w:szCs w:val="16"/>
          <w:lang w:eastAsia="ru-RU" w:bidi="ru-RU"/>
        </w:rPr>
        <w:softHyphen/>
        <w:t>еприпасы, в частности, применяли в рай</w:t>
      </w:r>
      <w:r w:rsidRPr="00070ADE">
        <w:rPr>
          <w:rFonts w:ascii="Times New Roman" w:hAnsi="Times New Roman"/>
          <w:color w:val="000000" w:themeColor="text1"/>
          <w:sz w:val="16"/>
          <w:szCs w:val="16"/>
          <w:lang w:eastAsia="ru-RU" w:bidi="ru-RU"/>
        </w:rPr>
        <w:softHyphen/>
        <w:t>оне Лодейного Поля.</w:t>
      </w:r>
    </w:p>
    <w:p w14:paraId="29D2EA53" w14:textId="77777777" w:rsidR="00BD0048" w:rsidRPr="00070ADE" w:rsidRDefault="00BD004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lang w:eastAsia="ru-RU" w:bidi="ru-RU"/>
        </w:rPr>
        <w:t>Командующий ВВС маршал А.А. Нови</w:t>
      </w:r>
      <w:r w:rsidRPr="00070ADE">
        <w:rPr>
          <w:rFonts w:ascii="Times New Roman" w:hAnsi="Times New Roman"/>
          <w:color w:val="000000" w:themeColor="text1"/>
          <w:sz w:val="16"/>
          <w:szCs w:val="16"/>
          <w:lang w:eastAsia="ru-RU" w:bidi="ru-RU"/>
        </w:rPr>
        <w:softHyphen/>
        <w:t>ков докладывал Сталину о первых днях боев: «554 БАД потерь не имела,летала днем и работала отлично». Ту-2 действо</w:t>
      </w:r>
      <w:r w:rsidRPr="00070ADE">
        <w:rPr>
          <w:rFonts w:ascii="Times New Roman" w:hAnsi="Times New Roman"/>
          <w:color w:val="000000" w:themeColor="text1"/>
          <w:sz w:val="16"/>
          <w:szCs w:val="16"/>
          <w:lang w:eastAsia="ru-RU" w:bidi="ru-RU"/>
        </w:rPr>
        <w:softHyphen/>
        <w:t>вали днем, крупными группами. Так, в на</w:t>
      </w:r>
      <w:r w:rsidRPr="00070ADE">
        <w:rPr>
          <w:rFonts w:ascii="Times New Roman" w:hAnsi="Times New Roman"/>
          <w:color w:val="000000" w:themeColor="text1"/>
          <w:sz w:val="16"/>
          <w:szCs w:val="16"/>
          <w:lang w:eastAsia="ru-RU" w:bidi="ru-RU"/>
        </w:rPr>
        <w:softHyphen/>
        <w:t>лете на железнодорожный узел в Вы</w:t>
      </w:r>
      <w:r w:rsidRPr="00070ADE">
        <w:rPr>
          <w:rFonts w:ascii="Times New Roman" w:hAnsi="Times New Roman"/>
          <w:color w:val="000000" w:themeColor="text1"/>
          <w:sz w:val="16"/>
          <w:szCs w:val="16"/>
          <w:lang w:eastAsia="ru-RU" w:bidi="ru-RU"/>
        </w:rPr>
        <w:softHyphen/>
        <w:t>борге 15 июня участвовали 25 самолета, 17 июня - 59. Кроме бомбардировки сил противника, Ту-2 использовали и как раз</w:t>
      </w:r>
      <w:r w:rsidRPr="00070ADE">
        <w:rPr>
          <w:rFonts w:ascii="Times New Roman" w:hAnsi="Times New Roman"/>
          <w:color w:val="000000" w:themeColor="text1"/>
          <w:sz w:val="16"/>
          <w:szCs w:val="16"/>
          <w:lang w:eastAsia="ru-RU" w:bidi="ru-RU"/>
        </w:rPr>
        <w:softHyphen/>
        <w:t>ведчики. Советские ВВС достигли превос</w:t>
      </w:r>
      <w:r w:rsidRPr="00070ADE">
        <w:rPr>
          <w:rFonts w:ascii="Times New Roman" w:hAnsi="Times New Roman"/>
          <w:color w:val="000000" w:themeColor="text1"/>
          <w:sz w:val="16"/>
          <w:szCs w:val="16"/>
          <w:lang w:eastAsia="ru-RU" w:bidi="ru-RU"/>
        </w:rPr>
        <w:softHyphen/>
        <w:t>ходства в воздухе, поэтому потери в этой операции были небольшими. Например, 12-й бап лишился всего одного самолета - командира 2-й эскадрильи А.А. Шумейко.</w:t>
      </w:r>
    </w:p>
    <w:p w14:paraId="1B7443C0" w14:textId="77777777" w:rsidR="00BD0048" w:rsidRPr="00070ADE" w:rsidRDefault="00BD004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lang w:eastAsia="ru-RU" w:bidi="ru-RU"/>
        </w:rPr>
        <w:t>Наступление стало успешным. 21 июня советские войска взяли Выборг.</w:t>
      </w:r>
    </w:p>
    <w:p w14:paraId="5657EF2C" w14:textId="77777777" w:rsidR="00BD0048" w:rsidRPr="00070ADE" w:rsidRDefault="00BD0048" w:rsidP="00B56F90">
      <w:pPr>
        <w:spacing w:after="0" w:line="240" w:lineRule="auto"/>
        <w:jc w:val="both"/>
        <w:rPr>
          <w:rFonts w:ascii="Times New Roman" w:hAnsi="Times New Roman"/>
          <w:color w:val="000000" w:themeColor="text1"/>
          <w:sz w:val="16"/>
          <w:szCs w:val="16"/>
          <w:lang w:eastAsia="ru-RU" w:bidi="ru-RU"/>
        </w:rPr>
      </w:pPr>
      <w:r w:rsidRPr="00070ADE">
        <w:rPr>
          <w:rFonts w:ascii="Times New Roman" w:hAnsi="Times New Roman"/>
          <w:color w:val="000000" w:themeColor="text1"/>
          <w:sz w:val="16"/>
          <w:szCs w:val="16"/>
          <w:lang w:eastAsia="ru-RU" w:bidi="ru-RU"/>
        </w:rPr>
        <w:t>Пребывание 554-й дивизии на Ле</w:t>
      </w:r>
      <w:r w:rsidRPr="00070ADE">
        <w:rPr>
          <w:rFonts w:ascii="Times New Roman" w:hAnsi="Times New Roman"/>
          <w:color w:val="000000" w:themeColor="text1"/>
          <w:sz w:val="16"/>
          <w:szCs w:val="16"/>
          <w:lang w:eastAsia="ru-RU" w:bidi="ru-RU"/>
        </w:rPr>
        <w:softHyphen/>
        <w:t>нинградском фронте было кратковре</w:t>
      </w:r>
      <w:r w:rsidRPr="00070ADE">
        <w:rPr>
          <w:rFonts w:ascii="Times New Roman" w:hAnsi="Times New Roman"/>
          <w:color w:val="000000" w:themeColor="text1"/>
          <w:sz w:val="16"/>
          <w:szCs w:val="16"/>
          <w:lang w:eastAsia="ru-RU" w:bidi="ru-RU"/>
        </w:rPr>
        <w:softHyphen/>
        <w:t>менным. В конце июня соединение пере</w:t>
      </w:r>
      <w:r w:rsidRPr="00070ADE">
        <w:rPr>
          <w:rFonts w:ascii="Times New Roman" w:hAnsi="Times New Roman"/>
          <w:color w:val="000000" w:themeColor="text1"/>
          <w:sz w:val="16"/>
          <w:szCs w:val="16"/>
          <w:lang w:eastAsia="ru-RU" w:bidi="ru-RU"/>
        </w:rPr>
        <w:softHyphen/>
        <w:t>бросили на 5-й Белорусский фронт, где оно приняло участие в операции «Багра</w:t>
      </w:r>
      <w:r w:rsidRPr="00070ADE">
        <w:rPr>
          <w:rFonts w:ascii="Times New Roman" w:hAnsi="Times New Roman"/>
          <w:color w:val="000000" w:themeColor="text1"/>
          <w:sz w:val="16"/>
          <w:szCs w:val="16"/>
          <w:lang w:eastAsia="ru-RU" w:bidi="ru-RU"/>
        </w:rPr>
        <w:softHyphen/>
        <w:t>тион» по освобождению Белоруссии. Ту-2 использовались с большой интенсивно</w:t>
      </w:r>
      <w:r w:rsidRPr="00070ADE">
        <w:rPr>
          <w:rFonts w:ascii="Times New Roman" w:hAnsi="Times New Roman"/>
          <w:color w:val="000000" w:themeColor="text1"/>
          <w:sz w:val="16"/>
          <w:szCs w:val="16"/>
          <w:lang w:eastAsia="ru-RU" w:bidi="ru-RU"/>
        </w:rPr>
        <w:softHyphen/>
        <w:t>стью, совершая до двух вылетов день. Они наносили удары по войскам на передо</w:t>
      </w:r>
      <w:r w:rsidRPr="00070ADE">
        <w:rPr>
          <w:rFonts w:ascii="Times New Roman" w:hAnsi="Times New Roman"/>
          <w:color w:val="000000" w:themeColor="text1"/>
          <w:sz w:val="16"/>
          <w:szCs w:val="16"/>
          <w:lang w:eastAsia="ru-RU" w:bidi="ru-RU"/>
        </w:rPr>
        <w:softHyphen/>
        <w:t>вой и в ближнем тылу противника, по же</w:t>
      </w:r>
      <w:r w:rsidRPr="00070ADE">
        <w:rPr>
          <w:rFonts w:ascii="Times New Roman" w:hAnsi="Times New Roman"/>
          <w:color w:val="000000" w:themeColor="text1"/>
          <w:sz w:val="16"/>
          <w:szCs w:val="16"/>
          <w:lang w:eastAsia="ru-RU" w:bidi="ru-RU"/>
        </w:rPr>
        <w:softHyphen/>
        <w:t>лезнодорожным узлам и складам. Летая «на коротком плече», командир 12-го бап М.П. Васякин довел бомбовую нагрузку своего самолета до предела - 5000 кг. Он же применил групповой взлет - Ту-2 стартовали с аэродрома Улла звеньями, сокращая время на сбор группы в воздухе. (21060).</w:t>
      </w:r>
    </w:p>
    <w:p w14:paraId="067F3D56" w14:textId="77777777" w:rsidR="00BD0048" w:rsidRPr="00070ADE" w:rsidRDefault="00BD0048" w:rsidP="00B56F90">
      <w:pPr>
        <w:spacing w:after="0" w:line="240" w:lineRule="auto"/>
        <w:jc w:val="both"/>
        <w:rPr>
          <w:rFonts w:ascii="Times New Roman" w:hAnsi="Times New Roman"/>
          <w:color w:val="000000" w:themeColor="text1"/>
          <w:sz w:val="16"/>
          <w:szCs w:val="16"/>
        </w:rPr>
      </w:pPr>
    </w:p>
    <w:p w14:paraId="6123BE2C"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весне 1944 г. на заводе № 51 изготовили опытный экземпляр нового У-2ШС. В дополнение к указанным из</w:t>
      </w:r>
      <w:r w:rsidRPr="00070ADE">
        <w:rPr>
          <w:rFonts w:ascii="Times New Roman" w:hAnsi="Times New Roman"/>
          <w:color w:val="000000" w:themeColor="text1"/>
          <w:sz w:val="16"/>
          <w:szCs w:val="16"/>
        </w:rPr>
        <w:softHyphen/>
        <w:t>менениям на самолете установили увели</w:t>
      </w:r>
      <w:r w:rsidRPr="00070ADE">
        <w:rPr>
          <w:rFonts w:ascii="Times New Roman" w:hAnsi="Times New Roman"/>
          <w:color w:val="000000" w:themeColor="text1"/>
          <w:sz w:val="16"/>
          <w:szCs w:val="16"/>
        </w:rPr>
        <w:softHyphen/>
        <w:t>ченный топливный бак емкостью 210 литров и маслобак на 25 литров. ШС оборудо</w:t>
      </w:r>
      <w:r w:rsidRPr="00070ADE">
        <w:rPr>
          <w:rFonts w:ascii="Times New Roman" w:hAnsi="Times New Roman"/>
          <w:color w:val="000000" w:themeColor="text1"/>
          <w:sz w:val="16"/>
          <w:szCs w:val="16"/>
        </w:rPr>
        <w:softHyphen/>
        <w:t>вали полным комплектом аэронавигацион</w:t>
      </w:r>
      <w:r w:rsidRPr="00070ADE">
        <w:rPr>
          <w:rFonts w:ascii="Times New Roman" w:hAnsi="Times New Roman"/>
          <w:color w:val="000000" w:themeColor="text1"/>
          <w:sz w:val="16"/>
          <w:szCs w:val="16"/>
        </w:rPr>
        <w:softHyphen/>
        <w:t>ных приборов, приемо-передающей радио</w:t>
      </w:r>
      <w:r w:rsidRPr="00070ADE">
        <w:rPr>
          <w:rFonts w:ascii="Times New Roman" w:hAnsi="Times New Roman"/>
          <w:color w:val="000000" w:themeColor="text1"/>
          <w:sz w:val="16"/>
          <w:szCs w:val="16"/>
        </w:rPr>
        <w:softHyphen/>
        <w:t>станцией РСИ-4 и генератором ГС-350. Для облегчения управления руль высоты снабдили триммером, штурвал управления которым размещался на левом борту каби</w:t>
      </w:r>
      <w:r w:rsidRPr="00070ADE">
        <w:rPr>
          <w:rFonts w:ascii="Times New Roman" w:hAnsi="Times New Roman"/>
          <w:color w:val="000000" w:themeColor="text1"/>
          <w:sz w:val="16"/>
          <w:szCs w:val="16"/>
        </w:rPr>
        <w:softHyphen/>
        <w:t>ны пилота. Ширина фюзеляжа составила 1100 мм, что означало прибавку в попереч</w:t>
      </w:r>
      <w:r w:rsidRPr="00070ADE">
        <w:rPr>
          <w:rFonts w:ascii="Times New Roman" w:hAnsi="Times New Roman"/>
          <w:color w:val="000000" w:themeColor="text1"/>
          <w:sz w:val="16"/>
          <w:szCs w:val="16"/>
        </w:rPr>
        <w:softHyphen/>
        <w:t>нике на 360 мм. Пассажирская кабина име</w:t>
      </w:r>
      <w:r w:rsidRPr="00070ADE">
        <w:rPr>
          <w:rFonts w:ascii="Times New Roman" w:hAnsi="Times New Roman"/>
          <w:color w:val="000000" w:themeColor="text1"/>
          <w:sz w:val="16"/>
          <w:szCs w:val="16"/>
        </w:rPr>
        <w:softHyphen/>
        <w:t>ла два кресла: переднее для двух человек, сидящих спиной по направлению к полету, и заднее для одного пассажира; еще один пассажир сидел в пилотской кабине на нра</w:t>
      </w:r>
      <w:r w:rsidRPr="00070ADE">
        <w:rPr>
          <w:rFonts w:ascii="Times New Roman" w:hAnsi="Times New Roman"/>
          <w:color w:val="000000" w:themeColor="text1"/>
          <w:sz w:val="16"/>
          <w:szCs w:val="16"/>
        </w:rPr>
        <w:softHyphen/>
        <w:t>вом кресле. Шасси осталось прежним. Кос</w:t>
      </w:r>
      <w:r w:rsidRPr="00070ADE">
        <w:rPr>
          <w:rFonts w:ascii="Times New Roman" w:hAnsi="Times New Roman"/>
          <w:color w:val="000000" w:themeColor="text1"/>
          <w:sz w:val="16"/>
          <w:szCs w:val="16"/>
        </w:rPr>
        <w:softHyphen/>
        <w:t>тыль оборудовали роликом из литой рези</w:t>
      </w:r>
      <w:r w:rsidRPr="00070ADE">
        <w:rPr>
          <w:rFonts w:ascii="Times New Roman" w:hAnsi="Times New Roman"/>
          <w:color w:val="000000" w:themeColor="text1"/>
          <w:sz w:val="16"/>
          <w:szCs w:val="16"/>
        </w:rPr>
        <w:softHyphen/>
        <w:t>ны размером 120x60 мм. Для осуществле</w:t>
      </w:r>
      <w:r w:rsidRPr="00070ADE">
        <w:rPr>
          <w:rFonts w:ascii="Times New Roman" w:hAnsi="Times New Roman"/>
          <w:color w:val="000000" w:themeColor="text1"/>
          <w:sz w:val="16"/>
          <w:szCs w:val="16"/>
        </w:rPr>
        <w:softHyphen/>
        <w:t>ния ночных полетов самолет получил поса</w:t>
      </w:r>
      <w:r w:rsidRPr="00070ADE">
        <w:rPr>
          <w:rFonts w:ascii="Times New Roman" w:hAnsi="Times New Roman"/>
          <w:color w:val="000000" w:themeColor="text1"/>
          <w:sz w:val="16"/>
          <w:szCs w:val="16"/>
        </w:rPr>
        <w:softHyphen/>
        <w:t>дочную фару диаметром 155 мм в нижней части капота. Фара крепилась в районе противопожарной перегородки и не выхо</w:t>
      </w:r>
      <w:r w:rsidRPr="00070ADE">
        <w:rPr>
          <w:rFonts w:ascii="Times New Roman" w:hAnsi="Times New Roman"/>
          <w:color w:val="000000" w:themeColor="text1"/>
          <w:sz w:val="16"/>
          <w:szCs w:val="16"/>
        </w:rPr>
        <w:softHyphen/>
        <w:t>дила за пределы капота, в котором имелось специальное застекленное окно (11085).</w:t>
      </w:r>
    </w:p>
    <w:p w14:paraId="3343767A" w14:textId="77777777" w:rsidR="003712D9" w:rsidRPr="00070ADE" w:rsidRDefault="003712D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BCBF18" w14:textId="77777777" w:rsidR="00AD5BC7" w:rsidRPr="00C94B78" w:rsidRDefault="00AD5BC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весне 1944 года на заво</w:t>
      </w:r>
      <w:r w:rsidRPr="00C94B78">
        <w:rPr>
          <w:rFonts w:ascii="Times New Roman" w:hAnsi="Times New Roman"/>
          <w:color w:val="0070C0"/>
          <w:sz w:val="16"/>
          <w:szCs w:val="16"/>
        </w:rPr>
        <w:softHyphen/>
        <w:t>де №51 изготовили опытный экземпляр У-2 ШС. В дополнение к указанным изменени</w:t>
      </w:r>
      <w:r w:rsidRPr="00C94B78">
        <w:rPr>
          <w:rFonts w:ascii="Times New Roman" w:hAnsi="Times New Roman"/>
          <w:color w:val="0070C0"/>
          <w:sz w:val="16"/>
          <w:szCs w:val="16"/>
        </w:rPr>
        <w:softHyphen/>
        <w:t>ям на самолете установили увеличенный топ</w:t>
      </w:r>
      <w:r w:rsidRPr="00C94B78">
        <w:rPr>
          <w:rFonts w:ascii="Times New Roman" w:hAnsi="Times New Roman"/>
          <w:color w:val="0070C0"/>
          <w:sz w:val="16"/>
          <w:szCs w:val="16"/>
        </w:rPr>
        <w:softHyphen/>
        <w:t>ливный бак емкостью 210 литров и маслобак на 25 литров. Машину оборудовали полным комплектом аэронавигационных приборов, приемо-передающей радиостанцией РСИ-4 и генератором ГС-350. Для облегчения управ</w:t>
      </w:r>
      <w:r w:rsidRPr="00C94B78">
        <w:rPr>
          <w:rFonts w:ascii="Times New Roman" w:hAnsi="Times New Roman"/>
          <w:color w:val="0070C0"/>
          <w:sz w:val="16"/>
          <w:szCs w:val="16"/>
        </w:rPr>
        <w:softHyphen/>
        <w:t>ления руль высоты снабдили триммером, штурвал управления которым размещался на левом борту кабины пилота. Ширина фюзеляжа составила 1100 мм, то есть он расширился на 360 мм. В пассажирской кабине установи</w:t>
      </w:r>
      <w:r w:rsidRPr="00C94B78">
        <w:rPr>
          <w:rFonts w:ascii="Times New Roman" w:hAnsi="Times New Roman"/>
          <w:color w:val="0070C0"/>
          <w:sz w:val="16"/>
          <w:szCs w:val="16"/>
        </w:rPr>
        <w:softHyphen/>
        <w:t>ли два кресла: переднее для двоих человек, си</w:t>
      </w:r>
      <w:r w:rsidRPr="00C94B78">
        <w:rPr>
          <w:rFonts w:ascii="Times New Roman" w:hAnsi="Times New Roman"/>
          <w:color w:val="0070C0"/>
          <w:sz w:val="16"/>
          <w:szCs w:val="16"/>
        </w:rPr>
        <w:softHyphen/>
        <w:t>дящих спиной по направлению к полету, и заднее для одного пассажира. Еще один пас</w:t>
      </w:r>
      <w:r w:rsidRPr="00C94B78">
        <w:rPr>
          <w:rFonts w:ascii="Times New Roman" w:hAnsi="Times New Roman"/>
          <w:color w:val="0070C0"/>
          <w:sz w:val="16"/>
          <w:szCs w:val="16"/>
        </w:rPr>
        <w:softHyphen/>
        <w:t>сажир сидел в пилотской кабине на правом кресле. Шасси осталось прежним. Костыль оборудовали роликом из литой резины разме</w:t>
      </w:r>
      <w:r w:rsidRPr="00C94B78">
        <w:rPr>
          <w:rFonts w:ascii="Times New Roman" w:hAnsi="Times New Roman"/>
          <w:color w:val="0070C0"/>
          <w:sz w:val="16"/>
          <w:szCs w:val="16"/>
        </w:rPr>
        <w:softHyphen/>
        <w:t>ром 120x60 мм. Для осуществления ночных полетов самолет оборудовали посадочной фа</w:t>
      </w:r>
      <w:r w:rsidRPr="00C94B78">
        <w:rPr>
          <w:rFonts w:ascii="Times New Roman" w:hAnsi="Times New Roman"/>
          <w:color w:val="0070C0"/>
          <w:sz w:val="16"/>
          <w:szCs w:val="16"/>
        </w:rPr>
        <w:softHyphen/>
        <w:t>рой диаметром 155 мм, установленной в ниж</w:t>
      </w:r>
      <w:r w:rsidRPr="00C94B78">
        <w:rPr>
          <w:rFonts w:ascii="Times New Roman" w:hAnsi="Times New Roman"/>
          <w:color w:val="0070C0"/>
          <w:sz w:val="16"/>
          <w:szCs w:val="16"/>
        </w:rPr>
        <w:softHyphen/>
        <w:t>ней части капота. Фара крепилась в районе противопожарной перегородки и не выходи</w:t>
      </w:r>
      <w:r w:rsidRPr="00C94B78">
        <w:rPr>
          <w:rFonts w:ascii="Times New Roman" w:hAnsi="Times New Roman"/>
          <w:color w:val="0070C0"/>
          <w:sz w:val="16"/>
          <w:szCs w:val="16"/>
        </w:rPr>
        <w:softHyphen/>
        <w:t>ла за пределы капота, в котором снизу име</w:t>
      </w:r>
      <w:r w:rsidRPr="00C94B78">
        <w:rPr>
          <w:rFonts w:ascii="Times New Roman" w:hAnsi="Times New Roman"/>
          <w:color w:val="0070C0"/>
          <w:sz w:val="16"/>
          <w:szCs w:val="16"/>
        </w:rPr>
        <w:softHyphen/>
        <w:t>лось специальное застекленное окно (24969).</w:t>
      </w:r>
    </w:p>
    <w:p w14:paraId="6AFBDBC6" w14:textId="77777777" w:rsidR="00AD5BC7" w:rsidRPr="00C94B78" w:rsidRDefault="00AD5BC7" w:rsidP="00B56F90">
      <w:pPr>
        <w:spacing w:after="0" w:line="240" w:lineRule="auto"/>
        <w:jc w:val="both"/>
        <w:rPr>
          <w:rFonts w:ascii="Times New Roman" w:hAnsi="Times New Roman"/>
          <w:color w:val="0070C0"/>
          <w:sz w:val="16"/>
          <w:szCs w:val="16"/>
        </w:rPr>
      </w:pPr>
    </w:p>
    <w:p w14:paraId="51981FC8" w14:textId="3A035CEC" w:rsidR="00112471" w:rsidRPr="00070ADE" w:rsidRDefault="00112471" w:rsidP="00B56F90">
      <w:pPr>
        <w:pStyle w:val="article-renderblock"/>
        <w:shd w:val="clear" w:color="auto" w:fill="FFFFFF"/>
        <w:spacing w:before="0" w:beforeAutospacing="0" w:after="0" w:afterAutospacing="0"/>
        <w:jc w:val="both"/>
        <w:rPr>
          <w:color w:val="000000" w:themeColor="text1"/>
          <w:sz w:val="16"/>
          <w:szCs w:val="16"/>
        </w:rPr>
      </w:pPr>
      <w:r w:rsidRPr="00070ADE">
        <w:rPr>
          <w:color w:val="000000" w:themeColor="text1"/>
          <w:sz w:val="16"/>
          <w:szCs w:val="16"/>
        </w:rPr>
        <w:t>К весне 1944-ого года на заводу № 47 в Оренбурге был построен головной серийный самолет</w:t>
      </w:r>
      <w:r w:rsidR="00B643A8" w:rsidRPr="00070ADE">
        <w:rPr>
          <w:color w:val="000000" w:themeColor="text1"/>
          <w:sz w:val="16"/>
          <w:szCs w:val="16"/>
        </w:rPr>
        <w:t xml:space="preserve"> </w:t>
      </w:r>
      <w:r w:rsidRPr="00070ADE">
        <w:rPr>
          <w:color w:val="000000" w:themeColor="text1"/>
          <w:sz w:val="16"/>
          <w:szCs w:val="16"/>
        </w:rPr>
        <w:t>Ще-2</w:t>
      </w:r>
      <w:r w:rsidR="00B643A8" w:rsidRPr="00070ADE">
        <w:rPr>
          <w:color w:val="000000" w:themeColor="text1"/>
          <w:sz w:val="16"/>
          <w:szCs w:val="16"/>
        </w:rPr>
        <w:t xml:space="preserve"> </w:t>
      </w:r>
      <w:r w:rsidRPr="00070ADE">
        <w:rPr>
          <w:color w:val="000000" w:themeColor="text1"/>
          <w:sz w:val="16"/>
          <w:szCs w:val="16"/>
        </w:rPr>
        <w:t>под номером</w:t>
      </w:r>
      <w:r w:rsidR="00B643A8" w:rsidRPr="00070ADE">
        <w:rPr>
          <w:color w:val="000000" w:themeColor="text1"/>
          <w:sz w:val="16"/>
          <w:szCs w:val="16"/>
        </w:rPr>
        <w:t xml:space="preserve"> </w:t>
      </w:r>
      <w:r w:rsidRPr="00070ADE">
        <w:rPr>
          <w:color w:val="000000" w:themeColor="text1"/>
          <w:sz w:val="16"/>
          <w:szCs w:val="16"/>
        </w:rPr>
        <w:t>03147. После чего в</w:t>
      </w:r>
      <w:r w:rsidR="00B643A8" w:rsidRPr="00070ADE">
        <w:rPr>
          <w:color w:val="000000" w:themeColor="text1"/>
          <w:sz w:val="16"/>
          <w:szCs w:val="16"/>
        </w:rPr>
        <w:t xml:space="preserve"> </w:t>
      </w:r>
      <w:r w:rsidRPr="00070ADE">
        <w:rPr>
          <w:color w:val="000000" w:themeColor="text1"/>
          <w:sz w:val="16"/>
          <w:szCs w:val="16"/>
        </w:rPr>
        <w:t>НИИ ВВС</w:t>
      </w:r>
      <w:r w:rsidR="00B643A8" w:rsidRPr="00070ADE">
        <w:rPr>
          <w:color w:val="000000" w:themeColor="text1"/>
          <w:sz w:val="16"/>
          <w:szCs w:val="16"/>
        </w:rPr>
        <w:t xml:space="preserve"> </w:t>
      </w:r>
      <w:r w:rsidRPr="00070ADE">
        <w:rPr>
          <w:color w:val="000000" w:themeColor="text1"/>
          <w:sz w:val="16"/>
          <w:szCs w:val="16"/>
        </w:rPr>
        <w:t>он прошел повторные государственные испытания для подтверждения полученных ранее характеристик. Серийный образец имел некоторые отличия от прототипа. В частности были внесены изменения в маслосистему, увеличен размах крыла и изменена форма килей.</w:t>
      </w:r>
    </w:p>
    <w:p w14:paraId="54082262" w14:textId="54805CCD" w:rsidR="00112471" w:rsidRPr="00070ADE" w:rsidRDefault="00112471" w:rsidP="00B56F90">
      <w:pPr>
        <w:pStyle w:val="article-renderblock"/>
        <w:shd w:val="clear" w:color="auto" w:fill="FFFFFF"/>
        <w:spacing w:before="0" w:beforeAutospacing="0" w:after="0" w:afterAutospacing="0"/>
        <w:jc w:val="both"/>
        <w:rPr>
          <w:color w:val="000000" w:themeColor="text1"/>
          <w:sz w:val="16"/>
          <w:szCs w:val="16"/>
        </w:rPr>
      </w:pPr>
      <w:r w:rsidRPr="00070ADE">
        <w:rPr>
          <w:color w:val="000000" w:themeColor="text1"/>
          <w:sz w:val="16"/>
          <w:szCs w:val="16"/>
        </w:rPr>
        <w:t>Всего на</w:t>
      </w:r>
      <w:r w:rsidR="00B643A8" w:rsidRPr="00070ADE">
        <w:rPr>
          <w:color w:val="000000" w:themeColor="text1"/>
          <w:sz w:val="16"/>
          <w:szCs w:val="16"/>
        </w:rPr>
        <w:t xml:space="preserve"> </w:t>
      </w:r>
      <w:r w:rsidRPr="00070ADE">
        <w:rPr>
          <w:color w:val="000000" w:themeColor="text1"/>
          <w:sz w:val="16"/>
          <w:szCs w:val="16"/>
        </w:rPr>
        <w:t>заводе № 47</w:t>
      </w:r>
      <w:r w:rsidR="00B643A8" w:rsidRPr="00070ADE">
        <w:rPr>
          <w:color w:val="000000" w:themeColor="text1"/>
          <w:sz w:val="16"/>
          <w:szCs w:val="16"/>
        </w:rPr>
        <w:t xml:space="preserve"> </w:t>
      </w:r>
      <w:r w:rsidRPr="00070ADE">
        <w:rPr>
          <w:color w:val="000000" w:themeColor="text1"/>
          <w:sz w:val="16"/>
          <w:szCs w:val="16"/>
        </w:rPr>
        <w:t>было выпущено 567 самолетов. За 1944 год собрали 222 машины, за 1945 год- 285 машин, а за 1946 год- 60 самолетов. Выпускался он в трех вариантах. Это транспортный для перевозки грузов или пассажиров; десантный для сброса парашютистов или груза; учебный, который использовали для обучения штурманов. Известно что учебный вариант разрабатывался в двух модификациях. Первый - это</w:t>
      </w:r>
      <w:r w:rsidR="00B643A8" w:rsidRPr="00070ADE">
        <w:rPr>
          <w:color w:val="000000" w:themeColor="text1"/>
          <w:sz w:val="16"/>
          <w:szCs w:val="16"/>
        </w:rPr>
        <w:t xml:space="preserve"> </w:t>
      </w:r>
      <w:r w:rsidRPr="00070ADE">
        <w:rPr>
          <w:color w:val="000000" w:themeColor="text1"/>
          <w:sz w:val="16"/>
          <w:szCs w:val="16"/>
        </w:rPr>
        <w:t>Ще-2 УТС</w:t>
      </w:r>
      <w:r w:rsidR="00B643A8" w:rsidRPr="00070ADE">
        <w:rPr>
          <w:color w:val="000000" w:themeColor="text1"/>
          <w:sz w:val="16"/>
          <w:szCs w:val="16"/>
        </w:rPr>
        <w:t xml:space="preserve"> </w:t>
      </w:r>
      <w:r w:rsidRPr="00070ADE">
        <w:rPr>
          <w:color w:val="000000" w:themeColor="text1"/>
          <w:sz w:val="16"/>
          <w:szCs w:val="16"/>
        </w:rPr>
        <w:t>под номером</w:t>
      </w:r>
      <w:r w:rsidR="00B643A8" w:rsidRPr="00070ADE">
        <w:rPr>
          <w:color w:val="000000" w:themeColor="text1"/>
          <w:sz w:val="16"/>
          <w:szCs w:val="16"/>
        </w:rPr>
        <w:t xml:space="preserve"> </w:t>
      </w:r>
      <w:r w:rsidRPr="00070ADE">
        <w:rPr>
          <w:color w:val="000000" w:themeColor="text1"/>
          <w:sz w:val="16"/>
          <w:szCs w:val="16"/>
        </w:rPr>
        <w:t>08247.</w:t>
      </w:r>
      <w:r w:rsidR="00B643A8" w:rsidRPr="00070ADE">
        <w:rPr>
          <w:color w:val="000000" w:themeColor="text1"/>
          <w:sz w:val="16"/>
          <w:szCs w:val="16"/>
        </w:rPr>
        <w:t xml:space="preserve"> </w:t>
      </w:r>
      <w:r w:rsidRPr="00070ADE">
        <w:rPr>
          <w:color w:val="000000" w:themeColor="text1"/>
          <w:sz w:val="16"/>
          <w:szCs w:val="16"/>
        </w:rPr>
        <w:t>Он был переделан из серийной машины на</w:t>
      </w:r>
      <w:r w:rsidR="00B643A8" w:rsidRPr="00070ADE">
        <w:rPr>
          <w:color w:val="000000" w:themeColor="text1"/>
          <w:sz w:val="16"/>
          <w:szCs w:val="16"/>
        </w:rPr>
        <w:t xml:space="preserve"> </w:t>
      </w:r>
      <w:r w:rsidRPr="00070ADE">
        <w:rPr>
          <w:color w:val="000000" w:themeColor="text1"/>
          <w:sz w:val="16"/>
          <w:szCs w:val="16"/>
        </w:rPr>
        <w:t>заводе № 482. Данный вариант был более универсальным, он позволял проводить обучение всего экипажа (для бомбардировщика), как пилотов, так и штурманов и радистов (19837).</w:t>
      </w:r>
    </w:p>
    <w:p w14:paraId="571BE490" w14:textId="77777777" w:rsidR="00112471" w:rsidRPr="00070ADE" w:rsidRDefault="00112471" w:rsidP="00B56F90">
      <w:pPr>
        <w:pStyle w:val="article-renderblock"/>
        <w:shd w:val="clear" w:color="auto" w:fill="FFFFFF"/>
        <w:spacing w:before="0" w:beforeAutospacing="0" w:after="0" w:afterAutospacing="0"/>
        <w:jc w:val="both"/>
        <w:rPr>
          <w:color w:val="000000" w:themeColor="text1"/>
          <w:sz w:val="16"/>
          <w:szCs w:val="16"/>
        </w:rPr>
      </w:pPr>
    </w:p>
    <w:p w14:paraId="3E24EDA7" w14:textId="77777777" w:rsidR="00792950" w:rsidRPr="00070ADE" w:rsidRDefault="00792950" w:rsidP="00B56F90">
      <w:pPr>
        <w:pStyle w:val="ae"/>
        <w:shd w:val="clear" w:color="auto" w:fill="FFFFFF"/>
        <w:spacing w:before="0" w:after="0"/>
        <w:jc w:val="both"/>
        <w:rPr>
          <w:color w:val="000000" w:themeColor="text1"/>
          <w:sz w:val="16"/>
          <w:szCs w:val="16"/>
        </w:rPr>
      </w:pPr>
      <w:r w:rsidRPr="00070ADE">
        <w:rPr>
          <w:color w:val="000000" w:themeColor="text1"/>
          <w:sz w:val="16"/>
          <w:szCs w:val="16"/>
        </w:rPr>
        <w:t>К весне 1944 г. в основном было закончено налаживание стендов. В.Ф. Болховитинов решил официально оформить че рез Совет труда и обороны первое задание разработать к октябрю 1944 г. авиационный жидкостный ракетный двигатель с многократным включением на диапазон тяг от до 1100 кгс, с плавным регулированием, с удельной тягой не ниже 200 с и ресурсом не менее 30 мин.</w:t>
      </w:r>
    </w:p>
    <w:p w14:paraId="29BDF683" w14:textId="77777777" w:rsidR="00792950" w:rsidRPr="00070ADE" w:rsidRDefault="00792950" w:rsidP="00B56F90">
      <w:pPr>
        <w:pStyle w:val="ae"/>
        <w:shd w:val="clear" w:color="auto" w:fill="FFFFFF"/>
        <w:spacing w:before="0" w:after="0"/>
        <w:jc w:val="both"/>
        <w:rPr>
          <w:color w:val="000000" w:themeColor="text1"/>
          <w:sz w:val="16"/>
          <w:szCs w:val="16"/>
        </w:rPr>
      </w:pPr>
      <w:r w:rsidRPr="00070ADE">
        <w:rPr>
          <w:color w:val="000000" w:themeColor="text1"/>
          <w:sz w:val="16"/>
          <w:szCs w:val="16"/>
        </w:rPr>
        <w:t>Год, прошедший с момента возвращения, не был затрачен только на строительство и налаживание экспериментальной базы. Расчетная группа КБ — Г.Г. Головинцова и А.С. Гвозде ва полностью освоила заимствованные у Глушко методики, развила их дальше. Л.А. Пчелин и В.Ф. Берглезов занима лись конструкторской работой по камерам сгорания. Они уже критически пересмотрели прежнюю конструкцию, разработа ли свои оригинальные решения. Н.И. Новиков получил на вык в проектировании разного рода дросселей и создал пер вые воздушные редукторы и обратные клапаны. Были прове дены эксперименты по зажиганию, т.е. по получению пускового факела в камере сгорания, который бы надежно воспламенял рабочие компоненты. С этой целью опробовались форкамеры и свечи различных типов. Решение пока не было найдено, но опыт накапливался.</w:t>
      </w:r>
    </w:p>
    <w:p w14:paraId="77A6C712" w14:textId="77777777" w:rsidR="00792950" w:rsidRPr="00070ADE" w:rsidRDefault="00792950" w:rsidP="00B56F90">
      <w:pPr>
        <w:pStyle w:val="ae"/>
        <w:shd w:val="clear" w:color="auto" w:fill="FFFFFF"/>
        <w:spacing w:before="0" w:after="0"/>
        <w:jc w:val="both"/>
        <w:rPr>
          <w:color w:val="000000" w:themeColor="text1"/>
          <w:sz w:val="16"/>
          <w:szCs w:val="16"/>
        </w:rPr>
      </w:pPr>
      <w:r w:rsidRPr="00070ADE">
        <w:rPr>
          <w:color w:val="000000" w:themeColor="text1"/>
          <w:sz w:val="16"/>
          <w:szCs w:val="16"/>
        </w:rPr>
        <w:t>Такие основные недостатки, как ненадежность запуска и малый ресурс определили направление работы отдела. Двигатель сохранил основные размеры камеры и со пла, тип конструкции — сборная из механически обработанных поковок. Но решительно все детали были переконструи рованы. Основная деталь, определяющая ресурс двигателя, — сопло у двигателя Душкина имело оребрение, при котором об разующие спирали были перпендикулярны к оси сопла. Кро ме того, шаг резьбы был постоянным. Расчеты показали необ ходимость увеличения скорости охлаждающей жидкости в кри тическом сечении. Новое сопло было сделано с шестизаходной резьбой переменного шага и переменного наклона нитки резь бы, так что нитка на всей длине оставалась перпендикуляр ной поверхности стенки. При меньшей толщине стенки это обеспечивало большую жесткость детали и уменьшало ее де формацию, что способствовало уменьшению протекания охлаж дающей жидкости в образовавшуюся щель поверх резьбы.</w:t>
      </w:r>
    </w:p>
    <w:p w14:paraId="542FE251" w14:textId="77777777" w:rsidR="00792950" w:rsidRPr="00070ADE" w:rsidRDefault="00792950" w:rsidP="00B56F90">
      <w:pPr>
        <w:pStyle w:val="ae"/>
        <w:shd w:val="clear" w:color="auto" w:fill="FFFFFF"/>
        <w:spacing w:before="0" w:after="0"/>
        <w:jc w:val="both"/>
        <w:rPr>
          <w:color w:val="000000" w:themeColor="text1"/>
          <w:sz w:val="16"/>
          <w:szCs w:val="16"/>
        </w:rPr>
      </w:pPr>
      <w:r w:rsidRPr="00070ADE">
        <w:rPr>
          <w:color w:val="000000" w:themeColor="text1"/>
          <w:sz w:val="16"/>
          <w:szCs w:val="16"/>
        </w:rPr>
        <w:t xml:space="preserve">На выходе сопла были сделаны две сильфонные волны. Обо лочка жестко зажимала оба конца сопла. По-прежнему сопло охлаждалось керосином, а цилиндрическая </w:t>
      </w:r>
      <w:r w:rsidRPr="00070ADE">
        <w:rPr>
          <w:color w:val="000000" w:themeColor="text1"/>
          <w:sz w:val="16"/>
          <w:szCs w:val="16"/>
        </w:rPr>
        <w:lastRenderedPageBreak/>
        <w:t>часть — кислотой.</w:t>
      </w:r>
    </w:p>
    <w:p w14:paraId="4C0A231A" w14:textId="77777777" w:rsidR="00792950" w:rsidRPr="00070ADE" w:rsidRDefault="00792950" w:rsidP="00B56F90">
      <w:pPr>
        <w:pStyle w:val="ae"/>
        <w:shd w:val="clear" w:color="auto" w:fill="FFFFFF"/>
        <w:spacing w:before="0" w:after="0"/>
        <w:jc w:val="both"/>
        <w:rPr>
          <w:color w:val="000000" w:themeColor="text1"/>
          <w:sz w:val="16"/>
          <w:szCs w:val="16"/>
        </w:rPr>
      </w:pPr>
      <w:r w:rsidRPr="00070ADE">
        <w:rPr>
          <w:color w:val="000000" w:themeColor="text1"/>
          <w:sz w:val="16"/>
          <w:szCs w:val="16"/>
        </w:rPr>
        <w:t>Для цилиндрической части использовали поковку из стали марки 12X13. С головкой жестко соединялась внутренняя де таль камеры, а рубашка уплотнялась сальником. При этом из бежали омываемых окислителем шпилек, которые на душкин ском двигателе принесли много неприятностей.</w:t>
      </w:r>
    </w:p>
    <w:p w14:paraId="3BF188F1" w14:textId="77777777" w:rsidR="00792950" w:rsidRPr="00070ADE" w:rsidRDefault="00792950" w:rsidP="00B56F90">
      <w:pPr>
        <w:pStyle w:val="ae"/>
        <w:shd w:val="clear" w:color="auto" w:fill="FFFFFF"/>
        <w:spacing w:before="0" w:after="0"/>
        <w:jc w:val="both"/>
        <w:rPr>
          <w:color w:val="000000" w:themeColor="text1"/>
          <w:sz w:val="16"/>
          <w:szCs w:val="16"/>
        </w:rPr>
      </w:pPr>
      <w:r w:rsidRPr="00070ADE">
        <w:rPr>
          <w:color w:val="000000" w:themeColor="text1"/>
          <w:sz w:val="16"/>
          <w:szCs w:val="16"/>
        </w:rPr>
        <w:t>Головка сохранила свою коническую (шатровую) форму.</w:t>
      </w:r>
    </w:p>
    <w:p w14:paraId="3C1F5FFD" w14:textId="77777777" w:rsidR="00792950" w:rsidRPr="00070ADE" w:rsidRDefault="00792950" w:rsidP="00B56F90">
      <w:pPr>
        <w:pStyle w:val="ae"/>
        <w:shd w:val="clear" w:color="auto" w:fill="FFFFFF"/>
        <w:spacing w:before="0" w:after="0"/>
        <w:jc w:val="both"/>
        <w:rPr>
          <w:color w:val="000000" w:themeColor="text1"/>
          <w:sz w:val="16"/>
          <w:szCs w:val="16"/>
        </w:rPr>
      </w:pPr>
      <w:r w:rsidRPr="00070ADE">
        <w:rPr>
          <w:color w:val="000000" w:themeColor="text1"/>
          <w:sz w:val="16"/>
          <w:szCs w:val="16"/>
        </w:rPr>
        <w:t>Форсунки были ввернуты по окружностям с чередованием кис лотных форсунок с форсунками горючего. В центральную часть вставлялся пусковой блок — массивный цилиндр со своими подводами компонентов, в плоский торец которого были ввернуты семь форсунок горючего и двенадцать окис лителя, с впервые тогда примененным сотовым расположе нием. Все форсунки имели внутри корпуса по маленькому шариковому клапану. При отсечке компонентов эти клапан чики закрывались, предотвращая слив компонентов в каме ру из коллекторов и рубашек. Зажигание пускового факела осуществлялось от так называемого «дугового пускача». Два кривых электрода этого устройства, закрепленного под со плом, перед пуском вводились в камеру за критическое сече ние и начинали там размыкаться и замыкаться. При каж дом размыкании между электродами проходила вольтова дуга.</w:t>
      </w:r>
    </w:p>
    <w:p w14:paraId="1AB24FF8" w14:textId="77777777" w:rsidR="00792950" w:rsidRPr="00070ADE" w:rsidRDefault="00792950" w:rsidP="00B56F90">
      <w:pPr>
        <w:pStyle w:val="ae"/>
        <w:shd w:val="clear" w:color="auto" w:fill="FFFFFF"/>
        <w:spacing w:before="0" w:after="0"/>
        <w:jc w:val="both"/>
        <w:rPr>
          <w:color w:val="000000" w:themeColor="text1"/>
          <w:sz w:val="16"/>
          <w:szCs w:val="16"/>
        </w:rPr>
      </w:pPr>
      <w:r w:rsidRPr="00070ADE">
        <w:rPr>
          <w:color w:val="000000" w:themeColor="text1"/>
          <w:sz w:val="16"/>
          <w:szCs w:val="16"/>
        </w:rPr>
        <w:t>На дугу попадала первая порция хорошо распыленных ком понентов из пускового блока с расходом 400 г/с, после чего с помощью пневмореле дуги пускача выводились из камеры в исходное положение. Затем расход через пусковой блок уд ваивался, получался уже довольно мощный факел на 800 г/с.</w:t>
      </w:r>
    </w:p>
    <w:p w14:paraId="45B29584" w14:textId="77777777" w:rsidR="00792950" w:rsidRPr="00070ADE" w:rsidRDefault="00792950" w:rsidP="00B56F90">
      <w:pPr>
        <w:pStyle w:val="ae"/>
        <w:shd w:val="clear" w:color="auto" w:fill="FFFFFF"/>
        <w:spacing w:before="0" w:after="0"/>
        <w:jc w:val="both"/>
        <w:rPr>
          <w:color w:val="000000" w:themeColor="text1"/>
          <w:sz w:val="16"/>
          <w:szCs w:val="16"/>
        </w:rPr>
      </w:pPr>
      <w:r w:rsidRPr="00070ADE">
        <w:rPr>
          <w:color w:val="000000" w:themeColor="text1"/>
          <w:sz w:val="16"/>
          <w:szCs w:val="16"/>
        </w:rPr>
        <w:t>На этот факел подавались компоненты из всех рабочих фор сунок. Двигатель выходил на режим малой тяги — 400 кгс.</w:t>
      </w:r>
    </w:p>
    <w:p w14:paraId="6F1EBA2C" w14:textId="77777777" w:rsidR="00792950" w:rsidRPr="00070ADE" w:rsidRDefault="00792950"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Все управление осуществлялось одной ручкой, так называе мым «сектором газа». Движение этого сектора от заднего по ложения до промежуточного упора обеспечивало полный пус ковой факел.</w:t>
      </w:r>
    </w:p>
    <w:p w14:paraId="08D9264B" w14:textId="77777777" w:rsidR="00792950" w:rsidRPr="00070ADE" w:rsidRDefault="00792950" w:rsidP="00B56F90">
      <w:pPr>
        <w:pStyle w:val="ae"/>
        <w:shd w:val="clear" w:color="auto" w:fill="FFFFFF"/>
        <w:spacing w:before="0" w:after="0"/>
        <w:jc w:val="both"/>
        <w:rPr>
          <w:color w:val="000000" w:themeColor="text1"/>
          <w:sz w:val="16"/>
          <w:szCs w:val="16"/>
        </w:rPr>
      </w:pPr>
      <w:r w:rsidRPr="00070ADE">
        <w:rPr>
          <w:color w:val="000000" w:themeColor="text1"/>
          <w:sz w:val="16"/>
          <w:szCs w:val="16"/>
        </w:rPr>
        <w:t>Сдвигом рычага от промежуточного упора вправо вклю чалась малая тяга, а при движении рычага до второй прорези вперед тягу увеличивали до максимума— 1100 кгс. Сек тор газа был связан рычагами с дроссельно-отсечным двух компонентным краном. Поворачивающиеся от рычага цилиндры с профилированными отверстиями плавно регулировали тягу, сохраняя соотношение секундных расходов компонентов.</w:t>
      </w:r>
    </w:p>
    <w:p w14:paraId="0D9ECBEA" w14:textId="77777777" w:rsidR="00792950" w:rsidRPr="00070ADE" w:rsidRDefault="00792950" w:rsidP="00B56F90">
      <w:pPr>
        <w:pStyle w:val="ae"/>
        <w:shd w:val="clear" w:color="auto" w:fill="FFFFFF"/>
        <w:spacing w:before="0" w:after="0"/>
        <w:jc w:val="both"/>
        <w:rPr>
          <w:color w:val="000000" w:themeColor="text1"/>
          <w:sz w:val="16"/>
          <w:szCs w:val="16"/>
        </w:rPr>
      </w:pPr>
      <w:r w:rsidRPr="00070ADE">
        <w:rPr>
          <w:color w:val="000000" w:themeColor="text1"/>
          <w:sz w:val="16"/>
          <w:szCs w:val="16"/>
        </w:rPr>
        <w:t>Двигатель останавливался обратным движением сектора — сначала до промежуточного упора, потом сдвигом его по упо ру влево и оттяжкой назад по первой прорези (19586).</w:t>
      </w:r>
    </w:p>
    <w:p w14:paraId="20017A1F" w14:textId="77777777" w:rsidR="00792950" w:rsidRPr="00070ADE" w:rsidRDefault="00792950" w:rsidP="00B56F90">
      <w:pPr>
        <w:pStyle w:val="ae"/>
        <w:shd w:val="clear" w:color="auto" w:fill="FFFFFF"/>
        <w:spacing w:before="0" w:after="0"/>
        <w:jc w:val="both"/>
        <w:rPr>
          <w:color w:val="000000" w:themeColor="text1"/>
          <w:sz w:val="16"/>
          <w:szCs w:val="16"/>
        </w:rPr>
      </w:pPr>
    </w:p>
    <w:p w14:paraId="7B57F75B" w14:textId="77777777" w:rsidR="00AD5BC7" w:rsidRPr="00C94B78" w:rsidRDefault="00AD5BC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весне 1944 г. в основном было закончено налаживание стендов в отделе Имаева. В.Ф. Болховитинов решил официально оформить че</w:t>
      </w:r>
      <w:r w:rsidRPr="00C94B78">
        <w:rPr>
          <w:rFonts w:ascii="Times New Roman" w:hAnsi="Times New Roman"/>
          <w:color w:val="0070C0"/>
          <w:sz w:val="16"/>
          <w:szCs w:val="16"/>
        </w:rPr>
        <w:softHyphen/>
        <w:t>рез Совет труда и обороны первое задание разработать к ок</w:t>
      </w:r>
      <w:r w:rsidRPr="00C94B78">
        <w:rPr>
          <w:rFonts w:ascii="Times New Roman" w:hAnsi="Times New Roman"/>
          <w:color w:val="0070C0"/>
          <w:sz w:val="16"/>
          <w:szCs w:val="16"/>
        </w:rPr>
        <w:softHyphen/>
        <w:t>тябрю 1944 г. авиационный жидкостный ракетный двигатель с многократным включением на диапазон тяг от 400 до 1100 кгс, с плавным регулированием, с удельной тягой не ниже 200 с и ресурсом не менее 30 мин.</w:t>
      </w:r>
    </w:p>
    <w:p w14:paraId="78B9641A" w14:textId="77777777" w:rsidR="00AD5BC7" w:rsidRPr="00C94B78" w:rsidRDefault="00AD5BC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Год, прошедший с момента возвращения, не был затрачен только на строительство и налаживание экспериментальной базы. Расчетная группа КБ — Г.Г. Головинцова и А.С. Гвоздева полностью освоила заимствованные у Глушко методики, развила их дальше. Л.А. Пчелин и В.Ф. Берглезов занима</w:t>
      </w:r>
      <w:r w:rsidRPr="00C94B78">
        <w:rPr>
          <w:rFonts w:ascii="Times New Roman" w:hAnsi="Times New Roman"/>
          <w:color w:val="0070C0"/>
          <w:sz w:val="16"/>
          <w:szCs w:val="16"/>
        </w:rPr>
        <w:softHyphen/>
        <w:t>лись конструкторской работой по камерам сгорания. Они уже критически пересмотрели прежнюю конструкцию, разработа</w:t>
      </w:r>
      <w:r w:rsidRPr="00C94B78">
        <w:rPr>
          <w:rFonts w:ascii="Times New Roman" w:hAnsi="Times New Roman"/>
          <w:color w:val="0070C0"/>
          <w:sz w:val="16"/>
          <w:szCs w:val="16"/>
        </w:rPr>
        <w:softHyphen/>
        <w:t>ли свои оригинальные решения. Н.И. Новиков получил на</w:t>
      </w:r>
      <w:r w:rsidRPr="00C94B78">
        <w:rPr>
          <w:rFonts w:ascii="Times New Roman" w:hAnsi="Times New Roman"/>
          <w:color w:val="0070C0"/>
          <w:sz w:val="16"/>
          <w:szCs w:val="16"/>
        </w:rPr>
        <w:softHyphen/>
        <w:t>вык в проектировании разного рода дросселей и создал пер</w:t>
      </w:r>
      <w:r w:rsidRPr="00C94B78">
        <w:rPr>
          <w:rFonts w:ascii="Times New Roman" w:hAnsi="Times New Roman"/>
          <w:color w:val="0070C0"/>
          <w:sz w:val="16"/>
          <w:szCs w:val="16"/>
        </w:rPr>
        <w:softHyphen/>
        <w:t>вые воздушные редукторы и обратные клапаны. Были прове</w:t>
      </w:r>
      <w:r w:rsidRPr="00C94B78">
        <w:rPr>
          <w:rFonts w:ascii="Times New Roman" w:hAnsi="Times New Roman"/>
          <w:color w:val="0070C0"/>
          <w:sz w:val="16"/>
          <w:szCs w:val="16"/>
        </w:rPr>
        <w:softHyphen/>
        <w:t>дены эксперименты по зажиганию, т.е. по получению пускового факела в камере сгорания, который бы надежно воспламенял рабочие компоненты. С этой целью опробовались форкамеры и свечи различных типов. Решение пока не было найдено, но опыт накапливался (24920).</w:t>
      </w:r>
    </w:p>
    <w:p w14:paraId="7B4237FF" w14:textId="77777777" w:rsidR="00AD5BC7" w:rsidRPr="00C94B78" w:rsidRDefault="00AD5BC7" w:rsidP="00B56F90">
      <w:pPr>
        <w:spacing w:after="0" w:line="240" w:lineRule="auto"/>
        <w:jc w:val="both"/>
        <w:rPr>
          <w:rFonts w:ascii="Times New Roman" w:hAnsi="Times New Roman"/>
          <w:color w:val="0070C0"/>
          <w:sz w:val="16"/>
          <w:szCs w:val="16"/>
        </w:rPr>
      </w:pPr>
    </w:p>
    <w:p w14:paraId="0775BB9C" w14:textId="77777777" w:rsidR="00AD5BC7" w:rsidRPr="00070ADE" w:rsidRDefault="00AD5BC7"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AAAFAAE" w14:textId="77777777" w:rsidR="00AD5BC7" w:rsidRPr="00070ADE" w:rsidRDefault="00AD5BC7"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6A1087" w14:textId="77777777" w:rsidR="00AD5BC7" w:rsidRPr="00C94B78" w:rsidRDefault="00AD5BC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весне 1944 года образовалось два основных направления работ то тяжелым танкам. Первым из них стала разработка принципиально нового тяжелого танка, получившего обозначение Объект 701. Второе направление образовалось в начале весны 1944 года, связано оно оказалось с развитием тяжелого танка ИС-2. А далее из проекта «большой модернизации» ИС-2 вырос совершенно новый танк, который стало создавать ОКБ опытного завода №100. Известен этот танк как ИС-6, также он носил индекс Объект 252 (25682).</w:t>
      </w:r>
    </w:p>
    <w:p w14:paraId="1508D633" w14:textId="77777777" w:rsidR="00AD5BC7" w:rsidRPr="00C94B78" w:rsidRDefault="00AD5BC7" w:rsidP="00B56F90">
      <w:pPr>
        <w:spacing w:after="0" w:line="240" w:lineRule="auto"/>
        <w:jc w:val="both"/>
        <w:rPr>
          <w:rFonts w:ascii="Times New Roman" w:hAnsi="Times New Roman"/>
          <w:color w:val="0070C0"/>
          <w:sz w:val="16"/>
          <w:szCs w:val="16"/>
        </w:rPr>
      </w:pPr>
    </w:p>
    <w:p w14:paraId="0F0E1D20" w14:textId="77777777" w:rsidR="00AD5BC7" w:rsidRPr="00C94B78" w:rsidRDefault="00AD5BC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весне 1944 года лидером по теме 100-мм танковых орудий стала система Д-10Т. Ведущим конструктором Д-10 являлся М.Е. Безусов, имевший опыт создания самоходной артиллерии (в частности, он вел проекты САУ ЗИК-7, ЗИК-10 и ЗИК-11). Она представляла собой логичное развитие конструкции Д-5 и Д-25. От Д-25 брался затвор, люлька, подъемный и поворотный механизмы. Работы по Д-10Т развивались стремительно: в отчете завода №100 за первую половину февраля 1944 года уже указывается носитель данного орудия. Им был танк Объект 245, фактически серийный ИС-2 выпуска начала февраля 1944 года, имевший корпус и башню выпуска завода №200. Помимо системы, танк отличался тем, что вместо перископического прицела ПТ4-17 на нем установили перископический прибор МК-4, тем самым улучшился обзор из командирской башенки (25648).</w:t>
      </w:r>
    </w:p>
    <w:p w14:paraId="2B8009C0" w14:textId="77777777" w:rsidR="00AD5BC7" w:rsidRPr="00C94B78" w:rsidRDefault="00AD5BC7" w:rsidP="00B56F90">
      <w:pPr>
        <w:spacing w:after="0" w:line="240" w:lineRule="auto"/>
        <w:jc w:val="both"/>
        <w:rPr>
          <w:rFonts w:ascii="Times New Roman" w:hAnsi="Times New Roman"/>
          <w:color w:val="0070C0"/>
          <w:sz w:val="16"/>
          <w:szCs w:val="16"/>
        </w:rPr>
      </w:pPr>
    </w:p>
    <w:p w14:paraId="73B6ADE2"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239A0E7"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DE83A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весне 1944 г. первые Ту-2 нового поколения стали поступать в части ВВС. Ими стали перевооружать уже освоившие предыдущую модификацию 12-й и 132-й полки. 12-й бап в конце 1943 г. был отведен с фронта на подмосковный аэродром Кубинка. Там экипажи начали осваивать Ту-2 с моторами М-82ФН. Изучение новой техники шло прямо на заводе № 23. 132-й бап проходил переформирование в Йошкар-Оле. Поступление все большего количества машин позволило укомплектовать бомбардировщиками Туполева еще один полк, 454-й.</w:t>
      </w:r>
    </w:p>
    <w:p w14:paraId="6E6E61C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три полка свели в 132-ю бомбардировочную авиадивизию (бад), командиром которой стал полковник И.П. Скок. В начале мая 1944 г. это соединение достигло стадии боеготовности. В том же месяце дивизию перебросили на Ленинградский фронт, где готовился прорыв укрепленной "линии Маннергейма". Так, 12-й бап, имевший 30 машин, расположился на аэродроме Углово. К началу июня в дивизии насчитывалось 87 Ту-2, в том числе 74 исправных. Соединение вошло в состав 13-й воздушной армии. Первоначально факт наличия в составе советских ВВС целого соединения новых бомбардировщиков хотели сохранить в тайне до начала наступления в Белоруссии, но перевесила необходимость разрушения мощных оборонительных сооружений на финской границе. Только Ту-2 могли летать днем с бомбами ФАБ-1000. Кроме того, его большая дальность облегчала обеспечение операции: машины могли наносить удары с аэродромов в районе Ленинграда. При этом, правда, Сталин приказал военным беречь дивизию "как зеницу ока".</w:t>
      </w:r>
    </w:p>
    <w:p w14:paraId="1BAB13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Действия авиации в Карелии начались с 8 июня 1944 г. Самолеты нанесли удары по железнодорожным узлам, мостам, штабам и скоплениям войск противника. Летали группами по семь-девять машин. Прикрытие истребителями осуществлялось только у передовой. На маршруте защиту должны были обеспечить скорость и мощное оборонительное вооружение. Затем Ту-2 также начали работать по оборонительным сооружениям, включая бетонные форты. Летчик 12-го бап И.И. Ширкин вспоминал: "Бомбили скопления войск противника, танковые группировки, железнодорожные узлы, совершая в день по два, а то и по три вылета". Против укреплений использовали фугасные бомбы крупного калибра, а также специальные бетонобойные бомбы серии ДС с ракетными ускорителями, поступившие на вооружение перед самой войной. Их из-за большой длины (более 2 м) размещали на наружной подвеске; при этом еще четыре ФАБ-250 грузили в бомбоотсек. Такие боеприпасы, в частности, применяли в районе Лодейного Поля.</w:t>
      </w:r>
    </w:p>
    <w:p w14:paraId="0D17CC2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ВВС маршал Новиков докладывал Сталину о первых днях боев: "334 БАД потерь не имела, летала днем и работала отлично". Ту-2 действовали днем, крупными группами. Так, в налете на железнодорожный узел в Выборге 15 июня участвовали 23 самолета, 17 июня - 59. Кроме бомбардировки сил противника, Ту-2 использовали и как разведчики. Советские ВВС достигли превосходства в воздухе, поэтому потери в этой операции были небольшими. Например, 12-й бап лишился всего одного самолета - командира 2-й эскадрильи А.А. Шумейко.</w:t>
      </w:r>
    </w:p>
    <w:p w14:paraId="64FEAB0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Наступление было успешным. 21 июня советские войска взяли Выборг.</w:t>
      </w:r>
    </w:p>
    <w:p w14:paraId="18F54A9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Пребывание 334-й дивизии на Ленинградском фронте было кратковременным. В конце июня соединение перебросили на 3-й Белорусский фронт, в 4-ю воздушную армию, где оно приняло участие в операции "Багратион" по освобождению Белоруссии. Ту-2 использовались с большой интенсивностью, совершая до двух вылетов день. Они наносили удары по войскам на передовой и в ближнем тылу противника, по железнодорожным узлам и складам. Летая "на коротком плече", командир 12-го бап М.П. Васякин довел бомбовую нагрузку своего самолета до предела - 3000 кг. Он же применил групповой взлет - Ту-2 стартовали с аэродрома Улла звеньями, сокращая время на сбор группы в воздухе.</w:t>
      </w:r>
    </w:p>
    <w:p w14:paraId="153AA10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июле 334-я дивизия опять сменила место. По приказу командования она перешла в подчинение 3-й воздушной армии на 1-м Прибалтийском фронте. Ту-2 летали на бомбежку немецких войск в районах Митавы, Шяуляя, Тильзита, атаковали порты в Либаве и Клайпеде, вели воздушную разведку.</w:t>
      </w:r>
    </w:p>
    <w:p w14:paraId="053F4E4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Ту-2 применяли против наиболее важных узлов сопротивления немцев. Бомбили их днем, с горизонтального полета, действуя крупными группами до полка, а несколько вылетов совершили полным составом дивизии (около 100 самолетов). Летали с плотным прикрытием истребителями Як-9 и Р-39. Наиболее удаленные цели располагались в 300 - 500 км от аэродромов базирования, средняя бомбовая нагрузка составляла 1350 кг.</w:t>
      </w:r>
    </w:p>
    <w:p w14:paraId="68AB968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участие в прорыве обороны противника на р. Западная Двина юго-восточнее Риги 132-й полк был удостоен ордена Кутузова 3-й степени. Но сопротивление немцев было упорным; дивизия понесла потери и от истребителей, и от зенитной артиллерии. За три месяца боев в Прибалтике только истребители сбили 10 и повредили еще 16 бомбардировщиков.</w:t>
      </w:r>
    </w:p>
    <w:p w14:paraId="19BA4F2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июля в районе Тукумса в Латвии был сбит и погиб Васякин, который вел свой полк на бомбежку позиций немцев. Как правило, истребители противника атаковали ведомых, пользуясь фактором неожиданности. Еще семь Ту-2 уничтожили немецкие зенитчики.</w:t>
      </w:r>
    </w:p>
    <w:p w14:paraId="1B7B2EB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Сменивший Васякина майор И.С. Полевой погиб 20 августа. Он повел 27 самолетов бомбить железнодорожный узел. Бомбардировщики столкнулись с сильным огнем зенитной артиллерии. Ту-2 Полевого был подбит, сам пилот - ранен. Но экипаж сбросил бомбы на цель. На обратном пути бомбардировщик совершил вынужденную посадку на лес. Стрелок вытащил командира из кабины, но тот вскоре скончался.</w:t>
      </w:r>
    </w:p>
    <w:p w14:paraId="5FBACD2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Дивизия воевала в Прибалтике до конца 1944 г. В целом Ту-2 показал себя очень неплохо. Командир 132-го бап подполковник Бугай писал в своем рапорте: "Летный состав полка высоко ценит самолет Ту-2 и успешно ведет работу на этой новой материальной части". В среднем, на один утраченный бомбардировщик приходилось 465 самолето-вылетов. За 1944 г. советские ВВС лишились 77 самолетов этого типа; при этом около 60% машин - непосредственно боевые потери. Доля техники, потерянной в авариях и катастрофах, оказалась меньше, чем у всех других типов фронтовых бомбардировщиков (11988).</w:t>
      </w:r>
    </w:p>
    <w:p w14:paraId="1C5D72B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4806A1A2" w14:textId="77777777" w:rsidR="00064D4E"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4173A4CF" w14:textId="77777777" w:rsidR="00064D4E" w:rsidRPr="00070ADE" w:rsidRDefault="00064D4E"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8674B1" w14:textId="7E0C933E"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весне 1944г. для немецкого верховного командования стало ясно, что постоянному наращиванию дневных налетов бомбардировщиков союзников на промышленные центры противостоять имевшимися средствами ПВО уже невозможно. Ситуация была настолько серьезной, что рассматривались даже самые необычные предложения по перехвату и уничтожению бомбардировочных соединений, но только немногие из них оказались реально осуществимыми. Одним из таких эксцентричных предложений был проект Эриха Бахема по созданию дешевого, вертикально стартующего ракетного истребителя объектовой ПВО.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Проект Бахема не был действительно оригинальным. Вертикально стартующий ракетный перехватчик был предложен Техническому департаменту еще летом 1939 г. и был отклонен как слишком фантастичный. Проект Бахема отличался крайней простотой, с максимальным использованием недефицитных материалов в конструкции и неквалифицированной рабочей силы при сборке. Дешевые и недефицитные материалы применялись в каждом узле конструкции, которая должна была использоваться только один раз. Ракетный двигатель предполагалось спасать для последующего использования.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Концепцию такого перехватчика впервые выдвинул Вернер фон Браун в меморандуме Техническому департаменту от 6 июля 1939г. Фон Браун рассматривал самолет взлетной массой около 5000кг с одним ракетным двигателем тягой до 10 тонн. Самолет должен был взлетать вертикально с помощью 6м направляющих. Боевая высота в 8000м набиралась за 53 секунды! Хотя эта схема была отклонена РЛМ как трудноосуществимая, но сама концепция захватила воображение Бахема -технического директора "Герхард Физелер верке", который разработал ряд проектов под общим обозначением Fi.166. Окончательный вариант "Наттера" несколько отличался от предложения Бахема. Первоначальная конфигурация самолета отвечала такой схеме атаки: после применения "Наттером" своего бортового оружия - батареи ракет - пилот затем должен был использовать оставшуюся кинетическую энергию самолета для набора высоты с последующим пикированием и тараном цели. Непосредственно перед столкновением пилот катапультировался. При этом срабатывали разрывные болты, отсоединявшие заднюю часть самолета с двигателем, который затем приземлялась с помощью парашюта для последующего использования. Бетхбедер пришел к заключению, что кабина "Наттера" слишком мала для установки нормального катапультируемого сиденья. Кроме того, его установка только усложнила бы конструкцию, которая априорно должна была быть простой. В результате от таранного способа атаки пришлось отказаться. Пилот теперь должен был сбрасывать переднюю часть фюзеляжа с фонарем, что освобождало парашют.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Конструкция была цельнодеревянной. Металл использовался только для органов управления, шарниров и узлов крепления. Механизация крыла отсутствовала, управление осуществлялось рулевыми поверхностями, которые составляли часть хвостового оперения. Оперение в виде "несимметричного креста", стабилизатор несущий. Крыло и стабилизатор максимально простой прямоугольной формы. Пpофиль крыла симметричный с относительной толщиной 12% на 50% хорды.</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На начальной стадии проектирования рассматривались различные варианты вооружения, включая батарею из 49 30-мм ракет SG-119, "цилиндрический" полуавтомат с 40 30-мм снарядами, но была выбрана сотовая схема с шестигранными трубами под 73-мм ракеты S-217 "Фэн" (Шторм) или четырехгранными под 55-мм ракеты R4М. "Соты" в последнем варианте несли 33 снаряда, а в первом - 24. Первоначальный вариант на 28 "Штормов" был отклонен из-за проблем с отводом пороховых газов, которые вызвали взрыв во время наземных испытаний. В полете "соты" закрывались сбрасываемым пластиковым обтекателем.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Для запуска Ва.349 монтировался на практически вертикальных направляющих длиной 25м. Законцовки крыла и нижней части киля были усилены для движения по направляющим. Направляющие могли наклоняться для "зарядки" в них самолета горизонтальным способом. Так как тяга двигателя была несколько меньше нужной для обеспечения вертикального взлета, то предусматривалось использование четырех твердотопливных ракетных ускорителей "Шмиддинг", работающих 10 секунд и затем сбрасывающихся.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После старта на высоте 170-200м сбрасывались ускорители и включался автопилот, управляемый по радио с земли.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 1.5-3км от цели пилот должен был отключить автопилот, сбросить носовой обтекатель, приготовить ракеты, сблизиться с целью и пустить все ракеты одним залпом. Так как задачей пилота было только направить самолет на цель, планировалось использовать летчиков без особой подготовки - только инструктаж на земле. После выполнения атаки пилот отстегивал ремни, отсоединял штурвал и сбрасывал носовую часть фюзеляжа. Одновременно открывался парашют в задней части фюзеляжа. Последующее торможение задней части фюзеляжа как был откидывало пилота вперед от самолета, после чего летчик открывал свой парашют обычным способом.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Поддержка программы Ва.349 была такой сильной, что первая партия из 50 опытных машин была закончена на заводе в Вальдзе за три месяца с момента начала работ. а этой стадии планировалось использовать все 50 машин для безмоторных испытаний. Первый планирующие полет был совершен под Юрбергом в ноябре 1944г. Ва.349 был загружен до 1700кг и поднят на высоту 6000м буксировщиком Hе.111. Первая попытка беспилотного вертикального старта была предпринята 18 декабря 1944г. Испытания закончились неудачей - Ва.349 даже не сошел с направляющих, так как ускорители прогорели в местах проводки зажигания. Через четыре дня последовала вторая попытка. а этот раз самолет сошел с направляющих и исчез в облаках на высоте 750м.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Далее успешно были запущены еще десять беспилотных Ва.349 (15139).</w:t>
      </w:r>
    </w:p>
    <w:p w14:paraId="1D375576" w14:textId="77777777" w:rsidR="00AD0763" w:rsidRPr="00070ADE" w:rsidRDefault="00AD0763" w:rsidP="00B56F90">
      <w:pPr>
        <w:spacing w:after="0" w:line="240" w:lineRule="auto"/>
        <w:jc w:val="both"/>
        <w:rPr>
          <w:rFonts w:ascii="Times New Roman" w:hAnsi="Times New Roman"/>
          <w:color w:val="000000" w:themeColor="text1"/>
          <w:sz w:val="16"/>
          <w:szCs w:val="16"/>
        </w:rPr>
      </w:pPr>
    </w:p>
    <w:p w14:paraId="6110A7BD" w14:textId="77777777" w:rsidR="00D73CDA" w:rsidRPr="00070ADE" w:rsidRDefault="00D73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весне 1944 г. ситуация с налетами дневных бомбардировщиков союзни</w:t>
      </w:r>
      <w:r w:rsidRPr="00070ADE">
        <w:rPr>
          <w:rFonts w:ascii="Times New Roman" w:hAnsi="Times New Roman"/>
          <w:color w:val="000000" w:themeColor="text1"/>
          <w:sz w:val="16"/>
          <w:szCs w:val="16"/>
        </w:rPr>
        <w:softHyphen/>
        <w:t>ков на германские промышленные центры стала критической. Имевшие- ел средства ПВО не справлялись, и верховное командование было готово рассмотреть любые, даже самые нео</w:t>
      </w:r>
      <w:r w:rsidRPr="00070ADE">
        <w:rPr>
          <w:rFonts w:ascii="Times New Roman" w:hAnsi="Times New Roman"/>
          <w:color w:val="000000" w:themeColor="text1"/>
          <w:sz w:val="16"/>
          <w:szCs w:val="16"/>
        </w:rPr>
        <w:softHyphen/>
        <w:t>бычные, предложения по перехвату бомбардировочных соединений.</w:t>
      </w:r>
    </w:p>
    <w:p w14:paraId="56FFFAF0" w14:textId="77777777" w:rsidR="00D73CDA" w:rsidRPr="00070ADE" w:rsidRDefault="00D73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 из них выдвинул технический директор фирмы Gerhard Fieseler Werke Эрих Бахем (Erich Bachem). который предложил проект вертикально взлета</w:t>
      </w:r>
      <w:r w:rsidRPr="00070ADE">
        <w:rPr>
          <w:rFonts w:ascii="Times New Roman" w:hAnsi="Times New Roman"/>
          <w:color w:val="000000" w:themeColor="text1"/>
          <w:sz w:val="16"/>
          <w:szCs w:val="16"/>
        </w:rPr>
        <w:softHyphen/>
        <w:t>ющего одноразового перехватчика 1 ВР.20 Natter («Гадюка»). Дешевые и неде</w:t>
      </w:r>
      <w:r w:rsidRPr="00070ADE">
        <w:rPr>
          <w:rFonts w:ascii="Times New Roman" w:hAnsi="Times New Roman"/>
          <w:color w:val="000000" w:themeColor="text1"/>
          <w:sz w:val="16"/>
          <w:szCs w:val="16"/>
        </w:rPr>
        <w:softHyphen/>
        <w:t>фицитные материалы применялисъ в каждом узле: спасали только пилота и ракетный двигатель, которые могли ис</w:t>
      </w:r>
      <w:r w:rsidRPr="00070ADE">
        <w:rPr>
          <w:rFonts w:ascii="Times New Roman" w:hAnsi="Times New Roman"/>
          <w:color w:val="000000" w:themeColor="text1"/>
          <w:sz w:val="16"/>
          <w:szCs w:val="16"/>
        </w:rPr>
        <w:softHyphen/>
        <w:t>пользовать повторно.</w:t>
      </w:r>
    </w:p>
    <w:p w14:paraId="354ABE00" w14:textId="77777777" w:rsidR="00D73CDA" w:rsidRPr="00070ADE" w:rsidRDefault="00D73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Получив много других предложений, в начале лета RLM выбрало на конкурсной основе для испытаний проект Хейнкеля-Р1077 «Юлия». Проект Бахема бьл инициативным и к тому же выдвигался необычным способом - через генерала истребительной авиации Адольфа Илланда. Технический департамент RLM отклонил проект: одноразовый боевой самолет казался нонсенсом...</w:t>
      </w:r>
    </w:p>
    <w:p w14:paraId="0F67E6A9" w14:textId="77777777" w:rsidR="00D73CDA" w:rsidRPr="00070ADE" w:rsidRDefault="00D73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Убежденный в реальности проекта. Бахем не смирился с поражением и за</w:t>
      </w:r>
      <w:r w:rsidRPr="00070ADE">
        <w:rPr>
          <w:rFonts w:ascii="Times New Roman" w:hAnsi="Times New Roman"/>
          <w:color w:val="000000" w:themeColor="text1"/>
          <w:sz w:val="16"/>
          <w:szCs w:val="16"/>
        </w:rPr>
        <w:softHyphen/>
        <w:t>ручился поддержкой Генриха Гиммле</w:t>
      </w:r>
      <w:r w:rsidRPr="00070ADE">
        <w:rPr>
          <w:rFonts w:ascii="Times New Roman" w:hAnsi="Times New Roman"/>
          <w:color w:val="000000" w:themeColor="text1"/>
          <w:sz w:val="16"/>
          <w:szCs w:val="16"/>
        </w:rPr>
        <w:softHyphen/>
        <w:t>ра. Рейхсканцлер придал работе высо</w:t>
      </w:r>
      <w:r w:rsidRPr="00070ADE">
        <w:rPr>
          <w:rFonts w:ascii="Times New Roman" w:hAnsi="Times New Roman"/>
          <w:color w:val="000000" w:themeColor="text1"/>
          <w:sz w:val="16"/>
          <w:szCs w:val="16"/>
        </w:rPr>
        <w:softHyphen/>
        <w:t>чайший приоритет. Бахему выделили небольшой завод под Вальдзе. Разра</w:t>
      </w:r>
      <w:r w:rsidRPr="00070ADE">
        <w:rPr>
          <w:rFonts w:ascii="Times New Roman" w:hAnsi="Times New Roman"/>
          <w:color w:val="000000" w:themeColor="text1"/>
          <w:sz w:val="16"/>
          <w:szCs w:val="16"/>
        </w:rPr>
        <w:softHyphen/>
        <w:t>ботка началась в августе 1944 г. в рам</w:t>
      </w:r>
      <w:r w:rsidRPr="00070ADE">
        <w:rPr>
          <w:rFonts w:ascii="Times New Roman" w:hAnsi="Times New Roman"/>
          <w:color w:val="000000" w:themeColor="text1"/>
          <w:sz w:val="16"/>
          <w:szCs w:val="16"/>
        </w:rPr>
        <w:softHyphen/>
        <w:t>ках «Срочной программы истребите</w:t>
      </w:r>
      <w:r w:rsidRPr="00070ADE">
        <w:rPr>
          <w:rFonts w:ascii="Times New Roman" w:hAnsi="Times New Roman"/>
          <w:color w:val="000000" w:themeColor="text1"/>
          <w:sz w:val="16"/>
          <w:szCs w:val="16"/>
        </w:rPr>
        <w:softHyphen/>
        <w:t>лей». Двигатель делался на заводе Гель</w:t>
      </w:r>
      <w:r w:rsidRPr="00070ADE">
        <w:rPr>
          <w:rFonts w:ascii="Times New Roman" w:hAnsi="Times New Roman"/>
          <w:color w:val="000000" w:themeColor="text1"/>
          <w:sz w:val="16"/>
          <w:szCs w:val="16"/>
        </w:rPr>
        <w:softHyphen/>
        <w:t>мута Вальтера на базе ЖРД «Кометы». При проектировании широко исполь</w:t>
      </w:r>
      <w:r w:rsidRPr="00070ADE">
        <w:rPr>
          <w:rFonts w:ascii="Times New Roman" w:hAnsi="Times New Roman"/>
          <w:color w:val="000000" w:themeColor="text1"/>
          <w:sz w:val="16"/>
          <w:szCs w:val="16"/>
        </w:rPr>
        <w:softHyphen/>
        <w:t>зовали продувки моделей в АДТ в Брау</w:t>
      </w:r>
      <w:r w:rsidRPr="00070ADE">
        <w:rPr>
          <w:rFonts w:ascii="Times New Roman" w:hAnsi="Times New Roman"/>
          <w:color w:val="000000" w:themeColor="text1"/>
          <w:sz w:val="16"/>
          <w:szCs w:val="16"/>
        </w:rPr>
        <w:softHyphen/>
        <w:t>ншвейге, получив характеристики до скорости М=0,95. Управление само</w:t>
      </w:r>
      <w:r w:rsidRPr="00070ADE">
        <w:rPr>
          <w:rFonts w:ascii="Times New Roman" w:hAnsi="Times New Roman"/>
          <w:color w:val="000000" w:themeColor="text1"/>
          <w:sz w:val="16"/>
          <w:szCs w:val="16"/>
        </w:rPr>
        <w:softHyphen/>
        <w:t>летом должно было быть настолько простым, что предполагалось исполь</w:t>
      </w:r>
      <w:r w:rsidRPr="00070ADE">
        <w:rPr>
          <w:rFonts w:ascii="Times New Roman" w:hAnsi="Times New Roman"/>
          <w:color w:val="000000" w:themeColor="text1"/>
          <w:sz w:val="16"/>
          <w:szCs w:val="16"/>
        </w:rPr>
        <w:softHyphen/>
        <w:t>зовать летчиков без специальной под</w:t>
      </w:r>
      <w:r w:rsidRPr="00070ADE">
        <w:rPr>
          <w:rFonts w:ascii="Times New Roman" w:hAnsi="Times New Roman"/>
          <w:color w:val="000000" w:themeColor="text1"/>
          <w:sz w:val="16"/>
          <w:szCs w:val="16"/>
        </w:rPr>
        <w:softHyphen/>
        <w:t>готовки (только инструктаж на земле) (23388).</w:t>
      </w:r>
    </w:p>
    <w:p w14:paraId="2008A103" w14:textId="77777777" w:rsidR="00D73CDA" w:rsidRPr="00070ADE" w:rsidRDefault="00D73CDA" w:rsidP="00B56F90">
      <w:pPr>
        <w:spacing w:after="0" w:line="240" w:lineRule="auto"/>
        <w:jc w:val="both"/>
        <w:rPr>
          <w:rFonts w:ascii="Times New Roman" w:hAnsi="Times New Roman"/>
          <w:color w:val="000000" w:themeColor="text1"/>
          <w:sz w:val="16"/>
          <w:szCs w:val="16"/>
        </w:rPr>
      </w:pPr>
    </w:p>
    <w:p w14:paraId="6ED65B51"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07A2F42"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73C22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 марту 1944 г. завод № 292 перешел с поточно-стендовой (самолеты стоят, а бригады сборщиков движутся) на поточно-конвейерную сборку самолетов с принудительным графиком движения самолетов по конвейеру, при котором индивидуальная подгонка деталей становилась невозможной. Новый производственный метод внедрялся уже в расчете на новую машину - Як-3, которая начала выпускаться параллельно с Як-1 при постепенном уменьшении объемов изготовления последнего. В июле 1944 г. выпуск Як-1 был прекращен, а сдача "готовых к бою" самолетов в части продолжалась еще до октября (табл.). </w:t>
      </w:r>
    </w:p>
    <w:p w14:paraId="25EB4CF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 истребителей Як-1 заводом № 292 в 1944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990"/>
        <w:gridCol w:w="708"/>
        <w:gridCol w:w="851"/>
        <w:gridCol w:w="709"/>
        <w:gridCol w:w="708"/>
        <w:gridCol w:w="709"/>
        <w:gridCol w:w="851"/>
        <w:gridCol w:w="708"/>
        <w:gridCol w:w="708"/>
        <w:gridCol w:w="708"/>
        <w:gridCol w:w="708"/>
        <w:gridCol w:w="708"/>
        <w:gridCol w:w="708"/>
      </w:tblGrid>
      <w:tr w:rsidR="004D4663" w:rsidRPr="00070ADE" w14:paraId="04293135" w14:textId="77777777">
        <w:tc>
          <w:tcPr>
            <w:tcW w:w="1245" w:type="dxa"/>
            <w:tcBorders>
              <w:top w:val="single" w:sz="12" w:space="0" w:color="auto"/>
            </w:tcBorders>
          </w:tcPr>
          <w:p w14:paraId="4EF3BB6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Производственные показатели</w:t>
            </w:r>
          </w:p>
        </w:tc>
        <w:tc>
          <w:tcPr>
            <w:tcW w:w="990" w:type="dxa"/>
            <w:tcBorders>
              <w:top w:val="single" w:sz="12" w:space="0" w:color="auto"/>
            </w:tcBorders>
          </w:tcPr>
          <w:p w14:paraId="77692FF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Январь </w:t>
            </w:r>
          </w:p>
        </w:tc>
        <w:tc>
          <w:tcPr>
            <w:tcW w:w="708" w:type="dxa"/>
            <w:tcBorders>
              <w:top w:val="single" w:sz="12" w:space="0" w:color="auto"/>
            </w:tcBorders>
          </w:tcPr>
          <w:p w14:paraId="1960FC0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w:t>
            </w:r>
          </w:p>
        </w:tc>
        <w:tc>
          <w:tcPr>
            <w:tcW w:w="851" w:type="dxa"/>
            <w:tcBorders>
              <w:top w:val="single" w:sz="12" w:space="0" w:color="auto"/>
            </w:tcBorders>
          </w:tcPr>
          <w:p w14:paraId="38B088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Март</w:t>
            </w:r>
          </w:p>
        </w:tc>
        <w:tc>
          <w:tcPr>
            <w:tcW w:w="709" w:type="dxa"/>
            <w:tcBorders>
              <w:top w:val="single" w:sz="12" w:space="0" w:color="auto"/>
            </w:tcBorders>
          </w:tcPr>
          <w:p w14:paraId="6780FE4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Апрель</w:t>
            </w:r>
          </w:p>
        </w:tc>
        <w:tc>
          <w:tcPr>
            <w:tcW w:w="708" w:type="dxa"/>
            <w:tcBorders>
              <w:top w:val="single" w:sz="12" w:space="0" w:color="auto"/>
            </w:tcBorders>
          </w:tcPr>
          <w:p w14:paraId="5AA6D28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Май</w:t>
            </w:r>
          </w:p>
        </w:tc>
        <w:tc>
          <w:tcPr>
            <w:tcW w:w="709" w:type="dxa"/>
            <w:tcBorders>
              <w:top w:val="single" w:sz="12" w:space="0" w:color="auto"/>
            </w:tcBorders>
          </w:tcPr>
          <w:p w14:paraId="4CE6CFB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Июнь</w:t>
            </w:r>
          </w:p>
        </w:tc>
        <w:tc>
          <w:tcPr>
            <w:tcW w:w="851" w:type="dxa"/>
            <w:tcBorders>
              <w:top w:val="single" w:sz="12" w:space="0" w:color="auto"/>
            </w:tcBorders>
          </w:tcPr>
          <w:p w14:paraId="4DBAACE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Июльо</w:t>
            </w:r>
          </w:p>
        </w:tc>
        <w:tc>
          <w:tcPr>
            <w:tcW w:w="708" w:type="dxa"/>
            <w:tcBorders>
              <w:top w:val="single" w:sz="12" w:space="0" w:color="auto"/>
            </w:tcBorders>
          </w:tcPr>
          <w:p w14:paraId="0D88714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Август</w:t>
            </w:r>
          </w:p>
        </w:tc>
        <w:tc>
          <w:tcPr>
            <w:tcW w:w="708" w:type="dxa"/>
            <w:tcBorders>
              <w:top w:val="single" w:sz="12" w:space="0" w:color="auto"/>
            </w:tcBorders>
          </w:tcPr>
          <w:p w14:paraId="466DF28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Сентябрь</w:t>
            </w:r>
          </w:p>
        </w:tc>
        <w:tc>
          <w:tcPr>
            <w:tcW w:w="708" w:type="dxa"/>
            <w:tcBorders>
              <w:top w:val="single" w:sz="12" w:space="0" w:color="auto"/>
            </w:tcBorders>
          </w:tcPr>
          <w:p w14:paraId="02FE010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Октябрь</w:t>
            </w:r>
          </w:p>
        </w:tc>
        <w:tc>
          <w:tcPr>
            <w:tcW w:w="708" w:type="dxa"/>
            <w:tcBorders>
              <w:top w:val="single" w:sz="12" w:space="0" w:color="auto"/>
            </w:tcBorders>
          </w:tcPr>
          <w:p w14:paraId="657B520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Ноябрь</w:t>
            </w:r>
          </w:p>
        </w:tc>
        <w:tc>
          <w:tcPr>
            <w:tcW w:w="708" w:type="dxa"/>
            <w:tcBorders>
              <w:top w:val="single" w:sz="12" w:space="0" w:color="auto"/>
            </w:tcBorders>
          </w:tcPr>
          <w:p w14:paraId="4706852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w:t>
            </w:r>
          </w:p>
        </w:tc>
        <w:tc>
          <w:tcPr>
            <w:tcW w:w="708" w:type="dxa"/>
            <w:tcBorders>
              <w:top w:val="single" w:sz="12" w:space="0" w:color="auto"/>
            </w:tcBorders>
          </w:tcPr>
          <w:p w14:paraId="602EF2E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tc>
      </w:tr>
      <w:tr w:rsidR="004D4663" w:rsidRPr="00070ADE" w14:paraId="22336219" w14:textId="77777777">
        <w:tc>
          <w:tcPr>
            <w:tcW w:w="1245" w:type="dxa"/>
          </w:tcPr>
          <w:p w14:paraId="3B5174F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 выпуска</w:t>
            </w:r>
          </w:p>
        </w:tc>
        <w:tc>
          <w:tcPr>
            <w:tcW w:w="990" w:type="dxa"/>
          </w:tcPr>
          <w:p w14:paraId="3F007F0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260</w:t>
            </w:r>
          </w:p>
        </w:tc>
        <w:tc>
          <w:tcPr>
            <w:tcW w:w="708" w:type="dxa"/>
          </w:tcPr>
          <w:p w14:paraId="1116B10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235</w:t>
            </w:r>
          </w:p>
        </w:tc>
        <w:tc>
          <w:tcPr>
            <w:tcW w:w="851" w:type="dxa"/>
          </w:tcPr>
          <w:p w14:paraId="2E9104F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207</w:t>
            </w:r>
          </w:p>
        </w:tc>
        <w:tc>
          <w:tcPr>
            <w:tcW w:w="709" w:type="dxa"/>
          </w:tcPr>
          <w:p w14:paraId="0C78923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155</w:t>
            </w:r>
          </w:p>
        </w:tc>
        <w:tc>
          <w:tcPr>
            <w:tcW w:w="708" w:type="dxa"/>
          </w:tcPr>
          <w:p w14:paraId="088ED0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w:t>
            </w:r>
          </w:p>
        </w:tc>
        <w:tc>
          <w:tcPr>
            <w:tcW w:w="709" w:type="dxa"/>
          </w:tcPr>
          <w:p w14:paraId="69D25A2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w:t>
            </w:r>
          </w:p>
        </w:tc>
        <w:tc>
          <w:tcPr>
            <w:tcW w:w="851" w:type="dxa"/>
          </w:tcPr>
          <w:p w14:paraId="45D9427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AD6AC5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89E3D6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9A764C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5D2DD0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575ECC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809273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1050</w:t>
            </w:r>
          </w:p>
        </w:tc>
      </w:tr>
      <w:tr w:rsidR="004D4663" w:rsidRPr="00070ADE" w14:paraId="52CC5647" w14:textId="77777777">
        <w:tc>
          <w:tcPr>
            <w:tcW w:w="1245" w:type="dxa"/>
          </w:tcPr>
          <w:p w14:paraId="2847142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Сдачи готовых к бою</w:t>
            </w:r>
          </w:p>
        </w:tc>
        <w:tc>
          <w:tcPr>
            <w:tcW w:w="990" w:type="dxa"/>
          </w:tcPr>
          <w:p w14:paraId="49DBEE8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260</w:t>
            </w:r>
          </w:p>
        </w:tc>
        <w:tc>
          <w:tcPr>
            <w:tcW w:w="708" w:type="dxa"/>
          </w:tcPr>
          <w:p w14:paraId="155BC31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319</w:t>
            </w:r>
          </w:p>
        </w:tc>
        <w:tc>
          <w:tcPr>
            <w:tcW w:w="851" w:type="dxa"/>
          </w:tcPr>
          <w:p w14:paraId="7C58D6D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73810B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155</w:t>
            </w:r>
          </w:p>
        </w:tc>
        <w:tc>
          <w:tcPr>
            <w:tcW w:w="708" w:type="dxa"/>
          </w:tcPr>
          <w:p w14:paraId="3CE5FEF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w:t>
            </w:r>
          </w:p>
        </w:tc>
        <w:tc>
          <w:tcPr>
            <w:tcW w:w="709" w:type="dxa"/>
          </w:tcPr>
          <w:p w14:paraId="5E7241E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566F3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EF665D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DAD5AB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E7E237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823E90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4B0303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636E3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075B6BC" w14:textId="77777777">
        <w:tc>
          <w:tcPr>
            <w:tcW w:w="1245" w:type="dxa"/>
          </w:tcPr>
          <w:p w14:paraId="0416C29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Фактически собрано</w:t>
            </w:r>
          </w:p>
        </w:tc>
        <w:tc>
          <w:tcPr>
            <w:tcW w:w="990" w:type="dxa"/>
          </w:tcPr>
          <w:p w14:paraId="78345B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275</w:t>
            </w:r>
          </w:p>
        </w:tc>
        <w:tc>
          <w:tcPr>
            <w:tcW w:w="708" w:type="dxa"/>
          </w:tcPr>
          <w:p w14:paraId="0BA6F0E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246</w:t>
            </w:r>
          </w:p>
        </w:tc>
        <w:tc>
          <w:tcPr>
            <w:tcW w:w="851" w:type="dxa"/>
          </w:tcPr>
          <w:p w14:paraId="1E7498C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217</w:t>
            </w:r>
          </w:p>
        </w:tc>
        <w:tc>
          <w:tcPr>
            <w:tcW w:w="709" w:type="dxa"/>
          </w:tcPr>
          <w:p w14:paraId="7A15A90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163</w:t>
            </w:r>
          </w:p>
        </w:tc>
        <w:tc>
          <w:tcPr>
            <w:tcW w:w="708" w:type="dxa"/>
          </w:tcPr>
          <w:p w14:paraId="2C01C41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w:t>
            </w:r>
          </w:p>
        </w:tc>
        <w:tc>
          <w:tcPr>
            <w:tcW w:w="709" w:type="dxa"/>
          </w:tcPr>
          <w:p w14:paraId="5ACB69E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w:t>
            </w:r>
          </w:p>
        </w:tc>
        <w:tc>
          <w:tcPr>
            <w:tcW w:w="851" w:type="dxa"/>
          </w:tcPr>
          <w:p w14:paraId="48AAF02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4 </w:t>
            </w:r>
          </w:p>
        </w:tc>
        <w:tc>
          <w:tcPr>
            <w:tcW w:w="708" w:type="dxa"/>
          </w:tcPr>
          <w:p w14:paraId="60CBE03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8653B8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EA88D1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338B0C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0E26F7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9DB631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1128</w:t>
            </w:r>
          </w:p>
        </w:tc>
      </w:tr>
      <w:tr w:rsidR="004D4663" w:rsidRPr="00070ADE" w14:paraId="08090C44" w14:textId="77777777">
        <w:tc>
          <w:tcPr>
            <w:tcW w:w="1245" w:type="dxa"/>
          </w:tcPr>
          <w:p w14:paraId="7EF02AE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Сдано готовых к бою</w:t>
            </w:r>
          </w:p>
        </w:tc>
        <w:tc>
          <w:tcPr>
            <w:tcW w:w="990" w:type="dxa"/>
          </w:tcPr>
          <w:p w14:paraId="5EAB48A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225</w:t>
            </w:r>
          </w:p>
        </w:tc>
        <w:tc>
          <w:tcPr>
            <w:tcW w:w="708" w:type="dxa"/>
          </w:tcPr>
          <w:p w14:paraId="6C0EC2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247</w:t>
            </w:r>
          </w:p>
        </w:tc>
        <w:tc>
          <w:tcPr>
            <w:tcW w:w="851" w:type="dxa"/>
          </w:tcPr>
          <w:p w14:paraId="0D4F2D6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226</w:t>
            </w:r>
          </w:p>
        </w:tc>
        <w:tc>
          <w:tcPr>
            <w:tcW w:w="709" w:type="dxa"/>
          </w:tcPr>
          <w:p w14:paraId="318EB2F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208</w:t>
            </w:r>
          </w:p>
        </w:tc>
        <w:tc>
          <w:tcPr>
            <w:tcW w:w="708" w:type="dxa"/>
          </w:tcPr>
          <w:p w14:paraId="4A75B8E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w:t>
            </w:r>
          </w:p>
        </w:tc>
        <w:tc>
          <w:tcPr>
            <w:tcW w:w="709" w:type="dxa"/>
          </w:tcPr>
          <w:p w14:paraId="21434EB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w:t>
            </w:r>
          </w:p>
        </w:tc>
        <w:tc>
          <w:tcPr>
            <w:tcW w:w="851" w:type="dxa"/>
          </w:tcPr>
          <w:p w14:paraId="2E2F58F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62 </w:t>
            </w:r>
          </w:p>
        </w:tc>
        <w:tc>
          <w:tcPr>
            <w:tcW w:w="708" w:type="dxa"/>
          </w:tcPr>
          <w:p w14:paraId="69749BB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tc>
        <w:tc>
          <w:tcPr>
            <w:tcW w:w="708" w:type="dxa"/>
          </w:tcPr>
          <w:p w14:paraId="3986F78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708" w:type="dxa"/>
          </w:tcPr>
          <w:p w14:paraId="09D3B2E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708" w:type="dxa"/>
          </w:tcPr>
          <w:p w14:paraId="19839AE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8DAF00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237216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1188</w:t>
            </w:r>
          </w:p>
        </w:tc>
      </w:tr>
      <w:tr w:rsidR="004D4663" w:rsidRPr="00070ADE" w14:paraId="0B3BC724" w14:textId="77777777">
        <w:tc>
          <w:tcPr>
            <w:tcW w:w="1245" w:type="dxa"/>
          </w:tcPr>
          <w:p w14:paraId="5E2847B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Отправлено с завода</w:t>
            </w:r>
          </w:p>
        </w:tc>
        <w:tc>
          <w:tcPr>
            <w:tcW w:w="990" w:type="dxa"/>
          </w:tcPr>
          <w:p w14:paraId="4A55495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157</w:t>
            </w:r>
          </w:p>
        </w:tc>
        <w:tc>
          <w:tcPr>
            <w:tcW w:w="708" w:type="dxa"/>
          </w:tcPr>
          <w:p w14:paraId="44EAADF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257</w:t>
            </w:r>
          </w:p>
        </w:tc>
        <w:tc>
          <w:tcPr>
            <w:tcW w:w="851" w:type="dxa"/>
          </w:tcPr>
          <w:p w14:paraId="7A2010F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217</w:t>
            </w:r>
          </w:p>
        </w:tc>
        <w:tc>
          <w:tcPr>
            <w:tcW w:w="709" w:type="dxa"/>
          </w:tcPr>
          <w:p w14:paraId="3B382E8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259</w:t>
            </w:r>
          </w:p>
        </w:tc>
        <w:tc>
          <w:tcPr>
            <w:tcW w:w="708" w:type="dxa"/>
          </w:tcPr>
          <w:p w14:paraId="755D8D2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119</w:t>
            </w:r>
          </w:p>
        </w:tc>
        <w:tc>
          <w:tcPr>
            <w:tcW w:w="709" w:type="dxa"/>
          </w:tcPr>
          <w:p w14:paraId="20FC7C5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3ADC9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A2C5AA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29F7AF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B3C05B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8B4A7C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5957D2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2EDE37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FF6E1E4" w14:textId="77777777">
        <w:tc>
          <w:tcPr>
            <w:tcW w:w="1245" w:type="dxa"/>
            <w:tcBorders>
              <w:bottom w:val="single" w:sz="12" w:space="0" w:color="auto"/>
            </w:tcBorders>
          </w:tcPr>
          <w:p w14:paraId="0F53561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Осталось на заводе</w:t>
            </w:r>
          </w:p>
        </w:tc>
        <w:tc>
          <w:tcPr>
            <w:tcW w:w="990" w:type="dxa"/>
            <w:tcBorders>
              <w:bottom w:val="single" w:sz="12" w:space="0" w:color="auto"/>
            </w:tcBorders>
          </w:tcPr>
          <w:p w14:paraId="0B19A78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207</w:t>
            </w:r>
          </w:p>
        </w:tc>
        <w:tc>
          <w:tcPr>
            <w:tcW w:w="708" w:type="dxa"/>
            <w:tcBorders>
              <w:bottom w:val="single" w:sz="12" w:space="0" w:color="auto"/>
            </w:tcBorders>
          </w:tcPr>
          <w:p w14:paraId="723D190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196</w:t>
            </w:r>
          </w:p>
        </w:tc>
        <w:tc>
          <w:tcPr>
            <w:tcW w:w="851" w:type="dxa"/>
            <w:tcBorders>
              <w:bottom w:val="single" w:sz="12" w:space="0" w:color="auto"/>
            </w:tcBorders>
          </w:tcPr>
          <w:p w14:paraId="2CF6B8E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196</w:t>
            </w:r>
          </w:p>
        </w:tc>
        <w:tc>
          <w:tcPr>
            <w:tcW w:w="709" w:type="dxa"/>
            <w:tcBorders>
              <w:bottom w:val="single" w:sz="12" w:space="0" w:color="auto"/>
            </w:tcBorders>
          </w:tcPr>
          <w:p w14:paraId="101F493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708" w:type="dxa"/>
            <w:tcBorders>
              <w:bottom w:val="single" w:sz="12" w:space="0" w:color="auto"/>
            </w:tcBorders>
          </w:tcPr>
          <w:p w14:paraId="1B485C4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116</w:t>
            </w:r>
          </w:p>
        </w:tc>
        <w:tc>
          <w:tcPr>
            <w:tcW w:w="709" w:type="dxa"/>
            <w:tcBorders>
              <w:bottom w:val="single" w:sz="12" w:space="0" w:color="auto"/>
            </w:tcBorders>
          </w:tcPr>
          <w:p w14:paraId="420A055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157A93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1A889D1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06007B7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5B8C54F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31A4B3C4"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169141D8"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5D97B49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r>
    </w:tbl>
    <w:p w14:paraId="5D4498A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Оставшиеся на заводе по различным причинам последние 27 самолетов Як-1 были разобраны и сданы ВВС КА россыпью как запасные части. Таким образом, всего за период с 1939 по 1944 гг. было выпущено 8673 истребителя Як-1 (табл.).</w:t>
      </w:r>
    </w:p>
    <w:p w14:paraId="2BA2358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 истребителей Як-1 заводами НКАП в 1939-1944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0"/>
        <w:gridCol w:w="800"/>
        <w:gridCol w:w="800"/>
        <w:gridCol w:w="800"/>
        <w:gridCol w:w="800"/>
        <w:gridCol w:w="800"/>
        <w:gridCol w:w="800"/>
        <w:gridCol w:w="800"/>
      </w:tblGrid>
      <w:tr w:rsidR="004D4663" w:rsidRPr="00070ADE" w14:paraId="597CDC9D" w14:textId="77777777">
        <w:tc>
          <w:tcPr>
            <w:tcW w:w="800" w:type="dxa"/>
            <w:tcBorders>
              <w:top w:val="single" w:sz="12" w:space="0" w:color="auto"/>
            </w:tcBorders>
          </w:tcPr>
          <w:p w14:paraId="08EC98F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Завод-изготовитель</w:t>
            </w:r>
          </w:p>
        </w:tc>
        <w:tc>
          <w:tcPr>
            <w:tcW w:w="800" w:type="dxa"/>
            <w:tcBorders>
              <w:top w:val="single" w:sz="12" w:space="0" w:color="auto"/>
            </w:tcBorders>
          </w:tcPr>
          <w:p w14:paraId="77B43D0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1939 г.</w:t>
            </w:r>
          </w:p>
        </w:tc>
        <w:tc>
          <w:tcPr>
            <w:tcW w:w="800" w:type="dxa"/>
            <w:tcBorders>
              <w:top w:val="single" w:sz="12" w:space="0" w:color="auto"/>
            </w:tcBorders>
          </w:tcPr>
          <w:p w14:paraId="589609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1940 г.</w:t>
            </w:r>
          </w:p>
        </w:tc>
        <w:tc>
          <w:tcPr>
            <w:tcW w:w="800" w:type="dxa"/>
            <w:tcBorders>
              <w:top w:val="single" w:sz="12" w:space="0" w:color="auto"/>
            </w:tcBorders>
          </w:tcPr>
          <w:p w14:paraId="0EF5DE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1941 г.</w:t>
            </w:r>
          </w:p>
        </w:tc>
        <w:tc>
          <w:tcPr>
            <w:tcW w:w="800" w:type="dxa"/>
            <w:tcBorders>
              <w:top w:val="single" w:sz="12" w:space="0" w:color="auto"/>
            </w:tcBorders>
          </w:tcPr>
          <w:p w14:paraId="09654D7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1942 г.</w:t>
            </w:r>
          </w:p>
        </w:tc>
        <w:tc>
          <w:tcPr>
            <w:tcW w:w="800" w:type="dxa"/>
            <w:tcBorders>
              <w:top w:val="single" w:sz="12" w:space="0" w:color="auto"/>
            </w:tcBorders>
          </w:tcPr>
          <w:p w14:paraId="0E59588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 г.</w:t>
            </w:r>
          </w:p>
        </w:tc>
        <w:tc>
          <w:tcPr>
            <w:tcW w:w="800" w:type="dxa"/>
            <w:tcBorders>
              <w:top w:val="single" w:sz="12" w:space="0" w:color="auto"/>
            </w:tcBorders>
          </w:tcPr>
          <w:p w14:paraId="14A4D58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 г.</w:t>
            </w:r>
          </w:p>
        </w:tc>
        <w:tc>
          <w:tcPr>
            <w:tcW w:w="800" w:type="dxa"/>
            <w:tcBorders>
              <w:top w:val="single" w:sz="12" w:space="0" w:color="auto"/>
            </w:tcBorders>
          </w:tcPr>
          <w:p w14:paraId="12A1852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tc>
      </w:tr>
      <w:tr w:rsidR="004D4663" w:rsidRPr="00070ADE" w14:paraId="7DA6DF09" w14:textId="77777777">
        <w:tc>
          <w:tcPr>
            <w:tcW w:w="800" w:type="dxa"/>
          </w:tcPr>
          <w:p w14:paraId="2628518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47</w:t>
            </w:r>
          </w:p>
        </w:tc>
        <w:tc>
          <w:tcPr>
            <w:tcW w:w="800" w:type="dxa"/>
          </w:tcPr>
          <w:p w14:paraId="73CC370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7C67EDF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3A21289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25203A6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06D1E5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531CDC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72B0A49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r>
      <w:tr w:rsidR="004D4663" w:rsidRPr="00070ADE" w14:paraId="568D9D51" w14:textId="77777777">
        <w:tc>
          <w:tcPr>
            <w:tcW w:w="800" w:type="dxa"/>
          </w:tcPr>
          <w:p w14:paraId="05C766A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№115</w:t>
            </w:r>
          </w:p>
        </w:tc>
        <w:tc>
          <w:tcPr>
            <w:tcW w:w="800" w:type="dxa"/>
          </w:tcPr>
          <w:p w14:paraId="4DBA4E1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800" w:type="dxa"/>
          </w:tcPr>
          <w:p w14:paraId="7F539DE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800" w:type="dxa"/>
          </w:tcPr>
          <w:p w14:paraId="45DC976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00" w:type="dxa"/>
          </w:tcPr>
          <w:p w14:paraId="3AAA36F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00" w:type="dxa"/>
          </w:tcPr>
          <w:p w14:paraId="2F0AAF8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00" w:type="dxa"/>
          </w:tcPr>
          <w:p w14:paraId="47FD21D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00" w:type="dxa"/>
          </w:tcPr>
          <w:p w14:paraId="5509083B"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r>
      <w:tr w:rsidR="004D4663" w:rsidRPr="00070ADE" w14:paraId="3BC3B4E6" w14:textId="77777777">
        <w:tc>
          <w:tcPr>
            <w:tcW w:w="800" w:type="dxa"/>
          </w:tcPr>
          <w:p w14:paraId="11D91D1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292</w:t>
            </w:r>
          </w:p>
        </w:tc>
        <w:tc>
          <w:tcPr>
            <w:tcW w:w="800" w:type="dxa"/>
          </w:tcPr>
          <w:p w14:paraId="513EE8E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00" w:type="dxa"/>
          </w:tcPr>
          <w:p w14:paraId="757AD4E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tc>
        <w:tc>
          <w:tcPr>
            <w:tcW w:w="800" w:type="dxa"/>
          </w:tcPr>
          <w:p w14:paraId="044708C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1212</w:t>
            </w:r>
          </w:p>
        </w:tc>
        <w:tc>
          <w:tcPr>
            <w:tcW w:w="800" w:type="dxa"/>
          </w:tcPr>
          <w:p w14:paraId="34285FD5"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3477</w:t>
            </w:r>
          </w:p>
        </w:tc>
        <w:tc>
          <w:tcPr>
            <w:tcW w:w="800" w:type="dxa"/>
          </w:tcPr>
          <w:p w14:paraId="0BF1484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2720</w:t>
            </w:r>
          </w:p>
        </w:tc>
        <w:tc>
          <w:tcPr>
            <w:tcW w:w="800" w:type="dxa"/>
          </w:tcPr>
          <w:p w14:paraId="426F3DE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1128</w:t>
            </w:r>
          </w:p>
        </w:tc>
        <w:tc>
          <w:tcPr>
            <w:tcW w:w="800" w:type="dxa"/>
          </w:tcPr>
          <w:p w14:paraId="40A602B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8553</w:t>
            </w:r>
          </w:p>
        </w:tc>
      </w:tr>
      <w:tr w:rsidR="004D4663" w:rsidRPr="00070ADE" w14:paraId="76BA71B9" w14:textId="77777777">
        <w:tc>
          <w:tcPr>
            <w:tcW w:w="800" w:type="dxa"/>
          </w:tcPr>
          <w:p w14:paraId="5DFFA3C9"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301</w:t>
            </w:r>
          </w:p>
        </w:tc>
        <w:tc>
          <w:tcPr>
            <w:tcW w:w="800" w:type="dxa"/>
          </w:tcPr>
          <w:p w14:paraId="333B33C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00" w:type="dxa"/>
          </w:tcPr>
          <w:p w14:paraId="013D55DF"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w:t>
            </w:r>
          </w:p>
        </w:tc>
        <w:tc>
          <w:tcPr>
            <w:tcW w:w="800" w:type="dxa"/>
          </w:tcPr>
          <w:p w14:paraId="29140EED"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w:t>
            </w:r>
          </w:p>
        </w:tc>
        <w:tc>
          <w:tcPr>
            <w:tcW w:w="800" w:type="dxa"/>
          </w:tcPr>
          <w:p w14:paraId="018D557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00" w:type="dxa"/>
          </w:tcPr>
          <w:p w14:paraId="2613B00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800" w:type="dxa"/>
          </w:tcPr>
          <w:p w14:paraId="5C53A6F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00" w:type="dxa"/>
          </w:tcPr>
          <w:p w14:paraId="1039067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117</w:t>
            </w:r>
          </w:p>
        </w:tc>
      </w:tr>
      <w:tr w:rsidR="004D4663" w:rsidRPr="00070ADE" w14:paraId="58E52719" w14:textId="77777777">
        <w:tc>
          <w:tcPr>
            <w:tcW w:w="800" w:type="dxa"/>
            <w:tcBorders>
              <w:bottom w:val="single" w:sz="12" w:space="0" w:color="auto"/>
            </w:tcBorders>
          </w:tcPr>
          <w:p w14:paraId="69A9CCA0"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800" w:type="dxa"/>
            <w:tcBorders>
              <w:bottom w:val="single" w:sz="12" w:space="0" w:color="auto"/>
            </w:tcBorders>
          </w:tcPr>
          <w:p w14:paraId="321C113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800" w:type="dxa"/>
            <w:tcBorders>
              <w:bottom w:val="single" w:sz="12" w:space="0" w:color="auto"/>
            </w:tcBorders>
          </w:tcPr>
          <w:p w14:paraId="79CDEEF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w:t>
            </w:r>
          </w:p>
        </w:tc>
        <w:tc>
          <w:tcPr>
            <w:tcW w:w="800" w:type="dxa"/>
            <w:tcBorders>
              <w:bottom w:val="single" w:sz="12" w:space="0" w:color="auto"/>
            </w:tcBorders>
          </w:tcPr>
          <w:p w14:paraId="6C55F842"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1281</w:t>
            </w:r>
          </w:p>
        </w:tc>
        <w:tc>
          <w:tcPr>
            <w:tcW w:w="800" w:type="dxa"/>
            <w:tcBorders>
              <w:bottom w:val="single" w:sz="12" w:space="0" w:color="auto"/>
            </w:tcBorders>
          </w:tcPr>
          <w:p w14:paraId="3921FD8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3477</w:t>
            </w:r>
          </w:p>
        </w:tc>
        <w:tc>
          <w:tcPr>
            <w:tcW w:w="800" w:type="dxa"/>
            <w:tcBorders>
              <w:bottom w:val="single" w:sz="12" w:space="0" w:color="auto"/>
            </w:tcBorders>
          </w:tcPr>
          <w:p w14:paraId="68080021"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2720</w:t>
            </w:r>
          </w:p>
        </w:tc>
        <w:tc>
          <w:tcPr>
            <w:tcW w:w="800" w:type="dxa"/>
            <w:tcBorders>
              <w:bottom w:val="single" w:sz="12" w:space="0" w:color="auto"/>
            </w:tcBorders>
          </w:tcPr>
          <w:p w14:paraId="15F9D4E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1128</w:t>
            </w:r>
          </w:p>
        </w:tc>
        <w:tc>
          <w:tcPr>
            <w:tcW w:w="800" w:type="dxa"/>
            <w:tcBorders>
              <w:bottom w:val="single" w:sz="12" w:space="0" w:color="auto"/>
            </w:tcBorders>
          </w:tcPr>
          <w:p w14:paraId="2C69260A"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8673</w:t>
            </w:r>
          </w:p>
        </w:tc>
      </w:tr>
    </w:tbl>
    <w:p w14:paraId="6A19BF4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Эти самолеты собраны из "россыпи" завода № 292 и учтены им в сводках о выпуске готовой продукции в I941 гг. Поэтому они и не включены в общую сумму.</w:t>
      </w:r>
    </w:p>
    <w:p w14:paraId="78CBCE6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сегодняшний день данные - 8673 выпущенных Як-1 - не окончательные и могут уточняться. Например, в это число входят 9 самолетов, которые были отправлены россыпью на завод № 47, но потом были возвращены. Были эти агрегаты использованы в 1942 году для текущей производственной программы или собраны под своими серийными номерами, и вошли или нет в отчетные цифры этого года пока неизвестно. Точно также пока неизвестно были ли включены в отчетные цифры два самолета И-26 переданные россыпью заводом №301 в 1940 году Саратовскому авиазаводу, из которых последний собрал две своих первых машины. Все известные автору расхождения в данных упомянуты в примечаниях к табл. (12048)</w:t>
      </w:r>
    </w:p>
    <w:p w14:paraId="3DBAF7F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67B91521" w14:textId="77777777" w:rsidR="00D73CDA" w:rsidRPr="00070ADE" w:rsidRDefault="00D73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марту 1944 г. завод № 292 перешел с поточно-стендовой (самолеты стоят, а бригады сборщиков движутся) на поточно-конвейерную сборку самолетов с принудительным графиком движения самолетов по конвейеру, при котором индивидуальная подгонка деталей становилась невозможной. Новый производственный метод внедрялся уже в расчете на новую машину - Як-3, которая начала выпускаться параллельно с Як-1 при постепенном уменьшении объемов изготовления последнего. В июле 1944 г. выпуск Як-1 был прекращен, а сдача готовых к бою самолетов в части продолжалась еще до октября (23451).</w:t>
      </w:r>
    </w:p>
    <w:p w14:paraId="426C76B8" w14:textId="77777777" w:rsidR="00D73CDA" w:rsidRPr="00070ADE" w:rsidRDefault="00D73CDA" w:rsidP="00B56F90">
      <w:pPr>
        <w:spacing w:after="0" w:line="240" w:lineRule="auto"/>
        <w:jc w:val="both"/>
        <w:rPr>
          <w:rFonts w:ascii="Times New Roman" w:hAnsi="Times New Roman"/>
          <w:color w:val="000000" w:themeColor="text1"/>
          <w:sz w:val="16"/>
          <w:szCs w:val="16"/>
        </w:rPr>
      </w:pPr>
    </w:p>
    <w:p w14:paraId="48C702B6" w14:textId="77777777" w:rsidR="00AD0763"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5BFED5E" w14:textId="77777777" w:rsidR="00AD0763" w:rsidRPr="00070ADE" w:rsidRDefault="00AD0763"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01DC2D" w14:textId="5581A836" w:rsidR="00AD0763" w:rsidRPr="00070ADE" w:rsidRDefault="00A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марту 1944 г. стало ясно, что плановые сроки строительства четырех НПЗ срываются. Общий вес ввозимого из США обо</w:t>
      </w:r>
      <w:r w:rsidRPr="00070ADE">
        <w:rPr>
          <w:rFonts w:ascii="Times New Roman" w:hAnsi="Times New Roman"/>
          <w:color w:val="000000" w:themeColor="text1"/>
          <w:sz w:val="16"/>
          <w:szCs w:val="16"/>
        </w:rPr>
        <w:softHyphen/>
        <w:t>рудования и материалов для НПЗ в Куйбышеве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 должен</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 был</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 составить 23 тыс. тонн, из них на 1 января 1944 г. было получено лишь 12,8 тыс. тонн; часть чертежей к марту 1944 г. из США не поступила. На заводе не хватало ра</w:t>
      </w:r>
      <w:r w:rsidRPr="00070ADE">
        <w:rPr>
          <w:rFonts w:ascii="Times New Roman" w:hAnsi="Times New Roman"/>
          <w:color w:val="000000" w:themeColor="text1"/>
          <w:sz w:val="16"/>
          <w:szCs w:val="16"/>
        </w:rPr>
        <w:softHyphen/>
        <w:t>бочих, и Куйбышевский обком просил вышестоящие органы выделить допол</w:t>
      </w:r>
      <w:r w:rsidRPr="00070ADE">
        <w:rPr>
          <w:rFonts w:ascii="Times New Roman" w:hAnsi="Times New Roman"/>
          <w:color w:val="000000" w:themeColor="text1"/>
          <w:sz w:val="16"/>
          <w:szCs w:val="16"/>
        </w:rPr>
        <w:softHyphen/>
        <w:t>нительно до 1,6 тыс. заключенных. Для завода в Гурьеве к январю 1944 г. было получено 78% от общего тоннажа оборудования, в Орске — около 69%.Чтобы пустить заводы в эксплуата</w:t>
      </w:r>
      <w:r w:rsidRPr="00070ADE">
        <w:rPr>
          <w:rFonts w:ascii="Times New Roman" w:hAnsi="Times New Roman"/>
          <w:color w:val="000000" w:themeColor="text1"/>
          <w:sz w:val="16"/>
          <w:szCs w:val="16"/>
        </w:rPr>
        <w:softHyphen/>
        <w:t>цию, требовалась большая и многосто</w:t>
      </w:r>
      <w:r w:rsidRPr="00070ADE">
        <w:rPr>
          <w:rFonts w:ascii="Times New Roman" w:hAnsi="Times New Roman"/>
          <w:color w:val="000000" w:themeColor="text1"/>
          <w:sz w:val="16"/>
          <w:szCs w:val="16"/>
        </w:rPr>
        <w:softHyphen/>
        <w:t>ронняя работа. Например, в Красно</w:t>
      </w:r>
      <w:r w:rsidRPr="00070ADE">
        <w:rPr>
          <w:rFonts w:ascii="Times New Roman" w:hAnsi="Times New Roman"/>
          <w:color w:val="000000" w:themeColor="text1"/>
          <w:sz w:val="16"/>
          <w:szCs w:val="16"/>
        </w:rPr>
        <w:softHyphen/>
        <w:t>водске нужно было для разгрузки импортного оборудования построить еще железнодорожную ветку длиной 10 км (от разъезда железнодорожной станции до завода), а также ТЭЦ и дру</w:t>
      </w:r>
      <w:r w:rsidRPr="00070ADE">
        <w:rPr>
          <w:rFonts w:ascii="Times New Roman" w:hAnsi="Times New Roman"/>
          <w:color w:val="000000" w:themeColor="text1"/>
          <w:sz w:val="16"/>
          <w:szCs w:val="16"/>
        </w:rPr>
        <w:softHyphen/>
        <w:t>гие объекты. Требовалось подготовить к работе советских нефтяников. Не должны были повторяться случаи, по</w:t>
      </w:r>
      <w:r w:rsidRPr="00070ADE">
        <w:rPr>
          <w:rFonts w:ascii="Times New Roman" w:hAnsi="Times New Roman"/>
          <w:color w:val="000000" w:themeColor="text1"/>
          <w:sz w:val="16"/>
          <w:szCs w:val="16"/>
        </w:rPr>
        <w:softHyphen/>
        <w:t>добные следующему. На</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Саратовском</w:t>
      </w:r>
      <w:r w:rsidR="00C63BA9">
        <w:rPr>
          <w:rFonts w:ascii="Times New Roman" w:hAnsi="Times New Roman"/>
          <w:color w:val="000000" w:themeColor="text1"/>
          <w:sz w:val="16"/>
          <w:szCs w:val="16"/>
        </w:rPr>
        <w:t xml:space="preserve">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заводе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имени Киро</w:t>
      </w:r>
      <w:r w:rsidRPr="00070ADE">
        <w:rPr>
          <w:rFonts w:ascii="Times New Roman" w:hAnsi="Times New Roman"/>
          <w:color w:val="000000" w:themeColor="text1"/>
          <w:sz w:val="16"/>
          <w:szCs w:val="16"/>
        </w:rPr>
        <w:softHyphen/>
        <w:t>ва в начале января</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1942</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неоднократ</w:t>
      </w:r>
      <w:r w:rsidRPr="00070ADE">
        <w:rPr>
          <w:rFonts w:ascii="Times New Roman" w:hAnsi="Times New Roman"/>
          <w:color w:val="000000" w:themeColor="text1"/>
          <w:sz w:val="16"/>
          <w:szCs w:val="16"/>
        </w:rPr>
        <w:softHyphen/>
        <w:t>но останавливалось дорогое американ</w:t>
      </w:r>
      <w:r w:rsidRPr="00070ADE">
        <w:rPr>
          <w:rFonts w:ascii="Times New Roman" w:hAnsi="Times New Roman"/>
          <w:color w:val="000000" w:themeColor="text1"/>
          <w:sz w:val="16"/>
          <w:szCs w:val="16"/>
        </w:rPr>
        <w:softHyphen/>
        <w:t>ское оборудование для крекинга. Оказалось, что американские инструк</w:t>
      </w:r>
      <w:r w:rsidRPr="00070ADE">
        <w:rPr>
          <w:rFonts w:ascii="Times New Roman" w:hAnsi="Times New Roman"/>
          <w:color w:val="000000" w:themeColor="text1"/>
          <w:sz w:val="16"/>
          <w:szCs w:val="16"/>
        </w:rPr>
        <w:softHyphen/>
        <w:t>ции по эксплуатации насоса высокого давления не только грубо нарушались, но и вообще не были переведены. В ре</w:t>
      </w:r>
      <w:r w:rsidRPr="00070ADE">
        <w:rPr>
          <w:rFonts w:ascii="Times New Roman" w:hAnsi="Times New Roman"/>
          <w:color w:val="000000" w:themeColor="text1"/>
          <w:sz w:val="16"/>
          <w:szCs w:val="16"/>
        </w:rPr>
        <w:softHyphen/>
        <w:t>зультате некоторые детали были быст</w:t>
      </w:r>
      <w:r w:rsidRPr="00070ADE">
        <w:rPr>
          <w:rFonts w:ascii="Times New Roman" w:hAnsi="Times New Roman"/>
          <w:color w:val="000000" w:themeColor="text1"/>
          <w:sz w:val="16"/>
          <w:szCs w:val="16"/>
        </w:rPr>
        <w:softHyphen/>
        <w:t>ро изношены, а для ремонта требова</w:t>
      </w:r>
      <w:r w:rsidRPr="00070ADE">
        <w:rPr>
          <w:rFonts w:ascii="Times New Roman" w:hAnsi="Times New Roman"/>
          <w:color w:val="000000" w:themeColor="text1"/>
          <w:sz w:val="16"/>
          <w:szCs w:val="16"/>
        </w:rPr>
        <w:softHyphen/>
        <w:t>лось много времени. Не соблюдались требования по эксплуатации и другого оборудования. В ноябре 1943 — феврале 1944 гг. состоялось несколько встреч советских нефтяников с американскими специали</w:t>
      </w:r>
      <w:r w:rsidRPr="00070ADE">
        <w:rPr>
          <w:rFonts w:ascii="Times New Roman" w:hAnsi="Times New Roman"/>
          <w:color w:val="000000" w:themeColor="text1"/>
          <w:sz w:val="16"/>
          <w:szCs w:val="16"/>
        </w:rPr>
        <w:softHyphen/>
        <w:t>стами фирмы «Баджер», на них были заданы сотни вопросов об американ</w:t>
      </w:r>
      <w:r w:rsidRPr="00070ADE">
        <w:rPr>
          <w:rFonts w:ascii="Times New Roman" w:hAnsi="Times New Roman"/>
          <w:color w:val="000000" w:themeColor="text1"/>
          <w:sz w:val="16"/>
          <w:szCs w:val="16"/>
        </w:rPr>
        <w:softHyphen/>
        <w:t>ском оборудовании для нефтеперера</w:t>
      </w:r>
      <w:r w:rsidRPr="00070ADE">
        <w:rPr>
          <w:rFonts w:ascii="Times New Roman" w:hAnsi="Times New Roman"/>
          <w:color w:val="000000" w:themeColor="text1"/>
          <w:sz w:val="16"/>
          <w:szCs w:val="16"/>
        </w:rPr>
        <w:softHyphen/>
        <w:t>батывающих заводов, строительство которых должно было начаться в СССР. Почти на все вопросы были по</w:t>
      </w:r>
      <w:r w:rsidRPr="00070ADE">
        <w:rPr>
          <w:rFonts w:ascii="Times New Roman" w:hAnsi="Times New Roman"/>
          <w:color w:val="000000" w:themeColor="text1"/>
          <w:sz w:val="16"/>
          <w:szCs w:val="16"/>
        </w:rPr>
        <w:softHyphen/>
        <w:t>лучены исчерпывающие ответы.В начале 1944 г. в Гурьеве постоянно работали четыре американских спе</w:t>
      </w:r>
      <w:r w:rsidRPr="00070ADE">
        <w:rPr>
          <w:rFonts w:ascii="Times New Roman" w:hAnsi="Times New Roman"/>
          <w:color w:val="000000" w:themeColor="text1"/>
          <w:sz w:val="16"/>
          <w:szCs w:val="16"/>
        </w:rPr>
        <w:softHyphen/>
        <w:t>циалиста (Формель, Фуллер, Фостер и Кросби), в Куйбышеве — 7 человек, как отмечалось в отчете фирмы «Баджер», «это больше, чем требует</w:t>
      </w:r>
      <w:r w:rsidRPr="00070ADE">
        <w:rPr>
          <w:rFonts w:ascii="Times New Roman" w:hAnsi="Times New Roman"/>
          <w:color w:val="000000" w:themeColor="text1"/>
          <w:sz w:val="16"/>
          <w:szCs w:val="16"/>
        </w:rPr>
        <w:softHyphen/>
        <w:t>ся». Советские специалисты направля</w:t>
      </w:r>
      <w:r w:rsidRPr="00070ADE">
        <w:rPr>
          <w:rFonts w:ascii="Times New Roman" w:hAnsi="Times New Roman"/>
          <w:color w:val="000000" w:themeColor="text1"/>
          <w:sz w:val="16"/>
          <w:szCs w:val="16"/>
        </w:rPr>
        <w:softHyphen/>
        <w:t>лись в США.В феврале 1944 г. американский специалист Мак-Карди признавал: «За</w:t>
      </w:r>
      <w:r w:rsidRPr="00070ADE">
        <w:rPr>
          <w:rFonts w:ascii="Times New Roman" w:hAnsi="Times New Roman"/>
          <w:color w:val="000000" w:themeColor="text1"/>
          <w:sz w:val="16"/>
          <w:szCs w:val="16"/>
        </w:rPr>
        <w:softHyphen/>
        <w:t>вод №1 (в Гурьеве), хотя стро</w:t>
      </w:r>
      <w:r w:rsidRPr="00070ADE">
        <w:rPr>
          <w:rFonts w:ascii="Times New Roman" w:hAnsi="Times New Roman"/>
          <w:color w:val="000000" w:themeColor="text1"/>
          <w:sz w:val="16"/>
          <w:szCs w:val="16"/>
        </w:rPr>
        <w:softHyphen/>
        <w:t>ительные работы там только что нача</w:t>
      </w:r>
      <w:r w:rsidRPr="00070ADE">
        <w:rPr>
          <w:rFonts w:ascii="Times New Roman" w:hAnsi="Times New Roman"/>
          <w:color w:val="000000" w:themeColor="text1"/>
          <w:sz w:val="16"/>
          <w:szCs w:val="16"/>
        </w:rPr>
        <w:softHyphen/>
        <w:t>лись, произвел очень хорошее впечатление. Планирование и проведе</w:t>
      </w:r>
      <w:r w:rsidRPr="00070ADE">
        <w:rPr>
          <w:rFonts w:ascii="Times New Roman" w:hAnsi="Times New Roman"/>
          <w:color w:val="000000" w:themeColor="text1"/>
          <w:sz w:val="16"/>
          <w:szCs w:val="16"/>
        </w:rPr>
        <w:softHyphen/>
        <w:t>ние предварительных работ, таких как строительство дорог, ж.д. веток, рабо</w:t>
      </w:r>
      <w:r w:rsidRPr="00070ADE">
        <w:rPr>
          <w:rFonts w:ascii="Times New Roman" w:hAnsi="Times New Roman"/>
          <w:color w:val="000000" w:themeColor="text1"/>
          <w:sz w:val="16"/>
          <w:szCs w:val="16"/>
        </w:rPr>
        <w:softHyphen/>
        <w:t>чих поселков и т.д., было очень хоро</w:t>
      </w:r>
      <w:r w:rsidRPr="00070ADE">
        <w:rPr>
          <w:rFonts w:ascii="Times New Roman" w:hAnsi="Times New Roman"/>
          <w:color w:val="000000" w:themeColor="text1"/>
          <w:sz w:val="16"/>
          <w:szCs w:val="16"/>
        </w:rPr>
        <w:softHyphen/>
        <w:t>шо выполнено. Стоит специально отме</w:t>
      </w:r>
      <w:r w:rsidRPr="00070ADE">
        <w:rPr>
          <w:rFonts w:ascii="Times New Roman" w:hAnsi="Times New Roman"/>
          <w:color w:val="000000" w:themeColor="text1"/>
          <w:sz w:val="16"/>
          <w:szCs w:val="16"/>
        </w:rPr>
        <w:softHyphen/>
        <w:t>тить прекрасное обращение с материалом и оборудованием... Мате</w:t>
      </w:r>
      <w:r w:rsidRPr="00070ADE">
        <w:rPr>
          <w:rFonts w:ascii="Times New Roman" w:hAnsi="Times New Roman"/>
          <w:color w:val="000000" w:themeColor="text1"/>
          <w:sz w:val="16"/>
          <w:szCs w:val="16"/>
        </w:rPr>
        <w:softHyphen/>
        <w:t>риал и оборудование содержатся в прекрасном порядке и заботятся о нем больше, чем на какой-либо работе, ка</w:t>
      </w:r>
      <w:r w:rsidRPr="00070ADE">
        <w:rPr>
          <w:rFonts w:ascii="Times New Roman" w:hAnsi="Times New Roman"/>
          <w:color w:val="000000" w:themeColor="text1"/>
          <w:sz w:val="16"/>
          <w:szCs w:val="16"/>
        </w:rPr>
        <w:softHyphen/>
        <w:t>кие мне приходилось до сих пор ви</w:t>
      </w:r>
      <w:r w:rsidRPr="00070ADE">
        <w:rPr>
          <w:rFonts w:ascii="Times New Roman" w:hAnsi="Times New Roman"/>
          <w:color w:val="000000" w:themeColor="text1"/>
          <w:sz w:val="16"/>
          <w:szCs w:val="16"/>
        </w:rPr>
        <w:softHyphen/>
        <w:t>деть».В апреле — мае 1944 г. американ</w:t>
      </w:r>
      <w:r w:rsidRPr="00070ADE">
        <w:rPr>
          <w:rFonts w:ascii="Times New Roman" w:hAnsi="Times New Roman"/>
          <w:color w:val="000000" w:themeColor="text1"/>
          <w:sz w:val="16"/>
          <w:szCs w:val="16"/>
        </w:rPr>
        <w:softHyphen/>
        <w:t>ские специалисты посетили Куйбышев, Орск и Гурьев, где в это время монти</w:t>
      </w:r>
      <w:r w:rsidRPr="00070ADE">
        <w:rPr>
          <w:rFonts w:ascii="Times New Roman" w:hAnsi="Times New Roman"/>
          <w:color w:val="000000" w:themeColor="text1"/>
          <w:sz w:val="16"/>
          <w:szCs w:val="16"/>
        </w:rPr>
        <w:softHyphen/>
        <w:t>ровалось американское оборудование на строившихся НПЗ. Первое, что они были вынуждены признать, это неком</w:t>
      </w:r>
      <w:r w:rsidRPr="00070ADE">
        <w:rPr>
          <w:rFonts w:ascii="Times New Roman" w:hAnsi="Times New Roman"/>
          <w:color w:val="000000" w:themeColor="text1"/>
          <w:sz w:val="16"/>
          <w:szCs w:val="16"/>
        </w:rPr>
        <w:softHyphen/>
        <w:t>плектность поставок оборудования, что замедляло темпы работ. Часть матери</w:t>
      </w:r>
      <w:r w:rsidRPr="00070ADE">
        <w:rPr>
          <w:rFonts w:ascii="Times New Roman" w:hAnsi="Times New Roman"/>
          <w:color w:val="000000" w:themeColor="text1"/>
          <w:sz w:val="16"/>
          <w:szCs w:val="16"/>
        </w:rPr>
        <w:softHyphen/>
        <w:t>алов не была вовремя получена из США, некоторые другие — советской стороной ошибочно направлены не на те заводы, для которых они предна</w:t>
      </w:r>
      <w:r w:rsidRPr="00070ADE">
        <w:rPr>
          <w:rFonts w:ascii="Times New Roman" w:hAnsi="Times New Roman"/>
          <w:color w:val="000000" w:themeColor="text1"/>
          <w:sz w:val="16"/>
          <w:szCs w:val="16"/>
        </w:rPr>
        <w:softHyphen/>
        <w:t>значались.8 июля 1944 г. руководитель группы американских инженеров компании «Баджер» в СССР Р. Мак-Карди в сво</w:t>
      </w:r>
      <w:r w:rsidRPr="00070ADE">
        <w:rPr>
          <w:rFonts w:ascii="Times New Roman" w:hAnsi="Times New Roman"/>
          <w:color w:val="000000" w:themeColor="text1"/>
          <w:sz w:val="16"/>
          <w:szCs w:val="16"/>
        </w:rPr>
        <w:softHyphen/>
        <w:t>ем отчете отмечал: «Как и прежде, ра</w:t>
      </w:r>
      <w:r w:rsidRPr="00070ADE">
        <w:rPr>
          <w:rFonts w:ascii="Times New Roman" w:hAnsi="Times New Roman"/>
          <w:color w:val="000000" w:themeColor="text1"/>
          <w:sz w:val="16"/>
          <w:szCs w:val="16"/>
        </w:rPr>
        <w:softHyphen/>
        <w:t>бота на всех заводах, независимо от состояния готовности, тормозится от</w:t>
      </w:r>
      <w:r w:rsidRPr="00070ADE">
        <w:rPr>
          <w:rFonts w:ascii="Times New Roman" w:hAnsi="Times New Roman"/>
          <w:color w:val="000000" w:themeColor="text1"/>
          <w:sz w:val="16"/>
          <w:szCs w:val="16"/>
        </w:rPr>
        <w:softHyphen/>
        <w:t>сутствием оборудования, не пришедше</w:t>
      </w:r>
      <w:r w:rsidRPr="00070ADE">
        <w:rPr>
          <w:rFonts w:ascii="Times New Roman" w:hAnsi="Times New Roman"/>
          <w:color w:val="000000" w:themeColor="text1"/>
          <w:sz w:val="16"/>
          <w:szCs w:val="16"/>
        </w:rPr>
        <w:softHyphen/>
        <w:t>го прошлой зимой». Возникали различ</w:t>
      </w:r>
      <w:r w:rsidRPr="00070ADE">
        <w:rPr>
          <w:rFonts w:ascii="Times New Roman" w:hAnsi="Times New Roman"/>
          <w:color w:val="000000" w:themeColor="text1"/>
          <w:sz w:val="16"/>
          <w:szCs w:val="16"/>
        </w:rPr>
        <w:softHyphen/>
        <w:t>ные накладки и недоразумения, что вполне естественно при таком объеме работ и атмосфере «гонки».В конце 1944 г. американская фирма «Буффало Газолин Мотор Ко» ошибоч</w:t>
      </w:r>
      <w:r w:rsidRPr="00070ADE">
        <w:rPr>
          <w:rFonts w:ascii="Times New Roman" w:hAnsi="Times New Roman"/>
          <w:color w:val="000000" w:themeColor="text1"/>
          <w:sz w:val="16"/>
          <w:szCs w:val="16"/>
        </w:rPr>
        <w:softHyphen/>
        <w:t>но поставила трансформаторы к выпря</w:t>
      </w:r>
      <w:r w:rsidRPr="00070ADE">
        <w:rPr>
          <w:rFonts w:ascii="Times New Roman" w:hAnsi="Times New Roman"/>
          <w:color w:val="000000" w:themeColor="text1"/>
          <w:sz w:val="16"/>
          <w:szCs w:val="16"/>
        </w:rPr>
        <w:softHyphen/>
        <w:t>мителям на водозаборные станции мощностью 250 ватт, вместо необходи</w:t>
      </w:r>
      <w:r w:rsidRPr="00070ADE">
        <w:rPr>
          <w:rFonts w:ascii="Times New Roman" w:hAnsi="Times New Roman"/>
          <w:color w:val="000000" w:themeColor="text1"/>
          <w:sz w:val="16"/>
          <w:szCs w:val="16"/>
        </w:rPr>
        <w:softHyphen/>
        <w:t>мых в 500 ватт. В ответ на запрос со</w:t>
      </w:r>
      <w:r w:rsidRPr="00070ADE">
        <w:rPr>
          <w:rFonts w:ascii="Times New Roman" w:hAnsi="Times New Roman"/>
          <w:color w:val="000000" w:themeColor="text1"/>
          <w:sz w:val="16"/>
          <w:szCs w:val="16"/>
        </w:rPr>
        <w:softHyphen/>
        <w:t>ветской стороны американская фирма посетовала, что именно такие транс</w:t>
      </w:r>
      <w:r w:rsidRPr="00070ADE">
        <w:rPr>
          <w:rFonts w:ascii="Times New Roman" w:hAnsi="Times New Roman"/>
          <w:color w:val="000000" w:themeColor="text1"/>
          <w:sz w:val="16"/>
          <w:szCs w:val="16"/>
        </w:rPr>
        <w:softHyphen/>
        <w:t>форматоры были ошибочно пореко</w:t>
      </w:r>
      <w:r w:rsidRPr="00070ADE">
        <w:rPr>
          <w:rFonts w:ascii="Times New Roman" w:hAnsi="Times New Roman"/>
          <w:color w:val="000000" w:themeColor="text1"/>
          <w:sz w:val="16"/>
          <w:szCs w:val="16"/>
        </w:rPr>
        <w:softHyphen/>
        <w:t>мендованы компанией «Дженерал Мо</w:t>
      </w:r>
      <w:r w:rsidRPr="00070ADE">
        <w:rPr>
          <w:rFonts w:ascii="Times New Roman" w:hAnsi="Times New Roman"/>
          <w:color w:val="000000" w:themeColor="text1"/>
          <w:sz w:val="16"/>
          <w:szCs w:val="16"/>
        </w:rPr>
        <w:softHyphen/>
        <w:t>торс».10 октября 1944 г. было принято со</w:t>
      </w:r>
      <w:r w:rsidRPr="00070ADE">
        <w:rPr>
          <w:rFonts w:ascii="Times New Roman" w:hAnsi="Times New Roman"/>
          <w:color w:val="000000" w:themeColor="text1"/>
          <w:sz w:val="16"/>
          <w:szCs w:val="16"/>
        </w:rPr>
        <w:softHyphen/>
        <w:t>вершенно секретное постановление ГКО «О мерах по ускорению строитель</w:t>
      </w:r>
      <w:r w:rsidRPr="00070ADE">
        <w:rPr>
          <w:rFonts w:ascii="Times New Roman" w:hAnsi="Times New Roman"/>
          <w:color w:val="000000" w:themeColor="text1"/>
          <w:sz w:val="16"/>
          <w:szCs w:val="16"/>
        </w:rPr>
        <w:softHyphen/>
        <w:t>ства нефтеперерабатывающих заводов №441 и 443». В связи с задержкой по</w:t>
      </w:r>
      <w:r w:rsidRPr="00070ADE">
        <w:rPr>
          <w:rFonts w:ascii="Times New Roman" w:hAnsi="Times New Roman"/>
          <w:color w:val="000000" w:themeColor="text1"/>
          <w:sz w:val="16"/>
          <w:szCs w:val="16"/>
        </w:rPr>
        <w:softHyphen/>
        <w:t>ступлений импортного оборудования было решено перенести срок ввода в эксплуатацию заводов в Гурьеве и Куй</w:t>
      </w:r>
      <w:r w:rsidRPr="00070ADE">
        <w:rPr>
          <w:rFonts w:ascii="Times New Roman" w:hAnsi="Times New Roman"/>
          <w:color w:val="000000" w:themeColor="text1"/>
          <w:sz w:val="16"/>
          <w:szCs w:val="16"/>
        </w:rPr>
        <w:softHyphen/>
        <w:t>бышеве на первый квартал 1945 г.Советским специалистам приходи</w:t>
      </w:r>
      <w:r w:rsidRPr="00070ADE">
        <w:rPr>
          <w:rFonts w:ascii="Times New Roman" w:hAnsi="Times New Roman"/>
          <w:color w:val="000000" w:themeColor="text1"/>
          <w:sz w:val="16"/>
          <w:szCs w:val="16"/>
        </w:rPr>
        <w:softHyphen/>
        <w:t>лось выполнять работы, с которыми они раньше не сталкивались. В 1944 г. на строительстве завода № 441 (где монтаж велся силами НКВД) был впер</w:t>
      </w:r>
      <w:r w:rsidRPr="00070ADE">
        <w:rPr>
          <w:rFonts w:ascii="Times New Roman" w:hAnsi="Times New Roman"/>
          <w:color w:val="000000" w:themeColor="text1"/>
          <w:sz w:val="16"/>
          <w:szCs w:val="16"/>
        </w:rPr>
        <w:softHyphen/>
        <w:t>вые осуществлен монтаж импортного оборудования</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(сферического).</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Вскоре наркомом отрасли было принято реше</w:t>
      </w:r>
      <w:r w:rsidRPr="00070ADE">
        <w:rPr>
          <w:rFonts w:ascii="Times New Roman" w:hAnsi="Times New Roman"/>
          <w:color w:val="000000" w:themeColor="text1"/>
          <w:sz w:val="16"/>
          <w:szCs w:val="16"/>
        </w:rPr>
        <w:softHyphen/>
        <w:t>ние издать брошюру «Опыт монтажа сферических резервуаров», освещаю</w:t>
      </w:r>
      <w:r w:rsidRPr="00070ADE">
        <w:rPr>
          <w:rFonts w:ascii="Times New Roman" w:hAnsi="Times New Roman"/>
          <w:color w:val="000000" w:themeColor="text1"/>
          <w:sz w:val="16"/>
          <w:szCs w:val="16"/>
        </w:rPr>
        <w:softHyphen/>
        <w:t>щую опыт монтажа импортных нефте</w:t>
      </w:r>
      <w:r w:rsidRPr="00070ADE">
        <w:rPr>
          <w:rFonts w:ascii="Times New Roman" w:hAnsi="Times New Roman"/>
          <w:color w:val="000000" w:themeColor="text1"/>
          <w:sz w:val="16"/>
          <w:szCs w:val="16"/>
        </w:rPr>
        <w:softHyphen/>
        <w:t>перегонных заводов.По оценке американских экспертов, на 25 января 1945 г. строительные ра</w:t>
      </w:r>
      <w:r w:rsidRPr="00070ADE">
        <w:rPr>
          <w:rFonts w:ascii="Times New Roman" w:hAnsi="Times New Roman"/>
          <w:color w:val="000000" w:themeColor="text1"/>
          <w:sz w:val="16"/>
          <w:szCs w:val="16"/>
        </w:rPr>
        <w:softHyphen/>
        <w:t>боты были завершены по отдельным заводам в такой мере: по заводу №1 (Гурьев) — на 56%, заводу №2 (Орск) - на 13%, заводу №3 (Куйбышев) - 56%, заводу №4 (Красноводск) — на 25%, а на 31 марта 1945 г. процент го</w:t>
      </w:r>
      <w:r w:rsidRPr="00070ADE">
        <w:rPr>
          <w:rFonts w:ascii="Times New Roman" w:hAnsi="Times New Roman"/>
          <w:color w:val="000000" w:themeColor="text1"/>
          <w:sz w:val="16"/>
          <w:szCs w:val="16"/>
        </w:rPr>
        <w:softHyphen/>
        <w:t>товности заводов составлял: завод №1 69%, №2 - 16%, №3 - 72%, №4 41%.Поставки из США продолжались ле</w:t>
      </w:r>
      <w:r w:rsidRPr="00070ADE">
        <w:rPr>
          <w:rFonts w:ascii="Times New Roman" w:hAnsi="Times New Roman"/>
          <w:color w:val="000000" w:themeColor="text1"/>
          <w:sz w:val="16"/>
          <w:szCs w:val="16"/>
        </w:rPr>
        <w:softHyphen/>
        <w:t>том 1945 г. 18 июня 1945 г. фирма «Ба-джер» сообщает зам. наркома нефтя</w:t>
      </w:r>
      <w:r w:rsidRPr="00070ADE">
        <w:rPr>
          <w:rFonts w:ascii="Times New Roman" w:hAnsi="Times New Roman"/>
          <w:color w:val="000000" w:themeColor="text1"/>
          <w:sz w:val="16"/>
          <w:szCs w:val="16"/>
        </w:rPr>
        <w:softHyphen/>
        <w:t>ной промышленности Чекрыжеву, что воздушные фильтры для турбокомпрес</w:t>
      </w:r>
      <w:r w:rsidRPr="00070ADE">
        <w:rPr>
          <w:rFonts w:ascii="Times New Roman" w:hAnsi="Times New Roman"/>
          <w:color w:val="000000" w:themeColor="text1"/>
          <w:sz w:val="16"/>
          <w:szCs w:val="16"/>
        </w:rPr>
        <w:softHyphen/>
        <w:t>соров «Гудри», а также масло для фильтров были отправлены двумя па</w:t>
      </w:r>
      <w:r w:rsidRPr="00070ADE">
        <w:rPr>
          <w:rFonts w:ascii="Times New Roman" w:hAnsi="Times New Roman"/>
          <w:color w:val="000000" w:themeColor="text1"/>
          <w:sz w:val="16"/>
          <w:szCs w:val="16"/>
        </w:rPr>
        <w:softHyphen/>
        <w:t>роходами и «Отдел Снабжения Амери</w:t>
      </w:r>
      <w:r w:rsidRPr="00070ADE">
        <w:rPr>
          <w:rFonts w:ascii="Times New Roman" w:hAnsi="Times New Roman"/>
          <w:color w:val="000000" w:themeColor="text1"/>
          <w:sz w:val="16"/>
          <w:szCs w:val="16"/>
        </w:rPr>
        <w:softHyphen/>
        <w:t>канской Военной Миссии сообщил им, что грузы с парохода «Жорж Вимс» уже приняты, а пароход «Ф.Т. Фре-лингхьюсен» прибыл в Мурманск».Первый бензин из установки катали</w:t>
      </w:r>
      <w:r w:rsidRPr="00070ADE">
        <w:rPr>
          <w:rFonts w:ascii="Times New Roman" w:hAnsi="Times New Roman"/>
          <w:color w:val="000000" w:themeColor="text1"/>
          <w:sz w:val="16"/>
          <w:szCs w:val="16"/>
        </w:rPr>
        <w:softHyphen/>
        <w:t>тического крекинга «Гудри» был получен в Куйбышеве на заводе №443 8 сентября 1945 г. Позже было завер</w:t>
      </w:r>
      <w:r w:rsidRPr="00070ADE">
        <w:rPr>
          <w:rFonts w:ascii="Times New Roman" w:hAnsi="Times New Roman"/>
          <w:color w:val="000000" w:themeColor="text1"/>
          <w:sz w:val="16"/>
          <w:szCs w:val="16"/>
        </w:rPr>
        <w:softHyphen/>
        <w:t>шено строительство заводов в Орске, Гурьеве и Красноводске.В октябре 1945 г. завод №228 все еще получал американское оборудова</w:t>
      </w:r>
      <w:r w:rsidRPr="00070ADE">
        <w:rPr>
          <w:rFonts w:ascii="Times New Roman" w:hAnsi="Times New Roman"/>
          <w:color w:val="000000" w:themeColor="text1"/>
          <w:sz w:val="16"/>
          <w:szCs w:val="16"/>
        </w:rPr>
        <w:softHyphen/>
        <w:t>ние, в том числе от фирм «Джонсон» и «Хенди».Отношения между СССР с США ста</w:t>
      </w:r>
      <w:r w:rsidRPr="00070ADE">
        <w:rPr>
          <w:rFonts w:ascii="Times New Roman" w:hAnsi="Times New Roman"/>
          <w:color w:val="000000" w:themeColor="text1"/>
          <w:sz w:val="16"/>
          <w:szCs w:val="16"/>
        </w:rPr>
        <w:softHyphen/>
        <w:t>ли быстро ухудшаться, и это чувствова</w:t>
      </w:r>
      <w:r w:rsidRPr="00070ADE">
        <w:rPr>
          <w:rFonts w:ascii="Times New Roman" w:hAnsi="Times New Roman"/>
          <w:color w:val="000000" w:themeColor="text1"/>
          <w:sz w:val="16"/>
          <w:szCs w:val="16"/>
        </w:rPr>
        <w:softHyphen/>
        <w:t>лось по переговорам о поставках обо</w:t>
      </w:r>
      <w:r w:rsidRPr="00070ADE">
        <w:rPr>
          <w:rFonts w:ascii="Times New Roman" w:hAnsi="Times New Roman"/>
          <w:color w:val="000000" w:themeColor="text1"/>
          <w:sz w:val="16"/>
          <w:szCs w:val="16"/>
        </w:rPr>
        <w:softHyphen/>
        <w:t>рудования для НПЗ уже поздней осенью 1945 г.Тогда советскими представителями в США было сделано предложение фир</w:t>
      </w:r>
      <w:r w:rsidRPr="00070ADE">
        <w:rPr>
          <w:rFonts w:ascii="Times New Roman" w:hAnsi="Times New Roman"/>
          <w:color w:val="000000" w:themeColor="text1"/>
          <w:sz w:val="16"/>
          <w:szCs w:val="16"/>
        </w:rPr>
        <w:softHyphen/>
        <w:t>ме «Баджер» участвовать в строитель</w:t>
      </w:r>
      <w:r w:rsidRPr="00070ADE">
        <w:rPr>
          <w:rFonts w:ascii="Times New Roman" w:hAnsi="Times New Roman"/>
          <w:color w:val="000000" w:themeColor="text1"/>
          <w:sz w:val="16"/>
          <w:szCs w:val="16"/>
        </w:rPr>
        <w:softHyphen/>
        <w:t>стве второй очереди заводов №3 и 4. Ответ американской стороны, сделан</w:t>
      </w:r>
      <w:r w:rsidRPr="00070ADE">
        <w:rPr>
          <w:rFonts w:ascii="Times New Roman" w:hAnsi="Times New Roman"/>
          <w:color w:val="000000" w:themeColor="text1"/>
          <w:sz w:val="16"/>
          <w:szCs w:val="16"/>
        </w:rPr>
        <w:softHyphen/>
        <w:t>ный 29 октября 1945 г., носил неопре</w:t>
      </w:r>
      <w:r w:rsidRPr="00070ADE">
        <w:rPr>
          <w:rFonts w:ascii="Times New Roman" w:hAnsi="Times New Roman"/>
          <w:color w:val="000000" w:themeColor="text1"/>
          <w:sz w:val="16"/>
          <w:szCs w:val="16"/>
        </w:rPr>
        <w:softHyphen/>
        <w:t>деленный характер.10 октября 1945 г. представитель «Е.В. Badger and Sons Co» в Москве Р.Е. Мак-Карди информирует зам. нар</w:t>
      </w:r>
      <w:r w:rsidRPr="00070ADE">
        <w:rPr>
          <w:rFonts w:ascii="Times New Roman" w:hAnsi="Times New Roman"/>
          <w:color w:val="000000" w:themeColor="text1"/>
          <w:sz w:val="16"/>
          <w:szCs w:val="16"/>
        </w:rPr>
        <w:softHyphen/>
        <w:t>кома нефтяной промышленности Н.М. Чекрыжева: «Недавно Вы запра</w:t>
      </w:r>
      <w:r w:rsidRPr="00070ADE">
        <w:rPr>
          <w:rFonts w:ascii="Times New Roman" w:hAnsi="Times New Roman"/>
          <w:color w:val="000000" w:themeColor="text1"/>
          <w:sz w:val="16"/>
          <w:szCs w:val="16"/>
        </w:rPr>
        <w:softHyphen/>
        <w:t>шивали у меня сведения об отправке солевых трубок для завода №2. Сегод</w:t>
      </w:r>
      <w:r w:rsidRPr="00070ADE">
        <w:rPr>
          <w:rFonts w:ascii="Times New Roman" w:hAnsi="Times New Roman"/>
          <w:color w:val="000000" w:themeColor="text1"/>
          <w:sz w:val="16"/>
          <w:szCs w:val="16"/>
        </w:rPr>
        <w:softHyphen/>
        <w:t>ня я получил сообщение, что эти труб</w:t>
      </w:r>
      <w:r w:rsidRPr="00070ADE">
        <w:rPr>
          <w:rFonts w:ascii="Times New Roman" w:hAnsi="Times New Roman"/>
          <w:color w:val="000000" w:themeColor="text1"/>
          <w:sz w:val="16"/>
          <w:szCs w:val="16"/>
        </w:rPr>
        <w:softHyphen/>
        <w:t>ки еще не отправлены и находятся на складе в ожидании разрешения на отправку от Управления по вопросам внешней экономики».В декабре 1945 г. деловые контакты между Особой группой при наркоме нефтяной промышленности и фирмой «Е.В. Badger and Sons Co» продолжа</w:t>
      </w:r>
      <w:r w:rsidRPr="00070ADE">
        <w:rPr>
          <w:rFonts w:ascii="Times New Roman" w:hAnsi="Times New Roman"/>
          <w:color w:val="000000" w:themeColor="text1"/>
          <w:sz w:val="16"/>
          <w:szCs w:val="16"/>
        </w:rPr>
        <w:softHyphen/>
        <w:t>лись. Но для поставок требовались санкции правительства США, а полу</w:t>
      </w:r>
      <w:r w:rsidRPr="00070ADE">
        <w:rPr>
          <w:rFonts w:ascii="Times New Roman" w:hAnsi="Times New Roman"/>
          <w:color w:val="000000" w:themeColor="text1"/>
          <w:sz w:val="16"/>
          <w:szCs w:val="16"/>
        </w:rPr>
        <w:softHyphen/>
        <w:t>чить их становилось все труднее.В апреле 1947 г. в США выезжала Комиссия Миннефтепрома восточных районов СССР для ведения перегово</w:t>
      </w:r>
      <w:r w:rsidRPr="00070ADE">
        <w:rPr>
          <w:rFonts w:ascii="Times New Roman" w:hAnsi="Times New Roman"/>
          <w:color w:val="000000" w:themeColor="text1"/>
          <w:sz w:val="16"/>
          <w:szCs w:val="16"/>
        </w:rPr>
        <w:softHyphen/>
        <w:t>ров о поставке в СССР оборудования для вторых очередей Куйбышевского НПЗ. Однако решением Конгресса США эти поставки (общей стоимостью 9,3 млн долл.) были запрещены.Подводя итоги, можно сказать, что поставки высокооктанового бензина и компонентов для его производства име</w:t>
      </w:r>
      <w:r w:rsidRPr="00070ADE">
        <w:rPr>
          <w:rFonts w:ascii="Times New Roman" w:hAnsi="Times New Roman"/>
          <w:color w:val="000000" w:themeColor="text1"/>
          <w:sz w:val="16"/>
          <w:szCs w:val="16"/>
        </w:rPr>
        <w:softHyphen/>
        <w:t>ли для СССР большое значение; всеми другими нефтепродуктами (за исключе</w:t>
      </w:r>
      <w:r w:rsidRPr="00070ADE">
        <w:rPr>
          <w:rFonts w:ascii="Times New Roman" w:hAnsi="Times New Roman"/>
          <w:color w:val="000000" w:themeColor="text1"/>
          <w:sz w:val="16"/>
          <w:szCs w:val="16"/>
        </w:rPr>
        <w:softHyphen/>
        <w:t>нием некоторых видов смазок) Совет</w:t>
      </w:r>
      <w:r w:rsidRPr="00070ADE">
        <w:rPr>
          <w:rFonts w:ascii="Times New Roman" w:hAnsi="Times New Roman"/>
          <w:color w:val="000000" w:themeColor="text1"/>
          <w:sz w:val="16"/>
          <w:szCs w:val="16"/>
        </w:rPr>
        <w:softHyphen/>
        <w:t>ский Союз обеспечивал себя почти пол</w:t>
      </w:r>
      <w:r w:rsidRPr="00070ADE">
        <w:rPr>
          <w:rFonts w:ascii="Times New Roman" w:hAnsi="Times New Roman"/>
          <w:color w:val="000000" w:themeColor="text1"/>
          <w:sz w:val="16"/>
          <w:szCs w:val="16"/>
        </w:rPr>
        <w:softHyphen/>
        <w:t>ностью. Советские заводы по производству аналогичного оборудова</w:t>
      </w:r>
      <w:r w:rsidRPr="00070ADE">
        <w:rPr>
          <w:rFonts w:ascii="Times New Roman" w:hAnsi="Times New Roman"/>
          <w:color w:val="000000" w:themeColor="text1"/>
          <w:sz w:val="16"/>
          <w:szCs w:val="16"/>
        </w:rPr>
        <w:softHyphen/>
        <w:t>ния были в значительной мере пере</w:t>
      </w:r>
      <w:r w:rsidRPr="00070ADE">
        <w:rPr>
          <w:rFonts w:ascii="Times New Roman" w:hAnsi="Times New Roman"/>
          <w:color w:val="000000" w:themeColor="text1"/>
          <w:sz w:val="16"/>
          <w:szCs w:val="16"/>
        </w:rPr>
        <w:softHyphen/>
        <w:t>ориентированы на выпуск оборонной продукции, поэтому американские по</w:t>
      </w:r>
      <w:r w:rsidRPr="00070ADE">
        <w:rPr>
          <w:rFonts w:ascii="Times New Roman" w:hAnsi="Times New Roman"/>
          <w:color w:val="000000" w:themeColor="text1"/>
          <w:sz w:val="16"/>
          <w:szCs w:val="16"/>
        </w:rPr>
        <w:softHyphen/>
        <w:t>ставки были весьма полезны (15488).</w:t>
      </w:r>
    </w:p>
    <w:p w14:paraId="0568B0EC" w14:textId="77777777" w:rsidR="00AD0763" w:rsidRPr="00070ADE" w:rsidRDefault="00AD0763" w:rsidP="00B56F90">
      <w:pPr>
        <w:spacing w:after="0" w:line="240" w:lineRule="auto"/>
        <w:jc w:val="both"/>
        <w:rPr>
          <w:rFonts w:ascii="Times New Roman" w:hAnsi="Times New Roman"/>
          <w:color w:val="000000" w:themeColor="text1"/>
          <w:sz w:val="16"/>
          <w:szCs w:val="16"/>
        </w:rPr>
      </w:pPr>
    </w:p>
    <w:p w14:paraId="1C5809E8"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7880B74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045996"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марту 1944 года на Восточном фронте немцев имелось 8 гаубиц 20,3-см Н.(r) - захваченных советских 203-мм гаубиц Б-4, выстрелы к которым комплектовались из советских 203-мм бетонобойных снарядов Г-620 и немецких зарядов. Вес полного немецкого заряда 15,4 кг (3861).</w:t>
      </w:r>
    </w:p>
    <w:p w14:paraId="2AEDC941"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4E7C88" w14:textId="77777777" w:rsidR="003712D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010C56E9" w14:textId="77777777" w:rsidR="003712D9" w:rsidRPr="00070ADE" w:rsidRDefault="003712D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6ED28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марту 1944 года восемьдесят высококвалифицированных летчиков составили группу пилотов, проходивших теоретическую и практическую подготовку – первоначально для полетов на одноразовом реактивном самолете «Me-328» («Messerschmitt»). Однако возможностей развернуть серийное производство нового самолета не существовало, и было принято решение использовать для реализации этого проекта серийно изготавливаемый «Fi-103».</w:t>
      </w:r>
    </w:p>
    <w:p w14:paraId="238F737E"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качестве самолетов-носителей командование люфтваффе выделило два бомбардировочных полка KG-3 и KG-53, вооруженных бомбардировщиками «He-111» («Heinkel») различных модификаций, в том числе и специальной версией этого самолета, обозначенной «Не-111Н-22» и изначально разработанной как носитель крылатой ракеты.</w:t>
      </w:r>
    </w:p>
    <w:p w14:paraId="514E5DA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Работу по созданию пилотируемого варианта самолета-снаряда возглавил Вилли Фидлер, технический директор заводов в Пенемюнде. Комплекс мероприятий получил наименование «Reichenberg» («Рейхенберг»), поэтому впоследствии все самолеты-снаряды этого типа носили такое же название.</w:t>
      </w:r>
    </w:p>
    <w:p w14:paraId="466C7277"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Замысел был довольно прост. На ракету требовалось установить только пилотскую кабину, и получалось оружие совершенно нового типа. Поэтому на протяжении всего четырнадцати дней с начала работ инженеры Пенемюнде выпустили первые прототипы для тренировочных и практических целей.</w:t>
      </w:r>
    </w:p>
    <w:p w14:paraId="4970170C"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Впоследствии было построено четыре различных пилотируемых версии «Fi-103». «Reichenberg I» («Fi-103R-I») являлся бездвигательным пилотируемым самолетом-снарядом, предназначенным для натурных аэродинамических испытаний, «Reichenberg II» («Fi-103R-II») – двухместным учебным для выработки навыков пилотажа, «Reichenberg III» («Fi-103R-III») – одноместным учебным, оборудованным двигателем и посадочной лыжей, «Reichenberg IV» («Fi-103R-IV») – боевым, оснащенным боезарядом, но без шасси.</w:t>
      </w:r>
    </w:p>
    <w:p w14:paraId="6C30FCB3"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«Reichenberg IV» отличался от «Fi-103» только наличием кабины летчика перед воздухозаборником двигателя (вместо отсека с баллонами сжатого воздуха) и элеронами на крыле. В кабине устанавливались сиденье летчика, приборная доска с прицелом, высотомером, авиагоризонтом, указателем скорости и часами. Кроме того, в кабине располагались гирокомпас и электрическая батарея с преобразователем. Управление самолетом осуществлялось при помощи обычной ручки и педалей. Фонарь кабины открывался вправо, лобовое стекло было бронированным (11688).</w:t>
      </w:r>
    </w:p>
    <w:p w14:paraId="2E5B5AF6" w14:textId="77777777" w:rsidR="003712D9" w:rsidRPr="00070ADE" w:rsidRDefault="003712D9" w:rsidP="00B56F90">
      <w:pPr>
        <w:autoSpaceDE w:val="0"/>
        <w:autoSpaceDN w:val="0"/>
        <w:adjustRightInd w:val="0"/>
        <w:spacing w:after="0" w:line="240" w:lineRule="auto"/>
        <w:jc w:val="both"/>
        <w:rPr>
          <w:rFonts w:ascii="Times New Roman" w:hAnsi="Times New Roman"/>
          <w:color w:val="000000" w:themeColor="text1"/>
          <w:sz w:val="16"/>
          <w:szCs w:val="16"/>
        </w:rPr>
      </w:pPr>
    </w:p>
    <w:p w14:paraId="01BD53A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73E0D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8C27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Утром 1 марта 1944 и днем погода была совершенно нелет</w:t>
      </w:r>
      <w:r w:rsidRPr="00070ADE">
        <w:rPr>
          <w:rFonts w:ascii="Times New Roman" w:hAnsi="Times New Roman"/>
          <w:color w:val="000000" w:themeColor="text1"/>
          <w:sz w:val="16"/>
          <w:szCs w:val="16"/>
        </w:rPr>
        <w:softHyphen/>
        <w:t>ной. Решили провести весь комплекс наземных испытаний бомбардировоч</w:t>
      </w:r>
      <w:r w:rsidRPr="00070ADE">
        <w:rPr>
          <w:rFonts w:ascii="Times New Roman" w:hAnsi="Times New Roman"/>
          <w:color w:val="000000" w:themeColor="text1"/>
          <w:sz w:val="16"/>
          <w:szCs w:val="16"/>
        </w:rPr>
        <w:softHyphen/>
        <w:t>ного вооружения Ил-АМ-42.</w:t>
      </w:r>
    </w:p>
    <w:p w14:paraId="55E68E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следующий день погода опять была нелетная. Самолет загнали в институтский тир, где произвели от</w:t>
      </w:r>
      <w:r w:rsidRPr="00070ADE">
        <w:rPr>
          <w:rFonts w:ascii="Times New Roman" w:hAnsi="Times New Roman"/>
          <w:color w:val="000000" w:themeColor="text1"/>
          <w:sz w:val="16"/>
          <w:szCs w:val="16"/>
        </w:rPr>
        <w:softHyphen/>
        <w:t>стрел оборонительной установки ВУ-8. Здесь испытателей ждала "не</w:t>
      </w:r>
      <w:r w:rsidRPr="00070ADE">
        <w:rPr>
          <w:rFonts w:ascii="Times New Roman" w:hAnsi="Times New Roman"/>
          <w:color w:val="000000" w:themeColor="text1"/>
          <w:sz w:val="16"/>
          <w:szCs w:val="16"/>
        </w:rPr>
        <w:softHyphen/>
        <w:t>приятность": прострелили киль, ста</w:t>
      </w:r>
      <w:r w:rsidRPr="00070ADE">
        <w:rPr>
          <w:rFonts w:ascii="Times New Roman" w:hAnsi="Times New Roman"/>
          <w:color w:val="000000" w:themeColor="text1"/>
          <w:sz w:val="16"/>
          <w:szCs w:val="16"/>
        </w:rPr>
        <w:softHyphen/>
        <w:t>билизатор, рули направления и вы</w:t>
      </w:r>
      <w:r w:rsidRPr="00070ADE">
        <w:rPr>
          <w:rFonts w:ascii="Times New Roman" w:hAnsi="Times New Roman"/>
          <w:color w:val="000000" w:themeColor="text1"/>
          <w:sz w:val="16"/>
          <w:szCs w:val="16"/>
        </w:rPr>
        <w:softHyphen/>
        <w:t>соты. Однако погода и аэродромные службы сделали бригаде подарок -в течение следующих трех дней аэро</w:t>
      </w:r>
      <w:r w:rsidRPr="00070ADE">
        <w:rPr>
          <w:rFonts w:ascii="Times New Roman" w:hAnsi="Times New Roman"/>
          <w:color w:val="000000" w:themeColor="text1"/>
          <w:sz w:val="16"/>
          <w:szCs w:val="16"/>
        </w:rPr>
        <w:softHyphen/>
        <w:t>дром был "не ютов к взлету: рыхлый снег, вода".</w:t>
      </w:r>
    </w:p>
    <w:p w14:paraId="08EBB4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Было решено, одновременно с ус</w:t>
      </w:r>
      <w:r w:rsidRPr="00070ADE">
        <w:rPr>
          <w:rFonts w:ascii="Times New Roman" w:hAnsi="Times New Roman"/>
          <w:color w:val="000000" w:themeColor="text1"/>
          <w:sz w:val="16"/>
          <w:szCs w:val="16"/>
        </w:rPr>
        <w:softHyphen/>
        <w:t>транением пулевых повреждений провести на самолете небольшие до</w:t>
      </w:r>
      <w:r w:rsidRPr="00070ADE">
        <w:rPr>
          <w:rFonts w:ascii="Times New Roman" w:hAnsi="Times New Roman"/>
          <w:color w:val="000000" w:themeColor="text1"/>
          <w:sz w:val="16"/>
          <w:szCs w:val="16"/>
        </w:rPr>
        <w:softHyphen/>
        <w:t>работки, улучшающие эксплуатаци</w:t>
      </w:r>
      <w:r w:rsidRPr="00070ADE">
        <w:rPr>
          <w:rFonts w:ascii="Times New Roman" w:hAnsi="Times New Roman"/>
          <w:color w:val="000000" w:themeColor="text1"/>
          <w:sz w:val="16"/>
          <w:szCs w:val="16"/>
        </w:rPr>
        <w:softHyphen/>
        <w:t>онные и пилотажные качества маши</w:t>
      </w:r>
      <w:r w:rsidRPr="00070ADE">
        <w:rPr>
          <w:rFonts w:ascii="Times New Roman" w:hAnsi="Times New Roman"/>
          <w:color w:val="000000" w:themeColor="text1"/>
          <w:sz w:val="16"/>
          <w:szCs w:val="16"/>
        </w:rPr>
        <w:softHyphen/>
        <w:t>ны. Заново отрегулировали карбю</w:t>
      </w:r>
      <w:r w:rsidRPr="00070ADE">
        <w:rPr>
          <w:rFonts w:ascii="Times New Roman" w:hAnsi="Times New Roman"/>
          <w:color w:val="000000" w:themeColor="text1"/>
          <w:sz w:val="16"/>
          <w:szCs w:val="16"/>
        </w:rPr>
        <w:softHyphen/>
        <w:t>раторы, поставили новые троса уп</w:t>
      </w:r>
      <w:r w:rsidRPr="00070ADE">
        <w:rPr>
          <w:rFonts w:ascii="Times New Roman" w:hAnsi="Times New Roman"/>
          <w:color w:val="000000" w:themeColor="text1"/>
          <w:sz w:val="16"/>
          <w:szCs w:val="16"/>
        </w:rPr>
        <w:softHyphen/>
        <w:t>равления "из-за большой заершен-ности старых", уменьшили щели меж</w:t>
      </w:r>
      <w:r w:rsidRPr="00070ADE">
        <w:rPr>
          <w:rFonts w:ascii="Times New Roman" w:hAnsi="Times New Roman"/>
          <w:color w:val="000000" w:themeColor="text1"/>
          <w:sz w:val="16"/>
          <w:szCs w:val="16"/>
        </w:rPr>
        <w:softHyphen/>
        <w:t>ду нижней частью крыла и элерона</w:t>
      </w:r>
      <w:r w:rsidRPr="00070ADE">
        <w:rPr>
          <w:rFonts w:ascii="Times New Roman" w:hAnsi="Times New Roman"/>
          <w:color w:val="000000" w:themeColor="text1"/>
          <w:sz w:val="16"/>
          <w:szCs w:val="16"/>
        </w:rPr>
        <w:softHyphen/>
        <w:t>ми (поставлена более широкая пла</w:t>
      </w:r>
      <w:r w:rsidRPr="00070ADE">
        <w:rPr>
          <w:rFonts w:ascii="Times New Roman" w:hAnsi="Times New Roman"/>
          <w:color w:val="000000" w:themeColor="text1"/>
          <w:sz w:val="16"/>
          <w:szCs w:val="16"/>
        </w:rPr>
        <w:softHyphen/>
        <w:t>стина), заменили покрышку костыль</w:t>
      </w:r>
      <w:r w:rsidRPr="00070ADE">
        <w:rPr>
          <w:rFonts w:ascii="Times New Roman" w:hAnsi="Times New Roman"/>
          <w:color w:val="000000" w:themeColor="text1"/>
          <w:sz w:val="16"/>
          <w:szCs w:val="16"/>
        </w:rPr>
        <w:softHyphen/>
        <w:t>ного колеса и лючки над бомболю-ком с левой внутренней стороны. Па</w:t>
      </w:r>
      <w:r w:rsidRPr="00070ADE">
        <w:rPr>
          <w:rFonts w:ascii="Times New Roman" w:hAnsi="Times New Roman"/>
          <w:color w:val="000000" w:themeColor="text1"/>
          <w:sz w:val="16"/>
          <w:szCs w:val="16"/>
        </w:rPr>
        <w:softHyphen/>
        <w:t>раллельно успели отработать химво-оружение самолета (11427).</w:t>
      </w:r>
    </w:p>
    <w:p w14:paraId="556515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F4D8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марта 1944 292 завод сделал первый серийный Як-3 и 8 марта он совершил первый 10 минутный полет по кругу (65,172).</w:t>
      </w:r>
    </w:p>
    <w:p w14:paraId="4921E2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FF8B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марта 1944 года построили первый серийный экземпляр Як-3 (заводской №0601) и спустя неделю состоялся его пробный 10-минутный полет.</w:t>
      </w:r>
    </w:p>
    <w:p w14:paraId="6D97D8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самолетов первых двенадцати серий состояло из пушки МП-20 и пулемета БС. В таком виде было выпущено 197 машин, и лишь с 13-й серии перешли к сдаче самолетов с пушкой МП-20 и двумя БСами.</w:t>
      </w:r>
    </w:p>
    <w:p w14:paraId="75533A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Летные данные истребителей переходного периода заметно ухудшились. Так, максимальная скорость снизилась на 15- 20 км/ч, время набора высоты 5000 метров возросло на 0,5 минуты, практический потолок упал на 500 метров, а время виража на 1000 метрах увеличилось на одну - две секунды. Естественно Як-3 стал набирать меньшую высоту на боевом развороте.</w:t>
      </w:r>
    </w:p>
    <w:p w14:paraId="14F72F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Причин тому было немало. Это низкая культура производства, повлекшая за собой утяжеление машины (до 45 кг), и уменьшенный запас горючего, и, конечно, низкое качество отделки внешней поверхности истребителя. Эти недостатки удалось устранить совместными усилиями ОКБ, ЛИИ и ЦАГИ совместно с серийными заводами, и начиная с 16-й серии самолеты стали соответствовать по своим летным данным "Дублеру".</w:t>
      </w:r>
    </w:p>
    <w:p w14:paraId="69D5636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войсковых испытаний дал о себе знать серьезный дефект, свойственный машинам с крылом смешанной конструкции. На самолете №0208 сорвало обшивку во время воздушного боя при выводе из пикирования. Укрепить обшивку пытались путем увеличения площади приклея, усиления крепления обшивки с помощью шпилек и болтов, но полностью избавиться от опасного дефекта удалось, лишь перейдя к цельнометаллическому крылу.</w:t>
      </w:r>
    </w:p>
    <w:p w14:paraId="3A5485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серийного производства постоянно проводились контрольные испытания самолетов как на заводе, так и в НИИ ВВС. Так, осенью 1944 года провели заводские испытания четырех Як-3 и эксплуатационные одного истребителя №0528, показавшие, что их летные и весовые данные находятся в пределах заданных техническими условиями заказчика (12047).</w:t>
      </w:r>
    </w:p>
    <w:p w14:paraId="578D64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A7BDD01"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марта 1944 саратовский завод № 292 закончили сборку самолета Як-3 06-01 (6-я машина 1-й серии поспела первой: пока самолет строился не на конвейере), а 8-го он сделал первый 10-минутный полет вокруг заводского аэродрома.</w:t>
      </w:r>
    </w:p>
    <w:p w14:paraId="1CDA392C"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Эталоном для серийного Як-3 стал «дублер Москита» с доработками по рекомендациям ЦАГИ и результатам испытаний. Планер усилили из расчета на 700 км/ч, а шасси пересчитали на больший вес, улучшили аэродинамику кабины и зализа крыла, а также герметизацию противопожарной перегородки, отделяющей мотор от кабины. Пушка ША-20М на испытаниях показала себя лучше, чем Б-20 Березина и В-20 Владимирова, но для снабжения ВВС она не была принята. Яковлев позволил оставить серийную ШВАК, а чтобы не потерять в маневре из-за всех этих мероприятий по усилению самолета, разрешили снова снять один пулемет. Планировалось отработать ША-20 на штурмовике Ил-10, а после этого запустить в производство и для истребителей. Для серийных Як-3 внедрили новые радиаторы воды и масла, изменили их тоннели, увеличили отклонение заслонок, отодвинули от бортов шкалы бензиномеров, которые были выведены над баками через отверстия в верхних панелях крыла, чтобы летчик их лучше видел из кабины. Мотор ВК-105ПФ2 пошел в массовое производство на заводе № 26 в Уфе, а затем и на № 16 в Казани. Приказом по НКАП № 39 от 19 января 1944 г. была заказана первая серия в 100 штук ВК-105ПФ2, которым на основании заводских длительных испытаний был установлен ресурс 150 часов, но эксплуатация выявила много дефектов, и реальный ресурс поначалу был ниже. Завод № 26 доработал мотор усилением поршневых пальцев, коленвала, привода нагнетателя и ряда других деталей ценой незначительного повышения массы. До октября 1944 г. этот мотор поставлялся только для Як-3, лишь затем его стали давать и на Як-9М, Як-9У, последние серии истребителей ЛаГГ-3 и бомбардировщиков Пе-2. Было разрешено также применять его без ограничений в новых разработках всем самолетным ОКБ (22751).</w:t>
      </w:r>
    </w:p>
    <w:p w14:paraId="7ACFFD3C" w14:textId="77777777" w:rsidR="004F13F4" w:rsidRPr="00070ADE" w:rsidRDefault="004F13F4" w:rsidP="00B56F90">
      <w:pPr>
        <w:spacing w:after="0" w:line="240" w:lineRule="auto"/>
        <w:jc w:val="both"/>
        <w:rPr>
          <w:rFonts w:ascii="Times New Roman" w:hAnsi="Times New Roman"/>
          <w:color w:val="000000" w:themeColor="text1"/>
          <w:sz w:val="16"/>
          <w:szCs w:val="16"/>
        </w:rPr>
      </w:pPr>
    </w:p>
    <w:p w14:paraId="68AE3EC1" w14:textId="77777777" w:rsidR="00AD5BC7" w:rsidRPr="00C94B78" w:rsidRDefault="00AD5BC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 марта 1944 г. на заводе № 292 был выпущен первый серийный Як-3 М-105ПФ2.</w:t>
      </w:r>
      <w:r w:rsidRPr="00C94B78">
        <w:rPr>
          <w:rFonts w:ascii="Times New Roman" w:hAnsi="Times New Roman"/>
          <w:b/>
          <w:bCs/>
          <w:color w:val="0070C0"/>
          <w:sz w:val="16"/>
          <w:szCs w:val="16"/>
        </w:rPr>
        <w:t xml:space="preserve"> </w:t>
      </w:r>
      <w:r w:rsidRPr="00C94B78">
        <w:rPr>
          <w:rFonts w:ascii="Times New Roman" w:hAnsi="Times New Roman"/>
          <w:color w:val="0070C0"/>
          <w:sz w:val="16"/>
          <w:szCs w:val="16"/>
        </w:rPr>
        <w:t>Параллельно Як-3 начал выпускать тбилисский завод №31. Всего в 1944-1946 г. было построено 4848 Як-3, в т.ч. 737 машин после войны, и львиная доля пришлась на Як-3 ВК-105ПФ2 (3840 в Саратове и 960 в Тбилиси).</w:t>
      </w:r>
    </w:p>
    <w:p w14:paraId="7FAA6593" w14:textId="77777777" w:rsidR="00AD5BC7" w:rsidRPr="00C94B78" w:rsidRDefault="00AD5BC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От «дублёра» ранний серийный вариант (первые 197 машин завода №292) отличался вооружением - пушка МП-20 и один пулемёт УБС (пушка ША-20 не стала серийной); такие машины начали поступать в войска в мае 1944 г. Их ЛТХ были несколько хуже, чем у «дублёра». Начиная с 13-й серии, на саратовские Як-3 М-105ПФ2 ставили уже два пулемёта; на тбилисских же машинах вооружение «МП-20 + два УБС» ставилось изначально. На контрольных испытаниях в НИИ ВВС такие машины показали несколько худшие ЛТХ, чем «дублёр» (скорость 557-567 км/ч у земли и 631</w:t>
      </w:r>
      <w:r w:rsidRPr="00C94B78">
        <w:rPr>
          <w:rFonts w:ascii="Times New Roman" w:hAnsi="Times New Roman"/>
          <w:color w:val="0070C0"/>
          <w:sz w:val="16"/>
          <w:szCs w:val="16"/>
        </w:rPr>
        <w:softHyphen/>
        <w:t>646 км/ч на высоте, время виража 21 секунда), но это сочли приемлемым. Постепенно наращивался темп производства: осенью 1944 г. завод №292 выпускал примерно по 250 Як-3 в месяц, а завод №31 - по 80. К августу завод полностью перешёл на выпуск Як-3.</w:t>
      </w:r>
    </w:p>
    <w:p w14:paraId="4707B515" w14:textId="77777777" w:rsidR="00AD5BC7" w:rsidRPr="00C94B78" w:rsidRDefault="00AD5BC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xml:space="preserve"> (24932).</w:t>
      </w:r>
    </w:p>
    <w:p w14:paraId="0DBACA10" w14:textId="77777777" w:rsidR="00AD5BC7" w:rsidRPr="00C94B78" w:rsidRDefault="00AD5BC7" w:rsidP="00B56F90">
      <w:pPr>
        <w:spacing w:after="0" w:line="240" w:lineRule="auto"/>
        <w:jc w:val="both"/>
        <w:rPr>
          <w:rFonts w:ascii="Times New Roman" w:hAnsi="Times New Roman"/>
          <w:color w:val="0070C0"/>
          <w:sz w:val="16"/>
          <w:szCs w:val="16"/>
        </w:rPr>
      </w:pPr>
    </w:p>
    <w:p w14:paraId="66557E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марта 1944 года были подготовлены:</w:t>
      </w:r>
    </w:p>
    <w:p w14:paraId="78DA6C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акта государственных испытаний опытного, самолета МИГ (И-200) конструкции Микояна и Гуревича, проводившихся в НИИ ВВС по 7.01.1944 года</w:t>
      </w:r>
    </w:p>
    <w:p w14:paraId="6E88A8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Отзывы и заключения</w:t>
      </w:r>
    </w:p>
    <w:p w14:paraId="0BBAED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летчиков-испытателей и техсостава.</w:t>
      </w:r>
    </w:p>
    <w:p w14:paraId="1D2E8C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Летчик-испытатель генерал-майор авиации Стефановский.</w:t>
      </w:r>
    </w:p>
    <w:p w14:paraId="1DD86D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имеет хорошие взлетные качества и взлетает быстро и хорошо даже при наличии четырех пушек. Самолет на виражах прост и позволяет перетягивание ручки, не стремясь сорваться в штопор. Посадка проста и при посадке самолет ведет себя нормально.</w:t>
      </w:r>
    </w:p>
    <w:p w14:paraId="12F9CD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Впервые наш отечественный одноместный истребитель обладает таким мощным вооружением, очень необходимым в данное время.</w:t>
      </w:r>
    </w:p>
    <w:p w14:paraId="143A96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Летные данные этого самолета даже с мотором Ам-38Ф на высотах до 3500 м выше летных данных всех опытных самолетов, прошедших государственные испытания.</w:t>
      </w:r>
    </w:p>
    <w:p w14:paraId="26B23E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замене мотора не реально имеющиеся моторы АМ-39, АМ-42 можно ожидать еще лучшие данные и, особенно, после установки мотора АМ-43.</w:t>
      </w:r>
    </w:p>
    <w:p w14:paraId="1F1DA9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Значит самолет имеет большую перспективу.</w:t>
      </w:r>
    </w:p>
    <w:p w14:paraId="500559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Простота управления, большая устойчивость самолета и малая посадочная скорость позволяют рассчитывать на легкое освоение его молодым летным составом.</w:t>
      </w:r>
    </w:p>
    <w:p w14:paraId="783FCE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Инженер-полковник Кочетков.</w:t>
      </w:r>
    </w:p>
    <w:p w14:paraId="42D510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 выполнении виража самолет позволяет довольно грубое перетягивание ручки, не имея тенденции сваливаться в штопор, посадочные свойства самолета простые. Пробег устойчивый. Самолет И-220 удачно сочетает хорошую управляемость с хорошей устойчивостью, приятен и прост в пилотировании. При положительных </w:t>
      </w:r>
      <w:r w:rsidRPr="00070ADE">
        <w:rPr>
          <w:rFonts w:ascii="Times New Roman" w:hAnsi="Times New Roman"/>
          <w:color w:val="000000" w:themeColor="text1"/>
          <w:sz w:val="16"/>
          <w:szCs w:val="16"/>
        </w:rPr>
        <w:lastRenderedPageBreak/>
        <w:t>результатах работы винтомоторной группы после установки мотора АМ-39 самолет может быть рекомендован в серийное производство.</w:t>
      </w:r>
    </w:p>
    <w:p w14:paraId="02E21B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Подполковник Хомяков7</w:t>
      </w:r>
    </w:p>
    <w:p w14:paraId="373681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полете устойчив относительно всех трех осей. В управлении самолет легкий.</w:t>
      </w:r>
    </w:p>
    <w:p w14:paraId="410C0E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Вести прицельную стрельбу с пикирования из четырех пушек хорошо, самолет при стрельбе не раскачивается. Планирует самолет устойчиво. Посадка никакой сложности не представляет.</w:t>
      </w:r>
    </w:p>
    <w:p w14:paraId="0697B1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И-220 имеет мощное вооружение, хорошие летные качества и при устранении дефектов, замеченных при испытании, станет безусловно хорошим современным истребителем.</w:t>
      </w:r>
    </w:p>
    <w:p w14:paraId="047250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Капитан Кубышкин.</w:t>
      </w:r>
    </w:p>
    <w:p w14:paraId="307D48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самолета очень мощное и работает хорошо. Прицел установлен хорошо и ведение прицельной стрельбы удобно. Самолет имеет хорошие летные качества, мощное вооружение и прост в технике пилотирования. Данный самолет желательно иметь на вооружении ВВС.</w:t>
      </w:r>
    </w:p>
    <w:p w14:paraId="516242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Оценка эксплуатационных свойств</w:t>
      </w:r>
    </w:p>
    <w:p w14:paraId="418BA8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техник лейтенант Безбатченко</w:t>
      </w:r>
    </w:p>
    <w:p w14:paraId="25DCC0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И-220 в эксплуатации прост и легок для освоения техническим составом войсковых частей ВВС.</w:t>
      </w:r>
    </w:p>
    <w:p w14:paraId="20E3FC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целом эксплуатация самолета И-220 не сложнее эксплуатации самолетов истребителей, состоящих на вооружении ВВС (1825,215).</w:t>
      </w:r>
    </w:p>
    <w:p w14:paraId="656357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1F5F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марта 1944 года вышел приказ НКАП</w:t>
      </w:r>
    </w:p>
    <w:p w14:paraId="61A540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 начальником ЦИАМ Бибикова Я.Л. (8925)</w:t>
      </w:r>
    </w:p>
    <w:p w14:paraId="1BBA1F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57F85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FDF4F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0004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с 1 по 21 марта 1944 г. проходили полигонные испытания 122-мм пушки Д-25 с полуавтоматическим клиновым затвором на Гороховецком АНИОПе От ГБТУ на этих важных испытаниях присутство</w:t>
      </w:r>
      <w:r w:rsidRPr="00070ADE">
        <w:rPr>
          <w:rFonts w:ascii="Times New Roman" w:hAnsi="Times New Roman"/>
          <w:color w:val="000000" w:themeColor="text1"/>
          <w:sz w:val="16"/>
          <w:szCs w:val="16"/>
        </w:rPr>
        <w:softHyphen/>
        <w:t>вал инженер-майор А.А. Афонасьев, от завода № 100 - старший инже</w:t>
      </w:r>
      <w:r w:rsidRPr="00070ADE">
        <w:rPr>
          <w:rFonts w:ascii="Times New Roman" w:hAnsi="Times New Roman"/>
          <w:color w:val="000000" w:themeColor="text1"/>
          <w:sz w:val="16"/>
          <w:szCs w:val="16"/>
        </w:rPr>
        <w:softHyphen/>
        <w:t>нер-конструктор Г.Н. Рыбин, заместитель главного конструктора заво</w:t>
      </w:r>
      <w:r w:rsidRPr="00070ADE">
        <w:rPr>
          <w:rFonts w:ascii="Times New Roman" w:hAnsi="Times New Roman"/>
          <w:color w:val="000000" w:themeColor="text1"/>
          <w:sz w:val="16"/>
          <w:szCs w:val="16"/>
        </w:rPr>
        <w:softHyphen/>
        <w:t>да № 9 А.Н. Булашев. Члены комиссии пришли к заключению, что пуш</w:t>
      </w:r>
      <w:r w:rsidRPr="00070ADE">
        <w:rPr>
          <w:rFonts w:ascii="Times New Roman" w:hAnsi="Times New Roman"/>
          <w:color w:val="000000" w:themeColor="text1"/>
          <w:sz w:val="16"/>
          <w:szCs w:val="16"/>
        </w:rPr>
        <w:softHyphen/>
        <w:t>ка Д-25 испытания в основном выдержала и работа с ней более удобна, чем с пушкой, имеющей поршневой затвор. С марта 1944 г. завод № 9 перешел на производство пушек Д-25 с клиновым затвором (10703).</w:t>
      </w:r>
    </w:p>
    <w:p w14:paraId="7CC210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FF58BD" w14:textId="77777777" w:rsidR="00792950" w:rsidRPr="00070ADE" w:rsidRDefault="0079295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 марта 1944 года рабочая документация на МЛ-20см была закончена. К 10 марта опытный образец орудия был изготовлен заводом №172. Первые стрельбы провели 11 марта, и после 33 выстрелов систему сняли с испытаний ввиду неудовлетворительной работы затвора. В ходе испытаний марта-апреля 1944 года были обнаружены производственные дефекты. Тем не менее 14 апреля МЛ-20см выдержала испытания на скоростной отстрел 60 выстрелов, произведя их за 39 минут вместо положенного часа. Всего же за март-май 1944 года орудие произвело 249 выстрелов, из них 196 — усиленным зарядом. Скорострельность достигала 2,9 выстрела в минуту.</w:t>
      </w:r>
    </w:p>
    <w:p w14:paraId="4DFC0F85" w14:textId="77777777" w:rsidR="00792950" w:rsidRPr="00070ADE" w:rsidRDefault="0079295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итогам испытаний планировалось установить орудие в самоходку, но этого так и не произошло. Что же касается испытаний орудия, то они продолжались на заводе №172 до сентября 1944 года. В это время между НКТП, ГБТУ КА, НКТП и ГАУ шли споры относительно орудия. Наконец 2 октября 1944 года была дана команда отправить МЛ-20см на Кировский завод и установить в ИСУ-152. К середине октября, когда орудие доставили в Челябинск, выяснилось, что оно прибыло в недоработанном виде. В конце декабря ГАУ КА поставило перед заводом №172 вопрос о необходимости срочной доработки орудия и отправке конструкторов на ЧКЗ. Несмотря на это представители завода №172 прибыли в Челябинск только к середине февраля 1945 года. К тому моменту ситуация с модернизацией ИСУ вышла на новый уровень (18636).</w:t>
      </w:r>
    </w:p>
    <w:p w14:paraId="59EC3862" w14:textId="77777777" w:rsidR="00792950" w:rsidRPr="00070ADE" w:rsidRDefault="00792950" w:rsidP="00B56F90">
      <w:pPr>
        <w:spacing w:after="0" w:line="240" w:lineRule="auto"/>
        <w:jc w:val="both"/>
        <w:rPr>
          <w:rFonts w:ascii="Times New Roman" w:hAnsi="Times New Roman"/>
          <w:color w:val="000000" w:themeColor="text1"/>
          <w:sz w:val="16"/>
          <w:szCs w:val="16"/>
        </w:rPr>
      </w:pPr>
    </w:p>
    <w:p w14:paraId="563BE3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 марта 1944 г., выпустив 145 танков ИС-2 (ИС-122), вооруженных 122-мм пушкой Д-25Т с поршне</w:t>
      </w:r>
      <w:r w:rsidRPr="00070ADE">
        <w:rPr>
          <w:rFonts w:ascii="Times New Roman" w:hAnsi="Times New Roman"/>
          <w:color w:val="000000" w:themeColor="text1"/>
          <w:sz w:val="16"/>
          <w:szCs w:val="16"/>
        </w:rPr>
        <w:softHyphen/>
        <w:t>вым затвором, ЧКЗ начал серийное производство танка с полуавтоматическим орудием, оснащенным горизонталь</w:t>
      </w:r>
      <w:r w:rsidRPr="00070ADE">
        <w:rPr>
          <w:rFonts w:ascii="Times New Roman" w:hAnsi="Times New Roman"/>
          <w:color w:val="000000" w:themeColor="text1"/>
          <w:sz w:val="16"/>
          <w:szCs w:val="16"/>
        </w:rPr>
        <w:softHyphen/>
        <w:t>ным клиновым затвором (11135).</w:t>
      </w:r>
    </w:p>
    <w:p w14:paraId="52A639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F20B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 марта 1944 г. производство тяжелого танка ИС-85 было пре</w:t>
      </w:r>
      <w:r w:rsidRPr="00070ADE">
        <w:rPr>
          <w:rFonts w:ascii="Times New Roman" w:hAnsi="Times New Roman"/>
          <w:color w:val="000000" w:themeColor="text1"/>
          <w:sz w:val="16"/>
          <w:szCs w:val="16"/>
        </w:rPr>
        <w:softHyphen/>
        <w:t>кращено. Несмотря на то что к этому моменту прошел испытания танк КВ-122 и завод настаивал на его выпуске взамен КВ-85, на вооружение он принят не был (11135).</w:t>
      </w:r>
    </w:p>
    <w:p w14:paraId="59BE91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E86D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марта 1944 г. так и не дождавшись обещанных черте</w:t>
      </w:r>
      <w:r w:rsidRPr="00070ADE">
        <w:rPr>
          <w:rFonts w:ascii="Times New Roman" w:hAnsi="Times New Roman"/>
          <w:color w:val="000000" w:themeColor="text1"/>
          <w:sz w:val="16"/>
          <w:szCs w:val="16"/>
        </w:rPr>
        <w:softHyphen/>
        <w:t>жей шасси танкосамохода (от завода 100) и артсистемы (от ОКБ 172) для новой САУ, конструкторы Уралмашзавода, связанные жесткими сроками утвержденного в начале 1944 г. наркоматом плана опытных работ, решили спроектировать собственный вариант «среднего фердинанда» с использова</w:t>
      </w:r>
      <w:r w:rsidRPr="00070ADE">
        <w:rPr>
          <w:rFonts w:ascii="Times New Roman" w:hAnsi="Times New Roman"/>
          <w:color w:val="000000" w:themeColor="text1"/>
          <w:sz w:val="16"/>
          <w:szCs w:val="16"/>
        </w:rPr>
        <w:softHyphen/>
        <w:t>нием отработанных узлов ходовой части СУ-85 и вооружени</w:t>
      </w:r>
      <w:r w:rsidRPr="00070ADE">
        <w:rPr>
          <w:rFonts w:ascii="Times New Roman" w:hAnsi="Times New Roman"/>
          <w:color w:val="000000" w:themeColor="text1"/>
          <w:sz w:val="16"/>
          <w:szCs w:val="16"/>
        </w:rPr>
        <w:softHyphen/>
        <w:t>ем из 85-мм длинноствольной или 100-мм пушек (ОКБ №9 заканчивало отработку 85-мм Д-5-85БМ и 100-мм Д-10). Разработка эскизного проекта машины, первоначально названной ЭСУ-100, началась в середине марта 1944 г. В те</w:t>
      </w:r>
      <w:r w:rsidRPr="00070ADE">
        <w:rPr>
          <w:rFonts w:ascii="Times New Roman" w:hAnsi="Times New Roman"/>
          <w:color w:val="000000" w:themeColor="text1"/>
          <w:sz w:val="16"/>
          <w:szCs w:val="16"/>
        </w:rPr>
        <w:softHyphen/>
        <w:t>чение месяца были спроектированы ее основные узлы: бронекорпус, подвеска на торсионных валах с использованием опорных катков Т-34, электротрансмиссия, боевое отделение под 85-мм орудие большой мощности и 100-мм орудие Д-10. В целом проект был одобрен к исполнению на пленуме НКТП в апреле 1944 г. (11417)</w:t>
      </w:r>
    </w:p>
    <w:p w14:paraId="35BD897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34E61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марта 1944 вышло Распоряжение ГКО № 5270. О выделении 1 тыс. военнообязанных, не годных к строевой службе, для работы в Ново-Лялинском леспромхозе НКБП. РГАНИР, Фонд ГКО, д. 214, лл. 121 (11012).</w:t>
      </w:r>
    </w:p>
    <w:p w14:paraId="310082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B8A69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марта 1944 вышло Распоряжение ГКО № 5271. О направлении на строительство Бакинского трубопрокатного завода НКЧМ строительного управления № 4 и о выделении 210 рабочих на восстановление Ворошиловского коксохимического завода. РГАНИР, Фонд ГКО, д. 214, лл. 122 (11012).</w:t>
      </w:r>
    </w:p>
    <w:p w14:paraId="0802A9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91AD7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марта 1944 вышло Постановление ГКО № 5273 О восстановлении Сталиногорской ГРЭС. РГАНИР, Фонд ГКО, д. 214, лл. 129-131,132-153 (11012).</w:t>
      </w:r>
    </w:p>
    <w:p w14:paraId="45C608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93FC81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марта 1944 вышло Постановление ГКО № 5274 О выделении Наркомзему СССР 1500 грузовых автомобилей. (7194, 154).</w:t>
      </w:r>
    </w:p>
    <w:p w14:paraId="7EEB4AA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9AF88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марта 1944 вышло Постановление ГКО № 5275 О реконструкции шоссейных дорог Беслан - Тбилиси - Ереван - Джульфа и Баку - Астара - Казвин. (7194, 155-159,160-161).</w:t>
      </w:r>
    </w:p>
    <w:p w14:paraId="0B3C23A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2FF5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марта 1944 вышло Постановление ГКО № 5276 О мерах помощи МТС в проведении весенних полевых работ в районах, освобожденных от немецкой оккупации. РГАНИР, Фонд ГКО, д. 214, лл. 162-164,165-166 (11012).</w:t>
      </w:r>
    </w:p>
    <w:p w14:paraId="53ED5F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4709E3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7F72BA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7B496E"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марта</w:t>
      </w:r>
      <w:r w:rsidRPr="00070ADE">
        <w:rPr>
          <w:rFonts w:ascii="Times New Roman" w:hAnsi="Times New Roman"/>
          <w:color w:val="000000" w:themeColor="text1"/>
          <w:sz w:val="16"/>
          <w:szCs w:val="16"/>
        </w:rPr>
        <w:t xml:space="preserve"> в 1944 году оперативная сводка Совинформбюро:</w:t>
      </w:r>
    </w:p>
    <w:p w14:paraId="67BCE7AF"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дней назад войска Ленинградского фронта с боем форсировали реку Нарва южнее города Нарва и, прорвав сильно укреплённую оборону противника, захватилина западном берегу реки плацдарм протяжением по фронту 35 километров и в глубину15 километров. Наши войска овладели населёнными пунктами Вяска, Мустайыэ, Суресору, Кяреконна, Себерги, Аувере, Хавакингу, Метскюла, Ухеконна и перерезали железную дорогу Нарва-Таллин в районе железнодорожной станции Аувере в 15 километрах западнее города Нарва.</w:t>
      </w:r>
    </w:p>
    <w:p w14:paraId="551125F9"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 марта на Псковском направлении наши войска продолжали вести наступательные бои, в ходе которых заняли более 70 населённых пунктов, в том числе Невадицы, Большая Жадунка, Рябова, Ланева Гора, Ореховичи, Олисово, Пересветово, Болотово, Сосницы, Васуткино, Кашино и железнодорожную станцию Русаки. Нашими войсками перерезана железная дорога Псков-Идрица.</w:t>
      </w:r>
    </w:p>
    <w:p w14:paraId="0DEAB5E6"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Cеверо-западнее Новосокольники наши войска с боями заняли несколько населённых пунктов и среди них Дупли, Литово, Пундровка, Куялы, Заборье, Луневка.</w:t>
      </w:r>
    </w:p>
    <w:p w14:paraId="0050F660"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Витебском направлении наши войска вели наступательные бои, в ходе которых заняли более 30 населённых пунктов и среди них Батали, Пекари, Скуловичи, Абухово, Тишкова, Вороны, Селюты.</w:t>
      </w:r>
    </w:p>
    <w:p w14:paraId="3D086EBB"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поиски разведчиков.</w:t>
      </w:r>
    </w:p>
    <w:p w14:paraId="078CDC12"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29 февраля наши войска на всех фронтах подбили и уничтожили 16 немецких танков. В воздушных боях и огнём зенитной артиллерии сбито 9 самолётов противника.</w:t>
      </w:r>
    </w:p>
    <w:p w14:paraId="41E36220"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Несколько дней назад войска Ленинградского фронта с боем переправились через реку Нарва, южнее города Нарва. Противник, опираясь на мощные оборонительные рубежи, оказывал упорное сопротивление и любой ценой стремился удержаться на занятых позициях. Советские пехотинцы при поддержке артиллеристов сломили </w:t>
      </w:r>
      <w:r w:rsidRPr="00070ADE">
        <w:rPr>
          <w:rFonts w:ascii="Times New Roman" w:hAnsi="Times New Roman"/>
          <w:color w:val="000000" w:themeColor="text1"/>
          <w:sz w:val="16"/>
          <w:szCs w:val="16"/>
        </w:rPr>
        <w:lastRenderedPageBreak/>
        <w:t>сопротивление немцев и захватили плацдарм на западном берету реки Нарва протяжением по фронту в 35 километров и в глубину на 15 километров. Наши войска перерезали железную дорогу Нарва-Таллин в районе станции Аувере, находящейся в15 километрах западнее города Нарва. На одном участке бойцы Н-ской части в ожесточённых боях разгромили два полка вражеской пехоты. Отступая, гитлеровцы бросили 25 орудий, 40 миномётов, много снарядов и мин. На другом участке советские части за два дня боёв истребили 1.200 гитлеровцев и захватили 3 исправных танка, 4 самоходных и 16 полевых орудий, 90 пулемётов и другие трофеи.</w:t>
      </w:r>
    </w:p>
    <w:p w14:paraId="4B383952"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Псковском направлении наши войска продолжали наступление и заняли более 70 населённых пунктов. Советские бойцы выбили немцев из нескольких сильно укреплённых опорных пунктов, прикрывающих подступы к городу Пскову. Овладев железнодорожной станцией Русаки, наши войска перерезали железную дорогу Псков-Идрица. В ходе боёв противник несёт тяжёлые потери в живой силе и технике. Бойцы Н-ской части уничтожили более 600 немецких солдат и офицеров. Артиллеристы этой же части огнём с открытых позиций уничтожили 7 немецких танков и 18 орудий. Большие потери наносят немцам наши разведчики. В одном районе 17 красноармейцев пробрались в тыл противника и оседлали шоссейную дорогу. Большая колонна немцев, отступавшая по этой дороге, была встречена пулемётным огнём. Немцы несколько разбросались в атаку против горстки наших бойцов. Уничтожив до 300 гитлеровцев, разведчики ночью оторвались от противника и вернулись в свою часть.</w:t>
      </w:r>
    </w:p>
    <w:p w14:paraId="46FBD482"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Новосокольники наши войска вели наступательные бои.Части Н-ского соединения заняли несколько населённых пунктов, уничтожив при этом до 400 немецких солдат и офицеров. Захвачено 11 орудий, 5 тяжёлых миномётов, 34 пулемёта и 3 склада боеприпасов. Части другого соединения, продвигаясь вдоль шоссе Новоржев-Пушкинские Горы, уничтожили до батальона немецкой пехоты и захватили значительное число пленных.</w:t>
      </w:r>
    </w:p>
    <w:p w14:paraId="46145146"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одном из районов Львовской области, в ночь на 14 февраля атаковал немецкий гарнизон в одном населённом пункте. В ожесточённом бою советские патриоты истребили до роты гитлеровцев. Захвачено у немцев более 100 винтовок и автоматов, 57 автомашин, 30 тонн бензина, 200 лошадей и склад зерна. Освобождены из фашистского застенка советские граждане, арестованные немцами. Другой отряд львовских партизан прямой наводкой из орудий обстрелял несколько немецких воинских эшелонов. Разбито 5 паровозов, 48 платформи 16 вагонов.</w:t>
      </w:r>
    </w:p>
    <w:p w14:paraId="147EC04D"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нанесли тяжёлое поражение немецкой танково-гренадерской дивизии «Фельдхернхалле». Большое количество солдат этой дивизии захвачено в плен. Пленные солдаты Карл Вольф, Иозеф Хенсбергер, Курт Биллер и другие рассказали: «В декабре прошлого года нашу дивизию перебросили на Восточный фронт. За несколько дней до отъезда был устроен смотр, на котором присутствовал руководитель штурмовых отрядов Шепман. Он произнёс перед солдатами речь, вкоторой заявил, что за лето немецкие войска отдали противнику значительную территорию и потеряли около 5 тысяч танков. Шепман говорил, что, посылая эсэсовские дивизии в Россию, командование надеется, что они будут прочно удерживать фронт. Вначале мы находились под Витебском, а потом спешно были переброшены на Ленинградский фронт. В известной мере мы были подготовлены к тяжёлым боям. Но то, что мы увидели, превзошло все наши ожидания. У нас былотакое ощущение, что немецкий фронт развалился. Мы наблюдали толпы солдат, отбившихся от своих частей, бросивших свое вооружение. На все расспросы они отвечали одной фразой: «Аллес капут», т. е. всё кончено. Наша дивизия также понесла громадные потери и все время откатывается назад. Многие солдаты начинают понимать, что дело идёт к катастрофе всей немецкой армии».</w:t>
      </w:r>
    </w:p>
    <w:p w14:paraId="5DA40397"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Жители посёлка Дзержинск, Житомирской области, рассказали о зверствах немецко-фашистских мерзавцев и их венгерских сообщников: «15-го декабря 1943 года несколько сот венгерских солдат оцепили местечко Дзержинск. Венгры вместе с немецкими полицейскими обходили дом за домом и забирали всех мужчин в возрастеот 14 до 70 лет. В этот день гитлеровцы арестовали несколько сот мирных жителейи отправили их в концлагерь в Шепетовку. В лагере находилось более пяти тысяч мирных жителей, в том числе женщины и дети. В кошмарных условиях мы провели три недели. От голода люди стали, как тени, и с трудом передвигали ноги. В начале января гитлеровцы погнали всех заключённых на запад. Обессилевшие старики, женщины и дети отставали и не могли идти дальше. Немцы и венгры безжалостно избивали их плётками и прикладами, а совсем слабых расстреливали на виду у всей колонны» (15055).</w:t>
      </w:r>
    </w:p>
    <w:p w14:paraId="782AABD7" w14:textId="77777777" w:rsidR="006E7509" w:rsidRPr="00070ADE" w:rsidRDefault="006E7509" w:rsidP="00B56F90">
      <w:pPr>
        <w:spacing w:after="0" w:line="240" w:lineRule="auto"/>
        <w:jc w:val="both"/>
        <w:rPr>
          <w:rFonts w:ascii="Times New Roman" w:hAnsi="Times New Roman"/>
          <w:color w:val="000000" w:themeColor="text1"/>
          <w:sz w:val="16"/>
          <w:szCs w:val="16"/>
        </w:rPr>
      </w:pPr>
    </w:p>
    <w:p w14:paraId="180F5E34"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марта</w:t>
      </w:r>
      <w:r w:rsidRPr="00070ADE">
        <w:rPr>
          <w:rFonts w:ascii="Times New Roman" w:hAnsi="Times New Roman"/>
          <w:color w:val="000000" w:themeColor="text1"/>
          <w:sz w:val="16"/>
          <w:szCs w:val="16"/>
        </w:rPr>
        <w:t xml:space="preserve"> в 1944 году после убийства генерала Ватутина маршал Жуков принимает на себя командование Первым Украинским фронтом (15055).</w:t>
      </w:r>
    </w:p>
    <w:p w14:paraId="209DB78D" w14:textId="77777777" w:rsidR="006E7509" w:rsidRPr="00070ADE" w:rsidRDefault="006E7509" w:rsidP="00B56F90">
      <w:pPr>
        <w:spacing w:after="0" w:line="240" w:lineRule="auto"/>
        <w:jc w:val="both"/>
        <w:rPr>
          <w:rFonts w:ascii="Times New Roman" w:hAnsi="Times New Roman"/>
          <w:color w:val="000000" w:themeColor="text1"/>
          <w:sz w:val="16"/>
          <w:szCs w:val="16"/>
        </w:rPr>
      </w:pPr>
    </w:p>
    <w:p w14:paraId="5D975AB6"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марта</w:t>
      </w:r>
      <w:r w:rsidRPr="00070ADE">
        <w:rPr>
          <w:rFonts w:ascii="Times New Roman" w:hAnsi="Times New Roman"/>
          <w:color w:val="000000" w:themeColor="text1"/>
          <w:sz w:val="16"/>
          <w:szCs w:val="16"/>
        </w:rPr>
        <w:t xml:space="preserve"> в 1944 году завершение Ленинградско-Новгородской операции (15055).</w:t>
      </w:r>
    </w:p>
    <w:p w14:paraId="127FE4B1" w14:textId="77777777" w:rsidR="006E7509" w:rsidRPr="00070ADE" w:rsidRDefault="006E7509" w:rsidP="00B56F90">
      <w:pPr>
        <w:spacing w:after="0" w:line="240" w:lineRule="auto"/>
        <w:jc w:val="both"/>
        <w:rPr>
          <w:rFonts w:ascii="Times New Roman" w:hAnsi="Times New Roman"/>
          <w:color w:val="000000" w:themeColor="text1"/>
          <w:sz w:val="16"/>
          <w:szCs w:val="16"/>
        </w:rPr>
      </w:pPr>
    </w:p>
    <w:p w14:paraId="4F75155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марта 1944 вышло Постановление ГКО № 5272 [О мерах по обеспечению маскировки и затруднении подслушивания оперативных телефонных разговоров штабов фронтов, армий, корпусов и прифронтовых железнодорожных участков.] (7194, 123-124,125-128).</w:t>
      </w:r>
    </w:p>
    <w:p w14:paraId="59C0AFE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29101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марта 1944 после убийства генерала Ватутина маршал Жуков принял на себя командование Первым Украинским фронтом (4962).</w:t>
      </w:r>
    </w:p>
    <w:p w14:paraId="525A9CF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44976E" w14:textId="77777777" w:rsidR="00792950" w:rsidRPr="00070ADE" w:rsidRDefault="00792950"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57723FC9" w14:textId="77777777" w:rsidR="00792950" w:rsidRPr="00070ADE" w:rsidRDefault="00792950"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05E05A" w14:textId="77777777" w:rsidR="00792950" w:rsidRPr="00070ADE" w:rsidRDefault="0079295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марта 1944 г. "Правда" в официальном отчете по ленд-лизу сообщила, что объем продовольственных поставок союзников составил 3,5% от общих продовольственных запасов СССР в годы войны. С тех пор эта цифра без должного анализа и даже комментариев продолжает приводиться даже в, казалось бы, самых солидных работах. Тщетно искать в этих изданиях абсолютные цифры поставок со ссылками на советские источники (19582).</w:t>
      </w:r>
    </w:p>
    <w:p w14:paraId="5D7CD0D5" w14:textId="77777777" w:rsidR="00792950" w:rsidRPr="00070ADE" w:rsidRDefault="00792950" w:rsidP="00B56F90">
      <w:pPr>
        <w:spacing w:after="0" w:line="240" w:lineRule="auto"/>
        <w:jc w:val="both"/>
        <w:rPr>
          <w:rFonts w:ascii="Times New Roman" w:hAnsi="Times New Roman"/>
          <w:color w:val="000000" w:themeColor="text1"/>
          <w:sz w:val="16"/>
          <w:szCs w:val="16"/>
        </w:rPr>
      </w:pPr>
    </w:p>
    <w:p w14:paraId="18646A0D" w14:textId="77777777" w:rsidR="006E750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5F453310" w14:textId="77777777" w:rsidR="006E7509" w:rsidRPr="00070ADE" w:rsidRDefault="006E7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C4CB72"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марта</w:t>
      </w:r>
      <w:r w:rsidRPr="00070ADE">
        <w:rPr>
          <w:rFonts w:ascii="Times New Roman" w:hAnsi="Times New Roman"/>
          <w:color w:val="000000" w:themeColor="text1"/>
          <w:sz w:val="16"/>
          <w:szCs w:val="16"/>
        </w:rPr>
        <w:t xml:space="preserve"> в 1944 году сообщение Информбюро Наркоминдела СССР «К вопросу о советско-финских отношениях», содержавшее условия перемирия, предъявленные Советским Союзом Финляндии (15055).</w:t>
      </w:r>
    </w:p>
    <w:p w14:paraId="24BDBE11" w14:textId="77777777" w:rsidR="006E7509" w:rsidRPr="00070ADE" w:rsidRDefault="006E7509" w:rsidP="00B56F90">
      <w:pPr>
        <w:spacing w:after="0" w:line="240" w:lineRule="auto"/>
        <w:jc w:val="both"/>
        <w:rPr>
          <w:rFonts w:ascii="Times New Roman" w:hAnsi="Times New Roman"/>
          <w:color w:val="000000" w:themeColor="text1"/>
          <w:sz w:val="16"/>
          <w:szCs w:val="16"/>
        </w:rPr>
      </w:pPr>
    </w:p>
    <w:p w14:paraId="1E314A2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3F661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0D769E"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марта 1944 года</w:t>
      </w:r>
    </w:p>
    <w:p w14:paraId="558C561A"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распоряжения Альберта Шпеера от 1 марта 1944 года об учреждении Штаба по производству самолетов-истребителей</w:t>
      </w:r>
    </w:p>
    <w:p w14:paraId="03D000F6"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 Для выполнения программы производства самолетов-истребителей при имперском министре вооружений и военного производства немедленно создается Штаб по производству истребителей пока сроком на шесть месяцев. </w:t>
      </w:r>
    </w:p>
    <w:p w14:paraId="5DC184DA"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Его задача — отдавать без бюрократических проволочек прямые приказы о восстановлении поврежденных предприятий или об их переводе.</w:t>
      </w:r>
    </w:p>
    <w:p w14:paraId="641294D5"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Эта задача, особенно когда речь идет о строительных работах, стала в последнее время одной из важнейших</w:t>
      </w:r>
    </w:p>
    <w:p w14:paraId="37E48FF6"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Поэтому устранение ущерба, нанесенного в результате бомбардировок в городах, меры по противовоздушной обороне, а также другие оборонные стройки надо ставить на второй план. Исключением является только производство подшипников, строительство бетонных взлетных полос для дневных и ночных истребителей, коммунальное снабжение (газ, вода, электричество), а также средства транспорта в разрушенных бомбежками городах.</w:t>
      </w:r>
    </w:p>
    <w:p w14:paraId="5673AF60"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строительные работы надо привлекать имеющихся в Германии строительных рабочих, невзирая на возможное оголение других участков.</w:t>
      </w:r>
    </w:p>
    <w:p w14:paraId="2F1BDC01"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Штаб истребителей состоит из следующих лиц:</w:t>
      </w:r>
    </w:p>
    <w:p w14:paraId="5AD3DBF1"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Руководство:</w:t>
      </w:r>
    </w:p>
    <w:p w14:paraId="0CA994A1"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имперский министр Шпеер, генерал-фельдмаршал Мильх, их заместитель, он же начальник штаба, г-н Заур.</w:t>
      </w:r>
    </w:p>
    <w:p w14:paraId="60B7A36D"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Члены:</w:t>
      </w:r>
    </w:p>
    <w:p w14:paraId="00057C9F"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ответственный за строительные работы — дипломированный инженер Шлемп.</w:t>
      </w:r>
    </w:p>
    <w:p w14:paraId="6D8A8214"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ответственный за строительные работы особой важности— группенфюрер СС инженер д-р Камлер.</w:t>
      </w:r>
    </w:p>
    <w:p w14:paraId="75AD1A72"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ответственный за планирование строительства — дипломированный инженер Вегенер,</w:t>
      </w:r>
    </w:p>
    <w:p w14:paraId="0CDC85AC"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ответственный за поставки материалов — д-р Шааф,</w:t>
      </w:r>
    </w:p>
    <w:p w14:paraId="0300CD83"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секретном распоряжении Геринга о создании Штаба истребителей от 4 марта 1944 г. по этому поводу говорится: «Если речь идет о создании защищенных от бомбардировок заводов в больших пещерах и штольнях, имперский министр вооружений и военного производства привлекает для проведения необходимых строительных работ рейхсфюрера СС... Рейхсфюрер СС выделяет для строительства и работы на заводах в качестве вспомогательной рабочей силы необходимое число заключенных».</w:t>
      </w:r>
    </w:p>
    <w:p w14:paraId="50D8CCA4"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Руководящим сотрудником Шлемпа был Генрих Любке.</w:t>
      </w:r>
    </w:p>
    <w:p w14:paraId="282F964F"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ответственный за использование рабочей силы — д-р Шмельтер,</w:t>
      </w:r>
    </w:p>
    <w:p w14:paraId="44A6204D"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ответственный за конфискацию переводимых в другие места объектов — советник Хубер,</w:t>
      </w:r>
    </w:p>
    <w:p w14:paraId="34320E61"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ответственный за транспорт — начальник транспортных средств имперского министерства вооружений и военного производства Нагель,</w:t>
      </w:r>
    </w:p>
    <w:p w14:paraId="7F5E61FF"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ответственный за снабжение электроэнергией — генеральный директор, дипломированный инженер Фишер.</w:t>
      </w:r>
    </w:p>
    <w:p w14:paraId="62E26DC5"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Решения Штаба истребителей равнозначны распоряжениям имперского министра вооружений и военного производства, а также имперского министра воздушных сообщений и главнокомандующего ВВС (генерального инспектора по снабжению ВВС). Обработка документации осуществляется отдельными членами Штаба истребителей, которые -ставят на своих обычных бланках такое дополнение: «Штаб по производству самолетов-истребителей».</w:t>
      </w:r>
    </w:p>
    <w:p w14:paraId="2399FB68"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Если -при производстве самолетов и их -поставках, при перемещении производства и использовании рабочей силы (возникнет необходимость воспользоваться средствами армии или (военно-морского флота, соответствующие члены Штаба истребителей должны получить на это согласие соответствующего начальника управления имперского министерства вооружений и военного производства, который в случае необходимости принимает решение.</w:t>
      </w:r>
    </w:p>
    <w:p w14:paraId="654E7A47"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3. Штаб истребителей создает свои бюро на тех заводах, где это необходимо. Начальник штаба назначает </w:t>
      </w:r>
    </w:p>
    <w:p w14:paraId="0EB5EA29"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руководителями этих бюро людей, которые не являются членами штаба.</w:t>
      </w:r>
    </w:p>
    <w:p w14:paraId="73E4DDBD"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НЦА, Потсдам, Имперское министерство экономики,</w:t>
      </w:r>
    </w:p>
    <w:p w14:paraId="2E1B9A5E"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20308, л. 110—111 (20478).</w:t>
      </w:r>
    </w:p>
    <w:p w14:paraId="73FDC19E" w14:textId="77777777" w:rsidR="004F13F4" w:rsidRPr="00070ADE" w:rsidRDefault="004F13F4" w:rsidP="00B56F90">
      <w:pPr>
        <w:spacing w:after="0" w:line="240" w:lineRule="auto"/>
        <w:jc w:val="both"/>
        <w:rPr>
          <w:rFonts w:ascii="Times New Roman" w:hAnsi="Times New Roman"/>
          <w:color w:val="000000" w:themeColor="text1"/>
          <w:sz w:val="16"/>
          <w:szCs w:val="16"/>
        </w:rPr>
      </w:pPr>
    </w:p>
    <w:p w14:paraId="278F8B0B" w14:textId="77777777" w:rsidR="00895C2F" w:rsidRPr="00070ADE" w:rsidRDefault="00895C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марта 1944 г. был создан «истребительный штаб» под руководством О. Заура — протеже и заместителя имперс</w:t>
      </w:r>
      <w:r w:rsidRPr="00070ADE">
        <w:rPr>
          <w:rFonts w:ascii="Times New Roman" w:hAnsi="Times New Roman"/>
          <w:color w:val="000000" w:themeColor="text1"/>
          <w:sz w:val="16"/>
          <w:szCs w:val="16"/>
        </w:rPr>
        <w:softHyphen/>
        <w:t>кого министра вооружений и боеприпасов А. Шпеера и человека, близкого к фюреру. Главной задачей «истребительного штаба» яв</w:t>
      </w:r>
      <w:r w:rsidRPr="00070ADE">
        <w:rPr>
          <w:rFonts w:ascii="Times New Roman" w:hAnsi="Times New Roman"/>
          <w:color w:val="000000" w:themeColor="text1"/>
          <w:sz w:val="16"/>
          <w:szCs w:val="16"/>
        </w:rPr>
        <w:softHyphen/>
        <w:t>лялось увеличение объемов производства ис</w:t>
      </w:r>
      <w:r w:rsidRPr="00070ADE">
        <w:rPr>
          <w:rFonts w:ascii="Times New Roman" w:hAnsi="Times New Roman"/>
          <w:color w:val="000000" w:themeColor="text1"/>
          <w:sz w:val="16"/>
          <w:szCs w:val="16"/>
        </w:rPr>
        <w:softHyphen/>
        <w:t>требителей «традиционного типа» в кратчай</w:t>
      </w:r>
      <w:r w:rsidRPr="00070ADE">
        <w:rPr>
          <w:rFonts w:ascii="Times New Roman" w:hAnsi="Times New Roman"/>
          <w:color w:val="000000" w:themeColor="text1"/>
          <w:sz w:val="16"/>
          <w:szCs w:val="16"/>
        </w:rPr>
        <w:softHyphen/>
        <w:t>шие сроки. Идея создания такого «штаба» возникла после осмотра разрушенного завода «Эрла» в Лейпциге в конце февраля. Историк Д. Ирвинг так прокомментировал ситуацию:</w:t>
      </w:r>
    </w:p>
    <w:p w14:paraId="48D5F83E" w14:textId="77777777" w:rsidR="00895C2F" w:rsidRPr="00070ADE" w:rsidRDefault="00895C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«Состоящий из наделенных особыми пол</w:t>
      </w:r>
      <w:r w:rsidRPr="00070ADE">
        <w:rPr>
          <w:rFonts w:ascii="Times New Roman" w:hAnsi="Times New Roman"/>
          <w:color w:val="000000" w:themeColor="text1"/>
          <w:sz w:val="16"/>
          <w:szCs w:val="16"/>
        </w:rPr>
        <w:softHyphen/>
        <w:t>номочиями главных сотрудников ведомств Мильха и Шпеера, этот орган должен был контролировать срочную эвакуацию и восста</w:t>
      </w:r>
      <w:r w:rsidRPr="00070ADE">
        <w:rPr>
          <w:rFonts w:ascii="Times New Roman" w:hAnsi="Times New Roman"/>
          <w:color w:val="000000" w:themeColor="text1"/>
          <w:sz w:val="16"/>
          <w:szCs w:val="16"/>
        </w:rPr>
        <w:softHyphen/>
        <w:t>новление предприятий, занимавшихся про</w:t>
      </w:r>
      <w:r w:rsidRPr="00070ADE">
        <w:rPr>
          <w:rFonts w:ascii="Times New Roman" w:hAnsi="Times New Roman"/>
          <w:color w:val="000000" w:themeColor="text1"/>
          <w:sz w:val="16"/>
          <w:szCs w:val="16"/>
        </w:rPr>
        <w:softHyphen/>
        <w:t>изводством истребителей. Сами заводы не имели никаких резервов рабочей силы и мате</w:t>
      </w:r>
      <w:r w:rsidRPr="00070ADE">
        <w:rPr>
          <w:rFonts w:ascii="Times New Roman" w:hAnsi="Times New Roman"/>
          <w:color w:val="000000" w:themeColor="text1"/>
          <w:sz w:val="16"/>
          <w:szCs w:val="16"/>
        </w:rPr>
        <w:softHyphen/>
        <w:t>риалов, транспортных средств. «Я лично убежден в том, что перед лицом этих проблем местные органы власти и структуры вермахта проявляют просто потрясающее бессилие и беспомощность», — сказал статс-секретарь министерства авиации».</w:t>
      </w:r>
    </w:p>
    <w:p w14:paraId="53A134CB" w14:textId="77777777" w:rsidR="00895C2F" w:rsidRPr="00070ADE" w:rsidRDefault="00895C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Шаги, предпринятые «истребительным штабом», дали впечатляющие результаты. Прежде всего отмечался заметный рост объе</w:t>
      </w:r>
      <w:r w:rsidRPr="00070ADE">
        <w:rPr>
          <w:rFonts w:ascii="Times New Roman" w:hAnsi="Times New Roman"/>
          <w:color w:val="000000" w:themeColor="text1"/>
          <w:sz w:val="16"/>
          <w:szCs w:val="16"/>
        </w:rPr>
        <w:softHyphen/>
        <w:t>мов выпуска «сто девятых» и двигателей к ним, хотя одних только административных мер оказалось недостаточно. Тесное сотруд</w:t>
      </w:r>
      <w:r w:rsidRPr="00070ADE">
        <w:rPr>
          <w:rFonts w:ascii="Times New Roman" w:hAnsi="Times New Roman"/>
          <w:color w:val="000000" w:themeColor="text1"/>
          <w:sz w:val="16"/>
          <w:szCs w:val="16"/>
        </w:rPr>
        <w:softHyphen/>
        <w:t>ничество «штаба» с генеральным рейхскомис</w:t>
      </w:r>
      <w:r w:rsidRPr="00070ADE">
        <w:rPr>
          <w:rFonts w:ascii="Times New Roman" w:hAnsi="Times New Roman"/>
          <w:color w:val="000000" w:themeColor="text1"/>
          <w:sz w:val="16"/>
          <w:szCs w:val="16"/>
        </w:rPr>
        <w:softHyphen/>
        <w:t>саром по использованию рабочей силы Заукелем позволило принудительно направить на авиазаводы десятки тысяч заключенных и во</w:t>
      </w:r>
      <w:r w:rsidRPr="00070ADE">
        <w:rPr>
          <w:rFonts w:ascii="Times New Roman" w:hAnsi="Times New Roman"/>
          <w:color w:val="000000" w:themeColor="text1"/>
          <w:sz w:val="16"/>
          <w:szCs w:val="16"/>
        </w:rPr>
        <w:softHyphen/>
        <w:t>еннопленных, которых подвергали безжало</w:t>
      </w:r>
      <w:r w:rsidRPr="00070ADE">
        <w:rPr>
          <w:rFonts w:ascii="Times New Roman" w:hAnsi="Times New Roman"/>
          <w:color w:val="000000" w:themeColor="text1"/>
          <w:sz w:val="16"/>
          <w:szCs w:val="16"/>
        </w:rPr>
        <w:softHyphen/>
        <w:t>стной эксплуатации.</w:t>
      </w:r>
    </w:p>
    <w:p w14:paraId="6A733A84" w14:textId="77777777" w:rsidR="00895C2F" w:rsidRPr="00070ADE" w:rsidRDefault="00895C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Успех работы «штаба» базировался не толь</w:t>
      </w:r>
      <w:r w:rsidRPr="00070ADE">
        <w:rPr>
          <w:rFonts w:ascii="Times New Roman" w:hAnsi="Times New Roman"/>
          <w:color w:val="000000" w:themeColor="text1"/>
          <w:sz w:val="16"/>
          <w:szCs w:val="16"/>
        </w:rPr>
        <w:softHyphen/>
        <w:t>ко на рабском труде, но и на решениях, при</w:t>
      </w:r>
      <w:r w:rsidRPr="00070ADE">
        <w:rPr>
          <w:rFonts w:ascii="Times New Roman" w:hAnsi="Times New Roman"/>
          <w:color w:val="000000" w:themeColor="text1"/>
          <w:sz w:val="16"/>
          <w:szCs w:val="16"/>
        </w:rPr>
        <w:softHyphen/>
        <w:t>нятых ранее, предусматривавших увеличение объемов необходимых материалов и комплек</w:t>
      </w:r>
      <w:r w:rsidRPr="00070ADE">
        <w:rPr>
          <w:rFonts w:ascii="Times New Roman" w:hAnsi="Times New Roman"/>
          <w:color w:val="000000" w:themeColor="text1"/>
          <w:sz w:val="16"/>
          <w:szCs w:val="16"/>
        </w:rPr>
        <w:softHyphen/>
        <w:t>тующих. Все же бомбардировки авиации со</w:t>
      </w:r>
      <w:r w:rsidRPr="00070ADE">
        <w:rPr>
          <w:rFonts w:ascii="Times New Roman" w:hAnsi="Times New Roman"/>
          <w:color w:val="000000" w:themeColor="text1"/>
          <w:sz w:val="16"/>
          <w:szCs w:val="16"/>
        </w:rPr>
        <w:softHyphen/>
        <w:t>юзников осенью 1943 г. сдерживали темп ра</w:t>
      </w:r>
      <w:r w:rsidRPr="00070ADE">
        <w:rPr>
          <w:rFonts w:ascii="Times New Roman" w:hAnsi="Times New Roman"/>
          <w:color w:val="000000" w:themeColor="text1"/>
          <w:sz w:val="16"/>
          <w:szCs w:val="16"/>
        </w:rPr>
        <w:softHyphen/>
        <w:t>боты сборочных линий из-за нехватки отдель</w:t>
      </w:r>
      <w:r w:rsidRPr="00070ADE">
        <w:rPr>
          <w:rFonts w:ascii="Times New Roman" w:hAnsi="Times New Roman"/>
          <w:color w:val="000000" w:themeColor="text1"/>
          <w:sz w:val="16"/>
          <w:szCs w:val="16"/>
        </w:rPr>
        <w:softHyphen/>
        <w:t>ных запасных частей. По распоряжению «ис</w:t>
      </w:r>
      <w:r w:rsidRPr="00070ADE">
        <w:rPr>
          <w:rFonts w:ascii="Times New Roman" w:hAnsi="Times New Roman"/>
          <w:color w:val="000000" w:themeColor="text1"/>
          <w:sz w:val="16"/>
          <w:szCs w:val="16"/>
        </w:rPr>
        <w:softHyphen/>
        <w:t>требительного штаба» продолжительность рабочей недели была увеличена с 50—60 ч до 72 ч, одновременно возросла и интенсивность работ. Были организованы специальные транспортные авиаотряды для срочной до</w:t>
      </w:r>
      <w:r w:rsidRPr="00070ADE">
        <w:rPr>
          <w:rFonts w:ascii="Times New Roman" w:hAnsi="Times New Roman"/>
          <w:color w:val="000000" w:themeColor="text1"/>
          <w:sz w:val="16"/>
          <w:szCs w:val="16"/>
        </w:rPr>
        <w:softHyphen/>
        <w:t>ставки дефицитных узлов и деталей, сформи</w:t>
      </w:r>
      <w:r w:rsidRPr="00070ADE">
        <w:rPr>
          <w:rFonts w:ascii="Times New Roman" w:hAnsi="Times New Roman"/>
          <w:color w:val="000000" w:themeColor="text1"/>
          <w:sz w:val="16"/>
          <w:szCs w:val="16"/>
        </w:rPr>
        <w:softHyphen/>
        <w:t>рованы восстановительные бригады, которые направлялись на заводы, получившие по</w:t>
      </w:r>
      <w:r w:rsidRPr="00070ADE">
        <w:rPr>
          <w:rFonts w:ascii="Times New Roman" w:hAnsi="Times New Roman"/>
          <w:color w:val="000000" w:themeColor="text1"/>
          <w:sz w:val="16"/>
          <w:szCs w:val="16"/>
        </w:rPr>
        <w:softHyphen/>
        <w:t>вреждения от бомбардировок. Если возника</w:t>
      </w:r>
      <w:r w:rsidRPr="00070ADE">
        <w:rPr>
          <w:rFonts w:ascii="Times New Roman" w:hAnsi="Times New Roman"/>
          <w:color w:val="000000" w:themeColor="text1"/>
          <w:sz w:val="16"/>
          <w:szCs w:val="16"/>
        </w:rPr>
        <w:softHyphen/>
        <w:t>ли сомнения в компетентности управляюще</w:t>
      </w:r>
      <w:r w:rsidRPr="00070ADE">
        <w:rPr>
          <w:rFonts w:ascii="Times New Roman" w:hAnsi="Times New Roman"/>
          <w:color w:val="000000" w:themeColor="text1"/>
          <w:sz w:val="16"/>
          <w:szCs w:val="16"/>
        </w:rPr>
        <w:softHyphen/>
        <w:t>го персонала, его тут же заменяли представи</w:t>
      </w:r>
      <w:r w:rsidRPr="00070ADE">
        <w:rPr>
          <w:rFonts w:ascii="Times New Roman" w:hAnsi="Times New Roman"/>
          <w:color w:val="000000" w:themeColor="text1"/>
          <w:sz w:val="16"/>
          <w:szCs w:val="16"/>
        </w:rPr>
        <w:softHyphen/>
        <w:t>телями «команды Заура». За любое неповино</w:t>
      </w:r>
      <w:r w:rsidRPr="00070ADE">
        <w:rPr>
          <w:rFonts w:ascii="Times New Roman" w:hAnsi="Times New Roman"/>
          <w:color w:val="000000" w:themeColor="text1"/>
          <w:sz w:val="16"/>
          <w:szCs w:val="16"/>
        </w:rPr>
        <w:softHyphen/>
        <w:t>вение следовал арест. Меры, предпринятые «истребительным штабом» на рурских метал</w:t>
      </w:r>
      <w:r w:rsidRPr="00070ADE">
        <w:rPr>
          <w:rFonts w:ascii="Times New Roman" w:hAnsi="Times New Roman"/>
          <w:color w:val="000000" w:themeColor="text1"/>
          <w:sz w:val="16"/>
          <w:szCs w:val="16"/>
        </w:rPr>
        <w:softHyphen/>
        <w:t>лургических заводах, оказали магическое дей</w:t>
      </w:r>
      <w:r w:rsidRPr="00070ADE">
        <w:rPr>
          <w:rFonts w:ascii="Times New Roman" w:hAnsi="Times New Roman"/>
          <w:color w:val="000000" w:themeColor="text1"/>
          <w:sz w:val="16"/>
          <w:szCs w:val="16"/>
        </w:rPr>
        <w:softHyphen/>
        <w:t>ствие: извечная проблема Bf 109G — изготов</w:t>
      </w:r>
      <w:r w:rsidRPr="00070ADE">
        <w:rPr>
          <w:rFonts w:ascii="Times New Roman" w:hAnsi="Times New Roman"/>
          <w:color w:val="000000" w:themeColor="text1"/>
          <w:sz w:val="16"/>
          <w:szCs w:val="16"/>
        </w:rPr>
        <w:softHyphen/>
        <w:t>ление полок лонжеронов крыла с перемен</w:t>
      </w:r>
      <w:r w:rsidRPr="00070ADE">
        <w:rPr>
          <w:rFonts w:ascii="Times New Roman" w:hAnsi="Times New Roman"/>
          <w:color w:val="000000" w:themeColor="text1"/>
          <w:sz w:val="16"/>
          <w:szCs w:val="16"/>
        </w:rPr>
        <w:softHyphen/>
        <w:t>ным профилем — была решена в течение не</w:t>
      </w:r>
      <w:r w:rsidRPr="00070ADE">
        <w:rPr>
          <w:rFonts w:ascii="Times New Roman" w:hAnsi="Times New Roman"/>
          <w:color w:val="000000" w:themeColor="text1"/>
          <w:sz w:val="16"/>
          <w:szCs w:val="16"/>
        </w:rPr>
        <w:softHyphen/>
        <w:t>скольких дней.</w:t>
      </w:r>
    </w:p>
    <w:p w14:paraId="6198D3EF" w14:textId="77777777" w:rsidR="00895C2F" w:rsidRPr="00070ADE" w:rsidRDefault="00895C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Число принятых Люфтваффе самолетов, построен</w:t>
      </w:r>
      <w:r w:rsidRPr="00070ADE">
        <w:rPr>
          <w:rFonts w:ascii="Times New Roman" w:hAnsi="Times New Roman"/>
          <w:color w:val="000000" w:themeColor="text1"/>
          <w:sz w:val="16"/>
          <w:szCs w:val="16"/>
        </w:rPr>
        <w:softHyphen/>
        <w:t>ных заводами Германии, Венгрии и Румынии, несмотря на усиливающиеся бомбардировки союзников, возросло в 1944 г. практически вдвое — до 12 807 только в варианте истребителя.</w:t>
      </w:r>
    </w:p>
    <w:p w14:paraId="3F076CF0" w14:textId="77777777" w:rsidR="00895C2F" w:rsidRPr="00070ADE" w:rsidRDefault="00895C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Рассредоточение производства негативно повлияло, как отмечал Геринг, на качество — многие узлы, выпускаемые разны</w:t>
      </w:r>
      <w:r w:rsidRPr="00070ADE">
        <w:rPr>
          <w:rFonts w:ascii="Times New Roman" w:hAnsi="Times New Roman"/>
          <w:color w:val="000000" w:themeColor="text1"/>
          <w:sz w:val="16"/>
          <w:szCs w:val="16"/>
        </w:rPr>
        <w:softHyphen/>
        <w:t>ми производителями, оказались невзаимоза</w:t>
      </w:r>
      <w:r w:rsidRPr="00070ADE">
        <w:rPr>
          <w:rFonts w:ascii="Times New Roman" w:hAnsi="Times New Roman"/>
          <w:color w:val="000000" w:themeColor="text1"/>
          <w:sz w:val="16"/>
          <w:szCs w:val="16"/>
        </w:rPr>
        <w:softHyphen/>
        <w:t>меняемыми. Это обстоятельство немедленно снизило коэффициент исправности самоле</w:t>
      </w:r>
      <w:r w:rsidRPr="00070ADE">
        <w:rPr>
          <w:rFonts w:ascii="Times New Roman" w:hAnsi="Times New Roman"/>
          <w:color w:val="000000" w:themeColor="text1"/>
          <w:sz w:val="16"/>
          <w:szCs w:val="16"/>
        </w:rPr>
        <w:softHyphen/>
        <w:t>тов: несмотря на резкое увеличение объемов выпуска Bf 109 реальное число боеготовых ис</w:t>
      </w:r>
      <w:r w:rsidRPr="00070ADE">
        <w:rPr>
          <w:rFonts w:ascii="Times New Roman" w:hAnsi="Times New Roman"/>
          <w:color w:val="000000" w:themeColor="text1"/>
          <w:sz w:val="16"/>
          <w:szCs w:val="16"/>
        </w:rPr>
        <w:softHyphen/>
        <w:t>требителей в частях Люфтваффе возросло не</w:t>
      </w:r>
      <w:r w:rsidRPr="00070ADE">
        <w:rPr>
          <w:rFonts w:ascii="Times New Roman" w:hAnsi="Times New Roman"/>
          <w:color w:val="000000" w:themeColor="text1"/>
          <w:sz w:val="16"/>
          <w:szCs w:val="16"/>
        </w:rPr>
        <w:softHyphen/>
        <w:t>существенно (24195).</w:t>
      </w:r>
    </w:p>
    <w:p w14:paraId="1AEB095C" w14:textId="77777777" w:rsidR="00895C2F" w:rsidRPr="00070ADE" w:rsidRDefault="00895C2F" w:rsidP="00B56F90">
      <w:pPr>
        <w:spacing w:after="0" w:line="240" w:lineRule="auto"/>
        <w:jc w:val="both"/>
        <w:rPr>
          <w:rFonts w:ascii="Times New Roman" w:hAnsi="Times New Roman"/>
          <w:color w:val="000000" w:themeColor="text1"/>
          <w:sz w:val="16"/>
          <w:szCs w:val="16"/>
        </w:rPr>
      </w:pPr>
    </w:p>
    <w:p w14:paraId="45D2BD8D" w14:textId="129C986E" w:rsidR="00895C2F" w:rsidRPr="00070ADE" w:rsidRDefault="00895C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 марта 1944</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Каммлер руководил строительством подземных заводов по производству новых видов оружия. За первые 8 недель он построил 10 таких заводов, широко используя труд заключенных концлагерей. В марте 1944 г. Каммлер в качестве личного представителя Гиммлера вошёл 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«авиационный штаб», состоявшй из высших чиновников ВВС, Министерства вооружения и</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боеприпасов. Рейхсмаршал Герман Геринг («нацист № 2») поручил ему переместить под землю все стратегически важные авиационные объекты (23372).</w:t>
      </w:r>
    </w:p>
    <w:p w14:paraId="40BEADBA" w14:textId="77777777" w:rsidR="00895C2F" w:rsidRPr="00070ADE" w:rsidRDefault="00895C2F" w:rsidP="00B56F90">
      <w:pPr>
        <w:spacing w:after="0" w:line="240" w:lineRule="auto"/>
        <w:jc w:val="both"/>
        <w:rPr>
          <w:rFonts w:ascii="Times New Roman" w:hAnsi="Times New Roman"/>
          <w:color w:val="000000" w:themeColor="text1"/>
          <w:sz w:val="16"/>
          <w:szCs w:val="16"/>
        </w:rPr>
      </w:pPr>
    </w:p>
    <w:p w14:paraId="0175B5B1"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марта 1944 первый полет Horten H.IX V1, планера без двигателя, который был первым прототипом Horten Ho 229 (20373).</w:t>
      </w:r>
    </w:p>
    <w:p w14:paraId="1BC7FDA0" w14:textId="77777777" w:rsidR="004F13F4" w:rsidRPr="00070ADE" w:rsidRDefault="004F13F4" w:rsidP="00B56F90">
      <w:pPr>
        <w:spacing w:after="0" w:line="240" w:lineRule="auto"/>
        <w:jc w:val="both"/>
        <w:rPr>
          <w:rFonts w:ascii="Times New Roman" w:hAnsi="Times New Roman"/>
          <w:color w:val="000000" w:themeColor="text1"/>
          <w:sz w:val="16"/>
          <w:szCs w:val="16"/>
        </w:rPr>
      </w:pPr>
    </w:p>
    <w:p w14:paraId="1C7E7DC1" w14:textId="77777777" w:rsidR="004F13F4" w:rsidRPr="00070ADE" w:rsidRDefault="004F13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марта (ночь) 1944 557 британских бомбардировщиков атакуют Штутгарт, Германия. Из-за сильной облачности, мешающей перехвату немецких ночных истребителей, только четыре бомбардировщика (0,7 процента) не смогли вернуться (20373).</w:t>
      </w:r>
    </w:p>
    <w:p w14:paraId="3BAB06CB" w14:textId="77777777" w:rsidR="004F13F4" w:rsidRPr="00070ADE" w:rsidRDefault="004F13F4" w:rsidP="00B56F90">
      <w:pPr>
        <w:spacing w:after="0" w:line="240" w:lineRule="auto"/>
        <w:jc w:val="both"/>
        <w:rPr>
          <w:rFonts w:ascii="Times New Roman" w:hAnsi="Times New Roman"/>
          <w:color w:val="000000" w:themeColor="text1"/>
          <w:sz w:val="16"/>
          <w:szCs w:val="16"/>
        </w:rPr>
      </w:pPr>
    </w:p>
    <w:p w14:paraId="7E0A59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марта 1944 г. со штабом 65-го армейского корпуса было проведено командно-штабное учение. Темой учения стал внезапный массированный удар по Англии V1, V2, бомбардировочной авиацией и дальнобойной артиллерией.</w:t>
      </w:r>
    </w:p>
    <w:p w14:paraId="6E15DC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мая 1944 г. верховное главнокомандование вермахта отдало приказ на боевое применение крылатых ракет V1. Интересно, что в разгар подготовки союзников к высадке во Франции объектами ракетного поражения были выбраны не районы скопления войск и военные заводы, а города с мирным населением. Не изменились эти цели и после высадки первых эшелонов союзного десанта в Нормандии, хотя генерал Эйзенхауэр в своих мемуарах писал, что если бы немецкие ракетчики ударили по району Портсмут–Саутгемптон (район сосредоточения войск вторжения), то операция «Оверлорд» могла бы и не состояться (11686).</w:t>
      </w:r>
    </w:p>
    <w:p w14:paraId="57A6D7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699C31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3DD6E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EC5E62" w14:textId="77777777" w:rsidR="00282955" w:rsidRPr="00070ADE" w:rsidRDefault="0028295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2 марта 1944 материалы совещания у на</w:t>
      </w:r>
      <w:r w:rsidRPr="00070ADE">
        <w:rPr>
          <w:rFonts w:ascii="Times New Roman" w:cs="Times New Roman"/>
          <w:color w:val="000000" w:themeColor="text1"/>
          <w:spacing w:val="0"/>
        </w:rPr>
        <w:softHyphen/>
        <w:t>чальника Управления заказов самолетов и моторов ГУЗ ВВС генерал-майора Алексеева («по вопросу живучести брони самолета Ил-2 и в какой степени принятая схема бронирова</w:t>
      </w:r>
      <w:r w:rsidRPr="00070ADE">
        <w:rPr>
          <w:rFonts w:ascii="Times New Roman" w:cs="Times New Roman"/>
          <w:color w:val="000000" w:themeColor="text1"/>
          <w:spacing w:val="0"/>
        </w:rPr>
        <w:softHyphen/>
        <w:t>ния обеспечивает защиту жизненно важных аг</w:t>
      </w:r>
      <w:r w:rsidRPr="00070ADE">
        <w:rPr>
          <w:rFonts w:ascii="Times New Roman" w:cs="Times New Roman"/>
          <w:color w:val="000000" w:themeColor="text1"/>
          <w:spacing w:val="0"/>
        </w:rPr>
        <w:softHyphen/>
        <w:t>регатов и экипажа от воздушного и наземного огня противника») были доложены генералу Лапину.</w:t>
      </w:r>
    </w:p>
    <w:p w14:paraId="26EDA687" w14:textId="77777777" w:rsidR="00282955" w:rsidRPr="00070ADE" w:rsidRDefault="0028295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Ведущий инженер 5-го отдела Управления заказов самолетов и моторов ГУЗ ВВС инже</w:t>
      </w:r>
      <w:r w:rsidRPr="00070ADE">
        <w:rPr>
          <w:rFonts w:ascii="Times New Roman" w:cs="Times New Roman"/>
          <w:color w:val="000000" w:themeColor="text1"/>
          <w:spacing w:val="0"/>
        </w:rPr>
        <w:softHyphen/>
        <w:t>нер-майор Фридман доложил результаты об</w:t>
      </w:r>
      <w:r w:rsidRPr="00070ADE">
        <w:rPr>
          <w:rFonts w:ascii="Times New Roman" w:cs="Times New Roman"/>
          <w:color w:val="000000" w:themeColor="text1"/>
          <w:spacing w:val="0"/>
        </w:rPr>
        <w:softHyphen/>
        <w:t>следования самолетов Ил-2 в частях 17-й ВА. Из 120 осмотренных штурмовиков у 36 име</w:t>
      </w:r>
      <w:r w:rsidRPr="00070ADE">
        <w:rPr>
          <w:rFonts w:ascii="Times New Roman" w:cs="Times New Roman"/>
          <w:color w:val="000000" w:themeColor="text1"/>
          <w:spacing w:val="0"/>
        </w:rPr>
        <w:softHyphen/>
        <w:t>лись 70 поражений бронекорпуса. Сквозные поражения гомогенной брони (4-6 мм) от бро</w:t>
      </w:r>
      <w:r w:rsidRPr="00070ADE">
        <w:rPr>
          <w:rFonts w:ascii="Times New Roman" w:cs="Times New Roman"/>
          <w:color w:val="000000" w:themeColor="text1"/>
          <w:spacing w:val="0"/>
        </w:rPr>
        <w:softHyphen/>
        <w:t>небойных пуль калибра 7,92 мм наблюдались только от попадания под углами, близкими к нормали. Не было ни одного хрупкого разру</w:t>
      </w:r>
      <w:r w:rsidRPr="00070ADE">
        <w:rPr>
          <w:rFonts w:ascii="Times New Roman" w:cs="Times New Roman"/>
          <w:color w:val="000000" w:themeColor="text1"/>
          <w:spacing w:val="0"/>
        </w:rPr>
        <w:softHyphen/>
        <w:t>шения брони от попадания пуль и снарядов. Из общего числа поражений брони 42 прихо</w:t>
      </w:r>
      <w:r w:rsidRPr="00070ADE">
        <w:rPr>
          <w:rFonts w:ascii="Times New Roman" w:cs="Times New Roman"/>
          <w:color w:val="000000" w:themeColor="text1"/>
          <w:spacing w:val="0"/>
        </w:rPr>
        <w:softHyphen/>
        <w:t>дилось на крупнокалиберные пули и снаряды, сделавшие в броне сквозные пробоины. При этом наибольшая частота попаданий наблю</w:t>
      </w:r>
      <w:r w:rsidRPr="00070ADE">
        <w:rPr>
          <w:rFonts w:ascii="Times New Roman" w:cs="Times New Roman"/>
          <w:color w:val="000000" w:themeColor="text1"/>
          <w:spacing w:val="0"/>
        </w:rPr>
        <w:softHyphen/>
        <w:t>далась в районе бронекапота мотора (все от зенитного огня). На осмотренных машинах зафиксировали 49 попаданий, из которых 27 приходилось на нижние боковые стенки ка</w:t>
      </w:r>
      <w:r w:rsidRPr="00070ADE">
        <w:rPr>
          <w:rFonts w:ascii="Times New Roman" w:cs="Times New Roman"/>
          <w:color w:val="000000" w:themeColor="text1"/>
          <w:spacing w:val="0"/>
        </w:rPr>
        <w:softHyphen/>
        <w:t>пота мотора. Сквозные пробоины в броне ка</w:t>
      </w:r>
      <w:r w:rsidRPr="00070ADE">
        <w:rPr>
          <w:rFonts w:ascii="Times New Roman" w:cs="Times New Roman"/>
          <w:color w:val="000000" w:themeColor="text1"/>
          <w:spacing w:val="0"/>
        </w:rPr>
        <w:softHyphen/>
        <w:t>пота мотора составили 67% от общего числа попаданий.</w:t>
      </w:r>
    </w:p>
    <w:p w14:paraId="061A431E" w14:textId="77777777" w:rsidR="00282955" w:rsidRPr="00070ADE" w:rsidRDefault="0028295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Защиту стрелка признали совершенно недостаточной: он не был защищен снизу и с боков. Немецкие истребители, используя ог</w:t>
      </w:r>
      <w:r w:rsidRPr="00070ADE">
        <w:rPr>
          <w:rFonts w:ascii="Times New Roman" w:cs="Times New Roman"/>
          <w:color w:val="000000" w:themeColor="text1"/>
          <w:spacing w:val="0"/>
        </w:rPr>
        <w:softHyphen/>
        <w:t>раниченный сектор обстрела задней точки по горизонтали и особенно вниз, атаковали Ил-2 сзади снизу и сзади сбоку. При полетах на ма</w:t>
      </w:r>
      <w:r w:rsidRPr="00070ADE">
        <w:rPr>
          <w:rFonts w:ascii="Times New Roman" w:cs="Times New Roman"/>
          <w:color w:val="000000" w:themeColor="text1"/>
          <w:spacing w:val="0"/>
        </w:rPr>
        <w:softHyphen/>
        <w:t>лых высотах кабина стрелка, помимо малока</w:t>
      </w:r>
      <w:r w:rsidRPr="00070ADE">
        <w:rPr>
          <w:rFonts w:ascii="Times New Roman" w:cs="Times New Roman"/>
          <w:color w:val="000000" w:themeColor="text1"/>
          <w:spacing w:val="0"/>
        </w:rPr>
        <w:softHyphen/>
        <w:t>либерной зенитной артиллерии, поражалась огнем пехоты.</w:t>
      </w:r>
    </w:p>
    <w:p w14:paraId="388D809C" w14:textId="77777777" w:rsidR="00282955" w:rsidRPr="00070ADE" w:rsidRDefault="0028295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Весьма уязвимыми от зенитного и воз</w:t>
      </w:r>
      <w:r w:rsidRPr="00070ADE">
        <w:rPr>
          <w:rFonts w:ascii="Times New Roman" w:cs="Times New Roman"/>
          <w:color w:val="000000" w:themeColor="text1"/>
          <w:spacing w:val="0"/>
        </w:rPr>
        <w:softHyphen/>
        <w:t>душного огня, а также от осколков снарядов являлись передняя и задняя части бронекор- зины водо- и маслорадиаторов. Обтекатель и передняя бронезаслонка бронекорзины часто поражались зенитным огнем, а задняя броне</w:t>
      </w:r>
      <w:r w:rsidRPr="00070ADE">
        <w:rPr>
          <w:rFonts w:ascii="Times New Roman" w:cs="Times New Roman"/>
          <w:color w:val="000000" w:themeColor="text1"/>
          <w:spacing w:val="0"/>
        </w:rPr>
        <w:softHyphen/>
        <w:t>заслонка - огнем истребителей.</w:t>
      </w:r>
    </w:p>
    <w:p w14:paraId="278BA8AE" w14:textId="77777777" w:rsidR="00282955" w:rsidRPr="00070ADE" w:rsidRDefault="0028295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Наряду с деталями бронирования,</w:t>
      </w:r>
      <w:r w:rsidRPr="00070ADE">
        <w:rPr>
          <w:rStyle w:val="aff7"/>
          <w:rFonts w:ascii="Times New Roman" w:hAnsi="Times New Roman" w:cs="Times New Roman"/>
          <w:i w:val="0"/>
          <w:color w:val="000000" w:themeColor="text1"/>
          <w:spacing w:val="0"/>
        </w:rPr>
        <w:t xml:space="preserve"> «под</w:t>
      </w:r>
      <w:r w:rsidRPr="00070ADE">
        <w:rPr>
          <w:rStyle w:val="aff7"/>
          <w:rFonts w:ascii="Times New Roman" w:hAnsi="Times New Roman" w:cs="Times New Roman"/>
          <w:i w:val="0"/>
          <w:color w:val="000000" w:themeColor="text1"/>
          <w:spacing w:val="0"/>
        </w:rPr>
        <w:softHyphen/>
        <w:t>вергающимися наиболее интенсивному воз</w:t>
      </w:r>
      <w:r w:rsidRPr="00070ADE">
        <w:rPr>
          <w:rStyle w:val="aff7"/>
          <w:rFonts w:ascii="Times New Roman" w:hAnsi="Times New Roman" w:cs="Times New Roman"/>
          <w:i w:val="0"/>
          <w:color w:val="000000" w:themeColor="text1"/>
          <w:spacing w:val="0"/>
        </w:rPr>
        <w:softHyphen/>
        <w:t>действию наземного и воздушного огня/.../, в бронекорпусах Ил-2 имеются детали, попа</w:t>
      </w:r>
      <w:r w:rsidRPr="00070ADE">
        <w:rPr>
          <w:rStyle w:val="aff7"/>
          <w:rFonts w:ascii="Times New Roman" w:hAnsi="Times New Roman" w:cs="Times New Roman"/>
          <w:i w:val="0"/>
          <w:color w:val="000000" w:themeColor="text1"/>
          <w:spacing w:val="0"/>
        </w:rPr>
        <w:softHyphen/>
        <w:t>дание в которые вовсе не имеют место, либо крайне редки».</w:t>
      </w:r>
      <w:r w:rsidRPr="00070ADE">
        <w:rPr>
          <w:rFonts w:ascii="Times New Roman" w:cs="Times New Roman"/>
          <w:color w:val="000000" w:themeColor="text1"/>
          <w:spacing w:val="0"/>
        </w:rPr>
        <w:t xml:space="preserve"> Такими элементами бронекор</w:t>
      </w:r>
      <w:r w:rsidRPr="00070ADE">
        <w:rPr>
          <w:rFonts w:ascii="Times New Roman" w:cs="Times New Roman"/>
          <w:color w:val="000000" w:themeColor="text1"/>
          <w:spacing w:val="0"/>
        </w:rPr>
        <w:softHyphen/>
        <w:t>пуса являлись: бронедиск за втулкой винта (6 мм), вертикальный бронещиток под капотом за приборной доской (7 мм), верхняя броня капота (4 мм) и бронекабины (4 мм), боковая нижняя стенка корпуса в крыле (5 мм), ниж</w:t>
      </w:r>
      <w:r w:rsidRPr="00070ADE">
        <w:rPr>
          <w:rFonts w:ascii="Times New Roman" w:cs="Times New Roman"/>
          <w:color w:val="000000" w:themeColor="text1"/>
          <w:spacing w:val="0"/>
        </w:rPr>
        <w:softHyphen/>
        <w:t>няя броня капота (4 мм), бронекабины (5 мм) и бронекорзины (6 мм).</w:t>
      </w:r>
    </w:p>
    <w:p w14:paraId="33D2E40B" w14:textId="77777777" w:rsidR="00282955" w:rsidRPr="00070ADE" w:rsidRDefault="0028295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Делался вывод, что качество брони само</w:t>
      </w:r>
      <w:r w:rsidRPr="00070ADE">
        <w:rPr>
          <w:rFonts w:ascii="Times New Roman" w:cs="Times New Roman"/>
          <w:color w:val="000000" w:themeColor="text1"/>
          <w:spacing w:val="0"/>
        </w:rPr>
        <w:softHyphen/>
        <w:t>лета Ил-2 надежно обеспечивает защиту от бронебойных пуль калибра 7,92 мм, а цементо</w:t>
      </w:r>
      <w:r w:rsidRPr="00070ADE">
        <w:rPr>
          <w:rFonts w:ascii="Times New Roman" w:cs="Times New Roman"/>
          <w:color w:val="000000" w:themeColor="text1"/>
          <w:spacing w:val="0"/>
        </w:rPr>
        <w:softHyphen/>
        <w:t>ванные детали толщиной 12 мм - от пуль кали</w:t>
      </w:r>
      <w:r w:rsidRPr="00070ADE">
        <w:rPr>
          <w:rFonts w:ascii="Times New Roman" w:cs="Times New Roman"/>
          <w:color w:val="000000" w:themeColor="text1"/>
          <w:spacing w:val="0"/>
        </w:rPr>
        <w:softHyphen/>
        <w:t>бра 13 мм. Однако принятая схема бронирова</w:t>
      </w:r>
      <w:r w:rsidRPr="00070ADE">
        <w:rPr>
          <w:rFonts w:ascii="Times New Roman" w:cs="Times New Roman"/>
          <w:color w:val="000000" w:themeColor="text1"/>
          <w:spacing w:val="0"/>
        </w:rPr>
        <w:softHyphen/>
        <w:t>ния Ил-2 в отношении распределения толщин и их абсолютной величины не обеспечивала защиты от пуль крупного калибра и бронебой</w:t>
      </w:r>
      <w:r w:rsidRPr="00070ADE">
        <w:rPr>
          <w:rFonts w:ascii="Times New Roman" w:cs="Times New Roman"/>
          <w:color w:val="000000" w:themeColor="text1"/>
          <w:spacing w:val="0"/>
        </w:rPr>
        <w:softHyphen/>
        <w:t>ных снарядов.</w:t>
      </w:r>
    </w:p>
    <w:p w14:paraId="3C8342C1" w14:textId="77777777" w:rsidR="00282955" w:rsidRPr="00070ADE" w:rsidRDefault="0028295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С целью повышения живучести штурмови</w:t>
      </w:r>
      <w:r w:rsidRPr="00070ADE">
        <w:rPr>
          <w:rFonts w:ascii="Times New Roman" w:cs="Times New Roman"/>
          <w:color w:val="000000" w:themeColor="text1"/>
          <w:spacing w:val="0"/>
        </w:rPr>
        <w:softHyphen/>
        <w:t>ка предлагалось, в первую очередь, усилить броню капота мотора, особенно его боковую нижнюю часть, защитить броней стрелка (глав</w:t>
      </w:r>
      <w:r w:rsidRPr="00070ADE">
        <w:rPr>
          <w:rFonts w:ascii="Times New Roman" w:cs="Times New Roman"/>
          <w:color w:val="000000" w:themeColor="text1"/>
          <w:spacing w:val="0"/>
        </w:rPr>
        <w:softHyphen/>
        <w:t>ным образом снизу и с боков), а также увели</w:t>
      </w:r>
      <w:r w:rsidRPr="00070ADE">
        <w:rPr>
          <w:rFonts w:ascii="Times New Roman" w:cs="Times New Roman"/>
          <w:color w:val="000000" w:themeColor="text1"/>
          <w:spacing w:val="0"/>
        </w:rPr>
        <w:softHyphen/>
        <w:t>чить толщину брони передней и задней што</w:t>
      </w:r>
      <w:r w:rsidRPr="00070ADE">
        <w:rPr>
          <w:rFonts w:ascii="Times New Roman" w:cs="Times New Roman"/>
          <w:color w:val="000000" w:themeColor="text1"/>
          <w:spacing w:val="0"/>
        </w:rPr>
        <w:softHyphen/>
        <w:t>рок водо- и маслорадиатора и его обтекателя. Считалось целесообразным улучшить бро</w:t>
      </w:r>
      <w:r w:rsidRPr="00070ADE">
        <w:rPr>
          <w:rFonts w:ascii="Times New Roman" w:cs="Times New Roman"/>
          <w:color w:val="000000" w:themeColor="text1"/>
          <w:spacing w:val="0"/>
        </w:rPr>
        <w:softHyphen/>
        <w:t>нирование Ил-2 без увеличения общего веса брони путем перераспределения толщины брони бронекорпуса. Для решения этой задачи рекомендовалось снять бронедетали, которые практически не «работали», и уменьшить тол</w:t>
      </w:r>
      <w:r w:rsidRPr="00070ADE">
        <w:rPr>
          <w:rFonts w:ascii="Times New Roman" w:cs="Times New Roman"/>
          <w:color w:val="000000" w:themeColor="text1"/>
          <w:spacing w:val="0"/>
        </w:rPr>
        <w:softHyphen/>
        <w:t>щину брони нижних продольных элементов.</w:t>
      </w:r>
    </w:p>
    <w:p w14:paraId="12A4A7E7" w14:textId="77777777" w:rsidR="00282955" w:rsidRPr="00070ADE" w:rsidRDefault="00282955" w:rsidP="00B56F90">
      <w:pPr>
        <w:pStyle w:val="45"/>
        <w:shd w:val="clear" w:color="auto" w:fill="auto"/>
        <w:spacing w:before="0" w:line="240" w:lineRule="auto"/>
        <w:jc w:val="both"/>
        <w:rPr>
          <w:rFonts w:ascii="Times New Roman" w:cs="Times New Roman"/>
          <w:color w:val="000000" w:themeColor="text1"/>
          <w:sz w:val="16"/>
          <w:szCs w:val="16"/>
        </w:rPr>
      </w:pPr>
      <w:r w:rsidRPr="00070ADE">
        <w:rPr>
          <w:rStyle w:val="4c"/>
          <w:rFonts w:ascii="Times New Roman" w:hAnsi="Times New Roman" w:cs="Times New Roman"/>
          <w:i w:val="0"/>
          <w:color w:val="000000" w:themeColor="text1"/>
          <w:sz w:val="16"/>
          <w:szCs w:val="16"/>
        </w:rPr>
        <w:t>По оценке,</w:t>
      </w:r>
      <w:r w:rsidRPr="00070ADE">
        <w:rPr>
          <w:rFonts w:ascii="Times New Roman" w:cs="Times New Roman"/>
          <w:color w:val="000000" w:themeColor="text1"/>
          <w:sz w:val="16"/>
          <w:szCs w:val="16"/>
        </w:rPr>
        <w:t xml:space="preserve"> «в результате проведения этих мероприятий для усиления деталей капота, бронекорзины и дополнительного бронирова</w:t>
      </w:r>
      <w:r w:rsidRPr="00070ADE">
        <w:rPr>
          <w:rFonts w:ascii="Times New Roman" w:cs="Times New Roman"/>
          <w:color w:val="000000" w:themeColor="text1"/>
          <w:sz w:val="16"/>
          <w:szCs w:val="16"/>
        </w:rPr>
        <w:softHyphen/>
        <w:t>ния стрелка освобождается 105-128 кг веса брони».</w:t>
      </w:r>
      <w:r w:rsidRPr="00070ADE">
        <w:rPr>
          <w:rStyle w:val="aff1"/>
          <w:rFonts w:ascii="Times New Roman" w:hAnsi="Times New Roman" w:cs="Times New Roman"/>
          <w:color w:val="000000" w:themeColor="text1"/>
          <w:spacing w:val="0"/>
          <w:sz w:val="16"/>
          <w:szCs w:val="16"/>
        </w:rPr>
        <w:t xml:space="preserve"> Как отмечалось, такое распределе</w:t>
      </w:r>
      <w:r w:rsidRPr="00070ADE">
        <w:rPr>
          <w:rStyle w:val="aff1"/>
          <w:rFonts w:ascii="Times New Roman" w:hAnsi="Times New Roman" w:cs="Times New Roman"/>
          <w:color w:val="000000" w:themeColor="text1"/>
          <w:spacing w:val="0"/>
          <w:sz w:val="16"/>
          <w:szCs w:val="16"/>
        </w:rPr>
        <w:softHyphen/>
        <w:t>ние брони не требовало существенных кон</w:t>
      </w:r>
      <w:r w:rsidRPr="00070ADE">
        <w:rPr>
          <w:rStyle w:val="aff1"/>
          <w:rFonts w:ascii="Times New Roman" w:hAnsi="Times New Roman" w:cs="Times New Roman"/>
          <w:color w:val="000000" w:themeColor="text1"/>
          <w:spacing w:val="0"/>
          <w:sz w:val="16"/>
          <w:szCs w:val="16"/>
        </w:rPr>
        <w:softHyphen/>
        <w:t>структивных переделок машины и касалось в основном бронекорпусного производства, для которого внедрение в серию необходимых из</w:t>
      </w:r>
      <w:r w:rsidRPr="00070ADE">
        <w:rPr>
          <w:rStyle w:val="aff1"/>
          <w:rFonts w:ascii="Times New Roman" w:hAnsi="Times New Roman" w:cs="Times New Roman"/>
          <w:color w:val="000000" w:themeColor="text1"/>
          <w:spacing w:val="0"/>
          <w:sz w:val="16"/>
          <w:szCs w:val="16"/>
        </w:rPr>
        <w:softHyphen/>
        <w:t>менений могло быть проведено в кратчайший срок без переделки оснастки.</w:t>
      </w:r>
    </w:p>
    <w:p w14:paraId="51CA0ED3" w14:textId="77777777" w:rsidR="00282955" w:rsidRPr="00070ADE" w:rsidRDefault="00282955" w:rsidP="00B56F90">
      <w:pPr>
        <w:pStyle w:val="45"/>
        <w:shd w:val="clear" w:color="auto" w:fill="auto"/>
        <w:spacing w:before="0" w:line="240" w:lineRule="auto"/>
        <w:jc w:val="both"/>
        <w:rPr>
          <w:rFonts w:ascii="Times New Roman" w:cs="Times New Roman"/>
          <w:color w:val="000000" w:themeColor="text1"/>
          <w:sz w:val="16"/>
          <w:szCs w:val="16"/>
        </w:rPr>
      </w:pPr>
      <w:r w:rsidRPr="00070ADE">
        <w:rPr>
          <w:rStyle w:val="4c"/>
          <w:rFonts w:ascii="Times New Roman" w:hAnsi="Times New Roman" w:cs="Times New Roman"/>
          <w:i w:val="0"/>
          <w:color w:val="000000" w:themeColor="text1"/>
          <w:sz w:val="16"/>
          <w:szCs w:val="16"/>
        </w:rPr>
        <w:lastRenderedPageBreak/>
        <w:t>В ходе обсуждения доклада высказыва</w:t>
      </w:r>
      <w:r w:rsidRPr="00070ADE">
        <w:rPr>
          <w:rStyle w:val="4c"/>
          <w:rFonts w:ascii="Times New Roman" w:hAnsi="Times New Roman" w:cs="Times New Roman"/>
          <w:i w:val="0"/>
          <w:color w:val="000000" w:themeColor="text1"/>
          <w:sz w:val="16"/>
          <w:szCs w:val="16"/>
        </w:rPr>
        <w:softHyphen/>
        <w:t>лись самые различные мнения, порой диаме</w:t>
      </w:r>
      <w:r w:rsidRPr="00070ADE">
        <w:rPr>
          <w:rStyle w:val="4c"/>
          <w:rFonts w:ascii="Times New Roman" w:hAnsi="Times New Roman" w:cs="Times New Roman"/>
          <w:i w:val="0"/>
          <w:color w:val="000000" w:themeColor="text1"/>
          <w:sz w:val="16"/>
          <w:szCs w:val="16"/>
        </w:rPr>
        <w:softHyphen/>
        <w:t>трально противоположные. Так, инженер-май</w:t>
      </w:r>
      <w:r w:rsidRPr="00070ADE">
        <w:rPr>
          <w:rStyle w:val="4c"/>
          <w:rFonts w:ascii="Times New Roman" w:hAnsi="Times New Roman" w:cs="Times New Roman"/>
          <w:i w:val="0"/>
          <w:color w:val="000000" w:themeColor="text1"/>
          <w:sz w:val="16"/>
          <w:szCs w:val="16"/>
        </w:rPr>
        <w:softHyphen/>
        <w:t xml:space="preserve">ор К.И. Шлямин в своем выступлении отметил: </w:t>
      </w:r>
      <w:r w:rsidRPr="00070ADE">
        <w:rPr>
          <w:rFonts w:ascii="Times New Roman" w:cs="Times New Roman"/>
          <w:color w:val="000000" w:themeColor="text1"/>
          <w:sz w:val="16"/>
          <w:szCs w:val="16"/>
        </w:rPr>
        <w:t>«По вопросу перераспределения брони на самолете Ил-2 окончательное суждение мож</w:t>
      </w:r>
      <w:r w:rsidRPr="00070ADE">
        <w:rPr>
          <w:rFonts w:ascii="Times New Roman" w:cs="Times New Roman"/>
          <w:color w:val="000000" w:themeColor="text1"/>
          <w:sz w:val="16"/>
          <w:szCs w:val="16"/>
        </w:rPr>
        <w:softHyphen/>
        <w:t>но вынести только при согласовании этого во</w:t>
      </w:r>
      <w:r w:rsidRPr="00070ADE">
        <w:rPr>
          <w:rFonts w:ascii="Times New Roman" w:cs="Times New Roman"/>
          <w:color w:val="000000" w:themeColor="text1"/>
          <w:sz w:val="16"/>
          <w:szCs w:val="16"/>
        </w:rPr>
        <w:softHyphen/>
        <w:t>проса с отделом боевого применения. Для оп</w:t>
      </w:r>
      <w:r w:rsidRPr="00070ADE">
        <w:rPr>
          <w:rFonts w:ascii="Times New Roman" w:cs="Times New Roman"/>
          <w:color w:val="000000" w:themeColor="text1"/>
          <w:sz w:val="16"/>
          <w:szCs w:val="16"/>
        </w:rPr>
        <w:softHyphen/>
        <w:t>ределения новых толщин и твердости брони, необходимо провести полигонные испытания. В настоящий момент в НИИ проходят испыта</w:t>
      </w:r>
      <w:r w:rsidRPr="00070ADE">
        <w:rPr>
          <w:rFonts w:ascii="Times New Roman" w:cs="Times New Roman"/>
          <w:color w:val="000000" w:themeColor="text1"/>
          <w:sz w:val="16"/>
          <w:szCs w:val="16"/>
        </w:rPr>
        <w:softHyphen/>
        <w:t>ния бронекорпуса на живучесть. Испытание показывает неудовлетворительные результа</w:t>
      </w:r>
      <w:r w:rsidRPr="00070ADE">
        <w:rPr>
          <w:rFonts w:ascii="Times New Roman" w:cs="Times New Roman"/>
          <w:color w:val="000000" w:themeColor="text1"/>
          <w:sz w:val="16"/>
          <w:szCs w:val="16"/>
        </w:rPr>
        <w:softHyphen/>
        <w:t>ты. Броня колется, трескается. Необходимо пересмотреть шкалу твердости для брони».</w:t>
      </w:r>
    </w:p>
    <w:p w14:paraId="4FA7A08C" w14:textId="77777777" w:rsidR="00282955" w:rsidRPr="00070ADE" w:rsidRDefault="0028295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Инженер-подполковник А.К. Огилько со</w:t>
      </w:r>
      <w:r w:rsidRPr="00070ADE">
        <w:rPr>
          <w:rFonts w:ascii="Times New Roman" w:cs="Times New Roman"/>
          <w:color w:val="000000" w:themeColor="text1"/>
          <w:spacing w:val="0"/>
        </w:rPr>
        <w:softHyphen/>
        <w:t>глашался с необходимостью усиления бро</w:t>
      </w:r>
      <w:r w:rsidRPr="00070ADE">
        <w:rPr>
          <w:rFonts w:ascii="Times New Roman" w:cs="Times New Roman"/>
          <w:color w:val="000000" w:themeColor="text1"/>
          <w:spacing w:val="0"/>
        </w:rPr>
        <w:softHyphen/>
        <w:t>ни стрелка, капота мотора и других деталей бронекорпуса, которые наиболее часто пора</w:t>
      </w:r>
      <w:r w:rsidRPr="00070ADE">
        <w:rPr>
          <w:rFonts w:ascii="Times New Roman" w:cs="Times New Roman"/>
          <w:color w:val="000000" w:themeColor="text1"/>
          <w:spacing w:val="0"/>
        </w:rPr>
        <w:softHyphen/>
        <w:t>жались. Что же касаетс^перераспределения брони и снятия отдельных броневых деталей, то он считал, что</w:t>
      </w:r>
      <w:r w:rsidRPr="00070ADE">
        <w:rPr>
          <w:rStyle w:val="aff7"/>
          <w:rFonts w:ascii="Times New Roman" w:hAnsi="Times New Roman" w:cs="Times New Roman"/>
          <w:i w:val="0"/>
          <w:color w:val="000000" w:themeColor="text1"/>
          <w:spacing w:val="0"/>
        </w:rPr>
        <w:t xml:space="preserve"> «этого сделать в настоящее время невозможно и нет необходимости»</w:t>
      </w:r>
      <w:r w:rsidRPr="00070ADE">
        <w:rPr>
          <w:rFonts w:ascii="Times New Roman" w:cs="Times New Roman"/>
          <w:color w:val="000000" w:themeColor="text1"/>
          <w:spacing w:val="0"/>
        </w:rPr>
        <w:t xml:space="preserve"> и ре</w:t>
      </w:r>
      <w:r w:rsidRPr="00070ADE">
        <w:rPr>
          <w:rFonts w:ascii="Times New Roman" w:cs="Times New Roman"/>
          <w:color w:val="000000" w:themeColor="text1"/>
          <w:spacing w:val="0"/>
        </w:rPr>
        <w:softHyphen/>
        <w:t>шительно возражал</w:t>
      </w:r>
      <w:r w:rsidRPr="00070ADE">
        <w:rPr>
          <w:rStyle w:val="aff7"/>
          <w:rFonts w:ascii="Times New Roman" w:hAnsi="Times New Roman" w:cs="Times New Roman"/>
          <w:i w:val="0"/>
          <w:color w:val="000000" w:themeColor="text1"/>
          <w:spacing w:val="0"/>
        </w:rPr>
        <w:t xml:space="preserve"> «против снятия приборной бронеплиты, ибо приборы на самолете явля</w:t>
      </w:r>
      <w:r w:rsidRPr="00070ADE">
        <w:rPr>
          <w:rStyle w:val="aff7"/>
          <w:rFonts w:ascii="Times New Roman" w:hAnsi="Times New Roman" w:cs="Times New Roman"/>
          <w:i w:val="0"/>
          <w:color w:val="000000" w:themeColor="text1"/>
          <w:spacing w:val="0"/>
        </w:rPr>
        <w:softHyphen/>
        <w:t>ются жизненно важной частью».</w:t>
      </w:r>
    </w:p>
    <w:p w14:paraId="6CC70A46" w14:textId="77777777" w:rsidR="00282955" w:rsidRPr="00070ADE" w:rsidRDefault="00282955" w:rsidP="00B56F90">
      <w:pPr>
        <w:pStyle w:val="45"/>
        <w:shd w:val="clear" w:color="auto" w:fill="auto"/>
        <w:spacing w:before="0" w:line="240" w:lineRule="auto"/>
        <w:jc w:val="both"/>
        <w:rPr>
          <w:rFonts w:ascii="Times New Roman" w:cs="Times New Roman"/>
          <w:color w:val="000000" w:themeColor="text1"/>
          <w:sz w:val="16"/>
          <w:szCs w:val="16"/>
        </w:rPr>
      </w:pPr>
      <w:r w:rsidRPr="00070ADE">
        <w:rPr>
          <w:rStyle w:val="4c"/>
          <w:rFonts w:ascii="Times New Roman" w:hAnsi="Times New Roman" w:cs="Times New Roman"/>
          <w:i w:val="0"/>
          <w:color w:val="000000" w:themeColor="text1"/>
          <w:sz w:val="16"/>
          <w:szCs w:val="16"/>
        </w:rPr>
        <w:t>Инженер-майор Игнашев обратил внимание присутствующих на следующее:</w:t>
      </w:r>
      <w:r w:rsidRPr="00070ADE">
        <w:rPr>
          <w:rFonts w:ascii="Times New Roman" w:cs="Times New Roman"/>
          <w:color w:val="000000" w:themeColor="text1"/>
          <w:sz w:val="16"/>
          <w:szCs w:val="16"/>
        </w:rPr>
        <w:t xml:space="preserve"> «Вопрос бро</w:t>
      </w:r>
      <w:r w:rsidRPr="00070ADE">
        <w:rPr>
          <w:rFonts w:ascii="Times New Roman" w:cs="Times New Roman"/>
          <w:color w:val="000000" w:themeColor="text1"/>
          <w:sz w:val="16"/>
          <w:szCs w:val="16"/>
        </w:rPr>
        <w:softHyphen/>
        <w:t>нирования стрелка на самолете Ил-2 ясен для всех. Стрелок забронирован плохо. Работа, про</w:t>
      </w:r>
      <w:r w:rsidRPr="00070ADE">
        <w:rPr>
          <w:rFonts w:ascii="Times New Roman" w:cs="Times New Roman"/>
          <w:color w:val="000000" w:themeColor="text1"/>
          <w:sz w:val="16"/>
          <w:szCs w:val="16"/>
        </w:rPr>
        <w:softHyphen/>
        <w:t>веденная т. Фридманом, очень ценная, инже</w:t>
      </w:r>
      <w:r w:rsidRPr="00070ADE">
        <w:rPr>
          <w:rFonts w:ascii="Times New Roman" w:cs="Times New Roman"/>
          <w:color w:val="000000" w:themeColor="text1"/>
          <w:sz w:val="16"/>
          <w:szCs w:val="16"/>
        </w:rPr>
        <w:softHyphen/>
        <w:t>нерная работа, говорящая о необходимости пе</w:t>
      </w:r>
      <w:r w:rsidRPr="00070ADE">
        <w:rPr>
          <w:rFonts w:ascii="Times New Roman" w:cs="Times New Roman"/>
          <w:color w:val="000000" w:themeColor="text1"/>
          <w:sz w:val="16"/>
          <w:szCs w:val="16"/>
        </w:rPr>
        <w:softHyphen/>
        <w:t>рераспределения брони на самолете Ил-2, так как многие бронедетали на самолете не подвер</w:t>
      </w:r>
      <w:r w:rsidRPr="00070ADE">
        <w:rPr>
          <w:rFonts w:ascii="Times New Roman" w:cs="Times New Roman"/>
          <w:color w:val="000000" w:themeColor="text1"/>
          <w:sz w:val="16"/>
          <w:szCs w:val="16"/>
        </w:rPr>
        <w:softHyphen/>
        <w:t>гаются обстрелу и являются лишним грузом».</w:t>
      </w:r>
    </w:p>
    <w:p w14:paraId="2AE22374" w14:textId="77777777" w:rsidR="00282955" w:rsidRPr="00070ADE" w:rsidRDefault="00282955" w:rsidP="00B56F90">
      <w:pPr>
        <w:pStyle w:val="45"/>
        <w:shd w:val="clear" w:color="auto" w:fill="auto"/>
        <w:spacing w:before="0" w:line="240" w:lineRule="auto"/>
        <w:jc w:val="both"/>
        <w:rPr>
          <w:rFonts w:ascii="Times New Roman" w:cs="Times New Roman"/>
          <w:color w:val="000000" w:themeColor="text1"/>
          <w:sz w:val="16"/>
          <w:szCs w:val="16"/>
        </w:rPr>
      </w:pPr>
      <w:r w:rsidRPr="00070ADE">
        <w:rPr>
          <w:rStyle w:val="4c"/>
          <w:rFonts w:ascii="Times New Roman" w:hAnsi="Times New Roman" w:cs="Times New Roman"/>
          <w:i w:val="0"/>
          <w:color w:val="000000" w:themeColor="text1"/>
          <w:sz w:val="16"/>
          <w:szCs w:val="16"/>
        </w:rPr>
        <w:t>Игнашева поддержал инженер-подпол- ковник Воротников:</w:t>
      </w:r>
      <w:r w:rsidRPr="00070ADE">
        <w:rPr>
          <w:rFonts w:ascii="Times New Roman" w:cs="Times New Roman"/>
          <w:color w:val="000000" w:themeColor="text1"/>
          <w:sz w:val="16"/>
          <w:szCs w:val="16"/>
        </w:rPr>
        <w:t xml:space="preserve"> «Данная работа позволяет судить о схеме бронирования самолета Ил-2. Я считаю правильным и своевременным по</w:t>
      </w:r>
      <w:r w:rsidRPr="00070ADE">
        <w:rPr>
          <w:rFonts w:ascii="Times New Roman" w:cs="Times New Roman"/>
          <w:color w:val="000000" w:themeColor="text1"/>
          <w:sz w:val="16"/>
          <w:szCs w:val="16"/>
        </w:rPr>
        <w:softHyphen/>
        <w:t>ставить вопрос о пересмотре схемы брони</w:t>
      </w:r>
      <w:r w:rsidRPr="00070ADE">
        <w:rPr>
          <w:rFonts w:ascii="Times New Roman" w:cs="Times New Roman"/>
          <w:color w:val="000000" w:themeColor="text1"/>
          <w:sz w:val="16"/>
          <w:szCs w:val="16"/>
        </w:rPr>
        <w:softHyphen/>
        <w:t>рования, как в отношении толщин, так и места распределения».</w:t>
      </w:r>
    </w:p>
    <w:p w14:paraId="4076F514" w14:textId="77777777" w:rsidR="00282955" w:rsidRPr="00070ADE" w:rsidRDefault="00282955" w:rsidP="00B56F90">
      <w:pPr>
        <w:pStyle w:val="45"/>
        <w:shd w:val="clear" w:color="auto" w:fill="auto"/>
        <w:spacing w:before="0" w:line="240" w:lineRule="auto"/>
        <w:jc w:val="both"/>
        <w:rPr>
          <w:rFonts w:ascii="Times New Roman" w:cs="Times New Roman"/>
          <w:color w:val="000000" w:themeColor="text1"/>
          <w:sz w:val="16"/>
          <w:szCs w:val="16"/>
        </w:rPr>
      </w:pPr>
      <w:r w:rsidRPr="00070ADE">
        <w:rPr>
          <w:rStyle w:val="4c"/>
          <w:rFonts w:ascii="Times New Roman" w:hAnsi="Times New Roman" w:cs="Times New Roman"/>
          <w:i w:val="0"/>
          <w:color w:val="000000" w:themeColor="text1"/>
          <w:sz w:val="16"/>
          <w:szCs w:val="16"/>
        </w:rPr>
        <w:t>Черту дискуссии подвел генерал-майор Н.К. Алексеев, который отметил, что вопрос о выборе рациональной схемы бронирования Ил-2 поставлен правильно. Однако поскольку элементов,</w:t>
      </w:r>
      <w:r w:rsidRPr="00070ADE">
        <w:rPr>
          <w:rFonts w:ascii="Times New Roman" w:cs="Times New Roman"/>
          <w:color w:val="000000" w:themeColor="text1"/>
          <w:sz w:val="16"/>
          <w:szCs w:val="16"/>
        </w:rPr>
        <w:t xml:space="preserve"> «определяющих схему бронирова</w:t>
      </w:r>
      <w:r w:rsidRPr="00070ADE">
        <w:rPr>
          <w:rFonts w:ascii="Times New Roman" w:cs="Times New Roman"/>
          <w:color w:val="000000" w:themeColor="text1"/>
          <w:sz w:val="16"/>
          <w:szCs w:val="16"/>
        </w:rPr>
        <w:softHyphen/>
        <w:t>ния самолета, было чрезвычайно много»,</w:t>
      </w:r>
      <w:r w:rsidRPr="00070ADE">
        <w:rPr>
          <w:rStyle w:val="4c"/>
          <w:rFonts w:ascii="Times New Roman" w:hAnsi="Times New Roman" w:cs="Times New Roman"/>
          <w:i w:val="0"/>
          <w:color w:val="000000" w:themeColor="text1"/>
          <w:sz w:val="16"/>
          <w:szCs w:val="16"/>
        </w:rPr>
        <w:t xml:space="preserve"> то это должно было стать</w:t>
      </w:r>
      <w:r w:rsidRPr="00070ADE">
        <w:rPr>
          <w:rFonts w:ascii="Times New Roman" w:cs="Times New Roman"/>
          <w:color w:val="000000" w:themeColor="text1"/>
          <w:sz w:val="16"/>
          <w:szCs w:val="16"/>
        </w:rPr>
        <w:t xml:space="preserve"> «предметом суждения многих заинтересованных организаций».</w:t>
      </w:r>
      <w:r w:rsidRPr="00070ADE">
        <w:rPr>
          <w:rStyle w:val="4c"/>
          <w:rFonts w:ascii="Times New Roman" w:hAnsi="Times New Roman" w:cs="Times New Roman"/>
          <w:i w:val="0"/>
          <w:color w:val="000000" w:themeColor="text1"/>
          <w:sz w:val="16"/>
          <w:szCs w:val="16"/>
        </w:rPr>
        <w:t xml:space="preserve"> Он утверждал, что</w:t>
      </w:r>
      <w:r w:rsidRPr="00070ADE">
        <w:rPr>
          <w:rFonts w:ascii="Times New Roman" w:cs="Times New Roman"/>
          <w:color w:val="000000" w:themeColor="text1"/>
          <w:sz w:val="16"/>
          <w:szCs w:val="16"/>
        </w:rPr>
        <w:t xml:space="preserve"> «мы имеем слишком мало опы</w:t>
      </w:r>
      <w:r w:rsidRPr="00070ADE">
        <w:rPr>
          <w:rFonts w:ascii="Times New Roman" w:cs="Times New Roman"/>
          <w:color w:val="000000" w:themeColor="text1"/>
          <w:sz w:val="16"/>
          <w:szCs w:val="16"/>
        </w:rPr>
        <w:softHyphen/>
        <w:t>та для того, чтобы поставить вопрос о перера</w:t>
      </w:r>
      <w:r w:rsidRPr="00070ADE">
        <w:rPr>
          <w:rFonts w:ascii="Times New Roman" w:cs="Times New Roman"/>
          <w:color w:val="000000" w:themeColor="text1"/>
          <w:sz w:val="16"/>
          <w:szCs w:val="16"/>
        </w:rPr>
        <w:softHyphen/>
        <w:t>спределении брони сейчас».</w:t>
      </w:r>
    </w:p>
    <w:p w14:paraId="2EA4D53C" w14:textId="77777777" w:rsidR="00282955" w:rsidRPr="00070ADE" w:rsidRDefault="0028295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По этим причинам Алексеев предложил направить во все воздушные армии специа</w:t>
      </w:r>
      <w:r w:rsidRPr="00070ADE">
        <w:rPr>
          <w:rFonts w:ascii="Times New Roman" w:cs="Times New Roman"/>
          <w:color w:val="000000" w:themeColor="text1"/>
          <w:spacing w:val="0"/>
        </w:rPr>
        <w:softHyphen/>
        <w:t>листов,</w:t>
      </w:r>
      <w:r w:rsidRPr="00070ADE">
        <w:rPr>
          <w:rStyle w:val="aff7"/>
          <w:rFonts w:ascii="Times New Roman" w:hAnsi="Times New Roman" w:cs="Times New Roman"/>
          <w:i w:val="0"/>
          <w:color w:val="000000" w:themeColor="text1"/>
          <w:spacing w:val="0"/>
        </w:rPr>
        <w:t xml:space="preserve"> «поставив перед ними те же задачи, которые были поставлены перед т. Фридма ном».</w:t>
      </w:r>
      <w:r w:rsidRPr="00070ADE">
        <w:rPr>
          <w:rStyle w:val="4c"/>
          <w:rFonts w:ascii="Times New Roman" w:hAnsi="Times New Roman" w:cs="Times New Roman"/>
          <w:i w:val="0"/>
          <w:color w:val="000000" w:themeColor="text1"/>
          <w:sz w:val="16"/>
          <w:szCs w:val="16"/>
        </w:rPr>
        <w:t xml:space="preserve"> Кроме того, он считал необходимым</w:t>
      </w:r>
      <w:r w:rsidRPr="00070ADE">
        <w:rPr>
          <w:rStyle w:val="46"/>
          <w:rFonts w:ascii="Times New Roman" w:cs="Times New Roman"/>
          <w:color w:val="000000" w:themeColor="text1"/>
          <w:spacing w:val="0"/>
          <w:sz w:val="16"/>
          <w:szCs w:val="16"/>
        </w:rPr>
        <w:t xml:space="preserve"> «по</w:t>
      </w:r>
      <w:r w:rsidRPr="00070ADE">
        <w:rPr>
          <w:rStyle w:val="46"/>
          <w:rFonts w:ascii="Times New Roman" w:cs="Times New Roman"/>
          <w:color w:val="000000" w:themeColor="text1"/>
          <w:spacing w:val="0"/>
          <w:sz w:val="16"/>
          <w:szCs w:val="16"/>
        </w:rPr>
        <w:softHyphen/>
        <w:t>ставить сейчас вопрос в отношении утолщения брони на самолете Ил-2, особенно капота мо</w:t>
      </w:r>
      <w:r w:rsidRPr="00070ADE">
        <w:rPr>
          <w:rStyle w:val="46"/>
          <w:rFonts w:ascii="Times New Roman" w:cs="Times New Roman"/>
          <w:color w:val="000000" w:themeColor="text1"/>
          <w:spacing w:val="0"/>
          <w:sz w:val="16"/>
          <w:szCs w:val="16"/>
        </w:rPr>
        <w:softHyphen/>
        <w:t>тора, даже если это будет связано с увеличе</w:t>
      </w:r>
      <w:r w:rsidRPr="00070ADE">
        <w:rPr>
          <w:rStyle w:val="46"/>
          <w:rFonts w:ascii="Times New Roman" w:cs="Times New Roman"/>
          <w:color w:val="000000" w:themeColor="text1"/>
          <w:spacing w:val="0"/>
          <w:sz w:val="16"/>
          <w:szCs w:val="16"/>
        </w:rPr>
        <w:softHyphen/>
        <w:t>нием веса»,</w:t>
      </w:r>
      <w:r w:rsidRPr="00070ADE">
        <w:rPr>
          <w:rStyle w:val="4c"/>
          <w:rFonts w:ascii="Times New Roman" w:hAnsi="Times New Roman" w:cs="Times New Roman"/>
          <w:i w:val="0"/>
          <w:color w:val="000000" w:themeColor="text1"/>
          <w:sz w:val="16"/>
          <w:szCs w:val="16"/>
        </w:rPr>
        <w:t xml:space="preserve"> а также</w:t>
      </w:r>
      <w:r w:rsidRPr="00070ADE">
        <w:rPr>
          <w:rStyle w:val="46"/>
          <w:rFonts w:ascii="Times New Roman" w:cs="Times New Roman"/>
          <w:color w:val="000000" w:themeColor="text1"/>
          <w:spacing w:val="0"/>
          <w:sz w:val="16"/>
          <w:szCs w:val="16"/>
        </w:rPr>
        <w:t xml:space="preserve"> «создать технические ус</w:t>
      </w:r>
      <w:r w:rsidRPr="00070ADE">
        <w:rPr>
          <w:rStyle w:val="46"/>
          <w:rFonts w:ascii="Times New Roman" w:cs="Times New Roman"/>
          <w:color w:val="000000" w:themeColor="text1"/>
          <w:spacing w:val="0"/>
          <w:sz w:val="16"/>
          <w:szCs w:val="16"/>
        </w:rPr>
        <w:softHyphen/>
        <w:t>ловия, определяющие характер бронирования стрелка, с тем, чтобы их можно было предъя</w:t>
      </w:r>
      <w:r w:rsidRPr="00070ADE">
        <w:rPr>
          <w:rStyle w:val="46"/>
          <w:rFonts w:ascii="Times New Roman" w:cs="Times New Roman"/>
          <w:color w:val="000000" w:themeColor="text1"/>
          <w:spacing w:val="0"/>
          <w:sz w:val="16"/>
          <w:szCs w:val="16"/>
        </w:rPr>
        <w:softHyphen/>
        <w:t>вить Главному конструктору».</w:t>
      </w:r>
      <w:r w:rsidRPr="00070ADE">
        <w:rPr>
          <w:rStyle w:val="4c"/>
          <w:rFonts w:ascii="Times New Roman" w:hAnsi="Times New Roman" w:cs="Times New Roman"/>
          <w:i w:val="0"/>
          <w:color w:val="000000" w:themeColor="text1"/>
          <w:sz w:val="16"/>
          <w:szCs w:val="16"/>
        </w:rPr>
        <w:t xml:space="preserve"> В заключение своего выступления Алексеев констатировал: </w:t>
      </w:r>
      <w:r w:rsidRPr="00070ADE">
        <w:rPr>
          <w:rStyle w:val="46"/>
          <w:rFonts w:ascii="Times New Roman" w:cs="Times New Roman"/>
          <w:color w:val="000000" w:themeColor="text1"/>
          <w:spacing w:val="0"/>
          <w:sz w:val="16"/>
          <w:szCs w:val="16"/>
        </w:rPr>
        <w:t>«Таким образом, в качестве выводов сегод</w:t>
      </w:r>
      <w:r w:rsidRPr="00070ADE">
        <w:rPr>
          <w:rStyle w:val="46"/>
          <w:rFonts w:ascii="Times New Roman" w:cs="Times New Roman"/>
          <w:color w:val="000000" w:themeColor="text1"/>
          <w:spacing w:val="0"/>
          <w:sz w:val="16"/>
          <w:szCs w:val="16"/>
        </w:rPr>
        <w:softHyphen/>
        <w:t>няшнего совещания можно записать:</w:t>
      </w:r>
    </w:p>
    <w:p w14:paraId="049537E4" w14:textId="77777777" w:rsidR="00282955" w:rsidRPr="00070ADE" w:rsidRDefault="00282955" w:rsidP="00B56F90">
      <w:pPr>
        <w:pStyle w:val="45"/>
        <w:shd w:val="clear" w:color="auto" w:fill="auto"/>
        <w:tabs>
          <w:tab w:val="left" w:pos="514"/>
        </w:tabs>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1. Включить в план работы Управления Заказов, Опытного управления и НИИ ВВС посылку на фронт в течение марта, апреля ме</w:t>
      </w:r>
      <w:r w:rsidRPr="00070ADE">
        <w:rPr>
          <w:rFonts w:ascii="Times New Roman" w:cs="Times New Roman"/>
          <w:color w:val="000000" w:themeColor="text1"/>
          <w:sz w:val="16"/>
          <w:szCs w:val="16"/>
        </w:rPr>
        <w:softHyphen/>
        <w:t>сяцев представителей, с целью определения живучести брони самолета Ил-2 и в какой сте</w:t>
      </w:r>
      <w:r w:rsidRPr="00070ADE">
        <w:rPr>
          <w:rFonts w:ascii="Times New Roman" w:cs="Times New Roman"/>
          <w:color w:val="000000" w:themeColor="text1"/>
          <w:sz w:val="16"/>
          <w:szCs w:val="16"/>
        </w:rPr>
        <w:softHyphen/>
        <w:t>пени принятая схема бронирования самолета Ил-2 обеспечивает защиту жизненно важных агрегатов и экипажа от воздушного и наземно</w:t>
      </w:r>
      <w:r w:rsidRPr="00070ADE">
        <w:rPr>
          <w:rFonts w:ascii="Times New Roman" w:cs="Times New Roman"/>
          <w:color w:val="000000" w:themeColor="text1"/>
          <w:sz w:val="16"/>
          <w:szCs w:val="16"/>
        </w:rPr>
        <w:softHyphen/>
        <w:t>го огня противника.</w:t>
      </w:r>
    </w:p>
    <w:p w14:paraId="6B8DD82D" w14:textId="77777777" w:rsidR="00282955" w:rsidRPr="00070ADE" w:rsidRDefault="00282955" w:rsidP="00B56F90">
      <w:pPr>
        <w:pStyle w:val="45"/>
        <w:shd w:val="clear" w:color="auto" w:fill="auto"/>
        <w:tabs>
          <w:tab w:val="left" w:pos="500"/>
        </w:tabs>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2. К 10 марта 1944 г. составить техниче</w:t>
      </w:r>
      <w:r w:rsidRPr="00070ADE">
        <w:rPr>
          <w:rFonts w:ascii="Times New Roman" w:cs="Times New Roman"/>
          <w:color w:val="000000" w:themeColor="text1"/>
          <w:sz w:val="16"/>
          <w:szCs w:val="16"/>
        </w:rPr>
        <w:softHyphen/>
        <w:t>ские условия на кабину стрелка, указав в них характер бронирования последнего. Работу по составлению технических условий возложить на инженер-подполковника т. Огилько».</w:t>
      </w:r>
    </w:p>
    <w:p w14:paraId="3BAB38F3" w14:textId="77777777" w:rsidR="00282955" w:rsidRPr="00070ADE" w:rsidRDefault="0028295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Тем временем 7 марта С.В. Ильюшин все же направил А.К. Репину предложения ОКБ по перераспределению толщины брони бро- некорпуса самолета Ил-2 на основании опы</w:t>
      </w:r>
      <w:r w:rsidRPr="00070ADE">
        <w:rPr>
          <w:rFonts w:ascii="Times New Roman" w:cs="Times New Roman"/>
          <w:color w:val="000000" w:themeColor="text1"/>
          <w:spacing w:val="0"/>
        </w:rPr>
        <w:softHyphen/>
        <w:t>та войны. Предлагалось верхние броневые листы, прикрывающие сверху мотор перед бензобаком, снять, а за счет этого увеличить толщину бокового листа бронекапота мотора с 4 до 8 мм, переднюю 5-мм заслонку маслорадиатора заменить на 12-мм, заднюю 6-мм - на 12-мм, а боковой лист брони толщиной 5мм, находящийся в крыл$, заменить на 4-мм.</w:t>
      </w:r>
    </w:p>
    <w:p w14:paraId="32B48CD5" w14:textId="77777777" w:rsidR="00282955" w:rsidRPr="00070ADE" w:rsidRDefault="00282955" w:rsidP="00B56F90">
      <w:pPr>
        <w:spacing w:after="0" w:line="240" w:lineRule="auto"/>
        <w:jc w:val="both"/>
        <w:rPr>
          <w:rFonts w:ascii="Times New Roman" w:hAnsi="Times New Roman"/>
          <w:color w:val="000000" w:themeColor="text1"/>
          <w:sz w:val="16"/>
          <w:szCs w:val="16"/>
        </w:rPr>
      </w:pPr>
    </w:p>
    <w:p w14:paraId="064316EE" w14:textId="77777777" w:rsidR="00D0561B" w:rsidRPr="00070ADE" w:rsidRDefault="00D0561B"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марта 1944 (19915) в «Кратком отчѐте о живучести самолѐта Ил-2», составленном штабом 233-й штурмовой авиационной Ярцевской дивизии даѐтся общая характеристика самолѐта, область его оперативного использования, указываются уязвимые места штурмовика их влияние на его живучесть.</w:t>
      </w:r>
    </w:p>
    <w:p w14:paraId="56D34B00" w14:textId="77777777" w:rsidR="00D0561B" w:rsidRPr="00070ADE" w:rsidRDefault="00D0561B"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«Уязвимые места следующие: при атаке истребителями противника повреждается винт, что отражается на работе мотора — тряска на всех режимах, вследствие чего лѐтчик должен производить вынужденную посадку. Ил-2 №1875145 был атакован ФВ-190, в результате чего были отбиты: одна лопасть винта 47 см., вторая лопасть 38 см., третья не повреждена. Вследствие повреждения появилась сильная тряска мотора, передающаяся на весь самолѐт. Из-за этого повреждения лѐтчик сумел только перетянуть линию фронта и произвѐл вынужденную посадку на своей территории. Основным уязвимым агрегатом Ил-2 является МАСЛОРАДИАТОР.» При повреждении маслорадиатора самолѐт должен был производить вынужденную посаду и это при том, что корпус самолѐта бронирован. Обычно штурмовики находятся над передним краем довольно продолжительное время (от 10 до 20 мин.) и в этот период подвергаются обстрелу зенитными средствами противника. А если объекты их атаки находятся глубже, то время нахождения над вражеской территорией соответственно увеличивается. Лѐтчики часто прибегали в такой ситуации к закрытию шторок маслорадиатора. Однако держать шторки маслорадиатора закрытыми дольше 6-7 мин. при высоких температурах невозможно, поскольку резко 101 102 повышается температура масла. Лѐтчики вынуждены охлаждать масло и часто по халатности оставляют шторки открытыми при перелѐте линии фронта, где могут быть обстреляны вражеской зенитной артиллерией с возможным повреждением маслорадиатора. Другим уязвимым местом Ил-2 является водорадиатор. «Стоит только иметь одно осколочное или снарядное попадание при открытых шторках водорадиатора, самолѐт выходит из строя… и в некоторых случаях не сможет уже дотянуть на свою территорию, падает в расположении противника. В декабре месяце 1942 года один Ил-2 №1871508 — лѐтчик мл. лейтенант СМОЛИЕВСКИЙ при атаке ж/д полотна Вязьма-Сычевка был обстрелян огнѐм ЗА на высоте 800-600 мт. При обстреле повреждена трубка, идущая от расширительного бачка к водорадиатору, вследствие чего антифриз начал выбивать (так написано в оригинале; очевидно, имеется в виду, что антифриз начал попадать в кабину.— Прим. автора.), пары ослепляли лѐтчика. Из-за утечки антифриза мотор стал перегреваться. Лѐтчик, имея запас высоты, с принижением пока работал мотор смог перетянуть линию фронта и в 4 км. от неѐ произвѐл вынужденную посадку уже с заклинившим мотором. Данный пример характеризует, что броня мотора недостаточной прочности.» Кабина лѐтчика несмотря на имеющееся бронирование всѐ же не позволяет полностью защитить пилота от осколков снарядов. Ранение лѐтного состава больше всего происходит при атаке их истребителями противника. Кабина лѐтчика имеет ряд конструктивных недостатков: наличие зазоров между подвижным колпаком и установленной броней каркаса фонаря, через которые при атаке самолѐта истребителями во время разрыва снарядов осколки проникают в кабину и поражают лѐтчика. «1 октября 1943 года лѐтчик 312 ШАП майор БОЙКО был ранен осколками снарядов в область правой лопатки при атаке истребителей в р-не ГОРКИ, через щели между фонарѐм лѐтчика и кабиной.» Кабина лѐтчика уязвима ещѐ через подвижные форточки сдвижного фонаря. При атаках истребителей под углом 90 градусов и осколками снарядов зенитной артиллерии так же происходит поражение лѐтчика. «15 сентября 1943 года лѐтчик ст. лейтенант АЛФЕРОВ был ранен через форточку при атаке истребителей в нижнюю треть правого бедра. Для излечения которого потребовалось 4-5 месяцев.» Одним из основных жизненных органов самолѐта является управление, от которого зависит жизнь самолѐта и лѐтчика. При повреждении руля глубины самолѐт становится неуправляемым и переходит в крутое пикирование. В практике боевой работы зафиксировано ряд случаев повреждения руля глубины. «25.10.41 г. при атаке автоколонны в р-не Рогачѐв (Калининская область) у са- 103 самолѐта капитана НЫРКОВА 312 ШАП, предположительно, самолѐт стал неуправляем, сразу же перешѐл в крутое пикирование, упал в р-не цели.» При повреждении тросов рулей поворота самолѐт становится трудно управляемым, в этом случае лѐтчик повороты парирует элеронами. «8 июня 1943 года при атаке аэродрома СЕША лѐтчик 198 ШАП Дважды Герой Советского Союза майор БОНДАРЕНКО был атакован огнѐм зенитных средств противника, самолѐт получил повреждения: а) Перебиты троса управления рулѐм поворота. б) Руль поворота держался на одном нижнем шарнире крепления. Руль поворота держался вертикально благодаря сильной обтекаемой струи воздуха в полѐте. При посадке свалился на бок, держась на одном шарнире. в) Между торцами левого внутреннего элерона и плоскостью прошѐл снаряд и заклинил элероны развороченным дюралем. Движение элеронов ограничивалось. При данном повреждении самолѐт по существу был неуправляем, но благодаря его хорошей устойчивости и простоте в координированном управлении в поперечном и продольном отношении был посажен на фюзеляж на своей территории, чем спасена жизнь экипажа.» Достаточно прочный центроплан не имеет конструктивных недостатков. Он способен выдержать даже удар о землю при производстве грубых посадок неопытными лѐтчиками. Были случаи повреждения центроплана, которые не влияли на его живучесть. Пулевые, осколочные и даже снарядные пробоины на вылет, если они не затрагивали горизонтальных полок лонжеронов, так же не влияли на живучесть самолѐта. Хотя известны и случаи, когда даже с повреждѐнными горизонтальными полками лонжеронов, штурмовики благополучно приходили на свой аэродром и совершали посадку. 12 сентября 1941 года при действии по автоколоннам и танкам противника в рне *** (написано неразборчиво — прим. автора) 1 Ил-2 62 ШАП , лѐтчик майор ШУСТ , получил над целью прямое попадание снаряда ЗА. В результате был разбит люк и кассета с мелкими бомбами. Бомбы начали рваться в самолѐте. Лѐтчик сразу же сбросил имеющийся груз. Разрывами своих бомб сильно был повреждѐн центроплан: разбиты все нервюры, вертикальная жесткость лонжеронов, весь силовой набор центроплана. Разбит аварийный выпуск шасси. Шасси не выпускались. Лѐтчик пришѐл на свой аэродром и произвѐл вынужденную посадку на фюзеляж, после чего самолѐт был восстановлен в полевых условиях силами техсостава и ПАРМ-1.» Вышеизложенный пример характеризует большую выносливость и живучесть самолѐта. Конструктивная прочность центроплана выдерживает даже сложные повреждения. Самолѐт рассыпается в воздухе в тех случаях, когда прямым попадани- 104 ем снаряда разбиваются оба стыковых узла крепления центроплана с плоскостью. Во всех остальных случаях при любых повреждениях центроплана, самолѐт возвращается с боевого задания на свой аэродром. «… в случаях посадок самолѐта на фюзеляж на неровной местности (пни или булыжник) лонжероны центроплана получат деформацию между третьей и пятой нервюрой, а также в местах крепления пирамид и подкосов шасси, что сокращает живучесть самолѐта.» Расположение и скрытое бронирование бензобаков обеспечивает их противопожарную безопасность. Наличие на самолѐте противопожарного газа СО² обеспечивает и противодействует воспламенению бензобаков. При выработке горючего, в бензобаках скапливаются пары бензина которые при попадании зажигательных боеприпасов воспламеняются. Чтобы этого не произошло, в бензобаки поступает газ СО². Протектированные баки на самолѐте Ил-2 соответствуют своему назначению. «Из-за повреждения баков с бензином, а также и пустых баков в боевой практике случаев воспламенения самолѐтов не отмечалось. В противопожарном отношении самолѐт Ил-2 надѐжный и почти никогда не воспламеняется.» Но в тоже время, известны случаи воспламенения самолѐтов после повреждения маслорадиатора. «12 февраля 1944 года Ил-2 №5270 198 ШАП лѐтчик лейтенант ПОВАТАЕВ после атаки истребителей противника был повреждѐн маслорадиатор, вследствие чего масло стало выбивать. При следовании на маршруте масло воспламенилось, пламя охватило фюзеляж. Лѐтчик произвѐл вынужденную посадку в р-не … ю.-в. ВИТЕБСК(А). При посадке пламя сбито с самолѐта.» На всѐм протяжении войны самолѐт Ил-2 эксплуатировался и хранился под открытым небом в </w:t>
      </w:r>
      <w:r w:rsidRPr="00070ADE">
        <w:rPr>
          <w:rFonts w:ascii="Times New Roman" w:hAnsi="Times New Roman"/>
          <w:color w:val="000000" w:themeColor="text1"/>
          <w:sz w:val="16"/>
          <w:szCs w:val="16"/>
        </w:rPr>
        <w:lastRenderedPageBreak/>
        <w:t>полевых условиях, подвергаясь природно-атмосферным воздействиям: снег, дождь, ветер, пыль, сырость и т. п. И это при том, что многие части самолѐта сделаны из древесины. «В практике имелись случаи загнивания хвостовой части фюзеляжа (от 12-й рамы и до конца). Это является как конструктивным недостатком фюзеляжа — влага проходит через зализы и щели хвостовой части. Недостатком фюзеляжа является большое неудобство для частого просмотра техническим составом хвостовой части фюзеляжа. В большинстве случаев при грубых посадках по неопытности лѐтного состава на хвост — отламывается хвостовая часть фюзеляжа по 14-ю раму. При повреждении фюзеляжа на живучесть самолѐта не отражается...» На фронте в ходе боевых действий использовались самолѐты Ил-2 как с металлическими плоскостями, так и с использованием деревянной обшивки, что, кстати, имело свои особенности в технике пилотирования. Плоскости с металлической обшивкой выдерживают установленный ресурс эксплуатации, что нельзя сказать, 105 вследствие атмосферного воздействия, о плоскостях с деревянной обшивкой. «Вообще конструкция плоскостей надѐжная и в дальнейшем возможно использование обоих вариантов. В боевых условиях при повреждении плоскостей огнѐм ЗА и ИА (истребительной авиации — прим. автора) противника с металлической обшивкой на живучесть самолѐта не влияет. Самолѐты приходят с боевого задания, имея по 100-120 осколочных и пулевых пробоин. При прямом попадании снаряда в металлическую плоскость, исходное отверстие выше, а выходное отверстие при разрыве снарядов больше, причѐм повреждается внутренний набор крыла. Но срыва большой площади обшивки крыла не наблюдалось, ограничивалось отдельным порывом обшивки и ос осколочными пробоинами. Эти повреждения быстро восстанавливаются… При аналогичном повреждении плоскости с деревянной обшивкой как входное, а также и выходное отверстие во время повреждения значительно больше, чем металлической плоскости. Имелись случаи, когда во время разрыва снаряда в плоскости с деревянной обшивкой срывалась обшивка от 3 до 5 мт (не понятно, что имеется ввиду — прим. автора) поверхности крыла.» В данном случае такое повреждение влияет на технику пилотирования самолѐта. Самолѐт становится трудноуправляемым и имеет тенденцию сваливаться в штопор. Но были известны случаи, когда даже с такими критическими повреждениями, благодаря хорошей технике пилотирования, лѐтчики возвращались на свой аэродром. Тем не менее, такое повреждение очень сильно влияет на живучесть Ил-2. На всѐм протяжении боевых действий хвостовое оперение при любых повреждениях не влияло на живучесть самолѐта. Есть примеры, когда Ил-2 возвращался с задания с повреждѐнными отдельными деталями и обшивкой стабилизатора: перебит лонжерон, узел крепления, повреждѐн внутренний набор и обшивка стабилизатора, а также повреждены лонжероны и обшивка рулей глубины. Но даже несмотря на такие повреждения, самолѐт управляем и лѐтчик может достичь на нѐм своей территории и даже совершить посадку. «8 июня 1943 года на самолѐте Ил-2 198 ШАП — лѐтчик майор БОНДАРЕНКО — огнѐм зенитных средств выбит весь внутренний набор киля и ряд других повреждений… Все же самолѐт перетянул линию фронта.» По мнению боевых лѐтчиков, хвостовое оперение конструктивных недостатков не имело. Было удобно в эксплуатации, монтаже и ремонте. В качестве пожеланий и улучшений, лѐтчики высказывали идею о необходимости поставить дублирующий трос руля глубины в фюзеляже. Устанавливаемые на самолѐт Ил-2 моторы АМ-38 и АМ-38Ф надѐжны в эксплуатации, работают безотказно, но при своевременном выполнении регламентирован- 106 ных работ по их обслуживанию. Мотор АМ-38Ф показал лучшие качества работы по сравнению с мотором АМ-38. Замена мотора на Ил-2 занимает одни сутки. Живучесть мотора в боевых условиях во время обстрела самолѐта зенитными средствами противника зависела от «скорлупы» брони моторной установки. Известны единичные случаи повреждения картера, так как осколки снарядов ЗА, пробивая бронь, теряют убойную силу и значительных повреждений не причиняют. Мотор имеет следующие уязвимые места: -При атаке истребителей противника сверху, повреждаются карбюратор, блоки и головки блоков. -Не забронированная часть мотора в местах выхлопных патрубков. В этих местах, незащищѐнных броней, мотор может быть повреждѐн. Все основные приборы и оборудование штурмовика смонтированы и прикрыты бронѐй, поэтому случаев их повреждения при выполнении боевых заданий было очень мало. Наиболее уязвимыми местами являются электропроводка в плоскостях к РО, АНО и ПИТО. Но благодаря удачному расположению люков и разъѐмных колодок такие повреждения легко устраняются. При авариях и вынужденных посадках самолѐта на фюзеляж, вследствие хорошей амортизации приборной доски и особенно центрального щитка, на котором расположены наиболее уязвимые приборы, правильная их работа не нарушается. Отказов приборов на самолѐте Ил-2, из-за которых бы уменьшалась живучесть самолѐта, зафиксировано не было. Большую роль в повышении живучести самолѐта играет радиооборудование и его использование. Вот какие выводы о живучести Ил-2 сделали в 233-й штурмовой авиационной Ярцевской дивизии: «Самолѐт Ил-2, как штурмовик себя оправдал и вполне соответствует своему назначению. В боевых действиях вынослив. При повреждении почти никогда не горит, что обеспечивает безопасность полѐта в сохранении жизни экипажа. А также хорошо обеспечивает жизнь экипажа при вынужденных посадках даже на лес при правильном подводе самолѐта в момент приземления. За период 7 месяцев боевых действий 1943 года средняя живучесть самолѐта Ил-2 в дивизии составляет 29 часов 32 мин.» « В период отечественной войны частями дивизии произведено 7472 самолѐтовылета с налѐтом 7511 часов. За этот период потеряно 220 самолѐтов. В среднем на 1 потерю приходится 35 самолѐтовылетов.» (19909).</w:t>
      </w:r>
    </w:p>
    <w:p w14:paraId="02F13517" w14:textId="77777777" w:rsidR="00D0561B" w:rsidRPr="00070ADE" w:rsidRDefault="00D0561B" w:rsidP="00B56F90">
      <w:pPr>
        <w:shd w:val="clear" w:color="auto" w:fill="FFFFFF"/>
        <w:spacing w:after="0" w:line="240" w:lineRule="auto"/>
        <w:jc w:val="both"/>
        <w:rPr>
          <w:rFonts w:ascii="Times New Roman" w:hAnsi="Times New Roman"/>
          <w:color w:val="000000" w:themeColor="text1"/>
          <w:sz w:val="16"/>
          <w:szCs w:val="16"/>
        </w:rPr>
      </w:pPr>
    </w:p>
    <w:p w14:paraId="3F30FC8E" w14:textId="77777777" w:rsidR="006D5302" w:rsidRPr="00070ADE" w:rsidRDefault="006D530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марта 1944 года из письма № 896562сс от на</w:t>
      </w:r>
      <w:r w:rsidRPr="00070ADE">
        <w:rPr>
          <w:rFonts w:ascii="Times New Roman" w:hAnsi="Times New Roman"/>
          <w:color w:val="000000" w:themeColor="text1"/>
          <w:sz w:val="16"/>
          <w:szCs w:val="16"/>
        </w:rPr>
        <w:softHyphen/>
        <w:t>чальника ГУЗ и ТС генерал-лейтенанта ИАС Селезнева Военному Совету ВВС КА: «При перевыполнении обязательства по выпуску самолетов Ла-5 во втором квартале 1943 г. самолета с моторами М-82ФН от общего фактического выпуска составляют 19%. За 3-й и 4-й кварталы Ла-5ФН выпущено 836 самолетов - 33% от фактического выпус</w:t>
      </w:r>
      <w:r w:rsidRPr="00070ADE">
        <w:rPr>
          <w:rFonts w:ascii="Times New Roman" w:hAnsi="Times New Roman"/>
          <w:color w:val="000000" w:themeColor="text1"/>
          <w:sz w:val="16"/>
          <w:szCs w:val="16"/>
        </w:rPr>
        <w:softHyphen/>
        <w:t>ка. Завод № 381 ни одного Ла-5ФН в 1943 году не выпустил. Одной из причин за</w:t>
      </w:r>
      <w:r w:rsidRPr="00070ADE">
        <w:rPr>
          <w:rFonts w:ascii="Times New Roman" w:hAnsi="Times New Roman"/>
          <w:color w:val="000000" w:themeColor="text1"/>
          <w:sz w:val="16"/>
          <w:szCs w:val="16"/>
        </w:rPr>
        <w:softHyphen/>
        <w:t>держки выпуска самолетов была задержка с выпуском модернизированных моторов. Завод № 19 сможет перейти полностью на М-82ФН к 1.4.44 г. из-за более удлиненного цикла производства мотора М- 82ФН...Завод № 19 М-82ФН должен был вы</w:t>
      </w:r>
      <w:r w:rsidRPr="00070ADE">
        <w:rPr>
          <w:rFonts w:ascii="Times New Roman" w:hAnsi="Times New Roman"/>
          <w:color w:val="000000" w:themeColor="text1"/>
          <w:sz w:val="16"/>
          <w:szCs w:val="16"/>
        </w:rPr>
        <w:softHyphen/>
        <w:t>пускать 30 штук в сутки к концу 1943 г., однако из-за недостатка в оснастке может перейти полностью на моторы М-82ФН только с 1.4.44 г.».</w:t>
      </w:r>
    </w:p>
    <w:p w14:paraId="5555A675" w14:textId="77777777" w:rsidR="006D5302" w:rsidRPr="00070ADE" w:rsidRDefault="006D530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Даже к концу выпуска Ла-5 и других про</w:t>
      </w:r>
      <w:r w:rsidRPr="00070ADE">
        <w:rPr>
          <w:rFonts w:ascii="Times New Roman" w:hAnsi="Times New Roman"/>
          <w:color w:val="000000" w:themeColor="text1"/>
          <w:sz w:val="16"/>
          <w:szCs w:val="16"/>
        </w:rPr>
        <w:softHyphen/>
        <w:t>блем хватало с избытком. Далеко не все уда</w:t>
      </w:r>
      <w:r w:rsidRPr="00070ADE">
        <w:rPr>
          <w:rFonts w:ascii="Times New Roman" w:hAnsi="Times New Roman"/>
          <w:color w:val="000000" w:themeColor="text1"/>
          <w:sz w:val="16"/>
          <w:szCs w:val="16"/>
        </w:rPr>
        <w:softHyphen/>
        <w:t>валось решить с ходу, а что-то так и «висело» неизжитым с начала серийного производ</w:t>
      </w:r>
      <w:r w:rsidRPr="00070ADE">
        <w:rPr>
          <w:rFonts w:ascii="Times New Roman" w:hAnsi="Times New Roman"/>
          <w:color w:val="000000" w:themeColor="text1"/>
          <w:sz w:val="16"/>
          <w:szCs w:val="16"/>
        </w:rPr>
        <w:softHyphen/>
        <w:t>ства (24160).</w:t>
      </w:r>
    </w:p>
    <w:p w14:paraId="51DFAC4C" w14:textId="77777777" w:rsidR="006D5302" w:rsidRPr="00070ADE" w:rsidRDefault="006D5302" w:rsidP="00B56F90">
      <w:pPr>
        <w:spacing w:after="0" w:line="240" w:lineRule="auto"/>
        <w:jc w:val="both"/>
        <w:rPr>
          <w:rFonts w:ascii="Times New Roman" w:hAnsi="Times New Roman"/>
          <w:color w:val="000000" w:themeColor="text1"/>
          <w:sz w:val="16"/>
          <w:szCs w:val="16"/>
        </w:rPr>
      </w:pPr>
    </w:p>
    <w:p w14:paraId="538B96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марта 1944 Нач. НИИ ВВС г-л Лосюков и 28 февраля 1944 Нач. 3 отд. НИИ ВВС и-п Сафронов и Зам. Нач. 3 отд. НИИ ВВС по летной части г-м Стефановский подписали Заключение по результатам дополнительных (после переделок, произведенных ГК завода 51 тов. Поликарповым) испытаний модернизированного самолета У-2ВС с мотором М-11Д и винтом ВФШ Д=2.35м - эталон первого полугодия 1944 (3461).</w:t>
      </w:r>
    </w:p>
    <w:p w14:paraId="2D2AE4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95CED2" w14:textId="77777777" w:rsidR="006E7509" w:rsidRPr="00070ADE" w:rsidRDefault="006E7509" w:rsidP="00B56F90">
      <w:pPr>
        <w:spacing w:after="0" w:line="240" w:lineRule="auto"/>
        <w:jc w:val="both"/>
        <w:rPr>
          <w:rFonts w:ascii="Times New Roman" w:hAnsi="Times New Roman"/>
          <w:bCs/>
          <w:color w:val="000000" w:themeColor="text1"/>
          <w:sz w:val="16"/>
          <w:szCs w:val="16"/>
        </w:rPr>
      </w:pPr>
      <w:r w:rsidRPr="00070ADE">
        <w:rPr>
          <w:rFonts w:ascii="Times New Roman" w:hAnsi="Times New Roman"/>
          <w:bCs/>
          <w:color w:val="000000" w:themeColor="text1"/>
          <w:sz w:val="16"/>
          <w:szCs w:val="16"/>
        </w:rPr>
        <w:t>2 марта</w:t>
      </w:r>
      <w:r w:rsidRPr="00070ADE">
        <w:rPr>
          <w:rFonts w:ascii="Times New Roman" w:hAnsi="Times New Roman"/>
          <w:color w:val="000000" w:themeColor="text1"/>
          <w:sz w:val="16"/>
          <w:szCs w:val="16"/>
        </w:rPr>
        <w:t xml:space="preserve"> в 1944 году запорожский авиаремонтный завод получил статус союзного завода "478" НКАП (15056).</w:t>
      </w:r>
    </w:p>
    <w:p w14:paraId="4B2C35EA" w14:textId="77777777" w:rsidR="006E7509" w:rsidRPr="00070ADE" w:rsidRDefault="006E7509" w:rsidP="00B56F90">
      <w:pPr>
        <w:spacing w:after="0" w:line="240" w:lineRule="auto"/>
        <w:jc w:val="both"/>
        <w:rPr>
          <w:rFonts w:ascii="Times New Roman" w:hAnsi="Times New Roman"/>
          <w:bCs/>
          <w:color w:val="000000" w:themeColor="text1"/>
          <w:sz w:val="16"/>
          <w:szCs w:val="16"/>
        </w:rPr>
      </w:pPr>
    </w:p>
    <w:p w14:paraId="7A1D33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 марта 1944 г. в соответствии с приказом наркомата авиационной промышленности № 121 запорожский завод получил новое наименование - государственный союзный завод № 478, и на него была возложена задача выполнения капитального ремонта моторов М-88Б и их производство из деталей и узлов, поставляемых из Омска заводом № 29 с постепенным переходом на полный цикл изготовления моторов М-88Б в Запорожье. Для обеспечения конструкторского сопровождения этих работ на заводе в феврале 1945 г. создают серийное конструкторское бюро, которое возглавил Л.А. Трайнин. </w:t>
      </w:r>
    </w:p>
    <w:p w14:paraId="4D5B87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 середины 1945 г. на конструкторов завода также была возложена задача по обеспечению запуска в производство мотора М-72 (четырехтактный двухцилиндровый оппозитный, мощностью 22 л.с.) для находившихся на вооружении Красной Армии тяжелых мотоциклов М-72, созданных в 1940 г. на базе немецкого мотоцикла R-71 фирмы ВМW. Документация на двигатель была передана Ирбитским мотоциклетным заводом. </w:t>
      </w:r>
    </w:p>
    <w:p w14:paraId="4B7071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АИ-26В5 мая 1945 г. нарком авиационной промышленности А.И. Шахурин подписал приказ об организации на заводе №478 опытно-конструкторского бюро, на которое возлагались функции внедрения в серийное производство моторов М-88Б и создание новых и модифицированных моторов. Начальником ОКБ завода назначили А.Г. Ивченко, освободив его от должности заместителя главного конструктора завода № 29 в Омске. </w:t>
      </w:r>
    </w:p>
    <w:p w14:paraId="33C404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Ядро коллектива нового ОКБ составили вернувшиеся из Омска специалисты ОКБ № 29: А.М. Анашкин, В.А. Лотарев, А.С. Красников, К.М. Валик, А.В. Выгодин и др. Это были годы энтузиазма и творческого подъема, вызванного победой в Великой Отечественной войне и долгожданным возвращением на берега родного Днепра. Иначе чем объяснить, что за столь короткое время был создан целый ряд поршневых двигателей различной размерности и назначения, что позволило заводским конструкторам обрести авторитет коллектива, который в короткие сроки и с высоким техническим уровнем может справиться с любой задачей. </w:t>
      </w:r>
    </w:p>
    <w:p w14:paraId="01E9D8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1945 г. начал стендовые и летные испытания мотор М-26 мощностью 500 л.с. (семицилиндровая однорядная "звезда" фактически "половинка" АШ-82), работы над которым начались еще в ОКБ-29 в Омске. Ведущим конструктором по двигателю был В.А. Лотарев. Очевидно, М-26 был альтернативным АШ-21 проектом мотора для учебно/тренировочного самолета Як-11, однако предпочтение было отдано более мощному АШ-21, и М-26 не нашел применения на самолетах, но обрел свое место на новом типе летательных аппаратов - геликоптерах (так тогда называ ли вертолеты), работы по созданию и производству которых широко развернулись в это время в мире (11762). </w:t>
      </w:r>
    </w:p>
    <w:p w14:paraId="031930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856C855" w14:textId="6A58CB4E"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марта 1944 г. на базе авиаремонтного завода образован завод № 478 (приказ НКАП № 602с от 10.10.1944 г.) (Завод № 478 НКАП, МАП, п/я 18, Запорожский моторостроительный завод, Запорожское ПО «Моторостроитель» им. Великой Октябрьской Социалистической Революции, Завод «Мотор Сич», ОАО «Мотор Сич» / Украина 69068</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Запорожье, ул. 8-го Марта, 15 тел. 61-47-77/ /Московское представительство: 125252 ул. Новопесчаная, 14 тел. 411-51-11/).</w:t>
      </w:r>
    </w:p>
    <w:p w14:paraId="34505DE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ГКО № 5848 от 8.05.1944 г. на заводе № 478 организовано производство моторов М- 88Б. Был оснащен трофейным оборудованием: в 1946 г. заводу выделено 2486 станков (в т.ч. 1283 металлорежущих) из Германии. Вступил в строй в 1947 г.</w:t>
      </w:r>
    </w:p>
    <w:p w14:paraId="0A2E86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5.05.1945 г. при заводе образовалось ОКБ-478, в 1959 г. оно выделилось в самостоятельное предприятие. В 1954-62 г. завод № 478 имел наименование «п/я 18». В соответствии с пост. СМ СССР № 713-342 от 26.06.1957 г. завод передан в ведение СНХ УССР.</w:t>
      </w:r>
    </w:p>
    <w:p w14:paraId="35F5A5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ПСМ № 756-323 от 19.08.1961 г. начата организация серийного производства АИ-24.</w:t>
      </w:r>
    </w:p>
    <w:p w14:paraId="2BCCFA92" w14:textId="1F685776"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имел филиал 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Волочиске.</w:t>
      </w:r>
    </w:p>
    <w:p w14:paraId="71B578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1.06.1994 г. ПО «Моторостроитель» преобразовано в ОАО «Мотор Ci4». В состав ОАО входило (2002 г.) 8 заводов, в т.ч.: Снежнянский машзавод, Волочиский машзавод, Лебединский машзавод-1, Гуляйпольский механический завод.</w:t>
      </w:r>
    </w:p>
    <w:p w14:paraId="59CE29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Имел Московское представительство (директор (-2005-06 г.-)- П.И. Кононенко.</w:t>
      </w:r>
    </w:p>
    <w:p w14:paraId="5510B2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(2002 г.): освоение производства Д-27, ВК-1500, АИ-22; (2005 г.)- освоение производства АИ-25ТЛШ, ВК-1500, АИ-450, Д-27.</w:t>
      </w:r>
    </w:p>
    <w:p w14:paraId="7CABDBB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2007 г. планировалось объединение ОАО «Мотор Сич» и ЗМКБ «Прогресс» в «Корпорацию Ивченко».</w:t>
      </w:r>
    </w:p>
    <w:p w14:paraId="68183A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(05.1944 г.)- Хижняк, (1959-)- В.И. Омельченко, П.И. Скляров. Гендиректор (-02.1988 г.)- В.И. Омельченко, (1988-2006 г.-)- В.А. Богуслаев.</w:t>
      </w:r>
    </w:p>
    <w:p w14:paraId="047888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Гендиректора: по производству (-2004-06 г.-)- В.В. Ткаченко; по маркетингу (-2000-06 г.-)- К.С. Колтун; по качеству (2005 г.)- С. Войтенко; (2007 г.)- В. Семенов.</w:t>
      </w:r>
    </w:p>
    <w:p w14:paraId="1F1966A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по авиационным программам (2006 г.)- А. Ситнов.</w:t>
      </w:r>
    </w:p>
    <w:p w14:paraId="2C84BB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директора моторного производства (2003 г.)- В.В. Омельченко.</w:t>
      </w:r>
    </w:p>
    <w:p w14:paraId="7B2BA0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(-2000-06 г.-)- П.Д. Жеманюк.</w:t>
      </w:r>
    </w:p>
    <w:p w14:paraId="53B0FB2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инженера (-1949 г.)- Н.А. Левченко.</w:t>
      </w:r>
    </w:p>
    <w:p w14:paraId="479F803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технолога (-1954 г.)- Д.Ф. Зайцев.</w:t>
      </w:r>
    </w:p>
    <w:p w14:paraId="4D0602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цехов: механического (1944 г.-)- Д.Ф. Зайцев; экспериментального- Д.Ф. Зайцев.</w:t>
      </w:r>
    </w:p>
    <w:p w14:paraId="7A9A46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цеха: инструментального (1946 г.-)- Н.А. Левченко.</w:t>
      </w:r>
    </w:p>
    <w:p w14:paraId="0B976A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 авиационные двигатели:</w:t>
      </w:r>
      <w:r w:rsidRPr="00070ADE">
        <w:rPr>
          <w:rFonts w:ascii="Times New Roman" w:hAnsi="Times New Roman"/>
          <w:color w:val="000000" w:themeColor="text1"/>
          <w:sz w:val="16"/>
          <w:szCs w:val="16"/>
        </w:rPr>
        <w:t xml:space="preserve"> поршневые: М-88Б, М-11ФР (-1959), АИ-26ГР (1947)- 1300, АШ- 62ИР (1949-52); ГТД: РД-45Ф (1953-58), РД-500 (1956-), АИ-8 (1964-), АИ-9 (1967-)- более 2030, АИ-9В (1974)- более 3600, АИ-9-ЗБ (1997), ТВ-2Т, АИ-20 (1957-)- 14.000, АИ-24 (1961-)- более 11.700, АИ-25 (1967-)- 6500, АИ-25ТЛ (1973-)- 2650, АИ-30, Д-36 (1977-), Д-136 (1982-), Д-236, Д-436 (1992-2005-), ТВЗ-117 (1972-)- 22.000, Д-18Т (1985-), ТВЗ-117ВМА-СБМ1 (1997-), ВК-2500 (1999-2005-), ВК-1500 (2005), АИ-22 (2005), АИ-222-25 (2005), Д-27 (2005); бортовой энегроузел АИ-24УБЭ для самолета А-50 (1981); мотоциклетный двигатель М-72 (- 1947), судовой ГТД АИ-23С1 (1967-); передвижные автоматизированные электростанции ПАЭС-2500, ЭГ-1000 (2005), ЭГ-2500Т, ЭГ-6000 (2005), ЭГ-8000, ЭГ-10.000, ЭТД-1000; агрегат тепла и холода АТХ-50/50, генератор инертных газов МТ-1; '" ГТУ для нефтегазоперекачки Д-336, АИ-336 (2002).</w:t>
      </w:r>
    </w:p>
    <w:p w14:paraId="4AE3DE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ОКБ-478 НКАП, МАП, Запорожское МКБ «Прогресс», ГП «ЗМКБ «Прогресс» им. академика А. Г. Ивченко», ГП «Экспериментально-исследовательский</w:t>
      </w:r>
    </w:p>
    <w:p w14:paraId="22DF10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комплекс «Ивченко-Прогресс»</w:t>
      </w:r>
    </w:p>
    <w:p w14:paraId="6291D9E1" w14:textId="16C7B1BD"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/Украина 69068</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Запорожье ул. Иванова, 2 тел. 65-03-27/</w:t>
      </w:r>
    </w:p>
    <w:p w14:paraId="106087E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по приказу НКАП № 193с от 5.05.1945 г. на заводе № 478 как серийное КБ для доводки и освоения производства М-88Б, по этому же приказу сюда переданы работы по серии и модификациям М-88 из ОКБ-29. По приказу № 414сс от 1.07.1946 г. на базе СКБ создано ОКБ по ПД средней мощности.</w:t>
      </w:r>
    </w:p>
    <w:p w14:paraId="624B33E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1946 г. КБ поставлено 140 трофейных металлорежущих станков.</w:t>
      </w:r>
    </w:p>
    <w:p w14:paraId="7A126C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1948 г. всем созданным двигателям присвоено наименование «АИ».</w:t>
      </w:r>
    </w:p>
    <w:p w14:paraId="2FD646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1953 г. разрабатывало поршневые двигатели, затем передало их в Воронеж, состедоточившись на разработке ТВД и ТВлД.</w:t>
      </w:r>
    </w:p>
    <w:p w14:paraId="4A63F8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СМ СССР от 30.11.1955 г. о создании 4-моторного пассажирского самолета и двигателя для него началась разработка АИ-20. Задание также было выдано Люльке и Кузнецову.</w:t>
      </w:r>
    </w:p>
    <w:p w14:paraId="784CC94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08.1957 г.- в ведении ЗГУ МАП. В 1959 г. ОКБ выделилось из завода в самостоятельное предприятие.</w:t>
      </w:r>
    </w:p>
    <w:p w14:paraId="34D1BB5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(2004 г.): проектирование, производство, испытание, доводка и ремонт ГТД (винтовентиляторные, винтовые, вентиляторные, турбовальные, ВСУ) авиационного и промышленного применения; ГШ для ГПА компрессорных станций и газлифтных установок; ГТП блочных электростанций; генератор инертных газов; малогабаритный газоперекачивающий агрегат, холодильные установки.</w:t>
      </w:r>
    </w:p>
    <w:p w14:paraId="6D0C2A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Разработка модификаций Д-36: серий 4А, 5А, 5АФ.</w:t>
      </w:r>
    </w:p>
    <w:p w14:paraId="06CB52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02.2007 г. КБ вошло в состав концерна «Авиация Украины». В 2007 г. планируется объединение ОАО «Мотор Сич» и ЗМКБ «Прогресс» в «Корпорацию Ивченко».</w:t>
      </w:r>
    </w:p>
    <w:p w14:paraId="413367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(1945-63 г.)- А. Г. Ивченко. Ген. конструктор (1963-68 г.)- А. Г. Ивченко {23.11.1903- 30.06.1968}, (1968-89 г.)- В.А. Лотарев {15.11.1914-94}, (1989-2009 г.-)- Ф.М. Муравченко {18.03.1929-}.</w:t>
      </w:r>
    </w:p>
    <w:p w14:paraId="6C1461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(1945-68 г.)- А. Г. Ивченко, (1968-89 г.)- В.А. Лотарев, (1989-2005г,-)- Ф.М. Муравченко.</w:t>
      </w:r>
    </w:p>
    <w:p w14:paraId="64E854FF" w14:textId="737BD309"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зам. ген. конструктора (1967 г.-)- Ф.М. Муравченко, (-23.12.2002 г.)- В.И. Колесников, (-2004-05 г.-)- И.Ф. Кравченко. 2-й зам. ген. конструктора (2004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Г.И. Пейчев. Зам. ген. Конструктора: по производству (2004 г.)- М. Г. Залунин; по маркетингу (2005 г.)- А.В. Гавришенко.</w:t>
      </w:r>
    </w:p>
    <w:p w14:paraId="4011B299" w14:textId="629CF5A3"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(-2004-05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Г.И. Пейчев. Технический директор (2005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Г.И. Пейчев.</w:t>
      </w:r>
    </w:p>
    <w:p w14:paraId="01FD6A0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конструкторы (1963-68 г.)- В.А. Лотарев, (1967 г.-)- Ф.М. Муравченко, (-23.12.2002 г.)- В.И. Колесников, (- 2004-05 г.-)- И.Ф. Кравченко, (2004 г.)- Л.И. Мартыненко.</w:t>
      </w:r>
    </w:p>
    <w:p w14:paraId="71D87AB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конструктора (1948 г.-)- В.А. Лотарев, (06.1970-79 г.)- В.М. Чуйко.</w:t>
      </w:r>
    </w:p>
    <w:p w14:paraId="18E863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 авиационные двигатели:</w:t>
      </w:r>
      <w:r w:rsidRPr="00070ADE">
        <w:rPr>
          <w:rFonts w:ascii="Times New Roman" w:hAnsi="Times New Roman"/>
          <w:color w:val="000000" w:themeColor="text1"/>
          <w:sz w:val="16"/>
          <w:szCs w:val="16"/>
        </w:rPr>
        <w:t xml:space="preserve"> АИ-4Г для Ка-10 (1946-50), АИ-10 (1947), АИ-12, АИ-14, АИ-14Р (1950), АИ-26В (1947), М-26ГР (1947), М-27, М-10, ТВ-2Т и ТВ-2ВК на базе ТВ-2, АИ-20 (1957), АИ-24 (1961), АИ-25 (1967), АИ-25ТЛ для L-39 (1973), АИ-222, Д-36 (1974), Д-136 для Ми-26 (1978), Д-236Т (1985), Д-436 (1987), ДВ- 2 (1990), Д-18Т (1982), Д-27 (1988), АИ-22 (2000), АИ-222, АИ-436 (Д-436-12) для МС-21;</w:t>
      </w:r>
      <w:r w:rsidRPr="00070ADE">
        <w:rPr>
          <w:rFonts w:ascii="Times New Roman" w:hAnsi="Times New Roman"/>
          <w:iCs/>
          <w:color w:val="000000" w:themeColor="text1"/>
          <w:sz w:val="16"/>
          <w:szCs w:val="16"/>
        </w:rPr>
        <w:t xml:space="preserve"> ВСУ:</w:t>
      </w:r>
      <w:r w:rsidRPr="00070ADE">
        <w:rPr>
          <w:rFonts w:ascii="Times New Roman" w:hAnsi="Times New Roman"/>
          <w:color w:val="000000" w:themeColor="text1"/>
          <w:sz w:val="16"/>
          <w:szCs w:val="16"/>
        </w:rPr>
        <w:t xml:space="preserve"> АИ-7, АИ-8, АИ- 9, АИ-450МС для Ан-148 (2003); двигатели для буровых установок АИ-23СГ, для газоперекачивающих станций Д-336 (1989); промышленный ГТД АИ-21; генератор инертных газов ГиГ-4; бензопила «Дружба» (1958).</w:t>
      </w:r>
    </w:p>
    <w:p w14:paraId="263DE5B7" w14:textId="1A7784CB"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ОАО «Волочиский машиностроительный завод» /Украина 281370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Волочиск Хмельницкой обл. тел. 21-355/</w:t>
      </w:r>
    </w:p>
    <w:p w14:paraId="2FA26A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Основан в 1971 г. Входит в состав (2002 г.) ОАО «Мотор-Сич».</w:t>
      </w:r>
    </w:p>
    <w:p w14:paraId="04DCCC9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(2002 г.): передвижные автоматизированные электростанции ПАЭС-2500; детали авиационных ГТД; инструмент, оснастка для ОАО «Мотор-Сич».</w:t>
      </w:r>
    </w:p>
    <w:p w14:paraId="25A10A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(1973-88 г.)- В.А. Богуслаев.</w:t>
      </w:r>
    </w:p>
    <w:p w14:paraId="2E2E0D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Гуляйпольский механический завод /Украина 332837 п. Зализнычный Гуляйпольского р-на Запорожской обл. ул. Котовского, 2 тел. 90-124/</w:t>
      </w:r>
    </w:p>
    <w:p w14:paraId="37C9DA8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Входит в состав (2002 г.) ОАО «Мотор-Сич».</w:t>
      </w:r>
    </w:p>
    <w:p w14:paraId="55D1F2E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(2002 г.): детали и узлы авиационных и наземных ГТД, запчасти к автомобилям.</w:t>
      </w:r>
      <w:r w:rsidRPr="00070ADE">
        <w:rPr>
          <w:rFonts w:ascii="Times New Roman" w:hAnsi="Times New Roman"/>
          <w:color w:val="000000" w:themeColor="text1"/>
          <w:sz w:val="16"/>
          <w:szCs w:val="16"/>
          <w:vertAlign w:val="superscript"/>
        </w:rPr>
        <w:t>69</w:t>
      </w:r>
    </w:p>
    <w:p w14:paraId="7260F4D7" w14:textId="62DD69C5"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Снежнянский машиностроительный завод /Украина 86503</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Снежное Донецкой обл. ул. Терешковой, 3 тел. 53-096/</w:t>
      </w:r>
    </w:p>
    <w:p w14:paraId="0C9DC3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основан в 1970 г.</w:t>
      </w:r>
    </w:p>
    <w:p w14:paraId="1B597F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лопатки компрессоров и турбин, диски компрессоров ГТД; детали двигателей АИ-25, Д-30, АИ-20, Д-18, ТВЗ-117, Д-127, Д-136; паровой котлоагрегат КПА-500 (2002 г.) (11982).</w:t>
      </w:r>
    </w:p>
    <w:p w14:paraId="5382924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333074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7AC47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327A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марта 1944 г. был изготовлен и отгружен заводом № 4 опытный образец 37-мм спаренной автоматической палубной установки (3861).</w:t>
      </w:r>
    </w:p>
    <w:p w14:paraId="469C4B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00C4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марта 1944 вышло Постановление ГКО № 5277 О срочных мерах по ликвидации последствий взрыва на заводах № 15 и 309 Наркомата боеприпасов. РГАНИР, Фонд ГКО, д. 215, лл. 1-16,17-21 (11012).</w:t>
      </w:r>
    </w:p>
    <w:p w14:paraId="3987D6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B3EEE6A" w14:textId="77777777" w:rsidR="00282955" w:rsidRPr="00070ADE" w:rsidRDefault="00282955" w:rsidP="00B56F90">
      <w:pPr>
        <w:pStyle w:val="a3"/>
        <w:rPr>
          <w:color w:val="000000" w:themeColor="text1"/>
          <w:lang w:val="ru-RU"/>
        </w:rPr>
      </w:pPr>
      <w:r w:rsidRPr="00070ADE">
        <w:rPr>
          <w:color w:val="000000" w:themeColor="text1"/>
          <w:lang w:val="ru-RU"/>
        </w:rPr>
        <w:t>2 марта 1944 Артиллерийский комитет ГАУ КА утвердил Программу испытаний С-51. Самоходная установка поступила на АНИОП еще раньше — 26 февраля, спустя два дня прибыла техническая документа</w:t>
      </w:r>
      <w:r w:rsidRPr="00070ADE">
        <w:rPr>
          <w:color w:val="000000" w:themeColor="text1"/>
          <w:lang w:val="ru-RU"/>
        </w:rPr>
        <w:softHyphen/>
        <w:t>ция. Проблему отсутствия на АНИОП подъемных средств решили тем, что разбор и обмер установочных частей гаубицы проводили на заводе №112. В полном объеме произвести необходимые работы по разбору, впрочем, не удалось. До начала испытаний С-51 прошла 150 киломе</w:t>
      </w:r>
      <w:r w:rsidRPr="00070ADE">
        <w:rPr>
          <w:color w:val="000000" w:themeColor="text1"/>
          <w:lang w:val="ru-RU"/>
        </w:rPr>
        <w:softHyphen/>
        <w:t>тров пробега, из них 120 километров было пройдено от АНИОП до за</w:t>
      </w:r>
      <w:r w:rsidRPr="00070ADE">
        <w:rPr>
          <w:color w:val="000000" w:themeColor="text1"/>
          <w:lang w:val="ru-RU"/>
        </w:rPr>
        <w:softHyphen/>
        <w:t>вода № 112 и обратно.</w:t>
      </w:r>
    </w:p>
    <w:p w14:paraId="284D1068" w14:textId="77777777" w:rsidR="00282955" w:rsidRPr="00070ADE" w:rsidRDefault="00282955" w:rsidP="00B56F90">
      <w:pPr>
        <w:pStyle w:val="a3"/>
        <w:rPr>
          <w:color w:val="000000" w:themeColor="text1"/>
          <w:lang w:val="ru-RU"/>
        </w:rPr>
      </w:pPr>
      <w:r w:rsidRPr="00070ADE">
        <w:rPr>
          <w:color w:val="000000" w:themeColor="text1"/>
          <w:lang w:val="ru-RU"/>
        </w:rPr>
        <w:t>Испытания самоходной установки начались 16 марта 1943 года. Ввиду отсутствия на АНИОП фугасных снарядов для Б-4 стрельбу на кучность проводили бетонобойными боеприпасами, что одновремен</w:t>
      </w:r>
      <w:r w:rsidRPr="00070ADE">
        <w:rPr>
          <w:color w:val="000000" w:themeColor="text1"/>
          <w:lang w:val="ru-RU"/>
        </w:rPr>
        <w:softHyphen/>
        <w:t>но сократило программу полигонных испытаний. 16-го числа было сделано 18 выстрелов. Всего же за время огневых испытаний, про</w:t>
      </w:r>
      <w:r w:rsidRPr="00070ADE">
        <w:rPr>
          <w:color w:val="000000" w:themeColor="text1"/>
          <w:lang w:val="ru-RU"/>
        </w:rPr>
        <w:softHyphen/>
        <w:t>должавшихся до 24 марта, было произведено 209 выстрелов, из них 135 усиленным зарядом.</w:t>
      </w:r>
    </w:p>
    <w:p w14:paraId="2F7B2C97" w14:textId="77777777" w:rsidR="00282955" w:rsidRPr="00070ADE" w:rsidRDefault="00282955" w:rsidP="00B56F90">
      <w:pPr>
        <w:pStyle w:val="a3"/>
        <w:rPr>
          <w:color w:val="000000" w:themeColor="text1"/>
          <w:lang w:val="ru-RU"/>
        </w:rPr>
      </w:pPr>
      <w:r w:rsidRPr="00070ADE">
        <w:rPr>
          <w:color w:val="000000" w:themeColor="text1"/>
          <w:lang w:val="ru-RU"/>
        </w:rPr>
        <w:t>В ходе стрельбы под углом 30 градусов выяснилось, что во время про</w:t>
      </w:r>
      <w:r w:rsidRPr="00070ADE">
        <w:rPr>
          <w:color w:val="000000" w:themeColor="text1"/>
          <w:lang w:val="ru-RU"/>
        </w:rPr>
        <w:softHyphen/>
        <w:t>ведения выстрела С-51 отходит на 1000 — 1300 мм, а накат вперед состав</w:t>
      </w:r>
      <w:r w:rsidRPr="00070ADE">
        <w:rPr>
          <w:color w:val="000000" w:themeColor="text1"/>
          <w:lang w:val="ru-RU"/>
        </w:rPr>
        <w:softHyphen/>
        <w:t>лял 200 мм. При стрельбе носовая часть самоходной установки поднима</w:t>
      </w:r>
      <w:r w:rsidRPr="00070ADE">
        <w:rPr>
          <w:color w:val="000000" w:themeColor="text1"/>
          <w:lang w:val="ru-RU"/>
        </w:rPr>
        <w:softHyphen/>
        <w:t>лась вверх на величину от 250 до 450 мм, в то время как корма приседала на 200—300 мм. Одновременно отмечалось, что величина прыжка право</w:t>
      </w:r>
      <w:r w:rsidRPr="00070ADE">
        <w:rPr>
          <w:color w:val="000000" w:themeColor="text1"/>
          <w:lang w:val="ru-RU"/>
        </w:rPr>
        <w:softHyphen/>
        <w:t>го борта была на 100 мм выше, чем левого. При стрельбе на угол 45</w:t>
      </w:r>
      <w:r w:rsidRPr="00070ADE">
        <w:rPr>
          <w:rStyle w:val="BodytextConstantia"/>
          <w:rFonts w:ascii="Times New Roman" w:hAnsi="Times New Roman" w:cs="Times New Roman"/>
          <w:b w:val="0"/>
          <w:color w:val="000000" w:themeColor="text1"/>
          <w:sz w:val="16"/>
          <w:szCs w:val="16"/>
          <w:lang w:val="ru-RU"/>
        </w:rPr>
        <w:t>гра</w:t>
      </w:r>
      <w:r w:rsidRPr="00070ADE">
        <w:rPr>
          <w:color w:val="000000" w:themeColor="text1"/>
          <w:lang w:val="ru-RU"/>
        </w:rPr>
        <w:t>дусов отход самохода достигал 750—1000 мм, а накат 330 мм, носоваячасть поднималась на 100—180 мм, а кормовая приседала на 120—140 мм. Стрельба на угле 57 градусов выявила отход 400—750 мм, накат 300 мм, подъем носовой части на 60—150 мм, а оседание кормовой части на 50— 100 мм. Таким образом, устойчивость С-51 признали неудовлетвори</w:t>
      </w:r>
      <w:r w:rsidRPr="00070ADE">
        <w:rPr>
          <w:color w:val="000000" w:themeColor="text1"/>
          <w:lang w:val="ru-RU"/>
        </w:rPr>
        <w:softHyphen/>
        <w:t>тельной, кроме того, отмечалась высокая сбиваемость прицела.</w:t>
      </w:r>
    </w:p>
    <w:p w14:paraId="236A6949" w14:textId="77777777" w:rsidR="00282955" w:rsidRPr="00070ADE" w:rsidRDefault="00282955" w:rsidP="00B56F90">
      <w:pPr>
        <w:pStyle w:val="a3"/>
        <w:rPr>
          <w:color w:val="000000" w:themeColor="text1"/>
          <w:lang w:val="ru-RU"/>
        </w:rPr>
      </w:pPr>
      <w:r w:rsidRPr="00070ADE">
        <w:rPr>
          <w:color w:val="000000" w:themeColor="text1"/>
          <w:lang w:val="ru-RU"/>
        </w:rPr>
        <w:t>Стрельба на прочность (100 выстрелов усиленным зарядом) про</w:t>
      </w:r>
      <w:r w:rsidRPr="00070ADE">
        <w:rPr>
          <w:color w:val="000000" w:themeColor="text1"/>
          <w:lang w:val="ru-RU"/>
        </w:rPr>
        <w:softHyphen/>
        <w:t>блем не выявила, повреждений осмотром не обнаружилось. Испыта</w:t>
      </w:r>
      <w:r w:rsidRPr="00070ADE">
        <w:rPr>
          <w:color w:val="000000" w:themeColor="text1"/>
          <w:lang w:val="ru-RU"/>
        </w:rPr>
        <w:softHyphen/>
        <w:t>ния на скорострельность, в которых принимало участие 7 человек рас</w:t>
      </w:r>
      <w:r w:rsidRPr="00070ADE">
        <w:rPr>
          <w:color w:val="000000" w:themeColor="text1"/>
          <w:lang w:val="ru-RU"/>
        </w:rPr>
        <w:softHyphen/>
        <w:t>чета, выявила среднюю цифру, равную 1 выстрелу в 1,5 минуты.</w:t>
      </w:r>
    </w:p>
    <w:p w14:paraId="4455D37C" w14:textId="77777777" w:rsidR="00282955" w:rsidRPr="00070ADE" w:rsidRDefault="00282955" w:rsidP="00B56F90">
      <w:pPr>
        <w:pStyle w:val="a3"/>
        <w:rPr>
          <w:color w:val="000000" w:themeColor="text1"/>
          <w:lang w:val="ru-RU"/>
        </w:rPr>
      </w:pPr>
      <w:r w:rsidRPr="00070ADE">
        <w:rPr>
          <w:color w:val="000000" w:themeColor="text1"/>
          <w:lang w:val="ru-RU"/>
        </w:rPr>
        <w:t>Испытания пробегом проводились с 25 марта по 4 апреля. Само</w:t>
      </w:r>
      <w:r w:rsidRPr="00070ADE">
        <w:rPr>
          <w:color w:val="000000" w:themeColor="text1"/>
          <w:lang w:val="ru-RU"/>
        </w:rPr>
        <w:softHyphen/>
        <w:t>ходную установку проверяли в различных дорожных условиях, глуби</w:t>
      </w:r>
      <w:r w:rsidRPr="00070ADE">
        <w:rPr>
          <w:color w:val="000000" w:themeColor="text1"/>
          <w:lang w:val="ru-RU"/>
        </w:rPr>
        <w:softHyphen/>
        <w:t xml:space="preserve">на снежного покрова при этом </w:t>
      </w:r>
      <w:r w:rsidRPr="00070ADE">
        <w:rPr>
          <w:color w:val="000000" w:themeColor="text1"/>
          <w:lang w:val="ru-RU"/>
        </w:rPr>
        <w:lastRenderedPageBreak/>
        <w:t>достигала 200 мм. В общей сложности С-51 прошла 524 километра, из них 16 по булыжной мостовой и 40 по бездорожью. Основной объем ходовых испытаний пришелся на ас</w:t>
      </w:r>
      <w:r w:rsidRPr="00070ADE">
        <w:rPr>
          <w:color w:val="000000" w:themeColor="text1"/>
          <w:lang w:val="ru-RU"/>
        </w:rPr>
        <w:softHyphen/>
        <w:t>фальтированное шоссе, поскольку требовались поездки на завод № 112. В ходе ходовых испытаний на шоссе была достигнута максимальная скорость 32 км/ч, а по бездорожью 22 км/ч. Специальных испыта</w:t>
      </w:r>
      <w:r w:rsidRPr="00070ADE">
        <w:rPr>
          <w:color w:val="000000" w:themeColor="text1"/>
          <w:lang w:val="ru-RU"/>
        </w:rPr>
        <w:softHyphen/>
        <w:t>ний не проводилось, поскольку имелись различные поломки ходовой части. На 240-м километре вышли их строя правый бортовой фрикци</w:t>
      </w:r>
      <w:r w:rsidRPr="00070ADE">
        <w:rPr>
          <w:color w:val="000000" w:themeColor="text1"/>
          <w:lang w:val="ru-RU"/>
        </w:rPr>
        <w:softHyphen/>
        <w:t>он и тормозная лента, еще раз правый фрикцион дал о себе знать на 360-м километре. Несколько раз имели место проблемы с гусеничны</w:t>
      </w:r>
      <w:r w:rsidRPr="00070ADE">
        <w:rPr>
          <w:color w:val="000000" w:themeColor="text1"/>
          <w:lang w:val="ru-RU"/>
        </w:rPr>
        <w:softHyphen/>
        <w:t>ми лентами, срезало болты на крышках катков. Вместе с тем с двига</w:t>
      </w:r>
      <w:r w:rsidRPr="00070ADE">
        <w:rPr>
          <w:color w:val="000000" w:themeColor="text1"/>
          <w:lang w:val="ru-RU"/>
        </w:rPr>
        <w:softHyphen/>
        <w:t>телем и торсионами проблем не возникало, что лишний раз подтверж</w:t>
      </w:r>
      <w:r w:rsidRPr="00070ADE">
        <w:rPr>
          <w:color w:val="000000" w:themeColor="text1"/>
          <w:lang w:val="ru-RU"/>
        </w:rPr>
        <w:softHyphen/>
        <w:t>дало прочность ходовой части после программы огневых испытаний.</w:t>
      </w:r>
    </w:p>
    <w:p w14:paraId="2B9F1E34" w14:textId="77777777" w:rsidR="00282955" w:rsidRPr="00070ADE" w:rsidRDefault="00282955" w:rsidP="00B56F90">
      <w:pPr>
        <w:pStyle w:val="a3"/>
        <w:rPr>
          <w:color w:val="000000" w:themeColor="text1"/>
          <w:lang w:val="ru-RU"/>
        </w:rPr>
      </w:pPr>
      <w:r w:rsidRPr="00070ADE">
        <w:rPr>
          <w:color w:val="000000" w:themeColor="text1"/>
          <w:lang w:val="ru-RU"/>
        </w:rPr>
        <w:t>Завершились испытания 6 апреля, а 9-го числа комиссия АНИОП дала заключение по их результатам:</w:t>
      </w:r>
    </w:p>
    <w:p w14:paraId="125688C9"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«1. Самоходная гаубица «С-51» в основном испытания выдержала,</w:t>
      </w:r>
    </w:p>
    <w:p w14:paraId="1CCA3CF8"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так как:</w:t>
      </w:r>
    </w:p>
    <w:p w14:paraId="1591C78B" w14:textId="77777777" w:rsidR="00282955" w:rsidRPr="00070ADE" w:rsidRDefault="00282955" w:rsidP="00B56F90">
      <w:pPr>
        <w:pStyle w:val="Bodytext141"/>
        <w:shd w:val="clear" w:color="auto" w:fill="auto"/>
        <w:tabs>
          <w:tab w:val="left" w:pos="905"/>
        </w:tabs>
        <w:spacing w:line="240" w:lineRule="auto"/>
        <w:ind w:firstLine="0"/>
        <w:jc w:val="both"/>
        <w:rPr>
          <w:i w:val="0"/>
          <w:color w:val="000000" w:themeColor="text1"/>
          <w:sz w:val="16"/>
          <w:szCs w:val="16"/>
        </w:rPr>
      </w:pPr>
      <w:r w:rsidRPr="00070ADE">
        <w:rPr>
          <w:i w:val="0"/>
          <w:color w:val="000000" w:themeColor="text1"/>
          <w:sz w:val="16"/>
          <w:szCs w:val="16"/>
        </w:rPr>
        <w:t>а) работа и прочность агрегатов и механизмов орудия — удовлет</w:t>
      </w:r>
      <w:r w:rsidRPr="00070ADE">
        <w:rPr>
          <w:i w:val="0"/>
          <w:color w:val="000000" w:themeColor="text1"/>
          <w:sz w:val="16"/>
          <w:szCs w:val="16"/>
        </w:rPr>
        <w:softHyphen/>
        <w:t>ворительные.</w:t>
      </w:r>
    </w:p>
    <w:p w14:paraId="14A0E3FC" w14:textId="77777777" w:rsidR="00282955" w:rsidRPr="00070ADE" w:rsidRDefault="00282955" w:rsidP="00B56F90">
      <w:pPr>
        <w:pStyle w:val="Bodytext141"/>
        <w:shd w:val="clear" w:color="auto" w:fill="auto"/>
        <w:tabs>
          <w:tab w:val="left" w:pos="900"/>
        </w:tabs>
        <w:spacing w:line="240" w:lineRule="auto"/>
        <w:ind w:firstLine="0"/>
        <w:jc w:val="both"/>
        <w:rPr>
          <w:i w:val="0"/>
          <w:color w:val="000000" w:themeColor="text1"/>
          <w:sz w:val="16"/>
          <w:szCs w:val="16"/>
        </w:rPr>
      </w:pPr>
      <w:r w:rsidRPr="00070ADE">
        <w:rPr>
          <w:i w:val="0"/>
          <w:color w:val="000000" w:themeColor="text1"/>
          <w:sz w:val="16"/>
          <w:szCs w:val="16"/>
        </w:rPr>
        <w:t>б) прочность установочных частей орудия — достаточная.</w:t>
      </w:r>
    </w:p>
    <w:p w14:paraId="7B56EEC5" w14:textId="77777777" w:rsidR="00282955" w:rsidRPr="00070ADE" w:rsidRDefault="00282955" w:rsidP="00B56F90">
      <w:pPr>
        <w:pStyle w:val="Bodytext141"/>
        <w:shd w:val="clear" w:color="auto" w:fill="auto"/>
        <w:tabs>
          <w:tab w:val="left" w:pos="866"/>
        </w:tabs>
        <w:spacing w:line="240" w:lineRule="auto"/>
        <w:ind w:firstLine="0"/>
        <w:jc w:val="both"/>
        <w:rPr>
          <w:i w:val="0"/>
          <w:color w:val="000000" w:themeColor="text1"/>
          <w:sz w:val="16"/>
          <w:szCs w:val="16"/>
        </w:rPr>
      </w:pPr>
      <w:r w:rsidRPr="00070ADE">
        <w:rPr>
          <w:i w:val="0"/>
          <w:color w:val="000000" w:themeColor="text1"/>
          <w:sz w:val="16"/>
          <w:szCs w:val="16"/>
        </w:rPr>
        <w:t>в) работа и прочность агрегатов и механизмов самохода — удовлет</w:t>
      </w:r>
      <w:r w:rsidRPr="00070ADE">
        <w:rPr>
          <w:i w:val="0"/>
          <w:color w:val="000000" w:themeColor="text1"/>
          <w:sz w:val="16"/>
          <w:szCs w:val="16"/>
        </w:rPr>
        <w:softHyphen/>
        <w:t>ворительная, за исключением трансмиссионной группы, которая во время испытаний имела ряд дефектов, вызванных общим пло</w:t>
      </w:r>
      <w:r w:rsidRPr="00070ADE">
        <w:rPr>
          <w:i w:val="0"/>
          <w:color w:val="000000" w:themeColor="text1"/>
          <w:sz w:val="16"/>
          <w:szCs w:val="16"/>
        </w:rPr>
        <w:softHyphen/>
        <w:t>хим техническим состоянием ее до испытаний и изношенностью деталей.</w:t>
      </w:r>
    </w:p>
    <w:p w14:paraId="5112EC8F"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2. Существенными недостатками самоходной гаубицы «С-51» при</w:t>
      </w:r>
    </w:p>
    <w:p w14:paraId="5E0A007D"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стрельбе являются:</w:t>
      </w:r>
    </w:p>
    <w:p w14:paraId="40C1B3BF" w14:textId="77777777" w:rsidR="00282955" w:rsidRPr="00070ADE" w:rsidRDefault="00282955" w:rsidP="00B56F90">
      <w:pPr>
        <w:pStyle w:val="Bodytext141"/>
        <w:shd w:val="clear" w:color="auto" w:fill="auto"/>
        <w:tabs>
          <w:tab w:val="left" w:pos="905"/>
        </w:tabs>
        <w:spacing w:line="240" w:lineRule="auto"/>
        <w:ind w:firstLine="0"/>
        <w:jc w:val="both"/>
        <w:rPr>
          <w:i w:val="0"/>
          <w:color w:val="000000" w:themeColor="text1"/>
          <w:sz w:val="16"/>
          <w:szCs w:val="16"/>
        </w:rPr>
      </w:pPr>
      <w:r w:rsidRPr="00070ADE">
        <w:rPr>
          <w:i w:val="0"/>
          <w:color w:val="000000" w:themeColor="text1"/>
          <w:sz w:val="16"/>
          <w:szCs w:val="16"/>
        </w:rPr>
        <w:t>а) большой отход назад и сбиваемость наводки, особенно при малых углах возвышения, вследствие неудовлетворительной устойчиво</w:t>
      </w:r>
      <w:r w:rsidRPr="00070ADE">
        <w:rPr>
          <w:i w:val="0"/>
          <w:color w:val="000000" w:themeColor="text1"/>
          <w:sz w:val="16"/>
          <w:szCs w:val="16"/>
        </w:rPr>
        <w:softHyphen/>
        <w:t>сти самохода при выстреле.</w:t>
      </w:r>
    </w:p>
    <w:p w14:paraId="62197549" w14:textId="77777777" w:rsidR="00282955" w:rsidRPr="00070ADE" w:rsidRDefault="0028295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Большое боковое рассеивание снарядов вследствие бокового сме</w:t>
      </w:r>
      <w:r w:rsidRPr="00070ADE">
        <w:rPr>
          <w:rFonts w:ascii="Times New Roman" w:hAnsi="Times New Roman"/>
          <w:color w:val="000000" w:themeColor="text1"/>
          <w:sz w:val="16"/>
          <w:szCs w:val="16"/>
        </w:rPr>
        <w:softHyphen/>
        <w:t>щения орудия при выстреле.</w:t>
      </w:r>
    </w:p>
    <w:p w14:paraId="05B555A1"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Данные недостатки возможно устранить путем постановки сошни</w:t>
      </w:r>
      <w:r w:rsidRPr="00070ADE">
        <w:rPr>
          <w:i w:val="0"/>
          <w:color w:val="000000" w:themeColor="text1"/>
          <w:sz w:val="16"/>
          <w:szCs w:val="16"/>
        </w:rPr>
        <w:softHyphen/>
        <w:t>ков в задней части корпуса самохода, как это было применено на 203-мм самоходной установке «СУ-14» конструкции и изготовления Кировского завода, проходившей испытания на НИАПе в 1936 году.</w:t>
      </w:r>
    </w:p>
    <w:p w14:paraId="18A2A861"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Учитывая, что гаубица в основном будет вести стрельбу при больших углах возвышения, при которых отход назад и сбиваемость наводки менее значительны, для устранения отхода самохода при сравнительно редких и эпизодических стрельбах под малыми углами возвышения можно реко</w:t>
      </w:r>
      <w:r w:rsidRPr="00070ADE">
        <w:rPr>
          <w:i w:val="0"/>
          <w:color w:val="000000" w:themeColor="text1"/>
          <w:sz w:val="16"/>
          <w:szCs w:val="16"/>
        </w:rPr>
        <w:softHyphen/>
        <w:t>мендовать подкладывать сзади под гусеницы деревянные брусья из подруч</w:t>
      </w:r>
      <w:r w:rsidRPr="00070ADE">
        <w:rPr>
          <w:i w:val="0"/>
          <w:color w:val="000000" w:themeColor="text1"/>
          <w:sz w:val="16"/>
          <w:szCs w:val="16"/>
        </w:rPr>
        <w:softHyphen/>
        <w:t>ного материала.</w:t>
      </w:r>
    </w:p>
    <w:p w14:paraId="33224F21"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3. АНИОП считает, что 203 мм самоходная гаубица «С-51 по срав</w:t>
      </w:r>
      <w:r w:rsidRPr="00070ADE">
        <w:rPr>
          <w:i w:val="0"/>
          <w:color w:val="000000" w:themeColor="text1"/>
          <w:sz w:val="16"/>
          <w:szCs w:val="16"/>
        </w:rPr>
        <w:softHyphen/>
        <w:t>нению с 203-мм гаубицей «Б-4» обладает большей маневренностью движения и огня при сохранении своего огневого могущества и по устранении недостатков, выявленных при испытании и отмеченных в настоящем отчете, может быть рекомендована на вооружение Красной Армии» (17484).</w:t>
      </w:r>
    </w:p>
    <w:p w14:paraId="4642802D" w14:textId="77777777" w:rsidR="00282955" w:rsidRPr="00070ADE" w:rsidRDefault="00282955" w:rsidP="00B56F90">
      <w:pPr>
        <w:spacing w:after="0" w:line="240" w:lineRule="auto"/>
        <w:jc w:val="both"/>
        <w:rPr>
          <w:rFonts w:ascii="Times New Roman" w:hAnsi="Times New Roman"/>
          <w:color w:val="000000" w:themeColor="text1"/>
          <w:sz w:val="16"/>
          <w:szCs w:val="16"/>
        </w:rPr>
      </w:pPr>
    </w:p>
    <w:p w14:paraId="003C1A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марта 1944 г. были подготовлены СВЕДЕНИЯ О ВЫПОЛНЕНИИ ЗАВОДАМИ ПРОМЫШЛЕННОСТИ ПЛАНА ПОСТАВКИ САМОХОДНЫХ АРТУСТАНОВОК В 1943 ГОДУ</w:t>
      </w:r>
    </w:p>
    <w:tbl>
      <w:tblPr>
        <w:tblW w:w="0" w:type="auto"/>
        <w:tblInd w:w="40" w:type="dxa"/>
        <w:tblLayout w:type="fixed"/>
        <w:tblCellMar>
          <w:left w:w="40" w:type="dxa"/>
          <w:right w:w="40" w:type="dxa"/>
        </w:tblCellMar>
        <w:tblLook w:val="0000" w:firstRow="0" w:lastRow="0" w:firstColumn="0" w:lastColumn="0" w:noHBand="0" w:noVBand="0"/>
      </w:tblPr>
      <w:tblGrid>
        <w:gridCol w:w="2035"/>
        <w:gridCol w:w="10"/>
        <w:gridCol w:w="1180"/>
        <w:gridCol w:w="30"/>
        <w:gridCol w:w="1612"/>
        <w:gridCol w:w="30"/>
        <w:gridCol w:w="1544"/>
        <w:gridCol w:w="30"/>
        <w:gridCol w:w="1544"/>
        <w:gridCol w:w="30"/>
        <w:gridCol w:w="1564"/>
        <w:gridCol w:w="10"/>
      </w:tblGrid>
      <w:tr w:rsidR="004D4663" w:rsidRPr="00070ADE" w14:paraId="7898B1AB" w14:textId="77777777">
        <w:trPr>
          <w:gridAfter w:val="1"/>
          <w:wAfter w:w="10" w:type="dxa"/>
          <w:trHeight w:val="250"/>
        </w:trPr>
        <w:tc>
          <w:tcPr>
            <w:tcW w:w="3225" w:type="dxa"/>
            <w:gridSpan w:val="3"/>
            <w:tcBorders>
              <w:top w:val="single" w:sz="6" w:space="0" w:color="auto"/>
              <w:left w:val="single" w:sz="6" w:space="0" w:color="auto"/>
              <w:bottom w:val="single" w:sz="6" w:space="0" w:color="auto"/>
              <w:right w:val="single" w:sz="6" w:space="0" w:color="auto"/>
            </w:tcBorders>
          </w:tcPr>
          <w:p w14:paraId="1CCC17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A8F9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597458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Полугодие</w:t>
            </w:r>
          </w:p>
          <w:p w14:paraId="5F7FAA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FC698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1-е полугодие:</w:t>
            </w:r>
          </w:p>
          <w:p w14:paraId="40DE50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2BBD16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2-е полугодие:</w:t>
            </w:r>
          </w:p>
          <w:p w14:paraId="1026B0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3758EB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за 1943 г.:</w:t>
            </w:r>
          </w:p>
          <w:p w14:paraId="69518C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4DE2A8B" w14:textId="77777777">
        <w:trPr>
          <w:gridAfter w:val="1"/>
          <w:wAfter w:w="10" w:type="dxa"/>
          <w:trHeight w:val="269"/>
        </w:trPr>
        <w:tc>
          <w:tcPr>
            <w:tcW w:w="2035" w:type="dxa"/>
            <w:tcBorders>
              <w:top w:val="single" w:sz="6" w:space="0" w:color="auto"/>
              <w:left w:val="single" w:sz="6" w:space="0" w:color="auto"/>
              <w:bottom w:val="nil"/>
              <w:right w:val="single" w:sz="6" w:space="0" w:color="auto"/>
            </w:tcBorders>
          </w:tcPr>
          <w:p w14:paraId="14E4EF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 завод НКТП</w:t>
            </w:r>
          </w:p>
          <w:p w14:paraId="2DB937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single" w:sz="6" w:space="0" w:color="auto"/>
              <w:left w:val="single" w:sz="6" w:space="0" w:color="auto"/>
              <w:bottom w:val="nil"/>
              <w:right w:val="single" w:sz="6" w:space="0" w:color="auto"/>
            </w:tcBorders>
          </w:tcPr>
          <w:p w14:paraId="359681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СУ-152</w:t>
            </w:r>
          </w:p>
          <w:p w14:paraId="69EB8B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C4B7C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w:t>
            </w:r>
          </w:p>
          <w:p w14:paraId="46FB27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2C2769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345</w:t>
            </w:r>
          </w:p>
          <w:p w14:paraId="7EFC25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2A2F7E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374</w:t>
            </w:r>
          </w:p>
          <w:p w14:paraId="7B1776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4E1A1C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719</w:t>
            </w:r>
          </w:p>
          <w:p w14:paraId="5AB24A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F1A5A9E" w14:textId="77777777">
        <w:trPr>
          <w:gridAfter w:val="1"/>
          <w:wAfter w:w="10" w:type="dxa"/>
          <w:trHeight w:val="259"/>
        </w:trPr>
        <w:tc>
          <w:tcPr>
            <w:tcW w:w="2035" w:type="dxa"/>
            <w:tcBorders>
              <w:top w:val="nil"/>
              <w:left w:val="single" w:sz="6" w:space="0" w:color="auto"/>
              <w:bottom w:val="nil"/>
              <w:right w:val="single" w:sz="6" w:space="0" w:color="auto"/>
            </w:tcBorders>
          </w:tcPr>
          <w:p w14:paraId="5A12BC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BC47F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nil"/>
              <w:left w:val="single" w:sz="6" w:space="0" w:color="auto"/>
              <w:bottom w:val="nil"/>
              <w:right w:val="single" w:sz="6" w:space="0" w:color="auto"/>
            </w:tcBorders>
          </w:tcPr>
          <w:p w14:paraId="5C5006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51E6F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7BB1E7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Поставка</w:t>
            </w:r>
          </w:p>
          <w:p w14:paraId="73052F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290C74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290</w:t>
            </w:r>
          </w:p>
          <w:p w14:paraId="5DEAF2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195ACB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378</w:t>
            </w:r>
          </w:p>
          <w:p w14:paraId="4B3DA4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16E522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668</w:t>
            </w:r>
          </w:p>
          <w:p w14:paraId="6F5731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1B20860" w14:textId="77777777">
        <w:trPr>
          <w:gridAfter w:val="1"/>
          <w:wAfter w:w="10" w:type="dxa"/>
          <w:trHeight w:val="269"/>
        </w:trPr>
        <w:tc>
          <w:tcPr>
            <w:tcW w:w="2035" w:type="dxa"/>
            <w:tcBorders>
              <w:top w:val="nil"/>
              <w:left w:val="single" w:sz="6" w:space="0" w:color="auto"/>
              <w:bottom w:val="nil"/>
              <w:right w:val="single" w:sz="6" w:space="0" w:color="auto"/>
            </w:tcBorders>
          </w:tcPr>
          <w:p w14:paraId="311361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F8C65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nil"/>
              <w:left w:val="single" w:sz="6" w:space="0" w:color="auto"/>
              <w:bottom w:val="single" w:sz="6" w:space="0" w:color="auto"/>
              <w:right w:val="single" w:sz="6" w:space="0" w:color="auto"/>
            </w:tcBorders>
          </w:tcPr>
          <w:p w14:paraId="58221C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F9A58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4F3CD2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выполнения</w:t>
            </w:r>
          </w:p>
          <w:p w14:paraId="6B63AB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9BEC4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84</w:t>
            </w:r>
          </w:p>
          <w:p w14:paraId="569481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1A38CC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w:t>
            </w:r>
          </w:p>
          <w:p w14:paraId="0FFA57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120974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92,9</w:t>
            </w:r>
          </w:p>
          <w:p w14:paraId="0FB519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1D8C528" w14:textId="77777777">
        <w:trPr>
          <w:gridAfter w:val="1"/>
          <w:wAfter w:w="10" w:type="dxa"/>
          <w:trHeight w:val="259"/>
        </w:trPr>
        <w:tc>
          <w:tcPr>
            <w:tcW w:w="2035" w:type="dxa"/>
            <w:tcBorders>
              <w:top w:val="nil"/>
              <w:left w:val="single" w:sz="6" w:space="0" w:color="auto"/>
              <w:bottom w:val="nil"/>
              <w:right w:val="single" w:sz="6" w:space="0" w:color="auto"/>
            </w:tcBorders>
          </w:tcPr>
          <w:p w14:paraId="15F817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99A29B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single" w:sz="6" w:space="0" w:color="auto"/>
              <w:left w:val="single" w:sz="6" w:space="0" w:color="auto"/>
              <w:bottom w:val="nil"/>
              <w:right w:val="single" w:sz="6" w:space="0" w:color="auto"/>
            </w:tcBorders>
          </w:tcPr>
          <w:p w14:paraId="5A3E33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ИСУ-152</w:t>
            </w:r>
          </w:p>
          <w:p w14:paraId="1F48E6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4AB6CB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w:t>
            </w:r>
          </w:p>
          <w:p w14:paraId="61BAC5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535B2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7FAB9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8A7E4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p w14:paraId="1BEE8B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296AC7C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p w14:paraId="007EF7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6CD4FBA" w14:textId="77777777">
        <w:trPr>
          <w:gridAfter w:val="1"/>
          <w:wAfter w:w="10" w:type="dxa"/>
          <w:trHeight w:val="269"/>
        </w:trPr>
        <w:tc>
          <w:tcPr>
            <w:tcW w:w="2035" w:type="dxa"/>
            <w:tcBorders>
              <w:top w:val="nil"/>
              <w:left w:val="single" w:sz="6" w:space="0" w:color="auto"/>
              <w:bottom w:val="nil"/>
              <w:right w:val="single" w:sz="6" w:space="0" w:color="auto"/>
            </w:tcBorders>
          </w:tcPr>
          <w:p w14:paraId="141046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F745A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nil"/>
              <w:left w:val="single" w:sz="6" w:space="0" w:color="auto"/>
              <w:bottom w:val="nil"/>
              <w:right w:val="single" w:sz="6" w:space="0" w:color="auto"/>
            </w:tcBorders>
          </w:tcPr>
          <w:p w14:paraId="3DC324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251F2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1CDAB1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Поставка</w:t>
            </w:r>
          </w:p>
          <w:p w14:paraId="0CDC32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68908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206A82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46C9F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p w14:paraId="6630D7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7AD9C1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p w14:paraId="0EE6C9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44A3FC2" w14:textId="77777777">
        <w:trPr>
          <w:gridAfter w:val="1"/>
          <w:wAfter w:w="10" w:type="dxa"/>
          <w:trHeight w:val="259"/>
        </w:trPr>
        <w:tc>
          <w:tcPr>
            <w:tcW w:w="2035" w:type="dxa"/>
            <w:tcBorders>
              <w:top w:val="nil"/>
              <w:left w:val="single" w:sz="6" w:space="0" w:color="auto"/>
              <w:bottom w:val="single" w:sz="6" w:space="0" w:color="auto"/>
              <w:right w:val="single" w:sz="6" w:space="0" w:color="auto"/>
            </w:tcBorders>
          </w:tcPr>
          <w:p w14:paraId="4D7861B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E48BC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nil"/>
              <w:left w:val="single" w:sz="6" w:space="0" w:color="auto"/>
              <w:bottom w:val="single" w:sz="6" w:space="0" w:color="auto"/>
              <w:right w:val="single" w:sz="6" w:space="0" w:color="auto"/>
            </w:tcBorders>
          </w:tcPr>
          <w:p w14:paraId="676D09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D2394A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390AC1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выполнения</w:t>
            </w:r>
          </w:p>
          <w:p w14:paraId="6CB40E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2A098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603E1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0DE1ED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2F5237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003715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5C340F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0759748" w14:textId="77777777">
        <w:trPr>
          <w:gridAfter w:val="1"/>
          <w:wAfter w:w="10" w:type="dxa"/>
          <w:trHeight w:val="269"/>
        </w:trPr>
        <w:tc>
          <w:tcPr>
            <w:tcW w:w="2035" w:type="dxa"/>
            <w:tcBorders>
              <w:top w:val="single" w:sz="6" w:space="0" w:color="auto"/>
              <w:left w:val="single" w:sz="6" w:space="0" w:color="auto"/>
              <w:bottom w:val="nil"/>
              <w:right w:val="single" w:sz="6" w:space="0" w:color="auto"/>
            </w:tcBorders>
          </w:tcPr>
          <w:p w14:paraId="3F7CCA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Уралмаш завод НКТП</w:t>
            </w:r>
          </w:p>
          <w:p w14:paraId="317230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single" w:sz="6" w:space="0" w:color="auto"/>
              <w:left w:val="single" w:sz="6" w:space="0" w:color="auto"/>
              <w:bottom w:val="nil"/>
              <w:right w:val="single" w:sz="6" w:space="0" w:color="auto"/>
            </w:tcBorders>
          </w:tcPr>
          <w:p w14:paraId="04B6A7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СУ-122</w:t>
            </w:r>
          </w:p>
          <w:p w14:paraId="6E4383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2F0D4F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w:t>
            </w:r>
          </w:p>
          <w:p w14:paraId="2CA4A5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35CED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p w14:paraId="5F025C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8B15B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w:t>
            </w:r>
          </w:p>
          <w:p w14:paraId="471060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5A4638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725</w:t>
            </w:r>
          </w:p>
          <w:p w14:paraId="52F808C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A6B7862" w14:textId="77777777">
        <w:trPr>
          <w:gridAfter w:val="1"/>
          <w:wAfter w:w="10" w:type="dxa"/>
          <w:trHeight w:val="259"/>
        </w:trPr>
        <w:tc>
          <w:tcPr>
            <w:tcW w:w="2035" w:type="dxa"/>
            <w:tcBorders>
              <w:top w:val="nil"/>
              <w:left w:val="single" w:sz="6" w:space="0" w:color="auto"/>
              <w:bottom w:val="nil"/>
              <w:right w:val="single" w:sz="6" w:space="0" w:color="auto"/>
            </w:tcBorders>
          </w:tcPr>
          <w:p w14:paraId="0A3968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76E54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nil"/>
              <w:left w:val="single" w:sz="6" w:space="0" w:color="auto"/>
              <w:bottom w:val="nil"/>
              <w:right w:val="single" w:sz="6" w:space="0" w:color="auto"/>
            </w:tcBorders>
          </w:tcPr>
          <w:p w14:paraId="3EBED8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A8F41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24E20A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Поставка</w:t>
            </w:r>
          </w:p>
          <w:p w14:paraId="0EBBA6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FDE30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507</w:t>
            </w:r>
          </w:p>
          <w:p w14:paraId="1A0951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28165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108</w:t>
            </w:r>
          </w:p>
          <w:p w14:paraId="6915ED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093379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615</w:t>
            </w:r>
          </w:p>
          <w:p w14:paraId="16CF51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D8AD0B8" w14:textId="77777777">
        <w:trPr>
          <w:gridAfter w:val="1"/>
          <w:wAfter w:w="10" w:type="dxa"/>
          <w:trHeight w:val="269"/>
        </w:trPr>
        <w:tc>
          <w:tcPr>
            <w:tcW w:w="2035" w:type="dxa"/>
            <w:tcBorders>
              <w:top w:val="nil"/>
              <w:left w:val="single" w:sz="6" w:space="0" w:color="auto"/>
              <w:bottom w:val="nil"/>
              <w:right w:val="single" w:sz="6" w:space="0" w:color="auto"/>
            </w:tcBorders>
          </w:tcPr>
          <w:p w14:paraId="77F613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65435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nil"/>
              <w:left w:val="single" w:sz="6" w:space="0" w:color="auto"/>
              <w:bottom w:val="single" w:sz="6" w:space="0" w:color="auto"/>
              <w:right w:val="single" w:sz="6" w:space="0" w:color="auto"/>
            </w:tcBorders>
          </w:tcPr>
          <w:p w14:paraId="57A4E2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B8374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2D232A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выполнения</w:t>
            </w:r>
          </w:p>
          <w:p w14:paraId="392F57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83876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64,5</w:t>
            </w:r>
          </w:p>
          <w:p w14:paraId="592C26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0DDB58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86,4</w:t>
            </w:r>
          </w:p>
          <w:p w14:paraId="32E4E8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12AE69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84,8</w:t>
            </w:r>
          </w:p>
          <w:p w14:paraId="481B61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B351B5B" w14:textId="77777777">
        <w:trPr>
          <w:gridAfter w:val="1"/>
          <w:wAfter w:w="10" w:type="dxa"/>
          <w:trHeight w:val="259"/>
        </w:trPr>
        <w:tc>
          <w:tcPr>
            <w:tcW w:w="2035" w:type="dxa"/>
            <w:tcBorders>
              <w:top w:val="nil"/>
              <w:left w:val="single" w:sz="6" w:space="0" w:color="auto"/>
              <w:bottom w:val="nil"/>
              <w:right w:val="single" w:sz="6" w:space="0" w:color="auto"/>
            </w:tcBorders>
          </w:tcPr>
          <w:p w14:paraId="31760A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876BF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single" w:sz="6" w:space="0" w:color="auto"/>
              <w:left w:val="single" w:sz="6" w:space="0" w:color="auto"/>
              <w:bottom w:val="nil"/>
              <w:right w:val="single" w:sz="6" w:space="0" w:color="auto"/>
            </w:tcBorders>
          </w:tcPr>
          <w:p w14:paraId="1EA56D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СУ-85</w:t>
            </w:r>
          </w:p>
          <w:p w14:paraId="4B61E7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60B1F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w:t>
            </w:r>
          </w:p>
          <w:p w14:paraId="73CCF7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195281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D3CD8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25795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w:t>
            </w:r>
          </w:p>
          <w:p w14:paraId="251166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2797A3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w:t>
            </w:r>
          </w:p>
          <w:p w14:paraId="7F556C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7725EA0" w14:textId="77777777">
        <w:trPr>
          <w:gridAfter w:val="1"/>
          <w:wAfter w:w="10" w:type="dxa"/>
          <w:trHeight w:val="269"/>
        </w:trPr>
        <w:tc>
          <w:tcPr>
            <w:tcW w:w="2035" w:type="dxa"/>
            <w:tcBorders>
              <w:top w:val="nil"/>
              <w:left w:val="single" w:sz="6" w:space="0" w:color="auto"/>
              <w:bottom w:val="nil"/>
              <w:right w:val="single" w:sz="6" w:space="0" w:color="auto"/>
            </w:tcBorders>
          </w:tcPr>
          <w:p w14:paraId="0F6734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56230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nil"/>
              <w:left w:val="single" w:sz="6" w:space="0" w:color="auto"/>
              <w:bottom w:val="nil"/>
              <w:right w:val="single" w:sz="6" w:space="0" w:color="auto"/>
            </w:tcBorders>
          </w:tcPr>
          <w:p w14:paraId="22DA8C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53EE8A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496FB1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Поставка</w:t>
            </w:r>
          </w:p>
          <w:p w14:paraId="5D05A1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C1B22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7F954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33D16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756</w:t>
            </w:r>
          </w:p>
          <w:p w14:paraId="498EF1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0BD888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756</w:t>
            </w:r>
          </w:p>
          <w:p w14:paraId="0CEC11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DD26010" w14:textId="77777777">
        <w:trPr>
          <w:gridAfter w:val="1"/>
          <w:wAfter w:w="10" w:type="dxa"/>
          <w:trHeight w:val="278"/>
        </w:trPr>
        <w:tc>
          <w:tcPr>
            <w:tcW w:w="2035" w:type="dxa"/>
            <w:tcBorders>
              <w:top w:val="nil"/>
              <w:left w:val="single" w:sz="6" w:space="0" w:color="auto"/>
              <w:bottom w:val="single" w:sz="6" w:space="0" w:color="auto"/>
              <w:right w:val="single" w:sz="6" w:space="0" w:color="auto"/>
            </w:tcBorders>
          </w:tcPr>
          <w:p w14:paraId="59A4F2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7F6D7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nil"/>
              <w:left w:val="single" w:sz="6" w:space="0" w:color="auto"/>
              <w:bottom w:val="single" w:sz="6" w:space="0" w:color="auto"/>
              <w:right w:val="single" w:sz="6" w:space="0" w:color="auto"/>
            </w:tcBorders>
          </w:tcPr>
          <w:p w14:paraId="43AFCD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A74C12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7C22A1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выполнения</w:t>
            </w:r>
          </w:p>
          <w:p w14:paraId="5798A0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154012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6021B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29D670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100,8</w:t>
            </w:r>
          </w:p>
          <w:p w14:paraId="22B0CB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gridSpan w:val="2"/>
            <w:tcBorders>
              <w:top w:val="single" w:sz="6" w:space="0" w:color="auto"/>
              <w:left w:val="single" w:sz="6" w:space="0" w:color="auto"/>
              <w:bottom w:val="single" w:sz="6" w:space="0" w:color="auto"/>
              <w:right w:val="single" w:sz="6" w:space="0" w:color="auto"/>
            </w:tcBorders>
          </w:tcPr>
          <w:p w14:paraId="736E30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100,8</w:t>
            </w:r>
          </w:p>
          <w:p w14:paraId="653E9B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3F1B342" w14:textId="77777777">
        <w:trPr>
          <w:trHeight w:val="259"/>
        </w:trPr>
        <w:tc>
          <w:tcPr>
            <w:tcW w:w="2045" w:type="dxa"/>
            <w:gridSpan w:val="2"/>
            <w:tcBorders>
              <w:top w:val="single" w:sz="6" w:space="0" w:color="auto"/>
              <w:left w:val="single" w:sz="6" w:space="0" w:color="auto"/>
              <w:bottom w:val="nil"/>
              <w:right w:val="single" w:sz="6" w:space="0" w:color="auto"/>
            </w:tcBorders>
          </w:tcPr>
          <w:p w14:paraId="7ABC11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№38 НКТП</w:t>
            </w:r>
          </w:p>
          <w:p w14:paraId="1BEC54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nil"/>
              <w:right w:val="single" w:sz="6" w:space="0" w:color="auto"/>
            </w:tcBorders>
          </w:tcPr>
          <w:p w14:paraId="546ADD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СУ-76</w:t>
            </w:r>
          </w:p>
          <w:p w14:paraId="22B3BA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640A62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w:t>
            </w:r>
          </w:p>
          <w:p w14:paraId="7D79C5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3A8C9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w:t>
            </w:r>
          </w:p>
          <w:p w14:paraId="3D3833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02CF5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505</w:t>
            </w:r>
          </w:p>
          <w:p w14:paraId="47D2E0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FF2E72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1255</w:t>
            </w:r>
          </w:p>
          <w:p w14:paraId="249A71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9625AE8" w14:textId="77777777">
        <w:trPr>
          <w:trHeight w:val="269"/>
        </w:trPr>
        <w:tc>
          <w:tcPr>
            <w:tcW w:w="2045" w:type="dxa"/>
            <w:gridSpan w:val="2"/>
            <w:tcBorders>
              <w:top w:val="nil"/>
              <w:left w:val="single" w:sz="6" w:space="0" w:color="auto"/>
              <w:bottom w:val="nil"/>
              <w:right w:val="single" w:sz="6" w:space="0" w:color="auto"/>
            </w:tcBorders>
          </w:tcPr>
          <w:p w14:paraId="7A76C9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A18AF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nil"/>
              <w:left w:val="single" w:sz="6" w:space="0" w:color="auto"/>
              <w:bottom w:val="nil"/>
              <w:right w:val="single" w:sz="6" w:space="0" w:color="auto"/>
            </w:tcBorders>
          </w:tcPr>
          <w:p w14:paraId="60199D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1B757E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1B4CF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Поставка</w:t>
            </w:r>
          </w:p>
          <w:p w14:paraId="1091E7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87DB1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583</w:t>
            </w:r>
          </w:p>
          <w:p w14:paraId="190D5F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11FDD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514</w:t>
            </w:r>
          </w:p>
          <w:p w14:paraId="2E93E9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B61B0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1097</w:t>
            </w:r>
          </w:p>
          <w:p w14:paraId="6DCF6B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41910BB" w14:textId="77777777">
        <w:trPr>
          <w:trHeight w:val="259"/>
        </w:trPr>
        <w:tc>
          <w:tcPr>
            <w:tcW w:w="2045" w:type="dxa"/>
            <w:gridSpan w:val="2"/>
            <w:tcBorders>
              <w:top w:val="nil"/>
              <w:left w:val="single" w:sz="6" w:space="0" w:color="auto"/>
              <w:bottom w:val="single" w:sz="6" w:space="0" w:color="auto"/>
              <w:right w:val="single" w:sz="6" w:space="0" w:color="auto"/>
            </w:tcBorders>
          </w:tcPr>
          <w:p w14:paraId="5D4663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06DA5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nil"/>
              <w:left w:val="single" w:sz="6" w:space="0" w:color="auto"/>
              <w:bottom w:val="single" w:sz="6" w:space="0" w:color="auto"/>
              <w:right w:val="single" w:sz="6" w:space="0" w:color="auto"/>
            </w:tcBorders>
          </w:tcPr>
          <w:p w14:paraId="3961B7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4CC19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54F77B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выполнения</w:t>
            </w:r>
          </w:p>
          <w:p w14:paraId="354BC9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773C3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80,4</w:t>
            </w:r>
          </w:p>
          <w:p w14:paraId="6F26F5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4B662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101,3</w:t>
            </w:r>
          </w:p>
          <w:p w14:paraId="23E48F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1258DE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95,2</w:t>
            </w:r>
          </w:p>
          <w:p w14:paraId="766BE4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2D0C191" w14:textId="77777777">
        <w:trPr>
          <w:trHeight w:val="269"/>
        </w:trPr>
        <w:tc>
          <w:tcPr>
            <w:tcW w:w="2045" w:type="dxa"/>
            <w:gridSpan w:val="2"/>
            <w:tcBorders>
              <w:top w:val="single" w:sz="6" w:space="0" w:color="auto"/>
              <w:left w:val="single" w:sz="6" w:space="0" w:color="auto"/>
              <w:bottom w:val="nil"/>
              <w:right w:val="single" w:sz="6" w:space="0" w:color="auto"/>
            </w:tcBorders>
          </w:tcPr>
          <w:p w14:paraId="70A3A4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№37 НКТП</w:t>
            </w:r>
          </w:p>
          <w:p w14:paraId="50E624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nil"/>
              <w:right w:val="single" w:sz="6" w:space="0" w:color="auto"/>
            </w:tcBorders>
          </w:tcPr>
          <w:p w14:paraId="2809DE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СУ-76И</w:t>
            </w:r>
          </w:p>
          <w:p w14:paraId="1D9A7B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4A7C6D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w:t>
            </w:r>
          </w:p>
          <w:p w14:paraId="226FFD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D6DA9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p w14:paraId="33198C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6226E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w:t>
            </w:r>
          </w:p>
          <w:p w14:paraId="2208A9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16C47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255</w:t>
            </w:r>
          </w:p>
          <w:p w14:paraId="7207DD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860DA18" w14:textId="77777777">
        <w:trPr>
          <w:trHeight w:val="259"/>
        </w:trPr>
        <w:tc>
          <w:tcPr>
            <w:tcW w:w="2045" w:type="dxa"/>
            <w:gridSpan w:val="2"/>
            <w:tcBorders>
              <w:top w:val="nil"/>
              <w:left w:val="single" w:sz="6" w:space="0" w:color="auto"/>
              <w:bottom w:val="nil"/>
              <w:right w:val="single" w:sz="6" w:space="0" w:color="auto"/>
            </w:tcBorders>
          </w:tcPr>
          <w:p w14:paraId="0D9EB1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C12A6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nil"/>
              <w:left w:val="single" w:sz="6" w:space="0" w:color="auto"/>
              <w:bottom w:val="nil"/>
              <w:right w:val="single" w:sz="6" w:space="0" w:color="auto"/>
            </w:tcBorders>
          </w:tcPr>
          <w:p w14:paraId="128535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B5A73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781106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Поставка</w:t>
            </w:r>
          </w:p>
          <w:p w14:paraId="4027C20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04B1E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p w14:paraId="6CDBD3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83D94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w:t>
            </w:r>
          </w:p>
          <w:p w14:paraId="7D64FB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2603F7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014893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B547485" w14:textId="77777777">
        <w:trPr>
          <w:trHeight w:val="269"/>
        </w:trPr>
        <w:tc>
          <w:tcPr>
            <w:tcW w:w="2045" w:type="dxa"/>
            <w:gridSpan w:val="2"/>
            <w:tcBorders>
              <w:top w:val="nil"/>
              <w:left w:val="single" w:sz="6" w:space="0" w:color="auto"/>
              <w:bottom w:val="single" w:sz="6" w:space="0" w:color="auto"/>
              <w:right w:val="single" w:sz="6" w:space="0" w:color="auto"/>
            </w:tcBorders>
          </w:tcPr>
          <w:p w14:paraId="169BBE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FE772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nil"/>
              <w:left w:val="single" w:sz="6" w:space="0" w:color="auto"/>
              <w:bottom w:val="single" w:sz="6" w:space="0" w:color="auto"/>
              <w:right w:val="single" w:sz="6" w:space="0" w:color="auto"/>
            </w:tcBorders>
          </w:tcPr>
          <w:p w14:paraId="1D1A3E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2DDD9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63FA35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выполнения</w:t>
            </w:r>
          </w:p>
          <w:p w14:paraId="10D576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82EFC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6D935D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969D9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103,7</w:t>
            </w:r>
          </w:p>
          <w:p w14:paraId="7CCF4A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75EC7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78,4</w:t>
            </w:r>
          </w:p>
          <w:p w14:paraId="4A08B6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E5ACD9C" w14:textId="77777777">
        <w:trPr>
          <w:trHeight w:val="259"/>
        </w:trPr>
        <w:tc>
          <w:tcPr>
            <w:tcW w:w="2045" w:type="dxa"/>
            <w:gridSpan w:val="2"/>
            <w:tcBorders>
              <w:top w:val="single" w:sz="6" w:space="0" w:color="auto"/>
              <w:left w:val="single" w:sz="6" w:space="0" w:color="auto"/>
              <w:bottom w:val="nil"/>
              <w:right w:val="single" w:sz="6" w:space="0" w:color="auto"/>
            </w:tcBorders>
          </w:tcPr>
          <w:p w14:paraId="0206E7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ГАЗ им, Молотова</w:t>
            </w:r>
          </w:p>
          <w:p w14:paraId="5DE0D4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nil"/>
              <w:right w:val="single" w:sz="6" w:space="0" w:color="auto"/>
            </w:tcBorders>
          </w:tcPr>
          <w:p w14:paraId="154E33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СУ-76</w:t>
            </w:r>
          </w:p>
          <w:p w14:paraId="741A82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37FA25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w:t>
            </w:r>
          </w:p>
          <w:p w14:paraId="1275B2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8533C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C3996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083E07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545</w:t>
            </w:r>
          </w:p>
          <w:p w14:paraId="4EA71C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BF38C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545</w:t>
            </w:r>
          </w:p>
          <w:p w14:paraId="49578A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C01A385" w14:textId="77777777">
        <w:trPr>
          <w:trHeight w:val="269"/>
        </w:trPr>
        <w:tc>
          <w:tcPr>
            <w:tcW w:w="2045" w:type="dxa"/>
            <w:gridSpan w:val="2"/>
            <w:tcBorders>
              <w:top w:val="nil"/>
              <w:left w:val="single" w:sz="6" w:space="0" w:color="auto"/>
              <w:bottom w:val="nil"/>
              <w:right w:val="single" w:sz="6" w:space="0" w:color="auto"/>
            </w:tcBorders>
          </w:tcPr>
          <w:p w14:paraId="3C8EA7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7B4EF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nil"/>
              <w:left w:val="single" w:sz="6" w:space="0" w:color="auto"/>
              <w:bottom w:val="nil"/>
              <w:right w:val="single" w:sz="6" w:space="0" w:color="auto"/>
            </w:tcBorders>
          </w:tcPr>
          <w:p w14:paraId="034EC9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097041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3C8570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Поставка</w:t>
            </w:r>
          </w:p>
          <w:p w14:paraId="6639D6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3E7E5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263795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D31CC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601</w:t>
            </w:r>
          </w:p>
          <w:p w14:paraId="3A8D8C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363A7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601</w:t>
            </w:r>
          </w:p>
          <w:p w14:paraId="012A3A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76A7B0D" w14:textId="77777777">
        <w:trPr>
          <w:trHeight w:val="259"/>
        </w:trPr>
        <w:tc>
          <w:tcPr>
            <w:tcW w:w="2045" w:type="dxa"/>
            <w:gridSpan w:val="2"/>
            <w:tcBorders>
              <w:top w:val="nil"/>
              <w:left w:val="single" w:sz="6" w:space="0" w:color="auto"/>
              <w:bottom w:val="single" w:sz="6" w:space="0" w:color="auto"/>
              <w:right w:val="single" w:sz="6" w:space="0" w:color="auto"/>
            </w:tcBorders>
          </w:tcPr>
          <w:p w14:paraId="75EAF1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14EB5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nil"/>
              <w:left w:val="single" w:sz="6" w:space="0" w:color="auto"/>
              <w:bottom w:val="single" w:sz="6" w:space="0" w:color="auto"/>
              <w:right w:val="single" w:sz="6" w:space="0" w:color="auto"/>
            </w:tcBorders>
          </w:tcPr>
          <w:p w14:paraId="539800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96B0C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6ACB90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выполнения</w:t>
            </w:r>
          </w:p>
          <w:p w14:paraId="1E80A2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7E543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15141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553F3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110,2</w:t>
            </w:r>
          </w:p>
          <w:p w14:paraId="60C0FB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68F60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110,2</w:t>
            </w:r>
          </w:p>
          <w:p w14:paraId="25757D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D5A950B" w14:textId="77777777">
        <w:trPr>
          <w:trHeight w:val="269"/>
        </w:trPr>
        <w:tc>
          <w:tcPr>
            <w:tcW w:w="2045" w:type="dxa"/>
            <w:gridSpan w:val="2"/>
            <w:tcBorders>
              <w:top w:val="single" w:sz="6" w:space="0" w:color="auto"/>
              <w:left w:val="single" w:sz="6" w:space="0" w:color="auto"/>
              <w:bottom w:val="nil"/>
              <w:right w:val="single" w:sz="6" w:space="0" w:color="auto"/>
            </w:tcBorders>
          </w:tcPr>
          <w:p w14:paraId="3AFF6D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№40</w:t>
            </w:r>
          </w:p>
          <w:p w14:paraId="741A8D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nil"/>
              <w:right w:val="single" w:sz="6" w:space="0" w:color="auto"/>
            </w:tcBorders>
          </w:tcPr>
          <w:p w14:paraId="39A687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СГ-122</w:t>
            </w:r>
          </w:p>
          <w:p w14:paraId="44A48F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78278C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w:t>
            </w:r>
          </w:p>
          <w:p w14:paraId="20590D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136B5C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18D7FE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1400D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1529D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974D5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724147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908DFB7" w14:textId="77777777">
        <w:trPr>
          <w:trHeight w:val="259"/>
        </w:trPr>
        <w:tc>
          <w:tcPr>
            <w:tcW w:w="2045" w:type="dxa"/>
            <w:gridSpan w:val="2"/>
            <w:tcBorders>
              <w:top w:val="nil"/>
              <w:left w:val="single" w:sz="6" w:space="0" w:color="auto"/>
              <w:bottom w:val="nil"/>
              <w:right w:val="single" w:sz="6" w:space="0" w:color="auto"/>
            </w:tcBorders>
          </w:tcPr>
          <w:p w14:paraId="2714A8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EA175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nil"/>
              <w:left w:val="single" w:sz="6" w:space="0" w:color="auto"/>
              <w:bottom w:val="nil"/>
              <w:right w:val="single" w:sz="6" w:space="0" w:color="auto"/>
            </w:tcBorders>
          </w:tcPr>
          <w:p w14:paraId="73237F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3CF65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367C93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Поставка</w:t>
            </w:r>
          </w:p>
          <w:p w14:paraId="642A3D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4373AD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p w14:paraId="47E05C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054F6D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31C30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B7DF1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p w14:paraId="299DE2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E5A47FA" w14:textId="77777777">
        <w:trPr>
          <w:trHeight w:val="269"/>
        </w:trPr>
        <w:tc>
          <w:tcPr>
            <w:tcW w:w="2045" w:type="dxa"/>
            <w:gridSpan w:val="2"/>
            <w:tcBorders>
              <w:top w:val="nil"/>
              <w:left w:val="single" w:sz="6" w:space="0" w:color="auto"/>
              <w:bottom w:val="nil"/>
              <w:right w:val="single" w:sz="6" w:space="0" w:color="auto"/>
            </w:tcBorders>
          </w:tcPr>
          <w:p w14:paraId="547B34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59C64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nil"/>
              <w:left w:val="single" w:sz="6" w:space="0" w:color="auto"/>
              <w:bottom w:val="single" w:sz="6" w:space="0" w:color="auto"/>
              <w:right w:val="single" w:sz="6" w:space="0" w:color="auto"/>
            </w:tcBorders>
          </w:tcPr>
          <w:p w14:paraId="2BC014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2E0F20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AB21F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выполнения</w:t>
            </w:r>
          </w:p>
          <w:p w14:paraId="6E6CA8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995FD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p w14:paraId="6A297F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551866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41238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A0BC2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p w14:paraId="60281F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5AFC644" w14:textId="77777777">
        <w:trPr>
          <w:trHeight w:val="259"/>
        </w:trPr>
        <w:tc>
          <w:tcPr>
            <w:tcW w:w="2045" w:type="dxa"/>
            <w:gridSpan w:val="2"/>
            <w:tcBorders>
              <w:top w:val="nil"/>
              <w:left w:val="single" w:sz="6" w:space="0" w:color="auto"/>
              <w:bottom w:val="nil"/>
              <w:right w:val="single" w:sz="6" w:space="0" w:color="auto"/>
            </w:tcBorders>
          </w:tcPr>
          <w:p w14:paraId="68884F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07059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nil"/>
              <w:right w:val="single" w:sz="6" w:space="0" w:color="auto"/>
            </w:tcBorders>
          </w:tcPr>
          <w:p w14:paraId="0134A1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СУ-76</w:t>
            </w:r>
          </w:p>
          <w:p w14:paraId="5B15E5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720B6A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w:t>
            </w:r>
          </w:p>
          <w:p w14:paraId="3AFEFB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31606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F10DE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253EC0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265</w:t>
            </w:r>
          </w:p>
          <w:p w14:paraId="7364EF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024C34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265</w:t>
            </w:r>
          </w:p>
          <w:p w14:paraId="4080BB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D77FC3A" w14:textId="77777777">
        <w:trPr>
          <w:trHeight w:val="269"/>
        </w:trPr>
        <w:tc>
          <w:tcPr>
            <w:tcW w:w="2045" w:type="dxa"/>
            <w:gridSpan w:val="2"/>
            <w:tcBorders>
              <w:top w:val="nil"/>
              <w:left w:val="single" w:sz="6" w:space="0" w:color="auto"/>
              <w:bottom w:val="nil"/>
              <w:right w:val="single" w:sz="6" w:space="0" w:color="auto"/>
            </w:tcBorders>
          </w:tcPr>
          <w:p w14:paraId="6355DF7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069C9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nil"/>
              <w:left w:val="single" w:sz="6" w:space="0" w:color="auto"/>
              <w:bottom w:val="nil"/>
              <w:right w:val="single" w:sz="6" w:space="0" w:color="auto"/>
            </w:tcBorders>
          </w:tcPr>
          <w:p w14:paraId="2563BFA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EBBBA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2F010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Поставка</w:t>
            </w:r>
          </w:p>
          <w:p w14:paraId="4EAE67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13D72A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07BC6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676B44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w:t>
            </w:r>
          </w:p>
          <w:p w14:paraId="191FD0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7498C1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w:t>
            </w:r>
          </w:p>
          <w:p w14:paraId="234BC9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9B228B2" w14:textId="77777777">
        <w:trPr>
          <w:trHeight w:val="278"/>
        </w:trPr>
        <w:tc>
          <w:tcPr>
            <w:tcW w:w="2045" w:type="dxa"/>
            <w:gridSpan w:val="2"/>
            <w:tcBorders>
              <w:top w:val="nil"/>
              <w:left w:val="single" w:sz="6" w:space="0" w:color="auto"/>
              <w:bottom w:val="single" w:sz="6" w:space="0" w:color="auto"/>
              <w:right w:val="single" w:sz="6" w:space="0" w:color="auto"/>
            </w:tcBorders>
          </w:tcPr>
          <w:p w14:paraId="6F140CF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F416B8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nil"/>
              <w:left w:val="single" w:sz="6" w:space="0" w:color="auto"/>
              <w:bottom w:val="single" w:sz="6" w:space="0" w:color="auto"/>
              <w:right w:val="single" w:sz="6" w:space="0" w:color="auto"/>
            </w:tcBorders>
          </w:tcPr>
          <w:p w14:paraId="3BC68B6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ADFEB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B4C27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выполнения</w:t>
            </w:r>
          </w:p>
          <w:p w14:paraId="03983E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0298E8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F0A39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063A64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79,1</w:t>
            </w:r>
          </w:p>
          <w:p w14:paraId="093E25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gridSpan w:val="2"/>
            <w:tcBorders>
              <w:top w:val="single" w:sz="6" w:space="0" w:color="auto"/>
              <w:left w:val="single" w:sz="6" w:space="0" w:color="auto"/>
              <w:bottom w:val="single" w:sz="6" w:space="0" w:color="auto"/>
              <w:right w:val="single" w:sz="6" w:space="0" w:color="auto"/>
            </w:tcBorders>
          </w:tcPr>
          <w:p w14:paraId="3029A8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79,1</w:t>
            </w:r>
          </w:p>
          <w:p w14:paraId="49360D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2D00C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1 отдела УСА ГБТУ КА инженер-подполковник Демьяненко</w:t>
      </w:r>
    </w:p>
    <w:p w14:paraId="026A60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11369. Д. 404. Л. 12. Подлинник (11403).</w:t>
      </w:r>
    </w:p>
    <w:p w14:paraId="461086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30F0C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марта 1944 вышло Постановление ГКО № 5279 О тов. Запорожец А.И. РГАНИР, Фонд ГКО, д. 215, лл. 28 (11012).</w:t>
      </w:r>
    </w:p>
    <w:p w14:paraId="735C94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1AB8A5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марта 1944 вышло Постановление ГКО № 5280 О т.т. Тюркине П.А., Васильеве И.В., Сухареве П.Е., Прудникове Ф.К., Рыбинском И.РГАНИР, Фонд ГКО, д. и Соболеве П.В. РГАНИР, Фонд ГКО, д. 215, лл. 29 (11012).</w:t>
      </w:r>
    </w:p>
    <w:p w14:paraId="6CE7CA3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345247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E9532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B61B4B"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 марта</w:t>
      </w:r>
      <w:r w:rsidRPr="00070ADE">
        <w:rPr>
          <w:rFonts w:ascii="Times New Roman" w:hAnsi="Times New Roman"/>
          <w:color w:val="000000" w:themeColor="text1"/>
          <w:sz w:val="16"/>
          <w:szCs w:val="16"/>
        </w:rPr>
        <w:t xml:space="preserve"> в 1944 году оперативная сводка Совинформбюро:</w:t>
      </w:r>
    </w:p>
    <w:p w14:paraId="1141D5C1"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 марта на Нарвском направлении наши войска овладели несколькими сильно укреплёнными опорными пунктами немецкой обороны и улучшили свои позиции на плацдарме юго-западнее города Нарва.</w:t>
      </w:r>
    </w:p>
    <w:p w14:paraId="25B207DC"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Псковском направлении наши войска вели наступательные бои, в ходе которых выбили противника из нескольких опорных пунктов его обороны.</w:t>
      </w:r>
    </w:p>
    <w:p w14:paraId="39E445FC"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Островском направлении наши войска, продолжая наступление, овладели районным центром Ленинградской области Сошихино, а также с боями заняли более 30 других населённых пунктов, в том числе Замошье, Рожанка, Церковище, Самухино, Белова, Терегаева, Гастены, Лобаны, Дедовцы и железнодорожные станции Сошихино,Сергино.</w:t>
      </w:r>
    </w:p>
    <w:p w14:paraId="055D9DD5"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737C9A37"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 марта наши войска на всех фронтах подбили и уничтожили 23 немецких танка. В воздушных боях и огнём зенитной артиллерии сбито 24 самолёта противника.</w:t>
      </w:r>
    </w:p>
    <w:p w14:paraId="0E3525C5"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Нарвском направлении наши войска в результате ожесточённых боёв овладели несколькими сильно укреплёнными опорными пунктами противника. Немцы несколько раз бросались в контратаки, пытаясь вернуть потерянные ими позиции. Все контратаки гитлеровцев отбиты. В этом бою уничтожено свыше 1.000 солдат иофицеров противника. На другом участке Н-ская гвардейская часть, продвигаясь вперёд, разгромила батальон гитлеровцев. Огнём артиллерии и противотанковых ружей сожжено 8 немецких танков, в том числе 3 танка типа «Тигр». Захвачено у немцев несколько артиллерийских батарей и склад боеприпасов.</w:t>
      </w:r>
    </w:p>
    <w:p w14:paraId="27F6BEB9"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Псковском направлении наши войска продолжали вести наступательные бои.Бойцы Н-ского соединения выбили немцев из нескольких опорных пунктов и захватили большие трофеи. В одном районе наши подвижные отряды, совершив успешный манёвр, отрезали пути отхода колонне противника. Советские танкисты и автоматчики уничтожили до 300 немцев и захватили 250 повозок с военными грузами. Взято большое число пленных. Разведчики-артиллеристы во главе с лейтенантами Слепковым и Зинаковым ворвались в опорный пункт немцев и захватили на огневых позициях батарею 150-мм орудий с полным комплектом боеприпасов. Советские артиллеристы быстро повернули орудия и открыли из них огонь по противнику.</w:t>
      </w:r>
    </w:p>
    <w:p w14:paraId="3FFF95F9"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Островском направлении наши войска продолжали наступление. Части Н-ского соединения, с боями продвигаясь вперёд, овладели районным центром Ленинградскойобласти и железнодорожной станцией Сошихино. Ленинградские партизаны, взаимодействуя с бойцами Красной Армии, выбили немцев из нескольких населённых пунктов, расположенных в районе железнодорожной станции Сошихино. В боях за эти пункты партизаны истребили более 500 гитлеровцев. Освобождено 9 тысяч мирных советских граждан, которых немцы угоняли на каторгу в Германию. Отбито упротивника 3.500 лошадей и 3.000 голов крупного рогатого скота.</w:t>
      </w:r>
    </w:p>
    <w:p w14:paraId="4B295855"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Балтийском море потоплен транспорт противника водоизмещением в 2.500 тонн.</w:t>
      </w:r>
    </w:p>
    <w:p w14:paraId="0C2E9DC8"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Латвийский партизанский отряд «Виестурс» за несколько дней разгромил 4 немецких военных телефонных станции и захватил 22 специальных аппарата связи. Группа партизан этого отряда проникла в населённый пункт и подожгла крупныйсклад противника с бензином. Отряд латвийских партизан «Даугава» разгромил немецкий гарнизон в населённом пункте, уничтожив при этом 32 гитлеровца.</w:t>
      </w:r>
    </w:p>
    <w:p w14:paraId="7367C085"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Ленинградского фронта нанесли тяжёлое поражение немецкой танково-гренадерской дивизии СС «Нордланд», прибывшей на советско-германский фронт в январе 1944 года. Пленные сообщают, что дивизия понесла огромные потери. Ефрейторы дивизиона самоходных орудий Герингер и Паубики рассказали: «Наш дивизион прибыл в Россию во второй половине января. Нас сразу же бросили в бой, но против русской артиллерии, пехоты и танков мы ничего не могли сделать.Потеряв 6 самоходных орудий, дивизион отступил. Не успели батареи занять новые позиции, как в наше расположение ворвались русские танки. Дивизион в панике бежал, бросив 14 самоходных орудий. Солдаты, спасшиеся бегством, были совершенно деморализованы. К вечеру мы добрались до одной деревни, в которой оказалось много немецких солдат. Настроение было очень подавленное. Глубокой ночью вдруг раздались крики: «Русские танки». Мы выскочили на улицу и увидели танки Т-34, закоторыми следовали русские автоматчики. Сопротивляться было бессмысленно, и мы сдались в плен. В этот день наш дивизион перестал существовать».</w:t>
      </w:r>
    </w:p>
    <w:p w14:paraId="6E51975D"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публикуется акт о зверствах немецко-фашистских мерзавцев в Ракитнянском районе, Киевской области: «Чудовищные преступления совершили гитлеровские разбойники в нашем районе. После изгнания немцев в селе Ракитно обнаружено пять массовых могил, в которых похоронены жертвы фашистского террора. По далеко неполным данным, немецкие изверги расстреляли более 600 мирных граждан. Крометого, гитлеровцы угнали 1.267 жителей на каторгу в Германию. Фашистские громилы опустошили и разрушили 28 школ, сожгли библиотеки и школьное имущество. В селе Бакумовка учителя Н.Белозович и Л.Белозович пытались отстоять здание иимущество школы. Немцы зверски убили этих учителей и бросили, их трупы в канаву. Гитлеровские бандиты разрушили и сожгли 340 жилых домов и более 130 государственных и общественных зданий». Акт подписали: И.Коломиец, А.Колесниченко, Л.Рябенко, Н.Павлюк, М.Шосталь, Т.Ряднина, врач П.Беликов,священник Г.Церерин (15056).</w:t>
      </w:r>
    </w:p>
    <w:p w14:paraId="4B28BE19" w14:textId="77777777" w:rsidR="006E7509" w:rsidRPr="00070ADE" w:rsidRDefault="006E7509" w:rsidP="00B56F90">
      <w:pPr>
        <w:spacing w:after="0" w:line="240" w:lineRule="auto"/>
        <w:jc w:val="both"/>
        <w:rPr>
          <w:rFonts w:ascii="Times New Roman" w:hAnsi="Times New Roman"/>
          <w:color w:val="000000" w:themeColor="text1"/>
          <w:sz w:val="16"/>
          <w:szCs w:val="16"/>
        </w:rPr>
      </w:pPr>
    </w:p>
    <w:p w14:paraId="7511B3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марта 1944 г. была подготовлена ДОКЛАДНАЯ ЗАПИСКА НАЧАЛЬНИКА ГБТУ КА КОМАНДУЮЩЕМУ БТ и МВ КА ПО ДАЛЬНЕЙШЕМУ ИСПОЛЬЗОВАНИЮ АЭРОСАННЫХ БАТАЛЬОНОВ</w:t>
      </w:r>
    </w:p>
    <w:p w14:paraId="432F71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w:t>
      </w:r>
    </w:p>
    <w:p w14:paraId="0E1661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 составе БТ и МВ КА состоит 40 аэросанных батальонов и 25 резервных аэросанных рот.</w:t>
      </w:r>
    </w:p>
    <w:p w14:paraId="0BAF2E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Зимой 1943-1944 гг. на фронтах находилось 39 батальонов, из них: на фронтах — 11, в 7-ой отдельной армии — 10, Ленинградском фронте — 4, на Волховском фронте -3, 2-м Прибалтийском -7, Западном -2, Белорусском фронте — 2.</w:t>
      </w:r>
    </w:p>
    <w:p w14:paraId="5AA064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 продвижением войск Красной Армии в районы, ограничивающие применение аэросанных батальонов, дальнейшее их использование будет возможно только на участках Карельского фронта, 7-ой отдельной армии и в Краснознаменном Балтийском флоте, для несения службы охранения на побережье озер и Финского залива, для связи с островами и обслуживания штаба КБФ.</w:t>
      </w:r>
    </w:p>
    <w:p w14:paraId="563B33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Учитывая вышеизложенное, считаю целесообразным произвести следующие мероприятия:</w:t>
      </w:r>
    </w:p>
    <w:p w14:paraId="383B27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26 аэросанных батальонов и 25 резервных рот, находящихся на фронте и в АрхВО, вывести в Котлас и расформировать;</w:t>
      </w:r>
    </w:p>
    <w:p w14:paraId="505EB3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11 аэросанных батальонов, находящихся на Карельском фронте, сосредоточить в районе ст. Сегежа и после восстановления материальной части расформировать. Из числа высвободившегося личного состава сформировать при фронте учебный батальон в составе 500 человек переменного состава, из них: мехводителей аэросаней — 460 и офицерского состава — 40 человек. Назначенный личный состав использовать для обслуживания материальной части, а также для развертывания АСБ;</w:t>
      </w:r>
    </w:p>
    <w:p w14:paraId="5C07AE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три аэросанных батальона из числа находящихся на Ленинградском фронте передать Краснознаменному Балтийскому флоту по просьбе Военного совета КБФ;</w:t>
      </w:r>
    </w:p>
    <w:p w14:paraId="2DC00C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для подготовки личного состава аэросанной специальности, обслуживания резерва аэроса</w:t>
      </w:r>
      <w:r w:rsidRPr="00070ADE">
        <w:rPr>
          <w:rFonts w:ascii="Times New Roman" w:hAnsi="Times New Roman"/>
          <w:color w:val="000000" w:themeColor="text1"/>
          <w:sz w:val="16"/>
          <w:szCs w:val="16"/>
        </w:rPr>
        <w:softHyphen/>
        <w:t>ней, а также для сохранения резерва мехводителей аэросаней, на базе Котласского военного учи</w:t>
      </w:r>
      <w:r w:rsidRPr="00070ADE">
        <w:rPr>
          <w:rFonts w:ascii="Times New Roman" w:hAnsi="Times New Roman"/>
          <w:color w:val="000000" w:themeColor="text1"/>
          <w:sz w:val="16"/>
          <w:szCs w:val="16"/>
        </w:rPr>
        <w:softHyphen/>
        <w:t>лища сформировать учебный аэросанный полк по прилагаемому штату</w:t>
      </w:r>
      <w:r w:rsidRPr="00070ADE">
        <w:rPr>
          <w:rFonts w:ascii="Times New Roman" w:hAnsi="Times New Roman"/>
          <w:color w:val="000000" w:themeColor="text1"/>
          <w:sz w:val="16"/>
          <w:szCs w:val="16"/>
          <w:vertAlign w:val="superscript"/>
        </w:rPr>
        <w:t>1</w:t>
      </w:r>
      <w:r w:rsidRPr="00070ADE">
        <w:rPr>
          <w:rFonts w:ascii="Times New Roman" w:hAnsi="Times New Roman"/>
          <w:color w:val="000000" w:themeColor="text1"/>
          <w:sz w:val="16"/>
          <w:szCs w:val="16"/>
        </w:rPr>
        <w:t>, укомплектовав его личным составом, высвободившимся после расформирования аэросанных батальонов и резервных рот.</w:t>
      </w:r>
    </w:p>
    <w:p w14:paraId="3BBAA2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проведения указанных мероприятий высвободится 2571 аэросаней и личного состава 2893 человека, из них офицерского состава 938 человек, сержантского и рядового состава 1955 человек.</w:t>
      </w:r>
    </w:p>
    <w:p w14:paraId="020A19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Вашего решения.</w:t>
      </w:r>
    </w:p>
    <w:p w14:paraId="58775E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ГБТУ КА генерал-лейтенант танковых войск Вершинин</w:t>
      </w:r>
    </w:p>
    <w:p w14:paraId="768375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управления бронепоездов и бронемашин ГБТУ КА</w:t>
      </w:r>
    </w:p>
    <w:p w14:paraId="2C40FC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генерал-майор танковых войск Чернов</w:t>
      </w:r>
    </w:p>
    <w:p w14:paraId="5410C0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11358. Д. 332. Л. 16. Подлинник (11403).</w:t>
      </w:r>
    </w:p>
    <w:p w14:paraId="21BB9E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AA912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марта 1944 вышло Постановление ГКО № 5278 О гибели лидера "Харьков", эсминцев "Беспощадный" и "Способный" Черноморского флота. (7195, 22-27).</w:t>
      </w:r>
    </w:p>
    <w:p w14:paraId="6B8FE68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8C977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4E9AE3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1F4551"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 марта</w:t>
      </w:r>
      <w:r w:rsidRPr="00070ADE">
        <w:rPr>
          <w:rFonts w:ascii="Times New Roman" w:hAnsi="Times New Roman"/>
          <w:color w:val="000000" w:themeColor="text1"/>
          <w:sz w:val="16"/>
          <w:szCs w:val="16"/>
        </w:rPr>
        <w:t xml:space="preserve"> в 1944 году поднялся в воздух второй прототип палубного истребителя</w:t>
      </w:r>
      <w:hyperlink r:id="rId70" w:tgtFrame="_blank" w:history="1">
        <w:r w:rsidRPr="00070ADE">
          <w:rPr>
            <w:rFonts w:ascii="Times New Roman" w:hAnsi="Times New Roman"/>
            <w:color w:val="000000" w:themeColor="text1"/>
            <w:sz w:val="16"/>
            <w:szCs w:val="16"/>
          </w:rPr>
          <w:t xml:space="preserve"> «F7F-1» «Tigercat» (15056). </w:t>
        </w:r>
      </w:hyperlink>
    </w:p>
    <w:p w14:paraId="75B2F9BB" w14:textId="77777777" w:rsidR="006E7509" w:rsidRPr="00070ADE" w:rsidRDefault="006E7509" w:rsidP="00B56F90">
      <w:pPr>
        <w:spacing w:after="0" w:line="240" w:lineRule="auto"/>
        <w:jc w:val="both"/>
        <w:rPr>
          <w:rFonts w:ascii="Times New Roman" w:hAnsi="Times New Roman"/>
          <w:color w:val="000000" w:themeColor="text1"/>
          <w:sz w:val="16"/>
          <w:szCs w:val="16"/>
        </w:rPr>
      </w:pPr>
    </w:p>
    <w:p w14:paraId="7E1C0D5F" w14:textId="77777777" w:rsidR="004C5E94" w:rsidRPr="00070ADE" w:rsidRDefault="004C5E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марта 1944 г. RLM распорядилось начать серийное производство 60 бомбардировщиков Ме 262А-2а. Министр вооружений Шпеер присвоил программе наивысший приоритет, однако самолет все еще был далек от поставок в войска (22776).</w:t>
      </w:r>
    </w:p>
    <w:p w14:paraId="1539EFB9" w14:textId="77777777" w:rsidR="004C5E94" w:rsidRPr="00070ADE" w:rsidRDefault="004C5E94" w:rsidP="00B56F90">
      <w:pPr>
        <w:shd w:val="clear" w:color="auto" w:fill="FFFFFF"/>
        <w:spacing w:after="0" w:line="240" w:lineRule="auto"/>
        <w:jc w:val="both"/>
        <w:rPr>
          <w:rFonts w:ascii="Times New Roman" w:hAnsi="Times New Roman"/>
          <w:color w:val="000000" w:themeColor="text1"/>
          <w:sz w:val="16"/>
          <w:szCs w:val="16"/>
        </w:rPr>
      </w:pPr>
    </w:p>
    <w:p w14:paraId="0D75E424" w14:textId="77777777" w:rsidR="00485315" w:rsidRPr="00C94B78" w:rsidRDefault="00485315" w:rsidP="00B56F90">
      <w:pPr>
        <w:pStyle w:val="28"/>
        <w:spacing w:before="0" w:line="240" w:lineRule="auto"/>
        <w:jc w:val="both"/>
        <w:rPr>
          <w:rFonts w:ascii="Times New Roman" w:hAnsi="Times New Roman" w:cs="Times New Roman"/>
          <w:color w:val="0070C0"/>
          <w:sz w:val="16"/>
          <w:szCs w:val="16"/>
        </w:rPr>
      </w:pPr>
      <w:r w:rsidRPr="00C94B78">
        <w:rPr>
          <w:rStyle w:val="2a"/>
          <w:rFonts w:ascii="Times New Roman" w:hAnsi="Times New Roman" w:cs="Times New Roman"/>
          <w:color w:val="0070C0"/>
          <w:sz w:val="16"/>
          <w:szCs w:val="16"/>
        </w:rPr>
        <w:t>2 марта 1944 года приняли решение о постройке опытного учебно-тренировоч</w:t>
      </w:r>
      <w:r w:rsidRPr="00C94B78">
        <w:rPr>
          <w:rStyle w:val="2a"/>
          <w:rFonts w:ascii="Times New Roman" w:hAnsi="Times New Roman" w:cs="Times New Roman"/>
          <w:color w:val="0070C0"/>
          <w:sz w:val="16"/>
          <w:szCs w:val="16"/>
        </w:rPr>
        <w:softHyphen/>
        <w:t>ного варианта истребителя-бомбардировщика Ме-262 (25113).</w:t>
      </w:r>
    </w:p>
    <w:p w14:paraId="7EBDF95D" w14:textId="77777777" w:rsidR="00485315" w:rsidRPr="00C94B78" w:rsidRDefault="00485315" w:rsidP="00B56F90">
      <w:pPr>
        <w:spacing w:after="0" w:line="240" w:lineRule="auto"/>
        <w:jc w:val="both"/>
        <w:rPr>
          <w:rFonts w:ascii="Times New Roman" w:hAnsi="Times New Roman"/>
          <w:color w:val="0070C0"/>
          <w:sz w:val="16"/>
          <w:szCs w:val="16"/>
        </w:rPr>
      </w:pPr>
    </w:p>
    <w:p w14:paraId="2883B948" w14:textId="77777777" w:rsidR="00D0561B" w:rsidRPr="00070ADE" w:rsidRDefault="00D0561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марта 1944 авиация союзников совершает крупнейшую атаку кампании Анцио с 241 B-24 Liberators и 100 B-17 Flying Fortress в сопровождении 113 P-38 Lightning и 63 P-47 Thunderbolts, сбрасывающих тысячи осколочных бомб вокруг Кастелло-ди. Чистерна, Веллетри и Каррочето, Италия. Почти такое же количество средних и легких бомбардировщиков и истребителей-бомбардировщиков союзников наносит удары по немецким танкам , артиллерийским позициям и районам сбора возле плацдарма Анцио, особенно вдоль шоссе Кастелло-ди-Чистерна- Камполеоне (20373).</w:t>
      </w:r>
    </w:p>
    <w:p w14:paraId="6067CFED" w14:textId="77777777" w:rsidR="00D0561B" w:rsidRPr="00070ADE" w:rsidRDefault="00D0561B" w:rsidP="00B56F90">
      <w:pPr>
        <w:spacing w:after="0" w:line="240" w:lineRule="auto"/>
        <w:jc w:val="both"/>
        <w:rPr>
          <w:rFonts w:ascii="Times New Roman" w:hAnsi="Times New Roman"/>
          <w:color w:val="000000" w:themeColor="text1"/>
          <w:sz w:val="16"/>
          <w:szCs w:val="16"/>
        </w:rPr>
      </w:pPr>
    </w:p>
    <w:p w14:paraId="09A0AFF6" w14:textId="77777777" w:rsidR="00D0561B" w:rsidRPr="00070ADE" w:rsidRDefault="00D0561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марта (ночь) 1944 123 британских бомбардировщика серьезно повредили авиационный завод SNCAM в Мёлан-ле-Мюро, Франция. 15 Ланкастеров из 617-й эскадрильи успешно атакуют авиационный завод в Альберте, Франция (20373).</w:t>
      </w:r>
    </w:p>
    <w:p w14:paraId="748B2351" w14:textId="77777777" w:rsidR="00D0561B" w:rsidRPr="00070ADE" w:rsidRDefault="00D0561B" w:rsidP="00B56F90">
      <w:pPr>
        <w:spacing w:after="0" w:line="240" w:lineRule="auto"/>
        <w:jc w:val="both"/>
        <w:rPr>
          <w:rFonts w:ascii="Times New Roman" w:hAnsi="Times New Roman"/>
          <w:color w:val="000000" w:themeColor="text1"/>
          <w:sz w:val="16"/>
          <w:szCs w:val="16"/>
        </w:rPr>
      </w:pPr>
    </w:p>
    <w:p w14:paraId="6E237BC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марта 1944 Англия и США прервали программу помощи Турции по ленд-лизу в связи с отказом турок сотрудничать с союзниками (4962).</w:t>
      </w:r>
    </w:p>
    <w:p w14:paraId="62519E3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2FCB7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марта 1944 в Италии возле Салерно 426 человек погибли от отравления угарным газом во время остановки поезда в горном туннеле (4962).</w:t>
      </w:r>
    </w:p>
    <w:p w14:paraId="749CACF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A4E7A2" w14:textId="77777777" w:rsidR="006E750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6571296" w14:textId="77777777" w:rsidR="006E7509" w:rsidRPr="00070ADE" w:rsidRDefault="006E7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EBE6EE" w14:textId="77777777" w:rsidR="00FF2344" w:rsidRPr="00070ADE" w:rsidRDefault="00FF2344" w:rsidP="00B56F9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3 марта 1944 заместителю начальника 7-го Управления НКАП Алексееву были направлены для согла</w:t>
      </w:r>
      <w:r w:rsidRPr="00070ADE">
        <w:rPr>
          <w:rFonts w:ascii="Times New Roman" w:hAnsi="Times New Roman" w:cs="Times New Roman"/>
          <w:color w:val="000000" w:themeColor="text1"/>
          <w:sz w:val="16"/>
          <w:szCs w:val="16"/>
        </w:rPr>
        <w:softHyphen/>
        <w:t>сования докладная записка на</w:t>
      </w:r>
      <w:r w:rsidRPr="00070ADE">
        <w:rPr>
          <w:rFonts w:ascii="Times New Roman" w:hAnsi="Times New Roman" w:cs="Times New Roman"/>
          <w:color w:val="000000" w:themeColor="text1"/>
          <w:sz w:val="16"/>
          <w:szCs w:val="16"/>
        </w:rPr>
        <w:softHyphen/>
        <w:t>чальника Управления опытного строитель</w:t>
      </w:r>
      <w:r w:rsidRPr="00070ADE">
        <w:rPr>
          <w:rFonts w:ascii="Times New Roman" w:hAnsi="Times New Roman" w:cs="Times New Roman"/>
          <w:color w:val="000000" w:themeColor="text1"/>
          <w:sz w:val="16"/>
          <w:szCs w:val="16"/>
        </w:rPr>
        <w:softHyphen/>
        <w:t>ства ВВС КА бригинженера Лешукова на имя пред</w:t>
      </w:r>
      <w:r w:rsidRPr="00070ADE">
        <w:rPr>
          <w:rFonts w:ascii="Times New Roman" w:hAnsi="Times New Roman" w:cs="Times New Roman"/>
          <w:color w:val="000000" w:themeColor="text1"/>
          <w:sz w:val="16"/>
          <w:szCs w:val="16"/>
        </w:rPr>
        <w:softHyphen/>
        <w:t>седателя Государственного Комитета Обороны И.В.Сталина и проект постанов</w:t>
      </w:r>
      <w:r w:rsidRPr="00070ADE">
        <w:rPr>
          <w:rFonts w:ascii="Times New Roman" w:hAnsi="Times New Roman" w:cs="Times New Roman"/>
          <w:color w:val="000000" w:themeColor="text1"/>
          <w:sz w:val="16"/>
          <w:szCs w:val="16"/>
        </w:rPr>
        <w:softHyphen/>
        <w:t>ления ГКО «О выпуске малой серии но</w:t>
      </w:r>
      <w:r w:rsidRPr="00070ADE">
        <w:rPr>
          <w:rFonts w:ascii="Times New Roman" w:hAnsi="Times New Roman" w:cs="Times New Roman"/>
          <w:color w:val="000000" w:themeColor="text1"/>
          <w:sz w:val="16"/>
          <w:szCs w:val="16"/>
        </w:rPr>
        <w:softHyphen/>
        <w:t>вых бронированных штурмовиков с мото</w:t>
      </w:r>
      <w:r w:rsidRPr="00070ADE">
        <w:rPr>
          <w:rFonts w:ascii="Times New Roman" w:hAnsi="Times New Roman" w:cs="Times New Roman"/>
          <w:color w:val="000000" w:themeColor="text1"/>
          <w:sz w:val="16"/>
          <w:szCs w:val="16"/>
        </w:rPr>
        <w:softHyphen/>
        <w:t>ром М-71».</w:t>
      </w:r>
    </w:p>
    <w:p w14:paraId="0B06E5B9" w14:textId="77777777" w:rsidR="00FF2344" w:rsidRPr="00070ADE" w:rsidRDefault="00FF2344" w:rsidP="00B56F9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Проект постановления обязывал НКАП («директора и главного конструк</w:t>
      </w:r>
      <w:r w:rsidRPr="00070ADE">
        <w:rPr>
          <w:rFonts w:ascii="Times New Roman" w:hAnsi="Times New Roman" w:cs="Times New Roman"/>
          <w:color w:val="000000" w:themeColor="text1"/>
          <w:sz w:val="16"/>
          <w:szCs w:val="16"/>
        </w:rPr>
        <w:softHyphen/>
        <w:t>тора завода №289 тов. Сухого») к 1 но</w:t>
      </w:r>
      <w:r w:rsidRPr="00070ADE">
        <w:rPr>
          <w:rFonts w:ascii="Times New Roman" w:hAnsi="Times New Roman" w:cs="Times New Roman"/>
          <w:color w:val="000000" w:themeColor="text1"/>
          <w:sz w:val="16"/>
          <w:szCs w:val="16"/>
        </w:rPr>
        <w:softHyphen/>
        <w:t>ября 1942 г. построить малую серию «штурмовиков Су-6 в количестве 25 эк</w:t>
      </w:r>
      <w:r w:rsidRPr="00070ADE">
        <w:rPr>
          <w:rFonts w:ascii="Times New Roman" w:hAnsi="Times New Roman" w:cs="Times New Roman"/>
          <w:color w:val="000000" w:themeColor="text1"/>
          <w:sz w:val="16"/>
          <w:szCs w:val="16"/>
        </w:rPr>
        <w:softHyphen/>
        <w:t>земпляров с мотором М-71».</w:t>
      </w:r>
    </w:p>
    <w:p w14:paraId="22A79298" w14:textId="77777777" w:rsidR="00FF2344" w:rsidRPr="00070ADE" w:rsidRDefault="00FF2344" w:rsidP="00B56F9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Летные данные задавались следу</w:t>
      </w:r>
      <w:r w:rsidRPr="00070ADE">
        <w:rPr>
          <w:rFonts w:ascii="Times New Roman" w:hAnsi="Times New Roman" w:cs="Times New Roman"/>
          <w:color w:val="000000" w:themeColor="text1"/>
          <w:sz w:val="16"/>
          <w:szCs w:val="16"/>
        </w:rPr>
        <w:softHyphen/>
        <w:t>ющие. Максимальная скорость на но</w:t>
      </w:r>
      <w:r w:rsidRPr="00070ADE">
        <w:rPr>
          <w:rFonts w:ascii="Times New Roman" w:hAnsi="Times New Roman" w:cs="Times New Roman"/>
          <w:color w:val="000000" w:themeColor="text1"/>
          <w:sz w:val="16"/>
          <w:szCs w:val="16"/>
        </w:rPr>
        <w:softHyphen/>
        <w:t>минальной мощности мотора 460 км/ч (500 км/ч - с применением форсажа) - у земли, и 550 км/ч - на высоте 5600 м. Посадочная скорость - 145 км/ч. Даль</w:t>
      </w:r>
      <w:r w:rsidRPr="00070ADE">
        <w:rPr>
          <w:rFonts w:ascii="Times New Roman" w:hAnsi="Times New Roman" w:cs="Times New Roman"/>
          <w:color w:val="000000" w:themeColor="text1"/>
          <w:sz w:val="16"/>
          <w:szCs w:val="16"/>
        </w:rPr>
        <w:softHyphen/>
        <w:t>ность полета на скорости 0,9 максималь</w:t>
      </w:r>
      <w:r w:rsidRPr="00070ADE">
        <w:rPr>
          <w:rFonts w:ascii="Times New Roman" w:hAnsi="Times New Roman" w:cs="Times New Roman"/>
          <w:color w:val="000000" w:themeColor="text1"/>
          <w:sz w:val="16"/>
          <w:szCs w:val="16"/>
        </w:rPr>
        <w:softHyphen/>
        <w:t>ной скорости - 700 км.</w:t>
      </w:r>
    </w:p>
    <w:p w14:paraId="11AFA764" w14:textId="77777777" w:rsidR="00FF2344" w:rsidRPr="00070ADE" w:rsidRDefault="00FF2344" w:rsidP="00B56F9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Вооружение должно было включать две пушки ВЯ (по 80 патрон на пушку), четыре пулемета ШКАС в крыле (по 800 патронов на пулемет), два синхрон</w:t>
      </w:r>
      <w:r w:rsidRPr="00070ADE">
        <w:rPr>
          <w:rFonts w:ascii="Times New Roman" w:hAnsi="Times New Roman" w:cs="Times New Roman"/>
          <w:color w:val="000000" w:themeColor="text1"/>
          <w:sz w:val="16"/>
          <w:szCs w:val="16"/>
        </w:rPr>
        <w:softHyphen/>
        <w:t>ных ШКАС (по 800 патронов каждый), 10 РС-82 и 150 кг бомб или 10 РС-132. Бом</w:t>
      </w:r>
      <w:r w:rsidRPr="00070ADE">
        <w:rPr>
          <w:rFonts w:ascii="Times New Roman" w:hAnsi="Times New Roman" w:cs="Times New Roman"/>
          <w:color w:val="000000" w:themeColor="text1"/>
          <w:sz w:val="16"/>
          <w:szCs w:val="16"/>
        </w:rPr>
        <w:softHyphen/>
        <w:t>бовая нагрузка при перегрузке (калибр бомб от 1,5 кг до 100 кг) - 400 кг.</w:t>
      </w:r>
    </w:p>
    <w:p w14:paraId="1AB55676" w14:textId="77777777" w:rsidR="00FF2344" w:rsidRPr="00070ADE" w:rsidRDefault="00FF2344" w:rsidP="00B56F9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«Бронирование от пуль калибра 12,7 мм» следовало реализовать по схеме, утвержденной ГУ ВВС КА. Бензобак дол</w:t>
      </w:r>
      <w:r w:rsidRPr="00070ADE">
        <w:rPr>
          <w:rFonts w:ascii="Times New Roman" w:hAnsi="Times New Roman" w:cs="Times New Roman"/>
          <w:color w:val="000000" w:themeColor="text1"/>
          <w:sz w:val="16"/>
          <w:szCs w:val="16"/>
        </w:rPr>
        <w:softHyphen/>
        <w:t>жен иметь протектор и заполняться в по</w:t>
      </w:r>
      <w:r w:rsidRPr="00070ADE">
        <w:rPr>
          <w:rFonts w:ascii="Times New Roman" w:hAnsi="Times New Roman" w:cs="Times New Roman"/>
          <w:color w:val="000000" w:themeColor="text1"/>
          <w:sz w:val="16"/>
          <w:szCs w:val="16"/>
        </w:rPr>
        <w:softHyphen/>
        <w:t>лете инертным газом.</w:t>
      </w:r>
    </w:p>
    <w:p w14:paraId="39C2AA02" w14:textId="77777777" w:rsidR="00FF2344" w:rsidRPr="00070ADE" w:rsidRDefault="00FF234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Головной самолет малой серии тре</w:t>
      </w:r>
      <w:r w:rsidRPr="00070ADE">
        <w:rPr>
          <w:rFonts w:ascii="Times New Roman" w:hAnsi="Times New Roman"/>
          <w:color w:val="000000" w:themeColor="text1"/>
          <w:sz w:val="16"/>
          <w:szCs w:val="16"/>
        </w:rPr>
        <w:softHyphen/>
        <w:t>бовалось предъявить на государственные испытания не позже 15 июня 1942 г. (19844).</w:t>
      </w:r>
    </w:p>
    <w:p w14:paraId="7C00F0F4" w14:textId="77777777" w:rsidR="00FF2344" w:rsidRPr="00070ADE" w:rsidRDefault="00FF2344" w:rsidP="00B56F90">
      <w:pPr>
        <w:spacing w:after="0" w:line="240" w:lineRule="auto"/>
        <w:jc w:val="both"/>
        <w:rPr>
          <w:rFonts w:ascii="Times New Roman" w:hAnsi="Times New Roman"/>
          <w:color w:val="000000" w:themeColor="text1"/>
          <w:sz w:val="16"/>
          <w:szCs w:val="16"/>
        </w:rPr>
      </w:pPr>
    </w:p>
    <w:p w14:paraId="5570CB13"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 марта</w:t>
      </w:r>
      <w:r w:rsidRPr="00070ADE">
        <w:rPr>
          <w:rFonts w:ascii="Times New Roman" w:hAnsi="Times New Roman"/>
          <w:color w:val="000000" w:themeColor="text1"/>
          <w:sz w:val="16"/>
          <w:szCs w:val="16"/>
        </w:rPr>
        <w:t xml:space="preserve"> в 1944 году первый полет истребителя-бомбардировщика «Як-9Б». «Як-9», созданный в конце 1942 г., стал самым массовым истребителем советских ВВС в период Великой Отечественной войны. За 1942-1945 гг. авиапромышленность выпустила 15470 самолетов этого типа. При его создании за основу был взят истребитель «Як-7Б» с мотором «М-105ПФ». Производство «Як-9» началось в конце 1942 г. Этот самолет обладал отличными пилотажными качествами и превосходной маневренностью, был устойчив на всех режимах полета. В 1943 г. был создан и выпускался крупной серией «Як-9Т», вооруженный пушкой калибра 37 мм, а в 1944 г. вышел и «Як-9К» с пушкой калибра 45 мм. Эти истребители предназначались главным образом для атак наземных целей и борьбы с бомбардировщиками противника (15057).</w:t>
      </w:r>
    </w:p>
    <w:p w14:paraId="632B75C9" w14:textId="77777777" w:rsidR="006E7509" w:rsidRPr="00070ADE" w:rsidRDefault="006E7509" w:rsidP="00B56F90">
      <w:pPr>
        <w:spacing w:after="0" w:line="240" w:lineRule="auto"/>
        <w:jc w:val="both"/>
        <w:rPr>
          <w:rFonts w:ascii="Times New Roman" w:hAnsi="Times New Roman"/>
          <w:color w:val="000000" w:themeColor="text1"/>
          <w:sz w:val="16"/>
          <w:szCs w:val="16"/>
        </w:rPr>
      </w:pPr>
    </w:p>
    <w:p w14:paraId="5C46C6D2" w14:textId="77777777" w:rsidR="006D5302" w:rsidRPr="00070ADE" w:rsidRDefault="006D530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марта 1944 г. - дата окончания ис</w:t>
      </w:r>
      <w:r w:rsidRPr="00070ADE">
        <w:rPr>
          <w:rFonts w:ascii="Times New Roman" w:hAnsi="Times New Roman"/>
          <w:color w:val="000000" w:themeColor="text1"/>
          <w:sz w:val="16"/>
          <w:szCs w:val="16"/>
        </w:rPr>
        <w:softHyphen/>
        <w:t>пытаний самолета И-221. Самолет потерпел аварию 7 февраля, но расследование происшествия и оформле</w:t>
      </w:r>
      <w:r w:rsidRPr="00070ADE">
        <w:rPr>
          <w:rFonts w:ascii="Times New Roman" w:hAnsi="Times New Roman"/>
          <w:color w:val="000000" w:themeColor="text1"/>
          <w:sz w:val="16"/>
          <w:szCs w:val="16"/>
        </w:rPr>
        <w:softHyphen/>
        <w:t>ние отчетов ОКБ и ЛИИ по выполненной части испытаний продолжалось еще це</w:t>
      </w:r>
      <w:r w:rsidRPr="00070ADE">
        <w:rPr>
          <w:rFonts w:ascii="Times New Roman" w:hAnsi="Times New Roman"/>
          <w:color w:val="000000" w:themeColor="text1"/>
          <w:sz w:val="16"/>
          <w:szCs w:val="16"/>
        </w:rPr>
        <w:softHyphen/>
        <w:t>лый месяц. Это говорит лишь о том, что ни авария самолета И-221, ни прекра</w:t>
      </w:r>
      <w:r w:rsidRPr="00070ADE">
        <w:rPr>
          <w:rFonts w:ascii="Times New Roman" w:hAnsi="Times New Roman"/>
          <w:color w:val="000000" w:themeColor="text1"/>
          <w:sz w:val="16"/>
          <w:szCs w:val="16"/>
        </w:rPr>
        <w:softHyphen/>
        <w:t>щение использования немцами высот</w:t>
      </w:r>
      <w:r w:rsidRPr="00070ADE">
        <w:rPr>
          <w:rFonts w:ascii="Times New Roman" w:hAnsi="Times New Roman"/>
          <w:color w:val="000000" w:themeColor="text1"/>
          <w:sz w:val="16"/>
          <w:szCs w:val="16"/>
        </w:rPr>
        <w:softHyphen/>
        <w:t>ных разведчиков Ju 86R-1 на Восточном фронте, не привели к сворачиванию ра</w:t>
      </w:r>
      <w:r w:rsidRPr="00070ADE">
        <w:rPr>
          <w:rFonts w:ascii="Times New Roman" w:hAnsi="Times New Roman"/>
          <w:color w:val="000000" w:themeColor="text1"/>
          <w:sz w:val="16"/>
          <w:szCs w:val="16"/>
        </w:rPr>
        <w:softHyphen/>
        <w:t>бот по высотным перехватчикам в СССР вообще и в ОКБ-155 Артема Ивановича Микояна и Михаила Иосифовича Гуреви</w:t>
      </w:r>
      <w:r w:rsidRPr="00070ADE">
        <w:rPr>
          <w:rFonts w:ascii="Times New Roman" w:hAnsi="Times New Roman"/>
          <w:color w:val="000000" w:themeColor="text1"/>
          <w:sz w:val="16"/>
          <w:szCs w:val="16"/>
        </w:rPr>
        <w:softHyphen/>
        <w:t>ча в частности (23404).</w:t>
      </w:r>
    </w:p>
    <w:p w14:paraId="22463C3C" w14:textId="77777777" w:rsidR="006D5302" w:rsidRPr="00070ADE" w:rsidRDefault="006D5302" w:rsidP="00B56F90">
      <w:pPr>
        <w:spacing w:after="0" w:line="240" w:lineRule="auto"/>
        <w:jc w:val="both"/>
        <w:rPr>
          <w:rFonts w:ascii="Times New Roman" w:hAnsi="Times New Roman"/>
          <w:color w:val="000000" w:themeColor="text1"/>
          <w:sz w:val="16"/>
          <w:szCs w:val="16"/>
        </w:rPr>
      </w:pPr>
    </w:p>
    <w:p w14:paraId="155290B7" w14:textId="77777777" w:rsidR="00B123B4" w:rsidRPr="00070ADE" w:rsidRDefault="00B123B4"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3 марта 1944 г.</w:t>
      </w:r>
    </w:p>
    <w:p w14:paraId="1B867727" w14:textId="77777777" w:rsidR="00B123B4" w:rsidRPr="00070ADE" w:rsidRDefault="00B123B4"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Из докладной записки директора завода № 477 И.Я. Рехтмана</w:t>
      </w:r>
    </w:p>
    <w:p w14:paraId="1095CF44" w14:textId="77777777" w:rsidR="00B123B4" w:rsidRPr="00070ADE" w:rsidRDefault="00B123B4"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заместителю наркома авиационной промышленности П.В. Дементьеву</w:t>
      </w:r>
    </w:p>
    <w:p w14:paraId="5E3D0ABD" w14:textId="77777777" w:rsidR="00B123B4" w:rsidRPr="00070ADE" w:rsidRDefault="00B123B4"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г. Красноярск 3 марта 1944 г.секретно</w:t>
      </w:r>
    </w:p>
    <w:p w14:paraId="66D1E6D9" w14:textId="77777777" w:rsidR="00B123B4" w:rsidRPr="00070ADE" w:rsidRDefault="00B123B4"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Согласно приказу народного комиссара № 267с от 18 мая 1943 г. завод № 477 переведен из агрегатного в завод по изготовлению гидросамолетов как серийных, так и опытных. […]</w:t>
      </w:r>
    </w:p>
    <w:p w14:paraId="1D920C25" w14:textId="77777777" w:rsidR="00B123B4" w:rsidRPr="00070ADE" w:rsidRDefault="00B123B4"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Директор завода № 477 Рехтман</w:t>
      </w:r>
    </w:p>
    <w:p w14:paraId="06E89DD8" w14:textId="77777777" w:rsidR="00B123B4" w:rsidRPr="00070ADE" w:rsidRDefault="00B123B4"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КГКУ «ГАКК». Ф.Р-1341. Оп. 4. Д. 155. Л. 7, 7об. Копия. Машинопись (19799).</w:t>
      </w:r>
    </w:p>
    <w:p w14:paraId="24FC1600" w14:textId="77777777" w:rsidR="00B123B4" w:rsidRPr="00070ADE" w:rsidRDefault="00B123B4" w:rsidP="00B56F90">
      <w:pPr>
        <w:pStyle w:val="27"/>
        <w:shd w:val="clear" w:color="auto" w:fill="auto"/>
        <w:spacing w:after="0" w:line="240" w:lineRule="auto"/>
        <w:ind w:firstLine="0"/>
        <w:rPr>
          <w:rFonts w:ascii="Times New Roman" w:cs="Times New Roman"/>
          <w:color w:val="000000" w:themeColor="text1"/>
          <w:spacing w:val="0"/>
        </w:rPr>
      </w:pPr>
    </w:p>
    <w:p w14:paraId="75E4D01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61112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F025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марта 1944 года первый прототип СУ-100, вооруженный пушкой Д-10 Петрова, был отправлен на заводские испытания, состоявшие из 30 выстрелов и 150 км пробега (3862). Закончились 2 июля (7381, 34).</w:t>
      </w:r>
    </w:p>
    <w:p w14:paraId="12C905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EFC9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марта 1944 г. артсамоход был отправлен на Гороховецкий полигон, где в пе</w:t>
      </w:r>
      <w:r w:rsidRPr="00070ADE">
        <w:rPr>
          <w:rFonts w:ascii="Times New Roman" w:hAnsi="Times New Roman"/>
          <w:color w:val="000000" w:themeColor="text1"/>
          <w:sz w:val="16"/>
          <w:szCs w:val="16"/>
        </w:rPr>
        <w:softHyphen/>
        <w:t>риод с 9 по 27 марта проходили Государственные испытания.</w:t>
      </w:r>
    </w:p>
    <w:p w14:paraId="3E030F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Государственная комиссия под руководством полковни</w:t>
      </w:r>
      <w:r w:rsidRPr="00070ADE">
        <w:rPr>
          <w:rFonts w:ascii="Times New Roman" w:hAnsi="Times New Roman"/>
          <w:color w:val="000000" w:themeColor="text1"/>
          <w:sz w:val="16"/>
          <w:szCs w:val="16"/>
        </w:rPr>
        <w:softHyphen/>
        <w:t>ка Рупышева провела указанные испытания в более жестком режиме, чем было изначально запланировано, причем ужес</w:t>
      </w:r>
      <w:r w:rsidRPr="00070ADE">
        <w:rPr>
          <w:rFonts w:ascii="Times New Roman" w:hAnsi="Times New Roman"/>
          <w:color w:val="000000" w:themeColor="text1"/>
          <w:sz w:val="16"/>
          <w:szCs w:val="16"/>
        </w:rPr>
        <w:softHyphen/>
        <w:t>точение режима вызывалось требованиями ЦАКБ. Всего в ходе испытаний было пройдено 864 км пробега и выполнено 1040 выстрелов. И, несмотря на то, что за поведением само</w:t>
      </w:r>
      <w:r w:rsidRPr="00070ADE">
        <w:rPr>
          <w:rFonts w:ascii="Times New Roman" w:hAnsi="Times New Roman"/>
          <w:color w:val="000000" w:themeColor="text1"/>
          <w:sz w:val="16"/>
          <w:szCs w:val="16"/>
        </w:rPr>
        <w:softHyphen/>
        <w:t>хода наблюдало большое число глаз, комиссия рекомендо</w:t>
      </w:r>
      <w:r w:rsidRPr="00070ADE">
        <w:rPr>
          <w:rFonts w:ascii="Times New Roman" w:hAnsi="Times New Roman"/>
          <w:color w:val="000000" w:themeColor="text1"/>
          <w:sz w:val="16"/>
          <w:szCs w:val="16"/>
        </w:rPr>
        <w:softHyphen/>
        <w:t>вала указанный самоход на вооружение Красной Армии с учетом ликвидации отмеченных недостатков:</w:t>
      </w:r>
    </w:p>
    <w:p w14:paraId="168553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Введением блокировки электроспуска для устранения самопроизвольных выстрелов при неподготовленном орудии или неожиданно для заряжающего (отмечались случаи травматизма заряжающих в ходе боев осени—зи</w:t>
      </w:r>
      <w:r w:rsidRPr="00070ADE">
        <w:rPr>
          <w:rFonts w:ascii="Times New Roman" w:hAnsi="Times New Roman"/>
          <w:color w:val="000000" w:themeColor="text1"/>
          <w:sz w:val="16"/>
          <w:szCs w:val="16"/>
        </w:rPr>
        <w:softHyphen/>
        <w:t>мы 1943 г.)</w:t>
      </w:r>
    </w:p>
    <w:p w14:paraId="13E8EA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Улучшением рабочего места командира.</w:t>
      </w:r>
    </w:p>
    <w:p w14:paraId="698735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Улучшением крепления орудия по-походному.</w:t>
      </w:r>
    </w:p>
    <w:p w14:paraId="0320C8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Улучшением вентиляции боевого отделения.</w:t>
      </w:r>
    </w:p>
    <w:p w14:paraId="1BBCFD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Улучшением крепления боеприпасов.</w:t>
      </w:r>
    </w:p>
    <w:p w14:paraId="3C49DF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Изъятием смазки газойлем коленвала двигателя и заме</w:t>
      </w:r>
      <w:r w:rsidRPr="00070ADE">
        <w:rPr>
          <w:rFonts w:ascii="Times New Roman" w:hAnsi="Times New Roman"/>
          <w:color w:val="000000" w:themeColor="text1"/>
          <w:sz w:val="16"/>
          <w:szCs w:val="16"/>
        </w:rPr>
        <w:softHyphen/>
        <w:t>ной ее смазкой авиамаслом.</w:t>
      </w:r>
    </w:p>
    <w:p w14:paraId="790574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Улучшением защелок люков и крышек (11417).</w:t>
      </w:r>
    </w:p>
    <w:p w14:paraId="615F00A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1A9AB9B" w14:textId="77777777" w:rsidR="00463869" w:rsidRPr="00C94B78" w:rsidRDefault="0046386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3 марта 1944 г. опытный образец Су-100</w:t>
      </w:r>
      <w:r>
        <w:rPr>
          <w:rFonts w:ascii="Times New Roman" w:hAnsi="Times New Roman"/>
          <w:color w:val="0070C0"/>
          <w:sz w:val="16"/>
          <w:szCs w:val="16"/>
        </w:rPr>
        <w:t xml:space="preserve"> </w:t>
      </w:r>
      <w:r w:rsidRPr="00C94B78">
        <w:rPr>
          <w:rFonts w:ascii="Times New Roman" w:hAnsi="Times New Roman"/>
          <w:color w:val="0070C0"/>
          <w:sz w:val="16"/>
          <w:szCs w:val="16"/>
        </w:rPr>
        <w:t>отправили на АНИОП в Гороховец для прохождения государ</w:t>
      </w:r>
      <w:r w:rsidRPr="00C94B78">
        <w:rPr>
          <w:rFonts w:ascii="Times New Roman" w:hAnsi="Times New Roman"/>
          <w:color w:val="0070C0"/>
          <w:sz w:val="16"/>
          <w:szCs w:val="16"/>
        </w:rPr>
        <w:softHyphen/>
        <w:t>ственных испытаний с 9 по 27 марта. За это время было произведено 1040 выст</w:t>
      </w:r>
      <w:r w:rsidRPr="00C94B78">
        <w:rPr>
          <w:rFonts w:ascii="Times New Roman" w:hAnsi="Times New Roman"/>
          <w:color w:val="0070C0"/>
          <w:sz w:val="16"/>
          <w:szCs w:val="16"/>
        </w:rPr>
        <w:softHyphen/>
        <w:t>релов и пройдено 864 км пути. В своем заключении комиссия отметила, что машина испытания выдержала и может быть принята на вооружение Красной Армии после внесения некоторых улуч</w:t>
      </w:r>
      <w:r w:rsidRPr="00C94B78">
        <w:rPr>
          <w:rFonts w:ascii="Times New Roman" w:hAnsi="Times New Roman"/>
          <w:color w:val="0070C0"/>
          <w:sz w:val="16"/>
          <w:szCs w:val="16"/>
        </w:rPr>
        <w:softHyphen/>
        <w:t>шений. 14 апреля по заводу было дано распоряжение о немедленной подготов</w:t>
      </w:r>
      <w:r w:rsidRPr="00C94B78">
        <w:rPr>
          <w:rFonts w:ascii="Times New Roman" w:hAnsi="Times New Roman"/>
          <w:color w:val="0070C0"/>
          <w:sz w:val="16"/>
          <w:szCs w:val="16"/>
        </w:rPr>
        <w:softHyphen/>
        <w:t>ке к серийному производству артсамохода СУ-100.</w:t>
      </w:r>
    </w:p>
    <w:p w14:paraId="352923CA" w14:textId="77777777" w:rsidR="00463869" w:rsidRPr="00C94B78" w:rsidRDefault="0046386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Однако ЦАКБ снова, используя автори</w:t>
      </w:r>
      <w:r w:rsidRPr="00C94B78">
        <w:rPr>
          <w:rFonts w:ascii="Times New Roman" w:hAnsi="Times New Roman"/>
          <w:color w:val="0070C0"/>
          <w:sz w:val="16"/>
          <w:szCs w:val="16"/>
        </w:rPr>
        <w:softHyphen/>
        <w:t>тет своих руководителей, потребовало формального выполнения постановления ГКО, то есть изготовления опытной САУ (25002).</w:t>
      </w:r>
    </w:p>
    <w:p w14:paraId="064EC4FE" w14:textId="77777777" w:rsidR="00463869" w:rsidRPr="00C94B78" w:rsidRDefault="00463869" w:rsidP="00B56F90">
      <w:pPr>
        <w:spacing w:after="0" w:line="240" w:lineRule="auto"/>
        <w:jc w:val="both"/>
        <w:rPr>
          <w:rFonts w:ascii="Times New Roman" w:hAnsi="Times New Roman"/>
          <w:color w:val="0070C0"/>
          <w:sz w:val="16"/>
          <w:szCs w:val="16"/>
        </w:rPr>
      </w:pPr>
    </w:p>
    <w:p w14:paraId="14A86C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марта 1944 г. была подготовлена ОБЪЯСНИТЕЛЬНАЯ ЗАПИСКА НАЧАЛЬНИКА 1 -го ОТДЕЛА УСА ГБТУ КА К СВЕДЕНИЯМ О ВЫПОЛНЕНИИ ЗАВОДАМИ ПРОМЫШЛЕННОСТИ ПЛАНА ПОСТАВОК САМОХОДНЫХ АРТУСТАНОВОК В 1943 ГОДУ № 555522</w:t>
      </w:r>
    </w:p>
    <w:p w14:paraId="1C57F5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мая месяца 1943 г. производство самоходных артустановок и заказы на них находились в ведении Главного артиллерийского управления Красной Армии. В мае месяце 1943 г. производство и заказы на самоходные артустановки были переданы в ведение ГБТУ КА.</w:t>
      </w:r>
    </w:p>
    <w:p w14:paraId="75627E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качестве краткого пояснения работы заводов к ходу выполнения плана заказов в 1943 г. сле</w:t>
      </w:r>
      <w:r w:rsidRPr="00070ADE">
        <w:rPr>
          <w:rFonts w:ascii="Times New Roman" w:hAnsi="Times New Roman"/>
          <w:color w:val="000000" w:themeColor="text1"/>
          <w:sz w:val="16"/>
          <w:szCs w:val="16"/>
        </w:rPr>
        <w:softHyphen/>
        <w:t>дует отнести:</w:t>
      </w:r>
    </w:p>
    <w:p w14:paraId="5E9034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 Самоходные артиллерийские установки всех типов являются новым видом вооружения, освое</w:t>
      </w:r>
      <w:r w:rsidRPr="00070ADE">
        <w:rPr>
          <w:rFonts w:ascii="Times New Roman" w:hAnsi="Times New Roman"/>
          <w:color w:val="000000" w:themeColor="text1"/>
          <w:sz w:val="16"/>
          <w:szCs w:val="16"/>
        </w:rPr>
        <w:softHyphen/>
        <w:t>ние производства которых было начато промышленностью с декабря 1942 года и с начала 1943 года.</w:t>
      </w:r>
    </w:p>
    <w:p w14:paraId="5D3197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Имевшееся невыполнение плана поставок в 1943 году в основном падает на первые месяцы года и объясняется, главным образом, неудовлетворительной подготовкой производства к выпуску этой продукции.</w:t>
      </w:r>
    </w:p>
    <w:p w14:paraId="5292B2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Основной причиной невыполнений месячных планов заводами являлась, главным образом, плохая кооперация.</w:t>
      </w:r>
    </w:p>
    <w:p w14:paraId="60CAA5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невыполнения межзаводских заказов был срыв программы в мае месяце на Кировском заводе из-за неполучения необходимого количества бронекорпусов. Из-за несвоевре</w:t>
      </w:r>
      <w:r w:rsidRPr="00070ADE">
        <w:rPr>
          <w:rFonts w:ascii="Times New Roman" w:hAnsi="Times New Roman"/>
          <w:color w:val="000000" w:themeColor="text1"/>
          <w:sz w:val="16"/>
          <w:szCs w:val="16"/>
        </w:rPr>
        <w:softHyphen/>
        <w:t>менного получения заводом №40 НКСМ металла и моторов не выполнены были планы поставок в ноябре и декабре 1943 года.</w:t>
      </w:r>
    </w:p>
    <w:p w14:paraId="594911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Следует отметить неравномерную работу завода №38 НКТП в 1-й половине 1943 года.</w:t>
      </w:r>
    </w:p>
    <w:p w14:paraId="632217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Основной причиной этого являлось плохое качество выпускаемой продукции. Начиная со вто</w:t>
      </w:r>
      <w:r w:rsidRPr="00070ADE">
        <w:rPr>
          <w:rFonts w:ascii="Times New Roman" w:hAnsi="Times New Roman"/>
          <w:color w:val="000000" w:themeColor="text1"/>
          <w:sz w:val="16"/>
          <w:szCs w:val="16"/>
        </w:rPr>
        <w:softHyphen/>
        <w:t>рого полугодия завод перешел на изготовление нового, улучшенного образца СУ, что дало возмож</w:t>
      </w:r>
      <w:r w:rsidRPr="00070ADE">
        <w:rPr>
          <w:rFonts w:ascii="Times New Roman" w:hAnsi="Times New Roman"/>
          <w:color w:val="000000" w:themeColor="text1"/>
          <w:sz w:val="16"/>
          <w:szCs w:val="16"/>
        </w:rPr>
        <w:softHyphen/>
        <w:t>ность заводу работать по графику и выполнять план заказов.</w:t>
      </w:r>
    </w:p>
    <w:p w14:paraId="2DDEB4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Неудовлетворительная работа завода №37 НКТП в первом полугодии объясняется периодом освоения производства СУ-76И и недостаточным обеспечением ремфондами, так как производство было основано на использовании трофейных немецких танков. В декабре месяце производство СУ-76И было прекращено.</w:t>
      </w:r>
    </w:p>
    <w:p w14:paraId="53B490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1 отдела УСА ГБТУ КА инженер-подполковник Демьяненко</w:t>
      </w:r>
    </w:p>
    <w:p w14:paraId="511E150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11369. Д. 404. Л. 13. Копия (11403).</w:t>
      </w:r>
    </w:p>
    <w:p w14:paraId="0A18CC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464CF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марта 1944 года начались работы по перевооружению БА-64Б новым 7,62-мм пулеметом системы Горюнова, значительно более мощного и надежного, чем пулемет Дегтярева (СГ-34 при массе без станка всего 13,8 кг имел прицельную дальность стрельбы 2000 метров). Первый вариант (и единственный) сделали как и у БА-64Д, без изменений башни, простой заменой пулеметов. Пулемет СГ-43 был длиннее ДТ, тем не менее поместился в штатной башне. Такое расположение существенно сократило горизонтальный сектор обстрела без поворота башни (3862).</w:t>
      </w:r>
    </w:p>
    <w:p w14:paraId="5A68C3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2976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марта 1944 г. было подготовлено ЗАКЛЮЧЕНИЕ ПО ГОДОВОМУ ОТЧЕТУ НИБТ ПОЛИГОНА ГБТУ КА ЗА 1943 г.</w:t>
      </w:r>
    </w:p>
    <w:p w14:paraId="51B34A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Выполнение тематических работ НИБТ полигоном в 1943 году было связано с передислокацией его из г. Казань в Кубинку.</w:t>
      </w:r>
    </w:p>
    <w:p w14:paraId="6640562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такие условия, когда большинство оборудования мастерских и лабораторий было разбросано, полигон провел большую полезную работу для БТ и МВ Красной Армии.</w:t>
      </w:r>
    </w:p>
    <w:p w14:paraId="4D35BD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Научно-испытательные работы.</w:t>
      </w:r>
    </w:p>
    <w:p w14:paraId="21C244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Проведены ходовые испытания на гарантийный километраж серийных и опытных танков отечественного производства — 48 работ.</w:t>
      </w:r>
    </w:p>
    <w:p w14:paraId="34DABF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Испытания на гарантийный километраж танков союзников — 7 работ.</w:t>
      </w:r>
    </w:p>
    <w:p w14:paraId="46F4E3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Проведены специальные испытания танков, их оборудования, вооружения и броневой защи</w:t>
      </w:r>
      <w:r w:rsidRPr="00070ADE">
        <w:rPr>
          <w:rFonts w:ascii="Times New Roman" w:hAnsi="Times New Roman"/>
          <w:color w:val="000000" w:themeColor="text1"/>
          <w:sz w:val="16"/>
          <w:szCs w:val="16"/>
        </w:rPr>
        <w:softHyphen/>
        <w:t>ты — 38 работ.</w:t>
      </w:r>
    </w:p>
    <w:p w14:paraId="3BDB3C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Проведены ходовые испытания на гарантийный километраж серийных и опытных самоход</w:t>
      </w:r>
      <w:r w:rsidRPr="00070ADE">
        <w:rPr>
          <w:rFonts w:ascii="Times New Roman" w:hAnsi="Times New Roman"/>
          <w:color w:val="000000" w:themeColor="text1"/>
          <w:sz w:val="16"/>
          <w:szCs w:val="16"/>
        </w:rPr>
        <w:softHyphen/>
        <w:t>ных артустановок — 13 работ.</w:t>
      </w:r>
    </w:p>
    <w:p w14:paraId="64ABC6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Проведены испытания специальных машин, автомобилей и мотоциклов — 21 работа.</w:t>
      </w:r>
    </w:p>
    <w:p w14:paraId="2CE8F1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Испытания топлив, смазочных материалов и антифризов — 14 работ.</w:t>
      </w:r>
    </w:p>
    <w:p w14:paraId="7F7696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Проведены испытания различных приспособлений, повышающих боевые свойства танков или улучшающих их производство, эксплуатацию и боевое применение — 54 работы.</w:t>
      </w:r>
    </w:p>
    <w:p w14:paraId="0365DE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 Выполнены работы по научно-исследовательским темам — 38 работ.</w:t>
      </w:r>
    </w:p>
    <w:p w14:paraId="76265B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Составление альбомов, справочников, руководств, инструкций, памяток и каталогов для ЦУ НКО, академий, училищ и БТ и МВ КА — 97 работ.</w:t>
      </w:r>
    </w:p>
    <w:p w14:paraId="389AC8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за отчетный год выполнена 331 тематическая работа.</w:t>
      </w:r>
    </w:p>
    <w:p w14:paraId="25029C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полигоном проведена работа по подготовке инструкторского и водительского состава, а также по показам техники и специальным учениям.</w:t>
      </w:r>
    </w:p>
    <w:p w14:paraId="7033BC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за год прошли на полигоне переподготовку и ознакомление с новыми типами бронетанко</w:t>
      </w:r>
      <w:r w:rsidRPr="00070ADE">
        <w:rPr>
          <w:rFonts w:ascii="Times New Roman" w:hAnsi="Times New Roman"/>
          <w:color w:val="000000" w:themeColor="text1"/>
          <w:sz w:val="16"/>
          <w:szCs w:val="16"/>
        </w:rPr>
        <w:softHyphen/>
        <w:t>вой техники — 11236 человек.</w:t>
      </w:r>
    </w:p>
    <w:p w14:paraId="0BD9E5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отчетный год научно-испытательными мастерскими было произведено 455 ремонтов авто</w:t>
      </w:r>
      <w:r w:rsidRPr="00070ADE">
        <w:rPr>
          <w:rFonts w:ascii="Times New Roman" w:hAnsi="Times New Roman"/>
          <w:color w:val="000000" w:themeColor="text1"/>
          <w:sz w:val="16"/>
          <w:szCs w:val="16"/>
        </w:rPr>
        <w:softHyphen/>
        <w:t>бронетанковой техники.</w:t>
      </w:r>
    </w:p>
    <w:p w14:paraId="4154C90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6CB0AE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Проведенная работа полигона в 1943 году дала возможность частично улучшить качество выпускаемых отечественных танков.</w:t>
      </w:r>
    </w:p>
    <w:p w14:paraId="511C29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Необходимо улучшить качество работы по проведению испытаний и составлению отчетов, чтобы не допускать повторных испытаний.</w:t>
      </w:r>
    </w:p>
    <w:p w14:paraId="40779A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ТУ ГБТУ Красной Армии инженер-подполковник Муравич</w:t>
      </w:r>
    </w:p>
    <w:p w14:paraId="475BEF2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начальника 6 отдела ТУ ГБТУ Красной Армии подполковник Дорофеев</w:t>
      </w:r>
    </w:p>
    <w:p w14:paraId="2CF1AB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11613. Д. 102. Л. 2. Подлинник (11403).</w:t>
      </w:r>
    </w:p>
    <w:p w14:paraId="4E5B26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D4BE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марта 1944 вышло Постановление ГКО № 5281 О срочных мерах по завозу для весеннего сева горючего и масел в Ростовскую область, Краснодарский, Ставропольский края и Украинскую ССР, а так же лигроина в области Поволжья. РГАНИР, Фонд ГКО, д. 215, лл. 30-33 (11012).</w:t>
      </w:r>
    </w:p>
    <w:p w14:paraId="119579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E50A7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марта 1944 г. вышел приказ наркома нефтяной промышленности И.К.Седина № 174 «Об организации завода Геофизика». Наркомнефти передавались незавершенное производство и часть специалистов бывшего ленинградского завода «Геологоразведка» «для организации производства геофизических приборов и оборудования в количествах, обеспечивающих потребность в них всех отраслей народного хозяйства» (11622).</w:t>
      </w:r>
    </w:p>
    <w:p w14:paraId="674928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B665D2" w14:textId="77777777" w:rsidR="006E750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7C6D296A" w14:textId="77777777" w:rsidR="006E7509" w:rsidRPr="00070ADE" w:rsidRDefault="006E7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DAB8BB"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 марта</w:t>
      </w:r>
      <w:r w:rsidRPr="00070ADE">
        <w:rPr>
          <w:rFonts w:ascii="Times New Roman" w:hAnsi="Times New Roman"/>
          <w:color w:val="000000" w:themeColor="text1"/>
          <w:sz w:val="16"/>
          <w:szCs w:val="16"/>
        </w:rPr>
        <w:t xml:space="preserve"> в 1944 году оперативная сводка Совинформбюро:</w:t>
      </w:r>
    </w:p>
    <w:p w14:paraId="1BED7CBB"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3 марта на Нарвском направлении наши войска продолжали вести бои по расширению плацдарма юго-западнее города Нарва и улучшили свои позиции.</w:t>
      </w:r>
    </w:p>
    <w:p w14:paraId="00D6DE84"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Псковском направлении наши войска, преодолевая сопротивление противника, продолжали вести наступательные бои, в ходе которых овладели населёнными пунктами Марково, Большое и Малое Фомкино, Языкова, Сорокино, Старухино, Похвальщина, Раменье, Летнево, Баево, Сысоево и железнодорожными станциями Доброведки, Кебь.</w:t>
      </w:r>
    </w:p>
    <w:p w14:paraId="4E232A7F"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Островском направлении наши войска в результате наступательных боёв овладели населёнными пунктами Загарье, Красные Пруды, Стрелково, Подберезье, Овечкино, Селивановка и железнодорожными станциями Красные Пруды, Железовский.</w:t>
      </w:r>
    </w:p>
    <w:p w14:paraId="36221AFD"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55721A79"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 марта наши войска на всех фронтах подбили и уничтожили 35 немецких танков. В воздушных боях и огнём зенитной артиллерии сбито 45 самолётов противника.</w:t>
      </w:r>
    </w:p>
    <w:p w14:paraId="156E8780"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 Нарвском направлении бойцы Н-ского соединения выбили немцев из сильно укреплённых позиций в лесистой местности. За два дня боёв на этом участке уничтожено до 2 тысяч солдат и офицеров противника. Захвачено у немцев 14 орудий и миномётов, 80 пулемётов, 100 тысяч патронов и 3 склада с военным имуществом. В другом районе наши стрелки и автоматчики обошли противника и ударами с тыла и флангов заняли опорный пункт немецкой обороны. На поле боя осталось свыше 300 трупов гитлеровцев. Захвачено 3 орудия, 28 пулемётов, много винтовок и автоматов. Взяты пленные.</w:t>
      </w:r>
    </w:p>
    <w:p w14:paraId="4C50F06C"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Псковском направлении наши войска продолжали вести наступательные бои. Противник превратил все населённые пункты, расположенные на подступах к Пскову, в мощные узлы обороны и оказывает сильное огневое сопротивление. Части Н-ского соединения стремительными ударами выбили немцев из нескольких опорных пунктов. В боях за эти пункты уничтожено свыше 800 немецких солдат и офицеров, 9 танков, 16 орудий и 7 миномётных батарей. Красноармеец казах Ислам Айтмухамбетов огнём из пулемёта поддерживал наступающих стрелков. Когда противник перешёл в контратаку, Айтмухамбетов подпустил вражеские цепи на близкое расстояние, а затем несколькими очередями истребил несколько десятков гитлеровцев. В одном населённом пункте наши бойцы освободили свыше 4.000 советских граждан, которых немцы угоняли на каторгу в Германию.</w:t>
      </w:r>
    </w:p>
    <w:p w14:paraId="58243E8B"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Островском направлении наши войска, действуя в трудных условиях лесисто-болотистой местности, с боями заняли несколько населённых пунктов. Водном из этих пунктов окружены и уничтожены три роты немецкой пехоты. Захвачены 4 орудия, 38 пулемётов и склад боеприпасов. Бойцы другого нашего соединения ночью атаковали противника и захватили позиции, имеющие важное значение. Удар был проведён настолько внезапно, что немцы отступили, бросив всё своё оружие. Отходя, противник оставил более 200 трупов своих солдат и офицеров.</w:t>
      </w:r>
    </w:p>
    <w:p w14:paraId="01803623"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белорусских партизанских отрядов, действующих в Барановичской области, в течение месяца пустили под откос 40 немецких воинских эшелонов. Разбиты и повреждены несколько десятков паровозов и 260 вагонов и платформ. Кроме того, советские патриоты взорвали 11 мостов, разрушили 92 километра телеграфно-телефонной линии связи и подожгли 4 крупных склада противника.</w:t>
      </w:r>
    </w:p>
    <w:p w14:paraId="2EA995D0"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Правящая клика Венгрии всячески старалась скрыть участие венгерских войск в боях на советско-германском фронте на стороне немцев. В Будапеште сочиняли многочисленные опровержения, рассчитанные на то, чтобы обмануть мировое общественное мнение. Однако захваченные советскими войсками в плен венгерские пехотинцы, танкисты и лётчики разоблачили наглую ложь будапештских пособников Гитлера. С полной достоверностью и неопровержимо было установлено, что </w:t>
      </w:r>
      <w:r w:rsidRPr="00070ADE">
        <w:rPr>
          <w:rFonts w:ascii="Times New Roman" w:hAnsi="Times New Roman"/>
          <w:color w:val="000000" w:themeColor="text1"/>
          <w:sz w:val="16"/>
          <w:szCs w:val="16"/>
        </w:rPr>
        <w:lastRenderedPageBreak/>
        <w:t>венгерские войска принимают участие в боях на передовых позициях советско-германского фронта. Пойманные с поличным венгерские правители вынуждены были признать, что на советской территории, временно захваченной немцами, действительно находятся венгерские войска. Но, — утверждают венгерские гитлеровцы, — эти войска не воюют, а несут «охранную службу».</w:t>
      </w:r>
    </w:p>
    <w:p w14:paraId="3AE50FC6"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Венгерские дивизии участвуют в активных военных действиях против СССР на стороне немцев на передовой линии фронта, а часть из них несёт «охранную службу» во временно оккупированных немцами советских районах.</w:t>
      </w:r>
    </w:p>
    <w:p w14:paraId="009B01A7"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 же делают венгерские «охранные» части, от кого они охраняют немецкие коммуникации и военные объекты? Венгерские наймиты, как сторожевые псы, охраняют немецкий тыл от советских патриотов, которые ведут самоотверженную героическуюборьбу против немецких захватчиков за свободу и независимость своей родины. Советские люди многое могут рассказать, что означает венгерская «охранная служба». На деле эти «охранные» части по указке гитлеровцев грабят хлеб и другие продукты у населения, обрекая его на голод. Венгерские каратели расправляются с мирным и беззащитным населением, убивают женщин и детей, сравнивают с землей советские сёла. Вот этот разбой, эта война против мирного населения и называется у венгров «охранной службой». Выполняя эту позорную роль, венгерские гитлеровцы хотят напялить на себя маску ягнёнка, но из-под этой маски торчит отвратительная морда фашистского бандита и разбойника.</w:t>
      </w:r>
    </w:p>
    <w:p w14:paraId="559B0FE0"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Продажные правящие круги Венгрии играют с огнём. Что ж, пусть пеняют на себя. Когда наступит час расплаты, они получат то, что заслужили.» (15057).</w:t>
      </w:r>
    </w:p>
    <w:p w14:paraId="38BCE4A9" w14:textId="77777777" w:rsidR="006E7509" w:rsidRPr="00070ADE" w:rsidRDefault="006E7509" w:rsidP="00B56F90">
      <w:pPr>
        <w:spacing w:after="0" w:line="240" w:lineRule="auto"/>
        <w:jc w:val="both"/>
        <w:rPr>
          <w:rFonts w:ascii="Times New Roman" w:hAnsi="Times New Roman"/>
          <w:color w:val="000000" w:themeColor="text1"/>
          <w:sz w:val="16"/>
          <w:szCs w:val="16"/>
        </w:rPr>
      </w:pPr>
    </w:p>
    <w:p w14:paraId="644F147B" w14:textId="77777777" w:rsidR="00463869" w:rsidRPr="00C94B78" w:rsidRDefault="0046386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3 марта 1944 года нарком ВМФ Н. Г. Кузнецов подписал приказ № 0062 о формировании отряда кораблей, принимаемых от союзников, и экипажей для них, а 9 марта корабли были зачислены в списки кораблей ВМФ СССР (25419).</w:t>
      </w:r>
    </w:p>
    <w:p w14:paraId="48D1A22D" w14:textId="77777777" w:rsidR="00463869" w:rsidRPr="00C94B78" w:rsidRDefault="00463869" w:rsidP="00B56F90">
      <w:pPr>
        <w:spacing w:after="0" w:line="240" w:lineRule="auto"/>
        <w:jc w:val="both"/>
        <w:rPr>
          <w:rFonts w:ascii="Times New Roman" w:hAnsi="Times New Roman"/>
          <w:color w:val="0070C0"/>
          <w:sz w:val="16"/>
          <w:szCs w:val="16"/>
        </w:rPr>
      </w:pPr>
    </w:p>
    <w:p w14:paraId="419CF5FF" w14:textId="77777777" w:rsidR="00595BFB" w:rsidRPr="004D5A57"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070ADE">
        <w:rPr>
          <w:rFonts w:ascii="Times New Roman" w:hAnsi="Times New Roman"/>
          <w:i/>
          <w:iCs/>
          <w:color w:val="000000" w:themeColor="text1"/>
          <w:sz w:val="16"/>
          <w:szCs w:val="16"/>
        </w:rPr>
        <w:t>Внешняя</w:t>
      </w:r>
      <w:r w:rsidRPr="004D5A57">
        <w:rPr>
          <w:rFonts w:ascii="Times New Roman" w:hAnsi="Times New Roman"/>
          <w:i/>
          <w:iCs/>
          <w:color w:val="000000" w:themeColor="text1"/>
          <w:sz w:val="16"/>
          <w:szCs w:val="16"/>
          <w:lang w:val="en-US"/>
        </w:rPr>
        <w:t xml:space="preserve"> </w:t>
      </w:r>
      <w:r w:rsidRPr="00070ADE">
        <w:rPr>
          <w:rFonts w:ascii="Times New Roman" w:hAnsi="Times New Roman"/>
          <w:i/>
          <w:iCs/>
          <w:color w:val="000000" w:themeColor="text1"/>
          <w:sz w:val="16"/>
          <w:szCs w:val="16"/>
        </w:rPr>
        <w:t>политика</w:t>
      </w:r>
      <w:r w:rsidRPr="004D5A57">
        <w:rPr>
          <w:rFonts w:ascii="Times New Roman" w:hAnsi="Times New Roman"/>
          <w:i/>
          <w:iCs/>
          <w:color w:val="000000" w:themeColor="text1"/>
          <w:sz w:val="16"/>
          <w:szCs w:val="16"/>
          <w:lang w:val="en-US"/>
        </w:rPr>
        <w:t>:</w:t>
      </w:r>
    </w:p>
    <w:p w14:paraId="3D95FFDE" w14:textId="77777777" w:rsidR="00595BFB" w:rsidRPr="004D5A57"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3E85C5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March 03 Fri. 1944 President announces that the Italian Fleet will be distributed among the United States, Great Britain, and Russia (1064).</w:t>
      </w:r>
    </w:p>
    <w:p w14:paraId="2CF223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04343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марта 1944 Ф.Д.Р. объявил, что корабли итальянского флота будут поделены между тремя союзниками (1064).</w:t>
      </w:r>
    </w:p>
    <w:p w14:paraId="0F7AF5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2C4FE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марта 1944 американский президент Ф. Рузвельт заявил, что итальянский флот будет поделен поровну между США, Англией и СССР (4962).</w:t>
      </w:r>
    </w:p>
    <w:p w14:paraId="6E0378D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4085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марта 1944 в Москве был подписан англо-советский протокол, предусматривающий проведение операции Bodygard для дезориентации Германии относительно места открытия 2 фронта. Решили возобновить воздушные удары по Болгарии, прекращенные 24 января по инициативе Ф.Д.Р., который был против террористических бомбардировок Болгарии. С 16 мартабомбардировкиБолгариивозобновились (2885,48).</w:t>
      </w:r>
    </w:p>
    <w:p w14:paraId="44537F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4E4D2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20F399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CA7809" w14:textId="77777777" w:rsidR="00FF2344" w:rsidRPr="00070ADE" w:rsidRDefault="00FF234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марта 1944 P-38 Lightning 55 - й истребительной группы армии военно - воздушных сил США стали первыми союзные истребители для сопровождения бомбардировщикам в течение всего пути до Берлина (20373).</w:t>
      </w:r>
    </w:p>
    <w:p w14:paraId="306BE27D" w14:textId="77777777" w:rsidR="00FF2344" w:rsidRPr="00070ADE" w:rsidRDefault="00FF2344" w:rsidP="00B56F90">
      <w:pPr>
        <w:spacing w:after="0" w:line="240" w:lineRule="auto"/>
        <w:jc w:val="both"/>
        <w:rPr>
          <w:rFonts w:ascii="Times New Roman" w:hAnsi="Times New Roman"/>
          <w:color w:val="000000" w:themeColor="text1"/>
          <w:sz w:val="16"/>
          <w:szCs w:val="16"/>
        </w:rPr>
      </w:pPr>
    </w:p>
    <w:p w14:paraId="3C5D61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March 3, 1944 - Drop tests of dummy atomic bombs begin from specially modified B-29s (1039).</w:t>
      </w:r>
    </w:p>
    <w:p w14:paraId="656D23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6E848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марта 1944 начались испытания по сбросу макета атомной бомбы с В-29 (1039).</w:t>
      </w:r>
    </w:p>
    <w:p w14:paraId="38380E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A269C6" w14:textId="77777777" w:rsidR="006E750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6C0C78B" w14:textId="77777777" w:rsidR="006E7509" w:rsidRPr="00070ADE" w:rsidRDefault="006E7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B3E793"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Style w:val="ucoz-forum-post"/>
          <w:rFonts w:ascii="Times New Roman" w:hAnsi="Times New Roman"/>
          <w:color w:val="000000" w:themeColor="text1"/>
          <w:sz w:val="16"/>
          <w:szCs w:val="16"/>
        </w:rPr>
        <w:t xml:space="preserve">4 марта </w:t>
      </w:r>
      <w:r w:rsidRPr="00070ADE">
        <w:rPr>
          <w:rFonts w:ascii="Times New Roman" w:hAnsi="Times New Roman"/>
          <w:color w:val="000000" w:themeColor="text1"/>
          <w:sz w:val="16"/>
          <w:szCs w:val="16"/>
        </w:rPr>
        <w:t>в 1944 году катастрофа самолёта «Як-9Т». Лётчик погиб (15058).</w:t>
      </w:r>
    </w:p>
    <w:p w14:paraId="4CC7E890" w14:textId="77777777" w:rsidR="006E7509" w:rsidRPr="00070ADE" w:rsidRDefault="006E7509" w:rsidP="00B56F90">
      <w:pPr>
        <w:spacing w:after="0" w:line="240" w:lineRule="auto"/>
        <w:jc w:val="both"/>
        <w:rPr>
          <w:rFonts w:ascii="Times New Roman" w:hAnsi="Times New Roman"/>
          <w:color w:val="000000" w:themeColor="text1"/>
          <w:sz w:val="16"/>
          <w:szCs w:val="16"/>
        </w:rPr>
      </w:pPr>
    </w:p>
    <w:p w14:paraId="2C31C763" w14:textId="77777777" w:rsidR="00750752" w:rsidRPr="00070ADE" w:rsidRDefault="00750752"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4 марта 1943 Федрови направил наркому А.И. Шахурину письмо, в котором сообщал: «В феврале с.г. мною доводился и испытывался в воздухе самолёт Як-9 с опытным мотором М-107А. 23 февраля 1943 г. мною были получены... скорость у земли 590 км/ч и на высоте 5800 м - 680 км/ч.</w:t>
      </w:r>
    </w:p>
    <w:p w14:paraId="0CBAEA19" w14:textId="77777777" w:rsidR="00750752" w:rsidRPr="00070ADE" w:rsidRDefault="00750752"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Температуры воды и масла обеспечивали работу мотора и доведены до условий нор</w:t>
      </w:r>
      <w:r w:rsidRPr="00070ADE">
        <w:rPr>
          <w:rFonts w:ascii="Times New Roman" w:cs="Times New Roman"/>
          <w:color w:val="000000" w:themeColor="text1"/>
          <w:spacing w:val="0"/>
        </w:rPr>
        <w:softHyphen/>
        <w:t>мальной эксплуатации самолёта.</w:t>
      </w:r>
    </w:p>
    <w:p w14:paraId="79B37F58" w14:textId="77777777" w:rsidR="00750752" w:rsidRPr="00070ADE" w:rsidRDefault="00750752"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Техника пилотирования... Як-9 с установ</w:t>
      </w:r>
      <w:r w:rsidRPr="00070ADE">
        <w:rPr>
          <w:rFonts w:ascii="Times New Roman" w:cs="Times New Roman"/>
          <w:color w:val="000000" w:themeColor="text1"/>
          <w:spacing w:val="0"/>
        </w:rPr>
        <w:softHyphen/>
        <w:t>кой мотора М-107А не усложнилась, манёв</w:t>
      </w:r>
      <w:r w:rsidRPr="00070ADE">
        <w:rPr>
          <w:rFonts w:ascii="Times New Roman" w:cs="Times New Roman"/>
          <w:color w:val="000000" w:themeColor="text1"/>
          <w:spacing w:val="0"/>
        </w:rPr>
        <w:softHyphen/>
        <w:t>ренность, особенно вертикальная, значи</w:t>
      </w:r>
      <w:r w:rsidRPr="00070ADE">
        <w:rPr>
          <w:rFonts w:ascii="Times New Roman" w:cs="Times New Roman"/>
          <w:color w:val="000000" w:themeColor="text1"/>
          <w:spacing w:val="0"/>
        </w:rPr>
        <w:softHyphen/>
        <w:t>тельно улучшилась, а взлётно-посадочные свойства остались примерно теми же, что и у серийных «Яков».</w:t>
      </w:r>
    </w:p>
    <w:p w14:paraId="762950FF"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Лётно-технические свойства... Як-9 М-107А значительно выше, чем у немецких истребителей ФВ-190 и </w:t>
      </w:r>
      <w:r w:rsidRPr="00070ADE">
        <w:rPr>
          <w:rFonts w:ascii="Times New Roman" w:hAnsi="Times New Roman"/>
          <w:color w:val="000000" w:themeColor="text1"/>
          <w:sz w:val="16"/>
          <w:szCs w:val="16"/>
          <w:lang w:val="en-US"/>
        </w:rPr>
        <w:t>Me</w:t>
      </w:r>
      <w:r w:rsidRPr="00070ADE">
        <w:rPr>
          <w:rFonts w:ascii="Times New Roman" w:hAnsi="Times New Roman"/>
          <w:color w:val="000000" w:themeColor="text1"/>
          <w:sz w:val="16"/>
          <w:szCs w:val="16"/>
        </w:rPr>
        <w:t>-109</w:t>
      </w:r>
      <w:r w:rsidRPr="00070ADE">
        <w:rPr>
          <w:rFonts w:ascii="Times New Roman" w:hAnsi="Times New Roman"/>
          <w:color w:val="000000" w:themeColor="text1"/>
          <w:sz w:val="16"/>
          <w:szCs w:val="16"/>
          <w:lang w:val="en-US"/>
        </w:rPr>
        <w:t>G</w:t>
      </w:r>
      <w:r w:rsidRPr="00070ADE">
        <w:rPr>
          <w:rFonts w:ascii="Times New Roman" w:hAnsi="Times New Roman"/>
          <w:color w:val="000000" w:themeColor="text1"/>
          <w:sz w:val="16"/>
          <w:szCs w:val="16"/>
        </w:rPr>
        <w:t>-2 (19103).</w:t>
      </w:r>
    </w:p>
    <w:p w14:paraId="2A15348F" w14:textId="77777777" w:rsidR="00750752" w:rsidRPr="00070ADE" w:rsidRDefault="00750752" w:rsidP="00B56F90">
      <w:pPr>
        <w:spacing w:after="0" w:line="240" w:lineRule="auto"/>
        <w:jc w:val="both"/>
        <w:rPr>
          <w:rFonts w:ascii="Times New Roman" w:hAnsi="Times New Roman"/>
          <w:color w:val="000000" w:themeColor="text1"/>
          <w:sz w:val="16"/>
          <w:szCs w:val="16"/>
        </w:rPr>
      </w:pPr>
    </w:p>
    <w:p w14:paraId="0A8E176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824D9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AE8E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марта 1944 г. вышло РАСПОРЯЖЕНИЕ НАЧАЛЬНИКА ГБТУ КА ОБ УСТРАНЕНИИ НАРУШЕНИЙ В ПРАВИЛАХ ЭКСПЛУАТАЦИИ ТАНКОВ ИНОМАРОК №550</w:t>
      </w:r>
    </w:p>
    <w:p w14:paraId="2B92AF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требование Приказа командующего БТ и МВ КА №131 1943 года и ряда директив</w:t>
      </w:r>
      <w:r w:rsidRPr="00070ADE">
        <w:rPr>
          <w:rFonts w:ascii="Times New Roman" w:hAnsi="Times New Roman"/>
          <w:color w:val="000000" w:themeColor="text1"/>
          <w:sz w:val="16"/>
          <w:szCs w:val="16"/>
        </w:rPr>
        <w:softHyphen/>
        <w:t>ных указаний ГБТУ КА о правилах эксплуатации танков иномарок, до сих пор наблюдаются грубые нарушения этих правил.</w:t>
      </w:r>
    </w:p>
    <w:p w14:paraId="355F80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формировании танковых и механизированных частей и соединений установлены следую</w:t>
      </w:r>
      <w:r w:rsidRPr="00070ADE">
        <w:rPr>
          <w:rFonts w:ascii="Times New Roman" w:hAnsi="Times New Roman"/>
          <w:color w:val="000000" w:themeColor="text1"/>
          <w:sz w:val="16"/>
          <w:szCs w:val="16"/>
        </w:rPr>
        <w:softHyphen/>
        <w:t>щие недостатки:</w:t>
      </w:r>
    </w:p>
    <w:p w14:paraId="2BC7C0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Помощники командиров полков и бригад по технической части во время разгрузки танков не присутствуют и разгрузкой не руководят.</w:t>
      </w:r>
    </w:p>
    <w:p w14:paraId="292F44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Во время разгрузки эшелонов с танками допускается запуск и работа двигателей в течение 12-20 минут при отсутствии воды в системах охлаждения, что приводит к заклинению поршней двигателей.</w:t>
      </w:r>
    </w:p>
    <w:p w14:paraId="15755F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Имеет место выход из строя двигателей, вследствие образования трещин на стенках водяных рубашек. Размораживание двигателей происходит из-за неполного спуска воды из системы охлаж</w:t>
      </w:r>
      <w:r w:rsidRPr="00070ADE">
        <w:rPr>
          <w:rFonts w:ascii="Times New Roman" w:hAnsi="Times New Roman"/>
          <w:color w:val="000000" w:themeColor="text1"/>
          <w:sz w:val="16"/>
          <w:szCs w:val="16"/>
        </w:rPr>
        <w:softHyphen/>
        <w:t>дения двигателей после погрузки танков на ж.д. платформы. При проверке знаний экипажей танков выявлено, что не все водители знают правила спуска воды из систем охлаждения двигателей танков.</w:t>
      </w:r>
    </w:p>
    <w:p w14:paraId="52EC95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 частях допускается замена экипажей, прибывающих с танками, экипажами совершенно не знающими матчасть данных марок танков.</w:t>
      </w:r>
    </w:p>
    <w:p w14:paraId="592E64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устранения вышеуказанных недостатков ПРЕДЛАГАЮ:</w:t>
      </w:r>
    </w:p>
    <w:p w14:paraId="63E56D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Для разгрузки танков, прибывающих во фронты, танковые военные лагеря и учебные части, выделять ответственных за разгрузку лиц из числа офицеров технической службы, хорошо знаю</w:t>
      </w:r>
      <w:r w:rsidRPr="00070ADE">
        <w:rPr>
          <w:rFonts w:ascii="Times New Roman" w:hAnsi="Times New Roman"/>
          <w:color w:val="000000" w:themeColor="text1"/>
          <w:sz w:val="16"/>
          <w:szCs w:val="16"/>
        </w:rPr>
        <w:softHyphen/>
        <w:t>щих матчасть танков.</w:t>
      </w:r>
    </w:p>
    <w:p w14:paraId="73941F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Потребовать от помощников командиров по технической части и экипажей танков точного выполнения «Инструкции командующего БТ и МВ КА от 13 марта 1943 г. о предупреждении выхода из строя танков».</w:t>
      </w:r>
    </w:p>
    <w:p w14:paraId="147FAA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Запретить замену экипажей, прибывающих с танками, экипажами, не знающими матчасти данных марок танков и самоходных установок, и не допускать к эксплуатации боевых машин меха</w:t>
      </w:r>
      <w:r w:rsidRPr="00070ADE">
        <w:rPr>
          <w:rFonts w:ascii="Times New Roman" w:hAnsi="Times New Roman"/>
          <w:color w:val="000000" w:themeColor="text1"/>
          <w:sz w:val="16"/>
          <w:szCs w:val="16"/>
        </w:rPr>
        <w:softHyphen/>
        <w:t>ников-водителей, не знающих матчасть и правила эксплуатации.</w:t>
      </w:r>
    </w:p>
    <w:p w14:paraId="00B139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ГБТУ КА генерал-лейтенант танковых войск Вершинин</w:t>
      </w:r>
    </w:p>
    <w:p w14:paraId="29EB34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11362. Д. 101. Л. 12. Подлинник (11403).</w:t>
      </w:r>
    </w:p>
    <w:p w14:paraId="3F3FC7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C8E57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марта 1944 вышло Распоряжение ГКО № 5282 [О выделении 1 тыс. военнообязанных, не годных к строевой службе, для Улан-Удэнского завода НКПС.] (7195, 34).</w:t>
      </w:r>
    </w:p>
    <w:p w14:paraId="1218262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7B8B4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759B84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419989"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Style w:val="ucoz-forum-post"/>
          <w:rFonts w:ascii="Times New Roman" w:hAnsi="Times New Roman"/>
          <w:color w:val="000000" w:themeColor="text1"/>
          <w:sz w:val="16"/>
          <w:szCs w:val="16"/>
        </w:rPr>
        <w:t xml:space="preserve">4 марта </w:t>
      </w:r>
      <w:r w:rsidRPr="00070ADE">
        <w:rPr>
          <w:rFonts w:ascii="Times New Roman" w:hAnsi="Times New Roman"/>
          <w:color w:val="000000" w:themeColor="text1"/>
          <w:sz w:val="16"/>
          <w:szCs w:val="16"/>
        </w:rPr>
        <w:t>в 1944 году оперативная сводка Совинформбюро:</w:t>
      </w:r>
    </w:p>
    <w:p w14:paraId="71AC157A"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4 марта на Нарвском направлении наши войска продолжали вести бои по расширению плацдарма юго-западнее города Нарва и выбили противника из нескольких сильно укреплённых опорных пунктов его обороны.</w:t>
      </w:r>
    </w:p>
    <w:p w14:paraId="71C0DB0F"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Островском направлении наши войска продолжали вести наступательные бои, в ходе которых овладели населёнными пунктами Панево, Гусаково, Немоево, Шубинагора, Емельяхина, Сигорино.</w:t>
      </w:r>
    </w:p>
    <w:p w14:paraId="0EA0C477"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Кривой Рог наши войска, форсировав реку Ингулец, овладели населёнными пунктами Зелёная, Рудник, Николаевка, Розовка, Заградовка и железнодорожными станциями Ингулец, Николо-Козельск.</w:t>
      </w:r>
    </w:p>
    <w:p w14:paraId="489DC001"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66DBB7BC"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течение 3 марта наши войска на всех фронтах подбили и уничтожили 25 немецких танков. В воздушных боях и огнём зенитной артиллерии сбито 39 самолётов противника.</w:t>
      </w:r>
    </w:p>
    <w:p w14:paraId="16248B2E"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Нарвском направлении наши войска вели бои за расширение плацдарма на западном берегу реки Нарва. Бойцы Н-ского соединения нанесли немцам внезапный удар и заняли несколько сильно укреплённых опорных пунктов. На поле боя осталось свыше 400 трупов гитлеровцев. На другом участке наши подразделения уничтожили 18 вражеских дзотов вместе с их гарнизонами. Захвачено у немцев 5 орудий, 27 пулемётов и много боеприпасов. Наши артиллеристы, поддерживая действия пехотинцев, за день уничтожили две батареи тяжёлых орудий и несколько шестиствольных миномётов противника.</w:t>
      </w:r>
    </w:p>
    <w:p w14:paraId="12FC1C0F"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Островском направлении части Н-ского соединения смелым обходным манёвром выбили противника из ряда сильно укреплённых населённых пунктов. В боях за эти опорные пункты уничтожено до 800 гитлеровцев. В одном селе захвачено 9 орудий, много стрелкового вооружения, гранат, снарядов, мин и ружейных патронов. На другом участке разведчики т.т. Халиев, Маркин, Фролов, Воронцов, Смирнов и Глушенков проникли в расположение противника и по телефонному проводу установили местонахождение штаба немецкой части. Ворвавшись в штабной блиндаж, наши бойцы гранатами и огнём из автоматов уничтожили группу немецких солдат и офицеров.</w:t>
      </w:r>
    </w:p>
    <w:p w14:paraId="6CCD35B3"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Кривой Рог части Н-ского соединения, сломив упорное сопротивление противника, переправились через реку Ингулец и с боями заняли несколько населённых пунктов. Немцы, стремясь восстановить положение, предприняли ряд ожесточённых контратак. Наши войска не только отбили контратаки гитлеровцев, но и вновь продвинулись вперёд. К исходу дня наши бойцы овладели железнодорожными станциями Ингулец и Николо-Козельск. В этих боях уничтожено до 2.000 вражеских солдат и офицеров. Захвачено 33 орудия, 127 пулемётов, несколько складов с военным имуществом и продовольствием. Взято в плен значительноеколичество немцев.</w:t>
      </w:r>
    </w:p>
    <w:p w14:paraId="17921475"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эстонских партизанских отряда внезапно напали на гарнизон противника. Советские патриоты уничтожили 69 гитлеровцев, взорвали и сожгли 32 вражеские автомашины с боеприпасами и другими военными грузами. Захвачены у немцев четыре пулемёта и другие трофеи.</w:t>
      </w:r>
    </w:p>
    <w:p w14:paraId="5A278CDE"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обер-ефрейтор 1 роты 62 немецкого сапёрного батальона Бруно Карнатц рассказал: «За два с половиной года наш батальон потерял в России только убитыми 2.200 человек. С июля 1941 года по февраль 1944 года мы 24 раза получали пополнение. Обычно его хватает ненадолго, и в подразделениях всегда ощущается нехватка людей. Если раньше рота насчитывала 150 солдат, то сейчас во всём батальоне осталось только 40 активных штыков.</w:t>
      </w:r>
    </w:p>
    <w:p w14:paraId="3A53FB9D"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Мы возлагали большие надежды на 1943 год. Однако именно этот год оказался самым тяжёлым годом для немецких войск. Многие солдаты теперь уже не надеются на успех, но сопротивляются потому, что их страшит ответственность за бесчинства и преступления, совершённые в России. За девять месяцев наш батальон, по приказу командования, сжёг не менее 300 населённых пунктов Смоленской и Витебской областей. Мы опустошали деревни и сравнивали их с землёй. Солдаты 62, а также 32 сапёрных батальонов расстреливали и вешали русских граждан. Особенно свирепствовал бывший командир нашего батальона майор Леппом, переведённый недавно на юг. Немецким солдатам всё уже опостылело. Многие из них считают, что сопротивление лишь увеличивает число жертв, но не спасет Германию от поражения».</w:t>
      </w:r>
    </w:p>
    <w:p w14:paraId="42E87D24"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Чудовищные злодеяния учинили немецко-фашистские мерзавцы в старинном русском городе Старая Русса. Немцы взорвали заводы и здания всех общественных учрежденийи уничтожили старейший русский курорт, существовавший с начала прошлого столетия. Фашистские варвары сожгли 18 средних и начальных школ, два кинотеатра и три клуба, разграбили и уничтожили краеведческий музей города. Разрушен и разграблен дом, в котором жил знаменитый русский писатель Достоевский. Части Красной Армии, вступившие в этот многострадальный город, не застали в нём ни одного мирного жителя. Немецкие палачи расстреляли, повесили либо угнали на каторгу в Германию всё население Старой Руссы, в которой до войны проживалоболее 30 тысяч человек.» (15058).</w:t>
      </w:r>
    </w:p>
    <w:p w14:paraId="6C15B660" w14:textId="77777777" w:rsidR="006E7509" w:rsidRPr="00070ADE" w:rsidRDefault="006E7509" w:rsidP="00B56F90">
      <w:pPr>
        <w:spacing w:after="0" w:line="240" w:lineRule="auto"/>
        <w:jc w:val="both"/>
        <w:rPr>
          <w:rFonts w:ascii="Times New Roman" w:hAnsi="Times New Roman"/>
          <w:color w:val="000000" w:themeColor="text1"/>
          <w:sz w:val="16"/>
          <w:szCs w:val="16"/>
        </w:rPr>
      </w:pPr>
    </w:p>
    <w:p w14:paraId="18027B16"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Style w:val="ucoz-forum-post"/>
          <w:rFonts w:ascii="Times New Roman" w:hAnsi="Times New Roman"/>
          <w:color w:val="000000" w:themeColor="text1"/>
          <w:sz w:val="16"/>
          <w:szCs w:val="16"/>
        </w:rPr>
        <w:t xml:space="preserve">4 марта </w:t>
      </w:r>
      <w:r w:rsidRPr="00070ADE">
        <w:rPr>
          <w:rFonts w:ascii="Times New Roman" w:hAnsi="Times New Roman"/>
          <w:color w:val="000000" w:themeColor="text1"/>
          <w:sz w:val="16"/>
          <w:szCs w:val="16"/>
        </w:rPr>
        <w:t>в 1944 году Войсками 1-го Украинского фронта (Маршал Советского Союза Г.К.Жуков) проведена Проскуровско-Черновицкая наступательная операция. Ее цель — разгром во взаимодействии со 2-м Украинским фронтом (Маршал Советского Союза И.С.Конев) основных сил гитлеровских войск группы армий «Юг». Завершилась 17 апреля 1944 года. В результате операции советские войска нанесли поражение 1-й и 4-й фашистским танковым армиям и вышли к предгорьям Карпат; была освобождена значительная часть Правобережной Украины</w:t>
      </w:r>
    </w:p>
    <w:p w14:paraId="3238B85C" w14:textId="77777777" w:rsidR="006E7509" w:rsidRPr="00070ADE" w:rsidRDefault="006E7509" w:rsidP="00B56F90">
      <w:pPr>
        <w:spacing w:after="0" w:line="240" w:lineRule="auto"/>
        <w:jc w:val="both"/>
        <w:rPr>
          <w:rFonts w:ascii="Times New Roman" w:hAnsi="Times New Roman"/>
          <w:color w:val="000000" w:themeColor="text1"/>
          <w:sz w:val="16"/>
          <w:szCs w:val="16"/>
        </w:rPr>
      </w:pPr>
    </w:p>
    <w:p w14:paraId="450572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марта 1944 согласно сообщению Совинформбюро группа Ил-2 под командованием л А.Демехина возвращалась с задания. Сопровождавший и л Стопа был подбит и сел на вынужденную. Сел Ил-2 В.В.Минова, а два Ил-2 расстреливали немцев. Милонов при посадке повредил шасси. Приземлился и Демехин, но застрял в грязи. Оставшийся в воздухе П.Клюев не подпускал немцев. Наконец, ш Демехина освободили от грязи и вытолкнули на дорогу. Разместив всех Демехин взлетел и добрался до своего аэродрома (438,896).</w:t>
      </w:r>
    </w:p>
    <w:p w14:paraId="7CFABA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D7BE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марта 1944 года в районе города Старо-Константинова на Украине произошло первое зафиксированное столкновение ИС-85 с "Тиграми". В ходе Проскуровско-Черновицкой наступательной операции 1-й ГвТТПП (командир - подполковник Н.И. Буланов) вступил в бой с ротой тяжелых танков "Тигр" 503-го тяжелого танкового батальона..</w:t>
      </w:r>
    </w:p>
    <w:p w14:paraId="24BC13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перестрелки в условиях плохой видимости с дистанции 1500-1800 метров один ИС оказался подбит, а три получили повреждения, но впоследствии были отремонтированы. Ответным огнем ИСов у одного "Тигра" было повреждено орудие, а у другого - ходовая часть. (3862).</w:t>
      </w:r>
    </w:p>
    <w:p w14:paraId="5E4019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28A6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марта 1944 было первое зафиксированное столкновение танков ИС (ИС-85) и Тигр у г. Староконстантинов на расстоянии 1500-1800 м (2453,31).</w:t>
      </w:r>
    </w:p>
    <w:p w14:paraId="1E82AF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843B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March 4 1944 Soviet troops begin offensive on Belorussian front (1050).</w:t>
      </w:r>
    </w:p>
    <w:p w14:paraId="69E034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938A6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марта 1944 КА начала наступление на Белорусском фронте (1050).</w:t>
      </w:r>
    </w:p>
    <w:p w14:paraId="6D6660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Белорусской операции, как потом и в Берлинской для массирования привлекалась авиация соседних фронтов (518,112).</w:t>
      </w:r>
    </w:p>
    <w:p w14:paraId="0B93BD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Белорусской наступательной операции задействовали 40% всей фронтовой авиации (518,112).</w:t>
      </w:r>
    </w:p>
    <w:p w14:paraId="3DDF3F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АДД нанесла удары по аэродромам (518,65).</w:t>
      </w:r>
    </w:p>
    <w:p w14:paraId="389311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Белорусской операции 6ВА была усилена 6 сак, 6 шак, 13 иак и 3 бак, переданными из состава 16ВА (518,66).</w:t>
      </w:r>
    </w:p>
    <w:p w14:paraId="7D19D1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операциях по апв в боевом порядке замкнутый круг входило до 36-50 и более самолетов (518,141).</w:t>
      </w:r>
    </w:p>
    <w:p w14:paraId="6298F2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Т.к. приходилось преодолевать водные преграды авиация давала усиленное прикрытие и повышала недостаточную огневую мощь пехоты (518,146).</w:t>
      </w:r>
    </w:p>
    <w:p w14:paraId="20A7AF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преследовании отступающих войск авиация 3, 1, 4 и 16 ВА и АДД были перенацелена на дезорганизацию отхода и уничтожение войск и боевой техники (518,163). Ком. 4 ТА К.Типпельскирх писал: "Бесконечный поток тяжелой артиллерийской техники, зенитных батарей всевозможных машин с огромными усилиями передвигался по давно уже выбитой, но единственно возможной для отступления дороге, пересекающей Березину у Березино. Непрерывные налеты авиации причиняли тяжелые потери, а также вызывали бесконечные заторы среди отступающих колонн. русские ш то и дело разрушали мост у Березино, после чего на восточном берегу каждый раз образовывались огромные скопления машин." (518,164).</w:t>
      </w:r>
    </w:p>
    <w:p w14:paraId="5BFB82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Действия авиации по крупным оперативным резервам переросли в форму отдельной воздушной операции, в которой приняла участие не только фронтовая, но и АДД (518,165).</w:t>
      </w:r>
    </w:p>
    <w:p w14:paraId="5AD57D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Белорусской операции по воздуху доставили ТА и ТК 1182 т горючего, 1240 т боеприпасов, 1000 военного имущества и запчастей (518,168).</w:t>
      </w:r>
    </w:p>
    <w:p w14:paraId="4B3633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операции отмечалось отставание истребителей и ш от быстро наступающих танковых армий, которые они д.б. поддерживать (518,168).</w:t>
      </w:r>
    </w:p>
    <w:p w14:paraId="79510E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B683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March 4th, 1944: In the East, the Soviet 2nd Ukrainian Front (Konev) begins an offensive against Heeresgruppe Sud (von Manstein) (3819).</w:t>
      </w:r>
    </w:p>
    <w:p w14:paraId="35DD95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0B323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4 марта по 17 апреля 1944 была Проскуровско-Черновицкая операция и 1УФ (Г.К.Ж.) во взаимодействии с 2УФ продвинулись на 80-350 км, выйдя к предгорьям Карпат. Стратегический фронт был рассечен на 2 части (2443,57).</w:t>
      </w:r>
    </w:p>
    <w:p w14:paraId="4362AD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этой операции авиация широко использовалась как транспортное средство для снабжения танковых армий (518,168), а также самой авиации, применяемой для авиаподдержки (518,169).</w:t>
      </w:r>
    </w:p>
    <w:p w14:paraId="3B954B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7B529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3B1B40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85137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марта 1944 американцы впервые бомбили Берлин (4962).</w:t>
      </w:r>
    </w:p>
    <w:p w14:paraId="4F49585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CF92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марта 1944 американцы первый раз бомбили Берлин (1050;2100).</w:t>
      </w:r>
    </w:p>
    <w:p w14:paraId="754239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15B7E2" w14:textId="653E419F" w:rsidR="00464D2B" w:rsidRPr="00070ADE" w:rsidRDefault="00464D2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4 марта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Первый налет В-17 в сопровождении истребителей на Берлин. Истребители P-51 Mustang сопровождали бомбардировщики в обоих направлениях. Из-за сложных метеорологических условий бомбардировщики получили приказ вернуться назад. Но одно крыло из 29 B-17 не получило приказа возвращаться и продолжили путь на Берлин. Вместе с ними продолжила лететь и часть сил эскорта. B-17 сбросили бомбы на Берлин использовав систему H2S.</w:t>
      </w:r>
    </w:p>
    <w:p w14:paraId="743C4452" w14:textId="77777777" w:rsidR="00464D2B" w:rsidRPr="00070ADE" w:rsidRDefault="00464D2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атак истребителей Люфтваффе во время полета назад было сбито 23 истребителя Mustang и пять В-17 (22580).</w:t>
      </w:r>
    </w:p>
    <w:p w14:paraId="4715FB4B" w14:textId="77777777" w:rsidR="00464D2B" w:rsidRPr="00070ADE" w:rsidRDefault="00464D2B" w:rsidP="00B56F90">
      <w:pPr>
        <w:spacing w:after="0" w:line="240" w:lineRule="auto"/>
        <w:jc w:val="both"/>
        <w:rPr>
          <w:rFonts w:ascii="Times New Roman" w:hAnsi="Times New Roman"/>
          <w:color w:val="000000" w:themeColor="text1"/>
          <w:sz w:val="16"/>
          <w:szCs w:val="16"/>
        </w:rPr>
      </w:pPr>
    </w:p>
    <w:p w14:paraId="08A497B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марта 1944 в Японии объявлена военная мобилизация всех студентов (4962).</w:t>
      </w:r>
    </w:p>
    <w:p w14:paraId="2D5D854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CEAB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March 4 1944 First major daylight bombing raid on Berlin by Allies (1050).</w:t>
      </w:r>
    </w:p>
    <w:p w14:paraId="4EA70A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946E0C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2F29A6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B8F9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постановление ГКО N 5320сс об увеличении выпуска Пе-2 и снятии с производства Пе-8 на заводе 22 (1660,69).</w:t>
      </w:r>
    </w:p>
    <w:p w14:paraId="505602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A50E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Постановление ГКО № 5320 Об увеличении выпуска самолетов Пе-2 на заводе № 22 Наркомавиапрома. РГАНИР, Фонд ГКО, д. 215, лл. 192-193 (11012).</w:t>
      </w:r>
    </w:p>
    <w:p w14:paraId="6D2D6C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2B3EC49" w14:textId="77777777" w:rsidR="00704B65" w:rsidRPr="00070ADE" w:rsidRDefault="00704B6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Постановление ГКО № 5320 Об увеличении выпуска самолетов Пе-2 на заводе № 22 Наркомавиапрома</w:t>
      </w:r>
    </w:p>
    <w:p w14:paraId="4B7C7114" w14:textId="77777777" w:rsidR="00704B65" w:rsidRPr="00070ADE" w:rsidRDefault="00704B6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Государственный Комитет Обороны постановляет:</w:t>
      </w:r>
    </w:p>
    <w:p w14:paraId="000AEDD4" w14:textId="77777777" w:rsidR="00704B65" w:rsidRPr="00070ADE" w:rsidRDefault="00704B65" w:rsidP="00B56F90">
      <w:pPr>
        <w:tabs>
          <w:tab w:val="left" w:pos="1597"/>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Обязать Наркомавиапром - т.Шахурина и дирек</w:t>
      </w:r>
      <w:r w:rsidRPr="00070ADE">
        <w:rPr>
          <w:rFonts w:ascii="Times New Roman" w:hAnsi="Times New Roman"/>
          <w:color w:val="000000" w:themeColor="text1"/>
          <w:sz w:val="16"/>
          <w:szCs w:val="16"/>
        </w:rPr>
        <w:softHyphen/>
        <w:t>тора завода № 22 т.Окулова:</w:t>
      </w:r>
    </w:p>
    <w:p w14:paraId="3E52952A" w14:textId="77777777" w:rsidR="00704B65" w:rsidRPr="00070ADE" w:rsidRDefault="00704B65" w:rsidP="00B56F90">
      <w:pPr>
        <w:tabs>
          <w:tab w:val="left" w:pos="161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увеличить выпуск самолетов Пе-2 на заводе № 22 . и довести выпуск их апреле с.г. до 10 самолетов</w:t>
      </w:r>
      <w:r w:rsidRPr="00070ADE">
        <w:rPr>
          <w:rStyle w:val="SimHei9pt"/>
          <w:rFonts w:ascii="Times New Roman" w:hAnsi="Times New Roman" w:cs="Times New Roman"/>
          <w:color w:val="000000" w:themeColor="text1"/>
          <w:sz w:val="16"/>
          <w:szCs w:val="16"/>
        </w:rPr>
        <w:t xml:space="preserve"> б</w:t>
      </w:r>
      <w:r w:rsidRPr="00070ADE">
        <w:rPr>
          <w:rFonts w:ascii="Times New Roman" w:hAnsi="Times New Roman"/>
          <w:color w:val="000000" w:themeColor="text1"/>
          <w:sz w:val="16"/>
          <w:szCs w:val="16"/>
        </w:rPr>
        <w:t xml:space="preserve"> сутки, в мае с.г. до 11 самолетов в сутки к в июне до 12 самолетов в сутки. Производство самолетов Пе-3 и Пе-8 на заводе № 22 прекратить, сохранив на заводе всю оснастку, приспособления и специальный инструмент для производства самолетов Пе-8;</w:t>
      </w:r>
    </w:p>
    <w:p w14:paraId="01313A1D" w14:textId="77777777" w:rsidR="00704B65" w:rsidRPr="00070ADE" w:rsidRDefault="00704B65" w:rsidP="00B56F90">
      <w:pPr>
        <w:tabs>
          <w:tab w:val="left" w:pos="161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построить 4 самолета Пе-8 в пассажирском варианте по проекту главного конструктора т.Незваля, для чего использовать самолеты Пе-8 из числа готовых и находящихся в сборочном цехе завода № 22</w:t>
      </w:r>
    </w:p>
    <w:p w14:paraId="588F2115" w14:textId="77777777" w:rsidR="00704B65" w:rsidRPr="00070ADE" w:rsidRDefault="00704B6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Разрешить главному конструктору т.Незваль про</w:t>
      </w:r>
      <w:r w:rsidRPr="00070ADE">
        <w:rPr>
          <w:rFonts w:ascii="Times New Roman" w:hAnsi="Times New Roman"/>
          <w:color w:val="000000" w:themeColor="text1"/>
          <w:sz w:val="16"/>
          <w:szCs w:val="16"/>
        </w:rPr>
        <w:softHyphen/>
        <w:t>должать на заводе № 22 работы по модификации самоле</w:t>
      </w:r>
      <w:r w:rsidRPr="00070ADE">
        <w:rPr>
          <w:rFonts w:ascii="Times New Roman" w:hAnsi="Times New Roman"/>
          <w:color w:val="000000" w:themeColor="text1"/>
          <w:sz w:val="16"/>
          <w:szCs w:val="16"/>
        </w:rPr>
        <w:softHyphen/>
        <w:t>тов Пе-8.</w:t>
      </w:r>
    </w:p>
    <w:p w14:paraId="05F50577" w14:textId="24F75C40" w:rsidR="00704B65" w:rsidRPr="00070ADE" w:rsidRDefault="00704B65" w:rsidP="00B56F90">
      <w:pPr>
        <w:tabs>
          <w:tab w:val="left" w:pos="161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Обязать Наркомвнешторг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т.Микояна поставить во П квартале с.г. заводу № 22 Наркомавиапрома </w:t>
      </w:r>
      <w:r w:rsidRPr="00070ADE">
        <w:rPr>
          <w:rFonts w:ascii="Times New Roman" w:hAnsi="Times New Roman"/>
          <w:color w:val="000000" w:themeColor="text1"/>
          <w:sz w:val="16"/>
          <w:szCs w:val="16"/>
          <w:lang w:val="en-US"/>
        </w:rPr>
        <w:t>sa</w:t>
      </w:r>
      <w:r w:rsidRPr="00070ADE">
        <w:rPr>
          <w:rFonts w:ascii="Times New Roman" w:hAnsi="Times New Roman"/>
          <w:color w:val="000000" w:themeColor="text1"/>
          <w:sz w:val="16"/>
          <w:szCs w:val="16"/>
        </w:rPr>
        <w:t xml:space="preserve"> счет любых других наркоматов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автоматов "Индекс" - 20 штук, прессов эксцентриковых 7-тонных - 3 штуки,</w:t>
      </w:r>
    </w:p>
    <w:p w14:paraId="23DF5536" w14:textId="77777777" w:rsidR="00704B65" w:rsidRPr="00070ADE" w:rsidRDefault="00704B65" w:rsidP="00B56F90">
      <w:pPr>
        <w:tabs>
          <w:tab w:val="left" w:pos="339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Сбязать Наркомсредмаш - т.Акопова и директо</w:t>
      </w:r>
      <w:r w:rsidRPr="00070ADE">
        <w:rPr>
          <w:rFonts w:ascii="Times New Roman" w:hAnsi="Times New Roman"/>
          <w:color w:val="000000" w:themeColor="text1"/>
          <w:sz w:val="16"/>
          <w:szCs w:val="16"/>
        </w:rPr>
        <w:softHyphen/>
        <w:t>ров автозавода им.Сталина - т.Лихачева и Алтайского тракторного завода т.Парфенова поставить заводу № 22 Наркомавиапрома</w:t>
      </w:r>
      <w:r w:rsidRPr="00070ADE">
        <w:rPr>
          <w:rStyle w:val="Gungsuh7pt"/>
          <w:rFonts w:ascii="Times New Roman" w:hAnsi="Times New Roman" w:cs="Times New Roman"/>
          <w:color w:val="000000" w:themeColor="text1"/>
          <w:sz w:val="16"/>
          <w:szCs w:val="16"/>
        </w:rPr>
        <w:t xml:space="preserve"> </w:t>
      </w:r>
      <w:r w:rsidRPr="00070ADE">
        <w:rPr>
          <w:rStyle w:val="Gungsuh7pt"/>
          <w:rFonts w:ascii="Times New Roman" w:hAnsi="Times New Roman" w:cs="Times New Roman"/>
          <w:b w:val="0"/>
          <w:bCs w:val="0"/>
          <w:color w:val="000000" w:themeColor="text1"/>
          <w:sz w:val="16"/>
          <w:szCs w:val="16"/>
        </w:rPr>
        <w:t>в</w:t>
      </w:r>
      <w:r w:rsidRPr="00070ADE">
        <w:rPr>
          <w:rFonts w:ascii="Times New Roman" w:hAnsi="Times New Roman"/>
          <w:color w:val="000000" w:themeColor="text1"/>
          <w:sz w:val="16"/>
          <w:szCs w:val="16"/>
        </w:rPr>
        <w:t xml:space="preserve"> марте с.г.с с автозавода им.Ста</w:t>
      </w:r>
      <w:r w:rsidRPr="00070ADE">
        <w:rPr>
          <w:rStyle w:val="Gungsuh7pt"/>
          <w:rFonts w:ascii="Times New Roman" w:hAnsi="Times New Roman" w:cs="Times New Roman"/>
          <w:color w:val="000000" w:themeColor="text1"/>
          <w:sz w:val="16"/>
          <w:szCs w:val="16"/>
        </w:rPr>
        <w:t>л</w:t>
      </w:r>
      <w:r w:rsidRPr="00070ADE">
        <w:rPr>
          <w:rStyle w:val="Gungsuh7pt"/>
          <w:rFonts w:ascii="Times New Roman" w:hAnsi="Times New Roman" w:cs="Times New Roman"/>
          <w:b w:val="0"/>
          <w:bCs w:val="0"/>
          <w:color w:val="000000" w:themeColor="text1"/>
          <w:sz w:val="16"/>
          <w:szCs w:val="16"/>
        </w:rPr>
        <w:t>ина</w:t>
      </w:r>
      <w:r w:rsidRPr="00070ADE">
        <w:rPr>
          <w:rFonts w:ascii="Times New Roman" w:hAnsi="Times New Roman"/>
          <w:color w:val="000000" w:themeColor="text1"/>
          <w:sz w:val="16"/>
          <w:szCs w:val="16"/>
        </w:rPr>
        <w:t xml:space="preserve"> 40 штук трехтонных грузовых автомашин и на 10 тыс. рублей автозапчастей ха счет поставок НКО и с Алтайского тракторного завода 5 тракторов "НАТИ" за счет поставок Нарксмзему СССР.</w:t>
      </w:r>
    </w:p>
    <w:p w14:paraId="49D4CE2F" w14:textId="77777777" w:rsidR="00704B65" w:rsidRPr="00070ADE" w:rsidRDefault="00704B65" w:rsidP="00B56F90">
      <w:pPr>
        <w:tabs>
          <w:tab w:val="left" w:pos="81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Обязать Наркомрезинпром - т.Митрохина поста</w:t>
      </w:r>
      <w:r w:rsidRPr="00070ADE">
        <w:rPr>
          <w:rFonts w:ascii="Times New Roman" w:hAnsi="Times New Roman"/>
          <w:color w:val="000000" w:themeColor="text1"/>
          <w:sz w:val="16"/>
          <w:szCs w:val="16"/>
        </w:rPr>
        <w:softHyphen/>
        <w:t>вить заводу № 22 Наркомавиапрома в марте-апреле с.г. 300 комплектов авторезины за счет фондов НКАП.</w:t>
      </w:r>
    </w:p>
    <w:p w14:paraId="03F6CB8D" w14:textId="77777777" w:rsidR="00704B65" w:rsidRPr="00070ADE" w:rsidRDefault="00704B65" w:rsidP="00B56F90">
      <w:pPr>
        <w:tabs>
          <w:tab w:val="left" w:pos="80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Обязать Наркомчермет - т.Тевосяна поставить заводу № 22 Наркомавиапрома во П квартале с.г. за счет фондов НКАП 100</w:t>
      </w:r>
      <w:r w:rsidRPr="00070ADE">
        <w:rPr>
          <w:rStyle w:val="Gungsuh7pt"/>
          <w:rFonts w:ascii="Times New Roman" w:hAnsi="Times New Roman" w:cs="Times New Roman"/>
          <w:color w:val="000000" w:themeColor="text1"/>
          <w:sz w:val="16"/>
          <w:szCs w:val="16"/>
        </w:rPr>
        <w:t xml:space="preserve"> тонн рядового проката</w:t>
      </w:r>
      <w:r w:rsidRPr="00070ADE">
        <w:rPr>
          <w:rFonts w:ascii="Times New Roman" w:hAnsi="Times New Roman"/>
          <w:color w:val="000000" w:themeColor="text1"/>
          <w:sz w:val="16"/>
          <w:szCs w:val="16"/>
        </w:rPr>
        <w:t xml:space="preserve"> и 50 тонн листового железа для изготовления стапелейи</w:t>
      </w:r>
      <w:r w:rsidRPr="00070ADE">
        <w:rPr>
          <w:rStyle w:val="Gungsuh8pt"/>
          <w:rFonts w:ascii="Times New Roman" w:hAnsi="Times New Roman" w:cs="Times New Roman"/>
          <w:color w:val="000000" w:themeColor="text1"/>
        </w:rPr>
        <w:t xml:space="preserve"> допол </w:t>
      </w:r>
      <w:r w:rsidRPr="00070ADE">
        <w:rPr>
          <w:rFonts w:ascii="Times New Roman" w:hAnsi="Times New Roman"/>
          <w:color w:val="000000" w:themeColor="text1"/>
          <w:sz w:val="16"/>
          <w:szCs w:val="16"/>
        </w:rPr>
        <w:t>нительной оснастки для</w:t>
      </w:r>
      <w:r w:rsidRPr="00070ADE">
        <w:rPr>
          <w:rStyle w:val="Gungsuh7pt"/>
          <w:rFonts w:ascii="Times New Roman" w:hAnsi="Times New Roman" w:cs="Times New Roman"/>
          <w:color w:val="000000" w:themeColor="text1"/>
          <w:sz w:val="16"/>
          <w:szCs w:val="16"/>
        </w:rPr>
        <w:t xml:space="preserve"> </w:t>
      </w:r>
      <w:r w:rsidRPr="00070ADE">
        <w:rPr>
          <w:rStyle w:val="Gungsuh7pt"/>
          <w:rFonts w:ascii="Times New Roman" w:hAnsi="Times New Roman" w:cs="Times New Roman"/>
          <w:b w:val="0"/>
          <w:bCs w:val="0"/>
          <w:color w:val="000000" w:themeColor="text1"/>
          <w:sz w:val="16"/>
          <w:szCs w:val="16"/>
        </w:rPr>
        <w:t>производства самолетов Пе-2,</w:t>
      </w:r>
      <w:r w:rsidRPr="00070ADE">
        <w:rPr>
          <w:rStyle w:val="Gungsuh7pt"/>
          <w:rFonts w:ascii="Times New Roman" w:hAnsi="Times New Roman" w:cs="Times New Roman"/>
          <w:color w:val="000000" w:themeColor="text1"/>
          <w:sz w:val="16"/>
          <w:szCs w:val="16"/>
        </w:rPr>
        <w:t xml:space="preserve"> а</w:t>
      </w:r>
      <w:r w:rsidRPr="00070ADE">
        <w:rPr>
          <w:rFonts w:ascii="Times New Roman" w:hAnsi="Times New Roman"/>
          <w:color w:val="000000" w:themeColor="text1"/>
          <w:sz w:val="16"/>
          <w:szCs w:val="16"/>
        </w:rPr>
        <w:t xml:space="preserve"> также 200 тн. огнеупорного кирпича и 40 тонн огне</w:t>
      </w:r>
      <w:r w:rsidRPr="00070ADE">
        <w:rPr>
          <w:rFonts w:ascii="Times New Roman" w:hAnsi="Times New Roman"/>
          <w:color w:val="000000" w:themeColor="text1"/>
          <w:sz w:val="16"/>
          <w:szCs w:val="16"/>
        </w:rPr>
        <w:softHyphen/>
        <w:t>упорной глины для постройки дополнительных термических и кузнечных печей.</w:t>
      </w:r>
    </w:p>
    <w:p w14:paraId="2DEB97F9" w14:textId="77777777" w:rsidR="00704B65" w:rsidRPr="00070ADE" w:rsidRDefault="00704B65" w:rsidP="00B56F90">
      <w:pPr>
        <w:tabs>
          <w:tab w:val="left" w:pos="80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Обязать Наркомфин СССР - т.Зверева списать с завода № 22 Наркомавиапрома убытки, связанные о снятием с производства самолетов Пе-3 и Пе-8 (19475).</w:t>
      </w:r>
    </w:p>
    <w:p w14:paraId="4231E454" w14:textId="77777777" w:rsidR="00704B65" w:rsidRPr="00070ADE" w:rsidRDefault="00704B65" w:rsidP="00B56F90">
      <w:pPr>
        <w:autoSpaceDE w:val="0"/>
        <w:autoSpaceDN w:val="0"/>
        <w:adjustRightInd w:val="0"/>
        <w:spacing w:after="0" w:line="240" w:lineRule="auto"/>
        <w:jc w:val="both"/>
        <w:rPr>
          <w:rFonts w:ascii="Times New Roman" w:hAnsi="Times New Roman"/>
          <w:color w:val="000000" w:themeColor="text1"/>
          <w:sz w:val="16"/>
          <w:szCs w:val="16"/>
        </w:rPr>
      </w:pPr>
    </w:p>
    <w:p w14:paraId="3B192A73" w14:textId="77777777" w:rsidR="006D5302" w:rsidRPr="00070ADE" w:rsidRDefault="006D530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г. вышло постановление ГКО № 5320сс об увеличении выпуска Пе-2 на заводе № 22 и снятии с производства тяжелого бомбардировщика Пе-8 и многоцелевого самолета Пе-3. При этом продолжались работы по модификациям Пе-8, в т.ч. Пе-8ОН.</w:t>
      </w:r>
    </w:p>
    <w:p w14:paraId="4F7E622E" w14:textId="77777777" w:rsidR="006D5302" w:rsidRPr="00070ADE" w:rsidRDefault="006D530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Постановлением ГКО № 8934cc от 6 июня 1945 г. производство всех модификаций самолета Пе-2, включая серийный вариант с ВК-105ПФ прекращалось и завод полностью переводился на работы по самолету Туполев Б-4 (Ту-4) (23570).</w:t>
      </w:r>
    </w:p>
    <w:p w14:paraId="3E8967D6" w14:textId="77777777" w:rsidR="006D5302" w:rsidRPr="00070ADE" w:rsidRDefault="006D5302" w:rsidP="00B56F90">
      <w:pPr>
        <w:spacing w:after="0" w:line="240" w:lineRule="auto"/>
        <w:jc w:val="both"/>
        <w:rPr>
          <w:rFonts w:ascii="Times New Roman" w:hAnsi="Times New Roman"/>
          <w:color w:val="000000" w:themeColor="text1"/>
          <w:sz w:val="16"/>
          <w:szCs w:val="16"/>
        </w:rPr>
      </w:pPr>
    </w:p>
    <w:p w14:paraId="0FAF6EC2" w14:textId="77777777" w:rsidR="00463869" w:rsidRPr="00C94B78" w:rsidRDefault="0046386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5 марта 1944 года Постановлением ГКО в целях увеличения выпуска Пе-2 производство Пе-8 на заводе №22 в Казани было свёрнуто (25127).</w:t>
      </w:r>
    </w:p>
    <w:p w14:paraId="5838B4AF" w14:textId="77777777" w:rsidR="00463869" w:rsidRPr="00C94B78" w:rsidRDefault="00463869" w:rsidP="00B56F90">
      <w:pPr>
        <w:spacing w:after="0" w:line="240" w:lineRule="auto"/>
        <w:jc w:val="both"/>
        <w:rPr>
          <w:rFonts w:ascii="Times New Roman" w:hAnsi="Times New Roman"/>
          <w:color w:val="0070C0"/>
          <w:sz w:val="16"/>
          <w:szCs w:val="16"/>
        </w:rPr>
      </w:pPr>
    </w:p>
    <w:p w14:paraId="12787DDC" w14:textId="77777777" w:rsidR="00463869" w:rsidRPr="00C94B78" w:rsidRDefault="0046386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5 марта 1944 года Постановлением ГОКО производство Пе-8 на заводе №22 было прекращено, одновременно завод прекратил дальнейшую работу по изготовлению модифицированного Пе-8. Ведись работы над машиной не как над вариантом модернизации Пе-8, возможно, проект имел бы возможность воплотиться в металле (25286).</w:t>
      </w:r>
    </w:p>
    <w:p w14:paraId="3381240F" w14:textId="77777777" w:rsidR="00463869" w:rsidRPr="00C94B78" w:rsidRDefault="00463869" w:rsidP="00B56F90">
      <w:pPr>
        <w:spacing w:after="0" w:line="240" w:lineRule="auto"/>
        <w:jc w:val="both"/>
        <w:rPr>
          <w:rFonts w:ascii="Times New Roman" w:hAnsi="Times New Roman"/>
          <w:color w:val="0070C0"/>
          <w:sz w:val="16"/>
          <w:szCs w:val="16"/>
        </w:rPr>
      </w:pPr>
    </w:p>
    <w:p w14:paraId="0F113F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года вышло Постановление ГОКО, согласно которому серийный выпуск Пе-8 прекращался, хотя одновременно Постановление предусматривало продолжение опытных работ по модификации Пе-8 и по проектированию новых тяжелых машин. Однако руководство завода №22, считая своей основной задачей выпуск Пе-2, совершенно прекратило поддержку работ по тяжелым машинам. Кроме того, соответствующий приказ НКАП по продолжению работы по машине “Т” модифицированного Пе-8 4М-82ФН ТК-3 так и не появился. На заводе усиленно проводили перепланировку цехов, оборудуя их конвейерами и поточными линиями под Пе-2, за счет площадей и мощностей, ранее выделенных под Пе-8. Единственный цех завода, работавший по самолету Пе-8, в 1944 году в связи с запуском в серию новой модификации Пе-2 - самолета Пе-2И, был реорганизован в цех малых серий Пе-2. В результате все работы по постройке новых модификаций Пе-8 были прекращены (7685).</w:t>
      </w:r>
    </w:p>
    <w:p w14:paraId="23B1D1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C4DC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г. решением ГКО производство бомбардировщика Пе-8 было прекращено (11315).</w:t>
      </w:r>
    </w:p>
    <w:p w14:paraId="565A0B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773AD9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г. вышло постановление ГКО, согласно которому серийный выпуск Пе-8 прекращался. Руководство завода №22 за счёт этого наращивало производство Пе-2. Какое-то время сборку тяжёлых бомбардировщиков вели из имевшегося задела узлов и агрегатов. Затем единственный цех, работавший по Пе-8, был реорганизован в цех малых серий Пе-2 (11966).</w:t>
      </w:r>
    </w:p>
    <w:p w14:paraId="0BD7E8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50244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постановлением ГКО производство Пе-8 и все работы по модификациям приказано было прекратить. Правда, как бы спохватившись, 20 марта Незвалю предложили делать пассажирский вариант этой машины с дизелями. Сроки, как всегда давались жесткие (12049).</w:t>
      </w:r>
    </w:p>
    <w:p w14:paraId="730592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7CD70F9" w14:textId="77777777" w:rsidR="009A1031" w:rsidRPr="00070ADE" w:rsidRDefault="009A1031" w:rsidP="00B56F90">
      <w:pPr>
        <w:pStyle w:val="ae"/>
        <w:shd w:val="clear" w:color="auto" w:fill="FFFFFF"/>
        <w:spacing w:before="0" w:after="0"/>
        <w:jc w:val="both"/>
        <w:rPr>
          <w:color w:val="000000" w:themeColor="text1"/>
          <w:sz w:val="16"/>
          <w:szCs w:val="16"/>
        </w:rPr>
      </w:pPr>
      <w:r w:rsidRPr="00070ADE">
        <w:rPr>
          <w:color w:val="000000" w:themeColor="text1"/>
          <w:sz w:val="16"/>
          <w:szCs w:val="16"/>
        </w:rPr>
        <w:t>5 марта 1944 года Постановлением ГОКО производство Пе-8 на заводе №22 было прекращено, одновременно завод прекратил дальнейшую работу по изготовлению модифицированного Пе-8. Приказ НКАП по этой работе так и не появился.</w:t>
      </w:r>
    </w:p>
    <w:p w14:paraId="5F73E349" w14:textId="77777777" w:rsidR="009A1031" w:rsidRPr="00070ADE" w:rsidRDefault="009A1031" w:rsidP="00B56F90">
      <w:pPr>
        <w:pStyle w:val="ae"/>
        <w:shd w:val="clear" w:color="auto" w:fill="FFFFFF"/>
        <w:spacing w:before="0" w:after="0"/>
        <w:jc w:val="both"/>
        <w:rPr>
          <w:color w:val="000000" w:themeColor="text1"/>
          <w:sz w:val="16"/>
          <w:szCs w:val="16"/>
        </w:rPr>
      </w:pPr>
      <w:r w:rsidRPr="00070ADE">
        <w:rPr>
          <w:color w:val="000000" w:themeColor="text1"/>
          <w:sz w:val="16"/>
          <w:szCs w:val="16"/>
        </w:rPr>
        <w:t>И.Ф.Незваль отчетливо понимал, что работа над модифицированным Пе-8 не решит послевоенного оснащения советской дальней авиации новой современной техникой. Чтобы получить качественно новую машину, нужно было новое оборудование и новые системы вооружения. Все это в сочетании с современными решениями по планеру и силовой установке могло дать необходимый эффект.</w:t>
      </w:r>
    </w:p>
    <w:p w14:paraId="7BE357C2" w14:textId="77777777" w:rsidR="009A1031" w:rsidRPr="00070ADE" w:rsidRDefault="009A1031"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Поэтому Незваль рассматривал работы по модифицированному Пе-8, а также работы по пассажирскому самолету на 48-50 мест как подготовительную работу по созданию нового тяжелого дальнего скоростного бомбардировщика класса В-29. Он и его ОКБ предполагало на этих проектах отработать компоновку "нового перспективного послевоенного бомбардировщика (оптимальное размещение экипажа, оборудования; оборонительного стрелково-пушечного вооружения, состава и размещения бомбардировочного вооружения, отработать трехколесное шасси и т.д.). В конце 1944 года работы по проекту такого бомбардировщика в ОКБ уже велись. В первой половине 1945 года в ОКБ полным ходом в инициативном порядке шло проектирование этого самолета. Был составлен эскизный проект и начаты работы по техническому проекту.</w:t>
      </w:r>
    </w:p>
    <w:p w14:paraId="5BAAB16D" w14:textId="77777777" w:rsidR="009A1031" w:rsidRPr="00070ADE" w:rsidRDefault="009A1031" w:rsidP="00B56F90">
      <w:pPr>
        <w:pStyle w:val="ae"/>
        <w:shd w:val="clear" w:color="auto" w:fill="FFFFFF"/>
        <w:spacing w:before="0" w:after="0"/>
        <w:jc w:val="both"/>
        <w:rPr>
          <w:color w:val="000000" w:themeColor="text1"/>
          <w:sz w:val="16"/>
          <w:szCs w:val="16"/>
        </w:rPr>
      </w:pPr>
      <w:r w:rsidRPr="00070ADE">
        <w:rPr>
          <w:color w:val="000000" w:themeColor="text1"/>
          <w:sz w:val="16"/>
          <w:szCs w:val="16"/>
        </w:rPr>
        <w:t>Незваль постоянно обращался к заместителю Наркома по опытному самолетостроению А.С.Яковлеву с просьбой об официальной выдаче ОКБ нового задания, с учетом проведенной работы по перспективным тяжелым машинам, а если такой работы нет, то вернуть их ОКБ к Туполеву. Вскоре все именно так и произошло. Во втором полугодии ОКБ Незваля передали А.Н.Туполеву, и коллектив вплотную занялся Б-4 (Ту-4), а работы по тематике незвалевского нового бомбардировщика были прекращены.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98"/>
        <w:gridCol w:w="1608"/>
        <w:gridCol w:w="1716"/>
        <w:gridCol w:w="1342"/>
        <w:gridCol w:w="1788"/>
        <w:gridCol w:w="1267"/>
        <w:gridCol w:w="1803"/>
      </w:tblGrid>
      <w:tr w:rsidR="004D4663" w:rsidRPr="00070ADE" w14:paraId="49265848"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E65777E"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Самолет</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5A5EEE5" w14:textId="77FE3CC6"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Петляков</w:t>
            </w:r>
            <w:r w:rsidR="00C63BA9">
              <w:rPr>
                <w:color w:val="000000" w:themeColor="text1"/>
                <w:sz w:val="16"/>
                <w:szCs w:val="16"/>
              </w:rPr>
              <w:t xml:space="preserve">     </w:t>
            </w:r>
            <w:r w:rsidRPr="00070ADE">
              <w:rPr>
                <w:color w:val="000000" w:themeColor="text1"/>
                <w:sz w:val="16"/>
                <w:szCs w:val="16"/>
              </w:rPr>
              <w:t>Пе-8</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9CAA407" w14:textId="445B332D"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Boeing</w:t>
            </w:r>
            <w:r w:rsidR="00C63BA9">
              <w:rPr>
                <w:color w:val="000000" w:themeColor="text1"/>
                <w:sz w:val="16"/>
                <w:szCs w:val="16"/>
              </w:rPr>
              <w:t xml:space="preserve">         </w:t>
            </w:r>
            <w:r w:rsidR="00B643A8" w:rsidRPr="00070ADE">
              <w:rPr>
                <w:color w:val="000000" w:themeColor="text1"/>
                <w:sz w:val="16"/>
                <w:szCs w:val="16"/>
              </w:rPr>
              <w:t xml:space="preserve"> </w:t>
            </w:r>
            <w:r w:rsidRPr="00070ADE">
              <w:rPr>
                <w:color w:val="000000" w:themeColor="text1"/>
                <w:sz w:val="16"/>
                <w:szCs w:val="16"/>
              </w:rPr>
              <w:t>B-17G</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E037C68"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Consolidated</w:t>
            </w:r>
          </w:p>
          <w:p w14:paraId="76C86FC7"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B-24J</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27528DF"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Avro Lancaster Mk.III</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3ADA4FD" w14:textId="77777777" w:rsidR="009A1031" w:rsidRPr="00070ADE" w:rsidRDefault="009A1031" w:rsidP="00B56F90">
            <w:pPr>
              <w:pStyle w:val="ae"/>
              <w:spacing w:before="0" w:after="0"/>
              <w:jc w:val="both"/>
              <w:rPr>
                <w:color w:val="000000" w:themeColor="text1"/>
                <w:sz w:val="16"/>
                <w:szCs w:val="16"/>
              </w:rPr>
            </w:pPr>
            <w:r w:rsidRPr="00070ADE">
              <w:rPr>
                <w:rStyle w:val="a7"/>
                <w:color w:val="000000" w:themeColor="text1"/>
                <w:sz w:val="16"/>
                <w:szCs w:val="16"/>
              </w:rPr>
              <w:t>Незваль</w:t>
            </w:r>
          </w:p>
          <w:p w14:paraId="179F5DAC" w14:textId="77777777" w:rsidR="009A1031" w:rsidRPr="00070ADE" w:rsidRDefault="009A1031" w:rsidP="00B56F90">
            <w:pPr>
              <w:pStyle w:val="ae"/>
              <w:spacing w:before="0" w:after="0"/>
              <w:jc w:val="both"/>
              <w:rPr>
                <w:color w:val="000000" w:themeColor="text1"/>
                <w:sz w:val="16"/>
                <w:szCs w:val="16"/>
              </w:rPr>
            </w:pPr>
            <w:r w:rsidRPr="00070ADE">
              <w:rPr>
                <w:rStyle w:val="a7"/>
                <w:color w:val="000000" w:themeColor="text1"/>
                <w:sz w:val="16"/>
                <w:szCs w:val="16"/>
              </w:rPr>
              <w:t>Самолет Т</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7D95F35" w14:textId="6A7AE0A5"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Boeing</w:t>
            </w:r>
            <w:r w:rsidR="00C63BA9">
              <w:rPr>
                <w:color w:val="000000" w:themeColor="text1"/>
                <w:sz w:val="16"/>
                <w:szCs w:val="16"/>
              </w:rPr>
              <w:t xml:space="preserve">          </w:t>
            </w:r>
            <w:r w:rsidR="00B643A8" w:rsidRPr="00070ADE">
              <w:rPr>
                <w:color w:val="000000" w:themeColor="text1"/>
                <w:sz w:val="16"/>
                <w:szCs w:val="16"/>
              </w:rPr>
              <w:t xml:space="preserve"> </w:t>
            </w:r>
            <w:r w:rsidRPr="00070ADE">
              <w:rPr>
                <w:color w:val="000000" w:themeColor="text1"/>
                <w:sz w:val="16"/>
                <w:szCs w:val="16"/>
              </w:rPr>
              <w:t>В-29</w:t>
            </w:r>
          </w:p>
        </w:tc>
      </w:tr>
      <w:tr w:rsidR="004D4663" w:rsidRPr="00070ADE" w14:paraId="4404863A"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F15AECD"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lastRenderedPageBreak/>
              <w:t>Страна</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DDFD6D9"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СССР</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F421DA4"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США</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6782279"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США</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9CF6C93"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Великобритания</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5851D78"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СССР</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EC844CE"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США</w:t>
            </w:r>
          </w:p>
        </w:tc>
      </w:tr>
      <w:tr w:rsidR="004D4663" w:rsidRPr="00070ADE" w14:paraId="3034B419"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C9E2E6A"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Размах крыла, м</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B67A66C"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39.10</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2685846"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31.62</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80F4381"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33.53</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C9D900B"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31.09</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3ABCA37"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39.10</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079801D"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43.05</w:t>
            </w:r>
          </w:p>
        </w:tc>
      </w:tr>
      <w:tr w:rsidR="004D4663" w:rsidRPr="00070ADE" w14:paraId="10096F86"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0EDFB92"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Длина, м</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4D8FDBB"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23.59</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38AEC24"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22.78</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391E8A2"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19.56</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F967A99"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20.98</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AEA2110"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23.59</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30348B7"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30.18</w:t>
            </w:r>
          </w:p>
        </w:tc>
      </w:tr>
      <w:tr w:rsidR="004D4663" w:rsidRPr="00070ADE" w14:paraId="4AB0C2B4"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5080F64"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Высота, м</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1435382"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6.20</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EE77671"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5.82</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0B7D38D"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5.49</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73B7D7E"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6.19</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04A5098"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6.20</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E02C0F0"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8.46</w:t>
            </w:r>
          </w:p>
        </w:tc>
      </w:tr>
      <w:tr w:rsidR="004D4663" w:rsidRPr="00070ADE" w14:paraId="049FD39A"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A2A559E"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Площадь крыла, м2</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23939F"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188.68</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0E3131B"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131.92</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260AC35"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97.46</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1BB25F9"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120.80</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3ACBA0E"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188.68</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46A7F3C"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161.27</w:t>
            </w:r>
          </w:p>
        </w:tc>
      </w:tr>
      <w:tr w:rsidR="004D4663" w:rsidRPr="00070ADE" w14:paraId="12EAD6D4"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2857445"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Масса, кг</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4CA2CD1" w14:textId="6C848EAE" w:rsidR="009A1031"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B263F24" w14:textId="4826D7F6" w:rsidR="009A1031" w:rsidRPr="00070ADE" w:rsidRDefault="00B643A8" w:rsidP="00B56F90">
            <w:pPr>
              <w:pStyle w:val="ae"/>
              <w:spacing w:before="0" w:after="0"/>
              <w:jc w:val="both"/>
              <w:rPr>
                <w:color w:val="000000" w:themeColor="text1"/>
                <w:sz w:val="16"/>
                <w:szCs w:val="16"/>
              </w:rPr>
            </w:pPr>
            <w:r w:rsidRPr="00070ADE">
              <w:rPr>
                <w:color w:val="000000" w:themeColor="text1"/>
                <w:sz w:val="16"/>
                <w:szCs w:val="16"/>
              </w:rPr>
              <w:t xml:space="preserve"> </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5514A87" w14:textId="1A14E697" w:rsidR="009A1031" w:rsidRPr="00070ADE" w:rsidRDefault="00B643A8" w:rsidP="00B56F90">
            <w:pPr>
              <w:pStyle w:val="ae"/>
              <w:spacing w:before="0" w:after="0"/>
              <w:jc w:val="both"/>
              <w:rPr>
                <w:color w:val="000000" w:themeColor="text1"/>
                <w:sz w:val="16"/>
                <w:szCs w:val="16"/>
              </w:rPr>
            </w:pPr>
            <w:r w:rsidRPr="00070ADE">
              <w:rPr>
                <w:color w:val="000000" w:themeColor="text1"/>
                <w:sz w:val="16"/>
                <w:szCs w:val="16"/>
              </w:rPr>
              <w:t xml:space="preserve"> </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AA50007" w14:textId="3BC81892" w:rsidR="009A1031" w:rsidRPr="00070ADE" w:rsidRDefault="00B643A8" w:rsidP="00B56F90">
            <w:pPr>
              <w:pStyle w:val="ae"/>
              <w:spacing w:before="0" w:after="0"/>
              <w:jc w:val="both"/>
              <w:rPr>
                <w:color w:val="000000" w:themeColor="text1"/>
                <w:sz w:val="16"/>
                <w:szCs w:val="16"/>
              </w:rPr>
            </w:pPr>
            <w:r w:rsidRPr="00070ADE">
              <w:rPr>
                <w:color w:val="000000" w:themeColor="text1"/>
                <w:sz w:val="16"/>
                <w:szCs w:val="16"/>
              </w:rPr>
              <w:t xml:space="preserve"> </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6FEBDFE" w14:textId="31014A7D" w:rsidR="009A1031" w:rsidRPr="00070ADE" w:rsidRDefault="00B643A8" w:rsidP="00B56F90">
            <w:pPr>
              <w:pStyle w:val="ae"/>
              <w:spacing w:before="0" w:after="0"/>
              <w:jc w:val="both"/>
              <w:rPr>
                <w:color w:val="000000" w:themeColor="text1"/>
                <w:sz w:val="16"/>
                <w:szCs w:val="16"/>
              </w:rPr>
            </w:pPr>
            <w:r w:rsidRPr="00070ADE">
              <w:rPr>
                <w:color w:val="000000" w:themeColor="text1"/>
                <w:sz w:val="16"/>
                <w:szCs w:val="16"/>
              </w:rPr>
              <w:t xml:space="preserve"> </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5CBB4FB" w14:textId="46E2DFFC" w:rsidR="009A1031" w:rsidRPr="00070ADE" w:rsidRDefault="00B643A8" w:rsidP="00B56F90">
            <w:pPr>
              <w:pStyle w:val="ae"/>
              <w:spacing w:before="0" w:after="0"/>
              <w:jc w:val="both"/>
              <w:rPr>
                <w:color w:val="000000" w:themeColor="text1"/>
                <w:sz w:val="16"/>
                <w:szCs w:val="16"/>
              </w:rPr>
            </w:pPr>
            <w:r w:rsidRPr="00070ADE">
              <w:rPr>
                <w:color w:val="000000" w:themeColor="text1"/>
                <w:sz w:val="16"/>
                <w:szCs w:val="16"/>
              </w:rPr>
              <w:t xml:space="preserve"> </w:t>
            </w:r>
          </w:p>
        </w:tc>
      </w:tr>
      <w:tr w:rsidR="004D4663" w:rsidRPr="00070ADE" w14:paraId="074F4E86"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6404E18"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пустого самолета</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C00C8B4"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19 986</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20A75D"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17 237</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0C16BF0"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17 236</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7567ECC"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16 753</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C4B432E"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18 200</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E5D2B34"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31815</w:t>
            </w:r>
          </w:p>
        </w:tc>
      </w:tr>
      <w:tr w:rsidR="004D4663" w:rsidRPr="00070ADE" w14:paraId="185E14D8"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8841C10"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максимальная взлетная</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F3539D3"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35 000</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7F82D57" w14:textId="094893DA"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32</w:t>
            </w:r>
            <w:r w:rsidR="00B643A8" w:rsidRPr="00070ADE">
              <w:rPr>
                <w:color w:val="000000" w:themeColor="text1"/>
                <w:sz w:val="16"/>
                <w:szCs w:val="16"/>
              </w:rPr>
              <w:t xml:space="preserve"> </w:t>
            </w:r>
            <w:r w:rsidRPr="00070ADE">
              <w:rPr>
                <w:color w:val="000000" w:themeColor="text1"/>
                <w:sz w:val="16"/>
                <w:szCs w:val="16"/>
              </w:rPr>
              <w:t>659</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6F04CB5"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32 296</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BBB7706"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32 688</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1D1EEA9" w14:textId="4545A48F"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37</w:t>
            </w:r>
            <w:r w:rsidR="00B643A8" w:rsidRPr="00070ADE">
              <w:rPr>
                <w:color w:val="000000" w:themeColor="text1"/>
                <w:sz w:val="16"/>
                <w:szCs w:val="16"/>
              </w:rPr>
              <w:t xml:space="preserve"> </w:t>
            </w:r>
            <w:r w:rsidRPr="00070ADE">
              <w:rPr>
                <w:color w:val="000000" w:themeColor="text1"/>
                <w:sz w:val="16"/>
                <w:szCs w:val="16"/>
              </w:rPr>
              <w:t>500</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DBD75D3"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61235</w:t>
            </w:r>
          </w:p>
        </w:tc>
      </w:tr>
      <w:tr w:rsidR="004D4663" w:rsidRPr="00EC78A0" w14:paraId="693C3445"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C527051"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Тип двигателя</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1ABC910"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4 ПД Микулин</w:t>
            </w:r>
          </w:p>
          <w:p w14:paraId="264D4B8C"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АМ-35А</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E580070"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4 ПД Wright R-1820-97 CycloneТК</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115CCF0" w14:textId="77777777" w:rsidR="009A1031" w:rsidRPr="00070ADE" w:rsidRDefault="009A1031" w:rsidP="00B56F90">
            <w:pPr>
              <w:pStyle w:val="ae"/>
              <w:spacing w:before="0" w:after="0"/>
              <w:jc w:val="both"/>
              <w:rPr>
                <w:color w:val="000000" w:themeColor="text1"/>
                <w:sz w:val="16"/>
                <w:szCs w:val="16"/>
                <w:lang w:val="en-US"/>
              </w:rPr>
            </w:pPr>
            <w:r w:rsidRPr="00070ADE">
              <w:rPr>
                <w:color w:val="000000" w:themeColor="text1"/>
                <w:sz w:val="16"/>
                <w:szCs w:val="16"/>
                <w:lang w:val="en-US"/>
              </w:rPr>
              <w:t xml:space="preserve">4 </w:t>
            </w:r>
            <w:r w:rsidRPr="00070ADE">
              <w:rPr>
                <w:color w:val="000000" w:themeColor="text1"/>
                <w:sz w:val="16"/>
                <w:szCs w:val="16"/>
              </w:rPr>
              <w:t>ПД</w:t>
            </w:r>
            <w:r w:rsidRPr="00070ADE">
              <w:rPr>
                <w:color w:val="000000" w:themeColor="text1"/>
                <w:sz w:val="16"/>
                <w:szCs w:val="16"/>
                <w:lang w:val="en-US"/>
              </w:rPr>
              <w:t xml:space="preserve"> Pratt Whitney R-1830-65 c </w:t>
            </w:r>
            <w:r w:rsidRPr="00070ADE">
              <w:rPr>
                <w:color w:val="000000" w:themeColor="text1"/>
                <w:sz w:val="16"/>
                <w:szCs w:val="16"/>
              </w:rPr>
              <w:t>ТН</w:t>
            </w:r>
            <w:r w:rsidRPr="00070ADE">
              <w:rPr>
                <w:color w:val="000000" w:themeColor="text1"/>
                <w:sz w:val="16"/>
                <w:szCs w:val="16"/>
                <w:lang w:val="en-US"/>
              </w:rPr>
              <w:t xml:space="preserve"> General Electric B-22</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C63DD98"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4 ПД Rolls-Royce Merlin 24</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E38D1DA"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4 ПД Швецов</w:t>
            </w:r>
          </w:p>
          <w:p w14:paraId="14D79CE5"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АШ-82ФН ТК</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EAACB0B" w14:textId="77777777" w:rsidR="009A1031" w:rsidRPr="00070ADE" w:rsidRDefault="009A1031" w:rsidP="00B56F90">
            <w:pPr>
              <w:pStyle w:val="ae"/>
              <w:spacing w:before="0" w:after="0"/>
              <w:jc w:val="both"/>
              <w:rPr>
                <w:color w:val="000000" w:themeColor="text1"/>
                <w:sz w:val="16"/>
                <w:szCs w:val="16"/>
                <w:lang w:val="en-US"/>
              </w:rPr>
            </w:pPr>
            <w:r w:rsidRPr="00070ADE">
              <w:rPr>
                <w:color w:val="000000" w:themeColor="text1"/>
                <w:sz w:val="16"/>
                <w:szCs w:val="16"/>
                <w:lang w:val="en-US"/>
              </w:rPr>
              <w:t xml:space="preserve">4 </w:t>
            </w:r>
            <w:r w:rsidRPr="00070ADE">
              <w:rPr>
                <w:color w:val="000000" w:themeColor="text1"/>
                <w:sz w:val="16"/>
                <w:szCs w:val="16"/>
              </w:rPr>
              <w:t>ПД</w:t>
            </w:r>
            <w:r w:rsidRPr="00070ADE">
              <w:rPr>
                <w:color w:val="000000" w:themeColor="text1"/>
                <w:sz w:val="16"/>
                <w:szCs w:val="16"/>
                <w:lang w:val="en-US"/>
              </w:rPr>
              <w:t xml:space="preserve"> Wright R-3350-23(23</w:t>
            </w:r>
            <w:r w:rsidRPr="00070ADE">
              <w:rPr>
                <w:color w:val="000000" w:themeColor="text1"/>
                <w:sz w:val="16"/>
                <w:szCs w:val="16"/>
              </w:rPr>
              <w:t>А</w:t>
            </w:r>
            <w:r w:rsidRPr="00070ADE">
              <w:rPr>
                <w:color w:val="000000" w:themeColor="text1"/>
                <w:sz w:val="16"/>
                <w:szCs w:val="16"/>
                <w:lang w:val="en-US"/>
              </w:rPr>
              <w:t xml:space="preserve">) </w:t>
            </w:r>
            <w:r w:rsidRPr="00070ADE">
              <w:rPr>
                <w:color w:val="000000" w:themeColor="text1"/>
                <w:sz w:val="16"/>
                <w:szCs w:val="16"/>
              </w:rPr>
              <w:t>С</w:t>
            </w:r>
            <w:r w:rsidRPr="00070ADE">
              <w:rPr>
                <w:color w:val="000000" w:themeColor="text1"/>
                <w:sz w:val="16"/>
                <w:szCs w:val="16"/>
                <w:lang w:val="en-US"/>
              </w:rPr>
              <w:t>yclone 18</w:t>
            </w:r>
          </w:p>
        </w:tc>
      </w:tr>
      <w:tr w:rsidR="004D4663" w:rsidRPr="00070ADE" w14:paraId="3E0D51D0"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AE1BA6"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Мощность, л.с.</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3678E50"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4 х 1350</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6CB7930"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4 х 1380</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6F51661"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4 х 1200</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3686F77"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4 х 1640</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888F52E"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4 х 1700</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932D474"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4 х 2200</w:t>
            </w:r>
          </w:p>
        </w:tc>
      </w:tr>
      <w:tr w:rsidR="004D4663" w:rsidRPr="00070ADE" w14:paraId="7C8A6C1A"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0087314"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Максимальная скорость , км/ч</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F3389EC"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443</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73F23C2"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486</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C4BC196"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483</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14E77EE"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462</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A5B902C"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497</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5B6AFFD"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604</w:t>
            </w:r>
          </w:p>
        </w:tc>
      </w:tr>
      <w:tr w:rsidR="004D4663" w:rsidRPr="00070ADE" w14:paraId="674C6A3A"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5621090"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Крейсерская скорость , км/ч</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E224C89"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347</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4DF1703"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362</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D828FA6"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346</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4CDD10A"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350</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6D91851"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388</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186B14B"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547</w:t>
            </w:r>
          </w:p>
        </w:tc>
      </w:tr>
      <w:tr w:rsidR="004D4663" w:rsidRPr="00070ADE" w14:paraId="539C8E7A"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994270E"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Практическая дальность, км</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3AB4B2F"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3600</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D7010BC"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5472</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F3EBAC9"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2736</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4909D97"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4312</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AFA8B56"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5300</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8C04826"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3230</w:t>
            </w:r>
          </w:p>
        </w:tc>
      </w:tr>
      <w:tr w:rsidR="004D4663" w:rsidRPr="00070ADE" w14:paraId="768ABB78"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812D2C2"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Скороподъемность, м/мин</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2C40A8"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352</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DB94140"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274</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7091462"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312</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25FCF2B" w14:textId="348C2158" w:rsidR="009A1031" w:rsidRPr="00070ADE" w:rsidRDefault="00B643A8" w:rsidP="00B56F90">
            <w:pPr>
              <w:pStyle w:val="ae"/>
              <w:spacing w:before="0" w:after="0"/>
              <w:jc w:val="both"/>
              <w:rPr>
                <w:color w:val="000000" w:themeColor="text1"/>
                <w:sz w:val="16"/>
                <w:szCs w:val="16"/>
              </w:rPr>
            </w:pPr>
            <w:r w:rsidRPr="00070ADE">
              <w:rPr>
                <w:color w:val="000000" w:themeColor="text1"/>
                <w:sz w:val="16"/>
                <w:szCs w:val="16"/>
              </w:rPr>
              <w:t xml:space="preserve"> </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09B56C1" w14:textId="245D3BC4" w:rsidR="009A1031" w:rsidRPr="00070ADE" w:rsidRDefault="00B643A8" w:rsidP="00B56F90">
            <w:pPr>
              <w:pStyle w:val="ae"/>
              <w:spacing w:before="0" w:after="0"/>
              <w:jc w:val="both"/>
              <w:rPr>
                <w:color w:val="000000" w:themeColor="text1"/>
                <w:sz w:val="16"/>
                <w:szCs w:val="16"/>
              </w:rPr>
            </w:pPr>
            <w:r w:rsidRPr="00070ADE">
              <w:rPr>
                <w:color w:val="000000" w:themeColor="text1"/>
                <w:sz w:val="16"/>
                <w:szCs w:val="16"/>
              </w:rPr>
              <w:t xml:space="preserve"> </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25BCB14"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280</w:t>
            </w:r>
          </w:p>
        </w:tc>
      </w:tr>
      <w:tr w:rsidR="004D4663" w:rsidRPr="00070ADE" w14:paraId="54A8FF5E"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346E3E7"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Практический потолок, м</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1A1F1C2"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9 300</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CC454FB"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10 851</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2FCC8D2"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8534</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6B0FD81"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7 468</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EF9EFD8"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10 600</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572EADC"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9710</w:t>
            </w:r>
          </w:p>
        </w:tc>
      </w:tr>
      <w:tr w:rsidR="004D4663" w:rsidRPr="00070ADE" w14:paraId="12DEBCE5"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259A651"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Экипаж, чел</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44E6437"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11</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E67764E"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10</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23296EE"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10</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9D50765"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7</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C898CDB"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11</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3ED54E6"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до 10</w:t>
            </w:r>
          </w:p>
        </w:tc>
      </w:tr>
      <w:tr w:rsidR="004D4663" w:rsidRPr="00070ADE" w14:paraId="3FF9EA78" w14:textId="77777777" w:rsidTr="00137373">
        <w:trPr>
          <w:trHeight w:val="180"/>
          <w:tblCellSpacing w:w="0" w:type="dxa"/>
        </w:trPr>
        <w:tc>
          <w:tcPr>
            <w:tcW w:w="142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6015FA8"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Вооружение:</w:t>
            </w:r>
          </w:p>
        </w:tc>
        <w:tc>
          <w:tcPr>
            <w:tcW w:w="1361"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DBF67ED" w14:textId="7EA52401"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Две 20-мм пушки ШВАК, два 12.7-мм пулемета УБТ и</w:t>
            </w:r>
            <w:r w:rsidR="00C63BA9">
              <w:rPr>
                <w:color w:val="000000" w:themeColor="text1"/>
                <w:sz w:val="16"/>
                <w:szCs w:val="16"/>
              </w:rPr>
              <w:t xml:space="preserve"> </w:t>
            </w:r>
            <w:r w:rsidRPr="00070ADE">
              <w:rPr>
                <w:color w:val="000000" w:themeColor="text1"/>
                <w:sz w:val="16"/>
                <w:szCs w:val="16"/>
              </w:rPr>
              <w:t>два 7.62-мм пулемета ШКАС.</w:t>
            </w:r>
          </w:p>
          <w:p w14:paraId="3302DC45" w14:textId="63745467" w:rsidR="009A1031" w:rsidRPr="00070ADE" w:rsidRDefault="00B643A8" w:rsidP="00B56F90">
            <w:pPr>
              <w:pStyle w:val="ae"/>
              <w:spacing w:before="0" w:after="0"/>
              <w:jc w:val="both"/>
              <w:rPr>
                <w:color w:val="000000" w:themeColor="text1"/>
                <w:sz w:val="16"/>
                <w:szCs w:val="16"/>
              </w:rPr>
            </w:pPr>
            <w:r w:rsidRPr="00070ADE">
              <w:rPr>
                <w:color w:val="000000" w:themeColor="text1"/>
                <w:sz w:val="16"/>
                <w:szCs w:val="16"/>
              </w:rPr>
              <w:t xml:space="preserve"> </w:t>
            </w:r>
            <w:r w:rsidR="009A1031" w:rsidRPr="00070ADE">
              <w:rPr>
                <w:color w:val="000000" w:themeColor="text1"/>
                <w:sz w:val="16"/>
                <w:szCs w:val="16"/>
              </w:rPr>
              <w:t>Бомбовая нагрузка -, максимально --4000 кг бомб.</w:t>
            </w:r>
          </w:p>
        </w:tc>
        <w:tc>
          <w:tcPr>
            <w:tcW w:w="1452"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FC90F92"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Тринадцать 12,7-мм пулеметов Colt-Browning M-2. Бомбовая нагрузка максимальная до 7983 кг бомб.</w:t>
            </w:r>
          </w:p>
        </w:tc>
        <w:tc>
          <w:tcPr>
            <w:tcW w:w="106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F6718F9"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Десять 12,7-мм пулеметов Colt-Browning M-2. Бомбовая нагрузка максимальная до 5860 кг бомб</w:t>
            </w:r>
          </w:p>
        </w:tc>
        <w:tc>
          <w:tcPr>
            <w:tcW w:w="1513"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135E67F" w14:textId="4E2250E7" w:rsidR="004E1E82" w:rsidRPr="00070ADE" w:rsidRDefault="009A1031" w:rsidP="00B56F90">
            <w:pPr>
              <w:pStyle w:val="ae"/>
              <w:spacing w:before="0" w:after="0"/>
              <w:jc w:val="both"/>
              <w:rPr>
                <w:color w:val="000000" w:themeColor="text1"/>
                <w:sz w:val="16"/>
                <w:szCs w:val="16"/>
              </w:rPr>
            </w:pPr>
            <w:r w:rsidRPr="00070ADE">
              <w:rPr>
                <w:color w:val="000000" w:themeColor="text1"/>
                <w:sz w:val="16"/>
                <w:szCs w:val="16"/>
              </w:rPr>
              <w:t>Восемь 7,7-мм пулеметов</w:t>
            </w:r>
            <w:r w:rsidR="00B643A8" w:rsidRPr="00070ADE">
              <w:rPr>
                <w:color w:val="000000" w:themeColor="text1"/>
                <w:sz w:val="16"/>
                <w:szCs w:val="16"/>
              </w:rPr>
              <w:t xml:space="preserve"> </w:t>
            </w:r>
          </w:p>
          <w:p w14:paraId="2BD8480A"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Бомбовая нагрузка- включающая одну 9979-кг бомбу или до 6350 кг бомб</w:t>
            </w:r>
          </w:p>
        </w:tc>
        <w:tc>
          <w:tcPr>
            <w:tcW w:w="1004"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350806D"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Четыре 20-мм пушки ШВАК, три 12.7-мм пулемета УБТ</w:t>
            </w:r>
          </w:p>
          <w:p w14:paraId="625B9270" w14:textId="66B0E7FD" w:rsidR="009A1031" w:rsidRPr="00070ADE" w:rsidRDefault="00B643A8" w:rsidP="00B56F90">
            <w:pPr>
              <w:pStyle w:val="ae"/>
              <w:spacing w:before="0" w:after="0"/>
              <w:jc w:val="both"/>
              <w:rPr>
                <w:color w:val="000000" w:themeColor="text1"/>
                <w:sz w:val="16"/>
                <w:szCs w:val="16"/>
              </w:rPr>
            </w:pPr>
            <w:r w:rsidRPr="00070ADE">
              <w:rPr>
                <w:color w:val="000000" w:themeColor="text1"/>
                <w:sz w:val="16"/>
                <w:szCs w:val="16"/>
              </w:rPr>
              <w:t xml:space="preserve"> </w:t>
            </w:r>
            <w:r w:rsidR="009A1031" w:rsidRPr="00070ADE">
              <w:rPr>
                <w:color w:val="000000" w:themeColor="text1"/>
                <w:sz w:val="16"/>
                <w:szCs w:val="16"/>
              </w:rPr>
              <w:t>Бомбовая нагрузка -, максимально --8000 кг бомб.</w:t>
            </w:r>
          </w:p>
        </w:tc>
        <w:tc>
          <w:tcPr>
            <w:tcW w:w="1526"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E0DBF68" w14:textId="77777777" w:rsidR="009A1031" w:rsidRPr="00070ADE" w:rsidRDefault="009A1031" w:rsidP="00B56F90">
            <w:pPr>
              <w:pStyle w:val="ae"/>
              <w:spacing w:before="0" w:after="0"/>
              <w:jc w:val="both"/>
              <w:rPr>
                <w:color w:val="000000" w:themeColor="text1"/>
                <w:sz w:val="16"/>
                <w:szCs w:val="16"/>
              </w:rPr>
            </w:pPr>
            <w:r w:rsidRPr="00070ADE">
              <w:rPr>
                <w:color w:val="000000" w:themeColor="text1"/>
                <w:sz w:val="16"/>
                <w:szCs w:val="16"/>
              </w:rPr>
              <w:t>Десять 12,7-мм пулеметов и одна 20-мм пушка в хвостовой турели.</w:t>
            </w:r>
          </w:p>
          <w:p w14:paraId="2074E821" w14:textId="1BC5D8DD" w:rsidR="009A1031" w:rsidRPr="00070ADE" w:rsidRDefault="00B643A8" w:rsidP="00B56F90">
            <w:pPr>
              <w:pStyle w:val="ae"/>
              <w:spacing w:before="0" w:after="0"/>
              <w:jc w:val="both"/>
              <w:rPr>
                <w:color w:val="000000" w:themeColor="text1"/>
                <w:sz w:val="16"/>
                <w:szCs w:val="16"/>
              </w:rPr>
            </w:pPr>
            <w:r w:rsidRPr="00070ADE">
              <w:rPr>
                <w:color w:val="000000" w:themeColor="text1"/>
                <w:sz w:val="16"/>
                <w:szCs w:val="16"/>
              </w:rPr>
              <w:t xml:space="preserve"> </w:t>
            </w:r>
            <w:r w:rsidR="009A1031" w:rsidRPr="00070ADE">
              <w:rPr>
                <w:color w:val="000000" w:themeColor="text1"/>
                <w:sz w:val="16"/>
                <w:szCs w:val="16"/>
              </w:rPr>
              <w:t>Бомбовая нагрузка – до 9072 кг</w:t>
            </w:r>
          </w:p>
        </w:tc>
      </w:tr>
    </w:tbl>
    <w:p w14:paraId="71A4C513" w14:textId="77777777" w:rsidR="009A1031" w:rsidRPr="00070ADE" w:rsidRDefault="009A1031" w:rsidP="00B56F90">
      <w:pPr>
        <w:pStyle w:val="ae"/>
        <w:shd w:val="clear" w:color="auto" w:fill="FFFFFF"/>
        <w:spacing w:before="0" w:after="0"/>
        <w:jc w:val="both"/>
        <w:rPr>
          <w:noProof/>
          <w:color w:val="000000" w:themeColor="text1"/>
          <w:sz w:val="16"/>
          <w:szCs w:val="16"/>
        </w:rPr>
      </w:pPr>
      <w:r w:rsidRPr="00070ADE">
        <w:rPr>
          <w:noProof/>
          <w:color w:val="000000" w:themeColor="text1"/>
          <w:sz w:val="16"/>
          <w:szCs w:val="16"/>
        </w:rPr>
        <w:t>(12187).</w:t>
      </w:r>
    </w:p>
    <w:p w14:paraId="59294EAE" w14:textId="77777777" w:rsidR="009A1031" w:rsidRPr="00070ADE" w:rsidRDefault="009A1031" w:rsidP="00B56F90">
      <w:pPr>
        <w:pStyle w:val="ae"/>
        <w:shd w:val="clear" w:color="auto" w:fill="FFFFFF"/>
        <w:spacing w:before="0" w:after="0"/>
        <w:jc w:val="both"/>
        <w:rPr>
          <w:color w:val="000000" w:themeColor="text1"/>
          <w:sz w:val="16"/>
          <w:szCs w:val="16"/>
        </w:rPr>
      </w:pPr>
    </w:p>
    <w:p w14:paraId="4BBE38F2" w14:textId="77777777" w:rsidR="00463869" w:rsidRPr="00070ADE" w:rsidRDefault="0046386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командование 215 ИАД (к-р п Якушин, зам. по иас ип Фролов) писало в 3 отд. НИИ ВВС нач. и п Софрину, что на Ла-5 много капотов и поломок винта из-за малого противокапотажного угла, а полевые аэродромы ограничены в размерах (754, 202).</w:t>
      </w:r>
    </w:p>
    <w:p w14:paraId="5B9B8BEE" w14:textId="77777777" w:rsidR="00463869" w:rsidRPr="00070ADE" w:rsidRDefault="0046386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BC4E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 Москве умер Б.С.Вахмистров (438,897).</w:t>
      </w:r>
    </w:p>
    <w:p w14:paraId="732B46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4E25C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70D32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6913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г. были подготовлены ЗАМЕЧАНИЯ К ПИСЬМАМ И ПРОЕКТАМ ПОСТАНОВЛЕНИЙ ГКО, ПРИСЛАННЫМ НАРКОМТАНКОПРОМОМ ДЛЯ СОГЛАСОВАНИЯ</w:t>
      </w:r>
    </w:p>
    <w:p w14:paraId="6A1D49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 письму и проекту постановления об организации на заводе №183 производства новых средних танков Т-44.</w:t>
      </w:r>
    </w:p>
    <w:p w14:paraId="0091CC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Предусмотренный проектом Постановления выпуск танков Т-44 и Т-34-85 снижает общее коли</w:t>
      </w:r>
      <w:r w:rsidRPr="00070ADE">
        <w:rPr>
          <w:rFonts w:ascii="Times New Roman" w:hAnsi="Times New Roman"/>
          <w:color w:val="000000" w:themeColor="text1"/>
          <w:sz w:val="16"/>
          <w:szCs w:val="16"/>
        </w:rPr>
        <w:softHyphen/>
        <w:t>чество поставки танков на 475 шт. за период май-октябрь с.г., что видно из следующего расчета:</w:t>
      </w:r>
    </w:p>
    <w:tbl>
      <w:tblPr>
        <w:tblW w:w="0" w:type="auto"/>
        <w:tblInd w:w="40" w:type="dxa"/>
        <w:tblLayout w:type="fixed"/>
        <w:tblCellMar>
          <w:left w:w="40" w:type="dxa"/>
          <w:right w:w="40" w:type="dxa"/>
        </w:tblCellMar>
        <w:tblLook w:val="0000" w:firstRow="0" w:lastRow="0" w:firstColumn="0" w:lastColumn="0" w:noHBand="0" w:noVBand="0"/>
      </w:tblPr>
      <w:tblGrid>
        <w:gridCol w:w="4166"/>
        <w:gridCol w:w="739"/>
        <w:gridCol w:w="739"/>
        <w:gridCol w:w="739"/>
        <w:gridCol w:w="701"/>
        <w:gridCol w:w="778"/>
        <w:gridCol w:w="739"/>
        <w:gridCol w:w="998"/>
      </w:tblGrid>
      <w:tr w:rsidR="004D4663" w:rsidRPr="00070ADE" w14:paraId="6461DC54" w14:textId="77777777">
        <w:trPr>
          <w:trHeight w:val="384"/>
        </w:trPr>
        <w:tc>
          <w:tcPr>
            <w:tcW w:w="4166" w:type="dxa"/>
            <w:tcBorders>
              <w:top w:val="single" w:sz="6" w:space="0" w:color="auto"/>
              <w:left w:val="single" w:sz="6" w:space="0" w:color="auto"/>
              <w:bottom w:val="single" w:sz="6" w:space="0" w:color="auto"/>
              <w:right w:val="single" w:sz="6" w:space="0" w:color="auto"/>
            </w:tcBorders>
          </w:tcPr>
          <w:p w14:paraId="746D15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DD9E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2C2877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Май</w:t>
            </w:r>
          </w:p>
          <w:p w14:paraId="277FEF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22574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Июнь</w:t>
            </w:r>
          </w:p>
          <w:p w14:paraId="21F80A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3AB11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Июль</w:t>
            </w:r>
          </w:p>
          <w:p w14:paraId="14BCDB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C5000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Август</w:t>
            </w:r>
          </w:p>
          <w:p w14:paraId="142F2F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13B19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Сентябрь</w:t>
            </w:r>
          </w:p>
          <w:p w14:paraId="0354DA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95762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Октябрь</w:t>
            </w:r>
          </w:p>
          <w:p w14:paraId="586859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633DE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за 6 месяцев</w:t>
            </w:r>
          </w:p>
          <w:p w14:paraId="7EDFA2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A542BEC" w14:textId="77777777">
        <w:trPr>
          <w:trHeight w:val="432"/>
        </w:trPr>
        <w:tc>
          <w:tcPr>
            <w:tcW w:w="4166" w:type="dxa"/>
            <w:tcBorders>
              <w:top w:val="single" w:sz="6" w:space="0" w:color="auto"/>
              <w:left w:val="single" w:sz="6" w:space="0" w:color="auto"/>
              <w:bottom w:val="single" w:sz="6" w:space="0" w:color="auto"/>
              <w:right w:val="single" w:sz="6" w:space="0" w:color="auto"/>
            </w:tcBorders>
          </w:tcPr>
          <w:p w14:paraId="194E6E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Минимальный выпуск танков Т-34-85 на заводе №183 составляет:</w:t>
            </w:r>
          </w:p>
          <w:p w14:paraId="70F741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88C2C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149992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2A677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2752785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21DE73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6DEF7E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7D3EB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37F419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A7A0F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27B4A4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81FD5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5846B6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BC5CA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4050</w:t>
            </w:r>
          </w:p>
          <w:p w14:paraId="5DF991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2435AE6" w14:textId="77777777">
        <w:trPr>
          <w:trHeight w:val="432"/>
        </w:trPr>
        <w:tc>
          <w:tcPr>
            <w:tcW w:w="4166" w:type="dxa"/>
            <w:tcBorders>
              <w:top w:val="single" w:sz="6" w:space="0" w:color="auto"/>
              <w:left w:val="single" w:sz="6" w:space="0" w:color="auto"/>
              <w:bottom w:val="single" w:sz="6" w:space="0" w:color="auto"/>
              <w:right w:val="single" w:sz="6" w:space="0" w:color="auto"/>
            </w:tcBorders>
          </w:tcPr>
          <w:p w14:paraId="1A25C8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Суммарный выпуск танков Т-44 и Т-34-85, предла</w:t>
            </w:r>
            <w:r w:rsidRPr="00070ADE">
              <w:rPr>
                <w:rFonts w:ascii="Times New Roman" w:hAnsi="Times New Roman"/>
                <w:color w:val="000000" w:themeColor="text1"/>
                <w:sz w:val="16"/>
                <w:szCs w:val="16"/>
              </w:rPr>
              <w:softHyphen/>
              <w:t>гаемый проектом постановления, составляет:</w:t>
            </w:r>
          </w:p>
          <w:p w14:paraId="367DAF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ED222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2E7A1D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DCC1A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p w14:paraId="3A2F61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6AB4E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p w14:paraId="350073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D5165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66B707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169B15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568552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3B7DA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p w14:paraId="4F3785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0062F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3575</w:t>
            </w:r>
          </w:p>
          <w:p w14:paraId="2859A6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484E33A" w14:textId="77777777">
        <w:trPr>
          <w:trHeight w:val="240"/>
        </w:trPr>
        <w:tc>
          <w:tcPr>
            <w:tcW w:w="4166" w:type="dxa"/>
            <w:tcBorders>
              <w:top w:val="single" w:sz="6" w:space="0" w:color="auto"/>
              <w:left w:val="single" w:sz="6" w:space="0" w:color="auto"/>
              <w:bottom w:val="single" w:sz="6" w:space="0" w:color="auto"/>
              <w:right w:val="single" w:sz="6" w:space="0" w:color="auto"/>
            </w:tcBorders>
          </w:tcPr>
          <w:p w14:paraId="3D02E2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Разница</w:t>
            </w:r>
          </w:p>
          <w:p w14:paraId="32C3A3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668D9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F75EC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9F9C1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7D8695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2F16E9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1D1BAA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958EE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-175</w:t>
            </w:r>
          </w:p>
          <w:p w14:paraId="73C83C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63BD78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-175</w:t>
            </w:r>
          </w:p>
          <w:p w14:paraId="76B7AD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F7CD5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730AC9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FEDC9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-475</w:t>
            </w:r>
          </w:p>
          <w:p w14:paraId="606818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90DF7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расчета видно, что в наиболее напряженный (в части потребности танков) летний период 1944 года, Наркомтанкопром предлагает сократить (только по заводу №183) выпуск танков на 475 штук.</w:t>
      </w:r>
    </w:p>
    <w:p w14:paraId="37E24B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избежание сокращения выпуска лучше (в крайнем случае) несколько увеличить срок полного перехода завода №183 на изготовление танков Т-44 и организовать их выпуск по следующему графику:</w:t>
      </w:r>
    </w:p>
    <w:tbl>
      <w:tblPr>
        <w:tblW w:w="0" w:type="auto"/>
        <w:tblInd w:w="40" w:type="dxa"/>
        <w:tblLayout w:type="fixed"/>
        <w:tblCellMar>
          <w:left w:w="40" w:type="dxa"/>
          <w:right w:w="40" w:type="dxa"/>
        </w:tblCellMar>
        <w:tblLook w:val="0000" w:firstRow="0" w:lastRow="0" w:firstColumn="0" w:lastColumn="0" w:noHBand="0" w:noVBand="0"/>
      </w:tblPr>
      <w:tblGrid>
        <w:gridCol w:w="1421"/>
        <w:gridCol w:w="970"/>
        <w:gridCol w:w="970"/>
        <w:gridCol w:w="970"/>
        <w:gridCol w:w="970"/>
        <w:gridCol w:w="979"/>
        <w:gridCol w:w="970"/>
        <w:gridCol w:w="970"/>
        <w:gridCol w:w="979"/>
      </w:tblGrid>
      <w:tr w:rsidR="004D4663" w:rsidRPr="00070ADE" w14:paraId="69F9FC99" w14:textId="77777777">
        <w:trPr>
          <w:trHeight w:val="278"/>
        </w:trPr>
        <w:tc>
          <w:tcPr>
            <w:tcW w:w="1421" w:type="dxa"/>
            <w:tcBorders>
              <w:top w:val="single" w:sz="6" w:space="0" w:color="auto"/>
              <w:left w:val="single" w:sz="6" w:space="0" w:color="auto"/>
              <w:bottom w:val="nil"/>
              <w:right w:val="single" w:sz="6" w:space="0" w:color="auto"/>
            </w:tcBorders>
          </w:tcPr>
          <w:p w14:paraId="7F6566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Марки машин</w:t>
            </w:r>
          </w:p>
          <w:p w14:paraId="702561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78" w:type="dxa"/>
            <w:gridSpan w:val="8"/>
            <w:tcBorders>
              <w:top w:val="single" w:sz="6" w:space="0" w:color="auto"/>
              <w:left w:val="single" w:sz="6" w:space="0" w:color="auto"/>
              <w:bottom w:val="single" w:sz="6" w:space="0" w:color="auto"/>
              <w:right w:val="single" w:sz="6" w:space="0" w:color="auto"/>
            </w:tcBorders>
          </w:tcPr>
          <w:p w14:paraId="65155B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 производства танков Т-44 и Т-34</w:t>
            </w:r>
          </w:p>
          <w:p w14:paraId="7F61E7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7F0ED34" w14:textId="77777777">
        <w:trPr>
          <w:trHeight w:val="259"/>
        </w:trPr>
        <w:tc>
          <w:tcPr>
            <w:tcW w:w="1421" w:type="dxa"/>
            <w:tcBorders>
              <w:top w:val="nil"/>
              <w:left w:val="single" w:sz="6" w:space="0" w:color="auto"/>
              <w:bottom w:val="single" w:sz="6" w:space="0" w:color="auto"/>
              <w:right w:val="single" w:sz="6" w:space="0" w:color="auto"/>
            </w:tcBorders>
          </w:tcPr>
          <w:p w14:paraId="365C6C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2B37C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ACE1C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Май</w:t>
            </w:r>
          </w:p>
          <w:p w14:paraId="202340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35C2C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Июнь</w:t>
            </w:r>
          </w:p>
          <w:p w14:paraId="021F44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4A421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Июль</w:t>
            </w:r>
          </w:p>
          <w:p w14:paraId="27959B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18477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Август</w:t>
            </w:r>
          </w:p>
          <w:p w14:paraId="41DE7A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F10FF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Сентябрь</w:t>
            </w:r>
          </w:p>
          <w:p w14:paraId="1A210C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0F48D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Октябрь</w:t>
            </w:r>
          </w:p>
          <w:p w14:paraId="40D9EC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34CA7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Ноябрь</w:t>
            </w:r>
          </w:p>
          <w:p w14:paraId="2EBE67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9A28C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w:t>
            </w:r>
          </w:p>
          <w:p w14:paraId="4BE1FE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D97A921" w14:textId="77777777">
        <w:trPr>
          <w:trHeight w:val="278"/>
        </w:trPr>
        <w:tc>
          <w:tcPr>
            <w:tcW w:w="1421" w:type="dxa"/>
            <w:tcBorders>
              <w:top w:val="single" w:sz="6" w:space="0" w:color="auto"/>
              <w:left w:val="single" w:sz="6" w:space="0" w:color="auto"/>
              <w:bottom w:val="single" w:sz="6" w:space="0" w:color="auto"/>
              <w:right w:val="single" w:sz="6" w:space="0" w:color="auto"/>
            </w:tcBorders>
          </w:tcPr>
          <w:p w14:paraId="30C8B1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Т-44</w:t>
            </w:r>
          </w:p>
          <w:p w14:paraId="1E4EF5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63427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29DCF7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D0450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498655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18626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p w14:paraId="527958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43C8D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p w14:paraId="721FCF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967F1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33A9E9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87BB0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550</w:t>
            </w:r>
          </w:p>
          <w:p w14:paraId="5C3398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268B7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p w14:paraId="465B08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D5FB1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4B260B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3C9376D" w14:textId="77777777">
        <w:trPr>
          <w:trHeight w:val="278"/>
        </w:trPr>
        <w:tc>
          <w:tcPr>
            <w:tcW w:w="1421" w:type="dxa"/>
            <w:tcBorders>
              <w:top w:val="single" w:sz="6" w:space="0" w:color="auto"/>
              <w:left w:val="single" w:sz="6" w:space="0" w:color="auto"/>
              <w:bottom w:val="single" w:sz="6" w:space="0" w:color="auto"/>
              <w:right w:val="single" w:sz="6" w:space="0" w:color="auto"/>
            </w:tcBorders>
          </w:tcPr>
          <w:p w14:paraId="0E4001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488558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E9DFC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p w14:paraId="4DE9CF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DCDC6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625</w:t>
            </w:r>
          </w:p>
          <w:p w14:paraId="7A47AC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AADAB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525</w:t>
            </w:r>
          </w:p>
          <w:p w14:paraId="6392B3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DFBE9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375</w:t>
            </w:r>
          </w:p>
          <w:p w14:paraId="1435A9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9B922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175</w:t>
            </w:r>
          </w:p>
          <w:p w14:paraId="7E5E74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8B579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w:t>
            </w:r>
          </w:p>
          <w:p w14:paraId="34F5C2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33699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70B75F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5CC59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B890D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867179F" w14:textId="77777777">
        <w:trPr>
          <w:trHeight w:val="288"/>
        </w:trPr>
        <w:tc>
          <w:tcPr>
            <w:tcW w:w="1421" w:type="dxa"/>
            <w:tcBorders>
              <w:top w:val="single" w:sz="6" w:space="0" w:color="auto"/>
              <w:left w:val="single" w:sz="6" w:space="0" w:color="auto"/>
              <w:bottom w:val="single" w:sz="6" w:space="0" w:color="auto"/>
              <w:right w:val="single" w:sz="6" w:space="0" w:color="auto"/>
            </w:tcBorders>
          </w:tcPr>
          <w:p w14:paraId="396030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танков</w:t>
            </w:r>
          </w:p>
          <w:p w14:paraId="3A2912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4AED2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51C5FF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3EBA2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71D5E1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534B9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42B2E8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494D8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3D5444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4CE71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5EE363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472E8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575A6A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2A248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66CB5F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32DE4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32934F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60202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Указанный выше график может быть принят только в крайнем случае, так как завод №183 имеет все возможности организовать выпуск танков Т-44 по следующему графику:</w:t>
      </w:r>
    </w:p>
    <w:tbl>
      <w:tblPr>
        <w:tblW w:w="0" w:type="auto"/>
        <w:tblInd w:w="40" w:type="dxa"/>
        <w:tblLayout w:type="fixed"/>
        <w:tblCellMar>
          <w:left w:w="40" w:type="dxa"/>
          <w:right w:w="40" w:type="dxa"/>
        </w:tblCellMar>
        <w:tblLook w:val="0000" w:firstRow="0" w:lastRow="0" w:firstColumn="0" w:lastColumn="0" w:noHBand="0" w:noVBand="0"/>
      </w:tblPr>
      <w:tblGrid>
        <w:gridCol w:w="1421"/>
        <w:gridCol w:w="1114"/>
        <w:gridCol w:w="1104"/>
        <w:gridCol w:w="1114"/>
        <w:gridCol w:w="1114"/>
        <w:gridCol w:w="1104"/>
        <w:gridCol w:w="1114"/>
        <w:gridCol w:w="1123"/>
      </w:tblGrid>
      <w:tr w:rsidR="004D4663" w:rsidRPr="00070ADE" w14:paraId="1CAD0F70" w14:textId="77777777">
        <w:trPr>
          <w:trHeight w:val="278"/>
        </w:trPr>
        <w:tc>
          <w:tcPr>
            <w:tcW w:w="1421" w:type="dxa"/>
            <w:tcBorders>
              <w:top w:val="single" w:sz="6" w:space="0" w:color="auto"/>
              <w:left w:val="single" w:sz="6" w:space="0" w:color="auto"/>
              <w:bottom w:val="nil"/>
              <w:right w:val="single" w:sz="6" w:space="0" w:color="auto"/>
            </w:tcBorders>
          </w:tcPr>
          <w:p w14:paraId="161F58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Марки машин</w:t>
            </w:r>
          </w:p>
          <w:p w14:paraId="4B9240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7" w:type="dxa"/>
            <w:gridSpan w:val="7"/>
            <w:tcBorders>
              <w:top w:val="single" w:sz="6" w:space="0" w:color="auto"/>
              <w:left w:val="single" w:sz="6" w:space="0" w:color="auto"/>
              <w:bottom w:val="single" w:sz="6" w:space="0" w:color="auto"/>
              <w:right w:val="single" w:sz="6" w:space="0" w:color="auto"/>
            </w:tcBorders>
          </w:tcPr>
          <w:p w14:paraId="44D365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 машин по месяцам</w:t>
            </w:r>
          </w:p>
          <w:p w14:paraId="7CEC9F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BDB5E0C" w14:textId="77777777">
        <w:trPr>
          <w:trHeight w:val="259"/>
        </w:trPr>
        <w:tc>
          <w:tcPr>
            <w:tcW w:w="1421" w:type="dxa"/>
            <w:tcBorders>
              <w:top w:val="nil"/>
              <w:left w:val="single" w:sz="6" w:space="0" w:color="auto"/>
              <w:bottom w:val="single" w:sz="6" w:space="0" w:color="auto"/>
              <w:right w:val="single" w:sz="6" w:space="0" w:color="auto"/>
            </w:tcBorders>
          </w:tcPr>
          <w:p w14:paraId="3635F2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EA36A3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6E2F8A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Апрель</w:t>
            </w:r>
          </w:p>
          <w:p w14:paraId="30CF80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237B7A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Май</w:t>
            </w:r>
          </w:p>
          <w:p w14:paraId="530CB6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9CC8A2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Июнь</w:t>
            </w:r>
          </w:p>
          <w:p w14:paraId="26DC7A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73531C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Июль</w:t>
            </w:r>
          </w:p>
          <w:p w14:paraId="568A31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0E8A8D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Август</w:t>
            </w:r>
          </w:p>
          <w:p w14:paraId="74629C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060C35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Сентябрь</w:t>
            </w:r>
          </w:p>
          <w:p w14:paraId="1D6B04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D928B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Октябрь</w:t>
            </w:r>
          </w:p>
          <w:p w14:paraId="69EE08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83A3CA6" w14:textId="77777777">
        <w:trPr>
          <w:trHeight w:val="278"/>
        </w:trPr>
        <w:tc>
          <w:tcPr>
            <w:tcW w:w="1421" w:type="dxa"/>
            <w:tcBorders>
              <w:top w:val="single" w:sz="6" w:space="0" w:color="auto"/>
              <w:left w:val="single" w:sz="6" w:space="0" w:color="auto"/>
              <w:bottom w:val="single" w:sz="6" w:space="0" w:color="auto"/>
              <w:right w:val="single" w:sz="6" w:space="0" w:color="auto"/>
            </w:tcBorders>
          </w:tcPr>
          <w:p w14:paraId="59B3DC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Т-44</w:t>
            </w:r>
          </w:p>
          <w:p w14:paraId="642036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42C793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7D83C6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436A3F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5E2545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56E20D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p w14:paraId="392E7F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47E835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p w14:paraId="326305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1BE092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p w14:paraId="115C88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5E1FB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p w14:paraId="696BB1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39866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w:t>
            </w:r>
          </w:p>
          <w:p w14:paraId="689CF3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25BDD24" w14:textId="77777777">
        <w:trPr>
          <w:trHeight w:val="278"/>
        </w:trPr>
        <w:tc>
          <w:tcPr>
            <w:tcW w:w="1421" w:type="dxa"/>
            <w:tcBorders>
              <w:top w:val="single" w:sz="6" w:space="0" w:color="auto"/>
              <w:left w:val="single" w:sz="6" w:space="0" w:color="auto"/>
              <w:bottom w:val="single" w:sz="6" w:space="0" w:color="auto"/>
              <w:right w:val="single" w:sz="6" w:space="0" w:color="auto"/>
            </w:tcBorders>
          </w:tcPr>
          <w:p w14:paraId="1D35A7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2E58D2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08530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p w14:paraId="30AE9B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3591E0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p w14:paraId="385550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3BEE75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550</w:t>
            </w:r>
          </w:p>
          <w:p w14:paraId="462ACF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736B50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p w14:paraId="77053D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1F2569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p w14:paraId="795B29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394511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29C139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4CDAD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18264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0451F19" w14:textId="77777777">
        <w:trPr>
          <w:trHeight w:val="298"/>
        </w:trPr>
        <w:tc>
          <w:tcPr>
            <w:tcW w:w="1421" w:type="dxa"/>
            <w:tcBorders>
              <w:top w:val="single" w:sz="6" w:space="0" w:color="auto"/>
              <w:left w:val="single" w:sz="6" w:space="0" w:color="auto"/>
              <w:bottom w:val="single" w:sz="6" w:space="0" w:color="auto"/>
              <w:right w:val="single" w:sz="6" w:space="0" w:color="auto"/>
            </w:tcBorders>
          </w:tcPr>
          <w:p w14:paraId="293F87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танков</w:t>
            </w:r>
          </w:p>
          <w:p w14:paraId="054574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549085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47668A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43DF4C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688494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414EFD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w:t>
            </w:r>
          </w:p>
          <w:p w14:paraId="0E68D1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6649D5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w:t>
            </w:r>
          </w:p>
          <w:p w14:paraId="399CD4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50A410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w:t>
            </w:r>
          </w:p>
          <w:p w14:paraId="410E85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651F1E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w:t>
            </w:r>
          </w:p>
          <w:p w14:paraId="75F116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CF628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w:t>
            </w:r>
          </w:p>
          <w:p w14:paraId="4A739C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6C6D4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Лучшим решением являлось бы принятие этого графика.</w:t>
      </w:r>
    </w:p>
    <w:p w14:paraId="14D60B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 прилагаемой к проекту краткой тактико-технической характеристике танка Т-44 указан диаметр погона — 1600 мм и 1800 мм.</w:t>
      </w:r>
    </w:p>
    <w:p w14:paraId="7273EB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Необходимо принять вариант с погоном 1800 мм.</w:t>
      </w:r>
    </w:p>
    <w:p w14:paraId="642D33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 проекте постановления ничего не указано о производстве запасных частей к танкам Т-34.</w:t>
      </w:r>
    </w:p>
    <w:p w14:paraId="35175C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Если завод №183 в связи с переходом на изготовление танков Т-44 прекратит полностью выпуск запасных частей к Т-34, это неизбежно повлечет за собой срыв ремонта танков Т-34, так как завод № 183 является основным поставщиком их.</w:t>
      </w:r>
    </w:p>
    <w:p w14:paraId="5C3F01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как в проекте постановления по Кировскому заводу предлагается снять производство тан</w:t>
      </w:r>
      <w:r w:rsidRPr="00070ADE">
        <w:rPr>
          <w:rFonts w:ascii="Times New Roman" w:hAnsi="Times New Roman"/>
          <w:color w:val="000000" w:themeColor="text1"/>
          <w:sz w:val="16"/>
          <w:szCs w:val="16"/>
        </w:rPr>
        <w:softHyphen/>
        <w:t>ков Т-34 и запчастей к ним и на этом заводе, то получается, что поставщиками запасных частей оста</w:t>
      </w:r>
      <w:r w:rsidRPr="00070ADE">
        <w:rPr>
          <w:rFonts w:ascii="Times New Roman" w:hAnsi="Times New Roman"/>
          <w:color w:val="000000" w:themeColor="text1"/>
          <w:sz w:val="16"/>
          <w:szCs w:val="16"/>
        </w:rPr>
        <w:softHyphen/>
        <w:t>ются только заводы №112 и №174.</w:t>
      </w:r>
    </w:p>
    <w:p w14:paraId="782586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№112 не изготовляет основных деталей и узлов, как-то коробка перемены передач, борто</w:t>
      </w:r>
      <w:r w:rsidRPr="00070ADE">
        <w:rPr>
          <w:rFonts w:ascii="Times New Roman" w:hAnsi="Times New Roman"/>
          <w:color w:val="000000" w:themeColor="text1"/>
          <w:sz w:val="16"/>
          <w:szCs w:val="16"/>
        </w:rPr>
        <w:softHyphen/>
        <w:t>вые и главные фрикционы (изготовляет завод №113) и по постановлению ГОКО еще только должен организовать у себя производство 5-ти скоростных коробок перемены передач, то все поставки зап</w:t>
      </w:r>
      <w:r w:rsidRPr="00070ADE">
        <w:rPr>
          <w:rFonts w:ascii="Times New Roman" w:hAnsi="Times New Roman"/>
          <w:color w:val="000000" w:themeColor="text1"/>
          <w:sz w:val="16"/>
          <w:szCs w:val="16"/>
        </w:rPr>
        <w:softHyphen/>
        <w:t>частей к танку Т-34 будут возложены на завод № 174, который не может удовлетворить и 15% потреб</w:t>
      </w:r>
      <w:r w:rsidRPr="00070ADE">
        <w:rPr>
          <w:rFonts w:ascii="Times New Roman" w:hAnsi="Times New Roman"/>
          <w:color w:val="000000" w:themeColor="text1"/>
          <w:sz w:val="16"/>
          <w:szCs w:val="16"/>
        </w:rPr>
        <w:softHyphen/>
        <w:t>ности ГБТУ КА, а по 4-х скоростной коробке и вообще не может изготовлять детали.</w:t>
      </w:r>
    </w:p>
    <w:p w14:paraId="52B679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Необходимо четко решить вопрос о запасных частях, а в предлагаемых проектах постановлений этот вопрос упущен совершенно.</w:t>
      </w:r>
    </w:p>
    <w:p w14:paraId="3D67EA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 письму к проекту постановления о производстве мощных дизелей для тяжелых танков и артсамоходов ИС на заводе №77.</w:t>
      </w:r>
    </w:p>
    <w:p w14:paraId="569816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 случае прекращения выпуска дизельмоторов В-2-34 на заводе №77 в связи с переходом на выпуск дизельмоторов В-11 значительно сократится поставка дизельмоторов для танковых заводов и для ГБТУ КА, а именно:</w:t>
      </w:r>
    </w:p>
    <w:tbl>
      <w:tblPr>
        <w:tblW w:w="0" w:type="auto"/>
        <w:tblInd w:w="40" w:type="dxa"/>
        <w:tblLayout w:type="fixed"/>
        <w:tblCellMar>
          <w:left w:w="40" w:type="dxa"/>
          <w:right w:w="40" w:type="dxa"/>
        </w:tblCellMar>
        <w:tblLook w:val="0000" w:firstRow="0" w:lastRow="0" w:firstColumn="0" w:lastColumn="0" w:noHBand="0" w:noVBand="0"/>
      </w:tblPr>
      <w:tblGrid>
        <w:gridCol w:w="3485"/>
        <w:gridCol w:w="768"/>
        <w:gridCol w:w="835"/>
        <w:gridCol w:w="845"/>
        <w:gridCol w:w="835"/>
        <w:gridCol w:w="845"/>
        <w:gridCol w:w="1162"/>
      </w:tblGrid>
      <w:tr w:rsidR="004D4663" w:rsidRPr="00070ADE" w14:paraId="20CD80FE" w14:textId="77777777">
        <w:trPr>
          <w:trHeight w:val="269"/>
        </w:trPr>
        <w:tc>
          <w:tcPr>
            <w:tcW w:w="3485" w:type="dxa"/>
            <w:tcBorders>
              <w:top w:val="single" w:sz="6" w:space="0" w:color="auto"/>
              <w:left w:val="single" w:sz="6" w:space="0" w:color="auto"/>
              <w:bottom w:val="nil"/>
              <w:right w:val="single" w:sz="6" w:space="0" w:color="auto"/>
            </w:tcBorders>
          </w:tcPr>
          <w:p w14:paraId="2395F0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3219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28" w:type="dxa"/>
            <w:gridSpan w:val="5"/>
            <w:tcBorders>
              <w:top w:val="single" w:sz="6" w:space="0" w:color="auto"/>
              <w:left w:val="single" w:sz="6" w:space="0" w:color="auto"/>
              <w:bottom w:val="single" w:sz="6" w:space="0" w:color="auto"/>
              <w:right w:val="single" w:sz="6" w:space="0" w:color="auto"/>
            </w:tcBorders>
          </w:tcPr>
          <w:p w14:paraId="7EFE24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 по месяцам</w:t>
            </w:r>
          </w:p>
          <w:p w14:paraId="76BCD4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nil"/>
              <w:right w:val="single" w:sz="6" w:space="0" w:color="auto"/>
            </w:tcBorders>
          </w:tcPr>
          <w:p w14:paraId="4542CC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за 5 месяцев</w:t>
            </w:r>
          </w:p>
          <w:p w14:paraId="2EAF94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A8BB463" w14:textId="77777777">
        <w:trPr>
          <w:trHeight w:val="259"/>
        </w:trPr>
        <w:tc>
          <w:tcPr>
            <w:tcW w:w="3485" w:type="dxa"/>
            <w:tcBorders>
              <w:top w:val="nil"/>
              <w:left w:val="single" w:sz="6" w:space="0" w:color="auto"/>
              <w:bottom w:val="single" w:sz="6" w:space="0" w:color="auto"/>
              <w:right w:val="single" w:sz="6" w:space="0" w:color="auto"/>
            </w:tcBorders>
          </w:tcPr>
          <w:p w14:paraId="06DA64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350F5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3F1AA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Март</w:t>
            </w:r>
          </w:p>
          <w:p w14:paraId="792FC7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8F871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Апрель</w:t>
            </w:r>
          </w:p>
          <w:p w14:paraId="2E169F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34E166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Май</w:t>
            </w:r>
          </w:p>
          <w:p w14:paraId="461606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60CD1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Июнь</w:t>
            </w:r>
          </w:p>
          <w:p w14:paraId="44DD7D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00350C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Июль</w:t>
            </w:r>
          </w:p>
          <w:p w14:paraId="0E34DE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single" w:sz="6" w:space="0" w:color="auto"/>
              <w:right w:val="single" w:sz="6" w:space="0" w:color="auto"/>
            </w:tcBorders>
          </w:tcPr>
          <w:p w14:paraId="1D4707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F859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914A769" w14:textId="77777777">
        <w:trPr>
          <w:trHeight w:val="480"/>
        </w:trPr>
        <w:tc>
          <w:tcPr>
            <w:tcW w:w="3485" w:type="dxa"/>
            <w:tcBorders>
              <w:top w:val="single" w:sz="6" w:space="0" w:color="auto"/>
              <w:left w:val="single" w:sz="6" w:space="0" w:color="auto"/>
              <w:bottom w:val="single" w:sz="6" w:space="0" w:color="auto"/>
              <w:right w:val="single" w:sz="6" w:space="0" w:color="auto"/>
            </w:tcBorders>
          </w:tcPr>
          <w:p w14:paraId="5C943B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Минимальный выпуск дизельмоторов В-2-34 заводом №77 составляет</w:t>
            </w:r>
          </w:p>
          <w:p w14:paraId="3DBEF2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17C93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w:t>
            </w:r>
          </w:p>
          <w:p w14:paraId="032BBE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027B5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375</w:t>
            </w:r>
          </w:p>
          <w:p w14:paraId="4E6008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53D86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p w14:paraId="345206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9C005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p w14:paraId="66AF6A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729771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p w14:paraId="36F673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27C882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1925</w:t>
            </w:r>
          </w:p>
          <w:p w14:paraId="52502E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741E70E" w14:textId="77777777">
        <w:trPr>
          <w:trHeight w:val="470"/>
        </w:trPr>
        <w:tc>
          <w:tcPr>
            <w:tcW w:w="3485" w:type="dxa"/>
            <w:tcBorders>
              <w:top w:val="single" w:sz="6" w:space="0" w:color="auto"/>
              <w:left w:val="single" w:sz="6" w:space="0" w:color="auto"/>
              <w:bottom w:val="single" w:sz="6" w:space="0" w:color="auto"/>
              <w:right w:val="single" w:sz="6" w:space="0" w:color="auto"/>
            </w:tcBorders>
          </w:tcPr>
          <w:p w14:paraId="586748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Предлагаемый НКТП выпуск дизельмото</w:t>
            </w:r>
            <w:r w:rsidRPr="00070ADE">
              <w:rPr>
                <w:rFonts w:ascii="Times New Roman" w:hAnsi="Times New Roman"/>
                <w:color w:val="000000" w:themeColor="text1"/>
                <w:sz w:val="16"/>
                <w:szCs w:val="16"/>
              </w:rPr>
              <w:softHyphen/>
              <w:t>ров В-11 составляет</w:t>
            </w:r>
          </w:p>
          <w:p w14:paraId="0D62A7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CC60D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4F745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D3E16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61E59F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4123F1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175</w:t>
            </w:r>
          </w:p>
          <w:p w14:paraId="1AE433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F8583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p w14:paraId="00198D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6F5BA7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375</w:t>
            </w:r>
          </w:p>
          <w:p w14:paraId="2A42C6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5EB61F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850</w:t>
            </w:r>
          </w:p>
          <w:p w14:paraId="0BE40F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61332A5" w14:textId="77777777">
        <w:trPr>
          <w:trHeight w:val="298"/>
        </w:trPr>
        <w:tc>
          <w:tcPr>
            <w:tcW w:w="3485" w:type="dxa"/>
            <w:tcBorders>
              <w:top w:val="single" w:sz="6" w:space="0" w:color="auto"/>
              <w:left w:val="single" w:sz="6" w:space="0" w:color="auto"/>
              <w:bottom w:val="single" w:sz="6" w:space="0" w:color="auto"/>
              <w:right w:val="single" w:sz="6" w:space="0" w:color="auto"/>
            </w:tcBorders>
          </w:tcPr>
          <w:p w14:paraId="4649E6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Разница</w:t>
            </w:r>
          </w:p>
          <w:p w14:paraId="1C1870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09382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w:t>
            </w:r>
          </w:p>
          <w:p w14:paraId="660620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40BE8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325</w:t>
            </w:r>
          </w:p>
          <w:p w14:paraId="27F4DD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77EA7F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225</w:t>
            </w:r>
          </w:p>
          <w:p w14:paraId="7A3329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7C695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p w14:paraId="3854AD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239E05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004789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537986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1075</w:t>
            </w:r>
          </w:p>
          <w:p w14:paraId="78191A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98ADE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предлагаемый проект предусматривает снижение поставки дизельмоторов для ГБТУ КА на 400 шт., а именно:</w:t>
      </w:r>
    </w:p>
    <w:tbl>
      <w:tblPr>
        <w:tblW w:w="0" w:type="auto"/>
        <w:tblInd w:w="40" w:type="dxa"/>
        <w:tblLayout w:type="fixed"/>
        <w:tblCellMar>
          <w:left w:w="40" w:type="dxa"/>
          <w:right w:w="40" w:type="dxa"/>
        </w:tblCellMar>
        <w:tblLook w:val="0000" w:firstRow="0" w:lastRow="0" w:firstColumn="0" w:lastColumn="0" w:noHBand="0" w:noVBand="0"/>
      </w:tblPr>
      <w:tblGrid>
        <w:gridCol w:w="3485"/>
        <w:gridCol w:w="1027"/>
        <w:gridCol w:w="1027"/>
        <w:gridCol w:w="1037"/>
        <w:gridCol w:w="1037"/>
        <w:gridCol w:w="1162"/>
      </w:tblGrid>
      <w:tr w:rsidR="004D4663" w:rsidRPr="00070ADE" w14:paraId="146B05C0" w14:textId="77777777">
        <w:trPr>
          <w:trHeight w:val="269"/>
        </w:trPr>
        <w:tc>
          <w:tcPr>
            <w:tcW w:w="3485" w:type="dxa"/>
            <w:tcBorders>
              <w:top w:val="single" w:sz="6" w:space="0" w:color="auto"/>
              <w:left w:val="single" w:sz="6" w:space="0" w:color="auto"/>
              <w:bottom w:val="nil"/>
              <w:right w:val="single" w:sz="6" w:space="0" w:color="auto"/>
            </w:tcBorders>
          </w:tcPr>
          <w:p w14:paraId="3F793B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EDC7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28" w:type="dxa"/>
            <w:gridSpan w:val="4"/>
            <w:tcBorders>
              <w:top w:val="single" w:sz="6" w:space="0" w:color="auto"/>
              <w:left w:val="single" w:sz="6" w:space="0" w:color="auto"/>
              <w:bottom w:val="single" w:sz="6" w:space="0" w:color="auto"/>
              <w:right w:val="single" w:sz="6" w:space="0" w:color="auto"/>
            </w:tcBorders>
          </w:tcPr>
          <w:p w14:paraId="450CF1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 по месяцам</w:t>
            </w:r>
          </w:p>
          <w:p w14:paraId="1CAC76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nil"/>
              <w:right w:val="single" w:sz="6" w:space="0" w:color="auto"/>
            </w:tcBorders>
          </w:tcPr>
          <w:p w14:paraId="1F4E46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за 4 месяца</w:t>
            </w:r>
          </w:p>
          <w:p w14:paraId="18E496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E0978CB" w14:textId="77777777">
        <w:trPr>
          <w:trHeight w:val="259"/>
        </w:trPr>
        <w:tc>
          <w:tcPr>
            <w:tcW w:w="3485" w:type="dxa"/>
            <w:tcBorders>
              <w:top w:val="nil"/>
              <w:left w:val="single" w:sz="6" w:space="0" w:color="auto"/>
              <w:bottom w:val="single" w:sz="6" w:space="0" w:color="auto"/>
              <w:right w:val="single" w:sz="6" w:space="0" w:color="auto"/>
            </w:tcBorders>
          </w:tcPr>
          <w:p w14:paraId="68C854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869B2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9F1F8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Март</w:t>
            </w:r>
          </w:p>
          <w:p w14:paraId="12EA2B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C8CDD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Апрель</w:t>
            </w:r>
          </w:p>
          <w:p w14:paraId="030A1E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6413D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Май</w:t>
            </w:r>
          </w:p>
          <w:p w14:paraId="7FE868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1F70B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Июнь</w:t>
            </w:r>
          </w:p>
          <w:p w14:paraId="4D7D1A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single" w:sz="6" w:space="0" w:color="auto"/>
              <w:right w:val="single" w:sz="6" w:space="0" w:color="auto"/>
            </w:tcBorders>
          </w:tcPr>
          <w:p w14:paraId="536AAC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73DD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2C79A86" w14:textId="77777777">
        <w:trPr>
          <w:trHeight w:val="480"/>
        </w:trPr>
        <w:tc>
          <w:tcPr>
            <w:tcW w:w="3485" w:type="dxa"/>
            <w:tcBorders>
              <w:top w:val="single" w:sz="6" w:space="0" w:color="auto"/>
              <w:left w:val="single" w:sz="6" w:space="0" w:color="auto"/>
              <w:bottom w:val="single" w:sz="6" w:space="0" w:color="auto"/>
              <w:right w:val="single" w:sz="6" w:space="0" w:color="auto"/>
            </w:tcBorders>
          </w:tcPr>
          <w:p w14:paraId="4C6BFC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ГБТУ КА получит ежемесячно дизель-моторов (по программе февраля)</w:t>
            </w:r>
          </w:p>
          <w:p w14:paraId="65CC5F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C7638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275</w:t>
            </w:r>
          </w:p>
          <w:p w14:paraId="0E507D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0F5D9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275</w:t>
            </w:r>
          </w:p>
          <w:p w14:paraId="32B6B1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5B878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275</w:t>
            </w:r>
          </w:p>
          <w:p w14:paraId="3104B5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CA39F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275</w:t>
            </w:r>
          </w:p>
          <w:p w14:paraId="4C3C05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35A7BE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1100</w:t>
            </w:r>
          </w:p>
          <w:p w14:paraId="7F45C5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81FA221" w14:textId="77777777">
        <w:trPr>
          <w:trHeight w:val="480"/>
        </w:trPr>
        <w:tc>
          <w:tcPr>
            <w:tcW w:w="3485" w:type="dxa"/>
            <w:tcBorders>
              <w:top w:val="single" w:sz="6" w:space="0" w:color="auto"/>
              <w:left w:val="single" w:sz="6" w:space="0" w:color="auto"/>
              <w:bottom w:val="single" w:sz="6" w:space="0" w:color="auto"/>
              <w:right w:val="single" w:sz="6" w:space="0" w:color="auto"/>
            </w:tcBorders>
          </w:tcPr>
          <w:p w14:paraId="2E7FD6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проекту постановления предлагается сдавать</w:t>
            </w:r>
          </w:p>
          <w:p w14:paraId="795F70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D7740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42F2CB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785A0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p w14:paraId="5C5EEC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097C1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18E48A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2A42B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p w14:paraId="3F1828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1CC9F1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w:t>
            </w:r>
          </w:p>
          <w:p w14:paraId="0A5133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0D38609" w14:textId="77777777">
        <w:trPr>
          <w:trHeight w:val="298"/>
        </w:trPr>
        <w:tc>
          <w:tcPr>
            <w:tcW w:w="3485" w:type="dxa"/>
            <w:tcBorders>
              <w:top w:val="single" w:sz="6" w:space="0" w:color="auto"/>
              <w:left w:val="single" w:sz="6" w:space="0" w:color="auto"/>
              <w:bottom w:val="single" w:sz="6" w:space="0" w:color="auto"/>
              <w:right w:val="single" w:sz="6" w:space="0" w:color="auto"/>
            </w:tcBorders>
          </w:tcPr>
          <w:p w14:paraId="209BBF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Разница</w:t>
            </w:r>
          </w:p>
          <w:p w14:paraId="1203FB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DE17D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175</w:t>
            </w:r>
          </w:p>
          <w:p w14:paraId="0E8F4D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2A9C2E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w:t>
            </w:r>
          </w:p>
          <w:p w14:paraId="44BEC3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560EE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52A330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9913C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33BFF2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65C167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p w14:paraId="47BAB5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DCA00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Резерв дизельмоторов в количестве 250 шт. тоже предлагается аннулировать.</w:t>
      </w:r>
    </w:p>
    <w:p w14:paraId="398ACA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 общая потеря дизельмоторов составляет:</w:t>
      </w:r>
    </w:p>
    <w:p w14:paraId="1C7E85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1075 + 400 + 250 = 1725.</w:t>
      </w:r>
    </w:p>
    <w:p w14:paraId="3CDCB6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 запчастей к дизелъмоторам В-2-34 сокращается по предлагаемому проекту на 10,6 млн. руб.</w:t>
      </w:r>
    </w:p>
    <w:p w14:paraId="7A5A60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Дизельмотор В-11 на максимальной мощности 700 л. с. продолжительное время надежно рабо</w:t>
      </w:r>
      <w:r w:rsidRPr="00070ADE">
        <w:rPr>
          <w:rFonts w:ascii="Times New Roman" w:hAnsi="Times New Roman"/>
          <w:color w:val="000000" w:themeColor="text1"/>
          <w:sz w:val="16"/>
          <w:szCs w:val="16"/>
        </w:rPr>
        <w:softHyphen/>
        <w:t>тать не может.</w:t>
      </w:r>
    </w:p>
    <w:p w14:paraId="782C36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эксплуатационная мощность, установленная на испытаниях, равна 620 л. с. при 2100 об/мин.</w:t>
      </w:r>
    </w:p>
    <w:p w14:paraId="533185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Номинальная мощность двигателя 560 л. с. при 2000 об/мин., т. е. только на 60 л. с. больше суще</w:t>
      </w:r>
      <w:r w:rsidRPr="00070ADE">
        <w:rPr>
          <w:rFonts w:ascii="Times New Roman" w:hAnsi="Times New Roman"/>
          <w:color w:val="000000" w:themeColor="text1"/>
          <w:sz w:val="16"/>
          <w:szCs w:val="16"/>
        </w:rPr>
        <w:softHyphen/>
        <w:t>ствующего дизельмотора В-2-ИС.</w:t>
      </w:r>
    </w:p>
    <w:p w14:paraId="2DCE56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Такое увеличение мощности не дает значительного улучшения динамических свойств танка ИС, и не решает вопроса создания мощного двигателя для тяжелых танков (перспективных).</w:t>
      </w:r>
    </w:p>
    <w:p w14:paraId="5FD2A5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Учитывая изложенное, считаю целесообразным не снимать с производства завода №77 дизель-моторы В-2-34 и запчасти к нему.</w:t>
      </w:r>
    </w:p>
    <w:p w14:paraId="2F2759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Установку дизельмоторов В-11 в танки и артсамоходы производить в количествах и сроки, ука</w:t>
      </w:r>
      <w:r w:rsidRPr="00070ADE">
        <w:rPr>
          <w:rFonts w:ascii="Times New Roman" w:hAnsi="Times New Roman"/>
          <w:color w:val="000000" w:themeColor="text1"/>
          <w:sz w:val="16"/>
          <w:szCs w:val="16"/>
        </w:rPr>
        <w:softHyphen/>
        <w:t>занные в проекте постановления для Кировского завода, что дает возможность не уменьшать выпу</w:t>
      </w:r>
      <w:r w:rsidRPr="00070ADE">
        <w:rPr>
          <w:rFonts w:ascii="Times New Roman" w:hAnsi="Times New Roman"/>
          <w:color w:val="000000" w:themeColor="text1"/>
          <w:sz w:val="16"/>
          <w:szCs w:val="16"/>
        </w:rPr>
        <w:softHyphen/>
        <w:t>ска дизельмоторов, а перенос срока установки дизельмоторов В-11 в танки и артсамоходы ИС с мая месяца на июль не будет иметь большого значения.</w:t>
      </w:r>
    </w:p>
    <w:p w14:paraId="13AF3C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 письму и проекту постановления об увеличении производства тяжелых танков и артсамо-ходов ИС на Кировском заводе.</w:t>
      </w:r>
    </w:p>
    <w:p w14:paraId="44A213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Проект постановления предусматривает снятие с производства танков Т-34 и запчастей к ним с Кировского завода, начиная с 1 апреля с.г., что означает снижение выпуска танков Т-34 в 1944 году на 630 шт. с учетом, что по письму 80 шт. ежемесячно будут компенсированы за счет других заводов НКТП, хотя в проекте постановления это не указано. (Потеря месячная составляет 150 — 80 = 70 шт., а до конца года 70x9 = 630 шт.)</w:t>
      </w:r>
    </w:p>
    <w:p w14:paraId="18D8D5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Учитывая предлагаемое проектом постановления снижение выпуска танков Т-34 по заводу №183 в количестве 475 шт., общее снижение по обоим заводам будет составлять 630 + 475 = 1105 танков.</w:t>
      </w:r>
    </w:p>
    <w:p w14:paraId="518F9F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 проекте не указано за счет каких заводов и по сколько в месяц на каждом из них предусмотре</w:t>
      </w:r>
      <w:r w:rsidRPr="00070ADE">
        <w:rPr>
          <w:rFonts w:ascii="Times New Roman" w:hAnsi="Times New Roman"/>
          <w:color w:val="000000" w:themeColor="text1"/>
          <w:sz w:val="16"/>
          <w:szCs w:val="16"/>
        </w:rPr>
        <w:softHyphen/>
        <w:t>на компенсация 80-100 танков Т-34 в месяц в связи со снятием их производства на Кировском заводе.</w:t>
      </w:r>
    </w:p>
    <w:p w14:paraId="0DDB2D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Увеличение выпуска тяжелых танков и артсамоходов на Кировском заводе предусмотрено малое. Завод имеет возможность увеличить выпуск по следующему графику:</w:t>
      </w:r>
    </w:p>
    <w:tbl>
      <w:tblPr>
        <w:tblW w:w="0" w:type="auto"/>
        <w:tblInd w:w="40" w:type="dxa"/>
        <w:tblLayout w:type="fixed"/>
        <w:tblCellMar>
          <w:left w:w="40" w:type="dxa"/>
          <w:right w:w="40" w:type="dxa"/>
        </w:tblCellMar>
        <w:tblLook w:val="0000" w:firstRow="0" w:lastRow="0" w:firstColumn="0" w:lastColumn="0" w:noHBand="0" w:noVBand="0"/>
      </w:tblPr>
      <w:tblGrid>
        <w:gridCol w:w="2928"/>
        <w:gridCol w:w="1363"/>
        <w:gridCol w:w="1363"/>
        <w:gridCol w:w="1363"/>
        <w:gridCol w:w="1382"/>
      </w:tblGrid>
      <w:tr w:rsidR="004D4663" w:rsidRPr="00070ADE" w14:paraId="641781A4"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2C5C87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D52D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1380B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Март</w:t>
            </w:r>
          </w:p>
          <w:p w14:paraId="4E1D81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CFE8D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Апрель</w:t>
            </w:r>
          </w:p>
          <w:p w14:paraId="2C7DCA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0CCCE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Май</w:t>
            </w:r>
          </w:p>
          <w:p w14:paraId="7C0DC4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73FDD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Июнь</w:t>
            </w:r>
          </w:p>
          <w:p w14:paraId="2829BB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4C47A16" w14:textId="77777777">
        <w:trPr>
          <w:trHeight w:val="278"/>
        </w:trPr>
        <w:tc>
          <w:tcPr>
            <w:tcW w:w="2928" w:type="dxa"/>
            <w:tcBorders>
              <w:top w:val="single" w:sz="6" w:space="0" w:color="auto"/>
              <w:left w:val="single" w:sz="6" w:space="0" w:color="auto"/>
              <w:bottom w:val="single" w:sz="6" w:space="0" w:color="auto"/>
              <w:right w:val="single" w:sz="6" w:space="0" w:color="auto"/>
            </w:tcBorders>
          </w:tcPr>
          <w:p w14:paraId="74D551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Танки ИС с 122-мм пушкой</w:t>
            </w:r>
          </w:p>
          <w:p w14:paraId="369D30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76007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4A1EDA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CA156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p w14:paraId="748B19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76BF9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2454F8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ABACF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275</w:t>
            </w:r>
          </w:p>
          <w:p w14:paraId="1BAF72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6403069" w14:textId="77777777">
        <w:trPr>
          <w:trHeight w:val="269"/>
        </w:trPr>
        <w:tc>
          <w:tcPr>
            <w:tcW w:w="2928" w:type="dxa"/>
            <w:tcBorders>
              <w:top w:val="single" w:sz="6" w:space="0" w:color="auto"/>
              <w:left w:val="single" w:sz="6" w:space="0" w:color="auto"/>
              <w:bottom w:val="single" w:sz="6" w:space="0" w:color="auto"/>
              <w:right w:val="single" w:sz="6" w:space="0" w:color="auto"/>
            </w:tcBorders>
          </w:tcPr>
          <w:p w14:paraId="708C7F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Артсамоходы с 152-мм пушкой</w:t>
            </w:r>
          </w:p>
          <w:p w14:paraId="58FD6B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D0341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p w14:paraId="50EE0EC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7B9CB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0DB814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9ED8A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225</w:t>
            </w:r>
          </w:p>
          <w:p w14:paraId="58DCCF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9FE1D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225</w:t>
            </w:r>
          </w:p>
          <w:p w14:paraId="14BD89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7277B96" w14:textId="77777777">
        <w:trPr>
          <w:trHeight w:val="298"/>
        </w:trPr>
        <w:tc>
          <w:tcPr>
            <w:tcW w:w="2928" w:type="dxa"/>
            <w:tcBorders>
              <w:top w:val="single" w:sz="6" w:space="0" w:color="auto"/>
              <w:left w:val="single" w:sz="6" w:space="0" w:color="auto"/>
              <w:bottom w:val="single" w:sz="6" w:space="0" w:color="auto"/>
              <w:right w:val="single" w:sz="6" w:space="0" w:color="auto"/>
            </w:tcBorders>
          </w:tcPr>
          <w:p w14:paraId="278E00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0DC20F2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8CBC1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p w14:paraId="6BC29B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3D588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w:t>
            </w:r>
          </w:p>
          <w:p w14:paraId="51F486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CE852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425</w:t>
            </w:r>
          </w:p>
          <w:p w14:paraId="67C2A7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193D8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0FDC72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0BCFA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Главного бронетанкового управления Красной Армии генерал-лейтенант танковых войск Вершинин</w:t>
      </w:r>
    </w:p>
    <w:p w14:paraId="4CD6F5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ТУ ГБТУ Красной Армии инженер-подполковник Егоров</w:t>
      </w:r>
    </w:p>
    <w:p w14:paraId="6D8E74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11355а. Д. 361д. Л. 25-29. Подлинник (11403).</w:t>
      </w:r>
    </w:p>
    <w:p w14:paraId="0D297B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97E8A7C" w14:textId="77777777" w:rsidR="00B246E7" w:rsidRPr="00C94B78" w:rsidRDefault="00B246E7"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 xml:space="preserve">5 марта 1944 года вышло постановление ГКО № 5306сс 20 «О строительстве в 1944 году зенитных бронеплощадок ПВО-4», согласно которому завод «Стальмост» должен был во </w:t>
      </w:r>
      <w:r w:rsidRPr="00C94B78">
        <w:rPr>
          <w:rStyle w:val="aff1"/>
          <w:rFonts w:ascii="Times New Roman" w:hAnsi="Times New Roman" w:cs="Times New Roman"/>
          <w:color w:val="0070C0"/>
          <w:spacing w:val="0"/>
          <w:sz w:val="16"/>
          <w:szCs w:val="16"/>
          <w:lang w:val="en-US"/>
        </w:rPr>
        <w:t>II</w:t>
      </w:r>
      <w:r w:rsidRPr="00C94B78">
        <w:rPr>
          <w:rStyle w:val="aff1"/>
          <w:rFonts w:ascii="Times New Roman" w:hAnsi="Times New Roman" w:cs="Times New Roman"/>
          <w:color w:val="0070C0"/>
          <w:spacing w:val="0"/>
          <w:sz w:val="16"/>
          <w:szCs w:val="16"/>
        </w:rPr>
        <w:t xml:space="preserve"> – </w:t>
      </w:r>
      <w:r w:rsidRPr="00C94B78">
        <w:rPr>
          <w:rStyle w:val="aff1"/>
          <w:rFonts w:ascii="Times New Roman" w:hAnsi="Times New Roman" w:cs="Times New Roman"/>
          <w:color w:val="0070C0"/>
          <w:spacing w:val="0"/>
          <w:sz w:val="16"/>
          <w:szCs w:val="16"/>
          <w:lang w:val="en-US"/>
        </w:rPr>
        <w:t>III</w:t>
      </w:r>
      <w:r w:rsidRPr="00C94B78">
        <w:rPr>
          <w:rStyle w:val="aff1"/>
          <w:rFonts w:ascii="Times New Roman" w:hAnsi="Times New Roman" w:cs="Times New Roman"/>
          <w:color w:val="0070C0"/>
          <w:spacing w:val="0"/>
          <w:sz w:val="16"/>
          <w:szCs w:val="16"/>
        </w:rPr>
        <w:t xml:space="preserve"> кварталах изготовить 17 бронеплощадок ПВО</w:t>
      </w:r>
      <w:r w:rsidRPr="00C94B78">
        <w:rPr>
          <w:rStyle w:val="aff1"/>
          <w:rFonts w:ascii="Times New Roman" w:hAnsi="Times New Roman" w:cs="Times New Roman"/>
          <w:color w:val="0070C0"/>
          <w:spacing w:val="0"/>
          <w:sz w:val="16"/>
          <w:szCs w:val="16"/>
        </w:rPr>
        <w:softHyphen/>
        <w:t>4 для замены ими самодельных в составе бронепоездов.</w:t>
      </w:r>
    </w:p>
    <w:p w14:paraId="0693B9BA" w14:textId="77777777" w:rsidR="00B246E7" w:rsidRPr="00C94B78" w:rsidRDefault="00B246E7"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Бронеплощадки в счет этого постановления ГКО «Стальмост» изготовил в июле – ноябре, и еще семь собрал сверхплана до конца 1944 года из имеющегося задела. Всего в ходе войны завод «Стальмост» построил и дооборудовал 101 бронеплощадку ПВО-4 (25635).</w:t>
      </w:r>
    </w:p>
    <w:p w14:paraId="6C48BFA7" w14:textId="77777777" w:rsidR="00B246E7" w:rsidRPr="00C94B78" w:rsidRDefault="00B246E7" w:rsidP="00B56F90">
      <w:pPr>
        <w:spacing w:after="0" w:line="240" w:lineRule="auto"/>
        <w:jc w:val="both"/>
        <w:rPr>
          <w:rFonts w:ascii="Times New Roman" w:hAnsi="Times New Roman"/>
          <w:color w:val="0070C0"/>
          <w:sz w:val="16"/>
          <w:szCs w:val="16"/>
        </w:rPr>
      </w:pPr>
    </w:p>
    <w:p w14:paraId="0B7497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г. распоряжением Совета Народных Комиссаров СССР было создано Московское отделение Всесоюзного научно-исследовательского института гидролизной и сульфитно-спиртовой промышленности (ВНИИГС) Постановлением ВСНХ СССР от 7 сентября 1963 г. на базе отделения создан институт ВНИИсинтезбелок (12102).</w:t>
      </w:r>
    </w:p>
    <w:p w14:paraId="12DA53DB" w14:textId="77777777" w:rsidR="006E7509" w:rsidRPr="00070ADE" w:rsidRDefault="006E7509" w:rsidP="00B56F90">
      <w:pPr>
        <w:autoSpaceDE w:val="0"/>
        <w:autoSpaceDN w:val="0"/>
        <w:adjustRightInd w:val="0"/>
        <w:spacing w:after="0" w:line="240" w:lineRule="auto"/>
        <w:jc w:val="both"/>
        <w:rPr>
          <w:rFonts w:ascii="Times New Roman" w:hAnsi="Times New Roman"/>
          <w:color w:val="000000" w:themeColor="text1"/>
          <w:sz w:val="16"/>
          <w:szCs w:val="16"/>
        </w:rPr>
      </w:pPr>
    </w:p>
    <w:p w14:paraId="5CCFAC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Распоряжение ГКО № 5283. О продлении до 1 апреля 1944 г. срока работы пеших рабочих и возчиков с лошадьми на заготовке и вывозке древесины в районах УССР, не выполнивших план. РГАНИР, Фонд ГКО, д. 215, лл. 35 (11012).</w:t>
      </w:r>
    </w:p>
    <w:p w14:paraId="2618E6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442C0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Распоряжение ГКО № 5284. О завозе импортного оборудования на Бакальский и Гороблагодатский железные рудники НКЧМ. РГАНИР, Фонд ГКО, д. 215, лл. 36 (11012).</w:t>
      </w:r>
    </w:p>
    <w:p w14:paraId="2FD780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97C6D4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Распоряжение ГКО № 5285 [Об отправке 600 лошадей на восстановление Днепровской ГЭС им. В.И. Ленина.] (7195, 37).</w:t>
      </w:r>
    </w:p>
    <w:p w14:paraId="357866C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0BA6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Распоряжение ГКО № 5286. О забронировании на Бакшеевском торфопредприятии НКЭС 35 тыс. т торфа для поставки во II кв. 1944 г. заводу № 14 НКБ. РГАНИР, Фонд ГКО, д. 215, лл. 38 (11012).</w:t>
      </w:r>
    </w:p>
    <w:p w14:paraId="44EE1E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E1BF0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Распоряжение ГКО № 5288. О закупке за рубежом оборудования для Днепродзержинского вагоностроительного завода им. газеты "Правда" НКСМ. РГАНИР, Фонд ГКО, д. 215, лл. 41,42-44 (11012).</w:t>
      </w:r>
    </w:p>
    <w:p w14:paraId="10F477E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DA97B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Распоряжение ГКО № 5289. О мерах по ликвидации перерасхода электроэнергии на освещение и быт по системе Мосэнерго. РГАНИР, Фонд ГКО, д. 215, лл. 45 (11012).</w:t>
      </w:r>
    </w:p>
    <w:p w14:paraId="39F633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524AC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Распоряжение ГКО № 5290. О мерах по обеспечению ДА маскировочными красками в весенне-летний период 1944 г. РГАНИР, Фонд ГКО, д. 215, лл. 46-48 (11012).</w:t>
      </w:r>
    </w:p>
    <w:p w14:paraId="5AEDE8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408F1F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Распоряжение ГКО № 5291 [О поставках материалов и оборудования Донским хромитовым рудникам НКВД в I и II кв. 1944 г.] (7195, 49-50,51-54).</w:t>
      </w:r>
    </w:p>
    <w:p w14:paraId="163857D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8FBB4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Распоряжение ГКО № 5292 [О продлении до 15 марта 1944 г. срока работ на дровозаготовках для Москвы возчиков с лошадьми, мобилизованных по постановлению ГКО № 4650 от 23 ноября 1943 г.] (7195, 55).</w:t>
      </w:r>
    </w:p>
    <w:p w14:paraId="4710BEF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7B66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Распоряжение ГКО № 5293. О поставке Главснаблесом при СНК СССР дров заводу № 63 НКБ из ресурсов Ивдельлага НКВРГАНИР, Фонд ГКО, д. РГАНИР, Фонд ГКО, д. 215, лл. 56 (11012).</w:t>
      </w:r>
    </w:p>
    <w:p w14:paraId="611407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880399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Распоряжение ГКО № 5294 [О разведке и испытании промышленных запасов ванадиевых руд Каратауского месторождения в 1944 г.] (7195, 57-58).</w:t>
      </w:r>
    </w:p>
    <w:p w14:paraId="4A2EBF7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74B92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Распоряжение ГКО № 5295 [О мерах по обеспечению бесперебойной работы Саткинского огнеупорного завода "Магнезит".] (7195, 59-61).</w:t>
      </w:r>
    </w:p>
    <w:p w14:paraId="5EF02DD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1A6F3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Распоряжение ГКО № 5296 [О выделении площадей для размещения аппарата Главкислорода при СНК СССР, Комитета стандартов при СНК СССР, постпредства и других организаций УССР.] (7195, 62).</w:t>
      </w:r>
    </w:p>
    <w:p w14:paraId="74284A1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B05E4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Распоряжение ГКО № 5297 [О мерах по обеспечению ввода в действие коксовой батареи № 1 Челябинского металлургического завода НКЧМ.] (7195, 63-64,65-67).</w:t>
      </w:r>
    </w:p>
    <w:p w14:paraId="311CB91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F624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Распоряжение ГКО № 5298. О продлении до 1 июня 1944 г. срока работ 750 чел. из запасных войсковых частей на строительстве бронетанкового полигона ГБТУ КА. РГАНИР, Фонд ГКО, д. 215, лл. 68 (11012).</w:t>
      </w:r>
    </w:p>
    <w:p w14:paraId="3EDBF3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71163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Распоряжение ГКО № 5299. О поставках Союзвзрывпрому НКПСМ СССР 350 т аммиачной селитры в марте 1944 г. и освобождении НКБ от поставки ему 350 т аммонитов. РГАНИР, Фонд ГКО, д. 215, лл. 69 (11012).</w:t>
      </w:r>
    </w:p>
    <w:p w14:paraId="1113DB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1C560D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5 марта 1944 вышло Распоряжение ГКО № 5300 [О поставке НКБП в марте 1944 г. 200 т прокладочного картона для НКХП и о мобилизации в Молотовской обл. 100 </w:t>
      </w:r>
      <w:r w:rsidRPr="00070ADE">
        <w:rPr>
          <w:rFonts w:ascii="Times New Roman" w:hAnsi="Times New Roman"/>
          <w:color w:val="000000" w:themeColor="text1"/>
          <w:sz w:val="16"/>
          <w:szCs w:val="16"/>
        </w:rPr>
        <w:lastRenderedPageBreak/>
        <w:t>возчиков с подводами для его перевозки.] (7195, 70).</w:t>
      </w:r>
    </w:p>
    <w:p w14:paraId="4C203F9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35566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Распоряжение ГКО № 5301 [О производстве и поставке НКздраву СССР во II кв. 1944 г. 8 тыс. штук изотермических ящиков для транспортировки крови.] (7195, 71,72-73).</w:t>
      </w:r>
    </w:p>
    <w:p w14:paraId="753FBA1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D362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Распоряжение ГКО № 5302. О мерах по обеспечению квалифицированной рабочей силой предприятий НКЧМ в Днепропетровской обл. РГАНИР, Фонд ГКО, д. 215, лл. 74-75 (11012).</w:t>
      </w:r>
    </w:p>
    <w:p w14:paraId="507FF10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74FA4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Постановление ГКО № 5303 О мероприятиях по обеспечению строительства Ульяновского автозавода им. Сталина Наркомсредмаша. РГАНИР, Фонд ГКО, д. 215, лл. 76-78,79-80 (11012).</w:t>
      </w:r>
    </w:p>
    <w:p w14:paraId="256ED9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8920F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Постановление ГКО № 5304 Об увеличении выпуска артиллерийских тягачей Ярославским автомобильным заводом Наркомсредмаша. РГАНИР, Фонд ГКО, д. 215, лл. 81-89,90-99 (11012).</w:t>
      </w:r>
    </w:p>
    <w:p w14:paraId="0660B6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7512C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Постановление ГКО № 5305 О строительстве жилых домов в Москве в 1944 году. РГАНИР, Фонд ГКО, д. 215, лл. 100-102,103-107 (11012).</w:t>
      </w:r>
    </w:p>
    <w:p w14:paraId="101FC27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D74A2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Постановление ГКО № 5306 Об изготовлении в 1944 году зенитных бронеплощадок ПВО-4 для бронетанковых войск Красной Армии. РГАНИР, Фонд ГКО, д. 215, лл. 108-109,110 (11012).</w:t>
      </w:r>
    </w:p>
    <w:p w14:paraId="6E8078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18BEF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Постановление ГКО № 5307 Об отгрузке лесоматериалов Наркомстрою в марте 1944 года для восстановления черной металлургии Юга и водоснабжения в Донбассе. РГАНИР, Фонд ГКО, д. 215, лл. 111-112,113-117 (11012).</w:t>
      </w:r>
    </w:p>
    <w:p w14:paraId="0064B0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1E62F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Постановление ГКО № 5308 О выделении для парторганизаций Казахстана запасных частей к легковым автомашинам, покрышек и бензина. РГАНИР, Фонд ГКО, д. 215, лл. 118 (11012).</w:t>
      </w:r>
    </w:p>
    <w:p w14:paraId="66C4A2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08E138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Постановление ГКО № 5309 [О депортации 40 тыс. чел. из Кабардино-Балкарской АССР в Казахскую и Киргизскую ССР в дополнение к постановлению ГКО № 5073 от 31 января 1944 г.] (7195, 119-121).</w:t>
      </w:r>
    </w:p>
    <w:p w14:paraId="0590F07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6538A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Постановление ГКО № 5310 О ремонте автомобилей МТС, совхозов и колхозов. (7195, 122-125).</w:t>
      </w:r>
    </w:p>
    <w:p w14:paraId="5A3B467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0A4C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Постановление ГКО № 5312 О подготовке специалистов по производству и эксплуатации турбокислородных установок системы акаРГАНИР, Фонд ГКО, д. Капицы. РГАНИР, Фонд ГКО, д. 215, лл. 132-136 (11012).</w:t>
      </w:r>
    </w:p>
    <w:p w14:paraId="3932D49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E132BD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г. вышло Постановление ГКО № 5313 «О мероприятиях по увеличению производства бактерийных препаратов в 1944 г.» (Д. 291. Л. 145–149).</w:t>
      </w:r>
    </w:p>
    <w:p w14:paraId="708639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8575A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Постановление ГКО№ 5314 О неотложных мерах помощи по вводу в действие новых мощностей на Красногорской ТЭЦ и Средне-Уральской ГРЭС Наркомата электростанций. РГАНИР, Фонд ГКО, д. 215, лл. 145-148,149-155 (11012).</w:t>
      </w:r>
    </w:p>
    <w:p w14:paraId="7A25A9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1E8DB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Постановление ГКО № 5315 Об окончании строительства и вводе в действие Ташкентского инструментального завода Наркомстанкостроения. РГАНИР, Фонд ГКО, д. 215, лл. 156-158,159-164 (11012).</w:t>
      </w:r>
    </w:p>
    <w:p w14:paraId="2D3AAE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F4BD42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Постановление ГКО № 5316 О мероприятиях по обеспечению перевозок грузов по Охотскому морю и реке Амур и улучшению навигационной обстановки в Татарском и Курильском проливах в навигацию 1944 г. (7195, 165-170,171-173).</w:t>
      </w:r>
    </w:p>
    <w:p w14:paraId="5B16A39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8E1C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Постановление ГКО № 5317 О мерах неотложной помощи по восстановлению завода ХЗМЗ им. Сталина НКЭП. РГАНИР, Фонд ГКО, д. 215, лл. 174-175,176-178 (11012).</w:t>
      </w:r>
    </w:p>
    <w:p w14:paraId="7CDD2D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C2147C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Постановление ГКО № 5318 Об обеспечении Наркомвоенморфлота в 1944 году аккумуляторами для подводных лодок. (7195, 179-181,182-184).</w:t>
      </w:r>
    </w:p>
    <w:p w14:paraId="33CABFB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2961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Постановление ГКО № 5319 О восстановлении Гомельского станкостроительного завода им. Кирова. РГАНИР, Фонд ГКО, д. 215, лл. 185-189,190-191 (11012).</w:t>
      </w:r>
    </w:p>
    <w:p w14:paraId="42929C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D802EE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993C8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726C85"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5 марта</w:t>
      </w:r>
      <w:r w:rsidRPr="00070ADE">
        <w:rPr>
          <w:rFonts w:ascii="Times New Roman" w:hAnsi="Times New Roman"/>
          <w:color w:val="000000" w:themeColor="text1"/>
          <w:sz w:val="16"/>
          <w:szCs w:val="16"/>
        </w:rPr>
        <w:t xml:space="preserve"> в 1944 году оперативная сводка Совинформбюро:</w:t>
      </w:r>
    </w:p>
    <w:p w14:paraId="11B9D075"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5 марта на Нарвском направлении наши войска продолжали вести бои по расширению плацдарма юго-западнее города Нарва и улучшили свои позиции.</w:t>
      </w:r>
    </w:p>
    <w:p w14:paraId="207EDD71"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4 марта перешли в наступление и, прорвав сильную оборону немцев на фронте протяжением до 180 километров, за два дня наступательных боёв продвинулись вперёд от 25 до 50 километров. В результате произведённого прорыва войска фронта овладели городом и крупной железнодорожной станцией Изяславль, городами Шумск, Ямполь, Острополь, районными центрами Каменец-Подольской области Ляховцы, Антонины, Теофиполь, Базалия, а также сбоями заняли более 500 других населённых пунктов, в том числе крупные населённые пункты Жолобки, Катрынбург, Сураж, Юровка, Дворец, Михнов, Жилинцы, Городище, Клембовка, Шумбор, Униев, Белогородка, Чижёвка, Подгайце, Вязовец, Погорельцы, Поляхова, Тернавка, Борсуки, Нападувка, Выжгрудек, Бялозурка, Святец, Шибено, Яхновцы, Купель, Денисовка, Ново-Лабунь, Сасановка, Онацковцы, Великие Мацевичи, Мартыновка, Проваловка, железнодорожные станции Клембовка, Белогородка, Жизниковцы, Суховоля, Лепесовка, Лановцы, Бережанка, Бялка, Вышегрудек, и ведут бой на подступах к железнодорожной станции Волочиск.</w:t>
      </w:r>
    </w:p>
    <w:p w14:paraId="3E01EFB9"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наступления войска 1-го Украинского фронта разбили 4 танковых и 8 пехотных дивизий немцев.</w:t>
      </w:r>
    </w:p>
    <w:p w14:paraId="6B566478"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6C594EBF"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4 марта наши войска на всех фронтах подбили и уничтожили 136 немецких танков. В воздушных боях и огнём зенитной артиллерии сбито 49 самолётов противника.</w:t>
      </w:r>
    </w:p>
    <w:p w14:paraId="392ED8AB"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Нарвском направлении наши войска вели бои за расширение плацдарма на западном берегу реки Нарва. Части Н-ского соединения, преодолевая сопротивление и отражая контратаки немцев, заняли несколько опорных пунктов противника. В этих боях наши войска уничтожили свыше батальона немецкой пехоты, 11 орудий и две батареи тяжёлых миномётов. Бойцы одной нашей части захватили 5 орудий, 30 пулемётов, более 400 автоматов и винтовок и 3 склада боеприпасов.</w:t>
      </w:r>
    </w:p>
    <w:p w14:paraId="553AE585"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утром 4-го марта, после мощной артиллерийской подготовки, перешли в наступление. Массированным огнём советских артиллеристов и миномётчиков были сметены оборонительные сооружения и подавлены огневые средства противника. Наши войска прорвали сильную оборону немцев на фронте протяжением до 180 километров и за два дня боёв продвинулись вперёд от 25 до 50 километров. Развивая успешное наступление, войска 1-го Украинского фронта овладели городом и крупной железнодорожной станцией Изяславль, городами Шумск, Ямполь, Острополь, заняли районные центры Каменец-Подольской области — Ляховцы, Антонины, Теофиполь, Базалия — и более 500 других населённых пунктов.</w:t>
      </w:r>
    </w:p>
    <w:p w14:paraId="4F841182"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 ударами советских войск противник оставляет одну позицию за другой. Особенно ожесточённые бои произошли в районе Белогородка. Немцы любой ценой пытались удержать в своих руках этот населённый пункт и предприняли несколько ожесточённых контратак. Советские танкисты при содействии пехотинцев, бронебойщиков и артиллеристов разгромили противника и обратили его в бегство. На поле боя осталось 38 подбитых и сожжённых немецких танков и более 2.000 вражеских трупов. Захвачено 12 шестиствольных миномётов, 34 орудия и другие трофеи. В другом районе части Н-ского соединения уничтожили до 4.000 немецких солдат и офицеров, свыше 60 танков и захватили бронепоезд. Взято большое число пленных. На всех участках противник понёс огромные потери в живой силе и технике. В течение двух дней разбито 4 танковых и 8 пехотных дивизий немцев. Захвачено огромное количество трофеев. Разбитые части противника, отступая, бросили артиллерию, склады боеприпасов и другого военного имущества. Только на одной из железнодорожных станций наши бойцы захватили 40 полевых и 2 самоходных орудия, 56 миномётов и более 200 пулемётов. Сегодня наши войска ведут бой на подступах к железнодорожной станции Волочиск, расположенной на важнейшей железнодорожной магистрали.</w:t>
      </w:r>
    </w:p>
    <w:p w14:paraId="18A07B2D"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Баренцовом море наша разведка обнаружила караван судов противника. Советские самолёты-торпедоносцы и штурмовики атаковали этот караван и потопили немецкий транспорт водоизмещением в 8.000 тонн, транспорт водоизмещением в 6.000тонн и тральщик противника водоизмещением в 700 тонн. Кроме того, подожжён транспорт противника водоизмещением в 7.000 тонн.</w:t>
      </w:r>
    </w:p>
    <w:p w14:paraId="5FA223BE"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Партизанские отряды Брестской области за месяц пустили под откос несколько десятков немецких воинских эшелонов. В результате крушений разбито и повреждено 87 паровозов и свыше 600 вагонов с войсками и военными грузами противника. За это же время советские патриоты взорвали 15 мостов, разрушили 98 километров телефонно-телеграфной линии связи и ружейно-пулемётным огнём сбили 3 вражеских самолёта. В боях и из засад убито и ранено свыше тысячи немецких солдат и офицеров.</w:t>
      </w:r>
    </w:p>
    <w:p w14:paraId="6A422B47"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Жители города Никополь Иван Нестеренко, Дарья Панасенко, Зинаида Фёдорова, Раиса Милецкая и другие рассказали о зверствах немецко-фашистских мерзавцев: «Немецкие захватчики уничтожили плоды наших трудов и растоптали всё, что дорого советским людям. С первых же дней оккупации немцы начали жестоко расправляться с рабочими, служащими и интеллигенцией города. Днём и ночью гитлеровские сатрапы арестовывали жителей и угоняли их к оврагу и к противотанковым рвам около вокзала. Здесь немцы расстреливали советских людей, в том числе женщин и детей. За время оккупации гитлеровские людоеды расстреляли много тысяч мирных жителей города Никополя. Свыше 7 тысяч жителей немцы насильно угнали на каторгу в Германию. Фашистские варвары сожгли лучшие дома в городе, превратили в руины и пепел рабочий посёлок, взорвали много предприятий. Лишь стремительное наступление Красной Армии спасло город от полного разрушения» (15059).</w:t>
      </w:r>
    </w:p>
    <w:p w14:paraId="07833B48" w14:textId="77777777" w:rsidR="006E7509" w:rsidRPr="00070ADE" w:rsidRDefault="006E7509" w:rsidP="00B56F90">
      <w:pPr>
        <w:spacing w:after="0" w:line="240" w:lineRule="auto"/>
        <w:jc w:val="both"/>
        <w:rPr>
          <w:rFonts w:ascii="Times New Roman" w:hAnsi="Times New Roman"/>
          <w:color w:val="000000" w:themeColor="text1"/>
          <w:sz w:val="16"/>
          <w:szCs w:val="16"/>
        </w:rPr>
      </w:pPr>
    </w:p>
    <w:p w14:paraId="5085EFA1"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5 марта</w:t>
      </w:r>
      <w:r w:rsidRPr="00070ADE">
        <w:rPr>
          <w:rFonts w:ascii="Times New Roman" w:hAnsi="Times New Roman"/>
          <w:color w:val="000000" w:themeColor="text1"/>
          <w:sz w:val="16"/>
          <w:szCs w:val="16"/>
        </w:rPr>
        <w:t xml:space="preserve"> в 1944 году началась Уманско-Ботошанская наступательная операция войск 2-го Украинского фронта (И.С.Конев). Войска 1-го Украинского фронта 4 марта перешли в наступление и, прорвав сильную оборону немцев на фронте протяжением до 180 километров, за два дня наступательных боев продвинулись вперед от 25 до 50 километров. В результате произведенного прорыва войска фронта овладели городом и крупной железнодорожной станцией Изяславль, городами Шумск, Ямполь, Острополь, районными центрами Каменец-Подольской области Ляховцы, Антонины, Теофиполь, Базалия, а также с боями заняли более 500 других населенных пунктов, в том числе крупные населенные пункты Жолобки, Катрынбург, Сураж, Юровка, Дворец, Михнов, Жилинцы, Городище, Клембовка, Шумбор, Униев, Белогородка, Чижёвка, Подгайце, Вязовец, Погорельцы, Поляхова, Тернавка, Борсуки, Нападувка, Выжгрудек, Бялозурка, Святец, Шибено, Яхновцы, Купель, Денисовка, Ново-Лабунь, Сасановка, Онацковцы, Великие Мацевичи, Мартыновка, Проваловка и железнодорожные станции Клембовка, Белогородка, Жизниковцы, Суховоля, Лепесовка, Лановцы, Бережанка, Бялка, Вышегрудек, и ведут бой на подступах к железнодорожной станции Волочиск. В ходе наступления войска 1-го Украинского фронта разбили 4 танковых и 8 пехотных дивизий немцев (15059).</w:t>
      </w:r>
    </w:p>
    <w:p w14:paraId="3D46CF5A" w14:textId="77777777" w:rsidR="006E7509" w:rsidRPr="00070ADE" w:rsidRDefault="006E7509" w:rsidP="00B56F90">
      <w:pPr>
        <w:spacing w:after="0" w:line="240" w:lineRule="auto"/>
        <w:jc w:val="both"/>
        <w:rPr>
          <w:rFonts w:ascii="Times New Roman" w:hAnsi="Times New Roman"/>
          <w:color w:val="000000" w:themeColor="text1"/>
          <w:sz w:val="16"/>
          <w:szCs w:val="16"/>
        </w:rPr>
      </w:pPr>
    </w:p>
    <w:p w14:paraId="608D7DB2"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5 марта</w:t>
      </w:r>
      <w:r w:rsidRPr="00070ADE">
        <w:rPr>
          <w:rFonts w:ascii="Times New Roman" w:hAnsi="Times New Roman"/>
          <w:color w:val="000000" w:themeColor="text1"/>
          <w:sz w:val="16"/>
          <w:szCs w:val="16"/>
        </w:rPr>
        <w:t xml:space="preserve"> в 1944 году (по 9 марта) безуспешное наступление войск Западного фронта на оршанском направлении (15059).</w:t>
      </w:r>
    </w:p>
    <w:p w14:paraId="2F1BF2E0" w14:textId="77777777" w:rsidR="006E7509" w:rsidRPr="00070ADE" w:rsidRDefault="006E7509" w:rsidP="00B56F90">
      <w:pPr>
        <w:spacing w:after="0" w:line="240" w:lineRule="auto"/>
        <w:jc w:val="both"/>
        <w:rPr>
          <w:rFonts w:ascii="Times New Roman" w:hAnsi="Times New Roman"/>
          <w:color w:val="000000" w:themeColor="text1"/>
          <w:sz w:val="16"/>
          <w:szCs w:val="16"/>
        </w:rPr>
      </w:pPr>
    </w:p>
    <w:p w14:paraId="5E4153B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началась Уманско-Ботошанская наступательная операция советских войск (4962).</w:t>
      </w:r>
    </w:p>
    <w:p w14:paraId="0B35733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92CA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C 5 марта по 17 апреля 1944 состоялась Уманско-Ботошанская операция по освобождению юго-западных областей Украины. Подвинулись на 200-250 км (2443,227).</w:t>
      </w:r>
    </w:p>
    <w:p w14:paraId="466599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C32E3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советские войска освободили Изяслав и Ямполь (4962).</w:t>
      </w:r>
    </w:p>
    <w:p w14:paraId="54D102C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6507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года 15 ИС-85 13-го ГвТТПП поддерживали атаку 50-й танковой бригады на Умань. Во время боя пять танков было подбито огнем немецких 88-мм зенитных орудий, три машины вышли из строя по техническим причинам, а одна упала с моста у деревни Полковничье и перевернулась..</w:t>
      </w:r>
    </w:p>
    <w:p w14:paraId="4BDEA1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Здесь же произошел и довольно редкий случай, когда нижний лобовой лист одного ИСа пробило снарядом тяжелого немецкого противотанкового ружья Pz.В-41, имевшего конический ствол калибра 28/20 мм. (3862).</w:t>
      </w:r>
    </w:p>
    <w:p w14:paraId="36E4D0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0E9F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 14:09 10 катеров, предназначенных для перебазирования, и группа обеспечения (11 единиц) вышли из Фальшивого Геленджика. На головном “дозаправщике” находились комфло-том вице-адмирал Владимирский и член Военного совета контр-адмирал Азаров. Море было спокойным, но природа все же нарушила планы людей. В 15:15 катера вошли в туман. Присутствие начальства не помогло и в 16:00 группы потеряли друг друга. Спустя 44 минуты Проценко принял решение возвращаться, поскольку для выполнения задачи топлива не хватило бы (6002).</w:t>
      </w:r>
    </w:p>
    <w:p w14:paraId="62F77F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DA6EF5" w14:textId="77777777" w:rsidR="00595BFB" w:rsidRPr="00070ADE" w:rsidRDefault="00694509" w:rsidP="00B56F90">
      <w:pPr>
        <w:widowControl w:val="0"/>
        <w:tabs>
          <w:tab w:val="left" w:pos="2835"/>
        </w:tabs>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15DF8546" w14:textId="77777777" w:rsidR="00595BFB" w:rsidRPr="00070ADE" w:rsidRDefault="00595BFB" w:rsidP="00B56F90">
      <w:pPr>
        <w:widowControl w:val="0"/>
        <w:tabs>
          <w:tab w:val="left" w:pos="2835"/>
        </w:tabs>
        <w:autoSpaceDE w:val="0"/>
        <w:autoSpaceDN w:val="0"/>
        <w:adjustRightInd w:val="0"/>
        <w:spacing w:after="0" w:line="240" w:lineRule="auto"/>
        <w:jc w:val="both"/>
        <w:rPr>
          <w:rFonts w:ascii="Times New Roman" w:hAnsi="Times New Roman"/>
          <w:iCs/>
          <w:color w:val="000000" w:themeColor="text1"/>
          <w:sz w:val="16"/>
          <w:szCs w:val="16"/>
        </w:rPr>
      </w:pPr>
    </w:p>
    <w:p w14:paraId="3B0880D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Распоряжение ГКО № 5287 [О мерах по обеспечению товарами и обувью РУ, школ ФЗО, училищ механизации с.х. в районах, освобожденных от немецкой оккупации.] (7195, 39-40).</w:t>
      </w:r>
    </w:p>
    <w:p w14:paraId="504434C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A9098F"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5 марта</w:t>
      </w:r>
      <w:r w:rsidRPr="00070ADE">
        <w:rPr>
          <w:rFonts w:ascii="Times New Roman" w:hAnsi="Times New Roman"/>
          <w:color w:val="000000" w:themeColor="text1"/>
          <w:sz w:val="16"/>
          <w:szCs w:val="16"/>
        </w:rPr>
        <w:t xml:space="preserve"> в 1944 году вышло постановление СНК СССР "О подготовке квалифицированных рабочих для предприятий и строек промышленности" (15059).</w:t>
      </w:r>
    </w:p>
    <w:p w14:paraId="66E0A24A" w14:textId="77777777" w:rsidR="006E7509" w:rsidRPr="00070ADE" w:rsidRDefault="006E7509" w:rsidP="00B56F90">
      <w:pPr>
        <w:spacing w:after="0" w:line="240" w:lineRule="auto"/>
        <w:jc w:val="both"/>
        <w:rPr>
          <w:rFonts w:ascii="Times New Roman" w:hAnsi="Times New Roman"/>
          <w:color w:val="000000" w:themeColor="text1"/>
          <w:sz w:val="16"/>
          <w:szCs w:val="16"/>
        </w:rPr>
      </w:pPr>
    </w:p>
    <w:p w14:paraId="52BEEDF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Постановление ГКО № 5311 О мероприятиях по подготовке командных кадров морского флота. (7195, 126-131).</w:t>
      </w:r>
    </w:p>
    <w:p w14:paraId="01BAF01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99B5B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вышло Постановление ГКО № 5313 О мероприятиях по увеличению производства бактерийных препаратов в 1944 г. [для обеспечения КА и населения лечебными и предохранительными вакцинами и сыворотками.] (7195, 137-140,141-144).</w:t>
      </w:r>
    </w:p>
    <w:p w14:paraId="52DDF88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93BD3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Совнарком СССР разрешил предоставление отпусков в военное время молодежи до 16 лет (4962).</w:t>
      </w:r>
    </w:p>
    <w:p w14:paraId="46CFAC7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18533C" w14:textId="77777777" w:rsidR="006E750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483DDDE4" w14:textId="77777777" w:rsidR="006E7509" w:rsidRPr="00070ADE" w:rsidRDefault="006E7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765D68" w14:textId="77777777" w:rsidR="006E7509" w:rsidRPr="00070ADE" w:rsidRDefault="006E75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5 марта</w:t>
      </w:r>
      <w:r w:rsidRPr="00070ADE">
        <w:rPr>
          <w:rFonts w:ascii="Times New Roman" w:hAnsi="Times New Roman"/>
          <w:color w:val="000000" w:themeColor="text1"/>
          <w:sz w:val="16"/>
          <w:szCs w:val="16"/>
        </w:rPr>
        <w:t xml:space="preserve"> в 1944 году опубликование Национальным комитетом «Свободная Германия» воззвания к народу и вермахту «25 пунктов к вопросу о прекращении войны» (15059).</w:t>
      </w:r>
    </w:p>
    <w:p w14:paraId="3FEA0FA3" w14:textId="77777777" w:rsidR="006E7509" w:rsidRPr="00070ADE" w:rsidRDefault="006E7509" w:rsidP="00B56F90">
      <w:pPr>
        <w:spacing w:after="0" w:line="240" w:lineRule="auto"/>
        <w:jc w:val="both"/>
        <w:rPr>
          <w:rFonts w:ascii="Times New Roman" w:hAnsi="Times New Roman"/>
          <w:color w:val="000000" w:themeColor="text1"/>
          <w:sz w:val="16"/>
          <w:szCs w:val="16"/>
        </w:rPr>
      </w:pPr>
    </w:p>
    <w:p w14:paraId="1166A42E" w14:textId="77777777" w:rsidR="006E750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29B52286" w14:textId="77777777" w:rsidR="006E7509" w:rsidRPr="00070ADE" w:rsidRDefault="006E7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220FE4" w14:textId="77777777" w:rsidR="00464D2B" w:rsidRPr="00070ADE" w:rsidRDefault="00464D2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марта 1944, управляя своим P-47 Thunderbolts в атаке против четырех бомбардировщиков ВВС Императорской армии Японии (IJAAF) Kawasaki Ki-48 (союзное название "Лили") над Новой Гвинеей, подполковник ВВС США Нил. E. Kearby, кавалер Почетной медали за сбитие шести японских самолетов во время ранней миссии, подвергается нападению IJAAF Nakajima Ki-43 Hayabusa (Сапсан "Сокол") (союзники называли его "Оскар"). После того, как другие летчики сбили два Ki-48, Ki-43 попадает в кабину Кирби. Он пролетает 140 миль (225 км), прежде чем его P-47, Fiery Ginger IV, разбивается. Он спасается, но умирает от ран. Ему приписывают 21 победу. Его останки будут найдены недалеко от Пибу, Новая Гвинея, в 1946 году, но останутся неопознанными в течение двух лет (29373).</w:t>
      </w:r>
    </w:p>
    <w:p w14:paraId="51C87365" w14:textId="77777777" w:rsidR="00464D2B" w:rsidRPr="00070ADE" w:rsidRDefault="00464D2B" w:rsidP="00B56F90">
      <w:pPr>
        <w:spacing w:after="0" w:line="240" w:lineRule="auto"/>
        <w:jc w:val="both"/>
        <w:rPr>
          <w:rFonts w:ascii="Times New Roman" w:hAnsi="Times New Roman"/>
          <w:color w:val="000000" w:themeColor="text1"/>
          <w:sz w:val="16"/>
          <w:szCs w:val="16"/>
        </w:rPr>
      </w:pPr>
    </w:p>
    <w:p w14:paraId="24FA2FCB"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5 марта</w:t>
      </w:r>
      <w:r w:rsidRPr="00070ADE">
        <w:rPr>
          <w:rFonts w:ascii="Times New Roman" w:hAnsi="Times New Roman"/>
          <w:color w:val="000000" w:themeColor="text1"/>
          <w:sz w:val="16"/>
          <w:szCs w:val="16"/>
        </w:rPr>
        <w:t xml:space="preserve"> в 1944 году (по11 марта) воздушный десант британских войск в тылу японских на Бирманском фронте (15059).</w:t>
      </w:r>
    </w:p>
    <w:p w14:paraId="2D0852AB" w14:textId="77777777" w:rsidR="000511D8" w:rsidRPr="00070ADE" w:rsidRDefault="000511D8" w:rsidP="00B56F90">
      <w:pPr>
        <w:spacing w:after="0" w:line="240" w:lineRule="auto"/>
        <w:jc w:val="both"/>
        <w:rPr>
          <w:rFonts w:ascii="Times New Roman" w:hAnsi="Times New Roman"/>
          <w:color w:val="000000" w:themeColor="text1"/>
          <w:sz w:val="16"/>
          <w:szCs w:val="16"/>
        </w:rPr>
      </w:pPr>
    </w:p>
    <w:p w14:paraId="33582E6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8F82B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A166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марта 1944 и 17 марта 1944 вышли приказы НКАП N 168 и 196 о проектировании и переоборудовании 4-х Пе-8 с АЧ-30Б в пассажирскую версию для спецперевозок на 14 чел., в т.ч. 2-3 спальных места. Переоборудовали машины последней 12 серии и потом стали называть Пе-8ОН (3832,8).</w:t>
      </w:r>
    </w:p>
    <w:p w14:paraId="21E685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897A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марта 1944 года вышел первый приказ НКАП №168 по Пе-8ОН, а 15 марта 1944 года вышло Постановление ГОКО №5402, а через два дня второй Приказ НКАП №196 по проектированию и постройке пассажирского варианта самолета Пе-8 с двигателями АЧ-ЗОБ. Согласно приказу самолет должен был удовлетворять следующим требованиям:</w:t>
      </w:r>
    </w:p>
    <w:p w14:paraId="6C2442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Размещать 14 пассажирских мест.</w:t>
      </w:r>
    </w:p>
    <w:p w14:paraId="461F5E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Иметь отапливаемую кабину и антиобледенительные устройства.</w:t>
      </w:r>
    </w:p>
    <w:p w14:paraId="3C8420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Иметь максимальную дальность полета 6000 км при скорости 0,7 от максимальной, при полетной массе 35000 кг.</w:t>
      </w:r>
    </w:p>
    <w:p w14:paraId="33EB6C3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Иметь вооружение - один пулемет УБТ в носовой башне, одну пушку ШВАК в кормовой башне, два пулемета УБТ в шассийных установках, с боезапасом 250 снарядов к пушке и по 250 патронов на каждый пулемет (7685).</w:t>
      </w:r>
    </w:p>
    <w:p w14:paraId="69A3F4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F1DB2B"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марта 1944 года вышел первый приказ НКАП по Пе-80Н №168, 15 марта 1944 года вышло Постановление ГОКО №5402, а через два дня второй Приказ НКАП №196 по проектированию и постройке пассажирского варианта самолета Пе-8 с двигателями АЧ-ЗОБ. Согласно приказу самолет должен был удовлетворять следующим требованиям:</w:t>
      </w:r>
    </w:p>
    <w:p w14:paraId="4671E3E7" w14:textId="77777777" w:rsidR="00903E13" w:rsidRPr="00070ADE" w:rsidRDefault="00903E13" w:rsidP="00B56F90">
      <w:pPr>
        <w:pStyle w:val="afff6"/>
        <w:tabs>
          <w:tab w:val="left" w:pos="467"/>
        </w:tabs>
        <w:autoSpaceDE/>
        <w:autoSpaceDN/>
        <w:adjustRightInd/>
        <w:ind w:left="0"/>
        <w:contextualSpacing w:val="0"/>
        <w:jc w:val="both"/>
        <w:rPr>
          <w:color w:val="000000" w:themeColor="text1"/>
          <w:sz w:val="16"/>
          <w:szCs w:val="16"/>
        </w:rPr>
      </w:pPr>
      <w:r w:rsidRPr="00070ADE">
        <w:rPr>
          <w:color w:val="000000" w:themeColor="text1"/>
          <w:sz w:val="16"/>
          <w:szCs w:val="16"/>
        </w:rPr>
        <w:t>1. Размещать 14 пассажирских мест.</w:t>
      </w:r>
    </w:p>
    <w:p w14:paraId="1A40E23F" w14:textId="77777777" w:rsidR="00903E13" w:rsidRPr="00070ADE" w:rsidRDefault="00903E13" w:rsidP="00B56F90">
      <w:pPr>
        <w:pStyle w:val="afff6"/>
        <w:tabs>
          <w:tab w:val="left" w:pos="485"/>
        </w:tabs>
        <w:autoSpaceDE/>
        <w:autoSpaceDN/>
        <w:adjustRightInd/>
        <w:ind w:left="0"/>
        <w:contextualSpacing w:val="0"/>
        <w:jc w:val="both"/>
        <w:rPr>
          <w:color w:val="000000" w:themeColor="text1"/>
          <w:sz w:val="16"/>
          <w:szCs w:val="16"/>
        </w:rPr>
      </w:pPr>
      <w:r w:rsidRPr="00070ADE">
        <w:rPr>
          <w:color w:val="000000" w:themeColor="text1"/>
          <w:sz w:val="16"/>
          <w:szCs w:val="16"/>
        </w:rPr>
        <w:t>2. Иметь отапливаемую кабину и антиобледенительные устройства.</w:t>
      </w:r>
    </w:p>
    <w:p w14:paraId="46344FBF" w14:textId="77777777" w:rsidR="00903E13" w:rsidRPr="00070ADE" w:rsidRDefault="00903E13" w:rsidP="00B56F90">
      <w:pPr>
        <w:pStyle w:val="afff6"/>
        <w:tabs>
          <w:tab w:val="left" w:pos="482"/>
        </w:tabs>
        <w:autoSpaceDE/>
        <w:autoSpaceDN/>
        <w:adjustRightInd/>
        <w:ind w:left="0"/>
        <w:contextualSpacing w:val="0"/>
        <w:jc w:val="both"/>
        <w:rPr>
          <w:color w:val="000000" w:themeColor="text1"/>
          <w:sz w:val="16"/>
          <w:szCs w:val="16"/>
        </w:rPr>
      </w:pPr>
      <w:r w:rsidRPr="00070ADE">
        <w:rPr>
          <w:color w:val="000000" w:themeColor="text1"/>
          <w:sz w:val="16"/>
          <w:szCs w:val="16"/>
        </w:rPr>
        <w:t>3. Иметь максимальную дальность полета 6000 км при скорости 0,7 от максимальной, при полетной массе 35000 кг.</w:t>
      </w:r>
    </w:p>
    <w:p w14:paraId="5FE42974" w14:textId="77777777" w:rsidR="00903E13" w:rsidRPr="00070ADE" w:rsidRDefault="00903E13" w:rsidP="00B56F90">
      <w:pPr>
        <w:pStyle w:val="afff6"/>
        <w:tabs>
          <w:tab w:val="left" w:pos="518"/>
        </w:tabs>
        <w:autoSpaceDE/>
        <w:autoSpaceDN/>
        <w:adjustRightInd/>
        <w:ind w:left="0"/>
        <w:contextualSpacing w:val="0"/>
        <w:jc w:val="both"/>
        <w:rPr>
          <w:color w:val="000000" w:themeColor="text1"/>
          <w:sz w:val="16"/>
          <w:szCs w:val="16"/>
        </w:rPr>
      </w:pPr>
      <w:r w:rsidRPr="00070ADE">
        <w:rPr>
          <w:color w:val="000000" w:themeColor="text1"/>
          <w:sz w:val="16"/>
          <w:szCs w:val="16"/>
        </w:rPr>
        <w:t>4. Иметь вооружение — один пулемет УБТ в носовой башне, одну пушку ШВАК в кормовой башне, два пулемета УБТ в шассийных установках, с боезапасом 250 снарядов к пушке и по 250 патронов на каждый пулемет.</w:t>
      </w:r>
    </w:p>
    <w:p w14:paraId="4F172387"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этими требовани</w:t>
      </w:r>
      <w:r w:rsidRPr="00070ADE">
        <w:rPr>
          <w:rFonts w:ascii="Times New Roman" w:hAnsi="Times New Roman"/>
          <w:color w:val="000000" w:themeColor="text1"/>
          <w:sz w:val="16"/>
          <w:szCs w:val="16"/>
        </w:rPr>
        <w:softHyphen/>
        <w:t>ями проходило проектирование само</w:t>
      </w:r>
      <w:r w:rsidRPr="00070ADE">
        <w:rPr>
          <w:rFonts w:ascii="Times New Roman" w:hAnsi="Times New Roman"/>
          <w:color w:val="000000" w:themeColor="text1"/>
          <w:sz w:val="16"/>
          <w:szCs w:val="16"/>
        </w:rPr>
        <w:softHyphen/>
        <w:t>лета. Полный комплект рабочих чертежей по машине был выдан производству к 10 апреля 1944 года. Сборка первого самолета была закон</w:t>
      </w:r>
      <w:r w:rsidRPr="00070ADE">
        <w:rPr>
          <w:rFonts w:ascii="Times New Roman" w:hAnsi="Times New Roman"/>
          <w:color w:val="000000" w:themeColor="text1"/>
          <w:sz w:val="16"/>
          <w:szCs w:val="16"/>
        </w:rPr>
        <w:softHyphen/>
        <w:t>чена 31 октября, второго самолета — 31 декабря 1944 года. Основные за</w:t>
      </w:r>
      <w:r w:rsidRPr="00070ADE">
        <w:rPr>
          <w:rFonts w:ascii="Times New Roman" w:hAnsi="Times New Roman"/>
          <w:color w:val="000000" w:themeColor="text1"/>
          <w:sz w:val="16"/>
          <w:szCs w:val="16"/>
        </w:rPr>
        <w:softHyphen/>
        <w:t>держки сборочных работ произошли из-за долгого отсутствия дизельных двигателей и винтов. В сборочный цех дизеля поступили к 14 октября 1944 года, винты — 30 октября, а для второй машины двигатели поступили только 20 декабря 1944 года.</w:t>
      </w:r>
    </w:p>
    <w:p w14:paraId="45BACA75"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проектировании и постройке пассажирского варианта Пе-8 (по ОКБ и заводу шифр самолет "Е") большие проблемы возникли с добыванием необходимых отделочных материалов для салонов самолета. Казанский завод выпускал только боевые машины, естественно, необходимых материалов на его складах не было. На дворе 1944 год, война, всем не до веселеньких обивок. Незвалю пришлось ехать в Москву и вместе с представителем НКАП направиться в Ассортиментный отдел Наркомата легкой промышленности и там подбирать нужные текстильные материалы. В годы войны этот ассортимент был небогатый. С большим трудом удалось получить материал с красивой выработкой для обеих машин: для одной машины выбрали светло-серый материал, для второй темно-бежевый. Этот материал пошел на отделку диванов и стен салонов. Кроме того, ни в ОКБ, ни на заводе никто толком не знал, с какого бока подойти к отделочным работам. Пришлось поездить и посмотреть, как это все выполняется на специализированных заводах.</w:t>
      </w:r>
    </w:p>
    <w:p w14:paraId="29F5D13B"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Основная пассажирская кабина располагалась в задней части фюзеляжа. В ней размещалось 12 сидячих кресел. Кресла типа "Дуглас", с откидывающимися спинками, позволявшими пассажирам занимать полулежачее положение. В центроплане оборудовалась спальная кабина, с тремя диванами. Позади основной пассажирской кабины находилась изолированная туалетная комната с унитазом, умывальником и небольшим зеркалом. Имелась вешалка для верхней одежды и багажник, размещенный под полом спальной кабины. В пассажирской кабине имелось следующее специальное оборудование:</w:t>
      </w:r>
    </w:p>
    <w:p w14:paraId="56689F65" w14:textId="77777777" w:rsidR="00903E13" w:rsidRPr="00070ADE" w:rsidRDefault="00903E13" w:rsidP="00B56F90">
      <w:pPr>
        <w:tabs>
          <w:tab w:val="left" w:pos="50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Тепловая и звуковая изоляция стенок и пола.</w:t>
      </w:r>
    </w:p>
    <w:p w14:paraId="06B7D32A" w14:textId="77777777" w:rsidR="00903E13" w:rsidRPr="00070ADE" w:rsidRDefault="00903E13" w:rsidP="00B56F90">
      <w:pPr>
        <w:tabs>
          <w:tab w:val="left" w:pos="52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Отопление воздухом, нагретым горячей водой от системы охлаждения двигателей.</w:t>
      </w:r>
    </w:p>
    <w:p w14:paraId="552CB432" w14:textId="77777777" w:rsidR="00903E13" w:rsidRPr="00070ADE" w:rsidRDefault="00903E13" w:rsidP="00B56F90">
      <w:pPr>
        <w:tabs>
          <w:tab w:val="left" w:pos="52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Индивидуальная вентиляция.</w:t>
      </w:r>
    </w:p>
    <w:p w14:paraId="2F09B603" w14:textId="77777777" w:rsidR="00903E13" w:rsidRPr="00070ADE" w:rsidRDefault="00903E13" w:rsidP="00B56F90">
      <w:pPr>
        <w:tabs>
          <w:tab w:val="left" w:pos="63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Кислородное оборудование, обеспечивавшее кислородом каждое пассажирское место.</w:t>
      </w:r>
    </w:p>
    <w:p w14:paraId="22984E62" w14:textId="77777777" w:rsidR="00903E13" w:rsidRPr="00070ADE" w:rsidRDefault="00903E13" w:rsidP="00B56F90">
      <w:pPr>
        <w:tabs>
          <w:tab w:val="left" w:pos="63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Кабинное и индивидуальное освещение</w:t>
      </w:r>
    </w:p>
    <w:p w14:paraId="4803CF68"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размещения пассажиров потребовалось снять заднюю верхнюю пушечную установку ТАТ, а также грузовой пол над бомбоотсеком в Ф-3, в связи с чем были доработаны ряд шпангоутов и спроектирован новый пол, обеспечивший проход пассажиров в полный рост. Грузовой пол в районе центроплана, являвшийся силовым элементом, сохранили без изменений.</w:t>
      </w:r>
    </w:p>
    <w:p w14:paraId="55389F66"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системе отопления и вентиляции отопительные каналы, со свободным выходом теплого воздуха, размещались по полу по обеим сторонам прохода. Забор воздуха производился через патрубки в носке крыла. Воздух проходил через специальные водяные радиаторы, где он подогревался горячей водой от системы охлаждения двигателей и по трубопроводу подавался в кабину. Воздух для приточной вентиляции поступал через заборники на фюзеляже и подавался по вентиляционным коробам, идущим вдоль бортов фюзеляжа. У каждого пассажирского места имелся специальный вывод воздуха.</w:t>
      </w:r>
    </w:p>
    <w:p w14:paraId="7847E4FE"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Из-за установки двигателей АЧ-ЗОБ с ТК использование тепла выхлопных газов не представлялось возможным. Из-за этого в качестве противообледенительного устройства на передних кромках крыла и оперения устанавливались резиновые пневматические антиобледенители типа "Гудрич". Антиобледенители на винтах и стеклах козырька пилота были жидкостные, как и на серийных машинах.</w:t>
      </w:r>
    </w:p>
    <w:p w14:paraId="7928D569"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выполнении высотного полета все пассажиры обеспечивались питанием кислородом из расчета 16 литров на человека. Этого запаса хватало для полетов на высотах 6000-8000 м в течение 8 часов.</w:t>
      </w:r>
    </w:p>
    <w:p w14:paraId="2E902823"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сохранили все аэронавигационное и радиооборудование серийного бомбардировочного варианта.</w:t>
      </w:r>
    </w:p>
    <w:p w14:paraId="6B609E74"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Были сохранены следующие огневые оборонительные точки:</w:t>
      </w:r>
    </w:p>
    <w:p w14:paraId="74ABBCE0" w14:textId="77777777" w:rsidR="00903E13" w:rsidRPr="00070ADE" w:rsidRDefault="00903E13" w:rsidP="00B56F90">
      <w:pPr>
        <w:tabs>
          <w:tab w:val="left" w:pos="49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Носовая стрелковая с пулеметом УБТ-12,7 мм на шаровой опоре с запасом патронов 200 штук.</w:t>
      </w:r>
    </w:p>
    <w:p w14:paraId="7B79DD93" w14:textId="77777777" w:rsidR="00903E13" w:rsidRPr="00070ADE" w:rsidRDefault="00903E13" w:rsidP="00B56F90">
      <w:pPr>
        <w:tabs>
          <w:tab w:val="left" w:pos="48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Кормовая стрелковая башня КЭБ с пушкой ШВАК-20, с запасом снарядов 230 штук.</w:t>
      </w:r>
    </w:p>
    <w:p w14:paraId="0D364884" w14:textId="77777777" w:rsidR="00903E13" w:rsidRPr="00070ADE" w:rsidRDefault="00903E13" w:rsidP="00B56F90">
      <w:pPr>
        <w:tabs>
          <w:tab w:val="left" w:pos="51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Две стрелковые установки ШУ в обтекателях шасси, с пулеметами УБТ-12,7 мм с запасом патронов по 230 штук на каждую.</w:t>
      </w:r>
    </w:p>
    <w:p w14:paraId="7688AA05"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установке двигателей АЧ-ЗОБ, по сравнению с серийным самолетом, имевшим те же двигатели, в винтомоторной группе были выполнены следующие изменения: улучшена продувка водорадиаторов путем установки туннеля с открытым входом и регулировкой на входе; установлены маслобаки увеличенной емкости с расчетом на 20 часов полета; установлены воздушно-масляные радиаторы вместо водо-масляных; введена топливная система с кольцеванием по всем четырем двигателям; введены винты типа УФ-61В с системой флюгирования.</w:t>
      </w:r>
    </w:p>
    <w:p w14:paraId="73EF7940"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отличие от серийных самолетов, на Пе-80Н было внедрено новое вертикальное оперение увеличенной площади с форкилем. Введены дополнительные окна в фюзеляже в районе пассажирской кабины.</w:t>
      </w:r>
    </w:p>
    <w:p w14:paraId="450B7AC5"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проектных данных самолет должен был иметь следующие характеристики. Нормальная полетная масса самолета определялась в 30000 кг, масса пустого — в 21520 кг, полезная нагрузка — в 8480 кг, из них экипаж 10 человек — 860 кг, пассажиры 12 человек — 1056 кг, багаж — 200 кг, съемное вооружение и боезапас — 274 кг; масло — 920 кг, топливо — 5150 кг. В перегрузочном варианте полетная масса определялась в 35500 кг, при этом запас масла доводился до 1120 кг, топлива — до 10450 кг.</w:t>
      </w:r>
    </w:p>
    <w:p w14:paraId="6471AE68"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нормальной полетной массе максимальная скорость у земли должна была равняться 360 км/ч, на 6000 м — 425 км/ч, посадочная скорость 125 км/ч, время подъема на высоту 5000 м 16,5 мин, практический потолок 9000 м, длина разбега — 485 м, пробега — 620 м. В перегрузочном варианте на 6000 м максимальная скорость падала до 407 км/ч, потолок до 7700 м, разбег увеличивался до 750 м, а время подъема на высоту 5000 м увеличивалось до 24,5 мин. Дальность полета на скорости 0,7 от максимальной на высоте 4000 м (полет без использования кислородного оборудования) в нормальном варианте составляла 3080 км, в перегрузочном — 6050 км. Перегоночная дальность без пассажиров с полными топливными баками составляла 6800 км (12626).</w:t>
      </w:r>
    </w:p>
    <w:p w14:paraId="783CB99F" w14:textId="77777777" w:rsidR="00903E13" w:rsidRPr="00070ADE" w:rsidRDefault="00903E13" w:rsidP="00B56F90">
      <w:pPr>
        <w:spacing w:after="0" w:line="240" w:lineRule="auto"/>
        <w:jc w:val="both"/>
        <w:rPr>
          <w:rFonts w:ascii="Times New Roman" w:hAnsi="Times New Roman"/>
          <w:color w:val="000000" w:themeColor="text1"/>
          <w:sz w:val="16"/>
          <w:szCs w:val="16"/>
        </w:rPr>
      </w:pPr>
    </w:p>
    <w:p w14:paraId="4CAA13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марта 1944 состоялся первый полет Ер-2 с Х-образными моторами МБ-100 из двух М-103 А.М.Добротворского и 29 июня 1944 программу испытаний завершили (1643,39).</w:t>
      </w:r>
    </w:p>
    <w:p w14:paraId="33CA6A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6835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марта 1944 г. состоялся первый полет Ер-2 с МБ-100, а 29 июня программа была завершена. В середине 1942 г. конструкторский коллектив под руководством А.М.Добротворского завершил разработку самого мощного на то время советского мотора жидкостного охлаждения МБ-100, развивавшего на взлетном режиме мощность 2200 л.с. МБ-100 имел Х-образную схему и представлял собой объединение в единый агрегат двух серийных 12-цилиндровых V-образных моторов М-103. каждый из М-103 работал на общий редуктор, вращавший винт. МБ-100 был оснащен двухскоростным приводным центробежным нагнетателем, благодаря чему мощность этого оригинального мотора на первой границе высотности (2000 м) равнялась 2200 л.с., а на второй (4000 м) – 2000 л.с. Летные испытания новых моторов решено было провести на специально модифицированном бомбардировщике Ер-2. За три месяца моторы практически полностью отработали назначенный 50-часовой ресурс и показали удовлетворительную надежность. В связи с изменившейся обстановкой на фронте актуальность работ по подбору наивыгоднейшего винта и увеличению расчетной высоты мотора до 6000 м снизилась, что привело к их прекращению в пользу более совершенного и мощного мотора М-250 конструкции В.Добрынина (11856).</w:t>
      </w:r>
    </w:p>
    <w:p w14:paraId="73E187E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FD6FEEE" w14:textId="77777777" w:rsidR="00B246E7" w:rsidRPr="00C94B78" w:rsidRDefault="00B246E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6 марта 1944 г. с Центрального аэродрома экипаж под командованием летчика-испытателя НИИ ВВС А.Д. Алексеева после пятимесячного перерыва на устранение дефектов выполнил второй полет на самолете Ер-2 2МБ-100 – винты использовались типа АВ-7Ф-18В. Они и дальше работали неустойчиво, и Совместные государственные испытания продолжались с постоянными задержками (25739).</w:t>
      </w:r>
    </w:p>
    <w:p w14:paraId="75FEE3D9" w14:textId="77777777" w:rsidR="00B246E7" w:rsidRPr="00C94B78" w:rsidRDefault="00B246E7" w:rsidP="00B56F90">
      <w:pPr>
        <w:spacing w:after="0" w:line="240" w:lineRule="auto"/>
        <w:jc w:val="both"/>
        <w:rPr>
          <w:rFonts w:ascii="Times New Roman" w:hAnsi="Times New Roman"/>
          <w:color w:val="0070C0"/>
          <w:sz w:val="16"/>
          <w:szCs w:val="16"/>
        </w:rPr>
      </w:pPr>
    </w:p>
    <w:p w14:paraId="2E2825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марта 1944 года Постановлением ГКО «О введении новых названий авиационных мото</w:t>
      </w:r>
      <w:r w:rsidRPr="00070ADE">
        <w:rPr>
          <w:rFonts w:ascii="Times New Roman" w:hAnsi="Times New Roman"/>
          <w:color w:val="000000" w:themeColor="text1"/>
          <w:sz w:val="16"/>
          <w:szCs w:val="16"/>
        </w:rPr>
        <w:softHyphen/>
        <w:t>ров» в ряду других моторы Аркадия Швецова типа М-82 стали именовать</w:t>
      </w:r>
      <w:r w:rsidRPr="00070ADE">
        <w:rPr>
          <w:rFonts w:ascii="Times New Roman" w:hAnsi="Times New Roman"/>
          <w:color w:val="000000" w:themeColor="text1"/>
          <w:sz w:val="16"/>
          <w:szCs w:val="16"/>
        </w:rPr>
        <w:softHyphen/>
        <w:t>ся теперь АШ-82Ф и АШ-82ФН - по инициалам своего создателя (10714).</w:t>
      </w:r>
    </w:p>
    <w:p w14:paraId="553385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8EBB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марта 1944 вышло Постановление ГКО № 5328 О введении новых названий авиационных моторов. РГАНИР, Фонд ГКО, д. 215, лл. 219 (11012).</w:t>
      </w:r>
    </w:p>
    <w:p w14:paraId="62BF3BB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D61B2B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812FA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2AFF9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марта 1944 вышло Постановление ГКО № 5321 О восстановлении электростанции и электросетей г. Гомеля Белорусской ССР. РГАНИР, Фонд ГКО, д. 215, лл. 194,195-212 (11012).</w:t>
      </w:r>
    </w:p>
    <w:p w14:paraId="1B9BAA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DE70E3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марта 1944 вышло Распоряжение ГКО № 5322 [О постановке на текущий профилактический ремонт котла Красноярской ТЭЦ.] (7195, 213).</w:t>
      </w:r>
    </w:p>
    <w:p w14:paraId="641A1BC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A9083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марта 1944 вышло Распоряжение ГКО № 5323 [О мобилизации 2 тыс. чел. в Запорожской обл. на строительство узкоколейной дороги к переправам через Сиваш для 4 УФ.] (7195, 214).</w:t>
      </w:r>
    </w:p>
    <w:p w14:paraId="67AD458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5034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марта 1944 вышло Распоряжение ГКО № 5324. О передаче 800 освобожденных из заключения Уралхимпромстрою и Березниковским предприятиям НКХП и предоставлении им отсрочки от призыва. РГАНИР, Фонд ГКО, д. 215, лл. 215 (11012).</w:t>
      </w:r>
    </w:p>
    <w:p w14:paraId="090221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1BBA75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марта 1944 вышло Распоряжение ГКО № 5325. О мерах по обеспечению производства автомобильных и специальных шин на заводе № 736 НКРП газовой сажей. РГАНИР, Фонд ГКО, д. 215, лл. 216 (11012).</w:t>
      </w:r>
    </w:p>
    <w:p w14:paraId="070FEC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8E47B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марта 1944 вышло Распоряжение ГКО № 5326. О мерах по обеспечению бесперебойного электроснабжения промышленных предприятий Сталинграда в марте 1944 г. РГАНИР, Фонд ГКО, д. 215, лл. 217 (11012).</w:t>
      </w:r>
    </w:p>
    <w:p w14:paraId="405B03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EA601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марта 1944 вышло Распоряжение ГКО № 5327. О поставках сырья предприятиям НКРП в марте 1944 г. РГАНИР, Фонд ГКО, д. 215, лл. 218 (11012).</w:t>
      </w:r>
    </w:p>
    <w:p w14:paraId="4193EA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29380A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FBB52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52E557"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6 марта</w:t>
      </w:r>
      <w:r w:rsidRPr="00070ADE">
        <w:rPr>
          <w:rFonts w:ascii="Times New Roman" w:hAnsi="Times New Roman"/>
          <w:color w:val="000000" w:themeColor="text1"/>
          <w:sz w:val="16"/>
          <w:szCs w:val="16"/>
        </w:rPr>
        <w:t xml:space="preserve"> в 1944 году оперативная сводка Совинформбюро:</w:t>
      </w:r>
    </w:p>
    <w:p w14:paraId="67351F9B"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6 марта войска 1-го Украинского фронта, продолжая развивать наступление, овладели районными центрами Тарнопольской области городом Збараж, Вишневец, Лановцы, Новое Село, районными центрами Каменец-Подольской области Фридриховка, Грицев, а также с боями заняли более 200 других населённых пунктов, в том числе крупные населённые пункты Башковце, Залесьце, Жесьнювка, Лопушно, Шилы, Кошляки, Ожиговцы, Куриловка, Волочиск, Лозова, Маначин, Большие Жеребки, Борщёвка, Колки, Решневка, Влашановка, Нечаевка, Мокеевцы, Раштовка, Писаревка, Губин, Юзефовка, Ожаровка, Мшанец, Мотовиловка и железнодорожные станции Карначёвка, Зарудечко, Красносельце, Збараж, Волочиск, Войтовцы, Наркевичи. Нашими войсками перерезана важнейшая коммуникация противника — железная дорога Проскуров-Тарнополь.</w:t>
      </w:r>
    </w:p>
    <w:p w14:paraId="7C0A77D0"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предварительным данным, за два дня боёв, 4 и 5 марта, войсками 1-го Украинского фронта уничтожено: танков — 203, орудий разного калибра — 250, бронемашин — 30, миномётов — 407, пулемётов — более 600, автомашин — свыше 2.000, складов разных — 20.</w:t>
      </w:r>
    </w:p>
    <w:p w14:paraId="38A36617"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Немцы оставили на поле боя более 15.000 трупов своих солдат и офицеров.</w:t>
      </w:r>
    </w:p>
    <w:p w14:paraId="6F906030"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это же время войска фронта захватили следующие трофеи: танков — 120, орудий разного калибра — 202, миномётов — 210, пулемётов — 260, бронепоезд — 1, автомашин — более 1.000, складов с боеприпасами и различным военным имуществом —23. Взято в плен свыше 3.000 немецких солдат и офицеров.</w:t>
      </w:r>
    </w:p>
    <w:p w14:paraId="10C6F77E"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и в ряде пунктов бои местного значения.</w:t>
      </w:r>
    </w:p>
    <w:p w14:paraId="3C115F89"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5 марта наши войска на всех фронтах подбили и уничтожили 89 немецких танков. В воздушных боях и огнём зенитной артиллерии сбито 20 самолётов противника.</w:t>
      </w:r>
    </w:p>
    <w:p w14:paraId="018ADE8B"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успешное наступление. Наши танкистыи пехотинцы в результате стремительных ударов овладели районными центрами Тарнопольской области — городом и важным узлом шоссейных дорог Збараж, Вишневец, Лановцы, Новое Село, районными центрами Каменец-Подольской области Фридриховка и Грицев. Советские войска после упорных боёв заняли железнодорожную станцию Волочиск и тем самым перерезали железную дорогу Проскуров-Тарнополь. На этой же важнейшей коммуникации противника наши части овладели станциями Войтовцы и Наркевичи.</w:t>
      </w:r>
    </w:p>
    <w:p w14:paraId="478830D2"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войска смелыми обходными манёврами отрезают немцам ограниченные распутицей пути отхода. В районе населённого пункта Мокеевцы окружена и разгромлена значительная группа войск противника. В районе Теофиполя наши бойцы окружили и полностью уничтожили полк немецкой пехоты. Противник несёт огромные потери в живой силе и технике. Только частями Н-ского соединения за день боёв уничтожено до 4 тысяч немецких солдат и офицеров. Захвачено 44 орудия, 16 шестиствольных миномётов, 130 пулемётов и другие трофеи. Взято много пленных.</w:t>
      </w:r>
    </w:p>
    <w:p w14:paraId="4EC5B637"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Нарвском направлении бойцы Н-ской части атаковали узел обороны противника. Небольшие группы стрелков и автоматчиков под прикрытием артиллерийского огня ворвались в укрепления врага и в рукопашной схватке истребили до 300 гитлеровцев. Овладев узлом обороны немцев, советские бойцы захватили 4 орудия, 6 миномётов, 20 станковых пулемётов и другие трофеи. Артиллеристы Н-ской части, поддерживая наступательные действия пехоты, разрушили 20 немецких дзотов, подбили 3 танка типа «Тигр» и рассеяли батальон пехоты противника.</w:t>
      </w:r>
    </w:p>
    <w:p w14:paraId="11EC3DB1"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Нашими кораблями в Баренцовом море потоплена немецкая подводная лодка.</w:t>
      </w:r>
    </w:p>
    <w:p w14:paraId="2F075D62"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Финском заливе потоплены транспорт водоизмещением в 1.500 тонн и сторожевой катер противника.</w:t>
      </w:r>
    </w:p>
    <w:p w14:paraId="48964747"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украинских партизанских отрядов, действующих в Волынской области, 23 февраля вели бой с двумя батальонами немецких оккупантов. Советские патриоты нанесли немцам тяжёлые потери и вынудили их отступить. В этом бою убито и ранено до 400 гитлеровцев. В другом районе группа волынских партизан пустила под откос 3 воинских эшелона противника. В результате крушений разбиты 3 паровоза, 10 вагонов и сгорели 8 цистерн с бензином.</w:t>
      </w:r>
    </w:p>
    <w:p w14:paraId="48393DFE"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Перешедший на сторону Красной Армии унтер-офицер 215 немецкой пехотнойдивизии Фридрих В. рассказал: «Я служил в охранном батальоне, расположенном в Западной Германии. В декабре 1941 года батальон был спешно переброшен в район Ленинграда. Нам объявили, что в ближайшие дни немецкие войска возьмут Ленинград и мы будем нести в этом городе охранную службу. Зимой 1941-1942 гг. наш батальон находился без дела, а потом был расформирован. Я попал в 215 пехотную дивизию. Почти полтора года мы строили укрепления. Офицеры сравнивали эти укрепления с линией Зигфрида. Прорыв такой обороны русскими ошеломил нас. Несмотря на приказ командира дивизии удерживать позиции до последнего человека, поднялась всеобщая паника. Многие солдаты разбежались. Я добровольно сдался в плен русским и здесь встретил многих солдат из своей роты».</w:t>
      </w:r>
    </w:p>
    <w:p w14:paraId="570C12E3"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Жители местечка Плисков, Винницкой области, составили акт о зверствах немецко-фашистских мерзавцев. В акте говорится: «Немецкие оккупанты установили в нашем районе кровавый режим. Гитлеровцы арестовывали ни в чём неповинных людей, мучили их, а затем убивали. Жестоким пыткам подверглась перед расстрелом учительница Мария Ващенко. Немцы замучили и расстреляли Анну Гончарук, семью В.Андрейчука и многих других. Всего за время оккупации немецкие изверги убили и замучили свыше 1.500 советских граждан. Главными виновниками этих кровавых злодеяний мы считаем начальника полиции немца Шустера, вахмистра Кинкеля, гестаповцев Германа и Кушнера, офицера по сельскому хозяйству Беккера и его помощника Яшке».</w:t>
      </w:r>
    </w:p>
    <w:p w14:paraId="053D7199"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жители местечка Плисков: В.Омельчук, Д.Мельник, А.Столяр,партизанка Парнева, учительница Дьяченко и другие.» (15060).</w:t>
      </w:r>
    </w:p>
    <w:p w14:paraId="213BB9F9" w14:textId="77777777" w:rsidR="000511D8" w:rsidRPr="00070ADE" w:rsidRDefault="000511D8" w:rsidP="00B56F90">
      <w:pPr>
        <w:spacing w:after="0" w:line="240" w:lineRule="auto"/>
        <w:jc w:val="both"/>
        <w:rPr>
          <w:rFonts w:ascii="Times New Roman" w:hAnsi="Times New Roman"/>
          <w:color w:val="000000" w:themeColor="text1"/>
          <w:sz w:val="16"/>
          <w:szCs w:val="16"/>
        </w:rPr>
      </w:pPr>
    </w:p>
    <w:p w14:paraId="0B5A5290"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6 марта</w:t>
      </w:r>
      <w:r w:rsidRPr="00070ADE">
        <w:rPr>
          <w:rFonts w:ascii="Times New Roman" w:hAnsi="Times New Roman"/>
          <w:color w:val="000000" w:themeColor="text1"/>
          <w:sz w:val="16"/>
          <w:szCs w:val="16"/>
        </w:rPr>
        <w:t xml:space="preserve"> в 1944 году войска 3-го Украинского фронта (командующий генерал армии Р.Я.Малиновский) начали Березнеговато-Снигиревскую наступательную операцию. Цель операции — разгром гитлеровских войск в междуречье Ингульца и Южного Буга. Завершилась 18 марта. В результате операции войска фронта продвинулись на 140 км, освободив значительные территории Правобережной Украины (15060).</w:t>
      </w:r>
    </w:p>
    <w:p w14:paraId="231E0E45" w14:textId="77777777" w:rsidR="000511D8" w:rsidRPr="00070ADE" w:rsidRDefault="000511D8" w:rsidP="00B56F90">
      <w:pPr>
        <w:spacing w:after="0" w:line="240" w:lineRule="auto"/>
        <w:jc w:val="both"/>
        <w:rPr>
          <w:rFonts w:ascii="Times New Roman" w:hAnsi="Times New Roman"/>
          <w:color w:val="000000" w:themeColor="text1"/>
          <w:sz w:val="16"/>
          <w:szCs w:val="16"/>
        </w:rPr>
      </w:pPr>
    </w:p>
    <w:p w14:paraId="53162A2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марта 1944 советские войска освободили Збараж (4962).</w:t>
      </w:r>
    </w:p>
    <w:p w14:paraId="145B359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24AB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6 по 18 марта 1944 состоялась Березнеговато-Снигиревская операция войск 3УФ по освобождению Правобережной Украины. В междуречье Ингульца и Южного Буга уничтожили 8 немецких дивизий и продвинулись на 140 км (2438,95).</w:t>
      </w:r>
    </w:p>
    <w:p w14:paraId="3BC190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этой операции велась активная борьба авиации с подходящими резервами противника (518,165).</w:t>
      </w:r>
    </w:p>
    <w:p w14:paraId="0BC87C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распутицей только за 17 дней перебросили с помощью авиации 670 т различных грузов (главным образом горючего и боеприпасов) и это позволило продолжить преследование отступающего противника (518,167).</w:t>
      </w:r>
    </w:p>
    <w:p w14:paraId="25599D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0439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6 марта 1944 была предпринята новая попытка - из Геленджика вышли в 14:49. На сей раз первоначально все шло нормально, около восьми часов вечера идущие в Скадовск успешно приняли топливо с катеров обеспечения и продолжили движение. К сожалению, не обошлось без неприятностей. На одном из катеров лопнула тяга рулей, устранение неисправности заняло около получаса. В районе Ялты на отряд обрушился сильный ветер, а когда проходили мыс Сарыч, погода совсем испортилась. На ТКА-АКА при ударе волны прямо на направляющих взорвался реактивный снаряд и, хотя сам кораблик не пострадал, два человека получили ранения. Другой “эрэс” упал в воду. Катеру грозила гибель и тогда моряки выбросили снаряды за борт. Но самым печальным было то, что потерялся ТКА №24, которым командовал прибывший незадолго до описываемых событий с Тихого океана лейтенант В.И.Игошин. Отстал от основной группы и ТКА №14. Утром восемь катеров </w:t>
      </w:r>
      <w:r w:rsidRPr="00070ADE">
        <w:rPr>
          <w:rFonts w:ascii="Times New Roman" w:hAnsi="Times New Roman"/>
          <w:color w:val="000000" w:themeColor="text1"/>
          <w:sz w:val="16"/>
          <w:szCs w:val="16"/>
        </w:rPr>
        <w:lastRenderedPageBreak/>
        <w:t>прибыли в свою новую базу, а к поискам пропавших была привлечена авиация. Однако найти их летчики не сумели - 14-й вечером объявился сам и его командир по радио доложил, что стал на якорь на подходе к Скадовску. Судьба же 24-го сложилась трагически. Потерявшись, его командир принял в общем-то правильное решение: идти к берегу и, двигаясь вдоль него, найти приметное место и определиться. Закончилось “путешествие” тем, что лейтенант увидел бухту с сигнальным постом и решил зайти в нее. Обнаруженные в глубине бухты катера моряки посчитали своими и, лишь подойдя на малое расстояние, заметили на них вражеские флаги. Открыв огонь из крупнокалиберного пулемета и дополнительно установленной пушки ШВАК, ТКА №24 устремился в открытое море, но уже выйдя из бухты наткнулся на отряд противника и в скоротечном бою был подбит. Пушка и пулемет вышли из строя, катер потерял ход, лейтенант Игошин и еще один из членов экипажа погибли. Немцы подошли к поврежденному “Гэ-пятому” и забрали с него уцелевших, включая двух раненых. Захватить 24-й врагу не удалось - он быстро затонул (6002).</w:t>
      </w:r>
    </w:p>
    <w:p w14:paraId="0F2233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3069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марта 1944 года 6-й батальон 1 -и УПД вошел в польское село Зажече. Солдаты небольшого немецкого гарнизона частично разбежались, частично были перебиты. Командир батальона А. И. Цимбал с минуты на минуту ждал появления воздушных “гостей”, так как совсем рядом, у Замостья, находилось три больших немецких аэродрома. И действительно, во второй половине дня со стороны Замостья на небольшой высоте появился огромный многомоторный самолет. В нем партизаны сразу узнали уже знакомый им “Гигант”. Во время первого пролета “немца” над селом все слегка растерял ись, ожидая града бомб. Но бомбардировки не последовало, а “Гигант” медленно развернулся и зачем-то полетел обратно на высоте всего несколько десятков метров. Тут уж пулеметчики партизанского батальона не сплоховали...Самолет вначале задымил, потом у него загорелась хвостовая часть фюзеляжа. С сильным креном он как-то боком “потянул” на северо-восток в сторону Замостья, но, пролетев всего шесть километров, рухнул на землю и сгорел. Цель этой акции для командования батальона долго оставалась загадкой, то ли немцы хотели напугать партизан, то ли пытались разведать их боевые порядки, используя для этого не самую подходящую машину. Однако все оказалось гораздо проще. В селе размещался дальний приводной радиомаяк, личный состав которого при нападении партизан разбежался, успев отключить аппаратуру. Поэтому летевший отлинии фронта экипаж “Гиганта” просто-напросто потерял ориентировку и, снизившись, пытался визуально определить свое местонахождение. Этот Me 323 оказался последним самолетом, уничтоженным ковпаковцами (9974).</w:t>
      </w:r>
    </w:p>
    <w:p w14:paraId="125DFD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ACF15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марта 1944 из полета не вернулся Ил-4 1-го ГМТАП П.А. Колесника (9965).</w:t>
      </w:r>
    </w:p>
    <w:p w14:paraId="357DD1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6C9BA76"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6 марта</w:t>
      </w:r>
      <w:r w:rsidRPr="00070ADE">
        <w:rPr>
          <w:rFonts w:ascii="Times New Roman" w:hAnsi="Times New Roman"/>
          <w:color w:val="000000" w:themeColor="text1"/>
          <w:sz w:val="16"/>
          <w:szCs w:val="16"/>
        </w:rPr>
        <w:t xml:space="preserve"> в 1944 году авиация Балтийского флота начала массированные действия против кораблей противника в Нарвском заливе и в губе Кунда (15060).</w:t>
      </w:r>
    </w:p>
    <w:p w14:paraId="7403196E" w14:textId="77777777" w:rsidR="000511D8" w:rsidRPr="00070ADE" w:rsidRDefault="000511D8" w:rsidP="00B56F90">
      <w:pPr>
        <w:spacing w:after="0" w:line="240" w:lineRule="auto"/>
        <w:jc w:val="both"/>
        <w:rPr>
          <w:rFonts w:ascii="Times New Roman" w:hAnsi="Times New Roman"/>
          <w:color w:val="000000" w:themeColor="text1"/>
          <w:sz w:val="16"/>
          <w:szCs w:val="16"/>
        </w:rPr>
      </w:pPr>
    </w:p>
    <w:p w14:paraId="35F385A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5A5A1D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3AB5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марта 1944 года</w:t>
      </w:r>
    </w:p>
    <w:p w14:paraId="3D540C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ЛИЧНО И СЕКРЕТНО ОТ ПРЕМЬЕРА И. В. СТАЛИНА ПРЕЗИДЕНТУ г-ну Ф. Д. РУЗВЕЛЬТУ</w:t>
      </w:r>
    </w:p>
    <w:p w14:paraId="5C6079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Получил Ваше сообщение о Вашем заявлении на пресс-конференции в Вашингтоне относительно передачи части итальянских судов или их эквивалента из числа американского и британского тоннажа Советскому Союзу. Благодарю Вас (7430).</w:t>
      </w:r>
    </w:p>
    <w:p w14:paraId="7C1CC8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4B007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135DC5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7BEFF9"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6 марта</w:t>
      </w:r>
      <w:r w:rsidRPr="00070ADE">
        <w:rPr>
          <w:rFonts w:ascii="Times New Roman" w:hAnsi="Times New Roman"/>
          <w:color w:val="000000" w:themeColor="text1"/>
          <w:sz w:val="16"/>
          <w:szCs w:val="16"/>
        </w:rPr>
        <w:t xml:space="preserve"> в 1944 году очередной массированный налёт американской авиации на Берлин истребители 25 групп и ряда отдельных истребительных подразделений. Было сбито не менее 69 тяжелых бомбардировщиков ценой гибели 36 лётчиков люфтваффе, еще 27 пилотов получили ранения. Американская авиация начинает бомбить Берлин в дневное время (15060).</w:t>
      </w:r>
    </w:p>
    <w:p w14:paraId="20B1EAA4" w14:textId="77777777" w:rsidR="000511D8" w:rsidRPr="00070ADE" w:rsidRDefault="000511D8" w:rsidP="00B56F90">
      <w:pPr>
        <w:spacing w:after="0" w:line="240" w:lineRule="auto"/>
        <w:jc w:val="both"/>
        <w:rPr>
          <w:rFonts w:ascii="Times New Roman" w:hAnsi="Times New Roman"/>
          <w:color w:val="000000" w:themeColor="text1"/>
          <w:sz w:val="16"/>
          <w:szCs w:val="16"/>
        </w:rPr>
      </w:pPr>
    </w:p>
    <w:p w14:paraId="4ADF16BF" w14:textId="77777777" w:rsidR="00464D2B" w:rsidRPr="00070ADE" w:rsidRDefault="00464D2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 марта (ночь) 1944 бомбардировочное командование Королевских ВВС начинает серию рейдов по железным дорогам Франции и Бельгии в рамках подготовки к предстоящему вторжению в Нормандию с атакой 267 бомбардировщиков (20373).</w:t>
      </w:r>
    </w:p>
    <w:p w14:paraId="6B7884A3" w14:textId="77777777" w:rsidR="00464D2B" w:rsidRPr="00070ADE" w:rsidRDefault="00464D2B" w:rsidP="00B56F90">
      <w:pPr>
        <w:spacing w:after="0" w:line="240" w:lineRule="auto"/>
        <w:jc w:val="both"/>
        <w:rPr>
          <w:rFonts w:ascii="Times New Roman" w:hAnsi="Times New Roman"/>
          <w:color w:val="000000" w:themeColor="text1"/>
          <w:sz w:val="16"/>
          <w:szCs w:val="16"/>
        </w:rPr>
      </w:pPr>
    </w:p>
    <w:p w14:paraId="64835E7B" w14:textId="77777777" w:rsidR="000511D8" w:rsidRPr="00070ADE" w:rsidRDefault="000511D8"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марта 1944 американцы в ходе дневного налета сбросили 2 тыс. т бомб на Берлин (2247,2).</w:t>
      </w:r>
    </w:p>
    <w:p w14:paraId="1ECC8AC6" w14:textId="77777777" w:rsidR="000511D8" w:rsidRPr="00070ADE" w:rsidRDefault="000511D8"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F48B99" w14:textId="77777777" w:rsidR="000511D8" w:rsidRPr="00070ADE" w:rsidRDefault="000511D8"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марта 1944 американцы начали дневные бомбардировки Германии (3907,248).</w:t>
      </w:r>
    </w:p>
    <w:p w14:paraId="6B9C32DD" w14:textId="77777777" w:rsidR="000511D8" w:rsidRPr="00070ADE" w:rsidRDefault="000511D8"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5830A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марта 1944 в ходе налета на Берлин английская авиация за день потеряла 69 самолетов (самая большая потеря за годы войны) (4962).</w:t>
      </w:r>
    </w:p>
    <w:p w14:paraId="6C4F9E4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7816A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2B0A17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3290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на</w:t>
      </w:r>
      <w:r w:rsidRPr="00070ADE">
        <w:rPr>
          <w:rFonts w:ascii="Times New Roman" w:hAnsi="Times New Roman"/>
          <w:color w:val="000000" w:themeColor="text1"/>
          <w:sz w:val="16"/>
          <w:szCs w:val="16"/>
        </w:rPr>
        <w:softHyphen/>
        <w:t>чалу марта 1944 г. удалось закончить сборку и устранить все де</w:t>
      </w:r>
      <w:r w:rsidRPr="00070ADE">
        <w:rPr>
          <w:rFonts w:ascii="Times New Roman" w:hAnsi="Times New Roman"/>
          <w:color w:val="000000" w:themeColor="text1"/>
          <w:sz w:val="16"/>
          <w:szCs w:val="16"/>
        </w:rPr>
        <w:softHyphen/>
        <w:t>фекты Ил-1. Согласно сводке по опытному самолетостроению двухмест</w:t>
      </w:r>
      <w:r w:rsidRPr="00070ADE">
        <w:rPr>
          <w:rFonts w:ascii="Times New Roman" w:hAnsi="Times New Roman"/>
          <w:color w:val="000000" w:themeColor="text1"/>
          <w:sz w:val="16"/>
          <w:szCs w:val="16"/>
        </w:rPr>
        <w:softHyphen/>
        <w:t>ный вариант Ил-1 10 марта был отправ</w:t>
      </w:r>
      <w:r w:rsidRPr="00070ADE">
        <w:rPr>
          <w:rFonts w:ascii="Times New Roman" w:hAnsi="Times New Roman"/>
          <w:color w:val="000000" w:themeColor="text1"/>
          <w:sz w:val="16"/>
          <w:szCs w:val="16"/>
        </w:rPr>
        <w:softHyphen/>
        <w:t>лен в Москву на авиазавод № 240 для дальнейшей доводки и проведения ис</w:t>
      </w:r>
      <w:r w:rsidRPr="00070ADE">
        <w:rPr>
          <w:rFonts w:ascii="Times New Roman" w:hAnsi="Times New Roman"/>
          <w:color w:val="000000" w:themeColor="text1"/>
          <w:sz w:val="16"/>
          <w:szCs w:val="16"/>
        </w:rPr>
        <w:softHyphen/>
        <w:t>пытаний. Вместе с самолетом в столицу выехала заводская бригада во главе с ведущим инженером А. Соболевым и заместителем начальника отдела эксп</w:t>
      </w:r>
      <w:r w:rsidRPr="00070ADE">
        <w:rPr>
          <w:rFonts w:ascii="Times New Roman" w:hAnsi="Times New Roman"/>
          <w:color w:val="000000" w:themeColor="text1"/>
          <w:sz w:val="16"/>
          <w:szCs w:val="16"/>
        </w:rPr>
        <w:softHyphen/>
        <w:t>луатации и ремонта С. Малышевым (10680).</w:t>
      </w:r>
    </w:p>
    <w:p w14:paraId="57E297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E83E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марта 1944 работу по самоле</w:t>
      </w:r>
      <w:r w:rsidRPr="00070ADE">
        <w:rPr>
          <w:rFonts w:ascii="Times New Roman" w:hAnsi="Times New Roman"/>
          <w:color w:val="000000" w:themeColor="text1"/>
          <w:sz w:val="16"/>
          <w:szCs w:val="16"/>
        </w:rPr>
        <w:softHyphen/>
        <w:t>ту Су-6 с М-82 ФН 2ТК-3 и РД ОКБ-16 включили в проект плана опытного строительства самолетов ВВС КА на 1944 г. Одновременно подготовили про</w:t>
      </w:r>
      <w:r w:rsidRPr="00070ADE">
        <w:rPr>
          <w:rFonts w:ascii="Times New Roman" w:hAnsi="Times New Roman"/>
          <w:color w:val="000000" w:themeColor="text1"/>
          <w:sz w:val="16"/>
          <w:szCs w:val="16"/>
        </w:rPr>
        <w:softHyphen/>
        <w:t>ект приказа НКАП СССР, который обя</w:t>
      </w:r>
      <w:r w:rsidRPr="00070ADE">
        <w:rPr>
          <w:rFonts w:ascii="Times New Roman" w:hAnsi="Times New Roman"/>
          <w:color w:val="000000" w:themeColor="text1"/>
          <w:sz w:val="16"/>
          <w:szCs w:val="16"/>
        </w:rPr>
        <w:softHyphen/>
        <w:t>зывал директора и главного конструк</w:t>
      </w:r>
      <w:r w:rsidRPr="00070ADE">
        <w:rPr>
          <w:rFonts w:ascii="Times New Roman" w:hAnsi="Times New Roman"/>
          <w:color w:val="000000" w:themeColor="text1"/>
          <w:sz w:val="16"/>
          <w:szCs w:val="16"/>
        </w:rPr>
        <w:softHyphen/>
        <w:t>тора завода №289 П.О.Сухого «...вы</w:t>
      </w:r>
      <w:r w:rsidRPr="00070ADE">
        <w:rPr>
          <w:rFonts w:ascii="Times New Roman" w:hAnsi="Times New Roman"/>
          <w:color w:val="000000" w:themeColor="text1"/>
          <w:sz w:val="16"/>
          <w:szCs w:val="16"/>
        </w:rPr>
        <w:softHyphen/>
        <w:t>пустить к 15 мая 1944 г. одноместный экземпляр самолета Су-6 с реактив</w:t>
      </w:r>
      <w:r w:rsidRPr="00070ADE">
        <w:rPr>
          <w:rFonts w:ascii="Times New Roman" w:hAnsi="Times New Roman"/>
          <w:color w:val="000000" w:themeColor="text1"/>
          <w:sz w:val="16"/>
          <w:szCs w:val="16"/>
        </w:rPr>
        <w:softHyphen/>
        <w:t>ным двигателем ОКБ завода № 16, заменив мотор М-71 на М-83 с 2ТК-3...». Нарком приказ не подписал, что, по-видимому, было связано с подготов</w:t>
      </w:r>
      <w:r w:rsidRPr="00070ADE">
        <w:rPr>
          <w:rFonts w:ascii="Times New Roman" w:hAnsi="Times New Roman"/>
          <w:color w:val="000000" w:themeColor="text1"/>
          <w:sz w:val="16"/>
          <w:szCs w:val="16"/>
        </w:rPr>
        <w:softHyphen/>
        <w:t>кой уже проек</w:t>
      </w:r>
      <w:r w:rsidRPr="00070ADE">
        <w:rPr>
          <w:rFonts w:ascii="Times New Roman" w:hAnsi="Times New Roman"/>
          <w:color w:val="000000" w:themeColor="text1"/>
          <w:sz w:val="16"/>
          <w:szCs w:val="16"/>
        </w:rPr>
        <w:softHyphen/>
        <w:t>та мартовского 1944 г. постановления правительства. Но, по странному стечению обстоя</w:t>
      </w:r>
      <w:r w:rsidRPr="00070ADE">
        <w:rPr>
          <w:rFonts w:ascii="Times New Roman" w:hAnsi="Times New Roman"/>
          <w:color w:val="000000" w:themeColor="text1"/>
          <w:sz w:val="16"/>
          <w:szCs w:val="16"/>
        </w:rPr>
        <w:softHyphen/>
        <w:t>тельств, в постановление ГОКО от 22 мая 1944 г. самолет не включили. И только приказ НКАП СССР № 371 от 30 мая 1944 г. обязал главного конст</w:t>
      </w:r>
      <w:r w:rsidRPr="00070ADE">
        <w:rPr>
          <w:rFonts w:ascii="Times New Roman" w:hAnsi="Times New Roman"/>
          <w:color w:val="000000" w:themeColor="text1"/>
          <w:sz w:val="16"/>
          <w:szCs w:val="16"/>
        </w:rPr>
        <w:softHyphen/>
        <w:t>руктора П.О.Сухого наряду с само</w:t>
      </w:r>
      <w:r w:rsidRPr="00070ADE">
        <w:rPr>
          <w:rFonts w:ascii="Times New Roman" w:hAnsi="Times New Roman"/>
          <w:color w:val="000000" w:themeColor="text1"/>
          <w:sz w:val="16"/>
          <w:szCs w:val="16"/>
        </w:rPr>
        <w:softHyphen/>
        <w:t>летом Су-5 спроектировать и постро</w:t>
      </w:r>
      <w:r w:rsidRPr="00070ADE">
        <w:rPr>
          <w:rFonts w:ascii="Times New Roman" w:hAnsi="Times New Roman"/>
          <w:color w:val="000000" w:themeColor="text1"/>
          <w:sz w:val="16"/>
          <w:szCs w:val="16"/>
        </w:rPr>
        <w:softHyphen/>
        <w:t>ить «...экспериментальную модифика</w:t>
      </w:r>
      <w:r w:rsidRPr="00070ADE">
        <w:rPr>
          <w:rFonts w:ascii="Times New Roman" w:hAnsi="Times New Roman"/>
          <w:color w:val="000000" w:themeColor="text1"/>
          <w:sz w:val="16"/>
          <w:szCs w:val="16"/>
        </w:rPr>
        <w:softHyphen/>
        <w:t>цию самолета Су-6 под мотор АШ-82ФН 2ТК-3 или М-83 с установкой однокамерного двигателя РД- 1 конст</w:t>
      </w:r>
      <w:r w:rsidRPr="00070ADE">
        <w:rPr>
          <w:rFonts w:ascii="Times New Roman" w:hAnsi="Times New Roman"/>
          <w:color w:val="000000" w:themeColor="text1"/>
          <w:sz w:val="16"/>
          <w:szCs w:val="16"/>
        </w:rPr>
        <w:softHyphen/>
        <w:t>рукции Глушко, со следующими летно-техническими данными:</w:t>
      </w:r>
    </w:p>
    <w:p w14:paraId="2AA8A5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высоте 7500 м без включения РД - 590 км/ч.</w:t>
      </w:r>
    </w:p>
    <w:p w14:paraId="22D90C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высоте 12000 м с включением РД - 700 км/ч.</w:t>
      </w:r>
    </w:p>
    <w:p w14:paraId="7BB7D8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Продолжительность полета без включения РД на высоте 10000 м при скорости 450 км/ч - 1 ч. 40 мин.</w:t>
      </w:r>
    </w:p>
    <w:p w14:paraId="56F2E9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 2 пушки калибра 20 мм с боезапасом 370 патронов.</w:t>
      </w:r>
    </w:p>
    <w:p w14:paraId="3FF99A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предъявить на летные ис</w:t>
      </w:r>
      <w:r w:rsidRPr="00070ADE">
        <w:rPr>
          <w:rFonts w:ascii="Times New Roman" w:hAnsi="Times New Roman"/>
          <w:color w:val="000000" w:themeColor="text1"/>
          <w:sz w:val="16"/>
          <w:szCs w:val="16"/>
        </w:rPr>
        <w:softHyphen/>
        <w:t>пытания к 1 сентября 1944 г...» (10668).</w:t>
      </w:r>
    </w:p>
    <w:p w14:paraId="65AA33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8530D3" w14:textId="77777777" w:rsidR="00750752" w:rsidRPr="00070ADE" w:rsidRDefault="00750752"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В начале марта 1944 работа по самолету Су-6 с М-82 ФН 2ТК- и РД-1 была включена в проект плана опытного строитель ства самолетов ВВС на 1944 г. Одновременно был подготов лен проект приказа НКАП, который обязывал директора и главного конструктора завода М° 289 П.О.Сухого выпустить к 15 мая 1944 г. одноместный экземпляр самолета Су-6 с реак тивным двигателем РД-1 В.П. Глушко с заменой мотора М-71 на М-83 с 2ТК-3. Но нарком приказ не подписал (19586).</w:t>
      </w:r>
    </w:p>
    <w:p w14:paraId="09AEEB44" w14:textId="77777777" w:rsidR="00750752" w:rsidRPr="00070ADE" w:rsidRDefault="00750752"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D886EF8" w14:textId="77777777" w:rsidR="00B246E7" w:rsidRPr="00C94B78" w:rsidRDefault="00B246E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марта 1944 г. работа по самолету Су-6 с М-82 ФН 2ТК-3 и РД-1 была включена в проект плана опытного строитель</w:t>
      </w:r>
      <w:r w:rsidRPr="00C94B78">
        <w:rPr>
          <w:rFonts w:ascii="Times New Roman" w:hAnsi="Times New Roman"/>
          <w:color w:val="0070C0"/>
          <w:sz w:val="16"/>
          <w:szCs w:val="16"/>
        </w:rPr>
        <w:softHyphen/>
        <w:t>ства самолетов ВВС на 1944 г. Одновременно был подготов</w:t>
      </w:r>
      <w:r w:rsidRPr="00C94B78">
        <w:rPr>
          <w:rFonts w:ascii="Times New Roman" w:hAnsi="Times New Roman"/>
          <w:color w:val="0070C0"/>
          <w:sz w:val="16"/>
          <w:szCs w:val="16"/>
        </w:rPr>
        <w:softHyphen/>
        <w:t>лен проект приказа НКАП, который обязывал директора и главного конструктора завода М° 289 П.О.Сухого выпустить к 15 мая 1944 г. одноместный экземпляр самолета Су-6 с реак</w:t>
      </w:r>
      <w:r w:rsidRPr="00C94B78">
        <w:rPr>
          <w:rFonts w:ascii="Times New Roman" w:hAnsi="Times New Roman"/>
          <w:color w:val="0070C0"/>
          <w:sz w:val="16"/>
          <w:szCs w:val="16"/>
        </w:rPr>
        <w:softHyphen/>
        <w:t>тивным двигателем РД-1 В.П. Глушко с заменой мотора М-71 на М-83 с 2ТК-3. Но нарком приказ не подписал (24920).</w:t>
      </w:r>
    </w:p>
    <w:p w14:paraId="5615F68F" w14:textId="77777777" w:rsidR="00B246E7" w:rsidRPr="00C94B78" w:rsidRDefault="00B246E7" w:rsidP="00B56F90">
      <w:pPr>
        <w:spacing w:after="0" w:line="240" w:lineRule="auto"/>
        <w:jc w:val="both"/>
        <w:rPr>
          <w:rFonts w:ascii="Times New Roman" w:hAnsi="Times New Roman"/>
          <w:color w:val="0070C0"/>
          <w:sz w:val="16"/>
          <w:szCs w:val="16"/>
        </w:rPr>
      </w:pPr>
    </w:p>
    <w:p w14:paraId="168456AA" w14:textId="77777777" w:rsidR="00750752" w:rsidRPr="00070ADE" w:rsidRDefault="00750752"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начале марта 1944 года был завершен эскизный проект 2-го варианта одноместного истребителя Сухого с КДУ (М-107А и ВРДК) А.А. Фадеева и К.В. Холщевникова. Этот проект имел ряд существенных отличий от первого варианта. Учитывая то, что крыльевые воздухозаборники имеют значительные потери пол ного давления, связанные с большим количеством изгибов воз душных каналов, а также с увеличенными скоростями потока из-за малых размеров проходных сечений, во втором варианте приняли решение разместить воздухозаборник под коком воз пушного винта двигателя М-107А, это привело к изменению компоновки самолета. Кроме того, изменения коснулись мест размещения маслорадиатора и радиатора системы охлаждения М-107А, упростилась трансмиссия привода компрессора ВРДК. Был еще ряд других отличий.</w:t>
      </w:r>
    </w:p>
    <w:p w14:paraId="6DFD6BC1" w14:textId="77777777" w:rsidR="00750752" w:rsidRPr="00070ADE" w:rsidRDefault="00750752"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Второй вариант проекта был направлен в НКАП СССР и там включен в проект плана опытного строительства самоле тов на 1944 г.</w:t>
      </w:r>
    </w:p>
    <w:p w14:paraId="2E1BCD91" w14:textId="77777777" w:rsidR="00750752" w:rsidRPr="00070ADE" w:rsidRDefault="00750752"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марте 1944 г. был подготовлен проект постановления правительства, в котором, наряду с самолетами других ОКБ, был включен и истребитель П.О.Сухого с ВРДК (19586).</w:t>
      </w:r>
    </w:p>
    <w:p w14:paraId="7BA9F04A" w14:textId="77777777" w:rsidR="00750752" w:rsidRPr="00070ADE" w:rsidRDefault="00750752" w:rsidP="00B56F90">
      <w:pPr>
        <w:pStyle w:val="ae"/>
        <w:shd w:val="clear" w:color="auto" w:fill="FFFFFF"/>
        <w:spacing w:before="0" w:after="0"/>
        <w:jc w:val="both"/>
        <w:rPr>
          <w:color w:val="000000" w:themeColor="text1"/>
          <w:sz w:val="16"/>
          <w:szCs w:val="16"/>
        </w:rPr>
      </w:pPr>
    </w:p>
    <w:p w14:paraId="417445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начале марта 1944 г. в ОКБ П.О.С. был завер</w:t>
      </w:r>
      <w:r w:rsidRPr="00070ADE">
        <w:rPr>
          <w:rFonts w:ascii="Times New Roman" w:hAnsi="Times New Roman"/>
          <w:color w:val="000000" w:themeColor="text1"/>
          <w:sz w:val="16"/>
          <w:szCs w:val="16"/>
        </w:rPr>
        <w:softHyphen/>
        <w:t>шен эскизный проект 2-го варианта одноместного истребителя с М-107А и ВРДК Фадеева-Холщевникова. Дан</w:t>
      </w:r>
      <w:r w:rsidRPr="00070ADE">
        <w:rPr>
          <w:rFonts w:ascii="Times New Roman" w:hAnsi="Times New Roman"/>
          <w:color w:val="000000" w:themeColor="text1"/>
          <w:sz w:val="16"/>
          <w:szCs w:val="16"/>
        </w:rPr>
        <w:softHyphen/>
        <w:t>ный проект имел ряд существенных от</w:t>
      </w:r>
      <w:r w:rsidRPr="00070ADE">
        <w:rPr>
          <w:rFonts w:ascii="Times New Roman" w:hAnsi="Times New Roman"/>
          <w:color w:val="000000" w:themeColor="text1"/>
          <w:sz w:val="16"/>
          <w:szCs w:val="16"/>
        </w:rPr>
        <w:softHyphen/>
        <w:t>личий от предыдущего варианта. Учи</w:t>
      </w:r>
      <w:r w:rsidRPr="00070ADE">
        <w:rPr>
          <w:rFonts w:ascii="Times New Roman" w:hAnsi="Times New Roman"/>
          <w:color w:val="000000" w:themeColor="text1"/>
          <w:sz w:val="16"/>
          <w:szCs w:val="16"/>
        </w:rPr>
        <w:softHyphen/>
        <w:t>тывая то, что крыльевые воздухозабор</w:t>
      </w:r>
      <w:r w:rsidRPr="00070ADE">
        <w:rPr>
          <w:rFonts w:ascii="Times New Roman" w:hAnsi="Times New Roman"/>
          <w:color w:val="000000" w:themeColor="text1"/>
          <w:sz w:val="16"/>
          <w:szCs w:val="16"/>
        </w:rPr>
        <w:softHyphen/>
        <w:t>ники имеют значительные потери пол</w:t>
      </w:r>
      <w:r w:rsidRPr="00070ADE">
        <w:rPr>
          <w:rFonts w:ascii="Times New Roman" w:hAnsi="Times New Roman"/>
          <w:color w:val="000000" w:themeColor="text1"/>
          <w:sz w:val="16"/>
          <w:szCs w:val="16"/>
        </w:rPr>
        <w:softHyphen/>
        <w:t>ного давления, связанные с большим количеством изгибов воздушных кана</w:t>
      </w:r>
      <w:r w:rsidRPr="00070ADE">
        <w:rPr>
          <w:rFonts w:ascii="Times New Roman" w:hAnsi="Times New Roman"/>
          <w:color w:val="000000" w:themeColor="text1"/>
          <w:sz w:val="16"/>
          <w:szCs w:val="16"/>
        </w:rPr>
        <w:softHyphen/>
        <w:t>лов, а также с увеличенными скорос</w:t>
      </w:r>
      <w:r w:rsidRPr="00070ADE">
        <w:rPr>
          <w:rFonts w:ascii="Times New Roman" w:hAnsi="Times New Roman"/>
          <w:color w:val="000000" w:themeColor="text1"/>
          <w:sz w:val="16"/>
          <w:szCs w:val="16"/>
        </w:rPr>
        <w:softHyphen/>
        <w:t>тями потока из-за малых размеров про</w:t>
      </w:r>
      <w:r w:rsidRPr="00070ADE">
        <w:rPr>
          <w:rFonts w:ascii="Times New Roman" w:hAnsi="Times New Roman"/>
          <w:color w:val="000000" w:themeColor="text1"/>
          <w:sz w:val="16"/>
          <w:szCs w:val="16"/>
        </w:rPr>
        <w:softHyphen/>
        <w:t>ходных сечений, во втором варианте приняли решение разместить возду</w:t>
      </w:r>
      <w:r w:rsidRPr="00070ADE">
        <w:rPr>
          <w:rFonts w:ascii="Times New Roman" w:hAnsi="Times New Roman"/>
          <w:color w:val="000000" w:themeColor="text1"/>
          <w:sz w:val="16"/>
          <w:szCs w:val="16"/>
        </w:rPr>
        <w:softHyphen/>
        <w:t>хозаборник под коком воздушного вин</w:t>
      </w:r>
      <w:r w:rsidRPr="00070ADE">
        <w:rPr>
          <w:rFonts w:ascii="Times New Roman" w:hAnsi="Times New Roman"/>
          <w:color w:val="000000" w:themeColor="text1"/>
          <w:sz w:val="16"/>
          <w:szCs w:val="16"/>
        </w:rPr>
        <w:softHyphen/>
        <w:t>та двигателя М-107А, в связи с чем изменилась компоновка самолета. Кроме того, изменения коснулись мест размещения маслорадиатора и ради</w:t>
      </w:r>
      <w:r w:rsidRPr="00070ADE">
        <w:rPr>
          <w:rFonts w:ascii="Times New Roman" w:hAnsi="Times New Roman"/>
          <w:color w:val="000000" w:themeColor="text1"/>
          <w:sz w:val="16"/>
          <w:szCs w:val="16"/>
        </w:rPr>
        <w:softHyphen/>
        <w:t>атора системы охлаждения М-107А, уп</w:t>
      </w:r>
      <w:r w:rsidRPr="00070ADE">
        <w:rPr>
          <w:rFonts w:ascii="Times New Roman" w:hAnsi="Times New Roman"/>
          <w:color w:val="000000" w:themeColor="text1"/>
          <w:sz w:val="16"/>
          <w:szCs w:val="16"/>
        </w:rPr>
        <w:softHyphen/>
        <w:t>ростилась трансмиссия привода ком</w:t>
      </w:r>
      <w:r w:rsidRPr="00070ADE">
        <w:rPr>
          <w:rFonts w:ascii="Times New Roman" w:hAnsi="Times New Roman"/>
          <w:color w:val="000000" w:themeColor="text1"/>
          <w:sz w:val="16"/>
          <w:szCs w:val="16"/>
        </w:rPr>
        <w:softHyphen/>
        <w:t>прессора ВРДК. Проект имел и ряд других отличий. По завершению проектирования 2-й вариант был направлен для ознакомле</w:t>
      </w:r>
      <w:r w:rsidRPr="00070ADE">
        <w:rPr>
          <w:rFonts w:ascii="Times New Roman" w:hAnsi="Times New Roman"/>
          <w:color w:val="000000" w:themeColor="text1"/>
          <w:sz w:val="16"/>
          <w:szCs w:val="16"/>
        </w:rPr>
        <w:softHyphen/>
        <w:t>ния в НКАП СССР и там включен в проект плана опытного строительства самолетов ВВС КА на 1944 г. (10669).</w:t>
      </w:r>
    </w:p>
    <w:p w14:paraId="248A4C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580BE8" w14:textId="77777777" w:rsidR="00B246E7" w:rsidRPr="00C94B78" w:rsidRDefault="00B246E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марта 1944 года в ОКБ П.О.С. был готов эскизный проект 2-го варианта одноместного истребителя с КДУ (М-107А и ВРДК) А.А. Фадеева и К.В. Холщевникова.</w:t>
      </w:r>
    </w:p>
    <w:p w14:paraId="40CD72DC" w14:textId="77777777" w:rsidR="00B246E7" w:rsidRPr="00C94B78" w:rsidRDefault="00B246E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Этот проект имел ряд существенных отличий от первого варианта. Учитывая то, что крыльевые воздухозаборники имеют значительные потери пол</w:t>
      </w:r>
      <w:r w:rsidRPr="00C94B78">
        <w:rPr>
          <w:rFonts w:ascii="Times New Roman" w:hAnsi="Times New Roman"/>
          <w:color w:val="0070C0"/>
          <w:sz w:val="16"/>
          <w:szCs w:val="16"/>
        </w:rPr>
        <w:softHyphen/>
        <w:t>ного давления, связанные с большим количеством изгибов воз</w:t>
      </w:r>
      <w:r w:rsidRPr="00C94B78">
        <w:rPr>
          <w:rFonts w:ascii="Times New Roman" w:hAnsi="Times New Roman"/>
          <w:color w:val="0070C0"/>
          <w:sz w:val="16"/>
          <w:szCs w:val="16"/>
        </w:rPr>
        <w:softHyphen/>
        <w:t>душных каналов, а также с увеличенными скоростями потока из-за малых размеров проходных сечений, во втором варианте приняли решение разместить воздухозаборник под коком воз- пушного винта двигателя М-107А, это привело к изменению компоновки самолета. Кроме того, изменения коснулись мест размещения маслорадиатора и радиатора системы охлаждения М-107А, упростилась трансмиссия привода компрессора ВРДК. Был еще ряд других отличий.</w:t>
      </w:r>
    </w:p>
    <w:p w14:paraId="24BC48E0" w14:textId="77777777" w:rsidR="00B246E7" w:rsidRPr="00C94B78" w:rsidRDefault="00B246E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Второй вариант проекта был направлен в НКАП СССР и там включен в проект плана опытного строительства самоле</w:t>
      </w:r>
      <w:r w:rsidRPr="00C94B78">
        <w:rPr>
          <w:rFonts w:ascii="Times New Roman" w:hAnsi="Times New Roman"/>
          <w:color w:val="0070C0"/>
          <w:sz w:val="16"/>
          <w:szCs w:val="16"/>
        </w:rPr>
        <w:softHyphen/>
        <w:t>тов на 1944 г. (24920).</w:t>
      </w:r>
    </w:p>
    <w:p w14:paraId="664482E1" w14:textId="77777777" w:rsidR="00B246E7" w:rsidRPr="00C94B78" w:rsidRDefault="00B246E7" w:rsidP="00B56F90">
      <w:pPr>
        <w:spacing w:after="0" w:line="240" w:lineRule="auto"/>
        <w:jc w:val="both"/>
        <w:rPr>
          <w:rFonts w:ascii="Times New Roman" w:hAnsi="Times New Roman"/>
          <w:color w:val="0070C0"/>
          <w:sz w:val="16"/>
          <w:szCs w:val="16"/>
        </w:rPr>
      </w:pPr>
    </w:p>
    <w:p w14:paraId="23A57AB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E60DD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2D95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марта 1944 г. в соответствии с разработанной военными инженерами ГАУ новой системы зенитного вооружения, утвержденной командованием, ГАУ внесло в ГКО предложение, а 20 марта вышло его постановление, обязывавшее НИИ радиопромышленности разработать опытный образец зенитного радиодальномера (Архив МО СССР, ф. 81, он. 12204, ед. хр. 46, л. 94–97), сочетавшего применение радиолокационного и оптического способов определения угловых координат. Для этого дальномер должен был иметь два оптических визира большой светосилы, пользуясь которыми можно было с высокой точностью определять угловые координаты цели. Ночью и при неблагоприятных погодных условиях угловые координаты, равно как и дальность до самолета, определялись радиолокационным способом.</w:t>
      </w:r>
    </w:p>
    <w:p w14:paraId="40C28F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Радиодальномер должен был отвечать следующим тактико-техническим требованиям:</w:t>
      </w:r>
    </w:p>
    <w:p w14:paraId="02FFCC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дальность обнаружения самолета 20 км при высоте 1000 м и 30 км при высоте 4000 м;</w:t>
      </w:r>
    </w:p>
    <w:p w14:paraId="2A5D89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точность определения дальности – 30–60 м;</w:t>
      </w:r>
    </w:p>
    <w:p w14:paraId="6173F1B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время развертывания радиодальномера в боевое положение – не больше 15 мин.</w:t>
      </w:r>
    </w:p>
    <w:p w14:paraId="380C1EF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Институт спроектировал и создал «Хрусталь» (руководитель А. М. Рабинович) – компактную установку на треноге, работавшую на волне 1,5 м с мощностью излучения 100 кВт. Приемник – супергетеродин с однокаскадным преобразователем частоты и полосой пропускания 1,7 Мгц и чувствительностью 4 мкВ (при соотношении сигнал/шум, равном двум). Направленность антенны типа «волновой канал» (суммарная) – 29°. Разрешающая способность по дальности – 380–400 м. Общая масса аппаратуры в пяти укладочных ящиках – 1130 кг.</w:t>
      </w:r>
    </w:p>
    <w:p w14:paraId="440CD9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Полигонные испытания образца радиодальномера, проводившиеся на НИЗАП ГАУ (инженер-испытатель Л. Г. Скачков) с 16 июля по 30 сентября 1945 г., дали положительные результаты (11026).</w:t>
      </w:r>
    </w:p>
    <w:p w14:paraId="3C0A63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5955424" w14:textId="77777777" w:rsidR="001A00DE" w:rsidRPr="00070ADE" w:rsidRDefault="001A00DE" w:rsidP="00B56F90">
      <w:pPr>
        <w:pStyle w:val="ae"/>
        <w:shd w:val="clear" w:color="auto" w:fill="FFFFFF"/>
        <w:spacing w:before="0" w:after="0"/>
        <w:jc w:val="both"/>
        <w:rPr>
          <w:color w:val="000000" w:themeColor="text1"/>
          <w:sz w:val="16"/>
          <w:szCs w:val="16"/>
        </w:rPr>
      </w:pPr>
      <w:r w:rsidRPr="00070ADE">
        <w:rPr>
          <w:color w:val="000000" w:themeColor="text1"/>
          <w:sz w:val="16"/>
          <w:szCs w:val="16"/>
        </w:rPr>
        <w:t>С начала марта 1944 года на ИС-2 начали устанавливались Д-25 с клиновым затвором. Орудиями с поршневым затвором успели вооружить 145 танков. Проблемы, выявленные у новых пушек, оперативно решались заводом №9. Установка клинового затвора явно пошла на пользу. Испытания серийного танка №40398 показали, что скорострельность орудия выросла до 2-2,5 выстрелов в минуту. И такой показатель считался недостаточным, велись работы по танковым орудиям калибра 100 мм. Впрочем, реальных альтернатив для Д-25 на тот момент не было. Это орудие обладало хорошей точностью, а также превосходило 100-мм пушки по бронепробиваемости (17721).</w:t>
      </w:r>
    </w:p>
    <w:p w14:paraId="7CC9D978" w14:textId="77777777" w:rsidR="001A00DE" w:rsidRPr="00070ADE" w:rsidRDefault="001A00DE" w:rsidP="00B56F90">
      <w:pPr>
        <w:pStyle w:val="123"/>
        <w:shd w:val="clear" w:color="auto" w:fill="auto"/>
        <w:spacing w:after="0" w:line="240" w:lineRule="auto"/>
        <w:jc w:val="both"/>
        <w:rPr>
          <w:color w:val="000000" w:themeColor="text1"/>
          <w:sz w:val="16"/>
          <w:szCs w:val="16"/>
        </w:rPr>
      </w:pPr>
    </w:p>
    <w:p w14:paraId="3BCDBD18" w14:textId="047DA400" w:rsidR="00B246E7" w:rsidRPr="00070ADE" w:rsidRDefault="00B246E7"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w:t>
      </w:r>
      <w:r>
        <w:rPr>
          <w:rFonts w:ascii="Times New Roman" w:hAnsi="Times New Roman"/>
          <w:i/>
          <w:iCs/>
          <w:color w:val="000000" w:themeColor="text1"/>
          <w:sz w:val="16"/>
          <w:szCs w:val="16"/>
        </w:rPr>
        <w:t>рмия</w:t>
      </w:r>
      <w:r w:rsidRPr="00070ADE">
        <w:rPr>
          <w:rFonts w:ascii="Times New Roman" w:hAnsi="Times New Roman"/>
          <w:i/>
          <w:iCs/>
          <w:color w:val="000000" w:themeColor="text1"/>
          <w:sz w:val="16"/>
          <w:szCs w:val="16"/>
        </w:rPr>
        <w:t>:</w:t>
      </w:r>
    </w:p>
    <w:p w14:paraId="5EDC0B86" w14:textId="77777777" w:rsidR="00B246E7" w:rsidRPr="00070ADE" w:rsidRDefault="00B246E7"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CC663C" w14:textId="77777777" w:rsidR="00B246E7" w:rsidRPr="00070ADE" w:rsidRDefault="00B246E7"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марта 1944 на 3УФ в районе Николаева ведомый вед. группы ш Демехина В.Милонов заметил сбитый Як-1 Н.Стопы и сел, чтобы забрать пилота. При посадке подломил шасси и поджег свою машину. Демехин сел и забрал всех - стрелков вез на подкосах (455,153).</w:t>
      </w:r>
    </w:p>
    <w:p w14:paraId="237AD2E8" w14:textId="77777777" w:rsidR="00B246E7" w:rsidRPr="00070ADE" w:rsidRDefault="00B246E7"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A8BC1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24597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D3CF17"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марта 1944 утром Ил-АМ-42 со «старым» проверенным винтом АВ-5 л-18Б в ходе госиспытаний, начавшихся 29 февраля, удалось выполнить один часовой полет на замер скорости и скороподъемности по высотам, так как с 11.00 полеты были запрещены. На следующий день погода благоприятствовала проведению испытаний, но в первом же полете на определение расхода горючего лопнула трубка, подводящая воду к левому блоку цилиндров. Пришлось идти на посадку и устранять неисправность.</w:t>
      </w:r>
    </w:p>
    <w:p w14:paraId="42BCA1A9"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марта с утра стояла нелетная погода, но к 16.00 развеялось и удалось выполнить один полет на полигон для бомбометания и стрельбы из пушек и пулеметов. Вечером вновь пришлось менять свечи.</w:t>
      </w:r>
    </w:p>
    <w:p w14:paraId="5992B76B" w14:textId="4E1C759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Ввиду нелетной погоды в течение следующего дня самолет «затащили»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тир, где отстреляли все вооружение.</w:t>
      </w:r>
    </w:p>
    <w:p w14:paraId="6C937AB4"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11–13 марта погода была ограниченно летной, но летать все же удавалось. Всего было выполнено 15 взлетов и посадок для определения взлетно-посадочных характеристик самолета, три полета на стрельбу и бомбометание по наземным целям и определение скороподъемности самолета по высотам.</w:t>
      </w:r>
    </w:p>
    <w:p w14:paraId="70D74EBD"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погода окончательно испортилась, но летать все равно было бы нельзя, так как у самолета обнаружилась течь бензина из трубки подвода к карбюраторам и поломка уплотнительного кольца вала редуктора. Выявились и другие неисправности.</w:t>
      </w:r>
    </w:p>
    <w:p w14:paraId="0EF4928A" w14:textId="256829EE"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Следующие четыре дня прошли в хлопотах по устранению дефектов самолета. Попутно установили новые элероны с увеличенной аэродинамической компенсацией (29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вместо 27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w:t>
      </w:r>
    </w:p>
    <w:p w14:paraId="57A65E92" w14:textId="1A7C17A0"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неблагоприятные метеоусловия, 19 марта удалось выполнить 8 непродолжительных полетов, в том числе 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на определение взлетно-посадочных свойств и по одному полету на бомбометание, проверку действия в воздухе ВАП-250 и замер расхода горючего. Всего за день налетали 1</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 55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мин. В ходе последнего полета сгорели прокладки всасывающих патрубков.</w:t>
      </w:r>
    </w:p>
    <w:p w14:paraId="2486E7D9"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Устранение вновь выявленных неисправностей затянулось до 22 марта, но в этот день погода опять оказалась нелетной. Только на следующий день удалось выполнить один часовой полет на замер расхода горючего. Затем последовал четырехдневный перерыв в полетах из-за плохой погоды. Наконец, 28 марта установилась устойчивая летная погода, которая продержалась три дня. В эти дни бригада испытателей работала весьма активно и 30 марта в 18.00 рапортовала руководству института об успешном завершении государственных испытаний.</w:t>
      </w:r>
    </w:p>
    <w:p w14:paraId="66793D61" w14:textId="6312E03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испытания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продолжались в течение 31 календарного дня, из которых летных дней было всего 10, нелетных</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14. Еще 7 дней пришлось затратить на ремонт и доводку самолета. В общей сложности было выполнено 44 полета с налетом 19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 30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мин.</w:t>
      </w:r>
    </w:p>
    <w:p w14:paraId="5434B25D" w14:textId="7C4E0A78"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испытаний самолет облетали ведущий инженер-летчик 3-го отдела НИИ ВВС инженер-майор 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Синельников, летчик-испытатель 4-го отдела майор 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Субботин, старший летчик-испытатель 3-го отдела майор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Журавлев и летчик-испытатель подполковник 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Нюхтиков. В качестве штурманов облета участвовали капитан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Горбунов, заместитель начальника 4-го отдела полковник 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Шауров, помощник начальника 6-го отдела капитан Васильев, штурман-испытатель капитан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Ковынев, штурман-испытатель подполковник 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Цветков.</w:t>
      </w:r>
    </w:p>
    <w:p w14:paraId="04AB8ADB"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документов, самолет проходил испытания в двух вариантах: разведчика-корректировщика и штурмовика-бомбардировщика, которые отличались друг от друга фактически только бомбовой нагрузкой и заправкой самолета горючим и маслом. Состав фото- и радиооборудования самолета в ходе испытаний оставался неизменным и соответствовал «следопыту».</w:t>
      </w:r>
    </w:p>
    <w:p w14:paraId="43FAAAB5"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Стрелково-пушечное вооружение самолета в обоих вариантах назначения было одинаковым и включало две пушки ВЯ (300 патронов), два пулемета ШКАС (1500 патронов) и оборонительный пулемет УБК (3 диска по 50 патронов) на ВУ-8. Ракетное вооружение не предусматривалось.</w:t>
      </w:r>
    </w:p>
    <w:p w14:paraId="0273AF9C" w14:textId="0A045D59"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 полетный вес штурмовика-бомбардировщика устанавливался в 7260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в перегрузку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7660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Полезная нагрузка при нормальном полетном весе составляла 1995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w:t>
      </w:r>
    </w:p>
    <w:p w14:paraId="2B249C96" w14:textId="47D9BA38"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перегрузочном варианте допускалась подвеска до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в том числе на двух внешних узлах две бомбы типа ФАБ-500 или два выливных авиаприбора ВАП-250 или УХАП-250.</w:t>
      </w:r>
    </w:p>
    <w:p w14:paraId="3697E0B7" w14:textId="360EE8FB"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Нагрузка в варианте «следопыта» ограничивалась 1460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и отличалась от штурмового варианта отсутствием бомбовой нагрузки и увеличенным до 120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весом съемного оборудования.</w:t>
      </w:r>
    </w:p>
    <w:p w14:paraId="7B949C20" w14:textId="459F72A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Поскольку состав съемного оборудования на самолете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соответствовал варианту разведчика-корректировщика, то при загрузке 600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и полной заправке горючим и маслом вес самолета на 65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превышал нормальный полетный вес, установленный для штурмовика-бомбардировщика. Поэтому при проведении испытательных полетов в варианте штурмовика вес горючего уменьшался ровно на 65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w:t>
      </w:r>
    </w:p>
    <w:p w14:paraId="0F367B0D" w14:textId="3F94B970"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АМ-42 на протяжении всего времени испытаний работал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и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 Отмечался и большой расход горючего на номинальном режиме работы мотора, который при контрольном полете 19 марта составил 295–315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г/л.</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 ч.</w:t>
      </w:r>
    </w:p>
    <w:p w14:paraId="381B6C47"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испытаний пришлось заменить маслоуплотнитель носка вала редуктора мотора, регулятор давления наддува, прокладки под всасывающими патрубками (для чего был демонтирован карбюратор). Дважды заменили весь комплект свечей, по одному разу все свечи внешнего ряда, водяную трубку (подводящую охлаждающую воду к левому блоку цилиндров мотора от помпы) и бензотрубку (подводящую топливо к карбюраторам). Из-за течи по сварке трижды ремонтировались маслобаки. Одновременно были отремонтированы все карбюраторы и коллекторы нагнетателя.</w:t>
      </w:r>
    </w:p>
    <w:p w14:paraId="0F15AF5F"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выполнении работ по устранению недостатков и дефектов «в полный рост» проявилась непродуманность конструкции винтомоторной группы с точки зрения удобства эксплуатации. Например, для того чтобы снять водяную трубку, необходимо было демонтировать блоки мотора, выхлопные патрубки и левый маслобак, а затем вернуть их на свои места. Замена трубопровода, подводящего горючее к карбюраторам, выливалась в полный демонтаж всасывающей трубы нагнетателя и карбюратора. Испытатели отмечали трудоемкую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большую длину (без технологических разъемов), что серьезно усложняло их замену и ремонт.</w:t>
      </w:r>
    </w:p>
    <w:p w14:paraId="4DF57F3E"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общем, проблем с мотором хватало с избытком, но бригаде НИИ ВВС все же удалось отлетать программу испытаний почти в полном объеме.</w:t>
      </w:r>
    </w:p>
    <w:p w14:paraId="5E1F3C0C" w14:textId="7594065C"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первую очередь определялись летно-технические данные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в варианте штурмовика-бомбардировщика и только затем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 варианте разведчика-корректировщика. Как показали полеты, основные данные нового самолета заметно превосходили Ил-2, хотя, по мнению военных, уже не отвечали в полном объеме современным требованиям.</w:t>
      </w:r>
    </w:p>
    <w:p w14:paraId="6F4F7FFC" w14:textId="50096AD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нормальном полетном весе (600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на внутренней подвеске) максимальная скорость полета оказалась равной 472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на высоте 2500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и 428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у земли. Вертикальная скорость не превышала 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м/с на высоте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и 6,7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у земли. Разбег самолета с отклоненными на 17° щитками и с форсажем мотора составил 435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Пробег при посадочном весе 5900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с применением тормозов и отклонением щитков на 45° оказался в пределах 465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Посадочная скорость равнялась 136</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w:t>
      </w:r>
    </w:p>
    <w:p w14:paraId="57EDC867" w14:textId="14BCC6B1"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Разведчик-корректировщик на всех высотах летал на 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быстрее штурмовика-бомбардировщика. Примерно на 22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была выше скороподъемность и на 11</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горизонтальная маневренность. Лучшими были и взлетно-посадочные характеристики. Из-за непостоянства наддува в полете при работе мотора, тряски и выработки ресурса мотора (к моменту начала полетов в варианте «следопыта» остаток ресурса составлял 4–5 часов) измерить скороподъемность выше границы высотности не удалось.</w:t>
      </w:r>
    </w:p>
    <w:p w14:paraId="582DF9F3" w14:textId="0F0D54DF"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всех вариантах полетного веса центровка самолета (шасси выпущено) находилась в пределах от 19,9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САХ (пустой самолет) до 23,3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(перегрузочный вариант с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w:t>
      </w:r>
    </w:p>
    <w:p w14:paraId="76DAB3A5" w14:textId="689D18BE"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полета на высоте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и скорости 308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составила 820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на 155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 больше дальности полета Ил-2 АМ-38ф. При этом отмечалось, что дальность полета 2-го экземпляра Ил-АМ-42, на котором установлены бензобаки емкостью 1020 л, будет достигать 980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w:t>
      </w:r>
    </w:p>
    <w:p w14:paraId="3F2AAF03" w14:textId="25EA5E3B"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своим пилотажным свойствам Ил-АМ-42 оказался достаточно простым и легким в управлении. В сравнении с Ил-2 новый самолет обладал значительно лучшей продольной устойчивостью и управляемостью, что упростило технику пилотирования, особенно на виражах и бреющих полетах. Летчики-испытатели отмечали, что Ил-АМ-42 в отличие от Ил-2 «на вираже позволяет значительно выбирать ручку руля высоты на себя, для уменьшения радиуса виража». Пикировал самолет устойчиво. Просадка на выводе оказалась несколько больше, чем у серийного Ил-2. Сила отдачи при стрельбе из пушек почти не сказывалась на пилотировании самолетом и прицеливании. Маневренность Ил-АМ-42 в вертикальной и горизонтальной плоскостях оказалась почти такой же, как у серийной «двойки», даже несколько хуже, и считалась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летного состава для перехода с Ил-2 не требует»,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указывалось в отчете по испытаниям.</w:t>
      </w:r>
    </w:p>
    <w:p w14:paraId="6388D97C"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улучшения пилотажных качеств машины летчики предлагали на руль поворота установить триммер, а на элероны «наклепать ножи для регулировки от подваливания».</w:t>
      </w:r>
    </w:p>
    <w:p w14:paraId="140C4A42" w14:textId="30BCFB9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Указывалось, что Ил-АМ-42 строился по нормам прочности 1941 года и относится к классу Б</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ограниченно маневренных самолетов. При полетном весе 7250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разрушающая перегрузка равнялась 7,5 единицы, эксплуатационная перегрузка («установленная главным конструктором самолета»)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4,96 единицы.</w:t>
      </w:r>
    </w:p>
    <w:p w14:paraId="36898225"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Помимо неудовлетворительной работы мотора АМ-42 отмечались и ряд других недостатков, отнесенных специалистами института к разряду основных.</w:t>
      </w:r>
    </w:p>
    <w:p w14:paraId="545299CF"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частности, для самолета боя представлялось обязательным наличие системы заполнения бензобаков нейтральным газом. На Ил-АМ-42, как указывалось выше, такая система имелась, но на государственные испытания официально она не предъявлялась, так как не была доведена до рабочего состояния.</w:t>
      </w:r>
    </w:p>
    <w:p w14:paraId="7FE38844" w14:textId="3C436BAB"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Схему бронирования Ил-АМ-42 специалисты НИИ ВВС оценили как не отвечающую современным требованиям. Соответствующее заключение начальник 8-го отдела института инженер-полковник Лагутин утвердил 24 марта. В ряду особо уязвимых мест значились задняя бронеперегородка штурмана-стрелка (толщина 12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и моторная часть снизу-сбоку (толщина 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рекомендовалось «снять с корпуса/…/передние броневые детали за втулкой винта, уменьшить с 5 до 2,5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толщину деталей пояса кабины летчика в местах примыкания крыла к фюзеляжу». Кроме этого, требовалось заднюю перегородку штурмана установить по образцу 2-го экземпляра Ил-АМ-42, то есть сделать экранированной две бронеплиты по 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и обеспечить защиту головы штурмана бронестеклом.</w:t>
      </w:r>
    </w:p>
    <w:p w14:paraId="56EF9263" w14:textId="707344C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 же время отмечалось, что обе кабины</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летчика и штурмана-стрелка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 сравнении с Ил-2 имеют увеличенные размеры, что улучшает условия боевой работы экипажа. В кабине штурмана-стрелка вместо брезентовой ленты (как на Ил-2) устанавливалось постоянное откидное сиденье. Штурман облета капитан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Горбунов отмечал, что в кабине «тепло, задуваний нет, можно работать без летных очков». Посадка в кабину через нижний люк в бронекорпусе была признана удобной. В аварийной ситуации штурман легко покидал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3FCFB934"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достоинству машины было отнесено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поскольку это сильно облегчало работу летчика в бою.</w:t>
      </w:r>
    </w:p>
    <w:p w14:paraId="1F00E68B"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Положительно оценили наличие дублирования в каналах управления рулем высоты, поворота, элеронами и триммерами.</w:t>
      </w:r>
    </w:p>
    <w:p w14:paraId="0099367F" w14:textId="74ED638A"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в кабине пилота прицела ПБП-1б на легкосъемном кронштейне обеспечивала летчику дополнительную безопасность при посадке с убранным шасси. Как известно, на Ил-2 ранних серий летчики часто ударялись о прицел ПБП-1 головой во время вынужденных посадок, что нередко приводило к серьезным травмам, а в ряде случаев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и к смертельным исходам.</w:t>
      </w:r>
    </w:p>
    <w:p w14:paraId="10CC4B01" w14:textId="60706AEC"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Бомбовое вооружение штурмовика-бомбардировщика Ил-АМ-42 по номенклатуре бомб и весу в целом соответствовало требованиям войны. Бомбометание допускалось как с горизонтального полета, так и с пикирования, но под углами не более 25–30°, хотя на испытаниях самолет пикировал до 40° без каких-либо нареканий. Для бомбометания с горизонтального полета предназначался прицел ОПБ-1р. Сброс бомб мог осуществляться и штурманом, и летчиком. Однако прицельно сбросить бомбы ни тот ни другой не могли.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штурман, «что требует соответствующей методической проработки».</w:t>
      </w:r>
    </w:p>
    <w:p w14:paraId="086626EE" w14:textId="28A347C6"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бомбовый прицел штурмана в полете нещадно забрызгивался маслом, которое выбивалось из-под уплотнительного кольца втулки винта и носка коленчатого вала мотора. По этим причинам в первом же полете на испытание бомбового вооружения 9 марта штурман капитан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Горбунов был вынужден сбросить все бомбы залпом, неприцельно, за один заход. Для предохранения прицела от попадания масла на заводе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240 был изготовлен специальный щиток. Установка щитка на самолет положение не улучшило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оптика забрызгивалась маслом. Прицельное бомбометание по-прежнему оставалось невозможным. В испытательном полете 19 марта со щитком из-за замасливания оптики Горбунов сбросил все бомбы аварийно. В то же время отмечалось, что работать с ОПБ-1р в боевом положении удобно, а сам прицел является наиболее подходящим для установки на Ил-АМ-42, если, конечно, «устранить забрызгивание оптики прицела маслом».</w:t>
      </w:r>
    </w:p>
    <w:p w14:paraId="51F034F7"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этим причинам для бомбометания с горизонтального полета рекомендовалось использовать прицельную систему, отработанную для Ил-2: разметку и визирные штыри на бронекапоте самолета, метки и прицельные линии на лобовом и боковых бронестеклах фонаря кабины.</w:t>
      </w:r>
    </w:p>
    <w:p w14:paraId="072CC848"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Бомбометание с пикирования по методике ничем не отличалось от таковой на Ил-2 и в целом показало хорошие результаты вследствие лучшей устойчивости самолета при пикировании.</w:t>
      </w:r>
    </w:p>
    <w:p w14:paraId="5C0C142C"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Отметим, что маслом забрызгивалось и переднее бронестекло фонаря кабины пилота, что, естественно, ухудшало условия прицеливания.</w:t>
      </w:r>
    </w:p>
    <w:p w14:paraId="566EC7A8"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Для отработки стрелково-пушечного вооружения было выполнено в общей сложности 19 полетов, из них «9 полетов со стрельбой по наземным целям и 10 полетов с ВУ-8».</w:t>
      </w:r>
    </w:p>
    <w:p w14:paraId="72EE528B"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Если к пушкам ВЯ и пулеметам ШКАС при стрельбе в воздухе каких-либо серьезных претензий у военных испытателей не было, то работой оборонительной установки ВУ-8 с пулеметом УБК и ее возможностями они остались недовольны.</w:t>
      </w:r>
    </w:p>
    <w:p w14:paraId="3BE18885" w14:textId="55980868"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недостатки ВУ-8 в явном виде проявились в воздушном бою с немецким истребителем Bf109G-2, который состоялся 30 апреля. За воздушного стрелка вылетал штурман-испытатель подполковник 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Цветков. Атаки выполнялись со всех возможных в реальном бою направлений. При этом на маршруте полета от Чкаловской до Ногинска «мессер» успевал выполнить до 8–9 атак, находясь всегда в задней полусфере и отворачивая всякий раз в сторону с набором высоты.</w:t>
      </w:r>
    </w:p>
    <w:p w14:paraId="563F310E" w14:textId="71B16E92"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Оказалось, что за время одной атаки «мессершмитта» штурман успевал только развернуть установку в сторону истребителя и выставить пулемет в необходимое положение для стрельбы по нему, а на прицеливание оставалось «такое незначительное время, что точно навести прицел с требуемой поправкой на скорость цели не удалось ни разу». С одной стороны, это обуславливалось большими угловыми скоростями цели, а с другой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значительными усилиями для удерживания пулемета при прицеливании и стрельбе. Дело в том, что для выполнения грубой наводки на цель штурману приходилось одной рукой (правой) удерживать пулемет, а другой рукой (левой)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фиксировать стопор каретки установки и одновременно «доворачивать пулеметную установку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углового сектора точной наводки пулемета. Требовалось вновь перемещать саму установку и выполнять точную наводку пулеметом и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 То есть «одной рукой довести пулемет и прицелиться невозможно».</w:t>
      </w:r>
    </w:p>
    <w:p w14:paraId="5149BEA7"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Положение усугублялось еще и тем обстоятельством, что при работе с пулеметом имело место «много мелких трудноуловимых препятствий, затруднявших маневр пулеметом и установкой».</w:t>
      </w:r>
    </w:p>
    <w:p w14:paraId="1523DAF9" w14:textId="75601D4A"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донесения Цветкова, производить прицеливание при стрельбе вверх было крайне неудобно, так как «приходится опускаться на корточки, и получается очень напряженное, неустойчивое положение». При поворотах установки на левый борт очень трудно использовать доводочные углы пулемета, требовалось менять положение туловища относительно оружия, а поскольку прицел располагался слева от пулемета,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устойчивым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во время прицеливания и стрельбы все время приходилось подыскивать место, куда бы поставить ноги. Отсюда потеря времени на прицеливание. Практически получалось так, что обеспечить прицельный огонь с левого борта было нельзя.</w:t>
      </w:r>
    </w:p>
    <w:p w14:paraId="1B942ED1"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Стрельба с незастопоренной установкой показала, что пулемет в этом случае резко уходит к правому борту, а при стрельбе с застопоренной установкой пулемет сильно трясет.</w:t>
      </w:r>
    </w:p>
    <w:p w14:paraId="1ED4CFC9" w14:textId="45AD2E1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Ведение прицельного огня на виражах оказалось невозможным, так как пулемет прижимает вниз, а «приподнять и удержать его не хватает силы», не говоря уже о том, чтобы одновременно с этим еще и поворачивать установку в сторону цели. Во время воздушного боя на виражах истребитель легко держался в хвосте и на первом же вираже заходил строго в хвост на дистанцию открытия действительного огня 100–150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w:t>
      </w:r>
    </w:p>
    <w:p w14:paraId="65340CE9"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мнению подполковника Цветкова, маневренность ВУ-8 и пулемета в целом явно недостаточная для эффективного отражения атак истребителей, «в лучшем случае она может позволить сделать одну прицельную очередь, и то с недостаточной точностью прицеливания». Одновременно отмечалось, что сама установка ВУ-8 заметно лучше, чем блистерная установка БЛУБ на Су-6, и несколько лучше, чем ВУБ-3 на Ил-2.</w:t>
      </w:r>
    </w:p>
    <w:p w14:paraId="18E03E02"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Справедливости ради следует отметить, что при всех атаках со стороны задней полусферы летчик по команде штурмана энергичным маневром успевал доворачивать самолет таким образом, чтобы штурман мог держать противника в секторе обстрела. Это до некоторой степени компенсировало ограниченность углов обстрела установки, однако не обеспечивало ведение прицельной стрельбы.</w:t>
      </w:r>
    </w:p>
    <w:p w14:paraId="6DB793C3" w14:textId="3B17D948"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отражении атак истребителя со стороны солнца выявилась еще одна интересная особенность ВУ-8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плексиглас козырька установки слепил штурмана еще больше, чем солнце, вследствие чего прицеливаться было невозможно.</w:t>
      </w:r>
    </w:p>
    <w:p w14:paraId="36AC9328"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переговорное устройство штурмана и летчика работало неудовлетворительно: «… сильный треск и шум не давали разговаривать, переключатель абонентской коробки во время боя несколько раз самопроизвольно переключался в положение РС или РК, что нарушало связь с летчиком».</w:t>
      </w:r>
    </w:p>
    <w:p w14:paraId="15962DFD"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Серьезными недостатками ВУ-8 считались небольшая емкость магазина пулемета УБК и большое время его смены. Полсотни патронов в магазине оказалось недостаточно для отражения даже одной атаки истребителя. В то же время на его замену уходило около одной минуты, что было совершенно неприемлемым для реальных условий боя. В отчете указывалось, что за счет некоторых конструктивных улучшений можно сократить время смены магазина до 45–50 секунд, но все равно оно оставалось большим.</w:t>
      </w:r>
    </w:p>
    <w:p w14:paraId="3D6F0F30" w14:textId="5D3A1CB0"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ранее принятыми подобными установками преимуществ не имеет, за исключением того, что защищает стрелка от задувания»,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констатировал подполковник Цветков после проведенного им воздушного боя с немецким истребителем.</w:t>
      </w:r>
    </w:p>
    <w:p w14:paraId="68A67AD4"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выводах отчета предлагалось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55C3016A" w14:textId="480F9642"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Предъявлялись претензии и к спецоборудованию самолета. В частности,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«летчик и штурман совмещают лишние функции».</w:t>
      </w:r>
    </w:p>
    <w:p w14:paraId="351A16A7"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столь обширный перечень дефектов и недостатков Ил-АМ-42, в заключении акта по испытаниям самолет был рекомендован к запуску в серийное производство в вариантах штурмовика-бомбардировщика и разведчика-корректировщика.</w:t>
      </w:r>
    </w:p>
    <w:p w14:paraId="44E3C1A9" w14:textId="79343216"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целью выявления боевых качеств Ил-АМ-42 предлагалось «выпустить войсковую серию этих самолетов». Причем когда акт подписывал начальник НИИ ВВС генерал-лейтенант 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Лосюков, то он собственноручно дописал к этому пункту документа: «…даже с 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час. ресурсом АМ-42 (если не успеют моторы со 100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час. ресурсом)».</w:t>
      </w:r>
    </w:p>
    <w:p w14:paraId="708944B0" w14:textId="5FCA9C59"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Военные специалисты считали необходимым «просить Наркома авиапромышленности тов. Шахурина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 дать задания: а) Главному конструктору мотора АМ-42 тов. Микулину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 довести опытный мотор до состояния пригодного к нормальной эксплуатации. б) Главному конструктору самолета Ил с АМ-42 тов. Ильюшину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 до запуска в серийное производство устранить дефекты, отмеченные в выводах…»</w:t>
      </w:r>
    </w:p>
    <w:p w14:paraId="5D1CFB0A" w14:textId="77777777" w:rsidR="001A00DE" w:rsidRPr="00070ADE" w:rsidRDefault="001A00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 касается установки на самолет кассет ДАГ-10 и крупнокалиберных пушек 11П, а также величины бомбовой нагрузки с этими пушками, то решение планировалось принять после проведения испытаний 2-го экземпляра самолета Ил-АМ-42 (17490).</w:t>
      </w:r>
    </w:p>
    <w:p w14:paraId="3BD78613" w14:textId="77777777" w:rsidR="001A00DE" w:rsidRPr="00070ADE" w:rsidRDefault="001A00DE" w:rsidP="00B56F90">
      <w:pPr>
        <w:spacing w:after="0" w:line="240" w:lineRule="auto"/>
        <w:jc w:val="both"/>
        <w:rPr>
          <w:rFonts w:ascii="Times New Roman" w:hAnsi="Times New Roman"/>
          <w:color w:val="000000" w:themeColor="text1"/>
          <w:sz w:val="16"/>
          <w:szCs w:val="16"/>
        </w:rPr>
      </w:pPr>
    </w:p>
    <w:p w14:paraId="563F5F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марта 1944 года гл. конструктор самолета Ил-2 С.В.И. писал письмо N 8/281с зам. наркома П.В. Дементьеву и гл. конструктору завода N 35 Жданову.</w:t>
      </w:r>
    </w:p>
    <w:p w14:paraId="5849CC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Своим письмом N 1/70с от 12/I-44 г. мы просили Вас дать указание заводу N 35 спроектировать и изготовить на сам. Ил-2 с Ам-38ф два винта с новыми лопастями, с улучшенным качеством по взлету и сохранению существующей максимальной скорости. Это дало бы возможность вернуться к бомбовой нагрузке самолета в 400 кг.</w:t>
      </w:r>
    </w:p>
    <w:p w14:paraId="223267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8 Гл. управления НКАП Алисов, согласно Вашего указания послал письмо N 31705 от 20/I-44 г. Гл. конструктору завода N 35 Жданову и в копии ко мне, о включении в план работы первого квартала изготовление 2-х новых винтов, но конкретного срока не указал.</w:t>
      </w:r>
    </w:p>
    <w:p w14:paraId="02B87C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этого Жданов в телеграмме к нам 26/II-44 г. сообщил, что эти винты он может изготовить к 1 апреля с.г. Такая затяжка в поставке новых винтов будет означать, что эти винты в течение года не смогут быть установлены на самолеты Ил-2 с АМ-38ф и тем самым будет сорвана возможность возить бомбовую нагрузку 400 кг.</w:t>
      </w:r>
    </w:p>
    <w:p w14:paraId="7A93CC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Вашего распоряжения гл. конструктору завода N 35 Жданову, о поставке двух винтов с новыми лопастями на завод N 240 для их испытания не позже 20 марта с.г. (2562,49).</w:t>
      </w:r>
    </w:p>
    <w:p w14:paraId="1306A7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462F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марта 1944 утром удалось выполнить один часовой полет Ил-АМ-42 на замер скорости и скороподъемности по высо</w:t>
      </w:r>
      <w:r w:rsidRPr="00070ADE">
        <w:rPr>
          <w:rFonts w:ascii="Times New Roman" w:hAnsi="Times New Roman"/>
          <w:color w:val="000000" w:themeColor="text1"/>
          <w:sz w:val="16"/>
          <w:szCs w:val="16"/>
        </w:rPr>
        <w:softHyphen/>
        <w:t>там, так как с 11.00 полеты были зап</w:t>
      </w:r>
      <w:r w:rsidRPr="00070ADE">
        <w:rPr>
          <w:rFonts w:ascii="Times New Roman" w:hAnsi="Times New Roman"/>
          <w:color w:val="000000" w:themeColor="text1"/>
          <w:sz w:val="16"/>
          <w:szCs w:val="16"/>
        </w:rPr>
        <w:softHyphen/>
        <w:t>рещены. На следующий день погода благоприятствовала проведению ис</w:t>
      </w:r>
      <w:r w:rsidRPr="00070ADE">
        <w:rPr>
          <w:rFonts w:ascii="Times New Roman" w:hAnsi="Times New Roman"/>
          <w:color w:val="000000" w:themeColor="text1"/>
          <w:sz w:val="16"/>
          <w:szCs w:val="16"/>
        </w:rPr>
        <w:softHyphen/>
        <w:t>пытаний, но в первом же полете на определение расхода горючего лоп</w:t>
      </w:r>
      <w:r w:rsidRPr="00070ADE">
        <w:rPr>
          <w:rFonts w:ascii="Times New Roman" w:hAnsi="Times New Roman"/>
          <w:color w:val="000000" w:themeColor="text1"/>
          <w:sz w:val="16"/>
          <w:szCs w:val="16"/>
        </w:rPr>
        <w:softHyphen/>
        <w:t>нула трубка, подводящая воду к ле</w:t>
      </w:r>
      <w:r w:rsidRPr="00070ADE">
        <w:rPr>
          <w:rFonts w:ascii="Times New Roman" w:hAnsi="Times New Roman"/>
          <w:color w:val="000000" w:themeColor="text1"/>
          <w:sz w:val="16"/>
          <w:szCs w:val="16"/>
        </w:rPr>
        <w:softHyphen/>
        <w:t>вому блоку цилиндров. Пришлось идти на посадку и устранять неисп</w:t>
      </w:r>
      <w:r w:rsidRPr="00070ADE">
        <w:rPr>
          <w:rFonts w:ascii="Times New Roman" w:hAnsi="Times New Roman"/>
          <w:color w:val="000000" w:themeColor="text1"/>
          <w:sz w:val="16"/>
          <w:szCs w:val="16"/>
        </w:rPr>
        <w:softHyphen/>
        <w:t>равность (11427).</w:t>
      </w:r>
    </w:p>
    <w:p w14:paraId="7CA46F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4E3C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марта 1944 г. закончились летные заводские испытания 1-й экземпляр самолета МИГ с мотором АМ-39А с 2ТК-2Б без герметической кабины, которые проходили с 2 декабря 1943 г. На летные испытания этот самолет был выпущен с опозданием на 2 месяца из-за несвоевременной подачи мотора АМ-39 заводом N 300. За время летных испытаний, самолет произвел девять полетов, из них:</w:t>
      </w:r>
    </w:p>
    <w:p w14:paraId="138639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полета без включения ТК на 1-й скорости нагнетателя на высотах до 5000 м,</w:t>
      </w:r>
    </w:p>
    <w:p w14:paraId="1F4A9F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полета на 2-й скорости нагнетателя без включения ТК на высотах 800 и 3000 м,</w:t>
      </w:r>
    </w:p>
    <w:p w14:paraId="0CE601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полета с включением ТК на высотах 1000, 2000, 3000, 4000, 8000 и 9300 м.</w:t>
      </w:r>
    </w:p>
    <w:p w14:paraId="6EC1DF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испытаний имело место падение давления масла и колебания в давлении бензина. Эти дефекты были устранены и в последних полетах не наблюдались. При полете 7.02.1944 года с работающим ТК самолет разбился. Летчик выбросился на парашюте с высоты 900 м. Причиной аварии самолета явилась неправильная оценка обстановки летчиком Журавлевым, которым было принято за начавшийся пожар - появление дыма в кабине и длинных факелов пламени из выхлопных патрубков ТК (1825,208).</w:t>
      </w:r>
    </w:p>
    <w:p w14:paraId="1EB963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39E9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марта 1944 г. было получено письмо (вх. No.025) из НИИ ВВС Старшему инженеру 25 ЗАП:</w:t>
      </w:r>
    </w:p>
    <w:p w14:paraId="4DD23F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поступлением на вооружение частей ВВС КА самолетов "Харрикейн" IID (с двумя подвесными 40-мм пушками) НИИ ВВС КА произвел летные испытания этого самолета.</w:t>
      </w:r>
    </w:p>
    <w:p w14:paraId="15D3C6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Испытаниями установлено, что на пикировании на скорости 390 миль/час (630 км/час) по прибору с триммерами руля поворота, установленными нейтрально, поведение самолета нормальное, тенденции к затягиванию в пике нет. Усилия на рули нормальные.</w:t>
      </w:r>
    </w:p>
    <w:p w14:paraId="7883CE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в то же время на скорости порядка 380-385 миль/час (610-620 км/час) происходит отсасывание и срыв с замков обтекателей подкрыльевых пушек, что приводит к появлению заметной тряски плоскостей и вибрации педалей ножного управления.</w:t>
      </w:r>
    </w:p>
    <w:p w14:paraId="738607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основе вышеизложенного скорость пикирования самолета "Харрикейн"1Ю ограничить до 375 миль/час (600 км/час). По технике пилотирования самолет "Харрикейн" IID не отличается от "Харрикейна" IIC.</w:t>
      </w:r>
    </w:p>
    <w:p w14:paraId="77CFD8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и продолжительность полета "Харрикейна" IID практически равны величинам их на IIC. Главный инженер ВВС КА ген.-полк. ИАС т. Репин приказал особенности этого типа самолета довести до сведения всего летно-технического состава, эксплуатирующего "Харрикейн" IID.</w:t>
      </w:r>
    </w:p>
    <w:p w14:paraId="7BB047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УТЭ ВВС КА ген.-л-т Шульговский (3187).</w:t>
      </w:r>
    </w:p>
    <w:p w14:paraId="34B177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FC218E" w14:textId="77777777" w:rsidR="00B246E7" w:rsidRPr="00C94B78" w:rsidRDefault="00B246E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7 марта 1944 года Главный инженер ВВС Красной Армии генерал-полковник Репин ут</w:t>
      </w:r>
      <w:r w:rsidRPr="00C94B78">
        <w:rPr>
          <w:rFonts w:ascii="Times New Roman" w:hAnsi="Times New Roman"/>
          <w:color w:val="0070C0"/>
          <w:sz w:val="16"/>
          <w:szCs w:val="16"/>
        </w:rPr>
        <w:softHyphen/>
        <w:t>вердил отчет испытаний глушителей-пламега</w:t>
      </w:r>
      <w:r w:rsidRPr="00C94B78">
        <w:rPr>
          <w:rFonts w:ascii="Times New Roman" w:hAnsi="Times New Roman"/>
          <w:color w:val="0070C0"/>
          <w:sz w:val="16"/>
          <w:szCs w:val="16"/>
        </w:rPr>
        <w:softHyphen/>
        <w:t>сителей (ШПГ) на самолете У-2 с М-11Д. Да</w:t>
      </w:r>
      <w:r w:rsidRPr="00C94B78">
        <w:rPr>
          <w:rFonts w:ascii="Times New Roman" w:hAnsi="Times New Roman"/>
          <w:color w:val="0070C0"/>
          <w:sz w:val="16"/>
          <w:szCs w:val="16"/>
        </w:rPr>
        <w:softHyphen/>
        <w:t>лее рекомендовалось принять ШПГ-2 как эта</w:t>
      </w:r>
      <w:r w:rsidRPr="00C94B78">
        <w:rPr>
          <w:rFonts w:ascii="Times New Roman" w:hAnsi="Times New Roman"/>
          <w:color w:val="0070C0"/>
          <w:sz w:val="16"/>
          <w:szCs w:val="16"/>
        </w:rPr>
        <w:softHyphen/>
        <w:t>лон для серии взамен серийных выхлопных патрубков. Заводы обязывались уже с 1 апре</w:t>
      </w:r>
      <w:r w:rsidRPr="00C94B78">
        <w:rPr>
          <w:rFonts w:ascii="Times New Roman" w:hAnsi="Times New Roman"/>
          <w:color w:val="0070C0"/>
          <w:sz w:val="16"/>
          <w:szCs w:val="16"/>
        </w:rPr>
        <w:softHyphen/>
        <w:t>ля выпускать У-2 с кольцевыми коллекторами ШПГ-2. Кроме этого были заказаны дополни</w:t>
      </w:r>
      <w:r w:rsidRPr="00C94B78">
        <w:rPr>
          <w:rFonts w:ascii="Times New Roman" w:hAnsi="Times New Roman"/>
          <w:color w:val="0070C0"/>
          <w:sz w:val="16"/>
          <w:szCs w:val="16"/>
        </w:rPr>
        <w:softHyphen/>
        <w:t>тельные комплекты таких глушителей для по</w:t>
      </w:r>
      <w:r w:rsidRPr="00C94B78">
        <w:rPr>
          <w:rFonts w:ascii="Times New Roman" w:hAnsi="Times New Roman"/>
          <w:color w:val="0070C0"/>
          <w:sz w:val="16"/>
          <w:szCs w:val="16"/>
        </w:rPr>
        <w:softHyphen/>
        <w:t>следующей их установки на самолеты в ноч</w:t>
      </w:r>
      <w:r w:rsidRPr="00C94B78">
        <w:rPr>
          <w:rFonts w:ascii="Times New Roman" w:hAnsi="Times New Roman"/>
          <w:color w:val="0070C0"/>
          <w:sz w:val="16"/>
          <w:szCs w:val="16"/>
        </w:rPr>
        <w:softHyphen/>
        <w:t>ных легкобомбардировочных полках (24969).</w:t>
      </w:r>
    </w:p>
    <w:p w14:paraId="059FEEB3" w14:textId="77777777" w:rsidR="00B246E7" w:rsidRPr="00C94B78" w:rsidRDefault="00B246E7" w:rsidP="00B56F90">
      <w:pPr>
        <w:spacing w:after="0" w:line="240" w:lineRule="auto"/>
        <w:jc w:val="both"/>
        <w:rPr>
          <w:rFonts w:ascii="Times New Roman" w:hAnsi="Times New Roman"/>
          <w:color w:val="0070C0"/>
          <w:sz w:val="16"/>
          <w:szCs w:val="16"/>
        </w:rPr>
      </w:pPr>
    </w:p>
    <w:p w14:paraId="173F14B9" w14:textId="77777777" w:rsidR="000511D8"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A0AB04E" w14:textId="77777777" w:rsidR="000511D8" w:rsidRPr="00070ADE" w:rsidRDefault="000511D8"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1A9BE5"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7 марта</w:t>
      </w:r>
      <w:r w:rsidRPr="00070ADE">
        <w:rPr>
          <w:rFonts w:ascii="Times New Roman" w:hAnsi="Times New Roman"/>
          <w:color w:val="000000" w:themeColor="text1"/>
          <w:sz w:val="16"/>
          <w:szCs w:val="16"/>
        </w:rPr>
        <w:t xml:space="preserve"> в 1944 году на вооружение Красной Армии передается танковая колонна имени Дмитрия Донского, состоявшая из 40 танков, построенных на средства православных верующих. Танковая колонна «Дмитрий Донской» — танковая колонна, созданная по инициативе Русской православной церкви на пожертвования верующих и переданная в 1944 году танковым войскам СССР. В ее состав входили 19 танков Т-34-85 и 21 огнеметный танк ОТ-34. 30 декабря 1942 года митрополит Сергий обратился с призывом к архиереям, священникам и приходским общинам Русской Церкви: «Повторим от лица всей нашей Православной Церкви пример Преподобного Сергия Радонежского и пошлем нашей армии вместе с нашими молитвами и благословением вещественное показание нашего участия в общем подвиге: соорудим на наши пожертвования колонну танков имени Димитрия Донского» На строительство 40 танков было собрано свыше 8 миллионов рублей. В короткий срок они были построены на Нижне-Тагильском танковом заводе, и 7 марта 1944 года в 5 километрах северо-западнее Тулы, у деревни Горелки состоялась торжественная передача их армии. На церемонии со словом выступил митрополит Крутицкий и Коломенский Николай (это была первая в годы войны официальная встреча церковного иерарха с бойцами Красной Армии): «Гоните ненавистного врага из нашей Великой Руси. Пусть славное имя Дмитрия Донского ведет нас на битву за священную русскую землю. Вперед, к победе, братья-воины!» Танки поступили в 516 (21 танк) и 38 (19 танков) огнеметные танковые полки. Танки с надписью «Дмитрий Донской» по официальным данным уничтожили более 1400 гитлеровцев, 40 орудий, более 100 пулеметов, 38 танков (часть из них захватили целыми), 17 бронетранспортеров и более 100 автомобилей. После окончания Великой Отечественной войны уцелевшие танки колонны «Дмитрий Донской» были установлены на экспозиции в музеях вооружённых сил Москвы, Ленинграда и Тулы. В 2005 году, по благословению патриарха Алексия II, в московском Донском монастыре один из уцелевших танков колонны был установлен в память о прихожанах и священнослужителях, на чьи пожертвованные средства она была создана (15061).</w:t>
      </w:r>
    </w:p>
    <w:p w14:paraId="12DB67D3" w14:textId="77777777" w:rsidR="000511D8" w:rsidRPr="00070ADE" w:rsidRDefault="000511D8" w:rsidP="00B56F90">
      <w:pPr>
        <w:spacing w:after="0" w:line="240" w:lineRule="auto"/>
        <w:jc w:val="both"/>
        <w:rPr>
          <w:rFonts w:ascii="Times New Roman" w:hAnsi="Times New Roman"/>
          <w:color w:val="000000" w:themeColor="text1"/>
          <w:sz w:val="16"/>
          <w:szCs w:val="16"/>
        </w:rPr>
      </w:pPr>
    </w:p>
    <w:p w14:paraId="062AD602"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марта 1944 г. ПИСЬМО СОТРУДНИКА ГРУ ГЕНШТАБА КРАСНОЙ АРМИИ А.А.АДАМСА НАЧАЛЬНИКУ ГРУ О ХОДЕ АМЕРИКАНСКИХ РАБОТ ПО СОЗДАНИЮ АТОМНОГО ОРУЖИЯ</w:t>
      </w:r>
    </w:p>
    <w:p w14:paraId="3460C1BA"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Дорогой Директор!</w:t>
      </w:r>
    </w:p>
    <w:p w14:paraId="7EF4BC7B"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Обычно я ограничиваюсь передачей материалов без препроводитель</w:t>
      </w:r>
      <w:r w:rsidRPr="00070ADE">
        <w:rPr>
          <w:rFonts w:ascii="Times New Roman" w:hAnsi="Times New Roman"/>
          <w:color w:val="000000" w:themeColor="text1"/>
          <w:sz w:val="16"/>
          <w:szCs w:val="16"/>
        </w:rPr>
        <w:softHyphen/>
        <w:t>ного письма, потому что переписка в теперешней обстановке теряет смысл из-за больших промежутков времени между писанием и получением письма2. При той динамичности, с которой меняется конъюнктура, пись</w:t>
      </w:r>
      <w:r w:rsidRPr="00070ADE">
        <w:rPr>
          <w:rFonts w:ascii="Times New Roman" w:hAnsi="Times New Roman"/>
          <w:color w:val="000000" w:themeColor="text1"/>
          <w:sz w:val="16"/>
          <w:szCs w:val="16"/>
        </w:rPr>
        <w:softHyphen/>
        <w:t>ма становятся устарелыми раньше, чем они доходят до адресата.</w:t>
      </w:r>
    </w:p>
    <w:p w14:paraId="0DEFB891"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сей раз характер посылаемого материала настолько важен, что потребует как с моей стороны, так и с Вашей, особенно с Вашей, специ</w:t>
      </w:r>
      <w:r w:rsidRPr="00070ADE">
        <w:rPr>
          <w:rFonts w:ascii="Times New Roman" w:hAnsi="Times New Roman"/>
          <w:color w:val="000000" w:themeColor="text1"/>
          <w:sz w:val="16"/>
          <w:szCs w:val="16"/>
        </w:rPr>
        <w:softHyphen/>
        <w:t>ального внимания и срочных действий вне зависимости от степени на</w:t>
      </w:r>
      <w:r w:rsidRPr="00070ADE">
        <w:rPr>
          <w:rFonts w:ascii="Times New Roman" w:hAnsi="Times New Roman"/>
          <w:color w:val="000000" w:themeColor="text1"/>
          <w:sz w:val="16"/>
          <w:szCs w:val="16"/>
        </w:rPr>
        <w:softHyphen/>
        <w:t>грузки, которая, я не сомневаюсь, у Вас в настоящий момент огромная.</w:t>
      </w:r>
    </w:p>
    <w:p w14:paraId="40884C25"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 знаю, в какой степени Вы осведомлены, что здесь усиленно рабо</w:t>
      </w:r>
      <w:r w:rsidRPr="00070ADE">
        <w:rPr>
          <w:rFonts w:ascii="Times New Roman" w:hAnsi="Times New Roman"/>
          <w:color w:val="000000" w:themeColor="text1"/>
          <w:sz w:val="16"/>
          <w:szCs w:val="16"/>
        </w:rPr>
        <w:softHyphen/>
        <w:t>тают над проблемой использования энергии урания3 (не уверен, так ли по-русски называется этот элемент) для военных целей. Я лично недо</w:t>
      </w:r>
      <w:r w:rsidRPr="00070ADE">
        <w:rPr>
          <w:rFonts w:ascii="Times New Roman" w:hAnsi="Times New Roman"/>
          <w:color w:val="000000" w:themeColor="text1"/>
          <w:sz w:val="16"/>
          <w:szCs w:val="16"/>
        </w:rPr>
        <w:softHyphen/>
        <w:t>статочно знаю молекулярную физику, чтобы Вам изложить подробно, в чем заключается задача этой работы, но могу доложить, что эта работа уже здесь находится в стадии технологии по производству нового эле</w:t>
      </w:r>
      <w:r w:rsidRPr="00070ADE">
        <w:rPr>
          <w:rFonts w:ascii="Times New Roman" w:hAnsi="Times New Roman"/>
          <w:color w:val="000000" w:themeColor="text1"/>
          <w:sz w:val="16"/>
          <w:szCs w:val="16"/>
        </w:rPr>
        <w:softHyphen/>
        <w:t>мента — плутониума, который должен сыграть огромную роль в настоя</w:t>
      </w:r>
      <w:r w:rsidRPr="00070ADE">
        <w:rPr>
          <w:rFonts w:ascii="Times New Roman" w:hAnsi="Times New Roman"/>
          <w:color w:val="000000" w:themeColor="text1"/>
          <w:sz w:val="16"/>
          <w:szCs w:val="16"/>
        </w:rPr>
        <w:softHyphen/>
        <w:t>щей войне. Только физики уровня нашего Иоффе могут разобраться в препровождаемом материале. Для характеристики того внимания, ка</w:t>
      </w:r>
      <w:r w:rsidRPr="00070ADE">
        <w:rPr>
          <w:rFonts w:ascii="Times New Roman" w:hAnsi="Times New Roman"/>
          <w:color w:val="000000" w:themeColor="text1"/>
          <w:sz w:val="16"/>
          <w:szCs w:val="16"/>
        </w:rPr>
        <w:softHyphen/>
        <w:t>кое уделяется этой теме, могу указать на следующее.</w:t>
      </w:r>
    </w:p>
    <w:p w14:paraId="47DE0D7E"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Секретный фонд в один миллиард долларов, находящийся в личном распоряжении президента, ассигнован и уже почти израсходован на ис</w:t>
      </w:r>
      <w:r w:rsidRPr="00070ADE">
        <w:rPr>
          <w:rFonts w:ascii="Times New Roman" w:hAnsi="Times New Roman"/>
          <w:color w:val="000000" w:themeColor="text1"/>
          <w:sz w:val="16"/>
          <w:szCs w:val="16"/>
        </w:rPr>
        <w:softHyphen/>
        <w:t>следовательскую работу и работу по разработке технологии производства названных раньше элементов. Шесть ученых с мировыми именами, такие как Ферми, Аллисон, Комптон, Урей, Оппенгаймер1 и др. (большинство -получившие Нобелевскую премию), стоят во главе этого проекта.</w:t>
      </w:r>
    </w:p>
    <w:p w14:paraId="2CB883C0"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Тысячи инженеров и техников различных специальностей участву</w:t>
      </w:r>
      <w:r w:rsidRPr="00070ADE">
        <w:rPr>
          <w:rFonts w:ascii="Times New Roman" w:hAnsi="Times New Roman"/>
          <w:color w:val="000000" w:themeColor="text1"/>
          <w:sz w:val="16"/>
          <w:szCs w:val="16"/>
        </w:rPr>
        <w:softHyphen/>
        <w:t>ют в этой работе. Сотни высококвалифицированных врачей изучают влияние радиоактивных излучений этих материалов на человеческий организм во время экспериментирования и производства. В универси</w:t>
      </w:r>
      <w:r w:rsidRPr="00070ADE">
        <w:rPr>
          <w:rFonts w:ascii="Times New Roman" w:hAnsi="Times New Roman"/>
          <w:color w:val="000000" w:themeColor="text1"/>
          <w:sz w:val="16"/>
          <w:szCs w:val="16"/>
        </w:rPr>
        <w:softHyphen/>
        <w:t>тетах, где были сконцентрированы исследовательские работы (Чикаг</w:t>
      </w:r>
      <w:r w:rsidRPr="00070ADE">
        <w:rPr>
          <w:rFonts w:ascii="Times New Roman" w:hAnsi="Times New Roman"/>
          <w:color w:val="000000" w:themeColor="text1"/>
          <w:sz w:val="16"/>
          <w:szCs w:val="16"/>
        </w:rPr>
        <w:softHyphen/>
        <w:t>ский, Колумбийский и др.), были построены огромные здания специаль</w:t>
      </w:r>
      <w:r w:rsidRPr="00070ADE">
        <w:rPr>
          <w:rFonts w:ascii="Times New Roman" w:hAnsi="Times New Roman"/>
          <w:color w:val="000000" w:themeColor="text1"/>
          <w:sz w:val="16"/>
          <w:szCs w:val="16"/>
        </w:rPr>
        <w:softHyphen/>
        <w:t>но для этих работ. Специальная комиссия, состоящая из наивысших во</w:t>
      </w:r>
      <w:r w:rsidRPr="00070ADE">
        <w:rPr>
          <w:rFonts w:ascii="Times New Roman" w:hAnsi="Times New Roman"/>
          <w:color w:val="000000" w:themeColor="text1"/>
          <w:sz w:val="16"/>
          <w:szCs w:val="16"/>
        </w:rPr>
        <w:softHyphen/>
        <w:t>енных лиц и ученых, руководит этими работами.</w:t>
      </w:r>
    </w:p>
    <w:p w14:paraId="3DA32295"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Три основных метода производства плутониума применялись в пер</w:t>
      </w:r>
      <w:r w:rsidRPr="00070ADE">
        <w:rPr>
          <w:rFonts w:ascii="Times New Roman" w:hAnsi="Times New Roman"/>
          <w:color w:val="000000" w:themeColor="text1"/>
          <w:sz w:val="16"/>
          <w:szCs w:val="16"/>
        </w:rPr>
        <w:softHyphen/>
        <w:t>воначальной стадии исследований: диффузионный метод, масс-спект-рометрический метод и метод атомной трансмутации2. По-видимому, последний метод дал более положительные результаты. Это важно знать нашим ученым, если у нас кто-нибудь ведет работу в этой области, пото</w:t>
      </w:r>
      <w:r w:rsidRPr="00070ADE">
        <w:rPr>
          <w:rFonts w:ascii="Times New Roman" w:hAnsi="Times New Roman"/>
          <w:color w:val="000000" w:themeColor="text1"/>
          <w:sz w:val="16"/>
          <w:szCs w:val="16"/>
        </w:rPr>
        <w:softHyphen/>
        <w:t>му что здесь затратили более ста миллионов долларов раньше, чем уста</w:t>
      </w:r>
      <w:r w:rsidRPr="00070ADE">
        <w:rPr>
          <w:rFonts w:ascii="Times New Roman" w:hAnsi="Times New Roman"/>
          <w:color w:val="000000" w:themeColor="text1"/>
          <w:sz w:val="16"/>
          <w:szCs w:val="16"/>
        </w:rPr>
        <w:softHyphen/>
        <w:t>новили, какой из этих методов более пригоден для практического про</w:t>
      </w:r>
      <w:r w:rsidRPr="00070ADE">
        <w:rPr>
          <w:rFonts w:ascii="Times New Roman" w:hAnsi="Times New Roman"/>
          <w:color w:val="000000" w:themeColor="text1"/>
          <w:sz w:val="16"/>
          <w:szCs w:val="16"/>
        </w:rPr>
        <w:softHyphen/>
        <w:t>изводства этого нового элемента в количествах, могущих оказать влия</w:t>
      </w:r>
      <w:r w:rsidRPr="00070ADE">
        <w:rPr>
          <w:rFonts w:ascii="Times New Roman" w:hAnsi="Times New Roman"/>
          <w:color w:val="000000" w:themeColor="text1"/>
          <w:sz w:val="16"/>
          <w:szCs w:val="16"/>
        </w:rPr>
        <w:softHyphen/>
        <w:t>ние на ход текущей войны.</w:t>
      </w:r>
    </w:p>
    <w:p w14:paraId="3672930F"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Созданы новые химические и физические организации по произ</w:t>
      </w:r>
      <w:r w:rsidRPr="00070ADE">
        <w:rPr>
          <w:rFonts w:ascii="Times New Roman" w:hAnsi="Times New Roman"/>
          <w:color w:val="000000" w:themeColor="text1"/>
          <w:sz w:val="16"/>
          <w:szCs w:val="16"/>
        </w:rPr>
        <w:softHyphen/>
        <w:t>водству ряда вспомогательного оборудования и материалов. Так, напри</w:t>
      </w:r>
      <w:r w:rsidRPr="00070ADE">
        <w:rPr>
          <w:rFonts w:ascii="Times New Roman" w:hAnsi="Times New Roman"/>
          <w:color w:val="000000" w:themeColor="text1"/>
          <w:sz w:val="16"/>
          <w:szCs w:val="16"/>
        </w:rPr>
        <w:softHyphen/>
        <w:t>мер, производство тяжелой воды (DO), которая раньше была лабора</w:t>
      </w:r>
      <w:r w:rsidRPr="00070ADE">
        <w:rPr>
          <w:rFonts w:ascii="Times New Roman" w:hAnsi="Times New Roman"/>
          <w:color w:val="000000" w:themeColor="text1"/>
          <w:sz w:val="16"/>
          <w:szCs w:val="16"/>
        </w:rPr>
        <w:softHyphen/>
        <w:t>торной редкостью, а теперь нужна в количествах сотен тонн. Ураний и бериллий высокой чистоты нужны в количествах тысяч тонн.</w:t>
      </w:r>
    </w:p>
    <w:p w14:paraId="648073A0"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числе посылаемых материалов имеются спецификации на все ма</w:t>
      </w:r>
      <w:r w:rsidRPr="00070ADE">
        <w:rPr>
          <w:rFonts w:ascii="Times New Roman" w:hAnsi="Times New Roman"/>
          <w:color w:val="000000" w:themeColor="text1"/>
          <w:sz w:val="16"/>
          <w:szCs w:val="16"/>
        </w:rPr>
        <w:softHyphen/>
        <w:t>териалы, идущие в процесс производства.</w:t>
      </w:r>
    </w:p>
    <w:p w14:paraId="2EE09E69"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Пилотный завод в 700 киловатт производит один миллиграмм плу</w:t>
      </w:r>
      <w:r w:rsidRPr="00070ADE">
        <w:rPr>
          <w:rFonts w:ascii="Times New Roman" w:hAnsi="Times New Roman"/>
          <w:color w:val="000000" w:themeColor="text1"/>
          <w:sz w:val="16"/>
          <w:szCs w:val="16"/>
        </w:rPr>
        <w:softHyphen/>
        <w:t>тония в день. Первая большая установка в 50 000 киловатт будет пущена 1 мая сего года, и подачу продукта предполагают начать в сентябре теку</w:t>
      </w:r>
      <w:r w:rsidRPr="00070ADE">
        <w:rPr>
          <w:rFonts w:ascii="Times New Roman" w:hAnsi="Times New Roman"/>
          <w:color w:val="000000" w:themeColor="text1"/>
          <w:sz w:val="16"/>
          <w:szCs w:val="16"/>
        </w:rPr>
        <w:softHyphen/>
        <w:t>щего года. В стройке несколько заводов, и все они размещены в районах обилия электроэнергии (Миссисипи и Новая Мексика). Сырье добы</w:t>
      </w:r>
      <w:r w:rsidRPr="00070ADE">
        <w:rPr>
          <w:rFonts w:ascii="Times New Roman" w:hAnsi="Times New Roman"/>
          <w:color w:val="000000" w:themeColor="text1"/>
          <w:sz w:val="16"/>
          <w:szCs w:val="16"/>
        </w:rPr>
        <w:softHyphen/>
        <w:t>вается в рудниках радиоактивного материала (из которого получают радий), которые находятся в Канаде.</w:t>
      </w:r>
    </w:p>
    <w:p w14:paraId="7A2A0173"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Моя связь — с источником высокой квалификации, который был бы более полезен, если бы он мог встретиться с нашими высококвалифи</w:t>
      </w:r>
      <w:r w:rsidRPr="00070ADE">
        <w:rPr>
          <w:rFonts w:ascii="Times New Roman" w:hAnsi="Times New Roman"/>
          <w:color w:val="000000" w:themeColor="text1"/>
          <w:sz w:val="16"/>
          <w:szCs w:val="16"/>
        </w:rPr>
        <w:softHyphen/>
        <w:t>цированными химиками и физиками. Если возможности развития про</w:t>
      </w:r>
      <w:r w:rsidRPr="00070ADE">
        <w:rPr>
          <w:rFonts w:ascii="Times New Roman" w:hAnsi="Times New Roman"/>
          <w:color w:val="000000" w:themeColor="text1"/>
          <w:sz w:val="16"/>
          <w:szCs w:val="16"/>
        </w:rPr>
        <w:softHyphen/>
        <w:t>изводства у нас имеются, то мы должны немедленно использовать мою связь и послать сюда минимум двух человек, знающих язык и тему или предмет. Сначала нужно в срочном порядке, а не в порядке очередности, ознакомиться с посылаемым мною материалом.</w:t>
      </w:r>
    </w:p>
    <w:p w14:paraId="38869AC7"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 огромная работа. Это только начало. Я буду несколько раз получать от него материал. В первой оказии — около 1000 страниц.</w:t>
      </w:r>
    </w:p>
    <w:p w14:paraId="1EECA3D4"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Материал сов. секретный, и здесь, несмотря на то, что я вертелся возле университетов около двух лет, до последнего времени ничего кон</w:t>
      </w:r>
      <w:r w:rsidRPr="00070ADE">
        <w:rPr>
          <w:rFonts w:ascii="Times New Roman" w:hAnsi="Times New Roman"/>
          <w:color w:val="000000" w:themeColor="text1"/>
          <w:sz w:val="16"/>
          <w:szCs w:val="16"/>
        </w:rPr>
        <w:softHyphen/>
        <w:t>кретного узнать не мог. Здесь научились хранить секрет. На каждом пред</w:t>
      </w:r>
      <w:r w:rsidRPr="00070ADE">
        <w:rPr>
          <w:rFonts w:ascii="Times New Roman" w:hAnsi="Times New Roman"/>
          <w:color w:val="000000" w:themeColor="text1"/>
          <w:sz w:val="16"/>
          <w:szCs w:val="16"/>
        </w:rPr>
        <w:softHyphen/>
        <w:t>приятии имеется управление отдача ФБИ4. Персонал тщательно прове</w:t>
      </w:r>
      <w:r w:rsidRPr="00070ADE">
        <w:rPr>
          <w:rFonts w:ascii="Times New Roman" w:hAnsi="Times New Roman"/>
          <w:color w:val="000000" w:themeColor="text1"/>
          <w:sz w:val="16"/>
          <w:szCs w:val="16"/>
        </w:rPr>
        <w:softHyphen/>
        <w:t>ряется. Слухов вокруг этих предприятий масса. Лица, работающие на периферийных предприятиях, туда уезжают на год без права оставления территории предприятий, которые охраняются воинскими частями.</w:t>
      </w:r>
    </w:p>
    <w:p w14:paraId="7755C631"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пример, могу указать, что здания, в которых производится ис</w:t>
      </w:r>
      <w:r w:rsidRPr="00070ADE">
        <w:rPr>
          <w:rFonts w:ascii="Times New Roman" w:hAnsi="Times New Roman"/>
          <w:color w:val="000000" w:themeColor="text1"/>
          <w:sz w:val="16"/>
          <w:szCs w:val="16"/>
        </w:rPr>
        <w:softHyphen/>
        <w:t>пытание миллиграммных количеств добытого плутония, находятся вда</w:t>
      </w:r>
      <w:r w:rsidRPr="00070ADE">
        <w:rPr>
          <w:rFonts w:ascii="Times New Roman" w:hAnsi="Times New Roman"/>
          <w:color w:val="000000" w:themeColor="text1"/>
          <w:sz w:val="16"/>
          <w:szCs w:val="16"/>
        </w:rPr>
        <w:softHyphen/>
        <w:t>ли от человеческого жилья. Стены зданий 40 футов толщиной из бари</w:t>
      </w:r>
      <w:r w:rsidRPr="00070ADE">
        <w:rPr>
          <w:rFonts w:ascii="Times New Roman" w:hAnsi="Times New Roman"/>
          <w:color w:val="000000" w:themeColor="text1"/>
          <w:sz w:val="16"/>
          <w:szCs w:val="16"/>
        </w:rPr>
        <w:softHyphen/>
        <w:t>тового цемента. Контрольная установка, откуда производится управле</w:t>
      </w:r>
      <w:r w:rsidRPr="00070ADE">
        <w:rPr>
          <w:rFonts w:ascii="Times New Roman" w:hAnsi="Times New Roman"/>
          <w:color w:val="000000" w:themeColor="text1"/>
          <w:sz w:val="16"/>
          <w:szCs w:val="16"/>
        </w:rPr>
        <w:softHyphen/>
        <w:t>ние испытанием, находится в 25 милях от самих зданий.</w:t>
      </w:r>
    </w:p>
    <w:p w14:paraId="30A13F43"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Мой источник мне сообщил, что уже проектируется снаряд, кото</w:t>
      </w:r>
      <w:r w:rsidRPr="00070ADE">
        <w:rPr>
          <w:rFonts w:ascii="Times New Roman" w:hAnsi="Times New Roman"/>
          <w:color w:val="000000" w:themeColor="text1"/>
          <w:sz w:val="16"/>
          <w:szCs w:val="16"/>
        </w:rPr>
        <w:softHyphen/>
        <w:t>рый, будучи сброшен на землю, излучением уничтожит все живущее в районе сотен миль. Он не желал бы, чтобы такой снаряд был бы сброшен на землю нашей страны. Это проектируется полное уничтожение Япо</w:t>
      </w:r>
      <w:r w:rsidRPr="00070ADE">
        <w:rPr>
          <w:rFonts w:ascii="Times New Roman" w:hAnsi="Times New Roman"/>
          <w:color w:val="000000" w:themeColor="text1"/>
          <w:sz w:val="16"/>
          <w:szCs w:val="16"/>
        </w:rPr>
        <w:softHyphen/>
        <w:t>нии, но нет гарантии, что наши союзники не попытаются оказать влияние и на нас, когда в их распоряжении будет такое оружие. Никакие проти-восредства не известны всем исследователям в этой работе. Нам нужно также иметь такое средство воздействия, и мы теперь имеем возмож</w:t>
      </w:r>
      <w:r w:rsidRPr="00070ADE">
        <w:rPr>
          <w:rFonts w:ascii="Times New Roman" w:hAnsi="Times New Roman"/>
          <w:color w:val="000000" w:themeColor="text1"/>
          <w:sz w:val="16"/>
          <w:szCs w:val="16"/>
        </w:rPr>
        <w:softHyphen/>
        <w:t>ность получать достаточно данных, чтобы вести самим работы в этом направлении.</w:t>
      </w:r>
    </w:p>
    <w:p w14:paraId="3504B1C0"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Мне трудно писать. Мое зрение весьма ограничено1, но мои письма не важны, а важен материал; надеюсь, что ему будет уделено нужное вни</w:t>
      </w:r>
      <w:r w:rsidRPr="00070ADE">
        <w:rPr>
          <w:rFonts w:ascii="Times New Roman" w:hAnsi="Times New Roman"/>
          <w:color w:val="000000" w:themeColor="text1"/>
          <w:sz w:val="16"/>
          <w:szCs w:val="16"/>
        </w:rPr>
        <w:softHyphen/>
        <w:t>мание и последует быстрая реакция, которая будет мне руководством в дальнейшей работе.</w:t>
      </w:r>
    </w:p>
    <w:p w14:paraId="1023E660"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 считаю, что практичные американцы, при всей их расточительно</w:t>
      </w:r>
      <w:r w:rsidRPr="00070ADE">
        <w:rPr>
          <w:rFonts w:ascii="Times New Roman" w:hAnsi="Times New Roman"/>
          <w:color w:val="000000" w:themeColor="text1"/>
          <w:sz w:val="16"/>
          <w:szCs w:val="16"/>
        </w:rPr>
        <w:softHyphen/>
        <w:t>сти, не тратили бы таких огромных человеческих ресурсов наивысшей квалификации и гигантских средств на необещающую результатов ра</w:t>
      </w:r>
      <w:r w:rsidRPr="00070ADE">
        <w:rPr>
          <w:rFonts w:ascii="Times New Roman" w:hAnsi="Times New Roman"/>
          <w:color w:val="000000" w:themeColor="text1"/>
          <w:sz w:val="16"/>
          <w:szCs w:val="16"/>
        </w:rPr>
        <w:softHyphen/>
        <w:t>боту.</w:t>
      </w:r>
    </w:p>
    <w:p w14:paraId="4C499943"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Прошу выразить Вашу реакцию на это предложение проволокой'.</w:t>
      </w:r>
    </w:p>
    <w:p w14:paraId="3E897582"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Посылаю образцы ураниума и бериллиума.</w:t>
      </w:r>
    </w:p>
    <w:p w14:paraId="3A6DD1B8"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Привет</w:t>
      </w:r>
    </w:p>
    <w:p w14:paraId="2213635A"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«Ахилл»</w:t>
      </w:r>
    </w:p>
    <w:p w14:paraId="5CD72F90"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Печатается по: Атомный проект СССР: Документы и материалы. Т. 1.1938-1945. Часть 2. С. 42-45 (15493).</w:t>
      </w:r>
    </w:p>
    <w:p w14:paraId="4648862C" w14:textId="77777777" w:rsidR="000511D8" w:rsidRPr="00070ADE" w:rsidRDefault="000511D8" w:rsidP="00B56F90">
      <w:pPr>
        <w:spacing w:after="0" w:line="240" w:lineRule="auto"/>
        <w:jc w:val="both"/>
        <w:rPr>
          <w:rFonts w:ascii="Times New Roman" w:hAnsi="Times New Roman"/>
          <w:color w:val="000000" w:themeColor="text1"/>
          <w:sz w:val="16"/>
          <w:szCs w:val="16"/>
        </w:rPr>
      </w:pPr>
    </w:p>
    <w:p w14:paraId="67501E2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7A276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9C36F2"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7 марта</w:t>
      </w:r>
      <w:r w:rsidRPr="00070ADE">
        <w:rPr>
          <w:rFonts w:ascii="Times New Roman" w:hAnsi="Times New Roman"/>
          <w:color w:val="000000" w:themeColor="text1"/>
          <w:sz w:val="16"/>
          <w:szCs w:val="16"/>
        </w:rPr>
        <w:t xml:space="preserve"> в 1944 году оперативная сводка Совинформбюро:</w:t>
      </w:r>
    </w:p>
    <w:p w14:paraId="49F4CE43"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7 марта войска 1-го Украинского фронта, продолжая развивать наступление, овладели районным центром Тарнопольской области городом и крупной железнодорожной станцией ПодволочиссК, районным центром Каменец-Подольской области Старая Синява, а также с боями заняли более 200 других населенных пунктов, в том числе Рыдомль, Свинюхи, Старый Олексинец, Доброводы, Игровица, Клебановка, Коршиловка, Вербовцы, Большие Пузырки, Драчи, Зеленцы, Жабче, Самчики, Свинная, Ладыги, Лажава, Десеровка, Пасечна, Ивки, Терешполь, Качановка, Скаржинцы, Беспечна и железнодорожные станции Четырбоки, Большие Пузырки, Лажава. Противник на ряде участков нашего наступления переходил в контратаки крупными силами пехоты и танков, но был отбит, понеся при этом большие потери в живой силе и технике.</w:t>
      </w:r>
    </w:p>
    <w:p w14:paraId="4F99ACFE"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и в ряде пунктов бои местного значения.</w:t>
      </w:r>
    </w:p>
    <w:p w14:paraId="558E5F25"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6 марта наши войска на всех фронтах подбили и уничтожили 78 немецких танков. В воздушных боях и огнём зенитной артиллерии сбит 71 самолёт противника.</w:t>
      </w:r>
    </w:p>
    <w:p w14:paraId="51E4E43C"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успешное наступление и заняли более 200 населённых пунктов. Части Н-ского соединения, сломив упорное сопротивление противника, решительной атакой овладели районным центром Тарнопольской области — городом и крупной железнодорожной станцией Подволочисск. На поле боя осталось свыше 1.200 вражеских трупов и много разбитой техники противника. Захвачены трофеи и много пленных. На другом участке наши части, стремительно продвинувшись вперед, выбили противника из районного центра Каменец-Подольской области Старая Синява. В бою за этот пункт разгромлен полк немецкой пехоты. Захвачено 36 орудий, 25 миномётов, 87 пулемётов, 11 радиостанций и 250 автомашин. На ряде участков немцы контрударами пытались остановить наступление советских войск. Контратакующие пехота и танки противника были отброшены с большими для них потерями. По неполным данным, в течение дня уничтожено свыше 60 немецких танков и самоходных орудий, 19 бронетранспортёров и бронемашин.</w:t>
      </w:r>
    </w:p>
    <w:p w14:paraId="5514AAD0"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районе железнодорожной станции Волочиск наши танкисты разгромили два войсковых штаба немцев, захватили несколько железнодорожных эшелонов и свыше 400 автомашин с различными военными грузами. В районном центре Фридриховка захвачены крупные склады с продовольствием и боеприпасами.</w:t>
      </w:r>
    </w:p>
    <w:p w14:paraId="14E9BF50"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Нарвском направлении части Н-ского соединения выбили немцев из нескольких опорных пунктов. В боях за эти пункты уничтожено до 500 гитлеровцев. В другом районе немцы силами до полка пехоты в течение дня предприняли десять контратак, пытаясь вернуть потерянные ими позиции. Все контратаки противника отбиты с большими для него потерями. Наши бойцы прочно удерживают занятые позиции, имеющие важное значение.</w:t>
      </w:r>
    </w:p>
    <w:p w14:paraId="665D1A0E"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вчерашнего дня противник на поддержку своих наземных войск бросил в бой крупные силы авиации. В завязавшихся воздушных боях наши лётчики сбили 28 бомбардировщиков и 19 немецких истребителей. Кроме того, 8 самолётов противника уничтожены огнём советской зенитной артиллерии. Таким образом, всего за день сбито 55 немецких самолётов.</w:t>
      </w:r>
    </w:p>
    <w:p w14:paraId="1CBD7B8E"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Вилейской области, за месяц боевых действий пустил под откос 6 железнодорожных эшелонов противника. Действуя из засад на шоссе, советские патриоты уничтожили 16 грузовых и легковых автомашин, истребили 11 офицеров и 70 немецких солдат. Группа партизан, действующая в Белостокской области, организовала крушение немецкого воинского эшелона. Восстановительная команда извлекла из-под обломков вагонов свыше 100 трупов гитлеровцев, погибших во время крушения поезда.</w:t>
      </w:r>
    </w:p>
    <w:p w14:paraId="2C39C2B7"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Взятый в плен на Первом Прибалтийском фронте командир 2 батальона 51 немецкого полка капитан Гюнтер фон Ганштейн рассказал: «Немецкое командование всячески скрывает истинное положение дел на фронте. Оно держит в полном неведении не только солдат, но даже и офицеров. О последних поражениях немецких войск под Ленинградом и на юге мы узнали из русских листовок и радиопередач. Особенно тяжёлое впечатление произвело на всех солдат известие об окружении и уничтожении десяти немецких дивизий в районе Корсунь-Шевченковский. Среди солдат имели место такие разговоры: «Германия уже войну проиграла», «Надо скорее выбраться отсюда, пока не поздно, иначе русские устроят нам такой же «котёл», как и на юге». На нашем участке рано утром русские произвели сильный огневой налёт. Я отдал приказ об отступлении, но было поздно. Русские танки уже находились в нашем тылу. Сопротивление было бессмысленно, и я сдался в плен».</w:t>
      </w:r>
    </w:p>
    <w:p w14:paraId="3EEFAEF0"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Жители города Белая Церковь, Киевской области, составили акт о зверствах немецко-фашистских оккупантов. В акте говорится: «Как только немцы заняли наш город, они начали массовое истребление мирных жителей. Б августе и сентябре 1941 года фашистские изверги расстреляли несколько тысяч мирных жителей и закопали их в противотанковых рвах. Массовые расстрелы происходили также на территории стрелкового тира. Осенью 1943 года во дворе тюрьмы на Подвальной улице и в саду, прилегающем к ней, были замучены сотни советских граждан. Уже после освобождения города в этом саду обнаружено свыше 400 трупов. В январе 1944 года гестаповцы загнали 250 человек в один из домов в предместье города. Фашистские мерзавцы облили дом бензином и живьём сожгли запертых там советских людей. В конце лета и осенью прошлого года гитлеровские палачи начали заметать следы своих преступлений. Специальные команды вскрывали массовые могилы на территории стрелкового тира, обливали трупы горючей смесью и сжигали их».</w:t>
      </w:r>
    </w:p>
    <w:p w14:paraId="0C16F978"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жители города Белая Церковь: врач Горохов, А.Евчук, Ю.Боровкова, У.Стрикун, С.Самарова, Е.Вилигура и другие.» (15061).</w:t>
      </w:r>
    </w:p>
    <w:p w14:paraId="686D209F" w14:textId="77777777" w:rsidR="000511D8" w:rsidRPr="00070ADE" w:rsidRDefault="000511D8" w:rsidP="00B56F90">
      <w:pPr>
        <w:spacing w:after="0" w:line="240" w:lineRule="auto"/>
        <w:jc w:val="both"/>
        <w:rPr>
          <w:rFonts w:ascii="Times New Roman" w:hAnsi="Times New Roman"/>
          <w:color w:val="000000" w:themeColor="text1"/>
          <w:sz w:val="16"/>
          <w:szCs w:val="16"/>
        </w:rPr>
      </w:pPr>
    </w:p>
    <w:p w14:paraId="3D895E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марта 1944 на Таллиннском рейде первые мины сбросили "Бостоны" вновь сформированного 51-го МТАП. Наиболее тяжелые потери на авиаминах, несмотря на постоянное траление акватории, противник понес в районе Либавы. Только в ноябре на них подорвались следующие суда: Schiffber (2159 брт.), Dordrecht (3781 брт.), Memeland (6236 брт.) и Gerda Vith (1312 брт.). Насколько были болезненны эти утраты для немецкого командования, можно судить только по одному факту. Вместе с судном Schiffber, затонувшим 6 ноября, погиб весь его груз, предназначенный для окруженной группировки "Курляндия": 12 105-мм гаубиц, 7 пушек, 3 150-мм гаубицы, 17 20-мм зенитных автоматов, 1800 автоматов и пулеметов, 3 цистерны с машинным маслом, 250 т железнодорожных материалов и большое количество зим</w:t>
      </w:r>
      <w:r w:rsidRPr="00070ADE">
        <w:rPr>
          <w:rFonts w:ascii="Times New Roman" w:hAnsi="Times New Roman"/>
          <w:color w:val="000000" w:themeColor="text1"/>
          <w:sz w:val="16"/>
          <w:szCs w:val="16"/>
        </w:rPr>
        <w:tab/>
        <w:t>него обмундирования. За 1944 год было выставлено 650 мин, в том числе 405 - в Финском заливе, 86 - в Рижском заливе, 159-у Виндавы и Либавы. (2867,32).</w:t>
      </w:r>
    </w:p>
    <w:p w14:paraId="59EE22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9C96A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7 и утром 17 марта 1944 у Таллинна пропали без вести два «Бостона», что также представляется неслучайным. Всего в течение месяца полк лишился семи самолетов и экипажей, в том числе двух, возглавляемых Героями Советского Союза. Необходимо отметить, что при этом за месяц удалось произвести всего три торпедные атаки, ни одна из которых не увенчалась успехом. Попытку найти выход из наступающего кризиса предпринял командир полка Борзов. Он предложил перенести время атаки с дня на ночь, а обнаружение кораблей противника производить на «лунной дорожке» (9965).</w:t>
      </w:r>
    </w:p>
    <w:p w14:paraId="554B4C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4BF8B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марта 1944 две Аэрокобры 19 гиап, вед. пары мл.л. Кузнецов вылетели на перехват разведчика. Перехватили над Кировской дорогой и после нескольких атак - сбили. Доложили об уничтожении финского Пе-2, а на следующий день поисковая группа на месте падения обнаружила Ю_88 из 1 эск. 124 группы др. Ничего себе перепутали (3796).</w:t>
      </w:r>
    </w:p>
    <w:p w14:paraId="0369A6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349E6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08AE59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9AE39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марта 1944 на вооружение Красной Армии передана танковая колонна имени Дмитрия Донского, созданная на средства верующих (4962).</w:t>
      </w:r>
    </w:p>
    <w:p w14:paraId="081A2DF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61235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7C964B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E3E72D"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7 марта</w:t>
      </w:r>
      <w:r w:rsidRPr="00070ADE">
        <w:rPr>
          <w:rFonts w:ascii="Times New Roman" w:hAnsi="Times New Roman"/>
          <w:color w:val="000000" w:themeColor="text1"/>
          <w:sz w:val="16"/>
          <w:szCs w:val="16"/>
        </w:rPr>
        <w:t xml:space="preserve"> в 1944 году закончено строительство второй серии истребителей </w:t>
      </w:r>
      <w:hyperlink r:id="rId71" w:tgtFrame="_blank" w:history="1">
        <w:r w:rsidRPr="00070ADE">
          <w:rPr>
            <w:rFonts w:ascii="Times New Roman" w:hAnsi="Times New Roman"/>
            <w:color w:val="000000" w:themeColor="text1"/>
            <w:sz w:val="16"/>
            <w:szCs w:val="16"/>
          </w:rPr>
          <w:t xml:space="preserve">«Hejja II» </w:t>
        </w:r>
      </w:hyperlink>
      <w:r w:rsidRPr="00070ADE">
        <w:rPr>
          <w:rFonts w:ascii="Times New Roman" w:hAnsi="Times New Roman"/>
          <w:color w:val="000000" w:themeColor="text1"/>
          <w:sz w:val="16"/>
          <w:szCs w:val="16"/>
        </w:rPr>
        <w:t>(разработчик: «MAVAG», Венгрия, Италия). На самолёте был установлен двигатель «Manfred Weiss» «WM К-14В», представлявшим из себя лицензионный двухрядный звездообразный «Gnome-Rhone» «К-14», мощностью 1000 л.с., вращавший трехлопастный винт «Гамильтон – Стандарт». В результате, длина фюзеляжа увеличилась на 350 мм. Установлены 12,7-мм пулемёты фирмы «Gebauer». Два последних самолёта серии были модифицированы в пикирующий бомбардировщик. Они получили тормозные решетки на крыльях и способность нести бомбы до 500 кг (15061).</w:t>
      </w:r>
    </w:p>
    <w:p w14:paraId="3E2883A3" w14:textId="77777777" w:rsidR="000511D8" w:rsidRPr="00070ADE" w:rsidRDefault="000511D8" w:rsidP="00B56F90">
      <w:pPr>
        <w:spacing w:after="0" w:line="240" w:lineRule="auto"/>
        <w:jc w:val="both"/>
        <w:rPr>
          <w:rFonts w:ascii="Times New Roman" w:hAnsi="Times New Roman"/>
          <w:color w:val="000000" w:themeColor="text1"/>
          <w:sz w:val="16"/>
          <w:szCs w:val="16"/>
        </w:rPr>
      </w:pPr>
    </w:p>
    <w:p w14:paraId="02F9074F" w14:textId="77777777" w:rsidR="00464D2B" w:rsidRPr="00070ADE" w:rsidRDefault="00464D2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 марта (ночь) 1944 304 британских бомбардировщика атакуют железнодорожные станции в Ле-Мане, Франция. Несмотря на облачность, 300 бомб попали в цкль, уничтожив 250 железнодорожных вагонов, поразив шесть локомотивов, перерезав пути и повредив поворотную платформу (20373).</w:t>
      </w:r>
    </w:p>
    <w:p w14:paraId="269A1DDE" w14:textId="77777777" w:rsidR="00464D2B" w:rsidRPr="00070ADE" w:rsidRDefault="00464D2B" w:rsidP="00B56F90">
      <w:pPr>
        <w:spacing w:after="0" w:line="240" w:lineRule="auto"/>
        <w:jc w:val="both"/>
        <w:rPr>
          <w:rFonts w:ascii="Times New Roman" w:hAnsi="Times New Roman"/>
          <w:color w:val="000000" w:themeColor="text1"/>
          <w:sz w:val="16"/>
          <w:szCs w:val="16"/>
        </w:rPr>
      </w:pPr>
    </w:p>
    <w:p w14:paraId="334ED9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марта 1944 немецкие самолеты с применением 1800-килограммовых мин-бомб разрушили мост у Ремагена. Тем не менее в 1944 г. ее разработка была прекращена.</w:t>
      </w:r>
    </w:p>
    <w:p w14:paraId="72F478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1944 г. испытывалась мина-бомба SВ800RS Курт.</w:t>
      </w:r>
    </w:p>
    <w:p w14:paraId="27CF2C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Глиссирующая (вращающаяся) «мини-бомба» с ракетными ускорителями SB 800RS (Kurt). Она разрабатывалась для поражения кораблей методом, схожим с топмачтовым бомбометанием. Конструкция бомбы была оригинальной. К сферической боевой части присоединялся ракетный ускоритель, снабженный кольцеобразным стабилизатором.</w:t>
      </w:r>
    </w:p>
    <w:p w14:paraId="51F4C5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бомбы составляла 1910 мм, диаметр – 750 мм. Бомба сбрасывалась самолетом, не входившим в зону корабельной ПВО, с горизонтального полета – с высоты 20 м на удалении 4–4,5 км от корабля противника.</w:t>
      </w:r>
    </w:p>
    <w:p w14:paraId="363FF9A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включения ракетного ускорителя бомба некоторое время летела над водной поверхностью, а затем, постепенно снижаясь, падала в воду. При ударе о воду ее хвостовая часть обламывалась и шарообразная бомба глиссировала по воде. Цель бомба поражала в борт в районе ватерлинии. Отклонение бомбы на спокойном море составляло +55 м на удалении точки сброса от объекта поражения 4500 м.</w:t>
      </w:r>
    </w:p>
    <w:p w14:paraId="4F582CA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этого использовался самолет-носитель Fw.190G. Затем были испытаны мины-бомбы массой в 1000 кг, имевшие обозначение SВ1000, SС1000 и SС1800 (1800 кг), которые в феврале-марте Fw.190G1 из эскадрильи NSG.20 сбрасывали на мосты. 7 марта немецкие самолеты с применением 1800-килограммовых бомб разрушили мост у Ремагена. Тем не менее в 1944 г. ее разработка была прекращена (11686).</w:t>
      </w:r>
    </w:p>
    <w:p w14:paraId="04B56E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F54D72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4CE33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A53F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погода благоприятствовала проведению ис</w:t>
      </w:r>
      <w:r w:rsidRPr="00070ADE">
        <w:rPr>
          <w:rFonts w:ascii="Times New Roman" w:hAnsi="Times New Roman"/>
          <w:color w:val="000000" w:themeColor="text1"/>
          <w:sz w:val="16"/>
          <w:szCs w:val="16"/>
        </w:rPr>
        <w:softHyphen/>
        <w:t>пытаний Ил-АМ-42, но в первом же полете на определение расхода горючего лоп</w:t>
      </w:r>
      <w:r w:rsidRPr="00070ADE">
        <w:rPr>
          <w:rFonts w:ascii="Times New Roman" w:hAnsi="Times New Roman"/>
          <w:color w:val="000000" w:themeColor="text1"/>
          <w:sz w:val="16"/>
          <w:szCs w:val="16"/>
        </w:rPr>
        <w:softHyphen/>
        <w:t>нула трубка, подводящая воду к ле</w:t>
      </w:r>
      <w:r w:rsidRPr="00070ADE">
        <w:rPr>
          <w:rFonts w:ascii="Times New Roman" w:hAnsi="Times New Roman"/>
          <w:color w:val="000000" w:themeColor="text1"/>
          <w:sz w:val="16"/>
          <w:szCs w:val="16"/>
        </w:rPr>
        <w:softHyphen/>
        <w:t>вому блоку цилиндров. Пришлось идти на посадку и устранять неисп</w:t>
      </w:r>
      <w:r w:rsidRPr="00070ADE">
        <w:rPr>
          <w:rFonts w:ascii="Times New Roman" w:hAnsi="Times New Roman"/>
          <w:color w:val="000000" w:themeColor="text1"/>
          <w:sz w:val="16"/>
          <w:szCs w:val="16"/>
        </w:rPr>
        <w:softHyphen/>
        <w:t>равность (11427).</w:t>
      </w:r>
    </w:p>
    <w:p w14:paraId="0F901B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77790D" w14:textId="77777777" w:rsidR="00B246E7" w:rsidRPr="00070ADE" w:rsidRDefault="00B246E7"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вышел приказ НКАП N 168cc в исполнение постановления ГКО N 5320сс от 5 марта 1944:</w:t>
      </w:r>
    </w:p>
    <w:p w14:paraId="5B6BA311" w14:textId="77777777" w:rsidR="00B246E7" w:rsidRPr="00070ADE" w:rsidRDefault="00B246E7"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Нач. 10 ГУ, зам. наркома А.И.Кузнецову и директору завода 22 Окулову:</w:t>
      </w:r>
    </w:p>
    <w:p w14:paraId="4B5B979F" w14:textId="77777777" w:rsidR="00B246E7" w:rsidRPr="00070ADE" w:rsidRDefault="00B246E7"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увеличить выпуск самолетов Пе-2 на заводе 22 и довести выпуск их в апреле с.г. до 10 в сутки. Производство самолетов Пе-3 и Пе-8 на заводе 22 прекратить, сохранив на заводе всю оснастку, приспособления и спец. инструмент для производства Пе-8</w:t>
      </w:r>
    </w:p>
    <w:p w14:paraId="13D47D70" w14:textId="77777777" w:rsidR="00B246E7" w:rsidRPr="00070ADE" w:rsidRDefault="00B246E7"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построить 4 Пе-8 в пассажирском варианте по проекту ГК Незваля, для чего использовать самолеты Пе-8 из числа готовых и находящихся в сборочном цехе завода 22</w:t>
      </w:r>
    </w:p>
    <w:p w14:paraId="59DD00E3" w14:textId="77777777" w:rsidR="00B246E7" w:rsidRPr="00070ADE" w:rsidRDefault="00B246E7"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Разрешить ГК Незваль продолжать на заводе 22 работы по модификации Пе-8 (1660,69).</w:t>
      </w:r>
    </w:p>
    <w:p w14:paraId="0E77DE15" w14:textId="77777777" w:rsidR="00B246E7" w:rsidRPr="00070ADE" w:rsidRDefault="00B246E7"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6A1D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П.М.Стефановский на МиГ-3ДД с АМ-39 (И-231 или 2Д) на аэродроме Чкаловская разбился (т.к. не вышли щитки и отказали тормоза - 5046,34), но остался жив. Полеты начались еще в феврале и тогда же был выполнен первый полет, но аэродром завалило снегом. На посадке врезался в сугроб (817). Вновь поступил в НИИ ВВС 12 мая (5046,34).</w:t>
      </w:r>
    </w:p>
    <w:p w14:paraId="500D0D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D4C0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И-231 (2Д) А.И.М. с АМ-39А потерпел аварию из-за отказа щитков-закрылков и тормозов при посадке. Вскоре работы по И-231 были прекращены вследствие задержки с получением нового мотора (9032).</w:t>
      </w:r>
    </w:p>
    <w:p w14:paraId="3FDDB1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F240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согласно журнала наблюдения за проектированием, постройкой и испытаниями МиГ-3 от 10 марта 1944 изд. 2Д при посадке потерпел аварию. Посадка осуществлена без использования щитков. В конце пробега с-т выкатился на неукатанную чаасть дорожки и скапоотировал. С-т отправлен завод для восстановления и ремонта (992,12).</w:t>
      </w:r>
    </w:p>
    <w:p w14:paraId="06ADB2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09736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г., выполнив программу испытаний, И-220 №01 завели в цех для установки серийного мотора АМ-39 (5669).</w:t>
      </w:r>
    </w:p>
    <w:p w14:paraId="541045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C67B1D" w14:textId="77777777" w:rsidR="006D5302" w:rsidRPr="00070ADE" w:rsidRDefault="006D530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самолёт И-231 ОКБ-155, пилотируемый лётчиком-испытателем П.М. Стефановским, потер</w:t>
      </w:r>
      <w:r w:rsidRPr="00070ADE">
        <w:rPr>
          <w:rFonts w:ascii="Times New Roman" w:hAnsi="Times New Roman"/>
          <w:color w:val="000000" w:themeColor="text1"/>
          <w:sz w:val="16"/>
          <w:szCs w:val="16"/>
        </w:rPr>
        <w:softHyphen/>
        <w:t>пел аварию. При посадке не вышли щитки-закрылки и отказали тормоза, из-за чего в конце пробега маши</w:t>
      </w:r>
      <w:r w:rsidRPr="00070ADE">
        <w:rPr>
          <w:rFonts w:ascii="Times New Roman" w:hAnsi="Times New Roman"/>
          <w:color w:val="000000" w:themeColor="text1"/>
          <w:sz w:val="16"/>
          <w:szCs w:val="16"/>
        </w:rPr>
        <w:softHyphen/>
        <w:t>на выкатилась за пределы полосы и скапотировала. И-231 вернули создателям для восстановительного ре</w:t>
      </w:r>
      <w:r w:rsidRPr="00070ADE">
        <w:rPr>
          <w:rFonts w:ascii="Times New Roman" w:hAnsi="Times New Roman"/>
          <w:color w:val="000000" w:themeColor="text1"/>
          <w:sz w:val="16"/>
          <w:szCs w:val="16"/>
        </w:rPr>
        <w:softHyphen/>
        <w:t>монта, после которого 12 мая его вновь передали во</w:t>
      </w:r>
      <w:r w:rsidRPr="00070ADE">
        <w:rPr>
          <w:rFonts w:ascii="Times New Roman" w:hAnsi="Times New Roman"/>
          <w:color w:val="000000" w:themeColor="text1"/>
          <w:sz w:val="16"/>
          <w:szCs w:val="16"/>
        </w:rPr>
        <w:softHyphen/>
        <w:t>енным. Однако 19 мая в полёте при переходе на фор</w:t>
      </w:r>
      <w:r w:rsidRPr="00070ADE">
        <w:rPr>
          <w:rFonts w:ascii="Times New Roman" w:hAnsi="Times New Roman"/>
          <w:color w:val="000000" w:themeColor="text1"/>
          <w:sz w:val="16"/>
          <w:szCs w:val="16"/>
        </w:rPr>
        <w:softHyphen/>
        <w:t>сированный режим вышел из строя мотор. Получение нового мотора АМ-39 затянулось, и вскоре работы по самолёту были вообще прекращены (23379).</w:t>
      </w:r>
    </w:p>
    <w:p w14:paraId="3A6DF77B" w14:textId="77777777" w:rsidR="006D5302" w:rsidRPr="00070ADE" w:rsidRDefault="006D5302" w:rsidP="00B56F90">
      <w:pPr>
        <w:spacing w:after="0" w:line="240" w:lineRule="auto"/>
        <w:jc w:val="both"/>
        <w:rPr>
          <w:rFonts w:ascii="Times New Roman" w:hAnsi="Times New Roman"/>
          <w:color w:val="000000" w:themeColor="text1"/>
          <w:sz w:val="16"/>
          <w:szCs w:val="16"/>
        </w:rPr>
      </w:pPr>
    </w:p>
    <w:p w14:paraId="27BBEB66" w14:textId="77777777" w:rsidR="006D5302" w:rsidRPr="00070ADE" w:rsidRDefault="006D530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г. работа аэро</w:t>
      </w:r>
      <w:r w:rsidRPr="00070ADE">
        <w:rPr>
          <w:rFonts w:ascii="Times New Roman" w:hAnsi="Times New Roman"/>
          <w:color w:val="000000" w:themeColor="text1"/>
          <w:sz w:val="16"/>
          <w:szCs w:val="16"/>
        </w:rPr>
        <w:softHyphen/>
        <w:t>дрома НИИ ВВС в Чкаловском возобновились, в том числе и по И-231 по программе Госиспытаний. В свя</w:t>
      </w:r>
      <w:r w:rsidRPr="00070ADE">
        <w:rPr>
          <w:rFonts w:ascii="Times New Roman" w:hAnsi="Times New Roman"/>
          <w:color w:val="000000" w:themeColor="text1"/>
          <w:sz w:val="16"/>
          <w:szCs w:val="16"/>
        </w:rPr>
        <w:softHyphen/>
        <w:t>зи с погодными условиями ее уплотни</w:t>
      </w:r>
      <w:r w:rsidRPr="00070ADE">
        <w:rPr>
          <w:rFonts w:ascii="Times New Roman" w:hAnsi="Times New Roman"/>
          <w:color w:val="000000" w:themeColor="text1"/>
          <w:sz w:val="16"/>
          <w:szCs w:val="16"/>
        </w:rPr>
        <w:softHyphen/>
        <w:t>ли до предела - в каждом полете надо было произвести максимальное количест</w:t>
      </w:r>
      <w:r w:rsidRPr="00070ADE">
        <w:rPr>
          <w:rFonts w:ascii="Times New Roman" w:hAnsi="Times New Roman"/>
          <w:color w:val="000000" w:themeColor="text1"/>
          <w:sz w:val="16"/>
          <w:szCs w:val="16"/>
        </w:rPr>
        <w:softHyphen/>
        <w:t>во различных проверок.</w:t>
      </w:r>
    </w:p>
    <w:p w14:paraId="6F4266FE" w14:textId="77777777" w:rsidR="006D5302" w:rsidRPr="00070ADE" w:rsidRDefault="006D530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Утром Стефановский проверил тормо</w:t>
      </w:r>
      <w:r w:rsidRPr="00070ADE">
        <w:rPr>
          <w:rFonts w:ascii="Times New Roman" w:hAnsi="Times New Roman"/>
          <w:color w:val="000000" w:themeColor="text1"/>
          <w:sz w:val="16"/>
          <w:szCs w:val="16"/>
        </w:rPr>
        <w:softHyphen/>
        <w:t>за на рулежке - они работали безукориз</w:t>
      </w:r>
      <w:r w:rsidRPr="00070ADE">
        <w:rPr>
          <w:rFonts w:ascii="Times New Roman" w:hAnsi="Times New Roman"/>
          <w:color w:val="000000" w:themeColor="text1"/>
          <w:sz w:val="16"/>
          <w:szCs w:val="16"/>
        </w:rPr>
        <w:softHyphen/>
        <w:t>ненно, благо времени заводской бригаде непогода «выделила» достаточно. О том, что было дальше, рассказывает сам Петр Михайлович в своих мемуарах «Триста неизвестных».</w:t>
      </w:r>
    </w:p>
    <w:p w14:paraId="61760E4A" w14:textId="77777777" w:rsidR="006D5302" w:rsidRPr="00070ADE" w:rsidRDefault="006D530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«Выполнив намеченную программу, я не мешкая взял курс на аэродром: горю</w:t>
      </w:r>
      <w:r w:rsidRPr="00070ADE">
        <w:rPr>
          <w:rFonts w:ascii="Times New Roman" w:hAnsi="Times New Roman"/>
          <w:color w:val="000000" w:themeColor="text1"/>
          <w:sz w:val="16"/>
          <w:szCs w:val="16"/>
        </w:rPr>
        <w:softHyphen/>
        <w:t>чего в баках оставалось на пять — семь минут полета. Выйдя на линию посадки, поставил в нужное положение рычаг выпу</w:t>
      </w:r>
      <w:r w:rsidRPr="00070ADE">
        <w:rPr>
          <w:rFonts w:ascii="Times New Roman" w:hAnsi="Times New Roman"/>
          <w:color w:val="000000" w:themeColor="text1"/>
          <w:sz w:val="16"/>
          <w:szCs w:val="16"/>
        </w:rPr>
        <w:softHyphen/>
        <w:t>ска закрылков. Но они не выходили. Непри</w:t>
      </w:r>
      <w:r w:rsidRPr="00070ADE">
        <w:rPr>
          <w:rFonts w:ascii="Times New Roman" w:hAnsi="Times New Roman"/>
          <w:color w:val="000000" w:themeColor="text1"/>
          <w:sz w:val="16"/>
          <w:szCs w:val="16"/>
        </w:rPr>
        <w:softHyphen/>
        <w:t>ятная непредвиденная ситуация.</w:t>
      </w:r>
    </w:p>
    <w:p w14:paraId="090F1C01" w14:textId="77777777" w:rsidR="006D5302" w:rsidRPr="00070ADE" w:rsidRDefault="006D530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Пришлось уйти на второй круг. Стрелка бензиномера быстро приближа</w:t>
      </w:r>
      <w:r w:rsidRPr="00070ADE">
        <w:rPr>
          <w:rFonts w:ascii="Times New Roman" w:hAnsi="Times New Roman"/>
          <w:color w:val="000000" w:themeColor="text1"/>
          <w:sz w:val="16"/>
          <w:szCs w:val="16"/>
        </w:rPr>
        <w:softHyphen/>
        <w:t>лась к нулю. А закрылки так и не выпусти</w:t>
      </w:r>
      <w:r w:rsidRPr="00070ADE">
        <w:rPr>
          <w:rFonts w:ascii="Times New Roman" w:hAnsi="Times New Roman"/>
          <w:color w:val="000000" w:themeColor="text1"/>
          <w:sz w:val="16"/>
          <w:szCs w:val="16"/>
        </w:rPr>
        <w:softHyphen/>
        <w:t>лись, хотя воздух в системе был.</w:t>
      </w:r>
    </w:p>
    <w:p w14:paraId="23B21427" w14:textId="77777777" w:rsidR="006D5302" w:rsidRPr="00070ADE" w:rsidRDefault="006D530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 делать? Лететь на соседний аэ</w:t>
      </w:r>
      <w:r w:rsidRPr="00070ADE">
        <w:rPr>
          <w:rFonts w:ascii="Times New Roman" w:hAnsi="Times New Roman"/>
          <w:color w:val="000000" w:themeColor="text1"/>
          <w:sz w:val="16"/>
          <w:szCs w:val="16"/>
        </w:rPr>
        <w:softHyphen/>
        <w:t>родром невозможно: горючего уже нет. Решаю садиться. Тормоза-то работают отлично.</w:t>
      </w:r>
    </w:p>
    <w:p w14:paraId="01BBE215" w14:textId="77777777" w:rsidR="006D5302" w:rsidRPr="00070ADE" w:rsidRDefault="006D530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Громадный бугор снега не позво</w:t>
      </w:r>
      <w:r w:rsidRPr="00070ADE">
        <w:rPr>
          <w:rFonts w:ascii="Times New Roman" w:hAnsi="Times New Roman"/>
          <w:color w:val="000000" w:themeColor="text1"/>
          <w:sz w:val="16"/>
          <w:szCs w:val="16"/>
        </w:rPr>
        <w:softHyphen/>
        <w:t>лил приземлить машину в самом начале полосы.</w:t>
      </w:r>
    </w:p>
    <w:p w14:paraId="1FDCDECD" w14:textId="77777777" w:rsidR="006D5302" w:rsidRPr="00070ADE" w:rsidRDefault="006D530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вот и это препятствие уже поза</w:t>
      </w:r>
      <w:r w:rsidRPr="00070ADE">
        <w:rPr>
          <w:rFonts w:ascii="Times New Roman" w:hAnsi="Times New Roman"/>
          <w:color w:val="000000" w:themeColor="text1"/>
          <w:sz w:val="16"/>
          <w:szCs w:val="16"/>
        </w:rPr>
        <w:softHyphen/>
        <w:t>ди. Самолет коснулся колесами земли. Уве</w:t>
      </w:r>
      <w:r w:rsidRPr="00070ADE">
        <w:rPr>
          <w:rFonts w:ascii="Times New Roman" w:hAnsi="Times New Roman"/>
          <w:color w:val="000000" w:themeColor="text1"/>
          <w:sz w:val="16"/>
          <w:szCs w:val="16"/>
        </w:rPr>
        <w:softHyphen/>
        <w:t>ренно нажимаю на тормоза. К моему ужа</w:t>
      </w:r>
      <w:r w:rsidRPr="00070ADE">
        <w:rPr>
          <w:rFonts w:ascii="Times New Roman" w:hAnsi="Times New Roman"/>
          <w:color w:val="000000" w:themeColor="text1"/>
          <w:sz w:val="16"/>
          <w:szCs w:val="16"/>
        </w:rPr>
        <w:softHyphen/>
        <w:t>су, они не действуют. Выключаю мотор, чтобы хоть немного сократить пробег. Машина мчится как одержимая. Впереди — опять бугор снега. Одно мгновение, и само</w:t>
      </w:r>
      <w:r w:rsidRPr="00070ADE">
        <w:rPr>
          <w:rFonts w:ascii="Times New Roman" w:hAnsi="Times New Roman"/>
          <w:color w:val="000000" w:themeColor="text1"/>
          <w:sz w:val="16"/>
          <w:szCs w:val="16"/>
        </w:rPr>
        <w:softHyphen/>
        <w:t>лет лежит на лопатках...</w:t>
      </w:r>
    </w:p>
    <w:p w14:paraId="775C2787" w14:textId="77777777" w:rsidR="006D5302" w:rsidRPr="00070ADE" w:rsidRDefault="006D530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Вишу вниз головой. Хорошо, что вы</w:t>
      </w:r>
      <w:r w:rsidRPr="00070ADE">
        <w:rPr>
          <w:rFonts w:ascii="Times New Roman" w:hAnsi="Times New Roman"/>
          <w:color w:val="000000" w:themeColor="text1"/>
          <w:sz w:val="16"/>
          <w:szCs w:val="16"/>
        </w:rPr>
        <w:softHyphen/>
        <w:t>держали привязные ремни. Невыносимо бо</w:t>
      </w:r>
      <w:r w:rsidRPr="00070ADE">
        <w:rPr>
          <w:rFonts w:ascii="Times New Roman" w:hAnsi="Times New Roman"/>
          <w:color w:val="000000" w:themeColor="text1"/>
          <w:sz w:val="16"/>
          <w:szCs w:val="16"/>
        </w:rPr>
        <w:softHyphen/>
        <w:t>лит левая рука. Кое-как расстегиваю при</w:t>
      </w:r>
      <w:r w:rsidRPr="00070ADE">
        <w:rPr>
          <w:rFonts w:ascii="Times New Roman" w:hAnsi="Times New Roman"/>
          <w:color w:val="000000" w:themeColor="text1"/>
          <w:sz w:val="16"/>
          <w:szCs w:val="16"/>
        </w:rPr>
        <w:softHyphen/>
        <w:t>вязные ремни. Ох, и тесна кабина. Никак не перевернусь в нормальное положение. И на помощь почему-то никто не спешит. Ослепли, что ли? Ан нет, прибежал кто- то. Тяжело дышит, запыхался.</w:t>
      </w:r>
    </w:p>
    <w:p w14:paraId="25655AB5" w14:textId="77777777" w:rsidR="006D5302" w:rsidRPr="00070ADE" w:rsidRDefault="006D530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Какого черта вздыхаешь! — ору сво</w:t>
      </w:r>
      <w:r w:rsidRPr="00070ADE">
        <w:rPr>
          <w:rFonts w:ascii="Times New Roman" w:hAnsi="Times New Roman"/>
          <w:color w:val="000000" w:themeColor="text1"/>
          <w:sz w:val="16"/>
          <w:szCs w:val="16"/>
        </w:rPr>
        <w:softHyphen/>
        <w:t>ему спасителю. — Вызволяй поскорей, а то задохнусь.</w:t>
      </w:r>
    </w:p>
    <w:p w14:paraId="3C55A48D" w14:textId="77777777" w:rsidR="006D5302" w:rsidRPr="00070ADE" w:rsidRDefault="006D530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Петр Михайлович, да ты жив! — слышу знакомый голос начальника инсти</w:t>
      </w:r>
      <w:r w:rsidRPr="00070ADE">
        <w:rPr>
          <w:rFonts w:ascii="Times New Roman" w:hAnsi="Times New Roman"/>
          <w:color w:val="000000" w:themeColor="text1"/>
          <w:sz w:val="16"/>
          <w:szCs w:val="16"/>
        </w:rPr>
        <w:softHyphen/>
        <w:t>тута генерала П.А. Лосюкова. — Сейчас, сейчас вытащим. Рубите борт кабины то</w:t>
      </w:r>
      <w:r w:rsidRPr="00070ADE">
        <w:rPr>
          <w:rFonts w:ascii="Times New Roman" w:hAnsi="Times New Roman"/>
          <w:color w:val="000000" w:themeColor="text1"/>
          <w:sz w:val="16"/>
          <w:szCs w:val="16"/>
        </w:rPr>
        <w:softHyphen/>
        <w:t>пором! — командует кому-то...»</w:t>
      </w:r>
    </w:p>
    <w:p w14:paraId="3C96840C" w14:textId="77777777" w:rsidR="006D5302" w:rsidRPr="00070ADE" w:rsidRDefault="006D530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этой аварии Стефановский получил удар в темя и сломал левую руку - в акку</w:t>
      </w:r>
      <w:r w:rsidRPr="00070ADE">
        <w:rPr>
          <w:rFonts w:ascii="Times New Roman" w:hAnsi="Times New Roman"/>
          <w:color w:val="000000" w:themeColor="text1"/>
          <w:sz w:val="16"/>
          <w:szCs w:val="16"/>
        </w:rPr>
        <w:softHyphen/>
        <w:t>рат через год после посадки на горящем «Яке», когда он сломал ногу, ребра и по</w:t>
      </w:r>
      <w:r w:rsidRPr="00070ADE">
        <w:rPr>
          <w:rFonts w:ascii="Times New Roman" w:hAnsi="Times New Roman"/>
          <w:color w:val="000000" w:themeColor="text1"/>
          <w:sz w:val="16"/>
          <w:szCs w:val="16"/>
        </w:rPr>
        <w:softHyphen/>
        <w:t>лучил травму головы.</w:t>
      </w:r>
    </w:p>
    <w:p w14:paraId="75549D7E" w14:textId="77777777" w:rsidR="006D5302" w:rsidRPr="00070ADE" w:rsidRDefault="006D530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Теперь о причине - и снова словами Стефановского:</w:t>
      </w:r>
    </w:p>
    <w:p w14:paraId="4A2AE282" w14:textId="77777777" w:rsidR="006D5302" w:rsidRPr="00070ADE" w:rsidRDefault="006D530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«Виновник аварии — инженер заво</w:t>
      </w:r>
      <w:r w:rsidRPr="00070ADE">
        <w:rPr>
          <w:rFonts w:ascii="Times New Roman" w:hAnsi="Times New Roman"/>
          <w:color w:val="000000" w:themeColor="text1"/>
          <w:sz w:val="16"/>
          <w:szCs w:val="16"/>
        </w:rPr>
        <w:softHyphen/>
        <w:t>да, проектировавший воздушную провод</w:t>
      </w:r>
      <w:r w:rsidRPr="00070ADE">
        <w:rPr>
          <w:rFonts w:ascii="Times New Roman" w:hAnsi="Times New Roman"/>
          <w:color w:val="000000" w:themeColor="text1"/>
          <w:sz w:val="16"/>
          <w:szCs w:val="16"/>
        </w:rPr>
        <w:softHyphen/>
        <w:t>ку системы. У затяжной гайки трубки, со</w:t>
      </w:r>
      <w:r w:rsidRPr="00070ADE">
        <w:rPr>
          <w:rFonts w:ascii="Times New Roman" w:hAnsi="Times New Roman"/>
          <w:color w:val="000000" w:themeColor="text1"/>
          <w:sz w:val="16"/>
          <w:szCs w:val="16"/>
        </w:rPr>
        <w:softHyphen/>
        <w:t>единяющей воздушный бортовой баллон с тройником закрылков и тормозов, не оказалось контровки. От вибрации гайка в полете отвинтилась, и сжатый воздух перестал поступать к закрылкам и тор</w:t>
      </w:r>
      <w:r w:rsidRPr="00070ADE">
        <w:rPr>
          <w:rFonts w:ascii="Times New Roman" w:hAnsi="Times New Roman"/>
          <w:color w:val="000000" w:themeColor="text1"/>
          <w:sz w:val="16"/>
          <w:szCs w:val="16"/>
        </w:rPr>
        <w:softHyphen/>
        <w:t>мозам. Маленькая небрежность чуть не стоила мне жизни...»</w:t>
      </w:r>
    </w:p>
    <w:p w14:paraId="6A407941" w14:textId="77777777" w:rsidR="006D5302" w:rsidRPr="00070ADE" w:rsidRDefault="006D530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Конструкцию исправили, облет отре</w:t>
      </w:r>
      <w:r w:rsidRPr="00070ADE">
        <w:rPr>
          <w:rFonts w:ascii="Times New Roman" w:hAnsi="Times New Roman"/>
          <w:color w:val="000000" w:themeColor="text1"/>
          <w:sz w:val="16"/>
          <w:szCs w:val="16"/>
        </w:rPr>
        <w:softHyphen/>
        <w:t>монтированного истребителя состоял</w:t>
      </w:r>
      <w:r w:rsidRPr="00070ADE">
        <w:rPr>
          <w:rFonts w:ascii="Times New Roman" w:hAnsi="Times New Roman"/>
          <w:color w:val="000000" w:themeColor="text1"/>
          <w:sz w:val="16"/>
          <w:szCs w:val="16"/>
        </w:rPr>
        <w:softHyphen/>
        <w:t>ся 12 мая 1944 г. и вслед за этим испы</w:t>
      </w:r>
      <w:r w:rsidRPr="00070ADE">
        <w:rPr>
          <w:rFonts w:ascii="Times New Roman" w:hAnsi="Times New Roman"/>
          <w:color w:val="000000" w:themeColor="text1"/>
          <w:sz w:val="16"/>
          <w:szCs w:val="16"/>
        </w:rPr>
        <w:softHyphen/>
        <w:t>тания продолжил новый ведущий лет</w:t>
      </w:r>
      <w:r w:rsidRPr="00070ADE">
        <w:rPr>
          <w:rFonts w:ascii="Times New Roman" w:hAnsi="Times New Roman"/>
          <w:color w:val="000000" w:themeColor="text1"/>
          <w:sz w:val="16"/>
          <w:szCs w:val="16"/>
        </w:rPr>
        <w:softHyphen/>
        <w:t>чик - Ю.А. Антипов. Поскольку вновь про</w:t>
      </w:r>
      <w:r w:rsidRPr="00070ADE">
        <w:rPr>
          <w:rFonts w:ascii="Times New Roman" w:hAnsi="Times New Roman"/>
          <w:color w:val="000000" w:themeColor="text1"/>
          <w:sz w:val="16"/>
          <w:szCs w:val="16"/>
        </w:rPr>
        <w:softHyphen/>
        <w:t>явились дефекты силовой установки, ему предстояло провести ее углубленные ис</w:t>
      </w:r>
      <w:r w:rsidRPr="00070ADE">
        <w:rPr>
          <w:rFonts w:ascii="Times New Roman" w:hAnsi="Times New Roman"/>
          <w:color w:val="000000" w:themeColor="text1"/>
          <w:sz w:val="16"/>
          <w:szCs w:val="16"/>
        </w:rPr>
        <w:softHyphen/>
        <w:t>пытания, но параллельно надо было про</w:t>
      </w:r>
      <w:r w:rsidRPr="00070ADE">
        <w:rPr>
          <w:rFonts w:ascii="Times New Roman" w:hAnsi="Times New Roman"/>
          <w:color w:val="000000" w:themeColor="text1"/>
          <w:sz w:val="16"/>
          <w:szCs w:val="16"/>
        </w:rPr>
        <w:softHyphen/>
        <w:t>верить и различные варианты воздушных винтов - исходный АВ-5Л-126А и спро</w:t>
      </w:r>
      <w:r w:rsidRPr="00070ADE">
        <w:rPr>
          <w:rFonts w:ascii="Times New Roman" w:hAnsi="Times New Roman"/>
          <w:color w:val="000000" w:themeColor="text1"/>
          <w:sz w:val="16"/>
          <w:szCs w:val="16"/>
        </w:rPr>
        <w:softHyphen/>
        <w:t>ектированный под моторы В.Я. Климова ВИШ-105Л-10 (23398).</w:t>
      </w:r>
    </w:p>
    <w:p w14:paraId="46789F42" w14:textId="77777777" w:rsidR="006D5302" w:rsidRPr="00070ADE" w:rsidRDefault="006D5302" w:rsidP="00B56F90">
      <w:pPr>
        <w:spacing w:after="0" w:line="240" w:lineRule="auto"/>
        <w:jc w:val="both"/>
        <w:rPr>
          <w:rFonts w:ascii="Times New Roman" w:hAnsi="Times New Roman"/>
          <w:color w:val="000000" w:themeColor="text1"/>
          <w:sz w:val="16"/>
          <w:szCs w:val="16"/>
        </w:rPr>
      </w:pPr>
    </w:p>
    <w:p w14:paraId="282DC3CB" w14:textId="77777777" w:rsidR="00B246E7" w:rsidRPr="00C94B78" w:rsidRDefault="00B246E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8 марта 1944 г. в ходе госиспытаний И-231 с новым винтом АВ-5Л-126Е самолет снова был поломан. П.М. Стефановский, пилотировавший МиГ, обнару</w:t>
      </w:r>
      <w:r w:rsidRPr="00C94B78">
        <w:rPr>
          <w:rFonts w:ascii="Times New Roman" w:hAnsi="Times New Roman"/>
          <w:color w:val="0070C0"/>
          <w:sz w:val="16"/>
          <w:szCs w:val="16"/>
        </w:rPr>
        <w:softHyphen/>
        <w:t>жил, что не выходят закрылки. Это было не самое страш</w:t>
      </w:r>
      <w:r w:rsidRPr="00C94B78">
        <w:rPr>
          <w:rFonts w:ascii="Times New Roman" w:hAnsi="Times New Roman"/>
          <w:color w:val="0070C0"/>
          <w:sz w:val="16"/>
          <w:szCs w:val="16"/>
        </w:rPr>
        <w:softHyphen/>
        <w:t>ное, поскольку взлетно-посадочная полоса аэродрома Чкаловская имела достаточную длину и у самолета име</w:t>
      </w:r>
      <w:r w:rsidRPr="00C94B78">
        <w:rPr>
          <w:rFonts w:ascii="Times New Roman" w:hAnsi="Times New Roman"/>
          <w:color w:val="0070C0"/>
          <w:sz w:val="16"/>
          <w:szCs w:val="16"/>
        </w:rPr>
        <w:softHyphen/>
        <w:t>лись тормоза. Но после касания выяснилось, что и они не работают, поскольку были связаны с одной пневмосисте</w:t>
      </w:r>
      <w:r w:rsidRPr="00C94B78">
        <w:rPr>
          <w:rFonts w:ascii="Times New Roman" w:hAnsi="Times New Roman"/>
          <w:color w:val="0070C0"/>
          <w:sz w:val="16"/>
          <w:szCs w:val="16"/>
        </w:rPr>
        <w:softHyphen/>
        <w:t>мой. Проскочив полосу, самолет врезался в сугроб и скапо</w:t>
      </w:r>
      <w:r w:rsidRPr="00C94B78">
        <w:rPr>
          <w:rFonts w:ascii="Times New Roman" w:hAnsi="Times New Roman"/>
          <w:color w:val="0070C0"/>
          <w:sz w:val="16"/>
          <w:szCs w:val="16"/>
        </w:rPr>
        <w:softHyphen/>
        <w:t>тировал... Сколько таких посадок было у Петра Михайло</w:t>
      </w:r>
      <w:r w:rsidRPr="00C94B78">
        <w:rPr>
          <w:rFonts w:ascii="Times New Roman" w:hAnsi="Times New Roman"/>
          <w:color w:val="0070C0"/>
          <w:sz w:val="16"/>
          <w:szCs w:val="16"/>
        </w:rPr>
        <w:softHyphen/>
        <w:t>вича, и каждый раз ангел-хранитель выносил его из, каза</w:t>
      </w:r>
      <w:r w:rsidRPr="00C94B78">
        <w:rPr>
          <w:rFonts w:ascii="Times New Roman" w:hAnsi="Times New Roman"/>
          <w:color w:val="0070C0"/>
          <w:sz w:val="16"/>
          <w:szCs w:val="16"/>
        </w:rPr>
        <w:softHyphen/>
        <w:t>лось бы, фатальных ситуаций, хорошо описанных в его воспоминаниях «Триста неизвестных».</w:t>
      </w:r>
    </w:p>
    <w:p w14:paraId="7EBD073A" w14:textId="77777777" w:rsidR="00B246E7" w:rsidRPr="00C94B78" w:rsidRDefault="00B246E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Очередной ремонт самолета затянулся почти до середи</w:t>
      </w:r>
      <w:r w:rsidRPr="00C94B78">
        <w:rPr>
          <w:rFonts w:ascii="Times New Roman" w:hAnsi="Times New Roman"/>
          <w:color w:val="0070C0"/>
          <w:sz w:val="16"/>
          <w:szCs w:val="16"/>
        </w:rPr>
        <w:softHyphen/>
        <w:t>ны мая, но и на этот раз ему не повезло. В полете 19 мая от</w:t>
      </w:r>
      <w:r w:rsidRPr="00C94B78">
        <w:rPr>
          <w:rFonts w:ascii="Times New Roman" w:hAnsi="Times New Roman"/>
          <w:color w:val="0070C0"/>
          <w:sz w:val="16"/>
          <w:szCs w:val="16"/>
        </w:rPr>
        <w:softHyphen/>
        <w:t>казал двигатель, а другого не нашлось, и дальнейшие рабо</w:t>
      </w:r>
      <w:r w:rsidRPr="00C94B78">
        <w:rPr>
          <w:rFonts w:ascii="Times New Roman" w:hAnsi="Times New Roman"/>
          <w:color w:val="0070C0"/>
          <w:sz w:val="16"/>
          <w:szCs w:val="16"/>
        </w:rPr>
        <w:softHyphen/>
        <w:t>ты по И-231 прекратили (25030).</w:t>
      </w:r>
    </w:p>
    <w:p w14:paraId="34CB3D06" w14:textId="77777777" w:rsidR="00B246E7" w:rsidRPr="00C94B78" w:rsidRDefault="00B246E7" w:rsidP="00B56F90">
      <w:pPr>
        <w:spacing w:after="0" w:line="240" w:lineRule="auto"/>
        <w:jc w:val="both"/>
        <w:rPr>
          <w:rFonts w:ascii="Times New Roman" w:hAnsi="Times New Roman"/>
          <w:color w:val="0070C0"/>
          <w:sz w:val="16"/>
          <w:szCs w:val="16"/>
        </w:rPr>
      </w:pPr>
    </w:p>
    <w:p w14:paraId="1C828F5B" w14:textId="77777777" w:rsidR="006D5302" w:rsidRPr="00070ADE" w:rsidRDefault="006D530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w:t>
      </w:r>
      <w:r w:rsidRPr="00070ADE">
        <w:rPr>
          <w:rFonts w:ascii="Times New Roman" w:hAnsi="Times New Roman"/>
          <w:color w:val="000000" w:themeColor="text1"/>
          <w:sz w:val="16"/>
          <w:szCs w:val="16"/>
        </w:rPr>
        <w:softHyphen/>
        <w:t>та 1944 года И-220 завели в цех для установки серий</w:t>
      </w:r>
      <w:r w:rsidRPr="00070ADE">
        <w:rPr>
          <w:rFonts w:ascii="Times New Roman" w:hAnsi="Times New Roman"/>
          <w:color w:val="000000" w:themeColor="text1"/>
          <w:sz w:val="16"/>
          <w:szCs w:val="16"/>
        </w:rPr>
        <w:softHyphen/>
        <w:t>ного мотора АМ-39 (23379).</w:t>
      </w:r>
    </w:p>
    <w:p w14:paraId="57C24A82" w14:textId="77777777" w:rsidR="006D5302" w:rsidRPr="00070ADE" w:rsidRDefault="006D5302" w:rsidP="00B56F90">
      <w:pPr>
        <w:spacing w:after="0" w:line="240" w:lineRule="auto"/>
        <w:jc w:val="both"/>
        <w:rPr>
          <w:rFonts w:ascii="Times New Roman" w:hAnsi="Times New Roman"/>
          <w:color w:val="000000" w:themeColor="text1"/>
          <w:sz w:val="16"/>
          <w:szCs w:val="16"/>
        </w:rPr>
      </w:pPr>
    </w:p>
    <w:p w14:paraId="0AFC1219" w14:textId="77777777" w:rsidR="00B246E7" w:rsidRPr="00C94B78" w:rsidRDefault="00B246E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8 марта 1944 г. И-220 №01 завели в цех для установки серийного мотора АМ-39.</w:t>
      </w:r>
    </w:p>
    <w:p w14:paraId="034EF991" w14:textId="77777777" w:rsidR="00B246E7" w:rsidRPr="00C94B78" w:rsidRDefault="00B246E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10 мая машину передали для проведения дополнительных заводских испытаний с целью проверки и доводки ВМГ, а также для определения летных данных после установки серийного мотора АМ-39 №45302 (25230).</w:t>
      </w:r>
    </w:p>
    <w:p w14:paraId="07C8D0CC" w14:textId="77777777" w:rsidR="00B246E7" w:rsidRPr="00C94B78" w:rsidRDefault="00B246E7" w:rsidP="00B56F90">
      <w:pPr>
        <w:spacing w:after="0" w:line="240" w:lineRule="auto"/>
        <w:jc w:val="both"/>
        <w:rPr>
          <w:rFonts w:ascii="Times New Roman" w:hAnsi="Times New Roman"/>
          <w:color w:val="0070C0"/>
          <w:sz w:val="16"/>
          <w:szCs w:val="16"/>
        </w:rPr>
      </w:pPr>
    </w:p>
    <w:p w14:paraId="0F37A4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8 марта 1944, после ремонта модернизированного Ла-5 продолжились его гос. испытания. Когда большая часть программы была отработана, из-за производственного дефекта (плохая склейка) в воздухе разрушился 12-й шпангоут фюзеляжа, Кубышкин вновь сумел посадить поврежденный самолет. В отчете по испытаниям майор </w:t>
      </w:r>
      <w:r w:rsidRPr="00070ADE">
        <w:rPr>
          <w:rFonts w:ascii="Times New Roman" w:hAnsi="Times New Roman"/>
          <w:color w:val="000000" w:themeColor="text1"/>
          <w:sz w:val="16"/>
          <w:szCs w:val="16"/>
        </w:rPr>
        <w:lastRenderedPageBreak/>
        <w:t>Кубышкин отметил, что значительно увеличилась горизонтальная скорость и скороподъемность, максимальная скорость достигла значения 680 км/ч на высоте 6250 м - лучший результат среди всех отечественных истребителей того времени. В то же время он указал и на недостатки "эталона 1944 г." - жара в кабине (+40-50° С), скапливание в кабине конденсата влаги, велики усилия на педалях, не предусмотрено быстрое покидание машины, отсутствует автоматика управления винто-моторной группой. Вывод Кубышкин сделал следующий: "Самолет по своим летным данным является одним из лучших истребителей. Необходимо форсировать серийную постройку с одновременным устранением вышеуказанных недостатков." (4707).</w:t>
      </w:r>
    </w:p>
    <w:p w14:paraId="64BB1D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5C12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возобновились полеты Ла-5ФН “эталон 1944”. А 22 марта из-за заводского брака (плохой склейки) на рулении разрушился 12-й шпангоут. Но основная программа испытаний к этому времени уже была отработана.</w:t>
      </w:r>
    </w:p>
    <w:p w14:paraId="5C429F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мнению Кубышкина, управлять самолётом стало легче, и решили, что такое состояние вполне приемлемо, за исключением руля поворота, нагрузки от которого заметно ощущались при изменении режима работы мотора. Из- за отсутствия триммера на этом руле лётчику приходилось прикладывать значительные усилия, чтобы на взлёте удержать истребитель от разворота. Температура в кабине, доходившая позднее в жару до 40°С, приносила, конечно, пилоту неудобства. Из-за плохой вентиляции в кабине постоянно чувствовалось присутствие отработанных газов и запах горелой резины. Но в целом самолёт по своим данным мог считаться одним из лучших истребителей своего времени.</w:t>
      </w:r>
    </w:p>
    <w:p w14:paraId="02EAC7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выводах отчёта по государственным испытаниям отмечалось: "Модифицированный самолёт Ла-5 эталон 1944 г.... по максимальной скорости, скороподъёмности стоит на уровне лучших современных истребительных самолётов, находящихся на вооружении ВВС КА и иностранных государств". Специалисты НИИ ВВС знали, что говорили, - ведь через их руки проходили не только советские боевые машины, но и трофейные немецкие, а также самолёты, поступавшие из Великобритании и США.</w:t>
      </w:r>
    </w:p>
    <w:p w14:paraId="03EBCE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заключении того же отчёта было записано: "Заданные постановлением ГКО № 5404 от 15 марта 1944 г. для улучшенного Ла-5 максимальная скорость 685 км/ч на высоте 6000 м и полётный вес 3250 кг... практически достигнуты. Рекомендовать в серийное производство самолёт Ла-5 эталон 1944 г. (Ла-7), как имеющий значительные преимущества в лётных данных над... Ла-5, с устранением отмеченных дефектов. Так как на самолёте... установлены опытные пушки УБ-20, испытания которых не закончены в НИИ АВ ВВС, считать целесообразным выпускать самолёты с серийным вооружением, т.е. две пушки СП-20 с боезапасом 340 патронов" (11986).</w:t>
      </w:r>
    </w:p>
    <w:p w14:paraId="086B55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AF1FE00" w14:textId="77777777" w:rsidR="00B246E7" w:rsidRPr="00C94B78" w:rsidRDefault="00B246E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8 марта 1944 г. после ремонта возобновились испытания Ла-5 «эталон 1944 г.». Когда большая часть программы была отработана, из-за производственного дефекта (плохая склейка) в воздухе разрушился 12-й шпангоут фюзеляжа, Кубышкин вновь сумел посадить поврежденный самолет. К этому времени уже был готов прототип «эталона 1944 г.» № 2, на котором и завершили Государственные испытания, выполнив всего девять полетов вместо 44 запланированных; в частности, не проводился отстрел оружия — трех пушек Б-20. Интересный факт — параллельно с работой по Ла-5 «эталону 1944 г.» инженерам КБ Лавочкина удалось поднять максимальную скорость Ла-5ФН до 685 км/ч.</w:t>
      </w:r>
    </w:p>
    <w:p w14:paraId="50AA0BAF" w14:textId="77777777" w:rsidR="00B246E7" w:rsidRPr="00C94B78" w:rsidRDefault="00B246E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заключении по Государственным испытаниям «эталона 1944 г.» говорилось:</w:t>
      </w:r>
    </w:p>
    <w:p w14:paraId="268F0F91" w14:textId="77777777" w:rsidR="00B246E7" w:rsidRPr="00C94B78" w:rsidRDefault="00B246E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Характеристики скорости и скороподъемности можно оценить как «стандартные», несколько превосходящие аналогичные показателя истребителя Ла-5ФН. Максимальная скорость на высоте 6000 м составила 680 км/ч. Управление элеронами и рулем высоты — не требует особых усилий и не нуждается в дальнейших доработках. Фонарь обеспечивает прекрасный круговой обзор из кабины. Маневренные и взлетно-посадочные характеристики самолета полностью удовлетворяют требованиям.</w:t>
      </w:r>
    </w:p>
    <w:p w14:paraId="59550318" w14:textId="77777777" w:rsidR="00B246E7" w:rsidRPr="00C94B78" w:rsidRDefault="00B246E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За полученные результаты пришлось заплатить немалую цену. Из-за переноса маслорадиатора под фюзеляж, маслопроводы пришлось провести непосредственно под ногами летчика, из-за чего нормальная температура в кабине зимой была +40 град С, а летом — повышалась до +55 град. С. Учитывая, что в кабину пробивались выхлопные газы двигателя, а на стеклах фонаря образовывался конденсат, вполне можно сравнить кабину «эталона» с сауной. Кроме того, отмечался слишком тугой ход педалей руля направления и недостаточная отработанность механизма аварийного сброса фонаря кабины.</w:t>
      </w:r>
    </w:p>
    <w:p w14:paraId="2D648C42" w14:textId="77777777" w:rsidR="00B246E7" w:rsidRPr="00C94B78" w:rsidRDefault="00B246E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отчете майор Кубышкин отметил, что значительно увеличилась горизонтальная скорость и скороподъемность, максимальная скорость достигла значения 680 км/ч на высоте 6250 м — лучший результат среди всех отечественных истребителей того времени. В то же время он указал и на недостатки «эталона 1944 г.» — жара в кабине (+40–50 град. С), скапливание в кабине конденсата влаги, велики усилия на педалях, не предусмотрено быстрое покидание машины, отсутствует автоматика управления винто-моторной группой. Вывод Кубышкин сделал следующий: «Самолет по своим летным данным является одним из лучших истребителей. Необходимо форсировать серийную постройку с одновременным устранением вышеуказанных недостатков». Не все из этих рекомендаций были учтены на серийных истребителях (25058).</w:t>
      </w:r>
    </w:p>
    <w:p w14:paraId="05657FF8" w14:textId="77777777" w:rsidR="00B246E7" w:rsidRPr="00C94B78" w:rsidRDefault="00B246E7" w:rsidP="00B56F90">
      <w:pPr>
        <w:spacing w:after="0" w:line="240" w:lineRule="auto"/>
        <w:jc w:val="both"/>
        <w:rPr>
          <w:rFonts w:ascii="Times New Roman" w:hAnsi="Times New Roman"/>
          <w:color w:val="0070C0"/>
          <w:sz w:val="16"/>
          <w:szCs w:val="16"/>
        </w:rPr>
      </w:pPr>
    </w:p>
    <w:p w14:paraId="18C719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первый серийный Як-3 N 06-01 выполнил 10-минутный полет с выпущенным шасси (65,172).</w:t>
      </w:r>
    </w:p>
    <w:p w14:paraId="293CD3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9A4BCB"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8 марта</w:t>
      </w:r>
      <w:r w:rsidRPr="00070ADE">
        <w:rPr>
          <w:rFonts w:ascii="Times New Roman" w:hAnsi="Times New Roman"/>
          <w:color w:val="000000" w:themeColor="text1"/>
          <w:sz w:val="16"/>
          <w:szCs w:val="16"/>
        </w:rPr>
        <w:t xml:space="preserve"> в 1944 году состоялся первый полет серийного истребителя </w:t>
      </w:r>
      <w:hyperlink r:id="rId72" w:tgtFrame="_blank" w:history="1">
        <w:r w:rsidRPr="00070ADE">
          <w:rPr>
            <w:rFonts w:ascii="Times New Roman" w:hAnsi="Times New Roman"/>
            <w:color w:val="000000" w:themeColor="text1"/>
            <w:sz w:val="16"/>
            <w:szCs w:val="16"/>
          </w:rPr>
          <w:t xml:space="preserve">«Як-3» </w:t>
        </w:r>
      </w:hyperlink>
      <w:r w:rsidRPr="00070ADE">
        <w:rPr>
          <w:rFonts w:ascii="Times New Roman" w:hAnsi="Times New Roman"/>
          <w:color w:val="000000" w:themeColor="text1"/>
          <w:sz w:val="16"/>
          <w:szCs w:val="16"/>
        </w:rPr>
        <w:t>с двигателем «ВК-105ПФ2» (15062).</w:t>
      </w:r>
    </w:p>
    <w:p w14:paraId="435A5C6C" w14:textId="77777777" w:rsidR="000511D8" w:rsidRPr="00070ADE" w:rsidRDefault="000511D8" w:rsidP="00B56F90">
      <w:pPr>
        <w:spacing w:after="0" w:line="240" w:lineRule="auto"/>
        <w:jc w:val="both"/>
        <w:rPr>
          <w:rFonts w:ascii="Times New Roman" w:hAnsi="Times New Roman"/>
          <w:color w:val="000000" w:themeColor="text1"/>
          <w:sz w:val="16"/>
          <w:szCs w:val="16"/>
        </w:rPr>
      </w:pPr>
    </w:p>
    <w:p w14:paraId="3C871CBB" w14:textId="77777777" w:rsidR="00750752" w:rsidRPr="00070ADE" w:rsidRDefault="0075075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8 марта 1944 г.</w:t>
      </w:r>
    </w:p>
    <w:p w14:paraId="26660448" w14:textId="77777777" w:rsidR="00750752" w:rsidRPr="00070ADE" w:rsidRDefault="0075075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Докладная записка2 заместителя начальника</w:t>
      </w:r>
    </w:p>
    <w:p w14:paraId="32BF0989" w14:textId="77777777" w:rsidR="00750752" w:rsidRPr="00070ADE" w:rsidRDefault="0075075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10-го Главного управления НКАП Б.Н. Тарасевича</w:t>
      </w:r>
    </w:p>
    <w:p w14:paraId="65DD9C44" w14:textId="77777777" w:rsidR="00750752" w:rsidRPr="00070ADE" w:rsidRDefault="0075075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заместителю наркома и начальнику 8-го Главного управления</w:t>
      </w:r>
    </w:p>
    <w:p w14:paraId="01C0D232" w14:textId="77777777" w:rsidR="00750752" w:rsidRPr="00070ADE" w:rsidRDefault="0075075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НКАП В.П. Кузнецову и заместителю начальника</w:t>
      </w:r>
    </w:p>
    <w:p w14:paraId="5D4C7472" w14:textId="77777777" w:rsidR="00750752" w:rsidRPr="00070ADE" w:rsidRDefault="0075075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3-го Главного управления НКАП М.Н. Степину</w:t>
      </w:r>
    </w:p>
    <w:p w14:paraId="591C20AB" w14:textId="77777777" w:rsidR="00750752" w:rsidRPr="00070ADE" w:rsidRDefault="0075075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г. Москва 8 марта 1944 г.</w:t>
      </w:r>
    </w:p>
    <w:p w14:paraId="271E1624" w14:textId="77777777" w:rsidR="00750752" w:rsidRPr="00070ADE" w:rsidRDefault="0075075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секретно</w:t>
      </w:r>
    </w:p>
    <w:p w14:paraId="48442AA2" w14:textId="77777777" w:rsidR="00750752" w:rsidRPr="00070ADE" w:rsidRDefault="0075075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Для обеспечения выполнения плана строительства и выпуска в текущем году опытных гидросамолетов ЛЛ-143 конструкции тов. Бериева прошу Вашего указания заводу № 19 отгрузить заводу № 477 (г. Красноярск) 6 штук моторов М-71ф редукции 9:16 в следующие сроки: два мотора – в апреле, два мотора – в июле и два мотора – в сентябре 1944 года.</w:t>
      </w:r>
    </w:p>
    <w:p w14:paraId="7A247498" w14:textId="77777777" w:rsidR="00750752" w:rsidRPr="00070ADE" w:rsidRDefault="0075075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Моторы д[олжны] б[ыть] укомплектованы генераторами ГС-1000с РК-32-1000, бензонасосами БНК-10, регуляторами оборотов винта Р-7, маслонасосами для автопилотов МК-1 или МШ-3, вакуумнасосами АК-4 и компрессорами АК-50.</w:t>
      </w:r>
    </w:p>
    <w:p w14:paraId="6399F310" w14:textId="77777777" w:rsidR="00750752" w:rsidRPr="00070ADE" w:rsidRDefault="0075075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Об отгрузке моторов прошу сообщить.</w:t>
      </w:r>
    </w:p>
    <w:p w14:paraId="240E92CB" w14:textId="77777777" w:rsidR="00750752" w:rsidRPr="00070ADE" w:rsidRDefault="0075075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Зам[еститель] начальника</w:t>
      </w:r>
    </w:p>
    <w:p w14:paraId="5E223163" w14:textId="77777777" w:rsidR="00750752" w:rsidRPr="00070ADE" w:rsidRDefault="0075075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10-го Главного управления подпись Тарасевич</w:t>
      </w:r>
    </w:p>
    <w:p w14:paraId="60CD9348" w14:textId="77777777" w:rsidR="00750752" w:rsidRPr="00070ADE" w:rsidRDefault="0075075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1 Подпись отсутствует</w:t>
      </w:r>
    </w:p>
    <w:p w14:paraId="499815B6" w14:textId="77777777" w:rsidR="00750752" w:rsidRPr="00070ADE" w:rsidRDefault="0075075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2 Название документа: «По вопросу поставки моторов М-71ф». Копия</w:t>
      </w:r>
    </w:p>
    <w:p w14:paraId="6A85B7D0" w14:textId="77777777" w:rsidR="00750752" w:rsidRPr="00070ADE" w:rsidRDefault="0075075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документа направлена директору завода № 477 И.Я. Рехтману</w:t>
      </w:r>
    </w:p>
    <w:p w14:paraId="26E99875" w14:textId="77777777" w:rsidR="00750752" w:rsidRPr="00070ADE" w:rsidRDefault="0075075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КГКУ «ГАКК». Ф.Р-1341. Оп. 4. Д. 126. Л. 42. Подлинник. Машинопись (19799).</w:t>
      </w:r>
    </w:p>
    <w:p w14:paraId="6A8A7793" w14:textId="77777777" w:rsidR="00750752" w:rsidRPr="00070ADE" w:rsidRDefault="00750752"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55086AF9" w14:textId="77777777" w:rsidR="00B3265C" w:rsidRPr="00070ADE" w:rsidRDefault="00B3265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г.</w:t>
      </w:r>
    </w:p>
    <w:p w14:paraId="3EFCB00B" w14:textId="77777777" w:rsidR="00B3265C" w:rsidRPr="00070ADE" w:rsidRDefault="00B3265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Докладная записка заместителя начальника 10-го Главного управления НКАП Б.Н. Тарасевича заместителю наркома и начальнику 8-го Главного управления НКАП В.П. Кузнецову и заместителю начальника 3-го Главного управления НКАП М.Н. Степину</w:t>
      </w:r>
    </w:p>
    <w:p w14:paraId="7EFA6AD0" w14:textId="77777777" w:rsidR="00B3265C" w:rsidRPr="00070ADE" w:rsidRDefault="00B3265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Москва</w:t>
      </w:r>
      <w:r w:rsidRPr="00070ADE">
        <w:rPr>
          <w:rFonts w:ascii="Times New Roman" w:hAnsi="Times New Roman"/>
          <w:color w:val="000000" w:themeColor="text1"/>
          <w:sz w:val="16"/>
          <w:szCs w:val="16"/>
        </w:rPr>
        <w:tab/>
        <w:t>8 марта 1944 г.</w:t>
      </w:r>
    </w:p>
    <w:p w14:paraId="67E09F14" w14:textId="77777777" w:rsidR="00B3265C" w:rsidRPr="00070ADE" w:rsidRDefault="00B3265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секретно</w:t>
      </w:r>
    </w:p>
    <w:p w14:paraId="2F43A34D" w14:textId="77777777" w:rsidR="00B3265C" w:rsidRPr="00070ADE" w:rsidRDefault="00B3265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обеспечения выполнения плана строительства и выпуска в текущем году опытных гидросамолетов ЛЛ-143 конструкции тов. Бериева прошу Вашего указания заводу № 19 отгрузить заводу № 477 (г. Красноярск) 6 штук моторов М-71ф редукции 9:16 в следующие сроки: два мотора - в апреле, два мотора - в июле и два мотора - в сентябре 1944 года.</w:t>
      </w:r>
    </w:p>
    <w:p w14:paraId="50DC7D10" w14:textId="77777777" w:rsidR="00B3265C" w:rsidRPr="00070ADE" w:rsidRDefault="00B3265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Моторы д[олжны] б[ыть] укомплектованы генераторами ГС-1000с РК-32-1000, бензонасосами БНК-10, регуляторами оборотов винта Р-7, маслонасосами для автопилотов МК-1 или МШ-3, вакуумнасосами АК-4 и компрессорами АК-50.</w:t>
      </w:r>
    </w:p>
    <w:p w14:paraId="35B6C294" w14:textId="77777777" w:rsidR="00B3265C" w:rsidRPr="00070ADE" w:rsidRDefault="00B3265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 отгрузке моторов прошу сообщить.</w:t>
      </w:r>
    </w:p>
    <w:p w14:paraId="3F537398" w14:textId="77777777" w:rsidR="00B3265C" w:rsidRPr="00070ADE" w:rsidRDefault="00B3265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начальника</w:t>
      </w:r>
    </w:p>
    <w:p w14:paraId="7F866129" w14:textId="77777777" w:rsidR="00B3265C" w:rsidRPr="00070ADE" w:rsidRDefault="00B3265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10-го Главного управления</w:t>
      </w:r>
      <w:r w:rsidRPr="00070ADE">
        <w:rPr>
          <w:rFonts w:ascii="Times New Roman" w:hAnsi="Times New Roman"/>
          <w:color w:val="000000" w:themeColor="text1"/>
          <w:sz w:val="16"/>
          <w:szCs w:val="16"/>
        </w:rPr>
        <w:tab/>
        <w:t>подпись</w:t>
      </w:r>
      <w:r w:rsidRPr="00070ADE">
        <w:rPr>
          <w:rFonts w:ascii="Times New Roman" w:hAnsi="Times New Roman"/>
          <w:color w:val="000000" w:themeColor="text1"/>
          <w:sz w:val="16"/>
          <w:szCs w:val="16"/>
        </w:rPr>
        <w:tab/>
        <w:t>Тарасевич</w:t>
      </w:r>
    </w:p>
    <w:p w14:paraId="614A6504" w14:textId="77777777" w:rsidR="00B3265C" w:rsidRPr="00070ADE" w:rsidRDefault="00B3265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КГКУ «ГАКК». Ф.Р-1341. Оп. 4. Д. 126. Л. 42. Подлинник. Машинопись (20602).</w:t>
      </w:r>
    </w:p>
    <w:p w14:paraId="7E1245DB" w14:textId="77777777" w:rsidR="00B3265C" w:rsidRPr="00070ADE" w:rsidRDefault="00B3265C" w:rsidP="00B56F90">
      <w:pPr>
        <w:spacing w:after="0" w:line="240" w:lineRule="auto"/>
        <w:jc w:val="both"/>
        <w:rPr>
          <w:rFonts w:ascii="Times New Roman" w:hAnsi="Times New Roman"/>
          <w:color w:val="000000" w:themeColor="text1"/>
          <w:sz w:val="16"/>
          <w:szCs w:val="16"/>
        </w:rPr>
      </w:pPr>
    </w:p>
    <w:p w14:paraId="5D1A2F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вышел приказ НКАП N 167 "О введении новых названий авиационных моторов" в исполнение постановления ГКО (902,58).</w:t>
      </w:r>
    </w:p>
    <w:p w14:paraId="50A2C6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ADA1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вышел приказ НКАП № 167, которым в исполнение постановления ГКО вводилась новая система наименований авиадвигателей с присвоением инициалов главных конструкторов. М-82 стал АШ-82, а Микулинский моторы и так были АМ (65,7).</w:t>
      </w:r>
    </w:p>
    <w:p w14:paraId="130F5D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исполнение постановления ГКО оо введении новых названий авиационных моторов с присвоением моторам имен ГК.</w:t>
      </w:r>
    </w:p>
    <w:p w14:paraId="4F7C33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Впредь моторы именовать: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1843"/>
      </w:tblGrid>
      <w:tr w:rsidR="004D4663" w:rsidRPr="00070ADE" w14:paraId="09A79394" w14:textId="77777777">
        <w:tc>
          <w:tcPr>
            <w:tcW w:w="1242" w:type="dxa"/>
            <w:tcBorders>
              <w:top w:val="single" w:sz="12" w:space="0" w:color="auto"/>
            </w:tcBorders>
          </w:tcPr>
          <w:p w14:paraId="6ADF53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ВК-105ПФ</w:t>
            </w:r>
          </w:p>
        </w:tc>
        <w:tc>
          <w:tcPr>
            <w:tcW w:w="1843" w:type="dxa"/>
            <w:tcBorders>
              <w:top w:val="single" w:sz="12" w:space="0" w:color="auto"/>
            </w:tcBorders>
          </w:tcPr>
          <w:p w14:paraId="148692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(Владимир Климов)</w:t>
            </w:r>
          </w:p>
        </w:tc>
      </w:tr>
      <w:tr w:rsidR="004D4663" w:rsidRPr="00070ADE" w14:paraId="14EAC6EF" w14:textId="77777777">
        <w:tc>
          <w:tcPr>
            <w:tcW w:w="1242" w:type="dxa"/>
          </w:tcPr>
          <w:p w14:paraId="7CD555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ВК-107А</w:t>
            </w:r>
          </w:p>
        </w:tc>
        <w:tc>
          <w:tcPr>
            <w:tcW w:w="1843" w:type="dxa"/>
          </w:tcPr>
          <w:p w14:paraId="1F2CCE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(Владимир Климов)</w:t>
            </w:r>
          </w:p>
        </w:tc>
      </w:tr>
      <w:tr w:rsidR="004D4663" w:rsidRPr="00070ADE" w14:paraId="479C5F9B" w14:textId="77777777">
        <w:tc>
          <w:tcPr>
            <w:tcW w:w="1242" w:type="dxa"/>
          </w:tcPr>
          <w:p w14:paraId="0DDE87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АМ-35А</w:t>
            </w:r>
          </w:p>
        </w:tc>
        <w:tc>
          <w:tcPr>
            <w:tcW w:w="1843" w:type="dxa"/>
          </w:tcPr>
          <w:p w14:paraId="2CFB81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(Александр Микулин)</w:t>
            </w:r>
          </w:p>
        </w:tc>
      </w:tr>
      <w:tr w:rsidR="004D4663" w:rsidRPr="00070ADE" w14:paraId="45D1C300" w14:textId="77777777">
        <w:tc>
          <w:tcPr>
            <w:tcW w:w="1242" w:type="dxa"/>
          </w:tcPr>
          <w:p w14:paraId="550CA8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АМ-38Ф</w:t>
            </w:r>
          </w:p>
        </w:tc>
        <w:tc>
          <w:tcPr>
            <w:tcW w:w="1843" w:type="dxa"/>
          </w:tcPr>
          <w:p w14:paraId="619901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(Александр Микулин)</w:t>
            </w:r>
          </w:p>
        </w:tc>
      </w:tr>
      <w:tr w:rsidR="004D4663" w:rsidRPr="00070ADE" w14:paraId="251EDC0B" w14:textId="77777777">
        <w:tc>
          <w:tcPr>
            <w:tcW w:w="1242" w:type="dxa"/>
          </w:tcPr>
          <w:p w14:paraId="1B32AD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АШ-62ИР</w:t>
            </w:r>
          </w:p>
        </w:tc>
        <w:tc>
          <w:tcPr>
            <w:tcW w:w="1843" w:type="dxa"/>
          </w:tcPr>
          <w:p w14:paraId="022A20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(Аркадий Швецов)</w:t>
            </w:r>
          </w:p>
        </w:tc>
      </w:tr>
      <w:tr w:rsidR="004D4663" w:rsidRPr="00070ADE" w14:paraId="362939EE" w14:textId="77777777">
        <w:tc>
          <w:tcPr>
            <w:tcW w:w="1242" w:type="dxa"/>
          </w:tcPr>
          <w:p w14:paraId="2BEC4D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АШ-82Ф</w:t>
            </w:r>
          </w:p>
        </w:tc>
        <w:tc>
          <w:tcPr>
            <w:tcW w:w="1843" w:type="dxa"/>
          </w:tcPr>
          <w:p w14:paraId="23740D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(Аркадий Швецов)</w:t>
            </w:r>
          </w:p>
        </w:tc>
      </w:tr>
      <w:tr w:rsidR="004D4663" w:rsidRPr="00070ADE" w14:paraId="1AFAADD4" w14:textId="77777777">
        <w:tc>
          <w:tcPr>
            <w:tcW w:w="1242" w:type="dxa"/>
          </w:tcPr>
          <w:p w14:paraId="66A032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АШ-82ФН</w:t>
            </w:r>
          </w:p>
        </w:tc>
        <w:tc>
          <w:tcPr>
            <w:tcW w:w="1843" w:type="dxa"/>
          </w:tcPr>
          <w:p w14:paraId="2AAF1D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(Аркадий Швецов)</w:t>
            </w:r>
          </w:p>
        </w:tc>
      </w:tr>
      <w:tr w:rsidR="004D4663" w:rsidRPr="00070ADE" w14:paraId="62C27645" w14:textId="77777777">
        <w:tc>
          <w:tcPr>
            <w:tcW w:w="1242" w:type="dxa"/>
            <w:tcBorders>
              <w:bottom w:val="single" w:sz="12" w:space="0" w:color="auto"/>
            </w:tcBorders>
          </w:tcPr>
          <w:p w14:paraId="1DEB6E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АЧ-30Б</w:t>
            </w:r>
          </w:p>
        </w:tc>
        <w:tc>
          <w:tcPr>
            <w:tcW w:w="1843" w:type="dxa"/>
            <w:tcBorders>
              <w:bottom w:val="single" w:sz="12" w:space="0" w:color="auto"/>
            </w:tcBorders>
          </w:tcPr>
          <w:p w14:paraId="6C004E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(Алексей Чаромский)</w:t>
            </w:r>
          </w:p>
        </w:tc>
      </w:tr>
    </w:tbl>
    <w:p w14:paraId="594022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Подписал А.И.Ш. (982,58).</w:t>
      </w:r>
    </w:p>
    <w:p w14:paraId="0C688A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2FA4E3" w14:textId="77777777" w:rsidR="00B246E7" w:rsidRPr="00C94B78" w:rsidRDefault="00B246E7"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 8 марта 1944 г. двигатели Климова стали обозначать его инициалами ВК (25145).</w:t>
      </w:r>
    </w:p>
    <w:p w14:paraId="00D567D1" w14:textId="77777777" w:rsidR="00B246E7" w:rsidRPr="00C94B78" w:rsidRDefault="00B246E7" w:rsidP="00B56F90">
      <w:pPr>
        <w:spacing w:after="0" w:line="240" w:lineRule="auto"/>
        <w:jc w:val="both"/>
        <w:rPr>
          <w:rFonts w:ascii="Times New Roman" w:hAnsi="Times New Roman"/>
          <w:color w:val="0070C0"/>
          <w:sz w:val="16"/>
          <w:szCs w:val="16"/>
        </w:rPr>
      </w:pPr>
    </w:p>
    <w:p w14:paraId="21A36D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года согласно приказа НКАП № 171 в целях увеличения мощности завода № 315 завод № 487 НКАП полностью влился в завод № 315. После слияния завод имел две территории. Территория № 2 (бывш. завод № 487) отделилась от завода № 315 в самостоятельный завод № 476 на основании приказа НКАП № 356 от 30 августа 1945 года.</w:t>
      </w:r>
    </w:p>
    <w:p w14:paraId="159AFA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Москва, угол Нижней Масловки и ул. Расковой, д. 33/34</w:t>
      </w:r>
    </w:p>
    <w:p w14:paraId="757730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1946 году директором завода был Брусникин Г.Д.</w:t>
      </w:r>
    </w:p>
    <w:p w14:paraId="788F09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1947 года по октябрь 1950 года – директор Соломонович И.Д.</w:t>
      </w:r>
    </w:p>
    <w:p w14:paraId="227924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ноября 1950 года по май 1954 года – директор завода Брусникин Г.Д.</w:t>
      </w:r>
    </w:p>
    <w:p w14:paraId="1C7DAA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1954 по 1956 год – директор – Кононенко М.Л. (9605).</w:t>
      </w:r>
    </w:p>
    <w:p w14:paraId="1C05643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E2DF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г. по приказам № 171с и № 206сс от 21.03.1944 г. для расширения производства в состав завода № 315 влит завод № 487 НКАП вместе с ОКБ-487. Его территория числилась как площадка № 2 завода № 315. В 08.1945 г. она была отдана заводу № 476 НКАП (10776).</w:t>
      </w:r>
    </w:p>
    <w:p w14:paraId="3BB6A0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83861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г. по приказам № 171с и № 206сс от 21.03.1944 г. для расширения производства в состав завода № 315 влит завод № 487 НКАП вместе с ОКБ-487. Его территория числилась как площадка № 2 завода № 315. В 08.1945 г. она была отдана заводу № 476 НКАП.</w:t>
      </w:r>
    </w:p>
    <w:p w14:paraId="55F900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карбюраторов.</w:t>
      </w:r>
    </w:p>
    <w:p w14:paraId="4CA7D1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войны выпускал топливную аппаратуру для ТРД (топливные насосы, форсунки, распределители, баростаторы, регуляторы). Принимало участие в программе создания ОК «Буран».</w:t>
      </w:r>
    </w:p>
    <w:p w14:paraId="5D0D17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1.05.1956 г. завод передан в ЗГУ. В соответствии с пост. СМ СССР № 713-342 от 26.06.1957 г. передан в ведение СНХ РСФСР.</w:t>
      </w:r>
    </w:p>
    <w:p w14:paraId="5A479F29" w14:textId="195A8365"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середины 1960-х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проведена реконструкция предприятия: построены сборочно-испытательный комплекс, автоматизированное гальваническое производство; выведено на окраину города заготовительное производство с кузнечно-прессовым, автоматным и заготовительным цехами. С 1969 г. начато освоение программного оборудования, станков с ЧПУ.</w:t>
      </w:r>
    </w:p>
    <w:p w14:paraId="08B1D272" w14:textId="0EC1708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1970-х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на базе ММЗ «Знамя революции» создано ПО, в которое вошли также МЗ «Знамя», Гаврилов-Ямский машиностроительный завод (сначала был филиалом), Алтуфьевский филиал завода (был в 2000 г.). С 1994 г. - ОАО «МПО им. И.И. Румянцева». По решению правительства № 22-р от 9.01.2004 г. и Указу Президента РФ № 1009 от 4.08.2004 г. вошло в число стратегических оборонных предприятий.</w:t>
      </w:r>
    </w:p>
    <w:p w14:paraId="28E31E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(2004 г.): гидравлические системы топливопитания и управления авиационными ГТД; агрегаты и устройства управления ГТД; средства электрогидроавтоматики для управления металлургическим, прессовым, горнорудным оборудованием, дорожно-транспортными и строительными машинами.</w:t>
      </w:r>
    </w:p>
    <w:p w14:paraId="2C07B3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(1.01.2003 г.)- 2217 чел.</w:t>
      </w:r>
    </w:p>
    <w:p w14:paraId="3E6EC17D" w14:textId="503577E4"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(06.1942-43 г.)- А.М. Сильнов, (02(05). 1943 г.-)- А.С. Субботин, И.Д. Соломонович, (11.1945-54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Г.Д. Брусникин (затем- директор завода № 43), Кононенко, Ю.Н. Смирнов, (1963-92 г.)- И.И. Румянцев. Гендиректор (1992-2005 г.-&gt; В.И. Дидилов,</w:t>
      </w:r>
      <w:r w:rsidRPr="00070ADE">
        <w:rPr>
          <w:rFonts w:ascii="Times New Roman" w:hAnsi="Times New Roman"/>
          <w:color w:val="000000" w:themeColor="text1"/>
          <w:sz w:val="16"/>
          <w:szCs w:val="16"/>
          <w:vertAlign w:val="superscript"/>
        </w:rPr>
        <w:t>49</w:t>
      </w:r>
      <w:r w:rsidRPr="00070ADE">
        <w:rPr>
          <w:rFonts w:ascii="Times New Roman" w:hAnsi="Times New Roman"/>
          <w:color w:val="000000" w:themeColor="text1"/>
          <w:sz w:val="16"/>
          <w:szCs w:val="16"/>
        </w:rPr>
        <w:t xml:space="preserve"> (2005 г.-)- Л.М. Халфун.</w:t>
      </w:r>
    </w:p>
    <w:p w14:paraId="3A01B8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(1943 г.)- С.А. Громов, (2002 г.)- А.А. Пискунов.</w:t>
      </w:r>
    </w:p>
    <w:p w14:paraId="6F0EA8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гендиректора по коммерции и ВЭС (2002 г.)- JI.M. Халфун.</w:t>
      </w:r>
      <w:r w:rsidRPr="00070ADE">
        <w:rPr>
          <w:rFonts w:ascii="Times New Roman" w:hAnsi="Times New Roman"/>
          <w:color w:val="000000" w:themeColor="text1"/>
          <w:sz w:val="16"/>
          <w:szCs w:val="16"/>
          <w:vertAlign w:val="superscript"/>
        </w:rPr>
        <w:t>69</w:t>
      </w:r>
    </w:p>
    <w:p w14:paraId="205716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(06.1943-84 г.)- Ф.А. Короткое.</w:t>
      </w:r>
    </w:p>
    <w:p w14:paraId="47F5B7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 карбюраторы:</w:t>
      </w:r>
      <w:r w:rsidRPr="00070ADE">
        <w:rPr>
          <w:rFonts w:ascii="Times New Roman" w:hAnsi="Times New Roman"/>
          <w:color w:val="000000" w:themeColor="text1"/>
          <w:sz w:val="16"/>
          <w:szCs w:val="16"/>
        </w:rPr>
        <w:t xml:space="preserve"> К-38, К-105Ф, -БП для М-105, АК-82БП, АК-90БП для АШ-82, К-107БП для М-107, К-85, К-87, АК-88Б, К-42БП; агрегаты дозировки топлива АДТ-10 для РД-10, АДТ-20 для РД-20; насосы: плунжерные для ВК-1; топливная аппаратура для АЧ-ЗОБ, РД-500, АМ-ЗМ, РД-45Ф, ВК-1, РД-9, НК-12, Р15Б, Д- 436; САР 59А для РД-33 (1978-); 50-мм мины (1942).</w:t>
      </w:r>
    </w:p>
    <w:p w14:paraId="38946893" w14:textId="3343624D"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ОКБ-315-33 НКАП, МАП, ОКБ-315 МАП, ГКАТ, Московское агрегатное КБ (МАКБ) «Темп», НПП «Электронно-гидравлическая автоматика (ЭГА)», АООТ, ОАО «НПП «ЭГА» /127015</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Москва ул. Правды, 23 тел. 685-91-40/</w:t>
      </w:r>
    </w:p>
    <w:p w14:paraId="307CAB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 896с от 19.12.1942 г. на заводе № 315 было образовано ОКБ из местных кадров для создания новых карбюраторов. Гл. конструктором назначен Н. Г. Гладченко (до этого работал на заводе № 20). Далее по приказу № 136с от 8.03.1943 г. ОКБ было укреплено кадрами и оборудованием ОКБ завода № 33 и ОКБ завода № 20 НКАП. Далее на заводе создана база по агрегатам питания авиадвигателей для развития данных работ. Для этого по приказу № 336с от 3.06.1943 г. образовано единое ОКБ-315-33 НКАП на базе ОКБ завода № 33 и ОКБ завода № 315. Гл. конструктором ОКБ и обоих заводов назначен Ф.А. Короткое.</w:t>
      </w:r>
    </w:p>
    <w:p w14:paraId="39CBBD5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помощи серийному производству на заводе № 33 организован филиал ОКБ-315-33 (в 1957 г. филиал преобразован в самостоятельное ОКБ-3 3 МАП).</w:t>
      </w:r>
    </w:p>
    <w:p w14:paraId="582A9D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 280с от 6.07.1945 г. филиал ОКБ завода № 55 при заводе № 315 по агрегатам топливопитания дизелей в полном составе передан в состав ОКБ-315-33 как отдел.</w:t>
      </w:r>
    </w:p>
    <w:p w14:paraId="75E05F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 438с от 8.07.1946 г. в составе ОКБ-315-33 образован КО по аппаратуре топливопитания реактивных двигателей (начальник- Н.И. Макаров).</w:t>
      </w:r>
    </w:p>
    <w:p w14:paraId="3BCBA963" w14:textId="2CD6DEF0"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1945 г. создан первый отечественный карбюратор с непосредственным впрыском ВК-4 для АШ-73ТК. С 1946 г. началась разработка аппаратуры топливопитания для ТРД и ПВРД. В начале 1950-х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начались работы по созданию командно-топливных агрегатов (КТА) для ТВ Д.</w:t>
      </w:r>
    </w:p>
    <w:p w14:paraId="0F2E02A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1957 г. ОКБ-315-33 переименовано в ОКБ-315. В 08.1957 г.- в ведении ЗГУ МАП. В 1963 г. на базе ОКБ-315 вновь создается объединенное ОКБ-315-33 с Пермским филиалом на заводе № 33. С 1967 г. ОКБ-315-33 переименовано в МАКБ «Темп». С 1992(1) г. получило название НПП «Электронно-гидравлической автоматики («ЭГА»). В 2002 г. входит в ММПП «Салют». По Указу Президента РФ № 1009 от 4.08.2004 г. вошло в число стратегических оборонных предприятий.</w:t>
      </w:r>
    </w:p>
    <w:p w14:paraId="732953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1965 г. - разработка многофункциональной системы автоматического регулирования (САР) для Ту-144, в которую, помимо регулирования основного и форсажного контуров, вошли агрегаты регулирования компрессора и соплового аппарата. Принимало участие в программе создания ОК «Буран».</w:t>
      </w:r>
    </w:p>
    <w:p w14:paraId="1380DF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(2002 г.): создание электронных гидравлических, гидромеханических систем питания и регулирования для авиационных и наземных ГТД; плунжерные, центробежные и шестеренные насосы.</w:t>
      </w:r>
    </w:p>
    <w:p w14:paraId="51FAC2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(2002 г.)- 900 чел.</w:t>
      </w:r>
    </w:p>
    <w:p w14:paraId="1C09757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(12.1942 г.-)- Н. Г. Гладченко, А.А. Артемьев, (06.1943-84 г.)- Ф.А. Короткое {24.07.1908-88}, (1984-2004 г.-&gt; В.И. Зазулов, (2004-05 г.-)-А.Л. Аршавский {4.12.1953-}.</w:t>
      </w:r>
    </w:p>
    <w:p w14:paraId="31EBAA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зам. гл. конструктора (2002 г.)- A.JL Аршавский. Зам. гл. конструктора (06.1943 г.-)- Н. Г. Гладченко, (06.1943 г.-)- А.А. Артемьев; по дизельной аппаратуре (07.1945 г.-)- Н.И. Макаров; по аппаратуре ТРД (07.1946 г.-)- Н.И. Макаров; (1974-84 г.)- В.И. Зазулов.</w:t>
      </w:r>
      <w:r w:rsidRPr="00070ADE">
        <w:rPr>
          <w:rFonts w:ascii="Times New Roman" w:hAnsi="Times New Roman"/>
          <w:color w:val="000000" w:themeColor="text1"/>
          <w:sz w:val="16"/>
          <w:szCs w:val="16"/>
          <w:vertAlign w:val="superscript"/>
        </w:rPr>
        <w:t>49</w:t>
      </w:r>
    </w:p>
    <w:p w14:paraId="38EF1B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Ответственный руководитель (1963-84 г.)- Ф.А. Коротков. Директор (1984-93 г.)- В.И. Зазулов. Гендиректор (1993-2004 г.)- В.И. Зазулов, (2004-05 г.-)- А.Л. Аршавский.</w:t>
      </w:r>
    </w:p>
    <w:p w14:paraId="47F2D4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гендиректора (2002 г.)- С.Н. Ломовицкий.</w:t>
      </w:r>
      <w:r w:rsidRPr="00070ADE">
        <w:rPr>
          <w:rFonts w:ascii="Times New Roman" w:hAnsi="Times New Roman"/>
          <w:color w:val="000000" w:themeColor="text1"/>
          <w:sz w:val="16"/>
          <w:szCs w:val="16"/>
          <w:vertAlign w:val="superscript"/>
        </w:rPr>
        <w:t>69</w:t>
      </w:r>
    </w:p>
    <w:p w14:paraId="49C6B1D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Ведущие конструкторы: С.И. Пресняков, Д.М. Сегаль.</w:t>
      </w:r>
    </w:p>
    <w:p w14:paraId="66A042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w:t>
      </w:r>
      <w:r w:rsidRPr="00070ADE">
        <w:rPr>
          <w:rFonts w:ascii="Times New Roman" w:hAnsi="Times New Roman"/>
          <w:color w:val="000000" w:themeColor="text1"/>
          <w:sz w:val="16"/>
          <w:szCs w:val="16"/>
        </w:rPr>
        <w:t xml:space="preserve"> карбюраторы К-35, К-87, К-105, К-38, АК-88, АК-63; АДТ-10 для РД-10, АДТ-20 для РД-20; регулятор оборотов ТНА и регулятор подачи топлива для РД-012, часовой механизм отсечки топлива для РД- 036; КТА для НК-12; часовое устройство для РСЗО «Вихрь» (1958), насос-регулятор НР-22 (1966); насос- регулятор и форсажный насос для АЛ-21Ф; САР для Ту-144 (1965); CAP 59А для РД-33, САР для АЛ-31Ф, САР- 8А, -25, -40, -47, -53, -55, -57 (1963-80); САУ-31, -32, -59, -79, -</w:t>
      </w:r>
      <w:r w:rsidRPr="00070ADE">
        <w:rPr>
          <w:rFonts w:ascii="Times New Roman" w:hAnsi="Times New Roman"/>
          <w:color w:val="000000" w:themeColor="text1"/>
          <w:sz w:val="16"/>
          <w:szCs w:val="16"/>
        </w:rPr>
        <w:lastRenderedPageBreak/>
        <w:t>86 (1971-90), САУ-1700 для РД-1700; агрегаты РЧВ-14, РЧВ-22 РР-15, РР-19, ДК-15, ДК-19, НР-63, «470» для РК «Гранит», «Метеорит», «Болид», Н-1, «Энергия-Буран»; регулятор подачи водорода в ГПВРД (программа «Орел») (1990-е); САУ силовых приводов для газоперекачивающих станций.</w:t>
      </w:r>
      <w:r w:rsidRPr="00070ADE">
        <w:rPr>
          <w:rFonts w:ascii="Times New Roman" w:hAnsi="Times New Roman"/>
          <w:color w:val="000000" w:themeColor="text1"/>
          <w:sz w:val="16"/>
          <w:szCs w:val="16"/>
          <w:vertAlign w:val="superscript"/>
        </w:rPr>
        <w:t>101</w:t>
      </w:r>
    </w:p>
    <w:p w14:paraId="2D1EE6C4" w14:textId="3092D9EF"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Гаврилов-Ямский машиностроительный завод (ГМЗ) «Агат», ОАО «ГМЗ «Агат» /152240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Гаврилов-Ям Ярославской обл. пр. Машиностроителей, 1 тел. 23-264/</w:t>
      </w:r>
    </w:p>
    <w:p w14:paraId="1587C625" w14:textId="2A85C370"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 в 1968 г. Являлся филиалом ММЗ «Знамя революции». С начала 1970-х по начало 1990-х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входил в ПО «Знамя революции». Входит в состав ММПП «Салют» с 04.2003 г. По Указу Президента РФ № 1009 от 4.08.2004 г. вошло в число стратегических оборонных предприятий.</w:t>
      </w:r>
    </w:p>
    <w:p w14:paraId="14C9443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(2002 г.)- 787 чел.</w:t>
      </w:r>
      <w:r w:rsidRPr="00070ADE">
        <w:rPr>
          <w:rFonts w:ascii="Times New Roman" w:hAnsi="Times New Roman"/>
          <w:color w:val="000000" w:themeColor="text1"/>
          <w:sz w:val="16"/>
          <w:szCs w:val="16"/>
          <w:vertAlign w:val="superscript"/>
        </w:rPr>
        <w:t>69</w:t>
      </w:r>
    </w:p>
    <w:p w14:paraId="084AFC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Гендиректор (-2002-05 г.-)- В.Н. Корытов.</w:t>
      </w:r>
    </w:p>
    <w:p w14:paraId="3FD1F4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Технический директор (2002 г.)- А.А. Николаев.</w:t>
      </w:r>
    </w:p>
    <w:p w14:paraId="7499233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гендиректора: по по маркетингу и финансам (2002 г.)- Н.И. Кружков; по снабжению и транспорту (2002 г.)- Л.И. Новожилова.</w:t>
      </w:r>
    </w:p>
    <w:p w14:paraId="31EA2B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(2004 г.) топливорегулирующая аппаратура авиационных ГТД: регулятор топлива РТ-8У, ограничители: оборотов ОГ-8-4, ОГВ-25, скорости ОС-2, степени сжатия ОСС-86; распределители топлива: РТФ-59Б, РТ-59И, РТФ-31А, РТО-55; клапаны: сброса и останова КСО-59А, предохранительный ПК-88; насосы центробежные ДЦН-82, ДЦН-78, ДЦН-80; автомат управления АДУ-2С; агрегаты управления механизации компрессора АУМК-29, АУМК-89, стоп-кран СК-29; гидроаппаратура для грузоподъемной, дорожно- строительной и коммунальной техники; разработка системы запуска ГТУ; мотоблоки «Салют-5» для сельского хозяйства (11982).</w:t>
      </w:r>
    </w:p>
    <w:p w14:paraId="7F8C66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8498A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г. по приказам № 171с и № 206сс от 21.03.1944 г. завод № 487 НКАП (Завод № 487 НКАП, МАП /г. Тушино Московской обл. (или р-н ст. Товарная-Бутырская)/) со всеми кадрами, оборудованием и сооружениями вместе с ОКБ-487 влит в состав завода № 315. Его территория числилась как площадка № 2 завода № 315.</w:t>
      </w:r>
    </w:p>
    <w:p w14:paraId="486548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1945 г. на площадку завода № 487 НКАП (площадка № 2 завода № 315 НКАП) переведен завод № 476 НКАП.</w:t>
      </w:r>
    </w:p>
    <w:p w14:paraId="70A2D7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приказом МАГ1 № 171с от 8.03.1949 г. завод № 487 объединен с заводом № 315 МАП.</w:t>
      </w:r>
    </w:p>
    <w:p w14:paraId="3231B5CC" w14:textId="77777777" w:rsidR="000511D8"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(02-10.1943 г.-)- Э.И. Озарский, (-01-03.1944 г.)- Давыдов.</w:t>
      </w:r>
    </w:p>
    <w:p w14:paraId="38180F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ОКБ завода № 487 НКАП гл. конструктора И.П. Шебанова, ОКБ-487 НКАП</w:t>
      </w:r>
    </w:p>
    <w:p w14:paraId="0E14AA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КБ И.П. Шебанова, которое до эвакуации базировалось на заводе № 487 НКАП, было эвакуировано и работало на территории завода № 454 НКАП в Куйбышеве (как ОКБ-454 НКАП). По приказу № 272с от 6.05.1943 г. ОКБ-454 из Куйбышева переведено на вновь образованный завод № 487 НКАП и переименовано в ОКБ-487 НКАП.</w:t>
      </w:r>
    </w:p>
    <w:p w14:paraId="49ED45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по стрелковым установкам с УБТ для Пе-8 (10.1943 г.). С середины 1945 г. основной работой стали установки вооружения для Ту-4. По приказу № 298с от 13.07.1945 г. шли работы по заданиям ОКБ-ИО НКАП.</w:t>
      </w:r>
    </w:p>
    <w:p w14:paraId="2E9984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приказам № 171с от 8.03.1944 г. и № 206сс от 21.03.1944 г. ОКБ-487 вместе с заводом № 487 НКАП со всеми кадрами, оборудованием и сооружениями влито в состав завода № 315. В 01.1945 г. ОКБ-487 - в 7ГУ.</w:t>
      </w:r>
    </w:p>
    <w:p w14:paraId="527B4E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 ОКБ была признана руководством малоэффективной (за 1942-45 г. создана только одна серийная установка- ТУМ-5 для Ер-2). По приказу № 447сс от 14.11.1945 г. в целях укрупнения конструкторских организаций основная часть личного состава (142 чел.), оборудования и материальных ценностей ОКБ-487 гл. конструктора И.П. Шебанова влита в состав объединенного ОКБ-43 НКАП, этим же приказом из ОКБ-487 НКАП в помощь вновь образованному заводу № 25 НКАП переведено 50 чел. ИТР и рабочих, занятых работами по агрегатам вооружения Ту-4. И.П. Шебанов назначен замом И.И. Торопова (11982).</w:t>
      </w:r>
    </w:p>
    <w:p w14:paraId="5F870CD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B041F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г. по приказам № 171с и № 206сс от 21.03.1944 г. ОКБ-487 вместе с заводом № 487 НКАП со всеми кадрами, оборудованием и сооружениями влито в состав завода № 315. В 01.1945 г. ОКБ-487 - в 7ГУ.</w:t>
      </w:r>
    </w:p>
    <w:p w14:paraId="482AB6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 ОКБ была признана руководством малоэффективной (за 1942-45 г. создана только одна серийная установка- ТУМ-5 для Ер-2). По приказу № 447сс от 14.11.1945 г. в целях укрупнения конструкторских организаций основная часть личного состава (142 чел.), оборудования и материальных ценностей ОКБ-487 гл. конструктора И.П. Шебанова влита в состав объединенного ОКБ-43 НКАП, этим же приказом из ОКБ-487 НКАП в помощь вновь образованному заводу № 25 НКАП переведено 50 чел. ИТР и рабочих, занятых работами по агрегатам вооружения Ту-4. И.П. Шебанов назначен замом И.И. Торопова (11982).</w:t>
      </w:r>
    </w:p>
    <w:p w14:paraId="29AD64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C04DC0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17967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74848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вышло Распоряжение ГКО № 5329. О выделении в марте 1944 г. 100 военнообязанных, не годных к строевой службе, на завод № 741 НКРП. РГАНИР, Фонд ГКО, д. 216, лл. 1 (11012).</w:t>
      </w:r>
    </w:p>
    <w:p w14:paraId="560DA2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416AF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вышло Постановление ГКО № 5330 О плане производства танков, самоходных установок, дизелей, запасных частей и ремонта танков, самоходных установок и дизелей на март 1944 года. РГАНИР, Фонд ГКО, д. 216, лл. 2-20,21-33 (11012).</w:t>
      </w:r>
    </w:p>
    <w:p w14:paraId="554616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CDA471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вышло Постановление ГКО № 5331 О плане производства и поставок НКО и НКВМФ артиллерийского, минометного и стрелкового вооружения и военных приборов на март 1944 г. РГАНИР, Фонд ГКО, д. 216, лл. 34-57,58-75 (11012).</w:t>
      </w:r>
    </w:p>
    <w:p w14:paraId="5CE599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F4023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вышло Постановление ГКО № 5332 О плане производства и поставок пистолетов-пулеметов Шпагина и ПП-43 в марте 1944 года. РГАНИР, Фонд ГКО, д. 216, лл. 76-80,81-87 (11012).</w:t>
      </w:r>
    </w:p>
    <w:p w14:paraId="0AACC2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0A42F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вышло Постановление ГКО № 5333 О плане производства и поставок патронов и звеньев Наркоматом вооружения в марте 1944 года. РГАНИР, Фонд ГКО, д. 216, лл. 88-95,96-100 (11012).</w:t>
      </w:r>
    </w:p>
    <w:p w14:paraId="55BDE6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14E5E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вышло Постановление ГКО № 5334 Об увеличении выпуска 85 мм снарядов к самоходным и танковым пушкам. РГАНИР, Фонд ГКО, д. 216, лл. 101-109,110-117 (11012).</w:t>
      </w:r>
    </w:p>
    <w:p w14:paraId="66944F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2B3E9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вышло Постановление ГКО № 5335 О восстановлении производства корпусов снарядов крупных калибров на заводе № 78 НКБ. РГАНИР, Фонд ГКО, д. 216, лл. 118-122,123-126 (11012).</w:t>
      </w:r>
    </w:p>
    <w:p w14:paraId="2B120F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EEC2A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вышло Постановление ГКО № 5336 О поставке НКО и НКВМФ боеприпасов в марте 1944 года. РГАНИР, Фонд ГКО, д. 216, лл. 127-163,164-187 (11012).</w:t>
      </w:r>
    </w:p>
    <w:p w14:paraId="753027D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37550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вышло Постановление ГКО № 5337 О плане добычи угля на март 1944 года по Наркомуглю. РГАНИР, Фонд ГКО, д. 216, лл. 188-203,204-205 (11012).</w:t>
      </w:r>
    </w:p>
    <w:p w14:paraId="568FC08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3DAD4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вышло Постановление ГКО № 5338 О добыче нефти и выработке нефтепродуктов в марте 1944 года. РГАНИР, Фонд ГКО, д. 216, лл. 206-213,214-215 (11012).</w:t>
      </w:r>
    </w:p>
    <w:p w14:paraId="5D211A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9F41CE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вышло Постановление ГКО № 5339 Об усилении погрузки угля на Томской, Карагандинской, Южно-Уральской, Свердловской и Пермской железных дорогах. (7196, 216-218).</w:t>
      </w:r>
    </w:p>
    <w:p w14:paraId="0506D87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AB065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вышло Постановление ГКО № 5340 О поставке коксующихся и энергетических углей предприятиям Наркомчермета в марте 1944 года. РГАНИР, Фонд ГКО, д. 216, лл. 219-222 (11012).</w:t>
      </w:r>
    </w:p>
    <w:p w14:paraId="261E87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C49C1D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349F06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BE3808"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8 марта</w:t>
      </w:r>
      <w:r w:rsidRPr="00070ADE">
        <w:rPr>
          <w:rFonts w:ascii="Times New Roman" w:hAnsi="Times New Roman"/>
          <w:color w:val="000000" w:themeColor="text1"/>
          <w:sz w:val="16"/>
          <w:szCs w:val="16"/>
        </w:rPr>
        <w:t xml:space="preserve"> в 1944 году оперативная сводка Совинформбюро:</w:t>
      </w:r>
    </w:p>
    <w:p w14:paraId="437872C2"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8 марта войска 1-го Украинского фронта, продолжая наступление, овладели районным центром Каменец-Подольской области Чёрный Остров, а также с боями заняли более 100 других населённых пунктов, в том числе крупные населённые пункты Захаровцы, Грузевица, Большие и Малые Зозулинцы, Терешки, Мазепинцы, Кременчуги, Малый Чернятин, Бутовцы, Капустин, Красносёлка, Жеребки, Немиренцы, Волосовцы, Пилява, Лисановцы, Буглаи, Телижинцы, Войтовцы, Сальница, Морозовка, Маркуши. Наши войска вплотную подошли к городу Староконстантинов и завязали бои на окраинах города.</w:t>
      </w:r>
    </w:p>
    <w:p w14:paraId="7ED74CDF"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и в ряде пунктов бои местного значения.</w:t>
      </w:r>
    </w:p>
    <w:p w14:paraId="24AD0365"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течение 7 марта наши войска на всех фронтах подбили и уничтожили 71 немецкий танк. В воздушных боях и огнём зенитной артиллерии уничтожено 98 самолётов противника.</w:t>
      </w:r>
    </w:p>
    <w:p w14:paraId="1C680140"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наступление. Противник спешно подтянул крупные силы пехоты и танков и предпринимал неоднократные контратаки. Наши танкисты и пехотинцы опрокинули немецкие войска, стремительным ударом заняли районный центр Каменец-Подольской области Чёрный Остров и более 100 других населённых пунктов. В бою за Чёрный Остров разгромлено два полка немецкой пехоты. Захвачено много орудий, миномётов, стрелкового вооружения, несколько крупных складов с боеприпасами, продовольствием и военным имуществом. Отступая под ударами советских частей, немцы бросают завязшие в грязи танки, орудия и автомашины. Особенно ожесточённые бои идут в районе города Староконстантинов, являющегося важнейшей базой войск противника. Немцы любой ценой стремились удержать в своих руках участок шоссе Шепетовка-Староконстантинов. Наши войска фланговыми ударами рассекли на отдельные части действовавшую здесь группу войск противника и уничтожили её. Умело маневрируя, советские части с разных направлений подошли к городу Старо-Константинов и завязали бои на окраинах города. В течение дня в этом районе уничтожено до 3.000 немецких солдат и офицеров, 25 танков и самоходных орудий. На другом участке немцы бросили в контратаку около сотни танков. Наши танкисты, артиллеристы и бронебойщики сожгли и подбили 42 немецких танка и отбросили гитлеровцев.</w:t>
      </w:r>
    </w:p>
    <w:p w14:paraId="5D04B9A2"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Нарвском направлении в одном районе крупные силы немецкой пехоты перешли в контратаку. Советские артиллеристы и миномётчики открыли шквальный огонь и произвели в рядах противника большие опустошения. Оставив на поле боя до 900 трупов, немцы в беспорядке отступили. Подбито 3 немецких танка и несколько самоходных орудий.</w:t>
      </w:r>
    </w:p>
    <w:p w14:paraId="19525D56"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бомбардировала скопления войск и техники противника и причинила ему тяжёлые потери. В воздушных боях за день сбито 11 немецких самолётов. Кроме того, на двух аэродромах уничтожено 32 самолёта противника.</w:t>
      </w:r>
    </w:p>
    <w:p w14:paraId="07D36BC9"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Краснознамённого Балтийского флота потопила четыре тральщика и один сторожевой катер противника.</w:t>
      </w:r>
    </w:p>
    <w:p w14:paraId="54DAB2B1"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Крыму, напал на большой обоз противника. В ожесточённой схватке партизаны убили 98 вражеских солдат и офицеров, сопровождавших этот обоз. Захвачено 407 лошадей, 108 повозок с военными грузамии 76 винтовок. Отряд украинских партизан, действующий в прифронтовых районах Каменец-Подольской области, в бою с немецкими оккупантами истребил до роты гитлеровцев и захватил трофеи.</w:t>
      </w:r>
    </w:p>
    <w:p w14:paraId="650624BD"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Взятые в плен юго-западнее Звенигородки ефрейторы 1 роты 2 танкового полка 16 немецкой танковой дивизии Гергарт Линднер и Гергарт Дамм рассказали: «В боях восточнее Винницы наш полк потерял большую часть своей техники. В январе 1 батальон получил новые самоходные пушки, а 3 батальон — новые танки. В конце января нас вместе с другими танковыми частями перебросили в район Звенигородки и поставили задачу — любой ценой пробиться к немецкой группировке войск, окружённой в районе Корсунь-Шевченковский. С первых же дней русские артиллеристы нанесли нам огромный урон. Однако офицеры твердили одно и то же: «Мы должны вытащить окружённые дивизии из «котла», чего бы это нам ни стоило». Дело кончилось очень плачевно. Мы потеряли почти все танки, но так и не прорвалиськ окружённой группировке».</w:t>
      </w:r>
    </w:p>
    <w:p w14:paraId="37BC4AD7"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публикуется акт о чудовищных злодеяниях немецко-фашистских мерзавцев в городе Славута, Каменец-Подольской области: «За время оккупации гитлеровские людоеды замучили насмерть и расстреляли тысячи мирных жителей города Славута и окрестных сёл. Массовые расстрелы происходили в военном городке около водонапорной башни. В расположении военного городка немцы устроили центральный сборный лагерь и свозили туда арестованных советских граждан и военнопленных с правобережной Украины. Лагерный режим был рассчитан на то, чтобы истребить как можно больше советских людей. На сутки заключённые получали немного суррогатного хлеба и мутную «баланду». Нередко заключённые по 5-6 дней подряд не получали никакого питания. В лагере свирепствовали инфекционные болезни. Больные тифом и дизентерией размещались вместе со здоровыми. Смертность среди заключённых достигала огромных размеров. От голода, болезней и побоев, а также от рук фашистских палачей погибло 12 тысяч советских граждан. Когда части Красной Армии заняли город Славута, в лагере находилось около 800 человек. Больше половины из них не в состоянии были передвигаться. Кроме того, на территории лагеря обнаружены сотни трупов заключённых, умерших голодной смертью».</w:t>
      </w:r>
    </w:p>
    <w:p w14:paraId="4D8FEE53"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жители города Славута: врач Войцешук, учительница Высоцкая, работница маслозавода Фёдорова, слесарь Енин, ксендз Милевский, бывший военнопленный Славутского лагеря Панкин и другие.» (15062).</w:t>
      </w:r>
    </w:p>
    <w:p w14:paraId="25B6C64A" w14:textId="77777777" w:rsidR="000511D8" w:rsidRPr="00070ADE" w:rsidRDefault="000511D8" w:rsidP="00B56F90">
      <w:pPr>
        <w:spacing w:after="0" w:line="240" w:lineRule="auto"/>
        <w:jc w:val="both"/>
        <w:rPr>
          <w:rFonts w:ascii="Times New Roman" w:hAnsi="Times New Roman"/>
          <w:color w:val="000000" w:themeColor="text1"/>
          <w:sz w:val="16"/>
          <w:szCs w:val="16"/>
        </w:rPr>
      </w:pPr>
    </w:p>
    <w:p w14:paraId="6FE1BA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в ходе Проскуровско-Черновицкой наступательной операции два ИСа-1 1-й ГвТТПП (командир - подполковник Н.И. Буланов) с дистанции 150-200 метров были расстреляны замаскированными 75-мм штурмовыми орудиями. Один танк получил 8 попаданий другой - 4. (3862).</w:t>
      </w:r>
    </w:p>
    <w:p w14:paraId="41AC90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21BC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г. состоялась передача колонны танков “Дмитрий Донской” частям Красной Армии у деревни Горелки Тульской области Колонна пошла на комплектование 38-го отдельного танкового полка и 516-го отдельного огнеметного танкового полка. По штату каждый из них должен был иметь по 21 танку, но такое коли</w:t>
      </w:r>
      <w:r w:rsidRPr="00070ADE">
        <w:rPr>
          <w:rFonts w:ascii="Times New Roman" w:hAnsi="Times New Roman"/>
          <w:color w:val="000000" w:themeColor="text1"/>
          <w:sz w:val="16"/>
          <w:szCs w:val="16"/>
        </w:rPr>
        <w:softHyphen/>
        <w:t>чество досталось только 516-му отдельному огнеметному танковому полку. На долю же 38-го полка осталось лишь 19 танков, правда, вооруженных 85-мм пушкой Д-5Т.</w:t>
      </w:r>
    </w:p>
    <w:p w14:paraId="6D4FC9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торжественном митинге 8 марта перед танкистами по поручению Патриарха всея Руси выступил митрополит Кру</w:t>
      </w:r>
      <w:r w:rsidRPr="00070ADE">
        <w:rPr>
          <w:rFonts w:ascii="Times New Roman" w:hAnsi="Times New Roman"/>
          <w:color w:val="000000" w:themeColor="text1"/>
          <w:sz w:val="16"/>
          <w:szCs w:val="16"/>
        </w:rPr>
        <w:softHyphen/>
        <w:t>тицкий Николай (Ярушевич). Это была первая официальная встреча представителя духовенства Русской Православной Церкви с бойцами и командирами Красной Армии.</w:t>
      </w:r>
    </w:p>
    <w:p w14:paraId="290299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10 марта 38-й полк отбыл на фронт, где принял учас</w:t>
      </w:r>
      <w:r w:rsidRPr="00070ADE">
        <w:rPr>
          <w:rFonts w:ascii="Times New Roman" w:hAnsi="Times New Roman"/>
          <w:color w:val="000000" w:themeColor="text1"/>
          <w:sz w:val="16"/>
          <w:szCs w:val="16"/>
        </w:rPr>
        <w:softHyphen/>
        <w:t>тие в Уманско-Ботошанской операции. До получения мат-части из колонны «Димитрий Донской» указанный полк уже участвовал в боях на Демянском плацдарме, освобож</w:t>
      </w:r>
      <w:r w:rsidRPr="00070ADE">
        <w:rPr>
          <w:rFonts w:ascii="Times New Roman" w:hAnsi="Times New Roman"/>
          <w:color w:val="000000" w:themeColor="text1"/>
          <w:sz w:val="16"/>
          <w:szCs w:val="16"/>
        </w:rPr>
        <w:softHyphen/>
        <w:t>дал Вязьму, Невель и Великие Луки, и его личный состав считался опытным. В ночь с 23 на 24 марта 1944 г. 38-й от</w:t>
      </w:r>
      <w:r w:rsidRPr="00070ADE">
        <w:rPr>
          <w:rFonts w:ascii="Times New Roman" w:hAnsi="Times New Roman"/>
          <w:color w:val="000000" w:themeColor="text1"/>
          <w:sz w:val="16"/>
          <w:szCs w:val="16"/>
        </w:rPr>
        <w:softHyphen/>
        <w:t>дельный танковый полк, совершив двенадцатисуточный марш в район г. Умани, с ходу вступил в бой (11135).</w:t>
      </w:r>
    </w:p>
    <w:p w14:paraId="63BB85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F5C40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0E6DE6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430BF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по приказу Сталина начата массовая депортация балкарцев (4962).</w:t>
      </w:r>
    </w:p>
    <w:p w14:paraId="0C2FDCD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3764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была массовая депортация балкарцев (1348,123).</w:t>
      </w:r>
    </w:p>
    <w:p w14:paraId="1F1427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3F0FE9" w14:textId="77777777" w:rsidR="000511D8"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055251DD" w14:textId="77777777" w:rsidR="000511D8" w:rsidRPr="00070ADE" w:rsidRDefault="000511D8"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1B3432" w14:textId="77777777" w:rsidR="000511D8" w:rsidRPr="00070ADE" w:rsidRDefault="000511D8" w:rsidP="00B56F90">
      <w:pPr>
        <w:spacing w:after="0" w:line="240" w:lineRule="auto"/>
        <w:jc w:val="both"/>
        <w:rPr>
          <w:rFonts w:ascii="Times New Roman" w:hAnsi="Times New Roman"/>
          <w:color w:val="000000" w:themeColor="text1"/>
          <w:sz w:val="16"/>
          <w:szCs w:val="16"/>
          <w:lang w:val="en-US"/>
        </w:rPr>
      </w:pPr>
      <w:r w:rsidRPr="00070ADE">
        <w:rPr>
          <w:rFonts w:ascii="Times New Roman" w:hAnsi="Times New Roman"/>
          <w:bCs/>
          <w:color w:val="000000" w:themeColor="text1"/>
          <w:sz w:val="16"/>
          <w:szCs w:val="16"/>
        </w:rPr>
        <w:t>8 марта</w:t>
      </w:r>
      <w:r w:rsidRPr="00070ADE">
        <w:rPr>
          <w:rFonts w:ascii="Times New Roman" w:hAnsi="Times New Roman"/>
          <w:color w:val="000000" w:themeColor="text1"/>
          <w:sz w:val="16"/>
          <w:szCs w:val="16"/>
        </w:rPr>
        <w:t xml:space="preserve"> в 1944 году правительство Финляндии заявило, что не может принять советские условия перемирия без предварительного обсуждения. Советскаясторонавыразиласогласие</w:t>
      </w:r>
      <w:r w:rsidRPr="00070ADE">
        <w:rPr>
          <w:rFonts w:ascii="Times New Roman" w:hAnsi="Times New Roman"/>
          <w:color w:val="000000" w:themeColor="text1"/>
          <w:sz w:val="16"/>
          <w:szCs w:val="16"/>
          <w:lang w:val="en-US"/>
        </w:rPr>
        <w:t xml:space="preserve"> (15062).</w:t>
      </w:r>
    </w:p>
    <w:p w14:paraId="28AE42C0" w14:textId="77777777" w:rsidR="000511D8" w:rsidRPr="00070ADE" w:rsidRDefault="000511D8" w:rsidP="00B56F90">
      <w:pPr>
        <w:spacing w:after="0" w:line="240" w:lineRule="auto"/>
        <w:jc w:val="both"/>
        <w:rPr>
          <w:rFonts w:ascii="Times New Roman" w:hAnsi="Times New Roman"/>
          <w:color w:val="000000" w:themeColor="text1"/>
          <w:sz w:val="16"/>
          <w:szCs w:val="16"/>
          <w:lang w:val="en-US"/>
        </w:rPr>
      </w:pPr>
    </w:p>
    <w:p w14:paraId="4043786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070ADE">
        <w:rPr>
          <w:rFonts w:ascii="Times New Roman" w:hAnsi="Times New Roman"/>
          <w:i/>
          <w:iCs/>
          <w:color w:val="000000" w:themeColor="text1"/>
          <w:sz w:val="16"/>
          <w:szCs w:val="16"/>
        </w:rPr>
        <w:t>За</w:t>
      </w:r>
      <w:r w:rsidRPr="00070ADE">
        <w:rPr>
          <w:rFonts w:ascii="Times New Roman" w:hAnsi="Times New Roman"/>
          <w:i/>
          <w:iCs/>
          <w:color w:val="000000" w:themeColor="text1"/>
          <w:sz w:val="16"/>
          <w:szCs w:val="16"/>
          <w:lang w:val="en-US"/>
        </w:rPr>
        <w:t xml:space="preserve"> </w:t>
      </w:r>
      <w:r w:rsidRPr="00070ADE">
        <w:rPr>
          <w:rFonts w:ascii="Times New Roman" w:hAnsi="Times New Roman"/>
          <w:i/>
          <w:iCs/>
          <w:color w:val="000000" w:themeColor="text1"/>
          <w:sz w:val="16"/>
          <w:szCs w:val="16"/>
        </w:rPr>
        <w:t>рубежом</w:t>
      </w:r>
      <w:r w:rsidRPr="00070ADE">
        <w:rPr>
          <w:rFonts w:ascii="Times New Roman" w:hAnsi="Times New Roman"/>
          <w:i/>
          <w:iCs/>
          <w:color w:val="000000" w:themeColor="text1"/>
          <w:sz w:val="16"/>
          <w:szCs w:val="16"/>
          <w:lang w:val="en-US"/>
        </w:rPr>
        <w:t>:</w:t>
      </w:r>
    </w:p>
    <w:p w14:paraId="776EA0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6A1C61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March 8th, 1944: The US 8th Air Force carries out another heavy attack against Berlin (3819).</w:t>
      </w:r>
    </w:p>
    <w:p w14:paraId="5DE369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86183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8ВА США выполнила массированный налет на Берлин (3819).</w:t>
      </w:r>
    </w:p>
    <w:p w14:paraId="4FF516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5AD40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марта 1944 немецкие войска применили танки против бастующих итальянских рабочих в Милане (4962).</w:t>
      </w:r>
    </w:p>
    <w:p w14:paraId="1F85B17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F60BA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829F5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B4CA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марта 1944 с утра стояла нелетная погода, но к 16.00 развеялось и уда</w:t>
      </w:r>
      <w:r w:rsidRPr="00070ADE">
        <w:rPr>
          <w:rFonts w:ascii="Times New Roman" w:hAnsi="Times New Roman"/>
          <w:color w:val="000000" w:themeColor="text1"/>
          <w:sz w:val="16"/>
          <w:szCs w:val="16"/>
        </w:rPr>
        <w:softHyphen/>
        <w:t>лось выполнить один полет Ил-АМ-42 на поли</w:t>
      </w:r>
      <w:r w:rsidRPr="00070ADE">
        <w:rPr>
          <w:rFonts w:ascii="Times New Roman" w:hAnsi="Times New Roman"/>
          <w:color w:val="000000" w:themeColor="text1"/>
          <w:sz w:val="16"/>
          <w:szCs w:val="16"/>
        </w:rPr>
        <w:softHyphen/>
        <w:t>гон для бомбометания и стрельбы из пушек и пулеметов. Вечером вновь пришлось менять свечи. Ввиду нелетной погоды в течение следующего дня самолет "затащили" в тир, где отстреляли все вооруже</w:t>
      </w:r>
      <w:r w:rsidRPr="00070ADE">
        <w:rPr>
          <w:rFonts w:ascii="Times New Roman" w:hAnsi="Times New Roman"/>
          <w:color w:val="000000" w:themeColor="text1"/>
          <w:sz w:val="16"/>
          <w:szCs w:val="16"/>
        </w:rPr>
        <w:softHyphen/>
        <w:t>ние (11427).</w:t>
      </w:r>
    </w:p>
    <w:p w14:paraId="4EC062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8154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марта 1944 года вышел приказ НКАП за № 178 во исполнение решения ГКО за № 522с от 21 февраля 1944 года, согласно которому на завод № 65 была возложена задача по организации производства гильз для авиационных заводов. С апреля 1944 года завод приступил к выпуску этой продукции.</w:t>
      </w:r>
    </w:p>
    <w:p w14:paraId="0D85E6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удовлетворения самолетных и моторных заводов трубами, профилями и прутками из алюминиевых сплавов приказом НКАП за № 595 от 5 сентября 1945 года заводу № 65 было поручено организовать производство этих полуфабрикатов.</w:t>
      </w:r>
    </w:p>
    <w:p w14:paraId="64DD66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приказа МАП № 289 от 13 мая 1946 года завод приступил к восстановлению прокатного производства.</w:t>
      </w:r>
    </w:p>
    <w:p w14:paraId="1CA3E8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МАП за 3 96 от 21 февраля 1955 года при заводе № 65 организовано ОКБ-65 на которое возложена разработка новых технологических процессов производства деталей и полуфабрикатов и создание новой техники для заводов авиапромышленности. 11 августа 1961 года ЦК КПСС и СМ вынесли постановление за № 728-304 об организации ВНИИ технологии легких и специальных сплавов (ВНИИТЛиСС) с опытным заводом на базе ОКБ-65 и завода № 65.</w:t>
      </w:r>
    </w:p>
    <w:p w14:paraId="572A31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Начальником филиала завода № 95 с января по 23 декабря 1942 года был И.В. Селихов 23 декабря 1942 года приказом НКАП за № 134-ок директором филиала завода </w:t>
      </w:r>
      <w:r w:rsidRPr="00070ADE">
        <w:rPr>
          <w:rFonts w:ascii="Times New Roman" w:hAnsi="Times New Roman"/>
          <w:color w:val="000000" w:themeColor="text1"/>
          <w:sz w:val="16"/>
          <w:szCs w:val="16"/>
        </w:rPr>
        <w:lastRenderedPageBreak/>
        <w:t>№ 95 был назначен Румянцев Б.Ф.</w:t>
      </w:r>
    </w:p>
    <w:p w14:paraId="08C13C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реорганизации филиала в самостоятельный завод № 65 директором завода № 95 был назначен Румянцев Б.Ф.</w:t>
      </w:r>
    </w:p>
    <w:p w14:paraId="783515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НКАП № 254/к от 22 марта 1944 года на должность директора завода назначен Коваль Б.А.</w:t>
      </w:r>
    </w:p>
    <w:p w14:paraId="278689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6F66D6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573E6C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10E83D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Москва, Кунцево, ул. Горбунова, д. 20 (9894).</w:t>
      </w:r>
    </w:p>
    <w:p w14:paraId="388BCF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B1F0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марта 1944 вышло распоряжение СНК, которым совместно с постановлением ГКО от 26 февраля 1944 была создана Комиссия по делам международных воздушных линий СССР. Возглавил г-м П.Ф.Березин (7485, 32).</w:t>
      </w:r>
    </w:p>
    <w:p w14:paraId="536561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57927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19C14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D181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9 по 27 марта 1944 на АНИОПе в Гороховце проходили государственные испытания СУ-100, где САУ произвела 1040 выстрелов и прошла 864 км. В своем заключении комиссия отметила, что опытный образец испытания выдержал и может быть принят на вооружение Красной Армии после внесения некоторых изменений (3862).</w:t>
      </w:r>
    </w:p>
    <w:p w14:paraId="0F5EC0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0D24D5"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9 по 27 марта 1944 на Гороховецком АНИОП проходили Полигонные испытания САУ-100. Систему испытали стрельбой в объёме 1040 выстрелов, из них 517 — усиленным зарядом. В ходе испытаний при использовании разных групп укладок была получена скорострельность от 4 до 8 выстрелов в минуту. Также установка прошла 564 км, из них 125 — по целине. Дополнительно машина прошла ещё 300 км по шоссе и просёлку (это происходило во время испытаний стрельбой).</w:t>
      </w:r>
    </w:p>
    <w:p w14:paraId="304AC9C9"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отличие от танковой версии Д-10, которая испытания не выдержала, ситуация с самоходной версией системы оказалась куда более положительной. Несмотря на ряд неполадок, Д-10С испытания стрельбой выдержала, хотя комиссия составила список из десяти пунктов для устранения. Вопросы возникли не только к орудию: среди замечаний оказалось и предложение заменить прицел 10Т-15 на ломающийся телескопический прицел. Имелись претензии и к боевому отделению. Место командира признали неудобным, требовалось сместить командирскую башенку назад на 200–250 мм, а также переделать сиденья командира, наводчика и заряжающего. Дорабатывались люки, изменялись крепление орудия по-походному и освещение. Повторилась претензия к загазованности боевого отделения. Ещё десять пунктов требуемых изменений касались шасси самоходной установки (18252).</w:t>
      </w:r>
    </w:p>
    <w:p w14:paraId="402BE5A8" w14:textId="77777777" w:rsidR="00750752" w:rsidRPr="00070ADE" w:rsidRDefault="00750752" w:rsidP="00B56F90">
      <w:pPr>
        <w:spacing w:after="0" w:line="240" w:lineRule="auto"/>
        <w:jc w:val="both"/>
        <w:rPr>
          <w:rFonts w:ascii="Times New Roman" w:hAnsi="Times New Roman"/>
          <w:color w:val="000000" w:themeColor="text1"/>
          <w:sz w:val="16"/>
          <w:szCs w:val="16"/>
        </w:rPr>
      </w:pPr>
    </w:p>
    <w:p w14:paraId="6F163C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9 по 27 марта 1944 на АНИОПе в Гороховце проходили государственные испытания СУ-100, где самоход произвел 1040 выстрелов и прошел 864 км. В своем заключении комиссия отметила, что опытный образец испытания выдержал и может быть принят на вооружение Красной Армии после внесения некоторых изменений (9637).</w:t>
      </w:r>
    </w:p>
    <w:p w14:paraId="4316AFE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867DF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9 по 27 марта 1944 Государственные испытания опытного образца самоходной установки СУ-100, вооруженный 100-мм пушкой Д-10С, проходили на Гороховецком АНИОПе Испытания САУ выдержала и была призна</w:t>
      </w:r>
      <w:r w:rsidRPr="00070ADE">
        <w:rPr>
          <w:rFonts w:ascii="Times New Roman" w:hAnsi="Times New Roman"/>
          <w:color w:val="000000" w:themeColor="text1"/>
          <w:sz w:val="16"/>
          <w:szCs w:val="16"/>
        </w:rPr>
        <w:softHyphen/>
        <w:t>на годной для принятия на вооружение РККА после проведения неко</w:t>
      </w:r>
      <w:r w:rsidRPr="00070ADE">
        <w:rPr>
          <w:rFonts w:ascii="Times New Roman" w:hAnsi="Times New Roman"/>
          <w:color w:val="000000" w:themeColor="text1"/>
          <w:sz w:val="16"/>
          <w:szCs w:val="16"/>
        </w:rPr>
        <w:softHyphen/>
        <w:t>торых улучшений ее конструкции. На основании результатов испыта</w:t>
      </w:r>
      <w:r w:rsidRPr="00070ADE">
        <w:rPr>
          <w:rFonts w:ascii="Times New Roman" w:hAnsi="Times New Roman"/>
          <w:color w:val="000000" w:themeColor="text1"/>
          <w:sz w:val="16"/>
          <w:szCs w:val="16"/>
        </w:rPr>
        <w:softHyphen/>
        <w:t>ний 14 апреля 1944 г. заводу было дано распоряжение о немедленной подготовке серийного производства самоходной установки СУ-100 (10703).</w:t>
      </w:r>
    </w:p>
    <w:p w14:paraId="23F816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91F2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9 по 27 марта проходили Государственные испытания Су-100 на Гороховецком полигоне.</w:t>
      </w:r>
    </w:p>
    <w:p w14:paraId="1D17C1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Государственная комиссия под руководством полковни</w:t>
      </w:r>
      <w:r w:rsidRPr="00070ADE">
        <w:rPr>
          <w:rFonts w:ascii="Times New Roman" w:hAnsi="Times New Roman"/>
          <w:color w:val="000000" w:themeColor="text1"/>
          <w:sz w:val="16"/>
          <w:szCs w:val="16"/>
        </w:rPr>
        <w:softHyphen/>
        <w:t>ка Рупышева провела указанные испытания в более жестком режиме, чем было изначально запланировано, причем ужес</w:t>
      </w:r>
      <w:r w:rsidRPr="00070ADE">
        <w:rPr>
          <w:rFonts w:ascii="Times New Roman" w:hAnsi="Times New Roman"/>
          <w:color w:val="000000" w:themeColor="text1"/>
          <w:sz w:val="16"/>
          <w:szCs w:val="16"/>
        </w:rPr>
        <w:softHyphen/>
        <w:t>точение режима вызывалось требованиями ЦАКБ. Всего в ходе испытаний было пройдено 864 км пробега и выполнено 1040 выстрелов. И, несмотря на то, что за поведением само</w:t>
      </w:r>
      <w:r w:rsidRPr="00070ADE">
        <w:rPr>
          <w:rFonts w:ascii="Times New Roman" w:hAnsi="Times New Roman"/>
          <w:color w:val="000000" w:themeColor="text1"/>
          <w:sz w:val="16"/>
          <w:szCs w:val="16"/>
        </w:rPr>
        <w:softHyphen/>
        <w:t>хода наблюдало большое число глаз, комиссия рекомендо</w:t>
      </w:r>
      <w:r w:rsidRPr="00070ADE">
        <w:rPr>
          <w:rFonts w:ascii="Times New Roman" w:hAnsi="Times New Roman"/>
          <w:color w:val="000000" w:themeColor="text1"/>
          <w:sz w:val="16"/>
          <w:szCs w:val="16"/>
        </w:rPr>
        <w:softHyphen/>
        <w:t>вала указанный самоход на вооружение Красной Армии с учетом ликвидации отмеченных недостатков:</w:t>
      </w:r>
    </w:p>
    <w:p w14:paraId="335D65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Введением блокировки электроспуска для устранения самопроизвольных выстрелов при неподготовленном орудии или неожиданно для заряжающего (отмечались случаи травматизма заряжающих в ходе боев осени—зи</w:t>
      </w:r>
      <w:r w:rsidRPr="00070ADE">
        <w:rPr>
          <w:rFonts w:ascii="Times New Roman" w:hAnsi="Times New Roman"/>
          <w:color w:val="000000" w:themeColor="text1"/>
          <w:sz w:val="16"/>
          <w:szCs w:val="16"/>
        </w:rPr>
        <w:softHyphen/>
        <w:t>мы 1943 г.)</w:t>
      </w:r>
    </w:p>
    <w:p w14:paraId="20F9A0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Улучшением рабочего места командира.</w:t>
      </w:r>
    </w:p>
    <w:p w14:paraId="239E6B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Улучшением крепления орудия по-походному.</w:t>
      </w:r>
    </w:p>
    <w:p w14:paraId="0F9C4A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Улучшением вентиляции боевого отделения.</w:t>
      </w:r>
    </w:p>
    <w:p w14:paraId="79F38A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Улучшением крепления боеприпасов.</w:t>
      </w:r>
    </w:p>
    <w:p w14:paraId="0F0C2B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Изъятием смазки газойлем коленвала двигателя и заме</w:t>
      </w:r>
      <w:r w:rsidRPr="00070ADE">
        <w:rPr>
          <w:rFonts w:ascii="Times New Roman" w:hAnsi="Times New Roman"/>
          <w:color w:val="000000" w:themeColor="text1"/>
          <w:sz w:val="16"/>
          <w:szCs w:val="16"/>
        </w:rPr>
        <w:softHyphen/>
        <w:t>ной ее смазкой авиамаслом.</w:t>
      </w:r>
    </w:p>
    <w:p w14:paraId="60F043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Улучшением защелок люков и крышек (11417).</w:t>
      </w:r>
    </w:p>
    <w:p w14:paraId="7C6D84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D06B217" w14:textId="77777777" w:rsidR="00B246E7" w:rsidRPr="00C94B78" w:rsidRDefault="00B246E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9 по 27 марта 1944 года, на Гороховецком АНИОП проходили полигонные испытания МАУ со 100 мм пушкой Д-10с,. За время испытаний САУ произвела 1040 выстрелов, из которых 517 усиленным зарядом. Также машина преодолела 564 километра ходовых испытаний, из них 439 по заснеженному шоссе и 125 по проселку. Дполнительно, в ходе испытаний стрельбой, машина прошла еще 300 километров. Максимальная скорость по шоссе составила 50 км/ч, а средняя - 29-30 км/ч. На проселке средняя скорость составила 20-22 км/ч, а на целине 19 км/ч. Отдельно изучался вопрос маневренности машины по неровностям, поскольку вылет ствола за габариты стал очень приличным.</w:t>
      </w:r>
    </w:p>
    <w:p w14:paraId="24EACB56" w14:textId="77777777" w:rsidR="00B246E7" w:rsidRPr="00C94B78" w:rsidRDefault="00B246E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Несмотря на весьма приличную массу унитара Д-10с (30,5 кг), удалось добиться вполне приличной скорострельности - до 8 выстрелов в минуту. При этом испытатели также отмечали недостаточную вентиляцию боевого отделения. Был составлен список доработок орудия, в том числе предлагалось заменить прицел на ломающийся (шарнирный). Всего по орудию набралось 11 пунктов доработок. Столько же пунктов доработок набралось по боевому отделению. Его испытатели посчитали тесным, также предлагалось перенести на 250 мм назад командирскую башенку, а сиденье наводчика перенести на 250 мм назад и влево. Еще 10 пунктов доработок набралось по шасси.</w:t>
      </w:r>
    </w:p>
    <w:p w14:paraId="5E8777CF" w14:textId="77777777" w:rsidR="00B246E7" w:rsidRPr="00C94B78" w:rsidRDefault="00B246E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Тем не менее, комиссия признала СУ-100 выдержавшей испытания. При устранении недостатков САУ рекомендовали принять на вооружение Красной Армии (24928).</w:t>
      </w:r>
    </w:p>
    <w:p w14:paraId="0E0C2AAD" w14:textId="77777777" w:rsidR="00B246E7" w:rsidRPr="00C94B78" w:rsidRDefault="00B246E7" w:rsidP="00B56F90">
      <w:pPr>
        <w:spacing w:after="0" w:line="240" w:lineRule="auto"/>
        <w:jc w:val="both"/>
        <w:rPr>
          <w:rFonts w:ascii="Times New Roman" w:hAnsi="Times New Roman"/>
          <w:color w:val="0070C0"/>
          <w:sz w:val="16"/>
          <w:szCs w:val="16"/>
        </w:rPr>
      </w:pPr>
    </w:p>
    <w:p w14:paraId="03CDE699" w14:textId="77777777" w:rsidR="00B246E7" w:rsidRPr="00C94B78" w:rsidRDefault="00B246E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9 по 27 марта 1944 г. на АНИОП в Гороховце проходили государ</w:t>
      </w:r>
      <w:r w:rsidRPr="00C94B78">
        <w:rPr>
          <w:rFonts w:ascii="Times New Roman" w:hAnsi="Times New Roman"/>
          <w:color w:val="0070C0"/>
          <w:sz w:val="16"/>
          <w:szCs w:val="16"/>
        </w:rPr>
        <w:softHyphen/>
        <w:t>ственные испытания опытного образца Су-100. За это время было произведено 1040 выст</w:t>
      </w:r>
      <w:r w:rsidRPr="00C94B78">
        <w:rPr>
          <w:rFonts w:ascii="Times New Roman" w:hAnsi="Times New Roman"/>
          <w:color w:val="0070C0"/>
          <w:sz w:val="16"/>
          <w:szCs w:val="16"/>
        </w:rPr>
        <w:softHyphen/>
        <w:t>релов и пройдено 864 км пути. В своем заключении комиссия отметила, что машина испытания выдержала и может быть принята на вооружение Красной Армии после внесения некоторых улуч</w:t>
      </w:r>
      <w:r w:rsidRPr="00C94B78">
        <w:rPr>
          <w:rFonts w:ascii="Times New Roman" w:hAnsi="Times New Roman"/>
          <w:color w:val="0070C0"/>
          <w:sz w:val="16"/>
          <w:szCs w:val="16"/>
        </w:rPr>
        <w:softHyphen/>
        <w:t>шений. 14 апреля по заводу было дано распоряжение о немедленной подготов</w:t>
      </w:r>
      <w:r w:rsidRPr="00C94B78">
        <w:rPr>
          <w:rFonts w:ascii="Times New Roman" w:hAnsi="Times New Roman"/>
          <w:color w:val="0070C0"/>
          <w:sz w:val="16"/>
          <w:szCs w:val="16"/>
        </w:rPr>
        <w:softHyphen/>
        <w:t>ке к серийному производству артсамохода СУ-100.</w:t>
      </w:r>
    </w:p>
    <w:p w14:paraId="0D143475" w14:textId="77777777" w:rsidR="00B246E7" w:rsidRPr="00C94B78" w:rsidRDefault="00B246E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Однако ЦАКБ снова, используя автори</w:t>
      </w:r>
      <w:r w:rsidRPr="00C94B78">
        <w:rPr>
          <w:rFonts w:ascii="Times New Roman" w:hAnsi="Times New Roman"/>
          <w:color w:val="0070C0"/>
          <w:sz w:val="16"/>
          <w:szCs w:val="16"/>
        </w:rPr>
        <w:softHyphen/>
        <w:t>тет своих руководителей, потребовало формального выполнения постановления ГКО, то есть изготовления опытной САУ с пушкой С-34. Вновь потянулись перего</w:t>
      </w:r>
      <w:r w:rsidRPr="00C94B78">
        <w:rPr>
          <w:rFonts w:ascii="Times New Roman" w:hAnsi="Times New Roman"/>
          <w:color w:val="0070C0"/>
          <w:sz w:val="16"/>
          <w:szCs w:val="16"/>
        </w:rPr>
        <w:softHyphen/>
        <w:t>воры и переписка. В итоге было принято решение о частичной переделке пушки С-34, предназначавшейся изначально для воо</w:t>
      </w:r>
      <w:r w:rsidRPr="00C94B78">
        <w:rPr>
          <w:rFonts w:ascii="Times New Roman" w:hAnsi="Times New Roman"/>
          <w:color w:val="0070C0"/>
          <w:sz w:val="16"/>
          <w:szCs w:val="16"/>
        </w:rPr>
        <w:softHyphen/>
        <w:t>ружения тяжелого танка ИС-2. Пере</w:t>
      </w:r>
      <w:r w:rsidRPr="00C94B78">
        <w:rPr>
          <w:rFonts w:ascii="Times New Roman" w:hAnsi="Times New Roman"/>
          <w:color w:val="0070C0"/>
          <w:sz w:val="16"/>
          <w:szCs w:val="16"/>
        </w:rPr>
        <w:softHyphen/>
        <w:t>делка, заключавшаяся в уменьшении ши</w:t>
      </w:r>
      <w:r w:rsidRPr="00C94B78">
        <w:rPr>
          <w:rFonts w:ascii="Times New Roman" w:hAnsi="Times New Roman"/>
          <w:color w:val="0070C0"/>
          <w:sz w:val="16"/>
          <w:szCs w:val="16"/>
        </w:rPr>
        <w:softHyphen/>
        <w:t>рины люльки на 160 мм, изготовлении новых вставных цапф, удалении прилива под спаренный пулемет, изготовлении новой рамки, поворотного механизма, по</w:t>
      </w:r>
      <w:r w:rsidRPr="00C94B78">
        <w:rPr>
          <w:rFonts w:ascii="Times New Roman" w:hAnsi="Times New Roman"/>
          <w:color w:val="0070C0"/>
          <w:sz w:val="16"/>
          <w:szCs w:val="16"/>
        </w:rPr>
        <w:softHyphen/>
        <w:t>ходного крепления и установки прицела, выполнялась на заводе № 9. Самоход с орудием С-34 получил индекс СУ-100-2. Одновременно с ним был изготовлен вто</w:t>
      </w:r>
      <w:r w:rsidRPr="00C94B78">
        <w:rPr>
          <w:rFonts w:ascii="Times New Roman" w:hAnsi="Times New Roman"/>
          <w:color w:val="0070C0"/>
          <w:sz w:val="16"/>
          <w:szCs w:val="16"/>
        </w:rPr>
        <w:softHyphen/>
        <w:t>рой опытный образец самохода СУ-100, который стал головным для машин серий</w:t>
      </w:r>
      <w:r w:rsidRPr="00C94B78">
        <w:rPr>
          <w:rFonts w:ascii="Times New Roman" w:hAnsi="Times New Roman"/>
          <w:color w:val="0070C0"/>
          <w:sz w:val="16"/>
          <w:szCs w:val="16"/>
        </w:rPr>
        <w:softHyphen/>
        <w:t>ного производства и включал в себя все улучшения, рекомендованные госкомиссией (25002).</w:t>
      </w:r>
    </w:p>
    <w:p w14:paraId="5B2D1ACF" w14:textId="77777777" w:rsidR="00B246E7" w:rsidRPr="00C94B78" w:rsidRDefault="00B246E7" w:rsidP="00B56F90">
      <w:pPr>
        <w:spacing w:after="0" w:line="240" w:lineRule="auto"/>
        <w:jc w:val="both"/>
        <w:rPr>
          <w:rFonts w:ascii="Times New Roman" w:hAnsi="Times New Roman"/>
          <w:color w:val="0070C0"/>
          <w:sz w:val="16"/>
          <w:szCs w:val="16"/>
        </w:rPr>
      </w:pPr>
    </w:p>
    <w:p w14:paraId="2D0171EF" w14:textId="77777777" w:rsidR="009211CE" w:rsidRPr="00070ADE" w:rsidRDefault="009211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марта 1944 г. САУ УВЗ успешно прошла государственные испытания и при условии устранения несущественных недостатков была рекомендована к принятию на вооружение. И уже 14 апреля на заводе выходит распоряжение о немедленной подготовке к серийному производству СУ-100[1038].</w:t>
      </w:r>
    </w:p>
    <w:p w14:paraId="2B7CAFA6" w14:textId="77777777" w:rsidR="009211CE" w:rsidRPr="00070ADE" w:rsidRDefault="009211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неожиданно ЦАКБ потребовало формального исполнения приказа НКТП об установке на самоходку пушки С-34. Свыше двух месяцев тянулись переговоры между инстанциями. В результате было решено изготовить опытную САУ СУ-100-2 согласно требованиям ЦАКБ и провести повторные испытания двух прототипов. Прошедшие в конце июня 1944 г. испытания выявили явные конструктивные недоработки у СУ-100-2 (23536).</w:t>
      </w:r>
    </w:p>
    <w:p w14:paraId="696B3444" w14:textId="77777777" w:rsidR="009211CE" w:rsidRPr="00070ADE" w:rsidRDefault="009211CE" w:rsidP="00B56F90">
      <w:pPr>
        <w:spacing w:after="0" w:line="240" w:lineRule="auto"/>
        <w:jc w:val="both"/>
        <w:rPr>
          <w:rFonts w:ascii="Times New Roman" w:hAnsi="Times New Roman"/>
          <w:color w:val="000000" w:themeColor="text1"/>
          <w:sz w:val="16"/>
          <w:szCs w:val="16"/>
        </w:rPr>
      </w:pPr>
    </w:p>
    <w:p w14:paraId="1074737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марта 1944 вышло Постановление ГКО № 5341 Об электрификации железнодорожного участка Куйбышев - Безымянка. (7197, 1-2,3-8).</w:t>
      </w:r>
    </w:p>
    <w:p w14:paraId="5E7E49D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E46E8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марта 1944 вышло Постановление ГКО № 5342 О мероприятиях по усилению обороны морских коммуникаций в районах Новая Земля и в Карском море. (7197, 9-</w:t>
      </w:r>
      <w:r w:rsidRPr="00070ADE">
        <w:rPr>
          <w:rFonts w:ascii="Times New Roman" w:hAnsi="Times New Roman"/>
          <w:color w:val="000000" w:themeColor="text1"/>
          <w:sz w:val="16"/>
          <w:szCs w:val="16"/>
        </w:rPr>
        <w:lastRenderedPageBreak/>
        <w:t>11,12-15).</w:t>
      </w:r>
    </w:p>
    <w:p w14:paraId="2F707F8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D8C25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марта 1944 вышло Постановление ГКО № 5343 [О выделении НКО в марте 1944 г. 175 грузовых и легковых автомашин для НКГБ.] (7197, 16).</w:t>
      </w:r>
    </w:p>
    <w:p w14:paraId="5BA395A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B248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марта 1944 г. приказом Госплана были особо определены задачи отделов проверки выполнения планов (7543).</w:t>
      </w:r>
    </w:p>
    <w:p w14:paraId="2BA254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EE2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марта 1944 года была подготовлена справка:</w:t>
      </w:r>
    </w:p>
    <w:p w14:paraId="235A99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60 эвакуирован в 1941 году в КиргизССР (9281).</w:t>
      </w:r>
    </w:p>
    <w:p w14:paraId="65AD6A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EDAC9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10330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72981C"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9 марта</w:t>
      </w:r>
      <w:r w:rsidRPr="00070ADE">
        <w:rPr>
          <w:rFonts w:ascii="Times New Roman" w:hAnsi="Times New Roman"/>
          <w:color w:val="000000" w:themeColor="text1"/>
          <w:sz w:val="16"/>
          <w:szCs w:val="16"/>
        </w:rPr>
        <w:t xml:space="preserve"> в 1944 году оперативная сводка Совинформбюро:</w:t>
      </w:r>
    </w:p>
    <w:p w14:paraId="114239E6"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9-го марта войска 1-го Украинского фронта, продолжая развивать наступление, в результате обходного манёвра в сочетании с фронтальной атакой овладели городом и железнодорожным узлом Староконстантинов — важным опорнымпунктом обороны немцев на Проскуровском направлении, а также с боями заняли более 100 других населённых пунктов, в числе которых Мшанец, Обажаньце, Ивачув, Дычкув, Романувка, Ходачкув Малы, Хмелиска, Камионка, Молчановка, Клинины, Пахутинцы, Николаев, Чернелевка, Лагодинцы, Верхняки, Матрунки, Игнатовцы,Терешевцы, Мытковцы, Шрубков, Новая Синявка, Березна и железнодорожные станции Ивашковце, Курники, Шляхчинце, Борки Великие, Стрыевка, Максимовка, Богдановка, Росоховацец, Антонины. Наши войска ворвались в город Тарнополь, где завязали уличные бои.</w:t>
      </w:r>
    </w:p>
    <w:p w14:paraId="34B3EA39"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Казатин наши войска, перейдя в наступление, овладели районным центром Винницкой области Уланов, а также с боями заняли более 40 других населённых пунктов, в том числе крупные населённые пункты Пустовойты, Лузна, Кустовцы, Рогинцы, Антополь, Старый Пиков, Люлинцы, Нападовка, Радовка, Заливанщина, Черепашинцы и железнодорожную станцию Крыжановка.</w:t>
      </w:r>
    </w:p>
    <w:p w14:paraId="752D52FD"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перейдя в наступление, форсировали реку Ингулец и, прорвав сильную оборону немцев по западному берегу этой реки, зачетыре дня наступательных боёв продвинулись вперёд от 30 до 60 километров и расширили прорыв до 170 километров по фронту.</w:t>
      </w:r>
    </w:p>
    <w:p w14:paraId="66D59C49"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наступательных боёв войска фронта нанесли тяжёлое поражение трём танковым и шести пехотным дивизиям немцев, овладели районными центрами Николаевской области Новый Буг и Казанка, заняли свыше 200 других населённых пунктов, в том числе крупные населённые пункты Терноватка, Лозоватка, Анастасьевка, Михайловка, Новая Владимировуа, Новолазаревка, Авдотьевка, Красновка, Никольское, Орлово, Троицко-Сафоново, Дренделево, Скобелево, Афанасьевка, Новоконстантиновка, Ефремовка, Ново-Полтавка и железнодорожныестанции Новый Буг, Горожаны, Моисеевка, Рахмановка, Латовка, и прервали железную дорогу Долинская-Николаев.</w:t>
      </w:r>
    </w:p>
    <w:p w14:paraId="2BD97769"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предварительным данным, за четыре дня боёв войска 3-го Украинского фронта захватили следующие трофеи: танков — 67, орудий разного калибра — 175, пулемётов— 270, автомашин более 2.000, бронетранспортёров — 14, складов с разным военным имуществом — 10. Противник потерял только убитыми около 8.000 человек. Нашими войсками захвачено в плен до 1.000 немецких солдат и офицеров.</w:t>
      </w:r>
    </w:p>
    <w:p w14:paraId="50C6B748"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и в ряде пунктов бои местного значения.</w:t>
      </w:r>
    </w:p>
    <w:p w14:paraId="72723193"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8 марта наши войска на всех фронтах подбили и уничтожили 87 немецких танков. В воздушных боях и огнём зенитной артиллерии уничтожено 56 самолётов противника.</w:t>
      </w:r>
    </w:p>
    <w:p w14:paraId="21E4CE3D"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успешное наступление. С боями овладев рядом узлов немецкой обороны, наши пехотные и танковые части ворвались в город Тарнополь и завязали в нём уличные бои. Гвардейцы Н-ского соединения вышли вчера на окраины Староконстантинова и очистили от немцев северную часть города. Ночью наши бойцы заняли железнодорожную станцию и захватили переправы через реку. С утра начались бои за заречную часть города. Умелым обходным манёвром и решительной атакой с фронта наши войска разгромили части противника и сегодня овладели городом Староконстантинов. Захвачено огромное количество трофеев и много пленных. В другом районе наши бойцы переправились через реку Буг и окружили два батальона пехоты противника. К исходу дня окружённые гитлеровцы были разгромлены. Захвачено всё их вооружение и 18 исправных немецких танков.</w:t>
      </w:r>
    </w:p>
    <w:p w14:paraId="61C8BB1F"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успешно форсировали реку Ингулец и, сломив ожесточённое сопротивление немцев, прорвали их оборону по западному берегу реки. Опираясь на балки, русла речек и сильно укреплённые населённые пункты, противник пытался задержать продвижение наших войск. Несмотря на грязь и бездорожье, советские танкисты, пехотинцы и кавалеристы прорвались в глубь немецкой обороны. Развивая наступление, наши войска перерезали железную дорогу Долинская-Николаев и заняли более 200 населённых пунктов. Под ударами советских войск противник отступает, устилая трупами своих солдат обширный район сражения. Части Н-ского соединения, овладевшие крупным населенным пунктом Троицко-Сафоново, захватили 17 танков, 48 орудий, 150 автомашин, 60 тонн бензина и несколько складов с военным имуществом. Наши войска заняли районные центры Николаевской области Новый Буг и Казанка. Только в районе Нового Буга захвачено 37 немецких танков, 58 орудий, более 1.000 автомашин, склад с горючим, продовольственные склады и другие трофеи.</w:t>
      </w:r>
    </w:p>
    <w:p w14:paraId="6CBF809B"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Финском заливе потоплены тральщик и сторожевой корабль противника. Ввоздушных боях лётчики Краснознамённого Балтийского флота сбили 24 немецких самолёта.</w:t>
      </w:r>
    </w:p>
    <w:p w14:paraId="09B5AD2D"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Карельские партизанские отряды «Полярник», «Большевик» и «Сталинец» проникли к сильно укреплённому опорному пункту немцев, расположенному в Северной Финляндии. После тщательной разведки советские патриоты с нескольких направлений ворвались в опорный пункт и разгромили вражеский гарнизон. Взорвано 4 дзота и сожжена казарма. Убито свыше 60 солдат и офицеров 307 полка 163 немецкой дивизии.</w:t>
      </w:r>
    </w:p>
    <w:p w14:paraId="19C15C5C"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публикуется акт о зверствах немецко-фашистских мерзавцев в городе Ровно: «Шестого ноября 1941 года немцы согнали на площадь значительную часть населения города. Вся площадь была запружена людьми. Многие женщины пришли с детьми. В 10 часов утра немецкая жандармерия погнала эту огромную толпу за город. Здесь у заранее вырытых рвов и ям немцы начали кровавую расправу над советскими людьми. Три дня продолжались расстрелы. Многие разутыми и раздетыми по двое суток дожидались казни. Палачи заставляли их засыпать землёй ямы, наполненные трупами. Детей гитлеровцы живьём бросали в ямы и кидали туда ручные гранаты. За три дня фашистские людоеды убили около 16 тысяч мирных жителей. Кроме того, много советских граждан гитлеровцы замучили и расстреляли в тюрьме. В центре города немцы устроили виселицы, на которых вешали советских патриотов.</w:t>
      </w:r>
    </w:p>
    <w:p w14:paraId="2A00F410"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Немецко-фашистские захватчики устроили в Ровно три лагеря для военнопленных и мирных советских граждан. Заключённых убивали и морили голодом. На одном только кладбище на Грабнике похоронены тысячи советских граждан, замученных немцами в этих лагерях. Трудно словами передать всё, что происходило в городе во время немецкой оккупации. Мы призываем бойцов Красной Армии отомстить немцам за все их преступления, за кровь советских людей, погибших от рук фашистских извергов».</w:t>
      </w:r>
    </w:p>
    <w:p w14:paraId="019FDDF6"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жители города Ровно: учительница В.Лукашевич, учитель Е.Левитский, воспитательница детского сада М.Яновская, настоятель Ровенского собора протоиерей У.Парголовский, настоятель Свято-Успенской церкви протоиерей М.Носов, бухгалтер Н.Марчуков и другие.» (15063).</w:t>
      </w:r>
    </w:p>
    <w:p w14:paraId="6D12D92B" w14:textId="77777777" w:rsidR="000511D8" w:rsidRPr="00070ADE" w:rsidRDefault="000511D8" w:rsidP="00B56F90">
      <w:pPr>
        <w:spacing w:after="0" w:line="240" w:lineRule="auto"/>
        <w:jc w:val="both"/>
        <w:rPr>
          <w:rFonts w:ascii="Times New Roman" w:hAnsi="Times New Roman"/>
          <w:color w:val="000000" w:themeColor="text1"/>
          <w:sz w:val="16"/>
          <w:szCs w:val="16"/>
        </w:rPr>
      </w:pPr>
    </w:p>
    <w:p w14:paraId="0722264F"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9 на 10 марта 1944 45-я АДДД со</w:t>
      </w:r>
      <w:r w:rsidRPr="00070ADE">
        <w:rPr>
          <w:rFonts w:ascii="Times New Roman" w:hAnsi="Times New Roman"/>
          <w:color w:val="000000" w:themeColor="text1"/>
          <w:sz w:val="16"/>
          <w:szCs w:val="16"/>
        </w:rPr>
        <w:softHyphen/>
        <w:t>вершила налет на Таллин. В вылете при</w:t>
      </w:r>
      <w:r w:rsidRPr="00070ADE">
        <w:rPr>
          <w:rFonts w:ascii="Times New Roman" w:hAnsi="Times New Roman"/>
          <w:color w:val="000000" w:themeColor="text1"/>
          <w:sz w:val="16"/>
          <w:szCs w:val="16"/>
        </w:rPr>
        <w:softHyphen/>
        <w:t>нимало участие 19 кораблей. Еще один готовили к вылету, но перед взлетом у него обнаружилась поломка стопора хво</w:t>
      </w:r>
      <w:r w:rsidRPr="00070ADE">
        <w:rPr>
          <w:rFonts w:ascii="Times New Roman" w:hAnsi="Times New Roman"/>
          <w:color w:val="000000" w:themeColor="text1"/>
          <w:sz w:val="16"/>
          <w:szCs w:val="16"/>
        </w:rPr>
        <w:softHyphen/>
        <w:t>стового колеса, в результате он остался дома. Взлет произведен с 17 ч. 18 мин. по 18 ч. 17 мин. Все корабли принимавшие участие в вылете бомбили основную цель в период с 21 ч. 19 мин. по 22 ч.05 мин. На цель было сброшено: 2 ФАБ-5000тга, 2 ФАБ-2000, 8 ФАБ-ЮООтга, 32 ФАБ-500тга, 2 ФАБ-500,22 ФАБ-250тга, 19 ЗАБ-ЮОцк, 2 САБ-250,18 САБ-100,2 ФОТАБ-ЮО-бО, 2 ФОТАБ-50-35. Из состава 25-го гв. АПДД основную цель бомбили Пе-8 с заводскими номерами: 42076 (командир корабля Адамов), 42067 (командир кора-* бля Обухов), 42028 (командир корабля Си</w:t>
      </w:r>
      <w:r w:rsidRPr="00070ADE">
        <w:rPr>
          <w:rFonts w:ascii="Times New Roman" w:hAnsi="Times New Roman"/>
          <w:color w:val="000000" w:themeColor="text1"/>
          <w:sz w:val="16"/>
          <w:szCs w:val="16"/>
        </w:rPr>
        <w:softHyphen/>
        <w:t>монов), 42088 (командир корабля Сугак), 42059 (командир корабля Шатров), 42210 (командир корабля Бездольный), 42410 (командир корабля Ищенко), 42311 (коман</w:t>
      </w:r>
      <w:r w:rsidRPr="00070ADE">
        <w:rPr>
          <w:rFonts w:ascii="Times New Roman" w:hAnsi="Times New Roman"/>
          <w:color w:val="000000" w:themeColor="text1"/>
          <w:sz w:val="16"/>
          <w:szCs w:val="16"/>
        </w:rPr>
        <w:softHyphen/>
        <w:t>дир корабля Зеленский), 42811 (командир корабля Пономаренко), 42911 (командир корабля Чурилин). Из состава 890-го АПДД бомбили основную цель Пе-8 с заводскими номерами: 4214 (командир корабля Откидач), 42078 (командир кора</w:t>
      </w:r>
      <w:r w:rsidRPr="00070ADE">
        <w:rPr>
          <w:rFonts w:ascii="Times New Roman" w:hAnsi="Times New Roman"/>
          <w:color w:val="000000" w:themeColor="text1"/>
          <w:sz w:val="16"/>
          <w:szCs w:val="16"/>
        </w:rPr>
        <w:softHyphen/>
        <w:t>бля Сукоркин), 42098 (командир корабля Кокарев), 42710 (командир корабля Кося- ченко), 42810 (командир корабля Олейни</w:t>
      </w:r>
      <w:r w:rsidRPr="00070ADE">
        <w:rPr>
          <w:rFonts w:ascii="Times New Roman" w:hAnsi="Times New Roman"/>
          <w:color w:val="000000" w:themeColor="text1"/>
          <w:sz w:val="16"/>
          <w:szCs w:val="16"/>
        </w:rPr>
        <w:softHyphen/>
        <w:t>ков), 42111 (командир корабля Самохин), 42411(командир корабля Романов), 42711 (командир корабля Марусиченко), 421011 (командир корабля Вихорев).</w:t>
      </w:r>
    </w:p>
    <w:p w14:paraId="44246211"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бомбометания два корабля приземлились на запасных аэродромах: экипаж самолета № 42311 сел на аэро</w:t>
      </w:r>
      <w:r w:rsidRPr="00070ADE">
        <w:rPr>
          <w:rFonts w:ascii="Times New Roman" w:hAnsi="Times New Roman"/>
          <w:color w:val="000000" w:themeColor="text1"/>
          <w:sz w:val="16"/>
          <w:szCs w:val="16"/>
        </w:rPr>
        <w:softHyphen/>
        <w:t>дроме Мигалово из-за опасения что не хватит горючего до своего аэродрома, а самолет № 42810 совершил посадку на аэродроме Выползово из-за отказа матчасти. Остальные семнадцать кора</w:t>
      </w:r>
      <w:r w:rsidRPr="00070ADE">
        <w:rPr>
          <w:rFonts w:ascii="Times New Roman" w:hAnsi="Times New Roman"/>
          <w:color w:val="000000" w:themeColor="text1"/>
          <w:sz w:val="16"/>
          <w:szCs w:val="16"/>
        </w:rPr>
        <w:softHyphen/>
        <w:t>блей сели на своем аэродроме в период с 00ч. 49 мин по 01 ч. 52 мин. Потерь не было, одна машина получила легкие по</w:t>
      </w:r>
      <w:r w:rsidRPr="00070ADE">
        <w:rPr>
          <w:rFonts w:ascii="Times New Roman" w:hAnsi="Times New Roman"/>
          <w:color w:val="000000" w:themeColor="text1"/>
          <w:sz w:val="16"/>
          <w:szCs w:val="16"/>
        </w:rPr>
        <w:softHyphen/>
        <w:t>вреждения от зенитного огня (19559).</w:t>
      </w:r>
    </w:p>
    <w:p w14:paraId="42D2F6F3" w14:textId="77777777" w:rsidR="00750752" w:rsidRPr="00070ADE" w:rsidRDefault="00750752" w:rsidP="00B56F90">
      <w:pPr>
        <w:spacing w:after="0" w:line="240" w:lineRule="auto"/>
        <w:jc w:val="both"/>
        <w:rPr>
          <w:rFonts w:ascii="Times New Roman" w:hAnsi="Times New Roman"/>
          <w:color w:val="000000" w:themeColor="text1"/>
          <w:sz w:val="16"/>
          <w:szCs w:val="16"/>
        </w:rPr>
      </w:pPr>
    </w:p>
    <w:p w14:paraId="32589AC6" w14:textId="77777777" w:rsidR="000511D8" w:rsidRPr="00070ADE" w:rsidRDefault="000511D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9 марта</w:t>
      </w:r>
      <w:r w:rsidRPr="00070ADE">
        <w:rPr>
          <w:rFonts w:ascii="Times New Roman" w:hAnsi="Times New Roman"/>
          <w:color w:val="000000" w:themeColor="text1"/>
          <w:sz w:val="16"/>
          <w:szCs w:val="16"/>
        </w:rPr>
        <w:t xml:space="preserve"> в 1944 году началась Псковская операция войск левого крыла Ленинградского фронта (9 марта – 15 апреля) (15063).</w:t>
      </w:r>
    </w:p>
    <w:p w14:paraId="0C36773F" w14:textId="77777777" w:rsidR="000511D8" w:rsidRPr="00070ADE" w:rsidRDefault="000511D8" w:rsidP="00B56F90">
      <w:pPr>
        <w:spacing w:after="0" w:line="240" w:lineRule="auto"/>
        <w:jc w:val="both"/>
        <w:rPr>
          <w:rFonts w:ascii="Times New Roman" w:hAnsi="Times New Roman"/>
          <w:color w:val="000000" w:themeColor="text1"/>
          <w:sz w:val="16"/>
          <w:szCs w:val="16"/>
        </w:rPr>
      </w:pPr>
    </w:p>
    <w:p w14:paraId="208973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марта 1945 года, по рассказу военного летчика Н.Ф. Исаенко, лейтенант С.А. Мазухин обнаружил северо-западнее Секешфехервара колонну вражеских автомашин с пехотой. Командир дивизии генерал-майор Смирнов разрешил нанести удар по колонне, имевшимися в полку (611-й истребительный авиаполк - прим. авт.) самолетами Як-9 (Як-9Т - прим. авт.) с пушкой калибра 37 мм. Удар мы наносили двумя группами по шесть истребителей в каждой...</w:t>
      </w:r>
    </w:p>
    <w:p w14:paraId="541322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Группа П.К. Рочагова, используя облачность, зашла на (...) колонну с тыла и нанесла удар по ходу ее движения, разгромив голову и создав на дороге (...) пробку. Едва завершил работу Рочагов, обрушилась на врага группа И.И. Сошникова. В итоге, наши летчики уничтожили два бронетранспортера, 16 автомашин, батарею зенитных орудий и до 50 солдат и офицеров противника".</w:t>
      </w:r>
    </w:p>
    <w:p w14:paraId="7D1849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борьбы со скоплениями войск и техники противника у переправ советские летчики-истребители применяли тактику "свободной охоты". Наиболее эффективно этот способ применялся для борьбы с автоколоннами. Летчики на истребителях Як-9Т, следовали, как правило, в стороне от дороги, либо пересекали ее "змейкой". Автоколонны чаще всего атаковали с пологого пикирования под углом 25-30 градусов. Открывали огонь обычно с высоты 200-300 м на удалении около 400 м до цели, а прекращали стрельбу на высоте 100 м. При этом летчик Як-9Т успевал израсходовать два-три патрона из 37-мм пушки и 15 - из крупнокалиберного пулемета (12046).</w:t>
      </w:r>
    </w:p>
    <w:p w14:paraId="27B675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DD7AE0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March 9 1944 All through the night Soviet planes bombard Tallinn. The terror attack kills over 500 people. Many residential quarters in the old and central parts of Tallinn are entirely ruined (1224).</w:t>
      </w:r>
    </w:p>
    <w:p w14:paraId="763C89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B7011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марта 1944 советская авиация всю ночь бомбила Таллинн и погибло 500 чел., а также многие кварталы старого города (1224).</w:t>
      </w:r>
    </w:p>
    <w:p w14:paraId="654D06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0B10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марта 1944 был последний сброс ФАБ-5000. Экипажи 25 гп (б. 746) Зеленского и Олейникова. Всего 746 или 25 из поступивших 18 ФАБ-5000 сбросили 13 и одну использовали на испытаниях (1564,11).</w:t>
      </w:r>
    </w:p>
    <w:p w14:paraId="5E8164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F8C8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марта 1944 согласно сообщению Совинформбюро АДД бомбила Таллинн - ж/д и суда. Не вернулось 5 машин (438,897).</w:t>
      </w:r>
    </w:p>
    <w:p w14:paraId="773C65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1ED5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9 на 10 марта 1944 в ответ на бомбардировку Таллинна финский 4 бап (LeR 4), вооруженный Ju-88, Do-17 и трофейными ДБ-3 и Ил-4 бомбил аэродромы в Левашово и Касимово на Карельском перешейке (3846,19).</w:t>
      </w:r>
    </w:p>
    <w:p w14:paraId="30F022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5735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марта 1944 группа в ходе Проскуров-Тернопольской операции ш нанесла удар по ж/д станции Браилов и движение на этом участке прекратилось на двое суток (340,189).</w:t>
      </w:r>
    </w:p>
    <w:p w14:paraId="379FBA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CCCC9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1CD293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82C7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марта 1944 года было получено:</w:t>
      </w:r>
    </w:p>
    <w:p w14:paraId="15215F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ЛИЧНО И СТРОГО СЕКРЕТНО ПОСЛАНИЕ ОТ г-на ЧЕРЧИЛЛЯ И ПРЕЗИДЕНТА РУЗВЕЛЬТА МАРШАЛУ СТАЛИНУ</w:t>
      </w:r>
    </w:p>
    <w:p w14:paraId="3C492A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Хотя Премьер-Министр поручил Послу Кларку Керру сообщить Вам, что эскадренные миноносцы, которые мы передаем Вам взаймы, старые, это было сделано лишь ради полной откровенности. В действительности они являются хорошими, исправными судами, вполне пригодными для несения эскортной службы. Во всем итальянском военно-морском флоте имеется лишь семь эскадренных миноносцев; остальные — это более старые миноносцы и торпедные катера. Кроме того, эти итальянские эскадренные миноносцы, когда мы их получим, совершенно не будут пригодны для работы на Севере без предварительной переделки, для которой потребуется весьма длительное время. Поэтому мы полагали, что восемь эскадренных миноносцев, которые предоставлены Британским Правительством, были бы быстрейшей и более удобной формой помощи Вам. Премьер-Министр сожалеет, что он не может в настоящее время выделить каких-либо новых эскадренных миноносцев. Две недели тому назад он потерял два эскадренных миноносца, причем один из них — в конвое, направлявшемся в Россию, а лишь при проведении десантных операций в “Оверлорде” для прибрежной работы против артиллерийских батарей он должен развернуть не менее сорока двух эскадренных миноносцев, значительная часть которых может быть потоплена. Каждое из имеющихся у него судов этого класса используется до пределов в интересах общего дела. Переброска японского флота в Сингапур создает на Индийском океане новую ситуацию для нас обоих. Бои в районе предмостного укрепления у Анцио и вообще во всем районе Средиземного моря в полном разгаре. Огромные конвои с войсками освободительной армии Соединенных Штатов пересекают Атлантический океан. Конвои в Россию в сопровождении весьма крупных сил эскадренных миноносцев будут отправляться до самой последней минуты перед началом “Оверлорда”. Наконец, речь идет о самом “Оверлорде”. Положение у Президента также напряженное, но в данном случае главным образом из-за большого масштаба и активности операций на Тихом океане. Наше совместное намерение передать Вам итальянские суда, на что было дано согласие в Москве и Тегеране, остается неизменным, и мы официально поставим этот вопрос перед Итальянским Правительством, когда состав последнего будет расширен и когда новые министры приступят к исполнению своих обязанностей. Нет никаких сомнений в отношении нашего права распоряжаться итальянским военно-морским флотом, речь идет лишь о том, чтобы воспользоваться этим правом с наименьшим ущербом для наших общих интересов. Тем временем все наши указанные суда подготавливаются к передаче Вам взаймы согласно существующей уже договоренности.</w:t>
      </w:r>
    </w:p>
    <w:p w14:paraId="5DED7F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РУЗВЕЛЬТ ЧЕРЧИЛЛЬ (7430).</w:t>
      </w:r>
    </w:p>
    <w:p w14:paraId="7B368F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2E69B1" w14:textId="77777777" w:rsidR="00E870E7"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4A99982C" w14:textId="77777777" w:rsidR="00E870E7" w:rsidRPr="00070ADE" w:rsidRDefault="00E870E7"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6FA6FB"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9 марта</w:t>
      </w:r>
      <w:r w:rsidRPr="00070ADE">
        <w:rPr>
          <w:rFonts w:ascii="Times New Roman" w:hAnsi="Times New Roman"/>
          <w:color w:val="000000" w:themeColor="text1"/>
          <w:sz w:val="16"/>
          <w:szCs w:val="16"/>
        </w:rPr>
        <w:t xml:space="preserve"> в 1944 году началась завершающая стадия лётных испытаний экспериментального самолёта </w:t>
      </w:r>
      <w:hyperlink r:id="rId73" w:tgtFrame="_blank" w:history="1">
        <w:r w:rsidRPr="00070ADE">
          <w:rPr>
            <w:rFonts w:ascii="Times New Roman" w:hAnsi="Times New Roman"/>
            <w:color w:val="000000" w:themeColor="text1"/>
            <w:sz w:val="16"/>
            <w:szCs w:val="16"/>
          </w:rPr>
          <w:t xml:space="preserve">«E.28/39» («G-40») «Pioneer» </w:t>
        </w:r>
      </w:hyperlink>
      <w:r w:rsidRPr="00070ADE">
        <w:rPr>
          <w:rFonts w:ascii="Times New Roman" w:hAnsi="Times New Roman"/>
          <w:color w:val="000000" w:themeColor="text1"/>
          <w:sz w:val="16"/>
          <w:szCs w:val="16"/>
        </w:rPr>
        <w:t>(разработчик: Gloster, Великобритания), в ходе которой самолёт налетал 10 часов и достиг скорости 755 км/ч, наибольшей на то время в Великобритании (15063).</w:t>
      </w:r>
    </w:p>
    <w:p w14:paraId="33659A3D" w14:textId="77777777" w:rsidR="00E870E7" w:rsidRPr="00070ADE" w:rsidRDefault="00E870E7" w:rsidP="00B56F90">
      <w:pPr>
        <w:spacing w:after="0" w:line="240" w:lineRule="auto"/>
        <w:jc w:val="both"/>
        <w:rPr>
          <w:rFonts w:ascii="Times New Roman" w:hAnsi="Times New Roman"/>
          <w:color w:val="000000" w:themeColor="text1"/>
          <w:sz w:val="16"/>
          <w:szCs w:val="16"/>
        </w:rPr>
      </w:pPr>
    </w:p>
    <w:p w14:paraId="0BC72773" w14:textId="77777777" w:rsidR="008362FC" w:rsidRPr="00070ADE" w:rsidRDefault="008362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9–10 марта (ночь) 1944 44 британских Ланкастера точно наносят удар по авиационному заводу в Мариньяне, Франция (20373).</w:t>
      </w:r>
    </w:p>
    <w:p w14:paraId="7241148E" w14:textId="77777777" w:rsidR="008362FC" w:rsidRPr="00070ADE" w:rsidRDefault="008362FC" w:rsidP="00B56F90">
      <w:pPr>
        <w:spacing w:after="0" w:line="240" w:lineRule="auto"/>
        <w:jc w:val="both"/>
        <w:rPr>
          <w:rFonts w:ascii="Times New Roman" w:hAnsi="Times New Roman"/>
          <w:color w:val="000000" w:themeColor="text1"/>
          <w:sz w:val="16"/>
          <w:szCs w:val="16"/>
        </w:rPr>
      </w:pPr>
    </w:p>
    <w:p w14:paraId="5BDAF2B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99D88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8B1D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Ил-1 был отправ</w:t>
      </w:r>
      <w:r w:rsidRPr="00070ADE">
        <w:rPr>
          <w:rFonts w:ascii="Times New Roman" w:hAnsi="Times New Roman"/>
          <w:color w:val="000000" w:themeColor="text1"/>
          <w:sz w:val="16"/>
          <w:szCs w:val="16"/>
        </w:rPr>
        <w:softHyphen/>
        <w:t>лен в Москву на авиазавод № 240 для дальнейшей доводки и проведения ис</w:t>
      </w:r>
      <w:r w:rsidRPr="00070ADE">
        <w:rPr>
          <w:rFonts w:ascii="Times New Roman" w:hAnsi="Times New Roman"/>
          <w:color w:val="000000" w:themeColor="text1"/>
          <w:sz w:val="16"/>
          <w:szCs w:val="16"/>
        </w:rPr>
        <w:softHyphen/>
        <w:t>пытаний. Вместе с самолетом в столицу выехала заводская бригада во главе с ведущим инженером А. Соболевым и заместителем начальника отдела эксп</w:t>
      </w:r>
      <w:r w:rsidRPr="00070ADE">
        <w:rPr>
          <w:rFonts w:ascii="Times New Roman" w:hAnsi="Times New Roman"/>
          <w:color w:val="000000" w:themeColor="text1"/>
          <w:sz w:val="16"/>
          <w:szCs w:val="16"/>
        </w:rPr>
        <w:softHyphen/>
        <w:t>луатации и ремонта С. Малышевым. Вес пустого двухместного Ил-1 со</w:t>
      </w:r>
      <w:r w:rsidRPr="00070ADE">
        <w:rPr>
          <w:rFonts w:ascii="Times New Roman" w:hAnsi="Times New Roman"/>
          <w:color w:val="000000" w:themeColor="text1"/>
          <w:sz w:val="16"/>
          <w:szCs w:val="16"/>
        </w:rPr>
        <w:softHyphen/>
        <w:t>ставлял 4722 кг, нормальный полет</w:t>
      </w:r>
      <w:r w:rsidRPr="00070ADE">
        <w:rPr>
          <w:rFonts w:ascii="Times New Roman" w:hAnsi="Times New Roman"/>
          <w:color w:val="000000" w:themeColor="text1"/>
          <w:sz w:val="16"/>
          <w:szCs w:val="16"/>
        </w:rPr>
        <w:softHyphen/>
        <w:t>ный — 6099 кг. Бронекорпус имел очень чистые аэродинамические формы за счет новой компоновки водо- и маслора-диаторов, которые полностью размеща</w:t>
      </w:r>
      <w:r w:rsidRPr="00070ADE">
        <w:rPr>
          <w:rFonts w:ascii="Times New Roman" w:hAnsi="Times New Roman"/>
          <w:color w:val="000000" w:themeColor="text1"/>
          <w:sz w:val="16"/>
          <w:szCs w:val="16"/>
        </w:rPr>
        <w:softHyphen/>
        <w:t>лись в корпусе за передним лонжероном центроплана под полом кабины пилота. Благодаря такому решению обводы бро-некорпуса Ил-1 удалось сделать более плавными, чем у Ил-2, а более выгод</w:t>
      </w:r>
      <w:r w:rsidRPr="00070ADE">
        <w:rPr>
          <w:rFonts w:ascii="Times New Roman" w:hAnsi="Times New Roman"/>
          <w:color w:val="000000" w:themeColor="text1"/>
          <w:sz w:val="16"/>
          <w:szCs w:val="16"/>
        </w:rPr>
        <w:softHyphen/>
        <w:t>ная в аэродинамическом отношении схе</w:t>
      </w:r>
      <w:r w:rsidRPr="00070ADE">
        <w:rPr>
          <w:rFonts w:ascii="Times New Roman" w:hAnsi="Times New Roman"/>
          <w:color w:val="000000" w:themeColor="text1"/>
          <w:sz w:val="16"/>
          <w:szCs w:val="16"/>
        </w:rPr>
        <w:softHyphen/>
        <w:t>ма продува радиаторов позволила уменьшить их размеры и сопротивление. Крыло Ил-1 по сравнению с Ил-2 было более тонким (относительной толщиной 18% у корня) и компоновалось из скоро</w:t>
      </w:r>
      <w:r w:rsidRPr="00070ADE">
        <w:rPr>
          <w:rFonts w:ascii="Times New Roman" w:hAnsi="Times New Roman"/>
          <w:color w:val="000000" w:themeColor="text1"/>
          <w:sz w:val="16"/>
          <w:szCs w:val="16"/>
        </w:rPr>
        <w:softHyphen/>
        <w:t>стных аэродинамических профилей: у корня NASA-0018, далее у разъемов NASA-230 и на концах NASA-4410. Кры</w:t>
      </w:r>
      <w:r w:rsidRPr="00070ADE">
        <w:rPr>
          <w:rFonts w:ascii="Times New Roman" w:hAnsi="Times New Roman"/>
          <w:color w:val="000000" w:themeColor="text1"/>
          <w:sz w:val="16"/>
          <w:szCs w:val="16"/>
        </w:rPr>
        <w:softHyphen/>
        <w:t>ло снабжалось взлетно-посадочными щитками типа «Шренк» и элеронами типа «Фрайз». Шасси убиралось назад по по</w:t>
      </w:r>
      <w:r w:rsidRPr="00070ADE">
        <w:rPr>
          <w:rFonts w:ascii="Times New Roman" w:hAnsi="Times New Roman"/>
          <w:color w:val="000000" w:themeColor="text1"/>
          <w:sz w:val="16"/>
          <w:szCs w:val="16"/>
        </w:rPr>
        <w:softHyphen/>
        <w:t>лету в межлонжеронное пространство центроплана с поворотом колес в про</w:t>
      </w:r>
      <w:r w:rsidRPr="00070ADE">
        <w:rPr>
          <w:rFonts w:ascii="Times New Roman" w:hAnsi="Times New Roman"/>
          <w:color w:val="000000" w:themeColor="text1"/>
          <w:sz w:val="16"/>
          <w:szCs w:val="16"/>
        </w:rPr>
        <w:softHyphen/>
        <w:t>цессе уборки на 86° по типу, аналогич</w:t>
      </w:r>
      <w:r w:rsidRPr="00070ADE">
        <w:rPr>
          <w:rFonts w:ascii="Times New Roman" w:hAnsi="Times New Roman"/>
          <w:color w:val="000000" w:themeColor="text1"/>
          <w:sz w:val="16"/>
          <w:szCs w:val="16"/>
        </w:rPr>
        <w:softHyphen/>
        <w:t>ному Су-6, что позволило уменьшить мидель и лобовое сопротивление обте</w:t>
      </w:r>
      <w:r w:rsidRPr="00070ADE">
        <w:rPr>
          <w:rFonts w:ascii="Times New Roman" w:hAnsi="Times New Roman"/>
          <w:color w:val="000000" w:themeColor="text1"/>
          <w:sz w:val="16"/>
          <w:szCs w:val="16"/>
        </w:rPr>
        <w:softHyphen/>
        <w:t>кателей шасси. Для устранения потерь на внутреннее сопротивление фюзеля</w:t>
      </w:r>
      <w:r w:rsidRPr="00070ADE">
        <w:rPr>
          <w:rFonts w:ascii="Times New Roman" w:hAnsi="Times New Roman"/>
          <w:color w:val="000000" w:themeColor="text1"/>
          <w:sz w:val="16"/>
          <w:szCs w:val="16"/>
        </w:rPr>
        <w:softHyphen/>
        <w:t>жа встречному потоку воздуха на Ил-1 герметизировали все отверстия и щели, через которые мог перетекать воздух, и были поставлены дополнительные пере</w:t>
      </w:r>
      <w:r w:rsidRPr="00070ADE">
        <w:rPr>
          <w:rFonts w:ascii="Times New Roman" w:hAnsi="Times New Roman"/>
          <w:color w:val="000000" w:themeColor="text1"/>
          <w:sz w:val="16"/>
          <w:szCs w:val="16"/>
        </w:rPr>
        <w:softHyphen/>
        <w:t>городки, делящие самолет на отсеки. В итоге лобовое сопротивление Ил-1 по сравнению с Ил-2 оказалось почти в два раза меньше. Боевая живучесть самолета обеспе</w:t>
      </w:r>
      <w:r w:rsidRPr="00070ADE">
        <w:rPr>
          <w:rFonts w:ascii="Times New Roman" w:hAnsi="Times New Roman"/>
          <w:color w:val="000000" w:themeColor="text1"/>
          <w:sz w:val="16"/>
          <w:szCs w:val="16"/>
        </w:rPr>
        <w:softHyphen/>
        <w:t>чивалась применением бронекорпуса, включенным в силовую схему и прикры</w:t>
      </w:r>
      <w:r w:rsidRPr="00070ADE">
        <w:rPr>
          <w:rFonts w:ascii="Times New Roman" w:hAnsi="Times New Roman"/>
          <w:color w:val="000000" w:themeColor="text1"/>
          <w:sz w:val="16"/>
          <w:szCs w:val="16"/>
        </w:rPr>
        <w:softHyphen/>
        <w:t>вавшим мотор, его агрегаты, бензо- и маслобаки с магистралями. Для защиты воздушного стрелка и летчика со сторо</w:t>
      </w:r>
      <w:r w:rsidRPr="00070ADE">
        <w:rPr>
          <w:rFonts w:ascii="Times New Roman" w:hAnsi="Times New Roman"/>
          <w:color w:val="000000" w:themeColor="text1"/>
          <w:sz w:val="16"/>
          <w:szCs w:val="16"/>
        </w:rPr>
        <w:softHyphen/>
        <w:t>ны задней полусферы были установле</w:t>
      </w:r>
      <w:r w:rsidRPr="00070ADE">
        <w:rPr>
          <w:rFonts w:ascii="Times New Roman" w:hAnsi="Times New Roman"/>
          <w:color w:val="000000" w:themeColor="text1"/>
          <w:sz w:val="16"/>
          <w:szCs w:val="16"/>
        </w:rPr>
        <w:softHyphen/>
        <w:t>ны экранированные бронеплиты (броне-перегородка стрелка, бронестенка и под</w:t>
      </w:r>
      <w:r w:rsidRPr="00070ADE">
        <w:rPr>
          <w:rFonts w:ascii="Times New Roman" w:hAnsi="Times New Roman"/>
          <w:color w:val="000000" w:themeColor="text1"/>
          <w:sz w:val="16"/>
          <w:szCs w:val="16"/>
        </w:rPr>
        <w:softHyphen/>
        <w:t>головник пилота), состоявшие из двух 8-мм броневых листов с воздушным про</w:t>
      </w:r>
      <w:r w:rsidRPr="00070ADE">
        <w:rPr>
          <w:rFonts w:ascii="Times New Roman" w:hAnsi="Times New Roman"/>
          <w:color w:val="000000" w:themeColor="text1"/>
          <w:sz w:val="16"/>
          <w:szCs w:val="16"/>
        </w:rPr>
        <w:softHyphen/>
        <w:t>межутком между ними. Такие плиты бо</w:t>
      </w:r>
      <w:r w:rsidRPr="00070ADE">
        <w:rPr>
          <w:rFonts w:ascii="Times New Roman" w:hAnsi="Times New Roman"/>
          <w:color w:val="000000" w:themeColor="text1"/>
          <w:sz w:val="16"/>
          <w:szCs w:val="16"/>
        </w:rPr>
        <w:softHyphen/>
        <w:t>лее эффективно защищали стрелка и пилота от поражения 20-мм снарядами немецких авиапушек и осколками зенит</w:t>
      </w:r>
      <w:r w:rsidRPr="00070ADE">
        <w:rPr>
          <w:rFonts w:ascii="Times New Roman" w:hAnsi="Times New Roman"/>
          <w:color w:val="000000" w:themeColor="text1"/>
          <w:sz w:val="16"/>
          <w:szCs w:val="16"/>
        </w:rPr>
        <w:softHyphen/>
        <w:t>ных снарядов. Учитывая опыт боевого применения Ил-2, верхняя часть броне</w:t>
      </w:r>
      <w:r w:rsidRPr="00070ADE">
        <w:rPr>
          <w:rFonts w:ascii="Times New Roman" w:hAnsi="Times New Roman"/>
          <w:color w:val="000000" w:themeColor="text1"/>
          <w:sz w:val="16"/>
          <w:szCs w:val="16"/>
        </w:rPr>
        <w:softHyphen/>
        <w:t>корпуса, практически никогда не поража</w:t>
      </w:r>
      <w:r w:rsidRPr="00070ADE">
        <w:rPr>
          <w:rFonts w:ascii="Times New Roman" w:hAnsi="Times New Roman"/>
          <w:color w:val="000000" w:themeColor="text1"/>
          <w:sz w:val="16"/>
          <w:szCs w:val="16"/>
        </w:rPr>
        <w:softHyphen/>
        <w:t>емая огнем с земли, выполнялась из дюралюминиевых листов толщиной 4 мм. Зато боковые стенки капота мотора усилили, особенно снизу, выполнив из листов брони толщиной 6 — 8 мм. Ос</w:t>
      </w:r>
      <w:r w:rsidRPr="00070ADE">
        <w:rPr>
          <w:rFonts w:ascii="Times New Roman" w:hAnsi="Times New Roman"/>
          <w:color w:val="000000" w:themeColor="text1"/>
          <w:sz w:val="16"/>
          <w:szCs w:val="16"/>
        </w:rPr>
        <w:softHyphen/>
        <w:t>тальные бронелисты капота (люки и крышки) и броня бензобаков имели тол</w:t>
      </w:r>
      <w:r w:rsidRPr="00070ADE">
        <w:rPr>
          <w:rFonts w:ascii="Times New Roman" w:hAnsi="Times New Roman"/>
          <w:color w:val="000000" w:themeColor="text1"/>
          <w:sz w:val="16"/>
          <w:szCs w:val="16"/>
        </w:rPr>
        <w:softHyphen/>
        <w:t>щину 4 мм. Втулка винта прикрывалась спереди диском толщиной 6 мм. Боковые листы кабин стрелка и пилота имели толщину соответственно 6 и 8 мм, нижний боковой лист кабины летчика — 5 мм. Сверху пилот прикрывался 8-мм плитой, установленной на фонаре. Полы кабин выполнялись из 6-мм лис</w:t>
      </w:r>
      <w:r w:rsidRPr="00070ADE">
        <w:rPr>
          <w:rFonts w:ascii="Times New Roman" w:hAnsi="Times New Roman"/>
          <w:color w:val="000000" w:themeColor="text1"/>
          <w:sz w:val="16"/>
          <w:szCs w:val="16"/>
        </w:rPr>
        <w:softHyphen/>
        <w:t>та. Тоннели водо- и маслорадиаторов со стороны заднего лонжерона прикрыва</w:t>
      </w:r>
      <w:r w:rsidRPr="00070ADE">
        <w:rPr>
          <w:rFonts w:ascii="Times New Roman" w:hAnsi="Times New Roman"/>
          <w:color w:val="000000" w:themeColor="text1"/>
          <w:sz w:val="16"/>
          <w:szCs w:val="16"/>
        </w:rPr>
        <w:softHyphen/>
        <w:t>лись 10-мм броней, а бронезаслонки на выходе тоннеля имели толщину 5 и 6 мм. Откидывающиеся боковые" крышки фо</w:t>
      </w:r>
      <w:r w:rsidRPr="00070ADE">
        <w:rPr>
          <w:rFonts w:ascii="Times New Roman" w:hAnsi="Times New Roman"/>
          <w:color w:val="000000" w:themeColor="text1"/>
          <w:sz w:val="16"/>
          <w:szCs w:val="16"/>
        </w:rPr>
        <w:softHyphen/>
        <w:t>наря кабины пилота изготавливались из металлической брони толщиной 6 мм и плексигласа. В козырьке ставилась про</w:t>
      </w:r>
      <w:r w:rsidRPr="00070ADE">
        <w:rPr>
          <w:rFonts w:ascii="Times New Roman" w:hAnsi="Times New Roman"/>
          <w:color w:val="000000" w:themeColor="text1"/>
          <w:sz w:val="16"/>
          <w:szCs w:val="16"/>
        </w:rPr>
        <w:softHyphen/>
        <w:t>зрачная броня толщиной 64 мм. Голова стрелка ни металлической, ни прозрач</w:t>
      </w:r>
      <w:r w:rsidRPr="00070ADE">
        <w:rPr>
          <w:rFonts w:ascii="Times New Roman" w:hAnsi="Times New Roman"/>
          <w:color w:val="000000" w:themeColor="text1"/>
          <w:sz w:val="16"/>
          <w:szCs w:val="16"/>
        </w:rPr>
        <w:softHyphen/>
        <w:t>ной броней не прикрывалась. Живучесть повышалась также за счет использования протектированных топ</w:t>
      </w:r>
      <w:r w:rsidRPr="00070ADE">
        <w:rPr>
          <w:rFonts w:ascii="Times New Roman" w:hAnsi="Times New Roman"/>
          <w:color w:val="000000" w:themeColor="text1"/>
          <w:sz w:val="16"/>
          <w:szCs w:val="16"/>
        </w:rPr>
        <w:softHyphen/>
        <w:t>ливных баков и тяг повышенной прочно</w:t>
      </w:r>
      <w:r w:rsidRPr="00070ADE">
        <w:rPr>
          <w:rFonts w:ascii="Times New Roman" w:hAnsi="Times New Roman"/>
          <w:color w:val="000000" w:themeColor="text1"/>
          <w:sz w:val="16"/>
          <w:szCs w:val="16"/>
        </w:rPr>
        <w:softHyphen/>
        <w:t>сти в системе управления рулем высоты. Как ни странно, но система заполне</w:t>
      </w:r>
      <w:r w:rsidRPr="00070ADE">
        <w:rPr>
          <w:rFonts w:ascii="Times New Roman" w:hAnsi="Times New Roman"/>
          <w:color w:val="000000" w:themeColor="text1"/>
          <w:sz w:val="16"/>
          <w:szCs w:val="16"/>
        </w:rPr>
        <w:softHyphen/>
        <w:t>ния бензобаков нейтральным газом не предусматривалась, хотя необходимость ее на боевом самолете к этому времени уже была очевидной. Отсутствовало и дублирование в канале управления ру</w:t>
      </w:r>
      <w:r w:rsidRPr="00070ADE">
        <w:rPr>
          <w:rFonts w:ascii="Times New Roman" w:hAnsi="Times New Roman"/>
          <w:color w:val="000000" w:themeColor="text1"/>
          <w:sz w:val="16"/>
          <w:szCs w:val="16"/>
        </w:rPr>
        <w:softHyphen/>
        <w:t>лем высоты. В ходе доводочных работ на заводе № 240 на Ил-1 заменили мотор, устано</w:t>
      </w:r>
      <w:r w:rsidRPr="00070ADE">
        <w:rPr>
          <w:rFonts w:ascii="Times New Roman" w:hAnsi="Times New Roman"/>
          <w:color w:val="000000" w:themeColor="text1"/>
          <w:sz w:val="16"/>
          <w:szCs w:val="16"/>
        </w:rPr>
        <w:softHyphen/>
        <w:t>вили новую оборонительную подвижную установку ВУ-7 с пушкой Ш-20 с боеза</w:t>
      </w:r>
      <w:r w:rsidRPr="00070ADE">
        <w:rPr>
          <w:rFonts w:ascii="Times New Roman" w:hAnsi="Times New Roman"/>
          <w:color w:val="000000" w:themeColor="text1"/>
          <w:sz w:val="16"/>
          <w:szCs w:val="16"/>
        </w:rPr>
        <w:softHyphen/>
        <w:t>пасом 150 снарядов и кассету ДАГ-10 на 10 гранат АГ-2. Ракетные орудия не пре</w:t>
      </w:r>
      <w:r w:rsidRPr="00070ADE">
        <w:rPr>
          <w:rFonts w:ascii="Times New Roman" w:hAnsi="Times New Roman"/>
          <w:color w:val="000000" w:themeColor="text1"/>
          <w:sz w:val="16"/>
          <w:szCs w:val="16"/>
        </w:rPr>
        <w:softHyphen/>
        <w:t>дусматривались. Запас топлива и мас</w:t>
      </w:r>
      <w:r w:rsidRPr="00070ADE">
        <w:rPr>
          <w:rFonts w:ascii="Times New Roman" w:hAnsi="Times New Roman"/>
          <w:color w:val="000000" w:themeColor="text1"/>
          <w:sz w:val="16"/>
          <w:szCs w:val="16"/>
        </w:rPr>
        <w:softHyphen/>
        <w:t>ла увеличили до 530 кг и 65 кг соответ</w:t>
      </w:r>
      <w:r w:rsidRPr="00070ADE">
        <w:rPr>
          <w:rFonts w:ascii="Times New Roman" w:hAnsi="Times New Roman"/>
          <w:color w:val="000000" w:themeColor="text1"/>
          <w:sz w:val="16"/>
          <w:szCs w:val="16"/>
        </w:rPr>
        <w:softHyphen/>
        <w:t>ственно. Одновременно изменениям подверглось бронирование самолета. Распределение толщин листов брони сделали более рациональным. Дело в том, что, хотя общий вес брони на Ил-1 достигал 1052,1 кг, специалисты НИИ ВВС при анализе схемы бронирования сделали ряд замечаний и рекомендова</w:t>
      </w:r>
      <w:r w:rsidRPr="00070ADE">
        <w:rPr>
          <w:rFonts w:ascii="Times New Roman" w:hAnsi="Times New Roman"/>
          <w:color w:val="000000" w:themeColor="text1"/>
          <w:sz w:val="16"/>
          <w:szCs w:val="16"/>
        </w:rPr>
        <w:softHyphen/>
        <w:t>ли улучшить ее «путем перераспре</w:t>
      </w:r>
      <w:r w:rsidRPr="00070ADE">
        <w:rPr>
          <w:rFonts w:ascii="Times New Roman" w:hAnsi="Times New Roman"/>
          <w:color w:val="000000" w:themeColor="text1"/>
          <w:sz w:val="16"/>
          <w:szCs w:val="16"/>
        </w:rPr>
        <w:softHyphen/>
        <w:t xml:space="preserve">деления». Оптимизация бронирования Ил-1 по рекомендациям </w:t>
      </w:r>
      <w:r w:rsidRPr="00070ADE">
        <w:rPr>
          <w:rFonts w:ascii="Times New Roman" w:hAnsi="Times New Roman"/>
          <w:color w:val="000000" w:themeColor="text1"/>
          <w:sz w:val="16"/>
          <w:szCs w:val="16"/>
        </w:rPr>
        <w:lastRenderedPageBreak/>
        <w:t>НИИ ВВС позволила уменьшить этот вес на 42 кг, причем сте</w:t>
      </w:r>
      <w:r w:rsidRPr="00070ADE">
        <w:rPr>
          <w:rFonts w:ascii="Times New Roman" w:hAnsi="Times New Roman"/>
          <w:color w:val="000000" w:themeColor="text1"/>
          <w:sz w:val="16"/>
          <w:szCs w:val="16"/>
        </w:rPr>
        <w:softHyphen/>
        <w:t>пень защищенности экипажа и жизнен</w:t>
      </w:r>
      <w:r w:rsidRPr="00070ADE">
        <w:rPr>
          <w:rFonts w:ascii="Times New Roman" w:hAnsi="Times New Roman"/>
          <w:color w:val="000000" w:themeColor="text1"/>
          <w:sz w:val="16"/>
          <w:szCs w:val="16"/>
        </w:rPr>
        <w:softHyphen/>
        <w:t>но важных элементов конструкции от огня крупнокалиберных пулеметов и ос</w:t>
      </w:r>
      <w:r w:rsidRPr="00070ADE">
        <w:rPr>
          <w:rFonts w:ascii="Times New Roman" w:hAnsi="Times New Roman"/>
          <w:color w:val="000000" w:themeColor="text1"/>
          <w:sz w:val="16"/>
          <w:szCs w:val="16"/>
        </w:rPr>
        <w:softHyphen/>
        <w:t>колков практически осталась на прежнем уровне. Верхние дюралевые листы оди</w:t>
      </w:r>
      <w:r w:rsidRPr="00070ADE">
        <w:rPr>
          <w:rFonts w:ascii="Times New Roman" w:hAnsi="Times New Roman"/>
          <w:color w:val="000000" w:themeColor="text1"/>
          <w:sz w:val="16"/>
          <w:szCs w:val="16"/>
        </w:rPr>
        <w:softHyphen/>
        <w:t>наковой толщины (4 мм) заменили на листы толщиной от 1,5 до 6 мм. Боко</w:t>
      </w:r>
      <w:r w:rsidRPr="00070ADE">
        <w:rPr>
          <w:rFonts w:ascii="Times New Roman" w:hAnsi="Times New Roman"/>
          <w:color w:val="000000" w:themeColor="text1"/>
          <w:sz w:val="16"/>
          <w:szCs w:val="16"/>
        </w:rPr>
        <w:softHyphen/>
        <w:t>вые и нижние стенки капота мотора ста</w:t>
      </w:r>
      <w:r w:rsidRPr="00070ADE">
        <w:rPr>
          <w:rFonts w:ascii="Times New Roman" w:hAnsi="Times New Roman"/>
          <w:color w:val="000000" w:themeColor="text1"/>
          <w:sz w:val="16"/>
          <w:szCs w:val="16"/>
        </w:rPr>
        <w:softHyphen/>
        <w:t>ли тоньше (4 мм), так же, как борта ка</w:t>
      </w:r>
      <w:r w:rsidRPr="00070ADE">
        <w:rPr>
          <w:rFonts w:ascii="Times New Roman" w:hAnsi="Times New Roman"/>
          <w:color w:val="000000" w:themeColor="text1"/>
          <w:sz w:val="16"/>
          <w:szCs w:val="16"/>
        </w:rPr>
        <w:softHyphen/>
        <w:t>бины пилота (6 мм). Броню нижнего бен</w:t>
      </w:r>
      <w:r w:rsidRPr="00070ADE">
        <w:rPr>
          <w:rFonts w:ascii="Times New Roman" w:hAnsi="Times New Roman"/>
          <w:color w:val="000000" w:themeColor="text1"/>
          <w:sz w:val="16"/>
          <w:szCs w:val="16"/>
        </w:rPr>
        <w:softHyphen/>
        <w:t>зобака, наоборот, нарастили до 6 мм. Итоговый вес составил 930 кг, плюс креп</w:t>
      </w:r>
      <w:r w:rsidRPr="00070ADE">
        <w:rPr>
          <w:rFonts w:ascii="Times New Roman" w:hAnsi="Times New Roman"/>
          <w:color w:val="000000" w:themeColor="text1"/>
          <w:sz w:val="16"/>
          <w:szCs w:val="16"/>
        </w:rPr>
        <w:softHyphen/>
        <w:t>ления брони — 80 кг. В результате всех доработок вес пус</w:t>
      </w:r>
      <w:r w:rsidRPr="00070ADE">
        <w:rPr>
          <w:rFonts w:ascii="Times New Roman" w:hAnsi="Times New Roman"/>
          <w:color w:val="000000" w:themeColor="text1"/>
          <w:sz w:val="16"/>
          <w:szCs w:val="16"/>
        </w:rPr>
        <w:softHyphen/>
        <w:t>того Ил-1 увеличился до 5050 кг, а нор</w:t>
      </w:r>
      <w:r w:rsidRPr="00070ADE">
        <w:rPr>
          <w:rFonts w:ascii="Times New Roman" w:hAnsi="Times New Roman"/>
          <w:color w:val="000000" w:themeColor="text1"/>
          <w:sz w:val="16"/>
          <w:szCs w:val="16"/>
        </w:rPr>
        <w:softHyphen/>
        <w:t>мальный полетный—до 6300 кг (с 400 кг бомб), перегрузочный —до 6500 кг (с 600 кг бомб). В перспективе предусмат</w:t>
      </w:r>
      <w:r w:rsidRPr="00070ADE">
        <w:rPr>
          <w:rFonts w:ascii="Times New Roman" w:hAnsi="Times New Roman"/>
          <w:color w:val="000000" w:themeColor="text1"/>
          <w:sz w:val="16"/>
          <w:szCs w:val="16"/>
        </w:rPr>
        <w:softHyphen/>
        <w:t>ривалась замена консолей с пушками ВЯ-23 на консоли с более мощными 11П-37 (10680).</w:t>
      </w:r>
    </w:p>
    <w:p w14:paraId="12E641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5F6A2A" w14:textId="77777777" w:rsidR="00473751" w:rsidRPr="00070ADE" w:rsidRDefault="00473751" w:rsidP="00B56F90">
      <w:pPr>
        <w:spacing w:after="0" w:line="240" w:lineRule="auto"/>
        <w:jc w:val="both"/>
        <w:rPr>
          <w:rStyle w:val="77"/>
          <w:rFonts w:eastAsiaTheme="minorHAnsi"/>
          <w:color w:val="000000" w:themeColor="text1"/>
          <w:sz w:val="16"/>
          <w:szCs w:val="16"/>
        </w:rPr>
      </w:pPr>
      <w:r w:rsidRPr="00070ADE">
        <w:rPr>
          <w:rStyle w:val="77"/>
          <w:rFonts w:eastAsiaTheme="minorHAnsi"/>
          <w:color w:val="000000" w:themeColor="text1"/>
          <w:sz w:val="16"/>
          <w:szCs w:val="16"/>
        </w:rPr>
        <w:t>10 марта 1944, согласно сводке по опытному самолетостроению, двухместный вариант Ил-1 с АМ-42 был отправлен в Москву на авиазавод № 240 для дальнейшей доводки и проведения испытаний. Вместе с самолетом в столицу выехала заводская бригада во главе с ведущим инженером А. Соболевым и заместителем начальника отдела эксплуатации и ремонта С. Малышевым.</w:t>
      </w:r>
    </w:p>
    <w:p w14:paraId="357888AD" w14:textId="77777777" w:rsidR="00473751" w:rsidRPr="00070ADE" w:rsidRDefault="00473751"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 xml:space="preserve">Вес пустого двухместного Ил-1 составил 4722 кг, нормальный полетный вес - 6099 кг. Благодаря размещению водо- и маслорадиаторов за передним лонжероном центроплана под полом кабины летчика обводы бронекорпуса удалось сделать плавными. Одновременно более выгодная в аэродинамическом отношении схема продува радиаторов (по каналам, расположенным в носке центроплана по обе стороны от мотор а) позволила уменьшить их размеры и сопротивление. Крыло Ил-1 по сравнению с Ил-2 было более тонким (относительной толщиной 18 % у корня) и компоновалось из скоростных аэродинамических профилей: у корня </w:t>
      </w:r>
      <w:r w:rsidRPr="00070ADE">
        <w:rPr>
          <w:rStyle w:val="77"/>
          <w:rFonts w:eastAsiaTheme="minorHAnsi"/>
          <w:color w:val="000000" w:themeColor="text1"/>
          <w:sz w:val="16"/>
          <w:szCs w:val="16"/>
          <w:lang w:val="en-US"/>
        </w:rPr>
        <w:t>NACA</w:t>
      </w:r>
      <w:r w:rsidRPr="00070ADE">
        <w:rPr>
          <w:rStyle w:val="77"/>
          <w:rFonts w:eastAsiaTheme="minorHAnsi"/>
          <w:color w:val="000000" w:themeColor="text1"/>
          <w:sz w:val="16"/>
          <w:szCs w:val="16"/>
        </w:rPr>
        <w:t xml:space="preserve">-0018, далее у разъемов </w:t>
      </w:r>
      <w:r w:rsidRPr="00070ADE">
        <w:rPr>
          <w:rStyle w:val="77"/>
          <w:rFonts w:eastAsiaTheme="minorHAnsi"/>
          <w:color w:val="000000" w:themeColor="text1"/>
          <w:sz w:val="16"/>
          <w:szCs w:val="16"/>
          <w:lang w:val="en-US"/>
        </w:rPr>
        <w:t>NACA</w:t>
      </w:r>
      <w:r w:rsidRPr="00070ADE">
        <w:rPr>
          <w:rStyle w:val="77"/>
          <w:rFonts w:eastAsiaTheme="minorHAnsi"/>
          <w:color w:val="000000" w:themeColor="text1"/>
          <w:sz w:val="16"/>
          <w:szCs w:val="16"/>
        </w:rPr>
        <w:t xml:space="preserve">-230 и на концах крыла </w:t>
      </w:r>
      <w:r w:rsidRPr="00070ADE">
        <w:rPr>
          <w:rStyle w:val="77"/>
          <w:rFonts w:eastAsiaTheme="minorHAnsi"/>
          <w:color w:val="000000" w:themeColor="text1"/>
          <w:sz w:val="16"/>
          <w:szCs w:val="16"/>
          <w:lang w:val="en-US"/>
        </w:rPr>
        <w:t>NACA</w:t>
      </w:r>
      <w:r w:rsidRPr="00070ADE">
        <w:rPr>
          <w:rStyle w:val="77"/>
          <w:rFonts w:eastAsiaTheme="minorHAnsi"/>
          <w:color w:val="000000" w:themeColor="text1"/>
          <w:sz w:val="16"/>
          <w:szCs w:val="16"/>
        </w:rPr>
        <w:t>-4410. Шасси убиралось назад по полету в межлонжеронное пространство центроплана с поворотом колес в процессе уборки на 90°. Для устранения потерь на внутреннее сопротивление фюзеляжа встречному потоку воздуха на Ил-1 герметизировали все отверстия и щели, через которые мог перетекать воздух, и были поставлены дополнительные перегородки, делящие самолет на отсеки. В итоге лобовое сопротивление Ил-1 оказалось в 2,03 раза меньше, чем у Ил-2, и в 1,55 раза в сравнении с Ил-8.</w:t>
      </w:r>
    </w:p>
    <w:p w14:paraId="6C203042" w14:textId="77777777" w:rsidR="00473751" w:rsidRPr="00070ADE" w:rsidRDefault="00473751"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Боевая живучесть самолета обеспечивалась применением бронекорпуса, включенного в силовую схему и прикрывавшего мотор, его агрегаты, бензо- и маслобаки с магистралями. Для защиты воздушного стрелка и летчика со стороны задней полусферы были установлены экранированные бронеплиты (8+8 мм) (бронеперегородка стрелка, бронестенка и подголовник летчика).</w:t>
      </w:r>
    </w:p>
    <w:p w14:paraId="29E844E5" w14:textId="77777777" w:rsidR="00473751" w:rsidRPr="00070ADE" w:rsidRDefault="00473751"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Учитывая опыт боевого применения Ил -2, верхняя часть бронекорпуса, практически никогда не поражаемая огнем с земли, выполнялась из дюралюминовых листов толщиной 4 мм. Зато нижние боковые стенки капота мотора усилили, особенно снизу, выполнив из листов брони толщиной 6-8 мм. Остальные бронелисты капота (люки и крышки) и броня бензобаков имели толщину 4 мм. Втулка винта прикрывалась спереди диском толщиной 6 мм.</w:t>
      </w:r>
    </w:p>
    <w:p w14:paraId="4EA7D4D7" w14:textId="77777777" w:rsidR="00473751" w:rsidRPr="00070ADE" w:rsidRDefault="00473751"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Боковые листы кабин стрелка и пилота имели толщину соответственно 6 и 8 мм, нижний боковой лист кабины летчика - 5 мм. Сверху пилот прикрывался 8-мм плитой, установленной на фонаре. Полы кабин выполнялись из 6-мм листа толщиной. Тоннели водо - и маслорадиаторов со стороны заднего лонжерона прикрывались 10-мм броней, а бронезаслонки на выходе тоннеля имели толщину 5 и 6 мм. Откидывающиеся боковые крышки фонаря кабины пилота изготавливались из металлической брони толщиной 6 мм и плексигласа. В козырьке фонаря летчика ставилась прозрачная броня толщиной 64 мм. Голова стрелка ни металлической, ни прозрачной броней не прикрывалась.</w:t>
      </w:r>
    </w:p>
    <w:p w14:paraId="179D192B" w14:textId="77777777" w:rsidR="00473751" w:rsidRPr="00070ADE" w:rsidRDefault="00473751"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Живучесть повышалась также за счет использования протектированных топливных баков и применением тяг повышенной прочности в системе управления рулем высоты. Как ни странно, но система заполнения бензобаков нейтральным газом не предусматривалась, хотя необходимость ее на боевом самолете к этому времени уже была очевидной и обязательной. Отсутствовало и дублирование в канале управления рулем высоты. По заявлению ОКБ-240, постановка дублированного управления в 1,5-2 раза повышала усилия на ручке управления. К тому же существовала опасность несинхронной регулировки основной и дополнительной проводки. По этим причинам Ильюшин, например, всячески сопротивлялся внедрению в серию дублированного управления на штурмовике Ил-2. При этом доводы военных, что «при испытании системы в НИИ ВВС летчики никакого увеличения нагрузки на ручке управления не замечали, возможная же некоторая несинхронность тросового и жесткого управления является при аварии основного управления менее опасной, чем полное отсутствие возможности управлять самолетом», в расчет не принимались. Более того, уже с декабря 1941 года личный состав ряда штурмовых авиаполков действующей армии своими силами устанавливал на Ил-2 дублированное управление рулем высоты и требовал выполнить такую доработку на всех серийных штурмовиках. Но и на это обстоятельство внимания не обращалось (17490).</w:t>
      </w:r>
    </w:p>
    <w:p w14:paraId="00DB5107" w14:textId="77777777" w:rsidR="00473751" w:rsidRPr="00070ADE" w:rsidRDefault="00473751" w:rsidP="00B56F90">
      <w:pPr>
        <w:spacing w:after="0" w:line="240" w:lineRule="auto"/>
        <w:jc w:val="both"/>
        <w:rPr>
          <w:rFonts w:ascii="Times New Roman" w:hAnsi="Times New Roman"/>
          <w:color w:val="000000" w:themeColor="text1"/>
          <w:sz w:val="16"/>
          <w:szCs w:val="16"/>
        </w:rPr>
      </w:pPr>
    </w:p>
    <w:p w14:paraId="5453C2B2" w14:textId="77777777" w:rsidR="008362FC" w:rsidRPr="00070ADE" w:rsidRDefault="008362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года двухместный вариант Ил-1 в сопровождении заводской бригады отправили в Москву на авиазавод № 240 для дальнейшей доводки и проведения испытаний. Это уже был не истребитель Ил-1, но и ставший впоследствии привычным облик Ил10, как в экстерьере, так и конструктивно новый самолет еще до конца не обрел. На тот момент машина представляла собой уникальный двухместный Ил-1, взлететь которому так и не пришлось. Главным отличием этого самолета была задняя стрелковая установка, которая вписалась в фюзеляж почти без изменения его обводов. По бокам и снизу ее прикрыли листами брони в 5 и 6 мм толщиной. Задний бронепакет пилотской кабины «разрезали» с небольшим припуском, и нижнюю часть поместили позади стрелка, причем, выше фюзеляжа никакой защиты не предусматривалось. Общий «привес» брони составил 167 кг. Задняя стрелковая установка была прикрыта полусферическим колпаком по типу установок МВ-3 или УТК. К сожалению, найти детальную информацию по ней пока не удалось. Для обеспечения плавного перехода от створки фонаря пилота к колпаку турели высотуфонаря увеличили примерно на 9 сантиметров, при этом левая боковая панель створки пилота стала откидываться налево, а остальная часть – направо. По бокам турель все же выступала за обводы фонаря. В комплект вооружения вошли два ШКАСа в крыле с общим боекомплектом 1500 патронов, а также бомбардировочная оснастка в виде двух бомбоотсеков в центроплане и двух точек наружной подвески. Ракетное оружие не устанавливалось. Вес пустого самолета составлял 4673 кг – по сравнению с одноместным вариантом второй Ил-1 потяжелел на 388 кг. Появление стрелка на самолете сдвинуло центр тяжести всего на 18 сантиметров, однако для сохранения приемлемого диапазона центровок среднюю аэродинамическую хорду крыла пришлось подвинуть назад примерно на такую же величину. Это было сделано отработанным на Ил-2 приемом – консолям крыла придали небольшую стреловидность. По передней кромке она составила 12 градусов 7 минут. Немного изменили наклон осей основных стоек шасси, чтобы противокапотажный угол оставался в разумных пределах. В Москве на заводе № 240 самолет подвергли целому ряду доработок. По предложению НИИ ВВС оптимизировали расположение и толщину бронепанелей. В частности, установили дюралевые листы в верхней наименее поражаемой части капота мотора. На основе полученного в ходе доводки тяжелого Ила с АМ-42 доработали систему охлаждения. К водо- и маслорадиатору воздух теперь поступал по профилированным тоннелям. Аэродинамическое сопротивление турели посчитали чрезмерным и заменили ее установкой ВУ-7 с опытной пушкой Ш-20 калибра 20 мм. Эта установка была конструктивно подобна турели ВУ-8 с пулеметом УБК, успешно испытанной на «тяжелом» Ил №1 с АМ-42. Мидель фюзеляжа удалось снизить до 1,54 кв. м (у одноместного Ил-1 этот параметр составлял 1,5 кв. м). После доработок взлетный вес самолета вырос с 6100 до 6300 килограмм. Забегая вперед стоит заметить, что при запуске в серию пушку Шпитального постановлением ГКО заменили пулеметом Березина, и первые серийные Ил-10 строили с установкой ВУ-8. ВУ-9 с пушкой Б-20 начали монтировать позднее. 30 марта 1944 г. в НИИ ВВС с общим налетом 19 часов 30 минут в 44 полетах успешно завершились госиспытания опытного двухместного «тяжелого» «Ил» № 1 с мотором АМ42 и винтом АВ-5Л-18Б конструкции С.В. Ильюшина (экземпляр № 1, производство завода № 240 мая 1943 года). Самолет был рекомендован в серию в двух вариантах, однако моторов, пригодных к установке на этой самой серии, по сути, так и не было. Более того, по предложению наркома авиапромышленности А.И. Шахурина, И.В. Сталин, постановлением ГКО № 5525с от 3 апреля освободил Александра Александровича Микулина от обязанностей Главного конструктора завода № 24 в Куйбышеве. Этот пост занял Михаил Романович Флисский, которому и предстояло спасать АМ-42. Завод № 18 неспешно (по меркам того времени) приступил к освоению производства штурмовика Ил-8 или изделия «М» по внутризаводскому шифру. Однако этим планам не суждено было сбыться. Во второй половине апреля Сергей Владимирович Ильюшин завершил «операцию прикрытия». Двухместный вариант самолета Ил-1 после выполнения комплекса доработок на заводе № 240 получил (сначала полуофициально) новое наименование – Ил-10. События стали развиваться в ускоренном темпе. 18 апреля Владимир Константинович Коккинаки выполнил на новой машине первый вылет, а уже 27 мая с положительной оценкой завершились государственные испытания в НИИ ВВС. За следующие два месяца была проделана огромная работа по организации, планированиюи подготовке производстваИл-10 (21005)</w:t>
      </w:r>
    </w:p>
    <w:p w14:paraId="2C610B98" w14:textId="77777777" w:rsidR="008362FC" w:rsidRPr="00070ADE" w:rsidRDefault="008362FC" w:rsidP="00B56F90">
      <w:pPr>
        <w:spacing w:after="0" w:line="240" w:lineRule="auto"/>
        <w:jc w:val="both"/>
        <w:rPr>
          <w:rFonts w:ascii="Times New Roman" w:hAnsi="Times New Roman"/>
          <w:color w:val="000000" w:themeColor="text1"/>
          <w:sz w:val="16"/>
          <w:szCs w:val="16"/>
        </w:rPr>
      </w:pPr>
    </w:p>
    <w:p w14:paraId="78C03B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10 марта 1944 на Ил-2М броне</w:t>
      </w:r>
      <w:r w:rsidRPr="00070ADE">
        <w:rPr>
          <w:rFonts w:ascii="Times New Roman" w:hAnsi="Times New Roman"/>
          <w:color w:val="000000" w:themeColor="text1"/>
          <w:sz w:val="16"/>
          <w:szCs w:val="16"/>
        </w:rPr>
        <w:softHyphen/>
        <w:t>башня была заменена установкой ВУ-8 с пулеметом УБК. Изменялось и бронирование ма</w:t>
      </w:r>
      <w:r w:rsidRPr="00070ADE">
        <w:rPr>
          <w:rFonts w:ascii="Times New Roman" w:hAnsi="Times New Roman"/>
          <w:color w:val="000000" w:themeColor="text1"/>
          <w:sz w:val="16"/>
          <w:szCs w:val="16"/>
        </w:rPr>
        <w:softHyphen/>
        <w:t>шины. В отличие от Ил-2 (РК) на штур</w:t>
      </w:r>
      <w:r w:rsidRPr="00070ADE">
        <w:rPr>
          <w:rFonts w:ascii="Times New Roman" w:hAnsi="Times New Roman"/>
          <w:color w:val="000000" w:themeColor="text1"/>
          <w:sz w:val="16"/>
          <w:szCs w:val="16"/>
        </w:rPr>
        <w:softHyphen/>
        <w:t>мовике-бомбардировщике летчик со стороны задней полусферы защи</w:t>
      </w:r>
      <w:r w:rsidRPr="00070ADE">
        <w:rPr>
          <w:rFonts w:ascii="Times New Roman" w:hAnsi="Times New Roman"/>
          <w:color w:val="000000" w:themeColor="text1"/>
          <w:sz w:val="16"/>
          <w:szCs w:val="16"/>
        </w:rPr>
        <w:softHyphen/>
        <w:t>щался двумя разнесенными 8-мм бро-неплитами: одна плита являлась зад</w:t>
      </w:r>
      <w:r w:rsidRPr="00070ADE">
        <w:rPr>
          <w:rFonts w:ascii="Times New Roman" w:hAnsi="Times New Roman"/>
          <w:color w:val="000000" w:themeColor="text1"/>
          <w:sz w:val="16"/>
          <w:szCs w:val="16"/>
        </w:rPr>
        <w:softHyphen/>
        <w:t>ней стенкой кабины пилота, а вто</w:t>
      </w:r>
      <w:r w:rsidRPr="00070ADE">
        <w:rPr>
          <w:rFonts w:ascii="Times New Roman" w:hAnsi="Times New Roman"/>
          <w:color w:val="000000" w:themeColor="text1"/>
          <w:sz w:val="16"/>
          <w:szCs w:val="16"/>
        </w:rPr>
        <w:softHyphen/>
        <w:t xml:space="preserve">рая </w:t>
      </w:r>
      <w:r w:rsidRPr="00070ADE">
        <w:rPr>
          <w:rFonts w:ascii="Times New Roman" w:hAnsi="Times New Roman"/>
          <w:color w:val="000000" w:themeColor="text1"/>
          <w:sz w:val="16"/>
          <w:szCs w:val="16"/>
          <w:vertAlign w:val="superscript"/>
        </w:rPr>
        <w:t>-</w:t>
      </w:r>
      <w:r w:rsidRPr="00070ADE">
        <w:rPr>
          <w:rFonts w:ascii="Times New Roman" w:hAnsi="Times New Roman"/>
          <w:color w:val="000000" w:themeColor="text1"/>
          <w:sz w:val="16"/>
          <w:szCs w:val="16"/>
        </w:rPr>
        <w:t xml:space="preserve"> передней стенкой кабины стрелка. Две разнесенные на неболь</w:t>
      </w:r>
      <w:r w:rsidRPr="00070ADE">
        <w:rPr>
          <w:rFonts w:ascii="Times New Roman" w:hAnsi="Times New Roman"/>
          <w:color w:val="000000" w:themeColor="text1"/>
          <w:sz w:val="16"/>
          <w:szCs w:val="16"/>
        </w:rPr>
        <w:softHyphen/>
        <w:t>шое расстояние бронеплиты толщи</w:t>
      </w:r>
      <w:r w:rsidRPr="00070ADE">
        <w:rPr>
          <w:rFonts w:ascii="Times New Roman" w:hAnsi="Times New Roman"/>
          <w:color w:val="000000" w:themeColor="text1"/>
          <w:sz w:val="16"/>
          <w:szCs w:val="16"/>
        </w:rPr>
        <w:softHyphen/>
        <w:t>ной по 8 мм устанавливались и вме</w:t>
      </w:r>
      <w:r w:rsidRPr="00070ADE">
        <w:rPr>
          <w:rFonts w:ascii="Times New Roman" w:hAnsi="Times New Roman"/>
          <w:color w:val="000000" w:themeColor="text1"/>
          <w:sz w:val="16"/>
          <w:szCs w:val="16"/>
        </w:rPr>
        <w:softHyphen/>
        <w:t>сто задней 12-мм бронестенки ка</w:t>
      </w:r>
      <w:r w:rsidRPr="00070ADE">
        <w:rPr>
          <w:rFonts w:ascii="Times New Roman" w:hAnsi="Times New Roman"/>
          <w:color w:val="000000" w:themeColor="text1"/>
          <w:sz w:val="16"/>
          <w:szCs w:val="16"/>
        </w:rPr>
        <w:softHyphen/>
        <w:t>бины стрелка. Для связи с землей монтировалась истребительная ра</w:t>
      </w:r>
      <w:r w:rsidRPr="00070ADE">
        <w:rPr>
          <w:rFonts w:ascii="Times New Roman" w:hAnsi="Times New Roman"/>
          <w:color w:val="000000" w:themeColor="text1"/>
          <w:sz w:val="16"/>
          <w:szCs w:val="16"/>
        </w:rPr>
        <w:softHyphen/>
        <w:t>диостанция РСИ-4 с дистанционным тросовым управлением. Фиксирова</w:t>
      </w:r>
      <w:r w:rsidRPr="00070ADE">
        <w:rPr>
          <w:rFonts w:ascii="Times New Roman" w:hAnsi="Times New Roman"/>
          <w:color w:val="000000" w:themeColor="text1"/>
          <w:sz w:val="16"/>
          <w:szCs w:val="16"/>
        </w:rPr>
        <w:softHyphen/>
        <w:t>ние результатов атаки обеспечива</w:t>
      </w:r>
      <w:r w:rsidRPr="00070ADE">
        <w:rPr>
          <w:rFonts w:ascii="Times New Roman" w:hAnsi="Times New Roman"/>
          <w:color w:val="000000" w:themeColor="text1"/>
          <w:sz w:val="16"/>
          <w:szCs w:val="16"/>
        </w:rPr>
        <w:softHyphen/>
        <w:t>лось фотокинопулеметом ПАУ-22 и киноаппаратом КС-5, расположен</w:t>
      </w:r>
      <w:r w:rsidRPr="00070ADE">
        <w:rPr>
          <w:rFonts w:ascii="Times New Roman" w:hAnsi="Times New Roman"/>
          <w:color w:val="000000" w:themeColor="text1"/>
          <w:sz w:val="16"/>
          <w:szCs w:val="16"/>
        </w:rPr>
        <w:softHyphen/>
        <w:t>ными в обтекателях шасси, а также фотоаппаратом АФА-ИМ в хвосто</w:t>
      </w:r>
      <w:r w:rsidRPr="00070ADE">
        <w:rPr>
          <w:rFonts w:ascii="Times New Roman" w:hAnsi="Times New Roman"/>
          <w:color w:val="000000" w:themeColor="text1"/>
          <w:sz w:val="16"/>
          <w:szCs w:val="16"/>
        </w:rPr>
        <w:softHyphen/>
        <w:t>вой части фюзеляжа. К 28 февраля Ил-2М был "полностью подготовлен к пробному полету" (11427).</w:t>
      </w:r>
    </w:p>
    <w:p w14:paraId="01AB32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ABCF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года Приказом НКАП для прове</w:t>
      </w:r>
      <w:r w:rsidRPr="00070ADE">
        <w:rPr>
          <w:rFonts w:ascii="Times New Roman" w:hAnsi="Times New Roman"/>
          <w:color w:val="000000" w:themeColor="text1"/>
          <w:sz w:val="16"/>
          <w:szCs w:val="16"/>
        </w:rPr>
        <w:softHyphen/>
        <w:t>дения совместных с заказчиком летных испытаний ДВБ-102 с моторами М-71 и турбокомпрессорами ТК-3 в подмосковной Чкаловской назначили ведущими от НИИ ВВС инженера М.И. Ефимова, летчика В.И. Жда</w:t>
      </w:r>
      <w:r w:rsidRPr="00070ADE">
        <w:rPr>
          <w:rFonts w:ascii="Times New Roman" w:hAnsi="Times New Roman"/>
          <w:color w:val="000000" w:themeColor="text1"/>
          <w:sz w:val="16"/>
          <w:szCs w:val="16"/>
        </w:rPr>
        <w:softHyphen/>
        <w:t>нова и штурмана Н.П. Цветкова, от завода № 482 — летчика Ф.Ф. Опадчего и инженера А.В. Лурье, а от ЛИИ —летчика И.И. Шунейкои инженера И.Н. Квитко (11446).</w:t>
      </w:r>
    </w:p>
    <w:p w14:paraId="1D4DC6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D747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года. Шахурину.</w:t>
      </w:r>
    </w:p>
    <w:p w14:paraId="1CE1BB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Справка</w:t>
      </w:r>
    </w:p>
    <w:p w14:paraId="1AE9BD8F" w14:textId="77777777" w:rsidR="00595BFB" w:rsidRPr="00070ADE" w:rsidRDefault="00595BFB" w:rsidP="00B56F90">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о выпущенных самолетах с антиобледенителями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4D0C2D54" w14:textId="77777777">
        <w:tc>
          <w:tcPr>
            <w:tcW w:w="5636" w:type="dxa"/>
          </w:tcPr>
          <w:p w14:paraId="1419C508" w14:textId="77777777" w:rsidR="00595BFB" w:rsidRPr="00070ADE" w:rsidRDefault="00595BFB" w:rsidP="00B56F90">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ЛИ-2</w:t>
            </w:r>
          </w:p>
        </w:tc>
        <w:tc>
          <w:tcPr>
            <w:tcW w:w="5636" w:type="dxa"/>
          </w:tcPr>
          <w:p w14:paraId="3BA89295" w14:textId="77777777" w:rsidR="00595BFB" w:rsidRPr="00070ADE" w:rsidRDefault="00595BFB" w:rsidP="00B56F90">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03796A7" w14:textId="77777777">
        <w:tc>
          <w:tcPr>
            <w:tcW w:w="5636" w:type="dxa"/>
          </w:tcPr>
          <w:p w14:paraId="6733C921" w14:textId="77777777" w:rsidR="00595BFB" w:rsidRPr="00070ADE" w:rsidRDefault="00595BFB" w:rsidP="00B56F90">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антиобледенителя начата</w:t>
            </w:r>
          </w:p>
        </w:tc>
        <w:tc>
          <w:tcPr>
            <w:tcW w:w="5636" w:type="dxa"/>
          </w:tcPr>
          <w:p w14:paraId="48B7DA1E" w14:textId="77777777" w:rsidR="00595BFB" w:rsidRPr="00070ADE" w:rsidRDefault="00595BFB" w:rsidP="00B56F90">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DD36989" w14:textId="77777777">
        <w:tc>
          <w:tcPr>
            <w:tcW w:w="5636" w:type="dxa"/>
          </w:tcPr>
          <w:p w14:paraId="7F9B51C4" w14:textId="77777777" w:rsidR="00595BFB" w:rsidRPr="00070ADE" w:rsidRDefault="00595BFB" w:rsidP="00B56F90">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декабря 1942 года.</w:t>
            </w:r>
          </w:p>
        </w:tc>
        <w:tc>
          <w:tcPr>
            <w:tcW w:w="5636" w:type="dxa"/>
          </w:tcPr>
          <w:p w14:paraId="049CC8E3" w14:textId="77777777" w:rsidR="00595BFB" w:rsidRPr="00070ADE" w:rsidRDefault="00595BFB" w:rsidP="00B56F90">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40D7D44" w14:textId="77777777">
        <w:tc>
          <w:tcPr>
            <w:tcW w:w="5636" w:type="dxa"/>
          </w:tcPr>
          <w:p w14:paraId="028461AC" w14:textId="77777777" w:rsidR="00595BFB" w:rsidRPr="00070ADE" w:rsidRDefault="00595BFB" w:rsidP="00B56F90">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выпущено с тепловым антиобледенителем</w:t>
            </w:r>
          </w:p>
        </w:tc>
        <w:tc>
          <w:tcPr>
            <w:tcW w:w="5636" w:type="dxa"/>
          </w:tcPr>
          <w:p w14:paraId="2BA3C01A" w14:textId="77777777" w:rsidR="00595BFB" w:rsidRPr="00070ADE" w:rsidRDefault="00595BFB" w:rsidP="00B56F90">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710 машин</w:t>
            </w:r>
          </w:p>
        </w:tc>
      </w:tr>
      <w:tr w:rsidR="004D4663" w:rsidRPr="00070ADE" w14:paraId="707146FB" w14:textId="77777777">
        <w:tc>
          <w:tcPr>
            <w:tcW w:w="5636" w:type="dxa"/>
          </w:tcPr>
          <w:p w14:paraId="548B5FAF" w14:textId="77777777" w:rsidR="00595BFB" w:rsidRPr="00070ADE" w:rsidRDefault="00595BFB" w:rsidP="00B56F90">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Пе-8</w:t>
            </w:r>
          </w:p>
        </w:tc>
        <w:tc>
          <w:tcPr>
            <w:tcW w:w="5636" w:type="dxa"/>
          </w:tcPr>
          <w:p w14:paraId="01E2AF72" w14:textId="77777777" w:rsidR="00595BFB" w:rsidRPr="00070ADE" w:rsidRDefault="00595BFB" w:rsidP="00B56F90">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06136C7" w14:textId="77777777">
        <w:tc>
          <w:tcPr>
            <w:tcW w:w="5636" w:type="dxa"/>
          </w:tcPr>
          <w:p w14:paraId="44BD0F96" w14:textId="77777777" w:rsidR="00595BFB" w:rsidRPr="00070ADE" w:rsidRDefault="00595BFB" w:rsidP="00B56F90">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антиобледенителя начата</w:t>
            </w:r>
          </w:p>
        </w:tc>
        <w:tc>
          <w:tcPr>
            <w:tcW w:w="5636" w:type="dxa"/>
          </w:tcPr>
          <w:p w14:paraId="240BB666" w14:textId="77777777" w:rsidR="00595BFB" w:rsidRPr="00070ADE" w:rsidRDefault="00595BFB" w:rsidP="00B56F90">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E49FC91" w14:textId="77777777">
        <w:tc>
          <w:tcPr>
            <w:tcW w:w="5636" w:type="dxa"/>
          </w:tcPr>
          <w:p w14:paraId="5C7F5452" w14:textId="77777777" w:rsidR="00595BFB" w:rsidRPr="00070ADE" w:rsidRDefault="00595BFB" w:rsidP="00B56F90">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января 1943 года.</w:t>
            </w:r>
          </w:p>
        </w:tc>
        <w:tc>
          <w:tcPr>
            <w:tcW w:w="5636" w:type="dxa"/>
          </w:tcPr>
          <w:p w14:paraId="1BD2BA83" w14:textId="77777777" w:rsidR="00595BFB" w:rsidRPr="00070ADE" w:rsidRDefault="00595BFB" w:rsidP="00B56F90">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070ADE" w14:paraId="7BB7D112" w14:textId="77777777">
        <w:tc>
          <w:tcPr>
            <w:tcW w:w="5636" w:type="dxa"/>
          </w:tcPr>
          <w:p w14:paraId="776B43BA" w14:textId="77777777" w:rsidR="00595BFB" w:rsidRPr="00070ADE" w:rsidRDefault="00595BFB" w:rsidP="00B56F90">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выпущено с тепловым антиобледенителем</w:t>
            </w:r>
          </w:p>
        </w:tc>
        <w:tc>
          <w:tcPr>
            <w:tcW w:w="5636" w:type="dxa"/>
          </w:tcPr>
          <w:p w14:paraId="69123CEA" w14:textId="77777777" w:rsidR="00595BFB" w:rsidRPr="00070ADE" w:rsidRDefault="00595BFB" w:rsidP="00B56F90">
            <w:pPr>
              <w:widowControl w:val="0"/>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машин (1823,28).</w:t>
            </w:r>
          </w:p>
        </w:tc>
      </w:tr>
    </w:tbl>
    <w:p w14:paraId="55DC87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3D17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10 марта 1944 построили первый экземпляр Пе-2И и уже 25 марта завершились его заводские испыта</w:t>
      </w:r>
      <w:r w:rsidRPr="00070ADE">
        <w:rPr>
          <w:rFonts w:ascii="Times New Roman" w:hAnsi="Times New Roman"/>
          <w:color w:val="000000" w:themeColor="text1"/>
          <w:sz w:val="16"/>
          <w:szCs w:val="16"/>
        </w:rPr>
        <w:softHyphen/>
        <w:t>ния. Три дня понадобилось для отправки самолета в НИИ ВВС.</w:t>
      </w:r>
    </w:p>
    <w:p w14:paraId="2ACDFC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Впервые за всю историю своего существования Пе-2 подвергся коренной переделке. Прежде всего с крыла сняли тормозные решетки и уменьшили пло</w:t>
      </w:r>
      <w:r w:rsidRPr="00070ADE">
        <w:rPr>
          <w:rFonts w:ascii="Times New Roman" w:hAnsi="Times New Roman"/>
          <w:color w:val="000000" w:themeColor="text1"/>
          <w:sz w:val="16"/>
          <w:szCs w:val="16"/>
        </w:rPr>
        <w:softHyphen/>
        <w:t>щадь элеронов, изменив величину аэродинамической компенсации.</w:t>
      </w:r>
    </w:p>
    <w:p w14:paraId="3B6858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Существенные изменения претерпел фюзеляж. Увеличение его длины на метр и высоты на 0,Зм, а так</w:t>
      </w:r>
      <w:r w:rsidRPr="00070ADE">
        <w:rPr>
          <w:rFonts w:ascii="Times New Roman" w:hAnsi="Times New Roman"/>
          <w:color w:val="000000" w:themeColor="text1"/>
          <w:sz w:val="16"/>
          <w:szCs w:val="16"/>
        </w:rPr>
        <w:softHyphen/>
        <w:t>же новая компоновка бомбоотсека позволили размес</w:t>
      </w:r>
      <w:r w:rsidRPr="00070ADE">
        <w:rPr>
          <w:rFonts w:ascii="Times New Roman" w:hAnsi="Times New Roman"/>
          <w:color w:val="000000" w:themeColor="text1"/>
          <w:sz w:val="16"/>
          <w:szCs w:val="16"/>
        </w:rPr>
        <w:softHyphen/>
        <w:t>тить в нем бомбу ФАБ-1000. Из акта по результатам государственных испытаний следует, что этого дос</w:t>
      </w:r>
      <w:r w:rsidRPr="00070ADE">
        <w:rPr>
          <w:rFonts w:ascii="Times New Roman" w:hAnsi="Times New Roman"/>
          <w:color w:val="000000" w:themeColor="text1"/>
          <w:sz w:val="16"/>
          <w:szCs w:val="16"/>
        </w:rPr>
        <w:softHyphen/>
        <w:t>тигли смещением центроплана вверх на 300 мм. В дей</w:t>
      </w:r>
      <w:r w:rsidRPr="00070ADE">
        <w:rPr>
          <w:rFonts w:ascii="Times New Roman" w:hAnsi="Times New Roman"/>
          <w:color w:val="000000" w:themeColor="text1"/>
          <w:sz w:val="16"/>
          <w:szCs w:val="16"/>
        </w:rPr>
        <w:softHyphen/>
        <w:t>ствительности, как объяснил мне Л.Л. Селяков, цен</w:t>
      </w:r>
      <w:r w:rsidRPr="00070ADE">
        <w:rPr>
          <w:rFonts w:ascii="Times New Roman" w:hAnsi="Times New Roman"/>
          <w:color w:val="000000" w:themeColor="text1"/>
          <w:sz w:val="16"/>
          <w:szCs w:val="16"/>
        </w:rPr>
        <w:softHyphen/>
        <w:t>троплан никуда не смещали. Для размещения бомбы вырезали часть нижних стальных поясов лонжерона центроплана и заменили их арочными коваными вкла</w:t>
      </w:r>
      <w:r w:rsidRPr="00070ADE">
        <w:rPr>
          <w:rFonts w:ascii="Times New Roman" w:hAnsi="Times New Roman"/>
          <w:color w:val="000000" w:themeColor="text1"/>
          <w:sz w:val="16"/>
          <w:szCs w:val="16"/>
        </w:rPr>
        <w:softHyphen/>
        <w:t>дышами. В результате высота лонжерона по оси само</w:t>
      </w:r>
      <w:r w:rsidRPr="00070ADE">
        <w:rPr>
          <w:rFonts w:ascii="Times New Roman" w:hAnsi="Times New Roman"/>
          <w:color w:val="000000" w:themeColor="text1"/>
          <w:sz w:val="16"/>
          <w:szCs w:val="16"/>
        </w:rPr>
        <w:softHyphen/>
        <w:t>лета уменьшилась ровно на половину. Затем нарасти</w:t>
      </w:r>
      <w:r w:rsidRPr="00070ADE">
        <w:rPr>
          <w:rFonts w:ascii="Times New Roman" w:hAnsi="Times New Roman"/>
          <w:color w:val="000000" w:themeColor="text1"/>
          <w:sz w:val="16"/>
          <w:szCs w:val="16"/>
        </w:rPr>
        <w:softHyphen/>
        <w:t>ли фюзеляж, заменив его круглое сечение овальным, и тем самым увеличили его высоту.</w:t>
      </w:r>
    </w:p>
    <w:p w14:paraId="2D0511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сократили с трех до двух человек — летчи</w:t>
      </w:r>
      <w:r w:rsidRPr="00070ADE">
        <w:rPr>
          <w:rFonts w:ascii="Times New Roman" w:hAnsi="Times New Roman"/>
          <w:color w:val="000000" w:themeColor="text1"/>
          <w:sz w:val="16"/>
          <w:szCs w:val="16"/>
        </w:rPr>
        <w:softHyphen/>
        <w:t>ка и штурмана.</w:t>
      </w:r>
    </w:p>
    <w:p w14:paraId="366FE9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Оборонительное вооружение включало два круп</w:t>
      </w:r>
      <w:r w:rsidRPr="00070ADE">
        <w:rPr>
          <w:rFonts w:ascii="Times New Roman" w:hAnsi="Times New Roman"/>
          <w:color w:val="000000" w:themeColor="text1"/>
          <w:sz w:val="16"/>
          <w:szCs w:val="16"/>
        </w:rPr>
        <w:softHyphen/>
        <w:t>нокалиберных пулемета УБК: один в носу и один на дистанционной электрифицированной установке ДЭУ в хвосте.</w:t>
      </w:r>
    </w:p>
    <w:p w14:paraId="7E5D8F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Особенностью бомбардировщика Пе-2 была его склонность к прогрессирующим «козлам» при посад</w:t>
      </w:r>
      <w:r w:rsidRPr="00070ADE">
        <w:rPr>
          <w:rFonts w:ascii="Times New Roman" w:hAnsi="Times New Roman"/>
          <w:color w:val="000000" w:themeColor="text1"/>
          <w:sz w:val="16"/>
          <w:szCs w:val="16"/>
        </w:rPr>
        <w:softHyphen/>
        <w:t>ке. Устранить этот дефект полностью так и не удалось, но немного укротить «козлиный» нрав самолета позво</w:t>
      </w:r>
      <w:r w:rsidRPr="00070ADE">
        <w:rPr>
          <w:rFonts w:ascii="Times New Roman" w:hAnsi="Times New Roman"/>
          <w:color w:val="000000" w:themeColor="text1"/>
          <w:sz w:val="16"/>
          <w:szCs w:val="16"/>
        </w:rPr>
        <w:softHyphen/>
        <w:t>лило применение на Пе-2И шасси с увеличенным хо</w:t>
      </w:r>
      <w:r w:rsidRPr="00070ADE">
        <w:rPr>
          <w:rFonts w:ascii="Times New Roman" w:hAnsi="Times New Roman"/>
          <w:color w:val="000000" w:themeColor="text1"/>
          <w:sz w:val="16"/>
          <w:szCs w:val="16"/>
        </w:rPr>
        <w:softHyphen/>
        <w:t>дом амортизации.</w:t>
      </w:r>
    </w:p>
    <w:p w14:paraId="664F08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Сильное влияние на летные характеристики оказа</w:t>
      </w:r>
      <w:r w:rsidRPr="00070ADE">
        <w:rPr>
          <w:rFonts w:ascii="Times New Roman" w:hAnsi="Times New Roman"/>
          <w:color w:val="000000" w:themeColor="text1"/>
          <w:sz w:val="16"/>
          <w:szCs w:val="16"/>
        </w:rPr>
        <w:softHyphen/>
        <w:t>ла установка новых двигателей ВК-107А с двухскоро-стными нагнетателями и регуляторами постоянных оборотов. На высоте 4500 м ВК-107А развивал мощ</w:t>
      </w:r>
      <w:r w:rsidRPr="00070ADE">
        <w:rPr>
          <w:rFonts w:ascii="Times New Roman" w:hAnsi="Times New Roman"/>
          <w:color w:val="000000" w:themeColor="text1"/>
          <w:sz w:val="16"/>
          <w:szCs w:val="16"/>
        </w:rPr>
        <w:softHyphen/>
        <w:t>ность 1500 л.с. (11446)</w:t>
      </w:r>
    </w:p>
    <w:p w14:paraId="00F803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9BD4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вышел приказ НКАП и командующего ВВС N 183с/044 "О совместных летных испытаниях опытного самолета ДВБ-102 с 2хМ-71 с ТК-3 (1630,46).</w:t>
      </w:r>
    </w:p>
    <w:p w14:paraId="0641E2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A0E0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года «полпред» А.С. Яковлева в рядах ВВС КА заме</w:t>
      </w:r>
      <w:r w:rsidRPr="00070ADE">
        <w:rPr>
          <w:rFonts w:ascii="Times New Roman" w:hAnsi="Times New Roman"/>
          <w:color w:val="000000" w:themeColor="text1"/>
          <w:sz w:val="16"/>
          <w:szCs w:val="16"/>
        </w:rPr>
        <w:softHyphen/>
        <w:t>ститель генерал-инспектора ВВС П.Я. Федрови писал А.А. Нови</w:t>
      </w:r>
      <w:r w:rsidRPr="00070ADE">
        <w:rPr>
          <w:rFonts w:ascii="Times New Roman" w:hAnsi="Times New Roman"/>
          <w:color w:val="000000" w:themeColor="text1"/>
          <w:sz w:val="16"/>
          <w:szCs w:val="16"/>
        </w:rPr>
        <w:softHyphen/>
        <w:t>кову:</w:t>
      </w:r>
    </w:p>
    <w:p w14:paraId="3EDA4B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«...Тренировку на Яках майор Покрышкин закончил 19.11 - на Як-3 М-105ПФ летал, отзывается хорошо, но особого энтузиазма к формированию нового полка не имеет. Майор Покрышкин заявил, что он не хочет ухо</w:t>
      </w:r>
      <w:r w:rsidRPr="00070ADE">
        <w:rPr>
          <w:rFonts w:ascii="Times New Roman" w:hAnsi="Times New Roman"/>
          <w:color w:val="000000" w:themeColor="text1"/>
          <w:sz w:val="16"/>
          <w:szCs w:val="16"/>
        </w:rPr>
        <w:softHyphen/>
        <w:t>дить из своего полка.</w:t>
      </w:r>
    </w:p>
    <w:p w14:paraId="578AEC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Генерал-полковник т. Шиманов передал мне, что т. Покрышкин хочет работать на Ла-5, но мне т. Покрыш</w:t>
      </w:r>
      <w:r w:rsidRPr="00070ADE">
        <w:rPr>
          <w:rFonts w:ascii="Times New Roman" w:hAnsi="Times New Roman"/>
          <w:color w:val="000000" w:themeColor="text1"/>
          <w:sz w:val="16"/>
          <w:szCs w:val="16"/>
        </w:rPr>
        <w:softHyphen/>
        <w:t>кин этого не заявлял.</w:t>
      </w:r>
    </w:p>
    <w:p w14:paraId="07A1EA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т. Покрышкин находится в своей части.</w:t>
      </w:r>
    </w:p>
    <w:p w14:paraId="69A9B9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Вопрос об организации Вашего полка на Як-3 М-105ПФ остается от</w:t>
      </w:r>
      <w:r w:rsidRPr="00070ADE">
        <w:rPr>
          <w:rFonts w:ascii="Times New Roman" w:hAnsi="Times New Roman"/>
          <w:color w:val="000000" w:themeColor="text1"/>
          <w:sz w:val="16"/>
          <w:szCs w:val="16"/>
        </w:rPr>
        <w:softHyphen/>
        <w:t>крытым. Самолеты Як-3 М-105ПФ для полка могут быть получены в конце мая». А.И. Покрышкин и дальше пытался получить для своего полка самолеты Ла-5 (10714).</w:t>
      </w:r>
    </w:p>
    <w:p w14:paraId="2F4D6F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BCE9CF"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г. «полпред» А.С. Яковлева в рядах ВВС КА заместитель генерал-инспектора ВВС П.Я. Федрови написал А.А. Новикову:</w:t>
      </w:r>
    </w:p>
    <w:p w14:paraId="12627A87"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«...Тренировку на Яках майор Покрышкин закончил 19.11 — на Як-3 М-105ПФ летал, отзывается хорошо, но особого энтузиазма к формированию нового полка не имеет. Майор Покрышкин заявил, что он не хочет уходить из своего полка.</w:t>
      </w:r>
    </w:p>
    <w:p w14:paraId="670335BA"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Генерал-полковник т. Шиманов передал мне, что т. Покрышкин хочет работать на Ла-5, но мне т. Покрышкин этого не заявлял.</w:t>
      </w:r>
    </w:p>
    <w:p w14:paraId="0131129E"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т. Покрышкин находится в своей части.</w:t>
      </w:r>
    </w:p>
    <w:p w14:paraId="52A3D60B"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Вопрос об организации Вашего полка на Як-3 М-105ПФ остается открытым. Само</w:t>
      </w:r>
      <w:r w:rsidRPr="00070ADE">
        <w:rPr>
          <w:rFonts w:ascii="Times New Roman" w:hAnsi="Times New Roman"/>
          <w:color w:val="000000" w:themeColor="text1"/>
          <w:sz w:val="16"/>
          <w:szCs w:val="16"/>
        </w:rPr>
        <w:softHyphen/>
        <w:t>лёты Як-3 М-105ПФ для полка могут быть получены в конце мая».</w:t>
      </w:r>
    </w:p>
    <w:p w14:paraId="725748FF"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А.И. Покрышкин и дальше пытался получить для своего полка Ла-5. В апреле 1944 г. он посетил Горький, где встретился с С.А. Лавочкиным и руководством завода № 21. Ле</w:t>
      </w:r>
      <w:r w:rsidRPr="00070ADE">
        <w:rPr>
          <w:rFonts w:ascii="Times New Roman" w:hAnsi="Times New Roman"/>
          <w:color w:val="000000" w:themeColor="text1"/>
          <w:sz w:val="16"/>
          <w:szCs w:val="16"/>
        </w:rPr>
        <w:softHyphen/>
        <w:t>том он сам и группа его лётчиков прошла переподготовку на Ла-7 при Высшей офицер</w:t>
      </w:r>
      <w:r w:rsidRPr="00070ADE">
        <w:rPr>
          <w:rFonts w:ascii="Times New Roman" w:hAnsi="Times New Roman"/>
          <w:color w:val="000000" w:themeColor="text1"/>
          <w:sz w:val="16"/>
          <w:szCs w:val="16"/>
        </w:rPr>
        <w:softHyphen/>
        <w:t>ской школе воздушного боя, но по какой-то причине самолётов Лавочкина 9-я ГИАД, командиром которой был назначен гвардии полковник Покрышкин, так и не получила, и оканчивать войну ей пришлось на всё тех же американских «Аэрокобрах» (15829).</w:t>
      </w:r>
    </w:p>
    <w:p w14:paraId="1998649C" w14:textId="77777777" w:rsidR="00E870E7" w:rsidRPr="00070ADE" w:rsidRDefault="00E870E7" w:rsidP="00B56F90">
      <w:pPr>
        <w:spacing w:after="0" w:line="240" w:lineRule="auto"/>
        <w:jc w:val="both"/>
        <w:rPr>
          <w:rFonts w:ascii="Times New Roman" w:hAnsi="Times New Roman"/>
          <w:color w:val="000000" w:themeColor="text1"/>
          <w:sz w:val="16"/>
          <w:szCs w:val="16"/>
        </w:rPr>
      </w:pPr>
    </w:p>
    <w:p w14:paraId="6246B8F6" w14:textId="77777777" w:rsidR="009211CE" w:rsidRPr="00070ADE" w:rsidRDefault="009211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10 марта 1944 г. после установки на ИТП (М-2) очередного мотора АМ-39 самолет трижды поднимался в воздух на снятие скоростей по высотам. Однако задание по программе испытаний выпол</w:t>
      </w:r>
      <w:r w:rsidRPr="00070ADE">
        <w:rPr>
          <w:rFonts w:ascii="Times New Roman" w:hAnsi="Times New Roman"/>
          <w:color w:val="000000" w:themeColor="text1"/>
          <w:sz w:val="16"/>
          <w:szCs w:val="16"/>
        </w:rPr>
        <w:softHyphen/>
        <w:t>нить не удалось. Во время первого поле</w:t>
      </w:r>
      <w:r w:rsidRPr="00070ADE">
        <w:rPr>
          <w:rFonts w:ascii="Times New Roman" w:hAnsi="Times New Roman"/>
          <w:color w:val="000000" w:themeColor="text1"/>
          <w:sz w:val="16"/>
          <w:szCs w:val="16"/>
        </w:rPr>
        <w:softHyphen/>
        <w:t>та испортилась погода. Гаврилов прекратил полет. В ходе второго полета сорвало с за</w:t>
      </w:r>
      <w:r w:rsidRPr="00070ADE">
        <w:rPr>
          <w:rFonts w:ascii="Times New Roman" w:hAnsi="Times New Roman"/>
          <w:color w:val="000000" w:themeColor="text1"/>
          <w:sz w:val="16"/>
          <w:szCs w:val="16"/>
        </w:rPr>
        <w:softHyphen/>
        <w:t>мков фонарь. Пришлось вынужденно идти на посадку. После ремонта фонаря выпол</w:t>
      </w:r>
      <w:r w:rsidRPr="00070ADE">
        <w:rPr>
          <w:rFonts w:ascii="Times New Roman" w:hAnsi="Times New Roman"/>
          <w:color w:val="000000" w:themeColor="text1"/>
          <w:sz w:val="16"/>
          <w:szCs w:val="16"/>
        </w:rPr>
        <w:softHyphen/>
        <w:t>нили третий полет, но резко испортилась погода. Гаврилов прервал выполнение по</w:t>
      </w:r>
      <w:r w:rsidRPr="00070ADE">
        <w:rPr>
          <w:rFonts w:ascii="Times New Roman" w:hAnsi="Times New Roman"/>
          <w:color w:val="000000" w:themeColor="text1"/>
          <w:sz w:val="16"/>
          <w:szCs w:val="16"/>
        </w:rPr>
        <w:softHyphen/>
        <w:t>летного задания и возвратился на аэро</w:t>
      </w:r>
      <w:r w:rsidRPr="00070ADE">
        <w:rPr>
          <w:rFonts w:ascii="Times New Roman" w:hAnsi="Times New Roman"/>
          <w:color w:val="000000" w:themeColor="text1"/>
          <w:sz w:val="16"/>
          <w:szCs w:val="16"/>
        </w:rPr>
        <w:softHyphen/>
        <w:t>дром. Военный представитель ГУ ИАС ВВС КА на заводе №51 инженер-майор Шала- гин докладывал: «В настоящее время само</w:t>
      </w:r>
      <w:r w:rsidRPr="00070ADE">
        <w:rPr>
          <w:rFonts w:ascii="Times New Roman" w:hAnsi="Times New Roman"/>
          <w:color w:val="000000" w:themeColor="text1"/>
          <w:sz w:val="16"/>
          <w:szCs w:val="16"/>
        </w:rPr>
        <w:softHyphen/>
        <w:t>лет полностью готов к продолжению за</w:t>
      </w:r>
      <w:r w:rsidRPr="00070ADE">
        <w:rPr>
          <w:rFonts w:ascii="Times New Roman" w:hAnsi="Times New Roman"/>
          <w:color w:val="000000" w:themeColor="text1"/>
          <w:sz w:val="16"/>
          <w:szCs w:val="16"/>
        </w:rPr>
        <w:softHyphen/>
        <w:t>водских испытаний. При первой летной по</w:t>
      </w:r>
      <w:r w:rsidRPr="00070ADE">
        <w:rPr>
          <w:rFonts w:ascii="Times New Roman" w:hAnsi="Times New Roman"/>
          <w:color w:val="000000" w:themeColor="text1"/>
          <w:sz w:val="16"/>
          <w:szCs w:val="16"/>
        </w:rPr>
        <w:softHyphen/>
        <w:t>годе будет произведен полет на замер ско</w:t>
      </w:r>
      <w:r w:rsidRPr="00070ADE">
        <w:rPr>
          <w:rFonts w:ascii="Times New Roman" w:hAnsi="Times New Roman"/>
          <w:color w:val="000000" w:themeColor="text1"/>
          <w:sz w:val="16"/>
          <w:szCs w:val="16"/>
        </w:rPr>
        <w:softHyphen/>
        <w:t>ростей по высотам. На 10 марта 44 г. на самолете выполнено 10 полетов».</w:t>
      </w:r>
    </w:p>
    <w:p w14:paraId="4E329B58" w14:textId="77777777" w:rsidR="009211CE" w:rsidRPr="00070ADE" w:rsidRDefault="009211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Пока ждали летную погоду, самолет слегка доработали, после чего 24 марта подняли в воздух. И вновь неудача. В по</w:t>
      </w:r>
      <w:r w:rsidRPr="00070ADE">
        <w:rPr>
          <w:rFonts w:ascii="Times New Roman" w:hAnsi="Times New Roman"/>
          <w:color w:val="000000" w:themeColor="text1"/>
          <w:sz w:val="16"/>
          <w:szCs w:val="16"/>
        </w:rPr>
        <w:softHyphen/>
        <w:t>лете Гаврилов заметил отставание краски с консолей крыла. Осмотр самолета после посадки показал, что «на обоих консолях, на центроплане и частично на фюзеляже шпаклевка и краска отстали». Консоли от</w:t>
      </w:r>
      <w:r w:rsidRPr="00070ADE">
        <w:rPr>
          <w:rFonts w:ascii="Times New Roman" w:hAnsi="Times New Roman"/>
          <w:color w:val="000000" w:themeColor="text1"/>
          <w:sz w:val="16"/>
          <w:szCs w:val="16"/>
        </w:rPr>
        <w:softHyphen/>
        <w:t>стыковали и отправили в цех для окраски. Кроме того, было обнаружено, что срабо</w:t>
      </w:r>
      <w:r w:rsidRPr="00070ADE">
        <w:rPr>
          <w:rFonts w:ascii="Times New Roman" w:hAnsi="Times New Roman"/>
          <w:color w:val="000000" w:themeColor="text1"/>
          <w:sz w:val="16"/>
          <w:szCs w:val="16"/>
        </w:rPr>
        <w:softHyphen/>
        <w:t>талась шестерня редуктора управления створками водорадиатора. Пришлось ста</w:t>
      </w:r>
      <w:r w:rsidRPr="00070ADE">
        <w:rPr>
          <w:rFonts w:ascii="Times New Roman" w:hAnsi="Times New Roman"/>
          <w:color w:val="000000" w:themeColor="text1"/>
          <w:sz w:val="16"/>
          <w:szCs w:val="16"/>
        </w:rPr>
        <w:softHyphen/>
        <w:t>вить новую. Одновременно решили заме</w:t>
      </w:r>
      <w:r w:rsidRPr="00070ADE">
        <w:rPr>
          <w:rFonts w:ascii="Times New Roman" w:hAnsi="Times New Roman"/>
          <w:color w:val="000000" w:themeColor="text1"/>
          <w:sz w:val="16"/>
          <w:szCs w:val="16"/>
        </w:rPr>
        <w:softHyphen/>
        <w:t>нить и сами водорадиаторы (24308).</w:t>
      </w:r>
    </w:p>
    <w:p w14:paraId="067E6C71" w14:textId="77777777" w:rsidR="009211CE" w:rsidRPr="00070ADE" w:rsidRDefault="009211CE" w:rsidP="00B56F90">
      <w:pPr>
        <w:spacing w:after="0" w:line="240" w:lineRule="auto"/>
        <w:jc w:val="both"/>
        <w:rPr>
          <w:rFonts w:ascii="Times New Roman" w:hAnsi="Times New Roman"/>
          <w:color w:val="000000" w:themeColor="text1"/>
          <w:sz w:val="16"/>
          <w:szCs w:val="16"/>
        </w:rPr>
      </w:pPr>
    </w:p>
    <w:p w14:paraId="065885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вышел приках НКАП № 181с:</w:t>
      </w:r>
    </w:p>
    <w:p w14:paraId="0D1298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исполнение постановления ГКО № 50-89сс от 3 февраля 1944:</w:t>
      </w:r>
    </w:p>
    <w:p w14:paraId="1D682D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6 ГУ А.И.Комарову организовать на базе бывшего самолетостроительного з-да 35 в Смоленске з-д по ремонту с-в и моторов.</w:t>
      </w:r>
    </w:p>
    <w:p w14:paraId="40A304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Вновь организованному Смоленскому авиаремонтному з-ду присвоить № 475 и подчинить его 6 ГУ.</w:t>
      </w:r>
    </w:p>
    <w:p w14:paraId="48F5C5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Дементьев (1630, 3-11).</w:t>
      </w:r>
    </w:p>
    <w:p w14:paraId="17B3C7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EB51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вышел приказ НКАП N 181с в исполнение постановления ГКО N 50-89сс от 3 февраля 1944:</w:t>
      </w:r>
    </w:p>
    <w:p w14:paraId="6C93F0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Нач. 6 ГУ А.И.Комарову организовать на базе бывшего самолетостроительного завода 35 в Смоленске ремонтный завод и присвоить ему номер 475, подчинив 6 ГУ" (1630,3).</w:t>
      </w:r>
    </w:p>
    <w:p w14:paraId="026DCC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420B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г. приказом № 181с в соответствии с постановлением ГОКО № 5089сс от 3 февраля 1944 г.на месте эвакуированного в 1941 г. завода № 35 НКАП был образован Завод № 475 НКАП в системе 6ГУ. Старый завод был полностью разрушен. Фактически восстановление завода началось с осени 1943 г., после освобождения города. Штат формировался из резервов, небольшое количество специалистов переведено с заводов № 30, № 1, № 477, № 145.</w:t>
      </w:r>
    </w:p>
    <w:p w14:paraId="05C2A2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Ремонт Ил-2, Ла-5, Ла-7, Як-7, затем- Як-3, Як-9, Як-11. В 1945-47 г. отремонтировано около 400 машин. В 1949 г. ремонт прекращен. Работы по переоборудованию По-2 в сельскохозяйственный вариант.</w:t>
      </w:r>
    </w:p>
    <w:p w14:paraId="16E99D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 1.03.1946 г. передан в 11ГУ НКАП, с 1.03.1951 г.- в 1ГУ. </w:t>
      </w:r>
    </w:p>
    <w:p w14:paraId="1B4743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 03.1946 г. организация производства аэродромного оборудования (стремянок, колодок, установок для проверки гидросистем, подъемников, обогревателей, ) и самолетных кабин. </w:t>
      </w:r>
    </w:p>
    <w:p w14:paraId="17F9D2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МАП № 352 от 3.06.1954 г. заводу поручен выпуск ракетной техники (КР). С 1.07.1954 г. завод передан в 6ГУ. В 1954 г. построены новые цеха: плазово-шаблонный, стапельный, агрегатно-сборочный, заготовительно-штамповочный.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В дальнейшем оно выделилось в самостоятельное предприятие (завод "Измеритель").</w:t>
      </w:r>
    </w:p>
    <w:p w14:paraId="6617CF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1967 г. завод № 475 МАП получил название Смоленский машиностроительный завод МАП, в 1974 г. переименован в СмАЗ МАП. 1.07.1993 г. завод акционирован и преобразован в АООТ «СмАЗ», с 1996 г.- ОАО «СмАЗ». По решению правительства № 22-р от 9.01.2004 г. вошло в перечень стратегических предприятий.</w:t>
      </w:r>
    </w:p>
    <w:p w14:paraId="3A84CA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1970-х г. возобновлено производство самолетов. Планировалось производство Як-41М.</w:t>
      </w:r>
    </w:p>
    <w:p w14:paraId="13594B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1972 г. на заводе действовал филиал МКБ «Радуга».</w:t>
      </w:r>
    </w:p>
    <w:p w14:paraId="63BC920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(2004 г.): производство самолетов; модернизация Як-40; изготовление VIP- салонов.</w:t>
      </w:r>
    </w:p>
    <w:p w14:paraId="543B82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Численность персонала (1.10.2002 г.)- 2874 чел.</w:t>
      </w:r>
    </w:p>
    <w:p w14:paraId="0A1574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(-1944-03.1946 г.-)- М.А. Филатов. Гендиректор (-2002-05 г.-)- А.М. Мирошкин.</w:t>
      </w:r>
    </w:p>
    <w:p w14:paraId="7425E2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Гендиректора: по маркетингу, планированию и экономике (-2002-05 г.-)- В.С. Ломовских; по ресурсам и финансам (2002 г.)- В.Д. Бавченков; по производству (2002 г.)- Г.А. Коробков.</w:t>
      </w:r>
    </w:p>
    <w:p w14:paraId="6C62A9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(-2002-05 г.-)- Ю.М. Литвинов.</w:t>
      </w:r>
    </w:p>
    <w:p w14:paraId="2015DB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планеры А-2 (1950-51)- более 200, ВА-3/48, планер-мишень ПМ; Як-18, Як-42 (1976-83), Як-18Т (1973-88; 1993-2005-), М-17 (1986-), М-17РМ (М-55) (2004), СМ-92 «Финист» (-2004-05-), GM-17 “Viper” (2004), СМ-2000 (-2004-05-), Су-38Л (2004); модернизация Як-40 (2004); капремонт Як-18Т, Як-52 (2004); БПЛА: Ла-17Р (1963-), "Ястреб", «Пчела»; УРВП: "КС" (1956-), ФКР-1 (1959-), КСР-2 (1961-), КСР-11 (1961-), Х-59М, Х-55; лыжи и запчасти к По-2; детали для Ил-62, крыло и оперение Як-36, крылья Як-40 (1965-2004), крылья Як-50 (1973-74), крыло, оперение и мотогондолы Як-42 (1975-), детали Як-130, Як-18Т, орбитального самолета «Буран» (1980-е г.); стартовые тележки для запуска ТРД (1950-65), кузова для прожекторных установок «Луч-1» (1950-53 г.), сельскохозяйственные машины (1954 г.); аэросани-амфибии (1966-68); сувенирная продукция (1967-).</w:t>
      </w:r>
    </w:p>
    <w:p w14:paraId="01A0E6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475 НКАП, МАП, Смоленский машиностроительный завод МАП, Смоленский авиационный завод (СмАЗ), ОАО «СмАЗ»</w:t>
      </w:r>
    </w:p>
    <w:p w14:paraId="14C083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214006 г. Смоленск, ул. Фрунзе, 74 тел. 22-93-07 www.smaz.ru</w:t>
      </w:r>
    </w:p>
    <w:p w14:paraId="387911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ОАО «Измеритель» </w:t>
      </w:r>
    </w:p>
    <w:p w14:paraId="17A0AD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513579 г. Смоленск, ул. Бабушкина, 5 тел. 51-30-88, 51-07-03</w:t>
      </w:r>
    </w:p>
    <w:p w14:paraId="0A2B36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1960 г. на заводе № 475 МАП организуется специализированное электротехническое производство - автоматических установок и наземных комплексов, систем электропитания и автоматического контроля, счетно-решающих устройств. В 1968 г. оно выделилось в самостоятельное предприятие (завод "Измеритель"). Производство ночных прицелов для ПЗРК.ВП- 3/02 Разработка и производство (2003 г.): прицельно-навигационных комплексов, систем единой индикации и целеуказания, аварийной регистрации полетной информации; источников вторичного электропитания; многослойных печатных плат; трансформаторов и дросселей.</w:t>
      </w:r>
    </w:p>
    <w:p w14:paraId="36E118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7476E1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Гендиректор (-2002-03 г.-)- В.В. Лысенко.</w:t>
      </w:r>
    </w:p>
    <w:p w14:paraId="0FBB07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Технический директор (2002 г.)- С.Н. Андреев. Коммерческий директор (2002 г.)- А.В. Гришутин. Директор по качеству (2002 г.)- В.В. Прохоров (10776).</w:t>
      </w:r>
    </w:p>
    <w:p w14:paraId="152CD8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46B74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10 марта 1944 приказом НКАП №181с в соответствии с постановлением ГОКО №5089 от 3 февраля 1944 г. на месте эвакуированного в 1941 г. завода №35 НКАП образован завод №475 НКАП в системе 6ГУ. Старый завод был полностью разрушен. Фактически восстановление его началось с осени 1943 г., после освобождения города. Штат формировался из резервов, небольшое количество специалистов переведено с заводов №30, №1, №477, №145. Ремонт Ил-2, Ла-5, Ла-7, Як-7, затем- Як-3, Як-9, Як-11. В 1945-47 г. отремонтировано около 400 машин. В 1949 г. ремонт прекращен. Работы по переоборудованию По-2 в сельскохозяйственный вариант. </w:t>
      </w:r>
    </w:p>
    <w:p w14:paraId="594FF44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 1.03.1946 г. передан в 11ГУ НКАП, с 1.03.1951 г.- в 1ГУ. </w:t>
      </w:r>
    </w:p>
    <w:p w14:paraId="6B5C4F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 03.1946 г. организация производства аэродромного оборудования (стремянок, колодок, установок для проверки гидросистем, подъемников, обогревателей, ) и самолетных кабин. </w:t>
      </w:r>
    </w:p>
    <w:p w14:paraId="4F664C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МАП №352 от 3.06.1954 г. заводу поручен выпуск ракетной техники. С 1.07.1954 г. завод передан в 6ГУ. Перешел на производство КР. В 1954 г. построены новые цеха: плазово-шаблонный, стапельный, агрегатно-сборочный, заготовительно-штамповочный.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В дальнейшем оно выделилось в самостоятельное предприятие (завод "Измеритель").</w:t>
      </w:r>
    </w:p>
    <w:p w14:paraId="228B82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 1967 г. завод №475 МАП получил название Смоленский машиностроительный завод МАП, в 1974 г. переименован в СмАЗ МАП. 1.07.1993 г. завод акционирован и преобразован в АООТ "СмАЗ", с 1996 г. - ОАО "СмАЗ". </w:t>
      </w:r>
    </w:p>
    <w:p w14:paraId="5D1804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1970-х г. возобновлено производство самолетов. Планировалось производство Як-41М. </w:t>
      </w:r>
    </w:p>
    <w:p w14:paraId="7D8153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Работы (2004 г.): производство самолетов; модернизация Як-40; изготовление VIP- салонов. </w:t>
      </w:r>
    </w:p>
    <w:p w14:paraId="655A50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(1.10.2002 г.) - 2874 чел.</w:t>
      </w:r>
    </w:p>
    <w:p w14:paraId="54DFDF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(1944-46 г.) - М.А. Филатов. Гендиректор (наст.вр.) - А.М. Мирошкин.</w:t>
      </w:r>
    </w:p>
    <w:p w14:paraId="2B8F1D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Производство: Р-5 (1937-38), планеры А-2 (1949-51), ВА-3/48, планер-мишень ПМ; Як-18, Як-42 (1976-83), Як-18Т (1973-83), М-17 (с 1986), М-17РМ (М-55), СМ-92 "Финист", GM-17 “Viper”, СМ-2000, Су-38Л; модернизация Як-40; капремонт Як-18Т, Як-52; БПЛА: Ла-17Р (с 1963), "Ястреб", "Пчела"; УРВП: "КС" (с 1956), ФКР-1 (с 1959), КСР-2 (с 1961), КСР-11 (с 1961), Х-59М, Х-55СМ; лыжи и запчасти к По-2; детали для Ил-62, крыло и оперение Як-36, крылья Як-40 (1965-2004), крылья Як-50 (1973-74), крыло, оперение и мотогондолы Як-42 (с 1975), детали Як-130, Як-18Т, орбитального самолета "Буран" (1980-е гг.); стартовые тележки для запуска ТРД (1950-65), кузова для прожекторных установок "Луч-1" (1950-53 г.). </w:t>
      </w:r>
    </w:p>
    <w:p w14:paraId="2C7720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Смоленский авиационный завод, ОАО (ОАО "СмАЗ") </w:t>
      </w:r>
    </w:p>
    <w:p w14:paraId="7128D4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ранее: завод "Ремвоздух №3", Завод №35 НКАП, Завод №475 НКАП, МАП, Смоленский машиностроительный завод МАП, Смоленский авиационный завод (СмАЗ) МАП </w:t>
      </w:r>
    </w:p>
    <w:p w14:paraId="467403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214006, г. Смоленск, ул. Фрунзе, 74, тел. 22-93-07, http://www.smaz.ru (10777).</w:t>
      </w:r>
    </w:p>
    <w:p w14:paraId="6BA532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B8C8EB6" w14:textId="7B1C2B2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г. приказом № 181с в соответствии с пост. ГКО № 5089сс от 3.02.1944 г. на месте эвакуированного в 1941 г. завода № 35 НКАП в системе 6ГУ был образован Завод № 475 НКАП, МАП, п/я 65, Смоленский машиностроительный завод МАП, Смоленский авиационный завод (СмАЗ), ОАО «СмАЗ» /214006</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Смоленск, ул. Фрунзе, 74 тел. (0812) 29-93-13/. Старый завод был полностью разрушен. Фактически восстановление завода началось с осени 1943 г., после освобождения города. Штат формировался из резервов, небольшое количество специалистов переведено с заводов № 30, № 1, № 477, № 145.</w:t>
      </w:r>
    </w:p>
    <w:p w14:paraId="1A4BB3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Ремонт Ил-2, Ла-5, Ла-7, Як-7, затем - Як-3, Як-9, Як-11. В 1945-47 г. отремонтировано около 400 машин. В 1949 г. ремонт прекращен. Работы по переоборудованию По-2 в сельскохозяйственный вариант.</w:t>
      </w:r>
    </w:p>
    <w:p w14:paraId="65344DD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1.03.1946 г. передан в 11ГУ НКАП, с 1.03.1951 г.- в 1ГУ. Имел наименование «п/я 65».</w:t>
      </w:r>
    </w:p>
    <w:p w14:paraId="229A0E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03.1946 г. организация производства аэродромного оборудования (стремянок, колодок, установок для проверки гидросистем, подъемников, обогревателей,) и самолетных кабин.</w:t>
      </w:r>
    </w:p>
    <w:p w14:paraId="0B342A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МАП № 352 от 3.06.1954 г. заводу поручен выпуск ракетной техники (КР). С 1.07.1954 г. завод передан в 6ГУ, с 08.1957 г. - в ведении 2ГУ МАП. В 1954 г. построены новые цеха: плазово-шаблонный, стапельный, агрегатно-сборочный, заготовительно-штамповочный.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В дальнейшем оно выделилось в самостоятельное предприятие (завод «Измеритель»),</w:t>
      </w:r>
    </w:p>
    <w:p w14:paraId="6B5E82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составе завода (1980 г.): серийный КО (СКО); (2000-е): ЛИС (базировалась на аэродроме Северный). С 1967 г. завод № 475 МАП получил название Смоленский машиностроительный завод МАП, в 1974 г. переименован в СмАЗ МАП. 1.07.1993 г. завод акционирован и преобразован в АООТ «СмАЗ», с 1996 г. - ОАО «СмАЗ». По решению правительства № 22-р от 9.01.2004 г. вошло в перечень стратегических предприятий. Входит в состав Корпорации ТРВ (с ~2004 г.).</w:t>
      </w:r>
    </w:p>
    <w:p w14:paraId="23D0F7D1" w14:textId="45E6346F"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возобновлено производство самолетов. Планировалось производство Як-41М.</w:t>
      </w:r>
    </w:p>
    <w:p w14:paraId="22BFD8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1972 г. на заводе действовал филиал МКБ «Радуга».</w:t>
      </w:r>
    </w:p>
    <w:p w14:paraId="34DCD7B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1984 г. началась подготовка к производству М-17.</w:t>
      </w:r>
    </w:p>
    <w:p w14:paraId="174C05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(2004 г.): производство самолетов; модернизация Як-40; изготовление VIP- салонов.</w:t>
      </w:r>
    </w:p>
    <w:p w14:paraId="5A85B6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(1.10.2002 г.)- 2874 чел.</w:t>
      </w:r>
    </w:p>
    <w:p w14:paraId="56B709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(-1944-03.1946 г.-)- М.А. Филатов, (1960 г.-)- Л.А. Серых. Гендиректор (-1995 г.)- Л.А. Серых, (1995- 98 г.)- М. Г. Абрамичев, (1998-2006 г.-)- A.M. Мирошкин.</w:t>
      </w:r>
    </w:p>
    <w:p w14:paraId="47025A6C" w14:textId="793F9DD1"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Гендиректора: по маркетингу, планированию и экономике (-2002-05 г.-)- B.C. Ломовских; по ресурсам и финансам (2002 г.)- В.Д. Бавченков; по производству (2002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Г.А. Коробков.</w:t>
      </w:r>
    </w:p>
    <w:p w14:paraId="4053B3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(1995-98 г.)- А.М. Мирошкин, (-2002-05 г.-&gt; Ю.М. Литвинов.</w:t>
      </w:r>
      <w:r w:rsidRPr="00070ADE">
        <w:rPr>
          <w:rFonts w:ascii="Times New Roman" w:hAnsi="Times New Roman"/>
          <w:color w:val="000000" w:themeColor="text1"/>
          <w:sz w:val="16"/>
          <w:szCs w:val="16"/>
          <w:vertAlign w:val="superscript"/>
        </w:rPr>
        <w:t>69</w:t>
      </w:r>
    </w:p>
    <w:p w14:paraId="6622E63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инженера по «Бурану» (1982-89 г.)- A.M. Мирошкин.</w:t>
      </w:r>
    </w:p>
    <w:p w14:paraId="63E7EC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отдела маркетинга (2006 г.)- В.А. Мерзляков.</w:t>
      </w:r>
    </w:p>
    <w:p w14:paraId="5369071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отдела: СКО (1980 г.-)- A.M. Мирошкин.</w:t>
      </w:r>
    </w:p>
    <w:p w14:paraId="7F423C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бюро: КБ (1976-80 г.)- A.M. Мирошкин.</w:t>
      </w:r>
    </w:p>
    <w:p w14:paraId="2B067C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планеры А-2 (1950-51)- более 200, ВА-3/48, планер-мишень ПМ;</w:t>
      </w:r>
      <w:r w:rsidRPr="00070ADE">
        <w:rPr>
          <w:rFonts w:ascii="Times New Roman" w:hAnsi="Times New Roman"/>
          <w:iCs/>
          <w:color w:val="000000" w:themeColor="text1"/>
          <w:sz w:val="16"/>
          <w:szCs w:val="16"/>
        </w:rPr>
        <w:t xml:space="preserve"> самолеты:</w:t>
      </w:r>
      <w:r w:rsidRPr="00070ADE">
        <w:rPr>
          <w:rFonts w:ascii="Times New Roman" w:hAnsi="Times New Roman"/>
          <w:color w:val="000000" w:themeColor="text1"/>
          <w:sz w:val="16"/>
          <w:szCs w:val="16"/>
        </w:rPr>
        <w:t xml:space="preserve"> Як-18, Як-18Т (1972-88; 1993-2005-), Як-42 (1975-83), М-17 (1986-), М-17РМ (М-55) (1988-2004-), СМ-92 «Финист» (1993-2006-), СМ-92Т «Турбо-Финист» (2004-), GM-17 "Viper" (2004), СМ-2000 (-2004-05-), Су-38Л (2004); модернизация Як- 40 (2004); капремонт Як-18Т, Як-52 (2004);</w:t>
      </w:r>
      <w:r w:rsidRPr="00070ADE">
        <w:rPr>
          <w:rFonts w:ascii="Times New Roman" w:hAnsi="Times New Roman"/>
          <w:iCs/>
          <w:color w:val="000000" w:themeColor="text1"/>
          <w:sz w:val="16"/>
          <w:szCs w:val="16"/>
        </w:rPr>
        <w:t xml:space="preserve"> БПЛЛ:</w:t>
      </w:r>
      <w:r w:rsidRPr="00070ADE">
        <w:rPr>
          <w:rFonts w:ascii="Times New Roman" w:hAnsi="Times New Roman"/>
          <w:color w:val="000000" w:themeColor="text1"/>
          <w:sz w:val="16"/>
          <w:szCs w:val="16"/>
        </w:rPr>
        <w:t xml:space="preserve"> Ла-17Р (1963-), «Ястреб», «Пчела-1» (2005);</w:t>
      </w:r>
      <w:r w:rsidRPr="00070ADE">
        <w:rPr>
          <w:rFonts w:ascii="Times New Roman" w:hAnsi="Times New Roman"/>
          <w:iCs/>
          <w:color w:val="000000" w:themeColor="text1"/>
          <w:sz w:val="16"/>
          <w:szCs w:val="16"/>
        </w:rPr>
        <w:t xml:space="preserve"> УРВП:</w:t>
      </w:r>
      <w:r w:rsidRPr="00070ADE">
        <w:rPr>
          <w:rFonts w:ascii="Times New Roman" w:hAnsi="Times New Roman"/>
          <w:color w:val="000000" w:themeColor="text1"/>
          <w:sz w:val="16"/>
          <w:szCs w:val="16"/>
        </w:rPr>
        <w:t xml:space="preserve"> «КС» (1956-), ФКР-1 (1959-), КСР-2 (1961-), КСР-11 (1961-), Х-59М, Х-55; лыжи и запчасти к По-2; детали и агрегаты для Ил-62 (1960-е), крыло и оперение Як-36, крылья Як-40 (1965-2004), крылья Як-50 (1973-74), крыло, </w:t>
      </w:r>
      <w:r w:rsidRPr="00070ADE">
        <w:rPr>
          <w:rFonts w:ascii="Times New Roman" w:hAnsi="Times New Roman"/>
          <w:color w:val="000000" w:themeColor="text1"/>
          <w:sz w:val="16"/>
          <w:szCs w:val="16"/>
        </w:rPr>
        <w:lastRenderedPageBreak/>
        <w:t>оперение и мотогондолы Як-42 (1975-), детали Як-130, Як-18Т, орбитального самолета «Буран» (1980-); стартовые тележки для запуска ТРД (1950-65), кузова для прожекторных установок «Луч-1» (1950-53 г.), сельскохозяйственные машины (1954 г.); аэросани-амфибии (1966-68); сувенирная продукция (1967-).</w:t>
      </w:r>
    </w:p>
    <w:p w14:paraId="32ED2DF7" w14:textId="57A67B9A"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ОАО «Измеритель» /214020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Смоленск ул. Бабушкина, 5 тел. 51-30-88, 51-07-03/</w:t>
      </w:r>
    </w:p>
    <w:p w14:paraId="500930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1960 г. на заводе № 475 МАП организуется специализированное электротехническое производство - автоматических установок и наземных комплексов, систем электропитания и автоматического контроля, счетно- решающих устройств. В 1968 г. оно выделилось в самостоятельное предприятие (завод «Измеритель»). Производство ночных прицелов для ПЗРК,</w:t>
      </w:r>
      <w:r w:rsidRPr="00070ADE">
        <w:rPr>
          <w:rFonts w:ascii="Times New Roman" w:hAnsi="Times New Roman"/>
          <w:color w:val="000000" w:themeColor="text1"/>
          <w:sz w:val="16"/>
          <w:szCs w:val="16"/>
          <w:vertAlign w:val="superscript"/>
        </w:rPr>
        <w:t>20</w:t>
      </w:r>
      <w:r w:rsidRPr="00070ADE">
        <w:rPr>
          <w:rFonts w:ascii="Times New Roman" w:hAnsi="Times New Roman"/>
          <w:color w:val="000000" w:themeColor="text1"/>
          <w:sz w:val="16"/>
          <w:szCs w:val="16"/>
        </w:rPr>
        <w:t xml:space="preserve"> Разработка и производство (2003 г.): прицельно-навигационных комплексов, систем единой индикации и целеуказания, аварийной регистрации полетной информации; источников вторичного электропитания; многослойных печатных плат; трансформаторов и дросселей.</w:t>
      </w:r>
    </w:p>
    <w:p w14:paraId="0B967B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2700AE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Гендиректор (-2002-03 г.-)- В.В. Лысенко.</w:t>
      </w:r>
    </w:p>
    <w:p w14:paraId="602DFC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Технический директор (2002 г.)- С.Н. Андреев. Коммерческий директор (2002 г.)- А.В. Гришутин. Директор по качеству (2002 г.)- В.В. Прохоров.</w:t>
      </w:r>
      <w:r w:rsidRPr="00070ADE">
        <w:rPr>
          <w:rFonts w:ascii="Times New Roman" w:hAnsi="Times New Roman"/>
          <w:color w:val="000000" w:themeColor="text1"/>
          <w:sz w:val="16"/>
          <w:szCs w:val="16"/>
          <w:vertAlign w:val="superscript"/>
        </w:rPr>
        <w:t>69</w:t>
      </w:r>
    </w:p>
    <w:p w14:paraId="5F2A75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технического директора (2002 г.)- Н. Царев.</w:t>
      </w:r>
    </w:p>
    <w:p w14:paraId="7AD786BE" w14:textId="4C953510"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СОСН-</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Болдырев.</w:t>
      </w:r>
    </w:p>
    <w:p w14:paraId="39592F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средство обеспечения стрельбы ночью (СОСН) 9С520 для ПЗРК (2002); 10АС-213 (11982).</w:t>
      </w:r>
    </w:p>
    <w:p w14:paraId="2D92FE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B3E909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2A3EF7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A8194C"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10 марта 1944 опытный образец орудия МЛ-20см был изготовлен заводом №172. Первые стрельбы провели 11 марта, и после 33 выстрелов систему сняли с испытаний ввиду неудовлетворительной работы затвора. В ходе испытаний марта-апреля 1944 года были обнаружены производственные дефекты. Тем не менее 14 апреля МЛ-20см выдержала испытания на скоростной отстрел 60 выстрелов, произведя их за 39 минут вместо положенного часа. Всего же за март-май 1944 года орудие произвело 249 выстрелов, из них 196 — усиленным зарядом. Скорострельность достигала 2,9 выстрела в минуту.</w:t>
      </w:r>
    </w:p>
    <w:p w14:paraId="67DF519F"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итогам испытаний планировалось установить орудие в самоходку, но этого так и не произошло. Что же касается испытаний орудия, то они продолжались на заводе №172 до сентября 1944 года. В это время между НКТП, ГБТУ КА, НКТП и ГАУ шли споры относительно орудия. Наконец 2 октября 1944 года была дана команда отправить МЛ-20см на Кировский завод и установить в ИСУ-152. К середине октября, когда орудие доставили в Челябинск, выяснилось, что оно прибыло в недоработанном виде. В конце декабря ГАУ КА поставило перед заводом №172 вопрос о необходимости срочной доработки орудия и отправке конструкторов на ЧКЗ. Несмотря на это представители завода №172 прибыли в Челябинск только к середине февраля 1945 года. К тому моменту ситуация с модернизацией ИСУ вышла на новый уровень (18636).</w:t>
      </w:r>
    </w:p>
    <w:p w14:paraId="7D4B38DE" w14:textId="77777777" w:rsidR="00750752" w:rsidRPr="00070ADE" w:rsidRDefault="00750752" w:rsidP="00B56F90">
      <w:pPr>
        <w:spacing w:after="0" w:line="240" w:lineRule="auto"/>
        <w:jc w:val="both"/>
        <w:rPr>
          <w:rFonts w:ascii="Times New Roman" w:hAnsi="Times New Roman"/>
          <w:color w:val="000000" w:themeColor="text1"/>
          <w:sz w:val="16"/>
          <w:szCs w:val="16"/>
        </w:rPr>
      </w:pPr>
    </w:p>
    <w:p w14:paraId="49D1A3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г. были подготовлены СООБРАЖЕНИЯ ЗАМЕСТИТЕЛЯ НАЧАЛЬНИКА ТУ ГБТУ КА ЗАМЕСТИТЕЛЮ КОМАНДУЮЩЕГО БТ и МВ КА КОРОБКОВУ ПО РЕЗУЛЬТАТАМ ИСПЫТАНИЙ ТАНКА Т-44</w:t>
      </w:r>
    </w:p>
    <w:p w14:paraId="0A753D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Вашего приказания, в дополнение к заключению комиссии по испытаниям опытного танка Т-44 завода №183 докладываю:</w:t>
      </w:r>
    </w:p>
    <w:p w14:paraId="4ECF62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указано в заключении комиссии, танк Т-44, по своим основным тактико-техническим дан</w:t>
      </w:r>
      <w:r w:rsidRPr="00070ADE">
        <w:rPr>
          <w:rFonts w:ascii="Times New Roman" w:hAnsi="Times New Roman"/>
          <w:color w:val="000000" w:themeColor="text1"/>
          <w:sz w:val="16"/>
          <w:szCs w:val="16"/>
        </w:rPr>
        <w:softHyphen/>
        <w:t>ным, превосходит танк Т-34.</w:t>
      </w:r>
    </w:p>
    <w:p w14:paraId="04F9B1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рекомендовать танк Т-44 на вооружение Красной Армии комиссия не считала возмож</w:t>
      </w:r>
      <w:r w:rsidRPr="00070ADE">
        <w:rPr>
          <w:rFonts w:ascii="Times New Roman" w:hAnsi="Times New Roman"/>
          <w:color w:val="000000" w:themeColor="text1"/>
          <w:sz w:val="16"/>
          <w:szCs w:val="16"/>
        </w:rPr>
        <w:softHyphen/>
        <w:t>ным до устранения обнаруженных дефектов и повторного испытания образца.</w:t>
      </w:r>
    </w:p>
    <w:p w14:paraId="7A12E4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для решения вопроса о рекомендации танка Т-44 на вооружение, комиссия считала необ</w:t>
      </w:r>
      <w:r w:rsidRPr="00070ADE">
        <w:rPr>
          <w:rFonts w:ascii="Times New Roman" w:hAnsi="Times New Roman"/>
          <w:color w:val="000000" w:themeColor="text1"/>
          <w:sz w:val="16"/>
          <w:szCs w:val="16"/>
        </w:rPr>
        <w:softHyphen/>
        <w:t>ходимым провести обстрел корпуса танка Т-44, т.к. некоторые его узлы, в частности, башенка водителя, корма и нижний лист носа, вызывают сомнение, с точки зрения их достаточной снарядостойкости.</w:t>
      </w:r>
    </w:p>
    <w:p w14:paraId="41C8AE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Только после обстрела корпуса и повторных испытаний танка Т-44, комиссия считает возмож</w:t>
      </w:r>
      <w:r w:rsidRPr="00070ADE">
        <w:rPr>
          <w:rFonts w:ascii="Times New Roman" w:hAnsi="Times New Roman"/>
          <w:color w:val="000000" w:themeColor="text1"/>
          <w:sz w:val="16"/>
          <w:szCs w:val="16"/>
        </w:rPr>
        <w:softHyphen/>
        <w:t>ным решить вопрос о целесообразности принятия танка Т-44 на вооружение Красной Армии.</w:t>
      </w:r>
    </w:p>
    <w:p w14:paraId="4AD84C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комиссии гвардии полковник Кульчицкий</w:t>
      </w:r>
    </w:p>
    <w:p w14:paraId="670975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2210. Л. 44. Подлинник (11403).</w:t>
      </w:r>
    </w:p>
    <w:p w14:paraId="70F835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C4B6BF3" w14:textId="77777777" w:rsidR="008362FC" w:rsidRPr="00070ADE" w:rsidRDefault="008362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г. в связи с тем, что отчет, составленный комиссией по результатам полигонных испытаний опытного образца танка Т-44, вызвал ряд вопросов у вышестоящего руководства, Е.А. Кульчицкому как председателю комиссии направил заместителю командующего БТ и МВ КА генерал-лейтенанту танковых войск Б.М. Коробкову следующее письмо:</w:t>
      </w:r>
    </w:p>
    <w:p w14:paraId="747933E6" w14:textId="77777777" w:rsidR="008362FC" w:rsidRPr="00070ADE" w:rsidRDefault="008362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Вашего приказания, в дополнение к заключению по испытаниям опытного танка Т-44 завода № 183, ДОКЛАДЫВАЮ:</w:t>
      </w:r>
    </w:p>
    <w:p w14:paraId="68C8EAAD" w14:textId="77777777" w:rsidR="008362FC" w:rsidRPr="00070ADE" w:rsidRDefault="008362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указано в заключении комиссии, танк Т-44, по своим основным тактико-техническим данным, превосходит танк Т-34.</w:t>
      </w:r>
    </w:p>
    <w:p w14:paraId="7EDFCCE1" w14:textId="77777777" w:rsidR="008362FC" w:rsidRPr="00070ADE" w:rsidRDefault="008362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рекомендовать танк Т-44 на вооружение Красной Армии комиссия не считала возможным до устранения обнаруженных дефектов и повторного испытания образца.</w:t>
      </w:r>
    </w:p>
    <w:p w14:paraId="6AC3D25D" w14:textId="77777777" w:rsidR="008362FC" w:rsidRPr="00070ADE" w:rsidRDefault="008362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для решения вопроса о рекомендации танка Т-44 на вооружение, комиссия считала необходимым провести обстрел корпуса танка Т-44, т.к. некоторые его узлы, в частности, башенка водителя, корма и нижний лист носа, вызывают сомнение, с точки зрения их достаточной снарядостойкости.</w:t>
      </w:r>
    </w:p>
    <w:p w14:paraId="756A3916" w14:textId="77777777" w:rsidR="008362FC" w:rsidRPr="00070ADE" w:rsidRDefault="008362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Только после обстрела корпуса и повторных испытаний танка Т-44, комиссия считает возможным решить вопрос о целесообразности принятия танка Т-44 на вооружение Красной Армии».</w:t>
      </w:r>
    </w:p>
    <w:p w14:paraId="071CF223" w14:textId="77777777" w:rsidR="008362FC" w:rsidRPr="00070ADE" w:rsidRDefault="008362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2210. Л. 44] (21209).</w:t>
      </w:r>
    </w:p>
    <w:p w14:paraId="7C81E6FA" w14:textId="77777777" w:rsidR="008362FC" w:rsidRPr="00070ADE" w:rsidRDefault="008362FC" w:rsidP="00B56F90">
      <w:pPr>
        <w:spacing w:after="0" w:line="240" w:lineRule="auto"/>
        <w:jc w:val="both"/>
        <w:rPr>
          <w:rFonts w:ascii="Times New Roman" w:hAnsi="Times New Roman"/>
          <w:color w:val="000000" w:themeColor="text1"/>
          <w:sz w:val="16"/>
          <w:szCs w:val="16"/>
        </w:rPr>
      </w:pPr>
    </w:p>
    <w:p w14:paraId="7D2FF4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г. было подготовлено ЗАКЛЮЧЕНИЕ НАЧАЛЬНИКА ТУ ГБТУ КА НАЧАЛЬНИКУ УБП БТ и МВ КА ОБ УСТАНОВКЕ ВНУТРЕННЕЙ СВЕТОВОЙ СИГНАЛИЗАЦИИ В ТАНКАХ Т-34 И ИС №521180</w:t>
      </w:r>
    </w:p>
    <w:p w14:paraId="33BB3E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Установку внутренней световой сигнализации в танках Т-34 и ИС, связывающей командира танка с механиком-водителем, аналогично установкам СУ-76, считаю нецелесообразной.</w:t>
      </w:r>
    </w:p>
    <w:p w14:paraId="314A64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отличие от СУ-76, где работа экипажа через ТПУ затруднена вследствие больших акустиче</w:t>
      </w:r>
      <w:r w:rsidRPr="00070ADE">
        <w:rPr>
          <w:rFonts w:ascii="Times New Roman" w:hAnsi="Times New Roman"/>
          <w:color w:val="000000" w:themeColor="text1"/>
          <w:sz w:val="16"/>
          <w:szCs w:val="16"/>
        </w:rPr>
        <w:softHyphen/>
        <w:t>ских помех, в танках Т-34 и ИС работа через ТПУ полностью и надежно обеспечивает связь между членами экипажа.</w:t>
      </w:r>
    </w:p>
    <w:p w14:paraId="0DFC9D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Поэтому световая сигнализация, как дублирующее средство связи, в танках не нужна.</w:t>
      </w:r>
    </w:p>
    <w:p w14:paraId="2F2EEA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ТУ ГБТУ КА генерал-майор инженерно-танковой службы Афонин</w:t>
      </w:r>
    </w:p>
    <w:p w14:paraId="35EEF2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3 отдела ТУ ГБТУ КА инженер-подполковник Иванов</w:t>
      </w:r>
    </w:p>
    <w:p w14:paraId="2AD537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2205. Л. 120. Копия (11403).</w:t>
      </w:r>
    </w:p>
    <w:p w14:paraId="50CA6E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1045CA2" w14:textId="77777777" w:rsidR="00473751" w:rsidRPr="00070ADE" w:rsidRDefault="00473751" w:rsidP="00B56F90">
      <w:pPr>
        <w:pStyle w:val="ae"/>
        <w:shd w:val="clear" w:color="auto" w:fill="FFFFFF"/>
        <w:spacing w:before="0" w:after="0"/>
        <w:jc w:val="both"/>
        <w:rPr>
          <w:color w:val="000000" w:themeColor="text1"/>
          <w:sz w:val="16"/>
          <w:szCs w:val="16"/>
        </w:rPr>
      </w:pPr>
      <w:r w:rsidRPr="00070ADE">
        <w:rPr>
          <w:color w:val="000000" w:themeColor="text1"/>
          <w:sz w:val="16"/>
          <w:szCs w:val="16"/>
        </w:rPr>
        <w:t>10 марта 1944 года на Гороховецком АНИОП провели испытания английских и американских снарядов для 57-мм пушек. Стрельба из орудия GMC T48 (в СССР СУ-57) показала, что снаряды идентичны. Это стало сигналом к тому, что Valentine IX и X стали получать осколочно-фугасные снаряды. Первая поставка состоялась уже в конце марта 1944 года. Боекомплект танков комплектовался бронебойными и осколочно-фугасными снарядами в расчете 50:50. Правда, первое время с поставками осколочно-фугасных снарядов были перебои. По этой причине весной 1944 года некоторые танки всё ещё имели в боекомплекте только бронебойные снаряды. Окончательно ситуация выправилась в июне 1944 года. Нередко советские экипажи приспосабливали зенитные пулемёты Bren для ведения огня по наземным целям.</w:t>
      </w:r>
    </w:p>
    <w:p w14:paraId="1F626368" w14:textId="77777777" w:rsidR="00473751" w:rsidRPr="00070ADE" w:rsidRDefault="00473751" w:rsidP="00B56F90">
      <w:pPr>
        <w:pStyle w:val="ae"/>
        <w:shd w:val="clear" w:color="auto" w:fill="FFFFFF"/>
        <w:spacing w:before="0" w:after="0"/>
        <w:jc w:val="both"/>
        <w:rPr>
          <w:color w:val="000000" w:themeColor="text1"/>
          <w:sz w:val="16"/>
          <w:szCs w:val="16"/>
        </w:rPr>
      </w:pPr>
      <w:r w:rsidRPr="00070ADE">
        <w:rPr>
          <w:color w:val="000000" w:themeColor="text1"/>
          <w:sz w:val="16"/>
          <w:szCs w:val="16"/>
        </w:rPr>
        <w:t>О том, как применялись Valentine IX, красноречиво свидетельствует характеристика, датированная весной 1944 года:</w:t>
      </w:r>
    </w:p>
    <w:p w14:paraId="1C8C5B3C" w14:textId="77777777" w:rsidR="00473751" w:rsidRPr="00070ADE" w:rsidRDefault="00473751" w:rsidP="00B56F90">
      <w:pPr>
        <w:pStyle w:val="ae"/>
        <w:shd w:val="clear" w:color="auto" w:fill="FFFFFF"/>
        <w:spacing w:before="0" w:after="0"/>
        <w:jc w:val="both"/>
        <w:rPr>
          <w:color w:val="000000" w:themeColor="text1"/>
          <w:sz w:val="16"/>
          <w:szCs w:val="16"/>
        </w:rPr>
      </w:pPr>
      <w:r w:rsidRPr="00070ADE">
        <w:rPr>
          <w:iCs/>
          <w:color w:val="000000" w:themeColor="text1"/>
          <w:sz w:val="16"/>
          <w:szCs w:val="16"/>
        </w:rPr>
        <w:t>«Пушка 57 мм по своим баллистическим характеристикам – хорошая. Она пробивает бортовую броню немецких тяжёлых танков T-VI в 82 мм на дистанции 600-800 м.</w:t>
      </w:r>
    </w:p>
    <w:p w14:paraId="4F94D298" w14:textId="77777777" w:rsidR="00473751" w:rsidRPr="00070ADE" w:rsidRDefault="00473751" w:rsidP="00B56F90">
      <w:pPr>
        <w:pStyle w:val="ae"/>
        <w:shd w:val="clear" w:color="auto" w:fill="FFFFFF"/>
        <w:spacing w:before="0" w:after="0"/>
        <w:jc w:val="both"/>
        <w:rPr>
          <w:color w:val="000000" w:themeColor="text1"/>
          <w:sz w:val="16"/>
          <w:szCs w:val="16"/>
        </w:rPr>
      </w:pPr>
      <w:r w:rsidRPr="00070ADE">
        <w:rPr>
          <w:iCs/>
          <w:color w:val="000000" w:themeColor="text1"/>
          <w:sz w:val="16"/>
          <w:szCs w:val="16"/>
        </w:rPr>
        <w:t>Отсутствие осколочных снарядов к пушке делает танк малоэффективным в борьбе с пехотой противника. Поэтому этот танк используется для борьбы с танками противника, как самоходная установка».</w:t>
      </w:r>
    </w:p>
    <w:p w14:paraId="1B5FDF7C" w14:textId="77777777" w:rsidR="00473751" w:rsidRPr="00070ADE" w:rsidRDefault="00473751"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Появление осколочно-фугасного снаряда позволило однородно комплектовать подобными машинами целые части (17709).</w:t>
      </w:r>
    </w:p>
    <w:p w14:paraId="480D5424" w14:textId="77777777" w:rsidR="00473751" w:rsidRPr="00070ADE" w:rsidRDefault="00473751" w:rsidP="00B56F90">
      <w:pPr>
        <w:spacing w:after="0" w:line="240" w:lineRule="auto"/>
        <w:jc w:val="both"/>
        <w:rPr>
          <w:rFonts w:ascii="Times New Roman" w:hAnsi="Times New Roman"/>
          <w:color w:val="000000" w:themeColor="text1"/>
          <w:sz w:val="16"/>
          <w:szCs w:val="16"/>
        </w:rPr>
      </w:pPr>
    </w:p>
    <w:p w14:paraId="4261B67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вышло Постановление ГКО № 5344 О поставках угля казанским электростанциям. РГАНИР, Фонд ГКО, д. 217, лл. 17 (11012).</w:t>
      </w:r>
    </w:p>
    <w:p w14:paraId="39A258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42A6C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вышло Распоряжение ГКО № 5345. О выделении 50 грузовых автомашин Цувосстройзаводу НКПС. РГАНИР, Фонд ГКО, д. 217, лл. 18 (11012).</w:t>
      </w:r>
    </w:p>
    <w:p w14:paraId="0A92A0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62556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вышло Постановление ГКО № 5347 О плане снабжения горюче-смазочными материалами и каменноугольным топливом Красной Армии и Военно-Морского Флота на март 1944 года. РГАНИР, Фонд ГКО, д. 217, лл. 20-24,25-69 (11012).</w:t>
      </w:r>
    </w:p>
    <w:p w14:paraId="516C9A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E6067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г. было уточнено ТТЗ на эсминец пр. 40, которое допускало увеличение во</w:t>
      </w:r>
      <w:r w:rsidRPr="00070ADE">
        <w:rPr>
          <w:rFonts w:ascii="Times New Roman" w:hAnsi="Times New Roman"/>
          <w:color w:val="000000" w:themeColor="text1"/>
          <w:sz w:val="16"/>
          <w:szCs w:val="16"/>
        </w:rPr>
        <w:softHyphen/>
        <w:t>доизмещения до 3000 т с уменьшением скорости до 36 уз при 6000-мильной дальности плавания экомическим ходом. Это зада</w:t>
      </w:r>
      <w:r w:rsidRPr="00070ADE">
        <w:rPr>
          <w:rFonts w:ascii="Times New Roman" w:hAnsi="Times New Roman"/>
          <w:color w:val="000000" w:themeColor="text1"/>
          <w:sz w:val="16"/>
          <w:szCs w:val="16"/>
        </w:rPr>
        <w:softHyphen/>
        <w:t xml:space="preserve">ние с изменениями от 6 ноября 1944 г. (водоизмещение 3200 т, три стабилизированные спаренные 130-мм установки) </w:t>
      </w:r>
      <w:r w:rsidRPr="00070ADE">
        <w:rPr>
          <w:rFonts w:ascii="Times New Roman" w:hAnsi="Times New Roman"/>
          <w:color w:val="000000" w:themeColor="text1"/>
          <w:sz w:val="16"/>
          <w:szCs w:val="16"/>
        </w:rPr>
        <w:lastRenderedPageBreak/>
        <w:t>было поло</w:t>
      </w:r>
      <w:r w:rsidRPr="00070ADE">
        <w:rPr>
          <w:rFonts w:ascii="Times New Roman" w:hAnsi="Times New Roman"/>
          <w:color w:val="000000" w:themeColor="text1"/>
          <w:sz w:val="16"/>
          <w:szCs w:val="16"/>
        </w:rPr>
        <w:softHyphen/>
        <w:t>жено в основу эскизного пр. 40Н, разработанного под руководством В. А. Никитина и в целом одобренного в Наркомате ВМФ. Н. Г. Кузнецов считал необходимым начать строительство головно</w:t>
      </w:r>
      <w:r w:rsidRPr="00070ADE">
        <w:rPr>
          <w:rFonts w:ascii="Times New Roman" w:hAnsi="Times New Roman"/>
          <w:color w:val="000000" w:themeColor="text1"/>
          <w:sz w:val="16"/>
          <w:szCs w:val="16"/>
        </w:rPr>
        <w:softHyphen/>
        <w:t>го эсминца пр. 40 в 1946 г., так как он был наиболее подходящим типом для Севера и Тихого океана (3898).</w:t>
      </w:r>
    </w:p>
    <w:p w14:paraId="63718E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729F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На "Судомехе" закончен ремонт ПЛ М-96 (10671).</w:t>
      </w:r>
    </w:p>
    <w:p w14:paraId="466872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FFD973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E9E85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7A1064"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10 марта</w:t>
      </w:r>
      <w:r w:rsidRPr="00070ADE">
        <w:rPr>
          <w:rFonts w:ascii="Times New Roman" w:hAnsi="Times New Roman"/>
          <w:color w:val="000000" w:themeColor="text1"/>
          <w:sz w:val="16"/>
          <w:szCs w:val="16"/>
        </w:rPr>
        <w:t xml:space="preserve"> в 1944 году оперативная сводка Совинформбюро:</w:t>
      </w:r>
    </w:p>
    <w:p w14:paraId="6FD3930F"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10 марта наши войска, преодолевая сопротивление и контратаки противника, продолжали вести уличные бои в городе Тарнополь.</w:t>
      </w:r>
    </w:p>
    <w:p w14:paraId="22BD9246"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Проскуровском направлении наши войска, продолжая наступление, овладели районным центром Каменец-Подольской области Красилов, а также с боями занялинесколько других населённых пунктов, в том числе крупные населённые пункты Заставки, Циценевка, Григоровка, Сковородки, Моломолинцы, Ставница, Горбасов,Чапля, Новоконстантинов, Свична.</w:t>
      </w:r>
    </w:p>
    <w:p w14:paraId="5DA14997"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Казатин наши войска с боями продвигались вперёд и овладели районным центром Винницкой области городом Хмельники, а также заняли более 30 других населённых пунктов, в том числе Соколово, Белый Рукав, Сербиновка, Кривошеинцы, Колыбабинцы, Широкая Гребля, Томашпиль, Клетище,Забижье, Янов, Байкивка, Писаривка, Кордылевка, Тарасовка и железнодорожные станции Ново-Куриловка, Уладовка, Холоневская, Люлинцы.</w:t>
      </w:r>
    </w:p>
    <w:p w14:paraId="0F910E9C"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возобновив наступление, прорвали сильную оборону немцев на Уманском направлении и за 5 дней наступательных боёв продвинулись вперёд от 40 до 70 километров, расширив прорыв до 175 километров по фронту. В результате проведенной операции, войска фронта овладели городом Умань, городом и важным железнодорожным узлом Христиновка, районными центрами Киевской области городом Тальное, Буки, Маньковка, Бабанка, Екатеринополь, районным центром Винницкой области Монастырище и заняли более 300 других населённыхпунктов, в том числе крупные населённые пункты Соколовка, Кишенцы, Иваньки, Ануфриевка, Залесское, Гусаково, Цыбулив, Ивановка, Молодецкое, Машуров, Колодистое, Капустино, Сарны, Верхнячка, Дмитровское, Доброводы, Вишнополь, Майданецкое, Гуляйполь, Романовка, Шукайвода, Россошки, Кочержинцы, Сушковка, Оксанино, Каменечье и железнодорожные станции Звенигородка, Россоховатка, Тальное, Шалашевский, Мошурово, Поташ, Подобное, Яроватка, Шукаево,Севастьяновка, Монастырище, Кооперативная и Вахны.</w:t>
      </w:r>
    </w:p>
    <w:p w14:paraId="4AEA279A"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наступления войска 2-го Украинского фронта нанесли тяжёлое поражение 6танковым, 7 пехотным и одной артиллерийской дивизиям немцев. Немцы оставили наполе боя свыше 20.000 трупов солдат и офицеров.</w:t>
      </w:r>
    </w:p>
    <w:p w14:paraId="13FE09E0"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предварительным данным, войска 2-го Украинского фронта захватили следующие трофеи: танков и самоходных орудий — свыше 500, из них более 200 вполне исправных «Тигров», «Пантер» и «Фердинандов», полевых орудий разного калибра —около 600, автомашин — свыше 12.000, складов с вооружением, боеприпасами и другим военным имуществом — более 50. Взято в плен более 2.500 немецких солдат и офицеров. По показаниям пленных, захваченная материальная часть принадлежала 11,13, 14, 16, 17 танковым дивизиям, танковой дивизии СС «Адольф Гитлер», которые должны были приостановить наше наступление, однако в результате стремительного удара наших подвижных соединений и пехоты личный состав этих немецких танковых дивизий вынужден был бросить всю свою боевую технику и бежать.</w:t>
      </w:r>
    </w:p>
    <w:p w14:paraId="13CDA26E"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продолжая успешно развивать наступление, овладели районным центром Кировоградской области Новгородка, районным центром Николаевской области Баштанка и заняли более 150 других населённых пунктов, в том числе крупные населённые пункты Братолюбовка, Гуровка, Фёдоро-Шуличино, Новая Скелеватка, Софиево-Гейкковка, Ново-Григорьевка, Александровка, Николаевка, Ново-Дмитровка, Андреевка, Ново-Берёзовка, Христофоровка, Баратовка, Ново-Павловка, Архангельское, Петропавловка, Новая Каменка, Качкаровка, Добра и железнодорожные станции Гейковка, Утешное, Казанка, Добровольский, Новополтавка, Явкино. Отступая под ударами наших войск, противник несёт огромные потери вживой силе и технике.</w:t>
      </w:r>
    </w:p>
    <w:p w14:paraId="52DD1773"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и в ряде пунктов бои местного значения.</w:t>
      </w:r>
    </w:p>
    <w:p w14:paraId="06D9672E"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9 марта наши войска на всех фронтах подбили и уничтожили 89 немецких танков. В воздушных боях и огнём зенитной артиллерии сбито 77 самолётов противника.</w:t>
      </w:r>
    </w:p>
    <w:p w14:paraId="5D57FF5D"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городе Тарнополь наши войска продолжали вести уличные бои. Немцы подтянули в помощь гарнизону крупные силы и оказывают ожесточённое сопротивление. Советские пехотинцы и танкисты, очищая от гитлеровцев улицу за улицей, нанесли противнику огромные потери в людях и технике.</w:t>
      </w:r>
    </w:p>
    <w:p w14:paraId="13EC80B5"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Проскуровском направлении наши войска продолжали наступление. Части Н-ского соединения, быстро продвигаясь вперёд, овладели районным центром Каменец-Подольской области Красилов. На другом участке советские бойцы окружили и ликвидировали группу противника, состоявшую из подразделений эсэсовской бригады «Лангемарк». На поле боя осталось 1.400 вражеских трупов. Захвачены 6 танков, 15 бронетранспортёров и другие трофеи.</w:t>
      </w:r>
    </w:p>
    <w:p w14:paraId="73126522"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Казатин наши войска с боями продвигались вперёд. Части Н-ского соединения заняли районный центр Винницкой области город Хмельники и более 30 других населённых пунктов. За день боёв уничтожено до полка немецкой пехоты, сожжено и подбито 17 танков и самоходных орудий противника. Захвачено у немцев 19 орудий, 22 миномёта, 9 складов с боеприпасами, продовольствием и горючим.</w:t>
      </w:r>
    </w:p>
    <w:p w14:paraId="23BED133"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возобновив наступление, на широком фронте прорвали оборону немцев и разгромили Уманско-Христиновскую группировку противника в составе шести танковых, семи пехотных и одной артиллерийской дивизий. По показаниям пленных наступление советских войск, начавшееся в ненастную погоду и распутицу, явилось полной неожиданностью для немцев. Наши артиллеристы и миномётчики подавили большинство артиллерийских и миномётных батарей немцев и нанесли врагу тяжёлый урон. Двинувшиеся вслед за огневым валом танкисты и пехотинцы смяли пехоту противника. Немецкое командование, стремясь ликвидировать прорыв, бросило в бой танковые дивизии. Наши войска на рубеже реки Горный Тикич взломали второй оборонительный рубеж противника и во встречном бою разбили танковую группу немцев. Остатки разбитых немецких дивизий бежали на юго-запад к Умани, бросая всю свою боевую технику. О подлинных размерах поражения немцев можно судить по огромному количеству трофеев, захваченных нашими войсками. На всём пути от реки Горный Тикич до города Умани валяется оружие, снаряжение и военное имущество, брошенное немцами. Все дороги забиты танками, самоходными орудиями, бронетранспортёрами и автомашинами противника. Бойцы и офицеры Красной Армии проявили в этих боях величайший героизм и мужество. В условиях полного бездорожья и вязкой грязи на полях советская пехота на отдельных направлениях с боями продвигалась до 20 километров в сутки. Преследуя разбитые части противника, наши войска ворвались в город Умань. Гитлеровцы пытались любой ценой удержать этот город в своих руках, чтобы выиграть время и привести в порядок свои разбитые дивизии. В результате ожесточённых уличных боёв наши танкисты и пехотинцы сломили сопротивление немцев и овладели городом Умань. Войска 2-го Украинского фронта овладели также городом и важным железнодорожным узлом Христиновка, заняли несколько районных центров, железнодорожных станций и свыше 300 других населённых пунктов.</w:t>
      </w:r>
    </w:p>
    <w:p w14:paraId="6A6C5124"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продолжая успешное наступление, овладели районным центром Кировоградской области Новгородка, районным центром Николаевской области Баштанка и заняли более 150 других населённых пунктов. Части Н-ского соединения, широко применяя смелые обходные манёвры, окружили и ликвидировали вражеские гарнизоны в ряде населённых пунктов. По неполным данным, уничтожено свыше 2.000 гитлеровцев. Захвачено у немцев 87 орудий, 4.000 винтовок и автоматов, более 200 автомашин, 60 тракторов и 300 повозок с военными грузами. Взято в плен много немецких солдат и офицеров.</w:t>
      </w:r>
    </w:p>
    <w:p w14:paraId="5871B415"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Финском заливе потоплены два тральщика противника по 500 тонн водоизмещения каждый.» (15064).</w:t>
      </w:r>
    </w:p>
    <w:p w14:paraId="1D1679F3" w14:textId="77777777" w:rsidR="00E870E7" w:rsidRPr="00070ADE" w:rsidRDefault="00E870E7" w:rsidP="00B56F90">
      <w:pPr>
        <w:spacing w:after="0" w:line="240" w:lineRule="auto"/>
        <w:jc w:val="both"/>
        <w:rPr>
          <w:rFonts w:ascii="Times New Roman" w:hAnsi="Times New Roman"/>
          <w:color w:val="000000" w:themeColor="text1"/>
          <w:sz w:val="16"/>
          <w:szCs w:val="16"/>
        </w:rPr>
      </w:pPr>
    </w:p>
    <w:p w14:paraId="02511D79"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10 марта</w:t>
      </w:r>
      <w:r w:rsidRPr="00070ADE">
        <w:rPr>
          <w:rFonts w:ascii="Times New Roman" w:hAnsi="Times New Roman"/>
          <w:color w:val="000000" w:themeColor="text1"/>
          <w:sz w:val="16"/>
          <w:szCs w:val="16"/>
        </w:rPr>
        <w:t xml:space="preserve"> в 1944 году танковые соединения 1-го Украинского фронта вышли на рубеж Тернополь, Проскуров и перерезали железную дорогу Львов - Одесса (главную коммуникацию южного крыла немецко-фашистских войск) (15064).</w:t>
      </w:r>
    </w:p>
    <w:p w14:paraId="7CE4554A" w14:textId="77777777" w:rsidR="00E870E7" w:rsidRPr="00070ADE" w:rsidRDefault="00E870E7" w:rsidP="00B56F90">
      <w:pPr>
        <w:spacing w:after="0" w:line="240" w:lineRule="auto"/>
        <w:jc w:val="both"/>
        <w:rPr>
          <w:rFonts w:ascii="Times New Roman" w:hAnsi="Times New Roman"/>
          <w:color w:val="000000" w:themeColor="text1"/>
          <w:sz w:val="16"/>
          <w:szCs w:val="16"/>
        </w:rPr>
      </w:pPr>
    </w:p>
    <w:p w14:paraId="5EA8E9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года был совершен налет на аэродром Кульбакино в районе Николаева, поскольку на этом аэродроме воздушная разведка обнаружила 140 самолетов противника. Советские самолеты атаковали следующим образом. Первый отряд майора М.С. Лютого (5 Ил-2 из 23-го ШАП и 8 Р-39 из 11-го ГИАП) должен был подавить зенитные батареи. Второй отряд лейтенанта В.Р. Гаджиева (7 Ил-2 и 10 Р-39) атаковал стоящие на земле машины. Четыре Р-39 из 11-го ГИАП патрулировали воздух, связывая истребители противника. Немцев врасплох застать не удалось, тем не менее на земле были уничтожены 8 машин, а еще 13 были сбиты в ходе воздушного боя. Потери советской стороны: 2 Ил-2 и 3 Р-39. Это был один из наиболее тщательно спланированных и удачно проведенных налетов, поэтому его включили в программу Академии ВМФ (2691).</w:t>
      </w:r>
    </w:p>
    <w:p w14:paraId="111D45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FDEB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в районе Николаева истребитель сопровождения л И.М.Стопы загорелся и приземлился на вражеской территории. Ш, пилотируемый мл.-л В.Е.Милоновым (стрелок Хирный) сел, чтобы спасти. У машины при посадке пробило колесо. Сел Ил-2 л А.В.Демихина (стрелок И.Д.Разгоняев). Машину на руках выкатили к дороге и вывезли всех (505,233).</w:t>
      </w:r>
    </w:p>
    <w:p w14:paraId="6A34D3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A781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38-й танковый полк отбыл на фронт, где принял учас</w:t>
      </w:r>
      <w:r w:rsidRPr="00070ADE">
        <w:rPr>
          <w:rFonts w:ascii="Times New Roman" w:hAnsi="Times New Roman"/>
          <w:color w:val="000000" w:themeColor="text1"/>
          <w:sz w:val="16"/>
          <w:szCs w:val="16"/>
        </w:rPr>
        <w:softHyphen/>
        <w:t>тие в Уманско-Ботошанской операции. До получения матчасти из колонны «Димитрий Донской» указанный полк уже участвовал в боях на Демянском плацдарме, освобож</w:t>
      </w:r>
      <w:r w:rsidRPr="00070ADE">
        <w:rPr>
          <w:rFonts w:ascii="Times New Roman" w:hAnsi="Times New Roman"/>
          <w:color w:val="000000" w:themeColor="text1"/>
          <w:sz w:val="16"/>
          <w:szCs w:val="16"/>
        </w:rPr>
        <w:softHyphen/>
        <w:t>дал Вязьму, Невель и Великие Луки, и его личный состав считался опытным. В ночь с 23 на 24 марта 1944 г. 38-й от</w:t>
      </w:r>
      <w:r w:rsidRPr="00070ADE">
        <w:rPr>
          <w:rFonts w:ascii="Times New Roman" w:hAnsi="Times New Roman"/>
          <w:color w:val="000000" w:themeColor="text1"/>
          <w:sz w:val="16"/>
          <w:szCs w:val="16"/>
        </w:rPr>
        <w:softHyphen/>
        <w:t>дельный танковый полк, совершив двенадцатисуточный марш в район г. Умани, с ходу вступил в бой (11135).</w:t>
      </w:r>
    </w:p>
    <w:p w14:paraId="4024FB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E04413" w14:textId="77777777" w:rsidR="00473751" w:rsidRPr="00070ADE" w:rsidRDefault="0047375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10 марта 1944 года, меньше чем через месяц после первого применения ИС-1, состоялся боевой дебют ИС-2. Он оказался куда более успешным, чем у ИС-1 (17715).</w:t>
      </w:r>
    </w:p>
    <w:p w14:paraId="67A07C78" w14:textId="77777777" w:rsidR="00473751" w:rsidRPr="00070ADE" w:rsidRDefault="00473751" w:rsidP="00B56F90">
      <w:pPr>
        <w:spacing w:after="0" w:line="240" w:lineRule="auto"/>
        <w:jc w:val="both"/>
        <w:rPr>
          <w:rFonts w:ascii="Times New Roman" w:hAnsi="Times New Roman"/>
          <w:color w:val="000000" w:themeColor="text1"/>
          <w:sz w:val="16"/>
          <w:szCs w:val="16"/>
        </w:rPr>
      </w:pPr>
    </w:p>
    <w:p w14:paraId="12D3F33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советские войска 1-го Украинского фронта перерезали железную дорогу Львов-Одесса (4962).</w:t>
      </w:r>
    </w:p>
    <w:p w14:paraId="6825725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A0881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советские войска 2-го Украинского фронта захватили большую немецкую авиабазу в Умани (4962).</w:t>
      </w:r>
    </w:p>
    <w:p w14:paraId="4C929AD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4A65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March 10th, 1944: The Red Army recaptures Uman in the Ukraine (3819).</w:t>
      </w:r>
    </w:p>
    <w:p w14:paraId="5431FD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CD58A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КА освободила Умань (3819).</w:t>
      </w:r>
    </w:p>
    <w:p w14:paraId="473253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B9C8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вышло Постановление ГКО № 5346 О назначении Герасименко В.Ф. наркомом обороны УССР и командующим войсками КВО. РГАНИР, Фонд ГКО, д. 217, лл. 19 (11012).</w:t>
      </w:r>
    </w:p>
    <w:p w14:paraId="2254DF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D0D44F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711BEA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0066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заместитель наркома Чернышов подписал приказание НКВД № 17:</w:t>
      </w:r>
    </w:p>
    <w:p w14:paraId="455D9E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типографии Рыблага НКВД вскрыта и ликвидирована хищническая группа, занимавшаяся изготовлением в типографии фиктивных продкарточек и отовариванием их в магазинах лагеря. Участники группы: зав. типографией Варгунина, технорук Павлов и другие, пользуясь отсутствием учета в типографии и контроля за их деятельностью, ежемесячно имели по 10-15 похищенных продкарточек и одновременно расхищали бумагу и другие технические материалы, обменивая их на продовольствие или продавая за деньги. В целях предупреждения от повторения злоупотреблений в других лагерях НКВД, приказываю:</w:t>
      </w:r>
    </w:p>
    <w:p w14:paraId="33A1E4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немедленно проверить в каждом лагере хранение, учет и выдачу бланков продовольственных заборных документов, как в местах изготовления их (в собственных типографиях), так и в подразделениях, где выдаются продкарточки и заборные книжки рабочим и служащим;</w:t>
      </w:r>
    </w:p>
    <w:p w14:paraId="64B4E9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 дальнейшем ежемесячно производить ревизии учета, хранения и выдачи продкарточек и заборных документов;</w:t>
      </w:r>
    </w:p>
    <w:p w14:paraId="0B797B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при обнаружении злоупотреблений немедленно привлекать виновных к ответственности и сообщать в ГУЛАГ НКВД;</w:t>
      </w:r>
    </w:p>
    <w:p w14:paraId="4E7CAE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выявленные ненормальности в учете и в хранении бланков, нарушение инструкций по учету и хранению - немедленно устранять на месте” (7560).</w:t>
      </w:r>
    </w:p>
    <w:p w14:paraId="20343B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C8C36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46FDDE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422D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года было получено:</w:t>
      </w:r>
    </w:p>
    <w:p w14:paraId="49E42B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ЛИЧНО И СТРОГО СЕКРЕТНО ПОСЛАНИЕ ОТ г-на ЧЕРЧИЛЛЯ МАРШАЛУ СТАЛИНУ</w:t>
      </w:r>
    </w:p>
    <w:p w14:paraId="51669E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 будете рады узнать о том, что самый последний конвой, направленный в Россию, уже благополучно прибыл по назначению и что по пути эскортом были наверняка потоплены четыре подводные лодки из той группы, которая его атаковала (7430).</w:t>
      </w:r>
    </w:p>
    <w:p w14:paraId="68EADA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DFD1F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98596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E188E3"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10 марта</w:t>
      </w:r>
      <w:r w:rsidRPr="00070ADE">
        <w:rPr>
          <w:rFonts w:ascii="Times New Roman" w:hAnsi="Times New Roman"/>
          <w:color w:val="000000" w:themeColor="text1"/>
          <w:sz w:val="16"/>
          <w:szCs w:val="16"/>
        </w:rPr>
        <w:t xml:space="preserve"> в 1944 году было заказано 13 «YP-80A» установочной партии (номера 44-83023/83035). В целом они не отличались от </w:t>
      </w:r>
      <w:hyperlink r:id="rId74" w:tgtFrame="_blank" w:history="1">
        <w:r w:rsidRPr="00070ADE">
          <w:rPr>
            <w:rFonts w:ascii="Times New Roman" w:hAnsi="Times New Roman"/>
            <w:color w:val="000000" w:themeColor="text1"/>
            <w:sz w:val="16"/>
            <w:szCs w:val="16"/>
          </w:rPr>
          <w:t xml:space="preserve">«ХР-80А» (15064). </w:t>
        </w:r>
      </w:hyperlink>
    </w:p>
    <w:p w14:paraId="1B4D476E" w14:textId="77777777" w:rsidR="00E870E7" w:rsidRPr="00070ADE" w:rsidRDefault="00E870E7" w:rsidP="00B56F90">
      <w:pPr>
        <w:spacing w:after="0" w:line="240" w:lineRule="auto"/>
        <w:jc w:val="both"/>
        <w:rPr>
          <w:rFonts w:ascii="Times New Roman" w:hAnsi="Times New Roman"/>
          <w:color w:val="000000" w:themeColor="text1"/>
          <w:sz w:val="16"/>
          <w:szCs w:val="16"/>
        </w:rPr>
      </w:pPr>
    </w:p>
    <w:p w14:paraId="59E14EE8" w14:textId="77777777" w:rsidR="008362FC" w:rsidRPr="00070ADE" w:rsidRDefault="008362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10–11 марта (ночь) 1944 102 британских Ланкастера бомбят четыре завода во Франции, потеряв один самолет (20373).</w:t>
      </w:r>
    </w:p>
    <w:p w14:paraId="339CFA6A" w14:textId="77777777" w:rsidR="008362FC" w:rsidRPr="00070ADE" w:rsidRDefault="008362FC" w:rsidP="00B56F90">
      <w:pPr>
        <w:spacing w:after="0" w:line="240" w:lineRule="auto"/>
        <w:jc w:val="both"/>
        <w:rPr>
          <w:rFonts w:ascii="Times New Roman" w:hAnsi="Times New Roman"/>
          <w:color w:val="000000" w:themeColor="text1"/>
          <w:sz w:val="16"/>
          <w:szCs w:val="16"/>
        </w:rPr>
      </w:pPr>
    </w:p>
    <w:p w14:paraId="7690ADD8" w14:textId="77777777" w:rsidR="008362FC" w:rsidRPr="00070ADE" w:rsidRDefault="008362F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основана исландская авиакомпания Loftleidir (20373).</w:t>
      </w:r>
    </w:p>
    <w:p w14:paraId="276A1C40" w14:textId="77777777" w:rsidR="008362FC" w:rsidRPr="00070ADE" w:rsidRDefault="008362FC" w:rsidP="00B56F90">
      <w:pPr>
        <w:spacing w:after="0" w:line="240" w:lineRule="auto"/>
        <w:jc w:val="both"/>
        <w:rPr>
          <w:rFonts w:ascii="Times New Roman" w:hAnsi="Times New Roman"/>
          <w:color w:val="000000" w:themeColor="text1"/>
          <w:sz w:val="16"/>
          <w:szCs w:val="16"/>
        </w:rPr>
      </w:pPr>
    </w:p>
    <w:p w14:paraId="7EBA0E1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Адольф Эйхман провел совещание СС-овцев по вопросам депортации венгерских евреев в Освенцим (4962).</w:t>
      </w:r>
    </w:p>
    <w:p w14:paraId="42BA8A7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5F3E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марта 1944 в Греции группами сопротивления был образован Греческий временный комитет национального освобождения (3907,248).</w:t>
      </w:r>
    </w:p>
    <w:p w14:paraId="25E0B4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893ED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43B88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E425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11-13 марта 1944 погода была ограниченно летной, но летать Ил-АМ-42 все же удавалось. Всего было выпол</w:t>
      </w:r>
      <w:r w:rsidRPr="00070ADE">
        <w:rPr>
          <w:rFonts w:ascii="Times New Roman" w:hAnsi="Times New Roman"/>
          <w:color w:val="000000" w:themeColor="text1"/>
          <w:sz w:val="16"/>
          <w:szCs w:val="16"/>
        </w:rPr>
        <w:softHyphen/>
        <w:t>нено 15 взлетов и посадок для оп</w:t>
      </w:r>
      <w:r w:rsidRPr="00070ADE">
        <w:rPr>
          <w:rFonts w:ascii="Times New Roman" w:hAnsi="Times New Roman"/>
          <w:color w:val="000000" w:themeColor="text1"/>
          <w:sz w:val="16"/>
          <w:szCs w:val="16"/>
        </w:rPr>
        <w:softHyphen/>
        <w:t>ределения взлетно-посадочных ха</w:t>
      </w:r>
      <w:r w:rsidRPr="00070ADE">
        <w:rPr>
          <w:rFonts w:ascii="Times New Roman" w:hAnsi="Times New Roman"/>
          <w:color w:val="000000" w:themeColor="text1"/>
          <w:sz w:val="16"/>
          <w:szCs w:val="16"/>
        </w:rPr>
        <w:softHyphen/>
        <w:t>рактеристик самолета, три полета на стрельбу и бомбометание по назем</w:t>
      </w:r>
      <w:r w:rsidRPr="00070ADE">
        <w:rPr>
          <w:rFonts w:ascii="Times New Roman" w:hAnsi="Times New Roman"/>
          <w:color w:val="000000" w:themeColor="text1"/>
          <w:sz w:val="16"/>
          <w:szCs w:val="16"/>
        </w:rPr>
        <w:softHyphen/>
        <w:t>ным целям, и определение скоро</w:t>
      </w:r>
      <w:r w:rsidRPr="00070ADE">
        <w:rPr>
          <w:rFonts w:ascii="Times New Roman" w:hAnsi="Times New Roman"/>
          <w:color w:val="000000" w:themeColor="text1"/>
          <w:sz w:val="16"/>
          <w:szCs w:val="16"/>
        </w:rPr>
        <w:softHyphen/>
        <w:t>подъемности самолета по высотам (11427).</w:t>
      </w:r>
    </w:p>
    <w:p w14:paraId="1D8542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52F4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заводской летчик-ис</w:t>
      </w:r>
      <w:r w:rsidRPr="00070ADE">
        <w:rPr>
          <w:rFonts w:ascii="Times New Roman" w:hAnsi="Times New Roman"/>
          <w:color w:val="000000" w:themeColor="text1"/>
          <w:sz w:val="16"/>
          <w:szCs w:val="16"/>
        </w:rPr>
        <w:softHyphen/>
        <w:t>пытатель Н.Д.Фиксон выполнил пер</w:t>
      </w:r>
      <w:r w:rsidRPr="00070ADE">
        <w:rPr>
          <w:rFonts w:ascii="Times New Roman" w:hAnsi="Times New Roman"/>
          <w:color w:val="000000" w:themeColor="text1"/>
          <w:sz w:val="16"/>
          <w:szCs w:val="16"/>
        </w:rPr>
        <w:softHyphen/>
        <w:t>вый полет на опытном экземпляре самолета Су-8. Затем последовал перерыв в испытаниях, вызванный неготовностью аэродрома. В конце апреля самолет был перевезен на завод № 289 для ус</w:t>
      </w:r>
      <w:r w:rsidRPr="00070ADE">
        <w:rPr>
          <w:rFonts w:ascii="Times New Roman" w:hAnsi="Times New Roman"/>
          <w:color w:val="000000" w:themeColor="text1"/>
          <w:sz w:val="16"/>
          <w:szCs w:val="16"/>
        </w:rPr>
        <w:softHyphen/>
        <w:t>тановки вооружения. Первоначаль</w:t>
      </w:r>
      <w:r w:rsidRPr="00070ADE">
        <w:rPr>
          <w:rFonts w:ascii="Times New Roman" w:hAnsi="Times New Roman"/>
          <w:color w:val="000000" w:themeColor="text1"/>
          <w:sz w:val="16"/>
          <w:szCs w:val="16"/>
        </w:rPr>
        <w:softHyphen/>
        <w:t>но подфюзеляжную батарею ос</w:t>
      </w:r>
      <w:r w:rsidRPr="00070ADE">
        <w:rPr>
          <w:rFonts w:ascii="Times New Roman" w:hAnsi="Times New Roman"/>
          <w:color w:val="000000" w:themeColor="text1"/>
          <w:sz w:val="16"/>
          <w:szCs w:val="16"/>
        </w:rPr>
        <w:softHyphen/>
        <w:t>настили четырьмя пушками калибра 37 мм, которые затем в течение июня-июля заменили пушками калибра 45 мм. В августе в Ногинском филиале НИП АВ ВВС КА провели испыта</w:t>
      </w:r>
      <w:r w:rsidRPr="00070ADE">
        <w:rPr>
          <w:rFonts w:ascii="Times New Roman" w:hAnsi="Times New Roman"/>
          <w:color w:val="000000" w:themeColor="text1"/>
          <w:sz w:val="16"/>
          <w:szCs w:val="16"/>
        </w:rPr>
        <w:softHyphen/>
        <w:t>ние вооружения самолета. При отстреле подфюзеляжной батареи произошла деформация обшивки внутренних сторон мотогондол, что потребовало их усиления. Заводские летные испытания самолета Су-8, небольшими пере</w:t>
      </w:r>
      <w:r w:rsidRPr="00070ADE">
        <w:rPr>
          <w:rFonts w:ascii="Times New Roman" w:hAnsi="Times New Roman"/>
          <w:color w:val="000000" w:themeColor="text1"/>
          <w:sz w:val="16"/>
          <w:szCs w:val="16"/>
        </w:rPr>
        <w:softHyphen/>
        <w:t>рывами для доработок и устране</w:t>
      </w:r>
      <w:r w:rsidRPr="00070ADE">
        <w:rPr>
          <w:rFonts w:ascii="Times New Roman" w:hAnsi="Times New Roman"/>
          <w:color w:val="000000" w:themeColor="text1"/>
          <w:sz w:val="16"/>
          <w:szCs w:val="16"/>
        </w:rPr>
        <w:softHyphen/>
        <w:t>ния неисправностей, продолжались до весны 1945 года. На государ</w:t>
      </w:r>
      <w:r w:rsidRPr="00070ADE">
        <w:rPr>
          <w:rFonts w:ascii="Times New Roman" w:hAnsi="Times New Roman"/>
          <w:color w:val="000000" w:themeColor="text1"/>
          <w:sz w:val="16"/>
          <w:szCs w:val="16"/>
        </w:rPr>
        <w:softHyphen/>
        <w:t>ственные испытания самолет не передавался. После окончания войны интерес к штурмовику Су-8 пропал.</w:t>
      </w:r>
    </w:p>
    <w:p w14:paraId="356921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Бронированный штурмовик Су-8 с двумя двигателями М-71Ф, пред</w:t>
      </w:r>
      <w:r w:rsidRPr="00070ADE">
        <w:rPr>
          <w:rFonts w:ascii="Times New Roman" w:hAnsi="Times New Roman"/>
          <w:color w:val="000000" w:themeColor="text1"/>
          <w:sz w:val="16"/>
          <w:szCs w:val="16"/>
        </w:rPr>
        <w:softHyphen/>
        <w:t>назначенный «для действий по мо-томехчастям и живой силе против</w:t>
      </w:r>
      <w:r w:rsidRPr="00070ADE">
        <w:rPr>
          <w:rFonts w:ascii="Times New Roman" w:hAnsi="Times New Roman"/>
          <w:color w:val="000000" w:themeColor="text1"/>
          <w:sz w:val="16"/>
          <w:szCs w:val="16"/>
        </w:rPr>
        <w:softHyphen/>
        <w:t>ника», представлял собой моноплан смешанной конструкции со средне-расположенным крылом, двухкиле-вым разнесенным хвостовым опе</w:t>
      </w:r>
      <w:r w:rsidRPr="00070ADE">
        <w:rPr>
          <w:rFonts w:ascii="Times New Roman" w:hAnsi="Times New Roman"/>
          <w:color w:val="000000" w:themeColor="text1"/>
          <w:sz w:val="16"/>
          <w:szCs w:val="16"/>
        </w:rPr>
        <w:softHyphen/>
        <w:t>рением и трехколесным убираю</w:t>
      </w:r>
      <w:r w:rsidRPr="00070ADE">
        <w:rPr>
          <w:rFonts w:ascii="Times New Roman" w:hAnsi="Times New Roman"/>
          <w:color w:val="000000" w:themeColor="text1"/>
          <w:sz w:val="16"/>
          <w:szCs w:val="16"/>
        </w:rPr>
        <w:softHyphen/>
        <w:t>щимся шасси.</w:t>
      </w:r>
    </w:p>
    <w:p w14:paraId="1D3D3E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Фюзеляж овального сечения тех</w:t>
      </w:r>
      <w:r w:rsidRPr="00070ADE">
        <w:rPr>
          <w:rFonts w:ascii="Times New Roman" w:hAnsi="Times New Roman"/>
          <w:color w:val="000000" w:themeColor="text1"/>
          <w:sz w:val="16"/>
          <w:szCs w:val="16"/>
        </w:rPr>
        <w:softHyphen/>
        <w:t>нологически делился на три части: носовая часть была выполнена це</w:t>
      </w:r>
      <w:r w:rsidRPr="00070ADE">
        <w:rPr>
          <w:rFonts w:ascii="Times New Roman" w:hAnsi="Times New Roman"/>
          <w:color w:val="000000" w:themeColor="text1"/>
          <w:sz w:val="16"/>
          <w:szCs w:val="16"/>
        </w:rPr>
        <w:softHyphen/>
        <w:t>ликом из броневой стали, средняя часть была дюралевой, а хвостовая - полумонокок с деревянным набором и фанерной обшивкой.</w:t>
      </w:r>
    </w:p>
    <w:p w14:paraId="5186AF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Крыло - свободнонесущее тра</w:t>
      </w:r>
      <w:r w:rsidRPr="00070ADE">
        <w:rPr>
          <w:rFonts w:ascii="Times New Roman" w:hAnsi="Times New Roman"/>
          <w:color w:val="000000" w:themeColor="text1"/>
          <w:sz w:val="16"/>
          <w:szCs w:val="16"/>
        </w:rPr>
        <w:softHyphen/>
        <w:t>пециевидной формы в плане, состо</w:t>
      </w:r>
      <w:r w:rsidRPr="00070ADE">
        <w:rPr>
          <w:rFonts w:ascii="Times New Roman" w:hAnsi="Times New Roman"/>
          <w:color w:val="000000" w:themeColor="text1"/>
          <w:sz w:val="16"/>
          <w:szCs w:val="16"/>
        </w:rPr>
        <w:softHyphen/>
        <w:t>яло из центроплана и двух отъем</w:t>
      </w:r>
      <w:r w:rsidRPr="00070ADE">
        <w:rPr>
          <w:rFonts w:ascii="Times New Roman" w:hAnsi="Times New Roman"/>
          <w:color w:val="000000" w:themeColor="text1"/>
          <w:sz w:val="16"/>
          <w:szCs w:val="16"/>
        </w:rPr>
        <w:softHyphen/>
        <w:t>ных консолей. Центроплан - цель</w:t>
      </w:r>
      <w:r w:rsidRPr="00070ADE">
        <w:rPr>
          <w:rFonts w:ascii="Times New Roman" w:hAnsi="Times New Roman"/>
          <w:color w:val="000000" w:themeColor="text1"/>
          <w:sz w:val="16"/>
          <w:szCs w:val="16"/>
        </w:rPr>
        <w:softHyphen/>
        <w:t>нометаллический, консоли однолон-жеронной конструкции с дополни</w:t>
      </w:r>
      <w:r w:rsidRPr="00070ADE">
        <w:rPr>
          <w:rFonts w:ascii="Times New Roman" w:hAnsi="Times New Roman"/>
          <w:color w:val="000000" w:themeColor="text1"/>
          <w:sz w:val="16"/>
          <w:szCs w:val="16"/>
        </w:rPr>
        <w:softHyphen/>
        <w:t>тельной стенкой. Лонжерон и стен</w:t>
      </w:r>
      <w:r w:rsidRPr="00070ADE">
        <w:rPr>
          <w:rFonts w:ascii="Times New Roman" w:hAnsi="Times New Roman"/>
          <w:color w:val="000000" w:themeColor="text1"/>
          <w:sz w:val="16"/>
          <w:szCs w:val="16"/>
        </w:rPr>
        <w:softHyphen/>
        <w:t>ка - цельнометаллические, нервю</w:t>
      </w:r>
      <w:r w:rsidRPr="00070ADE">
        <w:rPr>
          <w:rFonts w:ascii="Times New Roman" w:hAnsi="Times New Roman"/>
          <w:color w:val="000000" w:themeColor="text1"/>
          <w:sz w:val="16"/>
          <w:szCs w:val="16"/>
        </w:rPr>
        <w:softHyphen/>
        <w:t>ры деревянные, обшивка фанерная. Профили крыла МАСА-230 большой относительной толщины. Механиза</w:t>
      </w:r>
      <w:r w:rsidRPr="00070ADE">
        <w:rPr>
          <w:rFonts w:ascii="Times New Roman" w:hAnsi="Times New Roman"/>
          <w:color w:val="000000" w:themeColor="text1"/>
          <w:sz w:val="16"/>
          <w:szCs w:val="16"/>
        </w:rPr>
        <w:softHyphen/>
        <w:t>ция крыла состояла из автомати</w:t>
      </w:r>
      <w:r w:rsidRPr="00070ADE">
        <w:rPr>
          <w:rFonts w:ascii="Times New Roman" w:hAnsi="Times New Roman"/>
          <w:color w:val="000000" w:themeColor="text1"/>
          <w:sz w:val="16"/>
          <w:szCs w:val="16"/>
        </w:rPr>
        <w:softHyphen/>
        <w:t>ческих предкрылков, элеронов и посадочных щитков.</w:t>
      </w:r>
    </w:p>
    <w:p w14:paraId="36F708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Хвостовое оперение - цельно</w:t>
      </w:r>
      <w:r w:rsidRPr="00070ADE">
        <w:rPr>
          <w:rFonts w:ascii="Times New Roman" w:hAnsi="Times New Roman"/>
          <w:color w:val="000000" w:themeColor="text1"/>
          <w:sz w:val="16"/>
          <w:szCs w:val="16"/>
        </w:rPr>
        <w:softHyphen/>
        <w:t>металлическое, рули обтянуты по</w:t>
      </w:r>
      <w:r w:rsidRPr="00070ADE">
        <w:rPr>
          <w:rFonts w:ascii="Times New Roman" w:hAnsi="Times New Roman"/>
          <w:color w:val="000000" w:themeColor="text1"/>
          <w:sz w:val="16"/>
          <w:szCs w:val="16"/>
        </w:rPr>
        <w:softHyphen/>
        <w:t>лотном.</w:t>
      </w:r>
    </w:p>
    <w:p w14:paraId="3E1D44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Шасси - трехопорное с хвосто</w:t>
      </w:r>
      <w:r w:rsidRPr="00070ADE">
        <w:rPr>
          <w:rFonts w:ascii="Times New Roman" w:hAnsi="Times New Roman"/>
          <w:color w:val="000000" w:themeColor="text1"/>
          <w:sz w:val="16"/>
          <w:szCs w:val="16"/>
        </w:rPr>
        <w:softHyphen/>
        <w:t>вым колесом. Основные опоры с колесами 1200x450 убирались в мотогондолы по потоку. Хвостовая опора с колесом 600x250 убира</w:t>
      </w:r>
      <w:r w:rsidRPr="00070ADE">
        <w:rPr>
          <w:rFonts w:ascii="Times New Roman" w:hAnsi="Times New Roman"/>
          <w:color w:val="000000" w:themeColor="text1"/>
          <w:sz w:val="16"/>
          <w:szCs w:val="16"/>
        </w:rPr>
        <w:softHyphen/>
        <w:t>лась в фюзеляж по потоку. Система уборки и выпуска шасси — гидрав</w:t>
      </w:r>
      <w:r w:rsidRPr="00070ADE">
        <w:rPr>
          <w:rFonts w:ascii="Times New Roman" w:hAnsi="Times New Roman"/>
          <w:color w:val="000000" w:themeColor="text1"/>
          <w:sz w:val="16"/>
          <w:szCs w:val="16"/>
        </w:rPr>
        <w:softHyphen/>
        <w:t>лическая.</w:t>
      </w:r>
    </w:p>
    <w:p w14:paraId="03E1B5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Система управления самолетом смешанного типа.</w:t>
      </w:r>
    </w:p>
    <w:p w14:paraId="0509A3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Силовая установка состояла из двух двигателей воздушного охлаж-</w:t>
      </w:r>
    </w:p>
    <w:p w14:paraId="5DD891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дения М-71Ф, размещенных в мо</w:t>
      </w:r>
      <w:r w:rsidRPr="00070ADE">
        <w:rPr>
          <w:rFonts w:ascii="Times New Roman" w:hAnsi="Times New Roman"/>
          <w:color w:val="000000" w:themeColor="text1"/>
          <w:sz w:val="16"/>
          <w:szCs w:val="16"/>
        </w:rPr>
        <w:softHyphen/>
        <w:t>тогондолах. Топливные баки распо</w:t>
      </w:r>
      <w:r w:rsidRPr="00070ADE">
        <w:rPr>
          <w:rFonts w:ascii="Times New Roman" w:hAnsi="Times New Roman"/>
          <w:color w:val="000000" w:themeColor="text1"/>
          <w:sz w:val="16"/>
          <w:szCs w:val="16"/>
        </w:rPr>
        <w:softHyphen/>
        <w:t>лагались в мотогондолах и консо</w:t>
      </w:r>
      <w:r w:rsidRPr="00070ADE">
        <w:rPr>
          <w:rFonts w:ascii="Times New Roman" w:hAnsi="Times New Roman"/>
          <w:color w:val="000000" w:themeColor="text1"/>
          <w:sz w:val="16"/>
          <w:szCs w:val="16"/>
        </w:rPr>
        <w:softHyphen/>
        <w:t>лях крыла.</w:t>
      </w:r>
    </w:p>
    <w:p w14:paraId="5846D5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Пушечное вооружение включа</w:t>
      </w:r>
      <w:r w:rsidRPr="00070ADE">
        <w:rPr>
          <w:rFonts w:ascii="Times New Roman" w:hAnsi="Times New Roman"/>
          <w:color w:val="000000" w:themeColor="text1"/>
          <w:sz w:val="16"/>
          <w:szCs w:val="16"/>
        </w:rPr>
        <w:softHyphen/>
        <w:t>ло подфюзеляжную батарею из четырех пушек калибра 45 мм с сум</w:t>
      </w:r>
      <w:r w:rsidRPr="00070ADE">
        <w:rPr>
          <w:rFonts w:ascii="Times New Roman" w:hAnsi="Times New Roman"/>
          <w:color w:val="000000" w:themeColor="text1"/>
          <w:sz w:val="16"/>
          <w:szCs w:val="16"/>
        </w:rPr>
        <w:softHyphen/>
        <w:t>марным боекомплектом 200 патронов.</w:t>
      </w:r>
    </w:p>
    <w:p w14:paraId="3087BA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Стрелковое вооружение состо</w:t>
      </w:r>
      <w:r w:rsidRPr="00070ADE">
        <w:rPr>
          <w:rFonts w:ascii="Times New Roman" w:hAnsi="Times New Roman"/>
          <w:color w:val="000000" w:themeColor="text1"/>
          <w:sz w:val="16"/>
          <w:szCs w:val="16"/>
        </w:rPr>
        <w:softHyphen/>
        <w:t>яло из восьми пулеметов ШКАС (по четыре в каждой консоли крыла) с суммарным боекомплектом 4800 патронов, а также двух подвижных пулеметов в кабине стрелка-ради</w:t>
      </w:r>
      <w:r w:rsidRPr="00070ADE">
        <w:rPr>
          <w:rFonts w:ascii="Times New Roman" w:hAnsi="Times New Roman"/>
          <w:color w:val="000000" w:themeColor="text1"/>
          <w:sz w:val="16"/>
          <w:szCs w:val="16"/>
        </w:rPr>
        <w:softHyphen/>
        <w:t>ста. УБТ - на верхней турели УТК-1 с боекомплектом 200 патронов и пулемета ШКАС на нижней люко</w:t>
      </w:r>
      <w:r w:rsidRPr="00070ADE">
        <w:rPr>
          <w:rFonts w:ascii="Times New Roman" w:hAnsi="Times New Roman"/>
          <w:color w:val="000000" w:themeColor="text1"/>
          <w:sz w:val="16"/>
          <w:szCs w:val="16"/>
        </w:rPr>
        <w:softHyphen/>
        <w:t>вой турели ЛУ-100 с боекомплек</w:t>
      </w:r>
      <w:r w:rsidRPr="00070ADE">
        <w:rPr>
          <w:rFonts w:ascii="Times New Roman" w:hAnsi="Times New Roman"/>
          <w:color w:val="000000" w:themeColor="text1"/>
          <w:sz w:val="16"/>
          <w:szCs w:val="16"/>
        </w:rPr>
        <w:softHyphen/>
        <w:t>том 700 патронов.</w:t>
      </w:r>
    </w:p>
    <w:p w14:paraId="62060A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Бомбы размещались в шести бомбоотсеках центроплана. Каждый отсек вмещал одну бомбу калибра 100 кг или несколько авиабомб меньшего калибра. Под фюзеляжем предусматривалась подвеска трех бомб калибра 250 кг, либо двух бомб калибра 500 кг. Нормальная бомбовая нагрузка 1000 кг, в пере</w:t>
      </w:r>
      <w:r w:rsidRPr="00070ADE">
        <w:rPr>
          <w:rFonts w:ascii="Times New Roman" w:hAnsi="Times New Roman"/>
          <w:color w:val="000000" w:themeColor="text1"/>
          <w:sz w:val="16"/>
          <w:szCs w:val="16"/>
        </w:rPr>
        <w:softHyphen/>
        <w:t>грузочном варианте - 1400 кг.</w:t>
      </w:r>
    </w:p>
    <w:p w14:paraId="1CCB0D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Бронирование, общей массой 1680 кг, обеспечивало защиту пи</w:t>
      </w:r>
      <w:r w:rsidRPr="00070ADE">
        <w:rPr>
          <w:rFonts w:ascii="Times New Roman" w:hAnsi="Times New Roman"/>
          <w:color w:val="000000" w:themeColor="text1"/>
          <w:sz w:val="16"/>
          <w:szCs w:val="16"/>
        </w:rPr>
        <w:softHyphen/>
        <w:t>лота, стрелка-радиста, моторов, крыльевых бензобаков, маслобаков, маслорадиаторов и втулок воздуш</w:t>
      </w:r>
      <w:r w:rsidRPr="00070ADE">
        <w:rPr>
          <w:rFonts w:ascii="Times New Roman" w:hAnsi="Times New Roman"/>
          <w:color w:val="000000" w:themeColor="text1"/>
          <w:sz w:val="16"/>
          <w:szCs w:val="16"/>
        </w:rPr>
        <w:softHyphen/>
        <w:t>ных винтов (11853).</w:t>
      </w:r>
    </w:p>
    <w:p w14:paraId="34C1A0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333EEC9" w14:textId="77777777" w:rsidR="00E23799" w:rsidRPr="00070ADE" w:rsidRDefault="00E23799"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11 марта 1944 заводской летчик-испытатель Н. Д. Фиксон выполнил первый полет на Су-8 2М-71ф. Затем аэродром развезло. Полеты прекратили (17500).</w:t>
      </w:r>
    </w:p>
    <w:p w14:paraId="7A5C3430" w14:textId="77777777" w:rsidR="00E23799" w:rsidRPr="00070ADE" w:rsidRDefault="00E23799" w:rsidP="00B56F90">
      <w:pPr>
        <w:spacing w:after="0" w:line="240" w:lineRule="auto"/>
        <w:jc w:val="both"/>
        <w:rPr>
          <w:rStyle w:val="77"/>
          <w:rFonts w:eastAsiaTheme="minorHAnsi"/>
          <w:color w:val="000000" w:themeColor="text1"/>
          <w:sz w:val="16"/>
          <w:szCs w:val="16"/>
        </w:rPr>
      </w:pPr>
    </w:p>
    <w:p w14:paraId="3E4B04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завершились гос. испытания Як-9У с ВК-105ПФ2 с ВЯ эталона на 1944, который начал летать с 17 января 1944, а с 2 по 25 января 1944 испытывался на земле (65,146). Летал В.Хомяков (4237,32).</w:t>
      </w:r>
    </w:p>
    <w:p w14:paraId="5F063A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F46F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11 марта 1944 Розанов и Степанец подписали Журнал наблюдений за проектированием, постройкой и эксплоатацией МиГ-5 2АМ-37 и 2М-82 (990,2).</w:t>
      </w:r>
    </w:p>
    <w:p w14:paraId="186396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Решение Правительства План опытного стро-ва, утвержденный Правительством 25 ноября 1940 № 480 (или 380)</w:t>
      </w:r>
    </w:p>
    <w:p w14:paraId="3F9DB1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самолета - одноместный двухмоторный истребитель одноместный совповождения</w:t>
      </w:r>
    </w:p>
    <w:p w14:paraId="1FA3291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мотора - АМ-37</w:t>
      </w:r>
    </w:p>
    <w:p w14:paraId="516B7EF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изготовления - Срок предъявления на госиспытания:</w:t>
      </w:r>
    </w:p>
    <w:p w14:paraId="23F1B0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экз. - 1.8.41 г.</w:t>
      </w:r>
    </w:p>
    <w:p w14:paraId="0A0D0D3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2-й экз. - 1.9.41 г.</w:t>
      </w:r>
    </w:p>
    <w:p w14:paraId="31C1EF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3-й экз. - 1.11.41 г.</w:t>
      </w:r>
    </w:p>
    <w:p w14:paraId="78022BA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1 НКАП</w:t>
      </w:r>
    </w:p>
    <w:p w14:paraId="065275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Особеннгости, указанные постановлением Правительства СССР: - Построить с-т ДИС-200 (МиГ-5) в 3-х экз.</w:t>
      </w:r>
    </w:p>
    <w:p w14:paraId="2480C6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 - 635 км/час</w:t>
      </w:r>
    </w:p>
    <w:p w14:paraId="7B558C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 посадочная - 126 км/час</w:t>
      </w:r>
    </w:p>
    <w:p w14:paraId="1BF4CD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на 0,8 макс. - 2000 км</w:t>
      </w:r>
    </w:p>
    <w:p w14:paraId="19852B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 - 11000</w:t>
      </w:r>
    </w:p>
    <w:p w14:paraId="24DD83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w:t>
      </w:r>
    </w:p>
    <w:p w14:paraId="611CC4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Батарею 4хШКАС по 1200 патронов на каждый</w:t>
      </w:r>
    </w:p>
    <w:p w14:paraId="27AECC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2хБС с емкостью патронов 550 шт. на каждый</w:t>
      </w:r>
    </w:p>
    <w:p w14:paraId="77EBA0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1х23 мм (Таубина)</w:t>
      </w:r>
    </w:p>
    <w:p w14:paraId="25822B0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Бомбовая нагрузка в счет перегрузки - 1000 кг</w:t>
      </w:r>
    </w:p>
    <w:p w14:paraId="0DB8B5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Торпеда 1000 кг или 2х500 бомб (990,2).</w:t>
      </w:r>
    </w:p>
    <w:p w14:paraId="022A38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 Вед. И Алексеенко</w:t>
      </w:r>
    </w:p>
    <w:p w14:paraId="28BCAF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ТТТ</w:t>
      </w:r>
    </w:p>
    <w:p w14:paraId="69A435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Ответств. За составление ТТТ ви3р Онищенко и ви3р Алексеенко</w:t>
      </w:r>
    </w:p>
    <w:p w14:paraId="5B9C0B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ТТТ согласованы с ГК завода № 1</w:t>
      </w:r>
    </w:p>
    <w:p w14:paraId="0C6B74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ТТТ к ДИС МиГ с 2хАМ-37 утвердил 3 января 1941 П.В.Рычагов (990,3).</w:t>
      </w:r>
    </w:p>
    <w:p w14:paraId="114DFF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Особые указания из ТТТ</w:t>
      </w:r>
    </w:p>
    <w:p w14:paraId="7857CF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частичное бронирование л-ка и радиаторов, установка протектированных бензомаслобаков, заполнение б/б нейтральным газом,</w:t>
      </w:r>
    </w:p>
    <w:p w14:paraId="5BC1EC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установка антиобледенителей,</w:t>
      </w:r>
    </w:p>
    <w:p w14:paraId="39ABFE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обеспечение л-ку обзора вперед-вниз от горизонта 60 гр. И обеспечение возможности прицельного бомбометания с гор. Полета и с пикирования,</w:t>
      </w:r>
    </w:p>
    <w:p w14:paraId="163CD4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установка воздушного тормоза (макс. скор. пикирования снижается до 500 км/час под углом 70 гр)</w:t>
      </w:r>
    </w:p>
    <w:p w14:paraId="36A535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 Вед. И Алексеенко</w:t>
      </w:r>
    </w:p>
    <w:p w14:paraId="7B01E6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ТТТ разосланы 5-7 января 1941 </w:t>
      </w:r>
    </w:p>
    <w:p w14:paraId="12F4EA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 Вед. И Алексеенко</w:t>
      </w:r>
    </w:p>
    <w:p w14:paraId="58E2C7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Рассмотрение эскизного проекта: Распоряжение Нач. 3 Отд. НИИ ВВС КА Рудин</w:t>
      </w:r>
    </w:p>
    <w:p w14:paraId="0F0B46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 За составление закл. Ви3р Алексенко</w:t>
      </w:r>
    </w:p>
    <w:p w14:paraId="3EA4F1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3-го отделения ви3р Воеводин</w:t>
      </w:r>
    </w:p>
    <w:p w14:paraId="58E155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составлении заключения участвовали:</w:t>
      </w:r>
    </w:p>
    <w:p w14:paraId="578CAD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части тактической п/пи Шауров</w:t>
      </w:r>
    </w:p>
    <w:p w14:paraId="4AE457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части самолетостроительной ви3р Алексенко</w:t>
      </w:r>
    </w:p>
    <w:p w14:paraId="350C0C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части моторной ви3р Золотарев, вт1р Наливкин</w:t>
      </w:r>
    </w:p>
    <w:p w14:paraId="2A59F20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части вооружения ви1р Янчук</w:t>
      </w:r>
    </w:p>
    <w:p w14:paraId="57A643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части оборудования ви3р Самошин</w:t>
      </w:r>
    </w:p>
    <w:p w14:paraId="206D84E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Общая оценка предлагаемого объекта:</w:t>
      </w:r>
    </w:p>
    <w:p w14:paraId="249139D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основным ТТТ ст ДИС-200 предъявленным ТТТ не полностью удовлетворяет (по скорости, скороподъемности, потолку, маневренности)</w:t>
      </w:r>
    </w:p>
    <w:p w14:paraId="72639F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ТТТ подписан в конце декабря 1940 Филиным</w:t>
      </w:r>
    </w:p>
    <w:p w14:paraId="72EAE18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Проектирование с-та проходило в октябре 1940. Заключение дано в октябре 1940. Заключение по проекту с-та дали:</w:t>
      </w:r>
    </w:p>
    <w:p w14:paraId="37DA741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всему с-ту ви3р Алнексеенко</w:t>
      </w:r>
    </w:p>
    <w:p w14:paraId="52A3BE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части вооружения ви1р Янчук</w:t>
      </w:r>
    </w:p>
    <w:p w14:paraId="6EDA32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части оборулдования ви3р Самошин</w:t>
      </w:r>
    </w:p>
    <w:p w14:paraId="43C011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 подписано 14 декабря 1940 Нач. ГУАС ВВС Рычаговым (990,3)</w:t>
      </w:r>
    </w:p>
    <w:p w14:paraId="3A5A9C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Макет самолета предъвлен 12 октября 1940</w:t>
      </w:r>
    </w:p>
    <w:p w14:paraId="4132BB9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Осмотрен 12 октября 1940. При осмотре макета присутствовал п/п Стефановский, в/пред Янчук, ви3р Алексеенко, Синя..., Сало..., ви2р Франьев, от з-да № 1 Микоян, Гуревич, от зав. № 24 Микулин, Флисский, Пикуль.</w:t>
      </w:r>
    </w:p>
    <w:p w14:paraId="525412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Протокол макетной комиссии утвержден 12 ноября 1940 гла Гусевым (в одноместном варианте вместо 2-х местного, требуемого макетной комиссией)</w:t>
      </w:r>
    </w:p>
    <w:p w14:paraId="7E5F7F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Календарный план постройки опытного строительства установил срок предъявления на госиспытания 1 августа 1941</w:t>
      </w:r>
    </w:p>
    <w:p w14:paraId="30AE1CF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сентября 1942 Опытным цехом на заводе № 1 им. Сталина (на бывшей территории завода № 1 в Москве) были построены 2 варианта с-та МИГ-5</w:t>
      </w:r>
    </w:p>
    <w:p w14:paraId="229A25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- 2-х моторный одноместный истребитель с 2АМ-37, 3-х лопастным винтом ААВ-5-Л11У д. 3.1 м</w:t>
      </w:r>
    </w:p>
    <w:p w14:paraId="0EA1075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в центроплане 2хВЯ 23 мм и 4хБС 12.7мм с предусмотреной подвеской бомб до 1000 кг</w:t>
      </w:r>
    </w:p>
    <w:p w14:paraId="52A38D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 8000, размах крыла 15,3, длина 11,2 м, пл. Крыла 38,9 м, цт 21.4% САХ (шасси выпущено, без горюч. Т боеприпасов) и 24.5% (норм. Вариант шасси выпущено), нагрузка 207 кг/м2, емкость бензобаков: фюзеляж 765 л, центроплан 2х685 = 1370 л., дополнительный 455 л, итого: 2590 л</w:t>
      </w:r>
    </w:p>
    <w:p w14:paraId="677CA7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7520 м = 560 км/час</w:t>
      </w:r>
    </w:p>
    <w:p w14:paraId="342A80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проходил летные испытания в ЛИИ НКАП с 11 июля 1941 по 5 октября 1941 г.</w:t>
      </w:r>
    </w:p>
    <w:p w14:paraId="5D9FC8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самолета сняты моторы для переборки. Самолет находится на ЛИС завода в ангаре.</w:t>
      </w:r>
    </w:p>
    <w:p w14:paraId="55CF514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2-й - с 2М-82 с 4-х лопастным винтом АВ-118 д. 3.2</w:t>
      </w:r>
    </w:p>
    <w:p w14:paraId="0D6DA5A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в центроплане 2хВЯ 23 мм и 4хБС 12.7мм с предусмотреной подвеской бомб до 1000 кг</w:t>
      </w:r>
    </w:p>
    <w:p w14:paraId="4277B1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устраняются дефекты, после чегон будет передан в ЛИИ НКАП для производства летных испытаний.</w:t>
      </w:r>
    </w:p>
    <w:p w14:paraId="04E66AC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октября 1942 1-й вариант без изменений. 2-й вариант: производятся работы:</w:t>
      </w:r>
    </w:p>
    <w:p w14:paraId="169AD6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переделка дренажа мотоустановки и электроуправление жалюзи,</w:t>
      </w:r>
    </w:p>
    <w:p w14:paraId="4D1138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переделка кинематики щитков шасси и костыля,</w:t>
      </w:r>
    </w:p>
    <w:p w14:paraId="28A270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переделка дренажа бензосистемы,</w:t>
      </w:r>
    </w:p>
    <w:p w14:paraId="7AB543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доводка вооружения,</w:t>
      </w:r>
    </w:p>
    <w:p w14:paraId="16F74C8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переделка вооружения.</w:t>
      </w:r>
    </w:p>
    <w:p w14:paraId="283F48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декабря 1942 2-й вариант с-та готов для летных испытаний, которые будет производиься в ЛИИ НКАП</w:t>
      </w:r>
    </w:p>
    <w:p w14:paraId="1ED053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января 1943 начались летные испытания 2-го экз.</w:t>
      </w:r>
    </w:p>
    <w:p w14:paraId="392B808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января 1943 л Савкин выполнил первый вылет на 2 экз. и летал 15 мин.</w:t>
      </w:r>
    </w:p>
    <w:p w14:paraId="54EE25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февраля 1942 произведен 2-й вылет (25 мин.) с целью проверки работы ВМГ</w:t>
      </w:r>
    </w:p>
    <w:p w14:paraId="4F2B93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февраля 1943 с 10 по 20 февраля 1943 полеты не производились из-за ненормальной работы карбюратора БП.</w:t>
      </w:r>
    </w:p>
    <w:p w14:paraId="55C8E0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марта 1943 25 февраля 1943 карбюраторы сняты с обоих моторов и отправлены в ЦИАМ на перерегулировку. По этой причине полетов не было (из донесения Князева от 27 февраля 1943).</w:t>
      </w:r>
    </w:p>
    <w:p w14:paraId="1658175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1943 С 25 февраля 1943 по 5 марта 1943 карбюраторы проходили перерегулировку в ЦИАМе. С 6 марта 1943 по 9 марта 1943 карбюраторы устанавливались на моторах. После чего будет проба моторов на земле и в воздухе (из донесения Князева от 9 марта 1943).</w:t>
      </w:r>
    </w:p>
    <w:p w14:paraId="4C8328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апреля 1943 8 апреля закончили установку новых (беспоплавковых) карбюраторов, проходивших перерегулировку в ЦИАМе. Моторы на земле работают нормально. С-т готов к летным испытаниям (из донесения Князева от 18 марта 1943).</w:t>
      </w:r>
    </w:p>
    <w:p w14:paraId="5EC82B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тем, что летный состав завода занят летными испытаниями других самолетов, полеты на с-те МиГ-5 не производились (из дорнесения Князева от 30 марта 1943).</w:t>
      </w:r>
    </w:p>
    <w:p w14:paraId="404C0D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15 мая 1943 полеты не производились из-за отсутствия летного состава (из донесения Князева от 9 апреля 1943).</w:t>
      </w:r>
    </w:p>
    <w:p w14:paraId="40A564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июня 1943 полеты не производились из-за отсутствия свободного летного состава (по указанию т. Микояна) (из донесения Князева от 29 апреля и 8 мая 1943).</w:t>
      </w:r>
    </w:p>
    <w:p w14:paraId="241FE0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1943 12 мая 1943 была проверена работа ВМТ-3 на земле, все нормально. По указанию ГК полеты не производились (из донесения Князева от 19 мая 1943.</w:t>
      </w:r>
    </w:p>
    <w:p w14:paraId="75EFB1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июня 1943 без изменений. С-т зачехлен и находится на ЛИС завода (ЦА им. Фрунзе) (из донесения Князева от 29 мая 1943)</w:t>
      </w:r>
    </w:p>
    <w:p w14:paraId="078C45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июня 1943 полеты не производились, с-т зачехлен</w:t>
      </w:r>
    </w:p>
    <w:p w14:paraId="2B502C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19 июня 1943 без изменений </w:t>
      </w:r>
    </w:p>
    <w:p w14:paraId="3DCDFC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Справка по самолету МиГ-5 2АМ-37. Опытный экз. был в первом полете в 1941. Заводские испытания проходили совместно с ЛИИ НКАП с 11 июня 1941 по 5 октября 1941. В результате испытаний выяснено: с-т МиГ-5 с АМ-37 для серийного производства рекомендован быть не может. В январе 1943 с с-та сняты моторы. Планер находится в ангаре ЛИС завода.</w:t>
      </w:r>
    </w:p>
    <w:p w14:paraId="225CA1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Справка по самолету МиГ-5 2М-82. Опытный экз. построен в 1942. Вооружение: 2зВЯ по 150 патр., 4хБС по 250 патр. Произведено 14 полетов. С-т подготовлен к летным испытаниям.</w:t>
      </w:r>
    </w:p>
    <w:p w14:paraId="56B348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июня 1943 без изменений. С-т зачехлен и находится на ЛИС завода.</w:t>
      </w:r>
    </w:p>
    <w:p w14:paraId="36E7E0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июля 1943 без изменений. С-т зачехлен и находится на ЛИС завода.</w:t>
      </w:r>
    </w:p>
    <w:p w14:paraId="78A4DD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июля 1943 без изменений. С-т зачехлен и находится на ЛИС завода.</w:t>
      </w:r>
    </w:p>
    <w:p w14:paraId="67CE2A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июля 1943 без изменений. С-т зачехлен и находится на ЛИС завода.</w:t>
      </w:r>
    </w:p>
    <w:p w14:paraId="6B3DB2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августа 1943 без изменений. С-т зачехлен и находится на ЛИС завода.</w:t>
      </w:r>
    </w:p>
    <w:p w14:paraId="3907B0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сентября 1943 без изменений. С-т зачехлен и находится на ЛИС завода.</w:t>
      </w:r>
    </w:p>
    <w:p w14:paraId="76FBD7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сентября 1943 без изменений. С-т зачехлен и находится на ЛИС завода.</w:t>
      </w:r>
    </w:p>
    <w:p w14:paraId="36908F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сентября 1943 без изменений. С-т зачехлен и находится на ЛИС завода.</w:t>
      </w:r>
    </w:p>
    <w:p w14:paraId="62D86F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октября 1943 По указанию наркома АП винты (2 шт.) сняты с самолета и отправлены в ЛИИ.</w:t>
      </w:r>
    </w:p>
    <w:p w14:paraId="24329D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октября 1943 без изменений. С-т зачехлен и находится на ЛИС завода.</w:t>
      </w:r>
    </w:p>
    <w:p w14:paraId="44C7E7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октября 1943 без изменений. С-т зачехлен и находится на ЛИС завода.</w:t>
      </w:r>
    </w:p>
    <w:p w14:paraId="440299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ноября 1943 без изменений. С-т зачехлен и находится на ЛИС завода.</w:t>
      </w:r>
    </w:p>
    <w:p w14:paraId="32C678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ноября 1943 без изменений. С-т зачехлен и находится на ЛИС завода.</w:t>
      </w:r>
    </w:p>
    <w:p w14:paraId="030A5D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января 1944 без изменений. С-т зачехлен и находится на ЛИС завода.</w:t>
      </w:r>
    </w:p>
    <w:p w14:paraId="3FB8D4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января 1944 без изменений. С-т зачехлен и находится на ЛИС завода. С-т не пригоден к полету, нет винтов</w:t>
      </w:r>
    </w:p>
    <w:p w14:paraId="30BBED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января 1944 без изменений. С-т зачехлен и находится на ЛИС завода.</w:t>
      </w:r>
    </w:p>
    <w:p w14:paraId="34A21C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марта 1944 работы по доводке с-та не проводятся и не предполагаются. С-т зачехлен и находится на ЛИС завода (990,8).</w:t>
      </w:r>
    </w:p>
    <w:p w14:paraId="4A339C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06B68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19655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536482"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провели первые стрельбы МЛ-20см, и после 33 выстрелов систему сняли с испытаний ввиду неудовлетворительной работы затвора. В ходе испытаний марта-апреля 1944 года были обнаружены производственные дефекты. Тем не менее 14 апреля МЛ-20см выдержала испытания на скоростной отстрел 60 выстрелов, произведя их за 39 минут вместо положенного часа. Всего же за март-май 1944 года орудие произвело 249 выстрелов, из них 196 — усиленным зарядом. Скорострельность достигала 2,9 выстрела в минуту.</w:t>
      </w:r>
    </w:p>
    <w:p w14:paraId="0D439A88"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итогам испытаний планировалось установить орудие в самоходку, но этого так и не произошло. Что же касается испытаний орудия, то они продолжались на заводе №172 до сентября 1944 года. В это время между НКТП, ГБТУ КА, НКТП и ГАУ шли споры относительно орудия. Наконец 2 октября 1944 года была дана команда отправить МЛ-20см на Кировский завод и установить в ИСУ-152. К середине октября, когда орудие доставили в Челябинск, выяснилось, что оно прибыло в недоработанном виде. В конце декабря ГАУ КА поставило перед заводом №172 вопрос о необходимости срочной доработки орудия и отправке конструкторов на ЧКЗ. Несмотря на это представители завода №172 прибыли в Челябинск только к середине февраля 1945 года. К тому моменту ситуация с модернизацией ИСУ вышла на новый уровень (18636).</w:t>
      </w:r>
    </w:p>
    <w:p w14:paraId="758C1BEF" w14:textId="77777777" w:rsidR="00750752" w:rsidRPr="00070ADE" w:rsidRDefault="00750752" w:rsidP="00B56F90">
      <w:pPr>
        <w:spacing w:after="0" w:line="240" w:lineRule="auto"/>
        <w:jc w:val="both"/>
        <w:rPr>
          <w:rFonts w:ascii="Times New Roman" w:hAnsi="Times New Roman"/>
          <w:color w:val="000000" w:themeColor="text1"/>
          <w:sz w:val="16"/>
          <w:szCs w:val="16"/>
        </w:rPr>
      </w:pPr>
    </w:p>
    <w:p w14:paraId="1B18996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вышло Распоряжение ГКО № 5348 [О демобилизации из КА 25 специалистов и квалифицированных рабочих для лаборатории № 2 АН СССР и освобождении от призыва сотрудников лаборатории.] (7197, 70).</w:t>
      </w:r>
    </w:p>
    <w:p w14:paraId="19C309A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56D6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вышло Постановление ГКО № 5349 О мерах неотложной помощи по восстановлению нефтебаз в Белорусской ССР. РГАНИР, Фонд ГКО, д. 217, лл. 71-75,76-78 (11012).</w:t>
      </w:r>
    </w:p>
    <w:p w14:paraId="207DAB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0340D2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вышло Распоряжение ГКО № 5350 [О помощи НКУП и Главснабуглю при СНК СССР по вывозу и погрузке угля в Донбассе.] (7197, 79-80).</w:t>
      </w:r>
    </w:p>
    <w:p w14:paraId="37E9171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278E3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вышло Постановление ГКО № 5351 Об организации Краснодарского районного управления энергетического хозяйства Краснодарэнерго. РГАНИР, Фонд ГКО, д. 217, лл. 81-83 (11012).</w:t>
      </w:r>
    </w:p>
    <w:p w14:paraId="7C88C5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61CFF8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вышло Распоряжение ГКО № 5353 [О мерах по обеспечению своевременного окончания строительства и ввода в действие цехов по производству эбонитовых баков для рудничных и танковых аккумуляторов на заводах № 702 и 705 НКРП.] (7197, 85-86).</w:t>
      </w:r>
    </w:p>
    <w:p w14:paraId="41843C0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00C6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вышло Распоряжение ГКО № 5354. О мерах по обеспечению добычи на территории МНР вольфрамовых концентратов. РГАНИР, Фонд ГКО, д. 217, лл. 87-88 (11012).</w:t>
      </w:r>
    </w:p>
    <w:p w14:paraId="7DD16E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68708B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вышло Распоряжение ГКО № 5355 [О мерах по использованию на полную мощность Челябинской, Орской и Омской электростанций.] (7197, 89-90).</w:t>
      </w:r>
    </w:p>
    <w:p w14:paraId="6565631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9830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вышло Распоряжение ГКО № 5356. О создании запасов угля на Куйбышевской ГРЭС и Томской ГЭС на период весеннего паводка 1944 г. РГАНИР, Фонд ГКО, д. 217, лл. 91-92 (11012).</w:t>
      </w:r>
    </w:p>
    <w:p w14:paraId="527DAD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A808D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вышло Распоряжение ГКО № 5357. О мерах по обеспечению кровельных заводов НКПСМ СССР волокнистым сырьем и полуфабрикатами. РГАНИР, Фонд ГКО, д. 217, лл. 93-94 (11012).</w:t>
      </w:r>
    </w:p>
    <w:p w14:paraId="70BC6C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7A6AE8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вышло Постановление ГКО № 5358 Об обеспечении Наркомвоенморфлота средствами радиосвязи для вооружения подводных лодок. РГАНИР, Фонд ГКО, д. 217, лл. 95-98,99-100 (11012).</w:t>
      </w:r>
    </w:p>
    <w:p w14:paraId="2082DB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73117E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вышло Постановление ГКО № 5359 Об обеспечении гидролизных заводов Главлесоспирта сырьем и древесным топливом в марте и во II квартале 1944 года. РГАНИР, Фонд ГКО, д. 217, лл. 101-103,104 (11012).</w:t>
      </w:r>
    </w:p>
    <w:p w14:paraId="116F57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76C89C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вышло Постановление ГКО № 5360 Об обеспечении действующей армии передвижными электростанциями для звуковых кинопроекционных аппаратов. (7197, 105-107,108-109).</w:t>
      </w:r>
    </w:p>
    <w:p w14:paraId="19EDBC1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562F8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вышло Постановление ГКО № 5361 Об организации отдела радиолокации и радиолокационного полигона при НИИ спецслужб ВВС КА. РГАНИР, Фонд ГКО, д. 217, лл. 110-111,112-116 (11012).</w:t>
      </w:r>
    </w:p>
    <w:p w14:paraId="156B02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54F814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вышло Распоряжение ГКО № 5362. О переводе оборудования, материалов и 2000 рабочих, ИТР, служащих с семьями с Ульяновского на Миасский автозавоРГАНИР, Фонд ГКО, д. РГАНИР, Фонд ГКО, д. 217, лл. 117-118 (11012).</w:t>
      </w:r>
    </w:p>
    <w:p w14:paraId="161F1E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2D512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вышло Распоряжение ГКО № 5363. О выделении НКТМ лесосечного фонда в Челябинской обл. на 1944 г. РГАНИР, Фонд ГКО, д. 217, лл. 119 (11012).</w:t>
      </w:r>
    </w:p>
    <w:p w14:paraId="0342824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98DBD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11 марта 1944 вышло Распоряжение ГКО № 5364. О мерах по обеспечению производства малолитражных бензиновых двигателей на Московском мотоциклетном заводе. РГАНИР, Фонд ГКО, д. 217, лл. 120-121 (11012).</w:t>
      </w:r>
    </w:p>
    <w:p w14:paraId="3D9D90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0B102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г. вышло распоряжение ГКО № 5364 о мерах по обеспечению производства малолитражных бензиновых двигателей на ММЗ.</w:t>
      </w:r>
    </w:p>
    <w:p w14:paraId="01B93D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марта 1946 г. ММЗ было поручено освоение производства мотоцикла «Москвич-М-1А».</w:t>
      </w:r>
    </w:p>
    <w:p w14:paraId="3A817A2F" w14:textId="054ECF7E"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СМ СССР от 6.05.1951 г. ММЗ был перепрофилирован на производство бортовой радиоаппаратуры для ЗУР В-300 и переименован в ГС завод № 663 МПСС (ГС Завод № 663 МПСС, Московский велозавод ВСНХ, НКМ, Московский мотоциклетный завод (ММЗ), Московский приборный завод («Мосприбор») МРП, ГП, ФГУП «Московский приборный завод» /г. Москва Симоновская слобода; ул. Велозаводская/ /129348</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Москва Ярославское ш., 19 тел. 188-64-38/). Мотоциклетное производство передано в Минск. Выпускал бортовую радиоаппаратуру для ракет и противоракет систем С-25, С-75, С-125, А- 35 и А-135.</w:t>
      </w:r>
    </w:p>
    <w:p w14:paraId="14393B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1951 г. на завод переведен основной коллектив ПКБ-886 для освоения производства радиоаппаратуры, и образовано ПКБ завода.</w:t>
      </w:r>
    </w:p>
    <w:p w14:paraId="72B48F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1965 г. завод № 663 переименован в Московский приборный завод («Мосприбор»), В 1972 г. «Мосприбор» вошел в состав ЦКБ «Алмаз». 26.03.1973 г. завод «Мосприбор», ОКБ-41 и СКБ-39 выведены из состава ЦКБ «Алмаз» и объединены в ЦНИИ «Комета», разместившемся на базе завода «Мосприбор». В 2004 г. ФГУП «Московский приборный завод» входил в состав Концерна радиостроения «Вега».</w:t>
      </w:r>
      <w:r w:rsidRPr="00070ADE">
        <w:rPr>
          <w:rFonts w:ascii="Times New Roman" w:hAnsi="Times New Roman"/>
          <w:color w:val="000000" w:themeColor="text1"/>
          <w:sz w:val="16"/>
          <w:szCs w:val="16"/>
          <w:vertAlign w:val="superscript"/>
        </w:rPr>
        <w:t>102</w:t>
      </w:r>
    </w:p>
    <w:p w14:paraId="13EE5D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(1951 г.)- И.З. Соколов (на протяжении 27 лет), (2000 г.)- В.А. Ковалев.</w:t>
      </w:r>
    </w:p>
    <w:p w14:paraId="3A9527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велосипеды (1932-41), мотоциклы: М-72 (1941-), «Москвич-М-1А» (1946-);</w:t>
      </w:r>
    </w:p>
    <w:p w14:paraId="071C4F9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радиоаппаратура для ЗУР В-ЗОО;</w:t>
      </w:r>
      <w:r w:rsidRPr="00070ADE">
        <w:rPr>
          <w:rFonts w:ascii="Times New Roman" w:hAnsi="Times New Roman"/>
          <w:color w:val="000000" w:themeColor="text1"/>
          <w:sz w:val="16"/>
          <w:szCs w:val="16"/>
          <w:vertAlign w:val="superscript"/>
        </w:rPr>
        <w:t>104</w:t>
      </w:r>
      <w:r w:rsidRPr="00070ADE">
        <w:rPr>
          <w:rFonts w:ascii="Times New Roman" w:hAnsi="Times New Roman"/>
          <w:color w:val="000000" w:themeColor="text1"/>
          <w:sz w:val="16"/>
          <w:szCs w:val="16"/>
        </w:rPr>
        <w:t xml:space="preserve"> космический РЖ обзора морской поверхности «Чайка» (1970-е); радиоприемники: «Москвич-В», «Звезда-54», «Маяк»; телевизор «Электроника 32ВТЦ-201».</w:t>
      </w:r>
    </w:p>
    <w:p w14:paraId="6426A3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Проектно-конструкторское бюро (ПКБ) завода № 663 МПСС</w:t>
      </w:r>
    </w:p>
    <w:p w14:paraId="396BCB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1951 г. на завод переведен основной коллектив ПКБ-886 для освоения производства радиоаппаратуры, и образовано ПКБ завода. В 1959 г. начата разработка контрольно-измерительной аппаратуры для контроля бортовых систем КА «ИС» и «УС». 9.12.1972 г. ПКБ было переведено в состав ЦКБ «Алмаз» и переименовано в СКБ-39.</w:t>
      </w:r>
    </w:p>
    <w:p w14:paraId="77618F18" w14:textId="71A02290"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Руководитель (1951 г.-)- И.З. Соколов, (1960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Г.И. Сосна.</w:t>
      </w:r>
      <w:r w:rsidRPr="00070ADE">
        <w:rPr>
          <w:rFonts w:ascii="Times New Roman" w:hAnsi="Times New Roman"/>
          <w:color w:val="000000" w:themeColor="text1"/>
          <w:sz w:val="16"/>
          <w:szCs w:val="16"/>
          <w:vertAlign w:val="superscript"/>
        </w:rPr>
        <w:t>104</w:t>
      </w:r>
    </w:p>
    <w:p w14:paraId="74BB900A" w14:textId="66DBEB5B"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ЦНИИ «Комета» МРП, НПО, ЦНПО «Комета», ФГУП «Ордена Трудового Красного Знамени ЦНИИ «Комета» /115280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Москва ул. Велозаводская, 5 тел. 675-07-01/</w:t>
      </w:r>
    </w:p>
    <w:p w14:paraId="5A91C7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ЦНИИ «Комета» в ведении МРП образован 26.03.1973 г. на базе ОКБ-41, СКБ-39 ЦКБ «Алмаз» и завода «Мосприбор» с ПКБ, ставшего основной производственной базой ЦНИИ. СБ-410 ОКБ-41 преобразовано в СКБ- 32, СБ-411 - в СКБ-42, СБ-412 - в СКБ-43, отдел № 40 - в СКБ-40. Затем коллектив ОКБ-41 перебазировался из ЦКБ «Алмаз» на территорию завода «Мосприбор».</w:t>
      </w:r>
    </w:p>
    <w:p w14:paraId="259D24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Продолжена разработка системы противоспутниковой обороны ИС-М, начатая 13.02.1973 г. По ПСМ от 14.11.1978 г. ИС-М принята в эксплуатацию, 1.06.1979 г. поставлена на боевое дежурство. 14.11.1978 г. начата разработка системы ИС-МУ с КА 14Ф10 перехвата маневрирующих целей, пост, правительства в 04.1991 г. она принята в эксплуатацию. Начата разработка системы ИС-МД перехвата геостационарных спутников.</w:t>
      </w:r>
    </w:p>
    <w:p w14:paraId="18A0460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1975 г. было принято решение о разработке системы УС-КМО, в 1978 г. в институте начаты работы по системе с геостационарным спутником. По указу Президента от 25.12.1996 г. система пнв.</w:t>
      </w:r>
    </w:p>
    <w:p w14:paraId="57AACD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1979 г. на базе ЦНИИ «Комета» образовано НПО «Комета». В 1985 г. НПО преобразовано в Центральное НПО (ЦНПО) «Комета», в которое также вошли филиалы в Ереване, Рязани, Ленинграде (был в 2001 г.), Киеве, заводы в Алма-Ате и Вышнем Волочке, отдельные подразделения в Московской обл. и Тбилиси.</w:t>
      </w:r>
    </w:p>
    <w:p w14:paraId="4EAC2D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Создана комплексная самолетная лаборатория «Шельф-5» на базе Ан-12. Принимал участие в программе создания ОК «Буран».</w:t>
      </w:r>
    </w:p>
    <w:p w14:paraId="3E5217F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1978 г. ЦНИИ определен головным по созданию системы морской космической разведки и целеуказания (МКРЦ), которую планировалось создать в два этапа: «Пирс-1»- обнаружение надводных кораблей, «Пирс-2»- обнаружение погруженных ПЛ. Создана система МКРЦ «Легенда».</w:t>
      </w:r>
      <w:r w:rsidRPr="00070ADE">
        <w:rPr>
          <w:rFonts w:ascii="Times New Roman" w:hAnsi="Times New Roman"/>
          <w:color w:val="000000" w:themeColor="text1"/>
          <w:sz w:val="16"/>
          <w:szCs w:val="16"/>
          <w:vertAlign w:val="superscript"/>
        </w:rPr>
        <w:t>63</w:t>
      </w:r>
      <w:r w:rsidRPr="00070ADE">
        <w:rPr>
          <w:rFonts w:ascii="Times New Roman" w:hAnsi="Times New Roman"/>
          <w:color w:val="000000" w:themeColor="text1"/>
          <w:sz w:val="16"/>
          <w:szCs w:val="16"/>
        </w:rPr>
        <w:t xml:space="preserve"> Разработан Главный информационный центр системы освещения обстановки ВМФ (в 2003-04 г. принят в эксплуатацию).</w:t>
      </w:r>
    </w:p>
    <w:p w14:paraId="6E6E65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составе ЦНИИ: филиал - научно-технический внедренческий центр (НТВЦ).</w:t>
      </w:r>
    </w:p>
    <w:p w14:paraId="1C425C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38EC2DA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(2005 г.): единая космическая система раннего обнаружения стартов БР (ЕКС); системы всепогодного космического мониторинга Мирового океана в интересах обнаружения надводных объектов; системы наблюдения и инспекции космических объектов; системы обнаружения техногенных катастроф; информационно- управляющие центры спецназначения (является головным по данным направлениям).</w:t>
      </w:r>
    </w:p>
    <w:p w14:paraId="57A030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(1973 г.-)- академик (1984 г.) А.И. Савин. Гендиректор (-1999 г.)- А.И. Савин, (1999-2004 г.-)- В.П. Мисник.</w:t>
      </w:r>
    </w:p>
    <w:p w14:paraId="3774F14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зам. гендиректора (2003 г.)- Б.С. Лобанов. Зам. гендиректора- Б.С. Лобанов.</w:t>
      </w:r>
    </w:p>
    <w:p w14:paraId="1C5974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 конструктор (03.1973-99 г.)- А.И. Савин, (1999-2005 г.-)- B.II. Мисник {26.05.1948-}.</w:t>
      </w:r>
    </w:p>
    <w:p w14:paraId="2EE8A303" w14:textId="58ED5ADE"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ген. конструктора (2004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Г.В. Давыдов.</w:t>
      </w:r>
    </w:p>
    <w:p w14:paraId="2DC272E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Научный руководитель (1999-2004 г.)- А.И. Савин.</w:t>
      </w:r>
    </w:p>
    <w:p w14:paraId="17BF90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(1992-99 г.)- В.П. Мисник.</w:t>
      </w:r>
    </w:p>
    <w:p w14:paraId="2B16F3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конструкторы: (1973-82 г.-&gt; В. Г. Хлибко (УС-К, УС-КМО), (1.12.1973-2004 г.-)- К.А. Власко-Власов (ИС- М, УС-КМО), (1973-80 Г.)- В.В. Крохин, (1982 г.-)- Л.С. Легезо (ИС-МУ), (1999 г.-)- A.M. Бычков (УС-КМО), (1990-е)- С.А. Мишуков, В.Б. Фролов, С.И. Шамаев.</w:t>
      </w:r>
    </w:p>
    <w:p w14:paraId="2A8AA13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конструкторов: (1975 г.-)- Б.С. Лобанов, В.М. Пожидаев, (1973 г.-)- С.И. Шамаев.</w:t>
      </w:r>
    </w:p>
    <w:p w14:paraId="2357CD3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тематико-отраслевого подразделения (1973-80 г.)- В.В. Крохин; тематико-производственного центра (2004 г.)- Л.С. Легезо; НТВЦ- Б.С. Лобанов; НИО (1993-95 г.)- Ц. Г. Литовченко.</w:t>
      </w:r>
    </w:p>
    <w:p w14:paraId="7A698C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отделов: радиоприемных устройств (1973-2004 г.-)- А.В. Гореликов; В.П. Мисник, В.М. Пожидаев, (1973 г.-)- С.И. Шамаев, (1973-2004 г.-)- К.С. Щеглов.</w:t>
      </w:r>
    </w:p>
    <w:p w14:paraId="3E42E7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секторов: В.П. Мисник, В.М. Пожидаев.</w:t>
      </w:r>
    </w:p>
    <w:p w14:paraId="27B51C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лабораторий: (1973-93 г.)- Е. Г. Зелкин, (1970-е)- К.С. Щеглов.</w:t>
      </w:r>
    </w:p>
    <w:p w14:paraId="6A1488B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лаборатории: (1970-е)-Л.П. Мизикин.</w:t>
      </w:r>
    </w:p>
    <w:p w14:paraId="30CE93C0" w14:textId="0A9A5520"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бригад: (1970-е)-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Г.В. Давыдов.</w:t>
      </w:r>
      <w:r w:rsidRPr="00070ADE">
        <w:rPr>
          <w:rFonts w:ascii="Times New Roman" w:hAnsi="Times New Roman"/>
          <w:color w:val="000000" w:themeColor="text1"/>
          <w:sz w:val="16"/>
          <w:szCs w:val="16"/>
          <w:vertAlign w:val="superscript"/>
        </w:rPr>
        <w:t>102</w:t>
      </w:r>
      <w:r w:rsidRPr="00070ADE">
        <w:rPr>
          <w:rFonts w:ascii="Times New Roman" w:hAnsi="Times New Roman"/>
          <w:color w:val="000000" w:themeColor="text1"/>
          <w:sz w:val="16"/>
          <w:szCs w:val="16"/>
        </w:rPr>
        <w:t>'</w:t>
      </w:r>
      <w:r w:rsidRPr="00070ADE">
        <w:rPr>
          <w:rFonts w:ascii="Times New Roman" w:hAnsi="Times New Roman"/>
          <w:color w:val="000000" w:themeColor="text1"/>
          <w:sz w:val="16"/>
          <w:szCs w:val="16"/>
          <w:vertAlign w:val="superscript"/>
        </w:rPr>
        <w:t>504</w:t>
      </w:r>
      <w:r w:rsidRPr="00070ADE">
        <w:rPr>
          <w:rFonts w:ascii="Times New Roman" w:hAnsi="Times New Roman"/>
          <w:color w:val="000000" w:themeColor="text1"/>
          <w:sz w:val="16"/>
          <w:szCs w:val="16"/>
        </w:rPr>
        <w:t xml:space="preserve"> Начальники групп: (1974 г.-)- В.М. Пожидаев.</w:t>
      </w:r>
    </w:p>
    <w:p w14:paraId="000705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Научные руководители НИР: А.В. Гореликов.</w:t>
      </w:r>
      <w:r w:rsidRPr="00070ADE">
        <w:rPr>
          <w:rFonts w:ascii="Times New Roman" w:hAnsi="Times New Roman"/>
          <w:color w:val="000000" w:themeColor="text1"/>
          <w:sz w:val="16"/>
          <w:szCs w:val="16"/>
          <w:vertAlign w:val="superscript"/>
        </w:rPr>
        <w:t>ьо</w:t>
      </w:r>
    </w:p>
    <w:p w14:paraId="286982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ЦКБ ВКРС МРП</w:t>
      </w:r>
    </w:p>
    <w:p w14:paraId="72BF0012" w14:textId="3705C4B2"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являлось головной организацией по космической системе телевизионной глобальной разведки (ТГР).</w:t>
      </w:r>
    </w:p>
    <w:p w14:paraId="2472AF2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 Конструктор (1970-е)- А.И. Савин.</w:t>
      </w:r>
      <w:r w:rsidRPr="00070ADE">
        <w:rPr>
          <w:rFonts w:ascii="Times New Roman" w:hAnsi="Times New Roman"/>
          <w:color w:val="000000" w:themeColor="text1"/>
          <w:sz w:val="16"/>
          <w:szCs w:val="16"/>
          <w:vertAlign w:val="superscript"/>
        </w:rPr>
        <w:t>120</w:t>
      </w:r>
    </w:p>
    <w:p w14:paraId="5EB5FA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НИИ «Комета» /г. Киев/</w:t>
      </w:r>
    </w:p>
    <w:p w14:paraId="066A2F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1979 г. вошел в состав ЦНПО «Вымпел» в качестве филиала.</w:t>
      </w:r>
    </w:p>
    <w:p w14:paraId="32A089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(1950-е)- С.А. Гегечкори (С.Л. Берия).</w:t>
      </w:r>
      <w:r w:rsidRPr="00070ADE">
        <w:rPr>
          <w:rFonts w:ascii="Times New Roman" w:hAnsi="Times New Roman"/>
          <w:color w:val="000000" w:themeColor="text1"/>
          <w:sz w:val="16"/>
          <w:szCs w:val="16"/>
          <w:vertAlign w:val="superscript"/>
        </w:rPr>
        <w:t>3</w:t>
      </w:r>
    </w:p>
    <w:p w14:paraId="53C69C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(1950-е-90 г.-)- С.А. Гегечкори (С.Л. Берия) (11982).</w:t>
      </w:r>
    </w:p>
    <w:p w14:paraId="056742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579184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вышло Постановление ГКО № 5365 О распространении постановления СНК СССР "Об упорядочении заработной платы рабочих Наркомстроя" на рабочих ГУОС Красной Армии, занятых на возведении оборонительных рубежей. РГАНИР, Фонд ГКО, д. 217, лл. 122 (11012).</w:t>
      </w:r>
    </w:p>
    <w:p w14:paraId="71A5CCD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0B0148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вышло Распоряжение ГКО № 5366. Об оставлении заключенных, отбывших наказание, для работы на предприятиях и стройках НКЦМ и об отсрочке их призыва в КА. РГАНИР, Фонд ГКО, д. 217, лл. 123 (11012).</w:t>
      </w:r>
    </w:p>
    <w:p w14:paraId="7E10FA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C6410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вышло Постановление ГКО № 5367 О мероприятиях по обеспечению программы строительства комбината "Североникель" Наркомцветмета в 1944 году. РГАНИР, Фонд ГКО, д. 217, лл. 124-127,128-129 (11012).</w:t>
      </w:r>
    </w:p>
    <w:p w14:paraId="55EB08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4A3A95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вышло Постановление ГКО № 5368 Об организации производства комбинированных источников питания для войсковых радиостанций Красной Армии. (7197, 130-134,135-136).</w:t>
      </w:r>
    </w:p>
    <w:p w14:paraId="05A42FC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CA59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вышло Постановление ГКО № 5369 О восстановлении предприятий лесной промышленности в Белорусской ССР. РГАНИР, Фонд ГКО, д. 217, лл. 137-142,143-147 (11012).</w:t>
      </w:r>
    </w:p>
    <w:p w14:paraId="1BDD825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BDEA31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вышло Постановление ГКО № 5370 О мерах по развитию добычи озокерита на предприятиях Наркомнефти. (7197, 148-154,155-156).</w:t>
      </w:r>
    </w:p>
    <w:p w14:paraId="4724895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B6C25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11 марта 1944 вышло Постановление ГКО № 5371 О восстановлении и вводе в эксплуатацию первой очереди Ново-Краматорского завода им. Сталина в Донбассе. РГАНИР, Фонд ГКО, д. 217, лл. 157-160,161-167 (11012).</w:t>
      </w:r>
    </w:p>
    <w:p w14:paraId="0149C8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6A0110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5BB30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45A76D"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11 марта</w:t>
      </w:r>
      <w:r w:rsidRPr="00070ADE">
        <w:rPr>
          <w:rFonts w:ascii="Times New Roman" w:hAnsi="Times New Roman"/>
          <w:color w:val="000000" w:themeColor="text1"/>
          <w:sz w:val="16"/>
          <w:szCs w:val="16"/>
        </w:rPr>
        <w:t xml:space="preserve"> в 1944 году оперативная сводка Совинформбюро:</w:t>
      </w:r>
    </w:p>
    <w:p w14:paraId="4034E2C1"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11 марта наши войска, преодолевая сопротивление и контратаки противника, продолжали вести уличные бои в городе Тарнополь.</w:t>
      </w:r>
    </w:p>
    <w:p w14:paraId="47EBDE01"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Проскуровском направлении наши войска продолжали вести наступательные бои, в ходе которых заняли более 30 населённых пунктов, в том числе Зелёная, Криштофовка, Баглаи, Большая Бубновка, Педосы, Митинцы, Слобода Красиловская, Голюнки, Западинцы, Кузьмин, Печиски, Аркадиевцы, Давидковцы и железнодорожную станцию Красилов.</w:t>
      </w:r>
    </w:p>
    <w:p w14:paraId="3EB0A8AD"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западнее и южнее города Умань наши войска, продолжая развивать наступление, овладели районным центром Киевской области Ладыжинка, атакже с боями заняли более 100 других населённых пунктов, в том числе крупные населённые пункты Балабановка, Княже-Крыныця, Корытна, Терлица, Нараевка, Великая Савустьяновка, Ивангород, Краснополка, Стражгород, Россоша, Кузьмина-Гребля, Оситна, Рыжёвка, Городница, Текуча, Крутенькое.</w:t>
      </w:r>
    </w:p>
    <w:p w14:paraId="1A43C64C"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города Кировоград наши войска вели наступательные бои, в ходе которых овладели районными центрами Кировоградской области городом Златополь, городом Новомиргород, Большая Виска, а также с боями заняли более 40 других населённых пунктов и среди них крупные населённые пункты Листопадово, Каменоватка, Мартынош, Панчево, Марьяновка, Ново-Александровка, Николаевка и железнодорожные станции Шестаковка, Марьяновка.</w:t>
      </w:r>
    </w:p>
    <w:p w14:paraId="351B1618"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города Кривой Рог наши войска с боями продвигались вперёд и заняли более 50 населённых пунктов, в том числе Ингуло-Каменка, Батызман, Александровка, Николо-Григорьевка, Богдановка, Кашировка, Тарасовка и железнодорожные станции Маржановка, Тимково, Висунь. Наши войска вплотнуюподошли к железнодорожному узлу Долинская.</w:t>
      </w:r>
    </w:p>
    <w:p w14:paraId="6B2B714E"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Апостолово наши войска, продолжая наступление, овладели районным центром Николаевской области городом Берислав (на западном берегуДнепра) и с боями заняли более 60 других населённых пунктов, в том числе Горожено, Константиновка, Пески, Ново-Георгиевка, Мировка, Равнополье, Ново-Дмитриевка, Пятихатка, Борозенский, Суханова, Ульяновка, Михайловка, Дремайловка и железнодорожную станцию Блакитное.</w:t>
      </w:r>
    </w:p>
    <w:p w14:paraId="7CA6AE53"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и в ряде пунктов бои местного значения.</w:t>
      </w:r>
    </w:p>
    <w:p w14:paraId="217AA30F"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10 марта наши войска на всех фронтах подбили и уничтожили 98 немецких танков. В воздушных боях и огнём зенитной артиллерии сбито 49 самолётов противника.</w:t>
      </w:r>
    </w:p>
    <w:p w14:paraId="78CE487E"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Проскуровском направлении наши войска продолжали вести наступательные бои. Части Н-ского соединения, преодолевая сопротивление противника, заняли ряд населённых пунктов. Захвачено у немцев 11 самоходных, 20 полевых и зенитных орудий, 3 танка, свыше 70 автомашин, 200 лошадей и 5 складов. В районе Давидковцы противник неоднократными контратаками танков и пехоты пытался задержать продвижение наших войск. Советские бойцы стремительными ударами с флангов разгромили немецкий гарнизон и заняли этот населённый пункт. Взято большое число пленных. За два дня боёв в этом районе подбито и сожжено до 60 немецких танков и самоходных орудий.</w:t>
      </w:r>
    </w:p>
    <w:p w14:paraId="1CC00602"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западнее и южнее города Умань наши войска продолжали успешное наступление. Противник спешно сводит в боевые группы свои разгромленные дивизии и бросает в бой резервы, стремясь организовать оборону на выгодных рубежах. Все эти попытки врага терпят крах. Под ударами наших пехотинцев и танкистов немцы отступают, бросая танки, орудия и автомашины. Окраины и улицы города Умань, занятого вчера нашими войсками, забиты боевой техникой и транспортом немцев. Бойцы Н-ского гвардейского соединения, двигаясь за танками по липкой грязи и перетаскивая на руках пушки и снаряды, за день прошли до 20 километров. В боях с противником они уничтожили до 2.000 гитлеровцев. Захвачены большие трофеи. Только в одном населённом пункте гвардейцы захватили 15 танков, в том числе 7 «Тигров» и «Пантер». Сегодня наши войска заняли районный центр Киевской области Ладыжинку и более 100 других населённых пунктов. Освобождено свыше 20 тысяч советских граждан, которых немцы угоняли на каторгу в Германию.</w:t>
      </w:r>
    </w:p>
    <w:p w14:paraId="0DB33480"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города Кировоград наши войска с боями продвигались вперёд. Части Н-ского соединения преодолели укрепления немцев и заняли районный центр Кировоградской области город Златополь. Развивая успех, наши бойцы нанесли удар противнику, оборонявшемуся в городе Новомиргород, и в результате ожесточённой схватки овладели этим городом. Занято также свыше 40 других населённых пунктов. Противник понёс большие потери в людях и технике. Только в бою за город Златополь уничтожено до 800 гитлеровцев и захвачено на огневых позициях несколько артиллерийских батарей и склады боеприпасов противника.</w:t>
      </w:r>
    </w:p>
    <w:p w14:paraId="2EF1C7B3"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города Кривой Рог наши войска продолжали развивать наступление и, форсировав реку Лозоватка, вышли к важному железнодорожному узлу Долинская. В ходе боёв частями Н-ского соединения уничтожено до полка немецкой пехоты. На другом участке нашим танковым соединением за день боёв захвачено и уничтожено 40 танков и самоходных орудий, 16 бронетранспортёров и до 1.000 автомашин противника.</w:t>
      </w:r>
    </w:p>
    <w:p w14:paraId="0C86F685"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Апостолово наши войска, продолжая наступление, освободили от немецко-фашистских захватчиков более 60 населенных пунктов. Части Н-ского соединения ночью форсировали реку Днепр и в результате стремительной атаки заняли районный центр Николаевской области город Берислав. Бойцы другого нашего соединения, продвигаясь вперёд, истребили свыше батальона гитлеровцев и захватили 12 орудий, 49 автомашин и другие трофеи. Взяты пленные.</w:t>
      </w:r>
    </w:p>
    <w:p w14:paraId="30AC13A6"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Авиацией Краснознамённого Балтийского флота в Финском заливе потоплен сторожевой корабль противника. Кроме того, подожжены два сторожевых корабля и тральщик немцев.</w:t>
      </w:r>
    </w:p>
    <w:p w14:paraId="547A9E25"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Четыре партизанских отряда, действующих в Витебской области, напали на колонну немцев, направлявшуюся к линии фронта. Советские патриоты уничтожили 14 автомашин и истребили до 200 немецких солдат и офицеров (15065).</w:t>
      </w:r>
    </w:p>
    <w:p w14:paraId="7F11DF48" w14:textId="77777777" w:rsidR="00E870E7" w:rsidRPr="00070ADE" w:rsidRDefault="00E870E7" w:rsidP="00B56F90">
      <w:pPr>
        <w:spacing w:after="0" w:line="240" w:lineRule="auto"/>
        <w:jc w:val="both"/>
        <w:rPr>
          <w:rFonts w:ascii="Times New Roman" w:hAnsi="Times New Roman"/>
          <w:color w:val="000000" w:themeColor="text1"/>
          <w:sz w:val="16"/>
          <w:szCs w:val="16"/>
        </w:rPr>
      </w:pPr>
    </w:p>
    <w:p w14:paraId="746E88FE" w14:textId="07086960" w:rsidR="00EC7700" w:rsidRPr="00070ADE" w:rsidRDefault="00EC770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был налет особой группы 3</w:t>
      </w:r>
      <w:r w:rsidRPr="00070ADE">
        <w:rPr>
          <w:rFonts w:ascii="Times New Roman" w:hAnsi="Times New Roman"/>
          <w:color w:val="000000" w:themeColor="text1"/>
          <w:sz w:val="16"/>
          <w:szCs w:val="16"/>
        </w:rPr>
        <w:noBreakHyphen/>
        <w:t>й эскадрилье 47</w:t>
      </w:r>
      <w:r w:rsidRPr="00070ADE">
        <w:rPr>
          <w:rFonts w:ascii="Times New Roman" w:hAnsi="Times New Roman"/>
          <w:color w:val="000000" w:themeColor="text1"/>
          <w:sz w:val="16"/>
          <w:szCs w:val="16"/>
        </w:rPr>
        <w:noBreakHyphen/>
        <w:t>го ша из шести «спецштурмовиков» – так стали называть Ил</w:t>
      </w:r>
      <w:r w:rsidRPr="00070ADE">
        <w:rPr>
          <w:rFonts w:ascii="Times New Roman" w:hAnsi="Times New Roman"/>
          <w:color w:val="000000" w:themeColor="text1"/>
          <w:sz w:val="16"/>
          <w:szCs w:val="16"/>
        </w:rPr>
        <w:noBreakHyphen/>
        <w:t>2 с двумя 37</w:t>
      </w:r>
      <w:r w:rsidRPr="00070ADE">
        <w:rPr>
          <w:rFonts w:ascii="Times New Roman" w:hAnsi="Times New Roman"/>
          <w:color w:val="000000" w:themeColor="text1"/>
          <w:sz w:val="16"/>
          <w:szCs w:val="16"/>
        </w:rPr>
        <w:noBreakHyphen/>
        <w:t>мм пушками НС</w:t>
      </w:r>
      <w:r w:rsidRPr="00070ADE">
        <w:rPr>
          <w:rFonts w:ascii="Times New Roman" w:hAnsi="Times New Roman"/>
          <w:color w:val="000000" w:themeColor="text1"/>
          <w:sz w:val="16"/>
          <w:szCs w:val="16"/>
        </w:rPr>
        <w:noBreakHyphen/>
        <w:t>37 – во главе с лейтенантом Юсупом Акаевым на порт Киик</w:t>
      </w:r>
      <w:r w:rsidRPr="00070ADE">
        <w:rPr>
          <w:rFonts w:ascii="Times New Roman" w:hAnsi="Times New Roman"/>
          <w:color w:val="000000" w:themeColor="text1"/>
          <w:sz w:val="16"/>
          <w:szCs w:val="16"/>
        </w:rPr>
        <w:noBreakHyphen/>
        <w:t>Атлама, где базировались шесть немецких торпедных катеров. В первом ударе участвовали 25 Ил</w:t>
      </w:r>
      <w:r w:rsidRPr="00070ADE">
        <w:rPr>
          <w:rFonts w:ascii="Times New Roman" w:hAnsi="Times New Roman"/>
          <w:color w:val="000000" w:themeColor="text1"/>
          <w:sz w:val="16"/>
          <w:szCs w:val="16"/>
        </w:rPr>
        <w:noBreakHyphen/>
        <w:t>2, 16 Як</w:t>
      </w:r>
      <w:r w:rsidRPr="00070ADE">
        <w:rPr>
          <w:rFonts w:ascii="Times New Roman" w:hAnsi="Times New Roman"/>
          <w:color w:val="000000" w:themeColor="text1"/>
          <w:sz w:val="16"/>
          <w:szCs w:val="16"/>
        </w:rPr>
        <w:noBreakHyphen/>
        <w:t>9 из 6</w:t>
      </w:r>
      <w:r w:rsidRPr="00070ADE">
        <w:rPr>
          <w:rFonts w:ascii="Times New Roman" w:hAnsi="Times New Roman"/>
          <w:color w:val="000000" w:themeColor="text1"/>
          <w:sz w:val="16"/>
          <w:szCs w:val="16"/>
        </w:rPr>
        <w:noBreakHyphen/>
        <w:t>го гв. иап и 10 ЛаГГ</w:t>
      </w:r>
      <w:r w:rsidRPr="00070ADE">
        <w:rPr>
          <w:rFonts w:ascii="Times New Roman" w:hAnsi="Times New Roman"/>
          <w:color w:val="000000" w:themeColor="text1"/>
          <w:sz w:val="16"/>
          <w:szCs w:val="16"/>
        </w:rPr>
        <w:noBreakHyphen/>
        <w:t>3 из 25</w:t>
      </w:r>
      <w:r w:rsidRPr="00070ADE">
        <w:rPr>
          <w:rFonts w:ascii="Times New Roman" w:hAnsi="Times New Roman"/>
          <w:color w:val="000000" w:themeColor="text1"/>
          <w:sz w:val="16"/>
          <w:szCs w:val="16"/>
        </w:rPr>
        <w:noBreakHyphen/>
        <w:t>го иап, а во втором – 50 самолетов, в том числе 24 «горбатых». Однако в итоге катера так и не пострадали (23199).</w:t>
      </w:r>
    </w:p>
    <w:p w14:paraId="4F8A7CAC" w14:textId="77777777" w:rsidR="00EC7700" w:rsidRPr="00070ADE" w:rsidRDefault="00EC7700" w:rsidP="00B56F90">
      <w:pPr>
        <w:spacing w:after="0" w:line="240" w:lineRule="auto"/>
        <w:jc w:val="both"/>
        <w:rPr>
          <w:rFonts w:ascii="Times New Roman" w:hAnsi="Times New Roman"/>
          <w:color w:val="000000" w:themeColor="text1"/>
          <w:sz w:val="16"/>
          <w:szCs w:val="16"/>
        </w:rPr>
      </w:pPr>
    </w:p>
    <w:p w14:paraId="6BAFD8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года советские летчики провели два налета на порт Киик-Атлама, где базировались шесть торпедных катеров. В первом налете участвовали 25 Илов-2 из 47-го ШАП, вооруженных 37-мм пушками, 16 Як-9 из 6-го гиап, а также 10 ЛаГГ-3 из 25-го ИАП. Во втором налете участвовали 24 Ила, 14 Яков и 12 ЛаГГов. Истребителям удалось сбить три немецких "мессера", катера остались невредимыми (2691).</w:t>
      </w:r>
    </w:p>
    <w:p w14:paraId="5409C1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48FA18" w14:textId="00AB3E0F" w:rsidR="00750752" w:rsidRPr="00070ADE" w:rsidRDefault="00750752" w:rsidP="00B56F90">
      <w:pPr>
        <w:pStyle w:val="ae"/>
        <w:spacing w:before="0" w:after="0"/>
        <w:jc w:val="both"/>
        <w:textAlignment w:val="baseline"/>
        <w:rPr>
          <w:color w:val="000000" w:themeColor="text1"/>
          <w:sz w:val="16"/>
          <w:szCs w:val="16"/>
        </w:rPr>
      </w:pPr>
      <w:r w:rsidRPr="00070ADE">
        <w:rPr>
          <w:color w:val="000000" w:themeColor="text1"/>
          <w:sz w:val="16"/>
          <w:szCs w:val="16"/>
        </w:rPr>
        <w:t>11 марта 1944</w:t>
      </w:r>
      <w:r w:rsidR="00B643A8" w:rsidRPr="00070ADE">
        <w:rPr>
          <w:color w:val="000000" w:themeColor="text1"/>
          <w:sz w:val="16"/>
          <w:szCs w:val="16"/>
        </w:rPr>
        <w:t xml:space="preserve"> </w:t>
      </w:r>
      <w:r w:rsidRPr="00070ADE">
        <w:rPr>
          <w:color w:val="000000" w:themeColor="text1"/>
          <w:sz w:val="16"/>
          <w:szCs w:val="16"/>
        </w:rPr>
        <w:t>г. налеты на порт Киик-Атлама, где базировались шесть немецких торпедных катеров стали первой операцией с участием особой группы из шести «спецштурмовиков» — так стали называть Ил-2 с двумя 37-мм пушками НС-37</w:t>
      </w:r>
      <w:r w:rsidR="00B643A8" w:rsidRPr="00070ADE">
        <w:rPr>
          <w:color w:val="000000" w:themeColor="text1"/>
          <w:sz w:val="16"/>
          <w:szCs w:val="16"/>
        </w:rPr>
        <w:t xml:space="preserve"> </w:t>
      </w:r>
      <w:r w:rsidRPr="00070ADE">
        <w:rPr>
          <w:color w:val="000000" w:themeColor="text1"/>
          <w:sz w:val="16"/>
          <w:szCs w:val="16"/>
        </w:rPr>
        <w:t>— во главе с лейтенантом Юсупом Акаевым. В первом ударе участвовали 25 Ил-2, 16 Як-9 из 6-го гв. иап и 10 ЛаГГ-3 из 25-го иап, а во втором — 50 самолетов, в том числе 24 «горбатых». Однако в итоге катера так и не пострадали (19522).</w:t>
      </w:r>
    </w:p>
    <w:p w14:paraId="2BAF25C4" w14:textId="77777777" w:rsidR="00750752" w:rsidRPr="00070ADE" w:rsidRDefault="00750752" w:rsidP="00B56F90">
      <w:pPr>
        <w:pStyle w:val="ae"/>
        <w:spacing w:before="0" w:after="0"/>
        <w:jc w:val="both"/>
        <w:textAlignment w:val="baseline"/>
        <w:rPr>
          <w:color w:val="000000" w:themeColor="text1"/>
          <w:sz w:val="16"/>
          <w:szCs w:val="16"/>
        </w:rPr>
      </w:pPr>
    </w:p>
    <w:p w14:paraId="794888C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вышло Распоряжение ГКО № 5352 [О продаже Архангельским облисполкомом 500 оленей с нартами НКО для КФ.] (7197, 84).</w:t>
      </w:r>
    </w:p>
    <w:p w14:paraId="6EB3F31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81873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C2CCB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8BBA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марта 1944 250 тыс. китайцев начали строить аэродромы с полосой 1800 м для В-29 в Китае, чтобы принимать на промежуточные посадки самолеты, летающие бомбить Японию (1051,25).</w:t>
      </w:r>
    </w:p>
    <w:p w14:paraId="447E75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620D6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6A9CC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13D2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марта 1944 вышло постановление ГКО N 5376сс о выпуске Як-9 с М-107А на 153 заводе (1629,56).</w:t>
      </w:r>
    </w:p>
    <w:p w14:paraId="428809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E91A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марта 1944 вышло Постановление ГКО № 5376 О производстве самолетов-истребителей Як-9 с мотором М-107 А на заводе № 153 Наркомавиапрома. РГАНИР, Фонд ГКО, д. 218, лл. 108-109 (11012).</w:t>
      </w:r>
    </w:p>
    <w:p w14:paraId="44985E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45B0F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марта 1944 г. вышло постановление ГКО №5376, которым в производство истребителей Як-9У М-107А вовлекался еще один за-зод - № 153 им. В.П.Чкалова в Новосибирске. Огоомному предприятию устанавливали достаточно “мягкий” график освоения новой машины: первые три Як-9 с мотором ВК-107А должны были сойти со сборочной линии в мае 1944 г., правда в конце этого года завод должен был выйти на темп выпуска 10 таких истребителей в сутки. При этом Правительство требовало, чтобы работа велась "без снижения достигнутого уровня выпуска в 17 Як-9 ежесуточно". Пятый, и наиболее крупный из •яковлевских” авиазаводов включался в освоение машин последнего поколения (4842).</w:t>
      </w:r>
    </w:p>
    <w:p w14:paraId="547711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E1D8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12 марта 1944 г. Комиссия 25 ЗАЛ на аэродроме Сартачалы осмотрела 32 самолета "Харрикейн" IID. Самолеты признаны пригодными к боевому использованию. Порезы на покрышках шасси и выбоины на деревянных винтах вызваны каменистым покрытием аэродрома. Неисправности мотора считать единичными. Комиссия считает, что после устранения дефектов самолеты пригодны к боевым действиям" (из акта комиссии). Хотя испытания подтвердили положительные стороны "Харрикейна" IID - устойчивость как орудийной платформы и высокую бронепробиваемость 40-мм пушек, отношение к этим самолетам ВВС КА в 1944 г. было негативным. Иосиф Виссарионович Сталин, по воспоминаниям Г.К.Жукова, высказался и вовсе по-большевистски просто: "...А их "Харрикейны" - дрянь..." Командование 246-го ИАП пыталось отбиться от сомнительной чести повоевать на "Харрикейнах". Поскольку прямой отказ грозил путешествием на фронт в составе штрафбата, выбрали другой путь: инженер полка забросал командование ЗАП докладами о состоянии матчасти, которые выжали бы слезу даже из камня: дефекты моторов, битые винты, порезанные колеса, отсутствие запчастей, негодные приборы, а главное -отклеивающаяся, местами даже гнилая перкаль. Последний дефект был самый серьезный и единственный реальный. Но у ЗАПа был свой план по учебной подготовке (3187).</w:t>
      </w:r>
    </w:p>
    <w:p w14:paraId="513B9D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21087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94E1B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76D5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марта 1944 г. ГКО при</w:t>
      </w:r>
      <w:r w:rsidRPr="00070ADE">
        <w:rPr>
          <w:rFonts w:ascii="Times New Roman" w:hAnsi="Times New Roman"/>
          <w:color w:val="000000" w:themeColor="text1"/>
          <w:sz w:val="16"/>
          <w:szCs w:val="16"/>
        </w:rPr>
        <w:softHyphen/>
        <w:t>нял постановление "Об увеличении производства тяжелых танков, ар</w:t>
      </w:r>
      <w:r w:rsidRPr="00070ADE">
        <w:rPr>
          <w:rFonts w:ascii="Times New Roman" w:hAnsi="Times New Roman"/>
          <w:color w:val="000000" w:themeColor="text1"/>
          <w:sz w:val="16"/>
          <w:szCs w:val="16"/>
        </w:rPr>
        <w:softHyphen/>
        <w:t>тиллерийских самоходных установок ИС, мощных танковых пушек и 122-, 152-мм снарядов". Постановление предписывало увеличить про</w:t>
      </w:r>
      <w:r w:rsidRPr="00070ADE">
        <w:rPr>
          <w:rFonts w:ascii="Times New Roman" w:hAnsi="Times New Roman"/>
          <w:color w:val="000000" w:themeColor="text1"/>
          <w:sz w:val="16"/>
          <w:szCs w:val="16"/>
        </w:rPr>
        <w:softHyphen/>
        <w:t>изводство до 500 единиц в июле (в феврале было выпущено 150 танков и САУ) (10703).</w:t>
      </w:r>
    </w:p>
    <w:p w14:paraId="6DDB76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5D3390" w14:textId="77777777" w:rsidR="00E23799" w:rsidRPr="00070ADE" w:rsidRDefault="00E23799" w:rsidP="00B56F90">
      <w:pPr>
        <w:pStyle w:val="ae"/>
        <w:shd w:val="clear" w:color="auto" w:fill="FFFFFF"/>
        <w:spacing w:before="0" w:after="0"/>
        <w:jc w:val="both"/>
        <w:rPr>
          <w:color w:val="000000" w:themeColor="text1"/>
          <w:sz w:val="16"/>
          <w:szCs w:val="16"/>
        </w:rPr>
      </w:pPr>
      <w:r w:rsidRPr="00070ADE">
        <w:rPr>
          <w:color w:val="000000" w:themeColor="text1"/>
          <w:sz w:val="16"/>
          <w:szCs w:val="16"/>
        </w:rPr>
        <w:t>12 марта 1944 появилось постановление ГКО №5378сс «Об увеличении производства тяжёлых танков, артиллерийских самоходных установок ИС, мощных танковых пушек и 122-152 мм снарядов». Оно было продублировано в приказе НКТП №154сс от 14 марта 1944 года. В соответствии с этими документами с 15 марта выпуск Т-34 на ЧКЗ прекращался, а объём ежемесячного производства ИС-2 и САУ на его базе постепенно должен был увеличиться до 500 штук в месяц. Кроме того, с апреля 1944 года начиналось производство ИСУ-122, причём постепенно эти машины должны были стать основными САУ на базе ИС-2.</w:t>
      </w:r>
    </w:p>
    <w:p w14:paraId="6D8FDDEC" w14:textId="77777777" w:rsidR="00E23799" w:rsidRPr="00070ADE" w:rsidRDefault="00E23799" w:rsidP="00B56F90">
      <w:pPr>
        <w:pStyle w:val="ae"/>
        <w:shd w:val="clear" w:color="auto" w:fill="FFFFFF"/>
        <w:spacing w:before="0" w:after="0"/>
        <w:jc w:val="both"/>
        <w:rPr>
          <w:color w:val="000000" w:themeColor="text1"/>
          <w:sz w:val="16"/>
          <w:szCs w:val="16"/>
        </w:rPr>
      </w:pPr>
      <w:r w:rsidRPr="00070ADE">
        <w:rPr>
          <w:color w:val="000000" w:themeColor="text1"/>
          <w:sz w:val="16"/>
          <w:szCs w:val="16"/>
        </w:rPr>
        <w:t>Дополнительные 25 ИСУ-152 в месяц, указанные в постановлении ГКО №5378сс, серьёзно повлияли на производственную обстановку в марте. Несмотря на то, что в цехе СБ-2 в этом месяце удалось частично запустить конвейер по выпуску тяжёлых танков, производственные проблемы оставались. Из-за необходимости наращивания объёмов производства башенный и дефектный участок пришлось переводить в бывший цех СБ-34, ранее занимавшийся Т-34. Смонтированный в СБ-2 танк без башни должен был своим ходом отправляться в другой цех, где на него устанавливали башню и проводили дефектовку. Вместе с тем часть высвободившегося от производства Т-34 оборудования удалось отправить в другие цеха. Одновременно с этим продолжались работы по улучшению качества. К 1 апреля удалось внедрить примерно 50–55% решений по повышению качества, правда, в основном за счёт не трудоёмких работ.</w:t>
      </w:r>
    </w:p>
    <w:p w14:paraId="434192EE" w14:textId="77777777" w:rsidR="00E23799" w:rsidRPr="00070ADE" w:rsidRDefault="00E23799"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марте 1944 года ИС-2 лишились 2-снарядной подвесной укладки и получили подножку для сидения командира (17721).</w:t>
      </w:r>
    </w:p>
    <w:p w14:paraId="45AE9964" w14:textId="77777777" w:rsidR="00E23799" w:rsidRPr="00070ADE" w:rsidRDefault="00E23799" w:rsidP="00B56F90">
      <w:pPr>
        <w:spacing w:after="0" w:line="240" w:lineRule="auto"/>
        <w:jc w:val="both"/>
        <w:rPr>
          <w:rStyle w:val="77"/>
          <w:rFonts w:eastAsiaTheme="minorHAnsi"/>
          <w:color w:val="000000" w:themeColor="text1"/>
          <w:sz w:val="16"/>
          <w:szCs w:val="16"/>
        </w:rPr>
      </w:pPr>
    </w:p>
    <w:p w14:paraId="563F5E81" w14:textId="54B3D4D4"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марта 1944 года вышло в свет постановление ГКО №5378сс «Об увеличении производства тяжёлых танков, артиллерийских самоходных установок ИС, мощных танковых пушек и 122-152 мм снарядов». В нём новая САУ фигурировала как ИСУ-122, под этим индексом она и пошла в серийное производство. Согласно планам, первые 70 машин данного типа выпускались в апреле 1944 года, 100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 мае, 120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 июне, 175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 июле и 200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 августе. Одновременно снижался выпуск ИСУ-152: с 170 в марте до 75 в августе. К моменту подписания постановления первые результаты применения ИС-2 ещё не пришли, но было очевидно, что орудие Д-25 является лучшим средством борьбы с немецким «зверинцем» (18335).</w:t>
      </w:r>
    </w:p>
    <w:p w14:paraId="58195826" w14:textId="77777777" w:rsidR="00750752" w:rsidRPr="00070ADE" w:rsidRDefault="00750752" w:rsidP="00B56F90">
      <w:pPr>
        <w:spacing w:after="0" w:line="240" w:lineRule="auto"/>
        <w:jc w:val="both"/>
        <w:rPr>
          <w:rFonts w:ascii="Times New Roman" w:hAnsi="Times New Roman"/>
          <w:color w:val="000000" w:themeColor="text1"/>
          <w:sz w:val="16"/>
          <w:szCs w:val="16"/>
        </w:rPr>
      </w:pPr>
    </w:p>
    <w:p w14:paraId="242E03AB"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12 марта по 6 апреля 1944 года танк ИС-4 (объект 245) проходил Го</w:t>
      </w:r>
      <w:r w:rsidRPr="00C94B78">
        <w:rPr>
          <w:rFonts w:ascii="Times New Roman" w:hAnsi="Times New Roman"/>
          <w:color w:val="0070C0"/>
          <w:sz w:val="16"/>
          <w:szCs w:val="16"/>
        </w:rPr>
        <w:softHyphen/>
        <w:t>сударственные полигонные испытания, которые он не выдержал и был возвращен на завод для доработки полуавтоматики пушки и некоторых других элементов. В результате на танк установи</w:t>
      </w:r>
      <w:r w:rsidRPr="00C94B78">
        <w:rPr>
          <w:rFonts w:ascii="Times New Roman" w:hAnsi="Times New Roman"/>
          <w:color w:val="0070C0"/>
          <w:sz w:val="16"/>
          <w:szCs w:val="16"/>
        </w:rPr>
        <w:softHyphen/>
        <w:t>ли пушку Д-10Т с новой полуавтоматикой, более мощный вентилятор боевого отделения, изменили наклон боеукладки в нише башни и т.д. Пушка имела начальную скорость снаряда 900 м/с. В боекомплект входили 30 унитарных выстрелов с бронебойными и осколочно-фугасными снаряда</w:t>
      </w:r>
      <w:r w:rsidRPr="00C94B78">
        <w:rPr>
          <w:rFonts w:ascii="Times New Roman" w:hAnsi="Times New Roman"/>
          <w:color w:val="0070C0"/>
          <w:sz w:val="16"/>
          <w:szCs w:val="16"/>
        </w:rPr>
        <w:softHyphen/>
        <w:t>ми массой 15,6 кг (25001).</w:t>
      </w:r>
    </w:p>
    <w:p w14:paraId="144F6DE6" w14:textId="77777777" w:rsidR="00C63BA9" w:rsidRPr="00C94B78" w:rsidRDefault="00C63BA9" w:rsidP="00B56F90">
      <w:pPr>
        <w:spacing w:after="0" w:line="240" w:lineRule="auto"/>
        <w:jc w:val="both"/>
        <w:rPr>
          <w:rFonts w:ascii="Times New Roman" w:hAnsi="Times New Roman"/>
          <w:color w:val="0070C0"/>
          <w:sz w:val="16"/>
          <w:szCs w:val="16"/>
        </w:rPr>
      </w:pPr>
    </w:p>
    <w:p w14:paraId="5F5789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марта 1944 г. Постановлением ГКО установ</w:t>
      </w:r>
      <w:r w:rsidRPr="00070ADE">
        <w:rPr>
          <w:rFonts w:ascii="Times New Roman" w:hAnsi="Times New Roman"/>
          <w:color w:val="000000" w:themeColor="text1"/>
          <w:sz w:val="16"/>
          <w:szCs w:val="16"/>
        </w:rPr>
        <w:softHyphen/>
        <w:t>ка ИСУ-122 была принята на вооружение Красной Армии. Серийное производство машины началось на ЧКЗ с апреля 1944 г. и продолжалось до сентября 1945 г. До 1 июня 1945 г. завод выпустил 1435 самоходных установок ИСУ-122, кото</w:t>
      </w:r>
      <w:r w:rsidRPr="00070ADE">
        <w:rPr>
          <w:rFonts w:ascii="Times New Roman" w:hAnsi="Times New Roman"/>
          <w:color w:val="000000" w:themeColor="text1"/>
          <w:sz w:val="16"/>
          <w:szCs w:val="16"/>
        </w:rPr>
        <w:softHyphen/>
        <w:t>рые широко использовались в боях на завершающем этапе Великой Отечественной войны. Всего за время серийного производства было выпущено 1735 машин. Самоходная установка ИСУ-122 относилась к типу пол</w:t>
      </w:r>
      <w:r w:rsidRPr="00070ADE">
        <w:rPr>
          <w:rFonts w:ascii="Times New Roman" w:hAnsi="Times New Roman"/>
          <w:color w:val="000000" w:themeColor="text1"/>
          <w:sz w:val="16"/>
          <w:szCs w:val="16"/>
        </w:rPr>
        <w:softHyphen/>
        <w:t>ностью бронированных самоходных установок с передним расположением броневой рубки. Она была выполнена на ба</w:t>
      </w:r>
      <w:r w:rsidRPr="00070ADE">
        <w:rPr>
          <w:rFonts w:ascii="Times New Roman" w:hAnsi="Times New Roman"/>
          <w:color w:val="000000" w:themeColor="text1"/>
          <w:sz w:val="16"/>
          <w:szCs w:val="16"/>
        </w:rPr>
        <w:softHyphen/>
        <w:t>зе самоходной установки ИСУ-152 путем замены гаубицы-пушки МЛ-20С обр. 1937/43 гг. на 122-мм полевую пушку А-19 обр. 1931/37 гг. (устанавливалась до мая 1944 г.) (10703).</w:t>
      </w:r>
    </w:p>
    <w:p w14:paraId="3C33F9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EAEC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12 марта 1944 года Постановлением ГКО ИСУ-122 была принята на вооружение Красной Армии. Серийное производство машины началось на ЧКЗ с апреля 1944 года и продолжалось до сентября 1945-го. </w:t>
      </w:r>
    </w:p>
    <w:p w14:paraId="3F7D94A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ИСУ-122 представляла собой вариант САУ ИСУ-152, в котором 152-мм гаубица-пушка МЛ-20С была заменена на 122-мм пушку А-19 обр. 1931/37 г. При этом пришлось несколько изменить и подвижную бронировку орудия. Высота линии огня составляла 1790 мм. В мае 1944 года в конструкцию ствола пушки А-19 были внесены изменения, которые нарушили взаимозаменяемость новых стволов с ранее выпущенными. Модернизированное орудие получило наименование «122-мм самоходная пушка обр. 1931/44 г». Оба орудия имели поршневой затвор. Длина ствола составляла 46,3 калибра. Устройство пушки А-19 во многом было одинаково с МЛ-20С. Она отличалась от последней стволом меньшего калибра с увеличенной на 730 мм длиной, отсутствием дульного тормоза и меньшим числом нарезов. Для наведения орудия использовались подъемный механизм секторного типа и поворотный механизм винтового типа. Углы вертикальной наводки составляли от -3° до +22°, по горизонтали — в секторе 10°. Для предохранения подъемного механизма от инерционных нагрузок в его конструкцию было введено сдающее звено в виде конусной фрикционной муфты, размещенной между червячным колесом и шестерней подъемного механизма. При стрельбе использовались телескопический прицел СТ-18, который отличался от прицела СТ-10 только нарезкой шкал, и панорамный прицел с полунезависимой или с независимой линией прицеливания (панорама Герца). Дальность стрельбы прямой наводкой составляла 5000 м, наибольшая — 14 300 м. Скорострельность — 2 — 3 выстр./мин. </w:t>
      </w:r>
    </w:p>
    <w:p w14:paraId="4FBB95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боекомплект установки входили 30 выстрелов раздельно-гильзового заря¬жания с бронебойно-трассирующим остроголовым снарядом БР-471 и бронебойно-трассирующим снарядом с баллистическим наконечником БР-471 Б, а также осколочно-фугасными пушечными гранатами: цельнокорпусной короткой ОФ-471Н, с привинтной головкой и длинной — ОФ-471. Начальная скорость бронебойного снаряда при массе 25 кг составляла 800 м/с. Дополнительно в боевом отделении укладывались два пистолета-пулемета ППШ (ППС) с боекомплектом 1491 патрон (21 диск) и 25 ручных гранат Ф-1. С октября 1944 года на части машин устанавливался зенитный пулемет ДШК с боекомплектом 250 патронов. В апреле 1944 года в КБ завода № 100 была создана самоходно-артиллерий-ская установка ИСУ-122С (ИСУ-122-2, объект 249), представлявшая собой модернизированный вариант ИСУ-122. В июне установка прошла испытания на АНИОПе в Гороховце, а 22 августа 1944 года была принята на вооружение. В том же месяце начали ее серийное производство на ЧКЗ параллельно с ИСУ-122 и ИСУ-152, которое продолжалось до сентября 1945 года. </w:t>
      </w:r>
    </w:p>
    <w:p w14:paraId="6A5D14E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ИСУ-122С была создана на базе ИСУ-122 и отличалась от нее установкой пушки Д-25С обр. 1944 г. с горизонтальным клиновым полуавтоматическим затвором и дульным тормозом. Высота линии огня составляла 1795 мм. Длина ствола — 48 калибров. За счет более компактных противооткатных устройств и казенной части пушки удалось повысить скорострельность — 6 выстр./мин. Углы вертикальной наводки составляли от -3° до +20°, по горизонтали — в секторе 10° (7°— вправо и 3° — влево). Прицелы пушки — телескопический ТШ-17 и панорама Герца. Дальность стрельбы прямой наводкой — 5000 м, максимальная — до 15 000 м. Боекомплект — такой же, как у пушки А-19. Внешне СУ-122С отличалась от СУ-122 стволом орудия и новой литой маской толщиной 120 — 150 мм. </w:t>
      </w:r>
    </w:p>
    <w:p w14:paraId="0FF8BE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1944 по 1947 год было изготовлено 2790 самоходных установок ИСУ-152, 1735 — ИСУ-122 и 675 — ИСУ-122С. Таким образом, суммарный выпуск тяжелых артсамоходов — 5200 штук — превысил число изготовленных тяжелых танков ИС — 4499 единиц. Следует отметить, что, как и в случае с ИС-2, к выпуску самоходных орудий на его базе должен был подключиться Ленинградский Кировский завод. До 9 мая 1945 года там собрали первые пять ИСУ-152, а до конца года — еще сто. В 1946 и 1947 годах производство ИСУ-152 осуществлялось только на ЛКЗ (11638).</w:t>
      </w:r>
    </w:p>
    <w:p w14:paraId="54B634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D024E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с 12 марта по 6 апреля 1944 г. танк "Объект 245" (за</w:t>
      </w:r>
      <w:r w:rsidRPr="00070ADE">
        <w:rPr>
          <w:rFonts w:ascii="Times New Roman" w:hAnsi="Times New Roman"/>
          <w:color w:val="000000" w:themeColor="text1"/>
          <w:sz w:val="16"/>
          <w:szCs w:val="16"/>
        </w:rPr>
        <w:softHyphen/>
        <w:t>водское обозначение - ИС-4), вооруженный 100-мм пушкой Д-10Т за</w:t>
      </w:r>
      <w:r w:rsidRPr="00070ADE">
        <w:rPr>
          <w:rFonts w:ascii="Times New Roman" w:hAnsi="Times New Roman"/>
          <w:color w:val="000000" w:themeColor="text1"/>
          <w:sz w:val="16"/>
          <w:szCs w:val="16"/>
        </w:rPr>
        <w:softHyphen/>
        <w:t>вода № 9 НКВ с баллистикой морской пушки Б-34 (длина ствола 56 ка</w:t>
      </w:r>
      <w:r w:rsidRPr="00070ADE">
        <w:rPr>
          <w:rFonts w:ascii="Times New Roman" w:hAnsi="Times New Roman"/>
          <w:color w:val="000000" w:themeColor="text1"/>
          <w:sz w:val="16"/>
          <w:szCs w:val="16"/>
        </w:rPr>
        <w:softHyphen/>
        <w:t>либров, начальная скорость бронебойного снаряда 900 м/с) был предъявлен на Го</w:t>
      </w:r>
      <w:r w:rsidRPr="00070ADE">
        <w:rPr>
          <w:rFonts w:ascii="Times New Roman" w:hAnsi="Times New Roman"/>
          <w:color w:val="000000" w:themeColor="text1"/>
          <w:sz w:val="16"/>
          <w:szCs w:val="16"/>
        </w:rPr>
        <w:softHyphen/>
        <w:t>сударственные полигонные испытания, которые не выдержал и по ре</w:t>
      </w:r>
      <w:r w:rsidRPr="00070ADE">
        <w:rPr>
          <w:rFonts w:ascii="Times New Roman" w:hAnsi="Times New Roman"/>
          <w:color w:val="000000" w:themeColor="text1"/>
          <w:sz w:val="16"/>
          <w:szCs w:val="16"/>
        </w:rPr>
        <w:softHyphen/>
        <w:t>шению комиссии был направлен на завод для доработки полуавтомати</w:t>
      </w:r>
      <w:r w:rsidRPr="00070ADE">
        <w:rPr>
          <w:rFonts w:ascii="Times New Roman" w:hAnsi="Times New Roman"/>
          <w:color w:val="000000" w:themeColor="text1"/>
          <w:sz w:val="16"/>
          <w:szCs w:val="16"/>
        </w:rPr>
        <w:softHyphen/>
        <w:t>ки пушки и некоторых элементов, касающихся танка в целом. В ходе до</w:t>
      </w:r>
      <w:r w:rsidRPr="00070ADE">
        <w:rPr>
          <w:rFonts w:ascii="Times New Roman" w:hAnsi="Times New Roman"/>
          <w:color w:val="000000" w:themeColor="text1"/>
          <w:sz w:val="16"/>
          <w:szCs w:val="16"/>
        </w:rPr>
        <w:softHyphen/>
        <w:t>работки танк был подвержен капитальному ремонту. 25 июня 1944 г. на Миасском полигоне были проведены заводские артиллерийские испы</w:t>
      </w:r>
      <w:r w:rsidRPr="00070ADE">
        <w:rPr>
          <w:rFonts w:ascii="Times New Roman" w:hAnsi="Times New Roman"/>
          <w:color w:val="000000" w:themeColor="text1"/>
          <w:sz w:val="16"/>
          <w:szCs w:val="16"/>
        </w:rPr>
        <w:softHyphen/>
        <w:t>тания танка, по результатам которых было сделано заключение о готов</w:t>
      </w:r>
      <w:r w:rsidRPr="00070ADE">
        <w:rPr>
          <w:rFonts w:ascii="Times New Roman" w:hAnsi="Times New Roman"/>
          <w:color w:val="000000" w:themeColor="text1"/>
          <w:sz w:val="16"/>
          <w:szCs w:val="16"/>
        </w:rPr>
        <w:softHyphen/>
        <w:t>ности его для предъявления на Государственные испытания. 100-мм пушка С-34 с завода № 92 НКВ вместо 20 февраля 1944 г., как это было предусмотрено планом, была подана на завод № 100 толь</w:t>
      </w:r>
      <w:r w:rsidRPr="00070ADE">
        <w:rPr>
          <w:rFonts w:ascii="Times New Roman" w:hAnsi="Times New Roman"/>
          <w:color w:val="000000" w:themeColor="text1"/>
          <w:sz w:val="16"/>
          <w:szCs w:val="16"/>
        </w:rPr>
        <w:softHyphen/>
        <w:t>ко в начале апреля 1944 г. Совместным приказом НКТП, НКВ, коман</w:t>
      </w:r>
      <w:r w:rsidRPr="00070ADE">
        <w:rPr>
          <w:rFonts w:ascii="Times New Roman" w:hAnsi="Times New Roman"/>
          <w:color w:val="000000" w:themeColor="text1"/>
          <w:sz w:val="16"/>
          <w:szCs w:val="16"/>
        </w:rPr>
        <w:softHyphen/>
        <w:t>дующего БТ и МВ РККА и начальника ГАУ были установлены новые сроки проведения испытаний. Теперь заводу № 100 необходимо было подать танк на Гороховецкий АНИОП к 8 мая 1944 г. Но опытный тяже</w:t>
      </w:r>
      <w:r w:rsidRPr="00070ADE">
        <w:rPr>
          <w:rFonts w:ascii="Times New Roman" w:hAnsi="Times New Roman"/>
          <w:color w:val="000000" w:themeColor="text1"/>
          <w:sz w:val="16"/>
          <w:szCs w:val="16"/>
        </w:rPr>
        <w:softHyphen/>
        <w:t>лый танк ИС-5 ("Объект 248") из-за отсутствия готовой башни был из</w:t>
      </w:r>
      <w:r w:rsidRPr="00070ADE">
        <w:rPr>
          <w:rFonts w:ascii="Times New Roman" w:hAnsi="Times New Roman"/>
          <w:color w:val="000000" w:themeColor="text1"/>
          <w:sz w:val="16"/>
          <w:szCs w:val="16"/>
        </w:rPr>
        <w:softHyphen/>
        <w:t>готовлен заводом только в июне 1944 г. и к концу месяца прошел лишь заводские испытания пробегом и отстрелом на Миасском полигоне. Танк "Объект 248" был создан на базе опытного тяжелого танка "Объект 237" № 1. В связи с установкой новой пушки и башни была изменена компоновка боевого отделения. Командир и наводчик располагались справа, а заряжающий - слева от пушки. Люк и командирская башенка имели, по отношению к серийной башне танка ИС-1, зеркальное распо</w:t>
      </w:r>
      <w:r w:rsidRPr="00070ADE">
        <w:rPr>
          <w:rFonts w:ascii="Times New Roman" w:hAnsi="Times New Roman"/>
          <w:color w:val="000000" w:themeColor="text1"/>
          <w:sz w:val="16"/>
          <w:szCs w:val="16"/>
        </w:rPr>
        <w:softHyphen/>
        <w:t xml:space="preserve">ложение. Кроме того, отсутствовала установка </w:t>
      </w:r>
      <w:r w:rsidRPr="00070ADE">
        <w:rPr>
          <w:rFonts w:ascii="Times New Roman" w:hAnsi="Times New Roman"/>
          <w:color w:val="000000" w:themeColor="text1"/>
          <w:sz w:val="16"/>
          <w:szCs w:val="16"/>
        </w:rPr>
        <w:lastRenderedPageBreak/>
        <w:t>тыльного пулемета. После проведения заводских испытаний машина была рекомендова</w:t>
      </w:r>
      <w:r w:rsidRPr="00070ADE">
        <w:rPr>
          <w:rFonts w:ascii="Times New Roman" w:hAnsi="Times New Roman"/>
          <w:color w:val="000000" w:themeColor="text1"/>
          <w:sz w:val="16"/>
          <w:szCs w:val="16"/>
        </w:rPr>
        <w:softHyphen/>
        <w:t>на на полигонные испытания. Однако ни "Объект 245", ни "Объект 248", оснащенные 100-мм пуш</w:t>
      </w:r>
      <w:r w:rsidRPr="00070ADE">
        <w:rPr>
          <w:rFonts w:ascii="Times New Roman" w:hAnsi="Times New Roman"/>
          <w:color w:val="000000" w:themeColor="text1"/>
          <w:sz w:val="16"/>
          <w:szCs w:val="16"/>
        </w:rPr>
        <w:softHyphen/>
        <w:t>ками, не были приняты на вооружение вследствие того, что на дальнос</w:t>
      </w:r>
      <w:r w:rsidRPr="00070ADE">
        <w:rPr>
          <w:rFonts w:ascii="Times New Roman" w:hAnsi="Times New Roman"/>
          <w:color w:val="000000" w:themeColor="text1"/>
          <w:sz w:val="16"/>
          <w:szCs w:val="16"/>
        </w:rPr>
        <w:softHyphen/>
        <w:t>тях свыше 1000 м из-за меньшей массы бронебойных снарядов их бро-непробиваемость оказалась меньше, чем у 122-мм бронебойных снаря</w:t>
      </w:r>
      <w:r w:rsidRPr="00070ADE">
        <w:rPr>
          <w:rFonts w:ascii="Times New Roman" w:hAnsi="Times New Roman"/>
          <w:color w:val="000000" w:themeColor="text1"/>
          <w:sz w:val="16"/>
          <w:szCs w:val="16"/>
        </w:rPr>
        <w:softHyphen/>
        <w:t>дов пушки Д-25. С середины апреля 1944 г. на основании "Тактико-технических тре</w:t>
      </w:r>
      <w:r w:rsidRPr="00070ADE">
        <w:rPr>
          <w:rFonts w:ascii="Times New Roman" w:hAnsi="Times New Roman"/>
          <w:color w:val="000000" w:themeColor="text1"/>
          <w:sz w:val="16"/>
          <w:szCs w:val="16"/>
        </w:rPr>
        <w:softHyphen/>
        <w:t>бований на проектирование тяжелого танка", разработанных ТУ ГБТУ, в КБ завода № 100 велась работа по проектированию опытных тяжелых танков с электромеханической и механической трансмиссиями (10703).</w:t>
      </w:r>
    </w:p>
    <w:p w14:paraId="0C87E2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1A4A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марта 1944 вышло Постановление ГКО № 5372 О мероприятиях по увеличению в 1944 году производства цемента заводами Наркомстройматериалов СССР. РГАНИР, Фонд ГКО, д. 218, лл. 1-16,17-48 (11012).</w:t>
      </w:r>
    </w:p>
    <w:p w14:paraId="0F9719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2AFBD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марта 1944 вышло Постановление ГКО № 5373 О заготовке лома и отходов цветных металлов в 1944 году и в I квартале 1944 года. РГАНИР, Фонд ГКО, д. 218, лл. 49-55,56-67 (11012).</w:t>
      </w:r>
    </w:p>
    <w:p w14:paraId="1B0E8B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817C04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марта 1944 вышло Постановление ГКО № 5374 О первоочередных мероприятиях по восстановлению речного флота в Днепровском и Днепро-Двинском бассейнах. (7198, 68-77,78-100).</w:t>
      </w:r>
    </w:p>
    <w:p w14:paraId="623913D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BB6F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марта 1944 вышло Постановление ГКО № 5375 Об отпуске продовольственных, госпитальных и фуражных пайков для Красной Армии, Военно-Морского Флота и войск HКВД в марте 1944 года. РГАНИР, Фонд ГКО, д. 218, лл. 101-104,105-107 (11012).</w:t>
      </w:r>
    </w:p>
    <w:p w14:paraId="2BBC20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B36B3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марта 1944 вышло Постановление ГКО № 5377 О сосредоточении производства ремонта танков в системе НКО и организации Главного управления ремонта танков Красной Армии. РГАНИР, Фонд ГКО, д. 218, лл. 110-113,114-140 (11012).</w:t>
      </w:r>
    </w:p>
    <w:p w14:paraId="2C9009E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CD931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марта 1944 вышло Постановление ГКО № 5378 Об увеличении производства тяжелых танков, артиллерийских самоходных установок ИС, мощных танковых пушек и 122-152 мм снарядов. РГАНИР, Фонд ГКО, д. 218, лл. 141-148,149 (11012).</w:t>
      </w:r>
    </w:p>
    <w:p w14:paraId="235266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B2F40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марта 1944 вышло Постановление ГКО № 5379 О развитии экспериментальных работ института физических проблем Академии наук СССР в области применения кислорода в промышленности. РГАНИР, Фонд ГКО, д. 218, лл. 150-153,154-158 (11012).</w:t>
      </w:r>
    </w:p>
    <w:p w14:paraId="4ECF37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E98DEB6" w14:textId="77777777" w:rsidR="00E870E7"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9A4E2A7" w14:textId="77777777" w:rsidR="00E870E7" w:rsidRPr="00070ADE" w:rsidRDefault="00E870E7"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98084B"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12 марта</w:t>
      </w:r>
      <w:r w:rsidRPr="00070ADE">
        <w:rPr>
          <w:rFonts w:ascii="Times New Roman" w:hAnsi="Times New Roman"/>
          <w:color w:val="000000" w:themeColor="text1"/>
          <w:sz w:val="16"/>
          <w:szCs w:val="16"/>
        </w:rPr>
        <w:t xml:space="preserve"> в 1944 году оперативная сводка Совинформбюро:</w:t>
      </w:r>
    </w:p>
    <w:p w14:paraId="4483071A"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12 марта на Проскуровском направлении наши войска продолжали вести наступательные бои, в ходе которых заняли несколько населённых пунктов и среди них Немиренцы, Броневка, Петриковцы, Малашовцы, Мацковцы, Малиничи, Нижние Волковцы, Орлинцы, Ходьковцы, Зарудье. Нашими войсками перерезана железная дорога Проскуров-Гусятин.</w:t>
      </w:r>
    </w:p>
    <w:p w14:paraId="71B452D3"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южнее города Умань наши войска, продолжая успешно развивать наступление, овладели районным центром Одесской области городом Гайворон, районными центрами Винницкой области Теплик, Джулинка, а также с боями занялиболее 60 других населённых пунктов, в том числе крупные населённые пункты Китай-Город, Гранов, Михайловка, Чечеливка, Кублич, Великая Мочулка, Мышаровка, Шляхова, Каменная Криница, Ольховата и железнодорожные станции Ивангород, Роскошевка, Марковка, Кублич.</w:t>
      </w:r>
    </w:p>
    <w:p w14:paraId="2DDA5573"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города Кировоград наши войска вели наступательные бои, в результате которых овладели районным центром Киевской области Мокрая Калигорка и заняли более 30 других населённых пунктов, среди которых крупные населённые пункты Петраковка, Лисичья Балка, Сухая Калигорка, Антоновка,Янополь, Дукова, Оситная, Елено-Косогоровка, Петропилье.</w:t>
      </w:r>
    </w:p>
    <w:p w14:paraId="2C0CECBA"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города Кривой Рог наши войска, продолжая развивать наступление, овладели районным центром Кировоградской области городом Шевченково и железнодорожным узлом Долинская, а также с боями заняли более 50 других населённых пунктов, в том числе крупные населённые пункты Ново-Савицкое, Ново-Григорьевка, Берёзовка, Перепелица, Марфовка, Сергеевка, Дмитриевка, Новоселье, Медова и железнодорожные станции Писанки, Ново-Даниловка.</w:t>
      </w:r>
    </w:p>
    <w:p w14:paraId="06E26E25"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Апостолово наши войска с боями продвигались вперёд и овладели районными центрами Николаевской области Привольное (на западном берегу реки Ингул), Большая Александровка и заняли более 60 других населённых пунктов, в том числе Софиевка, Ульяновка, Майеровка, Ленино, Ново-Привольное, Малая Александровка, Новая Кубань, Ново-Сибирск, Свободный, Дружный, Володьевка, Львово, Тягинка.</w:t>
      </w:r>
    </w:p>
    <w:p w14:paraId="37A83B5D"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разведка и в ряде пунктов бои местного значения.</w:t>
      </w:r>
    </w:p>
    <w:p w14:paraId="4BFA21EC"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11 марта наши войска на всех фронтах подбили и уничтожили 58 немецких танков. В воздушных боях и огнём зенитной артиллерии сбито 35 самолётов противника.</w:t>
      </w:r>
    </w:p>
    <w:p w14:paraId="55F42AFB"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Проскуровском направлении наши войска в ходе наступательных боёв сломили сопротивление противника и заняли несколько сильно укреплённых населённых пунктов. Овладев населёнными пунктами Малиничи и Нижние Волковцы, советские части перерезали железную дорогу Проскуров-Гусятин. Немцы несут большие потери в живой силе и технике. Только на одном участке наши бойцы истребили 1.200 гитлеровцев и захватили тяжёлый танк, 2 самоходных орудия, 9 зенитных орудий, более 100 повозок с грузами и другие трофеи. В течение дня подбито и сожжено свыше 40 танков и самоходных орудий противника.</w:t>
      </w:r>
    </w:p>
    <w:p w14:paraId="1321CDA2"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южнее города Умань наши войска продолжали успешное наступление. Наши танкисты и пехотинцы стремительной атакой овладели районным центром Винницкой области Джулинка, расположенным на левом берегу реки Южный Буг. Остатки разбитых немецких частей были прижаты к реке и уничтожены. Сотни немцев, пустившиеся вплавь, утонули в Буге. На поле боя осталось до 2.500 вражеских трупов. Захвачено 35 танков, около 2.000 автомашин и много других трофеев. Развивая успех, наши войска в крайне тяжёлых условиях бездорожья прошли за день свыше 30 километров и штурмом овладели районным центром Одесской области городом Гайворон. В ходе боёв занят также районный центр Винницкой области Теплик и другие населённые пункты. Отступая под ударами советских войск, немцы бросают огромное количество боевой техники, вооружения и военного имущества.</w:t>
      </w:r>
    </w:p>
    <w:p w14:paraId="12DA694A"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города Кировоград наши войска вели наступательные бои. Части Н-ского соединения, осуществив удачный манёвр, овладели районным центром Киевской области Мокрая Калигорка и заняли ряд других населённых пунктов. В бою за одно село наши бойцы истребили до батальона гитлеровцев. Захвачено 4 исправных немецких танка и 20 автомашин с горючим.</w:t>
      </w:r>
    </w:p>
    <w:p w14:paraId="60060084"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города Кривой Рог части Н-ского соединения ночью ворвались в город Шевченково и на территорию железнодорожного узла Долинская. Сегодня после ожесточённых боёв город и железнодорожный узел очищены от немцев. На месте боя остались сотни вражеских трупов. Захвачено большое число железнодорожных вагонов и платформ с военными грузами. Преследуя разгромленного противника, наши войска заняли железнодорожные станции Писанки, Ново-Даниловка и более 50 других населённых пунктов.</w:t>
      </w:r>
    </w:p>
    <w:p w14:paraId="614EB07A"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города Апостолово наши войска с боями продвигались вперёд и вышли креке Ингул. Понтонёры и сапёры под огнём противника навели в нескольких местах переправы через реку. Советские части форсировали Ингул и стремительным ударом овладели районным центром Николаевской области Привольное. Наши гвардейцы, развивая успех, заняли ряд других населённых пунктов на западном берегу реки Ингул. Захвачено у немцев 8 танков, 9 самоходных и 23 полевых орудия, 18 миномётов, 125 пулемётов, 90 автомашин, 120 тысяч патронов, 10 тысяч мин, 18 тысяч снарядов и другие трофеи. Взято значительное число пленных. Юго-западнее Апостолова части Н-ского соединения выбили противника из районного центра Николаевской области Большая Александровка. В этом же районе разгромлена крупная вражеская колонна. Захвачено 3 самоходных и 17 полевых орудий, 8 бронетранспортёров и свыше 60 автомашин с различными военными грузами.</w:t>
      </w:r>
    </w:p>
    <w:p w14:paraId="22D52112"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Нашими кораблями в Баренцовом море потоплен транспорт противника водоизмещением в 7 тысяч тонн. Кроме того, советские лётчики потопили немецкий транспорт водоизмещением в 6 тысяч тонн.</w:t>
      </w:r>
    </w:p>
    <w:p w14:paraId="656286D4"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Партизанские отряды, действующие в Могилёвской области, за месяц пустили под откос больше ста воинских эшелонов противника. Разбиты 74 паровоза и около 800 вагонов и платформ с военными грузами. Во время крушений убито много гитлеровцев. Советские патриоты в одном районе сожгли 4 бензохранилища противника, в которых хранилось свыше 600 тонн бензина.» (15066).</w:t>
      </w:r>
    </w:p>
    <w:p w14:paraId="0FDB644F" w14:textId="77777777" w:rsidR="00E870E7" w:rsidRPr="00070ADE" w:rsidRDefault="00E870E7" w:rsidP="00B56F90">
      <w:pPr>
        <w:spacing w:after="0" w:line="240" w:lineRule="auto"/>
        <w:jc w:val="both"/>
        <w:rPr>
          <w:rFonts w:ascii="Times New Roman" w:hAnsi="Times New Roman"/>
          <w:color w:val="000000" w:themeColor="text1"/>
          <w:sz w:val="16"/>
          <w:szCs w:val="16"/>
        </w:rPr>
      </w:pPr>
    </w:p>
    <w:p w14:paraId="6EA3F6C0"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12 марта</w:t>
      </w:r>
      <w:r w:rsidRPr="00070ADE">
        <w:rPr>
          <w:rFonts w:ascii="Times New Roman" w:hAnsi="Times New Roman"/>
          <w:color w:val="000000" w:themeColor="text1"/>
          <w:sz w:val="16"/>
          <w:szCs w:val="16"/>
        </w:rPr>
        <w:t xml:space="preserve"> в 1944 году подвижные войска 3-го Украинского фронта вышли на реку Ингурец южнее Снигиревки, перерезав пути отхода основных сил 6-й армии противника на запад (15066).</w:t>
      </w:r>
    </w:p>
    <w:p w14:paraId="233E0B9A" w14:textId="77777777" w:rsidR="00E870E7" w:rsidRPr="00070ADE" w:rsidRDefault="00E870E7" w:rsidP="00B56F90">
      <w:pPr>
        <w:spacing w:after="0" w:line="240" w:lineRule="auto"/>
        <w:jc w:val="both"/>
        <w:rPr>
          <w:rFonts w:ascii="Times New Roman" w:hAnsi="Times New Roman"/>
          <w:color w:val="000000" w:themeColor="text1"/>
          <w:sz w:val="16"/>
          <w:szCs w:val="16"/>
        </w:rPr>
      </w:pPr>
    </w:p>
    <w:p w14:paraId="1E4FE37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79D73C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4191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марта 1944 Англия запретила поездки в Ирландию и из Ирландии в Англию (2100).</w:t>
      </w:r>
    </w:p>
    <w:p w14:paraId="5B6E0A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940BE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599C8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B0B4E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 вышло Постановление ГКО № 5381 Об антиобледенительных устройствах для самолетов Ли-2 и Ер-2. РГАНИР, Фонд ГКО, д. 218, лл. 172-173 (11012).</w:t>
      </w:r>
    </w:p>
    <w:p w14:paraId="4119B5F3" w14:textId="58F02C90"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C6ED613" w14:textId="77777777" w:rsidR="009404DA" w:rsidRPr="00070ADE" w:rsidRDefault="009404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 г. Постановление 5381 «Об антиобледенительных устройствах для самолетов Ли—2 и Ер—2</w:t>
      </w:r>
    </w:p>
    <w:p w14:paraId="23177C0F" w14:textId="77777777" w:rsidR="009404DA" w:rsidRPr="00070ADE" w:rsidRDefault="009404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 секретно</w:t>
      </w:r>
    </w:p>
    <w:p w14:paraId="56FF072A" w14:textId="77777777" w:rsidR="009404DA" w:rsidRPr="00070ADE" w:rsidRDefault="009404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 ГОСУДАРСТВЕННОГО КОМИТЕТА ОБОРОНЫ 5381сс 13 марта-1944 г</w:t>
      </w:r>
    </w:p>
    <w:p w14:paraId="10C2CD8C" w14:textId="77777777" w:rsidR="009404DA" w:rsidRPr="00070ADE" w:rsidRDefault="009404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 антиобледенительных устройствах для самолетов Ли—2 и Ер—2</w:t>
      </w:r>
    </w:p>
    <w:p w14:paraId="1C542DEE" w14:textId="77777777" w:rsidR="009404DA" w:rsidRPr="00070ADE" w:rsidRDefault="009404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обеспечения самолетов Ли—2 и Ер—2 антиобледенительными устройствами,</w:t>
      </w:r>
    </w:p>
    <w:p w14:paraId="6472D488" w14:textId="77777777" w:rsidR="009404DA" w:rsidRPr="00070ADE" w:rsidRDefault="009404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Государственный Комитет Обороны постановляет:</w:t>
      </w:r>
    </w:p>
    <w:p w14:paraId="245053C7" w14:textId="77777777" w:rsidR="009404DA" w:rsidRPr="00070ADE" w:rsidRDefault="009404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Обязать командующего АДД - т. Голованова передать к 15 марта с.г. Наркомавиапрому 5 комплектов механических антиобледенителей, типа «Гудрич», сняв их с самолетов Си—47 и Б—25, прибывших из Америки.</w:t>
      </w:r>
    </w:p>
    <w:p w14:paraId="38AAC220" w14:textId="77777777" w:rsidR="009404DA" w:rsidRPr="00070ADE" w:rsidRDefault="009404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Обязать начальника Научно-исследовательского института самолетного оборудования НКАП т. Петрова, начальника Всесоюзного института авиационных материалов т. Туманова обеспечить к 15 апреля с.г. разработку схем механических антиобледенителей, разработку конструкций агрегатов и технологию изготовления резиновых протекторов и других специальных деталей антиобледенителя для самолетов Ли—2 и Ер—2.</w:t>
      </w:r>
    </w:p>
    <w:p w14:paraId="09E60E62" w14:textId="77777777" w:rsidR="009404DA" w:rsidRPr="00070ADE" w:rsidRDefault="009404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Обязать Наркомрезинпром — т. Митрохина изготовить и поставить к I мая с.г. Наркомавиапрому, по его чертежам и техническим условиям, резиновые чехлыпротекторы для антиобледенителей типа «Гудрич» для самолетов Ли-2 и Ер-2.</w:t>
      </w:r>
    </w:p>
    <w:p w14:paraId="59C28763" w14:textId="77777777" w:rsidR="009404DA" w:rsidRPr="00070ADE" w:rsidRDefault="009404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Обязать директора завода 39 НКАП т. Абрамова и главного конструктора самолета Ер—2 т. Ермолаева разработать, изготовить и смонтировать на самолете Ер—2 опытные образцы механических антиобледенителей по типу американских антиобледенителей «Гудрич».</w:t>
      </w:r>
    </w:p>
    <w:p w14:paraId="16D0CD3D" w14:textId="77777777" w:rsidR="009404DA" w:rsidRPr="00070ADE" w:rsidRDefault="009404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Опытный самолет Ер—2 с механическими антиобледенителями предъявить на государственные испытания к 25 июня с.г.</w:t>
      </w:r>
    </w:p>
    <w:p w14:paraId="635E62B1" w14:textId="77777777" w:rsidR="009404DA" w:rsidRPr="00070ADE" w:rsidRDefault="009404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Обязать директора завода N2 84 НКАП т. Ярунина, главного инженера завода т. Лисунова и начальника конструкторского бюро т. Мосолова разработать, изготовить и смонтировать на самолете Ли—2 опытные образцы механических антиобледенителей по типу риканских антиобледенителей «Гудрич».</w:t>
      </w:r>
    </w:p>
    <w:p w14:paraId="36FD0FB8" w14:textId="77777777" w:rsidR="009404DA" w:rsidRPr="00070ADE" w:rsidRDefault="009404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Опытный самолет Ли—2 с механическими антиобледенителями предъявить на государственные испытания к 25 июня с.г.</w:t>
      </w:r>
    </w:p>
    <w:p w14:paraId="2550E382" w14:textId="77777777" w:rsidR="009404DA" w:rsidRPr="00070ADE" w:rsidRDefault="009404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Обязать Командующего АДД т. Голованова провести государственные испытания самолетов Ли—2 и Ер—2 с механическими антиобледенителями типа «Гудрич».</w:t>
      </w:r>
    </w:p>
    <w:p w14:paraId="2B34A7A7" w14:textId="77777777" w:rsidR="009404DA" w:rsidRPr="00070ADE" w:rsidRDefault="009404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Обязать Наркомавиапром - т. Шахурина и директора завода R2 84 НКАП т. Ярунина до внедрения в производство механических антиобледенителей типа «Гудрич» выпускать все самолеты Ли—2 с тепловыми антиобледенителями.</w:t>
      </w:r>
    </w:p>
    <w:p w14:paraId="1E1078B4" w14:textId="77777777" w:rsidR="009404DA" w:rsidRPr="00070ADE" w:rsidRDefault="009404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Обязать Наркомвнешторг — т. Микояна выяснить возможность и в случае возможности закупить в США для Наркомавиапрома 500 комплектов антиобледенителей системы «Гудрич» по техусловиям НКАП для самолетов Ли—2 и Ер—2.</w:t>
      </w:r>
    </w:p>
    <w:p w14:paraId="78F34C5B" w14:textId="77777777" w:rsidR="009404DA" w:rsidRPr="00070ADE" w:rsidRDefault="009404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ГОСУДАРСТВЕННОГО КОМИТЕТА ОБОРОНЫ</w:t>
      </w:r>
    </w:p>
    <w:p w14:paraId="28C53D64" w14:textId="77777777" w:rsidR="009404DA" w:rsidRPr="00070ADE" w:rsidRDefault="009404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Сталин</w:t>
      </w:r>
    </w:p>
    <w:p w14:paraId="31D0E265" w14:textId="77777777" w:rsidR="009404DA" w:rsidRPr="00070ADE" w:rsidRDefault="009404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РГАСПИ. Ф. 644. Оп. 2. автограф И.В. Сталина.</w:t>
      </w:r>
    </w:p>
    <w:p w14:paraId="358A17F4" w14:textId="77777777" w:rsidR="009404DA" w:rsidRPr="00070ADE" w:rsidRDefault="009404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Подлинник. Машинописный текст. Подпись (23689).</w:t>
      </w:r>
    </w:p>
    <w:p w14:paraId="0DC5CEA0" w14:textId="77777777" w:rsidR="009404DA" w:rsidRPr="00070ADE" w:rsidRDefault="009404DA" w:rsidP="00B56F90">
      <w:pPr>
        <w:spacing w:after="0" w:line="240" w:lineRule="auto"/>
        <w:jc w:val="both"/>
        <w:rPr>
          <w:rFonts w:ascii="Times New Roman" w:hAnsi="Times New Roman"/>
          <w:color w:val="000000" w:themeColor="text1"/>
          <w:sz w:val="16"/>
          <w:szCs w:val="16"/>
        </w:rPr>
      </w:pPr>
    </w:p>
    <w:p w14:paraId="1265FA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 года начальник 11 главного управления писал письмо N 417 Шахурину.</w:t>
      </w:r>
    </w:p>
    <w:p w14:paraId="6D49D3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вопросу: Состояния и развития производства транспортных самолетов на заводах 11 главного управления.</w:t>
      </w:r>
    </w:p>
    <w:p w14:paraId="444F64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 настоящее время на заводах 11 главного управления выпускаются два типа транспортных самолета - самолет С-2 на заводе N 494 и самолет Ще-2 на заводе N 47.</w:t>
      </w:r>
    </w:p>
    <w:p w14:paraId="34DC98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Эти самолеты имеют следующую техническую характеристику:</w:t>
      </w:r>
    </w:p>
    <w:p w14:paraId="0DD6EF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С-2 - трехместный биплан нормального типа, деревянной конструкции, с мотором М-11-Д. полетный вес самолета 1240 кг, вес полезной нагрузки 380 кг. Скорость самолета у земли 143 км/час, посадочная скорость 78 км/час. дальность самолета 570 км. Разбег - 115 м, пробег - 130 м. при снятии в кабине носилок и установке второго кресла, самолет может быть использован в пассажирском варианте (на два пассажира).</w:t>
      </w:r>
    </w:p>
    <w:p w14:paraId="09A1DF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Ще-2 - подкосный моноплан деревянной конструкции с высокорасположенным крылом, с двумя моторами М-11-Д. Нормальный полетный вес самолета 3400 кг, вес полезной нагрузки 1165 кг. Максимальная скорость самолета у земли 157 км/час, посадочная скорость 74 км/час. Разбег 350 м, пробег 160 м. Самолет выпускается в транспортно-пассажирском варианте. При необходимости может быть превращен в санитарный вариант на 9 человек.</w:t>
      </w:r>
    </w:p>
    <w:p w14:paraId="221A12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сентября 1943 года на заводах N 47, 464 и 471 выпускались в серийном производстве транспортно-пассажирские самолеты Як-6, которые из-за плохой устойчивости в воздухе, раскрутки винта и других дефектов были сняты с производства.</w:t>
      </w:r>
    </w:p>
    <w:p w14:paraId="5D409C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Количественный выпуск транспортно-пассажирских самолетов по заводам главного управления в течение 1942-43 г.г. и двух месяцев 1944 года составил: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940"/>
        <w:gridCol w:w="940"/>
        <w:gridCol w:w="940"/>
        <w:gridCol w:w="2283"/>
        <w:gridCol w:w="1276"/>
        <w:gridCol w:w="2410"/>
      </w:tblGrid>
      <w:tr w:rsidR="004D4663" w:rsidRPr="00070ADE" w14:paraId="6DD3D41C" w14:textId="77777777">
        <w:tc>
          <w:tcPr>
            <w:tcW w:w="1809" w:type="dxa"/>
          </w:tcPr>
          <w:p w14:paraId="12C8BA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Номера</w:t>
            </w:r>
          </w:p>
        </w:tc>
        <w:tc>
          <w:tcPr>
            <w:tcW w:w="940" w:type="dxa"/>
          </w:tcPr>
          <w:p w14:paraId="39B305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w:t>
            </w:r>
          </w:p>
        </w:tc>
        <w:tc>
          <w:tcPr>
            <w:tcW w:w="940" w:type="dxa"/>
          </w:tcPr>
          <w:p w14:paraId="23DED8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w:t>
            </w:r>
          </w:p>
        </w:tc>
        <w:tc>
          <w:tcPr>
            <w:tcW w:w="940" w:type="dxa"/>
          </w:tcPr>
          <w:p w14:paraId="371BE0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w:t>
            </w:r>
          </w:p>
        </w:tc>
        <w:tc>
          <w:tcPr>
            <w:tcW w:w="2283" w:type="dxa"/>
          </w:tcPr>
          <w:p w14:paraId="4391BD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 с-тов за 44 г.</w:t>
            </w:r>
          </w:p>
        </w:tc>
        <w:tc>
          <w:tcPr>
            <w:tcW w:w="1276" w:type="dxa"/>
          </w:tcPr>
          <w:p w14:paraId="4914D9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3FDF1F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 с</w:t>
            </w:r>
          </w:p>
        </w:tc>
      </w:tr>
      <w:tr w:rsidR="004D4663" w:rsidRPr="00070ADE" w14:paraId="4DD0D243" w14:textId="77777777">
        <w:tc>
          <w:tcPr>
            <w:tcW w:w="1809" w:type="dxa"/>
          </w:tcPr>
          <w:p w14:paraId="727D31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заводов</w:t>
            </w:r>
          </w:p>
        </w:tc>
        <w:tc>
          <w:tcPr>
            <w:tcW w:w="940" w:type="dxa"/>
          </w:tcPr>
          <w:p w14:paraId="47EC7A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с-та</w:t>
            </w:r>
          </w:p>
        </w:tc>
        <w:tc>
          <w:tcPr>
            <w:tcW w:w="940" w:type="dxa"/>
          </w:tcPr>
          <w:p w14:paraId="5627A2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с-тов</w:t>
            </w:r>
          </w:p>
        </w:tc>
        <w:tc>
          <w:tcPr>
            <w:tcW w:w="940" w:type="dxa"/>
          </w:tcPr>
          <w:p w14:paraId="499AE2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с-тов</w:t>
            </w:r>
          </w:p>
        </w:tc>
        <w:tc>
          <w:tcPr>
            <w:tcW w:w="2283" w:type="dxa"/>
          </w:tcPr>
          <w:p w14:paraId="55FA0B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январь</w:t>
            </w:r>
          </w:p>
        </w:tc>
        <w:tc>
          <w:tcPr>
            <w:tcW w:w="1276" w:type="dxa"/>
          </w:tcPr>
          <w:p w14:paraId="74A5D9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w:t>
            </w:r>
          </w:p>
        </w:tc>
        <w:tc>
          <w:tcPr>
            <w:tcW w:w="2410" w:type="dxa"/>
          </w:tcPr>
          <w:p w14:paraId="1996EB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начала</w:t>
            </w:r>
          </w:p>
        </w:tc>
      </w:tr>
      <w:tr w:rsidR="004D4663" w:rsidRPr="00070ADE" w14:paraId="756B9755" w14:textId="77777777">
        <w:tc>
          <w:tcPr>
            <w:tcW w:w="1809" w:type="dxa"/>
          </w:tcPr>
          <w:p w14:paraId="5F1F2F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4A5B0A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21C051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42 г.</w:t>
            </w:r>
          </w:p>
        </w:tc>
        <w:tc>
          <w:tcPr>
            <w:tcW w:w="940" w:type="dxa"/>
          </w:tcPr>
          <w:p w14:paraId="6A0E84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43 г.</w:t>
            </w:r>
          </w:p>
        </w:tc>
        <w:tc>
          <w:tcPr>
            <w:tcW w:w="2283" w:type="dxa"/>
          </w:tcPr>
          <w:p w14:paraId="4A06C5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0CC5D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3B2E2C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поставки</w:t>
            </w:r>
          </w:p>
        </w:tc>
      </w:tr>
      <w:tr w:rsidR="004D4663" w:rsidRPr="00070ADE" w14:paraId="3F0A2BFF" w14:textId="77777777">
        <w:tc>
          <w:tcPr>
            <w:tcW w:w="1809" w:type="dxa"/>
          </w:tcPr>
          <w:p w14:paraId="3B998A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0C66C6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5DDFE1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70EAA1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83" w:type="dxa"/>
          </w:tcPr>
          <w:p w14:paraId="743ECC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83CF8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461C19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w:t>
            </w:r>
          </w:p>
        </w:tc>
      </w:tr>
      <w:tr w:rsidR="004D4663" w:rsidRPr="00070ADE" w14:paraId="28314D56" w14:textId="77777777">
        <w:tc>
          <w:tcPr>
            <w:tcW w:w="1809" w:type="dxa"/>
          </w:tcPr>
          <w:p w14:paraId="0446A4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выпускн.</w:t>
            </w:r>
          </w:p>
        </w:tc>
        <w:tc>
          <w:tcPr>
            <w:tcW w:w="940" w:type="dxa"/>
          </w:tcPr>
          <w:p w14:paraId="252E7F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03D8A9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29DF7C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83" w:type="dxa"/>
          </w:tcPr>
          <w:p w14:paraId="7DAC30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1DCE4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222CB53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6FE281E" w14:textId="77777777">
        <w:tc>
          <w:tcPr>
            <w:tcW w:w="1809" w:type="dxa"/>
          </w:tcPr>
          <w:p w14:paraId="067098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с-там</w:t>
            </w:r>
          </w:p>
        </w:tc>
        <w:tc>
          <w:tcPr>
            <w:tcW w:w="940" w:type="dxa"/>
          </w:tcPr>
          <w:p w14:paraId="28A507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5E26B3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0DAE02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83" w:type="dxa"/>
          </w:tcPr>
          <w:p w14:paraId="67B34E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4E804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341224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DCBBFEA" w14:textId="77777777">
        <w:tc>
          <w:tcPr>
            <w:tcW w:w="1809" w:type="dxa"/>
          </w:tcPr>
          <w:p w14:paraId="4F55EA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 N 47</w:t>
            </w:r>
          </w:p>
        </w:tc>
        <w:tc>
          <w:tcPr>
            <w:tcW w:w="940" w:type="dxa"/>
          </w:tcPr>
          <w:p w14:paraId="2E1133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ЩЕ-2</w:t>
            </w:r>
          </w:p>
        </w:tc>
        <w:tc>
          <w:tcPr>
            <w:tcW w:w="940" w:type="dxa"/>
          </w:tcPr>
          <w:p w14:paraId="64F250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940" w:type="dxa"/>
          </w:tcPr>
          <w:p w14:paraId="3EF601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283" w:type="dxa"/>
          </w:tcPr>
          <w:p w14:paraId="7EAA31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1276" w:type="dxa"/>
          </w:tcPr>
          <w:p w14:paraId="624BC9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2410" w:type="dxa"/>
          </w:tcPr>
          <w:p w14:paraId="108A1E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r>
      <w:tr w:rsidR="004D4663" w:rsidRPr="00070ADE" w14:paraId="7FE8D247" w14:textId="77777777">
        <w:tc>
          <w:tcPr>
            <w:tcW w:w="1809" w:type="dxa"/>
          </w:tcPr>
          <w:p w14:paraId="2C8E45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 N 494</w:t>
            </w:r>
          </w:p>
        </w:tc>
        <w:tc>
          <w:tcPr>
            <w:tcW w:w="940" w:type="dxa"/>
          </w:tcPr>
          <w:p w14:paraId="68FA1E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С-2</w:t>
            </w:r>
          </w:p>
        </w:tc>
        <w:tc>
          <w:tcPr>
            <w:tcW w:w="940" w:type="dxa"/>
          </w:tcPr>
          <w:p w14:paraId="5E7B12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940" w:type="dxa"/>
          </w:tcPr>
          <w:p w14:paraId="327450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w:t>
            </w:r>
          </w:p>
        </w:tc>
        <w:tc>
          <w:tcPr>
            <w:tcW w:w="2283" w:type="dxa"/>
          </w:tcPr>
          <w:p w14:paraId="3350E6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w:t>
            </w:r>
          </w:p>
        </w:tc>
        <w:tc>
          <w:tcPr>
            <w:tcW w:w="1276" w:type="dxa"/>
          </w:tcPr>
          <w:p w14:paraId="41A08B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w:t>
            </w:r>
          </w:p>
        </w:tc>
        <w:tc>
          <w:tcPr>
            <w:tcW w:w="2410" w:type="dxa"/>
          </w:tcPr>
          <w:p w14:paraId="472560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359</w:t>
            </w:r>
          </w:p>
        </w:tc>
      </w:tr>
      <w:tr w:rsidR="004D4663" w:rsidRPr="00070ADE" w14:paraId="5742E6E1" w14:textId="77777777">
        <w:tc>
          <w:tcPr>
            <w:tcW w:w="1809" w:type="dxa"/>
          </w:tcPr>
          <w:p w14:paraId="21D7E5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940" w:type="dxa"/>
          </w:tcPr>
          <w:p w14:paraId="7295EF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7D160C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940" w:type="dxa"/>
          </w:tcPr>
          <w:p w14:paraId="51FD0D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w:t>
            </w:r>
          </w:p>
        </w:tc>
        <w:tc>
          <w:tcPr>
            <w:tcW w:w="2283" w:type="dxa"/>
          </w:tcPr>
          <w:p w14:paraId="73EEFA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w:t>
            </w:r>
          </w:p>
        </w:tc>
        <w:tc>
          <w:tcPr>
            <w:tcW w:w="1276" w:type="dxa"/>
          </w:tcPr>
          <w:p w14:paraId="320F85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w:t>
            </w:r>
          </w:p>
        </w:tc>
        <w:tc>
          <w:tcPr>
            <w:tcW w:w="2410" w:type="dxa"/>
          </w:tcPr>
          <w:p w14:paraId="188592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369</w:t>
            </w:r>
          </w:p>
        </w:tc>
      </w:tr>
      <w:tr w:rsidR="004D4663" w:rsidRPr="00070ADE" w14:paraId="1198857B" w14:textId="77777777">
        <w:tc>
          <w:tcPr>
            <w:tcW w:w="1809" w:type="dxa"/>
          </w:tcPr>
          <w:p w14:paraId="3CA034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снятым</w:t>
            </w:r>
          </w:p>
        </w:tc>
        <w:tc>
          <w:tcPr>
            <w:tcW w:w="940" w:type="dxa"/>
          </w:tcPr>
          <w:p w14:paraId="68FBDF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21A6F2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1CA351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83" w:type="dxa"/>
          </w:tcPr>
          <w:p w14:paraId="406925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CD57D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453808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08A40A9" w14:textId="77777777">
        <w:tc>
          <w:tcPr>
            <w:tcW w:w="1809" w:type="dxa"/>
          </w:tcPr>
          <w:p w14:paraId="234575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пр-ва</w:t>
            </w:r>
          </w:p>
        </w:tc>
        <w:tc>
          <w:tcPr>
            <w:tcW w:w="940" w:type="dxa"/>
          </w:tcPr>
          <w:p w14:paraId="3AAA7A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391EFE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750BA8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83" w:type="dxa"/>
          </w:tcPr>
          <w:p w14:paraId="5B52B1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E7A79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0B97FB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25FDF34" w14:textId="77777777">
        <w:tc>
          <w:tcPr>
            <w:tcW w:w="1809" w:type="dxa"/>
          </w:tcPr>
          <w:p w14:paraId="32DF70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 N 47</w:t>
            </w:r>
          </w:p>
        </w:tc>
        <w:tc>
          <w:tcPr>
            <w:tcW w:w="940" w:type="dxa"/>
          </w:tcPr>
          <w:p w14:paraId="40DE836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ЯК-6</w:t>
            </w:r>
          </w:p>
        </w:tc>
        <w:tc>
          <w:tcPr>
            <w:tcW w:w="940" w:type="dxa"/>
          </w:tcPr>
          <w:p w14:paraId="3364BE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940" w:type="dxa"/>
          </w:tcPr>
          <w:p w14:paraId="3AF575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224</w:t>
            </w:r>
          </w:p>
        </w:tc>
        <w:tc>
          <w:tcPr>
            <w:tcW w:w="2283" w:type="dxa"/>
          </w:tcPr>
          <w:p w14:paraId="75B070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76" w:type="dxa"/>
          </w:tcPr>
          <w:p w14:paraId="0CC856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410" w:type="dxa"/>
          </w:tcPr>
          <w:p w14:paraId="7CBAB9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249</w:t>
            </w:r>
          </w:p>
        </w:tc>
      </w:tr>
      <w:tr w:rsidR="004D4663" w:rsidRPr="00070ADE" w14:paraId="35890246" w14:textId="77777777">
        <w:tc>
          <w:tcPr>
            <w:tcW w:w="1809" w:type="dxa"/>
          </w:tcPr>
          <w:p w14:paraId="530283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 N 464</w:t>
            </w:r>
          </w:p>
        </w:tc>
        <w:tc>
          <w:tcPr>
            <w:tcW w:w="940" w:type="dxa"/>
          </w:tcPr>
          <w:p w14:paraId="226EC1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940" w:type="dxa"/>
          </w:tcPr>
          <w:p w14:paraId="0E0A73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940" w:type="dxa"/>
          </w:tcPr>
          <w:p w14:paraId="41ECB7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2283" w:type="dxa"/>
          </w:tcPr>
          <w:p w14:paraId="3140EF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76" w:type="dxa"/>
          </w:tcPr>
          <w:p w14:paraId="232906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410" w:type="dxa"/>
          </w:tcPr>
          <w:p w14:paraId="77F60E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r>
      <w:tr w:rsidR="004D4663" w:rsidRPr="00070ADE" w14:paraId="7B805935" w14:textId="77777777">
        <w:tc>
          <w:tcPr>
            <w:tcW w:w="1809" w:type="dxa"/>
          </w:tcPr>
          <w:p w14:paraId="6428FB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 N 471</w:t>
            </w:r>
          </w:p>
        </w:tc>
        <w:tc>
          <w:tcPr>
            <w:tcW w:w="940" w:type="dxa"/>
          </w:tcPr>
          <w:p w14:paraId="134C7A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940" w:type="dxa"/>
          </w:tcPr>
          <w:p w14:paraId="7816EC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940" w:type="dxa"/>
          </w:tcPr>
          <w:p w14:paraId="227D3F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w:t>
            </w:r>
          </w:p>
        </w:tc>
        <w:tc>
          <w:tcPr>
            <w:tcW w:w="2283" w:type="dxa"/>
          </w:tcPr>
          <w:p w14:paraId="39FBE0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76" w:type="dxa"/>
          </w:tcPr>
          <w:p w14:paraId="0EEA58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410" w:type="dxa"/>
          </w:tcPr>
          <w:p w14:paraId="4F5E9B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w:t>
            </w:r>
          </w:p>
        </w:tc>
      </w:tr>
      <w:tr w:rsidR="004D4663" w:rsidRPr="00070ADE" w14:paraId="25DC2B1D" w14:textId="77777777">
        <w:tc>
          <w:tcPr>
            <w:tcW w:w="1809" w:type="dxa"/>
          </w:tcPr>
          <w:p w14:paraId="05EB53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940" w:type="dxa"/>
          </w:tcPr>
          <w:p w14:paraId="2FDDB2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67169D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940" w:type="dxa"/>
          </w:tcPr>
          <w:p w14:paraId="699B0F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356</w:t>
            </w:r>
          </w:p>
        </w:tc>
        <w:tc>
          <w:tcPr>
            <w:tcW w:w="2283" w:type="dxa"/>
          </w:tcPr>
          <w:p w14:paraId="7CBB8D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76" w:type="dxa"/>
          </w:tcPr>
          <w:p w14:paraId="422CDA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410" w:type="dxa"/>
          </w:tcPr>
          <w:p w14:paraId="4DD956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381</w:t>
            </w:r>
          </w:p>
        </w:tc>
      </w:tr>
      <w:tr w:rsidR="004D4663" w:rsidRPr="00070ADE" w14:paraId="3DA9720F" w14:textId="77777777">
        <w:tc>
          <w:tcPr>
            <w:tcW w:w="1809" w:type="dxa"/>
          </w:tcPr>
          <w:p w14:paraId="0A6EB0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tc>
        <w:tc>
          <w:tcPr>
            <w:tcW w:w="940" w:type="dxa"/>
          </w:tcPr>
          <w:p w14:paraId="538399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0" w:type="dxa"/>
          </w:tcPr>
          <w:p w14:paraId="7AAB4C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w:t>
            </w:r>
          </w:p>
        </w:tc>
        <w:tc>
          <w:tcPr>
            <w:tcW w:w="940" w:type="dxa"/>
          </w:tcPr>
          <w:p w14:paraId="18AA5A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626</w:t>
            </w:r>
          </w:p>
        </w:tc>
        <w:tc>
          <w:tcPr>
            <w:tcW w:w="2283" w:type="dxa"/>
          </w:tcPr>
          <w:p w14:paraId="5A5DC0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w:t>
            </w:r>
          </w:p>
        </w:tc>
        <w:tc>
          <w:tcPr>
            <w:tcW w:w="1276" w:type="dxa"/>
          </w:tcPr>
          <w:p w14:paraId="599E9D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w:t>
            </w:r>
          </w:p>
        </w:tc>
        <w:tc>
          <w:tcPr>
            <w:tcW w:w="2410" w:type="dxa"/>
          </w:tcPr>
          <w:p w14:paraId="35028B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w:t>
            </w:r>
          </w:p>
        </w:tc>
      </w:tr>
    </w:tbl>
    <w:p w14:paraId="28898C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Предполагаемый выпуск транспортных самолетов по заводам 11 главного управления за 1944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tblGrid>
      <w:tr w:rsidR="004D4663" w:rsidRPr="00070ADE" w14:paraId="79927DB3" w14:textId="77777777">
        <w:tc>
          <w:tcPr>
            <w:tcW w:w="1024" w:type="dxa"/>
          </w:tcPr>
          <w:p w14:paraId="3FD770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NN з-дов</w:t>
            </w:r>
          </w:p>
        </w:tc>
        <w:tc>
          <w:tcPr>
            <w:tcW w:w="1024" w:type="dxa"/>
          </w:tcPr>
          <w:p w14:paraId="46F1E6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w:t>
            </w:r>
          </w:p>
        </w:tc>
        <w:tc>
          <w:tcPr>
            <w:tcW w:w="1024" w:type="dxa"/>
          </w:tcPr>
          <w:p w14:paraId="493234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w:t>
            </w:r>
          </w:p>
        </w:tc>
        <w:tc>
          <w:tcPr>
            <w:tcW w:w="1024" w:type="dxa"/>
          </w:tcPr>
          <w:p w14:paraId="2610386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w:t>
            </w:r>
          </w:p>
        </w:tc>
        <w:tc>
          <w:tcPr>
            <w:tcW w:w="1024" w:type="dxa"/>
          </w:tcPr>
          <w:p w14:paraId="575035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w:t>
            </w:r>
          </w:p>
        </w:tc>
        <w:tc>
          <w:tcPr>
            <w:tcW w:w="1024" w:type="dxa"/>
          </w:tcPr>
          <w:p w14:paraId="3B190D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w:t>
            </w:r>
          </w:p>
        </w:tc>
        <w:tc>
          <w:tcPr>
            <w:tcW w:w="1024" w:type="dxa"/>
          </w:tcPr>
          <w:p w14:paraId="4B14D7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r>
      <w:tr w:rsidR="004D4663" w:rsidRPr="00070ADE" w14:paraId="36E46E2A" w14:textId="77777777">
        <w:tc>
          <w:tcPr>
            <w:tcW w:w="1024" w:type="dxa"/>
          </w:tcPr>
          <w:p w14:paraId="03ED38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AB1B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с-тов</w:t>
            </w:r>
          </w:p>
        </w:tc>
        <w:tc>
          <w:tcPr>
            <w:tcW w:w="1024" w:type="dxa"/>
          </w:tcPr>
          <w:p w14:paraId="453A88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с-тов</w:t>
            </w:r>
          </w:p>
        </w:tc>
        <w:tc>
          <w:tcPr>
            <w:tcW w:w="1024" w:type="dxa"/>
          </w:tcPr>
          <w:p w14:paraId="71A13B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с-тов</w:t>
            </w:r>
          </w:p>
        </w:tc>
        <w:tc>
          <w:tcPr>
            <w:tcW w:w="1024" w:type="dxa"/>
          </w:tcPr>
          <w:p w14:paraId="5170FC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с-тов</w:t>
            </w:r>
          </w:p>
        </w:tc>
        <w:tc>
          <w:tcPr>
            <w:tcW w:w="1024" w:type="dxa"/>
          </w:tcPr>
          <w:p w14:paraId="7699F7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с-тов</w:t>
            </w:r>
          </w:p>
        </w:tc>
        <w:tc>
          <w:tcPr>
            <w:tcW w:w="1024" w:type="dxa"/>
          </w:tcPr>
          <w:p w14:paraId="0BBB98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w:t>
            </w:r>
          </w:p>
        </w:tc>
      </w:tr>
      <w:tr w:rsidR="004D4663" w:rsidRPr="00070ADE" w14:paraId="2C258C0F" w14:textId="77777777">
        <w:tc>
          <w:tcPr>
            <w:tcW w:w="1024" w:type="dxa"/>
          </w:tcPr>
          <w:p w14:paraId="746322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A2473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6E94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w:t>
            </w:r>
          </w:p>
        </w:tc>
        <w:tc>
          <w:tcPr>
            <w:tcW w:w="1024" w:type="dxa"/>
          </w:tcPr>
          <w:p w14:paraId="4437EE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w:t>
            </w:r>
          </w:p>
        </w:tc>
        <w:tc>
          <w:tcPr>
            <w:tcW w:w="1024" w:type="dxa"/>
          </w:tcPr>
          <w:p w14:paraId="30BAD3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1-ом</w:t>
            </w:r>
          </w:p>
        </w:tc>
        <w:tc>
          <w:tcPr>
            <w:tcW w:w="1024" w:type="dxa"/>
          </w:tcPr>
          <w:p w14:paraId="0A3F8B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2-ом</w:t>
            </w:r>
          </w:p>
        </w:tc>
        <w:tc>
          <w:tcPr>
            <w:tcW w:w="1024" w:type="dxa"/>
          </w:tcPr>
          <w:p w14:paraId="42D623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1944 г.</w:t>
            </w:r>
          </w:p>
        </w:tc>
      </w:tr>
      <w:tr w:rsidR="004D4663" w:rsidRPr="00070ADE" w14:paraId="265B781C" w14:textId="77777777">
        <w:tc>
          <w:tcPr>
            <w:tcW w:w="1024" w:type="dxa"/>
          </w:tcPr>
          <w:p w14:paraId="377AEE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0CF5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4510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1/VII-44</w:t>
            </w:r>
          </w:p>
        </w:tc>
        <w:tc>
          <w:tcPr>
            <w:tcW w:w="1024" w:type="dxa"/>
          </w:tcPr>
          <w:p w14:paraId="6295C2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1/I-45</w:t>
            </w:r>
          </w:p>
        </w:tc>
        <w:tc>
          <w:tcPr>
            <w:tcW w:w="1024" w:type="dxa"/>
          </w:tcPr>
          <w:p w14:paraId="2656A9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полугод.</w:t>
            </w:r>
          </w:p>
        </w:tc>
        <w:tc>
          <w:tcPr>
            <w:tcW w:w="1024" w:type="dxa"/>
          </w:tcPr>
          <w:p w14:paraId="65B8C3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полугод.</w:t>
            </w:r>
          </w:p>
        </w:tc>
        <w:tc>
          <w:tcPr>
            <w:tcW w:w="1024" w:type="dxa"/>
          </w:tcPr>
          <w:p w14:paraId="7C3C0A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B60BD6A" w14:textId="77777777">
        <w:tc>
          <w:tcPr>
            <w:tcW w:w="1024" w:type="dxa"/>
          </w:tcPr>
          <w:p w14:paraId="1E1B91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2B278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3BE9C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день</w:t>
            </w:r>
          </w:p>
        </w:tc>
        <w:tc>
          <w:tcPr>
            <w:tcW w:w="1024" w:type="dxa"/>
          </w:tcPr>
          <w:p w14:paraId="329656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день</w:t>
            </w:r>
          </w:p>
        </w:tc>
        <w:tc>
          <w:tcPr>
            <w:tcW w:w="1024" w:type="dxa"/>
          </w:tcPr>
          <w:p w14:paraId="4C7524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 г.</w:t>
            </w:r>
          </w:p>
        </w:tc>
        <w:tc>
          <w:tcPr>
            <w:tcW w:w="1024" w:type="dxa"/>
          </w:tcPr>
          <w:p w14:paraId="44F73A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 г.</w:t>
            </w:r>
          </w:p>
        </w:tc>
        <w:tc>
          <w:tcPr>
            <w:tcW w:w="1024" w:type="dxa"/>
          </w:tcPr>
          <w:p w14:paraId="5B9056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C5EB23F" w14:textId="77777777">
        <w:tc>
          <w:tcPr>
            <w:tcW w:w="1024" w:type="dxa"/>
          </w:tcPr>
          <w:p w14:paraId="594F6B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 N 47</w:t>
            </w:r>
          </w:p>
        </w:tc>
        <w:tc>
          <w:tcPr>
            <w:tcW w:w="1024" w:type="dxa"/>
          </w:tcPr>
          <w:p w14:paraId="56E14E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ЩЕ-2</w:t>
            </w:r>
          </w:p>
        </w:tc>
        <w:tc>
          <w:tcPr>
            <w:tcW w:w="1024" w:type="dxa"/>
          </w:tcPr>
          <w:p w14:paraId="1C7F93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1024" w:type="dxa"/>
          </w:tcPr>
          <w:p w14:paraId="654D0F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c>
          <w:tcPr>
            <w:tcW w:w="1024" w:type="dxa"/>
          </w:tcPr>
          <w:p w14:paraId="585386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w:t>
            </w:r>
          </w:p>
        </w:tc>
        <w:tc>
          <w:tcPr>
            <w:tcW w:w="1024" w:type="dxa"/>
          </w:tcPr>
          <w:p w14:paraId="175618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w:t>
            </w:r>
          </w:p>
        </w:tc>
        <w:tc>
          <w:tcPr>
            <w:tcW w:w="1024" w:type="dxa"/>
          </w:tcPr>
          <w:p w14:paraId="5CF84A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283</w:t>
            </w:r>
          </w:p>
        </w:tc>
      </w:tr>
      <w:tr w:rsidR="004D4663" w:rsidRPr="00070ADE" w14:paraId="181F06AC" w14:textId="77777777">
        <w:tc>
          <w:tcPr>
            <w:tcW w:w="1024" w:type="dxa"/>
          </w:tcPr>
          <w:p w14:paraId="17E900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 N 494</w:t>
            </w:r>
          </w:p>
        </w:tc>
        <w:tc>
          <w:tcPr>
            <w:tcW w:w="1024" w:type="dxa"/>
          </w:tcPr>
          <w:p w14:paraId="60C1C1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С-2</w:t>
            </w:r>
          </w:p>
        </w:tc>
        <w:tc>
          <w:tcPr>
            <w:tcW w:w="1024" w:type="dxa"/>
          </w:tcPr>
          <w:p w14:paraId="04188B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1024" w:type="dxa"/>
          </w:tcPr>
          <w:p w14:paraId="3CBA32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tc>
        <w:tc>
          <w:tcPr>
            <w:tcW w:w="1024" w:type="dxa"/>
          </w:tcPr>
          <w:p w14:paraId="4E3E2E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292</w:t>
            </w:r>
          </w:p>
        </w:tc>
        <w:tc>
          <w:tcPr>
            <w:tcW w:w="1024" w:type="dxa"/>
          </w:tcPr>
          <w:p w14:paraId="427BE2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380</w:t>
            </w:r>
          </w:p>
        </w:tc>
        <w:tc>
          <w:tcPr>
            <w:tcW w:w="1024" w:type="dxa"/>
          </w:tcPr>
          <w:p w14:paraId="25B126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672</w:t>
            </w:r>
          </w:p>
        </w:tc>
      </w:tr>
      <w:tr w:rsidR="004D4663" w:rsidRPr="00070ADE" w14:paraId="2850A220" w14:textId="77777777">
        <w:tc>
          <w:tcPr>
            <w:tcW w:w="1024" w:type="dxa"/>
          </w:tcPr>
          <w:p w14:paraId="794FA5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9ADD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336763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024" w:type="dxa"/>
          </w:tcPr>
          <w:p w14:paraId="0B62AD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024" w:type="dxa"/>
          </w:tcPr>
          <w:p w14:paraId="63A88D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365</w:t>
            </w:r>
          </w:p>
        </w:tc>
        <w:tc>
          <w:tcPr>
            <w:tcW w:w="1024" w:type="dxa"/>
          </w:tcPr>
          <w:p w14:paraId="5459B4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590</w:t>
            </w:r>
          </w:p>
        </w:tc>
        <w:tc>
          <w:tcPr>
            <w:tcW w:w="1024" w:type="dxa"/>
          </w:tcPr>
          <w:p w14:paraId="106FB3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955</w:t>
            </w:r>
          </w:p>
        </w:tc>
      </w:tr>
    </w:tbl>
    <w:p w14:paraId="38686E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Дальнейшее перспективное увеличение выпуска транспортных самолетов может быть осуществлено за счет:</w:t>
      </w:r>
    </w:p>
    <w:p w14:paraId="195F67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Увеличения выпуска самолетов ЩЕ-2 путем доукомплектования производственной мощности завода N 47 до двух самолетов в день:</w:t>
      </w:r>
    </w:p>
    <w:p w14:paraId="7C0E2D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оборудованием до 50 единиц</w:t>
      </w:r>
    </w:p>
    <w:p w14:paraId="46EA42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Рабочей силой на 600 чел.</w:t>
      </w:r>
    </w:p>
    <w:p w14:paraId="240D6F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Увеличение выпуска самолетов С-2 на заводе N 494 до 4-х самолетов в день путем доукомплектования производственной мощности завода:</w:t>
      </w:r>
    </w:p>
    <w:p w14:paraId="3283C3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оборудованием на 45 единиц</w:t>
      </w:r>
    </w:p>
    <w:p w14:paraId="03F007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рабочей силой на 250 человек</w:t>
      </w:r>
    </w:p>
    <w:p w14:paraId="2A6258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при строительстве сборочного цеха на 1500 м кв.</w:t>
      </w:r>
    </w:p>
    <w:p w14:paraId="19F1AC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Перевода ремонтного завода (бывш. завода N 23 в Ленинграде) на производство самолетов ЩЕ-2 и доукомплектования его оборудованием и рабочей силой, для доведения выпуска на этом заводе до двух самолетов в день.</w:t>
      </w:r>
    </w:p>
    <w:p w14:paraId="676E1D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при проведении указанных мероприятий перспективное увеличение выпуска транспортных самолетов может быть доведено до: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tblGrid>
      <w:tr w:rsidR="004D4663" w:rsidRPr="00070ADE" w14:paraId="2DD19186" w14:textId="77777777">
        <w:tc>
          <w:tcPr>
            <w:tcW w:w="1878" w:type="dxa"/>
          </w:tcPr>
          <w:p w14:paraId="066A42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Номера</w:t>
            </w:r>
          </w:p>
        </w:tc>
        <w:tc>
          <w:tcPr>
            <w:tcW w:w="1878" w:type="dxa"/>
          </w:tcPr>
          <w:p w14:paraId="357C38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w:t>
            </w:r>
          </w:p>
        </w:tc>
        <w:tc>
          <w:tcPr>
            <w:tcW w:w="1878" w:type="dxa"/>
          </w:tcPr>
          <w:p w14:paraId="79855A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Кол-во</w:t>
            </w:r>
          </w:p>
        </w:tc>
        <w:tc>
          <w:tcPr>
            <w:tcW w:w="1878" w:type="dxa"/>
          </w:tcPr>
          <w:p w14:paraId="0BFAC1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Кол-во</w:t>
            </w:r>
          </w:p>
        </w:tc>
      </w:tr>
      <w:tr w:rsidR="004D4663" w:rsidRPr="00070ADE" w14:paraId="020B8AFB" w14:textId="77777777">
        <w:tc>
          <w:tcPr>
            <w:tcW w:w="1878" w:type="dxa"/>
          </w:tcPr>
          <w:p w14:paraId="5BC881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з-дов</w:t>
            </w:r>
          </w:p>
        </w:tc>
        <w:tc>
          <w:tcPr>
            <w:tcW w:w="1878" w:type="dxa"/>
          </w:tcPr>
          <w:p w14:paraId="36235B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с-та</w:t>
            </w:r>
          </w:p>
        </w:tc>
        <w:tc>
          <w:tcPr>
            <w:tcW w:w="1878" w:type="dxa"/>
          </w:tcPr>
          <w:p w14:paraId="057E25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с-тов</w:t>
            </w:r>
          </w:p>
        </w:tc>
        <w:tc>
          <w:tcPr>
            <w:tcW w:w="1878" w:type="dxa"/>
          </w:tcPr>
          <w:p w14:paraId="535F17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с-тов</w:t>
            </w:r>
          </w:p>
        </w:tc>
      </w:tr>
      <w:tr w:rsidR="004D4663" w:rsidRPr="00070ADE" w14:paraId="761AA908" w14:textId="77777777">
        <w:tc>
          <w:tcPr>
            <w:tcW w:w="1878" w:type="dxa"/>
          </w:tcPr>
          <w:p w14:paraId="0FDF70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9E852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0C306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день</w:t>
            </w:r>
          </w:p>
        </w:tc>
        <w:tc>
          <w:tcPr>
            <w:tcW w:w="1878" w:type="dxa"/>
          </w:tcPr>
          <w:p w14:paraId="44EA93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месяц</w:t>
            </w:r>
          </w:p>
        </w:tc>
      </w:tr>
      <w:tr w:rsidR="004D4663" w:rsidRPr="00070ADE" w14:paraId="68EDCC6B" w14:textId="77777777">
        <w:tc>
          <w:tcPr>
            <w:tcW w:w="1878" w:type="dxa"/>
          </w:tcPr>
          <w:p w14:paraId="77D38E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 N 47</w:t>
            </w:r>
          </w:p>
        </w:tc>
        <w:tc>
          <w:tcPr>
            <w:tcW w:w="1878" w:type="dxa"/>
          </w:tcPr>
          <w:p w14:paraId="0A0F4C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ЩЕ-2</w:t>
            </w:r>
          </w:p>
        </w:tc>
        <w:tc>
          <w:tcPr>
            <w:tcW w:w="1878" w:type="dxa"/>
          </w:tcPr>
          <w:p w14:paraId="07F594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1878" w:type="dxa"/>
          </w:tcPr>
          <w:p w14:paraId="735A43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r>
      <w:tr w:rsidR="004D4663" w:rsidRPr="00070ADE" w14:paraId="291B6796" w14:textId="77777777">
        <w:tc>
          <w:tcPr>
            <w:tcW w:w="1878" w:type="dxa"/>
          </w:tcPr>
          <w:p w14:paraId="05C80A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 N 23</w:t>
            </w:r>
          </w:p>
        </w:tc>
        <w:tc>
          <w:tcPr>
            <w:tcW w:w="1878" w:type="dxa"/>
          </w:tcPr>
          <w:p w14:paraId="664989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E2742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32EE5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1FBF6A8" w14:textId="77777777">
        <w:tc>
          <w:tcPr>
            <w:tcW w:w="1878" w:type="dxa"/>
          </w:tcPr>
          <w:p w14:paraId="1B61B6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(бывш.)</w:t>
            </w:r>
          </w:p>
        </w:tc>
        <w:tc>
          <w:tcPr>
            <w:tcW w:w="1878" w:type="dxa"/>
          </w:tcPr>
          <w:p w14:paraId="0EAB606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ЩЕ-2</w:t>
            </w:r>
          </w:p>
        </w:tc>
        <w:tc>
          <w:tcPr>
            <w:tcW w:w="1878" w:type="dxa"/>
          </w:tcPr>
          <w:p w14:paraId="5F9EF6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1878" w:type="dxa"/>
          </w:tcPr>
          <w:p w14:paraId="705758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r>
      <w:tr w:rsidR="004D4663" w:rsidRPr="00070ADE" w14:paraId="201D5E83" w14:textId="77777777">
        <w:tc>
          <w:tcPr>
            <w:tcW w:w="1878" w:type="dxa"/>
          </w:tcPr>
          <w:p w14:paraId="1A3274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 N 494</w:t>
            </w:r>
          </w:p>
        </w:tc>
        <w:tc>
          <w:tcPr>
            <w:tcW w:w="1878" w:type="dxa"/>
          </w:tcPr>
          <w:p w14:paraId="1CAA75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С-2</w:t>
            </w:r>
          </w:p>
        </w:tc>
        <w:tc>
          <w:tcPr>
            <w:tcW w:w="1878" w:type="dxa"/>
          </w:tcPr>
          <w:p w14:paraId="52756C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1878" w:type="dxa"/>
          </w:tcPr>
          <w:p w14:paraId="7DC596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r>
      <w:tr w:rsidR="005106D0" w:rsidRPr="00070ADE" w14:paraId="31A9F7D1" w14:textId="77777777">
        <w:tc>
          <w:tcPr>
            <w:tcW w:w="1878" w:type="dxa"/>
          </w:tcPr>
          <w:p w14:paraId="21BF78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tc>
        <w:tc>
          <w:tcPr>
            <w:tcW w:w="1878" w:type="dxa"/>
          </w:tcPr>
          <w:p w14:paraId="496E12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1EB62E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1878" w:type="dxa"/>
          </w:tcPr>
          <w:p w14:paraId="4E2662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 (1822,171)</w:t>
            </w:r>
          </w:p>
        </w:tc>
      </w:tr>
    </w:tbl>
    <w:p w14:paraId="6094EB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1AD6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 года на основании приказа НКАП ОКБ-22 совместно с ОКБ-16 и заводом № 22 было предложено выпустить в 1944-м еще три самолета, оборудованных ракетными двигателями РД-1, но из-за отсутствия ЖРД и комплекта необходимых черте</w:t>
      </w:r>
      <w:r w:rsidRPr="00070ADE">
        <w:rPr>
          <w:rFonts w:ascii="Times New Roman" w:hAnsi="Times New Roman"/>
          <w:color w:val="000000" w:themeColor="text1"/>
          <w:sz w:val="16"/>
          <w:szCs w:val="16"/>
        </w:rPr>
        <w:softHyphen/>
        <w:t>жей работу в этом направлении прекратили (11446).</w:t>
      </w:r>
    </w:p>
    <w:p w14:paraId="3CAC7F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B29A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 вышел приказ НК ВМФ N 0193 о проведении гос. испытаний авиационного вооружения крейсера Молотов и испытывали Бе-4 и Спитфайр (2595).</w:t>
      </w:r>
    </w:p>
    <w:p w14:paraId="1ED290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FFF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 Гайдуков предложил Г.М.Маленкову как члену ГКО, курировавшему разработку новых образцов оружия и военной техники, проект постановления ГОКО о расширении работ по реактивному вооружению, предусматривающий, наряду с продолжением деятельности НИИРА и ЦАГИ, также создание в НКБ новой организации - СКБ для отработки и промышленного освоения новых образцов реактивных снарядов и совершенствования ранее созданных, а также организацию на заводе № 733 НКМВ (Компрессор) КБ по ПУ (8633,9).</w:t>
      </w:r>
    </w:p>
    <w:p w14:paraId="73CC1B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3925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 г. член Во</w:t>
      </w:r>
      <w:r w:rsidRPr="00070ADE">
        <w:rPr>
          <w:rFonts w:ascii="Times New Roman" w:hAnsi="Times New Roman"/>
          <w:color w:val="000000" w:themeColor="text1"/>
          <w:sz w:val="16"/>
          <w:szCs w:val="16"/>
        </w:rPr>
        <w:softHyphen/>
        <w:t>енного совета ГМЧ генерал-лейтенант Л.М. Гайдуков представил члену ГКО Г.М. Маленкову, ку</w:t>
      </w:r>
      <w:r w:rsidRPr="00070ADE">
        <w:rPr>
          <w:rFonts w:ascii="Times New Roman" w:hAnsi="Times New Roman"/>
          <w:color w:val="000000" w:themeColor="text1"/>
          <w:sz w:val="16"/>
          <w:szCs w:val="16"/>
        </w:rPr>
        <w:softHyphen/>
        <w:t>рировавшему разработку новых образ</w:t>
      </w:r>
      <w:r w:rsidRPr="00070ADE">
        <w:rPr>
          <w:rFonts w:ascii="Times New Roman" w:hAnsi="Times New Roman"/>
          <w:color w:val="000000" w:themeColor="text1"/>
          <w:sz w:val="16"/>
          <w:szCs w:val="16"/>
        </w:rPr>
        <w:softHyphen/>
        <w:t>цов оружия и военной техники, проект постановления ГКО о расширении ра</w:t>
      </w:r>
      <w:r w:rsidRPr="00070ADE">
        <w:rPr>
          <w:rFonts w:ascii="Times New Roman" w:hAnsi="Times New Roman"/>
          <w:color w:val="000000" w:themeColor="text1"/>
          <w:sz w:val="16"/>
          <w:szCs w:val="16"/>
        </w:rPr>
        <w:softHyphen/>
        <w:t>бот по реактивному вооружению, пре</w:t>
      </w:r>
      <w:r w:rsidRPr="00070ADE">
        <w:rPr>
          <w:rFonts w:ascii="Times New Roman" w:hAnsi="Times New Roman"/>
          <w:color w:val="000000" w:themeColor="text1"/>
          <w:sz w:val="16"/>
          <w:szCs w:val="16"/>
        </w:rPr>
        <w:softHyphen/>
        <w:t>дусматривающего, в том числе, созда</w:t>
      </w:r>
      <w:r w:rsidRPr="00070ADE">
        <w:rPr>
          <w:rFonts w:ascii="Times New Roman" w:hAnsi="Times New Roman"/>
          <w:color w:val="000000" w:themeColor="text1"/>
          <w:sz w:val="16"/>
          <w:szCs w:val="16"/>
        </w:rPr>
        <w:softHyphen/>
        <w:t>ние в Наркомате боеприпасов новой организации — СКБ для отработки и промышленного освоения новых об</w:t>
      </w:r>
      <w:r w:rsidRPr="00070ADE">
        <w:rPr>
          <w:rFonts w:ascii="Times New Roman" w:hAnsi="Times New Roman"/>
          <w:color w:val="000000" w:themeColor="text1"/>
          <w:sz w:val="16"/>
          <w:szCs w:val="16"/>
        </w:rPr>
        <w:softHyphen/>
        <w:t>разцов реактивных снарядов и совер</w:t>
      </w:r>
      <w:r w:rsidRPr="00070ADE">
        <w:rPr>
          <w:rFonts w:ascii="Times New Roman" w:hAnsi="Times New Roman"/>
          <w:color w:val="000000" w:themeColor="text1"/>
          <w:sz w:val="16"/>
          <w:szCs w:val="16"/>
        </w:rPr>
        <w:softHyphen/>
        <w:t>шенствования ранее созданных, а так</w:t>
      </w:r>
      <w:r w:rsidRPr="00070ADE">
        <w:rPr>
          <w:rFonts w:ascii="Times New Roman" w:hAnsi="Times New Roman"/>
          <w:color w:val="000000" w:themeColor="text1"/>
          <w:sz w:val="16"/>
          <w:szCs w:val="16"/>
        </w:rPr>
        <w:softHyphen/>
        <w:t>же организацию КБ по пусковым уста</w:t>
      </w:r>
      <w:r w:rsidRPr="00070ADE">
        <w:rPr>
          <w:rFonts w:ascii="Times New Roman" w:hAnsi="Times New Roman"/>
          <w:color w:val="000000" w:themeColor="text1"/>
          <w:sz w:val="16"/>
          <w:szCs w:val="16"/>
        </w:rPr>
        <w:softHyphen/>
        <w:t>новкам на заводе №733 («Компрессор») Наркомата минометного вооружения. В свою очередь нарком боеприпасов Б.Л. Ванников в октябре 1944 г. подго</w:t>
      </w:r>
      <w:r w:rsidRPr="00070ADE">
        <w:rPr>
          <w:rFonts w:ascii="Times New Roman" w:hAnsi="Times New Roman"/>
          <w:color w:val="000000" w:themeColor="text1"/>
          <w:sz w:val="16"/>
          <w:szCs w:val="16"/>
        </w:rPr>
        <w:softHyphen/>
        <w:t>товил проект постановления о создании в Наркомате боеприпасов ОКБ-3 для разработки реактивного вооружения, предусматривавшего назначение его руководителем Ю.А. Победоносцева.</w:t>
      </w:r>
    </w:p>
    <w:p w14:paraId="4365D3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 своей стороны нарком авиаци</w:t>
      </w:r>
      <w:r w:rsidRPr="00070ADE">
        <w:rPr>
          <w:rFonts w:ascii="Times New Roman" w:hAnsi="Times New Roman"/>
          <w:color w:val="000000" w:themeColor="text1"/>
          <w:sz w:val="16"/>
          <w:szCs w:val="16"/>
        </w:rPr>
        <w:softHyphen/>
        <w:t>онной промышленности А.И. Шахурин обратился к Г.М. Маленкову с предло</w:t>
      </w:r>
      <w:r w:rsidRPr="00070ADE">
        <w:rPr>
          <w:rFonts w:ascii="Times New Roman" w:hAnsi="Times New Roman"/>
          <w:color w:val="000000" w:themeColor="text1"/>
          <w:sz w:val="16"/>
          <w:szCs w:val="16"/>
        </w:rPr>
        <w:softHyphen/>
        <w:t>жением организовать на территории бывшего авиационного завода №482 в районе поселка Владыкино, располо</w:t>
      </w:r>
      <w:r w:rsidRPr="00070ADE">
        <w:rPr>
          <w:rFonts w:ascii="Times New Roman" w:hAnsi="Times New Roman"/>
          <w:color w:val="000000" w:themeColor="text1"/>
          <w:sz w:val="16"/>
          <w:szCs w:val="16"/>
        </w:rPr>
        <w:softHyphen/>
        <w:t>женного недалеко от Всесоюзной сель</w:t>
      </w:r>
      <w:r w:rsidRPr="00070ADE">
        <w:rPr>
          <w:rFonts w:ascii="Times New Roman" w:hAnsi="Times New Roman"/>
          <w:color w:val="000000" w:themeColor="text1"/>
          <w:sz w:val="16"/>
          <w:szCs w:val="16"/>
        </w:rPr>
        <w:softHyphen/>
        <w:t>скохозяйственной выставки за преде</w:t>
      </w:r>
      <w:r w:rsidRPr="00070ADE">
        <w:rPr>
          <w:rFonts w:ascii="Times New Roman" w:hAnsi="Times New Roman"/>
          <w:color w:val="000000" w:themeColor="text1"/>
          <w:sz w:val="16"/>
          <w:szCs w:val="16"/>
        </w:rPr>
        <w:softHyphen/>
        <w:t>лами тогдашних границ Москвы, Науч</w:t>
      </w:r>
      <w:r w:rsidRPr="00070ADE">
        <w:rPr>
          <w:rFonts w:ascii="Times New Roman" w:hAnsi="Times New Roman"/>
          <w:color w:val="000000" w:themeColor="text1"/>
          <w:sz w:val="16"/>
          <w:szCs w:val="16"/>
        </w:rPr>
        <w:softHyphen/>
        <w:t>но-исследовательский институт реак</w:t>
      </w:r>
      <w:r w:rsidRPr="00070ADE">
        <w:rPr>
          <w:rFonts w:ascii="Times New Roman" w:hAnsi="Times New Roman"/>
          <w:color w:val="000000" w:themeColor="text1"/>
          <w:sz w:val="16"/>
          <w:szCs w:val="16"/>
        </w:rPr>
        <w:softHyphen/>
        <w:t>тивного вооружения под руководством Ю.А. Победоносцева (11090).</w:t>
      </w:r>
    </w:p>
    <w:p w14:paraId="345D94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0E2E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 г. для развития работ по ГТД при НИИ-1 было организовано СКБ, гл. конструктором утвержден A.M. Люлька (одновременно- начальник отдела авиационных ТРД института), группа которого со всем заделом и оборудованием бьгла переведена из ЦИАМ. Работы по ТРД С-18 на базе довоенного проекта РД-1. В 05.1944 г. принято решение о постройке опытной серии из 5 двигателей на заводе № 165, отданом в распоряжение СКБ. Изготовление части узлов поручено заводу № 45. С-18 создан в 1945 г., затем его летный вариант - TP-1.</w:t>
      </w:r>
    </w:p>
    <w:p w14:paraId="0C15F6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МАП № 182сс от 30.03.1946 г. для расширения работ СКБ переведено на самостоятельную базу- завод № 165 и получило название ОКБ-165 МАП.</w:t>
      </w:r>
    </w:p>
    <w:p w14:paraId="41A861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(03.1944-03.1946 г.)- A.M. Люлька.</w:t>
      </w:r>
    </w:p>
    <w:p w14:paraId="73A48FA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конструктора (1946 г.)- И.Ф. Козлов.</w:t>
      </w:r>
    </w:p>
    <w:p w14:paraId="0B27DC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бригад: компрессоров (1944 г.)- Р-А. Майков; испытательной- С.П. Кувшинников (11982).</w:t>
      </w:r>
    </w:p>
    <w:p w14:paraId="133485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0E5E9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 года вышел Приказ Наркома авиапромышленности А.И.Шахурина «О работах по дальнейшему усовершенствованию реактивного двигателя РД-1 на заводе № 16» от (которым занимались в «шараге» заключенные Глушко В.П. и С.П.Королев и др.) (11331).</w:t>
      </w:r>
    </w:p>
    <w:p w14:paraId="6F2CC8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40AA9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 Нач. 12 ГУ НКАП Васильев подготовлен расчет потребностей в радиоаппаратуре на 2-й кв. 1944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158"/>
        <w:gridCol w:w="810"/>
        <w:gridCol w:w="603"/>
        <w:gridCol w:w="1197"/>
        <w:gridCol w:w="750"/>
        <w:gridCol w:w="750"/>
        <w:gridCol w:w="750"/>
        <w:gridCol w:w="750"/>
        <w:gridCol w:w="750"/>
        <w:gridCol w:w="750"/>
      </w:tblGrid>
      <w:tr w:rsidR="004D4663" w:rsidRPr="00070ADE" w14:paraId="4C7F0A3D" w14:textId="77777777">
        <w:tc>
          <w:tcPr>
            <w:tcW w:w="4158" w:type="dxa"/>
            <w:tcBorders>
              <w:top w:val="single" w:sz="12" w:space="0" w:color="auto"/>
            </w:tcBorders>
          </w:tcPr>
          <w:p w14:paraId="481BF9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w:t>
            </w:r>
          </w:p>
        </w:tc>
        <w:tc>
          <w:tcPr>
            <w:tcW w:w="810" w:type="dxa"/>
            <w:tcBorders>
              <w:top w:val="single" w:sz="12" w:space="0" w:color="auto"/>
            </w:tcBorders>
          </w:tcPr>
          <w:p w14:paraId="743927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w:t>
            </w:r>
          </w:p>
        </w:tc>
        <w:tc>
          <w:tcPr>
            <w:tcW w:w="603" w:type="dxa"/>
            <w:tcBorders>
              <w:top w:val="single" w:sz="12" w:space="0" w:color="auto"/>
            </w:tcBorders>
          </w:tcPr>
          <w:p w14:paraId="4FADD3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Един. Измер.</w:t>
            </w:r>
          </w:p>
        </w:tc>
        <w:tc>
          <w:tcPr>
            <w:tcW w:w="1197" w:type="dxa"/>
            <w:tcBorders>
              <w:top w:val="single" w:sz="12" w:space="0" w:color="auto"/>
            </w:tcBorders>
          </w:tcPr>
          <w:p w14:paraId="5A990DD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самолета</w:t>
            </w:r>
          </w:p>
        </w:tc>
        <w:tc>
          <w:tcPr>
            <w:tcW w:w="750" w:type="dxa"/>
            <w:tcBorders>
              <w:top w:val="single" w:sz="12" w:space="0" w:color="auto"/>
            </w:tcBorders>
          </w:tcPr>
          <w:p w14:paraId="3CB551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Расход на самолет</w:t>
            </w:r>
          </w:p>
        </w:tc>
        <w:tc>
          <w:tcPr>
            <w:tcW w:w="750" w:type="dxa"/>
            <w:tcBorders>
              <w:top w:val="single" w:sz="12" w:space="0" w:color="auto"/>
            </w:tcBorders>
          </w:tcPr>
          <w:p w14:paraId="12FC6FB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Потребность на выпуск</w:t>
            </w:r>
          </w:p>
        </w:tc>
        <w:tc>
          <w:tcPr>
            <w:tcW w:w="750" w:type="dxa"/>
            <w:tcBorders>
              <w:top w:val="single" w:sz="12" w:space="0" w:color="auto"/>
            </w:tcBorders>
          </w:tcPr>
          <w:p w14:paraId="795634D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увеличение задела</w:t>
            </w:r>
          </w:p>
        </w:tc>
        <w:tc>
          <w:tcPr>
            <w:tcW w:w="750" w:type="dxa"/>
            <w:tcBorders>
              <w:top w:val="single" w:sz="12" w:space="0" w:color="auto"/>
            </w:tcBorders>
          </w:tcPr>
          <w:p w14:paraId="7B35FDE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500" w:type="dxa"/>
            <w:gridSpan w:val="2"/>
            <w:tcBorders>
              <w:top w:val="single" w:sz="12" w:space="0" w:color="auto"/>
            </w:tcBorders>
          </w:tcPr>
          <w:p w14:paraId="6159C8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Заявка</w:t>
            </w:r>
          </w:p>
        </w:tc>
      </w:tr>
      <w:tr w:rsidR="004D4663" w:rsidRPr="00070ADE" w14:paraId="7F617F3A" w14:textId="77777777">
        <w:tc>
          <w:tcPr>
            <w:tcW w:w="4158" w:type="dxa"/>
          </w:tcPr>
          <w:p w14:paraId="40B898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4C25E7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2FAF39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7045578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2F3BA5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1E3C354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06D458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1B656E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1D3A86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2-й кв.</w:t>
            </w:r>
          </w:p>
        </w:tc>
        <w:tc>
          <w:tcPr>
            <w:tcW w:w="750" w:type="dxa"/>
          </w:tcPr>
          <w:p w14:paraId="6944619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т.ч. апрель</w:t>
            </w:r>
          </w:p>
        </w:tc>
      </w:tr>
      <w:tr w:rsidR="004D4663" w:rsidRPr="00070ADE" w14:paraId="4CBF95B1" w14:textId="77777777">
        <w:tc>
          <w:tcPr>
            <w:tcW w:w="4158" w:type="dxa"/>
          </w:tcPr>
          <w:p w14:paraId="5A5AC0F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Радиостанция с приемником УС-1</w:t>
            </w:r>
          </w:p>
        </w:tc>
        <w:tc>
          <w:tcPr>
            <w:tcW w:w="810" w:type="dxa"/>
          </w:tcPr>
          <w:p w14:paraId="66A8B4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РСБ-3б</w:t>
            </w:r>
          </w:p>
        </w:tc>
        <w:tc>
          <w:tcPr>
            <w:tcW w:w="603" w:type="dxa"/>
          </w:tcPr>
          <w:p w14:paraId="71230D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68D9A6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Ту-2</w:t>
            </w:r>
          </w:p>
        </w:tc>
        <w:tc>
          <w:tcPr>
            <w:tcW w:w="750" w:type="dxa"/>
          </w:tcPr>
          <w:p w14:paraId="00D708E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547E2B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tc>
        <w:tc>
          <w:tcPr>
            <w:tcW w:w="750" w:type="dxa"/>
          </w:tcPr>
          <w:p w14:paraId="074BA8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7C7A06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tc>
        <w:tc>
          <w:tcPr>
            <w:tcW w:w="750" w:type="dxa"/>
          </w:tcPr>
          <w:p w14:paraId="70640D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4957EA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FC98332" w14:textId="77777777">
        <w:tc>
          <w:tcPr>
            <w:tcW w:w="4158" w:type="dxa"/>
          </w:tcPr>
          <w:p w14:paraId="6CDE7C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2E693B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160DF2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301AE5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Ил-4</w:t>
            </w:r>
          </w:p>
        </w:tc>
        <w:tc>
          <w:tcPr>
            <w:tcW w:w="750" w:type="dxa"/>
          </w:tcPr>
          <w:p w14:paraId="12E7AE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5D2F5D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w:t>
            </w:r>
          </w:p>
        </w:tc>
        <w:tc>
          <w:tcPr>
            <w:tcW w:w="750" w:type="dxa"/>
          </w:tcPr>
          <w:p w14:paraId="7D30F35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59F3A3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w:t>
            </w:r>
          </w:p>
        </w:tc>
        <w:tc>
          <w:tcPr>
            <w:tcW w:w="750" w:type="dxa"/>
          </w:tcPr>
          <w:p w14:paraId="72D9F1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2E1BE9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6762360" w14:textId="77777777">
        <w:tc>
          <w:tcPr>
            <w:tcW w:w="4158" w:type="dxa"/>
          </w:tcPr>
          <w:p w14:paraId="70BB1A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4FB9F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542DD7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7DBA087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 корр.</w:t>
            </w:r>
          </w:p>
        </w:tc>
        <w:tc>
          <w:tcPr>
            <w:tcW w:w="750" w:type="dxa"/>
          </w:tcPr>
          <w:p w14:paraId="64E457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270E52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tc>
        <w:tc>
          <w:tcPr>
            <w:tcW w:w="750" w:type="dxa"/>
          </w:tcPr>
          <w:p w14:paraId="6B7C06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101012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tc>
        <w:tc>
          <w:tcPr>
            <w:tcW w:w="750" w:type="dxa"/>
          </w:tcPr>
          <w:p w14:paraId="53ACAA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221479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9FECF1A" w14:textId="77777777">
        <w:tc>
          <w:tcPr>
            <w:tcW w:w="4158" w:type="dxa"/>
          </w:tcPr>
          <w:p w14:paraId="7D37E0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3A506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4CFCE0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1C4EB1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w:t>
            </w:r>
          </w:p>
        </w:tc>
        <w:tc>
          <w:tcPr>
            <w:tcW w:w="750" w:type="dxa"/>
          </w:tcPr>
          <w:p w14:paraId="11FD6D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425B98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tc>
        <w:tc>
          <w:tcPr>
            <w:tcW w:w="750" w:type="dxa"/>
          </w:tcPr>
          <w:p w14:paraId="4F03F47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65C6F43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tc>
        <w:tc>
          <w:tcPr>
            <w:tcW w:w="750" w:type="dxa"/>
          </w:tcPr>
          <w:p w14:paraId="1C94B5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0FF1CA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5D3E6C7" w14:textId="77777777">
        <w:tc>
          <w:tcPr>
            <w:tcW w:w="4158" w:type="dxa"/>
          </w:tcPr>
          <w:p w14:paraId="4F5BF9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167040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6B64513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028D817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Ер-2</w:t>
            </w:r>
          </w:p>
        </w:tc>
        <w:tc>
          <w:tcPr>
            <w:tcW w:w="750" w:type="dxa"/>
          </w:tcPr>
          <w:p w14:paraId="09AD09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4E6386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tc>
        <w:tc>
          <w:tcPr>
            <w:tcW w:w="750" w:type="dxa"/>
          </w:tcPr>
          <w:p w14:paraId="5B3CD0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471078E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tc>
        <w:tc>
          <w:tcPr>
            <w:tcW w:w="750" w:type="dxa"/>
          </w:tcPr>
          <w:p w14:paraId="5DFA5E8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690A29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7D9471F" w14:textId="77777777">
        <w:tc>
          <w:tcPr>
            <w:tcW w:w="4158" w:type="dxa"/>
          </w:tcPr>
          <w:p w14:paraId="6D492A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2AFD96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5D7FEA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0F41C4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6921A6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4B0F0D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1400</w:t>
            </w:r>
          </w:p>
        </w:tc>
        <w:tc>
          <w:tcPr>
            <w:tcW w:w="750" w:type="dxa"/>
          </w:tcPr>
          <w:p w14:paraId="1B97E4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2D3129B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1400</w:t>
            </w:r>
          </w:p>
        </w:tc>
        <w:tc>
          <w:tcPr>
            <w:tcW w:w="750" w:type="dxa"/>
          </w:tcPr>
          <w:p w14:paraId="5219655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3352502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CEA8C45" w14:textId="77777777">
        <w:tc>
          <w:tcPr>
            <w:tcW w:w="4158" w:type="dxa"/>
          </w:tcPr>
          <w:p w14:paraId="658A6C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том числе</w:t>
            </w:r>
          </w:p>
        </w:tc>
        <w:tc>
          <w:tcPr>
            <w:tcW w:w="810" w:type="dxa"/>
          </w:tcPr>
          <w:p w14:paraId="0A70FD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РСБ-Мб</w:t>
            </w:r>
          </w:p>
        </w:tc>
        <w:tc>
          <w:tcPr>
            <w:tcW w:w="603" w:type="dxa"/>
          </w:tcPr>
          <w:p w14:paraId="2BC988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6D939E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Бе-4</w:t>
            </w:r>
          </w:p>
        </w:tc>
        <w:tc>
          <w:tcPr>
            <w:tcW w:w="750" w:type="dxa"/>
          </w:tcPr>
          <w:p w14:paraId="53460A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41154B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750" w:type="dxa"/>
          </w:tcPr>
          <w:p w14:paraId="690C71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tc>
        <w:tc>
          <w:tcPr>
            <w:tcW w:w="750" w:type="dxa"/>
          </w:tcPr>
          <w:p w14:paraId="1D6AD3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c>
          <w:tcPr>
            <w:tcW w:w="750" w:type="dxa"/>
          </w:tcPr>
          <w:p w14:paraId="2642AD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c>
          <w:tcPr>
            <w:tcW w:w="750" w:type="dxa"/>
          </w:tcPr>
          <w:p w14:paraId="67135D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r>
      <w:tr w:rsidR="004D4663" w:rsidRPr="00070ADE" w14:paraId="050CD733" w14:textId="77777777">
        <w:tc>
          <w:tcPr>
            <w:tcW w:w="4158" w:type="dxa"/>
          </w:tcPr>
          <w:p w14:paraId="7D1415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Радиостанция с приемником УС-1</w:t>
            </w:r>
          </w:p>
        </w:tc>
        <w:tc>
          <w:tcPr>
            <w:tcW w:w="810" w:type="dxa"/>
          </w:tcPr>
          <w:p w14:paraId="069322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РСР-2</w:t>
            </w:r>
          </w:p>
        </w:tc>
        <w:tc>
          <w:tcPr>
            <w:tcW w:w="603" w:type="dxa"/>
          </w:tcPr>
          <w:p w14:paraId="55A9A61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6854FD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Ли-2</w:t>
            </w:r>
          </w:p>
        </w:tc>
        <w:tc>
          <w:tcPr>
            <w:tcW w:w="750" w:type="dxa"/>
          </w:tcPr>
          <w:p w14:paraId="1F9A2F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7926465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155</w:t>
            </w:r>
          </w:p>
        </w:tc>
        <w:tc>
          <w:tcPr>
            <w:tcW w:w="750" w:type="dxa"/>
          </w:tcPr>
          <w:p w14:paraId="4C6477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45458C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155</w:t>
            </w:r>
          </w:p>
        </w:tc>
        <w:tc>
          <w:tcPr>
            <w:tcW w:w="750" w:type="dxa"/>
          </w:tcPr>
          <w:p w14:paraId="182BDB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658D9E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525ECB0" w14:textId="77777777">
        <w:tc>
          <w:tcPr>
            <w:tcW w:w="4158" w:type="dxa"/>
          </w:tcPr>
          <w:p w14:paraId="58A861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EA49DD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1C4723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7030B25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Ще-2</w:t>
            </w:r>
          </w:p>
        </w:tc>
        <w:tc>
          <w:tcPr>
            <w:tcW w:w="750" w:type="dxa"/>
          </w:tcPr>
          <w:p w14:paraId="17375FB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425EF5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tc>
        <w:tc>
          <w:tcPr>
            <w:tcW w:w="750" w:type="dxa"/>
          </w:tcPr>
          <w:p w14:paraId="4FF44E7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6A7291A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tc>
        <w:tc>
          <w:tcPr>
            <w:tcW w:w="750" w:type="dxa"/>
          </w:tcPr>
          <w:p w14:paraId="484B9C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17BAD2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D86CE14" w14:textId="77777777">
        <w:tc>
          <w:tcPr>
            <w:tcW w:w="4158" w:type="dxa"/>
          </w:tcPr>
          <w:p w14:paraId="4AF61C2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EA262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16B6190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62EA52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5260144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4AF749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190</w:t>
            </w:r>
          </w:p>
        </w:tc>
        <w:tc>
          <w:tcPr>
            <w:tcW w:w="750" w:type="dxa"/>
          </w:tcPr>
          <w:p w14:paraId="0BD34A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750" w:type="dxa"/>
          </w:tcPr>
          <w:p w14:paraId="43E458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750" w:type="dxa"/>
          </w:tcPr>
          <w:p w14:paraId="2A2483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750" w:type="dxa"/>
          </w:tcPr>
          <w:p w14:paraId="55E858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tc>
      </w:tr>
      <w:tr w:rsidR="004D4663" w:rsidRPr="00070ADE" w14:paraId="664E0374" w14:textId="77777777">
        <w:tc>
          <w:tcPr>
            <w:tcW w:w="4158" w:type="dxa"/>
          </w:tcPr>
          <w:p w14:paraId="479CA9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Радиопередатчик</w:t>
            </w:r>
          </w:p>
        </w:tc>
        <w:tc>
          <w:tcPr>
            <w:tcW w:w="810" w:type="dxa"/>
          </w:tcPr>
          <w:p w14:paraId="6021BA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РСИ-4</w:t>
            </w:r>
          </w:p>
        </w:tc>
        <w:tc>
          <w:tcPr>
            <w:tcW w:w="603" w:type="dxa"/>
          </w:tcPr>
          <w:p w14:paraId="08EB5C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483B90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w:t>
            </w:r>
          </w:p>
        </w:tc>
        <w:tc>
          <w:tcPr>
            <w:tcW w:w="750" w:type="dxa"/>
          </w:tcPr>
          <w:p w14:paraId="3014DF7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2BCC8DE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1600</w:t>
            </w:r>
          </w:p>
        </w:tc>
        <w:tc>
          <w:tcPr>
            <w:tcW w:w="750" w:type="dxa"/>
          </w:tcPr>
          <w:p w14:paraId="616D86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750" w:type="dxa"/>
          </w:tcPr>
          <w:p w14:paraId="41CBE3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1800</w:t>
            </w:r>
          </w:p>
        </w:tc>
        <w:tc>
          <w:tcPr>
            <w:tcW w:w="750" w:type="dxa"/>
          </w:tcPr>
          <w:p w14:paraId="45DC3F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2D77C1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1C07A4F" w14:textId="77777777">
        <w:tc>
          <w:tcPr>
            <w:tcW w:w="4158" w:type="dxa"/>
          </w:tcPr>
          <w:p w14:paraId="59E771C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1F04A3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1009040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44EBB5D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Як-7 и Як-9</w:t>
            </w:r>
          </w:p>
        </w:tc>
        <w:tc>
          <w:tcPr>
            <w:tcW w:w="750" w:type="dxa"/>
          </w:tcPr>
          <w:p w14:paraId="21ABCF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573B85E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1980</w:t>
            </w:r>
          </w:p>
        </w:tc>
        <w:tc>
          <w:tcPr>
            <w:tcW w:w="750" w:type="dxa"/>
          </w:tcPr>
          <w:p w14:paraId="218D923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750" w:type="dxa"/>
          </w:tcPr>
          <w:p w14:paraId="4F3010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2180</w:t>
            </w:r>
          </w:p>
        </w:tc>
        <w:tc>
          <w:tcPr>
            <w:tcW w:w="750" w:type="dxa"/>
          </w:tcPr>
          <w:p w14:paraId="01F1AB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2F4128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63C0835" w14:textId="77777777">
        <w:tc>
          <w:tcPr>
            <w:tcW w:w="4158" w:type="dxa"/>
          </w:tcPr>
          <w:p w14:paraId="002127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12E31A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2D8E9D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53458D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Як-3</w:t>
            </w:r>
          </w:p>
        </w:tc>
        <w:tc>
          <w:tcPr>
            <w:tcW w:w="750" w:type="dxa"/>
          </w:tcPr>
          <w:p w14:paraId="2E466BB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5E9E257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430</w:t>
            </w:r>
          </w:p>
        </w:tc>
        <w:tc>
          <w:tcPr>
            <w:tcW w:w="750" w:type="dxa"/>
          </w:tcPr>
          <w:p w14:paraId="740F26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750" w:type="dxa"/>
          </w:tcPr>
          <w:p w14:paraId="0435D3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530</w:t>
            </w:r>
          </w:p>
        </w:tc>
        <w:tc>
          <w:tcPr>
            <w:tcW w:w="750" w:type="dxa"/>
          </w:tcPr>
          <w:p w14:paraId="200521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7FF287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C34DFF9" w14:textId="77777777">
        <w:tc>
          <w:tcPr>
            <w:tcW w:w="4158" w:type="dxa"/>
          </w:tcPr>
          <w:p w14:paraId="18139E4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3AB55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1EF5E5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5A6362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Як-1</w:t>
            </w:r>
          </w:p>
        </w:tc>
        <w:tc>
          <w:tcPr>
            <w:tcW w:w="750" w:type="dxa"/>
          </w:tcPr>
          <w:p w14:paraId="31CE4C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5261BA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750" w:type="dxa"/>
          </w:tcPr>
          <w:p w14:paraId="0A325AA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48CC7D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750" w:type="dxa"/>
          </w:tcPr>
          <w:p w14:paraId="68011A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0D6AFB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B52B025" w14:textId="77777777">
        <w:tc>
          <w:tcPr>
            <w:tcW w:w="4158" w:type="dxa"/>
          </w:tcPr>
          <w:p w14:paraId="73812F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E0CAA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06ED0C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4EFB143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ЛаГГ-3</w:t>
            </w:r>
          </w:p>
        </w:tc>
        <w:tc>
          <w:tcPr>
            <w:tcW w:w="750" w:type="dxa"/>
          </w:tcPr>
          <w:p w14:paraId="11445C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068D1E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w:t>
            </w:r>
          </w:p>
        </w:tc>
        <w:tc>
          <w:tcPr>
            <w:tcW w:w="750" w:type="dxa"/>
          </w:tcPr>
          <w:p w14:paraId="6EDE50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61CF8C2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w:t>
            </w:r>
          </w:p>
        </w:tc>
        <w:tc>
          <w:tcPr>
            <w:tcW w:w="750" w:type="dxa"/>
          </w:tcPr>
          <w:p w14:paraId="7240F5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410802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6F2DEE3" w14:textId="77777777">
        <w:tc>
          <w:tcPr>
            <w:tcW w:w="4158" w:type="dxa"/>
          </w:tcPr>
          <w:p w14:paraId="5E3C68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E7D7C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3F0AE44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1FE3DD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w:t>
            </w:r>
          </w:p>
        </w:tc>
        <w:tc>
          <w:tcPr>
            <w:tcW w:w="750" w:type="dxa"/>
          </w:tcPr>
          <w:p w14:paraId="03B50D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tc>
        <w:tc>
          <w:tcPr>
            <w:tcW w:w="750" w:type="dxa"/>
          </w:tcPr>
          <w:p w14:paraId="53E61C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1535</w:t>
            </w:r>
          </w:p>
        </w:tc>
        <w:tc>
          <w:tcPr>
            <w:tcW w:w="750" w:type="dxa"/>
          </w:tcPr>
          <w:p w14:paraId="3DE1C9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285</w:t>
            </w:r>
          </w:p>
        </w:tc>
        <w:tc>
          <w:tcPr>
            <w:tcW w:w="750" w:type="dxa"/>
          </w:tcPr>
          <w:p w14:paraId="19FB240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1820</w:t>
            </w:r>
          </w:p>
        </w:tc>
        <w:tc>
          <w:tcPr>
            <w:tcW w:w="750" w:type="dxa"/>
          </w:tcPr>
          <w:p w14:paraId="52A166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14F931A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139F0A3" w14:textId="77777777">
        <w:tc>
          <w:tcPr>
            <w:tcW w:w="4158" w:type="dxa"/>
          </w:tcPr>
          <w:p w14:paraId="1E5D70A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1B857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1810A4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518DAC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У-2 корр.</w:t>
            </w:r>
          </w:p>
        </w:tc>
        <w:tc>
          <w:tcPr>
            <w:tcW w:w="750" w:type="dxa"/>
          </w:tcPr>
          <w:p w14:paraId="430C60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4CE6B8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750" w:type="dxa"/>
          </w:tcPr>
          <w:p w14:paraId="4A2EA7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750" w:type="dxa"/>
          </w:tcPr>
          <w:p w14:paraId="7AE94E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tc>
        <w:tc>
          <w:tcPr>
            <w:tcW w:w="750" w:type="dxa"/>
          </w:tcPr>
          <w:p w14:paraId="6369E0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6FDF367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5A3B75B" w14:textId="77777777">
        <w:tc>
          <w:tcPr>
            <w:tcW w:w="4158" w:type="dxa"/>
          </w:tcPr>
          <w:p w14:paraId="06D183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2E9D11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5AA48B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75839F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5583BE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3A23461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6615</w:t>
            </w:r>
          </w:p>
        </w:tc>
        <w:tc>
          <w:tcPr>
            <w:tcW w:w="750" w:type="dxa"/>
          </w:tcPr>
          <w:p w14:paraId="764401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885</w:t>
            </w:r>
          </w:p>
        </w:tc>
        <w:tc>
          <w:tcPr>
            <w:tcW w:w="750" w:type="dxa"/>
          </w:tcPr>
          <w:p w14:paraId="29EEC1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7500</w:t>
            </w:r>
          </w:p>
        </w:tc>
        <w:tc>
          <w:tcPr>
            <w:tcW w:w="750" w:type="dxa"/>
          </w:tcPr>
          <w:p w14:paraId="4774642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7500</w:t>
            </w:r>
          </w:p>
        </w:tc>
        <w:tc>
          <w:tcPr>
            <w:tcW w:w="750" w:type="dxa"/>
          </w:tcPr>
          <w:p w14:paraId="573349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2500</w:t>
            </w:r>
          </w:p>
        </w:tc>
      </w:tr>
      <w:tr w:rsidR="004D4663" w:rsidRPr="00070ADE" w14:paraId="1194C72C" w14:textId="77777777">
        <w:tc>
          <w:tcPr>
            <w:tcW w:w="4158" w:type="dxa"/>
          </w:tcPr>
          <w:p w14:paraId="54BE15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т.ч. модернизированных</w:t>
            </w:r>
          </w:p>
        </w:tc>
        <w:tc>
          <w:tcPr>
            <w:tcW w:w="810" w:type="dxa"/>
          </w:tcPr>
          <w:p w14:paraId="1B4B71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384061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18E083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78158A3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6D6498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474D9A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07382D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114397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2500</w:t>
            </w:r>
          </w:p>
        </w:tc>
        <w:tc>
          <w:tcPr>
            <w:tcW w:w="750" w:type="dxa"/>
          </w:tcPr>
          <w:p w14:paraId="692A29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r>
      <w:tr w:rsidR="004D4663" w:rsidRPr="00070ADE" w14:paraId="7C12D0C2" w14:textId="77777777">
        <w:tc>
          <w:tcPr>
            <w:tcW w:w="4158" w:type="dxa"/>
          </w:tcPr>
          <w:p w14:paraId="13A9AC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Радиополукомпас</w:t>
            </w:r>
          </w:p>
        </w:tc>
        <w:tc>
          <w:tcPr>
            <w:tcW w:w="810" w:type="dxa"/>
          </w:tcPr>
          <w:p w14:paraId="6F3F99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РПК-10</w:t>
            </w:r>
          </w:p>
        </w:tc>
        <w:tc>
          <w:tcPr>
            <w:tcW w:w="603" w:type="dxa"/>
          </w:tcPr>
          <w:p w14:paraId="75DEC1D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7DBE36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w:t>
            </w:r>
          </w:p>
        </w:tc>
        <w:tc>
          <w:tcPr>
            <w:tcW w:w="750" w:type="dxa"/>
          </w:tcPr>
          <w:p w14:paraId="054877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tc>
        <w:tc>
          <w:tcPr>
            <w:tcW w:w="750" w:type="dxa"/>
          </w:tcPr>
          <w:p w14:paraId="482FFC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1535</w:t>
            </w:r>
          </w:p>
        </w:tc>
        <w:tc>
          <w:tcPr>
            <w:tcW w:w="750" w:type="dxa"/>
          </w:tcPr>
          <w:p w14:paraId="7407E08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285</w:t>
            </w:r>
          </w:p>
        </w:tc>
        <w:tc>
          <w:tcPr>
            <w:tcW w:w="750" w:type="dxa"/>
          </w:tcPr>
          <w:p w14:paraId="6D3D643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1820</w:t>
            </w:r>
          </w:p>
        </w:tc>
        <w:tc>
          <w:tcPr>
            <w:tcW w:w="750" w:type="dxa"/>
          </w:tcPr>
          <w:p w14:paraId="673BB0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77F138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3F00C81" w14:textId="77777777">
        <w:tc>
          <w:tcPr>
            <w:tcW w:w="4158" w:type="dxa"/>
          </w:tcPr>
          <w:p w14:paraId="78DF9F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5F244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2A406A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0438D9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ПВО</w:t>
            </w:r>
          </w:p>
        </w:tc>
        <w:tc>
          <w:tcPr>
            <w:tcW w:w="750" w:type="dxa"/>
          </w:tcPr>
          <w:p w14:paraId="1409D6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587AFF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360</w:t>
            </w:r>
          </w:p>
        </w:tc>
        <w:tc>
          <w:tcPr>
            <w:tcW w:w="750" w:type="dxa"/>
          </w:tcPr>
          <w:p w14:paraId="01B35E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594582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360</w:t>
            </w:r>
          </w:p>
        </w:tc>
        <w:tc>
          <w:tcPr>
            <w:tcW w:w="750" w:type="dxa"/>
          </w:tcPr>
          <w:p w14:paraId="5A9DD1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738798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38F9EB2" w14:textId="77777777">
        <w:tc>
          <w:tcPr>
            <w:tcW w:w="4158" w:type="dxa"/>
          </w:tcPr>
          <w:p w14:paraId="1B1C889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0B170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223CC34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101BCB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 корр.</w:t>
            </w:r>
          </w:p>
        </w:tc>
        <w:tc>
          <w:tcPr>
            <w:tcW w:w="750" w:type="dxa"/>
          </w:tcPr>
          <w:p w14:paraId="155869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7BCD3C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tc>
        <w:tc>
          <w:tcPr>
            <w:tcW w:w="750" w:type="dxa"/>
          </w:tcPr>
          <w:p w14:paraId="0B8DCF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5A5E30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tc>
        <w:tc>
          <w:tcPr>
            <w:tcW w:w="750" w:type="dxa"/>
          </w:tcPr>
          <w:p w14:paraId="6A739D2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7060FB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6BCB2DF" w14:textId="77777777">
        <w:tc>
          <w:tcPr>
            <w:tcW w:w="4158" w:type="dxa"/>
          </w:tcPr>
          <w:p w14:paraId="47C7EE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C025F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6227C0F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2A22E6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Ту-2</w:t>
            </w:r>
          </w:p>
        </w:tc>
        <w:tc>
          <w:tcPr>
            <w:tcW w:w="750" w:type="dxa"/>
          </w:tcPr>
          <w:p w14:paraId="17E51E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4BCBDE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tc>
        <w:tc>
          <w:tcPr>
            <w:tcW w:w="750" w:type="dxa"/>
          </w:tcPr>
          <w:p w14:paraId="6725F3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750" w:type="dxa"/>
          </w:tcPr>
          <w:p w14:paraId="360BE5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145</w:t>
            </w:r>
          </w:p>
        </w:tc>
        <w:tc>
          <w:tcPr>
            <w:tcW w:w="750" w:type="dxa"/>
          </w:tcPr>
          <w:p w14:paraId="016E4D8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7FA061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E08C13F" w14:textId="77777777">
        <w:tc>
          <w:tcPr>
            <w:tcW w:w="4158" w:type="dxa"/>
          </w:tcPr>
          <w:p w14:paraId="5026EA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010799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131585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3BB7EB5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19CB53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284176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2090</w:t>
            </w:r>
          </w:p>
        </w:tc>
        <w:tc>
          <w:tcPr>
            <w:tcW w:w="750" w:type="dxa"/>
          </w:tcPr>
          <w:p w14:paraId="725C9E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310</w:t>
            </w:r>
          </w:p>
        </w:tc>
        <w:tc>
          <w:tcPr>
            <w:tcW w:w="750" w:type="dxa"/>
          </w:tcPr>
          <w:p w14:paraId="662A69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2400</w:t>
            </w:r>
          </w:p>
        </w:tc>
        <w:tc>
          <w:tcPr>
            <w:tcW w:w="750" w:type="dxa"/>
          </w:tcPr>
          <w:p w14:paraId="04287D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2400</w:t>
            </w:r>
          </w:p>
        </w:tc>
        <w:tc>
          <w:tcPr>
            <w:tcW w:w="750" w:type="dxa"/>
          </w:tcPr>
          <w:p w14:paraId="2052A8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w:t>
            </w:r>
          </w:p>
        </w:tc>
      </w:tr>
      <w:tr w:rsidR="004D4663" w:rsidRPr="00070ADE" w14:paraId="3C05E60D" w14:textId="77777777">
        <w:tc>
          <w:tcPr>
            <w:tcW w:w="4158" w:type="dxa"/>
          </w:tcPr>
          <w:p w14:paraId="50EA5D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Радиополукомпас</w:t>
            </w:r>
          </w:p>
        </w:tc>
        <w:tc>
          <w:tcPr>
            <w:tcW w:w="810" w:type="dxa"/>
          </w:tcPr>
          <w:p w14:paraId="4A1BCD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РПКС-10</w:t>
            </w:r>
          </w:p>
        </w:tc>
        <w:tc>
          <w:tcPr>
            <w:tcW w:w="603" w:type="dxa"/>
          </w:tcPr>
          <w:p w14:paraId="27A54C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0B72E74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w:t>
            </w:r>
          </w:p>
        </w:tc>
        <w:tc>
          <w:tcPr>
            <w:tcW w:w="750" w:type="dxa"/>
          </w:tcPr>
          <w:p w14:paraId="521EEF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07D5D1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tc>
        <w:tc>
          <w:tcPr>
            <w:tcW w:w="750" w:type="dxa"/>
          </w:tcPr>
          <w:p w14:paraId="30D874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7B083EE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tc>
        <w:tc>
          <w:tcPr>
            <w:tcW w:w="750" w:type="dxa"/>
          </w:tcPr>
          <w:p w14:paraId="06618D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w:t>
            </w:r>
          </w:p>
        </w:tc>
        <w:tc>
          <w:tcPr>
            <w:tcW w:w="750" w:type="dxa"/>
          </w:tcPr>
          <w:p w14:paraId="67762F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r>
      <w:tr w:rsidR="004D4663" w:rsidRPr="00070ADE" w14:paraId="49E0D559" w14:textId="77777777">
        <w:tc>
          <w:tcPr>
            <w:tcW w:w="4158" w:type="dxa"/>
          </w:tcPr>
          <w:p w14:paraId="495753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63763A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РПК-2</w:t>
            </w:r>
          </w:p>
        </w:tc>
        <w:tc>
          <w:tcPr>
            <w:tcW w:w="603" w:type="dxa"/>
          </w:tcPr>
          <w:p w14:paraId="05F5BD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3F7E4E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Ил-4</w:t>
            </w:r>
          </w:p>
        </w:tc>
        <w:tc>
          <w:tcPr>
            <w:tcW w:w="750" w:type="dxa"/>
          </w:tcPr>
          <w:p w14:paraId="6B8977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13A906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w:t>
            </w:r>
          </w:p>
        </w:tc>
        <w:tc>
          <w:tcPr>
            <w:tcW w:w="750" w:type="dxa"/>
          </w:tcPr>
          <w:p w14:paraId="567452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478A402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w:t>
            </w:r>
          </w:p>
        </w:tc>
        <w:tc>
          <w:tcPr>
            <w:tcW w:w="750" w:type="dxa"/>
          </w:tcPr>
          <w:p w14:paraId="1DCB6F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20752A3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54BBC22" w14:textId="77777777">
        <w:tc>
          <w:tcPr>
            <w:tcW w:w="4158" w:type="dxa"/>
          </w:tcPr>
          <w:p w14:paraId="5165839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E76CE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6ECC26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28E2BC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Ер-2</w:t>
            </w:r>
          </w:p>
        </w:tc>
        <w:tc>
          <w:tcPr>
            <w:tcW w:w="750" w:type="dxa"/>
          </w:tcPr>
          <w:p w14:paraId="1D7041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769D3C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tc>
        <w:tc>
          <w:tcPr>
            <w:tcW w:w="750" w:type="dxa"/>
          </w:tcPr>
          <w:p w14:paraId="0928837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7248B7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tc>
        <w:tc>
          <w:tcPr>
            <w:tcW w:w="750" w:type="dxa"/>
          </w:tcPr>
          <w:p w14:paraId="6AA96EE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011171E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5546537" w14:textId="77777777">
        <w:tc>
          <w:tcPr>
            <w:tcW w:w="4158" w:type="dxa"/>
          </w:tcPr>
          <w:p w14:paraId="157D18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7B24BB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4B4925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502BF31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Ли-2</w:t>
            </w:r>
          </w:p>
        </w:tc>
        <w:tc>
          <w:tcPr>
            <w:tcW w:w="750" w:type="dxa"/>
          </w:tcPr>
          <w:p w14:paraId="4119DF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189C13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155</w:t>
            </w:r>
          </w:p>
        </w:tc>
        <w:tc>
          <w:tcPr>
            <w:tcW w:w="750" w:type="dxa"/>
          </w:tcPr>
          <w:p w14:paraId="369DB3F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5B0CC9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155</w:t>
            </w:r>
          </w:p>
        </w:tc>
        <w:tc>
          <w:tcPr>
            <w:tcW w:w="750" w:type="dxa"/>
          </w:tcPr>
          <w:p w14:paraId="14A62E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465DBE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155EF57" w14:textId="77777777">
        <w:tc>
          <w:tcPr>
            <w:tcW w:w="4158" w:type="dxa"/>
          </w:tcPr>
          <w:p w14:paraId="61BBA5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76C16F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75D6339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3585B7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65E3DB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715C7F8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455</w:t>
            </w:r>
          </w:p>
        </w:tc>
        <w:tc>
          <w:tcPr>
            <w:tcW w:w="750" w:type="dxa"/>
          </w:tcPr>
          <w:p w14:paraId="049535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6B376E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455</w:t>
            </w:r>
          </w:p>
        </w:tc>
        <w:tc>
          <w:tcPr>
            <w:tcW w:w="750" w:type="dxa"/>
          </w:tcPr>
          <w:p w14:paraId="489FBE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w:t>
            </w:r>
          </w:p>
        </w:tc>
        <w:tc>
          <w:tcPr>
            <w:tcW w:w="750" w:type="dxa"/>
          </w:tcPr>
          <w:p w14:paraId="335AE6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r>
      <w:tr w:rsidR="004D4663" w:rsidRPr="00070ADE" w14:paraId="5B8F196E" w14:textId="77777777">
        <w:tc>
          <w:tcPr>
            <w:tcW w:w="4158" w:type="dxa"/>
          </w:tcPr>
          <w:p w14:paraId="18CBA9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Радиоприемник</w:t>
            </w:r>
          </w:p>
        </w:tc>
        <w:tc>
          <w:tcPr>
            <w:tcW w:w="810" w:type="dxa"/>
          </w:tcPr>
          <w:p w14:paraId="582EDB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РСИ-4</w:t>
            </w:r>
          </w:p>
        </w:tc>
        <w:tc>
          <w:tcPr>
            <w:tcW w:w="603" w:type="dxa"/>
          </w:tcPr>
          <w:p w14:paraId="18AAFD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72C858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w:t>
            </w:r>
          </w:p>
        </w:tc>
        <w:tc>
          <w:tcPr>
            <w:tcW w:w="750" w:type="dxa"/>
          </w:tcPr>
          <w:p w14:paraId="0AF9BD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29EA1A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3075</w:t>
            </w:r>
          </w:p>
        </w:tc>
        <w:tc>
          <w:tcPr>
            <w:tcW w:w="750" w:type="dxa"/>
          </w:tcPr>
          <w:p w14:paraId="1516BE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249234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3075</w:t>
            </w:r>
          </w:p>
        </w:tc>
        <w:tc>
          <w:tcPr>
            <w:tcW w:w="750" w:type="dxa"/>
          </w:tcPr>
          <w:p w14:paraId="17E2D1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738BF6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5E0614E" w14:textId="77777777">
        <w:tc>
          <w:tcPr>
            <w:tcW w:w="4158" w:type="dxa"/>
          </w:tcPr>
          <w:p w14:paraId="1BCF82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2D8E2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55801D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2F05BA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ЛаГГ-3</w:t>
            </w:r>
          </w:p>
        </w:tc>
        <w:tc>
          <w:tcPr>
            <w:tcW w:w="750" w:type="dxa"/>
          </w:tcPr>
          <w:p w14:paraId="09D048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166C7B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w:t>
            </w:r>
          </w:p>
        </w:tc>
        <w:tc>
          <w:tcPr>
            <w:tcW w:w="750" w:type="dxa"/>
          </w:tcPr>
          <w:p w14:paraId="5ABD34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278588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w:t>
            </w:r>
          </w:p>
        </w:tc>
        <w:tc>
          <w:tcPr>
            <w:tcW w:w="750" w:type="dxa"/>
          </w:tcPr>
          <w:p w14:paraId="48E06CF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64C007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10F3914" w14:textId="77777777">
        <w:tc>
          <w:tcPr>
            <w:tcW w:w="4158" w:type="dxa"/>
          </w:tcPr>
          <w:p w14:paraId="7C01AE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79F84E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6DBB23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3F58858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Як-1</w:t>
            </w:r>
          </w:p>
        </w:tc>
        <w:tc>
          <w:tcPr>
            <w:tcW w:w="750" w:type="dxa"/>
          </w:tcPr>
          <w:p w14:paraId="420745D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2C0E18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750" w:type="dxa"/>
          </w:tcPr>
          <w:p w14:paraId="33C05C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759AB2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750" w:type="dxa"/>
          </w:tcPr>
          <w:p w14:paraId="4AB458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03AB635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21C00BCB" w14:textId="77777777">
        <w:tc>
          <w:tcPr>
            <w:tcW w:w="4158" w:type="dxa"/>
          </w:tcPr>
          <w:p w14:paraId="200D95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436A64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7F963FE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421F0E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3C87FF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4862C03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3650</w:t>
            </w:r>
          </w:p>
        </w:tc>
        <w:tc>
          <w:tcPr>
            <w:tcW w:w="750" w:type="dxa"/>
          </w:tcPr>
          <w:p w14:paraId="0F743C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793EB1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3650</w:t>
            </w:r>
          </w:p>
        </w:tc>
        <w:tc>
          <w:tcPr>
            <w:tcW w:w="750" w:type="dxa"/>
          </w:tcPr>
          <w:p w14:paraId="7520298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3500</w:t>
            </w:r>
          </w:p>
        </w:tc>
        <w:tc>
          <w:tcPr>
            <w:tcW w:w="750" w:type="dxa"/>
          </w:tcPr>
          <w:p w14:paraId="6DE5BE3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w:t>
            </w:r>
          </w:p>
        </w:tc>
      </w:tr>
      <w:tr w:rsidR="004D4663" w:rsidRPr="00070ADE" w14:paraId="497DC95B" w14:textId="77777777">
        <w:tc>
          <w:tcPr>
            <w:tcW w:w="4158" w:type="dxa"/>
          </w:tcPr>
          <w:p w14:paraId="5F9138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Радиоприемник с дистанционным управлением</w:t>
            </w:r>
          </w:p>
        </w:tc>
        <w:tc>
          <w:tcPr>
            <w:tcW w:w="810" w:type="dxa"/>
          </w:tcPr>
          <w:p w14:paraId="612995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РСИ-4</w:t>
            </w:r>
          </w:p>
        </w:tc>
        <w:tc>
          <w:tcPr>
            <w:tcW w:w="603" w:type="dxa"/>
          </w:tcPr>
          <w:p w14:paraId="13544E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2457614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w:t>
            </w:r>
          </w:p>
        </w:tc>
        <w:tc>
          <w:tcPr>
            <w:tcW w:w="750" w:type="dxa"/>
          </w:tcPr>
          <w:p w14:paraId="473BAE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57A7BF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1600</w:t>
            </w:r>
          </w:p>
        </w:tc>
        <w:tc>
          <w:tcPr>
            <w:tcW w:w="750" w:type="dxa"/>
          </w:tcPr>
          <w:p w14:paraId="595F81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tc>
        <w:tc>
          <w:tcPr>
            <w:tcW w:w="750" w:type="dxa"/>
          </w:tcPr>
          <w:p w14:paraId="3FFA50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2000</w:t>
            </w:r>
          </w:p>
        </w:tc>
        <w:tc>
          <w:tcPr>
            <w:tcW w:w="750" w:type="dxa"/>
          </w:tcPr>
          <w:p w14:paraId="00E83FE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68E8E3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6FFC537" w14:textId="77777777">
        <w:tc>
          <w:tcPr>
            <w:tcW w:w="4158" w:type="dxa"/>
          </w:tcPr>
          <w:p w14:paraId="79A272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80E00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7C4422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5CFEEB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Як-7 и Як-9</w:t>
            </w:r>
          </w:p>
        </w:tc>
        <w:tc>
          <w:tcPr>
            <w:tcW w:w="750" w:type="dxa"/>
          </w:tcPr>
          <w:p w14:paraId="3A96979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3E4307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1980</w:t>
            </w:r>
          </w:p>
        </w:tc>
        <w:tc>
          <w:tcPr>
            <w:tcW w:w="750" w:type="dxa"/>
          </w:tcPr>
          <w:p w14:paraId="2C94CB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tc>
        <w:tc>
          <w:tcPr>
            <w:tcW w:w="750" w:type="dxa"/>
          </w:tcPr>
          <w:p w14:paraId="6356498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2380</w:t>
            </w:r>
          </w:p>
        </w:tc>
        <w:tc>
          <w:tcPr>
            <w:tcW w:w="750" w:type="dxa"/>
          </w:tcPr>
          <w:p w14:paraId="004F4A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7CE84D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4040FDF" w14:textId="77777777">
        <w:tc>
          <w:tcPr>
            <w:tcW w:w="4158" w:type="dxa"/>
          </w:tcPr>
          <w:p w14:paraId="4D3DC4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5A9E2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71570F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33EDEC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Як-3</w:t>
            </w:r>
          </w:p>
        </w:tc>
        <w:tc>
          <w:tcPr>
            <w:tcW w:w="750" w:type="dxa"/>
          </w:tcPr>
          <w:p w14:paraId="499B36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6297E20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430</w:t>
            </w:r>
          </w:p>
        </w:tc>
        <w:tc>
          <w:tcPr>
            <w:tcW w:w="750" w:type="dxa"/>
          </w:tcPr>
          <w:p w14:paraId="77C78AB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190</w:t>
            </w:r>
          </w:p>
        </w:tc>
        <w:tc>
          <w:tcPr>
            <w:tcW w:w="750" w:type="dxa"/>
          </w:tcPr>
          <w:p w14:paraId="3D20D2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620</w:t>
            </w:r>
          </w:p>
        </w:tc>
        <w:tc>
          <w:tcPr>
            <w:tcW w:w="750" w:type="dxa"/>
          </w:tcPr>
          <w:p w14:paraId="2F39C5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566D23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5029EAD" w14:textId="77777777">
        <w:tc>
          <w:tcPr>
            <w:tcW w:w="4158" w:type="dxa"/>
          </w:tcPr>
          <w:p w14:paraId="1AE1BD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11D4EF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3C6A63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Pr>
          <w:p w14:paraId="5877C0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052E2A2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Pr>
          <w:p w14:paraId="57134A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4010</w:t>
            </w:r>
          </w:p>
        </w:tc>
        <w:tc>
          <w:tcPr>
            <w:tcW w:w="750" w:type="dxa"/>
          </w:tcPr>
          <w:p w14:paraId="1A18E7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990</w:t>
            </w:r>
          </w:p>
        </w:tc>
        <w:tc>
          <w:tcPr>
            <w:tcW w:w="750" w:type="dxa"/>
          </w:tcPr>
          <w:p w14:paraId="486A23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5000</w:t>
            </w:r>
          </w:p>
        </w:tc>
        <w:tc>
          <w:tcPr>
            <w:tcW w:w="750" w:type="dxa"/>
          </w:tcPr>
          <w:p w14:paraId="2AF3449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5000</w:t>
            </w:r>
          </w:p>
        </w:tc>
        <w:tc>
          <w:tcPr>
            <w:tcW w:w="750" w:type="dxa"/>
          </w:tcPr>
          <w:p w14:paraId="519AA6E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1300</w:t>
            </w:r>
          </w:p>
        </w:tc>
      </w:tr>
      <w:tr w:rsidR="004D4663" w:rsidRPr="00070ADE" w14:paraId="2BDC5416" w14:textId="77777777">
        <w:tc>
          <w:tcPr>
            <w:tcW w:w="4158" w:type="dxa"/>
          </w:tcPr>
          <w:p w14:paraId="408E1E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Переговорное устройство</w:t>
            </w:r>
          </w:p>
        </w:tc>
        <w:tc>
          <w:tcPr>
            <w:tcW w:w="810" w:type="dxa"/>
          </w:tcPr>
          <w:p w14:paraId="273E85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СПУ-Ф</w:t>
            </w:r>
          </w:p>
        </w:tc>
        <w:tc>
          <w:tcPr>
            <w:tcW w:w="603" w:type="dxa"/>
          </w:tcPr>
          <w:p w14:paraId="249AA3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5B7B55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w:t>
            </w:r>
          </w:p>
        </w:tc>
        <w:tc>
          <w:tcPr>
            <w:tcW w:w="750" w:type="dxa"/>
          </w:tcPr>
          <w:p w14:paraId="25851F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7F1FF7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3075</w:t>
            </w:r>
          </w:p>
        </w:tc>
        <w:tc>
          <w:tcPr>
            <w:tcW w:w="750" w:type="dxa"/>
          </w:tcPr>
          <w:p w14:paraId="0860C8B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230</w:t>
            </w:r>
          </w:p>
        </w:tc>
        <w:tc>
          <w:tcPr>
            <w:tcW w:w="750" w:type="dxa"/>
          </w:tcPr>
          <w:p w14:paraId="040084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3305</w:t>
            </w:r>
          </w:p>
        </w:tc>
        <w:tc>
          <w:tcPr>
            <w:tcW w:w="750" w:type="dxa"/>
          </w:tcPr>
          <w:p w14:paraId="22DD48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1E3680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427FCFF" w14:textId="77777777">
        <w:tc>
          <w:tcPr>
            <w:tcW w:w="4158" w:type="dxa"/>
          </w:tcPr>
          <w:p w14:paraId="3E929B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1956BB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2F6013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13DA8D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w:t>
            </w:r>
          </w:p>
        </w:tc>
        <w:tc>
          <w:tcPr>
            <w:tcW w:w="750" w:type="dxa"/>
          </w:tcPr>
          <w:p w14:paraId="4260C44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155661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tc>
        <w:tc>
          <w:tcPr>
            <w:tcW w:w="750" w:type="dxa"/>
          </w:tcPr>
          <w:p w14:paraId="2DE88FC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4DE071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tc>
        <w:tc>
          <w:tcPr>
            <w:tcW w:w="750" w:type="dxa"/>
          </w:tcPr>
          <w:p w14:paraId="36805B0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75302C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CFAC8FA" w14:textId="77777777">
        <w:tc>
          <w:tcPr>
            <w:tcW w:w="4158" w:type="dxa"/>
          </w:tcPr>
          <w:p w14:paraId="1D219C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2D6B86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111DFF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46D8B8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Ту-2</w:t>
            </w:r>
          </w:p>
        </w:tc>
        <w:tc>
          <w:tcPr>
            <w:tcW w:w="750" w:type="dxa"/>
          </w:tcPr>
          <w:p w14:paraId="033518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26E9D8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tc>
        <w:tc>
          <w:tcPr>
            <w:tcW w:w="750" w:type="dxa"/>
          </w:tcPr>
          <w:p w14:paraId="7423EF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219DB2E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tc>
        <w:tc>
          <w:tcPr>
            <w:tcW w:w="750" w:type="dxa"/>
          </w:tcPr>
          <w:p w14:paraId="39E432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027B3D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0E19D79" w14:textId="77777777">
        <w:tc>
          <w:tcPr>
            <w:tcW w:w="4158" w:type="dxa"/>
          </w:tcPr>
          <w:p w14:paraId="4BFD0D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5FE4F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484F6E5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2A4983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Ил-4</w:t>
            </w:r>
          </w:p>
        </w:tc>
        <w:tc>
          <w:tcPr>
            <w:tcW w:w="750" w:type="dxa"/>
          </w:tcPr>
          <w:p w14:paraId="615635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435D76A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w:t>
            </w:r>
          </w:p>
        </w:tc>
        <w:tc>
          <w:tcPr>
            <w:tcW w:w="750" w:type="dxa"/>
          </w:tcPr>
          <w:p w14:paraId="739D48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73E49F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w:t>
            </w:r>
          </w:p>
        </w:tc>
        <w:tc>
          <w:tcPr>
            <w:tcW w:w="750" w:type="dxa"/>
          </w:tcPr>
          <w:p w14:paraId="24BD8F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174443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81691F2" w14:textId="77777777">
        <w:tc>
          <w:tcPr>
            <w:tcW w:w="4158" w:type="dxa"/>
          </w:tcPr>
          <w:p w14:paraId="5A62E5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1F0A4DD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695906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1764BED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Ер-2</w:t>
            </w:r>
          </w:p>
        </w:tc>
        <w:tc>
          <w:tcPr>
            <w:tcW w:w="750" w:type="dxa"/>
          </w:tcPr>
          <w:p w14:paraId="0EF9A50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1A3BF6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tc>
        <w:tc>
          <w:tcPr>
            <w:tcW w:w="750" w:type="dxa"/>
          </w:tcPr>
          <w:p w14:paraId="097E7F9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54F22C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tc>
        <w:tc>
          <w:tcPr>
            <w:tcW w:w="750" w:type="dxa"/>
          </w:tcPr>
          <w:p w14:paraId="6999B1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4830ED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7F6DDF7" w14:textId="77777777">
        <w:tc>
          <w:tcPr>
            <w:tcW w:w="4158" w:type="dxa"/>
          </w:tcPr>
          <w:p w14:paraId="34E9A23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20105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7C4674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35F27BA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 учебный</w:t>
            </w:r>
          </w:p>
        </w:tc>
        <w:tc>
          <w:tcPr>
            <w:tcW w:w="750" w:type="dxa"/>
          </w:tcPr>
          <w:p w14:paraId="327F71A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5E3779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tc>
        <w:tc>
          <w:tcPr>
            <w:tcW w:w="750" w:type="dxa"/>
          </w:tcPr>
          <w:p w14:paraId="11408DF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74931D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tc>
        <w:tc>
          <w:tcPr>
            <w:tcW w:w="750" w:type="dxa"/>
          </w:tcPr>
          <w:p w14:paraId="4ACFC5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1FD70C1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C2C9FE9" w14:textId="77777777">
        <w:tc>
          <w:tcPr>
            <w:tcW w:w="4158" w:type="dxa"/>
          </w:tcPr>
          <w:p w14:paraId="74AE14E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5641F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Pr>
          <w:p w14:paraId="7D0F01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кмп.</w:t>
            </w:r>
          </w:p>
        </w:tc>
        <w:tc>
          <w:tcPr>
            <w:tcW w:w="1197" w:type="dxa"/>
          </w:tcPr>
          <w:p w14:paraId="43B7DC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Ще-2</w:t>
            </w:r>
          </w:p>
        </w:tc>
        <w:tc>
          <w:tcPr>
            <w:tcW w:w="750" w:type="dxa"/>
          </w:tcPr>
          <w:p w14:paraId="7F8CD2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750" w:type="dxa"/>
          </w:tcPr>
          <w:p w14:paraId="587D946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tc>
        <w:tc>
          <w:tcPr>
            <w:tcW w:w="750" w:type="dxa"/>
          </w:tcPr>
          <w:p w14:paraId="64B2CA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3A17E1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tc>
        <w:tc>
          <w:tcPr>
            <w:tcW w:w="750" w:type="dxa"/>
          </w:tcPr>
          <w:p w14:paraId="413260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Pr>
          <w:p w14:paraId="44B7D9D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BE046BE" w14:textId="77777777">
        <w:tc>
          <w:tcPr>
            <w:tcW w:w="4158" w:type="dxa"/>
            <w:tcBorders>
              <w:bottom w:val="single" w:sz="12" w:space="0" w:color="auto"/>
            </w:tcBorders>
          </w:tcPr>
          <w:p w14:paraId="36FF9E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Borders>
              <w:bottom w:val="single" w:sz="12" w:space="0" w:color="auto"/>
            </w:tcBorders>
          </w:tcPr>
          <w:p w14:paraId="07646A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03" w:type="dxa"/>
            <w:tcBorders>
              <w:bottom w:val="single" w:sz="12" w:space="0" w:color="auto"/>
            </w:tcBorders>
          </w:tcPr>
          <w:p w14:paraId="3257CE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bottom w:val="single" w:sz="12" w:space="0" w:color="auto"/>
            </w:tcBorders>
          </w:tcPr>
          <w:p w14:paraId="6D8AAE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Borders>
              <w:bottom w:val="single" w:sz="12" w:space="0" w:color="auto"/>
            </w:tcBorders>
          </w:tcPr>
          <w:p w14:paraId="7C53B7B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50" w:type="dxa"/>
            <w:tcBorders>
              <w:bottom w:val="single" w:sz="12" w:space="0" w:color="auto"/>
            </w:tcBorders>
          </w:tcPr>
          <w:p w14:paraId="32BCA39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4770</w:t>
            </w:r>
          </w:p>
        </w:tc>
        <w:tc>
          <w:tcPr>
            <w:tcW w:w="750" w:type="dxa"/>
            <w:tcBorders>
              <w:bottom w:val="single" w:sz="12" w:space="0" w:color="auto"/>
            </w:tcBorders>
          </w:tcPr>
          <w:p w14:paraId="09DD31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230</w:t>
            </w:r>
          </w:p>
        </w:tc>
        <w:tc>
          <w:tcPr>
            <w:tcW w:w="750" w:type="dxa"/>
            <w:tcBorders>
              <w:bottom w:val="single" w:sz="12" w:space="0" w:color="auto"/>
            </w:tcBorders>
          </w:tcPr>
          <w:p w14:paraId="05D2ED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5000</w:t>
            </w:r>
          </w:p>
        </w:tc>
        <w:tc>
          <w:tcPr>
            <w:tcW w:w="750" w:type="dxa"/>
            <w:tcBorders>
              <w:bottom w:val="single" w:sz="12" w:space="0" w:color="auto"/>
            </w:tcBorders>
          </w:tcPr>
          <w:p w14:paraId="07FEA0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5000</w:t>
            </w:r>
          </w:p>
        </w:tc>
        <w:tc>
          <w:tcPr>
            <w:tcW w:w="750" w:type="dxa"/>
            <w:tcBorders>
              <w:bottom w:val="single" w:sz="12" w:space="0" w:color="auto"/>
            </w:tcBorders>
          </w:tcPr>
          <w:p w14:paraId="4E5E1F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1600</w:t>
            </w:r>
          </w:p>
        </w:tc>
      </w:tr>
    </w:tbl>
    <w:p w14:paraId="36069E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(10527).</w:t>
      </w:r>
    </w:p>
    <w:p w14:paraId="37000B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B51B5D"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w:t>
      </w:r>
    </w:p>
    <w:p w14:paraId="19E77B41"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отдела УСМ штаба ВВС КА инженер-майор Петров подготовил</w:t>
      </w:r>
    </w:p>
    <w:p w14:paraId="6070367E"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Краткие указания по нумерации материальной части</w:t>
      </w:r>
    </w:p>
    <w:p w14:paraId="4BE75D5C"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Самолеты</w:t>
      </w:r>
    </w:p>
    <w:p w14:paraId="05F5673F"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Номера самолетов отечественного производства устанав</w:t>
      </w:r>
      <w:r w:rsidRPr="00070ADE">
        <w:rPr>
          <w:rFonts w:ascii="Times New Roman" w:hAnsi="Times New Roman"/>
          <w:color w:val="000000" w:themeColor="text1"/>
          <w:sz w:val="16"/>
          <w:szCs w:val="16"/>
        </w:rPr>
        <w:softHyphen/>
        <w:t>ливаются заводами иагоговитеяяш. Hoмepа самолета состоит из серии и собственного номера сомолета в данной серии. В каждой серии выспускается определенное количество самолетов, В новой серии номера самолетов повторяются:</w:t>
      </w:r>
    </w:p>
    <w:p w14:paraId="328680AD"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Полнай номер салолета, состояла из серии и номера само</w:t>
      </w:r>
      <w:r w:rsidRPr="00070ADE">
        <w:rPr>
          <w:rFonts w:ascii="Times New Roman" w:hAnsi="Times New Roman"/>
          <w:color w:val="000000" w:themeColor="text1"/>
          <w:sz w:val="16"/>
          <w:szCs w:val="16"/>
        </w:rPr>
        <w:softHyphen/>
        <w:t>лет в данной серии, на одном и том же заводе noвторяться не должен.</w:t>
      </w:r>
    </w:p>
    <w:p w14:paraId="6D034DCD"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серии и номеру самолёта в данной серии, некоторые заводы добавляют постоянные не меняющиеся в процессе выпуска данного типа самолета цифры.</w:t>
      </w:r>
    </w:p>
    <w:p w14:paraId="32CCB353"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эти цифры следует обращать самое серьезное внимание при передаче донесений о движенгии и состоянии материальной части. Ниже дается порядок нумерации самолетов по заводам, выпускаемым данный тип самолета.</w:t>
      </w:r>
    </w:p>
    <w:p w14:paraId="720848BF"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Самолет Як-1</w:t>
      </w:r>
    </w:p>
    <w:p w14:paraId="42DBC02C"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Выпускается 292 заводом. Номера еамолетов 4-х и пятизначные до сотой серии номера самолетов четырехзначные, после сотой серии пятизначные. Например: 3598, 04154 - здесь цифры 35 и 04 означают номер самолета в данной сepии, а цифры 98 и 154 означают серию. Номера самолетов до 10 имеют впереди приставку 0, которую следует обязательно писать для указания полного нсмера самолета. В каждой серии заводом выпускается 50 самолетов.</w:t>
      </w:r>
    </w:p>
    <w:p w14:paraId="03682A56"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Самолет ЯК-7-Б.</w:t>
      </w:r>
    </w:p>
    <w:p w14:paraId="4E2CCA42"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Як-7-В выпускаются заводами 153 и 82.</w:t>
      </w:r>
    </w:p>
    <w:p w14:paraId="2758157A"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153 завода имеют следующий заводской номер 50153117, 5115316.</w:t>
      </w:r>
    </w:p>
    <w:p w14:paraId="793CB871"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Первые две цифры 50 и 51 означают серию, следующие три цифры 153, вставленные в середину номера, означают завод-изготовитель, а последние три цифры 117 или 16 означают номера самолетов в данной серии.</w:t>
      </w:r>
    </w:p>
    <w:p w14:paraId="297CC010"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82 завода имеют полную нумерацию - 821738. Первые две цифры означают завод изготовитель, следующие две цифры 17 серию и последние дае цифры 38 номер самолета в данной серии. В каждой серии выпускется 50 самолетов</w:t>
      </w:r>
    </w:p>
    <w:p w14:paraId="31E0E6C7"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Caмолет Як-9.</w:t>
      </w:r>
    </w:p>
    <w:p w14:paraId="1C022647"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Як-9 выпускаются заводами 152 и 82.</w:t>
      </w:r>
    </w:p>
    <w:p w14:paraId="19833E4C"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Як-9 выпуска 153 завода имеют повторяшуюся нумерацию, т.е. под одним номеров, например: .0615323 может быть два самолета Як-9, которые олиичаются друг oт друга установленным вооружением. В начале выпускались самолеты только с установкой пушки ШВАК 20 мм, а затем начали выпускать самолеты с пушкой 37 мм, При этом нумерация самолегой Як-9 началась</w:t>
      </w:r>
      <w:r w:rsidRPr="00070ADE">
        <w:rPr>
          <w:rFonts w:ascii="Times New Roman" w:hAnsi="Times New Roman"/>
          <w:color w:val="000000" w:themeColor="text1"/>
          <w:sz w:val="16"/>
          <w:szCs w:val="16"/>
        </w:rPr>
        <w:tab/>
        <w:t>опыть с пепрвой серии.</w:t>
      </w:r>
    </w:p>
    <w:p w14:paraId="5AF9AE8B"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того, чтобы чтобы отличить самолеты Як-9 с пушкой ШВАК от самолетов Як-9 Як-9 с 37 мм. пушкой первым к установленному номеру добавляют букву Д, а вторым - букву Т. При сообщении номера следует писать так: Як-9 Д № 0615328 или Як-9 Т № эг пнаагь мк: Як-9 Як-9 Т № 0615328.</w:t>
      </w:r>
    </w:p>
    <w:p w14:paraId="37A9E888"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Расшифровка номера 06153286: 06 - серия, 153 - завод изготовитель, 28 номер caмолета в данной серии.</w:t>
      </w:r>
    </w:p>
    <w:p w14:paraId="0C4A81AD"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каждой серии выпускается 100 самолетов.</w:t>
      </w:r>
    </w:p>
    <w:p w14:paraId="215D7C47"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Як-9 выпуска 166 имеют полный заводской номер 13166025. Здесь первые две цифыры - 13 означают серию, следующие три цифры 166 означают завод-изготовитель и последние три цифры 026 - означают номер самолета в данной серии. Номера самолетов до 100 имеют впереди прискавку воль, В каждой серии выпускаемся 100 самолетов.</w:t>
      </w:r>
    </w:p>
    <w:p w14:paraId="1A756CA3"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Самолет Ла-5.</w:t>
      </w:r>
    </w:p>
    <w:p w14:paraId="25D56F93"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Ла-5 выпускаются заводами 21, 99, 381.</w:t>
      </w:r>
    </w:p>
    <w:p w14:paraId="08262363"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Ла-5, выпускаемые 21 заводом, в процессе производства претерпели рад конструктивных изменений. Эти конструктивные изменения привидили в новой модификации самолета Ла-5.</w:t>
      </w:r>
    </w:p>
    <w:p w14:paraId="3A283D4B"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выпуске в серию новой модификации самолета Ла-5 нумерация последней начиналась с первой серии.</w:t>
      </w:r>
    </w:p>
    <w:p w14:paraId="34C44628"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Разберем последовательно нумерацию каждой модификации самолета Ла-5, выпускаемой 21 заводом.</w:t>
      </w:r>
    </w:p>
    <w:p w14:paraId="68C43330"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Вначале выпускались самолеты Ла-5 с мотором М-82, без заднего обзора.</w:t>
      </w:r>
    </w:p>
    <w:p w14:paraId="49EC9D4A"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Указанная модификация имела нумерацию 37212764. Здесь цифра 37 означала тип самолета, ввпускаемый заводом, цифра 21 означала завод изготовитель, цифра 27 серию, цифра 64 - номер самолета в данной серии. Выпуск данной модификации заводом прекращен В каждой серии выпускалось 100 самолетов.</w:t>
      </w:r>
    </w:p>
    <w:p w14:paraId="155B0C75"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Второй молификацией стали выпускаться самолеты Ла-5 с мотором М-82 с задним обзором. Нумерация этой модификации началась с первой серии. Ее полный заводской номер 39212921.</w:t>
      </w:r>
    </w:p>
    <w:p w14:paraId="60F99F8C"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Здесь первые две цифры 39 - означают тип самолета Ла-5 в новой модификации. Остальные цифры имеют такое же значение, что у самолетов Ла-5 первой модификации.</w:t>
      </w:r>
    </w:p>
    <w:p w14:paraId="636A9CCB"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Третьей модификацией стали выпускаться самолеты Ла-5 с задним обзором, но с установкой мотора М-82 ФН. Нумерация этой модификации началась с первой серии Ее полный заводской номер пишется как и втопрой модификации, только с прибавкой к номеру букв ФН. Например Ла-5 ФН № 39210928. Значение цифр здесь тоже, что и у второй модификациию.</w:t>
      </w:r>
    </w:p>
    <w:p w14:paraId="0C0DF6E9"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Ла-5, ваыпускаемые 391 заводом, имеют полный заводской номер 3810413: здесь цифра 381 означает завод-изготовитель, 04 - серию, 13 номер самолета в ланной серии.</w:t>
      </w:r>
    </w:p>
    <w:p w14:paraId="0EC5EFFC"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Ла-5, выпускаемы 99 заводом, имеют полный заводской номер 37-9906-14. Здесь 37 означает тип самолета, 99 - завод-изготовитель, 06 - серию, 14 номер самолета в данной серии.</w:t>
      </w:r>
    </w:p>
    <w:p w14:paraId="5A9457E2"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Самолет ЛаГГ-3</w:t>
      </w:r>
    </w:p>
    <w:p w14:paraId="07FC61EE"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ЛаГГ-3 выпускаются 21 и 31 заводами. В настоящее время выпуск самолетов ЛаГГ-3 на 21 заводе прекращен.</w:t>
      </w:r>
    </w:p>
    <w:p w14:paraId="78459F5B"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ЛаГГ-3 выпуска 21 завода нумеруются восьмизначным числом, например, 31213745, гда 31 означает тип саморлета, выпускаемый заводом со дня основания последнего, 21 - завод-тзготовитель, 37 - серия, 45 номер самолета в данной серии.</w:t>
      </w:r>
    </w:p>
    <w:p w14:paraId="21FF533B"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ЛаГГ-3, выпускаемые заводом 31 нумеруются четырехзначным числом, например: 6603 - где 66 означает номер серин, а 03 номер самолета в данной серии. В каждой серии выпускается 99 самолетов.</w:t>
      </w:r>
    </w:p>
    <w:p w14:paraId="5B28CAEF"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Самолет Пе-2.</w:t>
      </w:r>
    </w:p>
    <w:p w14:paraId="46FE1E1F"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Пе-2 выпускаются 22 заводом. Номер самолета обозначается дробью, например, 8/140, где числителей укавыаается номер самолета, а знаменателем серия. В каждоа серии вьпускается 20 самолетов.</w:t>
      </w:r>
    </w:p>
    <w:p w14:paraId="1DD6694D"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Самолет Ил-4.</w:t>
      </w:r>
    </w:p>
    <w:p w14:paraId="459260E0"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Ил-4 выпускаются 126, 39, 23 заводами.</w:t>
      </w:r>
    </w:p>
    <w:p w14:paraId="1B9B4A2B"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Ил-4, выпускаемые 126 заводом имеют четырехзначные или пятизначные номере. в зависимости от времени выпуска. До сотой серии номера самолетов чвтырехзначные, после сотой серии пятизначные. Нпример, 9915, 10802 - здесь цафры 99,108 означают серию самолета, цифры 15, 02 вомера самолетов в данной серии.</w:t>
      </w:r>
    </w:p>
    <w:p w14:paraId="2F791077"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Ил-4, выпускаемые 23 заводом, имеют полный за</w:t>
      </w:r>
      <w:r w:rsidRPr="00070ADE">
        <w:rPr>
          <w:rFonts w:ascii="Times New Roman" w:hAnsi="Times New Roman"/>
          <w:color w:val="000000" w:themeColor="text1"/>
          <w:sz w:val="16"/>
          <w:szCs w:val="16"/>
        </w:rPr>
        <w:softHyphen/>
        <w:t>водской номер 092320, где 09 - серия самолета, 23 завод-изготовитель, -20 номер самолета в данной серии.</w:t>
      </w:r>
    </w:p>
    <w:p w14:paraId="52796B96"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Самолеты Ил-4, .выпускаемое 39 заводом, имеют полный ааводской номер 5043911, где 504 - серия самолета, 39 завод-изготовитель, 11 - номер самолета в данной серий.</w:t>
      </w:r>
    </w:p>
    <w:p w14:paraId="172148D7"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8.Самолет ТУ-2.</w:t>
      </w:r>
    </w:p>
    <w:p w14:paraId="72F4106E"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Ту-2 выпускается 166 заводом. Полный заводской номер100614, где 6 - номер серии, 11 номер самолета в даянной, 100 условно взятое число.</w:t>
      </w:r>
    </w:p>
    <w:p w14:paraId="1827523C"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Самолет Ил-2.</w:t>
      </w:r>
    </w:p>
    <w:p w14:paraId="378A8E75"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Ил-2 выпускаются 1, 18 и 30 заводами и ранее выпускались -381 заводом.</w:t>
      </w:r>
    </w:p>
    <w:p w14:paraId="5987DCFE"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Разберем нумерацию самолётов Ил-2 по заводам.</w:t>
      </w:r>
    </w:p>
    <w:p w14:paraId="4C35E8D8"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1</w:t>
      </w:r>
    </w:p>
    <w:p w14:paraId="4B3287E0"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Номера самолетов четырехзначные, например: 5351. Первые две цифры 53 означают серию самолёта, последние две цифры - 51 означают номер самолета в данной серии. С сотой серия номера самолетов Ил-2 1-го завода будут пятизначные. В каждой серии выпускается 100 самолетов.</w:t>
      </w:r>
    </w:p>
    <w:p w14:paraId="6C937B4F"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18</w:t>
      </w:r>
    </w:p>
    <w:p w14:paraId="70EE64DB"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Полный заводской номер самолета Ил-2 1871738. Расшифрровка номера - 18 - завод-изготовитель, 7 - тии самолета, выпус</w:t>
      </w:r>
      <w:r w:rsidRPr="00070ADE">
        <w:rPr>
          <w:rFonts w:ascii="Times New Roman" w:hAnsi="Times New Roman"/>
          <w:color w:val="000000" w:themeColor="text1"/>
          <w:sz w:val="16"/>
          <w:szCs w:val="16"/>
        </w:rPr>
        <w:softHyphen/>
        <w:t>каемый заводом с момента основания .последнего, 17 - номер само</w:t>
      </w:r>
      <w:r w:rsidRPr="00070ADE">
        <w:rPr>
          <w:rFonts w:ascii="Times New Roman" w:hAnsi="Times New Roman"/>
          <w:color w:val="000000" w:themeColor="text1"/>
          <w:sz w:val="16"/>
          <w:szCs w:val="16"/>
        </w:rPr>
        <w:softHyphen/>
        <w:t>лёта даннрй серии, 38 - серия. В каждой серии выпускается 100 самолетов.</w:t>
      </w:r>
    </w:p>
    <w:p w14:paraId="04A019C7"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30</w:t>
      </w:r>
    </w:p>
    <w:p w14:paraId="0D099048"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Полный заводской ноыбр 301427. Расшифровка - 30 завод изготовитель, 14 - серия, 27 - номер самолета в данной серии. В каждой серии выпускается 100 самолетов.</w:t>
      </w:r>
    </w:p>
    <w:p w14:paraId="42F0DB58"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3авод № 381</w:t>
      </w:r>
    </w:p>
    <w:p w14:paraId="2D1B99DC"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Полный заводской номер 3811019. Расшифровка: 381 - завод изготовитель. 10 - номер самолета данной серии. 19 - серия. Выпуск самолетов ваводом прекращен о апреля месяца 1943 года.</w:t>
      </w:r>
    </w:p>
    <w:p w14:paraId="16EA4D10"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Самолет Ли-2.</w:t>
      </w:r>
    </w:p>
    <w:p w14:paraId="359B24DF"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выпускаются 84 заводом. Полный ваводской но</w:t>
      </w:r>
      <w:r w:rsidRPr="00070ADE">
        <w:rPr>
          <w:rFonts w:ascii="Times New Roman" w:hAnsi="Times New Roman"/>
          <w:color w:val="000000" w:themeColor="text1"/>
          <w:sz w:val="16"/>
          <w:szCs w:val="16"/>
        </w:rPr>
        <w:softHyphen/>
        <w:t>мер 184800. Расшифровка: 84 - вавод ивготовитель, 1 - тип самолета, 80 - серия, 06 - номер самолета в данной серии. •</w:t>
      </w:r>
    </w:p>
    <w:p w14:paraId="1BE2527C"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Як-6..</w:t>
      </w:r>
    </w:p>
    <w:p w14:paraId="54831FDC"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Самолета Як-6 выпускались 47, 471, 464 заводами. С ноября месяца выпуск самолетов указанными заводами прекращен, Разберем нумерацию самолетов Як-6 по заводам.</w:t>
      </w:r>
    </w:p>
    <w:p w14:paraId="456A1955"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Завода № 47.</w:t>
      </w:r>
    </w:p>
    <w:p w14:paraId="125AA6A0"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Полный ваводской номер 16847. Расшифровка номера: 16 - номер самолета в данной серий, 8 - серия, 47 - завод-изготовитель.</w:t>
      </w:r>
    </w:p>
    <w:p w14:paraId="3AB70C4F"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471.</w:t>
      </w:r>
    </w:p>
    <w:p w14:paraId="1B6017C8"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Полный заводской ноиер самолета 65571. Расшифраака:номера: 65 серия, 5 номер самодата в данной оерии, 71 постоян</w:t>
      </w:r>
      <w:r w:rsidRPr="00070ADE">
        <w:rPr>
          <w:rFonts w:ascii="Times New Roman" w:hAnsi="Times New Roman"/>
          <w:color w:val="000000" w:themeColor="text1"/>
          <w:sz w:val="16"/>
          <w:szCs w:val="16"/>
        </w:rPr>
        <w:softHyphen/>
        <w:t>ное не меняющееся число во всех номерах, указывающее, что самолет выпущен 471 ваводом.</w:t>
      </w:r>
    </w:p>
    <w:p w14:paraId="507D0868"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464.</w:t>
      </w:r>
    </w:p>
    <w:p w14:paraId="67B852D3"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Полный заводской номер самолета 640549. Расшифровка номера: - постоянное не меняющееся число, укавыващее, что самолет выпущен 464 ваводом, 05 -- серия, 49 - номер самолета</w:t>
      </w:r>
    </w:p>
    <w:p w14:paraId="254E48B6"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С-2.</w:t>
      </w:r>
    </w:p>
    <w:p w14:paraId="474842B6"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Выпускается 494 заводом. Полный заводской номер 940906. Расшифровка номера: 94 - постоянное, не меняющееся число, указывающее, что самолет выпущен 494 заводом, 09 - серия самолет», 06 - номер самолета в данной серии.</w:t>
      </w:r>
    </w:p>
    <w:p w14:paraId="3A341CBB"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Самолет Як-7-В /учебшй/.'</w:t>
      </w:r>
    </w:p>
    <w:p w14:paraId="7C3EF8E3"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Выпускается 153 заводом. Поланый заводской номер 0615396. Расшифровка номера: 06 - серия, 153 - вавод изготовитель, 58 - номер самолета в данной серии.</w:t>
      </w:r>
    </w:p>
    <w:p w14:paraId="16DF1D32"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УТ-2.</w:t>
      </w:r>
    </w:p>
    <w:p w14:paraId="086FBD0B"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УT-2 выпускаются 116, 168 заводами и ранее выпускались 47 ваводом. Разберем нумерацию самолетов УT-2 по заводам.</w:t>
      </w:r>
    </w:p>
    <w:p w14:paraId="41B3F31D"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116.</w:t>
      </w:r>
    </w:p>
    <w:p w14:paraId="2F826824"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Полный заводской номер 01715116. Расшифровка номера: 017. - номер самолета в данной серии, 15 - серия, 116 - вавод изготовитель. В каждой серии выпускается 100 самолетов. Номера самолетов данной серии до 10 имеют впереди два нуля, с 10, до 99 - один нуль. При записях и передачах полного номе</w:t>
      </w:r>
      <w:r w:rsidRPr="00070ADE">
        <w:rPr>
          <w:rFonts w:ascii="Times New Roman" w:hAnsi="Times New Roman"/>
          <w:color w:val="000000" w:themeColor="text1"/>
          <w:sz w:val="16"/>
          <w:szCs w:val="16"/>
        </w:rPr>
        <w:softHyphen/>
        <w:t>ре, нули, стояще впереди номера, следует обязательно укавывать.</w:t>
      </w:r>
    </w:p>
    <w:p w14:paraId="38E2074B"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3авод № 168.</w:t>
      </w:r>
    </w:p>
    <w:p w14:paraId="523E9665"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Полный заводской номер 168033S. Расщифровка номера: 160 завод-изготовитель, 03 - серия, 24 номер самолета в дан</w:t>
      </w:r>
      <w:r w:rsidRPr="00070ADE">
        <w:rPr>
          <w:rFonts w:ascii="Times New Roman" w:hAnsi="Times New Roman"/>
          <w:color w:val="000000" w:themeColor="text1"/>
          <w:sz w:val="16"/>
          <w:szCs w:val="16"/>
        </w:rPr>
        <w:softHyphen/>
        <w:t>ной серии.</w:t>
      </w:r>
    </w:p>
    <w:p w14:paraId="461C8BD7"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47</w:t>
      </w:r>
    </w:p>
    <w:p w14:paraId="502D8734"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Полный заводской номер 112147. Расшифровка номера: 11 серия, 21 - номер самолета в даннй серии, 47 завод-изготовитель. Выпуск самолетов УТ-2 заводом № 47 прекращен с ноября 1942 года.</w:t>
      </w:r>
    </w:p>
    <w:p w14:paraId="7DA8B665"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Caмолет У-2</w:t>
      </w:r>
    </w:p>
    <w:p w14:paraId="4C6A3F18"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У-2 в настоящее время выпускаются 387 заводом. Полный заводской номер четырехзначный. Например: 5523, где 55 - серия, 23 - номер самолета в данной серии.</w:t>
      </w:r>
    </w:p>
    <w:p w14:paraId="2303660B"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Ранее самолеты У-2 запускались 23 заводом. Нумерация самолетов У-2, выпускаемых 23 заводом, совпадает с нумерацией У-2, выпускаемых 387 заводом, поэтому в денесениях о прибытии или убытии самолетов У-2 с четырехзначными номерами следует указывать завод-изготовитель.</w:t>
      </w:r>
    </w:p>
    <w:p w14:paraId="546E842B" w14:textId="092486D2"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ИПе-2 и УИл-2 имеют тот же порядок нумерации, как и самолет Пе-2 и Ил-2.</w:t>
      </w:r>
    </w:p>
    <w:p w14:paraId="2ED14D19"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 Моторы</w:t>
      </w:r>
    </w:p>
    <w:p w14:paraId="2E878C01"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Hoмера моторов отечественного производства также уста</w:t>
      </w:r>
      <w:r w:rsidRPr="00070ADE">
        <w:rPr>
          <w:rFonts w:ascii="Times New Roman" w:hAnsi="Times New Roman"/>
          <w:color w:val="000000" w:themeColor="text1"/>
          <w:sz w:val="16"/>
          <w:szCs w:val="16"/>
        </w:rPr>
        <w:softHyphen/>
        <w:t>навливаются заводами-изготовителями. В настоящих указаниях дается порядок нумерации только новейших моторов, выпускае</w:t>
      </w:r>
      <w:r w:rsidRPr="00070ADE">
        <w:rPr>
          <w:rFonts w:ascii="Times New Roman" w:hAnsi="Times New Roman"/>
          <w:color w:val="000000" w:themeColor="text1"/>
          <w:sz w:val="16"/>
          <w:szCs w:val="16"/>
        </w:rPr>
        <w:softHyphen/>
        <w:t>мых заводами в настоящее вреия.</w:t>
      </w:r>
    </w:p>
    <w:p w14:paraId="2112C6A0"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Мотор М-105 ПФ</w:t>
      </w:r>
    </w:p>
    <w:p w14:paraId="685AADCE"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М-105 ПФ выпускается заводами 16, 26, 466. Разберем нумерацию моторов М-105 ПФ по заводам.</w:t>
      </w:r>
    </w:p>
    <w:p w14:paraId="79CAB530"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16</w:t>
      </w:r>
    </w:p>
    <w:p w14:paraId="7095EE37"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Полный заводской номер мотора 34-3168, 32- 2941. Здесь первая цифра 3 в обоих случаях обозначает год выпуска мотора. В данном случае 1943. Цифры 4, 2 обозначают квартал, в котором изготовлен мотор.</w:t>
      </w:r>
    </w:p>
    <w:p w14:paraId="42E0B6E1"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Цифры 3168, 2941 обозначают порядковый номер мотора, вынускаемый в данном квартале, В каждом квартале выпускался определенное количество метороов.</w:t>
      </w:r>
    </w:p>
    <w:p w14:paraId="41D4BC2A"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каждом квартале номера моторов начинаются с первого номера.</w:t>
      </w:r>
    </w:p>
    <w:p w14:paraId="19437CB7"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26</w:t>
      </w:r>
    </w:p>
    <w:p w14:paraId="4D1429B5"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Полный заводской номер мотора 375-177, 315-2096.</w:t>
      </w:r>
    </w:p>
    <w:p w14:paraId="1990EB8F"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Здесь цифра 3 в обоих случаях обозначает год выпуска мотора, в даниом случае 1943. Цифры 4, 1 обозначают квартал, в котором изготовлен мотор.</w:t>
      </w:r>
    </w:p>
    <w:p w14:paraId="67A98884"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Цифра 5 в обоих cлучаях указывает, что мотор относился к семейству моторов М-105.</w:t>
      </w:r>
    </w:p>
    <w:p w14:paraId="6DE7194D"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Цифры 177, 2096 - обозначают порядковый номер мотора, вы</w:t>
      </w:r>
      <w:r w:rsidRPr="00070ADE">
        <w:rPr>
          <w:rFonts w:ascii="Times New Roman" w:hAnsi="Times New Roman"/>
          <w:color w:val="000000" w:themeColor="text1"/>
          <w:sz w:val="16"/>
          <w:szCs w:val="16"/>
        </w:rPr>
        <w:softHyphen/>
        <w:t>пускаемого в данном квартале. В каждом квартале нумерация моторов начинается с первого номера.</w:t>
      </w:r>
    </w:p>
    <w:p w14:paraId="55C287A5"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3авод № 466</w:t>
      </w:r>
    </w:p>
    <w:p w14:paraId="22DABBB4"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Полный заводской номер мотора 405-33, 524-32.</w:t>
      </w:r>
    </w:p>
    <w:p w14:paraId="3C5FBE69"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Здесь цифрф 485, 524 обозначают порядковый номер мотора, выускаемого в данном квартале, цифра 3 в обоих случаях обозначает год выпуска мотора, в даннгом случае 1943.</w:t>
      </w:r>
    </w:p>
    <w:p w14:paraId="401889B4"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Цифры 3, 2 обозначают квартал, в котором изготовлен мотор.</w:t>
      </w:r>
    </w:p>
    <w:p w14:paraId="086783C7"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каждом квартале номера моторов начинаются с первого номера.</w:t>
      </w:r>
    </w:p>
    <w:p w14:paraId="0637246A"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М-82.</w:t>
      </w:r>
    </w:p>
    <w:p w14:paraId="0C7CB60D"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Выпускается заводом 19.</w:t>
      </w:r>
    </w:p>
    <w:p w14:paraId="2760C566"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Полный заводской номер мoтopa 65031953, 6511316.</w:t>
      </w:r>
    </w:p>
    <w:p w14:paraId="4681A821"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Здесь цифры 65 в обоих случаях являются условным обозначением типа мотора М -82.</w:t>
      </w:r>
    </w:p>
    <w:p w14:paraId="771BDE2A"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Цифра "0" в первом номере является условным обовначением степени редукции мотора 11 : 15.</w:t>
      </w:r>
    </w:p>
    <w:p w14:paraId="0326EBD8"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Цифра 1 во втором номере является условным обозначением степени редукции мотора 9 : 16.</w:t>
      </w:r>
    </w:p>
    <w:p w14:paraId="0732773E" w14:textId="77777777" w:rsidR="00750752" w:rsidRPr="00070ADE" w:rsidRDefault="007E039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fldChar w:fldCharType="begin"/>
      </w:r>
      <w:r w:rsidR="00750752" w:rsidRPr="00070ADE">
        <w:rPr>
          <w:rFonts w:ascii="Times New Roman" w:hAnsi="Times New Roman"/>
          <w:color w:val="000000" w:themeColor="text1"/>
          <w:sz w:val="16"/>
          <w:szCs w:val="16"/>
        </w:rPr>
        <w:instrText xml:space="preserve"> TOC \o "1-3" \h \z </w:instrText>
      </w:r>
      <w:r w:rsidRPr="00070ADE">
        <w:rPr>
          <w:rFonts w:ascii="Times New Roman" w:hAnsi="Times New Roman"/>
          <w:color w:val="000000" w:themeColor="text1"/>
          <w:sz w:val="16"/>
          <w:szCs w:val="16"/>
        </w:rPr>
        <w:fldChar w:fldCharType="separate"/>
      </w:r>
      <w:r w:rsidR="00750752" w:rsidRPr="00070ADE">
        <w:rPr>
          <w:rFonts w:ascii="Times New Roman" w:hAnsi="Times New Roman"/>
          <w:color w:val="000000" w:themeColor="text1"/>
          <w:sz w:val="16"/>
          <w:szCs w:val="16"/>
        </w:rPr>
        <w:t>Следующие цифры 3, 1 в обоих номерах обоевачают серию мотора.</w:t>
      </w:r>
    </w:p>
    <w:p w14:paraId="36153ABA"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Цифры 1953, 316 - обозначают порядковый номер мотра в данной серии:</w:t>
      </w:r>
    </w:p>
    <w:p w14:paraId="677ABAB0"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Мoтoр М-82-ФН</w:t>
      </w:r>
    </w:p>
    <w:p w14:paraId="6A58EDA4"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Выпускается 19 заводом. Полаый заводской номер мотора 92111809</w:t>
      </w:r>
    </w:p>
    <w:p w14:paraId="70A1A882"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Здесь цифра 82 является условным обозначением типа мотора М-82-ФН</w:t>
      </w:r>
    </w:p>
    <w:p w14:paraId="04CA6DB4"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Цифра 1 является условным обозначением степени редукции мотора 11 : 16, следующая цифра 1 обозначаеь серию мотора</w:t>
      </w:r>
    </w:p>
    <w:p w14:paraId="64DF4A36"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Цифра 909 обозначает порядковый номер мотора в данной серии.</w:t>
      </w:r>
      <w:r w:rsidR="007E0398" w:rsidRPr="00070ADE">
        <w:rPr>
          <w:rFonts w:ascii="Times New Roman" w:hAnsi="Times New Roman"/>
          <w:color w:val="000000" w:themeColor="text1"/>
          <w:sz w:val="16"/>
          <w:szCs w:val="16"/>
        </w:rPr>
        <w:fldChar w:fldCharType="end"/>
      </w:r>
    </w:p>
    <w:p w14:paraId="652EDFD1"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Moтoр АМ-38 - Ф.</w:t>
      </w:r>
    </w:p>
    <w:p w14:paraId="524D4BD6"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Выпускается ваводами 24, 45</w:t>
      </w:r>
    </w:p>
    <w:p w14:paraId="7A6334B1"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AМ-38Ф, выпускаемый 24 заводом имеет полный заводской-номер 253369.</w:t>
      </w:r>
    </w:p>
    <w:p w14:paraId="4AE97657"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Расшифровка номера: 25 - серия мотора, 3369 - порядковый номер мотора в данной серии.</w:t>
      </w:r>
    </w:p>
    <w:p w14:paraId="796DD42C"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Могор АМ-38-Ф, выпускаемый 45 заводом имеет полный за</w:t>
      </w:r>
      <w:r w:rsidRPr="00070ADE">
        <w:rPr>
          <w:rFonts w:ascii="Times New Roman" w:hAnsi="Times New Roman"/>
          <w:color w:val="000000" w:themeColor="text1"/>
          <w:sz w:val="16"/>
          <w:szCs w:val="16"/>
        </w:rPr>
        <w:softHyphen/>
        <w:t>водской номер 4591224.</w:t>
      </w:r>
    </w:p>
    <w:p w14:paraId="0571A3C2"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Расшифровка номера: 45 завод-изгоговитель, 91 - серия моюра, 244 порядковй номер мотора в данной серии.</w:t>
      </w:r>
    </w:p>
    <w:p w14:paraId="73A4020B"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М-11</w:t>
      </w:r>
    </w:p>
    <w:p w14:paraId="75EF6584"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Выпускается в настоящее время 41 и 154 заводами. </w:t>
      </w:r>
    </w:p>
    <w:p w14:paraId="7C166D2A"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Полный заводской номер мотора, вынускаемого заводом 41 411555</w:t>
      </w:r>
    </w:p>
    <w:p w14:paraId="0366D9F9"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Расшифровка номера: 41 - завод изготовитель 1 - серия мотора, 595 порядковый номер мотора в данной серии.</w:t>
      </w:r>
    </w:p>
    <w:p w14:paraId="1BC4E6B9"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Полный заводской номер мотора, выпускаемый заводом 154 - 09335</w:t>
      </w:r>
    </w:p>
    <w:p w14:paraId="6BD402B3" w14:textId="77777777" w:rsidR="00750752" w:rsidRPr="00070ADE" w:rsidRDefault="007507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Заводом 154 установлена нумерация моторов с начала выпус</w:t>
      </w:r>
      <w:r w:rsidRPr="00070ADE">
        <w:rPr>
          <w:rFonts w:ascii="Times New Roman" w:hAnsi="Times New Roman"/>
          <w:color w:val="000000" w:themeColor="text1"/>
          <w:sz w:val="16"/>
          <w:szCs w:val="16"/>
        </w:rPr>
        <w:softHyphen/>
        <w:t>ка с первого номера и в дальнейшем идег в воврастающем порядке (19801).</w:t>
      </w:r>
    </w:p>
    <w:p w14:paraId="3F786F69" w14:textId="77777777" w:rsidR="00750752" w:rsidRPr="00070ADE" w:rsidRDefault="00750752" w:rsidP="00B56F90">
      <w:pPr>
        <w:spacing w:after="0" w:line="240" w:lineRule="auto"/>
        <w:jc w:val="both"/>
        <w:rPr>
          <w:rFonts w:ascii="Times New Roman" w:hAnsi="Times New Roman"/>
          <w:color w:val="000000" w:themeColor="text1"/>
          <w:sz w:val="16"/>
          <w:szCs w:val="16"/>
        </w:rPr>
      </w:pPr>
    </w:p>
    <w:p w14:paraId="01081D4A"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13 марта 1944 г. ГКО выпустило постановление о закуп</w:t>
      </w:r>
      <w:r w:rsidRPr="00C94B78">
        <w:rPr>
          <w:rFonts w:ascii="Times New Roman" w:hAnsi="Times New Roman"/>
          <w:color w:val="0070C0"/>
          <w:sz w:val="16"/>
          <w:szCs w:val="16"/>
        </w:rPr>
        <w:softHyphen/>
        <w:t>ке 250 комплектов пневматические антиоб</w:t>
      </w:r>
      <w:r w:rsidRPr="00C94B78">
        <w:rPr>
          <w:rFonts w:ascii="Times New Roman" w:hAnsi="Times New Roman"/>
          <w:color w:val="0070C0"/>
          <w:sz w:val="16"/>
          <w:szCs w:val="16"/>
        </w:rPr>
        <w:softHyphen/>
        <w:t>леденители «Гудрич», хорошо зареко</w:t>
      </w:r>
      <w:r w:rsidRPr="00C94B78">
        <w:rPr>
          <w:rFonts w:ascii="Times New Roman" w:hAnsi="Times New Roman"/>
          <w:color w:val="0070C0"/>
          <w:sz w:val="16"/>
          <w:szCs w:val="16"/>
        </w:rPr>
        <w:softHyphen/>
        <w:t>мендовавшие себя на DC-3 и С-47. Последовали долгие переговоры, осложнявшиеся тем, что советская сторона отказывалась предо</w:t>
      </w:r>
      <w:r w:rsidRPr="00C94B78">
        <w:rPr>
          <w:rFonts w:ascii="Times New Roman" w:hAnsi="Times New Roman"/>
          <w:color w:val="0070C0"/>
          <w:sz w:val="16"/>
          <w:szCs w:val="16"/>
        </w:rPr>
        <w:softHyphen/>
        <w:t>ставить подробные чертежи крыла, упи</w:t>
      </w:r>
      <w:r w:rsidRPr="00C94B78">
        <w:rPr>
          <w:rFonts w:ascii="Times New Roman" w:hAnsi="Times New Roman"/>
          <w:color w:val="0070C0"/>
          <w:sz w:val="16"/>
          <w:szCs w:val="16"/>
        </w:rPr>
        <w:softHyphen/>
        <w:t>рая на сходство с DC-3. Наконец согла</w:t>
      </w:r>
      <w:r w:rsidRPr="00C94B78">
        <w:rPr>
          <w:rFonts w:ascii="Times New Roman" w:hAnsi="Times New Roman"/>
          <w:color w:val="0070C0"/>
          <w:sz w:val="16"/>
          <w:szCs w:val="16"/>
        </w:rPr>
        <w:softHyphen/>
        <w:t>шения достигли. Поставки должны были быть осуществлены в июне 1945 г. Ви</w:t>
      </w:r>
      <w:r w:rsidRPr="00C94B78">
        <w:rPr>
          <w:rFonts w:ascii="Times New Roman" w:hAnsi="Times New Roman"/>
          <w:color w:val="0070C0"/>
          <w:sz w:val="16"/>
          <w:szCs w:val="16"/>
        </w:rPr>
        <w:softHyphen/>
        <w:t>димо, из-за частичного замораживания программы ленд-лиза после победы над Германией груз не прибыл. Но ка</w:t>
      </w:r>
      <w:r w:rsidRPr="00C94B78">
        <w:rPr>
          <w:rFonts w:ascii="Times New Roman" w:hAnsi="Times New Roman"/>
          <w:color w:val="0070C0"/>
          <w:sz w:val="16"/>
          <w:szCs w:val="16"/>
        </w:rPr>
        <w:softHyphen/>
        <w:t>кое-то количество комплектов получи</w:t>
      </w:r>
      <w:r w:rsidRPr="00C94B78">
        <w:rPr>
          <w:rFonts w:ascii="Times New Roman" w:hAnsi="Times New Roman"/>
          <w:color w:val="0070C0"/>
          <w:sz w:val="16"/>
          <w:szCs w:val="16"/>
        </w:rPr>
        <w:softHyphen/>
        <w:t>ли, возможно, как запасные к самолетам С-47. Во всяком случае, в 1948 г. завод № 84 установил их на двух машинах (25015).</w:t>
      </w:r>
    </w:p>
    <w:p w14:paraId="2F5850BD" w14:textId="77777777" w:rsidR="00C63BA9" w:rsidRPr="00C94B78" w:rsidRDefault="00C63BA9" w:rsidP="00B56F90">
      <w:pPr>
        <w:spacing w:after="0" w:line="240" w:lineRule="auto"/>
        <w:jc w:val="both"/>
        <w:rPr>
          <w:rFonts w:ascii="Times New Roman" w:hAnsi="Times New Roman"/>
          <w:color w:val="0070C0"/>
          <w:sz w:val="16"/>
          <w:szCs w:val="16"/>
        </w:rPr>
      </w:pPr>
    </w:p>
    <w:p w14:paraId="0A56D5A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04F3E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20CEF1"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 г. член Военного совета ГМЧ генерал-лейтенант Л.М. Гайдуков представил члену ГКО Г.М. Маленкову, курировавшему разработку новых образцов оружия и военной техники, проект постановления ГКО о расширении работ по реактивному вооружению, предусматривающего, в том числе, создание в Наркомате боеприпасов новой организации — СКБ для отработки и промышленного освоения новых образцов реактивных снарядов и совершенствования ранее созданных, а также организацию КБ по пусковым установкам на заводе №733 («Компрессор») Наркомата минометного вооружения. В свою очередь нарком боеприпасов Б.Л. Ванников в октябре 1944 г. подготовил проект постановления о создании в Наркомате боеприпасов ОКБ-3 для разработки реактивного вооружения, предусматривавшего назначение его руководителем Ю.А. Победоносцева.</w:t>
      </w:r>
    </w:p>
    <w:p w14:paraId="74AFD435"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 своей стороны, нарком авиационной промышленности А.И. Шахурин обратился к Г.М. Маленкову с предложением организовать на территории бывшего авиационного завода №482 в районе поселка Владыкино, расположенного недалеко от Всесоюзной сельскохозяйственной выставки за пределами тогдашних границ Москвы, Научно-исследовательский институт реактивного вооружения под руководством Ю.А. Победоносцева.</w:t>
      </w:r>
    </w:p>
    <w:p w14:paraId="186CDB3C"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эти предложения не получили в ГКО поддержки (12205).</w:t>
      </w:r>
    </w:p>
    <w:p w14:paraId="23234884" w14:textId="77777777" w:rsidR="00137373" w:rsidRPr="00070ADE" w:rsidRDefault="00137373" w:rsidP="00B56F90">
      <w:pPr>
        <w:spacing w:after="0" w:line="240" w:lineRule="auto"/>
        <w:jc w:val="both"/>
        <w:rPr>
          <w:rFonts w:ascii="Times New Roman" w:hAnsi="Times New Roman"/>
          <w:color w:val="000000" w:themeColor="text1"/>
          <w:sz w:val="16"/>
          <w:szCs w:val="16"/>
        </w:rPr>
      </w:pPr>
    </w:p>
    <w:p w14:paraId="1BA1C0E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 вышло Постановление ГКО № 5380 Об увеличении производства крупных электромоторов, рудничных электровозов и комплектующего электрооборудования для угольной промышленности на заводах Наркомэлектропрома в 1944 г. РГАНИР, Фонд ГКО, д. 218, лл. 159-165,166-171 (11012).</w:t>
      </w:r>
    </w:p>
    <w:p w14:paraId="277131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C90A34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 вышло Распоряжение ГКО № 5382 [О порядке финансирования восстановительных работ на б. военбазе № 64 в Киеве.] (7198, 174).</w:t>
      </w:r>
    </w:p>
    <w:p w14:paraId="13D47C7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B69D8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 вышло Распоряжение ГКО № 5383 [О расходах на строительно-монтажные работы по восстановлению энергетического хозяйства Киева.] (7198, 175).</w:t>
      </w:r>
    </w:p>
    <w:p w14:paraId="4DC5C01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665AB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 вышло Распоряжение ГКО № 5386. О поставках леса для постройки охотников за подводными лодками на заводе № 640 НКСП. РГАНИР, Фонд ГКО, д. 218, лл. 180-181 (11012).</w:t>
      </w:r>
    </w:p>
    <w:p w14:paraId="0FB1FE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EA1511C"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13 марта 1944 г. АНИМИ ВМФ сообщил краткие характеристики приборов управления стрельбой для проекта 72, но запрошенную у него схему системы управления огнём так и не прислал. Между тем она была необходима для проектирования важнейшего элемента корабля — надстройки-«острова». Поэтому ЦКБ-17 информировал Управление кораблестроения, что разработает такую схему самостоятельно, по своему усмотрению. Подробная схема системы управления огнём с размещением приборов и их развесовкой поступила из АНИМИ только 20 июня. Общий вес всех систем управления огнём (вместе с кабелями) составлял 240 т, личный состав — 10 офицеров, 17 старшин и 101 краснофлотец (25274).</w:t>
      </w:r>
    </w:p>
    <w:p w14:paraId="0DB1A30D" w14:textId="77777777" w:rsidR="00C63BA9" w:rsidRPr="00C94B78" w:rsidRDefault="00C63BA9" w:rsidP="00B56F90">
      <w:pPr>
        <w:spacing w:after="0" w:line="240" w:lineRule="auto"/>
        <w:jc w:val="both"/>
        <w:rPr>
          <w:rFonts w:ascii="Times New Roman" w:hAnsi="Times New Roman"/>
          <w:color w:val="0070C0"/>
          <w:sz w:val="16"/>
          <w:szCs w:val="16"/>
        </w:rPr>
      </w:pPr>
    </w:p>
    <w:p w14:paraId="3A72232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7BB58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34605D"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13 марта</w:t>
      </w:r>
      <w:r w:rsidRPr="00070ADE">
        <w:rPr>
          <w:rFonts w:ascii="Times New Roman" w:hAnsi="Times New Roman"/>
          <w:color w:val="000000" w:themeColor="text1"/>
          <w:sz w:val="16"/>
          <w:szCs w:val="16"/>
        </w:rPr>
        <w:t xml:space="preserve"> в 1944 году оперативная сводка Совинформбюро:</w:t>
      </w:r>
    </w:p>
    <w:p w14:paraId="6961D1EF"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13 марта наши войска, наступающие к юго-западу от города Волочиск, овладели районным центром Тарнопольской области городом Скалат, крупными населёнными пунктами Тоустолуг, Колодзеювка, Старый Скалат, Качанувка, Ивановка, Чернишовка.</w:t>
      </w:r>
    </w:p>
    <w:p w14:paraId="68BFAB4B"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Проскуровском направлении наши войска, преодолевая сопротивление и контратаки пехоты и танков противника, продолжали вести наступательные бои, в ходе которых заняли несколько населённых пунктов.</w:t>
      </w:r>
    </w:p>
    <w:p w14:paraId="1C1B448C"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Винницком направлении наши войска, перейдя в наступление, овладели районными центрами Винницкой области Липовец, Ильинцы, Дашев и с боями занялиболее 60 других населённых пунктов, в том числе крупные населённые пункты Зозов, Счастливая, Ободное, Поповка, Париевка, Хрынивка, Жаданы, Купчынцы, Семиречка.</w:t>
      </w:r>
    </w:p>
    <w:p w14:paraId="5D2182B4"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Умань наши войска продолжали развивать успешное наступление.</w:t>
      </w:r>
    </w:p>
    <w:p w14:paraId="69A0170B"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города Кировоград наши войска, развивая наступление, овладели районным центром Кировоградской области Малые Виски, а также с боями заняли более 100 других населённых пунктов, среди которых крупные населённые пункты Кальни-Болото, Надлак, Коробчино, Полеевка, Россоховатка, Ново-Злынка, Плетёный Ташлык, Ивановка, Захаровка и железнодорожные станции Виска, Плетёный Ташлык.</w:t>
      </w:r>
    </w:p>
    <w:p w14:paraId="3DA0F12A"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города Кривой Рог наши войска с боями продвигались вперёд и овладели районным центром Кировоградской области Устиновка, а также заняли более 50 других населённых пунктов, в том числе крупные населённые пункты Камышевата, Петровка, Новая Егоровка, Ново-Киевка, Израилевка, Червоный Прапор.</w:t>
      </w:r>
    </w:p>
    <w:p w14:paraId="6250AEE0"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Апостолово наши войска, продолжая наступление, овладели районным центром Николаевской области Владимировка и с боями заняли более 100 других населённых пунктов, в том числе крупные населённые пункты Сергеевка, Фёдоровка, Кавказ, Давыдов Брод, Костромка, Крестовоздвиженка, Галагановка, Лиманцы, Тимофеевка, Понятовка, Никольское и железнодорожную станцию Белая Криница.</w:t>
      </w:r>
    </w:p>
    <w:p w14:paraId="4C51A051"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форсировав реку Днепр в нижнем течении, 13 марта в результате уличных боёв овладели городом Херсон — крупным узлом железнодорожных и водных коммуникаций и важным опорным пунктом обороны немцев у устья реки Днепр.</w:t>
      </w:r>
    </w:p>
    <w:p w14:paraId="72800E34"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период с 6 по 12 марта включительно войска 3-го Украинского фронта нанесли противнику следующие потери: уничтожено танков — 115, самоходных орудий — 64,орудий разного калибра — 390, миномётов — 230, пулемётов — 950, бронемашин и бронетранспортёров — 68, тракторов — 57, автомашин — 3.830.</w:t>
      </w:r>
    </w:p>
    <w:p w14:paraId="35ADC55F"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Противник оставил на поле боя более 20.000 трупов солдат и офицеров.</w:t>
      </w:r>
    </w:p>
    <w:p w14:paraId="66799750"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Заэто же время войска 3-го Украинского фронта захватили трофеи: танков — 87, самоходных орудий — 50, полевых орудий разного калибра — 338, миномётов — 142, пулемётов — 1.077, винтовок и автоматов — 8.200, бронемашин и бронетранспортёров— 48, тракторов и тягачей — 121, автомашин — 5.342, паровозов — 27, вагонов —242, складов с боеприпасами, вооружением и другим военным имуществом — 63. Взятов плен свыше 2.500 немецких солдат и офицеров.</w:t>
      </w:r>
    </w:p>
    <w:p w14:paraId="61AED50B"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и в ряде пунктов бои местного значения.</w:t>
      </w:r>
    </w:p>
    <w:p w14:paraId="0B2FDFF1"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12 марта наши войска на всех фронтах подбили и уничтожили 52 немецких танка. В воздушных боях и огнём зенитной артиллерии сбито 23 самолёта противника.».</w:t>
      </w:r>
    </w:p>
    <w:p w14:paraId="46AEC4F7"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Налёт нашей авиации на железнодорожный узел и порт Таллин.</w:t>
      </w:r>
    </w:p>
    <w:p w14:paraId="39C71C36"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 днях наша авиация подвергла сильной бомбардировке скопление немецких воинских эшелонов на железнодорожном узле и суда противника в порту Таллин. В результате бомбардировки возникли пожары: горели эшелоны с войсками, горючим и боеприпасами. Пожары сопровождались взрывами. Сильные пожары и взрывы </w:t>
      </w:r>
      <w:r w:rsidRPr="00070ADE">
        <w:rPr>
          <w:rFonts w:ascii="Times New Roman" w:hAnsi="Times New Roman"/>
          <w:color w:val="000000" w:themeColor="text1"/>
          <w:sz w:val="16"/>
          <w:szCs w:val="16"/>
        </w:rPr>
        <w:lastRenderedPageBreak/>
        <w:t>отмеченытакже в старом порту, на территории морского арсенала, бензохранилища, химического завода и пороховых складов. Пожары наблюдались нашими экипажами с расстояния более 250 километров.</w:t>
      </w:r>
    </w:p>
    <w:p w14:paraId="26920D59"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Пять наших самолётов не вернулись на свои базы.».</w:t>
      </w:r>
    </w:p>
    <w:p w14:paraId="4C16DEFB"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Волочиск наши войска в результате ожесточённых боёв с крупными силами танков и пехоты противника заняли районный центр Тарнопольскойобласти город и железнодорожную станцию Скалат, а также ряд других населённых пунктов. Захвачено у немцев до 1.000 автомашин и крупные склады с продовольствием, боеприпасами и военным имуществом. Уничтожено до 1.200 гитлеровцев, 29 танков и 9 самоходных орудий противника.</w:t>
      </w:r>
    </w:p>
    <w:p w14:paraId="2475203F"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Винницком направлении наши войска перешли в наступление. Советская пехота и танки, при поддержке артиллерии, прорвали вражескую оборону и, успешно продвигаясь вперёд, овладели районными центрами Винницкой области Липовец, Ильинцы и Дашев. Отступая под ударами наших войск, противник несёт огромные потери. Советские части разгромили 18 немецкую артиллерийскую дивизию, захватили много тяжёлых орудий на механической тяге и другие трофеи.</w:t>
      </w:r>
    </w:p>
    <w:p w14:paraId="3C62DB4B"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города Кривой Рог наши войска продолжали наступление. Части Н-ского соединения, овладевшие вчера городом Шевченково и железнодорожным узлом Долинская, захватили у противника 6 танков, 17 самоходных орудий, 33 полевыхорудия, 347 автомашин, 27 паровозов, 8 железнодорожных эшелонов с боеприпасамии, кроме того, 145 вагонов с различными грузами, 200 бочек с бензином, 13 складов с продовольствием и различным военным имуществом. С боями продвигаясь вперёд, наши войска заняли районный центр Кировоградской области Устиновку и ряд других населённых пунктов. Уничтожено до 1.600 немецких солдат и офицеров. Взято значительное число пленных и захвачены два больших склада авиабомб.</w:t>
      </w:r>
    </w:p>
    <w:p w14:paraId="37838DE2"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Апостолово наши войска с боями продвигались вперёд. Бойцы Н-ского соединения, преследуя отступающего противника, овладели районным центром Николаевской области Владимировкой. В бою за этот пункт уничтожено свыше батальона гитлеровцев. Захвачены у немцев 2 танка, 16 орудий, два склада боеприпасов и крупный склад продовольствия. На другом участке противник предпринял ряд ожесточённых контратак. Немцы бросали в контратаки пьяных солдат и офицеров. Ружейно-пулемётным огнём все контратаки противника отбиты с большими для него потерями. Перед нашими позициями осталось до 500 вражеских трупов.</w:t>
      </w:r>
    </w:p>
    <w:p w14:paraId="4CE6F570"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успешно переправились через реку Днепр и стремительным ударом овладели рядом населённых пунктов. Немецкие солдаты и офицеры из этих опорных пунктов в панике бежали в Херсон. Неотступно преследуя немцев, советские бойцы на плечах отступающего противника ворвались в город и завязали уличные бои. Сегодня наши войска полностью овладели Городом Херсон. Захвачено много вооружения и крупные склады противника.</w:t>
      </w:r>
    </w:p>
    <w:p w14:paraId="53629776" w14:textId="77777777" w:rsidR="00E870E7" w:rsidRPr="00070ADE" w:rsidRDefault="00E870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Каменец-Подольской области, с 16 по 27 февраля вёл непрерывные бои с противником. В этих боях советские патриоты уничтожили две роты гитлеровцев. Другой отряд каменец-подольских партизан в ночьна 27 февраля внезапно напал на немецкий гарнизон, расположенный в одном районном центре. Гитлеровцы в панике бежали. На улицах села осталось свыше 50 вражеских трупов. Партизаны захватили трофеи и пленных.» (15067).</w:t>
      </w:r>
    </w:p>
    <w:p w14:paraId="0859788A" w14:textId="77777777" w:rsidR="00E870E7" w:rsidRPr="00070ADE" w:rsidRDefault="00E870E7" w:rsidP="00B56F90">
      <w:pPr>
        <w:spacing w:after="0" w:line="240" w:lineRule="auto"/>
        <w:jc w:val="both"/>
        <w:rPr>
          <w:rFonts w:ascii="Times New Roman" w:hAnsi="Times New Roman"/>
          <w:color w:val="000000" w:themeColor="text1"/>
          <w:sz w:val="16"/>
          <w:szCs w:val="16"/>
        </w:rPr>
      </w:pPr>
    </w:p>
    <w:p w14:paraId="6B720479" w14:textId="77777777" w:rsidR="00BC5781" w:rsidRPr="00070ADE" w:rsidRDefault="00BC5781" w:rsidP="00B56F90">
      <w:pPr>
        <w:pStyle w:val="ae"/>
        <w:spacing w:before="0" w:after="0"/>
        <w:jc w:val="both"/>
        <w:textAlignment w:val="baseline"/>
        <w:rPr>
          <w:color w:val="000000" w:themeColor="text1"/>
          <w:sz w:val="16"/>
          <w:szCs w:val="16"/>
        </w:rPr>
      </w:pPr>
      <w:r w:rsidRPr="00070ADE">
        <w:rPr>
          <w:color w:val="000000" w:themeColor="text1"/>
          <w:sz w:val="16"/>
          <w:szCs w:val="16"/>
        </w:rPr>
        <w:t>Утром 13 марта 1944 штурмовики 11-й шад совершили налет на порт Феодосия. В нем приняли участие 30 Ил-2 из 47-го шап и 8-го гв. шап и столько же истребителей сопровождения. На подходе группа была атакована 20 Bf-109G из II./JG52. Последним удалось отсечь эскорт и атаковать штурмовики. В итоге немцы сбили пять «цементбомберов», а три тяжело повредили. Еще один Ил стал жертвой зенитчиков. В свою очередь, советские летчики заявили о семи сбитых мессерах, из которых два записали экипажу лейтенанта Акаева.</w:t>
      </w:r>
    </w:p>
    <w:p w14:paraId="10227498" w14:textId="77777777" w:rsidR="00BC5781" w:rsidRPr="00070ADE" w:rsidRDefault="00BC5781" w:rsidP="00B56F90">
      <w:pPr>
        <w:pStyle w:val="ae"/>
        <w:spacing w:before="0" w:after="0"/>
        <w:jc w:val="both"/>
        <w:textAlignment w:val="baseline"/>
        <w:rPr>
          <w:color w:val="000000" w:themeColor="text1"/>
          <w:sz w:val="16"/>
          <w:szCs w:val="16"/>
        </w:rPr>
      </w:pPr>
      <w:r w:rsidRPr="00070ADE">
        <w:rPr>
          <w:color w:val="000000" w:themeColor="text1"/>
          <w:sz w:val="16"/>
          <w:szCs w:val="16"/>
        </w:rPr>
        <w:t>Днем «спецштурмовики» атаковали конвой из мелких кораблей и барж, обнаруженный в Керченском проливе. Однако этот вылет закончился неудачей. Неповоротливые самолеты с пушечными контейнерами под плоскостями просто не успевали маневрировать, и все выпущенные ими снаряды ложились далеко от целей. В итоге ни одну цель поразить так и не удалось.</w:t>
      </w:r>
    </w:p>
    <w:p w14:paraId="14DFAE95" w14:textId="77777777" w:rsidR="00BC5781" w:rsidRPr="00070ADE" w:rsidRDefault="00BC5781" w:rsidP="00B56F90">
      <w:pPr>
        <w:pStyle w:val="ae"/>
        <w:spacing w:before="0" w:after="0"/>
        <w:jc w:val="both"/>
        <w:textAlignment w:val="baseline"/>
        <w:rPr>
          <w:color w:val="000000" w:themeColor="text1"/>
          <w:sz w:val="16"/>
          <w:szCs w:val="16"/>
        </w:rPr>
      </w:pPr>
      <w:r w:rsidRPr="00070ADE">
        <w:rPr>
          <w:color w:val="000000" w:themeColor="text1"/>
          <w:sz w:val="16"/>
          <w:szCs w:val="16"/>
        </w:rPr>
        <w:t>Вечером того же 13 марта состоялся повторный налет на Феодосию, в котором снова участвовали 30 Ил-2 и уже 38 истребителей из 11-й шад. Прикрытие задачу снова не выполнило. И на этот раз обратно не вернулись семь «горбатых», еще двенадцать получили сильные повреждения и с трудом дотянули до своей территории. Часть из них совершили вынужденные посадки «на живот» с убитыми бортстрелками в задних кабинах.</w:t>
      </w:r>
    </w:p>
    <w:p w14:paraId="643948EB" w14:textId="77777777" w:rsidR="00BC5781" w:rsidRPr="00070ADE" w:rsidRDefault="00BC5781" w:rsidP="00B56F90">
      <w:pPr>
        <w:pStyle w:val="ae"/>
        <w:spacing w:before="0" w:after="0"/>
        <w:jc w:val="both"/>
        <w:textAlignment w:val="baseline"/>
        <w:rPr>
          <w:color w:val="000000" w:themeColor="text1"/>
          <w:sz w:val="16"/>
          <w:szCs w:val="16"/>
        </w:rPr>
      </w:pPr>
      <w:r w:rsidRPr="00070ADE">
        <w:rPr>
          <w:color w:val="000000" w:themeColor="text1"/>
          <w:sz w:val="16"/>
          <w:szCs w:val="16"/>
        </w:rPr>
        <w:t>В тот день пилотам II./JG52 засчитали двенадцать сбитых Ил-2, что соответствует фактическим потерям советской стороны. Отличился фельдфебель Андреас Штерл из 4-й эскадрильи, на чьем счету было сразу четыре «цементбомбера».</w:t>
      </w:r>
    </w:p>
    <w:p w14:paraId="04AF4175" w14:textId="560C7036" w:rsidR="00BC5781" w:rsidRPr="00070ADE" w:rsidRDefault="00BC5781" w:rsidP="00B56F90">
      <w:pPr>
        <w:pStyle w:val="ae"/>
        <w:spacing w:before="0" w:after="0"/>
        <w:jc w:val="both"/>
        <w:textAlignment w:val="baseline"/>
        <w:rPr>
          <w:color w:val="000000" w:themeColor="text1"/>
          <w:sz w:val="16"/>
          <w:szCs w:val="16"/>
        </w:rPr>
      </w:pPr>
      <w:r w:rsidRPr="00070ADE">
        <w:rPr>
          <w:color w:val="000000" w:themeColor="text1"/>
          <w:sz w:val="16"/>
          <w:szCs w:val="16"/>
        </w:rPr>
        <w:t>Для выяснения больших потерь 11-й шад создали специальную комиссию, в которую вошли командующий ВВС ВМФ генерал-полковник С.</w:t>
      </w:r>
      <w:r w:rsidR="00B643A8" w:rsidRPr="00070ADE">
        <w:rPr>
          <w:color w:val="000000" w:themeColor="text1"/>
          <w:sz w:val="16"/>
          <w:szCs w:val="16"/>
        </w:rPr>
        <w:t xml:space="preserve"> </w:t>
      </w:r>
      <w:r w:rsidRPr="00070ADE">
        <w:rPr>
          <w:color w:val="000000" w:themeColor="text1"/>
          <w:sz w:val="16"/>
          <w:szCs w:val="16"/>
        </w:rPr>
        <w:t>Ф.</w:t>
      </w:r>
      <w:r w:rsidR="00B643A8" w:rsidRPr="00070ADE">
        <w:rPr>
          <w:color w:val="000000" w:themeColor="text1"/>
          <w:sz w:val="16"/>
          <w:szCs w:val="16"/>
        </w:rPr>
        <w:t xml:space="preserve"> </w:t>
      </w:r>
      <w:r w:rsidRPr="00070ADE">
        <w:rPr>
          <w:color w:val="000000" w:themeColor="text1"/>
          <w:sz w:val="16"/>
          <w:szCs w:val="16"/>
        </w:rPr>
        <w:t>Жаворонков и командующий ВВС Черноморского флота генерал-лейтенант В.</w:t>
      </w:r>
      <w:r w:rsidR="00B643A8" w:rsidRPr="00070ADE">
        <w:rPr>
          <w:color w:val="000000" w:themeColor="text1"/>
          <w:sz w:val="16"/>
          <w:szCs w:val="16"/>
        </w:rPr>
        <w:t xml:space="preserve"> </w:t>
      </w:r>
      <w:r w:rsidRPr="00070ADE">
        <w:rPr>
          <w:color w:val="000000" w:themeColor="text1"/>
          <w:sz w:val="16"/>
          <w:szCs w:val="16"/>
        </w:rPr>
        <w:t>В.</w:t>
      </w:r>
      <w:r w:rsidR="00B643A8" w:rsidRPr="00070ADE">
        <w:rPr>
          <w:color w:val="000000" w:themeColor="text1"/>
          <w:sz w:val="16"/>
          <w:szCs w:val="16"/>
        </w:rPr>
        <w:t xml:space="preserve"> </w:t>
      </w:r>
      <w:r w:rsidRPr="00070ADE">
        <w:rPr>
          <w:color w:val="000000" w:themeColor="text1"/>
          <w:sz w:val="16"/>
          <w:szCs w:val="16"/>
        </w:rPr>
        <w:t>Ермаченков. По результатам ее работы командир 8-го гв. шап гвардии подполковник Челноков и командир 47-го шап майор Степанян получили выговоры за плохое планирование операции (19522).</w:t>
      </w:r>
    </w:p>
    <w:p w14:paraId="526ED010" w14:textId="77777777" w:rsidR="00BC5781" w:rsidRPr="00070ADE" w:rsidRDefault="00BC5781" w:rsidP="00B56F90">
      <w:pPr>
        <w:pStyle w:val="ae"/>
        <w:spacing w:before="0" w:after="0"/>
        <w:jc w:val="both"/>
        <w:textAlignment w:val="baseline"/>
        <w:rPr>
          <w:color w:val="000000" w:themeColor="text1"/>
          <w:sz w:val="16"/>
          <w:szCs w:val="16"/>
        </w:rPr>
      </w:pPr>
    </w:p>
    <w:p w14:paraId="0030D64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 вышло Постановление ГКО № 5384 О дальнейшем развитии Авиации дальнего действия. (7198, 176-177).</w:t>
      </w:r>
    </w:p>
    <w:p w14:paraId="6C97FFF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43486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 вышло Постановление ГКО № 5385 О реорганизации и усилении авиационных школ Авиации дальнего действия. (7198, 178-179).</w:t>
      </w:r>
    </w:p>
    <w:p w14:paraId="163C622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8ED6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 г. в соответствии с постановлением ГКО N 5384 началось формирование полков на Ер-2 в нескольких корпусах АДД. Понимание, что самолет наверняка потребует доводки, а также отсутствие необходимого количества бомбардировщиков для укомплектования всех авиачастей весной 1944 г. вызвали не совсем обычное решение - не перевооружать имеющиеся полки, ведущие боевую работу, а сформировать совершенно новые. Все семь развернутых авиаполков волею оргмобуправления КА получили по каким-то причинам неиспользованные ранее "трехсотые" номера (к этому времени в составе ВВС и АДД имелись уже и "девятисотые", и даже "тысячные" полки) (3322,46).</w:t>
      </w:r>
    </w:p>
    <w:p w14:paraId="73C9AB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BC84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 года черноморцы совершили налет на Феодосию. В налете участвовали 30 Ил-2 из 47-го ШАП и 8-го ГШАП, а также 30 истребителей прикрытия. Илы 47го полка несли 37-мм пушки - эту модификацию называли термином "спецштурмовики" (2691). Ошибки в навигации привели к тому, что самолеты не сразу вышли к цели, что дало немцам время подготовиться. В воздухе вилось около 20 Вf109 и FW-190, часть которых вступила в бой с истребителями сопровождения, а другая занялась охотой на Илы. Немцам удалось сбить пять штурмовиков, а еще три "летающих танка" получили тяжелые повреждения. Еще один Ил сбили зенитчики. Советские летчики заявили 7 побед, из которых две пришлось на экипаж лейтенанта Ю. Акаева (один самолет сбил пилот, другой - стрелок-радист). Однако понесенные потери были достаточно ощутимы, чтобы с инспекцией в часть прибыл командующий ВВС ВМФ, генерал подполковник С.Ф. Жаворонков и командующий ВВС ЧФ, генерал-лейтенант В.В. Ермаченков. Командиры полков и эскадрилий получили нагоняй за бестолковое планирование операции (2691). Тем временем трагикомический характер приобрела одна операция, проведенная в тот же самый день. Все происходило так. Пара "мессеров" села на хвост разведывательному А-20, в то время как "мессерам" на хвост села четверка Як-9 из 6-го ГИАП. Советские пилоты выжимали из своих самолетов все что только можно, но догнать немцев не могли. В результате А-20 был сбит. Его пилот совершил ошибку, поскольку гнал свой самолет, не давая возможности истребителям прикрытия догнать немцев. После этого события командир звена истребителей был отчислен из части за невыполнение боевого задания (2691).</w:t>
      </w:r>
    </w:p>
    <w:p w14:paraId="4D2B8E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08D2A1" w14:textId="77777777" w:rsidR="00EC7700" w:rsidRPr="00070ADE" w:rsidRDefault="00EC770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Утром 13 марта 1944 штурмовики 11</w:t>
      </w:r>
      <w:r w:rsidRPr="00070ADE">
        <w:rPr>
          <w:rFonts w:ascii="Times New Roman" w:hAnsi="Times New Roman"/>
          <w:color w:val="000000" w:themeColor="text1"/>
          <w:sz w:val="16"/>
          <w:szCs w:val="16"/>
        </w:rPr>
        <w:noBreakHyphen/>
        <w:t>й шад совершили налет на порт Феодосия. В нем приняли участие 30 Ил</w:t>
      </w:r>
      <w:r w:rsidRPr="00070ADE">
        <w:rPr>
          <w:rFonts w:ascii="Times New Roman" w:hAnsi="Times New Roman"/>
          <w:color w:val="000000" w:themeColor="text1"/>
          <w:sz w:val="16"/>
          <w:szCs w:val="16"/>
        </w:rPr>
        <w:noBreakHyphen/>
        <w:t>2 из 47</w:t>
      </w:r>
      <w:r w:rsidRPr="00070ADE">
        <w:rPr>
          <w:rFonts w:ascii="Times New Roman" w:hAnsi="Times New Roman"/>
          <w:color w:val="000000" w:themeColor="text1"/>
          <w:sz w:val="16"/>
          <w:szCs w:val="16"/>
        </w:rPr>
        <w:noBreakHyphen/>
        <w:t>го шап и 8</w:t>
      </w:r>
      <w:r w:rsidRPr="00070ADE">
        <w:rPr>
          <w:rFonts w:ascii="Times New Roman" w:hAnsi="Times New Roman"/>
          <w:color w:val="000000" w:themeColor="text1"/>
          <w:sz w:val="16"/>
          <w:szCs w:val="16"/>
        </w:rPr>
        <w:noBreakHyphen/>
        <w:t>го гв. шап и столько же истребителей сопровождения. На подходе группа была атакована 20 Bf</w:t>
      </w:r>
      <w:r w:rsidRPr="00070ADE">
        <w:rPr>
          <w:rFonts w:ascii="Times New Roman" w:hAnsi="Times New Roman"/>
          <w:color w:val="000000" w:themeColor="text1"/>
          <w:sz w:val="16"/>
          <w:szCs w:val="16"/>
        </w:rPr>
        <w:noBreakHyphen/>
        <w:t>109G из II./JG52. Последним удалось отсечь эскорт и атаковать штурмовики. В итоге немцы сбили пять «цементбомберов», а три тяжело повредили. Еще один Ил стал жертвой зенитчиков. В свою очередь, советские летчики заявили о семи сбитых мессерах, из которых два записали экипажу лейтенанта Акаева.</w:t>
      </w:r>
    </w:p>
    <w:p w14:paraId="5A85594E" w14:textId="77777777" w:rsidR="00EC7700" w:rsidRPr="00070ADE" w:rsidRDefault="00EC770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Днем «спецштурмовики» атаковали конвой из мелких кораблей и барж, обнаруженный в Керченском проливе. Однако этот вылет закончился неудачей. Неповоротливые самолеты с пушечными контейнерами под плоскостями просто не успевали маневрировать, и все выпущенные ими снаряды ложились далеко от целей. В итоге ни одну цель поразить так и не удалось (23199).</w:t>
      </w:r>
    </w:p>
    <w:p w14:paraId="48BFF7FA" w14:textId="77777777" w:rsidR="00EC7700" w:rsidRPr="00070ADE" w:rsidRDefault="00EC7700" w:rsidP="00B56F90">
      <w:pPr>
        <w:spacing w:after="0" w:line="240" w:lineRule="auto"/>
        <w:jc w:val="both"/>
        <w:rPr>
          <w:rFonts w:ascii="Times New Roman" w:hAnsi="Times New Roman"/>
          <w:color w:val="000000" w:themeColor="text1"/>
          <w:sz w:val="16"/>
          <w:szCs w:val="16"/>
        </w:rPr>
      </w:pPr>
    </w:p>
    <w:p w14:paraId="07990837" w14:textId="77777777" w:rsidR="00EC7700" w:rsidRPr="00070ADE" w:rsidRDefault="00EC770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 состоялся повторный налет на Феодосию, в котором снова участвовали 30 Ил</w:t>
      </w:r>
      <w:r w:rsidRPr="00070ADE">
        <w:rPr>
          <w:rFonts w:ascii="Times New Roman" w:hAnsi="Times New Roman"/>
          <w:color w:val="000000" w:themeColor="text1"/>
          <w:sz w:val="16"/>
          <w:szCs w:val="16"/>
        </w:rPr>
        <w:noBreakHyphen/>
        <w:t>2 и уже 38 истребителей из 11</w:t>
      </w:r>
      <w:r w:rsidRPr="00070ADE">
        <w:rPr>
          <w:rFonts w:ascii="Times New Roman" w:hAnsi="Times New Roman"/>
          <w:color w:val="000000" w:themeColor="text1"/>
          <w:sz w:val="16"/>
          <w:szCs w:val="16"/>
        </w:rPr>
        <w:noBreakHyphen/>
        <w:t>й шад. Прикрытие задачу снова не выполнило. И на этот раз обратно не вернулись семь «горбатых», еще двенадцать получили сильные повреждения и с трудом дотянули до своей территории. Часть из них совершили вынужденные посадки «на живот» с убитыми бортстрелками в задних кабинах.</w:t>
      </w:r>
    </w:p>
    <w:p w14:paraId="14DCEA05" w14:textId="77777777" w:rsidR="00EC7700" w:rsidRPr="00070ADE" w:rsidRDefault="00EC770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тот день пилотам II./JG52 засчитали двенадцать сбитых Ил</w:t>
      </w:r>
      <w:r w:rsidRPr="00070ADE">
        <w:rPr>
          <w:rFonts w:ascii="Times New Roman" w:hAnsi="Times New Roman"/>
          <w:color w:val="000000" w:themeColor="text1"/>
          <w:sz w:val="16"/>
          <w:szCs w:val="16"/>
        </w:rPr>
        <w:noBreakHyphen/>
        <w:t>2, что соответствует фактическим потерям советской стороны. Отличился фельдфебель Андреас Штерл из 4</w:t>
      </w:r>
      <w:r w:rsidRPr="00070ADE">
        <w:rPr>
          <w:rFonts w:ascii="Times New Roman" w:hAnsi="Times New Roman"/>
          <w:color w:val="000000" w:themeColor="text1"/>
          <w:sz w:val="16"/>
          <w:szCs w:val="16"/>
        </w:rPr>
        <w:noBreakHyphen/>
        <w:t>й эскадрильи, на чьем счету было сразу четыре «цементбомбера» (23199).</w:t>
      </w:r>
    </w:p>
    <w:p w14:paraId="7A0A7297" w14:textId="77777777" w:rsidR="00EC7700" w:rsidRPr="00070ADE" w:rsidRDefault="00EC7700" w:rsidP="00B56F90">
      <w:pPr>
        <w:spacing w:after="0" w:line="240" w:lineRule="auto"/>
        <w:jc w:val="both"/>
        <w:rPr>
          <w:rFonts w:ascii="Times New Roman" w:hAnsi="Times New Roman"/>
          <w:color w:val="000000" w:themeColor="text1"/>
          <w:sz w:val="16"/>
          <w:szCs w:val="16"/>
        </w:rPr>
      </w:pPr>
    </w:p>
    <w:p w14:paraId="1B0E735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 советские войска освободили от фашистов Херсон (4962).</w:t>
      </w:r>
    </w:p>
    <w:p w14:paraId="146BDCA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FC92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March 13 1944 Soviet troops force Dnieper River and take Kherson (1037).</w:t>
      </w:r>
    </w:p>
    <w:p w14:paraId="5C8AAD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F2087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 КА форсировала Днепр и взяла Херсон (1037).</w:t>
      </w:r>
    </w:p>
    <w:p w14:paraId="2E01FC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2813B2" w14:textId="763DD6D8" w:rsidR="007D0B5C" w:rsidRPr="00070ADE" w:rsidRDefault="007D0B5C"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70ADE">
        <w:rPr>
          <w:rFonts w:ascii="Times New Roman" w:hAnsi="Times New Roman"/>
          <w:i/>
          <w:iCs/>
          <w:color w:val="000000" w:themeColor="text1"/>
          <w:sz w:val="16"/>
          <w:szCs w:val="16"/>
        </w:rPr>
        <w:t>За рубежом:</w:t>
      </w:r>
    </w:p>
    <w:p w14:paraId="3D8115B5" w14:textId="77777777" w:rsidR="007D0B5C" w:rsidRPr="00070ADE" w:rsidRDefault="007D0B5C"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3D681C4C" w14:textId="77777777" w:rsidR="007D0B5C" w:rsidRPr="00070ADE" w:rsidRDefault="007D0B5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13–14 марта (ночь) 1944 222 британских бомбардировщика атакуют железнодорожные станции в Ле-Мане, потеряв один галифакс. В ходе рейда был нанесен серьезный ущерб железнодорожной станции и двум ближайшим заводам, а также было уничтожено 15 локомотивов и 800 железнодорожных вагонов (20373).</w:t>
      </w:r>
    </w:p>
    <w:p w14:paraId="5E1264F4" w14:textId="77777777" w:rsidR="007D0B5C" w:rsidRPr="00070ADE" w:rsidRDefault="007D0B5C" w:rsidP="00B56F90">
      <w:pPr>
        <w:spacing w:after="0" w:line="240" w:lineRule="auto"/>
        <w:jc w:val="both"/>
        <w:rPr>
          <w:rFonts w:ascii="Times New Roman" w:hAnsi="Times New Roman"/>
          <w:color w:val="000000" w:themeColor="text1"/>
          <w:sz w:val="16"/>
          <w:szCs w:val="16"/>
        </w:rPr>
      </w:pPr>
    </w:p>
    <w:p w14:paraId="62F6209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174DED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AA43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марта 1944 года</w:t>
      </w:r>
    </w:p>
    <w:p w14:paraId="55FB8C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ЛИЧНО И СЕКРЕТНО ОТ ПРЕМЬЕРА И. В. СТАЛИНА ПРЕМЬЕР-МИНИСТРУ г-ну У. ЧЕРЧИЛЛЮ</w:t>
      </w:r>
    </w:p>
    <w:p w14:paraId="2E4AAC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Благодарю за Ваше сообщение о последнем конвое, который доставил Советскому Союзу нужные грузы. С большим удовлетворением узнал из Вашей телеграммы, что по дороге конвой потопил четыре вражеские подводные лодки (7430).</w:t>
      </w:r>
    </w:p>
    <w:p w14:paraId="01C775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00E224" w14:textId="77777777" w:rsidR="007A1E0D"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28F076E4" w14:textId="77777777" w:rsidR="007A1E0D" w:rsidRPr="00070ADE" w:rsidRDefault="007A1E0D"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0DE451"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13 марта</w:t>
      </w:r>
      <w:r w:rsidRPr="00070ADE">
        <w:rPr>
          <w:rFonts w:ascii="Times New Roman" w:hAnsi="Times New Roman"/>
          <w:color w:val="000000" w:themeColor="text1"/>
          <w:sz w:val="16"/>
          <w:szCs w:val="16"/>
        </w:rPr>
        <w:t xml:space="preserve"> в 1944 году начало стендовых испытаний двигателя «Х19В» фирмы "Вестингауз". В серию двигатель пошел под названием «J30». Для проведения летных испытаний этого двигателя был специально переоборудован самолет Мартин JM-1 "Мародер» (15067).</w:t>
      </w:r>
    </w:p>
    <w:p w14:paraId="2BFCC8F3" w14:textId="77777777" w:rsidR="007A1E0D" w:rsidRPr="00070ADE" w:rsidRDefault="007A1E0D" w:rsidP="00B56F90">
      <w:pPr>
        <w:spacing w:after="0" w:line="240" w:lineRule="auto"/>
        <w:jc w:val="both"/>
        <w:rPr>
          <w:rFonts w:ascii="Times New Roman" w:hAnsi="Times New Roman"/>
          <w:color w:val="000000" w:themeColor="text1"/>
          <w:sz w:val="16"/>
          <w:szCs w:val="16"/>
        </w:rPr>
      </w:pPr>
    </w:p>
    <w:p w14:paraId="1BB5DDB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2B0825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8FAB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г., когда самолет уже был закончен по сборке и находился в Москве на авиазаводе № 240 с целью дальней</w:t>
      </w:r>
      <w:r w:rsidRPr="00070ADE">
        <w:rPr>
          <w:rFonts w:ascii="Times New Roman" w:hAnsi="Times New Roman"/>
          <w:color w:val="000000" w:themeColor="text1"/>
          <w:sz w:val="16"/>
          <w:szCs w:val="16"/>
        </w:rPr>
        <w:softHyphen/>
        <w:t>шей доводки и проведения испыта</w:t>
      </w:r>
      <w:r w:rsidRPr="00070ADE">
        <w:rPr>
          <w:rFonts w:ascii="Times New Roman" w:hAnsi="Times New Roman"/>
          <w:color w:val="000000" w:themeColor="text1"/>
          <w:sz w:val="16"/>
          <w:szCs w:val="16"/>
        </w:rPr>
        <w:softHyphen/>
        <w:t>ний, как следует из до</w:t>
      </w:r>
      <w:r w:rsidRPr="00070ADE">
        <w:rPr>
          <w:rFonts w:ascii="Times New Roman" w:hAnsi="Times New Roman"/>
          <w:color w:val="000000" w:themeColor="text1"/>
          <w:sz w:val="16"/>
          <w:szCs w:val="16"/>
        </w:rPr>
        <w:softHyphen/>
        <w:t>кументов, эскизный проект Ил-1 АМ-42 в двухместном варианте только поступил в НИИ ВВС. Очевидно, что в этих условиях внесение каких-либо серьезных из</w:t>
      </w:r>
      <w:r w:rsidRPr="00070ADE">
        <w:rPr>
          <w:rFonts w:ascii="Times New Roman" w:hAnsi="Times New Roman"/>
          <w:color w:val="000000" w:themeColor="text1"/>
          <w:sz w:val="16"/>
          <w:szCs w:val="16"/>
        </w:rPr>
        <w:softHyphen/>
        <w:t>менений в конструкцию машины практически исключалось. То есть получается так, что штурмовой ва</w:t>
      </w:r>
      <w:r w:rsidRPr="00070ADE">
        <w:rPr>
          <w:rFonts w:ascii="Times New Roman" w:hAnsi="Times New Roman"/>
          <w:color w:val="000000" w:themeColor="text1"/>
          <w:sz w:val="16"/>
          <w:szCs w:val="16"/>
        </w:rPr>
        <w:softHyphen/>
        <w:t>риант самолета Ил-1 строился без утвержденного ВВС эскизного про</w:t>
      </w:r>
      <w:r w:rsidRPr="00070ADE">
        <w:rPr>
          <w:rFonts w:ascii="Times New Roman" w:hAnsi="Times New Roman"/>
          <w:color w:val="000000" w:themeColor="text1"/>
          <w:sz w:val="16"/>
          <w:szCs w:val="16"/>
        </w:rPr>
        <w:softHyphen/>
        <w:t>екта и макета.</w:t>
      </w:r>
    </w:p>
    <w:p w14:paraId="0CB021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Надо полагать, С. В. Ильюшин, затягивая всеми возможными спосо</w:t>
      </w:r>
      <w:r w:rsidRPr="00070ADE">
        <w:rPr>
          <w:rFonts w:ascii="Times New Roman" w:hAnsi="Times New Roman"/>
          <w:color w:val="000000" w:themeColor="text1"/>
          <w:sz w:val="16"/>
          <w:szCs w:val="16"/>
        </w:rPr>
        <w:softHyphen/>
        <w:t>бами передачу в НИИ ВВС матери</w:t>
      </w:r>
      <w:r w:rsidRPr="00070ADE">
        <w:rPr>
          <w:rFonts w:ascii="Times New Roman" w:hAnsi="Times New Roman"/>
          <w:color w:val="000000" w:themeColor="text1"/>
          <w:sz w:val="16"/>
          <w:szCs w:val="16"/>
        </w:rPr>
        <w:softHyphen/>
        <w:t>алов по новому штурмовику, опасал</w:t>
      </w:r>
      <w:r w:rsidRPr="00070ADE">
        <w:rPr>
          <w:rFonts w:ascii="Times New Roman" w:hAnsi="Times New Roman"/>
          <w:color w:val="000000" w:themeColor="text1"/>
          <w:sz w:val="16"/>
          <w:szCs w:val="16"/>
        </w:rPr>
        <w:softHyphen/>
        <w:t>ся, что рассмотрение военными эс</w:t>
      </w:r>
      <w:r w:rsidRPr="00070ADE">
        <w:rPr>
          <w:rFonts w:ascii="Times New Roman" w:hAnsi="Times New Roman"/>
          <w:color w:val="000000" w:themeColor="text1"/>
          <w:sz w:val="16"/>
          <w:szCs w:val="16"/>
        </w:rPr>
        <w:softHyphen/>
        <w:t>кизного проекта вполне вероятно закончится перечнем недостатков и требований, которые необходимо будет отрабатывать. Утверждение проекта затянется. В это время спе</w:t>
      </w:r>
      <w:r w:rsidRPr="00070ADE">
        <w:rPr>
          <w:rFonts w:ascii="Times New Roman" w:hAnsi="Times New Roman"/>
          <w:color w:val="000000" w:themeColor="text1"/>
          <w:sz w:val="16"/>
          <w:szCs w:val="16"/>
        </w:rPr>
        <w:softHyphen/>
        <w:t>циалисты ОКБ П. О. Сухого сумеют довести Су-6 АМ-42 до требуемого уровня надежности и надобность в Ил-1 отпадет.</w:t>
      </w:r>
    </w:p>
    <w:p w14:paraId="5BF89E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и следовало ожидать, проек</w:t>
      </w:r>
      <w:r w:rsidRPr="00070ADE">
        <w:rPr>
          <w:rFonts w:ascii="Times New Roman" w:hAnsi="Times New Roman"/>
          <w:color w:val="000000" w:themeColor="text1"/>
          <w:sz w:val="16"/>
          <w:szCs w:val="16"/>
        </w:rPr>
        <w:softHyphen/>
        <w:t>том самолета Ил-1 специалисты НИИ ВВС остались недовольны. Началь</w:t>
      </w:r>
      <w:r w:rsidRPr="00070ADE">
        <w:rPr>
          <w:rFonts w:ascii="Times New Roman" w:hAnsi="Times New Roman"/>
          <w:color w:val="000000" w:themeColor="text1"/>
          <w:sz w:val="16"/>
          <w:szCs w:val="16"/>
        </w:rPr>
        <w:softHyphen/>
        <w:t>ник 4-го отделения 3-го отдела ин</w:t>
      </w:r>
      <w:r w:rsidRPr="00070ADE">
        <w:rPr>
          <w:rFonts w:ascii="Times New Roman" w:hAnsi="Times New Roman"/>
          <w:color w:val="000000" w:themeColor="text1"/>
          <w:sz w:val="16"/>
          <w:szCs w:val="16"/>
        </w:rPr>
        <w:softHyphen/>
        <w:t>ститута инженер-майор В. С. Холо</w:t>
      </w:r>
      <w:r w:rsidRPr="00070ADE">
        <w:rPr>
          <w:rFonts w:ascii="Times New Roman" w:hAnsi="Times New Roman"/>
          <w:color w:val="000000" w:themeColor="text1"/>
          <w:sz w:val="16"/>
          <w:szCs w:val="16"/>
        </w:rPr>
        <w:softHyphen/>
        <w:t>пов и ведущий инженер 3-го отдела инженер-майор П. Т. Аброщенко писали, что в материалах ОКБ от</w:t>
      </w:r>
      <w:r w:rsidRPr="00070ADE">
        <w:rPr>
          <w:rFonts w:ascii="Times New Roman" w:hAnsi="Times New Roman"/>
          <w:color w:val="000000" w:themeColor="text1"/>
          <w:sz w:val="16"/>
          <w:szCs w:val="16"/>
        </w:rPr>
        <w:softHyphen/>
        <w:t>сутствуют: тактическое назначение самолета, описание конструкции и расчет на прочность, состав специ</w:t>
      </w:r>
      <w:r w:rsidRPr="00070ADE">
        <w:rPr>
          <w:rFonts w:ascii="Times New Roman" w:hAnsi="Times New Roman"/>
          <w:color w:val="000000" w:themeColor="text1"/>
          <w:sz w:val="16"/>
          <w:szCs w:val="16"/>
        </w:rPr>
        <w:softHyphen/>
        <w:t>ального оборудования и его компо</w:t>
      </w:r>
      <w:r w:rsidRPr="00070ADE">
        <w:rPr>
          <w:rFonts w:ascii="Times New Roman" w:hAnsi="Times New Roman"/>
          <w:color w:val="000000" w:themeColor="text1"/>
          <w:sz w:val="16"/>
          <w:szCs w:val="16"/>
        </w:rPr>
        <w:softHyphen/>
        <w:t>новка на самолете, а также расчеты маневренности, устойчивости и по</w:t>
      </w:r>
      <w:r w:rsidRPr="00070ADE">
        <w:rPr>
          <w:rFonts w:ascii="Times New Roman" w:hAnsi="Times New Roman"/>
          <w:color w:val="000000" w:themeColor="text1"/>
          <w:sz w:val="16"/>
          <w:szCs w:val="16"/>
        </w:rPr>
        <w:softHyphen/>
        <w:t>ляры крыла. Установка на самолете системы заполнения бензобаков ней</w:t>
      </w:r>
      <w:r w:rsidRPr="00070ADE">
        <w:rPr>
          <w:rFonts w:ascii="Times New Roman" w:hAnsi="Times New Roman"/>
          <w:color w:val="000000" w:themeColor="text1"/>
          <w:sz w:val="16"/>
          <w:szCs w:val="16"/>
        </w:rPr>
        <w:softHyphen/>
        <w:t>тральным газом не предполагалась. Не было предусмотрено дублирова</w:t>
      </w:r>
      <w:r w:rsidRPr="00070ADE">
        <w:rPr>
          <w:rFonts w:ascii="Times New Roman" w:hAnsi="Times New Roman"/>
          <w:color w:val="000000" w:themeColor="text1"/>
          <w:sz w:val="16"/>
          <w:szCs w:val="16"/>
        </w:rPr>
        <w:softHyphen/>
        <w:t>ние в канале управления рулем вы</w:t>
      </w:r>
      <w:r w:rsidRPr="00070ADE">
        <w:rPr>
          <w:rFonts w:ascii="Times New Roman" w:hAnsi="Times New Roman"/>
          <w:color w:val="000000" w:themeColor="text1"/>
          <w:sz w:val="16"/>
          <w:szCs w:val="16"/>
        </w:rPr>
        <w:softHyphen/>
        <w:t>соты и направления. Воздушный стре</w:t>
      </w:r>
      <w:r w:rsidRPr="00070ADE">
        <w:rPr>
          <w:rFonts w:ascii="Times New Roman" w:hAnsi="Times New Roman"/>
          <w:color w:val="000000" w:themeColor="text1"/>
          <w:sz w:val="16"/>
          <w:szCs w:val="16"/>
        </w:rPr>
        <w:softHyphen/>
        <w:t>лок по-прежнему оставался не за</w:t>
      </w:r>
      <w:r w:rsidRPr="00070ADE">
        <w:rPr>
          <w:rFonts w:ascii="Times New Roman" w:hAnsi="Times New Roman"/>
          <w:color w:val="000000" w:themeColor="text1"/>
          <w:sz w:val="16"/>
          <w:szCs w:val="16"/>
        </w:rPr>
        <w:softHyphen/>
        <w:t>щищенным от огня сверху-сзади. Все эти недостатки в начале 1944 г. уже считались недопустимыми для само</w:t>
      </w:r>
      <w:r w:rsidRPr="00070ADE">
        <w:rPr>
          <w:rFonts w:ascii="Times New Roman" w:hAnsi="Times New Roman"/>
          <w:color w:val="000000" w:themeColor="text1"/>
          <w:sz w:val="16"/>
          <w:szCs w:val="16"/>
        </w:rPr>
        <w:softHyphen/>
        <w:t>лета поля боя.</w:t>
      </w:r>
    </w:p>
    <w:p w14:paraId="6BDF66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 впечатлили военных и боевые возможности самолета. Вооружение Ил-1 по проекту включало две пуш</w:t>
      </w:r>
      <w:r w:rsidRPr="00070ADE">
        <w:rPr>
          <w:rFonts w:ascii="Times New Roman" w:hAnsi="Times New Roman"/>
          <w:color w:val="000000" w:themeColor="text1"/>
          <w:sz w:val="16"/>
          <w:szCs w:val="16"/>
        </w:rPr>
        <w:softHyphen/>
        <w:t>ки ВЯ-23 (300 снарядов), два пуле</w:t>
      </w:r>
      <w:r w:rsidRPr="00070ADE">
        <w:rPr>
          <w:rFonts w:ascii="Times New Roman" w:hAnsi="Times New Roman"/>
          <w:color w:val="000000" w:themeColor="text1"/>
          <w:sz w:val="16"/>
          <w:szCs w:val="16"/>
        </w:rPr>
        <w:softHyphen/>
        <w:t>мета ШКАС (1500 патронов), один оборонительный пулемет УБТ (150 патронов), 10 авиационных гранат АГ-2, 200 кг бомб (калибров от 1 до 100 кг) в двух бомбоотсеках и 200 кг (2 ФАБ-100) на внешней подвеске. В перегрузку допускалась подвеска снаружи двух бомб ФАБ-250. Ракет</w:t>
      </w:r>
      <w:r w:rsidRPr="00070ADE">
        <w:rPr>
          <w:rFonts w:ascii="Times New Roman" w:hAnsi="Times New Roman"/>
          <w:color w:val="000000" w:themeColor="text1"/>
          <w:sz w:val="16"/>
          <w:szCs w:val="16"/>
        </w:rPr>
        <w:softHyphen/>
        <w:t>ное вооружение не предусматрива</w:t>
      </w:r>
      <w:r w:rsidRPr="00070ADE">
        <w:rPr>
          <w:rFonts w:ascii="Times New Roman" w:hAnsi="Times New Roman"/>
          <w:color w:val="000000" w:themeColor="text1"/>
          <w:sz w:val="16"/>
          <w:szCs w:val="16"/>
        </w:rPr>
        <w:softHyphen/>
        <w:t>лось.</w:t>
      </w:r>
    </w:p>
    <w:p w14:paraId="747559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выводах заключения по эскиз</w:t>
      </w:r>
      <w:r w:rsidRPr="00070ADE">
        <w:rPr>
          <w:rFonts w:ascii="Times New Roman" w:hAnsi="Times New Roman"/>
          <w:color w:val="000000" w:themeColor="text1"/>
          <w:sz w:val="16"/>
          <w:szCs w:val="16"/>
        </w:rPr>
        <w:softHyphen/>
        <w:t>ному проекту указывалось: "...Глав</w:t>
      </w:r>
      <w:r w:rsidRPr="00070ADE">
        <w:rPr>
          <w:rFonts w:ascii="Times New Roman" w:hAnsi="Times New Roman"/>
          <w:color w:val="000000" w:themeColor="text1"/>
          <w:sz w:val="16"/>
          <w:szCs w:val="16"/>
        </w:rPr>
        <w:softHyphen/>
        <w:t>ный конструктор самолета предла</w:t>
      </w:r>
      <w:r w:rsidRPr="00070ADE">
        <w:rPr>
          <w:rFonts w:ascii="Times New Roman" w:hAnsi="Times New Roman"/>
          <w:color w:val="000000" w:themeColor="text1"/>
          <w:sz w:val="16"/>
          <w:szCs w:val="16"/>
        </w:rPr>
        <w:softHyphen/>
        <w:t>гает бронированный штурмовик. Если это так, то в чем заключается смысл постройки этого самолета. При срав</w:t>
      </w:r>
      <w:r w:rsidRPr="00070ADE">
        <w:rPr>
          <w:rFonts w:ascii="Times New Roman" w:hAnsi="Times New Roman"/>
          <w:color w:val="000000" w:themeColor="text1"/>
          <w:sz w:val="16"/>
          <w:szCs w:val="16"/>
        </w:rPr>
        <w:softHyphen/>
        <w:t>нении с Су-6 с АМ-42 напрашивает</w:t>
      </w:r>
      <w:r w:rsidRPr="00070ADE">
        <w:rPr>
          <w:rFonts w:ascii="Times New Roman" w:hAnsi="Times New Roman"/>
          <w:color w:val="000000" w:themeColor="text1"/>
          <w:sz w:val="16"/>
          <w:szCs w:val="16"/>
        </w:rPr>
        <w:softHyphen/>
        <w:t>ся вывод не в пользу Ил-1 с АМ-42. ...По летным данным Ил-1 превосхо</w:t>
      </w:r>
      <w:r w:rsidRPr="00070ADE">
        <w:rPr>
          <w:rFonts w:ascii="Times New Roman" w:hAnsi="Times New Roman"/>
          <w:color w:val="000000" w:themeColor="text1"/>
          <w:sz w:val="16"/>
          <w:szCs w:val="16"/>
        </w:rPr>
        <w:softHyphen/>
        <w:t>дит Су-6, но по бомбовой нагрузке и вооружению уступает. Серийный самолет Ил-2 превосходит по летным данным, но уступает ему по бомбо</w:t>
      </w:r>
      <w:r w:rsidRPr="00070ADE">
        <w:rPr>
          <w:rFonts w:ascii="Times New Roman" w:hAnsi="Times New Roman"/>
          <w:color w:val="000000" w:themeColor="text1"/>
          <w:sz w:val="16"/>
          <w:szCs w:val="16"/>
        </w:rPr>
        <w:softHyphen/>
        <w:t>вой нагрузке. ...Бронирование Ил-1 требованиям ВВС не удовлетворяет. ...Конструкция Ил-1 по проекту ба</w:t>
      </w:r>
      <w:r w:rsidRPr="00070ADE">
        <w:rPr>
          <w:rFonts w:ascii="Times New Roman" w:hAnsi="Times New Roman"/>
          <w:color w:val="000000" w:themeColor="text1"/>
          <w:sz w:val="16"/>
          <w:szCs w:val="16"/>
        </w:rPr>
        <w:softHyphen/>
        <w:t>зируется на технологии серийного Ил-2, однако для освоения самоле</w:t>
      </w:r>
      <w:r w:rsidRPr="00070ADE">
        <w:rPr>
          <w:rFonts w:ascii="Times New Roman" w:hAnsi="Times New Roman"/>
          <w:color w:val="000000" w:themeColor="text1"/>
          <w:sz w:val="16"/>
          <w:szCs w:val="16"/>
        </w:rPr>
        <w:softHyphen/>
        <w:t>та потребуется коренная переделка всего производства".</w:t>
      </w:r>
    </w:p>
    <w:p w14:paraId="54F81C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Требовалось внести серьезные из</w:t>
      </w:r>
      <w:r w:rsidRPr="00070ADE">
        <w:rPr>
          <w:rFonts w:ascii="Times New Roman" w:hAnsi="Times New Roman"/>
          <w:color w:val="000000" w:themeColor="text1"/>
          <w:sz w:val="16"/>
          <w:szCs w:val="16"/>
        </w:rPr>
        <w:softHyphen/>
        <w:t>менения в конструкцию и вооруже</w:t>
      </w:r>
      <w:r w:rsidRPr="00070ADE">
        <w:rPr>
          <w:rFonts w:ascii="Times New Roman" w:hAnsi="Times New Roman"/>
          <w:color w:val="000000" w:themeColor="text1"/>
          <w:sz w:val="16"/>
          <w:szCs w:val="16"/>
        </w:rPr>
        <w:softHyphen/>
        <w:t>ние предлагаемого штурмовика. Как показали дальнейшие события, кро</w:t>
      </w:r>
      <w:r w:rsidRPr="00070ADE">
        <w:rPr>
          <w:rFonts w:ascii="Times New Roman" w:hAnsi="Times New Roman"/>
          <w:color w:val="000000" w:themeColor="text1"/>
          <w:sz w:val="16"/>
          <w:szCs w:val="16"/>
        </w:rPr>
        <w:softHyphen/>
        <w:t>ме установки пушки Ш-20 ОКБ-15 калибра 20 мм вместо УБТ, других доработок сделано не было (11427).</w:t>
      </w:r>
    </w:p>
    <w:p w14:paraId="4D721A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5E5DCF"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14 марта 1944 года в НИИ ВВС поступил эскизный проект Ил-1 АМ-42 в двухместном варианте лишь, когда самолет уже был закончен по сборке и находился в Москве на 240-м заводе. Очевидно, что в этих условиях внесение каких-либо серьезных изменений в конструкцию машины практически исключалось.</w:t>
      </w:r>
    </w:p>
    <w:p w14:paraId="1841960F"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Надо полагать, Ильюшин, затягивая всеми возможными способами передачу в НИИ ВВС материалов по новому штурмовику, опасался, что рассмотрение военными эскизного проекта, вполне вероятно, закончится перечнем недостатков и требований, которые необходимо будет отрабатывать. Утверждение проекта затянется. В это время специалисты ОКБ П. О. Сухого сумеют довести Су-6 АМ-42 до требуемого уровня надежности и надобность в Ил-1 отпадет.</w:t>
      </w:r>
    </w:p>
    <w:p w14:paraId="27267858"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Как и следовало ожидать, проектом самолета Ил-1 в НИИ ВВС остались недовольны. Начальник 4-го отделения 3-го отдела института инженер-майор В. С. Холопов и ведущий инженер 3-го отдела инженер-майор П. Т. Аброщенко писали, что в материалах ОКБ-240 отсутствуют: тактическое назначение самолета, описание конструкции и расчет на прочность</w:t>
      </w:r>
      <w:r w:rsidRPr="00070ADE">
        <w:rPr>
          <w:rStyle w:val="BodytextItalic"/>
          <w:rFonts w:eastAsiaTheme="minorHAnsi"/>
          <w:i w:val="0"/>
          <w:color w:val="000000" w:themeColor="text1"/>
          <w:sz w:val="16"/>
          <w:szCs w:val="16"/>
        </w:rPr>
        <w:t>,</w:t>
      </w:r>
      <w:r w:rsidRPr="00070ADE">
        <w:rPr>
          <w:rStyle w:val="77"/>
          <w:rFonts w:eastAsiaTheme="minorHAnsi"/>
          <w:color w:val="000000" w:themeColor="text1"/>
          <w:sz w:val="16"/>
          <w:szCs w:val="16"/>
        </w:rPr>
        <w:t xml:space="preserve"> состав специального оборудования и его компоновка на самолете, а также расчеты маневренности, устойчивости и поляры крыла. Установка системы заполнения бензобаков нейтральным газом не предполагалась. Не было предусмотрено дублирование в канале управления рулем высоты и направления. Воздушный стрелок по-прежнему оставался не защищенным от огня сверху-сзади. Все эти недостатки к началу 1944 года уже считались недопустимыми для самолета поля боя.</w:t>
      </w:r>
    </w:p>
    <w:p w14:paraId="09E398F8"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Не впечатлили военных и боевые возможности самолета. Вооружение Ил-1 по проекту включало две пушки ВЯ (300 снарядов), два пулемета ШКАС (1500 патронов), один оборонительный пулемет УБТ (150 патронов), 10 авиационных гранат АГ-2, 200 кг бомб (калибров от 1 до 100 кг) в двух бомбоотсеках и 200 кг (2 ФАБ-100) на внешней подвеске. В перегрузку (всего 500-600 кг) допускалась подвеска двух бомб ФАБ-250 снаружи. Ракетное вооружение не предусматривалось.</w:t>
      </w:r>
    </w:p>
    <w:p w14:paraId="7B702321" w14:textId="77777777" w:rsidR="00E23799" w:rsidRPr="00070ADE" w:rsidRDefault="00E23799" w:rsidP="00B56F90">
      <w:pPr>
        <w:spacing w:after="0" w:line="240" w:lineRule="auto"/>
        <w:jc w:val="both"/>
        <w:rPr>
          <w:rStyle w:val="77"/>
          <w:rFonts w:eastAsiaTheme="minorHAnsi"/>
          <w:color w:val="000000" w:themeColor="text1"/>
          <w:sz w:val="16"/>
          <w:szCs w:val="16"/>
        </w:rPr>
      </w:pPr>
      <w:r w:rsidRPr="00070ADE">
        <w:rPr>
          <w:rStyle w:val="77"/>
          <w:rFonts w:eastAsiaTheme="minorHAnsi"/>
          <w:color w:val="000000" w:themeColor="text1"/>
          <w:sz w:val="16"/>
          <w:szCs w:val="16"/>
        </w:rPr>
        <w:t>В выводах заключения по эскизному проекту указывалось: «Главный конструктор самолета предлагает бронированный штурмовик. Если это так, то в чем заключается смысл постройки этого самолета. При сравнении с Су-6 с АМ-42 напрашивается вывод не в пользу Ил-1 с АМ-42./.. ./По летным данным Ил-1 превосходит Су-6, но по бомбовой нагрузке и вооружению уступает. Серийный самолет Ил-2 превосходит по летным данным, но уступает ему по бомбовой нагрузке./. ../Бронирование Ил-1 требованиям ВВС не удовлетворяет././Конструкция Ил-1 по проекту базируется на технологии серийного Ил-2, однако для освоения самолета потребуется коренная переделка всего производства».</w:t>
      </w:r>
    </w:p>
    <w:p w14:paraId="18009C4E"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Необходимо было вносить серьезные изменения в конструкцию и систему вооружения предлагаемого штурмовика. Однако, как показали дальнейшие события, кроме усиления оборонительного вооружения и некоторого улучшения системы бронирования, других доработок с делано не было.</w:t>
      </w:r>
    </w:p>
    <w:p w14:paraId="6A7924CA"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В ходе доводочных работ на Ил-1 заменили мотор, смонтировали новую оборонительную подвижную установку ВУ-7 с опытной пушкой Ш-20 (150 патронов) конструкции Б. Г. Шпитального (ОКБ-15 НКВ) и кассету ДАГ-10 на 10 авиационных гранат АГ-2. Запас топлива и масла увеличили до 530 и 65 кг соответственно.</w:t>
      </w:r>
    </w:p>
    <w:p w14:paraId="44854C06"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Одновременно слегка «откорректировали» бронирование самолета (без кардинальных переделок бронекорпуса). Распределение толщин листов брони сделали немного более рациональным.</w:t>
      </w:r>
    </w:p>
    <w:p w14:paraId="48C25892"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Дело в том, что, хотя общий вес брони на Ил-1 достигал 1052 кг, специалисты НИИ ВВС при анализе схемы бронирования сделали ряд замечаний и рекомендовали улучшить ее «путем перераспределения» толщины брони.</w:t>
      </w:r>
    </w:p>
    <w:p w14:paraId="62CCC36F"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В результате боковые и нижние стенки бронекапота мотора стали тоньше (4 мм), так же как и борта кабины летчика (6 мм). Броню нижнего бензобака, наоборот, нарастили до 6 мм. Итоговый вес брони составил 1010 кг (15,6 % от полетного веса), в том числе 80 кг - элементы крепления брони.</w:t>
      </w:r>
    </w:p>
    <w:p w14:paraId="647276D4" w14:textId="77777777" w:rsidR="00E23799" w:rsidRPr="00070ADE" w:rsidRDefault="00E23799" w:rsidP="00B56F90">
      <w:pPr>
        <w:spacing w:after="0" w:line="240" w:lineRule="auto"/>
        <w:jc w:val="both"/>
        <w:rPr>
          <w:rStyle w:val="77"/>
          <w:rFonts w:eastAsiaTheme="minorHAnsi"/>
          <w:color w:val="000000" w:themeColor="text1"/>
          <w:sz w:val="16"/>
          <w:szCs w:val="16"/>
        </w:rPr>
      </w:pPr>
      <w:r w:rsidRPr="00070ADE">
        <w:rPr>
          <w:rStyle w:val="77"/>
          <w:rFonts w:eastAsiaTheme="minorHAnsi"/>
          <w:color w:val="000000" w:themeColor="text1"/>
          <w:sz w:val="16"/>
          <w:szCs w:val="16"/>
        </w:rPr>
        <w:t>После всех доработок вес пустого Ил-1 увеличился до 5050 кг, а нормальный полетный вес с 400 кг бомб составил 6300 кг (17490).</w:t>
      </w:r>
    </w:p>
    <w:p w14:paraId="16458660" w14:textId="77777777" w:rsidR="00E23799" w:rsidRPr="00070ADE" w:rsidRDefault="00E23799" w:rsidP="00B56F90">
      <w:pPr>
        <w:spacing w:after="0" w:line="240" w:lineRule="auto"/>
        <w:jc w:val="both"/>
        <w:rPr>
          <w:rStyle w:val="77"/>
          <w:rFonts w:eastAsiaTheme="minorHAnsi"/>
          <w:color w:val="000000" w:themeColor="text1"/>
          <w:sz w:val="16"/>
          <w:szCs w:val="16"/>
        </w:rPr>
      </w:pPr>
    </w:p>
    <w:p w14:paraId="0440BE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погода окончательно испортилась, но летать Ил-АМ-42 все равно было бы нельзя, так как у самолета обнаружилась течь бензина из труб</w:t>
      </w:r>
      <w:r w:rsidRPr="00070ADE">
        <w:rPr>
          <w:rFonts w:ascii="Times New Roman" w:hAnsi="Times New Roman"/>
          <w:color w:val="000000" w:themeColor="text1"/>
          <w:sz w:val="16"/>
          <w:szCs w:val="16"/>
        </w:rPr>
        <w:softHyphen/>
        <w:t>ки подвода к карбюраторам и по</w:t>
      </w:r>
      <w:r w:rsidRPr="00070ADE">
        <w:rPr>
          <w:rFonts w:ascii="Times New Roman" w:hAnsi="Times New Roman"/>
          <w:color w:val="000000" w:themeColor="text1"/>
          <w:sz w:val="16"/>
          <w:szCs w:val="16"/>
        </w:rPr>
        <w:softHyphen/>
        <w:t>ломка уплотнительного кольца вала редуктора. Выявились и другие неис</w:t>
      </w:r>
      <w:r w:rsidRPr="00070ADE">
        <w:rPr>
          <w:rFonts w:ascii="Times New Roman" w:hAnsi="Times New Roman"/>
          <w:color w:val="000000" w:themeColor="text1"/>
          <w:sz w:val="16"/>
          <w:szCs w:val="16"/>
        </w:rPr>
        <w:softHyphen/>
        <w:t>правности.</w:t>
      </w:r>
    </w:p>
    <w:p w14:paraId="42E4CB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Следующие четыре дня прошли в хлопотах по устранению дефектов самолета. Попутно установили но</w:t>
      </w:r>
      <w:r w:rsidRPr="00070ADE">
        <w:rPr>
          <w:rFonts w:ascii="Times New Roman" w:hAnsi="Times New Roman"/>
          <w:color w:val="000000" w:themeColor="text1"/>
          <w:sz w:val="16"/>
          <w:szCs w:val="16"/>
        </w:rPr>
        <w:softHyphen/>
        <w:t>вые элероны с увеличенной аэроди</w:t>
      </w:r>
      <w:r w:rsidRPr="00070ADE">
        <w:rPr>
          <w:rFonts w:ascii="Times New Roman" w:hAnsi="Times New Roman"/>
          <w:color w:val="000000" w:themeColor="text1"/>
          <w:sz w:val="16"/>
          <w:szCs w:val="16"/>
        </w:rPr>
        <w:softHyphen/>
        <w:t>намической компенсацией (29% вме</w:t>
      </w:r>
      <w:r w:rsidRPr="00070ADE">
        <w:rPr>
          <w:rFonts w:ascii="Times New Roman" w:hAnsi="Times New Roman"/>
          <w:color w:val="000000" w:themeColor="text1"/>
          <w:sz w:val="16"/>
          <w:szCs w:val="16"/>
        </w:rPr>
        <w:softHyphen/>
        <w:t>сто 27%) (11427).</w:t>
      </w:r>
    </w:p>
    <w:p w14:paraId="5E708D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F632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года ст. инженер отдела АВ 7-го Гл. управления Журков писал письмо зам. наркома Авиапрома Яковлеву.</w:t>
      </w:r>
    </w:p>
    <w:p w14:paraId="65F690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 о работах по авиационным пушкам проводимым ОКБ-16 НКВ, с которыми я был ознакомлен гл. конструктором Нудельманом А.Э.</w:t>
      </w:r>
    </w:p>
    <w:p w14:paraId="3F207D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Пушка калибра 23 мм</w:t>
      </w:r>
    </w:p>
    <w:p w14:paraId="5C71C9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Разработана в моторном, крыльевом и синхронном варианте под патрон с механическим и электрическим капсюлем.</w:t>
      </w:r>
    </w:p>
    <w:p w14:paraId="145012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данные:</w:t>
      </w:r>
    </w:p>
    <w:p w14:paraId="5EE1C3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- 35 кг; начальная скорость - 720 м/сек.; усилие отдачи - 1500 кг; вес патрона - 330 гр. (Серийная пушка ВЯ-23 соответственно имеет вес - 60 кг; начальная скорость - 910 м/сек.; усилие отдачи 3140 кг при жесткости лафета - 176 кг/мм и отката - 8,7 мм; вес патрона -....</w:t>
      </w:r>
    </w:p>
    <w:p w14:paraId="162889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Патронная лента составленная из патронов от новой пушки занимает значительно меньший объем, чем с патронами от ВЛ-23.</w:t>
      </w:r>
    </w:p>
    <w:p w14:paraId="2C2D87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ОКБ-16 изготовлено 8 пушек: из них две пушки сданы на государственные наземные испытания в НИИ АВ, одна с большим настрелом передана ОКБ завода N 115 и остальные доводятся.</w:t>
      </w:r>
    </w:p>
    <w:p w14:paraId="69AC40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синхронной пушке калибра 23 мм тесную связь с Нудельманом держит ОКБ Лавочкина.</w:t>
      </w:r>
    </w:p>
    <w:p w14:paraId="1041E2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Пушка калибра 37 мм.</w:t>
      </w:r>
    </w:p>
    <w:p w14:paraId="4A9B8F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Проводятся работы по уменьшению силы отдачи серийного образца. Применив дульный тормоз и изменив гидравлический тормоз усилие отдачи крыльевой пушки до..500 кг (вместо.... кг).</w:t>
      </w:r>
    </w:p>
    <w:p w14:paraId="4CD1D9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Опытный образец крыльевой пушки НС-37 сдан на испытания в НИИ АВ.</w:t>
      </w:r>
    </w:p>
    <w:p w14:paraId="298CC1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Проведено облегчение пушки НС-37 на 26 кг. Эту работу Нудельман рассматривает как экспериментальную и они ограничились изготовлением одного образца.</w:t>
      </w:r>
    </w:p>
    <w:p w14:paraId="17E115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Отрабатываются опытные образцы пушек НС-37 и НС-45 под патроны с электрическим капсюлем. Опытные образцы в конце марта поступят на испытания в НИИ АВ.</w:t>
      </w:r>
    </w:p>
    <w:p w14:paraId="3112BB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Пушка калибра 45 мм.</w:t>
      </w:r>
    </w:p>
    <w:p w14:paraId="36BE62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Проводятся работы по уменьшению силы отдачи серийного образца НС-45. Применяя те же улучшения, что и в пушке НС-37, усилие отдачи снижено до 4500 кг (вместо 7300 кг). Опытный образец пушки НС-45 в крыльевом варианте находится на испытаниях в НИИ АВ.</w:t>
      </w:r>
    </w:p>
    <w:p w14:paraId="40D9B3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принятием на вооружение мотора М-107 имеющего диаметр отверстия редуктора 68 мм, вместо 54 мм на моторе М-105 Нудельман собирается поставить вопрос о замене на моторной пушке НС-45 тонкого ствола на толстый ствол от крыльевой пушки.</w:t>
      </w:r>
    </w:p>
    <w:p w14:paraId="7ABB50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Пушка калибра 57 мм.</w:t>
      </w:r>
    </w:p>
    <w:p w14:paraId="7F180D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Проводятся конструкторские и экспериментальные работы (1825,16).</w:t>
      </w:r>
    </w:p>
    <w:p w14:paraId="58C64F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69BD5F" w14:textId="77777777" w:rsidR="00582E01" w:rsidRPr="00070ADE" w:rsidRDefault="00582E0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не дожидаясь даже предварительных выводов НИИ ВВС, Г.М. Маленков, А.И. Шахурин и гене</w:t>
      </w:r>
      <w:r w:rsidRPr="00070ADE">
        <w:rPr>
          <w:rFonts w:ascii="Times New Roman" w:hAnsi="Times New Roman"/>
          <w:color w:val="000000" w:themeColor="text1"/>
          <w:sz w:val="16"/>
          <w:szCs w:val="16"/>
        </w:rPr>
        <w:softHyphen/>
        <w:t>рал-полковники Никитин и Репин направили И.В. Сталину вот такую записку: «Главным конструктором т. Лавочкиным, совместно с ЦАГИ на серийном самолете Ла-5 с серийным мотором АШ-82ФН проведен ряд аэродина</w:t>
      </w:r>
      <w:r w:rsidRPr="00070ADE">
        <w:rPr>
          <w:rFonts w:ascii="Times New Roman" w:hAnsi="Times New Roman"/>
          <w:color w:val="000000" w:themeColor="text1"/>
          <w:sz w:val="16"/>
          <w:szCs w:val="16"/>
        </w:rPr>
        <w:softHyphen/>
        <w:t>мических и конструктивных улучшений, а именно: изменена конструкция всасывающе</w:t>
      </w:r>
      <w:r w:rsidRPr="00070ADE">
        <w:rPr>
          <w:rFonts w:ascii="Times New Roman" w:hAnsi="Times New Roman"/>
          <w:color w:val="000000" w:themeColor="text1"/>
          <w:sz w:val="16"/>
          <w:szCs w:val="16"/>
        </w:rPr>
        <w:softHyphen/>
        <w:t>го патрубка (тоннель всасывания размещен в носке центроплана), изменено место уста</w:t>
      </w:r>
      <w:r w:rsidRPr="00070ADE">
        <w:rPr>
          <w:rFonts w:ascii="Times New Roman" w:hAnsi="Times New Roman"/>
          <w:color w:val="000000" w:themeColor="text1"/>
          <w:sz w:val="16"/>
          <w:szCs w:val="16"/>
        </w:rPr>
        <w:softHyphen/>
        <w:t>новки масляного радиатора, улучшено охлаждение головок цилиндров мотора, по</w:t>
      </w:r>
      <w:r w:rsidRPr="00070ADE">
        <w:rPr>
          <w:rFonts w:ascii="Times New Roman" w:hAnsi="Times New Roman"/>
          <w:color w:val="000000" w:themeColor="text1"/>
          <w:sz w:val="16"/>
          <w:szCs w:val="16"/>
        </w:rPr>
        <w:softHyphen/>
        <w:t>ставлены на все цилиндры мотора раздель</w:t>
      </w:r>
      <w:r w:rsidRPr="00070ADE">
        <w:rPr>
          <w:rFonts w:ascii="Times New Roman" w:hAnsi="Times New Roman"/>
          <w:color w:val="000000" w:themeColor="text1"/>
          <w:sz w:val="16"/>
          <w:szCs w:val="16"/>
        </w:rPr>
        <w:softHyphen/>
        <w:t>ные выхлопные патрубки, улучшена герме</w:t>
      </w:r>
      <w:r w:rsidRPr="00070ADE">
        <w:rPr>
          <w:rFonts w:ascii="Times New Roman" w:hAnsi="Times New Roman"/>
          <w:color w:val="000000" w:themeColor="text1"/>
          <w:sz w:val="16"/>
          <w:szCs w:val="16"/>
        </w:rPr>
        <w:softHyphen/>
        <w:t>тизация капота мотора, увеличен противо- капотажный угол самолета, улучшен про</w:t>
      </w:r>
      <w:r w:rsidRPr="00070ADE">
        <w:rPr>
          <w:rFonts w:ascii="Times New Roman" w:hAnsi="Times New Roman"/>
          <w:color w:val="000000" w:themeColor="text1"/>
          <w:sz w:val="16"/>
          <w:szCs w:val="16"/>
        </w:rPr>
        <w:softHyphen/>
        <w:t>филь центроплана и установлен новый винт с улучшенными лопастями. Улучшена управляемость, за счет увеличения компен</w:t>
      </w:r>
      <w:r w:rsidRPr="00070ADE">
        <w:rPr>
          <w:rFonts w:ascii="Times New Roman" w:hAnsi="Times New Roman"/>
          <w:color w:val="000000" w:themeColor="text1"/>
          <w:sz w:val="16"/>
          <w:szCs w:val="16"/>
        </w:rPr>
        <w:softHyphen/>
        <w:t>сации рулей.</w:t>
      </w:r>
    </w:p>
    <w:p w14:paraId="0792989E" w14:textId="77777777" w:rsidR="00582E01" w:rsidRPr="00070ADE" w:rsidRDefault="00582E0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испытании модернизированного са</w:t>
      </w:r>
      <w:r w:rsidRPr="00070ADE">
        <w:rPr>
          <w:rFonts w:ascii="Times New Roman" w:hAnsi="Times New Roman"/>
          <w:color w:val="000000" w:themeColor="text1"/>
          <w:sz w:val="16"/>
          <w:szCs w:val="16"/>
        </w:rPr>
        <w:softHyphen/>
        <w:t>молета в ЛИИ НКАП получены следующие скорости полета: максимальная скорость у земли 630 км. в час, вместо 595 км. в час у се</w:t>
      </w:r>
      <w:r w:rsidRPr="00070ADE">
        <w:rPr>
          <w:rFonts w:ascii="Times New Roman" w:hAnsi="Times New Roman"/>
          <w:color w:val="000000" w:themeColor="text1"/>
          <w:sz w:val="16"/>
          <w:szCs w:val="16"/>
        </w:rPr>
        <w:softHyphen/>
        <w:t>рийного самолета; максимальная скорость на высоте 6000-метров - 685 км. в час, вме</w:t>
      </w:r>
      <w:r w:rsidRPr="00070ADE">
        <w:rPr>
          <w:rFonts w:ascii="Times New Roman" w:hAnsi="Times New Roman"/>
          <w:color w:val="000000" w:themeColor="text1"/>
          <w:sz w:val="16"/>
          <w:szCs w:val="16"/>
        </w:rPr>
        <w:softHyphen/>
        <w:t>сто 648 км. в час у серийного самолета.</w:t>
      </w:r>
    </w:p>
    <w:p w14:paraId="1DF5943B" w14:textId="77777777" w:rsidR="00582E01" w:rsidRPr="00070ADE" w:rsidRDefault="00582E0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Просим принять следующее решение: немедленно запустить в серийное про</w:t>
      </w:r>
      <w:r w:rsidRPr="00070ADE">
        <w:rPr>
          <w:rFonts w:ascii="Times New Roman" w:hAnsi="Times New Roman"/>
          <w:color w:val="000000" w:themeColor="text1"/>
          <w:sz w:val="16"/>
          <w:szCs w:val="16"/>
        </w:rPr>
        <w:softHyphen/>
        <w:t>изводство на заводах № 21 в Горьком и № 381 в Москве модифицированный самолет, без уменьшения достигнутого уровня выпуска самолетов на заводах № 21 - 17 самолетов в сутки и № 381 - 3 самолетов в сутки;</w:t>
      </w:r>
    </w:p>
    <w:p w14:paraId="71446310" w14:textId="77777777" w:rsidR="00582E01" w:rsidRPr="00070ADE" w:rsidRDefault="00582E0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установить программу выпуска модифи</w:t>
      </w:r>
      <w:r w:rsidRPr="00070ADE">
        <w:rPr>
          <w:rFonts w:ascii="Times New Roman" w:hAnsi="Times New Roman"/>
          <w:color w:val="000000" w:themeColor="text1"/>
          <w:sz w:val="16"/>
          <w:szCs w:val="16"/>
        </w:rPr>
        <w:softHyphen/>
        <w:t>цированных самолетов: в мае - 20 самоле</w:t>
      </w:r>
      <w:r w:rsidRPr="00070ADE">
        <w:rPr>
          <w:rFonts w:ascii="Times New Roman" w:hAnsi="Times New Roman"/>
          <w:color w:val="000000" w:themeColor="text1"/>
          <w:sz w:val="16"/>
          <w:szCs w:val="16"/>
        </w:rPr>
        <w:softHyphen/>
        <w:t>тов, в июне - 55 самолетов, в июле - 160 са</w:t>
      </w:r>
      <w:r w:rsidRPr="00070ADE">
        <w:rPr>
          <w:rFonts w:ascii="Times New Roman" w:hAnsi="Times New Roman"/>
          <w:color w:val="000000" w:themeColor="text1"/>
          <w:sz w:val="16"/>
          <w:szCs w:val="16"/>
        </w:rPr>
        <w:softHyphen/>
        <w:t>молетов и в августе - 275 самолетов;</w:t>
      </w:r>
    </w:p>
    <w:p w14:paraId="67994F87" w14:textId="77777777" w:rsidR="00582E01" w:rsidRPr="00070ADE" w:rsidRDefault="00582E0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присвоить модифицированному самоле</w:t>
      </w:r>
      <w:r w:rsidRPr="00070ADE">
        <w:rPr>
          <w:rFonts w:ascii="Times New Roman" w:hAnsi="Times New Roman"/>
          <w:color w:val="000000" w:themeColor="text1"/>
          <w:sz w:val="16"/>
          <w:szCs w:val="16"/>
        </w:rPr>
        <w:softHyphen/>
        <w:t>ту наименование Ла-7 с мотором АШ-82ФН.</w:t>
      </w:r>
    </w:p>
    <w:p w14:paraId="7F8CCB7A" w14:textId="77777777" w:rsidR="00582E01" w:rsidRPr="00070ADE" w:rsidRDefault="00582E0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Проект постановления Государственно</w:t>
      </w:r>
      <w:r w:rsidRPr="00070ADE">
        <w:rPr>
          <w:rFonts w:ascii="Times New Roman" w:hAnsi="Times New Roman"/>
          <w:color w:val="000000" w:themeColor="text1"/>
          <w:sz w:val="16"/>
          <w:szCs w:val="16"/>
        </w:rPr>
        <w:softHyphen/>
        <w:t>го Комитета Обороны «О производстве са</w:t>
      </w:r>
      <w:r w:rsidRPr="00070ADE">
        <w:rPr>
          <w:rFonts w:ascii="Times New Roman" w:hAnsi="Times New Roman"/>
          <w:color w:val="000000" w:themeColor="text1"/>
          <w:sz w:val="16"/>
          <w:szCs w:val="16"/>
        </w:rPr>
        <w:softHyphen/>
        <w:t>молетов Ла-7» согласован со всеми заинте</w:t>
      </w:r>
      <w:r w:rsidRPr="00070ADE">
        <w:rPr>
          <w:rFonts w:ascii="Times New Roman" w:hAnsi="Times New Roman"/>
          <w:color w:val="000000" w:themeColor="text1"/>
          <w:sz w:val="16"/>
          <w:szCs w:val="16"/>
        </w:rPr>
        <w:softHyphen/>
        <w:t>ресованными наркомата». 15 марта Верхов</w:t>
      </w:r>
      <w:r w:rsidRPr="00070ADE">
        <w:rPr>
          <w:rFonts w:ascii="Times New Roman" w:hAnsi="Times New Roman"/>
          <w:color w:val="000000" w:themeColor="text1"/>
          <w:sz w:val="16"/>
          <w:szCs w:val="16"/>
        </w:rPr>
        <w:softHyphen/>
        <w:t>ный подписал постановление ГКО №5404сс «О производстве самолетов Ла-7» (24194).</w:t>
      </w:r>
    </w:p>
    <w:p w14:paraId="5766F491" w14:textId="77777777" w:rsidR="00582E01" w:rsidRPr="00070ADE" w:rsidRDefault="00582E01" w:rsidP="00B56F90">
      <w:pPr>
        <w:spacing w:after="0" w:line="240" w:lineRule="auto"/>
        <w:jc w:val="both"/>
        <w:rPr>
          <w:rFonts w:ascii="Times New Roman" w:hAnsi="Times New Roman"/>
          <w:color w:val="000000" w:themeColor="text1"/>
          <w:sz w:val="16"/>
          <w:szCs w:val="16"/>
        </w:rPr>
      </w:pPr>
    </w:p>
    <w:p w14:paraId="28F40841" w14:textId="77777777" w:rsidR="00582E01" w:rsidRPr="00070ADE" w:rsidRDefault="00582E0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г. лётчик-испытатель А.П. Деев выполнил на И-225 № 02 первый вылет. Од</w:t>
      </w:r>
      <w:r w:rsidRPr="00070ADE">
        <w:rPr>
          <w:rFonts w:ascii="Times New Roman" w:hAnsi="Times New Roman"/>
          <w:color w:val="000000" w:themeColor="text1"/>
          <w:sz w:val="16"/>
          <w:szCs w:val="16"/>
        </w:rPr>
        <w:softHyphen/>
        <w:t>нако и второй машине не повезло. 26 апре</w:t>
      </w:r>
      <w:r w:rsidRPr="00070ADE">
        <w:rPr>
          <w:rFonts w:ascii="Times New Roman" w:hAnsi="Times New Roman"/>
          <w:color w:val="000000" w:themeColor="text1"/>
          <w:sz w:val="16"/>
          <w:szCs w:val="16"/>
        </w:rPr>
        <w:softHyphen/>
        <w:t>ля самолёт потерпел аварию при перелёте с места вынужденной посадки. После заме</w:t>
      </w:r>
      <w:r w:rsidRPr="00070ADE">
        <w:rPr>
          <w:rFonts w:ascii="Times New Roman" w:hAnsi="Times New Roman"/>
          <w:color w:val="000000" w:themeColor="text1"/>
          <w:sz w:val="16"/>
          <w:szCs w:val="16"/>
        </w:rPr>
        <w:softHyphen/>
        <w:t>ны разрушенного фюзеляжа новым в июне истребитель покинул сборочный цех. На за</w:t>
      </w:r>
      <w:r w:rsidRPr="00070ADE">
        <w:rPr>
          <w:rFonts w:ascii="Times New Roman" w:hAnsi="Times New Roman"/>
          <w:color w:val="000000" w:themeColor="text1"/>
          <w:sz w:val="16"/>
          <w:szCs w:val="16"/>
        </w:rPr>
        <w:softHyphen/>
        <w:t>водских испытаниях второй И-225 развил максимальную скорость 560 км/ч у земли и 726 км/ч на высоте 10000 м, которую самолёт наби</w:t>
      </w:r>
      <w:r w:rsidRPr="00070ADE">
        <w:rPr>
          <w:rFonts w:ascii="Times New Roman" w:hAnsi="Times New Roman"/>
          <w:color w:val="000000" w:themeColor="text1"/>
          <w:sz w:val="16"/>
          <w:szCs w:val="16"/>
        </w:rPr>
        <w:softHyphen/>
        <w:t>рал за 8,8 минуты.</w:t>
      </w:r>
    </w:p>
    <w:p w14:paraId="34ED811A" w14:textId="77777777" w:rsidR="00582E01" w:rsidRPr="00070ADE" w:rsidRDefault="00582E0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сожалению, многообещающие характеристики были дискредитированы крайне ненадёжной рабо</w:t>
      </w:r>
      <w:r w:rsidRPr="00070ADE">
        <w:rPr>
          <w:rFonts w:ascii="Times New Roman" w:hAnsi="Times New Roman"/>
          <w:color w:val="000000" w:themeColor="text1"/>
          <w:sz w:val="16"/>
          <w:szCs w:val="16"/>
        </w:rPr>
        <w:softHyphen/>
        <w:t>той силовой установки, из-за чего И-225 больше стоял в ангаре, чем летал, а его государственные испытания так и не начались. Не помог и мотор АМ-44 с непо</w:t>
      </w:r>
      <w:r w:rsidRPr="00070ADE">
        <w:rPr>
          <w:rFonts w:ascii="Times New Roman" w:hAnsi="Times New Roman"/>
          <w:color w:val="000000" w:themeColor="text1"/>
          <w:sz w:val="16"/>
          <w:szCs w:val="16"/>
        </w:rPr>
        <w:softHyphen/>
        <w:t>средственным впрыском, который поставили на ма</w:t>
      </w:r>
      <w:r w:rsidRPr="00070ADE">
        <w:rPr>
          <w:rFonts w:ascii="Times New Roman" w:hAnsi="Times New Roman"/>
          <w:color w:val="000000" w:themeColor="text1"/>
          <w:sz w:val="16"/>
          <w:szCs w:val="16"/>
        </w:rPr>
        <w:softHyphen/>
        <w:t>шину в 1946 году. Испытания И-225 № 02 официально прекратили лишь весной 1947 года, когда реактивные самолёты уже не выглядели как экзотика. Достигнув предела совершенства, поршневые истребители долж</w:t>
      </w:r>
      <w:r w:rsidRPr="00070ADE">
        <w:rPr>
          <w:rFonts w:ascii="Times New Roman" w:hAnsi="Times New Roman"/>
          <w:color w:val="000000" w:themeColor="text1"/>
          <w:sz w:val="16"/>
          <w:szCs w:val="16"/>
        </w:rPr>
        <w:softHyphen/>
        <w:t>ны были уступить дорогу новым концепциям, новым силовым установкам, новой аэродинамике (23379).</w:t>
      </w:r>
    </w:p>
    <w:p w14:paraId="167E93F8" w14:textId="77777777" w:rsidR="00582E01" w:rsidRPr="00070ADE" w:rsidRDefault="00582E01" w:rsidP="00B56F90">
      <w:pPr>
        <w:spacing w:after="0" w:line="240" w:lineRule="auto"/>
        <w:jc w:val="both"/>
        <w:rPr>
          <w:rFonts w:ascii="Times New Roman" w:hAnsi="Times New Roman"/>
          <w:color w:val="000000" w:themeColor="text1"/>
          <w:sz w:val="16"/>
          <w:szCs w:val="16"/>
        </w:rPr>
      </w:pPr>
    </w:p>
    <w:p w14:paraId="4AF523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с 14 по 16 марта 1944 г. проходили заводские испытания самолета У-2ШС на Центральном московском аэродроме им. Фрунзе Летал испытатель майор Гаврилов, кото</w:t>
      </w:r>
      <w:r w:rsidRPr="00070ADE">
        <w:rPr>
          <w:rFonts w:ascii="Times New Roman" w:hAnsi="Times New Roman"/>
          <w:color w:val="000000" w:themeColor="text1"/>
          <w:sz w:val="16"/>
          <w:szCs w:val="16"/>
        </w:rPr>
        <w:softHyphen/>
        <w:t>рый отметил, что самолет устойчив, пило</w:t>
      </w:r>
      <w:r w:rsidRPr="00070ADE">
        <w:rPr>
          <w:rFonts w:ascii="Times New Roman" w:hAnsi="Times New Roman"/>
          <w:color w:val="000000" w:themeColor="text1"/>
          <w:sz w:val="16"/>
          <w:szCs w:val="16"/>
        </w:rPr>
        <w:softHyphen/>
        <w:t>тирование приятное благодаря наличию триммера, в остальном аппарат практиче</w:t>
      </w:r>
      <w:r w:rsidRPr="00070ADE">
        <w:rPr>
          <w:rFonts w:ascii="Times New Roman" w:hAnsi="Times New Roman"/>
          <w:color w:val="000000" w:themeColor="text1"/>
          <w:sz w:val="16"/>
          <w:szCs w:val="16"/>
        </w:rPr>
        <w:softHyphen/>
        <w:t>ски не отличается от обычного У-2 (11085).</w:t>
      </w:r>
    </w:p>
    <w:p w14:paraId="396078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ED2DCD"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периоде 14 по 16 марта 1944 года на Центральном московском аэродроме имени Фрунзе провели заводские испытания самолета У-2ШС. Испытательные полеты выполнил майор Гаврилов, отметивший, что самолет устойчив, пилотирование приятное благодаря наличию триммера, в остальном аппарат практически не отличается от обычного У-2 (24969).</w:t>
      </w:r>
    </w:p>
    <w:p w14:paraId="0B02DB21" w14:textId="77777777" w:rsidR="00C63BA9" w:rsidRPr="00C94B78" w:rsidRDefault="00C63BA9" w:rsidP="00B56F90">
      <w:pPr>
        <w:spacing w:after="0" w:line="240" w:lineRule="auto"/>
        <w:jc w:val="both"/>
        <w:rPr>
          <w:rFonts w:ascii="Times New Roman" w:hAnsi="Times New Roman"/>
          <w:color w:val="0070C0"/>
          <w:sz w:val="16"/>
          <w:szCs w:val="16"/>
        </w:rPr>
      </w:pPr>
    </w:p>
    <w:p w14:paraId="45069E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г. вышло Распоряжение ГКО № 5392 «Об организации в Ступино опытного винтового завода № 25 НКАП» (Д. 295. Л. 85).</w:t>
      </w:r>
    </w:p>
    <w:p w14:paraId="29EFC2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E0856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вышло Постановление ГКО № 5398 О дополнительных мерах по расширению производства авиационных дизелей А4-30Б на заводе № 500 и об организации производства этих дизелей на заводе № 45 НКавиапрома. РГАНИР, Фонд ГКО, д. 218, лл. 233-236,237-261 (11012).</w:t>
      </w:r>
    </w:p>
    <w:p w14:paraId="50DDB3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44ED6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года согласно постановлению ГКО № 5398сс, завод № 487 был ликвидирован как уставная организация, изготовляющая авиационное вооружение. ОКБ (гл. конструктор Шебанов И.П.), состоявшее при заводе № 487, имеющий утвержденный НКАП отдельный, не связанный с заводом план работ по проектированию и изготовлению опытных образцов установок авиавооружения продолжает свою деятельность на прежних площадях (8959).</w:t>
      </w:r>
    </w:p>
    <w:p w14:paraId="3F79E5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705D0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BACD0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54560A"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г., вышел приказ В.А. Малышева № 159с, согласно которому УТЗ должен был подать для утверждения в наркомат к 10 апреля план развертывания производства Т-44, исходя из даты начала серийного выпуска с 1 июля 1944 г.[1027]. Однако нижнетагильский завод № 183 так и не приступил к производству нового танка (23536).</w:t>
      </w:r>
    </w:p>
    <w:p w14:paraId="5B75A1F6" w14:textId="77777777" w:rsidR="00106719" w:rsidRPr="00070ADE" w:rsidRDefault="00106719" w:rsidP="00B56F90">
      <w:pPr>
        <w:spacing w:after="0" w:line="240" w:lineRule="auto"/>
        <w:jc w:val="both"/>
        <w:rPr>
          <w:rFonts w:ascii="Times New Roman" w:hAnsi="Times New Roman"/>
          <w:color w:val="000000" w:themeColor="text1"/>
          <w:sz w:val="16"/>
          <w:szCs w:val="16"/>
        </w:rPr>
      </w:pPr>
    </w:p>
    <w:p w14:paraId="5FBAF58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года вышел приказ НКБ № 119с</w:t>
      </w:r>
    </w:p>
    <w:p w14:paraId="226A629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распоряжением СНК № 5407рс от 10 марта 1944 года Милютинский Мехлеспункт НКБ выделить в самостоятельный завод с присвоением ему № 811 и подчинить Главтопу НКБ (5951, 27).</w:t>
      </w:r>
    </w:p>
    <w:p w14:paraId="6655CC5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8D255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года вышел приказ НКБ № 120с</w:t>
      </w:r>
    </w:p>
    <w:p w14:paraId="35DF08A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распоряжением СНК № 5054-рс от 6 марта 1944 года:</w:t>
      </w:r>
    </w:p>
    <w:p w14:paraId="485B940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Разделить комбинат № 392 на два самостоятельных завода:</w:t>
      </w:r>
    </w:p>
    <w:p w14:paraId="7C4BCF6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129 в составе производств пироксилина, кислот и ТЭЦ</w:t>
      </w:r>
    </w:p>
    <w:p w14:paraId="0361697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388 в составе производств пироксилинового пороха, спиртоэфирного, пороховых зарядов, полигона и тарного цеха (5951, 29).</w:t>
      </w:r>
    </w:p>
    <w:p w14:paraId="4B18684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654869" w14:textId="593E78D0"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г. после освобождения осенью 1943 г. Бердянска на месте эвакуированного завода, на котором был начато восстановление производства, был воссоздан завод (ГС заВОД № 276 НКНП, Берлинский крекинг-завод Наркомтопа, Осипенковский ГС Крекинг-завод НКНП, Осипенковский солидоловый завод Миннефтепрома, Бердянский опытный нефтемаслозавод СНХ, Бердянский Ордена Трудового Красного знамени опытный нефтемаслозавод Миннефтехимпрома, ОАО «Азовские смазки и масла» (A3MOJI) /г. Осипенко,</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Бердянск Запорожской обл./ /Украина 71114</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Бердянск Запорожской обл. ул. Шаумяна, 2/), а в 05.1945 г. завод выпустил первую продукцию.</w:t>
      </w:r>
    </w:p>
    <w:p w14:paraId="029784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18.04.1947 г. завод переименован в Осипенковский солидоловый завод в ведении Миннефтепрома и перепрофилирован на производство смазочных материалов. С 30.10.1958 г. преобразован в Бердянский опытный нефтемаслозавод Запорожского СНХ, с 27.02.1963 г.- Приднепровского СНХ. 7.01.1971 г. получил название Бердянский Ордена Трудового Красного знамени опытный нефтемаслозавод Миннефтехимпрома.</w:t>
      </w:r>
    </w:p>
    <w:p w14:paraId="09CC2108" w14:textId="3FFA165C"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1960 г. введен в эксплуатацию цех синтетических жирных кислот, действовавший до 1990-х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w:t>
      </w:r>
    </w:p>
    <w:p w14:paraId="771BD6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Выпускал смазочные материалы для ВАЗа. В 1992 г. организовано производство моторных, гидравлических и холодильных масел.</w:t>
      </w:r>
    </w:p>
    <w:p w14:paraId="01F7C0E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23.12.1994 г. завод преобразован в ОАО «АЗМОЛ».</w:t>
      </w:r>
    </w:p>
    <w:p w14:paraId="18B0D3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масел (2003 г.).</w:t>
      </w:r>
    </w:p>
    <w:p w14:paraId="52AD12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(1946-79 г.)- С.А. Степанянц, (1979-95 г.)- В.А. Чернышов.</w:t>
      </w:r>
    </w:p>
    <w:p w14:paraId="54A82D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инженера- Ю.Л. Ищук (11982).</w:t>
      </w:r>
    </w:p>
    <w:p w14:paraId="52F960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3E60F4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вышло Распоряжение ГКО № 5387. О поставках оборудования для Минно-трального управления НКВМФ. РГАНИР, Фонд ГКО, д. 218, лл. 182 (11012).</w:t>
      </w:r>
    </w:p>
    <w:p w14:paraId="6BE5517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772216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вышло Распоряжение ГКО № 5388 О создании Электромеханического завода НКЭС по производству запасных частей и специального инструмента для электростанций Дальнего Востока. (7198, 183,184).</w:t>
      </w:r>
    </w:p>
    <w:p w14:paraId="507980F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5504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вышло Постановление ГКО № 5389 Об организации производства запасных частей к танкам старых марок БТ и Т-26 на заводе № 105 НКО (г. Хабаровск). РГАНИР, Фонд ГКО, д. 218, лл. 185-186 (11012).</w:t>
      </w:r>
    </w:p>
    <w:p w14:paraId="3899B57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BD3FE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вышло Распоряжение ГКО № 5390. О направлении на завод "Севкабель" НКЭП из частей МПВО Ленинграда 10 работавших там ранее работниц. РГАНИР, Фонд ГКО, д. 218, лл. 187 (11012).</w:t>
      </w:r>
    </w:p>
    <w:p w14:paraId="0ED79E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0E3273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вышло Распоряжение ГКО № 5391. О заработной плате рабочих строительных организаций НКАП. РГАНИР, Фонд ГКО, д. 218, лл. 188 (11012).</w:t>
      </w:r>
    </w:p>
    <w:p w14:paraId="2564ED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BEFBDB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вышло Распоряжение ГКО № 5393 О составе комиссии по рассмотрению предложений академика Образцова В.Н. о восстановлении и дальнейшем развитии промышленного транспорта. (7198, 190,191-196).</w:t>
      </w:r>
    </w:p>
    <w:p w14:paraId="274F1E8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5293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вышло Распоряжение ГКО № 5394. О поставке строительству Казахского металлургического завода НКЧМ лесоматериалов и импортных товаров народного потребления. РГАНИР, Фонд ГКО, д. 218, лл. 197 (11012).</w:t>
      </w:r>
    </w:p>
    <w:p w14:paraId="77E3C4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802B4B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вышло Постановление ГКО № 5395 О восстановлении новороссийских цементных заводов Наркомстройматериалов СССР. РГАНИР, Фонд ГКО, д. 218, лл. 198-203,204-208 (11012).</w:t>
      </w:r>
    </w:p>
    <w:p w14:paraId="1ADAF1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C6B9C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вышло Распоряжение ГКО № 5396. О плане импорта оборудования для цементных заводов НКПСМ СССР на 1945 г. РГАНИР, Фонд ГКО, д. 218, лл. 209 (11012).</w:t>
      </w:r>
    </w:p>
    <w:p w14:paraId="2767D6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5AED4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вышло Постановление ГКО № 5397 О мероприятиях по восстановлению заводов Наркомстройматериалов УССР в освобожденных районах Украины. РГАНИР, Фонд ГКО, д. 218, лл. 210-216,217-232 (11012).</w:t>
      </w:r>
    </w:p>
    <w:p w14:paraId="2F215F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E4CAD3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вышло Распоряжение ГКО № 5399 [О направлении освобождающихся из ряда лагерей заключенных на гидролизные заводы Главлесоспирта при СНК СССР с освобождением от призыва в КА, правом вызова семей и прописки в соответствующих городах.] (7198, 262).</w:t>
      </w:r>
    </w:p>
    <w:p w14:paraId="4E9D0FF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7A1E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вышло Постановление ГКО № 5400 О мерах неотложной помощи Кузнецкому металлургическому комбинату по завозу железной руды и ферромарганца. РГАНИР, Фонд ГКО, д. 218, лл. 263-266 (11012).</w:t>
      </w:r>
    </w:p>
    <w:p w14:paraId="39E059E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EE4CF32" w14:textId="77777777" w:rsidR="007A1E0D"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AEDB5C9" w14:textId="77777777" w:rsidR="007A1E0D" w:rsidRPr="00070ADE" w:rsidRDefault="007A1E0D"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63CD56"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14 марта</w:t>
      </w:r>
      <w:r w:rsidRPr="00070ADE">
        <w:rPr>
          <w:rFonts w:ascii="Times New Roman" w:hAnsi="Times New Roman"/>
          <w:color w:val="000000" w:themeColor="text1"/>
          <w:sz w:val="16"/>
          <w:szCs w:val="16"/>
        </w:rPr>
        <w:t xml:space="preserve"> в 1944 году оперативная сводка Совинформбюро:</w:t>
      </w:r>
    </w:p>
    <w:p w14:paraId="4BC95CF8"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14 марта на Проскуровском направлении наши войска, преодолевая сопротивление и контратаки пехоты и танков противника, продолжали вести наступательные бои, в ходе которых заняли несколько населённых пунктов. При отражении контратак пехоты и танков противника наши войска нанесли ему большие потери в живой силе и технике.</w:t>
      </w:r>
    </w:p>
    <w:p w14:paraId="07007256"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Винницком направлении наши войска, продолжая наступление, с боями заняли более 30 населённых пунктов, в том числе крупные населённые пункты Прилуки, Вахновка, Журава, Еленовка, Изабеловка, Степановка, Зарудинцы, Михайловка, Комаров и железнодорожную станцию Гуменное (15 километров юго-восточнее Винница).</w:t>
      </w:r>
    </w:p>
    <w:p w14:paraId="372EF15C"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южнее города Умань наши войска, развивая наступление, овладели районным центром Винницкой области городом Гайсин, а также с боями заняли более 60 населённых пунктов, в том числе крупные населённые пункты Шабельная, Буды, Криштофовка, Карбовка, Куна, Зятковцы, Бубновка, Соболевка, Губник, Поборка, Глубочек, Метановка, Завадовка, Чернятка, Ставки, Хащевато, Могильно, Таужна, Грузское и железнодорожные станции Криштофовка, Зятковцы, Губник, Мелешки,Дукля, Генриховка, Хащевато, Мощёная, Таужна.</w:t>
      </w:r>
    </w:p>
    <w:p w14:paraId="1EEE1F08"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города Кировоград наши войска, продолжая наступление, овладели районными центрами Кировоградской области Подвысокое, Ново-Архангельск, Хмелевое, а также с боями заняли более 70 других населённых пунктов, среди которых крупные населённые пункты Нерубайка, Торговица, Копенковата, Россоховатец, Скалевое, Тимофеевка, Ерделевка, Миролюбовка, Анастасиевка.</w:t>
      </w:r>
    </w:p>
    <w:p w14:paraId="302929C2"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Николаевском направлении войска 3-го Украинского фронта продолжали успешно развивать наступление и овладели городом Широкая Балка (на северном берегу Днепровского лимана), районными центрами Николаевской области Большая Сейдеминуха, Белозерка, а также с боями заняли более 60 других населённых пунктов, в том числе крупные населённые пункты Явкино, Ново-Александровка, Бармашово, Киселёвка, Чернополье, Ново-Петровка, Спасская, Малеевка, Новый Очаков, Петропавловка, Калузьне, Мураховка, Васильевка, Павловка, Шкуриново-Загоряновка, Музыковка, Чернобаевка, Касперовка и железнодорожные станции Березнеговата, Чеховичи. Войска 3-го Украинского фронта в районе населённых пунктов Березнеговатое-Снигирёвка окружили крупную группировку немцев в составе нескольких дивизий. Противник предпринимал неоднократные попытки вырваться из окружения, но был отбит, потеряв при этом убитыми до 10.000 солдати офицеров. Нашими войсками захвачено в этом районе более 300 орудий разного калибра и взято в плен свыше 4.000 немецких солдат и офицеров.</w:t>
      </w:r>
    </w:p>
    <w:p w14:paraId="3633C5A1"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разведка и в ряде пунктов бои местного значения.</w:t>
      </w:r>
    </w:p>
    <w:p w14:paraId="7B317645"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13 марта наши войска на всех фронтах подбили и уничтожили 53 немецких танка. В воздушных боях и огнём зенитной артиллерии сбито 20 самолётов противника.</w:t>
      </w:r>
    </w:p>
    <w:p w14:paraId="33932B87"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Проскуровском направлении противник подтянул крупные силы пехоты и танков и непрерывно бросал их в контратаки. Советские гвардейцы, при поддержке танкистов и артиллеристов, отбили контратаки немцев и, продвигаясь вперёд, заняли несколько населённых пунктов. На поле боя осталось свыше 300 вражеских трупов. Сожжено и подбито 40 танков и самоходных орудий противника. Танковый экипаж гвардии сержанта Хамитова, выполняя задание по разведке, напал на штаб одной части противника. Танкисты разгромили немецкий штаб и, захватив документы, доставили их в свою часть.</w:t>
      </w:r>
    </w:p>
    <w:p w14:paraId="2FF9BAA0"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Винницком направлении наши войска, развивая наступление, заняли ряд населённых пунктов, а также железнодорожную станцию Гуменное, расположенную в 15 километрах юго-восточнее города Винницы. Под ударами советских танкистов и пехотинцев немцы поспешно отступают, бросая боевую технику. За день боёв уничтожено два полка пехоты противника. Захвачено у немцев 30 орудий, 35 миномётов, 111 пулемётов, 154 автомашины, 6 разных складов и другие трофеи. Взято большое число пленных. Советские части, разгромившие вчера 18 немецкую артиллерийскую дивизию, захватили 150 орудий разного калибра и много боеприпасов.</w:t>
      </w:r>
    </w:p>
    <w:p w14:paraId="1A796B23"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южнее города Умань наши войска продолжали успешное наступление. Бойцы Н-ского соединения форсировали реку Соб южнее и севернее города Гайсин и создали немцам угрозу окружения. Другие наши части нанесли противнику удар сфронта и в результате ожесточённых боёв овладели районным центром Винницкой области городом Гайсин.</w:t>
      </w:r>
    </w:p>
    <w:p w14:paraId="3F0FDD7B"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подступах к городу и на его улицах остались сотни вражеских трупов. Захвачено много трофеев. Овладев рядом населённых пунктов, наши войска на широком фронте вышли к реке Южный Буг.</w:t>
      </w:r>
    </w:p>
    <w:p w14:paraId="5EB08143"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города Кировоград наши войска продолжали наступление и с боями заняли районные центры Кировоградской области Подвысокое, Ново-Архангельск и Хмелевое. Советские бойцы и офицеры проявляют высокие образцы геройства и мужества в боях с немецко-фашистскими захватчиками. В одном районе взвод гвардейцев отрезал пути отхода группе противника. Наши бойцы истребили 160 гитлеровцев и захватили у них танк, 4 бронетранспортёра и 24 пулемёта. Орудийный расчёт гвардии старшины Мирошниченко, сопровождая пехоту, подбил два немецких танка и рассеял большую группу пехоты противника. Гвардеец тов. Анвутов убил немецкого офицера и взял в плен четырёх немецких солдат.</w:t>
      </w:r>
    </w:p>
    <w:p w14:paraId="345BCF6B"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 Николаевском направлении наши войска продолжали успешное наступление. Несмотря на бездорожье и непролазную грязь, наши подвижные части с боями прошли за сутки до 30 километров. Овладев населёнными пунктами Явкино, Ново-Александровка, Бармашово и Ново-Петровка, наши бойцы с запада вышли к реке </w:t>
      </w:r>
      <w:r w:rsidRPr="00070ADE">
        <w:rPr>
          <w:rFonts w:ascii="Times New Roman" w:hAnsi="Times New Roman"/>
          <w:color w:val="000000" w:themeColor="text1"/>
          <w:sz w:val="16"/>
          <w:szCs w:val="16"/>
        </w:rPr>
        <w:lastRenderedPageBreak/>
        <w:t>Ингулец и отрезали пути отхода крупной группировке противника. В это время другие наши соединения, развивая наступление вдоль левого берега реки Ингулец, заняли районный центр Николаевской области Большая Сейдеминуха, населённые пункты Васильевка и Павловка и тем самым замкнули кольцо вокруг немецких дивизий в районе Березнеговатое-Снигирёвка. Отчаянные попытки противника вырваться из окружения потерпели неудачу. Наши войска сжимают окружённые дивизии немцев инаносят им огромные потери в живой силе и технике.</w:t>
      </w:r>
    </w:p>
    <w:p w14:paraId="4130FAD0"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партизанских отряда, действующих в Львовской области, напали на колонну немцев, проходившую по шоссе.</w:t>
      </w:r>
    </w:p>
    <w:p w14:paraId="0F12C738"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патриоты уничтожили до роты гитлеровцев и захватили их вооружение. Группа партизан из отряда, действующего в Волынской области, в одном населённом пункте напала на немецких полицейских, грабивших мирное население. Партизаны истребили гитлеровцев и вернули жителям зерно и другие продукты, отнятые у них немцами.» (15068).</w:t>
      </w:r>
    </w:p>
    <w:p w14:paraId="5E717806" w14:textId="77777777" w:rsidR="007A1E0D" w:rsidRPr="00070ADE" w:rsidRDefault="007A1E0D" w:rsidP="00B56F90">
      <w:pPr>
        <w:spacing w:after="0" w:line="240" w:lineRule="auto"/>
        <w:jc w:val="both"/>
        <w:rPr>
          <w:rFonts w:ascii="Times New Roman" w:hAnsi="Times New Roman"/>
          <w:color w:val="000000" w:themeColor="text1"/>
          <w:sz w:val="16"/>
          <w:szCs w:val="16"/>
        </w:rPr>
      </w:pPr>
    </w:p>
    <w:p w14:paraId="302EB59A" w14:textId="77777777" w:rsidR="00582E01" w:rsidRPr="00070ADE" w:rsidRDefault="00582E01"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0AF993BD" w14:textId="77777777" w:rsidR="00582E01" w:rsidRPr="00070ADE" w:rsidRDefault="00582E01"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A57561"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14 марта 1944 г.</w:t>
      </w:r>
    </w:p>
    <w:p w14:paraId="1D94DB2A" w14:textId="77777777" w:rsidR="00582E01" w:rsidRPr="00070ADE" w:rsidRDefault="00582E01" w:rsidP="00B56F90">
      <w:pPr>
        <w:pStyle w:val="ae"/>
        <w:spacing w:before="0" w:after="0"/>
        <w:jc w:val="both"/>
        <w:rPr>
          <w:color w:val="000000" w:themeColor="text1"/>
          <w:sz w:val="16"/>
          <w:szCs w:val="16"/>
        </w:rPr>
      </w:pPr>
      <w:r w:rsidRPr="00070ADE">
        <w:rPr>
          <w:rStyle w:val="a7"/>
          <w:b w:val="0"/>
          <w:color w:val="000000" w:themeColor="text1"/>
          <w:sz w:val="16"/>
          <w:szCs w:val="16"/>
        </w:rPr>
        <w:t>ДОКЛАДНАЯ ЗАПИСКА</w:t>
      </w:r>
      <w:bookmarkStart w:id="20" w:name="_rtfnr_1"/>
      <w:r w:rsidRPr="00070ADE">
        <w:rPr>
          <w:rStyle w:val="a7"/>
          <w:b w:val="0"/>
          <w:color w:val="000000" w:themeColor="text1"/>
          <w:sz w:val="16"/>
          <w:szCs w:val="16"/>
          <w:vertAlign w:val="superscript"/>
        </w:rPr>
        <w:fldChar w:fldCharType="begin"/>
      </w:r>
      <w:r w:rsidRPr="00070ADE">
        <w:rPr>
          <w:rStyle w:val="a7"/>
          <w:b w:val="0"/>
          <w:color w:val="000000" w:themeColor="text1"/>
          <w:sz w:val="16"/>
          <w:szCs w:val="16"/>
          <w:vertAlign w:val="superscript"/>
        </w:rPr>
        <w:instrText xml:space="preserve"> HYPERLINK "http://istmat.info/node/62297" \l "_rtfnr_1.1" </w:instrText>
      </w:r>
      <w:r w:rsidRPr="00070ADE">
        <w:rPr>
          <w:rStyle w:val="a7"/>
          <w:b w:val="0"/>
          <w:color w:val="000000" w:themeColor="text1"/>
          <w:sz w:val="16"/>
          <w:szCs w:val="16"/>
          <w:vertAlign w:val="superscript"/>
        </w:rPr>
      </w:r>
      <w:r w:rsidRPr="00070ADE">
        <w:rPr>
          <w:rStyle w:val="a7"/>
          <w:b w:val="0"/>
          <w:color w:val="000000" w:themeColor="text1"/>
          <w:sz w:val="16"/>
          <w:szCs w:val="16"/>
          <w:vertAlign w:val="superscript"/>
        </w:rPr>
        <w:fldChar w:fldCharType="separate"/>
      </w:r>
      <w:r w:rsidRPr="00070ADE">
        <w:rPr>
          <w:rStyle w:val="a5"/>
          <w:rFonts w:eastAsiaTheme="majorEastAsia"/>
          <w:bCs/>
          <w:color w:val="000000" w:themeColor="text1"/>
          <w:sz w:val="16"/>
          <w:szCs w:val="16"/>
          <w:u w:val="none"/>
          <w:vertAlign w:val="superscript"/>
        </w:rPr>
        <w:t>*</w:t>
      </w:r>
      <w:r w:rsidRPr="00070ADE">
        <w:rPr>
          <w:rStyle w:val="a7"/>
          <w:b w:val="0"/>
          <w:color w:val="000000" w:themeColor="text1"/>
          <w:sz w:val="16"/>
          <w:szCs w:val="16"/>
          <w:vertAlign w:val="superscript"/>
        </w:rPr>
        <w:fldChar w:fldCharType="end"/>
      </w:r>
      <w:bookmarkEnd w:id="20"/>
    </w:p>
    <w:p w14:paraId="72A89453"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Секретно</w:t>
      </w:r>
    </w:p>
    <w:p w14:paraId="484F2B96"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Народному Комиссару финансов СССР товарищу А.Г. ЗВЕРЕВУ</w:t>
      </w:r>
    </w:p>
    <w:p w14:paraId="20480804"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Докладная записка</w:t>
      </w:r>
    </w:p>
    <w:p w14:paraId="066831DC"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 xml:space="preserve">Содержание: </w:t>
      </w:r>
    </w:p>
    <w:p w14:paraId="664D856F"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 xml:space="preserve">1. Состояние денежного обращения к концу 1944 г. </w:t>
      </w:r>
    </w:p>
    <w:p w14:paraId="4704DC39"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 xml:space="preserve">2. Необходимость реорганизации денежной системы СССР. </w:t>
      </w:r>
    </w:p>
    <w:p w14:paraId="20815BF0"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 xml:space="preserve">3. Задачи денежной реформы. </w:t>
      </w:r>
    </w:p>
    <w:p w14:paraId="1DB0C8E0"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 xml:space="preserve">4. Предпосылки денежной реформы. </w:t>
      </w:r>
    </w:p>
    <w:p w14:paraId="2217062E"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 xml:space="preserve">5. Возможности и пути проведения реформы. </w:t>
      </w:r>
    </w:p>
    <w:p w14:paraId="6854CD27"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 xml:space="preserve">6. Возможности изъятия из обращения избыточной денежной массы. </w:t>
      </w:r>
    </w:p>
    <w:p w14:paraId="184F4516"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 xml:space="preserve">7. Возможность вовлечения в оборот выпущенной в обращение денежной массы. </w:t>
      </w:r>
    </w:p>
    <w:p w14:paraId="341A1065"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 xml:space="preserve">8. Необходимость повышения цен государственно-кооперативной торговли. </w:t>
      </w:r>
    </w:p>
    <w:p w14:paraId="66F3BD65"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 xml:space="preserve">9. Этапы реформы. </w:t>
      </w:r>
    </w:p>
    <w:p w14:paraId="2FB5A934"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 xml:space="preserve">10. Уровень стабилизации. </w:t>
      </w:r>
    </w:p>
    <w:p w14:paraId="6728FDBD"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 xml:space="preserve">11. Организация эмиссии новых денежных знаков. </w:t>
      </w:r>
    </w:p>
    <w:p w14:paraId="2A9B314D"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 xml:space="preserve">12. Порядок замены обращающихся денежных знаков и выраженных в них обязательств новыми. </w:t>
      </w:r>
    </w:p>
    <w:p w14:paraId="1EBF1132"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13. Необходимые мероприятия в ходе реформы.</w:t>
      </w:r>
    </w:p>
    <w:p w14:paraId="230363D0"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Приложения: 1. Динамика среднемесячной денежной массы и розничного товарооборота за 1930-1940 гг. 2. Справка о ценах коммерческой торговли в 1930-1934 гг.[</w:t>
      </w:r>
      <w:bookmarkStart w:id="21" w:name="_rtfnr_2"/>
      <w:r w:rsidRPr="00070ADE">
        <w:rPr>
          <w:color w:val="000000" w:themeColor="text1"/>
          <w:sz w:val="16"/>
          <w:szCs w:val="16"/>
          <w:vertAlign w:val="superscript"/>
        </w:rPr>
        <w:fldChar w:fldCharType="begin"/>
      </w:r>
      <w:r w:rsidRPr="00070ADE">
        <w:rPr>
          <w:color w:val="000000" w:themeColor="text1"/>
          <w:sz w:val="16"/>
          <w:szCs w:val="16"/>
          <w:vertAlign w:val="superscript"/>
        </w:rPr>
        <w:instrText xml:space="preserve"> HYPERLINK "http://istmat.info/node/62297" \l "_rtfnr_2.1" </w:instrText>
      </w:r>
      <w:r w:rsidRPr="00070ADE">
        <w:rPr>
          <w:color w:val="000000" w:themeColor="text1"/>
          <w:sz w:val="16"/>
          <w:szCs w:val="16"/>
          <w:vertAlign w:val="superscript"/>
        </w:rPr>
      </w:r>
      <w:r w:rsidRPr="00070ADE">
        <w:rPr>
          <w:color w:val="000000" w:themeColor="text1"/>
          <w:sz w:val="16"/>
          <w:szCs w:val="16"/>
          <w:vertAlign w:val="superscript"/>
        </w:rPr>
        <w:fldChar w:fldCharType="separate"/>
      </w:r>
      <w:r w:rsidRPr="00070ADE">
        <w:rPr>
          <w:rStyle w:val="a5"/>
          <w:rFonts w:eastAsiaTheme="majorEastAsia"/>
          <w:color w:val="000000" w:themeColor="text1"/>
          <w:sz w:val="16"/>
          <w:szCs w:val="16"/>
          <w:u w:val="none"/>
          <w:vertAlign w:val="superscript"/>
        </w:rPr>
        <w:t>**</w:t>
      </w:r>
      <w:r w:rsidRPr="00070ADE">
        <w:rPr>
          <w:color w:val="000000" w:themeColor="text1"/>
          <w:sz w:val="16"/>
          <w:szCs w:val="16"/>
          <w:vertAlign w:val="superscript"/>
        </w:rPr>
        <w:fldChar w:fldCharType="end"/>
      </w:r>
      <w:bookmarkEnd w:id="21"/>
      <w:r w:rsidRPr="00070ADE">
        <w:rPr>
          <w:color w:val="000000" w:themeColor="text1"/>
          <w:sz w:val="16"/>
          <w:szCs w:val="16"/>
        </w:rPr>
        <w:t>]</w:t>
      </w:r>
      <w:bookmarkStart w:id="22" w:name="_rtfnr9"/>
      <w:r w:rsidRPr="00070ADE">
        <w:rPr>
          <w:color w:val="000000" w:themeColor="text1"/>
          <w:sz w:val="16"/>
          <w:szCs w:val="16"/>
        </w:rPr>
        <w:fldChar w:fldCharType="begin"/>
      </w:r>
      <w:r w:rsidRPr="00070ADE">
        <w:rPr>
          <w:color w:val="000000" w:themeColor="text1"/>
          <w:sz w:val="16"/>
          <w:szCs w:val="16"/>
        </w:rPr>
        <w:instrText xml:space="preserve"> HYPERLINK "http://istmat.info/node/62297" \l "_rtfnr9.1" </w:instrText>
      </w:r>
      <w:r w:rsidRPr="00070ADE">
        <w:rPr>
          <w:color w:val="000000" w:themeColor="text1"/>
          <w:sz w:val="16"/>
          <w:szCs w:val="16"/>
        </w:rPr>
      </w:r>
      <w:r w:rsidRPr="00070ADE">
        <w:rPr>
          <w:color w:val="000000" w:themeColor="text1"/>
          <w:sz w:val="16"/>
          <w:szCs w:val="16"/>
        </w:rPr>
        <w:fldChar w:fldCharType="separate"/>
      </w:r>
      <w:r w:rsidRPr="00070ADE">
        <w:rPr>
          <w:rStyle w:val="a5"/>
          <w:rFonts w:eastAsiaTheme="majorEastAsia"/>
          <w:color w:val="000000" w:themeColor="text1"/>
          <w:sz w:val="16"/>
          <w:szCs w:val="16"/>
          <w:u w:val="none"/>
          <w:vertAlign w:val="superscript"/>
        </w:rPr>
        <w:t>9</w:t>
      </w:r>
      <w:r w:rsidRPr="00070ADE">
        <w:rPr>
          <w:color w:val="000000" w:themeColor="text1"/>
          <w:sz w:val="16"/>
          <w:szCs w:val="16"/>
        </w:rPr>
        <w:fldChar w:fldCharType="end"/>
      </w:r>
      <w:bookmarkEnd w:id="22"/>
    </w:p>
    <w:p w14:paraId="5418E253"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1. Состояние денежного обращения к началу 1944 г.</w:t>
      </w:r>
    </w:p>
    <w:p w14:paraId="59AF7A18"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Состояние денежного обращения к началу 1944 г. характеризуется следующими данными (в млрд руб.)</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4796"/>
        <w:gridCol w:w="861"/>
        <w:gridCol w:w="923"/>
        <w:gridCol w:w="1379"/>
      </w:tblGrid>
      <w:tr w:rsidR="00582E01" w:rsidRPr="00070ADE" w14:paraId="14A5288E"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3BEBD2CB" w14:textId="77777777" w:rsidR="00582E01" w:rsidRPr="00070ADE" w:rsidRDefault="00582E0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29B0C"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II кв. 1941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30B61"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IV кв. 1943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850EB"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В % ко II кв. 1941 г.</w:t>
            </w:r>
          </w:p>
        </w:tc>
      </w:tr>
      <w:tr w:rsidR="00582E01" w:rsidRPr="00070ADE" w14:paraId="3E79044B"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1F11999E"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 Среднемесячная денежная масса, выпущенная в обращение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F0790"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1C586"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56,1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397F2"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293,7</w:t>
            </w:r>
          </w:p>
        </w:tc>
      </w:tr>
      <w:tr w:rsidR="00582E01" w:rsidRPr="00070ADE" w14:paraId="2280BAE2"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43A681DE"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 Розничный товарооборот государственно-кооперативной торговли:</w:t>
            </w:r>
          </w:p>
          <w:p w14:paraId="65D10C92"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а) в ценах соответствующего периода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C1E99"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E9A17"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A3B46"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56,3</w:t>
            </w:r>
          </w:p>
        </w:tc>
      </w:tr>
      <w:tr w:rsidR="00582E01" w:rsidRPr="00070ADE" w14:paraId="2B5C751B"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3F8E2A65"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б) в довоенных ценах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D4AAB"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66420"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C0FF2"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45,8</w:t>
            </w:r>
          </w:p>
        </w:tc>
      </w:tr>
      <w:tr w:rsidR="00582E01" w:rsidRPr="00070ADE" w14:paraId="05234335"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15055D82"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 Отношение розничного товарооборота к денежной массе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10FC2"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63C8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DB41B"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w:t>
            </w:r>
          </w:p>
        </w:tc>
      </w:tr>
    </w:tbl>
    <w:p w14:paraId="34D60219"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Денежная масса, выпущенная в обращение, увеличилась с 18,4 млрд руб. на 1 июня 1941 г. до 57.4 млрд руб. на 1 января 1944 г., т. е. на 39 млрд руб., или в 3,1 раза. За январь-февраль 1944 г. новая эмиссия составила 2,6 млрд руб. Розничный товарооборот государственно-кооперативной торговли (включая общественное питание) сократился с 48 млрд руб. во II квартале 1941 г. до 27 млрд руб. в IV квартале 1943 г., т. е. на 21 млрд руб., или в 1,78 раза. В довоенных ценах розничный товарооборот в IV квартале 1943 г. равнялся примерно 22 млрд руб., т. е. снизился по сравнению со II кварталом 1941 г. почти в 2,2 раза.</w:t>
      </w:r>
    </w:p>
    <w:p w14:paraId="111B5B9E"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Выпущенная в обращение денежная масса намного превысила нормальные потребности хозяйственного оборота в деньгах. Во II квартале 1941 г. розничный товарооборот государственно-кооперативной торговли в два с половиной раза ПРЕВЫШАЛ среднемесячную денежную массу в обращении, а в IV квартале 1943 г. был в два раза НИЖЕ среднемесячной денежной массы в обращении. Если исходить из довоенного соотношения, то в IV квартале среднемесячная денежная масса должна была бы составлять 10,7 млрд руб., фактически же она равнялась 56,1 млрд руб., — на 45,4 млрд руб., или в 5,2 раза более.</w:t>
      </w:r>
    </w:p>
    <w:p w14:paraId="61966A67"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Советское государство располагает широкими возможностями регулирования денежного обращения и товарооборота. Несмотря на большое увеличение денежной массы и значительное сокращение розничного товарооборота, цены государственно-кооперативной торговли повысились примерно лишь на 23 %[</w:t>
      </w:r>
      <w:bookmarkStart w:id="23" w:name="_rtfnr_3"/>
      <w:r w:rsidRPr="00070ADE">
        <w:rPr>
          <w:color w:val="000000" w:themeColor="text1"/>
          <w:sz w:val="16"/>
          <w:szCs w:val="16"/>
          <w:vertAlign w:val="superscript"/>
        </w:rPr>
        <w:fldChar w:fldCharType="begin"/>
      </w:r>
      <w:r w:rsidRPr="00070ADE">
        <w:rPr>
          <w:color w:val="000000" w:themeColor="text1"/>
          <w:sz w:val="16"/>
          <w:szCs w:val="16"/>
          <w:vertAlign w:val="superscript"/>
        </w:rPr>
        <w:instrText xml:space="preserve"> HYPERLINK "http://istmat.info/node/62297" \l "_rtfnr_3.1" </w:instrText>
      </w:r>
      <w:r w:rsidRPr="00070ADE">
        <w:rPr>
          <w:color w:val="000000" w:themeColor="text1"/>
          <w:sz w:val="16"/>
          <w:szCs w:val="16"/>
          <w:vertAlign w:val="superscript"/>
        </w:rPr>
      </w:r>
      <w:r w:rsidRPr="00070ADE">
        <w:rPr>
          <w:color w:val="000000" w:themeColor="text1"/>
          <w:sz w:val="16"/>
          <w:szCs w:val="16"/>
          <w:vertAlign w:val="superscript"/>
        </w:rPr>
        <w:fldChar w:fldCharType="separate"/>
      </w:r>
      <w:r w:rsidRPr="00070ADE">
        <w:rPr>
          <w:rStyle w:val="a5"/>
          <w:rFonts w:eastAsiaTheme="majorEastAsia"/>
          <w:color w:val="000000" w:themeColor="text1"/>
          <w:sz w:val="16"/>
          <w:szCs w:val="16"/>
          <w:u w:val="none"/>
          <w:vertAlign w:val="superscript"/>
        </w:rPr>
        <w:t>***</w:t>
      </w:r>
      <w:r w:rsidRPr="00070ADE">
        <w:rPr>
          <w:color w:val="000000" w:themeColor="text1"/>
          <w:sz w:val="16"/>
          <w:szCs w:val="16"/>
          <w:vertAlign w:val="superscript"/>
        </w:rPr>
        <w:fldChar w:fldCharType="end"/>
      </w:r>
      <w:bookmarkEnd w:id="23"/>
      <w:r w:rsidRPr="00070ADE">
        <w:rPr>
          <w:color w:val="000000" w:themeColor="text1"/>
          <w:sz w:val="16"/>
          <w:szCs w:val="16"/>
        </w:rPr>
        <w:t>] по сравнению с довоенным их уровнем, причем повышение цен было произведено планомерно, ограничилось спиртными напитками и некоторыми промтоварами. Цены на все продовольственные товары (кроме спиртных напитков, соли, мороженого и цен коммерческих столовых и ресторанов) остались без изменения. Нормированное снабжение населения осуществлялось в основном по неизменным довоенным ценам. Однако все это не устраняет отрицательного влияния избыточной денежной эмиссии.</w:t>
      </w:r>
    </w:p>
    <w:p w14:paraId="627CDF7C" w14:textId="2FAC17B8"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Поскольку нормированное снабжение по государственно-кооперативным ценам не покрывает потребностей населения в товарах и продуктах и далеко не соответствует платежеспособности населения, сильно увеличился рыночный спрос на товары и продукты.</w:t>
      </w:r>
      <w:r w:rsidR="00C63BA9">
        <w:rPr>
          <w:color w:val="000000" w:themeColor="text1"/>
          <w:sz w:val="16"/>
          <w:szCs w:val="16"/>
        </w:rPr>
        <w:t xml:space="preserve"> </w:t>
      </w:r>
      <w:r w:rsidRPr="00070ADE">
        <w:rPr>
          <w:color w:val="000000" w:themeColor="text1"/>
          <w:sz w:val="16"/>
          <w:szCs w:val="16"/>
        </w:rPr>
        <w:t>В условиях недостаточного рыночного предложения товаров и продуктов это привело к быстрому росту рыночных цен, — примерно в 10-15 раз по сравнению с их довоенным уровнем. В июле 1941 г. рыночные цены были выше цен государственно-кооперативной торговли в 1,5 раза, а в июле 1943 года- в 20 - 25 раз.</w:t>
      </w:r>
    </w:p>
    <w:p w14:paraId="6B9691BA"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В результате резкого повышения рыночных цен избыточная по сравнению с потребностями хозяйственного оборота денежная масса оседает на руках рыночных продавцов, ослабляя тем самым стимулы к расширению продаж с/х продуктов за деньги и порождая спекуляцию товарами и продуктами. Высокие рыночные цены, перекачка денег в руки рыночных продавцов означают внеплановое перераспределение доходов. Избыточная денежная масса и карточная система снабжения подрывают роль денег и денежной зарплаты, ослабляют дифференциацию зарплаты в соответствии с количеством и качеством труда, затрудняют набор и правильное использование рабочей силы, увеличивают непроизводственные издержки обращения, затраты по гужевым перевозкам и т. д.</w:t>
      </w:r>
    </w:p>
    <w:p w14:paraId="0A618C2D"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2. Необходимость реорганизации денежной системы СССР</w:t>
      </w:r>
    </w:p>
    <w:p w14:paraId="5B4B5AB6"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Современная денежная система СССР берет свое начало от денежной реформы 1922-1924 гг. Однако за истекшие годы организация эмиссии подверглась настолько крупным изменениям, что правила и нормы эмиссии, установленные законом 1922-1924 гг., утратили всякое практическое значение. В частности, отпала необходимость в разграничении эмиссии на банковскую и казначейскую, утратили свое значение различия в определении законной платежной силы, норм и порядка эмиссии банковых билетов и казначейской валюты. Фактически и банковские, и казначейские билеты являются в равной мере законным платежным средством, обязательным для приема во все платежи по их номиналу, различаются только купюрами. Червонный счет в практику не вошел и всеобщей единицей денежного учета является рубль с его долей — копейкой. Эмиссия банковских билетов на практике имеет тот же характер, что и эмиссия казначейских билетов, является не частным делом хозрасчетной организации — Госбанка, а государственной денежной эмиссией.</w:t>
      </w:r>
    </w:p>
    <w:p w14:paraId="74E3D314"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Материалы по денежному обращению за 1930 - 1940 гг. показывают, что в нынешней организации денежной эмиссии имеются крупные недостатки. Это выражается, прежде всего, в том, что и до войны, в условиях бездефицитного бюджета, эмиссионные планы выполнялись с большим превышением, что, по сути дела, означало значительную внеплановую денежную эмиссию. В результате и в довоенное время образовывалось несоответствие между количеством выпущенных в обращение денег и потребностями хозяйственного оборота в деньгах. Для ликвидации этого несоответствия и его отрицательных последствий оказывались необходимыми особые меры, в частности — повышение цен государственно-кооперативной торговли.</w:t>
      </w:r>
    </w:p>
    <w:p w14:paraId="632593BC"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Повышение цен, тарифов, заработной платы и т. п. означало снижение покупательной силы рубля, т. е. повышение масштаба цен. К настоящему времени масштаб цен (без учета рыночной торговли), повысился примерно в 10 раз по сравнению с 1926 г. и в 15-20 раз — по сравнению с_1913 г. Результатом этого является усложнение счета, постепенный переход оборота к более крупным купюрам денежных знаков, необходимость выражать цены, тарифы, зарплату, все денежные расчеты в крупных суммах, некоторое пренебрежение к «мелочи», сильное расхождение между покупательной силой советской валюты внутри страны и внешними валютными курсами.</w:t>
      </w:r>
    </w:p>
    <w:p w14:paraId="33A17BAC"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 xml:space="preserve">Для устранения всех этих недостатков представляется необходимым реорганизовать нашу денежную систему, заменить обращающиеся ныне денежные знаки новыми, изменить (усовершенствовать) условия, порядок и нормы денежной эмиссии. При этом реорганизация денежной системы, переход к новой советской валюте </w:t>
      </w:r>
      <w:r w:rsidRPr="00070ADE">
        <w:rPr>
          <w:color w:val="000000" w:themeColor="text1"/>
          <w:sz w:val="16"/>
          <w:szCs w:val="16"/>
        </w:rPr>
        <w:lastRenderedPageBreak/>
        <w:t>предполагает предварительное преодоление избыточной денежной массы, выпущенной в обращение за время войны, ликвидацию отрицательных последствий избыточной денежной массы. Этим и определяются необходимость и содержание денежной реформы.</w:t>
      </w:r>
    </w:p>
    <w:p w14:paraId="5512504C"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3. Задачи денежной реформы</w:t>
      </w:r>
    </w:p>
    <w:p w14:paraId="3A9F5325"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Из изложенного выше вытекают две основные задачи денежной реформы:</w:t>
      </w:r>
    </w:p>
    <w:p w14:paraId="0D457CA0"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1. В кратчайшие сроки после окончания войны, с максимальным учетом интересов народного хозяйства в целом и отдельных групп населения достичь и закрепить соответствие между количеством денег в обращении и потребностями хозяйственного оборота в деньгах, тем самым:</w:t>
      </w:r>
    </w:p>
    <w:p w14:paraId="3DCAB2DC"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а) устранить имеющийся избыток денежной массы, выпущенной в обращение;</w:t>
      </w:r>
    </w:p>
    <w:p w14:paraId="243C6642"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б) преодолеть разрыв между ценами государственно-кооперативной торговли и рыночными ценами, устранить условия, вызывающие рост рыночных цен и перекачку денег и товарных ценностей в руки рыночных продавцов;</w:t>
      </w:r>
    </w:p>
    <w:p w14:paraId="3C2BBEA1"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в) обеспечить условия для ликвидации системы рационирования снабжения (карточной и ордерной системы), для перехода к открытой торговле всеми товарами и продуктами, потребляемыми населением.</w:t>
      </w:r>
    </w:p>
    <w:p w14:paraId="753CF95B"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В связи с разрешением этой задачи в ходе реформы необходимо будет пересмотреть и усовершенствовать действующую систему цен, тарифов и заработной платы, систему кредитования и расчетов, организацию оборотных средств хозяйства и т. д., что будет иметь крупное значение для закрепления итогов реформы.</w:t>
      </w:r>
    </w:p>
    <w:p w14:paraId="3F371437"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2. Реорганизовать денежную систему СССР, устранить формально имеющийся ее дуализм, привести ее в соответствие с новыми экономическими условиями и задачами, заменить обращающиеся ныне денежные знаки денежными знаками нового образца.</w:t>
      </w:r>
    </w:p>
    <w:p w14:paraId="3F0F5B12"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В связи с разрешением этой задачи необходимо пересмотреть и усовершенствовать условия, порядок и нормы денежной эмиссии, обеспечить в дальнейшем строгое выполнение плановых эмиссионных заданий, предотвратить возможность сверхплановой эмиссии, что также будет иметь крупное значение для закрепления итогов реформы.</w:t>
      </w:r>
    </w:p>
    <w:p w14:paraId="4B259A41"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При замене обращающихся ныне денежных знаков денежными знаками нового образца целесообразно провести деноминацию, т. е. понизить масштаб цен.</w:t>
      </w:r>
    </w:p>
    <w:p w14:paraId="7C9B8BD9"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4. Предпосылки денежной реформы</w:t>
      </w:r>
    </w:p>
    <w:p w14:paraId="7650F4AC"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Чтобы созданная в результате реформы денежная система была достаточно прочной и устойчивой, необходимо, прежде всего, в ходе реформы успешно и правильно разрешить первую указанную выше задачу.</w:t>
      </w:r>
    </w:p>
    <w:p w14:paraId="1AC7599B"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Достижение и закрепление соответствия между количеством денег в обращении и потребностями хозяйственного оборота в деньгах предполагает:</w:t>
      </w:r>
    </w:p>
    <w:p w14:paraId="6CC5512B"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1) не только ликвидацию бюджетного дефицита и тем самым устранения необходимости денежной эмиссии для его покрытия, но создание и усиление активного баланса госбюджета и кассового плана Госбанка, образование необходимых для успешного завершения реформы бюджетных и эмиссионных резервов;</w:t>
      </w:r>
    </w:p>
    <w:p w14:paraId="68C7D1DC"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2) преодоление накопившегося за время войны избыточного платежеспособного спроса населения, превышающего как нормальный уровень потребностей населения в товарах и продуктах, так и возможности удовлетворения этого спроса через государственно-кооперативную и колхозную торговлю;</w:t>
      </w:r>
    </w:p>
    <w:p w14:paraId="54CACCD9"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3) насыщение минимальных текущих потребностей населения в товарах и продуктах первой необходимости через государственно-кооперативную торговлю, а также образование необходимых для безусловного успеха реформы материальных резервов.</w:t>
      </w:r>
    </w:p>
    <w:p w14:paraId="03217834"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Без достижения этих предпосылок невозможно сокращение денежной массы или, по крайней мере, прекращение ее дальнейшего роста в ходе реформы; невозможен будет отказ от нормированного снабжения, переход на открытую торговлю без угроз сосредоточения товарных масс в руках владельцев крупных денежных сумм в ущерб снабжению рабочих и служащих; сохранится повышенный рыночный спрос населения, тем самым не будет обеспечено преодоление высоких рыночных цен и перекачки денег в руки рыночных продавцов.</w:t>
      </w:r>
    </w:p>
    <w:p w14:paraId="360D0E6D"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5. Возможности и пути проведения реформы</w:t>
      </w:r>
    </w:p>
    <w:p w14:paraId="2DEF3388"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На первом этапе нэпа денежная реформа была успешно осуществлена в течение трех лет с момента перехода к нэпу. Это было огромным достижением, если учесть состояние народного хозяйства страны к началу нэпа и степень расстройства денежного обращения за годы иностранной интервенции и гражданской войны. В успехе денежной реформы 1922-1924 гг. сказались особенности и преимущества советского строя.</w:t>
      </w:r>
    </w:p>
    <w:p w14:paraId="4C98C145"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Социалистическая индустриализация страны и коллективизация сельского хозяйства в корне изменили характер нашей страны, превратили ее в мощную индустриальную державу. Неизмеримо выросли производительные силы страны, увеличились ресурсы, находящиеся в распоряжении государства, укрепилось и расширилось плановое руководство, повысилась социалистическая организованность всего народного хозяйства. С коллективизацией сельского хозяйства и ликвидацией капиталистических элементов в городе и деревне уничтожена главная основа рыночной стихии. Создан и проверен на практике налаженный хозяйственный, торговый, финансовый аппарат, накоплен большой опыт финансово-экономической работы в условиях социалистической системы хозяйства.</w:t>
      </w:r>
    </w:p>
    <w:p w14:paraId="1B3B5E3E"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Социалистическая собственность на орудия и средства производства, плановое руководство позволили организованно, в кратчайшие сроки осуществить перестройку всего народного хозяйства страны в соответствии с условиями и задачами военного времени, в обстановке ожесточенной войны. Несмотря на огромные разрушения производительных сил, причиненные врагом, на временную утрату больших территорий, имеющих весьма важное экономическое значение для всей страны, — обеспечены всем необходимым как потребности фронта, так и наиболее насущные потребности тыла. Более того, уже в ходе войны начались и проводятся в возрастающих масштабах восстановительные работы.</w:t>
      </w:r>
    </w:p>
    <w:p w14:paraId="4F9B32C2"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Особенности и преимущества социалистической системы хозяйства в сочетании с достигнутым уровнем развития производительных сил страны обеспечивают ВОЗМОЖНОСТЬ создания в кратчайшие сроки всех предпосылок, необходимых для успешного проведения денежной реформы.</w:t>
      </w:r>
    </w:p>
    <w:p w14:paraId="0FF72C33"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Соответствие между количеством денег в обращении и потребностями хозяйственного оборота в деньгах может быть достигнуто путем:</w:t>
      </w:r>
    </w:p>
    <w:p w14:paraId="18674D56"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а) сокращения денежной массы в обращении до уровня, определяемого потребностями хозяйственного оборота в деньгах, посредством изъятия из обращения избыточной денежной массы, и</w:t>
      </w:r>
    </w:p>
    <w:p w14:paraId="4E0EA78B"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б) расширения самой потребности хозяйственного оборота в деньгах посредством увеличения размеров товарооборота в натуральном выражении (увеличение количества реализуемых товаров и услуг) и повышения цен и тарифов (снижение покупательной силы денег).</w:t>
      </w:r>
    </w:p>
    <w:p w14:paraId="233E6E64"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Успешное проведение денежной реформы возможно лишь при сочетании этих путей и методов достижения соответствия между количеством денег в обращении и потребностями хозяйственного оборота в деньгах.</w:t>
      </w:r>
    </w:p>
    <w:p w14:paraId="2D1DC593"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6. Возможности изъятия из обращения избыточной денежной массы</w:t>
      </w:r>
    </w:p>
    <w:p w14:paraId="6A316AAC"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Изъятие избыточной денежной массы из обращения предполагает соответствующее превышение общей суммы текущих доходов государства над его расходами (активное сальдо госбюджета и кассового плана Госбанка).</w:t>
      </w:r>
    </w:p>
    <w:p w14:paraId="04D63343"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По плану на 1944 г. розничный товарооборот государственно-кооперативной торговли запроектирован в сумме 100 млрд руб. При этом объеме розничного товарооборота нормальные потребности хозяйственного оборота в деньгах (принимая довоенное соотношение между размерами товарооборота и денежной массы в обращении) составляют около 10 млрд руб. против фактически выпущенных 7 марта 1944 г. в обращение 60 млрд руб. Следовательно, избыточная денежная масса в обращении может быть определена примерно в сумме до 50 млрд руб. В утвержденном на 1944 г. государственном бюджете непокрытая определенными доходными источниками сумма расходов составляет около 17 млрд руб. Стало быть, для изъятия всей избыточной денежной массы из обращения необходимо увеличить доходы или сократить расходы госбюджета против утвержденных на 1944 г. сумм не менее чем на 65 млрд руб.[</w:t>
      </w:r>
      <w:bookmarkStart w:id="24" w:name="_rtfnr_4"/>
      <w:r w:rsidRPr="00070ADE">
        <w:rPr>
          <w:color w:val="000000" w:themeColor="text1"/>
          <w:sz w:val="16"/>
          <w:szCs w:val="16"/>
        </w:rPr>
        <w:fldChar w:fldCharType="begin"/>
      </w:r>
      <w:r w:rsidRPr="00070ADE">
        <w:rPr>
          <w:color w:val="000000" w:themeColor="text1"/>
          <w:sz w:val="16"/>
          <w:szCs w:val="16"/>
        </w:rPr>
        <w:instrText xml:space="preserve"> HYPERLINK "http://istmat.info/node/62297" \l "_rtfnr_4.1" </w:instrText>
      </w:r>
      <w:r w:rsidRPr="00070ADE">
        <w:rPr>
          <w:color w:val="000000" w:themeColor="text1"/>
          <w:sz w:val="16"/>
          <w:szCs w:val="16"/>
        </w:rPr>
      </w:r>
      <w:r w:rsidRPr="00070ADE">
        <w:rPr>
          <w:color w:val="000000" w:themeColor="text1"/>
          <w:sz w:val="16"/>
          <w:szCs w:val="16"/>
        </w:rPr>
        <w:fldChar w:fldCharType="separate"/>
      </w:r>
      <w:r w:rsidRPr="00070ADE">
        <w:rPr>
          <w:rStyle w:val="a5"/>
          <w:rFonts w:eastAsiaTheme="majorEastAsia"/>
          <w:color w:val="000000" w:themeColor="text1"/>
          <w:sz w:val="16"/>
          <w:szCs w:val="16"/>
          <w:u w:val="none"/>
          <w:vertAlign w:val="superscript"/>
        </w:rPr>
        <w:t>****</w:t>
      </w:r>
      <w:r w:rsidRPr="00070ADE">
        <w:rPr>
          <w:color w:val="000000" w:themeColor="text1"/>
          <w:sz w:val="16"/>
          <w:szCs w:val="16"/>
        </w:rPr>
        <w:fldChar w:fldCharType="end"/>
      </w:r>
      <w:bookmarkEnd w:id="24"/>
      <w:r w:rsidRPr="00070ADE">
        <w:rPr>
          <w:color w:val="000000" w:themeColor="text1"/>
          <w:sz w:val="16"/>
          <w:szCs w:val="16"/>
        </w:rPr>
        <w:t>] Какие в этом отношении будут иметься возможности после окончания войны?</w:t>
      </w:r>
    </w:p>
    <w:p w14:paraId="28793E99"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По сравнению с довоенным 1940 г. расходы госбюджета изменились следующим образом (в млрд руб.):</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2707"/>
        <w:gridCol w:w="1155"/>
        <w:gridCol w:w="950"/>
        <w:gridCol w:w="2088"/>
      </w:tblGrid>
      <w:tr w:rsidR="00582E01" w:rsidRPr="00070ADE" w14:paraId="42107542"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4E634255" w14:textId="77777777" w:rsidR="00582E01" w:rsidRPr="00070ADE" w:rsidRDefault="00582E0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48D0C"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1943 г. (исполн.)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3DADA"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1944 г. (план)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FC0B3"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1944 г. по сравнению с 1943 г.</w:t>
            </w:r>
          </w:p>
        </w:tc>
      </w:tr>
      <w:tr w:rsidR="00582E01" w:rsidRPr="00070ADE" w14:paraId="484C1B60"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0C6F43D7"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Общая сумма расходов</w:t>
            </w:r>
          </w:p>
          <w:p w14:paraId="238A40EF"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9E2A6" w14:textId="77777777" w:rsidR="00582E01" w:rsidRPr="00070ADE" w:rsidRDefault="00582E0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8BB44" w14:textId="77777777" w:rsidR="00582E01" w:rsidRPr="00070ADE" w:rsidRDefault="00582E0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50C0D" w14:textId="77777777" w:rsidR="00582E01" w:rsidRPr="00070ADE" w:rsidRDefault="00582E0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+39,9</w:t>
            </w:r>
          </w:p>
        </w:tc>
      </w:tr>
      <w:tr w:rsidR="00582E01" w:rsidRPr="00070ADE" w14:paraId="153942C9"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2AC304BF"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1.НКО и НКВМФ</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9E92F"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+67,9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362BA"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+71,6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F4B52"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+3,9</w:t>
            </w:r>
          </w:p>
        </w:tc>
      </w:tr>
      <w:tr w:rsidR="00582E01" w:rsidRPr="00070ADE" w14:paraId="60936CF7"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50C3E31F"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 Народное хозяйство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D0EC2"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BCA91"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70F51"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+13,7</w:t>
            </w:r>
          </w:p>
        </w:tc>
      </w:tr>
      <w:tr w:rsidR="00582E01" w:rsidRPr="00070ADE" w14:paraId="2CF15413"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12C83812"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 Социально-культурные мероприятия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BB314"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1C403"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94DFB"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+14,1</w:t>
            </w:r>
          </w:p>
        </w:tc>
      </w:tr>
      <w:tr w:rsidR="00582E01" w:rsidRPr="00070ADE" w14:paraId="74399674"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41333817"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Из них: пенсии военные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BA65E"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A4016"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960F6"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+2,8</w:t>
            </w:r>
          </w:p>
        </w:tc>
      </w:tr>
      <w:tr w:rsidR="00582E01" w:rsidRPr="00070ADE" w14:paraId="28BF4002"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604DDF38"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пособия семьям военнослужащих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94395"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2759C"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6AA47"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-0,3</w:t>
            </w:r>
          </w:p>
        </w:tc>
      </w:tr>
      <w:tr w:rsidR="00582E01" w:rsidRPr="00070ADE" w14:paraId="55402483"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4C075AE0"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остальные 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62E86"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-13,7</w:t>
            </w:r>
            <w:r w:rsidRPr="00070ADE">
              <w:rPr>
                <w:color w:val="000000" w:themeColor="text1"/>
                <w:sz w:val="16"/>
                <w:szCs w:val="16"/>
                <w:vertAlign w:val="superscript"/>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39AC8"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5A4CC"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+11,6</w:t>
            </w:r>
          </w:p>
        </w:tc>
      </w:tr>
      <w:tr w:rsidR="00582E01" w:rsidRPr="00070ADE" w14:paraId="7D4F9E8C"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18C59FEA"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4. НКВД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4A42E"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B6031"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5E56E"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+1,1</w:t>
            </w:r>
          </w:p>
        </w:tc>
      </w:tr>
      <w:tr w:rsidR="00582E01" w:rsidRPr="00070ADE" w14:paraId="0B83E03A"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72826F25"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5. Управление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EDC40"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435D4"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1D0CC"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+1,5</w:t>
            </w:r>
          </w:p>
        </w:tc>
      </w:tr>
      <w:tr w:rsidR="00582E01" w:rsidRPr="00070ADE" w14:paraId="41EFF5A9"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5D3DDACC"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6. Прочие 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FBA20"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41452"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C7E8E"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+5,8</w:t>
            </w:r>
          </w:p>
        </w:tc>
      </w:tr>
    </w:tbl>
    <w:p w14:paraId="2DB039B3"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 Показатели таблицы, подчеркнутые прерывистой линией, в оригинале документа обведены карандашом.</w:t>
      </w:r>
    </w:p>
    <w:p w14:paraId="5CA251AE"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 xml:space="preserve">В 1944 г. значительно вырастают расходы на народное хозяйство, просвещение и здравоохранение. После окончания войны, по-видимому, расходы на просвещение и здравоохранение будут доведены до довоенного уровня, а расходы на финансирование народного хозяйства превысят довоенный уровень в связи с демилитаризацией хозяйства и восстановительными работами. Это увеличит расходы госбюджета примерно на 20-25 млрд руб. Останутся на высоком уровне расходы по пенсионному обеспечению инвалидов Отечественной войны и семей погибших военнослужащих. Сократятся расходы по финансированию НКО и НКВМФ и на </w:t>
      </w:r>
      <w:r w:rsidRPr="00070ADE">
        <w:rPr>
          <w:color w:val="000000" w:themeColor="text1"/>
          <w:sz w:val="16"/>
          <w:szCs w:val="16"/>
        </w:rPr>
        <w:lastRenderedPageBreak/>
        <w:t>выдачу пособий семьям военнослужащих, однако эти расходы останутся на уровне, значительно превышающем довоенный. Все это говорит о том, что возможности сокращения общей суммы расходов в госбюджете в первое время после окончания войны будут весьма ограниченными. Следовательно, основным путем создания активного баланса госбюджета является увеличение доходов госбюджета.</w:t>
      </w:r>
    </w:p>
    <w:p w14:paraId="5A246F41"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Доходы госбюджета по сравнению с довоенным 1940 г. изменились следующим образом (в млрд руб.) (см. стр. 67):</w:t>
      </w:r>
    </w:p>
    <w:p w14:paraId="42CCF1CC"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Общий уровень изъятий в бюджет из текущих доходов населения в настоящее время высок, в значительной мере основывается на обстоятельствах военного времени и после войны вопрос будет стоять скорее о понижении, чем об увеличении относительных размеров изъятий. Имеющийся опыт свидетельствует, что прямые платежи населения в бюджет не в состоянии ни предотвратить сосредоточение крупных денежных сумм в руках рыночных продавцов, ни обеспе-</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3681"/>
        <w:gridCol w:w="1155"/>
        <w:gridCol w:w="910"/>
        <w:gridCol w:w="2088"/>
      </w:tblGrid>
      <w:tr w:rsidR="00582E01" w:rsidRPr="00070ADE" w14:paraId="37418EF8"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4B64E923" w14:textId="77777777" w:rsidR="00582E01" w:rsidRPr="00070ADE" w:rsidRDefault="00582E0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0CF3C"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1943 г. (исполн.)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B23B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1944 г.(план)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6D5B7"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1944 г. по сравнению с 1943 г.</w:t>
            </w:r>
          </w:p>
        </w:tc>
      </w:tr>
      <w:tr w:rsidR="00582E01" w:rsidRPr="00070ADE" w14:paraId="5DED2353"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6916907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Общая сумма доходов 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1B207CB"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1BE4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+52,1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E7BB9"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+30,0</w:t>
            </w:r>
          </w:p>
        </w:tc>
      </w:tr>
      <w:tr w:rsidR="00582E01" w:rsidRPr="00070ADE" w14:paraId="7266534B"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6D710D0E"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 Налог с оборота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EBB83"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-34,8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C59F2"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36C16"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+10,4</w:t>
            </w:r>
          </w:p>
        </w:tc>
      </w:tr>
      <w:tr w:rsidR="00582E01" w:rsidRPr="00070ADE" w14:paraId="2C443F59"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5A965323"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 Отчисления от прибылей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05F53"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5C56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3AB02"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+3,1</w:t>
            </w:r>
          </w:p>
        </w:tc>
      </w:tr>
      <w:tr w:rsidR="00582E01" w:rsidRPr="00070ADE" w14:paraId="1C1006E2"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513F0815"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 Средства соцстраха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5E3CB"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0DE9B"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89D87"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+1,5</w:t>
            </w:r>
          </w:p>
        </w:tc>
      </w:tr>
      <w:tr w:rsidR="00582E01" w:rsidRPr="00070ADE" w14:paraId="0D335AF5"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2DE4C07A"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4. Налоги с населения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8E0E3"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832C4"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05BEC"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+6,0</w:t>
            </w:r>
          </w:p>
        </w:tc>
      </w:tr>
      <w:tr w:rsidR="00582E01" w:rsidRPr="00070ADE" w14:paraId="7BDA2D03"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063523FA"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из них: военный налог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1DF6C"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51584"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73647"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+3,4</w:t>
            </w:r>
          </w:p>
        </w:tc>
      </w:tr>
      <w:tr w:rsidR="00582E01" w:rsidRPr="00070ADE" w14:paraId="318EB5E4"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7BFDC997"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остальные налоги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BAFA6"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E4EA4"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BD386"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+2,6</w:t>
            </w:r>
          </w:p>
        </w:tc>
      </w:tr>
      <w:tr w:rsidR="00582E01" w:rsidRPr="00070ADE" w14:paraId="0620F4B8"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4AE4A91E"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5. Госзаймы и лотереи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8D411"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C66CB"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052B0"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+7,0</w:t>
            </w:r>
          </w:p>
        </w:tc>
      </w:tr>
      <w:tr w:rsidR="00582E01" w:rsidRPr="00070ADE" w14:paraId="08AA100B"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3958F4F6"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из них: госзаймы по подписке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A4B19"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FCDBC"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45BFF"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+6,6</w:t>
            </w:r>
          </w:p>
        </w:tc>
      </w:tr>
      <w:tr w:rsidR="00582E01" w:rsidRPr="00070ADE" w14:paraId="5CE14443"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7F3637A1"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6. Фонды Обороны, Красной Армии, Восстановления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1202F"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C9F49"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7A928"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-4,8</w:t>
            </w:r>
          </w:p>
        </w:tc>
      </w:tr>
      <w:tr w:rsidR="00582E01" w:rsidRPr="00070ADE" w14:paraId="23E66CB8"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4904AB5C"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7. Таможенные доходы и особый счет НКФ</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ECD46"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5E300"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25868"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+3,5</w:t>
            </w:r>
          </w:p>
        </w:tc>
      </w:tr>
      <w:tr w:rsidR="00582E01" w:rsidRPr="00070ADE" w14:paraId="55FE6CD7"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59E587A3"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из них: особый счет НКФ</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16C47"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3C77E"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9159A"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+2,2</w:t>
            </w:r>
          </w:p>
        </w:tc>
      </w:tr>
      <w:tr w:rsidR="00582E01" w:rsidRPr="00070ADE" w14:paraId="638B5C78"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1CA26147"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таможенные доходы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AAD39"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421A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CA5A5"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+1,3</w:t>
            </w:r>
          </w:p>
        </w:tc>
      </w:tr>
    </w:tbl>
    <w:p w14:paraId="746743E7"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чить изъятия накопленных ими сумм. Увеличение доходов госбюджета может, следовательно, основываться на: а) увеличении прибылей социалистических предприятий, б) росте поступлений налога с оборота и в) увеличении поступлений по особому счету НКФ. Первый из этих источников не может дать сразу же крупного увеличения доходов госбюджета. Поступления по третьему источнику после окончания войны скорее всего сократятся. Следовательно, основным источником увеличения доходов госбюджета является налог с оборота, поступления по которому на 1944 г. запроектированы с ростом против 1943 г. на 10,4 млрд руб. (на 14,6 %) и остаются ниже довоенного уровня на 24,4 млрд руб. (на 23 %)[</w:t>
      </w:r>
      <w:bookmarkStart w:id="25" w:name="_rtfnr_5"/>
      <w:r w:rsidRPr="00070ADE">
        <w:rPr>
          <w:color w:val="000000" w:themeColor="text1"/>
          <w:sz w:val="16"/>
          <w:szCs w:val="16"/>
          <w:vertAlign w:val="superscript"/>
        </w:rPr>
        <w:fldChar w:fldCharType="begin"/>
      </w:r>
      <w:r w:rsidRPr="00070ADE">
        <w:rPr>
          <w:color w:val="000000" w:themeColor="text1"/>
          <w:sz w:val="16"/>
          <w:szCs w:val="16"/>
          <w:vertAlign w:val="superscript"/>
        </w:rPr>
        <w:instrText xml:space="preserve"> HYPERLINK "http://istmat.info/node/62297" \l "_rtfnr_5.1" </w:instrText>
      </w:r>
      <w:r w:rsidRPr="00070ADE">
        <w:rPr>
          <w:color w:val="000000" w:themeColor="text1"/>
          <w:sz w:val="16"/>
          <w:szCs w:val="16"/>
          <w:vertAlign w:val="superscript"/>
        </w:rPr>
      </w:r>
      <w:r w:rsidRPr="00070ADE">
        <w:rPr>
          <w:color w:val="000000" w:themeColor="text1"/>
          <w:sz w:val="16"/>
          <w:szCs w:val="16"/>
          <w:vertAlign w:val="superscript"/>
        </w:rPr>
        <w:fldChar w:fldCharType="separate"/>
      </w:r>
      <w:r w:rsidRPr="00070ADE">
        <w:rPr>
          <w:rStyle w:val="a5"/>
          <w:rFonts w:eastAsiaTheme="majorEastAsia"/>
          <w:color w:val="000000" w:themeColor="text1"/>
          <w:sz w:val="16"/>
          <w:szCs w:val="16"/>
          <w:u w:val="none"/>
          <w:vertAlign w:val="superscript"/>
        </w:rPr>
        <w:t>*****</w:t>
      </w:r>
      <w:r w:rsidRPr="00070ADE">
        <w:rPr>
          <w:color w:val="000000" w:themeColor="text1"/>
          <w:sz w:val="16"/>
          <w:szCs w:val="16"/>
          <w:vertAlign w:val="superscript"/>
        </w:rPr>
        <w:fldChar w:fldCharType="end"/>
      </w:r>
      <w:bookmarkEnd w:id="25"/>
      <w:r w:rsidRPr="00070ADE">
        <w:rPr>
          <w:color w:val="000000" w:themeColor="text1"/>
          <w:sz w:val="16"/>
          <w:szCs w:val="16"/>
        </w:rPr>
        <w:t>].</w:t>
      </w:r>
    </w:p>
    <w:p w14:paraId="38A4ECBB"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Чтобы повысить доходы госбюджета на 55 млрд руб. и тем самым создать превышение доходов госбюджета над его расходами, достаточное для изъятия всей избыточной денежной массы из обращения (остальные 10 млрд руб. могут быть отнесены за счет увеличения других доходов госбюджета и за счет сокращения его расходов), необходимо увеличить поступления по налогу с оборота почти на 70 % против запланированной на 1944 г. суммы или на одну треть против уровня 1940 г. При сокращении действующих цен государственно-кооперативной торговли это предполагает доведение объема товарооборота в натуральном выражении до довоенного уровня.</w:t>
      </w:r>
    </w:p>
    <w:p w14:paraId="2A1A867F"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Таким образом, обеспечение превышения доходов госбюджета над его расходами, достаточное для изъятия всей избыточной денежной массы из обращения, в основном зависит от развертывания товарооборота государственно-кооперативной торговли.</w:t>
      </w:r>
    </w:p>
    <w:p w14:paraId="56A67154"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7. Возможность вовлечения в оборот выпущенной в обращение денежной массы</w:t>
      </w:r>
    </w:p>
    <w:p w14:paraId="4A569063"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Вовлечение в оборот всей денежной массы, выпущенной в обращение до 7 марта 1944 г. (60 млрд руб.) на основе расширения потребностей хозяйственного оборота в деньгах предполагает доведение объема розничного товарооборота государственно-кооперативной торговли до 140-150 млрд руб. в квартал, т. е. увеличение его в 3 раза по сравнению с довоенным уровнем и почти в 6 раз — по сравнению с нынешним его уровнем. Очевидно, что такое расширение объема розничного товарооборота является совершенно нереальным. Достаточно указать, что такой объем розничного товарооборота государственно-кооперативной торговли в три раза превышал бы все доходы, получаемые населением от государственных и кооперативных предприятий, учреждений и организаций в среднем за квартал 1944 г.</w:t>
      </w:r>
    </w:p>
    <w:p w14:paraId="75EDFCE1"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Увеличение объема розничного товарооборота будет зависеть от:</w:t>
      </w:r>
    </w:p>
    <w:p w14:paraId="460B388D"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а) расширения производства товаров широкого потребления госпредприятиями и кооперацией, б) увеличения заготовок с/х продуктов, в) сокращения внерыночного потребления товаров и продуктов, г) перспектив развития внешней торговли и ввоза товаров широкого потребления на основе договоров о взаимопомощи, д) быстроты продвижения товаров и продуктов.</w:t>
      </w:r>
    </w:p>
    <w:p w14:paraId="378559F5"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Демилитаризация промышленности при широком использовании опыта военной организации производства позволит быстро расширить производство товаров широкого потребления после окончания войны. Так, например, представляется возможным значительно увеличить продукцию текстильной промышленности, дающей в настоящее время половину довоенной продукции; предприятия этой отрасли промышленности сравнительно мало пострадали от войны, сырье имеется. Все же расширение производства товаров широкого потребления до довоенного уровня представляет серьезную задачу, как это видно из следующих данных о выпуске продукции в 1940 и 1944 (план) гг.:</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1816"/>
        <w:gridCol w:w="1365"/>
        <w:gridCol w:w="481"/>
        <w:gridCol w:w="873"/>
        <w:gridCol w:w="919"/>
      </w:tblGrid>
      <w:tr w:rsidR="00582E01" w:rsidRPr="00070ADE" w14:paraId="0E1D12E4"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11D8D297"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Наименование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3A261"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Единица измерения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92D90"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1940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5F4B5"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План 1944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9A649"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В % к 1940 г.</w:t>
            </w:r>
          </w:p>
        </w:tc>
      </w:tr>
      <w:tr w:rsidR="00582E01" w:rsidRPr="00070ADE" w14:paraId="7D9CC7D8"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0C6A7C8A"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Мука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86716"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тыс. 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7B698"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17 677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4CBF2"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8200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0DDE1"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46,4</w:t>
            </w:r>
          </w:p>
        </w:tc>
      </w:tr>
      <w:tr w:rsidR="00582E01" w:rsidRPr="00070ADE" w14:paraId="5F05853A"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02AB91C6"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Колбаса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4066A"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_"_</w:t>
            </w:r>
          </w:p>
        </w:tc>
        <w:tc>
          <w:tcPr>
            <w:tcW w:w="0" w:type="auto"/>
            <w:tcBorders>
              <w:top w:val="outset" w:sz="6" w:space="0" w:color="auto"/>
              <w:left w:val="outset" w:sz="6" w:space="0" w:color="auto"/>
              <w:bottom w:val="outset" w:sz="6" w:space="0" w:color="auto"/>
              <w:right w:val="outset" w:sz="6" w:space="0" w:color="auto"/>
            </w:tcBorders>
            <w:vAlign w:val="center"/>
            <w:hideMark/>
          </w:tcPr>
          <w:p w14:paraId="3476CDC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21245"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3C5BB"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36,9</w:t>
            </w:r>
          </w:p>
        </w:tc>
      </w:tr>
      <w:tr w:rsidR="00582E01" w:rsidRPr="00070ADE" w14:paraId="05937629"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71D4EA4B"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Сахар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D327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_"_</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6A6F9"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2015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075D4"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4F18C"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14,8</w:t>
            </w:r>
          </w:p>
        </w:tc>
      </w:tr>
      <w:tr w:rsidR="00582E01" w:rsidRPr="00070ADE" w14:paraId="62D9C972"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0528A9DC"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Водка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921C9"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млн дкл.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1CCB8"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56,4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7B198"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64ECB5"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24,3</w:t>
            </w:r>
          </w:p>
        </w:tc>
      </w:tr>
      <w:tr w:rsidR="00582E01" w:rsidRPr="00070ADE" w14:paraId="17142D06"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5812179E"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Водочные изделия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0F63E"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_"_</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38D4E"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0A894"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FF4EE"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17,4</w:t>
            </w:r>
          </w:p>
        </w:tc>
      </w:tr>
      <w:tr w:rsidR="00582E01" w:rsidRPr="00070ADE" w14:paraId="63A5D17E"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7C0FFB7E"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Вино виноградное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01972"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_"_</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CE9E1"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530CF"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E4765"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30,5</w:t>
            </w:r>
          </w:p>
        </w:tc>
      </w:tr>
      <w:tr w:rsidR="00582E01" w:rsidRPr="00070ADE" w14:paraId="1B2A797A"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6B62CCE0"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Пиво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AA21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_"_</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A0C5F"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9908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B243F"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23,5</w:t>
            </w:r>
          </w:p>
        </w:tc>
      </w:tr>
      <w:tr w:rsidR="00582E01" w:rsidRPr="00070ADE" w14:paraId="527F5F8D"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47830913"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Табак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FE9E2"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C3D9E"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4D148"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D8CC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151,1</w:t>
            </w:r>
          </w:p>
        </w:tc>
      </w:tr>
      <w:tr w:rsidR="00582E01" w:rsidRPr="00070ADE" w14:paraId="1C7DEFA2"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7B817E35"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Махорка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3BD3A"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тыс. ящ.</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F2B38"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4337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9D252"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6587F"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38,0</w:t>
            </w:r>
          </w:p>
        </w:tc>
      </w:tr>
      <w:tr w:rsidR="00582E01" w:rsidRPr="00070ADE" w14:paraId="1E875E4D"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265ED81E"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Папиросы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5CE91"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млрд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25815"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9FB71"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FE16A"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9,4</w:t>
            </w:r>
          </w:p>
        </w:tc>
      </w:tr>
      <w:tr w:rsidR="00582E01" w:rsidRPr="00070ADE" w14:paraId="20A03A2E"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4A396BB1"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Хлопчатобумажные ткани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5363A"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млн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E0924"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17B26"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E4F2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50,8</w:t>
            </w:r>
          </w:p>
        </w:tc>
      </w:tr>
      <w:tr w:rsidR="00582E01" w:rsidRPr="00070ADE" w14:paraId="451AFCDF"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3DE4BF77"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Шерстяные ткани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22062"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_"_</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11582"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3081F"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B7CAE"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52,9</w:t>
            </w:r>
          </w:p>
        </w:tc>
      </w:tr>
      <w:tr w:rsidR="00582E01" w:rsidRPr="00070ADE" w14:paraId="1AB33265"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3763D2C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Шелковые ткани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AC982"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_"_</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13B32"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8C522"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F6645"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47,2</w:t>
            </w:r>
          </w:p>
        </w:tc>
      </w:tr>
      <w:tr w:rsidR="00582E01" w:rsidRPr="00070ADE" w14:paraId="2E6F531C"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67A1118C"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Льняные ткани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B254B"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_"_</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26444"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D837B"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9EC6A"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39,1</w:t>
            </w:r>
          </w:p>
        </w:tc>
      </w:tr>
      <w:tr w:rsidR="00582E01" w:rsidRPr="00070ADE" w14:paraId="45720C2C"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7FD42046"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Чулки-носки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72C19"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млн 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36890"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416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F3FF8"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5D6E7"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24,7</w:t>
            </w:r>
          </w:p>
        </w:tc>
      </w:tr>
      <w:tr w:rsidR="00582E01" w:rsidRPr="00070ADE" w14:paraId="712E8E9D"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4349CCE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Кожаная обувь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76AE1"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_"_</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BF7DB"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0564A"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B3008"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21,5</w:t>
            </w:r>
          </w:p>
        </w:tc>
      </w:tr>
      <w:tr w:rsidR="00582E01" w:rsidRPr="00070ADE" w14:paraId="15D6F906"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22220E2E"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Резиновая обувь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6B8FB"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_"_</w:t>
            </w:r>
          </w:p>
        </w:tc>
        <w:tc>
          <w:tcPr>
            <w:tcW w:w="0" w:type="auto"/>
            <w:tcBorders>
              <w:top w:val="outset" w:sz="6" w:space="0" w:color="auto"/>
              <w:left w:val="outset" w:sz="6" w:space="0" w:color="auto"/>
              <w:bottom w:val="outset" w:sz="6" w:space="0" w:color="auto"/>
              <w:right w:val="outset" w:sz="6" w:space="0" w:color="auto"/>
            </w:tcBorders>
            <w:vAlign w:val="center"/>
            <w:hideMark/>
          </w:tcPr>
          <w:p w14:paraId="3E73267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850D1"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13FB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7,1</w:t>
            </w:r>
          </w:p>
        </w:tc>
      </w:tr>
    </w:tbl>
    <w:p w14:paraId="731C19F8"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Увеличение с/х заготовок связано с восстановлением и развитием сельского хозяйства. Демобилизация части армии, увеличение тракторного и автомобильного парка совхозов и МТС, усиление снабжения совхозов, МТС и колхозов горючим позволяют быстро восстановить зерновое хозяйство, производство большого числа технических культур, а также поголовье мелкого продуктивного скота. Большего времени потребует восстановление поголовья крупного рогатого скота и лошадей, а также таких отраслей сельского хозяйства, как садоводство, виноградарство.</w:t>
      </w:r>
    </w:p>
    <w:p w14:paraId="181D212D"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Внерыночное потребление будет сокращаться по мере демобилизации армии и уменьшения потребления некоторых видов сырья военной промышленностью. О том, какие в этом отношении имеются возможности, можно судить по следующим данным (в млн руб. по ценам 1944 г.):</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1924"/>
        <w:gridCol w:w="455"/>
        <w:gridCol w:w="498"/>
        <w:gridCol w:w="446"/>
        <w:gridCol w:w="498"/>
        <w:gridCol w:w="914"/>
        <w:gridCol w:w="914"/>
      </w:tblGrid>
      <w:tr w:rsidR="00582E01" w:rsidRPr="00070ADE" w14:paraId="5EE6AD9C" w14:textId="77777777" w:rsidTr="004C5D6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08E8C59" w14:textId="77777777" w:rsidR="00582E01" w:rsidRPr="00070ADE" w:rsidRDefault="00582E0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7AAF35E"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План использования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4475077"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Удельный вес рынка (в %)</w:t>
            </w:r>
          </w:p>
        </w:tc>
      </w:tr>
      <w:tr w:rsidR="00582E01" w:rsidRPr="00070ADE" w14:paraId="02116D05" w14:textId="77777777" w:rsidTr="004C5D62">
        <w:tc>
          <w:tcPr>
            <w:tcW w:w="0" w:type="auto"/>
            <w:vMerge/>
            <w:tcBorders>
              <w:top w:val="outset" w:sz="6" w:space="0" w:color="auto"/>
              <w:left w:val="outset" w:sz="6" w:space="0" w:color="auto"/>
              <w:bottom w:val="outset" w:sz="6" w:space="0" w:color="auto"/>
              <w:right w:val="outset" w:sz="6" w:space="0" w:color="auto"/>
            </w:tcBorders>
            <w:vAlign w:val="center"/>
            <w:hideMark/>
          </w:tcPr>
          <w:p w14:paraId="529F2558" w14:textId="77777777" w:rsidR="00582E01" w:rsidRPr="00070ADE" w:rsidRDefault="00582E01" w:rsidP="00B56F90">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E687B7C"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I кв. 1939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95607B5"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I кв. 1944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472856C"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I кв. 1939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8752B78"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I кв. 1944 г.</w:t>
            </w:r>
          </w:p>
        </w:tc>
      </w:tr>
      <w:tr w:rsidR="00582E01" w:rsidRPr="00070ADE" w14:paraId="7E3BB152" w14:textId="77777777" w:rsidTr="004C5D62">
        <w:tc>
          <w:tcPr>
            <w:tcW w:w="0" w:type="auto"/>
            <w:vMerge/>
            <w:tcBorders>
              <w:top w:val="outset" w:sz="6" w:space="0" w:color="auto"/>
              <w:left w:val="outset" w:sz="6" w:space="0" w:color="auto"/>
              <w:bottom w:val="outset" w:sz="6" w:space="0" w:color="auto"/>
              <w:right w:val="outset" w:sz="6" w:space="0" w:color="auto"/>
            </w:tcBorders>
            <w:vAlign w:val="center"/>
            <w:hideMark/>
          </w:tcPr>
          <w:p w14:paraId="719004CC" w14:textId="77777777" w:rsidR="00582E01" w:rsidRPr="00070ADE" w:rsidRDefault="00582E01" w:rsidP="00B56F90">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14F7DA"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рынок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54CC5"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прочие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F14F4"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рынок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3CA5B"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прочие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E96C652" w14:textId="77777777" w:rsidR="00582E01" w:rsidRPr="00070ADE" w:rsidRDefault="00582E01" w:rsidP="00B56F90">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94319A5" w14:textId="77777777" w:rsidR="00582E01" w:rsidRPr="00070ADE" w:rsidRDefault="00582E01" w:rsidP="00B56F90">
            <w:pPr>
              <w:spacing w:after="0" w:line="240" w:lineRule="auto"/>
              <w:jc w:val="both"/>
              <w:rPr>
                <w:rFonts w:ascii="Times New Roman" w:hAnsi="Times New Roman"/>
                <w:color w:val="000000" w:themeColor="text1"/>
                <w:sz w:val="16"/>
                <w:szCs w:val="16"/>
              </w:rPr>
            </w:pPr>
          </w:p>
        </w:tc>
      </w:tr>
      <w:tr w:rsidR="00582E01" w:rsidRPr="00070ADE" w14:paraId="7420ADE5"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530E8396"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Все планируемые товары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AE170"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18 631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77E9F"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1368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17A31"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5526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9A13C"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7246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7B692B"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7E5F73"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43,3</w:t>
            </w:r>
          </w:p>
        </w:tc>
      </w:tr>
      <w:tr w:rsidR="00582E01" w:rsidRPr="00070ADE" w14:paraId="75716B73"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24BC126B"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в том числе: Мясопродукты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B5FD2"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7EA08"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A2095"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838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0A848"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710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2495D2"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81,2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44D98"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54,4</w:t>
            </w:r>
          </w:p>
        </w:tc>
      </w:tr>
      <w:tr w:rsidR="00582E01" w:rsidRPr="00070ADE" w14:paraId="52F9F99C"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1B341390"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Сахар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F4DA9"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317C7"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3D66E"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60916"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763A3"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97,8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64B78"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32,6</w:t>
            </w:r>
          </w:p>
        </w:tc>
      </w:tr>
      <w:tr w:rsidR="00582E01" w:rsidRPr="00070ADE" w14:paraId="183CEA9D"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5AE9A64B"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Хлопчатобумажные ткани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D762B"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1997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B312E"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A7837"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2D343"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F7FCA"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86,6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6490A"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11,7</w:t>
            </w:r>
          </w:p>
        </w:tc>
      </w:tr>
      <w:tr w:rsidR="00582E01" w:rsidRPr="00070ADE" w14:paraId="327D0624"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740144A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Шерстяные ткани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4912A"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1DCE2"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3C834"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467B5"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B451F"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71,4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7A335"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16,0</w:t>
            </w:r>
          </w:p>
        </w:tc>
      </w:tr>
      <w:tr w:rsidR="00582E01" w:rsidRPr="00070ADE" w14:paraId="67CEF1C7"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01615D69"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Швейные товары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93FD1"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1383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1F106"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825B9"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181</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BDE52"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CC325"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7525A"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98,6</w:t>
            </w:r>
          </w:p>
        </w:tc>
      </w:tr>
      <w:tr w:rsidR="00582E01" w:rsidRPr="00070ADE" w14:paraId="7EF2BC3D"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091E4A25"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lastRenderedPageBreak/>
              <w:t>Трикотаж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F21AA"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499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B67BF"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8074B"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C9A39"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5253F"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96,9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29FA2"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73,4</w:t>
            </w:r>
          </w:p>
        </w:tc>
      </w:tr>
      <w:tr w:rsidR="00582E01" w:rsidRPr="00070ADE" w14:paraId="4549C56C"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412C6310"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Кожаная обувь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13873"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F733D"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4AE5E"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249BB"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466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35A6F"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91,9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12372"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19,8</w:t>
            </w:r>
          </w:p>
        </w:tc>
      </w:tr>
      <w:tr w:rsidR="00582E01" w:rsidRPr="00070ADE" w14:paraId="33414420"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3A27A790"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Резиновая обувь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4054C"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C011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37A79"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E2BA1"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C97C1"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69FE7"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90,9</w:t>
            </w:r>
          </w:p>
        </w:tc>
      </w:tr>
      <w:tr w:rsidR="00582E01" w:rsidRPr="00070ADE" w14:paraId="04729D2A"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69DF45FB"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Мыло хозяйственное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C9D87"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407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41ABC"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27E34"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07DE9"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B387F"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97,1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34CB5"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60,2</w:t>
            </w:r>
          </w:p>
        </w:tc>
      </w:tr>
      <w:tr w:rsidR="00582E01" w:rsidRPr="00070ADE" w14:paraId="6358D0B8"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3C040CD4"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Спички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D002E"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C8C0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59010"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48F46"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96BF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0909F"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73,6</w:t>
            </w:r>
          </w:p>
        </w:tc>
      </w:tr>
    </w:tbl>
    <w:p w14:paraId="614BFC15"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После окончания войны будет иметься возможность расширения производства водки и водочных изделий за счет высвобождения из военной промышленности и военного потребления части спирта.</w:t>
      </w:r>
    </w:p>
    <w:p w14:paraId="3B129848"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Возможности расширения импорта товаров широкого потребления определяются состоянием наших валютных резервов, их использованием и характером наших внешних экономических отношений, в частности — размерами и сроками иностранных кредитов. Следует учитывать возможное сокращение поставок взаймы и в аренду, играющих в настоящее время по ряду товаров широкого потребления крупную роль.</w:t>
      </w:r>
    </w:p>
    <w:p w14:paraId="5368D626"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Учесть влияние всех указанных выше факторов и тем самым подсчитать возможное увеличение объема розничного товарооборота государственно-кооперативной торговли после окончания войны не представляется пока возможным ввиду отсутствия необходимых для этого материалов.</w:t>
      </w:r>
    </w:p>
    <w:p w14:paraId="77EC6165"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При увеличении объема розничного товарооборота вдвое сравнительно с нынешним уровнем (что в натуральном выражении составит около 85 % довоенного розничного товарооборота), из денежной массы, выпущенной в обращение до 7 марта 1944 г. (60 млрд руб.), в оборот будет вовлечено лишь около 20 млрд руб. Связанное с таким расширением розничного товарооборота увеличение доходов госбюджета (примерно на 12-15 млрд руб. в квартал, или 50 млрд руб. в год) позволит в течение года изъять из обращения денежных знаков на сумму до 20 млрд руб. В обращении останется избыточная денежная масса до 20 млрд руб.</w:t>
      </w:r>
    </w:p>
    <w:p w14:paraId="4261479E"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8. Необходимость повышения цен государственно-кооперативной торговли</w:t>
      </w:r>
    </w:p>
    <w:p w14:paraId="29054FD7"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Независимо от того, какие будут иметься возможности расширения объема розничного товарооборота после окончания войны, изъятие из обращения или вовлечение в оборот всей избыточной денежной массы посредством соответствующего увеличения продажи населению товаров по действующим ценам государственно-кооперативной торговли сильно затянуло бы реформу, при большом напряжении финансового положения государства, и привело бы к сосредоточению товарных масс в руках лиц, накопивших за время войны крупные денежные суммы, в ущерб снабжению товарами и продуктами лиц, получающих фиксированные доходы (зарплата, пенсии и т. п.). Вплоть до завершения реформы сохранялась бы избыточная денежная масса в обращении и, стало быть, продолжалось ее отрицательное влияние на хозяйственный оборот. Владельцы крупных денежных сумм получили бы возможность приобретать товары по относительно низким ценам государственно-кооперативной торговли, тогда как накопление у них крупных денежных сумм является следствием в основном продажи и перепродажи товаров и продуктов по высоким рыночным ценам.</w:t>
      </w:r>
    </w:p>
    <w:p w14:paraId="4BD4C3F8"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Отсюда следует, что для изъятия из обращения части избыточной денежной массы и вовлечения в оборот остальной ее части потребуется повышение цен государственно-кооперативной торговли.</w:t>
      </w:r>
    </w:p>
    <w:p w14:paraId="3C6EEB45"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Повышение цен государственно-кооперативной торговли должно будет иметь в проведении денежной реформы крупнейшее значение. Оно позволит достичь соответствия между количеством денег в обращении и потребностями хозяйственного оборота в деньгах, провести денежную реформу в кратчайшие сроки и без особого напряжения государственного хозяйства[</w:t>
      </w:r>
      <w:bookmarkStart w:id="26" w:name="_rtfnr_6"/>
      <w:r w:rsidRPr="00070ADE">
        <w:rPr>
          <w:color w:val="000000" w:themeColor="text1"/>
          <w:sz w:val="16"/>
          <w:szCs w:val="16"/>
          <w:vertAlign w:val="superscript"/>
        </w:rPr>
        <w:fldChar w:fldCharType="begin"/>
      </w:r>
      <w:r w:rsidRPr="00070ADE">
        <w:rPr>
          <w:color w:val="000000" w:themeColor="text1"/>
          <w:sz w:val="16"/>
          <w:szCs w:val="16"/>
          <w:vertAlign w:val="superscript"/>
        </w:rPr>
        <w:instrText xml:space="preserve"> HYPERLINK "http://istmat.info/node/62297" \l "_rtfnr_6.1" </w:instrText>
      </w:r>
      <w:r w:rsidRPr="00070ADE">
        <w:rPr>
          <w:color w:val="000000" w:themeColor="text1"/>
          <w:sz w:val="16"/>
          <w:szCs w:val="16"/>
          <w:vertAlign w:val="superscript"/>
        </w:rPr>
      </w:r>
      <w:r w:rsidRPr="00070ADE">
        <w:rPr>
          <w:color w:val="000000" w:themeColor="text1"/>
          <w:sz w:val="16"/>
          <w:szCs w:val="16"/>
          <w:vertAlign w:val="superscript"/>
        </w:rPr>
        <w:fldChar w:fldCharType="separate"/>
      </w:r>
      <w:r w:rsidRPr="00070ADE">
        <w:rPr>
          <w:rStyle w:val="a5"/>
          <w:rFonts w:eastAsiaTheme="majorEastAsia"/>
          <w:color w:val="000000" w:themeColor="text1"/>
          <w:sz w:val="16"/>
          <w:szCs w:val="16"/>
          <w:u w:val="none"/>
          <w:vertAlign w:val="superscript"/>
        </w:rPr>
        <w:t>******</w:t>
      </w:r>
      <w:r w:rsidRPr="00070ADE">
        <w:rPr>
          <w:color w:val="000000" w:themeColor="text1"/>
          <w:sz w:val="16"/>
          <w:szCs w:val="16"/>
          <w:vertAlign w:val="superscript"/>
        </w:rPr>
        <w:fldChar w:fldCharType="end"/>
      </w:r>
      <w:bookmarkEnd w:id="26"/>
      <w:r w:rsidRPr="00070ADE">
        <w:rPr>
          <w:color w:val="000000" w:themeColor="text1"/>
          <w:sz w:val="16"/>
          <w:szCs w:val="16"/>
        </w:rPr>
        <w:t>].</w:t>
      </w:r>
    </w:p>
    <w:p w14:paraId="0644784F"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а) Повышение цен увеличит доходы госбюджета и поступления наличных денег в кассы Госбанка, что позволит не только удовлетворить все необходимые потребности государства (в том числе — связанные с восстановительными работами), не прибегая к денежной эмиссии, но и изъять часть денег из обращения.</w:t>
      </w:r>
    </w:p>
    <w:p w14:paraId="0BC811B2"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б) Насыщение платежеспособного спроса на товары и продукты через каналы государственно-кооперативной торговли по повышенным ценам будет содействовать снижению рыночных цен, преодолению разрыва между рыночными ценами и ценами государственно-кооперативной торговли. Тем самым в ходе реформы будут создаваться условия для отмены системы рационирования (при условии увеличения товарных масс в руках государства, направляемых в розничную продажу через государственно-кооперативную торговлю).</w:t>
      </w:r>
    </w:p>
    <w:p w14:paraId="155B8679"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в) Продажа товаров по повышенным ценам ограничит сосредоточение их в руках лиц, накопивших большие денежные суммы. Посредством дифференцированного повышения цен и тарифов, при сохранении на определенный срок нормированного снабжения по пониженным ценам, достигается охранение в полной мере интересов рабочих и служащих.</w:t>
      </w:r>
    </w:p>
    <w:p w14:paraId="73429B42"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г) По мере насыщения платежеспособного спроса по первоначально установленным повышенным ценам государственно-кооперативной торговли (коммерческим ценам), возможно и необходимо будет снижение этих цен, что будет содействовать укреплению рубля в ходе реформы, стимулировать сбережения. Фактические цены государственно-кооперативной торговли окажутся к моменту обмена повышенными в меньшей мере, чем это вытекает из нынешнего соотношения между денежной массой и потребностями хозяйственного оборота в деньгах.</w:t>
      </w:r>
    </w:p>
    <w:p w14:paraId="5D4B21DE"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д) Соответствие между выпущенной в обращение денежной массой и потребностями хозяйственного оборота в деньгах достигается до завершения реформы. Это позволит ограничить задачи обмена ныне обращающихся денежных знаков на новые изменением реквизитов денежных знаков и деноминацией, что исключит напряжение в области товарооборота, образование разменного кризиса: в период обмена старые денежные знаки будут обращаться наравне с новыми, приниматься в платежи не менее охотно, чем денежные знаки нового образца.</w:t>
      </w:r>
    </w:p>
    <w:p w14:paraId="265F3B42"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е) В ходе реформы будут складываться те экономические отношения, на базе которых завершается реформа (новая система цен и тарифов, заработной платы и т. д.), чем в максимальной степени обеспечивается твердый успех всей денежной реформы.</w:t>
      </w:r>
    </w:p>
    <w:p w14:paraId="2E712540"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9. Этапы реформы</w:t>
      </w:r>
    </w:p>
    <w:p w14:paraId="45AECCA9"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Таким образом, соответствие между количеством денег в обращении и потребностями хозяйственного оборота в деньгах в ходе денежной реформы может быть достигнуто следующими дополняющими друг друга путями:</w:t>
      </w:r>
    </w:p>
    <w:p w14:paraId="5DEE4303"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1. Изъятие из обращения части денежной массы на основе превышения доходов госбюджета над его расходами и на основе активного кассового плана Госбанка. При этом необходимо будет принять все меры к тому, чтобы в первую очередь затронуть денежные суммы, накопленные за время войны у рыночных продавцов за счет продажи и перепродажи товаров и продуктов по весьма высоким рыночным ценам[</w:t>
      </w:r>
      <w:bookmarkStart w:id="27" w:name="_rtfnr_7"/>
      <w:r w:rsidRPr="00070ADE">
        <w:rPr>
          <w:color w:val="000000" w:themeColor="text1"/>
          <w:sz w:val="16"/>
          <w:szCs w:val="16"/>
          <w:vertAlign w:val="superscript"/>
        </w:rPr>
        <w:fldChar w:fldCharType="begin"/>
      </w:r>
      <w:r w:rsidRPr="00070ADE">
        <w:rPr>
          <w:color w:val="000000" w:themeColor="text1"/>
          <w:sz w:val="16"/>
          <w:szCs w:val="16"/>
          <w:vertAlign w:val="superscript"/>
        </w:rPr>
        <w:instrText xml:space="preserve"> HYPERLINK "http://istmat.info/node/62297" \l "_rtfnr_7.1" </w:instrText>
      </w:r>
      <w:r w:rsidRPr="00070ADE">
        <w:rPr>
          <w:color w:val="000000" w:themeColor="text1"/>
          <w:sz w:val="16"/>
          <w:szCs w:val="16"/>
          <w:vertAlign w:val="superscript"/>
        </w:rPr>
      </w:r>
      <w:r w:rsidRPr="00070ADE">
        <w:rPr>
          <w:color w:val="000000" w:themeColor="text1"/>
          <w:sz w:val="16"/>
          <w:szCs w:val="16"/>
          <w:vertAlign w:val="superscript"/>
        </w:rPr>
        <w:fldChar w:fldCharType="separate"/>
      </w:r>
      <w:r w:rsidRPr="00070ADE">
        <w:rPr>
          <w:rStyle w:val="a5"/>
          <w:rFonts w:eastAsiaTheme="majorEastAsia"/>
          <w:color w:val="000000" w:themeColor="text1"/>
          <w:sz w:val="16"/>
          <w:szCs w:val="16"/>
          <w:u w:val="none"/>
          <w:vertAlign w:val="superscript"/>
        </w:rPr>
        <w:t>*******</w:t>
      </w:r>
      <w:r w:rsidRPr="00070ADE">
        <w:rPr>
          <w:color w:val="000000" w:themeColor="text1"/>
          <w:sz w:val="16"/>
          <w:szCs w:val="16"/>
          <w:vertAlign w:val="superscript"/>
        </w:rPr>
        <w:fldChar w:fldCharType="end"/>
      </w:r>
      <w:bookmarkEnd w:id="27"/>
      <w:r w:rsidRPr="00070ADE">
        <w:rPr>
          <w:color w:val="000000" w:themeColor="text1"/>
          <w:sz w:val="16"/>
          <w:szCs w:val="16"/>
        </w:rPr>
        <w:t>].</w:t>
      </w:r>
    </w:p>
    <w:p w14:paraId="188DBF35"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2. Максимально возможное увеличение размеров розничного товарооборота государственно-кооперативной торговли и оборотов колхозной торговли за счет увеличения количества реализуемых товаров и продуктов.</w:t>
      </w:r>
    </w:p>
    <w:p w14:paraId="10ED0410"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3. Повышение цен государственно-кооперативной торговли, тем самым снижение покупательной силы выпущенной в обращение денежной массы до уровня, определяемого потребностями хозяйственного оборота в деньгах.</w:t>
      </w:r>
    </w:p>
    <w:p w14:paraId="6FC188F1"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Из указанных выше (стр. 7-8)[</w:t>
      </w:r>
      <w:bookmarkStart w:id="28" w:name="_rtfnr_8"/>
      <w:r w:rsidRPr="00070ADE">
        <w:rPr>
          <w:color w:val="000000" w:themeColor="text1"/>
          <w:sz w:val="16"/>
          <w:szCs w:val="16"/>
          <w:vertAlign w:val="superscript"/>
        </w:rPr>
        <w:fldChar w:fldCharType="begin"/>
      </w:r>
      <w:r w:rsidRPr="00070ADE">
        <w:rPr>
          <w:color w:val="000000" w:themeColor="text1"/>
          <w:sz w:val="16"/>
          <w:szCs w:val="16"/>
          <w:vertAlign w:val="superscript"/>
        </w:rPr>
        <w:instrText xml:space="preserve"> HYPERLINK "http://istmat.info/node/62297" \l "_rtfnr_8.1" </w:instrText>
      </w:r>
      <w:r w:rsidRPr="00070ADE">
        <w:rPr>
          <w:color w:val="000000" w:themeColor="text1"/>
          <w:sz w:val="16"/>
          <w:szCs w:val="16"/>
          <w:vertAlign w:val="superscript"/>
        </w:rPr>
      </w:r>
      <w:r w:rsidRPr="00070ADE">
        <w:rPr>
          <w:color w:val="000000" w:themeColor="text1"/>
          <w:sz w:val="16"/>
          <w:szCs w:val="16"/>
          <w:vertAlign w:val="superscript"/>
        </w:rPr>
        <w:fldChar w:fldCharType="separate"/>
      </w:r>
      <w:r w:rsidRPr="00070ADE">
        <w:rPr>
          <w:rStyle w:val="a5"/>
          <w:rFonts w:eastAsiaTheme="majorEastAsia"/>
          <w:color w:val="000000" w:themeColor="text1"/>
          <w:sz w:val="16"/>
          <w:szCs w:val="16"/>
          <w:u w:val="none"/>
          <w:vertAlign w:val="superscript"/>
        </w:rPr>
        <w:t>********</w:t>
      </w:r>
      <w:r w:rsidRPr="00070ADE">
        <w:rPr>
          <w:color w:val="000000" w:themeColor="text1"/>
          <w:sz w:val="16"/>
          <w:szCs w:val="16"/>
          <w:vertAlign w:val="superscript"/>
        </w:rPr>
        <w:fldChar w:fldCharType="end"/>
      </w:r>
      <w:bookmarkEnd w:id="28"/>
      <w:r w:rsidRPr="00070ADE">
        <w:rPr>
          <w:color w:val="000000" w:themeColor="text1"/>
          <w:sz w:val="16"/>
          <w:szCs w:val="16"/>
        </w:rPr>
        <w:t>] трех предпосылок успешного проведения денежной реформы, первая (создание и усиление активного баланса госбюджета и кассового плана Госбанка) и вторая (преодоление накопившегося за время войны избыточного платежеспособного спроса населения) могут быть достигнуты в короткие сроки при условии применения коммерческой торговли. Наиболее трудно достижимой является третья предпосылка — насыщение минимальных текущих потребностей населения в товарах и продуктах первой необходимости через государственно-кооперативную торговлю; она определяет тем самым продолжительность реформы, момент ее завершения.</w:t>
      </w:r>
    </w:p>
    <w:p w14:paraId="6EAF690E"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Быстрое всеобщее повышение цен государственно-кооперативной торговли до уровня, обеспечивающего соответствие между платежеспособным спросом на товары и товарным предложением, нанесло бы большой ущерб снабжению товарами и продуктами лиц, получающих фиксированные доходы. Поэтому задача повышения цен до указанного уровня может быть разрешена лишь в несколько этапов, в меру насыщения минимальных текущих потребностей населения в товарах и продуктах. Этим и определяются этапы реформы.</w:t>
      </w:r>
    </w:p>
    <w:p w14:paraId="5A5E2051"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Первый этап: сохранение действующих цен на товары нормированного снабжения и введение коммерческих цен на товары, реализуемые в порядке открытой торговли. Это позволит: а) в значительной мере преодолеть внеплановое перераспределение доходов, перекачку денежных средств в руки рыночных продавцов, б) добиться снижения рыночных цен, в) вовлечь в оборот большую часть избыточной денежной массы. Указанные результаты будут достигнуты в том случае, если: а) коммерческие цены будут установлены на уровне, близком к рыночным ценам, б) выделяемые для продажи по коммерческим ценам товарные фонды достаточны для удовлетворения платежеспособного спроса на товары по этим ценам в местах продажи, в) тем самым не только исключается возможность и необходимость дальнейшего повышения коммерческих цен, но обеспечиваются условия для их снижения.</w:t>
      </w:r>
    </w:p>
    <w:p w14:paraId="680AA25C"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Начало коммерческой торговле в Москве уже положено</w:t>
      </w:r>
      <w:bookmarkStart w:id="29" w:name="_rtfnr1"/>
      <w:r w:rsidRPr="00070ADE">
        <w:rPr>
          <w:color w:val="000000" w:themeColor="text1"/>
          <w:sz w:val="16"/>
          <w:szCs w:val="16"/>
        </w:rPr>
        <w:fldChar w:fldCharType="begin"/>
      </w:r>
      <w:r w:rsidRPr="00070ADE">
        <w:rPr>
          <w:color w:val="000000" w:themeColor="text1"/>
          <w:sz w:val="16"/>
          <w:szCs w:val="16"/>
        </w:rPr>
        <w:instrText xml:space="preserve"> HYPERLINK "http://istmat.info/node/62297" \l "_rtfnr1.1" </w:instrText>
      </w:r>
      <w:r w:rsidRPr="00070ADE">
        <w:rPr>
          <w:color w:val="000000" w:themeColor="text1"/>
          <w:sz w:val="16"/>
          <w:szCs w:val="16"/>
        </w:rPr>
      </w:r>
      <w:r w:rsidRPr="00070ADE">
        <w:rPr>
          <w:color w:val="000000" w:themeColor="text1"/>
          <w:sz w:val="16"/>
          <w:szCs w:val="16"/>
        </w:rPr>
        <w:fldChar w:fldCharType="separate"/>
      </w:r>
      <w:r w:rsidRPr="00070ADE">
        <w:rPr>
          <w:rStyle w:val="a5"/>
          <w:rFonts w:eastAsiaTheme="majorEastAsia"/>
          <w:color w:val="000000" w:themeColor="text1"/>
          <w:sz w:val="16"/>
          <w:szCs w:val="16"/>
          <w:u w:val="none"/>
          <w:vertAlign w:val="superscript"/>
        </w:rPr>
        <w:t>10</w:t>
      </w:r>
      <w:r w:rsidRPr="00070ADE">
        <w:rPr>
          <w:color w:val="000000" w:themeColor="text1"/>
          <w:sz w:val="16"/>
          <w:szCs w:val="16"/>
        </w:rPr>
        <w:fldChar w:fldCharType="end"/>
      </w:r>
      <w:bookmarkEnd w:id="29"/>
      <w:r w:rsidRPr="00070ADE">
        <w:rPr>
          <w:color w:val="000000" w:themeColor="text1"/>
          <w:sz w:val="16"/>
          <w:szCs w:val="16"/>
        </w:rPr>
        <w:t>. Задача заключается в том, чтобы: а) определить более широкий круг товаров для продажи по коммерческим ценам, б) распространить коммерческую торговлю на другие города и районы. Эта задача может быть, по-видимому, полностью разрешена только после окончания войны за счет роста производства товаров широкого потребления и сокращения внерыночного потребления.</w:t>
      </w:r>
    </w:p>
    <w:p w14:paraId="7B038294"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Кроме алкогольных напитков и общественного питания (коммерческие столовые и рестораны), коммерческая торговля должна быть в первую очередь распространена на промтовары (текстиль, обувь, швейные товары, табак, керосин, спички), а также на предметы достаточного потребления (меха и меховые изделия, парфюмерия, ювелирные изделия) с тем, чтобы прирост продовольственных фондов в основном направлялся для улучшения карточного снабжения городского населения. Первоначальные коммерческие цены могут быть установлены на 20% ниже существующих рыночных цен или примерно в 10-15 раз выше цен государственно-кооперативной торговли в целом по всем товарам коммерческой торговли.</w:t>
      </w:r>
    </w:p>
    <w:p w14:paraId="50B55BD4"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 xml:space="preserve">Второй этап: Расширение коммерческой торговли, распространение ее на всю номенклатуру реализуемых в розничной торговле товаров, снижение цен коммерческой торговли и частичное повышение цен на некоторые товары и продукты нормированного снабжения, при одновременном сжатии объема нормированного снабжения </w:t>
      </w:r>
      <w:r w:rsidRPr="00070ADE">
        <w:rPr>
          <w:color w:val="000000" w:themeColor="text1"/>
          <w:sz w:val="16"/>
          <w:szCs w:val="16"/>
        </w:rPr>
        <w:lastRenderedPageBreak/>
        <w:t>за счет сокращения числа лиц, состоящих на нормированном снабжении, и исключения из нормированного снабжения некоторых товаров и продуктов (алкогольных напитков, ряда промтоваров).</w:t>
      </w:r>
    </w:p>
    <w:p w14:paraId="5890BBCA"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Снижение коммерческих цен должно будет производиться последовательно, ориентируясь на снижающиеся рыночные цены и на увеличивающиеся товарные фонды, реализуемые по коммерческим ценам. Цены товаров нормированного снабжения должны повышаться дифференцированно, в зависимости от их отклонения от коммерческих цен и от значения товаров в потребительском бюджете. Сжатие объема и повышение цен нормированного снабжения должно сопровождаться повышением зарплаты, пенсий и пр. фиксированных доходов.</w:t>
      </w:r>
    </w:p>
    <w:p w14:paraId="4381242D"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Третий этап: Отмена нормированного снабжения, переход к открытой торговле всеми товарами и продуктами по единым розничным ценам, введение новой системы цен, тарифов, зарплаты, выпуск в обращение денежных знаков нового образца и объявление обмена на них ныне обращающихся денежных знаков.</w:t>
      </w:r>
    </w:p>
    <w:p w14:paraId="4C55AC7C"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Цены открытой торговли устанавливаются на уровне ниже коммерческих цен, но выше цен нормированного снабжения. Если к моменту завершения реформы удастся изъять из обращения денежных знаков на сумму до 20 млрд руб., т. е. уменьшить денежную массу, выпущенную в обращение, до 40 млрд руб. и увеличить объем розничного товарооборота в натуральном выражении в 2 раза по сравнению с нынешним его объемом (это составит, как уже указывалось, примерно 85% объема довоенного розничного товарооборота), то цены открытой торговли могут быть установлены на уровне, превышающем примерно в 2 раза нынешние и в 2,5 раза — довоенные цены государственно-кооперативной торговли. По сравнению с первоначальными коммерческими ценами цены открытой торговли будут, при указанных условиях, снижены в 5-7 раз. По ряду товаров в качестве цен открытой торговли могут быть сохранены установившиеся к моменту отмены нормированного снабжения цены коммерческой торговли, по ряду других товаров — цены, близкие к тем, по которым будет производиться нормированное снабжение к моменту его отмены.</w:t>
      </w:r>
    </w:p>
    <w:p w14:paraId="0DC6FE98"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10. Уровень стабилизации</w:t>
      </w:r>
    </w:p>
    <w:p w14:paraId="2621D620"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Под уровнем стабилизации подразумеваем: а) тот уровень цен, или иначе, уровень покупательной силы денег, который устанавливается и закрепляется в результате реформы и б) новый масштаб цен, который должен быть установлен при замене обращающихся ныне денежных знаков денежными знаками нового образца.</w:t>
      </w:r>
    </w:p>
    <w:p w14:paraId="7B205958"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Установленный в результате реформы уровень покупательной силы денег будет зависеть от проводимых мероприятий по сбалансированию платежеспособного спроса населения и товарного предложения, в частности, от того, какое относительное значение в ходе реформы будут иметь мероприятия по увеличению объема товарооборота и по снижению денежной массы, выпущенной в обращение. Чем больше денег удастся в ходе реформы изъять из обращения, тем меньше будет необходимое повышение цен государственно-кооперативной торговли, снижение покупательной силы денег.</w:t>
      </w:r>
    </w:p>
    <w:p w14:paraId="23108F5D"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Вопрос о том, во сколько раз необходимо понизить масштаб цен, зависит от уровня покупательной силы денег, который будет достигнут к моменту объявления обмена обращающихся денежных знаков на новые. При этом, очевидно, недопустимо такое изменение масштаба цен, при котором цены и тарифы пришлось бы выражать в мелких долях нашей минимальной счетной единицы — копейки. С другой стороны, в целях облегчения перехода от старого масштаба цен к новому, понижение масштаба цен должно быть произведено в целых единицах, лучше всего — в числах, кратных 10.</w:t>
      </w:r>
    </w:p>
    <w:p w14:paraId="4D58A924"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Если предположить, что к моменту объявления обмена обращающихся ныне денежных знаков на новые уровень цен государственно-кооперативной торговли повысится по сравнению с нынешним примерно в 2 раза, то можно было бы произвести понижение масштаба цен в 20 раз. При этом условии мы вернулись бы приблизительно к тому масштабу цен, который был установлен в результате денежной реформы 1922-1924 гг.</w:t>
      </w:r>
    </w:p>
    <w:p w14:paraId="5D5DB96C"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При решении вопроса об уровне стабилизации должно быть принято во внимание соотношение между покупательной силой рубля внутри нашей страны и внешними валютными курсами, с тем, чтобы в максимальной степени сблизить их друг с другом. Разумеется, это отнюдь не означает установления в СССР такой же денежной системы, какая существует в зарубежных странах. Валютному управлению необходимо поручить разработать вопрос о том, какие товары должны быть положены в основу при разрешении вопроса о соответствии покупательной силы рубля и внешних валютных курсов. Возможно, что в этой области необходимо будет принимать во внимание условное золотое содержание советской валюты и наиболее устойчивой валюты зарубежных государств (доллара).</w:t>
      </w:r>
    </w:p>
    <w:p w14:paraId="6F9F3AED"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11. Организация эмиссии новых денежных знаков</w:t>
      </w:r>
    </w:p>
    <w:p w14:paraId="4AA47601"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Вторая основная задача денежной реформы — реорганизация денежной системы — предполагает внедрение в оборот денежных знаков нового образца и пересмотр условий, порядка, основ обеспечения денежной эмиссии, а также усовершенствование системы кредитования и расчетов, организации оборотных средств хозяйства и т. д.</w:t>
      </w:r>
    </w:p>
    <w:p w14:paraId="224FF163"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В результате реформы банковые билеты Госбанка и казначейские билеты должны быть заменены денежными знаками нового образца — государственными кредитными билетами, наделенными силой законного платежного средства и обязательными к приему во все платежи по номиналу на всей территории СССР. Червонный счет полностью устраняется. Эмитент — Государственный банк СССР, действующий, однако, не от своего имени, как хозрасчетной организации, а от имени государства.</w:t>
      </w:r>
    </w:p>
    <w:p w14:paraId="6FEC2174"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Государственные кредитные билеты обеспечиваются всем достоянием государства. Указание на денежных знаках специального их обеспечения (золотом, краткосрочными обязательствами и т. д.) для внутреннего оборота не имеет какого-либо существенного значения. Для внешних же расчетов достаточно будет законом о выпуске государственных кредитных билетов в обращение или же особым постановлением Правительства определить золотое содержание рубля и затем периодически публиковать (от имени Госбанка СССР) курсы иностранных валют.</w:t>
      </w:r>
    </w:p>
    <w:p w14:paraId="50CC4BB6"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Весьма существенное значение имеет разработка и проведение в жизнь такого порядка выпуска денег в обращение, который предотвращал бы внеплановую денежную эмиссию, обеспечивал бы максимальное соответствие размеров денежной эмиссии потребностям хозяйственного оборота в деньгах.</w:t>
      </w:r>
    </w:p>
    <w:p w14:paraId="48816699"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Правильная, соответствующая задачам устойчивого денежного обращения, организация эмиссионного дела предполагает такой порядок эмиссии денег, при котором:</w:t>
      </w:r>
    </w:p>
    <w:p w14:paraId="2749E17D"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а) выпуск денег был бы непосредственно связан с увеличением потребности хозяйственного оборота в деньгах, что не исключает возможности использования эмиссии для народнохозяйственных целей, но лишь в пределах и на основе плана;</w:t>
      </w:r>
    </w:p>
    <w:p w14:paraId="585C2D15"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б) при сокращении потребностей хозяйственного оборота в деньгах как средстве обращения, часть денег, превышающая потребности хозяйственного оборота, притекает обратно в кассы эмитента, а не застревает в обороте, не переполняет каналов денежного обращения;</w:t>
      </w:r>
    </w:p>
    <w:p w14:paraId="633A7311"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в) в арсенале эмитента имеются экономические средства и возможности для того, чтобы в случае застревания денег в обращении сверх потребностей хозяйственного оборота в деньгах преодолеть это при помощи текущих дополнительных мероприятий.</w:t>
      </w:r>
    </w:p>
    <w:p w14:paraId="545D375B"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Наиболее полно этим требованиям отвечает КРЕДИТНАЯ ЭМИССИЯ. Потребности в ссудах являются отражением роста потребности хозяйственного оборота в деньгах. Погашение ссуды по истечении ее срока означает возвращение денег к эмитенту. Посредством регулирования кредита эмитент может оказывать регулирующее воздействие на денежное обращение: эмитент не обязан предоставлять ссуду при любых условиях, может потребовать дополнительного обеспечения, дополнительных материальных гарантий возвратности ссуды, может ограничить предоставление ссуды определенным кругом операций и т. п. Наоборот, указанным требованиям не удовлетворяет КАЗНАЧЕЙСКАЯ ЭМИССИЯ, т. е. выпуск денег для покрытия расходов госбюджета, так как: а) размеры эмиссии и возврат денег к эмитенту здесь не определяются непосредственно потребностями хозяйственного оборота в деньгах: они определяются потребностями бюджета, причем между доходами и расходами бюджета нет прямой связи; б) бюджет — обязательный, имеющий силу закона, план, тем самым возможности регулирования здесь весьма ограничены.</w:t>
      </w:r>
    </w:p>
    <w:p w14:paraId="17217248"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По этим причинам эмиссионная деятельность в большинстве стран поручается кредитному учреждению, банку. Эмиссия организуется либо исключительно, как кредитная, либо как смешанная — КРЕДИТНО-КАЗНАЧЕЙСКАЯ, причем во втором случае казначейская часть эмиссии ограничивается минимальными, не снижающимися потребностями хозяйственного оборота в деньгах.</w:t>
      </w:r>
    </w:p>
    <w:p w14:paraId="7929EDEC"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То обстоятельство, что эмитентом является банк, еще не означает само по себе, что эмиссия имеет действительно кредитный характер. Кредитная эмиссия должна удовлетворять следующим условиям: а) она должна быть связана с недостатком не основных фондов, а оборотных средств, причем б) не со всяким недостатком оборотных средств, а с временным их недостатком, с временными потребностями в оборотных средствах. В этом отношении необходимо различать потребности в оборотных средствах, связанные с: 1) расширением производства, 2) продажей товаров в убыток, иммобилизацией оборотных средств, неправильным их использованием и 3) с доведением товаров от производства до потребителя.</w:t>
      </w:r>
    </w:p>
    <w:p w14:paraId="589978A9"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В первых двух случаях мы имеем дело с постоянной потребностью, выражающей нужду не в средствах обращения, а в оборотных фондах; такие потребности должны удовлетворяться не за счет временно свободных средств других хозорганизаций и не за счет эмиссии, а за счет накоплений, в последнем счете за счет госбюджета. В третьем случае мы имеем действительно временную потребность (на срок продвижения товаров), причем выражающую временный недостаток в средствах обращения, а не недостаток в оборотных фондах. Как только товар дошел до потребителя и оплачен им, недостаток в оборотных средствах исчезает. В связи с реализацией новой партии товаров, потребность возобновляется, но опять-таки только на срок продвижения товаров от производства к потребителю. Это и составляет базу для кредитной эмиссии. За счет временно свободных средств одних хозорганизаций банк покрывает такие временные потребности других хозорганизаций; если же общие ресурсы банка оказываются недостаточными для удовлетворения всех вытекающих из здорового обращения товаров потребностей в оборотных средствах, банк может и должен восполнить недостаток своих ресурсов за счет эмиссии.</w:t>
      </w:r>
    </w:p>
    <w:p w14:paraId="12B6C40A"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Таким образом, кредит эмиссионного банка должен быть связан с движением товаров в сфере обращения, должен содействовать наиболее быстрому доведению товаров от производства к потребителю. Эмиссионный кредит в этом смысле должен быть подтоварным кредитом, эмиссия должна соответствовать изменению объема товарооборота, восполнять недостаток в деньгах, как средстве обращения.</w:t>
      </w:r>
    </w:p>
    <w:p w14:paraId="088B628B"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 xml:space="preserve">Современная организация работы Госбанка не отвечает этим условиям. Некоторые виды кредита, предоставляемого Госбанком (на сезонные затраты, под незавершенное производство и готовую продукцию на складах, на временные внеплановые нужды) означают в той или иной степени прямую увязку ресурсов банка с оборотными фондами хозорганизаций. Ресурсами Госбанка покрываются в известной мере также неполадки в расчетах между хозорганами (ссуды под расчетные </w:t>
      </w:r>
      <w:r w:rsidRPr="00070ADE">
        <w:rPr>
          <w:color w:val="000000" w:themeColor="text1"/>
          <w:sz w:val="16"/>
          <w:szCs w:val="16"/>
        </w:rPr>
        <w:lastRenderedPageBreak/>
        <w:t>документы в пути), поскольку при акцептной форме расчетов между хозорганами нет непосредственных отношений: между ними в качестве обязательного посредника и своего рода арбитра стоит банк. Средства расчетных счетов хозорганов образуются только за счет выручки от реализации товаров и услуг хозорганами (движение их собственных оборотных средств, высвобождающихся в процессе реализации товаров и услуг) и ссуд банка, но также за счет задолженности хозорганов друг другу и за счет бюджетных ассигнований. Это устраняет прямую связь между движением сумм на расчетных счетах и результатами деятельности хозорганизаций.</w:t>
      </w:r>
    </w:p>
    <w:p w14:paraId="665016BB"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На 1 января 1940 г., несмотря на неоднократную «расчистку», кредиторская задолженность по промышленности составляла 12,9 млрд руб., не считая 6,2 млрд руб. задолженности кредиторам по степени готовности и прочим кредиторам, приравниваемой к собственным средствам. Таким образом, вся кредиторская задолженность по промышленности на 1 января 1940 г., равнялась 19,1 млрд руб., тогда как вся задолженность промышленности Госбанку на ту же дату составляла 28,4 млрд руб.</w:t>
      </w:r>
    </w:p>
    <w:p w14:paraId="2984F288"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Бюджетные ассигнования в оборотные средства ежегодно составляют большие суммы и значительно превышают фактический прирост собственных оборотных средств хозорганов. По своду балансов промышленности собственные оборотные средства увеличились с 10,1 млрд руб. на 1/1-1933 г. до 47,2 млрд руб. на 1/1-1940 г., т. е. на 37,1 млрд руб., вложения же в собственные оборотные средства промышленности составили за это время 57,4 млрд руб., в том числе из госбюджета — 46,3 млрд руб. Происходило «проедание» собственных оборотных средств. Ежегодно хозорганизации забирали со своих расчетных счетов больше собственных средств, чем вносили на них из своей выручки от реализации товаров и услуг. Недостаток покрывали госбюджет и денежная эмиссия.</w:t>
      </w:r>
    </w:p>
    <w:p w14:paraId="6C5902C7"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Современная система нормирования собственных оборотных средств является своеобразной системой рационированного снабжения хозорганизаций оборотными средствами. Ежегодно, при составлении и утверждении госбюджета производится перерасчет собственных оборотных средств, излишки изымаются или засчитываются в счет планового прироста собственных оборотных средств, недостатки покрываются ассигнованиями из госбюджета. В основе лежит идея «общегосударственного котла». На этой почве возникают и укрепляются иждивенческие настроения, происходит отмеченное выше «проедание» оборотных средств.</w:t>
      </w:r>
    </w:p>
    <w:p w14:paraId="2DCC6F0D"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Отрицательное влияние на денежное обращение современной организации расчетов, кредитования и собственных оборотных средств хозорганов усугубляется тем, что: а) между эмиссионными, кредитными, кассовыми и расчетными операциями, возложенными на одно и то же учреждение — Госбанк, — нет необходимого разграничения; денежная эмиссия утратила кредитный характер; б) финансовые показатели работы предприятий и хозорганизаций, эффективность использования ими денежных средств не занимают должного места при оценке качества и результатов работы предприятий и хозорганизаций.</w:t>
      </w:r>
    </w:p>
    <w:p w14:paraId="16CD08C9"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При проведении денежной реформы необходимо:</w:t>
      </w:r>
    </w:p>
    <w:p w14:paraId="52D6D04C"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1. Разграничить кредитные, эмиссионные и расчетные операции банка посредством либо разукрупнения Госбанка (создания двух банков: кредитно-эмиссионного и расчетного), либо четкого размежевания операций внутри единого банка. Эмиссионная деятельность должна быть связана с кредитными операциями банка, эмиссия должна иметь кредитный характер.</w:t>
      </w:r>
    </w:p>
    <w:p w14:paraId="1601E62D"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2. Пересмотреть виды и формы банковского кредита, отказаться от всех видов ссуд со стороны эмиссионного банка, которые противоречат правильной организации эмиссионного дела. Кредит эмиссионного банка должен быть средством ускорения реализации товаров, неразрывно связан со сферой обращения. Решение этого вопроса предполагает также пересмотр организации оборотных средств хозяйства.</w:t>
      </w:r>
    </w:p>
    <w:p w14:paraId="61E81BC5"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12. Порядок замены обращающихся денежных знаков и выраженных в них обязательств новыми</w:t>
      </w:r>
    </w:p>
    <w:p w14:paraId="207E4316"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Замена ныне обращающихся денежных знаков новыми — заключительный этап денежной реформы — имеет своей главной целью оформить изменение масштаба цен. Замена будет осуществляться двумя путями: а) прекращение выпуска обратно в обращение денежных знаков нынешнего образца, поступающих в кассы Госбанка, комбанков и сберегательные кассы и б) прямой обмен обращающихся денежных знаков на новые.</w:t>
      </w:r>
    </w:p>
    <w:p w14:paraId="26E079C3"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Прием в платежи и обмен ныне обращающихся денежных знаков должны быть ограничены определенным сроком, достаточным для оповещения всего населения и для совершения самой операции обмена. Денежные знаки, не предъявленные к обмену в установленный срок, лишаются силы законного платежного средства. Выпуск в обращение денежных знаков нынешнего обращения может быть прекращен с момента объявления выпуска новых денежных знаков и обмена на них обращающихся дензнаков, при условии, что к этому времени обеспечено достаточное производство новых денежных знаков и все кассовые учреждения бесперебойно снабжаются новыми дензнаками для производства текущих платежей.</w:t>
      </w:r>
    </w:p>
    <w:p w14:paraId="0CABEE5B"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Новые денежные знаки будут выпускаться в обращение по двум каналам: а) обмен обращавшихся ранее денежных знаков и б) производство текущих платежей государства.</w:t>
      </w:r>
    </w:p>
    <w:p w14:paraId="3AE3DB98"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Обменный курс денежных знаков нового образца должен соответствовать производимому понижению масштаба цен. Согласно изложенным выше расчетам обмен может производиться по курсу: 1 рубль в денежных знаках нового образца = 20 руб. в обращающихся ныне денежных знаках.</w:t>
      </w:r>
    </w:p>
    <w:p w14:paraId="526C3B72"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В связи с заменой обращающихся ныне денежных знаков новыми, возникает вопрос о перечислении в новую валюту всех расчетов между предприятиями, учреждениями и организациями и взаимных обязательствах между государством и населением.</w:t>
      </w:r>
    </w:p>
    <w:p w14:paraId="1D316D77"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Обязательства государства по отношению к населению состоят из госзаймов, вкладов, страховых возмещений и пенсионного обеспечения. Обязательства населения по отношению к государству (кроме текущих) выражаются в индивидуальных ссудах (по рабжил-строительству, по залогу облигаций займов) и страховых платежах по долгосрочным видам страхования.</w:t>
      </w:r>
    </w:p>
    <w:p w14:paraId="0C413B09"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В связи с пересчетом всех имеющихся к концу денежной реформы обязательств на новую валюту потребуется замена всех старых обязательств новыми. В отношении вкладов, текущих и расчетных счетов, а также взаимных расчетов между предприятиями, учреждениями и организациями это достигается посредством производства новых записей в сберегательных книжках, в книгах кредитных учреждений, в бухгалтерских книгах и т. п. и заменой старых чековых книжек новыми. Также подлежат замене новыми выданные ранее страховые полисы по долгосрочным видам страхования. Что же касается госзаймов, то здесь понадобится произвести конверсию всех ранее выпущенных займов, — объединение их в одном новом займе.</w:t>
      </w:r>
    </w:p>
    <w:p w14:paraId="3D8282B7"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Целесообразно было бы к моменту обмена обращающихся денежных знаков на новые и пересчете обязательств предприятий, учреждений и организаций на новую валюту произвести генеральный пересмотр всех обязательств, расчистку их от встречных обязательств и от дебиторско-кредиторской задолженности.</w:t>
      </w:r>
    </w:p>
    <w:p w14:paraId="52DD7408"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13. Необходимые мероприятия в ходе реформы</w:t>
      </w:r>
    </w:p>
    <w:p w14:paraId="14B930AC"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В соответствии с изложенным выше, в ходе реформы должны быть проведены следующие мероприятия:</w:t>
      </w:r>
    </w:p>
    <w:p w14:paraId="1F8D0131"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а) в области товарооборота, цен и зарплаты:</w:t>
      </w:r>
    </w:p>
    <w:p w14:paraId="7F736BF2"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1. Увеличить объем розничного товарооборота за счет расширения производства товаров широкого потребления госпредприятиями и кооперацией (в частности — стимулирования развития местной промышленности и промкооперации), увеличения сельскохозяйственных заготовок и стимулирования роста объема колхозной торговли, расширения импорта товаров, сокращения внерыночного потребления, развития и усовершенствования торговой сети в целях ускорения продвижения товаров от производства к потребителям.</w:t>
      </w:r>
    </w:p>
    <w:p w14:paraId="0A011722"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2. Ввести коммерческую торговлю с последующим переходом от нормированного снабжения к развернутой, открытой торговле всеми товарами и продуктами, приобретаемыми населением.</w:t>
      </w:r>
    </w:p>
    <w:p w14:paraId="66E11C56"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3. По мере развертывания коммерческой торговли и при переходе к открытой торговле по единым розничным ценам пересмотреть и усовершенствовать действующую систему розничных цен государственно-кооперативной торговли.</w:t>
      </w:r>
    </w:p>
    <w:p w14:paraId="6508F6CB"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4. В целях стимулирования более рационального использования основных фондов, максимальной экономии в расходовании сырья, материалов и топлива, широкого использования отходов производства и местных ресурсов — пересмотреть и повысить цены на средства производства.</w:t>
      </w:r>
    </w:p>
    <w:p w14:paraId="23F0A4A3"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5. Повысить и усилить дифференциацию заготовительных цен в соответствии с задачами стимулирования заготовок, с пересмотром цен на промтовары, понижением масштаба цен, экономическими особенностями районов, областей и республик.</w:t>
      </w:r>
    </w:p>
    <w:p w14:paraId="61E8C15A"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6. Усилить дифференциацию транспортных пассажирских тарифов в зависимости от предоставляемых пассажирам удобств; повысить квартирную плату и усилить ее дифференциацию по классам городов, районов, улиц в городах, по качеству жилищ и в зависимости от предоставляемых квартиронанимателям удобств; пересмотреть всю систему тарифов за услуги в соответствии с пересмотром розничных цен.</w:t>
      </w:r>
    </w:p>
    <w:p w14:paraId="394E861E"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7. В соответствии с повышением цен на предметы первой необходимости при ликвидации нормированного снабжения и переходе к открытой торговле, повысить уровень зарплаты рабочих и служащих, а также размеры пенсий и иных видов фиксированных доходов, усиливая вместе с тем дифференциацию в оплате труда: для производственного аппарата — посредством более широкого внедрения и правильного применения поощрительных форм оплаты труда, для управленческого аппарата — посредством дифференциации ставок зарплаты в зависимости от звания и должности, стажа (выслуга лет) и образования, звена аппарата, пояса местности и наличия связи с сельским хозяйством.</w:t>
      </w:r>
    </w:p>
    <w:p w14:paraId="147C005F"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б) в области государственного бюджета:</w:t>
      </w:r>
    </w:p>
    <w:p w14:paraId="7426FD52"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1. Максимально форсировать затраты, дающие быстрый экономический эффект в отношении удовлетворения потребностей населения в товарах и продуктах, а также в разного рода услугах (транспортных, жилищно-коммунальных и т. п.)</w:t>
      </w:r>
    </w:p>
    <w:p w14:paraId="16D13791"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2. Провести относительное (по сравнению с ростом объема работы и числа учреждений и организаций) сокращение административно-хозяйственных расходов, в первую очередь — за счет сокращения и упрощения управленческого аппарата хозорганизаций, усилить режим экономии в административно-хозяйственных расходах.</w:t>
      </w:r>
    </w:p>
    <w:p w14:paraId="734D640E"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3. Обеспечить широкое привлечение денежных и трудовых ресурсов населения, колхозов и кооперации к проведению и финансированию восстановительных работ.</w:t>
      </w:r>
    </w:p>
    <w:p w14:paraId="7B0457A1"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4. Усилить и усовершенствовать способы и методы стимулирования снижения себестоимости, всемерного сокращения накладных расходов и всякого рода потерь, выполнения плана накоплений, правильного и экономного использования основных фондов, оборотных средств, ассигнований на административно-хозяйственные расходы. Усилить зависимость финансового положения предприятий и хозорганизаций от степени выполнения ими планов производства и реализации товаров и плана накоплений. Пересмотреть организацию оборотных средств и взаимоотношения хозорганизаций с госбюджетом.</w:t>
      </w:r>
    </w:p>
    <w:p w14:paraId="70A2C714"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lastRenderedPageBreak/>
        <w:t>5. Расширить мобилизацию средств в бюджет через обложение по обороту и в порядке прямых бюджетных изъятий (бюджетная разница) в связи с введением коммерческой торговли и повышением цен при переходе к открытой торговле всеми товарами и продуктами, приобретаемыми населением. В связи с новой системой цен, устанавливаемой в результате денежной реформы, пересмотреть систему изъятий части доходов и накоплений предприятий и хозорганизаций в госбюджет.</w:t>
      </w:r>
    </w:p>
    <w:p w14:paraId="2FBC3364"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6. Увеличить доходы от госимущества, от реализации услуг (жилищно-коммунальных, транспортных и т. д.), а также доходы пошлинного характера. Максимально сократить оплату услуг за счет государственных средств и средств кооперации.</w:t>
      </w:r>
    </w:p>
    <w:p w14:paraId="620C572C"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7. Усилить дифференциацию платежей населения в зависимости от наличия и высоты рыночных доходов, в максимально возможных размерах использовать налоги для изъятия части денежных накоплений рыночных продавцов и для форсирования продажи продуктов населением.</w:t>
      </w:r>
    </w:p>
    <w:p w14:paraId="0E7916A4"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8. Расширить привлечение средств на вклады в сберкассы и принять меры к предотвращению отлива вкладов при развертывании открытой торговли.</w:t>
      </w:r>
    </w:p>
    <w:p w14:paraId="56665B62"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в) в области денежного оборота и кредита:</w:t>
      </w:r>
    </w:p>
    <w:p w14:paraId="2FCC9538"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1. Своевременно изготовить в достаточном для насыщения потребностей хозяйственного оборота количестве денежные знаки нового образца разных купюр, в том числе — разменные денежные знаки.</w:t>
      </w:r>
    </w:p>
    <w:p w14:paraId="56855E48"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2. Разработать вопрос о порядке и условиях проведения конверсии займов при проведении денежной реформы.</w:t>
      </w:r>
    </w:p>
    <w:p w14:paraId="557EE14C"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3. Произвести расчистку взаимных расчетов предприятий, учреждений и организаций при переходе к новой валюте.</w:t>
      </w:r>
    </w:p>
    <w:p w14:paraId="7F960516"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4. Своевременно изготовить облигации нового государственного займа, новых страховых полисов, сберегательных и чековых книжек и т. д. и организовать перечисление всех платежей, расчетов, балансов, смет и т. п. в новую валюту.</w:t>
      </w:r>
    </w:p>
    <w:p w14:paraId="394E0D16"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5. Разработать вопрос о паритете новой валюты и о курсах иностранных валют.</w:t>
      </w:r>
    </w:p>
    <w:p w14:paraId="0258D4A5"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6. Пересмотреть виды и формы банковского кредитования и порядок расчетов между хозорганами в связи с пересмотром организации оборотных средств хозяйства; пересмотреть и усовершенствовать формы и методы контроля за денежным обращением; провести четкое разграничение кредитных, эмиссионных и расчетных операций банка, связав эмиссионную деятельность с кредитными операциями банка (кредитование сферы обращения).</w:t>
      </w:r>
    </w:p>
    <w:p w14:paraId="24E274A4"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К разработке и проведению этих мероприятий должны быть привлечены управления и отделы наркомата.</w:t>
      </w:r>
    </w:p>
    <w:p w14:paraId="1EA181FD" w14:textId="51902181"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«14» марта 1944 г.</w:t>
      </w:r>
      <w:r w:rsidR="00C63BA9">
        <w:rPr>
          <w:color w:val="000000" w:themeColor="text1"/>
          <w:sz w:val="16"/>
          <w:szCs w:val="16"/>
        </w:rPr>
        <w:t xml:space="preserve">                                                   </w:t>
      </w:r>
      <w:r w:rsidRPr="00070ADE">
        <w:rPr>
          <w:color w:val="000000" w:themeColor="text1"/>
          <w:sz w:val="16"/>
          <w:szCs w:val="16"/>
        </w:rPr>
        <w:t xml:space="preserve"> (В. Дьяченко)</w:t>
      </w:r>
    </w:p>
    <w:p w14:paraId="35047930" w14:textId="77777777" w:rsidR="00582E01" w:rsidRPr="00070ADE" w:rsidRDefault="00582E01" w:rsidP="00B56F90">
      <w:pPr>
        <w:pStyle w:val="ae"/>
        <w:spacing w:before="0" w:after="0"/>
        <w:jc w:val="both"/>
        <w:rPr>
          <w:color w:val="000000" w:themeColor="text1"/>
          <w:sz w:val="16"/>
          <w:szCs w:val="16"/>
        </w:rPr>
      </w:pPr>
      <w:r w:rsidRPr="00070ADE">
        <w:rPr>
          <w:rStyle w:val="af0"/>
          <w:color w:val="000000" w:themeColor="text1"/>
          <w:sz w:val="16"/>
          <w:szCs w:val="16"/>
        </w:rPr>
        <w:t>РГАЭ. Ф. 7733. Оп. 36. Д. 2271. Л. 111-150. Подлинник.</w:t>
      </w:r>
      <w:r w:rsidRPr="00070ADE">
        <w:rPr>
          <w:color w:val="000000" w:themeColor="text1"/>
          <w:sz w:val="16"/>
          <w:szCs w:val="16"/>
        </w:rPr>
        <w:t xml:space="preserve"> </w:t>
      </w:r>
      <w:r w:rsidRPr="00070ADE">
        <w:rPr>
          <w:rStyle w:val="af0"/>
          <w:color w:val="000000" w:themeColor="text1"/>
          <w:sz w:val="16"/>
          <w:szCs w:val="16"/>
        </w:rPr>
        <w:t>Подпись В.П. Дьяченко — автограф</w:t>
      </w:r>
      <w:r w:rsidRPr="00070ADE">
        <w:rPr>
          <w:color w:val="000000" w:themeColor="text1"/>
          <w:sz w:val="16"/>
          <w:szCs w:val="16"/>
        </w:rPr>
        <w:t>[</w:t>
      </w:r>
      <w:bookmarkStart w:id="30" w:name="_rtfnr_9"/>
      <w:r w:rsidRPr="00070ADE">
        <w:rPr>
          <w:color w:val="000000" w:themeColor="text1"/>
          <w:sz w:val="16"/>
          <w:szCs w:val="16"/>
        </w:rPr>
        <w:fldChar w:fldCharType="begin"/>
      </w:r>
      <w:r w:rsidRPr="00070ADE">
        <w:rPr>
          <w:color w:val="000000" w:themeColor="text1"/>
          <w:sz w:val="16"/>
          <w:szCs w:val="16"/>
        </w:rPr>
        <w:instrText xml:space="preserve"> HYPERLINK "http://istmat.info/node/62297" \l "_rtfnr_9.1" </w:instrText>
      </w:r>
      <w:r w:rsidRPr="00070ADE">
        <w:rPr>
          <w:color w:val="000000" w:themeColor="text1"/>
          <w:sz w:val="16"/>
          <w:szCs w:val="16"/>
        </w:rPr>
      </w:r>
      <w:r w:rsidRPr="00070ADE">
        <w:rPr>
          <w:color w:val="000000" w:themeColor="text1"/>
          <w:sz w:val="16"/>
          <w:szCs w:val="16"/>
        </w:rPr>
        <w:fldChar w:fldCharType="separate"/>
      </w:r>
      <w:r w:rsidRPr="00070ADE">
        <w:rPr>
          <w:rStyle w:val="a5"/>
          <w:rFonts w:eastAsiaTheme="majorEastAsia"/>
          <w:color w:val="000000" w:themeColor="text1"/>
          <w:sz w:val="16"/>
          <w:szCs w:val="16"/>
          <w:u w:val="none"/>
          <w:vertAlign w:val="superscript"/>
        </w:rPr>
        <w:t>*********</w:t>
      </w:r>
      <w:r w:rsidRPr="00070ADE">
        <w:rPr>
          <w:color w:val="000000" w:themeColor="text1"/>
          <w:sz w:val="16"/>
          <w:szCs w:val="16"/>
        </w:rPr>
        <w:fldChar w:fldCharType="end"/>
      </w:r>
      <w:bookmarkEnd w:id="30"/>
      <w:r w:rsidRPr="00070ADE">
        <w:rPr>
          <w:color w:val="000000" w:themeColor="text1"/>
          <w:sz w:val="16"/>
          <w:szCs w:val="16"/>
        </w:rPr>
        <w:t>]</w:t>
      </w:r>
      <w:r w:rsidRPr="00070ADE">
        <w:rPr>
          <w:rStyle w:val="af0"/>
          <w:color w:val="000000" w:themeColor="text1"/>
          <w:sz w:val="16"/>
          <w:szCs w:val="16"/>
        </w:rPr>
        <w:t>. Публикуется впервые.</w:t>
      </w:r>
    </w:p>
    <w:bookmarkStart w:id="31" w:name="_rtfnr_1.1"/>
    <w:p w14:paraId="07A9FBB6"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vertAlign w:val="superscript"/>
        </w:rPr>
        <w:fldChar w:fldCharType="begin"/>
      </w:r>
      <w:r w:rsidRPr="00070ADE">
        <w:rPr>
          <w:color w:val="000000" w:themeColor="text1"/>
          <w:sz w:val="16"/>
          <w:szCs w:val="16"/>
          <w:vertAlign w:val="superscript"/>
        </w:rPr>
        <w:instrText xml:space="preserve"> HYPERLINK "http://istmat.info/node/62297" \l "_rtfnr_1" </w:instrText>
      </w:r>
      <w:r w:rsidRPr="00070ADE">
        <w:rPr>
          <w:color w:val="000000" w:themeColor="text1"/>
          <w:sz w:val="16"/>
          <w:szCs w:val="16"/>
          <w:vertAlign w:val="superscript"/>
        </w:rPr>
      </w:r>
      <w:r w:rsidRPr="00070ADE">
        <w:rPr>
          <w:color w:val="000000" w:themeColor="text1"/>
          <w:sz w:val="16"/>
          <w:szCs w:val="16"/>
          <w:vertAlign w:val="superscript"/>
        </w:rPr>
        <w:fldChar w:fldCharType="separate"/>
      </w:r>
      <w:r w:rsidRPr="00070ADE">
        <w:rPr>
          <w:rStyle w:val="a5"/>
          <w:rFonts w:eastAsiaTheme="majorEastAsia"/>
          <w:color w:val="000000" w:themeColor="text1"/>
          <w:sz w:val="16"/>
          <w:szCs w:val="16"/>
          <w:u w:val="none"/>
          <w:vertAlign w:val="superscript"/>
        </w:rPr>
        <w:t>*</w:t>
      </w:r>
      <w:r w:rsidRPr="00070ADE">
        <w:rPr>
          <w:color w:val="000000" w:themeColor="text1"/>
          <w:sz w:val="16"/>
          <w:szCs w:val="16"/>
          <w:vertAlign w:val="superscript"/>
        </w:rPr>
        <w:fldChar w:fldCharType="end"/>
      </w:r>
      <w:bookmarkEnd w:id="31"/>
      <w:r w:rsidRPr="00070ADE">
        <w:rPr>
          <w:color w:val="000000" w:themeColor="text1"/>
          <w:sz w:val="16"/>
          <w:szCs w:val="16"/>
        </w:rPr>
        <w:t xml:space="preserve"> Авторские (машинописные) подчеркивания текста выделяются в документе сплошными линиями, карандашные пометы и подчеркивания, сделанные рукой А. Г. Зверева, — пунктирными.</w:t>
      </w:r>
    </w:p>
    <w:bookmarkStart w:id="32" w:name="_rtfnr_2.1"/>
    <w:p w14:paraId="1F2A1D5B"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vertAlign w:val="superscript"/>
        </w:rPr>
        <w:fldChar w:fldCharType="begin"/>
      </w:r>
      <w:r w:rsidRPr="00070ADE">
        <w:rPr>
          <w:color w:val="000000" w:themeColor="text1"/>
          <w:sz w:val="16"/>
          <w:szCs w:val="16"/>
          <w:vertAlign w:val="superscript"/>
        </w:rPr>
        <w:instrText xml:space="preserve"> HYPERLINK "http://istmat.info/node/62297" \l "_rtfnr_2" </w:instrText>
      </w:r>
      <w:r w:rsidRPr="00070ADE">
        <w:rPr>
          <w:color w:val="000000" w:themeColor="text1"/>
          <w:sz w:val="16"/>
          <w:szCs w:val="16"/>
          <w:vertAlign w:val="superscript"/>
        </w:rPr>
      </w:r>
      <w:r w:rsidRPr="00070ADE">
        <w:rPr>
          <w:color w:val="000000" w:themeColor="text1"/>
          <w:sz w:val="16"/>
          <w:szCs w:val="16"/>
          <w:vertAlign w:val="superscript"/>
        </w:rPr>
        <w:fldChar w:fldCharType="separate"/>
      </w:r>
      <w:r w:rsidRPr="00070ADE">
        <w:rPr>
          <w:rStyle w:val="a5"/>
          <w:rFonts w:eastAsiaTheme="majorEastAsia"/>
          <w:color w:val="000000" w:themeColor="text1"/>
          <w:sz w:val="16"/>
          <w:szCs w:val="16"/>
          <w:u w:val="none"/>
          <w:vertAlign w:val="superscript"/>
        </w:rPr>
        <w:t>**</w:t>
      </w:r>
      <w:r w:rsidRPr="00070ADE">
        <w:rPr>
          <w:color w:val="000000" w:themeColor="text1"/>
          <w:sz w:val="16"/>
          <w:szCs w:val="16"/>
          <w:vertAlign w:val="superscript"/>
        </w:rPr>
        <w:fldChar w:fldCharType="end"/>
      </w:r>
      <w:bookmarkEnd w:id="32"/>
      <w:r w:rsidRPr="00070ADE">
        <w:rPr>
          <w:color w:val="000000" w:themeColor="text1"/>
          <w:sz w:val="16"/>
          <w:szCs w:val="16"/>
        </w:rPr>
        <w:t xml:space="preserve"> В перечне приложений не указано приложение 3: «Первоочередные задания в связи с проведением денежной реформы», текст которого приводится в примечаниях к настоящему разделу (см. примеч. 9). Остальные приложения, как представляющие интерес только для узкого круга специалистов и не укладывающиеся в рамки объема настоящего издания, не публикуются.</w:t>
      </w:r>
    </w:p>
    <w:bookmarkStart w:id="33" w:name="_rtfnr_3.1"/>
    <w:p w14:paraId="2DB4F44A"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vertAlign w:val="superscript"/>
        </w:rPr>
        <w:fldChar w:fldCharType="begin"/>
      </w:r>
      <w:r w:rsidRPr="00070ADE">
        <w:rPr>
          <w:color w:val="000000" w:themeColor="text1"/>
          <w:sz w:val="16"/>
          <w:szCs w:val="16"/>
          <w:vertAlign w:val="superscript"/>
        </w:rPr>
        <w:instrText xml:space="preserve"> HYPERLINK "http://istmat.info/node/62297" \l "_rtfnr_3" </w:instrText>
      </w:r>
      <w:r w:rsidRPr="00070ADE">
        <w:rPr>
          <w:color w:val="000000" w:themeColor="text1"/>
          <w:sz w:val="16"/>
          <w:szCs w:val="16"/>
          <w:vertAlign w:val="superscript"/>
        </w:rPr>
      </w:r>
      <w:r w:rsidRPr="00070ADE">
        <w:rPr>
          <w:color w:val="000000" w:themeColor="text1"/>
          <w:sz w:val="16"/>
          <w:szCs w:val="16"/>
          <w:vertAlign w:val="superscript"/>
        </w:rPr>
        <w:fldChar w:fldCharType="separate"/>
      </w:r>
      <w:r w:rsidRPr="00070ADE">
        <w:rPr>
          <w:rStyle w:val="a5"/>
          <w:rFonts w:eastAsiaTheme="majorEastAsia"/>
          <w:color w:val="000000" w:themeColor="text1"/>
          <w:sz w:val="16"/>
          <w:szCs w:val="16"/>
          <w:u w:val="none"/>
          <w:vertAlign w:val="superscript"/>
        </w:rPr>
        <w:t>***</w:t>
      </w:r>
      <w:r w:rsidRPr="00070ADE">
        <w:rPr>
          <w:color w:val="000000" w:themeColor="text1"/>
          <w:sz w:val="16"/>
          <w:szCs w:val="16"/>
          <w:vertAlign w:val="superscript"/>
        </w:rPr>
        <w:fldChar w:fldCharType="end"/>
      </w:r>
      <w:bookmarkEnd w:id="33"/>
      <w:r w:rsidRPr="00070ADE">
        <w:rPr>
          <w:color w:val="000000" w:themeColor="text1"/>
          <w:sz w:val="16"/>
          <w:szCs w:val="16"/>
        </w:rPr>
        <w:t xml:space="preserve"> Эта часть текста («на 23 %») обведена карандашом.</w:t>
      </w:r>
    </w:p>
    <w:bookmarkStart w:id="34" w:name="_rtfnr_4.1"/>
    <w:p w14:paraId="120C989F"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fldChar w:fldCharType="begin"/>
      </w:r>
      <w:r w:rsidRPr="00070ADE">
        <w:rPr>
          <w:color w:val="000000" w:themeColor="text1"/>
          <w:sz w:val="16"/>
          <w:szCs w:val="16"/>
        </w:rPr>
        <w:instrText xml:space="preserve"> HYPERLINK "http://istmat.info/node/62297" \l "_rtfnr_4" </w:instrText>
      </w:r>
      <w:r w:rsidRPr="00070ADE">
        <w:rPr>
          <w:color w:val="000000" w:themeColor="text1"/>
          <w:sz w:val="16"/>
          <w:szCs w:val="16"/>
        </w:rPr>
      </w:r>
      <w:r w:rsidRPr="00070ADE">
        <w:rPr>
          <w:color w:val="000000" w:themeColor="text1"/>
          <w:sz w:val="16"/>
          <w:szCs w:val="16"/>
        </w:rPr>
        <w:fldChar w:fldCharType="separate"/>
      </w:r>
      <w:r w:rsidRPr="00070ADE">
        <w:rPr>
          <w:rStyle w:val="a5"/>
          <w:rFonts w:eastAsiaTheme="majorEastAsia"/>
          <w:color w:val="000000" w:themeColor="text1"/>
          <w:sz w:val="16"/>
          <w:szCs w:val="16"/>
          <w:u w:val="none"/>
          <w:vertAlign w:val="superscript"/>
        </w:rPr>
        <w:t>****</w:t>
      </w:r>
      <w:r w:rsidRPr="00070ADE">
        <w:rPr>
          <w:color w:val="000000" w:themeColor="text1"/>
          <w:sz w:val="16"/>
          <w:szCs w:val="16"/>
        </w:rPr>
        <w:fldChar w:fldCharType="end"/>
      </w:r>
      <w:bookmarkEnd w:id="34"/>
      <w:r w:rsidRPr="00070ADE">
        <w:rPr>
          <w:color w:val="000000" w:themeColor="text1"/>
          <w:sz w:val="16"/>
          <w:szCs w:val="16"/>
        </w:rPr>
        <w:t xml:space="preserve"> На левом поле страницы, против слов «Стало быть...» и до «...более чем на 65 млрд руб.» А.Г. Зверевым сделана карандашом «жирная» вертикальная «штриховка».</w:t>
      </w:r>
    </w:p>
    <w:bookmarkStart w:id="35" w:name="_rtfnr_5.1"/>
    <w:p w14:paraId="0847C828"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vertAlign w:val="superscript"/>
        </w:rPr>
        <w:fldChar w:fldCharType="begin"/>
      </w:r>
      <w:r w:rsidRPr="00070ADE">
        <w:rPr>
          <w:color w:val="000000" w:themeColor="text1"/>
          <w:sz w:val="16"/>
          <w:szCs w:val="16"/>
          <w:vertAlign w:val="superscript"/>
        </w:rPr>
        <w:instrText xml:space="preserve"> HYPERLINK "http://istmat.info/node/62297" \l "_rtfnr_5" </w:instrText>
      </w:r>
      <w:r w:rsidRPr="00070ADE">
        <w:rPr>
          <w:color w:val="000000" w:themeColor="text1"/>
          <w:sz w:val="16"/>
          <w:szCs w:val="16"/>
          <w:vertAlign w:val="superscript"/>
        </w:rPr>
      </w:r>
      <w:r w:rsidRPr="00070ADE">
        <w:rPr>
          <w:color w:val="000000" w:themeColor="text1"/>
          <w:sz w:val="16"/>
          <w:szCs w:val="16"/>
          <w:vertAlign w:val="superscript"/>
        </w:rPr>
        <w:fldChar w:fldCharType="separate"/>
      </w:r>
      <w:r w:rsidRPr="00070ADE">
        <w:rPr>
          <w:rStyle w:val="a5"/>
          <w:rFonts w:eastAsiaTheme="majorEastAsia"/>
          <w:color w:val="000000" w:themeColor="text1"/>
          <w:sz w:val="16"/>
          <w:szCs w:val="16"/>
          <w:u w:val="none"/>
          <w:vertAlign w:val="superscript"/>
        </w:rPr>
        <w:t>*****</w:t>
      </w:r>
      <w:r w:rsidRPr="00070ADE">
        <w:rPr>
          <w:color w:val="000000" w:themeColor="text1"/>
          <w:sz w:val="16"/>
          <w:szCs w:val="16"/>
          <w:vertAlign w:val="superscript"/>
        </w:rPr>
        <w:fldChar w:fldCharType="end"/>
      </w:r>
      <w:bookmarkEnd w:id="35"/>
      <w:r w:rsidRPr="00070ADE">
        <w:rPr>
          <w:color w:val="000000" w:themeColor="text1"/>
          <w:sz w:val="16"/>
          <w:szCs w:val="16"/>
        </w:rPr>
        <w:t xml:space="preserve"> На левом поле страницы выделена вертикальной чертой (карандашная помета АГ. Зверева) часть текста от слова «Следовательно...», до «...более чем на 65 млрд руб.».</w:t>
      </w:r>
    </w:p>
    <w:bookmarkStart w:id="36" w:name="_rtfnr_6.1"/>
    <w:p w14:paraId="44D66971"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vertAlign w:val="superscript"/>
        </w:rPr>
        <w:fldChar w:fldCharType="begin"/>
      </w:r>
      <w:r w:rsidRPr="00070ADE">
        <w:rPr>
          <w:color w:val="000000" w:themeColor="text1"/>
          <w:sz w:val="16"/>
          <w:szCs w:val="16"/>
          <w:vertAlign w:val="superscript"/>
        </w:rPr>
        <w:instrText xml:space="preserve"> HYPERLINK "http://istmat.info/node/62297" \l "_rtfnr_6" </w:instrText>
      </w:r>
      <w:r w:rsidRPr="00070ADE">
        <w:rPr>
          <w:color w:val="000000" w:themeColor="text1"/>
          <w:sz w:val="16"/>
          <w:szCs w:val="16"/>
          <w:vertAlign w:val="superscript"/>
        </w:rPr>
      </w:r>
      <w:r w:rsidRPr="00070ADE">
        <w:rPr>
          <w:color w:val="000000" w:themeColor="text1"/>
          <w:sz w:val="16"/>
          <w:szCs w:val="16"/>
          <w:vertAlign w:val="superscript"/>
        </w:rPr>
        <w:fldChar w:fldCharType="separate"/>
      </w:r>
      <w:r w:rsidRPr="00070ADE">
        <w:rPr>
          <w:rStyle w:val="a5"/>
          <w:rFonts w:eastAsiaTheme="majorEastAsia"/>
          <w:color w:val="000000" w:themeColor="text1"/>
          <w:sz w:val="16"/>
          <w:szCs w:val="16"/>
          <w:u w:val="none"/>
          <w:vertAlign w:val="superscript"/>
        </w:rPr>
        <w:t>******</w:t>
      </w:r>
      <w:r w:rsidRPr="00070ADE">
        <w:rPr>
          <w:color w:val="000000" w:themeColor="text1"/>
          <w:sz w:val="16"/>
          <w:szCs w:val="16"/>
          <w:vertAlign w:val="superscript"/>
        </w:rPr>
        <w:fldChar w:fldCharType="end"/>
      </w:r>
      <w:bookmarkEnd w:id="36"/>
      <w:r w:rsidRPr="00070ADE">
        <w:rPr>
          <w:color w:val="000000" w:themeColor="text1"/>
          <w:sz w:val="16"/>
          <w:szCs w:val="16"/>
        </w:rPr>
        <w:t xml:space="preserve"> Этот абзац выделен вертикальной чертой на левом поле страницы (карандашная помета А.Г. Зверева).</w:t>
      </w:r>
    </w:p>
    <w:bookmarkStart w:id="37" w:name="_rtfnr_7.1"/>
    <w:p w14:paraId="7097F5C1"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vertAlign w:val="superscript"/>
        </w:rPr>
        <w:fldChar w:fldCharType="begin"/>
      </w:r>
      <w:r w:rsidRPr="00070ADE">
        <w:rPr>
          <w:color w:val="000000" w:themeColor="text1"/>
          <w:sz w:val="16"/>
          <w:szCs w:val="16"/>
          <w:vertAlign w:val="superscript"/>
        </w:rPr>
        <w:instrText xml:space="preserve"> HYPERLINK "http://istmat.info/node/62297" \l "_rtfnr_7" </w:instrText>
      </w:r>
      <w:r w:rsidRPr="00070ADE">
        <w:rPr>
          <w:color w:val="000000" w:themeColor="text1"/>
          <w:sz w:val="16"/>
          <w:szCs w:val="16"/>
          <w:vertAlign w:val="superscript"/>
        </w:rPr>
      </w:r>
      <w:r w:rsidRPr="00070ADE">
        <w:rPr>
          <w:color w:val="000000" w:themeColor="text1"/>
          <w:sz w:val="16"/>
          <w:szCs w:val="16"/>
          <w:vertAlign w:val="superscript"/>
        </w:rPr>
        <w:fldChar w:fldCharType="separate"/>
      </w:r>
      <w:r w:rsidRPr="00070ADE">
        <w:rPr>
          <w:rStyle w:val="a5"/>
          <w:rFonts w:eastAsiaTheme="majorEastAsia"/>
          <w:color w:val="000000" w:themeColor="text1"/>
          <w:sz w:val="16"/>
          <w:szCs w:val="16"/>
          <w:u w:val="none"/>
          <w:vertAlign w:val="superscript"/>
        </w:rPr>
        <w:t>*******</w:t>
      </w:r>
      <w:r w:rsidRPr="00070ADE">
        <w:rPr>
          <w:color w:val="000000" w:themeColor="text1"/>
          <w:sz w:val="16"/>
          <w:szCs w:val="16"/>
          <w:vertAlign w:val="superscript"/>
        </w:rPr>
        <w:fldChar w:fldCharType="end"/>
      </w:r>
      <w:bookmarkEnd w:id="37"/>
      <w:r w:rsidRPr="00070ADE">
        <w:rPr>
          <w:color w:val="000000" w:themeColor="text1"/>
          <w:sz w:val="16"/>
          <w:szCs w:val="16"/>
        </w:rPr>
        <w:t xml:space="preserve"> Этот абзац выделен вертикальной чертой на левом поле страницы (карандашная помета А.Г. Зверева).</w:t>
      </w:r>
    </w:p>
    <w:bookmarkStart w:id="38" w:name="_rtfnr_8.1"/>
    <w:p w14:paraId="10BBE7ED"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vertAlign w:val="superscript"/>
        </w:rPr>
        <w:fldChar w:fldCharType="begin"/>
      </w:r>
      <w:r w:rsidRPr="00070ADE">
        <w:rPr>
          <w:color w:val="000000" w:themeColor="text1"/>
          <w:sz w:val="16"/>
          <w:szCs w:val="16"/>
          <w:vertAlign w:val="superscript"/>
        </w:rPr>
        <w:instrText xml:space="preserve"> HYPERLINK "http://istmat.info/node/62297" \l "_rtfnr_8" </w:instrText>
      </w:r>
      <w:r w:rsidRPr="00070ADE">
        <w:rPr>
          <w:color w:val="000000" w:themeColor="text1"/>
          <w:sz w:val="16"/>
          <w:szCs w:val="16"/>
          <w:vertAlign w:val="superscript"/>
        </w:rPr>
      </w:r>
      <w:r w:rsidRPr="00070ADE">
        <w:rPr>
          <w:color w:val="000000" w:themeColor="text1"/>
          <w:sz w:val="16"/>
          <w:szCs w:val="16"/>
          <w:vertAlign w:val="superscript"/>
        </w:rPr>
        <w:fldChar w:fldCharType="separate"/>
      </w:r>
      <w:r w:rsidRPr="00070ADE">
        <w:rPr>
          <w:rStyle w:val="a5"/>
          <w:rFonts w:eastAsiaTheme="majorEastAsia"/>
          <w:color w:val="000000" w:themeColor="text1"/>
          <w:sz w:val="16"/>
          <w:szCs w:val="16"/>
          <w:u w:val="none"/>
          <w:vertAlign w:val="superscript"/>
        </w:rPr>
        <w:t>********</w:t>
      </w:r>
      <w:r w:rsidRPr="00070ADE">
        <w:rPr>
          <w:color w:val="000000" w:themeColor="text1"/>
          <w:sz w:val="16"/>
          <w:szCs w:val="16"/>
          <w:vertAlign w:val="superscript"/>
        </w:rPr>
        <w:fldChar w:fldCharType="end"/>
      </w:r>
      <w:bookmarkEnd w:id="38"/>
      <w:r w:rsidRPr="00070ADE">
        <w:rPr>
          <w:color w:val="000000" w:themeColor="text1"/>
          <w:sz w:val="16"/>
          <w:szCs w:val="16"/>
        </w:rPr>
        <w:t xml:space="preserve"> В настоящем издании это с. 63.</w:t>
      </w:r>
    </w:p>
    <w:bookmarkStart w:id="39" w:name="_rtfnr_9.1"/>
    <w:p w14:paraId="13BD177D"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fldChar w:fldCharType="begin"/>
      </w:r>
      <w:r w:rsidRPr="00070ADE">
        <w:rPr>
          <w:color w:val="000000" w:themeColor="text1"/>
          <w:sz w:val="16"/>
          <w:szCs w:val="16"/>
        </w:rPr>
        <w:instrText xml:space="preserve"> HYPERLINK "http://istmat.info/node/62297" \l "_rtfnr_9" </w:instrText>
      </w:r>
      <w:r w:rsidRPr="00070ADE">
        <w:rPr>
          <w:color w:val="000000" w:themeColor="text1"/>
          <w:sz w:val="16"/>
          <w:szCs w:val="16"/>
        </w:rPr>
      </w:r>
      <w:r w:rsidRPr="00070ADE">
        <w:rPr>
          <w:color w:val="000000" w:themeColor="text1"/>
          <w:sz w:val="16"/>
          <w:szCs w:val="16"/>
        </w:rPr>
        <w:fldChar w:fldCharType="separate"/>
      </w:r>
      <w:r w:rsidRPr="00070ADE">
        <w:rPr>
          <w:rStyle w:val="a5"/>
          <w:rFonts w:eastAsiaTheme="majorEastAsia"/>
          <w:color w:val="000000" w:themeColor="text1"/>
          <w:sz w:val="16"/>
          <w:szCs w:val="16"/>
          <w:u w:val="none"/>
          <w:vertAlign w:val="superscript"/>
        </w:rPr>
        <w:t>*********</w:t>
      </w:r>
      <w:r w:rsidRPr="00070ADE">
        <w:rPr>
          <w:color w:val="000000" w:themeColor="text1"/>
          <w:sz w:val="16"/>
          <w:szCs w:val="16"/>
        </w:rPr>
        <w:fldChar w:fldCharType="end"/>
      </w:r>
      <w:bookmarkEnd w:id="39"/>
      <w:r w:rsidRPr="00070ADE">
        <w:rPr>
          <w:color w:val="000000" w:themeColor="text1"/>
          <w:sz w:val="16"/>
          <w:szCs w:val="16"/>
        </w:rPr>
        <w:t xml:space="preserve"> В левом нижнем углу последней страницы документа имеется сделанная чернилами помета: «один экземпляр уничтожен», заверенная подписью неуста</w:t>
      </w:r>
      <w:r w:rsidRPr="00070ADE">
        <w:rPr>
          <w:color w:val="000000" w:themeColor="text1"/>
          <w:sz w:val="16"/>
          <w:szCs w:val="16"/>
        </w:rPr>
        <w:softHyphen/>
        <w:t>новленного лица.</w:t>
      </w:r>
    </w:p>
    <w:bookmarkStart w:id="40" w:name="_rtfnr9.1"/>
    <w:p w14:paraId="583AC637"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fldChar w:fldCharType="begin"/>
      </w:r>
      <w:r w:rsidRPr="00070ADE">
        <w:rPr>
          <w:color w:val="000000" w:themeColor="text1"/>
          <w:sz w:val="16"/>
          <w:szCs w:val="16"/>
        </w:rPr>
        <w:instrText xml:space="preserve"> HYPERLINK "http://istmat.info/node/62297" \l "_rtfnr9" </w:instrText>
      </w:r>
      <w:r w:rsidRPr="00070ADE">
        <w:rPr>
          <w:color w:val="000000" w:themeColor="text1"/>
          <w:sz w:val="16"/>
          <w:szCs w:val="16"/>
        </w:rPr>
      </w:r>
      <w:r w:rsidRPr="00070ADE">
        <w:rPr>
          <w:color w:val="000000" w:themeColor="text1"/>
          <w:sz w:val="16"/>
          <w:szCs w:val="16"/>
        </w:rPr>
        <w:fldChar w:fldCharType="separate"/>
      </w:r>
      <w:r w:rsidRPr="00070ADE">
        <w:rPr>
          <w:rStyle w:val="a5"/>
          <w:rFonts w:eastAsiaTheme="majorEastAsia"/>
          <w:color w:val="000000" w:themeColor="text1"/>
          <w:sz w:val="16"/>
          <w:szCs w:val="16"/>
          <w:u w:val="none"/>
          <w:vertAlign w:val="superscript"/>
        </w:rPr>
        <w:t>9</w:t>
      </w:r>
      <w:r w:rsidRPr="00070ADE">
        <w:rPr>
          <w:color w:val="000000" w:themeColor="text1"/>
          <w:sz w:val="16"/>
          <w:szCs w:val="16"/>
        </w:rPr>
        <w:fldChar w:fldCharType="end"/>
      </w:r>
      <w:bookmarkEnd w:id="40"/>
      <w:r w:rsidRPr="00070ADE">
        <w:rPr>
          <w:color w:val="000000" w:themeColor="text1"/>
          <w:sz w:val="16"/>
          <w:szCs w:val="16"/>
        </w:rPr>
        <w:t xml:space="preserve"> Приложение 3</w:t>
      </w:r>
    </w:p>
    <w:p w14:paraId="61D30179" w14:textId="77777777" w:rsidR="00582E01" w:rsidRPr="00070ADE" w:rsidRDefault="00582E01" w:rsidP="00B56F90">
      <w:pPr>
        <w:pStyle w:val="rtejustify"/>
        <w:spacing w:before="0" w:after="0"/>
        <w:rPr>
          <w:color w:val="000000" w:themeColor="text1"/>
          <w:sz w:val="16"/>
          <w:szCs w:val="16"/>
        </w:rPr>
      </w:pPr>
      <w:r w:rsidRPr="00070ADE">
        <w:rPr>
          <w:color w:val="000000" w:themeColor="text1"/>
          <w:sz w:val="16"/>
          <w:szCs w:val="16"/>
        </w:rPr>
        <w:t>Первоочередные задачи в связи с проведением денежной реформы</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8864"/>
        <w:gridCol w:w="2458"/>
      </w:tblGrid>
      <w:tr w:rsidR="00582E01" w:rsidRPr="00070ADE" w14:paraId="00A43D05"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76EC6275" w14:textId="77777777" w:rsidR="00582E01" w:rsidRPr="00070ADE" w:rsidRDefault="00582E0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Содержание задания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A2B19" w14:textId="77777777" w:rsidR="00582E01" w:rsidRPr="00070ADE" w:rsidRDefault="00582E0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Кому поручается</w:t>
            </w:r>
          </w:p>
        </w:tc>
      </w:tr>
      <w:tr w:rsidR="00582E01" w:rsidRPr="00070ADE" w14:paraId="710737D1"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37C5A19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 Перспективы увеличения объема розничного товарооборота государственно-кооперативной торговли после окончания войны за счет: а) увеличения производства товаров широкого потребления госпредприятиями и кооперацией,</w:t>
            </w:r>
          </w:p>
          <w:p w14:paraId="33D5D1B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б) увеличения сельскохозяйственных заготовок,</w:t>
            </w:r>
          </w:p>
          <w:p w14:paraId="2CDC0C77"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в) сокращения внерыночного потребления,</w:t>
            </w:r>
          </w:p>
          <w:p w14:paraId="10D6EBAE"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г) ускорения продвижения товаров от производства к потребителям.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C1967"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Управление госдоходов и отдел финансирования торговли и заготовок</w:t>
            </w:r>
          </w:p>
        </w:tc>
      </w:tr>
      <w:tr w:rsidR="00582E01" w:rsidRPr="00070ADE" w14:paraId="64E46E10"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3CF53DFE"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2. Перспективы развертывания коммерческой торговли и перехода к открытой торговле всеми товарами и продуктами, приобретаемыми населением, по единым розничным ценам:</w:t>
            </w:r>
          </w:p>
          <w:p w14:paraId="275816DC"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а) номенклатура товаров коммерческой торговли, ее расширение;</w:t>
            </w:r>
          </w:p>
          <w:p w14:paraId="7971CAB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б) размеры товарных фондов, выделяемых для коммерческой торговли;</w:t>
            </w:r>
          </w:p>
          <w:p w14:paraId="1D7BA62E"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в) цены коммерческой торговли и их изменение;</w:t>
            </w:r>
          </w:p>
          <w:p w14:paraId="2BA2ED62"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г) доходы госбюджета от продажи товаров по коммерческим ценам.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984B2"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Управление госдоходов</w:t>
            </w:r>
          </w:p>
        </w:tc>
      </w:tr>
      <w:tr w:rsidR="00582E01" w:rsidRPr="00070ADE" w14:paraId="2F2F6676"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2A5F4E01"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3. Перспективы сокращения расходов и увеличения доходов госбюджета после окончания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04F50"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Бюджетное управление</w:t>
            </w:r>
          </w:p>
        </w:tc>
      </w:tr>
      <w:tr w:rsidR="00582E01" w:rsidRPr="00070ADE" w14:paraId="4B3C3534"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487A91C3"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4. Возможности усиления дифференциации налоговых платежей населения и более эффективного использования налогов для изъятия части денежных накоплений рыночных продавцов и для расширения объема колхозной торговли. Необходимые изменения в налоговой системе после окончания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6B7F7"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Управление налогов и сборов</w:t>
            </w:r>
          </w:p>
        </w:tc>
      </w:tr>
      <w:tr w:rsidR="00582E01" w:rsidRPr="00070ADE" w14:paraId="372F26BF"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5FD1E7C0"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5. Перспективный баланс денежных доходов и расходов населения и кассовый план Госбанка после окончания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4A51E"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Отдел финансово-экономический статистики</w:t>
            </w:r>
          </w:p>
        </w:tc>
      </w:tr>
      <w:tr w:rsidR="00582E01" w:rsidRPr="00070ADE" w14:paraId="7A460599"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26EE45BB"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6. Порядок и условия проведения конверсии выпущенных государственных займов.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5D055"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ГУТСК и ГК</w:t>
            </w:r>
          </w:p>
        </w:tc>
      </w:tr>
      <w:tr w:rsidR="00582E01" w:rsidRPr="00070ADE" w14:paraId="5FB143A5"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6B51ABAD"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7. Основы определения паритета советской валюты и курсов иностранных валют.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3F7AC"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Валютное управление</w:t>
            </w:r>
          </w:p>
        </w:tc>
      </w:tr>
      <w:tr w:rsidR="00582E01" w:rsidRPr="00070ADE" w14:paraId="5B32DC25"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2E7CF9B1"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8. Перспективы импорта товаров широкого потребления после окончания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B83D299"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Валютное управление</w:t>
            </w:r>
          </w:p>
        </w:tc>
      </w:tr>
      <w:tr w:rsidR="00582E01" w:rsidRPr="00070ADE" w14:paraId="46DA328B"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493469DB"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9. Задачи, пут и методы укрепления хозрасчета и системы форм и методов стимулирования себестоимости, выполнения плана, правильного и экономного использования основных фондов, оборотных средств, ассигнований на административно-хозяйственные расходы, сокращения накладных расходов и всякого рода потерь.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DDE68"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Отраслевые отделы финансирования</w:t>
            </w:r>
          </w:p>
        </w:tc>
      </w:tr>
      <w:tr w:rsidR="00582E01" w:rsidRPr="00070ADE" w14:paraId="46B837DD"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3BD1D497"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t>10. Необходимые изменения в организации расчетов, банковском кредитовании и организации оборотных средств.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57361" w14:textId="77777777" w:rsidR="00582E01" w:rsidRPr="00070ADE" w:rsidRDefault="00582E01" w:rsidP="00B56F90">
            <w:pPr>
              <w:pStyle w:val="rtecenter"/>
              <w:spacing w:before="0" w:beforeAutospacing="0" w:after="0" w:afterAutospacing="0"/>
              <w:jc w:val="both"/>
              <w:rPr>
                <w:color w:val="000000" w:themeColor="text1"/>
                <w:sz w:val="16"/>
                <w:szCs w:val="16"/>
              </w:rPr>
            </w:pPr>
            <w:r w:rsidRPr="00070ADE">
              <w:rPr>
                <w:color w:val="000000" w:themeColor="text1"/>
                <w:sz w:val="16"/>
                <w:szCs w:val="16"/>
              </w:rPr>
              <w:t>Группа денежного обращения</w:t>
            </w:r>
          </w:p>
        </w:tc>
      </w:tr>
      <w:tr w:rsidR="00582E01" w:rsidRPr="00070ADE" w14:paraId="0441BD32"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2443FB38" w14:textId="77777777" w:rsidR="00582E01" w:rsidRPr="00070ADE" w:rsidRDefault="00582E0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Задачи и пути усовершенствования действующей системы тарифов: транспортных, жилищно-коммунальных и др.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95654" w14:textId="77777777" w:rsidR="00582E01" w:rsidRPr="00070ADE" w:rsidRDefault="00582E0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Группа денежного обращения</w:t>
            </w:r>
          </w:p>
        </w:tc>
      </w:tr>
      <w:tr w:rsidR="00582E01" w:rsidRPr="00070ADE" w14:paraId="41B3C387" w14:textId="77777777" w:rsidTr="004C5D62">
        <w:tc>
          <w:tcPr>
            <w:tcW w:w="0" w:type="auto"/>
            <w:tcBorders>
              <w:top w:val="outset" w:sz="6" w:space="0" w:color="auto"/>
              <w:left w:val="outset" w:sz="6" w:space="0" w:color="auto"/>
              <w:bottom w:val="outset" w:sz="6" w:space="0" w:color="auto"/>
              <w:right w:val="outset" w:sz="6" w:space="0" w:color="auto"/>
            </w:tcBorders>
            <w:vAlign w:val="center"/>
            <w:hideMark/>
          </w:tcPr>
          <w:p w14:paraId="6903D11F" w14:textId="77777777" w:rsidR="00582E01" w:rsidRPr="00070ADE" w:rsidRDefault="00582E0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Задачи и пути усовершенствования действующей системы цен.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A87AC" w14:textId="77777777" w:rsidR="00582E01" w:rsidRPr="00070ADE" w:rsidRDefault="00582E0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Группа денежного обращения</w:t>
            </w:r>
          </w:p>
        </w:tc>
      </w:tr>
    </w:tbl>
    <w:bookmarkStart w:id="41" w:name="_rtfnr1.1"/>
    <w:p w14:paraId="2860D70E" w14:textId="77777777" w:rsidR="00582E01" w:rsidRPr="00070ADE" w:rsidRDefault="00582E01" w:rsidP="00B56F90">
      <w:pPr>
        <w:pStyle w:val="ae"/>
        <w:spacing w:before="0" w:after="0"/>
        <w:jc w:val="both"/>
        <w:rPr>
          <w:color w:val="000000" w:themeColor="text1"/>
          <w:sz w:val="16"/>
          <w:szCs w:val="16"/>
        </w:rPr>
      </w:pPr>
      <w:r w:rsidRPr="00070ADE">
        <w:rPr>
          <w:color w:val="000000" w:themeColor="text1"/>
          <w:sz w:val="16"/>
          <w:szCs w:val="16"/>
        </w:rPr>
        <w:fldChar w:fldCharType="begin"/>
      </w:r>
      <w:r w:rsidRPr="00070ADE">
        <w:rPr>
          <w:color w:val="000000" w:themeColor="text1"/>
          <w:sz w:val="16"/>
          <w:szCs w:val="16"/>
        </w:rPr>
        <w:instrText xml:space="preserve"> HYPERLINK "http://istmat.info/node/62297" \l "_rtfnr1" </w:instrText>
      </w:r>
      <w:r w:rsidRPr="00070ADE">
        <w:rPr>
          <w:color w:val="000000" w:themeColor="text1"/>
          <w:sz w:val="16"/>
          <w:szCs w:val="16"/>
        </w:rPr>
      </w:r>
      <w:r w:rsidRPr="00070ADE">
        <w:rPr>
          <w:color w:val="000000" w:themeColor="text1"/>
          <w:sz w:val="16"/>
          <w:szCs w:val="16"/>
        </w:rPr>
        <w:fldChar w:fldCharType="separate"/>
      </w:r>
      <w:r w:rsidRPr="00070ADE">
        <w:rPr>
          <w:rStyle w:val="a5"/>
          <w:rFonts w:eastAsiaTheme="majorEastAsia"/>
          <w:color w:val="000000" w:themeColor="text1"/>
          <w:sz w:val="16"/>
          <w:szCs w:val="16"/>
          <w:u w:val="none"/>
          <w:vertAlign w:val="superscript"/>
        </w:rPr>
        <w:t>10</w:t>
      </w:r>
      <w:r w:rsidRPr="00070ADE">
        <w:rPr>
          <w:color w:val="000000" w:themeColor="text1"/>
          <w:sz w:val="16"/>
          <w:szCs w:val="16"/>
        </w:rPr>
        <w:fldChar w:fldCharType="end"/>
      </w:r>
      <w:bookmarkEnd w:id="41"/>
      <w:r w:rsidRPr="00070ADE">
        <w:rPr>
          <w:color w:val="000000" w:themeColor="text1"/>
          <w:sz w:val="16"/>
          <w:szCs w:val="16"/>
        </w:rPr>
        <w:t xml:space="preserve"> Коммерческая торговля началась в Москве в виде эксперимента ранее срока, указанного в примеч. 7. Об этом и говорит автор записки, ставя вопрос о распространении этого вида торговли на другие города и районы (19662).</w:t>
      </w:r>
    </w:p>
    <w:p w14:paraId="2626F2BA" w14:textId="77777777" w:rsidR="00582E01" w:rsidRPr="00070ADE" w:rsidRDefault="00582E01" w:rsidP="00B56F90">
      <w:pPr>
        <w:spacing w:after="0" w:line="240" w:lineRule="auto"/>
        <w:jc w:val="both"/>
        <w:rPr>
          <w:rFonts w:ascii="Times New Roman" w:hAnsi="Times New Roman"/>
          <w:color w:val="000000" w:themeColor="text1"/>
          <w:sz w:val="16"/>
          <w:szCs w:val="16"/>
        </w:rPr>
      </w:pPr>
    </w:p>
    <w:p w14:paraId="42165F5D" w14:textId="518C521F"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F553C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0AE316"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14 марта</w:t>
      </w:r>
      <w:r w:rsidRPr="00070ADE">
        <w:rPr>
          <w:rFonts w:ascii="Times New Roman" w:hAnsi="Times New Roman"/>
          <w:color w:val="000000" w:themeColor="text1"/>
          <w:sz w:val="16"/>
          <w:szCs w:val="16"/>
        </w:rPr>
        <w:t xml:space="preserve"> в 1944 году начало стендовых испытаний двигателя Х19В фирмы «Вестингауз». В серию двигатель пошел под названием J30. Для проведения летных испытаний этого двигателя был специально переоборудован самолет «Мартин JM-1» «Мародер» (15068).</w:t>
      </w:r>
    </w:p>
    <w:p w14:paraId="20B68FA5" w14:textId="77777777" w:rsidR="007A1E0D" w:rsidRPr="00070ADE" w:rsidRDefault="007A1E0D" w:rsidP="00B56F90">
      <w:pPr>
        <w:spacing w:after="0" w:line="240" w:lineRule="auto"/>
        <w:jc w:val="both"/>
        <w:rPr>
          <w:rFonts w:ascii="Times New Roman" w:hAnsi="Times New Roman"/>
          <w:color w:val="000000" w:themeColor="text1"/>
          <w:sz w:val="16"/>
          <w:szCs w:val="16"/>
        </w:rPr>
      </w:pPr>
    </w:p>
    <w:p w14:paraId="16B17FD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глава СС Г. Гиммлер отдал приказ арестовать изобретателя ракеты ФАУ-2 Вернера фон Брауна (4962).</w:t>
      </w:r>
    </w:p>
    <w:p w14:paraId="3281245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375C36"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марта 1944 г. гестапо арестовало Брауна, а вместе с ним Риделя и Греттрупа. Не успели они понять что к чему, как оказались в тюрьме города Штеттин. Им грозило обвинение в государственной изизмене с соответствующими последствиями.</w:t>
      </w:r>
    </w:p>
    <w:p w14:paraId="59D93B23" w14:textId="652351B1"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Дорнбергер тут же поехал в Берлин, пробился на прием к шефу гестапо Генриху Мюллеру и</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сумел убедить его, что успешная «доводка» А4 без руководства Брауна, без участия Риделя и Греттрупа затянется надолго или вообще станет невозможной. А</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заодно поклялся, что доверяет Брауну как самому себе. Мюллер сообщил обо всем Гиммлеру и тот нехотя разрешил освободить арестованных. Узнав об этом инциденте, Альберт Шпеер всё рассказал Гитлеру, и тот приказал Гиммлеру не трогать Брауна по крайней мере до конца войны (23372).</w:t>
      </w:r>
    </w:p>
    <w:p w14:paraId="7DBE9E67" w14:textId="77777777" w:rsidR="00106719" w:rsidRPr="00070ADE" w:rsidRDefault="00106719" w:rsidP="00B56F90">
      <w:pPr>
        <w:spacing w:after="0" w:line="240" w:lineRule="auto"/>
        <w:jc w:val="both"/>
        <w:rPr>
          <w:rFonts w:ascii="Times New Roman" w:hAnsi="Times New Roman"/>
          <w:color w:val="000000" w:themeColor="text1"/>
          <w:sz w:val="16"/>
          <w:szCs w:val="16"/>
        </w:rPr>
      </w:pPr>
    </w:p>
    <w:p w14:paraId="1F5C901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D0FFA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0F92AA" w14:textId="77777777" w:rsidR="00282955" w:rsidRPr="00070ADE" w:rsidRDefault="0028295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lastRenderedPageBreak/>
        <w:t>Между 15 и 20 марта 1944 у заместителя на</w:t>
      </w:r>
      <w:r w:rsidRPr="00070ADE">
        <w:rPr>
          <w:rFonts w:ascii="Times New Roman" w:cs="Times New Roman"/>
          <w:color w:val="000000" w:themeColor="text1"/>
          <w:spacing w:val="0"/>
        </w:rPr>
        <w:softHyphen/>
        <w:t>ркома авиапромышленности А.И. Кузнецова прошло совещание по вопросу о перераспре</w:t>
      </w:r>
      <w:r w:rsidRPr="00070ADE">
        <w:rPr>
          <w:rFonts w:ascii="Times New Roman" w:cs="Times New Roman"/>
          <w:color w:val="000000" w:themeColor="text1"/>
          <w:spacing w:val="0"/>
        </w:rPr>
        <w:softHyphen/>
        <w:t>делении брони на Ил-2. По его результатам генерал Лапин 28 марта 1944 г. получил черте</w:t>
      </w:r>
      <w:r w:rsidRPr="00070ADE">
        <w:rPr>
          <w:rFonts w:ascii="Times New Roman" w:cs="Times New Roman"/>
          <w:color w:val="000000" w:themeColor="text1"/>
          <w:spacing w:val="0"/>
        </w:rPr>
        <w:softHyphen/>
        <w:t>жи нового бронекорпуса. 1 апреля начальник НИИ ВВС КА генерал-лейтенант П.А. Лосюков доложил Лапину результаты анализа специа</w:t>
      </w:r>
      <w:r w:rsidRPr="00070ADE">
        <w:rPr>
          <w:rFonts w:ascii="Times New Roman" w:cs="Times New Roman"/>
          <w:color w:val="000000" w:themeColor="text1"/>
          <w:spacing w:val="0"/>
        </w:rPr>
        <w:softHyphen/>
        <w:t>листами 8-го отдела института предложенного варианта перераспределения и усиления бро</w:t>
      </w:r>
      <w:r w:rsidRPr="00070ADE">
        <w:rPr>
          <w:rFonts w:ascii="Times New Roman" w:cs="Times New Roman"/>
          <w:color w:val="000000" w:themeColor="text1"/>
          <w:spacing w:val="0"/>
        </w:rPr>
        <w:softHyphen/>
        <w:t>нирования самолета Ил-2.</w:t>
      </w:r>
    </w:p>
    <w:p w14:paraId="557A4DDC" w14:textId="77777777" w:rsidR="00282955" w:rsidRPr="00070ADE" w:rsidRDefault="0028295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По сравнению с серийными самолетами в схему бронирования были внесены следующие изменения: верхняя броня капота толщиной 4 мм заменялась дюралевыми листами той же толщины; вертикальная 7-мм броневая плита под капотом за приборной доской снималась; две полукруглые 6-мм броневые плиты за втул</w:t>
      </w:r>
      <w:r w:rsidRPr="00070ADE">
        <w:rPr>
          <w:rFonts w:ascii="Times New Roman" w:cs="Times New Roman"/>
          <w:color w:val="000000" w:themeColor="text1"/>
          <w:spacing w:val="0"/>
        </w:rPr>
        <w:softHyphen/>
        <w:t>кой винта заменялись дюралевыми плитами той же толщины, а две нижние боковые бронеплиты капота толщиной 4 мм заменялись 8-мм броневыми плитами. В поясе кабины лет</w:t>
      </w:r>
      <w:r w:rsidRPr="00070ADE">
        <w:rPr>
          <w:rFonts w:ascii="Times New Roman" w:cs="Times New Roman"/>
          <w:color w:val="000000" w:themeColor="text1"/>
          <w:spacing w:val="0"/>
        </w:rPr>
        <w:softHyphen/>
        <w:t>чика две боковые броневые плиты толщиной 4 мм, расположенные в местах примыкания к фюзеляжу крыльев, заменялись 4-мм броней. Передняя и задняя броневые заслонки ради</w:t>
      </w:r>
      <w:r w:rsidRPr="00070ADE">
        <w:rPr>
          <w:rFonts w:ascii="Times New Roman" w:cs="Times New Roman"/>
          <w:color w:val="000000" w:themeColor="text1"/>
          <w:spacing w:val="0"/>
        </w:rPr>
        <w:softHyphen/>
        <w:t>атора толщиной 5 мм заменялись броневыми плитами толщиной 12 мм. Задняя 12-мм пе</w:t>
      </w:r>
      <w:r w:rsidRPr="00070ADE">
        <w:rPr>
          <w:rFonts w:ascii="Times New Roman" w:cs="Times New Roman"/>
          <w:color w:val="000000" w:themeColor="text1"/>
          <w:spacing w:val="0"/>
        </w:rPr>
        <w:softHyphen/>
        <w:t>регородка за кабиной летчика была оставлена только в верхней части, ниже ее сменила 6-мм бронеплита. В кабине стрелка три 6-мм плиты, защищающие стрелка сзади, снимались. Вме</w:t>
      </w:r>
      <w:r w:rsidRPr="00070ADE">
        <w:rPr>
          <w:rFonts w:ascii="Times New Roman" w:cs="Times New Roman"/>
          <w:color w:val="000000" w:themeColor="text1"/>
          <w:spacing w:val="0"/>
        </w:rPr>
        <w:softHyphen/>
        <w:t>сто этого кабина стрелка полностью сзади (по поперечном^-сечению фюзеляжа), с боков (по бортам) и снизу выполнялась из 6-мм брони.</w:t>
      </w:r>
    </w:p>
    <w:p w14:paraId="5009E369" w14:textId="77777777" w:rsidR="00282955" w:rsidRPr="00070ADE" w:rsidRDefault="0028295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Таким образом, за счет уменьшения тол</w:t>
      </w:r>
      <w:r w:rsidRPr="00070ADE">
        <w:rPr>
          <w:rFonts w:ascii="Times New Roman" w:cs="Times New Roman"/>
          <w:color w:val="000000" w:themeColor="text1"/>
          <w:spacing w:val="0"/>
        </w:rPr>
        <w:softHyphen/>
        <w:t>щины или снятия отдельных бронедеталей в мало поражаемых местах было усилено бро</w:t>
      </w:r>
      <w:r w:rsidRPr="00070ADE">
        <w:rPr>
          <w:rFonts w:ascii="Times New Roman" w:cs="Times New Roman"/>
          <w:color w:val="000000" w:themeColor="text1"/>
          <w:spacing w:val="0"/>
        </w:rPr>
        <w:softHyphen/>
        <w:t>нирование наиболее поражаемых участков бронекорпуса. Воздушный стрелок «в</w:t>
      </w:r>
      <w:r w:rsidRPr="00070ADE">
        <w:rPr>
          <w:rStyle w:val="aff7"/>
          <w:rFonts w:ascii="Times New Roman" w:hAnsi="Times New Roman" w:cs="Times New Roman"/>
          <w:i w:val="0"/>
          <w:color w:val="000000" w:themeColor="text1"/>
          <w:spacing w:val="0"/>
        </w:rPr>
        <w:t xml:space="preserve"> предъ</w:t>
      </w:r>
      <w:r w:rsidRPr="00070ADE">
        <w:rPr>
          <w:rStyle w:val="aff7"/>
          <w:rFonts w:ascii="Times New Roman" w:hAnsi="Times New Roman" w:cs="Times New Roman"/>
          <w:i w:val="0"/>
          <w:color w:val="000000" w:themeColor="text1"/>
          <w:spacing w:val="0"/>
        </w:rPr>
        <w:softHyphen/>
        <w:t>явленном варианте защищен вполне удовлет</w:t>
      </w:r>
      <w:r w:rsidRPr="00070ADE">
        <w:rPr>
          <w:rStyle w:val="aff7"/>
          <w:rFonts w:ascii="Times New Roman" w:hAnsi="Times New Roman" w:cs="Times New Roman"/>
          <w:i w:val="0"/>
          <w:color w:val="000000" w:themeColor="text1"/>
          <w:spacing w:val="0"/>
        </w:rPr>
        <w:softHyphen/>
        <w:t>ворительно, за исключением заднего сектора: поперечная броня толщиной 6 мм - недоста</w:t>
      </w:r>
      <w:r w:rsidRPr="00070ADE">
        <w:rPr>
          <w:rStyle w:val="aff7"/>
          <w:rFonts w:ascii="Times New Roman" w:hAnsi="Times New Roman" w:cs="Times New Roman"/>
          <w:i w:val="0"/>
          <w:color w:val="000000" w:themeColor="text1"/>
          <w:spacing w:val="0"/>
        </w:rPr>
        <w:softHyphen/>
        <w:t>точна».</w:t>
      </w:r>
      <w:r w:rsidRPr="00070ADE">
        <w:rPr>
          <w:rFonts w:ascii="Times New Roman" w:cs="Times New Roman"/>
          <w:color w:val="000000" w:themeColor="text1"/>
          <w:spacing w:val="0"/>
        </w:rPr>
        <w:t xml:space="preserve"> Делался вывод, что новый вариант бронирования Ил-2 обладал значительными преимуществами, повышающими общую жи</w:t>
      </w:r>
      <w:r w:rsidRPr="00070ADE">
        <w:rPr>
          <w:rFonts w:ascii="Times New Roman" w:cs="Times New Roman"/>
          <w:color w:val="000000" w:themeColor="text1"/>
          <w:spacing w:val="0"/>
        </w:rPr>
        <w:softHyphen/>
        <w:t>вучесть самолета. Поскольку броня распреде</w:t>
      </w:r>
      <w:r w:rsidRPr="00070ADE">
        <w:rPr>
          <w:rFonts w:ascii="Times New Roman" w:cs="Times New Roman"/>
          <w:color w:val="000000" w:themeColor="text1"/>
          <w:spacing w:val="0"/>
        </w:rPr>
        <w:softHyphen/>
        <w:t>лялась по корпусу более рационально и была значительно усилена защита заднего стрелка, то рекомендовалось внедрить данную схему бронирования в серийном производстве вме</w:t>
      </w:r>
      <w:r w:rsidRPr="00070ADE">
        <w:rPr>
          <w:rFonts w:ascii="Times New Roman" w:cs="Times New Roman"/>
          <w:color w:val="000000" w:themeColor="text1"/>
          <w:spacing w:val="0"/>
        </w:rPr>
        <w:softHyphen/>
        <w:t>сто существующей.</w:t>
      </w:r>
    </w:p>
    <w:p w14:paraId="266621F7" w14:textId="77777777" w:rsidR="00282955" w:rsidRPr="00070ADE" w:rsidRDefault="0028295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Ознакомившись с докладом, генерал-лей- тенант А.А. Лапин дал указание начальнику 1-го отдела ГУ ИАС ВВС КА генерал-майору А.И. Гребеневу</w:t>
      </w:r>
      <w:r w:rsidRPr="00070ADE">
        <w:rPr>
          <w:rStyle w:val="aff7"/>
          <w:rFonts w:ascii="Times New Roman" w:hAnsi="Times New Roman" w:cs="Times New Roman"/>
          <w:i w:val="0"/>
          <w:color w:val="000000" w:themeColor="text1"/>
          <w:spacing w:val="0"/>
        </w:rPr>
        <w:t xml:space="preserve"> «заготовить ответ т. Кузнецову и т. Ильюшину с просьбой о срочном изготов</w:t>
      </w:r>
      <w:r w:rsidRPr="00070ADE">
        <w:rPr>
          <w:rStyle w:val="aff7"/>
          <w:rFonts w:ascii="Times New Roman" w:hAnsi="Times New Roman" w:cs="Times New Roman"/>
          <w:i w:val="0"/>
          <w:color w:val="000000" w:themeColor="text1"/>
          <w:spacing w:val="0"/>
        </w:rPr>
        <w:softHyphen/>
        <w:t>лении 2-3 с-тов».</w:t>
      </w:r>
      <w:r w:rsidRPr="00070ADE">
        <w:rPr>
          <w:rFonts w:ascii="Times New Roman" w:cs="Times New Roman"/>
          <w:color w:val="000000" w:themeColor="text1"/>
          <w:spacing w:val="0"/>
        </w:rPr>
        <w:t xml:space="preserve"> 5 апреля такое письмо ушло в адрес замнаркома авиапромышленности Кузнецова и главного конструктора самолета Ил-2 Ильюшина. Считалось целесообразным вопрос о внедрении улучшенной схемы бро</w:t>
      </w:r>
      <w:r w:rsidRPr="00070ADE">
        <w:rPr>
          <w:rFonts w:ascii="Times New Roman" w:cs="Times New Roman"/>
          <w:color w:val="000000" w:themeColor="text1"/>
          <w:spacing w:val="0"/>
        </w:rPr>
        <w:softHyphen/>
        <w:t>нирования в серию решить после проведения испытаний самолета с новым бронекорпусом. Для этого Лапин просил дать указание «о</w:t>
      </w:r>
      <w:r w:rsidRPr="00070ADE">
        <w:rPr>
          <w:rStyle w:val="aff7"/>
          <w:rFonts w:ascii="Times New Roman" w:hAnsi="Times New Roman" w:cs="Times New Roman"/>
          <w:i w:val="0"/>
          <w:color w:val="000000" w:themeColor="text1"/>
          <w:spacing w:val="0"/>
        </w:rPr>
        <w:t xml:space="preserve"> сроч</w:t>
      </w:r>
      <w:r w:rsidRPr="00070ADE">
        <w:rPr>
          <w:rStyle w:val="aff7"/>
          <w:rFonts w:ascii="Times New Roman" w:hAnsi="Times New Roman" w:cs="Times New Roman"/>
          <w:i w:val="0"/>
          <w:color w:val="000000" w:themeColor="text1"/>
          <w:spacing w:val="0"/>
        </w:rPr>
        <w:softHyphen/>
        <w:t>ном изготовлении 2-3 самолетов Ил-2 с уси</w:t>
      </w:r>
      <w:r w:rsidRPr="00070ADE">
        <w:rPr>
          <w:rStyle w:val="aff7"/>
          <w:rFonts w:ascii="Times New Roman" w:hAnsi="Times New Roman" w:cs="Times New Roman"/>
          <w:i w:val="0"/>
          <w:color w:val="000000" w:themeColor="text1"/>
          <w:spacing w:val="0"/>
        </w:rPr>
        <w:softHyphen/>
        <w:t>ленной схемой бронирования и предъявить их в НИИ ВВС». (17478)</w:t>
      </w:r>
    </w:p>
    <w:p w14:paraId="3731CD02" w14:textId="77777777" w:rsidR="00282955" w:rsidRPr="00070ADE" w:rsidRDefault="00282955" w:rsidP="00B56F90">
      <w:pPr>
        <w:spacing w:after="0" w:line="240" w:lineRule="auto"/>
        <w:jc w:val="both"/>
        <w:rPr>
          <w:rStyle w:val="4c"/>
          <w:rFonts w:ascii="Times New Roman" w:hAnsi="Times New Roman" w:cs="Times New Roman"/>
          <w:i w:val="0"/>
          <w:color w:val="000000" w:themeColor="text1"/>
          <w:sz w:val="16"/>
          <w:szCs w:val="16"/>
        </w:rPr>
      </w:pPr>
    </w:p>
    <w:p w14:paraId="0C929C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был утвержден отчет ЛИИ по испытаниям самолета N 39210319 Ла-5-АШ82ФН (300,6).</w:t>
      </w:r>
    </w:p>
    <w:p w14:paraId="6F7C15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49DB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вышло постановление ГКО N 5404 по Ла-5 АШ-82ФН с 3 пушками в 20 мм (742,84).</w:t>
      </w:r>
    </w:p>
    <w:p w14:paraId="5A80382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ГКО своим постановлением N 5404сс от 15 марта 1944 принял к сведению сообщение НКАП, ГК С.А.Л. и нач. ЦАГИ Шишкина о том, что аэродинамически и конструктивно улучшенный самолет Ла-5, с серийным мотором АШ-82ФН, показал при испытаниях в ЛИИ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5FB13680" w14:textId="77777777">
        <w:tc>
          <w:tcPr>
            <w:tcW w:w="5636" w:type="dxa"/>
          </w:tcPr>
          <w:p w14:paraId="03F817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у земли</w:t>
            </w:r>
          </w:p>
        </w:tc>
        <w:tc>
          <w:tcPr>
            <w:tcW w:w="5636" w:type="dxa"/>
          </w:tcPr>
          <w:p w14:paraId="5FBC8E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630 км/час</w:t>
            </w:r>
          </w:p>
        </w:tc>
      </w:tr>
      <w:tr w:rsidR="004D4663" w:rsidRPr="00070ADE" w14:paraId="3B0558C3" w14:textId="77777777">
        <w:tc>
          <w:tcPr>
            <w:tcW w:w="5636" w:type="dxa"/>
          </w:tcPr>
          <w:p w14:paraId="2C84C8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6000 м</w:t>
            </w:r>
          </w:p>
        </w:tc>
        <w:tc>
          <w:tcPr>
            <w:tcW w:w="5636" w:type="dxa"/>
          </w:tcPr>
          <w:p w14:paraId="7D016E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685 км/час</w:t>
            </w:r>
          </w:p>
        </w:tc>
      </w:tr>
      <w:tr w:rsidR="004D4663" w:rsidRPr="00070ADE" w14:paraId="67486326" w14:textId="77777777">
        <w:tc>
          <w:tcPr>
            <w:tcW w:w="5636" w:type="dxa"/>
          </w:tcPr>
          <w:p w14:paraId="572B0F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 вес</w:t>
            </w:r>
          </w:p>
        </w:tc>
        <w:tc>
          <w:tcPr>
            <w:tcW w:w="5636" w:type="dxa"/>
          </w:tcPr>
          <w:p w14:paraId="29EC3F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3250</w:t>
            </w:r>
          </w:p>
        </w:tc>
      </w:tr>
    </w:tbl>
    <w:p w14:paraId="5F108C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Модификацию Ла-5 принять в дальнейшем именовав Ла-7 с М-82ФН (1628,223).</w:t>
      </w:r>
    </w:p>
    <w:p w14:paraId="18F4D4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7BC8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вышло Постановление ГКО № 5404 О производстве самолетов Ла-7. РГАНИР, Фонд ГКО, д. 219, лл. 5-6,7-8 (11012).</w:t>
      </w:r>
    </w:p>
    <w:p w14:paraId="3ECDFC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F50ED37" w14:textId="77777777" w:rsidR="000F027C" w:rsidRPr="00070ADE" w:rsidRDefault="000F027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вышло Постановление ГКО № 5404 О производстве самолетов Ла-7</w:t>
      </w:r>
    </w:p>
    <w:p w14:paraId="5EA95C20" w14:textId="77777777" w:rsidR="000F027C" w:rsidRPr="00070ADE" w:rsidRDefault="000F027C"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Государственный Комитет Обороны постановляет:</w:t>
      </w:r>
    </w:p>
    <w:p w14:paraId="22402F4A" w14:textId="77777777" w:rsidR="000F027C" w:rsidRPr="00070ADE" w:rsidRDefault="000F027C" w:rsidP="00B56F90">
      <w:pPr>
        <w:pStyle w:val="36"/>
        <w:shd w:val="clear" w:color="auto" w:fill="auto"/>
        <w:tabs>
          <w:tab w:val="left" w:pos="1364"/>
        </w:tabs>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 Принять к сведению сообщение Наркомавиапрома - т.Шахурина, главного конструктора т.Лавочкине и началь</w:t>
      </w:r>
      <w:r w:rsidRPr="00070ADE">
        <w:rPr>
          <w:rFonts w:ascii="Times New Roman" w:cs="Times New Roman"/>
          <w:color w:val="000000" w:themeColor="text1"/>
          <w:spacing w:val="0"/>
          <w:sz w:val="16"/>
          <w:szCs w:val="16"/>
        </w:rPr>
        <w:softHyphen/>
        <w:t>ника ЦАГИ - т.Шишкина о том, что аэродинамически и конструктивно улучшенный самолет Ла-5 серийным мото</w:t>
      </w:r>
      <w:r w:rsidRPr="00070ADE">
        <w:rPr>
          <w:rFonts w:ascii="Times New Roman" w:cs="Times New Roman"/>
          <w:color w:val="000000" w:themeColor="text1"/>
          <w:spacing w:val="0"/>
          <w:sz w:val="16"/>
          <w:szCs w:val="16"/>
        </w:rPr>
        <w:softHyphen/>
        <w:t>ром АШ-82ФН показал при испытаниях в ЛИИ НКАП следующие данные:</w:t>
      </w:r>
    </w:p>
    <w:p w14:paraId="1362E06F" w14:textId="77777777" w:rsidR="000F027C" w:rsidRPr="00070ADE" w:rsidRDefault="000F027C"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максимальная скорость у земли - 630 км./час</w:t>
      </w:r>
    </w:p>
    <w:p w14:paraId="5348BECA" w14:textId="77777777" w:rsidR="000F027C" w:rsidRPr="00070ADE" w:rsidRDefault="000F027C"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максимальная скорость на высоте 600 метров - 685</w:t>
      </w:r>
    </w:p>
    <w:p w14:paraId="28CC3BA1" w14:textId="77777777" w:rsidR="000F027C" w:rsidRPr="00070ADE" w:rsidRDefault="000F027C" w:rsidP="00B56F90">
      <w:pPr>
        <w:pStyle w:val="36"/>
        <w:shd w:val="clear" w:color="auto" w:fill="auto"/>
        <w:tabs>
          <w:tab w:val="left" w:pos="4372"/>
        </w:tabs>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полетный вес - 3250 кг.</w:t>
      </w:r>
    </w:p>
    <w:p w14:paraId="3E1846B6" w14:textId="77777777" w:rsidR="000F027C" w:rsidRPr="00070ADE" w:rsidRDefault="000F027C" w:rsidP="00B56F90">
      <w:pPr>
        <w:pStyle w:val="36"/>
        <w:shd w:val="clear" w:color="auto" w:fill="auto"/>
        <w:tabs>
          <w:tab w:val="left" w:pos="1358"/>
        </w:tabs>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 Модифицированный самолет Ла-5 конструкции т.Лавочкина в дальнейшем именовать Ла-7 с АШ-82ФН.</w:t>
      </w:r>
    </w:p>
    <w:p w14:paraId="445D88F0" w14:textId="77777777" w:rsidR="000F027C" w:rsidRPr="00070ADE" w:rsidRDefault="000F027C" w:rsidP="00B56F90">
      <w:pPr>
        <w:pStyle w:val="36"/>
        <w:shd w:val="clear" w:color="auto" w:fill="auto"/>
        <w:tabs>
          <w:tab w:val="left" w:pos="3868"/>
        </w:tabs>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 Обязать Наркомавиапром - т.Шахурина, главного конструкторе - т.Лавочкина, директоров заводов № 21 - т.Агадэанова и № 381 - т.Буравлева немедленно присту</w:t>
      </w:r>
      <w:r w:rsidRPr="00070ADE">
        <w:rPr>
          <w:rFonts w:ascii="Times New Roman" w:cs="Times New Roman"/>
          <w:color w:val="000000" w:themeColor="text1"/>
          <w:spacing w:val="0"/>
          <w:sz w:val="16"/>
          <w:szCs w:val="16"/>
        </w:rPr>
        <w:softHyphen/>
        <w:t xml:space="preserve">пить к производству самолетов Ла-7 с моторами </w:t>
      </w:r>
      <w:r w:rsidRPr="00070ADE">
        <w:rPr>
          <w:rFonts w:ascii="Times New Roman" w:cs="Times New Roman"/>
          <w:color w:val="000000" w:themeColor="text1"/>
          <w:spacing w:val="0"/>
          <w:sz w:val="16"/>
          <w:szCs w:val="16"/>
          <w:lang w:val="en-US"/>
        </w:rPr>
        <w:t>AUI</w:t>
      </w:r>
      <w:r w:rsidRPr="00070ADE">
        <w:rPr>
          <w:rFonts w:ascii="Times New Roman" w:cs="Times New Roman"/>
          <w:color w:val="000000" w:themeColor="text1"/>
          <w:spacing w:val="0"/>
          <w:sz w:val="16"/>
          <w:szCs w:val="16"/>
        </w:rPr>
        <w:t>-82Ф</w:t>
      </w:r>
      <w:r w:rsidRPr="00070ADE">
        <w:rPr>
          <w:rFonts w:ascii="Times New Roman" w:cs="Times New Roman"/>
          <w:color w:val="000000" w:themeColor="text1"/>
          <w:spacing w:val="0"/>
          <w:sz w:val="16"/>
          <w:szCs w:val="16"/>
          <w:lang w:val="en-US"/>
        </w:rPr>
        <w:t>H</w:t>
      </w:r>
      <w:r w:rsidRPr="00070ADE">
        <w:rPr>
          <w:rFonts w:ascii="Times New Roman" w:cs="Times New Roman"/>
          <w:color w:val="000000" w:themeColor="text1"/>
          <w:spacing w:val="0"/>
          <w:sz w:val="16"/>
          <w:szCs w:val="16"/>
        </w:rPr>
        <w:t xml:space="preserve"> с серийным вооружением - двумя пушками швак, калибра 20 мм.</w:t>
      </w:r>
    </w:p>
    <w:p w14:paraId="535B2A57" w14:textId="77777777" w:rsidR="000F027C" w:rsidRPr="00070ADE" w:rsidRDefault="000F027C"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 Установить следующий план выпуска самолетов</w:t>
      </w:r>
    </w:p>
    <w:p w14:paraId="6B742C8F" w14:textId="3C0225EC" w:rsidR="000F027C" w:rsidRPr="00070ADE" w:rsidRDefault="000F027C"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ab/>
        <w:t>в</w:t>
      </w:r>
      <w:r w:rsidR="00C63BA9">
        <w:rPr>
          <w:rFonts w:ascii="Times New Roman" w:cs="Times New Roman"/>
          <w:color w:val="000000" w:themeColor="text1"/>
          <w:spacing w:val="0"/>
          <w:sz w:val="16"/>
          <w:szCs w:val="16"/>
        </w:rPr>
        <w:t xml:space="preserve"> </w:t>
      </w:r>
      <w:r w:rsidRPr="00070ADE">
        <w:rPr>
          <w:rFonts w:ascii="Times New Roman" w:cs="Times New Roman"/>
          <w:color w:val="000000" w:themeColor="text1"/>
          <w:spacing w:val="0"/>
          <w:sz w:val="16"/>
          <w:szCs w:val="16"/>
        </w:rPr>
        <w:t>мае</w:t>
      </w:r>
      <w:r w:rsidRPr="00070ADE">
        <w:rPr>
          <w:rFonts w:ascii="Times New Roman" w:cs="Times New Roman"/>
          <w:color w:val="000000" w:themeColor="text1"/>
          <w:spacing w:val="0"/>
          <w:sz w:val="16"/>
          <w:szCs w:val="16"/>
        </w:rPr>
        <w:tab/>
        <w:t>июне</w:t>
      </w:r>
      <w:r w:rsidRPr="00070ADE">
        <w:rPr>
          <w:rFonts w:ascii="Times New Roman" w:cs="Times New Roman"/>
          <w:color w:val="000000" w:themeColor="text1"/>
          <w:spacing w:val="0"/>
          <w:sz w:val="16"/>
          <w:szCs w:val="16"/>
        </w:rPr>
        <w:tab/>
        <w:t xml:space="preserve"> июле</w:t>
      </w:r>
      <w:r w:rsidRPr="00070ADE">
        <w:rPr>
          <w:rFonts w:ascii="Times New Roman" w:cs="Times New Roman"/>
          <w:color w:val="000000" w:themeColor="text1"/>
          <w:spacing w:val="0"/>
          <w:sz w:val="16"/>
          <w:szCs w:val="16"/>
        </w:rPr>
        <w:tab/>
        <w:t>августе</w:t>
      </w:r>
    </w:p>
    <w:p w14:paraId="62DE6BCC" w14:textId="77777777" w:rsidR="000F027C" w:rsidRPr="00070ADE" w:rsidRDefault="000F027C"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На заводе № 21</w:t>
      </w:r>
      <w:r w:rsidRPr="00070ADE">
        <w:rPr>
          <w:rFonts w:ascii="Times New Roman" w:cs="Times New Roman"/>
          <w:color w:val="000000" w:themeColor="text1"/>
          <w:spacing w:val="0"/>
          <w:sz w:val="16"/>
          <w:szCs w:val="16"/>
        </w:rPr>
        <w:tab/>
      </w:r>
      <w:r w:rsidRPr="00070ADE">
        <w:rPr>
          <w:rStyle w:val="TrebuchetMS1pt"/>
          <w:rFonts w:ascii="Times New Roman" w:hAnsi="Times New Roman" w:cs="Times New Roman"/>
          <w:color w:val="000000" w:themeColor="text1"/>
          <w:spacing w:val="0"/>
          <w:sz w:val="16"/>
          <w:szCs w:val="16"/>
        </w:rPr>
        <w:t>20</w:t>
      </w:r>
      <w:r w:rsidRPr="00070ADE">
        <w:rPr>
          <w:rStyle w:val="TrebuchetMS1pt"/>
          <w:rFonts w:ascii="Times New Roman" w:hAnsi="Times New Roman" w:cs="Times New Roman"/>
          <w:color w:val="000000" w:themeColor="text1"/>
          <w:spacing w:val="0"/>
          <w:sz w:val="16"/>
          <w:szCs w:val="16"/>
        </w:rPr>
        <w:tab/>
        <w:t>50</w:t>
      </w:r>
      <w:r w:rsidRPr="00070ADE">
        <w:rPr>
          <w:rStyle w:val="TrebuchetMS1pt"/>
          <w:rFonts w:ascii="Times New Roman" w:hAnsi="Times New Roman" w:cs="Times New Roman"/>
          <w:color w:val="000000" w:themeColor="text1"/>
          <w:spacing w:val="0"/>
          <w:sz w:val="16"/>
          <w:szCs w:val="16"/>
        </w:rPr>
        <w:tab/>
        <w:t>150</w:t>
      </w:r>
      <w:r w:rsidRPr="00070ADE">
        <w:rPr>
          <w:rStyle w:val="TrebuchetMS1pt"/>
          <w:rFonts w:ascii="Times New Roman" w:hAnsi="Times New Roman" w:cs="Times New Roman"/>
          <w:color w:val="000000" w:themeColor="text1"/>
          <w:spacing w:val="0"/>
          <w:sz w:val="16"/>
          <w:szCs w:val="16"/>
        </w:rPr>
        <w:tab/>
        <w:t>250</w:t>
      </w:r>
    </w:p>
    <w:p w14:paraId="09DA6913" w14:textId="77777777" w:rsidR="000F027C" w:rsidRPr="00070ADE" w:rsidRDefault="000F027C" w:rsidP="00B56F90">
      <w:pPr>
        <w:pStyle w:val="36"/>
        <w:shd w:val="clear" w:color="auto" w:fill="auto"/>
        <w:tabs>
          <w:tab w:val="left" w:pos="3940"/>
        </w:tabs>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На заводе № 381</w:t>
      </w:r>
      <w:r w:rsidRPr="00070ADE">
        <w:rPr>
          <w:rFonts w:ascii="Times New Roman" w:cs="Times New Roman"/>
          <w:color w:val="000000" w:themeColor="text1"/>
          <w:spacing w:val="0"/>
          <w:sz w:val="16"/>
          <w:szCs w:val="16"/>
        </w:rPr>
        <w:tab/>
        <w:t>-</w:t>
      </w:r>
      <w:r w:rsidRPr="00070ADE">
        <w:rPr>
          <w:rFonts w:ascii="Times New Roman" w:cs="Times New Roman"/>
          <w:color w:val="000000" w:themeColor="text1"/>
          <w:spacing w:val="0"/>
          <w:sz w:val="16"/>
          <w:szCs w:val="16"/>
        </w:rPr>
        <w:tab/>
        <w:t>5</w:t>
      </w:r>
      <w:r w:rsidRPr="00070ADE">
        <w:rPr>
          <w:rFonts w:ascii="Times New Roman" w:cs="Times New Roman"/>
          <w:color w:val="000000" w:themeColor="text1"/>
          <w:spacing w:val="0"/>
          <w:sz w:val="16"/>
          <w:szCs w:val="16"/>
        </w:rPr>
        <w:tab/>
        <w:t>10</w:t>
      </w:r>
      <w:r w:rsidRPr="00070ADE">
        <w:rPr>
          <w:rFonts w:ascii="Times New Roman" w:cs="Times New Roman"/>
          <w:color w:val="000000" w:themeColor="text1"/>
          <w:spacing w:val="0"/>
          <w:sz w:val="16"/>
          <w:szCs w:val="16"/>
        </w:rPr>
        <w:tab/>
        <w:t>25</w:t>
      </w:r>
    </w:p>
    <w:p w14:paraId="1AFDA9F6" w14:textId="77777777" w:rsidR="000F027C" w:rsidRPr="00070ADE" w:rsidRDefault="000F027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Переход не выпуск самолетов Яа-7 осуществитб без снижения достигнутого за водами уровня выпуске самолетов по заводу № 21 - 17 самолетов в сутки и заводу № 381 - 3 самолетов в сутки.</w:t>
      </w:r>
    </w:p>
    <w:p w14:paraId="106E14B7" w14:textId="70CE2CB6" w:rsidR="000F027C" w:rsidRPr="00070ADE" w:rsidRDefault="000F027C" w:rsidP="00B56F90">
      <w:pPr>
        <w:tabs>
          <w:tab w:val="left" w:pos="907"/>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Обязать Наркомчермет</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т. Тевосяна:</w:t>
      </w:r>
    </w:p>
    <w:p w14:paraId="6A1D7BDB" w14:textId="0D812C4D" w:rsidR="000F027C" w:rsidRPr="00070ADE" w:rsidRDefault="000F027C" w:rsidP="00B56F90">
      <w:pPr>
        <w:tabs>
          <w:tab w:val="left" w:pos="90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освоить производство специальных труб для выхлопных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коллекторов из стали ЭЯ1-Т по спецификации НКАП, обеспечив поставку их Наркомавиапрому в количествах: в мае 750 мт., в июне 2500 мт., в июле 5000 мт. и в дальнейшем в количествах, обеспечивающих программу НКАП;</w:t>
      </w:r>
    </w:p>
    <w:p w14:paraId="0825766D" w14:textId="77777777" w:rsidR="000F027C" w:rsidRPr="00070ADE" w:rsidRDefault="000F027C" w:rsidP="00B56F90">
      <w:pPr>
        <w:tabs>
          <w:tab w:val="left" w:pos="88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выделить в марте-апреле с.г. в счет фондов НКАП, целевым назначением для завода № 21 - 600 штук кислородиых баллонов.</w:t>
      </w:r>
    </w:p>
    <w:p w14:paraId="203CDC5C" w14:textId="5851DD68" w:rsidR="000F027C" w:rsidRPr="00070ADE" w:rsidRDefault="000F027C" w:rsidP="00B56F90">
      <w:pPr>
        <w:tabs>
          <w:tab w:val="left" w:pos="88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Обязать Наркомфин СССР - т.Зверева</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выаделить из резервного фонда СНК СССР в распоряжение Наркомавиапроий 8 млн. рублей, в том числе:</w:t>
      </w:r>
    </w:p>
    <w:p w14:paraId="59DE8811" w14:textId="77777777" w:rsidR="000F027C" w:rsidRPr="00070ADE" w:rsidRDefault="000F027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постановку производства самолетов Ла-7 на заводах № 21 - 3 млн.рублей и № 381 - 2 млн.рублей;</w:t>
      </w:r>
    </w:p>
    <w:p w14:paraId="4916DB6D" w14:textId="77777777" w:rsidR="000F027C" w:rsidRPr="00070ADE" w:rsidRDefault="000F027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премирование рабочих завода № 21 - 1,5 млн. рублей и заводе № 381 - 800 тыс.рублей;</w:t>
      </w:r>
    </w:p>
    <w:p w14:paraId="0CECC9FB" w14:textId="77777777" w:rsidR="000F027C" w:rsidRPr="00070ADE" w:rsidRDefault="000F027C" w:rsidP="00B56F90">
      <w:pPr>
        <w:spacing w:after="0" w:line="240" w:lineRule="auto"/>
        <w:jc w:val="both"/>
        <w:rPr>
          <w:rFonts w:ascii="Times New Roman" w:hAnsi="Times New Roman"/>
          <w:color w:val="000000" w:themeColor="text1"/>
          <w:sz w:val="16"/>
          <w:szCs w:val="16"/>
        </w:rPr>
      </w:pPr>
      <w:r w:rsidRPr="00070ADE">
        <w:rPr>
          <w:rStyle w:val="4pt"/>
          <w:rFonts w:ascii="Times New Roman" w:hAnsi="Times New Roman" w:cs="Times New Roman"/>
          <w:color w:val="000000" w:themeColor="text1"/>
          <w:spacing w:val="0"/>
          <w:sz w:val="16"/>
          <w:szCs w:val="16"/>
          <w:u w:val="none"/>
        </w:rPr>
        <w:t>на .премирование рабочих, ИТР, конструкторов и нучных</w:t>
      </w:r>
      <w:r w:rsidRPr="00070ADE">
        <w:rPr>
          <w:rFonts w:ascii="Times New Roman" w:hAnsi="Times New Roman"/>
          <w:color w:val="000000" w:themeColor="text1"/>
          <w:sz w:val="16"/>
          <w:szCs w:val="16"/>
        </w:rPr>
        <w:t xml:space="preserve"> работников, отличившихся при постройке улучшенного опытного самолета Ла-7 - 700 тыс.рублей, из них: ОКБ т.Лавочкина - 500 тыс.рублей, ЦАГИ и ЛИИ НКАП - по 100 тыс.рублей.</w:t>
      </w:r>
    </w:p>
    <w:p w14:paraId="730D4C71" w14:textId="77777777" w:rsidR="000F027C" w:rsidRPr="00070ADE" w:rsidRDefault="000F027C" w:rsidP="00B56F90">
      <w:pPr>
        <w:tabs>
          <w:tab w:val="left" w:pos="87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Утвердить мероприятия по обеспечению выпуска самолета Ла-7 на заводах № 21 и 381 Наркомавиапрома (см. приложение) (10478).</w:t>
      </w:r>
    </w:p>
    <w:p w14:paraId="603A75F9" w14:textId="77777777" w:rsidR="000F027C" w:rsidRPr="00070ADE" w:rsidRDefault="000F027C" w:rsidP="00B56F90">
      <w:pPr>
        <w:autoSpaceDE w:val="0"/>
        <w:autoSpaceDN w:val="0"/>
        <w:adjustRightInd w:val="0"/>
        <w:spacing w:after="0" w:line="240" w:lineRule="auto"/>
        <w:jc w:val="both"/>
        <w:rPr>
          <w:rFonts w:ascii="Times New Roman" w:hAnsi="Times New Roman"/>
          <w:color w:val="000000" w:themeColor="text1"/>
          <w:sz w:val="16"/>
          <w:szCs w:val="16"/>
        </w:rPr>
      </w:pPr>
    </w:p>
    <w:p w14:paraId="3DCCB3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года Постановлением «О производстве самолетов Ла-7» ГКО приказал начать с мая 1944 года серийный выпуск нового истре</w:t>
      </w:r>
      <w:r w:rsidRPr="00070ADE">
        <w:rPr>
          <w:rFonts w:ascii="Times New Roman" w:hAnsi="Times New Roman"/>
          <w:color w:val="000000" w:themeColor="text1"/>
          <w:sz w:val="16"/>
          <w:szCs w:val="16"/>
        </w:rPr>
        <w:softHyphen/>
        <w:t>бителя без снижения достигнутого заводами темпа: по заводу №21 - 17, по заводу №381 - 3 самолета в сутки. Надо сказать, что меньший мос</w:t>
      </w:r>
      <w:r w:rsidRPr="00070ADE">
        <w:rPr>
          <w:rFonts w:ascii="Times New Roman" w:hAnsi="Times New Roman"/>
          <w:color w:val="000000" w:themeColor="text1"/>
          <w:sz w:val="16"/>
          <w:szCs w:val="16"/>
        </w:rPr>
        <w:softHyphen/>
        <w:t>ковский завод №381 смог быстрее горьковского выполнить этот приказ, и с мая полностью перешел на выпуск Ла-7, тогда как в Горьком переход с Ла-5ФН на Ла-7 затянулся с июня до ноября 1944 года. Вооружение на серийных Ла-7 было оставлено пока прежним, так как пушки Б-20 еще нуждались в доводке (10714).</w:t>
      </w:r>
    </w:p>
    <w:p w14:paraId="70FF46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4D2C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15 марта 1944 Постановлением ГКО предписывалось перейти на выпуск Ла-7 с мая 1944 г., причём без снижения достигнутого темпа сдачи истребителей. Московский завод № 381 выполнил распоряжение точно в назначенный срок. Затем с июня Ла-7 начали осваивать и горьковские самолётостроители. Полностью переход завода № 21 с Ла-5ФН на Ла-7 завершился в ноябре. Здесь производственники именовали Ла-7 "типом 45"; с этого сочетания цифр начинались их серийные номера. В Горьком счёт серий повели по новой, а в Москве продолжили нумерацию серий Ла-5ФН. </w:t>
      </w:r>
    </w:p>
    <w:p w14:paraId="07A489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Серийные Ла-7 имели много отличий от Ла-5ФН. Переделка носка центроплана дала возможность выдержать один и тот же аэродинамический профиль по всему размаху. Это уменьшило аэродинамическое сопротивление и немного подняло подъёмную силу. Зализ центроплана теперь изготавливали полностью из металла, с каркасом из профилей и обшивкой из листа. Деревянную обшивку под ним ликвидировали.</w:t>
      </w:r>
    </w:p>
    <w:p w14:paraId="4E3219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фонаре кабины предусмотрели противокапотажную раму, в которую вставлялось бронестекло, защищавшее пилота сзади. Переднее бронестекло выполнили сплошным, из единого куска. Прицел сместили на 30 мм вниз.</w:t>
      </w:r>
    </w:p>
    <w:p w14:paraId="731BF28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Существенно изменилась мотоустановка - в ней использовали все новинки, опробованные на экспериментальных машинах. Воздух для нагнетателя забирался через окна в носке центроплана слева и справа от фюзеляжа; от них шли симметричные рукава наверх, соединявшиеся далее в один. Ликвидация характерного для Ла-5ФН короба над капотом мотора улучшила обзор из пилотской кабины вперёд. Боковые створки, регулировавшие выпуск воздуха, охлаждавшего двигатель, укоротили по высоте и сместили вверх. Это устранило срыв потока с центроплана при полностью открытых створках и благоприятно сказалось на скороподъёмности и манёвренности самолёта. Вместо прежних 10 выхлопных патрубков сделали 14 - по одному на цилиндр; но лишь пять из них находились под регулирующей створкой.</w:t>
      </w:r>
    </w:p>
    <w:p w14:paraId="1233E2F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Улучшили подгонку дефлекторов мотора АШ-82ФН. Храповик для автостартёра на втулке винта убрали, двигатель запускался только сжатым воздухом. Маслорадиатор располагался под фюзеляжем за шпангоутом № 5 в профилированном канале и был тщательно закапотирован снаружи. На стыке его с фюзеляжем был сделан желобок (слив) для предотвращения срыва пограничного слоя воздуха на нижней поверхности фюзеляжа. В противном случае воздействие срыва уменьшило бы эффективность радиатора примерно на 20%.</w:t>
      </w:r>
    </w:p>
    <w:p w14:paraId="6B95C62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Основные стойки шасси удлинили на 80 мм, а хвостовую, наоборот, укоротили. Это увеличило противокапотажный угол. Теперь можно было более резко давать газ на взлёте и энергичнее тормозить на посадке. Щитки, закреплённые на фюзеляже, при убранном шасси полностью закрывали нижнюю часть колёс основных стоек, </w:t>
      </w:r>
      <w:r w:rsidRPr="00070ADE">
        <w:rPr>
          <w:rFonts w:ascii="Times New Roman" w:hAnsi="Times New Roman"/>
          <w:color w:val="000000" w:themeColor="text1"/>
          <w:sz w:val="16"/>
          <w:szCs w:val="16"/>
        </w:rPr>
        <w:lastRenderedPageBreak/>
        <w:t>улучшая аэродинамику. Механизм уборки костыльного колеса усовершенствовали. Костыль уже не складывался самопроизвольно на посадке и не выпадал в полёте, как у Ла-5ФН.</w:t>
      </w:r>
    </w:p>
    <w:p w14:paraId="6BDFFCD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Уменьшили щели между рулями высоты и стабилизатором, а также между рулём направления и килем. Управление рулём высоты облегчили путём увеличения аэродинамической компенсации руля и изменением передаточного отношения от ручки. Сама ручка лишилась "баранки" сверху.</w:t>
      </w:r>
    </w:p>
    <w:p w14:paraId="0AF3BE5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кабине перекомпоновали приборную доску, снабдили её ультрафиолетовой подсветкой. Шкалы приборов, нарисованные специальной краской, теперь светились в темноте при включении невидимой для глаз лётчика лампы. Радиостанцию сместили назад, расположив её за бронеспинкой пилотского кресла; управлялась она дистанционно. Герметизацию кабины улучшили, особенно по шпангоуту № 1, отделяющему её от мотоустановки.</w:t>
      </w:r>
    </w:p>
    <w:p w14:paraId="43D8E6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различные изменения внесли в бензосистему, герметизацию отдельных узлов, улучшили подгонку лючков, поставили обтекатели в местах вырезов под кронштейны рулей.</w:t>
      </w:r>
    </w:p>
    <w:p w14:paraId="731ACA8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Серийные истребители имели более низкие лётные данные, чем "эталон". Это выявилось на испытаниях машины из головной серии в НИИ ВВС в августе 1944 г. Месяц спустя туда же на контрольные испытания прибыл ещё один Ла-7. Ни один из двух не смог развить скорость более 658 км/ч. Помимо недобора скорости, недостатками сочли перегрев двигателя при длительном наборе высоты и стабильно высокую температуру в кабине.</w:t>
      </w:r>
    </w:p>
    <w:p w14:paraId="65D822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 те же нарекания были высказаны в ходе войсковых испытаний в сентябре-октябре 1944 г. Участвовавшие в них самолёты (и московские, и горьковские, выпущенные в июне - августе того же года) развивали максимальную скорость у земли на номинальном режиме работы мотора 578 км/ч, а на форсаже - 644 км/ч, на 2-й границе высотности (5900 м) - 658 км/ч. Время набора высоты 5000 м составляло 4,95 мин, а виража на высоте 1000 м - 20 с, набор высоты в боевом развороте равнялся 1400 м. Получалось, что по всем лётным данным серийные машины существенно уступали "эталону 1944 г.". Лётчики жаловались на жару в кабине, плохую вентиляцию, слишком тугое управление рулём поворота. Эти недостатки удалось устранить значительно позже, практически перед снятием истребителя с производства (11986).</w:t>
      </w:r>
    </w:p>
    <w:p w14:paraId="2FBC5E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D900AD9"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г. Постановление ГКО СССР № 5404 «О производстве самолетов Ла-7».</w:t>
      </w:r>
    </w:p>
    <w:p w14:paraId="59FCE9E4"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РГАСПИ. Ф. 644. Оп. 2. Д. 295. Л. І77-І78. Подлинник. Машинописный текст. Подпись — автограф И.В. Сталина.</w:t>
      </w:r>
    </w:p>
    <w:p w14:paraId="56A5BF78"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Государственный Комитет Обороны постановляет:</w:t>
      </w:r>
    </w:p>
    <w:p w14:paraId="2FAF5129"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Принять к сведению сообщение Наркомавиапрома - т. Шахурина, главного конструктора т. Лавочкина и начальника ЦАГИ - т. Шишкина о том, что аэродинамически и конструктивно улучшенный самолет Ла-5 с серийным мотором АШ-82ФН показал при испытаниях в ЛИИ НКАП следующие данные:</w:t>
      </w:r>
    </w:p>
    <w:p w14:paraId="73C96151"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 — 630 км в час</w:t>
      </w:r>
    </w:p>
    <w:p w14:paraId="0FA74EF3"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высоте 6000 метров - 685 км в час</w:t>
      </w:r>
    </w:p>
    <w:p w14:paraId="208C70C2"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 - 3250 кг.</w:t>
      </w:r>
    </w:p>
    <w:p w14:paraId="46CE89F5"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Модифицированный самолет Ла—5 конструкции т. Лавочкина в дальнейшем именовать Ла—7 с АШ-82ФН</w:t>
      </w:r>
    </w:p>
    <w:p w14:paraId="7C8F60C7"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Обязать Наркомавиапром - т. Шахурина, главного конструктора т. Лавочкина, директоров заводов № 21 — т. Агаджанова и № 381 — т. Журавлева немедленно приступить к производству самолетов Ла-7 с моторами АШ-82ФН с серийным вооружением - двумя пушками швак, калибра 70 мм.</w:t>
      </w:r>
    </w:p>
    <w:p w14:paraId="2380BE43"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Установить следующий план выпуска самолетов Ла—7:</w:t>
      </w:r>
    </w:p>
    <w:p w14:paraId="1D0FCF82"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заводе № 21</w:t>
      </w:r>
    </w:p>
    <w:p w14:paraId="0298666D"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20</w:t>
      </w:r>
    </w:p>
    <w:p w14:paraId="2B9E1FEB"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июне 50</w:t>
      </w:r>
    </w:p>
    <w:p w14:paraId="6C3B3650"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июле 150</w:t>
      </w:r>
    </w:p>
    <w:p w14:paraId="369F97E5"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августе 250</w:t>
      </w:r>
    </w:p>
    <w:p w14:paraId="2392F759"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заводе № 381</w:t>
      </w:r>
    </w:p>
    <w:p w14:paraId="5827CBED"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w:t>
      </w:r>
    </w:p>
    <w:p w14:paraId="09C71E97"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5</w:t>
      </w:r>
    </w:p>
    <w:p w14:paraId="36ED3204"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июле 10</w:t>
      </w:r>
    </w:p>
    <w:p w14:paraId="44A48EE8"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августк 25</w:t>
      </w:r>
    </w:p>
    <w:p w14:paraId="780B30BF"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Переход на выпуск самолетов Ла—7 осуществить без снижения достигнутого заводами уровня выпуска самолетов по заводу №21-17 самолетов в сутки и заводу Ш 381 - 3 самолетов в сутки.</w:t>
      </w:r>
    </w:p>
    <w:p w14:paraId="605A00C0"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Обязать Наркомчермет — т. Тевосяна:</w:t>
      </w:r>
    </w:p>
    <w:p w14:paraId="77DBBF35" w14:textId="573A6AC1"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освоить производство специальных труб для выхлопных коллекторов самолета Ла-7 из стали ЭЯ1-1</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по спецификации НКАП, обеспечив поставку их Наркомавиапрому в мае 750 мт., в июне 2500 мт., в июле 5000 мт. и в дальнейшем обеспечивающих программу НКАП.</w:t>
      </w:r>
    </w:p>
    <w:p w14:paraId="44433EF4"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выделить в марте-апреле с.г. в счет фондов НКАП целевым назначением для завода № 21 600 шт. кислородных баллонов.</w:t>
      </w:r>
    </w:p>
    <w:p w14:paraId="62D2E34A"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Обязать Еаркомфин СССР — т. Зверева выделить из резервного фонда СЕК СССР в распоряжение Наркомавиапрома 8 млн рублей, в том числе:</w:t>
      </w:r>
    </w:p>
    <w:p w14:paraId="4F66871E"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постановку производства самолетов Ла—7 на заводах № 21 — 3 млн рублей и № 381 — 2 млн рублей;</w:t>
      </w:r>
    </w:p>
    <w:p w14:paraId="2B5A5FB1"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премирование рабочих завода № 21 — I, 5 млн рублей и завода № 381 — 800 тыс. рублей;</w:t>
      </w:r>
    </w:p>
    <w:p w14:paraId="4515E251"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премирование рабочих, ИТР, конструкторов и научных работников, отличившихся при постройке улучшенного опытного самолета Ла-7 - 700 тыс. рублей, из них: ОКБ т. Лавочкина — 500 тыс. рублей, ЦАГИ и ЛИИ НКАП — по 100 тыс. рублей.</w:t>
      </w:r>
    </w:p>
    <w:p w14:paraId="73980F2B"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Утвердить мероприятия по обеспечению выпуска самолетов Ла—7 на заводах RS 21</w:t>
      </w:r>
    </w:p>
    <w:p w14:paraId="2B8AEB58"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381 Наркомавиапрома (см. приложение).</w:t>
      </w:r>
    </w:p>
    <w:p w14:paraId="0B73593A"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ГОСУДАРСТВЕННОГО КОМИТЕТА ОБОРОНЫ И. Сталин (24042).</w:t>
      </w:r>
    </w:p>
    <w:p w14:paraId="6332B9C5" w14:textId="77777777" w:rsidR="00106719" w:rsidRPr="00070ADE" w:rsidRDefault="00106719" w:rsidP="00B56F90">
      <w:pPr>
        <w:spacing w:after="0" w:line="240" w:lineRule="auto"/>
        <w:jc w:val="both"/>
        <w:rPr>
          <w:rFonts w:ascii="Times New Roman" w:hAnsi="Times New Roman"/>
          <w:color w:val="000000" w:themeColor="text1"/>
          <w:sz w:val="16"/>
          <w:szCs w:val="16"/>
        </w:rPr>
      </w:pPr>
    </w:p>
    <w:p w14:paraId="61010C81"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15 марта 1944 НКАП, согласно постанов</w:t>
      </w:r>
      <w:r w:rsidRPr="00C94B78">
        <w:rPr>
          <w:rFonts w:ascii="Times New Roman" w:hAnsi="Times New Roman"/>
          <w:color w:val="0070C0"/>
          <w:sz w:val="16"/>
          <w:szCs w:val="16"/>
        </w:rPr>
        <w:softHyphen/>
        <w:t>лению ГКО, предписы</w:t>
      </w:r>
      <w:r w:rsidRPr="00C94B78">
        <w:rPr>
          <w:rFonts w:ascii="Times New Roman" w:hAnsi="Times New Roman"/>
          <w:color w:val="0070C0"/>
          <w:sz w:val="16"/>
          <w:szCs w:val="16"/>
        </w:rPr>
        <w:softHyphen/>
        <w:t>валось перейти на выпуск истребителя, получившего обозначение Ла-7, с мая 1944 года, причем без снижения темпа сдачи боевых машин. Первым в мае на серийный выпуск перешел завод № 381, выполнив распоряжение ГКО в установ</w:t>
      </w:r>
      <w:r w:rsidRPr="00C94B78">
        <w:rPr>
          <w:rFonts w:ascii="Times New Roman" w:hAnsi="Times New Roman"/>
          <w:color w:val="0070C0"/>
          <w:sz w:val="16"/>
          <w:szCs w:val="16"/>
        </w:rPr>
        <w:softHyphen/>
        <w:t>ленный срок. При этом продолжилась ну</w:t>
      </w:r>
      <w:r w:rsidRPr="00C94B78">
        <w:rPr>
          <w:rFonts w:ascii="Times New Roman" w:hAnsi="Times New Roman"/>
          <w:color w:val="0070C0"/>
          <w:sz w:val="16"/>
          <w:szCs w:val="16"/>
        </w:rPr>
        <w:softHyphen/>
        <w:t>мерация машин, начатая с Ла-5 (24988).</w:t>
      </w:r>
    </w:p>
    <w:p w14:paraId="00499B31" w14:textId="77777777" w:rsidR="00C63BA9" w:rsidRPr="00C94B78" w:rsidRDefault="00C63BA9" w:rsidP="00B56F90">
      <w:pPr>
        <w:spacing w:after="0" w:line="240" w:lineRule="auto"/>
        <w:jc w:val="both"/>
        <w:rPr>
          <w:rFonts w:ascii="Times New Roman" w:hAnsi="Times New Roman"/>
          <w:color w:val="0070C0"/>
          <w:sz w:val="16"/>
          <w:szCs w:val="16"/>
        </w:rPr>
      </w:pPr>
    </w:p>
    <w:p w14:paraId="689384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вышло Постановление ГКО № 5403 О бомбардировочном варианте самолета Як-9. РГАНИР, Фонд ГКО, д. 219, лл. 4 (11012).</w:t>
      </w:r>
    </w:p>
    <w:p w14:paraId="7E5D04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17EAF65" w14:textId="77777777" w:rsidR="004F20AF" w:rsidRPr="00070ADE" w:rsidRDefault="004F20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вышло Постановление ГКО № 5403 О бомбардировочном варианте самолета Як-9</w:t>
      </w:r>
    </w:p>
    <w:p w14:paraId="041B96BA" w14:textId="77777777" w:rsidR="004F20AF" w:rsidRPr="00070ADE" w:rsidRDefault="004F20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Государственный Комитет Обороны постановляет:</w:t>
      </w:r>
    </w:p>
    <w:p w14:paraId="317219AA" w14:textId="77777777" w:rsidR="004F20AF" w:rsidRPr="00070ADE" w:rsidRDefault="004F20AF" w:rsidP="00B56F90">
      <w:pPr>
        <w:tabs>
          <w:tab w:val="left" w:pos="85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Принять предложение Наркомавиапроыа т.Шахурина и т.Яковлева о постройке самолета Як-9 с бомбовым вооружением в следующих вариантах бомбовой загрузки и максимальной даль</w:t>
      </w:r>
      <w:r w:rsidRPr="00070ADE">
        <w:rPr>
          <w:rFonts w:ascii="Times New Roman" w:hAnsi="Times New Roman"/>
          <w:color w:val="000000" w:themeColor="text1"/>
          <w:sz w:val="16"/>
          <w:szCs w:val="16"/>
        </w:rPr>
        <w:softHyphen/>
        <w:t>ности при наивыгоднейшей скорости полета 325-350 км. в час:</w:t>
      </w:r>
    </w:p>
    <w:p w14:paraId="014F5C2A" w14:textId="77777777" w:rsidR="004F20AF" w:rsidRPr="00070ADE" w:rsidRDefault="004F20AF" w:rsidP="00B56F90">
      <w:pPr>
        <w:tabs>
          <w:tab w:val="right" w:pos="4631"/>
          <w:tab w:val="left" w:pos="473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бомбы по 100 кг - дальность - 800 км</w:t>
      </w:r>
    </w:p>
    <w:p w14:paraId="5C8F5CB8" w14:textId="77777777" w:rsidR="004F20AF" w:rsidRPr="00070ADE" w:rsidRDefault="004F20AF" w:rsidP="00B56F90">
      <w:pPr>
        <w:tabs>
          <w:tab w:val="right" w:pos="4644"/>
          <w:tab w:val="left" w:pos="474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бомбы по 100 кг - дальность - 1200 км.</w:t>
      </w:r>
    </w:p>
    <w:p w14:paraId="02E4F828" w14:textId="77777777" w:rsidR="004F20AF" w:rsidRPr="00070ADE" w:rsidRDefault="004F20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 шт. противотанковых бомб ПТАБ- 1,5 и 2,5 кг. - дальность - 1000 км.</w:t>
      </w:r>
    </w:p>
    <w:p w14:paraId="2510D865" w14:textId="77777777" w:rsidR="004F20AF" w:rsidRPr="00070ADE" w:rsidRDefault="004F20AF" w:rsidP="00B56F90">
      <w:pPr>
        <w:tabs>
          <w:tab w:val="left" w:pos="86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Обязать Главного конструктора т.Яковлева пред"явить самолет Як-9 в бомбардировочном варианте на государственные испытания к 20 марта 1944 г.</w:t>
      </w:r>
    </w:p>
    <w:p w14:paraId="124A6793" w14:textId="77777777" w:rsidR="004F20AF" w:rsidRPr="00070ADE" w:rsidRDefault="004F20AF" w:rsidP="00B56F90">
      <w:pPr>
        <w:tabs>
          <w:tab w:val="left" w:pos="87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Обязать т.Новикова ВВС КА испытать самолет Як-9 в бомбардировочном варианте в десятидневный срок со дня пред"явления (19477).</w:t>
      </w:r>
    </w:p>
    <w:p w14:paraId="4B742474" w14:textId="77777777" w:rsidR="004F20AF" w:rsidRPr="00070ADE" w:rsidRDefault="004F20A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A75C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ГКО в своем постановлении N 5403 принял предложение НКАП о постройке самолета Як-9 с бомбовым вооружением (1625,25).</w:t>
      </w:r>
    </w:p>
    <w:p w14:paraId="4CA28B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D2CD25" w14:textId="6008C9D2" w:rsidR="00BC5781" w:rsidRPr="00070ADE" w:rsidRDefault="00BC5781"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15 марта 1944 г. в соответствии с постановлением ГКО на заводе № 115 на основе Як-9Д</w:t>
      </w:r>
      <w:r w:rsidR="00C63BA9">
        <w:rPr>
          <w:rFonts w:ascii="Times New Roman" w:cs="Times New Roman"/>
          <w:color w:val="000000" w:themeColor="text1"/>
          <w:spacing w:val="0"/>
        </w:rPr>
        <w:t xml:space="preserve"> </w:t>
      </w:r>
      <w:r w:rsidRPr="00070ADE">
        <w:rPr>
          <w:rFonts w:ascii="Times New Roman" w:cs="Times New Roman"/>
          <w:color w:val="000000" w:themeColor="text1"/>
          <w:spacing w:val="0"/>
        </w:rPr>
        <w:t>изготовили опытную машину с бомбовым вооружением и 23 марта предъявили на госиспытания под обозначением Як-9Л (впоследствии пере</w:t>
      </w:r>
      <w:r w:rsidRPr="00070ADE">
        <w:rPr>
          <w:rFonts w:ascii="Times New Roman" w:cs="Times New Roman"/>
          <w:color w:val="000000" w:themeColor="text1"/>
          <w:spacing w:val="0"/>
        </w:rPr>
        <w:softHyphen/>
        <w:t>именовав в Як-9Б). Стрелковое вооружение осталось прежнее, но за кабиной пилота между вторым и четвёртым шпангоутами оборудовали бомбоотсеки. При этом пере</w:t>
      </w:r>
      <w:r w:rsidRPr="00070ADE">
        <w:rPr>
          <w:rFonts w:ascii="Times New Roman" w:cs="Times New Roman"/>
          <w:color w:val="000000" w:themeColor="text1"/>
          <w:spacing w:val="0"/>
        </w:rPr>
        <w:softHyphen/>
        <w:t>делали верхнюю и нижнюю панели обшивки фюзеляжа, выполнив в последней четыре люка. Стенки бомбоотсеков наклонили на</w:t>
      </w:r>
      <w:r w:rsidRPr="00070ADE">
        <w:rPr>
          <w:rFonts w:ascii="Times New Roman" w:cs="Times New Roman"/>
          <w:color w:val="000000" w:themeColor="text1"/>
          <w:spacing w:val="0"/>
        </w:rPr>
        <w:softHyphen/>
        <w:t>зад под углом 75° к продольной оси машины. Отсеки допускали загрузку противотанковых кумулятивных бомб ПТАБ-2,5-1,5 (в каждом из четырёх отсеков по 32 штуки) или фу</w:t>
      </w:r>
      <w:r w:rsidRPr="00070ADE">
        <w:rPr>
          <w:rFonts w:ascii="Times New Roman" w:cs="Times New Roman"/>
          <w:color w:val="000000" w:themeColor="text1"/>
          <w:spacing w:val="0"/>
        </w:rPr>
        <w:softHyphen/>
        <w:t>гасных ФАБ-100 (по одной - всего четыре). Открытие створок люков осуществлялось от аварийного сбрасывателя или с помо</w:t>
      </w:r>
      <w:r w:rsidRPr="00070ADE">
        <w:rPr>
          <w:rFonts w:ascii="Times New Roman" w:cs="Times New Roman"/>
          <w:color w:val="000000" w:themeColor="text1"/>
          <w:spacing w:val="0"/>
        </w:rPr>
        <w:softHyphen/>
        <w:t>щью электрических спусковых устройств ЭЛС-1, закрытие - пневмоприводом. Из-за размещения бомбоотсеков тросы проводки управления рулём направления сдвинули к продольной оси самолёта, а радиопере</w:t>
      </w:r>
      <w:r w:rsidRPr="00070ADE">
        <w:rPr>
          <w:rFonts w:ascii="Times New Roman" w:cs="Times New Roman"/>
          <w:color w:val="000000" w:themeColor="text1"/>
          <w:spacing w:val="0"/>
        </w:rPr>
        <w:softHyphen/>
        <w:t>датчик и умформер перенесли в хвостовую часть фюзеляжа.</w:t>
      </w:r>
    </w:p>
    <w:p w14:paraId="3C14C661" w14:textId="77777777" w:rsidR="00BC5781" w:rsidRPr="00070ADE" w:rsidRDefault="00BC5781"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Ведущими по машине на госиспытани</w:t>
      </w:r>
      <w:r w:rsidRPr="00070ADE">
        <w:rPr>
          <w:rFonts w:ascii="Times New Roman" w:cs="Times New Roman"/>
          <w:color w:val="000000" w:themeColor="text1"/>
          <w:spacing w:val="0"/>
        </w:rPr>
        <w:softHyphen/>
        <w:t xml:space="preserve">ях были инженер С.А. Старинин, лётчики В.И. Хомяков, А.Г. Прошаков, Ю.А. Антипов и И.А. Доброскокин (последний - из НИИ </w:t>
      </w:r>
      <w:r w:rsidRPr="00070ADE">
        <w:rPr>
          <w:rStyle w:val="MSReferenceSansSerif6pt"/>
          <w:rFonts w:ascii="Times New Roman" w:hAnsi="Times New Roman" w:cs="Times New Roman"/>
          <w:color w:val="000000" w:themeColor="text1"/>
          <w:sz w:val="16"/>
          <w:szCs w:val="16"/>
        </w:rPr>
        <w:t>АВ).</w:t>
      </w:r>
    </w:p>
    <w:p w14:paraId="040B4B16" w14:textId="77777777" w:rsidR="00BC5781" w:rsidRPr="00070ADE" w:rsidRDefault="00BC5781"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lastRenderedPageBreak/>
        <w:t>В выводах акта по результатам испытаний отмечалось, что Як-9Л может производить бомбометание лишь по площадным целям из-за отсутствия прицела. При сбросе с го</w:t>
      </w:r>
      <w:r w:rsidRPr="00070ADE">
        <w:rPr>
          <w:rFonts w:ascii="Times New Roman" w:cs="Times New Roman"/>
          <w:color w:val="000000" w:themeColor="text1"/>
          <w:spacing w:val="0"/>
        </w:rPr>
        <w:softHyphen/>
        <w:t>ризонтального полета лётчик вообще никак не мог прицеливаться. При пикировании с углами до 50° бомбы свободно выпадали из фюзеляжа, а свыше - только при выводе из пикирования. Но недостаточный угол упреж</w:t>
      </w:r>
      <w:r w:rsidRPr="00070ADE">
        <w:rPr>
          <w:rFonts w:ascii="Times New Roman" w:cs="Times New Roman"/>
          <w:color w:val="000000" w:themeColor="text1"/>
          <w:spacing w:val="0"/>
        </w:rPr>
        <w:softHyphen/>
        <w:t>дения, ограниченный установкой прицела РБП-1а, исключал точное бомбометание на углах до 50°!</w:t>
      </w:r>
    </w:p>
    <w:p w14:paraId="404C4849" w14:textId="77777777" w:rsidR="00BC5781" w:rsidRPr="00070ADE" w:rsidRDefault="00BC5781"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Самолёт с полётным весом 3365 кг (из них бомбовая нагрузка - 200 кг, горючее - 485 кг) имел центровку 28,9%, из-за которой на взлёте он становился неустойчивым, а в горизонтальном полёте продольная устой</w:t>
      </w:r>
      <w:r w:rsidRPr="00070ADE">
        <w:rPr>
          <w:rFonts w:ascii="Times New Roman" w:cs="Times New Roman"/>
          <w:color w:val="000000" w:themeColor="text1"/>
          <w:spacing w:val="0"/>
        </w:rPr>
        <w:softHyphen/>
        <w:t>чивость приближалась к нейтральной.</w:t>
      </w:r>
    </w:p>
    <w:p w14:paraId="497DE253" w14:textId="77777777" w:rsidR="00BC5781" w:rsidRPr="00070ADE" w:rsidRDefault="00BC5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заключение отмечалось, что Як-9Л мож</w:t>
      </w:r>
      <w:r w:rsidRPr="00070ADE">
        <w:rPr>
          <w:rFonts w:ascii="Times New Roman" w:hAnsi="Times New Roman"/>
          <w:color w:val="000000" w:themeColor="text1"/>
          <w:sz w:val="16"/>
          <w:szCs w:val="16"/>
        </w:rPr>
        <w:softHyphen/>
        <w:t>но рекомендовать для бомбометания по площадным целям, но с бомбовой нагруз</w:t>
      </w:r>
      <w:r w:rsidRPr="00070ADE">
        <w:rPr>
          <w:rFonts w:ascii="Times New Roman" w:hAnsi="Times New Roman"/>
          <w:color w:val="000000" w:themeColor="text1"/>
          <w:sz w:val="16"/>
          <w:szCs w:val="16"/>
        </w:rPr>
        <w:softHyphen/>
        <w:t>кой не более 200 кг. При этом следовало устранить выявленные в ходе испытаний дефекты и доработать бомбовые отсеки, обеспечив свободное выпадение из них бомб при углах до 80° (19103).</w:t>
      </w:r>
    </w:p>
    <w:p w14:paraId="7D6060C4" w14:textId="77777777" w:rsidR="00BC5781" w:rsidRPr="00070ADE" w:rsidRDefault="00BC5781" w:rsidP="00B56F90">
      <w:pPr>
        <w:spacing w:after="0" w:line="240" w:lineRule="auto"/>
        <w:jc w:val="both"/>
        <w:rPr>
          <w:rFonts w:ascii="Times New Roman" w:hAnsi="Times New Roman"/>
          <w:color w:val="000000" w:themeColor="text1"/>
          <w:sz w:val="16"/>
          <w:szCs w:val="16"/>
        </w:rPr>
      </w:pPr>
    </w:p>
    <w:p w14:paraId="756D3E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вышло Постановление ГКО № 5402 О переоборудовании четырех самолетов Пе-8 в пассажирский вариант с дизельмоторами А4-30Б. РГАНИР, Фонд ГКО, д. 219, лл. 3 (11012).</w:t>
      </w:r>
    </w:p>
    <w:p w14:paraId="7B03CC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BB906C9" w14:textId="77777777" w:rsidR="00704B65" w:rsidRPr="00070ADE" w:rsidRDefault="00704B6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вышло Постановление ГКО № 5402 О переоборудовании четырех самолетов Пе-8 в пассажирский вариант с дизельмоторами А4-30Б</w:t>
      </w:r>
    </w:p>
    <w:p w14:paraId="64464008" w14:textId="77777777" w:rsidR="00704B65" w:rsidRPr="00070ADE" w:rsidRDefault="00704B6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дополнение к постановлению ГОКО № 5320сс от 5 марта с.г. о постройке 4 самолетов Пе-8 в пассажирском варианте с использованием для этой цели самолетов Пе-8 из числа готовых и находящихся в сборочном цехе завода № 22, Госу</w:t>
      </w:r>
      <w:r w:rsidRPr="00070ADE">
        <w:rPr>
          <w:rFonts w:ascii="Times New Roman" w:hAnsi="Times New Roman"/>
          <w:color w:val="000000" w:themeColor="text1"/>
          <w:sz w:val="16"/>
          <w:szCs w:val="16"/>
        </w:rPr>
        <w:softHyphen/>
        <w:t>дарственный Комитет Обороны постановляет:</w:t>
      </w:r>
    </w:p>
    <w:p w14:paraId="76136C23" w14:textId="77777777" w:rsidR="00704B65" w:rsidRPr="00070ADE" w:rsidRDefault="00704B6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Обязать Наркомавиапром - т.Шахурина, директора за</w:t>
      </w:r>
      <w:r w:rsidRPr="00070ADE">
        <w:rPr>
          <w:rFonts w:ascii="Times New Roman" w:hAnsi="Times New Roman"/>
          <w:color w:val="000000" w:themeColor="text1"/>
          <w:sz w:val="16"/>
          <w:szCs w:val="16"/>
        </w:rPr>
        <w:softHyphen/>
        <w:t>вода № 22 - т.Окулова и главного конструктора - т.Невваля обеспечить выпуск 4-х самолетов Пе-8 в пассажирском вариан</w:t>
      </w:r>
      <w:r w:rsidRPr="00070ADE">
        <w:rPr>
          <w:rFonts w:ascii="Times New Roman" w:hAnsi="Times New Roman"/>
          <w:color w:val="000000" w:themeColor="text1"/>
          <w:sz w:val="16"/>
          <w:szCs w:val="16"/>
        </w:rPr>
        <w:softHyphen/>
        <w:t>те с дизельмоторами АЧ-30Б, а не с моторами АШ-82Ф.</w:t>
      </w:r>
    </w:p>
    <w:p w14:paraId="622876DF" w14:textId="77777777" w:rsidR="00704B65" w:rsidRPr="00070ADE" w:rsidRDefault="00704B6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Установить следующие сроки выпуска самолетов Пе-8 в пассажирском варианте: в июне с.г. - 2 самолета и в июле 2 самолета</w:t>
      </w:r>
    </w:p>
    <w:p w14:paraId="4565221A" w14:textId="77777777" w:rsidR="00704B65" w:rsidRPr="00070ADE" w:rsidRDefault="00704B6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Пассажирские самолеты Пе-8 выпустить:</w:t>
      </w:r>
    </w:p>
    <w:p w14:paraId="53DA1829" w14:textId="77777777" w:rsidR="00704B65" w:rsidRPr="00070ADE" w:rsidRDefault="00704B65" w:rsidP="00B56F90">
      <w:pPr>
        <w:tabs>
          <w:tab w:val="left" w:pos="131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оборудованными на 14 пассажирских мест;</w:t>
      </w:r>
    </w:p>
    <w:p w14:paraId="70DDB921" w14:textId="77777777" w:rsidR="00704B65" w:rsidRPr="00070ADE" w:rsidRDefault="00704B65" w:rsidP="00B56F90">
      <w:pPr>
        <w:tabs>
          <w:tab w:val="left" w:pos="138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с отапливаемой кабиной и антиобледенительными устройствами;</w:t>
      </w:r>
    </w:p>
    <w:p w14:paraId="051417D6" w14:textId="77777777" w:rsidR="00704B65" w:rsidRPr="00070ADE" w:rsidRDefault="00704B65" w:rsidP="00B56F90">
      <w:pPr>
        <w:tabs>
          <w:tab w:val="left" w:pos="136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 максимальной дальностью полета в 6000 км, при скорости 0,7 от максимальной, при полетном весе 35,5 тонн;</w:t>
      </w:r>
    </w:p>
    <w:p w14:paraId="6EE30F22" w14:textId="77777777" w:rsidR="00704B65" w:rsidRPr="00070ADE" w:rsidRDefault="00704B65" w:rsidP="00B56F90">
      <w:pPr>
        <w:tabs>
          <w:tab w:val="left" w:pos="136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со следующим вооружением - один пулемет Березина калибра 12,7 мм в носовой башне; одна пушка Швак калибра 20 мм в кормовой башне; 2 пулемета Березина калибра 12,7 мм в шассийных установках; с боезапасом 230 снарядов к пушке ШВАК и по 200 патронов на каждый пулемет Березина (19476).</w:t>
      </w:r>
    </w:p>
    <w:p w14:paraId="17C87381" w14:textId="77777777" w:rsidR="00704B65" w:rsidRPr="00070ADE" w:rsidRDefault="00704B65" w:rsidP="00B56F90">
      <w:pPr>
        <w:autoSpaceDE w:val="0"/>
        <w:autoSpaceDN w:val="0"/>
        <w:adjustRightInd w:val="0"/>
        <w:spacing w:after="0" w:line="240" w:lineRule="auto"/>
        <w:jc w:val="both"/>
        <w:rPr>
          <w:rFonts w:ascii="Times New Roman" w:hAnsi="Times New Roman"/>
          <w:color w:val="000000" w:themeColor="text1"/>
          <w:sz w:val="16"/>
          <w:szCs w:val="16"/>
        </w:rPr>
      </w:pPr>
    </w:p>
    <w:p w14:paraId="0003E1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вышло постановление ГКО N 5402 о постройке на заводе 22 самолета Пе-8 (ТБ-7) в пассажирском варианте с АЧ-30Б. Получил N 42712. Имел спальную кабину на 3 человека и пассажирскую на 12 и туалет (434,9).</w:t>
      </w:r>
    </w:p>
    <w:p w14:paraId="2FFEEE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0528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года вышло Постановление ГОКО №5402, а через два дня второй Приказ НКАП №196 по проектированию и постройке пассажирского варианта самолета Пе-8 с двигателями АЧ-ЗОБ. Согласно приказу самолет должен был удовлетворять следующим требованиям:</w:t>
      </w:r>
    </w:p>
    <w:p w14:paraId="7ADF00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Размещать 14 пассажирских мест.</w:t>
      </w:r>
    </w:p>
    <w:p w14:paraId="581F91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Иметь отапливаемую кабину и антиобледенительные устройства.</w:t>
      </w:r>
    </w:p>
    <w:p w14:paraId="4E1A5E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Иметь максимальную дальность полета 6000 км при скорости 0,7 от максимальной, при полетной массе 35000 кг.</w:t>
      </w:r>
    </w:p>
    <w:p w14:paraId="649EE0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Иметь вооружение - один пулемет УБТ в носовой башне, одну пушку ШВАК в кормовой башне, два пулемета УБТ в шассийных установках, с боезапасом 250 снарядов к пушке и по 250 патронов на каждый пулемет (7685).</w:t>
      </w:r>
    </w:p>
    <w:p w14:paraId="3E09C0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3B745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г. вышло постановление ГКО о проектировании и постройке пассажирского варианта Пе-8 на 14 мест с дизелями АЧ-30Б. Самолёт должен был иметь отопление кабин и антиобледенительные устройства. Вооружение должно было складываться из трёх пулемётов УБТ (один в носу и два в мотогондолах) и пушки ШВАК в кормовой установке. Боезапас каждой установки - 250 патронов. Максимальная дальность полёта определялась в 6000 км. Требовалось подготовить две такие машины (позже речь шла о четырёх) (11996).</w:t>
      </w:r>
    </w:p>
    <w:p w14:paraId="5EEA9C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98C2A3E"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года вышло Постановление ГОКО №5402, а через два дня второй Приказ НКАП №196 по проектированию и постройке пассажирского варианта самолета Пе-8 с двигателями АЧ-30Б. Согласно приказу самолет должен был удовлетворять следующим требованиям:</w:t>
      </w:r>
    </w:p>
    <w:p w14:paraId="413D8B14" w14:textId="77777777" w:rsidR="00903E13" w:rsidRPr="00070ADE" w:rsidRDefault="00903E13" w:rsidP="00B56F90">
      <w:pPr>
        <w:pStyle w:val="afff6"/>
        <w:tabs>
          <w:tab w:val="left" w:pos="467"/>
        </w:tabs>
        <w:autoSpaceDE/>
        <w:autoSpaceDN/>
        <w:adjustRightInd/>
        <w:ind w:left="0"/>
        <w:contextualSpacing w:val="0"/>
        <w:jc w:val="both"/>
        <w:rPr>
          <w:color w:val="000000" w:themeColor="text1"/>
          <w:sz w:val="16"/>
          <w:szCs w:val="16"/>
        </w:rPr>
      </w:pPr>
      <w:r w:rsidRPr="00070ADE">
        <w:rPr>
          <w:color w:val="000000" w:themeColor="text1"/>
          <w:sz w:val="16"/>
          <w:szCs w:val="16"/>
        </w:rPr>
        <w:t>1. Размещать 14 пассажирских мест.</w:t>
      </w:r>
    </w:p>
    <w:p w14:paraId="710D5016" w14:textId="77777777" w:rsidR="00903E13" w:rsidRPr="00070ADE" w:rsidRDefault="00903E13" w:rsidP="00B56F90">
      <w:pPr>
        <w:pStyle w:val="afff6"/>
        <w:tabs>
          <w:tab w:val="left" w:pos="485"/>
        </w:tabs>
        <w:autoSpaceDE/>
        <w:autoSpaceDN/>
        <w:adjustRightInd/>
        <w:ind w:left="0"/>
        <w:contextualSpacing w:val="0"/>
        <w:jc w:val="both"/>
        <w:rPr>
          <w:color w:val="000000" w:themeColor="text1"/>
          <w:sz w:val="16"/>
          <w:szCs w:val="16"/>
        </w:rPr>
      </w:pPr>
      <w:r w:rsidRPr="00070ADE">
        <w:rPr>
          <w:color w:val="000000" w:themeColor="text1"/>
          <w:sz w:val="16"/>
          <w:szCs w:val="16"/>
        </w:rPr>
        <w:t>2. Иметь отапливаемую кабину и антиобледенительные устройства.</w:t>
      </w:r>
    </w:p>
    <w:p w14:paraId="26C64352" w14:textId="77777777" w:rsidR="00903E13" w:rsidRPr="00070ADE" w:rsidRDefault="00903E13" w:rsidP="00B56F90">
      <w:pPr>
        <w:pStyle w:val="afff6"/>
        <w:tabs>
          <w:tab w:val="left" w:pos="482"/>
        </w:tabs>
        <w:autoSpaceDE/>
        <w:autoSpaceDN/>
        <w:adjustRightInd/>
        <w:ind w:left="0"/>
        <w:contextualSpacing w:val="0"/>
        <w:jc w:val="both"/>
        <w:rPr>
          <w:color w:val="000000" w:themeColor="text1"/>
          <w:sz w:val="16"/>
          <w:szCs w:val="16"/>
        </w:rPr>
      </w:pPr>
      <w:r w:rsidRPr="00070ADE">
        <w:rPr>
          <w:color w:val="000000" w:themeColor="text1"/>
          <w:sz w:val="16"/>
          <w:szCs w:val="16"/>
        </w:rPr>
        <w:t>3. Иметь максимальную дальность полета 6000 км при скорости 0,7 от максимальной, при полетной массе 35000 кг.</w:t>
      </w:r>
    </w:p>
    <w:p w14:paraId="1F1166D9" w14:textId="77777777" w:rsidR="00903E13" w:rsidRPr="00070ADE" w:rsidRDefault="00903E13" w:rsidP="00B56F90">
      <w:pPr>
        <w:pStyle w:val="afff6"/>
        <w:tabs>
          <w:tab w:val="left" w:pos="518"/>
        </w:tabs>
        <w:autoSpaceDE/>
        <w:autoSpaceDN/>
        <w:adjustRightInd/>
        <w:ind w:left="0"/>
        <w:contextualSpacing w:val="0"/>
        <w:jc w:val="both"/>
        <w:rPr>
          <w:color w:val="000000" w:themeColor="text1"/>
          <w:sz w:val="16"/>
          <w:szCs w:val="16"/>
        </w:rPr>
      </w:pPr>
      <w:r w:rsidRPr="00070ADE">
        <w:rPr>
          <w:color w:val="000000" w:themeColor="text1"/>
          <w:sz w:val="16"/>
          <w:szCs w:val="16"/>
        </w:rPr>
        <w:t>4. Иметь вооружение — один пулемет УБТ в носовой башне, одну пушку ШВАК в кормовой башне, два пулемета УБТ в шассийных установках, с боезапасом 250 снарядов к пушке и по 250 патронов на каждый пулемет.</w:t>
      </w:r>
    </w:p>
    <w:p w14:paraId="79A3664D"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этими требовани</w:t>
      </w:r>
      <w:r w:rsidRPr="00070ADE">
        <w:rPr>
          <w:rFonts w:ascii="Times New Roman" w:hAnsi="Times New Roman"/>
          <w:color w:val="000000" w:themeColor="text1"/>
          <w:sz w:val="16"/>
          <w:szCs w:val="16"/>
        </w:rPr>
        <w:softHyphen/>
        <w:t>ями проходило проектирование само</w:t>
      </w:r>
      <w:r w:rsidRPr="00070ADE">
        <w:rPr>
          <w:rFonts w:ascii="Times New Roman" w:hAnsi="Times New Roman"/>
          <w:color w:val="000000" w:themeColor="text1"/>
          <w:sz w:val="16"/>
          <w:szCs w:val="16"/>
        </w:rPr>
        <w:softHyphen/>
        <w:t>лета. Полный комплект рабочих чертежей по машине был выдан производству к 10 апреля 1944 года. Сборка первого самолета была закон</w:t>
      </w:r>
      <w:r w:rsidRPr="00070ADE">
        <w:rPr>
          <w:rFonts w:ascii="Times New Roman" w:hAnsi="Times New Roman"/>
          <w:color w:val="000000" w:themeColor="text1"/>
          <w:sz w:val="16"/>
          <w:szCs w:val="16"/>
        </w:rPr>
        <w:softHyphen/>
        <w:t>чена 31 октября, второго самолета — 31 декабря 1944 года. Основные за</w:t>
      </w:r>
      <w:r w:rsidRPr="00070ADE">
        <w:rPr>
          <w:rFonts w:ascii="Times New Roman" w:hAnsi="Times New Roman"/>
          <w:color w:val="000000" w:themeColor="text1"/>
          <w:sz w:val="16"/>
          <w:szCs w:val="16"/>
        </w:rPr>
        <w:softHyphen/>
        <w:t>держки сборочных работ произошли из-за долгого отсутствия дизельных двигателей и винтов. В сборочный цех дизеля поступили к 14 октября 1944 года, винты — 30 октября, а для второй машины двигатели поступили только 20 декабря 1944 года.</w:t>
      </w:r>
    </w:p>
    <w:p w14:paraId="0C987F27"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проектировании и постройке пассажирского варианта Пе-8 (по ОКБ и заводу шифр самолет "Е") большие проблемы возникли с добыванием необходимых отделочных материалов для салонов самолета. Казанский завод выпускал только боевые машины, естественно, необходимых материалов на его складах не было. На дворе 1944 год, война, всем не до веселеньких обивок. Незвалю пришлось ехать в Москву и вместе с представителем НКАП направиться в Ассортиментный отдел Наркомата легкой промышленности и там подбирать нужные текстильные материалы. В годы войны этот ассортимент был небогатый. С большим трудом удалось получить материал с красивой выработкой для обеих машин: для одной машины выбрали светло-серый материал, для второй темно-бежевый. Этот материал пошел на отделку диванов и стен салонов. Кроме того, ни в ОКБ, ни на заводе никто толком не знал, с какого бока подойти к отделочным работам. Пришлось поездить и посмотреть, как это все выполняется на специализированных заводах.</w:t>
      </w:r>
    </w:p>
    <w:p w14:paraId="5152B34A"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Основная пассажирская кабина располагалась в задней части фюзеляжа. В ней размещалось 12 сидячих кресел. Кресла типа "Дуглас", с откидывающимися спинками, позволявшими пассажирам занимать полулежачее положение. В центроплане оборудовалась спальная кабина, с тремя диванами. Позади основной пассажирской кабины находилась изолированная туалетная комната с унитазом, умывальником и небольшим зеркалом. Имелась вешалка для верхней одежды и багажник, размещенный под полом спальной кабины. В пассажирской кабине имелось следующее специальное оборудование:</w:t>
      </w:r>
    </w:p>
    <w:p w14:paraId="6CB4F998" w14:textId="77777777" w:rsidR="00903E13" w:rsidRPr="00070ADE" w:rsidRDefault="00903E13" w:rsidP="00B56F90">
      <w:pPr>
        <w:tabs>
          <w:tab w:val="left" w:pos="50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Тепловая и звуковая изоляция стенок и пола.</w:t>
      </w:r>
    </w:p>
    <w:p w14:paraId="75D822A5" w14:textId="77777777" w:rsidR="00903E13" w:rsidRPr="00070ADE" w:rsidRDefault="00903E13" w:rsidP="00B56F90">
      <w:pPr>
        <w:tabs>
          <w:tab w:val="left" w:pos="52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Отопление воздухом, нагретым горячей водой от системы охлаждения двигателей.</w:t>
      </w:r>
    </w:p>
    <w:p w14:paraId="7FB5F977" w14:textId="77777777" w:rsidR="00903E13" w:rsidRPr="00070ADE" w:rsidRDefault="00903E13" w:rsidP="00B56F90">
      <w:pPr>
        <w:tabs>
          <w:tab w:val="left" w:pos="52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Индивидуальная вентиляция.</w:t>
      </w:r>
    </w:p>
    <w:p w14:paraId="03304F3B" w14:textId="77777777" w:rsidR="00903E13" w:rsidRPr="00070ADE" w:rsidRDefault="00903E13" w:rsidP="00B56F90">
      <w:pPr>
        <w:tabs>
          <w:tab w:val="left" w:pos="63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Кислородное оборудование, обеспечивавшее кислородом каждое пассажирское место.</w:t>
      </w:r>
    </w:p>
    <w:p w14:paraId="6F5C4DCB" w14:textId="77777777" w:rsidR="00903E13" w:rsidRPr="00070ADE" w:rsidRDefault="00903E13" w:rsidP="00B56F90">
      <w:pPr>
        <w:tabs>
          <w:tab w:val="left" w:pos="63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Кабинное и индивидуальное освещение</w:t>
      </w:r>
    </w:p>
    <w:p w14:paraId="432149E7"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размещения пассажиров потребовалось снять заднюю верхнюю пушечную установку ТАТ, а также грузовой пол над бомбоотсеком в Ф-3, в связи с чем были доработаны ряд шпангоутов и спроектирован новый пол, обеспечивший проход пассажиров в полный рост. Грузовой пол в районе центроплана, являвшийся силовым элементом, сохранили без изменений.</w:t>
      </w:r>
    </w:p>
    <w:p w14:paraId="6F1CF5B6"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системе отопления и вентиляции отопительные каналы, со свободным выходом теплого воздуха, размещались по полу по обеим сторонам прохода. Забор воздуха производился через патрубки в носке крыла. Воздух проходил через специальные водяные радиаторы, где он подогревался горячей водой от системы охлаждения двигателей и по трубопроводу подавался в кабину. Воздух для приточной вентиляции поступал через заборники на фюзеляже и подавался по вентиляционным коробам, идущим вдоль бортов фюзеляжа. У каждого пассажирского места имелся специальный вывод воздуха.</w:t>
      </w:r>
    </w:p>
    <w:p w14:paraId="450B3C4E"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Из-за установки двигателей АЧ-ЗОБ с ТК использование тепла выхлопных газов не представлялось возможным. Из-за этого в качестве противообледенительного устройства на передних кромках крыла и оперения устанавливались резиновые пневматические антиобледенители типа "Гудрич". Антиобледенители на винтах и стеклах козырька пилота были жидкостные, как и на серийных машинах.</w:t>
      </w:r>
    </w:p>
    <w:p w14:paraId="5B155978"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выполнении высотного полета все пассажиры обеспечивались питанием кислородом из расчета 16 литров на человека. Этого запаса хватало для полетов на высотах 6000-8000 м в течение 8 часов.</w:t>
      </w:r>
    </w:p>
    <w:p w14:paraId="5D164854"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сохранили все аэронавигационное и радиооборудование серийного бомбардировочного варианта.</w:t>
      </w:r>
    </w:p>
    <w:p w14:paraId="3AE1A265"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Были сохранены следующие огневые оборонительные точки:</w:t>
      </w:r>
    </w:p>
    <w:p w14:paraId="7D1FDB66" w14:textId="77777777" w:rsidR="00903E13" w:rsidRPr="00070ADE" w:rsidRDefault="00903E13" w:rsidP="00B56F90">
      <w:pPr>
        <w:tabs>
          <w:tab w:val="left" w:pos="49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Носовая стрелковая с пулеметом УБТ-12,7 мм на шаровой опоре с запасом патронов 200 штук.</w:t>
      </w:r>
    </w:p>
    <w:p w14:paraId="4A30C8AC" w14:textId="77777777" w:rsidR="00903E13" w:rsidRPr="00070ADE" w:rsidRDefault="00903E13" w:rsidP="00B56F90">
      <w:pPr>
        <w:tabs>
          <w:tab w:val="left" w:pos="48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Кормовая стрелковая башня КЭБ с пушкой ШВАК-20, с запасом снарядов 230 штук.</w:t>
      </w:r>
    </w:p>
    <w:p w14:paraId="4C8F489F" w14:textId="77777777" w:rsidR="00903E13" w:rsidRPr="00070ADE" w:rsidRDefault="00903E13" w:rsidP="00B56F90">
      <w:pPr>
        <w:tabs>
          <w:tab w:val="left" w:pos="51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Две стрелковые установки ШУ в обтекателях шасси, с пулеметами УБТ-12,7 мм с запасом патронов по 230 штук на каждую.</w:t>
      </w:r>
    </w:p>
    <w:p w14:paraId="2FE1E94F"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При установке двигателей АЧ-ЗОБ, по сравнению с серийным самолетом, имевшим те же двигатели, в винтомоторной группе были выполнены следующие изменения: улучшена продувка водорадиаторов путем установки туннеля с открытым входом и регулировкой на входе; установлены маслобаки увеличенной емкости с расчетом на 20 часов полета; установлены воздушно-масляные радиаторы вместо водо-масляных; введена топливная система с кольцеванием по всем четырем двигателям; введены винты типа УФ-61В с системой флюгирования.</w:t>
      </w:r>
    </w:p>
    <w:p w14:paraId="08C0449C"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отличие от серийных самолетов, на Пе-80Н было внедрено новое вертикальное оперение увеличенной площади с форкилем. Введены дополнительные окна в фюзеляже в районе пассажирской кабины.</w:t>
      </w:r>
    </w:p>
    <w:p w14:paraId="5314BE08"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проектных данных самолет должен был иметь следующие характеристики. Нормальная полетная масса самолета определялась в 30000 кг, масса пустого — в 21520 кг, полезная нагрузка — в 8480 кг, из них экипаж 10 человек — 860 кг, пассажиры 12 человек — 1056 кг, багаж — 200 кг, съемное вооружение и боезапас — 274 кг; масло — 920 кг, топливо — 5150 кг. В перегрузочном варианте полетная масса определялась в 35500 кг, при этом запас масла доводился до 1120 кг, топлива — до 10450 кг.</w:t>
      </w:r>
    </w:p>
    <w:p w14:paraId="5DCB1CEF"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нормальной полетной массе максимальная скорость у земли должна была равняться 360 км/ч, на 6000 м — 425 км/ч, посадочная скорость 125 км/ч, время подъема на высоту 5000 м 16,5 мин, практический потолок 9000 м, длина разбега — 485 м, пробега — 620 м. В перегрузочном варианте на 6000 м максимальная скорость падала до 407 км/ч, потолок до 7700 м, разбег увеличивался до 750 м, а время подъема на высоту 5000 м увеличивалось до 24,5 мин. Дальность полета на скорости 0,7 от максимальной на высоте 4000 м (полет без использования кислородного оборудования) в нормальном варианте составляла 3080 км, в перегрузочном — 6050 км. Перегоночная дальность без пассажиров с полными топливными баками составляла 6800 км (12626).</w:t>
      </w:r>
    </w:p>
    <w:p w14:paraId="5421E978" w14:textId="77777777" w:rsidR="00903E13" w:rsidRPr="00070ADE" w:rsidRDefault="00903E13" w:rsidP="00B56F90">
      <w:pPr>
        <w:spacing w:after="0" w:line="240" w:lineRule="auto"/>
        <w:jc w:val="both"/>
        <w:rPr>
          <w:rFonts w:ascii="Times New Roman" w:hAnsi="Times New Roman"/>
          <w:color w:val="000000" w:themeColor="text1"/>
          <w:sz w:val="16"/>
          <w:szCs w:val="16"/>
        </w:rPr>
      </w:pPr>
    </w:p>
    <w:p w14:paraId="3E8CECD4" w14:textId="65F0E912"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г. решением ГКО —№5402 работа по переоборудованию Пе—8 в самолет для спецрейсов правительственных делегаций, которая на заводе № 124</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шла под шифром «ОН» — само</w:t>
      </w:r>
      <w:r w:rsidRPr="00070ADE">
        <w:rPr>
          <w:rFonts w:ascii="Times New Roman" w:hAnsi="Times New Roman"/>
          <w:color w:val="000000" w:themeColor="text1"/>
          <w:sz w:val="16"/>
          <w:szCs w:val="16"/>
        </w:rPr>
        <w:softHyphen/>
        <w:t>лет особого назначения, получила офи</w:t>
      </w:r>
      <w:r w:rsidRPr="00070ADE">
        <w:rPr>
          <w:rFonts w:ascii="Times New Roman" w:hAnsi="Times New Roman"/>
          <w:color w:val="000000" w:themeColor="text1"/>
          <w:sz w:val="16"/>
          <w:szCs w:val="16"/>
        </w:rPr>
        <w:softHyphen/>
        <w:t>циальный статус. В том же году две такие машины (№42612 и №42712) были пост</w:t>
      </w:r>
      <w:r w:rsidRPr="00070ADE">
        <w:rPr>
          <w:rFonts w:ascii="Times New Roman" w:hAnsi="Times New Roman"/>
          <w:color w:val="000000" w:themeColor="text1"/>
          <w:sz w:val="16"/>
          <w:szCs w:val="16"/>
        </w:rPr>
        <w:softHyphen/>
        <w:t>роены. Внешне они отличались от боевых собратьев иллюминаторами, отсутствием верхней турели ТАТ, наличием форкиля. Внутри фюзеляжа размещались спальная кабина на трех человек, за ней — кабина на 12 человек. Был буфет, а в хвостовой части фюзеляжа — туалетная комната. Бомбоот</w:t>
      </w:r>
      <w:r w:rsidRPr="00070ADE">
        <w:rPr>
          <w:rFonts w:ascii="Times New Roman" w:hAnsi="Times New Roman"/>
          <w:color w:val="000000" w:themeColor="text1"/>
          <w:sz w:val="16"/>
          <w:szCs w:val="16"/>
        </w:rPr>
        <w:softHyphen/>
        <w:t>сек приспособили для перевозки багажа массой до 1200 кг. Кабины отапливались, вентилировались, но не были герметизи</w:t>
      </w:r>
      <w:r w:rsidRPr="00070ADE">
        <w:rPr>
          <w:rFonts w:ascii="Times New Roman" w:hAnsi="Times New Roman"/>
          <w:color w:val="000000" w:themeColor="text1"/>
          <w:sz w:val="16"/>
          <w:szCs w:val="16"/>
        </w:rPr>
        <w:softHyphen/>
        <w:t>рованы. Пассажирам предстояло пользо</w:t>
      </w:r>
      <w:r w:rsidRPr="00070ADE">
        <w:rPr>
          <w:rFonts w:ascii="Times New Roman" w:hAnsi="Times New Roman"/>
          <w:color w:val="000000" w:themeColor="text1"/>
          <w:sz w:val="16"/>
          <w:szCs w:val="16"/>
        </w:rPr>
        <w:softHyphen/>
        <w:t>ваться кислородными масками. Для этой цели предназначались 4 кислородных бал</w:t>
      </w:r>
      <w:r w:rsidRPr="00070ADE">
        <w:rPr>
          <w:rFonts w:ascii="Times New Roman" w:hAnsi="Times New Roman"/>
          <w:color w:val="000000" w:themeColor="text1"/>
          <w:sz w:val="16"/>
          <w:szCs w:val="16"/>
        </w:rPr>
        <w:softHyphen/>
        <w:t>лона и легочные автоматы КП—12. Была оставлена часть вооружения — носовая, кормовая и шассийные установки. По рас</w:t>
      </w:r>
      <w:r w:rsidRPr="00070ADE">
        <w:rPr>
          <w:rFonts w:ascii="Times New Roman" w:hAnsi="Times New Roman"/>
          <w:color w:val="000000" w:themeColor="text1"/>
          <w:sz w:val="16"/>
          <w:szCs w:val="16"/>
        </w:rPr>
        <w:softHyphen/>
        <w:t>четам получалось, что Пе—8 с дизелями АЧ—ЗОБ при взлетной массе 35500 кг спо</w:t>
      </w:r>
      <w:r w:rsidRPr="00070ADE">
        <w:rPr>
          <w:rFonts w:ascii="Times New Roman" w:hAnsi="Times New Roman"/>
          <w:color w:val="000000" w:themeColor="text1"/>
          <w:sz w:val="16"/>
          <w:szCs w:val="16"/>
        </w:rPr>
        <w:softHyphen/>
        <w:t>собен преодолеть 5600 км.</w:t>
      </w:r>
    </w:p>
    <w:p w14:paraId="3F6658D5" w14:textId="77777777" w:rsidR="00106719" w:rsidRPr="00070ADE" w:rsidRDefault="0010671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Заводские испытания в начале 1945 г. проходил самолет №42612 с двигателя</w:t>
      </w:r>
      <w:r w:rsidRPr="00070ADE">
        <w:rPr>
          <w:rFonts w:ascii="Times New Roman" w:hAnsi="Times New Roman"/>
          <w:color w:val="000000" w:themeColor="text1"/>
          <w:sz w:val="16"/>
          <w:szCs w:val="16"/>
        </w:rPr>
        <w:softHyphen/>
        <w:t>ми АЧ—ЗОБ и опытными винтами завода №28 УФ—61В. Самолет был оборудован антиобледенительной системой «Гуд</w:t>
      </w:r>
      <w:r w:rsidRPr="00070ADE">
        <w:rPr>
          <w:rFonts w:ascii="Times New Roman" w:hAnsi="Times New Roman"/>
          <w:color w:val="000000" w:themeColor="text1"/>
          <w:sz w:val="16"/>
          <w:szCs w:val="16"/>
        </w:rPr>
        <w:softHyphen/>
        <w:t>рич» — крыло, киль и стабилизатор. «В результате заводских испытаний под</w:t>
      </w:r>
      <w:r w:rsidRPr="00070ADE">
        <w:rPr>
          <w:rFonts w:ascii="Times New Roman" w:hAnsi="Times New Roman"/>
          <w:color w:val="000000" w:themeColor="text1"/>
          <w:sz w:val="16"/>
          <w:szCs w:val="16"/>
        </w:rPr>
        <w:softHyphen/>
        <w:t>твердилось, что летные данные самолета Пе—8 в пассажирском варианте с мото</w:t>
      </w:r>
      <w:r w:rsidRPr="00070ADE">
        <w:rPr>
          <w:rFonts w:ascii="Times New Roman" w:hAnsi="Times New Roman"/>
          <w:color w:val="000000" w:themeColor="text1"/>
          <w:sz w:val="16"/>
          <w:szCs w:val="16"/>
        </w:rPr>
        <w:softHyphen/>
        <w:t>рами АЧ—ЗОБ соответствуют данным, за</w:t>
      </w:r>
      <w:r w:rsidRPr="00070ADE">
        <w:rPr>
          <w:rFonts w:ascii="Times New Roman" w:hAnsi="Times New Roman"/>
          <w:color w:val="000000" w:themeColor="text1"/>
          <w:sz w:val="16"/>
          <w:szCs w:val="16"/>
        </w:rPr>
        <w:softHyphen/>
        <w:t>явленным конструкторским отделом в эскизном проекте». Отчет по результа</w:t>
      </w:r>
      <w:r w:rsidRPr="00070ADE">
        <w:rPr>
          <w:rFonts w:ascii="Times New Roman" w:hAnsi="Times New Roman"/>
          <w:color w:val="000000" w:themeColor="text1"/>
          <w:sz w:val="16"/>
          <w:szCs w:val="16"/>
        </w:rPr>
        <w:softHyphen/>
        <w:t>там испытаний был подписан 28 февра</w:t>
      </w:r>
      <w:r w:rsidRPr="00070ADE">
        <w:rPr>
          <w:rFonts w:ascii="Times New Roman" w:hAnsi="Times New Roman"/>
          <w:color w:val="000000" w:themeColor="text1"/>
          <w:sz w:val="16"/>
          <w:szCs w:val="16"/>
        </w:rPr>
        <w:softHyphen/>
        <w:t>ля 1945 г. (23474).</w:t>
      </w:r>
    </w:p>
    <w:p w14:paraId="546AB8B9" w14:textId="77777777" w:rsidR="00106719" w:rsidRPr="00070ADE" w:rsidRDefault="00106719" w:rsidP="00B56F90">
      <w:pPr>
        <w:spacing w:after="0" w:line="240" w:lineRule="auto"/>
        <w:jc w:val="both"/>
        <w:rPr>
          <w:rFonts w:ascii="Times New Roman" w:hAnsi="Times New Roman"/>
          <w:color w:val="000000" w:themeColor="text1"/>
          <w:sz w:val="16"/>
          <w:szCs w:val="16"/>
        </w:rPr>
      </w:pPr>
    </w:p>
    <w:p w14:paraId="340688F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вышло Постановление ГКО № 5406 Об авиационных лакокрасочных материалах. РГАНИР, Фонд ГКО, д. 219, лл. 21-34,35-61 (11012).</w:t>
      </w:r>
    </w:p>
    <w:p w14:paraId="79C16C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C7BDFD1"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вышло Постановление ГКО № 5406 Об авиационных лакокрасочных материалах</w:t>
      </w:r>
    </w:p>
    <w:p w14:paraId="07461F2F" w14:textId="77777777" w:rsidR="00F6766E" w:rsidRPr="00070ADE" w:rsidRDefault="00F6766E"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Государственный Комитет Обороны отмечает, что существующий уровень производства лакокрасочных ма</w:t>
      </w:r>
      <w:r w:rsidRPr="00070ADE">
        <w:rPr>
          <w:rFonts w:ascii="Times New Roman" w:cs="Times New Roman"/>
          <w:color w:val="000000" w:themeColor="text1"/>
          <w:spacing w:val="0"/>
          <w:sz w:val="16"/>
          <w:szCs w:val="16"/>
        </w:rPr>
        <w:softHyphen/>
        <w:t>териалов не обеспечивает возрастающей потребности в них самолетостроения и восстановления самолетов в частях ВВС Красной Армии из-за неудовлетворительной работы поставщиков химического сырья.</w:t>
      </w:r>
    </w:p>
    <w:p w14:paraId="282701C7" w14:textId="77777777" w:rsidR="00F6766E" w:rsidRPr="00070ADE" w:rsidRDefault="00F6766E"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Государственный Комитет Обороны отмечает плохую работу лесохимической промыщленности Наркомлеса СССР, выполнившей в 1943 году план выработки по уксусной кислоте всего лишь на 72% и бутилацетату - на 82%. Наркомлео СССР неудовлетворительно руководит работой лесохимических заводов, вследствие чего имеют место систематические простои лесохимических заводов из-за необеспеченности их сырьем, топливом и&lt; аварийного состояния оборудования.</w:t>
      </w:r>
    </w:p>
    <w:p w14:paraId="7B7BEF81" w14:textId="77777777" w:rsidR="00F6766E" w:rsidRPr="00070ADE" w:rsidRDefault="00F6766E"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Б целях бесперебойного обеспечения Наркомавиапрма и ВВС Красной Армии лакокрасочными материалами, Государственный К&amp;штет Ооороны постановляет:.</w:t>
      </w:r>
    </w:p>
    <w:p w14:paraId="5CA01B40"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Обязать Наркомхимпром - т.Первухина:</w:t>
      </w:r>
    </w:p>
    <w:p w14:paraId="05425BF7" w14:textId="415729CF"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 концу текущего гоца довести мощности дейст</w:t>
      </w:r>
      <w:r w:rsidRPr="00070ADE">
        <w:rPr>
          <w:rFonts w:ascii="Times New Roman" w:hAnsi="Times New Roman"/>
          <w:color w:val="000000" w:themeColor="text1"/>
          <w:sz w:val="16"/>
          <w:szCs w:val="16"/>
        </w:rPr>
        <w:softHyphen/>
        <w:t>вующих лакокрасочных заводов по производству нитрола</w:t>
      </w:r>
      <w:r w:rsidRPr="00070ADE">
        <w:rPr>
          <w:rFonts w:ascii="Times New Roman" w:hAnsi="Times New Roman"/>
          <w:color w:val="000000" w:themeColor="text1"/>
          <w:sz w:val="16"/>
          <w:szCs w:val="16"/>
        </w:rPr>
        <w:softHyphen/>
        <w:t>ков и растворителей - до 7.000 тонн в квартал и по производству аэроэмалей и грунтов - до 3.250 тонн в квартал;</w:t>
      </w:r>
    </w:p>
    <w:p w14:paraId="5DCED3EB"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поставить Наркомавиапрому во П квартале с.г. следующие лакокрасочные материалы:</w:t>
      </w:r>
    </w:p>
    <w:p w14:paraId="62A4B942" w14:textId="77777777" w:rsidR="00F6766E" w:rsidRPr="00070ADE" w:rsidRDefault="00F6766E" w:rsidP="00B56F90">
      <w:pPr>
        <w:tabs>
          <w:tab w:val="left" w:pos="387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нитролаки и растворители</w:t>
      </w:r>
      <w:r w:rsidRPr="00070ADE">
        <w:rPr>
          <w:rFonts w:ascii="Times New Roman" w:hAnsi="Times New Roman"/>
          <w:color w:val="000000" w:themeColor="text1"/>
          <w:sz w:val="16"/>
          <w:szCs w:val="16"/>
        </w:rPr>
        <w:tab/>
        <w:t>- 3.420 тонн</w:t>
      </w:r>
    </w:p>
    <w:p w14:paraId="6463FF7A" w14:textId="77777777" w:rsidR="00F6766E" w:rsidRPr="00070ADE" w:rsidRDefault="007E0398" w:rsidP="00B56F90">
      <w:pPr>
        <w:tabs>
          <w:tab w:val="left" w:pos="387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fldChar w:fldCharType="begin"/>
      </w:r>
      <w:r w:rsidR="00F6766E" w:rsidRPr="00070ADE">
        <w:rPr>
          <w:rFonts w:ascii="Times New Roman" w:hAnsi="Times New Roman"/>
          <w:color w:val="000000" w:themeColor="text1"/>
          <w:sz w:val="16"/>
          <w:szCs w:val="16"/>
        </w:rPr>
        <w:instrText xml:space="preserve"> TOC \o "1-3" \h \z </w:instrText>
      </w:r>
      <w:r w:rsidRPr="00070ADE">
        <w:rPr>
          <w:rFonts w:ascii="Times New Roman" w:hAnsi="Times New Roman"/>
          <w:color w:val="000000" w:themeColor="text1"/>
          <w:sz w:val="16"/>
          <w:szCs w:val="16"/>
        </w:rPr>
        <w:fldChar w:fldCharType="separate"/>
      </w:r>
      <w:r w:rsidR="00F6766E" w:rsidRPr="00070ADE">
        <w:rPr>
          <w:rFonts w:ascii="Times New Roman" w:hAnsi="Times New Roman"/>
          <w:color w:val="000000" w:themeColor="text1"/>
          <w:sz w:val="16"/>
          <w:szCs w:val="16"/>
        </w:rPr>
        <w:t>грунты</w:t>
      </w:r>
      <w:r w:rsidR="00F6766E" w:rsidRPr="00070ADE">
        <w:rPr>
          <w:rFonts w:ascii="Times New Roman" w:hAnsi="Times New Roman"/>
          <w:color w:val="000000" w:themeColor="text1"/>
          <w:sz w:val="16"/>
          <w:szCs w:val="16"/>
        </w:rPr>
        <w:tab/>
        <w:t>- 350</w:t>
      </w:r>
    </w:p>
    <w:p w14:paraId="6B4CD7BD" w14:textId="77777777" w:rsidR="00F6766E" w:rsidRPr="00070ADE" w:rsidRDefault="00F6766E" w:rsidP="00B56F90">
      <w:pPr>
        <w:tabs>
          <w:tab w:val="left" w:pos="387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аэроэмали</w:t>
      </w:r>
      <w:r w:rsidRPr="00070ADE">
        <w:rPr>
          <w:rFonts w:ascii="Times New Roman" w:hAnsi="Times New Roman"/>
          <w:color w:val="000000" w:themeColor="text1"/>
          <w:sz w:val="16"/>
          <w:szCs w:val="16"/>
        </w:rPr>
        <w:tab/>
        <w:t>- 400,</w:t>
      </w:r>
    </w:p>
    <w:p w14:paraId="7DFD677D" w14:textId="77777777" w:rsidR="00F6766E" w:rsidRPr="00070ADE" w:rsidRDefault="00F6766E" w:rsidP="00B56F90">
      <w:pPr>
        <w:tabs>
          <w:tab w:val="right" w:pos="624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крепители 4 ГУ</w:t>
      </w:r>
      <w:r w:rsidRPr="00070ADE">
        <w:rPr>
          <w:rFonts w:ascii="Times New Roman" w:hAnsi="Times New Roman"/>
          <w:color w:val="000000" w:themeColor="text1"/>
          <w:sz w:val="16"/>
          <w:szCs w:val="16"/>
        </w:rPr>
        <w:tab/>
        <w:t>- 200</w:t>
      </w:r>
    </w:p>
    <w:p w14:paraId="7D783419" w14:textId="77777777" w:rsidR="00F6766E" w:rsidRPr="00070ADE" w:rsidRDefault="00F6766E" w:rsidP="00B56F90">
      <w:pPr>
        <w:tabs>
          <w:tab w:val="left" w:pos="422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шпатлевка </w:t>
      </w:r>
      <w:r w:rsidRPr="00070ADE">
        <w:rPr>
          <w:rFonts w:ascii="Times New Roman" w:hAnsi="Times New Roman"/>
          <w:color w:val="000000" w:themeColor="text1"/>
          <w:sz w:val="16"/>
          <w:szCs w:val="16"/>
          <w:lang w:val="en-US"/>
        </w:rPr>
        <w:t>AM</w:t>
      </w:r>
      <w:r w:rsidRPr="00070ADE">
        <w:rPr>
          <w:rFonts w:ascii="Times New Roman" w:hAnsi="Times New Roman"/>
          <w:color w:val="000000" w:themeColor="text1"/>
          <w:sz w:val="16"/>
          <w:szCs w:val="16"/>
        </w:rPr>
        <w:tab/>
        <w:t>8</w:t>
      </w:r>
    </w:p>
    <w:p w14:paraId="07738F82" w14:textId="77777777" w:rsidR="00F6766E" w:rsidRPr="00070ADE" w:rsidRDefault="00F6766E" w:rsidP="00B56F90">
      <w:pPr>
        <w:tabs>
          <w:tab w:val="left" w:pos="389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масло "С"</w:t>
      </w:r>
      <w:r w:rsidRPr="00070ADE">
        <w:rPr>
          <w:rFonts w:ascii="Times New Roman" w:hAnsi="Times New Roman"/>
          <w:color w:val="000000" w:themeColor="text1"/>
          <w:sz w:val="16"/>
          <w:szCs w:val="16"/>
        </w:rPr>
        <w:tab/>
        <w:t>~ 350</w:t>
      </w:r>
    </w:p>
    <w:p w14:paraId="77551B68" w14:textId="77777777" w:rsidR="00F6766E" w:rsidRPr="00070ADE" w:rsidRDefault="00F6766E" w:rsidP="00B56F90">
      <w:pPr>
        <w:tabs>
          <w:tab w:val="left" w:pos="387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клей казеиновый</w:t>
      </w:r>
      <w:r w:rsidRPr="00070ADE">
        <w:rPr>
          <w:rFonts w:ascii="Times New Roman" w:hAnsi="Times New Roman"/>
          <w:color w:val="000000" w:themeColor="text1"/>
          <w:sz w:val="16"/>
          <w:szCs w:val="16"/>
        </w:rPr>
        <w:tab/>
        <w:t>- 350</w:t>
      </w:r>
    </w:p>
    <w:p w14:paraId="170952EE" w14:textId="77777777" w:rsidR="00F6766E" w:rsidRPr="00070ADE" w:rsidRDefault="00F6766E" w:rsidP="00B56F90">
      <w:pPr>
        <w:tabs>
          <w:tab w:val="left" w:pos="387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изоляционные лаки</w:t>
      </w:r>
      <w:r w:rsidRPr="00070ADE">
        <w:rPr>
          <w:rFonts w:ascii="Times New Roman" w:hAnsi="Times New Roman"/>
          <w:color w:val="000000" w:themeColor="text1"/>
          <w:sz w:val="16"/>
          <w:szCs w:val="16"/>
        </w:rPr>
        <w:tab/>
        <w:t>- 50</w:t>
      </w:r>
    </w:p>
    <w:p w14:paraId="5BBF2889" w14:textId="77777777" w:rsidR="00F6766E" w:rsidRPr="00070ADE" w:rsidRDefault="00F6766E" w:rsidP="00B56F90">
      <w:pPr>
        <w:tabs>
          <w:tab w:val="left" w:pos="387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лак РМГ</w:t>
      </w:r>
      <w:r w:rsidRPr="00070ADE">
        <w:rPr>
          <w:rFonts w:ascii="Times New Roman" w:hAnsi="Times New Roman"/>
          <w:color w:val="000000" w:themeColor="text1"/>
          <w:sz w:val="16"/>
          <w:szCs w:val="16"/>
        </w:rPr>
        <w:tab/>
        <w:t>- 20</w:t>
      </w:r>
    </w:p>
    <w:p w14:paraId="4F82F2D3" w14:textId="77777777" w:rsidR="00F6766E" w:rsidRPr="00070ADE" w:rsidRDefault="00F6766E" w:rsidP="00B56F90">
      <w:pPr>
        <w:tabs>
          <w:tab w:val="left" w:pos="388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лак № 67</w:t>
      </w:r>
      <w:r w:rsidRPr="00070ADE">
        <w:rPr>
          <w:rFonts w:ascii="Times New Roman" w:hAnsi="Times New Roman"/>
          <w:color w:val="000000" w:themeColor="text1"/>
          <w:sz w:val="16"/>
          <w:szCs w:val="16"/>
        </w:rPr>
        <w:tab/>
        <w:t>- 15</w:t>
      </w:r>
    </w:p>
    <w:p w14:paraId="6DAA676F" w14:textId="77777777" w:rsidR="00F6766E" w:rsidRPr="00070ADE" w:rsidRDefault="00F6766E" w:rsidP="00B56F90">
      <w:pPr>
        <w:tabs>
          <w:tab w:val="left" w:pos="389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разные иасляныее-лаки</w:t>
      </w:r>
      <w:r w:rsidRPr="00070ADE">
        <w:rPr>
          <w:rFonts w:ascii="Times New Roman" w:hAnsi="Times New Roman"/>
          <w:color w:val="000000" w:themeColor="text1"/>
          <w:sz w:val="16"/>
          <w:szCs w:val="16"/>
        </w:rPr>
        <w:tab/>
        <w:t>- 70</w:t>
      </w:r>
    </w:p>
    <w:p w14:paraId="3D4F04E9" w14:textId="77777777" w:rsidR="00F6766E" w:rsidRPr="00070ADE" w:rsidRDefault="00F6766E" w:rsidP="00B56F90">
      <w:pPr>
        <w:tabs>
          <w:tab w:val="left" w:pos="387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масляные краски</w:t>
      </w:r>
      <w:r w:rsidRPr="00070ADE">
        <w:rPr>
          <w:rFonts w:ascii="Times New Roman" w:hAnsi="Times New Roman"/>
          <w:color w:val="000000" w:themeColor="text1"/>
          <w:sz w:val="16"/>
          <w:szCs w:val="16"/>
        </w:rPr>
        <w:tab/>
        <w:t>- 100</w:t>
      </w:r>
    </w:p>
    <w:p w14:paraId="1B7C3497" w14:textId="77777777" w:rsidR="00F6766E" w:rsidRPr="00070ADE" w:rsidRDefault="00F6766E" w:rsidP="00B56F90">
      <w:pPr>
        <w:tabs>
          <w:tab w:val="left" w:pos="2583"/>
          <w:tab w:val="right" w:pos="534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лак № 411</w:t>
      </w:r>
      <w:r w:rsidRPr="00070ADE">
        <w:rPr>
          <w:rFonts w:ascii="Times New Roman" w:hAnsi="Times New Roman"/>
          <w:color w:val="000000" w:themeColor="text1"/>
          <w:sz w:val="16"/>
          <w:szCs w:val="16"/>
        </w:rPr>
        <w:tab/>
        <w:t>- 5.</w:t>
      </w:r>
    </w:p>
    <w:p w14:paraId="06FA4573" w14:textId="77777777" w:rsidR="00F6766E" w:rsidRPr="00070ADE" w:rsidRDefault="00F6766E" w:rsidP="00B56F90">
      <w:pPr>
        <w:tabs>
          <w:tab w:val="left" w:pos="387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двуокись титана</w:t>
      </w:r>
      <w:r w:rsidRPr="00070ADE">
        <w:rPr>
          <w:rFonts w:ascii="Times New Roman" w:hAnsi="Times New Roman"/>
          <w:color w:val="000000" w:themeColor="text1"/>
          <w:sz w:val="16"/>
          <w:szCs w:val="16"/>
        </w:rPr>
        <w:tab/>
        <w:t>- 20</w:t>
      </w:r>
    </w:p>
    <w:p w14:paraId="4A46EFEB" w14:textId="77777777" w:rsidR="00F6766E" w:rsidRPr="00070ADE" w:rsidRDefault="00F6766E" w:rsidP="00B56F90">
      <w:pPr>
        <w:tabs>
          <w:tab w:val="left" w:pos="3893"/>
          <w:tab w:val="left" w:pos="471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метокриловый лак</w:t>
      </w:r>
      <w:r w:rsidRPr="00070ADE">
        <w:rPr>
          <w:rFonts w:ascii="Times New Roman" w:hAnsi="Times New Roman"/>
          <w:color w:val="000000" w:themeColor="text1"/>
          <w:sz w:val="16"/>
          <w:szCs w:val="16"/>
        </w:rPr>
        <w:tab/>
        <w:t>-</w:t>
      </w:r>
      <w:r w:rsidRPr="00070ADE">
        <w:rPr>
          <w:rFonts w:ascii="Times New Roman" w:hAnsi="Times New Roman"/>
          <w:color w:val="000000" w:themeColor="text1"/>
          <w:sz w:val="16"/>
          <w:szCs w:val="16"/>
        </w:rPr>
        <w:tab/>
        <w:t>2</w:t>
      </w:r>
      <w:r w:rsidR="007E0398" w:rsidRPr="00070ADE">
        <w:rPr>
          <w:rFonts w:ascii="Times New Roman" w:hAnsi="Times New Roman"/>
          <w:color w:val="000000" w:themeColor="text1"/>
          <w:sz w:val="16"/>
          <w:szCs w:val="16"/>
        </w:rPr>
        <w:fldChar w:fldCharType="end"/>
      </w:r>
    </w:p>
    <w:p w14:paraId="1E6EEB7B"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Поставку лакокрасочных материалов Наркомавиапрому производить равномерно по месяцам, впереди всех других потребителей, по декадным графикам, согласованным с Наркомавиапромом.</w:t>
      </w:r>
    </w:p>
    <w:p w14:paraId="204C90BF"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Обязать Наркомместпром РМФСР - т.Смиряева по</w:t>
      </w:r>
      <w:r w:rsidRPr="00070ADE">
        <w:rPr>
          <w:rFonts w:ascii="Times New Roman" w:hAnsi="Times New Roman"/>
          <w:color w:val="000000" w:themeColor="text1"/>
          <w:sz w:val="16"/>
          <w:szCs w:val="16"/>
        </w:rPr>
        <w:softHyphen/>
        <w:t>ставить Наркомавиапрому во П квартале с.г. следующие лакокрасочные материалы:</w:t>
      </w:r>
    </w:p>
    <w:p w14:paraId="3459B8AB"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цинк хлористый - 35 т</w:t>
      </w:r>
    </w:p>
    <w:p w14:paraId="710E4452"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цинк сернокислый - 40</w:t>
      </w:r>
    </w:p>
    <w:p w14:paraId="4B5FF393"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паста ГОИ - 5</w:t>
      </w:r>
    </w:p>
    <w:p w14:paraId="3B103CEC"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поташ - 50</w:t>
      </w:r>
    </w:p>
    <w:p w14:paraId="78FE0080"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магнезит "Уста" - 5</w:t>
      </w:r>
    </w:p>
    <w:p w14:paraId="43661560"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бура - 25</w:t>
      </w:r>
    </w:p>
    <w:p w14:paraId="3E4EECDA"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борная кислота - 30</w:t>
      </w:r>
    </w:p>
    <w:p w14:paraId="74E12D07"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растворители и смывки - 400</w:t>
      </w:r>
    </w:p>
    <w:p w14:paraId="7D894A78"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краски эмалевые и тертые - 320</w:t>
      </w:r>
    </w:p>
    <w:p w14:paraId="16FAD136"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крепитель - 150</w:t>
      </w:r>
    </w:p>
    <w:p w14:paraId="2F38C296" w14:textId="77777777" w:rsidR="00F6766E" w:rsidRPr="00070ADE" w:rsidRDefault="00F6766E" w:rsidP="00B56F90">
      <w:pPr>
        <w:tabs>
          <w:tab w:val="left" w:pos="84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Установить план производства уксусной кислоты на 1944 г. в количестве 7500 тонн, в ток числе по Нар</w:t>
      </w:r>
      <w:r w:rsidRPr="00070ADE">
        <w:rPr>
          <w:rFonts w:ascii="Times New Roman" w:hAnsi="Times New Roman"/>
          <w:color w:val="000000" w:themeColor="text1"/>
          <w:sz w:val="16"/>
          <w:szCs w:val="16"/>
        </w:rPr>
        <w:softHyphen/>
        <w:t>ком лесу ССОР - 7000 тонн и Наркомместпрому РСФСР - 500 тонн.</w:t>
      </w:r>
    </w:p>
    <w:p w14:paraId="2F8DB049" w14:textId="77777777" w:rsidR="00F6766E" w:rsidRPr="00070ADE" w:rsidRDefault="00F6766E" w:rsidP="00B56F90">
      <w:pPr>
        <w:tabs>
          <w:tab w:val="left" w:pos="86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Обязать Наркомлес СССР - т.Салтыкова:</w:t>
      </w:r>
    </w:p>
    <w:p w14:paraId="69B0B868" w14:textId="77777777" w:rsidR="00F6766E" w:rsidRPr="00070ADE" w:rsidRDefault="00F6766E" w:rsidP="00B56F90">
      <w:pPr>
        <w:tabs>
          <w:tab w:val="left" w:pos="85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при всех условиях обеспечить выработку в 1944 году 7000 тонн уксусной кислоты, в том числе: во П квар</w:t>
      </w:r>
      <w:r w:rsidRPr="00070ADE">
        <w:rPr>
          <w:rFonts w:ascii="Times New Roman" w:hAnsi="Times New Roman"/>
          <w:color w:val="000000" w:themeColor="text1"/>
          <w:sz w:val="16"/>
          <w:szCs w:val="16"/>
        </w:rPr>
        <w:softHyphen/>
        <w:t>тале с.г. - 1550 тонн, в Ш квартале с.-гч, - 1800 тонн и в 1У.квартале с.г. - 2100 тонн</w:t>
      </w:r>
    </w:p>
    <w:p w14:paraId="3B9F7075" w14:textId="77777777" w:rsidR="00F6766E" w:rsidRPr="00070ADE" w:rsidRDefault="00F6766E" w:rsidP="00B56F90">
      <w:pPr>
        <w:tabs>
          <w:tab w:val="left" w:pos="85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к октябрю с.г. довести мощности действующих лесохимических заводов по выработке уксусной кислоты до 8000 тонн в год, в том числе: на Ашинском заводе до 2000 тонн, на Сявском - до 1000 тонн и на Дмитриевском заводе до 5000 тонн и по ацетатным растворителям - до 2000 тонн в квартал;</w:t>
      </w:r>
    </w:p>
    <w:p w14:paraId="6EAA09F3" w14:textId="77777777" w:rsidR="00F6766E" w:rsidRPr="00070ADE" w:rsidRDefault="00F6766E" w:rsidP="00B56F90">
      <w:pPr>
        <w:tabs>
          <w:tab w:val="left" w:pos="86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выработать на Ижевском лесохимзаводе в 1944 году 7000 тонн уксусно-кальциевого порошка.</w:t>
      </w:r>
    </w:p>
    <w:p w14:paraId="0C4C9A21" w14:textId="77777777" w:rsidR="00F6766E" w:rsidRPr="00070ADE" w:rsidRDefault="00F6766E" w:rsidP="00B56F90">
      <w:pPr>
        <w:tabs>
          <w:tab w:val="left" w:pos="89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Установить план выработки бутанола, ацетона и ацетатных растворителей на, К квартал с .г.:</w:t>
      </w:r>
    </w:p>
    <w:p w14:paraId="71C1985C"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Наркомкесу СССР - бутилацетата - 750 тонн,</w:t>
      </w:r>
    </w:p>
    <w:p w14:paraId="2AFF005A"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этилацетата - 700 тонн, ацетона - 75 тонн;</w:t>
      </w:r>
    </w:p>
    <w:p w14:paraId="13BD4B26"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Наркомпищепрому СССР - бутанола 1600 тонн аце</w:t>
      </w:r>
      <w:r w:rsidRPr="00070ADE">
        <w:rPr>
          <w:rFonts w:ascii="Times New Roman" w:hAnsi="Times New Roman"/>
          <w:color w:val="000000" w:themeColor="text1"/>
          <w:sz w:val="16"/>
          <w:szCs w:val="16"/>
        </w:rPr>
        <w:softHyphen/>
        <w:t>тона - 950 тонн</w:t>
      </w:r>
    </w:p>
    <w:p w14:paraId="5FF8AB19"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Наркомрезинпрому - бутанола 250 тонн</w:t>
      </w:r>
    </w:p>
    <w:p w14:paraId="61C8C40F" w14:textId="77777777" w:rsidR="00F6766E" w:rsidRPr="00070ADE" w:rsidRDefault="00F6766E" w:rsidP="00B56F90">
      <w:pPr>
        <w:tabs>
          <w:tab w:val="left" w:pos="89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Обявать Каркомпищепром СССР - т.Зотова к 1 июля с.г. довести мощности ацетоно-бутаноловых заводов до 31 тонны бутанола в сутки, в том числе: Грозненского завода до 9 тонн и Докшукинского, завода - до 10 тонн бутанола в су тки.</w:t>
      </w:r>
    </w:p>
    <w:p w14:paraId="6E165574" w14:textId="77777777" w:rsidR="00F6766E" w:rsidRPr="00070ADE" w:rsidRDefault="00F6766E" w:rsidP="00B56F90">
      <w:pPr>
        <w:tabs>
          <w:tab w:val="left" w:pos="90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7. Выделить в распоряжение Наркомлеса СССР и Нар компищепрома СССР по 200 тыс. рублей на премирование работников лесхимзаводов и ацетоно-бутаноловых заводов за выполнение в срок задания по развитию мощностей этих заводов</w:t>
      </w:r>
    </w:p>
    <w:p w14:paraId="69D93375" w14:textId="77777777" w:rsidR="00F6766E" w:rsidRPr="00070ADE" w:rsidRDefault="00F6766E" w:rsidP="00B56F90">
      <w:pPr>
        <w:tabs>
          <w:tab w:val="left" w:pos="90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8. Обязать Наркомпищепром СССР - т.Зотова и Наркоирезинпром - т.Митрохина поставить Наркомлесу СССР </w:t>
      </w:r>
      <w:r w:rsidRPr="00070ADE">
        <w:rPr>
          <w:rStyle w:val="2pt"/>
          <w:rFonts w:ascii="Times New Roman" w:hAnsi="Times New Roman" w:cs="Times New Roman"/>
          <w:color w:val="000000" w:themeColor="text1"/>
          <w:spacing w:val="0"/>
          <w:sz w:val="16"/>
          <w:szCs w:val="16"/>
        </w:rPr>
        <w:t>воП</w:t>
      </w:r>
      <w:r w:rsidRPr="00070ADE">
        <w:rPr>
          <w:rFonts w:ascii="Times New Roman" w:hAnsi="Times New Roman"/>
          <w:color w:val="000000" w:themeColor="text1"/>
          <w:sz w:val="16"/>
          <w:szCs w:val="16"/>
        </w:rPr>
        <w:t xml:space="preserve"> квартале с.г. 780 тонн бутанола, в том числе: с заводов' Наркомпищепрома - 700 тонн и с заводов Наркомрезинпрома - 80 тонн. Поставку производить равномерно по месяцам.</w:t>
      </w:r>
    </w:p>
    <w:p w14:paraId="4C97F422" w14:textId="77777777" w:rsidR="00F6766E" w:rsidRPr="00070ADE" w:rsidRDefault="00F6766E" w:rsidP="00B56F90">
      <w:pPr>
        <w:tabs>
          <w:tab w:val="left" w:pos="89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Обявать Наркомпищепром СССР -т.Зотова и Наркомлес СССР - т.Салтыкова поставить Наркомхимпрому во П квартале с.г, целевым назначением для приготовления авиационных лакокрасочных материалов:</w:t>
      </w:r>
    </w:p>
    <w:p w14:paraId="7C7D9404"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бутанола </w:t>
      </w:r>
      <w:r w:rsidRPr="00070ADE">
        <w:rPr>
          <w:rStyle w:val="-1pt"/>
          <w:rFonts w:ascii="Times New Roman" w:hAnsi="Times New Roman" w:cs="Times New Roman"/>
          <w:color w:val="000000" w:themeColor="text1"/>
          <w:spacing w:val="0"/>
          <w:sz w:val="16"/>
          <w:szCs w:val="16"/>
        </w:rPr>
        <w:t>565</w:t>
      </w:r>
      <w:r w:rsidRPr="00070ADE">
        <w:rPr>
          <w:rFonts w:ascii="Times New Roman" w:hAnsi="Times New Roman"/>
          <w:color w:val="000000" w:themeColor="text1"/>
          <w:sz w:val="16"/>
          <w:szCs w:val="16"/>
        </w:rPr>
        <w:t xml:space="preserve"> тонн от Наркомпищепрома СССР;</w:t>
      </w:r>
    </w:p>
    <w:p w14:paraId="78A44B38"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ацетона 600 тонн, из них 360 тонн от Наркомпищепрома и 240 тонн из импортных поступлений;</w:t>
      </w:r>
    </w:p>
    <w:p w14:paraId="51E6A797"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от Наркомлеса </w:t>
      </w:r>
      <w:r w:rsidRPr="00070ADE">
        <w:rPr>
          <w:rStyle w:val="-1pt"/>
          <w:rFonts w:ascii="Times New Roman" w:hAnsi="Times New Roman" w:cs="Times New Roman"/>
          <w:color w:val="000000" w:themeColor="text1"/>
          <w:spacing w:val="0"/>
          <w:sz w:val="16"/>
          <w:szCs w:val="16"/>
        </w:rPr>
        <w:t>СССР -</w:t>
      </w:r>
      <w:r w:rsidRPr="00070ADE">
        <w:rPr>
          <w:rFonts w:ascii="Times New Roman" w:hAnsi="Times New Roman"/>
          <w:color w:val="000000" w:themeColor="text1"/>
          <w:sz w:val="16"/>
          <w:szCs w:val="16"/>
        </w:rPr>
        <w:t xml:space="preserve"> 650 тонн бутилацетата и </w:t>
      </w:r>
      <w:r w:rsidRPr="00070ADE">
        <w:rPr>
          <w:rStyle w:val="-1pt"/>
          <w:rFonts w:ascii="Times New Roman" w:hAnsi="Times New Roman" w:cs="Times New Roman"/>
          <w:color w:val="000000" w:themeColor="text1"/>
          <w:spacing w:val="0"/>
          <w:sz w:val="16"/>
          <w:szCs w:val="16"/>
        </w:rPr>
        <w:t xml:space="preserve">500 </w:t>
      </w:r>
      <w:r w:rsidRPr="00070ADE">
        <w:rPr>
          <w:rFonts w:ascii="Times New Roman" w:hAnsi="Times New Roman"/>
          <w:color w:val="000000" w:themeColor="text1"/>
          <w:sz w:val="16"/>
          <w:szCs w:val="16"/>
        </w:rPr>
        <w:t>тонн этилацетата.</w:t>
      </w:r>
    </w:p>
    <w:p w14:paraId="18B83CA0" w14:textId="3BFA57BA"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Обязать Наркомчермет - т.Тевосяна, Наркомхим пром - т.Первухина, Наркомстройматериалов СССР - т.Со</w:t>
      </w:r>
      <w:r w:rsidRPr="00070ADE">
        <w:rPr>
          <w:rFonts w:ascii="Times New Roman" w:hAnsi="Times New Roman"/>
          <w:color w:val="000000" w:themeColor="text1"/>
          <w:sz w:val="16"/>
          <w:szCs w:val="16"/>
        </w:rPr>
        <w:softHyphen/>
        <w:t xml:space="preserve">сняка, Наркомтанкопром - т; Мвлышева ; Главснаблес при </w:t>
      </w:r>
      <w:r w:rsidRPr="00070ADE">
        <w:rPr>
          <w:rFonts w:ascii="Times New Roman" w:hAnsi="Times New Roman"/>
          <w:color w:val="000000" w:themeColor="text1"/>
          <w:sz w:val="16"/>
          <w:szCs w:val="16"/>
          <w:lang w:val="en-US"/>
        </w:rPr>
        <w:t>CHK</w:t>
      </w:r>
      <w:r w:rsidRPr="00070ADE">
        <w:rPr>
          <w:rFonts w:ascii="Times New Roman" w:hAnsi="Times New Roman"/>
          <w:color w:val="000000" w:themeColor="text1"/>
          <w:sz w:val="16"/>
          <w:szCs w:val="16"/>
        </w:rPr>
        <w:t xml:space="preserve"> СССР - т. Лопухова, Нарком резинпром - т.Митрохина, Наркомбумпром - т.Чеботарева, Наркомминвооружения - т.Паршина, Наркомэлектропром - т.Кабанова, Наркомсредмащ - т.Акопова, Наркомтяжмаш - т.Казакова, Наркомтек стиль ССОР - т. Акимова, Наркомлегпром СССР - т. Лукина, Наркомбоеприпасов - т.Ванникова, Наркомцветмет - т.Ло- мако, НКПС - т.Кагановича, Главнефтеснаб при СНК СССР т.Широкова, Наркомнефть - т.Седина, Нарком станкострое</w:t>
      </w:r>
      <w:r w:rsidRPr="00070ADE">
        <w:rPr>
          <w:rFonts w:ascii="Times New Roman" w:hAnsi="Times New Roman"/>
          <w:color w:val="000000" w:themeColor="text1"/>
          <w:sz w:val="16"/>
          <w:szCs w:val="16"/>
        </w:rPr>
        <w:softHyphen/>
        <w:t>ния - т.Ефремова, Наркомпищепром СССР - т,.Зотова, Наркомлес СССР - т. Салтыкова, УПК при СНК РСФСР - т. Крав</w:t>
      </w:r>
      <w:r w:rsidRPr="00070ADE">
        <w:rPr>
          <w:rFonts w:ascii="Times New Roman" w:hAnsi="Times New Roman"/>
          <w:color w:val="000000" w:themeColor="text1"/>
          <w:sz w:val="16"/>
          <w:szCs w:val="16"/>
        </w:rPr>
        <w:softHyphen/>
        <w:t xml:space="preserve">чука, Наркомстройматериаяов </w:t>
      </w:r>
      <w:r w:rsidRPr="00070ADE">
        <w:rPr>
          <w:rFonts w:ascii="Times New Roman" w:hAnsi="Times New Roman"/>
          <w:color w:val="000000" w:themeColor="text1"/>
          <w:sz w:val="16"/>
          <w:szCs w:val="16"/>
          <w:lang w:val="en-US"/>
        </w:rPr>
        <w:t>PC</w:t>
      </w:r>
      <w:r w:rsidRPr="00070ADE">
        <w:rPr>
          <w:rFonts w:ascii="Times New Roman" w:hAnsi="Times New Roman"/>
          <w:color w:val="000000" w:themeColor="text1"/>
          <w:sz w:val="16"/>
          <w:szCs w:val="16"/>
        </w:rPr>
        <w:t>Ф</w:t>
      </w:r>
      <w:r w:rsidRPr="00070ADE">
        <w:rPr>
          <w:rFonts w:ascii="Times New Roman" w:hAnsi="Times New Roman"/>
          <w:color w:val="000000" w:themeColor="text1"/>
          <w:sz w:val="16"/>
          <w:szCs w:val="16"/>
          <w:lang w:val="en-US"/>
        </w:rPr>
        <w:t>CP</w:t>
      </w:r>
      <w:r w:rsidRPr="00070ADE">
        <w:rPr>
          <w:rFonts w:ascii="Times New Roman" w:hAnsi="Times New Roman"/>
          <w:color w:val="000000" w:themeColor="text1"/>
          <w:sz w:val="16"/>
          <w:szCs w:val="16"/>
        </w:rPr>
        <w:t xml:space="preserve"> - т.Гвовдарева, Нар коммясомолпром - т.Смирнова, Наркомместпром </w:t>
      </w:r>
      <w:r w:rsidRPr="00070ADE">
        <w:rPr>
          <w:rFonts w:ascii="Times New Roman" w:hAnsi="Times New Roman"/>
          <w:color w:val="000000" w:themeColor="text1"/>
          <w:sz w:val="16"/>
          <w:szCs w:val="16"/>
          <w:lang w:val="en-US"/>
        </w:rPr>
        <w:t>PC</w:t>
      </w:r>
      <w:r w:rsidRPr="00070ADE">
        <w:rPr>
          <w:rFonts w:ascii="Times New Roman" w:hAnsi="Times New Roman"/>
          <w:color w:val="000000" w:themeColor="text1"/>
          <w:sz w:val="16"/>
          <w:szCs w:val="16"/>
        </w:rPr>
        <w:t>Ф</w:t>
      </w:r>
      <w:r w:rsidRPr="00070ADE">
        <w:rPr>
          <w:rFonts w:ascii="Times New Roman" w:hAnsi="Times New Roman"/>
          <w:color w:val="000000" w:themeColor="text1"/>
          <w:sz w:val="16"/>
          <w:szCs w:val="16"/>
          <w:lang w:val="en-US"/>
        </w:rPr>
        <w:t>CP</w:t>
      </w:r>
      <w:r w:rsidRPr="00070ADE">
        <w:rPr>
          <w:rFonts w:ascii="Times New Roman" w:hAnsi="Times New Roman"/>
          <w:color w:val="000000" w:themeColor="text1"/>
          <w:sz w:val="16"/>
          <w:szCs w:val="16"/>
        </w:rPr>
        <w:t xml:space="preserve"> - т.Смиряева, Наркомздрав СССР - т.Митерева, Наркомвнешторг - т.Крутикова, Наркомавиапром - т.Шахурина обеспе</w:t>
      </w:r>
      <w:r w:rsidRPr="00070ADE">
        <w:rPr>
          <w:rFonts w:ascii="Times New Roman" w:hAnsi="Times New Roman"/>
          <w:color w:val="000000" w:themeColor="text1"/>
          <w:sz w:val="16"/>
          <w:szCs w:val="16"/>
        </w:rPr>
        <w:softHyphen/>
        <w:t xml:space="preserve">чить поставку во П квартале с.г. сырья, материалов и Оборудования лакокрасочным заводам Наркомхимпрома, Главхимпрому Наркомместпрома РСФСР, Главлесхиму Нарком леса СССР и ацетоно-бутаноловым заводам Наркомпищепрома СССР в количествах и сроки, согласно прилокениям №№ 1-7 </w:t>
      </w:r>
    </w:p>
    <w:p w14:paraId="6EFA87C2"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Поставку производить наравне с поставками Наркомавиапрому.</w:t>
      </w:r>
    </w:p>
    <w:p w14:paraId="1C37222D"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Запретить.без специального на то, в каждом отдель</w:t>
      </w:r>
      <w:r w:rsidRPr="00070ADE">
        <w:rPr>
          <w:rFonts w:ascii="Times New Roman" w:hAnsi="Times New Roman"/>
          <w:color w:val="000000" w:themeColor="text1"/>
          <w:sz w:val="16"/>
          <w:szCs w:val="16"/>
        </w:rPr>
        <w:softHyphen/>
        <w:t>ном случае разрешения ГОКО, изменять сроки поставки и уменьшать количество материалов и оборудования, выде</w:t>
      </w:r>
      <w:r w:rsidRPr="00070ADE">
        <w:rPr>
          <w:rFonts w:ascii="Times New Roman" w:hAnsi="Times New Roman"/>
          <w:color w:val="000000" w:themeColor="text1"/>
          <w:sz w:val="16"/>
          <w:szCs w:val="16"/>
        </w:rPr>
        <w:softHyphen/>
        <w:t>ленных настоящим постановлением.</w:t>
      </w:r>
    </w:p>
    <w:p w14:paraId="0A26E634"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Обязать народных комиссаров, поставляющих сырье и материалы для лакокрасочных заводов Наркомхимпрома и их смежников, поставку произодить в строгом моответствии с существующими ОСТ"ами и техническими условиями, равномерно по</w:t>
      </w:r>
      <w:r w:rsidRPr="00070ADE">
        <w:rPr>
          <w:rFonts w:ascii="Times New Roman" w:hAnsi="Times New Roman"/>
          <w:color w:val="000000" w:themeColor="text1"/>
          <w:sz w:val="16"/>
          <w:szCs w:val="16"/>
          <w:vertAlign w:val="subscript"/>
        </w:rPr>
        <w:t>;</w:t>
      </w:r>
      <w:r w:rsidRPr="00070ADE">
        <w:rPr>
          <w:rFonts w:ascii="Times New Roman" w:hAnsi="Times New Roman"/>
          <w:color w:val="000000" w:themeColor="text1"/>
          <w:sz w:val="16"/>
          <w:szCs w:val="16"/>
        </w:rPr>
        <w:t xml:space="preserve"> месяцам, оканчивая поставку не позже 25 числа каждого месяца. Представлять каждого 5-го числа в Государственный Комитет Оборони отчет о выполнении плана поставок.</w:t>
      </w:r>
    </w:p>
    <w:p w14:paraId="115A01CE" w14:textId="77777777" w:rsidR="00F6766E" w:rsidRPr="00070ADE" w:rsidRDefault="00F6766E" w:rsidP="00B56F90">
      <w:pPr>
        <w:tabs>
          <w:tab w:val="left" w:pos="101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Обязать Наркомзаг СССР - т.Субботина поставить во П квартале 1944 г. Наркомпищепрому СССР для ацетоно- бутаноловых заводов 15,2 тыс.тонн кукурузной муки, рав</w:t>
      </w:r>
      <w:r w:rsidRPr="00070ADE">
        <w:rPr>
          <w:rFonts w:ascii="Times New Roman" w:hAnsi="Times New Roman"/>
          <w:color w:val="000000" w:themeColor="text1"/>
          <w:sz w:val="16"/>
          <w:szCs w:val="16"/>
        </w:rPr>
        <w:softHyphen/>
        <w:t>ными партиями по месяцам.</w:t>
      </w:r>
    </w:p>
    <w:p w14:paraId="4503F60E" w14:textId="77777777" w:rsidR="00F6766E" w:rsidRPr="00070ADE" w:rsidRDefault="00F6766E" w:rsidP="00B56F90">
      <w:pPr>
        <w:tabs>
          <w:tab w:val="left" w:pos="102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Отметить, что Наркомчермет не выполнил поста</w:t>
      </w:r>
      <w:r w:rsidRPr="00070ADE">
        <w:rPr>
          <w:rFonts w:ascii="Times New Roman" w:hAnsi="Times New Roman"/>
          <w:color w:val="000000" w:themeColor="text1"/>
          <w:sz w:val="16"/>
          <w:szCs w:val="16"/>
        </w:rPr>
        <w:softHyphen/>
        <w:t>новление СНХ СССР и ЦК В.-ОД(б) № 1290 от 9 мая 1941 года в части постройки в течение 1941-1942 годов установок по производству уксусно-кальциевого порошка.- Обязать Наркомчермет - т.Тевосяна:</w:t>
      </w:r>
    </w:p>
    <w:p w14:paraId="44035618" w14:textId="77777777" w:rsidR="00F6766E" w:rsidRPr="00070ADE" w:rsidRDefault="00F6766E" w:rsidP="00B56F90">
      <w:pPr>
        <w:tabs>
          <w:tab w:val="left" w:pos="89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ввести в 1944 году двухканальную установку сис</w:t>
      </w:r>
      <w:r w:rsidRPr="00070ADE">
        <w:rPr>
          <w:rFonts w:ascii="Times New Roman" w:hAnsi="Times New Roman"/>
          <w:color w:val="000000" w:themeColor="text1"/>
          <w:sz w:val="16"/>
          <w:szCs w:val="16"/>
        </w:rPr>
        <w:softHyphen/>
        <w:t xml:space="preserve">темы Козлова по использованию химпродуктов на Верхне- Синячихинском углежжении, производительностью 1000 тонн в год. Обеспечить работу одного канала печи о 1 мая с.г. и второго канала </w:t>
      </w:r>
      <w:r w:rsidRPr="00070ADE">
        <w:rPr>
          <w:rStyle w:val="1pt"/>
          <w:rFonts w:ascii="Times New Roman" w:hAnsi="Times New Roman" w:cs="Times New Roman"/>
          <w:color w:val="000000" w:themeColor="text1"/>
          <w:spacing w:val="0"/>
          <w:sz w:val="16"/>
          <w:szCs w:val="16"/>
        </w:rPr>
        <w:t>печи -с</w:t>
      </w:r>
      <w:r w:rsidRPr="00070ADE">
        <w:rPr>
          <w:rFonts w:ascii="Times New Roman" w:hAnsi="Times New Roman"/>
          <w:color w:val="000000" w:themeColor="text1"/>
          <w:sz w:val="16"/>
          <w:szCs w:val="16"/>
        </w:rPr>
        <w:t xml:space="preserve"> 1 сентября </w:t>
      </w:r>
      <w:r w:rsidRPr="00070ADE">
        <w:rPr>
          <w:rStyle w:val="1pt"/>
          <w:rFonts w:ascii="Times New Roman" w:hAnsi="Times New Roman" w:cs="Times New Roman"/>
          <w:color w:val="000000" w:themeColor="text1"/>
          <w:spacing w:val="0"/>
          <w:sz w:val="16"/>
          <w:szCs w:val="16"/>
        </w:rPr>
        <w:t>с.г.;</w:t>
      </w:r>
    </w:p>
    <w:p w14:paraId="4F0ABCD8" w14:textId="77777777" w:rsidR="00F6766E" w:rsidRPr="00070ADE" w:rsidRDefault="00F6766E" w:rsidP="00B56F90">
      <w:pPr>
        <w:tabs>
          <w:tab w:val="left" w:pos="91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 с 15 мая </w:t>
      </w:r>
      <w:r w:rsidRPr="00070ADE">
        <w:rPr>
          <w:rStyle w:val="1pt"/>
          <w:rFonts w:ascii="Times New Roman" w:hAnsi="Times New Roman" w:cs="Times New Roman"/>
          <w:color w:val="000000" w:themeColor="text1"/>
          <w:spacing w:val="0"/>
          <w:sz w:val="16"/>
          <w:szCs w:val="16"/>
        </w:rPr>
        <w:t>с.г.</w:t>
      </w:r>
      <w:r w:rsidRPr="00070ADE">
        <w:rPr>
          <w:rFonts w:ascii="Times New Roman" w:hAnsi="Times New Roman"/>
          <w:color w:val="000000" w:themeColor="text1"/>
          <w:sz w:val="16"/>
          <w:szCs w:val="16"/>
        </w:rPr>
        <w:t xml:space="preserve"> пустить в эксплоатацию химзавод на Злаказовском углежжении, с производительностью 1300 тонн уксусно-кальциевого порошка в год;</w:t>
      </w:r>
    </w:p>
    <w:p w14:paraId="69FB9A69" w14:textId="77777777" w:rsidR="00F6766E" w:rsidRPr="00070ADE" w:rsidRDefault="00F6766E" w:rsidP="00B56F90">
      <w:pPr>
        <w:tabs>
          <w:tab w:val="left" w:pos="89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 1У квартале с.г-, пустить в эксплоатацию хим</w:t>
      </w:r>
      <w:r w:rsidRPr="00070ADE">
        <w:rPr>
          <w:rFonts w:ascii="Times New Roman" w:hAnsi="Times New Roman"/>
          <w:color w:val="000000" w:themeColor="text1"/>
          <w:sz w:val="16"/>
          <w:szCs w:val="16"/>
        </w:rPr>
        <w:softHyphen/>
        <w:t>завод Нижне-Сергинского углежжения, производительностью 1300 тонн порошка</w:t>
      </w:r>
      <w:r w:rsidRPr="00070ADE">
        <w:rPr>
          <w:rStyle w:val="Corbel10pt1pt"/>
          <w:rFonts w:ascii="Times New Roman" w:hAnsi="Times New Roman" w:cs="Times New Roman"/>
          <w:color w:val="000000" w:themeColor="text1"/>
          <w:spacing w:val="0"/>
          <w:sz w:val="16"/>
          <w:szCs w:val="16"/>
        </w:rPr>
        <w:t xml:space="preserve"> в</w:t>
      </w:r>
      <w:r w:rsidRPr="00070ADE">
        <w:rPr>
          <w:rFonts w:ascii="Times New Roman" w:hAnsi="Times New Roman"/>
          <w:color w:val="000000" w:themeColor="text1"/>
          <w:sz w:val="16"/>
          <w:szCs w:val="16"/>
        </w:rPr>
        <w:t xml:space="preserve"> </w:t>
      </w:r>
      <w:r w:rsidRPr="00070ADE">
        <w:rPr>
          <w:rStyle w:val="1pt"/>
          <w:rFonts w:ascii="Times New Roman" w:hAnsi="Times New Roman" w:cs="Times New Roman"/>
          <w:color w:val="000000" w:themeColor="text1"/>
          <w:spacing w:val="0"/>
          <w:sz w:val="16"/>
          <w:szCs w:val="16"/>
        </w:rPr>
        <w:t>год;</w:t>
      </w:r>
    </w:p>
    <w:p w14:paraId="745F9638" w14:textId="77777777" w:rsidR="00F6766E" w:rsidRPr="00070ADE" w:rsidRDefault="00F6766E" w:rsidP="00B56F90">
      <w:pPr>
        <w:tabs>
          <w:tab w:val="left" w:pos="91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поставить в 1944 году Наркомлесу СССР - 2900 тонн уксусно-кальциевого порошка, в том чиоле с Каквинсксго химзавода 180С тонн, с Верхне-Синячихинокого химзавода 700 тонн, с Злаказовского химзавода - 4С0 тонн.</w:t>
      </w:r>
    </w:p>
    <w:p w14:paraId="1212C7A6" w14:textId="77777777" w:rsidR="00F6766E" w:rsidRPr="00070ADE" w:rsidRDefault="00F6766E" w:rsidP="00B56F90">
      <w:pPr>
        <w:tabs>
          <w:tab w:val="left" w:pos="99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Для обеспечения пуска в установленные сроки хи</w:t>
      </w:r>
      <w:r w:rsidRPr="00070ADE">
        <w:rPr>
          <w:rFonts w:ascii="Times New Roman" w:hAnsi="Times New Roman"/>
          <w:color w:val="000000" w:themeColor="text1"/>
          <w:sz w:val="16"/>
          <w:szCs w:val="16"/>
        </w:rPr>
        <w:softHyphen/>
        <w:t>мических цехов на вновь вводимых установках Еерхне-Синячихинского, Злаказовского и Нижне-Сергинского углежжениях Наркомчермета и обеспечения развития мощностей по. производству уксусно-кальциевого порошка, обязать:</w:t>
      </w:r>
    </w:p>
    <w:p w14:paraId="7581F4F5" w14:textId="77777777" w:rsidR="00F6766E" w:rsidRPr="00070ADE" w:rsidRDefault="00F6766E" w:rsidP="00B56F90">
      <w:pPr>
        <w:tabs>
          <w:tab w:val="left" w:pos="83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Наркомиинвооружения - т.Паршина поставить Наркомчермету во П .квартале. с.г. 6 .центробежных Песковых насосов типа ПП-2 производительностью 25-40 кбм. в ми</w:t>
      </w:r>
      <w:r w:rsidRPr="00070ADE">
        <w:rPr>
          <w:rFonts w:ascii="Times New Roman" w:hAnsi="Times New Roman"/>
          <w:color w:val="000000" w:themeColor="text1"/>
          <w:sz w:val="16"/>
          <w:szCs w:val="16"/>
        </w:rPr>
        <w:softHyphen/>
        <w:t>нуту, с напором от 10 до 30 метров; о центробежных ки</w:t>
      </w:r>
      <w:r w:rsidRPr="00070ADE">
        <w:rPr>
          <w:rFonts w:ascii="Times New Roman" w:hAnsi="Times New Roman"/>
          <w:color w:val="000000" w:themeColor="text1"/>
          <w:sz w:val="16"/>
          <w:szCs w:val="16"/>
        </w:rPr>
        <w:softHyphen/>
        <w:t xml:space="preserve">слотоупорных насосов производительностью 25-40 кбм. в минуту и арматуры разной для химических цехов вновь вводимых установок на сумму </w:t>
      </w:r>
      <w:r w:rsidRPr="00070ADE">
        <w:rPr>
          <w:rFonts w:ascii="Times New Roman" w:hAnsi="Times New Roman"/>
          <w:color w:val="000000" w:themeColor="text1"/>
          <w:sz w:val="16"/>
          <w:szCs w:val="16"/>
          <w:lang w:val="en-US"/>
        </w:rPr>
        <w:t>J</w:t>
      </w:r>
      <w:r w:rsidRPr="00070ADE">
        <w:rPr>
          <w:rFonts w:ascii="Times New Roman" w:hAnsi="Times New Roman"/>
          <w:color w:val="000000" w:themeColor="text1"/>
          <w:sz w:val="16"/>
          <w:szCs w:val="16"/>
        </w:rPr>
        <w:t>50 тыс.. рублей, по специ</w:t>
      </w:r>
      <w:r w:rsidRPr="00070ADE">
        <w:rPr>
          <w:rFonts w:ascii="Times New Roman" w:hAnsi="Times New Roman"/>
          <w:color w:val="000000" w:themeColor="text1"/>
          <w:sz w:val="16"/>
          <w:szCs w:val="16"/>
        </w:rPr>
        <w:softHyphen/>
        <w:t>фикации Наркомчермета;</w:t>
      </w:r>
    </w:p>
    <w:p w14:paraId="159F4A0D" w14:textId="557AC516" w:rsidR="00F6766E" w:rsidRPr="00070ADE" w:rsidRDefault="00F6766E" w:rsidP="00B56F90">
      <w:pPr>
        <w:tabs>
          <w:tab w:val="left" w:pos="81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Наркомтянмаш - т.Казакова поставить Наркомчермету к 1 августа с.г. один локомобиль мощностью 175л.с.</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для Нижне-Сергинского химзавода;</w:t>
      </w:r>
    </w:p>
    <w:p w14:paraId="1AE88FB2"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Госплану СССР предусмотреть выделение Наркомчермету указанного оборудования во П квартале с.г.</w:t>
      </w:r>
    </w:p>
    <w:p w14:paraId="66DD5144" w14:textId="77777777" w:rsidR="00F6766E" w:rsidRPr="00070ADE" w:rsidRDefault="00F6766E" w:rsidP="00B56F90">
      <w:pPr>
        <w:tabs>
          <w:tab w:val="left" w:pos="917"/>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15. Подтвердить постановление ГОКО № 4397 от 23.X- 1943 </w:t>
      </w:r>
      <w:r w:rsidRPr="00070ADE">
        <w:rPr>
          <w:rStyle w:val="1pt"/>
          <w:rFonts w:ascii="Times New Roman" w:hAnsi="Times New Roman" w:cs="Times New Roman"/>
          <w:color w:val="000000" w:themeColor="text1"/>
          <w:spacing w:val="0"/>
          <w:sz w:val="16"/>
          <w:szCs w:val="16"/>
        </w:rPr>
        <w:t>г.,</w:t>
      </w:r>
      <w:r w:rsidRPr="00070ADE">
        <w:rPr>
          <w:rFonts w:ascii="Times New Roman" w:hAnsi="Times New Roman"/>
          <w:color w:val="000000" w:themeColor="text1"/>
          <w:sz w:val="16"/>
          <w:szCs w:val="16"/>
        </w:rPr>
        <w:t xml:space="preserve"> запрещающее Наркомчермету переугливать дрова в печах Шварца до выполнения поставок дров Ашинскому лесхимзаводу.</w:t>
      </w:r>
    </w:p>
    <w:p w14:paraId="538380FB"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Обязать Наркомчермет - т.Тевосяна обеспечивать по</w:t>
      </w:r>
      <w:r w:rsidRPr="00070ADE">
        <w:rPr>
          <w:rFonts w:ascii="Times New Roman" w:hAnsi="Times New Roman"/>
          <w:color w:val="000000" w:themeColor="text1"/>
          <w:sz w:val="16"/>
          <w:szCs w:val="16"/>
        </w:rPr>
        <w:softHyphen/>
        <w:t>ставку Ашинскому заводу Наркомлеса СССР п</w:t>
      </w:r>
      <w:r w:rsidRPr="00070ADE">
        <w:rPr>
          <w:rFonts w:ascii="Times New Roman" w:hAnsi="Times New Roman"/>
          <w:color w:val="000000" w:themeColor="text1"/>
          <w:sz w:val="16"/>
          <w:szCs w:val="16"/>
          <w:lang w:val="en-US"/>
        </w:rPr>
        <w:t>o</w:t>
      </w:r>
      <w:r w:rsidRPr="00070ADE">
        <w:rPr>
          <w:rFonts w:ascii="Times New Roman" w:hAnsi="Times New Roman"/>
          <w:color w:val="000000" w:themeColor="text1"/>
          <w:sz w:val="16"/>
          <w:szCs w:val="16"/>
        </w:rPr>
        <w:t xml:space="preserve"> 20 тыс.кбм. дров ежемесячно</w:t>
      </w:r>
    </w:p>
    <w:p w14:paraId="76F810DF" w14:textId="77777777" w:rsidR="00F6766E" w:rsidRPr="00070ADE" w:rsidRDefault="00F6766E" w:rsidP="00B56F90">
      <w:pPr>
        <w:tabs>
          <w:tab w:val="left" w:pos="93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Отметигь, что Управление Промкооперации при СНК РСФС</w:t>
      </w:r>
      <w:r w:rsidRPr="00070ADE">
        <w:rPr>
          <w:rFonts w:ascii="Times New Roman" w:hAnsi="Times New Roman"/>
          <w:color w:val="000000" w:themeColor="text1"/>
          <w:sz w:val="16"/>
          <w:szCs w:val="16"/>
          <w:lang w:val="en-US"/>
        </w:rPr>
        <w:t>P</w:t>
      </w:r>
      <w:r w:rsidRPr="00070ADE">
        <w:rPr>
          <w:rFonts w:ascii="Times New Roman" w:hAnsi="Times New Roman"/>
          <w:color w:val="000000" w:themeColor="text1"/>
          <w:sz w:val="16"/>
          <w:szCs w:val="16"/>
        </w:rPr>
        <w:t xml:space="preserve"> т.Кравчук систематически срывает поставку Наркомлесу СССР и Наркомместпрому </w:t>
      </w:r>
      <w:r w:rsidRPr="00070ADE">
        <w:rPr>
          <w:rFonts w:ascii="Times New Roman" w:hAnsi="Times New Roman"/>
          <w:color w:val="000000" w:themeColor="text1"/>
          <w:sz w:val="16"/>
          <w:szCs w:val="16"/>
          <w:lang w:val="en-US"/>
        </w:rPr>
        <w:t>P</w:t>
      </w:r>
      <w:r w:rsidRPr="00070ADE">
        <w:rPr>
          <w:rFonts w:ascii="Times New Roman" w:hAnsi="Times New Roman"/>
          <w:color w:val="000000" w:themeColor="text1"/>
          <w:sz w:val="16"/>
          <w:szCs w:val="16"/>
        </w:rPr>
        <w:t>СФ</w:t>
      </w:r>
      <w:r w:rsidRPr="00070ADE">
        <w:rPr>
          <w:rFonts w:ascii="Times New Roman" w:hAnsi="Times New Roman"/>
          <w:color w:val="000000" w:themeColor="text1"/>
          <w:sz w:val="16"/>
          <w:szCs w:val="16"/>
          <w:lang w:val="en-US"/>
        </w:rPr>
        <w:t>CP</w:t>
      </w:r>
      <w:r w:rsidRPr="00070ADE">
        <w:rPr>
          <w:rFonts w:ascii="Times New Roman" w:hAnsi="Times New Roman"/>
          <w:color w:val="000000" w:themeColor="text1"/>
          <w:sz w:val="16"/>
          <w:szCs w:val="16"/>
        </w:rPr>
        <w:t xml:space="preserve"> уксусно-кальциевого порошка для выработки уксусной кислоты. За 1943 год Наркомлесу отгружено всего 1940 тонн порошка при плане 5000 тонн.</w:t>
      </w:r>
    </w:p>
    <w:p w14:paraId="25AC263C"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Обязать УПК при СНК</w:t>
      </w:r>
      <w:r w:rsidRPr="00070ADE">
        <w:rPr>
          <w:rStyle w:val="-1pt1"/>
          <w:rFonts w:ascii="Times New Roman" w:hAnsi="Times New Roman" w:cs="Times New Roman"/>
          <w:color w:val="000000" w:themeColor="text1"/>
          <w:spacing w:val="0"/>
          <w:sz w:val="16"/>
          <w:szCs w:val="16"/>
          <w:lang w:val="ru-RU"/>
        </w:rPr>
        <w:t xml:space="preserve"> РСФСР</w:t>
      </w:r>
      <w:r w:rsidRPr="00070ADE">
        <w:rPr>
          <w:rFonts w:ascii="Times New Roman" w:hAnsi="Times New Roman"/>
          <w:color w:val="000000" w:themeColor="text1"/>
          <w:sz w:val="16"/>
          <w:szCs w:val="16"/>
        </w:rPr>
        <w:t xml:space="preserve"> - т.Кравчука:</w:t>
      </w:r>
    </w:p>
    <w:p w14:paraId="5843A2F0"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обеспечить в течение 1944 года выработку на предприятиях промкооперации не менее 5600 тонн уксусно- кальциевого порошка, в том числё в первом-полугодии с.г. не менее</w:t>
      </w:r>
      <w:r w:rsidRPr="00070ADE">
        <w:rPr>
          <w:rStyle w:val="-1pt"/>
          <w:rFonts w:ascii="Times New Roman" w:hAnsi="Times New Roman" w:cs="Times New Roman"/>
          <w:color w:val="000000" w:themeColor="text1"/>
          <w:spacing w:val="0"/>
          <w:sz w:val="16"/>
          <w:szCs w:val="16"/>
        </w:rPr>
        <w:t xml:space="preserve"> '2800</w:t>
      </w:r>
      <w:r w:rsidRPr="00070ADE">
        <w:rPr>
          <w:rFonts w:ascii="Times New Roman" w:hAnsi="Times New Roman"/>
          <w:color w:val="000000" w:themeColor="text1"/>
          <w:sz w:val="16"/>
          <w:szCs w:val="16"/>
        </w:rPr>
        <w:t xml:space="preserve"> тонн;</w:t>
      </w:r>
    </w:p>
    <w:p w14:paraId="35CEB48B" w14:textId="11553B71" w:rsidR="00F6766E" w:rsidRPr="00070ADE" w:rsidRDefault="00F6766E" w:rsidP="00B56F90">
      <w:pPr>
        <w:tabs>
          <w:tab w:val="left" w:pos="94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подтвердить к выполнению распоряжения ГОКО № 4974 от 18 января 1944года и обязать УПК при СНК РСФСР при всех условиях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обеспечить поставку до 1 ап</w:t>
      </w:r>
      <w:r w:rsidRPr="00070ADE">
        <w:rPr>
          <w:rFonts w:ascii="Times New Roman" w:hAnsi="Times New Roman"/>
          <w:color w:val="000000" w:themeColor="text1"/>
          <w:sz w:val="16"/>
          <w:szCs w:val="16"/>
        </w:rPr>
        <w:softHyphen/>
        <w:t>реля с.г.. Дмитриевскому лесхимзаводу Наркомлеса СССР 5000 тонн у ксусно-кальциевого порошка;</w:t>
      </w:r>
    </w:p>
    <w:p w14:paraId="55F10CCA" w14:textId="77777777" w:rsidR="00F6766E" w:rsidRPr="00070ADE" w:rsidRDefault="00F6766E" w:rsidP="00B56F90">
      <w:pPr>
        <w:tabs>
          <w:tab w:val="left" w:pos="91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поставить во П квартале о.г. Нижнемальцевскому химзаводу НКМП РСФСР 220 тонн уксусно-кальциевого по</w:t>
      </w:r>
      <w:r w:rsidRPr="00070ADE">
        <w:rPr>
          <w:rFonts w:ascii="Times New Roman" w:hAnsi="Times New Roman"/>
          <w:color w:val="000000" w:themeColor="text1"/>
          <w:sz w:val="16"/>
          <w:szCs w:val="16"/>
        </w:rPr>
        <w:softHyphen/>
        <w:t>рошка в счет 5000 тонн порошка, поставляемого Нарком лесу СССР, согласно распоряжению ГОКО № 4974с от 18 января с.г.</w:t>
      </w:r>
    </w:p>
    <w:p w14:paraId="1B84887D"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Предупредить т.Кравчука, что он несет перед ГОКО персональную ответственность за выполнение настоящего постановления.</w:t>
      </w:r>
    </w:p>
    <w:p w14:paraId="4674D47D"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Обязать секретарей обкомов ВКП(б): Горьковского - т.Родионова, Вологодского - т.Николаева, Ива</w:t>
      </w:r>
      <w:r w:rsidRPr="00070ADE">
        <w:rPr>
          <w:rFonts w:ascii="Times New Roman" w:hAnsi="Times New Roman"/>
          <w:color w:val="000000" w:themeColor="text1"/>
          <w:sz w:val="16"/>
          <w:szCs w:val="16"/>
        </w:rPr>
        <w:softHyphen/>
        <w:t>новского - т.Пальцева, Архангельского - т.Огородникова, Кировского - т.Лукьянова, Марийской АССР - т.Навозова, Свердловского - т.Андрианова, Новосибирского - т.Кулагина, Кемеровского - т.Задионченко при всех усло</w:t>
      </w:r>
      <w:r w:rsidRPr="00070ADE">
        <w:rPr>
          <w:rFonts w:ascii="Times New Roman" w:hAnsi="Times New Roman"/>
          <w:color w:val="000000" w:themeColor="text1"/>
          <w:sz w:val="16"/>
          <w:szCs w:val="16"/>
        </w:rPr>
        <w:softHyphen/>
        <w:t>виях .выполнить распоряжение ГОКО № 4974с от 18 января с.г. "О вывозке на пристанционные базы всего наличия уксусно-кальциевого порошка, имеющегося на предприя</w:t>
      </w:r>
      <w:r w:rsidRPr="00070ADE">
        <w:rPr>
          <w:rFonts w:ascii="Times New Roman" w:hAnsi="Times New Roman"/>
          <w:color w:val="000000" w:themeColor="text1"/>
          <w:sz w:val="16"/>
          <w:szCs w:val="16"/>
        </w:rPr>
        <w:softHyphen/>
        <w:t>тиях УПК при СНК РСФСР</w:t>
      </w:r>
    </w:p>
    <w:p w14:paraId="0B089847"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Обязать НКО - т.Смородинова:</w:t>
      </w:r>
    </w:p>
    <w:p w14:paraId="63C69F9A"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а) направить во П квартале с.г. на лесохимические завода Наркомлеса СССР 3000 человек из числа военнообя</w:t>
      </w:r>
      <w:r w:rsidRPr="00070ADE">
        <w:rPr>
          <w:rFonts w:ascii="Times New Roman" w:hAnsi="Times New Roman"/>
          <w:color w:val="000000" w:themeColor="text1"/>
          <w:sz w:val="16"/>
          <w:szCs w:val="16"/>
        </w:rPr>
        <w:softHyphen/>
        <w:t>занных, не. годных к строевой олуабе, но годных к физи</w:t>
      </w:r>
      <w:r w:rsidRPr="00070ADE">
        <w:rPr>
          <w:rFonts w:ascii="Times New Roman" w:hAnsi="Times New Roman"/>
          <w:color w:val="000000" w:themeColor="text1"/>
          <w:sz w:val="16"/>
          <w:szCs w:val="16"/>
        </w:rPr>
        <w:softHyphen/>
        <w:t>ческому труду, в том числе:</w:t>
      </w:r>
    </w:p>
    <w:p w14:paraId="55E5BF8B" w14:textId="77777777" w:rsidR="00F6766E" w:rsidRPr="00070ADE" w:rsidRDefault="00F6766E" w:rsidP="00B56F90">
      <w:pPr>
        <w:tabs>
          <w:tab w:val="left" w:pos="427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 Сявский. лесхимкомбинат - 2000. человек. </w:t>
      </w:r>
    </w:p>
    <w:p w14:paraId="69F22736" w14:textId="77777777" w:rsidR="00F6766E" w:rsidRPr="00070ADE" w:rsidRDefault="00F6766E" w:rsidP="00B56F90">
      <w:pPr>
        <w:tabs>
          <w:tab w:val="left" w:pos="427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Дмитриевский - 500</w:t>
      </w:r>
    </w:p>
    <w:p w14:paraId="09D73C28" w14:textId="77777777" w:rsidR="00F6766E" w:rsidRPr="00070ADE" w:rsidRDefault="00F6766E" w:rsidP="00B56F90">
      <w:pPr>
        <w:tabs>
          <w:tab w:val="left" w:pos="289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Ашинский - 500</w:t>
      </w:r>
    </w:p>
    <w:p w14:paraId="212B6F79" w14:textId="77777777" w:rsidR="00F6766E" w:rsidRPr="00070ADE" w:rsidRDefault="00F6766E" w:rsidP="00B56F90">
      <w:pPr>
        <w:tabs>
          <w:tab w:val="left" w:pos="89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 до 1 мая выделить Главхимпрому НКМП </w:t>
      </w:r>
      <w:r w:rsidRPr="00070ADE">
        <w:rPr>
          <w:rFonts w:ascii="Times New Roman" w:hAnsi="Times New Roman"/>
          <w:color w:val="000000" w:themeColor="text1"/>
          <w:sz w:val="16"/>
          <w:szCs w:val="16"/>
          <w:lang w:val="en-US"/>
        </w:rPr>
        <w:t>P</w:t>
      </w:r>
      <w:r w:rsidRPr="00070ADE">
        <w:rPr>
          <w:rFonts w:ascii="Times New Roman" w:hAnsi="Times New Roman"/>
          <w:color w:val="000000" w:themeColor="text1"/>
          <w:sz w:val="16"/>
          <w:szCs w:val="16"/>
        </w:rPr>
        <w:t>СФС</w:t>
      </w:r>
      <w:r w:rsidRPr="00070ADE">
        <w:rPr>
          <w:rFonts w:ascii="Times New Roman" w:hAnsi="Times New Roman"/>
          <w:color w:val="000000" w:themeColor="text1"/>
          <w:sz w:val="16"/>
          <w:szCs w:val="16"/>
          <w:lang w:val="en-US"/>
        </w:rPr>
        <w:t>P</w:t>
      </w:r>
      <w:r w:rsidRPr="00070ADE">
        <w:rPr>
          <w:rFonts w:ascii="Times New Roman" w:hAnsi="Times New Roman"/>
          <w:color w:val="000000" w:themeColor="text1"/>
          <w:sz w:val="16"/>
          <w:szCs w:val="16"/>
        </w:rPr>
        <w:t xml:space="preserve"> 150 человек ив числа военнообязанных не годных к строевой службе, но годных к физическому - труду;</w:t>
      </w:r>
    </w:p>
    <w:p w14:paraId="1A603D7E" w14:textId="77777777" w:rsidR="00F6766E" w:rsidRPr="00070ADE" w:rsidRDefault="00F6766E" w:rsidP="00B56F90">
      <w:pPr>
        <w:tabs>
          <w:tab w:val="left" w:pos="877"/>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передать до 1 июля с.г. в распоряжение Наркомхимпрома 150 человек специалистов - лак окрасочников и Наркомлесу СССР 20 человек специалистов лесохимиков по представляемым ими спискам в счет общего количества 3000 человек, выделяемых Наркомлесу СССР.</w:t>
      </w:r>
    </w:p>
    <w:p w14:paraId="7923B7A7" w14:textId="6A344526" w:rsidR="00F6766E" w:rsidRPr="00070ADE" w:rsidRDefault="00F6766E" w:rsidP="00B56F90">
      <w:pPr>
        <w:tabs>
          <w:tab w:val="left" w:pos="99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Обязать Наркомлес СССР т.Салтыкова обеспечить сборку и монтаж, а Наркомстрой - т.Гинзбурга обеспечить в течение П и Ш кварталов 1944 года обмуровку 10 штук новых реторт для выработки уксусной кислоты. на Ашиноком лесхимкомбинате Наркомл</w:t>
      </w:r>
      <w:r w:rsidRPr="00070ADE">
        <w:rPr>
          <w:rFonts w:ascii="Times New Roman" w:hAnsi="Times New Roman"/>
          <w:color w:val="000000" w:themeColor="text1"/>
          <w:sz w:val="16"/>
          <w:szCs w:val="16"/>
          <w:lang w:val="en-US"/>
        </w:rPr>
        <w:t>eca</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СССР, а также оказать техническую помощь Наркомлесу в сборке и монтаже реторт.</w:t>
      </w:r>
    </w:p>
    <w:p w14:paraId="6A497A4D" w14:textId="77777777" w:rsidR="00F6766E" w:rsidRPr="00070ADE" w:rsidRDefault="00F6766E" w:rsidP="00B56F90">
      <w:pPr>
        <w:tabs>
          <w:tab w:val="left" w:pos="99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Обязать Наркомминвооружения - т.Паршина при всех условиях изготовить на Кинешемском заводе им.Кали</w:t>
      </w:r>
      <w:r w:rsidRPr="00070ADE">
        <w:rPr>
          <w:rFonts w:ascii="Times New Roman" w:hAnsi="Times New Roman"/>
          <w:color w:val="000000" w:themeColor="text1"/>
          <w:sz w:val="16"/>
          <w:szCs w:val="16"/>
        </w:rPr>
        <w:softHyphen/>
        <w:t xml:space="preserve">нина в 1944 г. 10 шт. комплектных аппаратов Линде для изготовления уксусной кислоты по порошковому методу,, в том числе: для Дмитриевского лесохимзавода Наркомлеса РСФСР: во П квартале с.г. 2 штуки, в </w:t>
      </w:r>
      <w:r w:rsidRPr="00070ADE">
        <w:rPr>
          <w:rFonts w:ascii="Times New Roman" w:hAnsi="Times New Roman"/>
          <w:color w:val="000000" w:themeColor="text1"/>
          <w:sz w:val="16"/>
          <w:szCs w:val="16"/>
          <w:lang w:val="en-US"/>
        </w:rPr>
        <w:t>III</w:t>
      </w:r>
      <w:r w:rsidRPr="00070ADE">
        <w:rPr>
          <w:rFonts w:ascii="Times New Roman" w:hAnsi="Times New Roman"/>
          <w:color w:val="000000" w:themeColor="text1"/>
          <w:sz w:val="16"/>
          <w:szCs w:val="16"/>
        </w:rPr>
        <w:t xml:space="preserve"> квартале с.г, -4 штуки и в 1У квартале с.г. - 1 штуку, для Нижне-Мальцевского химзавода в Ш квартале с.г. 4 штуки и в 1У квартале с.г. - 2 штуки;</w:t>
      </w:r>
    </w:p>
    <w:p w14:paraId="1FE5C6E6" w14:textId="77777777" w:rsidR="00F6766E" w:rsidRPr="00070ADE" w:rsidRDefault="00F6766E" w:rsidP="00B56F90">
      <w:pPr>
        <w:tabs>
          <w:tab w:val="left" w:pos="99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Обязать Главснабугодь - т.Курмашева обеспечить во П квартале о.г. бесперебойную и равномерную по меся</w:t>
      </w:r>
      <w:r w:rsidRPr="00070ADE">
        <w:rPr>
          <w:rFonts w:ascii="Times New Roman" w:hAnsi="Times New Roman"/>
          <w:color w:val="000000" w:themeColor="text1"/>
          <w:sz w:val="16"/>
          <w:szCs w:val="16"/>
        </w:rPr>
        <w:softHyphen/>
        <w:t>цам поставку угля заводам Наркомлеса СССР и Наркомпище</w:t>
      </w:r>
      <w:r w:rsidRPr="00070ADE">
        <w:rPr>
          <w:rFonts w:ascii="Times New Roman" w:hAnsi="Times New Roman"/>
          <w:color w:val="000000" w:themeColor="text1"/>
          <w:sz w:val="16"/>
          <w:szCs w:val="16"/>
        </w:rPr>
        <w:softHyphen/>
        <w:t>прома СССР за счет их фондов и заводам Наркомместпрома РСФСР за счет фондов СНК РСФСР:</w:t>
      </w:r>
    </w:p>
    <w:p w14:paraId="4D0C20BF"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Ашинскоцу лесохимкомбинату кузнецкого угля 6000 тн.</w:t>
      </w:r>
    </w:p>
    <w:p w14:paraId="65512C41"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Наркомлеса СССР - челябинского 7000</w:t>
      </w:r>
    </w:p>
    <w:p w14:paraId="761BB6E4"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Дмитриевскому лесохимком</w:t>
      </w:r>
      <w:r w:rsidRPr="00070ADE">
        <w:rPr>
          <w:rFonts w:ascii="Times New Roman" w:hAnsi="Times New Roman"/>
          <w:color w:val="000000" w:themeColor="text1"/>
          <w:sz w:val="16"/>
          <w:szCs w:val="16"/>
        </w:rPr>
        <w:tab/>
        <w:t xml:space="preserve"> донецкого угля .-600. "</w:t>
      </w:r>
    </w:p>
    <w:p w14:paraId="20443DA5"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бинату Наркомлеса СССР</w:t>
      </w:r>
      <w:r w:rsidRPr="00070ADE">
        <w:rPr>
          <w:rFonts w:ascii="Times New Roman" w:hAnsi="Times New Roman"/>
          <w:color w:val="000000" w:themeColor="text1"/>
          <w:sz w:val="16"/>
          <w:szCs w:val="16"/>
        </w:rPr>
        <w:tab/>
        <w:t>подмосковного - 5400</w:t>
      </w:r>
    </w:p>
    <w:p w14:paraId="74FD9D4F"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Талицкому бутаноловому</w:t>
      </w:r>
    </w:p>
    <w:p w14:paraId="4088CCA5" w14:textId="77777777" w:rsidR="00F6766E" w:rsidRPr="00070ADE" w:rsidRDefault="00F6766E" w:rsidP="00B56F90">
      <w:pPr>
        <w:tabs>
          <w:tab w:val="left" w:pos="326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заводу НКПП СССР</w:t>
      </w:r>
      <w:r w:rsidRPr="00070ADE">
        <w:rPr>
          <w:rFonts w:ascii="Times New Roman" w:hAnsi="Times New Roman"/>
          <w:color w:val="000000" w:themeColor="text1"/>
          <w:sz w:val="16"/>
          <w:szCs w:val="16"/>
        </w:rPr>
        <w:tab/>
        <w:t>кузнецкого угля 7000 тн.</w:t>
      </w:r>
    </w:p>
    <w:p w14:paraId="5B1FB3FA"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заводу "Октябрьская ре</w:t>
      </w:r>
      <w:r w:rsidRPr="00070ADE">
        <w:rPr>
          <w:rFonts w:ascii="Times New Roman" w:hAnsi="Times New Roman"/>
          <w:color w:val="000000" w:themeColor="text1"/>
          <w:sz w:val="16"/>
          <w:szCs w:val="16"/>
        </w:rPr>
        <w:softHyphen/>
        <w:t>волюция"НКМП РСФСР</w:t>
      </w:r>
      <w:r w:rsidRPr="00070ADE">
        <w:rPr>
          <w:rFonts w:ascii="Times New Roman" w:hAnsi="Times New Roman"/>
          <w:color w:val="000000" w:themeColor="text1"/>
          <w:sz w:val="16"/>
          <w:szCs w:val="16"/>
        </w:rPr>
        <w:tab/>
        <w:t xml:space="preserve"> куэнецкого угля 900</w:t>
      </w:r>
    </w:p>
    <w:p w14:paraId="6A485615"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Нижне-мальцевскому хим- </w:t>
      </w:r>
      <w:r w:rsidRPr="00070ADE">
        <w:rPr>
          <w:rFonts w:ascii="Times New Roman" w:hAnsi="Times New Roman"/>
          <w:color w:val="000000" w:themeColor="text1"/>
          <w:sz w:val="16"/>
          <w:szCs w:val="16"/>
        </w:rPr>
        <w:tab/>
        <w:t>подмосковного</w:t>
      </w:r>
    </w:p>
    <w:p w14:paraId="741B62C8" w14:textId="77777777" w:rsidR="00F6766E" w:rsidRPr="00070ADE" w:rsidRDefault="00F6766E" w:rsidP="00B56F90">
      <w:pPr>
        <w:tabs>
          <w:tab w:val="left" w:pos="3255"/>
          <w:tab w:val="left" w:pos="505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заводу НКМП </w:t>
      </w:r>
      <w:r w:rsidRPr="00070ADE">
        <w:rPr>
          <w:rFonts w:ascii="Times New Roman" w:hAnsi="Times New Roman"/>
          <w:color w:val="000000" w:themeColor="text1"/>
          <w:sz w:val="16"/>
          <w:szCs w:val="16"/>
          <w:lang w:val="en-US"/>
        </w:rPr>
        <w:t>PCS</w:t>
      </w:r>
      <w:r w:rsidRPr="00070ADE">
        <w:rPr>
          <w:rFonts w:ascii="Times New Roman" w:hAnsi="Times New Roman"/>
          <w:color w:val="000000" w:themeColor="text1"/>
          <w:sz w:val="16"/>
          <w:szCs w:val="16"/>
        </w:rPr>
        <w:t>/</w:t>
      </w:r>
      <w:r w:rsidRPr="00070ADE">
        <w:rPr>
          <w:rFonts w:ascii="Times New Roman" w:hAnsi="Times New Roman"/>
          <w:color w:val="000000" w:themeColor="text1"/>
          <w:sz w:val="16"/>
          <w:szCs w:val="16"/>
          <w:lang w:val="en-US"/>
        </w:rPr>
        <w:t>CP</w:t>
      </w:r>
      <w:r w:rsidRPr="00070ADE">
        <w:rPr>
          <w:rFonts w:ascii="Times New Roman" w:hAnsi="Times New Roman"/>
          <w:color w:val="000000" w:themeColor="text1"/>
          <w:sz w:val="16"/>
          <w:szCs w:val="16"/>
        </w:rPr>
        <w:tab/>
        <w:t>угля</w:t>
      </w:r>
      <w:r w:rsidRPr="00070ADE">
        <w:rPr>
          <w:rFonts w:ascii="Times New Roman" w:hAnsi="Times New Roman"/>
          <w:color w:val="000000" w:themeColor="text1"/>
          <w:sz w:val="16"/>
          <w:szCs w:val="16"/>
        </w:rPr>
        <w:tab/>
        <w:t>1200</w:t>
      </w:r>
    </w:p>
    <w:p w14:paraId="59A975DC"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Отгрузку угля производить до 20 числа каждого ме</w:t>
      </w:r>
      <w:r w:rsidRPr="00070ADE">
        <w:rPr>
          <w:rFonts w:ascii="Times New Roman" w:hAnsi="Times New Roman"/>
          <w:color w:val="000000" w:themeColor="text1"/>
          <w:sz w:val="16"/>
          <w:szCs w:val="16"/>
        </w:rPr>
        <w:softHyphen/>
        <w:t>сяца.</w:t>
      </w:r>
    </w:p>
    <w:p w14:paraId="551B65A4" w14:textId="77777777" w:rsidR="00F6766E" w:rsidRPr="00070ADE" w:rsidRDefault="00F6766E" w:rsidP="00B56F90">
      <w:pPr>
        <w:tabs>
          <w:tab w:val="left" w:pos="100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21. Отметить, что Наркомстанкостроения не выполнил постановление ГОКО №</w:t>
      </w:r>
      <w:r w:rsidRPr="00070ADE">
        <w:rPr>
          <w:rStyle w:val="9pt0pt"/>
          <w:rFonts w:ascii="Times New Roman" w:hAnsi="Times New Roman" w:cs="Times New Roman"/>
          <w:color w:val="000000" w:themeColor="text1"/>
          <w:spacing w:val="0"/>
          <w:sz w:val="16"/>
          <w:szCs w:val="16"/>
        </w:rPr>
        <w:t xml:space="preserve"> 4517</w:t>
      </w:r>
      <w:r w:rsidRPr="00070ADE">
        <w:rPr>
          <w:rFonts w:ascii="Times New Roman" w:hAnsi="Times New Roman"/>
          <w:color w:val="000000" w:themeColor="text1"/>
          <w:sz w:val="16"/>
          <w:szCs w:val="16"/>
        </w:rPr>
        <w:t xml:space="preserve"> от 12 октября 1943 года о по</w:t>
      </w:r>
      <w:r w:rsidRPr="00070ADE">
        <w:rPr>
          <w:rFonts w:ascii="Times New Roman" w:hAnsi="Times New Roman"/>
          <w:color w:val="000000" w:themeColor="text1"/>
          <w:sz w:val="16"/>
          <w:szCs w:val="16"/>
        </w:rPr>
        <w:softHyphen/>
        <w:t>ставке в 1У квартале</w:t>
      </w:r>
      <w:r w:rsidRPr="00070ADE">
        <w:rPr>
          <w:rStyle w:val="9pt0pt"/>
          <w:rFonts w:ascii="Times New Roman" w:hAnsi="Times New Roman" w:cs="Times New Roman"/>
          <w:color w:val="000000" w:themeColor="text1"/>
          <w:spacing w:val="0"/>
          <w:sz w:val="16"/>
          <w:szCs w:val="16"/>
        </w:rPr>
        <w:t xml:space="preserve"> 1943</w:t>
      </w:r>
      <w:r w:rsidRPr="00070ADE">
        <w:rPr>
          <w:rFonts w:ascii="Times New Roman" w:hAnsi="Times New Roman"/>
          <w:color w:val="000000" w:themeColor="text1"/>
          <w:sz w:val="16"/>
          <w:szCs w:val="16"/>
        </w:rPr>
        <w:t xml:space="preserve"> года лесхимзаводам Наркомлеса СССР окатов к техническим тележкам.</w:t>
      </w:r>
    </w:p>
    <w:p w14:paraId="171733ED"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Обязать Наркомстанкостроения - т.Ефремова при всех условиях до 1 мая с.г. поставить Нарком лесу СС</w:t>
      </w:r>
      <w:r w:rsidRPr="00070ADE">
        <w:rPr>
          <w:rFonts w:ascii="Times New Roman" w:hAnsi="Times New Roman"/>
          <w:color w:val="000000" w:themeColor="text1"/>
          <w:sz w:val="16"/>
          <w:szCs w:val="16"/>
          <w:lang w:val="en-US"/>
        </w:rPr>
        <w:t>CP</w:t>
      </w:r>
      <w:r w:rsidRPr="00070ADE">
        <w:rPr>
          <w:rFonts w:ascii="Times New Roman" w:hAnsi="Times New Roman"/>
          <w:color w:val="000000" w:themeColor="text1"/>
          <w:sz w:val="16"/>
          <w:szCs w:val="16"/>
        </w:rPr>
        <w:t>-.600 комплектов скатов для технологических тележек, выделенных ему, согласно постановлению ГОКО № 4317 от 12 октяб</w:t>
      </w:r>
      <w:r w:rsidRPr="00070ADE">
        <w:rPr>
          <w:rFonts w:ascii="Times New Roman" w:hAnsi="Times New Roman"/>
          <w:color w:val="000000" w:themeColor="text1"/>
          <w:sz w:val="16"/>
          <w:szCs w:val="16"/>
        </w:rPr>
        <w:softHyphen/>
        <w:t>ря 1943 года.</w:t>
      </w:r>
    </w:p>
    <w:p w14:paraId="702FBB6C" w14:textId="77777777" w:rsidR="00F6766E" w:rsidRPr="00070ADE" w:rsidRDefault="00F6766E" w:rsidP="00B56F90">
      <w:pPr>
        <w:tabs>
          <w:tab w:val="left" w:pos="99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Сбязать Наркометройматериалов СССР - т.Соснина поставить во П квартале с.г. Талицкому ацетоно-бутако</w:t>
      </w:r>
      <w:r w:rsidRPr="00070ADE">
        <w:rPr>
          <w:rFonts w:ascii="Times New Roman" w:hAnsi="Times New Roman"/>
          <w:color w:val="000000" w:themeColor="text1"/>
          <w:sz w:val="16"/>
          <w:szCs w:val="16"/>
        </w:rPr>
        <w:softHyphen/>
        <w:t>лов ому заводу НКПП СССР 23 тыс.кбм.дров, равными"партия</w:t>
      </w:r>
      <w:r w:rsidRPr="00070ADE">
        <w:rPr>
          <w:rFonts w:ascii="Times New Roman" w:hAnsi="Times New Roman"/>
          <w:color w:val="000000" w:themeColor="text1"/>
          <w:sz w:val="16"/>
          <w:szCs w:val="16"/>
        </w:rPr>
        <w:softHyphen/>
        <w:t>ми по месяцам.</w:t>
      </w:r>
    </w:p>
    <w:p w14:paraId="72362481"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Для .обеспечения поставок наркомстройматериалов дров для Талицкото ацетоно-бутанолового завода, обязать Свердловский облисполком - т.Недосекина выделить Талиц</w:t>
      </w:r>
      <w:r w:rsidRPr="00070ADE">
        <w:rPr>
          <w:rFonts w:ascii="Times New Roman" w:hAnsi="Times New Roman"/>
          <w:color w:val="000000" w:themeColor="text1"/>
          <w:sz w:val="16"/>
          <w:szCs w:val="16"/>
        </w:rPr>
        <w:softHyphen/>
        <w:t>кому леспромхозу Наркомстройматериалов СССР с 25 марта 1944 года - ЗОС человек рабочих и 200 подвод с возчика</w:t>
      </w:r>
      <w:r w:rsidRPr="00070ADE">
        <w:rPr>
          <w:rFonts w:ascii="Times New Roman" w:hAnsi="Times New Roman"/>
          <w:color w:val="000000" w:themeColor="text1"/>
          <w:sz w:val="16"/>
          <w:szCs w:val="16"/>
        </w:rPr>
        <w:softHyphen/>
        <w:t>ми, не сни год этих количеств на протяжении всего года.</w:t>
      </w:r>
    </w:p>
    <w:p w14:paraId="222355E3"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Обязать Главвоенпромстрой при СНК СССР - т.Про</w:t>
      </w:r>
      <w:r w:rsidRPr="00070ADE">
        <w:rPr>
          <w:rFonts w:ascii="Times New Roman" w:hAnsi="Times New Roman"/>
          <w:color w:val="000000" w:themeColor="text1"/>
          <w:sz w:val="16"/>
          <w:szCs w:val="16"/>
        </w:rPr>
        <w:softHyphen/>
        <w:t>кофьева выполнить в 1944 г. строительно-монтажные работы по заводу № 34 на сумму 3 млн.рублей, в том числе в 1 квартале с.г. 0,8 млн. рублей.</w:t>
      </w:r>
    </w:p>
    <w:p w14:paraId="40A2A408"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об"ёкты закончить в следующие сроки:</w:t>
      </w:r>
    </w:p>
    <w:p w14:paraId="3A7B9415"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Склад растворителей (1-я очередь) в мае с.г.</w:t>
      </w:r>
    </w:p>
    <w:p w14:paraId="31ECC6EA" w14:textId="77777777" w:rsidR="00F6766E" w:rsidRPr="00070ADE" w:rsidRDefault="00F6766E" w:rsidP="00B56F90">
      <w:pPr>
        <w:tabs>
          <w:tab w:val="left" w:pos="392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Тарный цех в сентябре с.г.</w:t>
      </w:r>
    </w:p>
    <w:p w14:paraId="6397DE51" w14:textId="77777777" w:rsidR="00F6766E" w:rsidRPr="00070ADE" w:rsidRDefault="00F6766E" w:rsidP="00B56F90">
      <w:pPr>
        <w:tabs>
          <w:tab w:val="left" w:pos="3917"/>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Цех цинковых белил в июне с.г.</w:t>
      </w:r>
    </w:p>
    <w:p w14:paraId="5438A510"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Паропровод от ЧГРЭС со всеми внешними магистралями и внут</w:t>
      </w:r>
      <w:r w:rsidRPr="00070ADE">
        <w:rPr>
          <w:rFonts w:ascii="Times New Roman" w:hAnsi="Times New Roman"/>
          <w:color w:val="000000" w:themeColor="text1"/>
          <w:sz w:val="16"/>
          <w:szCs w:val="16"/>
        </w:rPr>
        <w:softHyphen/>
        <w:t>ренними коммуникациями в январе 1945 г.</w:t>
      </w:r>
    </w:p>
    <w:p w14:paraId="1C213646"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Подтвердить к выполнению постановление ГОКО от 22 октября</w:t>
      </w:r>
      <w:r w:rsidRPr="00070ADE">
        <w:rPr>
          <w:rStyle w:val="Gungsuh75pt"/>
          <w:rFonts w:ascii="Times New Roman" w:hAnsi="Times New Roman" w:cs="Times New Roman"/>
          <w:color w:val="000000" w:themeColor="text1"/>
          <w:sz w:val="16"/>
          <w:szCs w:val="16"/>
        </w:rPr>
        <w:t xml:space="preserve"> 19</w:t>
      </w:r>
      <w:r w:rsidRPr="00070ADE">
        <w:rPr>
          <w:rFonts w:ascii="Times New Roman" w:hAnsi="Times New Roman"/>
          <w:color w:val="000000" w:themeColor="text1"/>
          <w:sz w:val="16"/>
          <w:szCs w:val="16"/>
        </w:rPr>
        <w:t>43 года о закупке и поставке ив импорта Наркомхимпрому бутилацетата, этилацетата, окиси хрома, хромпика, литольшерлаха.</w:t>
      </w:r>
    </w:p>
    <w:p w14:paraId="412BDEA4"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Обязать Наркомвнешторг - т.Микояна:</w:t>
      </w:r>
    </w:p>
    <w:p w14:paraId="4B0910CB" w14:textId="2BB7DB7A"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обеспечить ввод и поставку Наркомхимпрому ука</w:t>
      </w:r>
      <w:r w:rsidRPr="00070ADE">
        <w:rPr>
          <w:rFonts w:ascii="Times New Roman" w:hAnsi="Times New Roman"/>
          <w:color w:val="000000" w:themeColor="text1"/>
          <w:sz w:val="16"/>
          <w:szCs w:val="16"/>
        </w:rPr>
        <w:softHyphen/>
        <w:t>занных материалов в течение.1944 года, согласно приложению № 8;</w:t>
      </w:r>
    </w:p>
    <w:p w14:paraId="35D62612" w14:textId="77777777" w:rsidR="00F6766E" w:rsidRPr="00070ADE" w:rsidRDefault="00F6766E" w:rsidP="00B56F90">
      <w:pPr>
        <w:tabs>
          <w:tab w:val="left" w:pos="81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дополнительно закупить и поставить Наркомхим</w:t>
      </w:r>
      <w:r w:rsidRPr="00070ADE">
        <w:rPr>
          <w:rFonts w:ascii="Times New Roman" w:hAnsi="Times New Roman"/>
          <w:color w:val="000000" w:themeColor="text1"/>
          <w:sz w:val="16"/>
          <w:szCs w:val="16"/>
        </w:rPr>
        <w:softHyphen/>
        <w:t>прому в 1944 году 500 тонн колоксилина, 400 тонн смолы эстероль, 2 тонны этидцеллюлозы, 2 тонны ацетобутирато-целлюлозы,5 тонн металлического кадмия и 500 тонн дибутилфтолата;в) выделить во П квартале с.г. лакокрасочным заводам Наркомхимпрома за счет импортных поступлений 100 тн. дибутилфто лата.</w:t>
      </w:r>
    </w:p>
    <w:p w14:paraId="737F50B6"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Для обеспечения научно-исследовательской работы и контроля за качеством нитропродукции обязать Наркомвнешторг т.Крутикова закупить и поставить .в 1944 году для лакокрасочных заводов Наркомхимпрома: 3.штуки аппаратов "Атлас" 2 штуки разрывных машин типа "Шоппера"</w:t>
      </w:r>
    </w:p>
    <w:p w14:paraId="76483D97"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штук аппаратов для измерения толщины нитропленки.</w:t>
      </w:r>
    </w:p>
    <w:p w14:paraId="4C6FC437" w14:textId="77777777" w:rsidR="00F6766E" w:rsidRPr="00070ADE" w:rsidRDefault="00F6766E" w:rsidP="00B56F90">
      <w:pPr>
        <w:tabs>
          <w:tab w:val="left" w:pos="92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Поручить Наркомвнешторгу разместить заказ на импорт в 1945 году для Наркомхимпрома:</w:t>
      </w:r>
    </w:p>
    <w:p w14:paraId="76C73D48" w14:textId="77777777" w:rsidR="00F6766E" w:rsidRPr="00070ADE" w:rsidRDefault="00F6766E" w:rsidP="00B56F90">
      <w:pPr>
        <w:tabs>
          <w:tab w:val="left" w:pos="86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комплектного оборудования завода фталевого ангидрида мощностью 2000-3000 тонн в год</w:t>
      </w:r>
      <w:r w:rsidRPr="00070ADE">
        <w:rPr>
          <w:rStyle w:val="Consolas95pt"/>
          <w:rFonts w:ascii="Times New Roman" w:hAnsi="Times New Roman" w:cs="Times New Roman"/>
          <w:color w:val="000000" w:themeColor="text1"/>
          <w:sz w:val="16"/>
          <w:szCs w:val="16"/>
        </w:rPr>
        <w:t>;</w:t>
      </w:r>
    </w:p>
    <w:p w14:paraId="5486E20D" w14:textId="77777777" w:rsidR="00F6766E" w:rsidRPr="00070ADE" w:rsidRDefault="00F6766E" w:rsidP="00B56F90">
      <w:pPr>
        <w:tabs>
          <w:tab w:val="left" w:pos="83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 два полных комплекта оборудования мастерских по изготовлению металлических бидонов, емкостью 16-30 килограммов, производительностью 1500 бидонов в сутки каждого комплекта.</w:t>
      </w:r>
    </w:p>
    <w:p w14:paraId="559ADFF8" w14:textId="77777777" w:rsidR="00F6766E" w:rsidRPr="00070ADE" w:rsidRDefault="00F6766E" w:rsidP="00B56F90">
      <w:pPr>
        <w:tabs>
          <w:tab w:val="left" w:pos="91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Обязать НКПС (т.Кагановича):</w:t>
      </w:r>
    </w:p>
    <w:p w14:paraId="318EFF5E" w14:textId="77777777" w:rsidR="00F6766E" w:rsidRPr="00070ADE" w:rsidRDefault="00F6766E" w:rsidP="00B56F90">
      <w:pPr>
        <w:tabs>
          <w:tab w:val="left" w:pos="83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обеспечить бесперебойную подачу вагонов и цис</w:t>
      </w:r>
      <w:r w:rsidRPr="00070ADE">
        <w:rPr>
          <w:rFonts w:ascii="Times New Roman" w:hAnsi="Times New Roman"/>
          <w:color w:val="000000" w:themeColor="text1"/>
          <w:sz w:val="16"/>
          <w:szCs w:val="16"/>
        </w:rPr>
        <w:softHyphen/>
        <w:t>терн под отгрузку ацетона, бутанола, этилового спирта, бутилацетата, этилацетата, растительных масел, уйтспирита, хромпика и уксусно-кальциевого порошка;</w:t>
      </w:r>
    </w:p>
    <w:p w14:paraId="55E77D8F" w14:textId="77777777" w:rsidR="00F6766E" w:rsidRPr="00070ADE" w:rsidRDefault="00F6766E" w:rsidP="00B56F90">
      <w:pPr>
        <w:tabs>
          <w:tab w:val="left" w:pos="82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установить специальное ежесуточное диспетчерское</w:t>
      </w:r>
      <w:r w:rsidRPr="00070ADE">
        <w:rPr>
          <w:rStyle w:val="105pt"/>
          <w:rFonts w:eastAsia="Calibri"/>
          <w:color w:val="000000" w:themeColor="text1"/>
          <w:sz w:val="16"/>
          <w:szCs w:val="16"/>
        </w:rPr>
        <w:t xml:space="preserve"> </w:t>
      </w:r>
      <w:r w:rsidRPr="00070ADE">
        <w:rPr>
          <w:rFonts w:ascii="Times New Roman" w:hAnsi="Times New Roman"/>
          <w:color w:val="000000" w:themeColor="text1"/>
          <w:sz w:val="16"/>
          <w:szCs w:val="16"/>
        </w:rPr>
        <w:t>наблюдение за подачей цистерн и вагонов под указанные грузы и продвижение их в адреса лесохимических заводов Наркомлеса СССР, лакокрасочных заводов Наркомхимпрома и Главхимпрома Наркомместпрома РСФСР.</w:t>
      </w:r>
    </w:p>
    <w:p w14:paraId="2CC8AA92"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30. Обязать Наркомередмаш - т.Акопова и директора завода им.Сталина т.Лихачева поставить в апреле-мае с.г. автомашин по фондам соответствующих наркоматов, лесхимзаводам Наркомлеса СССР 10 штук, лакокрасочным заводам Наркомхимпрома -- 10 штук, ацетонобутаноловым заводам Наркомпищёпрома СССР -8 штук, заводам Главхимпрома - Наркомместпрома </w:t>
      </w:r>
      <w:r w:rsidRPr="00070ADE">
        <w:rPr>
          <w:rFonts w:ascii="Times New Roman" w:hAnsi="Times New Roman"/>
          <w:color w:val="000000" w:themeColor="text1"/>
          <w:sz w:val="16"/>
          <w:szCs w:val="16"/>
          <w:lang w:val="en-US"/>
        </w:rPr>
        <w:t>PC</w:t>
      </w:r>
      <w:r w:rsidRPr="00070ADE">
        <w:rPr>
          <w:rFonts w:ascii="Times New Roman" w:hAnsi="Times New Roman"/>
          <w:color w:val="000000" w:themeColor="text1"/>
          <w:sz w:val="16"/>
          <w:szCs w:val="16"/>
        </w:rPr>
        <w:t>ФСР - . 5 щтук, Журавскому охровому заводу Наркомстройматериалов РСФСР - 2 штуки, УПК при СНК РСФСР - 5 газогенераторных автомашин ЗИС-5 и Талицкому леспромхозу Наркомотройматериалов СССР - 5 автомашин ЗИС-5.</w:t>
      </w:r>
    </w:p>
    <w:p w14:paraId="294471CA"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Освободить на 1944. „год _ от мобил и за:ции в Красную Армию и на другие работы автомобильный и гужевой' транс</w:t>
      </w:r>
      <w:r w:rsidRPr="00070ADE">
        <w:rPr>
          <w:rFonts w:ascii="Times New Roman" w:hAnsi="Times New Roman"/>
          <w:color w:val="000000" w:themeColor="text1"/>
          <w:sz w:val="16"/>
          <w:szCs w:val="16"/>
        </w:rPr>
        <w:softHyphen/>
        <w:t>порт лакокрасочных заводов Наркомхимпрома, лесохимических предприятий Наркомлеса СССР, ацетоно-бутаноловых заводов Наркомпищепрома СССР и заводов Глав химпрома НКМП РСФСР, выполняющих заказы Наркомавиапрома.</w:t>
      </w:r>
    </w:p>
    <w:p w14:paraId="41CE288D" w14:textId="77777777" w:rsidR="00F6766E" w:rsidRPr="00070ADE" w:rsidRDefault="00F6766E" w:rsidP="00B56F90">
      <w:pPr>
        <w:tabs>
          <w:tab w:val="left" w:pos="105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 Выделить в распоряжение Наркомместпрома РСФСР для премирования работников предприятий и са</w:t>
      </w:r>
      <w:r w:rsidRPr="00070ADE">
        <w:rPr>
          <w:rFonts w:ascii="Times New Roman" w:hAnsi="Times New Roman"/>
          <w:color w:val="000000" w:themeColor="text1"/>
          <w:sz w:val="16"/>
          <w:szCs w:val="16"/>
        </w:rPr>
        <w:softHyphen/>
        <w:t>мого Управления Главхимпрома Наркомместпрома 200 тыс. рублей за счет сверхплановых прибылей Главхимпрома НКМП РСФСР, а также для улучшения снабжения работ</w:t>
      </w:r>
      <w:r w:rsidRPr="00070ADE">
        <w:rPr>
          <w:rFonts w:ascii="Times New Roman" w:hAnsi="Times New Roman"/>
          <w:color w:val="000000" w:themeColor="text1"/>
          <w:sz w:val="16"/>
          <w:szCs w:val="16"/>
        </w:rPr>
        <w:softHyphen/>
        <w:t>ников предприятий и самого Управления Главхимпрома 500 метров шерстяных тканей, 2000 метров хлопчато</w:t>
      </w:r>
      <w:r w:rsidRPr="00070ADE">
        <w:rPr>
          <w:rFonts w:ascii="Times New Roman" w:hAnsi="Times New Roman"/>
          <w:color w:val="000000" w:themeColor="text1"/>
          <w:sz w:val="16"/>
          <w:szCs w:val="16"/>
        </w:rPr>
        <w:softHyphen/>
        <w:t>бумажных тканей и 500 пар обуви за счет фондов НКМП РСФСР.</w:t>
      </w:r>
    </w:p>
    <w:p w14:paraId="1CF67EB8" w14:textId="77777777" w:rsidR="00F6766E" w:rsidRPr="00070ADE" w:rsidRDefault="00F6766E" w:rsidP="00B56F90">
      <w:pPr>
        <w:tabs>
          <w:tab w:val="left" w:pos="107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 Запретить Совнаркомам автономных республик и областным (краевым), городским и районным исполко</w:t>
      </w:r>
      <w:r w:rsidRPr="00070ADE">
        <w:rPr>
          <w:rFonts w:ascii="Times New Roman" w:hAnsi="Times New Roman"/>
          <w:color w:val="000000" w:themeColor="text1"/>
          <w:sz w:val="16"/>
          <w:szCs w:val="16"/>
        </w:rPr>
        <w:softHyphen/>
        <w:t>мам депутатов трудящихся производить мобилизацию ра</w:t>
      </w:r>
      <w:r w:rsidRPr="00070ADE">
        <w:rPr>
          <w:rFonts w:ascii="Times New Roman" w:hAnsi="Times New Roman"/>
          <w:color w:val="000000" w:themeColor="text1"/>
          <w:sz w:val="16"/>
          <w:szCs w:val="16"/>
        </w:rPr>
        <w:softHyphen/>
        <w:t xml:space="preserve">бочих, инаенерно-технических работников и автогужтранспорт с лесохимических предприятий Наркомлеса </w:t>
      </w:r>
      <w:r w:rsidRPr="00070ADE">
        <w:rPr>
          <w:rFonts w:ascii="Times New Roman" w:hAnsi="Times New Roman"/>
          <w:color w:val="000000" w:themeColor="text1"/>
          <w:sz w:val="16"/>
          <w:szCs w:val="16"/>
          <w:lang w:val="en-US"/>
        </w:rPr>
        <w:t>CC</w:t>
      </w:r>
      <w:r w:rsidRPr="00070ADE">
        <w:rPr>
          <w:rFonts w:ascii="Times New Roman" w:hAnsi="Times New Roman"/>
          <w:color w:val="000000" w:themeColor="text1"/>
          <w:sz w:val="16"/>
          <w:szCs w:val="16"/>
        </w:rPr>
        <w:t>С</w:t>
      </w:r>
      <w:r w:rsidRPr="00070ADE">
        <w:rPr>
          <w:rFonts w:ascii="Times New Roman" w:hAnsi="Times New Roman"/>
          <w:color w:val="000000" w:themeColor="text1"/>
          <w:sz w:val="16"/>
          <w:szCs w:val="16"/>
          <w:lang w:val="en-US"/>
        </w:rPr>
        <w:t>P</w:t>
      </w:r>
      <w:r w:rsidRPr="00070ADE">
        <w:rPr>
          <w:rFonts w:ascii="Times New Roman" w:hAnsi="Times New Roman"/>
          <w:color w:val="000000" w:themeColor="text1"/>
          <w:sz w:val="16"/>
          <w:szCs w:val="16"/>
        </w:rPr>
        <w:t>, ацетоно-бутанолоьых заводов НКПП СССР, лако</w:t>
      </w:r>
      <w:r w:rsidRPr="00070ADE">
        <w:rPr>
          <w:rFonts w:ascii="Times New Roman" w:hAnsi="Times New Roman"/>
          <w:color w:val="000000" w:themeColor="text1"/>
          <w:sz w:val="16"/>
          <w:szCs w:val="16"/>
        </w:rPr>
        <w:softHyphen/>
        <w:t>красочных заводов Наркомхимпрома и Главхимпрома НКМП РСФСР на другие" работы.</w:t>
      </w:r>
    </w:p>
    <w:p w14:paraId="376815FC" w14:textId="77777777" w:rsidR="00F6766E" w:rsidRPr="00070ADE" w:rsidRDefault="00F6766E" w:rsidP="00B56F90">
      <w:pPr>
        <w:tabs>
          <w:tab w:val="left" w:pos="106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 Б целях укрепления дисциплины на лесохими</w:t>
      </w:r>
      <w:r w:rsidRPr="00070ADE">
        <w:rPr>
          <w:rFonts w:ascii="Times New Roman" w:hAnsi="Times New Roman"/>
          <w:color w:val="000000" w:themeColor="text1"/>
          <w:sz w:val="16"/>
          <w:szCs w:val="16"/>
        </w:rPr>
        <w:softHyphen/>
        <w:t>ческих предприятиях Наркомлеса СССР и ацетоно-бутано- ловых заводах Наркомпищепрома СССР распространить на них действие Указа Верховного Совета СССР от 20 декаб</w:t>
      </w:r>
      <w:r w:rsidRPr="00070ADE">
        <w:rPr>
          <w:rFonts w:ascii="Times New Roman" w:hAnsi="Times New Roman"/>
          <w:color w:val="000000" w:themeColor="text1"/>
          <w:sz w:val="16"/>
          <w:szCs w:val="16"/>
        </w:rPr>
        <w:softHyphen/>
        <w:t>ря 1941 года.</w:t>
      </w:r>
    </w:p>
    <w:p w14:paraId="2F2046C7"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 Обязать Наркомат Государственного Контроля СССР - т.Попова взять выполнение настоящего постановления под особый контроль и ежемесячно докладывать Государственному Комитету Оборона о ходе, его выпол</w:t>
      </w:r>
      <w:r w:rsidRPr="00070ADE">
        <w:rPr>
          <w:rFonts w:ascii="Times New Roman" w:hAnsi="Times New Roman"/>
          <w:color w:val="000000" w:themeColor="text1"/>
          <w:sz w:val="16"/>
          <w:szCs w:val="16"/>
        </w:rPr>
        <w:softHyphen/>
        <w:t>нения.</w:t>
      </w:r>
    </w:p>
    <w:p w14:paraId="04481F28" w14:textId="77777777" w:rsidR="00F6766E" w:rsidRPr="00070ADE" w:rsidRDefault="00F676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 Утвердить мероприятия по заводам Наркомлеса СССР, Нарконхимпрома; Наркомпищепрома СССР и Нарком- меотпрома РСФСР (приложение № 9) (19479).</w:t>
      </w:r>
    </w:p>
    <w:p w14:paraId="5DDFF35B" w14:textId="77777777" w:rsidR="000F027C" w:rsidRPr="00070ADE" w:rsidRDefault="000F027C" w:rsidP="00B56F90">
      <w:pPr>
        <w:autoSpaceDE w:val="0"/>
        <w:autoSpaceDN w:val="0"/>
        <w:adjustRightInd w:val="0"/>
        <w:spacing w:after="0" w:line="240" w:lineRule="auto"/>
        <w:jc w:val="both"/>
        <w:rPr>
          <w:rFonts w:ascii="Times New Roman" w:hAnsi="Times New Roman"/>
          <w:color w:val="000000" w:themeColor="text1"/>
          <w:sz w:val="16"/>
          <w:szCs w:val="16"/>
        </w:rPr>
      </w:pPr>
    </w:p>
    <w:p w14:paraId="49B878F7" w14:textId="77777777" w:rsidR="00AA47E8" w:rsidRPr="00070ADE" w:rsidRDefault="00AA47E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председатель советской за</w:t>
      </w:r>
      <w:r w:rsidRPr="00070ADE">
        <w:rPr>
          <w:rFonts w:ascii="Times New Roman" w:hAnsi="Times New Roman"/>
          <w:color w:val="000000" w:themeColor="text1"/>
          <w:sz w:val="16"/>
          <w:szCs w:val="16"/>
        </w:rPr>
        <w:softHyphen/>
        <w:t>купочной комиссии генерал-лейтенант П.Г. Руденко посетил завод фирмы «Форд» в Уиллоу-Ран, где тогда собирали В-24Н. Машина произвела на него большое впе</w:t>
      </w:r>
      <w:r w:rsidRPr="00070ADE">
        <w:rPr>
          <w:rFonts w:ascii="Times New Roman" w:hAnsi="Times New Roman"/>
          <w:color w:val="000000" w:themeColor="text1"/>
          <w:sz w:val="16"/>
          <w:szCs w:val="16"/>
        </w:rPr>
        <w:softHyphen/>
        <w:t>чатление. Руденко доложил в Москву: «Такой самолет можно смело рекомендо</w:t>
      </w:r>
      <w:r w:rsidRPr="00070ADE">
        <w:rPr>
          <w:rFonts w:ascii="Times New Roman" w:hAnsi="Times New Roman"/>
          <w:color w:val="000000" w:themeColor="text1"/>
          <w:sz w:val="16"/>
          <w:szCs w:val="16"/>
        </w:rPr>
        <w:softHyphen/>
        <w:t>вать для ВВС Красной Армии».</w:t>
      </w:r>
    </w:p>
    <w:p w14:paraId="45056F47" w14:textId="77777777" w:rsidR="00AA47E8" w:rsidRPr="00070ADE" w:rsidRDefault="00AA47E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советских ВВС в заявках по IV, по</w:t>
      </w:r>
      <w:r w:rsidRPr="00070ADE">
        <w:rPr>
          <w:rFonts w:ascii="Times New Roman" w:hAnsi="Times New Roman"/>
          <w:color w:val="000000" w:themeColor="text1"/>
          <w:sz w:val="16"/>
          <w:szCs w:val="16"/>
        </w:rPr>
        <w:softHyphen/>
        <w:t>следнему, протоколу о союзных поставках летом 1944 г. попросили сразу 300 В-24.</w:t>
      </w:r>
    </w:p>
    <w:p w14:paraId="7C8ABE92" w14:textId="77777777" w:rsidR="00AA47E8" w:rsidRPr="00070ADE" w:rsidRDefault="00AA47E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ноябре того же года американцы согла</w:t>
      </w:r>
      <w:r w:rsidRPr="00070ADE">
        <w:rPr>
          <w:rFonts w:ascii="Times New Roman" w:hAnsi="Times New Roman"/>
          <w:color w:val="000000" w:themeColor="text1"/>
          <w:sz w:val="16"/>
          <w:szCs w:val="16"/>
        </w:rPr>
        <w:softHyphen/>
        <w:t>сились выделить 200 машин, отправляя их по АЛСИБу по 50 штук в месяц. Но под</w:t>
      </w:r>
      <w:r w:rsidRPr="00070ADE">
        <w:rPr>
          <w:rFonts w:ascii="Times New Roman" w:hAnsi="Times New Roman"/>
          <w:color w:val="000000" w:themeColor="text1"/>
          <w:sz w:val="16"/>
          <w:szCs w:val="16"/>
        </w:rPr>
        <w:softHyphen/>
        <w:t>готовку экипажей они хотели оставить за собой. Для обучения советских летчиков в США специально сформировали учеб</w:t>
      </w:r>
      <w:r w:rsidRPr="00070ADE">
        <w:rPr>
          <w:rFonts w:ascii="Times New Roman" w:hAnsi="Times New Roman"/>
          <w:color w:val="000000" w:themeColor="text1"/>
          <w:sz w:val="16"/>
          <w:szCs w:val="16"/>
        </w:rPr>
        <w:softHyphen/>
        <w:t>ную группу полковника Морана с шестью «Либерейторами». Однако советская сто</w:t>
      </w:r>
      <w:r w:rsidRPr="00070ADE">
        <w:rPr>
          <w:rFonts w:ascii="Times New Roman" w:hAnsi="Times New Roman"/>
          <w:color w:val="000000" w:themeColor="text1"/>
          <w:sz w:val="16"/>
          <w:szCs w:val="16"/>
        </w:rPr>
        <w:softHyphen/>
        <w:t>рона категорически отказалась принять ее на нашей территории. Она считала, что обучать экипажи лучше где-нибудь на Аляске. В конечном итоге после долгой переписки пришли к согласию разместить учебный центр в Иране.</w:t>
      </w:r>
    </w:p>
    <w:p w14:paraId="71BDE7B0" w14:textId="77777777" w:rsidR="00AA47E8" w:rsidRPr="00070ADE" w:rsidRDefault="00AA47E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Кандидатов на поездку отобрали уже давно. С июня 1944 г. в 45-й дивизии на</w:t>
      </w:r>
      <w:r w:rsidRPr="00070ADE">
        <w:rPr>
          <w:rFonts w:ascii="Times New Roman" w:hAnsi="Times New Roman"/>
          <w:color w:val="000000" w:themeColor="text1"/>
          <w:sz w:val="16"/>
          <w:szCs w:val="16"/>
        </w:rPr>
        <w:softHyphen/>
        <w:t>чалась систематическая подготовка лич</w:t>
      </w:r>
      <w:r w:rsidRPr="00070ADE">
        <w:rPr>
          <w:rFonts w:ascii="Times New Roman" w:hAnsi="Times New Roman"/>
          <w:color w:val="000000" w:themeColor="text1"/>
          <w:sz w:val="16"/>
          <w:szCs w:val="16"/>
        </w:rPr>
        <w:softHyphen/>
        <w:t>ного состава на единственном имевшемся «Либерейторе». В августе первые 10 эки</w:t>
      </w:r>
      <w:r w:rsidRPr="00070ADE">
        <w:rPr>
          <w:rFonts w:ascii="Times New Roman" w:hAnsi="Times New Roman"/>
          <w:color w:val="000000" w:themeColor="text1"/>
          <w:sz w:val="16"/>
          <w:szCs w:val="16"/>
        </w:rPr>
        <w:softHyphen/>
        <w:t>пажей начали по очереди летать на нем. В сентябре были подготовлены списки летчиков, штурманов, радистов, механи</w:t>
      </w:r>
      <w:r w:rsidRPr="00070ADE">
        <w:rPr>
          <w:rFonts w:ascii="Times New Roman" w:hAnsi="Times New Roman"/>
          <w:color w:val="000000" w:themeColor="text1"/>
          <w:sz w:val="16"/>
          <w:szCs w:val="16"/>
        </w:rPr>
        <w:softHyphen/>
        <w:t>ков — в общей сложности 20 экипажей, которым предстояло получать В-24. На их личных делах стояла пометка «направля</w:t>
      </w:r>
      <w:r w:rsidRPr="00070ADE">
        <w:rPr>
          <w:rFonts w:ascii="Times New Roman" w:hAnsi="Times New Roman"/>
          <w:color w:val="000000" w:themeColor="text1"/>
          <w:sz w:val="16"/>
          <w:szCs w:val="16"/>
        </w:rPr>
        <w:softHyphen/>
        <w:t>ются в загранкомандировку».</w:t>
      </w:r>
    </w:p>
    <w:p w14:paraId="1D6E467F" w14:textId="77777777" w:rsidR="00AA47E8" w:rsidRPr="00070ADE" w:rsidRDefault="00AA47E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никуда они не поехали. Ни одного «Либерейтора» от американцев больше не получили. Их и так в распоряжении Красной Армии было достаточно — надо было только собирать (23513).</w:t>
      </w:r>
    </w:p>
    <w:p w14:paraId="2A933DD8" w14:textId="77777777" w:rsidR="00AA47E8" w:rsidRPr="00070ADE" w:rsidRDefault="00AA47E8" w:rsidP="00B56F90">
      <w:pPr>
        <w:spacing w:after="0" w:line="240" w:lineRule="auto"/>
        <w:jc w:val="both"/>
        <w:rPr>
          <w:rFonts w:ascii="Times New Roman" w:hAnsi="Times New Roman"/>
          <w:color w:val="000000" w:themeColor="text1"/>
          <w:sz w:val="16"/>
          <w:szCs w:val="16"/>
        </w:rPr>
      </w:pPr>
    </w:p>
    <w:p w14:paraId="7387E23E" w14:textId="621BF88D"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г. выходит новый приказ НКАП и ВВС № 194с/045. Директорам заводов № 116 и № 168 предписывается выпускать учебные УТ-2 и УТ-2М с окраской всего самолета в серо-голубой цвет аэролаком АМТ-11 вместо трехцветного камуфляжа верхних и боковых поверхностей и голубой окраски нижних. Срок выпуска машин в новом облике устанавливался для завода № 168 (Волжск) - с 1 мая 1944 г., а для завода № 116 (Семеновка, Приморский край) - с 1 июня. Перекраска существующего парка самолетов не планировалась. Одновременно опознавательные знаки (звезды) приказывалось наносить красным аэролаком All (Кр) с черной окантовкой (11989).</w:t>
      </w:r>
    </w:p>
    <w:p w14:paraId="3EFF4BD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62D28F1" w14:textId="77777777" w:rsidR="00AA47E8" w:rsidRPr="00070ADE" w:rsidRDefault="00AA47E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г. органы НКВД арестовали Костикова (уже уволенного с должности директора) по обвинению в шпионаже и вредительстве. До весны 1945 г. он находился в следственной тюрьме. Потом обвинения с него сняли и назначили начальником КБ в НИИ-24, разрабатывавший корпуса боеприпасов.</w:t>
      </w:r>
    </w:p>
    <w:p w14:paraId="1D887D98" w14:textId="661B2E69" w:rsidR="00AA47E8" w:rsidRPr="00070ADE" w:rsidRDefault="00AA47E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 ГИРТ в мае 1944 г. объединили с авиационным ОКБ-293, которым руководил Виктор Болховитинов (1899-1970), и пере</w:t>
      </w:r>
      <w:r w:rsidRPr="00070ADE">
        <w:rPr>
          <w:rFonts w:ascii="Times New Roman" w:hAnsi="Times New Roman"/>
          <w:color w:val="000000" w:themeColor="text1"/>
          <w:sz w:val="16"/>
          <w:szCs w:val="16"/>
        </w:rPr>
        <w:softHyphen/>
        <w:t>именовали в НИИ-1 наркомата авиапромышленности. Главной задачей нового НИИ Госкомитет обороны определил разработку реактивных двигателей к самолетам. Его директором назначили генерала Петра Фёдорова (1898-1945), возглавлявшего до этого НИИ ВВС. Болховитинов занял должность его заместителя по научной части.</w:t>
      </w:r>
    </w:p>
    <w:p w14:paraId="1846F41B" w14:textId="77777777" w:rsidR="00AA47E8" w:rsidRPr="00070ADE" w:rsidRDefault="00AA47E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Переименования и реорганизации института продолжались и после войны (23550).</w:t>
      </w:r>
    </w:p>
    <w:p w14:paraId="750F7903" w14:textId="77777777" w:rsidR="00AA47E8" w:rsidRPr="00070ADE" w:rsidRDefault="00AA47E8" w:rsidP="00B56F90">
      <w:pPr>
        <w:spacing w:after="0" w:line="240" w:lineRule="auto"/>
        <w:jc w:val="both"/>
        <w:rPr>
          <w:rFonts w:ascii="Times New Roman" w:hAnsi="Times New Roman"/>
          <w:color w:val="000000" w:themeColor="text1"/>
          <w:sz w:val="16"/>
          <w:szCs w:val="16"/>
        </w:rPr>
      </w:pPr>
    </w:p>
    <w:p w14:paraId="630DB04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F2F81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77E9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 15 марта 1944 г. завод № 4 им. Калинина (Завод № 4 им. Всероссийского Старосты тов. Калинина ВСНХ, Ленинградский государственный завод № 4 ВСНХ, НКТП, Васильевское отделение Санкт-Петербургского Патронного завода, Петербургский трубочный завод, Петроградский государственный трубочный завод № 1 им. Всероссийского Старосты тов. Калинина ВСНХ, Ленинградский трубочный завод им... Калинина, ГС завод № 4 им. М.И. Калинина НКТП, НКОП, НКБ, МСХМ, </w:t>
      </w:r>
      <w:r w:rsidRPr="00070ADE">
        <w:rPr>
          <w:rFonts w:ascii="Times New Roman" w:hAnsi="Times New Roman"/>
          <w:color w:val="000000" w:themeColor="text1"/>
          <w:sz w:val="16"/>
          <w:szCs w:val="16"/>
        </w:rPr>
        <w:lastRenderedPageBreak/>
        <w:t>МОП, п/я 18, п/я 672, Ордена Ленина и ордена Трудового Красного Знамени ленинградский государственный завод им. М.И. Калинина ММ, ПО «Завод им. М.И. Калинина» ММ, ГПО, ГУП «Завод им. М.И. Калинина» Росбоеприпаса, ФГУП «Завод им. М.И. Калинина» /г. Санкт-Петербург, г. Петроград, г. Ленинград; г. Казань; г. Ленинград/ /199155 г. Санкт-Петербург ул. Уральская, 1 тел. 350-87-04) действовал в Ленинграде, а часть завода в Казани получила статус филиала, на базе которого затем образован завод № 144 им. Калинина. В 12.1942-09.1944 г. завод - в ведении 2ГУ НКБ.</w:t>
      </w:r>
    </w:p>
    <w:p w14:paraId="1F51623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время ВОВ завод был назначен головным по производству снарядов РС-13 и РС-8. Окончательная сборка снарядов М-13 начата с 1941 г. Завод в годы ВОВ вел работы по трассерам и зажигательным шашкам; снаряжение гранат РПГ-6. Всего за годы войны произведено 135 тыс. снарядов М-13, 4,5 млн. взрывателей, 2,3 млн. запалов для гранат.</w:t>
      </w:r>
    </w:p>
    <w:p w14:paraId="1032DFA2" w14:textId="76A4C800"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1946 г. ГС завод № 4 - в ведении МСХМ, с 1953 г. - МОП, с 1957 г. - Управления машиностроения ЛенСНХ, имел наименования «п/я 18» (1930-46 г.), «п/я 672» (1949-55 г.-).</w:t>
      </w:r>
      <w:r w:rsidR="00AA47E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 11.1965 г. завод передан в ведение ММ и переименован в Ордена Ленина и ордена Трудового Красного Знамени ленинградский государственный завод им. М.И. Калинина.</w:t>
      </w:r>
    </w:p>
    <w:p w14:paraId="0ABA0E0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войны, кроме механических, производились также электромеханические взрыватели и радиоэлектронные.</w:t>
      </w:r>
    </w:p>
    <w:p w14:paraId="1EB9545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Построен цех по производству КПА.</w:t>
      </w:r>
    </w:p>
    <w:p w14:paraId="46E5B5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1950-е г. на заводе внедрено новое направление - выпуск электроники. В конце 1950-х г. принимал участие вместе с ОКБ ИЛИ (далее - ОКБ «Импульс») в создании полуавтоматических осредняющих и запоминающих устройств (ПОЗУ) станций траекторных измерений «Кварц», «Темп» для запоминания результатов траекторных измерений ИСЗ на научно-измерительных пунктах (НИП) (О.И. Воскресенский, А.В. Захаров). Затем производил изделия разработки НПО «Импульс» для РВСН. С 1965 г. освоен выпуск специальных ЭВМ.</w:t>
      </w:r>
    </w:p>
    <w:p w14:paraId="756EAB7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Имелись производства (2005 г.): заготовительное, металлообрабатывающее, обработки пластмасс, окрасочное, плат печатного монтажа, механосборочное, сборки РЭ аппаратуры, инструментальное, гальваническое.</w:t>
      </w:r>
    </w:p>
    <w:p w14:paraId="31B487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(1936 г.)- около 11 тыс. чел., (07.1941 г.)- 13365 чел., (12.1942 г.)- 8671 чел.</w:t>
      </w:r>
    </w:p>
    <w:p w14:paraId="75C1740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(1869 г.-)- штабс-капитан В.Н. Зогоскин, (1930 г.)- Ф.И. Холодилин, (1933-8.05.1937 г.)- В.В. Тимофеев (снят), (11.07-11.1937 г.-)- С.Ф. Степанов, (1940 г.)- Г.Н. Брук, (ВОВ)- Н.Г. Миронов, (1940-е)- Е.Д. Бердичевский, (1946 г.)- И.А. Уваров, (1948-; -1970 г.)- Н.А. Кальченко, (1949-50 г.)- Н.Н. Костров, (1972 г.-)- А.В. Захаров. Гендиректор (-2002 г.)- А.В. Захаров, (-2003-05 г.-)- С.В. Сазонкин.</w:t>
      </w:r>
    </w:p>
    <w:p w14:paraId="198E27A3" w14:textId="77777777" w:rsidR="00595BFB" w:rsidRPr="00070ADE" w:rsidRDefault="00595BFB" w:rsidP="00B56F90">
      <w:pPr>
        <w:tabs>
          <w:tab w:val="left" w:pos="8997"/>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директора (-06-14.07.1937 г.)- Л.Б. Иткин (снят), (06.1937 г.)- Орловский, (10.01.1938 г.-)- В.К. Слепцов; по ПВО и охране (29.11.1938 г.-)- В.В. Гаврилов. Помощник директора по найму и увольнению (-06.1937-09.1938 г.-)- И.П. Емельянов.</w:t>
      </w:r>
    </w:p>
    <w:p w14:paraId="7D9357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Технический директор (-1930 г.)- Н.Н. Кондратьев.</w:t>
      </w:r>
    </w:p>
    <w:p w14:paraId="1880835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(-06-14.07.1937 г.)- Л.Б. Иткин, (10.01.1938 г.-)- В.К. Слепцов, (ВОВ)- Т.И. Агафин (?), И.И. Павловский, (1970-е)- Б.С. Кренев.</w:t>
      </w:r>
    </w:p>
    <w:p w14:paraId="153A87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(1924-27 г.)- С.А. Керблай, (1931-32 г.)- Н.Н. Кондратьев, (1938 г.)- М.Н. Логинов, (1969-85 г.)- Ю.П. Груздев.</w:t>
      </w:r>
    </w:p>
    <w:p w14:paraId="01685CA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конструкторы: И.И. Павловский, Ю.П. Груздев, И.Ф. Тактин.</w:t>
      </w:r>
    </w:p>
    <w:p w14:paraId="1BB6051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цехов: химического (03.1937 г.-)- П.Т. Сухометов.</w:t>
      </w:r>
    </w:p>
    <w:p w14:paraId="30ED5E0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отделов: сборочно-снаряжательного (11.1937 г.)- Миронов.</w:t>
      </w:r>
    </w:p>
    <w:p w14:paraId="1D3E0E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взрыватель К-20 для авиационного 23-мм патрона (1941).</w:t>
      </w:r>
    </w:p>
    <w:p w14:paraId="70B570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взрыватели: К-3, -6, -20, В-179 (ДВ), РГМ, MP, ГВМЗ, АПУВ (-1941);</w:t>
      </w:r>
      <w:r w:rsidRPr="00070ADE">
        <w:rPr>
          <w:rFonts w:ascii="Times New Roman" w:hAnsi="Times New Roman"/>
          <w:color w:val="000000" w:themeColor="text1"/>
          <w:sz w:val="16"/>
          <w:szCs w:val="16"/>
          <w:vertAlign w:val="superscript"/>
        </w:rPr>
        <w:t>132</w:t>
      </w:r>
      <w:r w:rsidRPr="00070ADE">
        <w:rPr>
          <w:rFonts w:ascii="Times New Roman" w:hAnsi="Times New Roman"/>
          <w:color w:val="000000" w:themeColor="text1"/>
          <w:sz w:val="16"/>
          <w:szCs w:val="16"/>
        </w:rPr>
        <w:t xml:space="preserve"> для артснарядов В-429 (1955-92); радиовзрыватели для ЗУР С-75, С-200, С-300, для РСЗО «Град», «Смерч»; ударные приборы и минные механизмы для мины I IJ IT, гидростатические коробки для авиационных мин (1939); телевизионная ГСН «Крым» для КАБ-500Кр, КАБ-1500Кр; электронно-вычислительное устройство «Блок» для ГСН КАБ-500, КАБ-1500; электронный блок для ГСН ПЗРК «Игла»; пультовая аппаратура (21 наименование) для проверки работы взрывателей (в т.ч. непосредственно в войсках); аппаратура системы мягкой посадки «Кактус» и «Квант» (12 модификаций) для КА и парашютных платформ; станции траекторных измерений «Кварц», «Темп», «Буфер-ИМ»; спецтехника для систем боевого управления РВСН полкового звена, ЦКП РВСН, ЦКП ГШ, СВГК (1960-е-2000-е), информационно-расчетная система РВСН «Ярус» (1980-), система боевого управления РВСН в особых условиях (1980-), системы дистанционного управления РК; система автоматической передачи цветной картографической информации «Цвет» (1980-); система поиска кораблей и КА в космосе «Аре»; навигационная система для кораблей «Вектор-ТК»;</w:t>
      </w:r>
    </w:p>
    <w:p w14:paraId="7B9E26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термопластавтомат МЛГП, пресс ПЦЦ-1000, пресс пневматический ППС-2; гидродомкраты для автосервиса, компрессор «Темп»; бытовая техника, системы охранной сигнализации;</w:t>
      </w:r>
      <w:r w:rsidRPr="00070ADE">
        <w:rPr>
          <w:rFonts w:ascii="Times New Roman" w:hAnsi="Times New Roman"/>
          <w:color w:val="000000" w:themeColor="text1"/>
          <w:sz w:val="16"/>
          <w:szCs w:val="16"/>
          <w:vertAlign w:val="superscript"/>
        </w:rPr>
        <w:t>101</w:t>
      </w:r>
      <w:r w:rsidRPr="00070ADE">
        <w:rPr>
          <w:rFonts w:ascii="Times New Roman" w:hAnsi="Times New Roman"/>
          <w:color w:val="000000" w:themeColor="text1"/>
          <w:sz w:val="16"/>
          <w:szCs w:val="16"/>
        </w:rPr>
        <w:t xml:space="preserve"> магнитофоны: «Квазар-303, -308С, П-405С»; усилители: «Форум» У-001С, 180У-001С, 500УМ-001С; радиоприемники «Чайка», «Чайка-201»; абонентский громкоговоритель ГДМ-0,5, абонентский приемник «Балтика» (1950-е) (11982).</w:t>
      </w:r>
    </w:p>
    <w:p w14:paraId="7D393B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7AA70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15 марта 1944 г. в целях наращивания производства танков ИС, выпуск танков Т-34 на ЧКЗ был прекращен. Все силы были сконцентриро</w:t>
      </w:r>
      <w:r w:rsidRPr="00070ADE">
        <w:rPr>
          <w:rFonts w:ascii="Times New Roman" w:hAnsi="Times New Roman"/>
          <w:color w:val="000000" w:themeColor="text1"/>
          <w:sz w:val="16"/>
          <w:szCs w:val="16"/>
        </w:rPr>
        <w:softHyphen/>
        <w:t>ваны на производстве танков ИС-2. За шесть месяцев (март - август 1944 г.) заводу необходимо было изготовить 1075 танков ИС-2 и 1400 САУ на базе этого танка. Для реализации плана производства танков и САУ на заводе № 200 в Челябинске опережающими темпами шло увеличение выпуска башен. С начала производства и до июня 1944 г. на заводе собиралось корпусов танка больше, чем башен, а недостающие башни поставлялись с УЗТМ. Начиная с июля 1944 г., программа выпуска бронекорпусов с башнями для танков ИС-2 распределилась следующим образом: 200 корпусов с башнями собирал завод № 200 и 50 - УЗТМ (10703).</w:t>
      </w:r>
    </w:p>
    <w:p w14:paraId="00BD55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73D3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г. ввиду необходимости наращивания вы</w:t>
      </w:r>
      <w:r w:rsidRPr="00070ADE">
        <w:rPr>
          <w:rFonts w:ascii="Times New Roman" w:hAnsi="Times New Roman"/>
          <w:color w:val="000000" w:themeColor="text1"/>
          <w:sz w:val="16"/>
          <w:szCs w:val="16"/>
        </w:rPr>
        <w:softHyphen/>
        <w:t>пуска танков ИС производство Т-34 на ЧКЗ было прекра</w:t>
      </w:r>
      <w:r w:rsidRPr="00070ADE">
        <w:rPr>
          <w:rFonts w:ascii="Times New Roman" w:hAnsi="Times New Roman"/>
          <w:color w:val="000000" w:themeColor="text1"/>
          <w:sz w:val="16"/>
          <w:szCs w:val="16"/>
        </w:rPr>
        <w:softHyphen/>
        <w:t>щено. Поскольку первые танки ИС отличались низким ка</w:t>
      </w:r>
      <w:r w:rsidRPr="00070ADE">
        <w:rPr>
          <w:rFonts w:ascii="Times New Roman" w:hAnsi="Times New Roman"/>
          <w:color w:val="000000" w:themeColor="text1"/>
          <w:sz w:val="16"/>
          <w:szCs w:val="16"/>
        </w:rPr>
        <w:softHyphen/>
        <w:t>чеством механизмов, то задачей первейшей важности, по</w:t>
      </w:r>
      <w:r w:rsidRPr="00070ADE">
        <w:rPr>
          <w:rFonts w:ascii="Times New Roman" w:hAnsi="Times New Roman"/>
          <w:color w:val="000000" w:themeColor="text1"/>
          <w:sz w:val="16"/>
          <w:szCs w:val="16"/>
        </w:rPr>
        <w:softHyphen/>
        <w:t>ставленной перед технологами ЧКЗ на март-май 1944 г., стала задача повышения качества МТО. В конце февраля 1944 г. замнаркома Ж. Котин был назначен по совмести</w:t>
      </w:r>
      <w:r w:rsidRPr="00070ADE">
        <w:rPr>
          <w:rFonts w:ascii="Times New Roman" w:hAnsi="Times New Roman"/>
          <w:color w:val="000000" w:themeColor="text1"/>
          <w:sz w:val="16"/>
          <w:szCs w:val="16"/>
        </w:rPr>
        <w:softHyphen/>
        <w:t>тельству главным конструктором ЧКЗ с личной ответст</w:t>
      </w:r>
      <w:r w:rsidRPr="00070ADE">
        <w:rPr>
          <w:rFonts w:ascii="Times New Roman" w:hAnsi="Times New Roman"/>
          <w:color w:val="000000" w:themeColor="text1"/>
          <w:sz w:val="16"/>
          <w:szCs w:val="16"/>
        </w:rPr>
        <w:softHyphen/>
        <w:t>венностью за каждую выпускаемую партию танков. В это время все новые разработки на ЧКЗ и заводе № 100 были прекращены. Порядок приемки танков изменился. Теперь один танк (на выбор) из каждых пятидесяти обязательно испытывался на 300-км сдаточной трассе, а один танк в ме</w:t>
      </w:r>
      <w:r w:rsidRPr="00070ADE">
        <w:rPr>
          <w:rFonts w:ascii="Times New Roman" w:hAnsi="Times New Roman"/>
          <w:color w:val="000000" w:themeColor="text1"/>
          <w:sz w:val="16"/>
          <w:szCs w:val="16"/>
        </w:rPr>
        <w:softHyphen/>
        <w:t>сяц, кроме того, проходил испытания на гарантированный пробег в 1000 км. Сначала каждые 3 дня, затем каждые 5 дней Ж. Котин собирал информацию и докладывал в нар</w:t>
      </w:r>
      <w:r w:rsidRPr="00070ADE">
        <w:rPr>
          <w:rFonts w:ascii="Times New Roman" w:hAnsi="Times New Roman"/>
          <w:color w:val="000000" w:themeColor="text1"/>
          <w:sz w:val="16"/>
          <w:szCs w:val="16"/>
        </w:rPr>
        <w:softHyphen/>
        <w:t>комат о дефектах серийных танков и путях их устранения. В воинские части отправлялись заводские бригады для оперативного устранения дефектов, обнаруженных при освоении новых танков. Наиболее характерные дефекты, меры по борьбе с ними и пути их устранения были сведены в памятки механику-водителю, ремонтной роте и «ин</w:t>
      </w:r>
      <w:r w:rsidRPr="00070ADE">
        <w:rPr>
          <w:rFonts w:ascii="Times New Roman" w:hAnsi="Times New Roman"/>
          <w:color w:val="000000" w:themeColor="text1"/>
          <w:sz w:val="16"/>
          <w:szCs w:val="16"/>
        </w:rPr>
        <w:softHyphen/>
        <w:t>струкции по эксплуатации тяжелого танка» (11135).</w:t>
      </w:r>
    </w:p>
    <w:p w14:paraId="488397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5616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г. выпуск тан</w:t>
      </w:r>
      <w:r w:rsidRPr="00070ADE">
        <w:rPr>
          <w:rFonts w:ascii="Times New Roman" w:hAnsi="Times New Roman"/>
          <w:color w:val="000000" w:themeColor="text1"/>
          <w:sz w:val="16"/>
          <w:szCs w:val="16"/>
        </w:rPr>
        <w:softHyphen/>
        <w:t>ков Т-34 на ЧКЗ был прекращен на основании поста</w:t>
      </w:r>
      <w:r w:rsidRPr="00070ADE">
        <w:rPr>
          <w:rFonts w:ascii="Times New Roman" w:hAnsi="Times New Roman"/>
          <w:color w:val="000000" w:themeColor="text1"/>
          <w:sz w:val="16"/>
          <w:szCs w:val="16"/>
        </w:rPr>
        <w:softHyphen/>
        <w:t>новления ГКО, согласно которому все силы завода должны были быть сконцентрированы на производстве только тяжелых танков ИС-2. С ав</w:t>
      </w:r>
      <w:r w:rsidRPr="00070ADE">
        <w:rPr>
          <w:rFonts w:ascii="Times New Roman" w:hAnsi="Times New Roman"/>
          <w:color w:val="000000" w:themeColor="text1"/>
          <w:sz w:val="16"/>
          <w:szCs w:val="16"/>
        </w:rPr>
        <w:softHyphen/>
        <w:t>густа 1942 г. по апрель 1944 г. ЧКЗ выпустил 5094 танка Т-34 (10703).</w:t>
      </w:r>
    </w:p>
    <w:p w14:paraId="30B6AD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1C13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15 марта 1944 г. к серийному производству танка Т-34-85 присту</w:t>
      </w:r>
      <w:r w:rsidRPr="00070ADE">
        <w:rPr>
          <w:rFonts w:ascii="Times New Roman" w:hAnsi="Times New Roman"/>
          <w:color w:val="000000" w:themeColor="text1"/>
          <w:sz w:val="16"/>
          <w:szCs w:val="16"/>
        </w:rPr>
        <w:softHyphen/>
        <w:t>пил и завод № 183, на котором к концу года было изготовлено 6583 тан</w:t>
      </w:r>
      <w:r w:rsidRPr="00070ADE">
        <w:rPr>
          <w:rFonts w:ascii="Times New Roman" w:hAnsi="Times New Roman"/>
          <w:color w:val="000000" w:themeColor="text1"/>
          <w:sz w:val="16"/>
          <w:szCs w:val="16"/>
        </w:rPr>
        <w:softHyphen/>
        <w:t>ка Т-34-85, вооруженных пушками ЗИС-С-53 (10703).</w:t>
      </w:r>
    </w:p>
    <w:p w14:paraId="2F1826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7A6007" w14:textId="77777777" w:rsidR="00137373" w:rsidRPr="00070ADE" w:rsidRDefault="00137373" w:rsidP="00B56F90">
      <w:pPr>
        <w:pStyle w:val="a3"/>
        <w:rPr>
          <w:color w:val="000000" w:themeColor="text1"/>
          <w:lang w:val="ru-RU"/>
        </w:rPr>
      </w:pPr>
      <w:r w:rsidRPr="00070ADE">
        <w:rPr>
          <w:color w:val="000000" w:themeColor="text1"/>
          <w:lang w:val="ru-RU"/>
        </w:rPr>
        <w:t>15 марта 1944 года Завод № 183 начал производство Т-34-85, а завод № 174 - в июне 1944 года. Одновременно с введением новой пушки на танки начали устанавливать прицелы нового типа - шарнирные (иногда называемые ломающимися). Преимущество этих прицелов перед применявшимися ранее состояло в том, что при изменении угла возвышения орудия наводчику не нужно было опускать или поднимать голову, так как обращённая к нему часть прицела оставалась неподвижной. Такой прицел значительно облегчал работу наводчика (12290).</w:t>
      </w:r>
    </w:p>
    <w:p w14:paraId="0DC2C94F" w14:textId="77777777" w:rsidR="00137373" w:rsidRPr="00070ADE" w:rsidRDefault="00137373" w:rsidP="00B56F90">
      <w:pPr>
        <w:pStyle w:val="a3"/>
        <w:rPr>
          <w:color w:val="000000" w:themeColor="text1"/>
          <w:lang w:val="ru-RU"/>
        </w:rPr>
      </w:pPr>
    </w:p>
    <w:p w14:paraId="04B18A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Уральский Танковый завод им. Сталина (г. Нижний Тагил) начал серийный выпуск танков Т-34-85. Эти танки немного отличались от производимых на заводе № 112. В частности, новая башня была удлинена на 105 мм, на ее крыше у заряжающего и командира танка (позднее и у наводчика) появились приборы МК-4, была увеличена до 56 выстрелов боеукладка танка (11153).</w:t>
      </w:r>
    </w:p>
    <w:p w14:paraId="2A10CB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5DE3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г. была подготовлена ДОКЛАДНАЯ ЗАПИСКА НАЧАЛЬНИКА ГАВТУ КА НАРКОМУ СРЕДНЕГО МАШИНОСТРОЕНИЯ СССР С.А. АКОПОВУ ПО АВТОМОБИЛЮ ГАЗ-63</w:t>
      </w:r>
    </w:p>
    <w:p w14:paraId="69EA82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Автомобиль ГАЗ-63, изготовленный автозаводом им. Молотова, очень нужная для Красной Армии машина.</w:t>
      </w:r>
    </w:p>
    <w:p w14:paraId="648DC7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Этот автомобиль будет использован как армейский грузовик высокой проходимости и как тягач артиллерийских систем.</w:t>
      </w:r>
    </w:p>
    <w:p w14:paraId="2E1B4D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Полигонные и заводские испытания первых образцов ГАЗ-63, проведенные в период 1940-1943 гг. показали хорошие динамические и тяговые качества автомобиля.</w:t>
      </w:r>
    </w:p>
    <w:p w14:paraId="688609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Ввиду того, что завод учел конструктивные и производственные недостатки машины, выяв</w:t>
      </w:r>
      <w:r w:rsidRPr="00070ADE">
        <w:rPr>
          <w:rFonts w:ascii="Times New Roman" w:hAnsi="Times New Roman"/>
          <w:color w:val="000000" w:themeColor="text1"/>
          <w:sz w:val="16"/>
          <w:szCs w:val="16"/>
        </w:rPr>
        <w:softHyphen/>
        <w:t>ленные в процессе испытаний, серийный выпуск автомобилей ГАЗ-63 можно начать, не дожидаясь окончания полигонных испытаний образца, изготовленного в 1943 г.</w:t>
      </w:r>
    </w:p>
    <w:p w14:paraId="79253A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Вашего приказания директору автозавода им. Молотова начать в марте месяце выпуск автомашин ГАЗ-63.</w:t>
      </w:r>
    </w:p>
    <w:p w14:paraId="243589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Ваших распоряжениях прошу сообщить.</w:t>
      </w:r>
    </w:p>
    <w:p w14:paraId="34D83E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основные выводы по полигонным и заводским испытаниям автомобиля ГАЗ-63.22</w:t>
      </w:r>
      <w:r w:rsidRPr="00070ADE">
        <w:rPr>
          <w:rFonts w:ascii="Times New Roman" w:hAnsi="Times New Roman"/>
          <w:color w:val="000000" w:themeColor="text1"/>
          <w:sz w:val="16"/>
          <w:szCs w:val="16"/>
          <w:vertAlign w:val="superscript"/>
        </w:rPr>
        <w:t>1</w:t>
      </w:r>
    </w:p>
    <w:p w14:paraId="66DCA8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ГАВТУ КА генерал-лейтенант технических войск Тягунов</w:t>
      </w:r>
    </w:p>
    <w:p w14:paraId="3A42FE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41. Оп. 11593. Д. 303. Л. 8. Копия (11403).</w:t>
      </w:r>
    </w:p>
    <w:p w14:paraId="373606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EB716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вышло Распоряжение ГКО № 5401. О мерах по обеспечению лесоматериалами и солью рыбных промыслов южных бассейнов. РГАНИР, Фонд ГКО, д. 219, лл. 1-2 (11012).</w:t>
      </w:r>
    </w:p>
    <w:p w14:paraId="40DA25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BE023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вышло Постановление ГКО № 5405 О развитии добычи угля и шахтного строительства в Узбекской ССР. РГАНИР, Фонд ГКО, д. 219, лл. 9-16,17-20 (11012).</w:t>
      </w:r>
    </w:p>
    <w:p w14:paraId="30BE36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C4CC9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вышло Постановление ГКО № 5407 Об организации в Ленинграде филиала лаборатории № 2 АН СССР и особого конструкторского бюро при нем. РГАНИР, Фонд ГКО, д. 219, лл. 62-64,65 (11012).</w:t>
      </w:r>
    </w:p>
    <w:p w14:paraId="78E5C8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2416F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г. в Ленинграде образован филиал лаборатории № 2, который возглавил И.К. Кикоин. 15 января 1944 г. И.К. Кикоиным организовано Отделение молекулярной физики, основной задачей которого стало разделение изотопов урана с целью получения оружейного U-235. Была создана газодиффузионная технология разделения. Позднее Отделение преобразовано в ИМФ. В 1950-е г. были возобновлены работы по газовым центрифугам, которые доведены до серийного производства (11982).</w:t>
      </w:r>
    </w:p>
    <w:p w14:paraId="434E8A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31EFC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марта/18 апреля 1944 года вышел приказ № 55с/185с НКБ и НКХП</w:t>
      </w:r>
    </w:p>
    <w:p w14:paraId="11C8F85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распоряжением Совнаркома № 6617-рс от 24 марта 1944 года:</w:t>
      </w:r>
    </w:p>
    <w:p w14:paraId="65ECFBC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Начальнику 1 Гл. управления НКБ передать, а начальнику 1 Гл. управления НКХП принять завод № 570 (Сумгаит АзССР) (6013, 89).</w:t>
      </w:r>
    </w:p>
    <w:p w14:paraId="4F83BBA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C32F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15 марта 1944 г. </w:t>
      </w:r>
    </w:p>
    <w:p w14:paraId="59FBFA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Постановление ГКО № 5407сс </w:t>
      </w:r>
    </w:p>
    <w:p w14:paraId="32C57E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об организации филиала Лаборатории № 2 1 </w:t>
      </w:r>
    </w:p>
    <w:p w14:paraId="5D838C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Сов. секретно </w:t>
      </w:r>
    </w:p>
    <w:p w14:paraId="1AB106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Государственный комитет обороны </w:t>
      </w:r>
    </w:p>
    <w:p w14:paraId="145DCDB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Постановление ГОКО № 5407сс </w:t>
      </w:r>
    </w:p>
    <w:p w14:paraId="6DA8F1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От 15 марта 1944 г. Москва, Кремль </w:t>
      </w:r>
    </w:p>
    <w:p w14:paraId="054541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Государственный комитет обороны постановляет: </w:t>
      </w:r>
    </w:p>
    <w:p w14:paraId="4CF70C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 Организовать в г. Ленинграде Филиал Лаборатории № 2 Академии наук СССР и Особое конструкторское бюро при нем2. </w:t>
      </w:r>
    </w:p>
    <w:p w14:paraId="3CAE4B1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Возложить руководство филиалом Лаборатории № 2 на члена-корреспондента Академии наук СССР т. Кикоина И.К. </w:t>
      </w:r>
    </w:p>
    <w:p w14:paraId="0582E5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Утвердить начальником Особого конструкторского бюро члена-корреспондента Академии наук СССР т. Вознесенского И.Н. </w:t>
      </w:r>
    </w:p>
    <w:p w14:paraId="09BAAC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Установить срок начала работ Особого конструкторского бюро 15 апреля 1944 г. </w:t>
      </w:r>
    </w:p>
    <w:p w14:paraId="596A46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 Обязать Ленинградский горисполком (т. Попкова) освободить и передать к 10 апреля 1944 г. Ленинградскому филиалу Лаборатории № 2 Академии наук СССР здание бывш[ее] Института химической физики Академии наук СССР (Лесное, Приютская ул., д. 3) и жилой дом, требующий небольших восстановительных работ3. </w:t>
      </w:r>
    </w:p>
    <w:p w14:paraId="5D18E4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3. Обязать Комитет по делам высшей школы при СНК СССР (т. Кафтанова), Ленинградский горисполком (т. Попкова), Леноблисполком (т. Соловьева), Наркомпищепром СССР (т. Зотова) и Наркомвоенморфлот (т. Кузнецова) откомандировать для работы в Особом конструкторском бюро Филиала Лаборатории № 2 Академии наук СССР инженеров-конструкторов - бывших сотрудников Гидромашинной лаборатории профессора Вознесенского И.Н. Ленинградского политехнического института согласно приложению. </w:t>
      </w:r>
    </w:p>
    <w:p w14:paraId="1EFA308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4. Обязать секретаря Ленинградского горкома ВКП(б) т. Капустина и председателя Ленгорисполкома т. Попкова4 лично оказывать систематическую помощь Филиалу Лаборатории № 2 Академии наук СССР и Особому конструкторскому бюро при нем. </w:t>
      </w:r>
    </w:p>
    <w:p w14:paraId="7F23FE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5. Поручить тт. Первухину, Капустину и Попкову совместно с Лабораторией № 2 Академии наук СССР представить к 25 апреля 1944 г. в Государственный комитет обороны предложение об организации производственной базы опытного завода Филиала Лаборатории № 2 с обеспечением ее станочным оборудованием, материалами, транспортом и кадрами. </w:t>
      </w:r>
    </w:p>
    <w:p w14:paraId="22EE6B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6. Обязать Наркомторг СССР (т. Любимова) выделить 15 карточек литер «Б» с абонементами для Ленинградского филиала Лаборатории № 2 Академии наук СССР. </w:t>
      </w:r>
    </w:p>
    <w:p w14:paraId="2F9AEA3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7. Обязать Всесоюзный комитет по делам высшей школы при СНК СССР (т. Кафтанова) выделить часть Гидромашинной лаборатории проф[ессора] Вознесенского Ленинградского политехнического института в распоряжение Особого конструкторского бюро Филиала Лаборатории № 2 Академии наук СССР. </w:t>
      </w:r>
    </w:p>
    <w:p w14:paraId="651828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8. Перевести к 15 апреля 1944 г. лабораторию проф[ессора] Кикоина Уральского филиала Академии наук СССР в полном составе (с членами семей сотрудников) и с оборудованием из г. Свердловска в г. Ленинград5. </w:t>
      </w:r>
    </w:p>
    <w:p w14:paraId="6ADF653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9. 6 Обязать Государственную штатную комиссию при СНК СССР рассмотреть и утвердить штат Филиала Лаборатории № 2 Академии наук СССР и Особого конструкторского бюро при нем. </w:t>
      </w:r>
    </w:p>
    <w:p w14:paraId="173B2D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Зам[еститель] председателя Государственного комитета обороны В. Молотов </w:t>
      </w:r>
    </w:p>
    <w:p w14:paraId="543A25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Приложение к Постановлению ГОКО </w:t>
      </w:r>
    </w:p>
    <w:p w14:paraId="55AC4B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5407сс от 15 марта 1944 года </w:t>
      </w:r>
    </w:p>
    <w:p w14:paraId="4DDC16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Список </w:t>
      </w:r>
    </w:p>
    <w:p w14:paraId="0F638C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инженеров-конструкторов, бывших работников Гидромашинной лаборатории </w:t>
      </w:r>
    </w:p>
    <w:p w14:paraId="791185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Ленинградского политехнического института, подлежащих переводу на работу </w:t>
      </w:r>
    </w:p>
    <w:p w14:paraId="3034D34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Особое конструкторское бюро Лаборатории № 2 Академии наук СССР </w:t>
      </w:r>
    </w:p>
    <w:tbl>
      <w:tblPr>
        <w:tblW w:w="0" w:type="auto"/>
        <w:tblInd w:w="18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779"/>
        <w:gridCol w:w="2943"/>
        <w:gridCol w:w="2943"/>
        <w:gridCol w:w="2943"/>
      </w:tblGrid>
      <w:tr w:rsidR="004D4663" w:rsidRPr="00070ADE" w14:paraId="361F6544" w14:textId="77777777">
        <w:trPr>
          <w:trHeight w:val="445"/>
        </w:trPr>
        <w:tc>
          <w:tcPr>
            <w:tcW w:w="779" w:type="dxa"/>
            <w:tcBorders>
              <w:top w:val="single" w:sz="12" w:space="0" w:color="000000"/>
            </w:tcBorders>
            <w:shd w:val="clear" w:color="auto" w:fill="FFFFFF"/>
          </w:tcPr>
          <w:p w14:paraId="759992F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p w14:paraId="1FA827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пп </w:t>
            </w:r>
          </w:p>
        </w:tc>
        <w:tc>
          <w:tcPr>
            <w:tcW w:w="2943" w:type="dxa"/>
            <w:tcBorders>
              <w:top w:val="single" w:sz="12" w:space="0" w:color="000000"/>
            </w:tcBorders>
            <w:shd w:val="clear" w:color="auto" w:fill="FFFFFF"/>
          </w:tcPr>
          <w:p w14:paraId="1110CEC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Фамилия, имя и отчество</w:t>
            </w:r>
          </w:p>
        </w:tc>
        <w:tc>
          <w:tcPr>
            <w:tcW w:w="2943" w:type="dxa"/>
            <w:tcBorders>
              <w:top w:val="single" w:sz="12" w:space="0" w:color="000000"/>
            </w:tcBorders>
            <w:shd w:val="clear" w:color="auto" w:fill="FFFFFF"/>
          </w:tcPr>
          <w:p w14:paraId="4CD938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Место работы </w:t>
            </w:r>
          </w:p>
        </w:tc>
        <w:tc>
          <w:tcPr>
            <w:tcW w:w="2943" w:type="dxa"/>
            <w:tcBorders>
              <w:top w:val="single" w:sz="12" w:space="0" w:color="000000"/>
            </w:tcBorders>
            <w:shd w:val="clear" w:color="auto" w:fill="FFFFFF"/>
          </w:tcPr>
          <w:p w14:paraId="4452C3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Кто должен откомандировать </w:t>
            </w:r>
          </w:p>
        </w:tc>
      </w:tr>
      <w:tr w:rsidR="004D4663" w:rsidRPr="00070ADE" w14:paraId="54BD46EF" w14:textId="77777777">
        <w:trPr>
          <w:trHeight w:val="653"/>
        </w:trPr>
        <w:tc>
          <w:tcPr>
            <w:tcW w:w="779" w:type="dxa"/>
            <w:shd w:val="clear" w:color="auto" w:fill="FFFFFF"/>
          </w:tcPr>
          <w:p w14:paraId="6D7CBE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 </w:t>
            </w:r>
          </w:p>
        </w:tc>
        <w:tc>
          <w:tcPr>
            <w:tcW w:w="2943" w:type="dxa"/>
            <w:shd w:val="clear" w:color="auto" w:fill="FFFFFF"/>
          </w:tcPr>
          <w:p w14:paraId="65A68F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Гурьев Виктор Павлович </w:t>
            </w:r>
          </w:p>
        </w:tc>
        <w:tc>
          <w:tcPr>
            <w:tcW w:w="2943" w:type="dxa"/>
            <w:shd w:val="clear" w:color="auto" w:fill="FFFFFF"/>
          </w:tcPr>
          <w:p w14:paraId="41EEF7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Политехнический </w:t>
            </w:r>
          </w:p>
          <w:p w14:paraId="07A4C5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ин[ститу]т, </w:t>
            </w:r>
          </w:p>
          <w:p w14:paraId="572CD2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 Ленинград </w:t>
            </w:r>
          </w:p>
        </w:tc>
        <w:tc>
          <w:tcPr>
            <w:tcW w:w="2943" w:type="dxa"/>
            <w:shd w:val="clear" w:color="auto" w:fill="FFFFFF"/>
          </w:tcPr>
          <w:p w14:paraId="6D9CBD5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Комитет по делам </w:t>
            </w:r>
          </w:p>
          <w:p w14:paraId="3118FD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высшей школы </w:t>
            </w:r>
          </w:p>
          <w:p w14:paraId="26CAFF9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 СНК СССР </w:t>
            </w:r>
          </w:p>
        </w:tc>
      </w:tr>
      <w:tr w:rsidR="004D4663" w:rsidRPr="00070ADE" w14:paraId="3EF4F4A5" w14:textId="77777777">
        <w:trPr>
          <w:trHeight w:val="239"/>
        </w:trPr>
        <w:tc>
          <w:tcPr>
            <w:tcW w:w="779" w:type="dxa"/>
            <w:shd w:val="clear" w:color="auto" w:fill="FFFFFF"/>
          </w:tcPr>
          <w:p w14:paraId="7C5726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 </w:t>
            </w:r>
          </w:p>
        </w:tc>
        <w:tc>
          <w:tcPr>
            <w:tcW w:w="2943" w:type="dxa"/>
            <w:shd w:val="clear" w:color="auto" w:fill="FFFFFF"/>
          </w:tcPr>
          <w:p w14:paraId="36652B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Богорад Мария Львовна </w:t>
            </w:r>
          </w:p>
        </w:tc>
        <w:tc>
          <w:tcPr>
            <w:tcW w:w="2943" w:type="dxa"/>
            <w:shd w:val="clear" w:color="auto" w:fill="FFFFFF"/>
          </w:tcPr>
          <w:p w14:paraId="6251B4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 — </w:t>
            </w:r>
          </w:p>
        </w:tc>
        <w:tc>
          <w:tcPr>
            <w:tcW w:w="2943" w:type="dxa"/>
            <w:shd w:val="clear" w:color="auto" w:fill="FFFFFF"/>
          </w:tcPr>
          <w:p w14:paraId="73848B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 — </w:t>
            </w:r>
          </w:p>
        </w:tc>
      </w:tr>
      <w:tr w:rsidR="004D4663" w:rsidRPr="00070ADE" w14:paraId="5A9D5096" w14:textId="77777777">
        <w:trPr>
          <w:trHeight w:val="653"/>
        </w:trPr>
        <w:tc>
          <w:tcPr>
            <w:tcW w:w="779" w:type="dxa"/>
            <w:shd w:val="clear" w:color="auto" w:fill="FFFFFF"/>
          </w:tcPr>
          <w:p w14:paraId="565A336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3. </w:t>
            </w:r>
          </w:p>
        </w:tc>
        <w:tc>
          <w:tcPr>
            <w:tcW w:w="2943" w:type="dxa"/>
            <w:shd w:val="clear" w:color="auto" w:fill="FFFFFF"/>
          </w:tcPr>
          <w:p w14:paraId="5D740C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Колокольцев НикитаАлександрович </w:t>
            </w:r>
          </w:p>
        </w:tc>
        <w:tc>
          <w:tcPr>
            <w:tcW w:w="2943" w:type="dxa"/>
            <w:shd w:val="clear" w:color="auto" w:fill="FFFFFF"/>
          </w:tcPr>
          <w:p w14:paraId="481D033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П[олевая] п[очта] 75751-ш, </w:t>
            </w:r>
          </w:p>
          <w:p w14:paraId="1C1266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вольнонаемный </w:t>
            </w:r>
          </w:p>
        </w:tc>
        <w:tc>
          <w:tcPr>
            <w:tcW w:w="2943" w:type="dxa"/>
            <w:shd w:val="clear" w:color="auto" w:fill="FFFFFF"/>
          </w:tcPr>
          <w:p w14:paraId="08FC85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Наркомат обороны </w:t>
            </w:r>
          </w:p>
        </w:tc>
      </w:tr>
      <w:tr w:rsidR="004D4663" w:rsidRPr="00070ADE" w14:paraId="1823005A" w14:textId="77777777">
        <w:trPr>
          <w:trHeight w:val="653"/>
        </w:trPr>
        <w:tc>
          <w:tcPr>
            <w:tcW w:w="779" w:type="dxa"/>
            <w:shd w:val="clear" w:color="auto" w:fill="FFFFFF"/>
          </w:tcPr>
          <w:p w14:paraId="602971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4. </w:t>
            </w:r>
          </w:p>
        </w:tc>
        <w:tc>
          <w:tcPr>
            <w:tcW w:w="2943" w:type="dxa"/>
            <w:shd w:val="clear" w:color="auto" w:fill="FFFFFF"/>
          </w:tcPr>
          <w:p w14:paraId="31004B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Воинов ЕвгенийМихайлович </w:t>
            </w:r>
          </w:p>
        </w:tc>
        <w:tc>
          <w:tcPr>
            <w:tcW w:w="2943" w:type="dxa"/>
            <w:shd w:val="clear" w:color="auto" w:fill="FFFFFF"/>
          </w:tcPr>
          <w:p w14:paraId="735488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Артель </w:t>
            </w:r>
          </w:p>
          <w:p w14:paraId="0D15FD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«Металлоштамп», </w:t>
            </w:r>
          </w:p>
          <w:p w14:paraId="1FB4D98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 Ленинград </w:t>
            </w:r>
          </w:p>
        </w:tc>
        <w:tc>
          <w:tcPr>
            <w:tcW w:w="2943" w:type="dxa"/>
            <w:shd w:val="clear" w:color="auto" w:fill="FFFFFF"/>
          </w:tcPr>
          <w:p w14:paraId="78094ED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Управление промкооперации при СНК РСФСР </w:t>
            </w:r>
          </w:p>
        </w:tc>
      </w:tr>
      <w:tr w:rsidR="004D4663" w:rsidRPr="00070ADE" w14:paraId="07A2CBF5" w14:textId="77777777">
        <w:trPr>
          <w:trHeight w:val="447"/>
        </w:trPr>
        <w:tc>
          <w:tcPr>
            <w:tcW w:w="779" w:type="dxa"/>
            <w:shd w:val="clear" w:color="auto" w:fill="FFFFFF"/>
          </w:tcPr>
          <w:p w14:paraId="11D139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5. </w:t>
            </w:r>
          </w:p>
        </w:tc>
        <w:tc>
          <w:tcPr>
            <w:tcW w:w="2943" w:type="dxa"/>
            <w:shd w:val="clear" w:color="auto" w:fill="FFFFFF"/>
          </w:tcPr>
          <w:p w14:paraId="229C09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Зурабов НиколайИванович </w:t>
            </w:r>
          </w:p>
        </w:tc>
        <w:tc>
          <w:tcPr>
            <w:tcW w:w="2943" w:type="dxa"/>
            <w:shd w:val="clear" w:color="auto" w:fill="FFFFFF"/>
          </w:tcPr>
          <w:p w14:paraId="571FF9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Хлебозавод № 10, </w:t>
            </w:r>
          </w:p>
          <w:p w14:paraId="00B9060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 Ленинград </w:t>
            </w:r>
          </w:p>
        </w:tc>
        <w:tc>
          <w:tcPr>
            <w:tcW w:w="2943" w:type="dxa"/>
            <w:shd w:val="clear" w:color="auto" w:fill="FFFFFF"/>
          </w:tcPr>
          <w:p w14:paraId="5528571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Наркомпищепром СССР </w:t>
            </w:r>
          </w:p>
        </w:tc>
      </w:tr>
      <w:tr w:rsidR="004D4663" w:rsidRPr="00070ADE" w14:paraId="4B8148C7" w14:textId="77777777">
        <w:trPr>
          <w:trHeight w:val="653"/>
        </w:trPr>
        <w:tc>
          <w:tcPr>
            <w:tcW w:w="779" w:type="dxa"/>
            <w:shd w:val="clear" w:color="auto" w:fill="FFFFFF"/>
          </w:tcPr>
          <w:p w14:paraId="0B771B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6. </w:t>
            </w:r>
          </w:p>
        </w:tc>
        <w:tc>
          <w:tcPr>
            <w:tcW w:w="2943" w:type="dxa"/>
            <w:shd w:val="clear" w:color="auto" w:fill="FFFFFF"/>
          </w:tcPr>
          <w:p w14:paraId="73659D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Плоткина Анна Григорьевна </w:t>
            </w:r>
          </w:p>
        </w:tc>
        <w:tc>
          <w:tcPr>
            <w:tcW w:w="2943" w:type="dxa"/>
            <w:shd w:val="clear" w:color="auto" w:fill="FFFFFF"/>
          </w:tcPr>
          <w:p w14:paraId="1C5993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РЖУ </w:t>
            </w:r>
          </w:p>
          <w:p w14:paraId="338B8D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Смольнинского района,</w:t>
            </w:r>
          </w:p>
          <w:p w14:paraId="0BB616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 Ленинград </w:t>
            </w:r>
          </w:p>
        </w:tc>
        <w:tc>
          <w:tcPr>
            <w:tcW w:w="2943" w:type="dxa"/>
            <w:shd w:val="clear" w:color="auto" w:fill="FFFFFF"/>
          </w:tcPr>
          <w:p w14:paraId="6397A4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Ленгорисполком </w:t>
            </w:r>
          </w:p>
        </w:tc>
      </w:tr>
      <w:tr w:rsidR="004D4663" w:rsidRPr="00070ADE" w14:paraId="1C6987BA" w14:textId="77777777">
        <w:trPr>
          <w:trHeight w:val="653"/>
        </w:trPr>
        <w:tc>
          <w:tcPr>
            <w:tcW w:w="779" w:type="dxa"/>
            <w:shd w:val="clear" w:color="auto" w:fill="FFFFFF"/>
          </w:tcPr>
          <w:p w14:paraId="39D1E7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7. </w:t>
            </w:r>
          </w:p>
        </w:tc>
        <w:tc>
          <w:tcPr>
            <w:tcW w:w="2943" w:type="dxa"/>
            <w:shd w:val="clear" w:color="auto" w:fill="FFFFFF"/>
          </w:tcPr>
          <w:p w14:paraId="44AF4C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Пашкевич Станислав Семенович </w:t>
            </w:r>
          </w:p>
        </w:tc>
        <w:tc>
          <w:tcPr>
            <w:tcW w:w="2943" w:type="dxa"/>
            <w:shd w:val="clear" w:color="auto" w:fill="FFFFFF"/>
          </w:tcPr>
          <w:p w14:paraId="1412C1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Ленинградское </w:t>
            </w:r>
          </w:p>
          <w:p w14:paraId="2E8864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отделение </w:t>
            </w:r>
          </w:p>
          <w:p w14:paraId="4196E86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«Сельэлектро» </w:t>
            </w:r>
          </w:p>
        </w:tc>
        <w:tc>
          <w:tcPr>
            <w:tcW w:w="2943" w:type="dxa"/>
            <w:shd w:val="clear" w:color="auto" w:fill="FFFFFF"/>
          </w:tcPr>
          <w:p w14:paraId="555E442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Леноблисполком </w:t>
            </w:r>
          </w:p>
        </w:tc>
      </w:tr>
      <w:tr w:rsidR="00021CBD" w:rsidRPr="00070ADE" w14:paraId="2CFC387F" w14:textId="77777777">
        <w:trPr>
          <w:trHeight w:val="653"/>
        </w:trPr>
        <w:tc>
          <w:tcPr>
            <w:tcW w:w="779" w:type="dxa"/>
            <w:tcBorders>
              <w:bottom w:val="single" w:sz="12" w:space="0" w:color="000000"/>
            </w:tcBorders>
            <w:shd w:val="clear" w:color="auto" w:fill="FFFFFF"/>
          </w:tcPr>
          <w:p w14:paraId="1788B23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8. </w:t>
            </w:r>
          </w:p>
        </w:tc>
        <w:tc>
          <w:tcPr>
            <w:tcW w:w="2943" w:type="dxa"/>
            <w:tcBorders>
              <w:bottom w:val="single" w:sz="12" w:space="0" w:color="000000"/>
            </w:tcBorders>
            <w:shd w:val="clear" w:color="auto" w:fill="FFFFFF"/>
          </w:tcPr>
          <w:p w14:paraId="7229413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Школьников Александр Леопольдович </w:t>
            </w:r>
          </w:p>
        </w:tc>
        <w:tc>
          <w:tcPr>
            <w:tcW w:w="2943" w:type="dxa"/>
            <w:tcBorders>
              <w:bottom w:val="single" w:sz="12" w:space="0" w:color="000000"/>
            </w:tcBorders>
            <w:shd w:val="clear" w:color="auto" w:fill="FFFFFF"/>
          </w:tcPr>
          <w:p w14:paraId="33B8C4E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Инженер на аэродроме авиации Балтийского флота </w:t>
            </w:r>
          </w:p>
        </w:tc>
        <w:tc>
          <w:tcPr>
            <w:tcW w:w="2943" w:type="dxa"/>
            <w:tcBorders>
              <w:bottom w:val="single" w:sz="12" w:space="0" w:color="000000"/>
            </w:tcBorders>
            <w:shd w:val="clear" w:color="auto" w:fill="FFFFFF"/>
          </w:tcPr>
          <w:p w14:paraId="5265F8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Наркомвоенморфлот (11323).</w:t>
            </w:r>
          </w:p>
        </w:tc>
      </w:tr>
    </w:tbl>
    <w:p w14:paraId="631037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036C1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Адмиралтейцы завершили ремонт 5 бронекатеров (10671).</w:t>
      </w:r>
    </w:p>
    <w:p w14:paraId="4FA53B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0E6476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D4E0B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0D496D"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15 марта</w:t>
      </w:r>
      <w:r w:rsidRPr="00070ADE">
        <w:rPr>
          <w:rFonts w:ascii="Times New Roman" w:hAnsi="Times New Roman"/>
          <w:color w:val="000000" w:themeColor="text1"/>
          <w:sz w:val="16"/>
          <w:szCs w:val="16"/>
        </w:rPr>
        <w:t xml:space="preserve"> в 1944 году оперативная сводка Совинформбюро:</w:t>
      </w:r>
    </w:p>
    <w:p w14:paraId="26C6B809"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15 марта на Проскуровском направлении наши войска отбивали контратаки крупных сил пехоты и танков противника и нанесли ему большие потери в живой силе и технике.</w:t>
      </w:r>
    </w:p>
    <w:p w14:paraId="308EF827"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Винницком направлении наши войска, продолжая развивать наступление, овладели районными центрами Винницкой области городом и железнодорожным узлом Калиновка, Турбов, Вороновица, Ситковцы, а также с боями заняли более 50 других населённых пунктов, в том числе крупные населённые пункты Павловка, Холявинцы, Косаковка, Большие Крушлинцы, Писаревка, Янков, Пилява, Хвостовцы, Жорнище, Криковцы, Ометинцы, Мельниковцы и железнодорожные станции Гулевицы, Турбов, Вороновица, Фердинандовка, Ситковцы.</w:t>
      </w:r>
    </w:p>
    <w:p w14:paraId="77D2C38F"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Умани войска 2-го Украинского фронта успешно форсировали реку Южный Буг на 100-километровом фронте и, сломив сопротивление противника на правом берегу реки, продвинулись вперёд от 20 до 30 километров. Войска фронта овладели районными центрами Винницкой области городом Бершадь, городом Тростянец, Ободовка, Ольгополь, с боями заняли более 100 других населённых пунктов, в том числе крупные населённые пункты Мачуха, Михалёвка, Холодовка, Клебань, Кирнасовка, Демковка, Савинцы, Левков, Цыбуливка, Жабокричка, Бандуровка, Белый Камень, Кидрасовка, Ляхова и железнодорожные станции Ладыжин, Ульяновка, Демковка, Тростянец, Устье, Бершадь. Южнее города Умань войска 2-го Украинского фронта овладели районными центрами Одесской области Грушка, Голованевск, населёнными пунктами Шамраевка, Данилова Балка, Межиричка, Шипиловка и железнодорожными станциями Грушка, Голованевск.</w:t>
      </w:r>
    </w:p>
    <w:p w14:paraId="6BA54B85"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города Кировоград наши войска с боями продвигались вперёд и овладели районным центром Кировоградской области Тишковка, а также заняли более 60 других населённых пунктов, среди которых крупные населённые пункты Покатилово, Терновка, Карбовка, Ново-Николаевка, Казак-Балка, Афанасьевка. Дружелюбовка, Ново-Марьяновка, Злынка, Каменный Мост, Вороновка и железнодорожные станции Капустино, Новаковка.</w:t>
      </w:r>
    </w:p>
    <w:p w14:paraId="3F4F0FD9"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Долинская наши войска продолжали вести наступательные бои, в ходе которых заняли более 50 населённых пунктов и среди них Громуха, Водяная, Софиевка, Старая Вербовка, Богодаровка, Шевченко, Орлова Балка.</w:t>
      </w:r>
    </w:p>
    <w:p w14:paraId="571FCC46"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Николаевском направлении наши войска овладели районными центрами Николаевской области Березнеговатое, Снигирёвка, а также с боями заняли более 50 других населённых пунктов, среди которых крупные населённые пункты Семёновка, Водяно-Лорино, Акимовка, Сухой Еланец, Суворовка, Красно-Владимировка, Бухольцево, Киселёвка, Надеждовка, Станислав, Александровка и железнодорожные станции Туркулы, Снигирёвка, Галагановка, Копани. Окружённая в районе Березнеговатое-Снигирёвка группировка противника расчленена на отдельные части и успешно уничтожается нашими войсками.</w:t>
      </w:r>
    </w:p>
    <w:p w14:paraId="79EC8E77"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бои местного значения.</w:t>
      </w:r>
    </w:p>
    <w:p w14:paraId="032260CC"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14 марта наши войска на всех фронтах подбили и уничтожили 82 немецких танка. В воздушных боях и огнём зенитной артиллерии сбито 35 самолётов противника.</w:t>
      </w:r>
    </w:p>
    <w:p w14:paraId="58E8256F"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Проскуровском направлении противник, собрав крупные силы танков и пехоты, предпринял ряд ожесточённых контратак. Не добившись успеха в одном месте, немцы меняли направление удара и вновь бросались в атаку. Советские пехотинцы, артиллеристы и бронебойщики отбили все контратаки гитлеровцев и уничтожили до 60 танков, 13 самоходных орудий и 8 бронетранспортёров противника. Перед нашими позициями осталось свыше 1.500 трупов немецких солдат и офицеров.</w:t>
      </w:r>
    </w:p>
    <w:p w14:paraId="5CF0FD6C"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Умань наши войска, сломив сопротивление противника, вышлик реке Южный Буг. Не давая немцам передышки и времени, чтобы привести себя в порядок, наши бойцы на лодках, плотах и понтонах переправились через реку. Вдоль правого берега Южного Буга противник построил сильно укреплённую оборону. Траншеи и окопы полного профиля, противотанковые рвы, дзоты и блиндажи, минныеполя и проволочные заграждения представляли собой трудно преодолимые препятствия. Немцы спешно бросили к переправам танки, самоходные орудия ипытались контратаками сбросить советских бойцов в реку. Наши передовые отряды выдержали натиск противника и обеспечили переправу через Южный Буг основных сил советских войск. После упорных и ожесточённых боёв войска 2-го Украинского фронта на широком фронте прорвали южно-бугскую оборону немцев. Ударами наших войск противник сбит с занимаемых им позиций и отброшен на 20-30 километров. В результате стремительного обходного манёвра части Н-ского соединения овладели городом Тростянец. Очищены от немцев город Бершадь, районные центры Винницкойобласти Ободовка, Ольгополь и более ста других населённых пунктов. Разгромленные части противника, отступая, оставляют не только орудия и другое тяжёлое вооружение, но бросают также пулемёты, винтовки и самое различное военное имущество. На железнодорожных станциях захвачены эшелоны с боеприпасами. Взято много пленных.</w:t>
      </w:r>
    </w:p>
    <w:p w14:paraId="243710DF"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продолжали вести бои по уничтожению группировки противника, окружённой в районе Березнеговатое и Снигирёвка. Ночью немцы предприняли отчаянную попытку пробиться к реке Ингул и выйти из окружения. Три колонны пехоты и танков противника двинулись на запад. У населённых пунктов Тарасовки, Ново-Горожана, Ново-Сергеевки и хутора Шевченко гитлеровцы быливстречены ураганным огнём артиллерийских и миномётных батарей. Затем советские танковые и пехотные части нанесли гитлеровцам уничтожающий удар с флангов итыла, рассекли немецкую группировку на несколько отдельных частей и ведут успешные бои по их ликвидации. На поле боя остались тысячи трупов немецких солдат и офицеров. Всюду видны брошенные противником танки, орудия и пулемёты. Сжимая кольцо окружения, наши войска заняли районные центры Николаевской области Березнеговатое, Снигирёвка и более 50 других населённых пунктов. Захваченыбольшие трофеи, в том числе 35 танков и самоходных орудий, 18 крупных складов, свыше 1.000 вагонов с военными материалами. На сборные пункты прибывают всё новые группы немцев, взятых в плен нашими войсками.</w:t>
      </w:r>
    </w:p>
    <w:p w14:paraId="6F8EFF6B"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Баренцовом море потоплены тральщик и транспорт противника водоизмещением в 5 тысяч тонн. Кроме того, сильно повреждены два немецких транспорта общим водоизмещением в 11 тысяч тонн.</w:t>
      </w:r>
    </w:p>
    <w:p w14:paraId="5BE9A5DA"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партизанских отрядов, действующих в Минской области, разгромили немецкий гарнизон в крупном населённом пункте. Партизаны разрушили казармы, в которых жили немцы, сожгли полицейскую управу и военные склады противника. Убито130 гитлеровцев. Советские патриоты захватили много трофеев.</w:t>
      </w:r>
    </w:p>
    <w:p w14:paraId="2D8C914F"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2-м Прибалтийском фронте перешёл на сторону советских войск солдат 42 немецкой автоколонны «Тодт» болгарин Лимонов Валин Васильевич, 1912 года рождения; родился и проживал в селе Гайтанево, Новосельского района, Софийскойобласти. Пленный написал на имя командования Красной Армии заявление, в котором говорится: «Я, шофёр 42 немецкой автоколонны Лимонов Валин Васильевич, по национальности болгарин, болгарский подданный, заявляю следующее: в октябре 1939 года я был мобилизован болгарскими властями и послан на работу в Германию. Вместе со мною из Софии поездом выехало 800 болгар. Мне сказали, что я еду в Германию на полгода, а в действительности я проработал в Линце, а затем в Штутгарте свыше двух лет. Десятого января 1942 года меня, Илью Сабева, Ивана Тодорова и других болгар отправили в Берлин и против нашей воли насильно мобилизовали в немецкую армию, заставили одеть немецкую форму и направили на Восточный фронт. Мы находились в Латвии, в городе Резекне, и в Литве, в городе Мариямполе, где работали на строительстве укреплений. Позднее нас перебросили на фронт в район Пустошки. Мне известны и другие факты, когда немцы насильно мобилизовали болгар в германскую армию и отправляли на советско-германский фронт» (15069).</w:t>
      </w:r>
    </w:p>
    <w:p w14:paraId="04AF59DF" w14:textId="77777777" w:rsidR="007A1E0D" w:rsidRPr="00070ADE" w:rsidRDefault="007A1E0D" w:rsidP="00B56F90">
      <w:pPr>
        <w:spacing w:after="0" w:line="240" w:lineRule="auto"/>
        <w:jc w:val="both"/>
        <w:rPr>
          <w:rFonts w:ascii="Times New Roman" w:hAnsi="Times New Roman"/>
          <w:color w:val="000000" w:themeColor="text1"/>
          <w:sz w:val="16"/>
          <w:szCs w:val="16"/>
        </w:rPr>
      </w:pPr>
    </w:p>
    <w:p w14:paraId="56176F24"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15 марта</w:t>
      </w:r>
      <w:r w:rsidRPr="00070ADE">
        <w:rPr>
          <w:rFonts w:ascii="Times New Roman" w:hAnsi="Times New Roman"/>
          <w:color w:val="000000" w:themeColor="text1"/>
          <w:sz w:val="16"/>
          <w:szCs w:val="16"/>
        </w:rPr>
        <w:t xml:space="preserve"> в 1944 году началась Полесская наступательная операция советских войск. Войска 2—го Белорусского фронта (генерал—полковник П.А.Курочкин) нанесли поражение противнику и вышли в район Ковеля. Были созданы условия для проведения наступления на Люблинском и Брестском направлениях. Завершилась 4 апреля (15069).</w:t>
      </w:r>
    </w:p>
    <w:p w14:paraId="5C0F9B95" w14:textId="77777777" w:rsidR="007A1E0D" w:rsidRPr="00070ADE" w:rsidRDefault="007A1E0D" w:rsidP="00B56F90">
      <w:pPr>
        <w:spacing w:after="0" w:line="240" w:lineRule="auto"/>
        <w:jc w:val="both"/>
        <w:rPr>
          <w:rFonts w:ascii="Times New Roman" w:hAnsi="Times New Roman"/>
          <w:color w:val="000000" w:themeColor="text1"/>
          <w:sz w:val="16"/>
          <w:szCs w:val="16"/>
        </w:rPr>
      </w:pPr>
    </w:p>
    <w:p w14:paraId="5DD0855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войска 1-го Украинского фронта вышли к реке Буг - государственной границе СССР (4963 ).</w:t>
      </w:r>
    </w:p>
    <w:p w14:paraId="2398F94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A0175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началась Полесская наступательная операция войск 2-го Белорусского фронта, проведённая 15 марта - 5 апреля с целью разгрома ковельской группировки противника (4963 ).</w:t>
      </w:r>
    </w:p>
    <w:p w14:paraId="1EAC832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3056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March 15th, 1944: The Soviet 1st Ukrainian Front breaks through German defenses and reaches the Bug river, a 1941 German starting line for Operation Barbarossa (3819).</w:t>
      </w:r>
    </w:p>
    <w:p w14:paraId="68730C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0A4CD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15 марта по 4 апреля 1944 была Полесская операция по уничтожению Ковельской группировки и 2БФ (П.А.Курочкин) продвинулся на 30-40 км и вышли в район Ковеля (2443,30).</w:t>
      </w:r>
    </w:p>
    <w:p w14:paraId="6D769D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7725B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47F00F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7FC5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C 15 марта 1944 повсеместно начали исполнять официальный гимн СССР (3398,9), который впервые по радио прозвучал 1 января 1944. На смену интернационалу пришел Союз нерушимый... (2070,173).</w:t>
      </w:r>
    </w:p>
    <w:p w14:paraId="43BCA8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98AC63" w14:textId="77777777" w:rsidR="007A1E0D" w:rsidRPr="00070ADE" w:rsidRDefault="007A1E0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15 марта</w:t>
      </w:r>
      <w:r w:rsidRPr="00070ADE">
        <w:rPr>
          <w:rFonts w:ascii="Times New Roman" w:hAnsi="Times New Roman"/>
          <w:color w:val="000000" w:themeColor="text1"/>
          <w:sz w:val="16"/>
          <w:szCs w:val="16"/>
        </w:rPr>
        <w:t xml:space="preserve"> в 1944 году официально стал исполняться Государственный гимн СССР "Союз нерушимых республик свободных» (15069).</w:t>
      </w:r>
    </w:p>
    <w:p w14:paraId="771A17CC" w14:textId="77777777" w:rsidR="007A1E0D" w:rsidRPr="00070ADE" w:rsidRDefault="007A1E0D" w:rsidP="00B56F90">
      <w:pPr>
        <w:spacing w:after="0" w:line="240" w:lineRule="auto"/>
        <w:jc w:val="both"/>
        <w:rPr>
          <w:rFonts w:ascii="Times New Roman" w:hAnsi="Times New Roman"/>
          <w:color w:val="000000" w:themeColor="text1"/>
          <w:sz w:val="16"/>
          <w:szCs w:val="16"/>
        </w:rPr>
      </w:pPr>
    </w:p>
    <w:p w14:paraId="3F0FD20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5CF996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1E405A"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15 марта</w:t>
      </w:r>
      <w:r w:rsidRPr="00070ADE">
        <w:rPr>
          <w:rFonts w:ascii="Times New Roman" w:hAnsi="Times New Roman"/>
          <w:color w:val="000000" w:themeColor="text1"/>
          <w:sz w:val="16"/>
          <w:szCs w:val="16"/>
        </w:rPr>
        <w:t xml:space="preserve"> в 1944 году при попытке взлета в сильный холод разбился последний (третий) английский легкий транспортный самолет </w:t>
      </w:r>
      <w:hyperlink r:id="rId75" w:tgtFrame="_blank" w:history="1">
        <w:r w:rsidRPr="00070ADE">
          <w:rPr>
            <w:rFonts w:ascii="Times New Roman" w:hAnsi="Times New Roman"/>
            <w:color w:val="000000" w:themeColor="text1"/>
            <w:sz w:val="16"/>
            <w:szCs w:val="16"/>
          </w:rPr>
          <w:t>«Short» «S.22» «Scion Senior».</w:t>
        </w:r>
      </w:hyperlink>
    </w:p>
    <w:p w14:paraId="1997BE40" w14:textId="77777777" w:rsidR="00FA2B3C" w:rsidRPr="00070ADE" w:rsidRDefault="00FA2B3C" w:rsidP="00B56F90">
      <w:pPr>
        <w:spacing w:after="0" w:line="240" w:lineRule="auto"/>
        <w:jc w:val="both"/>
        <w:rPr>
          <w:rFonts w:ascii="Times New Roman" w:hAnsi="Times New Roman"/>
          <w:color w:val="000000" w:themeColor="text1"/>
          <w:sz w:val="16"/>
          <w:szCs w:val="16"/>
        </w:rPr>
      </w:pPr>
    </w:p>
    <w:p w14:paraId="7B9AFD3B" w14:textId="77777777" w:rsidR="007D0B5C" w:rsidRPr="00070ADE" w:rsidRDefault="007D0B5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15–16 марта (ночь) 1944 863 британских бомбардировщика атаковали Штутгарт, Германия, потеряв 37 самолетов (4,3 процента своих сил). Некоторые бомбы падают в центре и в юго-западной части города, но многие разбросаны по открытой местности (20373).</w:t>
      </w:r>
    </w:p>
    <w:p w14:paraId="03F1C523" w14:textId="77777777" w:rsidR="007D0B5C" w:rsidRPr="00070ADE" w:rsidRDefault="007D0B5C" w:rsidP="00B56F90">
      <w:pPr>
        <w:spacing w:after="0" w:line="240" w:lineRule="auto"/>
        <w:jc w:val="both"/>
        <w:rPr>
          <w:rFonts w:ascii="Times New Roman" w:hAnsi="Times New Roman"/>
          <w:color w:val="000000" w:themeColor="text1"/>
          <w:sz w:val="16"/>
          <w:szCs w:val="16"/>
        </w:rPr>
      </w:pPr>
    </w:p>
    <w:p w14:paraId="6D247733" w14:textId="77777777" w:rsidR="007D0B5C" w:rsidRPr="00070ADE" w:rsidRDefault="007D0B5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15–16 марта (ночь) 1944 140 британских бомбардировщиков успешно атаковали железнодорожные станции в Амьене, Франция, потеряв три самолета (20373).</w:t>
      </w:r>
    </w:p>
    <w:p w14:paraId="2AFDD52B" w14:textId="77777777" w:rsidR="007D0B5C" w:rsidRPr="00070ADE" w:rsidRDefault="007D0B5C" w:rsidP="00B56F90">
      <w:pPr>
        <w:spacing w:after="0" w:line="240" w:lineRule="auto"/>
        <w:jc w:val="both"/>
        <w:rPr>
          <w:rFonts w:ascii="Times New Roman" w:hAnsi="Times New Roman"/>
          <w:color w:val="000000" w:themeColor="text1"/>
          <w:sz w:val="16"/>
          <w:szCs w:val="16"/>
        </w:rPr>
      </w:pPr>
    </w:p>
    <w:p w14:paraId="6D6A52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Рано утром 15 марта 1944, согласно Вилли Лею, Дорнбергеру из Берхтесгадена (резиденция Гитлера) позвонил генерал Буле. Дорнбергеру было приказано немедленно явиться в Берхтесгаден к фельдмаршалу Кейтелю. Когда он туда прибыл, Буле сообщил ему, что доктор фон Браун и инженеры Клаус Ридель и Гельмут Греттруп арестованы гестапо. На следующий день Кейтель разъяснил Дорнбергеру, что арестованные, вероятно, будут казнены, так как обвиняются в саботаже разработки проекта ракеты А-4. Был якобы подслушан их разговор о том, что работа над ракетой А-4 ведется ими по принуждению, тогда как их заветной целью являются межпланетные путешествия.</w:t>
      </w:r>
    </w:p>
    <w:p w14:paraId="22FDFD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&lt;…&gt; Арестованные были освобождены благодаря заявлению Дорнбергера под присягой, что эти люди необходимы для завершения работ над проектом ракеты А-4».</w:t>
      </w:r>
    </w:p>
    <w:p w14:paraId="04EDA9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Эту же историю, но своими словами пересказывает и Альберт Шпеер (11688).</w:t>
      </w:r>
    </w:p>
    <w:p w14:paraId="2C91855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5B449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March 15 1944 Second Allied attempt to capture Monte Cassino begins (1050).</w:t>
      </w:r>
    </w:p>
    <w:p w14:paraId="507920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1DC8F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была еще одна попытка штурма Монте Кассино (1050). Полностью разбомбили (2100), а по другим оценкам - третья (3907,248).</w:t>
      </w:r>
    </w:p>
    <w:p w14:paraId="156876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916755"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15 марта</w:t>
      </w:r>
      <w:r w:rsidRPr="00070ADE">
        <w:rPr>
          <w:rFonts w:ascii="Times New Roman" w:hAnsi="Times New Roman"/>
          <w:color w:val="000000" w:themeColor="text1"/>
          <w:sz w:val="16"/>
          <w:szCs w:val="16"/>
        </w:rPr>
        <w:t xml:space="preserve"> в 1944 году новозеландские и индийские войска на итальянском фронте вошли в Кассино, однако, в городе завязались ожесточенные бои (15069).</w:t>
      </w:r>
    </w:p>
    <w:p w14:paraId="5C3625C2" w14:textId="77777777" w:rsidR="00FA2B3C" w:rsidRPr="00070ADE" w:rsidRDefault="00FA2B3C" w:rsidP="00B56F90">
      <w:pPr>
        <w:spacing w:after="0" w:line="240" w:lineRule="auto"/>
        <w:jc w:val="both"/>
        <w:rPr>
          <w:rFonts w:ascii="Times New Roman" w:hAnsi="Times New Roman"/>
          <w:color w:val="000000" w:themeColor="text1"/>
          <w:sz w:val="16"/>
          <w:szCs w:val="16"/>
        </w:rPr>
      </w:pPr>
    </w:p>
    <w:p w14:paraId="24536350"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15 марта</w:t>
      </w:r>
      <w:r w:rsidRPr="00070ADE">
        <w:rPr>
          <w:rFonts w:ascii="Times New Roman" w:hAnsi="Times New Roman"/>
          <w:color w:val="000000" w:themeColor="text1"/>
          <w:sz w:val="16"/>
          <w:szCs w:val="16"/>
        </w:rPr>
        <w:t xml:space="preserve"> в 1944 году начало наступления союзных войск в Центральной Италии (15069).</w:t>
      </w:r>
    </w:p>
    <w:p w14:paraId="2E15B3C1" w14:textId="77777777" w:rsidR="00FA2B3C" w:rsidRPr="00070ADE" w:rsidRDefault="00FA2B3C" w:rsidP="00B56F90">
      <w:pPr>
        <w:spacing w:after="0" w:line="240" w:lineRule="auto"/>
        <w:jc w:val="both"/>
        <w:rPr>
          <w:rFonts w:ascii="Times New Roman" w:hAnsi="Times New Roman"/>
          <w:color w:val="000000" w:themeColor="text1"/>
          <w:sz w:val="16"/>
          <w:szCs w:val="16"/>
        </w:rPr>
      </w:pPr>
    </w:p>
    <w:p w14:paraId="03FAD8E8" w14:textId="77777777" w:rsidR="00571952" w:rsidRPr="00070ADE" w:rsidRDefault="005719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15–16 марта (ночь) 1944, совершив путешествие на расстояние 3500 морских миль (6 481 км) и обратно от острова Кваджалейн, 13 самолетов B-24 Liberators седьмого флота военно-воздушных сил США нанесли удар по японским базам на атолле Трук (20373).</w:t>
      </w:r>
    </w:p>
    <w:p w14:paraId="495FF155" w14:textId="77777777" w:rsidR="00571952" w:rsidRPr="00070ADE" w:rsidRDefault="00571952" w:rsidP="00B56F90">
      <w:pPr>
        <w:spacing w:after="0" w:line="240" w:lineRule="auto"/>
        <w:jc w:val="both"/>
        <w:rPr>
          <w:rFonts w:ascii="Times New Roman" w:hAnsi="Times New Roman"/>
          <w:color w:val="000000" w:themeColor="text1"/>
          <w:sz w:val="16"/>
          <w:szCs w:val="16"/>
        </w:rPr>
      </w:pPr>
    </w:p>
    <w:p w14:paraId="71C49A5A" w14:textId="77777777" w:rsidR="00F757E3" w:rsidRPr="00070ADE" w:rsidRDefault="00F757E3"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E6275DE" w14:textId="77777777" w:rsidR="00F757E3" w:rsidRPr="00070ADE" w:rsidRDefault="00F757E3"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2CFF52" w14:textId="77777777" w:rsidR="00F757E3" w:rsidRPr="00070ADE" w:rsidRDefault="00F757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середине марта 1944 г., когда испытания опытной машины только завершились, был готов Головной серийный Ла-7. Самолеты выпуска весны 1944 г. по летным характеристикам почти не уступали опытной машине, но постепенно скорости слегка снизились. Традиционной причиной тому были уступки требованиям технологичности, вернее, упрощения конструкции в угоду производству. Но имели место и отклонения от конструкторской и технологической документации, а проще говоря — брак. Иногда и служба контроля качества, и военприемка соглашались «пропускать» такие самолеты, чтобы из-за «мелочей» не допускать срыва поставок. Но, как известно, в авиации мелочей нет, и это оборачивалось снижением летных данных, а то и авариями. Машины массового выпуска выдавали в середине 1944 г. не более 660 км/ч на высоте 6 000 м — впрочем, это было в допуске 3 %, заложенном в технические условия на поставку самолета. Но и при этом Ла-7 оставался быстрее серийного Як-3 того же периода на большинстве высот. Его преимущество на форсаже у земли было 33 … 58 км/ч, а на 1 900 м — 42 … 52 км/ч. Лучший истребитель Яковлева вырывался вперед на высотах 3 800 … 4 000 м и выигрывал до 12 км/ч, но выше 5 000 м снова отставал и на шести километрах отставал на 34 км/ч.</w:t>
      </w:r>
    </w:p>
    <w:p w14:paraId="684BDCA8" w14:textId="77777777" w:rsidR="00F757E3" w:rsidRPr="00070ADE" w:rsidRDefault="00F757E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Новый «Лавочкин» оказался лучше серийного Як-3 в установившемся вираже, замыкая круг на высоте 1 000 м за 18 … 19 секунд — быстрее на 2 … 3 секунды. Но на неустановившихся маневрах выигрывал легкий и менее инертный Як-3, к тому же он отличался и лучшей управляемостью. Скороподъемность Ла-7 у земли была выше, чем у Як-3 примерно на 1,7 м/с, но уже на подходе к высоте 3 км преимущество переходило к «Яку» и до высоты 5 000 м составляло около 2 м/с, а далее снова выигрывал Ла-7, но немного. В итоге в наборе зачетных 5 000 м Лавочкин-7 уступал Яковлеву-3 символические 6 секунд. Набор высоты за боевой разворот был примерно равным — 1 200 м (22769).</w:t>
      </w:r>
    </w:p>
    <w:p w14:paraId="415CFA23" w14:textId="77777777" w:rsidR="00F757E3" w:rsidRPr="00070ADE" w:rsidRDefault="00F757E3" w:rsidP="00B56F90">
      <w:pPr>
        <w:spacing w:after="0" w:line="240" w:lineRule="auto"/>
        <w:jc w:val="both"/>
        <w:rPr>
          <w:rFonts w:ascii="Times New Roman" w:hAnsi="Times New Roman"/>
          <w:color w:val="000000" w:themeColor="text1"/>
          <w:sz w:val="16"/>
          <w:szCs w:val="16"/>
        </w:rPr>
      </w:pPr>
    </w:p>
    <w:p w14:paraId="119DB5B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A5166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292092"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середины марта месяца 1944 г. фактический начался выпуск ИС-2 на ЧКЗ. Одним из сдерживающих факторов являлись орудия, тем не менее, ситуация существенно отличалась от февраля 1944 года. Вместо мелких партий по 10-20 систем завод №9 двумя эшелонами прислал всю месячную норму – 107 орудий. Случилось это уже в середине марта. Правда, новые системы с клиновым затвором потребовали переделок. Следует также отметить, что заводом №200 и УЗТМ корпусное производство по ИС-2 не ограничивалось. Например, командирские башенки с января 1944 года отливались на заводе №178. Шли работы и по улучшению защиты, на заводе №200 они начались с 20 февраля.</w:t>
      </w:r>
    </w:p>
    <w:p w14:paraId="3BD36A9D"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Параллельно с ростом производства танка шла его доработка. Одним из изменений марта 1944 года стал перенос кнопки внешней связи с экипажем, которая появилась еще на ИС-85. При нажатии этой кнопки, которая располагалась между левыми дополнительными топливными баками, срабатывал звуковой сигнал. В связи с тем, что нажимать ее было неудобно, кнопку переместили на кромку правого верхнего бортового листа. От 2-снарядной подвесной укладки на борту корпуса решили отказаться. Также в марте усилили крепление элекроспуска, ввели подножку для сиденья командира, стали подбирать пружины для главного фрикциона по нагрузке с колебанием не более 2 килограмм. Была усилена сетка воздухозаборников: в дополнение к поперечным ребрам жесткости появилось еще и продольное. Всего за март было введено 12 пунктов улучшений конструкции танка. Еще одним улучшением стал анонсированный переход на сталь высокой твердости 70Л. В марте 1944 года 78 из 116 корпусов и 62 из 82 башен, выпущенных заводом №200, имели лобовые детали из брони высокой твёрдости. Тогда же сталь 70Л стала применяться и на УЗТМ (25541).</w:t>
      </w:r>
    </w:p>
    <w:p w14:paraId="38ADE041" w14:textId="77777777" w:rsidR="00C63BA9" w:rsidRPr="00C94B78" w:rsidRDefault="00C63BA9" w:rsidP="00B56F90">
      <w:pPr>
        <w:spacing w:after="0" w:line="240" w:lineRule="auto"/>
        <w:jc w:val="both"/>
        <w:rPr>
          <w:rFonts w:ascii="Times New Roman" w:hAnsi="Times New Roman"/>
          <w:color w:val="0070C0"/>
          <w:sz w:val="16"/>
          <w:szCs w:val="16"/>
        </w:rPr>
      </w:pPr>
    </w:p>
    <w:p w14:paraId="7E978467" w14:textId="77777777" w:rsidR="00AA47E8" w:rsidRPr="00070ADE" w:rsidRDefault="00AA47E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середине марта 1944 г. вышел приказ наркома танковой промышленности, предписывающий улучшить бронирование танка в лобовой части (башня и корпус). В частности, нарком приказал заменить верхнюю часть носа сложной конфигурации на спрямленную[1056].</w:t>
      </w:r>
    </w:p>
    <w:p w14:paraId="15BF64E6" w14:textId="77777777" w:rsidR="00AA47E8" w:rsidRPr="00070ADE" w:rsidRDefault="00AA47E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начала производства ИС-2 и ИСУ-152 для Кировского завода и УЗТМ была снижена почти в два раза программа выпуска танка Т-34 (до 150 машин в месяц, начиная с января 1944 г.). Но в связи с этим другие танковые заводы должны были увеличить выпуск Т-34 и СУ-85 для покрытия недостающего количества танков (в марте на 50 шт., в апреле на 75 шт. и в мае на 100 шт.) После начала производства ИС-2 и ИСУ-152 для Кировского завода и</w:t>
      </w:r>
    </w:p>
    <w:p w14:paraId="6A8E7A3C" w14:textId="77777777" w:rsidR="00AA47E8" w:rsidRPr="00070ADE" w:rsidRDefault="00AA47E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УЗТМ была снижена почти в два раза программа выпуска танка Т-34 (до 150 машин в месяц, начиная с января 1944 г.). Но в связи с этим другие танковые заводы должны были увеличить выпуск Т-34 и СУ-85 для покрытия недостающего количества танков (в марте на 50 шт., в апреле на 75 шт. и в мае на 100 шт.) (23536).</w:t>
      </w:r>
    </w:p>
    <w:p w14:paraId="76F42FDA" w14:textId="77777777" w:rsidR="00AA47E8" w:rsidRPr="00070ADE" w:rsidRDefault="00AA47E8" w:rsidP="00B56F90">
      <w:pPr>
        <w:spacing w:after="0" w:line="240" w:lineRule="auto"/>
        <w:jc w:val="both"/>
        <w:rPr>
          <w:rFonts w:ascii="Times New Roman" w:hAnsi="Times New Roman"/>
          <w:color w:val="000000" w:themeColor="text1"/>
          <w:sz w:val="16"/>
          <w:szCs w:val="16"/>
        </w:rPr>
      </w:pPr>
    </w:p>
    <w:p w14:paraId="4FD26259" w14:textId="77777777" w:rsidR="00137373" w:rsidRPr="00070ADE" w:rsidRDefault="00137373" w:rsidP="00B56F90">
      <w:pPr>
        <w:pStyle w:val="a3"/>
        <w:rPr>
          <w:color w:val="000000" w:themeColor="text1"/>
          <w:lang w:val="ru-RU"/>
        </w:rPr>
      </w:pPr>
      <w:r w:rsidRPr="00070ADE">
        <w:rPr>
          <w:color w:val="000000" w:themeColor="text1"/>
          <w:lang w:val="ru-RU"/>
        </w:rPr>
        <w:t>С середины марта 1944 г. сборку танков Т-34 на ЧКЗ полностью прекратили. Совершенство</w:t>
      </w:r>
      <w:r w:rsidRPr="00070ADE">
        <w:rPr>
          <w:color w:val="000000" w:themeColor="text1"/>
          <w:lang w:val="ru-RU"/>
        </w:rPr>
        <w:softHyphen/>
        <w:t>валась технология производства тяжелых танков, выстраивались новые поточные линии, задействовались новые виды оборудования, использовались все имеющиеся резервы про</w:t>
      </w:r>
      <w:r w:rsidRPr="00070ADE">
        <w:rPr>
          <w:color w:val="000000" w:themeColor="text1"/>
          <w:lang w:val="ru-RU"/>
        </w:rPr>
        <w:softHyphen/>
        <w:t>изводства. Постановлением ГКО завод обязы</w:t>
      </w:r>
      <w:r w:rsidRPr="00070ADE">
        <w:rPr>
          <w:color w:val="000000" w:themeColor="text1"/>
          <w:lang w:val="ru-RU"/>
        </w:rPr>
        <w:softHyphen/>
        <w:t>вался довести ежемесячный выпуск танков ИС до 500 шт.</w:t>
      </w:r>
    </w:p>
    <w:p w14:paraId="5513BD82" w14:textId="77777777" w:rsidR="00137373" w:rsidRPr="00070ADE" w:rsidRDefault="00137373" w:rsidP="00B56F90">
      <w:pPr>
        <w:pStyle w:val="a3"/>
        <w:rPr>
          <w:color w:val="000000" w:themeColor="text1"/>
          <w:lang w:val="ru-RU"/>
        </w:rPr>
      </w:pPr>
      <w:r w:rsidRPr="00070ADE">
        <w:rPr>
          <w:color w:val="000000" w:themeColor="text1"/>
          <w:lang w:val="ru-RU"/>
        </w:rPr>
        <w:t>Следует отметить, что начиная с 1943 г. ЧКЗ выпускал практически поровну два типа тяжелых боевых машин — танки и САУ. Количе</w:t>
      </w:r>
      <w:r w:rsidRPr="00070ADE">
        <w:rPr>
          <w:color w:val="000000" w:themeColor="text1"/>
          <w:lang w:val="ru-RU"/>
        </w:rPr>
        <w:softHyphen/>
        <w:t>ственное соотношение между ними менялось не столь существенно, чтобы влиять на общее число выпускаемых машин. А зависело оно, в основном, от поставок заводу артиллерийских орудий различного типа и калибра предприя</w:t>
      </w:r>
      <w:r w:rsidRPr="00070ADE">
        <w:rPr>
          <w:color w:val="000000" w:themeColor="text1"/>
          <w:lang w:val="ru-RU"/>
        </w:rPr>
        <w:softHyphen/>
        <w:t>тиями Наркомата вооружения.</w:t>
      </w:r>
    </w:p>
    <w:p w14:paraId="715A0182" w14:textId="77777777" w:rsidR="00137373" w:rsidRPr="00070ADE" w:rsidRDefault="00137373" w:rsidP="00B56F90">
      <w:pPr>
        <w:pStyle w:val="a3"/>
        <w:rPr>
          <w:color w:val="000000" w:themeColor="text1"/>
          <w:lang w:val="ru-RU"/>
        </w:rPr>
      </w:pPr>
      <w:r w:rsidRPr="00070ADE">
        <w:rPr>
          <w:color w:val="000000" w:themeColor="text1"/>
          <w:lang w:val="ru-RU"/>
        </w:rPr>
        <w:t>За разработку и внедрение в производ</w:t>
      </w:r>
      <w:r w:rsidRPr="00070ADE">
        <w:rPr>
          <w:color w:val="000000" w:themeColor="text1"/>
          <w:lang w:val="ru-RU"/>
        </w:rPr>
        <w:softHyphen/>
        <w:t>ство новых тяжелых танков ИС Г.Н. Москвин в числе других работников Кировского и Опыт</w:t>
      </w:r>
      <w:r w:rsidRPr="00070ADE">
        <w:rPr>
          <w:color w:val="000000" w:themeColor="text1"/>
          <w:lang w:val="ru-RU"/>
        </w:rPr>
        <w:softHyphen/>
        <w:t>ного заводов в 1944 г. был награжден орденом Ленина (12617).</w:t>
      </w:r>
    </w:p>
    <w:p w14:paraId="24F8DDE7" w14:textId="77777777" w:rsidR="00137373" w:rsidRPr="00070ADE" w:rsidRDefault="00137373" w:rsidP="00B56F90">
      <w:pPr>
        <w:pStyle w:val="a3"/>
        <w:rPr>
          <w:color w:val="000000" w:themeColor="text1"/>
          <w:lang w:val="ru-RU"/>
        </w:rPr>
      </w:pPr>
    </w:p>
    <w:p w14:paraId="7A659C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середине марта 1944 г. началась разработка эскизного проекта машины, первоначально названной ЭСУ-100. В те</w:t>
      </w:r>
      <w:r w:rsidRPr="00070ADE">
        <w:rPr>
          <w:rFonts w:ascii="Times New Roman" w:hAnsi="Times New Roman"/>
          <w:color w:val="000000" w:themeColor="text1"/>
          <w:sz w:val="16"/>
          <w:szCs w:val="16"/>
        </w:rPr>
        <w:softHyphen/>
        <w:t>чение месяца были спроектированы ее основные узлы: бронекорпус, подвеска на торсионных валах с использованием опорных катков Т-34, электротрансмиссия, боевое отделение под 85-мм орудие большой мощности и 100-мм орудие Д-10. В целом проект был одобрен к исполнению на пленуме НКТП в апреле 1944 г. (11417)</w:t>
      </w:r>
    </w:p>
    <w:p w14:paraId="2725E3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38C44B3" w14:textId="77777777" w:rsidR="00137373"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7346C2E" w14:textId="77777777" w:rsidR="00137373" w:rsidRPr="00070ADE" w:rsidRDefault="00137373"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2702F1"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середине марта 1944 в одну из ночей в Ушачи опять стартовали аэросцепки. Первой вылетела четвёрка А-7 - их тянули бомбардировщики СБ. Планё</w:t>
      </w:r>
      <w:r w:rsidRPr="00070ADE">
        <w:rPr>
          <w:rFonts w:ascii="Times New Roman" w:hAnsi="Times New Roman"/>
          <w:color w:val="000000" w:themeColor="text1"/>
          <w:sz w:val="16"/>
          <w:szCs w:val="16"/>
        </w:rPr>
        <w:softHyphen/>
        <w:t>ры пилотировали сержанты Тетерев, Карасев, Дедюлин и Матвеев. А-7 Те</w:t>
      </w:r>
      <w:r w:rsidRPr="00070ADE">
        <w:rPr>
          <w:rFonts w:ascii="Times New Roman" w:hAnsi="Times New Roman"/>
          <w:color w:val="000000" w:themeColor="text1"/>
          <w:sz w:val="16"/>
          <w:szCs w:val="16"/>
        </w:rPr>
        <w:softHyphen/>
        <w:t>терева был загружен толом и противо</w:t>
      </w:r>
      <w:r w:rsidRPr="00070ADE">
        <w:rPr>
          <w:rFonts w:ascii="Times New Roman" w:hAnsi="Times New Roman"/>
          <w:color w:val="000000" w:themeColor="text1"/>
          <w:sz w:val="16"/>
          <w:szCs w:val="16"/>
        </w:rPr>
        <w:softHyphen/>
        <w:t>танковыми гранатами так, что пилоту пришлось залезать в кабину не через дверь, а через снятый плексигласовый колпак фонаря.</w:t>
      </w:r>
    </w:p>
    <w:p w14:paraId="30A8B669"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 3000 м четвёрка подошла к расчётной точке отцепки, и пилоты увидели на земле мерцающие огни в виде буквы «Т». Миганием ручного фонаря стрелок-радист буксировщика подал планеристу команду на отцепку. Тетерев, не без труда рассчитав посад</w:t>
      </w:r>
      <w:r w:rsidRPr="00070ADE">
        <w:rPr>
          <w:rFonts w:ascii="Times New Roman" w:hAnsi="Times New Roman"/>
          <w:color w:val="000000" w:themeColor="text1"/>
          <w:sz w:val="16"/>
          <w:szCs w:val="16"/>
        </w:rPr>
        <w:softHyphen/>
        <w:t>ку, приземлился около третьего костра. «За мной идут ещё три!» - сообщил он подбежавшим партизанам. Но его то</w:t>
      </w:r>
      <w:r w:rsidRPr="00070ADE">
        <w:rPr>
          <w:rFonts w:ascii="Times New Roman" w:hAnsi="Times New Roman"/>
          <w:color w:val="000000" w:themeColor="text1"/>
          <w:sz w:val="16"/>
          <w:szCs w:val="16"/>
        </w:rPr>
        <w:softHyphen/>
        <w:t>варищи не прилетели - один разбился в 5-7 км от площадки, второй планёр сорвался с троса во время выполнения противозенитного манёвра, однако груз удалось передать другому партизанс</w:t>
      </w:r>
      <w:r w:rsidRPr="00070ADE">
        <w:rPr>
          <w:rFonts w:ascii="Times New Roman" w:hAnsi="Times New Roman"/>
          <w:color w:val="000000" w:themeColor="text1"/>
          <w:sz w:val="16"/>
          <w:szCs w:val="16"/>
        </w:rPr>
        <w:softHyphen/>
        <w:t>кому отряду, а у третьего обрыв буксира произошёл над линией фронта; он сел, к счастью, на нашей стороне (12266).</w:t>
      </w:r>
    </w:p>
    <w:p w14:paraId="536AB256" w14:textId="77777777" w:rsidR="00137373" w:rsidRPr="00070ADE" w:rsidRDefault="00137373" w:rsidP="00B56F90">
      <w:pPr>
        <w:spacing w:after="0" w:line="240" w:lineRule="auto"/>
        <w:jc w:val="both"/>
        <w:rPr>
          <w:rFonts w:ascii="Times New Roman" w:hAnsi="Times New Roman"/>
          <w:color w:val="000000" w:themeColor="text1"/>
          <w:sz w:val="16"/>
          <w:szCs w:val="16"/>
        </w:rPr>
      </w:pPr>
    </w:p>
    <w:p w14:paraId="3F485F10" w14:textId="17F3BF02" w:rsidR="00595BFB" w:rsidRPr="00070ADE" w:rsidRDefault="00595BFB" w:rsidP="00B56F90">
      <w:pPr>
        <w:widowControl w:val="0"/>
        <w:autoSpaceDE w:val="0"/>
        <w:autoSpaceDN w:val="0"/>
        <w:adjustRightInd w:val="0"/>
        <w:spacing w:after="0" w:line="240" w:lineRule="auto"/>
        <w:jc w:val="both"/>
        <w:rPr>
          <w:rFonts w:ascii="Times New Roman" w:hAnsi="Times New Roman"/>
          <w:i/>
          <w:color w:val="000000" w:themeColor="text1"/>
          <w:sz w:val="16"/>
          <w:szCs w:val="16"/>
        </w:rPr>
      </w:pPr>
      <w:r w:rsidRPr="00070ADE">
        <w:rPr>
          <w:rFonts w:ascii="Times New Roman" w:hAnsi="Times New Roman"/>
          <w:i/>
          <w:color w:val="000000" w:themeColor="text1"/>
          <w:sz w:val="16"/>
          <w:szCs w:val="16"/>
        </w:rPr>
        <w:t>За ру</w:t>
      </w:r>
      <w:r w:rsidR="00F757E3" w:rsidRPr="00070ADE">
        <w:rPr>
          <w:rFonts w:ascii="Times New Roman" w:hAnsi="Times New Roman"/>
          <w:i/>
          <w:color w:val="000000" w:themeColor="text1"/>
          <w:sz w:val="16"/>
          <w:szCs w:val="16"/>
        </w:rPr>
        <w:t>б</w:t>
      </w:r>
      <w:r w:rsidRPr="00070ADE">
        <w:rPr>
          <w:rFonts w:ascii="Times New Roman" w:hAnsi="Times New Roman"/>
          <w:i/>
          <w:color w:val="000000" w:themeColor="text1"/>
          <w:sz w:val="16"/>
          <w:szCs w:val="16"/>
        </w:rPr>
        <w:t>ежом;</w:t>
      </w:r>
    </w:p>
    <w:p w14:paraId="5673D0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
          <w:color w:val="000000" w:themeColor="text1"/>
          <w:sz w:val="16"/>
          <w:szCs w:val="16"/>
        </w:rPr>
      </w:pPr>
    </w:p>
    <w:p w14:paraId="3404BB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середине марта 1944 года решение не было найдено, Министерству вооружений показалось, что пришла пора закрыть проект. Группа представителей генералов отправилась на полигон, чтобы присутствовать при демонстрации проделанной работы – увиденное строгую комиссию не порадовало, и работа Кендерса была взята под строгий контроль. В конечном итоге это пошло на пользу. Шесть различных фирм, включая кампанию «Шкода» и заводы Круппа, получили заказы и разработали удовлетворительные варианты снарядов. Проблемы затвора были решены подключением запирающего поршня между снарядом и первоначальным зарядом, и уже эти меры решили проблему строгого контроля за последовательностью детонации вспомогательных зарядов. К концу мая изготовлявшееся опытное орудие демонстрировало вполне удовлетворительные результаты: дальность полета снаряда достигала 80 км. Но тут, после двадцать пятого выстрела, две боковые камеры экспериментального ствола «V-3» взорвались, в следствие чего орудие получило серьезные повреждения. Были заказаны новые экземпляры камер, а следующее испытание наметили на начало июля.</w:t>
      </w:r>
    </w:p>
    <w:p w14:paraId="3489215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июля снова были проведены стрельбы из испытательных образцов орудия. На этот раз удалось сделать восемь выстрелов и достигнуть дальности стрельбы в 93 км. После чего экспериментальное орудие снова взорвалось.</w:t>
      </w:r>
    </w:p>
    <w:p w14:paraId="0BCFE5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6 июля английские ВВС совершили очередной налет на строящиеся позиции. Итоги рейда бомбардировщиков элитной 617-й эскадрильи были опустошительными. Площадка была полностью выведена из строя, и до самого захвата этой территории союзными войсками там никакие работы уже не проводились.</w:t>
      </w:r>
    </w:p>
    <w:p w14:paraId="419ED8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Есть сведения, что разработка «V-3» еще продолжалась. Когда союзные войска захватили Хиллерслебен, они нашли там два орудия в поврежденном состоянии, одно – с 10 парами вспомогательных камер (сконструированных под прямым углом к оси канала ствола), и второе – с пятью парами под углом в 45°. Оба орудия имели длину 75 м. Есть свидетельства и о том, что эти две короткоствольных версии были все же использованы против американских войск во время боев 30 декабря 1944 года и 2 января 1945 года, обстреливая Люксембург, находившийся в 40 км от них (11688).</w:t>
      </w:r>
    </w:p>
    <w:p w14:paraId="05E2D8C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A5BB1ED" w14:textId="77777777" w:rsidR="00FC06BB" w:rsidRPr="00070ADE" w:rsidRDefault="00FC06B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 середине марта 1944 года удовлетворительное решение стабилизации снарядов к пушке </w:t>
      </w:r>
      <w:r w:rsidRPr="00070ADE">
        <w:rPr>
          <w:rFonts w:ascii="Times New Roman" w:hAnsi="Times New Roman"/>
          <w:color w:val="000000" w:themeColor="text1"/>
          <w:sz w:val="16"/>
          <w:szCs w:val="16"/>
          <w:lang w:val="en-US"/>
        </w:rPr>
        <w:t>V</w:t>
      </w:r>
      <w:r w:rsidRPr="00070ADE">
        <w:rPr>
          <w:rFonts w:ascii="Times New Roman" w:hAnsi="Times New Roman"/>
          <w:color w:val="000000" w:themeColor="text1"/>
          <w:sz w:val="16"/>
          <w:szCs w:val="16"/>
        </w:rPr>
        <w:t>-3 в полете так и не было найдено, Министерству вооружений показалось, что пришла пора закрыть проект. Группа представителей генералов отправилась на полигон, чтобы присутствовать при демонстрации проделанной работы — увиденное комиссию не порадовало, и работа Кендерса была взята под строгий контроль. В конечном итоге это пошло на пользу. Шесть различных фирм, включая компанию «Шкода» и заводы Круппа, получили заказы и разработали удовлетворительные варианты снарядов. К концу мая изготовлявшееся опытное орудие демонстрировало вполне сносные результаты: дальность полета снаряда достигала 80 км. Но тут, после двадцать пятого выстрела, две боковые камеры экспериментального ствола «V-3» взорвались, вследствие чего орудие получило серьезные повреждения. Были заказаны новые экземпляры камер, а следующее испытание наметили на начало июля. 4 июля снова были проведены стрельбы из экспериментального орудия. На этот раз удалось сделать восемь выстрелов и достигнуть дальности стрельбы в 93 км. После чего экспериментальное орудие снова взорвалось (22870).</w:t>
      </w:r>
    </w:p>
    <w:p w14:paraId="4AC59D00" w14:textId="77777777" w:rsidR="00FC06BB" w:rsidRPr="00070ADE" w:rsidRDefault="00FC06BB" w:rsidP="00B56F90">
      <w:pPr>
        <w:spacing w:after="0" w:line="240" w:lineRule="auto"/>
        <w:jc w:val="both"/>
        <w:rPr>
          <w:rFonts w:ascii="Times New Roman" w:hAnsi="Times New Roman"/>
          <w:color w:val="000000" w:themeColor="text1"/>
          <w:sz w:val="16"/>
          <w:szCs w:val="16"/>
        </w:rPr>
      </w:pPr>
    </w:p>
    <w:p w14:paraId="6AA2D65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40644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75AB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марта 1944 г. в Омске был собран первый серийный Як-9У. Тогда, в марте, заводской летчик капитан М.Я.Федотов вынужден был совершить посадку уже через 10 минут полета во избежание худшего: из мотора пошел дым. Изменения в выхлопных патрубках оказались не единственными. Кроме того, для снижения температуры в подкапотном пространстве сделали жабры на боковых крышках капотов и усилили кожухи обдува коллекторов. Более совершенной стала схема суфлирования мотора и маслобака. Для снижения усилий на ручке, несколько уменьшили площадь руля высоты. Кстати, начиная с этого времени моторы М-107А получили наименование ВК-107А в честь главного конструктора Владимира Климова. После облета первого серийного самолета, старший военпред завода инженер-подполковник подготовил дефектную ведомость, которая включапа 30 пунктов, причем 28 из них относились к конструктивным недостаткам. Военная премка в этом конфликте выступила на стороне дирекции завода, посчитав, что главный конструктор и его представители не проявляют настойчивости в устранении дефектов новой машины.</w:t>
      </w:r>
    </w:p>
    <w:p w14:paraId="60304D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архивным даным, серийный самолет отличался от опытного не только в лучшую сторону. Внешняя отделка была далеко не столь совершенна: отсутствовала полировка поверхностей и не было специальных перегородок, закрывающих шели. Фонарь серийного самолета не имел механизма аварийного сброса, а бронезащита пилота была в конструктивном отношении подобна установленной на серийном Як-9 с мотором М-105ПФ, и в нынешних условиях уже не соответствовала требованиям ВВС Красной Армии (4842).</w:t>
      </w:r>
    </w:p>
    <w:p w14:paraId="38253B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6BD7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марта 1944 г. закончились заводские испытания самолета У-2ШС на Центральном московском аэродроме им. Фрунзе, которые проходили с 14 марта. Летал испытатель майор Гаврилов, кото</w:t>
      </w:r>
      <w:r w:rsidRPr="00070ADE">
        <w:rPr>
          <w:rFonts w:ascii="Times New Roman" w:hAnsi="Times New Roman"/>
          <w:color w:val="000000" w:themeColor="text1"/>
          <w:sz w:val="16"/>
          <w:szCs w:val="16"/>
        </w:rPr>
        <w:softHyphen/>
        <w:t>рый отметил, что самолет устойчив, пило</w:t>
      </w:r>
      <w:r w:rsidRPr="00070ADE">
        <w:rPr>
          <w:rFonts w:ascii="Times New Roman" w:hAnsi="Times New Roman"/>
          <w:color w:val="000000" w:themeColor="text1"/>
          <w:sz w:val="16"/>
          <w:szCs w:val="16"/>
        </w:rPr>
        <w:softHyphen/>
        <w:t>тирование приятное благодаря наличию триммера, в остальном аппарат практиче</w:t>
      </w:r>
      <w:r w:rsidRPr="00070ADE">
        <w:rPr>
          <w:rFonts w:ascii="Times New Roman" w:hAnsi="Times New Roman"/>
          <w:color w:val="000000" w:themeColor="text1"/>
          <w:sz w:val="16"/>
          <w:szCs w:val="16"/>
        </w:rPr>
        <w:softHyphen/>
        <w:t>ски не отличается от обычного У-2 (11085).</w:t>
      </w:r>
    </w:p>
    <w:p w14:paraId="4F30E30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821C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марта 1944 А.Г.Кочетков и и Ф.П.Супрун, вылетевшие с ЦА в США по северному маршруту 17 февраля 1944, прилетели в Вашингтон только (172,168).</w:t>
      </w:r>
    </w:p>
    <w:p w14:paraId="17891A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FB6C0C" w14:textId="77777777" w:rsidR="005204D1" w:rsidRPr="00070ADE" w:rsidRDefault="005204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марта 1944 г. Костикова арестовали. Попав в заключение, он заявил о том, что осознал свою вину и направил письма Стали</w:t>
      </w:r>
      <w:r w:rsidRPr="00070ADE">
        <w:rPr>
          <w:rFonts w:ascii="Times New Roman" w:hAnsi="Times New Roman"/>
          <w:color w:val="000000" w:themeColor="text1"/>
          <w:sz w:val="16"/>
          <w:szCs w:val="16"/>
        </w:rPr>
        <w:softHyphen/>
        <w:t>ну, Молотову и Маленкову. «Ошибся в расчете и выборе движительной установки самолета, представил завышенные данные на утверждение. Обнаружив ошибку, скрыл ее. Искал решение, удовлетворяющее требованиям, встал на неверный путь - скрывал технические и производственные трудности, потерял время. Осознал поздно, глубоко переживал, утерял управление собой, что привело к болезненному реагированию на отстране</w:t>
      </w:r>
      <w:r w:rsidRPr="00070ADE">
        <w:rPr>
          <w:rFonts w:ascii="Times New Roman" w:hAnsi="Times New Roman"/>
          <w:color w:val="000000" w:themeColor="text1"/>
          <w:sz w:val="16"/>
          <w:szCs w:val="16"/>
        </w:rPr>
        <w:softHyphen/>
        <w:t>ние меня от начатой работы. Прошу простить - вернуть к жиз</w:t>
      </w:r>
      <w:r w:rsidRPr="00070ADE">
        <w:rPr>
          <w:rFonts w:ascii="Times New Roman" w:hAnsi="Times New Roman"/>
          <w:color w:val="000000" w:themeColor="text1"/>
          <w:sz w:val="16"/>
          <w:szCs w:val="16"/>
        </w:rPr>
        <w:softHyphen/>
        <w:t>ни. Я искуплю свою вину и оправдаю доверие».</w:t>
      </w:r>
    </w:p>
    <w:p w14:paraId="466CCFFE" w14:textId="77777777" w:rsidR="005204D1" w:rsidRPr="00070ADE" w:rsidRDefault="005204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Видимо, письма Костикова дошли до адресатов. 28 фев</w:t>
      </w:r>
      <w:r w:rsidRPr="00070ADE">
        <w:rPr>
          <w:rFonts w:ascii="Times New Roman" w:hAnsi="Times New Roman"/>
          <w:color w:val="000000" w:themeColor="text1"/>
          <w:sz w:val="16"/>
          <w:szCs w:val="16"/>
        </w:rPr>
        <w:softHyphen/>
        <w:t>раля 1945 года он был освобожден. В постановлении о прекра</w:t>
      </w:r>
      <w:r w:rsidRPr="00070ADE">
        <w:rPr>
          <w:rFonts w:ascii="Times New Roman" w:hAnsi="Times New Roman"/>
          <w:color w:val="000000" w:themeColor="text1"/>
          <w:sz w:val="16"/>
          <w:szCs w:val="16"/>
        </w:rPr>
        <w:softHyphen/>
        <w:t>щении следствия внесли запись о том, что вражеского умысла в его действиях не установлено. Освобожденного не пустили в Москву, а направили представителем ОТК на один из подмо</w:t>
      </w:r>
      <w:r w:rsidRPr="00070ADE">
        <w:rPr>
          <w:rFonts w:ascii="Times New Roman" w:hAnsi="Times New Roman"/>
          <w:color w:val="000000" w:themeColor="text1"/>
          <w:sz w:val="16"/>
          <w:szCs w:val="16"/>
        </w:rPr>
        <w:softHyphen/>
        <w:t>сковных механических заводов, собиравших реактивные сна</w:t>
      </w:r>
      <w:r w:rsidRPr="00070ADE">
        <w:rPr>
          <w:rFonts w:ascii="Times New Roman" w:hAnsi="Times New Roman"/>
          <w:color w:val="000000" w:themeColor="text1"/>
          <w:sz w:val="16"/>
          <w:szCs w:val="16"/>
        </w:rPr>
        <w:softHyphen/>
        <w:t>ряды. На работу и с работы Костиков ходил пешком в кителе со Звездой Героя. Подчиненные осаждали директора завода во</w:t>
      </w:r>
      <w:r w:rsidRPr="00070ADE">
        <w:rPr>
          <w:rFonts w:ascii="Times New Roman" w:hAnsi="Times New Roman"/>
          <w:color w:val="000000" w:themeColor="text1"/>
          <w:sz w:val="16"/>
          <w:szCs w:val="16"/>
        </w:rPr>
        <w:softHyphen/>
        <w:t>просами, кто это такой и почему Героя страны в ОТК держат?</w:t>
      </w:r>
    </w:p>
    <w:p w14:paraId="57740FA0" w14:textId="77777777" w:rsidR="005204D1" w:rsidRPr="00070ADE" w:rsidRDefault="005204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Наконец, директор не выдержал и обратился в Наркомат:</w:t>
      </w:r>
    </w:p>
    <w:p w14:paraId="1A884A7D" w14:textId="77777777" w:rsidR="005204D1" w:rsidRPr="00070ADE" w:rsidRDefault="005204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Заберите от нас Костикова. Меня про него уже весь го</w:t>
      </w:r>
      <w:r w:rsidRPr="00070ADE">
        <w:rPr>
          <w:rFonts w:ascii="Times New Roman" w:hAnsi="Times New Roman"/>
          <w:color w:val="000000" w:themeColor="text1"/>
          <w:sz w:val="16"/>
          <w:szCs w:val="16"/>
        </w:rPr>
        <w:softHyphen/>
        <w:t>род расспрашивает. Что людям отвечать?</w:t>
      </w:r>
    </w:p>
    <w:p w14:paraId="799E5D52" w14:textId="77777777" w:rsidR="005204D1" w:rsidRPr="00070ADE" w:rsidRDefault="005204D1" w:rsidP="00B56F90">
      <w:pPr>
        <w:spacing w:after="0" w:line="240" w:lineRule="auto"/>
        <w:jc w:val="both"/>
        <w:rPr>
          <w:rFonts w:ascii="Times New Roman" w:hAnsi="Times New Roman"/>
          <w:color w:val="000000" w:themeColor="text1"/>
          <w:sz w:val="16"/>
          <w:szCs w:val="16"/>
        </w:rPr>
      </w:pPr>
    </w:p>
    <w:p w14:paraId="01C6999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3AFFFE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DB94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16 марта по 22 апреля 1944 в НИМАПе (научно-исследовательском морском полигоне) были проведены испытания опытного образца 4-У-23 для катеров, разработанного на основе ВЯ (1116,51).</w:t>
      </w:r>
    </w:p>
    <w:p w14:paraId="47E7DF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8379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16 марта по 22 апреля 1944 года на НИМАПе были проведены полигонные испытания счетверенной флотской зенитной установки 4-У-23. Установка была принята на вооружение и поступила в валовое производство. Несколько 4-У-23 поступили на катера и успели принять боевое крещение в самом конце войны. После войны работы над 23-мм установками с автоматами ВЯ были прекращены, так как огневая мощь их была признана недостаточной для вооружения кораблей.</w:t>
      </w:r>
    </w:p>
    <w:p w14:paraId="3FCD6C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войны работы над 23-мм установками с автоматами ВЯ были прекращены, так как огневая мощь их была признана недостаточной для вооружения кораблей. В 1960 году были построены два торпедных катера пр.125, а в 1963-1967 годах - шестнадцать пограничных катеров на подводных крыльях пр.125А. Их артиллерийское вооружение состояло из двух спаренных АУ с 23-мм авиационными автоматами АМ-23 конструкции Афанасьева и Макарова (3861).</w:t>
      </w:r>
    </w:p>
    <w:p w14:paraId="46CA1A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729244"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 16 марта по 22 апреля 1944 г. на НИМАПе проводились полигонные испытания счетверенной установки 4-У-23 Кондакова. Установка была принята на вооружение и поступила в валовое производство. Не</w:t>
      </w:r>
      <w:r w:rsidRPr="00C94B78">
        <w:rPr>
          <w:rStyle w:val="aff1"/>
          <w:rFonts w:ascii="Times New Roman" w:hAnsi="Times New Roman" w:cs="Times New Roman"/>
          <w:color w:val="0070C0"/>
          <w:spacing w:val="0"/>
          <w:sz w:val="16"/>
          <w:szCs w:val="16"/>
        </w:rPr>
        <w:softHyphen/>
        <w:t>сколько 4-У-23 поступили на катера и успели принять бое</w:t>
      </w:r>
      <w:r w:rsidRPr="00C94B78">
        <w:rPr>
          <w:rStyle w:val="aff1"/>
          <w:rFonts w:ascii="Times New Roman" w:hAnsi="Times New Roman" w:cs="Times New Roman"/>
          <w:color w:val="0070C0"/>
          <w:spacing w:val="0"/>
          <w:sz w:val="16"/>
          <w:szCs w:val="16"/>
        </w:rPr>
        <w:softHyphen/>
        <w:t>вое крещение в самом конце войны.</w:t>
      </w:r>
    </w:p>
    <w:p w14:paraId="0F622541"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lastRenderedPageBreak/>
        <w:t>Счетверенная установка 4-У-23 предназначалась для во</w:t>
      </w:r>
      <w:r w:rsidRPr="00C94B78">
        <w:rPr>
          <w:rStyle w:val="aff1"/>
          <w:rFonts w:ascii="Times New Roman" w:hAnsi="Times New Roman" w:cs="Times New Roman"/>
          <w:color w:val="0070C0"/>
          <w:spacing w:val="0"/>
          <w:sz w:val="16"/>
          <w:szCs w:val="16"/>
        </w:rPr>
        <w:softHyphen/>
        <w:t>оружения подводных лодок для стрельбы по воздушным целям на высотах до 2500 м и по надводным целям на даль</w:t>
      </w:r>
      <w:r w:rsidRPr="00C94B78">
        <w:rPr>
          <w:rStyle w:val="aff1"/>
          <w:rFonts w:ascii="Times New Roman" w:hAnsi="Times New Roman" w:cs="Times New Roman"/>
          <w:color w:val="0070C0"/>
          <w:spacing w:val="0"/>
          <w:sz w:val="16"/>
          <w:szCs w:val="16"/>
        </w:rPr>
        <w:softHyphen/>
        <w:t>ности до 3500 м.</w:t>
      </w:r>
    </w:p>
    <w:p w14:paraId="433BED54"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Автоматы были расположены в вертикальной плоскос</w:t>
      </w:r>
      <w:r w:rsidRPr="00C94B78">
        <w:rPr>
          <w:rStyle w:val="aff1"/>
          <w:rFonts w:ascii="Times New Roman" w:hAnsi="Times New Roman" w:cs="Times New Roman"/>
          <w:color w:val="0070C0"/>
          <w:spacing w:val="0"/>
          <w:sz w:val="16"/>
          <w:szCs w:val="16"/>
        </w:rPr>
        <w:softHyphen/>
        <w:t>ти. Каждый автомат имел индивидуальную люльку и магазин с 65 патронами. Приводы наведения установки ручные. Система имела щитовое прикрытие (25437).</w:t>
      </w:r>
    </w:p>
    <w:p w14:paraId="6D0C8AA0" w14:textId="77777777" w:rsidR="00C63BA9" w:rsidRPr="00C94B78" w:rsidRDefault="00C63BA9" w:rsidP="00B56F90">
      <w:pPr>
        <w:spacing w:after="0" w:line="240" w:lineRule="auto"/>
        <w:jc w:val="both"/>
        <w:rPr>
          <w:rFonts w:ascii="Times New Roman" w:hAnsi="Times New Roman"/>
          <w:color w:val="0070C0"/>
          <w:sz w:val="16"/>
          <w:szCs w:val="16"/>
        </w:rPr>
      </w:pPr>
    </w:p>
    <w:p w14:paraId="152F1789"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16 марта 1944 г. АНИОП на полигонных испытаниях 203-мм самоходной гаубицы С-51 ЦАКБ з. были начаты испытательные стрельбы. В ходе полигонных испытаний было сделано 209 выстрелов и пройдено 244 км.</w:t>
      </w:r>
    </w:p>
    <w:p w14:paraId="4AA69C8A"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Стрельба велась бронебойным снарядом весом 100 кг. Были отмечены большой отход системы назад при выстреле, сбиваемость наводки, а также большое боковое рассеивание, обусловленное боковым смещением орудия при выстреле.</w:t>
      </w:r>
    </w:p>
    <w:p w14:paraId="74D035B1"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При малых углах возвышения из-за откатывания самохода «бойцы слетали с платформы установки и падали на грунт».</w:t>
      </w:r>
    </w:p>
    <w:p w14:paraId="72A8C627"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Во время пробега по шоссе со средней скоростью 32 км/ч запас хода оказался 200 км, а по грунтовой дороге со скоростью 23 км/ч запас хода составил 160 км. Максимальный преодолеваемый подъем — 22°.</w:t>
      </w:r>
    </w:p>
    <w:p w14:paraId="4FC6B3F0"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Согласно заключению комиссии АНИОПа от 8 апреля 1944 г. система в основном испытания выдержала и может быть рекомендована к принятию на вооружение в РККА.</w:t>
      </w:r>
    </w:p>
    <w:p w14:paraId="14F1DC13"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Тем не менее на вооружение система принята не была. По-видимому, это связано с нежеланием промышленности возобновлять производство Б-4, прекращенное в начале 1942 г.</w:t>
      </w:r>
    </w:p>
    <w:p w14:paraId="1D948F3C"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Таким же образом Грабин создал 152-мм самоходную пушку С-59, установив вращающуюся часть 152-мм пушки Бр-2 на шасси танка КВ-1с. Но ГАУ не приняло на вооружение ни С-51, ни С-59.</w:t>
      </w:r>
    </w:p>
    <w:p w14:paraId="6747AB77"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Неудовлетворительная маневренность лафета Б-4 заставила Артуправление наряду с попытками модернизировать этот лафет начать проектирование принципиально нового колесного лафета (25440).</w:t>
      </w:r>
    </w:p>
    <w:p w14:paraId="4389D6B0" w14:textId="77777777" w:rsidR="00C63BA9" w:rsidRPr="00C94B78" w:rsidRDefault="00C63BA9" w:rsidP="00B56F90">
      <w:pPr>
        <w:spacing w:after="0" w:line="240" w:lineRule="auto"/>
        <w:jc w:val="both"/>
        <w:rPr>
          <w:rFonts w:ascii="Times New Roman" w:hAnsi="Times New Roman"/>
          <w:color w:val="0070C0"/>
          <w:sz w:val="16"/>
          <w:szCs w:val="16"/>
        </w:rPr>
      </w:pPr>
    </w:p>
    <w:p w14:paraId="526AE3A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марта 1944 года вышел приказ № 160с НКТП</w:t>
      </w:r>
    </w:p>
    <w:p w14:paraId="69AB69F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прекращением производства танков Т-34 на Кировском заводе и бронекорпусов танков Т-34 на Уралмашзаводе с марта 1944 года (6210, 44).</w:t>
      </w:r>
    </w:p>
    <w:p w14:paraId="700DC1D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D302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марта 1944 г. были начаты испытания стрельбой 203-мм самоходной гаубицы на шасси танка КВ-1с, с которого была снята башня и установлена вращающаяся часть 203-мм гаубицы Б-4 - гаубицы С-51. В ходе полигонных испытаний было сделано 209 выстрелов и пройдено 244 км. Стрельба велась бронебойным снарядом весом 100 кг. Были отмечены большой отход системы назад при выстреле, сбиваемость наводки, а также большое боковое рассеивание, обусловленное боковым смещением орудия при выстреле. При малых углах возвышения из-за откатывания самохода "бойцы слетали с платформы установки и падали на грунт". Во время пробега по шоссе со средней скоростью 32 км/час запас хода оказался 200 км, а по грунтовой дороге со скоростью 23 км/час запас хода 160 км. Максимальный преодолеваемый подъем 22 (3861).</w:t>
      </w:r>
    </w:p>
    <w:p w14:paraId="6C155E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D50DFD" w14:textId="77777777" w:rsidR="00282955" w:rsidRPr="00070ADE" w:rsidRDefault="00282955" w:rsidP="00B56F90">
      <w:pPr>
        <w:pStyle w:val="a3"/>
        <w:rPr>
          <w:color w:val="000000" w:themeColor="text1"/>
          <w:lang w:val="ru-RU"/>
        </w:rPr>
      </w:pPr>
      <w:r w:rsidRPr="00070ADE">
        <w:rPr>
          <w:color w:val="000000" w:themeColor="text1"/>
          <w:lang w:val="ru-RU"/>
        </w:rPr>
        <w:t>16 марта 1944 года начались испытания самоходной установки. Ввиду отсутствия на АНИОП фугасных снарядов для Б-4 стрельбу на кучность проводили бетонобойными боеприпасами, что одновремен</w:t>
      </w:r>
      <w:r w:rsidRPr="00070ADE">
        <w:rPr>
          <w:color w:val="000000" w:themeColor="text1"/>
          <w:lang w:val="ru-RU"/>
        </w:rPr>
        <w:softHyphen/>
        <w:t>но сократило программу полигонных испытаний. 16-го числа было сделано 18 выстрелов. Всего же за время огневых испытаний, про</w:t>
      </w:r>
      <w:r w:rsidRPr="00070ADE">
        <w:rPr>
          <w:color w:val="000000" w:themeColor="text1"/>
          <w:lang w:val="ru-RU"/>
        </w:rPr>
        <w:softHyphen/>
        <w:t>должавшихся до 24 марта, было произведено 209 выстрелов, из них 135 усиленным зарядом.</w:t>
      </w:r>
    </w:p>
    <w:p w14:paraId="2A865CFB" w14:textId="77777777" w:rsidR="00282955" w:rsidRPr="00070ADE" w:rsidRDefault="00282955" w:rsidP="00B56F90">
      <w:pPr>
        <w:pStyle w:val="a3"/>
        <w:rPr>
          <w:color w:val="000000" w:themeColor="text1"/>
          <w:lang w:val="ru-RU"/>
        </w:rPr>
      </w:pPr>
      <w:r w:rsidRPr="00070ADE">
        <w:rPr>
          <w:color w:val="000000" w:themeColor="text1"/>
          <w:lang w:val="ru-RU"/>
        </w:rPr>
        <w:t>В ходе стрельбы под углом 30 градусов выяснилось, что во время про</w:t>
      </w:r>
      <w:r w:rsidRPr="00070ADE">
        <w:rPr>
          <w:color w:val="000000" w:themeColor="text1"/>
          <w:lang w:val="ru-RU"/>
        </w:rPr>
        <w:softHyphen/>
        <w:t>ведения выстрела С-51 отходит на 1000 — 1300 мм, а накат вперед состав</w:t>
      </w:r>
      <w:r w:rsidRPr="00070ADE">
        <w:rPr>
          <w:color w:val="000000" w:themeColor="text1"/>
          <w:lang w:val="ru-RU"/>
        </w:rPr>
        <w:softHyphen/>
        <w:t>лял 200 мм. При стрельбе носовая часть самоходной установки поднима</w:t>
      </w:r>
      <w:r w:rsidRPr="00070ADE">
        <w:rPr>
          <w:color w:val="000000" w:themeColor="text1"/>
          <w:lang w:val="ru-RU"/>
        </w:rPr>
        <w:softHyphen/>
        <w:t>лась вверх на величину от 250 до 450 мм, в то время как корма приседала на 200—300 мм. Одновременно отмечалось, что величина прыжка право</w:t>
      </w:r>
      <w:r w:rsidRPr="00070ADE">
        <w:rPr>
          <w:color w:val="000000" w:themeColor="text1"/>
          <w:lang w:val="ru-RU"/>
        </w:rPr>
        <w:softHyphen/>
        <w:t>го борта была на 100 мм выше, чем левого. При стрельбе на угол 45</w:t>
      </w:r>
      <w:r w:rsidRPr="00070ADE">
        <w:rPr>
          <w:rStyle w:val="BodytextConstantia"/>
          <w:rFonts w:ascii="Times New Roman" w:hAnsi="Times New Roman" w:cs="Times New Roman"/>
          <w:b w:val="0"/>
          <w:color w:val="000000" w:themeColor="text1"/>
          <w:sz w:val="16"/>
          <w:szCs w:val="16"/>
          <w:lang w:val="ru-RU"/>
        </w:rPr>
        <w:t>гра</w:t>
      </w:r>
      <w:r w:rsidRPr="00070ADE">
        <w:rPr>
          <w:color w:val="000000" w:themeColor="text1"/>
          <w:lang w:val="ru-RU"/>
        </w:rPr>
        <w:t>дусов отход самохода достигал 750—1000 мм, а накат 330 мм, носоваячасть поднималась на 100—180 мм, а кормовая приседала на 120—140 мм. Стрельба на угле 57 градусов выявила отход 400—750 мм, накат 300 мм, подъем носовой части на 60—150 мм, а оседание кормовой части на 50— 100 мм. Таким образом, устойчивость С-51 признали неудовлетвори</w:t>
      </w:r>
      <w:r w:rsidRPr="00070ADE">
        <w:rPr>
          <w:color w:val="000000" w:themeColor="text1"/>
          <w:lang w:val="ru-RU"/>
        </w:rPr>
        <w:softHyphen/>
        <w:t>тельной, кроме того, отмечалась высокая сбиваемость прицела.</w:t>
      </w:r>
    </w:p>
    <w:p w14:paraId="7FA9DA41" w14:textId="77777777" w:rsidR="00282955" w:rsidRPr="00070ADE" w:rsidRDefault="00282955" w:rsidP="00B56F90">
      <w:pPr>
        <w:pStyle w:val="a3"/>
        <w:rPr>
          <w:color w:val="000000" w:themeColor="text1"/>
          <w:lang w:val="ru-RU"/>
        </w:rPr>
      </w:pPr>
      <w:r w:rsidRPr="00070ADE">
        <w:rPr>
          <w:color w:val="000000" w:themeColor="text1"/>
          <w:lang w:val="ru-RU"/>
        </w:rPr>
        <w:t>Стрельба на прочность (100 выстрелов усиленным зарядом) про</w:t>
      </w:r>
      <w:r w:rsidRPr="00070ADE">
        <w:rPr>
          <w:color w:val="000000" w:themeColor="text1"/>
          <w:lang w:val="ru-RU"/>
        </w:rPr>
        <w:softHyphen/>
        <w:t>блем не выявила, повреждений осмотром не обнаружилось. Испыта</w:t>
      </w:r>
      <w:r w:rsidRPr="00070ADE">
        <w:rPr>
          <w:color w:val="000000" w:themeColor="text1"/>
          <w:lang w:val="ru-RU"/>
        </w:rPr>
        <w:softHyphen/>
        <w:t>ния на скорострельность, в которых принимало участие 7 человек рас</w:t>
      </w:r>
      <w:r w:rsidRPr="00070ADE">
        <w:rPr>
          <w:color w:val="000000" w:themeColor="text1"/>
          <w:lang w:val="ru-RU"/>
        </w:rPr>
        <w:softHyphen/>
        <w:t>чета, выявила среднюю цифру, равную 1 выстрелу в 1,5 минуты.</w:t>
      </w:r>
    </w:p>
    <w:p w14:paraId="3226DDFC" w14:textId="77777777" w:rsidR="00282955" w:rsidRPr="00070ADE" w:rsidRDefault="00282955" w:rsidP="00B56F90">
      <w:pPr>
        <w:pStyle w:val="a3"/>
        <w:rPr>
          <w:color w:val="000000" w:themeColor="text1"/>
          <w:lang w:val="ru-RU"/>
        </w:rPr>
      </w:pPr>
      <w:r w:rsidRPr="00070ADE">
        <w:rPr>
          <w:color w:val="000000" w:themeColor="text1"/>
          <w:lang w:val="ru-RU"/>
        </w:rPr>
        <w:t>Испытания пробегом проводились с 25 марта по 4 апреля. Само</w:t>
      </w:r>
      <w:r w:rsidRPr="00070ADE">
        <w:rPr>
          <w:color w:val="000000" w:themeColor="text1"/>
          <w:lang w:val="ru-RU"/>
        </w:rPr>
        <w:softHyphen/>
        <w:t>ходную установку проверяли в различных дорожных условиях, глуби</w:t>
      </w:r>
      <w:r w:rsidRPr="00070ADE">
        <w:rPr>
          <w:color w:val="000000" w:themeColor="text1"/>
          <w:lang w:val="ru-RU"/>
        </w:rPr>
        <w:softHyphen/>
        <w:t>на снежного покрова при этом достигала 200 мм. В общей сложности С-51 прошла 524 километра, из них 16 по булыжной мостовой и 40 по бездорожью. Основной объем ходовых испытаний пришелся на ас</w:t>
      </w:r>
      <w:r w:rsidRPr="00070ADE">
        <w:rPr>
          <w:color w:val="000000" w:themeColor="text1"/>
          <w:lang w:val="ru-RU"/>
        </w:rPr>
        <w:softHyphen/>
        <w:t>фальтированное шоссе, поскольку требовались поездки на завод № 112. В ходе ходовых испытаний на шоссе была достигнута максимальная скорость 32 км/ч, а по бездорожью 22 км/ч. Специальных испыта</w:t>
      </w:r>
      <w:r w:rsidRPr="00070ADE">
        <w:rPr>
          <w:color w:val="000000" w:themeColor="text1"/>
          <w:lang w:val="ru-RU"/>
        </w:rPr>
        <w:softHyphen/>
        <w:t>ний не проводилось, поскольку имелись различные поломки ходовой части. На 240-м километре вышли их строя правый бортовой фрикци</w:t>
      </w:r>
      <w:r w:rsidRPr="00070ADE">
        <w:rPr>
          <w:color w:val="000000" w:themeColor="text1"/>
          <w:lang w:val="ru-RU"/>
        </w:rPr>
        <w:softHyphen/>
        <w:t>он и тормозная лента, еще раз правый фрикцион дал о себе знать на 360-м километре. Несколько раз имели место проблемы с гусеничны</w:t>
      </w:r>
      <w:r w:rsidRPr="00070ADE">
        <w:rPr>
          <w:color w:val="000000" w:themeColor="text1"/>
          <w:lang w:val="ru-RU"/>
        </w:rPr>
        <w:softHyphen/>
        <w:t>ми лентами, срезало болты на крышках катков. Вместе с тем с двига</w:t>
      </w:r>
      <w:r w:rsidRPr="00070ADE">
        <w:rPr>
          <w:color w:val="000000" w:themeColor="text1"/>
          <w:lang w:val="ru-RU"/>
        </w:rPr>
        <w:softHyphen/>
        <w:t>телем и торсионами проблем не возникало, что лишний раз подтверж</w:t>
      </w:r>
      <w:r w:rsidRPr="00070ADE">
        <w:rPr>
          <w:color w:val="000000" w:themeColor="text1"/>
          <w:lang w:val="ru-RU"/>
        </w:rPr>
        <w:softHyphen/>
        <w:t>дало прочность ходовой части после программы огневых испытаний.</w:t>
      </w:r>
    </w:p>
    <w:p w14:paraId="181ED574" w14:textId="77777777" w:rsidR="00282955" w:rsidRPr="00070ADE" w:rsidRDefault="00282955" w:rsidP="00B56F90">
      <w:pPr>
        <w:pStyle w:val="a3"/>
        <w:rPr>
          <w:color w:val="000000" w:themeColor="text1"/>
          <w:lang w:val="ru-RU"/>
        </w:rPr>
      </w:pPr>
      <w:r w:rsidRPr="00070ADE">
        <w:rPr>
          <w:color w:val="000000" w:themeColor="text1"/>
          <w:lang w:val="ru-RU"/>
        </w:rPr>
        <w:t>Завершились испытания 6 апреля, а 9-го числа комиссия АНИОП дала заключение по их результатам:</w:t>
      </w:r>
    </w:p>
    <w:p w14:paraId="71EF92DD"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«1. Самоходная гаубица «С-51» в основном испытания выдержала, так как:</w:t>
      </w:r>
    </w:p>
    <w:p w14:paraId="0EE20C51" w14:textId="77777777" w:rsidR="00282955" w:rsidRPr="00070ADE" w:rsidRDefault="00282955" w:rsidP="00B56F90">
      <w:pPr>
        <w:pStyle w:val="Bodytext141"/>
        <w:shd w:val="clear" w:color="auto" w:fill="auto"/>
        <w:tabs>
          <w:tab w:val="left" w:pos="905"/>
        </w:tabs>
        <w:spacing w:line="240" w:lineRule="auto"/>
        <w:ind w:firstLine="0"/>
        <w:jc w:val="both"/>
        <w:rPr>
          <w:i w:val="0"/>
          <w:color w:val="000000" w:themeColor="text1"/>
          <w:sz w:val="16"/>
          <w:szCs w:val="16"/>
        </w:rPr>
      </w:pPr>
      <w:r w:rsidRPr="00070ADE">
        <w:rPr>
          <w:i w:val="0"/>
          <w:color w:val="000000" w:themeColor="text1"/>
          <w:sz w:val="16"/>
          <w:szCs w:val="16"/>
        </w:rPr>
        <w:t>а) работа и прочность агрегатов и механизмов орудия — удовлет</w:t>
      </w:r>
      <w:r w:rsidRPr="00070ADE">
        <w:rPr>
          <w:i w:val="0"/>
          <w:color w:val="000000" w:themeColor="text1"/>
          <w:sz w:val="16"/>
          <w:szCs w:val="16"/>
        </w:rPr>
        <w:softHyphen/>
        <w:t>ворительные.</w:t>
      </w:r>
    </w:p>
    <w:p w14:paraId="10FF45C9" w14:textId="77777777" w:rsidR="00282955" w:rsidRPr="00070ADE" w:rsidRDefault="00282955" w:rsidP="00B56F90">
      <w:pPr>
        <w:pStyle w:val="Bodytext141"/>
        <w:shd w:val="clear" w:color="auto" w:fill="auto"/>
        <w:tabs>
          <w:tab w:val="left" w:pos="900"/>
        </w:tabs>
        <w:spacing w:line="240" w:lineRule="auto"/>
        <w:ind w:firstLine="0"/>
        <w:jc w:val="both"/>
        <w:rPr>
          <w:i w:val="0"/>
          <w:color w:val="000000" w:themeColor="text1"/>
          <w:sz w:val="16"/>
          <w:szCs w:val="16"/>
        </w:rPr>
      </w:pPr>
      <w:r w:rsidRPr="00070ADE">
        <w:rPr>
          <w:i w:val="0"/>
          <w:color w:val="000000" w:themeColor="text1"/>
          <w:sz w:val="16"/>
          <w:szCs w:val="16"/>
        </w:rPr>
        <w:t>б) прочность установочных частей орудия — достаточная.</w:t>
      </w:r>
    </w:p>
    <w:p w14:paraId="2C24F900" w14:textId="77777777" w:rsidR="00282955" w:rsidRPr="00070ADE" w:rsidRDefault="00282955" w:rsidP="00B56F90">
      <w:pPr>
        <w:pStyle w:val="Bodytext141"/>
        <w:shd w:val="clear" w:color="auto" w:fill="auto"/>
        <w:tabs>
          <w:tab w:val="left" w:pos="866"/>
        </w:tabs>
        <w:spacing w:line="240" w:lineRule="auto"/>
        <w:ind w:firstLine="0"/>
        <w:jc w:val="both"/>
        <w:rPr>
          <w:i w:val="0"/>
          <w:color w:val="000000" w:themeColor="text1"/>
          <w:sz w:val="16"/>
          <w:szCs w:val="16"/>
        </w:rPr>
      </w:pPr>
      <w:r w:rsidRPr="00070ADE">
        <w:rPr>
          <w:i w:val="0"/>
          <w:color w:val="000000" w:themeColor="text1"/>
          <w:sz w:val="16"/>
          <w:szCs w:val="16"/>
        </w:rPr>
        <w:t>в) работа и прочность агрегатов и механизмов самохода — удовлет</w:t>
      </w:r>
      <w:r w:rsidRPr="00070ADE">
        <w:rPr>
          <w:i w:val="0"/>
          <w:color w:val="000000" w:themeColor="text1"/>
          <w:sz w:val="16"/>
          <w:szCs w:val="16"/>
        </w:rPr>
        <w:softHyphen/>
        <w:t>ворительная, за исключением трансмиссионной группы, которая во время испытаний имела ряд дефектов, вызванных общим пло</w:t>
      </w:r>
      <w:r w:rsidRPr="00070ADE">
        <w:rPr>
          <w:i w:val="0"/>
          <w:color w:val="000000" w:themeColor="text1"/>
          <w:sz w:val="16"/>
          <w:szCs w:val="16"/>
        </w:rPr>
        <w:softHyphen/>
        <w:t>хим техническим состоянием ее до испытаний и изношенностью деталей.</w:t>
      </w:r>
    </w:p>
    <w:p w14:paraId="21714BB2"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2. Существенными недостатками самоходной гаубицы «С-51» при</w:t>
      </w:r>
    </w:p>
    <w:p w14:paraId="1271A536"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стрельбе являются:</w:t>
      </w:r>
    </w:p>
    <w:p w14:paraId="2CDBCF47" w14:textId="77777777" w:rsidR="00282955" w:rsidRPr="00070ADE" w:rsidRDefault="00282955" w:rsidP="00B56F90">
      <w:pPr>
        <w:pStyle w:val="Bodytext141"/>
        <w:shd w:val="clear" w:color="auto" w:fill="auto"/>
        <w:tabs>
          <w:tab w:val="left" w:pos="905"/>
        </w:tabs>
        <w:spacing w:line="240" w:lineRule="auto"/>
        <w:ind w:firstLine="0"/>
        <w:jc w:val="both"/>
        <w:rPr>
          <w:i w:val="0"/>
          <w:color w:val="000000" w:themeColor="text1"/>
          <w:sz w:val="16"/>
          <w:szCs w:val="16"/>
        </w:rPr>
      </w:pPr>
      <w:r w:rsidRPr="00070ADE">
        <w:rPr>
          <w:i w:val="0"/>
          <w:color w:val="000000" w:themeColor="text1"/>
          <w:sz w:val="16"/>
          <w:szCs w:val="16"/>
        </w:rPr>
        <w:t>а) большой отход назад и сбиваемость наводки, особенно при малых углах возвышения, вследствие неудовлетворительной устойчиво</w:t>
      </w:r>
      <w:r w:rsidRPr="00070ADE">
        <w:rPr>
          <w:i w:val="0"/>
          <w:color w:val="000000" w:themeColor="text1"/>
          <w:sz w:val="16"/>
          <w:szCs w:val="16"/>
        </w:rPr>
        <w:softHyphen/>
        <w:t>сти самохода при выстреле.</w:t>
      </w:r>
    </w:p>
    <w:p w14:paraId="07AB9549" w14:textId="77777777" w:rsidR="00282955" w:rsidRPr="00070ADE" w:rsidRDefault="0028295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Большое боковое рассеивание снарядов вследствие бокового сме</w:t>
      </w:r>
      <w:r w:rsidRPr="00070ADE">
        <w:rPr>
          <w:rFonts w:ascii="Times New Roman" w:hAnsi="Times New Roman"/>
          <w:color w:val="000000" w:themeColor="text1"/>
          <w:sz w:val="16"/>
          <w:szCs w:val="16"/>
        </w:rPr>
        <w:softHyphen/>
        <w:t>щения орудия при выстреле.</w:t>
      </w:r>
    </w:p>
    <w:p w14:paraId="5C8AD7BA"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Данные недостатки возможно устранить путем постановки сошни</w:t>
      </w:r>
      <w:r w:rsidRPr="00070ADE">
        <w:rPr>
          <w:i w:val="0"/>
          <w:color w:val="000000" w:themeColor="text1"/>
          <w:sz w:val="16"/>
          <w:szCs w:val="16"/>
        </w:rPr>
        <w:softHyphen/>
        <w:t>ков в задней части корпуса самохода, как это было применено на 203-мм самоходной установке «СУ-14» конструкции и изготовления Кировского завода, проходившей испытания на НИАПе в 1936 году.</w:t>
      </w:r>
    </w:p>
    <w:p w14:paraId="5582DBFA"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Учитывая, что гаубица в основном будет вести стрельбу при больших углах возвышения, при которых отход назад и сбиваемость наводки менее значительны, для устранения отхода самохода при сравнительно редких и эпизодических стрельбах под малыми углами возвышения можно реко</w:t>
      </w:r>
      <w:r w:rsidRPr="00070ADE">
        <w:rPr>
          <w:i w:val="0"/>
          <w:color w:val="000000" w:themeColor="text1"/>
          <w:sz w:val="16"/>
          <w:szCs w:val="16"/>
        </w:rPr>
        <w:softHyphen/>
        <w:t>мендовать подкладывать сзади под гусеницы деревянные брусья из подруч</w:t>
      </w:r>
      <w:r w:rsidRPr="00070ADE">
        <w:rPr>
          <w:i w:val="0"/>
          <w:color w:val="000000" w:themeColor="text1"/>
          <w:sz w:val="16"/>
          <w:szCs w:val="16"/>
        </w:rPr>
        <w:softHyphen/>
        <w:t>ного материала.</w:t>
      </w:r>
    </w:p>
    <w:p w14:paraId="183DE4C2"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3. АНИОП считает, что 203 мм самоходная гаубица «С-51 по срав</w:t>
      </w:r>
      <w:r w:rsidRPr="00070ADE">
        <w:rPr>
          <w:i w:val="0"/>
          <w:color w:val="000000" w:themeColor="text1"/>
          <w:sz w:val="16"/>
          <w:szCs w:val="16"/>
        </w:rPr>
        <w:softHyphen/>
        <w:t>нению с 203-мм гаубицей «Б-4» обладает большей маневренностью движения и огня при сохранении своего огневого могущества и по устранении недостатков, выявленных при испытании и отмеченных в настоящем отчете, может быть рекомендована на вооружение Красной Армии» (17484).</w:t>
      </w:r>
    </w:p>
    <w:p w14:paraId="197D9F46" w14:textId="77777777" w:rsidR="00282955" w:rsidRPr="00070ADE" w:rsidRDefault="00282955" w:rsidP="00B56F90">
      <w:pPr>
        <w:spacing w:after="0" w:line="240" w:lineRule="auto"/>
        <w:jc w:val="both"/>
        <w:rPr>
          <w:rFonts w:ascii="Times New Roman" w:hAnsi="Times New Roman"/>
          <w:color w:val="000000" w:themeColor="text1"/>
          <w:sz w:val="16"/>
          <w:szCs w:val="16"/>
        </w:rPr>
      </w:pPr>
    </w:p>
    <w:p w14:paraId="03540E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марта 1944 вышло Распоряжение ГКО № 5408. О мобилизации дополнительно 4,1 тыс. чел. на торфоразработки на Украине до 15 ноября 1944 г. РГАНИР, Фонд ГКО, д. 219, лл. 66 (11012).</w:t>
      </w:r>
    </w:p>
    <w:p w14:paraId="4AAEEFB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42E1B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марта 1944 вышло Распоряжение ГКО № 5409. О мерах по обеспечению кооперированных поставок бронекорпусов СУ-76 заводу № 40 с заводов № 176 и 177. РГАНИР, Фонд ГКО, д. 219, лл. 67,68 (11012).</w:t>
      </w:r>
    </w:p>
    <w:p w14:paraId="67EBFD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359B28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марта 1944 вышло Распоряжение ГКО № 5410 О плане ремонта автомобилей и моторов на 1944 г. (7199, 69,70).</w:t>
      </w:r>
    </w:p>
    <w:p w14:paraId="0323987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9D3E3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366878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EF69D7"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16 марта</w:t>
      </w:r>
      <w:r w:rsidRPr="00070ADE">
        <w:rPr>
          <w:rFonts w:ascii="Times New Roman" w:hAnsi="Times New Roman"/>
          <w:color w:val="000000" w:themeColor="text1"/>
          <w:sz w:val="16"/>
          <w:szCs w:val="16"/>
        </w:rPr>
        <w:t xml:space="preserve"> в 1944 году оперативная сводка Совинформбюро:</w:t>
      </w:r>
    </w:p>
    <w:p w14:paraId="5BBC470D"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16 марта на Проскуровском направлении наши войска успешно отбили контратаки пехоты и танков противника и нанесли ему большие потери в живой силеи технике.</w:t>
      </w:r>
    </w:p>
    <w:p w14:paraId="60FEB7C7"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Винницком направлении наши войска, продолжая наступление, овладели районными центрами Винницкой области городом Немиров, Тывров, а также с боями заняли более 40 других населённых пунктов, в том числе крупные населённые пункты Сальник, Медведка, Сосонка, Стадница, Тяжилов, Витава, Ворошиловка, Сутиски,Лука Немировская, Стрельчинцы, Каролина и железнодорожные станции Тюшки, Гнивань.</w:t>
      </w:r>
    </w:p>
    <w:p w14:paraId="26DD4960"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Войска 2-го Украинского фронта, развивая наступление, в результате стремительной атаки танковых соединений и пехоты овладели крупным железнодорожным узлом и городом Вапнярка, перерезав, таким образом, важнейшую железнодорожную магистраль Жмеринка-Одесса, районным центром Винницкой области городом Тульчин, а также заняли более 30 других населённых пунктов, в том числе крупные населённые пункты Должек, Гриненки, Крищинцы, Войтовка, Липовка, Слободашарапановка, Соколовка, Гербино.</w:t>
      </w:r>
    </w:p>
    <w:p w14:paraId="1254B9ED"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занятии станции Вапнярка войсками 2-го Украинского фронта захвачены трофеи: паровозов — 12, вагонов — 500, эшелонов с военным имуществом — 2, автомашин — 1.300, большие артиллерийские склады и много другого военного имущества, подсчёт которого продолжается.</w:t>
      </w:r>
    </w:p>
    <w:p w14:paraId="576D689A"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Кировоград наши войска, продолжая развивать наступление, овладели районными центрами Кировоградской области городом Бобринец, Ровное и с боями заняли более 60 других населённых пунктов, среди которых крупные населённые пункты Андреевка, Липняжка, Глодосы, Евдокимовка, Шутенька, Карказелевка, Григоровка, Алексеевка, Солонцеватка.</w:t>
      </w:r>
    </w:p>
    <w:p w14:paraId="1B52BBEE"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Николаевском направлении наши войска продолжали вести наступательные бои, в ходе которых овладели районным центром Николаевской области Новая Одесса, а также с боями заняли более 40 других населённых пунктов, в том числе крупные населённые пункты Михайловка, Троицкое, Христофоровка, Балацкое, Ново-Данциг, Добрая Криница и железнодорожные станции Лоцкино, Грейгово. В районе Березнеговатое-Снигирёвка наши войска полностью ликвидировали остатки окружённой группировки противника. Захвачено большое количество трофеев и много пленных.</w:t>
      </w:r>
    </w:p>
    <w:p w14:paraId="50006716"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в ряде пунктов шли бои местного значения.</w:t>
      </w:r>
    </w:p>
    <w:p w14:paraId="3A7F97BA"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15 марта наши войска на всех фронтах подбили и уничтожили 43 немецких танка. В воздушных боях и огнём зенитной артиллерии сбито 42 самолёта противника.</w:t>
      </w:r>
    </w:p>
    <w:p w14:paraId="4BEC8127"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Проскуровском направлении наши войска успешно отбили контратаки крупных сил пехоты и танков противника. Немцы стремились любой ценой оттеснить наши войска от Проскурова. Особенно ожесточённые бои сегодня происходили к северо-востоку от города. В ходе этих боёв немцы понесли тяжёлые потери. Советские артиллеристы и бронебойщики сожгли и подбили 27 немецких танков и 6 самоходных орудий.</w:t>
      </w:r>
    </w:p>
    <w:p w14:paraId="4B23930E"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Винницком направлении наши войска продолжали наступление. Части Н-ского соединения, преодолев сопротивление противника, заняли важный узел шоссейных и грунтовых дорог — город Немиров. С боями продвигаясь вперёд, наши подвижные части вышли к Южному Бугу северо-западнее и южнее города Винницы. На подступах к городу с востока под ударами советских войск противник теряет одну позицию за другой. В населённом пункте Тяжилов, находящемся в двух-трёх километрах от города Винницы, уничтожено до двух батальонов гитлеровцев. Захвачено у немцев 4 самоходных и 16 полевых орудий, 69 пулемётов, большой склад с продовольствием и другие трофеи.</w:t>
      </w:r>
    </w:p>
    <w:p w14:paraId="2ECD4A6B"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продолжали успешное наступление. Советские танки и пехота стремительной атакой овладели городом и крупным железнодорожным узлом Вапнярка и тем самым перерезали важнейшую коммуникацию противника железную дорогу Жмеринка-Одесса. Поспешно отступая, гитлеровцы бросили много вооружения и военных материалов. Нашими войсками занят также районный центр Винницкой области город Тульчин и более 30 других населённых пунктов. Попытки противника задержать наступающие советские части не имели никакого успеха и были отбиты с большими для немцев потерями.</w:t>
      </w:r>
    </w:p>
    <w:p w14:paraId="14ACA58B"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Николаевском направлении наши войска с боями овладели районным центром Николаевской области Новая Одесса, населёнными пунктами Михайловка, Троицкое и вышли к реке Южный Буг. Части другого нашего соединения, овладев железнодорожной станцией Лоцкино, захватили несколько танков, 17 орудий, 100 автомашин, 2 склада с боеприпасами и 4 склада с зерном. В районе Березнеговатое-Снигирёвка полностью ликвидированы остатки окружённой группировки противника. Большая колонна немецкой пехоты ночью предприняла отчаянную попытку вырваться из «котла». Советские танкисты врезались во вражескую колонну и огнём и гусеницами уничтожали гитлеровцев. Видя безнадёжность своего положения, сотни немцев сложили оружие и сдались в плен. В районе населённых пунктов Краснополье и Манчжурия наши войска уничтожили другую группу немцев и захватили большие трофеи.</w:t>
      </w:r>
    </w:p>
    <w:p w14:paraId="3E578197"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Баренцовом море потоплен транспорт водоизмещением в 7 тысяч тонн, четыре шхуны, пять дрифтерботов (моторные рыболовные суда), два мотобота и три сторожевых катера противника.</w:t>
      </w:r>
    </w:p>
    <w:p w14:paraId="3E134B42"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Партизанские отряды, действующие в Витебской области, разгромили немецкие гарнизоны в трёх населённых пунктах. Партизаны убили и ранили свыше 200 гитлеровцев и взорвали 6 военных складов противника. В середине февраля немцы угнали на каторгу всё работоспособное население из одной деревни, находящейся около города Полоцка. Стариков и детей фашистские изверги заперли в сарай и сожгли живьём. Такая же участь ожидала детей в деревне Бельчица, расположенной в трёх километрах южнее Полоцка. Узнав о злодейском замысле немецко-фашистских мерзавцев, партизаны ворвались в деревню и освободили 145 запертых в сараях детей в возрасте от двух до одиннадцати лет. В настоящее время дети находятся в безопасном месте под защитой партизан.» (15070).</w:t>
      </w:r>
    </w:p>
    <w:p w14:paraId="053AEECF" w14:textId="77777777" w:rsidR="00FA2B3C" w:rsidRPr="00070ADE" w:rsidRDefault="00FA2B3C" w:rsidP="00B56F90">
      <w:pPr>
        <w:spacing w:after="0" w:line="240" w:lineRule="auto"/>
        <w:jc w:val="both"/>
        <w:rPr>
          <w:rFonts w:ascii="Times New Roman" w:hAnsi="Times New Roman"/>
          <w:color w:val="000000" w:themeColor="text1"/>
          <w:sz w:val="16"/>
          <w:szCs w:val="16"/>
        </w:rPr>
      </w:pPr>
    </w:p>
    <w:p w14:paraId="40E827C8"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16 марта</w:t>
      </w:r>
      <w:r w:rsidRPr="00070ADE">
        <w:rPr>
          <w:rFonts w:ascii="Times New Roman" w:hAnsi="Times New Roman"/>
          <w:color w:val="000000" w:themeColor="text1"/>
          <w:sz w:val="16"/>
          <w:szCs w:val="16"/>
        </w:rPr>
        <w:t xml:space="preserve"> в 1944 году латвийский легион СС принял «боевое крещение» в сражении с советскими войсками под Великими Луками, на реке Великая в районе Опочки. Была проведена первая совместная операция двух дивизий латышского добровольческого легиона СС (15070).</w:t>
      </w:r>
    </w:p>
    <w:p w14:paraId="254B006B" w14:textId="77777777" w:rsidR="00FA2B3C" w:rsidRPr="00070ADE" w:rsidRDefault="00FA2B3C" w:rsidP="00B56F90">
      <w:pPr>
        <w:spacing w:after="0" w:line="240" w:lineRule="auto"/>
        <w:jc w:val="both"/>
        <w:rPr>
          <w:rFonts w:ascii="Times New Roman" w:hAnsi="Times New Roman"/>
          <w:color w:val="000000" w:themeColor="text1"/>
          <w:sz w:val="16"/>
          <w:szCs w:val="16"/>
        </w:rPr>
      </w:pPr>
    </w:p>
    <w:p w14:paraId="495BDD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марта 1944 в ходе Проскуровско-Черновицкой наступательной операции "Тигры" открыв огонь из засады, подбили четыре ИСа-1 1-й ГвТТПП (командир - подполковник Н.И. Буланов), два из которых сгорели вместе с экипажами..В результате этих боев появилось заключение ГБТУ о несоответствии вооружения ИС-85 и его бронирования аналогичным показателям немецких тяжелых танков. В нем рекомендовалось изменить форму и бронирование лобовой части корпуса и усилить вооружение танков ИС. (3862).</w:t>
      </w:r>
    </w:p>
    <w:p w14:paraId="64577A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FC9EFE" w14:textId="77777777" w:rsidR="00D96E9F" w:rsidRPr="00070ADE" w:rsidRDefault="00D96E9F"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186C2BC6" w14:textId="77777777" w:rsidR="00D96E9F" w:rsidRPr="00070ADE" w:rsidRDefault="00D96E9F"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D818EF" w14:textId="77777777" w:rsidR="00D96E9F" w:rsidRPr="00070ADE" w:rsidRDefault="00D96E9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марта 1944. СНК СССР принял постановление "Об организации магазинов и ресторанов в г. Москве для обслуживания работников науки, техники, искусства и литературы, а также высшего офицерского состава Красной Армии" (18692).</w:t>
      </w:r>
    </w:p>
    <w:p w14:paraId="65413FAB" w14:textId="77777777" w:rsidR="00D96E9F" w:rsidRPr="00070ADE" w:rsidRDefault="00D96E9F" w:rsidP="00B56F90">
      <w:pPr>
        <w:spacing w:after="0" w:line="240" w:lineRule="auto"/>
        <w:jc w:val="both"/>
        <w:rPr>
          <w:rFonts w:ascii="Times New Roman" w:hAnsi="Times New Roman"/>
          <w:color w:val="000000" w:themeColor="text1"/>
          <w:sz w:val="16"/>
          <w:szCs w:val="16"/>
        </w:rPr>
      </w:pPr>
    </w:p>
    <w:p w14:paraId="133481D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60655B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70AA3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марта 1944 года</w:t>
      </w:r>
    </w:p>
    <w:p w14:paraId="1C3F60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СЕКРЕТНО И ЛИЧНО ОТ ПРЕМЬЕРА И. В. СТАЛИНА ПРЕМЬЕР-МИНИСТРУ г-ну У. ЧЕРЧИЛЛЮ</w:t>
      </w:r>
    </w:p>
    <w:p w14:paraId="465917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Ваше послание по польскому вопросу от 7 марта получил от г. Керра 12 марта.</w:t>
      </w:r>
    </w:p>
    <w:p w14:paraId="62D742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Благодарю Вас за разъяснения, которые Вы сделали в этом послании.</w:t>
      </w:r>
    </w:p>
    <w:p w14:paraId="772748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то, что наша переписка считается секретной и личной, с некоторого времени содержание моих посланий на Ваше имя стало появляться в английской печати, и притом с большими извращениями, которые я не имею возможности опровергнуть. Я считаю это нарушением секретности. Это обстоятельство затрудняет мне возможность свободно высказывать свое мнение. Надеюсь, что Вы меня поняли (7430).</w:t>
      </w:r>
    </w:p>
    <w:p w14:paraId="390C0D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786FA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0D60C2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F23B0C" w14:textId="77777777" w:rsidR="00490368" w:rsidRPr="00070ADE" w:rsidRDefault="0049036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16-17 марта (ночь) 1944 130 британских бомбардировщиков без потерь атаковали железнодорожные станции Амьена (20373).</w:t>
      </w:r>
    </w:p>
    <w:p w14:paraId="64D00636" w14:textId="77777777" w:rsidR="00490368" w:rsidRPr="00070ADE" w:rsidRDefault="00490368" w:rsidP="00B56F90">
      <w:pPr>
        <w:spacing w:after="0" w:line="240" w:lineRule="auto"/>
        <w:jc w:val="both"/>
        <w:rPr>
          <w:rFonts w:ascii="Times New Roman" w:hAnsi="Times New Roman"/>
          <w:color w:val="000000" w:themeColor="text1"/>
          <w:sz w:val="16"/>
          <w:szCs w:val="16"/>
        </w:rPr>
      </w:pPr>
    </w:p>
    <w:p w14:paraId="1B8B3111" w14:textId="77777777" w:rsidR="00490368" w:rsidRPr="00070ADE" w:rsidRDefault="0049036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16-17 марта (ночь) 1944 22 британских Ланкастера, в основном из 617-й эскадрильи, совершают успешную высокоточную атаку на шинный завод Michelin в Клермон-Ферране, Франция (20373).</w:t>
      </w:r>
    </w:p>
    <w:p w14:paraId="45E61EC9" w14:textId="77777777" w:rsidR="00490368" w:rsidRPr="00070ADE" w:rsidRDefault="00490368" w:rsidP="00B56F90">
      <w:pPr>
        <w:spacing w:after="0" w:line="240" w:lineRule="auto"/>
        <w:jc w:val="both"/>
        <w:rPr>
          <w:rFonts w:ascii="Times New Roman" w:hAnsi="Times New Roman"/>
          <w:color w:val="000000" w:themeColor="text1"/>
          <w:sz w:val="16"/>
          <w:szCs w:val="16"/>
        </w:rPr>
      </w:pPr>
    </w:p>
    <w:p w14:paraId="5419FC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16 марта 1944 возобновились бомбардировки Болгарии англичанами По том бомбили 17, 18, 19, 24, 29 и максимума достигли 30 марта (2885,48).</w:t>
      </w:r>
    </w:p>
    <w:p w14:paraId="04026D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1C80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March 16th, 1944: On the Italian front, repeated attempts by the British 8th Army (Alexander) to break through the Gustav Line at Cassino fail. In the North Atlantic, two U-boat wolf packs, code-named Raubgraf and Sturmer, attack Convoys HX229 and SC122, and over a period of four days and nights sink 21 ships (141,000 tons total), for the loss of one U-boat, U-384 (Oblt. von Rosenberg-Gruszinski) (3819).</w:t>
      </w:r>
    </w:p>
    <w:p w14:paraId="1C7F5B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CF88E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марта 1944 возобновились попытки британской 8А (Александр) прорваться через линию Густава у Кассино. В северной Атлантике 4 группы подлодок Раубграф и Штюрмер атаковали конвой HX229 и SC122 и за 4 дня и ночи потопили 21 судно (141 тыс. т) при потере одной лодки У-384 (Розенберг-Грусинский) (3919).</w:t>
      </w:r>
    </w:p>
    <w:p w14:paraId="4687D6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4A30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lang w:val="en-US"/>
        </w:rPr>
        <w:t xml:space="preserve">March 16, 1944. NACA proposes that a jet-propelled transonic research airplane be developed. </w:t>
      </w:r>
      <w:r w:rsidRPr="00070ADE">
        <w:rPr>
          <w:rFonts w:ascii="Times New Roman" w:hAnsi="Times New Roman"/>
          <w:color w:val="000000" w:themeColor="text1"/>
          <w:sz w:val="16"/>
          <w:szCs w:val="16"/>
        </w:rPr>
        <w:t>This ultimately leads to the Bell X-1 (1089).</w:t>
      </w:r>
    </w:p>
    <w:p w14:paraId="0D42E1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7BA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марта 1944 НАСА предложила разработать сверхзвуковой реактивный истребитель и на основе этого предложения затем появился Bell X-1 (1089).</w:t>
      </w:r>
    </w:p>
    <w:p w14:paraId="5E46C1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7573C" w14:textId="77C2D882" w:rsidR="00490368" w:rsidRPr="00070ADE" w:rsidRDefault="0049036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16 марта 1945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Со стартовой позиции в Ренардире на полуострове Сен-Мандрьер, вблизи военно-морской базы Тулон (Лазурный берег Средиземного моря, Франция) произведен пуск французской баллистической ракеты «EA-1941», работающей на жидком топливе. Пуск завершился аварией. Не открылся клапан, горение топлива проходило без давления. Через 10 секунд ракета взорвалась на стартовой позиции уничтожив стартовую площадку и оборудование.</w:t>
      </w:r>
    </w:p>
    <w:p w14:paraId="12EA8269" w14:textId="77777777" w:rsidR="00490368" w:rsidRPr="00070ADE" w:rsidRDefault="0049036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Конструктором первой французской ракеты EA-1941 стал пионер ракетостроения франции военный инженер Жан-Жак Барре. Финансирование проекта обеспечил Центральный отдел закупок и поставок по секретному приказу военного министра правительства Виши в декабре 1940 года. Для того, что бы скрыть работу от немецких оккупационных властей, проект преподносили, как работу над автомобильным газовым генератором. В июле 1941 года министерство обороны заказывает 22 изделия названных «Газогенераторы». Поэтому первая французская ракета получила аббревиатуру EA-1941.</w:t>
      </w:r>
    </w:p>
    <w:p w14:paraId="4999BDB3" w14:textId="77777777" w:rsidR="00490368" w:rsidRPr="00070ADE" w:rsidRDefault="0049036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Статические испытания ракеты EA-1941 в тайне от немцев проводились в ноябре 1941 года на полигоне Ларзак командой Службы технической поддержки артиллерии, а затем в окрестностях Лиона. Для проведения летных испытаний планировалось перевести оборудование и модели в Алжир. Однако немецкая оккупация юга Франции не позволила это осуществить. После освобождения Франции работа над ракетой EA-1941 продолжилась, и уже в марте 1945 года прошли певые испытательные пуски. Однако, дальше испытательных пусков дело не пошло. Ракета EA-1941 не была запущена в серийное производство.</w:t>
      </w:r>
    </w:p>
    <w:p w14:paraId="2A0F67C7" w14:textId="77777777" w:rsidR="00490368" w:rsidRPr="00070ADE" w:rsidRDefault="0049036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Сведений об устройстве первой французской ракеты EA-1941 не много. В качестве топлива использовался керосин и жидкий кислород. Система подачи компонентов топлива в камеру сгорания была вытеснительная, давление создавалось сжатым азотом. Пуск ракеты EA-1941 производился с помощью направляющей наклонной башни (22566).</w:t>
      </w:r>
    </w:p>
    <w:p w14:paraId="2C0CF86A" w14:textId="77777777" w:rsidR="00490368" w:rsidRPr="00070ADE" w:rsidRDefault="00490368" w:rsidP="00B56F90">
      <w:pPr>
        <w:spacing w:after="0" w:line="240" w:lineRule="auto"/>
        <w:jc w:val="both"/>
        <w:rPr>
          <w:rFonts w:ascii="Times New Roman" w:hAnsi="Times New Roman"/>
          <w:color w:val="000000" w:themeColor="text1"/>
          <w:sz w:val="16"/>
          <w:szCs w:val="16"/>
        </w:rPr>
      </w:pPr>
    </w:p>
    <w:p w14:paraId="5B8210B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27C960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BCF814"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марта 1944 г.</w:t>
      </w:r>
    </w:p>
    <w:p w14:paraId="7685D215"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приказа по 10-му Главному Управлению НКАП СССР о деятельности завода № 18 за 1943 год</w:t>
      </w:r>
    </w:p>
    <w:p w14:paraId="06D96006"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марта 1944 г.</w:t>
      </w:r>
    </w:p>
    <w:p w14:paraId="5C458B56"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Рассмотрев представленный заводом № 18 годовой отчет о производственной и финансово-хозяйственной деятельности завода за 1943 год, отмечаю:</w:t>
      </w:r>
    </w:p>
    <w:p w14:paraId="72FF552E"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Установленный план на 1943 год заводом выполнен:</w:t>
      </w:r>
    </w:p>
    <w:p w14:paraId="4873B7FA"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 товарной продукции в неизменных ценах</w:t>
      </w:r>
      <w:r w:rsidRPr="00070ADE">
        <w:rPr>
          <w:rFonts w:ascii="Times New Roman" w:hAnsi="Times New Roman"/>
          <w:color w:val="000000" w:themeColor="text1"/>
          <w:sz w:val="16"/>
          <w:szCs w:val="16"/>
        </w:rPr>
        <w:tab/>
        <w:t>- на 106,5%,</w:t>
      </w:r>
    </w:p>
    <w:p w14:paraId="1A65CBD0"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 валовой продукции -»-</w:t>
      </w:r>
      <w:r w:rsidRPr="00070ADE">
        <w:rPr>
          <w:rFonts w:ascii="Times New Roman" w:hAnsi="Times New Roman"/>
          <w:color w:val="000000" w:themeColor="text1"/>
          <w:sz w:val="16"/>
          <w:szCs w:val="16"/>
        </w:rPr>
        <w:tab/>
        <w:t>- на 101,7%,</w:t>
      </w:r>
    </w:p>
    <w:p w14:paraId="4E48A3CF"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 капитальному строительству</w:t>
      </w:r>
      <w:r w:rsidRPr="00070ADE">
        <w:rPr>
          <w:rFonts w:ascii="Times New Roman" w:hAnsi="Times New Roman"/>
          <w:color w:val="000000" w:themeColor="text1"/>
          <w:sz w:val="16"/>
          <w:szCs w:val="16"/>
        </w:rPr>
        <w:tab/>
        <w:t>- на 122%</w:t>
      </w:r>
    </w:p>
    <w:p w14:paraId="53C10D58"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по вводу в эксплуатацию объектов строительства - на 158%.</w:t>
      </w:r>
    </w:p>
    <w:p w14:paraId="3029DE4F"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перевыполнил установленную годовую программу при соблюдении равномерности и ритмичности в выпуске самолетов, благодаря чему удерживал в течение 9-ти месяцев 1943 года Знамя Государственного Комитета Обороны.</w:t>
      </w:r>
    </w:p>
    <w:p w14:paraId="51424168"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Помимо основной программы завод отремонтировал в частях ВВС КА 1296 самолетов, перевыполнив задание II полугодия на 39,6% и одновременно провел большую работу по оказанию технической помощи и инструктажу летно-технического персонала воинских частей.</w:t>
      </w:r>
    </w:p>
    <w:p w14:paraId="75D42246"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имел также ряд достижений в области механизации и усовершенствования технологических процессов, как-то: внедрено большое количество многоместных приспособлений по механическим цехам, применена обработка деталей методом непрерывного фрезерования, изготовление ряда деталей переведено на литье в кокиль с применением многоместных кокилей и на литье под давлением, внедрено рафинирование жидкого металла, внедрено в серийное производство большое количество высокопроизводительного специального инструмента и приспособлений, проведена большая работа по улучшению антикоррозийных свойств деталей, окончательно освоен новый разработанный заводом сплав АЛЗ-АТ, применение которого дало заводу в 1943 году большую экономию чушкового алюминия и электроэнергии и ряд других достижений.</w:t>
      </w:r>
    </w:p>
    <w:p w14:paraId="6633BC0E"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 грамотно и просто завод разрешил задачу перевода на поток внестапельных работ по центроплану, добившись на этом участке значительного сокращения производственного цикла и снижения трудоемкости.</w:t>
      </w:r>
    </w:p>
    <w:p w14:paraId="69C26330"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в 1943 году перевел мазутные печи, расходовавшие в месяц до 120 тонн мазута, на газ от Бугурусланского газопровода и значительно улучшил эксплуатацию карбидной печи.</w:t>
      </w:r>
    </w:p>
    <w:p w14:paraId="61641D2D"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Установленный заводу план накоплений перевыполнен на 7,4 млн. руб., остаток нормированных материальных ценностей сокращен ниже установленных Главным Управлением нормативов, дебиторская задолженность снижена на 81 %.</w:t>
      </w:r>
    </w:p>
    <w:p w14:paraId="58C02109"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Наряду с перевыполнением плана по капитальному строительству на 22% и вводу в эксплуатацию объектов на 58%, снижен остаток незавершенного производства на 2,9 млн. руб. и мобилизованы внутренние ресурсы, за счет снижения остатка материальных ценностей, на 971 тыс. руб.</w:t>
      </w:r>
    </w:p>
    <w:p w14:paraId="5DC0405E"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Деятельность завода № 18 за 1943 год в части основного производства считаю хорошей, по капитальному строительству удовлетворительной.</w:t>
      </w:r>
    </w:p>
    <w:p w14:paraId="337237C8"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Годовой отчет представлен в срок. Качество отчета хорошее.</w:t>
      </w:r>
    </w:p>
    <w:p w14:paraId="3FD2C122"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Реальность отчета подтверждается проведенной инвентаризацией, результаты которой отражены в балансе...</w:t>
      </w:r>
    </w:p>
    <w:p w14:paraId="13480826"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Народного Комиссара авиационной промышленности</w:t>
      </w:r>
      <w:r w:rsidRPr="00070ADE">
        <w:rPr>
          <w:rFonts w:ascii="Times New Roman" w:hAnsi="Times New Roman"/>
          <w:color w:val="000000" w:themeColor="text1"/>
          <w:sz w:val="16"/>
          <w:szCs w:val="16"/>
        </w:rPr>
        <w:tab/>
        <w:t>А. Кузнецов</w:t>
      </w:r>
    </w:p>
    <w:p w14:paraId="4D6D68A1"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ГАСО</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Ф</w:t>
      </w:r>
      <w:r w:rsidRPr="00070ADE">
        <w:rPr>
          <w:rFonts w:ascii="Times New Roman" w:hAnsi="Times New Roman"/>
          <w:color w:val="000000" w:themeColor="text1"/>
          <w:sz w:val="16"/>
          <w:szCs w:val="16"/>
          <w:lang w:val="en-US"/>
        </w:rPr>
        <w:t xml:space="preserve">. P-3454. On. 2. </w:t>
      </w:r>
      <w:r w:rsidRPr="00070ADE">
        <w:rPr>
          <w:rFonts w:ascii="Times New Roman" w:hAnsi="Times New Roman"/>
          <w:color w:val="000000" w:themeColor="text1"/>
          <w:sz w:val="16"/>
          <w:szCs w:val="16"/>
        </w:rPr>
        <w:t>Д</w:t>
      </w:r>
      <w:r w:rsidRPr="00070ADE">
        <w:rPr>
          <w:rFonts w:ascii="Times New Roman" w:hAnsi="Times New Roman"/>
          <w:color w:val="000000" w:themeColor="text1"/>
          <w:sz w:val="16"/>
          <w:szCs w:val="16"/>
          <w:lang w:val="en-US"/>
        </w:rPr>
        <w:t xml:space="preserve">. 26. </w:t>
      </w:r>
      <w:r w:rsidRPr="00070ADE">
        <w:rPr>
          <w:rFonts w:ascii="Times New Roman" w:hAnsi="Times New Roman"/>
          <w:color w:val="000000" w:themeColor="text1"/>
          <w:sz w:val="16"/>
          <w:szCs w:val="16"/>
        </w:rPr>
        <w:t>Л</w:t>
      </w:r>
      <w:r w:rsidRPr="00070ADE">
        <w:rPr>
          <w:rFonts w:ascii="Times New Roman" w:hAnsi="Times New Roman"/>
          <w:color w:val="000000" w:themeColor="text1"/>
          <w:sz w:val="16"/>
          <w:szCs w:val="16"/>
          <w:lang w:val="en-US"/>
        </w:rPr>
        <w:t>. 108-108</w:t>
      </w:r>
      <w:r w:rsidRPr="00070ADE">
        <w:rPr>
          <w:rFonts w:ascii="Times New Roman" w:hAnsi="Times New Roman"/>
          <w:color w:val="000000" w:themeColor="text1"/>
          <w:sz w:val="16"/>
          <w:szCs w:val="16"/>
        </w:rPr>
        <w:t>а</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Подлинник (20781).</w:t>
      </w:r>
    </w:p>
    <w:p w14:paraId="7953C59F" w14:textId="77777777" w:rsidR="004D5E52" w:rsidRPr="00070ADE" w:rsidRDefault="004D5E52" w:rsidP="00B56F90">
      <w:pPr>
        <w:spacing w:after="0" w:line="240" w:lineRule="auto"/>
        <w:jc w:val="both"/>
        <w:rPr>
          <w:rFonts w:ascii="Times New Roman" w:hAnsi="Times New Roman"/>
          <w:color w:val="000000" w:themeColor="text1"/>
          <w:sz w:val="16"/>
          <w:szCs w:val="16"/>
        </w:rPr>
      </w:pPr>
    </w:p>
    <w:p w14:paraId="739A3EBE" w14:textId="77777777" w:rsidR="00282955" w:rsidRPr="00070ADE" w:rsidRDefault="00282955" w:rsidP="00B56F90">
      <w:pPr>
        <w:pStyle w:val="7"/>
        <w:shd w:val="clear" w:color="auto" w:fill="auto"/>
        <w:spacing w:line="240" w:lineRule="auto"/>
        <w:rPr>
          <w:rFonts w:ascii="Times New Roman" w:cs="Times New Roman"/>
          <w:color w:val="000000" w:themeColor="text1"/>
          <w:spacing w:val="0"/>
          <w:sz w:val="16"/>
          <w:szCs w:val="16"/>
        </w:rPr>
      </w:pPr>
      <w:r w:rsidRPr="00070ADE">
        <w:rPr>
          <w:rStyle w:val="75"/>
          <w:rFonts w:ascii="Times New Roman" w:hAnsi="Times New Roman" w:cs="Times New Roman"/>
          <w:i w:val="0"/>
          <w:color w:val="000000" w:themeColor="text1"/>
          <w:sz w:val="16"/>
          <w:szCs w:val="16"/>
        </w:rPr>
        <w:t>17 марта 1944 г., ознакомившись с первыми результата</w:t>
      </w:r>
      <w:r w:rsidRPr="00070ADE">
        <w:rPr>
          <w:rStyle w:val="75"/>
          <w:rFonts w:ascii="Times New Roman" w:hAnsi="Times New Roman" w:cs="Times New Roman"/>
          <w:i w:val="0"/>
          <w:color w:val="000000" w:themeColor="text1"/>
          <w:sz w:val="16"/>
          <w:szCs w:val="16"/>
        </w:rPr>
        <w:softHyphen/>
        <w:t>ми испытаний английской прозрачной брони, главный инженер ВВС КА генерал-полковник А.К. Репин направил соот</w:t>
      </w:r>
      <w:r w:rsidRPr="00070ADE">
        <w:rPr>
          <w:rStyle w:val="75"/>
          <w:rFonts w:ascii="Times New Roman" w:hAnsi="Times New Roman" w:cs="Times New Roman"/>
          <w:i w:val="0"/>
          <w:color w:val="000000" w:themeColor="text1"/>
          <w:sz w:val="16"/>
          <w:szCs w:val="16"/>
        </w:rPr>
        <w:softHyphen/>
        <w:t>ветствующий доклад секретарю ЦК ВКП(б) Г.М. Маленкову. В докладе отмечалось:</w:t>
      </w:r>
      <w:r w:rsidRPr="00070ADE">
        <w:rPr>
          <w:rFonts w:ascii="Times New Roman" w:cs="Times New Roman"/>
          <w:color w:val="000000" w:themeColor="text1"/>
          <w:spacing w:val="0"/>
          <w:sz w:val="16"/>
          <w:szCs w:val="16"/>
        </w:rPr>
        <w:t xml:space="preserve"> «Не</w:t>
      </w:r>
      <w:r w:rsidRPr="00070ADE">
        <w:rPr>
          <w:rFonts w:ascii="Times New Roman" w:cs="Times New Roman"/>
          <w:color w:val="000000" w:themeColor="text1"/>
          <w:spacing w:val="0"/>
          <w:sz w:val="16"/>
          <w:szCs w:val="16"/>
        </w:rPr>
        <w:softHyphen/>
        <w:t>смотря на длительный срок, прошедший с мо</w:t>
      </w:r>
      <w:r w:rsidRPr="00070ADE">
        <w:rPr>
          <w:rFonts w:ascii="Times New Roman" w:cs="Times New Roman"/>
          <w:color w:val="000000" w:themeColor="text1"/>
          <w:spacing w:val="0"/>
          <w:sz w:val="16"/>
          <w:szCs w:val="16"/>
        </w:rPr>
        <w:softHyphen/>
        <w:t>мента выхода Постановлений ГОКО(№№2732 от 10.1.43 и 3218 от 21.4.43г.) и неодно</w:t>
      </w:r>
      <w:r w:rsidRPr="00070ADE">
        <w:rPr>
          <w:rFonts w:ascii="Times New Roman" w:cs="Times New Roman"/>
          <w:color w:val="000000" w:themeColor="text1"/>
          <w:spacing w:val="0"/>
          <w:sz w:val="16"/>
          <w:szCs w:val="16"/>
        </w:rPr>
        <w:softHyphen/>
        <w:t>кратные требования ВВС КА, НКХП и НКПСМ до настоящего времени не предъявили ни од</w:t>
      </w:r>
      <w:r w:rsidRPr="00070ADE">
        <w:rPr>
          <w:rFonts w:ascii="Times New Roman" w:cs="Times New Roman"/>
          <w:color w:val="000000" w:themeColor="text1"/>
          <w:spacing w:val="0"/>
          <w:sz w:val="16"/>
          <w:szCs w:val="16"/>
        </w:rPr>
        <w:softHyphen/>
        <w:t>ного опытного образца прозрачной брони, от</w:t>
      </w:r>
      <w:r w:rsidRPr="00070ADE">
        <w:rPr>
          <w:rFonts w:ascii="Times New Roman" w:cs="Times New Roman"/>
          <w:color w:val="000000" w:themeColor="text1"/>
          <w:spacing w:val="0"/>
          <w:sz w:val="16"/>
          <w:szCs w:val="16"/>
        </w:rPr>
        <w:softHyphen/>
        <w:t>вечающего Тактико-Техническим Требованиям ВВС КА. Поставляемая ими серийная прозрач</w:t>
      </w:r>
      <w:r w:rsidRPr="00070ADE">
        <w:rPr>
          <w:rFonts w:ascii="Times New Roman" w:cs="Times New Roman"/>
          <w:color w:val="000000" w:themeColor="text1"/>
          <w:spacing w:val="0"/>
          <w:sz w:val="16"/>
          <w:szCs w:val="16"/>
        </w:rPr>
        <w:softHyphen/>
        <w:t>ная броня по-прежнему не удовлетворяет ВВС КА по оптическим свойствам (большие иска</w:t>
      </w:r>
      <w:r w:rsidRPr="00070ADE">
        <w:rPr>
          <w:rFonts w:ascii="Times New Roman" w:cs="Times New Roman"/>
          <w:color w:val="000000" w:themeColor="text1"/>
          <w:spacing w:val="0"/>
          <w:sz w:val="16"/>
          <w:szCs w:val="16"/>
        </w:rPr>
        <w:softHyphen/>
        <w:t>жения) и подвержена пузыреобразованию в процессе эксплуатации».</w:t>
      </w:r>
    </w:p>
    <w:p w14:paraId="7F65FCC0" w14:textId="77777777" w:rsidR="00282955" w:rsidRPr="00070ADE" w:rsidRDefault="00282955" w:rsidP="00B56F90">
      <w:pPr>
        <w:pStyle w:val="7"/>
        <w:shd w:val="clear" w:color="auto" w:fill="auto"/>
        <w:spacing w:line="240" w:lineRule="auto"/>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«В целях скорейшего обеспечения частей ВВС КА высококачественной прозрачной бро</w:t>
      </w:r>
      <w:r w:rsidRPr="00070ADE">
        <w:rPr>
          <w:rFonts w:ascii="Times New Roman" w:cs="Times New Roman"/>
          <w:color w:val="000000" w:themeColor="text1"/>
          <w:spacing w:val="0"/>
          <w:sz w:val="16"/>
          <w:szCs w:val="16"/>
        </w:rPr>
        <w:softHyphen/>
        <w:t>ней»</w:t>
      </w:r>
      <w:r w:rsidRPr="00070ADE">
        <w:rPr>
          <w:rStyle w:val="75"/>
          <w:rFonts w:ascii="Times New Roman" w:hAnsi="Times New Roman" w:cs="Times New Roman"/>
          <w:i w:val="0"/>
          <w:color w:val="000000" w:themeColor="text1"/>
          <w:sz w:val="16"/>
          <w:szCs w:val="16"/>
        </w:rPr>
        <w:t xml:space="preserve"> генерал Репин просил Маленкова дать указания</w:t>
      </w:r>
      <w:r w:rsidRPr="00070ADE">
        <w:rPr>
          <w:rFonts w:ascii="Times New Roman" w:cs="Times New Roman"/>
          <w:color w:val="000000" w:themeColor="text1"/>
          <w:spacing w:val="0"/>
          <w:sz w:val="16"/>
          <w:szCs w:val="16"/>
        </w:rPr>
        <w:t xml:space="preserve"> «НКХП и НКПСМ всемерно форсиро</w:t>
      </w:r>
      <w:r w:rsidRPr="00070ADE">
        <w:rPr>
          <w:rFonts w:ascii="Times New Roman" w:cs="Times New Roman"/>
          <w:color w:val="000000" w:themeColor="text1"/>
          <w:spacing w:val="0"/>
          <w:sz w:val="16"/>
          <w:szCs w:val="16"/>
        </w:rPr>
        <w:softHyphen/>
        <w:t>вать работы по изготовлению для ВВС КА улуч</w:t>
      </w:r>
      <w:r w:rsidRPr="00070ADE">
        <w:rPr>
          <w:rFonts w:ascii="Times New Roman" w:cs="Times New Roman"/>
          <w:color w:val="000000" w:themeColor="text1"/>
          <w:spacing w:val="0"/>
          <w:sz w:val="16"/>
          <w:szCs w:val="16"/>
        </w:rPr>
        <w:softHyphen/>
        <w:t>шенных образцов прозрачной брони с исполь</w:t>
      </w:r>
      <w:r w:rsidRPr="00070ADE">
        <w:rPr>
          <w:rFonts w:ascii="Times New Roman" w:cs="Times New Roman"/>
          <w:color w:val="000000" w:themeColor="text1"/>
          <w:spacing w:val="0"/>
          <w:sz w:val="16"/>
          <w:szCs w:val="16"/>
        </w:rPr>
        <w:softHyphen/>
        <w:t>зованием опыта англичан» (17481).</w:t>
      </w:r>
    </w:p>
    <w:p w14:paraId="069E4A2A" w14:textId="77777777" w:rsidR="00282955" w:rsidRPr="00070ADE" w:rsidRDefault="00282955" w:rsidP="00B56F90">
      <w:pPr>
        <w:spacing w:after="0" w:line="240" w:lineRule="auto"/>
        <w:jc w:val="both"/>
        <w:rPr>
          <w:rFonts w:ascii="Times New Roman" w:hAnsi="Times New Roman"/>
          <w:color w:val="000000" w:themeColor="text1"/>
          <w:sz w:val="16"/>
          <w:szCs w:val="16"/>
        </w:rPr>
      </w:pPr>
    </w:p>
    <w:p w14:paraId="018FDCD7"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17 марта 1944 начальник НИИ АВ генерал-майор М.В. Гуревич утвердил отчет по испытаниям са</w:t>
      </w:r>
      <w:r w:rsidRPr="00070ADE">
        <w:rPr>
          <w:rFonts w:ascii="Times New Roman" w:hAnsi="Times New Roman" w:cs="Times New Roman"/>
          <w:color w:val="000000" w:themeColor="text1"/>
          <w:sz w:val="16"/>
          <w:szCs w:val="16"/>
        </w:rPr>
        <w:softHyphen/>
        <w:t>молета Харрикей зав. № КХ-305, который по</w:t>
      </w:r>
      <w:r w:rsidRPr="00070ADE">
        <w:rPr>
          <w:rFonts w:ascii="Times New Roman" w:hAnsi="Times New Roman" w:cs="Times New Roman"/>
          <w:color w:val="000000" w:themeColor="text1"/>
          <w:sz w:val="16"/>
          <w:szCs w:val="16"/>
        </w:rPr>
        <w:softHyphen/>
        <w:t>ступил в НИИ АВ ВВС для производства кон</w:t>
      </w:r>
      <w:r w:rsidRPr="00070ADE">
        <w:rPr>
          <w:rFonts w:ascii="Times New Roman" w:hAnsi="Times New Roman" w:cs="Times New Roman"/>
          <w:color w:val="000000" w:themeColor="text1"/>
          <w:sz w:val="16"/>
          <w:szCs w:val="16"/>
        </w:rPr>
        <w:softHyphen/>
        <w:t>трольных испытаний вооружения в феврале 1944 из НИИ ВВС.</w:t>
      </w:r>
    </w:p>
    <w:p w14:paraId="0717E4B3"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Испытания в НИИ ВВС проводились объединенной бригадой специалистов 3-го и 4-го отделов института. Ведущим инженером по испытаниям был назначен инженер-капитан Рабкин (3-й отдел), его помощником - инженер-капитан Колосов (4-й отдел). На самолетах летали: летчик- испытатель 3-го отдела майор Голофастов и летчик-испытатель 4-го отдела старший лейтенант Поминальный.</w:t>
      </w:r>
    </w:p>
    <w:p w14:paraId="3AAD4A2C"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НИИ АВ к испытаниям привлекались специалисты 7-го отдела института: майор В.С. Полубиченко - ответственный по ис</w:t>
      </w:r>
      <w:r w:rsidRPr="00070ADE">
        <w:rPr>
          <w:rFonts w:ascii="Times New Roman" w:hAnsi="Times New Roman" w:cs="Times New Roman"/>
          <w:color w:val="000000" w:themeColor="text1"/>
          <w:sz w:val="16"/>
          <w:szCs w:val="16"/>
        </w:rPr>
        <w:softHyphen/>
        <w:t>пытаниям, старший техник-лейтенант Ф.Ф. Сивцов, летчик-испытатель капитан А.В. Кусакин и механик по вооружению старший сержант Ф.Я. Анохин.</w:t>
      </w:r>
    </w:p>
    <w:p w14:paraId="2503403B"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Всего в НИИ ВВС было выполнено 27 полетов с суммарным налетом 18 ч 40 мин, втом числе: на самолете зав. N9 КХ-305 -16 полетов (12 ч 10 мин), на самолете зав. № КХ-171 - 11 полетов (6 ч 30 мин). С начала эксплуатации мотор «Мерлин» XX №87591 на самолете зав. № КХ-305 наработал 52 ч 14 мин, а мотор № 87437 на самолете зав. № КХ-171 -71 ч 11 мин.</w:t>
      </w:r>
    </w:p>
    <w:p w14:paraId="08C3E91C"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НИИ АВ ВВС на самолете зав. № КХ- 305 выполнили еще 9 контрольных полетов на отстрел вооружения в воздухе по воз</w:t>
      </w:r>
      <w:r w:rsidRPr="00070ADE">
        <w:rPr>
          <w:rFonts w:ascii="Times New Roman" w:hAnsi="Times New Roman" w:cs="Times New Roman"/>
          <w:color w:val="000000" w:themeColor="text1"/>
          <w:sz w:val="16"/>
          <w:szCs w:val="16"/>
        </w:rPr>
        <w:softHyphen/>
        <w:t>душным и наземным целям.</w:t>
      </w:r>
    </w:p>
    <w:p w14:paraId="5ED28A32"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Судя по песчаному камуфляжу, само</w:t>
      </w:r>
      <w:r w:rsidRPr="00070ADE">
        <w:rPr>
          <w:rFonts w:ascii="Times New Roman" w:hAnsi="Times New Roman" w:cs="Times New Roman"/>
          <w:color w:val="000000" w:themeColor="text1"/>
          <w:sz w:val="16"/>
          <w:szCs w:val="16"/>
        </w:rPr>
        <w:softHyphen/>
        <w:t>леты применялись в Северной Африке.</w:t>
      </w:r>
    </w:p>
    <w:p w14:paraId="4E0C94C0"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Истребители оснащались пылефильтром, установленным на всасывающем патрубке мотора.</w:t>
      </w:r>
    </w:p>
    <w:p w14:paraId="53B37BDD"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Штурмовой вариант самолета «Харрикейн» 1Ю представлял собой серийный самолет «Харрикейн» НС с усиленным бро</w:t>
      </w:r>
      <w:r w:rsidRPr="00070ADE">
        <w:rPr>
          <w:rFonts w:ascii="Times New Roman" w:hAnsi="Times New Roman" w:cs="Times New Roman"/>
          <w:color w:val="000000" w:themeColor="text1"/>
          <w:sz w:val="16"/>
          <w:szCs w:val="16"/>
        </w:rPr>
        <w:softHyphen/>
        <w:t>нированием, доработанный под установку крупнокалиберных пушек.</w:t>
      </w:r>
    </w:p>
    <w:p w14:paraId="27A3BFA1"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На самолете устанавливался дере</w:t>
      </w:r>
      <w:r w:rsidRPr="00070ADE">
        <w:rPr>
          <w:rFonts w:ascii="Times New Roman" w:hAnsi="Times New Roman" w:cs="Times New Roman"/>
          <w:color w:val="000000" w:themeColor="text1"/>
          <w:sz w:val="16"/>
          <w:szCs w:val="16"/>
        </w:rPr>
        <w:softHyphen/>
        <w:t>вянный трехлопастный воздушный винт изменяемого в полете шага фирмы Ротол Н5-5/3 диаметром 3,43 м. Система разжи</w:t>
      </w:r>
      <w:r w:rsidRPr="00070ADE">
        <w:rPr>
          <w:rFonts w:ascii="Times New Roman" w:hAnsi="Times New Roman" w:cs="Times New Roman"/>
          <w:color w:val="000000" w:themeColor="text1"/>
          <w:sz w:val="16"/>
          <w:szCs w:val="16"/>
        </w:rPr>
        <w:softHyphen/>
        <w:t>жения масла бензином, невыключаемый воздушный фильтр и другие агрегаты си</w:t>
      </w:r>
      <w:r w:rsidRPr="00070ADE">
        <w:rPr>
          <w:rFonts w:ascii="Times New Roman" w:hAnsi="Times New Roman" w:cs="Times New Roman"/>
          <w:color w:val="000000" w:themeColor="text1"/>
          <w:sz w:val="16"/>
          <w:szCs w:val="16"/>
        </w:rPr>
        <w:softHyphen/>
        <w:t>стемы винтомоторной группы такие же, как у Мк.ПС. Вместо двух кислородных балло</w:t>
      </w:r>
      <w:r w:rsidRPr="00070ADE">
        <w:rPr>
          <w:rFonts w:ascii="Times New Roman" w:hAnsi="Times New Roman" w:cs="Times New Roman"/>
          <w:color w:val="000000" w:themeColor="text1"/>
          <w:sz w:val="16"/>
          <w:szCs w:val="16"/>
        </w:rPr>
        <w:softHyphen/>
        <w:t>нов оставлен один.</w:t>
      </w:r>
    </w:p>
    <w:p w14:paraId="4FFB3E02"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Под крылом Мк.1Ю размещались две пушки Виккерс 5 калибра 40 мм с суммар</w:t>
      </w:r>
      <w:r w:rsidRPr="00070ADE">
        <w:rPr>
          <w:rFonts w:ascii="Times New Roman" w:hAnsi="Times New Roman" w:cs="Times New Roman"/>
          <w:color w:val="000000" w:themeColor="text1"/>
          <w:sz w:val="16"/>
          <w:szCs w:val="16"/>
        </w:rPr>
        <w:softHyphen/>
        <w:t>ным боекомплектом 30 снарядов и в кры</w:t>
      </w:r>
      <w:r w:rsidRPr="00070ADE">
        <w:rPr>
          <w:rFonts w:ascii="Times New Roman" w:hAnsi="Times New Roman" w:cs="Times New Roman"/>
          <w:color w:val="000000" w:themeColor="text1"/>
          <w:sz w:val="16"/>
          <w:szCs w:val="16"/>
        </w:rPr>
        <w:softHyphen/>
        <w:t>ле два пулемета Кольт-Браунинг калибра 7,69 мм с боекомплектом 1300 патронов. Вместо пушек допускалась подвеска до</w:t>
      </w:r>
      <w:r w:rsidRPr="00070ADE">
        <w:rPr>
          <w:rFonts w:ascii="Times New Roman" w:hAnsi="Times New Roman" w:cs="Times New Roman"/>
          <w:color w:val="000000" w:themeColor="text1"/>
          <w:sz w:val="16"/>
          <w:szCs w:val="16"/>
        </w:rPr>
        <w:softHyphen/>
        <w:t>полнительных бензобаков.</w:t>
      </w:r>
    </w:p>
    <w:p w14:paraId="7486A73E"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правом крыле предусматривалась установка фотокинопулемета для учебных целей и для контроля результатов стрельб, но на поступивших в НИИ ВВС самолетах фотокинопулеметы отсутствовали.</w:t>
      </w:r>
    </w:p>
    <w:p w14:paraId="6CCAF187"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Управление огнем пушек и пулеме</w:t>
      </w:r>
      <w:r w:rsidRPr="00070ADE">
        <w:rPr>
          <w:rFonts w:ascii="Times New Roman" w:hAnsi="Times New Roman" w:cs="Times New Roman"/>
          <w:color w:val="000000" w:themeColor="text1"/>
          <w:sz w:val="16"/>
          <w:szCs w:val="16"/>
        </w:rPr>
        <w:softHyphen/>
        <w:t>тов раздельное," электропневматическое. Стрельба из пулеметов велась с помощью электрокнопки, смонтированной на ручке управления, а из пушек, также электрокноп</w:t>
      </w:r>
      <w:r w:rsidRPr="00070ADE">
        <w:rPr>
          <w:rFonts w:ascii="Times New Roman" w:hAnsi="Times New Roman" w:cs="Times New Roman"/>
          <w:color w:val="000000" w:themeColor="text1"/>
          <w:sz w:val="16"/>
          <w:szCs w:val="16"/>
        </w:rPr>
        <w:softHyphen/>
        <w:t>кой, но смонтированной на секторе газа.</w:t>
      </w:r>
    </w:p>
    <w:p w14:paraId="40A0B98F"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Для прицеливания при стрельбе ис</w:t>
      </w:r>
      <w:r w:rsidRPr="00070ADE">
        <w:rPr>
          <w:rFonts w:ascii="Times New Roman" w:hAnsi="Times New Roman" w:cs="Times New Roman"/>
          <w:color w:val="000000" w:themeColor="text1"/>
          <w:sz w:val="16"/>
          <w:szCs w:val="16"/>
        </w:rPr>
        <w:softHyphen/>
        <w:t>пользовался коллиматорный прицел Реф</w:t>
      </w:r>
      <w:r w:rsidRPr="00070ADE">
        <w:rPr>
          <w:rFonts w:ascii="Times New Roman" w:hAnsi="Times New Roman" w:cs="Times New Roman"/>
          <w:color w:val="000000" w:themeColor="text1"/>
          <w:sz w:val="16"/>
          <w:szCs w:val="16"/>
        </w:rPr>
        <w:softHyphen/>
        <w:t>лектор Сайт Мк.115 с электрической под</w:t>
      </w:r>
      <w:r w:rsidRPr="00070ADE">
        <w:rPr>
          <w:rFonts w:ascii="Times New Roman" w:hAnsi="Times New Roman" w:cs="Times New Roman"/>
          <w:color w:val="000000" w:themeColor="text1"/>
          <w:sz w:val="16"/>
          <w:szCs w:val="16"/>
        </w:rPr>
        <w:softHyphen/>
        <w:t>светкой.</w:t>
      </w:r>
    </w:p>
    <w:p w14:paraId="70FB83FB"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Установка пулеметов Кольт-Баунинг ничем не отличалась от установки на се</w:t>
      </w:r>
      <w:r w:rsidRPr="00070ADE">
        <w:rPr>
          <w:rFonts w:ascii="Times New Roman" w:hAnsi="Times New Roman" w:cs="Times New Roman"/>
          <w:color w:val="000000" w:themeColor="text1"/>
          <w:sz w:val="16"/>
          <w:szCs w:val="16"/>
        </w:rPr>
        <w:softHyphen/>
        <w:t>рийном самолете типа Мк.ПС, за исклю</w:t>
      </w:r>
      <w:r w:rsidRPr="00070ADE">
        <w:rPr>
          <w:rFonts w:ascii="Times New Roman" w:hAnsi="Times New Roman" w:cs="Times New Roman"/>
          <w:color w:val="000000" w:themeColor="text1"/>
          <w:sz w:val="16"/>
          <w:szCs w:val="16"/>
        </w:rPr>
        <w:softHyphen/>
        <w:t>чением увеличенного боезапаса (лента в патронном ящике).</w:t>
      </w:r>
    </w:p>
    <w:p w14:paraId="7C0316A3"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lastRenderedPageBreak/>
        <w:t>Пушки помещались в специальном об</w:t>
      </w:r>
      <w:r w:rsidRPr="00070ADE">
        <w:rPr>
          <w:rFonts w:ascii="Times New Roman" w:hAnsi="Times New Roman" w:cs="Times New Roman"/>
          <w:color w:val="000000" w:themeColor="text1"/>
          <w:sz w:val="16"/>
          <w:szCs w:val="16"/>
        </w:rPr>
        <w:softHyphen/>
        <w:t>текателе под крылом и крепились на двух узлах, из которых передний являлся сило</w:t>
      </w:r>
      <w:r w:rsidRPr="00070ADE">
        <w:rPr>
          <w:rFonts w:ascii="Times New Roman" w:hAnsi="Times New Roman" w:cs="Times New Roman"/>
          <w:color w:val="000000" w:themeColor="text1"/>
          <w:sz w:val="16"/>
          <w:szCs w:val="16"/>
        </w:rPr>
        <w:softHyphen/>
        <w:t>вым, а задний - регулировочным. При этом стволы пушек на 1080 мм выступали за переднюю кромку крыла.</w:t>
      </w:r>
    </w:p>
    <w:p w14:paraId="1D885F22"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Автоматика пушек Виккерс 8 работала на принципе отдачи с длинным ходом ство</w:t>
      </w:r>
      <w:r w:rsidRPr="00070ADE">
        <w:rPr>
          <w:rFonts w:ascii="Times New Roman" w:hAnsi="Times New Roman" w:cs="Times New Roman"/>
          <w:color w:val="000000" w:themeColor="text1"/>
          <w:sz w:val="16"/>
          <w:szCs w:val="16"/>
        </w:rPr>
        <w:softHyphen/>
        <w:t>ла, запирание клиновое. Сила отдачи при стрельбе поглощалась работой автомати</w:t>
      </w:r>
      <w:r w:rsidRPr="00070ADE">
        <w:rPr>
          <w:rFonts w:ascii="Times New Roman" w:hAnsi="Times New Roman" w:cs="Times New Roman"/>
          <w:color w:val="000000" w:themeColor="text1"/>
          <w:sz w:val="16"/>
          <w:szCs w:val="16"/>
        </w:rPr>
        <w:softHyphen/>
        <w:t>ки, возвратной и буферной пружинами и гидравлическим тормозом. В гидротормоз заливалось веретенное масло или смесь веретенного масла с техническим кероси</w:t>
      </w:r>
      <w:r w:rsidRPr="00070ADE">
        <w:rPr>
          <w:rFonts w:ascii="Times New Roman" w:hAnsi="Times New Roman" w:cs="Times New Roman"/>
          <w:color w:val="000000" w:themeColor="text1"/>
          <w:sz w:val="16"/>
          <w:szCs w:val="16"/>
        </w:rPr>
        <w:softHyphen/>
        <w:t>ном (в соотношении 60/40).</w:t>
      </w:r>
    </w:p>
    <w:p w14:paraId="13B64ED5"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Питание пушек - магазинное. Магазин на 15 снарядов жестко крепился к пушке болтами. Зарядка магазина производи</w:t>
      </w:r>
      <w:r w:rsidRPr="00070ADE">
        <w:rPr>
          <w:rFonts w:ascii="Times New Roman" w:hAnsi="Times New Roman" w:cs="Times New Roman"/>
          <w:color w:val="000000" w:themeColor="text1"/>
          <w:sz w:val="16"/>
          <w:szCs w:val="16"/>
        </w:rPr>
        <w:softHyphen/>
        <w:t>лась непосредственно на самолете.</w:t>
      </w:r>
    </w:p>
    <w:p w14:paraId="53FAECB0"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Перезарядка пушек осуществлялась вручную с помощью специальной рукоятки с цепной передачей. Перезаряжать пушку можно было только на земле. В воздухе летчик имел возможность лишь повторно взвести ударник. Для этого на левом бор</w:t>
      </w:r>
      <w:r w:rsidRPr="00070ADE">
        <w:rPr>
          <w:rFonts w:ascii="Times New Roman" w:hAnsi="Times New Roman" w:cs="Times New Roman"/>
          <w:color w:val="000000" w:themeColor="text1"/>
          <w:sz w:val="16"/>
          <w:szCs w:val="16"/>
        </w:rPr>
        <w:softHyphen/>
        <w:t>ту располагалась гашетка пневмовзвода ударников пушек. С ее помощью летчик в полете мог повторно взвести ударники пу</w:t>
      </w:r>
      <w:r w:rsidRPr="00070ADE">
        <w:rPr>
          <w:rFonts w:ascii="Times New Roman" w:hAnsi="Times New Roman" w:cs="Times New Roman"/>
          <w:color w:val="000000" w:themeColor="text1"/>
          <w:sz w:val="16"/>
          <w:szCs w:val="16"/>
        </w:rPr>
        <w:softHyphen/>
        <w:t>шек и продолжить стрельбу.</w:t>
      </w:r>
    </w:p>
    <w:p w14:paraId="5C56F553"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Длина пушки достигала 2970 мм, при высоте с магазином 533 мм (без магазина 278 мм) и ширине 210 мм. Общий вес пуш</w:t>
      </w:r>
      <w:r w:rsidRPr="00070ADE">
        <w:rPr>
          <w:rFonts w:ascii="Times New Roman" w:hAnsi="Times New Roman" w:cs="Times New Roman"/>
          <w:color w:val="000000" w:themeColor="text1"/>
          <w:sz w:val="16"/>
          <w:szCs w:val="16"/>
        </w:rPr>
        <w:softHyphen/>
        <w:t>ки с магазином и 15 бронебойными снаря</w:t>
      </w:r>
      <w:r w:rsidRPr="00070ADE">
        <w:rPr>
          <w:rFonts w:ascii="Times New Roman" w:hAnsi="Times New Roman" w:cs="Times New Roman"/>
          <w:color w:val="000000" w:themeColor="text1"/>
          <w:sz w:val="16"/>
          <w:szCs w:val="16"/>
        </w:rPr>
        <w:softHyphen/>
        <w:t>дами составлял 180,2 кг, в том числе: сама пушка - 141,7 кг, магазин без патронов - 16,0 кг, боекомплект - 22,5 кг.</w:t>
      </w:r>
    </w:p>
    <w:p w14:paraId="0F0E65BE"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Броней на самолете защищались: летчик, мотор, водо- и маслорадиаторы. Общий вес брони достигал 185 кг.</w:t>
      </w:r>
    </w:p>
    <w:p w14:paraId="3661F5C7"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Бронекозырек кабины летчика состоял из трех плит пулестойкого стекла. Средняя плита имела толщину 35 мм, а боковые</w:t>
      </w:r>
    </w:p>
    <w:p w14:paraId="671E9F45" w14:textId="77777777" w:rsidR="00903E13" w:rsidRPr="00070ADE" w:rsidRDefault="00903E13" w:rsidP="00B56F90">
      <w:pPr>
        <w:pStyle w:val="47"/>
        <w:numPr>
          <w:ilvl w:val="0"/>
          <w:numId w:val="1"/>
        </w:numPr>
        <w:shd w:val="clear" w:color="auto" w:fill="auto"/>
        <w:tabs>
          <w:tab w:val="left" w:pos="169"/>
        </w:tabs>
        <w:autoSpaceDE/>
        <w:autoSpaceDN/>
        <w:adjustRightInd/>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 32 мм. Спереди сверху летчик защи</w:t>
      </w:r>
      <w:r w:rsidRPr="00070ADE">
        <w:rPr>
          <w:rFonts w:ascii="Times New Roman" w:hAnsi="Times New Roman" w:cs="Times New Roman"/>
          <w:color w:val="000000" w:themeColor="text1"/>
          <w:sz w:val="16"/>
          <w:szCs w:val="16"/>
        </w:rPr>
        <w:softHyphen/>
        <w:t>щался двумя бронеплитами толщиной по 4,75 мм, одна из которых устанавливалась перед расширительным бачком, а вторая</w:t>
      </w:r>
    </w:p>
    <w:p w14:paraId="1CD0FAF3" w14:textId="77777777" w:rsidR="00903E13" w:rsidRPr="00070ADE" w:rsidRDefault="00903E13" w:rsidP="00B56F90">
      <w:pPr>
        <w:pStyle w:val="47"/>
        <w:numPr>
          <w:ilvl w:val="0"/>
          <w:numId w:val="1"/>
        </w:numPr>
        <w:shd w:val="clear" w:color="auto" w:fill="auto"/>
        <w:tabs>
          <w:tab w:val="left" w:pos="222"/>
        </w:tabs>
        <w:autoSpaceDE/>
        <w:autoSpaceDN/>
        <w:adjustRightInd/>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перед резервным бензобаком. Снизу спереди летчика прикрывали две бронеплиты по 4,75 мм под боковыми капотами мотора, по одной с каждой стороны. Под сиденьем располагалась бронеплита тол</w:t>
      </w:r>
      <w:r w:rsidRPr="00070ADE">
        <w:rPr>
          <w:rFonts w:ascii="Times New Roman" w:hAnsi="Times New Roman" w:cs="Times New Roman"/>
          <w:color w:val="000000" w:themeColor="text1"/>
          <w:sz w:val="16"/>
          <w:szCs w:val="16"/>
        </w:rPr>
        <w:softHyphen/>
        <w:t>щиной 7,5 мм. Со стороны задней полу</w:t>
      </w:r>
      <w:r w:rsidRPr="00070ADE">
        <w:rPr>
          <w:rFonts w:ascii="Times New Roman" w:hAnsi="Times New Roman" w:cs="Times New Roman"/>
          <w:color w:val="000000" w:themeColor="text1"/>
          <w:sz w:val="16"/>
          <w:szCs w:val="16"/>
        </w:rPr>
        <w:softHyphen/>
        <w:t>сферы летчик защищался бронеспинкой, состоящей из четырех 4,75-мм бронеплит и бронезаголовника толщиной 10,25 мм.</w:t>
      </w:r>
    </w:p>
    <w:p w14:paraId="183810CD"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Водо- и маслорадиаторы защища</w:t>
      </w:r>
      <w:r w:rsidRPr="00070ADE">
        <w:rPr>
          <w:rFonts w:ascii="Times New Roman" w:hAnsi="Times New Roman" w:cs="Times New Roman"/>
          <w:color w:val="000000" w:themeColor="text1"/>
          <w:sz w:val="16"/>
          <w:szCs w:val="16"/>
        </w:rPr>
        <w:softHyphen/>
        <w:t>лись снизу пятью 4,5-мм бронеплитами. Бронирование мотора включало четыре бронеплиты с левой стороны толщиной 4,25 и 4,75 мм, три плиты с правой сто</w:t>
      </w:r>
      <w:r w:rsidRPr="00070ADE">
        <w:rPr>
          <w:rFonts w:ascii="Times New Roman" w:hAnsi="Times New Roman" w:cs="Times New Roman"/>
          <w:color w:val="000000" w:themeColor="text1"/>
          <w:sz w:val="16"/>
          <w:szCs w:val="16"/>
        </w:rPr>
        <w:softHyphen/>
        <w:t>роны толщиной 4,75, 5,25 и 6,75 мм и три бронеплиты снизу толщиной 7,5 мм, 5,25 и 4,75 мм. Все плиты крепились к подкосам моторной рамы и закрывались капотами мотора.</w:t>
      </w:r>
    </w:p>
    <w:p w14:paraId="39E937C1"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Масса пустого самолета составлял 2763 кг. Нормальный полетный вес - 3650 кг.</w:t>
      </w:r>
    </w:p>
    <w:p w14:paraId="430CB231"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На номинальном режиме работы мо</w:t>
      </w:r>
      <w:r w:rsidRPr="00070ADE">
        <w:rPr>
          <w:rFonts w:ascii="Times New Roman" w:hAnsi="Times New Roman" w:cs="Times New Roman"/>
          <w:color w:val="000000" w:themeColor="text1"/>
          <w:sz w:val="16"/>
          <w:szCs w:val="16"/>
        </w:rPr>
        <w:softHyphen/>
        <w:t>тора максимальная скорость самолета «Харрикейн» 1Ю зав. № КХ-305 достигала 398 км/ч - у земли, 460 км/ч - на 1-й гра</w:t>
      </w:r>
      <w:r w:rsidRPr="00070ADE">
        <w:rPr>
          <w:rFonts w:ascii="Times New Roman" w:hAnsi="Times New Roman" w:cs="Times New Roman"/>
          <w:color w:val="000000" w:themeColor="text1"/>
          <w:sz w:val="16"/>
          <w:szCs w:val="16"/>
        </w:rPr>
        <w:softHyphen/>
        <w:t>нице высотности (3400 м), 478 км/ч - на 2-й границе высотности (5300 м). На бое</w:t>
      </w:r>
      <w:r w:rsidRPr="00070ADE">
        <w:rPr>
          <w:rFonts w:ascii="Times New Roman" w:hAnsi="Times New Roman" w:cs="Times New Roman"/>
          <w:color w:val="000000" w:themeColor="text1"/>
          <w:sz w:val="16"/>
          <w:szCs w:val="16"/>
        </w:rPr>
        <w:softHyphen/>
        <w:t>вом режиме работы мотора, который мож</w:t>
      </w:r>
      <w:r w:rsidRPr="00070ADE">
        <w:rPr>
          <w:rFonts w:ascii="Times New Roman" w:hAnsi="Times New Roman" w:cs="Times New Roman"/>
          <w:color w:val="000000" w:themeColor="text1"/>
          <w:sz w:val="16"/>
          <w:szCs w:val="16"/>
        </w:rPr>
        <w:softHyphen/>
        <w:t>но было использовать в течение не более 5 мин, скорость самолета на высоте воз</w:t>
      </w:r>
      <w:r w:rsidRPr="00070ADE">
        <w:rPr>
          <w:rFonts w:ascii="Times New Roman" w:hAnsi="Times New Roman" w:cs="Times New Roman"/>
          <w:color w:val="000000" w:themeColor="text1"/>
          <w:sz w:val="16"/>
          <w:szCs w:val="16"/>
        </w:rPr>
        <w:softHyphen/>
        <w:t>растала на 6-8 км/ч. При этом границы вы</w:t>
      </w:r>
      <w:r w:rsidRPr="00070ADE">
        <w:rPr>
          <w:rFonts w:ascii="Times New Roman" w:hAnsi="Times New Roman" w:cs="Times New Roman"/>
          <w:color w:val="000000" w:themeColor="text1"/>
          <w:sz w:val="16"/>
          <w:szCs w:val="16"/>
        </w:rPr>
        <w:softHyphen/>
        <w:t>сотности несколько смещались вверх на 300-350 м. Практический потолок - 9650 м.</w:t>
      </w:r>
    </w:p>
    <w:p w14:paraId="591CDBCA"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Вертикальная скорость у земли состав</w:t>
      </w:r>
      <w:r w:rsidRPr="00070ADE">
        <w:rPr>
          <w:rFonts w:ascii="Times New Roman" w:hAnsi="Times New Roman" w:cs="Times New Roman"/>
          <w:color w:val="000000" w:themeColor="text1"/>
          <w:sz w:val="16"/>
          <w:szCs w:val="16"/>
        </w:rPr>
        <w:softHyphen/>
        <w:t>ляла 9,7 м/с, на высоте 2000 м - 10,5 м/с, а на 3000 м -11,2 м/с. Соответственно, на вы</w:t>
      </w:r>
      <w:r w:rsidRPr="00070ADE">
        <w:rPr>
          <w:rFonts w:ascii="Times New Roman" w:hAnsi="Times New Roman" w:cs="Times New Roman"/>
          <w:color w:val="000000" w:themeColor="text1"/>
          <w:sz w:val="16"/>
          <w:szCs w:val="16"/>
        </w:rPr>
        <w:softHyphen/>
        <w:t>соту 1000 м самолет забирался за 1,8 мин, на 3000 м - за 5,0 мин, а на 5000 м - за 8,5 мин.</w:t>
      </w:r>
    </w:p>
    <w:p w14:paraId="4328B3FE"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Самолет на высоте 1000 м разгонялся при даче полного газа от скорости 0,7 до 0,95 максимальной за 0,72 мин, а тормо</w:t>
      </w:r>
      <w:r w:rsidRPr="00070ADE">
        <w:rPr>
          <w:rFonts w:ascii="Times New Roman" w:hAnsi="Times New Roman" w:cs="Times New Roman"/>
          <w:color w:val="000000" w:themeColor="text1"/>
          <w:sz w:val="16"/>
          <w:szCs w:val="16"/>
        </w:rPr>
        <w:softHyphen/>
        <w:t>зил при сбросе газа до скорости 0,7 макси</w:t>
      </w:r>
      <w:r w:rsidRPr="00070ADE">
        <w:rPr>
          <w:rFonts w:ascii="Times New Roman" w:hAnsi="Times New Roman" w:cs="Times New Roman"/>
          <w:color w:val="000000" w:themeColor="text1"/>
          <w:sz w:val="16"/>
          <w:szCs w:val="16"/>
        </w:rPr>
        <w:softHyphen/>
        <w:t>мальной за 0,48 мин.</w:t>
      </w:r>
    </w:p>
    <w:p w14:paraId="0B8DE86D"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Скорость, скороподъемность и раз</w:t>
      </w:r>
      <w:r w:rsidRPr="00070ADE">
        <w:rPr>
          <w:rFonts w:ascii="Times New Roman" w:hAnsi="Times New Roman" w:cs="Times New Roman"/>
          <w:color w:val="000000" w:themeColor="text1"/>
          <w:sz w:val="16"/>
          <w:szCs w:val="16"/>
        </w:rPr>
        <w:softHyphen/>
        <w:t>гонные характеристики замерялись с пылефильтром, установленным на всасы</w:t>
      </w:r>
      <w:r w:rsidRPr="00070ADE">
        <w:rPr>
          <w:rFonts w:ascii="Times New Roman" w:hAnsi="Times New Roman" w:cs="Times New Roman"/>
          <w:color w:val="000000" w:themeColor="text1"/>
          <w:sz w:val="16"/>
          <w:szCs w:val="16"/>
        </w:rPr>
        <w:softHyphen/>
        <w:t>вающем патрубке мотора, при закрытом фонаре и полностью открытой заслонке радиаторов.</w:t>
      </w:r>
    </w:p>
    <w:p w14:paraId="5E1A4635"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За один боевой разворот (левый и пра</w:t>
      </w:r>
      <w:r w:rsidRPr="00070ADE">
        <w:rPr>
          <w:rFonts w:ascii="Times New Roman" w:hAnsi="Times New Roman" w:cs="Times New Roman"/>
          <w:color w:val="000000" w:themeColor="text1"/>
          <w:sz w:val="16"/>
          <w:szCs w:val="16"/>
        </w:rPr>
        <w:softHyphen/>
        <w:t>вый) с высоты 5000 м при скорости ввода 412 км/ч самолет набирал 460 м. Скорость выхода в горизонтальный полет - 267 км/ч. На выполнение маневра затрачивалось 28 сек.</w:t>
      </w:r>
    </w:p>
    <w:p w14:paraId="31044A54"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При выполнении правого переворота при скорости ввода 207-215 км/ч самолет терял до 700 м высоты, а при выполнении левого переворота - 830 м. Скорость на выходе из переворота - 309-329 км/ч.</w:t>
      </w:r>
    </w:p>
    <w:p w14:paraId="0CA441A6"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Виражи самолет выполнял устойчиво и легко сохранял заданный крен. Время полного виража на высоте 1000 м состав</w:t>
      </w:r>
      <w:r w:rsidRPr="00070ADE">
        <w:rPr>
          <w:rFonts w:ascii="Times New Roman" w:hAnsi="Times New Roman" w:cs="Times New Roman"/>
          <w:color w:val="000000" w:themeColor="text1"/>
          <w:sz w:val="16"/>
          <w:szCs w:val="16"/>
        </w:rPr>
        <w:softHyphen/>
        <w:t>ляло 22 с при выполнении левого виража и 29-30 с при выполнении правого вира</w:t>
      </w:r>
      <w:r w:rsidRPr="00070ADE">
        <w:rPr>
          <w:rFonts w:ascii="Times New Roman" w:hAnsi="Times New Roman" w:cs="Times New Roman"/>
          <w:color w:val="000000" w:themeColor="text1"/>
          <w:sz w:val="16"/>
          <w:szCs w:val="16"/>
        </w:rPr>
        <w:softHyphen/>
        <w:t>жа. При этом радиус виража не превышал 315 и 470 м, соответственно.</w:t>
      </w:r>
    </w:p>
    <w:p w14:paraId="14773B93"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Разбег самолета при взлете находил</w:t>
      </w:r>
      <w:r w:rsidRPr="00070ADE">
        <w:rPr>
          <w:rFonts w:ascii="Times New Roman" w:hAnsi="Times New Roman" w:cs="Times New Roman"/>
          <w:color w:val="000000" w:themeColor="text1"/>
          <w:sz w:val="16"/>
          <w:szCs w:val="16"/>
        </w:rPr>
        <w:softHyphen/>
        <w:t>ся в пределах 420 м. Скорость отрыва - 152 км/ч. Посадочная скорость равнялась 123 км/ч. Пробег при посадке со щитками, отклоненными на 80', не превышал 440 м.</w:t>
      </w:r>
    </w:p>
    <w:p w14:paraId="3D3527B5"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Максимальная дальность полета на высоте 910-950 м при скорости полета 265 км/ч достигала 825 км (3 ч).</w:t>
      </w:r>
    </w:p>
    <w:p w14:paraId="3B411229"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ходе испытаний было выполнено че</w:t>
      </w:r>
      <w:r w:rsidRPr="00070ADE">
        <w:rPr>
          <w:rFonts w:ascii="Times New Roman" w:hAnsi="Times New Roman" w:cs="Times New Roman"/>
          <w:color w:val="000000" w:themeColor="text1"/>
          <w:sz w:val="16"/>
          <w:szCs w:val="16"/>
        </w:rPr>
        <w:softHyphen/>
        <w:t>тыре полета на пикирование под углами от 30' до 55°. Максимальная скорость на пики</w:t>
      </w:r>
      <w:r w:rsidRPr="00070ADE">
        <w:rPr>
          <w:rFonts w:ascii="Times New Roman" w:hAnsi="Times New Roman" w:cs="Times New Roman"/>
          <w:color w:val="000000" w:themeColor="text1"/>
          <w:sz w:val="16"/>
          <w:szCs w:val="16"/>
        </w:rPr>
        <w:softHyphen/>
        <w:t>ровании доводилась до 630 км/ч (скорость ввода 380 км/ч), а перегрузка на выводе из пикирования до 3 единиц.</w:t>
      </w:r>
    </w:p>
    <w:p w14:paraId="4A628CB4"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Пикировал самолет устойчиво. Поведение самолета с триммерами руля поворота, установленными нейтрально, было нормальным, тенденции к затяги</w:t>
      </w:r>
      <w:r w:rsidRPr="00070ADE">
        <w:rPr>
          <w:rFonts w:ascii="Times New Roman" w:hAnsi="Times New Roman" w:cs="Times New Roman"/>
          <w:color w:val="000000" w:themeColor="text1"/>
          <w:sz w:val="16"/>
          <w:szCs w:val="16"/>
        </w:rPr>
        <w:softHyphen/>
        <w:t>ванию в пикирование не наблюдалось. Усилия на рули нормальные. Однако при достижении скорости 610-620 км/ч из-за отсасывания и срыва воздушного потока с замков обтекателей подкрыльевых пушек появлялась заметная тряска плоскостей и вибрация педалей ножного управления.</w:t>
      </w:r>
    </w:p>
    <w:p w14:paraId="41BCBF1D"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Летчики, облетавшие «Харрикейн» 1Ю, отмечали хороший обзор вперед, в сторону и вверх и неудовлетворительный - вперед- вниз и назад. Габариты кабины позволяли летчику наклоняться в стороны, что сочли недостатком самолета. Бронестекло ко</w:t>
      </w:r>
      <w:r w:rsidRPr="00070ADE">
        <w:rPr>
          <w:rFonts w:ascii="Times New Roman" w:hAnsi="Times New Roman" w:cs="Times New Roman"/>
          <w:color w:val="000000" w:themeColor="text1"/>
          <w:sz w:val="16"/>
          <w:szCs w:val="16"/>
        </w:rPr>
        <w:softHyphen/>
        <w:t>зырька фонаря и целлулоид подвижной части имели удовлетворительную про</w:t>
      </w:r>
      <w:r w:rsidRPr="00070ADE">
        <w:rPr>
          <w:rFonts w:ascii="Times New Roman" w:hAnsi="Times New Roman" w:cs="Times New Roman"/>
          <w:color w:val="000000" w:themeColor="text1"/>
          <w:sz w:val="16"/>
          <w:szCs w:val="16"/>
        </w:rPr>
        <w:softHyphen/>
        <w:t>зрачность и почти не давали искажений. Случаев отколов и обмерзания бронестек</w:t>
      </w:r>
      <w:r w:rsidRPr="00070ADE">
        <w:rPr>
          <w:rFonts w:ascii="Times New Roman" w:hAnsi="Times New Roman" w:cs="Times New Roman"/>
          <w:color w:val="000000" w:themeColor="text1"/>
          <w:sz w:val="16"/>
          <w:szCs w:val="16"/>
        </w:rPr>
        <w:softHyphen/>
        <w:t>ла и целлулоида при полетах в условиях зимы не наблюдалось. Размещение не</w:t>
      </w:r>
      <w:r w:rsidRPr="00070ADE">
        <w:rPr>
          <w:rFonts w:ascii="Times New Roman" w:hAnsi="Times New Roman" w:cs="Times New Roman"/>
          <w:color w:val="000000" w:themeColor="text1"/>
          <w:sz w:val="16"/>
          <w:szCs w:val="16"/>
        </w:rPr>
        <w:softHyphen/>
        <w:t>которых приборов на приборной доске и рычагов управления оказалось неудобным (например, рычаг управления уборкой и выпуском шасси).</w:t>
      </w:r>
    </w:p>
    <w:p w14:paraId="00FCA0B1"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Анализ схемы бронирования показал, что броня прикрывала летчика в горизон</w:t>
      </w:r>
      <w:r w:rsidRPr="00070ADE">
        <w:rPr>
          <w:rFonts w:ascii="Times New Roman" w:hAnsi="Times New Roman" w:cs="Times New Roman"/>
          <w:color w:val="000000" w:themeColor="text1"/>
          <w:sz w:val="16"/>
          <w:szCs w:val="16"/>
        </w:rPr>
        <w:softHyphen/>
        <w:t>тальной плоскости в угловом конусе 30-40° и в вертикальной плоскости до 10-15" вверх и 15-20° вниз по отношению к продольной оси самолета. В этом диапазоне углов вполне обеспечивалась защита от пора</w:t>
      </w:r>
      <w:r w:rsidRPr="00070ADE">
        <w:rPr>
          <w:rFonts w:ascii="Times New Roman" w:hAnsi="Times New Roman" w:cs="Times New Roman"/>
          <w:color w:val="000000" w:themeColor="text1"/>
          <w:sz w:val="16"/>
          <w:szCs w:val="16"/>
        </w:rPr>
        <w:softHyphen/>
        <w:t>жения бронебойными пулями нормально</w:t>
      </w:r>
      <w:r w:rsidRPr="00070ADE">
        <w:rPr>
          <w:rFonts w:ascii="Times New Roman" w:hAnsi="Times New Roman" w:cs="Times New Roman"/>
          <w:color w:val="000000" w:themeColor="text1"/>
          <w:sz w:val="16"/>
          <w:szCs w:val="16"/>
        </w:rPr>
        <w:softHyphen/>
        <w:t>го калибра при стрельбе с дистанции не менее 100-150 м и бронебойными пулями крупного калибра с дистанции 400-500 м и более. Между тем летчик не имел броне</w:t>
      </w:r>
      <w:r w:rsidRPr="00070ADE">
        <w:rPr>
          <w:rFonts w:ascii="Times New Roman" w:hAnsi="Times New Roman" w:cs="Times New Roman"/>
          <w:color w:val="000000" w:themeColor="text1"/>
          <w:sz w:val="16"/>
          <w:szCs w:val="16"/>
        </w:rPr>
        <w:softHyphen/>
        <w:t>вой защиты сбоку и сверху. Совершенно не были защищены бензо- и маслобаки. Защита мотора, водо- и маслорадиатора считалась недостаточной. Мотор не имел брони сверху, водо- и маслорадиаторы не защищались со стороны входа и выхода воздушного тоннеля.</w:t>
      </w:r>
    </w:p>
    <w:p w14:paraId="76AD6204"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 общему мнению летчиков увели</w:t>
      </w:r>
      <w:r w:rsidRPr="00070ADE">
        <w:rPr>
          <w:rFonts w:ascii="Times New Roman" w:hAnsi="Times New Roman" w:cs="Times New Roman"/>
          <w:color w:val="000000" w:themeColor="text1"/>
          <w:sz w:val="16"/>
          <w:szCs w:val="16"/>
        </w:rPr>
        <w:softHyphen/>
        <w:t>чение полетного веса и ухудшение аэро</w:t>
      </w:r>
      <w:r w:rsidRPr="00070ADE">
        <w:rPr>
          <w:rFonts w:ascii="Times New Roman" w:hAnsi="Times New Roman" w:cs="Times New Roman"/>
          <w:color w:val="000000" w:themeColor="text1"/>
          <w:sz w:val="16"/>
          <w:szCs w:val="16"/>
        </w:rPr>
        <w:softHyphen/>
        <w:t>динамики самолета Мк.1Ю по сравнению с Мк.НС привело к заметному понижению летных данных и маневренности самолета, как в вертикальной, так и в горизонталь</w:t>
      </w:r>
      <w:r w:rsidRPr="00070ADE">
        <w:rPr>
          <w:rFonts w:ascii="Times New Roman" w:hAnsi="Times New Roman" w:cs="Times New Roman"/>
          <w:color w:val="000000" w:themeColor="text1"/>
          <w:sz w:val="16"/>
          <w:szCs w:val="16"/>
        </w:rPr>
        <w:softHyphen/>
        <w:t>ной плоскости. Для выполнения фигур, «скорости приходится держать больше на 5-7 миль/ч, так как самолет тяжелее и инер</w:t>
      </w:r>
      <w:r w:rsidRPr="00070ADE">
        <w:rPr>
          <w:rFonts w:ascii="Times New Roman" w:hAnsi="Times New Roman" w:cs="Times New Roman"/>
          <w:color w:val="000000" w:themeColor="text1"/>
          <w:sz w:val="16"/>
          <w:szCs w:val="16"/>
        </w:rPr>
        <w:softHyphen/>
        <w:t>тнее». Продольная и поперечная устойчи</w:t>
      </w:r>
      <w:r w:rsidRPr="00070ADE">
        <w:rPr>
          <w:rFonts w:ascii="Times New Roman" w:hAnsi="Times New Roman" w:cs="Times New Roman"/>
          <w:color w:val="000000" w:themeColor="text1"/>
          <w:sz w:val="16"/>
          <w:szCs w:val="16"/>
        </w:rPr>
        <w:softHyphen/>
        <w:t>вость самолета оставляла желать лучшего. Сбалансированность самолета в горизон</w:t>
      </w:r>
      <w:r w:rsidRPr="00070ADE">
        <w:rPr>
          <w:rFonts w:ascii="Times New Roman" w:hAnsi="Times New Roman" w:cs="Times New Roman"/>
          <w:color w:val="000000" w:themeColor="text1"/>
          <w:sz w:val="16"/>
          <w:szCs w:val="16"/>
        </w:rPr>
        <w:softHyphen/>
        <w:t>тальном полете была затруднена и требо</w:t>
      </w:r>
      <w:r w:rsidRPr="00070ADE">
        <w:rPr>
          <w:rFonts w:ascii="Times New Roman" w:hAnsi="Times New Roman" w:cs="Times New Roman"/>
          <w:color w:val="000000" w:themeColor="text1"/>
          <w:sz w:val="16"/>
          <w:szCs w:val="16"/>
        </w:rPr>
        <w:softHyphen/>
        <w:t>вала постоянной регулировки положения триммера при изменении скорости поле</w:t>
      </w:r>
      <w:r w:rsidRPr="00070ADE">
        <w:rPr>
          <w:rFonts w:ascii="Times New Roman" w:hAnsi="Times New Roman" w:cs="Times New Roman"/>
          <w:color w:val="000000" w:themeColor="text1"/>
          <w:sz w:val="16"/>
          <w:szCs w:val="16"/>
        </w:rPr>
        <w:softHyphen/>
        <w:t>та. На вертикальных фигурах самолет бы</w:t>
      </w:r>
      <w:r w:rsidRPr="00070ADE">
        <w:rPr>
          <w:rFonts w:ascii="Times New Roman" w:hAnsi="Times New Roman" w:cs="Times New Roman"/>
          <w:color w:val="000000" w:themeColor="text1"/>
          <w:sz w:val="16"/>
          <w:szCs w:val="16"/>
        </w:rPr>
        <w:softHyphen/>
        <w:t>стро терял скорость, набор высоты на им</w:t>
      </w:r>
      <w:r w:rsidRPr="00070ADE">
        <w:rPr>
          <w:rFonts w:ascii="Times New Roman" w:hAnsi="Times New Roman" w:cs="Times New Roman"/>
          <w:color w:val="000000" w:themeColor="text1"/>
          <w:sz w:val="16"/>
          <w:szCs w:val="16"/>
        </w:rPr>
        <w:softHyphen/>
        <w:t>мельмане и боевом развороте сократился. В то же время техника пилотирования Мк.1Ю практически ничем не отличалась от самолетов «Харрикейн» НС или ИВ.</w:t>
      </w:r>
    </w:p>
    <w:p w14:paraId="74962ABD"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Проведенный 27 декабря 1943 г. учеб</w:t>
      </w:r>
      <w:r w:rsidRPr="00070ADE">
        <w:rPr>
          <w:rFonts w:ascii="Times New Roman" w:hAnsi="Times New Roman" w:cs="Times New Roman"/>
          <w:color w:val="000000" w:themeColor="text1"/>
          <w:sz w:val="16"/>
          <w:szCs w:val="16"/>
        </w:rPr>
        <w:softHyphen/>
        <w:t>ный воздушный бой с трофейным истре</w:t>
      </w:r>
      <w:r w:rsidRPr="00070ADE">
        <w:rPr>
          <w:rFonts w:ascii="Times New Roman" w:hAnsi="Times New Roman" w:cs="Times New Roman"/>
          <w:color w:val="000000" w:themeColor="text1"/>
          <w:sz w:val="16"/>
          <w:szCs w:val="16"/>
        </w:rPr>
        <w:softHyphen/>
        <w:t>бителем В1109С-4 показал, что самолет «Харрикейн» 1Ю воздушный бой с ним вести не может. Причем не только наступатель</w:t>
      </w:r>
      <w:r w:rsidRPr="00070ADE">
        <w:rPr>
          <w:rFonts w:ascii="Times New Roman" w:hAnsi="Times New Roman" w:cs="Times New Roman"/>
          <w:color w:val="000000" w:themeColor="text1"/>
          <w:sz w:val="16"/>
          <w:szCs w:val="16"/>
        </w:rPr>
        <w:softHyphen/>
        <w:t>ный бой, но и оборонительный. Немецкий истребитель имел явное преимущество в горизонтальной и в вертикальной плоско</w:t>
      </w:r>
      <w:r w:rsidRPr="00070ADE">
        <w:rPr>
          <w:rFonts w:ascii="Times New Roman" w:hAnsi="Times New Roman" w:cs="Times New Roman"/>
          <w:color w:val="000000" w:themeColor="text1"/>
          <w:sz w:val="16"/>
          <w:szCs w:val="16"/>
        </w:rPr>
        <w:softHyphen/>
        <w:t>сти. На виражах «мессер» заходил в хвост «Харрикейну» уже после первого виража на левом вираже и после двух виражей - на правом. При атаках ВШ9С-4 сверху-сза</w:t>
      </w:r>
      <w:r w:rsidRPr="00070ADE">
        <w:rPr>
          <w:rFonts w:ascii="Times New Roman" w:hAnsi="Times New Roman" w:cs="Times New Roman"/>
          <w:color w:val="000000" w:themeColor="text1"/>
          <w:sz w:val="16"/>
          <w:szCs w:val="16"/>
        </w:rPr>
        <w:softHyphen/>
        <w:t>ди старшему лейтенанту Поминальному, пилотировавшему «Харрикейн», удавалось вывернуться только из-под первой атаки «мессершмитта», уйти от последующих атак не получалось. Подавляющее пре</w:t>
      </w:r>
      <w:r w:rsidRPr="00070ADE">
        <w:rPr>
          <w:rFonts w:ascii="Times New Roman" w:hAnsi="Times New Roman" w:cs="Times New Roman"/>
          <w:color w:val="000000" w:themeColor="text1"/>
          <w:sz w:val="16"/>
          <w:szCs w:val="16"/>
        </w:rPr>
        <w:softHyphen/>
        <w:t>имущество в вертикальном маневре не</w:t>
      </w:r>
      <w:r w:rsidRPr="00070ADE">
        <w:rPr>
          <w:rFonts w:ascii="Times New Roman" w:hAnsi="Times New Roman" w:cs="Times New Roman"/>
          <w:color w:val="000000" w:themeColor="text1"/>
          <w:sz w:val="16"/>
          <w:szCs w:val="16"/>
        </w:rPr>
        <w:softHyphen/>
        <w:t>мецкого истребителя позволяло капитану Кувшинову, который летал на ВГ109С-4, свободно занимать выгодную для ата</w:t>
      </w:r>
      <w:r w:rsidRPr="00070ADE">
        <w:rPr>
          <w:rFonts w:ascii="Times New Roman" w:hAnsi="Times New Roman" w:cs="Times New Roman"/>
          <w:color w:val="000000" w:themeColor="text1"/>
          <w:sz w:val="16"/>
          <w:szCs w:val="16"/>
        </w:rPr>
        <w:softHyphen/>
        <w:t>ки позицию и атаковать «Харрикейн» Поминального из любого положения.</w:t>
      </w:r>
    </w:p>
    <w:p w14:paraId="3FF280A2"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После обмена мнениями летчика</w:t>
      </w:r>
      <w:r w:rsidRPr="00070ADE">
        <w:rPr>
          <w:rFonts w:ascii="Times New Roman" w:hAnsi="Times New Roman" w:cs="Times New Roman"/>
          <w:color w:val="000000" w:themeColor="text1"/>
          <w:sz w:val="16"/>
          <w:szCs w:val="16"/>
        </w:rPr>
        <w:softHyphen/>
        <w:t>ми был сделан вывод о недопустимости воздушного боя одиночного самолета «Харрикейн» 1Ю не только с группой но даже и с одиночным истребителем про</w:t>
      </w:r>
      <w:r w:rsidRPr="00070ADE">
        <w:rPr>
          <w:rFonts w:ascii="Times New Roman" w:hAnsi="Times New Roman" w:cs="Times New Roman"/>
          <w:color w:val="000000" w:themeColor="text1"/>
          <w:sz w:val="16"/>
          <w:szCs w:val="16"/>
        </w:rPr>
        <w:softHyphen/>
        <w:t>тивника. Рекомендовалось боевые зада-.' выполнять только группой и воздушньГ- бой вести в боевом порядке круг или вы</w:t>
      </w:r>
      <w:r w:rsidRPr="00070ADE">
        <w:rPr>
          <w:rFonts w:ascii="Times New Roman" w:hAnsi="Times New Roman" w:cs="Times New Roman"/>
          <w:color w:val="000000" w:themeColor="text1"/>
          <w:sz w:val="16"/>
          <w:szCs w:val="16"/>
        </w:rPr>
        <w:softHyphen/>
        <w:t>полняя ножницы с оттягиванием на свою территорию.</w:t>
      </w:r>
    </w:p>
    <w:p w14:paraId="553D96F3"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Вооружение самолета отстрели</w:t>
      </w:r>
      <w:r w:rsidRPr="00070ADE">
        <w:rPr>
          <w:rFonts w:ascii="Times New Roman" w:hAnsi="Times New Roman" w:cs="Times New Roman"/>
          <w:color w:val="000000" w:themeColor="text1"/>
          <w:sz w:val="16"/>
          <w:szCs w:val="16"/>
        </w:rPr>
        <w:softHyphen/>
        <w:t>валось как на земле, так и в воздухе. Стрельба велась снарядами, «снаряжен</w:t>
      </w:r>
      <w:r w:rsidRPr="00070ADE">
        <w:rPr>
          <w:rFonts w:ascii="Times New Roman" w:hAnsi="Times New Roman" w:cs="Times New Roman"/>
          <w:color w:val="000000" w:themeColor="text1"/>
          <w:sz w:val="16"/>
          <w:szCs w:val="16"/>
        </w:rPr>
        <w:softHyphen/>
        <w:t>ными стальными корпусами бронебойных снарядов, так как других боекомплектов для пушек МК-Н - 40 мм, в снабжающих организациях ВВС не имелось». При этом в снарядах отсутствовали «разрывной заряд ВВ и донный взрыватель, заглуш</w:t>
      </w:r>
      <w:r w:rsidRPr="00070ADE">
        <w:rPr>
          <w:rFonts w:ascii="Times New Roman" w:hAnsi="Times New Roman" w:cs="Times New Roman"/>
          <w:color w:val="000000" w:themeColor="text1"/>
          <w:sz w:val="16"/>
          <w:szCs w:val="16"/>
        </w:rPr>
        <w:softHyphen/>
        <w:t>ка вместо него не поставлена», так что внутренняя полость снаряда сообщалась с зарядной каморой патрона. То есть, снаряды «не имели ни фугасного, ни за</w:t>
      </w:r>
      <w:r w:rsidRPr="00070ADE">
        <w:rPr>
          <w:rFonts w:ascii="Times New Roman" w:hAnsi="Times New Roman" w:cs="Times New Roman"/>
          <w:color w:val="000000" w:themeColor="text1"/>
          <w:sz w:val="16"/>
          <w:szCs w:val="16"/>
        </w:rPr>
        <w:softHyphen/>
        <w:t>жигательного действия, а внутренняя и внешняя баллистика его отличалась от баллистики боевого снаряда». Очевидно, такие снаряды боевого значения не име</w:t>
      </w:r>
      <w:r w:rsidRPr="00070ADE">
        <w:rPr>
          <w:rFonts w:ascii="Times New Roman" w:hAnsi="Times New Roman" w:cs="Times New Roman"/>
          <w:color w:val="000000" w:themeColor="text1"/>
          <w:sz w:val="16"/>
          <w:szCs w:val="16"/>
        </w:rPr>
        <w:softHyphen/>
        <w:t>ли, их использование ограничивалось только учебными целями. Но других сна</w:t>
      </w:r>
      <w:r w:rsidRPr="00070ADE">
        <w:rPr>
          <w:rFonts w:ascii="Times New Roman" w:hAnsi="Times New Roman" w:cs="Times New Roman"/>
          <w:color w:val="000000" w:themeColor="text1"/>
          <w:sz w:val="16"/>
          <w:szCs w:val="16"/>
        </w:rPr>
        <w:softHyphen/>
        <w:t>рядов союзники не поставили!</w:t>
      </w:r>
    </w:p>
    <w:p w14:paraId="36D4C8C9"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общей сложности из пушек было вы</w:t>
      </w:r>
      <w:r w:rsidRPr="00070ADE">
        <w:rPr>
          <w:rFonts w:ascii="Times New Roman" w:hAnsi="Times New Roman" w:cs="Times New Roman"/>
          <w:color w:val="000000" w:themeColor="text1"/>
          <w:sz w:val="16"/>
          <w:szCs w:val="16"/>
        </w:rPr>
        <w:softHyphen/>
        <w:t>полнено 620 выстрелов, в том числе 212 выстрелов на земле и 408 в воздухе.</w:t>
      </w:r>
    </w:p>
    <w:p w14:paraId="1C279F10"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Пушки пристреливались сходящимся веером на стандартную для ВВС КА дистан</w:t>
      </w:r>
      <w:r w:rsidRPr="00070ADE">
        <w:rPr>
          <w:rFonts w:ascii="Times New Roman" w:hAnsi="Times New Roman" w:cs="Times New Roman"/>
          <w:color w:val="000000" w:themeColor="text1"/>
          <w:sz w:val="16"/>
          <w:szCs w:val="16"/>
        </w:rPr>
        <w:softHyphen/>
        <w:t>цию - 400 м. Рассеивание определялось стрельбой на земле и в воздухе по щитам. Стрельба велась одиночно и очередями.</w:t>
      </w:r>
    </w:p>
    <w:p w14:paraId="370DECB3"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На земле рассеивание определялось одиночной стрельбой на дальность 50 и 400 м по щиту 2x2 м, поставленному верти</w:t>
      </w:r>
      <w:r w:rsidRPr="00070ADE">
        <w:rPr>
          <w:rFonts w:ascii="Times New Roman" w:hAnsi="Times New Roman" w:cs="Times New Roman"/>
          <w:color w:val="000000" w:themeColor="text1"/>
          <w:sz w:val="16"/>
          <w:szCs w:val="16"/>
        </w:rPr>
        <w:softHyphen/>
        <w:t>кально. При стрельбе овальных отверстий в щите обнаружено не было, что характе</w:t>
      </w:r>
      <w:r w:rsidRPr="00070ADE">
        <w:rPr>
          <w:rFonts w:ascii="Times New Roman" w:hAnsi="Times New Roman" w:cs="Times New Roman"/>
          <w:color w:val="000000" w:themeColor="text1"/>
          <w:sz w:val="16"/>
          <w:szCs w:val="16"/>
        </w:rPr>
        <w:softHyphen/>
        <w:t>ризовало хорошую устойчивость снаряда в полете на данных дистанциях.</w:t>
      </w:r>
    </w:p>
    <w:p w14:paraId="2C3E583C"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Для левой пушки боковое отклоне</w:t>
      </w:r>
      <w:r w:rsidRPr="00070ADE">
        <w:rPr>
          <w:rFonts w:ascii="Times New Roman" w:hAnsi="Times New Roman" w:cs="Times New Roman"/>
          <w:color w:val="000000" w:themeColor="text1"/>
          <w:sz w:val="16"/>
          <w:szCs w:val="16"/>
        </w:rPr>
        <w:softHyphen/>
        <w:t>ние на дистанции 400 м составило всего 10,3 см, вертикальное - 17,0 см, а для пра</w:t>
      </w:r>
      <w:r w:rsidRPr="00070ADE">
        <w:rPr>
          <w:rFonts w:ascii="Times New Roman" w:hAnsi="Times New Roman" w:cs="Times New Roman"/>
          <w:color w:val="000000" w:themeColor="text1"/>
          <w:sz w:val="16"/>
          <w:szCs w:val="16"/>
        </w:rPr>
        <w:softHyphen/>
        <w:t>вой пушки -13,0 и 16,2 см, соответственно. При стрельбе пулеметов Кольт-Браунинг отклонение оказалось даже выше, чем при стрельбе из пушек: боковое и вертикаль</w:t>
      </w:r>
      <w:r w:rsidRPr="00070ADE">
        <w:rPr>
          <w:rFonts w:ascii="Times New Roman" w:hAnsi="Times New Roman" w:cs="Times New Roman"/>
          <w:color w:val="000000" w:themeColor="text1"/>
          <w:sz w:val="16"/>
          <w:szCs w:val="16"/>
        </w:rPr>
        <w:softHyphen/>
        <w:t>ное отклонения для левого пулемета рав</w:t>
      </w:r>
      <w:r w:rsidRPr="00070ADE">
        <w:rPr>
          <w:rFonts w:ascii="Times New Roman" w:hAnsi="Times New Roman" w:cs="Times New Roman"/>
          <w:color w:val="000000" w:themeColor="text1"/>
          <w:sz w:val="16"/>
          <w:szCs w:val="16"/>
        </w:rPr>
        <w:softHyphen/>
        <w:t>нялись 23,6 и 26,7 см, для правого пулеме</w:t>
      </w:r>
      <w:r w:rsidRPr="00070ADE">
        <w:rPr>
          <w:rFonts w:ascii="Times New Roman" w:hAnsi="Times New Roman" w:cs="Times New Roman"/>
          <w:color w:val="000000" w:themeColor="text1"/>
          <w:sz w:val="16"/>
          <w:szCs w:val="16"/>
        </w:rPr>
        <w:softHyphen/>
        <w:t>та-20,6 и 35,8 см.</w:t>
      </w:r>
    </w:p>
    <w:p w14:paraId="6ECBBB07"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Коэффициент искажения рассеивания с увеличением дистанции стрельбы до</w:t>
      </w:r>
      <w:r w:rsidRPr="00070ADE">
        <w:rPr>
          <w:rFonts w:ascii="Times New Roman" w:hAnsi="Times New Roman" w:cs="Times New Roman"/>
          <w:color w:val="000000" w:themeColor="text1"/>
          <w:sz w:val="16"/>
          <w:szCs w:val="16"/>
        </w:rPr>
        <w:softHyphen/>
        <w:t>стигал величин 0,63-1,32 - у пушек и 0,78- 1,77 - у пулеметов, что «указывает на невы</w:t>
      </w:r>
      <w:r w:rsidRPr="00070ADE">
        <w:rPr>
          <w:rFonts w:ascii="Times New Roman" w:hAnsi="Times New Roman" w:cs="Times New Roman"/>
          <w:color w:val="000000" w:themeColor="text1"/>
          <w:sz w:val="16"/>
          <w:szCs w:val="16"/>
        </w:rPr>
        <w:softHyphen/>
        <w:t>сокие баллистические качества оружия на данной установке».</w:t>
      </w:r>
    </w:p>
    <w:p w14:paraId="18D2F574"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lastRenderedPageBreak/>
        <w:t>В воздухе пушки отстреляли капитаны Голофастов, Кувшинов, Пикуленко, Кусакин и старший лейтенант Поминальный. Стрельба велась в горизонтальном полете, на виражах, на наборе высоты, а после вы</w:t>
      </w:r>
      <w:r w:rsidRPr="00070ADE">
        <w:rPr>
          <w:rFonts w:ascii="Times New Roman" w:hAnsi="Times New Roman" w:cs="Times New Roman"/>
          <w:color w:val="000000" w:themeColor="text1"/>
          <w:sz w:val="16"/>
          <w:szCs w:val="16"/>
        </w:rPr>
        <w:softHyphen/>
        <w:t>полнения пилотажа и по наземной цели с пикирования (по щитам и контуру самоле</w:t>
      </w:r>
      <w:r w:rsidRPr="00070ADE">
        <w:rPr>
          <w:rFonts w:ascii="Times New Roman" w:hAnsi="Times New Roman" w:cs="Times New Roman"/>
          <w:color w:val="000000" w:themeColor="text1"/>
          <w:sz w:val="16"/>
          <w:szCs w:val="16"/>
        </w:rPr>
        <w:softHyphen/>
        <w:t>та:. Кроме того, один полет был выполнен для стрельбы на большой высоте.</w:t>
      </w:r>
    </w:p>
    <w:p w14:paraId="701F2AFF"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Пушки при стрельбе в воздухе пока</w:t>
      </w:r>
      <w:r w:rsidRPr="00070ADE">
        <w:rPr>
          <w:rFonts w:ascii="Times New Roman" w:hAnsi="Times New Roman" w:cs="Times New Roman"/>
          <w:color w:val="000000" w:themeColor="text1"/>
          <w:sz w:val="16"/>
          <w:szCs w:val="16"/>
        </w:rPr>
        <w:softHyphen/>
        <w:t>зан/ себя, как надежное и безотказное оружие. Отдача при стрельбе из пушек более мягкая, чем при стрельбе из 37-мм -ушек НС-37 на самолетах Як-9т и ЛаГГ-3. С/нхронность стрельбы оценивалась как отличная.</w:t>
      </w:r>
    </w:p>
    <w:p w14:paraId="76C159E4"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При стрельбе в горизонтальном поле</w:t>
      </w:r>
      <w:r w:rsidRPr="00070ADE">
        <w:rPr>
          <w:rFonts w:ascii="Times New Roman" w:hAnsi="Times New Roman" w:cs="Times New Roman"/>
          <w:color w:val="000000" w:themeColor="text1"/>
          <w:sz w:val="16"/>
          <w:szCs w:val="16"/>
        </w:rPr>
        <w:softHyphen/>
        <w:t>те самолет «ощущает толчки и зарывается носом вниз». Такие же толчки имели место и на всех других режимах. На пикировании самолет во время стрельбы стремился увеличить угол пикирования и «его необ</w:t>
      </w:r>
      <w:r w:rsidRPr="00070ADE">
        <w:rPr>
          <w:rFonts w:ascii="Times New Roman" w:hAnsi="Times New Roman" w:cs="Times New Roman"/>
          <w:color w:val="000000" w:themeColor="text1"/>
          <w:sz w:val="16"/>
          <w:szCs w:val="16"/>
        </w:rPr>
        <w:softHyphen/>
        <w:t>ходимо удерживать ручкой управления». Сила отдачи при стрельбе «несколько при</w:t>
      </w:r>
      <w:r w:rsidRPr="00070ADE">
        <w:rPr>
          <w:rFonts w:ascii="Times New Roman" w:hAnsi="Times New Roman" w:cs="Times New Roman"/>
          <w:color w:val="000000" w:themeColor="text1"/>
          <w:sz w:val="16"/>
          <w:szCs w:val="16"/>
        </w:rPr>
        <w:softHyphen/>
        <w:t>тормаживает самолет, снижая скорость самолета на пикировании». При стрельбе во время набора высоты наблюдалось не</w:t>
      </w:r>
      <w:r w:rsidRPr="00070ADE">
        <w:rPr>
          <w:rFonts w:ascii="Times New Roman" w:hAnsi="Times New Roman" w:cs="Times New Roman"/>
          <w:color w:val="000000" w:themeColor="text1"/>
          <w:sz w:val="16"/>
          <w:szCs w:val="16"/>
        </w:rPr>
        <w:softHyphen/>
        <w:t>которое уменьшение угла.</w:t>
      </w:r>
    </w:p>
    <w:p w14:paraId="72A27756"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Чем длиннее очередь из пушек, «тем опускание носа самолета и толчки более за</w:t>
      </w:r>
      <w:r w:rsidRPr="00070ADE">
        <w:rPr>
          <w:rFonts w:ascii="Times New Roman" w:hAnsi="Times New Roman" w:cs="Times New Roman"/>
          <w:color w:val="000000" w:themeColor="text1"/>
          <w:sz w:val="16"/>
          <w:szCs w:val="16"/>
        </w:rPr>
        <w:softHyphen/>
        <w:t>метны». При очередях свыше 5-6 снарядов «удержать самолет от зарывания носом ста</w:t>
      </w:r>
      <w:r w:rsidRPr="00070ADE">
        <w:rPr>
          <w:rFonts w:ascii="Times New Roman" w:hAnsi="Times New Roman" w:cs="Times New Roman"/>
          <w:color w:val="000000" w:themeColor="text1"/>
          <w:sz w:val="16"/>
          <w:szCs w:val="16"/>
        </w:rPr>
        <w:softHyphen/>
        <w:t>новится затруднительно», «самолет начина</w:t>
      </w:r>
      <w:r w:rsidRPr="00070ADE">
        <w:rPr>
          <w:rFonts w:ascii="Times New Roman" w:hAnsi="Times New Roman" w:cs="Times New Roman"/>
          <w:color w:val="000000" w:themeColor="text1"/>
          <w:sz w:val="16"/>
          <w:szCs w:val="16"/>
        </w:rPr>
        <w:softHyphen/>
        <w:t>ет раскачиваться в полете» и «прицельная стрельба становится"'невозможной».</w:t>
      </w:r>
    </w:p>
    <w:p w14:paraId="5DC913A7"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Для обеспечения более точного по</w:t>
      </w:r>
      <w:r w:rsidRPr="00070ADE">
        <w:rPr>
          <w:rFonts w:ascii="Times New Roman" w:hAnsi="Times New Roman" w:cs="Times New Roman"/>
          <w:color w:val="000000" w:themeColor="text1"/>
          <w:sz w:val="16"/>
          <w:szCs w:val="16"/>
        </w:rPr>
        <w:softHyphen/>
        <w:t>ражения цели рекомендовалось произво</w:t>
      </w:r>
      <w:r w:rsidRPr="00070ADE">
        <w:rPr>
          <w:rFonts w:ascii="Times New Roman" w:hAnsi="Times New Roman" w:cs="Times New Roman"/>
          <w:color w:val="000000" w:themeColor="text1"/>
          <w:sz w:val="16"/>
          <w:szCs w:val="16"/>
        </w:rPr>
        <w:softHyphen/>
        <w:t>дить стрельбу очередями по 2-3 максимум 4 снаряда из каждой пушки. При этом ко</w:t>
      </w:r>
      <w:r w:rsidRPr="00070ADE">
        <w:rPr>
          <w:rFonts w:ascii="Times New Roman" w:hAnsi="Times New Roman" w:cs="Times New Roman"/>
          <w:color w:val="000000" w:themeColor="text1"/>
          <w:sz w:val="16"/>
          <w:szCs w:val="16"/>
        </w:rPr>
        <w:softHyphen/>
        <w:t>роткая очередь была рациональна и с точки зрения тактического применения самолета (более экономного расхода небольшого боекомплекта к пушкам).</w:t>
      </w:r>
    </w:p>
    <w:p w14:paraId="0603DFCA"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При стрельбе из одной пушки (правой или левой) самолет разворачивался в сто</w:t>
      </w:r>
      <w:r w:rsidRPr="00070ADE">
        <w:rPr>
          <w:rFonts w:ascii="Times New Roman" w:hAnsi="Times New Roman" w:cs="Times New Roman"/>
          <w:color w:val="000000" w:themeColor="text1"/>
          <w:sz w:val="16"/>
          <w:szCs w:val="16"/>
        </w:rPr>
        <w:softHyphen/>
        <w:t>рону стреляющей пушки, а так как «темп стрельбы очень мал, то держать самолет ногой, парируя рулями его отход от цели, почти невозможно». По заявлениям летчи</w:t>
      </w:r>
      <w:r w:rsidRPr="00070ADE">
        <w:rPr>
          <w:rFonts w:ascii="Times New Roman" w:hAnsi="Times New Roman" w:cs="Times New Roman"/>
          <w:color w:val="000000" w:themeColor="text1"/>
          <w:sz w:val="16"/>
          <w:szCs w:val="16"/>
        </w:rPr>
        <w:softHyphen/>
        <w:t>ков «получается разбалтывание самолета относительно вертикальной оси на ли</w:t>
      </w:r>
      <w:r w:rsidRPr="00070ADE">
        <w:rPr>
          <w:rFonts w:ascii="Times New Roman" w:hAnsi="Times New Roman" w:cs="Times New Roman"/>
          <w:color w:val="000000" w:themeColor="text1"/>
          <w:sz w:val="16"/>
          <w:szCs w:val="16"/>
        </w:rPr>
        <w:softHyphen/>
        <w:t>нии прицеливания, что ухудшает качество стрельбы». То есть прицельным был только первый снаряд в очереди.</w:t>
      </w:r>
    </w:p>
    <w:p w14:paraId="5DACEDFF"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Наиболее удобными углами пикирова</w:t>
      </w:r>
      <w:r w:rsidRPr="00070ADE">
        <w:rPr>
          <w:rFonts w:ascii="Times New Roman" w:hAnsi="Times New Roman" w:cs="Times New Roman"/>
          <w:color w:val="000000" w:themeColor="text1"/>
          <w:sz w:val="16"/>
          <w:szCs w:val="16"/>
        </w:rPr>
        <w:softHyphen/>
        <w:t>ния при стрельбе по наземной цели с точки зрения потери высоты и увеличения скоро</w:t>
      </w:r>
      <w:r w:rsidRPr="00070ADE">
        <w:rPr>
          <w:rFonts w:ascii="Times New Roman" w:hAnsi="Times New Roman" w:cs="Times New Roman"/>
          <w:color w:val="000000" w:themeColor="text1"/>
          <w:sz w:val="16"/>
          <w:szCs w:val="16"/>
        </w:rPr>
        <w:softHyphen/>
        <w:t>сти на пикировании, а также удобства при</w:t>
      </w:r>
      <w:r w:rsidRPr="00070ADE">
        <w:rPr>
          <w:rFonts w:ascii="Times New Roman" w:hAnsi="Times New Roman" w:cs="Times New Roman"/>
          <w:color w:val="000000" w:themeColor="text1"/>
          <w:sz w:val="16"/>
          <w:szCs w:val="16"/>
        </w:rPr>
        <w:softHyphen/>
        <w:t>целивания считался диапазон 35-45°. При высоте ввода в пикирование 500-550 м дистанция огня составляла 500-700 м, что было более чем достаточно для прицели</w:t>
      </w:r>
      <w:r w:rsidRPr="00070ADE">
        <w:rPr>
          <w:rFonts w:ascii="Times New Roman" w:hAnsi="Times New Roman" w:cs="Times New Roman"/>
          <w:color w:val="000000" w:themeColor="text1"/>
          <w:sz w:val="16"/>
          <w:szCs w:val="16"/>
        </w:rPr>
        <w:softHyphen/>
        <w:t>вания и производства 2-3 очередей.</w:t>
      </w:r>
    </w:p>
    <w:p w14:paraId="4E333085"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Важно отметить, что при стрельбе в воздухе по наземной цели «Харрикейн» допускал перенос огня от первоначальной точки наводки в боковом направлении и по дальности в пределах 10-15°, «что было за</w:t>
      </w:r>
      <w:r w:rsidRPr="00070ADE">
        <w:rPr>
          <w:rFonts w:ascii="Times New Roman" w:hAnsi="Times New Roman" w:cs="Times New Roman"/>
          <w:color w:val="000000" w:themeColor="text1"/>
          <w:sz w:val="16"/>
          <w:szCs w:val="16"/>
        </w:rPr>
        <w:softHyphen/>
        <w:t>труднено, а порой неосуществимо, на са</w:t>
      </w:r>
      <w:r w:rsidRPr="00070ADE">
        <w:rPr>
          <w:rFonts w:ascii="Times New Roman" w:hAnsi="Times New Roman" w:cs="Times New Roman"/>
          <w:color w:val="000000" w:themeColor="text1"/>
          <w:sz w:val="16"/>
          <w:szCs w:val="16"/>
        </w:rPr>
        <w:softHyphen/>
        <w:t>молете Ил-2 с 37-мм пушками».</w:t>
      </w:r>
    </w:p>
    <w:p w14:paraId="1CD932D7"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Летчикам понравилось удобное распо</w:t>
      </w:r>
      <w:r w:rsidRPr="00070ADE">
        <w:rPr>
          <w:rFonts w:ascii="Times New Roman" w:hAnsi="Times New Roman" w:cs="Times New Roman"/>
          <w:color w:val="000000" w:themeColor="text1"/>
          <w:sz w:val="16"/>
          <w:szCs w:val="16"/>
        </w:rPr>
        <w:softHyphen/>
        <w:t>ложение электрокнопки управления огнем из пушек на секторе газа под левую руку. Поскольку пулеметы приводились в дей</w:t>
      </w:r>
      <w:r w:rsidRPr="00070ADE">
        <w:rPr>
          <w:rFonts w:ascii="Times New Roman" w:hAnsi="Times New Roman" w:cs="Times New Roman"/>
          <w:color w:val="000000" w:themeColor="text1"/>
          <w:sz w:val="16"/>
          <w:szCs w:val="16"/>
        </w:rPr>
        <w:softHyphen/>
        <w:t>ствие кнопкой на ручке управления само</w:t>
      </w:r>
      <w:r w:rsidRPr="00070ADE">
        <w:rPr>
          <w:rFonts w:ascii="Times New Roman" w:hAnsi="Times New Roman" w:cs="Times New Roman"/>
          <w:color w:val="000000" w:themeColor="text1"/>
          <w:sz w:val="16"/>
          <w:szCs w:val="16"/>
        </w:rPr>
        <w:softHyphen/>
        <w:t>летом, то такое расположение управления пушками позволяло вести одновременный огонь из пушек и пулеметов.</w:t>
      </w:r>
    </w:p>
    <w:p w14:paraId="53801162"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Существенным недостатком системы управления вооружением посчитали от</w:t>
      </w:r>
      <w:r w:rsidRPr="00070ADE">
        <w:rPr>
          <w:rFonts w:ascii="Times New Roman" w:hAnsi="Times New Roman" w:cs="Times New Roman"/>
          <w:color w:val="000000" w:themeColor="text1"/>
          <w:sz w:val="16"/>
          <w:szCs w:val="16"/>
        </w:rPr>
        <w:softHyphen/>
        <w:t>сутствие приспособления перезарядки пушек в воздухе. По этой причине устра</w:t>
      </w:r>
      <w:r w:rsidRPr="00070ADE">
        <w:rPr>
          <w:rFonts w:ascii="Times New Roman" w:hAnsi="Times New Roman" w:cs="Times New Roman"/>
          <w:color w:val="000000" w:themeColor="text1"/>
          <w:sz w:val="16"/>
          <w:szCs w:val="16"/>
        </w:rPr>
        <w:softHyphen/>
        <w:t>нить возможные задержки в стрельбе лет</w:t>
      </w:r>
      <w:r w:rsidRPr="00070ADE">
        <w:rPr>
          <w:rFonts w:ascii="Times New Roman" w:hAnsi="Times New Roman" w:cs="Times New Roman"/>
          <w:color w:val="000000" w:themeColor="text1"/>
          <w:sz w:val="16"/>
          <w:szCs w:val="16"/>
        </w:rPr>
        <w:softHyphen/>
        <w:t>чик не мог. В полете в случае осечки лет</w:t>
      </w:r>
      <w:r w:rsidRPr="00070ADE">
        <w:rPr>
          <w:rFonts w:ascii="Times New Roman" w:hAnsi="Times New Roman" w:cs="Times New Roman"/>
          <w:color w:val="000000" w:themeColor="text1"/>
          <w:sz w:val="16"/>
          <w:szCs w:val="16"/>
        </w:rPr>
        <w:softHyphen/>
        <w:t>чик мог только повторно взвести ударный механизм, «что отсутствие системы пере</w:t>
      </w:r>
      <w:r w:rsidRPr="00070ADE">
        <w:rPr>
          <w:rFonts w:ascii="Times New Roman" w:hAnsi="Times New Roman" w:cs="Times New Roman"/>
          <w:color w:val="000000" w:themeColor="text1"/>
          <w:sz w:val="16"/>
          <w:szCs w:val="16"/>
        </w:rPr>
        <w:softHyphen/>
        <w:t>зарядки не компенсирует». В то же время взведение ударника (с помощью гашетки на левом борту) и контроль давления в воздушной системе управления оружием (с помощью манометра) осуществлялось просто и удобно.</w:t>
      </w:r>
    </w:p>
    <w:p w14:paraId="7327CE0A"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Прицеливание при помощи прицела Рефлектор Сайт Мк.115 простое. Включать прицел и регулировать накал лампы под</w:t>
      </w:r>
      <w:r w:rsidRPr="00070ADE">
        <w:rPr>
          <w:rFonts w:ascii="Times New Roman" w:hAnsi="Times New Roman" w:cs="Times New Roman"/>
          <w:color w:val="000000" w:themeColor="text1"/>
          <w:sz w:val="16"/>
          <w:szCs w:val="16"/>
        </w:rPr>
        <w:softHyphen/>
        <w:t>светки удобно.</w:t>
      </w:r>
    </w:p>
    <w:p w14:paraId="591855FC"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Попытка отстрелять все вооружение самолета на высоте 7500-8000 м оказа</w:t>
      </w:r>
      <w:r w:rsidRPr="00070ADE">
        <w:rPr>
          <w:rFonts w:ascii="Times New Roman" w:hAnsi="Times New Roman" w:cs="Times New Roman"/>
          <w:color w:val="000000" w:themeColor="text1"/>
          <w:sz w:val="16"/>
          <w:szCs w:val="16"/>
        </w:rPr>
        <w:softHyphen/>
        <w:t>лась неудачной. Из-за низкой температу</w:t>
      </w:r>
      <w:r w:rsidRPr="00070ADE">
        <w:rPr>
          <w:rFonts w:ascii="Times New Roman" w:hAnsi="Times New Roman" w:cs="Times New Roman"/>
          <w:color w:val="000000" w:themeColor="text1"/>
          <w:sz w:val="16"/>
          <w:szCs w:val="16"/>
        </w:rPr>
        <w:softHyphen/>
        <w:t>ры воздуха - около -54°С, оружие отказало в действии. На земле были определены не</w:t>
      </w:r>
      <w:r w:rsidRPr="00070ADE">
        <w:rPr>
          <w:rFonts w:ascii="Times New Roman" w:hAnsi="Times New Roman" w:cs="Times New Roman"/>
          <w:color w:val="000000" w:themeColor="text1"/>
          <w:sz w:val="16"/>
          <w:szCs w:val="16"/>
        </w:rPr>
        <w:softHyphen/>
        <w:t>отдачи в пушках и пулеметах, хотя оружие было смазано незамерзающей смазкой.</w:t>
      </w:r>
    </w:p>
    <w:p w14:paraId="15A7843C"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Летчики сочли, что «боекомплект 15 снарядов на пушку и темп стрельбы 100-110 выстрелов в минуту не могут удовлетворить ТТТ, предъявляемым ВВС к самолету-истребителю». Боекомплект к пулеметам был вполне достаточным.</w:t>
      </w:r>
    </w:p>
    <w:p w14:paraId="5688A38C"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Основные результаты при стрельбе по щиту с пикирования под углом 45° с дистан</w:t>
      </w:r>
      <w:r w:rsidRPr="00070ADE">
        <w:rPr>
          <w:rFonts w:ascii="Times New Roman" w:hAnsi="Times New Roman" w:cs="Times New Roman"/>
          <w:color w:val="000000" w:themeColor="text1"/>
          <w:sz w:val="16"/>
          <w:szCs w:val="16"/>
        </w:rPr>
        <w:softHyphen/>
        <w:t>ции 500-700 м сводились к следующему. Боковое отклонение и отклонение по даль</w:t>
      </w:r>
      <w:r w:rsidRPr="00070ADE">
        <w:rPr>
          <w:rFonts w:ascii="Times New Roman" w:hAnsi="Times New Roman" w:cs="Times New Roman"/>
          <w:color w:val="000000" w:themeColor="text1"/>
          <w:sz w:val="16"/>
          <w:szCs w:val="16"/>
        </w:rPr>
        <w:softHyphen/>
        <w:t>ности достигали: короткая очередь (2-3 снаряда) -1,08 и 1,70 м, длинная очередь (6-7 снарядов) - 1,51 и 2,39 м, рассеива</w:t>
      </w:r>
      <w:r w:rsidRPr="00070ADE">
        <w:rPr>
          <w:rFonts w:ascii="Times New Roman" w:hAnsi="Times New Roman" w:cs="Times New Roman"/>
          <w:color w:val="000000" w:themeColor="text1"/>
          <w:sz w:val="16"/>
          <w:szCs w:val="16"/>
        </w:rPr>
        <w:softHyphen/>
        <w:t>ние коротких очередей (5 очередей) - 1,55 и 3,11 м, рассеивание длинных очередей (2 очереди)-2,02 и 5,32 м.</w:t>
      </w:r>
    </w:p>
    <w:p w14:paraId="52F72313"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Наблюдались значительные отклоне</w:t>
      </w:r>
      <w:r w:rsidRPr="00070ADE">
        <w:rPr>
          <w:rFonts w:ascii="Times New Roman" w:hAnsi="Times New Roman" w:cs="Times New Roman"/>
          <w:color w:val="000000" w:themeColor="text1"/>
          <w:sz w:val="16"/>
          <w:szCs w:val="16"/>
        </w:rPr>
        <w:softHyphen/>
        <w:t>ния центра группирования в вертикальной плоскости (по дальности) с увеличением длины очереди. Если при стрельбе корот</w:t>
      </w:r>
      <w:r w:rsidRPr="00070ADE">
        <w:rPr>
          <w:rFonts w:ascii="Times New Roman" w:hAnsi="Times New Roman" w:cs="Times New Roman"/>
          <w:color w:val="000000" w:themeColor="text1"/>
          <w:sz w:val="16"/>
          <w:szCs w:val="16"/>
        </w:rPr>
        <w:softHyphen/>
        <w:t>кими очередями рассеивание центра груп</w:t>
      </w:r>
      <w:r w:rsidRPr="00070ADE">
        <w:rPr>
          <w:rFonts w:ascii="Times New Roman" w:hAnsi="Times New Roman" w:cs="Times New Roman"/>
          <w:color w:val="000000" w:themeColor="text1"/>
          <w:sz w:val="16"/>
          <w:szCs w:val="16"/>
        </w:rPr>
        <w:softHyphen/>
        <w:t>пирования очереди находилось в пределах от -1,1 до -2,4 м, то при переходе к стрель</w:t>
      </w:r>
      <w:r w:rsidRPr="00070ADE">
        <w:rPr>
          <w:rFonts w:ascii="Times New Roman" w:hAnsi="Times New Roman" w:cs="Times New Roman"/>
          <w:color w:val="000000" w:themeColor="text1"/>
          <w:sz w:val="16"/>
          <w:szCs w:val="16"/>
        </w:rPr>
        <w:softHyphen/>
        <w:t>бе длинными очередями резко возраста</w:t>
      </w:r>
      <w:r w:rsidRPr="00070ADE">
        <w:rPr>
          <w:rFonts w:ascii="Times New Roman" w:hAnsi="Times New Roman" w:cs="Times New Roman"/>
          <w:color w:val="000000" w:themeColor="text1"/>
          <w:sz w:val="16"/>
          <w:szCs w:val="16"/>
        </w:rPr>
        <w:softHyphen/>
        <w:t>ло - до -3,12-4,47 м. Это обстоятельство вполне соответствовало показаниям лет</w:t>
      </w:r>
      <w:r w:rsidRPr="00070ADE">
        <w:rPr>
          <w:rFonts w:ascii="Times New Roman" w:hAnsi="Times New Roman" w:cs="Times New Roman"/>
          <w:color w:val="000000" w:themeColor="text1"/>
          <w:sz w:val="16"/>
          <w:szCs w:val="16"/>
        </w:rPr>
        <w:softHyphen/>
        <w:t>чиков о стремлении самолета «зарываться носом при стрельбе на пикировании».</w:t>
      </w:r>
    </w:p>
    <w:p w14:paraId="6E097B59"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При стрельбе из одной пушки с увели</w:t>
      </w:r>
      <w:r w:rsidRPr="00070ADE">
        <w:rPr>
          <w:rFonts w:ascii="Times New Roman" w:hAnsi="Times New Roman" w:cs="Times New Roman"/>
          <w:color w:val="000000" w:themeColor="text1"/>
          <w:sz w:val="16"/>
          <w:szCs w:val="16"/>
        </w:rPr>
        <w:softHyphen/>
        <w:t>чением длины очереди центр группирова</w:t>
      </w:r>
      <w:r w:rsidRPr="00070ADE">
        <w:rPr>
          <w:rFonts w:ascii="Times New Roman" w:hAnsi="Times New Roman" w:cs="Times New Roman"/>
          <w:color w:val="000000" w:themeColor="text1"/>
          <w:sz w:val="16"/>
          <w:szCs w:val="16"/>
        </w:rPr>
        <w:softHyphen/>
        <w:t>ния очереди «резко смещался в сторону стреляющей пушки под самолет», причем «тенденция эта одинаковая как для правой, так и для левой пушки».</w:t>
      </w:r>
    </w:p>
    <w:tbl>
      <w:tblPr>
        <w:tblW w:w="0" w:type="auto"/>
        <w:tblLayout w:type="fixed"/>
        <w:tblCellMar>
          <w:left w:w="10" w:type="dxa"/>
          <w:right w:w="10" w:type="dxa"/>
        </w:tblCellMar>
        <w:tblLook w:val="04A0" w:firstRow="1" w:lastRow="0" w:firstColumn="1" w:lastColumn="0" w:noHBand="0" w:noVBand="1"/>
      </w:tblPr>
      <w:tblGrid>
        <w:gridCol w:w="2050"/>
        <w:gridCol w:w="926"/>
        <w:gridCol w:w="922"/>
        <w:gridCol w:w="926"/>
        <w:gridCol w:w="922"/>
        <w:gridCol w:w="931"/>
      </w:tblGrid>
      <w:tr w:rsidR="004D4663" w:rsidRPr="00070ADE" w14:paraId="4BC25332" w14:textId="77777777" w:rsidTr="00903E13">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7CCDF14D"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Характеристика/тип пушки</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3AF0D70"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НС-45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DA33BE8"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«Виккерс» 3</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A3E124B"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М4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A508703"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НС-37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6E5847AB"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ВЯ</w:t>
            </w:r>
          </w:p>
        </w:tc>
      </w:tr>
      <w:tr w:rsidR="004D4663" w:rsidRPr="00070ADE" w14:paraId="15DED722"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78FE8A8A"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Калибр, мм</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815C71E"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684B4D2"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C19BDD9"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294F457"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676E8485"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23</w:t>
            </w:r>
          </w:p>
        </w:tc>
      </w:tr>
      <w:tr w:rsidR="004D4663" w:rsidRPr="00070ADE" w14:paraId="6B512101" w14:textId="77777777" w:rsidTr="00903E13">
        <w:trPr>
          <w:trHeight w:val="226"/>
        </w:trPr>
        <w:tc>
          <w:tcPr>
            <w:tcW w:w="2050" w:type="dxa"/>
            <w:tcBorders>
              <w:top w:val="single" w:sz="4" w:space="0" w:color="auto"/>
              <w:left w:val="single" w:sz="4" w:space="0" w:color="auto"/>
              <w:right w:val="single" w:sz="4" w:space="0" w:color="auto"/>
            </w:tcBorders>
            <w:shd w:val="clear" w:color="auto" w:fill="FFFFFF"/>
          </w:tcPr>
          <w:p w14:paraId="20EFEDA6" w14:textId="77777777" w:rsidR="00903E13" w:rsidRPr="00070ADE" w:rsidRDefault="00903E13" w:rsidP="00B56F90">
            <w:pPr>
              <w:spacing w:after="0" w:line="240" w:lineRule="auto"/>
              <w:jc w:val="both"/>
              <w:rPr>
                <w:rFonts w:ascii="Times New Roman" w:hAnsi="Times New Roman"/>
                <w:color w:val="000000" w:themeColor="text1"/>
                <w:sz w:val="16"/>
                <w:szCs w:val="16"/>
              </w:rPr>
            </w:pPr>
          </w:p>
        </w:tc>
        <w:tc>
          <w:tcPr>
            <w:tcW w:w="926" w:type="dxa"/>
            <w:tcBorders>
              <w:top w:val="single" w:sz="4" w:space="0" w:color="auto"/>
              <w:left w:val="single" w:sz="4" w:space="0" w:color="auto"/>
              <w:right w:val="single" w:sz="4" w:space="0" w:color="auto"/>
            </w:tcBorders>
            <w:shd w:val="clear" w:color="auto" w:fill="FFFFFF"/>
          </w:tcPr>
          <w:p w14:paraId="2F7CB8EC"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5ECEF160"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Отдача при</w:t>
            </w:r>
          </w:p>
        </w:tc>
        <w:tc>
          <w:tcPr>
            <w:tcW w:w="926" w:type="dxa"/>
            <w:tcBorders>
              <w:top w:val="single" w:sz="4" w:space="0" w:color="auto"/>
              <w:left w:val="single" w:sz="4" w:space="0" w:color="auto"/>
              <w:right w:val="single" w:sz="4" w:space="0" w:color="auto"/>
            </w:tcBorders>
            <w:shd w:val="clear" w:color="auto" w:fill="FFFFFF"/>
          </w:tcPr>
          <w:p w14:paraId="440EE031"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09BB9C5C"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Отдача при</w:t>
            </w:r>
          </w:p>
        </w:tc>
        <w:tc>
          <w:tcPr>
            <w:tcW w:w="931" w:type="dxa"/>
            <w:tcBorders>
              <w:top w:val="single" w:sz="4" w:space="0" w:color="auto"/>
              <w:left w:val="single" w:sz="4" w:space="0" w:color="auto"/>
              <w:right w:val="single" w:sz="4" w:space="0" w:color="auto"/>
            </w:tcBorders>
            <w:shd w:val="clear" w:color="auto" w:fill="FFFFFF"/>
          </w:tcPr>
          <w:p w14:paraId="7D6A1FC1"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Отвод газов</w:t>
            </w:r>
          </w:p>
        </w:tc>
      </w:tr>
      <w:tr w:rsidR="004D4663" w:rsidRPr="00070ADE" w14:paraId="1E674CA5" w14:textId="77777777" w:rsidTr="00903E13">
        <w:trPr>
          <w:trHeight w:val="197"/>
        </w:trPr>
        <w:tc>
          <w:tcPr>
            <w:tcW w:w="2050" w:type="dxa"/>
            <w:tcBorders>
              <w:left w:val="single" w:sz="4" w:space="0" w:color="auto"/>
              <w:right w:val="single" w:sz="4" w:space="0" w:color="auto"/>
            </w:tcBorders>
            <w:shd w:val="clear" w:color="auto" w:fill="FFFFFF"/>
          </w:tcPr>
          <w:p w14:paraId="226C00C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Принцип действия</w:t>
            </w:r>
          </w:p>
        </w:tc>
        <w:tc>
          <w:tcPr>
            <w:tcW w:w="926" w:type="dxa"/>
            <w:tcBorders>
              <w:left w:val="single" w:sz="4" w:space="0" w:color="auto"/>
              <w:right w:val="single" w:sz="4" w:space="0" w:color="auto"/>
            </w:tcBorders>
            <w:shd w:val="clear" w:color="auto" w:fill="FFFFFF"/>
          </w:tcPr>
          <w:p w14:paraId="24677F6F"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коротком</w:t>
            </w:r>
          </w:p>
        </w:tc>
        <w:tc>
          <w:tcPr>
            <w:tcW w:w="922" w:type="dxa"/>
            <w:tcBorders>
              <w:left w:val="single" w:sz="4" w:space="0" w:color="auto"/>
              <w:right w:val="single" w:sz="4" w:space="0" w:color="auto"/>
            </w:tcBorders>
            <w:shd w:val="clear" w:color="auto" w:fill="FFFFFF"/>
          </w:tcPr>
          <w:p w14:paraId="31907953"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длинном</w:t>
            </w:r>
          </w:p>
        </w:tc>
        <w:tc>
          <w:tcPr>
            <w:tcW w:w="926" w:type="dxa"/>
            <w:tcBorders>
              <w:left w:val="single" w:sz="4" w:space="0" w:color="auto"/>
              <w:right w:val="single" w:sz="4" w:space="0" w:color="auto"/>
            </w:tcBorders>
            <w:shd w:val="clear" w:color="auto" w:fill="FFFFFF"/>
          </w:tcPr>
          <w:p w14:paraId="0E8B413E"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коротком</w:t>
            </w:r>
          </w:p>
        </w:tc>
        <w:tc>
          <w:tcPr>
            <w:tcW w:w="922" w:type="dxa"/>
            <w:tcBorders>
              <w:left w:val="single" w:sz="4" w:space="0" w:color="auto"/>
              <w:right w:val="single" w:sz="4" w:space="0" w:color="auto"/>
            </w:tcBorders>
            <w:shd w:val="clear" w:color="auto" w:fill="FFFFFF"/>
          </w:tcPr>
          <w:p w14:paraId="0F52A412"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коротком</w:t>
            </w:r>
          </w:p>
        </w:tc>
        <w:tc>
          <w:tcPr>
            <w:tcW w:w="931" w:type="dxa"/>
            <w:tcBorders>
              <w:left w:val="single" w:sz="4" w:space="0" w:color="auto"/>
              <w:right w:val="single" w:sz="4" w:space="0" w:color="auto"/>
            </w:tcBorders>
            <w:shd w:val="clear" w:color="auto" w:fill="FFFFFF"/>
          </w:tcPr>
          <w:p w14:paraId="706CF105"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из канала</w:t>
            </w:r>
          </w:p>
        </w:tc>
      </w:tr>
      <w:tr w:rsidR="004D4663" w:rsidRPr="00070ADE" w14:paraId="14CAEF54" w14:textId="77777777" w:rsidTr="00903E13">
        <w:trPr>
          <w:trHeight w:val="163"/>
        </w:trPr>
        <w:tc>
          <w:tcPr>
            <w:tcW w:w="2050" w:type="dxa"/>
            <w:tcBorders>
              <w:left w:val="single" w:sz="4" w:space="0" w:color="auto"/>
              <w:bottom w:val="single" w:sz="4" w:space="0" w:color="auto"/>
              <w:right w:val="single" w:sz="4" w:space="0" w:color="auto"/>
            </w:tcBorders>
            <w:shd w:val="clear" w:color="auto" w:fill="FFFFFF"/>
          </w:tcPr>
          <w:p w14:paraId="7BF42B48" w14:textId="77777777" w:rsidR="00903E13" w:rsidRPr="00070ADE" w:rsidRDefault="00903E13" w:rsidP="00B56F90">
            <w:pPr>
              <w:spacing w:after="0" w:line="240" w:lineRule="auto"/>
              <w:jc w:val="both"/>
              <w:rPr>
                <w:rFonts w:ascii="Times New Roman" w:hAnsi="Times New Roman"/>
                <w:color w:val="000000" w:themeColor="text1"/>
                <w:sz w:val="16"/>
                <w:szCs w:val="16"/>
              </w:rPr>
            </w:pPr>
          </w:p>
        </w:tc>
        <w:tc>
          <w:tcPr>
            <w:tcW w:w="926" w:type="dxa"/>
            <w:tcBorders>
              <w:left w:val="single" w:sz="4" w:space="0" w:color="auto"/>
              <w:bottom w:val="single" w:sz="4" w:space="0" w:color="auto"/>
              <w:right w:val="single" w:sz="4" w:space="0" w:color="auto"/>
            </w:tcBorders>
            <w:shd w:val="clear" w:color="auto" w:fill="FFFFFF"/>
          </w:tcPr>
          <w:p w14:paraId="612D651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258BE79E"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ходе ствола</w:t>
            </w:r>
          </w:p>
        </w:tc>
        <w:tc>
          <w:tcPr>
            <w:tcW w:w="926" w:type="dxa"/>
            <w:tcBorders>
              <w:left w:val="single" w:sz="4" w:space="0" w:color="auto"/>
              <w:bottom w:val="single" w:sz="4" w:space="0" w:color="auto"/>
              <w:right w:val="single" w:sz="4" w:space="0" w:color="auto"/>
            </w:tcBorders>
            <w:shd w:val="clear" w:color="auto" w:fill="FFFFFF"/>
          </w:tcPr>
          <w:p w14:paraId="03415E1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7DC3229E"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ходе ствола</w:t>
            </w:r>
          </w:p>
        </w:tc>
        <w:tc>
          <w:tcPr>
            <w:tcW w:w="931" w:type="dxa"/>
            <w:tcBorders>
              <w:left w:val="single" w:sz="4" w:space="0" w:color="auto"/>
              <w:bottom w:val="single" w:sz="4" w:space="0" w:color="auto"/>
              <w:right w:val="single" w:sz="4" w:space="0" w:color="auto"/>
            </w:tcBorders>
            <w:shd w:val="clear" w:color="auto" w:fill="FFFFFF"/>
          </w:tcPr>
          <w:p w14:paraId="4214032F"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ствола</w:t>
            </w:r>
          </w:p>
        </w:tc>
      </w:tr>
      <w:tr w:rsidR="004D4663" w:rsidRPr="00070ADE" w14:paraId="5F0A9285"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484C2768"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Питание</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C909BF8"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Звеньевое</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2BC551B"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Магазин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E19C8BF"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Магазин</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E371C5B"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Звеньевое</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3347A82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Зеньевое</w:t>
            </w:r>
          </w:p>
        </w:tc>
      </w:tr>
      <w:tr w:rsidR="004D4663" w:rsidRPr="00070ADE" w14:paraId="42F31318"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33A3D48E"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Темп стрельбы, выстр./мин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F1E1611"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04152C8"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110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5119CDE"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FBBE52A"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250</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0653410C"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600</w:t>
            </w:r>
          </w:p>
        </w:tc>
      </w:tr>
      <w:tr w:rsidR="004D4663" w:rsidRPr="00070ADE" w14:paraId="6555F334"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0230603B"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Начальная скорость, м/с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14E8691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781</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315416C"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585</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17BAC71"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610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0934D9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878</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7E14217F"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915</w:t>
            </w:r>
          </w:p>
        </w:tc>
      </w:tr>
      <w:tr w:rsidR="004D4663" w:rsidRPr="00070ADE" w14:paraId="5667BF4E"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2D600BA7"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Вес пушки,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8ABBF83"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163,8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FDEE71F"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157,7</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55564A2"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108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802628F"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162,5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7E8BDB44"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66</w:t>
            </w:r>
          </w:p>
        </w:tc>
      </w:tr>
      <w:tr w:rsidR="004D4663" w:rsidRPr="00070ADE" w14:paraId="3342DC35"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6522FA10"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Вес снаряда,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9E012C7"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743D236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1,041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883E85A"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775BEE8"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0,732</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6B298792"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0,197</w:t>
            </w:r>
          </w:p>
        </w:tc>
      </w:tr>
      <w:tr w:rsidR="004D4663" w:rsidRPr="00070ADE" w14:paraId="7E4EE319" w14:textId="77777777" w:rsidTr="00903E13">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2706B3F3"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Вес секундного залпа,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7322AD2"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4,44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AA1A74F"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1,91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69C668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1,63</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9171BCB"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3,05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16921C28"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1,97</w:t>
            </w:r>
          </w:p>
        </w:tc>
      </w:tr>
      <w:tr w:rsidR="004D4663" w:rsidRPr="00070ADE" w14:paraId="60E17627"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336B3B9B"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Дульная энергия,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3DA7729"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33110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F1A2F2B"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18158</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A906535"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12327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0875AE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28761</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3B70FAF"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8406</w:t>
            </w:r>
          </w:p>
        </w:tc>
      </w:tr>
      <w:tr w:rsidR="004D4663" w:rsidRPr="00070ADE" w14:paraId="73A155C9" w14:textId="77777777" w:rsidTr="00903E13">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447E9E3E"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Дульная мощность, кг/с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88995D4"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137956</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145AFAB"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33289</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971222A"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30819</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4388671"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119837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578A6714"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84064</w:t>
            </w:r>
          </w:p>
        </w:tc>
      </w:tr>
      <w:tr w:rsidR="004D4663" w:rsidRPr="00070ADE" w14:paraId="3DEF0849" w14:textId="77777777" w:rsidTr="00903E13">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0F64F2F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Показатель качества оружия</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EC9936C"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842</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62957BA"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211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B17249A"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285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1E42454"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737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68527212"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1274</w:t>
            </w:r>
          </w:p>
        </w:tc>
      </w:tr>
    </w:tbl>
    <w:p w14:paraId="161DBA01"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Как положительный факт отмечалась простая эксплуатация пушек: «пушки ос</w:t>
      </w:r>
      <w:r w:rsidRPr="00070ADE">
        <w:rPr>
          <w:rFonts w:ascii="Times New Roman" w:hAnsi="Times New Roman" w:cs="Times New Roman"/>
          <w:color w:val="000000" w:themeColor="text1"/>
          <w:sz w:val="16"/>
          <w:szCs w:val="16"/>
        </w:rPr>
        <w:softHyphen/>
        <w:t>ваиваются техническим составом легко и быстро». Подходы к пушкам удобные. Зарядка магазина производилась непо</w:t>
      </w:r>
      <w:r w:rsidRPr="00070ADE">
        <w:rPr>
          <w:rFonts w:ascii="Times New Roman" w:hAnsi="Times New Roman" w:cs="Times New Roman"/>
          <w:color w:val="000000" w:themeColor="text1"/>
          <w:sz w:val="16"/>
          <w:szCs w:val="16"/>
        </w:rPr>
        <w:softHyphen/>
        <w:t>средственно на самолете. При двух рабо</w:t>
      </w:r>
      <w:r w:rsidRPr="00070ADE">
        <w:rPr>
          <w:rFonts w:ascii="Times New Roman" w:hAnsi="Times New Roman" w:cs="Times New Roman"/>
          <w:color w:val="000000" w:themeColor="text1"/>
          <w:sz w:val="16"/>
          <w:szCs w:val="16"/>
        </w:rPr>
        <w:softHyphen/>
        <w:t>тающих техниках на приведение в боевую готовность одной пушки после стрельбы (снятие обтекателя пушки, частичная раз</w:t>
      </w:r>
      <w:r w:rsidRPr="00070ADE">
        <w:rPr>
          <w:rFonts w:ascii="Times New Roman" w:hAnsi="Times New Roman" w:cs="Times New Roman"/>
          <w:color w:val="000000" w:themeColor="text1"/>
          <w:sz w:val="16"/>
          <w:szCs w:val="16"/>
        </w:rPr>
        <w:softHyphen/>
        <w:t>борка, чистка и смазка пушки, зарядка ма</w:t>
      </w:r>
      <w:r w:rsidRPr="00070ADE">
        <w:rPr>
          <w:rFonts w:ascii="Times New Roman" w:hAnsi="Times New Roman" w:cs="Times New Roman"/>
          <w:color w:val="000000" w:themeColor="text1"/>
          <w:sz w:val="16"/>
          <w:szCs w:val="16"/>
        </w:rPr>
        <w:softHyphen/>
        <w:t>газина, постановка обтекателя) уходило не более 26 мин, в том числе всего 2 мин - на зарядку пушки.</w:t>
      </w:r>
    </w:p>
    <w:p w14:paraId="0D7577E8"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тронного ящика, чистка, смазка, укладка ленты в ящик, зарядка пулемета и закрытие лючка) около 20 мин, подготовка оружия занимала не более полутора часов.</w:t>
      </w:r>
    </w:p>
    <w:p w14:paraId="6E85B3F4"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ходе стрельб пушки и пушечные установки показали высокую надежность. Если исключить из рассмотрения резуль</w:t>
      </w:r>
      <w:r w:rsidRPr="00070ADE">
        <w:rPr>
          <w:rFonts w:ascii="Times New Roman" w:hAnsi="Times New Roman" w:cs="Times New Roman"/>
          <w:color w:val="000000" w:themeColor="text1"/>
          <w:sz w:val="16"/>
          <w:szCs w:val="16"/>
        </w:rPr>
        <w:softHyphen/>
        <w:t>таты стрельбы на большой высоте (7500- 8000 м), то процент задержек в стрельбе по вине пушек составил всего 0,16%, а пулеметов 0,13% от общего числа выстре</w:t>
      </w:r>
      <w:r w:rsidRPr="00070ADE">
        <w:rPr>
          <w:rFonts w:ascii="Times New Roman" w:hAnsi="Times New Roman" w:cs="Times New Roman"/>
          <w:color w:val="000000" w:themeColor="text1"/>
          <w:sz w:val="16"/>
          <w:szCs w:val="16"/>
        </w:rPr>
        <w:softHyphen/>
        <w:t>лов. При этом после устранения дефекта, вызвавшего задержку в стрельбе пушки, отказы пушек больше не повторялись. По пулеметам все отказы относились только к правому пулемету, который имел «не</w:t>
      </w:r>
      <w:r w:rsidRPr="00070ADE">
        <w:rPr>
          <w:rFonts w:ascii="Times New Roman" w:hAnsi="Times New Roman" w:cs="Times New Roman"/>
          <w:color w:val="000000" w:themeColor="text1"/>
          <w:sz w:val="16"/>
          <w:szCs w:val="16"/>
        </w:rPr>
        <w:softHyphen/>
        <w:t>устранимый дефект - тугой ход подвиж</w:t>
      </w:r>
      <w:r w:rsidRPr="00070ADE">
        <w:rPr>
          <w:rFonts w:ascii="Times New Roman" w:hAnsi="Times New Roman" w:cs="Times New Roman"/>
          <w:color w:val="000000" w:themeColor="text1"/>
          <w:sz w:val="16"/>
          <w:szCs w:val="16"/>
        </w:rPr>
        <w:softHyphen/>
        <w:t>ных частей, не зависящий от конструкции оружия».</w:t>
      </w:r>
    </w:p>
    <w:p w14:paraId="1A558C15"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 вине пушечной установки задержек не было вовсе. Пневмосистема и электроп</w:t>
      </w:r>
      <w:r w:rsidRPr="00070ADE">
        <w:rPr>
          <w:rFonts w:ascii="Times New Roman" w:hAnsi="Times New Roman" w:cs="Times New Roman"/>
          <w:color w:val="000000" w:themeColor="text1"/>
          <w:sz w:val="16"/>
          <w:szCs w:val="16"/>
        </w:rPr>
        <w:softHyphen/>
        <w:t>невматическое управление вооружением работали надежно и безотказно.</w:t>
      </w:r>
    </w:p>
    <w:p w14:paraId="5EEBBF98"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Имелись и недостатки. Пушки было трудно снаряжать - «стеснен подход к ру</w:t>
      </w:r>
      <w:r w:rsidRPr="00070ADE">
        <w:rPr>
          <w:rFonts w:ascii="Times New Roman" w:hAnsi="Times New Roman" w:cs="Times New Roman"/>
          <w:color w:val="000000" w:themeColor="text1"/>
          <w:sz w:val="16"/>
          <w:szCs w:val="16"/>
        </w:rPr>
        <w:softHyphen/>
        <w:t>коятке магазина при заряжании, особенно при зимней эксплуатации». Конструкция защелок, фиксирующих положение руко</w:t>
      </w:r>
      <w:r w:rsidRPr="00070ADE">
        <w:rPr>
          <w:rFonts w:ascii="Times New Roman" w:hAnsi="Times New Roman" w:cs="Times New Roman"/>
          <w:color w:val="000000" w:themeColor="text1"/>
          <w:sz w:val="16"/>
          <w:szCs w:val="16"/>
        </w:rPr>
        <w:softHyphen/>
        <w:t>ятки магазина, оказалась неудачной и не</w:t>
      </w:r>
      <w:r w:rsidRPr="00070ADE">
        <w:rPr>
          <w:rFonts w:ascii="Times New Roman" w:hAnsi="Times New Roman" w:cs="Times New Roman"/>
          <w:color w:val="000000" w:themeColor="text1"/>
          <w:sz w:val="16"/>
          <w:szCs w:val="16"/>
        </w:rPr>
        <w:softHyphen/>
        <w:t>прочной. Окно магазина пушки распола</w:t>
      </w:r>
      <w:r w:rsidRPr="00070ADE">
        <w:rPr>
          <w:rFonts w:ascii="Times New Roman" w:hAnsi="Times New Roman" w:cs="Times New Roman"/>
          <w:color w:val="000000" w:themeColor="text1"/>
          <w:sz w:val="16"/>
          <w:szCs w:val="16"/>
        </w:rPr>
        <w:softHyphen/>
        <w:t>галось крайне неудобно, что затрудняло работу при снаряжении магазина патро</w:t>
      </w:r>
      <w:r w:rsidRPr="00070ADE">
        <w:rPr>
          <w:rFonts w:ascii="Times New Roman" w:hAnsi="Times New Roman" w:cs="Times New Roman"/>
          <w:color w:val="000000" w:themeColor="text1"/>
          <w:sz w:val="16"/>
          <w:szCs w:val="16"/>
        </w:rPr>
        <w:softHyphen/>
        <w:t>нами. К тому же можно было повредить руки. Гильзоотводное окно имело разме</w:t>
      </w:r>
      <w:r w:rsidRPr="00070ADE">
        <w:rPr>
          <w:rFonts w:ascii="Times New Roman" w:hAnsi="Times New Roman" w:cs="Times New Roman"/>
          <w:color w:val="000000" w:themeColor="text1"/>
          <w:sz w:val="16"/>
          <w:szCs w:val="16"/>
        </w:rPr>
        <w:softHyphen/>
        <w:t>ры ровно под размер гильзы, поэтому для извлечения гильзы или снаряда из патрон</w:t>
      </w:r>
      <w:r w:rsidRPr="00070ADE">
        <w:rPr>
          <w:rFonts w:ascii="Times New Roman" w:hAnsi="Times New Roman" w:cs="Times New Roman"/>
          <w:color w:val="000000" w:themeColor="text1"/>
          <w:sz w:val="16"/>
          <w:szCs w:val="16"/>
        </w:rPr>
        <w:softHyphen/>
        <w:t>ника необходимо было производить не</w:t>
      </w:r>
      <w:r w:rsidRPr="00070ADE">
        <w:rPr>
          <w:rFonts w:ascii="Times New Roman" w:hAnsi="Times New Roman" w:cs="Times New Roman"/>
          <w:color w:val="000000" w:themeColor="text1"/>
          <w:sz w:val="16"/>
          <w:szCs w:val="16"/>
        </w:rPr>
        <w:softHyphen/>
        <w:t>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Как следствие, открывание и закрывание лючков становилось затруднительным. Обтекатели пушек оказались недостаточ</w:t>
      </w:r>
      <w:r w:rsidRPr="00070ADE">
        <w:rPr>
          <w:rFonts w:ascii="Times New Roman" w:hAnsi="Times New Roman" w:cs="Times New Roman"/>
          <w:color w:val="000000" w:themeColor="text1"/>
          <w:sz w:val="16"/>
          <w:szCs w:val="16"/>
        </w:rPr>
        <w:softHyphen/>
        <w:t>но жесткими и при резком выводе из пики</w:t>
      </w:r>
      <w:r w:rsidRPr="00070ADE">
        <w:rPr>
          <w:rFonts w:ascii="Times New Roman" w:hAnsi="Times New Roman" w:cs="Times New Roman"/>
          <w:color w:val="000000" w:themeColor="text1"/>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070ADE">
        <w:rPr>
          <w:rFonts w:ascii="Times New Roman" w:hAnsi="Times New Roman" w:cs="Times New Roman"/>
          <w:color w:val="000000" w:themeColor="text1"/>
          <w:sz w:val="16"/>
          <w:szCs w:val="16"/>
        </w:rPr>
        <w:softHyphen/>
        <w:t>мировались.</w:t>
      </w:r>
    </w:p>
    <w:p w14:paraId="15220C61"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Сравнение летно-боевых качеств «Харрикейн» 1Ю с советскими истребите</w:t>
      </w:r>
      <w:r w:rsidRPr="00070ADE">
        <w:rPr>
          <w:rFonts w:ascii="Times New Roman" w:hAnsi="Times New Roman" w:cs="Times New Roman"/>
          <w:color w:val="000000" w:themeColor="text1"/>
          <w:sz w:val="16"/>
          <w:szCs w:val="16"/>
        </w:rPr>
        <w:softHyphen/>
        <w:t>лями Як-9т, ЛаГГ-3 и штурмовиком Ил-2, вооруженных пушками калибра 37 мм НС- 37, оказалось не в пользу «англичанина».</w:t>
      </w:r>
    </w:p>
    <w:p w14:paraId="564196C4"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Отмечалось, что «пушка Виккерс 5 калибра 40 мм по темпу стрельбы и на</w:t>
      </w:r>
      <w:r w:rsidRPr="00070ADE">
        <w:rPr>
          <w:rFonts w:ascii="Times New Roman" w:hAnsi="Times New Roman" w:cs="Times New Roman"/>
          <w:color w:val="000000" w:themeColor="text1"/>
          <w:sz w:val="16"/>
          <w:szCs w:val="16"/>
        </w:rPr>
        <w:softHyphen/>
        <w:t>чальной скорости снаряда стоит ниже современных систем авиационных авто</w:t>
      </w:r>
      <w:r w:rsidRPr="00070ADE">
        <w:rPr>
          <w:rFonts w:ascii="Times New Roman" w:hAnsi="Times New Roman" w:cs="Times New Roman"/>
          <w:color w:val="000000" w:themeColor="text1"/>
          <w:sz w:val="16"/>
          <w:szCs w:val="16"/>
        </w:rPr>
        <w:softHyphen/>
        <w:t>матических пушек и значительно ниже от</w:t>
      </w:r>
      <w:r w:rsidRPr="00070ADE">
        <w:rPr>
          <w:rFonts w:ascii="Times New Roman" w:hAnsi="Times New Roman" w:cs="Times New Roman"/>
          <w:color w:val="000000" w:themeColor="text1"/>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070ADE">
        <w:rPr>
          <w:rFonts w:ascii="Times New Roman" w:hAnsi="Times New Roman" w:cs="Times New Roman"/>
          <w:color w:val="000000" w:themeColor="text1"/>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4D4663" w:rsidRPr="00070ADE" w14:paraId="729CC9AB"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2D41B984"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D76CE66"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61D909E7"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5E5DBD81"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D3BEEDB"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0F471E1B"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365A9D6B"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4D55E0C5"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20</w:t>
            </w:r>
          </w:p>
        </w:tc>
      </w:tr>
      <w:tr w:rsidR="004D4663" w:rsidRPr="00070ADE" w14:paraId="28195BC1"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03F198B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667D48A0"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6F580447"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1EA9160D"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57BFA6BF"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6E6CC5CD"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5DED3033"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6F5EEF90"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МП-20</w:t>
            </w:r>
          </w:p>
        </w:tc>
      </w:tr>
      <w:tr w:rsidR="004D4663" w:rsidRPr="00070ADE" w14:paraId="7ABF2564" w14:textId="77777777" w:rsidTr="00903E13">
        <w:trPr>
          <w:trHeight w:val="600"/>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6FE1B914"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lastRenderedPageBreak/>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186166C"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5017054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1E3238AE"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07B5346B"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4DA8B21B"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5BC5895A"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44332FD7"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19</w:t>
            </w:r>
          </w:p>
        </w:tc>
      </w:tr>
    </w:tbl>
    <w:p w14:paraId="120A68D0"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Несмотря на больший калибр, броне- пробиваемость английской пушки оказа</w:t>
      </w:r>
      <w:r w:rsidRPr="00070ADE">
        <w:rPr>
          <w:rFonts w:ascii="Times New Roman" w:hAnsi="Times New Roman" w:cs="Times New Roman"/>
          <w:color w:val="000000" w:themeColor="text1"/>
          <w:sz w:val="16"/>
          <w:szCs w:val="16"/>
        </w:rPr>
        <w:softHyphen/>
        <w:t>лась хуже отечественной пушки калибра 37 мм НС-37. С дистанции 300 м броне</w:t>
      </w:r>
      <w:r w:rsidRPr="00070ADE">
        <w:rPr>
          <w:rFonts w:ascii="Times New Roman" w:hAnsi="Times New Roman" w:cs="Times New Roman"/>
          <w:color w:val="000000" w:themeColor="text1"/>
          <w:sz w:val="16"/>
          <w:szCs w:val="16"/>
        </w:rPr>
        <w:softHyphen/>
        <w:t>бойный снаряд к пушке НС-37 пробивал при нормальном попадании до 48,3 мм гомогенной танковой брони, тогда как бронебойный снаряд к пушке Виккерс 5 - только 38-41 мм.</w:t>
      </w:r>
    </w:p>
    <w:p w14:paraId="3463B43A"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Советские истребители Як-9т и ЛаГГ- 3, хотя и имели несколько меньший вес се</w:t>
      </w:r>
      <w:r w:rsidRPr="00070ADE">
        <w:rPr>
          <w:rFonts w:ascii="Times New Roman" w:hAnsi="Times New Roman" w:cs="Times New Roman"/>
          <w:color w:val="000000" w:themeColor="text1"/>
          <w:sz w:val="16"/>
          <w:szCs w:val="16"/>
        </w:rPr>
        <w:softHyphen/>
        <w:t>кундного залпа, но заметно превосходили английский истребитель танков по летным данным.</w:t>
      </w:r>
    </w:p>
    <w:p w14:paraId="7005E58A"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Наступательное стрелково-пушечное вооружение Ил-2 по сравнению с оружи</w:t>
      </w:r>
      <w:r w:rsidRPr="00070ADE">
        <w:rPr>
          <w:rFonts w:ascii="Times New Roman" w:hAnsi="Times New Roman" w:cs="Times New Roman"/>
          <w:color w:val="000000" w:themeColor="text1"/>
          <w:sz w:val="16"/>
          <w:szCs w:val="16"/>
        </w:rPr>
        <w:softHyphen/>
        <w:t>ем «Харрикейн» 1Ю имело почти в 1,5 раза больший вес секундного залпа. При этом боекомплект к пушкам у Ил-2 по времени непрерывной стрельбы был также больше. Если принять во внимание значительно лучшее бронирование самолета Ил-2, на</w:t>
      </w:r>
      <w:r w:rsidRPr="00070ADE">
        <w:rPr>
          <w:rFonts w:ascii="Times New Roman" w:hAnsi="Times New Roman" w:cs="Times New Roman"/>
          <w:color w:val="000000" w:themeColor="text1"/>
          <w:sz w:val="16"/>
          <w:szCs w:val="16"/>
        </w:rPr>
        <w:softHyphen/>
        <w:t>личие обороны задней полусферы и бом</w:t>
      </w:r>
      <w:r w:rsidRPr="00070ADE">
        <w:rPr>
          <w:rFonts w:ascii="Times New Roman" w:hAnsi="Times New Roman" w:cs="Times New Roman"/>
          <w:color w:val="000000" w:themeColor="text1"/>
          <w:sz w:val="16"/>
          <w:szCs w:val="16"/>
        </w:rPr>
        <w:softHyphen/>
        <w:t>бового вооружения, то преимущество его системы вооружения считались несомнен</w:t>
      </w:r>
      <w:r w:rsidRPr="00070ADE">
        <w:rPr>
          <w:rFonts w:ascii="Times New Roman" w:hAnsi="Times New Roman" w:cs="Times New Roman"/>
          <w:color w:val="000000" w:themeColor="text1"/>
          <w:sz w:val="16"/>
          <w:szCs w:val="16"/>
        </w:rPr>
        <w:softHyphen/>
        <w:t>ными.</w:t>
      </w:r>
    </w:p>
    <w:p w14:paraId="2D43E27C"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Зато у «Харрикейна» было другое пре</w:t>
      </w:r>
      <w:r w:rsidRPr="00070ADE">
        <w:rPr>
          <w:rFonts w:ascii="Times New Roman" w:hAnsi="Times New Roman" w:cs="Times New Roman"/>
          <w:color w:val="000000" w:themeColor="text1"/>
          <w:sz w:val="16"/>
          <w:szCs w:val="16"/>
        </w:rPr>
        <w:softHyphen/>
        <w:t>имущество. Рассеивание нескольких оче</w:t>
      </w:r>
      <w:r w:rsidRPr="00070ADE">
        <w:rPr>
          <w:rFonts w:ascii="Times New Roman" w:hAnsi="Times New Roman" w:cs="Times New Roman"/>
          <w:color w:val="000000" w:themeColor="text1"/>
          <w:sz w:val="16"/>
          <w:szCs w:val="16"/>
        </w:rPr>
        <w:softHyphen/>
        <w:t>редей при стрельбе в воздухе из пушек по полотнищам, расположенным на земле, у самолета «Харрикейн» оказалось при</w:t>
      </w:r>
      <w:r w:rsidRPr="00070ADE">
        <w:rPr>
          <w:rFonts w:ascii="Times New Roman" w:hAnsi="Times New Roman" w:cs="Times New Roman"/>
          <w:color w:val="000000" w:themeColor="text1"/>
          <w:sz w:val="16"/>
          <w:szCs w:val="16"/>
        </w:rPr>
        <w:softHyphen/>
        <w:t>мерно в 2-2,5 раза меньше, чем у само</w:t>
      </w:r>
      <w:r w:rsidRPr="00070ADE">
        <w:rPr>
          <w:rFonts w:ascii="Times New Roman" w:hAnsi="Times New Roman" w:cs="Times New Roman"/>
          <w:color w:val="000000" w:themeColor="text1"/>
          <w:sz w:val="16"/>
          <w:szCs w:val="16"/>
        </w:rPr>
        <w:softHyphen/>
        <w:t>летов ЛаГГ-3 и Як-9т с пушкой НС-37, и в 6-6,5 раз меньше, чем у самолета Ил-2 с пушками НС-37. Смещение центров груп</w:t>
      </w:r>
      <w:r w:rsidRPr="00070ADE">
        <w:rPr>
          <w:rFonts w:ascii="Times New Roman" w:hAnsi="Times New Roman" w:cs="Times New Roman"/>
          <w:color w:val="000000" w:themeColor="text1"/>
          <w:sz w:val="16"/>
          <w:szCs w:val="16"/>
        </w:rPr>
        <w:softHyphen/>
        <w:t>пирования попаданий по отношению точки наводки прицела у самолета «Харрикейн» меньше, чем у Ил-2 с НС-37 примерно в 4-11 раз меньше.</w:t>
      </w:r>
    </w:p>
    <w:p w14:paraId="2054728F"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Рассеивание при стрельбе в воздухе из пушек у самолета «Харрикейн» 1Ю, по сравнению с рассеиванием при стрельбе на земле, возрастало в 10-18 раз, а у само</w:t>
      </w:r>
      <w:r w:rsidRPr="00070ADE">
        <w:rPr>
          <w:rFonts w:ascii="Times New Roman" w:hAnsi="Times New Roman" w:cs="Times New Roman"/>
          <w:color w:val="000000" w:themeColor="text1"/>
          <w:sz w:val="16"/>
          <w:szCs w:val="16"/>
        </w:rPr>
        <w:softHyphen/>
        <w:t>лета Ил-2 - в 30-100 раз. Следовательно, ведение прицельного огня в воздухе с самолета «Харрикейн» 1Ю «значительно удобнее и точнее, чем со сравниваемыми отечественными самолетами».к правому пулемету, который имел «не</w:t>
      </w:r>
      <w:r w:rsidRPr="00070ADE">
        <w:rPr>
          <w:rFonts w:ascii="Times New Roman" w:hAnsi="Times New Roman" w:cs="Times New Roman"/>
          <w:color w:val="000000" w:themeColor="text1"/>
          <w:sz w:val="16"/>
          <w:szCs w:val="16"/>
        </w:rPr>
        <w:softHyphen/>
        <w:t>устранимый дефект - тугой ход подвиж</w:t>
      </w:r>
      <w:r w:rsidRPr="00070ADE">
        <w:rPr>
          <w:rFonts w:ascii="Times New Roman" w:hAnsi="Times New Roman" w:cs="Times New Roman"/>
          <w:color w:val="000000" w:themeColor="text1"/>
          <w:sz w:val="16"/>
          <w:szCs w:val="16"/>
        </w:rPr>
        <w:softHyphen/>
        <w:t>ных частей, не зависящий от конструкции оружия».</w:t>
      </w:r>
    </w:p>
    <w:p w14:paraId="62BBA4AD"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 вине пушечной установки задержек не было вовсе. Пневмосистема и электроп</w:t>
      </w:r>
      <w:r w:rsidRPr="00070ADE">
        <w:rPr>
          <w:rFonts w:ascii="Times New Roman" w:hAnsi="Times New Roman" w:cs="Times New Roman"/>
          <w:color w:val="000000" w:themeColor="text1"/>
          <w:sz w:val="16"/>
          <w:szCs w:val="16"/>
        </w:rPr>
        <w:softHyphen/>
        <w:t>невматическое управление вооружением работали надежно и безотказно.</w:t>
      </w:r>
    </w:p>
    <w:p w14:paraId="53A95AB0"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Имелись и недостатки. Пушки было трудно снаряжать - «стеснен подход к ру</w:t>
      </w:r>
      <w:r w:rsidRPr="00070ADE">
        <w:rPr>
          <w:rFonts w:ascii="Times New Roman" w:hAnsi="Times New Roman" w:cs="Times New Roman"/>
          <w:color w:val="000000" w:themeColor="text1"/>
          <w:sz w:val="16"/>
          <w:szCs w:val="16"/>
        </w:rPr>
        <w:softHyphen/>
        <w:t>коятке магазина при заряжании, особенно при зимней эксплуатации». Конструкция защелок, фиксирующих положение руко</w:t>
      </w:r>
      <w:r w:rsidRPr="00070ADE">
        <w:rPr>
          <w:rFonts w:ascii="Times New Roman" w:hAnsi="Times New Roman" w:cs="Times New Roman"/>
          <w:color w:val="000000" w:themeColor="text1"/>
          <w:sz w:val="16"/>
          <w:szCs w:val="16"/>
        </w:rPr>
        <w:softHyphen/>
        <w:t>ятки магазина, оказалась неудачной и не</w:t>
      </w:r>
      <w:r w:rsidRPr="00070ADE">
        <w:rPr>
          <w:rFonts w:ascii="Times New Roman" w:hAnsi="Times New Roman" w:cs="Times New Roman"/>
          <w:color w:val="000000" w:themeColor="text1"/>
          <w:sz w:val="16"/>
          <w:szCs w:val="16"/>
        </w:rPr>
        <w:softHyphen/>
        <w:t>прочной. Окно магазина пушки распола</w:t>
      </w:r>
      <w:r w:rsidRPr="00070ADE">
        <w:rPr>
          <w:rFonts w:ascii="Times New Roman" w:hAnsi="Times New Roman" w:cs="Times New Roman"/>
          <w:color w:val="000000" w:themeColor="text1"/>
          <w:sz w:val="16"/>
          <w:szCs w:val="16"/>
        </w:rPr>
        <w:softHyphen/>
        <w:t>галось крайне неудобно, что затрудняло работу при снаряжении магазина патро</w:t>
      </w:r>
      <w:r w:rsidRPr="00070ADE">
        <w:rPr>
          <w:rFonts w:ascii="Times New Roman" w:hAnsi="Times New Roman" w:cs="Times New Roman"/>
          <w:color w:val="000000" w:themeColor="text1"/>
          <w:sz w:val="16"/>
          <w:szCs w:val="16"/>
        </w:rPr>
        <w:softHyphen/>
        <w:t>нами. К тому же можно было повредить руки. Гильзоотводное окно имело разме</w:t>
      </w:r>
      <w:r w:rsidRPr="00070ADE">
        <w:rPr>
          <w:rFonts w:ascii="Times New Roman" w:hAnsi="Times New Roman" w:cs="Times New Roman"/>
          <w:color w:val="000000" w:themeColor="text1"/>
          <w:sz w:val="16"/>
          <w:szCs w:val="16"/>
        </w:rPr>
        <w:softHyphen/>
        <w:t>ры ровно под размер гильзы, поэтому для извлечения гильзы или снаряда из патрон</w:t>
      </w:r>
      <w:r w:rsidRPr="00070ADE">
        <w:rPr>
          <w:rFonts w:ascii="Times New Roman" w:hAnsi="Times New Roman" w:cs="Times New Roman"/>
          <w:color w:val="000000" w:themeColor="text1"/>
          <w:sz w:val="16"/>
          <w:szCs w:val="16"/>
        </w:rPr>
        <w:softHyphen/>
        <w:t>ника необходимо было производить не</w:t>
      </w:r>
      <w:r w:rsidRPr="00070ADE">
        <w:rPr>
          <w:rFonts w:ascii="Times New Roman" w:hAnsi="Times New Roman" w:cs="Times New Roman"/>
          <w:color w:val="000000" w:themeColor="text1"/>
          <w:sz w:val="16"/>
          <w:szCs w:val="16"/>
        </w:rPr>
        <w:softHyphen/>
        <w:t>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Как следствие, открывание и закрывание лючков становилось затруднительным. Обтекатели пушек оказались недостаточ</w:t>
      </w:r>
      <w:r w:rsidRPr="00070ADE">
        <w:rPr>
          <w:rFonts w:ascii="Times New Roman" w:hAnsi="Times New Roman" w:cs="Times New Roman"/>
          <w:color w:val="000000" w:themeColor="text1"/>
          <w:sz w:val="16"/>
          <w:szCs w:val="16"/>
        </w:rPr>
        <w:softHyphen/>
        <w:t>но жесткими и при резком выводе из пики</w:t>
      </w:r>
      <w:r w:rsidRPr="00070ADE">
        <w:rPr>
          <w:rFonts w:ascii="Times New Roman" w:hAnsi="Times New Roman" w:cs="Times New Roman"/>
          <w:color w:val="000000" w:themeColor="text1"/>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070ADE">
        <w:rPr>
          <w:rFonts w:ascii="Times New Roman" w:hAnsi="Times New Roman" w:cs="Times New Roman"/>
          <w:color w:val="000000" w:themeColor="text1"/>
          <w:sz w:val="16"/>
          <w:szCs w:val="16"/>
        </w:rPr>
        <w:softHyphen/>
        <w:t>мировались.</w:t>
      </w:r>
    </w:p>
    <w:p w14:paraId="2308E39D"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Сравнение летно-боевых качеств «Харрикейн» 1Ю с советскими истребите</w:t>
      </w:r>
      <w:r w:rsidRPr="00070ADE">
        <w:rPr>
          <w:rFonts w:ascii="Times New Roman" w:hAnsi="Times New Roman" w:cs="Times New Roman"/>
          <w:color w:val="000000" w:themeColor="text1"/>
          <w:sz w:val="16"/>
          <w:szCs w:val="16"/>
        </w:rPr>
        <w:softHyphen/>
        <w:t>лями Як-9т, ЛаГГ-3 и штурмовиком Ил-2, вооруженных пушками калибра 37 мм НС- 37, оказалось не в пользу «англичанина».</w:t>
      </w:r>
    </w:p>
    <w:p w14:paraId="2710B110"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Отмечалось, что «пушка Виккерс 3 калибра 40 мм по темпу стрельбы и на</w:t>
      </w:r>
      <w:r w:rsidRPr="00070ADE">
        <w:rPr>
          <w:rFonts w:ascii="Times New Roman" w:hAnsi="Times New Roman" w:cs="Times New Roman"/>
          <w:color w:val="000000" w:themeColor="text1"/>
          <w:sz w:val="16"/>
          <w:szCs w:val="16"/>
        </w:rPr>
        <w:softHyphen/>
        <w:t>чальной скорости снаряда стоит ниже современных систем авиационных авто</w:t>
      </w:r>
      <w:r w:rsidRPr="00070ADE">
        <w:rPr>
          <w:rFonts w:ascii="Times New Roman" w:hAnsi="Times New Roman" w:cs="Times New Roman"/>
          <w:color w:val="000000" w:themeColor="text1"/>
          <w:sz w:val="16"/>
          <w:szCs w:val="16"/>
        </w:rPr>
        <w:softHyphen/>
        <w:t>матических пушек и значительно ниже от</w:t>
      </w:r>
      <w:r w:rsidRPr="00070ADE">
        <w:rPr>
          <w:rFonts w:ascii="Times New Roman" w:hAnsi="Times New Roman" w:cs="Times New Roman"/>
          <w:color w:val="000000" w:themeColor="text1"/>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070ADE">
        <w:rPr>
          <w:rFonts w:ascii="Times New Roman" w:hAnsi="Times New Roman" w:cs="Times New Roman"/>
          <w:color w:val="000000" w:themeColor="text1"/>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p w14:paraId="4665810A" w14:textId="77777777" w:rsidR="00903E13" w:rsidRPr="00070ADE" w:rsidRDefault="00903E13" w:rsidP="00B56F90">
      <w:pPr>
        <w:pStyle w:val="aff2"/>
        <w:shd w:val="clear" w:color="auto" w:fill="auto"/>
        <w:spacing w:line="240" w:lineRule="auto"/>
        <w:rPr>
          <w:rFonts w:ascii="Times New Roman" w:hAnsi="Times New Roman" w:cs="Times New Roman"/>
          <w:i w:val="0"/>
          <w:color w:val="000000" w:themeColor="text1"/>
          <w:sz w:val="16"/>
          <w:szCs w:val="16"/>
          <w:lang w:val="ru-RU"/>
        </w:rPr>
      </w:pPr>
      <w:r w:rsidRPr="00070ADE">
        <w:rPr>
          <w:rFonts w:ascii="Times New Roman" w:hAnsi="Times New Roman" w:cs="Times New Roman"/>
          <w:i w:val="0"/>
          <w:color w:val="000000" w:themeColor="text1"/>
          <w:sz w:val="16"/>
          <w:szCs w:val="16"/>
          <w:lang w:val="ru-RU"/>
        </w:rPr>
        <w:t>Деформация обтекателей правой и левой пушек после пикирования и резкого вывода 19.12.43 (старший лейтенант Поминальный)</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4D4663" w:rsidRPr="00070ADE" w14:paraId="190058F7"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3F142863"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035E29F2"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4E7BE36F"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01D0EDD9"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7414D1D"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2F381C9E"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16AEA408"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44D77716" w14:textId="77777777" w:rsidR="00903E13" w:rsidRPr="00070ADE" w:rsidRDefault="00903E13" w:rsidP="00B56F90">
            <w:pPr>
              <w:pStyle w:val="45"/>
              <w:shd w:val="clear" w:color="auto" w:fill="auto"/>
              <w:spacing w:before="0" w:line="240" w:lineRule="auto"/>
              <w:jc w:val="both"/>
              <w:rPr>
                <w:rFonts w:ascii="Times New Roman" w:cs="Times New Roman"/>
                <w:color w:val="000000" w:themeColor="text1"/>
                <w:sz w:val="16"/>
                <w:szCs w:val="16"/>
              </w:rPr>
            </w:pPr>
            <w:r w:rsidRPr="00070ADE">
              <w:rPr>
                <w:rFonts w:ascii="Times New Roman" w:cs="Times New Roman"/>
                <w:color w:val="000000" w:themeColor="text1"/>
                <w:sz w:val="16"/>
                <w:szCs w:val="16"/>
              </w:rPr>
              <w:t>20</w:t>
            </w:r>
          </w:p>
        </w:tc>
      </w:tr>
      <w:tr w:rsidR="004D4663" w:rsidRPr="00070ADE" w14:paraId="5AD183F7" w14:textId="77777777" w:rsidTr="00903E13">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3D61CAA1"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6BA76697"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1017A279"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75C0B9EB"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7DA974E3"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68F626DE"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463DFCF9"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531EACA1"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МП-20</w:t>
            </w:r>
          </w:p>
        </w:tc>
      </w:tr>
      <w:tr w:rsidR="004D4663" w:rsidRPr="00070ADE" w14:paraId="59CCC441" w14:textId="77777777" w:rsidTr="00903E13">
        <w:trPr>
          <w:trHeight w:val="595"/>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32C06EA7"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1B61C0EE"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10333026"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16CAD270"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7DF7C1BD"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24D07290"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6BC7BE60"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68DF4E53" w14:textId="77777777" w:rsidR="00903E13" w:rsidRPr="00070ADE" w:rsidRDefault="00903E13" w:rsidP="00B56F90">
            <w:pPr>
              <w:pStyle w:val="34"/>
              <w:shd w:val="clear" w:color="auto" w:fill="auto"/>
              <w:spacing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19</w:t>
            </w:r>
          </w:p>
        </w:tc>
      </w:tr>
    </w:tbl>
    <w:p w14:paraId="1F91E65B"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 результатам испытаний самолета «Харрикейн» 1Ю и его вооружения управ</w:t>
      </w:r>
      <w:r w:rsidRPr="00070ADE">
        <w:rPr>
          <w:rFonts w:ascii="Times New Roman" w:hAnsi="Times New Roman" w:cs="Times New Roman"/>
          <w:color w:val="000000" w:themeColor="text1"/>
          <w:sz w:val="16"/>
          <w:szCs w:val="16"/>
        </w:rPr>
        <w:softHyphen/>
        <w:t>ление технической эксплуатации ВВС КА в марте 1944 г. специальным информа</w:t>
      </w:r>
      <w:r w:rsidRPr="00070ADE">
        <w:rPr>
          <w:rFonts w:ascii="Times New Roman" w:hAnsi="Times New Roman" w:cs="Times New Roman"/>
          <w:color w:val="000000" w:themeColor="text1"/>
          <w:sz w:val="16"/>
          <w:szCs w:val="16"/>
        </w:rPr>
        <w:softHyphen/>
        <w:t>ционным письмом довело до сведения летного и технического состава строевых полков ВВС КА особенности техники пи-</w:t>
      </w:r>
    </w:p>
    <w:p w14:paraId="3B3EE463"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лотирования самолета и его основные летные данные. Указывалось, что по тех</w:t>
      </w:r>
      <w:r w:rsidRPr="00070ADE">
        <w:rPr>
          <w:rFonts w:ascii="Times New Roman" w:hAnsi="Times New Roman" w:cs="Times New Roman"/>
          <w:color w:val="000000" w:themeColor="text1"/>
          <w:sz w:val="16"/>
          <w:szCs w:val="16"/>
        </w:rPr>
        <w:softHyphen/>
        <w:t>нике пилотирования самолет «Харрикейн» 1Ю не отличается от «Харрикейна» ПС. Дальность и продолжительность полета «Харрикейна» 1Ю и Харрикейна» ПС прак</w:t>
      </w:r>
      <w:r w:rsidRPr="00070ADE">
        <w:rPr>
          <w:rFonts w:ascii="Times New Roman" w:hAnsi="Times New Roman" w:cs="Times New Roman"/>
          <w:color w:val="000000" w:themeColor="text1"/>
          <w:sz w:val="16"/>
          <w:szCs w:val="16"/>
        </w:rPr>
        <w:softHyphen/>
        <w:t>тически равны. В связи с появлением тря</w:t>
      </w:r>
      <w:r w:rsidRPr="00070ADE">
        <w:rPr>
          <w:rFonts w:ascii="Times New Roman" w:hAnsi="Times New Roman" w:cs="Times New Roman"/>
          <w:color w:val="000000" w:themeColor="text1"/>
          <w:sz w:val="16"/>
          <w:szCs w:val="16"/>
        </w:rPr>
        <w:softHyphen/>
        <w:t>ски при скорости порядка 380-385 миль/ч (610-620 км/ч) скорость пикирования са</w:t>
      </w:r>
      <w:r w:rsidRPr="00070ADE">
        <w:rPr>
          <w:rFonts w:ascii="Times New Roman" w:hAnsi="Times New Roman" w:cs="Times New Roman"/>
          <w:color w:val="000000" w:themeColor="text1"/>
          <w:sz w:val="16"/>
          <w:szCs w:val="16"/>
        </w:rPr>
        <w:softHyphen/>
        <w:t>молета «Харрикейн» НО ограничивалась 375 миль/ч (600 км/ч).</w:t>
      </w:r>
    </w:p>
    <w:p w14:paraId="76CC6DB2"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17 мая 1944 г. заместитель начальни</w:t>
      </w:r>
      <w:r w:rsidRPr="00070ADE">
        <w:rPr>
          <w:rFonts w:ascii="Times New Roman" w:hAnsi="Times New Roman" w:cs="Times New Roman"/>
          <w:color w:val="000000" w:themeColor="text1"/>
          <w:sz w:val="16"/>
          <w:szCs w:val="16"/>
        </w:rPr>
        <w:softHyphen/>
        <w:t>ка оперативного управления ВВС КА ге- нерал-майор А.П. Некрасов направил на</w:t>
      </w:r>
      <w:r w:rsidRPr="00070ADE">
        <w:rPr>
          <w:rFonts w:ascii="Times New Roman" w:hAnsi="Times New Roman" w:cs="Times New Roman"/>
          <w:color w:val="000000" w:themeColor="text1"/>
          <w:sz w:val="16"/>
          <w:szCs w:val="16"/>
        </w:rPr>
        <w:softHyphen/>
        <w:t>чальнику штаба ВВС генерал-полковнику С.А. Худякову заключение о боевых воз</w:t>
      </w:r>
      <w:r w:rsidRPr="00070ADE">
        <w:rPr>
          <w:rFonts w:ascii="Times New Roman" w:hAnsi="Times New Roman" w:cs="Times New Roman"/>
          <w:color w:val="000000" w:themeColor="text1"/>
          <w:sz w:val="16"/>
          <w:szCs w:val="16"/>
        </w:rPr>
        <w:softHyphen/>
        <w:t>можностях самолета «Харрикейн» !Ю.</w:t>
      </w:r>
    </w:p>
    <w:p w14:paraId="1B994DA9"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документе констатировалось, что «вследствие слабого могущества выстре</w:t>
      </w:r>
      <w:r w:rsidRPr="00070ADE">
        <w:rPr>
          <w:rFonts w:ascii="Times New Roman" w:hAnsi="Times New Roman" w:cs="Times New Roman"/>
          <w:color w:val="000000" w:themeColor="text1"/>
          <w:sz w:val="16"/>
          <w:szCs w:val="16"/>
        </w:rPr>
        <w:softHyphen/>
        <w:t>ла стрелково-пушечного оружия, отсут</w:t>
      </w:r>
      <w:r w:rsidRPr="00070ADE">
        <w:rPr>
          <w:rFonts w:ascii="Times New Roman" w:hAnsi="Times New Roman" w:cs="Times New Roman"/>
          <w:color w:val="000000" w:themeColor="text1"/>
          <w:sz w:val="16"/>
          <w:szCs w:val="16"/>
        </w:rPr>
        <w:softHyphen/>
        <w:t>ствия бомбардировочного вооружения и недостаточного бронирования, самолет «Харрикейн» 1Ю не может быть эффек</w:t>
      </w:r>
      <w:r w:rsidRPr="00070ADE">
        <w:rPr>
          <w:rFonts w:ascii="Times New Roman" w:hAnsi="Times New Roman" w:cs="Times New Roman"/>
          <w:color w:val="000000" w:themeColor="text1"/>
          <w:sz w:val="16"/>
          <w:szCs w:val="16"/>
        </w:rPr>
        <w:softHyphen/>
        <w:t>тивно использован, как истребитель тан</w:t>
      </w:r>
      <w:r w:rsidRPr="00070ADE">
        <w:rPr>
          <w:rFonts w:ascii="Times New Roman" w:hAnsi="Times New Roman" w:cs="Times New Roman"/>
          <w:color w:val="000000" w:themeColor="text1"/>
          <w:sz w:val="16"/>
          <w:szCs w:val="16"/>
        </w:rPr>
        <w:softHyphen/>
        <w:t>ков или штурмовик». Боеприпасы пушек НС-37 калибра 37 мм и ВЯ калибра 23 мм, состоящие из осколочно-зажигательных и бронебойно-зажигательных снарядов, имеют больший разрушающий эффект у цели по сравнению с боеприпасами к пуш</w:t>
      </w:r>
      <w:r w:rsidRPr="00070ADE">
        <w:rPr>
          <w:rFonts w:ascii="Times New Roman" w:hAnsi="Times New Roman" w:cs="Times New Roman"/>
          <w:color w:val="000000" w:themeColor="text1"/>
          <w:sz w:val="16"/>
          <w:szCs w:val="16"/>
        </w:rPr>
        <w:softHyphen/>
        <w:t>ке Виккерс 5, а бронебойный снаряд пушки НС-37 обладает к тому же еще и большей бронепробиваемостью.</w:t>
      </w:r>
    </w:p>
    <w:p w14:paraId="634519F2"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 xml:space="preserve">Внимание руководства обращалось на ненормальную ситуацию со снабжением ВВС КА снарядами к пушкам Виккерс 5. По этому поводу в докладе указывалось: </w:t>
      </w:r>
      <w:r w:rsidRPr="00070ADE">
        <w:rPr>
          <w:rStyle w:val="aff7"/>
          <w:rFonts w:ascii="Times New Roman" w:hAnsi="Times New Roman" w:cs="Times New Roman"/>
          <w:i w:val="0"/>
          <w:color w:val="000000" w:themeColor="text1"/>
        </w:rPr>
        <w:t>«Получаемые нами бронебойные снаряды от англичан, являются недозаряженны- ми (нет взрывчатого вещества и донного взрывателя), вследствие чего баллистиче</w:t>
      </w:r>
      <w:r w:rsidRPr="00070ADE">
        <w:rPr>
          <w:rStyle w:val="aff7"/>
          <w:rFonts w:ascii="Times New Roman" w:hAnsi="Times New Roman" w:cs="Times New Roman"/>
          <w:i w:val="0"/>
          <w:color w:val="000000" w:themeColor="text1"/>
        </w:rPr>
        <w:softHyphen/>
        <w:t>ские характеристики снарядов плохие и не отвечают тактико-техническим требовани</w:t>
      </w:r>
      <w:r w:rsidRPr="00070ADE">
        <w:rPr>
          <w:rStyle w:val="aff7"/>
          <w:rFonts w:ascii="Times New Roman" w:hAnsi="Times New Roman" w:cs="Times New Roman"/>
          <w:i w:val="0"/>
          <w:color w:val="000000" w:themeColor="text1"/>
        </w:rPr>
        <w:softHyphen/>
        <w:t>ям к боеприпасам воздушного боя. Такой тип снаряда не в состоянии пробить броню среднего танка в 45 мм на дистанции 300 м под углом встречи к нормали 30°, а бронь толщиной меньше, чем 30 мм, или пла</w:t>
      </w:r>
      <w:r w:rsidRPr="00070ADE">
        <w:rPr>
          <w:rStyle w:val="aff7"/>
          <w:rFonts w:ascii="Times New Roman" w:hAnsi="Times New Roman" w:cs="Times New Roman"/>
          <w:i w:val="0"/>
          <w:color w:val="000000" w:themeColor="text1"/>
        </w:rPr>
        <w:softHyphen/>
        <w:t>нер самолета, он способен пробить, но не разрушить, так как снаряд не имеет ни за</w:t>
      </w:r>
      <w:r w:rsidRPr="00070ADE">
        <w:rPr>
          <w:rStyle w:val="aff7"/>
          <w:rFonts w:ascii="Times New Roman" w:hAnsi="Times New Roman" w:cs="Times New Roman"/>
          <w:i w:val="0"/>
          <w:color w:val="000000" w:themeColor="text1"/>
        </w:rPr>
        <w:softHyphen/>
        <w:t>жигательного, ни фугасного снаряжения. Поэтому такие снаряды могут быть исполь</w:t>
      </w:r>
      <w:r w:rsidRPr="00070ADE">
        <w:rPr>
          <w:rStyle w:val="aff7"/>
          <w:rFonts w:ascii="Times New Roman" w:hAnsi="Times New Roman" w:cs="Times New Roman"/>
          <w:i w:val="0"/>
          <w:color w:val="000000" w:themeColor="text1"/>
        </w:rPr>
        <w:softHyphen/>
        <w:t>зованы для учебных целей или каклафето- пробные. Для поражения самолетов в воз</w:t>
      </w:r>
      <w:r w:rsidRPr="00070ADE">
        <w:rPr>
          <w:rStyle w:val="aff7"/>
          <w:rFonts w:ascii="Times New Roman" w:hAnsi="Times New Roman" w:cs="Times New Roman"/>
          <w:i w:val="0"/>
          <w:color w:val="000000" w:themeColor="text1"/>
        </w:rPr>
        <w:softHyphen/>
        <w:t>духе нужны снаряды осколочно-фугасного действия».</w:t>
      </w:r>
    </w:p>
    <w:p w14:paraId="6D0132AD"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При сопоставимых летных данных у земли основной ударный самолет ВВС КА штурмовик Ил-2 имел значительно более сильное бронирование, бомбардировоч</w:t>
      </w:r>
      <w:r w:rsidRPr="00070ADE">
        <w:rPr>
          <w:rFonts w:ascii="Times New Roman" w:hAnsi="Times New Roman" w:cs="Times New Roman"/>
          <w:color w:val="000000" w:themeColor="text1"/>
          <w:sz w:val="16"/>
          <w:szCs w:val="16"/>
        </w:rPr>
        <w:softHyphen/>
        <w:t>ное вооружение и воздушного стрелка для защиты от атак истребителей против</w:t>
      </w:r>
      <w:r w:rsidRPr="00070ADE">
        <w:rPr>
          <w:rFonts w:ascii="Times New Roman" w:hAnsi="Times New Roman" w:cs="Times New Roman"/>
          <w:color w:val="000000" w:themeColor="text1"/>
          <w:sz w:val="16"/>
          <w:szCs w:val="16"/>
        </w:rPr>
        <w:softHyphen/>
        <w:t>ника со стороны задней полусферы. По этим причинам боевые качества Ил-2 оценивались специалистами оператив</w:t>
      </w:r>
      <w:r w:rsidRPr="00070ADE">
        <w:rPr>
          <w:rFonts w:ascii="Times New Roman" w:hAnsi="Times New Roman" w:cs="Times New Roman"/>
          <w:color w:val="000000" w:themeColor="text1"/>
          <w:sz w:val="16"/>
          <w:szCs w:val="16"/>
        </w:rPr>
        <w:softHyphen/>
        <w:t>ного управления значительно выше, чем «Харрикейна»1Ю.</w:t>
      </w:r>
    </w:p>
    <w:p w14:paraId="620207EA"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На основании этого делался вывод, что «самолет «Харрикейн» НО в качестве штурмовика применять нецелесообразно, вследствие слабого могущества выстре</w:t>
      </w:r>
      <w:r w:rsidRPr="00070ADE">
        <w:rPr>
          <w:rFonts w:ascii="Times New Roman" w:hAnsi="Times New Roman" w:cs="Times New Roman"/>
          <w:color w:val="000000" w:themeColor="text1"/>
          <w:sz w:val="16"/>
          <w:szCs w:val="16"/>
        </w:rPr>
        <w:softHyphen/>
        <w:t>ла стрелково-пушечного вооружения, от</w:t>
      </w:r>
      <w:r w:rsidRPr="00070ADE">
        <w:rPr>
          <w:rFonts w:ascii="Times New Roman" w:hAnsi="Times New Roman" w:cs="Times New Roman"/>
          <w:color w:val="000000" w:themeColor="text1"/>
          <w:sz w:val="16"/>
          <w:szCs w:val="16"/>
        </w:rPr>
        <w:softHyphen/>
        <w:t>сутствия бомбардировочного вооружения и слабого бронирования». Истребитель предлагалось использовать в системе ПВО страны в качестве истребителя-перехват- чика, но при условии использования бое</w:t>
      </w:r>
      <w:r w:rsidRPr="00070ADE">
        <w:rPr>
          <w:rFonts w:ascii="Times New Roman" w:hAnsi="Times New Roman" w:cs="Times New Roman"/>
          <w:color w:val="000000" w:themeColor="text1"/>
          <w:sz w:val="16"/>
          <w:szCs w:val="16"/>
        </w:rPr>
        <w:softHyphen/>
        <w:t>припасов «осколочно-трассирующего или осколочно-зажигательного снаряжения».</w:t>
      </w:r>
    </w:p>
    <w:p w14:paraId="02F67999"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Известна резолюция генерала Худяко</w:t>
      </w:r>
      <w:r w:rsidRPr="00070ADE">
        <w:rPr>
          <w:rStyle w:val="2f1"/>
          <w:rFonts w:ascii="Times New Roman" w:hAnsi="Times New Roman" w:cs="Times New Roman"/>
          <w:i w:val="0"/>
          <w:color w:val="000000" w:themeColor="text1"/>
          <w:sz w:val="16"/>
          <w:szCs w:val="16"/>
        </w:rPr>
        <w:t>ва, которую тот наложил на документ:</w:t>
      </w:r>
      <w:r w:rsidRPr="00070ADE">
        <w:rPr>
          <w:rFonts w:ascii="Times New Roman" w:hAnsi="Times New Roman"/>
          <w:color w:val="000000" w:themeColor="text1"/>
          <w:sz w:val="16"/>
          <w:szCs w:val="16"/>
        </w:rPr>
        <w:t xml:space="preserve"> «ОУ. Подготовить справку такого же содержа</w:t>
      </w:r>
      <w:r w:rsidRPr="00070ADE">
        <w:rPr>
          <w:rFonts w:ascii="Times New Roman" w:hAnsi="Times New Roman"/>
          <w:color w:val="000000" w:themeColor="text1"/>
          <w:sz w:val="16"/>
          <w:szCs w:val="16"/>
        </w:rPr>
        <w:softHyphen/>
        <w:t>ния главному инженеру ВВС за моей под</w:t>
      </w:r>
      <w:r w:rsidRPr="00070ADE">
        <w:rPr>
          <w:rFonts w:ascii="Times New Roman" w:hAnsi="Times New Roman"/>
          <w:color w:val="000000" w:themeColor="text1"/>
          <w:sz w:val="16"/>
          <w:szCs w:val="16"/>
        </w:rPr>
        <w:softHyphen/>
        <w:t>писью».</w:t>
      </w:r>
      <w:r w:rsidRPr="00070ADE">
        <w:rPr>
          <w:rStyle w:val="2f1"/>
          <w:rFonts w:ascii="Times New Roman" w:hAnsi="Times New Roman" w:cs="Times New Roman"/>
          <w:i w:val="0"/>
          <w:color w:val="000000" w:themeColor="text1"/>
          <w:sz w:val="16"/>
          <w:szCs w:val="16"/>
        </w:rPr>
        <w:t xml:space="preserve"> Уже 23 мая справка ушла в аппарат генерала Репина.</w:t>
      </w:r>
    </w:p>
    <w:p w14:paraId="44A3910A"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Пока «Харрикейны» 1Ю зав. №№ КХ-171 и КХ-305 испытывались и принималось ре</w:t>
      </w:r>
      <w:r w:rsidRPr="00070ADE">
        <w:rPr>
          <w:rFonts w:ascii="Times New Roman" w:hAnsi="Times New Roman" w:cs="Times New Roman"/>
          <w:color w:val="000000" w:themeColor="text1"/>
          <w:sz w:val="16"/>
          <w:szCs w:val="16"/>
        </w:rPr>
        <w:softHyphen/>
        <w:t>шение о целесообразности применения самолетов этого типа в ВВС КА, личный состав 246-го иап начиная с октября 1943 г. прошел полный курс переучивания на английский противотанковый истребитель в 25-м запасном истребительном авиапол</w:t>
      </w:r>
      <w:r w:rsidRPr="00070ADE">
        <w:rPr>
          <w:rFonts w:ascii="Times New Roman" w:hAnsi="Times New Roman" w:cs="Times New Roman"/>
          <w:color w:val="000000" w:themeColor="text1"/>
          <w:sz w:val="16"/>
          <w:szCs w:val="16"/>
        </w:rPr>
        <w:softHyphen/>
        <w:t>ку ВВС Закавказского военного округа (г. Аджи-Кабул) (12735).</w:t>
      </w:r>
    </w:p>
    <w:p w14:paraId="51FFF7CA" w14:textId="77777777" w:rsidR="00903E13" w:rsidRPr="00070ADE" w:rsidRDefault="00903E13"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p>
    <w:p w14:paraId="63D1D1FA"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марта 1944 г. Историческая справка по самолету ТБ-7 (Пе-8), составленная главным конструктором самолета на заводе № 22 И. Ф. Незваль</w:t>
      </w:r>
    </w:p>
    <w:p w14:paraId="03715C9C"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ТБ-7 задуман в варианте высотного бомбардировщика, оборудованного специальным агрегатом центрального наддува. Первоначальный эскизный проект самолета был составлен А. Н. Туполевым во второй половине 1934 г., в это же время под руководством В. М. Петлякова начались первые изыскания и исследовательские работы по прочности и выбору конструкции.</w:t>
      </w:r>
    </w:p>
    <w:p w14:paraId="2EFA78A8"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Проектирование всей машины началось с начала 1935 г. Окончательный эскизный проект самолета был закончен и предъявлен ВВС осенью 1935 г. Макет самолета был построен и предъявлен в феврале 1936 г. Выдача чертежей в производство началась с апреля 1935 г. и закончилась по основной массе чертежей в марте 1936 г. Производственные работы начались в мае 1935 г. Постройка самолета без установки моторов была закончена в середине 1936 г. Моторы были получены осенью 1936 г. Самолет вывезен на аэродром в ноябре 1936 г. В течение ноября и декабря производилась сборка самолета и отработка ВМГ на земле. Первый вылет состоялся 27 декабря 1936 г.</w:t>
      </w:r>
    </w:p>
    <w:p w14:paraId="59F39068"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на проектирование с изысканиями затрачено около двух лет, а вместе с постройкой – два с половиной года. Опытный самолет ТБ-7 был оборудован четырьмя моторами АМ-34ФРНБ и агрегатом центрального наддува АЦН-2 с мотором М-100 и имел следующее стрелковое вооружение:</w:t>
      </w:r>
    </w:p>
    <w:p w14:paraId="6FF7DBA4"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носу шаровую башню с пушкой Швак-20.</w:t>
      </w:r>
    </w:p>
    <w:p w14:paraId="12B21812"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корме шаровую башню с пушкой Швак-20.</w:t>
      </w:r>
    </w:p>
    <w:p w14:paraId="555216D2"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верху турель с пулеметом Шкас – 7,62.</w:t>
      </w:r>
    </w:p>
    <w:p w14:paraId="49425D8A"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шассийных установках 2 пушки Швак-20.</w:t>
      </w:r>
    </w:p>
    <w:p w14:paraId="120B5C84"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После первых испытаний в марте 1937 г. машина встала на доводки и переделку винто-моторной группы, заключавшуюся в размещении водорадиаторов двух моторов впереди гондола шасси (т. е. так, как в настоящее время) вместо отдельных радиаторов под каждым мотором. Переделка и доводки были закончены в мае 1937 г.</w:t>
      </w:r>
    </w:p>
    <w:p w14:paraId="58E8DE36"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мая 1937 г. при первом испытательном полете на аэродроме 8-го отдела ЦАГИ в Подлипках машина потерпела аварию по причине ошибки пилотирования и два месяца простояла на ремонте.</w:t>
      </w:r>
    </w:p>
    <w:p w14:paraId="78A1A889"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августе 1937 г. самолет был передан в НИИ ВВС на совместные испытания, 1-й этап которых закончился в октябре 1937 г. После смены моторов, выработавших ресурсы, и проведения работ по установке зимнего шасси, в феврале 1938 г. самолет был снова передан в НИИ ВВС, где прошел зимние испытания на лыжах.</w:t>
      </w:r>
    </w:p>
    <w:p w14:paraId="6CCB97B0"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марта 1938 г. самолет перелетел в Евпаторию, где проходил 2-й этап государственных испытаний. В апреле испытания были закончены, в результате которых получены следующие летные данные:</w:t>
      </w:r>
    </w:p>
    <w:tbl>
      <w:tblPr>
        <w:tblW w:w="8926"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673"/>
        <w:gridCol w:w="1418"/>
        <w:gridCol w:w="1417"/>
        <w:gridCol w:w="1418"/>
      </w:tblGrid>
      <w:tr w:rsidR="004D4663" w:rsidRPr="00070ADE" w14:paraId="597C04D4" w14:textId="77777777" w:rsidTr="00EB5859">
        <w:trPr>
          <w:tblCellSpacing w:w="0" w:type="dxa"/>
        </w:trPr>
        <w:tc>
          <w:tcPr>
            <w:tcW w:w="4673" w:type="dxa"/>
            <w:hideMark/>
          </w:tcPr>
          <w:p w14:paraId="598727F5"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w:t>
            </w:r>
          </w:p>
        </w:tc>
        <w:tc>
          <w:tcPr>
            <w:tcW w:w="1418" w:type="dxa"/>
            <w:hideMark/>
          </w:tcPr>
          <w:p w14:paraId="3114C6EF"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24000</w:t>
            </w:r>
          </w:p>
        </w:tc>
        <w:tc>
          <w:tcPr>
            <w:tcW w:w="1417" w:type="dxa"/>
            <w:hideMark/>
          </w:tcPr>
          <w:p w14:paraId="05208C01"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26000</w:t>
            </w:r>
          </w:p>
        </w:tc>
        <w:tc>
          <w:tcPr>
            <w:tcW w:w="1418" w:type="dxa"/>
            <w:hideMark/>
          </w:tcPr>
          <w:p w14:paraId="4CA7B949"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28000</w:t>
            </w:r>
          </w:p>
        </w:tc>
      </w:tr>
      <w:tr w:rsidR="004D4663" w:rsidRPr="00070ADE" w14:paraId="56600158" w14:textId="77777777" w:rsidTr="00EB5859">
        <w:trPr>
          <w:tblCellSpacing w:w="0" w:type="dxa"/>
        </w:trPr>
        <w:tc>
          <w:tcPr>
            <w:tcW w:w="4673" w:type="dxa"/>
            <w:hideMark/>
          </w:tcPr>
          <w:p w14:paraId="05D214A8"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Максимальная скорость у земли</w:t>
            </w:r>
          </w:p>
        </w:tc>
        <w:tc>
          <w:tcPr>
            <w:tcW w:w="1418" w:type="dxa"/>
            <w:hideMark/>
          </w:tcPr>
          <w:p w14:paraId="676F2A20"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315 км/ч</w:t>
            </w:r>
          </w:p>
        </w:tc>
        <w:tc>
          <w:tcPr>
            <w:tcW w:w="1417" w:type="dxa"/>
            <w:hideMark/>
          </w:tcPr>
          <w:p w14:paraId="2EAFF733"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312 км/ч</w:t>
            </w:r>
          </w:p>
        </w:tc>
        <w:tc>
          <w:tcPr>
            <w:tcW w:w="1418" w:type="dxa"/>
            <w:hideMark/>
          </w:tcPr>
          <w:p w14:paraId="2FAB36BF"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305 км/ч</w:t>
            </w:r>
          </w:p>
        </w:tc>
      </w:tr>
      <w:tr w:rsidR="004D4663" w:rsidRPr="00070ADE" w14:paraId="5427BD05" w14:textId="77777777" w:rsidTr="00EB5859">
        <w:trPr>
          <w:tblCellSpacing w:w="0" w:type="dxa"/>
        </w:trPr>
        <w:tc>
          <w:tcPr>
            <w:tcW w:w="4673" w:type="dxa"/>
            <w:hideMark/>
          </w:tcPr>
          <w:p w14:paraId="3C208382"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Максимальная скорость без АЦН на высоте 4700 м</w:t>
            </w:r>
          </w:p>
        </w:tc>
        <w:tc>
          <w:tcPr>
            <w:tcW w:w="1418" w:type="dxa"/>
            <w:hideMark/>
          </w:tcPr>
          <w:p w14:paraId="4661D357"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375 км/ч</w:t>
            </w:r>
          </w:p>
        </w:tc>
        <w:tc>
          <w:tcPr>
            <w:tcW w:w="1417" w:type="dxa"/>
            <w:hideMark/>
          </w:tcPr>
          <w:p w14:paraId="31F58487"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371 км/ч</w:t>
            </w:r>
          </w:p>
        </w:tc>
        <w:tc>
          <w:tcPr>
            <w:tcW w:w="1418" w:type="dxa"/>
            <w:hideMark/>
          </w:tcPr>
          <w:p w14:paraId="32E9F34E"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361 км/ч</w:t>
            </w:r>
          </w:p>
        </w:tc>
      </w:tr>
      <w:tr w:rsidR="004D4663" w:rsidRPr="00070ADE" w14:paraId="09F759D6" w14:textId="77777777" w:rsidTr="00EB5859">
        <w:trPr>
          <w:tblCellSpacing w:w="0" w:type="dxa"/>
        </w:trPr>
        <w:tc>
          <w:tcPr>
            <w:tcW w:w="4673" w:type="dxa"/>
            <w:hideMark/>
          </w:tcPr>
          <w:p w14:paraId="138B3FD0"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Максимальная скорость с АЦН на высоте 8600 м</w:t>
            </w:r>
          </w:p>
        </w:tc>
        <w:tc>
          <w:tcPr>
            <w:tcW w:w="1418" w:type="dxa"/>
            <w:hideMark/>
          </w:tcPr>
          <w:p w14:paraId="601BBD9E"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430 км/ч</w:t>
            </w:r>
          </w:p>
        </w:tc>
        <w:tc>
          <w:tcPr>
            <w:tcW w:w="1417" w:type="dxa"/>
            <w:hideMark/>
          </w:tcPr>
          <w:p w14:paraId="234632F0"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420 км/ч</w:t>
            </w:r>
          </w:p>
        </w:tc>
        <w:tc>
          <w:tcPr>
            <w:tcW w:w="1418" w:type="dxa"/>
            <w:hideMark/>
          </w:tcPr>
          <w:p w14:paraId="571CE12D"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406 км/ч</w:t>
            </w:r>
          </w:p>
        </w:tc>
      </w:tr>
      <w:tr w:rsidR="004D4663" w:rsidRPr="00070ADE" w14:paraId="47929067" w14:textId="77777777" w:rsidTr="00EB5859">
        <w:trPr>
          <w:tblCellSpacing w:w="0" w:type="dxa"/>
        </w:trPr>
        <w:tc>
          <w:tcPr>
            <w:tcW w:w="4673" w:type="dxa"/>
            <w:hideMark/>
          </w:tcPr>
          <w:p w14:paraId="713E1C17"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Время подъема на 5000 м без АЦН</w:t>
            </w:r>
          </w:p>
        </w:tc>
        <w:tc>
          <w:tcPr>
            <w:tcW w:w="1418" w:type="dxa"/>
            <w:hideMark/>
          </w:tcPr>
          <w:p w14:paraId="76C884C8"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мин.</w:t>
            </w:r>
          </w:p>
        </w:tc>
        <w:tc>
          <w:tcPr>
            <w:tcW w:w="1417" w:type="dxa"/>
            <w:hideMark/>
          </w:tcPr>
          <w:p w14:paraId="059AD230"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19,1 мин.</w:t>
            </w:r>
          </w:p>
        </w:tc>
        <w:tc>
          <w:tcPr>
            <w:tcW w:w="1418" w:type="dxa"/>
            <w:hideMark/>
          </w:tcPr>
          <w:p w14:paraId="1F7E33B6"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23,3 мин.</w:t>
            </w:r>
          </w:p>
        </w:tc>
      </w:tr>
      <w:tr w:rsidR="004D4663" w:rsidRPr="00070ADE" w14:paraId="6208A6DA" w14:textId="77777777" w:rsidTr="00EB5859">
        <w:trPr>
          <w:tblCellSpacing w:w="0" w:type="dxa"/>
        </w:trPr>
        <w:tc>
          <w:tcPr>
            <w:tcW w:w="4673" w:type="dxa"/>
            <w:hideMark/>
          </w:tcPr>
          <w:p w14:paraId="5CBA9D9A"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Время подъема на 5000 м с АЦН</w:t>
            </w:r>
          </w:p>
        </w:tc>
        <w:tc>
          <w:tcPr>
            <w:tcW w:w="1418" w:type="dxa"/>
            <w:hideMark/>
          </w:tcPr>
          <w:p w14:paraId="7E3D0325"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16,3 мин.</w:t>
            </w:r>
          </w:p>
        </w:tc>
        <w:tc>
          <w:tcPr>
            <w:tcW w:w="1417" w:type="dxa"/>
            <w:hideMark/>
          </w:tcPr>
          <w:p w14:paraId="05AE995B"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18,8 мин.</w:t>
            </w:r>
          </w:p>
        </w:tc>
        <w:tc>
          <w:tcPr>
            <w:tcW w:w="1418" w:type="dxa"/>
            <w:hideMark/>
          </w:tcPr>
          <w:p w14:paraId="163DF5BA"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62EF997" w14:textId="77777777" w:rsidTr="00EB5859">
        <w:trPr>
          <w:tblCellSpacing w:w="0" w:type="dxa"/>
        </w:trPr>
        <w:tc>
          <w:tcPr>
            <w:tcW w:w="4673" w:type="dxa"/>
            <w:hideMark/>
          </w:tcPr>
          <w:p w14:paraId="00F5E193"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Практический потолок без АЦН</w:t>
            </w:r>
          </w:p>
        </w:tc>
        <w:tc>
          <w:tcPr>
            <w:tcW w:w="1418" w:type="dxa"/>
            <w:hideMark/>
          </w:tcPr>
          <w:p w14:paraId="73DB78D9"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8200 м</w:t>
            </w:r>
          </w:p>
        </w:tc>
        <w:tc>
          <w:tcPr>
            <w:tcW w:w="1417" w:type="dxa"/>
            <w:hideMark/>
          </w:tcPr>
          <w:p w14:paraId="45B822BB"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7300 м</w:t>
            </w:r>
          </w:p>
        </w:tc>
        <w:tc>
          <w:tcPr>
            <w:tcW w:w="1418" w:type="dxa"/>
            <w:hideMark/>
          </w:tcPr>
          <w:p w14:paraId="441935BA"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5700 м</w:t>
            </w:r>
          </w:p>
        </w:tc>
      </w:tr>
      <w:tr w:rsidR="004D4663" w:rsidRPr="00070ADE" w14:paraId="26B8043E" w14:textId="77777777" w:rsidTr="00EB5859">
        <w:trPr>
          <w:tblCellSpacing w:w="0" w:type="dxa"/>
        </w:trPr>
        <w:tc>
          <w:tcPr>
            <w:tcW w:w="4673" w:type="dxa"/>
            <w:hideMark/>
          </w:tcPr>
          <w:p w14:paraId="2329C13E"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Практический потолок с АЦН</w:t>
            </w:r>
          </w:p>
        </w:tc>
        <w:tc>
          <w:tcPr>
            <w:tcW w:w="1418" w:type="dxa"/>
            <w:hideMark/>
          </w:tcPr>
          <w:p w14:paraId="13E72185"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17" w:type="dxa"/>
            <w:hideMark/>
          </w:tcPr>
          <w:p w14:paraId="24FDB56C"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10200 м</w:t>
            </w:r>
          </w:p>
        </w:tc>
        <w:tc>
          <w:tcPr>
            <w:tcW w:w="1418" w:type="dxa"/>
            <w:hideMark/>
          </w:tcPr>
          <w:p w14:paraId="3425BC5D"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A06219A" w14:textId="77777777" w:rsidTr="00EB5859">
        <w:trPr>
          <w:tblCellSpacing w:w="0" w:type="dxa"/>
        </w:trPr>
        <w:tc>
          <w:tcPr>
            <w:tcW w:w="4673" w:type="dxa"/>
            <w:hideMark/>
          </w:tcPr>
          <w:p w14:paraId="7C878ACC"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Время набора потолка без АЦН</w:t>
            </w:r>
          </w:p>
        </w:tc>
        <w:tc>
          <w:tcPr>
            <w:tcW w:w="1418" w:type="dxa"/>
            <w:hideMark/>
          </w:tcPr>
          <w:p w14:paraId="76E4B0DD"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 мин.</w:t>
            </w:r>
          </w:p>
        </w:tc>
        <w:tc>
          <w:tcPr>
            <w:tcW w:w="1417" w:type="dxa"/>
            <w:hideMark/>
          </w:tcPr>
          <w:p w14:paraId="3E61F8C2"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65,2 мин.</w:t>
            </w:r>
          </w:p>
        </w:tc>
        <w:tc>
          <w:tcPr>
            <w:tcW w:w="1418" w:type="dxa"/>
            <w:hideMark/>
          </w:tcPr>
          <w:p w14:paraId="4F9108A9"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 мин.</w:t>
            </w:r>
          </w:p>
        </w:tc>
      </w:tr>
      <w:tr w:rsidR="004D4663" w:rsidRPr="00070ADE" w14:paraId="7146CD1D" w14:textId="77777777" w:rsidTr="00EB5859">
        <w:trPr>
          <w:tblCellSpacing w:w="0" w:type="dxa"/>
        </w:trPr>
        <w:tc>
          <w:tcPr>
            <w:tcW w:w="4673" w:type="dxa"/>
            <w:hideMark/>
          </w:tcPr>
          <w:p w14:paraId="2843BB22"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Время набора потолка с АЦН</w:t>
            </w:r>
          </w:p>
        </w:tc>
        <w:tc>
          <w:tcPr>
            <w:tcW w:w="1418" w:type="dxa"/>
            <w:hideMark/>
          </w:tcPr>
          <w:p w14:paraId="496EC4F1"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17" w:type="dxa"/>
            <w:hideMark/>
          </w:tcPr>
          <w:p w14:paraId="3986373B"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 мин.</w:t>
            </w:r>
          </w:p>
        </w:tc>
        <w:tc>
          <w:tcPr>
            <w:tcW w:w="1418" w:type="dxa"/>
            <w:hideMark/>
          </w:tcPr>
          <w:p w14:paraId="6D019890"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CEF7A09" w14:textId="77777777" w:rsidTr="00EB5859">
        <w:trPr>
          <w:tblCellSpacing w:w="0" w:type="dxa"/>
        </w:trPr>
        <w:tc>
          <w:tcPr>
            <w:tcW w:w="4673" w:type="dxa"/>
            <w:hideMark/>
          </w:tcPr>
          <w:p w14:paraId="4437B4AA"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Длина разбега со щитками</w:t>
            </w:r>
          </w:p>
        </w:tc>
        <w:tc>
          <w:tcPr>
            <w:tcW w:w="1418" w:type="dxa"/>
            <w:hideMark/>
          </w:tcPr>
          <w:p w14:paraId="281AC396"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 м</w:t>
            </w:r>
          </w:p>
        </w:tc>
        <w:tc>
          <w:tcPr>
            <w:tcW w:w="1417" w:type="dxa"/>
            <w:hideMark/>
          </w:tcPr>
          <w:p w14:paraId="25CE2590"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405 м</w:t>
            </w:r>
          </w:p>
        </w:tc>
        <w:tc>
          <w:tcPr>
            <w:tcW w:w="1418" w:type="dxa"/>
            <w:hideMark/>
          </w:tcPr>
          <w:p w14:paraId="7083D782"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538 м</w:t>
            </w:r>
          </w:p>
        </w:tc>
      </w:tr>
      <w:tr w:rsidR="004D4663" w:rsidRPr="00070ADE" w14:paraId="4704D32C" w14:textId="77777777" w:rsidTr="00EB5859">
        <w:trPr>
          <w:tblCellSpacing w:w="0" w:type="dxa"/>
        </w:trPr>
        <w:tc>
          <w:tcPr>
            <w:tcW w:w="4673" w:type="dxa"/>
            <w:hideMark/>
          </w:tcPr>
          <w:p w14:paraId="5A295CA5"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Время разбега со щитками</w:t>
            </w:r>
          </w:p>
        </w:tc>
        <w:tc>
          <w:tcPr>
            <w:tcW w:w="1418" w:type="dxa"/>
            <w:hideMark/>
          </w:tcPr>
          <w:p w14:paraId="7FD41AAD"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16,8 мин.</w:t>
            </w:r>
          </w:p>
        </w:tc>
        <w:tc>
          <w:tcPr>
            <w:tcW w:w="1417" w:type="dxa"/>
            <w:hideMark/>
          </w:tcPr>
          <w:p w14:paraId="07105EE7"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22,2 мин.</w:t>
            </w:r>
          </w:p>
        </w:tc>
        <w:tc>
          <w:tcPr>
            <w:tcW w:w="1418" w:type="dxa"/>
            <w:hideMark/>
          </w:tcPr>
          <w:p w14:paraId="1A1587BB"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28,5 мин.</w:t>
            </w:r>
          </w:p>
        </w:tc>
      </w:tr>
    </w:tbl>
    <w:p w14:paraId="1F260857"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разбега при полетном весе в 30000 кг получена 770 м. В отчете об испытаниях дана очень хорошая оценка самолета и настоятельная рекомендация о выпуске в серию. По окончании этих испытаний состоялось решение правительства о запуске самолета ТБ-7 с 4АМ-34ФРНБ + М-100 в серию на заводе № 124.</w:t>
      </w:r>
    </w:p>
    <w:p w14:paraId="111AC4C7"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1937 г. был запущен в производство 2-й экземпляр самолета ТБ-7 «Дублер», отличавшийся от первого несколько расширенным фюзеляжем, измененным вооружением, расширенной штурманской кабиной. В процессе постройки, осенью 1937 г., было введено неподвижное свободнонесущее горизонтальное оперение. Испытания «Дублера» закончились летом 1938 г.</w:t>
      </w:r>
    </w:p>
    <w:p w14:paraId="4AFBD198"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серию самолет был запущен по типу «Дублера», но со снятой выступающей вниз кабиной штурмана и с добавлением люковой стрелковой установки в Ф-3. Остальное стрелковое вооружение состояло из спарки пулеметов Шкас-7,62 в шаровых башнях на носу и на корме, одной пушки Швак-20 на верху и двух пулеметов Шкас-7,62 в шассийных установках.</w:t>
      </w:r>
    </w:p>
    <w:p w14:paraId="39A4A31D"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чертежи по самолету были переданы заводу № 124 в течение мая и июня 1938 г. В этот же период началась подготовка производства. В 1938 г. завод не выпустил ни одного самолета. Первый самолет вышел летом 1939 г. Серийные самолеты сначала выпускались с моторами АМ-34ФРНВ + М-101 (4 самолета), а последующие – с моторами АМ-35, ввиду снятия с производства моторов АМ-34ФРНВ.</w:t>
      </w:r>
    </w:p>
    <w:p w14:paraId="7C1262C7"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1940 г. решением правительства самолет ТБ-7 был снят с производства как устаревший. В марте 1940 г. была уничтожена вся оснастка для этого самолета (использована для оснастки самолета ПС-64). К этому времени было построено и сдано ВВС 10 самолетов, а на заводе остался задел планеров и агрегатов еще на 7 самолетов.</w:t>
      </w:r>
    </w:p>
    <w:p w14:paraId="686464ED"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Решением правительства от мая 1940 г. производство самолетов ТБ-7 было восстановлено вновь, с выпуском первых машин с моторами АМ-35А без АЦН, а последующих с дизель-моторами М-40Ф и М-30.</w:t>
      </w:r>
    </w:p>
    <w:p w14:paraId="6E80C305"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Сначала была построена одна машина с моторами АМ-35А, прошедшая госиспытания в НИИ ВВС в начале 1941 г. и показавшая хорошие результаты, а именно:</w:t>
      </w:r>
    </w:p>
    <w:p w14:paraId="5CC6785F"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полетном весе 27000 кг самолет ТБ-7 имел:</w:t>
      </w:r>
    </w:p>
    <w:p w14:paraId="4504C188"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Максимальную скорость у земли – 347 км/час</w:t>
      </w:r>
    </w:p>
    <w:p w14:paraId="62816342"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Максимальную скорость на высоте 6360 м – 443 км/час</w:t>
      </w:r>
    </w:p>
    <w:p w14:paraId="18C9C78D"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подъема на 5000 м – 14,6 мин.</w:t>
      </w:r>
    </w:p>
    <w:p w14:paraId="0FF92745"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 9300 м</w:t>
      </w:r>
    </w:p>
    <w:p w14:paraId="64643AA3"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потолка – 43,5 мин.</w:t>
      </w:r>
    </w:p>
    <w:p w14:paraId="742A5E5F"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разбега на номинале – 485 м</w:t>
      </w:r>
    </w:p>
    <w:p w14:paraId="18735694"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разбега – 18 сек.</w:t>
      </w:r>
    </w:p>
    <w:p w14:paraId="1BCD2D2E"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Этот самолет был также оборудован десантной кабиной.</w:t>
      </w:r>
    </w:p>
    <w:p w14:paraId="294B0724"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Помимо этого были выпущены два самолета с дизелями: один осенью 1940 г. с моторами М-40, а другой в феврале 1941 г. с моторами М-30, первый прошел заводские и государственные испытания, но в дальнейшем серийные самолеты выпускались уже с моторами М-40Ф. На самолете ТБ-7 с моторами М-30 в связи с началом войны испытания не были закончены, и он был передан в воинскую часть для боевой эксплуатации. Самолеты ТБ-7 с моторами М-40Ф по той же причине полностью испытаны не были.</w:t>
      </w:r>
    </w:p>
    <w:p w14:paraId="3E5DCA38"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1941 г. в связи с запуском на заводе № 124 самолета Пе-2, производство самолетов ТБ-7 было фактически прекращено. В начале войны, при формировании дивизии дальнего действия, самолеты подверглись переоборудованию и полному перевооружению, а также частичному бронированию экипажа. При перевооружении легкие пулеметы на корме были заменены пушкой Швак-20, а в шассийных точках на УБТ-12,7. В это же время была использована часть имевшегося задела планеров. В декабре 1941 г. при слиянии заводов № 124 и 22 решением ГОКО производство самолетов было законсервировано. Производилась только доделка нескольких незаконченных самолетов. Вся оснастка была снята с мест и вывезена из производственных цехов. За период консервации, в связи с недоработанностью моторов М-40Ф, на многих готовых самолетах была произведена замена моторов на М-30, но после выявления ряда серьезных дефектов моторов М-30 последние также были сняты со всех самолетов и заменены моторами АМ-35А.</w:t>
      </w:r>
    </w:p>
    <w:p w14:paraId="2F238D87"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этот же период был выпущен один самолет, оборудованный моторами М-82, испытания которого были закончены осенью 1942 г.</w:t>
      </w:r>
    </w:p>
    <w:p w14:paraId="01F93CF4"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1942 г. решением ГОКО производство самолетов ТБ-7 на заводе № 22 было снова возобновлено с выделением на заводе отдельного производства с месячным выпуском по пять самолетов Пе-8 с моторами М-82.</w:t>
      </w:r>
    </w:p>
    <w:p w14:paraId="51A40600"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это решение по существу выполнено не было как в части организации производства, так и в отношении количества выпускаемых машин. До последнего времени завод выпускал не более чем три машины в месяц.</w:t>
      </w:r>
    </w:p>
    <w:p w14:paraId="1C871209"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Решением ГОКО от 5 марта 1944 г. вновь прекращено производство этих машин и дано задание еще раз их переоборудовать под пассажирский вариант с моторами М-30.</w:t>
      </w:r>
    </w:p>
    <w:p w14:paraId="04CB9A32"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Главный конструктор И. Ф. Незваль</w:t>
      </w:r>
    </w:p>
    <w:p w14:paraId="11E7291D"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РТ. Ф. Р-2845. Оп. 3. Д. 277. Л. 71-73 об. Отпуск (15494).</w:t>
      </w:r>
    </w:p>
    <w:p w14:paraId="6C20F2CF" w14:textId="77777777" w:rsidR="00FA2B3C" w:rsidRPr="00070ADE" w:rsidRDefault="00FA2B3C" w:rsidP="00B56F90">
      <w:pPr>
        <w:spacing w:after="0" w:line="240" w:lineRule="auto"/>
        <w:jc w:val="both"/>
        <w:rPr>
          <w:rFonts w:ascii="Times New Roman" w:hAnsi="Times New Roman"/>
          <w:color w:val="000000" w:themeColor="text1"/>
          <w:sz w:val="16"/>
          <w:szCs w:val="16"/>
        </w:rPr>
      </w:pPr>
    </w:p>
    <w:p w14:paraId="470FCE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марта 1944 вышел приказ НКАП N 196сс "О переоборудовании 4-х самолетов Пе-8 в пассажирский вариант с дизель-моторами АЧ-30Б" (1629,42).</w:t>
      </w:r>
    </w:p>
    <w:p w14:paraId="4477EC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C28D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марта 1944 года Приказ НКАП №196 во исполнение Постановления ГОКО №5402 по проектированию и постройке пассажирского варианта самолета Пе-8 с двигателями АЧ-ЗОБ. Согласно приказу самолет должен был удовлетворять следующим требованиям:</w:t>
      </w:r>
    </w:p>
    <w:p w14:paraId="0DB24B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Размещать 14 пассажирских мест.</w:t>
      </w:r>
    </w:p>
    <w:p w14:paraId="0C122E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Иметь отапливаемую кабину и антиобледенительные устройства.</w:t>
      </w:r>
    </w:p>
    <w:p w14:paraId="309FB3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Иметь максимальную дальность полета 6000 км при скорости 0,7 от максимальной, при полетной массе 35000 кг.</w:t>
      </w:r>
    </w:p>
    <w:p w14:paraId="79C89B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Иметь вооружение - один пулемет УБТ в носовой башне, одну пушку ШВАК в кормовой башне, два пулемета УБТ в шассийных установках, с боезапасом 250 снарядов к пушке и по 250 патронов на каждый пулемет (7685).</w:t>
      </w:r>
    </w:p>
    <w:p w14:paraId="2006EA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695079"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марта 1944 вышел второй Приказ НКАП №196 во исполнение Постановления ГОКО №5402 от 15 марта 1944 года по проектированию и постройке пассажирского варианта самолета Пе-8 с двигателями АЧ-ЗОБ. Согласно приказу самолет должен был удовлетворять следующим требованиям:</w:t>
      </w:r>
    </w:p>
    <w:p w14:paraId="174101AF" w14:textId="77777777" w:rsidR="00903E13" w:rsidRPr="00070ADE" w:rsidRDefault="00903E13" w:rsidP="00B56F90">
      <w:pPr>
        <w:pStyle w:val="afff6"/>
        <w:tabs>
          <w:tab w:val="left" w:pos="467"/>
        </w:tabs>
        <w:autoSpaceDE/>
        <w:autoSpaceDN/>
        <w:adjustRightInd/>
        <w:ind w:left="0"/>
        <w:contextualSpacing w:val="0"/>
        <w:jc w:val="both"/>
        <w:rPr>
          <w:color w:val="000000" w:themeColor="text1"/>
          <w:sz w:val="16"/>
          <w:szCs w:val="16"/>
        </w:rPr>
      </w:pPr>
      <w:r w:rsidRPr="00070ADE">
        <w:rPr>
          <w:color w:val="000000" w:themeColor="text1"/>
          <w:sz w:val="16"/>
          <w:szCs w:val="16"/>
        </w:rPr>
        <w:t>1. Размещать 14 пассажирских мест.</w:t>
      </w:r>
    </w:p>
    <w:p w14:paraId="33EA543E" w14:textId="77777777" w:rsidR="00903E13" w:rsidRPr="00070ADE" w:rsidRDefault="00903E13" w:rsidP="00B56F90">
      <w:pPr>
        <w:pStyle w:val="afff6"/>
        <w:tabs>
          <w:tab w:val="left" w:pos="485"/>
        </w:tabs>
        <w:autoSpaceDE/>
        <w:autoSpaceDN/>
        <w:adjustRightInd/>
        <w:ind w:left="0"/>
        <w:contextualSpacing w:val="0"/>
        <w:jc w:val="both"/>
        <w:rPr>
          <w:color w:val="000000" w:themeColor="text1"/>
          <w:sz w:val="16"/>
          <w:szCs w:val="16"/>
        </w:rPr>
      </w:pPr>
      <w:r w:rsidRPr="00070ADE">
        <w:rPr>
          <w:color w:val="000000" w:themeColor="text1"/>
          <w:sz w:val="16"/>
          <w:szCs w:val="16"/>
        </w:rPr>
        <w:t>2. Иметь отапливаемую кабину и антиобледенительные устройства.</w:t>
      </w:r>
    </w:p>
    <w:p w14:paraId="3FAE94CE" w14:textId="77777777" w:rsidR="00903E13" w:rsidRPr="00070ADE" w:rsidRDefault="00903E13" w:rsidP="00B56F90">
      <w:pPr>
        <w:pStyle w:val="afff6"/>
        <w:tabs>
          <w:tab w:val="left" w:pos="482"/>
        </w:tabs>
        <w:autoSpaceDE/>
        <w:autoSpaceDN/>
        <w:adjustRightInd/>
        <w:ind w:left="0"/>
        <w:contextualSpacing w:val="0"/>
        <w:jc w:val="both"/>
        <w:rPr>
          <w:color w:val="000000" w:themeColor="text1"/>
          <w:sz w:val="16"/>
          <w:szCs w:val="16"/>
        </w:rPr>
      </w:pPr>
      <w:r w:rsidRPr="00070ADE">
        <w:rPr>
          <w:color w:val="000000" w:themeColor="text1"/>
          <w:sz w:val="16"/>
          <w:szCs w:val="16"/>
        </w:rPr>
        <w:t>3. Иметь максимальную дальность полета 6000 км при скорости 0,7 от максимальной, при полетной массе 35000 кг.</w:t>
      </w:r>
    </w:p>
    <w:p w14:paraId="278F8B36" w14:textId="77777777" w:rsidR="00903E13" w:rsidRPr="00070ADE" w:rsidRDefault="00903E13" w:rsidP="00B56F90">
      <w:pPr>
        <w:pStyle w:val="afff6"/>
        <w:tabs>
          <w:tab w:val="left" w:pos="518"/>
        </w:tabs>
        <w:autoSpaceDE/>
        <w:autoSpaceDN/>
        <w:adjustRightInd/>
        <w:ind w:left="0"/>
        <w:contextualSpacing w:val="0"/>
        <w:jc w:val="both"/>
        <w:rPr>
          <w:color w:val="000000" w:themeColor="text1"/>
          <w:sz w:val="16"/>
          <w:szCs w:val="16"/>
        </w:rPr>
      </w:pPr>
      <w:r w:rsidRPr="00070ADE">
        <w:rPr>
          <w:color w:val="000000" w:themeColor="text1"/>
          <w:sz w:val="16"/>
          <w:szCs w:val="16"/>
        </w:rPr>
        <w:lastRenderedPageBreak/>
        <w:t>4. Иметь вооружение — один пулемет УБТ в носовой башне, одну пушку ШВАК в кормовой башне, два пулемета УБТ в шассийных установках, с боезапасом 250 снарядов к пушке и по 250 патронов на каждый пулемет.</w:t>
      </w:r>
    </w:p>
    <w:p w14:paraId="48DC716E"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этими требовани</w:t>
      </w:r>
      <w:r w:rsidRPr="00070ADE">
        <w:rPr>
          <w:rFonts w:ascii="Times New Roman" w:hAnsi="Times New Roman"/>
          <w:color w:val="000000" w:themeColor="text1"/>
          <w:sz w:val="16"/>
          <w:szCs w:val="16"/>
        </w:rPr>
        <w:softHyphen/>
        <w:t>ями проходило проектирование само</w:t>
      </w:r>
      <w:r w:rsidRPr="00070ADE">
        <w:rPr>
          <w:rFonts w:ascii="Times New Roman" w:hAnsi="Times New Roman"/>
          <w:color w:val="000000" w:themeColor="text1"/>
          <w:sz w:val="16"/>
          <w:szCs w:val="16"/>
        </w:rPr>
        <w:softHyphen/>
        <w:t>лета. Полный комплект рабочих чертежей по машине был выдан производству к 10 апреля 1944 года. Сборка первого самолета была закон</w:t>
      </w:r>
      <w:r w:rsidRPr="00070ADE">
        <w:rPr>
          <w:rFonts w:ascii="Times New Roman" w:hAnsi="Times New Roman"/>
          <w:color w:val="000000" w:themeColor="text1"/>
          <w:sz w:val="16"/>
          <w:szCs w:val="16"/>
        </w:rPr>
        <w:softHyphen/>
        <w:t>чена 31 октября, второго самолета — 31 декабря 1944 года. Основные за</w:t>
      </w:r>
      <w:r w:rsidRPr="00070ADE">
        <w:rPr>
          <w:rFonts w:ascii="Times New Roman" w:hAnsi="Times New Roman"/>
          <w:color w:val="000000" w:themeColor="text1"/>
          <w:sz w:val="16"/>
          <w:szCs w:val="16"/>
        </w:rPr>
        <w:softHyphen/>
        <w:t>держки сборочных работ произошли из-за долгого отсутствия дизельных двигателей и винтов. В сборочный цех дизеля поступили к 14 октября 1944 года, винты — 30 октября, а для второй машины двигатели поступили только 20 декабря 1944 года.</w:t>
      </w:r>
    </w:p>
    <w:p w14:paraId="4BF8687E"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проектировании и постройке пассажирского варианта Пе-8 (по ОКБ и заводу шифр самолет "Е") большие проблемы возникли с добыванием необходимых отделочных материалов для салонов самолета. Казанский завод выпускал только боевые машины, естественно, необходимых материалов на его складах не было. На дворе 1944 год, война, всем не до веселеньких обивок. Незвалю пришлось ехать в Москву и вместе с представителем НКАП направиться в Ассортиментный отдел Наркомата легкой промышленности и там подбирать нужные текстильные материалы. В годы войны этот ассортимент был небогатый. С большим трудом удалось получить материал с красивой выработкой для обеих машин: для одной машины выбрали светло-серый материал, для второй темно-бежевый. Этот материал пошел на отделку диванов и стен салонов. Кроме того, ни в ОКБ, ни на заводе никто толком не знал, с какого бока подойти к отделочным работам. Пришлось поездить и посмотреть, как это все выполняется на специализированных заводах.</w:t>
      </w:r>
    </w:p>
    <w:p w14:paraId="13CD9A52"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Основная пассажирская кабина располагалась в задней части фюзеляжа. В ней размещалось 12 сидячих кресел. Кресла типа "Дуглас", с откидывающимися спинками, позволявшими пассажирам занимать полулежачее положение. В центроплане оборудовалась спальная кабина, с тремя диванами. Позади основной пассажирской кабины находилась изолированная туалетная комната с унитазом, умывальником и небольшим зеркалом. Имелась вешалка для верхней одежды и багажник, размещенный под полом спальной кабины. В пассажирской кабине имелось следующее специальное оборудование:</w:t>
      </w:r>
    </w:p>
    <w:p w14:paraId="51A5E885" w14:textId="77777777" w:rsidR="00903E13" w:rsidRPr="00070ADE" w:rsidRDefault="00903E13" w:rsidP="00B56F90">
      <w:pPr>
        <w:tabs>
          <w:tab w:val="left" w:pos="50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Тепловая и звуковая изоляция стенок и пола.</w:t>
      </w:r>
    </w:p>
    <w:p w14:paraId="64D62103" w14:textId="77777777" w:rsidR="00903E13" w:rsidRPr="00070ADE" w:rsidRDefault="00903E13" w:rsidP="00B56F90">
      <w:pPr>
        <w:tabs>
          <w:tab w:val="left" w:pos="52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Отопление воздухом, нагретым горячей водой от системы охлаждения двигателей.</w:t>
      </w:r>
    </w:p>
    <w:p w14:paraId="05BD631C" w14:textId="77777777" w:rsidR="00903E13" w:rsidRPr="00070ADE" w:rsidRDefault="00903E13" w:rsidP="00B56F90">
      <w:pPr>
        <w:tabs>
          <w:tab w:val="left" w:pos="52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Индивидуальная вентиляция.</w:t>
      </w:r>
    </w:p>
    <w:p w14:paraId="4D8FD5AE" w14:textId="77777777" w:rsidR="00903E13" w:rsidRPr="00070ADE" w:rsidRDefault="00903E13" w:rsidP="00B56F90">
      <w:pPr>
        <w:tabs>
          <w:tab w:val="left" w:pos="63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Кислородное оборудование, обеспечивавшее кислородом каждое пассажирское место.</w:t>
      </w:r>
    </w:p>
    <w:p w14:paraId="22054A02" w14:textId="77777777" w:rsidR="00903E13" w:rsidRPr="00070ADE" w:rsidRDefault="00903E13" w:rsidP="00B56F90">
      <w:pPr>
        <w:tabs>
          <w:tab w:val="left" w:pos="63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Кабинное и индивидуальное освещение</w:t>
      </w:r>
    </w:p>
    <w:p w14:paraId="3FF4E161"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размещения пассажиров потребовалось снять заднюю верхнюю пушечную установку ТАТ, а также грузовой пол над бомбоотсеком в Ф-3, в связи с чем были доработаны ряд шпангоутов и спроектирован новый пол, обеспечивший проход пассажиров в полный рост. Грузовой пол в районе центроплана, являвшийся силовым элементом, сохранили без изменений.</w:t>
      </w:r>
    </w:p>
    <w:p w14:paraId="307717FC"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системе отопления и вентиляции отопительные каналы, со свободным выходом теплого воздуха, размещались по полу по обеим сторонам прохода. Забор воздуха производился через патрубки в носке крыла. Воздух проходил через специальные водяные радиаторы, где он подогревался горячей водой от системы охлаждения двигателей и по трубопроводу подавался в кабину. Воздух для приточной вентиляции поступал через заборники на фюзеляже и подавался по вентиляционным коробам, идущим вдоль бортов фюзеляжа. У каждого пассажирского места имелся специальный вывод воздуха.</w:t>
      </w:r>
    </w:p>
    <w:p w14:paraId="63DFFEE7"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Из-за установки двигателей АЧ-ЗОБ с ТК использование тепла выхлопных газов не представлялось возможным. Из-за этого в качестве противообледенительного устройства на передних кромках крыла и оперения устанавливались резиновые пневматические антиобледенители типа "Гудрич". Антиобледенители на винтах и стеклах козырька пилота были жидкостные, как и на серийных машинах.</w:t>
      </w:r>
    </w:p>
    <w:p w14:paraId="2342D463"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выполнении высотного полета все пассажиры обеспечивались питанием кислородом из расчета 16 литров на человека. Этого запаса хватало для полетов на высотах 6000-8000 м в течение 8 часов.</w:t>
      </w:r>
    </w:p>
    <w:p w14:paraId="55DAA617"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сохранили все аэронавигационное и радиооборудование серийного бомбардировочного варианта.</w:t>
      </w:r>
    </w:p>
    <w:p w14:paraId="4022AF2D"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Были сохранены следующие огневые оборонительные точки:</w:t>
      </w:r>
    </w:p>
    <w:p w14:paraId="0DA71DA1" w14:textId="77777777" w:rsidR="00903E13" w:rsidRPr="00070ADE" w:rsidRDefault="00903E13" w:rsidP="00B56F90">
      <w:pPr>
        <w:tabs>
          <w:tab w:val="left" w:pos="49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Носовая стрелковая с пулеметом УБТ-12,7 мм на шаровой опоре с запасом патронов 200 штук.</w:t>
      </w:r>
    </w:p>
    <w:p w14:paraId="5F285984" w14:textId="77777777" w:rsidR="00903E13" w:rsidRPr="00070ADE" w:rsidRDefault="00903E13" w:rsidP="00B56F90">
      <w:pPr>
        <w:tabs>
          <w:tab w:val="left" w:pos="48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Кормовая стрелковая башня КЭБ с пушкой ШВАК-20, с запасом снарядов 230 штук.</w:t>
      </w:r>
    </w:p>
    <w:p w14:paraId="29FF075A" w14:textId="77777777" w:rsidR="00903E13" w:rsidRPr="00070ADE" w:rsidRDefault="00903E13" w:rsidP="00B56F90">
      <w:pPr>
        <w:tabs>
          <w:tab w:val="left" w:pos="51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Две стрелковые установки ШУ в обтекателях шасси, с пулеметами УБТ-12,7 мм с запасом патронов по 230 штук на каждую.</w:t>
      </w:r>
    </w:p>
    <w:p w14:paraId="37C9DED6"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установке двигателей АЧ-ЗОБ, по сравнению с серийным самолетом, имевшим те же двигатели, в винтомоторной группе были выполнены следующие изменения: улучшена продувка водорадиаторов путем установки туннеля с открытым входом и регулировкой на входе; установлены маслобаки увеличенной емкости с расчетом на 20 часов полета; установлены воздушно-масляные радиаторы вместо водо-масляных; введена топливная система с кольцеванием по всем четырем двигателям; введены винты типа УФ-61В с системой флюгирования.</w:t>
      </w:r>
    </w:p>
    <w:p w14:paraId="56769B19"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отличие от серийных самолетов, на Пе-80Н было внедрено новое вертикальное оперение увеличенной площади с форкилем. Введены дополнительные окна в фюзеляже в районе пассажирской кабины.</w:t>
      </w:r>
    </w:p>
    <w:p w14:paraId="1F28E261"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проектных данных самолет должен был иметь следующие характеристики. Нормальная полетная масса самолета определялась в 30000 кг, масса пустого — в 21520 кг, полезная нагрузка — в 8480 кг, из них экипаж 10 человек — 860 кг, пассажиры 12 человек — 1056 кг, багаж — 200 кг, съемное вооружение и боезапас — 274 кг; масло — 920 кг, топливо — 5150 кг. В перегрузочном варианте полетная масса определялась в 35500 кг, при этом запас масла доводился до 1120 кг, топлива — до 10450 кг.</w:t>
      </w:r>
    </w:p>
    <w:p w14:paraId="7E8163F9"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нормальной полетной массе максимальная скорость у земли должна была равняться 360 км/ч, на 6000 м — 425 км/ч, посадочная скорость 125 км/ч, время подъема на высоту 5000 м 16,5 мин, практический потолок 9000 м, длина разбега — 485 м, пробега — 620 м. В перегрузочном варианте на 6000 м максимальная скорость падала до 407 км/ч, потолок до 7700 м, разбег увеличивался до 750 м, а время подъема на высоту 5000 м увеличивалось до 24,5 мин. Дальность полета на скорости 0,7 от максимальной на высоте 4000 м (полет без использования кислородного оборудования) в нормальном варианте составляла 3080 км, в перегрузочном — 6050 км. Перегоночная дальность без пассажиров с полными топливными баками составляла 6800 км (12626).</w:t>
      </w:r>
    </w:p>
    <w:p w14:paraId="44E54543" w14:textId="77777777" w:rsidR="00903E13" w:rsidRPr="00070ADE" w:rsidRDefault="00903E13" w:rsidP="00B56F90">
      <w:pPr>
        <w:spacing w:after="0" w:line="240" w:lineRule="auto"/>
        <w:jc w:val="both"/>
        <w:rPr>
          <w:rFonts w:ascii="Times New Roman" w:hAnsi="Times New Roman"/>
          <w:color w:val="000000" w:themeColor="text1"/>
          <w:sz w:val="16"/>
          <w:szCs w:val="16"/>
        </w:rPr>
      </w:pPr>
    </w:p>
    <w:p w14:paraId="2A9EF4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марта 1944 г. главным конструктором самолета на заводе № 22 И. Ф. Незвалем была составлена Историческая справка по самолету ТБ-7 (Пе-8).</w:t>
      </w:r>
    </w:p>
    <w:p w14:paraId="2F0E38F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ТБ-7 задуман в варианте высотного бомбардировщика, оборудованного специальным агрегатом центрального наддува. Первоначальный эскизный проект самолета был составлен А. Н. Туполевым во второй половине 1934 г., в это же время под руководством В. М. Петлякова начались первые изыскания и исследовательские работы по прочности и выбору конструкции.</w:t>
      </w:r>
    </w:p>
    <w:p w14:paraId="4FAB0D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Проектирование всей машины началось с начала 1935 г. Окончательный эскизный проект самолета был закончен и предъявлен ВВС осенью 1935 г. Макет самолета был построен и предъявлен в феврале 1936 г. Выдача чертежей в производство началась с апреля 1935 г. и закончилась по основной массе чертежей в марте 1936 г. Производственные работы начались в мае 1935 г. Постройка самолета без установки моторов была закончена в середине 1936 г. Моторы были получены осенью 1936 г. Самолет вывезен на аэродром в ноябре 1936 г. В течение ноября и декабря производилась сборка самолета и отработка ВМГ на земле. Первый вылет состоялся 27 декабря 1936 г.</w:t>
      </w:r>
    </w:p>
    <w:p w14:paraId="702A33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на проектирование с изысканиями затрачено около двух лет, а вместе с постройкой - два с половиной года. Опытный самолет ТБ-7 был оборудован четырьмя моторами АМ-34ФРНБ и агрегатом центрального наддува АЦН-2 с мотором М-100 и имел следующее стрелковое вооружение:</w:t>
      </w:r>
    </w:p>
    <w:p w14:paraId="1DF5E2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носу шаровую башню с пушкой Швак-20.</w:t>
      </w:r>
    </w:p>
    <w:p w14:paraId="7D0B95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корме шаровую башню с пушкой Швак-20.</w:t>
      </w:r>
    </w:p>
    <w:p w14:paraId="407E37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верху турель с пулеметом Шкас-7,62.</w:t>
      </w:r>
    </w:p>
    <w:p w14:paraId="452DCB2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шассийных установках 2 пушки Швак-20.</w:t>
      </w:r>
    </w:p>
    <w:p w14:paraId="08D710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первых испытаний в марте 1937 г. машина встала на доводки и переделку винто-моторной группы, заключавшуюся в размещении водорадиаторов двух моторов впереди гондола шасси (т. е. так, как в настоящее время) вместо отдельных радиаторов под каждым мотором. Переделка и доводки были закончены в мае 1937 г.</w:t>
      </w:r>
    </w:p>
    <w:p w14:paraId="3DA971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мая 1937 г. при первом испытательном полете на аэродроме 8-го отдела ЦАГИ в Подлипках машина потерпела аварию по причине ошибки пилотирования и два месяца простояла на ремонте.</w:t>
      </w:r>
    </w:p>
    <w:p w14:paraId="28773B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августе 1937 г. самолет был передан в НИИ ВВС на совместные испытания, 1-й этап которых закончился в октябре 1937 г. После смены моторов, выработавших ресурсы, и проведения работ по установке зимнего шасси, в феврале 1938 г. самолет был снова передан в НИИ ВВС, где прошел зимние испытания на лыжах.</w:t>
      </w:r>
    </w:p>
    <w:p w14:paraId="01436C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марта 1938 г. самолет перелетел в Евпаторию, где проходил 2-й этап государственных испытаний. В апреле испытания были закончены, в результате которых получены следующие летные данные:</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783"/>
        <w:gridCol w:w="856"/>
        <w:gridCol w:w="856"/>
        <w:gridCol w:w="856"/>
      </w:tblGrid>
      <w:tr w:rsidR="004D4663" w:rsidRPr="00070ADE" w14:paraId="217F8AB1" w14:textId="77777777">
        <w:tc>
          <w:tcPr>
            <w:tcW w:w="2783" w:type="dxa"/>
            <w:tcBorders>
              <w:top w:val="single" w:sz="12" w:space="0" w:color="auto"/>
            </w:tcBorders>
          </w:tcPr>
          <w:p w14:paraId="129652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Максимальная скорость у земли</w:t>
            </w:r>
          </w:p>
        </w:tc>
        <w:tc>
          <w:tcPr>
            <w:tcW w:w="856" w:type="dxa"/>
            <w:tcBorders>
              <w:top w:val="single" w:sz="12" w:space="0" w:color="auto"/>
            </w:tcBorders>
          </w:tcPr>
          <w:p w14:paraId="2BDB35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315 км/ч</w:t>
            </w:r>
          </w:p>
        </w:tc>
        <w:tc>
          <w:tcPr>
            <w:tcW w:w="856" w:type="dxa"/>
            <w:tcBorders>
              <w:top w:val="single" w:sz="12" w:space="0" w:color="auto"/>
            </w:tcBorders>
          </w:tcPr>
          <w:p w14:paraId="139036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312 км/ч</w:t>
            </w:r>
          </w:p>
        </w:tc>
        <w:tc>
          <w:tcPr>
            <w:tcW w:w="856" w:type="dxa"/>
            <w:tcBorders>
              <w:top w:val="single" w:sz="12" w:space="0" w:color="auto"/>
            </w:tcBorders>
          </w:tcPr>
          <w:p w14:paraId="1E864E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305 км/ч</w:t>
            </w:r>
          </w:p>
        </w:tc>
      </w:tr>
      <w:tr w:rsidR="004D4663" w:rsidRPr="00070ADE" w14:paraId="07FF41F4" w14:textId="77777777">
        <w:tc>
          <w:tcPr>
            <w:tcW w:w="2783" w:type="dxa"/>
          </w:tcPr>
          <w:p w14:paraId="34F86A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Максимальная скорость без АЦН** на высоте 4700 м.</w:t>
            </w:r>
          </w:p>
        </w:tc>
        <w:tc>
          <w:tcPr>
            <w:tcW w:w="856" w:type="dxa"/>
          </w:tcPr>
          <w:p w14:paraId="3928E8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375 км/ч</w:t>
            </w:r>
          </w:p>
        </w:tc>
        <w:tc>
          <w:tcPr>
            <w:tcW w:w="856" w:type="dxa"/>
          </w:tcPr>
          <w:p w14:paraId="717BE0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371 км/ч</w:t>
            </w:r>
          </w:p>
        </w:tc>
        <w:tc>
          <w:tcPr>
            <w:tcW w:w="856" w:type="dxa"/>
          </w:tcPr>
          <w:p w14:paraId="38509F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361 км/ч</w:t>
            </w:r>
          </w:p>
        </w:tc>
      </w:tr>
      <w:tr w:rsidR="004D4663" w:rsidRPr="00070ADE" w14:paraId="4EBA1ECA" w14:textId="77777777">
        <w:tc>
          <w:tcPr>
            <w:tcW w:w="2783" w:type="dxa"/>
          </w:tcPr>
          <w:p w14:paraId="6691EE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Максимальная скорость с АЦН на высоте 8600 м.</w:t>
            </w:r>
          </w:p>
        </w:tc>
        <w:tc>
          <w:tcPr>
            <w:tcW w:w="856" w:type="dxa"/>
          </w:tcPr>
          <w:p w14:paraId="078415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430 км/ч</w:t>
            </w:r>
          </w:p>
        </w:tc>
        <w:tc>
          <w:tcPr>
            <w:tcW w:w="856" w:type="dxa"/>
          </w:tcPr>
          <w:p w14:paraId="714925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420 км/ч</w:t>
            </w:r>
          </w:p>
        </w:tc>
        <w:tc>
          <w:tcPr>
            <w:tcW w:w="856" w:type="dxa"/>
          </w:tcPr>
          <w:p w14:paraId="1E2D66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406 км/ч</w:t>
            </w:r>
          </w:p>
        </w:tc>
      </w:tr>
      <w:tr w:rsidR="004D4663" w:rsidRPr="00070ADE" w14:paraId="7C527E3A" w14:textId="77777777">
        <w:tc>
          <w:tcPr>
            <w:tcW w:w="2783" w:type="dxa"/>
          </w:tcPr>
          <w:p w14:paraId="553C19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Время подъема на 5000 м. без АЦН</w:t>
            </w:r>
          </w:p>
        </w:tc>
        <w:tc>
          <w:tcPr>
            <w:tcW w:w="856" w:type="dxa"/>
          </w:tcPr>
          <w:p w14:paraId="7DAC2A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мин.</w:t>
            </w:r>
          </w:p>
        </w:tc>
        <w:tc>
          <w:tcPr>
            <w:tcW w:w="856" w:type="dxa"/>
          </w:tcPr>
          <w:p w14:paraId="50E0D3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19,1 мин.</w:t>
            </w:r>
          </w:p>
        </w:tc>
        <w:tc>
          <w:tcPr>
            <w:tcW w:w="856" w:type="dxa"/>
          </w:tcPr>
          <w:p w14:paraId="5C31C4A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23,3 мин.</w:t>
            </w:r>
          </w:p>
        </w:tc>
      </w:tr>
      <w:tr w:rsidR="004D4663" w:rsidRPr="00070ADE" w14:paraId="3DB37E8C" w14:textId="77777777">
        <w:tc>
          <w:tcPr>
            <w:tcW w:w="2783" w:type="dxa"/>
          </w:tcPr>
          <w:p w14:paraId="03C17A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5. Время подъема на 5000 м. с АЦН</w:t>
            </w:r>
          </w:p>
        </w:tc>
        <w:tc>
          <w:tcPr>
            <w:tcW w:w="856" w:type="dxa"/>
          </w:tcPr>
          <w:p w14:paraId="308244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16,3 мин.</w:t>
            </w:r>
          </w:p>
        </w:tc>
        <w:tc>
          <w:tcPr>
            <w:tcW w:w="856" w:type="dxa"/>
          </w:tcPr>
          <w:p w14:paraId="109420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18,8 мин.</w:t>
            </w:r>
          </w:p>
        </w:tc>
        <w:tc>
          <w:tcPr>
            <w:tcW w:w="856" w:type="dxa"/>
          </w:tcPr>
          <w:p w14:paraId="1DA0D2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758737F" w14:textId="77777777">
        <w:tc>
          <w:tcPr>
            <w:tcW w:w="2783" w:type="dxa"/>
          </w:tcPr>
          <w:p w14:paraId="2A0A9A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Практический потолок без АЦН</w:t>
            </w:r>
          </w:p>
        </w:tc>
        <w:tc>
          <w:tcPr>
            <w:tcW w:w="856" w:type="dxa"/>
          </w:tcPr>
          <w:p w14:paraId="73CC57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8200 м.</w:t>
            </w:r>
          </w:p>
        </w:tc>
        <w:tc>
          <w:tcPr>
            <w:tcW w:w="856" w:type="dxa"/>
          </w:tcPr>
          <w:p w14:paraId="0144AF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7300 м.</w:t>
            </w:r>
          </w:p>
        </w:tc>
        <w:tc>
          <w:tcPr>
            <w:tcW w:w="856" w:type="dxa"/>
          </w:tcPr>
          <w:p w14:paraId="42FD37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5700 м.</w:t>
            </w:r>
          </w:p>
        </w:tc>
      </w:tr>
      <w:tr w:rsidR="004D4663" w:rsidRPr="00070ADE" w14:paraId="2225D2D7" w14:textId="77777777">
        <w:tc>
          <w:tcPr>
            <w:tcW w:w="2783" w:type="dxa"/>
          </w:tcPr>
          <w:p w14:paraId="675384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Практический потолок с АЦН</w:t>
            </w:r>
          </w:p>
        </w:tc>
        <w:tc>
          <w:tcPr>
            <w:tcW w:w="856" w:type="dxa"/>
          </w:tcPr>
          <w:p w14:paraId="0A142F3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6" w:type="dxa"/>
          </w:tcPr>
          <w:p w14:paraId="43642E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10200 м.</w:t>
            </w:r>
          </w:p>
        </w:tc>
        <w:tc>
          <w:tcPr>
            <w:tcW w:w="856" w:type="dxa"/>
          </w:tcPr>
          <w:p w14:paraId="754CE6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46192EA" w14:textId="77777777">
        <w:tc>
          <w:tcPr>
            <w:tcW w:w="2783" w:type="dxa"/>
          </w:tcPr>
          <w:p w14:paraId="20163A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Время набора потолка без АЦН</w:t>
            </w:r>
          </w:p>
        </w:tc>
        <w:tc>
          <w:tcPr>
            <w:tcW w:w="856" w:type="dxa"/>
          </w:tcPr>
          <w:p w14:paraId="0FE15D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 мин.</w:t>
            </w:r>
          </w:p>
        </w:tc>
        <w:tc>
          <w:tcPr>
            <w:tcW w:w="856" w:type="dxa"/>
          </w:tcPr>
          <w:p w14:paraId="53CC67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65,2 мин.</w:t>
            </w:r>
          </w:p>
        </w:tc>
        <w:tc>
          <w:tcPr>
            <w:tcW w:w="856" w:type="dxa"/>
          </w:tcPr>
          <w:p w14:paraId="63BE3E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 мин.</w:t>
            </w:r>
          </w:p>
        </w:tc>
      </w:tr>
      <w:tr w:rsidR="004D4663" w:rsidRPr="00070ADE" w14:paraId="3705E28D" w14:textId="77777777">
        <w:tc>
          <w:tcPr>
            <w:tcW w:w="2783" w:type="dxa"/>
          </w:tcPr>
          <w:p w14:paraId="7E4DCD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Время набора потолка с АЦН</w:t>
            </w:r>
          </w:p>
        </w:tc>
        <w:tc>
          <w:tcPr>
            <w:tcW w:w="856" w:type="dxa"/>
          </w:tcPr>
          <w:p w14:paraId="09C65EE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6" w:type="dxa"/>
          </w:tcPr>
          <w:p w14:paraId="1A3430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 мин.</w:t>
            </w:r>
          </w:p>
        </w:tc>
        <w:tc>
          <w:tcPr>
            <w:tcW w:w="856" w:type="dxa"/>
          </w:tcPr>
          <w:p w14:paraId="5F28B0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CC749F4" w14:textId="77777777">
        <w:tc>
          <w:tcPr>
            <w:tcW w:w="2783" w:type="dxa"/>
          </w:tcPr>
          <w:p w14:paraId="77D10C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Длина разбега со щитками</w:t>
            </w:r>
          </w:p>
        </w:tc>
        <w:tc>
          <w:tcPr>
            <w:tcW w:w="856" w:type="dxa"/>
          </w:tcPr>
          <w:p w14:paraId="29DD07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 м.</w:t>
            </w:r>
          </w:p>
        </w:tc>
        <w:tc>
          <w:tcPr>
            <w:tcW w:w="856" w:type="dxa"/>
          </w:tcPr>
          <w:p w14:paraId="1F6628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405 м.</w:t>
            </w:r>
          </w:p>
        </w:tc>
        <w:tc>
          <w:tcPr>
            <w:tcW w:w="856" w:type="dxa"/>
          </w:tcPr>
          <w:p w14:paraId="2D3A9D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538 м.</w:t>
            </w:r>
          </w:p>
        </w:tc>
      </w:tr>
      <w:tr w:rsidR="004D4663" w:rsidRPr="00070ADE" w14:paraId="0E7188C5" w14:textId="77777777">
        <w:tc>
          <w:tcPr>
            <w:tcW w:w="2783" w:type="dxa"/>
            <w:tcBorders>
              <w:bottom w:val="single" w:sz="12" w:space="0" w:color="auto"/>
            </w:tcBorders>
          </w:tcPr>
          <w:p w14:paraId="446CFC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Время разбега со щитками</w:t>
            </w:r>
          </w:p>
        </w:tc>
        <w:tc>
          <w:tcPr>
            <w:tcW w:w="856" w:type="dxa"/>
            <w:tcBorders>
              <w:bottom w:val="single" w:sz="12" w:space="0" w:color="auto"/>
            </w:tcBorders>
          </w:tcPr>
          <w:p w14:paraId="24231C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16,8 мин.</w:t>
            </w:r>
          </w:p>
        </w:tc>
        <w:tc>
          <w:tcPr>
            <w:tcW w:w="856" w:type="dxa"/>
            <w:tcBorders>
              <w:bottom w:val="single" w:sz="12" w:space="0" w:color="auto"/>
            </w:tcBorders>
          </w:tcPr>
          <w:p w14:paraId="7211C6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22,2 мин.</w:t>
            </w:r>
          </w:p>
        </w:tc>
        <w:tc>
          <w:tcPr>
            <w:tcW w:w="856" w:type="dxa"/>
            <w:tcBorders>
              <w:bottom w:val="single" w:sz="12" w:space="0" w:color="auto"/>
            </w:tcBorders>
          </w:tcPr>
          <w:p w14:paraId="2EF1D4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28,5 мин.</w:t>
            </w:r>
          </w:p>
        </w:tc>
      </w:tr>
    </w:tbl>
    <w:p w14:paraId="34989A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разбега при полетном весе в 30 000 кг получена 770 м. В отчете об испытаниях дана очень хорошая оценка самолета и настоятельная рекомендация о выпуске в серию. По окончании этих испытаний состоялось решение правительства о запуске самолета ТБ-7 с 4АМ-34ФРНБ + М-100 в серию на заводе № 124.</w:t>
      </w:r>
    </w:p>
    <w:p w14:paraId="5D6720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1937 г. был запущен в производство 2-й экземпляр самолета ТБ-7 «Дублер», отличавшийся от первого несколько расширенным фюзеляжем, измененным вооружением, расширенной штурманской кабиной. В процессе постройки, осенью 1937 г. было введено неподвижное свободнонесущее горизонтальное оперение. Испытания «Дублера» закончились летом 1938 г.</w:t>
      </w:r>
    </w:p>
    <w:p w14:paraId="584A4D3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серию самолет был запущен по типу «Дублера», но со снятой выступающей вниз кабиной штурмана и с добавлением люковой стрелковой установки в Ф-3. Остальное стрелковое вооружение состояло из спарки пулеметов Шкас-7,62 в шаровых башнях на носу и на корме, одной пушки Швак-20 на верху и двух пулеметов Шкас-7,62 в шассийных установках.</w:t>
      </w:r>
    </w:p>
    <w:p w14:paraId="358216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чертежи по самолету были переданы заводу № 124 в течение мая и июня 1938 г. В этот же период началась подготовка производства. В 1938 г. завод не выпустил ни одного самолета. Первый самолет вышел летом 1939 г. Серийные самолеты сначала выпускались с моторами АМ-34ФРНВ + М-101 (4 самолета), а последующие - с моторами АМ-35, ввиду снятия с производства моторов АМ-34ФРНВ.</w:t>
      </w:r>
    </w:p>
    <w:p w14:paraId="5AB055D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1940 г. решением правительства самолет ТБ-7 был снят с производства как устаревший. В марте 1940 г. была уничтожена вся оснастка для этого самолета (использована для оснастки самолета ПС-64). К этому времени было построено и сдано ВВС 10 самолетов, а на заводе остался задел планеров и агрегатов еще на 7 самолетов.</w:t>
      </w:r>
    </w:p>
    <w:p w14:paraId="39D9DD8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Решением правительства от мая 1940 г. производство самолетов ТБ-7 было восстановлено вновь: с выпуском первых машин с моторами АМ-35А без АЦН, а последующих с дизель-моторами М-40Ф и М-30.</w:t>
      </w:r>
    </w:p>
    <w:p w14:paraId="7613E4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Сначала была построена одна машина с моторами АМ-35А, прошедшая госиспытания в НИИ ВВС в начале 1941 г. и показавшая хорошие результаты, а именно:</w:t>
      </w:r>
    </w:p>
    <w:p w14:paraId="7434AA2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полетном весе 27 000 кг самолет ТБ-7 имел:</w:t>
      </w:r>
    </w:p>
    <w:p w14:paraId="237070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Максимальную скорость у земли - 347 км/час.</w:t>
      </w:r>
    </w:p>
    <w:p w14:paraId="2B9548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Максимальную скорость на высоте 6 360 м - 443 км/час.</w:t>
      </w:r>
    </w:p>
    <w:p w14:paraId="191221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подъема на 5 000 м - 14,6 мин.</w:t>
      </w:r>
    </w:p>
    <w:p w14:paraId="679E6F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- 9 300 м.</w:t>
      </w:r>
    </w:p>
    <w:p w14:paraId="4433C0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потолка - 43,5 мин.</w:t>
      </w:r>
    </w:p>
    <w:p w14:paraId="10791E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разбега на номинале - 485 м.</w:t>
      </w:r>
    </w:p>
    <w:p w14:paraId="119C37F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разбега - 18 сек.</w:t>
      </w:r>
    </w:p>
    <w:p w14:paraId="311AA3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Этот самолет был также оборудован десантной кабиной.</w:t>
      </w:r>
    </w:p>
    <w:p w14:paraId="65FC004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Помимо этого были выпущены два самолета с дизелями: один осенью 1940 г. с моторами М-40, а другой в феврале 1941 г. с моторами М-30, первый прошел заводские и государственные испытания, но в дальнейшем серийные самолеты выпускались уже с моторами М-40Ф. На самолете ТБ-7 с моторами М-30 в связи с началом войны испытания не были закончены, и он был передан в воинскую часть для боевой эксплуатации. Самолеты ТБ-7 с моторами М-40Ф по той же причине полностью испытаны не были.</w:t>
      </w:r>
    </w:p>
    <w:p w14:paraId="0FA4B8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1941 г. в связи с запуском на заводе № 124 самолета Пе-2 производство самолетов ТБ-7 было фактически прекращено. В начале войны, при формировании дивизии дальнего действия, самолеты подверглись переоборудованию и полному перевооружению, а также частичному бронированию экипажа. При перевооружении легкие пулеметы на корме были заменены пушкой Швак-20, а в шассийных точках - на УБТ-12,7. В это же время была использована часть имевшегося задела планеров. В декабре 1941 г. при слиянии заводов № 124 и 22 решением ГОКО* производство самолетов было законсервировано. Производилась только доделка нескольких незаконченных самолетов. Вся оснастка была снята с мест и вывезена из производственных цехов. За период консервации, в связи с недоработанностью моторов М-40Ф, на многих готовых самолетах была произведена замена моторов на М-30, но после выявления ряда серьезных дефектов моторов М-30, последние также были сняты со всех самолетов и заменены моторами АМ-35А.</w:t>
      </w:r>
    </w:p>
    <w:p w14:paraId="3D4BE1D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этот же период был выпущен один самолет, оборудованный моторами М-82, испытания которого были закончены осенью 1942 г.</w:t>
      </w:r>
    </w:p>
    <w:p w14:paraId="2323B7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1942 г. решением ГОКО производство самолетов ТБ-7 на заводе № 22 было снова возобновлено с выделением на заводе отдельного производства с месячным выпуском по пять самолетов Пе-8 с моторами М-82.</w:t>
      </w:r>
    </w:p>
    <w:p w14:paraId="2C4054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это решение по существу выполнено не было: как в части организации производства, так и в отношении количества выпускаемых машин. До последнего времени завод выпускал не более чем три машины в месяц.</w:t>
      </w:r>
    </w:p>
    <w:p w14:paraId="3AEAD1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Решением ГОКО от 5 марта 1944 г. вновь прекращено производство этих машин, и дано задание еще раз их переоборудовать под пассажирский вариант с моторами М-30.</w:t>
      </w:r>
    </w:p>
    <w:p w14:paraId="5D68F6A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Главный конструктор И. Ф. Незваль (подпись).</w:t>
      </w:r>
    </w:p>
    <w:p w14:paraId="1ECB76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РТ, ф. Р-2845, оп. 3, д. 277, л. 71-73 об. (11315).</w:t>
      </w:r>
    </w:p>
    <w:p w14:paraId="7E8A32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6BD2D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марта 1944 вышел приказ НКАП N 198сс в исполнение постановления ГКО N 5376сс от 12 марта 1944:</w:t>
      </w:r>
    </w:p>
    <w:p w14:paraId="7282BB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Зам. наркома, нач. ПГУ Воронину и директору завода 153 Лисицину построить на заводе 153 самолеты Як-9 с М-107А</w:t>
      </w:r>
    </w:p>
    <w:p w14:paraId="1C5F1D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Установить след. план выпуска самолетов Як-9 с М-107А на заводе 153 без снижения достигнутого уровня ежесуточного выпуска 17 самолетов в день. В мае - 3, в июне - 30, в июле - 60 с выходом на 10 в день в декабре 1944 (1629,56).</w:t>
      </w:r>
    </w:p>
    <w:p w14:paraId="080DAD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C9C6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марта 1944 на заводе N 21 в г. Горьком были начаты летные испытания Ла-5 с АШ-82ФН и 2 ТК-3. Летал л ЛИИ Шиянов. В полетах наблюдалась ненормальная температура головок цилиндров, доходившая до 240-260 градусов на высотах более 2000 м, а также ряд дефектов в работе бензиновой и масляной помп, а также системы зажигания. С высоты 5000 м падало давление бензина, а также начиналось сильное дымление из ТК. Дым попадал в кабину пилота, что заставляло прекращать полеты. Для принятия мер по устранению дефектов агрегатов мотора, сообщено 8 гл. управлению (1825).</w:t>
      </w:r>
    </w:p>
    <w:p w14:paraId="4AC1FF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814CAD"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марта 1944 начались лётные испытания Ла-5 с М-82ФН и двумя ТК-3, увеличенной длиной и площадью крыла и увеличенной площадью опере</w:t>
      </w:r>
      <w:r w:rsidRPr="00070ADE">
        <w:rPr>
          <w:rFonts w:ascii="Times New Roman" w:hAnsi="Times New Roman"/>
          <w:color w:val="000000" w:themeColor="text1"/>
          <w:sz w:val="16"/>
          <w:szCs w:val="16"/>
        </w:rPr>
        <w:softHyphen/>
        <w:t>ния, с запланированной боевой высотой 13500 м, также называемый как самолёт «А» или Ла-5А, их проводил лётчик-испытатель Г.М. Шиянов. Провели семь полётов, снова отмечалась высокая температура головок ци</w:t>
      </w:r>
      <w:r w:rsidRPr="00070ADE">
        <w:rPr>
          <w:rFonts w:ascii="Times New Roman" w:hAnsi="Times New Roman"/>
          <w:color w:val="000000" w:themeColor="text1"/>
          <w:sz w:val="16"/>
          <w:szCs w:val="16"/>
        </w:rPr>
        <w:softHyphen/>
        <w:t>линдров, на высотах более 2000 м доходившая до 240-260°С, а с высоты 5000 м на</w:t>
      </w:r>
      <w:r w:rsidRPr="00070ADE">
        <w:rPr>
          <w:rFonts w:ascii="Times New Roman" w:hAnsi="Times New Roman"/>
          <w:color w:val="000000" w:themeColor="text1"/>
          <w:sz w:val="16"/>
          <w:szCs w:val="16"/>
        </w:rPr>
        <w:softHyphen/>
        <w:t>чинало падать давление бензина и возникало сильное дымление из турбокомпрессора, причём дым попадал в кабину пилота, и полёт приходилось прекращать. Также имели место дефекты в работе бензо- и маслопомп и системы зажигания (15830).</w:t>
      </w:r>
    </w:p>
    <w:p w14:paraId="6E6753B3" w14:textId="77777777" w:rsidR="00FA2B3C" w:rsidRPr="00070ADE" w:rsidRDefault="00FA2B3C" w:rsidP="00B56F90">
      <w:pPr>
        <w:spacing w:after="0" w:line="240" w:lineRule="auto"/>
        <w:jc w:val="both"/>
        <w:rPr>
          <w:rFonts w:ascii="Times New Roman" w:hAnsi="Times New Roman"/>
          <w:color w:val="000000" w:themeColor="text1"/>
          <w:sz w:val="16"/>
          <w:szCs w:val="16"/>
        </w:rPr>
      </w:pPr>
    </w:p>
    <w:p w14:paraId="668F3C55"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17 марта 1944 г. второй самолёт Ла-5 с ТК (Ла-5ФТК</w:t>
      </w:r>
      <w:r w:rsidRPr="00C94B78">
        <w:rPr>
          <w:rFonts w:ascii="Times New Roman" w:hAnsi="Times New Roman"/>
          <w:b/>
          <w:bCs/>
          <w:color w:val="0070C0"/>
          <w:sz w:val="16"/>
          <w:szCs w:val="16"/>
        </w:rPr>
        <w:t xml:space="preserve"> </w:t>
      </w:r>
      <w:r w:rsidRPr="00C94B78">
        <w:rPr>
          <w:rFonts w:ascii="Times New Roman" w:hAnsi="Times New Roman"/>
          <w:color w:val="0070C0"/>
          <w:sz w:val="16"/>
          <w:szCs w:val="16"/>
        </w:rPr>
        <w:t>с крылом увеличенной площади), который переделали из Ла-5ФН с низким гаргротом в январе 1944 г. (на нём было предусмотрено охлаж</w:t>
      </w:r>
      <w:r w:rsidRPr="00C94B78">
        <w:rPr>
          <w:rFonts w:ascii="Times New Roman" w:hAnsi="Times New Roman"/>
          <w:color w:val="0070C0"/>
          <w:sz w:val="16"/>
          <w:szCs w:val="16"/>
        </w:rPr>
        <w:softHyphen/>
        <w:t>дение наддувного воздуха, всасывающий патрубок стоял снизу, а маслорадиатор - под кабиной), поднялся в воздух, но его преследовал перегрев двигателя. Видимо, в том же году работы по Ла-5ФТК прекратили, начав разработку высотного перехватчика на базе Ла-7 (24984).</w:t>
      </w:r>
    </w:p>
    <w:p w14:paraId="200A686A" w14:textId="77777777" w:rsidR="00C63BA9" w:rsidRPr="00C94B78" w:rsidRDefault="00C63BA9" w:rsidP="00B56F90">
      <w:pPr>
        <w:spacing w:after="0" w:line="240" w:lineRule="auto"/>
        <w:jc w:val="both"/>
        <w:rPr>
          <w:rFonts w:ascii="Times New Roman" w:hAnsi="Times New Roman"/>
          <w:color w:val="0070C0"/>
          <w:sz w:val="16"/>
          <w:szCs w:val="16"/>
        </w:rPr>
      </w:pPr>
    </w:p>
    <w:p w14:paraId="4A5474B0"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17 марта 1944 г. летчик Г.М. Шиянов начал летные испытания второго Ла-5ФН с ТК-3 и крылом увеличенной площа</w:t>
      </w:r>
      <w:r w:rsidRPr="00C94B78">
        <w:rPr>
          <w:rStyle w:val="aff1"/>
          <w:rFonts w:ascii="Times New Roman" w:hAnsi="Times New Roman" w:cs="Times New Roman"/>
          <w:color w:val="0070C0"/>
          <w:spacing w:val="0"/>
          <w:sz w:val="16"/>
          <w:szCs w:val="16"/>
        </w:rPr>
        <w:softHyphen/>
        <w:t>ди, который построили в январе 1944 года. Но и на этой машине встретились с теми же дефектами, что у первого перехватчика. Видимо, в 1944 году все работы по Ла-5ФН с турбокомпрессорами прекратились, поскольку уже поя</w:t>
      </w:r>
      <w:r w:rsidRPr="00C94B78">
        <w:rPr>
          <w:rStyle w:val="aff1"/>
          <w:rFonts w:ascii="Times New Roman" w:hAnsi="Times New Roman" w:cs="Times New Roman"/>
          <w:color w:val="0070C0"/>
          <w:spacing w:val="0"/>
          <w:sz w:val="16"/>
          <w:szCs w:val="16"/>
        </w:rPr>
        <w:softHyphen/>
        <w:t>вился более скоростной Ла-7 аналогичного назначения (25252).</w:t>
      </w:r>
    </w:p>
    <w:p w14:paraId="250D5709" w14:textId="77777777" w:rsidR="00C63BA9" w:rsidRPr="00C94B78" w:rsidRDefault="00C63BA9" w:rsidP="00B56F90">
      <w:pPr>
        <w:spacing w:after="0" w:line="240" w:lineRule="auto"/>
        <w:jc w:val="both"/>
        <w:rPr>
          <w:rFonts w:ascii="Times New Roman" w:hAnsi="Times New Roman"/>
          <w:color w:val="0070C0"/>
          <w:sz w:val="16"/>
          <w:szCs w:val="16"/>
        </w:rPr>
      </w:pPr>
    </w:p>
    <w:p w14:paraId="6908DA94" w14:textId="77777777" w:rsidR="005204D1" w:rsidRPr="00070ADE" w:rsidRDefault="005204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17 марта 1944 года летчик-испытатель ЛИИ Г. М. Шиянов впервые поднял высотный истребитель Ла-5 с потолком 13 500 м в воздух. </w:t>
      </w:r>
    </w:p>
    <w:p w14:paraId="13B640E0" w14:textId="77777777" w:rsidR="005204D1" w:rsidRPr="00070ADE" w:rsidRDefault="005204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Эта высотная модификации Ла-5 создавалась п приказу НКАП № 52Зсс от 31 августа 1943 года и должна была иметь новое крыло и хвостовое оперение увеличенной площади, а на летные испытания ее предполагалось поставить 15 октября 1943 года. Но постройка очередной высотной модификации Ла-5 была завершена только в январе 1944 года. Главной причиной этой задержки была загруженность завода изготовлением Ла-7. Установившаяся в феврале плохая погода воспрепятствовала проведению полетов, а во время наземных гонок двигателя снова были обнаружены частицы металла, на этот раз в маслосистеме. Потребовалось снова менять мотор</w:t>
      </w:r>
    </w:p>
    <w:p w14:paraId="51E3946F" w14:textId="77777777" w:rsidR="005204D1" w:rsidRPr="00070ADE" w:rsidRDefault="005204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Снова возникла старая проблема — перегрев головки цилиндра (до 240–260 градусов) на высотах более 2000 м, и кроме того, капризничали топливный и маслонасосы. На высоте 5000 м упало давление топлива, а турбонагнетатель правого борта начал сильно дымить. Дым попал в кабину, и пилоту пришлось досрочно прекратить полет. Испытания продолжались до июня 1944 года, когда в соответствии с новым приказом НКАП № 832сс от 6 июня 1944 года высотный истребитель надо уже было создавать на базе Ла-7. Официально летные испытания Ла-5 М-82ФН с двумя ТК-3 были завершены 15 июля 1944 года, но на самом деле они проводились до конца года, что позволило накопить бесценный опыт, использованный при создании высотного варианта Ла-7 (23547).</w:t>
      </w:r>
    </w:p>
    <w:p w14:paraId="22C255F8" w14:textId="77777777" w:rsidR="005204D1" w:rsidRPr="00070ADE" w:rsidRDefault="005204D1" w:rsidP="00B56F90">
      <w:pPr>
        <w:spacing w:after="0" w:line="240" w:lineRule="auto"/>
        <w:jc w:val="both"/>
        <w:rPr>
          <w:rFonts w:ascii="Times New Roman" w:hAnsi="Times New Roman"/>
          <w:color w:val="000000" w:themeColor="text1"/>
          <w:sz w:val="16"/>
          <w:szCs w:val="16"/>
        </w:rPr>
      </w:pPr>
    </w:p>
    <w:p w14:paraId="0D02E57A"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17 марта</w:t>
      </w:r>
      <w:r w:rsidRPr="00070ADE">
        <w:rPr>
          <w:rFonts w:ascii="Times New Roman" w:hAnsi="Times New Roman"/>
          <w:color w:val="000000" w:themeColor="text1"/>
          <w:sz w:val="16"/>
          <w:szCs w:val="16"/>
        </w:rPr>
        <w:t xml:space="preserve"> в 1944 году летчик Г.М.Шиянов начал летные испытания второго высотного </w:t>
      </w:r>
      <w:hyperlink r:id="rId76" w:tgtFrame="_blank" w:history="1">
        <w:r w:rsidRPr="00070ADE">
          <w:rPr>
            <w:rFonts w:ascii="Times New Roman" w:hAnsi="Times New Roman"/>
            <w:color w:val="000000" w:themeColor="text1"/>
            <w:sz w:val="16"/>
            <w:szCs w:val="16"/>
          </w:rPr>
          <w:t xml:space="preserve">«Ла-5ФН» </w:t>
        </w:r>
      </w:hyperlink>
      <w:r w:rsidRPr="00070ADE">
        <w:rPr>
          <w:rFonts w:ascii="Times New Roman" w:hAnsi="Times New Roman"/>
          <w:color w:val="000000" w:themeColor="text1"/>
          <w:sz w:val="16"/>
          <w:szCs w:val="16"/>
        </w:rPr>
        <w:t xml:space="preserve">с «ТК-3» и крылом увеличенной площади. На этой машине встретились с теми же дефектами, что у первого перехватчика. Видимо, в 1944 году все работы по «Ла-5ФН» с турбокомпрессорами прекратились, поскольку уже появился более скоростной </w:t>
      </w:r>
      <w:hyperlink r:id="rId77" w:tgtFrame="_blank" w:history="1">
        <w:r w:rsidRPr="00070ADE">
          <w:rPr>
            <w:rFonts w:ascii="Times New Roman" w:hAnsi="Times New Roman"/>
            <w:color w:val="000000" w:themeColor="text1"/>
            <w:sz w:val="16"/>
            <w:szCs w:val="16"/>
          </w:rPr>
          <w:t xml:space="preserve">«Ла-7» </w:t>
        </w:r>
      </w:hyperlink>
      <w:r w:rsidRPr="00070ADE">
        <w:rPr>
          <w:rFonts w:ascii="Times New Roman" w:hAnsi="Times New Roman"/>
          <w:color w:val="000000" w:themeColor="text1"/>
          <w:sz w:val="16"/>
          <w:szCs w:val="16"/>
        </w:rPr>
        <w:t>аналогичного назначения (15071).</w:t>
      </w:r>
    </w:p>
    <w:p w14:paraId="432A3F14" w14:textId="77777777" w:rsidR="00FA2B3C" w:rsidRPr="00070ADE" w:rsidRDefault="00FA2B3C" w:rsidP="00B56F90">
      <w:pPr>
        <w:spacing w:after="0" w:line="240" w:lineRule="auto"/>
        <w:jc w:val="both"/>
        <w:rPr>
          <w:rFonts w:ascii="Times New Roman" w:hAnsi="Times New Roman"/>
          <w:color w:val="000000" w:themeColor="text1"/>
          <w:sz w:val="16"/>
          <w:szCs w:val="16"/>
        </w:rPr>
      </w:pPr>
    </w:p>
    <w:p w14:paraId="46C2C0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марта 1944 летчик Г.М. Шиянов начал летные испытания второго высотного Ла-5. Но и на этой машине встретились с теми же дефектами, что у первого перехватчика. В 1944 году все работы по самолету Ла-5ФН с турбокомпрессорами прекратились, поскольку уже появился более скоростной Ла-7 аналогичного назначения (12032).</w:t>
      </w:r>
    </w:p>
    <w:p w14:paraId="385542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9DFED0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E963B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6D0309" w14:textId="45D8B7D2" w:rsidR="006E2E37" w:rsidRPr="00070ADE" w:rsidRDefault="006E2E37" w:rsidP="00B56F90">
      <w:pPr>
        <w:pStyle w:val="ae"/>
        <w:spacing w:before="0" w:after="0"/>
        <w:jc w:val="both"/>
        <w:textAlignment w:val="baseline"/>
        <w:rPr>
          <w:color w:val="000000" w:themeColor="text1"/>
          <w:sz w:val="16"/>
          <w:szCs w:val="16"/>
        </w:rPr>
      </w:pPr>
      <w:r w:rsidRPr="00070ADE">
        <w:rPr>
          <w:color w:val="000000" w:themeColor="text1"/>
          <w:sz w:val="16"/>
          <w:szCs w:val="16"/>
        </w:rPr>
        <w:t xml:space="preserve">17 марта 1944 в адрес Л.П. Берии был направлен доклад с результатами испытаний Т-44. В нём указывалось, что необходимо увеличить толщину лба корпуса до 90 мм. Причины роста толщины брони следует искать в изучении опыта </w:t>
      </w:r>
      <w:hyperlink r:id="rId78" w:history="1">
        <w:r w:rsidRPr="00070ADE">
          <w:rPr>
            <w:rStyle w:val="a5"/>
            <w:bCs/>
            <w:iCs/>
            <w:color w:val="000000" w:themeColor="text1"/>
            <w:sz w:val="16"/>
            <w:szCs w:val="16"/>
            <w:bdr w:val="none" w:sz="0" w:space="0" w:color="auto" w:frame="1"/>
          </w:rPr>
          <w:t>Курской дуги</w:t>
        </w:r>
      </w:hyperlink>
      <w:r w:rsidRPr="00070ADE">
        <w:rPr>
          <w:color w:val="000000" w:themeColor="text1"/>
          <w:sz w:val="16"/>
          <w:szCs w:val="16"/>
        </w:rPr>
        <w:t>, а также первого применения тяжёлых танков ИС-85 на фронте. Выяснилось, что бронебойные снаряды орудий немецких танков</w:t>
      </w:r>
      <w:r w:rsidR="00B643A8" w:rsidRPr="00070ADE">
        <w:rPr>
          <w:color w:val="000000" w:themeColor="text1"/>
          <w:sz w:val="16"/>
          <w:szCs w:val="16"/>
        </w:rPr>
        <w:t xml:space="preserve"> </w:t>
      </w:r>
      <w:hyperlink r:id="rId79" w:history="1">
        <w:r w:rsidRPr="00070ADE">
          <w:rPr>
            <w:rStyle w:val="a5"/>
            <w:bCs/>
            <w:iCs/>
            <w:color w:val="000000" w:themeColor="text1"/>
            <w:sz w:val="16"/>
            <w:szCs w:val="16"/>
            <w:bdr w:val="none" w:sz="0" w:space="0" w:color="auto" w:frame="1"/>
          </w:rPr>
          <w:t>Pz.Kpfw.Panther</w:t>
        </w:r>
      </w:hyperlink>
      <w:r w:rsidR="00B643A8" w:rsidRPr="00070ADE">
        <w:rPr>
          <w:color w:val="000000" w:themeColor="text1"/>
          <w:sz w:val="16"/>
          <w:szCs w:val="16"/>
        </w:rPr>
        <w:t xml:space="preserve"> </w:t>
      </w:r>
      <w:r w:rsidRPr="00070ADE">
        <w:rPr>
          <w:color w:val="000000" w:themeColor="text1"/>
          <w:sz w:val="16"/>
          <w:szCs w:val="16"/>
        </w:rPr>
        <w:t>пробивают новый советский тяжёлый танк не только в лоб башни, но и в лоб корпуса, причём на дистанции в километр. Поэтому руководство ГБТУ КА настаивало на усилении брони. Также в ГБТУ КА настаивали на разработке планетарной трансмиссии. 20 апреля 1944 года в адрес Берии было направлено аналогичное письмо за подписями маршала Федоренко и генерал-лейтенанта Бирюкова. В нём они повторно указывали на необходимость усиления лба корпуса. Впрочем, обращение к Берии, а затем и письмо начальника ГБТУ КА генерал-лейтенанта Вершинина в адрес Малышева не изменили ситуацию.</w:t>
      </w:r>
    </w:p>
    <w:p w14:paraId="251A4DDB" w14:textId="77777777" w:rsidR="006E2E37" w:rsidRPr="00070ADE" w:rsidRDefault="006E2E37" w:rsidP="00B56F90">
      <w:pPr>
        <w:spacing w:after="0" w:line="240" w:lineRule="auto"/>
        <w:jc w:val="both"/>
        <w:textAlignment w:val="baseline"/>
        <w:rPr>
          <w:rFonts w:ascii="Times New Roman" w:hAnsi="Times New Roman"/>
          <w:color w:val="000000" w:themeColor="text1"/>
          <w:sz w:val="16"/>
          <w:szCs w:val="16"/>
        </w:rPr>
      </w:pPr>
      <w:r w:rsidRPr="00070ADE">
        <w:rPr>
          <w:rFonts w:ascii="Times New Roman" w:hAnsi="Times New Roman"/>
          <w:color w:val="000000" w:themeColor="text1"/>
          <w:sz w:val="16"/>
          <w:szCs w:val="16"/>
        </w:rPr>
        <w:t>Существенно доработали не только корпус, но и башню (18950).</w:t>
      </w:r>
    </w:p>
    <w:p w14:paraId="7D299F60" w14:textId="77777777" w:rsidR="006E2E37" w:rsidRPr="00070ADE" w:rsidRDefault="006E2E37" w:rsidP="00B56F90">
      <w:pPr>
        <w:spacing w:after="0" w:line="240" w:lineRule="auto"/>
        <w:jc w:val="both"/>
        <w:textAlignment w:val="baseline"/>
        <w:rPr>
          <w:rFonts w:ascii="Times New Roman" w:hAnsi="Times New Roman"/>
          <w:color w:val="000000" w:themeColor="text1"/>
          <w:sz w:val="16"/>
          <w:szCs w:val="16"/>
        </w:rPr>
      </w:pPr>
    </w:p>
    <w:p w14:paraId="15787083"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17 марта 1944 года представители командова</w:t>
      </w:r>
      <w:r w:rsidRPr="00C94B78">
        <w:rPr>
          <w:rFonts w:ascii="Times New Roman" w:hAnsi="Times New Roman"/>
          <w:color w:val="0070C0"/>
          <w:sz w:val="16"/>
          <w:szCs w:val="16"/>
        </w:rPr>
        <w:softHyphen/>
        <w:t>ния бронетанковых и механизированных во</w:t>
      </w:r>
      <w:r w:rsidRPr="00C94B78">
        <w:rPr>
          <w:rFonts w:ascii="Times New Roman" w:hAnsi="Times New Roman"/>
          <w:color w:val="0070C0"/>
          <w:sz w:val="16"/>
          <w:szCs w:val="16"/>
        </w:rPr>
        <w:softHyphen/>
        <w:t>йск Красной Армии доложили Л. Берии о ре</w:t>
      </w:r>
      <w:r w:rsidRPr="00C94B78">
        <w:rPr>
          <w:rFonts w:ascii="Times New Roman" w:hAnsi="Times New Roman"/>
          <w:color w:val="0070C0"/>
          <w:sz w:val="16"/>
          <w:szCs w:val="16"/>
        </w:rPr>
        <w:softHyphen/>
        <w:t>зультатах испытаний Т-44 и о том, что необ</w:t>
      </w:r>
      <w:r w:rsidRPr="00C94B78">
        <w:rPr>
          <w:rFonts w:ascii="Times New Roman" w:hAnsi="Times New Roman"/>
          <w:color w:val="0070C0"/>
          <w:sz w:val="16"/>
          <w:szCs w:val="16"/>
        </w:rPr>
        <w:softHyphen/>
        <w:t>ходимо улучшить в конструкции Т-44.</w:t>
      </w:r>
    </w:p>
    <w:p w14:paraId="488104EA"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Все эти изменения предполагалось внести в конструкцию двух новых опытных образ</w:t>
      </w:r>
      <w:r w:rsidRPr="00C94B78">
        <w:rPr>
          <w:rFonts w:ascii="Times New Roman" w:hAnsi="Times New Roman"/>
          <w:color w:val="0070C0"/>
          <w:sz w:val="16"/>
          <w:szCs w:val="16"/>
        </w:rPr>
        <w:softHyphen/>
        <w:t>цов Т-44, которые, согласно приказу нарко</w:t>
      </w:r>
      <w:r w:rsidRPr="00C94B78">
        <w:rPr>
          <w:rFonts w:ascii="Times New Roman" w:hAnsi="Times New Roman"/>
          <w:color w:val="0070C0"/>
          <w:sz w:val="16"/>
          <w:szCs w:val="16"/>
        </w:rPr>
        <w:softHyphen/>
        <w:t>ма танковой промышленности, предполага</w:t>
      </w:r>
      <w:r w:rsidRPr="00C94B78">
        <w:rPr>
          <w:rFonts w:ascii="Times New Roman" w:hAnsi="Times New Roman"/>
          <w:color w:val="0070C0"/>
          <w:sz w:val="16"/>
          <w:szCs w:val="16"/>
        </w:rPr>
        <w:softHyphen/>
        <w:t>лось изготовить к 15 апреля 1944 года. Одна</w:t>
      </w:r>
      <w:r w:rsidRPr="00C94B78">
        <w:rPr>
          <w:rFonts w:ascii="Times New Roman" w:hAnsi="Times New Roman"/>
          <w:color w:val="0070C0"/>
          <w:sz w:val="16"/>
          <w:szCs w:val="16"/>
        </w:rPr>
        <w:softHyphen/>
        <w:t>ко собрать танки в срок не удалось, причем виноваты оказались «смежники», а точнее Челябинский Кировский завод.</w:t>
      </w:r>
    </w:p>
    <w:p w14:paraId="18A66F1C"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Дело в том, что изготовлением торсионов и двигателей для Т-44 занималось имен</w:t>
      </w:r>
      <w:r w:rsidRPr="00C94B78">
        <w:rPr>
          <w:rFonts w:ascii="Times New Roman" w:hAnsi="Times New Roman"/>
          <w:color w:val="0070C0"/>
          <w:sz w:val="16"/>
          <w:szCs w:val="16"/>
        </w:rPr>
        <w:softHyphen/>
        <w:t>но это предприятие, а выполнить данный заказ вовремя оно не смогло. Возмущен</w:t>
      </w:r>
      <w:r w:rsidRPr="00C94B78">
        <w:rPr>
          <w:rFonts w:ascii="Times New Roman" w:hAnsi="Times New Roman"/>
          <w:color w:val="0070C0"/>
          <w:sz w:val="16"/>
          <w:szCs w:val="16"/>
        </w:rPr>
        <w:softHyphen/>
        <w:t>ное этим руководство ГБТУ КА 22 апре</w:t>
      </w:r>
      <w:r w:rsidRPr="00C94B78">
        <w:rPr>
          <w:rFonts w:ascii="Times New Roman" w:hAnsi="Times New Roman"/>
          <w:color w:val="0070C0"/>
          <w:sz w:val="16"/>
          <w:szCs w:val="16"/>
        </w:rPr>
        <w:softHyphen/>
        <w:t>ля 1944 года направило наркому танковой промышленности В. Малышеву письмо, в котором просило «дать распоряжение Ки</w:t>
      </w:r>
      <w:r w:rsidRPr="00C94B78">
        <w:rPr>
          <w:rFonts w:ascii="Times New Roman" w:hAnsi="Times New Roman"/>
          <w:color w:val="0070C0"/>
          <w:sz w:val="16"/>
          <w:szCs w:val="16"/>
        </w:rPr>
        <w:softHyphen/>
        <w:t>ровскому заводу о срочном изготовлении и отправке моторов и торсионов для тан</w:t>
      </w:r>
      <w:r w:rsidRPr="00C94B78">
        <w:rPr>
          <w:rFonts w:ascii="Times New Roman" w:hAnsi="Times New Roman"/>
          <w:color w:val="0070C0"/>
          <w:sz w:val="16"/>
          <w:szCs w:val="16"/>
        </w:rPr>
        <w:softHyphen/>
        <w:t>ков Т-44». Кстати, этот факт демонстри</w:t>
      </w:r>
      <w:r w:rsidRPr="00C94B78">
        <w:rPr>
          <w:rFonts w:ascii="Times New Roman" w:hAnsi="Times New Roman"/>
          <w:color w:val="0070C0"/>
          <w:sz w:val="16"/>
          <w:szCs w:val="16"/>
        </w:rPr>
        <w:softHyphen/>
        <w:t>рует, с каким напряжением и трудностями работали танковые заводы в СССР в годы войны. Казалось бы, что за проблема из</w:t>
      </w:r>
      <w:r w:rsidRPr="00C94B78">
        <w:rPr>
          <w:rFonts w:ascii="Times New Roman" w:hAnsi="Times New Roman"/>
          <w:color w:val="0070C0"/>
          <w:sz w:val="16"/>
          <w:szCs w:val="16"/>
        </w:rPr>
        <w:softHyphen/>
        <w:t>готовить два десятка торсионных валов (тем более что их производство для ИСов было налажено) и пару двигателей В-2 с не</w:t>
      </w:r>
      <w:r w:rsidRPr="00C94B78">
        <w:rPr>
          <w:rFonts w:ascii="Times New Roman" w:hAnsi="Times New Roman"/>
          <w:color w:val="0070C0"/>
          <w:sz w:val="16"/>
          <w:szCs w:val="16"/>
        </w:rPr>
        <w:softHyphen/>
        <w:t>большими переделками? Но на деле все оказывалось значительно сложнее. Любые изменения в конструкции требовали раз</w:t>
      </w:r>
      <w:r w:rsidRPr="00C94B78">
        <w:rPr>
          <w:rFonts w:ascii="Times New Roman" w:hAnsi="Times New Roman"/>
          <w:color w:val="0070C0"/>
          <w:sz w:val="16"/>
          <w:szCs w:val="16"/>
        </w:rPr>
        <w:softHyphen/>
        <w:t>работки приспособлений и инструмента, переналадки имеющихся станков или ис</w:t>
      </w:r>
      <w:r w:rsidRPr="00C94B78">
        <w:rPr>
          <w:rFonts w:ascii="Times New Roman" w:hAnsi="Times New Roman"/>
          <w:color w:val="0070C0"/>
          <w:sz w:val="16"/>
          <w:szCs w:val="16"/>
        </w:rPr>
        <w:softHyphen/>
        <w:t>пользования новых. А все это могло приве</w:t>
      </w:r>
      <w:r w:rsidRPr="00C94B78">
        <w:rPr>
          <w:rFonts w:ascii="Times New Roman" w:hAnsi="Times New Roman"/>
          <w:color w:val="0070C0"/>
          <w:sz w:val="16"/>
          <w:szCs w:val="16"/>
        </w:rPr>
        <w:softHyphen/>
        <w:t>сти к уменьшению выпуска серийной про</w:t>
      </w:r>
      <w:r w:rsidRPr="00C94B78">
        <w:rPr>
          <w:rFonts w:ascii="Times New Roman" w:hAnsi="Times New Roman"/>
          <w:color w:val="0070C0"/>
          <w:sz w:val="16"/>
          <w:szCs w:val="16"/>
        </w:rPr>
        <w:softHyphen/>
        <w:t>дукции (за что с руководства предприя</w:t>
      </w:r>
      <w:r w:rsidRPr="00C94B78">
        <w:rPr>
          <w:rFonts w:ascii="Times New Roman" w:hAnsi="Times New Roman"/>
          <w:color w:val="0070C0"/>
          <w:sz w:val="16"/>
          <w:szCs w:val="16"/>
        </w:rPr>
        <w:softHyphen/>
        <w:t>тия и военной приемки на заводе серьезно спросят вышестоящие инстанции). Кроме того, часто не хватало станков, материалов, квалифицированных рабочих... Выпуск се</w:t>
      </w:r>
      <w:r w:rsidRPr="00C94B78">
        <w:rPr>
          <w:rFonts w:ascii="Times New Roman" w:hAnsi="Times New Roman"/>
          <w:color w:val="0070C0"/>
          <w:sz w:val="16"/>
          <w:szCs w:val="16"/>
        </w:rPr>
        <w:softHyphen/>
        <w:t>рийных танков и создание опытных образ</w:t>
      </w:r>
      <w:r w:rsidRPr="00C94B78">
        <w:rPr>
          <w:rFonts w:ascii="Times New Roman" w:hAnsi="Times New Roman"/>
          <w:color w:val="0070C0"/>
          <w:sz w:val="16"/>
          <w:szCs w:val="16"/>
        </w:rPr>
        <w:softHyphen/>
        <w:t>цов машин давались нашей воюющей стра</w:t>
      </w:r>
      <w:r w:rsidRPr="00C94B78">
        <w:rPr>
          <w:rFonts w:ascii="Times New Roman" w:hAnsi="Times New Roman"/>
          <w:color w:val="0070C0"/>
          <w:sz w:val="16"/>
          <w:szCs w:val="16"/>
        </w:rPr>
        <w:softHyphen/>
        <w:t>не очень и очень нелегко (25012).</w:t>
      </w:r>
    </w:p>
    <w:p w14:paraId="44014071" w14:textId="77777777" w:rsidR="00C63BA9" w:rsidRPr="00C94B78" w:rsidRDefault="00C63BA9" w:rsidP="00B56F90">
      <w:pPr>
        <w:spacing w:after="0" w:line="240" w:lineRule="auto"/>
        <w:jc w:val="both"/>
        <w:rPr>
          <w:rFonts w:ascii="Times New Roman" w:hAnsi="Times New Roman"/>
          <w:color w:val="0070C0"/>
          <w:sz w:val="16"/>
          <w:szCs w:val="16"/>
        </w:rPr>
      </w:pPr>
    </w:p>
    <w:p w14:paraId="7F11FC86" w14:textId="77777777" w:rsidR="00C63BA9" w:rsidRPr="00C94B78" w:rsidRDefault="00C63BA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17 марта 1944 г. в адрес Л.П. Берии был направлен доклад с результатами испытаний Т-44. В нем также указывалось, что необходимо увеличить толщину лобовой брони корпуса до 90 мм. Причины роста толщины брони следует искать в результатах первого боевого применения тяжелых танков ИС-85. Выяснилось, что бронебойные снаряды орудий немецких танков Pz.Kpfw.Panther пробивают новый советский тяжелый танк не только в лоб башни, но и в лоб корпуса, причем на дистанции в километр (25624).</w:t>
      </w:r>
    </w:p>
    <w:p w14:paraId="701199D6" w14:textId="77777777" w:rsidR="00C63BA9" w:rsidRPr="00C94B78" w:rsidRDefault="00C63BA9" w:rsidP="00B56F90">
      <w:pPr>
        <w:spacing w:after="0" w:line="240" w:lineRule="auto"/>
        <w:jc w:val="both"/>
        <w:rPr>
          <w:rFonts w:ascii="Times New Roman" w:hAnsi="Times New Roman"/>
          <w:color w:val="0070C0"/>
          <w:sz w:val="16"/>
          <w:szCs w:val="16"/>
        </w:rPr>
      </w:pPr>
    </w:p>
    <w:p w14:paraId="40D41764" w14:textId="77777777" w:rsidR="00FA2B3C" w:rsidRPr="00070ADE" w:rsidRDefault="00FA2B3C"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письме от 17 марта 1944 заместитель Наркомата Внешней Торговли И. Ф. Семичастнов запросил мнение Федоренко о целесообразности закупки «Кромвелей». В письме делался акцент на то, что, по данным Семичастнова, «Кромвели» являлись наилучшими танками, производившимися в Великобритании. К тому времени поставки английской бронетанковой техники подходили к концу.</w:t>
      </w:r>
    </w:p>
    <w:p w14:paraId="2392385D" w14:textId="77777777" w:rsidR="00FA2B3C" w:rsidRPr="00070ADE" w:rsidRDefault="00FA2B3C" w:rsidP="00B56F90">
      <w:pPr>
        <w:pStyle w:val="ae"/>
        <w:shd w:val="clear" w:color="auto" w:fill="FFFFFF"/>
        <w:spacing w:before="0" w:after="0"/>
        <w:jc w:val="both"/>
        <w:rPr>
          <w:color w:val="000000" w:themeColor="text1"/>
          <w:sz w:val="16"/>
          <w:szCs w:val="16"/>
        </w:rPr>
      </w:pPr>
      <w:r w:rsidRPr="00070ADE">
        <w:rPr>
          <w:color w:val="000000" w:themeColor="text1"/>
          <w:sz w:val="16"/>
          <w:szCs w:val="16"/>
        </w:rPr>
        <w:t>На сей раз дело пошло значительно дальше простой переписки. ГБТУ КА заказало 6 танков, часть которых пошла на испытания, включая обстрел корпуса и башни, а как минимум пара машин отправлялась в профильные учреждения для разборки и изучения. По различным причинам 6 танков прибыли в порт Баку только 18 августа 1944 года. Согласно документам, на эшелон их должны были погрузить 24 августа, но реально произошла задержка на 5 дней (15737).</w:t>
      </w:r>
    </w:p>
    <w:p w14:paraId="3B8903E1" w14:textId="77777777" w:rsidR="00FA2B3C" w:rsidRPr="00070ADE" w:rsidRDefault="00FA2B3C" w:rsidP="00B56F90">
      <w:pPr>
        <w:pStyle w:val="ae"/>
        <w:shd w:val="clear" w:color="auto" w:fill="FFFFFF"/>
        <w:spacing w:before="0" w:after="0"/>
        <w:jc w:val="both"/>
        <w:rPr>
          <w:color w:val="000000" w:themeColor="text1"/>
          <w:sz w:val="16"/>
          <w:szCs w:val="16"/>
        </w:rPr>
      </w:pPr>
    </w:p>
    <w:p w14:paraId="12669C24" w14:textId="77777777" w:rsidR="00E23799" w:rsidRPr="00070ADE" w:rsidRDefault="00E23799"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17 марта 1944 заместитель Наркомата Внешней Торговли И. Ф. Семичастнов запросил мнение Федоренко о целесообразности закупки Кромвелей. В письме делался акцент на то, что, по данным Семичастнова, «Кромвели» являлись наилучшими танками, производившимися в Великобритании. К тому времени поставки английской бронетанковой техники подходили к концу.</w:t>
      </w:r>
    </w:p>
    <w:p w14:paraId="0580DCE9" w14:textId="77777777" w:rsidR="00E23799" w:rsidRPr="00070ADE" w:rsidRDefault="00E23799"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На сей раз дело пошло значительно дальше простой переписки. ГБТУ КА заказало 6 танков, часть которых пошла на испытания, включая обстрел корпуса и башни, а как минимум пара машин отправлялась в профильные учреждения для разборки и изучения. По различным причинам 6 танков прибыли в порт Баку только 18 августа 1944 года. Согласно документам, на эшелон их должны были погрузить 24 августа, но реально произошла задержка на 5 дней.</w:t>
      </w:r>
    </w:p>
    <w:p w14:paraId="3BA7833A" w14:textId="77777777" w:rsidR="00E23799" w:rsidRPr="00070ADE" w:rsidRDefault="00E23799"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присланные машины относились к наиболее массовой версии, Cromwell IV. Танки были произведены в мае 1944 года, то есть в СССР прибыли новые машины. Единственная странность состоит в том, что тип их корпуса указан в документах как “E”. Если надмоторная плита соответствует этой спецификации корпуса, то люк помощника механика-водителя соответствует корпусам типа “B” и “C”.</w:t>
      </w:r>
    </w:p>
    <w:p w14:paraId="246224D5" w14:textId="77777777" w:rsidR="00E23799" w:rsidRPr="00070ADE" w:rsidRDefault="00E23799"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К моменту прибытия «Кромвелей» в Советский Союз машины этой модели уже третий месяц активно воевали в Нормандии. Лишь 7-я танковая дивизия имела «Кромвели» в качестве основных боевых машин. В 11-й и Гвардейской танковых дивизиях «Кромвели» составляли примерно треть от танкового парка, основой же боевой лошадкой был Sherman V (M4A4 Medium Tank в английской комплектации). Примерно в том же соотношении были «Кромвели» у 1-й польской танковой дивизии. Ещё одним танковым соединением, которое имело «Кромвели», была Чехословацкая танковая бригада, практически полностью укомплектованная английскими машинами.</w:t>
      </w:r>
    </w:p>
    <w:p w14:paraId="642BD445" w14:textId="77777777" w:rsidR="00E23799" w:rsidRPr="00070ADE" w:rsidRDefault="00E23799"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В целом, английские танкисты относились к «Кромвелям» со скепсисом, считая «Шерманы» более удачными. Американские танки были более надёжными, менее прожорливыми и нисколько не уступали английским в огневой мощи, имея при этом более удачные по конструкции корпус и башню (18645).</w:t>
      </w:r>
    </w:p>
    <w:p w14:paraId="007B538E" w14:textId="77777777" w:rsidR="00E23799" w:rsidRPr="00070ADE" w:rsidRDefault="00E23799" w:rsidP="00B56F90">
      <w:pPr>
        <w:spacing w:after="0" w:line="240" w:lineRule="auto"/>
        <w:jc w:val="both"/>
        <w:rPr>
          <w:rStyle w:val="77"/>
          <w:rFonts w:eastAsiaTheme="minorHAnsi"/>
          <w:color w:val="000000" w:themeColor="text1"/>
          <w:sz w:val="16"/>
          <w:szCs w:val="16"/>
        </w:rPr>
      </w:pPr>
    </w:p>
    <w:p w14:paraId="164125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марта 1944 вышло Распоряжение ГКО № 5411. О выделении 1,8 тыс. чел. из строительных колонн МПВО на восстановление Донецкого и Славянских содовых заводов НКХП. РГАНИР, Фонд ГКО, д. 219, лл. 71 (11012).</w:t>
      </w:r>
    </w:p>
    <w:p w14:paraId="5C378C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A0EB29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марта 1944 вышло Распоряжение ГКО № 5412 [О выделении ГУЛАГу НКВД хлопчатобумажных тканей.] (7199, 72).</w:t>
      </w:r>
    </w:p>
    <w:p w14:paraId="00E52A3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9122A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4EBFE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81B8C5"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17 марта</w:t>
      </w:r>
      <w:r w:rsidRPr="00070ADE">
        <w:rPr>
          <w:rFonts w:ascii="Times New Roman" w:hAnsi="Times New Roman"/>
          <w:color w:val="000000" w:themeColor="text1"/>
          <w:sz w:val="16"/>
          <w:szCs w:val="16"/>
        </w:rPr>
        <w:t xml:space="preserve"> в 1944 году оперативная сводка Совинформбюро:</w:t>
      </w:r>
    </w:p>
    <w:p w14:paraId="079A238E"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развивая наступление, 17 марта в результате обходного манёвра овладели городом Дубно — важным опорным пунктом обороны немцев на Львовском направлении, а также с боями заняли более 40 других населённых пунктов, в том числе районный центр Ровенской области Демидовка и крупные населённые пункты Велниче, Торговица, Войница, Бокуйма, Смордва, Рудка, Пелча.</w:t>
      </w:r>
    </w:p>
    <w:p w14:paraId="3F52A4BA"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17 марта на Проскуровском направлении наши войска продолжали отбивать контратаки пехоты и танков противника и нанесли ему большие потери в живой силе и технике.</w:t>
      </w:r>
    </w:p>
    <w:p w14:paraId="60863881"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Винница наши войска продолжали вести наступательные бои, в ходе которых заняли несколько населённых пунктов и среди них Потоки, Сидава, Гришевцы, Маянив, Шершни, Василевка, Звониха, Колюхов, Канава.</w:t>
      </w:r>
    </w:p>
    <w:p w14:paraId="18328AE7"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Западнее и юго-западнее города Умань наши войска, продолжая развивать наступление, овладели районными центрами Винницкой области городом Брацлав, городом Томашполь, городом и крупной железнодорожной станцией Крыжополь, Чечельник, районным центром Одесской области Песчана, а также с боями заняли более 150 других населённых пунктов, в том числе крупные населённые пункты Жабокрич, Орловка, Юрковка, Журавлёвка, Великая Русава, Игнатково, Клембовка, Мястковка, Ольшанка, Горячковка, Городище, Вербка, Стратиевка, Каменовато и железнодорожные станции Юрковка, Журавлёвка, Княжево.</w:t>
      </w:r>
    </w:p>
    <w:p w14:paraId="660771D1"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Кировоград наши войска, продолжая наступление, овладели районными центрами Кировоградской области городом и крупной железнодорожной станцией Ново-Украинка, Добровеличковка, а также с боями заняли более 100 других населённых пунктов, в том числе крупные населённые пункты Ново-Александровка, Весёлый Кут, Леонтовичи, Ново-Егорьевка, Цибульки, Варваровка, Трудолюбовка, Бердихино, Кривоносовка, Марьяновка и железнодорожную станцию Адабаш.</w:t>
      </w:r>
    </w:p>
    <w:p w14:paraId="46A65E14"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Бобринец наши войска с боями продвигались вперёди заняли более 70 населённых пунктов, среди которых крупные населённые пункты Бобринка, Пеньково, Ново-Александровка, Шевченко, Водяно-Михайловка, Базелево, Ольгополь, Воссиятское, Богодаровка, Щербаны.</w:t>
      </w:r>
    </w:p>
    <w:p w14:paraId="77740878"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Николаевском направлении наши войска продолжали вести наступательные бои, в ходе которых заняли более 30 населённых пунктов; среди них Новопетровское, Костичи, Лобриевка, Ингулка, Еленовка, Копани, Цареводар.</w:t>
      </w:r>
    </w:p>
    <w:p w14:paraId="3975D051"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поиски разведчиков.</w:t>
      </w:r>
    </w:p>
    <w:p w14:paraId="77C57C7A"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16 марта наши войска на всех фронтах подбили и уничтожили 35 немецких танков. В воздушных боях и огнём зенитной артиллерии сбито 10 самолётов противника.</w:t>
      </w:r>
    </w:p>
    <w:p w14:paraId="6E455857"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 должали наступление. Части Н-ского соединения в результате ожесточённых боёв прорвали сильную оборону немцев. Развивая успех, наши бойцы переправились через реку Иква и устремились на северо-запад, в обход города Дубно с юга. Другие наши части обошли город с севера, а затем ворвались на его западную окраину. Немцы пытались удержаться в старинной дубенской крепости, но были уничтожены. Сегодня наши войска полностью овладели городом Дубно — важным опорным пунктом обороны немцев на Львовском направлении. В боях за Дубно противник понёс тяжёлые потери в живой силе и технике.</w:t>
      </w:r>
    </w:p>
    <w:p w14:paraId="755B03E7"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Винница части Н-ского соединения переправились через реку Южный Буг и, сломив сопротивление немцев, выбили их из нескольких населённых пунктов. Советские бойцы овладели селом Сидава, расположенным на подступах к крупному железнодорожному узлу Жмеринка. В безуспешных попытках задержать продвижение советских войск противник несёт большие потери. Только на одном участке наши части за день истребили до 1.500 вражеских солдат и офицеров, захватили 80 орудий, 70 автомашин, склад боеприпасов и другие трофеи. В другом районе наши бойцы окружили и ликвидировали батальон 223 немецкой пехотной дивизии.</w:t>
      </w:r>
    </w:p>
    <w:p w14:paraId="3FB1B053"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Умань наши войска продолжали успешное наступление. В районе города Томашполь советские части вышли к промежуточному оборонительному рубежу противника. Наши танкисты прорвались в тыл немцев и обошли их оборонительные линии. Противник поспешно отступил, оставив на поле боя много убитых и раненых своих солдат и офицеров. Развивая успех, наши бойцы овладели городом Томашполь. Нашими войсками заняты также районные центры Винницкой области город Брацлав, город Крыжополь, Чечельник, районный центр Одесской области Песчана и много других населённых пунктов. В одном районе батальон нашей пехоты проник в тыл противника и оседлал дорогу, по которой отступал полк немецкой пехоты. Советские бойцы внезапно атаковали противника и истребили свыше 800 гитлеровцев. Остальные немецкие солдаты и офицеры, бросив обозы и оружие, в панике бежали.</w:t>
      </w:r>
    </w:p>
    <w:p w14:paraId="1EC6404A"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Николаевском направлении наши войска вели наступательные бои. Части Н-ского гвардейского соединения, стремительно продвигаясь вперёд, разгромили два полка пехоты противника. Захвачено у немцев 10 орудий, 40 автомашин, 1.300 повозок и много стрелкового вооружения. На другом участке советские танкисты и пехотинцы внезапным ударом овладели населённым пунктом Ингулка. В бою за это село уничтожено до 2.000 гитлеровцев. Захвачены большие трофеи и взято в плен более тысячи немецких солдат и офицеров.</w:t>
      </w:r>
    </w:p>
    <w:p w14:paraId="369D0C15"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налёте советской авиации на аэродром противника в районе Николаева снарядом был подбит истребитель младшего лейтенанта Стапа. Самолёт стал быстро терять высоту и сел на территории, занятой немцами. Младший лейтенант штурмовик Милованов, увидев, что его боевой товарищ попал в беду, немедленно пошёл на посадку, но потерпел аварию. Оказалось, что зенитный огонь повредил и его машину. Тогда ведущий группы штурмовиков лейтенант Демёхин сел рядом с потерпевшими аварию лётчиками. Неподалёку работали колхозники, наблюдавшие за происходящим на поле. Несмотря на опасность, группа колхозников прибежала на помощь советским лётчикам. Через несколько минут тов. Демёхин, взяв на борт лётчика Стапа и экипаж штурмовика Милованова, поднялся в воздух и благополучно доставил их на свой аэродром.</w:t>
      </w:r>
    </w:p>
    <w:p w14:paraId="41E55A1F"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Львовской области, 25 февраля совершил смелый налёт на немецкий гарнизон. Партизаны уничтожили 70 вражеских солдат и офицеров и разрушили узел связи. На другой день советские патриоты взорвали железнодорожный мост и пустили под откос воинский эшелон противника. Разбит паровоз и 22 вагона с боеприпасами.» (15071).</w:t>
      </w:r>
    </w:p>
    <w:p w14:paraId="16BF1E99" w14:textId="77777777" w:rsidR="00FA2B3C" w:rsidRPr="00070ADE" w:rsidRDefault="00FA2B3C" w:rsidP="00B56F90">
      <w:pPr>
        <w:spacing w:after="0" w:line="240" w:lineRule="auto"/>
        <w:jc w:val="both"/>
        <w:rPr>
          <w:rFonts w:ascii="Times New Roman" w:hAnsi="Times New Roman"/>
          <w:color w:val="000000" w:themeColor="text1"/>
          <w:sz w:val="16"/>
          <w:szCs w:val="16"/>
        </w:rPr>
      </w:pPr>
    </w:p>
    <w:p w14:paraId="3D058410" w14:textId="6AF8ABB8" w:rsidR="006E2E37" w:rsidRPr="00070ADE" w:rsidRDefault="006E2E37" w:rsidP="00B56F90">
      <w:pPr>
        <w:pStyle w:val="ae"/>
        <w:spacing w:before="0" w:after="0"/>
        <w:jc w:val="both"/>
        <w:textAlignment w:val="baseline"/>
        <w:rPr>
          <w:color w:val="000000" w:themeColor="text1"/>
          <w:sz w:val="16"/>
          <w:szCs w:val="16"/>
        </w:rPr>
      </w:pPr>
      <w:r w:rsidRPr="00070ADE">
        <w:rPr>
          <w:color w:val="000000" w:themeColor="text1"/>
          <w:sz w:val="16"/>
          <w:szCs w:val="16"/>
        </w:rPr>
        <w:t>Утром 17 марта 1944</w:t>
      </w:r>
      <w:r w:rsidR="00B643A8" w:rsidRPr="00070ADE">
        <w:rPr>
          <w:color w:val="000000" w:themeColor="text1"/>
          <w:sz w:val="16"/>
          <w:szCs w:val="16"/>
        </w:rPr>
        <w:t xml:space="preserve"> </w:t>
      </w:r>
      <w:r w:rsidRPr="00070ADE">
        <w:rPr>
          <w:color w:val="000000" w:themeColor="text1"/>
          <w:sz w:val="16"/>
          <w:szCs w:val="16"/>
        </w:rPr>
        <w:t>г. разведчик А-20 все из того же 118-го омрап обнаружил у норвежского побережья, в районе Конгс-фьорда, конвой в составе трех транспортов и множества кораблей охранения. Первый удар по нему в 12.27 нанесли Р-40 из 27-го иап ВВС СФ майора А.</w:t>
      </w:r>
      <w:r w:rsidR="00B643A8" w:rsidRPr="00070ADE">
        <w:rPr>
          <w:color w:val="000000" w:themeColor="text1"/>
          <w:sz w:val="16"/>
          <w:szCs w:val="16"/>
        </w:rPr>
        <w:t xml:space="preserve"> </w:t>
      </w:r>
      <w:r w:rsidRPr="00070ADE">
        <w:rPr>
          <w:color w:val="000000" w:themeColor="text1"/>
          <w:sz w:val="16"/>
          <w:szCs w:val="16"/>
        </w:rPr>
        <w:t>Я.</w:t>
      </w:r>
      <w:r w:rsidR="00B643A8" w:rsidRPr="00070ADE">
        <w:rPr>
          <w:color w:val="000000" w:themeColor="text1"/>
          <w:sz w:val="16"/>
          <w:szCs w:val="16"/>
        </w:rPr>
        <w:t xml:space="preserve"> </w:t>
      </w:r>
      <w:r w:rsidRPr="00070ADE">
        <w:rPr>
          <w:color w:val="000000" w:themeColor="text1"/>
          <w:sz w:val="16"/>
          <w:szCs w:val="16"/>
        </w:rPr>
        <w:t>Дижевского, сбросившие бомбы ФАБ-100. Затем в море были отосланы семь Ил-2 из 46-го шап, семь «Киттихауков» и четыре A-20J. Ударную группу сопровождали 16 «Аэрокобр» и Як-7.</w:t>
      </w:r>
    </w:p>
    <w:p w14:paraId="17A8214C" w14:textId="77777777" w:rsidR="006E2E37" w:rsidRPr="00070ADE" w:rsidRDefault="006E2E37" w:rsidP="00B56F90">
      <w:pPr>
        <w:pStyle w:val="ae"/>
        <w:spacing w:before="0" w:after="0"/>
        <w:jc w:val="both"/>
        <w:textAlignment w:val="baseline"/>
        <w:rPr>
          <w:color w:val="000000" w:themeColor="text1"/>
          <w:sz w:val="16"/>
          <w:szCs w:val="16"/>
        </w:rPr>
      </w:pPr>
      <w:r w:rsidRPr="00070ADE">
        <w:rPr>
          <w:color w:val="000000" w:themeColor="text1"/>
          <w:sz w:val="16"/>
          <w:szCs w:val="16"/>
        </w:rPr>
        <w:t>Согласно штабному плану, сначала должны были атаковать штурмовики, а затем торпедоносцы, но на практике вышло все наоборот. Первыми в 12.58 на цель вышли «Бостоны». Сброшенные ими торпеды прошли мимо, зато все четыре машины были одна за другой сбиты и, пылая, рухнули в море. Видимо, это зрелище так отвлекло корабельных зенитчиков, что Илы смогли пройти над конвоем без потерь, сбросив 36 фугасных бомб и выпустив 37 «эрэсов». Но, несмотря на это, корабли так и не были поражены.</w:t>
      </w:r>
    </w:p>
    <w:p w14:paraId="28121F07" w14:textId="77777777" w:rsidR="006E2E37" w:rsidRPr="00070ADE" w:rsidRDefault="006E2E37" w:rsidP="00B56F90">
      <w:pPr>
        <w:pStyle w:val="ae"/>
        <w:spacing w:before="0" w:after="0"/>
        <w:jc w:val="both"/>
        <w:textAlignment w:val="baseline"/>
        <w:rPr>
          <w:color w:val="000000" w:themeColor="text1"/>
          <w:sz w:val="16"/>
          <w:szCs w:val="16"/>
        </w:rPr>
      </w:pPr>
      <w:r w:rsidRPr="00070ADE">
        <w:rPr>
          <w:color w:val="000000" w:themeColor="text1"/>
          <w:sz w:val="16"/>
          <w:szCs w:val="16"/>
        </w:rPr>
        <w:t>В завязавшемся воздушном бою истребители III./JG5 сбили две «Аэрокобры», в одной из которых на дно морское ушел командир 255-го иап майор Николай Чертов. В свою очередь, советские летчики «скромно» заявили о девяти сбитых мессерах, но в документах люфтваффе нет упоминаний хотя бы об одном поврежденном в тот день истребителе из эскадры «Айсмеер».</w:t>
      </w:r>
    </w:p>
    <w:p w14:paraId="5A3D0EC8" w14:textId="77777777" w:rsidR="006E2E37" w:rsidRPr="00070ADE" w:rsidRDefault="006E2E37" w:rsidP="00B56F90">
      <w:pPr>
        <w:pStyle w:val="ae"/>
        <w:spacing w:before="0" w:after="0"/>
        <w:jc w:val="both"/>
        <w:textAlignment w:val="baseline"/>
        <w:rPr>
          <w:color w:val="000000" w:themeColor="text1"/>
          <w:sz w:val="16"/>
          <w:szCs w:val="16"/>
        </w:rPr>
      </w:pPr>
      <w:r w:rsidRPr="00070ADE">
        <w:rPr>
          <w:color w:val="000000" w:themeColor="text1"/>
          <w:sz w:val="16"/>
          <w:szCs w:val="16"/>
        </w:rPr>
        <w:t>Командование авиации Северного флота не унималось, и уже вечером в 17.20 и в 17.30 конвой снова атаковали группы Ил-2 и Р-40. Попаданий опять не было, и вторая массированная атака закончилась крахом. Однако, исходя из оптимистических донесений летчиков, следующие операции против кораблей планировались все с таким же размахом (19522).</w:t>
      </w:r>
    </w:p>
    <w:p w14:paraId="736CF42E" w14:textId="77777777" w:rsidR="006E2E37" w:rsidRPr="00070ADE" w:rsidRDefault="006E2E37" w:rsidP="00B56F90">
      <w:pPr>
        <w:pStyle w:val="ae"/>
        <w:spacing w:before="0" w:after="0"/>
        <w:jc w:val="both"/>
        <w:textAlignment w:val="baseline"/>
        <w:rPr>
          <w:color w:val="000000" w:themeColor="text1"/>
          <w:sz w:val="16"/>
          <w:szCs w:val="16"/>
        </w:rPr>
      </w:pPr>
    </w:p>
    <w:p w14:paraId="35E08D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марта 1944 года разведка обнаружила немецкий конвой, состоявших из 4 транспортов и 20 кораблей эскорта. Первую атаку провели 4 торпедоносца из 9-го ГМТАП (командир звена, капитан Л.И. Марков) в сопровождении 8 истребителей из 255-го ИАП. Два А-20 были сбиты немецкими Вf109 еще на подлете, а два торпедоносца пали жертвой немецкой зенитной артиллерии. Отряд прикрытия также понес потери - две машины. Среди погибших был командир полка Н.Г. Чертов. Советская сторона заявила две победы. В одной из последующих атак на конвой погиб заместитель командира 78-го ИАП, капитан В.С. Адонкин, имевший на своем боевом счету не менее 15 воздушных побед. По данным советской стороны удалось потопить два транспорта и два сторожевых корабля, а также сбить 15 самолетов. В действительности же все корабли и транспорты конвоя дошли до цели, а число сбитых самолетов также оказалось завышенным (2691).</w:t>
      </w:r>
    </w:p>
    <w:p w14:paraId="02A662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284316" w14:textId="2224C145" w:rsidR="00EC7700" w:rsidRPr="00070ADE" w:rsidRDefault="00EC770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Утром 17 марта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разведчик А</w:t>
      </w:r>
      <w:r w:rsidRPr="00070ADE">
        <w:rPr>
          <w:rFonts w:ascii="Times New Roman" w:hAnsi="Times New Roman"/>
          <w:color w:val="000000" w:themeColor="text1"/>
          <w:sz w:val="16"/>
          <w:szCs w:val="16"/>
        </w:rPr>
        <w:noBreakHyphen/>
        <w:t>20 все из того же 118</w:t>
      </w:r>
      <w:r w:rsidRPr="00070ADE">
        <w:rPr>
          <w:rFonts w:ascii="Times New Roman" w:hAnsi="Times New Roman"/>
          <w:color w:val="000000" w:themeColor="text1"/>
          <w:sz w:val="16"/>
          <w:szCs w:val="16"/>
        </w:rPr>
        <w:noBreakHyphen/>
        <w:t>го омрап обнаружил у норвежского побережья, в районе Конгс</w:t>
      </w:r>
      <w:r w:rsidRPr="00070ADE">
        <w:rPr>
          <w:rFonts w:ascii="Times New Roman" w:hAnsi="Times New Roman"/>
          <w:color w:val="000000" w:themeColor="text1"/>
          <w:sz w:val="16"/>
          <w:szCs w:val="16"/>
        </w:rPr>
        <w:noBreakHyphen/>
        <w:t>фьорда, конвой в составе трех транспортов и множества кораблей охранения. Первый удар по нему в 12.27 нанесли Р</w:t>
      </w:r>
      <w:r w:rsidRPr="00070ADE">
        <w:rPr>
          <w:rFonts w:ascii="Times New Roman" w:hAnsi="Times New Roman"/>
          <w:color w:val="000000" w:themeColor="text1"/>
          <w:sz w:val="16"/>
          <w:szCs w:val="16"/>
        </w:rPr>
        <w:noBreakHyphen/>
        <w:t>40 из 27</w:t>
      </w:r>
      <w:r w:rsidRPr="00070ADE">
        <w:rPr>
          <w:rFonts w:ascii="Times New Roman" w:hAnsi="Times New Roman"/>
          <w:color w:val="000000" w:themeColor="text1"/>
          <w:sz w:val="16"/>
          <w:szCs w:val="16"/>
        </w:rPr>
        <w:noBreakHyphen/>
        <w:t>го иап ВВС СФ майора А.Я. Дижевского, сбросившие бомбы ФАБ</w:t>
      </w:r>
      <w:r w:rsidRPr="00070ADE">
        <w:rPr>
          <w:rFonts w:ascii="Times New Roman" w:hAnsi="Times New Roman"/>
          <w:color w:val="000000" w:themeColor="text1"/>
          <w:sz w:val="16"/>
          <w:szCs w:val="16"/>
        </w:rPr>
        <w:noBreakHyphen/>
        <w:t>100. Затем в море были отосланы семь Ил</w:t>
      </w:r>
      <w:r w:rsidRPr="00070ADE">
        <w:rPr>
          <w:rFonts w:ascii="Times New Roman" w:hAnsi="Times New Roman"/>
          <w:color w:val="000000" w:themeColor="text1"/>
          <w:sz w:val="16"/>
          <w:szCs w:val="16"/>
        </w:rPr>
        <w:noBreakHyphen/>
        <w:t>2 из 46</w:t>
      </w:r>
      <w:r w:rsidRPr="00070ADE">
        <w:rPr>
          <w:rFonts w:ascii="Times New Roman" w:hAnsi="Times New Roman"/>
          <w:color w:val="000000" w:themeColor="text1"/>
          <w:sz w:val="16"/>
          <w:szCs w:val="16"/>
        </w:rPr>
        <w:noBreakHyphen/>
        <w:t>го шап, семь «Киттихауков» и четыре A</w:t>
      </w:r>
      <w:r w:rsidRPr="00070ADE">
        <w:rPr>
          <w:rFonts w:ascii="Times New Roman" w:hAnsi="Times New Roman"/>
          <w:color w:val="000000" w:themeColor="text1"/>
          <w:sz w:val="16"/>
          <w:szCs w:val="16"/>
        </w:rPr>
        <w:noBreakHyphen/>
        <w:t>20J. Ударную группу сопровождали 16 «Аэрокобр» и Як</w:t>
      </w:r>
      <w:r w:rsidRPr="00070ADE">
        <w:rPr>
          <w:rFonts w:ascii="Times New Roman" w:hAnsi="Times New Roman"/>
          <w:color w:val="000000" w:themeColor="text1"/>
          <w:sz w:val="16"/>
          <w:szCs w:val="16"/>
        </w:rPr>
        <w:noBreakHyphen/>
        <w:t>7.</w:t>
      </w:r>
    </w:p>
    <w:p w14:paraId="36A27B2F" w14:textId="77777777" w:rsidR="00EC7700" w:rsidRPr="00070ADE" w:rsidRDefault="00EC770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штабному плану, сначала должны были атаковать штурмовики, а затем торпедоносцы, но на практике вышло все наоборот. Первыми в 12.58 на цель вышли «Бостоны». Сброшенные ими торпеды прошли мимо, зато все четыре машины были одна за другой сбиты и, пылая, рухнули в море. Видимо, это зрелище так отвлекло корабельных зенитчиков, что Илы смогли пройти над конвоем без потерь, сбросив 36 фугасных бомб и выпустив 37 «эрэсов». Но, несмотря на это, корабли так и не были поражены.</w:t>
      </w:r>
    </w:p>
    <w:p w14:paraId="125C8BE6" w14:textId="77777777" w:rsidR="00EC7700" w:rsidRPr="00070ADE" w:rsidRDefault="00EC770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завязавшемся воздушном бою истребители III./JG5 сбили две «Аэрокобры», в одной из которых на дно морское ушел командир 255</w:t>
      </w:r>
      <w:r w:rsidRPr="00070ADE">
        <w:rPr>
          <w:rFonts w:ascii="Times New Roman" w:hAnsi="Times New Roman"/>
          <w:color w:val="000000" w:themeColor="text1"/>
          <w:sz w:val="16"/>
          <w:szCs w:val="16"/>
        </w:rPr>
        <w:noBreakHyphen/>
        <w:t>го иап майор Николай Чертов. В свою очередь, советские летчики «скромно» заявили о девяти сбитых мессерах, но в документах люфтваффе нет упоминаний хотя бы об одном поврежденном в тот день истребителе из эскадры «Айсмеер».</w:t>
      </w:r>
    </w:p>
    <w:p w14:paraId="036FB786" w14:textId="77777777" w:rsidR="00EC7700" w:rsidRPr="00070ADE" w:rsidRDefault="00EC770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Командование авиации Северного флота не унималось, и уже вечером в 17.20 и в 17.30 конвой снова атаковали группы Ил</w:t>
      </w:r>
      <w:r w:rsidRPr="00070ADE">
        <w:rPr>
          <w:rFonts w:ascii="Times New Roman" w:hAnsi="Times New Roman"/>
          <w:color w:val="000000" w:themeColor="text1"/>
          <w:sz w:val="16"/>
          <w:szCs w:val="16"/>
        </w:rPr>
        <w:noBreakHyphen/>
        <w:t>2 и Р</w:t>
      </w:r>
      <w:r w:rsidRPr="00070ADE">
        <w:rPr>
          <w:rFonts w:ascii="Times New Roman" w:hAnsi="Times New Roman"/>
          <w:color w:val="000000" w:themeColor="text1"/>
          <w:sz w:val="16"/>
          <w:szCs w:val="16"/>
        </w:rPr>
        <w:noBreakHyphen/>
        <w:t>40. Попаданий опять не было, и вторая массированная атака закончилась крахом. Однако, исходя из оптимистических донесений летчиков, следующие операции против кораблей планировались все с таким же размахом (23199).</w:t>
      </w:r>
    </w:p>
    <w:p w14:paraId="6FE02F4C" w14:textId="77777777" w:rsidR="00EC7700" w:rsidRPr="00070ADE" w:rsidRDefault="00EC7700" w:rsidP="00B56F90">
      <w:pPr>
        <w:spacing w:after="0" w:line="240" w:lineRule="auto"/>
        <w:jc w:val="both"/>
        <w:rPr>
          <w:rFonts w:ascii="Times New Roman" w:hAnsi="Times New Roman"/>
          <w:color w:val="000000" w:themeColor="text1"/>
          <w:sz w:val="16"/>
          <w:szCs w:val="16"/>
        </w:rPr>
      </w:pPr>
    </w:p>
    <w:p w14:paraId="44249D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марта 1944 советские войска форсировали Днестр (3907,248).</w:t>
      </w:r>
    </w:p>
    <w:p w14:paraId="4BB948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27F36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7DB12B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E953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17 марта 1944 приказом № 00286 в связи с массовыми переселениями в Казахстан и Киргизию чеченцев, ингушей, карачаевцев и балкарцев Отдел спецпоселений был выделен из ГУЛАГа в самостоятельный отдел НКВД, начальником которого был назначен бывший офицер для особых поручений при наркоме внутренних дел </w:t>
      </w:r>
      <w:r w:rsidRPr="00070ADE">
        <w:rPr>
          <w:rFonts w:ascii="Times New Roman" w:hAnsi="Times New Roman"/>
          <w:color w:val="000000" w:themeColor="text1"/>
          <w:sz w:val="16"/>
          <w:szCs w:val="16"/>
        </w:rPr>
        <w:lastRenderedPageBreak/>
        <w:t>полковник ГБ М. В. Кузнецов, а прежний начальник отдела П. И. Мальцев стал его заместителем. Всего за 1941-1944 годы было переселено более 1,5 миллиона немцев, карачаевцев, чеченцев, ингушей, балкарцев, калмыков, крымских татар, греков, болгар, армян, а также турок, курдов и хемшилов (7560).</w:t>
      </w:r>
    </w:p>
    <w:p w14:paraId="6224DB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015CD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3E53E2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2AD0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марта 1944 года</w:t>
      </w:r>
    </w:p>
    <w:p w14:paraId="0C9806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СЕКРЕТНО И ЛИЧНО ОТ ПРЕМЬЕРА И. В. СТАЛИНА ПРЕЗИДЕНТУ г-ну Ф. РУЗВЕЛЬТУ И ПРЕМЬЕР-МИНИСТРУ г-ну У. ЧЕРЧИЛЛЮ</w:t>
      </w:r>
    </w:p>
    <w:p w14:paraId="3F4ED1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Ваше послание по поводу передачи Советскому Союзу Британским Правительством восьми эсминцев получил. Я готов согласиться, что эти эсминцы вполне пригодны для эскортной работы, но Вам, конечно, понятно, что Советскому Союзу нужны эсминцы, пригодные также и для других боевых операций. Право союзников распоряжаться итальянским военно-морским флотом, разумеется, совершенно бесспорно, и Итальянскому Правительству следует дать это понять, в частности в отношении итальянских судов, подлежащих передаче Советскому Союзу (7430).</w:t>
      </w:r>
    </w:p>
    <w:p w14:paraId="4DD52F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80884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0BF9C4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F308E9"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17 марта</w:t>
      </w:r>
      <w:r w:rsidRPr="00070ADE">
        <w:rPr>
          <w:rFonts w:ascii="Times New Roman" w:hAnsi="Times New Roman"/>
          <w:color w:val="000000" w:themeColor="text1"/>
          <w:sz w:val="16"/>
          <w:szCs w:val="16"/>
        </w:rPr>
        <w:t xml:space="preserve"> в 1944 году начато проектирование нового турбореактивного двигателя фирмы «Роллс-Ройс» RB-40 (15071).</w:t>
      </w:r>
    </w:p>
    <w:p w14:paraId="11A999E8" w14:textId="77777777" w:rsidR="00FA2B3C" w:rsidRPr="00070ADE" w:rsidRDefault="00FA2B3C" w:rsidP="00B56F90">
      <w:pPr>
        <w:spacing w:after="0" w:line="240" w:lineRule="auto"/>
        <w:jc w:val="both"/>
        <w:rPr>
          <w:rFonts w:ascii="Times New Roman" w:hAnsi="Times New Roman"/>
          <w:color w:val="000000" w:themeColor="text1"/>
          <w:sz w:val="16"/>
          <w:szCs w:val="16"/>
        </w:rPr>
      </w:pPr>
    </w:p>
    <w:p w14:paraId="328202C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марта 1944 Вена подверглась первой американской бомбардировке (4962).</w:t>
      </w:r>
    </w:p>
    <w:p w14:paraId="40B1F15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84C7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марта 1944 авиация США первый раз бомбила Вену (2100).</w:t>
      </w:r>
    </w:p>
    <w:p w14:paraId="51EF60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52E3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17 March 1944 Heavy fighting in the ruins of Monte Cassino (270).</w:t>
      </w:r>
    </w:p>
    <w:p w14:paraId="71DB7A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BE612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марта 1944 проходили тяжелые бои в Монте Кассино (270).</w:t>
      </w:r>
    </w:p>
    <w:p w14:paraId="146640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C7175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DD684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996E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марта 1944 появилась запись из донесения в/преда завода 1:</w:t>
      </w:r>
    </w:p>
    <w:p w14:paraId="3E3472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Взвешивание агрегатов серийного самолета за декабрь 1943 г.:</w:t>
      </w:r>
    </w:p>
    <w:p w14:paraId="7D0DAB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хвост часть фюзеляжа - 212,2_кг</w:t>
      </w:r>
    </w:p>
    <w:p w14:paraId="1082B8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бронекорпус - 828 кг</w:t>
      </w:r>
    </w:p>
    <w:p w14:paraId="01EAC3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центроплан без шасси - 392 кг</w:t>
      </w:r>
    </w:p>
    <w:p w14:paraId="264FA1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консоль левая - 316 кг, правая 314 кг (462,43).</w:t>
      </w:r>
    </w:p>
    <w:p w14:paraId="57EAA5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C26DF4" w14:textId="77777777" w:rsidR="001525BE" w:rsidRPr="00070ADE" w:rsidRDefault="001525B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марта 1944 г. один из Ju 87G-1 № 131097 был сбит огнем с земли, а его экипаж попал в плен. Необыч</w:t>
      </w:r>
      <w:r w:rsidRPr="00070ADE">
        <w:rPr>
          <w:rFonts w:ascii="Times New Roman" w:hAnsi="Times New Roman"/>
          <w:color w:val="000000" w:themeColor="text1"/>
          <w:sz w:val="16"/>
          <w:szCs w:val="16"/>
        </w:rPr>
        <w:softHyphen/>
        <w:t>ная машина вызвала огромный интерес на</w:t>
      </w:r>
      <w:r w:rsidRPr="00070ADE">
        <w:rPr>
          <w:rFonts w:ascii="Times New Roman" w:hAnsi="Times New Roman"/>
          <w:color w:val="000000" w:themeColor="text1"/>
          <w:sz w:val="16"/>
          <w:szCs w:val="16"/>
        </w:rPr>
        <w:softHyphen/>
        <w:t>ших специалистов, однако эвакуировать ее из прифронтовой полосы не удалось; были вывезены в тыл и доставлены в НИП АВ лишь 37-мм пушки. Выяснилось, что они незначительно отличались от стандартных германских зениток, имевших хорошие бал</w:t>
      </w:r>
      <w:r w:rsidRPr="00070ADE">
        <w:rPr>
          <w:rFonts w:ascii="Times New Roman" w:hAnsi="Times New Roman"/>
          <w:color w:val="000000" w:themeColor="text1"/>
          <w:sz w:val="16"/>
          <w:szCs w:val="16"/>
        </w:rPr>
        <w:softHyphen/>
        <w:t>листические характеристики.</w:t>
      </w:r>
    </w:p>
    <w:p w14:paraId="5C00F638" w14:textId="77777777" w:rsidR="001525BE" w:rsidRPr="00070ADE" w:rsidRDefault="001525B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Невозможность провести летные испыта</w:t>
      </w:r>
      <w:r w:rsidRPr="00070ADE">
        <w:rPr>
          <w:rFonts w:ascii="Times New Roman" w:hAnsi="Times New Roman"/>
          <w:color w:val="000000" w:themeColor="text1"/>
          <w:sz w:val="16"/>
          <w:szCs w:val="16"/>
        </w:rPr>
        <w:softHyphen/>
        <w:t>ния отчасти компенсировал подробный допрос летчика обер-лейтенанта Г. Тренкмана, в котором приняли участие инженеры НИИ ВВС В.Ф. Болотников, А.Г. Аронов и А.С. Розанов (двое последних свободно вла</w:t>
      </w:r>
      <w:r w:rsidRPr="00070ADE">
        <w:rPr>
          <w:rFonts w:ascii="Times New Roman" w:hAnsi="Times New Roman"/>
          <w:color w:val="000000" w:themeColor="text1"/>
          <w:sz w:val="16"/>
          <w:szCs w:val="16"/>
        </w:rPr>
        <w:softHyphen/>
        <w:t>дели немецким языком). Они обратили вни</w:t>
      </w:r>
      <w:r w:rsidRPr="00070ADE">
        <w:rPr>
          <w:rFonts w:ascii="Times New Roman" w:hAnsi="Times New Roman"/>
          <w:color w:val="000000" w:themeColor="text1"/>
          <w:sz w:val="16"/>
          <w:szCs w:val="16"/>
        </w:rPr>
        <w:softHyphen/>
        <w:t>мание на то, что пленный летал практически на всех типах германских самолетов, имел солидный летный стаж и отлично разби</w:t>
      </w:r>
      <w:r w:rsidRPr="00070ADE">
        <w:rPr>
          <w:rFonts w:ascii="Times New Roman" w:hAnsi="Times New Roman"/>
          <w:color w:val="000000" w:themeColor="text1"/>
          <w:sz w:val="16"/>
          <w:szCs w:val="16"/>
        </w:rPr>
        <w:softHyphen/>
        <w:t>рался в авиационной технике (24187).</w:t>
      </w:r>
    </w:p>
    <w:p w14:paraId="2BF2A540" w14:textId="77777777" w:rsidR="001525BE" w:rsidRPr="00070ADE" w:rsidRDefault="001525BE" w:rsidP="00B56F90">
      <w:pPr>
        <w:spacing w:after="0" w:line="240" w:lineRule="auto"/>
        <w:jc w:val="both"/>
        <w:rPr>
          <w:rFonts w:ascii="Times New Roman" w:hAnsi="Times New Roman"/>
          <w:color w:val="000000" w:themeColor="text1"/>
          <w:sz w:val="16"/>
          <w:szCs w:val="16"/>
        </w:rPr>
      </w:pPr>
    </w:p>
    <w:p w14:paraId="5FE813EC"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 xml:space="preserve">18 марта </w:t>
      </w:r>
      <w:r w:rsidRPr="00070ADE">
        <w:rPr>
          <w:rFonts w:ascii="Times New Roman" w:hAnsi="Times New Roman"/>
          <w:color w:val="000000" w:themeColor="text1"/>
          <w:sz w:val="16"/>
          <w:szCs w:val="16"/>
        </w:rPr>
        <w:t>в 1944 году катастрофа при переучивании на истребитель «Як-9Т» столкновение в воздухе 2 истребителей полка "Нормандия - Неман". Оба пилота - аспиранты Жуара и Бурдье погибли (15072).</w:t>
      </w:r>
    </w:p>
    <w:p w14:paraId="65512C22" w14:textId="77777777" w:rsidR="00FA2B3C" w:rsidRPr="00070ADE" w:rsidRDefault="00FA2B3C" w:rsidP="00B56F90">
      <w:pPr>
        <w:spacing w:after="0" w:line="240" w:lineRule="auto"/>
        <w:jc w:val="both"/>
        <w:rPr>
          <w:rFonts w:ascii="Times New Roman" w:hAnsi="Times New Roman"/>
          <w:color w:val="000000" w:themeColor="text1"/>
          <w:sz w:val="16"/>
          <w:szCs w:val="16"/>
        </w:rPr>
      </w:pPr>
    </w:p>
    <w:p w14:paraId="761707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марта 1944 появилась запись из донесения военпреда завода 18 по состоянию на 20 февраля 1944.</w:t>
      </w:r>
    </w:p>
    <w:p w14:paraId="6C8DF3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Сроки введения в серию крыла с увеличенной стреловидностью срываются из-за неготовности стапелей по сборке, отсутствия металла и квалифицированной рабочей силы. Завод принимает меры, чтобы с 29 февраля 1944 снова войти в график перехода (462,44).</w:t>
      </w:r>
    </w:p>
    <w:p w14:paraId="1CC361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796F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марта 1944 появилась запись из донесения военпреда завода 1 по состоянию на 01 февраля 1944.</w:t>
      </w:r>
    </w:p>
    <w:p w14:paraId="63B038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 введению металлического крыла с увеличенной стреловидностью (приказ НКАП N 664с от 9 ноября 1943). На 1 февраля 1944 изготовлено 2 комплекта деталей, к сборке крыла не приступали.</w:t>
      </w:r>
    </w:p>
    <w:p w14:paraId="7A805A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донесения военпреда зав 1 по состоянию на 20 февраля 1944.</w:t>
      </w:r>
    </w:p>
    <w:p w14:paraId="292A4E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Собрано 7 комплектов крыльев с повышенной стрельчатостью. Завод должен к 15 мая 1944 полностью перейти на серийный выпуск нового крыла без снижения выпуска самолетов (462,44).</w:t>
      </w:r>
    </w:p>
    <w:p w14:paraId="5711DD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69DF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марта 1944 был подписан акт гос. испытаний в НИИ ВВС самолета По-2 N 4504 (1692,35).</w:t>
      </w:r>
    </w:p>
    <w:p w14:paraId="6FB866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372E8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300152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B5A8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марта 1944 г. вышел ПРИКАЗ КОМАНДУЮЩЕГО БТ и МВ КА, НКТП, НАРОДНОГО КОМИССАРА ВООРУЖЕНИЯ И НАЧАЛЬНИКА ГАУ КА ОБ ИСПЫТАНИИ ОПЫТНЫХ ОБРАЗЦОВ 100-мм ПУШЕК В ТАНКАХ ИС №032</w:t>
      </w:r>
    </w:p>
    <w:p w14:paraId="7D0CE5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исполнение Постановления ГОКО №4851 ее от 27.12.1943 г. ПРИКАЗЫВАЕМ: Провести полигонные испытания опытных образцов 100-мм пушек С-34 конструкции ЦАКБ и Д-10 конструкции завода №9, устанавливаемых в танках ИС. Для проведения испытаний назначаем комиссию:</w:t>
      </w:r>
    </w:p>
    <w:p w14:paraId="72BCEF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Пом. начальника ТУ ГБТУ КА гвардии полковник т. Кульчицкий Члены: От ГАУ КА инженер-полковник т. Юдов</w:t>
      </w:r>
    </w:p>
    <w:p w14:paraId="55488C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УСА ГБТУ КА инженер-капитан т. Уткин</w:t>
      </w:r>
    </w:p>
    <w:p w14:paraId="5B513B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академии БТ и МВ КА инженер-капитан т. Хохлов</w:t>
      </w:r>
    </w:p>
    <w:p w14:paraId="56656E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НИБТ полигона инженер-капитан т. Радичук</w:t>
      </w:r>
    </w:p>
    <w:p w14:paraId="0C598B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НКВ — по назначению Наркома вооружения</w:t>
      </w:r>
    </w:p>
    <w:p w14:paraId="623AB8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НКТП — по назначению директора завода №100</w:t>
      </w:r>
    </w:p>
    <w:p w14:paraId="01B356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Испытания провести в пятидневный срок с момента подачи танков на полигон по программе ГАУ КА на Гороховецком АНИОПе.</w:t>
      </w:r>
    </w:p>
    <w:p w14:paraId="57F881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Председателю комиссии ежедневно представлять сводки о ходе испытаний Народному комиссару танковой промышленности, Народному комиссару вооружения, начальнику ГБТУ КА через УСА, председателю АК ГАУ КА.</w:t>
      </w:r>
    </w:p>
    <w:p w14:paraId="738D94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 результатам испытаний председателю комиссии составить отчет в пятидневный срок после окончания испытаний для представления его члену Государственного комитета обороны т. Берия, Народному комиссару танковой промышленности, Народному комиссару вооружения, начальнику ГАУ КА, начальнику ГБТУ КА, начальнику УСА ГБТУ КА, начальнику ЦАКБ НКВ, директору завода №9.</w:t>
      </w:r>
    </w:p>
    <w:p w14:paraId="1987B4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отчете должна быть сравнительная оценка 122-мм и 100-мм пушек и заключение о целесоо</w:t>
      </w:r>
      <w:r w:rsidRPr="00070ADE">
        <w:rPr>
          <w:rFonts w:ascii="Times New Roman" w:hAnsi="Times New Roman"/>
          <w:color w:val="000000" w:themeColor="text1"/>
          <w:sz w:val="16"/>
          <w:szCs w:val="16"/>
        </w:rPr>
        <w:softHyphen/>
        <w:t>бразности принятия 100-мм пушки на вооружение танка ИС.</w:t>
      </w:r>
    </w:p>
    <w:p w14:paraId="063465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Начальнику АК ГАУ КА обеспечить испытания 100-мм пушек выстрелами согласно програм</w:t>
      </w:r>
      <w:r w:rsidRPr="00070ADE">
        <w:rPr>
          <w:rFonts w:ascii="Times New Roman" w:hAnsi="Times New Roman"/>
          <w:color w:val="000000" w:themeColor="text1"/>
          <w:sz w:val="16"/>
          <w:szCs w:val="16"/>
        </w:rPr>
        <w:softHyphen/>
        <w:t>мы испытаний.</w:t>
      </w:r>
    </w:p>
    <w:p w14:paraId="233704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Начальнику УСА ГБТУ КА обеспечить испытания горючими и смазочными материалами, а также питанием членов комиссии.</w:t>
      </w:r>
    </w:p>
    <w:p w14:paraId="10BB10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Народный комиссар танковой промышленности Малышев</w:t>
      </w:r>
    </w:p>
    <w:p w14:paraId="7377CC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народного комиссара вооружения Рябиков</w:t>
      </w:r>
    </w:p>
    <w:p w14:paraId="55E51A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БТ и МВ КА маршал бронетанковых войск Федоренко</w:t>
      </w:r>
    </w:p>
    <w:p w14:paraId="5136CF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Врид. начальника ГАУ КА генерал-лейтенант артиллерии Волкотрубенко</w:t>
      </w:r>
    </w:p>
    <w:p w14:paraId="3EB61AE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2211. Л. 16-17. Копия (11403).</w:t>
      </w:r>
    </w:p>
    <w:p w14:paraId="6B3212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AF93C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марта 1944 г. была подготовлена ДОКЛАДНАЯ ЗАПИСКА НАЧАЛЬНИКА 2-го ОТДЕЛА УЭТ ГБТУ КА НАЧАЛЬНИКУ УПРАВЛЕНИЯ О ГРУППЕ ЗАКАЗОВ И СНАБЖЕНИЯ ВОЙСК СРЕДСТВАМИ ОБОГРЕВА И ПАРКОВОГО ОБОРУДОВАНИЯ</w:t>
      </w:r>
    </w:p>
    <w:p w14:paraId="469F86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Приказом ГБТУ КА №09 от 11 марта 1943 года в 9 отдел УРТ были переданы дела и группа работ</w:t>
      </w:r>
      <w:r w:rsidRPr="00070ADE">
        <w:rPr>
          <w:rFonts w:ascii="Times New Roman" w:hAnsi="Times New Roman"/>
          <w:color w:val="000000" w:themeColor="text1"/>
          <w:sz w:val="16"/>
          <w:szCs w:val="16"/>
        </w:rPr>
        <w:softHyphen/>
        <w:t>ников 2 отдела УЭТ в составе 4 человек, ведущая заказы промышленности и снабжение БТ и МВ средствами обогрева и паркового оборудования.</w:t>
      </w:r>
    </w:p>
    <w:p w14:paraId="70F4F5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мероприятие проведено в целях централизации заказов промышленности и снабжения войск, а также изжития параллелизма в этом между управлениями УЭТ и УРТ.</w:t>
      </w:r>
    </w:p>
    <w:p w14:paraId="008339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реорганизацией УРТ в Главное ремонтное управление вопрос о группе заказов и снабжения войск средствами обогрева и паркового оборудования окончательного разреше</w:t>
      </w:r>
      <w:r w:rsidRPr="00070ADE">
        <w:rPr>
          <w:rFonts w:ascii="Times New Roman" w:hAnsi="Times New Roman"/>
          <w:color w:val="000000" w:themeColor="text1"/>
          <w:sz w:val="16"/>
          <w:szCs w:val="16"/>
        </w:rPr>
        <w:softHyphen/>
        <w:t>ния не получил.</w:t>
      </w:r>
    </w:p>
    <w:p w14:paraId="45401E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заявке начальника 9 отдела УРТ инженер-полковника Шилова при составлении нового штата отдела оборудования, они не учитывали работников по группе средств обогрева и пар</w:t>
      </w:r>
      <w:r w:rsidRPr="00070ADE">
        <w:rPr>
          <w:rFonts w:ascii="Times New Roman" w:hAnsi="Times New Roman"/>
          <w:color w:val="000000" w:themeColor="text1"/>
          <w:sz w:val="16"/>
          <w:szCs w:val="16"/>
        </w:rPr>
        <w:softHyphen/>
        <w:t>кового оборудования.</w:t>
      </w:r>
    </w:p>
    <w:p w14:paraId="47E050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проекте нового штата УЭТ нами также не учитывалась эта группа.</w:t>
      </w:r>
    </w:p>
    <w:p w14:paraId="037299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Заказы в промышленность на парковое оборудование и средства обогрева и снабжение ими войск всегда производилось отделом снабжения ГБТУ (АБТУ), а поэтому считаю, что группа работ</w:t>
      </w:r>
      <w:r w:rsidRPr="00070ADE">
        <w:rPr>
          <w:rFonts w:ascii="Times New Roman" w:hAnsi="Times New Roman"/>
          <w:color w:val="000000" w:themeColor="text1"/>
          <w:sz w:val="16"/>
          <w:szCs w:val="16"/>
        </w:rPr>
        <w:softHyphen/>
        <w:t>ников в составе 3-4 человек должна быть включена в штат отдела оборудования управления снабже</w:t>
      </w:r>
      <w:r w:rsidRPr="00070ADE">
        <w:rPr>
          <w:rFonts w:ascii="Times New Roman" w:hAnsi="Times New Roman"/>
          <w:color w:val="000000" w:themeColor="text1"/>
          <w:sz w:val="16"/>
          <w:szCs w:val="16"/>
        </w:rPr>
        <w:softHyphen/>
        <w:t>ния Главного ремонтного управления.</w:t>
      </w:r>
    </w:p>
    <w:p w14:paraId="5E884F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Докладывая вышеизложенное прошу Ваших указаний.</w:t>
      </w:r>
    </w:p>
    <w:p w14:paraId="2E71D2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2 отдела УЭТ ГБТУ КА инженер-подполковник Слонов</w:t>
      </w:r>
    </w:p>
    <w:p w14:paraId="5F9B37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11362. Д. 112. Л. 15. Подлинник (11403).</w:t>
      </w:r>
    </w:p>
    <w:p w14:paraId="60AD96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6514E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марта 1944 г. была подготовлена ДОКЛАДНАЯ ЗАПИСКА КОМАНДУЮЩЕГО БТ и МВ КА ЧЛЕНУ ГКО СССР Л.П. БЕРИИ О ВВЕДЕНИИ НА СНАБЖЕНИЕ БРОНЕТАНКОВЫХ ВОЙСК КРАСНОЙ АРМИИ ОГНЕЗАЩИТНЫХ КОСТЮМОВ ИЗ ТКАНИ «ТОЗ»</w:t>
      </w:r>
    </w:p>
    <w:p w14:paraId="06E0B6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Представляю на рассмотрение и утверждение проект постановления ГОКО о введении на снаб</w:t>
      </w:r>
      <w:r w:rsidRPr="00070ADE">
        <w:rPr>
          <w:rFonts w:ascii="Times New Roman" w:hAnsi="Times New Roman"/>
          <w:color w:val="000000" w:themeColor="text1"/>
          <w:sz w:val="16"/>
          <w:szCs w:val="16"/>
        </w:rPr>
        <w:softHyphen/>
        <w:t>жение бронетанковых войск Красной Армии огнезащитных костюмов из ткани «ТОЗ».</w:t>
      </w:r>
    </w:p>
    <w:p w14:paraId="75D901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Изготовление ткани и костюмов освоено Наркомлегпромом, и с 1942 г. изготовлено около 20.000 танковых костюмов.</w:t>
      </w:r>
    </w:p>
    <w:p w14:paraId="211C1D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Огнезащитные костюмы «ТОЗ» нашли практическое применение для защиты боевых экипажей от огня при возникновении пожара в танке, и оправдали свое назначение.</w:t>
      </w:r>
    </w:p>
    <w:p w14:paraId="4EA7EE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Водонепроницаемость костюмов «ТОЗ» также значительно улучшает условия работы танко</w:t>
      </w:r>
      <w:r w:rsidRPr="00070ADE">
        <w:rPr>
          <w:rFonts w:ascii="Times New Roman" w:hAnsi="Times New Roman"/>
          <w:color w:val="000000" w:themeColor="text1"/>
          <w:sz w:val="16"/>
          <w:szCs w:val="16"/>
        </w:rPr>
        <w:softHyphen/>
        <w:t>вых экипажей.</w:t>
      </w:r>
    </w:p>
    <w:p w14:paraId="1B723A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Считаю целесообразным ввести на снабжение танковых частей и частей самоходной артилле</w:t>
      </w:r>
      <w:r w:rsidRPr="00070ADE">
        <w:rPr>
          <w:rFonts w:ascii="Times New Roman" w:hAnsi="Times New Roman"/>
          <w:color w:val="000000" w:themeColor="text1"/>
          <w:sz w:val="16"/>
          <w:szCs w:val="16"/>
        </w:rPr>
        <w:softHyphen/>
        <w:t>рии (для экипажей танков и самоходных артустановок) огнезащитные костюмы «ТОЗ». Представляемый проект</w:t>
      </w:r>
      <w:r w:rsidRPr="00070ADE">
        <w:rPr>
          <w:rFonts w:ascii="Times New Roman" w:hAnsi="Times New Roman"/>
          <w:color w:val="000000" w:themeColor="text1"/>
          <w:sz w:val="16"/>
          <w:szCs w:val="16"/>
          <w:vertAlign w:val="superscript"/>
        </w:rPr>
        <w:t>1</w:t>
      </w:r>
      <w:r w:rsidRPr="00070ADE">
        <w:rPr>
          <w:rFonts w:ascii="Times New Roman" w:hAnsi="Times New Roman"/>
          <w:color w:val="000000" w:themeColor="text1"/>
          <w:sz w:val="16"/>
          <w:szCs w:val="16"/>
        </w:rPr>
        <w:t xml:space="preserve"> постановления ГОКО, прошу утвердить.</w:t>
      </w:r>
    </w:p>
    <w:p w14:paraId="082A64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БТ и МВ Красной Армии маршал бронетанковых войск Федоренко</w:t>
      </w:r>
    </w:p>
    <w:p w14:paraId="5D6564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Главного военно-химического управления Красной Армии</w:t>
      </w:r>
    </w:p>
    <w:p w14:paraId="15CD04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генерал-лейтенант артиллерии Аборенков</w:t>
      </w:r>
    </w:p>
    <w:p w14:paraId="7527DF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2514. Л. 14. Копия (11403).</w:t>
      </w:r>
    </w:p>
    <w:p w14:paraId="15B0D8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7892E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марта 1944 года вышел приказ № 167с/169с НКТП и Управлению промысловой кооперации при СНК РСФСР</w:t>
      </w:r>
    </w:p>
    <w:p w14:paraId="78A938A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распоряжением Совнаркома № 5829рс от 15 марта 1944 года:</w:t>
      </w:r>
    </w:p>
    <w:p w14:paraId="0EEF657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Передать по состоянию на 1 марта 1944 года Управлению промысловой кооперации завод № 138 НКТП в городе Энгельс (6210, 70).</w:t>
      </w:r>
    </w:p>
    <w:p w14:paraId="1114576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68F33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94749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E2D46F"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 xml:space="preserve">18 марта </w:t>
      </w:r>
      <w:r w:rsidRPr="00070ADE">
        <w:rPr>
          <w:rFonts w:ascii="Times New Roman" w:hAnsi="Times New Roman"/>
          <w:color w:val="000000" w:themeColor="text1"/>
          <w:sz w:val="16"/>
          <w:szCs w:val="16"/>
        </w:rPr>
        <w:t>в 1944 году оперативная сводка Совинформбюро:</w:t>
      </w:r>
    </w:p>
    <w:p w14:paraId="7EFC6496"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18 марта западнее и юго-западнее города Дубно наши войска, продолжая развивать наступление, с боями заняли более 50 населённых пунктов и среди них крупные населённые пункты Волновые, Боратын, Хотын, Иващуки, Козин, Сады Вельке, Пиратын, Тараканов.</w:t>
      </w:r>
    </w:p>
    <w:p w14:paraId="33ABCC86"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Винница наши войска форсировали реку Южный Буг и, сломив сопротивление противника, овладели сильно укреплёнными опорными пунктами его обороны Поповцы, Думенки, Лелетка, Вугриновка, Голодьки, Куриловка, Николаевка, Пикивская Слободка.</w:t>
      </w:r>
    </w:p>
    <w:p w14:paraId="60D1F83C"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в результате двухдневных упорных боёв 18 марта овладели оперативно-важным узлом железных дорог и городом Жмеринка. Юго-западнее города Умань наши войска, развивая наступление, вышли на реку Днестр и овладели городом Ямполь, а также с боями заняли более 100 других населённых пунктов, в том числе районные центры Винницкой области Черневцы, Песчанка, крупные населённые пункты Березовка, Боровка, Бабчинцы, Дзыговка, Гальжбиевка, Качкивка, Ольшанка, Батрацкое, Попелюхи, Черномин и железнодорожные станции Рудница, Попелюхи.</w:t>
      </w:r>
    </w:p>
    <w:p w14:paraId="722D018B"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продолжая наступление, овладели городом и важным железнодорожным узлом Помошная, а также с боями заняли более 80 других населённых пунктов, в том числе районный центр Кировоградской области Песчаный Брод, районный центр Одесской области Ольшанка, крупные населённые пункты Добрянка, Ново-Станковата, Ново-Лудковка, Фурмановка, Ново-Михайловка, Николаевка, Антоновка, Анновка, Фадеевка, и железнодорожную станцию Никольская.</w:t>
      </w:r>
    </w:p>
    <w:p w14:paraId="43A112FA"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Бобринец наши войска, развивая наступление, с боями заняли более 100 населённых пунктов, среди которых крупные населённые пункты Софиевка, Витязевка, Лашкул, Николо-Бабанка, Бурдей, Братолюбовка, МаловоссиятскоЕ.</w:t>
      </w:r>
    </w:p>
    <w:p w14:paraId="1561E6CD"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Николаевском направлении наши войска продолжали вести наступательные бои, в ходе которых заняли более 30 населённых пунктов, в том числе крупные населённые пункты Касперовка, Спиридоновка, Ново-Петровское, Себино, Ново-Матвеевка, Пересадовка, Шевченко, Пузыри, Ефимовка, и железнодорожную станцию Котлярово.</w:t>
      </w:r>
    </w:p>
    <w:p w14:paraId="67E0021D"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шли бои местного значения.</w:t>
      </w:r>
    </w:p>
    <w:p w14:paraId="17BE02DB"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17 марта наши войска на всех фронтах подбили и уничтожили 31 немецкий танк. В воздушных боях и огнём зенитной артиллерии сбито 37 самолётов противника.</w:t>
      </w:r>
    </w:p>
    <w:p w14:paraId="6F8049BF"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Винницы наши войска форсировали реку Южный Буг и с боями заняли ряд сильно укреплённых опорных пунктов обороны немцев. ЧастиН-ского соединения в бою за один населённый пункт уничтожили до 600 солдат и офицеров противника. Захвачены у немцев 10 танков, в том числе 3 типа «Тигр», 24орудия, 270 автомашин и 33 тягача. В другом районе противник ввёл в бой свежую дивизию, только что прибывшую на фронт. Советские пехотинцы и танкисты, в результате успешного манёвра, окружили и уничтожили два полка этой дивизии. Всё их вооружение захвачено нашими войсками. Большое число немцев взято в плен.</w:t>
      </w:r>
    </w:p>
    <w:p w14:paraId="279A1B73"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сегодня овладели крупным узлом железных дороги городом Жмеринка. Противник оказывал упорное сопротивление. Советские части штурмом заняли опорные пункты немцев Браилов, Малая Жмеринка и тем самым дезорганизовали вражескую оборону. Одновременно наши войска ворвались в Жмеринку с востока и юга. В результате двухдневных ожесточённых боев противник был разгромлен. Остатки немецких войск, оборонявшихся в городе, в беспорядке отступили. В городе и особенно на железнодорожном узле захвачено большое количество вооружения и военных материалов.</w:t>
      </w:r>
    </w:p>
    <w:p w14:paraId="5E1BD661"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Умань наши войска, развивая стремительное наступление, вышли на реку Днестр. На плечах отступающего противника советские бойцы ворвались в город Ямполь и в результате ожесточённого боя очистили его от немецко-фашистских захватчиков. Прижатые к реке гитлеровцы понесли огромные потери в живой силе. Захвачено 50 орудий, свыше 1.000 автомашин, склады с вооружением, боеприпасами, продовольствием и военным имуществом. Взято в плен до 1.000 немецких солдат и офицеров.</w:t>
      </w:r>
    </w:p>
    <w:p w14:paraId="6CFC2BA4"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Бобринец наши войска продолжали наступление. Немцы пытались задержаться, опираясь на промежуточные рубежи на речках и высотах. Стремительными ударами наши подвижные части смяли войска противника и, преследуя их, заняли более ста населённых пунктов. Уничтожено не менее полка немецкой пехоты. Захвачено 3 танка, 10 орудий, 400 автомашин, 3 склада с военным имуществом и передвижная электростанция.</w:t>
      </w:r>
    </w:p>
    <w:p w14:paraId="21231BB4"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Николаевском направлении наши гвардейские части форсировали реку Ингул в её нижнем течении и прорвались в тылы противники. Воспользовавшись возникшей среди немцев паникой, советские танкисты и автоматчики рассеяли крупные силы противника и истребили до 1.600 гитлеровцев. Уничтожено 3 самоходных и 17 полевых орудий, 11 бронетранспортёров и 46 автомашин. Захвачено у немцев 19 полевых орудий, 60 пулемётов, 36 миномётов, 1.700 винтовок, 73 автомашины и 150 повозок. Другие наши части, преодолевая сопротивление противника, овладели несколькими населёнными пунктами и железнодорожной станцией Котлярово, находящейся в 15 километрах от Николаева.</w:t>
      </w:r>
    </w:p>
    <w:p w14:paraId="5AEA9C3C"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Артиллерийские батареи и авиация Черноморского флота разгромили в Днепровско-Бугском лимане крупный караван судов противника, шедший из Николаева в Очаков. Потоплены сторожевой катер, три самоходных понтона, одна десантная баржа и две сухогрузные баржи. Остальные суда каравана сильно повреждены.</w:t>
      </w:r>
    </w:p>
    <w:p w14:paraId="75788D73"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имени Кастуся Калиновского, действующий в Белостокской области, пустил под откос воинский эшелон противника. Паровоз и 15 классных вагонов полностью разбиты. Партизанская разведка установила, что гитлеровцы извлекли из-под обломков вагонов около 200 трупов. Через четыре дня партизаны этого отряда организовали крушение ещё одного немецкого эшелона.».</w:t>
      </w:r>
    </w:p>
    <w:p w14:paraId="2CD764F2"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Потери немцев и трофеи войск 3-го Украинского фронта за период боев от 6 по16 марта сего года.</w:t>
      </w:r>
    </w:p>
    <w:p w14:paraId="5E486E9B"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«3-й Украинский фронт под командованием генерала армии Малиновского после прорыва обороны немцев на реке Ингулец и выхода на реку Южный Буг, т. е. с 6 по 16 марта с. г., фактически полностью разгромил 6-ю немецкую армию генерал-полковника Холидт. Главное поражение нанесено противнику в период 13-16марта с. г., когда немецкое командование в связи с выходом гвардейской группы генерал-лейтенанта Плиева на немецкие тылы потеряло всякое управление войсками и отдало приказ — пробиваться на запад мелкими группами и даже одиночным порядком. После этого ряд колонн противника был окружён и изолированно уничтожался быстрыми и решительными действиями наших дивизий и корпусов, причём уничтожение противника шло настолько быстро и решительно, что противник не смог свои отрезанные войска собрать в общую группу, что дало нам возможность уничтожить их по частям, главным образом в районе Ново-Севастополь, Ново-Сергеевка, хутора Шевченко и в районе Березнеговатое, Явкино, Снигирёвка.</w:t>
      </w:r>
    </w:p>
    <w:p w14:paraId="1BC81038"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этих боях на полное уничтожение врага полностью разгромлены и ликвидированы: 3, 97 горно-стрелковые дивизии, 17, 123, 125, 258, 302, 294, 387пехотные дивизии, 9 танковая дивизия; нанесены тяжёлые поражения, в результате чего эти соединения противника почти потеряли боеспособность: 9, 15, 46, 62, 79, 304, 306, 335 пехотным дивизиям, 23 и 24 танковым дивизиям и 16 мотодивизии; понесли большие потери, но сохранили некоторую боеспособность: 76,111,257, 370 пехотные дивизии.</w:t>
      </w:r>
    </w:p>
    <w:p w14:paraId="6522FB00"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Потеряли почти всю материальную часть следующие отдельные части: 45, 51, 53,115, 127 и 140 артполки резерва главного командования, 52, 77, 148, 154, 707,711, 732, 736 и 737 артдивизионы резерва главного командования, 209, 232, 236, 238, 243, 277, 278 и 281 дивизионы штурмовых орудий и 560 тяжёлый дивизион штурмовых орудий. Кроме того, разгромлены 25 отдельных батальонов: сапёрных, строительных, штрафных, охранных, жандармских и маршевых, которые действовали как пехота и бросались в бой с хода.</w:t>
      </w:r>
    </w:p>
    <w:p w14:paraId="0A0413DB"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этот период захвачено в плен 13.859 немецких солдат и офицеров, убито и осталось на нашей территории 36.800 человек.</w:t>
      </w:r>
    </w:p>
    <w:p w14:paraId="597A7EC4"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Захвачено: танков 131, самоходных орудий 74, орудий 678, пулемётов 1.646, автомашин 9.100 (большинство неисправных), тягачей 517, бронетранспортёров 115,повозок 1.500, мотоциклов 605, раций 44, винтовок 30.750, автоматов 10.220, миномётов 453, складов разных 99, железнодорожных эшелонов с боеприпасами 13, паровозов 27, мотовозов 5, снарядов 28.000, складов авиабомб 2, огнеприпасов в штабелях на 1.800 вагонов, лошадей свыше 2.000 и один речной пароход.</w:t>
      </w:r>
    </w:p>
    <w:p w14:paraId="4B5E069C"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Уничтожено и оставлено противником на нашей территории: танков 144, самоходных орудий 118, орудий 540, миномётов 559, пулемётов 1.458, автомашин 6.931, тягачей 67, бронетранспортёров 88, повозок 5.724, лошадей 2.510, складов разных 20, мотоциклов 120, самолётов 10, бронекатеров 5.</w:t>
      </w:r>
    </w:p>
    <w:p w14:paraId="71306D9A"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6 армия немцев потеряла всего по главным видам боевой техники и людского состава: пленными и убитыми 50.659, не считая: вывезенных противником раненых, лошадей 4.510, орудий 1.218, миномётов 1.012, пулемётов 3.104, танков 275, самоходных орудий 192, бронетранспортёров 203, автомашин 16.031 и много другой техники и средств материального обеспечения.</w:t>
      </w:r>
    </w:p>
    <w:p w14:paraId="69E9B277"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Спаслись лишь некоторые бежавшие штабы и небольшие остатки разбитых соединений немцев.</w:t>
      </w:r>
    </w:p>
    <w:p w14:paraId="45707372"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Руководящую помощь в деле разгрома 6-ой немецкой армии оказывал 3-му Украинскому фронту уполномоченный Ставки Верховного Главнокомандования Маршал Советского Союза Василевский.» (15072).</w:t>
      </w:r>
    </w:p>
    <w:p w14:paraId="0609ABB1" w14:textId="77777777" w:rsidR="00FA2B3C" w:rsidRPr="00070ADE" w:rsidRDefault="00FA2B3C" w:rsidP="00B56F90">
      <w:pPr>
        <w:spacing w:after="0" w:line="240" w:lineRule="auto"/>
        <w:jc w:val="both"/>
        <w:rPr>
          <w:rFonts w:ascii="Times New Roman" w:hAnsi="Times New Roman"/>
          <w:color w:val="000000" w:themeColor="text1"/>
          <w:sz w:val="16"/>
          <w:szCs w:val="16"/>
        </w:rPr>
      </w:pPr>
    </w:p>
    <w:p w14:paraId="3C0C5F85"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 xml:space="preserve">18 марта </w:t>
      </w:r>
      <w:r w:rsidRPr="00070ADE">
        <w:rPr>
          <w:rFonts w:ascii="Times New Roman" w:hAnsi="Times New Roman"/>
          <w:color w:val="000000" w:themeColor="text1"/>
          <w:sz w:val="16"/>
          <w:szCs w:val="16"/>
        </w:rPr>
        <w:t>в 1944 году войска 2-го Белорусского фронта блокировали Ковель (15072).</w:t>
      </w:r>
    </w:p>
    <w:p w14:paraId="41B95053" w14:textId="77777777" w:rsidR="00FA2B3C" w:rsidRPr="00070ADE" w:rsidRDefault="00FA2B3C" w:rsidP="00B56F90">
      <w:pPr>
        <w:spacing w:after="0" w:line="240" w:lineRule="auto"/>
        <w:jc w:val="both"/>
        <w:rPr>
          <w:rFonts w:ascii="Times New Roman" w:hAnsi="Times New Roman"/>
          <w:color w:val="000000" w:themeColor="text1"/>
          <w:sz w:val="16"/>
          <w:szCs w:val="16"/>
        </w:rPr>
      </w:pPr>
    </w:p>
    <w:p w14:paraId="7D4B664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марта 1944 25-й советский армейский инженерный батальон вышел к реке Днестр на Украине (4963 ).</w:t>
      </w:r>
    </w:p>
    <w:p w14:paraId="509FA1B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0C91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марта 1944 советские войска вышли на границу с Румынией (2100).</w:t>
      </w:r>
    </w:p>
    <w:p w14:paraId="58378E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64C5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марта 1944 в районе ст. Идрица Е.В.Михайлов направил свой подбитый самолет на эшелон. Стал ГСС (438,897).</w:t>
      </w:r>
    </w:p>
    <w:p w14:paraId="42F44A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CFFA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марта 1944 в полку Нормандия произошла катастрофа: в воздухе столкнулись “Яки” аспирантов Жуара и Бурдье. Оба пило</w:t>
      </w:r>
      <w:r w:rsidRPr="00070ADE">
        <w:rPr>
          <w:rFonts w:ascii="Times New Roman" w:hAnsi="Times New Roman"/>
          <w:color w:val="000000" w:themeColor="text1"/>
          <w:sz w:val="16"/>
          <w:szCs w:val="16"/>
        </w:rPr>
        <w:softHyphen/>
        <w:t>та погибли. Однако неприятности на этом не закончились. Летчики Эмоне и Шик за два дня поломали три боевых самолета. А 21 апреля, выполняя “за</w:t>
      </w:r>
      <w:r w:rsidRPr="00070ADE">
        <w:rPr>
          <w:rFonts w:ascii="Times New Roman" w:hAnsi="Times New Roman"/>
          <w:color w:val="000000" w:themeColor="text1"/>
          <w:sz w:val="16"/>
          <w:szCs w:val="16"/>
        </w:rPr>
        <w:softHyphen/>
        <w:t>медленную бочку” на малой высоте по</w:t>
      </w:r>
      <w:r w:rsidRPr="00070ADE">
        <w:rPr>
          <w:rFonts w:ascii="Times New Roman" w:hAnsi="Times New Roman"/>
          <w:color w:val="000000" w:themeColor="text1"/>
          <w:sz w:val="16"/>
          <w:szCs w:val="16"/>
        </w:rPr>
        <w:softHyphen/>
        <w:t>гиб лейтенант Фуко (3956).</w:t>
      </w:r>
    </w:p>
    <w:p w14:paraId="35BB3E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57645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12B06D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661E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марта 1944 года было получено:</w:t>
      </w:r>
    </w:p>
    <w:p w14:paraId="09B180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 РУЗВЕЛЬТ И. В. СТАЛИНУ*</w:t>
      </w:r>
    </w:p>
    <w:p w14:paraId="798A0E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 отправил сегодня самолетом личное письмо Президенту Иненю по вопросу о хроме, так как мне ясно, какое важное значение турецкий хром имеет для Германии. Я послал письмо Послу Штейнгардту в Анкару для передачи. Я уверен, что Вы будете согласны, но, пожалуйста, сообщите мне, если эта акция противоречит каким-либо шагам, которые Вы теперь предпринимаете или намечаете, с тем чтобы я смог задержать передачу письма. Текст моего письма Президенту Иненю в перефразированном виде гласит:</w:t>
      </w:r>
    </w:p>
    <w:p w14:paraId="40562D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“Почти ежедневно возникает много вопросов, о которых я хотел бы поговорить с Вами, и я очень хотел бы, чтобы Вас и меня не разделяли тысячи миль.</w:t>
      </w:r>
    </w:p>
    <w:p w14:paraId="4515A8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я желаю написать Вам по вопросу о хроме.</w:t>
      </w:r>
    </w:p>
    <w:p w14:paraId="6AF532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Вам известно, русские, взяв Никополь, лишили немцев важного источника получения марганца. Для многих целей турецкая хромовая руда может заменить марганец, и лишение немцев никопольского марганца увеличивает, следовательно, важность турецкого хрома для германского военного производства.</w:t>
      </w:r>
    </w:p>
    <w:p w14:paraId="5B907B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Понятно, что продолжающаяся отправка большого количества хромовой руды в Германию из Турции теперь стала вопросом, которым Объединенные Нации серьезно озабочены. Вам лучше решить, каким образом немцы могут быть лишёны дальнейшего доступа к турецкой хромовой руде. Зная о Ваших творческих талантах, я надеюсь, что Вы найдете какой-либо метод для осуществления этого. Я твердо верю, что Вы должным образом оцените эту возможность для Турции внести единственный в своем роде вклад в то, что действительно обеспечивает благополучие всего мира.</w:t>
      </w:r>
    </w:p>
    <w:p w14:paraId="50F1AA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Нет нужды сообщать Вам, как я был рад нашим беседам в Каире, и я полагаю, что Вы и я можем беседовать друг с другом, как старые друзья.</w:t>
      </w:r>
    </w:p>
    <w:p w14:paraId="621561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 посылаю Вам мои самые добрые пожелания и рассчитываю на нашу новую встречу в ближайшем будущем”.</w:t>
      </w:r>
    </w:p>
    <w:p w14:paraId="695CA8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 направляю аналогичную телеграмму г-ну Черчиллю (7430).</w:t>
      </w:r>
    </w:p>
    <w:p w14:paraId="22C9AE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4B1BC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127511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117867"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18–19 марта (ночь) 1944 846 британских бомбардировщиков атаковали Франкфурт-на-Майне, Германия, сильно повредив центральную, восточную и западную части города. Погибло 22 бомбардировщика (2,6 процента) (20373).</w:t>
      </w:r>
    </w:p>
    <w:p w14:paraId="3144DD5D" w14:textId="77777777" w:rsidR="004D5E52" w:rsidRPr="00070ADE" w:rsidRDefault="004D5E52" w:rsidP="00B56F90">
      <w:pPr>
        <w:spacing w:after="0" w:line="240" w:lineRule="auto"/>
        <w:jc w:val="both"/>
        <w:rPr>
          <w:rFonts w:ascii="Times New Roman" w:hAnsi="Times New Roman"/>
          <w:color w:val="000000" w:themeColor="text1"/>
          <w:sz w:val="16"/>
          <w:szCs w:val="16"/>
        </w:rPr>
      </w:pPr>
    </w:p>
    <w:p w14:paraId="39ECF960"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18–19 марта (ночь) 1944 19 Ланкастеров (13 из 617-й эскадрильи) совершают успешный прицельный налет на завод взрывчатых веществ в Бержераке, Франция (20373).</w:t>
      </w:r>
    </w:p>
    <w:p w14:paraId="5327A161" w14:textId="77777777" w:rsidR="004D5E52" w:rsidRPr="00070ADE" w:rsidRDefault="004D5E52" w:rsidP="00B56F90">
      <w:pPr>
        <w:spacing w:after="0" w:line="240" w:lineRule="auto"/>
        <w:jc w:val="both"/>
        <w:rPr>
          <w:rFonts w:ascii="Times New Roman" w:hAnsi="Times New Roman"/>
          <w:color w:val="000000" w:themeColor="text1"/>
          <w:sz w:val="16"/>
          <w:szCs w:val="16"/>
        </w:rPr>
      </w:pPr>
    </w:p>
    <w:p w14:paraId="30352EFC" w14:textId="77777777" w:rsidR="00FA2B3C" w:rsidRPr="00070ADE" w:rsidRDefault="00FA2B3C"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18 March 1944 Heaviest raids on Hamburg so far by the RAF - 3000 tons of bombs dropped (270).</w:t>
      </w:r>
    </w:p>
    <w:p w14:paraId="03585869" w14:textId="77777777" w:rsidR="00FA2B3C" w:rsidRPr="00070ADE" w:rsidRDefault="00FA2B3C"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F4465F8" w14:textId="77777777" w:rsidR="00FA2B3C" w:rsidRPr="00070ADE" w:rsidRDefault="00FA2B3C"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марта 1944 состоялся самый большой налет RAF на Гамбург и было сброшено 3000 т бомб (270).</w:t>
      </w:r>
    </w:p>
    <w:p w14:paraId="2E08D348" w14:textId="77777777" w:rsidR="00FA2B3C" w:rsidRPr="00070ADE" w:rsidRDefault="00FA2B3C"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9E321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марта 1944 Венгерский глава государства регент Хорти был приглашен в Зальцбург для ведения переговоров с Гитлером. В ходе переговоров Гитлер бросил Хорти и сопровождавшим его политическим и военным деятелям серьезный упрек в том, что позиция Венгрии становится все более ненадежной, и сообщил им, что отдал приказ о военной оккупации Венгрии,которая в данный момент уже осуществляется (4963 ).</w:t>
      </w:r>
    </w:p>
    <w:p w14:paraId="06F5954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6B5E64" w14:textId="77777777" w:rsidR="00FA2B3C" w:rsidRPr="00070ADE" w:rsidRDefault="00FA2B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 xml:space="preserve">18 марта </w:t>
      </w:r>
      <w:r w:rsidRPr="00070ADE">
        <w:rPr>
          <w:rFonts w:ascii="Times New Roman" w:hAnsi="Times New Roman"/>
          <w:color w:val="000000" w:themeColor="text1"/>
          <w:sz w:val="16"/>
          <w:szCs w:val="16"/>
        </w:rPr>
        <w:t>в 1944 году на германо-венгерских переговорах от Венгрии было потребовано: передать вооруженные силы под контроль германского командования, разместить в стране немецкие войска и сформировать новое правительство, которое продолжило бы ведение войны (15072).</w:t>
      </w:r>
    </w:p>
    <w:p w14:paraId="3010E743" w14:textId="77777777" w:rsidR="00FA2B3C" w:rsidRPr="00070ADE" w:rsidRDefault="00FA2B3C" w:rsidP="00B56F90">
      <w:pPr>
        <w:spacing w:after="0" w:line="240" w:lineRule="auto"/>
        <w:jc w:val="both"/>
        <w:rPr>
          <w:rFonts w:ascii="Times New Roman" w:hAnsi="Times New Roman"/>
          <w:color w:val="000000" w:themeColor="text1"/>
          <w:sz w:val="16"/>
          <w:szCs w:val="16"/>
        </w:rPr>
      </w:pPr>
    </w:p>
    <w:p w14:paraId="1384D36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марта 1944 немецкие войска оккупировали Венгрию (4962).</w:t>
      </w:r>
    </w:p>
    <w:p w14:paraId="69ADE22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EAE5D2"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марта 1944 самолеты ВМС США с авианосца USS Lexington (CV-16) наносят удар по атоллу Мили (20373).</w:t>
      </w:r>
    </w:p>
    <w:p w14:paraId="637F7171" w14:textId="77777777" w:rsidR="004D5E52" w:rsidRPr="00070ADE" w:rsidRDefault="004D5E52" w:rsidP="00B56F90">
      <w:pPr>
        <w:spacing w:after="0" w:line="240" w:lineRule="auto"/>
        <w:jc w:val="both"/>
        <w:rPr>
          <w:rFonts w:ascii="Times New Roman" w:hAnsi="Times New Roman"/>
          <w:color w:val="000000" w:themeColor="text1"/>
          <w:sz w:val="16"/>
          <w:szCs w:val="16"/>
        </w:rPr>
      </w:pPr>
    </w:p>
    <w:p w14:paraId="4EC957D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D3CC2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0C11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19 марта 1944 Несмотря на неблагоприятные метеоусловия, удалось выполнить 8 непродолжительных поле</w:t>
      </w:r>
      <w:r w:rsidRPr="00070ADE">
        <w:rPr>
          <w:rFonts w:ascii="Times New Roman" w:hAnsi="Times New Roman"/>
          <w:color w:val="000000" w:themeColor="text1"/>
          <w:sz w:val="16"/>
          <w:szCs w:val="16"/>
        </w:rPr>
        <w:softHyphen/>
        <w:t>тов Ил-АМ-42, в том числе: 5 - на определе</w:t>
      </w:r>
      <w:r w:rsidRPr="00070ADE">
        <w:rPr>
          <w:rFonts w:ascii="Times New Roman" w:hAnsi="Times New Roman"/>
          <w:color w:val="000000" w:themeColor="text1"/>
          <w:sz w:val="16"/>
          <w:szCs w:val="16"/>
        </w:rPr>
        <w:softHyphen/>
        <w:t>ние взлетно-посадочных свойств, и по одному полету на бомбометание, проверку действия в воздухе ВАП-250 и замер расхода горючего. Все</w:t>
      </w:r>
      <w:r w:rsidRPr="00070ADE">
        <w:rPr>
          <w:rFonts w:ascii="Times New Roman" w:hAnsi="Times New Roman"/>
          <w:color w:val="000000" w:themeColor="text1"/>
          <w:sz w:val="16"/>
          <w:szCs w:val="16"/>
        </w:rPr>
        <w:softHyphen/>
        <w:t>го за день налетали 1 ч 55 мин. В ходе последнего полета сгорели про</w:t>
      </w:r>
      <w:r w:rsidRPr="00070ADE">
        <w:rPr>
          <w:rFonts w:ascii="Times New Roman" w:hAnsi="Times New Roman"/>
          <w:color w:val="000000" w:themeColor="text1"/>
          <w:sz w:val="16"/>
          <w:szCs w:val="16"/>
        </w:rPr>
        <w:softHyphen/>
        <w:t>кладки всасывающих патрубков.</w:t>
      </w:r>
    </w:p>
    <w:p w14:paraId="4D182D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Устранение вновь выявленных не</w:t>
      </w:r>
      <w:r w:rsidRPr="00070ADE">
        <w:rPr>
          <w:rFonts w:ascii="Times New Roman" w:hAnsi="Times New Roman"/>
          <w:color w:val="000000" w:themeColor="text1"/>
          <w:sz w:val="16"/>
          <w:szCs w:val="16"/>
        </w:rPr>
        <w:softHyphen/>
        <w:t>исправностей затянулось до 22 мар</w:t>
      </w:r>
      <w:r w:rsidRPr="00070ADE">
        <w:rPr>
          <w:rFonts w:ascii="Times New Roman" w:hAnsi="Times New Roman"/>
          <w:color w:val="000000" w:themeColor="text1"/>
          <w:sz w:val="16"/>
          <w:szCs w:val="16"/>
        </w:rPr>
        <w:softHyphen/>
        <w:t>та, но в этот день погода опять ока</w:t>
      </w:r>
      <w:r w:rsidRPr="00070ADE">
        <w:rPr>
          <w:rFonts w:ascii="Times New Roman" w:hAnsi="Times New Roman"/>
          <w:color w:val="000000" w:themeColor="text1"/>
          <w:sz w:val="16"/>
          <w:szCs w:val="16"/>
        </w:rPr>
        <w:softHyphen/>
        <w:t>залась нелетной. Только на следую</w:t>
      </w:r>
      <w:r w:rsidRPr="00070ADE">
        <w:rPr>
          <w:rFonts w:ascii="Times New Roman" w:hAnsi="Times New Roman"/>
          <w:color w:val="000000" w:themeColor="text1"/>
          <w:sz w:val="16"/>
          <w:szCs w:val="16"/>
        </w:rPr>
        <w:softHyphen/>
        <w:t>щий день удалось выполнить один ча</w:t>
      </w:r>
      <w:r w:rsidRPr="00070ADE">
        <w:rPr>
          <w:rFonts w:ascii="Times New Roman" w:hAnsi="Times New Roman"/>
          <w:color w:val="000000" w:themeColor="text1"/>
          <w:sz w:val="16"/>
          <w:szCs w:val="16"/>
        </w:rPr>
        <w:softHyphen/>
        <w:t>совой полет на замер расхода го</w:t>
      </w:r>
      <w:r w:rsidRPr="00070ADE">
        <w:rPr>
          <w:rFonts w:ascii="Times New Roman" w:hAnsi="Times New Roman"/>
          <w:color w:val="000000" w:themeColor="text1"/>
          <w:sz w:val="16"/>
          <w:szCs w:val="16"/>
        </w:rPr>
        <w:softHyphen/>
        <w:t>рючего. Затем последовал четырех</w:t>
      </w:r>
      <w:r w:rsidRPr="00070ADE">
        <w:rPr>
          <w:rFonts w:ascii="Times New Roman" w:hAnsi="Times New Roman"/>
          <w:color w:val="000000" w:themeColor="text1"/>
          <w:sz w:val="16"/>
          <w:szCs w:val="16"/>
        </w:rPr>
        <w:softHyphen/>
        <w:t>дневный перерыв в полетах из-за плохой погоды. Наконец, 28 марта установилась устойчивая летная по</w:t>
      </w:r>
      <w:r w:rsidRPr="00070ADE">
        <w:rPr>
          <w:rFonts w:ascii="Times New Roman" w:hAnsi="Times New Roman"/>
          <w:color w:val="000000" w:themeColor="text1"/>
          <w:sz w:val="16"/>
          <w:szCs w:val="16"/>
        </w:rPr>
        <w:softHyphen/>
        <w:t>года, которая продержалась три дня. В эти дни бригада испытателей ра</w:t>
      </w:r>
      <w:r w:rsidRPr="00070ADE">
        <w:rPr>
          <w:rFonts w:ascii="Times New Roman" w:hAnsi="Times New Roman"/>
          <w:color w:val="000000" w:themeColor="text1"/>
          <w:sz w:val="16"/>
          <w:szCs w:val="16"/>
        </w:rPr>
        <w:softHyphen/>
        <w:t>ботала весьма активно и 30 марта в 18.00 рапортовала руководству ин</w:t>
      </w:r>
      <w:r w:rsidRPr="00070ADE">
        <w:rPr>
          <w:rFonts w:ascii="Times New Roman" w:hAnsi="Times New Roman"/>
          <w:color w:val="000000" w:themeColor="text1"/>
          <w:sz w:val="16"/>
          <w:szCs w:val="16"/>
        </w:rPr>
        <w:softHyphen/>
        <w:t>ститута об успешном завершении го</w:t>
      </w:r>
      <w:r w:rsidRPr="00070ADE">
        <w:rPr>
          <w:rFonts w:ascii="Times New Roman" w:hAnsi="Times New Roman"/>
          <w:color w:val="000000" w:themeColor="text1"/>
          <w:sz w:val="16"/>
          <w:szCs w:val="16"/>
        </w:rPr>
        <w:softHyphen/>
        <w:t>сударственных испытаний (11427).</w:t>
      </w:r>
    </w:p>
    <w:p w14:paraId="3390AC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3231DF" w14:textId="7AA0FCBC"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марта 1944 на Ил-АМ-42 со «старым» проверенным винтом АВ-5 л-18Б в ходе госиспытаний, начавшихся 29 февраля, удалось выполнить 8 непродолжительных полетов, в том числе 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на определение взлетно-посадочных свойств и по одному полету на бомбометание, проверку действия в воздухе ВАП-250 и замер расхода горючего. Всего за день налетали 1</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 55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мин. В ходе последнего полета сгорели прокладки всасывающих патрубков.</w:t>
      </w:r>
    </w:p>
    <w:p w14:paraId="30B02509"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Устранение вновь выявленных неисправностей затянулось до 22 марта, но в этот день погода опять оказалась нелетной. Только на следующий день удалось выполнить один часовой полет на замер расхода горючего. Затем последовал четырехдневный перерыв в полетах из-за плохой погоды. Наконец, 28 марта установилась устойчивая летная погода, которая продержалась три дня. В эти дни бригада испытателей работала весьма активно и 30 марта в 18.00 рапортовала руководству института об успешном завершении государственных испытаний.</w:t>
      </w:r>
    </w:p>
    <w:p w14:paraId="708988C2" w14:textId="3BAB4D9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испытания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продолжались в течение 31 календарного дня, из которых летных дней было всего 10, нелетных</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14. Еще 7 дней пришлось затратить на ремонт и доводку самолета. В общей сложности было выполнено 44 полета с налетом 19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 30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мин.</w:t>
      </w:r>
    </w:p>
    <w:p w14:paraId="6750670C" w14:textId="7C938A8B"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испытаний самолет облетали ведущий инженер-летчик 3-го отдела НИИ ВВС инженер-майор 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Синельников, летчик-испытатель 4-го отдела майор 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Субботин, старший летчик-испытатель 3-го отдела майор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Журавлев и летчик-испытатель подполковник 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Нюхтиков. В качестве штурманов облета участвовали капитан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Горбунов, заместитель начальника 4-го отдела полковник 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Шауров, помощник начальника 6-го отдела капитан Васильев, штурман-испытатель капитан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Ковынев, штурман-испытатель подполковник 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Цветков.</w:t>
      </w:r>
    </w:p>
    <w:p w14:paraId="128E18D8"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документов, самолет проходил испытания в двух вариантах: разведчика-корректировщика и штурмовика-бомбардировщика, которые отличались друг от друга фактически только бомбовой нагрузкой и заправкой самолета горючим и маслом. Состав фото- и радиооборудования самолета в ходе испытаний оставался неизменным и соответствовал «следопыту».</w:t>
      </w:r>
    </w:p>
    <w:p w14:paraId="705BD601"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Стрелково-пушечное вооружение самолета в обоих вариантах назначения было одинаковым и включало две пушки ВЯ (300 патронов), два пулемета ШКАС (1500 патронов) и оборонительный пулемет УБК (3 диска по 50 патронов) на ВУ-8. Ракетное вооружение не предусматривалось.</w:t>
      </w:r>
    </w:p>
    <w:p w14:paraId="0E2DE5C5" w14:textId="01E3D7C6"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 полетный вес штурмовика-бомбардировщика устанавливался в 7260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в перегрузку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7660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Полезная нагрузка при нормальном полетном весе составляла 1995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w:t>
      </w:r>
    </w:p>
    <w:p w14:paraId="11D45E5B" w14:textId="5EBB13A2"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перегрузочном варианте допускалась подвеска до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в том числе на двух внешних узлах две бомбы типа ФАБ-500 или два выливных авиаприбора ВАП-250 или УХАП-250.</w:t>
      </w:r>
    </w:p>
    <w:p w14:paraId="1B348DD8" w14:textId="11C49854"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Нагрузка в варианте «следопыта» ограничивалась 1460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и отличалась от штурмового варианта отсутствием бомбовой нагрузки и увеличенным до 120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весом съемного оборудования.</w:t>
      </w:r>
    </w:p>
    <w:p w14:paraId="4A326791" w14:textId="4941894A"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Поскольку состав съемного оборудования на самолете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соответствовал варианту разведчика-корректировщика, то при загрузке 600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и полной заправке горючим и маслом вес самолета на 65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превышал нормальный полетный вес, установленный для штурмовика-бомбардировщика. Поэтому при проведении испытательных полетов в варианте штурмовика вес горючего уменьшался ровно на 65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w:t>
      </w:r>
    </w:p>
    <w:p w14:paraId="0ABC0630" w14:textId="07DCF7B2"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АМ-42 на протяжении всего времени испытаний работал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и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 Отмечался и большой расход горючего на номинальном режиме работы мотора, который при контрольном полете 19 марта составил 295–315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г/л.</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 ч.</w:t>
      </w:r>
    </w:p>
    <w:p w14:paraId="6A46111D"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испытаний пришлось заменить маслоуплотнитель носка вала редуктора мотора, регулятор давления наддува, прокладки под всасывающими патрубками (для чего был демонтирован карбюратор). Дважды заменили весь комплект свечей, по одному разу все свечи внешнего ряда, водяную трубку (подводящую охлаждающую воду к левому блоку цилиндров мотора от помпы) и бензотрубку (подводящую топливо к карбюраторам). Из-за течи по сварке трижды ремонтировались маслобаки. Одновременно были отремонтированы все карбюраторы и коллекторы нагнетателя.</w:t>
      </w:r>
    </w:p>
    <w:p w14:paraId="1D0B6FC9"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выполнении работ по устранению недостатков и дефектов «в полный рост» проявилась непродуманность конструкции винтомоторной группы с точки зрения удобства эксплуатации. Например, для того чтобы снять водяную трубку, необходимо было демонтировать блоки мотора, выхлопные патрубки и левый маслобак, а затем вернуть их на свои места. Замена трубопровода, подводящего горючее к карбюраторам, выливалась в полный демонтаж всасывающей трубы нагнетателя и карбюратора. Испытатели отмечали трудоемкую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большую длину (без технологических разъемов), что серьезно усложняло их замену и ремонт.</w:t>
      </w:r>
    </w:p>
    <w:p w14:paraId="5ACC3B39"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общем, проблем с мотором хватало с избытком, но бригаде НИИ ВВС все же удалось отлетать программу испытаний почти в полном объеме.</w:t>
      </w:r>
    </w:p>
    <w:p w14:paraId="6808E54D" w14:textId="454232D3"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первую очередь определялись летно-технические данные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в варианте штурмовика-бомбардировщика и только затем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 варианте разведчика-корректировщика. Как показали полеты, основные данные нового самолета заметно превосходили Ил-2, хотя, по мнению военных, уже не отвечали в полном объеме современным требованиям.</w:t>
      </w:r>
    </w:p>
    <w:p w14:paraId="3851B4E2" w14:textId="0DCD5B76"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нормальном полетном весе (600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на внутренней подвеске) максимальная скорость полета оказалась равной 472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на высоте 2500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и 428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у земли. Вертикальная скорость не превышала 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м/с на высоте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и 6,7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у земли. Разбег самолета с отклоненными на 17° щитками и с форсажем мотора составил 435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Пробег при посадочном весе 5900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с применением тормозов и отклонением щитков на 45° оказался в пределах 465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Посадочная скорость равнялась 136</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w:t>
      </w:r>
    </w:p>
    <w:p w14:paraId="319509E2" w14:textId="4ED23479"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Разведчик-корректировщик на всех высотах летал на 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быстрее штурмовика-бомбардировщика. Примерно на 22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была выше скороподъемность и на 11</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горизонтальная маневренность. Лучшими были и взлетно-посадочные характеристики. Из-за непостоянства наддува в полете при работе мотора, тряски и выработки ресурса мотора (к моменту начала полетов в варианте «следопыта» остаток ресурса составлял 4–5 часов) измерить скороподъемность выше границы высотности не удалось.</w:t>
      </w:r>
    </w:p>
    <w:p w14:paraId="3DA8FD64" w14:textId="5204086A"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всех вариантах полетного веса центровка самолета (шасси выпущено) находилась в пределах от 19,9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САХ (пустой самолет) до 23,3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(перегрузочный вариант с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w:t>
      </w:r>
    </w:p>
    <w:p w14:paraId="170DBA73" w14:textId="4CB2DECE"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полета на высоте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и скорости 308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составила 820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на 155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 больше дальности полета Ил-2 АМ-38ф. При этом отмечалось, что дальность полета 2-го экземпляра Ил-АМ-42, на котором установлены бензобаки емкостью 1020 л, будет достигать 980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w:t>
      </w:r>
    </w:p>
    <w:p w14:paraId="04B68E72" w14:textId="612493B5"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своим пилотажным свойствам Ил-АМ-42 оказался достаточно простым и легким в управлении. В сравнении с Ил-2 новый самолет обладал значительно лучшей продольной устойчивостью и управляемостью, что упростило технику пилотирования, особенно на виражах и бреющих полетах. Летчики-испытатели отмечали, что Ил-АМ-42 в отличие от Ил-2 «на вираже позволяет значительно выбирать ручку руля высоты на себя, для уменьшения радиуса виража». Пикировал самолет устойчиво. Просадка на выводе оказалась несколько больше, чем у серийного Ил-2. Сила отдачи при стрельбе из пушек почти не сказывалась на пилотировании самолетом и прицеливании. Маневренность Ил-АМ-42 в вертикальной и горизонтальной плоскостях оказалась почти такой же, как у серийной «двойки», даже несколько хуже, и считалась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летного состава для перехода с Ил-2 не требует»,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указывалось в отчете по испытаниям.</w:t>
      </w:r>
    </w:p>
    <w:p w14:paraId="6A835586"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улучшения пилотажных качеств машины летчики предлагали на руль поворота установить триммер, а на элероны «наклепать ножи для регулировки от подваливания».</w:t>
      </w:r>
    </w:p>
    <w:p w14:paraId="4B74D2AA" w14:textId="11C724AE"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Указывалось, что Ил-АМ-42 строился по нормам прочности 1941 года и относится к классу Б</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ограниченно маневренных самолетов. При полетном весе 7250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разрушающая перегрузка равнялась 7,5 единицы, эксплуатационная перегрузка («установленная главным конструктором самолета»)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4,96 единицы.</w:t>
      </w:r>
    </w:p>
    <w:p w14:paraId="5BC2AD8E"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Помимо неудовлетворительной работы мотора АМ-42 отмечались и ряд других недостатков, отнесенных специалистами института к разряду основных.</w:t>
      </w:r>
    </w:p>
    <w:p w14:paraId="56890CB5"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частности, для самолета боя представлялось обязательным наличие системы заполнения бензобаков нейтральным газом. На Ил-АМ-42, как указывалось выше, такая система имелась, но на государственные испытания официально она не предъявлялась, так как не была доведена до рабочего состояния.</w:t>
      </w:r>
    </w:p>
    <w:p w14:paraId="62B959B6" w14:textId="54115E8C"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Схему бронирования Ил-АМ-42 специалисты НИИ ВВС оценили как не отвечающую современным требованиям. Соответствующее заключение начальник 8-го отдела института инженер-полковник Лагутин утвердил 24 марта. В ряду особо уязвимых мест значились задняя бронеперегородка штурмана-стрелка (толщина 12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и моторная часть снизу-сбоку (толщина 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рекомендовалось «снять с корпуса/…/передние броневые детали за втулкой винта, уменьшить с 5 до 2,5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толщину деталей пояса кабины летчика в местах примыкания крыла к фюзеляжу». Кроме этого, требовалось заднюю перегородку штурмана установить по образцу 2-го экземпляра Ил-АМ-42, то есть сделать экранированной две бронеплиты по 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и обеспечить защиту головы штурмана бронестеклом.</w:t>
      </w:r>
    </w:p>
    <w:p w14:paraId="7BB392C6" w14:textId="1EDF8CE8"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то же время отмечалось, что обе кабины</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летчика и штурмана-стрелка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 сравнении с Ил-2 имеют увеличенные размеры, что улучшает условия боевой работы экипажа. В кабине штурмана-стрелка вместо брезентовой ленты (как на Ил-2) устанавливалось постоянное откидное сиденье. Штурман облета капитан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Горбунов отмечал, что в кабине «тепло, задуваний нет, можно работать без летных очков». Посадка в кабину через нижний люк в бронекорпусе была признана удобной. В аварийной ситуации штурман легко покидал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3312B935"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достоинству машины было отнесено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поскольку это сильно облегчало работу летчика в бою.</w:t>
      </w:r>
    </w:p>
    <w:p w14:paraId="7057E2B8"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Положительно оценили наличие дублирования в каналах управления рулем высоты, поворота, элеронами и триммерами.</w:t>
      </w:r>
    </w:p>
    <w:p w14:paraId="76A19D15" w14:textId="46D87E46"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в кабине пилота прицела ПБП-1б на легкосъемном кронштейне обеспечивала летчику дополнительную безопасность при посадке с убранным шасси. Как известно, на Ил-2 ранних серий летчики часто ударялись о прицел ПБП-1 головой во время вынужденных посадок, что нередко приводило к серьезным травмам, а в ряде случаев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и к смертельным исходам.</w:t>
      </w:r>
    </w:p>
    <w:p w14:paraId="311432BB" w14:textId="5ED63036"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Бомбовое вооружение штурмовика-бомбардировщика Ил-АМ-42 по номенклатуре бомб и весу в целом соответствовало требованиям войны. Бомбометание допускалось как с горизонтального полета, так и с пикирования, но под углами не более 25–30°, хотя на испытаниях самолет пикировал до 40° без каких-либо нареканий. Для бомбометания с горизонтального полета предназначался прицел ОПБ-1р. Сброс бомб мог осуществляться и штурманом, и летчиком. Однако прицельно сбросить бомбы ни тот ни другой не могли.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штурман, «что требует соответствующей методической проработки».</w:t>
      </w:r>
    </w:p>
    <w:p w14:paraId="6EEAEC66" w14:textId="32615BEB"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бомбовый прицел штурмана в полете нещадно забрызгивался маслом, которое выбивалось из-под уплотнительного кольца втулки винта и носка коленчатого вала мотора. По этим причинам в первом же полете на испытание бомбового вооружения 9 марта штурман капитан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Горбунов был вынужден сбросить все бомбы залпом, неприцельно, за один заход. Для предохранения прицела от попадания масла на заводе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240 был изготовлен специальный щиток. Установка щитка на самолет положение не улучшило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оптика забрызгивалась маслом. Прицельное бомбометание по-прежнему оставалось невозможным. В испытательном полете 19 марта со щитком из-за замасливания оптики Горбунов сбросил все бомбы аварийно. В то же время отмечалось, что работать с ОПБ-1р в боевом положении удобно, а сам прицел является наиболее подходящим для установки на Ил-АМ-42, если, конечно, «устранить забрызгивание оптики прицела маслом».</w:t>
      </w:r>
    </w:p>
    <w:p w14:paraId="457BF54C"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этим причинам для бомбометания с горизонтального полета рекомендовалось использовать прицельную систему, отработанную для Ил-2: разметку и визирные штыри на бронекапоте самолета, метки и прицельные линии на лобовом и боковых бронестеклах фонаря кабины.</w:t>
      </w:r>
    </w:p>
    <w:p w14:paraId="3F7E4258"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Бомбометание с пикирования по методике ничем не отличалось от таковой на Ил-2 и в целом показало хорошие результаты вследствие лучшей устойчивости самолета при пикировании.</w:t>
      </w:r>
    </w:p>
    <w:p w14:paraId="69C40CB9"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Отметим, что маслом забрызгивалось и переднее бронестекло фонаря кабины пилота, что, естественно, ухудшало условия прицеливания.</w:t>
      </w:r>
    </w:p>
    <w:p w14:paraId="2128FE7C"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отработки стрелково-пушечного вооружения было выполнено в общей сложности 19 полетов, из них «9 полетов со стрельбой по наземным целям и 10 полетов с ВУ-8».</w:t>
      </w:r>
    </w:p>
    <w:p w14:paraId="3CB79664"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Если к пушкам ВЯ и пулеметам ШКАС при стрельбе в воздухе каких-либо серьезных претензий у военных испытателей не было, то работой оборонительной установки ВУ-8 с пулеметом УБК и ее возможностями они остались недовольны.</w:t>
      </w:r>
    </w:p>
    <w:p w14:paraId="6A114EC5" w14:textId="75B1EED9"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недостатки ВУ-8 в явном виде проявились в воздушном бою с немецким истребителем Bf109G-2, который состоялся 30 апреля. За воздушного стрелка вылетал штурман-испытатель подполковник 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Цветков. Атаки выполнялись со всех возможных в реальном бою направлений. При этом на маршруте полета от Чкаловской до Ногинска «мессер» успевал выполнить до 8–9 атак, находясь всегда в задней полусфере и отворачивая всякий раз в сторону с набором высоты.</w:t>
      </w:r>
    </w:p>
    <w:p w14:paraId="3507D09B" w14:textId="028ACFF1"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Оказалось, что за время одной атаки «мессершмитта» штурман успевал только развернуть установку в сторону истребителя и выставить пулемет в необходимое положение для стрельбы по нему, а на прицеливание оставалось «такое незначительное время, что точно навести прицел с требуемой поправкой на скорость цели не удалось ни разу». С одной стороны, это обуславливалось большими угловыми скоростями цели, а с другой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значительными усилиями для удерживания пулемета при прицеливании и стрельбе. Дело в том, что для выполнения грубой наводки на цель штурману приходилось одной рукой (правой) удерживать пулемет, а другой рукой (левой)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фиксировать стопор каретки установки и одновременно «доворачивать пулеметную установку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углового сектора точной наводки пулемета. Требовалось вновь перемещать саму установку и выполнять точную наводку пулеметом и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 То есть «одной рукой довести пулемет и прицелиться невозможно».</w:t>
      </w:r>
    </w:p>
    <w:p w14:paraId="07DA9983"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Положение усугублялось еще и тем обстоятельством, что при работе с пулеметом имело место «много мелких трудноуловимых препятствий, затруднявших маневр пулеметом и установкой».</w:t>
      </w:r>
    </w:p>
    <w:p w14:paraId="683FE9D7" w14:textId="27A1DB12"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донесения Цветкова, производить прицеливание при стрельбе вверх было крайне неудобно, так как «приходится опускаться на корточки, и получается очень напряженное, неустойчивое положение». При поворотах установки на левый борт очень трудно использовать доводочные углы пулемета, требовалось менять положение туловища относительно оружия, а поскольку прицел располагался слева от пулемета,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устойчивым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во время прицеливания и стрельбы все время приходилось подыскивать место, куда бы поставить ноги. Отсюда потеря времени на прицеливание. Практически получалось так, что обеспечить прицельный огонь с левого борта было нельзя.</w:t>
      </w:r>
    </w:p>
    <w:p w14:paraId="76FAC03C"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Стрельба с незастопоренной установкой показала, что пулемет в этом случае резко уходит к правому борту, а при стрельбе с застопоренной установкой пулемет сильно трясет.</w:t>
      </w:r>
    </w:p>
    <w:p w14:paraId="0CADA38E" w14:textId="3C9E5454"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Ведение прицельного огня на виражах оказалось невозможным, так как пулемет прижимает вниз, а «приподнять и удержать его не хватает силы», не говоря уже о том, чтобы одновременно с этим еще и поворачивать установку в сторону цели. Во время воздушного боя на виражах истребитель легко держался в хвосте и на первом же вираже заходил строго в хвост на дистанцию открытия действительного огня 100–150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w:t>
      </w:r>
    </w:p>
    <w:p w14:paraId="7C682578"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мнению подполковника Цветкова, маневренность ВУ-8 и пулемета в целом явно недостаточная для эффективного отражения атак истребителей, «в лучшем случае она может позволить сделать одну прицельную очередь, и то с недостаточной точностью прицеливания». Одновременно отмечалось, что сама установка ВУ-8 заметно лучше, чем блистерная установка БЛУБ на Су-6, и несколько лучше, чем ВУБ-3 на Ил-2.</w:t>
      </w:r>
    </w:p>
    <w:p w14:paraId="42727736"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Справедливости ради следует отметить, что при всех атаках со стороны задней полусферы летчик по команде штурмана энергичным маневром успевал доворачивать самолет таким образом, чтобы штурман мог держать противника в секторе обстрела. Это до некоторой степени компенсировало ограниченность углов обстрела установки, однако не обеспечивало ведение прицельной стрельбы.</w:t>
      </w:r>
    </w:p>
    <w:p w14:paraId="3C542DF5" w14:textId="6393C9FC"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отражении атак истребителя со стороны солнца выявилась еще одна интересная особенность ВУ-8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плексиглас козырька установки слепил штурмана еще больше, чем солнце, вследствие чего прицеливаться было невозможно.</w:t>
      </w:r>
    </w:p>
    <w:p w14:paraId="0473D398"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переговорное устройство штурмана и летчика работало неудовлетворительно: «… сильный треск и шум не давали разговаривать, переключатель абонентской коробки во время боя несколько раз самопроизвольно переключался в положение РС или РК, что нарушало связь с летчиком».</w:t>
      </w:r>
    </w:p>
    <w:p w14:paraId="6A891B8C"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Серьезными недостатками ВУ-8 считались небольшая емкость магазина пулемета УБК и большое время его смены. Полсотни патронов в магазине оказалось недостаточно для отражения даже одной атаки истребителя. В то же время на его замену уходило около одной минуты, что было совершенно неприемлемым для реальных условий боя. В отчете указывалось, что за счет некоторых конструктивных улучшений можно сократить время смены магазина до 45–50 секунд, но все равно оно оставалось большим.</w:t>
      </w:r>
    </w:p>
    <w:p w14:paraId="28F2C5F1" w14:textId="457ED07E"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ранее принятыми подобными установками преимуществ не имеет, за исключением того, что защищает стрелка от задувания»,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констатировал подполковник Цветков после проведенного им воздушного боя с немецким истребителем.</w:t>
      </w:r>
    </w:p>
    <w:p w14:paraId="04A0809A"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выводах отчета предлагалось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1C724374" w14:textId="0C85CC9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Предъявлялись претензии и к спецоборудованию самолета. В частности,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«летчик и штурман совмещают лишние функции».</w:t>
      </w:r>
    </w:p>
    <w:p w14:paraId="669272C2"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столь обширный перечень дефектов и недостатков Ил-АМ-42, в заключении акта по испытаниям самолет был рекомендован к запуску в серийное производство в вариантах штурмовика-бомбардировщика и разведчика-корректировщика.</w:t>
      </w:r>
    </w:p>
    <w:p w14:paraId="1B497078" w14:textId="6ACB2938"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целью выявления боевых качеств Ил-АМ-42 предлагалось «выпустить войсковую серию этих самолетов». Причем когда акт подписывал начальник НИИ ВВС генерал-лейтенант 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Лосюков, то он собственноручно дописал к этому пункту документа: «…даже с 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час. ресурсом АМ-42 (если не успеют моторы со 100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час. ресурсом)».</w:t>
      </w:r>
    </w:p>
    <w:p w14:paraId="6B6C65F6" w14:textId="33B9AC23"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Военные специалисты считали необходимым «просить Наркома авиапромышленности тов. Шахурина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 дать задания: а) Главному конструктору мотора АМ-42 тов. Микулину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 довести опытный мотор до состояния пригодного к нормальной эксплуатации. б) Главному конструктору самолета Ил с АМ-42 тов. Ильюшину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 до запуска в серийное производство устранить дефекты, отмеченные в выводах…»</w:t>
      </w:r>
    </w:p>
    <w:p w14:paraId="38907B50"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 касается установки на самолет кассет ДАГ-10 и крупнокалиберных пушек 11П, а также величины бомбовой нагрузки с этими пушками, то решение планировалось принять после проведения испытаний 2-го экземпляра самолета Ил-АМ-42 (17490).</w:t>
      </w:r>
    </w:p>
    <w:p w14:paraId="19D78A1A" w14:textId="77777777" w:rsidR="00E23799" w:rsidRPr="00070ADE" w:rsidRDefault="00E23799" w:rsidP="00B56F90">
      <w:pPr>
        <w:spacing w:after="0" w:line="240" w:lineRule="auto"/>
        <w:jc w:val="both"/>
        <w:rPr>
          <w:rFonts w:ascii="Times New Roman" w:hAnsi="Times New Roman"/>
          <w:color w:val="000000" w:themeColor="text1"/>
          <w:sz w:val="16"/>
          <w:szCs w:val="16"/>
        </w:rPr>
      </w:pPr>
    </w:p>
    <w:p w14:paraId="7CD9B9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 по 22 марта 1944 г. прошли дополнительные испытания в НИИ ВВС КА взлетных лыж, после чего распоряжением главного инженера ВВС КА генерал-полковника ИАС Репина от 29 июля взлетные лыжи были приняты и на вооружение ВВС КА (12048).</w:t>
      </w:r>
    </w:p>
    <w:p w14:paraId="47A864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215DC8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3BBA8D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DF9C8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марта 1944 года вышел приказ № 166с НКТП</w:t>
      </w:r>
    </w:p>
    <w:p w14:paraId="638424A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передаче завода № 138 Управлению Промкооперации при Совнаркоме РСФСР (6210, 67).</w:t>
      </w:r>
    </w:p>
    <w:p w14:paraId="5F7F1D9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9E2A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марта 1944 года - Формулировка И.В. Курчатовым технических требований к химической чистоте урановых материалов, поставляемых в Лабораторию No.2 (10549).</w:t>
      </w:r>
    </w:p>
    <w:p w14:paraId="10BF2D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12F4142" w14:textId="77777777" w:rsidR="00EB585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CE7410A" w14:textId="77777777" w:rsidR="00EB5859" w:rsidRPr="00070ADE" w:rsidRDefault="00EB585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B70216"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19 марта</w:t>
      </w:r>
      <w:r w:rsidRPr="00070ADE">
        <w:rPr>
          <w:rFonts w:ascii="Times New Roman" w:hAnsi="Times New Roman"/>
          <w:color w:val="000000" w:themeColor="text1"/>
          <w:sz w:val="16"/>
          <w:szCs w:val="16"/>
        </w:rPr>
        <w:t xml:space="preserve"> в 1944 году оперативная сводка Совинформбюро:</w:t>
      </w:r>
    </w:p>
    <w:p w14:paraId="3DD7DD95"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в результате обходного манёвра и атаки с фронта 19 марта овладели городом Кременец — мощной естественной крепостью на хребте Кременецких гор, усиленной немцами развитой сетью искусственных оборонительных сооружений, а также с боями заняли более 40 других населённых пунктов, в числе которых крупные населённые пункты Плащувка, Сестратын, Сребно, Крупец, Михалувка, Подзамче, Круки, Ситно, Янувка, Бялогрудка, Каменица и железнодорожные станции Каменица Волынская, Рудня Почаювская, Михалувка.</w:t>
      </w:r>
    </w:p>
    <w:p w14:paraId="1D5C83EF"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19 марта северо-западнее Винница наши войска с боями продвигались вперёд и овладели крупными населёнными пунктами Лука, Кожухов, Медведовка, Кусиковцы, Ивча, Осолынка, Николаевка, Майдан, Мизяковские Хутора, Стрижавка.</w:t>
      </w:r>
    </w:p>
    <w:p w14:paraId="013E2365"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югу от города Жмеринка наши войска, продолжая развивать наступление, овладели районными центрами Винницкой области Станиславчик, Шпиков, а также с боями заняли более 50 других населённых пунктов, в том числе крупные населённые пункты Тарасовка, Пеньковка, Михайловка, Мурафа, Рахны Лесовые, Деребчин, Зведеновка, Джурин, Хоменки, Политанки, Карповка, Ротмистровка, Серебрия и железнодорожные станции Будки, Ярошенка, Рахны. Наши войска подошли к городу Могилёв-Подольский и завязали бои на окраинах города.</w:t>
      </w:r>
    </w:p>
    <w:p w14:paraId="47E09CAD"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вышли на реку Днестр на фронте более 100 километров, форсировали её на участке протяжённостью более 50 километров, заняли на правом берегу реки более 40 населённых пунктов и в их числе уездный город Молдавской ССР Сороки.</w:t>
      </w:r>
    </w:p>
    <w:p w14:paraId="0EE78187"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Ново-Украинка наши войска продолжали вести наступательные бои, в ходе которых заняли более 80 населённых пунктов, в том числе крупные населённые пункты Дорожинка, Юзефполь, Сухой Ташлык, Лащевка, Подгурье, Станковата, Михайловка, Любомирка, Трудолюбовка, Ново-Григорьевка, Воеводское, Жуково и железнодорожные станции Бешкетово, Глиняная.</w:t>
      </w:r>
    </w:p>
    <w:p w14:paraId="6260CD77"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Бобринец наши войска, продолжая развивать наступление, овладели районным центром Николаевской области Еланец, районным центром Одесской области Братское, а также с боями заняли более 70 других населённых пунктов, в том числе крупные населённые пункты Каменоватка, Кривая Пустошь, Ново-Александровка, Ивановка, Надеждовка, Никольское, Михайловка, Малое Солоное, Рацев, Белоусовка.</w:t>
      </w:r>
    </w:p>
    <w:p w14:paraId="36B73BA0"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поиски разведчиков.</w:t>
      </w:r>
    </w:p>
    <w:p w14:paraId="2E774A75"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18 марта наши войска на всех фронтах подбили и уничтожили 45 немецких танков. В воздушных боях и огнём зенитной артиллерии сбито 52 самолёта противника.</w:t>
      </w:r>
    </w:p>
    <w:p w14:paraId="31704279"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развивая успешное наступление, вышли на подступы к городу Кременец, расположенному на хребте Кременецких гор. Город представлял собой очень удобные для обороны позиции. Многочисленные дзоты и траншеи, до предела насыщенные огневыми средствами, а также другие инженерные сооружения превращали Кременец в неприступную крепость. Наши войска в результате обходного манёвра перерезали все дороги к городу. У немцев остался лишь один выход на северо-запад. В это же время другие наши части предприняли атаку с фронта. Советские бойцы, действуя мелкими группами, просачивались в расположение противника и истребляли гитлеровцев огнём, штыком и гранатами. Не выдержав натиска наших войск, немцы стали поспешно отступать. Овладев городом Кременец и продолжая преследовать врага по пятам, наши бойцы нанесли ему большой урон вживой силе и технике. В городе захвачено много брошенного немцами вооружения и крупные склады с военными материалами.</w:t>
      </w:r>
    </w:p>
    <w:p w14:paraId="3AB2D8E0"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Винницы наши войска продолжали наступление по правому берегу реки Южный Буг. Части Н-ского соединения, продвигаясь вдоль шоссе от города Хмельники на юг, отрезали пути отхода одной группе немецких войск. За два дня бойцы этого соединения уничтожили 1.500 гитлеровцев и захватили 45 танков и самоходных орудий, 36 бронетранспортёров, 96 автомашин, несколько складов с боеприпасами, а также много бочек с бензином. Бойцы под командованием подполковника Бодунова стремительной атакой выбили немцев из сильно укреплённого села Лавривки. Удар был настолько внезапным, что немцы бежали в панике, бросив всё свое оружие.</w:t>
      </w:r>
    </w:p>
    <w:p w14:paraId="7A36D6B3"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югу от города Жмеринки наши войска овладели районными центрами Винницкой области Станиславчик и Шпиков. Части Н-ского соединения, выбив вчера немцев из местечка Черневцы, устремились вдоль шоссе на юго-запад и заняли более 50 населённых пунктов, в том числе село Карповку, находящееся в трёх километрах северо-восточнее города Могилёв-Подольский, и село Серебрия — в двух километрах западнее города. Развивая успех, советские бойцы с хода прорвались к городу Могилёв-Подольский и завязали бои на его окраинах.</w:t>
      </w:r>
    </w:p>
    <w:p w14:paraId="24D77C40"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западу от города Брацлав наши подвижные части в результате успешно проведённого обходного манёвра перехватили дороги, по которым отступали немецкие войска. Пойманные в ловушку, гитлеровцы были вынуждены принять бой в невыгодных для себя условиях. Наши пехотинцы и танкисты атаковали врага со всех сторон и в результате ожесточённого боя разгромили группировку противника в составе трёх пехотных дивизий немцев и трёх батальонов румын. На поле боя осталось свыше 4 тысяч вражеских трупов. Взято более 500 пленных и захвачено у немцев 150 орудий, 700 автомашин и много другого военного имущества.</w:t>
      </w:r>
    </w:p>
    <w:p w14:paraId="79C67A63"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на широком фронте вышли к реке Днестр. Наступление советских частей было настолько стремительным и ошеломляющим, что немцы в ряде мест не успели даже уничтожить переправы. Противник был прижат к реке и понёс огромные потери. Наши войска переправились через Днестр и отвоевали у немцев на правом берегу реки, уездный город Молдавской ССР Сороки и более 40 других населённых пунктов. Украинские партизаны оказывают активную помощь наступающим частям Красной Армии. Партизанские отряды перехватили пути отхода полкам 34 пехотной дивизии противника, разгромили штабы и захватили у немцев знамёна трёх подков, знамя 34 дивизии, штабные документы и другие трофеи. Советские патриоты взяли в плен более 200 немецких солдат и офицеров.</w:t>
      </w:r>
    </w:p>
    <w:p w14:paraId="4E5231AF"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Бобринец части Н-ского соединения, продвигаясь по размякшим после дождя дорогам, уничтожали немецкие колонны и обозы, скопившиеся в балках и у переправ. В этих боях уничтожено до полка пехоты противника. Захвачено 21 орудие, 20 тракторов и тягачей, 150 автомашин и много стрелкового вооружения.</w:t>
      </w:r>
    </w:p>
    <w:p w14:paraId="4248DB05"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комбинированных торпедо-бомбовых ударов по каравану противника в Баренцовом море потоплены два немецких транспорта общим водоизмещением в 10 тысяч тонн и два сторожевых корабля. Кроме того, сильно повреждены два других транспорта, следовавших в составе этого каравана. Немецкие сообщения о том, что они якобы сбили во время этой операции 37 советских самолётов, являются очередным враньём гитлеровцев. В воздушных боях над атакованным караваном противника сбито 15 немецких самолётов. Наша авиация потеряла 6 самолётов.</w:t>
      </w:r>
    </w:p>
    <w:p w14:paraId="00071D7F"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Финском заливе потоплен транспорт противника водоизмещением в 2 тысячи тонн.</w:t>
      </w:r>
    </w:p>
    <w:p w14:paraId="2C0339F9"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марта крымские партизаны разгромили несколько отрядов противника, охранявших шоссейные магистрали. Советские патриоты истребили 240 гитлеровцев и захватили 400 лошадей, 110 повозок с боеприпасами, снаряжением и продовольствием.» (15073).</w:t>
      </w:r>
    </w:p>
    <w:p w14:paraId="12D3DF13" w14:textId="77777777" w:rsidR="00EB5859" w:rsidRPr="00070ADE" w:rsidRDefault="00EB5859" w:rsidP="00B56F90">
      <w:pPr>
        <w:spacing w:after="0" w:line="240" w:lineRule="auto"/>
        <w:jc w:val="both"/>
        <w:rPr>
          <w:rFonts w:ascii="Times New Roman" w:hAnsi="Times New Roman"/>
          <w:color w:val="000000" w:themeColor="text1"/>
          <w:sz w:val="16"/>
          <w:szCs w:val="16"/>
        </w:rPr>
      </w:pPr>
    </w:p>
    <w:p w14:paraId="6521A64E" w14:textId="2A4A37A6" w:rsidR="006E2E37" w:rsidRPr="00070ADE" w:rsidRDefault="006E2E37" w:rsidP="00B56F90">
      <w:pPr>
        <w:pStyle w:val="ae"/>
        <w:spacing w:before="0" w:after="0"/>
        <w:jc w:val="both"/>
        <w:textAlignment w:val="baseline"/>
        <w:rPr>
          <w:color w:val="000000" w:themeColor="text1"/>
          <w:sz w:val="16"/>
          <w:szCs w:val="16"/>
        </w:rPr>
      </w:pPr>
      <w:r w:rsidRPr="00070ADE">
        <w:rPr>
          <w:color w:val="000000" w:themeColor="text1"/>
          <w:sz w:val="16"/>
          <w:szCs w:val="16"/>
        </w:rPr>
        <w:t>19 марта 1944 11 Ил-2 из 23-го шап майора И.</w:t>
      </w:r>
      <w:r w:rsidR="00B643A8" w:rsidRPr="00070ADE">
        <w:rPr>
          <w:color w:val="000000" w:themeColor="text1"/>
          <w:sz w:val="16"/>
          <w:szCs w:val="16"/>
        </w:rPr>
        <w:t xml:space="preserve"> </w:t>
      </w:r>
      <w:r w:rsidRPr="00070ADE">
        <w:rPr>
          <w:color w:val="000000" w:themeColor="text1"/>
          <w:sz w:val="16"/>
          <w:szCs w:val="16"/>
        </w:rPr>
        <w:t>И.</w:t>
      </w:r>
      <w:r w:rsidR="00B643A8" w:rsidRPr="00070ADE">
        <w:rPr>
          <w:color w:val="000000" w:themeColor="text1"/>
          <w:sz w:val="16"/>
          <w:szCs w:val="16"/>
        </w:rPr>
        <w:t xml:space="preserve"> </w:t>
      </w:r>
      <w:r w:rsidRPr="00070ADE">
        <w:rPr>
          <w:color w:val="000000" w:themeColor="text1"/>
          <w:sz w:val="16"/>
          <w:szCs w:val="16"/>
        </w:rPr>
        <w:t>Трушина совместно с торпедоносцами A-20J и бомбардировщиками Пе-2 участвовали в атаке немецко-румынского конвоя в районе мыса Тарханкут, на западном побережье Крыма. В результате массированного налета удалось потопить германский транспорт «Лариса» тоннажем 1820 брт. Но этот успех, скорее всего, принадлежал не штурмовикам, которые тогда лишились трех самолетов (19522).</w:t>
      </w:r>
    </w:p>
    <w:p w14:paraId="56F5E656" w14:textId="77777777" w:rsidR="006E2E37" w:rsidRPr="00070ADE" w:rsidRDefault="006E2E37" w:rsidP="00B56F90">
      <w:pPr>
        <w:pStyle w:val="ae"/>
        <w:spacing w:before="0" w:after="0"/>
        <w:jc w:val="both"/>
        <w:textAlignment w:val="baseline"/>
        <w:rPr>
          <w:color w:val="000000" w:themeColor="text1"/>
          <w:sz w:val="16"/>
          <w:szCs w:val="16"/>
        </w:rPr>
      </w:pPr>
    </w:p>
    <w:p w14:paraId="32924F9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3203AE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4BD2CD"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lastRenderedPageBreak/>
        <w:t>19 марта</w:t>
      </w:r>
      <w:r w:rsidRPr="00070ADE">
        <w:rPr>
          <w:rFonts w:ascii="Times New Roman" w:hAnsi="Times New Roman"/>
          <w:color w:val="000000" w:themeColor="text1"/>
          <w:sz w:val="16"/>
          <w:szCs w:val="16"/>
        </w:rPr>
        <w:t xml:space="preserve"> в 1944 году посол Великобритании в СССР заявил Советскому правительству, что отказ отсрочить решение вопроса восточных польских границ на послевоенное время создаст затруднения в советско-английских отношениях и осложнит ведение войны (15073).</w:t>
      </w:r>
    </w:p>
    <w:p w14:paraId="41E2E72D" w14:textId="77777777" w:rsidR="00EB5859" w:rsidRPr="00070ADE" w:rsidRDefault="00EB5859" w:rsidP="00B56F90">
      <w:pPr>
        <w:spacing w:after="0" w:line="240" w:lineRule="auto"/>
        <w:jc w:val="both"/>
        <w:rPr>
          <w:rFonts w:ascii="Times New Roman" w:hAnsi="Times New Roman"/>
          <w:color w:val="000000" w:themeColor="text1"/>
          <w:sz w:val="16"/>
          <w:szCs w:val="16"/>
        </w:rPr>
      </w:pPr>
    </w:p>
    <w:p w14:paraId="38CB87FC"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19 марта</w:t>
      </w:r>
      <w:r w:rsidRPr="00070ADE">
        <w:rPr>
          <w:rFonts w:ascii="Times New Roman" w:hAnsi="Times New Roman"/>
          <w:color w:val="000000" w:themeColor="text1"/>
          <w:sz w:val="16"/>
          <w:szCs w:val="16"/>
        </w:rPr>
        <w:t xml:space="preserve"> в 1944 году советское правительство потребовало незамедлительного изменения состава итальянского правительства маршала Бадольо за счет включения в его состав представителей левых партий (15073).</w:t>
      </w:r>
    </w:p>
    <w:p w14:paraId="732C91D4" w14:textId="77777777" w:rsidR="00EB5859" w:rsidRPr="00070ADE" w:rsidRDefault="00EB5859" w:rsidP="00B56F90">
      <w:pPr>
        <w:spacing w:after="0" w:line="240" w:lineRule="auto"/>
        <w:jc w:val="both"/>
        <w:rPr>
          <w:rFonts w:ascii="Times New Roman" w:hAnsi="Times New Roman"/>
          <w:color w:val="000000" w:themeColor="text1"/>
          <w:sz w:val="16"/>
          <w:szCs w:val="16"/>
        </w:rPr>
      </w:pPr>
    </w:p>
    <w:p w14:paraId="0FE37691" w14:textId="77777777" w:rsidR="00EB585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24485897" w14:textId="77777777" w:rsidR="00EB5859" w:rsidRPr="00070ADE" w:rsidRDefault="00EB585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7B70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марта 1944 в ходе операции Margarette немцы оккупировали основные города Венгрии (2247,2).</w:t>
      </w:r>
    </w:p>
    <w:p w14:paraId="4892CC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B6320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марта 1944 Венгрия оккупирована немецкими фашистами (4962).</w:t>
      </w:r>
    </w:p>
    <w:p w14:paraId="62A9D2C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087B9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879C1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0896D8" w14:textId="77777777" w:rsidR="00E23799" w:rsidRPr="00070ADE" w:rsidRDefault="00E23799"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К 20 марта 1944 в 4-й лаборатории ЛИИ НКАП была завершена работа по определению си</w:t>
      </w:r>
      <w:r w:rsidRPr="00070ADE">
        <w:rPr>
          <w:color w:val="000000" w:themeColor="text1"/>
          <w:sz w:val="16"/>
          <w:szCs w:val="16"/>
        </w:rPr>
        <w:softHyphen/>
        <w:t>лы отдачи пушки 11П при закреплении на лафете с различной жесткостью.</w:t>
      </w:r>
    </w:p>
    <w:p w14:paraId="3E8F9364" w14:textId="77777777" w:rsidR="00E23799" w:rsidRPr="00070ADE" w:rsidRDefault="00E23799"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Испытывалась пушка серийного изготовления, полученная со склада завода № 30. В цилиндр ги</w:t>
      </w:r>
      <w:r w:rsidRPr="00070ADE">
        <w:rPr>
          <w:color w:val="000000" w:themeColor="text1"/>
          <w:sz w:val="16"/>
          <w:szCs w:val="16"/>
        </w:rPr>
        <w:softHyphen/>
        <w:t>дротормоза заливалась штатная водоглицериновая смесь. Все стрельбы выполнялись при температуре окружающего воздуха 5—10°</w:t>
      </w:r>
      <w:r w:rsidRPr="00070ADE">
        <w:rPr>
          <w:color w:val="000000" w:themeColor="text1"/>
          <w:sz w:val="16"/>
          <w:szCs w:val="16"/>
          <w:lang w:val="en-US"/>
        </w:rPr>
        <w:t>C</w:t>
      </w:r>
      <w:r w:rsidRPr="00070ADE">
        <w:rPr>
          <w:color w:val="000000" w:themeColor="text1"/>
          <w:sz w:val="16"/>
          <w:szCs w:val="16"/>
        </w:rPr>
        <w:t>.</w:t>
      </w:r>
    </w:p>
    <w:p w14:paraId="251642A4" w14:textId="77777777" w:rsidR="00E23799" w:rsidRPr="00070ADE" w:rsidRDefault="00E237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Было установлено, что сила отдачи пушки «зави</w:t>
      </w:r>
      <w:r w:rsidRPr="00070ADE">
        <w:rPr>
          <w:rFonts w:ascii="Times New Roman" w:hAnsi="Times New Roman"/>
          <w:color w:val="000000" w:themeColor="text1"/>
          <w:sz w:val="16"/>
          <w:szCs w:val="16"/>
        </w:rPr>
        <w:softHyphen/>
        <w:t>сит от жесткости ее опоры и для испытанного об</w:t>
      </w:r>
      <w:r w:rsidRPr="00070ADE">
        <w:rPr>
          <w:rFonts w:ascii="Times New Roman" w:hAnsi="Times New Roman"/>
          <w:color w:val="000000" w:themeColor="text1"/>
          <w:sz w:val="16"/>
          <w:szCs w:val="16"/>
        </w:rPr>
        <w:softHyphen/>
        <w:t>разца пушки изменяется в пределах 3400—5000 кг и выше (при жесткостях выше 700 кг/мм)». При определении силы отдачи пушки необходимо учи</w:t>
      </w:r>
      <w:r w:rsidRPr="00070ADE">
        <w:rPr>
          <w:rFonts w:ascii="Times New Roman" w:hAnsi="Times New Roman"/>
          <w:color w:val="000000" w:themeColor="text1"/>
          <w:sz w:val="16"/>
          <w:szCs w:val="16"/>
        </w:rPr>
        <w:softHyphen/>
        <w:t>тывать смещение крепления пушки при стрельбе: «при статической силе, равной силе отдачи, кре</w:t>
      </w:r>
      <w:r w:rsidRPr="00070ADE">
        <w:rPr>
          <w:rFonts w:ascii="Times New Roman" w:hAnsi="Times New Roman"/>
          <w:color w:val="000000" w:themeColor="text1"/>
          <w:sz w:val="16"/>
          <w:szCs w:val="16"/>
        </w:rPr>
        <w:softHyphen/>
        <w:t>пление перемещается на 6—8 мм (без учета дефор</w:t>
      </w:r>
      <w:r w:rsidRPr="00070ADE">
        <w:rPr>
          <w:rFonts w:ascii="Times New Roman" w:hAnsi="Times New Roman"/>
          <w:color w:val="000000" w:themeColor="text1"/>
          <w:sz w:val="16"/>
          <w:szCs w:val="16"/>
        </w:rPr>
        <w:softHyphen/>
        <w:t>мации изгиба крыла)».</w:t>
      </w:r>
    </w:p>
    <w:p w14:paraId="620742DA" w14:textId="77777777" w:rsidR="00E23799" w:rsidRPr="00070ADE" w:rsidRDefault="00E23799"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При стрельбах имели место удары ствола пуш</w:t>
      </w:r>
      <w:r w:rsidRPr="00070ADE">
        <w:rPr>
          <w:color w:val="000000" w:themeColor="text1"/>
          <w:sz w:val="16"/>
          <w:szCs w:val="16"/>
        </w:rPr>
        <w:softHyphen/>
        <w:t>ки в конце отката, что приводило к значительному увеличению силы отдачи. После регулировки дли</w:t>
      </w:r>
      <w:r w:rsidRPr="00070ADE">
        <w:rPr>
          <w:color w:val="000000" w:themeColor="text1"/>
          <w:sz w:val="16"/>
          <w:szCs w:val="16"/>
        </w:rPr>
        <w:softHyphen/>
        <w:t>ны отката ствола согласно инструкции удары ство</w:t>
      </w:r>
      <w:r w:rsidRPr="00070ADE">
        <w:rPr>
          <w:color w:val="000000" w:themeColor="text1"/>
          <w:sz w:val="16"/>
          <w:szCs w:val="16"/>
        </w:rPr>
        <w:softHyphen/>
        <w:t>ла пушки прекратились. Как следствие, значение силы отдачи пушки оказалось в пределах 3600— 4600 кг при всех значениях жесткости лафета.</w:t>
      </w:r>
    </w:p>
    <w:p w14:paraId="4B9C84A7" w14:textId="77777777" w:rsidR="00E23799" w:rsidRPr="00070ADE" w:rsidRDefault="00E23799"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На основании этого был сделан вывод, что «си</w:t>
      </w:r>
      <w:r w:rsidRPr="00070ADE">
        <w:rPr>
          <w:color w:val="000000" w:themeColor="text1"/>
          <w:sz w:val="16"/>
          <w:szCs w:val="16"/>
        </w:rPr>
        <w:softHyphen/>
        <w:t>ла отдачи пушки целиком определяется регулиров</w:t>
      </w:r>
      <w:r w:rsidRPr="00070ADE">
        <w:rPr>
          <w:color w:val="000000" w:themeColor="text1"/>
          <w:sz w:val="16"/>
          <w:szCs w:val="16"/>
        </w:rPr>
        <w:softHyphen/>
        <w:t>кой и условиями работы ее гидротормоза, поэтому приведенные выше данные могут касаться только данного конкретного экземпляра пушки, испытан</w:t>
      </w:r>
      <w:r w:rsidRPr="00070ADE">
        <w:rPr>
          <w:color w:val="000000" w:themeColor="text1"/>
          <w:sz w:val="16"/>
          <w:szCs w:val="16"/>
        </w:rPr>
        <w:softHyphen/>
        <w:t>ного при данных температурах и проч. условиях».</w:t>
      </w:r>
    </w:p>
    <w:p w14:paraId="4E99E43E" w14:textId="77777777" w:rsidR="00E23799" w:rsidRPr="00070ADE" w:rsidRDefault="00E23799"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этой связи предлагалось определить «степень постоянства работы гидротормоза» при специаль</w:t>
      </w:r>
      <w:r w:rsidRPr="00070ADE">
        <w:rPr>
          <w:color w:val="000000" w:themeColor="text1"/>
          <w:sz w:val="16"/>
          <w:szCs w:val="16"/>
        </w:rPr>
        <w:softHyphen/>
        <w:t>ных испытаниях, а также «поставить ряд исследо</w:t>
      </w:r>
      <w:r w:rsidRPr="00070ADE">
        <w:rPr>
          <w:color w:val="000000" w:themeColor="text1"/>
          <w:sz w:val="16"/>
          <w:szCs w:val="16"/>
        </w:rPr>
        <w:softHyphen/>
        <w:t>вательских работ для дальнейшего изучения силы отдачи пушки 11П и изучения воздействия на само</w:t>
      </w:r>
      <w:r w:rsidRPr="00070ADE">
        <w:rPr>
          <w:color w:val="000000" w:themeColor="text1"/>
          <w:sz w:val="16"/>
          <w:szCs w:val="16"/>
        </w:rPr>
        <w:softHyphen/>
        <w:t>лет силы отдачи оружия крупного калибра» (17500).</w:t>
      </w:r>
    </w:p>
    <w:p w14:paraId="00D5F5BF" w14:textId="77777777" w:rsidR="00E23799" w:rsidRPr="00070ADE" w:rsidRDefault="00E23799" w:rsidP="00B56F90">
      <w:pPr>
        <w:spacing w:after="0" w:line="240" w:lineRule="auto"/>
        <w:jc w:val="both"/>
        <w:rPr>
          <w:rFonts w:ascii="Times New Roman" w:hAnsi="Times New Roman"/>
          <w:color w:val="000000" w:themeColor="text1"/>
          <w:sz w:val="16"/>
          <w:szCs w:val="16"/>
        </w:rPr>
      </w:pPr>
    </w:p>
    <w:p w14:paraId="2B413D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20 марта 1944 был готов Як-9Б (заводской индекс - Як-9Л) с ВК-105ПФ и 4хФАБ-100 или 128 ПТАБ-2,5-1,5, сделанный ОКБ А.С.Я. на основе серийной машины N 14-20 (65,135).</w:t>
      </w:r>
    </w:p>
    <w:p w14:paraId="00F3BC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9BD1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20 марта 1944 шесть машин Як-9Б переделали в бомбардировщики - 4хФАБ или 4хкассета по 32 ПТАБ. Потом неудачно провели войсковые испытания с 18 декабря 1944 по 20 февраля 1945 и построили 109 машин, которыми полностью вооружили 130 иад (4237,25).</w:t>
      </w:r>
    </w:p>
    <w:p w14:paraId="71CD47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6C864" w14:textId="77777777" w:rsidR="00AA3357" w:rsidRPr="00C94B78" w:rsidRDefault="00AA33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20 марта 1944 г. за месяц выла выполнена переделка «девятки» в Як</w:t>
      </w:r>
      <w:r w:rsidRPr="00C94B78">
        <w:rPr>
          <w:rFonts w:ascii="Times New Roman" w:hAnsi="Times New Roman"/>
          <w:color w:val="0070C0"/>
          <w:sz w:val="16"/>
          <w:szCs w:val="16"/>
        </w:rPr>
        <w:noBreakHyphen/>
        <w:t>9Б. Бомбы размещались в четырех вертикальных трубчатых кассетах за кабиной, между вторым и четвертым шпангоутом фюзеляжа. Самолет мог брать четыре бомбы ФАБ</w:t>
      </w:r>
      <w:r w:rsidRPr="00C94B78">
        <w:rPr>
          <w:rFonts w:ascii="Times New Roman" w:hAnsi="Times New Roman"/>
          <w:color w:val="0070C0"/>
          <w:sz w:val="16"/>
          <w:szCs w:val="16"/>
        </w:rPr>
        <w:noBreakHyphen/>
        <w:t>100 либо четыре кассеты противотанковых кумулятивных бомб типа ПТАБ, весом по 1,5 кг. В каждой такой кассете помещалось по 32 бомбы. Заводские испытания продолжались с 23 марта до августа 1944 года (25077).</w:t>
      </w:r>
    </w:p>
    <w:p w14:paraId="4E325C26" w14:textId="77777777" w:rsidR="00AA3357" w:rsidRPr="00C94B78" w:rsidRDefault="00AA3357" w:rsidP="00B56F90">
      <w:pPr>
        <w:spacing w:after="0" w:line="240" w:lineRule="auto"/>
        <w:jc w:val="both"/>
        <w:rPr>
          <w:rFonts w:ascii="Times New Roman" w:hAnsi="Times New Roman"/>
          <w:color w:val="0070C0"/>
          <w:sz w:val="16"/>
          <w:szCs w:val="16"/>
        </w:rPr>
      </w:pPr>
    </w:p>
    <w:p w14:paraId="6B4A93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 НИИ спецслужб КА закончились гос. испытания разведывательного оборудования самолета Ту-2Р, сделанного на базе N 406, которые шли с 18 декабря 1943. На самолете был дополнительный бензобак на 750 л и доработали топливную систему. Фотооборудование включало два качающихся АФА-3с/50 (1835,53).</w:t>
      </w:r>
    </w:p>
    <w:p w14:paraId="26F9E7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2CFC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20 марта 1944 состояние опытного строительства на 21 заводе было следующим:</w:t>
      </w:r>
    </w:p>
    <w:p w14:paraId="44EEEC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53 серии “ф” и с 17 серии “фн” с 20 марта 1944 начата установка кислородных приборов КП-12</w:t>
      </w:r>
    </w:p>
    <w:p w14:paraId="1D0342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17 серии с-та “ф” и с 53 серии “фн” (наверное, ошибка) устанавливается удлиненные, полностью закрывающие вход тоннеля, совки (заслонки) м/радиаторов (март 1944).</w:t>
      </w:r>
    </w:p>
    <w:p w14:paraId="211E91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Ла-5 М-83 - выведен нааэродром. Устраняются дефекты ВМГ (март 1944) (738,18).</w:t>
      </w:r>
    </w:p>
    <w:p w14:paraId="2CC250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98D6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три Р-47, представленных США для ознакомления, и вылетевшие из США 16 ноября 1944, приземлились па Центральном аэродроме в Москве (3457,84).</w:t>
      </w:r>
    </w:p>
    <w:p w14:paraId="436B31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AA64C3" w14:textId="77777777" w:rsidR="001525BE" w:rsidRPr="00070ADE" w:rsidRDefault="001525B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три P-47D-10 приземли</w:t>
      </w:r>
      <w:r w:rsidRPr="00070ADE">
        <w:rPr>
          <w:rFonts w:ascii="Times New Roman" w:hAnsi="Times New Roman"/>
          <w:color w:val="000000" w:themeColor="text1"/>
          <w:sz w:val="16"/>
          <w:szCs w:val="16"/>
        </w:rPr>
        <w:softHyphen/>
        <w:t>лись на Центральном аэродроме в Москве.</w:t>
      </w:r>
    </w:p>
    <w:p w14:paraId="6EE8761D" w14:textId="77777777" w:rsidR="001525BE" w:rsidRPr="00070ADE" w:rsidRDefault="001525B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Первоначально все три машины пред</w:t>
      </w:r>
      <w:r w:rsidRPr="00070ADE">
        <w:rPr>
          <w:rFonts w:ascii="Times New Roman" w:hAnsi="Times New Roman"/>
          <w:color w:val="000000" w:themeColor="text1"/>
          <w:sz w:val="16"/>
          <w:szCs w:val="16"/>
        </w:rPr>
        <w:softHyphen/>
        <w:t>назначались для изучения специалиста</w:t>
      </w:r>
      <w:r w:rsidRPr="00070ADE">
        <w:rPr>
          <w:rFonts w:ascii="Times New Roman" w:hAnsi="Times New Roman"/>
          <w:color w:val="000000" w:themeColor="text1"/>
          <w:sz w:val="16"/>
          <w:szCs w:val="16"/>
        </w:rPr>
        <w:softHyphen/>
        <w:t>ми НКАП. Но работники НКВТ в ноябре 1943 г. сообщили из США, что Р-47 предло</w:t>
      </w:r>
      <w:r w:rsidRPr="00070ADE">
        <w:rPr>
          <w:rFonts w:ascii="Times New Roman" w:hAnsi="Times New Roman"/>
          <w:color w:val="000000" w:themeColor="text1"/>
          <w:sz w:val="16"/>
          <w:szCs w:val="16"/>
        </w:rPr>
        <w:softHyphen/>
        <w:t>жен американцами для поставки в СССР взамен устаревающего Р-40. Поэтому главный инженер ВВС генерал-полковник А.К. Репин попросил у наркома авиаци</w:t>
      </w:r>
      <w:r w:rsidRPr="00070ADE">
        <w:rPr>
          <w:rFonts w:ascii="Times New Roman" w:hAnsi="Times New Roman"/>
          <w:color w:val="000000" w:themeColor="text1"/>
          <w:sz w:val="16"/>
          <w:szCs w:val="16"/>
        </w:rPr>
        <w:softHyphen/>
        <w:t>онной промышленности А.И. Шахурина один истребитель для проведения испыта</w:t>
      </w:r>
      <w:r w:rsidRPr="00070ADE">
        <w:rPr>
          <w:rFonts w:ascii="Times New Roman" w:hAnsi="Times New Roman"/>
          <w:color w:val="000000" w:themeColor="text1"/>
          <w:sz w:val="16"/>
          <w:szCs w:val="16"/>
        </w:rPr>
        <w:softHyphen/>
        <w:t>ний в НИИ ВВС. 2 декабря Шахурин рас</w:t>
      </w:r>
      <w:r w:rsidRPr="00070ADE">
        <w:rPr>
          <w:rFonts w:ascii="Times New Roman" w:hAnsi="Times New Roman"/>
          <w:color w:val="000000" w:themeColor="text1"/>
          <w:sz w:val="16"/>
          <w:szCs w:val="16"/>
        </w:rPr>
        <w:softHyphen/>
        <w:t>порядился по прибытии сразу перегнать один «Тандерболт» в НИИ ВВС (23513).</w:t>
      </w:r>
    </w:p>
    <w:p w14:paraId="6708183D" w14:textId="77777777" w:rsidR="001525BE" w:rsidRPr="00070ADE" w:rsidRDefault="001525BE" w:rsidP="00B56F90">
      <w:pPr>
        <w:spacing w:after="0" w:line="240" w:lineRule="auto"/>
        <w:jc w:val="both"/>
        <w:rPr>
          <w:rFonts w:ascii="Times New Roman" w:hAnsi="Times New Roman"/>
          <w:color w:val="000000" w:themeColor="text1"/>
          <w:sz w:val="16"/>
          <w:szCs w:val="16"/>
        </w:rPr>
      </w:pPr>
    </w:p>
    <w:p w14:paraId="6370F99C" w14:textId="77777777" w:rsidR="00AA3357" w:rsidRPr="00C94B78" w:rsidRDefault="00AA33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20 марта 1944 г. все три Р-47 приземлились на Центральном аэродро</w:t>
      </w:r>
      <w:r w:rsidRPr="00C94B78">
        <w:rPr>
          <w:rFonts w:ascii="Times New Roman" w:hAnsi="Times New Roman"/>
          <w:color w:val="0070C0"/>
          <w:sz w:val="16"/>
          <w:szCs w:val="16"/>
        </w:rPr>
        <w:softHyphen/>
        <w:t>ме в Москве.</w:t>
      </w:r>
    </w:p>
    <w:p w14:paraId="0024B24A" w14:textId="77777777" w:rsidR="00AA3357" w:rsidRPr="00C94B78" w:rsidRDefault="00AA33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Первоначально все три машины предназначались для изучения специ</w:t>
      </w:r>
      <w:r w:rsidRPr="00C94B78">
        <w:rPr>
          <w:rFonts w:ascii="Times New Roman" w:hAnsi="Times New Roman"/>
          <w:color w:val="0070C0"/>
          <w:sz w:val="16"/>
          <w:szCs w:val="16"/>
        </w:rPr>
        <w:softHyphen/>
        <w:t>алистами НКАП. Но работники НКВТ в ноябре 1943 г. сообщили из США, что Р-47 предложен американцами для пос</w:t>
      </w:r>
      <w:r w:rsidRPr="00C94B78">
        <w:rPr>
          <w:rFonts w:ascii="Times New Roman" w:hAnsi="Times New Roman"/>
          <w:color w:val="0070C0"/>
          <w:sz w:val="16"/>
          <w:szCs w:val="16"/>
        </w:rPr>
        <w:softHyphen/>
        <w:t>тавки в СССР взамен устаревающего Р-40. Поэтому главный инженер ВВС генерал-полковник А.К. Репин попросил у наркома авиационной промышленнос</w:t>
      </w:r>
      <w:r w:rsidRPr="00C94B78">
        <w:rPr>
          <w:rFonts w:ascii="Times New Roman" w:hAnsi="Times New Roman"/>
          <w:color w:val="0070C0"/>
          <w:sz w:val="16"/>
          <w:szCs w:val="16"/>
        </w:rPr>
        <w:softHyphen/>
        <w:t>ти А.И. Шахурина один истребитель для проведения испытаний в НИИ ВВС. 2 де</w:t>
      </w:r>
      <w:r w:rsidRPr="00C94B78">
        <w:rPr>
          <w:rFonts w:ascii="Times New Roman" w:hAnsi="Times New Roman"/>
          <w:color w:val="0070C0"/>
          <w:sz w:val="16"/>
          <w:szCs w:val="16"/>
        </w:rPr>
        <w:softHyphen/>
        <w:t>кабря Шахурин распорядился по прибы</w:t>
      </w:r>
      <w:r w:rsidRPr="00C94B78">
        <w:rPr>
          <w:rFonts w:ascii="Times New Roman" w:hAnsi="Times New Roman"/>
          <w:color w:val="0070C0"/>
          <w:sz w:val="16"/>
          <w:szCs w:val="16"/>
        </w:rPr>
        <w:softHyphen/>
        <w:t>тии сразу перегнать один «Тандерболт» в НИИ ВВС.</w:t>
      </w:r>
    </w:p>
    <w:p w14:paraId="1AD8617B" w14:textId="77777777" w:rsidR="00AA3357" w:rsidRPr="00C94B78" w:rsidRDefault="00AA33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результате для летных испытаний, проходивших практически параллельно, использовали два самолета: один из них летал в ЛИИ (в апреле - мае), дру</w:t>
      </w:r>
      <w:r w:rsidRPr="00C94B78">
        <w:rPr>
          <w:rFonts w:ascii="Times New Roman" w:hAnsi="Times New Roman"/>
          <w:color w:val="0070C0"/>
          <w:sz w:val="16"/>
          <w:szCs w:val="16"/>
        </w:rPr>
        <w:softHyphen/>
        <w:t>гой - в НИИ ВВС (в апреле - июне). По</w:t>
      </w:r>
      <w:r w:rsidRPr="00C94B78">
        <w:rPr>
          <w:rFonts w:ascii="Times New Roman" w:hAnsi="Times New Roman"/>
          <w:color w:val="0070C0"/>
          <w:sz w:val="16"/>
          <w:szCs w:val="16"/>
        </w:rPr>
        <w:softHyphen/>
        <w:t>лученные на них результаты оказались несколько ниже данных, заявленных фирмой «Рипаблик». Так, в НИИ ВВС по</w:t>
      </w:r>
      <w:r w:rsidRPr="00C94B78">
        <w:rPr>
          <w:rFonts w:ascii="Times New Roman" w:hAnsi="Times New Roman"/>
          <w:color w:val="0070C0"/>
          <w:sz w:val="16"/>
          <w:szCs w:val="16"/>
        </w:rPr>
        <w:softHyphen/>
        <w:t>лучили максимальную скорость 661 км/ч и потолок 11 800 м.</w:t>
      </w:r>
    </w:p>
    <w:p w14:paraId="7A205FAF" w14:textId="77777777" w:rsidR="00AA3357" w:rsidRPr="00C94B78" w:rsidRDefault="00AA33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Р-47 оказался устойчив, хорошо вел себя на критических углах атаки, не проявлял большой склонности к сры</w:t>
      </w:r>
      <w:r w:rsidRPr="00C94B78">
        <w:rPr>
          <w:rFonts w:ascii="Times New Roman" w:hAnsi="Times New Roman"/>
          <w:color w:val="0070C0"/>
          <w:sz w:val="16"/>
          <w:szCs w:val="16"/>
        </w:rPr>
        <w:softHyphen/>
        <w:t>ву в штопор. Немалым плюсом стала простота пилотирования, делавшая его вполне доступным среднему летчику военного времени. Кабина истребителя оказалась простой и удобной. Американ</w:t>
      </w:r>
      <w:r w:rsidRPr="00C94B78">
        <w:rPr>
          <w:rFonts w:ascii="Times New Roman" w:hAnsi="Times New Roman"/>
          <w:color w:val="0070C0"/>
          <w:sz w:val="16"/>
          <w:szCs w:val="16"/>
        </w:rPr>
        <w:softHyphen/>
        <w:t>ские конструкторы весьма рационально скомпоновали приборы, оборудование, органы управления. Самолет оснащался отличной радиостанцией. И, наконец, он располагал мощным вооружением - восемь стволов калибра 12,7 мм, а его бомбовая нагрузка была сравнима с советским двухмоторным бомбардиров</w:t>
      </w:r>
      <w:r w:rsidRPr="00C94B78">
        <w:rPr>
          <w:rFonts w:ascii="Times New Roman" w:hAnsi="Times New Roman"/>
          <w:color w:val="0070C0"/>
          <w:sz w:val="16"/>
          <w:szCs w:val="16"/>
        </w:rPr>
        <w:softHyphen/>
        <w:t>щиком Пе-2.</w:t>
      </w:r>
    </w:p>
    <w:p w14:paraId="4703A70C" w14:textId="77777777" w:rsidR="00AA3357" w:rsidRPr="00C94B78" w:rsidRDefault="00AA33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то же время «Тандерболт» оказал</w:t>
      </w:r>
      <w:r w:rsidRPr="00C94B78">
        <w:rPr>
          <w:rFonts w:ascii="Times New Roman" w:hAnsi="Times New Roman"/>
          <w:color w:val="0070C0"/>
          <w:sz w:val="16"/>
          <w:szCs w:val="16"/>
        </w:rPr>
        <w:softHyphen/>
        <w:t>ся довольно неуклюж, намного уступая другим истребителям в показателях го</w:t>
      </w:r>
      <w:r w:rsidRPr="00C94B78">
        <w:rPr>
          <w:rFonts w:ascii="Times New Roman" w:hAnsi="Times New Roman"/>
          <w:color w:val="0070C0"/>
          <w:sz w:val="16"/>
          <w:szCs w:val="16"/>
        </w:rPr>
        <w:softHyphen/>
        <w:t>ризонтального и вертикального маневра. Машина вяло реагировала на работу рулями - сказывались большие разме</w:t>
      </w:r>
      <w:r w:rsidRPr="00C94B78">
        <w:rPr>
          <w:rFonts w:ascii="Times New Roman" w:hAnsi="Times New Roman"/>
          <w:color w:val="0070C0"/>
          <w:sz w:val="16"/>
          <w:szCs w:val="16"/>
        </w:rPr>
        <w:softHyphen/>
        <w:t>ры и вес. Из-за этого же Р-47 медленно разгонялся, демонстрируя непривычную инертность. Эти его особенности своеоб</w:t>
      </w:r>
      <w:r w:rsidRPr="00C94B78">
        <w:rPr>
          <w:rFonts w:ascii="Times New Roman" w:hAnsi="Times New Roman"/>
          <w:color w:val="0070C0"/>
          <w:sz w:val="16"/>
          <w:szCs w:val="16"/>
        </w:rPr>
        <w:softHyphen/>
        <w:t>разно прокомментировал в своих мемуарах известный испытатель М.Л. Галлай, летавший на «Тандерболте» в ЛИИ: «Это - не истребитель! Устойчивый, удобный, с разумно скомпонованной, просторной кабиной, но - не истреби</w:t>
      </w:r>
      <w:r w:rsidRPr="00C94B78">
        <w:rPr>
          <w:rFonts w:ascii="Times New Roman" w:hAnsi="Times New Roman"/>
          <w:color w:val="0070C0"/>
          <w:sz w:val="16"/>
          <w:szCs w:val="16"/>
        </w:rPr>
        <w:softHyphen/>
        <w:t>тель». (34942).</w:t>
      </w:r>
    </w:p>
    <w:p w14:paraId="722C558B" w14:textId="77777777" w:rsidR="00AA3357" w:rsidRPr="00C94B78" w:rsidRDefault="00AA3357" w:rsidP="00B56F90">
      <w:pPr>
        <w:spacing w:after="0" w:line="240" w:lineRule="auto"/>
        <w:jc w:val="both"/>
        <w:rPr>
          <w:rFonts w:ascii="Times New Roman" w:hAnsi="Times New Roman"/>
          <w:color w:val="0070C0"/>
          <w:sz w:val="16"/>
          <w:szCs w:val="16"/>
        </w:rPr>
      </w:pPr>
    </w:p>
    <w:p w14:paraId="0249171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90754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4C0919" w14:textId="77777777" w:rsidR="006E2E37" w:rsidRPr="00070ADE" w:rsidRDefault="006E2E3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20 марта 1944 на ЧКЗ прекращался выпуск Т-34, что расширяло производственные возможности по выпуску самоходок.</w:t>
      </w:r>
    </w:p>
    <w:p w14:paraId="3505D468" w14:textId="77777777" w:rsidR="006E2E37" w:rsidRPr="00070ADE" w:rsidRDefault="006E2E3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Резкий рост объёмов выпуска усложнил работу, но сдавал машины завод вполне ритмично. Одновременно велась перестройка заводского производства: из-за прекращения выпуска Т-34 часть производственного цикла (в частности, рубочный и дефектный участки) была переведена в цех СБ-34. Одновременно в конструкцию САУ продолжали вноситься изменения. Например, правый топливный бак был изменён, что сделало возможной замену кривошипа ленивца (18171).</w:t>
      </w:r>
    </w:p>
    <w:p w14:paraId="3BB268D5" w14:textId="77777777" w:rsidR="006E2E37" w:rsidRPr="00070ADE" w:rsidRDefault="006E2E37" w:rsidP="00B56F90">
      <w:pPr>
        <w:spacing w:after="0" w:line="240" w:lineRule="auto"/>
        <w:jc w:val="both"/>
        <w:rPr>
          <w:rFonts w:ascii="Times New Roman" w:hAnsi="Times New Roman"/>
          <w:color w:val="000000" w:themeColor="text1"/>
          <w:sz w:val="16"/>
          <w:szCs w:val="16"/>
        </w:rPr>
      </w:pPr>
    </w:p>
    <w:p w14:paraId="466C7F0E" w14:textId="77777777" w:rsidR="00E23799" w:rsidRPr="00070ADE" w:rsidRDefault="00E23799"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 xml:space="preserve">20 марта 1944 года заводское КБ з-да 174 представило результат работ по перспективному легкому танку. К этому моменту был проработан корпус и, в теории, ходовая часть. Длина корпуса составила 5450 мм (более чем на полметра больше, чем у Т-50). Ширина оказалось больше всего на 10 см, а высота – на 3 см. Для установки башни с большим диаметром погона (1660 мм — больше, чем у Т-34–85) борта корпуса изготовлялись из двух частей. Несмотря на существенные отличия от Т-50, в конструкции корпуса была явно заметна конструкторская школа завода №174. Что же касается ходовой части, то здесь больше прослеживалось влияние </w:t>
      </w:r>
      <w:r w:rsidRPr="00070ADE">
        <w:rPr>
          <w:rFonts w:ascii="Times New Roman" w:eastAsia="Times New Roman" w:hAnsi="Times New Roman"/>
          <w:color w:val="000000" w:themeColor="text1"/>
          <w:sz w:val="16"/>
          <w:szCs w:val="16"/>
          <w:lang w:eastAsia="ru-RU"/>
        </w:rPr>
        <w:lastRenderedPageBreak/>
        <w:t>завода №185. Вместо индивидуальной торсионной подвески катки предполагалось блокировать в тележки, по два катка на каждой, а вот сама тележка устанавливалась на торсионной подвеске. Похожая схема (но с пружинной подвеской) предполагалась изначально на тяжелом танке Т-100 разработки завода №185.</w:t>
      </w:r>
    </w:p>
    <w:p w14:paraId="4B532775" w14:textId="77777777" w:rsidR="00E23799" w:rsidRPr="00070ADE" w:rsidRDefault="00E23799"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Предполагалось использовать один из двух типов моторов: либо В-4, либо перспективный 8-цилиндровый двигатель В-20. Согласно проекту, при 1750 об/мин он должен был развивать мощность 300 л.с.. Также предполагался форсированный вариант мотора, максимальная мощность которого оценивалась в 400–450 л.с. На выбор предлагались и трансмиссии. Базовой коробкой была обычная механическая с шестью передачами вперед и двумя назад. В качестве альтернативы разрабатывалась 6-скоростная планетарная коробка передач с электромагнитным управлением. Коробку предполагалось группировать с механизмом поворота по типу танка ИС. Прорабатывались также 2 варианта планетарного механизма поворота. Планировалось изготовить 2 опытных образца танка, отличающихся друг от друга трансмиссиями/</w:t>
      </w:r>
    </w:p>
    <w:p w14:paraId="501D9882" w14:textId="77777777" w:rsidR="00E23799" w:rsidRPr="00070ADE" w:rsidRDefault="00E23799"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Но к моменту, когда проектирование корпуса и ходовой части закончилось, аппетиты ГАБТУ КА выросли. Бронирование лобового листа корпуса в 75 мм заказчика уже не устраивало. Согласно правкам, новый легкий танк должен был получить лобовой листа корпуса толщиной в 90 мм, такую же толщину должны были иметь и верхние бортовые листы. Толщина лба башни сначала увеличилась до 90 мм, но в последующих правках появилась цифра в… 200 мм! Борта башни «потолстели» с 60 до 90 мм. При этом масса проектируемого танка достигла 22 тонн.</w:t>
      </w:r>
    </w:p>
    <w:p w14:paraId="1A708760" w14:textId="77777777" w:rsidR="00E23799" w:rsidRPr="00070ADE" w:rsidRDefault="00E23799"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Не устраивало ГАБТУ и вооружение: вместо С-54, которую забросили в конце 1943 года, танк предполагалось вооружить 85-мм пушкой Д-5Т. Кроме того, танк должен был оснащаться зенитным пулеметом ГВГ, позже замененным на ДШК. В итоге к концу марта 1944 года на горизонте замаячил проект, который иначе, как легким танком тяжелого бронирования и не назвать. Для сравнения: 90 мм катаный лобовой лист предполагался для тяжелого танка ИС-2, на дальних дистанциях он не пробивался 88-мм пушкой Pak 43. Именно с таким названием (ЛТТБ, «легкий танк тяжелого бронирования») эта машина и попала в World of Tanks, поскольку никаких индексов потенциальному изделию не присвоили (17639).</w:t>
      </w:r>
    </w:p>
    <w:p w14:paraId="6A0620AD" w14:textId="77777777" w:rsidR="00E23799" w:rsidRPr="00070ADE" w:rsidRDefault="00E23799" w:rsidP="00B56F90">
      <w:pPr>
        <w:pStyle w:val="123"/>
        <w:shd w:val="clear" w:color="auto" w:fill="auto"/>
        <w:spacing w:after="0" w:line="240" w:lineRule="auto"/>
        <w:jc w:val="both"/>
        <w:rPr>
          <w:color w:val="000000" w:themeColor="text1"/>
          <w:sz w:val="16"/>
          <w:szCs w:val="16"/>
        </w:rPr>
      </w:pPr>
    </w:p>
    <w:p w14:paraId="08206C89" w14:textId="77777777" w:rsidR="00E23799" w:rsidRPr="00070ADE" w:rsidRDefault="00E23799"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val="en-US" w:eastAsia="ru-RU"/>
        </w:rPr>
        <w:t>C</w:t>
      </w:r>
      <w:r w:rsidRPr="00070ADE">
        <w:rPr>
          <w:rFonts w:ascii="Times New Roman" w:eastAsia="Times New Roman" w:hAnsi="Times New Roman"/>
          <w:color w:val="000000" w:themeColor="text1"/>
          <w:sz w:val="16"/>
          <w:szCs w:val="16"/>
          <w:lang w:eastAsia="ru-RU"/>
        </w:rPr>
        <w:t xml:space="preserve"> 20 марта 1944 года после докладной записки никаких новостей с завода №174 не поступало. Связано это было, в том числе, и с тем, что разработка нового легкого танка шла в свободное от остальной работы время. Весной 1944 года этого времени практически не осталось. Работа КБ сконцентрировалась на Т-34–85, и тут уже было не до легких танков. К тому же в апреле 1944 года СКБ-75 фактически забросило работы по двигателю В-20. ГАБТУ КА пыталось найти возможность возобновить работы в другом месте, но безуспешно. Ничем на тот момент закончилась и попытка возобновить производство В-4. Нет двигателя – нет танка.</w:t>
      </w:r>
    </w:p>
    <w:p w14:paraId="5EF07585" w14:textId="77777777" w:rsidR="00E23799" w:rsidRPr="00070ADE" w:rsidRDefault="00E23799"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На этом можно было бы ставить точку в этой истории, но не все так просто. В июле 1945 года с санкции ГАБТУ КА провели научную работу по изучения вопроса усиления бронирования Т-50. Грубый математический подсчет показывал, что при увеличении массы до 24 тонн танк получал бронирование, адекватное тяжелому танку ИС-2. При этом его башня, согласно описанию, по своей форме должна была напоминать башню ИС-3. А вот дальше начинается самое интересное. В это же время в документах появляется некий легкий танк под индексом Т-64. Никаких изображений этой машины нет. Есть только описание, но и оно поражает воображение. По задумке, 26-тонная машина должна была иметь толщину верхнего лобового листа 45 мм, но под углом наклона всего в 8 градусов. Толщина литой лобовой детали и вовсе зашкаливает – 200 мм! Толщина бортов корпуса оценивались в 150 мм, а кормы — в 75 мм. Толщина башни оценивалась в 220 мм. И это уже получался настоящий «легкий танк сверхтяжелого бронирования».</w:t>
      </w:r>
    </w:p>
    <w:p w14:paraId="49D96088" w14:textId="77777777" w:rsidR="00E23799" w:rsidRPr="00070ADE" w:rsidRDefault="00E23799"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Можно предположить, что эти наброски не более, чем грубый математический подсчет, и никаких серьезных работ на этом направлении не велось. Но это не так. На той же базе предполагалось делать и самоходные установки. Эти самые установки фигурируют в перспективных планах по вооружению РККА, датированных октябрем 1945 года. Первой такой машиной должна была стать САУ, вооруженная 100-мм пушкой и с бронезащитой, гарантирующей непробитие 75-мм немецкой пушкой со всех дистанций. Судя по всему, речь велась о 7.5 cm KwK 42 L/70, которая устанавливалась на «Пантере» и истребителе Panzer IV/70. Можно было бы предположить, что в описании речь идет о СУ-101 (Уралмаш-1), но боевая масса самохода оценивалась в 25 тонн, что на 10 тонн легче свердловской машины. Второй самоход должен был иметь массу 20 тонн и оснащаться 122-мм гаубицей. В планах по развитию самоходной артиллерии на 1946–50 годы ответственным за эти самоходы назначался завод №40 (ныне ММЗ, г. Мытищи). Первые 50 САУ обоих типов планировалось получить в 1947 году (17639).</w:t>
      </w:r>
    </w:p>
    <w:p w14:paraId="33592CDB" w14:textId="77777777" w:rsidR="00E23799" w:rsidRPr="00070ADE" w:rsidRDefault="00E23799" w:rsidP="00B56F90">
      <w:pPr>
        <w:pStyle w:val="123"/>
        <w:shd w:val="clear" w:color="auto" w:fill="auto"/>
        <w:spacing w:after="0" w:line="240" w:lineRule="auto"/>
        <w:jc w:val="both"/>
        <w:rPr>
          <w:color w:val="000000" w:themeColor="text1"/>
          <w:sz w:val="16"/>
          <w:szCs w:val="16"/>
        </w:rPr>
      </w:pPr>
    </w:p>
    <w:p w14:paraId="6F8AA63D" w14:textId="77777777" w:rsidR="00AA3357" w:rsidRPr="00070ADE" w:rsidRDefault="00AA33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года GMC T70 с серийным номером 446 и регистрационным номером U.S.A. 40108549, изготовленная в ноябре 1943 года, прибыла на полигон вместе с большим объемом документации. Это облегчило изучение "самоходной установки Т-70", как она проходила в переписке. Машина вызвала немалый интерес, поскольку она принципиально отличалась от того, что ранее присылалось американцами. Чего стоит система с быстрым демонтажем мотора и трансмиссионного блока. GMC T70 отличалась низким, по американским меркам, силуэтом, имелось у нее и сдвоенное управление, которое внедрили начиная с Light Tank M5A1. Интерес вызвала и торсионная подвеска.</w:t>
      </w:r>
    </w:p>
    <w:p w14:paraId="351853CB" w14:textId="77777777" w:rsidR="00AA3357" w:rsidRPr="00070ADE" w:rsidRDefault="00AA33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Отдельно изучалось боевое отделение. Следует отметить, что в 1940-42 годах ГАБТУ КА и ГАУ КА предполагали разработку истребителей танков с вращающимися башнями, открытыми сверху. Примерным аналогом GMC M18 в Красной Армии должна была стать СУ-51, истребитель танков на базе Т-50 с 57-мм пушкой ЗИС-4. Но дальше проектов дело не продвинулось, американцы же довели данную идею до совершенства. Впрочем, чудес не бывает, и за любые технические решения приходится платить. В виду небольших габаритов машины боекомплект был небольшим - 45 унитаров. У немецкого Marder он оказался еще меньше, но машины эти не строились с нуля. У СУ-76М боекомплект был на четверть больше - 60 унитаров. Имелись претензии к обзорности, а смотровыми приборами был обеспечен только наводчик, у него же оказалось и наиболее удобное размещение. К местам наводчика и командира имелся ряд претензий. Заряжающему было неудобно работать, а командир и вовсе стоял, выполняя функции скорее пулеметчика, чем свои прямые обязанности. Место командира у нас и вовсе признали опасным. К слову, до того на НИБТ Полигоне испытали GMC M10, и ее боевое отделение признали удобным для работы.</w:t>
      </w:r>
    </w:p>
    <w:p w14:paraId="0153604D" w14:textId="77777777" w:rsidR="00AA3357" w:rsidRPr="00070ADE" w:rsidRDefault="00AA33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Больше всего вопросов, впрочем, вызвали ходовые испытания машины. Всего до 8 мая 1944 года GMC T70 прошла 1048 километров, из них 172 по булыжному шоссе, 214 по асфальтовому шоссе, 530 по проселку и 132 по снежной целине. Для начала, до паспортной максимальной скорости машина так и не разогналась. По итогам четырех тесовых заездов максимальную скорость определили в 75,6 км/ч, вместо паспортных 80 км/ч. Обычно у американских боевых машин реальная максималка была выше паспортных данных, что уже намекает. Дальнейшие испытания показали, что средние скорости по асфальтовому шоссе достигали 47,6 км/ч, а по булыжному шоссе - 38,4 км/ч. Разогнаться можно было и выше, но на скоростях 60–70 км/ч машину начинало заносить.</w:t>
      </w:r>
    </w:p>
    <w:p w14:paraId="76A21D5F" w14:textId="77777777" w:rsidR="00AA3357" w:rsidRPr="00070ADE" w:rsidRDefault="00AA33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движении на скоростях 50 км/ч и выше испытатели жаловались на работу дифференциала, который не обеспечивал достаточную устойчивость машины. Еще одним недостатком дифференциала назвали большой радиус поворота, составивший 12,3 метров. Также испытатели обратили внимание на то, что передаточные числа КПП настроены на эксплуатацию в хороших дорожных условиях. Кроме того, расход топлива оказался очень высоким для машины такого класса - 203 литра на 100 километров. Положительным моментом отмечалась работа подвески, которая оказалась очень плавной. Лестных отзывов удостоилась и ходовая часть в целом. Достаточно сказать, что не было ни единого случая спадания гусениц, за что спасибо системе постоянного натяжения гусеничных лент.</w:t>
      </w:r>
    </w:p>
    <w:p w14:paraId="444DB694" w14:textId="77777777" w:rsidR="00AA3357" w:rsidRPr="00070ADE" w:rsidRDefault="00AA33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Гораздо хуже ситуация оказалась на проселке. Средняя скорость движения снижалась до 23,8 км/ч, это хуже, чем у любого другой американской гусеничной боевой машины легкого класса. Естественно, надо делать поправку на сложные дорожные условия, но и американские легкие танки ездили совсем не летом. При этом расход топлива оказался каким-то запредельным - 357 литров бензина и 11,3 литров масла на 100 километров пути. Ехать при этом приходилось на 2-й передаче, а при переходе на 3-ю движение лимитировалось недостаточным крутящим моментом, передаваемым гидротрансформатором. Ехала машина откровенно плохо. Согласно отчету, движение по проселочной дороге с глубокими выбоинами и неукатанным грунтом было невозможно. Винили во всём гидротрансформатор, но на самом деле проблема была в другом. Ровно тот же кактус жрали и американские военные, когда GMC T70 вышли на войсковые испытания. Проблема оказалась в плохой настройке коробки передач, а это общий привет американскому Истребительному командованию.</w:t>
      </w:r>
    </w:p>
    <w:p w14:paraId="746234E3" w14:textId="77777777" w:rsidR="00AA3357" w:rsidRPr="00070ADE" w:rsidRDefault="00AA33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Наиболее показательными оказались заезды по заснеженной целине и специспытания. На 100 километров пути требовалось 708 литров бензина и 20,2 литров масла. Причиной столь высокой прожорливости стало то, что двигатель работал на постоянных оборотах, соответствующих максимальной мощности. Гидротрансформатор на бездорожье автоматически менял передаточное отношение, при этом обороты двигателя оставались прежними. На подъёмах предельным углом оказался 18 градусов, причем проблема была в тяге мотора. Опять же, винили гидротрансформатор, но на самом деле проблема была в другом. Имелись проблемы и со сцеплением гусеничных лент с грунтом. Зато максимальная глубина преодолеваемого брода составила 1,55 метра, вполне достойный результат для такой машины.</w:t>
      </w:r>
    </w:p>
    <w:p w14:paraId="7693E298" w14:textId="77777777" w:rsidR="00AA3357" w:rsidRPr="00070ADE" w:rsidRDefault="00AA33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итогам испытаний GMC T70 забраковали. Выводы оказались предельно простыми - "автострадная" машина с откровенно слабой бронёй. Даже для САУ такого класса защита была недостаточной. Естественно, ни о каких поставок крупной серии по программе ленд-лиза не было и речи. При этом до истинной причины таких проблем с трансмиссионной группой докопались уже к 1946 году. До того главным обвиняемым считался гидротрансформатор, но уже в 1945 году мнение поменяли. Heavy Tank T26E3, с похожим гидротрансформатором, вполне успешно прошел ходовые испытания. Далее, в ходе изучения машины, докопались и до проблем с передаточными отношениями планетарной коробки передач. Об этом прямо говорится в материале инженера А.Б. Астрахана, который был опубликован в "Вестнике Танковой Промышленности" за июль-август 1946 года.</w:t>
      </w:r>
    </w:p>
    <w:p w14:paraId="2268E46C" w14:textId="77777777" w:rsidR="00AA3357" w:rsidRPr="00070ADE" w:rsidRDefault="00AA33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Вместе с тем, машина состояла не только из недостатков. С точки зрения вооружения GMC T70 показала себя хорошо. Надо сказать, что испытания стрельбой затянулись, поскольку поначалу имелась проблема с поставкой боеприпасов. При стрельбе ориентировались на данные СУ-76М, и тут американская машина явно превзошла советскую. Это касалось и стрельбы с места, и с коротких остановок. Стрельба с коротких остановок дала отличные результаты – 10 попаданий из 10. Совсем иная картина складывалась при стрельбе с хода. На дистанции 1000–700 метров из 8 выстрелов ни один не попал по цели, то же самое случилось и в ходе второй попытки. Наконец, исследование скорострельности показало следующие результаты: прицельная скорострельность САУ составила 7,7–9,7 выстрелов в минуту, максимальная – 11,4 выстрела в минуту.</w:t>
      </w:r>
    </w:p>
    <w:p w14:paraId="2D0FB8CF" w14:textId="77777777" w:rsidR="00AA3357" w:rsidRPr="00070ADE" w:rsidRDefault="00AA33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Далее GMC T70 использовалась в "расстрельной команде" при испытаниях немецких боевых машин на НИБТ Полигоне. В частности, именно эта машина обстреливала Pz.Kpfw.Tiger Ausf.B, захваченный в августе 1944 года. 76-мм орудие M1A1 уверенно пробивало бортовую броню немецкого танка на дистанции до 1500 метров. Подкрылок танка был пробит на дистанции в 2000 метров, борт с того же расстояния пробить не удалось, но образовалась глубокая вмятина с трещинами. Одним словом, даже с таким грозным противником GMC T70 вполне могла справиться, ведя фланговый огонь. Другой вопрос, что имелся ряд других проблем. А еще та же самая пушка ставилась на Medium Tank M4A2(76)W, которые осенью 1944 года массово пошли в Красную Армию. (23350).</w:t>
      </w:r>
    </w:p>
    <w:p w14:paraId="4F31B22B" w14:textId="77777777" w:rsidR="00AA3357" w:rsidRPr="00070ADE" w:rsidRDefault="00AA3357" w:rsidP="00B56F90">
      <w:pPr>
        <w:spacing w:after="0" w:line="240" w:lineRule="auto"/>
        <w:jc w:val="both"/>
        <w:rPr>
          <w:rFonts w:ascii="Times New Roman" w:hAnsi="Times New Roman"/>
          <w:color w:val="000000" w:themeColor="text1"/>
          <w:sz w:val="16"/>
          <w:szCs w:val="16"/>
        </w:rPr>
      </w:pPr>
    </w:p>
    <w:p w14:paraId="7F1A93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Распоряжение ГКО № 5413. О мобилизации на торфоразработки вместо сельского населения 2 тыс. служащих Москвы. РГАНИР, Фонд ГКО, д. 219, лл. 73 (11012).</w:t>
      </w:r>
    </w:p>
    <w:p w14:paraId="398CA8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42E9B7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Распоряжение ГКО № 5415. О выделении 3,5 тыс. военнослужащих, не годных к строевой службе, на строительство вольфрамовых и молибденовых предприятий Читинской обл. РГАНИР, Фонд ГКО, д. 219, лл. 75 (11012).</w:t>
      </w:r>
    </w:p>
    <w:p w14:paraId="6B0F99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08DDD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Распоряжение ГКО № 5416. О снятии взыскания с директора завода № 200 НКТП Щербакова. РГАНИР, Фонд ГКО, д. 219, лл. 76 (11012).</w:t>
      </w:r>
    </w:p>
    <w:p w14:paraId="6D7145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D8E77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Распоряжение ГКО № 5417. О продлении до 20 апреля 1944 г. срока работы мобилизованных на лесозаготовки для Белорецкого металлургического комбината НКЧМ в Башкирии. РГАНИР, Фонд ГКО, д. 219, лл. 77 (11012).</w:t>
      </w:r>
    </w:p>
    <w:p w14:paraId="4D866B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8D40E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Распоряжение ГКО № 5418. Об освобождении 1 тыс. проверенных окруженцев из спецлагеря на строительстве Северо-Уральских бокситовых рудников и передаче их тресту "Бокситострой" и на Северо-Уральские бокситовые рудники НКЦМ. РГАНИР, Фонд ГКО, д. 219, лл. 78 (11012).</w:t>
      </w:r>
    </w:p>
    <w:p w14:paraId="3A37D0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A4628E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Распоряжение ГКО № 5419. О сроках восстановления ротора турбин 50 тыс. квт Зуевской ГРЭС и перевозке ротора турбины и ротора генератора в Донбасс. РГАНИР, Фонд ГКО, д. 219, лл. 79 (11012).</w:t>
      </w:r>
    </w:p>
    <w:p w14:paraId="409CB3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6A250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Распоряжение ГКО № 5420. О техническом водоснабжении Бакинского трубопрокатного завода НКЧМ. РГАНИР, Фонд ГКО, д. 219, лл. 80 (11012).</w:t>
      </w:r>
    </w:p>
    <w:p w14:paraId="2C014F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95EB1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Распоряжение ГКО № 5421. О мерах по обеспечению восстанавливаемых заводов и строек черной металлургии мягкой кровлей. РГАНИР, Фонд ГКО, д. 219, лл. 81 (11012).</w:t>
      </w:r>
    </w:p>
    <w:p w14:paraId="50BA3F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42973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Постановление ГКО № 5422 О распространении на Наркомат станкостроения постановления ГОКО № 5034 от 27.1.1944 г. "О порядке обязательного перевода рабочих 4 и 5-го разрядов с одних предприятий Hаркомата боеприпасов на другие". РГАНИР, Фонд ГКО, д. 219, лл. 82 (11012).</w:t>
      </w:r>
    </w:p>
    <w:p w14:paraId="153014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09E2D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Распоряжение ГКО № 5423. О доработке и новых полигонных испытаниях дистанционных тахометров для ГБТУ КА. РГАНИР, Фонд ГКО, д. 219, лл. 83 (11012).</w:t>
      </w:r>
    </w:p>
    <w:p w14:paraId="7F4EA83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7985B7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Постановление ГКО № 5424 О мерах неотложной помощи по обеспечению бесперебойной работы Златоустовского металлургического завода им. Сталина Наркомчермета. (7199, 84-92,93-98).</w:t>
      </w:r>
    </w:p>
    <w:p w14:paraId="7AF9A61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65B39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Постановление ГКО № 5425 О проектировании и изготовлении в НИИ-20 Наркомэлектропрома образцов и опытных серий радиолокационных станций для авиации и Военно-Морского Флота. (7199, 99-104,105-113).</w:t>
      </w:r>
    </w:p>
    <w:p w14:paraId="16A7B62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0380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Постановление ГКО № 5426 Об изготовлении в 1944 году специального оборудования, инструмента и приспособлений для подвижных снаряжательных мастерских Главного артиллерийского управления Красной Армии и Артиллерийского управления Военно-Морского Флота. РГАНИР, Фонд ГКО, д. 219, лл. 114-135 (11012).</w:t>
      </w:r>
    </w:p>
    <w:p w14:paraId="1071571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727220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Постановление ГКО № 5427 О восстановлении первой очереди Киевской ТЭЦ № 3 Д 219, лл. 136-139,140-155 (11012).</w:t>
      </w:r>
    </w:p>
    <w:p w14:paraId="6350B5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A48B1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Постановление ГКО № 5428 О неотложных мерах помощи электростанциям Ивановской области по обеспечению топливом. РГАНИР, Фонд ГКО, д. 219, лл. 156-158 (11012).</w:t>
      </w:r>
    </w:p>
    <w:p w14:paraId="41C6BE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09095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Постановление ГКО № 5429 О мероприятиях по обеспечению производства художественных кинокартин в 1944 году. РГАНИР, Фонд ГКО, д. 219, лл. 159-162,163-166 (11012).</w:t>
      </w:r>
    </w:p>
    <w:p w14:paraId="45B7DFD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A1375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Постановление ГКО № 5430 О мерах по увеличению производства электротехнического фарфора на заводе № 674 Наркомата электропромышленности. РГАНИР, Фонд ГКО, д. 219, лл. 167-170,171-173 (11012).</w:t>
      </w:r>
    </w:p>
    <w:p w14:paraId="178ADE9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58ACE6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Постановление ГКО № 5430 О мерах по увеличению производства электротехнического фарфора на заводе № 674 Наркомата электропромышленности. (7199, 167-170,171-173).</w:t>
      </w:r>
    </w:p>
    <w:p w14:paraId="791C328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CC71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Распоряжение ГКО № 5431. О расширении сети баз по сортировке, ремонту и отгрузке возвращаемой с фронтов спецукупорки. РГАНИР, Фонд ГКО, д. 219, лл. 174 (11012).</w:t>
      </w:r>
    </w:p>
    <w:p w14:paraId="431F25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CE1973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Распоряжение ГКО № 5432 О мерах неотложной помощи строительству Фархадской ГЭС для пропуска весенне-летнего паводка 1944 г. (7199, 175-176).</w:t>
      </w:r>
    </w:p>
    <w:p w14:paraId="15732CD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8B0F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Постановление ГКО № 5433 Об оказании неотложной помощи Балахнинскому и Марийскому бумкомбинатам Наркомбумпрома . РГАНИР, Фонд ГКО, д. 219, лл. 177-179 (11012).</w:t>
      </w:r>
    </w:p>
    <w:p w14:paraId="37EC65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2F086B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Распоряжение ГКО № 5434 [О мерах по удовлетворению возросшей потребности КА и освобожденных районов в средствах междугородней телефонной связи.] (7199, 180-182,183-184).</w:t>
      </w:r>
    </w:p>
    <w:p w14:paraId="606D119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49AC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Постановление ГКО № 5435 О выделении рабочей силы для центральных артиллерийских баз, складов, арсеналов, полигонов и тракторных ремонтных заводов ГАУ КА. РГАНИР, Фонд ГКО, д. 219, лл. 185,186-188 (11012).</w:t>
      </w:r>
    </w:p>
    <w:p w14:paraId="4C7ABD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BC508C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Распоряжение ГКО № 5437 [О передаче из КА 50 автомашин ГАЗ-АА, требующих капитального ремонта, Ворошиловградскому облисполкому.] (7199, 190).</w:t>
      </w:r>
    </w:p>
    <w:p w14:paraId="70EEB15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16BB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Распоряжение ГКО № 5438. О составе комиссии по рассмотрению предложений Наркомата станкостроения "О неотложных мероприятиях по развороту кузнечно-прессового машиностроения в СССР". РГАНИР, Фонд ГКО, д. 219, лл. 191 (11012).</w:t>
      </w:r>
    </w:p>
    <w:p w14:paraId="532746E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4D8DF5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Постановление ГКО № 5439 О производстве на заводе № 678 Наркомэлектропрома артиллерийских радиолокационных станций и мощных радиопередатчиков. (7199, 192-195,196-203).</w:t>
      </w:r>
    </w:p>
    <w:p w14:paraId="2EFD065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E9FD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г. вышло постановление ГКО № 5439 о производстве на заводе № 678 НКЭП (Завод № 678 НКЭП /г. Ленинград/) артиллерийских РЛС и мощных радиопередатчиков. 6.08.1944 г. вышло постановление ГКО № 6328 об обеспечении строительства завода.</w:t>
      </w:r>
    </w:p>
    <w:p w14:paraId="1AC1DB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ЦКБ-678 /г. Ленинград/</w:t>
      </w:r>
    </w:p>
    <w:p w14:paraId="1A1A42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антенна для станции дальней связи с КА (1960-е) (11982).</w:t>
      </w:r>
    </w:p>
    <w:p w14:paraId="7C6AB2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4605AB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Постановление ГКО № 5441 О материально-техническом обеспечении строительства Михайловского содового комбината. РГАНИР, Фонд ГКО, д. 219, лл. 212-213,214-216 (11012).</w:t>
      </w:r>
    </w:p>
    <w:p w14:paraId="1F83EB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2E204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Распоряжение ГКО № 5442. О поставках лесоматериалов на восстановление СТЗ. РГАНИР, Фонд ГКО, д. 219, лл. 217 (11012).</w:t>
      </w:r>
    </w:p>
    <w:p w14:paraId="53C047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296CCD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Постановление ГКО № 5443 Об организации производства высоковольтной коммутационной аппаратуры на заводах Наркомэлектропрома в 1944 г. (7199, 218-221,222-235).</w:t>
      </w:r>
    </w:p>
    <w:p w14:paraId="3E3E223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B348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Распоряжение ГКО № 5444. О передаче под охрану войск НКВД Владивостокского, Красноводского и Бакинского портов. РГАНИР, Фонд ГКО, д. 219, лл. 236 (11012).</w:t>
      </w:r>
    </w:p>
    <w:p w14:paraId="2903BD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F8786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На Балтийском заводе спущен на воду с железнодорожной платформы с помощью крана 11-й стотонник типа МТ-1. Завершен ремонт ПЛ М-90, 49 КТЩ типа КМ-4, 2 МО, 6 МБК, 6 БМО, 12 ТК типа Д-3 и др (10671).</w:t>
      </w:r>
    </w:p>
    <w:p w14:paraId="5D3CA6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ABBA2E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B666C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618917"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 марта</w:t>
      </w:r>
      <w:r w:rsidRPr="00070ADE">
        <w:rPr>
          <w:rFonts w:ascii="Times New Roman" w:hAnsi="Times New Roman"/>
          <w:color w:val="000000" w:themeColor="text1"/>
          <w:sz w:val="16"/>
          <w:szCs w:val="16"/>
        </w:rPr>
        <w:t xml:space="preserve"> в 1944 году оперативная сводка Совинформбюро:</w:t>
      </w:r>
    </w:p>
    <w:p w14:paraId="7FD5312F"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20 марта юго-западнее и южнее города Дубно наши войска, продолжая наступление, овладели районным центром Ровенской области городом Червоноармейск (Радзивилов), а также с боями заняли более 50 других населённых пунктов, среди которых крупные населённые пункты Вербень, Остров, Мытница, Королувка, Корсув, Лешнюв, Шныров, Турья, Бережце, Лосятын, Ледухов, Новые Залосцы и железнодорожные станции Смыга, Радзивилов.</w:t>
      </w:r>
    </w:p>
    <w:p w14:paraId="30CCE5C4"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20 марта в результате штурма и обходного манёвра с флангов овладели областным и крупным промышленным центром Украины городом Винница, превращённым немцами в мощный опорный пункт обороны на Южном Буге, а также с боями заняли более 30 других населённых пунктов, в том числе районный центр Винницкой области город Литин и крупные населённые пункты Погорелое, Дьяковцы, Литинка, Кулыга, Сосны, Селище, Балын, Пеньковка, Майдан Супруновский.</w:t>
      </w:r>
    </w:p>
    <w:p w14:paraId="3F975643"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в результате стремительного манёвра танковых соединений и пехоты вчера, 19 марта, овладели городом Могилёв-Подольский —крупным железнодорожным узлом и важным опорным пунктом обороны немцев на Днестре.</w:t>
      </w:r>
    </w:p>
    <w:p w14:paraId="2BD51BD0"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20 марта войска 2-го Украинского фронта продолжали вести успешныебои по расширению плацдармов, захваченных на правом берегу Днестра.</w:t>
      </w:r>
    </w:p>
    <w:p w14:paraId="2998BB61"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Ново-Украинка наши войска продолжали вестинаступательные бои, в ходе которых заняли несколько населённых пунктов и срединих Долгая Пристань, Токаровка, Ново-Павловка, Обуховка, Сергеевка ижелезнодорожные станции Шайторово, Людмиловка.</w:t>
      </w:r>
    </w:p>
    <w:p w14:paraId="63593048"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Бобринец наши войска, продолжая наступление, с боями заняли более 30 населённых пунктов, в том числе Озериновка, Ворошиловка, Большая Сербуловка, Большое Солоное, Петропавловка.</w:t>
      </w:r>
    </w:p>
    <w:p w14:paraId="6F9E3543"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в ряде пунктов шли бои местного значения.</w:t>
      </w:r>
    </w:p>
    <w:p w14:paraId="236E35E4"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19 марта наши войска на всех фронтах подбили и уничтожили 50немецких танков. В воздушных боях и огнём зенитной артиллерии сбит 61 самолёт противника.</w:t>
      </w:r>
    </w:p>
    <w:p w14:paraId="56162AB1"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немецкое радио передало сообщение о том, что советские самолёты якобы бомбардировали Хельсинки 19 марта. Совинформбюро может с полным основанием заявить, что это немецкое сообщение является ложным.</w:t>
      </w:r>
    </w:p>
    <w:p w14:paraId="2B70B15A"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Дубно наши войска, продолжая наступление, вышли к городу Червоноармейск (Радзивилов) и завязали бои на его окраинах. Сосредоточенными ударами с разных направлений советские бойцы сломили сопротивление немцев и овладели городом. Захвачены склады с боеприпасами, продовольствием и военным имуществом. На другом участке части Н-ского соединения разгромили полк пехоты противника, только-что прибывший на фронт. На поле боя осталось свыше 1.200 вражеских трупов. Захвачено 31 орудие, 70 пулемётов, 16 миномётов и 30 автомашин. Взяты пленные.</w:t>
      </w:r>
    </w:p>
    <w:p w14:paraId="1D509680"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стремительным ударом ворвались в южную часть города Винница, а затем овладели железнодорожной станцией и восточной окраиной Винницы. После ожесточённых уличных боёв немцы поспешно отступили за Южный Буг, взорвали за собой мосты и закрепились в заречной, западной части города. Заняв выгодные позиции, противник рассчитывал, что ему удастся надолго удержать за собою эту часть города. Однако гитлеровцы просчитались. Советские войска форсировали Южный Буг северо-западнее Винницы и, совершив обходный манёвр, овладели Слободой Стрижавской. Немцы, ожидавшие главного удара с севера, сосредоточили здесь свои основные силы и огневые средства. Вчера ночью части Н-ского соединения быстро и неожиданно для врага переправились через реку Южный Буг и ворвались в город с юга. Противник был застигнут врасплох. Сегодня войска1-го Украинского фронта полностью овладели областным и крупным промышленным центром Украины городом Винница. Многочисленный немецкий гарнизон почти полностью уничтожен. Лишь небольшая группа гитлеровцев бежала и преследуется нашими подвижными отрядами. В Виннице захвачены большие трофеи.</w:t>
      </w:r>
    </w:p>
    <w:p w14:paraId="37AA66F2"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продолжали наступление. Советские пехотинцы и танкисты в результате стремительного манёвра вчера овладели городом и крупным железнодорожным узлом Могилёв-Подольский. Наши войска захватили у немцев много вооружения и огромное количество военных материалов. Сегодня войска 2-го Украинского фронта продолжали вести успешные бои по расширению плацдармов на правом берегу Днестра. На одном участке противник ввёл в бой две румынские пехотные дивизии. Военнопленные сообщают, что румынским дивизиям было приказано удерживать позиции на берегу Днестра и прикрыть отход разбитых войск противника. Под ударами наших войск это прикрытие было опрокинуто. Взято большое число пленных.</w:t>
      </w:r>
    </w:p>
    <w:p w14:paraId="1F3C1F78"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Ново-Украинка бойцы Н-ского соединения, преодолевая сопротивление противника, заняли ряд населённых пунктов. Около деревни Ивановка, Ольшанского района, Одесской области, противник укрепился на заранее подготовленном рубеже. Первую линию траншей занимали румыны. Советские бойцы вчера вечером атаковали румын, и они в беспорядке отступили. Сегодня наши части нанесли противнику ещё один удар и захватили вторую оборонительную линию. В противотанковом рву обнаружено 170 трупов румынских солдат и офицеров. Все они убиты выстрелом в затылок. По показаниям пленных, немцы расстреляли румын за то, что они оставили первую линию траншей.</w:t>
      </w:r>
    </w:p>
    <w:p w14:paraId="608FF1FE"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Бобринец части Н-ского соединения переправились через реку Мертвовод и заняли несколько населённых пунктов на её западном берегу. Противник оставил на поле боя до 800 трупов своих солдат и офицеров. Захвачено у немцев 130 орудий (в большинстве неисправных), 200 автомашин, много боеприпасов и два больших склада с зерном.</w:t>
      </w:r>
    </w:p>
    <w:p w14:paraId="0D438E58"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Воздушной разведкой Черноморского флота был обнаружен следовавший в Крым караван противника в составе трёх транспортов, пяти самоходных барж, восьми быстроходных десантных барж и восьми сторожевых катеров. В течение дня авиация флота нанесла три последовательных удара по этому каравану и потопила одиннадцать судов противника, в том числе один транспорт.</w:t>
      </w:r>
    </w:p>
    <w:p w14:paraId="73B87D1D"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Белорусский партизанский отряд, действующий в Минской области, в марте разгромил немецкие гарнизоны в восьми населённых пунктах. Советские патриоты уничтожили свыше 200 гитлеровцев. В течение месяца партизаны пустили под откос 10 немецких воинских эшелонов.» (15074).</w:t>
      </w:r>
    </w:p>
    <w:p w14:paraId="07A4B5C1" w14:textId="77777777" w:rsidR="00EB5859" w:rsidRPr="00070ADE" w:rsidRDefault="00EB5859" w:rsidP="00B56F90">
      <w:pPr>
        <w:spacing w:after="0" w:line="240" w:lineRule="auto"/>
        <w:jc w:val="both"/>
        <w:rPr>
          <w:rFonts w:ascii="Times New Roman" w:hAnsi="Times New Roman"/>
          <w:color w:val="000000" w:themeColor="text1"/>
          <w:sz w:val="16"/>
          <w:szCs w:val="16"/>
        </w:rPr>
      </w:pPr>
    </w:p>
    <w:p w14:paraId="54DD5619"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 марта</w:t>
      </w:r>
      <w:r w:rsidRPr="00070ADE">
        <w:rPr>
          <w:rFonts w:ascii="Times New Roman" w:hAnsi="Times New Roman"/>
          <w:color w:val="000000" w:themeColor="text1"/>
          <w:sz w:val="16"/>
          <w:szCs w:val="16"/>
        </w:rPr>
        <w:t xml:space="preserve"> в 1944 году танки танковой колонны «Давид Сасунский» (армянское название - «Սասունցի Դավիթ» տանկային շարասյուն) поступили в 119-й отдельный танковый полк, который в тот момент в составе 10-й гвардейской армии после тяжёлых боёв под Ельней был переброшен из состава Западного фронта во 2-й Прибалтийский фронт. 26 мая 1944 года полк был переформирован в 119-й отдельный инженерно-танковый полк. Другой частью, получившей танки Т-34-85 с пушкой Д-5Т, стал 119-й танковый полк, который вошел в состав 2-го Украинского фронта 20 марта 1944 г. Танковая колонна «Давид Сасунский» — танковая колонна, созданная во время Великой Отечественной войны на средства, собранные армянской диаспорой и переданная 119-му отдельному танковому полку, воевавшему в составе 2-го Прибалтийского фронта. Колонна была названа в честь персонажа средневекового армянского эпоса «Давид Сасунский». Колонна формировалась с января 1943 года в городе Вагаршапат (ныне Эчмиадзин) Армянской ССР (где находится резиденция Католикоса всех армян) на деньги, собранные представителями армянской диаспоры со всего мира. Сбор денег был организован заместителем Католикоса всех армян Геворгом Чорекчяном (из США поступило 115.000 долларов США, из Канады — 37.000 канадских долларов, из Ливана — 185.000 ливанских фунтов, из Сирии — 276.000 сирийских фунтов, из Египта — 14.000 египетских фунтов, из Ирана — 2,5 млн реалов). Собранных средств хватило на создание к февралю 1944 года материальной части для полка из 21 танка. Колонна была укомплектована новейшими танками Т-34-85 с 85-мм пушкой Д-5-Т85, на башнях танков была выполнена надпись «Սասունցի Դավիթ» («Давид Сасунский» по-армянски). Машины были приобретены на средства жителей Армянской ССР и имели на башнях надпись «Давид Сасунский», которая была выведена буквами национального алфавита. 15 июня 1944 года полк вошёл в оперативное подчинение командующего 6-й гвардейской армией с задачей инженерного обеспечения наступления войск армии северо-западнее города Витебск в направлении на Сиротино. 4 июля поддержка танков полка позволила сапёрам-штурмовикам 47-го отдельного штурмового инженерно-строительного батальона захватить мост через Западную Двину, подготовленный противником ко взрыву. Тем самым была </w:t>
      </w:r>
      <w:r w:rsidRPr="00070ADE">
        <w:rPr>
          <w:rFonts w:ascii="Times New Roman" w:hAnsi="Times New Roman"/>
          <w:color w:val="000000" w:themeColor="text1"/>
          <w:sz w:val="16"/>
          <w:szCs w:val="16"/>
        </w:rPr>
        <w:lastRenderedPageBreak/>
        <w:t>обеспечена беспрепятственная переправа наших войск на правый берег и полное освобождение Полоцка в ходе операции «Багратион». 23 июля 1944 года полк был награждён орденом Красного Знамени. С марта 1945 г. полк входил в состав Московского военного округа. Позднее на его основе был сформирован 135-й гвардейский танковый полк (15074).</w:t>
      </w:r>
    </w:p>
    <w:p w14:paraId="4A3CE4A2" w14:textId="77777777" w:rsidR="00EB5859" w:rsidRPr="00070ADE" w:rsidRDefault="00EB5859" w:rsidP="00B56F90">
      <w:pPr>
        <w:spacing w:after="0" w:line="240" w:lineRule="auto"/>
        <w:jc w:val="both"/>
        <w:rPr>
          <w:rFonts w:ascii="Times New Roman" w:hAnsi="Times New Roman"/>
          <w:color w:val="000000" w:themeColor="text1"/>
          <w:sz w:val="16"/>
          <w:szCs w:val="16"/>
        </w:rPr>
      </w:pPr>
    </w:p>
    <w:p w14:paraId="1D1BF5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г. был утвержден АНАЛИЗ ИЗМЕНЕНИЯ КОЛИЧЕСТВЕННОГО И КАЧЕСТВЕННОГО СОСТОЯНИЯ ТАНКОВОГО ПАРКА ГЕРМАНСКОЙ АРМИИ В 1943 г. И ПЕРСПЕКТИВЫ ЕГО РАЗВИТИЯ К ЛЕТУ 1944 г № 482798</w:t>
      </w:r>
    </w:p>
    <w:p w14:paraId="54AF3A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«Утверждаю»</w:t>
      </w:r>
    </w:p>
    <w:p w14:paraId="615723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штаба БТ и МВ КА генерал-майор танковых войск М.Салминов</w:t>
      </w:r>
    </w:p>
    <w:p w14:paraId="66F2AD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Качественное превосходство советских танков и артиллерии и вызванные этим огромные потери танков Германской армии за 1941 и 1942 годы войны заставили германское командование в ходе войны экстренно перевооружить свой танковый парк. К летнему наступлению танковый парк Германской армии был в значительной степени усилен путем модернизации средних танков Т-3 и Т-4 и введением на вооружение новых типов тяжелых танков Т-5 и Т-6 с мощной броней и вооружением.</w:t>
      </w:r>
    </w:p>
    <w:p w14:paraId="070611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Если к началу войны с Советским Союзом танковый парк Германской армии, согласно данным ГРУ КА, состоял на 50% из легких танков, вооруженных 20-мм и 37-мм пушками, и 50% средних тан</w:t>
      </w:r>
      <w:r w:rsidRPr="00070ADE">
        <w:rPr>
          <w:rFonts w:ascii="Times New Roman" w:hAnsi="Times New Roman"/>
          <w:color w:val="000000" w:themeColor="text1"/>
          <w:sz w:val="16"/>
          <w:szCs w:val="16"/>
        </w:rPr>
        <w:softHyphen/>
        <w:t>ков, вооруженных 50-мм и 75-мм пушками, то в 1943 г. легкие танки с вооружения были сняты и встречались только единицами. Основным танком Германской армии к лету 1943 г. был средний танк Т-4 и в небольшом количестве средний танк Т-3, вооруженный короткоствольной 75-мм пушкой. Кроме того, в летнем наступлении на основных направлениях немцы применяли новые тяжелые танки Т-5 (Пантера) и Т-6 (Тигр), как основное средство прорыва.</w:t>
      </w:r>
    </w:p>
    <w:p w14:paraId="0ED521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Новые типы тяжелых танков, как показал опыт боевых действий, немцы в начале лета приме</w:t>
      </w:r>
      <w:r w:rsidRPr="00070ADE">
        <w:rPr>
          <w:rFonts w:ascii="Times New Roman" w:hAnsi="Times New Roman"/>
          <w:color w:val="000000" w:themeColor="text1"/>
          <w:sz w:val="16"/>
          <w:szCs w:val="16"/>
        </w:rPr>
        <w:softHyphen/>
        <w:t>нили в массовом количестве только на главных направлениях (Белгородское и Орловско-Кромское направление, июльское наступление), а на других фронтах танки Пантера и Тигр отмечались в крайне незначительном количестве. Этот факт свидетельствует о том, что германская танковая про</w:t>
      </w:r>
      <w:r w:rsidRPr="00070ADE">
        <w:rPr>
          <w:rFonts w:ascii="Times New Roman" w:hAnsi="Times New Roman"/>
          <w:color w:val="000000" w:themeColor="text1"/>
          <w:sz w:val="16"/>
          <w:szCs w:val="16"/>
        </w:rPr>
        <w:softHyphen/>
        <w:t>мышленность к лету 1943 г, не сумела обеспечить в достаточном количестве танковые части новы</w:t>
      </w:r>
      <w:r w:rsidRPr="00070ADE">
        <w:rPr>
          <w:rFonts w:ascii="Times New Roman" w:hAnsi="Times New Roman"/>
          <w:color w:val="000000" w:themeColor="text1"/>
          <w:sz w:val="16"/>
          <w:szCs w:val="16"/>
        </w:rPr>
        <w:softHyphen/>
        <w:t>ми танками. Общее число тяжелых танков Т-5 и Т-6 в период летних боев перед фронтом СССР в Германской армии, по-видимому, не превышало 400-500 танков. К концу 1943 года общее количество тяжелых танков Т-5 значительно увеличилось, и эти типы танков стали применяться почти на всех направлениях,</w:t>
      </w:r>
    </w:p>
    <w:p w14:paraId="21753F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Качественное состояние танкового парка Германской армии</w:t>
      </w:r>
    </w:p>
    <w:p w14:paraId="2A1953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Качественно танковый парк Германской армии значительно вырос, что видно из следующих таблиц: Таблица № 1. Характеристика танкового парка Германской армии в 1941 году.</w:t>
      </w:r>
    </w:p>
    <w:tbl>
      <w:tblPr>
        <w:tblW w:w="0" w:type="auto"/>
        <w:tblInd w:w="40" w:type="dxa"/>
        <w:tblLayout w:type="fixed"/>
        <w:tblCellMar>
          <w:left w:w="40" w:type="dxa"/>
          <w:right w:w="40" w:type="dxa"/>
        </w:tblCellMar>
        <w:tblLook w:val="0000" w:firstRow="0" w:lastRow="0" w:firstColumn="0" w:lastColumn="0" w:noHBand="0" w:noVBand="0"/>
      </w:tblPr>
      <w:tblGrid>
        <w:gridCol w:w="1680"/>
        <w:gridCol w:w="749"/>
        <w:gridCol w:w="749"/>
        <w:gridCol w:w="739"/>
        <w:gridCol w:w="701"/>
        <w:gridCol w:w="941"/>
        <w:gridCol w:w="893"/>
        <w:gridCol w:w="1229"/>
        <w:gridCol w:w="643"/>
        <w:gridCol w:w="634"/>
        <w:gridCol w:w="634"/>
      </w:tblGrid>
      <w:tr w:rsidR="004D4663" w:rsidRPr="00070ADE" w14:paraId="4CF4894E" w14:textId="77777777">
        <w:trPr>
          <w:trHeight w:val="221"/>
        </w:trPr>
        <w:tc>
          <w:tcPr>
            <w:tcW w:w="1680" w:type="dxa"/>
            <w:tcBorders>
              <w:top w:val="single" w:sz="6" w:space="0" w:color="auto"/>
              <w:left w:val="single" w:sz="6" w:space="0" w:color="auto"/>
              <w:bottom w:val="nil"/>
              <w:right w:val="single" w:sz="6" w:space="0" w:color="auto"/>
            </w:tcBorders>
          </w:tcPr>
          <w:p w14:paraId="28B290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Типы танков</w:t>
            </w:r>
          </w:p>
          <w:p w14:paraId="656E15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nil"/>
              <w:right w:val="single" w:sz="6" w:space="0" w:color="auto"/>
            </w:tcBorders>
          </w:tcPr>
          <w:p w14:paraId="4B4588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w:t>
            </w:r>
          </w:p>
          <w:p w14:paraId="459336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3"/>
            <w:tcBorders>
              <w:top w:val="single" w:sz="6" w:space="0" w:color="auto"/>
              <w:left w:val="single" w:sz="6" w:space="0" w:color="auto"/>
              <w:bottom w:val="single" w:sz="6" w:space="0" w:color="auto"/>
              <w:right w:val="single" w:sz="6" w:space="0" w:color="auto"/>
            </w:tcBorders>
          </w:tcPr>
          <w:p w14:paraId="3B99D5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Броня</w:t>
            </w:r>
          </w:p>
          <w:p w14:paraId="179F39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63" w:type="dxa"/>
            <w:gridSpan w:val="3"/>
            <w:tcBorders>
              <w:top w:val="single" w:sz="6" w:space="0" w:color="auto"/>
              <w:left w:val="single" w:sz="6" w:space="0" w:color="auto"/>
              <w:bottom w:val="single" w:sz="6" w:space="0" w:color="auto"/>
              <w:right w:val="single" w:sz="6" w:space="0" w:color="auto"/>
            </w:tcBorders>
          </w:tcPr>
          <w:p w14:paraId="52626D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w:t>
            </w:r>
          </w:p>
          <w:p w14:paraId="25048A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11" w:type="dxa"/>
            <w:gridSpan w:val="3"/>
            <w:tcBorders>
              <w:top w:val="single" w:sz="6" w:space="0" w:color="auto"/>
              <w:left w:val="single" w:sz="6" w:space="0" w:color="auto"/>
              <w:bottom w:val="single" w:sz="6" w:space="0" w:color="auto"/>
              <w:right w:val="single" w:sz="6" w:space="0" w:color="auto"/>
            </w:tcBorders>
          </w:tcPr>
          <w:p w14:paraId="3A549B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Бронебойность</w:t>
            </w:r>
          </w:p>
          <w:p w14:paraId="5AD588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D9A15C1" w14:textId="77777777">
        <w:trPr>
          <w:trHeight w:val="374"/>
        </w:trPr>
        <w:tc>
          <w:tcPr>
            <w:tcW w:w="1680" w:type="dxa"/>
            <w:tcBorders>
              <w:top w:val="nil"/>
              <w:left w:val="single" w:sz="6" w:space="0" w:color="auto"/>
              <w:bottom w:val="single" w:sz="6" w:space="0" w:color="auto"/>
              <w:right w:val="single" w:sz="6" w:space="0" w:color="auto"/>
            </w:tcBorders>
          </w:tcPr>
          <w:p w14:paraId="5C444E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38FE3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nil"/>
              <w:left w:val="single" w:sz="6" w:space="0" w:color="auto"/>
              <w:bottom w:val="single" w:sz="6" w:space="0" w:color="auto"/>
              <w:right w:val="single" w:sz="6" w:space="0" w:color="auto"/>
            </w:tcBorders>
          </w:tcPr>
          <w:p w14:paraId="021DDE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EF75E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2EFD8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Лобовая</w:t>
            </w:r>
          </w:p>
          <w:p w14:paraId="465516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93F0B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Бортовая</w:t>
            </w:r>
          </w:p>
          <w:p w14:paraId="129C41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F99B1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Крыша</w:t>
            </w:r>
          </w:p>
          <w:p w14:paraId="1632F9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CAD28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Калибр пушек</w:t>
            </w:r>
          </w:p>
          <w:p w14:paraId="5A02AA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365C0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Кол-во пулеметов</w:t>
            </w:r>
          </w:p>
          <w:p w14:paraId="61A69C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FC1B1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Начальная ско</w:t>
            </w:r>
            <w:r w:rsidRPr="00070ADE">
              <w:rPr>
                <w:rFonts w:ascii="Times New Roman" w:hAnsi="Times New Roman"/>
                <w:color w:val="000000" w:themeColor="text1"/>
                <w:sz w:val="16"/>
                <w:szCs w:val="16"/>
              </w:rPr>
              <w:softHyphen/>
              <w:t>рость снаряда</w:t>
            </w:r>
          </w:p>
          <w:p w14:paraId="54D0D3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A55B2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 м</w:t>
            </w:r>
          </w:p>
          <w:p w14:paraId="749E34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745242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 м</w:t>
            </w:r>
          </w:p>
          <w:p w14:paraId="12C3E95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00DA83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2000м</w:t>
            </w:r>
          </w:p>
          <w:p w14:paraId="59E412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83BC17F" w14:textId="77777777">
        <w:trPr>
          <w:trHeight w:val="240"/>
        </w:trPr>
        <w:tc>
          <w:tcPr>
            <w:tcW w:w="1680" w:type="dxa"/>
            <w:tcBorders>
              <w:top w:val="single" w:sz="6" w:space="0" w:color="auto"/>
              <w:left w:val="single" w:sz="6" w:space="0" w:color="auto"/>
              <w:bottom w:val="single" w:sz="6" w:space="0" w:color="auto"/>
              <w:right w:val="single" w:sz="6" w:space="0" w:color="auto"/>
            </w:tcBorders>
          </w:tcPr>
          <w:p w14:paraId="3B413E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Легкий танк Т-1</w:t>
            </w:r>
          </w:p>
          <w:p w14:paraId="50F5F6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70EAE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5т</w:t>
            </w:r>
          </w:p>
          <w:p w14:paraId="593BCF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69A30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p w14:paraId="4440C1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35E81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p w14:paraId="5BA41B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1BC46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6EE05E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08C4B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13BA1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7AE17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2CB5C4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544235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B141E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1DF520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FF488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43370A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19E89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2A0D6E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05717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4C5C3A4" w14:textId="77777777">
        <w:trPr>
          <w:trHeight w:val="221"/>
        </w:trPr>
        <w:tc>
          <w:tcPr>
            <w:tcW w:w="1680" w:type="dxa"/>
            <w:tcBorders>
              <w:top w:val="single" w:sz="6" w:space="0" w:color="auto"/>
              <w:left w:val="single" w:sz="6" w:space="0" w:color="auto"/>
              <w:bottom w:val="single" w:sz="6" w:space="0" w:color="auto"/>
              <w:right w:val="single" w:sz="6" w:space="0" w:color="auto"/>
            </w:tcBorders>
          </w:tcPr>
          <w:p w14:paraId="777AE5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Легкий танк Т-26</w:t>
            </w:r>
          </w:p>
          <w:p w14:paraId="40CEB9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55C056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8,8т</w:t>
            </w:r>
          </w:p>
          <w:p w14:paraId="4EB202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E0736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p w14:paraId="15C66A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7E889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p w14:paraId="2EEFCD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0ADF4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6C77FE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26EFA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мм</w:t>
            </w:r>
          </w:p>
          <w:p w14:paraId="06941A5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AC249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0A98F5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291EB5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850 м/с</w:t>
            </w:r>
          </w:p>
          <w:p w14:paraId="1A3512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1181D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мм</w:t>
            </w:r>
          </w:p>
          <w:p w14:paraId="1542CC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3EB970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B1187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1A922D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4E232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E653DA8" w14:textId="77777777">
        <w:trPr>
          <w:trHeight w:val="230"/>
        </w:trPr>
        <w:tc>
          <w:tcPr>
            <w:tcW w:w="1680" w:type="dxa"/>
            <w:tcBorders>
              <w:top w:val="single" w:sz="6" w:space="0" w:color="auto"/>
              <w:left w:val="single" w:sz="6" w:space="0" w:color="auto"/>
              <w:bottom w:val="single" w:sz="6" w:space="0" w:color="auto"/>
              <w:right w:val="single" w:sz="6" w:space="0" w:color="auto"/>
            </w:tcBorders>
          </w:tcPr>
          <w:p w14:paraId="51EF3A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Легкий «Прага» 38 т</w:t>
            </w:r>
          </w:p>
          <w:p w14:paraId="61A51F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6BAAA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т</w:t>
            </w:r>
          </w:p>
          <w:p w14:paraId="1224CE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9232A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451C60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CAB92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0D18A5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58B96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5715D6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BC606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 мм</w:t>
            </w:r>
          </w:p>
          <w:p w14:paraId="770409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0FE08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5C8EF4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7336C7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 м/с</w:t>
            </w:r>
          </w:p>
          <w:p w14:paraId="178DC6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4F909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 мм</w:t>
            </w:r>
          </w:p>
          <w:p w14:paraId="50F84E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60D5B0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мм</w:t>
            </w:r>
          </w:p>
          <w:p w14:paraId="00E37E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327C77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C0E5F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3943F67" w14:textId="77777777">
        <w:trPr>
          <w:trHeight w:val="230"/>
        </w:trPr>
        <w:tc>
          <w:tcPr>
            <w:tcW w:w="1680" w:type="dxa"/>
            <w:tcBorders>
              <w:top w:val="single" w:sz="6" w:space="0" w:color="auto"/>
              <w:left w:val="single" w:sz="6" w:space="0" w:color="auto"/>
              <w:bottom w:val="single" w:sz="6" w:space="0" w:color="auto"/>
              <w:right w:val="single" w:sz="6" w:space="0" w:color="auto"/>
            </w:tcBorders>
          </w:tcPr>
          <w:p w14:paraId="0CFB60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Легкий 2КД 35 т</w:t>
            </w:r>
          </w:p>
          <w:p w14:paraId="22B4BB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A9182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10,8т</w:t>
            </w:r>
          </w:p>
          <w:p w14:paraId="0B5270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74B842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5BE7C3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5310C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p w14:paraId="25B59B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32497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p w14:paraId="6DC47F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65F3C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 мм</w:t>
            </w:r>
          </w:p>
          <w:p w14:paraId="2E92EF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60619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431AE1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795BA0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 м/с</w:t>
            </w:r>
          </w:p>
          <w:p w14:paraId="4B3439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DA108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 мм</w:t>
            </w:r>
          </w:p>
          <w:p w14:paraId="15D031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6EFA7B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мм</w:t>
            </w:r>
          </w:p>
          <w:p w14:paraId="1A5D47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0790E4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CA7FC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80A4C32" w14:textId="77777777">
        <w:trPr>
          <w:trHeight w:val="230"/>
        </w:trPr>
        <w:tc>
          <w:tcPr>
            <w:tcW w:w="1680" w:type="dxa"/>
            <w:tcBorders>
              <w:top w:val="single" w:sz="6" w:space="0" w:color="auto"/>
              <w:left w:val="single" w:sz="6" w:space="0" w:color="auto"/>
              <w:bottom w:val="single" w:sz="6" w:space="0" w:color="auto"/>
              <w:right w:val="single" w:sz="6" w:space="0" w:color="auto"/>
            </w:tcBorders>
          </w:tcPr>
          <w:p w14:paraId="595116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Средний Т-3</w:t>
            </w:r>
          </w:p>
          <w:p w14:paraId="16E2B6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28A50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20т</w:t>
            </w:r>
          </w:p>
          <w:p w14:paraId="5F2EBE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F568B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563963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2BC8E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46AE4F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83BAA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p w14:paraId="13F6C4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CD6B9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 мм</w:t>
            </w:r>
          </w:p>
          <w:p w14:paraId="548565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C81F1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4012C1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2A861F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685 м/с</w:t>
            </w:r>
          </w:p>
          <w:p w14:paraId="7677B3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93ADE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 мм</w:t>
            </w:r>
          </w:p>
          <w:p w14:paraId="1276B2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6EAC0A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909D4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691926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4EFA1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E5C74DD" w14:textId="77777777">
        <w:trPr>
          <w:trHeight w:val="250"/>
        </w:trPr>
        <w:tc>
          <w:tcPr>
            <w:tcW w:w="1680" w:type="dxa"/>
            <w:tcBorders>
              <w:top w:val="single" w:sz="6" w:space="0" w:color="auto"/>
              <w:left w:val="single" w:sz="6" w:space="0" w:color="auto"/>
              <w:bottom w:val="single" w:sz="6" w:space="0" w:color="auto"/>
              <w:right w:val="single" w:sz="6" w:space="0" w:color="auto"/>
            </w:tcBorders>
          </w:tcPr>
          <w:p w14:paraId="3E1A17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Средний Т-4</w:t>
            </w:r>
          </w:p>
          <w:p w14:paraId="0A07FE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FC518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24т</w:t>
            </w:r>
          </w:p>
          <w:p w14:paraId="77486B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305927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p w14:paraId="674449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1B805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p w14:paraId="4BAF95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A01F4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280B5C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6F614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 мм</w:t>
            </w:r>
          </w:p>
          <w:p w14:paraId="3970DB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99970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4E83E7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356346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385 м/с</w:t>
            </w:r>
          </w:p>
          <w:p w14:paraId="3C8549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05FEA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 мм</w:t>
            </w:r>
          </w:p>
          <w:p w14:paraId="5AB687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2768F2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мм</w:t>
            </w:r>
          </w:p>
          <w:p w14:paraId="0022F9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58B8C2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306FE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BFC42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 № 2. Характеристика танкового парка Германской армии в 1943 году.</w:t>
      </w:r>
    </w:p>
    <w:tbl>
      <w:tblPr>
        <w:tblW w:w="0" w:type="auto"/>
        <w:tblInd w:w="40" w:type="dxa"/>
        <w:tblLayout w:type="fixed"/>
        <w:tblCellMar>
          <w:left w:w="40" w:type="dxa"/>
          <w:right w:w="40" w:type="dxa"/>
        </w:tblCellMar>
        <w:tblLook w:val="0000" w:firstRow="0" w:lastRow="0" w:firstColumn="0" w:lastColumn="0" w:noHBand="0" w:noVBand="0"/>
      </w:tblPr>
      <w:tblGrid>
        <w:gridCol w:w="1181"/>
        <w:gridCol w:w="749"/>
        <w:gridCol w:w="797"/>
        <w:gridCol w:w="797"/>
        <w:gridCol w:w="854"/>
        <w:gridCol w:w="941"/>
        <w:gridCol w:w="931"/>
        <w:gridCol w:w="1229"/>
        <w:gridCol w:w="662"/>
        <w:gridCol w:w="662"/>
        <w:gridCol w:w="816"/>
      </w:tblGrid>
      <w:tr w:rsidR="004D4663" w:rsidRPr="00070ADE" w14:paraId="53218FA0" w14:textId="77777777">
        <w:trPr>
          <w:trHeight w:val="230"/>
        </w:trPr>
        <w:tc>
          <w:tcPr>
            <w:tcW w:w="1181" w:type="dxa"/>
            <w:tcBorders>
              <w:top w:val="single" w:sz="6" w:space="0" w:color="auto"/>
              <w:left w:val="single" w:sz="6" w:space="0" w:color="auto"/>
              <w:bottom w:val="nil"/>
              <w:right w:val="single" w:sz="6" w:space="0" w:color="auto"/>
            </w:tcBorders>
          </w:tcPr>
          <w:p w14:paraId="578F87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Типы танков</w:t>
            </w:r>
          </w:p>
          <w:p w14:paraId="3840E9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nil"/>
              <w:right w:val="single" w:sz="6" w:space="0" w:color="auto"/>
            </w:tcBorders>
          </w:tcPr>
          <w:p w14:paraId="2D5999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w:t>
            </w:r>
          </w:p>
          <w:p w14:paraId="617331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48" w:type="dxa"/>
            <w:gridSpan w:val="3"/>
            <w:tcBorders>
              <w:top w:val="single" w:sz="6" w:space="0" w:color="auto"/>
              <w:left w:val="single" w:sz="6" w:space="0" w:color="auto"/>
              <w:bottom w:val="single" w:sz="6" w:space="0" w:color="auto"/>
              <w:right w:val="single" w:sz="6" w:space="0" w:color="auto"/>
            </w:tcBorders>
          </w:tcPr>
          <w:p w14:paraId="1B5026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Броня</w:t>
            </w:r>
          </w:p>
          <w:p w14:paraId="6CD259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01" w:type="dxa"/>
            <w:gridSpan w:val="3"/>
            <w:tcBorders>
              <w:top w:val="single" w:sz="6" w:space="0" w:color="auto"/>
              <w:left w:val="single" w:sz="6" w:space="0" w:color="auto"/>
              <w:bottom w:val="single" w:sz="6" w:space="0" w:color="auto"/>
              <w:right w:val="single" w:sz="6" w:space="0" w:color="auto"/>
            </w:tcBorders>
          </w:tcPr>
          <w:p w14:paraId="5CBAF4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w:t>
            </w:r>
          </w:p>
          <w:p w14:paraId="0B4EBA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40" w:type="dxa"/>
            <w:gridSpan w:val="3"/>
            <w:tcBorders>
              <w:top w:val="single" w:sz="6" w:space="0" w:color="auto"/>
              <w:left w:val="single" w:sz="6" w:space="0" w:color="auto"/>
              <w:bottom w:val="single" w:sz="6" w:space="0" w:color="auto"/>
              <w:right w:val="single" w:sz="6" w:space="0" w:color="auto"/>
            </w:tcBorders>
          </w:tcPr>
          <w:p w14:paraId="6643C9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Бронебойность</w:t>
            </w:r>
          </w:p>
          <w:p w14:paraId="51916D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787835B" w14:textId="77777777">
        <w:trPr>
          <w:trHeight w:val="374"/>
        </w:trPr>
        <w:tc>
          <w:tcPr>
            <w:tcW w:w="1181" w:type="dxa"/>
            <w:tcBorders>
              <w:top w:val="nil"/>
              <w:left w:val="single" w:sz="6" w:space="0" w:color="auto"/>
              <w:bottom w:val="single" w:sz="6" w:space="0" w:color="auto"/>
              <w:right w:val="single" w:sz="6" w:space="0" w:color="auto"/>
            </w:tcBorders>
          </w:tcPr>
          <w:p w14:paraId="498FD0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D4672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nil"/>
              <w:left w:val="single" w:sz="6" w:space="0" w:color="auto"/>
              <w:bottom w:val="single" w:sz="6" w:space="0" w:color="auto"/>
              <w:right w:val="single" w:sz="6" w:space="0" w:color="auto"/>
            </w:tcBorders>
          </w:tcPr>
          <w:p w14:paraId="02A6E59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7C2D0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7D07D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Лобовая</w:t>
            </w:r>
          </w:p>
          <w:p w14:paraId="44649C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2D532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Бортовая</w:t>
            </w:r>
          </w:p>
          <w:p w14:paraId="280885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9E72D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Крыша</w:t>
            </w:r>
          </w:p>
          <w:p w14:paraId="64D23F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0D5CA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Калибр пушек</w:t>
            </w:r>
          </w:p>
          <w:p w14:paraId="54BBB4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401099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Кол-во пулеметов</w:t>
            </w:r>
          </w:p>
          <w:p w14:paraId="57D93A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3AD55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Начальная ско</w:t>
            </w:r>
            <w:r w:rsidRPr="00070ADE">
              <w:rPr>
                <w:rFonts w:ascii="Times New Roman" w:hAnsi="Times New Roman"/>
                <w:color w:val="000000" w:themeColor="text1"/>
                <w:sz w:val="16"/>
                <w:szCs w:val="16"/>
              </w:rPr>
              <w:softHyphen/>
              <w:t>рость снаряда</w:t>
            </w:r>
          </w:p>
          <w:p w14:paraId="6BC7D1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6BB838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 м</w:t>
            </w:r>
          </w:p>
          <w:p w14:paraId="1552CA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242187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1000м</w:t>
            </w:r>
          </w:p>
          <w:p w14:paraId="355015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C4CEDC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2000м</w:t>
            </w:r>
          </w:p>
          <w:p w14:paraId="0E4AD2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3994754" w14:textId="77777777">
        <w:trPr>
          <w:trHeight w:val="230"/>
        </w:trPr>
        <w:tc>
          <w:tcPr>
            <w:tcW w:w="1181" w:type="dxa"/>
            <w:tcBorders>
              <w:top w:val="single" w:sz="6" w:space="0" w:color="auto"/>
              <w:left w:val="single" w:sz="6" w:space="0" w:color="auto"/>
              <w:bottom w:val="single" w:sz="6" w:space="0" w:color="auto"/>
              <w:right w:val="single" w:sz="6" w:space="0" w:color="auto"/>
            </w:tcBorders>
          </w:tcPr>
          <w:p w14:paraId="54C720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Средний Т-3</w:t>
            </w:r>
          </w:p>
          <w:p w14:paraId="7638FA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2E9E1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22т</w:t>
            </w:r>
          </w:p>
          <w:p w14:paraId="618F41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FD104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20A95E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CAACC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w:t>
            </w:r>
          </w:p>
          <w:p w14:paraId="5F749C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17A2BF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p w14:paraId="59AB5E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E651E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 ММ</w:t>
            </w:r>
          </w:p>
          <w:p w14:paraId="28498F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290870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43D37C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2355CD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385 м/с</w:t>
            </w:r>
          </w:p>
          <w:p w14:paraId="2DB0F5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78B619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w:t>
            </w:r>
          </w:p>
          <w:p w14:paraId="7CF31C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159408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w:t>
            </w:r>
          </w:p>
          <w:p w14:paraId="6B172C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30AA3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A3B64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2632AAF" w14:textId="77777777">
        <w:trPr>
          <w:trHeight w:val="230"/>
        </w:trPr>
        <w:tc>
          <w:tcPr>
            <w:tcW w:w="1181" w:type="dxa"/>
            <w:tcBorders>
              <w:top w:val="single" w:sz="6" w:space="0" w:color="auto"/>
              <w:left w:val="single" w:sz="6" w:space="0" w:color="auto"/>
              <w:bottom w:val="single" w:sz="6" w:space="0" w:color="auto"/>
              <w:right w:val="single" w:sz="6" w:space="0" w:color="auto"/>
            </w:tcBorders>
          </w:tcPr>
          <w:p w14:paraId="3A5241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Средний Т-3</w:t>
            </w:r>
          </w:p>
          <w:p w14:paraId="00AD58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53715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22т</w:t>
            </w:r>
          </w:p>
          <w:p w14:paraId="7D32CD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0FF17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7534EC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A679F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w:t>
            </w:r>
          </w:p>
          <w:p w14:paraId="445094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25EA2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p w14:paraId="639AA5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EB975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 ММ</w:t>
            </w:r>
          </w:p>
          <w:p w14:paraId="6BD025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2B47BC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7A0A46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774C66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835 м/с</w:t>
            </w:r>
          </w:p>
          <w:p w14:paraId="490C845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003D06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w:t>
            </w:r>
          </w:p>
          <w:p w14:paraId="4030EA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2FA6A8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79019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E3E77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D6EE5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8ED684C" w14:textId="77777777">
        <w:trPr>
          <w:trHeight w:val="221"/>
        </w:trPr>
        <w:tc>
          <w:tcPr>
            <w:tcW w:w="1181" w:type="dxa"/>
            <w:tcBorders>
              <w:top w:val="single" w:sz="6" w:space="0" w:color="auto"/>
              <w:left w:val="single" w:sz="6" w:space="0" w:color="auto"/>
              <w:bottom w:val="single" w:sz="6" w:space="0" w:color="auto"/>
              <w:right w:val="single" w:sz="6" w:space="0" w:color="auto"/>
            </w:tcBorders>
          </w:tcPr>
          <w:p w14:paraId="716950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Средний Т-4</w:t>
            </w:r>
          </w:p>
          <w:p w14:paraId="7054FC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77377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26т</w:t>
            </w:r>
          </w:p>
          <w:p w14:paraId="73C11A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22857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p w14:paraId="70A72E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8BF1D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36E6F8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5E559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5A9CC8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4BD726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 мм</w:t>
            </w:r>
          </w:p>
          <w:p w14:paraId="17FBCD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31FEC5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15DC6C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42862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770 м/с</w:t>
            </w:r>
          </w:p>
          <w:p w14:paraId="5C5186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3EAAC0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w:t>
            </w:r>
          </w:p>
          <w:p w14:paraId="37967F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23B297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p w14:paraId="157CE8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3F137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w:t>
            </w:r>
          </w:p>
          <w:p w14:paraId="07FBFB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4E40FFA" w14:textId="77777777">
        <w:trPr>
          <w:trHeight w:val="240"/>
        </w:trPr>
        <w:tc>
          <w:tcPr>
            <w:tcW w:w="1181" w:type="dxa"/>
            <w:tcBorders>
              <w:top w:val="single" w:sz="6" w:space="0" w:color="auto"/>
              <w:left w:val="single" w:sz="6" w:space="0" w:color="auto"/>
              <w:bottom w:val="single" w:sz="6" w:space="0" w:color="auto"/>
              <w:right w:val="single" w:sz="6" w:space="0" w:color="auto"/>
            </w:tcBorders>
          </w:tcPr>
          <w:p w14:paraId="76C707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Тяжелый Т-5</w:t>
            </w:r>
          </w:p>
          <w:p w14:paraId="4C87BA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DFE61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45т</w:t>
            </w:r>
          </w:p>
          <w:p w14:paraId="72F465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4E333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w:t>
            </w:r>
          </w:p>
          <w:p w14:paraId="3B4164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6BF7C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p w14:paraId="0B2414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223E9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w:t>
            </w:r>
          </w:p>
          <w:p w14:paraId="36BF25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E1A51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 мм</w:t>
            </w:r>
          </w:p>
          <w:p w14:paraId="32C555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75D96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3C5B6D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1A7CE3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 м/с</w:t>
            </w:r>
          </w:p>
          <w:p w14:paraId="442A35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2247F9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p w14:paraId="3E3626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3E785B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2A49E5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6FF184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w:t>
            </w:r>
          </w:p>
          <w:p w14:paraId="1F6370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E6444E9" w14:textId="77777777">
        <w:trPr>
          <w:trHeight w:val="240"/>
        </w:trPr>
        <w:tc>
          <w:tcPr>
            <w:tcW w:w="1181" w:type="dxa"/>
            <w:tcBorders>
              <w:top w:val="single" w:sz="6" w:space="0" w:color="auto"/>
              <w:left w:val="single" w:sz="6" w:space="0" w:color="auto"/>
              <w:bottom w:val="single" w:sz="6" w:space="0" w:color="auto"/>
              <w:right w:val="single" w:sz="6" w:space="0" w:color="auto"/>
            </w:tcBorders>
          </w:tcPr>
          <w:p w14:paraId="7C45B4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Тяжелый Т-6</w:t>
            </w:r>
          </w:p>
          <w:p w14:paraId="192E36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CDCCD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56т</w:t>
            </w:r>
          </w:p>
          <w:p w14:paraId="5DC8FD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29F5B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3681FC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3BF6C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w:t>
            </w:r>
          </w:p>
          <w:p w14:paraId="51A1F5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D5934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w:t>
            </w:r>
          </w:p>
          <w:p w14:paraId="724B53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4EE227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 мм</w:t>
            </w:r>
          </w:p>
          <w:p w14:paraId="55240F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37D8E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62C8C7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B8789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1000м/с</w:t>
            </w:r>
          </w:p>
          <w:p w14:paraId="29C2CF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319833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w:t>
            </w:r>
          </w:p>
          <w:p w14:paraId="36F08D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456AC8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w:t>
            </w:r>
          </w:p>
          <w:p w14:paraId="2C8784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65FFE1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100-110</w:t>
            </w:r>
          </w:p>
          <w:p w14:paraId="247EC5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7B476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Анализ таблицы показывает, что усиление мощности танкового парка Германской армии в 1943 г. произошло за счет снятия с вооружения танков легкого типа, модернизации средних танков и введения на вооружение танков тяжелого типа.</w:t>
      </w:r>
    </w:p>
    <w:p w14:paraId="414581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Значительно увеличилась бронебойность танковых пушек, например: 75 мм пушка, установленная на тяжелом танке Т-5, на дистанции 2000 м пробивает броню толщиной 88 мм; 88-мм пушка, установленная на танке Т-6, на дистанции 2000 м пробивает броню тол</w:t>
      </w:r>
      <w:r w:rsidRPr="00070ADE">
        <w:rPr>
          <w:rFonts w:ascii="Times New Roman" w:hAnsi="Times New Roman"/>
          <w:color w:val="000000" w:themeColor="text1"/>
          <w:sz w:val="16"/>
          <w:szCs w:val="16"/>
        </w:rPr>
        <w:softHyphen/>
        <w:t>щиной 100-110 мм.</w:t>
      </w:r>
    </w:p>
    <w:p w14:paraId="227E6C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Помимо вышеуказанных типов танков в 1943 г. в ограниченном количестве при</w:t>
      </w:r>
      <w:r w:rsidRPr="00070ADE">
        <w:rPr>
          <w:rFonts w:ascii="Times New Roman" w:hAnsi="Times New Roman"/>
          <w:color w:val="000000" w:themeColor="text1"/>
          <w:sz w:val="16"/>
          <w:szCs w:val="16"/>
        </w:rPr>
        <w:softHyphen/>
        <w:t>менялись:</w:t>
      </w:r>
    </w:p>
    <w:p w14:paraId="671231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огнеметные танки на шасси танка Т-3,</w:t>
      </w:r>
    </w:p>
    <w:p w14:paraId="4013BC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телетанки Б-4.</w:t>
      </w:r>
    </w:p>
    <w:p w14:paraId="503555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Соотношение танкового парка Германской армии по типам машин в 1943 году</w:t>
      </w:r>
    </w:p>
    <w:p w14:paraId="292489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Анализ подбитых и уничтоженных танков за период с 1.07.1943 г. по 1.01.1944 г., согласно донесениям штабов БТ и МБ Ленинградского, Волховского, 1 и 2 Прибалтийских, Белорусского и 3 Украинского фронтов, показывает следующее соотношение:</w:t>
      </w:r>
    </w:p>
    <w:p w14:paraId="79B2D1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общего числа подбитых и уничтоженных танков:</w:t>
      </w:r>
    </w:p>
    <w:p w14:paraId="5C0D36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01EECF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танки легкого типа составляют танки среднего типа Т-3 и Т-4 танки тяжелого типа Т-5 и Т-6</w:t>
      </w:r>
    </w:p>
    <w:p w14:paraId="41A655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 20%</w:t>
      </w:r>
    </w:p>
    <w:p w14:paraId="2528C0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по данным ГРУ КА, план выпуска танков в Германии на вторую половину 1943 года по типам машин был намечен:</w:t>
      </w:r>
    </w:p>
    <w:p w14:paraId="277A10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средних танков Т-3 и Т-4 тяжелых танков</w:t>
      </w:r>
    </w:p>
    <w:p w14:paraId="10E84F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 23%</w:t>
      </w:r>
    </w:p>
    <w:p w14:paraId="3B4787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Сравнивая вышеуказанные данные, можно сделать следующий вывод, что в 1943 г. соотношение танков по типам машин в Германской армии, по-видимому, составляло:</w:t>
      </w:r>
    </w:p>
    <w:p w14:paraId="42275B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легких танков всех марок средних танков Т-3 и Т-4 тяжелых танков Т-5 и Т-6</w:t>
      </w:r>
    </w:p>
    <w:p w14:paraId="7ADAEC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3BB8CB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 (из них Т-4 - 70%)</w:t>
      </w:r>
    </w:p>
    <w:p w14:paraId="3B529B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p w14:paraId="6B16CA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сводной инструкции по вооружению Верховного командования сухопутной Германской армии от 1 августа также отмечается, что основным типом танка, состоящим на вооружении танко</w:t>
      </w:r>
      <w:r w:rsidRPr="00070ADE">
        <w:rPr>
          <w:rFonts w:ascii="Times New Roman" w:hAnsi="Times New Roman"/>
          <w:color w:val="000000" w:themeColor="text1"/>
          <w:sz w:val="16"/>
          <w:szCs w:val="16"/>
        </w:rPr>
        <w:softHyphen/>
        <w:t>вых дивизий, являются танки Т-4 с длинноствольной пушкой и танки Т-5 «Пантера», производство же танков Т-3 прекращено.</w:t>
      </w:r>
    </w:p>
    <w:p w14:paraId="64537A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Общее количество танкового парка по сравнению с 1941 годом значительно уменьшилось и к концу 1943 г., предположительно, составляло не более 10000 танков. Уменьшение количества танкового парка произошло за счет огромных потерь, которые не восполняются германской танковой промышленнос</w:t>
      </w:r>
      <w:r w:rsidRPr="00070ADE">
        <w:rPr>
          <w:rFonts w:ascii="Times New Roman" w:hAnsi="Times New Roman"/>
          <w:color w:val="000000" w:themeColor="text1"/>
          <w:sz w:val="16"/>
          <w:szCs w:val="16"/>
        </w:rPr>
        <w:softHyphen/>
        <w:t>тью, а также за счет снятия с производства и вооружения танков легкого типа и танков Т-3.</w:t>
      </w:r>
    </w:p>
    <w:p w14:paraId="71839F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Состояние танковой промышленности Германии</w:t>
      </w:r>
    </w:p>
    <w:p w14:paraId="61910B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1943 году в танковой промышленности Германии произошли следующие изменения:</w:t>
      </w:r>
    </w:p>
    <w:p w14:paraId="1481AF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Заводы, ранее производившие танки легкого типа и средние танки Т-3, переведены на произ</w:t>
      </w:r>
      <w:r w:rsidRPr="00070ADE">
        <w:rPr>
          <w:rFonts w:ascii="Times New Roman" w:hAnsi="Times New Roman"/>
          <w:color w:val="000000" w:themeColor="text1"/>
          <w:sz w:val="16"/>
          <w:szCs w:val="16"/>
        </w:rPr>
        <w:softHyphen/>
        <w:t>водство самоходных орудий.</w:t>
      </w:r>
    </w:p>
    <w:p w14:paraId="4E4019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Ряд заводов танковой промышленности стали серийно выпускать тяжелые танки Т-5 и Т-6.</w:t>
      </w:r>
    </w:p>
    <w:p w14:paraId="0C2467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осени 1943 г. германская танковая промышленность имела до 32 танковых и танкосборочных заводов, выпускающих танки Т-4, Т-5 и Т-6, 4 моторостроительных завода.</w:t>
      </w:r>
    </w:p>
    <w:p w14:paraId="6BA702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32 танковых заводов производили и собирали средние танки — 14 заводов, тяжелые танки — 12 заводов и 6 заводов производили танки, тип которых еще не установлен.</w:t>
      </w:r>
    </w:p>
    <w:p w14:paraId="0124DD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Производственная мощность всех заводов, согласно имеющимся данным, составляла 1480-1500 танков в месяц, но фактический месячный выпуск танков достигал не более 60% от установленной месячной производительности и составлял 850-900 танков.</w:t>
      </w:r>
    </w:p>
    <w:p w14:paraId="7E4037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Сокращение месячного выпуска танков происходит вследствие следующих причин:</w:t>
      </w:r>
    </w:p>
    <w:p w14:paraId="009186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Разрушений, вызванных бомбардировкой авиации союзников основных центров танковой промышленности: городов Берлина, Касселя, Мюнхена, Дюссельдорфа, Ганновера, Брауншвейга, Штейера и др.</w:t>
      </w:r>
    </w:p>
    <w:p w14:paraId="69EE2A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Затруднениями в производстве, вызванными переходом на выпуск тяжелых танков нового типа.</w:t>
      </w:r>
    </w:p>
    <w:p w14:paraId="70F3F9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Отсутствие в достаточном количестве специальных материалов (хром, марганец и др.) для изготовления брони и высококачественных сталей.</w:t>
      </w:r>
    </w:p>
    <w:p w14:paraId="5ABEA8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Отсутствием достаточного количества квалифицированных рабочих.</w:t>
      </w:r>
    </w:p>
    <w:p w14:paraId="5F5B04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Танковая промышленность Германии не восполняла огромные потери, которые несла Германская армия на Советском фронте, вследствие этого большинство танковых дивизий действу</w:t>
      </w:r>
      <w:r w:rsidRPr="00070ADE">
        <w:rPr>
          <w:rFonts w:ascii="Times New Roman" w:hAnsi="Times New Roman"/>
          <w:color w:val="000000" w:themeColor="text1"/>
          <w:sz w:val="16"/>
          <w:szCs w:val="16"/>
        </w:rPr>
        <w:softHyphen/>
        <w:t>ющей армии укомплектованы танками на 50-60%.</w:t>
      </w:r>
    </w:p>
    <w:p w14:paraId="41CBF0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больших потерях танков, которые не может восполнить танковая промышленность Германии, также свидетельствуют приказы №23 от 7.12.1943 г. и №26 от 14.01.1944 г., подписанные начальником Генерального штаба Германской армии Цейтцлером, отданные им по поручению Гитлера.</w:t>
      </w:r>
    </w:p>
    <w:p w14:paraId="47DE90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Ориентировочно можно предположить, что месячный выпуск танков германской танковой про</w:t>
      </w:r>
      <w:r w:rsidRPr="00070ADE">
        <w:rPr>
          <w:rFonts w:ascii="Times New Roman" w:hAnsi="Times New Roman"/>
          <w:color w:val="000000" w:themeColor="text1"/>
          <w:sz w:val="16"/>
          <w:szCs w:val="16"/>
        </w:rPr>
        <w:softHyphen/>
        <w:t>мышленностью по типам машин в первой половине 1944 г. составит:</w:t>
      </w:r>
    </w:p>
    <w:p w14:paraId="40678B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средних танков Т-4 — 50% или 450 танков в месяц тяжелых танков Т-5 — 40% или 360 танков в месяц тяжелых танков Т-6 — 10% или 90-100 танков в месяц</w:t>
      </w:r>
    </w:p>
    <w:p w14:paraId="5F666A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900-910 танков в месяц</w:t>
      </w:r>
    </w:p>
    <w:p w14:paraId="771282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Самоходная артиллерия</w:t>
      </w:r>
    </w:p>
    <w:p w14:paraId="1C37B6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Впервые в боях 1943 г. немцы применили большое количество самоходных орудий, используя их как средство поддержки пехоты и как подвижные средства противотанковой обороны.</w:t>
      </w:r>
    </w:p>
    <w:p w14:paraId="20583B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1943 г. в Германской армии отмечалось свыше 20 типов самоходных орудий. Основная масса орудий калибра 75 мм монтировалась на базе легких танков Т-2Б и чехословацких танков 38-Т (см. таблицу №3).</w:t>
      </w:r>
    </w:p>
    <w:p w14:paraId="73FDCC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Орудия калибра 88 мм, 105 мм и 150 мм главным образом монтировались на базе средних танков Т-3 и Т-4.</w:t>
      </w:r>
    </w:p>
    <w:p w14:paraId="6AA6B8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Орудия «Фердинанд» и орудия калибра 128 мм монтировались на специальной базе (перед фронтом СССР отмечались в небольшом количестве).</w:t>
      </w:r>
    </w:p>
    <w:p w14:paraId="190C72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 №3. Краткая характеристика основных самоходных орудий Германской армии, при</w:t>
      </w:r>
      <w:r w:rsidRPr="00070ADE">
        <w:rPr>
          <w:rFonts w:ascii="Times New Roman" w:hAnsi="Times New Roman"/>
          <w:color w:val="000000" w:themeColor="text1"/>
          <w:sz w:val="16"/>
          <w:szCs w:val="16"/>
        </w:rPr>
        <w:softHyphen/>
        <w:t>меняемых в 1943 году.</w:t>
      </w:r>
    </w:p>
    <w:tbl>
      <w:tblPr>
        <w:tblW w:w="0" w:type="auto"/>
        <w:tblInd w:w="40" w:type="dxa"/>
        <w:tblLayout w:type="fixed"/>
        <w:tblCellMar>
          <w:left w:w="40" w:type="dxa"/>
          <w:right w:w="40" w:type="dxa"/>
        </w:tblCellMar>
        <w:tblLook w:val="0000" w:firstRow="0" w:lastRow="0" w:firstColumn="0" w:lastColumn="0" w:noHBand="0" w:noVBand="0"/>
      </w:tblPr>
      <w:tblGrid>
        <w:gridCol w:w="1987"/>
        <w:gridCol w:w="509"/>
        <w:gridCol w:w="998"/>
        <w:gridCol w:w="499"/>
        <w:gridCol w:w="499"/>
        <w:gridCol w:w="509"/>
        <w:gridCol w:w="2410"/>
        <w:gridCol w:w="749"/>
        <w:gridCol w:w="442"/>
        <w:gridCol w:w="518"/>
        <w:gridCol w:w="509"/>
      </w:tblGrid>
      <w:tr w:rsidR="004D4663" w:rsidRPr="00070ADE" w14:paraId="3475BFAC" w14:textId="77777777">
        <w:trPr>
          <w:trHeight w:val="221"/>
        </w:trPr>
        <w:tc>
          <w:tcPr>
            <w:tcW w:w="1987" w:type="dxa"/>
            <w:tcBorders>
              <w:top w:val="single" w:sz="6" w:space="0" w:color="auto"/>
              <w:left w:val="single" w:sz="6" w:space="0" w:color="auto"/>
              <w:bottom w:val="nil"/>
              <w:right w:val="single" w:sz="6" w:space="0" w:color="auto"/>
            </w:tcBorders>
          </w:tcPr>
          <w:p w14:paraId="0D9942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самоходных орудий</w:t>
            </w:r>
          </w:p>
          <w:p w14:paraId="4B8F69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nil"/>
              <w:right w:val="single" w:sz="6" w:space="0" w:color="auto"/>
            </w:tcBorders>
          </w:tcPr>
          <w:p w14:paraId="57CCE5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тонн</w:t>
            </w:r>
          </w:p>
          <w:p w14:paraId="6A9B83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nil"/>
              <w:right w:val="single" w:sz="6" w:space="0" w:color="auto"/>
            </w:tcBorders>
          </w:tcPr>
          <w:p w14:paraId="6B0A66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базы орудия</w:t>
            </w:r>
          </w:p>
          <w:p w14:paraId="090E7B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3"/>
            <w:tcBorders>
              <w:top w:val="single" w:sz="6" w:space="0" w:color="auto"/>
              <w:left w:val="single" w:sz="6" w:space="0" w:color="auto"/>
              <w:bottom w:val="single" w:sz="6" w:space="0" w:color="auto"/>
              <w:right w:val="single" w:sz="6" w:space="0" w:color="auto"/>
            </w:tcBorders>
          </w:tcPr>
          <w:p w14:paraId="0B9F3D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Броня, мм</w:t>
            </w:r>
          </w:p>
          <w:p w14:paraId="770489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nil"/>
              <w:right w:val="single" w:sz="6" w:space="0" w:color="auto"/>
            </w:tcBorders>
          </w:tcPr>
          <w:p w14:paraId="042D9C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w:t>
            </w:r>
          </w:p>
          <w:p w14:paraId="64E816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nil"/>
              <w:right w:val="single" w:sz="6" w:space="0" w:color="auto"/>
            </w:tcBorders>
          </w:tcPr>
          <w:p w14:paraId="36B86B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w:t>
            </w:r>
            <w:r w:rsidRPr="00070ADE">
              <w:rPr>
                <w:rFonts w:ascii="Times New Roman" w:hAnsi="Times New Roman"/>
                <w:color w:val="000000" w:themeColor="text1"/>
                <w:sz w:val="16"/>
                <w:szCs w:val="16"/>
              </w:rPr>
              <w:softHyphen/>
              <w:t>ная скорость, м/с</w:t>
            </w:r>
          </w:p>
          <w:p w14:paraId="5C0812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gridSpan w:val="3"/>
            <w:tcBorders>
              <w:top w:val="single" w:sz="6" w:space="0" w:color="auto"/>
              <w:left w:val="single" w:sz="6" w:space="0" w:color="auto"/>
              <w:bottom w:val="single" w:sz="6" w:space="0" w:color="auto"/>
              <w:right w:val="single" w:sz="6" w:space="0" w:color="auto"/>
            </w:tcBorders>
          </w:tcPr>
          <w:p w14:paraId="3CCB26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Бронебойность, мм</w:t>
            </w:r>
          </w:p>
          <w:p w14:paraId="587FA8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8B357A5" w14:textId="77777777">
        <w:trPr>
          <w:trHeight w:val="480"/>
        </w:trPr>
        <w:tc>
          <w:tcPr>
            <w:tcW w:w="1987" w:type="dxa"/>
            <w:tcBorders>
              <w:top w:val="nil"/>
              <w:left w:val="single" w:sz="6" w:space="0" w:color="auto"/>
              <w:bottom w:val="single" w:sz="6" w:space="0" w:color="auto"/>
              <w:right w:val="single" w:sz="6" w:space="0" w:color="auto"/>
            </w:tcBorders>
          </w:tcPr>
          <w:p w14:paraId="2446FB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226A6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nil"/>
              <w:left w:val="single" w:sz="6" w:space="0" w:color="auto"/>
              <w:bottom w:val="single" w:sz="6" w:space="0" w:color="auto"/>
              <w:right w:val="single" w:sz="6" w:space="0" w:color="auto"/>
            </w:tcBorders>
          </w:tcPr>
          <w:p w14:paraId="2FCF97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9F8EE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single" w:sz="6" w:space="0" w:color="auto"/>
              <w:right w:val="single" w:sz="6" w:space="0" w:color="auto"/>
            </w:tcBorders>
          </w:tcPr>
          <w:p w14:paraId="6DEB3D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49D48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50FD3A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Лобо</w:t>
            </w:r>
            <w:r w:rsidRPr="00070ADE">
              <w:rPr>
                <w:rFonts w:ascii="Times New Roman" w:hAnsi="Times New Roman"/>
                <w:color w:val="000000" w:themeColor="text1"/>
                <w:sz w:val="16"/>
                <w:szCs w:val="16"/>
              </w:rPr>
              <w:softHyphen/>
              <w:t>вая</w:t>
            </w:r>
          </w:p>
          <w:p w14:paraId="1DCC76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47E89CE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Борто</w:t>
            </w:r>
            <w:r w:rsidRPr="00070ADE">
              <w:rPr>
                <w:rFonts w:ascii="Times New Roman" w:hAnsi="Times New Roman"/>
                <w:color w:val="000000" w:themeColor="text1"/>
                <w:sz w:val="16"/>
                <w:szCs w:val="16"/>
              </w:rPr>
              <w:softHyphen/>
              <w:t>вая</w:t>
            </w:r>
          </w:p>
          <w:p w14:paraId="41D8FB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3C3CE6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Кры</w:t>
            </w:r>
            <w:r w:rsidRPr="00070ADE">
              <w:rPr>
                <w:rFonts w:ascii="Times New Roman" w:hAnsi="Times New Roman"/>
                <w:color w:val="000000" w:themeColor="text1"/>
                <w:sz w:val="16"/>
                <w:szCs w:val="16"/>
              </w:rPr>
              <w:softHyphen/>
              <w:t>ша</w:t>
            </w:r>
          </w:p>
          <w:p w14:paraId="0760F3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nil"/>
              <w:left w:val="single" w:sz="6" w:space="0" w:color="auto"/>
              <w:bottom w:val="single" w:sz="6" w:space="0" w:color="auto"/>
              <w:right w:val="single" w:sz="6" w:space="0" w:color="auto"/>
            </w:tcBorders>
          </w:tcPr>
          <w:p w14:paraId="2D5A66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2523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nil"/>
              <w:left w:val="single" w:sz="6" w:space="0" w:color="auto"/>
              <w:bottom w:val="single" w:sz="6" w:space="0" w:color="auto"/>
              <w:right w:val="single" w:sz="6" w:space="0" w:color="auto"/>
            </w:tcBorders>
          </w:tcPr>
          <w:p w14:paraId="2BD0BF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6163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D2CC5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 м</w:t>
            </w:r>
          </w:p>
          <w:p w14:paraId="6991DD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BFC6E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 м</w:t>
            </w:r>
          </w:p>
          <w:p w14:paraId="3E29BE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6277BC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2000 м</w:t>
            </w:r>
          </w:p>
          <w:p w14:paraId="26759A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1386A3D" w14:textId="77777777">
        <w:trPr>
          <w:trHeight w:val="230"/>
        </w:trPr>
        <w:tc>
          <w:tcPr>
            <w:tcW w:w="9629" w:type="dxa"/>
            <w:gridSpan w:val="11"/>
            <w:tcBorders>
              <w:top w:val="single" w:sz="6" w:space="0" w:color="auto"/>
              <w:left w:val="single" w:sz="6" w:space="0" w:color="auto"/>
              <w:bottom w:val="single" w:sz="6" w:space="0" w:color="auto"/>
              <w:right w:val="single" w:sz="6" w:space="0" w:color="auto"/>
            </w:tcBorders>
          </w:tcPr>
          <w:p w14:paraId="6335FF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 Самоходные орудия с открытой башней:</w:t>
            </w:r>
          </w:p>
          <w:p w14:paraId="29A8F1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0327932" w14:textId="77777777">
        <w:trPr>
          <w:trHeight w:val="230"/>
        </w:trPr>
        <w:tc>
          <w:tcPr>
            <w:tcW w:w="1987" w:type="dxa"/>
            <w:tcBorders>
              <w:top w:val="single" w:sz="6" w:space="0" w:color="auto"/>
              <w:left w:val="single" w:sz="6" w:space="0" w:color="auto"/>
              <w:bottom w:val="single" w:sz="6" w:space="0" w:color="auto"/>
              <w:right w:val="single" w:sz="6" w:space="0" w:color="auto"/>
            </w:tcBorders>
          </w:tcPr>
          <w:p w14:paraId="7C5096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75-мм орудие</w:t>
            </w:r>
          </w:p>
          <w:p w14:paraId="3AB52A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5326CB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p w14:paraId="1264B8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D1962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38-Т</w:t>
            </w:r>
          </w:p>
          <w:p w14:paraId="11EA88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6D9565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17748B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6D25A7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5894BE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5D681C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7E0FDC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19A38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75-мм ПТО обр. 1940 г.</w:t>
            </w:r>
          </w:p>
          <w:p w14:paraId="547FE5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49928C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990</w:t>
            </w:r>
          </w:p>
          <w:p w14:paraId="163153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D6C38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p w14:paraId="3BBF9A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09DD0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w:t>
            </w:r>
          </w:p>
          <w:p w14:paraId="015520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39CC08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6366F7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3B7CDA9" w14:textId="77777777">
        <w:trPr>
          <w:trHeight w:val="230"/>
        </w:trPr>
        <w:tc>
          <w:tcPr>
            <w:tcW w:w="1987" w:type="dxa"/>
            <w:tcBorders>
              <w:top w:val="single" w:sz="6" w:space="0" w:color="auto"/>
              <w:left w:val="single" w:sz="6" w:space="0" w:color="auto"/>
              <w:bottom w:val="single" w:sz="6" w:space="0" w:color="auto"/>
              <w:right w:val="single" w:sz="6" w:space="0" w:color="auto"/>
            </w:tcBorders>
          </w:tcPr>
          <w:p w14:paraId="2B6018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75-мм орудие</w:t>
            </w:r>
          </w:p>
          <w:p w14:paraId="20950B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10F36E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w:t>
            </w:r>
          </w:p>
          <w:p w14:paraId="65EE7D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94F69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Т-26</w:t>
            </w:r>
          </w:p>
          <w:p w14:paraId="468EA9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6A0AF7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p w14:paraId="41CFCB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5BBF01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p w14:paraId="49AE81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46B11A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1343D6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C7792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75-мм ПТОобр. 1940 г.</w:t>
            </w:r>
          </w:p>
          <w:p w14:paraId="0247B9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4AE27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990</w:t>
            </w:r>
          </w:p>
          <w:p w14:paraId="783DE6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9C8FF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p w14:paraId="2F0C34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2401D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w:t>
            </w:r>
          </w:p>
          <w:p w14:paraId="70C456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3745D6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0D52FC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89931F1" w14:textId="77777777">
        <w:trPr>
          <w:trHeight w:val="230"/>
        </w:trPr>
        <w:tc>
          <w:tcPr>
            <w:tcW w:w="1987" w:type="dxa"/>
            <w:tcBorders>
              <w:top w:val="single" w:sz="6" w:space="0" w:color="auto"/>
              <w:left w:val="single" w:sz="6" w:space="0" w:color="auto"/>
              <w:bottom w:val="single" w:sz="6" w:space="0" w:color="auto"/>
              <w:right w:val="single" w:sz="6" w:space="0" w:color="auto"/>
            </w:tcBorders>
          </w:tcPr>
          <w:p w14:paraId="7D5999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76-мм орудие</w:t>
            </w:r>
          </w:p>
          <w:p w14:paraId="716DF2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220DB4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p w14:paraId="02C459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19E62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Огн. танк</w:t>
            </w:r>
          </w:p>
          <w:p w14:paraId="742DF1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21A8D1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648082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31280C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p w14:paraId="6884E1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4CC5F9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620E4C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59A527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76-мм пушка обр. 1936 г.</w:t>
            </w:r>
          </w:p>
          <w:p w14:paraId="2FFA2F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C05D0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990</w:t>
            </w:r>
          </w:p>
          <w:p w14:paraId="762F01E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469CB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p w14:paraId="69B65E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44780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w:t>
            </w:r>
          </w:p>
          <w:p w14:paraId="162013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6790B8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35FC3C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B046B0F" w14:textId="77777777">
        <w:trPr>
          <w:trHeight w:val="230"/>
        </w:trPr>
        <w:tc>
          <w:tcPr>
            <w:tcW w:w="1987" w:type="dxa"/>
            <w:tcBorders>
              <w:top w:val="single" w:sz="6" w:space="0" w:color="auto"/>
              <w:left w:val="single" w:sz="6" w:space="0" w:color="auto"/>
              <w:bottom w:val="single" w:sz="6" w:space="0" w:color="auto"/>
              <w:right w:val="single" w:sz="6" w:space="0" w:color="auto"/>
            </w:tcBorders>
          </w:tcPr>
          <w:p w14:paraId="181DB5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76-мм орудие</w:t>
            </w:r>
          </w:p>
          <w:p w14:paraId="46BF5C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363E05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p w14:paraId="0464E8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E3BEF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38-Т</w:t>
            </w:r>
          </w:p>
          <w:p w14:paraId="4C6B6A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4FE0D6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7F9DB3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5FEE54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551F41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2B2268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620F21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798918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76-мм пушка обр. 1936 г.</w:t>
            </w:r>
          </w:p>
          <w:p w14:paraId="1B8BC3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5BCAAC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990</w:t>
            </w:r>
          </w:p>
          <w:p w14:paraId="094966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FDEA9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p w14:paraId="7C1DF8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4DCBC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w:t>
            </w:r>
          </w:p>
          <w:p w14:paraId="432E25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5C64B2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1E21A0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AEA25CB" w14:textId="77777777">
        <w:trPr>
          <w:trHeight w:val="230"/>
        </w:trPr>
        <w:tc>
          <w:tcPr>
            <w:tcW w:w="1987" w:type="dxa"/>
            <w:tcBorders>
              <w:top w:val="single" w:sz="6" w:space="0" w:color="auto"/>
              <w:left w:val="single" w:sz="6" w:space="0" w:color="auto"/>
              <w:bottom w:val="single" w:sz="6" w:space="0" w:color="auto"/>
              <w:right w:val="single" w:sz="6" w:space="0" w:color="auto"/>
            </w:tcBorders>
          </w:tcPr>
          <w:p w14:paraId="438BDB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88-мм орудие (Горниссе)</w:t>
            </w:r>
          </w:p>
          <w:p w14:paraId="676B72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201377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26,5</w:t>
            </w:r>
          </w:p>
          <w:p w14:paraId="25CFF6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63B0C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Т-4</w:t>
            </w:r>
          </w:p>
          <w:p w14:paraId="126247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5F62AB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6767A5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0E37DD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p w14:paraId="102631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243E2A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7FFD77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39E158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88-мм ПТОобр. 1943 г.</w:t>
            </w:r>
          </w:p>
          <w:p w14:paraId="151D9F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C7D6A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627966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66F10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w:t>
            </w:r>
          </w:p>
          <w:p w14:paraId="4DD52B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6056A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w:t>
            </w:r>
          </w:p>
          <w:p w14:paraId="18CC84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78FE9C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w:t>
            </w:r>
          </w:p>
          <w:p w14:paraId="5AC9CD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74526D2" w14:textId="77777777">
        <w:trPr>
          <w:trHeight w:val="230"/>
        </w:trPr>
        <w:tc>
          <w:tcPr>
            <w:tcW w:w="1987" w:type="dxa"/>
            <w:tcBorders>
              <w:top w:val="single" w:sz="6" w:space="0" w:color="auto"/>
              <w:left w:val="single" w:sz="6" w:space="0" w:color="auto"/>
              <w:bottom w:val="single" w:sz="6" w:space="0" w:color="auto"/>
              <w:right w:val="single" w:sz="6" w:space="0" w:color="auto"/>
            </w:tcBorders>
          </w:tcPr>
          <w:p w14:paraId="53B8A6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128-мм орудие</w:t>
            </w:r>
          </w:p>
          <w:p w14:paraId="6DCBE6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425610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p w14:paraId="7AC760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DC53B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 база</w:t>
            </w:r>
          </w:p>
          <w:p w14:paraId="2278BD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0D02BB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3CD506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5356B9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410DCE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49C54B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p w14:paraId="30F4F4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052E0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128-мм пушка обр. 1940 г.</w:t>
            </w:r>
          </w:p>
          <w:p w14:paraId="4675D1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30E7C9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w:t>
            </w:r>
          </w:p>
          <w:p w14:paraId="472644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21F5C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82AF2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2B598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BA962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0C38E6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DE6B8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14BAAE5" w14:textId="77777777">
        <w:trPr>
          <w:trHeight w:val="221"/>
        </w:trPr>
        <w:tc>
          <w:tcPr>
            <w:tcW w:w="9629" w:type="dxa"/>
            <w:gridSpan w:val="11"/>
            <w:tcBorders>
              <w:top w:val="single" w:sz="6" w:space="0" w:color="auto"/>
              <w:left w:val="single" w:sz="6" w:space="0" w:color="auto"/>
              <w:bottom w:val="single" w:sz="6" w:space="0" w:color="auto"/>
              <w:right w:val="single" w:sz="6" w:space="0" w:color="auto"/>
            </w:tcBorders>
          </w:tcPr>
          <w:p w14:paraId="52EEFA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Штурмовые самоходные орудия:</w:t>
            </w:r>
          </w:p>
          <w:p w14:paraId="3507A4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8525924" w14:textId="77777777">
        <w:trPr>
          <w:trHeight w:val="432"/>
        </w:trPr>
        <w:tc>
          <w:tcPr>
            <w:tcW w:w="1987" w:type="dxa"/>
            <w:tcBorders>
              <w:top w:val="single" w:sz="6" w:space="0" w:color="auto"/>
              <w:left w:val="single" w:sz="6" w:space="0" w:color="auto"/>
              <w:bottom w:val="single" w:sz="6" w:space="0" w:color="auto"/>
              <w:right w:val="single" w:sz="6" w:space="0" w:color="auto"/>
            </w:tcBorders>
          </w:tcPr>
          <w:p w14:paraId="4EE7BE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75-мм орудие</w:t>
            </w:r>
          </w:p>
          <w:p w14:paraId="2B72CE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6E6F42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p w14:paraId="3D4A79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D30D7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Т-3</w:t>
            </w:r>
          </w:p>
          <w:p w14:paraId="05C015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351298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2573ED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6B5C1D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47DF82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64AFA2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40F557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1F3CEB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75-мм танковая пушка обр. 1940 г.</w:t>
            </w:r>
          </w:p>
          <w:p w14:paraId="7F23C4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A2F85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770</w:t>
            </w:r>
          </w:p>
          <w:p w14:paraId="2C2C3D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842E3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w:t>
            </w:r>
          </w:p>
          <w:p w14:paraId="792A20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02F2B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p w14:paraId="0CAA26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769F09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E29E5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1BCB76F" w14:textId="77777777">
        <w:trPr>
          <w:trHeight w:val="230"/>
        </w:trPr>
        <w:tc>
          <w:tcPr>
            <w:tcW w:w="1987" w:type="dxa"/>
            <w:tcBorders>
              <w:top w:val="single" w:sz="6" w:space="0" w:color="auto"/>
              <w:left w:val="single" w:sz="6" w:space="0" w:color="auto"/>
              <w:bottom w:val="single" w:sz="6" w:space="0" w:color="auto"/>
              <w:right w:val="single" w:sz="6" w:space="0" w:color="auto"/>
            </w:tcBorders>
          </w:tcPr>
          <w:p w14:paraId="4A3280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105-мм гауб. (Веспе)</w:t>
            </w:r>
          </w:p>
          <w:p w14:paraId="0E8471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09F0B5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7266D3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DCC17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Т-3</w:t>
            </w:r>
          </w:p>
          <w:p w14:paraId="49ACD4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065E02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w:t>
            </w:r>
          </w:p>
          <w:p w14:paraId="5FA175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501896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5A58B9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18CD36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p w14:paraId="139E78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17AAA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105-мм гаубица</w:t>
            </w:r>
          </w:p>
          <w:p w14:paraId="19DC3F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3179F0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475</w:t>
            </w:r>
          </w:p>
          <w:p w14:paraId="2E1A5E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4A067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8BABC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EEF86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61430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1F998F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135A3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C377BE4" w14:textId="77777777">
        <w:trPr>
          <w:trHeight w:val="432"/>
        </w:trPr>
        <w:tc>
          <w:tcPr>
            <w:tcW w:w="1987" w:type="dxa"/>
            <w:tcBorders>
              <w:top w:val="single" w:sz="6" w:space="0" w:color="auto"/>
              <w:left w:val="single" w:sz="6" w:space="0" w:color="auto"/>
              <w:bottom w:val="single" w:sz="6" w:space="0" w:color="auto"/>
              <w:right w:val="single" w:sz="6" w:space="0" w:color="auto"/>
            </w:tcBorders>
          </w:tcPr>
          <w:p w14:paraId="1FD600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105-мм орудие</w:t>
            </w:r>
          </w:p>
          <w:p w14:paraId="6FD9680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02787F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63BC68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DFC78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Т-3</w:t>
            </w:r>
          </w:p>
          <w:p w14:paraId="69A2DB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27C716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1BBC7B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28E73D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4A2478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744089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p w14:paraId="6AD84B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06E337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105-мм пехотное оруд. обр. 1933 г.</w:t>
            </w:r>
          </w:p>
          <w:p w14:paraId="55DD97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3103A3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240</w:t>
            </w:r>
          </w:p>
          <w:p w14:paraId="73B73A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7553A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BC46C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979AE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C28BA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11900A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DF35C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3D76CBA" w14:textId="77777777">
        <w:trPr>
          <w:trHeight w:val="432"/>
        </w:trPr>
        <w:tc>
          <w:tcPr>
            <w:tcW w:w="1987" w:type="dxa"/>
            <w:tcBorders>
              <w:top w:val="single" w:sz="6" w:space="0" w:color="auto"/>
              <w:left w:val="single" w:sz="6" w:space="0" w:color="auto"/>
              <w:bottom w:val="single" w:sz="6" w:space="0" w:color="auto"/>
              <w:right w:val="single" w:sz="6" w:space="0" w:color="auto"/>
            </w:tcBorders>
          </w:tcPr>
          <w:p w14:paraId="5798BD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105-мм орудие (Хуммель)</w:t>
            </w:r>
          </w:p>
          <w:p w14:paraId="19A168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6028CF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w:t>
            </w:r>
          </w:p>
          <w:p w14:paraId="189F6F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79479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Т-4</w:t>
            </w:r>
          </w:p>
          <w:p w14:paraId="560752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71EE97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693F25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3691F1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p w14:paraId="17DAD4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4104CD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p w14:paraId="705674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3FC6EB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105-мм пехотное оруд. обр. 1933 г.</w:t>
            </w:r>
          </w:p>
          <w:p w14:paraId="4D48B2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78E697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240</w:t>
            </w:r>
          </w:p>
          <w:p w14:paraId="41537D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AFD21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BEB54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E04A2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2CAE9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3D6426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6382B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BAD286D" w14:textId="77777777">
        <w:trPr>
          <w:trHeight w:val="451"/>
        </w:trPr>
        <w:tc>
          <w:tcPr>
            <w:tcW w:w="1987" w:type="dxa"/>
            <w:tcBorders>
              <w:top w:val="single" w:sz="6" w:space="0" w:color="auto"/>
              <w:left w:val="single" w:sz="6" w:space="0" w:color="auto"/>
              <w:bottom w:val="single" w:sz="6" w:space="0" w:color="auto"/>
              <w:right w:val="single" w:sz="6" w:space="0" w:color="auto"/>
            </w:tcBorders>
          </w:tcPr>
          <w:p w14:paraId="2A731C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88-мм орудие (Фердинанд)</w:t>
            </w:r>
          </w:p>
          <w:p w14:paraId="1D258A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444D33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w:t>
            </w:r>
          </w:p>
          <w:p w14:paraId="60C443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452BC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Спец.база</w:t>
            </w:r>
          </w:p>
          <w:p w14:paraId="551E93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110863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09E3C3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01D88A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w:t>
            </w:r>
          </w:p>
          <w:p w14:paraId="6B3488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59714B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p w14:paraId="6A6E8B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DEA49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88-мм ПТО обр. 1943 г.</w:t>
            </w:r>
          </w:p>
          <w:p w14:paraId="1007F1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BC823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681320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0C760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w:t>
            </w:r>
          </w:p>
          <w:p w14:paraId="3BDA7B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7B1AF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w:t>
            </w:r>
          </w:p>
          <w:p w14:paraId="06AE27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622623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w:t>
            </w:r>
          </w:p>
          <w:p w14:paraId="6C35EC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CF4D3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Анализируя данные, приводимые в таблице, можно сделать следующий вывод:</w:t>
      </w:r>
    </w:p>
    <w:p w14:paraId="077264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Самоходные орудия калибра 75 мм с открытой башней, а также орудия калибра 88 мм и 128 мм по своим тактико-техническим данным предназначаются главным образом для борьбы с танками и организационно входят в состав противотанковых дивизионов.</w:t>
      </w:r>
    </w:p>
    <w:p w14:paraId="4A7E52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Штурмовые орудия (закрытая башня) калибра 75 мм, 105 мм и 150 мм представляют собой специальный тип самоходной артиллерии и предназначаются главным образом для артиллерийской поддержки пехоты.</w:t>
      </w:r>
    </w:p>
    <w:p w14:paraId="6B24A7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Самоходные орудия типа «Фердинанд» по своему вооружению и броне представляют собой сильное средство борьбы с танками, а также используются как средство прорыва при наступлении.</w:t>
      </w:r>
    </w:p>
    <w:p w14:paraId="783E8B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сводной инструкции Верховного командования сухопутной армии Германии, в даль</w:t>
      </w:r>
      <w:r w:rsidRPr="00070ADE">
        <w:rPr>
          <w:rFonts w:ascii="Times New Roman" w:hAnsi="Times New Roman"/>
          <w:color w:val="000000" w:themeColor="text1"/>
          <w:sz w:val="16"/>
          <w:szCs w:val="16"/>
        </w:rPr>
        <w:softHyphen/>
        <w:t>нейшем все самоходные орудия калибра 75 мм с открытой башней будут монтироваться только на базе чехословацкого танка 38-Т. По-видимому, германское командование стремится ликвидировать большую разнотипность самоходных орудий, которая существовала в 1943 году.</w:t>
      </w:r>
    </w:p>
    <w:p w14:paraId="12787F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1944 г. самоходные орудия различных калибров будут производиться только на базе чехосло</w:t>
      </w:r>
      <w:r w:rsidRPr="00070ADE">
        <w:rPr>
          <w:rFonts w:ascii="Times New Roman" w:hAnsi="Times New Roman"/>
          <w:color w:val="000000" w:themeColor="text1"/>
          <w:sz w:val="16"/>
          <w:szCs w:val="16"/>
        </w:rPr>
        <w:softHyphen/>
        <w:t>вацкого танка 38-Т и немецких танков Т-3 и Т-4. Возможно появление самоходных орудий калибра 88 мм и 128 мм на базе танка Т-5 или Т-6. Орудие типа «Фердинанд» будет производиться, но в огра</w:t>
      </w:r>
      <w:r w:rsidRPr="00070ADE">
        <w:rPr>
          <w:rFonts w:ascii="Times New Roman" w:hAnsi="Times New Roman"/>
          <w:color w:val="000000" w:themeColor="text1"/>
          <w:sz w:val="16"/>
          <w:szCs w:val="16"/>
        </w:rPr>
        <w:softHyphen/>
        <w:t>ниченном количестве.</w:t>
      </w:r>
    </w:p>
    <w:p w14:paraId="33CB271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Учитывая все увеличивающееся количество самоходных орудий, организационно входящих в состав противотанковых дивизионов германских танковых, моторизованных и пехотных дивизий, а также отдельных штурмовых дивизионов, можно предположить, что к лету 1944 г. количество само</w:t>
      </w:r>
      <w:r w:rsidRPr="00070ADE">
        <w:rPr>
          <w:rFonts w:ascii="Times New Roman" w:hAnsi="Times New Roman"/>
          <w:color w:val="000000" w:themeColor="text1"/>
          <w:sz w:val="16"/>
          <w:szCs w:val="16"/>
        </w:rPr>
        <w:softHyphen/>
        <w:t>ходных орудий перед фронтом СССР составит 3000-3500 орудий различного типа и калибра.</w:t>
      </w:r>
    </w:p>
    <w:p w14:paraId="13A7C5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2644E4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1943 г. танковый парк Германской армии в качественном отношении значительно вырос, но в количественном отношении значительно уменьшился.</w:t>
      </w:r>
    </w:p>
    <w:p w14:paraId="3BF3A5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Танковая промышленность Германии не восполняет огромные потери в танках, которые несет Германская армия на Восточном фронте, вследствие этого общее количество танков Германии непрерывно уменьшается:</w:t>
      </w:r>
    </w:p>
    <w:p w14:paraId="0D19C2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июлю 1941 г. танковый парк Германии, по английским данным, насчитывал 22000 танков.</w:t>
      </w:r>
    </w:p>
    <w:p w14:paraId="304D83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июню 1942 г. танковый парк Германии, также по английским данным, насчитывал 21000 танков.</w:t>
      </w:r>
    </w:p>
    <w:p w14:paraId="28C017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июню 1943 г. танковый парк Германии, по нашим расчетным данным, насчитывал 15000 танков.</w:t>
      </w:r>
    </w:p>
    <w:p w14:paraId="6C61AC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январю 1944 г. танковый парк Германии, предположительно по расчетным данным составляет 10000 танков.</w:t>
      </w:r>
    </w:p>
    <w:p w14:paraId="7A338F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Учитывая большие потери, которые несут танковые войска Германской армии в зимних боях 1944 г., танковый парк Германии к лету 1944 г. ориентировочно будет иметь 10000-10500 танков.</w:t>
      </w:r>
    </w:p>
    <w:p w14:paraId="27135E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Ориентировочно можно предположить, что соотношение танков по типам машин во всем танко</w:t>
      </w:r>
      <w:r w:rsidRPr="00070ADE">
        <w:rPr>
          <w:rFonts w:ascii="Times New Roman" w:hAnsi="Times New Roman"/>
          <w:color w:val="000000" w:themeColor="text1"/>
          <w:sz w:val="16"/>
          <w:szCs w:val="16"/>
        </w:rPr>
        <w:softHyphen/>
        <w:t>вом парке Германской армии будет составлять:</w:t>
      </w:r>
    </w:p>
    <w:p w14:paraId="2D1C92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средних танков Т-4 и Т-3 до 60% или 6000-6300 танков, тяжелых танков Т-5 30% или 3000-3150 танков,</w:t>
      </w:r>
    </w:p>
    <w:p w14:paraId="3C3DDD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тяжелых танков Т-6 10% или 1000-1050 танков. Распределение танкового парка в Германской армии может составить: В действующей армии до 70% или 7000 танков. В резерве или учебных частях — 20% или 2000 танков. В ремонте на заводах промышленности — 10% или 1000 танков.</w:t>
      </w:r>
    </w:p>
    <w:p w14:paraId="2C6748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числа танков, находящихся в действующей армии, перед фронтом СССР может быть до 70% или 4900-5000 танков.</w:t>
      </w:r>
    </w:p>
    <w:p w14:paraId="116656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маркам и типам (учитывая, что в учебных частях немцы используют в большой степени типы старых марок, а тяжелые танки будут, главным образом, поступать в действующую армию) соотно</w:t>
      </w:r>
      <w:r w:rsidRPr="00070ADE">
        <w:rPr>
          <w:rFonts w:ascii="Times New Roman" w:hAnsi="Times New Roman"/>
          <w:color w:val="000000" w:themeColor="text1"/>
          <w:sz w:val="16"/>
          <w:szCs w:val="16"/>
        </w:rPr>
        <w:softHyphen/>
        <w:t>шение танков перед фронтом СССР может быть:</w:t>
      </w:r>
    </w:p>
    <w:p w14:paraId="1E1B51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средних танков Т-4 до 40% или 2000 танков, тяжелых танков Т-5 до 40% или 2000 танков, тяжелых танков Т-6 до 20% или 1000 танков,</w:t>
      </w:r>
    </w:p>
    <w:p w14:paraId="190FB3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предположение подтверждается следующими данными, согласно трофейным документам: 1. Донесение штаба танковой дивизии «Адольф Гитлер» о состоянии штатного и фактического соста</w:t>
      </w:r>
      <w:r w:rsidRPr="00070ADE">
        <w:rPr>
          <w:rFonts w:ascii="Times New Roman" w:hAnsi="Times New Roman"/>
          <w:color w:val="000000" w:themeColor="text1"/>
          <w:sz w:val="16"/>
          <w:szCs w:val="16"/>
        </w:rPr>
        <w:softHyphen/>
        <w:t>ва дивизии на 13.12.1943 г. показывает, что на вооружении дивизии состояла следующая мат. часть: Всего — 167 танков, из них по типам машин:</w:t>
      </w:r>
    </w:p>
    <w:tbl>
      <w:tblPr>
        <w:tblW w:w="0" w:type="auto"/>
        <w:tblInd w:w="40" w:type="dxa"/>
        <w:tblLayout w:type="fixed"/>
        <w:tblCellMar>
          <w:left w:w="40" w:type="dxa"/>
          <w:right w:w="40" w:type="dxa"/>
        </w:tblCellMar>
        <w:tblLook w:val="0000" w:firstRow="0" w:lastRow="0" w:firstColumn="0" w:lastColumn="0" w:noHBand="0" w:noVBand="0"/>
      </w:tblPr>
      <w:tblGrid>
        <w:gridCol w:w="3168"/>
        <w:gridCol w:w="1498"/>
        <w:gridCol w:w="1699"/>
      </w:tblGrid>
      <w:tr w:rsidR="004D4663" w:rsidRPr="00070ADE" w14:paraId="7B6A4BD4" w14:textId="77777777">
        <w:trPr>
          <w:trHeight w:val="269"/>
        </w:trPr>
        <w:tc>
          <w:tcPr>
            <w:tcW w:w="3168" w:type="dxa"/>
            <w:tcBorders>
              <w:top w:val="single" w:sz="6" w:space="0" w:color="auto"/>
              <w:left w:val="single" w:sz="6" w:space="0" w:color="auto"/>
              <w:bottom w:val="single" w:sz="6" w:space="0" w:color="auto"/>
              <w:right w:val="single" w:sz="6" w:space="0" w:color="auto"/>
            </w:tcBorders>
          </w:tcPr>
          <w:p w14:paraId="0A697E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Название и тип танка</w:t>
            </w:r>
          </w:p>
          <w:p w14:paraId="0C22E1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11F98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p w14:paraId="24280B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F40CA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3B03E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E57569A" w14:textId="77777777">
        <w:trPr>
          <w:trHeight w:val="278"/>
        </w:trPr>
        <w:tc>
          <w:tcPr>
            <w:tcW w:w="3168" w:type="dxa"/>
            <w:tcBorders>
              <w:top w:val="single" w:sz="6" w:space="0" w:color="auto"/>
              <w:left w:val="single" w:sz="6" w:space="0" w:color="auto"/>
              <w:bottom w:val="single" w:sz="6" w:space="0" w:color="auto"/>
              <w:right w:val="single" w:sz="6" w:space="0" w:color="auto"/>
            </w:tcBorders>
          </w:tcPr>
          <w:p w14:paraId="37EC06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средних танков Т-3</w:t>
            </w:r>
          </w:p>
          <w:p w14:paraId="74BE06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90333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4AE226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60F46D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или 3%</w:t>
            </w:r>
          </w:p>
          <w:p w14:paraId="1C2764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3666CD5" w14:textId="77777777">
        <w:trPr>
          <w:trHeight w:val="278"/>
        </w:trPr>
        <w:tc>
          <w:tcPr>
            <w:tcW w:w="3168" w:type="dxa"/>
            <w:tcBorders>
              <w:top w:val="single" w:sz="6" w:space="0" w:color="auto"/>
              <w:left w:val="single" w:sz="6" w:space="0" w:color="auto"/>
              <w:bottom w:val="single" w:sz="6" w:space="0" w:color="auto"/>
              <w:right w:val="single" w:sz="6" w:space="0" w:color="auto"/>
            </w:tcBorders>
          </w:tcPr>
          <w:p w14:paraId="67A213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средних танков Т-4</w:t>
            </w:r>
          </w:p>
          <w:p w14:paraId="4FD339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5554E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w:t>
            </w:r>
          </w:p>
          <w:p w14:paraId="64A29C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D6759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или 38%</w:t>
            </w:r>
          </w:p>
          <w:p w14:paraId="10D76C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8231C42" w14:textId="77777777">
        <w:trPr>
          <w:trHeight w:val="269"/>
        </w:trPr>
        <w:tc>
          <w:tcPr>
            <w:tcW w:w="3168" w:type="dxa"/>
            <w:tcBorders>
              <w:top w:val="single" w:sz="6" w:space="0" w:color="auto"/>
              <w:left w:val="single" w:sz="6" w:space="0" w:color="auto"/>
              <w:bottom w:val="single" w:sz="6" w:space="0" w:color="auto"/>
              <w:right w:val="single" w:sz="6" w:space="0" w:color="auto"/>
            </w:tcBorders>
          </w:tcPr>
          <w:p w14:paraId="7B69F0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тяжелых танков Т-5</w:t>
            </w:r>
          </w:p>
          <w:p w14:paraId="2A480F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98143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5F1545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E0B01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или 45%</w:t>
            </w:r>
          </w:p>
          <w:p w14:paraId="174549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2182AFC" w14:textId="77777777">
        <w:trPr>
          <w:trHeight w:val="278"/>
        </w:trPr>
        <w:tc>
          <w:tcPr>
            <w:tcW w:w="3168" w:type="dxa"/>
            <w:tcBorders>
              <w:top w:val="single" w:sz="6" w:space="0" w:color="auto"/>
              <w:left w:val="single" w:sz="6" w:space="0" w:color="auto"/>
              <w:bottom w:val="single" w:sz="6" w:space="0" w:color="auto"/>
              <w:right w:val="single" w:sz="6" w:space="0" w:color="auto"/>
            </w:tcBorders>
          </w:tcPr>
          <w:p w14:paraId="55FFE3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тяжелых танков Т-6</w:t>
            </w:r>
          </w:p>
          <w:p w14:paraId="54D0F3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F09ED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p w14:paraId="6AF5B4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6F1124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или 14%</w:t>
            </w:r>
          </w:p>
          <w:p w14:paraId="7FB29C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238215E" w14:textId="77777777">
        <w:trPr>
          <w:trHeight w:val="298"/>
        </w:trPr>
        <w:tc>
          <w:tcPr>
            <w:tcW w:w="3168" w:type="dxa"/>
            <w:tcBorders>
              <w:top w:val="single" w:sz="6" w:space="0" w:color="auto"/>
              <w:left w:val="single" w:sz="6" w:space="0" w:color="auto"/>
              <w:bottom w:val="single" w:sz="6" w:space="0" w:color="auto"/>
              <w:right w:val="single" w:sz="6" w:space="0" w:color="auto"/>
            </w:tcBorders>
          </w:tcPr>
          <w:p w14:paraId="7435BD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BFE4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8B0D0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167</w:t>
            </w:r>
          </w:p>
          <w:p w14:paraId="3241ED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64F04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или 100%</w:t>
            </w:r>
          </w:p>
          <w:p w14:paraId="406DE0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E64EF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 процент средних танков составляет к общему количеству танков — 41%, тяжелых — 59%.</w:t>
      </w:r>
    </w:p>
    <w:p w14:paraId="1137D3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Танковая дивизия «Адольф Гитлер» прибыла с запада на Восточный фронт после укомплектова</w:t>
      </w:r>
      <w:r w:rsidRPr="00070ADE">
        <w:rPr>
          <w:rFonts w:ascii="Times New Roman" w:hAnsi="Times New Roman"/>
          <w:color w:val="000000" w:themeColor="text1"/>
          <w:sz w:val="16"/>
          <w:szCs w:val="16"/>
        </w:rPr>
        <w:softHyphen/>
        <w:t>ния в ноябре месяце и состояние ее танкового парка, по-видимому, является характерным для новых формирований танковых дивизий.</w:t>
      </w:r>
    </w:p>
    <w:p w14:paraId="25C6675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Приказ Ставки верховного командования сухопутных войск Германской армии №1/4430/43 от 24.09.1943 г. вводит единую новую организацию для всех танковых дивизий, танковый полк кото</w:t>
      </w:r>
      <w:r w:rsidRPr="00070ADE">
        <w:rPr>
          <w:rFonts w:ascii="Times New Roman" w:hAnsi="Times New Roman"/>
          <w:color w:val="000000" w:themeColor="text1"/>
          <w:sz w:val="16"/>
          <w:szCs w:val="16"/>
        </w:rPr>
        <w:softHyphen/>
        <w:t>рых состоит из 2 танковых батальонов с общим количеством 200 танков, из них 50% танков Т-4 и 50% танков Т-5.</w:t>
      </w:r>
    </w:p>
    <w:p w14:paraId="47779A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 исключена возможность появления в небольшом количестве новых типов тяжелых танков, вооруженных 128-мм пушкой, сконструированных на базе танка Т-5 или Т-6. Телетанки Б-4, по-видимому, будут применяться, но в ограниченном количестве.</w:t>
      </w:r>
    </w:p>
    <w:p w14:paraId="526BF9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Самоходные орудия получат еще большее развитие, чем в 1943 году, причем разнотипность ору</w:t>
      </w:r>
      <w:r w:rsidRPr="00070ADE">
        <w:rPr>
          <w:rFonts w:ascii="Times New Roman" w:hAnsi="Times New Roman"/>
          <w:color w:val="000000" w:themeColor="text1"/>
          <w:sz w:val="16"/>
          <w:szCs w:val="16"/>
        </w:rPr>
        <w:softHyphen/>
        <w:t>дий будет сведена до минимума за счет стандартизации выпуска самоходных орудий на базе чехос</w:t>
      </w:r>
      <w:r w:rsidRPr="00070ADE">
        <w:rPr>
          <w:rFonts w:ascii="Times New Roman" w:hAnsi="Times New Roman"/>
          <w:color w:val="000000" w:themeColor="text1"/>
          <w:sz w:val="16"/>
          <w:szCs w:val="16"/>
        </w:rPr>
        <w:softHyphen/>
        <w:t>ловацких танков 38-Т и средних танков Т-3 и Т-4.</w:t>
      </w:r>
    </w:p>
    <w:p w14:paraId="1360BB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разведывательного отдела штаба БТ и МВ КА</w:t>
      </w:r>
    </w:p>
    <w:p w14:paraId="010681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гвардии полковник Сидорович</w:t>
      </w:r>
    </w:p>
    <w:p w14:paraId="71A047E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помощник начальника разведывательного отдела штаба БТ и МВ КА</w:t>
      </w:r>
    </w:p>
    <w:p w14:paraId="2CF44F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инженер-подполковник Андреев</w:t>
      </w:r>
    </w:p>
    <w:p w14:paraId="33A179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Согласовано: Ст. помощник начальника 7 отдела 2 управления ГРУ КА</w:t>
      </w:r>
    </w:p>
    <w:p w14:paraId="54C066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полковник Баженов</w:t>
      </w:r>
    </w:p>
    <w:p w14:paraId="743734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Согласовано:</w:t>
      </w:r>
    </w:p>
    <w:p w14:paraId="04DD7B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2726. Л. 1-8. Копия.</w:t>
      </w:r>
    </w:p>
    <w:p w14:paraId="3FDCC8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помощник начальника 4 отдела РУ ГШ КА инженер-подполковник Кузнецов (11403).</w:t>
      </w:r>
    </w:p>
    <w:p w14:paraId="141016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4A3DE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советские войска освободили от фашистов Винницу и форсировали Южный Буг (4962) в ходе Проскуровско-Черновицкой операции (4963 ).</w:t>
      </w:r>
    </w:p>
    <w:p w14:paraId="6335BF6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FCAF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March 20th, 1944: The Red Army recaptures Vinnitsa in the Ukraine, Hitler's HQ in 1943 (3819).</w:t>
      </w:r>
    </w:p>
    <w:p w14:paraId="3BDC2C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8A312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1УФ (Г.К.Ж.) освободил Винницу (3398,118).</w:t>
      </w:r>
    </w:p>
    <w:p w14:paraId="7302B0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4D255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2F9E5A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0060B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Постановление ГКО № 5414 [О мерах по обеспечению педагогическими кадрами школ национальных республик и освобожденных районов.] (7199, 74).</w:t>
      </w:r>
    </w:p>
    <w:p w14:paraId="4E8C1BA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0D020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Распоряжение ГКО № 5436 [О направлении на обучение шоферской специальности без отрыва от основной работы в учебной сети НКАТ РСФСР военнообязанных запаса до 35 лет, не годных к строевой службе.] (7199, 189).</w:t>
      </w:r>
    </w:p>
    <w:p w14:paraId="3E146B4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64C32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вышло Постановление ГКО № 5440 О восстановлении в освобожденных районах хлебофуражных и продтоварных баз Главного управления государственных материальных резервов при Совнаркоме СССР. (7199, 204-206,207-211).</w:t>
      </w:r>
    </w:p>
    <w:p w14:paraId="249ED39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28BC7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41D430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F5A363"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20–21 марта (ночь) 1944 двадцать Ланкастеров (14 из 617-й эскадрильи) совершают успешный прицельный налет на завод взрывчатых веществ в Ангулеме, Франция (20373).</w:t>
      </w:r>
    </w:p>
    <w:p w14:paraId="198A188F" w14:textId="77777777" w:rsidR="004D5E52" w:rsidRPr="00070ADE" w:rsidRDefault="004D5E52" w:rsidP="00B56F90">
      <w:pPr>
        <w:spacing w:after="0" w:line="240" w:lineRule="auto"/>
        <w:jc w:val="both"/>
        <w:rPr>
          <w:rFonts w:ascii="Times New Roman" w:hAnsi="Times New Roman"/>
          <w:color w:val="000000" w:themeColor="text1"/>
          <w:sz w:val="16"/>
          <w:szCs w:val="16"/>
        </w:rPr>
      </w:pPr>
    </w:p>
    <w:p w14:paraId="0447FDB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марта 1944 в Алжире расстрелян бывший министр внутренних дел вишистской Франции Пьер Пюше (4962).</w:t>
      </w:r>
    </w:p>
    <w:p w14:paraId="58DE36F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F0875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2985D3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0FB1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21 марта 1944 в ходе заводских испытаний, которые шли с 22 февраля, на Су-6 АМ-42 удалось выполнить 8 полетов с суммарным налетом 4 ч 50 мин. Были получены неплохие летные данные. Максимальная скорость у земли составила 490 км/ч. Длина разбега — 420 м.</w:t>
      </w:r>
    </w:p>
    <w:p w14:paraId="0B226A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Винтомоторная группа на всех режимах работала устойчиво. При пикировании скорость достигала 530 км/ч по прибору. Самолет вел себя устойчиво. Никаких ненормальностей не наблюдалось. Для уменьшения нагрузок на ручку управления самалетоми педали от рулей несколько изменили роговую и осевую компенсации.</w:t>
      </w:r>
    </w:p>
    <w:p w14:paraId="424EAF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Вместе с тем отмечалось, что «мотор работает богато», а свечи ВГ-27 обеспечивают нормальную работу мотора только в течение 2 ч, после чего их приходится заменять.</w:t>
      </w:r>
    </w:p>
    <w:p w14:paraId="5FB6A6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целом по летным и эксплуатационным данным самолет оценили положительно. Былшо решено передать его на государ</w:t>
      </w:r>
      <w:r w:rsidRPr="00070ADE">
        <w:rPr>
          <w:rFonts w:ascii="Times New Roman" w:hAnsi="Times New Roman"/>
          <w:color w:val="000000" w:themeColor="text1"/>
          <w:sz w:val="16"/>
          <w:szCs w:val="16"/>
        </w:rPr>
        <w:softHyphen/>
        <w:t>ственные испытания (11474,434).</w:t>
      </w:r>
    </w:p>
    <w:p w14:paraId="7D2961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C9AD7F"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21 марта 1944 с 22 февраля в рамках заводских испытаний на Су-6 АМ-42 уда</w:t>
      </w:r>
      <w:r w:rsidRPr="00070ADE">
        <w:rPr>
          <w:rFonts w:ascii="Times New Roman" w:hAnsi="Times New Roman"/>
          <w:color w:val="000000" w:themeColor="text1"/>
          <w:sz w:val="16"/>
          <w:szCs w:val="16"/>
        </w:rPr>
        <w:softHyphen/>
        <w:t>лось выполнить 8 полетов с суммарным налетом 4 ч 50 мин. Были получены не</w:t>
      </w:r>
      <w:r w:rsidRPr="00070ADE">
        <w:rPr>
          <w:rFonts w:ascii="Times New Roman" w:hAnsi="Times New Roman"/>
          <w:color w:val="000000" w:themeColor="text1"/>
          <w:sz w:val="16"/>
          <w:szCs w:val="16"/>
        </w:rPr>
        <w:softHyphen/>
        <w:t>плохие летные данные. Максимальная скорость у земли достигала 490 км/ч. Раз</w:t>
      </w:r>
      <w:r w:rsidRPr="00070ADE">
        <w:rPr>
          <w:rFonts w:ascii="Times New Roman" w:hAnsi="Times New Roman"/>
          <w:color w:val="000000" w:themeColor="text1"/>
          <w:sz w:val="16"/>
          <w:szCs w:val="16"/>
        </w:rPr>
        <w:softHyphen/>
        <w:t>бег составил 420 м. При пикировании скорость доводилась до 530 км/ч по при</w:t>
      </w:r>
      <w:r w:rsidRPr="00070ADE">
        <w:rPr>
          <w:rFonts w:ascii="Times New Roman" w:hAnsi="Times New Roman"/>
          <w:color w:val="000000" w:themeColor="text1"/>
          <w:sz w:val="16"/>
          <w:szCs w:val="16"/>
        </w:rPr>
        <w:softHyphen/>
        <w:t>бору. Самолет вел себя устойчиво. Ника</w:t>
      </w:r>
      <w:r w:rsidRPr="00070ADE">
        <w:rPr>
          <w:rFonts w:ascii="Times New Roman" w:hAnsi="Times New Roman"/>
          <w:color w:val="000000" w:themeColor="text1"/>
          <w:sz w:val="16"/>
          <w:szCs w:val="16"/>
        </w:rPr>
        <w:softHyphen/>
        <w:t>ких ненормальностей не наблюдалось.</w:t>
      </w:r>
    </w:p>
    <w:p w14:paraId="0E119A3C"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уменьшения нагрузок на ручку управ</w:t>
      </w:r>
      <w:r w:rsidRPr="00070ADE">
        <w:rPr>
          <w:rFonts w:ascii="Times New Roman" w:hAnsi="Times New Roman"/>
          <w:color w:val="000000" w:themeColor="text1"/>
          <w:sz w:val="16"/>
          <w:szCs w:val="16"/>
        </w:rPr>
        <w:softHyphen/>
        <w:t>ления самолетом и педали от рулей не</w:t>
      </w:r>
      <w:r w:rsidRPr="00070ADE">
        <w:rPr>
          <w:rFonts w:ascii="Times New Roman" w:hAnsi="Times New Roman"/>
          <w:color w:val="000000" w:themeColor="text1"/>
          <w:sz w:val="16"/>
          <w:szCs w:val="16"/>
        </w:rPr>
        <w:softHyphen/>
        <w:t>сколько изменили роговую и осевую ком</w:t>
      </w:r>
      <w:r w:rsidRPr="00070ADE">
        <w:rPr>
          <w:rFonts w:ascii="Times New Roman" w:hAnsi="Times New Roman"/>
          <w:color w:val="000000" w:themeColor="text1"/>
          <w:sz w:val="16"/>
          <w:szCs w:val="16"/>
        </w:rPr>
        <w:softHyphen/>
        <w:t>пенсации. Вместе с тем отмечалось, что «мотор работает богато», а свечи ВГ-27 обеспечивают нормальную работу мотора только в течение 2 ч, после чего их при</w:t>
      </w:r>
      <w:r w:rsidRPr="00070ADE">
        <w:rPr>
          <w:rFonts w:ascii="Times New Roman" w:hAnsi="Times New Roman"/>
          <w:color w:val="000000" w:themeColor="text1"/>
          <w:sz w:val="16"/>
          <w:szCs w:val="16"/>
        </w:rPr>
        <w:softHyphen/>
        <w:t>ходится менять.</w:t>
      </w:r>
    </w:p>
    <w:p w14:paraId="5456B302"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решили передать на госу</w:t>
      </w:r>
      <w:r w:rsidRPr="00070ADE">
        <w:rPr>
          <w:rFonts w:ascii="Times New Roman" w:hAnsi="Times New Roman"/>
          <w:color w:val="000000" w:themeColor="text1"/>
          <w:sz w:val="16"/>
          <w:szCs w:val="16"/>
        </w:rPr>
        <w:softHyphen/>
        <w:t>дарственные испытания. Однако 29 марта при жесткой посадке на аэродром Чкаловская (ГК НИИ ВВС) хвостовая часть и оперение получили серьезные поврежде</w:t>
      </w:r>
      <w:r w:rsidRPr="00070ADE">
        <w:rPr>
          <w:rFonts w:ascii="Times New Roman" w:hAnsi="Times New Roman"/>
          <w:color w:val="000000" w:themeColor="text1"/>
          <w:sz w:val="16"/>
          <w:szCs w:val="16"/>
        </w:rPr>
        <w:softHyphen/>
        <w:t>ния. Самолет перевезли на завод №289 для ремонта. (19853).</w:t>
      </w:r>
    </w:p>
    <w:p w14:paraId="1D1E41F3" w14:textId="77777777" w:rsidR="004D5E52" w:rsidRPr="00070ADE" w:rsidRDefault="004D5E52" w:rsidP="00B56F90">
      <w:pPr>
        <w:spacing w:after="0" w:line="240" w:lineRule="auto"/>
        <w:jc w:val="both"/>
        <w:rPr>
          <w:rFonts w:ascii="Times New Roman" w:hAnsi="Times New Roman"/>
          <w:color w:val="000000" w:themeColor="text1"/>
          <w:sz w:val="16"/>
          <w:szCs w:val="16"/>
        </w:rPr>
      </w:pPr>
    </w:p>
    <w:p w14:paraId="378F898E" w14:textId="77777777" w:rsidR="00133AA8" w:rsidRPr="00070ADE" w:rsidRDefault="00133AA8"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21 марта 1944 закончились ис</w:t>
      </w:r>
      <w:r w:rsidRPr="00070ADE">
        <w:rPr>
          <w:color w:val="000000" w:themeColor="text1"/>
          <w:sz w:val="16"/>
          <w:szCs w:val="16"/>
        </w:rPr>
        <w:softHyphen/>
        <w:t>пытания Су-6 АМ-42, которые шли с 22 февраля 1944. Испытания проводили ведущий инженер В. П. Балуев, ведущий летчик Г. И. Комаров.на Су-6 АМ-42 удалось вы</w:t>
      </w:r>
      <w:r w:rsidRPr="00070ADE">
        <w:rPr>
          <w:color w:val="000000" w:themeColor="text1"/>
          <w:sz w:val="16"/>
          <w:szCs w:val="16"/>
        </w:rPr>
        <w:softHyphen/>
        <w:t>полнить всего 8 полетов с суммарным налетом 4 ч 50 мин. Были получены неплохие летные дан</w:t>
      </w:r>
      <w:r w:rsidRPr="00070ADE">
        <w:rPr>
          <w:color w:val="000000" w:themeColor="text1"/>
          <w:sz w:val="16"/>
          <w:szCs w:val="16"/>
        </w:rPr>
        <w:softHyphen/>
        <w:t>ные. Максимальная скорость у земли составила 490 км/ч. Длина разбега — 420 м (17500).</w:t>
      </w:r>
    </w:p>
    <w:p w14:paraId="189CDCD6" w14:textId="77777777" w:rsidR="00133AA8" w:rsidRPr="00070ADE" w:rsidRDefault="00133AA8" w:rsidP="00B56F90">
      <w:pPr>
        <w:spacing w:after="0" w:line="240" w:lineRule="auto"/>
        <w:jc w:val="both"/>
        <w:rPr>
          <w:rFonts w:ascii="Times New Roman" w:hAnsi="Times New Roman"/>
          <w:color w:val="000000" w:themeColor="text1"/>
          <w:sz w:val="16"/>
          <w:szCs w:val="16"/>
        </w:rPr>
      </w:pPr>
    </w:p>
    <w:p w14:paraId="54D0C5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марта 1944 решением Правительства были утверждены Максимальные скорости самолета Ла-7, которые в серийном выпуске были ниже заявленных гл. конструктором по причине существенного отличия серийного самолета от эталона, прошедшего государственные испытания. Самолет имел ряд конструктивных дефектов, снижающих летно-технические данные, например - высокая температура в кабине летчика, доходящая до 50-60 градусов, высокая температура винтомоторной группы, приводящая к перегреву головок цилиндра и масла, попадание выхлопных газов в кабину летчика, переохлаждение масла на крейсерском режиме полета, неудовлетворительная работа регулятора смеси и насоса непосредственного впрыска, наконец, течь масла через уплотнения мотора (2633,10).</w:t>
      </w:r>
    </w:p>
    <w:p w14:paraId="6841FF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F1C9C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4D699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C9DF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марта 1944 г. на основе полученных донесений о боевом примене</w:t>
      </w:r>
      <w:r w:rsidRPr="00070ADE">
        <w:rPr>
          <w:rFonts w:ascii="Times New Roman" w:hAnsi="Times New Roman"/>
          <w:color w:val="000000" w:themeColor="text1"/>
          <w:sz w:val="16"/>
          <w:szCs w:val="16"/>
        </w:rPr>
        <w:softHyphen/>
        <w:t>нии первых танков ИС-1 во время проведения Корсунь-Шевченков-ской наступательной операции начальник ГБТУ генерал-лейтенант танковых войск Б.Г. Вершинин уточнил выданные ЧКЗ тактико-техни</w:t>
      </w:r>
      <w:r w:rsidRPr="00070ADE">
        <w:rPr>
          <w:rFonts w:ascii="Times New Roman" w:hAnsi="Times New Roman"/>
          <w:color w:val="000000" w:themeColor="text1"/>
          <w:sz w:val="16"/>
          <w:szCs w:val="16"/>
        </w:rPr>
        <w:softHyphen/>
        <w:t>ческие требования на проектирование тяжелого танка. В этих уточнен</w:t>
      </w:r>
      <w:r w:rsidRPr="00070ADE">
        <w:rPr>
          <w:rFonts w:ascii="Times New Roman" w:hAnsi="Times New Roman"/>
          <w:color w:val="000000" w:themeColor="text1"/>
          <w:sz w:val="16"/>
          <w:szCs w:val="16"/>
        </w:rPr>
        <w:softHyphen/>
        <w:t>ных ТТТ вместо конкретно заданных толщин брони корпуса и башни танка были указаны лишь требования, предъявляемые к его броневой защите: лобовая часть корпуса и башни и бортовая броня подбашенной коробки не должны поражаться снарядами пушек танков Т-VI "Тигр I", Т-У "Пантера" и САУ "Фердинанд" ("Элефант") со всех дистанций, а борт башни и нижняя часть борта корпуса - не должны пробиваться снарядами вышеуказанных пушек с дистанции 500 м. На основании вышеперечисленных ТТТ в НКТП было разработано несколько проектов нового тяжелого танка. Один из проектов тяжелого танка, получившего условное наименование ИС-2М, был разработан весной 1944 г. группой Н.Ф. Шашмурина. Эта машина отличалась от се</w:t>
      </w:r>
      <w:r w:rsidRPr="00070ADE">
        <w:rPr>
          <w:rFonts w:ascii="Times New Roman" w:hAnsi="Times New Roman"/>
          <w:color w:val="000000" w:themeColor="text1"/>
          <w:sz w:val="16"/>
          <w:szCs w:val="16"/>
        </w:rPr>
        <w:softHyphen/>
        <w:t>рийного образца нетрадиционной схемой компоновки, улучшенной броневой защитой лобовой проекции корпуса и башни. Компоновочная схема танка предусматривала размещение боевого отделения с вращаю</w:t>
      </w:r>
      <w:r w:rsidRPr="00070ADE">
        <w:rPr>
          <w:rFonts w:ascii="Times New Roman" w:hAnsi="Times New Roman"/>
          <w:color w:val="000000" w:themeColor="text1"/>
          <w:sz w:val="16"/>
          <w:szCs w:val="16"/>
        </w:rPr>
        <w:softHyphen/>
        <w:t>щейся башней и трансмиссионного отделения в кормовой части танка. Отделение управления располагалось в носовой части корпуса, мотор</w:t>
      </w:r>
      <w:r w:rsidRPr="00070ADE">
        <w:rPr>
          <w:rFonts w:ascii="Times New Roman" w:hAnsi="Times New Roman"/>
          <w:color w:val="000000" w:themeColor="text1"/>
          <w:sz w:val="16"/>
          <w:szCs w:val="16"/>
        </w:rPr>
        <w:softHyphen/>
        <w:t>ное отделение - в средней. В ходовой части использовались опорные катки увеличенного диаметра без поддерживающих катков и ведущие колеса кормового расположения. Крутящий момент от коленчатого ва</w:t>
      </w:r>
      <w:r w:rsidRPr="00070ADE">
        <w:rPr>
          <w:rFonts w:ascii="Times New Roman" w:hAnsi="Times New Roman"/>
          <w:color w:val="000000" w:themeColor="text1"/>
          <w:sz w:val="16"/>
          <w:szCs w:val="16"/>
        </w:rPr>
        <w:softHyphen/>
        <w:t>ла двигателя к агрегатам трансмиссии передавался с помощью кардан</w:t>
      </w:r>
      <w:r w:rsidRPr="00070ADE">
        <w:rPr>
          <w:rFonts w:ascii="Times New Roman" w:hAnsi="Times New Roman"/>
          <w:color w:val="000000" w:themeColor="text1"/>
          <w:sz w:val="16"/>
          <w:szCs w:val="16"/>
        </w:rPr>
        <w:softHyphen/>
        <w:t>ного вала, проходившего под полом боевого отделения. Расположение боевого отделения в кормовой части корпуса исключало возможность утыкания длинноствольной 122-мм пушки в грунт при преодолении препятствий и облегчало маневрирование машины в ограниченных проходах. Ввиду того, что в начале лета 1944 г. усилия КБ завода № 100 были направлены на разработку нового тяжелого танка ИС-6 ("Объект 252" и "Объект 253"), дальнейшая проработка варианта танка ИС-2М была прекращена. Параллельно с разработкой проектов новых тяжелых танков на Опытном заводе № 100 непрерывно велись работы по улучшению кон</w:t>
      </w:r>
      <w:r w:rsidRPr="00070ADE">
        <w:rPr>
          <w:rFonts w:ascii="Times New Roman" w:hAnsi="Times New Roman"/>
          <w:color w:val="000000" w:themeColor="text1"/>
          <w:sz w:val="16"/>
          <w:szCs w:val="16"/>
        </w:rPr>
        <w:softHyphen/>
        <w:t>струкции узлов и агрегатов серийно выпускавшихся танков ИС (10703).</w:t>
      </w:r>
    </w:p>
    <w:p w14:paraId="169F05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944143" w14:textId="77777777" w:rsidR="00133AA8" w:rsidRPr="00070ADE" w:rsidRDefault="00133AA8"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21 марта 1944 года появились уточнённые ТТТ на тяжелый танк, согласно которым боевая масса танка оценивалась в районе 55–56 тонн. Цифры толщины брони из требований исчезли, зато появилось указание надёжно защитить танк от орудий «Тигра», «Пантеры» и «Фердинанда» в лобовой проекции. С борта он не должен был пробиваться на дистанции в 500 метров и далее. Вооружать танк предполагалось 122-мм пушкой с начальной скоростью полёта снаряда 1000 м/с и с боекомплектом 30–40 выстрелов. Приводить в движение машину должен был 1000-сильный дизельный двигатель, обеспечивающий максимальную скорость 40 км/ч и среднюю скорость по грунтовой дороге 24–26 км/ч. Танк оснащался либо электрической, либо механической трансмиссией, в последнем случае использовалась 6-скоростная планетарная коробка передач с 2-ступенчатым механизмом поворота.</w:t>
      </w:r>
    </w:p>
    <w:p w14:paraId="6B98A0B9" w14:textId="77777777" w:rsidR="00133AA8" w:rsidRPr="00070ADE" w:rsidRDefault="00133AA8"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Эти требования были реализованы в виде эскизного проекта, разработанного под руководством Н.Ф. Шашмурина. Танк получил кормовое расположение башни, в корпусе размещались механик-водитель и радист. Конструкции башни, ходовой части и отчасти корпуса как раз и стали отправной точкой при разработке менее радикальной модернизации ИС-2 (17756).</w:t>
      </w:r>
    </w:p>
    <w:p w14:paraId="595ABCEF" w14:textId="77777777" w:rsidR="00133AA8" w:rsidRPr="00070ADE" w:rsidRDefault="00133AA8" w:rsidP="00B56F90">
      <w:pPr>
        <w:pStyle w:val="Bodytext1"/>
        <w:shd w:val="clear" w:color="auto" w:fill="auto"/>
        <w:spacing w:line="240" w:lineRule="auto"/>
        <w:ind w:firstLine="0"/>
        <w:rPr>
          <w:rFonts w:ascii="Times New Roman" w:hAnsi="Times New Roman" w:cs="Times New Roman"/>
          <w:color w:val="000000" w:themeColor="text1"/>
          <w:sz w:val="16"/>
          <w:szCs w:val="16"/>
        </w:rPr>
      </w:pPr>
    </w:p>
    <w:p w14:paraId="41A5A437" w14:textId="77777777" w:rsidR="00AA3357" w:rsidRPr="00C94B78" w:rsidRDefault="00AA33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21 марта 1944 года руководство ГБТУ КА утвердило тактико-технические требования на проектирование тяжелого танка. Согласно им, танк должен был иметь боевую массу 55-56 тонн, а также экипаж из 5 человек. Соседние требования на аналогичный тяжелый танк конкретизировали экипаж. Пятым членом команды являлся радист, он же младший механик-водитель. Размещался он в отделении управления. В разных вариантах требованиях броневая защита могла различаться. Данные вариант оказался более размытым в формулировках. Впрочем, защита от орудия "Фердинанда" явно говорила о том, что данный танк оказывался равнозначен Объекту 701.</w:t>
      </w:r>
    </w:p>
    <w:p w14:paraId="0A99A83A" w14:textId="77777777" w:rsidR="00AA3357" w:rsidRPr="00C94B78" w:rsidRDefault="00AA33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качестве вооружения предполагалась 122-мм пушка с клиновым затвором, а также начальной скоростью 1000 м/с. Таковая пушка проектировалась ОКБ-172 еще с осени 1943 года, изначально она обозначалась как ОБМ-51. В дальнейшем она получила индекс БЛ-13. На эскизах, правда, обычно рисовали Д-25Т, но надо понимать - "танкисты" пушки рисовали условно. Вместе с орудием был спарен пулемет ГВГ (СГ-43). Предусматривался и зенитный пулемет ДШК, но на эскизах его не рисовали, поскольку зенитная установка еще находилась в работе.</w:t>
      </w:r>
    </w:p>
    <w:p w14:paraId="43D76F2B" w14:textId="77777777" w:rsidR="00AA3357" w:rsidRPr="00C94B78" w:rsidRDefault="00AA33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Не менее интересно выглядела и ситуация вокруг мотора. Согласно требованиям, предполагался двигатель мощностью 1000 л.с. Под таковым подразумевался форсированный В-12, который разрабатывался для установки в Объект 701. Вообще он строился с учетом мощности 750 лошадиных сил, но на испытаниях его (а также мотор В-14, например) пытались гонять и на более высокой мощности. С мотором совместно работала либо планетарная, либо электромеханическая трансмиссия. (24939).</w:t>
      </w:r>
    </w:p>
    <w:p w14:paraId="3AD0A401" w14:textId="77777777" w:rsidR="00AA3357" w:rsidRPr="00C94B78" w:rsidRDefault="00AA3357" w:rsidP="00B56F90">
      <w:pPr>
        <w:spacing w:after="0" w:line="240" w:lineRule="auto"/>
        <w:jc w:val="both"/>
        <w:rPr>
          <w:rFonts w:ascii="Times New Roman" w:hAnsi="Times New Roman"/>
          <w:color w:val="0070C0"/>
          <w:sz w:val="16"/>
          <w:szCs w:val="16"/>
        </w:rPr>
      </w:pPr>
    </w:p>
    <w:p w14:paraId="090F140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марта 1944 вышло Постановление ГКО № 5445 Об отгрузке цемента, стекла и кровельных материалов стройкам Наркомстроя. РГАНИР, Фонд ГКО, д. 220, лл. 1-2,3-4 (11012).</w:t>
      </w:r>
    </w:p>
    <w:p w14:paraId="228076B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557DF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марта 1944 вышло Постановление ГКО № 5446 Об увеличении производства аэрофотоматериалов в 1944 году и мерах помощи кинопленочной промышленности. РГАНИР, Фонд ГКО, д. 220, лл. 5-9,10-22 (11012).</w:t>
      </w:r>
    </w:p>
    <w:p w14:paraId="0725AC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B53DE2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марта 1944 вышло Распоряжение ГКО № 5447 [О мобилизации 60 возчиков с лошадьми на строительство железнодорожной ветки от Чебоксарской электростанции до торфопредприятия.] (7200, 23).</w:t>
      </w:r>
    </w:p>
    <w:p w14:paraId="6B7D9BB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CB7B6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марта 1944 Балтийцы спустили на воду 12-й стотонник типа МТ-1 (10671).</w:t>
      </w:r>
    </w:p>
    <w:p w14:paraId="3549A9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5F015F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68739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C66F2C"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21 марта</w:t>
      </w:r>
      <w:r w:rsidRPr="00070ADE">
        <w:rPr>
          <w:rFonts w:ascii="Times New Roman" w:hAnsi="Times New Roman"/>
          <w:color w:val="000000" w:themeColor="text1"/>
          <w:sz w:val="16"/>
          <w:szCs w:val="16"/>
        </w:rPr>
        <w:t xml:space="preserve"> в 1944 году оперативная сводка Совинформбюро:</w:t>
      </w:r>
    </w:p>
    <w:p w14:paraId="73A3D3A8"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21 марта юго-западнее города Дубно наши войска, продолжаянаступление, овладели районным центром Ровенской области Верба, районным центром Львовской области Подкамень, а также с боями заняли более 60 других населённых пунктов, в том числе крупные населённые пункты: Столбец, Града, Бучина,Суховоля, Накваша, Немяч, Лопушна.</w:t>
      </w:r>
    </w:p>
    <w:p w14:paraId="6EFBCAB7"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Винница наши войска продолжали наступление и с боями заняли более 50 населённых пунктов, среди которых крупные населённыепункты Сусловцы, Багриновцы, Боркив, Микулинцы, Дашковцы, Юзвин, Медвежье Ушко, Широкая Гребля, Браилов, Коростовцы, Степанки, Кудиевцы, Носкивцы и железнодорожные станции Браилов, Матейково.</w:t>
      </w:r>
    </w:p>
    <w:p w14:paraId="4C9CC3E5"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К югу от города Жмеринка наши войска, развивая наступление, овладели районными центрами Винницкой области городом Шаргород, Копайгород, а также сбоями заняли более 80 других населённых пунктов, в том числе крупные населённые пункты Пасынки, Мовчаны, Плебановка, Снитков, Высший Ольчедаев, Лучинец, Лазова, Тропово, Сугаки, Вендичаны, Ломозов и железнодорожные станции Котюжаны, Немерчи, Вендичаны, Израилевка, Сулятицкая.</w:t>
      </w:r>
    </w:p>
    <w:p w14:paraId="3513F3F2"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Могилёв-Подольский наши войска продолжали вести успешные бои по расширению плацдармов на правом берегу Днестра, овладели районным центром Молдавской ССР Атаки, а также с боями заняли более 40 других населённых пунктов, среди них крупные — Арконешть, Висока, Котова, Мындык, Дрокия, Шурели, Кетросы, Згурица и перерезали железную дорогу Бельцы—Черновицы.</w:t>
      </w:r>
    </w:p>
    <w:p w14:paraId="598256E4"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Ново-Украинка наши войска вели наступательные бои, в ходе которых овладели районными центрами Одесской области Благодатное, Арбузинка, атакже с боями заняли более 50 других населённых пунктов, среди которых крупные населённые пункты Синюхин Брод, Ново-Александровка, Лысая Гора, Софиевка, Никольское, Новокрасное, Демидовка, Ивановка, Алексеевка и железнодорожные станции Синюхи, Подгородная, Бандурка, Новокрасное, Кавуны.</w:t>
      </w:r>
    </w:p>
    <w:p w14:paraId="784C49B5"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Бобринец наши войска продолжали наступление и с боями заняли более 40 населённых пунктов, среди которых крупные населённые пункты Новосёловка, Николаевка, Зелёный Яр, Трикраты, Вознесенский, Вороновка.</w:t>
      </w:r>
    </w:p>
    <w:p w14:paraId="21B49FA3"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бои местного значения.</w:t>
      </w:r>
    </w:p>
    <w:p w14:paraId="295D05DC"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20 марта наши войска на всех фронтах подбили и уничтожили 29 немецких танков. В воздушных боях и огнём зенитной артиллерии сбито 47 самолётов противника.</w:t>
      </w:r>
    </w:p>
    <w:p w14:paraId="70B693FF"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Дубно наши войска продолжали наступление. Противник, усилив свои боевые порядки 361 пехотной дивизией, только что прибывшей из Дании, предпринял несколько контратак. Советские части отбили вражеские контратаки и, продвигаясь вперёд, заняли районный центр Ровенской области Вербу, а также более 60 других населённых пунктов. В ходе боёв уничтожено 900 немецких солдат и офицеров, 9 танков и самоходных орудий. Захвачено 24 орудия, 52 пулемёта, 2 склада боеприпасов и склад с инженерным имуществом. Несмотря на бездорожье и распутицу, наши подвижные части совершили 30-километровый марш, вышли на шоссе Броды-Тарнополь и стремительной атакой овладели районным центром Львовскойобласти Подкамень. Захвачены большие трофеи. На улицах города Кременец, на-днях занятого нашими войсками, обнаружено до 1.500 трупов немецких солдат и офицеров.</w:t>
      </w:r>
    </w:p>
    <w:p w14:paraId="27589DFE"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югу от города Жмеринка части Н-ского соединения овладели важным узлом грунтовых дорог — городом Шаргород. Бойцы другого нашего соединения сломили упорное сопротивление немцев и, преследуя их, заняли районный центр Винницкойобласти Копайгород. Отступая под ударами советских войск, противник бросает орудия, автомашины и различное военное имущество. Бойцы Н-ской части, выбив гитлеровцев из одного села, захватили 17 орудий, из них 4 самоходных с заведёнными моторами. На другом участке советские танкисты атаковали роту противника. Немецкие солдаты и офицеры не оказали сопротивления. Они сложили оружие и сдались в плен.</w:t>
      </w:r>
    </w:p>
    <w:p w14:paraId="0DB1D299"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Могилёв-Подольский наши войска вели успешные бои по расширению плацдармов на правом берегу Днестра. Советские части, занявшие город Могилёв-Подольский, не теряя ни одной минуты, переправились через реку и штурмом овладели районным центром Молдавской ССР Атаки и рядом других населённых пунктов. Развивая успех и преодолевая днестровскую оборону немцев, наши бойцы перерезали важную железнодорожную магистраль Бельцы-Черновицы. Попытки противника контратаками задержать наступление наших войск потерпели неудачу.</w:t>
      </w:r>
    </w:p>
    <w:p w14:paraId="79E8E955"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Бобринец части Н-ского соединения продолжали развивать наступление и заняли более 40 населённых пунктов. Противник оказывал сильное огневое сопротивление и неоднократно бросал в контратаки пехоту и мелкие группытанков. Все контратаки гитлеровцев отбиты. Бойцы Н-ской части за день с боями прошли до 14 километров и истребили 600 немецких солдат и офицеров. Захвачено унемцев свыше 200 автомашин, 53 мотоцикла, 3 склада с продовольствием и склад с зерном. Взяты пленные. В самый разгар боя за один населённый пункт расчёт старшего сержанта Солянина заметил, что к его орудию приближаются несколько танков и два самоходных орудия противника. Прямой наводкой наводчик Кутявин подбил один немецкий танк, а затем самоходное орудие «Фердинанд». Остальные немецкие танки быстро повернули обратно.</w:t>
      </w:r>
    </w:p>
    <w:p w14:paraId="774C5318"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Львовской области, в боях с численно превосходящими силами противника попал в окружение. Заняв круговую оборону, советские патриоты в шестичасовом бою подбили два немецких танка и истребили до 200 гитлеровцев. Ночью партизаны стремительной атакой прорвали кольцо окружения. Отряд партизан занял выгодные позиции и продолжает наносить удары немцам.</w:t>
      </w:r>
    </w:p>
    <w:p w14:paraId="461CAB3E"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Жители села Ново-Мыиск, Ровенской области, рассказали о зверствах немецко-фашистских захватчиков: «Тяжёлые страдания и неслыханные издевательства пережили мы за время фашистской оккупации. Гитлеровские изверги нагло заявляли,что украинцев они не считают людьми. В первые же дни оккупации нашего села немцы отобрали у крестьян землю, которую им дала советская власть после присоединения областей Западной Украины к УССР. Землю вместе с посевом захватили немецкие колонисты. Гитлеровцы вконец разорили всё население и обрекли его на голодную смерть. Немецко-фашистские палачи замучили и расстреляли многих ни в чем неповинных жителей нашего села» (15075).</w:t>
      </w:r>
    </w:p>
    <w:p w14:paraId="54E2362D" w14:textId="77777777" w:rsidR="00EB5859" w:rsidRPr="00070ADE" w:rsidRDefault="00EB5859" w:rsidP="00B56F90">
      <w:pPr>
        <w:spacing w:after="0" w:line="240" w:lineRule="auto"/>
        <w:jc w:val="both"/>
        <w:rPr>
          <w:rFonts w:ascii="Times New Roman" w:hAnsi="Times New Roman"/>
          <w:color w:val="000000" w:themeColor="text1"/>
          <w:sz w:val="16"/>
          <w:szCs w:val="16"/>
        </w:rPr>
      </w:pPr>
    </w:p>
    <w:p w14:paraId="05452F39"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21 марта</w:t>
      </w:r>
      <w:r w:rsidRPr="00070ADE">
        <w:rPr>
          <w:rFonts w:ascii="Times New Roman" w:hAnsi="Times New Roman"/>
          <w:color w:val="000000" w:themeColor="text1"/>
          <w:sz w:val="16"/>
          <w:szCs w:val="16"/>
        </w:rPr>
        <w:t xml:space="preserve"> в 1944 году контрудар немецких войск у Проскурова (15075).</w:t>
      </w:r>
    </w:p>
    <w:p w14:paraId="4A314D23" w14:textId="77777777" w:rsidR="00EB5859" w:rsidRPr="00070ADE" w:rsidRDefault="00EB5859" w:rsidP="00B56F90">
      <w:pPr>
        <w:spacing w:after="0" w:line="240" w:lineRule="auto"/>
        <w:jc w:val="both"/>
        <w:rPr>
          <w:rFonts w:ascii="Times New Roman" w:hAnsi="Times New Roman"/>
          <w:color w:val="000000" w:themeColor="text1"/>
          <w:sz w:val="16"/>
          <w:szCs w:val="16"/>
        </w:rPr>
      </w:pPr>
    </w:p>
    <w:p w14:paraId="606910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марта 1944, когда войска 1УФ возобновили наступление, после ночных действий АДД ФА на рассвете были нанесены мощные удары в ходе авиационной подготовки (430,190).</w:t>
      </w:r>
    </w:p>
    <w:p w14:paraId="39B3A7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349E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марта 1944 г. один из пилотов 6/JG5 - фельдфебель Морс, который возглавил II/JG5, базировавшийся на аэродроме Аллакурти, заявил об уничтожении сразу семи Ил-2, крупные группы которых в это время наносили удары по наземным целям армейской группы "Лапландия", которая, в свою очередь, вела отчаянную борьбу за свое существование, а всего за этот день его боевой счет пополнили восемь воздушных побед (3480).</w:t>
      </w:r>
    </w:p>
    <w:p w14:paraId="49B411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0284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марта 1944 г. была подготовлена ДИРЕКТИВА НАЧАЛЬНИКА ШТАБА БТ и МВ КА ОБ ОРГАНИЗАЦИИ ТЩАТЕЛЬНОЙ РАЗВЕДКИ РАЙОНОВ РАСПОЛОЖЕНИЯ ВОЙСК № 482583</w:t>
      </w:r>
    </w:p>
    <w:p w14:paraId="27A49D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Отмечены случаи, когда танковые и механизированные соединения, выводимые в резерв Ставки, по прибытии в новые районы расположения, на местности, где велись боевые действия, не организуют тщательной разведки районов и дорог для определения и обезвреживания минных полей, в результате чего имеют место потери личного состава и материальной части из-за подрыва на минах.</w:t>
      </w:r>
    </w:p>
    <w:p w14:paraId="713ADD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БТ и МВ КА ПРИКАЗАЛ:</w:t>
      </w:r>
    </w:p>
    <w:p w14:paraId="7A4D01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Командующим танковыми военными лагерями, командирам танковых и механизированных корпусов при занятии частями нового района производить тщательную инженерную разведку на предмет определения минированных участков, оставшихся не разминированными после боя.</w:t>
      </w:r>
    </w:p>
    <w:p w14:paraId="774EBF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 случае обнаружения минных полей принимать немедленные меры к разминированию последних. До разминирования минные поля огораживать проволокой и ставить указатели, опреде</w:t>
      </w:r>
      <w:r w:rsidRPr="00070ADE">
        <w:rPr>
          <w:rFonts w:ascii="Times New Roman" w:hAnsi="Times New Roman"/>
          <w:color w:val="000000" w:themeColor="text1"/>
          <w:sz w:val="16"/>
          <w:szCs w:val="16"/>
        </w:rPr>
        <w:softHyphen/>
        <w:t>ляющие места движения.</w:t>
      </w:r>
    </w:p>
    <w:p w14:paraId="23034D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 каждом лагере, соединении (части) иметь карту бывших минных полей, которая должна быть изучена всем офицерским составом.</w:t>
      </w:r>
    </w:p>
    <w:p w14:paraId="50C9BE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При организации полевых занятий штабов и соединений (частей) организовать инженерную разведку района занятий, принимая все меры к предотвращению подрыва личного состава и мате</w:t>
      </w:r>
      <w:r w:rsidRPr="00070ADE">
        <w:rPr>
          <w:rFonts w:ascii="Times New Roman" w:hAnsi="Times New Roman"/>
          <w:color w:val="000000" w:themeColor="text1"/>
          <w:sz w:val="16"/>
          <w:szCs w:val="16"/>
        </w:rPr>
        <w:softHyphen/>
        <w:t>риальной части на минах.</w:t>
      </w:r>
    </w:p>
    <w:p w14:paraId="66AB62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 проведенных Вами мероприятиях, в соответствии с настоящей директивой, донести к 15 апреля 1944 года.</w:t>
      </w:r>
    </w:p>
    <w:p w14:paraId="57E8D0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штаба БТ и МВ Красной Армии генерал-майор танковых войск Салминов</w:t>
      </w:r>
    </w:p>
    <w:p w14:paraId="1986C1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11353. Д. 199. Л. 98. Копия (11403).</w:t>
      </w:r>
    </w:p>
    <w:p w14:paraId="61B2DC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5C89EA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1C7C5E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3458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марта 1944 Финляндия отклонила советские предложения о перемирии (2100).</w:t>
      </w:r>
    </w:p>
    <w:p w14:paraId="752A92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5260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марта 1944 года</w:t>
      </w:r>
    </w:p>
    <w:p w14:paraId="5C5AD9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ЛИЧНО И СТРОГО СЕКРЕТНО ПОСЛАНИЕ ОТ г-на ЧЕРЧИЛЛЯ МАРШАЛУ СТАЛИНУ</w:t>
      </w:r>
    </w:p>
    <w:p w14:paraId="246712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Вашу телеграмму от 16 марта.</w:t>
      </w:r>
    </w:p>
    <w:p w14:paraId="2134AB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Во-первых, должен еще раз поздравить Вас со всеми замечательными победами Ваших армий, а также с Вашим весьма умеренным обращением с финнами. Мне кажется, что интернирование в Финляндии девяти немецких дивизий доставляет им заботу, так как они боятся, что эти девять немецких дивизий могут их интернировать. Мы очень Вам благодарны за то, что Вы информировали нас о всех Ваших действиях на этом театре.</w:t>
      </w:r>
    </w:p>
    <w:p w14:paraId="7C9A62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Что касается поляков, то я ни в коей степени не виноват в разглашении Ваших секретных посланий. Информация была дана как американскому корреспонденту “Геральд Трибюн”, так и корреспонденту лондонского “Тайме” Советским Посольством в Лондоне. В последнем случае она была дана лично Послом Гусевым.</w:t>
      </w:r>
    </w:p>
    <w:p w14:paraId="49D421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3. В весьма скором времени мне придется сделать заявление в Палате общин по польскому вопросу. Это приведет к тому, что я должен буду сказать, что попытки достигнуть договоренности между Советским и Польским Правительствами.потерпели неудачу; что мы продолжаем признавать Польское Правительство, с которым мы были в постоянных отношениях с момента вторжения в Польшу в 1939 году; что мы теперь считаем, что все вопросы о территориальных изменениях должны </w:t>
      </w:r>
      <w:r w:rsidRPr="00070ADE">
        <w:rPr>
          <w:rFonts w:ascii="Times New Roman" w:hAnsi="Times New Roman"/>
          <w:color w:val="000000" w:themeColor="text1"/>
          <w:sz w:val="16"/>
          <w:szCs w:val="16"/>
        </w:rPr>
        <w:lastRenderedPageBreak/>
        <w:t>быть отложены до перемирия или до мирной конференции держав-победительниц в что тем временем мы не можем признавать никаких передач территории, произведенных силой.</w:t>
      </w:r>
    </w:p>
    <w:p w14:paraId="6A24A7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Я посылаю копию этой телеграммы Президенту Соединенных Штатов. Хотелось бы только ради нас всех, чтобы у меня были для него лучшие вести.</w:t>
      </w:r>
    </w:p>
    <w:p w14:paraId="1B4469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Наконец, позвольте мне выразить искреннюю надежду на то, что неудача, происшедшая между нами по поводу Польши, не будет иметь никакого влияния на наше сотрудничество в иных сферах, где сохранение единства наших действий является вопросом величайшей важности.</w:t>
      </w:r>
    </w:p>
    <w:p w14:paraId="2AA2BE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Лондон (7430).</w:t>
      </w:r>
    </w:p>
    <w:p w14:paraId="406CE8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24ED8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CB874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5D68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марта 1944 А.И.Ш., Дементьев и А.С.Я. писали И.В.С. письмо N 1995:</w:t>
      </w:r>
    </w:p>
    <w:p w14:paraId="598281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ускорения перехода завода 292 в Саратове на производство самолета Як-3 и заводов 1 и 30 на производство самолетов Ил-2 с металлическими крыльями считаем необходимым:</w:t>
      </w:r>
    </w:p>
    <w:p w14:paraId="7EB9CB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Уменьшить заводу 292 в апреле и мае выпуск до 8 самолетов в день вместо выпускаемых в настоящее время 10</w:t>
      </w:r>
    </w:p>
    <w:p w14:paraId="38BE9C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Уменьшение выпуска старых самолетов Як-1 позволит заводу 292 значительно сократить сроки внедрения в серийное производство самолетов Як-3 и обеспечить выпуск их в марте 20, апреле 45 и в июне 135 самолетов</w:t>
      </w:r>
    </w:p>
    <w:p w14:paraId="038963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Уменьшить в апреле и мае выпуска самолетов Ил-2 на заводе 1 с деревянными крыльями до 11 самолетов в день вместо выпускаемых в настоящее время 14 и на заводе 30 до 9 вместо 10</w:t>
      </w:r>
    </w:p>
    <w:p w14:paraId="48C99C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Сокращение выпуска самолетов Ил-2 с деревянными крыльями в апреле и мае не скажется на обеспечении фронта самолетами Ил-2. В данное время на аэродромах запасных полков и на других промежуточных аэродромах имеется большое количество самолетов Ил-2, неукомплектованных экипажами и тех. составом.</w:t>
      </w:r>
    </w:p>
    <w:p w14:paraId="7988E4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Сокращение выпуска самолетов Ил-2 с деревянными крыльями на заводах 1 и 30 даст возможность перебросить большее количество квалифицированных рабочих на производство самолетов Ил-2 с металлическими крыльями (1755,28).</w:t>
      </w:r>
    </w:p>
    <w:p w14:paraId="13C27D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642C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марта 1944 вышел приказ по 10 ГУ НКАП N 11:</w:t>
      </w:r>
    </w:p>
    <w:p w14:paraId="4910FB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второго полугодия 1943 завод 30 провел работу по улучшению своей продукции и добился повышения качества выпускаемых самолетов.</w:t>
      </w:r>
    </w:p>
    <w:p w14:paraId="2B7BDE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за последнее время выявились факты, свидетельствующие об ослаблении на заводе 30 повседневной борьбы за дальнейшее повышение качества, а именно:</w:t>
      </w:r>
    </w:p>
    <w:p w14:paraId="4A0207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Машина N 303501 не прошла гос. испытаний в НИИ ВВС по причине плохой работы радиосвязи и наличия большого количества производственных дефектов. Всего на этом самолете было обнаружено 48 дефектов, из которых 13 были отмечены в акте по испытаниям эталонного самолета N 302804.</w:t>
      </w:r>
    </w:p>
    <w:p w14:paraId="4AF768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Машина N 303748 по тем же причинам была снята с гос. испытаний.</w:t>
      </w:r>
    </w:p>
    <w:p w14:paraId="105E35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 машинах 4113, 4135, 4138 были обнаружены некачественные стыковые болты...</w:t>
      </w:r>
    </w:p>
    <w:p w14:paraId="093827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Внешняя отделка машин в цехе 18 ухудшилась." (Кузнецов) (2479,37).</w:t>
      </w:r>
    </w:p>
    <w:p w14:paraId="4A5EA02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33DC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марта 1944 А.И.Ш., Дементьев и А.С.Я. писали И.В.С. письмо N 1995:</w:t>
      </w:r>
    </w:p>
    <w:p w14:paraId="7F9D1C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ускорения перехода завода 292 в Саратове на производство самолета Як-3 и заводов 1 и 30 на производство самолетов Ил-2 с металлическими крыльями считаем необходимым:</w:t>
      </w:r>
    </w:p>
    <w:p w14:paraId="495BCD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Уменьшить заводу 292 в апреле и мае выпуск до 8 самолетов в день вместо выпускаемых в настоящее время 10</w:t>
      </w:r>
    </w:p>
    <w:p w14:paraId="61ECF6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Уменьшение выпуска старых самолетов Як-1 позволит заводу 292 значительно сократить сроки внедрения в серийное производство самолетов Як-3 и обеспечить выпуск их в марте 20, апреле 45 и в июне 135 самолетов</w:t>
      </w:r>
    </w:p>
    <w:p w14:paraId="5AC30C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Уменьшить в апреле и мае выпуска самолетов Ил-2 на заводе 1 с деревянными крыльями до 11 самолетов в день вместо выпускаемых в настоящее время 14 и на заводе 30 до 9 вместо 10</w:t>
      </w:r>
    </w:p>
    <w:p w14:paraId="07BDA2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Сокращение выпуска самолетов Ил-2 с деревянными крыльями в апреле и мае не скажется на обеспечении фронта самолетами Ил-2. В данное время на аэродромах запасных полков и на других промежуточных аэродромах имеется большое количество самолетов Ил-2, неукомплектованных экипажами и тех. составом.</w:t>
      </w:r>
    </w:p>
    <w:p w14:paraId="10FE9F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Сокращение выпуска самолетов Ил-2 с деревянными крыльями на заводах 1 и 30 даст возможность перебросить большее количество квалифицированных рабочих на производство самолетов Ил-2 с металлическими крыльями (1755,28).</w:t>
      </w:r>
    </w:p>
    <w:p w14:paraId="1348DF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B2D3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марта 1944 вышел приказ НКАП N 208с:</w:t>
      </w:r>
    </w:p>
    <w:p w14:paraId="006F1A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развития опытных работ ГК С.А.Л.:</w:t>
      </w:r>
    </w:p>
    <w:p w14:paraId="41535A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Выделить ОКБ С.А.Л., размещенное в площади завода 381, в самостоятельный опытный завод, присвоив ему номер 81</w:t>
      </w:r>
    </w:p>
    <w:p w14:paraId="35C385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ГК завода 21 С.А.Л. назначить по совместительству директором и ГК завода 81</w:t>
      </w:r>
    </w:p>
    <w:p w14:paraId="28E5F3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Считать основной опытной базой ГК С.А.Л. опытную базу завода 21, определить местом основной работы и пребывания С.А.Л. завод 21 по людям и оборудованию и обязать обеспечить на опытной базе завода 21 все остальные опытные работы по самолетам Ла-5 и Ла-7 (1628,215).</w:t>
      </w:r>
    </w:p>
    <w:p w14:paraId="18CB45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35419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марта 1944 года на территории московского завода № 381 был организован филиале ОКБ Лавочкина (завод № 81), в котором, как и в Казани под руководством С.М. Алексеева и С.П. Королева соответственно велась работа по установке РД-1 и на Ла-5ФН. Королев, взяв за основу Ла-5ФН, предложил два варианта высотного истребителя "ВИ": один с тремя ЖРД РД-1, установленными в фюзеляже и консолях крыла, а другой - с одним трехкамерным РД-3. По замыслам Сергея Павловича для "ВИ" требовалось увеличить площадь крыла до 22 м2 , установить пару турбокомпрессоров ТК-3 и четыре пулемета БС калибра 12,7 мм.</w:t>
      </w:r>
    </w:p>
    <w:p w14:paraId="1B23449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Ожидалось, что прирост скорости первого варианта истребителя составит 100-140 км/ч, второго - 215-290 км/ч, потолок возрастет на 4000 и 6500 м соответственно. При этом продолжительность полета на высоте 14 000 м с использованием поршневого двигателя будет в пределах 15-20 минут. Но все эти проекты остались на бумаге, поскольку в конце 1943 года московский филиал ОКБ Лавочкина срочно приступил к доработкам Ла-7 под ЖРД (12032). </w:t>
      </w:r>
    </w:p>
    <w:p w14:paraId="330BD1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28FCF0" w14:textId="77777777" w:rsidR="00AA3357" w:rsidRPr="00C94B78" w:rsidRDefault="00AA33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22 марта 1944 г. на территории завода № 381 был создан филиал конструкторского бюро С А Лавочкина под руководством С.М. Алек</w:t>
      </w:r>
      <w:r w:rsidRPr="00C94B78">
        <w:rPr>
          <w:rFonts w:ascii="Times New Roman" w:hAnsi="Times New Roman"/>
          <w:color w:val="0070C0"/>
          <w:sz w:val="16"/>
          <w:szCs w:val="16"/>
        </w:rPr>
        <w:softHyphen/>
        <w:t>сеева (24930).</w:t>
      </w:r>
    </w:p>
    <w:p w14:paraId="017C5743" w14:textId="77777777" w:rsidR="00AA3357" w:rsidRPr="00C94B78" w:rsidRDefault="00AA3357" w:rsidP="00B56F90">
      <w:pPr>
        <w:spacing w:after="0" w:line="240" w:lineRule="auto"/>
        <w:jc w:val="both"/>
        <w:rPr>
          <w:rFonts w:ascii="Times New Roman" w:hAnsi="Times New Roman"/>
          <w:color w:val="0070C0"/>
          <w:sz w:val="16"/>
          <w:szCs w:val="16"/>
        </w:rPr>
      </w:pPr>
    </w:p>
    <w:p w14:paraId="6782BA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марта 1944 вышел приказ НКАП N 210с "О производстве заводов Ла-7 на заводах 21 и 381"</w:t>
      </w:r>
    </w:p>
    <w:p w14:paraId="1D3AF0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"ГКО своим постановлением N 5404сс от 15 марта 1944 принял к сведению сообщение НКАП, ГК С.А.Л. и нач. ЦАГИ Шишкина о том, что аэродинамически и конструктивно улучшенный самолет Ла-5, с серийным мотором АШ-82ФН, показал при испытаниях в ЛИИ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02686515" w14:textId="77777777">
        <w:tc>
          <w:tcPr>
            <w:tcW w:w="5636" w:type="dxa"/>
            <w:tcBorders>
              <w:top w:val="single" w:sz="12" w:space="0" w:color="auto"/>
            </w:tcBorders>
          </w:tcPr>
          <w:p w14:paraId="7924DE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у земли</w:t>
            </w:r>
          </w:p>
        </w:tc>
        <w:tc>
          <w:tcPr>
            <w:tcW w:w="5636" w:type="dxa"/>
            <w:tcBorders>
              <w:top w:val="single" w:sz="12" w:space="0" w:color="auto"/>
            </w:tcBorders>
          </w:tcPr>
          <w:p w14:paraId="168835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630 км/час</w:t>
            </w:r>
          </w:p>
        </w:tc>
      </w:tr>
      <w:tr w:rsidR="004D4663" w:rsidRPr="00070ADE" w14:paraId="26AC0340" w14:textId="77777777">
        <w:tc>
          <w:tcPr>
            <w:tcW w:w="5636" w:type="dxa"/>
          </w:tcPr>
          <w:p w14:paraId="79FA87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6000 м</w:t>
            </w:r>
          </w:p>
        </w:tc>
        <w:tc>
          <w:tcPr>
            <w:tcW w:w="5636" w:type="dxa"/>
          </w:tcPr>
          <w:p w14:paraId="1B3DA3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685 км/час</w:t>
            </w:r>
          </w:p>
        </w:tc>
      </w:tr>
      <w:tr w:rsidR="004D4663" w:rsidRPr="00070ADE" w14:paraId="42023DF7" w14:textId="77777777">
        <w:tc>
          <w:tcPr>
            <w:tcW w:w="5636" w:type="dxa"/>
            <w:tcBorders>
              <w:bottom w:val="single" w:sz="12" w:space="0" w:color="auto"/>
            </w:tcBorders>
          </w:tcPr>
          <w:p w14:paraId="300568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 вес</w:t>
            </w:r>
          </w:p>
        </w:tc>
        <w:tc>
          <w:tcPr>
            <w:tcW w:w="5636" w:type="dxa"/>
            <w:tcBorders>
              <w:bottom w:val="single" w:sz="12" w:space="0" w:color="auto"/>
            </w:tcBorders>
          </w:tcPr>
          <w:p w14:paraId="5A8882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3250</w:t>
            </w:r>
          </w:p>
        </w:tc>
      </w:tr>
    </w:tbl>
    <w:p w14:paraId="6B0FF6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Модификацию Ла-5 принять в дальнейшем именовав Ла-7 с М-82ФН</w:t>
      </w:r>
    </w:p>
    <w:p w14:paraId="5E777C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исполнение постановления ГКО:</w:t>
      </w:r>
    </w:p>
    <w:p w14:paraId="28E1CE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зам. наркома, нач. ПГУ Воронину, ГК С.А.Л. и директорам заводов 21 Агаджанову и 381 Журавлеву немедленно приступить к производству самолетов Як-7 с АШ-82ФН с серийным вооружением двумя пушками ШВАК 20 мм с вышеуказанными ЛД</w:t>
      </w:r>
    </w:p>
    <w:p w14:paraId="79C8C1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Установить план: на 21 - с 20 в мае до 250 в августе, на 381 с 5 в июне до 25 в августе</w:t>
      </w:r>
    </w:p>
    <w:p w14:paraId="25A8E3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Переход на выпуск Ла-7 осуществить без снижения достигнутого уровня выпуска самолетов по заводу 21 - 17 в сутки, по заводу 381 - 3 в сутки (1628,223).</w:t>
      </w:r>
    </w:p>
    <w:p w14:paraId="5B2A7A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283266"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22 марта 1944 Наркомат авиапромышленности издал приказ № 210с: </w:t>
      </w:r>
    </w:p>
    <w:p w14:paraId="4B223CA2"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исполнение постановления ГКО:</w:t>
      </w:r>
    </w:p>
    <w:p w14:paraId="7B7CFAEC"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 Зам. наркома, нач. ПГУ Воронину, гл. конструктору Лавочкину и директорам заводов 21 Агаджанову и 381 Журавлеву немедленно приступить к производству самолетов Ла-7 с мотором АШ-82ФН с серийным вооружением двумя пушками ШВАК 20 мм… </w:t>
      </w:r>
    </w:p>
    <w:p w14:paraId="04B33B68"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Установить план: на заводе 21 — с 20 самолетов в мае до 250 в августе, на заводе 381 с 5 самолетов в июне до 25 в августе. Переход на выпуск Ла-7 осуществить без снижения достигнутого уровня выпуска самолетов по заводу 21 — 17 в сутки, по заводу 381 — 3 в сутки».</w:t>
      </w:r>
    </w:p>
    <w:p w14:paraId="6AFAA812"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 итогам 1944 г., в Горьком было сдано 1 558 серийных Ла-7 и 3 503 штуки Ла-5, что на 442 машины превысило программу 1943 г. и на 57 штук перекрыло даже скорректированный в сторону увеличения годовой план. Но в справке по предварительным итогам работы НКАП в 1944 г., подписанной 6 января 1945 г., на 31 декабря за 21-м заводом значится не 5 061, а только 4 981 Ла-5 и Ла-7. Московский завод № 381 в 1944-м построил 638 самолетов Ла-7 и получил «нагоняй» — в этом </w:t>
      </w:r>
      <w:r w:rsidRPr="00070ADE">
        <w:rPr>
          <w:rFonts w:ascii="Times New Roman" w:hAnsi="Times New Roman"/>
          <w:color w:val="000000" w:themeColor="text1"/>
          <w:sz w:val="16"/>
          <w:szCs w:val="16"/>
        </w:rPr>
        <w:lastRenderedPageBreak/>
        <w:t>документе за ним значится только 834 штук Ла-5 и Ла-7, а должно было быть на 40 машин больше. В том же году к производству Ла-7 присоединился и завод № 99 в УланУдэ, сдав 40 машин — тоже меньше плана (22769).</w:t>
      </w:r>
    </w:p>
    <w:p w14:paraId="2D0EA996" w14:textId="77777777" w:rsidR="004D5E52" w:rsidRPr="00070ADE" w:rsidRDefault="004D5E52" w:rsidP="00B56F90">
      <w:pPr>
        <w:spacing w:after="0" w:line="240" w:lineRule="auto"/>
        <w:jc w:val="both"/>
        <w:rPr>
          <w:rFonts w:ascii="Times New Roman" w:hAnsi="Times New Roman"/>
          <w:color w:val="000000" w:themeColor="text1"/>
          <w:sz w:val="16"/>
          <w:szCs w:val="16"/>
        </w:rPr>
      </w:pPr>
    </w:p>
    <w:p w14:paraId="07A9BA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марта 1944 г. по приказу № 209с филиал ОКБ-21 НКАП (или к тому веремени уже ОКБ-381 НКАП) гл. конструктора С.А. Лавочкина, размещенный на территории завода № 381 НКАП в Москве, был реорганизован в самостоятельный завод № 81 НКАП при 7ГУ на той же площадке для проведения работ по опытному самолетостроению. Основной базой ОКБ-21 С.А. Лавочкина оставался завод № 21.</w:t>
      </w:r>
    </w:p>
    <w:p w14:paraId="155F81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10.1944 г. на завод № 81 перебазировалась часть ОКБ-21 С.А. Лавочкина с завода № 21 ( г. Горький). Здесь ОКБ получило название КБ-81.</w:t>
      </w:r>
    </w:p>
    <w:p w14:paraId="0BF3999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приказом НКАП № 393с от 2.10.1945 г. завод № 81 переводится на площадку авиаремонтного завода № 301 НКАП ( г. Химки) и объединяется (с 1.09.1945 г.) с ним под названием Завод № 301 НКАП (первоначально планировалось в конце 1945 г. перевести завод № 81 на территорию завода № 134 в Тушино, а гл. конструктора П.О. Сухого перевести с этой территории на Московскую базу завода № 134). Часть помещений (ангар им. Ильича и ангар № 6) по приказу № 494с от 21.12.1945 г. передана в распоряжение НИСО, куда была переведена ЛИС этого института. Основная часть помещений передана обратно заводу № 381 НКАП.</w:t>
      </w:r>
    </w:p>
    <w:p w14:paraId="1B59166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(1944 г.-)- С.А. Лавочкин.</w:t>
      </w:r>
    </w:p>
    <w:p w14:paraId="43BCEBE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(1944 г.)- С.А. Лавочкин, (10.1944-03.1945 г.-)- Л.А. Закс.</w:t>
      </w:r>
    </w:p>
    <w:p w14:paraId="41B37E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Директора (10.1944-03.1945 г.-)- Л.А. Закс (11982).</w:t>
      </w:r>
    </w:p>
    <w:p w14:paraId="1E0100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78F48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марта 1944 г. по приказу № 209с филиал ОКБ-21 (или ОКБ-381 НКАП) с 04.1944 г. реорганизован в самостоятельный опытный Завод № 81 НКАП. 10 августа 1943 г. для усиления опытной базы гл. конструктора С.А. Лавочкина был образован Филиал ОКБ-21 при заводе приказом № 487с. Размещен на площадке цеха № 25 и корпуса статиспытаний ОКБ Ильюшина (опытное производство). Работы по Ла-5 с М-71 (11982).</w:t>
      </w:r>
    </w:p>
    <w:p w14:paraId="3EE582C6" w14:textId="77777777" w:rsidR="00EB5859" w:rsidRPr="00070ADE" w:rsidRDefault="00EB5859" w:rsidP="00B56F90">
      <w:pPr>
        <w:autoSpaceDE w:val="0"/>
        <w:autoSpaceDN w:val="0"/>
        <w:adjustRightInd w:val="0"/>
        <w:spacing w:after="0" w:line="240" w:lineRule="auto"/>
        <w:jc w:val="both"/>
        <w:rPr>
          <w:rFonts w:ascii="Times New Roman" w:hAnsi="Times New Roman"/>
          <w:color w:val="000000" w:themeColor="text1"/>
          <w:sz w:val="16"/>
          <w:szCs w:val="16"/>
        </w:rPr>
      </w:pPr>
    </w:p>
    <w:p w14:paraId="05D6CE2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марта 1944 из-за заводского брака (плохой склейки) на рулении разрушился 12-й шпангоут Ла-5ФН “эталон 1944”. Но основная программа испытаний к этому времени уже была отработана.</w:t>
      </w:r>
    </w:p>
    <w:p w14:paraId="1CAFA1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мнению Кубышкина, управлять самолётом стало легче, и решили, что такое состояние вполне приемлемо, за исключением руля поворота, нагрузки от которого заметно ощущались при изменении режима работы мотора. Из- за отсутствия триммера на этом руле лётчику приходилось прикладывать значительные усилия, чтобы на взлёте удержать истребитель от разворота. Температура в кабине, доходившая позднее в жару до 40°С, приносила, конечно, пилоту неудобства. Из-за плохой вентиляции в кабине постоянно чувствовалось присутствие отработанных газов и запах горелой резины. Но в целом самолёт по своим данным мог считаться одним из лучших истребителей своего времени.</w:t>
      </w:r>
    </w:p>
    <w:p w14:paraId="18CFFA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выводах отчёта по государственным испытаниям отмечалось: "Модифицированный самолёт Ла-5 эталон 1944 г.... по максимальной скорости, скороподъёмности стоит на уровне лучших современных истребительных самолётов, находящихся на вооружении ВВС КА и иностранных государств". Специалисты НИИ ВВС знали, что говорили, - ведь через их руки проходили не только советские боевые машины, но и трофейные немецкие, а также самолёты, поступавшие из Великобритании и США.</w:t>
      </w:r>
    </w:p>
    <w:p w14:paraId="7DCC09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заключении того же отчёта было записано: "Заданные постановлением ГКО № 5404 от 15 марта 1944 г. для улучшенного Ла-5 максимальная скорость 685 км/ч на высоте 6000 м и полётный вес 3250 кг... практически достигнуты. Рекомендовать в серийное производство самолёт Ла-5 эталон 1944 г. (Ла-7), как имеющий значительные преимущества в лётных данных над... Ла-5, с устранением отмеченных дефектов. Так как на самолёте... установлены опытные пушки УБ-20, испытания которых не закончены в НИИ АВ ВВС, считать целесообразным выпускать самолёты с серийным вооружением, т.е. две пушки СП-20 с боезапасом 340 патронов" (11986).</w:t>
      </w:r>
    </w:p>
    <w:p w14:paraId="1790A8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39858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марта 1944 г. закончились дополнительные испытания в НИИ ВВС КА взлетных лыж, которые шли с 19 марта, после чего распоряжением главного инженера ВВС КА генерал-полковника ИАС Репина от 29 июля взлетные лыжи были приняты и на вооружение ВВС КА (12048).</w:t>
      </w:r>
    </w:p>
    <w:p w14:paraId="2687D00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343CE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марта 1944 года Приказом НКАП № 254/к на должность директора завода назначен Коваль Б.А.</w:t>
      </w:r>
    </w:p>
    <w:p w14:paraId="1B5D40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638822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78A0F5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51FF96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Москва, Кунцево, ул. Горбунова, д. 20 (9894).</w:t>
      </w:r>
    </w:p>
    <w:p w14:paraId="554C9D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373E0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D52D1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3948C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марта 1944 года вышел приказ № 138с НКВ</w:t>
      </w:r>
    </w:p>
    <w:p w14:paraId="69AA79C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Постановлением ГКО от 8 марта 1944 года № 5331сс:</w:t>
      </w:r>
    </w:p>
    <w:p w14:paraId="4C0F701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Начальнику 2 Гл. управления и директору завода № 357 Манину:</w:t>
      </w:r>
    </w:p>
    <w:p w14:paraId="074BC1D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Принять в свое ведение здания, сооружения и жилой фонд, принадлежавший до эвакуации заводу № 357 НКВ в Ленинграде.</w:t>
      </w:r>
    </w:p>
    <w:p w14:paraId="0057A09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Присвоить бывшему заводу № 357 в Ленинграде временно № 357-ф.</w:t>
      </w:r>
    </w:p>
    <w:p w14:paraId="3CB8414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Приступить к подготовительным работам по организации оптико-механического производства на базе бывшего завода № 357 (6419, 21).</w:t>
      </w:r>
    </w:p>
    <w:p w14:paraId="03AE2AA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A603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марта 1944 вышло Распоряжение ГКО № 5448. О мерах по обеспечению заводов НКРП основным технологическим сырьем. РГАНИР, Фонд ГКО, д. 220, лл. 24 (11012).</w:t>
      </w:r>
    </w:p>
    <w:p w14:paraId="3ADF765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9CBFB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марта 1944 вышло Постановление ГКО № 5450 О тов. Никитине А.В. РГАНИР, Фонд ГКО, д. 220, лл. 27 (11012).</w:t>
      </w:r>
    </w:p>
    <w:p w14:paraId="11883F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2F2D23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марта 1944 вышло Постановление ГКО № 5451 О завозе каменноугольного топлива для флота речных пароходств к открытию навигации 1944 г. (7200, 28-29,30-32).</w:t>
      </w:r>
    </w:p>
    <w:p w14:paraId="287720C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31773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DB75B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4444C7"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22 марта</w:t>
      </w:r>
      <w:r w:rsidRPr="00070ADE">
        <w:rPr>
          <w:rFonts w:ascii="Times New Roman" w:hAnsi="Times New Roman"/>
          <w:color w:val="000000" w:themeColor="text1"/>
          <w:sz w:val="16"/>
          <w:szCs w:val="16"/>
        </w:rPr>
        <w:t xml:space="preserve"> в 1944 году оперативная сводка Совинформбюро:</w:t>
      </w:r>
    </w:p>
    <w:p w14:paraId="0C0F4CCE"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22 марта западнее и юго-западнее города Кременец наши войска, преодолевая сопротивление и контратаки противника, продолжали вести наступательные бои, в ходе которых заняли несколько населённых пунктов.</w:t>
      </w:r>
    </w:p>
    <w:p w14:paraId="42022B64"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Винница наши войска продолжали вести наступательные бои, в результате которых заняли более 30 населённых пунктов и среди них крупные населённые пункты Вербка, Бохны, Белецкое, Сахни, Майдансовин, Стампивка, Лыса Горка, Почапинец, Лысенка, Людовка, Севериновка, Маньковцы, Мальчевцы, Мартыновка, Володиевцы и железнодорожные станции Бар, Мытки, Копай.</w:t>
      </w:r>
    </w:p>
    <w:p w14:paraId="684769C7"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югу от города Жмеринка наши войска овладели районными центрами Винницкойобласти Мурованые Куриловцы, Ярышев.</w:t>
      </w:r>
    </w:p>
    <w:p w14:paraId="16B1D7F4"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Могилёв-Подольский наши войска, продолжая вести бои по расширению плацдарма на правом берегу Днестра, заняли более 15 населённых пунктов, в том числе районный центр Молдавской ССР Надушита.</w:t>
      </w:r>
    </w:p>
    <w:p w14:paraId="3FB66B41"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22 марта, после двухдневных упорных боёв, овладели городом Первомайск — важным железнодорожным узлом и сильным опорным пунктом обороны немцев на среднем течении Южного Буга.</w:t>
      </w:r>
    </w:p>
    <w:p w14:paraId="543D7E9E"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Бобринец наши войска продолжали наступление и с боями заняли более 30 населённых пунктов, в том числе крупные населённые пункты Семёновка, Ивановка, Алексеевка, Константиновка, Бугский, Александровка и железнодорожные станции Константиновка, Трикратное, Александровка.</w:t>
      </w:r>
    </w:p>
    <w:p w14:paraId="562F63B7"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Николаевском направлении наши войска в результате упорных наступательных боёв овладели населёнными пунктами Калиновка, Гороховка, Богоявленск, Балабановка и железнодорожной станцией Гороховка.</w:t>
      </w:r>
    </w:p>
    <w:p w14:paraId="73114808"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в ряде пунктов шли бои местного значения.</w:t>
      </w:r>
    </w:p>
    <w:p w14:paraId="790551F7"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течение 21 марта наши войска на всех фронтах подбили и уничтожили 27 немецких танков. В воздушных боях и огнём зенитной артиллерии сбито 29 самолётов противника.</w:t>
      </w:r>
    </w:p>
    <w:p w14:paraId="5C2662B2"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Кременец немцы, подтянув новые силы, неоднократно переходили в контратаки. После ожесточённых боёв наши войска потеснили противника и заняли несколько населённых пунктов. В районе населённого пункта Подзамче наши части в результате обходного манёвра окружили и ликвидировали подразделения 361 пехотной и 454 охранной дивизий немцев. На поле боя осталось свыше тысячи вражеских трупов. Взято значительное число пленных. Захвачено много вооружения, автомашин и военных материалов.</w:t>
      </w:r>
    </w:p>
    <w:p w14:paraId="47A52B25"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югу от города Жмеринка наши войска продолжали вести наступательные бои.Части Н-ского соединения, с боями продвигаясь вперёд, овладели районными центрами Винницкой области Мурованые Куриловцы и Ярышев. В другом районе немецкая пехота пыталась перейти в контратаку. Мощным миномётным и пулемётным огнём гитлеровцы были прижаты к земле. Тем временем наши танки прорвались в тыл противника и врезались в боевые порядки немцев. На поле боя осталось 700 трупов немецких солдат и офицеров.</w:t>
      </w:r>
    </w:p>
    <w:p w14:paraId="2674F42C"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продолжая успешное наступление, два дня назад вышли на подступы к городу Первомайск. Город расположен при впадении реки Синюхи в Южный Буг и представлял весьма выгодные позиции для обороны. Противник усилил эти позиции многочисленными инженерными сооружениями, превратил каменные постройки города в узлы сопротивления и приготовился к длительной обороне. Наши войска овладели селом Синюхин Брод и, продвигаясь на юг, ворвались на окраины Первомайска. Завязались ожесточённые уличные бои. Тем временем другие советские части подошли к городу с востока. В ожесточённых боях немецкий гарнизон в Первомайске был прижат к Южному Бугу и уничтожен. Сотни гитлеровцев утонули вреке. Овладев городом Первомайск, наши войска захватили большие трофеи и много пленных.</w:t>
      </w:r>
    </w:p>
    <w:p w14:paraId="6FC80BA1"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Бобринец части Н-ского соединения сломили сопротивление противника и штурмом овладели крупным населённым пунктом Константиновка. В этом бою уничтожено свыше 400 немецких солдат и офицеров. Захвачено несколько артиллерийских батарей, склад боеприпасов и 30 автомашин. Другие наши части, наступая вдоль железной дороги, заняли крупный населённый пункт и станцию Александровка и завязали бои на подступах к городу Вознесенск.</w:t>
      </w:r>
    </w:p>
    <w:p w14:paraId="687322E9"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Николаевском направлении части Н-ского соединения, продвигаясь на юг вдоль реки Ингул, в результате упорных боёв овладели населённым пунктом и железнодорожной станцией Гороховка. Развивая успех, наши бойцы предприняли ночную атаку и выбили немцев из нескольких других населённых пунктов. На подступах к городу Николаев противник создал несколько оборонительных поясов.Огнём нашей артиллерии разбито несколько дзотов, уничтожено 6 артиллерийскихбатарей, паровоз и 15 вагонов с боеприпасами, рассеяно и частью уничтожено до батальона гитлеровцев.</w:t>
      </w:r>
    </w:p>
    <w:p w14:paraId="240F3590"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Авиацией Краснознамённого Балтийского флота в Финском заливе потоплен сторожевой корабль противника.</w:t>
      </w:r>
    </w:p>
    <w:p w14:paraId="7686A4E2"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Отряд украинских партизан в ночь на 3 марта внезапно напал на немецкий гарнизон, расположенный в одном из сёл Винницкой области. Советские патриоты истребили 80 гитлеровцев. Захвачены трофеи: склад с обмундированием, склад спродовольствием и 6 автомашин с боеприпасами. Румынский самолёт совершил вынужденную посадку на окраине одной деревни в Молдавской ССР. Действующие поблизости молдавские партизаны уничтожили лётчиков и сожгли самолёт.</w:t>
      </w:r>
    </w:p>
    <w:p w14:paraId="26706E8F"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Николаевском направлении сдался в плен 1 батальон 667 полка 370 немецкой пехотной дивизии. Пленный командир батальона капитан Герман Эккерман заявил: «Русские обошли мой батальон и прижали нас к реке Ингул. Передо мной встал вопрос, что делать: сопротивляться до последнего человека, как этого требует Гитлер, и погубить всех солдат или сдаться в плен и сохранить не только свою жизнь, но и жизнь подчинённых. Я отдал приказ сложить оружие и сдаться в плен. Вскоре прибыл русский офицер с двумя солдатами, которому я передал 229 солдат иофицеров и всё наше вооружение. На такой шаг я решился потому, что убедился в неизбежном поражении Германии. Сколько бы немецкая армия ни сопротивлялась, она уже ничего изменить не может». Вместе с капитаном Эккерманом сдались в плен командир 2 роты лейтенант Кушацкий, командир 3 роты лейтенант Карл; Зольте и другие немецкие офицеры.» (15076).</w:t>
      </w:r>
    </w:p>
    <w:p w14:paraId="424E328D" w14:textId="77777777" w:rsidR="00EB5859" w:rsidRPr="00070ADE" w:rsidRDefault="00EB5859" w:rsidP="00B56F90">
      <w:pPr>
        <w:spacing w:after="0" w:line="240" w:lineRule="auto"/>
        <w:jc w:val="both"/>
        <w:rPr>
          <w:rFonts w:ascii="Times New Roman" w:hAnsi="Times New Roman"/>
          <w:color w:val="000000" w:themeColor="text1"/>
          <w:sz w:val="16"/>
          <w:szCs w:val="16"/>
        </w:rPr>
      </w:pPr>
    </w:p>
    <w:p w14:paraId="4CF6137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марта 1944 вышло Постановление ГКО № 5449 О перебазировании Военной академии командно-штурманского состава ВВС Красной Армии. (7200, 25-26).</w:t>
      </w:r>
    </w:p>
    <w:p w14:paraId="175526E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C1422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6912D5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8C4D0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марта 1944 вышло Постановление ГКО № 5452 О строительстве обхода оползневых участков у гор. Саратова. (7200, 33).</w:t>
      </w:r>
    </w:p>
    <w:p w14:paraId="2B7499C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3D428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502D6A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66A0FE"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22 марта</w:t>
      </w:r>
      <w:r w:rsidRPr="00070ADE">
        <w:rPr>
          <w:rFonts w:ascii="Times New Roman" w:hAnsi="Times New Roman"/>
          <w:color w:val="000000" w:themeColor="text1"/>
          <w:sz w:val="16"/>
          <w:szCs w:val="16"/>
        </w:rPr>
        <w:t xml:space="preserve"> в 1944 году совершил первый полет «ХР-56» № 2, заводской номер 42-38353, («Northrop» «P-56» «Black Bullet»). В воздух его поднимал новый летчик-испытатель - Гарри Кросби. Он с трудом оторвал машину от земли на скорости 250 км/ч. Для удержания самолета в воздухе летчику, как и прежде, приходилось изо всех сил двумя руками тянуть на себя ручку управления. Новая же система управления по курсу была вполне контролируемой, хотя и излишне чувствительной. Истребитель медленно набирал высоту, мощности силовой установки явно не хватало для разгона пятитонной машины. Через семь минут полета отказал топливомер, и Кросби посадил самолет (15076).</w:t>
      </w:r>
    </w:p>
    <w:p w14:paraId="713B39C4" w14:textId="77777777" w:rsidR="00EB5859" w:rsidRPr="00070ADE" w:rsidRDefault="00EB5859" w:rsidP="00B56F90">
      <w:pPr>
        <w:spacing w:after="0" w:line="240" w:lineRule="auto"/>
        <w:jc w:val="both"/>
        <w:rPr>
          <w:rFonts w:ascii="Times New Roman" w:hAnsi="Times New Roman"/>
          <w:color w:val="000000" w:themeColor="text1"/>
          <w:sz w:val="16"/>
          <w:szCs w:val="16"/>
        </w:rPr>
      </w:pPr>
    </w:p>
    <w:p w14:paraId="0823FA09" w14:textId="14ED9009" w:rsidR="00D4630C" w:rsidRPr="00070ADE" w:rsidRDefault="00D4630C" w:rsidP="00B56F90">
      <w:pPr>
        <w:pStyle w:val="ae"/>
        <w:shd w:val="clear" w:color="auto" w:fill="FFFFFF"/>
        <w:spacing w:before="0" w:after="0"/>
        <w:jc w:val="both"/>
        <w:rPr>
          <w:color w:val="000000" w:themeColor="text1"/>
          <w:sz w:val="16"/>
          <w:szCs w:val="16"/>
        </w:rPr>
      </w:pPr>
      <w:r w:rsidRPr="00070ADE">
        <w:rPr>
          <w:rStyle w:val="a7"/>
          <w:b w:val="0"/>
          <w:color w:val="000000" w:themeColor="text1"/>
          <w:sz w:val="16"/>
          <w:szCs w:val="16"/>
        </w:rPr>
        <w:t>22 марта 1944 года</w:t>
      </w:r>
      <w:r w:rsidRPr="00070ADE">
        <w:rPr>
          <w:color w:val="000000" w:themeColor="text1"/>
          <w:sz w:val="16"/>
          <w:szCs w:val="16"/>
        </w:rPr>
        <w:t xml:space="preserve"> Берлин атаковали уже американцы: 460 В-17 и 197 </w:t>
      </w:r>
      <w:hyperlink r:id="rId80" w:history="1">
        <w:r w:rsidRPr="00070ADE">
          <w:rPr>
            <w:rStyle w:val="a5"/>
            <w:rFonts w:eastAsia="Times New Roman"/>
            <w:color w:val="000000" w:themeColor="text1"/>
            <w:sz w:val="16"/>
            <w:szCs w:val="16"/>
            <w:u w:val="none"/>
          </w:rPr>
          <w:t xml:space="preserve">B-24 </w:t>
        </w:r>
      </w:hyperlink>
      <w:r w:rsidRPr="00070ADE">
        <w:rPr>
          <w:color w:val="000000" w:themeColor="text1"/>
          <w:sz w:val="16"/>
          <w:szCs w:val="16"/>
        </w:rPr>
        <w:t>нанесли удар по авиационным заводам Ораниенбурга и Бадсдорфа. Почти 1,5 миллиона жителей города остались без крова, однако это было только начало. Американцы пока только пробовали силы. До начала мая они потеряли</w:t>
      </w:r>
      <w:r w:rsidR="00B643A8" w:rsidRPr="00070ADE">
        <w:rPr>
          <w:color w:val="000000" w:themeColor="text1"/>
          <w:sz w:val="16"/>
          <w:szCs w:val="16"/>
        </w:rPr>
        <w:t xml:space="preserve"> </w:t>
      </w:r>
      <w:r w:rsidRPr="00070ADE">
        <w:rPr>
          <w:color w:val="000000" w:themeColor="text1"/>
          <w:sz w:val="16"/>
          <w:szCs w:val="16"/>
        </w:rPr>
        <w:t>38</w:t>
      </w:r>
      <w:hyperlink r:id="rId81" w:history="1">
        <w:r w:rsidRPr="00070ADE">
          <w:rPr>
            <w:rStyle w:val="a5"/>
            <w:rFonts w:eastAsia="Times New Roman"/>
            <w:color w:val="000000" w:themeColor="text1"/>
            <w:sz w:val="16"/>
            <w:szCs w:val="16"/>
            <w:u w:val="none"/>
          </w:rPr>
          <w:t xml:space="preserve"> «Летающих крепостей» B-17</w:t>
        </w:r>
      </w:hyperlink>
      <w:r w:rsidRPr="00070ADE">
        <w:rPr>
          <w:color w:val="000000" w:themeColor="text1"/>
          <w:sz w:val="16"/>
          <w:szCs w:val="16"/>
        </w:rPr>
        <w:t xml:space="preserve"> и 25 </w:t>
      </w:r>
      <w:hyperlink r:id="rId82" w:history="1">
        <w:r w:rsidRPr="00070ADE">
          <w:rPr>
            <w:rStyle w:val="a5"/>
            <w:rFonts w:eastAsia="Times New Roman"/>
            <w:color w:val="000000" w:themeColor="text1"/>
            <w:sz w:val="16"/>
            <w:szCs w:val="16"/>
            <w:u w:val="none"/>
          </w:rPr>
          <w:t>B-24</w:t>
        </w:r>
      </w:hyperlink>
      <w:r w:rsidRPr="00070ADE">
        <w:rPr>
          <w:color w:val="000000" w:themeColor="text1"/>
          <w:sz w:val="16"/>
          <w:szCs w:val="16"/>
        </w:rPr>
        <w:t>.</w:t>
      </w:r>
    </w:p>
    <w:p w14:paraId="673BD90C" w14:textId="77777777" w:rsidR="00D4630C" w:rsidRPr="00070ADE" w:rsidRDefault="00D4630C" w:rsidP="00B56F90">
      <w:pPr>
        <w:pStyle w:val="ae"/>
        <w:shd w:val="clear" w:color="auto" w:fill="FFFFFF"/>
        <w:spacing w:before="0" w:after="0"/>
        <w:jc w:val="both"/>
        <w:rPr>
          <w:color w:val="000000" w:themeColor="text1"/>
          <w:sz w:val="16"/>
          <w:szCs w:val="16"/>
        </w:rPr>
      </w:pPr>
      <w:r w:rsidRPr="00070ADE">
        <w:rPr>
          <w:rStyle w:val="a7"/>
          <w:b w:val="0"/>
          <w:color w:val="000000" w:themeColor="text1"/>
          <w:sz w:val="16"/>
          <w:szCs w:val="16"/>
        </w:rPr>
        <w:t>7 мая 1944 года</w:t>
      </w:r>
      <w:r w:rsidRPr="00070ADE">
        <w:rPr>
          <w:color w:val="000000" w:themeColor="text1"/>
          <w:sz w:val="16"/>
          <w:szCs w:val="16"/>
        </w:rPr>
        <w:t xml:space="preserve"> 600 самоле</w:t>
      </w:r>
      <w:r w:rsidRPr="00070ADE">
        <w:rPr>
          <w:color w:val="000000" w:themeColor="text1"/>
          <w:sz w:val="16"/>
          <w:szCs w:val="16"/>
        </w:rPr>
        <w:softHyphen/>
        <w:t xml:space="preserve">тов сбросили 1246 тонн бомб на центр Берлина, потеряв 6 машин. </w:t>
      </w:r>
      <w:r w:rsidRPr="00070ADE">
        <w:rPr>
          <w:rStyle w:val="a7"/>
          <w:b w:val="0"/>
          <w:color w:val="000000" w:themeColor="text1"/>
          <w:sz w:val="16"/>
          <w:szCs w:val="16"/>
        </w:rPr>
        <w:t>8 мая</w:t>
      </w:r>
      <w:r w:rsidRPr="00070ADE">
        <w:rPr>
          <w:color w:val="000000" w:themeColor="text1"/>
          <w:sz w:val="16"/>
          <w:szCs w:val="16"/>
        </w:rPr>
        <w:t xml:space="preserve"> 386 самолетов (25 сбито), а </w:t>
      </w:r>
      <w:r w:rsidRPr="00070ADE">
        <w:rPr>
          <w:rStyle w:val="a7"/>
          <w:b w:val="0"/>
          <w:color w:val="000000" w:themeColor="text1"/>
          <w:sz w:val="16"/>
          <w:szCs w:val="16"/>
        </w:rPr>
        <w:t>19 мая</w:t>
      </w:r>
      <w:r w:rsidRPr="00070ADE">
        <w:rPr>
          <w:color w:val="000000" w:themeColor="text1"/>
          <w:sz w:val="16"/>
          <w:szCs w:val="16"/>
        </w:rPr>
        <w:t xml:space="preserve"> 465 самолетов продолжили бомбардировку жилых районов. Всего до </w:t>
      </w:r>
      <w:r w:rsidRPr="00070ADE">
        <w:rPr>
          <w:rStyle w:val="a7"/>
          <w:b w:val="0"/>
          <w:color w:val="000000" w:themeColor="text1"/>
          <w:sz w:val="16"/>
          <w:szCs w:val="16"/>
        </w:rPr>
        <w:t>21 июня 1944 года</w:t>
      </w:r>
      <w:r w:rsidRPr="00070ADE">
        <w:rPr>
          <w:color w:val="000000" w:themeColor="text1"/>
          <w:sz w:val="16"/>
          <w:szCs w:val="16"/>
        </w:rPr>
        <w:t xml:space="preserve"> они потеряли 113 бомбардировщиков, из них 44 машины были уничтожены на земле, на дозаправке.</w:t>
      </w:r>
    </w:p>
    <w:p w14:paraId="7E02A0E2" w14:textId="77777777" w:rsidR="00D4630C" w:rsidRPr="00070ADE" w:rsidRDefault="00D4630C" w:rsidP="00B56F90">
      <w:pPr>
        <w:pStyle w:val="ae"/>
        <w:shd w:val="clear" w:color="auto" w:fill="FFFFFF"/>
        <w:spacing w:before="0" w:after="0"/>
        <w:jc w:val="both"/>
        <w:rPr>
          <w:color w:val="000000" w:themeColor="text1"/>
          <w:sz w:val="16"/>
          <w:szCs w:val="16"/>
        </w:rPr>
      </w:pPr>
      <w:r w:rsidRPr="00070ADE">
        <w:rPr>
          <w:color w:val="000000" w:themeColor="text1"/>
          <w:sz w:val="16"/>
          <w:szCs w:val="16"/>
        </w:rPr>
        <w:t>До самой осени продолжалось относительное затишье, вызванное высадкой союзных войск в Нормандии, куда была отвлечена значительная часть бомбардировочной авиации. Немецкая столица все же была атакована:</w:t>
      </w:r>
    </w:p>
    <w:p w14:paraId="45E30426" w14:textId="77777777" w:rsidR="00D4630C" w:rsidRPr="00070ADE" w:rsidRDefault="00D4630C" w:rsidP="00B56F90">
      <w:pPr>
        <w:pStyle w:val="ae"/>
        <w:shd w:val="clear" w:color="auto" w:fill="FFFFFF"/>
        <w:spacing w:before="0" w:after="0"/>
        <w:jc w:val="both"/>
        <w:rPr>
          <w:rStyle w:val="a7"/>
          <w:b w:val="0"/>
          <w:color w:val="000000" w:themeColor="text1"/>
          <w:sz w:val="16"/>
          <w:szCs w:val="16"/>
        </w:rPr>
      </w:pPr>
      <w:r w:rsidRPr="00070ADE">
        <w:rPr>
          <w:rStyle w:val="a7"/>
          <w:b w:val="0"/>
          <w:color w:val="000000" w:themeColor="text1"/>
          <w:sz w:val="16"/>
          <w:szCs w:val="16"/>
        </w:rPr>
        <w:t>6 августа 1944 г.</w:t>
      </w:r>
      <w:r w:rsidRPr="00070ADE">
        <w:rPr>
          <w:color w:val="000000" w:themeColor="text1"/>
          <w:sz w:val="16"/>
          <w:szCs w:val="16"/>
        </w:rPr>
        <w:t xml:space="preserve">, 128 B-17, а затем </w:t>
      </w:r>
      <w:r w:rsidRPr="00070ADE">
        <w:rPr>
          <w:rStyle w:val="a7"/>
          <w:b w:val="0"/>
          <w:color w:val="000000" w:themeColor="text1"/>
          <w:sz w:val="16"/>
          <w:szCs w:val="16"/>
        </w:rPr>
        <w:t>6 октября</w:t>
      </w:r>
      <w:r w:rsidRPr="00070ADE">
        <w:rPr>
          <w:color w:val="000000" w:themeColor="text1"/>
          <w:sz w:val="16"/>
          <w:szCs w:val="16"/>
        </w:rPr>
        <w:t xml:space="preserve"> 382 B-17 бомбили Берлин и танковые заводы в Тегеле и Шпандау. За это время было потеряно 17 машин. Ещё раз эти цели и другие заводы подверглись атаке с воздуха </w:t>
      </w:r>
      <w:r w:rsidRPr="00070ADE">
        <w:rPr>
          <w:rStyle w:val="a7"/>
          <w:b w:val="0"/>
          <w:color w:val="000000" w:themeColor="text1"/>
          <w:sz w:val="16"/>
          <w:szCs w:val="16"/>
        </w:rPr>
        <w:t>5 декабря (17416).</w:t>
      </w:r>
    </w:p>
    <w:p w14:paraId="3122FDFF" w14:textId="77777777" w:rsidR="00D4630C" w:rsidRPr="00070ADE" w:rsidRDefault="00D4630C" w:rsidP="00B56F90">
      <w:pPr>
        <w:pStyle w:val="ae"/>
        <w:shd w:val="clear" w:color="auto" w:fill="FFFFFF"/>
        <w:spacing w:before="0" w:after="0"/>
        <w:jc w:val="both"/>
        <w:rPr>
          <w:rStyle w:val="a7"/>
          <w:b w:val="0"/>
          <w:color w:val="000000" w:themeColor="text1"/>
          <w:sz w:val="16"/>
          <w:szCs w:val="16"/>
        </w:rPr>
      </w:pPr>
    </w:p>
    <w:p w14:paraId="5A111403"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22–23 марта (ночь) 1944 816 британских бомбардировщиков совершают налет на Франкфурт-на-Майне. Немногочисленные немецкие ночные истребители перехватывают их, 33 бомбардировщика (4 процента сил) потеряны. Рейд оказался даже более успешным, чем рейд 18–19 марта, он нанес серьезный ущерб большей части города, в результате чего половина города осталась без воды, электричества и природного газа, а также были нанесены большие разрушения промышленным районам (20373).</w:t>
      </w:r>
    </w:p>
    <w:p w14:paraId="5C399114" w14:textId="77777777" w:rsidR="004D5E52" w:rsidRPr="00070ADE" w:rsidRDefault="004D5E52" w:rsidP="00B56F90">
      <w:pPr>
        <w:spacing w:after="0" w:line="240" w:lineRule="auto"/>
        <w:jc w:val="both"/>
        <w:rPr>
          <w:rFonts w:ascii="Times New Roman" w:hAnsi="Times New Roman"/>
          <w:color w:val="000000" w:themeColor="text1"/>
          <w:sz w:val="16"/>
          <w:szCs w:val="16"/>
        </w:rPr>
      </w:pPr>
    </w:p>
    <w:p w14:paraId="2676F17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марта 1944 во время пыток в парижском гестапо покончил с собой один из лидеров французского Сопротивления Пьер Броссолет (4962).</w:t>
      </w:r>
    </w:p>
    <w:p w14:paraId="3C19FCD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053D5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марта 1944 германское командованием отдало приказ о возвращении подводных лодок из Центральной Атлантики (4963 ).</w:t>
      </w:r>
    </w:p>
    <w:p w14:paraId="000FE54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DC0CD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марта 1944 японские войска вторглись на территорию Индии (4962).</w:t>
      </w:r>
    </w:p>
    <w:p w14:paraId="20E48BF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DA42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марта 1944 японские войска вторглись в Индию (2247,2).</w:t>
      </w:r>
    </w:p>
    <w:p w14:paraId="22300B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483F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марта 1944 с полигона White Sands был произведен запуск ракеты для исследования атмосферы и поднялась на 80 км (2990).</w:t>
      </w:r>
    </w:p>
    <w:p w14:paraId="76C373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322CB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марта 1944 Китай и Канада подписали договор о взаимопомощи (4962).</w:t>
      </w:r>
    </w:p>
    <w:p w14:paraId="76EB66F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DADC5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A42D2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864F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марта 1944 вышел приказ НКАП N 212с:</w:t>
      </w:r>
    </w:p>
    <w:p w14:paraId="3B9980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"Проведенные в ЛИИ летные испытания самолета Як-9 с мотором М-105ПД показали, что достигнутая высота полета 13000 м удовлетворяет поставленным требованиям, но для этого самолета она близка к пределу.</w:t>
      </w:r>
    </w:p>
    <w:p w14:paraId="0AF46B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тем, что задача дальнейшего повышения высотности требует весьма значительных изменений конструкции серийного Як-9:</w:t>
      </w:r>
    </w:p>
    <w:p w14:paraId="5DCC09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Отменить постройку самолета Як-9 с ВК-105ПД с боевой высотой 13500 м, предусмотренную приказом N 523сс от 31 августа 1943 (1627,9).</w:t>
      </w:r>
    </w:p>
    <w:p w14:paraId="778325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5529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23 марта по август 1944 проходили гос. испытания Як-9Б (заводской индекс - Як-9Л) с ВК-105ПФ и 4хФАБ-100 или 128 ПТАБ-2,5-1,5 в четыре приема и летали многие, в т.ч. А.Г.Прошаков, Ю.А.Антипов, А.Г.Кубышкин, а ви был А.Т.Степанец. Собственно с 23 по 24 марта осуществляли облет и взвешивание (65,135).</w:t>
      </w:r>
    </w:p>
    <w:p w14:paraId="47292E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F6D5BC"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марта</w:t>
      </w:r>
      <w:r w:rsidRPr="00070ADE">
        <w:rPr>
          <w:rFonts w:ascii="Times New Roman" w:hAnsi="Times New Roman"/>
          <w:color w:val="000000" w:themeColor="text1"/>
          <w:sz w:val="16"/>
          <w:szCs w:val="16"/>
        </w:rPr>
        <w:t xml:space="preserve"> в 1944 году первый полет истребителя-бомбардировщика </w:t>
      </w:r>
      <w:hyperlink r:id="rId83" w:tgtFrame="_blank" w:history="1">
        <w:r w:rsidRPr="00070ADE">
          <w:rPr>
            <w:rFonts w:ascii="Times New Roman" w:hAnsi="Times New Roman"/>
            <w:color w:val="000000" w:themeColor="text1"/>
            <w:sz w:val="16"/>
            <w:szCs w:val="16"/>
          </w:rPr>
          <w:t xml:space="preserve">«Як-9Б» </w:t>
        </w:r>
      </w:hyperlink>
      <w:r w:rsidRPr="00070ADE">
        <w:rPr>
          <w:rFonts w:ascii="Times New Roman" w:hAnsi="Times New Roman"/>
          <w:color w:val="000000" w:themeColor="text1"/>
          <w:sz w:val="16"/>
          <w:szCs w:val="16"/>
        </w:rPr>
        <w:t>«Як-9», созданный в конце 1942 года, стал самым массовым истребителем советских ВВС в период Великой Отечественной войны. За 1942-1945 гг. авиапромышленность выпустила 15470 самолетов этого типа. При его создании за основу был взят истребитель «Як-7Б» с мотором «М-105ПФ» (15077).</w:t>
      </w:r>
    </w:p>
    <w:p w14:paraId="457248CA" w14:textId="77777777" w:rsidR="00EB5859" w:rsidRPr="00070ADE" w:rsidRDefault="00EB5859" w:rsidP="00B56F90">
      <w:pPr>
        <w:spacing w:after="0" w:line="240" w:lineRule="auto"/>
        <w:jc w:val="both"/>
        <w:rPr>
          <w:rFonts w:ascii="Times New Roman" w:hAnsi="Times New Roman"/>
          <w:color w:val="000000" w:themeColor="text1"/>
          <w:sz w:val="16"/>
          <w:szCs w:val="16"/>
        </w:rPr>
      </w:pPr>
    </w:p>
    <w:p w14:paraId="282018C0" w14:textId="77777777" w:rsidR="00AA3357" w:rsidRPr="00C94B78" w:rsidRDefault="00AA33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23 марта по август 1944 проходили заводские испытания Як</w:t>
      </w:r>
      <w:r w:rsidRPr="00C94B78">
        <w:rPr>
          <w:rFonts w:ascii="Times New Roman" w:hAnsi="Times New Roman"/>
          <w:color w:val="0070C0"/>
          <w:sz w:val="16"/>
          <w:szCs w:val="16"/>
        </w:rPr>
        <w:noBreakHyphen/>
        <w:t>9Б.</w:t>
      </w:r>
    </w:p>
    <w:p w14:paraId="7262465A" w14:textId="77777777" w:rsidR="00AA3357" w:rsidRPr="00C94B78" w:rsidRDefault="00AA33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четырех трубчатых кассетах за кабиной, между вторым и четвертым шпангоутом фюзеляжа, размещались авиабомбы. Самолет мог брать четыре бомбы ФАБ</w:t>
      </w:r>
      <w:r w:rsidRPr="00C94B78">
        <w:rPr>
          <w:rFonts w:ascii="Times New Roman" w:hAnsi="Times New Roman"/>
          <w:color w:val="0070C0"/>
          <w:sz w:val="16"/>
          <w:szCs w:val="16"/>
        </w:rPr>
        <w:noBreakHyphen/>
        <w:t>100 либо четыре кассеты противотанковых кумулятивных бомб типа ПТАБ, весом по 1,5 кг. В каждой такой кассете помещалось по 32 бомбы.</w:t>
      </w:r>
    </w:p>
    <w:p w14:paraId="3F31EB46" w14:textId="77777777" w:rsidR="00AA3357" w:rsidRPr="00C94B78" w:rsidRDefault="00AA33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Загрузка бомб была достаточно трудоемкой. Кроме того, что их нужно было загружать снизу, еще хвост самолета должен был быть поднят на 0,5 м над землей. В другом варианте машина устанавливалась над окопом, в котором находился вооруженец с бомбами. Затем над самолетом устанавливался специальный подъемник, который подтягивал бомбы. Чтобы сделать это возможным, задняя часть фонаря кабины была съемной. Хорошо обученный персонал мог подвесить комплект бомб за 22–25 мин.</w:t>
      </w:r>
    </w:p>
    <w:p w14:paraId="791BAA94" w14:textId="77777777" w:rsidR="00AA3357" w:rsidRPr="00C94B78" w:rsidRDefault="00AA33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Каждая из четырех кассет вмещавших бомбы была снизу закрыта отдельной створкой. Собственно говоря, на них и лежали ФАБ</w:t>
      </w:r>
      <w:r w:rsidRPr="00C94B78">
        <w:rPr>
          <w:rFonts w:ascii="Times New Roman" w:hAnsi="Times New Roman"/>
          <w:color w:val="0070C0"/>
          <w:sz w:val="16"/>
          <w:szCs w:val="16"/>
        </w:rPr>
        <w:noBreakHyphen/>
        <w:t>100, которые сверху центрировались специальным приспособлением (26077).</w:t>
      </w:r>
    </w:p>
    <w:p w14:paraId="356BDAEA" w14:textId="77777777" w:rsidR="00AA3357" w:rsidRPr="00C94B78" w:rsidRDefault="00AA3357" w:rsidP="00B56F90">
      <w:pPr>
        <w:spacing w:after="0" w:line="240" w:lineRule="auto"/>
        <w:jc w:val="both"/>
        <w:rPr>
          <w:rFonts w:ascii="Times New Roman" w:hAnsi="Times New Roman"/>
          <w:color w:val="0070C0"/>
          <w:sz w:val="16"/>
          <w:szCs w:val="16"/>
        </w:rPr>
      </w:pPr>
    </w:p>
    <w:p w14:paraId="4C5F4F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марта 1944 г. в НИИ ВВС начались Государственные испытания истребителя-бомбардировщика Як-9Л (самолет "Л"), впоследствии переименованного в Як-9Б. Машину переделали из серийного Як-9Д № 09-75 на опытном заводе № 115 в Москве в соответствие с постановлением ГКО от 15 марта 1944 г.</w:t>
      </w:r>
    </w:p>
    <w:p w14:paraId="7F83D8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Стрелковое вооружение осталось прежнее, но за кабиной пилота между вторым и четвертым шпангоутами оборудовали бомбовые отсеки. При этом переделали верхнюю и нижнюю панели обшивки фюзеляжа, причем в последней выполнили четыре люка. Стенки четырех бомбоотсеков наклонили назад под углом 75 градусов к продольной оси истребителя. Бомбоотсеки допускали подвеску противотанковых ПТАБ-2,5-1,5 (4x32 бомбы) или до четырех фугасных авиабомб ФАБ-100.</w:t>
      </w:r>
    </w:p>
    <w:p w14:paraId="001AB5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Открытие створок бомбового отсека осуществлялось от аварийного сбрасывателя или с помощью электрических спусковых устройств ЭЛС-1. Закрытие створок - пневмоприводом. Тросы проводки управления рулем направления сдвинули к продольной оси самолета. Радиопередатчик и умформер перенесли в хвостовую часть фюзеляжа.</w:t>
      </w:r>
    </w:p>
    <w:p w14:paraId="1BA4DE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Ведущими по машине на этапе государственных испытаний были инженер С.А. Ста- ринин, летчики В.И. Хомяков, А.Г. Проша- ков, Ю.А. Антипов и И.А. Доброскокин (НИИ авиационного вооружения ВВС).</w:t>
      </w:r>
    </w:p>
    <w:p w14:paraId="1F082B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выводах "Акта по результатам государственных испытаний..." отмечалось, что Як-9Л может производить бомбометание по площадным целям. Прицельное бомбометание было невозможно из-за отсутствия прицела.</w:t>
      </w:r>
    </w:p>
    <w:p w14:paraId="176D04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пикировании с углами до 50 градусов бомбы свободно выпадали из фюзеляжа, а свыше - только при выводе из пикирования. Недостаточный угол упреждения, ограниченный установкой прицела РБП-1а, исключал точное бомбометание на углах пикирования до 50 градусов.</w:t>
      </w:r>
    </w:p>
    <w:p w14:paraId="4C4E15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с полетным весом 3365 кг (бомбовая нагрузка - 200 кг, горючее - 485 кг) имел центровку 28,9 процента, при которой на взлете он становился неустойчивым, а в горизонтальном полете его продольная устойчивость была близка к нейтральной.</w:t>
      </w:r>
    </w:p>
    <w:p w14:paraId="6AA6DFB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заключение отмечалось, что Як-9Л можно рекомендовать для бомбометания по площадным целям, но с бомбовой нагрузкой не более 200 кг. При этом следовало устранить выявленные в ходе испытаний дефекты на всех машинах, выпускавшихся в соответствии с февральским 1944 года постановлением ГКО, и доработать бомбовые отсеки, обеспечив прицельное бомбометание на углах пикирования до 80 градусов и свободное выпадение из них авиабомб (12046).</w:t>
      </w:r>
    </w:p>
    <w:p w14:paraId="1EE066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1B848B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35CA19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4F8337" w14:textId="77777777" w:rsidR="006E2E37" w:rsidRPr="00070ADE" w:rsidRDefault="006E2E37" w:rsidP="00B56F90">
      <w:pPr>
        <w:pStyle w:val="ae"/>
        <w:spacing w:before="0" w:after="0"/>
        <w:jc w:val="both"/>
        <w:textAlignment w:val="baseline"/>
        <w:rPr>
          <w:color w:val="000000" w:themeColor="text1"/>
          <w:sz w:val="16"/>
          <w:szCs w:val="16"/>
        </w:rPr>
      </w:pPr>
      <w:r w:rsidRPr="00070ADE">
        <w:rPr>
          <w:color w:val="000000" w:themeColor="text1"/>
          <w:sz w:val="16"/>
          <w:szCs w:val="16"/>
        </w:rPr>
        <w:t>23 марта 1944 нарком танковой промышленности В.А. Малышев дал указание о постройке двух опытных образцов Т-44, в которых устранялись обнаруженные на испытаниях недочёты. Кроме того, диаметр опорных катков увеличивался до 830 мм (аналогично Т-34) (18950).</w:t>
      </w:r>
    </w:p>
    <w:p w14:paraId="76698A7A" w14:textId="77777777" w:rsidR="006E2E37" w:rsidRPr="00070ADE" w:rsidRDefault="006E2E37" w:rsidP="00B56F90">
      <w:pPr>
        <w:spacing w:after="0" w:line="240" w:lineRule="auto"/>
        <w:jc w:val="both"/>
        <w:textAlignment w:val="baseline"/>
        <w:rPr>
          <w:rFonts w:ascii="Times New Roman" w:hAnsi="Times New Roman"/>
          <w:color w:val="000000" w:themeColor="text1"/>
          <w:sz w:val="16"/>
          <w:szCs w:val="16"/>
        </w:rPr>
      </w:pPr>
    </w:p>
    <w:p w14:paraId="7F32F805" w14:textId="77777777" w:rsidR="00AA3357" w:rsidRPr="00C94B78" w:rsidRDefault="00AA33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23 марта 1944 года нарком танковой промышленности В.А. Малышев поддержал выводы комиссии по испытаниям Т-44 в феврале-марте 1944 г. и дал указание о постройке двух опытных образцов Т-44, в которых устранялись обнаруженные на испытаниях недочеты. Также диаметр опорных катков увеличивался до 830 мм (такой же диаметр имели катки Т-34) (25624).</w:t>
      </w:r>
    </w:p>
    <w:p w14:paraId="6161D59F" w14:textId="77777777" w:rsidR="00AA3357" w:rsidRPr="00C94B78" w:rsidRDefault="00AA3357" w:rsidP="00B56F90">
      <w:pPr>
        <w:spacing w:after="0" w:line="240" w:lineRule="auto"/>
        <w:jc w:val="both"/>
        <w:rPr>
          <w:rFonts w:ascii="Times New Roman" w:hAnsi="Times New Roman"/>
          <w:color w:val="0070C0"/>
          <w:sz w:val="16"/>
          <w:szCs w:val="16"/>
        </w:rPr>
      </w:pPr>
    </w:p>
    <w:p w14:paraId="49F25E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марта 1944 г. вышло ПОСТАНОВЛЕНИЕ № 3 ВОЕННОГО СОВЕТА БТ и МВ КА</w:t>
      </w:r>
    </w:p>
    <w:p w14:paraId="72273C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Присутствовали: генерал-лейтенант т. Вершинин</w:t>
      </w:r>
    </w:p>
    <w:p w14:paraId="6656A3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генерал-лейтенант т. Лебедев генерал-майор т. Афонин генерал-майор т. Павловский генерал-майор т. Алымов генерал-майор т. Печеникин генерал-майор т. Романов подполковник т. Киркевич</w:t>
      </w:r>
    </w:p>
    <w:p w14:paraId="24C0EA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Слушали: О результатах гарантийных испытаний танков и самоходных установок.</w:t>
      </w:r>
    </w:p>
    <w:p w14:paraId="17E094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 генерал-лейтенанта т. Вершинина.</w:t>
      </w:r>
    </w:p>
    <w:p w14:paraId="1D9A87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Военный совет констатирует:</w:t>
      </w:r>
    </w:p>
    <w:p w14:paraId="4C41F9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Качество выпускаемых танков продолжает оставаться неудовлетворительным. На 1000 кило</w:t>
      </w:r>
      <w:r w:rsidRPr="00070ADE">
        <w:rPr>
          <w:rFonts w:ascii="Times New Roman" w:hAnsi="Times New Roman"/>
          <w:color w:val="000000" w:themeColor="text1"/>
          <w:sz w:val="16"/>
          <w:szCs w:val="16"/>
        </w:rPr>
        <w:softHyphen/>
        <w:t>метров пробега гарантийные испытания выдержало только 33% танков, на 300 километров пробега выдержало только 73%.</w:t>
      </w:r>
    </w:p>
    <w:p w14:paraId="1A1A4A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 ГОКО от 29.03.1943 г. о повышении качества танков заводами выполняется неудовлетворительно.</w:t>
      </w:r>
    </w:p>
    <w:p w14:paraId="7DB0AB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Военный совет ПОСТАНОВЛЯЕТ:</w:t>
      </w:r>
    </w:p>
    <w:p w14:paraId="7DB29A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Просить правительство увеличить число танков для гарантийного пробега один от каждых 50 шт.</w:t>
      </w:r>
    </w:p>
    <w:p w14:paraId="47E90B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Ввести строгую документацию пробега танков. (Учет дефектов).</w:t>
      </w:r>
    </w:p>
    <w:p w14:paraId="526653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Ведущим инженерам усилить контроль за качеством выпускаемых танков и самоходных уста</w:t>
      </w:r>
      <w:r w:rsidRPr="00070ADE">
        <w:rPr>
          <w:rFonts w:ascii="Times New Roman" w:hAnsi="Times New Roman"/>
          <w:color w:val="000000" w:themeColor="text1"/>
          <w:sz w:val="16"/>
          <w:szCs w:val="16"/>
        </w:rPr>
        <w:softHyphen/>
        <w:t>новок.</w:t>
      </w:r>
    </w:p>
    <w:p w14:paraId="3A9FC4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Товарищу Вершинину каждый месяц докладывать Военному совету о качестве танков и СУ.</w:t>
      </w:r>
    </w:p>
    <w:p w14:paraId="1E3013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Поручить т. Коробкову, т. Вершинину и т. Афонину переработать доклад в разрезе указания Военного совета и подготовить проект постановления ГОКО к 25.03.1944 г.</w:t>
      </w:r>
    </w:p>
    <w:p w14:paraId="3573FE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Слушали: О выборе марок танков для ввоза из Англии и Америки.</w:t>
      </w:r>
    </w:p>
    <w:p w14:paraId="3DFD37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Докладчик т. Вершинин.</w:t>
      </w:r>
    </w:p>
    <w:p w14:paraId="3644BD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Постановили: Утвердить представленный список марок машин, подлежащих ввозу в СССР.</w:t>
      </w:r>
    </w:p>
    <w:p w14:paraId="062D3E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Слушали: О представлении к правительственным наградам военпредов заводов. Докладчик т. Афонин.</w:t>
      </w:r>
    </w:p>
    <w:p w14:paraId="10B959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Постановили: Поручить тт. Вершинину и Афонину представить список военпредов заводов для награждения орденами к 31 марта 1944 г. Приложение</w:t>
      </w:r>
      <w:r w:rsidRPr="00070ADE">
        <w:rPr>
          <w:rFonts w:ascii="Times New Roman" w:hAnsi="Times New Roman"/>
          <w:color w:val="000000" w:themeColor="text1"/>
          <w:sz w:val="16"/>
          <w:szCs w:val="16"/>
          <w:vertAlign w:val="superscript"/>
        </w:rPr>
        <w:t>1</w:t>
      </w:r>
      <w:r w:rsidRPr="00070ADE">
        <w:rPr>
          <w:rFonts w:ascii="Times New Roman" w:hAnsi="Times New Roman"/>
          <w:color w:val="000000" w:themeColor="text1"/>
          <w:sz w:val="16"/>
          <w:szCs w:val="16"/>
        </w:rPr>
        <w:t>:</w:t>
      </w:r>
    </w:p>
    <w:p w14:paraId="31BD2E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Доклад т. Вершинина о качестве танков и самоходных установок.</w:t>
      </w:r>
    </w:p>
    <w:p w14:paraId="41A324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Список танков и других машин, подлежащих выписке из-за границы.</w:t>
      </w:r>
    </w:p>
    <w:p w14:paraId="2AB10D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БТ и МВ Красной Армии маршал бронетанковых войск Федоренко</w:t>
      </w:r>
    </w:p>
    <w:p w14:paraId="656D1C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 Военного совета БТ и МВ Красной Армии генерал-лейтенант танковых войск Н. Бирюков</w:t>
      </w:r>
    </w:p>
    <w:p w14:paraId="25F28A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11389. Д. 18. Л. 12-13. Подлинник (11403).</w:t>
      </w:r>
    </w:p>
    <w:p w14:paraId="64B7D5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8A0F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марта 1944 г. была подготовлена ДОКЛАДНАЯ ЗАПИСКА НАЧАЛЬНИКА ГЛАВНОГО УФ и БП БТ и МВ КА НАЧАЛЬНИКУ ГБТУ КА ОБ УКОМПЛЕКТОВАНИИ БРОНЕТЕХНИКИ ПИСТОЛЕТАМИ-ПУЛЕМЕТАМИ ППШ И АПТЕЧКАМИ № 502653</w:t>
      </w:r>
    </w:p>
    <w:p w14:paraId="7A8333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Танки, самоходные установки, бронеавтомобили и бронетранспортеры, поступающие в форми</w:t>
      </w:r>
      <w:r w:rsidRPr="00070ADE">
        <w:rPr>
          <w:rFonts w:ascii="Times New Roman" w:hAnsi="Times New Roman"/>
          <w:color w:val="000000" w:themeColor="text1"/>
          <w:sz w:val="16"/>
          <w:szCs w:val="16"/>
        </w:rPr>
        <w:softHyphen/>
        <w:t>руемые части с заводов и отделов военной приемки, не укомплектовываются пистолетами-пулеме</w:t>
      </w:r>
      <w:r w:rsidRPr="00070ADE">
        <w:rPr>
          <w:rFonts w:ascii="Times New Roman" w:hAnsi="Times New Roman"/>
          <w:color w:val="000000" w:themeColor="text1"/>
          <w:sz w:val="16"/>
          <w:szCs w:val="16"/>
        </w:rPr>
        <w:softHyphen/>
        <w:t>тами ППШ и аптечками с набором положенных медикаментов.</w:t>
      </w:r>
    </w:p>
    <w:p w14:paraId="1668B2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Вашего распоряжения об укомплектовании с 10 апреля с.г. боевых машин на заводах и в военных приемках положенными пистолетами-пулеметами ППШ и аптечками на каждую машину.</w:t>
      </w:r>
    </w:p>
    <w:p w14:paraId="498622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Вопрос об отпуске пистолетов-пулеметов ППШ мною согласован с заместителем начальника ГАУ КА генерал-лейтенантом артиллерии т. Волкотрубенко; об отпуске аптечек - с начальником управле</w:t>
      </w:r>
      <w:r w:rsidRPr="00070ADE">
        <w:rPr>
          <w:rFonts w:ascii="Times New Roman" w:hAnsi="Times New Roman"/>
          <w:color w:val="000000" w:themeColor="text1"/>
          <w:sz w:val="16"/>
          <w:szCs w:val="16"/>
        </w:rPr>
        <w:softHyphen/>
        <w:t>ния снабжения медсанхозимуществом главсанупра полковником мед. службы т. Тиманьковым.</w:t>
      </w:r>
    </w:p>
    <w:p w14:paraId="39DB28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Врид. начальника главного управления формирования и боевой подготовки БТ и МВ КА</w:t>
      </w:r>
    </w:p>
    <w:p w14:paraId="279AF6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полковник Колосов</w:t>
      </w:r>
    </w:p>
    <w:p w14:paraId="7EE986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управления формирования и укомплектования БТ и МВ КА</w:t>
      </w:r>
    </w:p>
    <w:p w14:paraId="5FD7EC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генерал-майор танковых войск Кабанов</w:t>
      </w:r>
    </w:p>
    <w:p w14:paraId="79AB0E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2515. Л. 59. Подлинник (11403).</w:t>
      </w:r>
    </w:p>
    <w:p w14:paraId="3261FD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44D7A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марта 1944 вышло Постановление ГКО № 5453 Об обеспечении рабочей силой объектов НКО, предусмотренных постановлением ГОКО № 3385сс от 15 мая 1943 г. РГАНИР, Фонд ГКО, д. 220, лл. 34 (11012).</w:t>
      </w:r>
    </w:p>
    <w:p w14:paraId="1012085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ED605F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марта 1944 вышло Постановление ГКО № 5454 Об обеспечении военной промышленности черными металлами во II квартале 1944 года. РГАНИР, Фонд ГКО, д. 220, лл. 35-36 (11012).</w:t>
      </w:r>
    </w:p>
    <w:p w14:paraId="13AE7A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7B11B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марта 1944 вышло Постановление ГКО № 5455 О разгрузке Уралмашзавода НКТП от производства изделий, не связанных с производством танков и пушек. РГАНИР, Фонд ГКО, д. 220, лл. 37-38 (11012).</w:t>
      </w:r>
    </w:p>
    <w:p w14:paraId="507C6E5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0A1A4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марта 1944 вышло Постановление ГКО № 5456 О мероприятиях по обеспечению выполнения плана осенне-зимних заготовок авиалеса. РГАНИР, Фонд ГКО, д. 220, лл. 39-46 (11012).</w:t>
      </w:r>
    </w:p>
    <w:p w14:paraId="642118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4A8EF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марта 1944 вышло Распоряжение ГКО № 5457. О подготовке проекта постановления "О мерах по завозу горючего и масел во II квартале 1944 года для весенних сельскохозяйственных работ". РГАНИР, Фонд ГКО, д. 220, лл. 47,48-63 (11012).</w:t>
      </w:r>
    </w:p>
    <w:p w14:paraId="3FEE7A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ADCB4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марта 1944 вышло Постановление ГКО № 5458 О материально-техническом обеспечении производства тяжелых танков и артиллерийских самоходных установок, мощных танковых пушек и 122-152 мм снарядов. РГАНИР, Фонд ГКО, д. 220, лл. 64-65,66-186 (11012).</w:t>
      </w:r>
    </w:p>
    <w:p w14:paraId="3FF3E62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AD176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марта 1944 вышло Постановление ГКО№ 5459 Об улучшении работы военторгов по обслуживанию действующей армии. РГАНИР, Фонд ГКО, д. 220, лл. 187-194,195-224 (11012).</w:t>
      </w:r>
    </w:p>
    <w:p w14:paraId="20B840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78F95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марта 1944 вышло Постановление ГКО № 5461 О строительстве Закавказского металлургического завода в Грузинской ССР. РГАНИР, Фонд ГКО, д. 220, лл. 226-232,233-281 (11012).</w:t>
      </w:r>
    </w:p>
    <w:p w14:paraId="3A567E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34D243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1736C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26D894"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марта</w:t>
      </w:r>
      <w:r w:rsidRPr="00070ADE">
        <w:rPr>
          <w:rFonts w:ascii="Times New Roman" w:hAnsi="Times New Roman"/>
          <w:color w:val="000000" w:themeColor="text1"/>
          <w:sz w:val="16"/>
          <w:szCs w:val="16"/>
        </w:rPr>
        <w:t xml:space="preserve"> в 1944 году оперативная сводка Совинформбюро:</w:t>
      </w:r>
    </w:p>
    <w:p w14:paraId="014F71BF"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23 марта юго-западнее города Кременец наши войска продолжали вести наступательные бои, в ходе которых овладели районными центрами Тарнопольской области Заложцы, Глубочек Великий, а также с боями заняли более 20 других населённых пунктов.</w:t>
      </w:r>
    </w:p>
    <w:p w14:paraId="5FCB66E7"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На-днях войска 1-го Украинского фронта возобновили наступление на участке Тарнополь-Проскуров и, прорвав оборону противника, за три дня наступательных боёв продвинулись вперёд от 40 до 60 километров. В ходе наступления наши войска овладели районными центрами Тарнопольской области — городом и крупным железнодорожным узлом Копычинцы, городом и крупной железнодорожной станцией Трембовля, Микулинцы, Гримайлов, районным центром Каменец-Подольской области Фельштин, а также заняли более 200 других населённых пунктов, в том числе крупные населённые пункты Березовица Велька, Мышковица, Настасув, Сущин, Илавче, Глещава, Ивановка, Мшанец, Яблонов, Хоростков, Остапе, Турувка, Рыпна, Соломно, Немиринцы, Александровка, Варовцы, Борщёвка, Кузьмин, Аленсинец-Подлесный, Алексинец-Польный, Кадиевка, Андрейковцы и железнодорожные станции Березовица-Остров, Прошова, Микулинцы-Струсов, Деренювка, Хоростков, Гримайлов. Под ударами наших войск противник понес большие потери в живой силе итехнике.</w:t>
      </w:r>
    </w:p>
    <w:p w14:paraId="1937A6CE"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Винница наши войска, преодолевая сопротивление и контратаки противника, продолжали наступление и овладели районным центром Каменец-Подольской области городом Летичев, а также с боями заняли более 25 других населённых пунктов, среди которых крупные населённые пункты Буцни, Голенищево, Дубовая, Куриловцы, Лопатенцы, Ражепы, Голодки, Мигалевцы, Ялтушков.</w:t>
      </w:r>
    </w:p>
    <w:p w14:paraId="0706E795"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Могилёв-Подольский наши войска, продолжая развивать наступление на правом берегу Днестра, овладели районными центрами Молдавской ССР городом Рышкановка, Тырново, Вертюжаны, а также с боями заняли более 40 других населённых пунктов.</w:t>
      </w:r>
    </w:p>
    <w:p w14:paraId="2EEF0231"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Гайворон наши войска с боями продвигались вперёд и овладели районным центром Одесской области городом и крупной железнодорожной станцией Кодыма, а также заняли более 30 других населённых пунктов, в том числе Баштанково, Ивашково, Волова, Шляхово, Ракулово, Юзефовка.</w:t>
      </w:r>
    </w:p>
    <w:p w14:paraId="2233DB15"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Николаевском направлении наши войска, продолжая вести бои по очищению от противника восточного берега реки Южный Буг, овладели населёнными пунктами Болгарка, Раково, Ново-Григорьевск, Арнаутовка, Пески, Гурьевка, Константиновка. Наши войска вплотную подошли к городу Вознесенск и завязали бои на окраинах города.</w:t>
      </w:r>
    </w:p>
    <w:p w14:paraId="3A6880D5"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бои местного значения.</w:t>
      </w:r>
    </w:p>
    <w:p w14:paraId="56233ACD"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22 марта наши войска на всех фронтах подбили и уничтожили 51 немецкий танк. В воздушных боях и огнём зенитной артиллерии сбито 24 самолёта противника.</w:t>
      </w:r>
    </w:p>
    <w:p w14:paraId="2093B8FE"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три дня тому назад возобновили наступление на участке Тарнополь-Проскуров. В последнее время в этом районе немцы предпринимали контратаки, стремясь вновь захватить железную дорогу, соединяющую города Проскуров и Тарнополь. Когда немецкие танковые и пехотные дивизии в бесплодных контратаках были измотаны, наши войска внезапно перешли в наступление. Советские танки и пехота в первый же день наступления прорвали оборону противника и устремились на юг. За три дня боёв наши войска продвинулись вперёд от 40 до 60 километров. Бойцы Н-ского соединения штурмом овладели городом и крупной железнодорожной станцией Трембовля. Затем был нанесён удар по крупному железнодорожному узду и городу Копычинцы. Советские бойцы разгромили немецкий гарнизон и, овладев городом, перерезали железную дорогу Чертков-Гусятин. Другиенаши соединения развернули успешное наступление западнее города Проскуров и разорвали немецкую оборону на отдельные изолированные друг от друга звенья. В этих боях наши войска нанесли противнику тяжёлые поражения. Только на участке Скалат—Городница подбито и сожжено свыше 50 немецких танков. В районе города Трембовля взято в плен 800 немецких солдат и офицеров и захвачены большие трофеи. У населённого пункта Андрейковцы наши бойцы захватили два железнодорожных эшелона с немецкими танками и автомашинами. Под ударами советских войск немцы отступают, бросая на своём пути вооружение и военные материалы.</w:t>
      </w:r>
    </w:p>
    <w:p w14:paraId="5E2CBF0A"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Винница наши войска продолжали наступление. Бойцы Н-ского соединения сегодня овладели важным узлом грунтовых дорог, районным центром Каменец-Подольской области, городом Летичев. Другие наши части, сломив сопротивление противника, продвинулись вперёд на 15 километров и выбили немцев из крупного населённого пункта Ялтушков. Уничтожено свыше 800 вражеских солдат и офицеров. Захвачено несколько артиллерийских батарей и большой склад боеприпасов.</w:t>
      </w:r>
    </w:p>
    <w:p w14:paraId="75A9C982"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Могилёв-Подольский наши войска продолжали наступление на правом берегу Днестра. С боями продвигаясь вперёд, советские танкисты и пехотинцы заняли районный центр Молдавской ССР город Рышкановка и районные центры Тырново и Вертюжаны. Противник понёс большие потери в людях и технике. Бойцы Н-ской части разгромили до полка немецкой пехоты и захватили 8 самоходных орудий, 30 противотанковых пушек и большой обоз с имуществом, награбленным немцами у местных жителей. Взято в плен свыше 1.000 немецких и румынских солдат и офицеров.</w:t>
      </w:r>
    </w:p>
    <w:p w14:paraId="0DA46921"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Николаевском направлении наши войска продолжали наступательные бои. Немцы, закрепившись на высотах, у железной дороги и шоссе на подступах к городу Вознесенск, оказывали сильное огневое сопротивление. Наши части, окружая и ликвидируя узлы вражеской обороны, настойчиво продвигались вперёд. Сегодня, овладев селом Болгарка, советские бойцы ворвались на окраины города Вознесенска и завязали уличные бои. Захвачено у немцев 25 орудий, 60 пулемётов и свыше 100 автомашин. Части Н-ского соединения, с боями заняв населённые пункты Пески, Гурьевка, Константиновка, очищали восточный берег Южного Буга от немецко-фашистских захватчиков.</w:t>
      </w:r>
    </w:p>
    <w:p w14:paraId="7761D5DA"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Минский партизанский отряд «Смерть фашизму» за месяц пустил под откос 27 немецких воинских эшелонов. На шоссейных и грунтовых дорогах советские патриоты подорвали на минах 98 автомашин. Из засад убито свыше 200 немецких солдат и офицеров.» (15077).</w:t>
      </w:r>
    </w:p>
    <w:p w14:paraId="7F55F53E" w14:textId="77777777" w:rsidR="00EB5859" w:rsidRPr="00070ADE" w:rsidRDefault="00EB5859" w:rsidP="00B56F90">
      <w:pPr>
        <w:spacing w:after="0" w:line="240" w:lineRule="auto"/>
        <w:jc w:val="both"/>
        <w:rPr>
          <w:rFonts w:ascii="Times New Roman" w:hAnsi="Times New Roman"/>
          <w:color w:val="000000" w:themeColor="text1"/>
          <w:sz w:val="16"/>
          <w:szCs w:val="16"/>
        </w:rPr>
      </w:pPr>
    </w:p>
    <w:p w14:paraId="1FAE3E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марта 1944 г. восемь Ил-2 из состава 7-го Гв. ЩАП, ведомые командиром полка подполковником А.Е. Мазуренко, нанесли удар по кораблям противника в Нарвском заливе. Штурмовик помощника командира полка майора В. Н.Каштанкина был подбит зенитным огнем и загорелся. Но после пролета над целью Каштан-кин развернул горящий самолет и направил его на немецкий тральщик. 31 мая того же года летчику и его стрелку-радисту сержанту В, Г. Кузнецову присвоено звание Героев Советского Союза посмертно. Этот боевой эпизод до сих пор остается загадкой, так как немецкие документы ни о каких своих потерях или повреждениях в корабельном составе в этот день не сообщают (8942).</w:t>
      </w:r>
    </w:p>
    <w:p w14:paraId="7AAD86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100E96" w14:textId="497CBF0E" w:rsidR="006E2E37" w:rsidRPr="00070ADE" w:rsidRDefault="006E2E37" w:rsidP="00B56F90">
      <w:pPr>
        <w:pStyle w:val="ae"/>
        <w:spacing w:before="0" w:after="0"/>
        <w:jc w:val="both"/>
        <w:textAlignment w:val="baseline"/>
        <w:rPr>
          <w:color w:val="000000" w:themeColor="text1"/>
          <w:sz w:val="16"/>
          <w:szCs w:val="16"/>
        </w:rPr>
      </w:pPr>
      <w:r w:rsidRPr="00070ADE">
        <w:rPr>
          <w:color w:val="000000" w:themeColor="text1"/>
          <w:sz w:val="16"/>
          <w:szCs w:val="16"/>
        </w:rPr>
        <w:t>23 марта 1944</w:t>
      </w:r>
      <w:r w:rsidR="00B643A8" w:rsidRPr="00070ADE">
        <w:rPr>
          <w:color w:val="000000" w:themeColor="text1"/>
          <w:sz w:val="16"/>
          <w:szCs w:val="16"/>
        </w:rPr>
        <w:t xml:space="preserve"> </w:t>
      </w:r>
      <w:r w:rsidRPr="00070ADE">
        <w:rPr>
          <w:color w:val="000000" w:themeColor="text1"/>
          <w:sz w:val="16"/>
          <w:szCs w:val="16"/>
        </w:rPr>
        <w:t xml:space="preserve">г. восьмерка штурмовиков во главе с командиром 7-го гв. пшап гвардии майором Мазуренко нанесла удар по немецким кораблям в Нарвском заливе. При этом огнем корабельной зенитной артиллерии был подбит Ил-2 помощника командира полка гвардии майора Виктора Каштанкина. Согласно официальной версии, 34-летний пилот пролетел над целью, после чего развернул свой горящий штурмовик и направил его то ли на тральщик, то ли на сторожевой корабль. </w:t>
      </w:r>
      <w:r w:rsidRPr="00070ADE">
        <w:rPr>
          <w:color w:val="000000" w:themeColor="text1"/>
          <w:sz w:val="16"/>
          <w:szCs w:val="16"/>
        </w:rPr>
        <w:lastRenderedPageBreak/>
        <w:t>Каштанкин был посмертно представлен к званию Героя Советского Союза, которое затем 31 мая того же года и было ему присвоено. В то же время в немецких документах нет никаких упоминаний о потопленных кораблях в тот день в Нарвском заливе (19522).</w:t>
      </w:r>
    </w:p>
    <w:p w14:paraId="790C8D65" w14:textId="77777777" w:rsidR="006E2E37" w:rsidRPr="00070ADE" w:rsidRDefault="006E2E37" w:rsidP="00B56F90">
      <w:pPr>
        <w:pStyle w:val="ae"/>
        <w:spacing w:before="0" w:after="0"/>
        <w:jc w:val="both"/>
        <w:textAlignment w:val="baseline"/>
        <w:rPr>
          <w:color w:val="000000" w:themeColor="text1"/>
          <w:sz w:val="16"/>
          <w:szCs w:val="16"/>
        </w:rPr>
      </w:pPr>
    </w:p>
    <w:p w14:paraId="7199541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марта 1944 вышло Постановление ГКО № 5460 О формировании четырех запасных стрелковых бригад для обучения советских граждан, мобилизуемых в освобождаемых от немецкой оккупации районах Западной Украины и Западной Белоруссии. (7200, 225).</w:t>
      </w:r>
    </w:p>
    <w:p w14:paraId="223C3F6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589FF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марта 1944 советские войска окружили немецкую армию под Тернополем (4962).</w:t>
      </w:r>
    </w:p>
    <w:p w14:paraId="6EFEA3B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DCB38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62DFED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98CF7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марта 1944 создан подпольный Национальный комитет Эстонской республики (4962).</w:t>
      </w:r>
    </w:p>
    <w:p w14:paraId="585C2F8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98D87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марта 1944 учрежден Киевский ботанический сад (4962).</w:t>
      </w:r>
    </w:p>
    <w:p w14:paraId="79B609F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A8A79C" w14:textId="77777777" w:rsidR="00EB585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7C330115" w14:textId="77777777" w:rsidR="00EB5859" w:rsidRPr="00070ADE" w:rsidRDefault="00EB585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BD74AB"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марта</w:t>
      </w:r>
      <w:r w:rsidRPr="00070ADE">
        <w:rPr>
          <w:rFonts w:ascii="Times New Roman" w:hAnsi="Times New Roman"/>
          <w:color w:val="000000" w:themeColor="text1"/>
          <w:sz w:val="16"/>
          <w:szCs w:val="16"/>
        </w:rPr>
        <w:t xml:space="preserve"> в 1944 году И.В.Сталин в личном послании Черчиллю выразил категорическое несогласие с претензиями польского эмигрантского правительства на территории Западной Украины и Западной Белоруссии и удивление поддержкой этих усилий со стороны Великобритании (15077).</w:t>
      </w:r>
    </w:p>
    <w:p w14:paraId="3E31AFA5" w14:textId="77777777" w:rsidR="00EB5859" w:rsidRPr="00070ADE" w:rsidRDefault="00EB5859" w:rsidP="00B56F90">
      <w:pPr>
        <w:spacing w:after="0" w:line="240" w:lineRule="auto"/>
        <w:jc w:val="both"/>
        <w:rPr>
          <w:rFonts w:ascii="Times New Roman" w:hAnsi="Times New Roman"/>
          <w:color w:val="000000" w:themeColor="text1"/>
          <w:sz w:val="16"/>
          <w:szCs w:val="16"/>
        </w:rPr>
      </w:pPr>
    </w:p>
    <w:p w14:paraId="132C198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1DDBCF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A97143"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марта</w:t>
      </w:r>
      <w:r w:rsidRPr="00070ADE">
        <w:rPr>
          <w:rFonts w:ascii="Times New Roman" w:hAnsi="Times New Roman"/>
          <w:color w:val="000000" w:themeColor="text1"/>
          <w:sz w:val="16"/>
          <w:szCs w:val="16"/>
        </w:rPr>
        <w:t xml:space="preserve"> в 1944 году была осуществлена первая поставка RAF палубных истребителей </w:t>
      </w:r>
      <w:hyperlink r:id="rId84" w:tgtFrame="_blank" w:history="1">
        <w:r w:rsidRPr="00070ADE">
          <w:rPr>
            <w:rFonts w:ascii="Times New Roman" w:hAnsi="Times New Roman"/>
            <w:color w:val="000000" w:themeColor="text1"/>
            <w:sz w:val="16"/>
            <w:szCs w:val="16"/>
          </w:rPr>
          <w:t xml:space="preserve">«Chance Vought» «F4U» «Corsair», </w:t>
        </w:r>
      </w:hyperlink>
      <w:r w:rsidRPr="00070ADE">
        <w:rPr>
          <w:rFonts w:ascii="Times New Roman" w:hAnsi="Times New Roman"/>
          <w:color w:val="000000" w:themeColor="text1"/>
          <w:sz w:val="16"/>
          <w:szCs w:val="16"/>
        </w:rPr>
        <w:t>когда первые тридцать самолетов были доставлены в мастерские на Эспирити-Санто на Новых Гебридах. Самолеты часто доставлялись на палубах эскортных авианосцев, что требовало тщательного осмотра и замены поврежденных коррозией, во время длительного морского путешествия, деталей. Позже самолеты стали поступать в разобранном виде. Для сборки и ремонта самолетов в Эспирито-Санто было создано специальное подразделение. Для переучивания новозеландских летчиков с "Киттихауков" ("Kittyhawk") и "Вархауков" ("Warhawk") и облета собранных "Корсаров" была создана специальная эскадрилья. Темп сборки достиг двух "Корсаров" в день, первые 100 самолетов были готовы 2 июня 1944 года. Всего здесь было собрано 287 самолетов F4U-1A и "-1D". Сборка самолетов на Эспирити-Санто закончилась в декабре 1944 года. Место сборки было перенесено в Лос-Негрос на Адмиральских островах, где позже стали собирать «FG-1D». Последние две эскадрильи реорганизованы 13 августа 1946 года. Всего же в рамках поставок по ленд-лизу Великобритания получила 2021 "Корсар": 95 «F4U-1», 510 «F4U-1A», 430 «F3A-1» ("Corsair F Mk.III) и 977 «FG-1» ("Corsair F Mk.IV") (15077).</w:t>
      </w:r>
    </w:p>
    <w:p w14:paraId="436AC99E" w14:textId="77777777" w:rsidR="00EB5859" w:rsidRPr="00070ADE" w:rsidRDefault="00EB5859" w:rsidP="00B56F90">
      <w:pPr>
        <w:spacing w:after="0" w:line="240" w:lineRule="auto"/>
        <w:jc w:val="both"/>
        <w:rPr>
          <w:rFonts w:ascii="Times New Roman" w:hAnsi="Times New Roman"/>
          <w:color w:val="000000" w:themeColor="text1"/>
          <w:sz w:val="16"/>
          <w:szCs w:val="16"/>
        </w:rPr>
      </w:pPr>
    </w:p>
    <w:p w14:paraId="72C587AA"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марта</w:t>
      </w:r>
      <w:r w:rsidRPr="00070ADE">
        <w:rPr>
          <w:rFonts w:ascii="Times New Roman" w:hAnsi="Times New Roman"/>
          <w:color w:val="000000" w:themeColor="text1"/>
          <w:sz w:val="16"/>
          <w:szCs w:val="16"/>
        </w:rPr>
        <w:t xml:space="preserve"> в 1944 году закончились испытания самолета </w:t>
      </w:r>
      <w:hyperlink r:id="rId85" w:tgtFrame="_blank" w:history="1">
        <w:r w:rsidRPr="00070ADE">
          <w:rPr>
            <w:rFonts w:ascii="Times New Roman" w:hAnsi="Times New Roman"/>
            <w:color w:val="000000" w:themeColor="text1"/>
            <w:sz w:val="16"/>
            <w:szCs w:val="16"/>
          </w:rPr>
          <w:t xml:space="preserve">«Vickers Windso»r «Type 447» </w:t>
        </w:r>
      </w:hyperlink>
      <w:r w:rsidRPr="00070ADE">
        <w:rPr>
          <w:rFonts w:ascii="Times New Roman" w:hAnsi="Times New Roman"/>
          <w:color w:val="000000" w:themeColor="text1"/>
          <w:sz w:val="16"/>
          <w:szCs w:val="16"/>
        </w:rPr>
        <w:t>с двигателями «Rolls-Royce» «Merlin 65». Первый полет прототипа самолета («DW506») состоялся 23 января 1943 года. На испытаниях, включавшие 33 часа полетов, самолет показал максимальную скорость 486 км/ч на высоте 7620 метров (15077).</w:t>
      </w:r>
    </w:p>
    <w:p w14:paraId="1EF279B9" w14:textId="77777777" w:rsidR="00EB5859" w:rsidRPr="00070ADE" w:rsidRDefault="00EB5859" w:rsidP="00B56F90">
      <w:pPr>
        <w:spacing w:after="0" w:line="240" w:lineRule="auto"/>
        <w:jc w:val="both"/>
        <w:rPr>
          <w:rFonts w:ascii="Times New Roman" w:hAnsi="Times New Roman"/>
          <w:color w:val="000000" w:themeColor="text1"/>
          <w:sz w:val="16"/>
          <w:szCs w:val="16"/>
        </w:rPr>
      </w:pPr>
    </w:p>
    <w:p w14:paraId="57347683"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марта</w:t>
      </w:r>
      <w:r w:rsidRPr="00070ADE">
        <w:rPr>
          <w:rFonts w:ascii="Times New Roman" w:hAnsi="Times New Roman"/>
          <w:color w:val="000000" w:themeColor="text1"/>
          <w:sz w:val="16"/>
          <w:szCs w:val="16"/>
        </w:rPr>
        <w:t xml:space="preserve"> в 1944 году возобновились летные испытания американского истребителя бомбардировщиков </w:t>
      </w:r>
      <w:hyperlink r:id="rId86" w:tgtFrame="_blank" w:history="1">
        <w:r w:rsidRPr="00070ADE">
          <w:rPr>
            <w:rFonts w:ascii="Times New Roman" w:hAnsi="Times New Roman"/>
            <w:color w:val="000000" w:themeColor="text1"/>
            <w:sz w:val="16"/>
            <w:szCs w:val="16"/>
          </w:rPr>
          <w:t xml:space="preserve">«McDonnell» «P-67» «Bat» </w:t>
        </w:r>
      </w:hyperlink>
      <w:r w:rsidRPr="00070ADE">
        <w:rPr>
          <w:rFonts w:ascii="Times New Roman" w:hAnsi="Times New Roman"/>
          <w:color w:val="000000" w:themeColor="text1"/>
          <w:sz w:val="16"/>
          <w:szCs w:val="16"/>
        </w:rPr>
        <w:t>и проходили без особых происшествий, хотя работа двигателей вызывала постоянные нарекания. Поэтому фирма постоянно бомбардировала ВВС предложениями о замене двигателей. Предлагались даже такие варианты, как комбинированная силовая установка - два поршневых мотора «Аллисон» или «Роллс-Ройс» и пара ТРД. Но военные твердо стояли на своем и лишь приказали установить новую, более мощную (2000 л.с. на взлетном режиме), модификацию Континенталя с впрыском воды в цилиндры. В период с 11 по 13 мая 1944 г. машину облетали три летчика ВВС. Они расценили пилотажные характеристики истребителя как нормальные, хотя и отмечалась склонность к колебаниям типа "Голландский шаг", но отметили недостаточную мощность двигателей, что сказывалось на длине разбега и скороподъемности. Но 6 сентября 1944 г., во время обычного заводского полета, начался пожар правого двигателя. Эллиоту удалось посадить самолет, но восстановлению он уже не подлежал. Так завершилась история неудачливого первенца фирмы «Макдоннелл» (15077).</w:t>
      </w:r>
    </w:p>
    <w:p w14:paraId="12B3644C" w14:textId="77777777" w:rsidR="00EB5859" w:rsidRPr="00070ADE" w:rsidRDefault="00EB5859" w:rsidP="00B56F90">
      <w:pPr>
        <w:spacing w:after="0" w:line="240" w:lineRule="auto"/>
        <w:jc w:val="both"/>
        <w:rPr>
          <w:rFonts w:ascii="Times New Roman" w:hAnsi="Times New Roman"/>
          <w:color w:val="000000" w:themeColor="text1"/>
          <w:sz w:val="16"/>
          <w:szCs w:val="16"/>
        </w:rPr>
      </w:pPr>
    </w:p>
    <w:p w14:paraId="05A66F28" w14:textId="77777777" w:rsidR="004D5E52" w:rsidRPr="00070ADE" w:rsidRDefault="004D5E5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23–24 марта (ночь) 1944 143 британских бомбардировщика атакуют железнодорожные станции в Лаоне, Франция, сбрасывая около половины своих бомб на цель и перерезая железнодорожные пути, но разбросав остальные, попав в 83 дома и убив семь и ранив девять французских мирных жителей (20373). </w:t>
      </w:r>
    </w:p>
    <w:p w14:paraId="5D030FCC" w14:textId="77777777" w:rsidR="004D5E52" w:rsidRPr="00070ADE" w:rsidRDefault="004D5E52" w:rsidP="00B56F90">
      <w:pPr>
        <w:spacing w:after="0" w:line="240" w:lineRule="auto"/>
        <w:jc w:val="both"/>
        <w:rPr>
          <w:rFonts w:ascii="Times New Roman" w:hAnsi="Times New Roman"/>
          <w:color w:val="000000" w:themeColor="text1"/>
          <w:sz w:val="16"/>
          <w:szCs w:val="16"/>
        </w:rPr>
      </w:pPr>
    </w:p>
    <w:p w14:paraId="071B6FE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марта 1944 в Риме партизанами взорваны 32 немецких солдата (4962).</w:t>
      </w:r>
    </w:p>
    <w:p w14:paraId="429FF46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6F582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39590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C26D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марта 1944 А.И.Ш. писал Г.М.М. письмо N Н-33/1496:</w:t>
      </w:r>
    </w:p>
    <w:p w14:paraId="0CE6FA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"Внедрение в серийное производство новых самолетов Як-3 на заводе 292 и модификации самолетов Ил-2 с металлическими крыльями на заводах 1 и 30 задерживается ввиду напряженной программы по старым самолетам.</w:t>
      </w:r>
    </w:p>
    <w:p w14:paraId="142067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быстрейшего внедрения в серийное производство новых самолетов Як-3 на заводе 292 и самолетов Ил-2 с металлическими крыльями на заводах 1 считаем целесообразным уменьшить программу выпуска освоенных машин на этих заводах с тем, чтобы переключить основные кадры на освоение и выпуск новых модифицированных самолетов (1755,27).</w:t>
      </w:r>
    </w:p>
    <w:p w14:paraId="3A26FB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 08-85 изготовления завода 153 в ноябре 1943 и сборки завода 301</w:t>
      </w:r>
    </w:p>
    <w:p w14:paraId="048320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 исполнители Рабкин, м Топорков</w:t>
      </w:r>
    </w:p>
    <w:p w14:paraId="357BCC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Выполнили 26 полетов с налетом 21:33</w:t>
      </w:r>
    </w:p>
    <w:p w14:paraId="696E59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Установлено 4 б\б общей емкостью 645 л вместо 2-х емкостью 440 л.</w:t>
      </w:r>
    </w:p>
    <w:p w14:paraId="4962E3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 м/б увеличенной до 60 л емкостью</w:t>
      </w:r>
    </w:p>
    <w:p w14:paraId="71CB5E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Установлена прозрачная броня за головой л и в передней неподвижной части фонаря</w:t>
      </w:r>
    </w:p>
    <w:p w14:paraId="21FC46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Электросхема выполнена по однопроводной схеме</w:t>
      </w:r>
    </w:p>
    <w:p w14:paraId="662A72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 калиматорный прицел ПБП-1 вместо кольцевого механического прицела</w:t>
      </w:r>
    </w:p>
    <w:p w14:paraId="057F05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Установлены электроспуск ЭЛС-1</w:t>
      </w:r>
    </w:p>
    <w:p w14:paraId="750AD1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Управление огнем - кнопки на стандартной ручке</w:t>
      </w:r>
    </w:p>
    <w:p w14:paraId="3B24AE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2350 кг, нормальный взлетный - 3117</w:t>
      </w:r>
    </w:p>
    <w:p w14:paraId="093C5F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ЦТ 23% - 25%</w:t>
      </w:r>
    </w:p>
    <w:p w14:paraId="6C28A4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горючего 486 кг, масла - 45 кг</w:t>
      </w:r>
    </w:p>
    <w:p w14:paraId="6E394E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1хМПШ-20 со 120 снарядами + 1хУВС с 200 патронами, всего 767 кг</w:t>
      </w:r>
    </w:p>
    <w:p w14:paraId="2796C0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134"/>
        <w:gridCol w:w="1134"/>
        <w:gridCol w:w="1126"/>
        <w:gridCol w:w="1142"/>
      </w:tblGrid>
      <w:tr w:rsidR="004D4663" w:rsidRPr="00070ADE" w14:paraId="4866878C" w14:textId="77777777">
        <w:tc>
          <w:tcPr>
            <w:tcW w:w="1951" w:type="dxa"/>
            <w:tcBorders>
              <w:top w:val="single" w:sz="12" w:space="0" w:color="auto"/>
            </w:tcBorders>
          </w:tcPr>
          <w:p w14:paraId="5D68C0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w:t>
            </w:r>
          </w:p>
        </w:tc>
        <w:tc>
          <w:tcPr>
            <w:tcW w:w="1134" w:type="dxa"/>
            <w:tcBorders>
              <w:top w:val="single" w:sz="12" w:space="0" w:color="auto"/>
            </w:tcBorders>
          </w:tcPr>
          <w:p w14:paraId="16A130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w:t>
            </w:r>
          </w:p>
        </w:tc>
        <w:tc>
          <w:tcPr>
            <w:tcW w:w="1134" w:type="dxa"/>
            <w:tcBorders>
              <w:top w:val="single" w:sz="12" w:space="0" w:color="auto"/>
            </w:tcBorders>
          </w:tcPr>
          <w:p w14:paraId="40BF20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давление</w:t>
            </w:r>
          </w:p>
        </w:tc>
        <w:tc>
          <w:tcPr>
            <w:tcW w:w="1126" w:type="dxa"/>
            <w:tcBorders>
              <w:top w:val="single" w:sz="12" w:space="0" w:color="auto"/>
            </w:tcBorders>
          </w:tcPr>
          <w:p w14:paraId="7F46EF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верт. скорость</w:t>
            </w:r>
          </w:p>
        </w:tc>
        <w:tc>
          <w:tcPr>
            <w:tcW w:w="1142" w:type="dxa"/>
            <w:tcBorders>
              <w:top w:val="single" w:sz="12" w:space="0" w:color="auto"/>
            </w:tcBorders>
          </w:tcPr>
          <w:p w14:paraId="5F4DD8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w:t>
            </w:r>
          </w:p>
        </w:tc>
      </w:tr>
      <w:tr w:rsidR="004D4663" w:rsidRPr="00070ADE" w14:paraId="06CEA444" w14:textId="77777777">
        <w:tc>
          <w:tcPr>
            <w:tcW w:w="1951" w:type="dxa"/>
          </w:tcPr>
          <w:p w14:paraId="206AE6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tc>
        <w:tc>
          <w:tcPr>
            <w:tcW w:w="1134" w:type="dxa"/>
          </w:tcPr>
          <w:p w14:paraId="40147C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535</w:t>
            </w:r>
          </w:p>
        </w:tc>
        <w:tc>
          <w:tcPr>
            <w:tcW w:w="1134" w:type="dxa"/>
          </w:tcPr>
          <w:p w14:paraId="6CED27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1060</w:t>
            </w:r>
          </w:p>
        </w:tc>
        <w:tc>
          <w:tcPr>
            <w:tcW w:w="1126" w:type="dxa"/>
          </w:tcPr>
          <w:p w14:paraId="611854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15,7</w:t>
            </w:r>
          </w:p>
        </w:tc>
        <w:tc>
          <w:tcPr>
            <w:tcW w:w="1142" w:type="dxa"/>
          </w:tcPr>
          <w:p w14:paraId="7D60D4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0197374" w14:textId="77777777">
        <w:tc>
          <w:tcPr>
            <w:tcW w:w="1951" w:type="dxa"/>
          </w:tcPr>
          <w:p w14:paraId="408088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tc>
        <w:tc>
          <w:tcPr>
            <w:tcW w:w="1134" w:type="dxa"/>
          </w:tcPr>
          <w:p w14:paraId="1DFC32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554</w:t>
            </w:r>
          </w:p>
        </w:tc>
        <w:tc>
          <w:tcPr>
            <w:tcW w:w="1134" w:type="dxa"/>
          </w:tcPr>
          <w:p w14:paraId="6F2837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1060</w:t>
            </w:r>
          </w:p>
        </w:tc>
        <w:tc>
          <w:tcPr>
            <w:tcW w:w="1126" w:type="dxa"/>
          </w:tcPr>
          <w:p w14:paraId="74E130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15,9</w:t>
            </w:r>
          </w:p>
        </w:tc>
        <w:tc>
          <w:tcPr>
            <w:tcW w:w="1142" w:type="dxa"/>
          </w:tcPr>
          <w:p w14:paraId="7E06A5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tc>
      </w:tr>
      <w:tr w:rsidR="004D4663" w:rsidRPr="00070ADE" w14:paraId="5950D3E3" w14:textId="77777777">
        <w:tc>
          <w:tcPr>
            <w:tcW w:w="1951" w:type="dxa"/>
          </w:tcPr>
          <w:p w14:paraId="4B6F26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1650 (гр. высотности)</w:t>
            </w:r>
          </w:p>
        </w:tc>
        <w:tc>
          <w:tcPr>
            <w:tcW w:w="1134" w:type="dxa"/>
          </w:tcPr>
          <w:p w14:paraId="02136C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562</w:t>
            </w:r>
          </w:p>
        </w:tc>
        <w:tc>
          <w:tcPr>
            <w:tcW w:w="1134" w:type="dxa"/>
          </w:tcPr>
          <w:p w14:paraId="3E2FC7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1060</w:t>
            </w:r>
          </w:p>
        </w:tc>
        <w:tc>
          <w:tcPr>
            <w:tcW w:w="1126" w:type="dxa"/>
          </w:tcPr>
          <w:p w14:paraId="4A1001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tc>
        <w:tc>
          <w:tcPr>
            <w:tcW w:w="1142" w:type="dxa"/>
          </w:tcPr>
          <w:p w14:paraId="63128A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tc>
      </w:tr>
      <w:tr w:rsidR="004D4663" w:rsidRPr="00070ADE" w14:paraId="10F21A60" w14:textId="77777777">
        <w:tc>
          <w:tcPr>
            <w:tcW w:w="1951" w:type="dxa"/>
          </w:tcPr>
          <w:p w14:paraId="0CDD87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2000</w:t>
            </w:r>
          </w:p>
        </w:tc>
        <w:tc>
          <w:tcPr>
            <w:tcW w:w="1134" w:type="dxa"/>
          </w:tcPr>
          <w:p w14:paraId="29A32F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561</w:t>
            </w:r>
          </w:p>
        </w:tc>
        <w:tc>
          <w:tcPr>
            <w:tcW w:w="1134" w:type="dxa"/>
          </w:tcPr>
          <w:p w14:paraId="7458CB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1010</w:t>
            </w:r>
          </w:p>
        </w:tc>
        <w:tc>
          <w:tcPr>
            <w:tcW w:w="1126" w:type="dxa"/>
          </w:tcPr>
          <w:p w14:paraId="0D94DC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14,2</w:t>
            </w:r>
          </w:p>
        </w:tc>
        <w:tc>
          <w:tcPr>
            <w:tcW w:w="1142" w:type="dxa"/>
          </w:tcPr>
          <w:p w14:paraId="22C8EB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w:t>
            </w:r>
          </w:p>
        </w:tc>
      </w:tr>
      <w:tr w:rsidR="004D4663" w:rsidRPr="00070ADE" w14:paraId="76BA9A1A" w14:textId="77777777">
        <w:tc>
          <w:tcPr>
            <w:tcW w:w="1951" w:type="dxa"/>
          </w:tcPr>
          <w:p w14:paraId="32EA9B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2100 (преключение)</w:t>
            </w:r>
          </w:p>
        </w:tc>
        <w:tc>
          <w:tcPr>
            <w:tcW w:w="1134" w:type="dxa"/>
          </w:tcPr>
          <w:p w14:paraId="6D5215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520</w:t>
            </w:r>
          </w:p>
        </w:tc>
        <w:tc>
          <w:tcPr>
            <w:tcW w:w="1134" w:type="dxa"/>
          </w:tcPr>
          <w:p w14:paraId="011A49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990</w:t>
            </w:r>
          </w:p>
        </w:tc>
        <w:tc>
          <w:tcPr>
            <w:tcW w:w="1126" w:type="dxa"/>
          </w:tcPr>
          <w:p w14:paraId="689528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 (2250)</w:t>
            </w:r>
          </w:p>
        </w:tc>
        <w:tc>
          <w:tcPr>
            <w:tcW w:w="1142" w:type="dxa"/>
          </w:tcPr>
          <w:p w14:paraId="3D40B7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tc>
      </w:tr>
      <w:tr w:rsidR="004D4663" w:rsidRPr="00070ADE" w14:paraId="6159874F" w14:textId="77777777">
        <w:tc>
          <w:tcPr>
            <w:tcW w:w="1951" w:type="dxa"/>
          </w:tcPr>
          <w:p w14:paraId="6FB6BC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3000</w:t>
            </w:r>
          </w:p>
        </w:tc>
        <w:tc>
          <w:tcPr>
            <w:tcW w:w="1134" w:type="dxa"/>
          </w:tcPr>
          <w:p w14:paraId="50657C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578</w:t>
            </w:r>
          </w:p>
        </w:tc>
        <w:tc>
          <w:tcPr>
            <w:tcW w:w="1134" w:type="dxa"/>
          </w:tcPr>
          <w:p w14:paraId="6057BB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1070</w:t>
            </w:r>
          </w:p>
        </w:tc>
        <w:tc>
          <w:tcPr>
            <w:tcW w:w="1126" w:type="dxa"/>
          </w:tcPr>
          <w:p w14:paraId="20D261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w:t>
            </w:r>
          </w:p>
        </w:tc>
        <w:tc>
          <w:tcPr>
            <w:tcW w:w="1142" w:type="dxa"/>
          </w:tcPr>
          <w:p w14:paraId="41FEA7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w:t>
            </w:r>
          </w:p>
        </w:tc>
      </w:tr>
      <w:tr w:rsidR="004D4663" w:rsidRPr="00070ADE" w14:paraId="1EDF7657" w14:textId="77777777">
        <w:tc>
          <w:tcPr>
            <w:tcW w:w="1951" w:type="dxa"/>
          </w:tcPr>
          <w:p w14:paraId="42A8D9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3650 (гр. высотности)</w:t>
            </w:r>
          </w:p>
        </w:tc>
        <w:tc>
          <w:tcPr>
            <w:tcW w:w="1134" w:type="dxa"/>
          </w:tcPr>
          <w:p w14:paraId="62AD3B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591</w:t>
            </w:r>
          </w:p>
        </w:tc>
        <w:tc>
          <w:tcPr>
            <w:tcW w:w="1134" w:type="dxa"/>
          </w:tcPr>
          <w:p w14:paraId="2AC022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1070</w:t>
            </w:r>
          </w:p>
        </w:tc>
        <w:tc>
          <w:tcPr>
            <w:tcW w:w="1126" w:type="dxa"/>
          </w:tcPr>
          <w:p w14:paraId="27F806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 (3250)</w:t>
            </w:r>
          </w:p>
        </w:tc>
        <w:tc>
          <w:tcPr>
            <w:tcW w:w="1142" w:type="dxa"/>
          </w:tcPr>
          <w:p w14:paraId="711A73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w:t>
            </w:r>
          </w:p>
        </w:tc>
      </w:tr>
      <w:tr w:rsidR="004D4663" w:rsidRPr="00070ADE" w14:paraId="2F9CC16C" w14:textId="77777777">
        <w:tc>
          <w:tcPr>
            <w:tcW w:w="1951" w:type="dxa"/>
          </w:tcPr>
          <w:p w14:paraId="7DCBB6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4000</w:t>
            </w:r>
          </w:p>
        </w:tc>
        <w:tc>
          <w:tcPr>
            <w:tcW w:w="1134" w:type="dxa"/>
          </w:tcPr>
          <w:p w14:paraId="0B2B16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586</w:t>
            </w:r>
          </w:p>
        </w:tc>
        <w:tc>
          <w:tcPr>
            <w:tcW w:w="1134" w:type="dxa"/>
          </w:tcPr>
          <w:p w14:paraId="0F1309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1016</w:t>
            </w:r>
          </w:p>
        </w:tc>
        <w:tc>
          <w:tcPr>
            <w:tcW w:w="1126" w:type="dxa"/>
          </w:tcPr>
          <w:p w14:paraId="6857B5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tc>
        <w:tc>
          <w:tcPr>
            <w:tcW w:w="1142" w:type="dxa"/>
          </w:tcPr>
          <w:p w14:paraId="07D5C9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w:t>
            </w:r>
          </w:p>
        </w:tc>
      </w:tr>
      <w:tr w:rsidR="004D4663" w:rsidRPr="00070ADE" w14:paraId="098BFA18" w14:textId="77777777">
        <w:tc>
          <w:tcPr>
            <w:tcW w:w="1951" w:type="dxa"/>
          </w:tcPr>
          <w:p w14:paraId="2BB524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5000</w:t>
            </w:r>
          </w:p>
        </w:tc>
        <w:tc>
          <w:tcPr>
            <w:tcW w:w="1134" w:type="dxa"/>
          </w:tcPr>
          <w:p w14:paraId="5F547A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565</w:t>
            </w:r>
          </w:p>
        </w:tc>
        <w:tc>
          <w:tcPr>
            <w:tcW w:w="1134" w:type="dxa"/>
          </w:tcPr>
          <w:p w14:paraId="46F1DA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876</w:t>
            </w:r>
          </w:p>
        </w:tc>
        <w:tc>
          <w:tcPr>
            <w:tcW w:w="1126" w:type="dxa"/>
          </w:tcPr>
          <w:p w14:paraId="4759CE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w:t>
            </w:r>
          </w:p>
        </w:tc>
        <w:tc>
          <w:tcPr>
            <w:tcW w:w="1142" w:type="dxa"/>
          </w:tcPr>
          <w:p w14:paraId="5B5C93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w:t>
            </w:r>
          </w:p>
        </w:tc>
      </w:tr>
      <w:tr w:rsidR="004D4663" w:rsidRPr="00070ADE" w14:paraId="2D787806" w14:textId="77777777">
        <w:tc>
          <w:tcPr>
            <w:tcW w:w="1951" w:type="dxa"/>
          </w:tcPr>
          <w:p w14:paraId="5A062D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6000</w:t>
            </w:r>
          </w:p>
        </w:tc>
        <w:tc>
          <w:tcPr>
            <w:tcW w:w="1134" w:type="dxa"/>
          </w:tcPr>
          <w:p w14:paraId="3A115B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540</w:t>
            </w:r>
          </w:p>
        </w:tc>
        <w:tc>
          <w:tcPr>
            <w:tcW w:w="1134" w:type="dxa"/>
          </w:tcPr>
          <w:p w14:paraId="46E461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740</w:t>
            </w:r>
          </w:p>
        </w:tc>
        <w:tc>
          <w:tcPr>
            <w:tcW w:w="1126" w:type="dxa"/>
          </w:tcPr>
          <w:p w14:paraId="42816C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7,15</w:t>
            </w:r>
          </w:p>
        </w:tc>
        <w:tc>
          <w:tcPr>
            <w:tcW w:w="1142" w:type="dxa"/>
          </w:tcPr>
          <w:p w14:paraId="7A2661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w:t>
            </w:r>
          </w:p>
        </w:tc>
      </w:tr>
      <w:tr w:rsidR="004D4663" w:rsidRPr="00070ADE" w14:paraId="58FDC437" w14:textId="77777777">
        <w:tc>
          <w:tcPr>
            <w:tcW w:w="1951" w:type="dxa"/>
          </w:tcPr>
          <w:p w14:paraId="01A13A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7000</w:t>
            </w:r>
          </w:p>
        </w:tc>
        <w:tc>
          <w:tcPr>
            <w:tcW w:w="1134" w:type="dxa"/>
          </w:tcPr>
          <w:p w14:paraId="215F3B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511</w:t>
            </w:r>
          </w:p>
        </w:tc>
        <w:tc>
          <w:tcPr>
            <w:tcW w:w="1134" w:type="dxa"/>
          </w:tcPr>
          <w:p w14:paraId="5D80DC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640</w:t>
            </w:r>
          </w:p>
        </w:tc>
        <w:tc>
          <w:tcPr>
            <w:tcW w:w="1126" w:type="dxa"/>
          </w:tcPr>
          <w:p w14:paraId="338D58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w:t>
            </w:r>
          </w:p>
        </w:tc>
        <w:tc>
          <w:tcPr>
            <w:tcW w:w="1142" w:type="dxa"/>
          </w:tcPr>
          <w:p w14:paraId="5089FE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w:t>
            </w:r>
          </w:p>
        </w:tc>
      </w:tr>
      <w:tr w:rsidR="004D4663" w:rsidRPr="00070ADE" w14:paraId="47AA4F7A" w14:textId="77777777">
        <w:tc>
          <w:tcPr>
            <w:tcW w:w="1951" w:type="dxa"/>
          </w:tcPr>
          <w:p w14:paraId="1A5D56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8000</w:t>
            </w:r>
          </w:p>
        </w:tc>
        <w:tc>
          <w:tcPr>
            <w:tcW w:w="1134" w:type="dxa"/>
          </w:tcPr>
          <w:p w14:paraId="09DED5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4B8C0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6" w:type="dxa"/>
          </w:tcPr>
          <w:p w14:paraId="7EBC74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1142" w:type="dxa"/>
          </w:tcPr>
          <w:p w14:paraId="1EDE0D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14,7</w:t>
            </w:r>
          </w:p>
        </w:tc>
      </w:tr>
      <w:tr w:rsidR="004D4663" w:rsidRPr="00070ADE" w14:paraId="5B20232D" w14:textId="77777777">
        <w:tc>
          <w:tcPr>
            <w:tcW w:w="1951" w:type="dxa"/>
          </w:tcPr>
          <w:p w14:paraId="6BB7E6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9000</w:t>
            </w:r>
          </w:p>
        </w:tc>
        <w:tc>
          <w:tcPr>
            <w:tcW w:w="1134" w:type="dxa"/>
          </w:tcPr>
          <w:p w14:paraId="091CD92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2C463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6" w:type="dxa"/>
          </w:tcPr>
          <w:p w14:paraId="3327EC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0,7</w:t>
            </w:r>
          </w:p>
        </w:tc>
        <w:tc>
          <w:tcPr>
            <w:tcW w:w="1142" w:type="dxa"/>
          </w:tcPr>
          <w:p w14:paraId="1DB8F1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25,5</w:t>
            </w:r>
          </w:p>
        </w:tc>
      </w:tr>
      <w:tr w:rsidR="004D4663" w:rsidRPr="00070ADE" w14:paraId="284E4F50" w14:textId="77777777">
        <w:tc>
          <w:tcPr>
            <w:tcW w:w="1951" w:type="dxa"/>
            <w:tcBorders>
              <w:bottom w:val="single" w:sz="12" w:space="0" w:color="auto"/>
            </w:tcBorders>
          </w:tcPr>
          <w:p w14:paraId="7AF264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9100</w:t>
            </w:r>
          </w:p>
        </w:tc>
        <w:tc>
          <w:tcPr>
            <w:tcW w:w="1134" w:type="dxa"/>
            <w:tcBorders>
              <w:bottom w:val="single" w:sz="12" w:space="0" w:color="auto"/>
            </w:tcBorders>
          </w:tcPr>
          <w:p w14:paraId="401650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bottom w:val="single" w:sz="12" w:space="0" w:color="auto"/>
            </w:tcBorders>
          </w:tcPr>
          <w:p w14:paraId="331F1D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6" w:type="dxa"/>
            <w:tcBorders>
              <w:bottom w:val="single" w:sz="12" w:space="0" w:color="auto"/>
            </w:tcBorders>
          </w:tcPr>
          <w:p w14:paraId="4BC922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0,5</w:t>
            </w:r>
          </w:p>
        </w:tc>
        <w:tc>
          <w:tcPr>
            <w:tcW w:w="1142" w:type="dxa"/>
            <w:tcBorders>
              <w:bottom w:val="single" w:sz="12" w:space="0" w:color="auto"/>
            </w:tcBorders>
          </w:tcPr>
          <w:p w14:paraId="7E373D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w:t>
            </w:r>
          </w:p>
        </w:tc>
      </w:tr>
    </w:tbl>
    <w:p w14:paraId="5F4570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Сравнительная таблица летных данных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1235"/>
        <w:gridCol w:w="1358"/>
        <w:gridCol w:w="1235"/>
      </w:tblGrid>
      <w:tr w:rsidR="004D4663" w:rsidRPr="00070ADE" w14:paraId="7DCC734B" w14:textId="77777777">
        <w:tc>
          <w:tcPr>
            <w:tcW w:w="2943" w:type="dxa"/>
            <w:tcBorders>
              <w:top w:val="single" w:sz="12" w:space="0" w:color="auto"/>
            </w:tcBorders>
          </w:tcPr>
          <w:p w14:paraId="060260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w:t>
            </w:r>
          </w:p>
        </w:tc>
        <w:tc>
          <w:tcPr>
            <w:tcW w:w="1235" w:type="dxa"/>
            <w:tcBorders>
              <w:top w:val="single" w:sz="12" w:space="0" w:color="auto"/>
            </w:tcBorders>
          </w:tcPr>
          <w:p w14:paraId="242B62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Як-9Д ПФ № 08-85 завода 153, испытан в феврале 1944</w:t>
            </w:r>
          </w:p>
        </w:tc>
        <w:tc>
          <w:tcPr>
            <w:tcW w:w="1358" w:type="dxa"/>
            <w:tcBorders>
              <w:top w:val="single" w:sz="12" w:space="0" w:color="auto"/>
            </w:tcBorders>
          </w:tcPr>
          <w:p w14:paraId="2F8120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Як-9ПФ № 03-016 завода 166, испытан в июле 1943</w:t>
            </w:r>
          </w:p>
        </w:tc>
        <w:tc>
          <w:tcPr>
            <w:tcW w:w="1235" w:type="dxa"/>
            <w:tcBorders>
              <w:top w:val="single" w:sz="12" w:space="0" w:color="auto"/>
            </w:tcBorders>
          </w:tcPr>
          <w:p w14:paraId="07DB29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Ме-19 G-2, испытан в январе 1943</w:t>
            </w:r>
          </w:p>
        </w:tc>
      </w:tr>
      <w:tr w:rsidR="004D4663" w:rsidRPr="00070ADE" w14:paraId="041E9DCD" w14:textId="77777777">
        <w:tc>
          <w:tcPr>
            <w:tcW w:w="2943" w:type="dxa"/>
          </w:tcPr>
          <w:p w14:paraId="276FFB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Полный вес</w:t>
            </w:r>
          </w:p>
        </w:tc>
        <w:tc>
          <w:tcPr>
            <w:tcW w:w="1235" w:type="dxa"/>
          </w:tcPr>
          <w:p w14:paraId="0E1FD0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3117</w:t>
            </w:r>
          </w:p>
        </w:tc>
        <w:tc>
          <w:tcPr>
            <w:tcW w:w="1358" w:type="dxa"/>
          </w:tcPr>
          <w:p w14:paraId="7585AA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2873</w:t>
            </w:r>
          </w:p>
        </w:tc>
        <w:tc>
          <w:tcPr>
            <w:tcW w:w="1235" w:type="dxa"/>
          </w:tcPr>
          <w:p w14:paraId="23EADC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3235</w:t>
            </w:r>
          </w:p>
        </w:tc>
      </w:tr>
      <w:tr w:rsidR="004D4663" w:rsidRPr="00070ADE" w14:paraId="7D87E355" w14:textId="77777777">
        <w:tc>
          <w:tcPr>
            <w:tcW w:w="2943" w:type="dxa"/>
          </w:tcPr>
          <w:p w14:paraId="259873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Нагрузка на м2</w:t>
            </w:r>
          </w:p>
        </w:tc>
        <w:tc>
          <w:tcPr>
            <w:tcW w:w="1235" w:type="dxa"/>
          </w:tcPr>
          <w:p w14:paraId="648F02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w:t>
            </w:r>
          </w:p>
        </w:tc>
        <w:tc>
          <w:tcPr>
            <w:tcW w:w="1358" w:type="dxa"/>
          </w:tcPr>
          <w:p w14:paraId="5D6616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167,5</w:t>
            </w:r>
          </w:p>
        </w:tc>
        <w:tc>
          <w:tcPr>
            <w:tcW w:w="1235" w:type="dxa"/>
          </w:tcPr>
          <w:p w14:paraId="308BC8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202</w:t>
            </w:r>
          </w:p>
        </w:tc>
      </w:tr>
      <w:tr w:rsidR="004D4663" w:rsidRPr="00070ADE" w14:paraId="78F5418B" w14:textId="77777777">
        <w:tc>
          <w:tcPr>
            <w:tcW w:w="2943" w:type="dxa"/>
          </w:tcPr>
          <w:p w14:paraId="612930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у земли</w:t>
            </w:r>
          </w:p>
        </w:tc>
        <w:tc>
          <w:tcPr>
            <w:tcW w:w="1235" w:type="dxa"/>
          </w:tcPr>
          <w:p w14:paraId="044720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535</w:t>
            </w:r>
          </w:p>
        </w:tc>
        <w:tc>
          <w:tcPr>
            <w:tcW w:w="1358" w:type="dxa"/>
          </w:tcPr>
          <w:p w14:paraId="37C272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512</w:t>
            </w:r>
          </w:p>
        </w:tc>
        <w:tc>
          <w:tcPr>
            <w:tcW w:w="1235" w:type="dxa"/>
          </w:tcPr>
          <w:p w14:paraId="39BBE9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505</w:t>
            </w:r>
          </w:p>
        </w:tc>
      </w:tr>
      <w:tr w:rsidR="004D4663" w:rsidRPr="00070ADE" w14:paraId="37B04EDB" w14:textId="77777777">
        <w:tc>
          <w:tcPr>
            <w:tcW w:w="2943" w:type="dxa"/>
          </w:tcPr>
          <w:p w14:paraId="73E075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 на 1 гр. высотности</w:t>
            </w:r>
          </w:p>
        </w:tc>
        <w:tc>
          <w:tcPr>
            <w:tcW w:w="1235" w:type="dxa"/>
          </w:tcPr>
          <w:p w14:paraId="0511EA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567/1650</w:t>
            </w:r>
          </w:p>
        </w:tc>
        <w:tc>
          <w:tcPr>
            <w:tcW w:w="1358" w:type="dxa"/>
          </w:tcPr>
          <w:p w14:paraId="1B692F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552/1800</w:t>
            </w:r>
          </w:p>
        </w:tc>
        <w:tc>
          <w:tcPr>
            <w:tcW w:w="1235" w:type="dxa"/>
          </w:tcPr>
          <w:p w14:paraId="2D4E80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583/2750</w:t>
            </w:r>
          </w:p>
        </w:tc>
      </w:tr>
      <w:tr w:rsidR="004D4663" w:rsidRPr="00070ADE" w14:paraId="01654DC6" w14:textId="77777777">
        <w:tc>
          <w:tcPr>
            <w:tcW w:w="2943" w:type="dxa"/>
          </w:tcPr>
          <w:p w14:paraId="01CDF0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 на 2 гр. высотности</w:t>
            </w:r>
          </w:p>
        </w:tc>
        <w:tc>
          <w:tcPr>
            <w:tcW w:w="1235" w:type="dxa"/>
          </w:tcPr>
          <w:p w14:paraId="548635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591/3650</w:t>
            </w:r>
          </w:p>
        </w:tc>
        <w:tc>
          <w:tcPr>
            <w:tcW w:w="1358" w:type="dxa"/>
          </w:tcPr>
          <w:p w14:paraId="3BB93B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577/3900</w:t>
            </w:r>
          </w:p>
        </w:tc>
        <w:tc>
          <w:tcPr>
            <w:tcW w:w="1235" w:type="dxa"/>
          </w:tcPr>
          <w:p w14:paraId="4C194B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650/7000</w:t>
            </w:r>
          </w:p>
        </w:tc>
      </w:tr>
      <w:tr w:rsidR="004D4663" w:rsidRPr="00070ADE" w14:paraId="57E89848" w14:textId="77777777">
        <w:tc>
          <w:tcPr>
            <w:tcW w:w="2943" w:type="dxa"/>
          </w:tcPr>
          <w:p w14:paraId="26654B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 На 5000 м</w:t>
            </w:r>
          </w:p>
        </w:tc>
        <w:tc>
          <w:tcPr>
            <w:tcW w:w="1235" w:type="dxa"/>
          </w:tcPr>
          <w:p w14:paraId="170656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566</w:t>
            </w:r>
          </w:p>
        </w:tc>
        <w:tc>
          <w:tcPr>
            <w:tcW w:w="1358" w:type="dxa"/>
          </w:tcPr>
          <w:p w14:paraId="692167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572</w:t>
            </w:r>
          </w:p>
        </w:tc>
        <w:tc>
          <w:tcPr>
            <w:tcW w:w="1235" w:type="dxa"/>
          </w:tcPr>
          <w:p w14:paraId="417F9E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593</w:t>
            </w:r>
          </w:p>
        </w:tc>
      </w:tr>
      <w:tr w:rsidR="004D4663" w:rsidRPr="00070ADE" w14:paraId="3F68C98F" w14:textId="77777777">
        <w:tc>
          <w:tcPr>
            <w:tcW w:w="2943" w:type="dxa"/>
          </w:tcPr>
          <w:p w14:paraId="1126F7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Потолок</w:t>
            </w:r>
          </w:p>
        </w:tc>
        <w:tc>
          <w:tcPr>
            <w:tcW w:w="1235" w:type="dxa"/>
          </w:tcPr>
          <w:p w14:paraId="1EFA27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9100</w:t>
            </w:r>
          </w:p>
        </w:tc>
        <w:tc>
          <w:tcPr>
            <w:tcW w:w="1358" w:type="dxa"/>
          </w:tcPr>
          <w:p w14:paraId="7DC896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10750</w:t>
            </w:r>
          </w:p>
        </w:tc>
        <w:tc>
          <w:tcPr>
            <w:tcW w:w="1235" w:type="dxa"/>
          </w:tcPr>
          <w:p w14:paraId="1347AA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11250</w:t>
            </w:r>
          </w:p>
        </w:tc>
      </w:tr>
      <w:tr w:rsidR="004D4663" w:rsidRPr="00070ADE" w14:paraId="3F6635E7" w14:textId="77777777">
        <w:tc>
          <w:tcPr>
            <w:tcW w:w="2943" w:type="dxa"/>
          </w:tcPr>
          <w:p w14:paraId="320957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5000 м</w:t>
            </w:r>
          </w:p>
        </w:tc>
        <w:tc>
          <w:tcPr>
            <w:tcW w:w="1235" w:type="dxa"/>
          </w:tcPr>
          <w:p w14:paraId="2B6341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w:t>
            </w:r>
          </w:p>
        </w:tc>
        <w:tc>
          <w:tcPr>
            <w:tcW w:w="1358" w:type="dxa"/>
          </w:tcPr>
          <w:p w14:paraId="19C478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w:t>
            </w:r>
          </w:p>
        </w:tc>
        <w:tc>
          <w:tcPr>
            <w:tcW w:w="1235" w:type="dxa"/>
          </w:tcPr>
          <w:p w14:paraId="214717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w:t>
            </w:r>
          </w:p>
        </w:tc>
      </w:tr>
      <w:tr w:rsidR="004D4663" w:rsidRPr="00070ADE" w14:paraId="78C6C963" w14:textId="77777777">
        <w:tc>
          <w:tcPr>
            <w:tcW w:w="2943" w:type="dxa"/>
          </w:tcPr>
          <w:p w14:paraId="4F2EB8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практ. потолка</w:t>
            </w:r>
          </w:p>
        </w:tc>
        <w:tc>
          <w:tcPr>
            <w:tcW w:w="1235" w:type="dxa"/>
          </w:tcPr>
          <w:p w14:paraId="4E55FD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w:t>
            </w:r>
          </w:p>
        </w:tc>
        <w:tc>
          <w:tcPr>
            <w:tcW w:w="1358" w:type="dxa"/>
          </w:tcPr>
          <w:p w14:paraId="53E8B4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w:t>
            </w:r>
          </w:p>
        </w:tc>
        <w:tc>
          <w:tcPr>
            <w:tcW w:w="1235" w:type="dxa"/>
          </w:tcPr>
          <w:p w14:paraId="215945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w:t>
            </w:r>
          </w:p>
        </w:tc>
      </w:tr>
      <w:tr w:rsidR="004D4663" w:rsidRPr="00070ADE" w14:paraId="5128288A" w14:textId="77777777">
        <w:tc>
          <w:tcPr>
            <w:tcW w:w="2943" w:type="dxa"/>
          </w:tcPr>
          <w:p w14:paraId="7D28DB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виража на 1000 м</w:t>
            </w:r>
          </w:p>
        </w:tc>
        <w:tc>
          <w:tcPr>
            <w:tcW w:w="1235" w:type="dxa"/>
          </w:tcPr>
          <w:p w14:paraId="237B31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1358" w:type="dxa"/>
          </w:tcPr>
          <w:p w14:paraId="482C72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16-17</w:t>
            </w:r>
          </w:p>
        </w:tc>
        <w:tc>
          <w:tcPr>
            <w:tcW w:w="1235" w:type="dxa"/>
          </w:tcPr>
          <w:p w14:paraId="6C248C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22,7</w:t>
            </w:r>
          </w:p>
        </w:tc>
      </w:tr>
      <w:tr w:rsidR="004D4663" w:rsidRPr="00070ADE" w14:paraId="70476357" w14:textId="77777777">
        <w:tc>
          <w:tcPr>
            <w:tcW w:w="2943" w:type="dxa"/>
          </w:tcPr>
          <w:p w14:paraId="0CA80E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посадочная</w:t>
            </w:r>
          </w:p>
        </w:tc>
        <w:tc>
          <w:tcPr>
            <w:tcW w:w="1235" w:type="dxa"/>
          </w:tcPr>
          <w:p w14:paraId="2645D7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141</w:t>
            </w:r>
          </w:p>
        </w:tc>
        <w:tc>
          <w:tcPr>
            <w:tcW w:w="1358" w:type="dxa"/>
          </w:tcPr>
          <w:p w14:paraId="60677A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w:t>
            </w:r>
          </w:p>
        </w:tc>
        <w:tc>
          <w:tcPr>
            <w:tcW w:w="1235" w:type="dxa"/>
          </w:tcPr>
          <w:p w14:paraId="7CCD6F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149</w:t>
            </w:r>
          </w:p>
        </w:tc>
      </w:tr>
      <w:tr w:rsidR="004D4663" w:rsidRPr="00070ADE" w14:paraId="33DC2A2A" w14:textId="77777777">
        <w:tc>
          <w:tcPr>
            <w:tcW w:w="2943" w:type="dxa"/>
          </w:tcPr>
          <w:p w14:paraId="7DBAE6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Разбег</w:t>
            </w:r>
          </w:p>
        </w:tc>
        <w:tc>
          <w:tcPr>
            <w:tcW w:w="1235" w:type="dxa"/>
          </w:tcPr>
          <w:p w14:paraId="062144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370</w:t>
            </w:r>
          </w:p>
        </w:tc>
        <w:tc>
          <w:tcPr>
            <w:tcW w:w="1358" w:type="dxa"/>
          </w:tcPr>
          <w:p w14:paraId="455675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w:t>
            </w:r>
          </w:p>
        </w:tc>
        <w:tc>
          <w:tcPr>
            <w:tcW w:w="1235" w:type="dxa"/>
          </w:tcPr>
          <w:p w14:paraId="20D559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w:t>
            </w:r>
          </w:p>
        </w:tc>
      </w:tr>
      <w:tr w:rsidR="004D4663" w:rsidRPr="00070ADE" w14:paraId="2389742D" w14:textId="77777777">
        <w:tc>
          <w:tcPr>
            <w:tcW w:w="2943" w:type="dxa"/>
          </w:tcPr>
          <w:p w14:paraId="204A5B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Пробег</w:t>
            </w:r>
          </w:p>
        </w:tc>
        <w:tc>
          <w:tcPr>
            <w:tcW w:w="1235" w:type="dxa"/>
          </w:tcPr>
          <w:p w14:paraId="5F9EB0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550</w:t>
            </w:r>
          </w:p>
        </w:tc>
        <w:tc>
          <w:tcPr>
            <w:tcW w:w="1358" w:type="dxa"/>
          </w:tcPr>
          <w:p w14:paraId="65D503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485</w:t>
            </w:r>
          </w:p>
        </w:tc>
        <w:tc>
          <w:tcPr>
            <w:tcW w:w="1235" w:type="dxa"/>
          </w:tcPr>
          <w:p w14:paraId="37FA97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475</w:t>
            </w:r>
          </w:p>
        </w:tc>
      </w:tr>
      <w:tr w:rsidR="004D4663" w:rsidRPr="00070ADE" w14:paraId="73B01D64" w14:textId="77777777">
        <w:tc>
          <w:tcPr>
            <w:tcW w:w="2943" w:type="dxa"/>
          </w:tcPr>
          <w:p w14:paraId="6B3ABA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горючего</w:t>
            </w:r>
          </w:p>
        </w:tc>
        <w:tc>
          <w:tcPr>
            <w:tcW w:w="1235" w:type="dxa"/>
          </w:tcPr>
          <w:p w14:paraId="471E91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486</w:t>
            </w:r>
          </w:p>
        </w:tc>
        <w:tc>
          <w:tcPr>
            <w:tcW w:w="1358" w:type="dxa"/>
          </w:tcPr>
          <w:p w14:paraId="7ABE4C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3200</w:t>
            </w:r>
          </w:p>
        </w:tc>
        <w:tc>
          <w:tcPr>
            <w:tcW w:w="1235" w:type="dxa"/>
          </w:tcPr>
          <w:p w14:paraId="718AC4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tc>
      </w:tr>
      <w:tr w:rsidR="004D4663" w:rsidRPr="00070ADE" w14:paraId="68DE04F0" w14:textId="77777777">
        <w:tc>
          <w:tcPr>
            <w:tcW w:w="2943" w:type="dxa"/>
          </w:tcPr>
          <w:p w14:paraId="466478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на режиме макс. дальности</w:t>
            </w:r>
          </w:p>
        </w:tc>
        <w:tc>
          <w:tcPr>
            <w:tcW w:w="1235" w:type="dxa"/>
          </w:tcPr>
          <w:p w14:paraId="178099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1360/430</w:t>
            </w:r>
          </w:p>
        </w:tc>
        <w:tc>
          <w:tcPr>
            <w:tcW w:w="1358" w:type="dxa"/>
          </w:tcPr>
          <w:p w14:paraId="3B9C2E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848/243</w:t>
            </w:r>
          </w:p>
        </w:tc>
        <w:tc>
          <w:tcPr>
            <w:tcW w:w="1235" w:type="dxa"/>
          </w:tcPr>
          <w:p w14:paraId="71BFDF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B3B03FE" w14:textId="77777777">
        <w:tc>
          <w:tcPr>
            <w:tcW w:w="2943" w:type="dxa"/>
            <w:tcBorders>
              <w:bottom w:val="single" w:sz="12" w:space="0" w:color="auto"/>
            </w:tcBorders>
          </w:tcPr>
          <w:p w14:paraId="287063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w:t>
            </w:r>
          </w:p>
        </w:tc>
        <w:tc>
          <w:tcPr>
            <w:tcW w:w="1235" w:type="dxa"/>
            <w:tcBorders>
              <w:bottom w:val="single" w:sz="12" w:space="0" w:color="auto"/>
            </w:tcBorders>
          </w:tcPr>
          <w:p w14:paraId="7A92BB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1х20мм, 120</w:t>
            </w:r>
          </w:p>
          <w:p w14:paraId="6A2F5E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1хУБС, 200</w:t>
            </w:r>
          </w:p>
        </w:tc>
        <w:tc>
          <w:tcPr>
            <w:tcW w:w="1358" w:type="dxa"/>
            <w:tcBorders>
              <w:bottom w:val="single" w:sz="12" w:space="0" w:color="auto"/>
            </w:tcBorders>
          </w:tcPr>
          <w:p w14:paraId="364E5D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 же</w:t>
            </w:r>
          </w:p>
        </w:tc>
        <w:tc>
          <w:tcPr>
            <w:tcW w:w="1235" w:type="dxa"/>
            <w:tcBorders>
              <w:bottom w:val="single" w:sz="12" w:space="0" w:color="auto"/>
            </w:tcBorders>
          </w:tcPr>
          <w:p w14:paraId="7775DD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3хМС-181 20 мм, 480 патронов</w:t>
            </w:r>
          </w:p>
          <w:p w14:paraId="7FCDF4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2х7,92</w:t>
            </w:r>
          </w:p>
        </w:tc>
      </w:tr>
    </w:tbl>
    <w:p w14:paraId="4214E8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(712,4).</w:t>
      </w:r>
    </w:p>
    <w:p w14:paraId="3729B1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902981"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24 марта</w:t>
      </w:r>
      <w:r w:rsidRPr="00070ADE">
        <w:rPr>
          <w:rFonts w:ascii="Times New Roman" w:hAnsi="Times New Roman"/>
          <w:color w:val="000000" w:themeColor="text1"/>
          <w:sz w:val="16"/>
          <w:szCs w:val="16"/>
        </w:rPr>
        <w:t xml:space="preserve"> в 1944 году в ЛИИ начались (по 12 декабря) испытания «Як-7Б» «М-105ПФ», ОКБ Яковлева. Ведущий летчик - С.Н.Анохин (ЛИИ). «Як-7Б» с «М-105ПФ» и двумя прямоточными воздушно-реактивными двигателями (ПВРД) «ДМ-4С» конструкции И.А.Меркулова являлся по существу летающей лабораторией для испытания и отработки одного из первых отечественных реактивных двигателей. «ДМ-4С» имел диаметр 500 мм, длину 2300 мм, массу 45 кг и максимальный расход горючего 11...12 кг/мин. ПВРД размешались под крылом «Як-7Б», по одному на каждой консоли. Горючим для них служил бензин из основных баков самолета. ПВРД использовались как ускорители для кратковременного увеличения максимальной скорости полета. Для лётных испытаний «ДМ-4С» был выбран «Як-7Б»как обладавший достаточно высокой максимальной скоростью, хорошими устойчивостью и управляемостью и, кроме того, позволявший легко оборудовать вторую кабину, благодаря чему в испытаниях мог принять участие инженер-экспериментатор. Продолжением работ стал самолет </w:t>
      </w:r>
      <w:hyperlink r:id="rId87" w:tgtFrame="_blank" w:history="1">
        <w:r w:rsidRPr="00070ADE">
          <w:rPr>
            <w:rFonts w:ascii="Times New Roman" w:hAnsi="Times New Roman"/>
            <w:color w:val="000000" w:themeColor="text1"/>
            <w:sz w:val="16"/>
            <w:szCs w:val="16"/>
          </w:rPr>
          <w:t>«Як-7Р» (реактивный).</w:t>
        </w:r>
      </w:hyperlink>
    </w:p>
    <w:p w14:paraId="169526A9" w14:textId="77777777" w:rsidR="00EB5859" w:rsidRPr="00070ADE" w:rsidRDefault="00EB5859" w:rsidP="00B56F90">
      <w:pPr>
        <w:spacing w:after="0" w:line="240" w:lineRule="auto"/>
        <w:jc w:val="both"/>
        <w:rPr>
          <w:rFonts w:ascii="Times New Roman" w:hAnsi="Times New Roman"/>
          <w:color w:val="000000" w:themeColor="text1"/>
          <w:sz w:val="16"/>
          <w:szCs w:val="16"/>
        </w:rPr>
      </w:pPr>
    </w:p>
    <w:p w14:paraId="72F8F157" w14:textId="77777777" w:rsidR="00962976" w:rsidRPr="00070ADE" w:rsidRDefault="00962976"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24 или 28 марта 1944 г. доработанный и разоруженный Як-7Б №0803 - самолет-лаборатория, оборудованный ПВРД Меркулова, поступил на испытания. Их прово</w:t>
      </w:r>
      <w:r w:rsidRPr="00070ADE">
        <w:rPr>
          <w:rFonts w:ascii="Times New Roman" w:hAnsi="Times New Roman" w:cs="Times New Roman"/>
          <w:color w:val="000000" w:themeColor="text1"/>
          <w:sz w:val="16"/>
          <w:szCs w:val="16"/>
        </w:rPr>
        <w:softHyphen/>
      </w:r>
      <w:r w:rsidRPr="00070ADE">
        <w:rPr>
          <w:rStyle w:val="BodytextBold29"/>
          <w:rFonts w:ascii="Times New Roman" w:eastAsiaTheme="minorHAnsi" w:hAnsi="Times New Roman" w:cs="Times New Roman"/>
          <w:b w:val="0"/>
          <w:color w:val="000000" w:themeColor="text1"/>
          <w:sz w:val="16"/>
          <w:szCs w:val="16"/>
        </w:rPr>
        <w:t>дили</w:t>
      </w:r>
      <w:r w:rsidRPr="00070ADE">
        <w:rPr>
          <w:rFonts w:ascii="Times New Roman" w:hAnsi="Times New Roman" w:cs="Times New Roman"/>
          <w:color w:val="000000" w:themeColor="text1"/>
          <w:sz w:val="16"/>
          <w:szCs w:val="16"/>
        </w:rPr>
        <w:t xml:space="preserve"> ведущий инженер </w:t>
      </w:r>
      <w:r w:rsidRPr="00070ADE">
        <w:rPr>
          <w:rFonts w:ascii="Times New Roman" w:hAnsi="Times New Roman" w:cs="Times New Roman"/>
          <w:color w:val="000000" w:themeColor="text1"/>
          <w:sz w:val="16"/>
          <w:szCs w:val="16"/>
          <w:lang w:val="en-US"/>
        </w:rPr>
        <w:t>B</w:t>
      </w:r>
      <w:r w:rsidRPr="00070ADE">
        <w:rPr>
          <w:rFonts w:ascii="Times New Roman" w:hAnsi="Times New Roman" w:cs="Times New Roman"/>
          <w:color w:val="000000" w:themeColor="text1"/>
          <w:sz w:val="16"/>
          <w:szCs w:val="16"/>
        </w:rPr>
        <w:t>.</w:t>
      </w:r>
      <w:r w:rsidRPr="00070ADE">
        <w:rPr>
          <w:rFonts w:ascii="Times New Roman" w:hAnsi="Times New Roman" w:cs="Times New Roman"/>
          <w:color w:val="000000" w:themeColor="text1"/>
          <w:sz w:val="16"/>
          <w:szCs w:val="16"/>
          <w:lang w:val="en-US"/>
        </w:rPr>
        <w:t>C</w:t>
      </w:r>
      <w:r w:rsidRPr="00070ADE">
        <w:rPr>
          <w:rFonts w:ascii="Times New Roman" w:hAnsi="Times New Roman" w:cs="Times New Roman"/>
          <w:color w:val="000000" w:themeColor="text1"/>
          <w:sz w:val="16"/>
          <w:szCs w:val="16"/>
        </w:rPr>
        <w:t>. Чиколини и пи</w:t>
      </w:r>
      <w:r w:rsidRPr="00070ADE">
        <w:rPr>
          <w:rFonts w:ascii="Times New Roman" w:hAnsi="Times New Roman" w:cs="Times New Roman"/>
          <w:color w:val="000000" w:themeColor="text1"/>
          <w:sz w:val="16"/>
          <w:szCs w:val="16"/>
        </w:rPr>
        <w:softHyphen/>
        <w:t>лот С.Н. Анохин из ЛИИ НКАП при участии ведущего инженера СКБ-84 А.А. Мельникова. Для Меркулова это был очень важный момент - наконец-то возобновляются лет</w:t>
      </w:r>
      <w:r w:rsidRPr="00070ADE">
        <w:rPr>
          <w:rFonts w:ascii="Times New Roman" w:hAnsi="Times New Roman" w:cs="Times New Roman"/>
          <w:color w:val="000000" w:themeColor="text1"/>
          <w:sz w:val="16"/>
          <w:szCs w:val="16"/>
        </w:rPr>
        <w:softHyphen/>
        <w:t>ные испытания его двигателей!</w:t>
      </w:r>
    </w:p>
    <w:p w14:paraId="534F8F8A" w14:textId="77777777" w:rsidR="00962976" w:rsidRPr="00070ADE" w:rsidRDefault="00962976"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 xml:space="preserve">На первом этапе, закончившемся </w:t>
      </w:r>
    </w:p>
    <w:p w14:paraId="2E428191" w14:textId="77777777" w:rsidR="00962976" w:rsidRPr="00070ADE" w:rsidRDefault="00962976" w:rsidP="00B56F90">
      <w:pPr>
        <w:pStyle w:val="Bodytext1"/>
        <w:shd w:val="clear" w:color="auto" w:fill="auto"/>
        <w:spacing w:line="240" w:lineRule="auto"/>
        <w:ind w:firstLine="0"/>
        <w:rPr>
          <w:rFonts w:ascii="Times New Roman" w:hAnsi="Times New Roman" w:cs="Times New Roman"/>
          <w:color w:val="000000" w:themeColor="text1"/>
          <w:sz w:val="16"/>
          <w:szCs w:val="16"/>
        </w:rPr>
      </w:pPr>
    </w:p>
    <w:p w14:paraId="487168BF" w14:textId="09B1C0FC" w:rsidR="006E2E37" w:rsidRPr="00070ADE" w:rsidRDefault="006E2E37" w:rsidP="00B56F90">
      <w:pPr>
        <w:pStyle w:val="ae"/>
        <w:shd w:val="clear" w:color="auto" w:fill="FFFFFF"/>
        <w:spacing w:before="0" w:after="0"/>
        <w:jc w:val="both"/>
        <w:rPr>
          <w:color w:val="000000" w:themeColor="text1"/>
          <w:sz w:val="16"/>
          <w:szCs w:val="16"/>
        </w:rPr>
      </w:pPr>
      <w:r w:rsidRPr="00070ADE">
        <w:rPr>
          <w:color w:val="000000" w:themeColor="text1"/>
          <w:sz w:val="16"/>
          <w:szCs w:val="16"/>
        </w:rPr>
        <w:t>С 24 марта по 12 декабря 1944 г. в ЛИИ на Як-7Б М-105ПФ</w:t>
      </w:r>
      <w:r w:rsidR="00C63BA9">
        <w:rPr>
          <w:color w:val="000000" w:themeColor="text1"/>
          <w:sz w:val="16"/>
          <w:szCs w:val="16"/>
        </w:rPr>
        <w:t xml:space="preserve"> </w:t>
      </w:r>
      <w:r w:rsidRPr="00070ADE">
        <w:rPr>
          <w:color w:val="000000" w:themeColor="text1"/>
          <w:sz w:val="16"/>
          <w:szCs w:val="16"/>
        </w:rPr>
        <w:t>проходили летные испытания ДМ-4С Бондарюка</w:t>
      </w:r>
    </w:p>
    <w:p w14:paraId="41CC55C2" w14:textId="77777777" w:rsidR="006E2E37" w:rsidRPr="00070ADE" w:rsidRDefault="006E2E3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Первый полет с включенными ДМ-4С состоялся 15 мая 1944 г.</w:t>
      </w:r>
    </w:p>
    <w:p w14:paraId="5702BC4E" w14:textId="77777777" w:rsidR="006E2E37" w:rsidRPr="00070ADE" w:rsidRDefault="006E2E37" w:rsidP="00B56F90">
      <w:pPr>
        <w:pStyle w:val="ae"/>
        <w:shd w:val="clear" w:color="auto" w:fill="FFFFFF"/>
        <w:spacing w:before="0" w:after="0"/>
        <w:jc w:val="both"/>
        <w:rPr>
          <w:color w:val="000000" w:themeColor="text1"/>
          <w:sz w:val="16"/>
          <w:szCs w:val="16"/>
        </w:rPr>
      </w:pPr>
      <w:r w:rsidRPr="00070ADE">
        <w:rPr>
          <w:color w:val="000000" w:themeColor="text1"/>
          <w:sz w:val="16"/>
          <w:szCs w:val="16"/>
        </w:rPr>
        <w:t>Самолетом управлял ведущий летчик-испытатель ЛИИ С.Н. Анохин. Двигатели ДМ-4С запускались на высотах до 5000 м. Конструкция ДМ-4С позволяла производить останов ки и последующие запуски двигателей в полете. Эксплуата ция ДМ-4С была простой. Управление двигателями в полете затруднений не вызывала. Двигатели работали на бензине из тех же баков, что и основной двигатель.</w:t>
      </w:r>
    </w:p>
    <w:p w14:paraId="1EFEEB75" w14:textId="77777777" w:rsidR="006E2E37" w:rsidRPr="00070ADE" w:rsidRDefault="006E2E3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Была достигнута равномерная работа обоих двигателей.</w:t>
      </w:r>
    </w:p>
    <w:p w14:paraId="349BA94B" w14:textId="77777777" w:rsidR="006E2E37" w:rsidRPr="00070ADE" w:rsidRDefault="006E2E3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После проведения этого этапа летных испытаний предполага лось снять подробные тяговые характеристики при различных параметрах конструкции двигателя и дальнейшем его совер шенствовании. Поэтому запуск ПВРД и другие задачи перво го этапа испытаний отрабатывались с произвольными агрегатами и параметрами двигателя, а не с теми, которые на осно вании теоретических расчетов и исследований в трубе представлялись оптимальными. Однако после выполнения первого этапа, летные испытания были прекращены по мотивам боль шого расхода бензина на работу ДМ-4С.</w:t>
      </w:r>
    </w:p>
    <w:p w14:paraId="52BA6827" w14:textId="77777777" w:rsidR="006E2E37" w:rsidRPr="00070ADE" w:rsidRDefault="006E2E3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Максимальная горизонтальная скорость самолета при нера ботающих ДМ-4С из-за их лобового сопротивления уменьшилась до 460 против 494 км/ч у Як-7Б № 803 без ДМ-4С. При работе ДМ-4С на высоте 2340 м максимальная горизонтальная скорость увеличивалась до 513 км/ч, т.е. на 53 км/ч, но она была лишь на 19 км/ч больше, чем скорость исходного Як-7Б. При оценке этого результата следует учесть, что оба ПВРД были подвешены под крыльями без зализов или обтекателей, и что при такой под веске была весьма велика интерференция двигателя и крыла.</w:t>
      </w:r>
    </w:p>
    <w:p w14:paraId="543A8C10" w14:textId="77777777" w:rsidR="006E2E37" w:rsidRPr="00070ADE" w:rsidRDefault="006E2E3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Предполагалось, что при повышении расхода топлива с 22 до 30 кг/мин на истребителе, имеющем скорость полета порядка 600 км/ч, дополнительные двигатели ДМ-4С смогут обеспечить прирост скорости в 130 км/ч, а при установке двигателей на более скоростные самолеты эффект от их применения станет еще больше. Установка ДМ-4С осуществлялась весьма просто и могла быть выполнена даже в полевых условиях, что позво ляло оборудовать этими двигателями существующий парк са молетов. Таким образом, для ВВС был создан резерв на случай непредвиденных обстоятельств. Предполагалась установка ПВРД также на Як-1, при этом ожидался прирост скорости 100 км/ч в течение 10 мин. Но этот проект не был реализован. ПВРД практически не использовались в связи с окончанием войны и последующим появлением турбореактивных двигателей, кото рые имели преимущества перед ПВРД в тяге (19586).</w:t>
      </w:r>
    </w:p>
    <w:p w14:paraId="651C313B" w14:textId="77777777" w:rsidR="006E2E37" w:rsidRPr="00070ADE" w:rsidRDefault="006E2E37" w:rsidP="00B56F90">
      <w:pPr>
        <w:pStyle w:val="ae"/>
        <w:shd w:val="clear" w:color="auto" w:fill="FFFFFF"/>
        <w:spacing w:before="0" w:after="0"/>
        <w:jc w:val="both"/>
        <w:rPr>
          <w:color w:val="000000" w:themeColor="text1"/>
          <w:sz w:val="16"/>
          <w:szCs w:val="16"/>
        </w:rPr>
      </w:pPr>
    </w:p>
    <w:p w14:paraId="059982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C 24 (28 - 539) марта по 12 декабря 1944 в ЛИИ испытывали ПВРД ДМ-4С И.А.Меркулова на Як-7В с М-106ПФ N 803. Ведущий летчик - С.Н.Анохин из ЛИИ (65,102).</w:t>
      </w:r>
    </w:p>
    <w:p w14:paraId="6D20AE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D37843" w14:textId="77777777" w:rsidR="00133AA8" w:rsidRPr="00070ADE" w:rsidRDefault="00133AA8"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24 или 28 марта 1944 г. доработанный и разоруженный Як-7Б №0803 - самолет-лаборатория, оборудованный ПВРД Меркулова, поступил на испытания. Их прово</w:t>
      </w:r>
      <w:r w:rsidRPr="00070ADE">
        <w:rPr>
          <w:rFonts w:ascii="Times New Roman" w:hAnsi="Times New Roman" w:cs="Times New Roman"/>
          <w:color w:val="000000" w:themeColor="text1"/>
          <w:sz w:val="16"/>
          <w:szCs w:val="16"/>
        </w:rPr>
        <w:softHyphen/>
      </w:r>
      <w:r w:rsidRPr="00070ADE">
        <w:rPr>
          <w:rStyle w:val="BodytextBold29"/>
          <w:rFonts w:ascii="Times New Roman" w:eastAsiaTheme="minorHAnsi" w:hAnsi="Times New Roman" w:cs="Times New Roman"/>
          <w:b w:val="0"/>
          <w:color w:val="000000" w:themeColor="text1"/>
          <w:sz w:val="16"/>
          <w:szCs w:val="16"/>
        </w:rPr>
        <w:t>дили</w:t>
      </w:r>
      <w:r w:rsidRPr="00070ADE">
        <w:rPr>
          <w:rFonts w:ascii="Times New Roman" w:hAnsi="Times New Roman" w:cs="Times New Roman"/>
          <w:color w:val="000000" w:themeColor="text1"/>
          <w:sz w:val="16"/>
          <w:szCs w:val="16"/>
        </w:rPr>
        <w:t xml:space="preserve"> ведущий инженер </w:t>
      </w:r>
      <w:r w:rsidRPr="00070ADE">
        <w:rPr>
          <w:rFonts w:ascii="Times New Roman" w:hAnsi="Times New Roman" w:cs="Times New Roman"/>
          <w:color w:val="000000" w:themeColor="text1"/>
          <w:sz w:val="16"/>
          <w:szCs w:val="16"/>
          <w:lang w:val="en-US"/>
        </w:rPr>
        <w:t>B</w:t>
      </w:r>
      <w:r w:rsidRPr="00070ADE">
        <w:rPr>
          <w:rFonts w:ascii="Times New Roman" w:hAnsi="Times New Roman" w:cs="Times New Roman"/>
          <w:color w:val="000000" w:themeColor="text1"/>
          <w:sz w:val="16"/>
          <w:szCs w:val="16"/>
        </w:rPr>
        <w:t>.</w:t>
      </w:r>
      <w:r w:rsidRPr="00070ADE">
        <w:rPr>
          <w:rFonts w:ascii="Times New Roman" w:hAnsi="Times New Roman" w:cs="Times New Roman"/>
          <w:color w:val="000000" w:themeColor="text1"/>
          <w:sz w:val="16"/>
          <w:szCs w:val="16"/>
          <w:lang w:val="en-US"/>
        </w:rPr>
        <w:t>C</w:t>
      </w:r>
      <w:r w:rsidRPr="00070ADE">
        <w:rPr>
          <w:rFonts w:ascii="Times New Roman" w:hAnsi="Times New Roman" w:cs="Times New Roman"/>
          <w:color w:val="000000" w:themeColor="text1"/>
          <w:sz w:val="16"/>
          <w:szCs w:val="16"/>
        </w:rPr>
        <w:t>. Чиколини и пи</w:t>
      </w:r>
      <w:r w:rsidRPr="00070ADE">
        <w:rPr>
          <w:rFonts w:ascii="Times New Roman" w:hAnsi="Times New Roman" w:cs="Times New Roman"/>
          <w:color w:val="000000" w:themeColor="text1"/>
          <w:sz w:val="16"/>
          <w:szCs w:val="16"/>
        </w:rPr>
        <w:softHyphen/>
        <w:t>лот С.Н. Анохин из ЛИИ НКАП при участии ведущего инженера СКБ-84 А.А. Мельникова. Для Меркулова это был очень важный момент - наконец-то возобновляются лет</w:t>
      </w:r>
      <w:r w:rsidRPr="00070ADE">
        <w:rPr>
          <w:rFonts w:ascii="Times New Roman" w:hAnsi="Times New Roman" w:cs="Times New Roman"/>
          <w:color w:val="000000" w:themeColor="text1"/>
          <w:sz w:val="16"/>
          <w:szCs w:val="16"/>
        </w:rPr>
        <w:softHyphen/>
        <w:t>ные испытания его двигателей!</w:t>
      </w:r>
    </w:p>
    <w:p w14:paraId="60B95D4F" w14:textId="77777777" w:rsidR="00133AA8" w:rsidRPr="00070ADE" w:rsidRDefault="00133AA8"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На первом этапе, закончившемся 11 мая 1944 г., самолет-лаборатория был опро</w:t>
      </w:r>
      <w:r w:rsidRPr="00070ADE">
        <w:rPr>
          <w:rFonts w:ascii="Times New Roman" w:hAnsi="Times New Roman" w:cs="Times New Roman"/>
          <w:color w:val="000000" w:themeColor="text1"/>
          <w:sz w:val="16"/>
          <w:szCs w:val="16"/>
        </w:rPr>
        <w:softHyphen/>
        <w:t>бован в воздухе без ПВРД и были сняты его летные данные на режимах, на кото</w:t>
      </w:r>
      <w:r w:rsidRPr="00070ADE">
        <w:rPr>
          <w:rFonts w:ascii="Times New Roman" w:hAnsi="Times New Roman" w:cs="Times New Roman"/>
          <w:color w:val="000000" w:themeColor="text1"/>
          <w:sz w:val="16"/>
          <w:szCs w:val="16"/>
        </w:rPr>
        <w:softHyphen/>
        <w:t>рых предполагалось их включать. В конце дня И мая «дополнительные моторы» поставили, и на следующий день Анохин совершил первый полет II этапа с ними, а 15 мая впервые включил ДМ-4с.</w:t>
      </w:r>
    </w:p>
    <w:p w14:paraId="423D77AA" w14:textId="77777777" w:rsidR="00133AA8" w:rsidRPr="00070ADE" w:rsidRDefault="00133AA8"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Летные испытания самолета заверши</w:t>
      </w:r>
      <w:r w:rsidRPr="00070ADE">
        <w:rPr>
          <w:rFonts w:ascii="Times New Roman" w:hAnsi="Times New Roman" w:cs="Times New Roman"/>
          <w:color w:val="000000" w:themeColor="text1"/>
          <w:sz w:val="16"/>
          <w:szCs w:val="16"/>
        </w:rPr>
        <w:softHyphen/>
        <w:t>лись 12 декабря 1944 г. как было указано в отчете «с положительными результа</w:t>
      </w:r>
      <w:r w:rsidRPr="00070ADE">
        <w:rPr>
          <w:rFonts w:ascii="Times New Roman" w:hAnsi="Times New Roman" w:cs="Times New Roman"/>
          <w:color w:val="000000" w:themeColor="text1"/>
          <w:sz w:val="16"/>
          <w:szCs w:val="16"/>
        </w:rPr>
        <w:softHyphen/>
        <w:t>тами», хотя на первый взгляд таковыми их назвать было трудно. Неработающие ПВРД дали снижение скорости на высоте 2340 м на 34 км/ч (с 494 до 460 км/ч), а прирост от их включения по сравнению с самоле</w:t>
      </w:r>
      <w:r w:rsidRPr="00070ADE">
        <w:rPr>
          <w:rFonts w:ascii="Times New Roman" w:hAnsi="Times New Roman" w:cs="Times New Roman"/>
          <w:color w:val="000000" w:themeColor="text1"/>
          <w:sz w:val="16"/>
          <w:szCs w:val="16"/>
        </w:rPr>
        <w:softHyphen/>
        <w:t>том без ПВРД был лишь 19 км/ч - с 494 до 513 км/ч. Максимальные скорости этого самолета с неработающими ПВРД оказа</w:t>
      </w:r>
      <w:r w:rsidRPr="00070ADE">
        <w:rPr>
          <w:rFonts w:ascii="Times New Roman" w:hAnsi="Times New Roman" w:cs="Times New Roman"/>
          <w:color w:val="000000" w:themeColor="text1"/>
          <w:sz w:val="16"/>
          <w:szCs w:val="16"/>
        </w:rPr>
        <w:softHyphen/>
        <w:t>лись на 70-80 км/ч ниже, чем у серийного Як-7Б нормального качества изготовления, что объяснялось как недостатками этого конкретного экземпляра машины, так и большими размерами ПВРД - ДМ-4с имел диаметр 500 мм, что увеличивало мидель самолета более чем на 30%.</w:t>
      </w:r>
    </w:p>
    <w:p w14:paraId="4B24980A" w14:textId="77777777" w:rsidR="00133AA8" w:rsidRPr="00070ADE" w:rsidRDefault="00133AA8"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Из-за нештатной работы бензонасоса БНК-10Ф расход топлива был 22 кг/мин вместо номинального значения 24 кг/мин, но суммарная тяга двигателей оказалась меньше явно непропорционально этой потере - он+а должна была быть 300 кгс, а получили лишь 158.</w:t>
      </w:r>
    </w:p>
    <w:p w14:paraId="55E984F5" w14:textId="77777777" w:rsidR="00133AA8" w:rsidRPr="00070ADE" w:rsidRDefault="00133AA8"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Это могло быть связано как с недостат</w:t>
      </w:r>
      <w:r w:rsidRPr="00070ADE">
        <w:rPr>
          <w:rFonts w:ascii="Times New Roman" w:hAnsi="Times New Roman" w:cs="Times New Roman"/>
          <w:color w:val="000000" w:themeColor="text1"/>
          <w:sz w:val="16"/>
          <w:szCs w:val="16"/>
        </w:rPr>
        <w:softHyphen/>
        <w:t>ками самих двигателей, так и с тем, что их испытания велись на пониженных скоро</w:t>
      </w:r>
      <w:r w:rsidRPr="00070ADE">
        <w:rPr>
          <w:rFonts w:ascii="Times New Roman" w:hAnsi="Times New Roman" w:cs="Times New Roman"/>
          <w:color w:val="000000" w:themeColor="text1"/>
          <w:sz w:val="16"/>
          <w:szCs w:val="16"/>
        </w:rPr>
        <w:softHyphen/>
        <w:t>стях и скоростных напорах. Но выводы все же были оптимистичны.</w:t>
      </w:r>
    </w:p>
    <w:p w14:paraId="7A9E9639" w14:textId="77777777" w:rsidR="00133AA8" w:rsidRPr="00070ADE" w:rsidRDefault="00133AA8"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Во-первых, в отчете появилась столь желанная для КБ Меркулова фраза, что ПВРД работоспособны и могут быть при</w:t>
      </w:r>
      <w:r w:rsidRPr="00070ADE">
        <w:rPr>
          <w:rFonts w:ascii="Times New Roman" w:hAnsi="Times New Roman" w:cs="Times New Roman"/>
          <w:color w:val="000000" w:themeColor="text1"/>
          <w:sz w:val="16"/>
          <w:szCs w:val="16"/>
        </w:rPr>
        <w:softHyphen/>
        <w:t>менены на самолетах-истребителях в качестве ускорителя, что они просты в изготовлении и обслуживании, поставить их на истребитель можно даже в поле</w:t>
      </w:r>
      <w:r w:rsidRPr="00070ADE">
        <w:rPr>
          <w:rFonts w:ascii="Times New Roman" w:hAnsi="Times New Roman" w:cs="Times New Roman"/>
          <w:color w:val="000000" w:themeColor="text1"/>
          <w:sz w:val="16"/>
          <w:szCs w:val="16"/>
        </w:rPr>
        <w:softHyphen/>
        <w:t xml:space="preserve">вых условиях. Во-вторых, была выражена надежда на </w:t>
      </w:r>
      <w:r w:rsidRPr="00070ADE">
        <w:rPr>
          <w:rFonts w:ascii="Times New Roman" w:hAnsi="Times New Roman" w:cs="Times New Roman"/>
          <w:color w:val="000000" w:themeColor="text1"/>
          <w:sz w:val="16"/>
          <w:szCs w:val="16"/>
        </w:rPr>
        <w:lastRenderedPageBreak/>
        <w:t>больший прирост скорости и высотности - достаточный для перехвата любого самолета противника. Далее было отмечено, что хотя радиус действия са</w:t>
      </w:r>
      <w:r w:rsidRPr="00070ADE">
        <w:rPr>
          <w:rFonts w:ascii="Times New Roman" w:hAnsi="Times New Roman" w:cs="Times New Roman"/>
          <w:color w:val="000000" w:themeColor="text1"/>
          <w:sz w:val="16"/>
          <w:szCs w:val="16"/>
        </w:rPr>
        <w:softHyphen/>
        <w:t>молета с ПВРД существенно сокращается из-за большого расхода топлива и увели</w:t>
      </w:r>
      <w:r w:rsidRPr="00070ADE">
        <w:rPr>
          <w:rFonts w:ascii="Times New Roman" w:hAnsi="Times New Roman" w:cs="Times New Roman"/>
          <w:color w:val="000000" w:themeColor="text1"/>
          <w:sz w:val="16"/>
          <w:szCs w:val="16"/>
        </w:rPr>
        <w:softHyphen/>
        <w:t>чения аэродинамического сопротивления, но такие самолеты использовать для при</w:t>
      </w:r>
      <w:r w:rsidRPr="00070ADE">
        <w:rPr>
          <w:rFonts w:ascii="Times New Roman" w:hAnsi="Times New Roman" w:cs="Times New Roman"/>
          <w:color w:val="000000" w:themeColor="text1"/>
          <w:sz w:val="16"/>
          <w:szCs w:val="16"/>
        </w:rPr>
        <w:softHyphen/>
        <w:t>крытия важных объектов целесообразно. Однако моделирование возможных такти</w:t>
      </w:r>
      <w:r w:rsidRPr="00070ADE">
        <w:rPr>
          <w:rFonts w:ascii="Times New Roman" w:hAnsi="Times New Roman" w:cs="Times New Roman"/>
          <w:color w:val="000000" w:themeColor="text1"/>
          <w:sz w:val="16"/>
          <w:szCs w:val="16"/>
        </w:rPr>
        <w:softHyphen/>
        <w:t>ческих ситуаций было проведено не для задач ПВО, а исходя из действий авиа</w:t>
      </w:r>
      <w:r w:rsidRPr="00070ADE">
        <w:rPr>
          <w:rFonts w:ascii="Times New Roman" w:hAnsi="Times New Roman" w:cs="Times New Roman"/>
          <w:color w:val="000000" w:themeColor="text1"/>
          <w:sz w:val="16"/>
          <w:szCs w:val="16"/>
        </w:rPr>
        <w:softHyphen/>
        <w:t>ции фронтовой. Было сказано, что с уве</w:t>
      </w:r>
      <w:r w:rsidRPr="00070ADE">
        <w:rPr>
          <w:rFonts w:ascii="Times New Roman" w:hAnsi="Times New Roman" w:cs="Times New Roman"/>
          <w:color w:val="000000" w:themeColor="text1"/>
          <w:sz w:val="16"/>
          <w:szCs w:val="16"/>
        </w:rPr>
        <w:softHyphen/>
        <w:t>личением расхода топлива до 30 кг/мин добавка скорости составит до 130 км/ч и тогда для догона появившегося на пре</w:t>
      </w:r>
      <w:r w:rsidRPr="00070ADE">
        <w:rPr>
          <w:rFonts w:ascii="Times New Roman" w:hAnsi="Times New Roman" w:cs="Times New Roman"/>
          <w:color w:val="000000" w:themeColor="text1"/>
          <w:sz w:val="16"/>
          <w:szCs w:val="16"/>
        </w:rPr>
        <w:softHyphen/>
        <w:t>деле видимости истребителя противника над будет не более 3 мин, а для выхода из зоны действия его эффективного огня на дистанцию свыше 500 м - до 15 с при технической возможности использования ПВРД в течение 5-6 мин.</w:t>
      </w:r>
    </w:p>
    <w:p w14:paraId="30F60623" w14:textId="77777777" w:rsidR="00133AA8" w:rsidRPr="00070ADE" w:rsidRDefault="00133AA8"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Меркулов выразил уверенность, что сможет не только довести тягу своих дви</w:t>
      </w:r>
      <w:r w:rsidRPr="00070ADE">
        <w:rPr>
          <w:rFonts w:ascii="Times New Roman" w:hAnsi="Times New Roman" w:cs="Times New Roman"/>
          <w:color w:val="000000" w:themeColor="text1"/>
          <w:sz w:val="16"/>
          <w:szCs w:val="16"/>
        </w:rPr>
        <w:softHyphen/>
        <w:t>гателей до заданных 150 кгс, но и снизить их массу с 45 до 15-18 кг.</w:t>
      </w:r>
    </w:p>
    <w:p w14:paraId="69564940" w14:textId="77777777" w:rsidR="00133AA8" w:rsidRPr="00070ADE" w:rsidRDefault="00133AA8"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Специалисты ЛИИ провели оценку возможных выгод от ПВРД, определив, что наилучшие результаты дает установка двух ДМ в хвосте - тогда скорость Як-7 на одном моторе М-105ПФ на границе вы</w:t>
      </w:r>
      <w:r w:rsidRPr="00070ADE">
        <w:rPr>
          <w:rFonts w:ascii="Times New Roman" w:hAnsi="Times New Roman" w:cs="Times New Roman"/>
          <w:color w:val="000000" w:themeColor="text1"/>
          <w:sz w:val="16"/>
          <w:szCs w:val="16"/>
        </w:rPr>
        <w:softHyphen/>
        <w:t>сотности сохранится на уровне 600 км/ч, а после их включения возрастет до 800 км/ч.</w:t>
      </w:r>
    </w:p>
    <w:p w14:paraId="2E45029A" w14:textId="77777777" w:rsidR="00133AA8" w:rsidRPr="00070ADE" w:rsidRDefault="00133AA8"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Яковлев выполнил проект доработки Як-7 установкой двух ДМ-4с в полевых условиях, что он рассматривал как пер</w:t>
      </w:r>
      <w:r w:rsidRPr="00070ADE">
        <w:rPr>
          <w:rFonts w:ascii="Times New Roman" w:hAnsi="Times New Roman" w:cs="Times New Roman"/>
          <w:color w:val="000000" w:themeColor="text1"/>
          <w:sz w:val="16"/>
          <w:szCs w:val="16"/>
        </w:rPr>
        <w:softHyphen/>
        <w:t>вый ответ на появление у противника большого числа реактивных истребите</w:t>
      </w:r>
      <w:r w:rsidRPr="00070ADE">
        <w:rPr>
          <w:rFonts w:ascii="Times New Roman" w:hAnsi="Times New Roman" w:cs="Times New Roman"/>
          <w:color w:val="000000" w:themeColor="text1"/>
          <w:sz w:val="16"/>
          <w:szCs w:val="16"/>
        </w:rPr>
        <w:softHyphen/>
        <w:t>лей до появления своих таких самолетов в серийном производстве. Но разработку Як-7Р он прекратил (17742).</w:t>
      </w:r>
    </w:p>
    <w:p w14:paraId="2881AC6F" w14:textId="77777777" w:rsidR="00133AA8" w:rsidRPr="00070ADE" w:rsidRDefault="00133AA8" w:rsidP="00B56F90">
      <w:pPr>
        <w:spacing w:after="0" w:line="240" w:lineRule="auto"/>
        <w:jc w:val="both"/>
        <w:rPr>
          <w:rFonts w:ascii="Times New Roman" w:hAnsi="Times New Roman"/>
          <w:color w:val="000000" w:themeColor="text1"/>
          <w:sz w:val="16"/>
          <w:szCs w:val="16"/>
        </w:rPr>
      </w:pPr>
    </w:p>
    <w:p w14:paraId="0951A71C" w14:textId="77777777" w:rsidR="00C06E9B" w:rsidRPr="00C94B78" w:rsidRDefault="00C06E9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24 марта по 12 декабря 1944 г. в ЛИИ проходили госиспытания ПВРД ДМ-4С на Як-7Б М-105ПФ. Первый полет с включенными ДМ-4С состоялся 15 мая 1944 г. Самолетом управлял ведущий летчик-испытатель ЛИИ С.Н. Анохин. Двигатели ДМ-4С запускались на высотах до 5000 м. Конструкция ДМ-4С позволяла производить останов</w:t>
      </w:r>
      <w:r w:rsidRPr="00C94B78">
        <w:rPr>
          <w:rFonts w:ascii="Times New Roman" w:hAnsi="Times New Roman"/>
          <w:color w:val="0070C0"/>
          <w:sz w:val="16"/>
          <w:szCs w:val="16"/>
        </w:rPr>
        <w:softHyphen/>
        <w:t>ки и последующие запуски двигателей в полете. Эксплуата</w:t>
      </w:r>
      <w:r w:rsidRPr="00C94B78">
        <w:rPr>
          <w:rFonts w:ascii="Times New Roman" w:hAnsi="Times New Roman"/>
          <w:color w:val="0070C0"/>
          <w:sz w:val="16"/>
          <w:szCs w:val="16"/>
        </w:rPr>
        <w:softHyphen/>
        <w:t>ция ДМ-4С была простой. Управление двигателями в полете затруднений не вызывала. Двигатели работали на бензине из тех же баков, что и основной двигатель.</w:t>
      </w:r>
    </w:p>
    <w:p w14:paraId="1C848137" w14:textId="77777777" w:rsidR="00C06E9B" w:rsidRPr="00C94B78" w:rsidRDefault="00C06E9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Была достигнута равномерная работа обоих двигателей. После проведения этого этапа летных испытаний предполага</w:t>
      </w:r>
      <w:r w:rsidRPr="00C94B78">
        <w:rPr>
          <w:rFonts w:ascii="Times New Roman" w:hAnsi="Times New Roman"/>
          <w:color w:val="0070C0"/>
          <w:sz w:val="16"/>
          <w:szCs w:val="16"/>
        </w:rPr>
        <w:softHyphen/>
        <w:t>лось снять подробные тяговые характеристики при различных параметрах конструкции двигателя и дальнейшем его совер</w:t>
      </w:r>
      <w:r w:rsidRPr="00C94B78">
        <w:rPr>
          <w:rFonts w:ascii="Times New Roman" w:hAnsi="Times New Roman"/>
          <w:color w:val="0070C0"/>
          <w:sz w:val="16"/>
          <w:szCs w:val="16"/>
        </w:rPr>
        <w:softHyphen/>
        <w:t>шенствовании. Поэтому запуск ПВРД и другие задачи перво</w:t>
      </w:r>
      <w:r w:rsidRPr="00C94B78">
        <w:rPr>
          <w:rFonts w:ascii="Times New Roman" w:hAnsi="Times New Roman"/>
          <w:color w:val="0070C0"/>
          <w:sz w:val="16"/>
          <w:szCs w:val="16"/>
        </w:rPr>
        <w:softHyphen/>
        <w:t>го этапа испытаний отрабатывались с произвольными агрегатами и параметрами двигателя, а не с теми, которые на осно</w:t>
      </w:r>
      <w:r w:rsidRPr="00C94B78">
        <w:rPr>
          <w:rFonts w:ascii="Times New Roman" w:hAnsi="Times New Roman"/>
          <w:color w:val="0070C0"/>
          <w:sz w:val="16"/>
          <w:szCs w:val="16"/>
        </w:rPr>
        <w:softHyphen/>
        <w:t>вании теоретических расчетов и исследований в трубе представлялись оптимальными. Однако после выполнения первого этапа, летные испытания были прекращены по мотивам боль</w:t>
      </w:r>
      <w:r w:rsidRPr="00C94B78">
        <w:rPr>
          <w:rFonts w:ascii="Times New Roman" w:hAnsi="Times New Roman"/>
          <w:color w:val="0070C0"/>
          <w:sz w:val="16"/>
          <w:szCs w:val="16"/>
        </w:rPr>
        <w:softHyphen/>
        <w:t>шого расхода бензина на работу ДМ-4С.</w:t>
      </w:r>
    </w:p>
    <w:p w14:paraId="225DDC9F" w14:textId="77777777" w:rsidR="00C06E9B" w:rsidRPr="00C94B78" w:rsidRDefault="00C06E9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Максимальная горизонтальная скорость самолета при нера</w:t>
      </w:r>
      <w:r w:rsidRPr="00C94B78">
        <w:rPr>
          <w:rFonts w:ascii="Times New Roman" w:hAnsi="Times New Roman"/>
          <w:color w:val="0070C0"/>
          <w:sz w:val="16"/>
          <w:szCs w:val="16"/>
        </w:rPr>
        <w:softHyphen/>
        <w:t xml:space="preserve">ботающих ДМ-4С из-за их лобового сопротивления уменьшилась до 460 против 494 км/ч у Як-7Б </w:t>
      </w:r>
      <w:r w:rsidRPr="00C94B78">
        <w:rPr>
          <w:rFonts w:ascii="Times New Roman" w:hAnsi="Times New Roman"/>
          <w:i/>
          <w:iCs/>
          <w:color w:val="0070C0"/>
          <w:sz w:val="16"/>
          <w:szCs w:val="16"/>
        </w:rPr>
        <w:t>№</w:t>
      </w:r>
      <w:r w:rsidRPr="00C94B78">
        <w:rPr>
          <w:rFonts w:ascii="Times New Roman" w:hAnsi="Times New Roman"/>
          <w:color w:val="0070C0"/>
          <w:sz w:val="16"/>
          <w:szCs w:val="16"/>
        </w:rPr>
        <w:t xml:space="preserve"> 803 без ДМ-4С. При работе ДМ-4С на высоте 2340 м максимальная горизонтальная скорость увеличивалась до 513 км/ч, т.е. на 53 км/ч, но она была лишь на 19 км/ч больше, чем скорость исходного Як*7Б. При оценке этого результата следует учесть, что оба ПВРД были подвешены под крыльями без зализов или обтекателей, и что при такой под</w:t>
      </w:r>
      <w:r w:rsidRPr="00C94B78">
        <w:rPr>
          <w:rFonts w:ascii="Times New Roman" w:hAnsi="Times New Roman"/>
          <w:color w:val="0070C0"/>
          <w:sz w:val="16"/>
          <w:szCs w:val="16"/>
        </w:rPr>
        <w:softHyphen/>
        <w:t>веске была весьма велика интерференция двигателя и крыла (24920).</w:t>
      </w:r>
    </w:p>
    <w:p w14:paraId="05E577BD" w14:textId="77777777" w:rsidR="00C06E9B" w:rsidRPr="00C94B78" w:rsidRDefault="00C06E9B" w:rsidP="00B56F90">
      <w:pPr>
        <w:spacing w:after="0" w:line="240" w:lineRule="auto"/>
        <w:jc w:val="both"/>
        <w:rPr>
          <w:rFonts w:ascii="Times New Roman" w:hAnsi="Times New Roman"/>
          <w:color w:val="0070C0"/>
          <w:sz w:val="16"/>
          <w:szCs w:val="16"/>
        </w:rPr>
      </w:pPr>
    </w:p>
    <w:p w14:paraId="4F2F3512" w14:textId="77777777" w:rsidR="00C06E9B" w:rsidRPr="00C94B78" w:rsidRDefault="00C06E9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24 марта до 12 декабря 1944 года восемь месяцев длились испытания Як</w:t>
      </w:r>
      <w:r w:rsidRPr="00C94B78">
        <w:rPr>
          <w:rFonts w:ascii="Times New Roman" w:hAnsi="Times New Roman"/>
          <w:color w:val="0070C0"/>
          <w:sz w:val="16"/>
          <w:szCs w:val="16"/>
        </w:rPr>
        <w:noBreakHyphen/>
        <w:t>7Б с дополнительнми двигателями ДМ</w:t>
      </w:r>
      <w:r w:rsidRPr="00C94B78">
        <w:rPr>
          <w:rFonts w:ascii="Times New Roman" w:hAnsi="Times New Roman"/>
          <w:color w:val="0070C0"/>
          <w:sz w:val="16"/>
          <w:szCs w:val="16"/>
        </w:rPr>
        <w:noBreakHyphen/>
        <w:t>4С. Первый вылет с установленным ДМ</w:t>
      </w:r>
      <w:r w:rsidRPr="00C94B78">
        <w:rPr>
          <w:rFonts w:ascii="Times New Roman" w:hAnsi="Times New Roman"/>
          <w:color w:val="0070C0"/>
          <w:sz w:val="16"/>
          <w:szCs w:val="16"/>
        </w:rPr>
        <w:noBreakHyphen/>
        <w:t>4С имел место только 15 мая 1944 года.</w:t>
      </w:r>
    </w:p>
    <w:p w14:paraId="6113E235" w14:textId="77777777" w:rsidR="00C06E9B" w:rsidRPr="00C94B78" w:rsidRDefault="00C06E9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Як</w:t>
      </w:r>
      <w:r w:rsidRPr="00C94B78">
        <w:rPr>
          <w:rFonts w:ascii="Times New Roman" w:hAnsi="Times New Roman"/>
          <w:color w:val="0070C0"/>
          <w:sz w:val="16"/>
          <w:szCs w:val="16"/>
        </w:rPr>
        <w:noBreakHyphen/>
        <w:t>7Б с двигателем М</w:t>
      </w:r>
      <w:r w:rsidRPr="00C94B78">
        <w:rPr>
          <w:rFonts w:ascii="Times New Roman" w:hAnsi="Times New Roman"/>
          <w:color w:val="0070C0"/>
          <w:sz w:val="16"/>
          <w:szCs w:val="16"/>
        </w:rPr>
        <w:noBreakHyphen/>
        <w:t>105 ПФ и двумя установленными ускорителями (не работавшими) достиг скорости 460 км/час, то есть на 35 км/час меньше чем машина без этих устройств. Прирост скорости с работающими ДМ</w:t>
      </w:r>
      <w:r w:rsidRPr="00C94B78">
        <w:rPr>
          <w:rFonts w:ascii="Times New Roman" w:hAnsi="Times New Roman"/>
          <w:color w:val="0070C0"/>
          <w:sz w:val="16"/>
          <w:szCs w:val="16"/>
        </w:rPr>
        <w:noBreakHyphen/>
        <w:t>4С составил 53 км/час, но из</w:t>
      </w:r>
      <w:r w:rsidRPr="00C94B78">
        <w:rPr>
          <w:rFonts w:ascii="Times New Roman" w:hAnsi="Times New Roman"/>
          <w:color w:val="0070C0"/>
          <w:sz w:val="16"/>
          <w:szCs w:val="16"/>
        </w:rPr>
        <w:noBreakHyphen/>
        <w:t>за их большого лобового сопротивления самолет летал только на 19 км/час быстрее, чем обычный Як</w:t>
      </w:r>
      <w:r w:rsidRPr="00C94B78">
        <w:rPr>
          <w:rFonts w:ascii="Times New Roman" w:hAnsi="Times New Roman"/>
          <w:color w:val="0070C0"/>
          <w:sz w:val="16"/>
          <w:szCs w:val="16"/>
        </w:rPr>
        <w:noBreakHyphen/>
        <w:t>7.</w:t>
      </w:r>
    </w:p>
    <w:p w14:paraId="52D9EFF5" w14:textId="77777777" w:rsidR="00C06E9B" w:rsidRPr="00C94B78" w:rsidRDefault="00C06E9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Однако если бы удалось увеличить скорость сгорания топлива в ускорителях с 22 до 30 кг в минуту, то «семерка» могла бы летать со скоростью 600 км/час.</w:t>
      </w:r>
    </w:p>
    <w:p w14:paraId="0DD768A4" w14:textId="77777777" w:rsidR="00C06E9B" w:rsidRPr="00C94B78" w:rsidRDefault="00C06E9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Установка ДМ</w:t>
      </w:r>
      <w:r w:rsidRPr="00C94B78">
        <w:rPr>
          <w:rFonts w:ascii="Times New Roman" w:hAnsi="Times New Roman"/>
          <w:color w:val="0070C0"/>
          <w:sz w:val="16"/>
          <w:szCs w:val="16"/>
        </w:rPr>
        <w:noBreakHyphen/>
        <w:t>4С на истребитель была настолько простой, что ее можно было производить в полевых условиях. Командование ВВС создало запас ускорителей и хотя не известно о случаях использования их в воздушных боях, но они имелись на складах готовые к применению.</w:t>
      </w:r>
    </w:p>
    <w:p w14:paraId="1BD61EDE" w14:textId="77777777" w:rsidR="00C06E9B" w:rsidRPr="00C94B78" w:rsidRDefault="00C06E9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идее использования двигателей ДМ</w:t>
      </w:r>
      <w:r w:rsidRPr="00C94B78">
        <w:rPr>
          <w:rFonts w:ascii="Times New Roman" w:hAnsi="Times New Roman"/>
          <w:color w:val="0070C0"/>
          <w:sz w:val="16"/>
          <w:szCs w:val="16"/>
        </w:rPr>
        <w:noBreakHyphen/>
        <w:t>4С вернулись в проекте самолета получившего обозначение Як</w:t>
      </w:r>
      <w:r w:rsidRPr="00C94B78">
        <w:rPr>
          <w:rFonts w:ascii="Times New Roman" w:hAnsi="Times New Roman"/>
          <w:color w:val="0070C0"/>
          <w:sz w:val="16"/>
          <w:szCs w:val="16"/>
        </w:rPr>
        <w:noBreakHyphen/>
        <w:t>7Р. На нем должны были быть установлены два таких двигателя под крыльями, а так же один ракетный двигатель Д</w:t>
      </w:r>
      <w:r w:rsidRPr="00C94B78">
        <w:rPr>
          <w:rFonts w:ascii="Times New Roman" w:hAnsi="Times New Roman"/>
          <w:color w:val="0070C0"/>
          <w:sz w:val="16"/>
          <w:szCs w:val="16"/>
        </w:rPr>
        <w:noBreakHyphen/>
        <w:t>1Д в хвосте. Проектирование самолета было закончено в конце августа 1942 года, и если бы исполнились все «ежели» да «кабы», то этот самолет достиг бы скорости 800 км/час. Но этот проект не пошел дальше конструкторской доски, а быстрое развитие реактивных двигателей вообще сделало такого типа разработки ненужными (25076).</w:t>
      </w:r>
    </w:p>
    <w:p w14:paraId="006AE279" w14:textId="77777777" w:rsidR="00C06E9B" w:rsidRPr="00C94B78" w:rsidRDefault="00C06E9B" w:rsidP="00B56F90">
      <w:pPr>
        <w:spacing w:after="0" w:line="240" w:lineRule="auto"/>
        <w:jc w:val="both"/>
        <w:rPr>
          <w:rFonts w:ascii="Times New Roman" w:hAnsi="Times New Roman"/>
          <w:color w:val="0070C0"/>
          <w:sz w:val="16"/>
          <w:szCs w:val="16"/>
        </w:rPr>
      </w:pPr>
    </w:p>
    <w:p w14:paraId="045B51D0"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марта 1944 г. ИТП (М-2) АМ-39 подняли в воздух. И вновь неудача. В по</w:t>
      </w:r>
      <w:r w:rsidRPr="00070ADE">
        <w:rPr>
          <w:rFonts w:ascii="Times New Roman" w:hAnsi="Times New Roman"/>
          <w:color w:val="000000" w:themeColor="text1"/>
          <w:sz w:val="16"/>
          <w:szCs w:val="16"/>
        </w:rPr>
        <w:softHyphen/>
        <w:t>лете Гаврилов заметил отставание краски с консолей крыла. Осмотр самолета после посадки показал, что «на обоих консолях, на центроплане и частично на фюзеляже шпаклевка и краска отстали». Консоли от</w:t>
      </w:r>
      <w:r w:rsidRPr="00070ADE">
        <w:rPr>
          <w:rFonts w:ascii="Times New Roman" w:hAnsi="Times New Roman"/>
          <w:color w:val="000000" w:themeColor="text1"/>
          <w:sz w:val="16"/>
          <w:szCs w:val="16"/>
        </w:rPr>
        <w:softHyphen/>
        <w:t>стыковали и отправили в цех для окраски. Кроме того, было обнаружено, что срабо</w:t>
      </w:r>
      <w:r w:rsidRPr="00070ADE">
        <w:rPr>
          <w:rFonts w:ascii="Times New Roman" w:hAnsi="Times New Roman"/>
          <w:color w:val="000000" w:themeColor="text1"/>
          <w:sz w:val="16"/>
          <w:szCs w:val="16"/>
        </w:rPr>
        <w:softHyphen/>
        <w:t>талась шестерня редуктора управления створками водорадиатора. Пришлось ста</w:t>
      </w:r>
      <w:r w:rsidRPr="00070ADE">
        <w:rPr>
          <w:rFonts w:ascii="Times New Roman" w:hAnsi="Times New Roman"/>
          <w:color w:val="000000" w:themeColor="text1"/>
          <w:sz w:val="16"/>
          <w:szCs w:val="16"/>
        </w:rPr>
        <w:softHyphen/>
        <w:t>вить новую. Одновременно решили заме</w:t>
      </w:r>
      <w:r w:rsidRPr="00070ADE">
        <w:rPr>
          <w:rFonts w:ascii="Times New Roman" w:hAnsi="Times New Roman"/>
          <w:color w:val="000000" w:themeColor="text1"/>
          <w:sz w:val="16"/>
          <w:szCs w:val="16"/>
        </w:rPr>
        <w:softHyphen/>
        <w:t>нить и сами водорадиаторы (24308).</w:t>
      </w:r>
    </w:p>
    <w:p w14:paraId="3E5E3CC1" w14:textId="77777777" w:rsidR="00765210" w:rsidRPr="00070ADE" w:rsidRDefault="00765210" w:rsidP="00B56F90">
      <w:pPr>
        <w:spacing w:after="0" w:line="240" w:lineRule="auto"/>
        <w:jc w:val="both"/>
        <w:rPr>
          <w:rFonts w:ascii="Times New Roman" w:hAnsi="Times New Roman"/>
          <w:color w:val="000000" w:themeColor="text1"/>
          <w:sz w:val="16"/>
          <w:szCs w:val="16"/>
        </w:rPr>
      </w:pPr>
    </w:p>
    <w:p w14:paraId="11C0D3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марта 1944 в письме № Н-38/1500 Сандлер писал:</w:t>
      </w:r>
    </w:p>
    <w:p w14:paraId="2D8553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...одним из крупнейших поставщиков спецтканей для самолетостроения является фабрика Заря Социализма, находящаяся в г. Гаврилов-Ям, Ярославской обл. (2553, 182).</w:t>
      </w:r>
    </w:p>
    <w:p w14:paraId="6EF0F7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4451A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30FE1A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4624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марта 1944 г. был подготовлен ДОКЛАД НАЧАЛЬНИКА ГБТУ КА ВОЕННОМУ СОВЕТУ БТ и МВ КА О РЕЗУЛЬТАТАХ ПРОБЕГОВЫХ ИСПЫТАНИЙ СЕРИЙНЫХ ТАНКОВ И САМОХОДНЫХ АРТУСТАНОВОК №521387</w:t>
      </w:r>
    </w:p>
    <w:p w14:paraId="60EC43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 о результатах испытаний серийных танков, самоходных арт. установок на гаран</w:t>
      </w:r>
      <w:r w:rsidRPr="00070ADE">
        <w:rPr>
          <w:rFonts w:ascii="Times New Roman" w:hAnsi="Times New Roman"/>
          <w:color w:val="000000" w:themeColor="text1"/>
          <w:sz w:val="16"/>
          <w:szCs w:val="16"/>
        </w:rPr>
        <w:softHyphen/>
        <w:t>тийный километраж (1000 км) и пробегами на 300 км, проведенных в феврале месяце 1944 года.</w:t>
      </w:r>
    </w:p>
    <w:p w14:paraId="62D3D9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 танкам Испытаниям было подвергнуто: всего 33 танка выпуска конца января и начала февраля 1944 года.</w:t>
      </w:r>
    </w:p>
    <w:p w14:paraId="744BF6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танков Т-34 - 28 штук</w:t>
      </w:r>
    </w:p>
    <w:p w14:paraId="2142B8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танков ИС с пушкой калибра 122 мм - 5 штук</w:t>
      </w:r>
    </w:p>
    <w:p w14:paraId="17AF60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них были испытаны:</w:t>
      </w:r>
    </w:p>
    <w:p w14:paraId="3E0B6A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Гарантийным пробегом на 1000 км (НИБТ полигоном)</w:t>
      </w:r>
    </w:p>
    <w:p w14:paraId="570E5E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Т-34 - 7;</w:t>
      </w:r>
    </w:p>
    <w:p w14:paraId="5D4A18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ИС-2 - 2;</w:t>
      </w:r>
    </w:p>
    <w:p w14:paraId="7EAB09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- 9 танков.</w:t>
      </w:r>
    </w:p>
    <w:p w14:paraId="02A97E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Пробегом на 300 км (при заводах) Т-34- 21; ИС-2 - 3; Всего: - 24 танка.</w:t>
      </w:r>
    </w:p>
    <w:p w14:paraId="3B68C7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танков проводились в период с 8 по 24 февраля с.г. специальными комиссиями, по программе ГБТУ КА.</w:t>
      </w:r>
    </w:p>
    <w:p w14:paraId="3DCBC8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испытания следующие:</w:t>
      </w:r>
    </w:p>
    <w:tbl>
      <w:tblPr>
        <w:tblW w:w="0" w:type="auto"/>
        <w:tblInd w:w="40" w:type="dxa"/>
        <w:tblLayout w:type="fixed"/>
        <w:tblCellMar>
          <w:left w:w="40" w:type="dxa"/>
          <w:right w:w="40" w:type="dxa"/>
        </w:tblCellMar>
        <w:tblLook w:val="0000" w:firstRow="0" w:lastRow="0" w:firstColumn="0" w:lastColumn="0" w:noHBand="0" w:noVBand="0"/>
      </w:tblPr>
      <w:tblGrid>
        <w:gridCol w:w="1642"/>
        <w:gridCol w:w="1574"/>
        <w:gridCol w:w="1440"/>
        <w:gridCol w:w="816"/>
        <w:gridCol w:w="806"/>
        <w:gridCol w:w="1450"/>
        <w:gridCol w:w="874"/>
        <w:gridCol w:w="883"/>
      </w:tblGrid>
      <w:tr w:rsidR="004D4663" w:rsidRPr="00070ADE" w14:paraId="093DFAA4" w14:textId="77777777">
        <w:trPr>
          <w:trHeight w:val="432"/>
        </w:trPr>
        <w:tc>
          <w:tcPr>
            <w:tcW w:w="1642" w:type="dxa"/>
            <w:tcBorders>
              <w:top w:val="single" w:sz="6" w:space="0" w:color="auto"/>
              <w:left w:val="single" w:sz="6" w:space="0" w:color="auto"/>
              <w:bottom w:val="nil"/>
              <w:right w:val="single" w:sz="6" w:space="0" w:color="auto"/>
            </w:tcBorders>
          </w:tcPr>
          <w:p w14:paraId="4DDB17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изготовитель</w:t>
            </w:r>
          </w:p>
          <w:p w14:paraId="691CCB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single" w:sz="6" w:space="0" w:color="auto"/>
              <w:left w:val="single" w:sz="6" w:space="0" w:color="auto"/>
              <w:bottom w:val="nil"/>
              <w:right w:val="single" w:sz="6" w:space="0" w:color="auto"/>
            </w:tcBorders>
          </w:tcPr>
          <w:p w14:paraId="10C5BF2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танка</w:t>
            </w:r>
          </w:p>
          <w:p w14:paraId="0D42AA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62" w:type="dxa"/>
            <w:gridSpan w:val="3"/>
            <w:tcBorders>
              <w:top w:val="single" w:sz="6" w:space="0" w:color="auto"/>
              <w:left w:val="single" w:sz="6" w:space="0" w:color="auto"/>
              <w:bottom w:val="single" w:sz="6" w:space="0" w:color="auto"/>
              <w:right w:val="single" w:sz="6" w:space="0" w:color="auto"/>
            </w:tcBorders>
          </w:tcPr>
          <w:p w14:paraId="519237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Гарантийные испытания на 1000 км</w:t>
            </w:r>
          </w:p>
          <w:p w14:paraId="716054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07" w:type="dxa"/>
            <w:gridSpan w:val="3"/>
            <w:tcBorders>
              <w:top w:val="single" w:sz="6" w:space="0" w:color="auto"/>
              <w:left w:val="single" w:sz="6" w:space="0" w:color="auto"/>
              <w:bottom w:val="single" w:sz="6" w:space="0" w:color="auto"/>
              <w:right w:val="single" w:sz="6" w:space="0" w:color="auto"/>
            </w:tcBorders>
          </w:tcPr>
          <w:p w14:paraId="17A6B4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на 300 км</w:t>
            </w:r>
          </w:p>
          <w:p w14:paraId="715FF4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155697B" w14:textId="77777777">
        <w:trPr>
          <w:trHeight w:val="422"/>
        </w:trPr>
        <w:tc>
          <w:tcPr>
            <w:tcW w:w="1642" w:type="dxa"/>
            <w:tcBorders>
              <w:top w:val="nil"/>
              <w:left w:val="single" w:sz="6" w:space="0" w:color="auto"/>
              <w:bottom w:val="nil"/>
              <w:right w:val="single" w:sz="6" w:space="0" w:color="auto"/>
            </w:tcBorders>
          </w:tcPr>
          <w:p w14:paraId="29C52DB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C785C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nil"/>
              <w:left w:val="single" w:sz="6" w:space="0" w:color="auto"/>
              <w:bottom w:val="nil"/>
              <w:right w:val="single" w:sz="6" w:space="0" w:color="auto"/>
            </w:tcBorders>
          </w:tcPr>
          <w:p w14:paraId="0070B8B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F6A20D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257A96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Кол-во танков, подвергнутых испытаниям</w:t>
            </w:r>
          </w:p>
          <w:p w14:paraId="6AFE9C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gridSpan w:val="2"/>
            <w:tcBorders>
              <w:top w:val="single" w:sz="6" w:space="0" w:color="auto"/>
              <w:left w:val="single" w:sz="6" w:space="0" w:color="auto"/>
              <w:bottom w:val="single" w:sz="6" w:space="0" w:color="auto"/>
              <w:right w:val="single" w:sz="6" w:space="0" w:color="auto"/>
            </w:tcBorders>
          </w:tcPr>
          <w:p w14:paraId="44D091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Выдержали испытания</w:t>
            </w:r>
          </w:p>
          <w:p w14:paraId="105F19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nil"/>
              <w:right w:val="single" w:sz="6" w:space="0" w:color="auto"/>
            </w:tcBorders>
          </w:tcPr>
          <w:p w14:paraId="2B5DA5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Кол-во танков, подвергнутых испытаниям</w:t>
            </w:r>
          </w:p>
          <w:p w14:paraId="42B0B9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gridSpan w:val="2"/>
            <w:tcBorders>
              <w:top w:val="single" w:sz="6" w:space="0" w:color="auto"/>
              <w:left w:val="single" w:sz="6" w:space="0" w:color="auto"/>
              <w:bottom w:val="single" w:sz="6" w:space="0" w:color="auto"/>
              <w:right w:val="single" w:sz="6" w:space="0" w:color="auto"/>
            </w:tcBorders>
          </w:tcPr>
          <w:p w14:paraId="10D953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Выдержали испытания</w:t>
            </w:r>
          </w:p>
          <w:p w14:paraId="7C6F9F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25A613C" w14:textId="77777777">
        <w:trPr>
          <w:trHeight w:val="269"/>
        </w:trPr>
        <w:tc>
          <w:tcPr>
            <w:tcW w:w="1642" w:type="dxa"/>
            <w:tcBorders>
              <w:top w:val="nil"/>
              <w:left w:val="single" w:sz="6" w:space="0" w:color="auto"/>
              <w:bottom w:val="single" w:sz="6" w:space="0" w:color="auto"/>
              <w:right w:val="single" w:sz="6" w:space="0" w:color="auto"/>
            </w:tcBorders>
          </w:tcPr>
          <w:p w14:paraId="24BC7F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E7460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nil"/>
              <w:left w:val="single" w:sz="6" w:space="0" w:color="auto"/>
              <w:bottom w:val="single" w:sz="6" w:space="0" w:color="auto"/>
              <w:right w:val="single" w:sz="6" w:space="0" w:color="auto"/>
            </w:tcBorders>
          </w:tcPr>
          <w:p w14:paraId="019FBE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8693F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28C76B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574F0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24CDB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танков</w:t>
            </w:r>
          </w:p>
          <w:p w14:paraId="0999C1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6AA457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DB448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nil"/>
              <w:left w:val="single" w:sz="6" w:space="0" w:color="auto"/>
              <w:bottom w:val="single" w:sz="6" w:space="0" w:color="auto"/>
              <w:right w:val="single" w:sz="6" w:space="0" w:color="auto"/>
            </w:tcBorders>
          </w:tcPr>
          <w:p w14:paraId="485057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3FD3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4A943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танков</w:t>
            </w:r>
          </w:p>
          <w:p w14:paraId="0C9659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EEAF3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697A3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D30ADB2" w14:textId="77777777">
        <w:trPr>
          <w:trHeight w:val="269"/>
        </w:trPr>
        <w:tc>
          <w:tcPr>
            <w:tcW w:w="1642" w:type="dxa"/>
            <w:tcBorders>
              <w:top w:val="single" w:sz="6" w:space="0" w:color="auto"/>
              <w:left w:val="single" w:sz="6" w:space="0" w:color="auto"/>
              <w:bottom w:val="single" w:sz="6" w:space="0" w:color="auto"/>
              <w:right w:val="single" w:sz="6" w:space="0" w:color="auto"/>
            </w:tcBorders>
          </w:tcPr>
          <w:p w14:paraId="70512D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183</w:t>
            </w:r>
          </w:p>
          <w:p w14:paraId="755477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single" w:sz="6" w:space="0" w:color="auto"/>
              <w:left w:val="single" w:sz="6" w:space="0" w:color="auto"/>
              <w:bottom w:val="single" w:sz="6" w:space="0" w:color="auto"/>
              <w:right w:val="single" w:sz="6" w:space="0" w:color="auto"/>
            </w:tcBorders>
          </w:tcPr>
          <w:p w14:paraId="447BA9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571ACE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3A76DB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7CC20B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B4617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0AFF8F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92EC0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618904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07A26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493242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822B5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568BB6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8F5EA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1D1F19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F3B0647" w14:textId="77777777">
        <w:trPr>
          <w:trHeight w:val="278"/>
        </w:trPr>
        <w:tc>
          <w:tcPr>
            <w:tcW w:w="1642" w:type="dxa"/>
            <w:tcBorders>
              <w:top w:val="single" w:sz="6" w:space="0" w:color="auto"/>
              <w:left w:val="single" w:sz="6" w:space="0" w:color="auto"/>
              <w:bottom w:val="single" w:sz="6" w:space="0" w:color="auto"/>
              <w:right w:val="single" w:sz="6" w:space="0" w:color="auto"/>
            </w:tcBorders>
          </w:tcPr>
          <w:p w14:paraId="5F8461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112</w:t>
            </w:r>
          </w:p>
          <w:p w14:paraId="748FE6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single" w:sz="6" w:space="0" w:color="auto"/>
              <w:left w:val="single" w:sz="6" w:space="0" w:color="auto"/>
              <w:bottom w:val="single" w:sz="6" w:space="0" w:color="auto"/>
              <w:right w:val="single" w:sz="6" w:space="0" w:color="auto"/>
            </w:tcBorders>
          </w:tcPr>
          <w:p w14:paraId="4F91DF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2A41C5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384890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52C945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E72FF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6CBE85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641AAF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6EB8E1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45ACFC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18615A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9E18F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0D3989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34FE6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p w14:paraId="5B58F8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78DB9FF" w14:textId="77777777">
        <w:trPr>
          <w:trHeight w:val="278"/>
        </w:trPr>
        <w:tc>
          <w:tcPr>
            <w:tcW w:w="1642" w:type="dxa"/>
            <w:tcBorders>
              <w:top w:val="single" w:sz="6" w:space="0" w:color="auto"/>
              <w:left w:val="single" w:sz="6" w:space="0" w:color="auto"/>
              <w:bottom w:val="single" w:sz="6" w:space="0" w:color="auto"/>
              <w:right w:val="single" w:sz="6" w:space="0" w:color="auto"/>
            </w:tcBorders>
          </w:tcPr>
          <w:p w14:paraId="166CBD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1 74</w:t>
            </w:r>
          </w:p>
          <w:p w14:paraId="64A4B9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single" w:sz="6" w:space="0" w:color="auto"/>
              <w:left w:val="single" w:sz="6" w:space="0" w:color="auto"/>
              <w:bottom w:val="single" w:sz="6" w:space="0" w:color="auto"/>
              <w:right w:val="single" w:sz="6" w:space="0" w:color="auto"/>
            </w:tcBorders>
          </w:tcPr>
          <w:p w14:paraId="1E64DD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1E8399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3998F0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3B3EEB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7E655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5A5E7C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75EBB1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6E0DB1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E712D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76EDEF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10E2F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382E12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A8C84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w:t>
            </w:r>
          </w:p>
          <w:p w14:paraId="5BC7B5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6014BD8" w14:textId="77777777">
        <w:trPr>
          <w:trHeight w:val="278"/>
        </w:trPr>
        <w:tc>
          <w:tcPr>
            <w:tcW w:w="1642" w:type="dxa"/>
            <w:tcBorders>
              <w:top w:val="single" w:sz="6" w:space="0" w:color="auto"/>
              <w:left w:val="single" w:sz="6" w:space="0" w:color="auto"/>
              <w:bottom w:val="single" w:sz="6" w:space="0" w:color="auto"/>
              <w:right w:val="single" w:sz="6" w:space="0" w:color="auto"/>
            </w:tcBorders>
          </w:tcPr>
          <w:p w14:paraId="33252D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 завод</w:t>
            </w:r>
          </w:p>
          <w:p w14:paraId="3443D4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single" w:sz="6" w:space="0" w:color="auto"/>
              <w:left w:val="single" w:sz="6" w:space="0" w:color="auto"/>
              <w:bottom w:val="single" w:sz="6" w:space="0" w:color="auto"/>
              <w:right w:val="single" w:sz="6" w:space="0" w:color="auto"/>
            </w:tcBorders>
          </w:tcPr>
          <w:p w14:paraId="294B27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432765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596589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276231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D08BF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5398AB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22F18F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2820E7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152F1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361661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139B52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48B78B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47DF8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2FBCB8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46AC144" w14:textId="77777777">
        <w:trPr>
          <w:trHeight w:val="470"/>
        </w:trPr>
        <w:tc>
          <w:tcPr>
            <w:tcW w:w="1642" w:type="dxa"/>
            <w:tcBorders>
              <w:top w:val="single" w:sz="6" w:space="0" w:color="auto"/>
              <w:left w:val="single" w:sz="6" w:space="0" w:color="auto"/>
              <w:bottom w:val="single" w:sz="6" w:space="0" w:color="auto"/>
              <w:right w:val="single" w:sz="6" w:space="0" w:color="auto"/>
            </w:tcBorders>
          </w:tcPr>
          <w:p w14:paraId="2AC78E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 завод</w:t>
            </w:r>
          </w:p>
          <w:p w14:paraId="449FDC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single" w:sz="6" w:space="0" w:color="auto"/>
              <w:left w:val="single" w:sz="6" w:space="0" w:color="auto"/>
              <w:bottom w:val="single" w:sz="6" w:space="0" w:color="auto"/>
              <w:right w:val="single" w:sz="6" w:space="0" w:color="auto"/>
            </w:tcBorders>
          </w:tcPr>
          <w:p w14:paraId="43D4A1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 с пушкой калибр 122 мм</w:t>
            </w:r>
          </w:p>
          <w:p w14:paraId="4F4509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268508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58A04C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18A4D3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065583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19B1CB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54E04D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C1929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2C48AF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B9175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16622D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F724F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w:t>
            </w:r>
          </w:p>
          <w:p w14:paraId="6F4E93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AAAEB56" w14:textId="77777777">
        <w:trPr>
          <w:trHeight w:val="298"/>
        </w:trPr>
        <w:tc>
          <w:tcPr>
            <w:tcW w:w="1642" w:type="dxa"/>
            <w:tcBorders>
              <w:top w:val="single" w:sz="6" w:space="0" w:color="auto"/>
              <w:left w:val="single" w:sz="6" w:space="0" w:color="auto"/>
              <w:bottom w:val="single" w:sz="6" w:space="0" w:color="auto"/>
              <w:right w:val="single" w:sz="6" w:space="0" w:color="auto"/>
            </w:tcBorders>
          </w:tcPr>
          <w:p w14:paraId="7E852C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Всего:</w:t>
            </w:r>
          </w:p>
          <w:p w14:paraId="55FD09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single" w:sz="6" w:space="0" w:color="auto"/>
              <w:left w:val="single" w:sz="6" w:space="0" w:color="auto"/>
              <w:bottom w:val="single" w:sz="6" w:space="0" w:color="auto"/>
              <w:right w:val="single" w:sz="6" w:space="0" w:color="auto"/>
            </w:tcBorders>
          </w:tcPr>
          <w:p w14:paraId="6754DD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B805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57C6AD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p w14:paraId="7BE9D8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5325E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085C32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53FB72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w:t>
            </w:r>
          </w:p>
          <w:p w14:paraId="70581A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F0D52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p w14:paraId="3D2034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178A29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w:t>
            </w:r>
          </w:p>
          <w:p w14:paraId="2A67E7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F29E4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w:t>
            </w:r>
          </w:p>
          <w:p w14:paraId="352E42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A1320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выдержали испытания в феврале 1944 года:</w:t>
      </w:r>
    </w:p>
    <w:p w14:paraId="6ADE3B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гарантийные на 1000 км 33% танков</w:t>
      </w:r>
    </w:p>
    <w:p w14:paraId="6A9029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испытания на 300 км 79% танков</w:t>
      </w:r>
    </w:p>
    <w:p w14:paraId="3793EC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Сравнение результатов испытаний за прошлые месяцы 1943 г. показывают, что количество танков, выдерживающих испытания на 300 км пробегах, увеличивается, т.е. качество изготовления танков постепенно улучшается.</w:t>
      </w:r>
    </w:p>
    <w:p w14:paraId="40EFAF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Выдержали</w:t>
      </w:r>
    </w:p>
    <w:p w14:paraId="461CD7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апрель</w:t>
      </w:r>
    </w:p>
    <w:p w14:paraId="5B8620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май</w:t>
      </w:r>
    </w:p>
    <w:p w14:paraId="438784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июнь</w:t>
      </w:r>
    </w:p>
    <w:p w14:paraId="40EAB2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июль</w:t>
      </w:r>
    </w:p>
    <w:p w14:paraId="06DDD4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август</w:t>
      </w:r>
    </w:p>
    <w:p w14:paraId="073CA5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сентябрь</w:t>
      </w:r>
    </w:p>
    <w:p w14:paraId="3CB2E4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октябрь</w:t>
      </w:r>
    </w:p>
    <w:p w14:paraId="35F004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ноябрь</w:t>
      </w:r>
    </w:p>
    <w:p w14:paraId="53E3C3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w:t>
      </w:r>
    </w:p>
    <w:p w14:paraId="63CF87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январь</w:t>
      </w:r>
    </w:p>
    <w:p w14:paraId="2B91D5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w:t>
      </w:r>
    </w:p>
    <w:p w14:paraId="14C0C5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w:t>
      </w:r>
    </w:p>
    <w:p w14:paraId="425AB2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 г. 1943 г. 1943 г. 1943 г. 1943 г. 1943 г. 1943 г. 1943 г.</w:t>
      </w:r>
    </w:p>
    <w:p w14:paraId="2C8C80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 г. 1944 г.</w:t>
      </w:r>
    </w:p>
    <w:p w14:paraId="252F91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 г.</w:t>
      </w:r>
    </w:p>
    <w:p w14:paraId="2CDE92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330 км пробегом:</w:t>
      </w:r>
    </w:p>
    <w:p w14:paraId="71B55B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- 10,1% танков</w:t>
      </w:r>
    </w:p>
    <w:p w14:paraId="55877C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- 23% танков</w:t>
      </w:r>
    </w:p>
    <w:p w14:paraId="49CEB9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- 7,7% танков</w:t>
      </w:r>
    </w:p>
    <w:p w14:paraId="1AAD58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- 28,6% танков</w:t>
      </w:r>
    </w:p>
    <w:p w14:paraId="072269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- 43% танков</w:t>
      </w:r>
    </w:p>
    <w:p w14:paraId="4E327A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- 46% танков</w:t>
      </w:r>
    </w:p>
    <w:p w14:paraId="01A275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- 78% танков</w:t>
      </w:r>
    </w:p>
    <w:p w14:paraId="508DC0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- 57% танков</w:t>
      </w:r>
    </w:p>
    <w:p w14:paraId="6913E5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- 83,6% танков</w:t>
      </w:r>
    </w:p>
    <w:p w14:paraId="3B4B19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- 83,4% танков</w:t>
      </w:r>
    </w:p>
    <w:p w14:paraId="4B1A77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- 79% танков</w:t>
      </w:r>
    </w:p>
    <w:p w14:paraId="516790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Улучшающееся качество изготовления танков видно также из следующих таблиц:</w:t>
      </w:r>
    </w:p>
    <w:p w14:paraId="0D0EAD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 результатов приемо-сдаточных пробегов</w:t>
      </w:r>
    </w:p>
    <w:tbl>
      <w:tblPr>
        <w:tblW w:w="0" w:type="auto"/>
        <w:tblInd w:w="40" w:type="dxa"/>
        <w:tblLayout w:type="fixed"/>
        <w:tblCellMar>
          <w:left w:w="40" w:type="dxa"/>
          <w:right w:w="40" w:type="dxa"/>
        </w:tblCellMar>
        <w:tblLook w:val="0000" w:firstRow="0" w:lastRow="0" w:firstColumn="0" w:lastColumn="0" w:noHBand="0" w:noVBand="0"/>
      </w:tblPr>
      <w:tblGrid>
        <w:gridCol w:w="2477"/>
        <w:gridCol w:w="1757"/>
        <w:gridCol w:w="1766"/>
        <w:gridCol w:w="1757"/>
        <w:gridCol w:w="1757"/>
      </w:tblGrid>
      <w:tr w:rsidR="004D4663" w:rsidRPr="00070ADE" w14:paraId="28D2E9E8" w14:textId="77777777">
        <w:trPr>
          <w:trHeight w:val="269"/>
        </w:trPr>
        <w:tc>
          <w:tcPr>
            <w:tcW w:w="2477" w:type="dxa"/>
            <w:tcBorders>
              <w:top w:val="single" w:sz="6" w:space="0" w:color="auto"/>
              <w:left w:val="single" w:sz="6" w:space="0" w:color="auto"/>
              <w:bottom w:val="nil"/>
              <w:right w:val="single" w:sz="6" w:space="0" w:color="auto"/>
            </w:tcBorders>
          </w:tcPr>
          <w:p w14:paraId="073037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Периоды контрольно - сдаточных пробегов</w:t>
            </w:r>
          </w:p>
          <w:p w14:paraId="5FC353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37" w:type="dxa"/>
            <w:gridSpan w:val="4"/>
            <w:tcBorders>
              <w:top w:val="single" w:sz="6" w:space="0" w:color="auto"/>
              <w:left w:val="single" w:sz="6" w:space="0" w:color="auto"/>
              <w:bottom w:val="single" w:sz="6" w:space="0" w:color="auto"/>
              <w:right w:val="single" w:sz="6" w:space="0" w:color="auto"/>
            </w:tcBorders>
          </w:tcPr>
          <w:p w14:paraId="6377C3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Заводы - изготовители</w:t>
            </w:r>
          </w:p>
          <w:p w14:paraId="0496D0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EB85045" w14:textId="77777777">
        <w:trPr>
          <w:trHeight w:val="259"/>
        </w:trPr>
        <w:tc>
          <w:tcPr>
            <w:tcW w:w="2477" w:type="dxa"/>
            <w:tcBorders>
              <w:top w:val="nil"/>
              <w:left w:val="single" w:sz="6" w:space="0" w:color="auto"/>
              <w:bottom w:val="nil"/>
              <w:right w:val="single" w:sz="6" w:space="0" w:color="auto"/>
            </w:tcBorders>
          </w:tcPr>
          <w:p w14:paraId="3E643D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6A3B7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71B4C4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183</w:t>
            </w:r>
          </w:p>
          <w:p w14:paraId="3EF584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6BF4D8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112</w:t>
            </w:r>
          </w:p>
          <w:p w14:paraId="2B312E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nil"/>
            </w:tcBorders>
          </w:tcPr>
          <w:p w14:paraId="18C6E5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 завод</w:t>
            </w:r>
          </w:p>
          <w:p w14:paraId="21539A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nil"/>
              <w:bottom w:val="single" w:sz="6" w:space="0" w:color="auto"/>
              <w:right w:val="single" w:sz="6" w:space="0" w:color="auto"/>
            </w:tcBorders>
          </w:tcPr>
          <w:p w14:paraId="1F5F3E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№174</w:t>
            </w:r>
          </w:p>
          <w:p w14:paraId="23F30F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CCCB88A" w14:textId="77777777">
        <w:trPr>
          <w:trHeight w:val="259"/>
        </w:trPr>
        <w:tc>
          <w:tcPr>
            <w:tcW w:w="2477" w:type="dxa"/>
            <w:tcBorders>
              <w:top w:val="nil"/>
              <w:left w:val="single" w:sz="6" w:space="0" w:color="auto"/>
              <w:bottom w:val="single" w:sz="6" w:space="0" w:color="auto"/>
              <w:right w:val="single" w:sz="6" w:space="0" w:color="auto"/>
            </w:tcBorders>
          </w:tcPr>
          <w:p w14:paraId="3FEC43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5DBF1F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37" w:type="dxa"/>
            <w:gridSpan w:val="4"/>
            <w:tcBorders>
              <w:top w:val="single" w:sz="6" w:space="0" w:color="auto"/>
              <w:left w:val="single" w:sz="6" w:space="0" w:color="auto"/>
              <w:bottom w:val="single" w:sz="6" w:space="0" w:color="auto"/>
              <w:right w:val="single" w:sz="6" w:space="0" w:color="auto"/>
            </w:tcBorders>
          </w:tcPr>
          <w:p w14:paraId="41DD9D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танков, принятых после первого военпредовского пробега</w:t>
            </w:r>
          </w:p>
          <w:p w14:paraId="6DF576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9CC6E8F" w14:textId="77777777">
        <w:trPr>
          <w:trHeight w:val="278"/>
        </w:trPr>
        <w:tc>
          <w:tcPr>
            <w:tcW w:w="2477" w:type="dxa"/>
            <w:tcBorders>
              <w:top w:val="single" w:sz="6" w:space="0" w:color="auto"/>
              <w:left w:val="single" w:sz="6" w:space="0" w:color="auto"/>
              <w:bottom w:val="single" w:sz="6" w:space="0" w:color="auto"/>
              <w:right w:val="single" w:sz="6" w:space="0" w:color="auto"/>
            </w:tcBorders>
          </w:tcPr>
          <w:p w14:paraId="54D086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кв. 1943 г.</w:t>
            </w:r>
          </w:p>
          <w:p w14:paraId="5EB2E3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0FCEBC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82,0</w:t>
            </w:r>
          </w:p>
          <w:p w14:paraId="092A34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332787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78,3</w:t>
            </w:r>
          </w:p>
          <w:p w14:paraId="0E8B46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101748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72,7</w:t>
            </w:r>
          </w:p>
          <w:p w14:paraId="6855C8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3E09E6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90,2</w:t>
            </w:r>
          </w:p>
          <w:p w14:paraId="1CD2B0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6E63128" w14:textId="77777777">
        <w:trPr>
          <w:trHeight w:val="278"/>
        </w:trPr>
        <w:tc>
          <w:tcPr>
            <w:tcW w:w="2477" w:type="dxa"/>
            <w:tcBorders>
              <w:top w:val="single" w:sz="6" w:space="0" w:color="auto"/>
              <w:left w:val="single" w:sz="6" w:space="0" w:color="auto"/>
              <w:bottom w:val="single" w:sz="6" w:space="0" w:color="auto"/>
              <w:right w:val="single" w:sz="6" w:space="0" w:color="auto"/>
            </w:tcBorders>
          </w:tcPr>
          <w:p w14:paraId="12BA53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кв. 1943 г.</w:t>
            </w:r>
          </w:p>
          <w:p w14:paraId="1122DA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012726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90,4</w:t>
            </w:r>
          </w:p>
          <w:p w14:paraId="56071B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69B0FF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86,3</w:t>
            </w:r>
          </w:p>
          <w:p w14:paraId="464B57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5362A9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93,4</w:t>
            </w:r>
          </w:p>
          <w:p w14:paraId="0B1FC1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5C6050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83,9</w:t>
            </w:r>
          </w:p>
          <w:p w14:paraId="760AC9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CAD327A" w14:textId="77777777">
        <w:trPr>
          <w:trHeight w:val="278"/>
        </w:trPr>
        <w:tc>
          <w:tcPr>
            <w:tcW w:w="2477" w:type="dxa"/>
            <w:tcBorders>
              <w:top w:val="single" w:sz="6" w:space="0" w:color="auto"/>
              <w:left w:val="single" w:sz="6" w:space="0" w:color="auto"/>
              <w:bottom w:val="single" w:sz="6" w:space="0" w:color="auto"/>
              <w:right w:val="single" w:sz="6" w:space="0" w:color="auto"/>
            </w:tcBorders>
          </w:tcPr>
          <w:p w14:paraId="17F895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IV кв. 1943 г.</w:t>
            </w:r>
          </w:p>
          <w:p w14:paraId="36801B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6B9D2F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93,9</w:t>
            </w:r>
          </w:p>
          <w:p w14:paraId="082402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6886D2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80,7</w:t>
            </w:r>
          </w:p>
          <w:p w14:paraId="17485E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4E513D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94,2</w:t>
            </w:r>
          </w:p>
          <w:p w14:paraId="1DA427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3D9808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92,4</w:t>
            </w:r>
          </w:p>
          <w:p w14:paraId="0C97F5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3EF281A" w14:textId="77777777">
        <w:trPr>
          <w:trHeight w:val="298"/>
        </w:trPr>
        <w:tc>
          <w:tcPr>
            <w:tcW w:w="2477" w:type="dxa"/>
            <w:tcBorders>
              <w:top w:val="single" w:sz="6" w:space="0" w:color="auto"/>
              <w:left w:val="single" w:sz="6" w:space="0" w:color="auto"/>
              <w:bottom w:val="single" w:sz="6" w:space="0" w:color="auto"/>
              <w:right w:val="single" w:sz="6" w:space="0" w:color="auto"/>
            </w:tcBorders>
          </w:tcPr>
          <w:p w14:paraId="5B763A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январь, февраль 1 944 года</w:t>
            </w:r>
          </w:p>
          <w:p w14:paraId="61B110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60E469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96,1</w:t>
            </w:r>
          </w:p>
          <w:p w14:paraId="35BA20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408747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85,3</w:t>
            </w:r>
          </w:p>
          <w:p w14:paraId="20CD27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798263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94,0</w:t>
            </w:r>
          </w:p>
          <w:p w14:paraId="1A4156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57AD4F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94,0</w:t>
            </w:r>
          </w:p>
          <w:p w14:paraId="2EDB08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8E23A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 всех поломок и неисправностей, обнаружившихся при гарантийных пробегах</w:t>
      </w:r>
    </w:p>
    <w:tbl>
      <w:tblPr>
        <w:tblW w:w="0" w:type="auto"/>
        <w:tblInd w:w="40" w:type="dxa"/>
        <w:tblLayout w:type="fixed"/>
        <w:tblCellMar>
          <w:left w:w="40" w:type="dxa"/>
          <w:right w:w="40" w:type="dxa"/>
        </w:tblCellMar>
        <w:tblLook w:val="0000" w:firstRow="0" w:lastRow="0" w:firstColumn="0" w:lastColumn="0" w:noHBand="0" w:noVBand="0"/>
      </w:tblPr>
      <w:tblGrid>
        <w:gridCol w:w="2486"/>
        <w:gridCol w:w="1354"/>
        <w:gridCol w:w="1344"/>
        <w:gridCol w:w="1363"/>
        <w:gridCol w:w="1354"/>
        <w:gridCol w:w="1632"/>
      </w:tblGrid>
      <w:tr w:rsidR="004D4663" w:rsidRPr="00070ADE" w14:paraId="35E6702D" w14:textId="77777777">
        <w:trPr>
          <w:trHeight w:val="269"/>
        </w:trPr>
        <w:tc>
          <w:tcPr>
            <w:tcW w:w="2486" w:type="dxa"/>
            <w:tcBorders>
              <w:top w:val="single" w:sz="6" w:space="0" w:color="auto"/>
              <w:left w:val="single" w:sz="6" w:space="0" w:color="auto"/>
              <w:bottom w:val="nil"/>
              <w:right w:val="single" w:sz="6" w:space="0" w:color="auto"/>
            </w:tcBorders>
          </w:tcPr>
          <w:p w14:paraId="09FB42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Период испытания на гарантийный пробег</w:t>
            </w:r>
          </w:p>
          <w:p w14:paraId="07342A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47" w:type="dxa"/>
            <w:gridSpan w:val="5"/>
            <w:tcBorders>
              <w:top w:val="single" w:sz="6" w:space="0" w:color="auto"/>
              <w:left w:val="single" w:sz="6" w:space="0" w:color="auto"/>
              <w:bottom w:val="single" w:sz="6" w:space="0" w:color="auto"/>
              <w:right w:val="single" w:sz="6" w:space="0" w:color="auto"/>
            </w:tcBorders>
          </w:tcPr>
          <w:p w14:paraId="7744F6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Заводы - изготовители</w:t>
            </w:r>
          </w:p>
          <w:p w14:paraId="2BB410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4A77096" w14:textId="77777777">
        <w:trPr>
          <w:trHeight w:val="422"/>
        </w:trPr>
        <w:tc>
          <w:tcPr>
            <w:tcW w:w="2486" w:type="dxa"/>
            <w:tcBorders>
              <w:top w:val="nil"/>
              <w:left w:val="single" w:sz="6" w:space="0" w:color="auto"/>
              <w:bottom w:val="nil"/>
              <w:right w:val="single" w:sz="6" w:space="0" w:color="auto"/>
            </w:tcBorders>
          </w:tcPr>
          <w:p w14:paraId="646A34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971EC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0298B5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183</w:t>
            </w:r>
          </w:p>
          <w:p w14:paraId="37685F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3A28FA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112</w:t>
            </w:r>
          </w:p>
          <w:p w14:paraId="5121E9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D15A4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 завод</w:t>
            </w:r>
          </w:p>
          <w:p w14:paraId="626498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8488F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174</w:t>
            </w:r>
          </w:p>
          <w:p w14:paraId="22BAE25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7688F4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по всем заводам</w:t>
            </w:r>
          </w:p>
          <w:p w14:paraId="7F0D19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6224F27" w14:textId="77777777">
        <w:trPr>
          <w:trHeight w:val="259"/>
        </w:trPr>
        <w:tc>
          <w:tcPr>
            <w:tcW w:w="2486" w:type="dxa"/>
            <w:tcBorders>
              <w:top w:val="nil"/>
              <w:left w:val="single" w:sz="6" w:space="0" w:color="auto"/>
              <w:bottom w:val="single" w:sz="6" w:space="0" w:color="auto"/>
              <w:right w:val="single" w:sz="6" w:space="0" w:color="auto"/>
            </w:tcBorders>
          </w:tcPr>
          <w:p w14:paraId="1696F0D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7A2A4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47" w:type="dxa"/>
            <w:gridSpan w:val="5"/>
            <w:tcBorders>
              <w:top w:val="single" w:sz="6" w:space="0" w:color="auto"/>
              <w:left w:val="single" w:sz="6" w:space="0" w:color="auto"/>
              <w:bottom w:val="single" w:sz="6" w:space="0" w:color="auto"/>
              <w:right w:val="single" w:sz="6" w:space="0" w:color="auto"/>
            </w:tcBorders>
          </w:tcPr>
          <w:p w14:paraId="758129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поломок</w:t>
            </w:r>
          </w:p>
          <w:p w14:paraId="771044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02332D8" w14:textId="77777777">
        <w:trPr>
          <w:trHeight w:val="278"/>
        </w:trPr>
        <w:tc>
          <w:tcPr>
            <w:tcW w:w="2486" w:type="dxa"/>
            <w:tcBorders>
              <w:top w:val="single" w:sz="6" w:space="0" w:color="auto"/>
              <w:left w:val="single" w:sz="6" w:space="0" w:color="auto"/>
              <w:bottom w:val="single" w:sz="6" w:space="0" w:color="auto"/>
              <w:right w:val="single" w:sz="6" w:space="0" w:color="auto"/>
            </w:tcBorders>
          </w:tcPr>
          <w:p w14:paraId="2D4370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 1943 г.</w:t>
            </w:r>
          </w:p>
          <w:p w14:paraId="0F303C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8848D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w:t>
            </w:r>
          </w:p>
          <w:p w14:paraId="202C22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583A15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47689E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3829C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148</w:t>
            </w:r>
          </w:p>
          <w:p w14:paraId="14B30D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40DD4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1A80D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770813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310</w:t>
            </w:r>
          </w:p>
          <w:p w14:paraId="0BE375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7856F95" w14:textId="77777777">
        <w:trPr>
          <w:trHeight w:val="278"/>
        </w:trPr>
        <w:tc>
          <w:tcPr>
            <w:tcW w:w="2486" w:type="dxa"/>
            <w:tcBorders>
              <w:top w:val="single" w:sz="6" w:space="0" w:color="auto"/>
              <w:left w:val="single" w:sz="6" w:space="0" w:color="auto"/>
              <w:bottom w:val="single" w:sz="6" w:space="0" w:color="auto"/>
              <w:right w:val="single" w:sz="6" w:space="0" w:color="auto"/>
            </w:tcBorders>
          </w:tcPr>
          <w:p w14:paraId="51624E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апрель 1943 г.</w:t>
            </w:r>
          </w:p>
          <w:p w14:paraId="435D05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29BCB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109</w:t>
            </w:r>
          </w:p>
          <w:p w14:paraId="0DD398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09920B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w:t>
            </w:r>
          </w:p>
          <w:p w14:paraId="42E0AE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08BE8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142</w:t>
            </w:r>
          </w:p>
          <w:p w14:paraId="525FEA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4B6C8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w:t>
            </w:r>
          </w:p>
          <w:p w14:paraId="333661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484213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349</w:t>
            </w:r>
          </w:p>
          <w:p w14:paraId="29F643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2D83FFD" w14:textId="77777777">
        <w:trPr>
          <w:trHeight w:val="278"/>
        </w:trPr>
        <w:tc>
          <w:tcPr>
            <w:tcW w:w="2486" w:type="dxa"/>
            <w:tcBorders>
              <w:top w:val="single" w:sz="6" w:space="0" w:color="auto"/>
              <w:left w:val="single" w:sz="6" w:space="0" w:color="auto"/>
              <w:bottom w:val="single" w:sz="6" w:space="0" w:color="auto"/>
              <w:right w:val="single" w:sz="6" w:space="0" w:color="auto"/>
            </w:tcBorders>
          </w:tcPr>
          <w:p w14:paraId="05168F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июнь 1943 г.</w:t>
            </w:r>
          </w:p>
          <w:p w14:paraId="4D97A2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D34CD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w:t>
            </w:r>
          </w:p>
          <w:p w14:paraId="7DCD88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50FDF4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w:t>
            </w:r>
          </w:p>
          <w:p w14:paraId="398F3A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6B69E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w:t>
            </w:r>
          </w:p>
          <w:p w14:paraId="66FB72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57612C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w:t>
            </w:r>
          </w:p>
          <w:p w14:paraId="45F78B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44A6B2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268</w:t>
            </w:r>
          </w:p>
          <w:p w14:paraId="4A2184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06FCB64" w14:textId="77777777">
        <w:trPr>
          <w:trHeight w:val="278"/>
        </w:trPr>
        <w:tc>
          <w:tcPr>
            <w:tcW w:w="2486" w:type="dxa"/>
            <w:tcBorders>
              <w:top w:val="single" w:sz="6" w:space="0" w:color="auto"/>
              <w:left w:val="single" w:sz="6" w:space="0" w:color="auto"/>
              <w:bottom w:val="single" w:sz="6" w:space="0" w:color="auto"/>
              <w:right w:val="single" w:sz="6" w:space="0" w:color="auto"/>
            </w:tcBorders>
          </w:tcPr>
          <w:p w14:paraId="3D1B82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август 1943 г.</w:t>
            </w:r>
          </w:p>
          <w:p w14:paraId="636F63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352F1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p w14:paraId="6000F3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1F9A2E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w:t>
            </w:r>
          </w:p>
          <w:p w14:paraId="78E48A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292CC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p w14:paraId="04C8C2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24E027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w:t>
            </w:r>
          </w:p>
          <w:p w14:paraId="4665D6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4BDBF8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108</w:t>
            </w:r>
          </w:p>
          <w:p w14:paraId="50E6C7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270D2EE" w14:textId="77777777">
        <w:trPr>
          <w:trHeight w:val="269"/>
        </w:trPr>
        <w:tc>
          <w:tcPr>
            <w:tcW w:w="2486" w:type="dxa"/>
            <w:tcBorders>
              <w:top w:val="single" w:sz="6" w:space="0" w:color="auto"/>
              <w:left w:val="single" w:sz="6" w:space="0" w:color="auto"/>
              <w:bottom w:val="single" w:sz="6" w:space="0" w:color="auto"/>
              <w:right w:val="single" w:sz="6" w:space="0" w:color="auto"/>
            </w:tcBorders>
          </w:tcPr>
          <w:p w14:paraId="1BDA8A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октябрь 1943 г.</w:t>
            </w:r>
          </w:p>
          <w:p w14:paraId="2A0416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79E118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p w14:paraId="4B6490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6C15C4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w:t>
            </w:r>
          </w:p>
          <w:p w14:paraId="1A2DA7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48E1D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p w14:paraId="3B1680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954F6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w:t>
            </w:r>
          </w:p>
          <w:p w14:paraId="7B72F6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0478B3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163</w:t>
            </w:r>
          </w:p>
          <w:p w14:paraId="258B0C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0FDA24C" w14:textId="77777777">
        <w:trPr>
          <w:trHeight w:val="278"/>
        </w:trPr>
        <w:tc>
          <w:tcPr>
            <w:tcW w:w="2486" w:type="dxa"/>
            <w:tcBorders>
              <w:top w:val="single" w:sz="6" w:space="0" w:color="auto"/>
              <w:left w:val="single" w:sz="6" w:space="0" w:color="auto"/>
              <w:bottom w:val="single" w:sz="6" w:space="0" w:color="auto"/>
              <w:right w:val="single" w:sz="6" w:space="0" w:color="auto"/>
            </w:tcBorders>
          </w:tcPr>
          <w:p w14:paraId="1D58EF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 1943 г.</w:t>
            </w:r>
          </w:p>
          <w:p w14:paraId="77DA38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09C98C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p w14:paraId="141DA3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502912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p w14:paraId="52A661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3EBD1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18D590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5411E9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p w14:paraId="4E2C60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1784F5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w:t>
            </w:r>
          </w:p>
          <w:p w14:paraId="62B912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E0D2E16" w14:textId="77777777">
        <w:trPr>
          <w:trHeight w:val="298"/>
        </w:trPr>
        <w:tc>
          <w:tcPr>
            <w:tcW w:w="2486" w:type="dxa"/>
            <w:tcBorders>
              <w:top w:val="single" w:sz="6" w:space="0" w:color="auto"/>
              <w:left w:val="single" w:sz="6" w:space="0" w:color="auto"/>
              <w:bottom w:val="single" w:sz="6" w:space="0" w:color="auto"/>
              <w:right w:val="single" w:sz="6" w:space="0" w:color="auto"/>
            </w:tcBorders>
          </w:tcPr>
          <w:p w14:paraId="4D482C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 1944 г.</w:t>
            </w:r>
          </w:p>
          <w:p w14:paraId="64D784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B05BA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65D60B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5F74E9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p w14:paraId="23299D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E98B0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w:t>
            </w:r>
          </w:p>
          <w:p w14:paraId="12B11F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016C4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p w14:paraId="747C01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2" w:type="dxa"/>
            <w:tcBorders>
              <w:top w:val="single" w:sz="6" w:space="0" w:color="auto"/>
              <w:left w:val="single" w:sz="6" w:space="0" w:color="auto"/>
              <w:bottom w:val="single" w:sz="6" w:space="0" w:color="auto"/>
              <w:right w:val="single" w:sz="6" w:space="0" w:color="auto"/>
            </w:tcBorders>
          </w:tcPr>
          <w:p w14:paraId="545D86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w:t>
            </w:r>
          </w:p>
          <w:p w14:paraId="22F1B7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AADDB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 поломок, по которым танки считаются не выдержавшими гарантийных испытаний</w:t>
      </w:r>
    </w:p>
    <w:tbl>
      <w:tblPr>
        <w:tblW w:w="0" w:type="auto"/>
        <w:tblInd w:w="40" w:type="dxa"/>
        <w:tblLayout w:type="fixed"/>
        <w:tblCellMar>
          <w:left w:w="40" w:type="dxa"/>
          <w:right w:w="40" w:type="dxa"/>
        </w:tblCellMar>
        <w:tblLook w:val="0000" w:firstRow="0" w:lastRow="0" w:firstColumn="0" w:lastColumn="0" w:noHBand="0" w:noVBand="0"/>
      </w:tblPr>
      <w:tblGrid>
        <w:gridCol w:w="2304"/>
        <w:gridCol w:w="1258"/>
        <w:gridCol w:w="1258"/>
        <w:gridCol w:w="1171"/>
        <w:gridCol w:w="1181"/>
        <w:gridCol w:w="1162"/>
        <w:gridCol w:w="1190"/>
      </w:tblGrid>
      <w:tr w:rsidR="004D4663" w:rsidRPr="00070ADE" w14:paraId="1CBA5F63" w14:textId="77777777">
        <w:trPr>
          <w:trHeight w:val="269"/>
        </w:trPr>
        <w:tc>
          <w:tcPr>
            <w:tcW w:w="2304" w:type="dxa"/>
            <w:tcBorders>
              <w:top w:val="single" w:sz="6" w:space="0" w:color="auto"/>
              <w:left w:val="single" w:sz="6" w:space="0" w:color="auto"/>
              <w:bottom w:val="nil"/>
              <w:right w:val="single" w:sz="6" w:space="0" w:color="auto"/>
            </w:tcBorders>
          </w:tcPr>
          <w:p w14:paraId="0AD18C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Периоды испытаний на гарантийный пробег</w:t>
            </w:r>
          </w:p>
          <w:p w14:paraId="240094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20" w:type="dxa"/>
            <w:gridSpan w:val="6"/>
            <w:tcBorders>
              <w:top w:val="single" w:sz="6" w:space="0" w:color="auto"/>
              <w:left w:val="single" w:sz="6" w:space="0" w:color="auto"/>
              <w:bottom w:val="single" w:sz="6" w:space="0" w:color="auto"/>
              <w:right w:val="single" w:sz="6" w:space="0" w:color="auto"/>
            </w:tcBorders>
          </w:tcPr>
          <w:p w14:paraId="45474E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Заводы - изготовители</w:t>
            </w:r>
          </w:p>
          <w:p w14:paraId="5B95CB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71338B0" w14:textId="77777777">
        <w:trPr>
          <w:trHeight w:val="259"/>
        </w:trPr>
        <w:tc>
          <w:tcPr>
            <w:tcW w:w="2304" w:type="dxa"/>
            <w:tcBorders>
              <w:top w:val="nil"/>
              <w:left w:val="single" w:sz="6" w:space="0" w:color="auto"/>
              <w:bottom w:val="nil"/>
              <w:right w:val="single" w:sz="6" w:space="0" w:color="auto"/>
            </w:tcBorders>
          </w:tcPr>
          <w:p w14:paraId="34EA0F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26A97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nil"/>
              <w:right w:val="single" w:sz="6" w:space="0" w:color="auto"/>
            </w:tcBorders>
          </w:tcPr>
          <w:p w14:paraId="1E30F1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 №138</w:t>
            </w:r>
          </w:p>
          <w:p w14:paraId="56B88A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nil"/>
              <w:right w:val="single" w:sz="6" w:space="0" w:color="auto"/>
            </w:tcBorders>
          </w:tcPr>
          <w:p w14:paraId="00AEF2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 №112</w:t>
            </w:r>
          </w:p>
          <w:p w14:paraId="528DF5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52" w:type="dxa"/>
            <w:gridSpan w:val="2"/>
            <w:tcBorders>
              <w:top w:val="single" w:sz="6" w:space="0" w:color="auto"/>
              <w:left w:val="single" w:sz="6" w:space="0" w:color="auto"/>
              <w:bottom w:val="single" w:sz="6" w:space="0" w:color="auto"/>
              <w:right w:val="single" w:sz="6" w:space="0" w:color="auto"/>
            </w:tcBorders>
          </w:tcPr>
          <w:p w14:paraId="2B1016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w:t>
            </w:r>
          </w:p>
          <w:p w14:paraId="232BD5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nil"/>
              <w:right w:val="single" w:sz="6" w:space="0" w:color="auto"/>
            </w:tcBorders>
          </w:tcPr>
          <w:p w14:paraId="63B43A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 №174</w:t>
            </w:r>
          </w:p>
          <w:p w14:paraId="1440EE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nil"/>
              <w:right w:val="single" w:sz="6" w:space="0" w:color="auto"/>
            </w:tcBorders>
          </w:tcPr>
          <w:p w14:paraId="19F8E3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по всем заводам</w:t>
            </w:r>
          </w:p>
          <w:p w14:paraId="7C3BA4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2D445F5" w14:textId="77777777">
        <w:trPr>
          <w:trHeight w:val="269"/>
        </w:trPr>
        <w:tc>
          <w:tcPr>
            <w:tcW w:w="2304" w:type="dxa"/>
            <w:tcBorders>
              <w:top w:val="nil"/>
              <w:left w:val="single" w:sz="6" w:space="0" w:color="auto"/>
              <w:bottom w:val="nil"/>
              <w:right w:val="single" w:sz="6" w:space="0" w:color="auto"/>
            </w:tcBorders>
          </w:tcPr>
          <w:p w14:paraId="577277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D4FFF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single" w:sz="6" w:space="0" w:color="auto"/>
              <w:right w:val="single" w:sz="6" w:space="0" w:color="auto"/>
            </w:tcBorders>
          </w:tcPr>
          <w:p w14:paraId="60F6AC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23304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single" w:sz="6" w:space="0" w:color="auto"/>
              <w:right w:val="single" w:sz="6" w:space="0" w:color="auto"/>
            </w:tcBorders>
          </w:tcPr>
          <w:p w14:paraId="2A38E3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38803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3FF9D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304C7C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1641A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w:t>
            </w:r>
          </w:p>
          <w:p w14:paraId="786608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nil"/>
              <w:left w:val="single" w:sz="6" w:space="0" w:color="auto"/>
              <w:bottom w:val="single" w:sz="6" w:space="0" w:color="auto"/>
              <w:right w:val="single" w:sz="6" w:space="0" w:color="auto"/>
            </w:tcBorders>
          </w:tcPr>
          <w:p w14:paraId="7D6DE1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6041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nil"/>
              <w:left w:val="single" w:sz="6" w:space="0" w:color="auto"/>
              <w:bottom w:val="single" w:sz="6" w:space="0" w:color="auto"/>
              <w:right w:val="single" w:sz="6" w:space="0" w:color="auto"/>
            </w:tcBorders>
          </w:tcPr>
          <w:p w14:paraId="36AFAE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BB27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1E66E2E" w14:textId="77777777">
        <w:trPr>
          <w:trHeight w:val="259"/>
        </w:trPr>
        <w:tc>
          <w:tcPr>
            <w:tcW w:w="2304" w:type="dxa"/>
            <w:tcBorders>
              <w:top w:val="nil"/>
              <w:left w:val="single" w:sz="6" w:space="0" w:color="auto"/>
              <w:bottom w:val="single" w:sz="6" w:space="0" w:color="auto"/>
              <w:right w:val="single" w:sz="6" w:space="0" w:color="auto"/>
            </w:tcBorders>
          </w:tcPr>
          <w:p w14:paraId="248C6D6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A4D87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220" w:type="dxa"/>
            <w:gridSpan w:val="6"/>
            <w:tcBorders>
              <w:top w:val="single" w:sz="6" w:space="0" w:color="auto"/>
              <w:left w:val="single" w:sz="6" w:space="0" w:color="auto"/>
              <w:bottom w:val="single" w:sz="6" w:space="0" w:color="auto"/>
              <w:right w:val="single" w:sz="6" w:space="0" w:color="auto"/>
            </w:tcBorders>
          </w:tcPr>
          <w:p w14:paraId="4B5AA3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поломок</w:t>
            </w:r>
          </w:p>
          <w:p w14:paraId="6F2C4F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B137F48" w14:textId="77777777">
        <w:trPr>
          <w:trHeight w:val="278"/>
        </w:trPr>
        <w:tc>
          <w:tcPr>
            <w:tcW w:w="2304" w:type="dxa"/>
            <w:tcBorders>
              <w:top w:val="single" w:sz="6" w:space="0" w:color="auto"/>
              <w:left w:val="single" w:sz="6" w:space="0" w:color="auto"/>
              <w:bottom w:val="single" w:sz="6" w:space="0" w:color="auto"/>
              <w:right w:val="single" w:sz="6" w:space="0" w:color="auto"/>
            </w:tcBorders>
          </w:tcPr>
          <w:p w14:paraId="501DA5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 1 943 г.</w:t>
            </w:r>
          </w:p>
          <w:p w14:paraId="1C70F0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3BD56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019982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9348C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6FFE6D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ECA27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7C51C7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853EB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68851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66AFA9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BFC3B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6810C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6FDAE1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95D74F4" w14:textId="77777777">
        <w:trPr>
          <w:trHeight w:val="278"/>
        </w:trPr>
        <w:tc>
          <w:tcPr>
            <w:tcW w:w="2304" w:type="dxa"/>
            <w:tcBorders>
              <w:top w:val="single" w:sz="6" w:space="0" w:color="auto"/>
              <w:left w:val="single" w:sz="6" w:space="0" w:color="auto"/>
              <w:bottom w:val="single" w:sz="6" w:space="0" w:color="auto"/>
              <w:right w:val="single" w:sz="6" w:space="0" w:color="auto"/>
            </w:tcBorders>
          </w:tcPr>
          <w:p w14:paraId="7606C2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апрель 1943 г.</w:t>
            </w:r>
          </w:p>
          <w:p w14:paraId="7C6BFD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5EAE4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2F478B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6ADF4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p w14:paraId="3A97DA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EAA9D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2266BA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A1991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1EC26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7B8B60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2D0198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1400D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w:t>
            </w:r>
          </w:p>
          <w:p w14:paraId="0149DA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EA65E60" w14:textId="77777777">
        <w:trPr>
          <w:trHeight w:val="269"/>
        </w:trPr>
        <w:tc>
          <w:tcPr>
            <w:tcW w:w="2304" w:type="dxa"/>
            <w:tcBorders>
              <w:top w:val="single" w:sz="6" w:space="0" w:color="auto"/>
              <w:left w:val="single" w:sz="6" w:space="0" w:color="auto"/>
              <w:bottom w:val="single" w:sz="6" w:space="0" w:color="auto"/>
              <w:right w:val="single" w:sz="6" w:space="0" w:color="auto"/>
            </w:tcBorders>
          </w:tcPr>
          <w:p w14:paraId="615C58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июнь 1943 г.</w:t>
            </w:r>
          </w:p>
          <w:p w14:paraId="2EA91F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2938C0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012F46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DB9CC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2BF77B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03BC7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205954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E139E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1BF68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571C9E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000439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D1AB0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p w14:paraId="43E8A2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149C39C" w14:textId="77777777">
        <w:trPr>
          <w:trHeight w:val="278"/>
        </w:trPr>
        <w:tc>
          <w:tcPr>
            <w:tcW w:w="2304" w:type="dxa"/>
            <w:tcBorders>
              <w:top w:val="single" w:sz="6" w:space="0" w:color="auto"/>
              <w:left w:val="single" w:sz="6" w:space="0" w:color="auto"/>
              <w:bottom w:val="single" w:sz="6" w:space="0" w:color="auto"/>
              <w:right w:val="single" w:sz="6" w:space="0" w:color="auto"/>
            </w:tcBorders>
          </w:tcPr>
          <w:p w14:paraId="5F7F67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август 1943 г.</w:t>
            </w:r>
          </w:p>
          <w:p w14:paraId="35C12F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F3DB4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0D2FBF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BC593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65BAC4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92326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64963A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2619B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5959D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77B651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p w14:paraId="2868AA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2658B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1CA642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9A292EA" w14:textId="77777777">
        <w:trPr>
          <w:trHeight w:val="278"/>
        </w:trPr>
        <w:tc>
          <w:tcPr>
            <w:tcW w:w="2304" w:type="dxa"/>
            <w:tcBorders>
              <w:top w:val="single" w:sz="6" w:space="0" w:color="auto"/>
              <w:left w:val="single" w:sz="6" w:space="0" w:color="auto"/>
              <w:bottom w:val="single" w:sz="6" w:space="0" w:color="auto"/>
              <w:right w:val="single" w:sz="6" w:space="0" w:color="auto"/>
            </w:tcBorders>
          </w:tcPr>
          <w:p w14:paraId="75E210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сентябрь 1943 г.</w:t>
            </w:r>
          </w:p>
          <w:p w14:paraId="7C9B82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4DECF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22C918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7ACFA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62240D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C2C7D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71CB52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033B3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A715E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6A45CE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130529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81FFB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p w14:paraId="0E0039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D3E1DA3" w14:textId="77777777">
        <w:trPr>
          <w:trHeight w:val="278"/>
        </w:trPr>
        <w:tc>
          <w:tcPr>
            <w:tcW w:w="2304" w:type="dxa"/>
            <w:tcBorders>
              <w:top w:val="single" w:sz="6" w:space="0" w:color="auto"/>
              <w:left w:val="single" w:sz="6" w:space="0" w:color="auto"/>
              <w:bottom w:val="single" w:sz="6" w:space="0" w:color="auto"/>
              <w:right w:val="single" w:sz="6" w:space="0" w:color="auto"/>
            </w:tcBorders>
          </w:tcPr>
          <w:p w14:paraId="2CEAFC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 1 943 г.</w:t>
            </w:r>
          </w:p>
          <w:p w14:paraId="4DDF6D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F7B5D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0AB7E0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B1DA3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4B2020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A8D50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0A64C6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7209C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19279A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1F5277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39BD85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6B513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5BC91B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FFEE1C3" w14:textId="77777777">
        <w:trPr>
          <w:trHeight w:val="298"/>
        </w:trPr>
        <w:tc>
          <w:tcPr>
            <w:tcW w:w="2304" w:type="dxa"/>
            <w:tcBorders>
              <w:top w:val="single" w:sz="6" w:space="0" w:color="auto"/>
              <w:left w:val="single" w:sz="6" w:space="0" w:color="auto"/>
              <w:bottom w:val="single" w:sz="6" w:space="0" w:color="auto"/>
              <w:right w:val="single" w:sz="6" w:space="0" w:color="auto"/>
            </w:tcBorders>
          </w:tcPr>
          <w:p w14:paraId="6303CC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 1944 г.</w:t>
            </w:r>
          </w:p>
          <w:p w14:paraId="23D5E0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F0B74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5583C3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AE29F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23049C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30772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4FD284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A3FD3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5DB1FA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0FD36F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3D6DA3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21966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p w14:paraId="138CEA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027AD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 поломок у танков выпуска февраля 1944 г., не выдержавших испытаний:</w:t>
      </w:r>
    </w:p>
    <w:p w14:paraId="5D2FB3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б-ти танков, не выдержавших гарантийных испытаний — 4, вышли из строя по двигателю, 1</w:t>
      </w:r>
    </w:p>
    <w:p w14:paraId="09FC36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трансмиссии и 1 по ходовой части.</w:t>
      </w:r>
    </w:p>
    <w:p w14:paraId="2BCA6C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пяти танков, не выдержавших испытаний на 300 километров, вышли из строя — 2 по причине</w:t>
      </w:r>
    </w:p>
    <w:p w14:paraId="0FC1B7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наличия сколов зубьев шестерен коробок перемены передач, 1 по дефекту бортового редуктора, 2 по</w:t>
      </w:r>
    </w:p>
    <w:p w14:paraId="15A50B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дефектам кривошипа ленивца.</w:t>
      </w:r>
    </w:p>
    <w:p w14:paraId="77A529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Причины поломок</w:t>
      </w:r>
    </w:p>
    <w:p w14:paraId="162FDC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Дизельмотор:</w:t>
      </w:r>
    </w:p>
    <w:p w14:paraId="453D2B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Обрыв шатуна, вследствие наличия неметаллических включений в материале шатуна.</w:t>
      </w:r>
    </w:p>
    <w:p w14:paraId="56C34E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Поломка верхнего вертикального валика, вследствие неправильной термической обработки валика и наличия неметаллических включений в материале валика.</w:t>
      </w:r>
    </w:p>
    <w:p w14:paraId="1D9F77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Разрушение зубьев шестерни привода топливного насоса, обрыв 2-х шпилек крепления кор</w:t>
      </w:r>
      <w:r w:rsidRPr="00070ADE">
        <w:rPr>
          <w:rFonts w:ascii="Times New Roman" w:hAnsi="Times New Roman"/>
          <w:color w:val="000000" w:themeColor="text1"/>
          <w:sz w:val="16"/>
          <w:szCs w:val="16"/>
        </w:rPr>
        <w:softHyphen/>
        <w:t>пуса привода топливного насоса — вследствие неправильной термической обработки деталей. Коробка перемены передач:</w:t>
      </w:r>
    </w:p>
    <w:p w14:paraId="09AFA5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Сколы на зубьях шестерен вследствие неправильной термической обработки (шестерен Т-34). Трансмиссия и ходовая часть:</w:t>
      </w:r>
    </w:p>
    <w:p w14:paraId="325CB2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Обрыв кривошипа ленивца, вследствие наличия трещин, образовавшихся при штамповке (Т-34).</w:t>
      </w:r>
    </w:p>
    <w:p w14:paraId="293028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Разрушение 2-х пружин передних подвесов, вследствие некондиционности материала (Т-34).</w:t>
      </w:r>
    </w:p>
    <w:p w14:paraId="3792A1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Разрушение подшипников сателлитов планетарного механизма поворота — конструктивный недостаток. Применение безсепараторного подшипника (ИС).</w:t>
      </w:r>
    </w:p>
    <w:p w14:paraId="0F57A5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основные агрегаты танков Т-34 выпуска февраля месяца 1944 г. как-то: коробки перемены передач, главные и бортовые фрикционы, бортовые передачи, тормозы и вся ходовая часть за время гарантийных испытаний дефектов не имели, работали надежно и пригодны к дальнейшей эксплу</w:t>
      </w:r>
      <w:r w:rsidRPr="00070ADE">
        <w:rPr>
          <w:rFonts w:ascii="Times New Roman" w:hAnsi="Times New Roman"/>
          <w:color w:val="000000" w:themeColor="text1"/>
          <w:sz w:val="16"/>
          <w:szCs w:val="16"/>
        </w:rPr>
        <w:softHyphen/>
        <w:t>атации (за исключением разрушения резины на одном опорном катке, на 569 км пробега на танке Кировского завода).</w:t>
      </w:r>
    </w:p>
    <w:p w14:paraId="307AA4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Танки Т-34 выпусков II и III кварталов 1943 г. в основном выходили из строя и не выдерживали гарантийных испытаний по дефектам вышеперечисленных агрегатов.</w:t>
      </w:r>
    </w:p>
    <w:p w14:paraId="6C01C7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результаты испытаний танков выпуска января — февраля месяцев с.г. на 300 и 1000 км, а также характер дефектов, имевших место на этих испытаниях свидетельствуют о повы</w:t>
      </w:r>
      <w:r w:rsidRPr="00070ADE">
        <w:rPr>
          <w:rFonts w:ascii="Times New Roman" w:hAnsi="Times New Roman"/>
          <w:color w:val="000000" w:themeColor="text1"/>
          <w:sz w:val="16"/>
          <w:szCs w:val="16"/>
        </w:rPr>
        <w:softHyphen/>
        <w:t>шении танковыми заводами качества танков Т-34, особенно заводом №183 в сравнении с качеством их выпуска II и III кварталов 1943 года, но еще не в такой степени, как это требуется Постановлением ГОКО №3092 с от 29.03.1943 г. по повышению качества изготовления танков и самоходных артилле</w:t>
      </w:r>
      <w:r w:rsidRPr="00070ADE">
        <w:rPr>
          <w:rFonts w:ascii="Times New Roman" w:hAnsi="Times New Roman"/>
          <w:color w:val="000000" w:themeColor="text1"/>
          <w:sz w:val="16"/>
          <w:szCs w:val="16"/>
        </w:rPr>
        <w:softHyphen/>
        <w:t>рийских установок.</w:t>
      </w:r>
    </w:p>
    <w:p w14:paraId="1B5903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Качество двигателей В-2-34 продолжает оставаться еще на чрезвычайно низком уровне — из 6 танков, не выдержавших гарантийные испытания, 4 танка вышли из строя по дефектам двигателей (два двигателя завода №77 и два двигателя Кировского завода).</w:t>
      </w:r>
    </w:p>
    <w:p w14:paraId="40F249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Тяжелые танки на гарантийных испытаниях пробегов на 300 км имели большое количество существенных дефектов, а именно:</w:t>
      </w:r>
    </w:p>
    <w:p w14:paraId="29ED13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Разрушение подшипников сателлитов планетарного механизма поворота — 1 случай;</w:t>
      </w:r>
    </w:p>
    <w:p w14:paraId="071476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Обрыв болтов (9 шт.), крепления кронштейнов поддерживающих катков;</w:t>
      </w:r>
    </w:p>
    <w:p w14:paraId="371591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Поломка торсионного вала опорного катка — 1 случай;</w:t>
      </w:r>
    </w:p>
    <w:p w14:paraId="516EAE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Вышел из строя бортовой редуктор — 1 случай;</w:t>
      </w:r>
    </w:p>
    <w:p w14:paraId="1E3217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Сгорело феррадо главного фрикциона — 2 случая;</w:t>
      </w:r>
    </w:p>
    <w:p w14:paraId="02C7BB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 Поломка стакана упора переднего правого балансира — 1 случай;</w:t>
      </w:r>
    </w:p>
    <w:p w14:paraId="4361FE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 Поломка стопора башни — 1 случай;</w:t>
      </w:r>
    </w:p>
    <w:p w14:paraId="2168CD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 Снарядная укладка боекомплекта ненадежна, вследствие расстегивания замков. Этот дефект приводит к выпадению снарядов.</w:t>
      </w:r>
    </w:p>
    <w:p w14:paraId="4CB18D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танки имели 20 случаев самоотвертывания и обрыва болтов, узлов трансмиссии и ходовой части.</w:t>
      </w:r>
    </w:p>
    <w:p w14:paraId="52870C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Указанные дефекты имеют место и при эксплуатации танков в войсковых частях и приводят к выходу из строя танка, еще до боя.</w:t>
      </w:r>
    </w:p>
    <w:p w14:paraId="21E749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Необходимо в кратчайшие сроки принять меры по устранению этих дефектов в производ</w:t>
      </w:r>
      <w:r w:rsidRPr="00070ADE">
        <w:rPr>
          <w:rFonts w:ascii="Times New Roman" w:hAnsi="Times New Roman"/>
          <w:color w:val="000000" w:themeColor="text1"/>
          <w:sz w:val="16"/>
          <w:szCs w:val="16"/>
        </w:rPr>
        <w:softHyphen/>
        <w:t>стве танков.</w:t>
      </w:r>
    </w:p>
    <w:p w14:paraId="40EF7B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Испытаниями установлено, что установка вооружения на серийных танках крайне неудовлет</w:t>
      </w:r>
      <w:r w:rsidRPr="00070ADE">
        <w:rPr>
          <w:rFonts w:ascii="Times New Roman" w:hAnsi="Times New Roman"/>
          <w:color w:val="000000" w:themeColor="text1"/>
          <w:sz w:val="16"/>
          <w:szCs w:val="16"/>
        </w:rPr>
        <w:softHyphen/>
        <w:t>ворительна, а именно:</w:t>
      </w:r>
    </w:p>
    <w:p w14:paraId="3E6E08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Недопустимо большие значения люфтов по горизонту, доходящих в отдельных случаях до 18-ти тысячных, вместо допустимых 5 тысячных;</w:t>
      </w:r>
    </w:p>
    <w:p w14:paraId="1E5353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Недопустимо большие усилия на рукоятках поворотных механизмов башен, доходящих до 30-35 кг на танках Т-34 и до 40 кг на тяжелых танках (при крене в 15°).</w:t>
      </w:r>
    </w:p>
    <w:p w14:paraId="7DB5FD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Чрезмерно большие усилия на педали спуска пушки, доходящие, как правило, на танках Т-34 до 40 кг.</w:t>
      </w:r>
    </w:p>
    <w:p w14:paraId="49CFFDE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Указанные недостатки установки вооружения снижают меткость огня, а при кренах танка даже при 5° делают невозможным ведение прицельного огня из пушки.</w:t>
      </w:r>
    </w:p>
    <w:p w14:paraId="4B4D51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7039A4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выхода Постановления ГОКО №3092с качество танков улучшилось, однако, большой % танков не выдерживают гарантийных испытаний, особенно по двигателям В-2. Требуется решитель</w:t>
      </w:r>
      <w:r w:rsidRPr="00070ADE">
        <w:rPr>
          <w:rFonts w:ascii="Times New Roman" w:hAnsi="Times New Roman"/>
          <w:color w:val="000000" w:themeColor="text1"/>
          <w:sz w:val="16"/>
          <w:szCs w:val="16"/>
        </w:rPr>
        <w:softHyphen/>
        <w:t>ное усиление внимания и дальнейшая работа заводов по улучшению качества производства.</w:t>
      </w:r>
    </w:p>
    <w:p w14:paraId="6E7258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Основными причинами низкого качества двигателей и наличия дефектов механизмов танков Т-34, имевших место на испытаниях, являются:</w:t>
      </w:r>
    </w:p>
    <w:p w14:paraId="33A6FA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Небрежность монтажа механизмов;</w:t>
      </w:r>
    </w:p>
    <w:p w14:paraId="27EE70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Отсутствие систематического контроля за качеством металла ответственных деталей;</w:t>
      </w:r>
    </w:p>
    <w:p w14:paraId="0154C1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Отсутствие стабильности технологии изготовления и термической обработки деталей;</w:t>
      </w:r>
    </w:p>
    <w:p w14:paraId="2B9DC5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Низкое качество изготовления болтовых соединений.</w:t>
      </w:r>
    </w:p>
    <w:p w14:paraId="5EAAC7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дефекты танков Т-34 и двигателей могут быть изжиты в производстве более тщательным контролем ОТК заводов и устранением перечисленных причин.</w:t>
      </w:r>
    </w:p>
    <w:p w14:paraId="58C3B2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Дефекты тяжелых танков могут быть устранены, главным образом, путем улучшения качества изготовления и монтажа отдельных узлов и агрегатов и частично, конструктивной доработки отдель</w:t>
      </w:r>
      <w:r w:rsidRPr="00070ADE">
        <w:rPr>
          <w:rFonts w:ascii="Times New Roman" w:hAnsi="Times New Roman"/>
          <w:color w:val="000000" w:themeColor="text1"/>
          <w:sz w:val="16"/>
          <w:szCs w:val="16"/>
        </w:rPr>
        <w:softHyphen/>
        <w:t>ных деталей и узлов.</w:t>
      </w:r>
    </w:p>
    <w:p w14:paraId="66B089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 самоходным артустановкам</w:t>
      </w:r>
    </w:p>
    <w:p w14:paraId="1D9E3B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Испытанию были подвергнуты:</w:t>
      </w:r>
    </w:p>
    <w:p w14:paraId="5A583B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- 5 шт.</w:t>
      </w:r>
    </w:p>
    <w:p w14:paraId="05E5BF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- 4 шт.</w:t>
      </w:r>
    </w:p>
    <w:p w14:paraId="59E79C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- 22 шт.</w:t>
      </w:r>
    </w:p>
    <w:p w14:paraId="25724D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31 шт.</w:t>
      </w:r>
    </w:p>
    <w:p w14:paraId="2D205B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Из них было испытано:</w:t>
      </w:r>
    </w:p>
    <w:p w14:paraId="4D5906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Пробегом на гарантийный километраж (1000 км)</w:t>
      </w:r>
    </w:p>
    <w:p w14:paraId="6B68D5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ИСУ-152 -2шт.</w:t>
      </w:r>
    </w:p>
    <w:p w14:paraId="2FCAD6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СУ-85 - 1 шт.</w:t>
      </w:r>
    </w:p>
    <w:p w14:paraId="13A0CC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СУ-76 - 6 шт.</w:t>
      </w:r>
    </w:p>
    <w:p w14:paraId="1AC0CF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9 шт. 2. Пробегом на 300 км (при заводах).</w:t>
      </w:r>
    </w:p>
    <w:p w14:paraId="71DDF9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ИСУ-152 -Зшт.</w:t>
      </w:r>
    </w:p>
    <w:p w14:paraId="6BBC10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СУ-85 - 3 шт.</w:t>
      </w:r>
    </w:p>
    <w:p w14:paraId="28DCB2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Всего: 6 шт. 3. Пробегом на 200 км (при заводах).</w:t>
      </w:r>
    </w:p>
    <w:p w14:paraId="35A898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СУ-76 -16 штук</w:t>
      </w:r>
    </w:p>
    <w:p w14:paraId="2001CE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самоходных арт. установок проводились в период с 8 по 24 февраля с.г. специальны</w:t>
      </w:r>
      <w:r w:rsidRPr="00070ADE">
        <w:rPr>
          <w:rFonts w:ascii="Times New Roman" w:hAnsi="Times New Roman"/>
          <w:color w:val="000000" w:themeColor="text1"/>
          <w:sz w:val="16"/>
          <w:szCs w:val="16"/>
        </w:rPr>
        <w:softHyphen/>
        <w:t>ми комиссиями по программе ГБТУ КА.</w:t>
      </w:r>
    </w:p>
    <w:p w14:paraId="006434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испытания СУ по заводам следующие:</w:t>
      </w:r>
    </w:p>
    <w:p w14:paraId="1F315E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ИСУ-152</w:t>
      </w:r>
    </w:p>
    <w:p w14:paraId="43FCDC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СУ-85</w:t>
      </w:r>
    </w:p>
    <w:p w14:paraId="56A388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СУ-76</w:t>
      </w:r>
    </w:p>
    <w:tbl>
      <w:tblPr>
        <w:tblW w:w="0" w:type="auto"/>
        <w:tblInd w:w="40" w:type="dxa"/>
        <w:tblLayout w:type="fixed"/>
        <w:tblCellMar>
          <w:left w:w="40" w:type="dxa"/>
          <w:right w:w="40" w:type="dxa"/>
        </w:tblCellMar>
        <w:tblLook w:val="0000" w:firstRow="0" w:lastRow="0" w:firstColumn="0" w:lastColumn="0" w:noHBand="0" w:noVBand="0"/>
      </w:tblPr>
      <w:tblGrid>
        <w:gridCol w:w="384"/>
        <w:gridCol w:w="2362"/>
        <w:gridCol w:w="883"/>
        <w:gridCol w:w="1181"/>
        <w:gridCol w:w="902"/>
        <w:gridCol w:w="902"/>
        <w:gridCol w:w="1258"/>
        <w:gridCol w:w="816"/>
        <w:gridCol w:w="826"/>
      </w:tblGrid>
      <w:tr w:rsidR="004D4663" w:rsidRPr="00070ADE" w14:paraId="2449054A" w14:textId="77777777">
        <w:trPr>
          <w:trHeight w:val="221"/>
        </w:trPr>
        <w:tc>
          <w:tcPr>
            <w:tcW w:w="384" w:type="dxa"/>
            <w:tcBorders>
              <w:top w:val="single" w:sz="6" w:space="0" w:color="auto"/>
              <w:left w:val="single" w:sz="6" w:space="0" w:color="auto"/>
              <w:bottom w:val="nil"/>
              <w:right w:val="single" w:sz="6" w:space="0" w:color="auto"/>
            </w:tcBorders>
          </w:tcPr>
          <w:p w14:paraId="5AA7DA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п/п</w:t>
            </w:r>
          </w:p>
          <w:p w14:paraId="7468EC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62" w:type="dxa"/>
            <w:tcBorders>
              <w:top w:val="single" w:sz="6" w:space="0" w:color="auto"/>
              <w:left w:val="single" w:sz="6" w:space="0" w:color="auto"/>
              <w:bottom w:val="nil"/>
              <w:right w:val="single" w:sz="6" w:space="0" w:color="auto"/>
            </w:tcBorders>
          </w:tcPr>
          <w:p w14:paraId="783944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изготовитель</w:t>
            </w:r>
          </w:p>
          <w:p w14:paraId="47FE22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nil"/>
              <w:right w:val="single" w:sz="6" w:space="0" w:color="auto"/>
            </w:tcBorders>
          </w:tcPr>
          <w:p w14:paraId="7B8245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СУ</w:t>
            </w:r>
          </w:p>
          <w:p w14:paraId="4FB83F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85" w:type="dxa"/>
            <w:gridSpan w:val="3"/>
            <w:tcBorders>
              <w:top w:val="single" w:sz="6" w:space="0" w:color="auto"/>
              <w:left w:val="single" w:sz="6" w:space="0" w:color="auto"/>
              <w:bottom w:val="single" w:sz="6" w:space="0" w:color="auto"/>
              <w:right w:val="single" w:sz="6" w:space="0" w:color="auto"/>
            </w:tcBorders>
          </w:tcPr>
          <w:p w14:paraId="6A61B9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Гарантийные испытания наЮОО км</w:t>
            </w:r>
          </w:p>
          <w:p w14:paraId="4225A4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00" w:type="dxa"/>
            <w:gridSpan w:val="3"/>
            <w:tcBorders>
              <w:top w:val="single" w:sz="6" w:space="0" w:color="auto"/>
              <w:left w:val="single" w:sz="6" w:space="0" w:color="auto"/>
              <w:bottom w:val="single" w:sz="6" w:space="0" w:color="auto"/>
              <w:right w:val="single" w:sz="6" w:space="0" w:color="auto"/>
            </w:tcBorders>
          </w:tcPr>
          <w:p w14:paraId="39280E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на 200-300 км</w:t>
            </w:r>
          </w:p>
          <w:p w14:paraId="50B755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F1154D4" w14:textId="77777777">
        <w:trPr>
          <w:trHeight w:val="221"/>
        </w:trPr>
        <w:tc>
          <w:tcPr>
            <w:tcW w:w="384" w:type="dxa"/>
            <w:tcBorders>
              <w:top w:val="nil"/>
              <w:left w:val="single" w:sz="6" w:space="0" w:color="auto"/>
              <w:bottom w:val="nil"/>
              <w:right w:val="single" w:sz="6" w:space="0" w:color="auto"/>
            </w:tcBorders>
          </w:tcPr>
          <w:p w14:paraId="205CB3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F6CDF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362" w:type="dxa"/>
            <w:tcBorders>
              <w:top w:val="nil"/>
              <w:left w:val="single" w:sz="6" w:space="0" w:color="auto"/>
              <w:bottom w:val="nil"/>
              <w:right w:val="single" w:sz="6" w:space="0" w:color="auto"/>
            </w:tcBorders>
          </w:tcPr>
          <w:p w14:paraId="2ED2B65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4AA96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nil"/>
              <w:left w:val="single" w:sz="6" w:space="0" w:color="auto"/>
              <w:bottom w:val="nil"/>
              <w:right w:val="single" w:sz="6" w:space="0" w:color="auto"/>
            </w:tcBorders>
          </w:tcPr>
          <w:p w14:paraId="7F6442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456CF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nil"/>
              <w:right w:val="single" w:sz="6" w:space="0" w:color="auto"/>
            </w:tcBorders>
          </w:tcPr>
          <w:p w14:paraId="516666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Кол-во СУ под</w:t>
            </w:r>
            <w:r w:rsidRPr="00070ADE">
              <w:rPr>
                <w:rFonts w:ascii="Times New Roman" w:hAnsi="Times New Roman"/>
                <w:color w:val="000000" w:themeColor="text1"/>
                <w:sz w:val="16"/>
                <w:szCs w:val="16"/>
              </w:rPr>
              <w:softHyphen/>
              <w:t>верг, испыт.</w:t>
            </w:r>
          </w:p>
          <w:p w14:paraId="608311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4" w:type="dxa"/>
            <w:gridSpan w:val="2"/>
            <w:tcBorders>
              <w:top w:val="single" w:sz="6" w:space="0" w:color="auto"/>
              <w:left w:val="single" w:sz="6" w:space="0" w:color="auto"/>
              <w:bottom w:val="single" w:sz="6" w:space="0" w:color="auto"/>
              <w:right w:val="single" w:sz="6" w:space="0" w:color="auto"/>
            </w:tcBorders>
          </w:tcPr>
          <w:p w14:paraId="1F4A0B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Выдержали испытания</w:t>
            </w:r>
          </w:p>
          <w:p w14:paraId="769750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nil"/>
              <w:right w:val="single" w:sz="6" w:space="0" w:color="auto"/>
            </w:tcBorders>
          </w:tcPr>
          <w:p w14:paraId="25EEDF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Кол-во СУ под</w:t>
            </w:r>
            <w:r w:rsidRPr="00070ADE">
              <w:rPr>
                <w:rFonts w:ascii="Times New Roman" w:hAnsi="Times New Roman"/>
                <w:color w:val="000000" w:themeColor="text1"/>
                <w:sz w:val="16"/>
                <w:szCs w:val="16"/>
              </w:rPr>
              <w:softHyphen/>
              <w:t>верг, испыт.</w:t>
            </w:r>
          </w:p>
          <w:p w14:paraId="58123D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4EC96C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Выдержали испытания</w:t>
            </w:r>
          </w:p>
          <w:p w14:paraId="204FC3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88BD080" w14:textId="77777777">
        <w:trPr>
          <w:trHeight w:val="211"/>
        </w:trPr>
        <w:tc>
          <w:tcPr>
            <w:tcW w:w="384" w:type="dxa"/>
            <w:tcBorders>
              <w:top w:val="nil"/>
              <w:left w:val="single" w:sz="6" w:space="0" w:color="auto"/>
              <w:bottom w:val="single" w:sz="6" w:space="0" w:color="auto"/>
              <w:right w:val="single" w:sz="6" w:space="0" w:color="auto"/>
            </w:tcBorders>
          </w:tcPr>
          <w:p w14:paraId="46F0123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2F7D9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362" w:type="dxa"/>
            <w:tcBorders>
              <w:top w:val="nil"/>
              <w:left w:val="single" w:sz="6" w:space="0" w:color="auto"/>
              <w:bottom w:val="single" w:sz="6" w:space="0" w:color="auto"/>
              <w:right w:val="single" w:sz="6" w:space="0" w:color="auto"/>
            </w:tcBorders>
          </w:tcPr>
          <w:p w14:paraId="7970C6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66C74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nil"/>
              <w:left w:val="single" w:sz="6" w:space="0" w:color="auto"/>
              <w:bottom w:val="single" w:sz="6" w:space="0" w:color="auto"/>
              <w:right w:val="single" w:sz="6" w:space="0" w:color="auto"/>
            </w:tcBorders>
          </w:tcPr>
          <w:p w14:paraId="39CC33A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9E660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nil"/>
              <w:left w:val="single" w:sz="6" w:space="0" w:color="auto"/>
              <w:bottom w:val="single" w:sz="6" w:space="0" w:color="auto"/>
              <w:right w:val="single" w:sz="6" w:space="0" w:color="auto"/>
            </w:tcBorders>
          </w:tcPr>
          <w:p w14:paraId="461B03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56391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7DC9E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К-во СУ</w:t>
            </w:r>
          </w:p>
          <w:p w14:paraId="55C866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415BA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0AB36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nil"/>
              <w:left w:val="single" w:sz="6" w:space="0" w:color="auto"/>
              <w:bottom w:val="single" w:sz="6" w:space="0" w:color="auto"/>
              <w:right w:val="single" w:sz="6" w:space="0" w:color="auto"/>
            </w:tcBorders>
          </w:tcPr>
          <w:p w14:paraId="5344FD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D0C3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1BE42C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К-во СУ</w:t>
            </w:r>
          </w:p>
          <w:p w14:paraId="1B86DA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F7D38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1F0A8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52EFC4C" w14:textId="77777777">
        <w:trPr>
          <w:trHeight w:val="230"/>
        </w:trPr>
        <w:tc>
          <w:tcPr>
            <w:tcW w:w="384" w:type="dxa"/>
            <w:tcBorders>
              <w:top w:val="single" w:sz="6" w:space="0" w:color="auto"/>
              <w:left w:val="single" w:sz="6" w:space="0" w:color="auto"/>
              <w:bottom w:val="single" w:sz="6" w:space="0" w:color="auto"/>
              <w:right w:val="single" w:sz="6" w:space="0" w:color="auto"/>
            </w:tcBorders>
          </w:tcPr>
          <w:p w14:paraId="16CA95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74DB97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276080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 з-д НКТП</w:t>
            </w:r>
          </w:p>
          <w:p w14:paraId="3C1FE6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ECA45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ИСУ-152</w:t>
            </w:r>
          </w:p>
          <w:p w14:paraId="20D1E2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EF6E3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507E0B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E92ED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35A75E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0D584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4A3E53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40E8D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4D5D5A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115ED2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7DAC59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7ED4A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66,6</w:t>
            </w:r>
          </w:p>
          <w:p w14:paraId="455126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D6DB105" w14:textId="77777777">
        <w:trPr>
          <w:trHeight w:val="230"/>
        </w:trPr>
        <w:tc>
          <w:tcPr>
            <w:tcW w:w="384" w:type="dxa"/>
            <w:tcBorders>
              <w:top w:val="single" w:sz="6" w:space="0" w:color="auto"/>
              <w:left w:val="single" w:sz="6" w:space="0" w:color="auto"/>
              <w:bottom w:val="single" w:sz="6" w:space="0" w:color="auto"/>
              <w:right w:val="single" w:sz="6" w:space="0" w:color="auto"/>
            </w:tcBorders>
          </w:tcPr>
          <w:p w14:paraId="0691D5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23B5FD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17D4CD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Уралмашзавод НКТП</w:t>
            </w:r>
          </w:p>
          <w:p w14:paraId="59E323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9CDA5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СУ-85</w:t>
            </w:r>
          </w:p>
          <w:p w14:paraId="6157B9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D743D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6F6204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E4AF1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3C1926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D817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1C05AC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20C4B4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35546B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2B583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087D0A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FFB81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66,6</w:t>
            </w:r>
          </w:p>
          <w:p w14:paraId="2E924B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0ABCCAA" w14:textId="77777777">
        <w:trPr>
          <w:trHeight w:val="230"/>
        </w:trPr>
        <w:tc>
          <w:tcPr>
            <w:tcW w:w="384" w:type="dxa"/>
            <w:tcBorders>
              <w:top w:val="single" w:sz="6" w:space="0" w:color="auto"/>
              <w:left w:val="single" w:sz="6" w:space="0" w:color="auto"/>
              <w:bottom w:val="single" w:sz="6" w:space="0" w:color="auto"/>
              <w:right w:val="single" w:sz="6" w:space="0" w:color="auto"/>
            </w:tcBorders>
          </w:tcPr>
          <w:p w14:paraId="342CD4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36EA8B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5EFAD2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38 НКТП</w:t>
            </w:r>
          </w:p>
          <w:p w14:paraId="577A1C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2A124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СУ-76</w:t>
            </w:r>
          </w:p>
          <w:p w14:paraId="7B0867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C86A9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252A97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E0862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52BA35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C9FC3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282774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CA680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6AA51A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AFAD7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643C24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2479F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40B7A7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9D00D26" w14:textId="77777777">
        <w:trPr>
          <w:trHeight w:val="230"/>
        </w:trPr>
        <w:tc>
          <w:tcPr>
            <w:tcW w:w="384" w:type="dxa"/>
            <w:tcBorders>
              <w:top w:val="single" w:sz="6" w:space="0" w:color="auto"/>
              <w:left w:val="single" w:sz="6" w:space="0" w:color="auto"/>
              <w:bottom w:val="single" w:sz="6" w:space="0" w:color="auto"/>
              <w:right w:val="single" w:sz="6" w:space="0" w:color="auto"/>
            </w:tcBorders>
          </w:tcPr>
          <w:p w14:paraId="39D7740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198AAA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77C088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ГАЗ им. Молотова НКСМ</w:t>
            </w:r>
          </w:p>
          <w:p w14:paraId="30436D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5CE9C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СУ-76</w:t>
            </w:r>
          </w:p>
          <w:p w14:paraId="0254ED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F14F1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3175B6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BEBF0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756685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9218B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16F318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6FA32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4764B1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D08FF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p w14:paraId="5D3AAC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F03BF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p w14:paraId="3DCA6D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536C9DB" w14:textId="77777777">
        <w:trPr>
          <w:trHeight w:val="230"/>
        </w:trPr>
        <w:tc>
          <w:tcPr>
            <w:tcW w:w="384" w:type="dxa"/>
            <w:tcBorders>
              <w:top w:val="single" w:sz="6" w:space="0" w:color="auto"/>
              <w:left w:val="single" w:sz="6" w:space="0" w:color="auto"/>
              <w:bottom w:val="single" w:sz="6" w:space="0" w:color="auto"/>
              <w:right w:val="single" w:sz="6" w:space="0" w:color="auto"/>
            </w:tcBorders>
          </w:tcPr>
          <w:p w14:paraId="5D952D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3EEDC8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432BF7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№40 НКСМ</w:t>
            </w:r>
          </w:p>
          <w:p w14:paraId="08D0CA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D06BB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СУ-76</w:t>
            </w:r>
          </w:p>
          <w:p w14:paraId="16475A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A5D5B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7A93F3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8E465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0D2537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7CE8C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79F3DF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BC8CA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010CB2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F3899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1973B1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67A62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201D75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070ADE" w14:paraId="2416F930"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41EA8F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95E3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373B98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045F74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D17B7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w:t>
            </w:r>
          </w:p>
          <w:p w14:paraId="71EFF55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DA31E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p w14:paraId="15DDF0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E5B7E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1720FA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73F87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w:t>
            </w:r>
          </w:p>
          <w:p w14:paraId="0B2D54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50889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w:t>
            </w:r>
          </w:p>
          <w:p w14:paraId="1395D0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57B93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p w14:paraId="20C3F8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9266C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w:t>
            </w:r>
          </w:p>
          <w:p w14:paraId="721ED6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0626B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2342"/>
        <w:gridCol w:w="1296"/>
        <w:gridCol w:w="1296"/>
        <w:gridCol w:w="1296"/>
        <w:gridCol w:w="1296"/>
        <w:gridCol w:w="1315"/>
      </w:tblGrid>
      <w:tr w:rsidR="004D4663" w:rsidRPr="00070ADE" w14:paraId="5A0D2207" w14:textId="77777777">
        <w:trPr>
          <w:trHeight w:val="384"/>
        </w:trPr>
        <w:tc>
          <w:tcPr>
            <w:tcW w:w="2342" w:type="dxa"/>
            <w:tcBorders>
              <w:top w:val="single" w:sz="6" w:space="0" w:color="auto"/>
              <w:left w:val="single" w:sz="6" w:space="0" w:color="auto"/>
              <w:bottom w:val="nil"/>
              <w:right w:val="single" w:sz="6" w:space="0" w:color="auto"/>
            </w:tcBorders>
          </w:tcPr>
          <w:p w14:paraId="7AC0D9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Периоды испытаний</w:t>
            </w:r>
          </w:p>
          <w:p w14:paraId="5361B2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5F71C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 № 38 СУ-76</w:t>
            </w:r>
          </w:p>
          <w:p w14:paraId="541498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353C9C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 № 40 СУ-76</w:t>
            </w:r>
          </w:p>
          <w:p w14:paraId="7151E4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DB5AA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ГАЗ СУ-76</w:t>
            </w:r>
          </w:p>
          <w:p w14:paraId="6D6D10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C15B3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УЗТМ СУ-85</w:t>
            </w:r>
          </w:p>
          <w:p w14:paraId="378B9C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1ECE4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 завод ИСУ-152.СУ-152</w:t>
            </w:r>
          </w:p>
          <w:p w14:paraId="77FA57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9BF0CE1" w14:textId="77777777">
        <w:trPr>
          <w:trHeight w:val="211"/>
        </w:trPr>
        <w:tc>
          <w:tcPr>
            <w:tcW w:w="2342" w:type="dxa"/>
            <w:tcBorders>
              <w:top w:val="nil"/>
              <w:left w:val="single" w:sz="6" w:space="0" w:color="auto"/>
              <w:bottom w:val="single" w:sz="6" w:space="0" w:color="auto"/>
              <w:right w:val="single" w:sz="6" w:space="0" w:color="auto"/>
            </w:tcBorders>
          </w:tcPr>
          <w:p w14:paraId="44DF572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71F99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499" w:type="dxa"/>
            <w:gridSpan w:val="5"/>
            <w:tcBorders>
              <w:top w:val="single" w:sz="6" w:space="0" w:color="auto"/>
              <w:left w:val="single" w:sz="6" w:space="0" w:color="auto"/>
              <w:bottom w:val="single" w:sz="6" w:space="0" w:color="auto"/>
              <w:right w:val="single" w:sz="6" w:space="0" w:color="auto"/>
            </w:tcBorders>
          </w:tcPr>
          <w:p w14:paraId="226232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СУ выдержавших испытания</w:t>
            </w:r>
          </w:p>
          <w:p w14:paraId="2C3B4B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747421D" w14:textId="77777777">
        <w:trPr>
          <w:trHeight w:val="230"/>
        </w:trPr>
        <w:tc>
          <w:tcPr>
            <w:tcW w:w="2342" w:type="dxa"/>
            <w:tcBorders>
              <w:top w:val="single" w:sz="6" w:space="0" w:color="auto"/>
              <w:left w:val="single" w:sz="6" w:space="0" w:color="auto"/>
              <w:bottom w:val="single" w:sz="6" w:space="0" w:color="auto"/>
              <w:right w:val="single" w:sz="6" w:space="0" w:color="auto"/>
            </w:tcBorders>
          </w:tcPr>
          <w:p w14:paraId="315DFB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август 1 943 г.</w:t>
            </w:r>
          </w:p>
          <w:p w14:paraId="7D7E20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AC1CB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7B4A8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58B225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549ED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025FE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C9522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505A33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2F69AC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418CB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464244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9A08730" w14:textId="77777777">
        <w:trPr>
          <w:trHeight w:val="230"/>
        </w:trPr>
        <w:tc>
          <w:tcPr>
            <w:tcW w:w="2342" w:type="dxa"/>
            <w:tcBorders>
              <w:top w:val="single" w:sz="6" w:space="0" w:color="auto"/>
              <w:left w:val="single" w:sz="6" w:space="0" w:color="auto"/>
              <w:bottom w:val="single" w:sz="6" w:space="0" w:color="auto"/>
              <w:right w:val="single" w:sz="6" w:space="0" w:color="auto"/>
            </w:tcBorders>
          </w:tcPr>
          <w:p w14:paraId="03C047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сентябрь 1943 г.</w:t>
            </w:r>
          </w:p>
          <w:p w14:paraId="028F41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CC888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41A2D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3B5379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C6281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3A0755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66799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F7A2A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5CAA77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12BC1A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54BD7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F1A8C30" w14:textId="77777777">
        <w:trPr>
          <w:trHeight w:val="230"/>
        </w:trPr>
        <w:tc>
          <w:tcPr>
            <w:tcW w:w="2342" w:type="dxa"/>
            <w:tcBorders>
              <w:top w:val="single" w:sz="6" w:space="0" w:color="auto"/>
              <w:left w:val="single" w:sz="6" w:space="0" w:color="auto"/>
              <w:bottom w:val="single" w:sz="6" w:space="0" w:color="auto"/>
              <w:right w:val="single" w:sz="6" w:space="0" w:color="auto"/>
            </w:tcBorders>
          </w:tcPr>
          <w:p w14:paraId="7E6F1D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октябрь 1943 г.</w:t>
            </w:r>
          </w:p>
          <w:p w14:paraId="07C1C7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300CED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7B0125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610B6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7A4457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2AD66A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ECE48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ACC84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22FFE3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4DD878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49F52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1230962" w14:textId="77777777">
        <w:trPr>
          <w:trHeight w:val="230"/>
        </w:trPr>
        <w:tc>
          <w:tcPr>
            <w:tcW w:w="2342" w:type="dxa"/>
            <w:tcBorders>
              <w:top w:val="single" w:sz="6" w:space="0" w:color="auto"/>
              <w:left w:val="single" w:sz="6" w:space="0" w:color="auto"/>
              <w:bottom w:val="single" w:sz="6" w:space="0" w:color="auto"/>
              <w:right w:val="single" w:sz="6" w:space="0" w:color="auto"/>
            </w:tcBorders>
          </w:tcPr>
          <w:p w14:paraId="68810F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ноябрь 1943 г.</w:t>
            </w:r>
          </w:p>
          <w:p w14:paraId="3A459A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1B4CCB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C25CF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1914C2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3E222E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061E4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06879D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1BAB54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16C3EA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74FA06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6E2AD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F9F1229" w14:textId="77777777">
        <w:trPr>
          <w:trHeight w:val="230"/>
        </w:trPr>
        <w:tc>
          <w:tcPr>
            <w:tcW w:w="2342" w:type="dxa"/>
            <w:tcBorders>
              <w:top w:val="single" w:sz="6" w:space="0" w:color="auto"/>
              <w:left w:val="single" w:sz="6" w:space="0" w:color="auto"/>
              <w:bottom w:val="single" w:sz="6" w:space="0" w:color="auto"/>
              <w:right w:val="single" w:sz="6" w:space="0" w:color="auto"/>
            </w:tcBorders>
          </w:tcPr>
          <w:p w14:paraId="282BBA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 1943 г.</w:t>
            </w:r>
          </w:p>
          <w:p w14:paraId="30A1D8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C0E73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617486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E485F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977CD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141018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4882FB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3E611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0C298F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318117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0718F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798E151" w14:textId="77777777">
        <w:trPr>
          <w:trHeight w:val="250"/>
        </w:trPr>
        <w:tc>
          <w:tcPr>
            <w:tcW w:w="2342" w:type="dxa"/>
            <w:tcBorders>
              <w:top w:val="single" w:sz="6" w:space="0" w:color="auto"/>
              <w:left w:val="single" w:sz="6" w:space="0" w:color="auto"/>
              <w:bottom w:val="single" w:sz="6" w:space="0" w:color="auto"/>
              <w:right w:val="single" w:sz="6" w:space="0" w:color="auto"/>
            </w:tcBorders>
          </w:tcPr>
          <w:p w14:paraId="74889B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январь-февраль 1943 г.</w:t>
            </w:r>
          </w:p>
          <w:p w14:paraId="37C105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3021D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032519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161E6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63D208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BA313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p w14:paraId="0A3053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AFE01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w:t>
            </w:r>
          </w:p>
          <w:p w14:paraId="7D8C51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B106F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10898A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F08A0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испытаний приемно-сдаточными пробегами</w:t>
      </w:r>
    </w:p>
    <w:tbl>
      <w:tblPr>
        <w:tblW w:w="0" w:type="auto"/>
        <w:tblInd w:w="40" w:type="dxa"/>
        <w:tblLayout w:type="fixed"/>
        <w:tblCellMar>
          <w:left w:w="40" w:type="dxa"/>
          <w:right w:w="40" w:type="dxa"/>
        </w:tblCellMar>
        <w:tblLook w:val="0000" w:firstRow="0" w:lastRow="0" w:firstColumn="0" w:lastColumn="0" w:noHBand="0" w:noVBand="0"/>
      </w:tblPr>
      <w:tblGrid>
        <w:gridCol w:w="2179"/>
        <w:gridCol w:w="1238"/>
        <w:gridCol w:w="1229"/>
        <w:gridCol w:w="1238"/>
        <w:gridCol w:w="1229"/>
        <w:gridCol w:w="1258"/>
      </w:tblGrid>
      <w:tr w:rsidR="004D4663" w:rsidRPr="00070ADE" w14:paraId="246F6285" w14:textId="77777777">
        <w:trPr>
          <w:trHeight w:val="230"/>
        </w:trPr>
        <w:tc>
          <w:tcPr>
            <w:tcW w:w="2179" w:type="dxa"/>
            <w:tcBorders>
              <w:top w:val="single" w:sz="6" w:space="0" w:color="auto"/>
              <w:left w:val="single" w:sz="6" w:space="0" w:color="auto"/>
              <w:bottom w:val="nil"/>
              <w:right w:val="single" w:sz="6" w:space="0" w:color="auto"/>
            </w:tcBorders>
          </w:tcPr>
          <w:p w14:paraId="58F641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Периоды приемо-сдаточных пробегов</w:t>
            </w:r>
          </w:p>
          <w:p w14:paraId="7A370E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92" w:type="dxa"/>
            <w:gridSpan w:val="5"/>
            <w:tcBorders>
              <w:top w:val="single" w:sz="6" w:space="0" w:color="auto"/>
              <w:left w:val="single" w:sz="6" w:space="0" w:color="auto"/>
              <w:bottom w:val="single" w:sz="6" w:space="0" w:color="auto"/>
              <w:right w:val="single" w:sz="6" w:space="0" w:color="auto"/>
            </w:tcBorders>
          </w:tcPr>
          <w:p w14:paraId="2D2CF8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Заводы - изготовители</w:t>
            </w:r>
          </w:p>
          <w:p w14:paraId="3140F7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A993E97" w14:textId="77777777">
        <w:trPr>
          <w:trHeight w:val="211"/>
        </w:trPr>
        <w:tc>
          <w:tcPr>
            <w:tcW w:w="2179" w:type="dxa"/>
            <w:tcBorders>
              <w:top w:val="nil"/>
              <w:left w:val="single" w:sz="6" w:space="0" w:color="auto"/>
              <w:bottom w:val="nil"/>
              <w:right w:val="single" w:sz="6" w:space="0" w:color="auto"/>
            </w:tcBorders>
          </w:tcPr>
          <w:p w14:paraId="602343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3D35F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192" w:type="dxa"/>
            <w:gridSpan w:val="5"/>
            <w:tcBorders>
              <w:top w:val="single" w:sz="6" w:space="0" w:color="auto"/>
              <w:left w:val="single" w:sz="6" w:space="0" w:color="auto"/>
              <w:bottom w:val="single" w:sz="6" w:space="0" w:color="auto"/>
              <w:right w:val="single" w:sz="6" w:space="0" w:color="auto"/>
            </w:tcBorders>
          </w:tcPr>
          <w:p w14:paraId="1F0CE7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СУ-76 СУ-85 | СУ-152иИСУ-152</w:t>
            </w:r>
          </w:p>
          <w:p w14:paraId="4D1BB2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13A8C85" w14:textId="77777777">
        <w:trPr>
          <w:trHeight w:val="211"/>
        </w:trPr>
        <w:tc>
          <w:tcPr>
            <w:tcW w:w="2179" w:type="dxa"/>
            <w:tcBorders>
              <w:top w:val="nil"/>
              <w:left w:val="single" w:sz="6" w:space="0" w:color="auto"/>
              <w:bottom w:val="nil"/>
              <w:right w:val="single" w:sz="6" w:space="0" w:color="auto"/>
            </w:tcBorders>
          </w:tcPr>
          <w:p w14:paraId="240300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2415E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nil"/>
            </w:tcBorders>
          </w:tcPr>
          <w:p w14:paraId="40C7EC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 №38</w:t>
            </w:r>
          </w:p>
          <w:p w14:paraId="50C99F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nil"/>
              <w:bottom w:val="single" w:sz="6" w:space="0" w:color="auto"/>
              <w:right w:val="nil"/>
            </w:tcBorders>
          </w:tcPr>
          <w:p w14:paraId="61F055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 №40</w:t>
            </w:r>
          </w:p>
          <w:p w14:paraId="5C0894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nil"/>
              <w:bottom w:val="single" w:sz="6" w:space="0" w:color="auto"/>
              <w:right w:val="nil"/>
            </w:tcBorders>
          </w:tcPr>
          <w:p w14:paraId="503D79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ГАЗ</w:t>
            </w:r>
          </w:p>
          <w:p w14:paraId="6175D6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nil"/>
              <w:bottom w:val="single" w:sz="6" w:space="0" w:color="auto"/>
              <w:right w:val="nil"/>
            </w:tcBorders>
          </w:tcPr>
          <w:p w14:paraId="00C34A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УЗТМ</w:t>
            </w:r>
          </w:p>
          <w:p w14:paraId="5F0128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nil"/>
              <w:bottom w:val="single" w:sz="6" w:space="0" w:color="auto"/>
              <w:right w:val="single" w:sz="6" w:space="0" w:color="auto"/>
            </w:tcBorders>
          </w:tcPr>
          <w:p w14:paraId="4A6AE2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 завод</w:t>
            </w:r>
          </w:p>
          <w:p w14:paraId="018D9F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3B238FD" w14:textId="77777777">
        <w:trPr>
          <w:trHeight w:val="221"/>
        </w:trPr>
        <w:tc>
          <w:tcPr>
            <w:tcW w:w="2179" w:type="dxa"/>
            <w:tcBorders>
              <w:top w:val="nil"/>
              <w:left w:val="single" w:sz="6" w:space="0" w:color="auto"/>
              <w:bottom w:val="single" w:sz="6" w:space="0" w:color="auto"/>
              <w:right w:val="single" w:sz="6" w:space="0" w:color="auto"/>
            </w:tcBorders>
          </w:tcPr>
          <w:p w14:paraId="2E2D9C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6E2DC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6192" w:type="dxa"/>
            <w:gridSpan w:val="5"/>
            <w:tcBorders>
              <w:top w:val="single" w:sz="6" w:space="0" w:color="auto"/>
              <w:left w:val="single" w:sz="6" w:space="0" w:color="auto"/>
              <w:bottom w:val="single" w:sz="6" w:space="0" w:color="auto"/>
              <w:right w:val="single" w:sz="6" w:space="0" w:color="auto"/>
            </w:tcBorders>
          </w:tcPr>
          <w:p w14:paraId="683241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СУ принятых после первого приемо-сдаточного пробега.</w:t>
            </w:r>
          </w:p>
          <w:p w14:paraId="6AFE2A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9FC368C" w14:textId="77777777">
        <w:trPr>
          <w:trHeight w:val="230"/>
        </w:trPr>
        <w:tc>
          <w:tcPr>
            <w:tcW w:w="2179" w:type="dxa"/>
            <w:tcBorders>
              <w:top w:val="single" w:sz="6" w:space="0" w:color="auto"/>
              <w:left w:val="single" w:sz="6" w:space="0" w:color="auto"/>
              <w:bottom w:val="single" w:sz="6" w:space="0" w:color="auto"/>
              <w:right w:val="single" w:sz="6" w:space="0" w:color="auto"/>
            </w:tcBorders>
          </w:tcPr>
          <w:p w14:paraId="574101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квартал 1943 г.</w:t>
            </w:r>
          </w:p>
          <w:p w14:paraId="73DE93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CDE7D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w:t>
            </w:r>
          </w:p>
          <w:p w14:paraId="3E727F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980F4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w:t>
            </w:r>
          </w:p>
          <w:p w14:paraId="732E10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93ED7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AEAC6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6BD741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86</w:t>
            </w:r>
          </w:p>
          <w:p w14:paraId="3C0B4E0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8BCD7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w:t>
            </w:r>
          </w:p>
          <w:p w14:paraId="1FB0BA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C075E8C" w14:textId="77777777">
        <w:trPr>
          <w:trHeight w:val="230"/>
        </w:trPr>
        <w:tc>
          <w:tcPr>
            <w:tcW w:w="2179" w:type="dxa"/>
            <w:tcBorders>
              <w:top w:val="single" w:sz="6" w:space="0" w:color="auto"/>
              <w:left w:val="single" w:sz="6" w:space="0" w:color="auto"/>
              <w:bottom w:val="single" w:sz="6" w:space="0" w:color="auto"/>
              <w:right w:val="single" w:sz="6" w:space="0" w:color="auto"/>
            </w:tcBorders>
          </w:tcPr>
          <w:p w14:paraId="3BC589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IV квартал 1943 г.</w:t>
            </w:r>
          </w:p>
          <w:p w14:paraId="243507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16E17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w:t>
            </w:r>
          </w:p>
          <w:p w14:paraId="17803E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2DEBE0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p w14:paraId="4D15C9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7DB1A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w:t>
            </w:r>
          </w:p>
          <w:p w14:paraId="0B957E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012DEB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w:t>
            </w:r>
          </w:p>
          <w:p w14:paraId="59B9A2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18D98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w:t>
            </w:r>
          </w:p>
          <w:p w14:paraId="70118A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AC234EA" w14:textId="77777777">
        <w:trPr>
          <w:trHeight w:val="221"/>
        </w:trPr>
        <w:tc>
          <w:tcPr>
            <w:tcW w:w="2179" w:type="dxa"/>
            <w:tcBorders>
              <w:top w:val="single" w:sz="6" w:space="0" w:color="auto"/>
              <w:left w:val="single" w:sz="6" w:space="0" w:color="auto"/>
              <w:bottom w:val="single" w:sz="6" w:space="0" w:color="auto"/>
              <w:right w:val="single" w:sz="6" w:space="0" w:color="auto"/>
            </w:tcBorders>
          </w:tcPr>
          <w:p w14:paraId="71C30C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январь 1944 г.</w:t>
            </w:r>
          </w:p>
          <w:p w14:paraId="62D5D7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0AE57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w:t>
            </w:r>
          </w:p>
          <w:p w14:paraId="7B66B4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2E20FF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w:t>
            </w:r>
          </w:p>
          <w:p w14:paraId="43086D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55F13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w:t>
            </w:r>
          </w:p>
          <w:p w14:paraId="1B7E39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54683A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w:t>
            </w:r>
          </w:p>
          <w:p w14:paraId="3DAA54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A6BD1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w:t>
            </w:r>
          </w:p>
          <w:p w14:paraId="25618F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531BC4C" w14:textId="77777777">
        <w:trPr>
          <w:trHeight w:val="250"/>
        </w:trPr>
        <w:tc>
          <w:tcPr>
            <w:tcW w:w="2179" w:type="dxa"/>
            <w:tcBorders>
              <w:top w:val="single" w:sz="6" w:space="0" w:color="auto"/>
              <w:left w:val="single" w:sz="6" w:space="0" w:color="auto"/>
              <w:bottom w:val="single" w:sz="6" w:space="0" w:color="auto"/>
              <w:right w:val="single" w:sz="6" w:space="0" w:color="auto"/>
            </w:tcBorders>
          </w:tcPr>
          <w:p w14:paraId="7774CF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 1 944 г.</w:t>
            </w:r>
          </w:p>
          <w:p w14:paraId="574CEB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CE84D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w:t>
            </w:r>
          </w:p>
          <w:p w14:paraId="36E4EF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07D2E6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w:t>
            </w:r>
          </w:p>
          <w:p w14:paraId="40E36C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FD80C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w:t>
            </w:r>
          </w:p>
          <w:p w14:paraId="4E76DD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119ED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w:t>
            </w:r>
          </w:p>
          <w:p w14:paraId="1AA6E9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04A6A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w:t>
            </w:r>
          </w:p>
          <w:p w14:paraId="11EB91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0115F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 всех поломок и неисправностей, обнаруженных при гарантийных пробегах</w:t>
      </w:r>
    </w:p>
    <w:tbl>
      <w:tblPr>
        <w:tblW w:w="0" w:type="auto"/>
        <w:tblInd w:w="40" w:type="dxa"/>
        <w:tblLayout w:type="fixed"/>
        <w:tblCellMar>
          <w:left w:w="40" w:type="dxa"/>
          <w:right w:w="40" w:type="dxa"/>
        </w:tblCellMar>
        <w:tblLook w:val="0000" w:firstRow="0" w:lastRow="0" w:firstColumn="0" w:lastColumn="0" w:noHBand="0" w:noVBand="0"/>
      </w:tblPr>
      <w:tblGrid>
        <w:gridCol w:w="2093"/>
        <w:gridCol w:w="1094"/>
        <w:gridCol w:w="1094"/>
        <w:gridCol w:w="1094"/>
        <w:gridCol w:w="1094"/>
        <w:gridCol w:w="1114"/>
      </w:tblGrid>
      <w:tr w:rsidR="004D4663" w:rsidRPr="00070ADE" w14:paraId="1403DE34" w14:textId="77777777">
        <w:trPr>
          <w:trHeight w:val="278"/>
        </w:trPr>
        <w:tc>
          <w:tcPr>
            <w:tcW w:w="2093" w:type="dxa"/>
            <w:tcBorders>
              <w:top w:val="single" w:sz="6" w:space="0" w:color="auto"/>
              <w:left w:val="single" w:sz="6" w:space="0" w:color="auto"/>
              <w:bottom w:val="nil"/>
              <w:right w:val="single" w:sz="6" w:space="0" w:color="auto"/>
            </w:tcBorders>
          </w:tcPr>
          <w:p w14:paraId="257ABB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Периоды испытаний гаран</w:t>
            </w:r>
            <w:r w:rsidRPr="00070ADE">
              <w:rPr>
                <w:rFonts w:ascii="Times New Roman" w:hAnsi="Times New Roman"/>
                <w:color w:val="000000" w:themeColor="text1"/>
                <w:sz w:val="16"/>
                <w:szCs w:val="16"/>
              </w:rPr>
              <w:softHyphen/>
              <w:t>тийный пробег.</w:t>
            </w:r>
          </w:p>
          <w:p w14:paraId="7078AA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90" w:type="dxa"/>
            <w:gridSpan w:val="5"/>
            <w:tcBorders>
              <w:top w:val="single" w:sz="6" w:space="0" w:color="auto"/>
              <w:left w:val="single" w:sz="6" w:space="0" w:color="auto"/>
              <w:bottom w:val="single" w:sz="6" w:space="0" w:color="auto"/>
              <w:right w:val="single" w:sz="6" w:space="0" w:color="auto"/>
            </w:tcBorders>
          </w:tcPr>
          <w:p w14:paraId="6042C0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Заводы - изготовители</w:t>
            </w:r>
          </w:p>
          <w:p w14:paraId="7BD777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670F436" w14:textId="77777777">
        <w:trPr>
          <w:trHeight w:val="259"/>
        </w:trPr>
        <w:tc>
          <w:tcPr>
            <w:tcW w:w="2093" w:type="dxa"/>
            <w:tcBorders>
              <w:top w:val="nil"/>
              <w:left w:val="single" w:sz="6" w:space="0" w:color="auto"/>
              <w:bottom w:val="nil"/>
              <w:right w:val="single" w:sz="6" w:space="0" w:color="auto"/>
            </w:tcBorders>
          </w:tcPr>
          <w:p w14:paraId="7370373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3045B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nil"/>
            </w:tcBorders>
          </w:tcPr>
          <w:p w14:paraId="492CBD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 №38</w:t>
            </w:r>
          </w:p>
          <w:p w14:paraId="546614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nil"/>
              <w:bottom w:val="single" w:sz="6" w:space="0" w:color="auto"/>
              <w:right w:val="nil"/>
            </w:tcBorders>
          </w:tcPr>
          <w:p w14:paraId="6B24A6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 №40</w:t>
            </w:r>
          </w:p>
          <w:p w14:paraId="780924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nil"/>
              <w:bottom w:val="single" w:sz="6" w:space="0" w:color="auto"/>
              <w:right w:val="nil"/>
            </w:tcBorders>
          </w:tcPr>
          <w:p w14:paraId="11D7CB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ГАЗ</w:t>
            </w:r>
          </w:p>
          <w:p w14:paraId="1E96E9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nil"/>
              <w:bottom w:val="single" w:sz="6" w:space="0" w:color="auto"/>
              <w:right w:val="nil"/>
            </w:tcBorders>
          </w:tcPr>
          <w:p w14:paraId="1E8D88C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УЗТМ</w:t>
            </w:r>
          </w:p>
          <w:p w14:paraId="36C4F2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nil"/>
              <w:bottom w:val="single" w:sz="6" w:space="0" w:color="auto"/>
              <w:right w:val="single" w:sz="6" w:space="0" w:color="auto"/>
            </w:tcBorders>
          </w:tcPr>
          <w:p w14:paraId="3C8928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w:t>
            </w:r>
          </w:p>
          <w:p w14:paraId="74ECAB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F4D4455" w14:textId="77777777">
        <w:trPr>
          <w:trHeight w:val="259"/>
        </w:trPr>
        <w:tc>
          <w:tcPr>
            <w:tcW w:w="2093" w:type="dxa"/>
            <w:tcBorders>
              <w:top w:val="nil"/>
              <w:left w:val="single" w:sz="6" w:space="0" w:color="auto"/>
              <w:bottom w:val="single" w:sz="6" w:space="0" w:color="auto"/>
              <w:right w:val="single" w:sz="6" w:space="0" w:color="auto"/>
            </w:tcBorders>
          </w:tcPr>
          <w:p w14:paraId="26557B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85FA8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5490" w:type="dxa"/>
            <w:gridSpan w:val="5"/>
            <w:tcBorders>
              <w:top w:val="single" w:sz="6" w:space="0" w:color="auto"/>
              <w:left w:val="single" w:sz="6" w:space="0" w:color="auto"/>
              <w:bottom w:val="single" w:sz="6" w:space="0" w:color="auto"/>
              <w:right w:val="single" w:sz="6" w:space="0" w:color="auto"/>
            </w:tcBorders>
          </w:tcPr>
          <w:p w14:paraId="48D7AD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поломок</w:t>
            </w:r>
          </w:p>
          <w:p w14:paraId="151D47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D322F7D" w14:textId="77777777">
        <w:trPr>
          <w:trHeight w:val="278"/>
        </w:trPr>
        <w:tc>
          <w:tcPr>
            <w:tcW w:w="2093" w:type="dxa"/>
            <w:tcBorders>
              <w:top w:val="single" w:sz="6" w:space="0" w:color="auto"/>
              <w:left w:val="single" w:sz="6" w:space="0" w:color="auto"/>
              <w:bottom w:val="single" w:sz="6" w:space="0" w:color="auto"/>
              <w:right w:val="single" w:sz="6" w:space="0" w:color="auto"/>
            </w:tcBorders>
          </w:tcPr>
          <w:p w14:paraId="72433F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сентябрь 1943 г.</w:t>
            </w:r>
          </w:p>
          <w:p w14:paraId="18DE7A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2A06C6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0EC62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677A09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p w14:paraId="4FC594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69ECD3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D8C00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3EEF6B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1F188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A164C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474BA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80BE314" w14:textId="77777777">
        <w:trPr>
          <w:trHeight w:val="278"/>
        </w:trPr>
        <w:tc>
          <w:tcPr>
            <w:tcW w:w="2093" w:type="dxa"/>
            <w:tcBorders>
              <w:top w:val="single" w:sz="6" w:space="0" w:color="auto"/>
              <w:left w:val="single" w:sz="6" w:space="0" w:color="auto"/>
              <w:bottom w:val="single" w:sz="6" w:space="0" w:color="auto"/>
              <w:right w:val="single" w:sz="6" w:space="0" w:color="auto"/>
            </w:tcBorders>
          </w:tcPr>
          <w:p w14:paraId="0954C1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октябрь 1943 г.</w:t>
            </w:r>
          </w:p>
          <w:p w14:paraId="139E84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43583D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p w14:paraId="2B4014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544F73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708F1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7D2A6E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FD37E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4FA940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w:t>
            </w:r>
          </w:p>
          <w:p w14:paraId="2B1D6C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2CC2B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0DAFB0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9036519" w14:textId="77777777">
        <w:trPr>
          <w:trHeight w:val="278"/>
        </w:trPr>
        <w:tc>
          <w:tcPr>
            <w:tcW w:w="2093" w:type="dxa"/>
            <w:tcBorders>
              <w:top w:val="single" w:sz="6" w:space="0" w:color="auto"/>
              <w:left w:val="single" w:sz="6" w:space="0" w:color="auto"/>
              <w:bottom w:val="single" w:sz="6" w:space="0" w:color="auto"/>
              <w:right w:val="single" w:sz="6" w:space="0" w:color="auto"/>
            </w:tcBorders>
          </w:tcPr>
          <w:p w14:paraId="6B132C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ноябрь 1 943 г.</w:t>
            </w:r>
          </w:p>
          <w:p w14:paraId="59B0CA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6E4762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397D4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32CF6B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A5EAF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7D6F99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3D6C8A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080DAE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FE78B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40EB9C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9EC4A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92019EB" w14:textId="77777777">
        <w:trPr>
          <w:trHeight w:val="278"/>
        </w:trPr>
        <w:tc>
          <w:tcPr>
            <w:tcW w:w="2093" w:type="dxa"/>
            <w:tcBorders>
              <w:top w:val="single" w:sz="6" w:space="0" w:color="auto"/>
              <w:left w:val="single" w:sz="6" w:space="0" w:color="auto"/>
              <w:bottom w:val="single" w:sz="6" w:space="0" w:color="auto"/>
              <w:right w:val="single" w:sz="6" w:space="0" w:color="auto"/>
            </w:tcBorders>
          </w:tcPr>
          <w:p w14:paraId="424A6B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 1 943 г.</w:t>
            </w:r>
          </w:p>
          <w:p w14:paraId="3C131A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43DC5F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785658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239407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00FB93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4E5445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p w14:paraId="120289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066FE4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0D9F42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31BE3D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6A49B7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EBEA43C" w14:textId="77777777">
        <w:trPr>
          <w:trHeight w:val="278"/>
        </w:trPr>
        <w:tc>
          <w:tcPr>
            <w:tcW w:w="2093" w:type="dxa"/>
            <w:tcBorders>
              <w:top w:val="single" w:sz="6" w:space="0" w:color="auto"/>
              <w:left w:val="single" w:sz="6" w:space="0" w:color="auto"/>
              <w:bottom w:val="single" w:sz="6" w:space="0" w:color="auto"/>
              <w:right w:val="single" w:sz="6" w:space="0" w:color="auto"/>
            </w:tcBorders>
          </w:tcPr>
          <w:p w14:paraId="4F8F04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январь 1944 г.</w:t>
            </w:r>
          </w:p>
          <w:p w14:paraId="3CA951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46ACDE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0E3DF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70F6CF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77E1E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4C591D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11DE35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14B2EF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F9922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0DA42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70393B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66ABDD2" w14:textId="77777777">
        <w:trPr>
          <w:trHeight w:val="288"/>
        </w:trPr>
        <w:tc>
          <w:tcPr>
            <w:tcW w:w="2093" w:type="dxa"/>
            <w:tcBorders>
              <w:top w:val="single" w:sz="6" w:space="0" w:color="auto"/>
              <w:left w:val="single" w:sz="6" w:space="0" w:color="auto"/>
              <w:bottom w:val="single" w:sz="6" w:space="0" w:color="auto"/>
              <w:right w:val="single" w:sz="6" w:space="0" w:color="auto"/>
            </w:tcBorders>
          </w:tcPr>
          <w:p w14:paraId="52AF77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февраль 1944 г.</w:t>
            </w:r>
          </w:p>
          <w:p w14:paraId="308749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5119C1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p w14:paraId="64242D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5AFEB0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129</w:t>
            </w:r>
          </w:p>
          <w:p w14:paraId="77B59A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0CE693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w:t>
            </w:r>
          </w:p>
          <w:p w14:paraId="04B808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2332B1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p w14:paraId="6ADE48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6C8768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21CED2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800D3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прочерк (-) означает отсутствие испытаний машин.</w:t>
      </w:r>
    </w:p>
    <w:p w14:paraId="72B2D7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 поломок, по которым СУ считается невыдержавшими гарантийные испытания</w:t>
      </w:r>
    </w:p>
    <w:tbl>
      <w:tblPr>
        <w:tblW w:w="0" w:type="auto"/>
        <w:tblInd w:w="40" w:type="dxa"/>
        <w:tblLayout w:type="fixed"/>
        <w:tblCellMar>
          <w:left w:w="40" w:type="dxa"/>
          <w:right w:w="40" w:type="dxa"/>
        </w:tblCellMar>
        <w:tblLook w:val="0000" w:firstRow="0" w:lastRow="0" w:firstColumn="0" w:lastColumn="0" w:noHBand="0" w:noVBand="0"/>
      </w:tblPr>
      <w:tblGrid>
        <w:gridCol w:w="2102"/>
        <w:gridCol w:w="1114"/>
        <w:gridCol w:w="1114"/>
        <w:gridCol w:w="1114"/>
        <w:gridCol w:w="902"/>
        <w:gridCol w:w="1315"/>
      </w:tblGrid>
      <w:tr w:rsidR="004D4663" w:rsidRPr="00070ADE" w14:paraId="51E74C24" w14:textId="77777777">
        <w:trPr>
          <w:trHeight w:val="269"/>
        </w:trPr>
        <w:tc>
          <w:tcPr>
            <w:tcW w:w="2102" w:type="dxa"/>
            <w:tcBorders>
              <w:top w:val="single" w:sz="6" w:space="0" w:color="auto"/>
              <w:left w:val="single" w:sz="6" w:space="0" w:color="auto"/>
              <w:bottom w:val="nil"/>
              <w:right w:val="single" w:sz="6" w:space="0" w:color="auto"/>
            </w:tcBorders>
          </w:tcPr>
          <w:p w14:paraId="52059F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Периоды испытаний на гарантийный километраж</w:t>
            </w:r>
          </w:p>
          <w:p w14:paraId="3CB3EF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59" w:type="dxa"/>
            <w:gridSpan w:val="5"/>
            <w:tcBorders>
              <w:top w:val="single" w:sz="6" w:space="0" w:color="auto"/>
              <w:left w:val="single" w:sz="6" w:space="0" w:color="auto"/>
              <w:bottom w:val="single" w:sz="6" w:space="0" w:color="auto"/>
              <w:right w:val="single" w:sz="6" w:space="0" w:color="auto"/>
            </w:tcBorders>
          </w:tcPr>
          <w:p w14:paraId="5DEB33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Заводы изготовители и тип СУ</w:t>
            </w:r>
          </w:p>
          <w:p w14:paraId="233561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AA9D701" w14:textId="77777777">
        <w:trPr>
          <w:trHeight w:val="269"/>
        </w:trPr>
        <w:tc>
          <w:tcPr>
            <w:tcW w:w="2102" w:type="dxa"/>
            <w:tcBorders>
              <w:top w:val="nil"/>
              <w:left w:val="single" w:sz="6" w:space="0" w:color="auto"/>
              <w:bottom w:val="nil"/>
              <w:right w:val="single" w:sz="6" w:space="0" w:color="auto"/>
            </w:tcBorders>
          </w:tcPr>
          <w:p w14:paraId="3160EE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E9B19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342" w:type="dxa"/>
            <w:gridSpan w:val="3"/>
            <w:tcBorders>
              <w:top w:val="single" w:sz="6" w:space="0" w:color="auto"/>
              <w:left w:val="single" w:sz="6" w:space="0" w:color="auto"/>
              <w:bottom w:val="single" w:sz="6" w:space="0" w:color="auto"/>
              <w:right w:val="single" w:sz="6" w:space="0" w:color="auto"/>
            </w:tcBorders>
          </w:tcPr>
          <w:p w14:paraId="4F3ED2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СУ-76</w:t>
            </w:r>
          </w:p>
          <w:p w14:paraId="381A4E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nil"/>
              <w:right w:val="single" w:sz="6" w:space="0" w:color="auto"/>
            </w:tcBorders>
          </w:tcPr>
          <w:p w14:paraId="6435D3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СУ-85 УЗТМ</w:t>
            </w:r>
          </w:p>
          <w:p w14:paraId="000E86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nil"/>
              <w:right w:val="single" w:sz="6" w:space="0" w:color="auto"/>
            </w:tcBorders>
          </w:tcPr>
          <w:p w14:paraId="484AD0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СУ-152ИСУ-152 Кировский завод</w:t>
            </w:r>
          </w:p>
          <w:p w14:paraId="793E6B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66E2659" w14:textId="77777777">
        <w:trPr>
          <w:trHeight w:val="259"/>
        </w:trPr>
        <w:tc>
          <w:tcPr>
            <w:tcW w:w="2102" w:type="dxa"/>
            <w:tcBorders>
              <w:top w:val="nil"/>
              <w:left w:val="single" w:sz="6" w:space="0" w:color="auto"/>
              <w:bottom w:val="nil"/>
              <w:right w:val="single" w:sz="6" w:space="0" w:color="auto"/>
            </w:tcBorders>
          </w:tcPr>
          <w:p w14:paraId="10AA23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A2FDC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492D480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3-д №38</w:t>
            </w:r>
          </w:p>
          <w:p w14:paraId="6930BB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nil"/>
            </w:tcBorders>
          </w:tcPr>
          <w:p w14:paraId="0D8806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3-д №40</w:t>
            </w:r>
          </w:p>
          <w:p w14:paraId="367FA5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nil"/>
              <w:bottom w:val="single" w:sz="6" w:space="0" w:color="auto"/>
              <w:right w:val="single" w:sz="6" w:space="0" w:color="auto"/>
            </w:tcBorders>
          </w:tcPr>
          <w:p w14:paraId="59F502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ГАЗ</w:t>
            </w:r>
          </w:p>
          <w:p w14:paraId="2763CF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nil"/>
              <w:left w:val="single" w:sz="6" w:space="0" w:color="auto"/>
              <w:bottom w:val="single" w:sz="6" w:space="0" w:color="auto"/>
              <w:right w:val="single" w:sz="6" w:space="0" w:color="auto"/>
            </w:tcBorders>
          </w:tcPr>
          <w:p w14:paraId="3B25E0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2924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nil"/>
              <w:left w:val="single" w:sz="6" w:space="0" w:color="auto"/>
              <w:bottom w:val="single" w:sz="6" w:space="0" w:color="auto"/>
              <w:right w:val="single" w:sz="6" w:space="0" w:color="auto"/>
            </w:tcBorders>
          </w:tcPr>
          <w:p w14:paraId="405F23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F036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6C6F9DB" w14:textId="77777777">
        <w:trPr>
          <w:trHeight w:val="259"/>
        </w:trPr>
        <w:tc>
          <w:tcPr>
            <w:tcW w:w="2102" w:type="dxa"/>
            <w:tcBorders>
              <w:top w:val="nil"/>
              <w:left w:val="single" w:sz="6" w:space="0" w:color="auto"/>
              <w:bottom w:val="single" w:sz="6" w:space="0" w:color="auto"/>
              <w:right w:val="single" w:sz="6" w:space="0" w:color="auto"/>
            </w:tcBorders>
          </w:tcPr>
          <w:p w14:paraId="0AC1F1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D4F66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5559" w:type="dxa"/>
            <w:gridSpan w:val="5"/>
            <w:tcBorders>
              <w:top w:val="single" w:sz="6" w:space="0" w:color="auto"/>
              <w:left w:val="single" w:sz="6" w:space="0" w:color="auto"/>
              <w:bottom w:val="single" w:sz="6" w:space="0" w:color="auto"/>
              <w:right w:val="single" w:sz="6" w:space="0" w:color="auto"/>
            </w:tcBorders>
          </w:tcPr>
          <w:p w14:paraId="7A0A0A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поломок</w:t>
            </w:r>
          </w:p>
          <w:p w14:paraId="6E3B5F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8923859" w14:textId="77777777">
        <w:trPr>
          <w:trHeight w:val="278"/>
        </w:trPr>
        <w:tc>
          <w:tcPr>
            <w:tcW w:w="2102" w:type="dxa"/>
            <w:tcBorders>
              <w:top w:val="single" w:sz="6" w:space="0" w:color="auto"/>
              <w:left w:val="single" w:sz="6" w:space="0" w:color="auto"/>
              <w:bottom w:val="single" w:sz="6" w:space="0" w:color="auto"/>
              <w:right w:val="single" w:sz="6" w:space="0" w:color="auto"/>
            </w:tcBorders>
          </w:tcPr>
          <w:p w14:paraId="4A6C3C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сентябрь 1943 г.</w:t>
            </w:r>
          </w:p>
          <w:p w14:paraId="356809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734759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33904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0D6FCC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1503E3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512CF9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5740E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06CD4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A0F63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7B7611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B8F6E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F934E75" w14:textId="77777777">
        <w:trPr>
          <w:trHeight w:val="278"/>
        </w:trPr>
        <w:tc>
          <w:tcPr>
            <w:tcW w:w="2102" w:type="dxa"/>
            <w:tcBorders>
              <w:top w:val="single" w:sz="6" w:space="0" w:color="auto"/>
              <w:left w:val="single" w:sz="6" w:space="0" w:color="auto"/>
              <w:bottom w:val="single" w:sz="6" w:space="0" w:color="auto"/>
              <w:right w:val="single" w:sz="6" w:space="0" w:color="auto"/>
            </w:tcBorders>
          </w:tcPr>
          <w:p w14:paraId="2C888F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октябрь 1943 г.</w:t>
            </w:r>
          </w:p>
          <w:p w14:paraId="0DFC44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1E550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754D98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3CE94F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D9C78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56C603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58EE3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5AF9C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4D03A9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2079F0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010889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047B1F2" w14:textId="77777777">
        <w:trPr>
          <w:trHeight w:val="278"/>
        </w:trPr>
        <w:tc>
          <w:tcPr>
            <w:tcW w:w="2102" w:type="dxa"/>
            <w:tcBorders>
              <w:top w:val="single" w:sz="6" w:space="0" w:color="auto"/>
              <w:left w:val="single" w:sz="6" w:space="0" w:color="auto"/>
              <w:bottom w:val="single" w:sz="6" w:space="0" w:color="auto"/>
              <w:right w:val="single" w:sz="6" w:space="0" w:color="auto"/>
            </w:tcBorders>
          </w:tcPr>
          <w:p w14:paraId="1135A7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ноябрь 1 943 г.</w:t>
            </w:r>
          </w:p>
          <w:p w14:paraId="527581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00F80E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746F1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07BE10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18781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66922F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113EFA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81AC0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557ED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494223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945A7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5B3D967" w14:textId="77777777">
        <w:trPr>
          <w:trHeight w:val="269"/>
        </w:trPr>
        <w:tc>
          <w:tcPr>
            <w:tcW w:w="2102" w:type="dxa"/>
            <w:tcBorders>
              <w:top w:val="single" w:sz="6" w:space="0" w:color="auto"/>
              <w:left w:val="single" w:sz="6" w:space="0" w:color="auto"/>
              <w:bottom w:val="single" w:sz="6" w:space="0" w:color="auto"/>
              <w:right w:val="single" w:sz="6" w:space="0" w:color="auto"/>
            </w:tcBorders>
          </w:tcPr>
          <w:p w14:paraId="698267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 1943 г.</w:t>
            </w:r>
          </w:p>
          <w:p w14:paraId="4AB686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57492C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2D4B6F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41F70C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3DB374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883BD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6104B8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D16DD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r w:rsidRPr="00070ADE">
              <w:rPr>
                <w:rFonts w:ascii="Times New Roman" w:hAnsi="Times New Roman"/>
                <w:color w:val="000000" w:themeColor="text1"/>
                <w:sz w:val="16"/>
                <w:szCs w:val="16"/>
                <w:vertAlign w:val="superscript"/>
              </w:rPr>
              <w:t>Ч</w:t>
            </w:r>
            <w:r w:rsidRPr="00070ADE">
              <w:rPr>
                <w:rFonts w:ascii="Times New Roman" w:hAnsi="Times New Roman"/>
                <w:color w:val="000000" w:themeColor="text1"/>
                <w:sz w:val="16"/>
                <w:szCs w:val="16"/>
              </w:rPr>
              <w:t>&gt;</w:t>
            </w:r>
          </w:p>
          <w:p w14:paraId="414C1D2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2006E4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38022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6B474D4" w14:textId="77777777">
        <w:trPr>
          <w:trHeight w:val="278"/>
        </w:trPr>
        <w:tc>
          <w:tcPr>
            <w:tcW w:w="2102" w:type="dxa"/>
            <w:tcBorders>
              <w:top w:val="single" w:sz="6" w:space="0" w:color="auto"/>
              <w:left w:val="single" w:sz="6" w:space="0" w:color="auto"/>
              <w:bottom w:val="single" w:sz="6" w:space="0" w:color="auto"/>
              <w:right w:val="single" w:sz="6" w:space="0" w:color="auto"/>
            </w:tcBorders>
          </w:tcPr>
          <w:p w14:paraId="7FA809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январь 1944 г.</w:t>
            </w:r>
          </w:p>
          <w:p w14:paraId="6C7020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2491F9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F2599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307CC4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D9B33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061A58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3BC3F7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80876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7ABAD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02987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544F06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01FA745" w14:textId="77777777">
        <w:trPr>
          <w:trHeight w:val="298"/>
        </w:trPr>
        <w:tc>
          <w:tcPr>
            <w:tcW w:w="2102" w:type="dxa"/>
            <w:tcBorders>
              <w:top w:val="single" w:sz="6" w:space="0" w:color="auto"/>
              <w:left w:val="single" w:sz="6" w:space="0" w:color="auto"/>
              <w:bottom w:val="single" w:sz="6" w:space="0" w:color="auto"/>
              <w:right w:val="single" w:sz="6" w:space="0" w:color="auto"/>
            </w:tcBorders>
          </w:tcPr>
          <w:p w14:paraId="03F2DD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 1944 г.</w:t>
            </w:r>
          </w:p>
          <w:p w14:paraId="171830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15F7DF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614332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69FE43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p w14:paraId="5A7D7E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1B65F8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31FEE9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B54F2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4E0F5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654294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463F94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960AE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vertAlign w:val="superscript"/>
        </w:rPr>
        <w:t>х</w:t>
      </w:r>
      <w:r w:rsidRPr="00070ADE">
        <w:rPr>
          <w:rFonts w:ascii="Times New Roman" w:hAnsi="Times New Roman"/>
          <w:color w:val="000000" w:themeColor="text1"/>
          <w:sz w:val="16"/>
          <w:szCs w:val="16"/>
        </w:rPr>
        <w:t>' Кроме того, у СУ-85 выявлен увеличенный люфт в поворотном механизме пушек. Характер поломок в самоходных арт. установках прошедших гарантийные испытания в феврале месяце 1944 года на НИБТ полигоне следующий:</w:t>
      </w:r>
    </w:p>
    <w:p w14:paraId="7D1EB2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числа 5 шт. СУ-76 не выдержавших испытания вышли из строя по:</w:t>
      </w:r>
    </w:p>
    <w:p w14:paraId="1DBE7B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электрооборудованию - 1,</w:t>
      </w:r>
    </w:p>
    <w:p w14:paraId="2FA22D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трансмиссии - 2,</w:t>
      </w:r>
    </w:p>
    <w:p w14:paraId="7BAA9A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ходовой части - 2.</w:t>
      </w:r>
    </w:p>
    <w:p w14:paraId="5B02FE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Обе ИСУ-152 не выдержали испытания по ходовой части.</w:t>
      </w:r>
    </w:p>
    <w:p w14:paraId="1CFD75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испытании на 200 и 300 км не выдержали испытания:</w:t>
      </w:r>
    </w:p>
    <w:p w14:paraId="4285E2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СУ-76 (из 16 испытанных):</w:t>
      </w:r>
    </w:p>
    <w:p w14:paraId="25611B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1975AF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2. 1.</w:t>
      </w:r>
    </w:p>
    <w:p w14:paraId="52CBEB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бронекорпусу —</w:t>
      </w:r>
    </w:p>
    <w:p w14:paraId="7419C3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коробке перемены передач —</w:t>
      </w:r>
    </w:p>
    <w:p w14:paraId="1B7159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двигателю —</w:t>
      </w:r>
    </w:p>
    <w:p w14:paraId="6682DD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ИСУ-152 (из 3-х испытанных):</w:t>
      </w:r>
    </w:p>
    <w:p w14:paraId="458A00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двигателю и ходовой части —</w:t>
      </w:r>
    </w:p>
    <w:p w14:paraId="5A33E3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139A6D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Поломки механизмов прошедшие при гарантийных испытаниях (на 1000 км). Самоходная установка ИСУ-152.</w:t>
      </w:r>
    </w:p>
    <w:p w14:paraId="266B54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Ходовая часть — разрушение щеки кривошипа правого направляющего колеса (у одной СУ на 51 км у другой — на 165 км).</w:t>
      </w:r>
    </w:p>
    <w:p w14:paraId="7E92F5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Разрушение торсиона правого переднего опорного катка и проушины малой тормозной ленты — 1 случай.</w:t>
      </w:r>
    </w:p>
    <w:p w14:paraId="66E4CF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 попадание воды в цилиндры двигателя — 1 случай. Самоходная арт. установка СУ-76.</w:t>
      </w:r>
    </w:p>
    <w:p w14:paraId="72EC5D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Электрооборудование — поломка дистрибьютора, вследствие установки бракованной детали (нет заклепочного соединения).</w:t>
      </w:r>
    </w:p>
    <w:p w14:paraId="70C5BF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Трансмиссия — поломка чашки соединительной муфты, вследствие неправильной центровки двигателя и коробкой перемены передач и поломка хвостиков ведущей шестерни главной передачи.</w:t>
      </w:r>
    </w:p>
    <w:p w14:paraId="6D5821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Ходовая часть — поломка торсионного вала, вследствие пережога металла при нагреве перед высадкой концов.</w:t>
      </w:r>
    </w:p>
    <w:p w14:paraId="69176A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Поломки и дефекты самоходных арт. установок, происшедшие при испытании на 300 и 200 кило</w:t>
      </w:r>
      <w:r w:rsidRPr="00070ADE">
        <w:rPr>
          <w:rFonts w:ascii="Times New Roman" w:hAnsi="Times New Roman"/>
          <w:color w:val="000000" w:themeColor="text1"/>
          <w:sz w:val="16"/>
          <w:szCs w:val="16"/>
        </w:rPr>
        <w:softHyphen/>
        <w:t>метров.</w:t>
      </w:r>
    </w:p>
    <w:p w14:paraId="42580D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Самоходная арт. установка ИСУ-152.</w:t>
      </w:r>
    </w:p>
    <w:p w14:paraId="471975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Поломка кривошипа ленивца.</w:t>
      </w:r>
    </w:p>
    <w:p w14:paraId="36B837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Пробита прокладка головки блока двигателя.</w:t>
      </w:r>
    </w:p>
    <w:p w14:paraId="54398E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Складывание цементированного слоя шестерен задней передачи коробки перемены передач.</w:t>
      </w:r>
    </w:p>
    <w:p w14:paraId="3F2234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Разрушение сепаратора подшипника планетарного механизма поворота.</w:t>
      </w:r>
    </w:p>
    <w:p w14:paraId="1E3C1D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Ослабление гаек на ведущих валах редукторов.</w:t>
      </w:r>
    </w:p>
    <w:p w14:paraId="0339EB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Разбит подшипник первого левого опорного катка.</w:t>
      </w:r>
    </w:p>
    <w:p w14:paraId="601028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Ослабление крепления главного фрикциона.</w:t>
      </w:r>
    </w:p>
    <w:p w14:paraId="66FDAA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Самоходная арт. установка СУ-85.</w:t>
      </w:r>
    </w:p>
    <w:p w14:paraId="2C8831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 СУ-85 вышла из строя, вследствие подсоса воздуха в соединения АМ подводящего штуцера БНК, в результате чего мотор работал с перебоями и глох.</w:t>
      </w:r>
    </w:p>
    <w:p w14:paraId="7FCF2A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Самоходная арт. установка СУ-76.</w:t>
      </w:r>
    </w:p>
    <w:p w14:paraId="49A5E0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СУ-76 показали низкое качество коробок перемены передач, двигателей и электро</w:t>
      </w:r>
      <w:r w:rsidRPr="00070ADE">
        <w:rPr>
          <w:rFonts w:ascii="Times New Roman" w:hAnsi="Times New Roman"/>
          <w:color w:val="000000" w:themeColor="text1"/>
          <w:sz w:val="16"/>
          <w:szCs w:val="16"/>
        </w:rPr>
        <w:softHyphen/>
        <w:t>оборудования.</w:t>
      </w:r>
    </w:p>
    <w:p w14:paraId="7BA1A5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Дефекты монтажа вооружения</w:t>
      </w:r>
    </w:p>
    <w:p w14:paraId="034C74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ИСУ-152 - не заполнены до нормы противооткатные устройства гаубицы — пушки в резуль</w:t>
      </w:r>
      <w:r w:rsidRPr="00070ADE">
        <w:rPr>
          <w:rFonts w:ascii="Times New Roman" w:hAnsi="Times New Roman"/>
          <w:color w:val="000000" w:themeColor="text1"/>
          <w:sz w:val="16"/>
          <w:szCs w:val="16"/>
        </w:rPr>
        <w:softHyphen/>
        <w:t>тате чего сорвало указатель отката при выстреле.</w:t>
      </w:r>
    </w:p>
    <w:p w14:paraId="270C99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СУ-85 - увеличение усилий на маховиках механизмов наведения, вследствие разбалтывания системы при движении без стопора по-походному.</w:t>
      </w:r>
    </w:p>
    <w:p w14:paraId="29582D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36C4B4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Если по танкам после постановления ГОКО заметно улучшилось качество, то по самоходным артиллерийским установкам оно остается на прежнем уровне, особенно НКСМ, не предпринимает мер к улучшению производства СУ-76.</w:t>
      </w:r>
    </w:p>
    <w:p w14:paraId="3352F9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этого наибольшее количество дефектов оказалось в самоходных арт. установках, изготовленных заводами ГАЗ им. Молотова, №40 (СУ-76) и Кировского завода (ИСУ-152).</w:t>
      </w:r>
    </w:p>
    <w:p w14:paraId="114901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Основными причинами низкого качества СУ-76 оказались:</w:t>
      </w:r>
    </w:p>
    <w:p w14:paraId="38D355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низкое качество монтажа;</w:t>
      </w:r>
    </w:p>
    <w:p w14:paraId="1E9118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пропуск на сборку бракованных деталей;</w:t>
      </w:r>
    </w:p>
    <w:p w14:paraId="3F599F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низкое качество термообработки и сварки.</w:t>
      </w:r>
    </w:p>
    <w:p w14:paraId="6C418A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Основными причинами низкого качества ИСУ — 152 оказались:</w:t>
      </w:r>
    </w:p>
    <w:p w14:paraId="296CBF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дефекты в изготовлении деталей механизмов;</w:t>
      </w:r>
    </w:p>
    <w:p w14:paraId="4BEC22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конструктивная недоработка отдельных узлов;</w:t>
      </w:r>
    </w:p>
    <w:p w14:paraId="3CFD5B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отсутствие надлежащего контроля в производстве за качеством металла и сборкой арт. уста</w:t>
      </w:r>
      <w:r w:rsidRPr="00070ADE">
        <w:rPr>
          <w:rFonts w:ascii="Times New Roman" w:hAnsi="Times New Roman"/>
          <w:color w:val="000000" w:themeColor="text1"/>
          <w:sz w:val="16"/>
          <w:szCs w:val="16"/>
        </w:rPr>
        <w:softHyphen/>
        <w:t>новки.</w:t>
      </w:r>
    </w:p>
    <w:p w14:paraId="5EA8D8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поднятия качества самоходных арт. установок, необходимо обязать Наркоматы и заводы провести мероприятия по улучшению качества изготовления агрегатов и механизмов, конструктив</w:t>
      </w:r>
      <w:r w:rsidRPr="00070ADE">
        <w:rPr>
          <w:rFonts w:ascii="Times New Roman" w:hAnsi="Times New Roman"/>
          <w:color w:val="000000" w:themeColor="text1"/>
          <w:sz w:val="16"/>
          <w:szCs w:val="16"/>
        </w:rPr>
        <w:softHyphen/>
        <w:t>ной доработке слабых узлов, усилению контроля за качеством изготовления деталей и сборки СУ, а также по улучшению технологии производства.</w:t>
      </w:r>
    </w:p>
    <w:p w14:paraId="0E87D0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Вас поставить вопрос перед ГОКО о следующем:</w:t>
      </w:r>
    </w:p>
    <w:p w14:paraId="0B4CB7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 Обязать Народного комиссара танковой промышленности т. Малышева и Народного комис</w:t>
      </w:r>
      <w:r w:rsidRPr="00070ADE">
        <w:rPr>
          <w:rFonts w:ascii="Times New Roman" w:hAnsi="Times New Roman"/>
          <w:color w:val="000000" w:themeColor="text1"/>
          <w:sz w:val="16"/>
          <w:szCs w:val="16"/>
        </w:rPr>
        <w:softHyphen/>
        <w:t>сара среднего машиностроения т. Акопова:</w:t>
      </w:r>
    </w:p>
    <w:p w14:paraId="1928E0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привлечь к ответственности лиц, допускающих брак. Решительно взяться за улучшение каче</w:t>
      </w:r>
      <w:r w:rsidRPr="00070ADE">
        <w:rPr>
          <w:rFonts w:ascii="Times New Roman" w:hAnsi="Times New Roman"/>
          <w:color w:val="000000" w:themeColor="text1"/>
          <w:sz w:val="16"/>
          <w:szCs w:val="16"/>
        </w:rPr>
        <w:softHyphen/>
        <w:t>ства производства;</w:t>
      </w:r>
    </w:p>
    <w:p w14:paraId="502732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повысить качество изготовления и монтажа танков и самоходных арт. установок, особо обра</w:t>
      </w:r>
      <w:r w:rsidRPr="00070ADE">
        <w:rPr>
          <w:rFonts w:ascii="Times New Roman" w:hAnsi="Times New Roman"/>
          <w:color w:val="000000" w:themeColor="text1"/>
          <w:sz w:val="16"/>
          <w:szCs w:val="16"/>
        </w:rPr>
        <w:softHyphen/>
        <w:t>тив внимание на низкое качество дизель-моторов В-2 , двигателей ГАЗ-203 и коробок перемены передач СУ-76 поставляемых Миасским заводом;</w:t>
      </w:r>
    </w:p>
    <w:p w14:paraId="0AC191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создать, для ускорения восстановления танков, самоходных арт. установок, вышедших из строя по вине заводов изготовителей, при каждом фронтовом складе, в распоряжении главного инспектора Наркомата, рекламационный фонд запчастей и агрегатов.</w:t>
      </w:r>
    </w:p>
    <w:p w14:paraId="3F084F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Установить максимальный срок для восстановления рекламированного танка, самоходной арт. установки - 5 суток.</w:t>
      </w:r>
    </w:p>
    <w:p w14:paraId="3CD035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Восстановить, для танков и самоходных арт. установок гарантийный километраж 1500-2000 км, так как установленный гарантийный километраж 1000 км недостаточен и значительно сокраща</w:t>
      </w:r>
      <w:r w:rsidRPr="00070ADE">
        <w:rPr>
          <w:rFonts w:ascii="Times New Roman" w:hAnsi="Times New Roman"/>
          <w:color w:val="000000" w:themeColor="text1"/>
          <w:sz w:val="16"/>
          <w:szCs w:val="16"/>
        </w:rPr>
        <w:softHyphen/>
        <w:t>ет дальность действия танковых войск.</w:t>
      </w:r>
    </w:p>
    <w:p w14:paraId="1A94BB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 целью повышения ответственности за качество танков и самоходных арт. установок установить, что в том случае, когда танк и самоходная установка не выдерживает гарантийного испытания - они в план заводу не засчитываются, при этом все расходы по проведению испытания и стоимость машин относятся за счет завода. Завод-поставщик обязан в этом случае представить ГБТУ КА на гарантийные испытания следующие машины выпуска того же месяца.</w:t>
      </w:r>
    </w:p>
    <w:p w14:paraId="56F60A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Обязать НКТП (т. Малышева), НКСМ (т. Акопова) и директоров заводов, изготовить и сдать ГБТУ КА до 1.04.1944 г. танки и самоходные арт. установки взамен тех, которые не выдержали гаран</w:t>
      </w:r>
      <w:r w:rsidRPr="00070ADE">
        <w:rPr>
          <w:rFonts w:ascii="Times New Roman" w:hAnsi="Times New Roman"/>
          <w:color w:val="000000" w:themeColor="text1"/>
          <w:sz w:val="16"/>
          <w:szCs w:val="16"/>
        </w:rPr>
        <w:softHyphen/>
        <w:t>тийные испытания в I квартале 1944 года, а именно:</w:t>
      </w:r>
    </w:p>
    <w:p w14:paraId="38095E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№183 танк Т-34 - 1 шт.</w:t>
      </w:r>
    </w:p>
    <w:p w14:paraId="5A782A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№112 танк Т-34 - 1 шт.</w:t>
      </w:r>
    </w:p>
    <w:p w14:paraId="4EF226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№174 танк Т-34 -2шт.</w:t>
      </w:r>
    </w:p>
    <w:p w14:paraId="3AB1D3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 завод ИС-2 - 2 шт.</w:t>
      </w:r>
    </w:p>
    <w:p w14:paraId="52FD01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 самоходная арт. установка - 2 шт.</w:t>
      </w:r>
    </w:p>
    <w:p w14:paraId="4F2B04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№38 танк СУ-76 - 1 шт.</w:t>
      </w:r>
    </w:p>
    <w:p w14:paraId="4057FA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№40 танк СУ-76 - 2 шт.</w:t>
      </w:r>
    </w:p>
    <w:p w14:paraId="0A3FC6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ГАЗ танк СУ-76 - 2 шт.</w:t>
      </w:r>
    </w:p>
    <w:p w14:paraId="4BB8A5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ГБТУ КА генерал-лейтенант танковых войск Вершинин</w:t>
      </w:r>
    </w:p>
    <w:p w14:paraId="05A342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танкового управления ГБТУ КА генерал-майор инженерно-танковой службы Афонин</w:t>
      </w:r>
    </w:p>
    <w:p w14:paraId="634B15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управления самоходной артиллерии ГБТУ КА генерал-майор инженерно-танковой службы Алымов</w:t>
      </w:r>
    </w:p>
    <w:p w14:paraId="527557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11389. Д. 18. Л. 15-25. Подлинник (11403).</w:t>
      </w:r>
    </w:p>
    <w:p w14:paraId="7A9FD1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41FE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марта 1944 вышло РАСПОРЯЖЕНИЕ НАЧАЛЬНИКА УЭТ ГБТУ КА НАЧАЛЬНИКУ НИБТ ПОЛИГОНА О ПРОИЗВЕДЕНИИ ДОПОЛНИТЕЛЬНОГО ИСПЫТАНИЯ ГЛИНЫ ДЛЯ ОБМАЗКИ ТАНКОВ №152</w:t>
      </w:r>
    </w:p>
    <w:p w14:paraId="5ECA3C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произвести дополнительное испытание глины для обмазки танков на предмет стойкости и защиты машин, от действия зажигательных жидкостей. Заключение прошу представить к 1 апреля с.г.</w:t>
      </w:r>
    </w:p>
    <w:p w14:paraId="0F7F7D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УЭТ ГБТУ КА генерал-майор инженерно-танковой службы Печеникин</w:t>
      </w:r>
    </w:p>
    <w:p w14:paraId="290414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11362. Д. 112. Л. 17. Копия (11403).</w:t>
      </w:r>
    </w:p>
    <w:p w14:paraId="1CA2EC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5EDE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марта 1944 г. была подготовлена ДОКЛАДНАЯ ЗАПИСКА КОМАНДУЮЩЕГО БТ и МВ КА НАРОДНОМУ КОМИССАРУ ВНЕШНЕЙ ТОРГОВЛИ СССР А.И. МИКОЯНУ О ПОСТАВКАХ ИМПОРТНОЙ БРОНЕТЕХНИКИ №521388</w:t>
      </w:r>
    </w:p>
    <w:p w14:paraId="1F924C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данное время в Советский Союз поступают из-за границы импортные танки и самоходные артиллерийские установки следующих марок:</w:t>
      </w:r>
    </w:p>
    <w:p w14:paraId="4A990A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Американские танки М4А2.</w:t>
      </w:r>
    </w:p>
    <w:p w14:paraId="6C4002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Американские ремонтные танки Т-2, на шасси танка М-3 среднего.</w:t>
      </w:r>
    </w:p>
    <w:p w14:paraId="6E9AE9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Английские танки «Валентин» 3, 5, 7, и 10.</w:t>
      </w:r>
    </w:p>
    <w:p w14:paraId="47FD23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Американские самоходные установки М-10.</w:t>
      </w:r>
    </w:p>
    <w:p w14:paraId="553969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Общее количество ввозимых танков очень мало. По своим боевым качествам они уступают нашим танкам, особенно по броне и вооружению.</w:t>
      </w:r>
    </w:p>
    <w:p w14:paraId="167FFD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количество средних танков все уменьшается, в то время как количество легких тан</w:t>
      </w:r>
      <w:r w:rsidRPr="00070ADE">
        <w:rPr>
          <w:rFonts w:ascii="Times New Roman" w:hAnsi="Times New Roman"/>
          <w:color w:val="000000" w:themeColor="text1"/>
          <w:sz w:val="16"/>
          <w:szCs w:val="16"/>
        </w:rPr>
        <w:softHyphen/>
        <w:t>ков увеличивается.</w:t>
      </w:r>
    </w:p>
    <w:p w14:paraId="47207E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подтверждается следующими данными:</w:t>
      </w:r>
    </w:p>
    <w:p w14:paraId="44B2A3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 1942 году было ввезено:</w:t>
      </w:r>
    </w:p>
    <w:p w14:paraId="144A02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Легких танков - 55,4% Средних танков - 42,2% Тяжелых танков - 2,4% В 1943 году было ввезено:</w:t>
      </w:r>
    </w:p>
    <w:p w14:paraId="765BDB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Легких танков - 69,0%</w:t>
      </w:r>
    </w:p>
    <w:p w14:paraId="3CFED9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Средних танков - 25,3%</w:t>
      </w:r>
    </w:p>
    <w:p w14:paraId="17F6F7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Тяжелых танков - 5,7%</w:t>
      </w:r>
    </w:p>
    <w:p w14:paraId="787B01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Удельный вес тяжелых танков, в общем количестве поставок танков, является чрезвычайно малым.</w:t>
      </w:r>
    </w:p>
    <w:p w14:paraId="21E8BC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среднем в 1943 году мы получали ежемесячно около 250 танков, из них больше половины были легкие танки.</w:t>
      </w:r>
    </w:p>
    <w:p w14:paraId="7895E5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Учитывая вышеизложенное, прошу Вас поставить вопрос о ввозе из-за границы в Советский Союз во второй половине 1944 года следующих танков:</w:t>
      </w:r>
    </w:p>
    <w:p w14:paraId="29A3AA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Английских танков «Кромвелл» с 75-мм пушками и с дизель-моторами.</w:t>
      </w:r>
    </w:p>
    <w:p w14:paraId="06C116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Американских танков М4А2 с 75-мм пушками (модернизированных).</w:t>
      </w:r>
    </w:p>
    <w:p w14:paraId="3880D7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Английских танков «Валентин» 9-10 с 57-мм пушками (желательно «Валентин» 10).</w:t>
      </w:r>
    </w:p>
    <w:p w14:paraId="41E648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Наиболее современными из этих типов танков являются английские танки «Кромвель».</w:t>
      </w:r>
    </w:p>
    <w:p w14:paraId="3A7168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Поэтому, если англичане будут согласны дать нам эти танки в значительных количествах, то целесообразно соответственно отказаться от ввоза танков «Валентин» 9 и 10.</w:t>
      </w:r>
    </w:p>
    <w:p w14:paraId="2BC1DF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прошу Вас принять меры к выяснению производства более новых типов танков, главным образом, тяжелых и средних, и возможности их закупки.</w:t>
      </w:r>
    </w:p>
    <w:p w14:paraId="47A30B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Учитывая, что количество ввозимых в данное время танков недостаточно, необходимо получать их, начиная со второй половины 1944 года не менее, чем 1000 танков ежемесячно.</w:t>
      </w:r>
    </w:p>
    <w:p w14:paraId="54F11B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так же заказать следующее бронетанковое вооружение и имущество:</w:t>
      </w:r>
    </w:p>
    <w:p w14:paraId="40C4B9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Американских самоходных артиллерийских установок М-10 — 500 шт.</w:t>
      </w:r>
    </w:p>
    <w:p w14:paraId="5601D4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Американских бронетранспортеров М-2 — 1500шт.</w:t>
      </w:r>
    </w:p>
    <w:p w14:paraId="1F3036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Американских бронетранспортеров М-3 А1 — 1500шт.</w:t>
      </w:r>
    </w:p>
    <w:p w14:paraId="17A520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Американских мотоциклов (желательно с коляской) марки «Наг1еу-Оау1Й8оп» - 6000 шт.</w:t>
      </w:r>
    </w:p>
    <w:p w14:paraId="34C9C4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Американских специальных подвижных ремонтных мастерских, смонтированных на автома</w:t>
      </w:r>
      <w:r w:rsidRPr="00070ADE">
        <w:rPr>
          <w:rFonts w:ascii="Times New Roman" w:hAnsi="Times New Roman"/>
          <w:color w:val="000000" w:themeColor="text1"/>
          <w:sz w:val="16"/>
          <w:szCs w:val="16"/>
        </w:rPr>
        <w:softHyphen/>
        <w:t>шинах — 100 комплектов.</w:t>
      </w:r>
    </w:p>
    <w:p w14:paraId="3B915D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каждый комплект ремонтной мастерской входят следующие машины:</w:t>
      </w:r>
    </w:p>
    <w:p w14:paraId="52B5FE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Механическая мастерская М-16 «А» - 1</w:t>
      </w:r>
    </w:p>
    <w:p w14:paraId="2AE72F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Механическая мастерская М-16 «Б» - 1</w:t>
      </w:r>
    </w:p>
    <w:p w14:paraId="022068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Слесарно-механическая мастерская М-8 «А» - 1</w:t>
      </w:r>
    </w:p>
    <w:p w14:paraId="305942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Слесарно-механическая мастерская М-8 «В» - 1</w:t>
      </w:r>
    </w:p>
    <w:p w14:paraId="6B54F8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Кузнечно-сварочная мастерская М-12 - 1</w:t>
      </w:r>
    </w:p>
    <w:p w14:paraId="35DBC4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 Электроремонтная мастерская М-18 - 1</w:t>
      </w:r>
    </w:p>
    <w:p w14:paraId="4AFDD0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 Спецмашина с краном и лебедкой М-1 - 1 з) Спецмашина для перевозки и ремонта инструмента и приспособлений - 1</w:t>
      </w:r>
    </w:p>
    <w:p w14:paraId="0636FE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Американских транспортеров фирмы «О1апопс1» с 45 тонными прицепами фирмы «Койег-ТгаПег» - 500 шт.</w:t>
      </w:r>
    </w:p>
    <w:p w14:paraId="06E08E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Кранов, смонтированных на автомашине или тракторе, грузоподъемностью до 8 тонн — 50 шт.</w:t>
      </w:r>
    </w:p>
    <w:p w14:paraId="6FC471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Кранов, смонтированных на автомашине или тракторе, грузоподъемностью от 10 до 15 тонн — 50 шт.</w:t>
      </w:r>
    </w:p>
    <w:p w14:paraId="5E3B1C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случае затруднений в тоннаже при перевозке в Советский Союз танков, самоходных артил</w:t>
      </w:r>
      <w:r w:rsidRPr="00070ADE">
        <w:rPr>
          <w:rFonts w:ascii="Times New Roman" w:hAnsi="Times New Roman"/>
          <w:color w:val="000000" w:themeColor="text1"/>
          <w:sz w:val="16"/>
          <w:szCs w:val="16"/>
        </w:rPr>
        <w:softHyphen/>
        <w:t>лерийских установок, бронетранспортеров и другого бронетанкового вооружения — прошу учесть, что в первую очередь нам необходимо получать танки, даже если это будет связано с необходимос</w:t>
      </w:r>
      <w:r w:rsidRPr="00070ADE">
        <w:rPr>
          <w:rFonts w:ascii="Times New Roman" w:hAnsi="Times New Roman"/>
          <w:color w:val="000000" w:themeColor="text1"/>
          <w:sz w:val="16"/>
          <w:szCs w:val="16"/>
        </w:rPr>
        <w:softHyphen/>
        <w:t>тью отказаться от поставок всего остального бронетанкового вооружения и имущества.</w:t>
      </w:r>
    </w:p>
    <w:p w14:paraId="1CC4BE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ввоза всех остальных типов танков, самоходных артиллерийских установок и другого бронетан</w:t>
      </w:r>
      <w:r w:rsidRPr="00070ADE">
        <w:rPr>
          <w:rFonts w:ascii="Times New Roman" w:hAnsi="Times New Roman"/>
          <w:color w:val="000000" w:themeColor="text1"/>
          <w:sz w:val="16"/>
          <w:szCs w:val="16"/>
        </w:rPr>
        <w:softHyphen/>
        <w:t>кового вооружения (танков «Валентин» 3, 5, 7, ремонтных танков Т-2, СУ-57, бронетранспортеров МК-1 «Универсал», американских транспортеров с прицепами фирмы «Иео») — необходимо отказаться.</w:t>
      </w:r>
    </w:p>
    <w:p w14:paraId="42D3A2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БТ и МВ КА маршал бронетанковых войск Федоренко</w:t>
      </w:r>
    </w:p>
    <w:p w14:paraId="4C1F35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 военного совета генерал-лейтенант танковых войск Бирюков</w:t>
      </w:r>
    </w:p>
    <w:p w14:paraId="6459CD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ЦАМО. Ф. 38. Оп. 11389. Д. 18. Л. 14-14 об. Копия (11403).</w:t>
      </w:r>
    </w:p>
    <w:p w14:paraId="643F3A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8A4A1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марта 1944 г. вышел ПРИКАЗ КОМАНДУЮЩЕГО БТ и МВ КА О МЕРОПРИЯТИЯХ ПО УСТРАНЕНИЮ НЕДОСТАТКОВ В ЭКСПЛУАТАЦИИ ИНОСТРАННЫХ ТАН КОВ №041</w:t>
      </w:r>
    </w:p>
    <w:p w14:paraId="0EE221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мой приказ №0131 от 19.11.1943 г. о плохой эксплуатации американских танков в 134 танковом полку, в танковых механизированных частях и соединениях до сих пор продолжают иметь место частые случаи выхода из строя танков иностранных марок по техническим неисправностям.</w:t>
      </w:r>
    </w:p>
    <w:p w14:paraId="141AEF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Расследованием этих случаев установлено, что они являются следствием грубого нарушения правил эксплуатации и обслуживания танков, а также недостаточной технической подготовки офи</w:t>
      </w:r>
      <w:r w:rsidRPr="00070ADE">
        <w:rPr>
          <w:rFonts w:ascii="Times New Roman" w:hAnsi="Times New Roman"/>
          <w:color w:val="000000" w:themeColor="text1"/>
          <w:sz w:val="16"/>
          <w:szCs w:val="16"/>
        </w:rPr>
        <w:softHyphen/>
        <w:t>церского состава и танковых экипажей.</w:t>
      </w:r>
    </w:p>
    <w:p w14:paraId="685F09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Особенно плохо с эксплуатацией этих танков обстоит в 5 механизированном корпусе (командир корпуса генерал-лейтенант танковых войск Волков).</w:t>
      </w:r>
    </w:p>
    <w:p w14:paraId="210301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период с 14 января по 14 февраля с.г. в частях корпуса было зарегистрировано 16 аварий, из которых 10 случаев заклинивания поршней двигателей и 3 случая сгорания главных фрикционов танков М4-А2. При разгрузке танков М4-А2 в пункте формирования начальник эшелона капитан Понятовский из 27 учебного танкового полка допустил запуск и работу двигателей танков в течении 15-20 минут без воды в системах охлаждения двигателей, что привело к заклиниванию поршней. Помощники командиров бри</w:t>
      </w:r>
      <w:r w:rsidRPr="00070ADE">
        <w:rPr>
          <w:rFonts w:ascii="Times New Roman" w:hAnsi="Times New Roman"/>
          <w:color w:val="000000" w:themeColor="text1"/>
          <w:sz w:val="16"/>
          <w:szCs w:val="16"/>
        </w:rPr>
        <w:softHyphen/>
        <w:t>гад и полков по технической части разгрузкой танков не руководили, на разгрузке не присутствовали и, тем самым, этого грубейшего нарушения элементарных правил эксплуатации танков не предупредили. Одновременно из-за слабых практических навыков по обслуживанию танков у механиков-водителей, прибывших из 16 и 27 учебных танковых полков, и из-за отсутствия контроля за обслуживанием танков в 5 МК, имели место случаи размораживания рубашек блоков цилиндров двигателей.</w:t>
      </w:r>
    </w:p>
    <w:p w14:paraId="0B65E1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сколачивания корпуса его штаб и технический отдел не организовали технической подготовки с личным составом корпуса и не обеспечили изучения офицерским техническим соста</w:t>
      </w:r>
      <w:r w:rsidRPr="00070ADE">
        <w:rPr>
          <w:rFonts w:ascii="Times New Roman" w:hAnsi="Times New Roman"/>
          <w:color w:val="000000" w:themeColor="text1"/>
          <w:sz w:val="16"/>
          <w:szCs w:val="16"/>
        </w:rPr>
        <w:softHyphen/>
        <w:t>вом и ремонтниками материальной части и особенностей эксплуатации танка М4-А2.</w:t>
      </w:r>
    </w:p>
    <w:p w14:paraId="5E94A6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Помощник командира корпуса по технической части инженер-полковник Щербаков и помощ</w:t>
      </w:r>
      <w:r w:rsidRPr="00070ADE">
        <w:rPr>
          <w:rFonts w:ascii="Times New Roman" w:hAnsi="Times New Roman"/>
          <w:color w:val="000000" w:themeColor="text1"/>
          <w:sz w:val="16"/>
          <w:szCs w:val="16"/>
        </w:rPr>
        <w:softHyphen/>
        <w:t>ники командиров бригад и полков по технической части должной борьбы с аварийностью не вели, аварий не расследовали, а скрывали их и виновных к ответственности не привлекали, внесрочные донесения об авариях не представляли, работой технических контрольных бригад не руководили.</w:t>
      </w:r>
    </w:p>
    <w:p w14:paraId="07C84B1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5 МК допускалась замена прибывших, обученных на танках М4-А2 экипажей на экипажи, не знающие этого танка. Танки экипажам по актам не сдавались и запись о вводе танков в строй про</w:t>
      </w:r>
      <w:r w:rsidRPr="00070ADE">
        <w:rPr>
          <w:rFonts w:ascii="Times New Roman" w:hAnsi="Times New Roman"/>
          <w:color w:val="000000" w:themeColor="text1"/>
          <w:sz w:val="16"/>
          <w:szCs w:val="16"/>
        </w:rPr>
        <w:softHyphen/>
        <w:t>изводилась задним числом.</w:t>
      </w:r>
    </w:p>
    <w:p w14:paraId="29F4C5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выгрузке танков и совершении марша в район сосредоточения грубо нарушались требо</w:t>
      </w:r>
      <w:r w:rsidRPr="00070ADE">
        <w:rPr>
          <w:rFonts w:ascii="Times New Roman" w:hAnsi="Times New Roman"/>
          <w:color w:val="000000" w:themeColor="text1"/>
          <w:sz w:val="16"/>
          <w:szCs w:val="16"/>
        </w:rPr>
        <w:softHyphen/>
        <w:t>вания «Краткой инструкции по предупреждению выхода танков из строя» от 13.03.1943 г. и моего приказа №092с 1943 г.: не соблюдалась дисциплина марша, плохо были организованы службы регу</w:t>
      </w:r>
      <w:r w:rsidRPr="00070ADE">
        <w:rPr>
          <w:rFonts w:ascii="Times New Roman" w:hAnsi="Times New Roman"/>
          <w:color w:val="000000" w:themeColor="text1"/>
          <w:sz w:val="16"/>
          <w:szCs w:val="16"/>
        </w:rPr>
        <w:softHyphen/>
        <w:t>лирования и технического замыкания. Все это привело к попаданию танков в кюветы, к отставанию большого количества танков и к затоплению 4 танков М4-А2 при переправе через реку.</w:t>
      </w:r>
    </w:p>
    <w:p w14:paraId="2E4244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Помощник командира корпуса по технической части инженер-полковник Щербаков во время марша со всем составом технического отдела остался в районе формирования, перепоручив своему помощнику по ремонту и эксплуатации инженер - подполковнику Рябову руководство материально-техническим обеспечением марша корпуса.</w:t>
      </w:r>
    </w:p>
    <w:p w14:paraId="3F4657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Командир корпуса и командиры бригад никаких мер к предупреждению и устранению безоб</w:t>
      </w:r>
      <w:r w:rsidRPr="00070ADE">
        <w:rPr>
          <w:rFonts w:ascii="Times New Roman" w:hAnsi="Times New Roman"/>
          <w:color w:val="000000" w:themeColor="text1"/>
          <w:sz w:val="16"/>
          <w:szCs w:val="16"/>
        </w:rPr>
        <w:softHyphen/>
        <w:t>разных явлений в эксплуатации материальной части, имевших место в корпусе, не предприняли.</w:t>
      </w:r>
    </w:p>
    <w:p w14:paraId="08A69C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Приказываю:</w:t>
      </w:r>
    </w:p>
    <w:p w14:paraId="7ABE3A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Всему личному составу ВТ и МВ Красной Армии изучить и твердо знать «Краткую инструк</w:t>
      </w:r>
      <w:r w:rsidRPr="00070ADE">
        <w:rPr>
          <w:rFonts w:ascii="Times New Roman" w:hAnsi="Times New Roman"/>
          <w:color w:val="000000" w:themeColor="text1"/>
          <w:sz w:val="16"/>
          <w:szCs w:val="16"/>
        </w:rPr>
        <w:softHyphen/>
        <w:t>цию по предупреждению выхода танков из строя по техническим неисправностям» от 13.03.1943 г. и мои приказы №092с и №0131 1943 года. Командирам частей и соединений обеспечить строгое и неуклонное соблюдение требований инструкций и приказов в подчиненных частях.</w:t>
      </w:r>
    </w:p>
    <w:p w14:paraId="6EEA4E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Запретить отправку на фронт частей и соединений, а также маршевых рот (батарей), не закон</w:t>
      </w:r>
      <w:r w:rsidRPr="00070ADE">
        <w:rPr>
          <w:rFonts w:ascii="Times New Roman" w:hAnsi="Times New Roman"/>
          <w:color w:val="000000" w:themeColor="text1"/>
          <w:sz w:val="16"/>
          <w:szCs w:val="16"/>
        </w:rPr>
        <w:softHyphen/>
        <w:t>чивших установленной программы обучения.</w:t>
      </w:r>
    </w:p>
    <w:p w14:paraId="2DCDE8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Начальнику ГУФ и БП ВТ и МВ Красной Армии:</w:t>
      </w:r>
    </w:p>
    <w:p w14:paraId="4F54F4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установить систематический контроль за боевой подготовкой формируемых частей и соеди</w:t>
      </w:r>
      <w:r w:rsidRPr="00070ADE">
        <w:rPr>
          <w:rFonts w:ascii="Times New Roman" w:hAnsi="Times New Roman"/>
          <w:color w:val="000000" w:themeColor="text1"/>
          <w:sz w:val="16"/>
          <w:szCs w:val="16"/>
        </w:rPr>
        <w:softHyphen/>
        <w:t>нений и маршевых рот (батарей), не допускать отправки на фронт необученных и несколоченных подразделений, частей и соединений, докладывая мне о всех нарушениях этого требования;</w:t>
      </w:r>
    </w:p>
    <w:p w14:paraId="093618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 кратчайший срок улучшить качество подготовки офицерского, сержантского и рядового состава для танков иностранных марок;</w:t>
      </w:r>
    </w:p>
    <w:p w14:paraId="7B5942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не допускать назначения на танки механиков-водителей без присвоения установленной Приказом НКО №372 1942 г. квалификации.</w:t>
      </w:r>
    </w:p>
    <w:p w14:paraId="2A5DC6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Начальнику ГБТУ Красной Армии установить жесткий контроль за выполнением частями и сое</w:t>
      </w:r>
      <w:r w:rsidRPr="00070ADE">
        <w:rPr>
          <w:rFonts w:ascii="Times New Roman" w:hAnsi="Times New Roman"/>
          <w:color w:val="000000" w:themeColor="text1"/>
          <w:sz w:val="16"/>
          <w:szCs w:val="16"/>
        </w:rPr>
        <w:softHyphen/>
        <w:t>динениями наставлений, инструкций и приказов по эксплуатации материальной части, обратив особое внимание на подготовку помощников командиров по технической части рот, батальонов, полков, бригад и корпусов, особенно для частей и соединений, укомплектованных танками иностранных марок.</w:t>
      </w:r>
    </w:p>
    <w:p w14:paraId="6A9C7B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Обращаю внимание командира 5 МК генерал-лейтенанта танковых войск Волкова на слабую организацию службы технического обеспечения при разгрузке и совершении корпусом марша.</w:t>
      </w:r>
    </w:p>
    <w:p w14:paraId="102B3F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Отстраненного от должности помощника командира 5 МК по технической части инженер - пол</w:t>
      </w:r>
      <w:r w:rsidRPr="00070ADE">
        <w:rPr>
          <w:rFonts w:ascii="Times New Roman" w:hAnsi="Times New Roman"/>
          <w:color w:val="000000" w:themeColor="text1"/>
          <w:sz w:val="16"/>
          <w:szCs w:val="16"/>
        </w:rPr>
        <w:softHyphen/>
        <w:t>ковника Щербакова назначить с понижением.</w:t>
      </w:r>
    </w:p>
    <w:p w14:paraId="6622A9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Начальника эшелона, сопровождавшего танки в 5 МК из 27 УТП, капитана Понятовского за грубое нарушение правил эксплуатации танков арестовать на 15 суток домашним арестом с исполне</w:t>
      </w:r>
      <w:r w:rsidRPr="00070ADE">
        <w:rPr>
          <w:rFonts w:ascii="Times New Roman" w:hAnsi="Times New Roman"/>
          <w:color w:val="000000" w:themeColor="text1"/>
          <w:sz w:val="16"/>
          <w:szCs w:val="16"/>
        </w:rPr>
        <w:softHyphen/>
        <w:t>нием служебных обязанностей и удержанием 50% денежного содержания за каждые сутки ареста.</w:t>
      </w:r>
    </w:p>
    <w:p w14:paraId="5ACEDB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Командующему 6 танковой армии генерал-лейтенанту Кравченко проверить состояние экс</w:t>
      </w:r>
      <w:r w:rsidRPr="00070ADE">
        <w:rPr>
          <w:rFonts w:ascii="Times New Roman" w:hAnsi="Times New Roman"/>
          <w:color w:val="000000" w:themeColor="text1"/>
          <w:sz w:val="16"/>
          <w:szCs w:val="16"/>
        </w:rPr>
        <w:softHyphen/>
        <w:t>плуатации и обслуживание танков в частях и соединениях 5 МК в соответствии с требованиями настоящего приказа и к 25 апреля с.г. донести мне.</w:t>
      </w:r>
    </w:p>
    <w:p w14:paraId="4CD95B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ВТ и МВ Красной Армии маршал бронетанковых войск Федоренко</w:t>
      </w:r>
    </w:p>
    <w:p w14:paraId="49978C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 военного совета генерал-лейтенант танковых войск Бирюков</w:t>
      </w:r>
    </w:p>
    <w:p w14:paraId="55EA46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штаба ВТ и МВ Красной Армии генерал-майор танковых войск Салминов</w:t>
      </w:r>
    </w:p>
    <w:p w14:paraId="179CFC3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11369. Д. 257. Л. 42, 42 об. 43. Подлинник (11403).</w:t>
      </w:r>
    </w:p>
    <w:p w14:paraId="7C84DF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089198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76A41F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56E0A9"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24 марта</w:t>
      </w:r>
      <w:r w:rsidRPr="00070ADE">
        <w:rPr>
          <w:rFonts w:ascii="Times New Roman" w:hAnsi="Times New Roman"/>
          <w:color w:val="000000" w:themeColor="text1"/>
          <w:sz w:val="16"/>
          <w:szCs w:val="16"/>
        </w:rPr>
        <w:t xml:space="preserve"> в 1944 году оперативная сводка Совинформбюро:</w:t>
      </w:r>
    </w:p>
    <w:p w14:paraId="4CF56645"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24 марта северо-западнее города Тарнополь наши войска, успешно форсировав реку Серет, с боями продвигались вперёд и заняли более 30 населённых пунктов, в том числе крупные населённые пункты Звыжин, Манайюв, Тросьцянец, Лопушаны, Бялогловы, Бзовица, Нестеровица, Цебров, Анелювка и железнодорожную станцию Цебров. Наши войска перерезали железную и шоссейную дороги Тарнополь-Львов.</w:t>
      </w:r>
    </w:p>
    <w:p w14:paraId="7D614BB7"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продолжая успешно развивать наступление, за четыре дня наступательных боёв продвинулись вперёд от 60 до 100 километров, овладели городом и оперативно важным железнодорожным узлом Чертков, районнымицентрами Тарнопольской области — городом Гусятин, городом и железнодорожнымузлом Залещики на реке Днестр, городом и крупной железнодорожной станцией Тлусте, городом Струсов, а также с боями заняли более 400 других населённых пунктов, в том числе крупные населённые пункты Марьянка, Юзефовка, Ладычин, Варваринцы, Кобыловлоки, Ягельница, Дзвиняг, Шупарки, Езежаны, Пробужна, Великие Чарноконьце, Тлустеньке, Васильковцы, Чабаровка, Голенищево, Кузьминчик, Лесоводы, Кременная, Новоселки, Старое и Новое Поречье и железнодорожные станции Чабаровка, Васильковцы, Выгнанка, Ягельница, Ворвулинцы.</w:t>
      </w:r>
    </w:p>
    <w:p w14:paraId="18A2A5D7"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этих боях войсками 1-го Украинского фронта, по неполным данным, захвачены следующие трофеи: танков и самоходных орудий около 300, бронеавтомобилей и бронетранспортёров — 120, орудий разных калибров более 500, миномётов — 490, пулемётов — 760, автомашин более 5.000, 8 железнодорожных эшелонов с танками и другими военными грузами, складов разных — 30. Противник оставил на поле боя до 20.000 трупов солдат и офицеров. Захвачено в плен свыше 3.500 немецких солдат и офицеров.</w:t>
      </w:r>
    </w:p>
    <w:p w14:paraId="32C0F469"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Проскуровском направлении наши войска вели наступательные бои, в ходе которых овладели районным центром Каменец-Подольской области городом Меджибож, атакже с боями заняли более 40 других населённых пунктов, среди которых крупные населённые пункты Олешин, Заречье, Лезнево, Давидковцы, Пироговцы, Русановцы, Трибуховцы, Рудня, Войтовцы, Черниливцы. Наши войска вплотную подошли к городу Проскуров и завязали бои на окраинах города.</w:t>
      </w:r>
    </w:p>
    <w:p w14:paraId="2F6D28AD"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западу и югу от города Могилёв-Подольский наши войска, продолжая развивать наступление, овладели районным центром Черновицкой области Секуряны, районным центром Молдавской ССР Флорешты, а также с боями заняли более 50 других населённых пунктов, в том числе крупные населённые пункты Окница, Бырнова, Чернолеука, Корбу, Цауль, Михайлень, Пелиния, Куболта, Фрумушика, Гвоздова, Кошерница и железнодорожные станции София, Петрени, Пелиния. Наши войска вплотную подошли к городу Бельцы и завязали бои на его окраинах.</w:t>
      </w:r>
    </w:p>
    <w:p w14:paraId="09BE4819"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Гайворон наши войска с боями продвигались вперёд и овладели районным центром Молдавской ССР городом Каменка (на левом берегуДнестра), а также заняли более 20 других населённых пунктов, в том числе крупные населённые пункты Подойма, Загнитков, Писаревка, Шершенцы, Лабушная, Будеи, Смолянка, Саражинка.</w:t>
      </w:r>
    </w:p>
    <w:p w14:paraId="63E092FD"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после двухдневных упорных боёв, овладели городом и крупной железнодорожной станцией Вознесенск — сильным опорным пунктом противника в нижнем течении Южного Буга.</w:t>
      </w:r>
    </w:p>
    <w:p w14:paraId="3973DEAF"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поиски разведчиков.</w:t>
      </w:r>
    </w:p>
    <w:p w14:paraId="2D32B332"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течение 23 марта наши войска на всех фронтах подбили и уничтожили 82 танка. В воздушных боях и огнём зенитной артиллерии сбито 24 самолёта противника.</w:t>
      </w:r>
    </w:p>
    <w:p w14:paraId="0D1153EB"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успешное наступление. Все попытки немцев оказать сопротивление советским частям были ликвидированы сокрушительными ударами наших танковых соединений и пехоты. Разбитые наголову немецкие дивизии отступают, бросая на огневых позициях и на дорогах орудия, танки, самоходныеустановки и автомашины. Наши войска, овладевшие вчера городом Копычинцы, сегодня нанесли стремительный удар по вражескому гарнизону в городе Чертков. Советские танки и моторизованная пехота опрокинули противника и заняли город и оперативно важный железнодорожный узел Чертков. Быстро переправившись через реку Серет, наши подвижные соединения устремились на юг, громя на своём пути резервные части, тылы и штабы противника. Один за другим были очищены от немецко-фашистских захватчиков крупный населённый пункт Ягельница, город Тлусте, город и крупная железнодорожная станция Залещики на реке Днестр. Другие наши части в результате упорных боёв овладели городом Гусятин, городом Струсов, а также заняли более 400 других населённых пунктов. В ряде районов окружены и успешно ликвидированы гарнизоны и группы войск противника.</w:t>
      </w:r>
    </w:p>
    <w:p w14:paraId="6CCD0E2C"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Проскуровском направлении противник контратаками пытался остановить наши наступающие войска. Части Н-ского соединения в результате успешного манёвра отбросили немцев и овладели районным центром Каменец-Подольской области городом Меджибож. Другие наши соединения, преодолев упорное сопротивление немцев, вплотную подошли к городу Проскуров и завязали уличные бои. В течение дня уничтожено до 2.000 немецких солдат и офицеров. Подбито и сожжено 30 танков и самоходных орудий противника.</w:t>
      </w:r>
    </w:p>
    <w:p w14:paraId="11A5A9D8"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продолжали наступление. Используя сильно пересечённую местность, высоты и овраги, немцы создали вокруг города Вознесенска сильные укрепления. На помощь гарнизону они бросили крупные силы пехоты, танков и самоходных орудий. Наши войска, подошедшие к Вознесенску с юга, завязали уличные бои и сковали основные силы гитлеровцев. Другие наши части, преодолевая сопротивление противника на промежуточных рубежах, вышли на восточные и северные окраины города. В результате ожесточённых уличных боёв наши войска разгромили многочисленный гарнизон противника, а его остатки сбросили в Южный Буг. Захвачены большие трофеи и много пленных.</w:t>
      </w:r>
    </w:p>
    <w:p w14:paraId="1B7180B0"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Авиаразведкой Краснознамённого Балтийского флота в Финским заливе были обнаружены две группы кораблей противника. Советские лётчики нанесли несколько бомбо-штурмовых ударов и потопили два немецких транспорта водоизмещением по 2 тысячи тонн каждый, сторожевой корабль и сторожевой катер. Сторожевой корабль противника был потоплен лётчиком тов. Каштанкиным, который погиб при этом смертью героя. Советский патриот направил свой самолёт на судно и врезался в него. Произошёл сильный взрыв. Корабль немедленно пошёл ко дну. Преследуя караван немецких судов, наши лётчики в порту Ассери взорвали и потопили ещё один сторожевой корабль противника.</w:t>
      </w:r>
    </w:p>
    <w:p w14:paraId="6C62A2C5"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Чёрном море подорвался на мине и затонул транспорт противника водоизмещением в 1.600 тонн.</w:t>
      </w:r>
    </w:p>
    <w:p w14:paraId="1F0B60AC"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Литовский партизанский отряд «Вильнюс» за десять дней пустил под откос пять воинских эшелонов противника. Движение поездов на этом участке было прервано на несколько дней. Другой отряд литовских партизан разгромил вражеский гарнизон, расположенный в крупном немецком имении. Немецкие солдаты и офицеры, а также управляющий имением убиты. Партизаны этого же отряда подорвали на минах два поезда. Во время крушений разбиты два паровоза и 16 вагонов с военной техникой противника.» (15078).</w:t>
      </w:r>
    </w:p>
    <w:p w14:paraId="128858C4" w14:textId="77777777" w:rsidR="00EB5859" w:rsidRPr="00070ADE" w:rsidRDefault="00EB5859" w:rsidP="00B56F90">
      <w:pPr>
        <w:spacing w:after="0" w:line="240" w:lineRule="auto"/>
        <w:jc w:val="both"/>
        <w:rPr>
          <w:rFonts w:ascii="Times New Roman" w:hAnsi="Times New Roman"/>
          <w:color w:val="000000" w:themeColor="text1"/>
          <w:sz w:val="16"/>
          <w:szCs w:val="16"/>
        </w:rPr>
      </w:pPr>
    </w:p>
    <w:p w14:paraId="13C2061C"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24 марта</w:t>
      </w:r>
      <w:r w:rsidRPr="00070ADE">
        <w:rPr>
          <w:rFonts w:ascii="Times New Roman" w:hAnsi="Times New Roman"/>
          <w:color w:val="000000" w:themeColor="text1"/>
          <w:sz w:val="16"/>
          <w:szCs w:val="16"/>
        </w:rPr>
        <w:t xml:space="preserve"> в 1944 году две советские бригады (17-я гвардейская механизированная и 63-я гвардейская танковая) овладели местечком Должок близ Каменец-Подольского на Западной Украине, в этот день они захватили 40 танков, 55 орудий и 1 000 автомашин (15078).</w:t>
      </w:r>
    </w:p>
    <w:p w14:paraId="15712EC6" w14:textId="77777777" w:rsidR="00EB5859" w:rsidRPr="00070ADE" w:rsidRDefault="00EB5859" w:rsidP="00B56F90">
      <w:pPr>
        <w:spacing w:after="0" w:line="240" w:lineRule="auto"/>
        <w:jc w:val="both"/>
        <w:rPr>
          <w:rFonts w:ascii="Times New Roman" w:hAnsi="Times New Roman"/>
          <w:color w:val="000000" w:themeColor="text1"/>
          <w:sz w:val="16"/>
          <w:szCs w:val="16"/>
        </w:rPr>
      </w:pPr>
    </w:p>
    <w:p w14:paraId="321C2A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марта 1944 л ВВС БФ м В.Н.Каштанкин во время штурмовки каравана был подбит и направил самолет на корабль, потопив его (438,898).</w:t>
      </w:r>
    </w:p>
    <w:p w14:paraId="7D8A44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77B73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марта 1944 2 советские бригады (17-я гвардейская механизированная и 63-я гвардейская танковая) овладели местечком Должок близ Каменец-Подольского на Западной Украине, в этот день они захватили 40 танков, 55 орудий и 1 000 автомашин (4963 ).</w:t>
      </w:r>
    </w:p>
    <w:p w14:paraId="57BDAEF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ED698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08F75F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0A2A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24 по 26 мая 1944 согласно доклада начальника Дальстроя И. Ф. Никишова Берии вице-президент США Уоллес с тремя сотрудниками и четырьмя офицерами посетил город Магадан. В городе осмотрел порт, авторемонтный завод, школу-десятилетку, столовую, магазин, склад пушнины, свиносовхоз в 23 километрах от гор. Магадана, дом культуры. 25 мая с. г. вечером в Магадане слушал концерт. На Нижнем Сеймчане осмотрел поселок Южного горнопромышленного управления, также осмотрел школу, столовую, детский интернат, парткабинет и в клубе смотрел кинокартину “Два бойца”. В Западном горнопромышленном управлении осмотрел Сусуманский совхоз, один участок прииска им. Фрунзе и был на одном приборе на прииске “Комсомолец”. На обоих этих приисках работает вольнонаемный состав. На прииске имени Фрунзе Уоллес беседовал с рабочими. 29 мая 1944 года. Дальстрой НКВД, Никишов” (7560).</w:t>
      </w:r>
    </w:p>
    <w:p w14:paraId="4210D1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3D26A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370048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E8730B"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24 марта</w:t>
      </w:r>
      <w:r w:rsidRPr="00070ADE">
        <w:rPr>
          <w:rFonts w:ascii="Times New Roman" w:hAnsi="Times New Roman"/>
          <w:color w:val="000000" w:themeColor="text1"/>
          <w:sz w:val="16"/>
          <w:szCs w:val="16"/>
        </w:rPr>
        <w:t xml:space="preserve"> в 1944 году с начала воздушной «битвы за Берлин» (ноября 1943 года) британская авиация совершила 16 массированных авианалетов, сбросила на город 25 тысяч тонн бомб, что привело к разрушению четвертой части города. Безкроваосталось 1,5 млн. берлинцев (15078).</w:t>
      </w:r>
    </w:p>
    <w:p w14:paraId="10922BDD" w14:textId="77777777" w:rsidR="00EB5859" w:rsidRPr="00070ADE" w:rsidRDefault="00EB5859" w:rsidP="00B56F90">
      <w:pPr>
        <w:spacing w:after="0" w:line="240" w:lineRule="auto"/>
        <w:jc w:val="both"/>
        <w:rPr>
          <w:rFonts w:ascii="Times New Roman" w:hAnsi="Times New Roman"/>
          <w:color w:val="000000" w:themeColor="text1"/>
          <w:sz w:val="16"/>
          <w:szCs w:val="16"/>
        </w:rPr>
      </w:pPr>
    </w:p>
    <w:p w14:paraId="7BA218DB" w14:textId="77777777" w:rsidR="00003C7F" w:rsidRPr="00070ADE" w:rsidRDefault="00003C7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24–25 марта (ночь) 1944 811 бомбардировщиков совершают последний крупный британский налет на Берлин времен Второй мировой войны. Сильный ветер уносит их с курса, и большая часть их бомб не попадает в цели. Многие непреднамеренно пролетали над ПВО Рура по пути домой и там были сбиты. 72 машины потеряны (8,9 процента сил), около 50 погибло от зенитных орудий, а остальные - от ночных истребителей (20373).</w:t>
      </w:r>
    </w:p>
    <w:p w14:paraId="14A09394" w14:textId="77777777" w:rsidR="00003C7F" w:rsidRPr="00070ADE" w:rsidRDefault="00003C7F" w:rsidP="00B56F90">
      <w:pPr>
        <w:spacing w:after="0" w:line="240" w:lineRule="auto"/>
        <w:jc w:val="both"/>
        <w:rPr>
          <w:rFonts w:ascii="Times New Roman" w:hAnsi="Times New Roman"/>
          <w:color w:val="000000" w:themeColor="text1"/>
          <w:sz w:val="16"/>
          <w:szCs w:val="16"/>
        </w:rPr>
      </w:pPr>
    </w:p>
    <w:p w14:paraId="52A97F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March 24th, 1944: The Luftwaffe attacks London with 90 medium bombers (He-111s and Ju-88s), while the RAF bombs Berlin with 810 heavy Lancasters. In Italy, the US Fifth Army's (Clark) bridgehead at Anzio is bombarded by German heavy long-range guns (Screaming Mimies) and Luftwaffe aircraft using guided bombs, causing severe casualties in men, ships, and equipment. Persistent US and British attacks against the Gustav Line at Cassino are repulsed by the German defenders (3819).</w:t>
      </w:r>
    </w:p>
    <w:p w14:paraId="4B9F40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77104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марта 1944 Люфтваффе выполнили налет на Лондон силами 90 средних бомбардировщиков (Не-111 и Ju-88), а Королевские ВВС бомбили Берлин силами 810 Ланкастеров. Плацдарм 5А (Кларк) США у Анцио подвергся обстрелу дальнобойной артиллерии и Люфтваффе, использующих управляемые бомбы. Немцы отбивают атаки на линию Густава у Монте Кассино (3819).</w:t>
      </w:r>
    </w:p>
    <w:p w14:paraId="05D160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03F97F" w14:textId="74E6B21C" w:rsidR="00003C7F" w:rsidRPr="00070ADE" w:rsidRDefault="00003C7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марта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- 1000 бомбардировщиков 8-й воздушной армии ВВС США совершили налет на Рейнский промышленный район Германии (22558).</w:t>
      </w:r>
    </w:p>
    <w:p w14:paraId="72875A32" w14:textId="77777777" w:rsidR="00003C7F" w:rsidRPr="00070ADE" w:rsidRDefault="00003C7F" w:rsidP="00B56F90">
      <w:pPr>
        <w:spacing w:after="0" w:line="240" w:lineRule="auto"/>
        <w:jc w:val="both"/>
        <w:rPr>
          <w:rFonts w:ascii="Times New Roman" w:hAnsi="Times New Roman"/>
          <w:color w:val="000000" w:themeColor="text1"/>
          <w:sz w:val="16"/>
          <w:szCs w:val="16"/>
        </w:rPr>
      </w:pPr>
    </w:p>
    <w:p w14:paraId="4D9C20EE" w14:textId="77777777" w:rsidR="00003C7F" w:rsidRPr="00070ADE" w:rsidRDefault="00003C7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марта 1944 B-17G Flying Fortress 422 - й бомбардировочной эскадрильи триста пятой бомбардировочной группы (Heavy) взрывается в Yielden, Англия, на взлете из RAF Chelveston, убивая все 10 человек на борту бомбардировщика и 11 человек на земле (20373).</w:t>
      </w:r>
    </w:p>
    <w:p w14:paraId="79A83288" w14:textId="77777777" w:rsidR="00003C7F" w:rsidRPr="00070ADE" w:rsidRDefault="00003C7F" w:rsidP="00B56F90">
      <w:pPr>
        <w:spacing w:after="0" w:line="240" w:lineRule="auto"/>
        <w:jc w:val="both"/>
        <w:rPr>
          <w:rFonts w:ascii="Times New Roman" w:hAnsi="Times New Roman"/>
          <w:color w:val="000000" w:themeColor="text1"/>
          <w:sz w:val="16"/>
          <w:szCs w:val="16"/>
        </w:rPr>
      </w:pPr>
    </w:p>
    <w:p w14:paraId="44A79713" w14:textId="77777777" w:rsidR="00003C7F" w:rsidRPr="00070ADE" w:rsidRDefault="00003C7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марта 1944 из-за невозможности достичь своей главной цели, Швайнфурта, 162 B-17 Летающие Крепости Восьмой армии ВВС вместо этого бомбит Франкфурт- на -Майне. В дневнике Франкфурта-на-Майне говорится: «Три авианалета 18, 22 и 24 марта были осуществлены совместным планом британских и американских военно-воздушных сил, и их совместный эффект заключался в нанесении худшего и самого рокового удара. Удар просто положил конец существованию Франкфурта, построенного со времен средневековья» (20373).</w:t>
      </w:r>
    </w:p>
    <w:p w14:paraId="6C5B7D8E" w14:textId="77777777" w:rsidR="00003C7F" w:rsidRPr="00070ADE" w:rsidRDefault="00003C7F" w:rsidP="00B56F90">
      <w:pPr>
        <w:spacing w:after="0" w:line="240" w:lineRule="auto"/>
        <w:jc w:val="both"/>
        <w:rPr>
          <w:rFonts w:ascii="Times New Roman" w:hAnsi="Times New Roman"/>
          <w:color w:val="000000" w:themeColor="text1"/>
          <w:sz w:val="16"/>
          <w:szCs w:val="16"/>
        </w:rPr>
      </w:pPr>
    </w:p>
    <w:p w14:paraId="4C729ACD" w14:textId="77777777" w:rsidR="00A76CAC" w:rsidRPr="00070ADE" w:rsidRDefault="00A76CAC" w:rsidP="00B56F90">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ночь на 24 марта 1944 г. 40 британских бомбардировщиков атаковали Софию. Бомбы легли в пригороде в районе царского «дворца Врана». Дворец серьезно пострадал, но жертв не было (19104).</w:t>
      </w:r>
    </w:p>
    <w:p w14:paraId="63A99B8A" w14:textId="77777777" w:rsidR="00A76CAC" w:rsidRPr="00070ADE" w:rsidRDefault="00A76CAC" w:rsidP="00B56F90">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7CC0DAA4" w14:textId="77777777" w:rsidR="00EB5859" w:rsidRPr="00070ADE" w:rsidRDefault="00EB585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марта 1944 за взрыв бомбы во время парада СС в Риме гестаповцами казнены 336 итальянских заложников (4962).</w:t>
      </w:r>
    </w:p>
    <w:p w14:paraId="0D90B9CC" w14:textId="77777777" w:rsidR="00EB5859" w:rsidRPr="00070ADE" w:rsidRDefault="00EB5859"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3470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24-28 мая 1944 Пермети. Состоялся Антифашистский Национально-Освободительный Конгресс, образовавший Антифашистские Национально Освободительные Совет (АНОС) и Комитет (АНОК) в качестве органов власти и принявший решение о формировании 1 Ударной дивизии НОАА (7594).</w:t>
      </w:r>
    </w:p>
    <w:p w14:paraId="6ABD30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F1A1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марта 1944 была построена первая из 4 баз для В-29 в Китае (1051,25).</w:t>
      </w:r>
    </w:p>
    <w:p w14:paraId="2EDEF4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48F58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марта 1944 в Бирме в авиакатастрофе погиб английский генерал О. Вингейт, не послушавшийся предупреждений о шторме (4962).</w:t>
      </w:r>
    </w:p>
    <w:p w14:paraId="1BFF02F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21CB4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lastRenderedPageBreak/>
        <w:t>Авиапромышленность:</w:t>
      </w:r>
    </w:p>
    <w:p w14:paraId="287FF4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D2C1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марта 1944 вышел приказ НКАП N 529с по внедрению гидравлического агрегата, объединяющего управление винтом и газом на самолете Ил-2 с АМ-38 (1820,70).</w:t>
      </w:r>
    </w:p>
    <w:p w14:paraId="63456D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8147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марта 1944 завершились заводские испыта</w:t>
      </w:r>
      <w:r w:rsidRPr="00070ADE">
        <w:rPr>
          <w:rFonts w:ascii="Times New Roman" w:hAnsi="Times New Roman"/>
          <w:color w:val="000000" w:themeColor="text1"/>
          <w:sz w:val="16"/>
          <w:szCs w:val="16"/>
        </w:rPr>
        <w:softHyphen/>
        <w:t>ния Пе-2И. Три дня понадобилось для отправки самолета в НИИ ВВС.</w:t>
      </w:r>
    </w:p>
    <w:p w14:paraId="6FA0D4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Впервые за всю историю своего существования Пе-2 подвергся коренной переделке. Прежде всего с крыла сняли тормозные решетки и уменьшили пло</w:t>
      </w:r>
      <w:r w:rsidRPr="00070ADE">
        <w:rPr>
          <w:rFonts w:ascii="Times New Roman" w:hAnsi="Times New Roman"/>
          <w:color w:val="000000" w:themeColor="text1"/>
          <w:sz w:val="16"/>
          <w:szCs w:val="16"/>
        </w:rPr>
        <w:softHyphen/>
        <w:t>щадь элеронов, изменив величину аэродинамической компенсации.</w:t>
      </w:r>
    </w:p>
    <w:p w14:paraId="080960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Существенные изменения претерпел фюзеляж. Увеличение его длины на метр и высоты на 0,Зм, а так</w:t>
      </w:r>
      <w:r w:rsidRPr="00070ADE">
        <w:rPr>
          <w:rFonts w:ascii="Times New Roman" w:hAnsi="Times New Roman"/>
          <w:color w:val="000000" w:themeColor="text1"/>
          <w:sz w:val="16"/>
          <w:szCs w:val="16"/>
        </w:rPr>
        <w:softHyphen/>
        <w:t>же новая компоновка бомбоотсека позволили размес</w:t>
      </w:r>
      <w:r w:rsidRPr="00070ADE">
        <w:rPr>
          <w:rFonts w:ascii="Times New Roman" w:hAnsi="Times New Roman"/>
          <w:color w:val="000000" w:themeColor="text1"/>
          <w:sz w:val="16"/>
          <w:szCs w:val="16"/>
        </w:rPr>
        <w:softHyphen/>
        <w:t>тить в нем бомбу ФАБ-1000. Из акта по результатам государственных испытаний следует, что этого дос</w:t>
      </w:r>
      <w:r w:rsidRPr="00070ADE">
        <w:rPr>
          <w:rFonts w:ascii="Times New Roman" w:hAnsi="Times New Roman"/>
          <w:color w:val="000000" w:themeColor="text1"/>
          <w:sz w:val="16"/>
          <w:szCs w:val="16"/>
        </w:rPr>
        <w:softHyphen/>
        <w:t>тигли смещением центроплана вверх на 300 мм. В дей</w:t>
      </w:r>
      <w:r w:rsidRPr="00070ADE">
        <w:rPr>
          <w:rFonts w:ascii="Times New Roman" w:hAnsi="Times New Roman"/>
          <w:color w:val="000000" w:themeColor="text1"/>
          <w:sz w:val="16"/>
          <w:szCs w:val="16"/>
        </w:rPr>
        <w:softHyphen/>
        <w:t>ствительности, как объяснил мне Л.Л. Селяков, цен</w:t>
      </w:r>
      <w:r w:rsidRPr="00070ADE">
        <w:rPr>
          <w:rFonts w:ascii="Times New Roman" w:hAnsi="Times New Roman"/>
          <w:color w:val="000000" w:themeColor="text1"/>
          <w:sz w:val="16"/>
          <w:szCs w:val="16"/>
        </w:rPr>
        <w:softHyphen/>
        <w:t>троплан никуда не смещали. Для размещения бомбы вырезали часть нижних стальных поясов лонжерона центроплана и заменили их арочными коваными вкла</w:t>
      </w:r>
      <w:r w:rsidRPr="00070ADE">
        <w:rPr>
          <w:rFonts w:ascii="Times New Roman" w:hAnsi="Times New Roman"/>
          <w:color w:val="000000" w:themeColor="text1"/>
          <w:sz w:val="16"/>
          <w:szCs w:val="16"/>
        </w:rPr>
        <w:softHyphen/>
        <w:t>дышами. В результате высота лонжерона по оси само</w:t>
      </w:r>
      <w:r w:rsidRPr="00070ADE">
        <w:rPr>
          <w:rFonts w:ascii="Times New Roman" w:hAnsi="Times New Roman"/>
          <w:color w:val="000000" w:themeColor="text1"/>
          <w:sz w:val="16"/>
          <w:szCs w:val="16"/>
        </w:rPr>
        <w:softHyphen/>
        <w:t>лета уменьшилась ровно на половину. Затем нарасти</w:t>
      </w:r>
      <w:r w:rsidRPr="00070ADE">
        <w:rPr>
          <w:rFonts w:ascii="Times New Roman" w:hAnsi="Times New Roman"/>
          <w:color w:val="000000" w:themeColor="text1"/>
          <w:sz w:val="16"/>
          <w:szCs w:val="16"/>
        </w:rPr>
        <w:softHyphen/>
        <w:t>ли фюзеляж, заменив его круглое сечение овальным, и тем самым увеличили его высоту.</w:t>
      </w:r>
    </w:p>
    <w:p w14:paraId="6AB7BF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сократили с трех до двух человек — летчи</w:t>
      </w:r>
      <w:r w:rsidRPr="00070ADE">
        <w:rPr>
          <w:rFonts w:ascii="Times New Roman" w:hAnsi="Times New Roman"/>
          <w:color w:val="000000" w:themeColor="text1"/>
          <w:sz w:val="16"/>
          <w:szCs w:val="16"/>
        </w:rPr>
        <w:softHyphen/>
        <w:t>ка и штурмана.</w:t>
      </w:r>
    </w:p>
    <w:p w14:paraId="263687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Оборонительное вооружение включало два круп</w:t>
      </w:r>
      <w:r w:rsidRPr="00070ADE">
        <w:rPr>
          <w:rFonts w:ascii="Times New Roman" w:hAnsi="Times New Roman"/>
          <w:color w:val="000000" w:themeColor="text1"/>
          <w:sz w:val="16"/>
          <w:szCs w:val="16"/>
        </w:rPr>
        <w:softHyphen/>
        <w:t>нокалиберных пулемета УБК: один в носу и один на дистанционной электрифицированной установке ДЭУ в хвосте.</w:t>
      </w:r>
    </w:p>
    <w:p w14:paraId="14FD90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Особенностью бомбардировщика Пе-2 была его склонность к прогрессирующим «козлам» при посад</w:t>
      </w:r>
      <w:r w:rsidRPr="00070ADE">
        <w:rPr>
          <w:rFonts w:ascii="Times New Roman" w:hAnsi="Times New Roman"/>
          <w:color w:val="000000" w:themeColor="text1"/>
          <w:sz w:val="16"/>
          <w:szCs w:val="16"/>
        </w:rPr>
        <w:softHyphen/>
        <w:t>ке. Устранить этот дефект полностью так и не удалось, но немного укротить «козлиный» нрав самолета позво</w:t>
      </w:r>
      <w:r w:rsidRPr="00070ADE">
        <w:rPr>
          <w:rFonts w:ascii="Times New Roman" w:hAnsi="Times New Roman"/>
          <w:color w:val="000000" w:themeColor="text1"/>
          <w:sz w:val="16"/>
          <w:szCs w:val="16"/>
        </w:rPr>
        <w:softHyphen/>
        <w:t>лило применение на Пе-2И шасси с увеличенным хо</w:t>
      </w:r>
      <w:r w:rsidRPr="00070ADE">
        <w:rPr>
          <w:rFonts w:ascii="Times New Roman" w:hAnsi="Times New Roman"/>
          <w:color w:val="000000" w:themeColor="text1"/>
          <w:sz w:val="16"/>
          <w:szCs w:val="16"/>
        </w:rPr>
        <w:softHyphen/>
        <w:t>дом амортизации.</w:t>
      </w:r>
    </w:p>
    <w:p w14:paraId="5EAC42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Сильное влияние на летные характеристики оказа</w:t>
      </w:r>
      <w:r w:rsidRPr="00070ADE">
        <w:rPr>
          <w:rFonts w:ascii="Times New Roman" w:hAnsi="Times New Roman"/>
          <w:color w:val="000000" w:themeColor="text1"/>
          <w:sz w:val="16"/>
          <w:szCs w:val="16"/>
        </w:rPr>
        <w:softHyphen/>
        <w:t>ла установка новых двигателей ВК-107А с двухскоро-стными нагнетателями и регуляторами постоянных оборотов. На высоте 4500 м ВК-107А развивал мощ</w:t>
      </w:r>
      <w:r w:rsidRPr="00070ADE">
        <w:rPr>
          <w:rFonts w:ascii="Times New Roman" w:hAnsi="Times New Roman"/>
          <w:color w:val="000000" w:themeColor="text1"/>
          <w:sz w:val="16"/>
          <w:szCs w:val="16"/>
        </w:rPr>
        <w:softHyphen/>
        <w:t>ность 1500 л.с. (11446)</w:t>
      </w:r>
    </w:p>
    <w:p w14:paraId="1172F5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4A1B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марта 1944 г. вышел приказ директора завода № 16:</w:t>
      </w:r>
    </w:p>
    <w:p w14:paraId="700018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«НКАП и Командующим ВВС утвержден отчет о совместных испытаниях двигателя РД-1. Приказом НКАП № 184сс от 13.03.43 г. завод № 16 обязывается изготовить и сдать в эксплуатацию первую серию двигателя РД-1.</w:t>
      </w:r>
    </w:p>
    <w:p w14:paraId="4EC66F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Приказываю: присвоить условный заводской шифр двигателя РД-1 (вместо – заказ 5050).</w:t>
      </w:r>
    </w:p>
    <w:p w14:paraId="2DA374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Начальнику ОКБ Бекетову выдать главному технологу завода чертежи и спецификации двигателя» (12049).</w:t>
      </w:r>
    </w:p>
    <w:p w14:paraId="72B92E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54B72C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A7E126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95E844" w14:textId="77777777" w:rsidR="00282955" w:rsidRPr="00070ADE" w:rsidRDefault="00282955" w:rsidP="00B56F90">
      <w:pPr>
        <w:pStyle w:val="a3"/>
        <w:rPr>
          <w:color w:val="000000" w:themeColor="text1"/>
          <w:lang w:val="ru-RU"/>
        </w:rPr>
      </w:pPr>
      <w:r w:rsidRPr="00070ADE">
        <w:rPr>
          <w:color w:val="000000" w:themeColor="text1"/>
          <w:lang w:val="ru-RU"/>
        </w:rPr>
        <w:t>С 25 марта по 4 апреля 1944 проводились испытания пробегом СУ С-51. Само</w:t>
      </w:r>
      <w:r w:rsidRPr="00070ADE">
        <w:rPr>
          <w:color w:val="000000" w:themeColor="text1"/>
          <w:lang w:val="ru-RU"/>
        </w:rPr>
        <w:softHyphen/>
        <w:t>ходную установку проверяли в различных дорожных условиях, глуби</w:t>
      </w:r>
      <w:r w:rsidRPr="00070ADE">
        <w:rPr>
          <w:color w:val="000000" w:themeColor="text1"/>
          <w:lang w:val="ru-RU"/>
        </w:rPr>
        <w:softHyphen/>
        <w:t>на снежного покрова при этом достигала 200 мм. В общей сложности С-51 прошла 524 километра, из них 16 по булыжной мостовой и 40 по бездорожью. Основной объем ходовых испытаний пришелся на ас</w:t>
      </w:r>
      <w:r w:rsidRPr="00070ADE">
        <w:rPr>
          <w:color w:val="000000" w:themeColor="text1"/>
          <w:lang w:val="ru-RU"/>
        </w:rPr>
        <w:softHyphen/>
        <w:t>фальтированное шоссе, поскольку требовались поездки на завод № 112. В ходе ходовых испытаний на шоссе была достигнута максимальная скорость 32 км/ч, а по бездорожью 22 км/ч. Специальных испыта</w:t>
      </w:r>
      <w:r w:rsidRPr="00070ADE">
        <w:rPr>
          <w:color w:val="000000" w:themeColor="text1"/>
          <w:lang w:val="ru-RU"/>
        </w:rPr>
        <w:softHyphen/>
        <w:t>ний не проводилось, поскольку имелись различные поломки ходовой части. На 240-м километре вышли их строя правый бортовой фрикци</w:t>
      </w:r>
      <w:r w:rsidRPr="00070ADE">
        <w:rPr>
          <w:color w:val="000000" w:themeColor="text1"/>
          <w:lang w:val="ru-RU"/>
        </w:rPr>
        <w:softHyphen/>
        <w:t>он и тормозная лента, еще раз правый фрикцион дал о себе знать на 360-м километре. Несколько раз имели место проблемы с гусеничны</w:t>
      </w:r>
      <w:r w:rsidRPr="00070ADE">
        <w:rPr>
          <w:color w:val="000000" w:themeColor="text1"/>
          <w:lang w:val="ru-RU"/>
        </w:rPr>
        <w:softHyphen/>
        <w:t>ми лентами, срезало болты на крышках катков. Вместе с тем с двига</w:t>
      </w:r>
      <w:r w:rsidRPr="00070ADE">
        <w:rPr>
          <w:color w:val="000000" w:themeColor="text1"/>
          <w:lang w:val="ru-RU"/>
        </w:rPr>
        <w:softHyphen/>
        <w:t>телем и торсионами проблем не возникало, что лишний раз подтверж</w:t>
      </w:r>
      <w:r w:rsidRPr="00070ADE">
        <w:rPr>
          <w:color w:val="000000" w:themeColor="text1"/>
          <w:lang w:val="ru-RU"/>
        </w:rPr>
        <w:softHyphen/>
        <w:t>дало прочность ходовой части после программы огневых испытаний.</w:t>
      </w:r>
    </w:p>
    <w:p w14:paraId="7EFC5E87" w14:textId="77777777" w:rsidR="00282955" w:rsidRPr="00070ADE" w:rsidRDefault="00282955" w:rsidP="00B56F90">
      <w:pPr>
        <w:pStyle w:val="a3"/>
        <w:rPr>
          <w:color w:val="000000" w:themeColor="text1"/>
          <w:lang w:val="ru-RU"/>
        </w:rPr>
      </w:pPr>
      <w:r w:rsidRPr="00070ADE">
        <w:rPr>
          <w:color w:val="000000" w:themeColor="text1"/>
          <w:lang w:val="ru-RU"/>
        </w:rPr>
        <w:t>Завершились испытания 6 апреля, а 9-го числа комиссия АНИОП дала заключение по их результатам:</w:t>
      </w:r>
    </w:p>
    <w:p w14:paraId="32C35B7A"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«1. Самоходная гаубица «С-51» в основном испытания выдержала, так как:</w:t>
      </w:r>
    </w:p>
    <w:p w14:paraId="0B9929AC" w14:textId="77777777" w:rsidR="00282955" w:rsidRPr="00070ADE" w:rsidRDefault="00282955" w:rsidP="00B56F90">
      <w:pPr>
        <w:pStyle w:val="Bodytext141"/>
        <w:shd w:val="clear" w:color="auto" w:fill="auto"/>
        <w:tabs>
          <w:tab w:val="left" w:pos="905"/>
        </w:tabs>
        <w:spacing w:line="240" w:lineRule="auto"/>
        <w:ind w:firstLine="0"/>
        <w:jc w:val="both"/>
        <w:rPr>
          <w:i w:val="0"/>
          <w:color w:val="000000" w:themeColor="text1"/>
          <w:sz w:val="16"/>
          <w:szCs w:val="16"/>
        </w:rPr>
      </w:pPr>
      <w:r w:rsidRPr="00070ADE">
        <w:rPr>
          <w:i w:val="0"/>
          <w:color w:val="000000" w:themeColor="text1"/>
          <w:sz w:val="16"/>
          <w:szCs w:val="16"/>
        </w:rPr>
        <w:t>а) работа и прочность агрегатов и механизмов орудия — удовлет</w:t>
      </w:r>
      <w:r w:rsidRPr="00070ADE">
        <w:rPr>
          <w:i w:val="0"/>
          <w:color w:val="000000" w:themeColor="text1"/>
          <w:sz w:val="16"/>
          <w:szCs w:val="16"/>
        </w:rPr>
        <w:softHyphen/>
        <w:t>ворительные.</w:t>
      </w:r>
    </w:p>
    <w:p w14:paraId="0DE05081" w14:textId="77777777" w:rsidR="00282955" w:rsidRPr="00070ADE" w:rsidRDefault="00282955" w:rsidP="00B56F90">
      <w:pPr>
        <w:pStyle w:val="Bodytext141"/>
        <w:shd w:val="clear" w:color="auto" w:fill="auto"/>
        <w:tabs>
          <w:tab w:val="left" w:pos="900"/>
        </w:tabs>
        <w:spacing w:line="240" w:lineRule="auto"/>
        <w:ind w:firstLine="0"/>
        <w:jc w:val="both"/>
        <w:rPr>
          <w:i w:val="0"/>
          <w:color w:val="000000" w:themeColor="text1"/>
          <w:sz w:val="16"/>
          <w:szCs w:val="16"/>
        </w:rPr>
      </w:pPr>
      <w:r w:rsidRPr="00070ADE">
        <w:rPr>
          <w:i w:val="0"/>
          <w:color w:val="000000" w:themeColor="text1"/>
          <w:sz w:val="16"/>
          <w:szCs w:val="16"/>
        </w:rPr>
        <w:t>б) прочность установочных частей орудия — достаточная.</w:t>
      </w:r>
    </w:p>
    <w:p w14:paraId="717D0DFF" w14:textId="77777777" w:rsidR="00282955" w:rsidRPr="00070ADE" w:rsidRDefault="00282955" w:rsidP="00B56F90">
      <w:pPr>
        <w:pStyle w:val="Bodytext141"/>
        <w:shd w:val="clear" w:color="auto" w:fill="auto"/>
        <w:tabs>
          <w:tab w:val="left" w:pos="866"/>
        </w:tabs>
        <w:spacing w:line="240" w:lineRule="auto"/>
        <w:ind w:firstLine="0"/>
        <w:jc w:val="both"/>
        <w:rPr>
          <w:i w:val="0"/>
          <w:color w:val="000000" w:themeColor="text1"/>
          <w:sz w:val="16"/>
          <w:szCs w:val="16"/>
        </w:rPr>
      </w:pPr>
      <w:r w:rsidRPr="00070ADE">
        <w:rPr>
          <w:i w:val="0"/>
          <w:color w:val="000000" w:themeColor="text1"/>
          <w:sz w:val="16"/>
          <w:szCs w:val="16"/>
        </w:rPr>
        <w:t>в) работа и прочность агрегатов и механизмов самохода — удовлет</w:t>
      </w:r>
      <w:r w:rsidRPr="00070ADE">
        <w:rPr>
          <w:i w:val="0"/>
          <w:color w:val="000000" w:themeColor="text1"/>
          <w:sz w:val="16"/>
          <w:szCs w:val="16"/>
        </w:rPr>
        <w:softHyphen/>
        <w:t>ворительная, за исключением трансмиссионной группы, которая во время испытаний имела ряд дефектов, вызванных общим пло</w:t>
      </w:r>
      <w:r w:rsidRPr="00070ADE">
        <w:rPr>
          <w:i w:val="0"/>
          <w:color w:val="000000" w:themeColor="text1"/>
          <w:sz w:val="16"/>
          <w:szCs w:val="16"/>
        </w:rPr>
        <w:softHyphen/>
        <w:t>хим техническим состоянием ее до испытаний и изношенностью деталей.</w:t>
      </w:r>
    </w:p>
    <w:p w14:paraId="658EE51F"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2. Существенными недостатками самоходной гаубицы «С-51» при</w:t>
      </w:r>
    </w:p>
    <w:p w14:paraId="35F8CF46"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стрельбе являются:</w:t>
      </w:r>
    </w:p>
    <w:p w14:paraId="25347152" w14:textId="77777777" w:rsidR="00282955" w:rsidRPr="00070ADE" w:rsidRDefault="00282955" w:rsidP="00B56F90">
      <w:pPr>
        <w:pStyle w:val="Bodytext141"/>
        <w:shd w:val="clear" w:color="auto" w:fill="auto"/>
        <w:tabs>
          <w:tab w:val="left" w:pos="905"/>
        </w:tabs>
        <w:spacing w:line="240" w:lineRule="auto"/>
        <w:ind w:firstLine="0"/>
        <w:jc w:val="both"/>
        <w:rPr>
          <w:i w:val="0"/>
          <w:color w:val="000000" w:themeColor="text1"/>
          <w:sz w:val="16"/>
          <w:szCs w:val="16"/>
        </w:rPr>
      </w:pPr>
      <w:r w:rsidRPr="00070ADE">
        <w:rPr>
          <w:i w:val="0"/>
          <w:color w:val="000000" w:themeColor="text1"/>
          <w:sz w:val="16"/>
          <w:szCs w:val="16"/>
        </w:rPr>
        <w:t>а) большой отход назад и сбиваемость наводки, особенно при малых углах возвышения, вследствие неудовлетворительной устойчиво</w:t>
      </w:r>
      <w:r w:rsidRPr="00070ADE">
        <w:rPr>
          <w:i w:val="0"/>
          <w:color w:val="000000" w:themeColor="text1"/>
          <w:sz w:val="16"/>
          <w:szCs w:val="16"/>
        </w:rPr>
        <w:softHyphen/>
        <w:t>сти самохода при выстреле.</w:t>
      </w:r>
    </w:p>
    <w:p w14:paraId="67EC15CD" w14:textId="77777777" w:rsidR="00282955" w:rsidRPr="00070ADE" w:rsidRDefault="0028295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Большое боковое рассеивание снарядов вследствие бокового сме</w:t>
      </w:r>
      <w:r w:rsidRPr="00070ADE">
        <w:rPr>
          <w:rFonts w:ascii="Times New Roman" w:hAnsi="Times New Roman"/>
          <w:color w:val="000000" w:themeColor="text1"/>
          <w:sz w:val="16"/>
          <w:szCs w:val="16"/>
        </w:rPr>
        <w:softHyphen/>
        <w:t>щения орудия при выстреле.</w:t>
      </w:r>
    </w:p>
    <w:p w14:paraId="670D5075"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Данные недостатки возможно устранить путем постановки сошни</w:t>
      </w:r>
      <w:r w:rsidRPr="00070ADE">
        <w:rPr>
          <w:i w:val="0"/>
          <w:color w:val="000000" w:themeColor="text1"/>
          <w:sz w:val="16"/>
          <w:szCs w:val="16"/>
        </w:rPr>
        <w:softHyphen/>
        <w:t>ков в задней части корпуса самохода, как это было применено на 203-мм самоходной установке «СУ-14» конструкции и изготовления Кировского завода, проходившей испытания на НИАПе в 1936 году.</w:t>
      </w:r>
    </w:p>
    <w:p w14:paraId="04D4836E"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Учитывая, что гаубица в основном будет вести стрельбу при больших углах возвышения, при которых отход назад и сбиваемость наводки менее значительны, для устранения отхода самохода при сравнительно редких и эпизодических стрельбах под малыми углами возвышения можно реко</w:t>
      </w:r>
      <w:r w:rsidRPr="00070ADE">
        <w:rPr>
          <w:i w:val="0"/>
          <w:color w:val="000000" w:themeColor="text1"/>
          <w:sz w:val="16"/>
          <w:szCs w:val="16"/>
        </w:rPr>
        <w:softHyphen/>
        <w:t>мендовать подкладывать сзади под гусеницы деревянные брусья из подруч</w:t>
      </w:r>
      <w:r w:rsidRPr="00070ADE">
        <w:rPr>
          <w:i w:val="0"/>
          <w:color w:val="000000" w:themeColor="text1"/>
          <w:sz w:val="16"/>
          <w:szCs w:val="16"/>
        </w:rPr>
        <w:softHyphen/>
        <w:t>ного материала.</w:t>
      </w:r>
    </w:p>
    <w:p w14:paraId="67C2CE27"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3. АНИОП считает, что 203 мм самоходная гаубица «С-51 по срав</w:t>
      </w:r>
      <w:r w:rsidRPr="00070ADE">
        <w:rPr>
          <w:i w:val="0"/>
          <w:color w:val="000000" w:themeColor="text1"/>
          <w:sz w:val="16"/>
          <w:szCs w:val="16"/>
        </w:rPr>
        <w:softHyphen/>
        <w:t>нению с 203-мм гаубицей «Б-4» обладает большей маневренностью движения и огня при сохранении своего огневого могущества и по устранении недостатков, выявленных при испытании и отмеченных в настоящем отчете, может быть рекомендована на вооружение Красной Армии» (17484).</w:t>
      </w:r>
    </w:p>
    <w:p w14:paraId="376B9B0A" w14:textId="77777777" w:rsidR="00282955" w:rsidRPr="00070ADE" w:rsidRDefault="00282955" w:rsidP="00B56F90">
      <w:pPr>
        <w:spacing w:after="0" w:line="240" w:lineRule="auto"/>
        <w:jc w:val="both"/>
        <w:rPr>
          <w:rFonts w:ascii="Times New Roman" w:hAnsi="Times New Roman"/>
          <w:color w:val="000000" w:themeColor="text1"/>
          <w:sz w:val="16"/>
          <w:szCs w:val="16"/>
        </w:rPr>
      </w:pPr>
    </w:p>
    <w:p w14:paraId="3627A58D" w14:textId="77777777" w:rsidR="00133AA8" w:rsidRPr="00070ADE" w:rsidRDefault="00133AA8" w:rsidP="00B56F90">
      <w:pPr>
        <w:pStyle w:val="ae"/>
        <w:shd w:val="clear" w:color="auto" w:fill="FFFFFF"/>
        <w:spacing w:before="0" w:after="0"/>
        <w:jc w:val="both"/>
        <w:rPr>
          <w:color w:val="000000" w:themeColor="text1"/>
          <w:sz w:val="16"/>
          <w:szCs w:val="16"/>
        </w:rPr>
      </w:pPr>
      <w:r w:rsidRPr="00070ADE">
        <w:rPr>
          <w:color w:val="000000" w:themeColor="text1"/>
          <w:sz w:val="16"/>
          <w:szCs w:val="16"/>
        </w:rPr>
        <w:t>С 25 марта по 4 апреля 1944 проходили испытания С-51 пробегом. Самоходную установку проверяли в различных дорожных условиях, глубина снежного покрова при этом достигала 200 мм. В общей сложности С-51 прошла 524 километра, в том числе 16 по булыжной мостовой и 40 по бездорожью. Основной объём ходовых испытаний пришёлся на асфальтированное шоссе благодаря тому, что САУ совершала поездки на завод №112. Была достигнута максимальная скорость 32 км/ч, а по бездорожью — 22 км/ч. Специальных испытаний САУ не проводилось, поскольку имели место различные поломки ходовой части. На 240-м километре вышли из строя правый бортовой фрикцион и тормозная лента, ещё раз правый фрикцион дал о себе знать на 360-м километре. Имели место проблемы с гусеничными лентами, срезало болты на крышках катков. А вот с двигателем и торсионами проблем не возникало.</w:t>
      </w:r>
    </w:p>
    <w:p w14:paraId="2A06E0AD" w14:textId="77777777" w:rsidR="00133AA8" w:rsidRPr="00070ADE" w:rsidRDefault="00133AA8" w:rsidP="00B56F90">
      <w:pPr>
        <w:pStyle w:val="ae"/>
        <w:shd w:val="clear" w:color="auto" w:fill="FFFFFF"/>
        <w:spacing w:before="0" w:after="0"/>
        <w:jc w:val="both"/>
        <w:rPr>
          <w:color w:val="000000" w:themeColor="text1"/>
          <w:sz w:val="16"/>
          <w:szCs w:val="16"/>
        </w:rPr>
      </w:pPr>
      <w:r w:rsidRPr="00070ADE">
        <w:rPr>
          <w:color w:val="000000" w:themeColor="text1"/>
          <w:sz w:val="16"/>
          <w:szCs w:val="16"/>
        </w:rPr>
        <w:t>Комиссия АНИОП признала С-51 выдержавшей испытания. Вместе с тем, к САУ имелись претензии. Наблюдалось большое рассеивание снарядов из-за бокового смещения орудия при стрельбе. Недостаточная устойчивость при выстреле приводила к сбитию наводки и отходу машины назад. Эту проблему предлагалось решить установкой сошников. Тем не менее довольно удачные результаты испытаний позволили Грабину говорить о запуске С-51 в серию. Для начала речь шла о 20–30 САУ. К этой идее отрицательно отнеслись в Управлении самоходной артиллерии, где посчитали нерациональным использовать шасси КВ-1с для изготовления тяжёлой САУ с лёгким щитовым прикрытием. Кроме того, боевая масса С-51 составляла 50 тонн, а ситуация первой половины 1942 года, когда у доведенных до такой массы КВ-1 «сыпались» агрегаты моторно-трансмиссионной группы, была ещё свежа в памяти руководства ГБТУ КА. Было решено провести дополнительные испытания самоходной установки, которые так и не состоялись: шасси после весенних пробегов требовало капитального ремонта (18075).</w:t>
      </w:r>
    </w:p>
    <w:p w14:paraId="64E60724" w14:textId="77777777" w:rsidR="00133AA8" w:rsidRPr="00070ADE" w:rsidRDefault="00133AA8" w:rsidP="00B56F90">
      <w:pPr>
        <w:shd w:val="clear" w:color="auto" w:fill="FFFFFF"/>
        <w:spacing w:after="0" w:line="240" w:lineRule="auto"/>
        <w:jc w:val="both"/>
        <w:rPr>
          <w:rFonts w:ascii="Times New Roman" w:hAnsi="Times New Roman"/>
          <w:noProof/>
          <w:color w:val="000000" w:themeColor="text1"/>
          <w:sz w:val="16"/>
          <w:szCs w:val="16"/>
          <w:lang w:eastAsia="ru-RU"/>
        </w:rPr>
      </w:pPr>
    </w:p>
    <w:p w14:paraId="67ACD60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марта 1944 вышло Постановление ГКО № 5462 О мероприятиях по усилению продовольственной базы промышленных центров Свердловской области. РГАНИР, Фонд ГКО, д. 221, лл. 1-21,22-26 (11012).</w:t>
      </w:r>
    </w:p>
    <w:p w14:paraId="6C9CB9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37597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марта 1944 года По решению ГОКО в Свердловске организован филиал Всесоюзного института растениеводства (8950).</w:t>
      </w:r>
    </w:p>
    <w:p w14:paraId="614886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4DDE3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марта 1944 вышло Распоряжение ГКО № 5463. О своевременных поставках подшипниковой стали подшипниковым заводам НКСМ. РГАНИР, Фонд ГКО, д. 221, лл. 27 (11012).</w:t>
      </w:r>
    </w:p>
    <w:p w14:paraId="645238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14699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марта 1944 вышло Постановление ГКО № 5464 О неотложных мерах по восстановлению завода сельхозмашиностроения "Гомсельмаш" НКМВ в гор. Гомеле. РГАНИР, Фонд ГКО, д. 221, лл. 28-29,30-40 (11012).</w:t>
      </w:r>
    </w:p>
    <w:p w14:paraId="4C7887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6F6B7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марта 1944 вышло Постановление ГКО № 5465 Об организационно-технических мероприятиях и материально-техническом обеспечении жилищно-гражданского строительства, осуществляемого Наркомгражданстроем РСФСР. РГАНИР, Фонд ГКО, д. 221, лл. 41-47,48-60 (11012).</w:t>
      </w:r>
    </w:p>
    <w:p w14:paraId="01E5999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0422D2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5CA9E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2FEFAB"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25 марта</w:t>
      </w:r>
      <w:r w:rsidRPr="00070ADE">
        <w:rPr>
          <w:rFonts w:ascii="Times New Roman" w:hAnsi="Times New Roman"/>
          <w:color w:val="000000" w:themeColor="text1"/>
          <w:sz w:val="16"/>
          <w:szCs w:val="16"/>
        </w:rPr>
        <w:t xml:space="preserve"> в 1944 году оперативная сводка Совинформбюро:</w:t>
      </w:r>
    </w:p>
    <w:p w14:paraId="2F0A3210"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«Войска 1-го Украинского фронта после упорных боёв 25 марта штурмом овладели городом и крупным железнодорожным узлом Проскуров — сильным опорным пунктом обороны немцев и, продолжая развивать наступление, с боями заняли более 150 других населённых пунктов, в том числе районные центры Каменец-Подольской области — город и крупную железнодорожную станцию Деражня, город Сатанов, город Городок, Волковинцы, Чемировцы, Оринин, районные центры Тарнопольской области —город Бучач, город Борщёв, Скала, Буданов, крупные населённые пункты Бенява, Дарахов, Хмелёвка, Доброполе, Лясковце, Вежбовец, Устечко, Летава, Лянцкорунь, Ольховцы, Свиржковцы, Ивахновцы, Мудроголовы, Сказинцы, Копыстин, Масиовцы, Гатна Деражня, Галузинцы, Луки Барские, Комаровцы, Ивановцы и железнодорожные станции Закупное, Лесоводы, Виктория, Скибнево, Комаровцы, Бучач, Белобожница. Наши войска вплотную подошли к городу Каменец-Подольск, завязали бои на его окраинах и вышли на реку Днестр на фронте до 80 километров.</w:t>
      </w:r>
    </w:p>
    <w:p w14:paraId="352F5978"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западу и югу от города Могилёв-Подольский наши войска, продолжая развивать наступление, овладели районными центрами Молдавской ССР городом Единцы, Братушаны, а также с боями заняли более 50 других населённых пунктов, в том числе крупные населённые пункты Ожево, Кобольчин, Гвоздовцы, Мендыковцы, Корыстоуцы, Марковцы, Чепелевцы, Александрены, Стольничаны, Загайканы, Пыржота, Стурдзяны, Балан, Стрымба, Реуцел и железнодорожные станции Дондушени, Гринауцы, Окница, Секуряны, Реуцел.</w:t>
      </w:r>
    </w:p>
    <w:p w14:paraId="74881945"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Гайворон наши войска с боями продвигались вперёд и заняли более 40 населённых пунктов, среди которых крупные населённые пункты Рашков, Катериновка, Строинци, Большой Молокиш, Красненькое, Крутые, Слободзея, Ксендзовка, Мошняги, Мироны, Бендзары, Немировское, Пасат, и железнодорожную станцию Абамелеково.</w:t>
      </w:r>
    </w:p>
    <w:p w14:paraId="243E739D"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Николаевском направлении наши войска, преодолевая упорное сопротивление и контратаки противника, продолжали вести наступательные бои, в ходе которых овладели сильно укреплёнными опорными пунктами Погорелова, Мешково, Широкая Балка и железнодорожными станциями Кульбакино, Водопой (3 километра юго-восточнее города Николаев).</w:t>
      </w:r>
    </w:p>
    <w:p w14:paraId="0AE61825"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в ряде пунктов шли бои местного значения.</w:t>
      </w:r>
    </w:p>
    <w:p w14:paraId="3838E935"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24 марта наши войска на всех фронтах подбили и уничтожили 42 немецких танка. В воздушных боях и огнём зенитной артиллерии сбито 28 самолётов противника.</w:t>
      </w:r>
    </w:p>
    <w:p w14:paraId="7A575EB5"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успешное наступление. Тесня крупные силы противника, наши войска вчера овладели предместьем Проскурова — Заречье, а затем форсировали Южный Буг и завязали уличные бои в городе. Другие наши части ворвались в Проскуров с запада. В ожесточённых уличных боях немецкий гарнизон был разгромлен. Овладев городом Проскуров, наши войска захватили огромные трофеи и взяли свыше 1.000 пленных. На подступах к городу и на его улицах остались тысячи вражеских трупов и много разбитой техники противника. Наши подвижныеотряды, преследуя отступающих гитлеровцев, захватили более 3.000 автомашин с различными грузами.</w:t>
      </w:r>
    </w:p>
    <w:p w14:paraId="04D93866"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подвижные соединения стремительными ударами овладели городами Борщёв, Скала, районными центрами Каменец-Подольской области Чемировцы, Оринин. Вражеские гарнизоны этих и ряда других населённых пунктов разбиты. Многие немцы сложили оружие и сдались в плен. Тысячи гитлеровцев побросали оружие и разбежались по лесам. Пройдя с боями за день до 50 километров, наши войска вышли на подступы к городу Каменец-Подольску и завязали бои на его северной и западной окраинах.</w:t>
      </w:r>
    </w:p>
    <w:p w14:paraId="1C55513C"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городе Гусятин наши войска захватили у немцев 30 танков, 300 автомашин, 3 эшелона с артиллерией, большие склады с продовольствием, оружием, военным снаряжением и боеприпасами. В другом районе советским частям достались в исправном состоянии немецкие танки, в том числе 10 «Тигров» и 15 «Пантер». В городе Деражня захвачено свыше 1.000 автомашин и много других трофеев.</w:t>
      </w:r>
    </w:p>
    <w:p w14:paraId="101A3CC6"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западу и к югу от города Могилёв-Подольский наши войска успешно продвигались вперёд. Бойцы Н-ского соединения, развивая наступление, овладели районными центрами Молдавской ССР городом Единцы, Братушаны. Другие наши части штурмом заняли населённый пункт и железнодорожную станцию Реуцел и тем самым перерезали железную дорогу Бельцы-Яссы. Взято в плен несколько сот немецких солдат и офицеров. На окраинах города Бельцы продолжались бои. Преодолевая упорное сопротивление противника, советские части захватили выгодные позиции. В течение дня уничтожено до 2.000 солдат и офицеров противника.</w:t>
      </w:r>
    </w:p>
    <w:p w14:paraId="599A2077"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Гайворон немцы, опираясь на заранее подготовленный оборонительный рубеж, проходящий по оврагам около населённых пунктов Большой Молокиш, Крутые, оказывали упорное сопротивление. Противник сосредоточил здесь крупные силы и любой ценой пытался удержать в своих руках железную дорогу. Советские танкисты в ожесточённом бою разгромили части двух пехотных дивизий противника и прорвали оборону немцев. Другие наши части с боями продвинулись вперёд на 20 километров и вышли на подступы к городу Балта. Противник несёт огромные потери в живой силе и технике.</w:t>
      </w:r>
    </w:p>
    <w:p w14:paraId="08DC5957"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Баренцовом море наши корабли потопили немецкий транспорт водоизмещением в 10 тысяч тонн и сторожевой катер противника.</w:t>
      </w:r>
    </w:p>
    <w:p w14:paraId="085C057F"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Вчера Советское Информбюро сообщало о разгроме немецкого каравана судов в Финском заливе. Сегодня получены дополнительные сведения об этой успешной операции советских лётчиков. Наши штурмовики и истребители начали преследование вражеских судов рано утром. К двум часам дня советские лётчики потопили два транспорта водоизмещением по 2 тысячи тонн каждый, один сторожевой корабль и катер. Корабли противника вели сильный зенитный огонь. Снарядом был повреждён самолёт майора Каштанкина. Лётчик направил свой горящий самолёт на немецкий корабль и таранным ударом потопил его. Майор Каштанкин погиб смертью героя. Во второй половине дня наши лётчики настигли суда противника в порту Ассери. Сброшенными бомбами взорван и потоплен ещё один сторожевой корабль противника. Другой сторожевой корабль был подожжён. В результате бомбардировки в порту отмечен сильный взрыв. В воздушных боях сбито 6 немецких самолётов. Наши потери — 4 самолёта.</w:t>
      </w:r>
    </w:p>
    <w:p w14:paraId="4D4B9707" w14:textId="77777777" w:rsidR="00EB5859" w:rsidRPr="00070ADE" w:rsidRDefault="00EB585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Отряд латвийских партизан «Лачплесис» за две недели пустил под откос семь немецких воинских эшелонов. В бою с немецкой карательной экспедицией советские патриоты истребили 60 гитлеровцев. Группа латвийских партизан из отряда «Смерть немецким захватчикам» ночью проникла на железнодорожную станцию и заминировала входные стрелки. На поставленных партизанами минах подорвался немецкий воинский эшелон. Разбиты паровоз и 27 вагонов. Через несколько минут на обломки разбитого эшелона наскочил встречный поезд и также потерпел аварию. Железнодорожное сообщение на этом участке прервано на несколько дней.» (15079).</w:t>
      </w:r>
    </w:p>
    <w:p w14:paraId="67EDC2BB" w14:textId="77777777" w:rsidR="00EB5859" w:rsidRPr="00070ADE" w:rsidRDefault="00EB5859" w:rsidP="00B56F90">
      <w:pPr>
        <w:spacing w:after="0" w:line="240" w:lineRule="auto"/>
        <w:jc w:val="both"/>
        <w:rPr>
          <w:rFonts w:ascii="Times New Roman" w:hAnsi="Times New Roman"/>
          <w:color w:val="000000" w:themeColor="text1"/>
          <w:sz w:val="16"/>
          <w:szCs w:val="16"/>
        </w:rPr>
      </w:pPr>
    </w:p>
    <w:p w14:paraId="27545B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марта 1944 г. вышел ПРИКАЗ НАЧАЛЬНИКА ГАВТУ КА О ПОДНЯТИИ БОЕВОЙ ГОТОВНОСТИ АВТОМОБИЛЬНЫХ ЧАСТЕЙ КРАСНОЙ АРМИИ №042</w:t>
      </w:r>
    </w:p>
    <w:p w14:paraId="6A582E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повышения готовности автомобильных частей и учреждений, находящихся в действу</w:t>
      </w:r>
      <w:r w:rsidRPr="00070ADE">
        <w:rPr>
          <w:rFonts w:ascii="Times New Roman" w:hAnsi="Times New Roman"/>
          <w:color w:val="000000" w:themeColor="text1"/>
          <w:sz w:val="16"/>
          <w:szCs w:val="16"/>
        </w:rPr>
        <w:softHyphen/>
        <w:t>ющей армии, для борьбы с диверсионно-шпионскими группами, оставляемыми противником при отходе на нашей территории, - ПРИКАЗЫВАЮ:</w:t>
      </w:r>
    </w:p>
    <w:p w14:paraId="540A36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Потребовать от всех командиров автомобильных частей и подразделений:</w:t>
      </w:r>
    </w:p>
    <w:p w14:paraId="26CCC2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точного выполнения уставных требований по охране автомобильных частей и подразделений как при расположении на месте — сторожевое охранение, так и на марше — походное охранение;</w:t>
      </w:r>
    </w:p>
    <w:p w14:paraId="1848A9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особого внимания к охране грузов и транспортов в пути, что в значительной мере достигается строжайшим соблюдением дисциплины марша (нормальная растяжка колонн, отсутствие отстав</w:t>
      </w:r>
      <w:r w:rsidRPr="00070ADE">
        <w:rPr>
          <w:rFonts w:ascii="Times New Roman" w:hAnsi="Times New Roman"/>
          <w:color w:val="000000" w:themeColor="text1"/>
          <w:sz w:val="16"/>
          <w:szCs w:val="16"/>
        </w:rPr>
        <w:softHyphen/>
        <w:t>ших машин, меры наблюдения и охраны при всяких остановках и т.д.).</w:t>
      </w:r>
    </w:p>
    <w:p w14:paraId="368A0D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Для успешных действий частей и подразделений при нападении диверсионных групп, обучить весь личный состав автомобильных войск владению оружием и ручными гранатами. Для этой цели личный состав авточастей немедленно обеспечить положенным оружием.</w:t>
      </w:r>
    </w:p>
    <w:p w14:paraId="693871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План обороны своих объектов (рубежи обороны и огневые позиции, боевой расчет личного состава, порядок сбора по тревоге и пр.) иметь при всякой обстановке.</w:t>
      </w:r>
    </w:p>
    <w:p w14:paraId="35563B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Навести строжайший порядок в войсковых частях (учреждениях), применив решительные меры по охране штабов (учреждений) и автотранспорта по изолированию его от местного населения.</w:t>
      </w:r>
    </w:p>
    <w:p w14:paraId="483252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Начальникам управления эксплуатации и автоперевозок, ремонтного управления и автомо</w:t>
      </w:r>
      <w:r w:rsidRPr="00070ADE">
        <w:rPr>
          <w:rFonts w:ascii="Times New Roman" w:hAnsi="Times New Roman"/>
          <w:color w:val="000000" w:themeColor="text1"/>
          <w:sz w:val="16"/>
          <w:szCs w:val="16"/>
        </w:rPr>
        <w:softHyphen/>
        <w:t>бильных управлений фронтов (округов) донести мне о принятых мерах и достигнутых результатах к 1 мая 1944 г.</w:t>
      </w:r>
    </w:p>
    <w:p w14:paraId="4D83E4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Приказ объявить всему офицерскому составу автомобильных войск до командира роты вклю</w:t>
      </w:r>
      <w:r w:rsidRPr="00070ADE">
        <w:rPr>
          <w:rFonts w:ascii="Times New Roman" w:hAnsi="Times New Roman"/>
          <w:color w:val="000000" w:themeColor="text1"/>
          <w:sz w:val="16"/>
          <w:szCs w:val="16"/>
        </w:rPr>
        <w:softHyphen/>
        <w:t>чительно.</w:t>
      </w:r>
    </w:p>
    <w:p w14:paraId="57D424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ГАВТУ КА генерал-лейтенант технических войск Тягунов</w:t>
      </w:r>
    </w:p>
    <w:p w14:paraId="007E95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41. Оп. 11593. Д. 192. Л. 37. Копия (11403).</w:t>
      </w:r>
    </w:p>
    <w:p w14:paraId="132D73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A6910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марта 1944 советские войска освободили Проскуров (ныне Хмельницкий) (4962). 1944 году части 4-й советской танковой армии освободили от немцев Каменец-Подольский на Западной Украине. Гарнизон города до начала штурма: 9 000 солдат, 85 танков, 62 орудия и 300 пулеметов; советскими войсками было захвачено 72 танка и 400 автомашин</w:t>
      </w:r>
    </w:p>
    <w:p w14:paraId="7E16AF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4FA81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55EF43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F02B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марта 1944 года</w:t>
      </w:r>
    </w:p>
    <w:p w14:paraId="56B248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ЛИЧНО И СЕКРЕТНО ОТ ПРЕМЬЕРА И. В. СТАЛИНА ПРЕМЬЕР-МИНИСТРУ г-ну У. ЧЕРЧИЛЛЮ</w:t>
      </w:r>
    </w:p>
    <w:p w14:paraId="10964D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Мною произведена строгая проверка Вашего сообщения о том, что разглашение переписки между мною и Вами произошло по вине Советского Посольства в Лондоне и лично Посла Ф. Т. Гусева. Эта проверка показала, что ни Посольство, ни лично Ф Т. Гусев в этом совершенно неповинны и даже вовсе не имели некоторых из документов, содержание которых было оглашено в английских газетах. Таким образом, разглашение произошло не с советской, а с английской стороны. Гусев согласен пойти на любое расследование этого дела, чтобы доказать, что он и люди из его аппарата совершенно не причастны к делу разглашения содержания нашей </w:t>
      </w:r>
      <w:r w:rsidRPr="00070ADE">
        <w:rPr>
          <w:rFonts w:ascii="Times New Roman" w:hAnsi="Times New Roman"/>
          <w:color w:val="000000" w:themeColor="text1"/>
          <w:sz w:val="16"/>
          <w:szCs w:val="16"/>
        </w:rPr>
        <w:lastRenderedPageBreak/>
        <w:t>переписки. Мне кажется, что Вас ввели в заблуждение насчет Гусева и Советского Посольства (2430).</w:t>
      </w:r>
    </w:p>
    <w:p w14:paraId="712F84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0A403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F4EAE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86CF76"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25 марта</w:t>
      </w:r>
      <w:r w:rsidRPr="00070ADE">
        <w:rPr>
          <w:rFonts w:ascii="Times New Roman" w:hAnsi="Times New Roman"/>
          <w:color w:val="000000" w:themeColor="text1"/>
          <w:sz w:val="16"/>
          <w:szCs w:val="16"/>
        </w:rPr>
        <w:t xml:space="preserve"> в 1944 году в воздух поднялся очередной прототип – </w:t>
      </w:r>
      <w:hyperlink r:id="rId88" w:tgtFrame="_blank" w:history="1">
        <w:r w:rsidRPr="00070ADE">
          <w:rPr>
            <w:rFonts w:ascii="Times New Roman" w:hAnsi="Times New Roman"/>
            <w:color w:val="000000" w:themeColor="text1"/>
            <w:sz w:val="16"/>
            <w:szCs w:val="16"/>
          </w:rPr>
          <w:t xml:space="preserve">«Do-335V6» </w:t>
        </w:r>
      </w:hyperlink>
      <w:r w:rsidRPr="00070ADE">
        <w:rPr>
          <w:rFonts w:ascii="Times New Roman" w:hAnsi="Times New Roman"/>
          <w:color w:val="000000" w:themeColor="text1"/>
          <w:sz w:val="16"/>
          <w:szCs w:val="16"/>
        </w:rPr>
        <w:t>(CP+UF, W.Nr. 230006), предназначенный для испытаний оборудования. На этом прототипе испытывался, в частности, радиоальтиметр «FuG101». Полеты на шестом прототипе проводил Альтрогге. Вероятно (хотя точной информации нет), «V6» был дублером «V7» в программе испытаний двигателя «Jumo213», проводившихся летом 1944 года на фирме «Junkers» в Дессау. До этого времени испытания прототипов проходили без серьезных проблем. Единственным серьезным недостатком была недостаточность системы охлаждения заднего двигателя (15079).</w:t>
      </w:r>
    </w:p>
    <w:p w14:paraId="26D1B484" w14:textId="77777777" w:rsidR="004F35D0" w:rsidRPr="00070ADE" w:rsidRDefault="004F35D0" w:rsidP="00B56F90">
      <w:pPr>
        <w:spacing w:after="0" w:line="240" w:lineRule="auto"/>
        <w:jc w:val="both"/>
        <w:rPr>
          <w:rFonts w:ascii="Times New Roman" w:hAnsi="Times New Roman"/>
          <w:color w:val="000000" w:themeColor="text1"/>
          <w:sz w:val="16"/>
          <w:szCs w:val="16"/>
        </w:rPr>
      </w:pPr>
    </w:p>
    <w:p w14:paraId="1E8F5361" w14:textId="77777777" w:rsidR="00003C7F" w:rsidRPr="00070ADE" w:rsidRDefault="00003C7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марта 1944 британский двухмоторный самолет впервые приземляется на авианосец, когда лейтенант-коммандер Э. М. Браун приземляет военно-морской де Havilland Mosquito VI на британский авианосец HMS Indefatigable (20373).</w:t>
      </w:r>
    </w:p>
    <w:p w14:paraId="7B7E673B" w14:textId="77777777" w:rsidR="00003C7F" w:rsidRPr="00070ADE" w:rsidRDefault="00003C7F" w:rsidP="00B56F90">
      <w:pPr>
        <w:spacing w:after="0" w:line="240" w:lineRule="auto"/>
        <w:jc w:val="both"/>
        <w:rPr>
          <w:rFonts w:ascii="Times New Roman" w:hAnsi="Times New Roman"/>
          <w:color w:val="000000" w:themeColor="text1"/>
          <w:sz w:val="16"/>
          <w:szCs w:val="16"/>
        </w:rPr>
      </w:pPr>
    </w:p>
    <w:p w14:paraId="3B4B4F13" w14:textId="77777777" w:rsidR="00003C7F" w:rsidRPr="00070ADE" w:rsidRDefault="00003C7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25–26 марта (ночь) 1944 192 британских бомбардировщика без потерь атаковали железнодорожные станции в Аульном, Франция (20373).</w:t>
      </w:r>
    </w:p>
    <w:p w14:paraId="5325637E" w14:textId="77777777" w:rsidR="00003C7F" w:rsidRPr="00070ADE" w:rsidRDefault="00003C7F" w:rsidP="00B56F90">
      <w:pPr>
        <w:spacing w:after="0" w:line="240" w:lineRule="auto"/>
        <w:jc w:val="both"/>
        <w:rPr>
          <w:rFonts w:ascii="Times New Roman" w:hAnsi="Times New Roman"/>
          <w:color w:val="000000" w:themeColor="text1"/>
          <w:sz w:val="16"/>
          <w:szCs w:val="16"/>
        </w:rPr>
      </w:pPr>
    </w:p>
    <w:p w14:paraId="5C66BF93" w14:textId="77777777" w:rsidR="00003C7F" w:rsidRPr="00070ADE" w:rsidRDefault="00003C7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25–26 марта (ночь) 1944 22 Британских Ланкастеров без потерь ударил по заводу авиационных двигателей в Лионе, Франция (20373).</w:t>
      </w:r>
    </w:p>
    <w:p w14:paraId="6CD04C55" w14:textId="77777777" w:rsidR="00003C7F" w:rsidRPr="00070ADE" w:rsidRDefault="00003C7F" w:rsidP="00B56F90">
      <w:pPr>
        <w:spacing w:after="0" w:line="240" w:lineRule="auto"/>
        <w:jc w:val="both"/>
        <w:rPr>
          <w:rFonts w:ascii="Times New Roman" w:hAnsi="Times New Roman"/>
          <w:color w:val="000000" w:themeColor="text1"/>
          <w:sz w:val="16"/>
          <w:szCs w:val="16"/>
        </w:rPr>
      </w:pPr>
    </w:p>
    <w:p w14:paraId="5606ECD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марта 1944 после двух лет сооружения подземного туннеля в лагере Саган (128 км от Берлина) 76 военнопленных ночью бежали по нему (туннель был снабжен вентиляцией и железной дорогой) (4962).</w:t>
      </w:r>
    </w:p>
    <w:p w14:paraId="62B8D97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7C3A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марта 1944 летчики союзников совершали массовый побег из немецкого концлагеря Stalag Luft (2247,2).</w:t>
      </w:r>
    </w:p>
    <w:p w14:paraId="00E39D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0C90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March 25, 1944. Fifteenth Air Force crews close the Brenner Pass between Italy and Austria. This mission, against the Aviso viaduct, is the first operational use of the VB-I Azon (Azimuth Only) radio-controlled bomb (1089).</w:t>
      </w:r>
    </w:p>
    <w:p w14:paraId="78125E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3B0A1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марта 1944 15ВА перекрыла перевал Бреннер между Италией и Австрией и впервые была использована радиоуправляемая бомба VB-I Azon (Azimuth Only) (2247,2).</w:t>
      </w:r>
    </w:p>
    <w:p w14:paraId="5A2128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2CEFA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7F1EF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7506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26/28 марта 1944 вышел приказ командующего ВВС и НКАП N 061/219с "О проведении войсковых испытаний винтов АВ-5Л-158 с текстолитовыми радиальными подшипниками на самолетах Ил-2 с АМ-38Ф к 1 июня 1944" (1627,72).</w:t>
      </w:r>
    </w:p>
    <w:p w14:paraId="6F8B28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95CA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26 марта по 2 апреля 1944 на аэродроме у Медвежьих озер на базе отдельной испытательной эскадрильи проходил первый этап испытаний 37-мм противотанковых пушек. Второй этап - стрельбы - проходил на курсах им. Ворошилова с 3 по 18 апреля 1944 (3861).</w:t>
      </w:r>
    </w:p>
    <w:p w14:paraId="3576D6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1000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года инженер-подполковник Кокорин подготовил Рапорт выводов по результатам проведенных в г. Иркутске на заводе N 39 испытаний головных серийных модифицированных самолетов N 7013901 с винтами АВ5 116 и N 7013903 с винтами ВИШ 24</w:t>
      </w:r>
    </w:p>
    <w:p w14:paraId="1FE6C5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w:t>
      </w:r>
    </w:p>
    <w:p w14:paraId="732C3F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Выводы подлежат проверке и уточнению и редактированию в процессе дальнейших испытаний самолетов Ер-2 N 7013901 2АЧ30Б с винтами АВ5 116 на аэродроме НИИ ВВС в Чкаловской.</w:t>
      </w:r>
    </w:p>
    <w:p w14:paraId="039340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Выводы действительны только после утверждения гл. инженером ВВС генерал-полковником Репиным, начальником НИИ ВВС генерал-лейтенантом ИАС Лосюковым и гл. инженером АДД Марковым.</w:t>
      </w:r>
    </w:p>
    <w:p w14:paraId="430C8D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Проект выводов подлежит возвращению НИИ ВВС после получения директором завода акта по испытаниям самолета Ер-2 N 7013901.</w:t>
      </w:r>
    </w:p>
    <w:p w14:paraId="538B5E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Директору завода N 39 Абрамову.</w:t>
      </w:r>
    </w:p>
    <w:p w14:paraId="24A5B80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Направляю проект выводов.</w:t>
      </w:r>
    </w:p>
    <w:p w14:paraId="0491C1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 Иркутске проведены на заводе N 39 испытания головных серийных модифицированных самолетов Ер-2 N 7013901 с мотором 2-АЧ-30Б и винтами АВ-5 и АМ3 116 и N 7013903 и винтами АЧ и ВИШ-24.</w:t>
      </w:r>
    </w:p>
    <w:p w14:paraId="66B1A2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испытаний на самолете N 70139701 произведено 15 полетов общей продолжительностью 2. часов 7 мин. и на самолете N 7013903 11 полетов продолжительностью 18 часов 10 минут.</w:t>
      </w:r>
    </w:p>
    <w:p w14:paraId="47A983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7013901 из полетов выполнены 6, остальные полеты были прекращены из-за конструктивной неисправности материальной части в полете.</w:t>
      </w:r>
    </w:p>
    <w:p w14:paraId="4D28BB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701393 из 11 полетов выполнено 9 и только 2 полета прекращены по конструктивной неисправности материальной части в полете.</w:t>
      </w:r>
    </w:p>
    <w:p w14:paraId="2EAAFA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испытаний получены следующие данные по максимальной скорости и скороподъемности:</w:t>
      </w:r>
    </w:p>
    <w:p w14:paraId="70495F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горизонтального полета, скороподъемность с полетным весом: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0A8F322D" w14:textId="77777777">
        <w:tc>
          <w:tcPr>
            <w:tcW w:w="5636" w:type="dxa"/>
          </w:tcPr>
          <w:p w14:paraId="49D185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 в м</w:t>
            </w:r>
          </w:p>
        </w:tc>
        <w:tc>
          <w:tcPr>
            <w:tcW w:w="5636" w:type="dxa"/>
          </w:tcPr>
          <w:p w14:paraId="060861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w:t>
            </w:r>
          </w:p>
        </w:tc>
      </w:tr>
      <w:tr w:rsidR="004D4663" w:rsidRPr="00070ADE" w14:paraId="6FABA0E3" w14:textId="77777777">
        <w:tc>
          <w:tcPr>
            <w:tcW w:w="5636" w:type="dxa"/>
          </w:tcPr>
          <w:p w14:paraId="3284A1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2523F6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высоты в мин.</w:t>
            </w:r>
          </w:p>
        </w:tc>
      </w:tr>
      <w:tr w:rsidR="004D4663" w:rsidRPr="00070ADE" w14:paraId="4CF53689" w14:textId="77777777">
        <w:tc>
          <w:tcPr>
            <w:tcW w:w="5636" w:type="dxa"/>
          </w:tcPr>
          <w:p w14:paraId="26480C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tc>
        <w:tc>
          <w:tcPr>
            <w:tcW w:w="5636" w:type="dxa"/>
          </w:tcPr>
          <w:p w14:paraId="35244E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tc>
      </w:tr>
      <w:tr w:rsidR="004D4663" w:rsidRPr="00070ADE" w14:paraId="06EE50B7" w14:textId="77777777">
        <w:tc>
          <w:tcPr>
            <w:tcW w:w="5636" w:type="dxa"/>
          </w:tcPr>
          <w:p w14:paraId="763A0E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tc>
        <w:tc>
          <w:tcPr>
            <w:tcW w:w="5636" w:type="dxa"/>
          </w:tcPr>
          <w:p w14:paraId="2C48FB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4,38</w:t>
            </w:r>
          </w:p>
        </w:tc>
      </w:tr>
      <w:tr w:rsidR="004D4663" w:rsidRPr="00070ADE" w14:paraId="3FE3E7FA" w14:textId="77777777">
        <w:tc>
          <w:tcPr>
            <w:tcW w:w="5636" w:type="dxa"/>
          </w:tcPr>
          <w:p w14:paraId="7F9B21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2000</w:t>
            </w:r>
          </w:p>
        </w:tc>
        <w:tc>
          <w:tcPr>
            <w:tcW w:w="5636" w:type="dxa"/>
          </w:tcPr>
          <w:p w14:paraId="7D6C54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8,76</w:t>
            </w:r>
          </w:p>
        </w:tc>
      </w:tr>
      <w:tr w:rsidR="004D4663" w:rsidRPr="00070ADE" w14:paraId="42D89B99" w14:textId="77777777">
        <w:tc>
          <w:tcPr>
            <w:tcW w:w="5636" w:type="dxa"/>
          </w:tcPr>
          <w:p w14:paraId="25473D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3000</w:t>
            </w:r>
          </w:p>
        </w:tc>
        <w:tc>
          <w:tcPr>
            <w:tcW w:w="5636" w:type="dxa"/>
          </w:tcPr>
          <w:p w14:paraId="38FC51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13,14</w:t>
            </w:r>
          </w:p>
        </w:tc>
      </w:tr>
      <w:tr w:rsidR="004D4663" w:rsidRPr="00070ADE" w14:paraId="3D2D00C7" w14:textId="77777777">
        <w:tc>
          <w:tcPr>
            <w:tcW w:w="5636" w:type="dxa"/>
          </w:tcPr>
          <w:p w14:paraId="0AD611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4000</w:t>
            </w:r>
          </w:p>
        </w:tc>
        <w:tc>
          <w:tcPr>
            <w:tcW w:w="5636" w:type="dxa"/>
          </w:tcPr>
          <w:p w14:paraId="516C27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17,9</w:t>
            </w:r>
          </w:p>
        </w:tc>
      </w:tr>
      <w:tr w:rsidR="004D4663" w:rsidRPr="00070ADE" w14:paraId="65770A12" w14:textId="77777777">
        <w:tc>
          <w:tcPr>
            <w:tcW w:w="5636" w:type="dxa"/>
          </w:tcPr>
          <w:p w14:paraId="0283AE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5000</w:t>
            </w:r>
          </w:p>
        </w:tc>
        <w:tc>
          <w:tcPr>
            <w:tcW w:w="5636" w:type="dxa"/>
          </w:tcPr>
          <w:p w14:paraId="10CB61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23,85</w:t>
            </w:r>
          </w:p>
        </w:tc>
      </w:tr>
      <w:tr w:rsidR="004D4663" w:rsidRPr="00070ADE" w14:paraId="5000A1EC" w14:textId="77777777">
        <w:tc>
          <w:tcPr>
            <w:tcW w:w="5636" w:type="dxa"/>
          </w:tcPr>
          <w:p w14:paraId="22CA45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6000</w:t>
            </w:r>
          </w:p>
        </w:tc>
        <w:tc>
          <w:tcPr>
            <w:tcW w:w="5636" w:type="dxa"/>
          </w:tcPr>
          <w:p w14:paraId="44E2E8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31,6</w:t>
            </w:r>
          </w:p>
        </w:tc>
      </w:tr>
      <w:tr w:rsidR="004D4663" w:rsidRPr="00070ADE" w14:paraId="7027AB9D" w14:textId="77777777">
        <w:tc>
          <w:tcPr>
            <w:tcW w:w="5636" w:type="dxa"/>
          </w:tcPr>
          <w:p w14:paraId="4350AA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7000</w:t>
            </w:r>
          </w:p>
        </w:tc>
        <w:tc>
          <w:tcPr>
            <w:tcW w:w="5636" w:type="dxa"/>
          </w:tcPr>
          <w:p w14:paraId="08B3AE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42,3</w:t>
            </w:r>
          </w:p>
        </w:tc>
      </w:tr>
      <w:tr w:rsidR="004D4663" w:rsidRPr="00070ADE" w14:paraId="7647B838" w14:textId="77777777">
        <w:tc>
          <w:tcPr>
            <w:tcW w:w="5636" w:type="dxa"/>
          </w:tcPr>
          <w:p w14:paraId="3CEF8F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8000</w:t>
            </w:r>
          </w:p>
        </w:tc>
        <w:tc>
          <w:tcPr>
            <w:tcW w:w="5636" w:type="dxa"/>
          </w:tcPr>
          <w:p w14:paraId="4D70AA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tc>
      </w:tr>
      <w:tr w:rsidR="004D4663" w:rsidRPr="00070ADE" w14:paraId="7F5D7C98" w14:textId="77777777">
        <w:tc>
          <w:tcPr>
            <w:tcW w:w="5636" w:type="dxa"/>
          </w:tcPr>
          <w:p w14:paraId="387330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8250</w:t>
            </w:r>
          </w:p>
        </w:tc>
        <w:tc>
          <w:tcPr>
            <w:tcW w:w="5636" w:type="dxa"/>
          </w:tcPr>
          <w:p w14:paraId="360F2D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w:t>
            </w:r>
          </w:p>
        </w:tc>
      </w:tr>
    </w:tbl>
    <w:p w14:paraId="4081D2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w:t>
      </w:r>
    </w:p>
    <w:p w14:paraId="4F8768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Жалюзи водорадиаторов открыты на 10 градусов, маслорадиаторы на 20 градусов. Оружие в походном положении. Бомбы внутри фюзеляжа.</w:t>
      </w:r>
    </w:p>
    <w:p w14:paraId="18CAAD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Практический потолок 8250 м.</w:t>
      </w:r>
    </w:p>
    <w:p w14:paraId="326345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Набор практического потолка 1 час 30 мин.</w:t>
      </w:r>
    </w:p>
    <w:p w14:paraId="2569A1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Аэродинамическая поправка у самолета Ер-2 равна 0.</w:t>
      </w:r>
    </w:p>
    <w:p w14:paraId="607345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Указанные данные подлежат проверке и уточнению в НИИ ВВС, т.к. испытательную аппаратуру тарировать на заводе с достаточной точностью не представлялось возможным. Техническая дальность полета самолета не может быть определена до проведения специальных полетов на дальность. Весовые данные также будут проверены на весах в НИИ ВВС, т.к. имеющиеся на заводе весы не позволяют достаточно точно определить весовые данные самолета. В условиях завода возможно будет только проверить бомбардировочное вооружение со сбросом бомб ФАБ-100 и ФАБ-500 на земле как с внутренних, так и с наружных держателей. Проверка бомбардировочного вооружения будет проведена в НИИ ВВС, т.к. на заводе нет полигона для бомбометания.</w:t>
      </w:r>
    </w:p>
    <w:p w14:paraId="414E2F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Дефекты, выявленные в процессе испытания, вновь вам были предъявлены и приняты вами и гл. конструктором к устранению, согласно протокола от 25 марта 1944 года.</w:t>
      </w:r>
    </w:p>
    <w:p w14:paraId="6F8B8B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Проект выводов на 11 листах.</w:t>
      </w:r>
    </w:p>
    <w:p w14:paraId="578225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Ведущий инженер НИИ ВВС инженер-подполковник Кокорин 3 апреля 1944 года.</w:t>
      </w:r>
    </w:p>
    <w:p w14:paraId="36E4CB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025FFC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Полетные данные.</w:t>
      </w:r>
    </w:p>
    <w:p w14:paraId="375F6A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Максимальная скорость горизонтального полета самолета Ер-2 с нормальным полетным весом 14600 кг. Оружие в походном положении. Жалюзи маслорадиаторов открыты на 15 градусов и водорадиаторов на 8 градусов; подлежат уточнению в НИИ ВВС.</w:t>
      </w:r>
    </w:p>
    <w:p w14:paraId="6292BB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Наружная подвеска ФАБ-500 уменьшает максимальную скорость горизонтального полета с нормальным полетным весом 14600 кг. Величина уменьшения скорости будет установлена после уточнения максимальной скорости в НИИ ВВС.</w:t>
      </w:r>
    </w:p>
    <w:p w14:paraId="323EAE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3. Практический потолок самолета определен не был вследствие падения давления масла до недопустимого предела на высотах выше 6500-7000 м.</w:t>
      </w:r>
    </w:p>
    <w:p w14:paraId="29BF4F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Самолет с нормальным полетным весом 14600 кг позволяет выполнять виражи с глубиной крена до 45-50 градусов на скорости 290-300 км/час по приборам. На Виражах самолет устойчив и легко управляем.</w:t>
      </w:r>
    </w:p>
    <w:p w14:paraId="2B6927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Горизонтальный полет самолета с полетным весом 13600 кг на одном работающем моторе на номинальной мощности с правым выключенным винтом выключенного мотора установить на большой шаг невозможно. В этих условиях самолет снижается:</w:t>
      </w:r>
    </w:p>
    <w:p w14:paraId="7C2A0B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 высоте 400 м со скоростью 1,5 м в сек.</w:t>
      </w:r>
    </w:p>
    <w:p w14:paraId="73FC37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 высоте 2000 м и ниже со скоростью 0,25 м в сек.</w:t>
      </w:r>
    </w:p>
    <w:p w14:paraId="2DE869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левым работающим мотором 0,75 в сек., с правым работающим мотором скорость снижения увеличивается на 0,75 - 1,25 м в сек. при установке винта выключенного мотора на легкий шаг.</w:t>
      </w:r>
    </w:p>
    <w:p w14:paraId="482935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Разбег самолета с полетным весом 14600 кг не определен.</w:t>
      </w:r>
    </w:p>
    <w:p w14:paraId="6FF684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Пробег самолета меньше, чем у опытного самолета Ер-2 N 4. Эффективность тормозов новых колес недостаточна.</w:t>
      </w:r>
    </w:p>
    <w:p w14:paraId="5F5599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Техническая дальность полета самолета будет указана после проведения специальных полетов на дальность на высотах 1000-5000 и 6000 м.</w:t>
      </w:r>
    </w:p>
    <w:p w14:paraId="71ED34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Устойчивость самолета и техника пилотирования.</w:t>
      </w:r>
    </w:p>
    <w:p w14:paraId="33FD93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Устойчивость самолета путевая хорошая, поперечная удовлетворительная и продольная нейтральная, с незначительным положительным градиентом на скорости более 290-300 км/час (Вес 14600 кг, центровка 27%).</w:t>
      </w:r>
    </w:p>
    <w:p w14:paraId="220B6B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Самолет с полетным весом 14600 кг устойчиво удерживается во время горизонтального полета с брошенным управлением на скорости 290-300 км/час и выше. На меньших скоростях самолет с брошенным управлением в режиме горизонтального полета удерживается в течение 10-20 сек., после чего начинается планирование с стремлением перейти в спираль.</w:t>
      </w:r>
    </w:p>
    <w:p w14:paraId="2B39D5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На взлете тенденция к развороту незначительная и самолет легко удерживается в направлении взлета отклонением рулей поворота.</w:t>
      </w:r>
    </w:p>
    <w:p w14:paraId="64BB73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Техника выполнения посадок проста. Тенденции к сваливанию на крыло при нормальной высоте выдерживания нет. Запас рулей для выполнения трехточечной посадки вполне достаточен.</w:t>
      </w:r>
    </w:p>
    <w:p w14:paraId="065A4F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Минимальная безопасная скорость горизонтального полета самолета с полетным весом 14600 кг равна 230 кг/час по приборам. Начальная потеря эффективности рулей высоты, поворота и элеронов наступает на скорости 190 км/час по приборам. Непроизвольный срыв в штопор от потери скорости в горизонтальном полете наступает при скорости 180 км/час по приборам.</w:t>
      </w:r>
    </w:p>
    <w:p w14:paraId="51A1AD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В горизонтальном полете самолет легко балансируется триммерами на всем диапазоне скорости от 230 км/час по приборам до максимальной.</w:t>
      </w:r>
    </w:p>
    <w:p w14:paraId="428C770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Техника пилотирования самолетом проста. Управление легкое. Самолет по технике пилотирования легко доступен летчику средней квалификации, проще самолетов Ил-4 и Пе-2.</w:t>
      </w:r>
    </w:p>
    <w:p w14:paraId="21BF42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весовым данным.</w:t>
      </w:r>
    </w:p>
    <w:p w14:paraId="415B85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Вес пустого самолета равен 10350 кг и больше веса пустого опытного самолета Ер-2 N 4 на 340 кг, вследствие:</w:t>
      </w:r>
    </w:p>
    <w:p w14:paraId="6F2248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замены колес</w:t>
      </w:r>
    </w:p>
    <w:p w14:paraId="1154AB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установки турели ТУМ-5</w:t>
      </w:r>
    </w:p>
    <w:p w14:paraId="783D79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бронирования мест второго пилота,</w:t>
      </w:r>
    </w:p>
    <w:p w14:paraId="696A0D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конструктивных изменений вследствие модификации.</w:t>
      </w:r>
    </w:p>
    <w:p w14:paraId="249482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Нормальный полетный вес самолета равен 14640 кг и больше нормального полетного веса опытного самолета Ер-2 N 4 на 450 кг вследствие его увеличения:</w:t>
      </w:r>
    </w:p>
    <w:p w14:paraId="705B64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вес пустого самолета 340 кг,</w:t>
      </w:r>
    </w:p>
    <w:p w14:paraId="7D3B21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вес нагрузки 110 кг.</w:t>
      </w:r>
    </w:p>
    <w:p w14:paraId="606ED0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Максимальный полетный вес самолета с 1000 кг бомбами равен без подвесных бомб 16650 кг, с подвесными бомбами 18060 кг.</w:t>
      </w:r>
    </w:p>
    <w:p w14:paraId="163059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стрелковому вооружению.</w:t>
      </w:r>
    </w:p>
    <w:p w14:paraId="57EE96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Стрелковая установка НУ-134 под пулемет УБТ-12,7 мм после устранения дефектов в процессе испытания работала удовлетворительно. Количество задержек пулевой установки составляет 0,69% от общего количества произведенных 1600 выстрелов на земле и в воздухе.</w:t>
      </w:r>
    </w:p>
    <w:p w14:paraId="771FD2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Предъявленная серийная стрелковая установка НУ-134 имеет ряд конструктивных изменений по сравнению с опытной, вследствие чего имеет ряд дефектов, устранение которых обязательно до передачи самолета в строевые части.</w:t>
      </w:r>
    </w:p>
    <w:p w14:paraId="1ACBA2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Люковая установка Лу УБК под пулемет УБК 12,7 мм работала хорошо. Количество задержек пулевой установки равно 0,14% от общего количества произведенных 390 выстрелов на земле и в воздухе.</w:t>
      </w:r>
    </w:p>
    <w:p w14:paraId="112DD8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Замена ЛУ-ОБК пулемета УБТ 12,7 мм на пулемет 12,7 мм УБК. Установка пневмоперезарядки пулемета. Вместо ручной перезарядки, установка пружинного компенсатора, облегчающего маневрирование оружием в вертикальной плоскости значительно облегчила эксплуатацию стрелковой установки. ЛУ-УБК на самолете Ер-2 по сравнению с однотипными установками на других самолетах (Ил-4, Пе-2).</w:t>
      </w:r>
    </w:p>
    <w:p w14:paraId="26D337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Турельная установка ТУМ-5 под пушку Швак калибра 20 мм после устранения дефектов в процессе испытаний обеспечила безотказную стрельбу. Количество задержек пулевой установки составляет 0,31% от общего количества произведенных 2200 выстрелов на земле и в воздухе. Задержки по вине гильзоотвода после доработки не повторялись.</w:t>
      </w:r>
    </w:p>
    <w:p w14:paraId="100960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Третья угловая скорость вращения турели в воздухе увеличивает диапазон доводки после плюс 3 градусов и минус 15 градусов удовлетворительно.</w:t>
      </w:r>
    </w:p>
    <w:p w14:paraId="52BD2A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Недостаточна мощность электромотора МУ-510, установленного для вращения ТУМ-5 с полным боевым снаряжением и аэрокомпенсацией. Потребляемая мощность при работе с турелью в воздухе при высоких температурах и больших скоростях полета возрастает в течение 3 или 4 сек. до 1350 ватт, вследствие чего предохранители на 40 амп. перегорают.</w:t>
      </w:r>
    </w:p>
    <w:p w14:paraId="3E160D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Ручное вращение турели тяжелое, повернуть турель вручную в воздухе больше чем на 75 градусов влево и на 45-50 градусов вправо невозможно, аэрокомпенсация же турели мало эффективна.</w:t>
      </w:r>
    </w:p>
    <w:p w14:paraId="6F0D32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Рассеивание установки в вертикальной плоскости велико и в 2 раза превышает тактико-технические требования.</w:t>
      </w:r>
    </w:p>
    <w:p w14:paraId="68603B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Углы доводки пушки вправо (плюс 3 градуса) недостаточны. На углах доводки влево - 15 градусов происходит сваливание оружия до 6 градусов.</w:t>
      </w:r>
    </w:p>
    <w:p w14:paraId="4EE9AC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Управление огнем и электроуправление турелью раздельные, не сосредоточенные в одной ручке, вследствие этого стрелок при доводке турели отвлекается от стрельбы. Отсутствует разработанная установка фотопулемета на всех стрелковых установках.</w:t>
      </w:r>
    </w:p>
    <w:p w14:paraId="757969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бомбардировочному вооружению.</w:t>
      </w:r>
    </w:p>
    <w:p w14:paraId="4DE26E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Механическое управление аварийного сбрасывания бомб имеет большие люфты 22-25% хода ручки аварийного сбрасывателя, вследствие чего отрегулировать положение кулачковых валиков и предохранительных реек на кассетах соответственно положению АСП и АСШ-340 невозможно.</w:t>
      </w:r>
    </w:p>
    <w:p w14:paraId="02AAEC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Люфты в управлении аварийного сбрасывателя бомб образуются вследствие сложной конструкции и большого количества передаточных механизмов в управлении, производственных отступлений при монтаже в АСП и АСШ.</w:t>
      </w:r>
    </w:p>
    <w:p w14:paraId="724D3B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 Усилие на ручки АСП и АСШ выше в 1,5-2 раза допустимого по техническим требованиям, вследствие:</w:t>
      </w:r>
    </w:p>
    <w:p w14:paraId="17FE70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перекосов при установке распределительных коробочек по отношению друг к другу во всех трех плоскостях, что влечет за собой поворачивание коробочек и нарушение кинематики,</w:t>
      </w:r>
    </w:p>
    <w:p w14:paraId="173CCE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тугого вращения вертикальных валиков на Дер-19-20, вследствие загрязнения в производстве подшипников грязью и стружками при монтаже,</w:t>
      </w:r>
    </w:p>
    <w:p w14:paraId="12CA63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перекосов и биения вертикальных валиков,</w:t>
      </w:r>
    </w:p>
    <w:p w14:paraId="7947F6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трения вертикальных валиков о станки валиков,</w:t>
      </w:r>
    </w:p>
    <w:p w14:paraId="58B5EC0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малого угла опережения кулачков, 8-10 градусов, что приводит к одновременному нажатию кулачка вертикального валика, кассет и спусковых штырей замков,</w:t>
      </w:r>
    </w:p>
    <w:p w14:paraId="562D2D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 большое количество механизмов типа соединений сложны в производстве, требуют высокого класса точности в изготовлении и при отклонениях в производственном выполнении нарушают кинематику.</w:t>
      </w:r>
    </w:p>
    <w:p w14:paraId="1E40EA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 Присоединение жгутов к электропроводке, к АД-2 и АД-3 выполнено на КР-1 ненадежно, к эксплуатации непригодно.</w:t>
      </w:r>
    </w:p>
    <w:p w14:paraId="3B79C2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 Отсутствует блокировка нижних концов кассет к АД-2 и АД-.. через блок контакта бомболюков, вследствие чего возможен сбор бомб при закрытых бомболюках, при выключенной вилке в розетке, деблокировка бомболюков.</w:t>
      </w:r>
    </w:p>
    <w:p w14:paraId="4925B0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 Не обеспечены углы визирования для прицела НКПБ-7 при открытом и закрытом положении лючка под НКПБ-7.</w:t>
      </w:r>
    </w:p>
    <w:p w14:paraId="45F7190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облегчения эксплуатации бомбардировочного вооружения и обеспечения надежности его работы необходимо:</w:t>
      </w:r>
    </w:p>
    <w:p w14:paraId="33885F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уменьшить усилия на ручку АСП и АСШ до 25 кг,</w:t>
      </w:r>
    </w:p>
    <w:p w14:paraId="11CCA3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уменьшить ход ручки АСП и АСШ до убирания люфта управления до 4-6 градусов,</w:t>
      </w:r>
    </w:p>
    <w:p w14:paraId="729A22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снять предохранительные рейки кассет к АД-2 и АД-3,</w:t>
      </w:r>
    </w:p>
    <w:p w14:paraId="1E2734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опереженье вертикальных валиков установить 40 градусов вместо 8-5 градусов,</w:t>
      </w:r>
    </w:p>
    <w:p w14:paraId="610372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заменить соединение жгутов на КР-1 на соединение типа Кенон,</w:t>
      </w:r>
    </w:p>
    <w:p w14:paraId="5C5A7A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 на аварийной проводке сбрасывателя сделать разъем, отключив управление кассет до первого хода АСШ,</w:t>
      </w:r>
    </w:p>
    <w:p w14:paraId="1613AD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ж) установить блокировку нижних замков кассет к АД-2 и АД-3 через бомболюк.</w:t>
      </w:r>
    </w:p>
    <w:p w14:paraId="0BF4D2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 Для разработки новых кассет монтаж бомбардировочного оборудования на заводе N 39 взять под особый контроль со стороны ОТК и военной приемки.</w:t>
      </w:r>
    </w:p>
    <w:p w14:paraId="4A4357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спецоборудованию.</w:t>
      </w:r>
    </w:p>
    <w:p w14:paraId="148907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 Специальное оборудование, установленное на самолете по своему объему и назначению соответствует техническим требованиям, предъявляемым для дальнего двухмоторного бомбардировщика.</w:t>
      </w:r>
    </w:p>
    <w:p w14:paraId="67DEB7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 Источник электроэнергии на самолете - 2 электрогенератора ГС-1000 и аккумуляторная батарея 12А30. При установке двух моторов СБ, шасси и посадочных щитков и двух фар типа СС-240 с лампами по 500 ватт, это конечно нормального потребления электроэнергии не обеспечит (см. энергетический баланс) и требует замены на более мощный генератор типа ГС-1500.</w:t>
      </w:r>
    </w:p>
    <w:p w14:paraId="662F0F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 Примененное на самолете ультрафиолетовое облучение приборов и агрегатов является более удобным средством освещения, чем применявшийся на опытном самолете Ер-2 N 4 фотосвет через плексиглас, и может быть рекомендован для серии при условии устранения дефектов на УФО, указанных в отчете:</w:t>
      </w:r>
    </w:p>
    <w:p w14:paraId="366948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 При полетах на высотах выше 6 тыс. м давление масла резко падает и выполнение полета становится затруднительным вследствие возможного выхода мотора из строя.</w:t>
      </w:r>
    </w:p>
    <w:p w14:paraId="00036B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 Плохое качество масляных шлангов, подводящих масло к ТК и к нагнетателю, к лампе. Шланги разбухают и подача масла нарушается.</w:t>
      </w:r>
    </w:p>
    <w:p w14:paraId="1E363B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конструктивным изменениям.</w:t>
      </w:r>
    </w:p>
    <w:p w14:paraId="21A336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 Замена турели ТУМ-2 с пулеметом УБТ калибра 12,7 мм на турель ТУМ-5 с пушкой Швак 20 мм значительно усилила оборону самолета сзади верхней полусферы.</w:t>
      </w:r>
    </w:p>
    <w:p w14:paraId="0D7FC9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 Оборудование кабины для размещения двух пилотов рядом облегчает боевую эксплуатацию самолета и подготовку и вывозку летного состава на самолете Ер-2.</w:t>
      </w:r>
    </w:p>
    <w:p w14:paraId="7A5985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 Поставленные колеса шасси размером 1325х485 вместо 1200х450 отвечают полетным весом самолета, но эффективность торможения колес, при давлении в тормозах 10 атм, недостаточна. Кроме того колеса по конструктивному выполнению недоработаны. Масло из мотогондол попадает на тормоза и выводит их из строя.</w:t>
      </w:r>
    </w:p>
    <w:p w14:paraId="57611D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 Увеличение площади вертикального и горизонтального оперенья улучшило управляемость самолетом и его летные качества (1823).</w:t>
      </w:r>
    </w:p>
    <w:p w14:paraId="43BC3B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30884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BE9E4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E5D2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г. была подготовлена ДОКЛАДНАЯ ЗАПИСКА КОМАНДУЮЩЕГО БТ и МВ КА ЧЛЕНУ ГКО Л.П.БЕРИИ ОБ УСИЛЕНИИ БРОНИРОВАНИЯ НОСОВОЙ ЧАСТИ ТАНКА Т-34</w:t>
      </w:r>
    </w:p>
    <w:p w14:paraId="59B8FB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Отечественной войны резко изменилось противотанковое и танковое вооружение немецкой армии. Немцы применяют противотанковые и танковые пушки калибра 72 и 88 мм с начальными скоростями снаряда до 900 м/с, а также противотанковые пушки калибра 20/28, 28/42 и 55/75 мм с коническими стволами, имеющими начальные скорости до 1400 м/с.</w:t>
      </w:r>
    </w:p>
    <w:p w14:paraId="2896D8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Броневая защита танков Т-34 с начала Отечественной войны не изменялась и в настоящее время является, безусловно, неудовлетворительной против новых противотанковых снарядов и танкового вооружения немецкой армии.</w:t>
      </w:r>
    </w:p>
    <w:p w14:paraId="3E06A5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более успешного применения танков на фронте считаю необходимым перейти на изготов</w:t>
      </w:r>
      <w:r w:rsidRPr="00070ADE">
        <w:rPr>
          <w:rFonts w:ascii="Times New Roman" w:hAnsi="Times New Roman"/>
          <w:color w:val="000000" w:themeColor="text1"/>
          <w:sz w:val="16"/>
          <w:szCs w:val="16"/>
        </w:rPr>
        <w:softHyphen/>
        <w:t>ление танков Т-34 со следующими изменениями.</w:t>
      </w:r>
    </w:p>
    <w:p w14:paraId="201398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Увеличить толщину брони:</w:t>
      </w:r>
    </w:p>
    <w:p w14:paraId="2ABDA1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верхнего лобового листа корпуса с 45 до 80 мм;</w:t>
      </w:r>
    </w:p>
    <w:p w14:paraId="47F94A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нижнего лобового листа корпуса с 45 до 60 мм;</w:t>
      </w:r>
    </w:p>
    <w:p w14:paraId="41A814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лобовой части башни и лобового щита пушки до 90 мм.</w:t>
      </w:r>
    </w:p>
    <w:p w14:paraId="6820BC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Для снижения общего веса танка провести уменьшение толщины брони в отдельных местах, менее поражаемых.</w:t>
      </w:r>
    </w:p>
    <w:p w14:paraId="4AE1AB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Упразднить курсовой пулемет и защиту ДТ и отдельные детали корпуса.</w:t>
      </w:r>
    </w:p>
    <w:p w14:paraId="4E6FC5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Для облегчения веса передней части танка, перенести топливные баки из боевого отделения в моторное.</w:t>
      </w:r>
    </w:p>
    <w:p w14:paraId="3105BE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Указанная модернизация танка Т-34 увеличивает общий вес танка, ориентировочно, на 700-750 кг против серийного танка и не требует существенных изменений в ходовой части.</w:t>
      </w:r>
    </w:p>
    <w:p w14:paraId="44707F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Считаю необходимым выпуск модернизированных танков Т-34 на заводах №183, 112 и 174 начать с мая месяца с.г.</w:t>
      </w:r>
    </w:p>
    <w:p w14:paraId="2AE132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Представляю проект постановления ГОКО, прошу его рассмотреть.</w:t>
      </w:r>
    </w:p>
    <w:p w14:paraId="1C5865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Проект решения ГОКО на 1 листе'.</w:t>
      </w:r>
    </w:p>
    <w:p w14:paraId="0634FA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БТ и МБ КА маршал бронетанковых войск Федоренко</w:t>
      </w:r>
    </w:p>
    <w:p w14:paraId="39863A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 военного совета генерал-лейтенант танковых войск Бирюков</w:t>
      </w:r>
    </w:p>
    <w:p w14:paraId="6D7C4B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2198. Л. 25-26. Копия (11403).</w:t>
      </w:r>
    </w:p>
    <w:p w14:paraId="545726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E788FF8" w14:textId="77777777" w:rsidR="00A76CAC" w:rsidRPr="00070ADE" w:rsidRDefault="00A76CA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завод №92 отправили изготовил второй и третий образцы С-34 на завод №100. В ходе испытаний отстрелом орудия №2 (всего произвели 18 выстрелов) обнаружилось заедание оси кривошипного механизма. Ровно те же дефекты обнаружились и на орудии №3, из которого сделали 22 выстрела. 11 мая 1944 года нарком танковой промышленности Малышев подверг С-34 резкой критике. По его словам, системы, предназначенные для установки в ИС-2 и СУ-100, оказались неприспособленными для установки ни в танк, ни в САУ. Разумеется, системы дорабатывались, но время шло, а С-34 всё никак не устанавливалась в САУ. Поскольку особого прогресса с исправлениями не наблюдалось, то и на УЗТМ не особо торопились. Представитель ЦАКБ гвардии капитан Боглевский, прибывший на завод 23 апреля, сообщил, что с января никакой деятельности на УТЗМ по данной теме не велось (18252).</w:t>
      </w:r>
    </w:p>
    <w:p w14:paraId="6237DC7B" w14:textId="77777777" w:rsidR="00A76CAC" w:rsidRPr="00070ADE" w:rsidRDefault="00A76CAC" w:rsidP="00B56F90">
      <w:pPr>
        <w:spacing w:after="0" w:line="240" w:lineRule="auto"/>
        <w:jc w:val="both"/>
        <w:rPr>
          <w:rFonts w:ascii="Times New Roman" w:hAnsi="Times New Roman"/>
          <w:color w:val="000000" w:themeColor="text1"/>
          <w:sz w:val="16"/>
          <w:szCs w:val="16"/>
        </w:rPr>
      </w:pPr>
    </w:p>
    <w:p w14:paraId="14124E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вышло Постановление ГКО № 5466 О восстановлении Таганрогского металлургического завода им. Андреева и Мариупольского трубопрокатного завода имени Куйбышева Наркомчермета. РГАНИР, Фонд ГКО, д. 221, лл. 61-63,64-78 (11012).</w:t>
      </w:r>
    </w:p>
    <w:p w14:paraId="1D4CDE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8F22EB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вышло Постановление ГКО № 5467 О восстановлении ТЭЦ Ново-Краматорского завода имени Сталина в Донбассе. РГАНИР, Фонд ГКО, д. 221, лл. 79-81,82-84 (11012).</w:t>
      </w:r>
    </w:p>
    <w:p w14:paraId="6DF617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4F2D2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вышло Распоряжение ГКО № 5468. Об изготовлении НКТП оборудования для Енакиевского завода НКЧМ. РГАНИР, Фонд ГКО, д. 221, лл. 85,86-89 (11012).</w:t>
      </w:r>
    </w:p>
    <w:p w14:paraId="427A5F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BA09E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вышло Распоряжение ГКО № 5469. О поставках пиломатериалов Новокраматорскому заводу им. Сталина. РГАНИР, Фонд ГКО, д. 221, лл. 90 (11012).</w:t>
      </w:r>
    </w:p>
    <w:p w14:paraId="0BDB43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5CC2BD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вышло Постановление ГКО № 5470 Об организации производства индивидуальных переправочных средств для Военно-Морского Флота и Красной Армии. (7201, 91-93).</w:t>
      </w:r>
    </w:p>
    <w:p w14:paraId="34BA6BF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CB9CD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вышло Постановление ГКО № 5471 О развитии энергетического хозяйства г. Уфы и Уфимского района. (7201, 94-95).</w:t>
      </w:r>
    </w:p>
    <w:p w14:paraId="144CEF5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8609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вышло Распоряжение ГКО № 5472. О мерах по улучшению питания работников НИИ-108 НКЭП, работающих в особо вредных условиях. РГАНИР, Фонд ГКО, д. 221, лл. 96 (11012).</w:t>
      </w:r>
    </w:p>
    <w:p w14:paraId="3F27AF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0874A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вышло Распоряжение ГКО № 5474. О помощи топливом Саранской ТЭЦ. РГАНИР, Фонд ГКО, д. 221, лл. 99 (11012).</w:t>
      </w:r>
    </w:p>
    <w:p w14:paraId="114AC7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CE170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вышло Распоряжение ГКО № 5475. Об обеспечении электроэнергией вводимых в действие прокатных станов и мартеновских печей сталинградского металлургического завода "Красный Октябрь" НКЧМ. РГАНИР, Фонд ГКО, д. 221, лл. 100 (11012).</w:t>
      </w:r>
    </w:p>
    <w:p w14:paraId="6F9760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D5D15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вышло Распоряжение ГКО № 5477. О выделении из госрезерва 300 куб. м фанеры для тюменских предприятий НКЧМ. РГАНИР, Фонд ГКО, д. 221, лл. 103 (11012).</w:t>
      </w:r>
    </w:p>
    <w:p w14:paraId="16FD100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55DA0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вышло Распоряжение ГКО № 5478. О выделении 2,5 тыс. военнослужащих из состава строительных колонн МПВО на предприятия НКЧМ для постоянной работы. РГАНИР, Фонд ГКО, д. 221, лл. 104 (11012).</w:t>
      </w:r>
    </w:p>
    <w:p w14:paraId="73DEAB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061E25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вышло Распоряжение ГКО № 5479. О передислокации Центрального авторемонтного завода № 51 НКО из Краснодара в Днепропетровск. РГАНИР, Фонд ГКО, д. 221, лл. 105 (11012).</w:t>
      </w:r>
    </w:p>
    <w:p w14:paraId="0635C4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7C9F81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вышло Распоряжение ГКО № 5473 [О переводе Государственного института по проектированию предприятий коксохимической промышленности из Свердловска в Харьков.] (7201, 97-98).</w:t>
      </w:r>
    </w:p>
    <w:p w14:paraId="7A3EFA8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1E9A2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вышло Распоряжение ГКО № 5476 [О переводе Орского районного управления энергетического хозяйства в Чкалов и его переименовании в Чкаловэнерго.] (7201, 101-102).</w:t>
      </w:r>
    </w:p>
    <w:p w14:paraId="7A0DE84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9582A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вышло Постановление ГКО № 5480 О достройке Черноморской железнодорожной линии. (7201, 106-110,111-113).</w:t>
      </w:r>
    </w:p>
    <w:p w14:paraId="3CC3036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65ACF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вышло Постановление ГКО № 5481 О строительстве железнодорожной линии Боржоми - Ахалцихе - Вале. (7201, 114-116,117-118).</w:t>
      </w:r>
    </w:p>
    <w:p w14:paraId="77A9022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C37EA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вышло Распоряжение ГКО № 5482 [О выделении одной импортной машины "Виллис" Комитету по учету и распределению рабочей силы при СНК СССР.] (7201, 119).</w:t>
      </w:r>
    </w:p>
    <w:p w14:paraId="4BDDF42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ED4EB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6F0CF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48698D"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26 марта</w:t>
      </w:r>
      <w:r w:rsidRPr="00070ADE">
        <w:rPr>
          <w:rFonts w:ascii="Times New Roman" w:hAnsi="Times New Roman"/>
          <w:color w:val="000000" w:themeColor="text1"/>
          <w:sz w:val="16"/>
          <w:szCs w:val="16"/>
        </w:rPr>
        <w:t xml:space="preserve"> в 1944 году оперативная сводка Совинформбюро:</w:t>
      </w:r>
    </w:p>
    <w:p w14:paraId="48064A9F"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26 марта войска 1-го Украинского фронта, продолжая развивать наступление, овладели районным центром Каменец-Подольской области Михалполь, районным центром Винницкой области городом Бар, районными центрами Тарнопольской области Козлов, Золотники, а также с боями заняли более 100 других населённых пунктов, в том числе крупные населённые пункты Росоховатец, Котузов, Гниловоды, Вишневчик, Купин, Малая Карабчеевка, Саввинцы, Шумовцы, Коржовцы, Загинцы, Божиковцы, Женишковцы, Иолтухи, Замехов, Струга и железнодорожные станции Коржовцы, Богдановцы. Наши войска окружили гарнизоны противника в городе Тарнополь и в городе Каменец-Подольск.</w:t>
      </w:r>
    </w:p>
    <w:p w14:paraId="34698E1A"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продолжая стремительное наступление, несколько дней назад форсировали реку Днестр на участке протяжением 175 километров, овладели городом и важным железнодорожным узлом Бельцы, с боями заняли районные центры Молдавской ССР город Фалешты, Глодяны, Болотина и, развивая наступление, вышли на нашу государственную границу — реку Прут — нафронте протяжением в 85 километров.</w:t>
      </w:r>
    </w:p>
    <w:p w14:paraId="507D5B34"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Первомайск наши войска продолжали вести наступательные бои, в ходе которых заняли несколько населённых пунктов.</w:t>
      </w:r>
    </w:p>
    <w:p w14:paraId="7420B8F9"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бои местного значения.</w:t>
      </w:r>
    </w:p>
    <w:p w14:paraId="2665158E"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25 марта наши войска на всех фронтах подбили и уничтожили 44 немецких танка. В воздушных боях и огнём зенитной артиллерии сбито 18 самолётов противника.</w:t>
      </w:r>
    </w:p>
    <w:p w14:paraId="0EF8AE0C"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успешное наступление. Наши войска переправились через реку Серет севернее города Тарнополь и соединились с частями, обошедшими город с юга. Тем самым тарнопольская группировка немцев была окружена и отрезана. Тесня противника со всех сторон, советские бойцы с тыла атаковали артиллерийские и миномётные позиции немцев, находящиеся на высотах около Тарнополя. В ожесточённом бою немецкие артиллерийские и миномётные подразделения были разгромлены. Советские войска уничтожают немецкий гарнизон города Тарнополя, очищая одну улицу за другой. Ведя бои по ликвидации окружённой группировки немцев, наши войска с боями продвигались на запад и овладели районным центром Тарнопольской области Козлов. Сегодня противник из района Езерны силами танков и пехоты пытался прорваться на помощь к окружённому в Тарнополе гарнизону. Ударами с севера и юга немцы были зажаты в тиски и оставили на поле боя более 20 танков и несколько сот трупов своих солдат и офицеров. Остатки этой группы противника в панике бежали.</w:t>
      </w:r>
    </w:p>
    <w:p w14:paraId="7539C471"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плотным кольцом окружили немецкий гарнизон в городе Каменец-Подольск и перерезали шоссе Каменец-Подольск—Черновицы. Штурмуя немцев с севера, востока, запада и юга, советские части ведут успешные уличные бои, нанося противнику огромные потери. Танковые части Н-ского соединения за пять дней боёв истребили свыше 8 тысяч гитлеровцев и взяли в плен 1500 немецких солдат и офицеров. Танкистами захвачено у немцев 92 орудия, около 2000 автомашин, 1.140 повозок, 1280 лошадей и 30 разных складов.</w:t>
      </w:r>
    </w:p>
    <w:p w14:paraId="44322B32"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части, овладевшие вчера городом Проскуров, захватили 95 танков, 52 орудия крупного калибра, 320 автомашин, 70 тракторов и тягачей, 10 бронетранспортёров, 3 эшелона с продовольствием, 50 вагонов с углем в 60 вагонов с различными грузами, 11 складов с боеприпасами, 4 склада с горючим, 8 складов с продовольствием, 3 склада с имуществом связи и другие трофеи.</w:t>
      </w:r>
    </w:p>
    <w:p w14:paraId="53AFF8A7"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продолжали наступление. Части Н-ского соединения окружили гарнизон противника в городе Бельцы. Немцы, предприняв отчаянные попытки вырваться из мешка, понесли огромные потери, но успеха не добились. Сегодня советские танки и пехота, ворвавшись в город, сломили сопротивление противника. Многие немецкие подразделения сложили оружие и сдались в плен. Овладев городом и важным железнодорожным узлом Бельцы, наши войска захватили большие трофеи.</w:t>
      </w:r>
    </w:p>
    <w:p w14:paraId="20E2F031"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Развивая успешное наступление и громя противника, войска 2-го Украинского фронта овладели районными центрами Молдавской ССР городом Фалешты, Глодяны и Болотина. Советские войска на широком фронте вышли на нашу государственнуюграницу — реку Прут. Многочисленные группы противника, не успевшие переправиться через реку, уничтожены. Взято в плен свыше 500 гитлеровцев. На берегу реки Прут захвачено много боевой техники и автомашин противника.</w:t>
      </w:r>
    </w:p>
    <w:p w14:paraId="3D255341"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Первомайск части Н-ского соединения, с боями продвигаясь вперёд, заняли несколько населённых пунктов. Захвачены 7 самоходных орудий и крупный обоз с военным имуществом. На другом участке наши подвижные отряды прорвались во вражеский тыл и нанесли внезапный удар по отступающей колонне немцев. Советские бойцы истребили 700 гитлеровцев и захватили 9 орудий, 60 автомашин и другие трофеи. Взяты пленные.</w:t>
      </w:r>
    </w:p>
    <w:p w14:paraId="5BF7BB14"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Николаевском направлении наши войска продолжали вести бои с противником.На подступах к Николаеву немцы располагают выгодными для обороны естественными рубежами. С севера город прикрыт рекой Ингул, с юга — Южным Бугом. Трёхкилометровый перешеек между этими реками сильно укреплён и до предела насыщен артиллерией и другими огневыми средствами. Наши части, действуя мелкими штурмовыми группами, овладели сильно укреплённым рубежом, в бою за который уничтожено свыше 800 гитлеровцев. Захвачено 7 орудий, 21 миномёт, 30 пулемётов, 20 автомашин, 6 складов с авиабомбами и 5 складов с военным имуществом.</w:t>
      </w:r>
    </w:p>
    <w:p w14:paraId="49D0DFA2"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Краснознамённого Балтийского флота потопила два сторожевых корабля и повредила два тральщика противника.</w:t>
      </w:r>
    </w:p>
    <w:p w14:paraId="6D201CDF"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партизанских отрядов, действующих в Калининской области, за месяц пустили под откос 26 немецких воинских эшелонов. Разбито и повреждено 23 паровоза и 140 вагонов. Кроме того, взорваны 5 железнодорожных мостов и 1500 рельсов. На шоссейных и грунтовых дорогах советские патриоты уничтожили 2 бронемашины, 90 автомашин и 40 повозок противника. Партизаны захватили радиостанцию, 20 пулемётов, 150 автоматов и винтовок, 17 повозок с боеприпасамии другие трофеи. В ходе боёв партизанами уничтожено до батальона гитлеровцев.» (15080).</w:t>
      </w:r>
    </w:p>
    <w:p w14:paraId="04007ABF" w14:textId="77777777" w:rsidR="004F35D0" w:rsidRPr="00070ADE" w:rsidRDefault="004F35D0" w:rsidP="00B56F90">
      <w:pPr>
        <w:spacing w:after="0" w:line="240" w:lineRule="auto"/>
        <w:jc w:val="both"/>
        <w:rPr>
          <w:rFonts w:ascii="Times New Roman" w:hAnsi="Times New Roman"/>
          <w:color w:val="000000" w:themeColor="text1"/>
          <w:sz w:val="16"/>
          <w:szCs w:val="16"/>
        </w:rPr>
      </w:pPr>
    </w:p>
    <w:p w14:paraId="21719BE0"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26 марта</w:t>
      </w:r>
      <w:r w:rsidRPr="00070ADE">
        <w:rPr>
          <w:rFonts w:ascii="Times New Roman" w:hAnsi="Times New Roman"/>
          <w:color w:val="000000" w:themeColor="text1"/>
          <w:sz w:val="16"/>
          <w:szCs w:val="16"/>
        </w:rPr>
        <w:t xml:space="preserve"> в 1944 году началась Одесская наступательная операция войск 3-го Украинского фронта (командующий маршал Р.Я.Малиновский) при содействии сил Черноморского флота (адмирал Ф.С.Октябрьский) во взаимодействии с 2-м Украинским фронтом. Завершилась 14 апреля. В результате операции были освобождены Николаевская и Одесская области и значительная часть советской Молдавии; созданы условия для полного освобождения Молдавии, продвижения в глубь Румынии и на Балканы (15080).</w:t>
      </w:r>
    </w:p>
    <w:p w14:paraId="1E75937A" w14:textId="77777777" w:rsidR="004F35D0" w:rsidRPr="00070ADE" w:rsidRDefault="004F35D0" w:rsidP="00B56F90">
      <w:pPr>
        <w:spacing w:after="0" w:line="240" w:lineRule="auto"/>
        <w:jc w:val="both"/>
        <w:rPr>
          <w:rFonts w:ascii="Times New Roman" w:hAnsi="Times New Roman"/>
          <w:color w:val="000000" w:themeColor="text1"/>
          <w:sz w:val="16"/>
          <w:szCs w:val="16"/>
        </w:rPr>
      </w:pPr>
    </w:p>
    <w:p w14:paraId="1FA78484"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26 марта</w:t>
      </w:r>
      <w:r w:rsidRPr="00070ADE">
        <w:rPr>
          <w:rFonts w:ascii="Times New Roman" w:hAnsi="Times New Roman"/>
          <w:color w:val="000000" w:themeColor="text1"/>
          <w:sz w:val="16"/>
          <w:szCs w:val="16"/>
        </w:rPr>
        <w:t xml:space="preserve"> в 1944 году в Николаевском порту с рыбачьих лодок высажен десант морских пехотинцев (55 человек) 384-го отдельного батальона с 12 армейскими саперами под руководством старшего лейтенанта К.Ф.Ольшанского. Вел отряд добровольцев из местных рыбаков А.Н.Андреев. Десантом в Николаевском порту захвачено несколько строений, прилегающих к элеватору, занята круговая оборона. Днем моряки отразили 18 атак гитлеровцев. Горстка раненых во главе со старшиной 2-й статьи К.В.Бочковичем удерживала позиции до утра 28 марта, когда подошли части Красной Армии, освободившие город. На счету десантников свыше 700 уничтоженных солдат и офицеров врага. Из 67 осталось в живых 12 человек. Все участники десанта удостоены звания Героя Советского Союза, а проводнику Андрееву это звание присвоено в 1965 г (15080).</w:t>
      </w:r>
    </w:p>
    <w:p w14:paraId="78938395" w14:textId="77777777" w:rsidR="004F35D0" w:rsidRPr="00070ADE" w:rsidRDefault="004F35D0" w:rsidP="00B56F90">
      <w:pPr>
        <w:spacing w:after="0" w:line="240" w:lineRule="auto"/>
        <w:jc w:val="both"/>
        <w:rPr>
          <w:rFonts w:ascii="Times New Roman" w:hAnsi="Times New Roman"/>
          <w:color w:val="000000" w:themeColor="text1"/>
          <w:sz w:val="16"/>
          <w:szCs w:val="16"/>
        </w:rPr>
      </w:pPr>
    </w:p>
    <w:p w14:paraId="4E2BDDD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в Николаевском порту высадился десант во главе со ст. лейтенантом К.Ф.Ольшанским для содействия войскам 3-го Укр. фронта в овладении городом (4963 ).</w:t>
      </w:r>
    </w:p>
    <w:p w14:paraId="03EA84E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F97F2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началась Одесская наступательная операция войск 3-го Укр. фронта при содействии сил Черноморского флота во взаимодействии со 2-м Укр. Фронтом (4963 ).</w:t>
      </w:r>
    </w:p>
    <w:p w14:paraId="3C9041A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3383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26 марта по 14 апреля 1944 была Одесская операция 3УФ (Р.Я.Малиновский). Ударили с Южного Буга и продвинулись на 180 км (2438,466).</w:t>
      </w:r>
    </w:p>
    <w:p w14:paraId="24570A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4A3AA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26 марта 1944 была высадка Николаевского десанта в ходе Одесской операции. </w:t>
      </w:r>
    </w:p>
    <w:p w14:paraId="4CB8E0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 xml:space="preserve">В середине марта войска левого крыла 3-го Украинского фронта вышли к Николаеву. Чтобы оказать помощь войскам в овладении городом, воспрепятствовать противнику вывезти людей и ценности, не дать ему разрушить порт, было решено высадить тактический десант в порт Николаев с задачей отвлечь часть сил противника с фронта. Выполнение задачи было возложено на 384-й отдельный батальон морской пехоты (командир майор Ф. Е. Котанов), входивший в состав Одесской ВМБ. Для десанта было отобрано 55 добровольцев, а также 10 саперов и 2 связиста с рацией. В ночь на 26.3 десантный отряд под командованием старшего лейтенанта К. Ф. Ольшанского (заместитель по политической части капитан А. Ф. Головлев, начальник штаба лейтенант Г. С. Волошко) на семи рыбачьих лодках вышел из пос. Октябрьский в Николаев. Отряд вел проводник-доброволец А. И. Андреев. В 5 ч десантники скрытно высадились в порту и, сняв часовых, заняли здания нового элеватора и порта. </w:t>
      </w:r>
    </w:p>
    <w:p w14:paraId="6B8496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Обнаружив десант, противник атаковал его сначала небольшими силами, а затем тремя батальонами пехоты при поддержке танков, орудий, минометов и огнеметов. В течение двух суток десантники отбили 18 ожесточенных атак врага, уничтожив более 700 солдат и офицеров, 2 танка, 4 орудия. Отряд нес потери, но неравный бой продолжался. Когда неприятель подошел вплотную, командир отряда вызвал огонь нашей артиллерии на себя. Горстка раненых во главе со старшиной 2-й статьи К. В. Бочковичем удерживала позицию до утра 28.3, когда в порт ворвались наступающие с фронта войска. </w:t>
      </w:r>
    </w:p>
    <w:p w14:paraId="5882D5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Советское правительство высоко оценило подвиг десантников. За мужество и героизм всем 67 десантникам (из них 55 посмертно) и проводнику А. И. Андрееву было присвоено звание Героя Советского Союза (11712).</w:t>
      </w:r>
    </w:p>
    <w:p w14:paraId="2E41B7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A1BE16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советские войска вышли к границе СССР на реке Прут (4962), войска 2-го Украинского фронта вышли на Гос. границу с Румынией на р. Прут севернее г. Унгены (4963 ).</w:t>
      </w:r>
    </w:p>
    <w:p w14:paraId="0AA319E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2501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войска 2-го Украинского фронта вышли на реку Прут - госграницу СССР (337,82).</w:t>
      </w:r>
    </w:p>
    <w:p w14:paraId="5CC190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C000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года на советско-германском фронте Люфтваффе располагали 326 боевыми истребителями - вдвое меньше, чем на Западе (3573).</w:t>
      </w:r>
    </w:p>
    <w:p w14:paraId="48CD63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65B1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в Николаевском порту с рыбачьих лодок был высажен десант морской пехоты (55 чел.) 384 об с 12 армейскими саперами под руководством ст.-л К.Ф.Ольшанского. Держались до прихода наших сил, выдержав 18 атак. все стали ГСС (3398,124).</w:t>
      </w:r>
    </w:p>
    <w:p w14:paraId="7A5AED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4908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March 26th, 1944: The Red Army recaptures Kamenets-Podolsk. in the Ukraine (3819).</w:t>
      </w:r>
    </w:p>
    <w:p w14:paraId="45DE93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6BE97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1УФ (Г.К.Ж.) освободил Каменец-Подольский (3398,124).</w:t>
      </w:r>
    </w:p>
    <w:p w14:paraId="58BB6D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5CDA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из полета не вернулся Герой Советского Союза А.П.Чернышев. Последнюю передачу Чернышев сделал в 21:37, находясь в районе мыса Юминданина, восточнее Таллинна. Вылетевший вслед за ним «Ильюшин» в 23:25 на подходе к бухте Кунда наблюдал падение в воду горящего объекта, а спустя 10 минут - самолет неизвестного типа с включенной фарой. Примерно в тот же час пропали без вести два других «Ила», вылетавших на минирование Таллиннской бухты (9965).</w:t>
      </w:r>
    </w:p>
    <w:p w14:paraId="6A3424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D6CC05F" w14:textId="77777777" w:rsidR="004F35D0"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001CDE99" w14:textId="77777777" w:rsidR="004F35D0" w:rsidRPr="00070ADE" w:rsidRDefault="004F35D0"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581424" w14:textId="77777777" w:rsidR="00003C7F" w:rsidRPr="00070ADE" w:rsidRDefault="00003C7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марта 1944 во время авиаудара США по Понапе японцы впервые за шесть недель поднимают истребители в центральной части Тихого океана, но почти все они сбиты (20373).</w:t>
      </w:r>
    </w:p>
    <w:p w14:paraId="40097A87" w14:textId="77777777" w:rsidR="00003C7F" w:rsidRPr="00070ADE" w:rsidRDefault="00003C7F" w:rsidP="00B56F90">
      <w:pPr>
        <w:spacing w:after="0" w:line="240" w:lineRule="auto"/>
        <w:jc w:val="both"/>
        <w:rPr>
          <w:rFonts w:ascii="Times New Roman" w:hAnsi="Times New Roman"/>
          <w:color w:val="000000" w:themeColor="text1"/>
          <w:sz w:val="16"/>
          <w:szCs w:val="16"/>
        </w:rPr>
      </w:pPr>
    </w:p>
    <w:p w14:paraId="46AE5187" w14:textId="77777777" w:rsidR="00003C7F" w:rsidRPr="00070ADE" w:rsidRDefault="00003C7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26–27 марта (ночь) 1944 705 британских бомбардировщиков атакуют Эссен, Германия, и совершают успешную юомбаожировку сквозь облака. Удивленные внезапным перемещением бомбардировочного командования к цели в Рур, реакция немецких ночных истребителей минимальна, и только девять британских бомбардировщиков (1,3 процента) потеряны (20373).</w:t>
      </w:r>
    </w:p>
    <w:p w14:paraId="287A82A2" w14:textId="77777777" w:rsidR="00003C7F" w:rsidRPr="00070ADE" w:rsidRDefault="00003C7F" w:rsidP="00B56F90">
      <w:pPr>
        <w:spacing w:after="0" w:line="240" w:lineRule="auto"/>
        <w:jc w:val="both"/>
        <w:rPr>
          <w:rFonts w:ascii="Times New Roman" w:hAnsi="Times New Roman"/>
          <w:color w:val="000000" w:themeColor="text1"/>
          <w:sz w:val="16"/>
          <w:szCs w:val="16"/>
        </w:rPr>
      </w:pPr>
    </w:p>
    <w:p w14:paraId="7EF24B7A" w14:textId="77777777" w:rsidR="00003C7F" w:rsidRPr="00070ADE" w:rsidRDefault="00003C7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26–27 марта (ночь) 1944 109 британских бомбардировщиков без потерь атакуют железнодорожные станции Куртре, Бельгия (20373).</w:t>
      </w:r>
    </w:p>
    <w:p w14:paraId="3046843A" w14:textId="77777777" w:rsidR="00003C7F" w:rsidRPr="00070ADE" w:rsidRDefault="00003C7F" w:rsidP="00B56F90">
      <w:pPr>
        <w:spacing w:after="0" w:line="240" w:lineRule="auto"/>
        <w:jc w:val="both"/>
        <w:rPr>
          <w:rFonts w:ascii="Times New Roman" w:hAnsi="Times New Roman"/>
          <w:color w:val="000000" w:themeColor="text1"/>
          <w:sz w:val="16"/>
          <w:szCs w:val="16"/>
        </w:rPr>
      </w:pPr>
    </w:p>
    <w:p w14:paraId="6E943E37"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26 марта</w:t>
      </w:r>
      <w:r w:rsidRPr="00070ADE">
        <w:rPr>
          <w:rFonts w:ascii="Times New Roman" w:hAnsi="Times New Roman"/>
          <w:color w:val="000000" w:themeColor="text1"/>
          <w:sz w:val="16"/>
          <w:szCs w:val="16"/>
        </w:rPr>
        <w:t xml:space="preserve"> в 1944 году единственная успешно завершившая поход в Европу (вернувшаяся назад) японская подводная лодка «I-18» атаковала датский транспорт. Весь экипаж датчан (92 человека) был изрублен самурайскими мечами (15080).</w:t>
      </w:r>
    </w:p>
    <w:p w14:paraId="4823AB62" w14:textId="77777777" w:rsidR="004F35D0" w:rsidRPr="00070ADE" w:rsidRDefault="004F35D0" w:rsidP="00B56F90">
      <w:pPr>
        <w:spacing w:after="0" w:line="240" w:lineRule="auto"/>
        <w:jc w:val="both"/>
        <w:rPr>
          <w:rFonts w:ascii="Times New Roman" w:hAnsi="Times New Roman"/>
          <w:color w:val="000000" w:themeColor="text1"/>
          <w:sz w:val="16"/>
          <w:szCs w:val="16"/>
        </w:rPr>
      </w:pPr>
    </w:p>
    <w:p w14:paraId="1B72A9F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8EE46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0580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марта - 1 апреля 1944 г. VII пленум ЦК профсоюза авиапромышленности:</w:t>
      </w:r>
    </w:p>
    <w:p w14:paraId="561C11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постановления пленума: "... Героическая Красная Армия под водительством великого полководца, Маршала Советского Союза товарища Сталина, в упорной борьбе, преодолевая сопротивление, изгоняет врага не только с советской земли, но и перенесла борьбу на его территорию... ... Выпуск самолетов в январе 1944 года увеличился по сравнению с июнем 1941 года на 130,1%. Некоторые заводы добились увеличения выпуска от 2-х до 5-ти раз (заводы, где директорами т.т. Белянский, Агаджанов, Окулов, Лисицин и др.). Выработка на одного рабочего по Наркомату возросла на 48,7%; по заводам, где директорами т.т. Белянский, Агаджанов, Жезлов, она составляет от 115 до 260%... ... считать в 1944 году одной из своих основных задач... полное выполнение плана по жилищному и культурно-бытовому строительству... ... За 1943 год подсобные хозяйства заводов АП выполнили план посева на 101%. Особенно увеличена посевная площадь против 1942 года по картофелю - на 50% и овощам - на 51% ... Хороших результатов в проведении сельхозработ и увеличении урожайности добились заводы №№ 28, 43, 150, 156 и др... ... Президиуму ЦК союза, завкомам и месткомам для обеспечения повышения урожайности овощей и картофеля развернуть социалистическое соревнование среди всех коллективов, всех отдельных огородников за достижение показателей, установлен-ных ВЦСПС, т.е. по картофелю - не менее 3 кг с квадратного метра,. по капусте - не менее 5 кг, по корнеплодам - не менее 2 кг лука на репку; широко организовать агротехническую пропаганду среди огородников..."</w:t>
      </w:r>
    </w:p>
    <w:p w14:paraId="0DE61D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01.01.1944 г. членами союза были 76.5 % работающих в АП (11764).</w:t>
      </w:r>
    </w:p>
    <w:p w14:paraId="50001B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F354E5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2B0C60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D0FF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марта 1944 на АНИОПе в Гороховце закончилисьгосударственные испытания СУ-100, которые проходили с 9 марта 1944. Самоход произвел 1040 выстрелов и прошел 864 км. В своем заключении комиссия отметила, что опытный образец испытания выдержал и может быть принят на вооружение Красной Армии после внесения некоторых изменений (9637).</w:t>
      </w:r>
    </w:p>
    <w:p w14:paraId="30E4A55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EA898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марта 1944 г. вышел ПРИКАЗ НАЧАЛЬНИКА ГБТУ КА О ПРОВЕДЕНИИ ПРОБЕГОВЫХ ИСПЫТАНИЙ МОТОЦИКЛОВ М-72 №016</w:t>
      </w:r>
    </w:p>
    <w:p w14:paraId="34E7D9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целью проверки надежности работы всех агрегатов деталей мотоцикла М-72, выявления конструктивных и производственных недостатков, а также соответствия выпускаемых мотоциклов техническим условиям на производство мотоциклов, ПРИКАЗЫВАЮ:</w:t>
      </w:r>
    </w:p>
    <w:p w14:paraId="3D7DC2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НИБТ полигону ГБТУ КА в период с 20 апреля по 1 июля с.г. провести дорожные испытания серийных мотоциклов М-72 по два образца Горьковского и Ирбитского мотозаводов.</w:t>
      </w:r>
    </w:p>
    <w:p w14:paraId="1C9E63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Испытания мотоциклов М-72 провести по прилагаемой программе, утвержденной ГБТУ КА.</w:t>
      </w:r>
    </w:p>
    <w:p w14:paraId="0369BC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Материально-техническое обеспечение испытаний возлагаю на начальника НИБТ полигона ГБТУ КА генерал-майора танковых войск т. Романова.</w:t>
      </w:r>
    </w:p>
    <w:p w14:paraId="0A6A87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Управлению бронепоездов и бронемашин ГБТУ КА выдать НИБТ полигону ГБТУ КА по 2 серийных образца мотоциклов производства Ирбитского и Горьковского мотозаводов.</w:t>
      </w:r>
    </w:p>
    <w:p w14:paraId="33EF7B2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Заключение по испытаниям мотоциклов М-72 представить в ГБТУ КА 1 июля 1944 г. и полный отчет к 15 июля 1944 г.</w:t>
      </w:r>
    </w:p>
    <w:p w14:paraId="05537D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Главного бронетанкового управления Красной Армии генерал-лейтенант танковых войск Вершинин</w:t>
      </w:r>
    </w:p>
    <w:p w14:paraId="6F0C03A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11377. Д. 117. Л. 34. Подлинник (11403).</w:t>
      </w:r>
    </w:p>
    <w:p w14:paraId="3AF4A3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62079A6" w14:textId="77777777" w:rsidR="00A76CAC" w:rsidRPr="00070ADE" w:rsidRDefault="00A76CA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марта 1944 г. постановлением ГКО была определена окончательно специализация завода «Красная заря». В соответствии с этим документом на предприятие возлагалась задача организации производства АТС. 3-м ГУ НКЭП «Красной заре» было выдано задание на освоение выпуска станции для учреждений емкостью на 100-300 номеров, разработка которой была осуществлена в ГСПЭИ № 56. Для СССР это была совершенно новая система, никогда ранее не выпускавшаяся. Чтобы обеспечить такое производство, необходимо было освоить изготовление целого ряда новых узлов и полуфабрикатов. Прежде всего это было реле типа РМ, являвшегося копией изделия фирмы «Строуджер», а также восстановленные на «Красной заре» искатели типа «И» и реле МРЦ.</w:t>
      </w:r>
    </w:p>
    <w:p w14:paraId="36E7B12B" w14:textId="77777777" w:rsidR="00A76CAC" w:rsidRPr="00070ADE" w:rsidRDefault="00A76CA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Полученная от ГСПЭИ-56 техническая документация на АТС оказалась незавершенной, в ней не были учтены все недостатки, выявленные на опытном образце. Это потребовало изготовления или переработки документации на девять узлов станции (18297).</w:t>
      </w:r>
    </w:p>
    <w:p w14:paraId="71848C9E" w14:textId="77777777" w:rsidR="00A76CAC" w:rsidRPr="00070ADE" w:rsidRDefault="00A76CAC" w:rsidP="00B56F90">
      <w:pPr>
        <w:spacing w:after="0" w:line="240" w:lineRule="auto"/>
        <w:jc w:val="both"/>
        <w:rPr>
          <w:rFonts w:ascii="Times New Roman" w:hAnsi="Times New Roman"/>
          <w:color w:val="000000" w:themeColor="text1"/>
          <w:sz w:val="16"/>
          <w:szCs w:val="16"/>
        </w:rPr>
      </w:pPr>
    </w:p>
    <w:p w14:paraId="05138CF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марта 1944 вышло Постановление ГКО № 5483 Об обеспечении выпуска турбокислородных установок системы академика Капицы. (7201, 120-122,123-155).</w:t>
      </w:r>
    </w:p>
    <w:p w14:paraId="5A1404C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08E5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марта 1944 вышло Постановление ГКО № 5484 О мерах по увеличению добычи угля по комбинатам "Приморскуголь", "Хабаровск- уголь" и тресту "Востуголь" в первом полугодии 1944 г. РГАНИР, Фонд ГКО, д. 221, лл. 156-167,168-170 (11012).</w:t>
      </w:r>
    </w:p>
    <w:p w14:paraId="696754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C2A770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марта 1944 вышло Постановление ГКО № 5485 Об усилении отгрузки НКПС металла и других материалов по фондам I квартала 1944 г. (7201, 171-178).</w:t>
      </w:r>
    </w:p>
    <w:p w14:paraId="4425335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305F3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74C262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4CA32D"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27 марта</w:t>
      </w:r>
      <w:r w:rsidRPr="00070ADE">
        <w:rPr>
          <w:rFonts w:ascii="Times New Roman" w:hAnsi="Times New Roman"/>
          <w:color w:val="000000" w:themeColor="text1"/>
          <w:sz w:val="16"/>
          <w:szCs w:val="16"/>
        </w:rPr>
        <w:t xml:space="preserve"> в 1944 году оперативная сводка Совинформбюро:</w:t>
      </w:r>
    </w:p>
    <w:p w14:paraId="771CE643"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развивая наступление, вчера, 26 марта, в результате стремительного удара танковых соединений и пехоты овладели областнымцентром Украины городом Каменец-Подольск — сильным опорным пунктом обороны немцев на Днестре. В боях за овладение городом Каменец-Подольск отличились части полковника Смирнова, полковника Жукова, полковника Денисова, полковника Фомичева, полковника Медведева, полковника Туркина, полковника Рывжа, полковника Рубасова, полковника Котельникова, полковника Нечипоренко, полковника Епифанова, полковника Селиванчика, подполковника Скирда, полковника Горохова, полковника Пархоменко, полковника Николюка, подполковника Диденко, майора Козлова, подполковника Яшанина, майора Курчатнина, подполковника Власькина, майора Артеева, майора Чапиля, подполковника Иакимова, подполковника Гудимова, подполковника Сергеева.</w:t>
      </w:r>
    </w:p>
    <w:p w14:paraId="2ABA8E47"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27 марта войска 1-го Украинского фронта, продолжая наступление, овладели районными центрами Тарнопольской области городом Монастыриска, Коропец, Золотой Поток, районными центрами Каменец-Подольской области городом Ярмолинцы,Смотричь, Воньковцы, Новая Ушица, Должок, а также с боями заняли более 80 других населённых пунктов, в том числе крупные населённые пункты Ленчувка, Голгоче, Швейкув, Барыш, Порхова, Соколув, Сновидув, Косцельники, Беремяны, Лотач, Кадиевцы, Шаровка, Петраши, Дашковцы, Говоры, Куча. Войска фронта, успешно форсировав реку Днестр, овладели районным центром Станиславской области городом и крупной железнодорожной станцией Городенка, районными центрами Черновицкойобласти городом Заставна, Садагура.</w:t>
      </w:r>
    </w:p>
    <w:p w14:paraId="51F11009"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продолжая развивать наступление между реками Днестр и Прут, овладели районными центрами Молдавской ССР городом Бричаны, Скуляны, а также с боями заняли более 100 других населённых пунктов, в том числе крупные населённые пункты Михалкова, Романковцы, Шубутинцы, Яноуцы, Бузовицы, Новоселицы, Табаны, Каракушаны, Коржеуцы, Тицканы, Карпач, Костешты, Бранешты, Кухнешты, Калинешты, Столничаны, Скумпия, Марандени и железнодорожные станции Романковцы, Васкауцы, Яноуцы, Марандени, Катранык, Скумпия, Столничаны.</w:t>
      </w:r>
    </w:p>
    <w:p w14:paraId="280105BC"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Первомайск наши войска продолжали вести наступательные бои, в ходе которых овладели районным центром Одесской области Саврань, а также с боями заняли более 30 других населённых пунктов, в том числе Байбузовка, Бакша, Капустянка, Струтинка, Михалково, Очеретна, Тридубы, Бурилово, Секретарка, Ленино, Богачёвка, Конецполь, Голта, Грушевка.</w:t>
      </w:r>
    </w:p>
    <w:p w14:paraId="4A45B651"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Николаевском направлении наши войска с боями овладели населёнными пунктами Баловная, Матвеевка, Терновка (4 километра севернее города Николаев), Водопой и завязали бои на окраинах города Николаев.</w:t>
      </w:r>
    </w:p>
    <w:p w14:paraId="6F702407"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бои местного значения.</w:t>
      </w:r>
    </w:p>
    <w:p w14:paraId="3C23223F"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26 марта наши войска на всех фронтах подбили и уничтожили 28 немецких танков. В воздушных боях и огнём зенитной артиллерии сбито 18 самолётов противника.</w:t>
      </w:r>
    </w:p>
    <w:p w14:paraId="2AE58E8C"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вчера овладели областным центром Украины городом Каменец-Подольск. Немцы превратили Каменец-Подольск в сильный опорный пункт своей обороны на Днестре. Реки Смотричь и Мукша с высокими обрывистыми берегами, протекающие у западной и восточной окраин города, образуют естественные рубежи обороны. Однако застигнутые врасплох немцы не могли использовать все преимущества своих оборонительных позиций. Советские танкисты и пехотинцы стремительным ударом со всех сторон ворвались в Каменец-Подольск и в ожесточённых уличных боях полностью разгромили немецкий гарнизон. Нашими войсками захвачены в городе большие трофеи.</w:t>
      </w:r>
    </w:p>
    <w:p w14:paraId="439A6B86"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Ожесточённые бои происходили в районе города Ярмолинцы. В течение нескольких дней крупные силы танков и пехоты противника предпринимали контратаки и ценой огромных потерь стремились удержать в своих руках этот опорный пункт. Наши войска, отбивая контратаки немцев, перемалывали их живую силу и технику. Сегодня решительным ударом с севера и запада советские бойцы овладели городом Ярмолинцы. В боях в этом районе немцы, по предварительным данным, потеряли свыше 100 танков и до 5 тысяч солдат и офицеров. Другие наши части, с боями продвигаясь вперёд, заняли районный центр Каменец-Подольской области Воньковцы и захватили у немцев 15 исправных танков, более 100 орудий, 18 бронемашин, 24 бронетранспортёра, несколько сот автомашин, 2 склада боеприпасов и 5 складов с продовольствием. В районе Зяньковцы в панике отступающие гитлеровцы бросили 80 исправных орудий.</w:t>
      </w:r>
    </w:p>
    <w:p w14:paraId="161BC548"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на широком фронте вышли к Днестру и захватили ряд переправ. С хода форсировав Днестр, наши подвижные части сегодня овладели районным центром Станиславской области городом и крупной железнодорожной станцией Городенка. В бою за Городенку уничтожен полк венгерской пехоты. Другие наши соединения, быстро продвигаясь вперёд, овладели районным центром Черновицкой области городом Заставна и районным центром Садагура (севернее города Черновицы).</w:t>
      </w:r>
    </w:p>
    <w:p w14:paraId="426C0737"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развивали наступление между реками Днестр и Прут. Части Н-ского соединения продвинулись вперёд на 20 километров и заняли ряд населённых пунктов, в том числе город Бричаны. В беспорядке отступая под ударами советских войск, противник несёт тяжёлые потери. В одном районе наш подвижной отряд прорвался в тыл противника и разгромил полк вражеской пехоты. На другом участке наши танки ворвались на железнодорожную станцию и уничтожили свыше 1.000 немцев и румын, грузившихся в вагоны. Захвачено много орудий и автомашин с военным имуществом.</w:t>
      </w:r>
    </w:p>
    <w:p w14:paraId="455D9B54"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Николаевском направлении наши войска продолжали вести наступательные бои.Севернее Николаева бойцы Н-ского соединения, сломив упорное сопротивление противника, овладели населёнными пунктами Баловная, Матвеевка и Терновка. На поле боя остались сотни вражеских трупов. Другие наши части стремительной атакой овладели селом Водопой и ведут бои на окраинах города Николаева.</w:t>
      </w:r>
    </w:p>
    <w:p w14:paraId="331CB0E5"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Финском заливе потоплены тральщик, сторожевой корабль и сторожевой катер противника.</w:t>
      </w:r>
    </w:p>
    <w:p w14:paraId="6EBB10B0"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Украинский партизанский отряд, действующий в Тарнопольской области, внезапно напал на немецкий гарнизон. Партизаны истребили 120 вражеских солдат и офицеров и взяли 22 пленных. Захвачены 11 пулемётов, 4 миномёта, свыше 100 винтовок и автоматов. Группа молдавских партизан проникла на одну железнодорожную станцию и, уничтожив немецких часовых, взорвала склад боеприпасов.» (15081).</w:t>
      </w:r>
    </w:p>
    <w:p w14:paraId="197C256E" w14:textId="77777777" w:rsidR="004F35D0" w:rsidRPr="00070ADE" w:rsidRDefault="004F35D0" w:rsidP="00B56F90">
      <w:pPr>
        <w:spacing w:after="0" w:line="240" w:lineRule="auto"/>
        <w:jc w:val="both"/>
        <w:rPr>
          <w:rFonts w:ascii="Times New Roman" w:hAnsi="Times New Roman"/>
          <w:color w:val="000000" w:themeColor="text1"/>
          <w:sz w:val="16"/>
          <w:szCs w:val="16"/>
        </w:rPr>
      </w:pPr>
    </w:p>
    <w:p w14:paraId="4AB4993E"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27 марта</w:t>
      </w:r>
      <w:r w:rsidRPr="00070ADE">
        <w:rPr>
          <w:rFonts w:ascii="Times New Roman" w:hAnsi="Times New Roman"/>
          <w:color w:val="000000" w:themeColor="text1"/>
          <w:sz w:val="16"/>
          <w:szCs w:val="16"/>
        </w:rPr>
        <w:t xml:space="preserve"> в 1944 году вступление советских войск на территорию Румынии (15081).</w:t>
      </w:r>
    </w:p>
    <w:p w14:paraId="0D67C6C7" w14:textId="77777777" w:rsidR="004F35D0" w:rsidRPr="00070ADE" w:rsidRDefault="004F35D0" w:rsidP="00B56F90">
      <w:pPr>
        <w:spacing w:after="0" w:line="240" w:lineRule="auto"/>
        <w:jc w:val="both"/>
        <w:rPr>
          <w:rFonts w:ascii="Times New Roman" w:hAnsi="Times New Roman"/>
          <w:color w:val="000000" w:themeColor="text1"/>
          <w:sz w:val="16"/>
          <w:szCs w:val="16"/>
        </w:rPr>
      </w:pPr>
    </w:p>
    <w:p w14:paraId="61417F4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марта 1944 советские войска освободили от фашистов Каменец-Подольский (4962).</w:t>
      </w:r>
    </w:p>
    <w:p w14:paraId="28BDCA5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0796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марта 1944 согласно сообщение Совинформбюро две группы немецких б пытались бомбить г Сарны, но были встречены и и отступили, потеряв 24 с без потерь с нашей стороны (438,898).</w:t>
      </w:r>
    </w:p>
    <w:p w14:paraId="022DA5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39A45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3A630D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1C154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марта 1944 в Каунасе фашистами убито около 2 тысяч евреев (4962).</w:t>
      </w:r>
    </w:p>
    <w:p w14:paraId="2168F60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B3049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марта 1944 в рижском гетто гестаповцами расстреляны 40 евреев (4962).</w:t>
      </w:r>
    </w:p>
    <w:p w14:paraId="38C5035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1D96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марта 1944 в Каунасе были убиты тысячи евреев, а в Риге расстреляны еврейские полицейские из гетто (2100).</w:t>
      </w:r>
    </w:p>
    <w:p w14:paraId="7F3184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C6A1C4" w14:textId="77777777" w:rsidR="004F35D0"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4438B24C" w14:textId="77777777" w:rsidR="004F35D0" w:rsidRPr="00070ADE" w:rsidRDefault="004F35D0"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1CDC22"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27 марта</w:t>
      </w:r>
      <w:r w:rsidRPr="00070ADE">
        <w:rPr>
          <w:rFonts w:ascii="Times New Roman" w:hAnsi="Times New Roman"/>
          <w:color w:val="000000" w:themeColor="text1"/>
          <w:sz w:val="16"/>
          <w:szCs w:val="16"/>
        </w:rPr>
        <w:t xml:space="preserve"> в 1944 году (27-29 марта) на советско-финской встрече в Москве обсуждались условия перемирия (15081).</w:t>
      </w:r>
    </w:p>
    <w:p w14:paraId="4435EBFA" w14:textId="77777777" w:rsidR="004F35D0" w:rsidRPr="00070ADE" w:rsidRDefault="004F35D0" w:rsidP="00B56F90">
      <w:pPr>
        <w:spacing w:after="0" w:line="240" w:lineRule="auto"/>
        <w:jc w:val="both"/>
        <w:rPr>
          <w:rFonts w:ascii="Times New Roman" w:hAnsi="Times New Roman"/>
          <w:color w:val="000000" w:themeColor="text1"/>
          <w:sz w:val="16"/>
          <w:szCs w:val="16"/>
        </w:rPr>
      </w:pPr>
    </w:p>
    <w:p w14:paraId="63AAB7A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27554A3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0D7FDF"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lastRenderedPageBreak/>
        <w:t>27 марта</w:t>
      </w:r>
      <w:r w:rsidRPr="00070ADE">
        <w:rPr>
          <w:rFonts w:ascii="Times New Roman" w:hAnsi="Times New Roman"/>
          <w:color w:val="000000" w:themeColor="text1"/>
          <w:sz w:val="16"/>
          <w:szCs w:val="16"/>
        </w:rPr>
        <w:t xml:space="preserve"> в 1944 году на авианосце «Индефатигейбл» приступили к выполнению реальных полётов на торпедоносцах </w:t>
      </w:r>
      <w:hyperlink r:id="rId89" w:tgtFrame="_blank" w:history="1">
        <w:r w:rsidRPr="00070ADE">
          <w:rPr>
            <w:rFonts w:ascii="Times New Roman" w:hAnsi="Times New Roman"/>
            <w:color w:val="000000" w:themeColor="text1"/>
            <w:sz w:val="16"/>
            <w:szCs w:val="16"/>
          </w:rPr>
          <w:t xml:space="preserve">«Mosquito» «TF/TR» </w:t>
        </w:r>
      </w:hyperlink>
      <w:r w:rsidRPr="00070ADE">
        <w:rPr>
          <w:rFonts w:ascii="Times New Roman" w:hAnsi="Times New Roman"/>
          <w:color w:val="000000" w:themeColor="text1"/>
          <w:sz w:val="16"/>
          <w:szCs w:val="16"/>
        </w:rPr>
        <w:t>(разработчик: «de Havilland», Великобритания). Первые полёты пилот Э.Браун из лётно-испытательного центра «Боскомб Даун» выполнял при минимально допустимой массе машины, с учетом возможности ухода в случае неудачи на ближайший береговой аэродром. К моменту появления «Москито» авианосец развернулся против ветра и дал полный ход. Пилоту по радио передали, что скорость воздушного потока над палубой составляет 74 км/ч. Браун, которому прежде не приходилось садиться на корабль, вполне уверенно выполнил заход на посадку. «Мосси» захватил второй трос аэрофинишера и быстро остановился. Адмирал Портал, флаг-офицер Морского авиационного командования, поздравил Брауна с первой в истории авиации посадкой двухмоторного самолета на авианосец (15081).</w:t>
      </w:r>
    </w:p>
    <w:p w14:paraId="36EF3799" w14:textId="77777777" w:rsidR="004F35D0" w:rsidRPr="00070ADE" w:rsidRDefault="004F35D0" w:rsidP="00B56F90">
      <w:pPr>
        <w:spacing w:after="0" w:line="240" w:lineRule="auto"/>
        <w:jc w:val="both"/>
        <w:rPr>
          <w:rFonts w:ascii="Times New Roman" w:hAnsi="Times New Roman"/>
          <w:color w:val="000000" w:themeColor="text1"/>
          <w:sz w:val="16"/>
          <w:szCs w:val="16"/>
        </w:rPr>
      </w:pPr>
    </w:p>
    <w:p w14:paraId="60EEACEF" w14:textId="77777777" w:rsidR="00003C7F" w:rsidRPr="00070ADE" w:rsidRDefault="00003C7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марта 1944 Объединенный комитет начальников штабов дает генералу Дуайт Д. Эйзенхауэр - верховному главнокомандующиемуОВС НАТО в Европе и верховному главнокомандующему ОВС НАТО экспедиционных сил союзников - контроль над воздушными операциями на северо - западе Европы, чтобы обеспечить поддержку с воздуха для предстоящего вторжения в Европу. Эйзенхауэр командует Восьмай армией ВВС и RAF Bomber Command, чтобы сосредоточить операции на разрушение французской сети железных дорог и уменьшить возможность Германий получать родкрепление для плацдарма вторжения (20373).</w:t>
      </w:r>
    </w:p>
    <w:p w14:paraId="3F6D3D85" w14:textId="77777777" w:rsidR="00003C7F" w:rsidRPr="00070ADE" w:rsidRDefault="00003C7F" w:rsidP="00B56F90">
      <w:pPr>
        <w:spacing w:after="0" w:line="240" w:lineRule="auto"/>
        <w:jc w:val="both"/>
        <w:rPr>
          <w:rFonts w:ascii="Times New Roman" w:hAnsi="Times New Roman"/>
          <w:color w:val="000000" w:themeColor="text1"/>
          <w:sz w:val="16"/>
          <w:szCs w:val="16"/>
        </w:rPr>
      </w:pPr>
    </w:p>
    <w:p w14:paraId="5CDDE8FD" w14:textId="77777777" w:rsidR="00003C7F" w:rsidRPr="00070ADE" w:rsidRDefault="00003C7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марта 1944 арктический конвой JW 58 отходит из Шотландии, направляясь в Кольский заливе в Советском Союзе. Британские авианосцы HMS Activity и HMS Tracker сопровождают JW 58 и обратный конвой RA 58, который достигает озера Лох-Эве 14 апреля. Во время рейса их самолеты топят или способствуют потоплению двух немецких подводных лодок, атакуют еще три и сбивают шесть немецких самолетов без потерь торгового корабля (20373).</w:t>
      </w:r>
    </w:p>
    <w:p w14:paraId="48400B4D" w14:textId="77777777" w:rsidR="00003C7F" w:rsidRPr="00070ADE" w:rsidRDefault="00003C7F" w:rsidP="00B56F90">
      <w:pPr>
        <w:spacing w:after="0" w:line="240" w:lineRule="auto"/>
        <w:jc w:val="both"/>
        <w:rPr>
          <w:rFonts w:ascii="Times New Roman" w:hAnsi="Times New Roman"/>
          <w:color w:val="000000" w:themeColor="text1"/>
          <w:sz w:val="16"/>
          <w:szCs w:val="16"/>
        </w:rPr>
      </w:pPr>
    </w:p>
    <w:p w14:paraId="1234BB2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марта 1944 вишисткое правительство Франции разрешило французам вступать в СС (4962).</w:t>
      </w:r>
    </w:p>
    <w:p w14:paraId="0BFCA77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B0D04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833040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2EE2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установилась устойчивая летная по</w:t>
      </w:r>
      <w:r w:rsidRPr="00070ADE">
        <w:rPr>
          <w:rFonts w:ascii="Times New Roman" w:hAnsi="Times New Roman"/>
          <w:color w:val="000000" w:themeColor="text1"/>
          <w:sz w:val="16"/>
          <w:szCs w:val="16"/>
        </w:rPr>
        <w:softHyphen/>
        <w:t>года, которая продержалась три дня. В эти дни бригада испытателей ра</w:t>
      </w:r>
      <w:r w:rsidRPr="00070ADE">
        <w:rPr>
          <w:rFonts w:ascii="Times New Roman" w:hAnsi="Times New Roman"/>
          <w:color w:val="000000" w:themeColor="text1"/>
          <w:sz w:val="16"/>
          <w:szCs w:val="16"/>
        </w:rPr>
        <w:softHyphen/>
        <w:t>ботала весьма активно и 30 марта в 18.00 рапортовала руководству ин</w:t>
      </w:r>
      <w:r w:rsidRPr="00070ADE">
        <w:rPr>
          <w:rFonts w:ascii="Times New Roman" w:hAnsi="Times New Roman"/>
          <w:color w:val="000000" w:themeColor="text1"/>
          <w:sz w:val="16"/>
          <w:szCs w:val="16"/>
        </w:rPr>
        <w:softHyphen/>
        <w:t>ститута об успешном завершении го</w:t>
      </w:r>
      <w:r w:rsidRPr="00070ADE">
        <w:rPr>
          <w:rFonts w:ascii="Times New Roman" w:hAnsi="Times New Roman"/>
          <w:color w:val="000000" w:themeColor="text1"/>
          <w:sz w:val="16"/>
          <w:szCs w:val="16"/>
        </w:rPr>
        <w:softHyphen/>
        <w:t>сударственных испытаний Ил-АМ-42 (11427).</w:t>
      </w:r>
    </w:p>
    <w:p w14:paraId="19A6C9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7A3F93"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в ходе госиспытаний Ил-АМ-42 со «старым» проверенным винтом АВ-5 л-18Б, начавшихся 29 февраля, установилась устойчивая летная погода, которая продержалась три дня. В эти дни бригада испытателей работала весьма активно и 30 марта в 18.00 рапортовала руководству института об успешном завершении государственных испытаний.</w:t>
      </w:r>
    </w:p>
    <w:p w14:paraId="22E5A8D2" w14:textId="270B82AB"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испытания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продолжались в течение 31 календарного дня, из которых летных дней было всего 10, нелетных</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14. Еще 7 дней пришлось затратить на ремонт и доводку самолета. В общей сложности было выполнено 44 полета с налетом 19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 30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мин.</w:t>
      </w:r>
    </w:p>
    <w:p w14:paraId="5F8A3F87" w14:textId="15D06160"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испытаний самолет облетали ведущий инженер-летчик 3-го отдела НИИ ВВС инженер-майор 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Синельников, летчик-испытатель 4-го отдела майор 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Субботин, старший летчик-испытатель 3-го отдела майор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Журавлев и летчик-испытатель подполковник 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Нюхтиков. В качестве штурманов облета участвовали капитан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Горбунов, заместитель начальника 4-го отдела полковник 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Шауров, помощник начальника 6-го отдела капитан Васильев, штурман-испытатель капитан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Ковынев, штурман-испытатель подполковник 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Цветков.</w:t>
      </w:r>
    </w:p>
    <w:p w14:paraId="55B40392"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документов, самолет проходил испытания в двух вариантах: разведчика-корректировщика и штурмовика-бомбардировщика, которые отличались друг от друга фактически только бомбовой нагрузкой и заправкой самолета горючим и маслом. Состав фото- и радиооборудования самолета в ходе испытаний оставался неизменным и соответствовал «следопыту».</w:t>
      </w:r>
    </w:p>
    <w:p w14:paraId="75F9D698"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Стрелково-пушечное вооружение самолета в обоих вариантах назначения было одинаковым и включало две пушки ВЯ (300 патронов), два пулемета ШКАС (1500 патронов) и оборонительный пулемет УБК (3 диска по 50 патронов) на ВУ-8. Ракетное вооружение не предусматривалось.</w:t>
      </w:r>
    </w:p>
    <w:p w14:paraId="0CAA8E44" w14:textId="24659A7D"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 полетный вес штурмовика-бомбардировщика устанавливался в 7260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в перегрузку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7660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Полезная нагрузка при нормальном полетном весе составляла 1995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w:t>
      </w:r>
    </w:p>
    <w:p w14:paraId="062082B9" w14:textId="1FE68DCA"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перегрузочном варианте допускалась подвеска до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в том числе на двух внешних узлах две бомбы типа ФАБ-500 или два выливных авиаприбора ВАП-250 или УХАП-250.</w:t>
      </w:r>
    </w:p>
    <w:p w14:paraId="2843B9A4" w14:textId="69DBE5F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Нагрузка в варианте «следопыта» ограничивалась 1460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и отличалась от штурмового варианта отсутствием бомбовой нагрузки и увеличенным до 120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весом съемного оборудования.</w:t>
      </w:r>
    </w:p>
    <w:p w14:paraId="49359887" w14:textId="229D9B56"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Поскольку состав съемного оборудования на самолете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соответствовал варианту разведчика-корректировщика, то при загрузке 600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и полной заправке горючим и маслом вес самолета на 65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превышал нормальный полетный вес, установленный для штурмовика-бомбардировщика. Поэтому при проведении испытательных полетов в варианте штурмовика вес горючего уменьшался ровно на 65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w:t>
      </w:r>
    </w:p>
    <w:p w14:paraId="2829459E" w14:textId="4C662A3D"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АМ-42 на протяжении всего времени испытаний работал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и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 Отмечался и большой расход горючего на номинальном режиме работы мотора, который при контрольном полете 19 марта составил 295–315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г/л.</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 ч.</w:t>
      </w:r>
    </w:p>
    <w:p w14:paraId="52607851"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испытаний пришлось заменить маслоуплотнитель носка вала редуктора мотора, регулятор давления наддува, прокладки под всасывающими патрубками (для чего был демонтирован карбюратор). Дважды заменили весь комплект свечей, по одному разу все свечи внешнего ряда, водяную трубку (подводящую охлаждающую воду к левому блоку цилиндров мотора от помпы) и бензотрубку (подводящую топливо к карбюраторам). Из-за течи по сварке трижды ремонтировались маслобаки. Одновременно были отремонтированы все карбюраторы и коллекторы нагнетателя.</w:t>
      </w:r>
    </w:p>
    <w:p w14:paraId="59F4A4EC"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выполнении работ по устранению недостатков и дефектов «в полный рост» проявилась непродуманность конструкции винтомоторной группы с точки зрения удобства эксплуатации. Например, для того чтобы снять водяную трубку, необходимо было демонтировать блоки мотора, выхлопные патрубки и левый маслобак, а затем вернуть их на свои места. Замена трубопровода, подводящего горючее к карбюраторам, выливалась в полный демонтаж всасывающей трубы нагнетателя и карбюратора. Испытатели отмечали трудоемкую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большую длину (без технологических разъемов), что серьезно усложняло их замену и ремонт.</w:t>
      </w:r>
    </w:p>
    <w:p w14:paraId="1967E859"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общем, проблем с мотором хватало с избытком, но бригаде НИИ ВВС все же удалось отлетать программу испытаний почти в полном объеме.</w:t>
      </w:r>
    </w:p>
    <w:p w14:paraId="4249666A" w14:textId="66DC7FAC"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первую очередь определялись летно-технические данные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в варианте штурмовика-бомбардировщика и только затем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 варианте разведчика-корректировщика. Как показали полеты, основные данные нового самолета заметно превосходили Ил-2, хотя, по мнению военных, уже не отвечали в полном объеме современным требованиям.</w:t>
      </w:r>
    </w:p>
    <w:p w14:paraId="14EAC04F" w14:textId="7A15A23D"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нормальном полетном весе (600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на внутренней подвеске) максимальная скорость полета оказалась равной 472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на высоте 2500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и 428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у земли. Вертикальная скорость не превышала 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м/с на высоте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и 6,7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у земли. Разбег самолета с отклоненными на 17° щитками и с форсажем мотора составил 435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Пробег при посадочном весе 5900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с применением тормозов и отклонением щитков на 45° оказался в пределах 465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Посадочная скорость равнялась 136</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w:t>
      </w:r>
    </w:p>
    <w:p w14:paraId="0CE05B56" w14:textId="55E4EC3B"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Разведчик-корректировщик на всех высотах летал на 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быстрее штурмовика-бомбардировщика. Примерно на 22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была выше скороподъемность и на 11</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горизонтальная маневренность. Лучшими были и взлетно-посадочные характеристики. Из-за непостоянства наддува в полете при работе мотора, тряски и выработки ресурса мотора (к моменту начала полетов в варианте «следопыта» остаток ресурса составлял 4–5 часов) измерить скороподъемность выше границы высотности не удалось.</w:t>
      </w:r>
    </w:p>
    <w:p w14:paraId="161CB468" w14:textId="1C631D7B"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всех вариантах полетного веса центровка самолета (шасси выпущено) находилась в пределах от 19,9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САХ (пустой самолет) до 23,3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(перегрузочный вариант с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w:t>
      </w:r>
    </w:p>
    <w:p w14:paraId="6641BC2A" w14:textId="3D3300AD"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полета на высоте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и скорости 308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составила 820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на 155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 больше дальности полета Ил-2 АМ-38ф. При этом отмечалось, что дальность полета 2-го экземпляра Ил-АМ-42, на котором установлены бензобаки емкостью 1020 л, будет достигать 980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w:t>
      </w:r>
    </w:p>
    <w:p w14:paraId="02DC94EB" w14:textId="6AF47EE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своим пилотажным свойствам Ил-АМ-42 оказался достаточно простым и легким в управлении. В сравнении с Ил-2 новый самолет обладал значительно лучшей продольной устойчивостью и управляемостью, что упростило технику пилотирования, особенно на виражах и бреющих полетах. Летчики-испытатели отмечали, что Ил-АМ-42 в отличие от Ил-2 «на вираже позволяет значительно выбирать ручку руля высоты на себя, для уменьшения радиуса виража». Пикировал самолет устойчиво. Просадка на выводе оказалась несколько больше, чем у серийного Ил-2. Сила отдачи при стрельбе из пушек почти не сказывалась на пилотировании самолетом и прицеливании. Маневренность Ил-АМ-42 в вертикальной и горизонтальной плоскостях оказалась почти такой же, как у серийной «двойки», даже несколько хуже, и считалась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летного состава для перехода с Ил-2 не требует»,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указывалось в отчете по испытаниям.</w:t>
      </w:r>
    </w:p>
    <w:p w14:paraId="63499FEF"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улучшения пилотажных качеств машины летчики предлагали на руль поворота установить триммер, а на элероны «наклепать ножи для регулировки от подваливания».</w:t>
      </w:r>
    </w:p>
    <w:p w14:paraId="1A89863F" w14:textId="2A5409B2"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Указывалось, что Ил-АМ-42 строился по нормам прочности 1941 года и относится к классу Б</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ограниченно маневренных самолетов. При полетном весе 7250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разрушающая перегрузка равнялась 7,5 единицы, эксплуатационная перегрузка («установленная главным конструктором самолета»)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4,96 единицы.</w:t>
      </w:r>
    </w:p>
    <w:p w14:paraId="28EFD104"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Помимо неудовлетворительной работы мотора АМ-42 отмечались и ряд других недостатков, отнесенных специалистами института к разряду основных.</w:t>
      </w:r>
    </w:p>
    <w:p w14:paraId="13324DCA"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частности, для самолета боя представлялось обязательным наличие системы заполнения бензобаков нейтральным газом. На Ил-АМ-42, как указывалось выше, такая система имелась, но на государственные испытания официально она не предъявлялась, так как не была доведена до рабочего состояния.</w:t>
      </w:r>
    </w:p>
    <w:p w14:paraId="0BDEEEDD" w14:textId="11BBB155"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Схему бронирования Ил-АМ-42 специалисты НИИ ВВС оценили как не отвечающую современным требованиям. Соответствующее заключение начальник 8-го отдела института инженер-полковник Лагутин утвердил 24 марта. В ряду особо уязвимых мест значились задняя бронеперегородка штурмана-стрелка (толщина 12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и моторная часть снизу-сбоку (толщина 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рекомендовалось «снять с корпуса/…/передние броневые детали за втулкой винта, уменьшить с 5 до 2,5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толщину деталей пояса кабины летчика в местах примыкания крыла к фюзеляжу». Кроме этого, требовалось заднюю перегородку штурмана установить по образцу 2-го экземпляра Ил-АМ-42, то есть сделать экранированной две бронеплиты по 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и обеспечить защиту головы штурмана бронестеклом.</w:t>
      </w:r>
    </w:p>
    <w:p w14:paraId="027E5BC5" w14:textId="52996F79"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 же время отмечалось, что обе кабины</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летчика и штурмана-стрелка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 сравнении с Ил-2 имеют увеличенные размеры, что улучшает условия боевой работы экипажа. В кабине штурмана-стрелка вместо брезентовой ленты (как на Ил-2) устанавливалось постоянное откидное сиденье. Штурман облета капитан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Горбунов отмечал, что в кабине «тепло, задуваний нет, можно работать без летных очков». Посадка в кабину через нижний люк в бронекорпусе была признана удобной. В аварийной ситуации штурман легко покидал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449352FB"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достоинству машины было отнесено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поскольку это сильно облегчало работу летчика в бою.</w:t>
      </w:r>
    </w:p>
    <w:p w14:paraId="62E34CC9"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Положительно оценили наличие дублирования в каналах управления рулем высоты, поворота, элеронами и триммерами.</w:t>
      </w:r>
    </w:p>
    <w:p w14:paraId="4505B78D" w14:textId="02D745BD"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в кабине пилота прицела ПБП-1б на легкосъемном кронштейне обеспечивала летчику дополнительную безопасность при посадке с убранным шасси. Как известно, на Ил-2 ранних серий летчики часто ударялись о прицел ПБП-1 головой во время вынужденных посадок, что нередко приводило к серьезным травмам, а в ряде случаев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и к смертельным исходам.</w:t>
      </w:r>
    </w:p>
    <w:p w14:paraId="075F71B8" w14:textId="35C4B504"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Бомбовое вооружение штурмовика-бомбардировщика Ил-АМ-42 по номенклатуре бомб и весу в целом соответствовало требованиям войны. Бомбометание допускалось как с горизонтального полета, так и с пикирования, но под углами не более 25–30°, хотя на испытаниях самолет пикировал до 40° без каких-либо нареканий. Для бомбометания с горизонтального полета предназначался прицел ОПБ-1р. Сброс бомб мог осуществляться и штурманом, и летчиком. Однако прицельно сбросить бомбы ни тот ни другой не могли.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штурман, «что требует соответствующей методической проработки».</w:t>
      </w:r>
    </w:p>
    <w:p w14:paraId="739A5CFB" w14:textId="2DABF668"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бомбовый прицел штурмана в полете нещадно забрызгивался маслом, которое выбивалось из-под уплотнительного кольца втулки винта и носка коленчатого вала мотора. По этим причинам в первом же полете на испытание бомбового вооружения 9 марта штурман капитан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Горбунов был вынужден сбросить все бомбы залпом, неприцельно, за один заход. Для предохранения прицела от попадания масла на заводе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240 был изготовлен специальный щиток. Установка щитка на самолет положение не улучшило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оптика забрызгивалась маслом. Прицельное бомбометание по-прежнему оставалось невозможным. В испытательном полете 19 марта со щитком из-за замасливания оптики Горбунов сбросил все бомбы аварийно. В то же время отмечалось, что работать с ОПБ-1р в боевом положении удобно, а сам прицел является наиболее подходящим для установки на Ил-АМ-42, если, конечно, «устранить забрызгивание оптики прицела маслом».</w:t>
      </w:r>
    </w:p>
    <w:p w14:paraId="03EE11C8"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этим причинам для бомбометания с горизонтального полета рекомендовалось использовать прицельную систему, отработанную для Ил-2: разметку и визирные штыри на бронекапоте самолета, метки и прицельные линии на лобовом и боковых бронестеклах фонаря кабины.</w:t>
      </w:r>
    </w:p>
    <w:p w14:paraId="5F2CDE3A"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Бомбометание с пикирования по методике ничем не отличалось от таковой на Ил-2 и в целом показало хорошие результаты вследствие лучшей устойчивости самолета при пикировании.</w:t>
      </w:r>
    </w:p>
    <w:p w14:paraId="5756363A"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Отметим, что маслом забрызгивалось и переднее бронестекло фонаря кабины пилота, что, естественно, ухудшало условия прицеливания.</w:t>
      </w:r>
    </w:p>
    <w:p w14:paraId="216B4323"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отработки стрелково-пушечного вооружения было выполнено в общей сложности 19 полетов, из них «9 полетов со стрельбой по наземным целям и 10 полетов с ВУ-8».</w:t>
      </w:r>
    </w:p>
    <w:p w14:paraId="2AFB570E"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Если к пушкам ВЯ и пулеметам ШКАС при стрельбе в воздухе каких-либо серьезных претензий у военных испытателей не было, то работой оборонительной установки ВУ-8 с пулеметом УБК и ее возможностями они остались недовольны.</w:t>
      </w:r>
    </w:p>
    <w:p w14:paraId="0747768D" w14:textId="1D9E063C"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недостатки ВУ-8 в явном виде проявились в воздушном бою с немецким истребителем Bf109G-2, который состоялся 30 апреля. За воздушного стрелка вылетал штурман-испытатель подполковник 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Цветков. Атаки выполнялись со всех возможных в реальном бою направлений. При этом на маршруте полета от Чкаловской до Ногинска «мессер» успевал выполнить до 8–9 атак, находясь всегда в задней полусфере и отворачивая всякий раз в сторону с набором высоты.</w:t>
      </w:r>
    </w:p>
    <w:p w14:paraId="5B9BB71E" w14:textId="0FE73F64"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Оказалось, что за время одной атаки «мессершмитта» штурман успевал только развернуть установку в сторону истребителя и выставить пулемет в необходимое положение для стрельбы по нему, а на прицеливание оставалось «такое незначительное время, что точно навести прицел с требуемой поправкой на скорость цели не удалось ни разу». С одной стороны, это обуславливалось большими угловыми скоростями цели, а с другой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значительными усилиями для удерживания пулемета при прицеливании и стрельбе. Дело в том, что для выполнения грубой наводки на цель штурману приходилось одной рукой (правой) удерживать пулемет, а другой рукой (левой)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фиксировать стопор каретки установки и одновременно «доворачивать пулеметную установку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углового сектора точной наводки пулемета. Требовалось вновь перемещать саму установку и выполнять точную наводку пулеметом и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 То есть «одной рукой довести пулемет и прицелиться невозможно».</w:t>
      </w:r>
    </w:p>
    <w:p w14:paraId="7FCCE711"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Положение усугублялось еще и тем обстоятельством, что при работе с пулеметом имело место «много мелких трудноуловимых препятствий, затруднявших маневр пулеметом и установкой».</w:t>
      </w:r>
    </w:p>
    <w:p w14:paraId="72C969F7" w14:textId="481F50CF"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донесения Цветкова, производить прицеливание при стрельбе вверх было крайне неудобно, так как «приходится опускаться на корточки, и получается очень напряженное, неустойчивое положение». При поворотах установки на левый борт очень трудно использовать доводочные углы пулемета, требовалось менять положение туловища относительно оружия, а поскольку прицел располагался слева от пулемета,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устойчивым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во время прицеливания и стрельбы все время приходилось подыскивать место, куда бы поставить ноги. Отсюда потеря времени на прицеливание. Практически получалось так, что обеспечить прицельный огонь с левого борта было нельзя.</w:t>
      </w:r>
    </w:p>
    <w:p w14:paraId="33F30D0F"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Стрельба с незастопоренной установкой показала, что пулемет в этом случае резко уходит к правому борту, а при стрельбе с застопоренной установкой пулемет сильно трясет.</w:t>
      </w:r>
    </w:p>
    <w:p w14:paraId="0E48DAAF" w14:textId="6B5988D4"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Ведение прицельного огня на виражах оказалось невозможным, так как пулемет прижимает вниз, а «приподнять и удержать его не хватает силы», не говоря уже о том, чтобы одновременно с этим еще и поворачивать установку в сторону цели. Во время воздушного боя на виражах истребитель легко держался в хвосте и на первом же вираже заходил строго в хвост на дистанцию открытия действительного огня 100–150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w:t>
      </w:r>
    </w:p>
    <w:p w14:paraId="1BFA2413"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мнению подполковника Цветкова, маневренность ВУ-8 и пулемета в целом явно недостаточная для эффективного отражения атак истребителей, «в лучшем случае она может позволить сделать одну прицельную очередь, и то с недостаточной точностью прицеливания». Одновременно отмечалось, что сама установка ВУ-8 заметно лучше, чем блистерная установка БЛУБ на Су-6, и несколько лучше, чем ВУБ-3 на Ил-2.</w:t>
      </w:r>
    </w:p>
    <w:p w14:paraId="66469EBA"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Справедливости ради следует отметить, что при всех атаках со стороны задней полусферы летчик по команде штурмана энергичным маневром успевал доворачивать самолет таким образом, чтобы штурман мог держать противника в секторе обстрела. Это до некоторой степени компенсировало ограниченность углов обстрела установки, однако не обеспечивало ведение прицельной стрельбы.</w:t>
      </w:r>
    </w:p>
    <w:p w14:paraId="3E443DC1" w14:textId="78DA9FA4"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отражении атак истребителя со стороны солнца выявилась еще одна интересная особенность ВУ-8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плексиглас козырька установки слепил штурмана еще больше, чем солнце, вследствие чего прицеливаться было невозможно.</w:t>
      </w:r>
    </w:p>
    <w:p w14:paraId="5B01FC70"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переговорное устройство штурмана и летчика работало неудовлетворительно: «… сильный треск и шум не давали разговаривать, переключатель абонентской коробки во время боя несколько раз самопроизвольно переключался в положение РС или РК, что нарушало связь с летчиком».</w:t>
      </w:r>
    </w:p>
    <w:p w14:paraId="763E4108"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Серьезными недостатками ВУ-8 считались небольшая емкость магазина пулемета УБК и большое время его смены. Полсотни патронов в магазине оказалось недостаточно для отражения даже одной атаки истребителя. В то же время на его замену уходило около одной минуты, что было совершенно неприемлемым для реальных условий боя. В отчете указывалось, что за счет некоторых конструктивных улучшений можно сократить время смены магазина до 45–50 секунд, но все равно оно оставалось большим.</w:t>
      </w:r>
    </w:p>
    <w:p w14:paraId="4D51C2C5" w14:textId="77372DC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ранее принятыми подобными установками преимуществ не имеет, за исключением того, что защищает стрелка от задувания»,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констатировал подполковник Цветков после проведенного им воздушного боя с немецким истребителем.</w:t>
      </w:r>
    </w:p>
    <w:p w14:paraId="54A9EAF0"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выводах отчета предлагалось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15A6DE32" w14:textId="3D0108EC"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Предъявлялись претензии и к спецоборудованию самолета. В частности,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«летчик и штурман совмещают лишние функции».</w:t>
      </w:r>
    </w:p>
    <w:p w14:paraId="3DA6D1F2"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столь обширный перечень дефектов и недостатков Ил-АМ-42, в заключении акта по испытаниям самолет был рекомендован к запуску в серийное производство в вариантах штурмовика-бомбардировщика и разведчика-корректировщика.</w:t>
      </w:r>
    </w:p>
    <w:p w14:paraId="43D10A14" w14:textId="105C1772"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целью выявления боевых качеств Ил-АМ-42 предлагалось «выпустить войсковую серию этих самолетов». Причем когда акт подписывал начальник НИИ ВВС генерал-лейтенант 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Лосюков, то он собственноручно дописал к этому пункту документа: «…даже с 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час. ресурсом АМ-42 (если не успеют моторы со 100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час. ресурсом)».</w:t>
      </w:r>
    </w:p>
    <w:p w14:paraId="457C80F3" w14:textId="2D0AD58C"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Военные специалисты считали необходимым «просить Наркома авиапромышленности тов. Шахурина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 дать задания: а) Главному конструктору мотора АМ-42 тов. Микулину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 довести опытный мотор до состояния пригодного к нормальной эксплуатации. б) Главному конструктору самолета Ил с АМ-42 тов. Ильюшину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 до запуска в серийное производство устранить дефекты, отмеченные в выводах…»</w:t>
      </w:r>
    </w:p>
    <w:p w14:paraId="546BC264" w14:textId="77777777" w:rsidR="00133AA8" w:rsidRPr="00070ADE" w:rsidRDefault="00133A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 касается установки на самолет кассет ДАГ-10 и крупнокалиберных пушек 11П, а также величины бомбовой нагрузки с этими пушками, то решение планировалось принять после проведения испытаний 2-го экземпляра самолета Ил-АМ-42 (17490).</w:t>
      </w:r>
    </w:p>
    <w:p w14:paraId="450D678B" w14:textId="77777777" w:rsidR="00133AA8" w:rsidRPr="00070ADE" w:rsidRDefault="00133AA8" w:rsidP="00B56F90">
      <w:pPr>
        <w:spacing w:after="0" w:line="240" w:lineRule="auto"/>
        <w:jc w:val="both"/>
        <w:rPr>
          <w:rFonts w:ascii="Times New Roman" w:hAnsi="Times New Roman"/>
          <w:color w:val="000000" w:themeColor="text1"/>
          <w:sz w:val="16"/>
          <w:szCs w:val="16"/>
        </w:rPr>
      </w:pPr>
    </w:p>
    <w:p w14:paraId="2E4A2A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через три дня после завершения заводских испыта</w:t>
      </w:r>
      <w:r w:rsidRPr="00070ADE">
        <w:rPr>
          <w:rFonts w:ascii="Times New Roman" w:hAnsi="Times New Roman"/>
          <w:color w:val="000000" w:themeColor="text1"/>
          <w:sz w:val="16"/>
          <w:szCs w:val="16"/>
        </w:rPr>
        <w:softHyphen/>
        <w:t>ний (Заводские испытания самолета «И» проводил лет</w:t>
      </w:r>
      <w:r w:rsidRPr="00070ADE">
        <w:rPr>
          <w:rFonts w:ascii="Times New Roman" w:hAnsi="Times New Roman"/>
          <w:color w:val="000000" w:themeColor="text1"/>
          <w:sz w:val="16"/>
          <w:szCs w:val="16"/>
        </w:rPr>
        <w:softHyphen/>
        <w:t>чик А. Г. Васильченко) Пе-2И был отправлен в НИИ ВВС.</w:t>
      </w:r>
    </w:p>
    <w:p w14:paraId="6E5E4B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Впервые за всю историю своего существования Пе-2 подвергся коренной переделке. Прежде всего с крыла сняли тормозные решетки и уменьшили пло</w:t>
      </w:r>
      <w:r w:rsidRPr="00070ADE">
        <w:rPr>
          <w:rFonts w:ascii="Times New Roman" w:hAnsi="Times New Roman"/>
          <w:color w:val="000000" w:themeColor="text1"/>
          <w:sz w:val="16"/>
          <w:szCs w:val="16"/>
        </w:rPr>
        <w:softHyphen/>
        <w:t>щадь элеронов, изменив величину аэродинамической компенсации.</w:t>
      </w:r>
    </w:p>
    <w:p w14:paraId="328423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Существенные изменения претерпел фюзеляж. Увеличение его длины на метр и высоты на 0,Зм, а так</w:t>
      </w:r>
      <w:r w:rsidRPr="00070ADE">
        <w:rPr>
          <w:rFonts w:ascii="Times New Roman" w:hAnsi="Times New Roman"/>
          <w:color w:val="000000" w:themeColor="text1"/>
          <w:sz w:val="16"/>
          <w:szCs w:val="16"/>
        </w:rPr>
        <w:softHyphen/>
        <w:t>же новая компоновка бомбоотсека позволили размес</w:t>
      </w:r>
      <w:r w:rsidRPr="00070ADE">
        <w:rPr>
          <w:rFonts w:ascii="Times New Roman" w:hAnsi="Times New Roman"/>
          <w:color w:val="000000" w:themeColor="text1"/>
          <w:sz w:val="16"/>
          <w:szCs w:val="16"/>
        </w:rPr>
        <w:softHyphen/>
        <w:t>тить в нем бомбу ФАБ-1000. Из акта по результатам государственных испытаний следует, что этого дос</w:t>
      </w:r>
      <w:r w:rsidRPr="00070ADE">
        <w:rPr>
          <w:rFonts w:ascii="Times New Roman" w:hAnsi="Times New Roman"/>
          <w:color w:val="000000" w:themeColor="text1"/>
          <w:sz w:val="16"/>
          <w:szCs w:val="16"/>
        </w:rPr>
        <w:softHyphen/>
        <w:t>тигли смещением центроплана вверх на 300 мм. В дей</w:t>
      </w:r>
      <w:r w:rsidRPr="00070ADE">
        <w:rPr>
          <w:rFonts w:ascii="Times New Roman" w:hAnsi="Times New Roman"/>
          <w:color w:val="000000" w:themeColor="text1"/>
          <w:sz w:val="16"/>
          <w:szCs w:val="16"/>
        </w:rPr>
        <w:softHyphen/>
        <w:t>ствительности, как объяснил мне Л.Л. Селяков, цен</w:t>
      </w:r>
      <w:r w:rsidRPr="00070ADE">
        <w:rPr>
          <w:rFonts w:ascii="Times New Roman" w:hAnsi="Times New Roman"/>
          <w:color w:val="000000" w:themeColor="text1"/>
          <w:sz w:val="16"/>
          <w:szCs w:val="16"/>
        </w:rPr>
        <w:softHyphen/>
        <w:t>троплан никуда не смещали. Для размещения бомбы вырезали часть нижних стальных поясов лонжерона центроплана и заменили их арочными коваными вкла</w:t>
      </w:r>
      <w:r w:rsidRPr="00070ADE">
        <w:rPr>
          <w:rFonts w:ascii="Times New Roman" w:hAnsi="Times New Roman"/>
          <w:color w:val="000000" w:themeColor="text1"/>
          <w:sz w:val="16"/>
          <w:szCs w:val="16"/>
        </w:rPr>
        <w:softHyphen/>
        <w:t>дышами. В результате высота лонжерона по оси само</w:t>
      </w:r>
      <w:r w:rsidRPr="00070ADE">
        <w:rPr>
          <w:rFonts w:ascii="Times New Roman" w:hAnsi="Times New Roman"/>
          <w:color w:val="000000" w:themeColor="text1"/>
          <w:sz w:val="16"/>
          <w:szCs w:val="16"/>
        </w:rPr>
        <w:softHyphen/>
        <w:t>лета уменьшилась ровно на половину. Затем нарасти</w:t>
      </w:r>
      <w:r w:rsidRPr="00070ADE">
        <w:rPr>
          <w:rFonts w:ascii="Times New Roman" w:hAnsi="Times New Roman"/>
          <w:color w:val="000000" w:themeColor="text1"/>
          <w:sz w:val="16"/>
          <w:szCs w:val="16"/>
        </w:rPr>
        <w:softHyphen/>
        <w:t>ли фюзеляж, заменив его круглое сечение овальным, и тем самым увеличили его высоту.</w:t>
      </w:r>
    </w:p>
    <w:p w14:paraId="125A89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сократили с трех до двух человек — летчи</w:t>
      </w:r>
      <w:r w:rsidRPr="00070ADE">
        <w:rPr>
          <w:rFonts w:ascii="Times New Roman" w:hAnsi="Times New Roman"/>
          <w:color w:val="000000" w:themeColor="text1"/>
          <w:sz w:val="16"/>
          <w:szCs w:val="16"/>
        </w:rPr>
        <w:softHyphen/>
        <w:t>ка и штурмана.</w:t>
      </w:r>
    </w:p>
    <w:p w14:paraId="366A4B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Оборонительное вооружение включало два круп</w:t>
      </w:r>
      <w:r w:rsidRPr="00070ADE">
        <w:rPr>
          <w:rFonts w:ascii="Times New Roman" w:hAnsi="Times New Roman"/>
          <w:color w:val="000000" w:themeColor="text1"/>
          <w:sz w:val="16"/>
          <w:szCs w:val="16"/>
        </w:rPr>
        <w:softHyphen/>
        <w:t>нокалиберных пулемета УБК: один в носу и один на дистанционной электрифицированной установке ДЭУ в хвосте.</w:t>
      </w:r>
    </w:p>
    <w:p w14:paraId="26E3FC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Особенностью бомбардировщика Пе-2 была его склонность к прогрессирующим «козлам» при посад</w:t>
      </w:r>
      <w:r w:rsidRPr="00070ADE">
        <w:rPr>
          <w:rFonts w:ascii="Times New Roman" w:hAnsi="Times New Roman"/>
          <w:color w:val="000000" w:themeColor="text1"/>
          <w:sz w:val="16"/>
          <w:szCs w:val="16"/>
        </w:rPr>
        <w:softHyphen/>
        <w:t>ке. Устранить этот дефект полностью так и не удалось, но немного укротить «козлиный» нрав самолета позво</w:t>
      </w:r>
      <w:r w:rsidRPr="00070ADE">
        <w:rPr>
          <w:rFonts w:ascii="Times New Roman" w:hAnsi="Times New Roman"/>
          <w:color w:val="000000" w:themeColor="text1"/>
          <w:sz w:val="16"/>
          <w:szCs w:val="16"/>
        </w:rPr>
        <w:softHyphen/>
        <w:t>лило применение на Пе-2И шасси с увеличенным хо</w:t>
      </w:r>
      <w:r w:rsidRPr="00070ADE">
        <w:rPr>
          <w:rFonts w:ascii="Times New Roman" w:hAnsi="Times New Roman"/>
          <w:color w:val="000000" w:themeColor="text1"/>
          <w:sz w:val="16"/>
          <w:szCs w:val="16"/>
        </w:rPr>
        <w:softHyphen/>
        <w:t>дом амортизации.</w:t>
      </w:r>
    </w:p>
    <w:p w14:paraId="135FC5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Сильное влияние на летные характеристики оказа</w:t>
      </w:r>
      <w:r w:rsidRPr="00070ADE">
        <w:rPr>
          <w:rFonts w:ascii="Times New Roman" w:hAnsi="Times New Roman"/>
          <w:color w:val="000000" w:themeColor="text1"/>
          <w:sz w:val="16"/>
          <w:szCs w:val="16"/>
        </w:rPr>
        <w:softHyphen/>
        <w:t>ла установка новых двигателей ВК-107А с двухскоро-стными нагнетателями и регуляторами постоянных оборотов. На высоте 4500 м ВК-107А развивал мощ</w:t>
      </w:r>
      <w:r w:rsidRPr="00070ADE">
        <w:rPr>
          <w:rFonts w:ascii="Times New Roman" w:hAnsi="Times New Roman"/>
          <w:color w:val="000000" w:themeColor="text1"/>
          <w:sz w:val="16"/>
          <w:szCs w:val="16"/>
        </w:rPr>
        <w:softHyphen/>
        <w:t>ность 1500 л.с. (11446)</w:t>
      </w:r>
    </w:p>
    <w:p w14:paraId="5C3988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3236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все необ</w:t>
      </w:r>
      <w:r w:rsidRPr="00070ADE">
        <w:rPr>
          <w:rFonts w:ascii="Times New Roman" w:hAnsi="Times New Roman"/>
          <w:color w:val="000000" w:themeColor="text1"/>
          <w:sz w:val="16"/>
          <w:szCs w:val="16"/>
        </w:rPr>
        <w:softHyphen/>
        <w:t>ходимые изменения У-2ШС согласно рекомендаци</w:t>
      </w:r>
      <w:r w:rsidRPr="00070ADE">
        <w:rPr>
          <w:rFonts w:ascii="Times New Roman" w:hAnsi="Times New Roman"/>
          <w:color w:val="000000" w:themeColor="text1"/>
          <w:sz w:val="16"/>
          <w:szCs w:val="16"/>
        </w:rPr>
        <w:softHyphen/>
        <w:t>ям военных испытателей осуществили на специальном макете. Подготовили новый вариант расширенного на 100 мм фюзеляжа, гаргрот в месте размещения раненых подня</w:t>
      </w:r>
      <w:r w:rsidRPr="00070ADE">
        <w:rPr>
          <w:rFonts w:ascii="Times New Roman" w:hAnsi="Times New Roman"/>
          <w:color w:val="000000" w:themeColor="text1"/>
          <w:sz w:val="16"/>
          <w:szCs w:val="16"/>
        </w:rPr>
        <w:softHyphen/>
        <w:t>ли на 50 мм, фонарь пассажирской кабины сделали съемным. Посадочный трап на ниж</w:t>
      </w:r>
      <w:r w:rsidRPr="00070ADE">
        <w:rPr>
          <w:rFonts w:ascii="Times New Roman" w:hAnsi="Times New Roman"/>
          <w:color w:val="000000" w:themeColor="text1"/>
          <w:sz w:val="16"/>
          <w:szCs w:val="16"/>
        </w:rPr>
        <w:softHyphen/>
        <w:t>нем крыле расширили на 150 мм. Так как разговор шел уже о серийном производстве, все изменения реализовали в У-2ШС № 9440101 войсковой серии, изготовленном в августе 1944 г. на заводе № 494. Самолет ос</w:t>
      </w:r>
      <w:r w:rsidRPr="00070ADE">
        <w:rPr>
          <w:rFonts w:ascii="Times New Roman" w:hAnsi="Times New Roman"/>
          <w:color w:val="000000" w:themeColor="text1"/>
          <w:sz w:val="16"/>
          <w:szCs w:val="16"/>
        </w:rPr>
        <w:softHyphen/>
        <w:t>настили распространенным двигателем М-11Д мощностью 115 л.с. Кроме уже перечис</w:t>
      </w:r>
      <w:r w:rsidRPr="00070ADE">
        <w:rPr>
          <w:rFonts w:ascii="Times New Roman" w:hAnsi="Times New Roman"/>
          <w:color w:val="000000" w:themeColor="text1"/>
          <w:sz w:val="16"/>
          <w:szCs w:val="16"/>
        </w:rPr>
        <w:softHyphen/>
        <w:t>ленного, для более эффективной баланси</w:t>
      </w:r>
      <w:r w:rsidRPr="00070ADE">
        <w:rPr>
          <w:rFonts w:ascii="Times New Roman" w:hAnsi="Times New Roman"/>
          <w:color w:val="000000" w:themeColor="text1"/>
          <w:sz w:val="16"/>
          <w:szCs w:val="16"/>
        </w:rPr>
        <w:softHyphen/>
        <w:t>ровки самолета триммером изменили угол установки стабилизатора, увеличили ком</w:t>
      </w:r>
      <w:r w:rsidRPr="00070ADE">
        <w:rPr>
          <w:rFonts w:ascii="Times New Roman" w:hAnsi="Times New Roman"/>
          <w:color w:val="000000" w:themeColor="text1"/>
          <w:sz w:val="16"/>
          <w:szCs w:val="16"/>
        </w:rPr>
        <w:softHyphen/>
        <w:t>пенсацию элеронов (25% вместо 19%), верх</w:t>
      </w:r>
      <w:r w:rsidRPr="00070ADE">
        <w:rPr>
          <w:rFonts w:ascii="Times New Roman" w:hAnsi="Times New Roman"/>
          <w:color w:val="000000" w:themeColor="text1"/>
          <w:sz w:val="16"/>
          <w:szCs w:val="16"/>
        </w:rPr>
        <w:softHyphen/>
        <w:t>нее крыло подняли на 90 мм, увеличили площадь киля. Заднее пассажирское кресло опустили на 50 мм (ранее пассажир упирал</w:t>
      </w:r>
      <w:r w:rsidRPr="00070ADE">
        <w:rPr>
          <w:rFonts w:ascii="Times New Roman" w:hAnsi="Times New Roman"/>
          <w:color w:val="000000" w:themeColor="text1"/>
          <w:sz w:val="16"/>
          <w:szCs w:val="16"/>
        </w:rPr>
        <w:softHyphen/>
        <w:t>ся в переплет фонаря), посадочную фару пе</w:t>
      </w:r>
      <w:r w:rsidRPr="00070ADE">
        <w:rPr>
          <w:rFonts w:ascii="Times New Roman" w:hAnsi="Times New Roman"/>
          <w:color w:val="000000" w:themeColor="text1"/>
          <w:sz w:val="16"/>
          <w:szCs w:val="16"/>
        </w:rPr>
        <w:softHyphen/>
        <w:t>ренесли под левое крыло, приборную доску пилота отодвинули вперед на 80 мм. Радио</w:t>
      </w:r>
      <w:r w:rsidRPr="00070ADE">
        <w:rPr>
          <w:rFonts w:ascii="Times New Roman" w:hAnsi="Times New Roman"/>
          <w:color w:val="000000" w:themeColor="text1"/>
          <w:sz w:val="16"/>
          <w:szCs w:val="16"/>
        </w:rPr>
        <w:softHyphen/>
        <w:t>станцию и генератор сняли (11085).</w:t>
      </w:r>
    </w:p>
    <w:p w14:paraId="6F4E77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47058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2FACE4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C0A9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г. была подготовлена ИНФОРМАЦИЯ ОТДЕЛА ЭКСПЛУАТАЦИИ УПРАВЛЕНИЯ БТ И МВ 1 -го БЕЛОРУССКОГО ФРОНТА КОМАНДУЮЩЕМУ БТ и МВ КА О ТРОФЕЙНОЙ САМОХОДНОЙ УСТАНОВКЕ СО 105-мм ПУШКОЙ</w:t>
      </w:r>
    </w:p>
    <w:p w14:paraId="78369A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Самоходная установка захвачена в боях за г. Рогачев 36 ТП 3 армии.</w:t>
      </w:r>
    </w:p>
    <w:p w14:paraId="61BF39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Особенности самоходной установки следующие:</w:t>
      </w:r>
    </w:p>
    <w:p w14:paraId="0011EB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Самоходная установка выполнена на шасси немецкого танка Т-1И, башня и подбашенная коробка которого заменены на бронезащиту боевого отделения.</w:t>
      </w:r>
    </w:p>
    <w:p w14:paraId="4A7D4D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передней части боевого отделения в маске смонтирована пушка. Лобовая часть самоходной установ</w:t>
      </w:r>
      <w:r w:rsidRPr="00070ADE">
        <w:rPr>
          <w:rFonts w:ascii="Times New Roman" w:hAnsi="Times New Roman"/>
          <w:color w:val="000000" w:themeColor="text1"/>
          <w:sz w:val="16"/>
          <w:szCs w:val="16"/>
        </w:rPr>
        <w:softHyphen/>
        <w:t>ки защищена дополнительно экранировкой. Менее поражаемая часть лба самоходной установки (нижние наклонные бронелисты и вертикальный лист) экранированы 30 мм броневыми листами, приваренными к основной броне: более поражаемая часть лба самоходной установки (верхние наклонные бронелисты по бокам маски пуп тки) усилены железно-бетонными плитами, помещенными снаружи основной брони. Бетон залит в коробчатые отсеки, образованные бронелистами бортов, вертикальным лобовым листом, бронели-стами маски пушки, броней крыши боевого отделения и наклонными верхними лобовыми бронелистами.</w:t>
      </w:r>
    </w:p>
    <w:p w14:paraId="441327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Внутри железо-бетонных плит имеется арматура в виде сетки с крупной ячейкой из 6 мм кругло</w:t>
      </w:r>
      <w:r w:rsidRPr="00070ADE">
        <w:rPr>
          <w:rFonts w:ascii="Times New Roman" w:hAnsi="Times New Roman"/>
          <w:color w:val="000000" w:themeColor="text1"/>
          <w:sz w:val="16"/>
          <w:szCs w:val="16"/>
        </w:rPr>
        <w:softHyphen/>
        <w:t>го железа. Сетка приварена к стенкам отсеков.</w:t>
      </w:r>
    </w:p>
    <w:p w14:paraId="2DECC3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Бетон кварцовистый, с примесью кремневой гальки. Толщина бетонных плит 150-200 мм.</w:t>
      </w:r>
    </w:p>
    <w:p w14:paraId="6F1299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Смонтированная на установке артсистема имеет следующие особенности.</w:t>
      </w:r>
    </w:p>
    <w:p w14:paraId="37958A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Пушка обладает коротким откатом; казенная часть пушки изготовлена удобной для действия в танке. Пушка снабжена дульным тормозом. Длина пушки от казенной части до дульного среза 2900 мм.</w:t>
      </w:r>
    </w:p>
    <w:p w14:paraId="7EF3D8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Углы поворота артсистемы следующие: максимальный угол возвышения 30°, угол снижения 10°, углы поворота в горизонтальной плоскости по 15° в обе стороны. Пушка раздельного заряжа</w:t>
      </w:r>
      <w:r w:rsidRPr="00070ADE">
        <w:rPr>
          <w:rFonts w:ascii="Times New Roman" w:hAnsi="Times New Roman"/>
          <w:color w:val="000000" w:themeColor="text1"/>
          <w:sz w:val="16"/>
          <w:szCs w:val="16"/>
        </w:rPr>
        <w:softHyphen/>
        <w:t>ния. Боекомплект 40 выстрелов. Состав боекомплекта фугасные и кумулятивные снаряды (70% фугасных снарядов и 30% кумулятивных).</w:t>
      </w:r>
    </w:p>
    <w:p w14:paraId="6BBD89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Боекомплект размещен справа от артустановки в кассетах.</w:t>
      </w:r>
    </w:p>
    <w:p w14:paraId="61553A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Прицельное приспособление пушки состоит из панорамы, установленной на люльке пушки в специальном кронштейне. Головка панорамы через отверстие в крышке самоходной установки сильно выступает наружу.</w:t>
      </w:r>
    </w:p>
    <w:p w14:paraId="1DA8B0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Пулеметного вооружения самоходная установка не имеет.</w:t>
      </w:r>
    </w:p>
    <w:p w14:paraId="6B990B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 дополнение к обычному смотровому прибору у водителя имеется над смотровым прибором два круглых отверстия, ступенчатого сечения, расположенных против глаз.</w:t>
      </w:r>
    </w:p>
    <w:p w14:paraId="69699A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Состав экипажа самоходной установки 3 человека.</w:t>
      </w:r>
    </w:p>
    <w:p w14:paraId="13467F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Борта самоходной установки защищены навесными экранами из 4-х мм железа, как и у танков Т-ГУ.</w:t>
      </w:r>
    </w:p>
    <w:p w14:paraId="128B53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Гусеница самоходной установки имеет дополнительные шпоры противоскольжения, предна</w:t>
      </w:r>
      <w:r w:rsidRPr="00070ADE">
        <w:rPr>
          <w:rFonts w:ascii="Times New Roman" w:hAnsi="Times New Roman"/>
          <w:color w:val="000000" w:themeColor="text1"/>
          <w:sz w:val="16"/>
          <w:szCs w:val="16"/>
        </w:rPr>
        <w:softHyphen/>
        <w:t>значенные для улучшения сцепления с грунтом и уменьшения бокового скольжения.</w:t>
      </w:r>
    </w:p>
    <w:p w14:paraId="060291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Борьба с самоходной установкой</w:t>
      </w:r>
    </w:p>
    <w:p w14:paraId="2BA534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Стрельба бронебойными снарядами в лоб самоходной установки малоэффективна.</w:t>
      </w:r>
    </w:p>
    <w:p w14:paraId="7BD143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Стрельба бронебойными снарядами по бортам установки будет выводить ее из строя.</w:t>
      </w:r>
    </w:p>
    <w:p w14:paraId="261B3D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Огонь ПТР действителен по корме самоходной установки, по самой пушке и по смотровому при</w:t>
      </w:r>
      <w:r w:rsidRPr="00070ADE">
        <w:rPr>
          <w:rFonts w:ascii="Times New Roman" w:hAnsi="Times New Roman"/>
          <w:color w:val="000000" w:themeColor="text1"/>
          <w:sz w:val="16"/>
          <w:szCs w:val="16"/>
        </w:rPr>
        <w:softHyphen/>
        <w:t>бору водителя.</w:t>
      </w:r>
    </w:p>
    <w:p w14:paraId="7E0292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Пулеметный и автоматный огонь по крыше установки поразит панораму пушки и ослепит стрел</w:t>
      </w:r>
      <w:r w:rsidRPr="00070ADE">
        <w:rPr>
          <w:rFonts w:ascii="Times New Roman" w:hAnsi="Times New Roman"/>
          <w:color w:val="000000" w:themeColor="text1"/>
          <w:sz w:val="16"/>
          <w:szCs w:val="16"/>
        </w:rPr>
        <w:softHyphen/>
        <w:t>ков установки.</w:t>
      </w:r>
    </w:p>
    <w:p w14:paraId="43A858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пом. начальника отдела эксплуатации УБТ и МВ 1-го Белорусского фронта</w:t>
      </w:r>
    </w:p>
    <w:p w14:paraId="2C6956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инженер-майор Цыганов</w:t>
      </w:r>
    </w:p>
    <w:p w14:paraId="60336E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11362. Д. 88. Л. 2. Подлинник (11403).</w:t>
      </w:r>
    </w:p>
    <w:p w14:paraId="302427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60C60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вышло Постановление ГКО № 5486 О мероприятиях по обеспечению предприятий Наркомтекстиля СССР запасными деталями и вспомогательными материалами. РГАНИР, Фонд ГКО, д. 222, лл. 1-4,5-15 (11012).</w:t>
      </w:r>
    </w:p>
    <w:p w14:paraId="53D9F48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B87AF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вышло Постановление ГКО № 5487 О восстановлении сети гидрометеорологической службы Красной Армии на освобожденной от противника территории. РГАНИР, Фонд ГКО, д. 222, лл. 16-19,20-25 (11012).</w:t>
      </w:r>
    </w:p>
    <w:p w14:paraId="4F665E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53240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28 марта 1944 вышло Постановление ГКО № 5488 Об организации станкоинструментального завода Наркомстанкостроения в г. Ереване Армянской ССР. РГАНИР, Фонд ГКО, д. 222, лл. 26-28,29-34 (11012).</w:t>
      </w:r>
    </w:p>
    <w:p w14:paraId="13E2834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3D283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вышло Постановление ГКО № 5489 Об обеспечении гильзовых заводов Наркомбоеприпасов запасными частями для прокатного и прессового оборудования. РГАНИР, Фонд ГКО, д. 222, лл. 35-37,38-42 (11012).</w:t>
      </w:r>
    </w:p>
    <w:p w14:paraId="6E1416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3B561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вышло Постановление ГКО № 5491 О восстановлении производства орудийных станков на заводе "Красный пролетарий" Наркомата станкостроения. РГАНИР, Фонд ГКО, д. 222, лл. 46-48 (11012).</w:t>
      </w:r>
    </w:p>
    <w:p w14:paraId="306B4AB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F1D293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вышло Постановление ГКО № 5492 О мероприятиях по увеличению производства газовой сажи. (7202, 49-51).</w:t>
      </w:r>
    </w:p>
    <w:p w14:paraId="3CC1FBD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E6518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вышло Постановление ГКО № 5493 О строительстве Широковской и Понышской гидроэлектростанций на Урале. РГАНИР, Фонд ГКО, д. 222, лл. 52-53,54-63 (11012).</w:t>
      </w:r>
    </w:p>
    <w:p w14:paraId="36D352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41BA4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вышло Распоряжение ГКО № 5494. О срочной помощи топливом ленинградским электростанциям. РГАНИР, Фонд ГКО, д. 222, лл. 64 (11012).</w:t>
      </w:r>
    </w:p>
    <w:p w14:paraId="137A78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C6834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вышло Постановление ГКО № 5495 О восстановлении в г. Киеве завода № 512 Наркомтекстиля СССР. РГАНИР, Фонд ГКО, д. 222, лл. 65-66,67 (11012).</w:t>
      </w:r>
    </w:p>
    <w:p w14:paraId="24A817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F8DA9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вышло Постановление ГКО № 5496 О мерах по улучшению строительства импортных нефтеперерабатывающих заводов в г.г. Орске и Красноводске. РГАНИР, Фонд ГКО, д. 222, лл. 68-73,74-75 (11012).</w:t>
      </w:r>
    </w:p>
    <w:p w14:paraId="58B648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41590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вышло Распоряжение ГКО № 5497. Об обеспечении аэростатных частей КА водородом. РГАНИР, Фонд ГКО, д. 222, лл. 76,77-79 (11012).</w:t>
      </w:r>
    </w:p>
    <w:p w14:paraId="2A5D74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E57B34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вышло Распоряжение ГКО № 5498. О временном переводе из Харькова и Мариуполя 1000 рабочих на завод № 183 НКТП для укомплектования металлургических цехов. РГАНИР, Фонд ГКО, д. 222, лл. 80 (11012).</w:t>
      </w:r>
    </w:p>
    <w:p w14:paraId="658538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2C730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вышло Распоряжение ГКО № 5499. Об усилении противопожарных мероприятий на объектах НКБ. РГАНИР, Фонд ГКО, д. 222, лл. 81-82,83-84 (11012).</w:t>
      </w:r>
    </w:p>
    <w:p w14:paraId="6E9EF7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39183B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вышло Распоряжение ГКО № 5499 [Об усилении противопожарных мероприятий на объектах НКБ.] (7202, 81-82,83-84).</w:t>
      </w:r>
    </w:p>
    <w:p w14:paraId="6077D14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A4BF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вышло Распоряжение ГКО № 5502. О выделении 32 рудничных электровозов НКЧМ для восстановительных работ в Криворожском железорудном бассейне. РГАНИР, Фонд ГКО, д. 222, лл. 87 (11012).</w:t>
      </w:r>
    </w:p>
    <w:p w14:paraId="1E4EA8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A99B27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вышло Постановление ГКО № 5503 О производстве дизелей для Военно-Морского Флота на Коломенском машиностроительном заводе им. Куйбышева Наркомтяжмаша. (7202, 88-93,94-106).</w:t>
      </w:r>
    </w:p>
    <w:p w14:paraId="056115F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9473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Адмиралтейцы заложили 16-й МБК (10671).</w:t>
      </w:r>
    </w:p>
    <w:p w14:paraId="72138C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2FCD84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901E5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CC3589"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28 марта</w:t>
      </w:r>
      <w:r w:rsidRPr="00070ADE">
        <w:rPr>
          <w:rFonts w:ascii="Times New Roman" w:hAnsi="Times New Roman"/>
          <w:color w:val="000000" w:themeColor="text1"/>
          <w:sz w:val="16"/>
          <w:szCs w:val="16"/>
        </w:rPr>
        <w:t xml:space="preserve"> в 1944 году оперативная сводка Совинформбюро:</w:t>
      </w:r>
    </w:p>
    <w:p w14:paraId="1D2E8A8F"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28 марта войска 1-го Украинского фронта, продолжая наступление,овладели районным центром Станиславском области городом Гвоздец, районным центром Черновицкой области городом Кицмань, районным центром Каменец-Подольской области Миньковцы, а также с боями заняли более 70 других населённых пунктов, среди которых крупные населённые пункты Сороки, Киселёв, Кадобовцы, Веренчанка, Погореловка, Подметы, Старая и Новая Соколовка, Барановка, Зиньков, Покутинцы, Малиевцы, Синяковцы, Лысец, Соколец и железнодорожные станции Окна, Юрковцы, Киселёв, Ясенев Польны.</w:t>
      </w:r>
    </w:p>
    <w:p w14:paraId="1D8655DC"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западу от города Могилёв-Подольский наши войска, наступающие между реками Днестр и Прут, овладели районным центром Черновицкой области Кельменцы, а также с боями заняли несколько других населённых пунктов, среди которых крупные населённые пункты Бабино, Линковцы, Волченец, Нелиповцы, Вартиковцы, Медвежа и железнодорожные станции Ларга, Медвежа.</w:t>
      </w:r>
    </w:p>
    <w:p w14:paraId="45989E75"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югу и востоку от города Бельцы наши войска продолжали вести наступательные бои, в ходе которых заняли более 30 населённых пунктов, в том числе крупные населённые пункты Кошень, Кетросы, Биличени, Драганешти, Чутулешти и железнодорожные станции Александрены, Путинешты, Маркулешты, Цира, Рогожены.</w:t>
      </w:r>
    </w:p>
    <w:p w14:paraId="0B03B790"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Северо-восточнее, восточнее и юго-восточнее города Рыбница наши войска с боями овладели железнодорожным узлом Слободка, а также заняли несколько других населённых пунктов, среди которых крупные населённые пункты Михайловка, Колбасная, Воронково, Тимков, Затишье, Гонората и железнодорожные станции Колбасная, Воронковка.</w:t>
      </w:r>
    </w:p>
    <w:p w14:paraId="28A5C69D"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Первомайск наши войска в результате наступательных боёв овладели населёнными пунктами Ясиново, Большой Бобрик, Кричуново, Волощино, Лукановка, Большие Кумары, Кодымка и железнодорожными станциями Конецполь, Каменный Мост.</w:t>
      </w:r>
    </w:p>
    <w:p w14:paraId="7AC12A75"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Вознесенск наши войска, успешно форсировав реку Южный Буг, с боями продвигались вперед и овладели районным центром Одесской области Доманевка, а также заняли более 40 других населённых пунктов, в том числе крупные населённые пункты Степковка, Зелёный Гай, Викторовка, Новосёлки,Анетовка, Акмечеть, Забара, Слава.</w:t>
      </w:r>
    </w:p>
    <w:p w14:paraId="5F86B7E6"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сегодня, 28 марта, после упорных боёв, штурмом овладели крупным областным и промышленным центром Украины городом Николаев —важным железнодорожным узлом, одним из крупнейших портов на Чёрном море и сильным опорным пунктом обороны немцев у устья Южного Буга.</w:t>
      </w:r>
    </w:p>
    <w:p w14:paraId="4E49D3E3"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в ряде пунктов шли бои местного значения.</w:t>
      </w:r>
    </w:p>
    <w:p w14:paraId="0152836F"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27 марта наши войска на всех фронтах подбили и уничтожили 28 немецких танков. В воздушных боях и огнём зенитной артиллерии сбито 85 самолётов противника.</w:t>
      </w:r>
    </w:p>
    <w:p w14:paraId="5588F63D"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наступление. За Днестром советские подвижные соединения, с боями продвигаясь вперёд, овладели районным центром Станиславской области городом Гвоздец, разгромив крупный гарнизон противника. На железнодорожной станции уничтожено три немецких эшелона с горючим и военным имуществом. Захвачено много пленных. В этом же районе сдались в плен, не оказав сопротивления, свыше 200 венгерских солдат и офицеров во главе с подполковником.</w:t>
      </w:r>
    </w:p>
    <w:p w14:paraId="025B75DB"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боях за город Каменец-Подольск наши войска разгромили штаб 16 немецкой танковой дивизии и взяли в плен до 2.000 солдат и офицеров противника. Захвачено у немцев 50 орудий, около 4 тысяч автомашин, 250 мотоциклов, 10 складов с военным имуществом и много других трофеев.</w:t>
      </w:r>
    </w:p>
    <w:p w14:paraId="09C4FC86"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Ярмолинцы части Н-ского соединения истребили до полка немецкой пехоты. Преследуя разбитые части противника, наши бойцы захватили 21 танк, 10 бронеавтомобилей, 400 автомашин с грузами и много различных военных материалов.</w:t>
      </w:r>
    </w:p>
    <w:p w14:paraId="6518495E"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Северо-восточнее, восточнее и юго-восточнее города Рыбница наши войска продолжали наступление. Ожесточённые бои происходили сегодня в районе города Слободка. Противник упорно защищал этот железнодорожный узел, от которого расходятся пути на Рыбницу, Жмеринку, Первомайск и Одессу. Советские части,овладев населёнными пунктами Тимков, Гонората, Колбасная, зажали немцев в клещи. Стремительными ударами с трёх сторон наши бойцы разгромили противника и овладели городом и железнодорожным узлом Слободка. Захвачены крупные склады с военным имуществом, подвижной состав и много вооружения, брошенного немцами при поспешном отступлении.</w:t>
      </w:r>
    </w:p>
    <w:p w14:paraId="6FC37DD1"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Вознесенск наши войска вели успешные наступательные бои. Части Н-ского соединения ночью форсировали реку Южный Буг. Пройдя с боями до 20 километров, советские бойцы овладели узлом грунтовых дорог, районным центром Одесской области Доманевка и заняли более 40 других населённых пунктов. В боях за эти пункты уничтожено свыше 1.000 немецких солдат и офицеров.</w:t>
      </w:r>
    </w:p>
    <w:p w14:paraId="39BEB44F"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Войска 3-го Украинского фронта штурмом овладели крупным областным ипромышленным центром Украины — городом Николаев. Противник придавал огромное значение Николаеву, одному из крупнейших портов на Чёрном море, и считал его неприступной крепостью. Немецкое командование приказало своим войскам во что быто ни стало удержать Николаев. С севера, юга и запада город защищён водным рубежом, а весь район к востоку от Николаева был изрыт окопами полного профиля, опутан проволокой в несколько рядов и до предела насыщен огневыми средствами. На танкодоступных направлениях немцы отрыли глубокие противотанковые рвы и расставили минные поля. Вчера советские войска прорвали немецкую оборону на всю глубину и завязали бои на восточной окраине города. Пехотинцы и танкисты были поддержаны решительными действиями морских десантных отрядов, высадившихся на южной окраине Николаева. Всю ночь происходили ожесточённые </w:t>
      </w:r>
      <w:r w:rsidRPr="00070ADE">
        <w:rPr>
          <w:rFonts w:ascii="Times New Roman" w:hAnsi="Times New Roman"/>
          <w:color w:val="000000" w:themeColor="text1"/>
          <w:sz w:val="16"/>
          <w:szCs w:val="16"/>
        </w:rPr>
        <w:lastRenderedPageBreak/>
        <w:t>уличные бои. Гитлеровцы оказывали упорное сопротивление, но не выдержали ударов наших войск. На рассвете 28 марта город Николаев был полностью очищен от немецко-фашистских захватчиков. Остатки гитлеровцев, пытавшихся переправиться через Бугский лиман, были уничтожены и потоплены. Взято много пленных и захвачены большие трофеи.</w:t>
      </w:r>
    </w:p>
    <w:p w14:paraId="64181E6D"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днях две группы немецких самолётов пытались произвести налёт на военные и промышленные объекты города Сарны. В налётах участвовало до 60 бомбардировщиков противника. Встреченные нашей авиацией, немецкие самолёты к городу не были допущены. В воздушных боях советские лётчики сбили 24 немецких самолёта. Все наши самолёты, участвовавшие в этом бою, вернулись на свои аэродромы.</w:t>
      </w:r>
    </w:p>
    <w:p w14:paraId="0C5432BD"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Ленинградского фронта в течение дня уничтожила 40 немецких самолётов. Лётчики-истребители авиационной части, где командиром майор Гринченко, провели 19 воздушных боёв, в ходе которых сбили 12 бомбардировщиков и 9 истребителей противника, не понеся при этом потерь. Капитан Литвиненко, старший лейтенантМитрохин, лейтенант Санкин и младший лейтенант Шиянов за день сбили по три вражеских самолёта каждый.</w:t>
      </w:r>
    </w:p>
    <w:p w14:paraId="152B28CC" w14:textId="77777777" w:rsidR="004F35D0" w:rsidRPr="00070ADE" w:rsidRDefault="004F35D0" w:rsidP="00B56F90">
      <w:pPr>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rPr>
        <w:t xml:space="preserve">Несколько белорусских партизанских отрядов, действующих в Брестской области, за месяц пустили под откос более ста немецких воинских эшелонов. Разбито 164 паровоза и около 1.500 вагонов с войсками и военными грузами. За это же время брестские партизаны разрушили 138 километров телеграфно-телефонной линии связи и уничтожили 85 автомашин противника. Партизаны из отряда имени Щорса ружейно-пулемётным огнём сбили немецкий самолёт.» </w:t>
      </w:r>
      <w:r w:rsidRPr="00070ADE">
        <w:rPr>
          <w:rFonts w:ascii="Times New Roman" w:hAnsi="Times New Roman"/>
          <w:color w:val="000000" w:themeColor="text1"/>
          <w:sz w:val="16"/>
          <w:szCs w:val="16"/>
          <w:lang w:val="en-US"/>
        </w:rPr>
        <w:t>(15082).</w:t>
      </w:r>
    </w:p>
    <w:p w14:paraId="33C8CD10" w14:textId="77777777" w:rsidR="004F35D0" w:rsidRPr="00070ADE" w:rsidRDefault="004F35D0" w:rsidP="00B56F90">
      <w:pPr>
        <w:spacing w:after="0" w:line="240" w:lineRule="auto"/>
        <w:jc w:val="both"/>
        <w:rPr>
          <w:rFonts w:ascii="Times New Roman" w:hAnsi="Times New Roman"/>
          <w:color w:val="000000" w:themeColor="text1"/>
          <w:sz w:val="16"/>
          <w:szCs w:val="16"/>
          <w:lang w:val="en-US"/>
        </w:rPr>
      </w:pPr>
    </w:p>
    <w:p w14:paraId="396FA6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March 28th, 1944: The Red Army recaptures Nikolaev on the Black Sea and enters Rumanian territory (3819).</w:t>
      </w:r>
    </w:p>
    <w:p w14:paraId="0B42D0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D423E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прорвав укрепления на Южном Буге КА взяла Николаев (430,195) - 3УФ Р.Я.Малиновского (3398,127).</w:t>
      </w:r>
    </w:p>
    <w:p w14:paraId="11559C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649C87"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28 марта</w:t>
      </w:r>
      <w:r w:rsidRPr="00070ADE">
        <w:rPr>
          <w:rFonts w:ascii="Times New Roman" w:hAnsi="Times New Roman"/>
          <w:color w:val="000000" w:themeColor="text1"/>
          <w:sz w:val="16"/>
          <w:szCs w:val="16"/>
        </w:rPr>
        <w:t xml:space="preserve"> в 1944 году войска 2-го Украинского фронта в ночь с 28 на 29 марта с ходу форсировали реку Прут и перенесли боевые действия на территорию Румынии (15082).</w:t>
      </w:r>
    </w:p>
    <w:p w14:paraId="5AD5BAD0" w14:textId="77777777" w:rsidR="004F35D0" w:rsidRPr="00070ADE" w:rsidRDefault="004F35D0" w:rsidP="00B56F90">
      <w:pPr>
        <w:spacing w:after="0" w:line="240" w:lineRule="auto"/>
        <w:jc w:val="both"/>
        <w:rPr>
          <w:rFonts w:ascii="Times New Roman" w:hAnsi="Times New Roman"/>
          <w:color w:val="000000" w:themeColor="text1"/>
          <w:sz w:val="16"/>
          <w:szCs w:val="16"/>
        </w:rPr>
      </w:pPr>
    </w:p>
    <w:p w14:paraId="546C9A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согласно сообщению Совинформбюро на ЛФ ли иап м Гринченко провели 19 боев и сбили 12 б и 9 и, не понеся потерь. К Литвиненко, ст.л Митрохин, л Санкин и мл.л. Шиянов сбили по 3 (438,898).</w:t>
      </w:r>
    </w:p>
    <w:p w14:paraId="656657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2B2F9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6DCD90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2652D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вышло Распоряжение ГКО № 5500 [Об изменении режима въезда в Куйбышев и область.] (7202, 85).</w:t>
      </w:r>
    </w:p>
    <w:p w14:paraId="1343B1E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0BE70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СС-овцами расстреляны все еврейские дети до 13 лет в Ковно (Литва) (4962).</w:t>
      </w:r>
    </w:p>
    <w:p w14:paraId="0EAB8DD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6CC90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766897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95D07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вышло Постановление ГКО № 5490 О поставке лошадей, закупленных в МНР. (7202, 43-45).</w:t>
      </w:r>
    </w:p>
    <w:p w14:paraId="7F6B82C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85F24D" w14:textId="77777777" w:rsidR="004F35D0"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5FAD4950" w14:textId="77777777" w:rsidR="004F35D0" w:rsidRPr="00070ADE" w:rsidRDefault="004F35D0"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E27DFF"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28 марта</w:t>
      </w:r>
      <w:r w:rsidRPr="00070ADE">
        <w:rPr>
          <w:rFonts w:ascii="Times New Roman" w:hAnsi="Times New Roman"/>
          <w:color w:val="000000" w:themeColor="text1"/>
          <w:sz w:val="16"/>
          <w:szCs w:val="16"/>
        </w:rPr>
        <w:t xml:space="preserve"> в 1944 году первый полёт первого прототипа истребителя «G.56» («ММ.536») (разработчик: «Fiat», Италия). Самолётом, получившим немецкие опознавательные знаки, но управлял им итальянский пилот Валентино Кус. Испытания проводились под полным немецким контролем, но уже тогда было ясно, что </w:t>
      </w:r>
      <w:hyperlink r:id="rId90" w:tgtFrame="_blank" w:history="1">
        <w:r w:rsidRPr="00070ADE">
          <w:rPr>
            <w:rFonts w:ascii="Times New Roman" w:hAnsi="Times New Roman"/>
            <w:color w:val="000000" w:themeColor="text1"/>
            <w:sz w:val="16"/>
            <w:szCs w:val="16"/>
          </w:rPr>
          <w:t xml:space="preserve">«G.56» </w:t>
        </w:r>
      </w:hyperlink>
      <w:r w:rsidRPr="00070ADE">
        <w:rPr>
          <w:rFonts w:ascii="Times New Roman" w:hAnsi="Times New Roman"/>
          <w:color w:val="000000" w:themeColor="text1"/>
          <w:sz w:val="16"/>
          <w:szCs w:val="16"/>
        </w:rPr>
        <w:t>вряд ли окажется лучше основных немецких истребителей «Bf.109G» и «FW-190A». Интерес к нему значительно снизился, но тестовые полёты решили продолжить в экспериментальных целях (15082).</w:t>
      </w:r>
    </w:p>
    <w:p w14:paraId="2D0863BF" w14:textId="77777777" w:rsidR="004F35D0" w:rsidRPr="00070ADE" w:rsidRDefault="004F35D0" w:rsidP="00B56F90">
      <w:pPr>
        <w:spacing w:after="0" w:line="240" w:lineRule="auto"/>
        <w:jc w:val="both"/>
        <w:rPr>
          <w:rFonts w:ascii="Times New Roman" w:hAnsi="Times New Roman"/>
          <w:color w:val="000000" w:themeColor="text1"/>
          <w:sz w:val="16"/>
          <w:szCs w:val="16"/>
        </w:rPr>
      </w:pPr>
    </w:p>
    <w:p w14:paraId="6873569D" w14:textId="4222176B" w:rsidR="00003C7F" w:rsidRPr="00070ADE" w:rsidRDefault="00003C7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Первый полёт первого прототипа истребителя G.56 (ММ.536) (разработчик: Fiat, Италия). Самолётом, получившим немецкие опознавательные знаки, но управлял им итальянский пилот Валентино Кус. Испытания проводились под полным немецким контролем, но уже тогда было ясно, что G.56 вряд ли окажется лучше основных немецких истребителей Bf.109G и FW-190A. Интерес к нему значительно снизился, но тестовые полёты решили продолжить в экспериментальных целях (22554).</w:t>
      </w:r>
    </w:p>
    <w:p w14:paraId="2BCEC58A" w14:textId="77777777" w:rsidR="00003C7F" w:rsidRPr="00070ADE" w:rsidRDefault="00003C7F" w:rsidP="00B56F90">
      <w:pPr>
        <w:spacing w:after="0" w:line="240" w:lineRule="auto"/>
        <w:jc w:val="both"/>
        <w:rPr>
          <w:rFonts w:ascii="Times New Roman" w:hAnsi="Times New Roman"/>
          <w:color w:val="000000" w:themeColor="text1"/>
          <w:sz w:val="16"/>
          <w:szCs w:val="16"/>
        </w:rPr>
      </w:pPr>
    </w:p>
    <w:p w14:paraId="35E7747F" w14:textId="77777777" w:rsidR="00A76CAC" w:rsidRPr="00070ADE" w:rsidRDefault="00A76CAC" w:rsidP="00B56F90">
      <w:pPr>
        <w:pStyle w:val="172"/>
        <w:shd w:val="clear" w:color="auto" w:fill="auto"/>
        <w:tabs>
          <w:tab w:val="left" w:pos="497"/>
        </w:tabs>
        <w:spacing w:before="0"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28 марта 1944 - новый ночной налет 50 британских бомбардировщи</w:t>
      </w:r>
      <w:r w:rsidRPr="00070ADE">
        <w:rPr>
          <w:rFonts w:ascii="Times New Roman" w:hAnsi="Times New Roman" w:cs="Times New Roman"/>
          <w:color w:val="000000" w:themeColor="text1"/>
          <w:sz w:val="16"/>
          <w:szCs w:val="16"/>
        </w:rPr>
        <w:softHyphen/>
        <w:t>ков на Софию. Англичане отбомбились по пустырю, так что обошлось без жертв (19104).</w:t>
      </w:r>
    </w:p>
    <w:p w14:paraId="0B6D0B60" w14:textId="77777777" w:rsidR="00A76CAC" w:rsidRPr="00070ADE" w:rsidRDefault="00A76CAC" w:rsidP="00B56F90">
      <w:pPr>
        <w:pStyle w:val="172"/>
        <w:shd w:val="clear" w:color="auto" w:fill="auto"/>
        <w:tabs>
          <w:tab w:val="left" w:pos="497"/>
        </w:tabs>
        <w:spacing w:before="0" w:line="240" w:lineRule="auto"/>
        <w:ind w:firstLine="0"/>
        <w:jc w:val="both"/>
        <w:rPr>
          <w:rFonts w:ascii="Times New Roman" w:hAnsi="Times New Roman" w:cs="Times New Roman"/>
          <w:color w:val="000000" w:themeColor="text1"/>
          <w:sz w:val="16"/>
          <w:szCs w:val="16"/>
        </w:rPr>
      </w:pPr>
    </w:p>
    <w:p w14:paraId="5082E22D" w14:textId="77777777" w:rsidR="00003C7F" w:rsidRPr="00070ADE" w:rsidRDefault="00003C7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марта 1944 японские бомбардировщики-торпедоносцы атакуют оперативную группу ВМС США 58, когда она приближается к островам Палау, не нанеся повреждений (20373).</w:t>
      </w:r>
    </w:p>
    <w:p w14:paraId="482BBEED" w14:textId="77777777" w:rsidR="00003C7F" w:rsidRPr="00070ADE" w:rsidRDefault="00003C7F" w:rsidP="00B56F90">
      <w:pPr>
        <w:spacing w:after="0" w:line="240" w:lineRule="auto"/>
        <w:jc w:val="both"/>
        <w:rPr>
          <w:rFonts w:ascii="Times New Roman" w:hAnsi="Times New Roman"/>
          <w:color w:val="000000" w:themeColor="text1"/>
          <w:sz w:val="16"/>
          <w:szCs w:val="16"/>
        </w:rPr>
      </w:pPr>
    </w:p>
    <w:p w14:paraId="715A102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272B98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7E38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марта 1944 вместо 1 апреля 1944 самолет Ил-8-2 АМ-42, который находился в летном состоянии по состоянию на 1 января 1944 и в 1-м кв. прошел заводские испытания, был сдан на гос. испытания на 3 дня раньше срока (2217).</w:t>
      </w:r>
    </w:p>
    <w:p w14:paraId="5B3D38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A350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марта 1944 года в процессе передачи на госиспытания в НИИ ВВС КА Су-6 АМ-42 потерпел ава</w:t>
      </w:r>
      <w:r w:rsidRPr="00070ADE">
        <w:rPr>
          <w:rFonts w:ascii="Times New Roman" w:hAnsi="Times New Roman"/>
          <w:color w:val="000000" w:themeColor="text1"/>
          <w:sz w:val="16"/>
          <w:szCs w:val="16"/>
        </w:rPr>
        <w:softHyphen/>
        <w:t>рию, в результате которой была разрушена хвостовая часть фюзе</w:t>
      </w:r>
      <w:r w:rsidRPr="00070ADE">
        <w:rPr>
          <w:rFonts w:ascii="Times New Roman" w:hAnsi="Times New Roman"/>
          <w:color w:val="000000" w:themeColor="text1"/>
          <w:sz w:val="16"/>
          <w:szCs w:val="16"/>
        </w:rPr>
        <w:softHyphen/>
        <w:t>ляжа и оперение. Самолет отпра</w:t>
      </w:r>
      <w:r w:rsidRPr="00070ADE">
        <w:rPr>
          <w:rFonts w:ascii="Times New Roman" w:hAnsi="Times New Roman"/>
          <w:color w:val="000000" w:themeColor="text1"/>
          <w:sz w:val="16"/>
          <w:szCs w:val="16"/>
        </w:rPr>
        <w:softHyphen/>
        <w:t>вили на завод №289 для ремонта (11845).</w:t>
      </w:r>
    </w:p>
    <w:p w14:paraId="525818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D88003" w14:textId="77777777" w:rsidR="00003C7F" w:rsidRPr="00070ADE" w:rsidRDefault="00003C7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марта 1944 при жесткой посадке Су-6 с АМ-42 на аэродром Чкаловская (ГК НИИ ВВС) хвостовая часть и оперение получили серьезные поврежде</w:t>
      </w:r>
      <w:r w:rsidRPr="00070ADE">
        <w:rPr>
          <w:rFonts w:ascii="Times New Roman" w:hAnsi="Times New Roman"/>
          <w:color w:val="000000" w:themeColor="text1"/>
          <w:sz w:val="16"/>
          <w:szCs w:val="16"/>
        </w:rPr>
        <w:softHyphen/>
        <w:t>ния. Самолет перевезли на завод №289 для ремонта. (19853).</w:t>
      </w:r>
    </w:p>
    <w:p w14:paraId="4BB3E2A8" w14:textId="77777777" w:rsidR="00003C7F" w:rsidRPr="00070ADE" w:rsidRDefault="00003C7F" w:rsidP="00B56F90">
      <w:pPr>
        <w:spacing w:after="0" w:line="240" w:lineRule="auto"/>
        <w:jc w:val="both"/>
        <w:rPr>
          <w:rFonts w:ascii="Times New Roman" w:hAnsi="Times New Roman"/>
          <w:color w:val="000000" w:themeColor="text1"/>
          <w:sz w:val="16"/>
          <w:szCs w:val="16"/>
        </w:rPr>
      </w:pPr>
    </w:p>
    <w:p w14:paraId="18C34A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марта 1944 вышел приказ № 230с.065 НКАП и Командующего ВВС:</w:t>
      </w:r>
    </w:p>
    <w:p w14:paraId="17175B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приближения к линии фронта базы по сборке с-тов истребителей:</w:t>
      </w:r>
    </w:p>
    <w:p w14:paraId="760AF2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6 ГУ Комарову и д-ру з-да 473 Пенек организовать на з-де 473 в Киеве сборку с-тов типа Як- 1 и 9 пр-ва з-в 153, 166 и 292 в к-ве 150 шт. В месяц.</w:t>
      </w:r>
    </w:p>
    <w:p w14:paraId="1CF7C1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Дементьев, Никитин (1626, 90-92).</w:t>
      </w:r>
    </w:p>
    <w:p w14:paraId="67D063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7D58AF" w14:textId="77777777" w:rsidR="00A2482E" w:rsidRPr="00070ADE" w:rsidRDefault="00A2482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29 марта 1944 в НИИ АВ ВВС закончились испытания мотор-пушки 111П (МП-45), установленной на се</w:t>
      </w:r>
      <w:r w:rsidRPr="00070ADE">
        <w:rPr>
          <w:color w:val="000000" w:themeColor="text1"/>
          <w:sz w:val="16"/>
          <w:szCs w:val="16"/>
        </w:rPr>
        <w:softHyphen/>
        <w:t>рийном самолете Як-9т зав. № 01-21 производства завода № 153, которые проходили с 13 по 17 января и с 23 января. Ответственным исполнителем был ведущий инженер 3-го отдела института инже</w:t>
      </w:r>
      <w:r w:rsidRPr="00070ADE">
        <w:rPr>
          <w:color w:val="000000" w:themeColor="text1"/>
          <w:sz w:val="16"/>
          <w:szCs w:val="16"/>
        </w:rPr>
        <w:softHyphen/>
        <w:t>нер-майор А. Т. Степанец, ведущий летчик-испыта</w:t>
      </w:r>
      <w:r w:rsidRPr="00070ADE">
        <w:rPr>
          <w:color w:val="000000" w:themeColor="text1"/>
          <w:sz w:val="16"/>
          <w:szCs w:val="16"/>
        </w:rPr>
        <w:softHyphen/>
        <w:t>тель — майор В. Е. Голофастов. Всего выполнено 19 полетов с налетом 12 ч 16 мин. Отчет по испытани</w:t>
      </w:r>
      <w:r w:rsidRPr="00070ADE">
        <w:rPr>
          <w:color w:val="000000" w:themeColor="text1"/>
          <w:sz w:val="16"/>
          <w:szCs w:val="16"/>
        </w:rPr>
        <w:softHyphen/>
        <w:t>ям утвержден 9 апреля 1944 г. (17500).</w:t>
      </w:r>
    </w:p>
    <w:p w14:paraId="23C00CC4" w14:textId="77777777" w:rsidR="00A2482E" w:rsidRPr="00070ADE" w:rsidRDefault="00A2482E" w:rsidP="00B56F90">
      <w:pPr>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hAnsi="Times New Roman"/>
          <w:color w:val="000000" w:themeColor="text1"/>
          <w:sz w:val="16"/>
          <w:szCs w:val="16"/>
        </w:rPr>
        <w:t>Пушка МП-45 располагалась в развале блока цилиндров мотора и крепилась в 3 точках на мото</w:t>
      </w:r>
      <w:r w:rsidRPr="00070ADE">
        <w:rPr>
          <w:rFonts w:ascii="Times New Roman" w:hAnsi="Times New Roman"/>
          <w:color w:val="000000" w:themeColor="text1"/>
          <w:sz w:val="16"/>
          <w:szCs w:val="16"/>
        </w:rPr>
        <w:softHyphen/>
        <w:t>ре — 2 передних и 1 заднего. Ствол проходил через полый вал редуктора мотора и втулку винта. Ради</w:t>
      </w:r>
      <w:r w:rsidRPr="00070ADE">
        <w:rPr>
          <w:rFonts w:ascii="Times New Roman" w:hAnsi="Times New Roman"/>
          <w:color w:val="000000" w:themeColor="text1"/>
          <w:sz w:val="16"/>
          <w:szCs w:val="16"/>
        </w:rPr>
        <w:softHyphen/>
        <w:t>альный зазор между стволом пушки и внутренней стенкой вала редуктора мотора составлял всего 0,75 мм. По этой причине на втулке винта имелось специальное приспособление с шарикоподшипни</w:t>
      </w:r>
      <w:r w:rsidRPr="00070ADE">
        <w:rPr>
          <w:rFonts w:ascii="Times New Roman" w:hAnsi="Times New Roman"/>
          <w:color w:val="000000" w:themeColor="text1"/>
          <w:sz w:val="16"/>
          <w:szCs w:val="16"/>
        </w:rPr>
        <w:softHyphen/>
        <w:t>ком, которое центрировало ствол пушки по оси ва</w:t>
      </w:r>
      <w:r w:rsidRPr="00070ADE">
        <w:rPr>
          <w:rFonts w:ascii="Times New Roman" w:hAnsi="Times New Roman"/>
          <w:color w:val="000000" w:themeColor="text1"/>
          <w:sz w:val="16"/>
          <w:szCs w:val="16"/>
        </w:rPr>
        <w:softHyphen/>
        <w:t>ла редуктора мотора. Ствол пушки был сделан бо</w:t>
      </w:r>
      <w:r w:rsidRPr="00070ADE">
        <w:rPr>
          <w:rFonts w:ascii="Times New Roman" w:hAnsi="Times New Roman"/>
          <w:color w:val="000000" w:themeColor="text1"/>
          <w:sz w:val="16"/>
          <w:szCs w:val="16"/>
        </w:rPr>
        <w:softHyphen/>
        <w:t>лее тонким. На расстоянии 650 мм от дульного сре</w:t>
      </w:r>
      <w:r w:rsidRPr="00070ADE">
        <w:rPr>
          <w:rFonts w:ascii="Times New Roman" w:hAnsi="Times New Roman"/>
          <w:color w:val="000000" w:themeColor="text1"/>
          <w:sz w:val="16"/>
          <w:szCs w:val="16"/>
        </w:rPr>
        <w:softHyphen/>
        <w:t>за толщина стенки ствола пушки равнялась 3,75 мм против 7,1 мм у штатного ствола пушки 11П. Пушка оснащалась дульным тормозом, поглощавшим зна</w:t>
      </w:r>
      <w:r w:rsidRPr="00070ADE">
        <w:rPr>
          <w:rFonts w:ascii="Times New Roman" w:hAnsi="Times New Roman"/>
          <w:color w:val="000000" w:themeColor="text1"/>
          <w:sz w:val="16"/>
          <w:szCs w:val="16"/>
        </w:rPr>
        <w:softHyphen/>
        <w:t>чительную часть энергии отдачи (до 85%).</w:t>
      </w:r>
    </w:p>
    <w:p w14:paraId="19B670DB" w14:textId="77777777" w:rsidR="00A2482E" w:rsidRPr="00070ADE" w:rsidRDefault="00A2482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Средний темп стрельбы, зафиксированный в хо</w:t>
      </w:r>
      <w:r w:rsidRPr="00070ADE">
        <w:rPr>
          <w:color w:val="000000" w:themeColor="text1"/>
          <w:sz w:val="16"/>
          <w:szCs w:val="16"/>
        </w:rPr>
        <w:softHyphen/>
        <w:t>де испытаний, равнялся 270 выстр./мин. Питание пушки МП-45 выполнялось от рассыпной ленты из металлических звеньев. Боекомплект к пушке включал 29 снарядов. Вес пушки с агрегатами — 163,8 кг, общий вес пушки с уста</w:t>
      </w:r>
      <w:r w:rsidRPr="00070ADE">
        <w:rPr>
          <w:color w:val="000000" w:themeColor="text1"/>
          <w:sz w:val="16"/>
          <w:szCs w:val="16"/>
        </w:rPr>
        <w:softHyphen/>
        <w:t>новкой — 191,1 кг, вес боезапаса — 69 кг. Гильзы и звенья собирались в специальные сборники под пуш</w:t>
      </w:r>
      <w:r w:rsidRPr="00070ADE">
        <w:rPr>
          <w:color w:val="000000" w:themeColor="text1"/>
          <w:sz w:val="16"/>
          <w:szCs w:val="16"/>
        </w:rPr>
        <w:softHyphen/>
        <w:t>кой. На приборной доске в кабине летчика имелся счетчик оставших</w:t>
      </w:r>
      <w:r w:rsidRPr="00070ADE">
        <w:rPr>
          <w:color w:val="000000" w:themeColor="text1"/>
          <w:sz w:val="16"/>
          <w:szCs w:val="16"/>
        </w:rPr>
        <w:softHyphen/>
        <w:t>ся снарядов пушки. Управление ог</w:t>
      </w:r>
      <w:r w:rsidRPr="00070ADE">
        <w:rPr>
          <w:color w:val="000000" w:themeColor="text1"/>
          <w:sz w:val="16"/>
          <w:szCs w:val="16"/>
        </w:rPr>
        <w:softHyphen/>
        <w:t>нем — электропневматическое при помощи кнопки, расположенной на ручке управления. Прицел кол- лиматорный ПБП-1а. Нормальный полетный вес Як-9т с МП-45 состав</w:t>
      </w:r>
      <w:r w:rsidRPr="00070ADE">
        <w:rPr>
          <w:color w:val="000000" w:themeColor="text1"/>
          <w:sz w:val="16"/>
          <w:szCs w:val="16"/>
        </w:rPr>
        <w:softHyphen/>
        <w:t>лял 3028 кг (вес топлива 322 кг). Вес секундного залпа достигал 5,531 кг.</w:t>
      </w:r>
    </w:p>
    <w:p w14:paraId="07143723" w14:textId="77777777" w:rsidR="00A2482E" w:rsidRPr="00070ADE" w:rsidRDefault="00A2482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Летные данные, маневренность и взлетно-посадочные характеристики Як-9т с пуш</w:t>
      </w:r>
      <w:r w:rsidRPr="00070ADE">
        <w:rPr>
          <w:color w:val="000000" w:themeColor="text1"/>
          <w:sz w:val="16"/>
          <w:szCs w:val="16"/>
        </w:rPr>
        <w:softHyphen/>
        <w:t>кой МП-45 несколько ухудшились, но по технике пилотирования самолет ничем не отличался от обычных Як-9т.</w:t>
      </w:r>
    </w:p>
    <w:p w14:paraId="2D93E852" w14:textId="77777777" w:rsidR="00A2482E" w:rsidRPr="00070ADE" w:rsidRDefault="00A2482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Максимальная скорость у земли составила 516 км/ч, на высоте 3900 м — 573 км/ч, на 5000 м — 566 км/ч. Время подъема на 5000 м — 5,7 мин. Вре</w:t>
      </w:r>
      <w:r w:rsidRPr="00070ADE">
        <w:rPr>
          <w:color w:val="000000" w:themeColor="text1"/>
          <w:sz w:val="16"/>
          <w:szCs w:val="16"/>
        </w:rPr>
        <w:softHyphen/>
        <w:t>мя виража на 1000 м — 21,4 с. Набор высоты за бо</w:t>
      </w:r>
      <w:r w:rsidRPr="00070ADE">
        <w:rPr>
          <w:color w:val="000000" w:themeColor="text1"/>
          <w:sz w:val="16"/>
          <w:szCs w:val="16"/>
        </w:rPr>
        <w:softHyphen/>
        <w:t>евой разворот с высоты 1000—1050 м. Дальность полета — 598 км.</w:t>
      </w:r>
    </w:p>
    <w:p w14:paraId="1E446AE2" w14:textId="77777777" w:rsidR="00A2482E" w:rsidRPr="00070ADE" w:rsidRDefault="00A2482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Стрельба из пушки МП-45 при скорости полета менее 350 км/ч «сопровождается сильной отдачей (сила отдачи 6975 кг. —</w:t>
      </w:r>
      <w:r w:rsidRPr="00070ADE">
        <w:rPr>
          <w:rStyle w:val="BodytextItalic"/>
          <w:i w:val="0"/>
          <w:color w:val="000000" w:themeColor="text1"/>
          <w:sz w:val="16"/>
          <w:szCs w:val="16"/>
        </w:rPr>
        <w:t xml:space="preserve"> Авт.),</w:t>
      </w:r>
      <w:r w:rsidRPr="00070ADE">
        <w:rPr>
          <w:color w:val="000000" w:themeColor="text1"/>
          <w:sz w:val="16"/>
          <w:szCs w:val="16"/>
        </w:rPr>
        <w:t xml:space="preserve"> самолет раскачива</w:t>
      </w:r>
      <w:r w:rsidRPr="00070ADE">
        <w:rPr>
          <w:color w:val="000000" w:themeColor="text1"/>
          <w:sz w:val="16"/>
          <w:szCs w:val="16"/>
        </w:rPr>
        <w:softHyphen/>
        <w:t>ется, летчик движется вперед-назад, что затрудняет прицельную стрельбу». Как отмечалось в отчете по испытаниям, «прицельным может быть только пер</w:t>
      </w:r>
      <w:r w:rsidRPr="00070ADE">
        <w:rPr>
          <w:color w:val="000000" w:themeColor="text1"/>
          <w:sz w:val="16"/>
          <w:szCs w:val="16"/>
        </w:rPr>
        <w:softHyphen/>
        <w:t xml:space="preserve">вый выстрел». Чем </w:t>
      </w:r>
      <w:r w:rsidRPr="00070ADE">
        <w:rPr>
          <w:color w:val="000000" w:themeColor="text1"/>
          <w:sz w:val="16"/>
          <w:szCs w:val="16"/>
        </w:rPr>
        <w:lastRenderedPageBreak/>
        <w:t>больше была скорость полета и угол пикирования, тем меньшее влияние на само</w:t>
      </w:r>
      <w:r w:rsidRPr="00070ADE">
        <w:rPr>
          <w:color w:val="000000" w:themeColor="text1"/>
          <w:sz w:val="16"/>
          <w:szCs w:val="16"/>
        </w:rPr>
        <w:softHyphen/>
        <w:t>лет оказывала отдача. Прицельная стрельба была возможна и эффективна только на скоростях более 350 км/ч и при коротких очередях в 2—3 снаряда. Фактически стрельбу из пушки МП-45 можно было вести лишь одиночными выстрелами на скоростях, близких к максимальной скорости. Однако благо</w:t>
      </w:r>
      <w:r w:rsidRPr="00070ADE">
        <w:rPr>
          <w:color w:val="000000" w:themeColor="text1"/>
          <w:sz w:val="16"/>
          <w:szCs w:val="16"/>
        </w:rPr>
        <w:softHyphen/>
        <w:t>даря наличию дымного следа от трассера снаряда бледно-розового цвета, хорошо видимого как днем, так и в вечерние и утренние сумерки, вероятность попадания в цель не уменьшалась.</w:t>
      </w:r>
    </w:p>
    <w:p w14:paraId="41C51274" w14:textId="77777777" w:rsidR="00A2482E" w:rsidRPr="00070ADE" w:rsidRDefault="00A2482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Большая сила отдачи пушки МП-45 оказывала существенное влияние на конструкцию самоле</w:t>
      </w:r>
      <w:r w:rsidRPr="00070ADE">
        <w:rPr>
          <w:color w:val="000000" w:themeColor="text1"/>
          <w:sz w:val="16"/>
          <w:szCs w:val="16"/>
        </w:rPr>
        <w:softHyphen/>
        <w:t>та, приводя к течи масла и воды через различные уплотнения и трещины в трубопроводах, радиато</w:t>
      </w:r>
      <w:r w:rsidRPr="00070ADE">
        <w:rPr>
          <w:color w:val="000000" w:themeColor="text1"/>
          <w:sz w:val="16"/>
          <w:szCs w:val="16"/>
        </w:rPr>
        <w:softHyphen/>
        <w:t>рах и т.д. В кабину летчика при стрельбе из пушки проникало очень много пороховых газов.</w:t>
      </w:r>
    </w:p>
    <w:p w14:paraId="4061C861" w14:textId="77777777" w:rsidR="00A2482E" w:rsidRPr="00070ADE" w:rsidRDefault="00A2482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то же время автоматика пушки работала хоро</w:t>
      </w:r>
      <w:r w:rsidRPr="00070ADE">
        <w:rPr>
          <w:color w:val="000000" w:themeColor="text1"/>
          <w:sz w:val="16"/>
          <w:szCs w:val="16"/>
        </w:rPr>
        <w:softHyphen/>
        <w:t>шо при всех условиях полета и стрельбы в возду</w:t>
      </w:r>
      <w:r w:rsidRPr="00070ADE">
        <w:rPr>
          <w:color w:val="000000" w:themeColor="text1"/>
          <w:sz w:val="16"/>
          <w:szCs w:val="16"/>
        </w:rPr>
        <w:softHyphen/>
        <w:t>хе. Надежность и живучесть деталей и узлов пушки были в пределах установленных требований.</w:t>
      </w:r>
    </w:p>
    <w:p w14:paraId="0250FBB9" w14:textId="77777777" w:rsidR="00A2482E" w:rsidRPr="00070ADE" w:rsidRDefault="00A2482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К числу основных недостатков пушки МП-45 и пушечной установки на Як-9т относились из</w:t>
      </w:r>
      <w:r w:rsidRPr="00070ADE">
        <w:rPr>
          <w:color w:val="000000" w:themeColor="text1"/>
          <w:sz w:val="16"/>
          <w:szCs w:val="16"/>
        </w:rPr>
        <w:softHyphen/>
        <w:t>лишне большая сила отдачи пушки при стрельбе, ненадежное соединение штока гидротормоза со ствольной коробкой, а также имевшее место разъ</w:t>
      </w:r>
      <w:r w:rsidRPr="00070ADE">
        <w:rPr>
          <w:color w:val="000000" w:themeColor="text1"/>
          <w:sz w:val="16"/>
          <w:szCs w:val="16"/>
        </w:rPr>
        <w:softHyphen/>
        <w:t>единение цилиндра подачи приемника с рычагом подачи.</w:t>
      </w:r>
    </w:p>
    <w:p w14:paraId="77D58A72" w14:textId="77777777" w:rsidR="00A2482E" w:rsidRPr="00070ADE" w:rsidRDefault="00A2482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Начальник НИИ АВ генерал-майор М. В. Гуре- вич в своем докладе заместителю председателя СНК СССР маршалу К. Е. Ворошилову констатиро</w:t>
      </w:r>
      <w:r w:rsidRPr="00070ADE">
        <w:rPr>
          <w:color w:val="000000" w:themeColor="text1"/>
          <w:sz w:val="16"/>
          <w:szCs w:val="16"/>
        </w:rPr>
        <w:softHyphen/>
        <w:t>вал: «В результате сравнительных испытаний 45-мм авиапушек ОКБ-15 и ОКБ-16 выявлены преимуще</w:t>
      </w:r>
      <w:r w:rsidRPr="00070ADE">
        <w:rPr>
          <w:color w:val="000000" w:themeColor="text1"/>
          <w:sz w:val="16"/>
          <w:szCs w:val="16"/>
        </w:rPr>
        <w:softHyphen/>
        <w:t>ства пушки ОКБ-16 и как удовлетворяющая ТТТ ВВС КА государственные испытания выдержала. Пушка ОКБ-15 из-за малой живучести испытаний не вы</w:t>
      </w:r>
      <w:r w:rsidRPr="00070ADE">
        <w:rPr>
          <w:color w:val="000000" w:themeColor="text1"/>
          <w:sz w:val="16"/>
          <w:szCs w:val="16"/>
        </w:rPr>
        <w:softHyphen/>
        <w:t>держала».</w:t>
      </w:r>
    </w:p>
    <w:p w14:paraId="562D37FE" w14:textId="77777777" w:rsidR="00A2482E" w:rsidRPr="00070ADE" w:rsidRDefault="00A2482E"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Самолет Як-9т с пушкой МП-45 рекомендовался «в малую серию для дальнейших войсковых испы</w:t>
      </w:r>
      <w:r w:rsidRPr="00070ADE">
        <w:rPr>
          <w:color w:val="000000" w:themeColor="text1"/>
          <w:sz w:val="16"/>
          <w:szCs w:val="16"/>
        </w:rPr>
        <w:softHyphen/>
        <w:t>таний во фронтовых условиях» (17500).</w:t>
      </w:r>
    </w:p>
    <w:p w14:paraId="1FC9F081" w14:textId="77777777" w:rsidR="00A2482E" w:rsidRPr="00070ADE" w:rsidRDefault="00A2482E" w:rsidP="00B56F90">
      <w:pPr>
        <w:spacing w:after="0" w:line="240" w:lineRule="auto"/>
        <w:jc w:val="both"/>
        <w:rPr>
          <w:rFonts w:ascii="Times New Roman" w:eastAsia="Times New Roman" w:hAnsi="Times New Roman"/>
          <w:color w:val="000000" w:themeColor="text1"/>
          <w:sz w:val="16"/>
          <w:szCs w:val="16"/>
          <w:lang w:eastAsia="ru-RU"/>
        </w:rPr>
      </w:pPr>
    </w:p>
    <w:p w14:paraId="211C478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марта 1944 увидел свет приказ Наркома ВМФ №0225 "О проектировании и изготовлении в НИИ-20 Наркомэлектропрома образцов и опытных серий РЛС для авиации и ВМФ". Он базировался на постановлении ГКО от 20 марта, так что имел наивысший приоритет выполнения. Одним из пунктов приказа значилось представить к полигонным испытаниям к июню 44-го "самолетную станцию для торпедоносцев обнаружения надводных целей "Гнейс-5м" (конструктор А.А. Фин). По заданию станция должна была иметь следующие ТТХ: дальность обнаружения эсминца - 30 км, подводной лодки - 10 км, определять пеленг на цель с ошибкой не более 5', иметь возможность размещения на двухмоторном самолете и питаться от его бортовой электросети. НИИ-20 обязывался сдать флоту в течение первого полугодия 10, второго полугодия - 20 станций "Гнейс-5м". Выполнение заказа несколько затянулось, но 18.7.1944 очередным приказом предписывалось провести государственные испытания на базе НИИ-20 в течение 20 дней. Они завершились успешно и по плану распределения РЛС в IV квартале года ВМФ должен был получить пять первых комплектов. Испытания новой станции, по-видимому, снова проводились на Каспии. В приказе о принятии ее на вооружение (НК ВМФ №0069 от 19.4.1945) указывались основные ТТХ: дальность обнаружения транспорта 9-12 000 т - 36 км, корабля водоизмещением 750 т - 28 км, катера 50 т - 10,5 км, ширина просматриваемой полосы - 30 км, дальность обнаружения береговой черты - 60 км, наивыгоднейшая высота поиска, от 800 до 4000 м. На войсковые испытания новая станция попала в том же месяце. Проводили их на базе 1-го гмтап ВВС КБФ, который к тому времени оставался единственным действующим флотом. 27 и 28 апреля торпедоносец, пилотировавшийся Героем Советского Союза A.M. Гагиевым, дважды совершал торпедные атаки, отыскав цели в сложных метеоусловиях благодаря "Гнейс-5м", но успеха не добился. Таким образом, отечественная наука решила задачу обеспечения МТА радиолокационной станцией, обладавшей вполне удовлетворительными характеристиками, но произошло это всего за 20 дней до окончания войны (12002).</w:t>
      </w:r>
    </w:p>
    <w:p w14:paraId="54F1B9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853FBF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28F6E6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F416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марта 1944 вышло Распоряжение ГКО № 5504. О продлении до 1 октября 1944 г. срока работы 100 рабочих, мобилизованных на строительство цеха завода "Новатор" НКлеса СССР Вологодской обл. РГАНИР, Фонд ГКО, д. 222, лл. 107 (11012).</w:t>
      </w:r>
    </w:p>
    <w:p w14:paraId="09150F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80298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марта 1944 вышло Постановление ГКО № 5509 О первоочередных мероприятиях по восстановлению промышленности и городского хозяйства Ленинграда в 1944 году. РГАНИР, Фонд ГКО, д. 222, лл. 131-151,152-239 (11012).</w:t>
      </w:r>
    </w:p>
    <w:p w14:paraId="6691C4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13CD4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марта 1944 г. по распоряжению СНК СССР на базе Та</w:t>
      </w:r>
      <w:r w:rsidRPr="00070ADE">
        <w:rPr>
          <w:rFonts w:ascii="Times New Roman" w:hAnsi="Times New Roman"/>
          <w:color w:val="000000" w:themeColor="text1"/>
          <w:sz w:val="16"/>
          <w:szCs w:val="16"/>
        </w:rPr>
        <w:softHyphen/>
        <w:t>ганрогского судоремонтного завода был создан Азовский филиал архангельского завода "Красная кузница", который сразу же приступил к постройке крупнотоннажньхх морских барж (3898).</w:t>
      </w:r>
    </w:p>
    <w:p w14:paraId="15A1A3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108FC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76843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FF1AB9"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29 марта</w:t>
      </w:r>
      <w:r w:rsidRPr="00070ADE">
        <w:rPr>
          <w:rFonts w:ascii="Times New Roman" w:hAnsi="Times New Roman"/>
          <w:color w:val="000000" w:themeColor="text1"/>
          <w:sz w:val="16"/>
          <w:szCs w:val="16"/>
        </w:rPr>
        <w:t xml:space="preserve"> в 1944 году оперативная сводка Совинформбюро:</w:t>
      </w:r>
    </w:p>
    <w:p w14:paraId="76B0E499"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в результате умелого манёвра танковых соединений и пехоты овладели городом и крупным железнодорожным узлом Коломыя — важным опорным пунктом обороны немцев в предгорьях Карпат. В боях за город Коломыя, по предварительным данным, нашими войсками захвачены следующие трофеи: исправных танков типа «Тигр» — 13, железнодорожных эшелонов с военными грузами —15, паровозов — 45, складов разных — 10, автомашин — 450 и много другого военного имущества.</w:t>
      </w:r>
    </w:p>
    <w:p w14:paraId="7B3EC707"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29 марта войска 1-го Украинского фронта, продолжая наступление, овладели районными центрами Каменец-Подольской области Солобковцы, Старая Ушица. Войска фронта форсировали реку ПРУТ, подошли к городу Черновицы и завязали бои на его окраинах.</w:t>
      </w:r>
    </w:p>
    <w:p w14:paraId="326644B7"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города Могилёв-Подольский наши войска, продолжая наступление, овладели населёнными пунктами Коновка, Перковцы, Ливинцы, Михайловка, Толбуряны, Балковцы, Ларга, Белявинцы, Шировцы, Перерита.</w:t>
      </w:r>
    </w:p>
    <w:p w14:paraId="1866ECFC"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югу и востоку от города Бельцы наши войска с боями продвигались вперёд и овладели районными центрами Молдавской ССР Кишкарени, Сынджерей, Котюжаны, а также заняли более 30 других населённых пунктов.</w:t>
      </w:r>
    </w:p>
    <w:p w14:paraId="3F9E447B"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Первомайск наши войска, продолжая наступление, овладели районными центрами Одесской области городом Балта, Кривое Озеро, Большая Врадиевка, а также с боями заняли более 40 других населённых пунктов, в том числе крупные населённые пункты Любомирка, Посицелы 1-е и 2-е, Жеребково, Михайловка, Гвоздавка, Ивановка, Сырово, Адамовка, Мариновка и железнодорожные станции Кирилловка, Большая Врадиевка, Сырово, Заплазы, Чихачёво, Жеребково, Перелет, Балта.</w:t>
      </w:r>
    </w:p>
    <w:p w14:paraId="35B600B8"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западу, югу и юго-востоку от города Вознесенск наши войска, успешно развивая наступление, с боями заняли более 80 населённых пунктов, в том числе крупные населённые пункты Царедаровка, Копани, Новосёловка, Александровка, Владимировка, Лидиевка, Молдавка, Старая Кантакузенка, Дмитриевка, Новое Воскресенское, Покровское, Катериненталь, Карлсруе, Ковалёвка, Терноватая и железнодорожные станции Ястребиновка, Молдавка.</w:t>
      </w:r>
    </w:p>
    <w:p w14:paraId="22466B1D"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шли бои местного значения.</w:t>
      </w:r>
    </w:p>
    <w:p w14:paraId="0287E9F7"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28 марта наши войска на всех фронтах подбили и уничтожили 35 немецких танков. В воздушных боях и огнём зенитной артиллерии сбито 38 самолётов противника.</w:t>
      </w:r>
    </w:p>
    <w:p w14:paraId="33276593"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успешное наступление. За Днестром наши танкисты и пехотинцы, стремительно продвигаясь вперёд, с хода ворвались в город Коломыя. Внезапное появление наших войск в городе вызвало панику среди гитлеровцев. Советские бойцы разгромили немецкий гарнизон и овладели крупным узлом железных и шоссейных дорог — городом Коломыя. Захвачены трофеи и много пленных.</w:t>
      </w:r>
    </w:p>
    <w:p w14:paraId="09707EC4"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овладев районным центром Садагура, вышли на левый берег реки Прут и завязали бои за мост, ведущий в город Черновицы с севера. Сегодня бойцы Н-ской части штурмом прорвались через мост и ведут бои на северной окраине города. В то же время наши танковые силы и мотопехота форсировали реку вброд западнее Черновиц и завязали бои на западной окраине города. В ходе этих боёв противник несёт большие потери в живой силе.</w:t>
      </w:r>
    </w:p>
    <w:p w14:paraId="3BBBDED3"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Гвардейское стрелковое соединение, действующее совместно с танкистами южнее Ярмолинц, за три дня боёв истребило до 2.000 гитлеровцев, уничтожило несколько десятков немецких танков и свыше 1.500 автомашин. Захвачены у противника танки, орудия, тракторы-тягачи, бронетранспортёры и склады с различным военным имуществом.</w:t>
      </w:r>
    </w:p>
    <w:p w14:paraId="31601247"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части, продвигаясь вдоль левого берега реки Днестр на запад, овладели районным центром Каменец-Подольской области Старая Ушица, а такж езаняли ряд других населённых пунктов. За день боёв уничтожено 800 гитлеровцев. Захвачено у немцев 8 танков, 37 орудий, 86 миномётов, свыше 200 пулемётов и 7 складов с боеприпасами.</w:t>
      </w:r>
    </w:p>
    <w:p w14:paraId="4DAA0E86"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югу и востоку от города Бельцы наши войска продолжали наступление. На одном участке противник бросил в контратаку крупные силы пехоты. Наши бойцы подпустили гитлеровцев на близкое расстояние и открыли огонь из всех видов оружия. Немцы поспешно отступили, оставив на поле боя сотни убитых и раненых солдат и офицеров. На другом участке наши наступающие части в коротком встречном бою разгромили кавалерийский румынский полк. Бойцы Н-ского соединения за последние дни захватили 28 танков, 6 самоходных и 60 полевых орудий, 400 автомашин, 14 артиллерийских и продовольственных складов. Взято в плен свыше 1.500 немецких солдат и офицеров.</w:t>
      </w:r>
    </w:p>
    <w:p w14:paraId="0FFC17A1"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Юго-западнее города Первомайск наши войска вели успешные наступательные бои.Н есколько дней назад советские части, совершив обходный манёвр, окружили районный центр Одесской области город Балта. Многочисленный вражеский гарнизон, состоявший из подразделений танковой дивизии СС «Мёртвая голова», 11 танковойдивизии и курсантов унтер-офицерской школы, оказывал упорное сопротивление. В результате штурма и ожесточённых уличных боёв советские бойцы </w:t>
      </w:r>
      <w:r w:rsidRPr="00070ADE">
        <w:rPr>
          <w:rFonts w:ascii="Times New Roman" w:hAnsi="Times New Roman"/>
          <w:color w:val="000000" w:themeColor="text1"/>
          <w:sz w:val="16"/>
          <w:szCs w:val="16"/>
        </w:rPr>
        <w:lastRenderedPageBreak/>
        <w:t>сегодня разгромили немецкий гарнизон и овладели городом Балта. Лишь отдельным мелким группам немцев удалось бежать через балки, бросив всю свою боевую технику. Взято несколько сот пленных и среди них много эсэсовцев. На улицах города Балта подсчитано свыше 2.000 вражеских трупов.</w:t>
      </w:r>
    </w:p>
    <w:p w14:paraId="55233302"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Ленинградского фронта совершила налёт на крупный немецкий аэродром, расположенный в глубоком тылу противника. Одну группу бомбардировщиков вели лётчик Герой Советского Союза гвардии майор Стольников и штурман гвардии майор Козельков, другую — лётчик гвардии майор Тузов и штурман гвардии капитан Вдовиченко. Несмотря на неблагоприятные метеорологические условия, все советские самолёты точно по курсу вышли к намеченному объекту и обрушили бомбовый груз на аэродром, на котором находилось около 60 самолётов противника. Уничтожено на земле 22 немецких самолёта. В воздушном бою над аэродромом наши истребители сбили 3 самолёта противника.</w:t>
      </w:r>
    </w:p>
    <w:p w14:paraId="4268C46B"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рассвете 28 марта самолёты-разведчики Краснознамённого Балтийского флота обнаружили в Нарвском заливе несколько групп немецких кораблей. В течение всегодня наши пикирующие бомбардировщики и штурмовики наносили удары по судам противника и прямым попаданием бомб потопили два сторожевых корабля, три тральщика и два сторожевых катера.</w:t>
      </w:r>
    </w:p>
    <w:p w14:paraId="48441DE7"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Украинский партизанский отряд 15 марта совершил смелый налёт на гарнизон противника, расположенный в населённом пункте Каменец-Подольской области. Партизаны уничтожили до роты немецкой пехоты. Партизаны другого украинского отряда в бою с отступающими частями и обозами противника истребили до 200 гитлеровцев и захватили 230 повозок с военными грузами. Взято в плен 90 немцев. Советские патриоты освободили свыше 5.000 местных жителей, которых немцы угоняли на каторгу в Германию.» (15083).</w:t>
      </w:r>
    </w:p>
    <w:p w14:paraId="783C095F" w14:textId="77777777" w:rsidR="004F35D0" w:rsidRPr="00070ADE" w:rsidRDefault="004F35D0" w:rsidP="00B56F90">
      <w:pPr>
        <w:spacing w:after="0" w:line="240" w:lineRule="auto"/>
        <w:jc w:val="both"/>
        <w:rPr>
          <w:rFonts w:ascii="Times New Roman" w:hAnsi="Times New Roman"/>
          <w:color w:val="000000" w:themeColor="text1"/>
          <w:sz w:val="16"/>
          <w:szCs w:val="16"/>
        </w:rPr>
      </w:pPr>
    </w:p>
    <w:p w14:paraId="32407547" w14:textId="77777777" w:rsidR="008079B6" w:rsidRPr="00070ADE" w:rsidRDefault="008079B6" w:rsidP="00B56F90">
      <w:pPr>
        <w:pStyle w:val="ae"/>
        <w:shd w:val="clear" w:color="auto" w:fill="FFFFFF"/>
        <w:spacing w:before="0" w:after="0"/>
        <w:jc w:val="both"/>
        <w:rPr>
          <w:color w:val="000000" w:themeColor="text1"/>
          <w:sz w:val="16"/>
          <w:szCs w:val="16"/>
        </w:rPr>
      </w:pPr>
      <w:r w:rsidRPr="00070ADE">
        <w:rPr>
          <w:color w:val="000000" w:themeColor="text1"/>
          <w:sz w:val="16"/>
          <w:szCs w:val="16"/>
        </w:rPr>
        <w:t>29 марта 1944 года 54-й отдельный танковый полк при переформировании получил 20 таких Матильда 9. На каждый танк было получено всего по 8 осколочно-фугасных снарядов, но и это уже было хоть что-то. Стоит отметить, что до этого полк воевал на лёгких танках Т-80, поэтому вряд ли там восприняли английскую машину как более плохую. Действуя в составе 12-й гвардейской кавалерийской дивизии, полк в основном воевал с пехотой и артиллерией противника. К 14 мая в его составе оставалось 12 Valentine IX. Эти машины в войсках обычно обозначались как MK-IX, МК9 или Mk-9. Стоит отметить, что в танковых полках при кавалерийских частях таких танков было довольно много. Например, в 61-м отдельном танковом полку по состоянию на 8 июля 1944 года имелось 15 МК9.</w:t>
      </w:r>
    </w:p>
    <w:p w14:paraId="6DDFF0B1" w14:textId="77777777" w:rsidR="008079B6" w:rsidRPr="00070ADE" w:rsidRDefault="008079B6" w:rsidP="00B56F90">
      <w:pPr>
        <w:pStyle w:val="ae"/>
        <w:shd w:val="clear" w:color="auto" w:fill="FFFFFF"/>
        <w:spacing w:before="0" w:after="0"/>
        <w:jc w:val="both"/>
        <w:rPr>
          <w:color w:val="000000" w:themeColor="text1"/>
          <w:sz w:val="16"/>
          <w:szCs w:val="16"/>
        </w:rPr>
      </w:pPr>
      <w:r w:rsidRPr="00070ADE">
        <w:rPr>
          <w:color w:val="000000" w:themeColor="text1"/>
          <w:sz w:val="16"/>
          <w:szCs w:val="16"/>
        </w:rPr>
        <w:t>Несмотря на определённые проблемы, английские лёгкие танки, вооружённые 57-мм пушками, оставили в Красной армии о себе добрую память. Довольно низкая и тихая в движении машина неплохо справлялась со своими обязанностями. Тихоходность её была относительной: при движении по бездорожью и просёлку разница в скорости с другими танками оказывалась не столь и существенной. Кроме того, «Валентины» отличались довольно высокой надёжностью, особенно если их эксплуатировали в соответствии с инструкциями. Неудивительно, что много этих танков оставалось в строю и в 1945 году.</w:t>
      </w:r>
    </w:p>
    <w:p w14:paraId="4321B694" w14:textId="77777777" w:rsidR="008079B6" w:rsidRPr="00070ADE" w:rsidRDefault="008079B6" w:rsidP="00B56F90">
      <w:pPr>
        <w:pStyle w:val="ae"/>
        <w:shd w:val="clear" w:color="auto" w:fill="FFFFFF"/>
        <w:spacing w:before="0" w:after="0"/>
        <w:jc w:val="both"/>
        <w:rPr>
          <w:color w:val="000000" w:themeColor="text1"/>
          <w:sz w:val="16"/>
          <w:szCs w:val="16"/>
        </w:rPr>
      </w:pPr>
      <w:r w:rsidRPr="00070ADE">
        <w:rPr>
          <w:color w:val="000000" w:themeColor="text1"/>
          <w:sz w:val="16"/>
          <w:szCs w:val="16"/>
        </w:rPr>
        <w:t>До наших дней дожил всего один Valentine IX, воевавший в составе Красной армии. В январе 1945 года эта машина провалилась в реку Варта, сражаясь на территории Польши. Танк с WD-номером T.122834, изготовленный в феврале 1943 года Elswick Works, прибыл в СССР через Иран 29 декабря 1943 года. Сейчас он находится на реставрации у одного из польских коллекционеров (17709).</w:t>
      </w:r>
    </w:p>
    <w:p w14:paraId="7F662467" w14:textId="77777777" w:rsidR="008079B6" w:rsidRPr="00070ADE" w:rsidRDefault="008079B6" w:rsidP="00B56F90">
      <w:pPr>
        <w:spacing w:after="0" w:line="240" w:lineRule="auto"/>
        <w:jc w:val="both"/>
        <w:rPr>
          <w:rFonts w:ascii="Times New Roman" w:eastAsia="Times New Roman" w:hAnsi="Times New Roman"/>
          <w:color w:val="000000" w:themeColor="text1"/>
          <w:sz w:val="16"/>
          <w:szCs w:val="16"/>
          <w:lang w:eastAsia="ru-RU"/>
        </w:rPr>
      </w:pPr>
    </w:p>
    <w:p w14:paraId="0C8F7F0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марта 1944 вышло Распоряжение ГКО № 5505 [Об обязанности Тыла КА сохранить все заготовленное сено, а не передавать часть его колхозам и совхозам.] (7202, 108).</w:t>
      </w:r>
    </w:p>
    <w:p w14:paraId="7809E47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8ECC2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марта 1944 вышло Постановление ГКО № 5506 О передислокации Артиллерийской ордена Ленина академии им. Дзержинского из гор. Самарканда Уз[бекской] ССР в гор. Москву. (7202, 109-111,112-119).</w:t>
      </w:r>
    </w:p>
    <w:p w14:paraId="3739BD4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1ECB2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марта 1944 вышло Постановление ГКО № 5507 Об усилении противовоздушной обороны Ленинграда. (7202, 120-123).</w:t>
      </w:r>
    </w:p>
    <w:p w14:paraId="6164246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D66F9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марта 1944 вышло Постановление ГКО № 5508 О мероприятиях по улучшению управления действующими войсками ПВО Красной Армии. (7202, 124-130).</w:t>
      </w:r>
    </w:p>
    <w:p w14:paraId="1283053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6AD1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марта 1944 1УФ (Г.К.Ж.) освободил Черновцы (3398,129).</w:t>
      </w:r>
    </w:p>
    <w:p w14:paraId="67F094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72F1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марта 1944 года постановлением ГКО “О мероприятиях по улучшению управления действующими войсками ПВО” Западный фронт ПВО реорганизован в Северный фронт ПВО, Восточный фронт ПВО реорганизован в Южный фронт ПВО, Закавказская зона ПВО реорганизована в Закавказский фронт ПВО (10109).</w:t>
      </w:r>
    </w:p>
    <w:p w14:paraId="3BA693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78B92A" w14:textId="77777777" w:rsidR="00A76CAC" w:rsidRPr="00070ADE" w:rsidRDefault="00A76CAC"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3264214D" w14:textId="77777777" w:rsidR="00A76CAC" w:rsidRPr="00070ADE" w:rsidRDefault="00A76CAC"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5E64C9" w14:textId="77777777" w:rsidR="00A76CAC" w:rsidRPr="00070ADE" w:rsidRDefault="00A76CA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марта 1944 г. постановлением ГКО СССР № 5509сс «О первоочередных мерах по восстановлению промышленности и городского хозяйства Ленинграда в 1944 году».</w:t>
      </w:r>
    </w:p>
    <w:p w14:paraId="2E4D41E2" w14:textId="77777777" w:rsidR="00A76CAC" w:rsidRPr="00070ADE" w:rsidRDefault="00A76CA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Предусматривалось развитие ленинградских электротехнических заводов до уровня, обеспечивающего выполнение плана производства валовой продукции в размере 239 млн. руб. С этой целью для предприятий Ленинграда целевым назначением предписывалось поставить за счет фондов НКЭП в течение года 460 единиц различного металлообрабатывающего оборудования. Еще 307 станков предстояло поставить самому наркомату электропромышленности из числа незагруженных на других заводах, а 68 – капитально отремонтировать. Для электропромышленности Ленинграда утверждался план капитальных работ на 1945 г. в размере 45 млн. руб., при этом внимание было уделено восстановлению не только производственной, но и социальной инфраструктуры отрасли (18297).</w:t>
      </w:r>
    </w:p>
    <w:p w14:paraId="64E54893" w14:textId="77777777" w:rsidR="00A76CAC" w:rsidRPr="00070ADE" w:rsidRDefault="00A76CAC" w:rsidP="00B56F90">
      <w:pPr>
        <w:spacing w:after="0" w:line="240" w:lineRule="auto"/>
        <w:jc w:val="both"/>
        <w:rPr>
          <w:rFonts w:ascii="Times New Roman" w:hAnsi="Times New Roman"/>
          <w:color w:val="000000" w:themeColor="text1"/>
          <w:sz w:val="16"/>
          <w:szCs w:val="16"/>
        </w:rPr>
      </w:pPr>
    </w:p>
    <w:p w14:paraId="4B1E289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5F06EB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777ADA"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29 марта</w:t>
      </w:r>
      <w:r w:rsidRPr="00070ADE">
        <w:rPr>
          <w:rFonts w:ascii="Times New Roman" w:hAnsi="Times New Roman"/>
          <w:color w:val="000000" w:themeColor="text1"/>
          <w:sz w:val="16"/>
          <w:szCs w:val="16"/>
        </w:rPr>
        <w:t xml:space="preserve"> в 1944 году был подписан контракт на постройку двух прототипов «ХР-83» (15083).</w:t>
      </w:r>
    </w:p>
    <w:p w14:paraId="2DB0CE92" w14:textId="77777777" w:rsidR="004F35D0" w:rsidRPr="00070ADE" w:rsidRDefault="004F35D0" w:rsidP="00B56F90">
      <w:pPr>
        <w:spacing w:after="0" w:line="240" w:lineRule="auto"/>
        <w:jc w:val="both"/>
        <w:rPr>
          <w:rFonts w:ascii="Times New Roman" w:hAnsi="Times New Roman"/>
          <w:color w:val="000000" w:themeColor="text1"/>
          <w:sz w:val="16"/>
          <w:szCs w:val="16"/>
        </w:rPr>
      </w:pPr>
    </w:p>
    <w:p w14:paraId="2164A43A" w14:textId="77777777" w:rsidR="00003C7F" w:rsidRPr="00070ADE" w:rsidRDefault="00003C7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29–30 марта (ночь) 1944 84 британских бомбардировщика совершают ночную атаку на железнодорожные станции в Вере, Франция, в результате чего взорвались два эшелона с боеприпасами. Один бомбардировщик не возвращается (20373).</w:t>
      </w:r>
    </w:p>
    <w:p w14:paraId="2CFD03C9" w14:textId="77777777" w:rsidR="00003C7F" w:rsidRPr="00070ADE" w:rsidRDefault="00003C7F" w:rsidP="00B56F90">
      <w:pPr>
        <w:spacing w:after="0" w:line="240" w:lineRule="auto"/>
        <w:jc w:val="both"/>
        <w:rPr>
          <w:rFonts w:ascii="Times New Roman" w:hAnsi="Times New Roman"/>
          <w:color w:val="000000" w:themeColor="text1"/>
          <w:sz w:val="16"/>
          <w:szCs w:val="16"/>
        </w:rPr>
      </w:pPr>
    </w:p>
    <w:p w14:paraId="01871123" w14:textId="77777777" w:rsidR="00003C7F" w:rsidRPr="00070ADE" w:rsidRDefault="00003C7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29–30 марта (ночь) 1944 по 1–2 апреля (ночь) 1944 американские бомбардировщики, базирующиеся в Кваджалейне, совершают ночные атаки на атолл Трук четыре вечера подряд (20373).</w:t>
      </w:r>
    </w:p>
    <w:p w14:paraId="35A91A65" w14:textId="77777777" w:rsidR="00003C7F" w:rsidRPr="00070ADE" w:rsidRDefault="00003C7F" w:rsidP="00B56F90">
      <w:pPr>
        <w:spacing w:after="0" w:line="240" w:lineRule="auto"/>
        <w:jc w:val="both"/>
        <w:rPr>
          <w:rFonts w:ascii="Times New Roman" w:hAnsi="Times New Roman"/>
          <w:color w:val="000000" w:themeColor="text1"/>
          <w:sz w:val="16"/>
          <w:szCs w:val="16"/>
        </w:rPr>
      </w:pPr>
    </w:p>
    <w:p w14:paraId="7F90E4CE" w14:textId="77777777" w:rsidR="00003C7F" w:rsidRPr="00070ADE" w:rsidRDefault="00003C7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29-30 марта 1944 самолеты совершают дневные рейды против японских баз на Трук Атолл (20373).</w:t>
      </w:r>
    </w:p>
    <w:p w14:paraId="74A6A1E0" w14:textId="77777777" w:rsidR="00003C7F" w:rsidRPr="00070ADE" w:rsidRDefault="00003C7F" w:rsidP="00B56F90">
      <w:pPr>
        <w:spacing w:after="0" w:line="240" w:lineRule="auto"/>
        <w:jc w:val="both"/>
        <w:rPr>
          <w:rFonts w:ascii="Times New Roman" w:hAnsi="Times New Roman"/>
          <w:color w:val="000000" w:themeColor="text1"/>
          <w:sz w:val="16"/>
          <w:szCs w:val="16"/>
        </w:rPr>
      </w:pPr>
    </w:p>
    <w:p w14:paraId="72F174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марта 1944 в Северо-восточной Индии началось сражение за Импалу и длилось до 22 июня. Японские войска окружили город (3907,248).</w:t>
      </w:r>
    </w:p>
    <w:p w14:paraId="34114A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5C0FD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4D96B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F81B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марта 1944-го успешно закончились госиспытания тяжелого штурмовика Ил-8 с АМ-42 (первый опытный экземпляр), которые проходили с 29 февраля 1944 несмотря на дефекты мотора (дымление, тряска, засорение воздушных клапанов карбюраторов, быстрый износ поршневых колец и т.д.</w:t>
      </w:r>
    </w:p>
    <w:p w14:paraId="605386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Ведущий летчик-испытатель - А.К.Долгов, ведущий инженер - П.Т.Аброщенко. Самолет был рекомендован к запуску в серийное производство в вариантах тяжелого штурмовика-бомбардировщика и разведчика-корректировщика.</w:t>
      </w:r>
    </w:p>
    <w:p w14:paraId="7F6243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своим пилотажным свойствам штурмовик оказался в целом простым и достаточно легким в управлении. Основные летно-технические данные Ил-8 заметно превосходили Ил-2, хотя уже и не отвечали в полном объеме современным требованиям.</w:t>
      </w:r>
    </w:p>
    <w:p w14:paraId="77D129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нормальном взлетном весе 7260 кг (против 6160 кг у Ил-2 АМ-38ф) новый штурмовик имел максимальную скорость 472 км/ч на высоте 2500 м (у Ил-2 - 416 км/ч на высоте 1400 м). Дальность же полета Ил-8 почти в два раза превысила таковую у Ил-2 и составила 1180 км.</w:t>
      </w:r>
    </w:p>
    <w:p w14:paraId="2E426A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его маневренность в вертикальной и горизонтальной плоскостях была хуже, чем у Ил-2, и была явно недостаточной для условий боевых действий заключительного периода войны.</w:t>
      </w:r>
    </w:p>
    <w:p w14:paraId="44FC7E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серию Ил-8 не пошел. Было решено путем улучшения аэродинамики повысить его основные летные данные.</w:t>
      </w:r>
    </w:p>
    <w:p w14:paraId="259391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этим решением на втором опытном самолете Ил-8 АМ-42 была полностью перекомпонована система охлаждения и смазки мотора, установлены новые крыло, оперение и шасси, доработаны элероны, рули высоты и направления, внесены изменения в оборудование самолета, трехлопастный воздушный винт был заменен на четырехлопастный.</w:t>
      </w:r>
    </w:p>
    <w:p w14:paraId="293FDF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Общий вес брони на самолете увеличился до 1120 кг. Распределение толщины брони было сделано с учетом опыта боевого применения штурмовика Ил-2.</w:t>
      </w:r>
    </w:p>
    <w:p w14:paraId="126407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Мотор и агрегаты прикрывались снизу и с боков броней толщиной 4, б и 8 мм. Наиболее поражаемые участки бронекорпуса штурмовика (снизу с боку) имели толщину </w:t>
      </w:r>
      <w:r w:rsidRPr="00070ADE">
        <w:rPr>
          <w:rFonts w:ascii="Times New Roman" w:hAnsi="Times New Roman"/>
          <w:color w:val="000000" w:themeColor="text1"/>
          <w:sz w:val="16"/>
          <w:szCs w:val="16"/>
        </w:rPr>
        <w:lastRenderedPageBreak/>
        <w:t>брони 8 мм.</w:t>
      </w:r>
    </w:p>
    <w:p w14:paraId="228703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Верхняя часть бронекорпуса, имевшая поверхность двойной кривизны, выполнялась из дюралюмино-вых листов толщиной от 1,5 до 4,0 мм.</w:t>
      </w:r>
    </w:p>
    <w:p w14:paraId="309126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Дело в том, что верхняя передняя часть бронекорпуса Ил-2, как показал опыт его боевого применения, практически не поражалась в воздушных боях.</w:t>
      </w:r>
    </w:p>
    <w:p w14:paraId="4B7122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Кабина пилота с боков и снизу бронировалась листами толщиной 4,5 и б мм. Козырек фонаря пилота выполнялся из 64-мм прозрачной брони с металлической окантовкой.</w:t>
      </w:r>
    </w:p>
    <w:p w14:paraId="4E4AFF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Боковые крышки фонаря выполнялись из металлической брони (толщиной б мм) и плексигласа. Сбоку фонаря имелись сдвижные форточки. Сверху над головой пилота устанавливалась бронеплита толщиной 8 мм.</w:t>
      </w:r>
    </w:p>
    <w:p w14:paraId="2E3A24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сравнении с первой опытной машиной, со стороны задней полусферы пилот и штурман-стрелок прикрывались, защищались более эффективными бронестенками, образованными двумя рядом стоящими бронеплитами толщиной по 8 мм каждая, с промежутком между ними.</w:t>
      </w:r>
    </w:p>
    <w:p w14:paraId="079DEE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Такая схема бронирования эффективно защищала стрелка и пилота от поражения 20-мм снарядов авиапушек. Снизу и с боков стрелок прикрывался броней 4 и 6 мм.</w:t>
      </w:r>
    </w:p>
    <w:p w14:paraId="50E660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Отметим, что в дальнейшем при запуске Ил-8-го в серийное производство защиту стрелка со стороны задней полусферы предполагалось усилить путем установки двух бронеплит толщиной 4 мм (внутренняя бронеплита) и 12 мм (внешняя бронеплита), отстоящих друг от друга на небольшом расстоянии.</w:t>
      </w:r>
    </w:p>
    <w:p w14:paraId="311349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Полигонные испытания показали, что бронестойкость системы броне-листов при неизменном расстоянии между ними значительно повышается, если увеличивать разнос толщин листов.</w:t>
      </w:r>
    </w:p>
    <w:p w14:paraId="4BF4E7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этом случае разворот оси снаряда при прохождении последнего через внешнюю бронеплиту (толщина 12 мм), играющей роль своеобразного экрана, существенно увеличивался, а это приводило к резкому снижению бронепробиваемых свойств снаряда.</w:t>
      </w:r>
    </w:p>
    <w:p w14:paraId="0D74A5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Воздух для охлаждения радиаторов модифицированного штурмовика Ил-8 АМ-42, поступал теперь по двум тоннелям: справа и слева от мотора.</w:t>
      </w:r>
    </w:p>
    <w:p w14:paraId="4EF97D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Вход в тоннель образовывался вырезом в носке центроплана и углублением в боковой части капота мотора.</w:t>
      </w:r>
    </w:p>
    <w:p w14:paraId="5453CD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правому тоннелю подводился воздух только к трубчато-пластинча-тому водорадиатору (фронтовая поверхность 5ф=33,5 дм2), а по левому, имевшему два рукава, - к водо- и мас-лорадиаторам (фронтовая поверхность маслорадиатора 5ф=12 дм2).</w:t>
      </w:r>
    </w:p>
    <w:p w14:paraId="2DF77C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Температура воды и масла регулировалась открытием бронезаслонок на выходе тоннеля. Бронезаслонки (толщина брони 5 и б мм) управлялись из кабины пилота. Снизутоннели прикрывались б-мм броней, а с боков -4-мм броневым корпусом. Со стороны заднего лонжерона тоннели прикрывались б-мм броней.</w:t>
      </w:r>
    </w:p>
    <w:p w14:paraId="0A5D10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Такое компоновочное решение позволило сделать более плавными обводы бронекорпуса, чем у первого опытного Ил-8, а более выгодная в аэродинамическом отношении схема продува радиаторов уменьшило их размеры и сопротивление.</w:t>
      </w:r>
    </w:p>
    <w:p w14:paraId="2F4811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установили более совершенные пушки конструкции А. Нудельмана и А. Суранова НС-23 калибра 23 мм с боезапасом 300 снарядов, прошедших к 4 мая 1944 г. весь комплекс наземных, а к 7 мая 44-го - и летных государственных испытаний на истребителе Як-9.</w:t>
      </w:r>
    </w:p>
    <w:p w14:paraId="7AD245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Пушки НС-23 были разработаны в ОКБ-16 под новый 23-мм патрон с уменьшенным зарядом и имели, по сравнению с ВЯ-23, почти вдвое меньший вес (37,5-38,2 кг) и в 1,6 раз меньшую отдачу при стрельбе.</w:t>
      </w:r>
    </w:p>
    <w:p w14:paraId="6FC853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обстоятельство позволило спроектировать на штурмовике более простую и легкую крыльевую пушечную установку, значительно упрощавшую эксплуатацию новых пушек.</w:t>
      </w:r>
    </w:p>
    <w:p w14:paraId="734276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два оружейника могли, примерно, за 10 мин демонтировать обе пушки, уложить снаряды в патронные ящики, смонтировать и зарядить пушки. Аналогичная работа на штурмовике Ил-2 с пушками ВЯ требовала не менее 30 мин.</w:t>
      </w:r>
    </w:p>
    <w:p w14:paraId="57C9B0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Главное же преимущество при установке на новый штурмовик пушек НС-23 заключалось в повышении точности стрельбы из них, так как рассеивание снарядов при автоматической стрельбе из них с самолета было примерно в 2-3 раза меньше, чем у пушек ВЯ.</w:t>
      </w:r>
    </w:p>
    <w:p w14:paraId="6F960B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крыльевых пулемета ШКАС так же, как и на серийных Ил-2, имели суммарный боезапас в 1500 патронов.</w:t>
      </w:r>
    </w:p>
    <w:p w14:paraId="6A49FA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Оборонительное вооружение было усилено: вместо УБК в кабине стрелка на подвижной установке ВУ-9 устанавливалась новая 20-мм авиапушка конструкции М.Е.Березина УБ-20, имевшая, в сравнении с пушкой ШВАК, меньший вес (25 кг против 42 кг) и габариты.</w:t>
      </w:r>
    </w:p>
    <w:p w14:paraId="331841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Отметим, что в августе 44-го установка пушки Березина УБ-20 на турели ВУБ-3 успешно прошла испытания на одном из серийных Ил-2 АМ-38Ф. Однако в серию установку внедрять не стали по причине еще низкой надежности самой пушки.</w:t>
      </w:r>
    </w:p>
    <w:p w14:paraId="449A42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защиты задней нижней полусферы в хвостовой части опытного Ил-8-го №2 была установлена кассета ДАГ-10 с десятью авиационными гранатами АГ-2.</w:t>
      </w:r>
    </w:p>
    <w:p w14:paraId="6CF375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Более мощным стало и бомбовое вооружение. Нормальная бомбовая нагрузка тяжелого штурмовика, в отличие от серийных Ил-2, была доведена до 1000 кг.</w:t>
      </w:r>
    </w:p>
    <w:p w14:paraId="52F7BB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 бомбовый груз размещался в четырех центропланных бом-боотсеках.</w:t>
      </w:r>
    </w:p>
    <w:p w14:paraId="04E8DA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Штурмовик мог взять на борт 346 противотанковых авиабомб ПТАБ-2,5-1,5. Это на 46 и 150 бомб больше, чем могли взять, соответственно, Ил-8 № 1 и Ил-2 АМ-38Ф. Наружные бомбовые держатели штурмовика обеспечивали подвеску двух ФАБ-500.</w:t>
      </w:r>
    </w:p>
    <w:p w14:paraId="741379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был снабжен компасом ПДК-43Ф, радиопередатчиком РСИ-ЗМГ и радиоприемником РСИ-бМУ (управление приемником дистанционное), радиополукомпасом РПКО-10 и радиоопознавателем СЧ-3. Для обеспечения работы радиооборудования на машине были установлены две антенны: одна для СЧ-3, вторая для связной радиостанции и РПКО.</w:t>
      </w:r>
    </w:p>
    <w:p w14:paraId="2A1DA0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Фотооборудование штурмовика состояло из фотоустановки под фотоаппарат АФА-ИМ, обеспечивающая плановую съемку и съемку назад под углами 25° и 50°.</w:t>
      </w:r>
    </w:p>
    <w:p w14:paraId="4DADA0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Словом, получился весьма неплохой штурмовик-бомбардировщик, имевший повышенную боевую эффективность при действиях по бронетех-нике вермахта.</w:t>
      </w:r>
    </w:p>
    <w:p w14:paraId="18F411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Оценки показывают, что летчик с хорошей летной и стрелковой подготовкой на Ил-8 АМ-42 с НС-23 в реальных боевых условиях вполне мог уже в первой атаке обеспечить гарантированное поражение, например, немецкого истребителя танков типа Jg Pz 38(t) “Hetzer” (атака сбоку, угол планирования 25-30°, дистанция открытия огня 300-400 м) - вероятность поражения 0,94-0,63, тогда как пилот Ил-2 с ВЯ-23 в этих же условиях мог поразить “Hetzer” лишь с вероятностью около 0,24-0,15.</w:t>
      </w:r>
    </w:p>
    <w:p w14:paraId="664831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Поражение тяжелой бронетехники было возможно лишь бомбовым вооружением (9649).</w:t>
      </w:r>
    </w:p>
    <w:p w14:paraId="7A9472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F003B4"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30 марта</w:t>
      </w:r>
      <w:r w:rsidRPr="00070ADE">
        <w:rPr>
          <w:rFonts w:ascii="Times New Roman" w:hAnsi="Times New Roman"/>
          <w:color w:val="000000" w:themeColor="text1"/>
          <w:sz w:val="16"/>
          <w:szCs w:val="16"/>
        </w:rPr>
        <w:t xml:space="preserve"> в 1944 году завершились (начались 29 февраля) Государственные испытания тяжелого штурмовика </w:t>
      </w:r>
      <w:hyperlink r:id="rId91" w:tgtFrame="_blank" w:history="1">
        <w:r w:rsidRPr="00070ADE">
          <w:rPr>
            <w:rFonts w:ascii="Times New Roman" w:hAnsi="Times New Roman"/>
            <w:color w:val="000000" w:themeColor="text1"/>
            <w:sz w:val="16"/>
            <w:szCs w:val="16"/>
          </w:rPr>
          <w:t xml:space="preserve">«Ил-8». </w:t>
        </w:r>
      </w:hyperlink>
    </w:p>
    <w:p w14:paraId="31CACD02" w14:textId="77777777" w:rsidR="004F35D0" w:rsidRPr="00070ADE" w:rsidRDefault="004F35D0" w:rsidP="00B56F90">
      <w:pPr>
        <w:spacing w:after="0" w:line="240" w:lineRule="auto"/>
        <w:jc w:val="both"/>
        <w:rPr>
          <w:rFonts w:ascii="Times New Roman" w:hAnsi="Times New Roman"/>
          <w:color w:val="000000" w:themeColor="text1"/>
          <w:sz w:val="16"/>
          <w:szCs w:val="16"/>
        </w:rPr>
      </w:pPr>
    </w:p>
    <w:p w14:paraId="4C279D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марта 1944 в НИИ ВВС закончились гос. испытания опытного двухместного самолета ИЛ с мотором АМ-42 и винтом АВ-5Л-18Б конструкции С.В.И. (экз. 1, производство завода 240 мая 1943), которые шли с 29 февраля 1944. Прибыл 26 февраля 1944.</w:t>
      </w:r>
    </w:p>
    <w:p w14:paraId="26D3B2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Цель испытаний:</w:t>
      </w:r>
    </w:p>
    <w:p w14:paraId="2280B7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Определение ЛТД</w:t>
      </w:r>
    </w:p>
    <w:p w14:paraId="3F132B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Оценка ВМГ, вооружения, спецоборудования и броневой защиты</w:t>
      </w:r>
    </w:p>
    <w:p w14:paraId="5D8A34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Выявление целесообразности принятия на вооружение ВВС КА вместо серийного Ил-2 с АМ-38Ф.</w:t>
      </w:r>
    </w:p>
    <w:p w14:paraId="19FE1B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Конструкция крыла - цельнометаллическая. Хвостовая часть - в двух вариантах. На экз. 1 - деревянная, на экз. 2 - металлическая. Внизу бронекорпуса - входной люк штурмана. АМ-42 гос. испытания не прошел. Винт - 3.8 м. 2хВЯ-23 с 300, 2хШКАС с 1500, УБК на ВУ-8 с 150 в трех сменных магазинах. На экз. 2 - две 11-П 37 мм с 100 снарядами. Прицел ПБП-1Б, ф/п ПАУ-22. В варианте р-к бомб нет, в варианте ш-б - 600 кг с ВЯ и 400 кг с 11-П, на экз. 2 - ДАГ-10. Броня - как на Ил-2, но с защитой стрелка-штурмана. Общий вес брони - 1236 кг, т.е. на 335 больше, чем на серийном Ил-2.</w:t>
      </w:r>
    </w:p>
    <w:p w14:paraId="447C29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Выполнил 44 полета с общим налетом 19:30.</w:t>
      </w:r>
    </w:p>
    <w:p w14:paraId="6A46C6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Проходил испытания в двух вариантах:</w:t>
      </w:r>
    </w:p>
    <w:p w14:paraId="38353A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разведчика-корректировщика</w:t>
      </w:r>
    </w:p>
    <w:p w14:paraId="6D01C5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штурмовика-бомбардировщика</w:t>
      </w:r>
    </w:p>
    <w:p w14:paraId="7807FD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Полеты проводились с нормальным и перегрузочным весом с внутренней и наружной подвеской бомб</w:t>
      </w:r>
    </w:p>
    <w:p w14:paraId="658742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 испытания выдержал и был рекомендован в серию в двух вариантах. Решение по машине с 11-П и ДАГ-10 решили принять после окончания испытаний 2-го экз. Сочли целесообразным в серии выпускать машины с металлическими хвостами. Решили выпустить войсковую серию даже с 50 час. ресурсом мотора. Просили А.А.М. - доработать двигатель, С.В.И. - устранить недостатки, ЦАГИ провести статические и динамические испытания один из самолетов головной серии (1865).</w:t>
      </w:r>
    </w:p>
    <w:p w14:paraId="111E05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C82B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марта 1944 бри</w:t>
      </w:r>
      <w:r w:rsidRPr="00070ADE">
        <w:rPr>
          <w:rFonts w:ascii="Times New Roman" w:hAnsi="Times New Roman"/>
          <w:color w:val="000000" w:themeColor="text1"/>
          <w:sz w:val="16"/>
          <w:szCs w:val="16"/>
        </w:rPr>
        <w:softHyphen/>
        <w:t>гада испытателей НИИ ВВС рапортова</w:t>
      </w:r>
      <w:r w:rsidRPr="00070ADE">
        <w:rPr>
          <w:rFonts w:ascii="Times New Roman" w:hAnsi="Times New Roman"/>
          <w:color w:val="000000" w:themeColor="text1"/>
          <w:sz w:val="16"/>
          <w:szCs w:val="16"/>
        </w:rPr>
        <w:softHyphen/>
        <w:t>ла руководству об успешном заверше</w:t>
      </w:r>
      <w:r w:rsidRPr="00070ADE">
        <w:rPr>
          <w:rFonts w:ascii="Times New Roman" w:hAnsi="Times New Roman"/>
          <w:color w:val="000000" w:themeColor="text1"/>
          <w:sz w:val="16"/>
          <w:szCs w:val="16"/>
        </w:rPr>
        <w:softHyphen/>
        <w:t>нии государственных летных испыта</w:t>
      </w:r>
      <w:r w:rsidRPr="00070ADE">
        <w:rPr>
          <w:rFonts w:ascii="Times New Roman" w:hAnsi="Times New Roman"/>
          <w:color w:val="000000" w:themeColor="text1"/>
          <w:sz w:val="16"/>
          <w:szCs w:val="16"/>
        </w:rPr>
        <w:softHyphen/>
        <w:t>ний опытного штурмовика Ил-8 АМ-42 с более высокими, чем у Ил-2, летными данными. Самолет имел много общего с Ил-2, и в случае внедрения его в мас</w:t>
      </w:r>
      <w:r w:rsidRPr="00070ADE">
        <w:rPr>
          <w:rFonts w:ascii="Times New Roman" w:hAnsi="Times New Roman"/>
          <w:color w:val="000000" w:themeColor="text1"/>
          <w:sz w:val="16"/>
          <w:szCs w:val="16"/>
        </w:rPr>
        <w:softHyphen/>
        <w:t>совое производство можно было ис</w:t>
      </w:r>
      <w:r w:rsidRPr="00070ADE">
        <w:rPr>
          <w:rFonts w:ascii="Times New Roman" w:hAnsi="Times New Roman"/>
          <w:color w:val="000000" w:themeColor="text1"/>
          <w:sz w:val="16"/>
          <w:szCs w:val="16"/>
        </w:rPr>
        <w:softHyphen/>
        <w:t>пользовать те же конвейеры и боль</w:t>
      </w:r>
      <w:r w:rsidRPr="00070ADE">
        <w:rPr>
          <w:rFonts w:ascii="Times New Roman" w:hAnsi="Times New Roman"/>
          <w:color w:val="000000" w:themeColor="text1"/>
          <w:sz w:val="16"/>
          <w:szCs w:val="16"/>
        </w:rPr>
        <w:softHyphen/>
        <w:t>шую часть имеющейся оснастки. По этой причине наркомат авиапромыш</w:t>
      </w:r>
      <w:r w:rsidRPr="00070ADE">
        <w:rPr>
          <w:rFonts w:ascii="Times New Roman" w:hAnsi="Times New Roman"/>
          <w:color w:val="000000" w:themeColor="text1"/>
          <w:sz w:val="16"/>
          <w:szCs w:val="16"/>
        </w:rPr>
        <w:softHyphen/>
        <w:t>ленности вынашивал планы перевода производства авиазавода № 18 на се</w:t>
      </w:r>
      <w:r w:rsidRPr="00070ADE">
        <w:rPr>
          <w:rFonts w:ascii="Times New Roman" w:hAnsi="Times New Roman"/>
          <w:color w:val="000000" w:themeColor="text1"/>
          <w:sz w:val="16"/>
          <w:szCs w:val="16"/>
        </w:rPr>
        <w:softHyphen/>
        <w:t>рийный выпуск Ил-8 уже с лета 1944 г., а авиазаводов № 1 и № 30 - в первом полугодии следующего года. Кроме этого, на завершающей стадии заводс</w:t>
      </w:r>
      <w:r w:rsidRPr="00070ADE">
        <w:rPr>
          <w:rFonts w:ascii="Times New Roman" w:hAnsi="Times New Roman"/>
          <w:color w:val="000000" w:themeColor="text1"/>
          <w:sz w:val="16"/>
          <w:szCs w:val="16"/>
        </w:rPr>
        <w:softHyphen/>
        <w:t>ких испытаний находился опытный штурмовик ОКБ П. 0. Сухого Су-б, кото</w:t>
      </w:r>
      <w:r w:rsidRPr="00070ADE">
        <w:rPr>
          <w:rFonts w:ascii="Times New Roman" w:hAnsi="Times New Roman"/>
          <w:color w:val="000000" w:themeColor="text1"/>
          <w:sz w:val="16"/>
          <w:szCs w:val="16"/>
        </w:rPr>
        <w:softHyphen/>
        <w:t>рый лучше подходил для боя, чем Ил-8. На подходе был еще один опытный штурмовик-Ил-10 АМ-42. Учитывая эти обстоятельства, было решено с форси</w:t>
      </w:r>
      <w:r w:rsidRPr="00070ADE">
        <w:rPr>
          <w:rFonts w:ascii="Times New Roman" w:hAnsi="Times New Roman"/>
          <w:color w:val="000000" w:themeColor="text1"/>
          <w:sz w:val="16"/>
          <w:szCs w:val="16"/>
        </w:rPr>
        <w:softHyphen/>
        <w:t>рованием выпуска модифицированно</w:t>
      </w:r>
      <w:r w:rsidRPr="00070ADE">
        <w:rPr>
          <w:rFonts w:ascii="Times New Roman" w:hAnsi="Times New Roman"/>
          <w:color w:val="000000" w:themeColor="text1"/>
          <w:sz w:val="16"/>
          <w:szCs w:val="16"/>
        </w:rPr>
        <w:softHyphen/>
        <w:t>го Ил-2 на 18-м авиазаводе подождать до тех пор, пока не станет ясно, какой из трех опытных штурмовиков будет поставлен на вооружение ВВС.</w:t>
      </w:r>
    </w:p>
    <w:p w14:paraId="6548CE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Авиазавод № 18 вышел на плано</w:t>
      </w:r>
      <w:r w:rsidRPr="00070ADE">
        <w:rPr>
          <w:rFonts w:ascii="Times New Roman" w:hAnsi="Times New Roman"/>
          <w:color w:val="000000" w:themeColor="text1"/>
          <w:sz w:val="16"/>
          <w:szCs w:val="16"/>
        </w:rPr>
        <w:softHyphen/>
        <w:t>вый уровень производства самолетов Ил-2 с металлическим крылом «стрель</w:t>
      </w:r>
      <w:r w:rsidRPr="00070ADE">
        <w:rPr>
          <w:rFonts w:ascii="Times New Roman" w:hAnsi="Times New Roman"/>
          <w:color w:val="000000" w:themeColor="text1"/>
          <w:sz w:val="16"/>
          <w:szCs w:val="16"/>
        </w:rPr>
        <w:softHyphen/>
        <w:t>чатой конструкции» лишь к июню, а 1-й и 30-й заводы - к сентябрю 1944 г. В общей сложности к концу года в стро</w:t>
      </w:r>
      <w:r w:rsidRPr="00070ADE">
        <w:rPr>
          <w:rFonts w:ascii="Times New Roman" w:hAnsi="Times New Roman"/>
          <w:color w:val="000000" w:themeColor="text1"/>
          <w:sz w:val="16"/>
          <w:szCs w:val="16"/>
        </w:rPr>
        <w:softHyphen/>
        <w:t xml:space="preserve">евые части ВВС было отправлено 7377 Ил-2 </w:t>
      </w:r>
      <w:r w:rsidRPr="00070ADE">
        <w:rPr>
          <w:rFonts w:ascii="Times New Roman" w:hAnsi="Times New Roman"/>
          <w:iCs/>
          <w:color w:val="000000" w:themeColor="text1"/>
          <w:sz w:val="16"/>
          <w:szCs w:val="16"/>
        </w:rPr>
        <w:t xml:space="preserve">«крыло со стрелкой». </w:t>
      </w:r>
      <w:r w:rsidRPr="00070ADE">
        <w:rPr>
          <w:rFonts w:ascii="Times New Roman" w:hAnsi="Times New Roman"/>
          <w:color w:val="000000" w:themeColor="text1"/>
          <w:sz w:val="16"/>
          <w:szCs w:val="16"/>
        </w:rPr>
        <w:t xml:space="preserve">При этом авиазаводы № 1 и № 30 </w:t>
      </w:r>
      <w:r w:rsidRPr="00070ADE">
        <w:rPr>
          <w:rFonts w:ascii="Times New Roman" w:hAnsi="Times New Roman"/>
          <w:color w:val="000000" w:themeColor="text1"/>
          <w:sz w:val="16"/>
          <w:szCs w:val="16"/>
        </w:rPr>
        <w:lastRenderedPageBreak/>
        <w:t>выпускали са</w:t>
      </w:r>
      <w:r w:rsidRPr="00070ADE">
        <w:rPr>
          <w:rFonts w:ascii="Times New Roman" w:hAnsi="Times New Roman"/>
          <w:color w:val="000000" w:themeColor="text1"/>
          <w:sz w:val="16"/>
          <w:szCs w:val="16"/>
        </w:rPr>
        <w:softHyphen/>
        <w:t>молеты и с металлическим, и с дере</w:t>
      </w:r>
      <w:r w:rsidRPr="00070ADE">
        <w:rPr>
          <w:rFonts w:ascii="Times New Roman" w:hAnsi="Times New Roman"/>
          <w:color w:val="000000" w:themeColor="text1"/>
          <w:sz w:val="16"/>
          <w:szCs w:val="16"/>
        </w:rPr>
        <w:softHyphen/>
        <w:t>вянным крылом. Все самолеты имели «стандартное» для 1944 г. наступатель</w:t>
      </w:r>
      <w:r w:rsidRPr="00070ADE">
        <w:rPr>
          <w:rFonts w:ascii="Times New Roman" w:hAnsi="Times New Roman"/>
          <w:color w:val="000000" w:themeColor="text1"/>
          <w:sz w:val="16"/>
          <w:szCs w:val="16"/>
        </w:rPr>
        <w:softHyphen/>
        <w:t>ное вооружение: пушки ВЯ, пулеметы ШКАС, «эрэсы» и бомбы (11215).</w:t>
      </w:r>
    </w:p>
    <w:p w14:paraId="35169F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F56B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марта 1944 в 18.00 рапортовала руководству ин</w:t>
      </w:r>
      <w:r w:rsidRPr="00070ADE">
        <w:rPr>
          <w:rFonts w:ascii="Times New Roman" w:hAnsi="Times New Roman"/>
          <w:color w:val="000000" w:themeColor="text1"/>
          <w:sz w:val="16"/>
          <w:szCs w:val="16"/>
        </w:rPr>
        <w:softHyphen/>
        <w:t>ститута об успешном завершении го</w:t>
      </w:r>
      <w:r w:rsidRPr="00070ADE">
        <w:rPr>
          <w:rFonts w:ascii="Times New Roman" w:hAnsi="Times New Roman"/>
          <w:color w:val="000000" w:themeColor="text1"/>
          <w:sz w:val="16"/>
          <w:szCs w:val="16"/>
        </w:rPr>
        <w:softHyphen/>
        <w:t>сударственных испытаний Ил-АМ-42.</w:t>
      </w:r>
    </w:p>
    <w:p w14:paraId="452058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испытания Ил-АМ-42 (экз. № 1) продолжались в течение 31 календарного дня, из которых летных дней было всего 10, нелетных - 14. Еще 7 дней пришлось затратить на ремонт и доводку са</w:t>
      </w:r>
      <w:r w:rsidRPr="00070ADE">
        <w:rPr>
          <w:rFonts w:ascii="Times New Roman" w:hAnsi="Times New Roman"/>
          <w:color w:val="000000" w:themeColor="text1"/>
          <w:sz w:val="16"/>
          <w:szCs w:val="16"/>
        </w:rPr>
        <w:softHyphen/>
        <w:t>молета. В общей сложности было вы</w:t>
      </w:r>
      <w:r w:rsidRPr="00070ADE">
        <w:rPr>
          <w:rFonts w:ascii="Times New Roman" w:hAnsi="Times New Roman"/>
          <w:color w:val="000000" w:themeColor="text1"/>
          <w:sz w:val="16"/>
          <w:szCs w:val="16"/>
        </w:rPr>
        <w:softHyphen/>
        <w:t>полнено 44 полета с налетом 19 ч 30 мин.</w:t>
      </w:r>
    </w:p>
    <w:p w14:paraId="04F7E52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испытаний самолет обле</w:t>
      </w:r>
      <w:r w:rsidRPr="00070ADE">
        <w:rPr>
          <w:rFonts w:ascii="Times New Roman" w:hAnsi="Times New Roman"/>
          <w:color w:val="000000" w:themeColor="text1"/>
          <w:sz w:val="16"/>
          <w:szCs w:val="16"/>
        </w:rPr>
        <w:softHyphen/>
        <w:t>тали ведущий инженер-летчик 3-го от</w:t>
      </w:r>
      <w:r w:rsidRPr="00070ADE">
        <w:rPr>
          <w:rFonts w:ascii="Times New Roman" w:hAnsi="Times New Roman"/>
          <w:color w:val="000000" w:themeColor="text1"/>
          <w:sz w:val="16"/>
          <w:szCs w:val="16"/>
        </w:rPr>
        <w:softHyphen/>
        <w:t>дела НИИ ВВС инженер-майор А. В. Синельников, летчик-испытатель 4-го отдела м-р М. П. Субботин, стар</w:t>
      </w:r>
      <w:r w:rsidRPr="00070ADE">
        <w:rPr>
          <w:rFonts w:ascii="Times New Roman" w:hAnsi="Times New Roman"/>
          <w:color w:val="000000" w:themeColor="text1"/>
          <w:sz w:val="16"/>
          <w:szCs w:val="16"/>
        </w:rPr>
        <w:softHyphen/>
        <w:t>ший летчик-испытатель 3-го отдела м-р В. С. Журавлев и летчик испыта</w:t>
      </w:r>
      <w:r w:rsidRPr="00070ADE">
        <w:rPr>
          <w:rFonts w:ascii="Times New Roman" w:hAnsi="Times New Roman"/>
          <w:color w:val="000000" w:themeColor="text1"/>
          <w:sz w:val="16"/>
          <w:szCs w:val="16"/>
        </w:rPr>
        <w:softHyphen/>
        <w:t>тель п-п-к М. А. Нюхтиков. В каче</w:t>
      </w:r>
      <w:r w:rsidRPr="00070ADE">
        <w:rPr>
          <w:rFonts w:ascii="Times New Roman" w:hAnsi="Times New Roman"/>
          <w:color w:val="000000" w:themeColor="text1"/>
          <w:sz w:val="16"/>
          <w:szCs w:val="16"/>
        </w:rPr>
        <w:softHyphen/>
        <w:t>стве штурманов облета участвовали к-н Т. Ф. Горбунов, заместитель на</w:t>
      </w:r>
      <w:r w:rsidRPr="00070ADE">
        <w:rPr>
          <w:rFonts w:ascii="Times New Roman" w:hAnsi="Times New Roman"/>
          <w:color w:val="000000" w:themeColor="text1"/>
          <w:sz w:val="16"/>
          <w:szCs w:val="16"/>
        </w:rPr>
        <w:softHyphen/>
        <w:t>чальника 4-го отдела п-к Н. И. Шауров, помощник начальника 6-го от</w:t>
      </w:r>
      <w:r w:rsidRPr="00070ADE">
        <w:rPr>
          <w:rFonts w:ascii="Times New Roman" w:hAnsi="Times New Roman"/>
          <w:color w:val="000000" w:themeColor="text1"/>
          <w:sz w:val="16"/>
          <w:szCs w:val="16"/>
        </w:rPr>
        <w:softHyphen/>
        <w:t>дела к-н Васильев, штурман-испыта</w:t>
      </w:r>
      <w:r w:rsidRPr="00070ADE">
        <w:rPr>
          <w:rFonts w:ascii="Times New Roman" w:hAnsi="Times New Roman"/>
          <w:color w:val="000000" w:themeColor="text1"/>
          <w:sz w:val="16"/>
          <w:szCs w:val="16"/>
        </w:rPr>
        <w:softHyphen/>
        <w:t>тель к-н В. Н. Ковынев, штурман-ис</w:t>
      </w:r>
      <w:r w:rsidRPr="00070ADE">
        <w:rPr>
          <w:rFonts w:ascii="Times New Roman" w:hAnsi="Times New Roman"/>
          <w:color w:val="000000" w:themeColor="text1"/>
          <w:sz w:val="16"/>
          <w:szCs w:val="16"/>
        </w:rPr>
        <w:softHyphen/>
        <w:t>пытатель п-п-к Н. П. Цветков.</w:t>
      </w:r>
    </w:p>
    <w:p w14:paraId="351EFB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документов, само</w:t>
      </w:r>
      <w:r w:rsidRPr="00070ADE">
        <w:rPr>
          <w:rFonts w:ascii="Times New Roman" w:hAnsi="Times New Roman"/>
          <w:color w:val="000000" w:themeColor="text1"/>
          <w:sz w:val="16"/>
          <w:szCs w:val="16"/>
        </w:rPr>
        <w:softHyphen/>
        <w:t>лет проходил испытания в двух вари</w:t>
      </w:r>
      <w:r w:rsidRPr="00070ADE">
        <w:rPr>
          <w:rFonts w:ascii="Times New Roman" w:hAnsi="Times New Roman"/>
          <w:color w:val="000000" w:themeColor="text1"/>
          <w:sz w:val="16"/>
          <w:szCs w:val="16"/>
        </w:rPr>
        <w:softHyphen/>
        <w:t>антах: разведчика-корректировщика и штурмовика-бомбардировщика, ко</w:t>
      </w:r>
      <w:r w:rsidRPr="00070ADE">
        <w:rPr>
          <w:rFonts w:ascii="Times New Roman" w:hAnsi="Times New Roman"/>
          <w:color w:val="000000" w:themeColor="text1"/>
          <w:sz w:val="16"/>
          <w:szCs w:val="16"/>
        </w:rPr>
        <w:softHyphen/>
        <w:t>торые отличались друг от друга фак</w:t>
      </w:r>
      <w:r w:rsidRPr="00070ADE">
        <w:rPr>
          <w:rFonts w:ascii="Times New Roman" w:hAnsi="Times New Roman"/>
          <w:color w:val="000000" w:themeColor="text1"/>
          <w:sz w:val="16"/>
          <w:szCs w:val="16"/>
        </w:rPr>
        <w:softHyphen/>
        <w:t>тически только бомбовой нагрузкой и заправкой самолета горючим и маслом. Состав фото- и радиообо</w:t>
      </w:r>
      <w:r w:rsidRPr="00070ADE">
        <w:rPr>
          <w:rFonts w:ascii="Times New Roman" w:hAnsi="Times New Roman"/>
          <w:color w:val="000000" w:themeColor="text1"/>
          <w:sz w:val="16"/>
          <w:szCs w:val="16"/>
        </w:rPr>
        <w:softHyphen/>
        <w:t>рудования самолета в ходе испыта</w:t>
      </w:r>
      <w:r w:rsidRPr="00070ADE">
        <w:rPr>
          <w:rFonts w:ascii="Times New Roman" w:hAnsi="Times New Roman"/>
          <w:color w:val="000000" w:themeColor="text1"/>
          <w:sz w:val="16"/>
          <w:szCs w:val="16"/>
        </w:rPr>
        <w:softHyphen/>
        <w:t>ний оставался неизменным и соот</w:t>
      </w:r>
      <w:r w:rsidRPr="00070ADE">
        <w:rPr>
          <w:rFonts w:ascii="Times New Roman" w:hAnsi="Times New Roman"/>
          <w:color w:val="000000" w:themeColor="text1"/>
          <w:sz w:val="16"/>
          <w:szCs w:val="16"/>
        </w:rPr>
        <w:softHyphen/>
        <w:t>ветствовал "следопыту".</w:t>
      </w:r>
    </w:p>
    <w:p w14:paraId="009DCB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Стрелково-пушечное вооружение самолета в обоих вариантах назна</w:t>
      </w:r>
      <w:r w:rsidRPr="00070ADE">
        <w:rPr>
          <w:rFonts w:ascii="Times New Roman" w:hAnsi="Times New Roman"/>
          <w:color w:val="000000" w:themeColor="text1"/>
          <w:sz w:val="16"/>
          <w:szCs w:val="16"/>
        </w:rPr>
        <w:softHyphen/>
        <w:t>чения было одинаковым и включало две пушки ВЯ-23 (300 снарядов), два пулемета ШКАС (1500 патронов) и оборонительный пулемет УБК (3 дис</w:t>
      </w:r>
      <w:r w:rsidRPr="00070ADE">
        <w:rPr>
          <w:rFonts w:ascii="Times New Roman" w:hAnsi="Times New Roman"/>
          <w:color w:val="000000" w:themeColor="text1"/>
          <w:sz w:val="16"/>
          <w:szCs w:val="16"/>
        </w:rPr>
        <w:softHyphen/>
        <w:t>ка по 50 патронов) на ВУ-8. Ракет</w:t>
      </w:r>
      <w:r w:rsidRPr="00070ADE">
        <w:rPr>
          <w:rFonts w:ascii="Times New Roman" w:hAnsi="Times New Roman"/>
          <w:color w:val="000000" w:themeColor="text1"/>
          <w:sz w:val="16"/>
          <w:szCs w:val="16"/>
        </w:rPr>
        <w:softHyphen/>
        <w:t>ное вооружение не предусматрива</w:t>
      </w:r>
      <w:r w:rsidRPr="00070ADE">
        <w:rPr>
          <w:rFonts w:ascii="Times New Roman" w:hAnsi="Times New Roman"/>
          <w:color w:val="000000" w:themeColor="text1"/>
          <w:sz w:val="16"/>
          <w:szCs w:val="16"/>
        </w:rPr>
        <w:softHyphen/>
        <w:t>лось.</w:t>
      </w:r>
    </w:p>
    <w:p w14:paraId="408FB1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варианте штурмовика-бомбар</w:t>
      </w:r>
      <w:r w:rsidRPr="00070ADE">
        <w:rPr>
          <w:rFonts w:ascii="Times New Roman" w:hAnsi="Times New Roman"/>
          <w:color w:val="000000" w:themeColor="text1"/>
          <w:sz w:val="16"/>
          <w:szCs w:val="16"/>
        </w:rPr>
        <w:softHyphen/>
        <w:t>дировщика нормальный полетный вес устанавливался 7260 кг, в перегрузку - 7660 кг. Полезная нагрузка при нормальном полетном весе не пре</w:t>
      </w:r>
      <w:r w:rsidRPr="00070ADE">
        <w:rPr>
          <w:rFonts w:ascii="Times New Roman" w:hAnsi="Times New Roman"/>
          <w:color w:val="000000" w:themeColor="text1"/>
          <w:sz w:val="16"/>
          <w:szCs w:val="16"/>
        </w:rPr>
        <w:softHyphen/>
        <w:t>вышала 1995 кг и включала: экипаж - 180 кг, горючее - 670 кг, масло -65 кг, стрелково-пушечное вооруже</w:t>
      </w:r>
      <w:r w:rsidRPr="00070ADE">
        <w:rPr>
          <w:rFonts w:ascii="Times New Roman" w:hAnsi="Times New Roman"/>
          <w:color w:val="000000" w:themeColor="text1"/>
          <w:sz w:val="16"/>
          <w:szCs w:val="16"/>
        </w:rPr>
        <w:softHyphen/>
        <w:t>ние с боекомплектом — 420 кг, бом</w:t>
      </w:r>
      <w:r w:rsidRPr="00070ADE">
        <w:rPr>
          <w:rFonts w:ascii="Times New Roman" w:hAnsi="Times New Roman"/>
          <w:color w:val="000000" w:themeColor="text1"/>
          <w:sz w:val="16"/>
          <w:szCs w:val="16"/>
        </w:rPr>
        <w:softHyphen/>
        <w:t>бовая нагрузка — 600 кг, и съемное оборудование - 60 кг.</w:t>
      </w:r>
    </w:p>
    <w:p w14:paraId="63A90C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перегрузочном варианте допус</w:t>
      </w:r>
      <w:r w:rsidRPr="00070ADE">
        <w:rPr>
          <w:rFonts w:ascii="Times New Roman" w:hAnsi="Times New Roman"/>
          <w:color w:val="000000" w:themeColor="text1"/>
          <w:sz w:val="16"/>
          <w:szCs w:val="16"/>
        </w:rPr>
        <w:softHyphen/>
        <w:t>калась подвеска до 1000 кг бомб, в том числе на двух внешних узлах две бомбы типа ФАБ-500 или ВАП-250 или УХАП-250.</w:t>
      </w:r>
    </w:p>
    <w:p w14:paraId="6752E7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Полезная нагрузка в варианте "следопыта" ограничивалась 1460 кг и отличалась от штурмового вари</w:t>
      </w:r>
      <w:r w:rsidRPr="00070ADE">
        <w:rPr>
          <w:rFonts w:ascii="Times New Roman" w:hAnsi="Times New Roman"/>
          <w:color w:val="000000" w:themeColor="text1"/>
          <w:sz w:val="16"/>
          <w:szCs w:val="16"/>
        </w:rPr>
        <w:softHyphen/>
        <w:t>анта отсутствием бомбовой нагруз</w:t>
      </w:r>
      <w:r w:rsidRPr="00070ADE">
        <w:rPr>
          <w:rFonts w:ascii="Times New Roman" w:hAnsi="Times New Roman"/>
          <w:color w:val="000000" w:themeColor="text1"/>
          <w:sz w:val="16"/>
          <w:szCs w:val="16"/>
        </w:rPr>
        <w:softHyphen/>
        <w:t>ки и увеличенным до 120 кг весом съемного оборудования.</w:t>
      </w:r>
    </w:p>
    <w:p w14:paraId="729052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Поскольку состав съемного обо</w:t>
      </w:r>
      <w:r w:rsidRPr="00070ADE">
        <w:rPr>
          <w:rFonts w:ascii="Times New Roman" w:hAnsi="Times New Roman"/>
          <w:color w:val="000000" w:themeColor="text1"/>
          <w:sz w:val="16"/>
          <w:szCs w:val="16"/>
        </w:rPr>
        <w:softHyphen/>
        <w:t>рудования на самолете Ил-АМ-42 (экз. № 1) соответствовал варианту разведчика-корректировщика, то при загрузке 600 кг бомб и полной зап</w:t>
      </w:r>
      <w:r w:rsidRPr="00070ADE">
        <w:rPr>
          <w:rFonts w:ascii="Times New Roman" w:hAnsi="Times New Roman"/>
          <w:color w:val="000000" w:themeColor="text1"/>
          <w:sz w:val="16"/>
          <w:szCs w:val="16"/>
        </w:rPr>
        <w:softHyphen/>
        <w:t>равке горючим и маслом вес само</w:t>
      </w:r>
      <w:r w:rsidRPr="00070ADE">
        <w:rPr>
          <w:rFonts w:ascii="Times New Roman" w:hAnsi="Times New Roman"/>
          <w:color w:val="000000" w:themeColor="text1"/>
          <w:sz w:val="16"/>
          <w:szCs w:val="16"/>
        </w:rPr>
        <w:softHyphen/>
        <w:t>лета на 65 кг превышал нормальный полетный вес, установленный для штурмовика-бомбардировщика. По</w:t>
      </w:r>
      <w:r w:rsidRPr="00070ADE">
        <w:rPr>
          <w:rFonts w:ascii="Times New Roman" w:hAnsi="Times New Roman"/>
          <w:color w:val="000000" w:themeColor="text1"/>
          <w:sz w:val="16"/>
          <w:szCs w:val="16"/>
        </w:rPr>
        <w:softHyphen/>
        <w:t>этому при проведении полетов в ва</w:t>
      </w:r>
      <w:r w:rsidRPr="00070ADE">
        <w:rPr>
          <w:rFonts w:ascii="Times New Roman" w:hAnsi="Times New Roman"/>
          <w:color w:val="000000" w:themeColor="text1"/>
          <w:sz w:val="16"/>
          <w:szCs w:val="16"/>
        </w:rPr>
        <w:softHyphen/>
        <w:t>рианте штурмовика вес горючего уменьшался ровно на 65 кг.</w:t>
      </w:r>
    </w:p>
    <w:p w14:paraId="25C00E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АМ-42 на протяжении все</w:t>
      </w:r>
      <w:r w:rsidRPr="00070ADE">
        <w:rPr>
          <w:rFonts w:ascii="Times New Roman" w:hAnsi="Times New Roman"/>
          <w:color w:val="000000" w:themeColor="text1"/>
          <w:sz w:val="16"/>
          <w:szCs w:val="16"/>
        </w:rPr>
        <w:softHyphen/>
        <w:t>го времени испытаний работал с се</w:t>
      </w:r>
      <w:r w:rsidRPr="00070ADE">
        <w:rPr>
          <w:rFonts w:ascii="Times New Roman" w:hAnsi="Times New Roman"/>
          <w:color w:val="000000" w:themeColor="text1"/>
          <w:sz w:val="16"/>
          <w:szCs w:val="16"/>
        </w:rPr>
        <w:softHyphen/>
        <w:t>рьезными недостатками: дымление, тряска, непостоянство наддува на ре</w:t>
      </w:r>
      <w:r w:rsidRPr="00070ADE">
        <w:rPr>
          <w:rFonts w:ascii="Times New Roman" w:hAnsi="Times New Roman"/>
          <w:color w:val="000000" w:themeColor="text1"/>
          <w:sz w:val="16"/>
          <w:szCs w:val="16"/>
        </w:rPr>
        <w:softHyphen/>
        <w:t>жиме номинальной мощности, течь масла из-под уплотнения вала редук</w:t>
      </w:r>
      <w:r w:rsidRPr="00070ADE">
        <w:rPr>
          <w:rFonts w:ascii="Times New Roman" w:hAnsi="Times New Roman"/>
          <w:color w:val="000000" w:themeColor="text1"/>
          <w:sz w:val="16"/>
          <w:szCs w:val="16"/>
        </w:rPr>
        <w:softHyphen/>
        <w:t>тора мотора, из-под крышки блоков, из корпуса нагнетателя через дре</w:t>
      </w:r>
      <w:r w:rsidRPr="00070ADE">
        <w:rPr>
          <w:rFonts w:ascii="Times New Roman" w:hAnsi="Times New Roman"/>
          <w:color w:val="000000" w:themeColor="text1"/>
          <w:sz w:val="16"/>
          <w:szCs w:val="16"/>
        </w:rPr>
        <w:softHyphen/>
        <w:t>наж (после остановки мотора), а так</w:t>
      </w:r>
      <w:r w:rsidRPr="00070ADE">
        <w:rPr>
          <w:rFonts w:ascii="Times New Roman" w:hAnsi="Times New Roman"/>
          <w:color w:val="000000" w:themeColor="text1"/>
          <w:sz w:val="16"/>
          <w:szCs w:val="16"/>
        </w:rPr>
        <w:softHyphen/>
        <w:t>же засорение воздушных клапанов карбюраторов, быстрый износ пор</w:t>
      </w:r>
      <w:r w:rsidRPr="00070ADE">
        <w:rPr>
          <w:rFonts w:ascii="Times New Roman" w:hAnsi="Times New Roman"/>
          <w:color w:val="000000" w:themeColor="text1"/>
          <w:sz w:val="16"/>
          <w:szCs w:val="16"/>
        </w:rPr>
        <w:softHyphen/>
        <w:t>шневых колец и т.д. Отмечался и большой расход горючего на номи</w:t>
      </w:r>
      <w:r w:rsidRPr="00070ADE">
        <w:rPr>
          <w:rFonts w:ascii="Times New Roman" w:hAnsi="Times New Roman"/>
          <w:color w:val="000000" w:themeColor="text1"/>
          <w:sz w:val="16"/>
          <w:szCs w:val="16"/>
        </w:rPr>
        <w:softHyphen/>
        <w:t>нальном режиме работы мотора, который при контрольном полете 19 марта составил 295-315 гр/л.с.час.</w:t>
      </w:r>
    </w:p>
    <w:p w14:paraId="5408E1A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испытаний пришлось за</w:t>
      </w:r>
      <w:r w:rsidRPr="00070ADE">
        <w:rPr>
          <w:rFonts w:ascii="Times New Roman" w:hAnsi="Times New Roman"/>
          <w:color w:val="000000" w:themeColor="text1"/>
          <w:sz w:val="16"/>
          <w:szCs w:val="16"/>
        </w:rPr>
        <w:softHyphen/>
        <w:t>менить маслоуплотнитель носка вала редуктора мотора, регулятор давле</w:t>
      </w:r>
      <w:r w:rsidRPr="00070ADE">
        <w:rPr>
          <w:rFonts w:ascii="Times New Roman" w:hAnsi="Times New Roman"/>
          <w:color w:val="000000" w:themeColor="text1"/>
          <w:sz w:val="16"/>
          <w:szCs w:val="16"/>
        </w:rPr>
        <w:softHyphen/>
        <w:t>ния наддува, прокладки под всасы</w:t>
      </w:r>
      <w:r w:rsidRPr="00070ADE">
        <w:rPr>
          <w:rFonts w:ascii="Times New Roman" w:hAnsi="Times New Roman"/>
          <w:color w:val="000000" w:themeColor="text1"/>
          <w:sz w:val="16"/>
          <w:szCs w:val="16"/>
        </w:rPr>
        <w:softHyphen/>
        <w:t>вающими патрубками (для чего был демонтирован карбюратор), дважды заменили весь комплект свечей и один раз свечи внешнего ряда. Из-за течи по сварке трижды ремонти</w:t>
      </w:r>
      <w:r w:rsidRPr="00070ADE">
        <w:rPr>
          <w:rFonts w:ascii="Times New Roman" w:hAnsi="Times New Roman"/>
          <w:color w:val="000000" w:themeColor="text1"/>
          <w:sz w:val="16"/>
          <w:szCs w:val="16"/>
        </w:rPr>
        <w:softHyphen/>
        <w:t>ровались маслобаки и по одному разу водяная труба, подводящая ох</w:t>
      </w:r>
      <w:r w:rsidRPr="00070ADE">
        <w:rPr>
          <w:rFonts w:ascii="Times New Roman" w:hAnsi="Times New Roman"/>
          <w:color w:val="000000" w:themeColor="text1"/>
          <w:sz w:val="16"/>
          <w:szCs w:val="16"/>
        </w:rPr>
        <w:softHyphen/>
        <w:t>лаждающую воду к левому блоку ци</w:t>
      </w:r>
      <w:r w:rsidRPr="00070ADE">
        <w:rPr>
          <w:rFonts w:ascii="Times New Roman" w:hAnsi="Times New Roman"/>
          <w:color w:val="000000" w:themeColor="text1"/>
          <w:sz w:val="16"/>
          <w:szCs w:val="16"/>
        </w:rPr>
        <w:softHyphen/>
        <w:t>линдров мотора от помпы, и бензо-трубка, подводящая горючее к кар</w:t>
      </w:r>
      <w:r w:rsidRPr="00070ADE">
        <w:rPr>
          <w:rFonts w:ascii="Times New Roman" w:hAnsi="Times New Roman"/>
          <w:color w:val="000000" w:themeColor="text1"/>
          <w:sz w:val="16"/>
          <w:szCs w:val="16"/>
        </w:rPr>
        <w:softHyphen/>
        <w:t>бюраторам. Одновременно были от</w:t>
      </w:r>
      <w:r w:rsidRPr="00070ADE">
        <w:rPr>
          <w:rFonts w:ascii="Times New Roman" w:hAnsi="Times New Roman"/>
          <w:color w:val="000000" w:themeColor="text1"/>
          <w:sz w:val="16"/>
          <w:szCs w:val="16"/>
        </w:rPr>
        <w:softHyphen/>
        <w:t>ремонтированы все карбюраторы и коллекторы нагнетателя.</w:t>
      </w:r>
    </w:p>
    <w:p w14:paraId="73C68C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по устранению недостат</w:t>
      </w:r>
      <w:r w:rsidRPr="00070ADE">
        <w:rPr>
          <w:rFonts w:ascii="Times New Roman" w:hAnsi="Times New Roman"/>
          <w:color w:val="000000" w:themeColor="text1"/>
          <w:sz w:val="16"/>
          <w:szCs w:val="16"/>
        </w:rPr>
        <w:softHyphen/>
        <w:t>ков и дефектов выявили непродуман</w:t>
      </w:r>
      <w:r w:rsidRPr="00070ADE">
        <w:rPr>
          <w:rFonts w:ascii="Times New Roman" w:hAnsi="Times New Roman"/>
          <w:color w:val="000000" w:themeColor="text1"/>
          <w:sz w:val="16"/>
          <w:szCs w:val="16"/>
        </w:rPr>
        <w:softHyphen/>
        <w:t>ность конструкции винтомоторной группы с точки зрения удобства экс</w:t>
      </w:r>
      <w:r w:rsidRPr="00070ADE">
        <w:rPr>
          <w:rFonts w:ascii="Times New Roman" w:hAnsi="Times New Roman"/>
          <w:color w:val="000000" w:themeColor="text1"/>
          <w:sz w:val="16"/>
          <w:szCs w:val="16"/>
        </w:rPr>
        <w:softHyphen/>
        <w:t>плуатации. Например, для того, что</w:t>
      </w:r>
      <w:r w:rsidRPr="00070ADE">
        <w:rPr>
          <w:rFonts w:ascii="Times New Roman" w:hAnsi="Times New Roman"/>
          <w:color w:val="000000" w:themeColor="text1"/>
          <w:sz w:val="16"/>
          <w:szCs w:val="16"/>
        </w:rPr>
        <w:softHyphen/>
        <w:t>бы снять водяную трубку пришлось демонтировать блоки мотора, вых</w:t>
      </w:r>
      <w:r w:rsidRPr="00070ADE">
        <w:rPr>
          <w:rFonts w:ascii="Times New Roman" w:hAnsi="Times New Roman"/>
          <w:color w:val="000000" w:themeColor="text1"/>
          <w:sz w:val="16"/>
          <w:szCs w:val="16"/>
        </w:rPr>
        <w:softHyphen/>
        <w:t>лопные патрубки и левый маслобак, а затем установить их на свои мес</w:t>
      </w:r>
      <w:r w:rsidRPr="00070ADE">
        <w:rPr>
          <w:rFonts w:ascii="Times New Roman" w:hAnsi="Times New Roman"/>
          <w:color w:val="000000" w:themeColor="text1"/>
          <w:sz w:val="16"/>
          <w:szCs w:val="16"/>
        </w:rPr>
        <w:softHyphen/>
        <w:t>та. Замена трубопровода, подводя</w:t>
      </w:r>
      <w:r w:rsidRPr="00070ADE">
        <w:rPr>
          <w:rFonts w:ascii="Times New Roman" w:hAnsi="Times New Roman"/>
          <w:color w:val="000000" w:themeColor="text1"/>
          <w:sz w:val="16"/>
          <w:szCs w:val="16"/>
        </w:rPr>
        <w:softHyphen/>
        <w:t>щего горючее к карбюраторам, по</w:t>
      </w:r>
      <w:r w:rsidRPr="00070ADE">
        <w:rPr>
          <w:rFonts w:ascii="Times New Roman" w:hAnsi="Times New Roman"/>
          <w:color w:val="000000" w:themeColor="text1"/>
          <w:sz w:val="16"/>
          <w:szCs w:val="16"/>
        </w:rPr>
        <w:softHyphen/>
        <w:t>требовала полного демонтажа вса</w:t>
      </w:r>
      <w:r w:rsidRPr="00070ADE">
        <w:rPr>
          <w:rFonts w:ascii="Times New Roman" w:hAnsi="Times New Roman"/>
          <w:color w:val="000000" w:themeColor="text1"/>
          <w:sz w:val="16"/>
          <w:szCs w:val="16"/>
        </w:rPr>
        <w:softHyphen/>
        <w:t>сывающей трубы нагнетателя и кар</w:t>
      </w:r>
      <w:r w:rsidRPr="00070ADE">
        <w:rPr>
          <w:rFonts w:ascii="Times New Roman" w:hAnsi="Times New Roman"/>
          <w:color w:val="000000" w:themeColor="text1"/>
          <w:sz w:val="16"/>
          <w:szCs w:val="16"/>
        </w:rPr>
        <w:softHyphen/>
        <w:t>бюратора. Испытатели отмечали трудную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w:t>
      </w:r>
      <w:r w:rsidRPr="00070ADE">
        <w:rPr>
          <w:rFonts w:ascii="Times New Roman" w:hAnsi="Times New Roman"/>
          <w:color w:val="000000" w:themeColor="text1"/>
          <w:sz w:val="16"/>
          <w:szCs w:val="16"/>
        </w:rPr>
        <w:softHyphen/>
        <w:t>шую длину (без технологических разъемов), что серьезно усложняло их замену и ремонт.</w:t>
      </w:r>
    </w:p>
    <w:p w14:paraId="230159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общем, проблем с мотором хва</w:t>
      </w:r>
      <w:r w:rsidRPr="00070ADE">
        <w:rPr>
          <w:rFonts w:ascii="Times New Roman" w:hAnsi="Times New Roman"/>
          <w:color w:val="000000" w:themeColor="text1"/>
          <w:sz w:val="16"/>
          <w:szCs w:val="16"/>
        </w:rPr>
        <w:softHyphen/>
        <w:t>тало с избытком, но бригаде НИИ ВВС все же удалось отлетать про</w:t>
      </w:r>
      <w:r w:rsidRPr="00070ADE">
        <w:rPr>
          <w:rFonts w:ascii="Times New Roman" w:hAnsi="Times New Roman"/>
          <w:color w:val="000000" w:themeColor="text1"/>
          <w:sz w:val="16"/>
          <w:szCs w:val="16"/>
        </w:rPr>
        <w:softHyphen/>
        <w:t>грамму испытаний почти в полном объеме.</w:t>
      </w:r>
    </w:p>
    <w:p w14:paraId="05DC73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первую очередь определялись летно-технические данные Ил-АМ-42 (экз. № 1) в варианте штурмовика-бомбардировщика и только затем -в варианте разведчика-корректиров</w:t>
      </w:r>
      <w:r w:rsidRPr="00070ADE">
        <w:rPr>
          <w:rFonts w:ascii="Times New Roman" w:hAnsi="Times New Roman"/>
          <w:color w:val="000000" w:themeColor="text1"/>
          <w:sz w:val="16"/>
          <w:szCs w:val="16"/>
        </w:rPr>
        <w:softHyphen/>
        <w:t>щика. Как показали полеты, основ</w:t>
      </w:r>
      <w:r w:rsidRPr="00070ADE">
        <w:rPr>
          <w:rFonts w:ascii="Times New Roman" w:hAnsi="Times New Roman"/>
          <w:color w:val="000000" w:themeColor="text1"/>
          <w:sz w:val="16"/>
          <w:szCs w:val="16"/>
        </w:rPr>
        <w:softHyphen/>
        <w:t>ные данные нового самолета замет</w:t>
      </w:r>
      <w:r w:rsidRPr="00070ADE">
        <w:rPr>
          <w:rFonts w:ascii="Times New Roman" w:hAnsi="Times New Roman"/>
          <w:color w:val="000000" w:themeColor="text1"/>
          <w:sz w:val="16"/>
          <w:szCs w:val="16"/>
        </w:rPr>
        <w:softHyphen/>
        <w:t>но превосходили Ил-2, хотя, по мне</w:t>
      </w:r>
      <w:r w:rsidRPr="00070ADE">
        <w:rPr>
          <w:rFonts w:ascii="Times New Roman" w:hAnsi="Times New Roman"/>
          <w:color w:val="000000" w:themeColor="text1"/>
          <w:sz w:val="16"/>
          <w:szCs w:val="16"/>
        </w:rPr>
        <w:softHyphen/>
        <w:t>нию военных, уже не отвечали в пол</w:t>
      </w:r>
      <w:r w:rsidRPr="00070ADE">
        <w:rPr>
          <w:rFonts w:ascii="Times New Roman" w:hAnsi="Times New Roman"/>
          <w:color w:val="000000" w:themeColor="text1"/>
          <w:sz w:val="16"/>
          <w:szCs w:val="16"/>
        </w:rPr>
        <w:softHyphen/>
        <w:t>ном объеме современным требова</w:t>
      </w:r>
      <w:r w:rsidRPr="00070ADE">
        <w:rPr>
          <w:rFonts w:ascii="Times New Roman" w:hAnsi="Times New Roman"/>
          <w:color w:val="000000" w:themeColor="text1"/>
          <w:sz w:val="16"/>
          <w:szCs w:val="16"/>
        </w:rPr>
        <w:softHyphen/>
        <w:t>ниям.</w:t>
      </w:r>
    </w:p>
    <w:p w14:paraId="754A35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нормальном полетном весе 7260 кг (600 кг бомб на внутренней подвеске) максимальная скорость по</w:t>
      </w:r>
      <w:r w:rsidRPr="00070ADE">
        <w:rPr>
          <w:rFonts w:ascii="Times New Roman" w:hAnsi="Times New Roman"/>
          <w:color w:val="000000" w:themeColor="text1"/>
          <w:sz w:val="16"/>
          <w:szCs w:val="16"/>
        </w:rPr>
        <w:softHyphen/>
        <w:t>лета оказалась равной 472 км/ч на высоте 2500 м и 428 км/ч - у земли. Вертикальная скорость у земли не превышала 6,7 м/с, а на высоте 1000 м - 7 м/с. Разбег самолета с откло</w:t>
      </w:r>
      <w:r w:rsidRPr="00070ADE">
        <w:rPr>
          <w:rFonts w:ascii="Times New Roman" w:hAnsi="Times New Roman"/>
          <w:color w:val="000000" w:themeColor="text1"/>
          <w:sz w:val="16"/>
          <w:szCs w:val="16"/>
        </w:rPr>
        <w:softHyphen/>
        <w:t>ненными на 17° щитками и с форса</w:t>
      </w:r>
      <w:r w:rsidRPr="00070ADE">
        <w:rPr>
          <w:rFonts w:ascii="Times New Roman" w:hAnsi="Times New Roman"/>
          <w:color w:val="000000" w:themeColor="text1"/>
          <w:sz w:val="16"/>
          <w:szCs w:val="16"/>
        </w:rPr>
        <w:softHyphen/>
        <w:t>жем мотора составил 435 м. Пробег при посадочном весе 5900 кг с при</w:t>
      </w:r>
      <w:r w:rsidRPr="00070ADE">
        <w:rPr>
          <w:rFonts w:ascii="Times New Roman" w:hAnsi="Times New Roman"/>
          <w:color w:val="000000" w:themeColor="text1"/>
          <w:sz w:val="16"/>
          <w:szCs w:val="16"/>
        </w:rPr>
        <w:softHyphen/>
        <w:t>менением тормозов и отклонением щитков на 45° оказался в пределах 465 м. При этом посадочная скорость равнялась 136 км/ч.</w:t>
      </w:r>
    </w:p>
    <w:p w14:paraId="3AE8CA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Разведчик-корректировщик на всех высотах летал на 8 км/ч быст</w:t>
      </w:r>
      <w:r w:rsidRPr="00070ADE">
        <w:rPr>
          <w:rFonts w:ascii="Times New Roman" w:hAnsi="Times New Roman"/>
          <w:color w:val="000000" w:themeColor="text1"/>
          <w:sz w:val="16"/>
          <w:szCs w:val="16"/>
        </w:rPr>
        <w:softHyphen/>
        <w:t>рее штурмовика-бомбардировщика. Примерно на 22% была выше ско</w:t>
      </w:r>
      <w:r w:rsidRPr="00070ADE">
        <w:rPr>
          <w:rFonts w:ascii="Times New Roman" w:hAnsi="Times New Roman"/>
          <w:color w:val="000000" w:themeColor="text1"/>
          <w:sz w:val="16"/>
          <w:szCs w:val="16"/>
        </w:rPr>
        <w:softHyphen/>
        <w:t>роподъемность и на 11% горизон</w:t>
      </w:r>
      <w:r w:rsidRPr="00070ADE">
        <w:rPr>
          <w:rFonts w:ascii="Times New Roman" w:hAnsi="Times New Roman"/>
          <w:color w:val="000000" w:themeColor="text1"/>
          <w:sz w:val="16"/>
          <w:szCs w:val="16"/>
        </w:rPr>
        <w:softHyphen/>
        <w:t>тальная маневренность. Лучшими были и взлетно-посадочные характе</w:t>
      </w:r>
      <w:r w:rsidRPr="00070ADE">
        <w:rPr>
          <w:rFonts w:ascii="Times New Roman" w:hAnsi="Times New Roman"/>
          <w:color w:val="000000" w:themeColor="text1"/>
          <w:sz w:val="16"/>
          <w:szCs w:val="16"/>
        </w:rPr>
        <w:softHyphen/>
        <w:t>ристики. При этом из-за непостоян</w:t>
      </w:r>
      <w:r w:rsidRPr="00070ADE">
        <w:rPr>
          <w:rFonts w:ascii="Times New Roman" w:hAnsi="Times New Roman"/>
          <w:color w:val="000000" w:themeColor="text1"/>
          <w:sz w:val="16"/>
          <w:szCs w:val="16"/>
        </w:rPr>
        <w:softHyphen/>
        <w:t>ства наддува в полете при работе мотора, его тряски и выработки ре</w:t>
      </w:r>
      <w:r w:rsidRPr="00070ADE">
        <w:rPr>
          <w:rFonts w:ascii="Times New Roman" w:hAnsi="Times New Roman"/>
          <w:color w:val="000000" w:themeColor="text1"/>
          <w:sz w:val="16"/>
          <w:szCs w:val="16"/>
        </w:rPr>
        <w:softHyphen/>
        <w:t>сурса (к моменту начала полетов в варианте "следопыта" остаток ресур</w:t>
      </w:r>
      <w:r w:rsidRPr="00070ADE">
        <w:rPr>
          <w:rFonts w:ascii="Times New Roman" w:hAnsi="Times New Roman"/>
          <w:color w:val="000000" w:themeColor="text1"/>
          <w:sz w:val="16"/>
          <w:szCs w:val="16"/>
        </w:rPr>
        <w:softHyphen/>
        <w:t>са составлял 4-5 часов) измерить ско</w:t>
      </w:r>
      <w:r w:rsidRPr="00070ADE">
        <w:rPr>
          <w:rFonts w:ascii="Times New Roman" w:hAnsi="Times New Roman"/>
          <w:color w:val="000000" w:themeColor="text1"/>
          <w:sz w:val="16"/>
          <w:szCs w:val="16"/>
        </w:rPr>
        <w:softHyphen/>
        <w:t>роподъемность выше границы высот</w:t>
      </w:r>
      <w:r w:rsidRPr="00070ADE">
        <w:rPr>
          <w:rFonts w:ascii="Times New Roman" w:hAnsi="Times New Roman"/>
          <w:color w:val="000000" w:themeColor="text1"/>
          <w:sz w:val="16"/>
          <w:szCs w:val="16"/>
        </w:rPr>
        <w:softHyphen/>
        <w:t>ности не удалось.</w:t>
      </w:r>
    </w:p>
    <w:p w14:paraId="0FB57D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всех вариантах полетного веса центровка самолета (шасси вы</w:t>
      </w:r>
      <w:r w:rsidRPr="00070ADE">
        <w:rPr>
          <w:rFonts w:ascii="Times New Roman" w:hAnsi="Times New Roman"/>
          <w:color w:val="000000" w:themeColor="text1"/>
          <w:sz w:val="16"/>
          <w:szCs w:val="16"/>
        </w:rPr>
        <w:softHyphen/>
        <w:t>пущено) находилась в пределах от 19,9% САХ (пустой самолет) до 23,3% (перегрузочный вариант с 1000 кг бомб).</w:t>
      </w:r>
    </w:p>
    <w:p w14:paraId="409AED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техническая даль</w:t>
      </w:r>
      <w:r w:rsidRPr="00070ADE">
        <w:rPr>
          <w:rFonts w:ascii="Times New Roman" w:hAnsi="Times New Roman"/>
          <w:color w:val="000000" w:themeColor="text1"/>
          <w:sz w:val="16"/>
          <w:szCs w:val="16"/>
        </w:rPr>
        <w:softHyphen/>
        <w:t>ность полета на высоте 1000 м и ско</w:t>
      </w:r>
      <w:r w:rsidRPr="00070ADE">
        <w:rPr>
          <w:rFonts w:ascii="Times New Roman" w:hAnsi="Times New Roman"/>
          <w:color w:val="000000" w:themeColor="text1"/>
          <w:sz w:val="16"/>
          <w:szCs w:val="16"/>
        </w:rPr>
        <w:softHyphen/>
        <w:t>рости 308 км/ч составила 820 км -на 155 км больше дальности полета Ил-2 АМ-38ф. При этом отмечалось, что дальность полета второго экзем</w:t>
      </w:r>
      <w:r w:rsidRPr="00070ADE">
        <w:rPr>
          <w:rFonts w:ascii="Times New Roman" w:hAnsi="Times New Roman"/>
          <w:color w:val="000000" w:themeColor="text1"/>
          <w:sz w:val="16"/>
          <w:szCs w:val="16"/>
        </w:rPr>
        <w:softHyphen/>
        <w:t>пляра Ил-АМ-42, на котором уста</w:t>
      </w:r>
      <w:r w:rsidRPr="00070ADE">
        <w:rPr>
          <w:rFonts w:ascii="Times New Roman" w:hAnsi="Times New Roman"/>
          <w:color w:val="000000" w:themeColor="text1"/>
          <w:sz w:val="16"/>
          <w:szCs w:val="16"/>
        </w:rPr>
        <w:softHyphen/>
        <w:t>новлены бензобаки емкостью 1020 л, увеличится до 980 км.</w:t>
      </w:r>
    </w:p>
    <w:p w14:paraId="1293A5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своим пилотажным свойствам Ил-АМ-42 оказался достаточно про</w:t>
      </w:r>
      <w:r w:rsidRPr="00070ADE">
        <w:rPr>
          <w:rFonts w:ascii="Times New Roman" w:hAnsi="Times New Roman"/>
          <w:color w:val="000000" w:themeColor="text1"/>
          <w:sz w:val="16"/>
          <w:szCs w:val="16"/>
        </w:rPr>
        <w:softHyphen/>
        <w:t>стым и легким в управлении. В срав</w:t>
      </w:r>
      <w:r w:rsidRPr="00070ADE">
        <w:rPr>
          <w:rFonts w:ascii="Times New Roman" w:hAnsi="Times New Roman"/>
          <w:color w:val="000000" w:themeColor="text1"/>
          <w:sz w:val="16"/>
          <w:szCs w:val="16"/>
        </w:rPr>
        <w:softHyphen/>
        <w:t>нении с Ил-2 новый самолет обла</w:t>
      </w:r>
      <w:r w:rsidRPr="00070ADE">
        <w:rPr>
          <w:rFonts w:ascii="Times New Roman" w:hAnsi="Times New Roman"/>
          <w:color w:val="000000" w:themeColor="text1"/>
          <w:sz w:val="16"/>
          <w:szCs w:val="16"/>
        </w:rPr>
        <w:softHyphen/>
        <w:t>дал значительно лучшей продольной устойчивостью и управляемостью, что упростило технику пилотирования, особенно на виражах и бреющих по</w:t>
      </w:r>
      <w:r w:rsidRPr="00070ADE">
        <w:rPr>
          <w:rFonts w:ascii="Times New Roman" w:hAnsi="Times New Roman"/>
          <w:color w:val="000000" w:themeColor="text1"/>
          <w:sz w:val="16"/>
          <w:szCs w:val="16"/>
        </w:rPr>
        <w:softHyphen/>
        <w:t>летах. Летчики-испытатели отмечали, что Ил-АМ-42, в отличие от Ил-2, "на вираже позволяет значительно выби</w:t>
      </w:r>
      <w:r w:rsidRPr="00070ADE">
        <w:rPr>
          <w:rFonts w:ascii="Times New Roman" w:hAnsi="Times New Roman"/>
          <w:color w:val="000000" w:themeColor="text1"/>
          <w:sz w:val="16"/>
          <w:szCs w:val="16"/>
        </w:rPr>
        <w:softHyphen/>
        <w:t>рать ручку руля высоты на себя, для уменьшения радиуса виража". Пики</w:t>
      </w:r>
      <w:r w:rsidRPr="00070ADE">
        <w:rPr>
          <w:rFonts w:ascii="Times New Roman" w:hAnsi="Times New Roman"/>
          <w:color w:val="000000" w:themeColor="text1"/>
          <w:sz w:val="16"/>
          <w:szCs w:val="16"/>
        </w:rPr>
        <w:softHyphen/>
        <w:t>ровал самолет устойчиво. Просадка на выводе оказалась несколько боль</w:t>
      </w:r>
      <w:r w:rsidRPr="00070ADE">
        <w:rPr>
          <w:rFonts w:ascii="Times New Roman" w:hAnsi="Times New Roman"/>
          <w:color w:val="000000" w:themeColor="text1"/>
          <w:sz w:val="16"/>
          <w:szCs w:val="16"/>
        </w:rPr>
        <w:softHyphen/>
        <w:t>ше, чем у серийного Ил-2. Сила от</w:t>
      </w:r>
      <w:r w:rsidRPr="00070ADE">
        <w:rPr>
          <w:rFonts w:ascii="Times New Roman" w:hAnsi="Times New Roman"/>
          <w:color w:val="000000" w:themeColor="text1"/>
          <w:sz w:val="16"/>
          <w:szCs w:val="16"/>
        </w:rPr>
        <w:softHyphen/>
        <w:t>дачи при стрельбе из пушек почти не сказывалась на пилотировании самолетом и прицеливании. Манев</w:t>
      </w:r>
      <w:r w:rsidRPr="00070ADE">
        <w:rPr>
          <w:rFonts w:ascii="Times New Roman" w:hAnsi="Times New Roman"/>
          <w:color w:val="000000" w:themeColor="text1"/>
          <w:sz w:val="16"/>
          <w:szCs w:val="16"/>
        </w:rPr>
        <w:softHyphen/>
        <w:t>ренность Ил-АМ-42 в вертикальной и горизонтальной плоскости оказа</w:t>
      </w:r>
      <w:r w:rsidRPr="00070ADE">
        <w:rPr>
          <w:rFonts w:ascii="Times New Roman" w:hAnsi="Times New Roman"/>
          <w:color w:val="000000" w:themeColor="text1"/>
          <w:sz w:val="16"/>
          <w:szCs w:val="16"/>
        </w:rPr>
        <w:softHyphen/>
        <w:t>лась почти такой же, как у серийной "двойки", даже несколько хуже, и счи</w:t>
      </w:r>
      <w:r w:rsidRPr="00070ADE">
        <w:rPr>
          <w:rFonts w:ascii="Times New Roman" w:hAnsi="Times New Roman"/>
          <w:color w:val="000000" w:themeColor="text1"/>
          <w:sz w:val="16"/>
          <w:szCs w:val="16"/>
        </w:rPr>
        <w:softHyphen/>
        <w:t>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w:t>
      </w:r>
      <w:r w:rsidRPr="00070ADE">
        <w:rPr>
          <w:rFonts w:ascii="Times New Roman" w:hAnsi="Times New Roman"/>
          <w:color w:val="000000" w:themeColor="text1"/>
          <w:sz w:val="16"/>
          <w:szCs w:val="16"/>
        </w:rPr>
        <w:softHyphen/>
        <w:t>го состава для перехода с Ил-2 не требует", - указывалось в отчете по испытаниям.</w:t>
      </w:r>
    </w:p>
    <w:p w14:paraId="454C61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улучшения пилотажных ка</w:t>
      </w:r>
      <w:r w:rsidRPr="00070ADE">
        <w:rPr>
          <w:rFonts w:ascii="Times New Roman" w:hAnsi="Times New Roman"/>
          <w:color w:val="000000" w:themeColor="text1"/>
          <w:sz w:val="16"/>
          <w:szCs w:val="16"/>
        </w:rPr>
        <w:softHyphen/>
        <w:t>честв машины летчики предлагали на руль поворота установить триммер, а на элероны "наклепать ножи для регулировки от подваливания".</w:t>
      </w:r>
    </w:p>
    <w:p w14:paraId="1E3A80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Помимо неудовлетворительной работы мотора АМ-42, указывался и ряд других недостатков, отнесен</w:t>
      </w:r>
      <w:r w:rsidRPr="00070ADE">
        <w:rPr>
          <w:rFonts w:ascii="Times New Roman" w:hAnsi="Times New Roman"/>
          <w:color w:val="000000" w:themeColor="text1"/>
          <w:sz w:val="16"/>
          <w:szCs w:val="16"/>
        </w:rPr>
        <w:softHyphen/>
        <w:t>ных специалистами института к раз</w:t>
      </w:r>
      <w:r w:rsidRPr="00070ADE">
        <w:rPr>
          <w:rFonts w:ascii="Times New Roman" w:hAnsi="Times New Roman"/>
          <w:color w:val="000000" w:themeColor="text1"/>
          <w:sz w:val="16"/>
          <w:szCs w:val="16"/>
        </w:rPr>
        <w:softHyphen/>
        <w:t>ряду основных.</w:t>
      </w:r>
    </w:p>
    <w:p w14:paraId="456382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частности, для самолета боя представлялось обязательным нали</w:t>
      </w:r>
      <w:r w:rsidRPr="00070ADE">
        <w:rPr>
          <w:rFonts w:ascii="Times New Roman" w:hAnsi="Times New Roman"/>
          <w:color w:val="000000" w:themeColor="text1"/>
          <w:sz w:val="16"/>
          <w:szCs w:val="16"/>
        </w:rPr>
        <w:softHyphen/>
        <w:t>чие системы заполнения бензобаков нейтральным газом. На Ил-АМ-42 та</w:t>
      </w:r>
      <w:r w:rsidRPr="00070ADE">
        <w:rPr>
          <w:rFonts w:ascii="Times New Roman" w:hAnsi="Times New Roman"/>
          <w:color w:val="000000" w:themeColor="text1"/>
          <w:sz w:val="16"/>
          <w:szCs w:val="16"/>
        </w:rPr>
        <w:softHyphen/>
        <w:t>кая система имелась, но на государ</w:t>
      </w:r>
      <w:r w:rsidRPr="00070ADE">
        <w:rPr>
          <w:rFonts w:ascii="Times New Roman" w:hAnsi="Times New Roman"/>
          <w:color w:val="000000" w:themeColor="text1"/>
          <w:sz w:val="16"/>
          <w:szCs w:val="16"/>
        </w:rPr>
        <w:softHyphen/>
        <w:t>ственные испытания она не предъяв</w:t>
      </w:r>
      <w:r w:rsidRPr="00070ADE">
        <w:rPr>
          <w:rFonts w:ascii="Times New Roman" w:hAnsi="Times New Roman"/>
          <w:color w:val="000000" w:themeColor="text1"/>
          <w:sz w:val="16"/>
          <w:szCs w:val="16"/>
        </w:rPr>
        <w:softHyphen/>
        <w:t>лялась, так как не была доведена до рабочего состояния.</w:t>
      </w:r>
    </w:p>
    <w:p w14:paraId="158FBF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Схему бронирования Ил-АМ-42 специалисты НИИ ВВС оценили как не отвечающую современным требо</w:t>
      </w:r>
      <w:r w:rsidRPr="00070ADE">
        <w:rPr>
          <w:rFonts w:ascii="Times New Roman" w:hAnsi="Times New Roman"/>
          <w:color w:val="000000" w:themeColor="text1"/>
          <w:sz w:val="16"/>
          <w:szCs w:val="16"/>
        </w:rPr>
        <w:softHyphen/>
        <w:t>ваниям. Соответствующее заключе</w:t>
      </w:r>
      <w:r w:rsidRPr="00070ADE">
        <w:rPr>
          <w:rFonts w:ascii="Times New Roman" w:hAnsi="Times New Roman"/>
          <w:color w:val="000000" w:themeColor="text1"/>
          <w:sz w:val="16"/>
          <w:szCs w:val="16"/>
        </w:rPr>
        <w:softHyphen/>
        <w:t>ние начальник 8-го отдела институ</w:t>
      </w:r>
      <w:r w:rsidRPr="00070ADE">
        <w:rPr>
          <w:rFonts w:ascii="Times New Roman" w:hAnsi="Times New Roman"/>
          <w:color w:val="000000" w:themeColor="text1"/>
          <w:sz w:val="16"/>
          <w:szCs w:val="16"/>
        </w:rPr>
        <w:softHyphen/>
        <w:t>та инженер-полковник Лагутин утвер</w:t>
      </w:r>
      <w:r w:rsidRPr="00070ADE">
        <w:rPr>
          <w:rFonts w:ascii="Times New Roman" w:hAnsi="Times New Roman"/>
          <w:color w:val="000000" w:themeColor="text1"/>
          <w:sz w:val="16"/>
          <w:szCs w:val="16"/>
        </w:rPr>
        <w:softHyphen/>
        <w:t>дил 24 марта. В качестве особо уяз</w:t>
      </w:r>
      <w:r w:rsidRPr="00070ADE">
        <w:rPr>
          <w:rFonts w:ascii="Times New Roman" w:hAnsi="Times New Roman"/>
          <w:color w:val="000000" w:themeColor="text1"/>
          <w:sz w:val="16"/>
          <w:szCs w:val="16"/>
        </w:rPr>
        <w:softHyphen/>
        <w:t>вимых мест указывались задняя бро-неперегородка штурмана-стрелка (толщина 12 мм) и моторная часть снизу-сбоку (толщина 4 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w:t>
      </w:r>
      <w:r w:rsidRPr="00070ADE">
        <w:rPr>
          <w:rFonts w:ascii="Times New Roman" w:hAnsi="Times New Roman"/>
          <w:color w:val="000000" w:themeColor="text1"/>
          <w:sz w:val="16"/>
          <w:szCs w:val="16"/>
        </w:rPr>
        <w:softHyphen/>
        <w:t>мендовалось "снять с корпуса ...пе</w:t>
      </w:r>
      <w:r w:rsidRPr="00070ADE">
        <w:rPr>
          <w:rFonts w:ascii="Times New Roman" w:hAnsi="Times New Roman"/>
          <w:color w:val="000000" w:themeColor="text1"/>
          <w:sz w:val="16"/>
          <w:szCs w:val="16"/>
        </w:rPr>
        <w:softHyphen/>
        <w:t>редние броневые детали за втулкой винта, уменьшить с 5 до 2,5 мм тол</w:t>
      </w:r>
      <w:r w:rsidRPr="00070ADE">
        <w:rPr>
          <w:rFonts w:ascii="Times New Roman" w:hAnsi="Times New Roman"/>
          <w:color w:val="000000" w:themeColor="text1"/>
          <w:sz w:val="16"/>
          <w:szCs w:val="16"/>
        </w:rPr>
        <w:softHyphen/>
        <w:t>щину деталей пояса кабины летчика в местах примыкания крыла к фюзе</w:t>
      </w:r>
      <w:r w:rsidRPr="00070ADE">
        <w:rPr>
          <w:rFonts w:ascii="Times New Roman" w:hAnsi="Times New Roman"/>
          <w:color w:val="000000" w:themeColor="text1"/>
          <w:sz w:val="16"/>
          <w:szCs w:val="16"/>
        </w:rPr>
        <w:softHyphen/>
        <w:t>ляжу". Кроме этого, требовалось заднюю перегородку штурмана устано</w:t>
      </w:r>
      <w:r w:rsidRPr="00070ADE">
        <w:rPr>
          <w:rFonts w:ascii="Times New Roman" w:hAnsi="Times New Roman"/>
          <w:color w:val="000000" w:themeColor="text1"/>
          <w:sz w:val="16"/>
          <w:szCs w:val="16"/>
        </w:rPr>
        <w:softHyphen/>
        <w:t>вить по образцу 2-го экземпляра Ил-АМ-42, то есть, сделать экраниро</w:t>
      </w:r>
      <w:r w:rsidRPr="00070ADE">
        <w:rPr>
          <w:rFonts w:ascii="Times New Roman" w:hAnsi="Times New Roman"/>
          <w:color w:val="000000" w:themeColor="text1"/>
          <w:sz w:val="16"/>
          <w:szCs w:val="16"/>
        </w:rPr>
        <w:softHyphen/>
        <w:t>ванной - две бронеплиты по 8 мм, и обеспечить защиту головы штурма</w:t>
      </w:r>
      <w:r w:rsidRPr="00070ADE">
        <w:rPr>
          <w:rFonts w:ascii="Times New Roman" w:hAnsi="Times New Roman"/>
          <w:color w:val="000000" w:themeColor="text1"/>
          <w:sz w:val="16"/>
          <w:szCs w:val="16"/>
        </w:rPr>
        <w:softHyphen/>
        <w:t>на бронестеклом.</w:t>
      </w:r>
    </w:p>
    <w:p w14:paraId="46C1EA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тоже время отмечалось, что обе кабины - летчика и штурмана-стрел</w:t>
      </w:r>
      <w:r w:rsidRPr="00070ADE">
        <w:rPr>
          <w:rFonts w:ascii="Times New Roman" w:hAnsi="Times New Roman"/>
          <w:color w:val="000000" w:themeColor="text1"/>
          <w:sz w:val="16"/>
          <w:szCs w:val="16"/>
        </w:rPr>
        <w:softHyphen/>
        <w:t>ка, в сравнении с Ил-2 имели увели</w:t>
      </w:r>
      <w:r w:rsidRPr="00070ADE">
        <w:rPr>
          <w:rFonts w:ascii="Times New Roman" w:hAnsi="Times New Roman"/>
          <w:color w:val="000000" w:themeColor="text1"/>
          <w:sz w:val="16"/>
          <w:szCs w:val="16"/>
        </w:rPr>
        <w:softHyphen/>
        <w:t>ченные размеры, что улучшало ус</w:t>
      </w:r>
      <w:r w:rsidRPr="00070ADE">
        <w:rPr>
          <w:rFonts w:ascii="Times New Roman" w:hAnsi="Times New Roman"/>
          <w:color w:val="000000" w:themeColor="text1"/>
          <w:sz w:val="16"/>
          <w:szCs w:val="16"/>
        </w:rPr>
        <w:softHyphen/>
        <w:t>ловия боевой работы экипажа. В кабине штурмана-стрелка вместо брезентовой ленты как на Ил-2 ус</w:t>
      </w:r>
      <w:r w:rsidRPr="00070ADE">
        <w:rPr>
          <w:rFonts w:ascii="Times New Roman" w:hAnsi="Times New Roman"/>
          <w:color w:val="000000" w:themeColor="text1"/>
          <w:sz w:val="16"/>
          <w:szCs w:val="16"/>
        </w:rPr>
        <w:softHyphen/>
        <w:t>танавливалось постоянное откидное сиденье. Штурман облета к-н Т. Ф. Горбунов отмечал, что в кабине "теп</w:t>
      </w:r>
      <w:r w:rsidRPr="00070ADE">
        <w:rPr>
          <w:rFonts w:ascii="Times New Roman" w:hAnsi="Times New Roman"/>
          <w:color w:val="000000" w:themeColor="text1"/>
          <w:sz w:val="16"/>
          <w:szCs w:val="16"/>
        </w:rPr>
        <w:softHyphen/>
        <w:t>ло, задуваний нет, можно работать без летных очков". Посадка в каби</w:t>
      </w:r>
      <w:r w:rsidRPr="00070ADE">
        <w:rPr>
          <w:rFonts w:ascii="Times New Roman" w:hAnsi="Times New Roman"/>
          <w:color w:val="000000" w:themeColor="text1"/>
          <w:sz w:val="16"/>
          <w:szCs w:val="16"/>
        </w:rPr>
        <w:softHyphen/>
        <w:t>ну через нижний люк в бронекорпу-се была признана удобной. В ава</w:t>
      </w:r>
      <w:r w:rsidRPr="00070ADE">
        <w:rPr>
          <w:rFonts w:ascii="Times New Roman" w:hAnsi="Times New Roman"/>
          <w:color w:val="000000" w:themeColor="text1"/>
          <w:sz w:val="16"/>
          <w:szCs w:val="16"/>
        </w:rPr>
        <w:softHyphen/>
        <w:t>рийной ситуации штурман легко по</w:t>
      </w:r>
      <w:r w:rsidRPr="00070ADE">
        <w:rPr>
          <w:rFonts w:ascii="Times New Roman" w:hAnsi="Times New Roman"/>
          <w:color w:val="000000" w:themeColor="text1"/>
          <w:sz w:val="16"/>
          <w:szCs w:val="16"/>
        </w:rPr>
        <w:softHyphen/>
        <w:t>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183F5B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достоинству машины было от</w:t>
      </w:r>
      <w:r w:rsidRPr="00070ADE">
        <w:rPr>
          <w:rFonts w:ascii="Times New Roman" w:hAnsi="Times New Roman"/>
          <w:color w:val="000000" w:themeColor="text1"/>
          <w:sz w:val="16"/>
          <w:szCs w:val="16"/>
        </w:rPr>
        <w:softHyphen/>
        <w:t>несено применение электрической системы управления заслонками водо- и маслорадиаторов, а также пневмоэлектрической системы управ</w:t>
      </w:r>
      <w:r w:rsidRPr="00070ADE">
        <w:rPr>
          <w:rFonts w:ascii="Times New Roman" w:hAnsi="Times New Roman"/>
          <w:color w:val="000000" w:themeColor="text1"/>
          <w:sz w:val="16"/>
          <w:szCs w:val="16"/>
        </w:rPr>
        <w:softHyphen/>
        <w:t>ления огнем и перезарядки стрелко-во-пушечного вооружения, посколь</w:t>
      </w:r>
      <w:r w:rsidRPr="00070ADE">
        <w:rPr>
          <w:rFonts w:ascii="Times New Roman" w:hAnsi="Times New Roman"/>
          <w:color w:val="000000" w:themeColor="text1"/>
          <w:sz w:val="16"/>
          <w:szCs w:val="16"/>
        </w:rPr>
        <w:softHyphen/>
        <w:t>ку это сильно облегчало работу лет</w:t>
      </w:r>
      <w:r w:rsidRPr="00070ADE">
        <w:rPr>
          <w:rFonts w:ascii="Times New Roman" w:hAnsi="Times New Roman"/>
          <w:color w:val="000000" w:themeColor="text1"/>
          <w:sz w:val="16"/>
          <w:szCs w:val="16"/>
        </w:rPr>
        <w:softHyphen/>
        <w:t>чика в бою.</w:t>
      </w:r>
    </w:p>
    <w:p w14:paraId="51AB54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Положительно оценили военные летчики и наличие легкосъемного кронштейна прицела ПБП-16, уста</w:t>
      </w:r>
      <w:r w:rsidRPr="00070ADE">
        <w:rPr>
          <w:rFonts w:ascii="Times New Roman" w:hAnsi="Times New Roman"/>
          <w:color w:val="000000" w:themeColor="text1"/>
          <w:sz w:val="16"/>
          <w:szCs w:val="16"/>
        </w:rPr>
        <w:softHyphen/>
        <w:t>новленного в кабине пилота. Это обеспечивало летчику дополнитель</w:t>
      </w:r>
      <w:r w:rsidRPr="00070ADE">
        <w:rPr>
          <w:rFonts w:ascii="Times New Roman" w:hAnsi="Times New Roman"/>
          <w:color w:val="000000" w:themeColor="text1"/>
          <w:sz w:val="16"/>
          <w:szCs w:val="16"/>
        </w:rPr>
        <w:softHyphen/>
        <w:t>ную безопасность при посадке с убранными шасси. Как известно, на Ил-2 ранних серий летчики часто уда</w:t>
      </w:r>
      <w:r w:rsidRPr="00070ADE">
        <w:rPr>
          <w:rFonts w:ascii="Times New Roman" w:hAnsi="Times New Roman"/>
          <w:color w:val="000000" w:themeColor="text1"/>
          <w:sz w:val="16"/>
          <w:szCs w:val="16"/>
        </w:rPr>
        <w:softHyphen/>
        <w:t>рялись о прицел ПБП-16 головой во время вынужденных посадок, что не</w:t>
      </w:r>
      <w:r w:rsidRPr="00070ADE">
        <w:rPr>
          <w:rFonts w:ascii="Times New Roman" w:hAnsi="Times New Roman"/>
          <w:color w:val="000000" w:themeColor="text1"/>
          <w:sz w:val="16"/>
          <w:szCs w:val="16"/>
        </w:rPr>
        <w:softHyphen/>
        <w:t>редко приводило к серьезным трав</w:t>
      </w:r>
      <w:r w:rsidRPr="00070ADE">
        <w:rPr>
          <w:rFonts w:ascii="Times New Roman" w:hAnsi="Times New Roman"/>
          <w:color w:val="000000" w:themeColor="text1"/>
          <w:sz w:val="16"/>
          <w:szCs w:val="16"/>
        </w:rPr>
        <w:softHyphen/>
        <w:t>мам, а в ряде случаев - и к смер</w:t>
      </w:r>
      <w:r w:rsidRPr="00070ADE">
        <w:rPr>
          <w:rFonts w:ascii="Times New Roman" w:hAnsi="Times New Roman"/>
          <w:color w:val="000000" w:themeColor="text1"/>
          <w:sz w:val="16"/>
          <w:szCs w:val="16"/>
        </w:rPr>
        <w:softHyphen/>
        <w:t>тельным исходам. По этим причи</w:t>
      </w:r>
      <w:r w:rsidRPr="00070ADE">
        <w:rPr>
          <w:rFonts w:ascii="Times New Roman" w:hAnsi="Times New Roman"/>
          <w:color w:val="000000" w:themeColor="text1"/>
          <w:sz w:val="16"/>
          <w:szCs w:val="16"/>
        </w:rPr>
        <w:softHyphen/>
        <w:t>нам по настоянию летного состава ПБП-1 б в полках снимался, а в 1942 г. вместо него на Ил-2 стал устанав</w:t>
      </w:r>
      <w:r w:rsidRPr="00070ADE">
        <w:rPr>
          <w:rFonts w:ascii="Times New Roman" w:hAnsi="Times New Roman"/>
          <w:color w:val="000000" w:themeColor="text1"/>
          <w:sz w:val="16"/>
          <w:szCs w:val="16"/>
        </w:rPr>
        <w:softHyphen/>
        <w:t>ливаться механический прицел ВВ-1.</w:t>
      </w:r>
    </w:p>
    <w:p w14:paraId="34E04A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Бомбовое вооружение штурмови</w:t>
      </w:r>
      <w:r w:rsidRPr="00070ADE">
        <w:rPr>
          <w:rFonts w:ascii="Times New Roman" w:hAnsi="Times New Roman"/>
          <w:color w:val="000000" w:themeColor="text1"/>
          <w:sz w:val="16"/>
          <w:szCs w:val="16"/>
        </w:rPr>
        <w:softHyphen/>
        <w:t>ка-бомбардировщика Ил-АМ-42 по номенклатуре бомб и весу в целом соответствовало требованиям войны. Бомбометание допускалось как с го</w:t>
      </w:r>
      <w:r w:rsidRPr="00070ADE">
        <w:rPr>
          <w:rFonts w:ascii="Times New Roman" w:hAnsi="Times New Roman"/>
          <w:color w:val="000000" w:themeColor="text1"/>
          <w:sz w:val="16"/>
          <w:szCs w:val="16"/>
        </w:rPr>
        <w:softHyphen/>
        <w:t>ризонтального полета, так и с пики</w:t>
      </w:r>
      <w:r w:rsidRPr="00070ADE">
        <w:rPr>
          <w:rFonts w:ascii="Times New Roman" w:hAnsi="Times New Roman"/>
          <w:color w:val="000000" w:themeColor="text1"/>
          <w:sz w:val="16"/>
          <w:szCs w:val="16"/>
        </w:rPr>
        <w:softHyphen/>
        <w:t>рования, но под углами не более 25-30°, хотя на испытаниях самолет пи</w:t>
      </w:r>
      <w:r w:rsidRPr="00070ADE">
        <w:rPr>
          <w:rFonts w:ascii="Times New Roman" w:hAnsi="Times New Roman"/>
          <w:color w:val="000000" w:themeColor="text1"/>
          <w:sz w:val="16"/>
          <w:szCs w:val="16"/>
        </w:rPr>
        <w:softHyphen/>
        <w:t>кировал до 40° без каких либо на</w:t>
      </w:r>
      <w:r w:rsidRPr="00070ADE">
        <w:rPr>
          <w:rFonts w:ascii="Times New Roman" w:hAnsi="Times New Roman"/>
          <w:color w:val="000000" w:themeColor="text1"/>
          <w:sz w:val="16"/>
          <w:szCs w:val="16"/>
        </w:rPr>
        <w:softHyphen/>
      </w:r>
      <w:r w:rsidRPr="00070ADE">
        <w:rPr>
          <w:rFonts w:ascii="Times New Roman" w:hAnsi="Times New Roman"/>
          <w:color w:val="000000" w:themeColor="text1"/>
          <w:sz w:val="16"/>
          <w:szCs w:val="16"/>
        </w:rPr>
        <w:lastRenderedPageBreak/>
        <w:t>реканий. Для бомбометания с гори</w:t>
      </w:r>
      <w:r w:rsidRPr="00070ADE">
        <w:rPr>
          <w:rFonts w:ascii="Times New Roman" w:hAnsi="Times New Roman"/>
          <w:color w:val="000000" w:themeColor="text1"/>
          <w:sz w:val="16"/>
          <w:szCs w:val="16"/>
        </w:rPr>
        <w:softHyphen/>
        <w:t>зонтального полета предназначался прицел ОПБ-1р. Сброс бомб мог осуществляться и штурманом, и лет</w:t>
      </w:r>
      <w:r w:rsidRPr="00070ADE">
        <w:rPr>
          <w:rFonts w:ascii="Times New Roman" w:hAnsi="Times New Roman"/>
          <w:color w:val="000000" w:themeColor="text1"/>
          <w:sz w:val="16"/>
          <w:szCs w:val="16"/>
        </w:rPr>
        <w:softHyphen/>
        <w:t>чиком. Однако прицельно сбросить бомбы ни тот, ни другой не могли. Из-за плохого обзора передней по</w:t>
      </w:r>
      <w:r w:rsidRPr="00070ADE">
        <w:rPr>
          <w:rFonts w:ascii="Times New Roman" w:hAnsi="Times New Roman"/>
          <w:color w:val="000000" w:themeColor="text1"/>
          <w:sz w:val="16"/>
          <w:szCs w:val="16"/>
        </w:rPr>
        <w:softHyphen/>
        <w:t>лусферы штурман без помощи летчика не может вывести самолет на нехарактерную цель "(объект удара), то есть "заранее найти цель, опоз</w:t>
      </w:r>
      <w:r w:rsidRPr="00070ADE">
        <w:rPr>
          <w:rFonts w:ascii="Times New Roman" w:hAnsi="Times New Roman"/>
          <w:color w:val="000000" w:themeColor="text1"/>
          <w:sz w:val="16"/>
          <w:szCs w:val="16"/>
        </w:rPr>
        <w:softHyphen/>
        <w:t>нать ее, а затем осуществить навод</w:t>
      </w:r>
      <w:r w:rsidRPr="00070ADE">
        <w:rPr>
          <w:rFonts w:ascii="Times New Roman" w:hAnsi="Times New Roman"/>
          <w:color w:val="000000" w:themeColor="text1"/>
          <w:sz w:val="16"/>
          <w:szCs w:val="16"/>
        </w:rPr>
        <w:softHyphen/>
        <w:t>ку". Как отмечалось в отчете, "вы</w:t>
      </w:r>
      <w:r w:rsidRPr="00070ADE">
        <w:rPr>
          <w:rFonts w:ascii="Times New Roman" w:hAnsi="Times New Roman"/>
          <w:color w:val="000000" w:themeColor="text1"/>
          <w:sz w:val="16"/>
          <w:szCs w:val="16"/>
        </w:rPr>
        <w:softHyphen/>
        <w:t>полнить все это через прицел не представляется возможным". В свою очередь, "вследствие неудовлетвори</w:t>
      </w:r>
      <w:r w:rsidRPr="00070ADE">
        <w:rPr>
          <w:rFonts w:ascii="Times New Roman" w:hAnsi="Times New Roman"/>
          <w:color w:val="000000" w:themeColor="text1"/>
          <w:sz w:val="16"/>
          <w:szCs w:val="16"/>
        </w:rPr>
        <w:softHyphen/>
        <w:t>тельного качества прицельных уст</w:t>
      </w:r>
      <w:r w:rsidRPr="00070ADE">
        <w:rPr>
          <w:rFonts w:ascii="Times New Roman" w:hAnsi="Times New Roman"/>
          <w:color w:val="000000" w:themeColor="text1"/>
          <w:sz w:val="16"/>
          <w:szCs w:val="16"/>
        </w:rPr>
        <w:softHyphen/>
        <w:t>ройств" летчик мог прицеливаться и бомбить "с горизонта" лишь по наи</w:t>
      </w:r>
      <w:r w:rsidRPr="00070ADE">
        <w:rPr>
          <w:rFonts w:ascii="Times New Roman" w:hAnsi="Times New Roman"/>
          <w:color w:val="000000" w:themeColor="text1"/>
          <w:sz w:val="16"/>
          <w:szCs w:val="16"/>
        </w:rPr>
        <w:softHyphen/>
        <w:t>тию. Фактически получалось так, что при бомбометании с горизонтально</w:t>
      </w:r>
      <w:r w:rsidRPr="00070ADE">
        <w:rPr>
          <w:rFonts w:ascii="Times New Roman" w:hAnsi="Times New Roman"/>
          <w:color w:val="000000" w:themeColor="text1"/>
          <w:sz w:val="16"/>
          <w:szCs w:val="16"/>
        </w:rPr>
        <w:softHyphen/>
        <w:t>го полета наводку на цель и выход на боевой курс должен был выпол</w:t>
      </w:r>
      <w:r w:rsidRPr="00070ADE">
        <w:rPr>
          <w:rFonts w:ascii="Times New Roman" w:hAnsi="Times New Roman"/>
          <w:color w:val="000000" w:themeColor="text1"/>
          <w:sz w:val="16"/>
          <w:szCs w:val="16"/>
        </w:rPr>
        <w:softHyphen/>
        <w:t>нять непосредственно летчик, а при</w:t>
      </w:r>
      <w:r w:rsidRPr="00070ADE">
        <w:rPr>
          <w:rFonts w:ascii="Times New Roman" w:hAnsi="Times New Roman"/>
          <w:color w:val="000000" w:themeColor="text1"/>
          <w:sz w:val="16"/>
          <w:szCs w:val="16"/>
        </w:rPr>
        <w:softHyphen/>
        <w:t>целивание — штурман, "что требует соответствующей методической про</w:t>
      </w:r>
      <w:r w:rsidRPr="00070ADE">
        <w:rPr>
          <w:rFonts w:ascii="Times New Roman" w:hAnsi="Times New Roman"/>
          <w:color w:val="000000" w:themeColor="text1"/>
          <w:sz w:val="16"/>
          <w:szCs w:val="16"/>
        </w:rPr>
        <w:softHyphen/>
        <w:t>работки".</w:t>
      </w:r>
    </w:p>
    <w:p w14:paraId="1BA86B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бомбовый прицел штурмана в полете нещадно забрыз</w:t>
      </w:r>
      <w:r w:rsidRPr="00070ADE">
        <w:rPr>
          <w:rFonts w:ascii="Times New Roman" w:hAnsi="Times New Roman"/>
          <w:color w:val="000000" w:themeColor="text1"/>
          <w:sz w:val="16"/>
          <w:szCs w:val="16"/>
        </w:rPr>
        <w:softHyphen/>
        <w:t>гивался маслом, которое выбивалось из-под уплотнительного кольца втул</w:t>
      </w:r>
      <w:r w:rsidRPr="00070ADE">
        <w:rPr>
          <w:rFonts w:ascii="Times New Roman" w:hAnsi="Times New Roman"/>
          <w:color w:val="000000" w:themeColor="text1"/>
          <w:sz w:val="16"/>
          <w:szCs w:val="16"/>
        </w:rPr>
        <w:softHyphen/>
        <w:t>ки винта и носка коленчатого вала мотора. По этим причинам в первом же полете на испытание бомбового вооружения 9 марта штурман к-н Т. Ф. Горбунов был вынужден сбросить все бомбы залпом не прицельно за один заход. Для предохранения при</w:t>
      </w:r>
      <w:r w:rsidRPr="00070ADE">
        <w:rPr>
          <w:rFonts w:ascii="Times New Roman" w:hAnsi="Times New Roman"/>
          <w:color w:val="000000" w:themeColor="text1"/>
          <w:sz w:val="16"/>
          <w:szCs w:val="16"/>
        </w:rPr>
        <w:softHyphen/>
        <w:t>цела от попадания масла на заводе № 240 был изготовлен и затем ус</w:t>
      </w:r>
      <w:r w:rsidRPr="00070ADE">
        <w:rPr>
          <w:rFonts w:ascii="Times New Roman" w:hAnsi="Times New Roman"/>
          <w:color w:val="000000" w:themeColor="text1"/>
          <w:sz w:val="16"/>
          <w:szCs w:val="16"/>
        </w:rPr>
        <w:softHyphen/>
        <w:t>тановлен на самолет специальный щиток. Установка щитка положение не улучшило — оптика забрызгива</w:t>
      </w:r>
      <w:r w:rsidRPr="00070ADE">
        <w:rPr>
          <w:rFonts w:ascii="Times New Roman" w:hAnsi="Times New Roman"/>
          <w:color w:val="000000" w:themeColor="text1"/>
          <w:sz w:val="16"/>
          <w:szCs w:val="16"/>
        </w:rPr>
        <w:softHyphen/>
        <w:t>лась маслом. Прицельное бомбоме</w:t>
      </w:r>
      <w:r w:rsidRPr="00070ADE">
        <w:rPr>
          <w:rFonts w:ascii="Times New Roman" w:hAnsi="Times New Roman"/>
          <w:color w:val="000000" w:themeColor="text1"/>
          <w:sz w:val="16"/>
          <w:szCs w:val="16"/>
        </w:rPr>
        <w:softHyphen/>
        <w:t>тание, по-прежнему, оставалось не</w:t>
      </w:r>
      <w:r w:rsidRPr="00070ADE">
        <w:rPr>
          <w:rFonts w:ascii="Times New Roman" w:hAnsi="Times New Roman"/>
          <w:color w:val="000000" w:themeColor="text1"/>
          <w:sz w:val="16"/>
          <w:szCs w:val="16"/>
        </w:rPr>
        <w:softHyphen/>
        <w:t>возможным. В испытательном поле</w:t>
      </w:r>
      <w:r w:rsidRPr="00070ADE">
        <w:rPr>
          <w:rFonts w:ascii="Times New Roman" w:hAnsi="Times New Roman"/>
          <w:color w:val="000000" w:themeColor="text1"/>
          <w:sz w:val="16"/>
          <w:szCs w:val="16"/>
        </w:rPr>
        <w:softHyphen/>
        <w:t>те 19 марта с установленным щит</w:t>
      </w:r>
      <w:r w:rsidRPr="00070ADE">
        <w:rPr>
          <w:rFonts w:ascii="Times New Roman" w:hAnsi="Times New Roman"/>
          <w:color w:val="000000" w:themeColor="text1"/>
          <w:sz w:val="16"/>
          <w:szCs w:val="16"/>
        </w:rPr>
        <w:softHyphen/>
        <w:t>ком из-за замасливания оптики Гор</w:t>
      </w:r>
      <w:r w:rsidRPr="00070ADE">
        <w:rPr>
          <w:rFonts w:ascii="Times New Roman" w:hAnsi="Times New Roman"/>
          <w:color w:val="000000" w:themeColor="text1"/>
          <w:sz w:val="16"/>
          <w:szCs w:val="16"/>
        </w:rPr>
        <w:softHyphen/>
        <w:t>бунов сбросил все бомбы аварий</w:t>
      </w:r>
      <w:r w:rsidRPr="00070ADE">
        <w:rPr>
          <w:rFonts w:ascii="Times New Roman" w:hAnsi="Times New Roman"/>
          <w:color w:val="000000" w:themeColor="text1"/>
          <w:sz w:val="16"/>
          <w:szCs w:val="16"/>
        </w:rPr>
        <w:softHyphen/>
        <w:t>но. В тоже время отмечалось, что ра</w:t>
      </w:r>
      <w:r w:rsidRPr="00070ADE">
        <w:rPr>
          <w:rFonts w:ascii="Times New Roman" w:hAnsi="Times New Roman"/>
          <w:color w:val="000000" w:themeColor="text1"/>
          <w:sz w:val="16"/>
          <w:szCs w:val="16"/>
        </w:rPr>
        <w:softHyphen/>
        <w:t>ботать с ОПБ-1р в боевом положе</w:t>
      </w:r>
      <w:r w:rsidRPr="00070ADE">
        <w:rPr>
          <w:rFonts w:ascii="Times New Roman" w:hAnsi="Times New Roman"/>
          <w:color w:val="000000" w:themeColor="text1"/>
          <w:sz w:val="16"/>
          <w:szCs w:val="16"/>
        </w:rPr>
        <w:softHyphen/>
        <w:t>нии удобно, а сам прицел является наиболее подходящим для установ</w:t>
      </w:r>
      <w:r w:rsidRPr="00070ADE">
        <w:rPr>
          <w:rFonts w:ascii="Times New Roman" w:hAnsi="Times New Roman"/>
          <w:color w:val="000000" w:themeColor="text1"/>
          <w:sz w:val="16"/>
          <w:szCs w:val="16"/>
        </w:rPr>
        <w:softHyphen/>
        <w:t>ки на Ил-АМ-42 если, конечно, "уст</w:t>
      </w:r>
      <w:r w:rsidRPr="00070ADE">
        <w:rPr>
          <w:rFonts w:ascii="Times New Roman" w:hAnsi="Times New Roman"/>
          <w:color w:val="000000" w:themeColor="text1"/>
          <w:sz w:val="16"/>
          <w:szCs w:val="16"/>
        </w:rPr>
        <w:softHyphen/>
        <w:t>ранить забрызгивание оптики прице</w:t>
      </w:r>
      <w:r w:rsidRPr="00070ADE">
        <w:rPr>
          <w:rFonts w:ascii="Times New Roman" w:hAnsi="Times New Roman"/>
          <w:color w:val="000000" w:themeColor="text1"/>
          <w:sz w:val="16"/>
          <w:szCs w:val="16"/>
        </w:rPr>
        <w:softHyphen/>
        <w:t>ла маслом".</w:t>
      </w:r>
    </w:p>
    <w:p w14:paraId="273986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Бомбометание с пикирования по методике ничем не отличалось от та</w:t>
      </w:r>
      <w:r w:rsidRPr="00070ADE">
        <w:rPr>
          <w:rFonts w:ascii="Times New Roman" w:hAnsi="Times New Roman"/>
          <w:color w:val="000000" w:themeColor="text1"/>
          <w:sz w:val="16"/>
          <w:szCs w:val="16"/>
        </w:rPr>
        <w:softHyphen/>
        <w:t>ковой на Ил-2 и в целом показало хорошие результаты вследствие луч</w:t>
      </w:r>
      <w:r w:rsidRPr="00070ADE">
        <w:rPr>
          <w:rFonts w:ascii="Times New Roman" w:hAnsi="Times New Roman"/>
          <w:color w:val="000000" w:themeColor="text1"/>
          <w:sz w:val="16"/>
          <w:szCs w:val="16"/>
        </w:rPr>
        <w:softHyphen/>
        <w:t>шей устойчивости самолета.</w:t>
      </w:r>
    </w:p>
    <w:p w14:paraId="64E6E4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Отметим, что маслом забрызги</w:t>
      </w:r>
      <w:r w:rsidRPr="00070ADE">
        <w:rPr>
          <w:rFonts w:ascii="Times New Roman" w:hAnsi="Times New Roman"/>
          <w:color w:val="000000" w:themeColor="text1"/>
          <w:sz w:val="16"/>
          <w:szCs w:val="16"/>
        </w:rPr>
        <w:softHyphen/>
        <w:t>валось и переднее бронестекло фо</w:t>
      </w:r>
      <w:r w:rsidRPr="00070ADE">
        <w:rPr>
          <w:rFonts w:ascii="Times New Roman" w:hAnsi="Times New Roman"/>
          <w:color w:val="000000" w:themeColor="text1"/>
          <w:sz w:val="16"/>
          <w:szCs w:val="16"/>
        </w:rPr>
        <w:softHyphen/>
        <w:t>наря кабины пилота, что, естествен</w:t>
      </w:r>
      <w:r w:rsidRPr="00070ADE">
        <w:rPr>
          <w:rFonts w:ascii="Times New Roman" w:hAnsi="Times New Roman"/>
          <w:color w:val="000000" w:themeColor="text1"/>
          <w:sz w:val="16"/>
          <w:szCs w:val="16"/>
        </w:rPr>
        <w:softHyphen/>
        <w:t>но, ухудшало условия прицеливания.</w:t>
      </w:r>
    </w:p>
    <w:p w14:paraId="08E676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отработки стрелково-пушечного вооружения было выполнено в общей сложности 19 полетов, из них: "9 полетов со стрельбой по назем</w:t>
      </w:r>
      <w:r w:rsidRPr="00070ADE">
        <w:rPr>
          <w:rFonts w:ascii="Times New Roman" w:hAnsi="Times New Roman"/>
          <w:color w:val="000000" w:themeColor="text1"/>
          <w:sz w:val="16"/>
          <w:szCs w:val="16"/>
        </w:rPr>
        <w:softHyphen/>
        <w:t>ным целям и 10 полетов с ВУ-8".</w:t>
      </w:r>
    </w:p>
    <w:p w14:paraId="0C5F0C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Если к пушкам ВЯ и пулеметам ШКАС при стрельбе в воздухе, ка</w:t>
      </w:r>
      <w:r w:rsidRPr="00070ADE">
        <w:rPr>
          <w:rFonts w:ascii="Times New Roman" w:hAnsi="Times New Roman"/>
          <w:color w:val="000000" w:themeColor="text1"/>
          <w:sz w:val="16"/>
          <w:szCs w:val="16"/>
        </w:rPr>
        <w:softHyphen/>
        <w:t>ких либо серьезных претензий у во</w:t>
      </w:r>
      <w:r w:rsidRPr="00070ADE">
        <w:rPr>
          <w:rFonts w:ascii="Times New Roman" w:hAnsi="Times New Roman"/>
          <w:color w:val="000000" w:themeColor="text1"/>
          <w:sz w:val="16"/>
          <w:szCs w:val="16"/>
        </w:rPr>
        <w:softHyphen/>
        <w:t>енных испытателей не было, то ра</w:t>
      </w:r>
      <w:r w:rsidRPr="00070ADE">
        <w:rPr>
          <w:rFonts w:ascii="Times New Roman" w:hAnsi="Times New Roman"/>
          <w:color w:val="000000" w:themeColor="text1"/>
          <w:sz w:val="16"/>
          <w:szCs w:val="16"/>
        </w:rPr>
        <w:softHyphen/>
        <w:t>ботой оборонительной установки ВУ-8 с пулеметом УБК и ее возмож</w:t>
      </w:r>
      <w:r w:rsidRPr="00070ADE">
        <w:rPr>
          <w:rFonts w:ascii="Times New Roman" w:hAnsi="Times New Roman"/>
          <w:color w:val="000000" w:themeColor="text1"/>
          <w:sz w:val="16"/>
          <w:szCs w:val="16"/>
        </w:rPr>
        <w:softHyphen/>
        <w:t>ностями они остались недовольны.</w:t>
      </w:r>
    </w:p>
    <w:p w14:paraId="358212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недостатки ВУ-8 в явном виде проявились в воздушном бою с не</w:t>
      </w:r>
      <w:r w:rsidRPr="00070ADE">
        <w:rPr>
          <w:rFonts w:ascii="Times New Roman" w:hAnsi="Times New Roman"/>
          <w:color w:val="000000" w:themeColor="text1"/>
          <w:sz w:val="16"/>
          <w:szCs w:val="16"/>
        </w:rPr>
        <w:softHyphen/>
        <w:t>мецким истребителем ВЛ09С-2, ко</w:t>
      </w:r>
      <w:r w:rsidRPr="00070ADE">
        <w:rPr>
          <w:rFonts w:ascii="Times New Roman" w:hAnsi="Times New Roman"/>
          <w:color w:val="000000" w:themeColor="text1"/>
          <w:sz w:val="16"/>
          <w:szCs w:val="16"/>
        </w:rPr>
        <w:softHyphen/>
        <w:t>торый состоялся 30 апреля. В каче</w:t>
      </w:r>
      <w:r w:rsidRPr="00070ADE">
        <w:rPr>
          <w:rFonts w:ascii="Times New Roman" w:hAnsi="Times New Roman"/>
          <w:color w:val="000000" w:themeColor="text1"/>
          <w:sz w:val="16"/>
          <w:szCs w:val="16"/>
        </w:rPr>
        <w:softHyphen/>
        <w:t>стве воздушного стрелка выступал штурман-испытатель п-п-к Н. П. Цвет</w:t>
      </w:r>
      <w:r w:rsidRPr="00070ADE">
        <w:rPr>
          <w:rFonts w:ascii="Times New Roman" w:hAnsi="Times New Roman"/>
          <w:color w:val="000000" w:themeColor="text1"/>
          <w:sz w:val="16"/>
          <w:szCs w:val="16"/>
        </w:rPr>
        <w:softHyphen/>
        <w:t>ков. Атаки выполнялись со всех воз</w:t>
      </w:r>
      <w:r w:rsidRPr="00070ADE">
        <w:rPr>
          <w:rFonts w:ascii="Times New Roman" w:hAnsi="Times New Roman"/>
          <w:color w:val="000000" w:themeColor="text1"/>
          <w:sz w:val="16"/>
          <w:szCs w:val="16"/>
        </w:rPr>
        <w:softHyphen/>
        <w:t>можных в реальном бою направле</w:t>
      </w:r>
      <w:r w:rsidRPr="00070ADE">
        <w:rPr>
          <w:rFonts w:ascii="Times New Roman" w:hAnsi="Times New Roman"/>
          <w:color w:val="000000" w:themeColor="text1"/>
          <w:sz w:val="16"/>
          <w:szCs w:val="16"/>
        </w:rPr>
        <w:softHyphen/>
        <w:t>ний. При этом на маршруте полета от Чкаловской до Ногинска "мессер" успевал выполнить до 8-9 атак, на</w:t>
      </w:r>
      <w:r w:rsidRPr="00070ADE">
        <w:rPr>
          <w:rFonts w:ascii="Times New Roman" w:hAnsi="Times New Roman"/>
          <w:color w:val="000000" w:themeColor="text1"/>
          <w:sz w:val="16"/>
          <w:szCs w:val="16"/>
        </w:rPr>
        <w:softHyphen/>
        <w:t>ходясь всегда в задней полусфере, и отворачивая всякий раз в сторону с набором высоты.</w:t>
      </w:r>
    </w:p>
    <w:p w14:paraId="5A1A70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Оказалось, что за время одной атаки "мессера" штурман успевал только развернуть установку в сто</w:t>
      </w:r>
      <w:r w:rsidRPr="00070ADE">
        <w:rPr>
          <w:rFonts w:ascii="Times New Roman" w:hAnsi="Times New Roman"/>
          <w:color w:val="000000" w:themeColor="text1"/>
          <w:sz w:val="16"/>
          <w:szCs w:val="16"/>
        </w:rPr>
        <w:softHyphen/>
        <w:t>рону истребителя и выставить пуле</w:t>
      </w:r>
      <w:r w:rsidRPr="00070ADE">
        <w:rPr>
          <w:rFonts w:ascii="Times New Roman" w:hAnsi="Times New Roman"/>
          <w:color w:val="000000" w:themeColor="text1"/>
          <w:sz w:val="16"/>
          <w:szCs w:val="16"/>
        </w:rPr>
        <w:softHyphen/>
        <w:t>мет в необходимое положение для стрельбы по нему, а на прицелива</w:t>
      </w:r>
      <w:r w:rsidRPr="00070ADE">
        <w:rPr>
          <w:rFonts w:ascii="Times New Roman" w:hAnsi="Times New Roman"/>
          <w:color w:val="000000" w:themeColor="text1"/>
          <w:sz w:val="16"/>
          <w:szCs w:val="16"/>
        </w:rPr>
        <w:softHyphen/>
        <w:t>ние оставалось "такое незначитель</w:t>
      </w:r>
      <w:r w:rsidRPr="00070ADE">
        <w:rPr>
          <w:rFonts w:ascii="Times New Roman" w:hAnsi="Times New Roman"/>
          <w:color w:val="000000" w:themeColor="text1"/>
          <w:sz w:val="16"/>
          <w:szCs w:val="16"/>
        </w:rPr>
        <w:softHyphen/>
        <w:t>ное время, что точно навести при</w:t>
      </w:r>
      <w:r w:rsidRPr="00070ADE">
        <w:rPr>
          <w:rFonts w:ascii="Times New Roman" w:hAnsi="Times New Roman"/>
          <w:color w:val="000000" w:themeColor="text1"/>
          <w:sz w:val="16"/>
          <w:szCs w:val="16"/>
        </w:rPr>
        <w:softHyphen/>
        <w:t>цел, с требуемой поправкой на ско</w:t>
      </w:r>
      <w:r w:rsidRPr="00070ADE">
        <w:rPr>
          <w:rFonts w:ascii="Times New Roman" w:hAnsi="Times New Roman"/>
          <w:color w:val="000000" w:themeColor="text1"/>
          <w:sz w:val="16"/>
          <w:szCs w:val="16"/>
        </w:rPr>
        <w:softHyphen/>
        <w:t>рость цели, не удалось ни разу". С одной стороны, это обуславливалось большими угловыми скоростями цели, а с другой, значительными усилиями для удерживания пулемета при при</w:t>
      </w:r>
      <w:r w:rsidRPr="00070ADE">
        <w:rPr>
          <w:rFonts w:ascii="Times New Roman" w:hAnsi="Times New Roman"/>
          <w:color w:val="000000" w:themeColor="text1"/>
          <w:sz w:val="16"/>
          <w:szCs w:val="16"/>
        </w:rPr>
        <w:softHyphen/>
        <w:t>целивании и стрельбе. Дело в том, что для выполнения грубой наводки на цель штурману приходилось од</w:t>
      </w:r>
      <w:r w:rsidRPr="00070ADE">
        <w:rPr>
          <w:rFonts w:ascii="Times New Roman" w:hAnsi="Times New Roman"/>
          <w:color w:val="000000" w:themeColor="text1"/>
          <w:sz w:val="16"/>
          <w:szCs w:val="16"/>
        </w:rPr>
        <w:softHyphen/>
        <w:t>ной рукой (правой) удерживать пу</w:t>
      </w:r>
      <w:r w:rsidRPr="00070ADE">
        <w:rPr>
          <w:rFonts w:ascii="Times New Roman" w:hAnsi="Times New Roman"/>
          <w:color w:val="000000" w:themeColor="text1"/>
          <w:sz w:val="16"/>
          <w:szCs w:val="16"/>
        </w:rPr>
        <w:softHyphen/>
        <w:t>лемет, а другой рукой (левой) - сто</w:t>
      </w:r>
      <w:r w:rsidRPr="00070ADE">
        <w:rPr>
          <w:rFonts w:ascii="Times New Roman" w:hAnsi="Times New Roman"/>
          <w:color w:val="000000" w:themeColor="text1"/>
          <w:sz w:val="16"/>
          <w:szCs w:val="16"/>
        </w:rPr>
        <w:softHyphen/>
        <w:t>пор каретки установки, и одновре</w:t>
      </w:r>
      <w:r w:rsidRPr="00070ADE">
        <w:rPr>
          <w:rFonts w:ascii="Times New Roman" w:hAnsi="Times New Roman"/>
          <w:color w:val="000000" w:themeColor="text1"/>
          <w:sz w:val="16"/>
          <w:szCs w:val="16"/>
        </w:rPr>
        <w:softHyphen/>
        <w:t>менно "доворачивать пулеметную ус</w:t>
      </w:r>
      <w:r w:rsidRPr="00070ADE">
        <w:rPr>
          <w:rFonts w:ascii="Times New Roman" w:hAnsi="Times New Roman"/>
          <w:color w:val="000000" w:themeColor="text1"/>
          <w:sz w:val="16"/>
          <w:szCs w:val="16"/>
        </w:rPr>
        <w:softHyphen/>
        <w:t>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w:t>
      </w:r>
      <w:r w:rsidRPr="00070ADE">
        <w:rPr>
          <w:rFonts w:ascii="Times New Roman" w:hAnsi="Times New Roman"/>
          <w:color w:val="000000" w:themeColor="text1"/>
          <w:sz w:val="16"/>
          <w:szCs w:val="16"/>
        </w:rPr>
        <w:softHyphen/>
        <w:t>лового сектора точной наводки пу</w:t>
      </w:r>
      <w:r w:rsidRPr="00070ADE">
        <w:rPr>
          <w:rFonts w:ascii="Times New Roman" w:hAnsi="Times New Roman"/>
          <w:color w:val="000000" w:themeColor="text1"/>
          <w:sz w:val="16"/>
          <w:szCs w:val="16"/>
        </w:rPr>
        <w:softHyphen/>
        <w:t>лемета. Требовалось вновь переме</w:t>
      </w:r>
      <w:r w:rsidRPr="00070ADE">
        <w:rPr>
          <w:rFonts w:ascii="Times New Roman" w:hAnsi="Times New Roman"/>
          <w:color w:val="000000" w:themeColor="text1"/>
          <w:sz w:val="16"/>
          <w:szCs w:val="16"/>
        </w:rPr>
        <w:softHyphen/>
        <w:t>щать саму установку и выполнять точ</w:t>
      </w:r>
      <w:r w:rsidRPr="00070ADE">
        <w:rPr>
          <w:rFonts w:ascii="Times New Roman" w:hAnsi="Times New Roman"/>
          <w:color w:val="000000" w:themeColor="text1"/>
          <w:sz w:val="16"/>
          <w:szCs w:val="16"/>
        </w:rPr>
        <w:softHyphen/>
        <w:t>ную наводку пулеметом и т.д. То есть, "одной рукой довести пулемет и при</w:t>
      </w:r>
      <w:r w:rsidRPr="00070ADE">
        <w:rPr>
          <w:rFonts w:ascii="Times New Roman" w:hAnsi="Times New Roman"/>
          <w:color w:val="000000" w:themeColor="text1"/>
          <w:sz w:val="16"/>
          <w:szCs w:val="16"/>
        </w:rPr>
        <w:softHyphen/>
        <w:t>целиться невозможно".</w:t>
      </w:r>
    </w:p>
    <w:p w14:paraId="436115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Положение усугублялось еще и тем обстоятельством, что при рабо</w:t>
      </w:r>
      <w:r w:rsidRPr="00070ADE">
        <w:rPr>
          <w:rFonts w:ascii="Times New Roman" w:hAnsi="Times New Roman"/>
          <w:color w:val="000000" w:themeColor="text1"/>
          <w:sz w:val="16"/>
          <w:szCs w:val="16"/>
        </w:rPr>
        <w:softHyphen/>
        <w:t>те с пулеметом имели место "много мелких трудноуловимых препятствий, затруднявших маневр пулеметом и установкой".</w:t>
      </w:r>
    </w:p>
    <w:p w14:paraId="7E7FF7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донесения Цветкова, производить прицеливание при стрельбе вверх было крайне неудоб</w:t>
      </w:r>
      <w:r w:rsidRPr="00070ADE">
        <w:rPr>
          <w:rFonts w:ascii="Times New Roman" w:hAnsi="Times New Roman"/>
          <w:color w:val="000000" w:themeColor="text1"/>
          <w:sz w:val="16"/>
          <w:szCs w:val="16"/>
        </w:rPr>
        <w:softHyphen/>
        <w:t>но, так как "приходится опускаться на корточки и получается очень на</w:t>
      </w:r>
      <w:r w:rsidRPr="00070ADE">
        <w:rPr>
          <w:rFonts w:ascii="Times New Roman" w:hAnsi="Times New Roman"/>
          <w:color w:val="000000" w:themeColor="text1"/>
          <w:sz w:val="16"/>
          <w:szCs w:val="16"/>
        </w:rPr>
        <w:softHyphen/>
        <w:t>пряженное, неустойчивое положе</w:t>
      </w:r>
      <w:r w:rsidRPr="00070ADE">
        <w:rPr>
          <w:rFonts w:ascii="Times New Roman" w:hAnsi="Times New Roman"/>
          <w:color w:val="000000" w:themeColor="text1"/>
          <w:sz w:val="16"/>
          <w:szCs w:val="16"/>
        </w:rPr>
        <w:softHyphen/>
        <w:t>ние". При поворотах установки на левый борт очень трудно использо</w:t>
      </w:r>
      <w:r w:rsidRPr="00070ADE">
        <w:rPr>
          <w:rFonts w:ascii="Times New Roman" w:hAnsi="Times New Roman"/>
          <w:color w:val="000000" w:themeColor="text1"/>
          <w:sz w:val="16"/>
          <w:szCs w:val="16"/>
        </w:rPr>
        <w:softHyphen/>
        <w:t>вать доводочные углы пулемета, тре</w:t>
      </w:r>
      <w:r w:rsidRPr="00070ADE">
        <w:rPr>
          <w:rFonts w:ascii="Times New Roman" w:hAnsi="Times New Roman"/>
          <w:color w:val="000000" w:themeColor="text1"/>
          <w:sz w:val="16"/>
          <w:szCs w:val="16"/>
        </w:rPr>
        <w:softHyphen/>
        <w:t>бовалось менять положение тулови</w:t>
      </w:r>
      <w:r w:rsidRPr="00070ADE">
        <w:rPr>
          <w:rFonts w:ascii="Times New Roman" w:hAnsi="Times New Roman"/>
          <w:color w:val="000000" w:themeColor="text1"/>
          <w:sz w:val="16"/>
          <w:szCs w:val="16"/>
        </w:rPr>
        <w:softHyphen/>
        <w:t>ща относительно оружия, а поскольку прицел располагался слева от пуле</w:t>
      </w:r>
      <w:r w:rsidRPr="00070ADE">
        <w:rPr>
          <w:rFonts w:ascii="Times New Roman" w:hAnsi="Times New Roman"/>
          <w:color w:val="000000" w:themeColor="text1"/>
          <w:sz w:val="16"/>
          <w:szCs w:val="16"/>
        </w:rPr>
        <w:softHyphen/>
        <w:t>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w:t>
      </w:r>
      <w:r w:rsidRPr="00070ADE">
        <w:rPr>
          <w:rFonts w:ascii="Times New Roman" w:hAnsi="Times New Roman"/>
          <w:color w:val="000000" w:themeColor="text1"/>
          <w:sz w:val="16"/>
          <w:szCs w:val="16"/>
        </w:rPr>
        <w:softHyphen/>
        <w:t>вым — во время прицеливания и стрельбы все время приходилось по</w:t>
      </w:r>
      <w:r w:rsidRPr="00070ADE">
        <w:rPr>
          <w:rFonts w:ascii="Times New Roman" w:hAnsi="Times New Roman"/>
          <w:color w:val="000000" w:themeColor="text1"/>
          <w:sz w:val="16"/>
          <w:szCs w:val="16"/>
        </w:rPr>
        <w:softHyphen/>
        <w:t>дыскивать место, куда бы поставить ноги. Отсюда потеря времени на прицеливание. Практически, получа</w:t>
      </w:r>
      <w:r w:rsidRPr="00070ADE">
        <w:rPr>
          <w:rFonts w:ascii="Times New Roman" w:hAnsi="Times New Roman"/>
          <w:color w:val="000000" w:themeColor="text1"/>
          <w:sz w:val="16"/>
          <w:szCs w:val="16"/>
        </w:rPr>
        <w:softHyphen/>
        <w:t>лось так, что обеспечить прицельный огонь с левого борта было нельзя.</w:t>
      </w:r>
    </w:p>
    <w:p w14:paraId="0E45C6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Стрельба с незастопоренной ус</w:t>
      </w:r>
      <w:r w:rsidRPr="00070ADE">
        <w:rPr>
          <w:rFonts w:ascii="Times New Roman" w:hAnsi="Times New Roman"/>
          <w:color w:val="000000" w:themeColor="text1"/>
          <w:sz w:val="16"/>
          <w:szCs w:val="16"/>
        </w:rPr>
        <w:softHyphen/>
        <w:t>тановкой показала, что пулемет в этом случае резко уходит к правому борту, а при стрельбе с застопорен</w:t>
      </w:r>
      <w:r w:rsidRPr="00070ADE">
        <w:rPr>
          <w:rFonts w:ascii="Times New Roman" w:hAnsi="Times New Roman"/>
          <w:color w:val="000000" w:themeColor="text1"/>
          <w:sz w:val="16"/>
          <w:szCs w:val="16"/>
        </w:rPr>
        <w:softHyphen/>
        <w:t>ной установкой пулемет сильно тря</w:t>
      </w:r>
      <w:r w:rsidRPr="00070ADE">
        <w:rPr>
          <w:rFonts w:ascii="Times New Roman" w:hAnsi="Times New Roman"/>
          <w:color w:val="000000" w:themeColor="text1"/>
          <w:sz w:val="16"/>
          <w:szCs w:val="16"/>
        </w:rPr>
        <w:softHyphen/>
        <w:t>сет.</w:t>
      </w:r>
    </w:p>
    <w:p w14:paraId="25EF65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Ведение прицельного огня на ви</w:t>
      </w:r>
      <w:r w:rsidRPr="00070ADE">
        <w:rPr>
          <w:rFonts w:ascii="Times New Roman" w:hAnsi="Times New Roman"/>
          <w:color w:val="000000" w:themeColor="text1"/>
          <w:sz w:val="16"/>
          <w:szCs w:val="16"/>
        </w:rPr>
        <w:softHyphen/>
        <w:t>ражах оказалось невозможным, так как пулемет прижимает вниз, а "при</w:t>
      </w:r>
      <w:r w:rsidRPr="00070ADE">
        <w:rPr>
          <w:rFonts w:ascii="Times New Roman" w:hAnsi="Times New Roman"/>
          <w:color w:val="000000" w:themeColor="text1"/>
          <w:sz w:val="16"/>
          <w:szCs w:val="16"/>
        </w:rPr>
        <w:softHyphen/>
        <w:t>поднять и удержать его не хватает силы", не говоря уже о том, чтобы одновременно с этим еще и повора</w:t>
      </w:r>
      <w:r w:rsidRPr="00070ADE">
        <w:rPr>
          <w:rFonts w:ascii="Times New Roman" w:hAnsi="Times New Roman"/>
          <w:color w:val="000000" w:themeColor="text1"/>
          <w:sz w:val="16"/>
          <w:szCs w:val="16"/>
        </w:rPr>
        <w:softHyphen/>
        <w:t>чивать установку в сторону цели. Во время воздушного боя на виражах истребитель легко держался в хвос</w:t>
      </w:r>
      <w:r w:rsidRPr="00070ADE">
        <w:rPr>
          <w:rFonts w:ascii="Times New Roman" w:hAnsi="Times New Roman"/>
          <w:color w:val="000000" w:themeColor="text1"/>
          <w:sz w:val="16"/>
          <w:szCs w:val="16"/>
        </w:rPr>
        <w:softHyphen/>
        <w:t>те и на первом же вираже заходил строго в хвост на дистанцию откры</w:t>
      </w:r>
      <w:r w:rsidRPr="00070ADE">
        <w:rPr>
          <w:rFonts w:ascii="Times New Roman" w:hAnsi="Times New Roman"/>
          <w:color w:val="000000" w:themeColor="text1"/>
          <w:sz w:val="16"/>
          <w:szCs w:val="16"/>
        </w:rPr>
        <w:softHyphen/>
        <w:t>тия действительного огня 100-150 м.</w:t>
      </w:r>
    </w:p>
    <w:p w14:paraId="6C25E7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мнению подполковника Цветкова, маневренность ВУ-8 и пулеме</w:t>
      </w:r>
      <w:r w:rsidRPr="00070ADE">
        <w:rPr>
          <w:rFonts w:ascii="Times New Roman" w:hAnsi="Times New Roman"/>
          <w:color w:val="000000" w:themeColor="text1"/>
          <w:sz w:val="16"/>
          <w:szCs w:val="16"/>
        </w:rPr>
        <w:softHyphen/>
        <w:t>та в целом была явно недостаточ</w:t>
      </w:r>
      <w:r w:rsidRPr="00070ADE">
        <w:rPr>
          <w:rFonts w:ascii="Times New Roman" w:hAnsi="Times New Roman"/>
          <w:color w:val="000000" w:themeColor="text1"/>
          <w:sz w:val="16"/>
          <w:szCs w:val="16"/>
        </w:rPr>
        <w:softHyphen/>
        <w:t>ной для эффективного отражения атак истребителей, "в лучшем слу</w:t>
      </w:r>
      <w:r w:rsidRPr="00070ADE">
        <w:rPr>
          <w:rFonts w:ascii="Times New Roman" w:hAnsi="Times New Roman"/>
          <w:color w:val="000000" w:themeColor="text1"/>
          <w:sz w:val="16"/>
          <w:szCs w:val="16"/>
        </w:rPr>
        <w:softHyphen/>
        <w:t>чае она может позволить сделать одну прицельную очередь и то с не</w:t>
      </w:r>
      <w:r w:rsidRPr="00070ADE">
        <w:rPr>
          <w:rFonts w:ascii="Times New Roman" w:hAnsi="Times New Roman"/>
          <w:color w:val="000000" w:themeColor="text1"/>
          <w:sz w:val="16"/>
          <w:szCs w:val="16"/>
        </w:rPr>
        <w:softHyphen/>
        <w:t>достаточной точностью прицелива</w:t>
      </w:r>
      <w:r w:rsidRPr="00070ADE">
        <w:rPr>
          <w:rFonts w:ascii="Times New Roman" w:hAnsi="Times New Roman"/>
          <w:color w:val="000000" w:themeColor="text1"/>
          <w:sz w:val="16"/>
          <w:szCs w:val="16"/>
        </w:rPr>
        <w:softHyphen/>
        <w:t>ния". Одновременно отмечалось, что сама установка ВУ-8 значительно лучше, чем блистерная установка БЛУБ на Су-6, и несколько лучше, чем ВУБ-3 на Ил-2.</w:t>
      </w:r>
    </w:p>
    <w:p w14:paraId="052743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Справедливости ради, следует от</w:t>
      </w:r>
      <w:r w:rsidRPr="00070ADE">
        <w:rPr>
          <w:rFonts w:ascii="Times New Roman" w:hAnsi="Times New Roman"/>
          <w:color w:val="000000" w:themeColor="text1"/>
          <w:sz w:val="16"/>
          <w:szCs w:val="16"/>
        </w:rPr>
        <w:softHyphen/>
        <w:t>метить, что при всех атаках со сто</w:t>
      </w:r>
      <w:r w:rsidRPr="00070ADE">
        <w:rPr>
          <w:rFonts w:ascii="Times New Roman" w:hAnsi="Times New Roman"/>
          <w:color w:val="000000" w:themeColor="text1"/>
          <w:sz w:val="16"/>
          <w:szCs w:val="16"/>
        </w:rPr>
        <w:softHyphen/>
        <w:t>роны задней полусферы летчик по команде штурмана энергичным ма</w:t>
      </w:r>
      <w:r w:rsidRPr="00070ADE">
        <w:rPr>
          <w:rFonts w:ascii="Times New Roman" w:hAnsi="Times New Roman"/>
          <w:color w:val="000000" w:themeColor="text1"/>
          <w:sz w:val="16"/>
          <w:szCs w:val="16"/>
        </w:rPr>
        <w:softHyphen/>
        <w:t>невром успевал доворачивать само</w:t>
      </w:r>
      <w:r w:rsidRPr="00070ADE">
        <w:rPr>
          <w:rFonts w:ascii="Times New Roman" w:hAnsi="Times New Roman"/>
          <w:color w:val="000000" w:themeColor="text1"/>
          <w:sz w:val="16"/>
          <w:szCs w:val="16"/>
        </w:rPr>
        <w:softHyphen/>
        <w:t>лет таким образом, чтобы штурман мог держать противника в секторе обстрела. Это до некоторой степе</w:t>
      </w:r>
      <w:r w:rsidRPr="00070ADE">
        <w:rPr>
          <w:rFonts w:ascii="Times New Roman" w:hAnsi="Times New Roman"/>
          <w:color w:val="000000" w:themeColor="text1"/>
          <w:sz w:val="16"/>
          <w:szCs w:val="16"/>
        </w:rPr>
        <w:softHyphen/>
        <w:t>ни компенсировало ограниченность углов обстрела установки, однако не обеспечивало ведение прицельной стрельбы.</w:t>
      </w:r>
    </w:p>
    <w:p w14:paraId="4E4CA7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отражении атак истребите</w:t>
      </w:r>
      <w:r w:rsidRPr="00070ADE">
        <w:rPr>
          <w:rFonts w:ascii="Times New Roman" w:hAnsi="Times New Roman"/>
          <w:color w:val="000000" w:themeColor="text1"/>
          <w:sz w:val="16"/>
          <w:szCs w:val="16"/>
        </w:rPr>
        <w:softHyphen/>
        <w:t>ля со стороны солнца выявилась еще одна интересная особенность ВУ-8 - плексиглас козырька установки сле</w:t>
      </w:r>
      <w:r w:rsidRPr="00070ADE">
        <w:rPr>
          <w:rFonts w:ascii="Times New Roman" w:hAnsi="Times New Roman"/>
          <w:color w:val="000000" w:themeColor="text1"/>
          <w:sz w:val="16"/>
          <w:szCs w:val="16"/>
        </w:rPr>
        <w:softHyphen/>
        <w:t>пил штурмана еще больше, чем сол</w:t>
      </w:r>
      <w:r w:rsidRPr="00070ADE">
        <w:rPr>
          <w:rFonts w:ascii="Times New Roman" w:hAnsi="Times New Roman"/>
          <w:color w:val="000000" w:themeColor="text1"/>
          <w:sz w:val="16"/>
          <w:szCs w:val="16"/>
        </w:rPr>
        <w:softHyphen/>
        <w:t>нце, вследствие чего прицеливаться было невозможно.</w:t>
      </w:r>
    </w:p>
    <w:p w14:paraId="6DB82A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переговорное уст</w:t>
      </w:r>
      <w:r w:rsidRPr="00070ADE">
        <w:rPr>
          <w:rFonts w:ascii="Times New Roman" w:hAnsi="Times New Roman"/>
          <w:color w:val="000000" w:themeColor="text1"/>
          <w:sz w:val="16"/>
          <w:szCs w:val="16"/>
        </w:rPr>
        <w:softHyphen/>
        <w:t>ройство штурмана и летчика рабо</w:t>
      </w:r>
      <w:r w:rsidRPr="00070ADE">
        <w:rPr>
          <w:rFonts w:ascii="Times New Roman" w:hAnsi="Times New Roman"/>
          <w:color w:val="000000" w:themeColor="text1"/>
          <w:sz w:val="16"/>
          <w:szCs w:val="16"/>
        </w:rPr>
        <w:softHyphen/>
        <w:t>тало неудовлетворительно: "...силь</w:t>
      </w:r>
      <w:r w:rsidRPr="00070ADE">
        <w:rPr>
          <w:rFonts w:ascii="Times New Roman" w:hAnsi="Times New Roman"/>
          <w:color w:val="000000" w:themeColor="text1"/>
          <w:sz w:val="16"/>
          <w:szCs w:val="16"/>
        </w:rPr>
        <w:softHyphen/>
        <w:t>ный треск и шум не давали разгова</w:t>
      </w:r>
      <w:r w:rsidRPr="00070ADE">
        <w:rPr>
          <w:rFonts w:ascii="Times New Roman" w:hAnsi="Times New Roman"/>
          <w:color w:val="000000" w:themeColor="text1"/>
          <w:sz w:val="16"/>
          <w:szCs w:val="16"/>
        </w:rPr>
        <w:softHyphen/>
        <w:t>ривать, переключатель абонентской коробки во время боя несколько раз самопроизвольно переключался в положение РС или РК, что наруша</w:t>
      </w:r>
      <w:r w:rsidRPr="00070ADE">
        <w:rPr>
          <w:rFonts w:ascii="Times New Roman" w:hAnsi="Times New Roman"/>
          <w:color w:val="000000" w:themeColor="text1"/>
          <w:sz w:val="16"/>
          <w:szCs w:val="16"/>
        </w:rPr>
        <w:softHyphen/>
        <w:t>ло связь с летчиком".</w:t>
      </w:r>
    </w:p>
    <w:p w14:paraId="4D5270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Серьезными недостатками ВУ-8 считались небольшая емкость мага</w:t>
      </w:r>
      <w:r w:rsidRPr="00070ADE">
        <w:rPr>
          <w:rFonts w:ascii="Times New Roman" w:hAnsi="Times New Roman"/>
          <w:color w:val="000000" w:themeColor="text1"/>
          <w:sz w:val="16"/>
          <w:szCs w:val="16"/>
        </w:rPr>
        <w:softHyphen/>
        <w:t>зина пулемета УБК и большое вре</w:t>
      </w:r>
      <w:r w:rsidRPr="00070ADE">
        <w:rPr>
          <w:rFonts w:ascii="Times New Roman" w:hAnsi="Times New Roman"/>
          <w:color w:val="000000" w:themeColor="text1"/>
          <w:sz w:val="16"/>
          <w:szCs w:val="16"/>
        </w:rPr>
        <w:softHyphen/>
        <w:t>мя его смены. Полсотни патронов в магазине оказалось недостаточно для отражения даже одной атаки истребителя. В тоже время на его замену уходило около одной мину</w:t>
      </w:r>
      <w:r w:rsidRPr="00070ADE">
        <w:rPr>
          <w:rFonts w:ascii="Times New Roman" w:hAnsi="Times New Roman"/>
          <w:color w:val="000000" w:themeColor="text1"/>
          <w:sz w:val="16"/>
          <w:szCs w:val="16"/>
        </w:rPr>
        <w:softHyphen/>
        <w:t>ты, что было совершенно неприем</w:t>
      </w:r>
      <w:r w:rsidRPr="00070ADE">
        <w:rPr>
          <w:rFonts w:ascii="Times New Roman" w:hAnsi="Times New Roman"/>
          <w:color w:val="000000" w:themeColor="text1"/>
          <w:sz w:val="16"/>
          <w:szCs w:val="16"/>
        </w:rPr>
        <w:softHyphen/>
        <w:t>лемым для реальных условий боя. В отчете указывалось, что за счет не</w:t>
      </w:r>
      <w:r w:rsidRPr="00070ADE">
        <w:rPr>
          <w:rFonts w:ascii="Times New Roman" w:hAnsi="Times New Roman"/>
          <w:color w:val="000000" w:themeColor="text1"/>
          <w:sz w:val="16"/>
          <w:szCs w:val="16"/>
        </w:rPr>
        <w:softHyphen/>
        <w:t>которых конструктивных улучшений можно сократить время смены мага</w:t>
      </w:r>
      <w:r w:rsidRPr="00070ADE">
        <w:rPr>
          <w:rFonts w:ascii="Times New Roman" w:hAnsi="Times New Roman"/>
          <w:color w:val="000000" w:themeColor="text1"/>
          <w:sz w:val="16"/>
          <w:szCs w:val="16"/>
        </w:rPr>
        <w:softHyphen/>
        <w:t>зина до 45-50 секунд, но все равно оно оставалось большим.</w:t>
      </w:r>
    </w:p>
    <w:p w14:paraId="6EAC17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ранее приня</w:t>
      </w:r>
      <w:r w:rsidRPr="00070ADE">
        <w:rPr>
          <w:rFonts w:ascii="Times New Roman" w:hAnsi="Times New Roman"/>
          <w:color w:val="000000" w:themeColor="text1"/>
          <w:sz w:val="16"/>
          <w:szCs w:val="16"/>
        </w:rPr>
        <w:softHyphen/>
        <w:t>тыми подобными установками пре</w:t>
      </w:r>
      <w:r w:rsidRPr="00070ADE">
        <w:rPr>
          <w:rFonts w:ascii="Times New Roman" w:hAnsi="Times New Roman"/>
          <w:color w:val="000000" w:themeColor="text1"/>
          <w:sz w:val="16"/>
          <w:szCs w:val="16"/>
        </w:rPr>
        <w:softHyphen/>
        <w:t>имуществ не имеет, за исключением того, что защищает стрелка от заду</w:t>
      </w:r>
      <w:r w:rsidRPr="00070ADE">
        <w:rPr>
          <w:rFonts w:ascii="Times New Roman" w:hAnsi="Times New Roman"/>
          <w:color w:val="000000" w:themeColor="text1"/>
          <w:sz w:val="16"/>
          <w:szCs w:val="16"/>
        </w:rPr>
        <w:softHyphen/>
        <w:t>вания", - констатировал п-п-к Цвет</w:t>
      </w:r>
      <w:r w:rsidRPr="00070ADE">
        <w:rPr>
          <w:rFonts w:ascii="Times New Roman" w:hAnsi="Times New Roman"/>
          <w:color w:val="000000" w:themeColor="text1"/>
          <w:sz w:val="16"/>
          <w:szCs w:val="16"/>
        </w:rPr>
        <w:softHyphen/>
        <w:t>ков после проведенного им воздуш</w:t>
      </w:r>
      <w:r w:rsidRPr="00070ADE">
        <w:rPr>
          <w:rFonts w:ascii="Times New Roman" w:hAnsi="Times New Roman"/>
          <w:color w:val="000000" w:themeColor="text1"/>
          <w:sz w:val="16"/>
          <w:szCs w:val="16"/>
        </w:rPr>
        <w:softHyphen/>
        <w:t>ного боя с немецким истребителем.</w:t>
      </w:r>
    </w:p>
    <w:p w14:paraId="5B2023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выводах отчета предлагалось увеличить углы обстрела вверх и по горизонту и емкость магазина, хотя бы до 75 патронов, а также "отра</w:t>
      </w:r>
      <w:r w:rsidRPr="00070ADE">
        <w:rPr>
          <w:rFonts w:ascii="Times New Roman" w:hAnsi="Times New Roman"/>
          <w:color w:val="000000" w:themeColor="text1"/>
          <w:sz w:val="16"/>
          <w:szCs w:val="16"/>
        </w:rPr>
        <w:softHyphen/>
        <w:t>ботать механизм, компенсирующий вес пулемета и магазина".</w:t>
      </w:r>
    </w:p>
    <w:p w14:paraId="7AF3CF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Предъявлялись претензии и к спе</w:t>
      </w:r>
      <w:r w:rsidRPr="00070ADE">
        <w:rPr>
          <w:rFonts w:ascii="Times New Roman" w:hAnsi="Times New Roman"/>
          <w:color w:val="000000" w:themeColor="text1"/>
          <w:sz w:val="16"/>
          <w:szCs w:val="16"/>
        </w:rPr>
        <w:softHyphen/>
        <w:t>цоборудованию самолета. В частно</w:t>
      </w:r>
      <w:r w:rsidRPr="00070ADE">
        <w:rPr>
          <w:rFonts w:ascii="Times New Roman" w:hAnsi="Times New Roman"/>
          <w:color w:val="000000" w:themeColor="text1"/>
          <w:sz w:val="16"/>
          <w:szCs w:val="16"/>
        </w:rPr>
        <w:softHyphen/>
        <w:t>сти отмечалась плохая конструктив</w:t>
      </w:r>
      <w:r w:rsidRPr="00070ADE">
        <w:rPr>
          <w:rFonts w:ascii="Times New Roman" w:hAnsi="Times New Roman"/>
          <w:color w:val="000000" w:themeColor="text1"/>
          <w:sz w:val="16"/>
          <w:szCs w:val="16"/>
        </w:rPr>
        <w:softHyphen/>
        <w:t>ная проработка экранировки систе</w:t>
      </w:r>
      <w:r w:rsidRPr="00070ADE">
        <w:rPr>
          <w:rFonts w:ascii="Times New Roman" w:hAnsi="Times New Roman"/>
          <w:color w:val="000000" w:themeColor="text1"/>
          <w:sz w:val="16"/>
          <w:szCs w:val="16"/>
        </w:rPr>
        <w:softHyphen/>
        <w:t>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w:t>
      </w:r>
      <w:r w:rsidRPr="00070ADE">
        <w:rPr>
          <w:rFonts w:ascii="Times New Roman" w:hAnsi="Times New Roman"/>
          <w:color w:val="000000" w:themeColor="text1"/>
          <w:sz w:val="16"/>
          <w:szCs w:val="16"/>
        </w:rPr>
        <w:softHyphen/>
        <w:t>ла особенности работы экипажа на данном самолете — "летчик и штурман совмещают лишние функции".</w:t>
      </w:r>
    </w:p>
    <w:p w14:paraId="76749E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столь обширный пе</w:t>
      </w:r>
      <w:r w:rsidRPr="00070ADE">
        <w:rPr>
          <w:rFonts w:ascii="Times New Roman" w:hAnsi="Times New Roman"/>
          <w:color w:val="000000" w:themeColor="text1"/>
          <w:sz w:val="16"/>
          <w:szCs w:val="16"/>
        </w:rPr>
        <w:softHyphen/>
        <w:t>речень дефектов и недостатков Ил-АМ-42, в заключение Акта по испы</w:t>
      </w:r>
      <w:r w:rsidRPr="00070ADE">
        <w:rPr>
          <w:rFonts w:ascii="Times New Roman" w:hAnsi="Times New Roman"/>
          <w:color w:val="000000" w:themeColor="text1"/>
          <w:sz w:val="16"/>
          <w:szCs w:val="16"/>
        </w:rPr>
        <w:softHyphen/>
        <w:t>таниям самолет был рекомендован к запуску в серийное производство в вариантах штурмовика-бомбарди</w:t>
      </w:r>
      <w:r w:rsidRPr="00070ADE">
        <w:rPr>
          <w:rFonts w:ascii="Times New Roman" w:hAnsi="Times New Roman"/>
          <w:color w:val="000000" w:themeColor="text1"/>
          <w:sz w:val="16"/>
          <w:szCs w:val="16"/>
        </w:rPr>
        <w:softHyphen/>
        <w:t>ровщика и разведчика-корректиров</w:t>
      </w:r>
      <w:r w:rsidRPr="00070ADE">
        <w:rPr>
          <w:rFonts w:ascii="Times New Roman" w:hAnsi="Times New Roman"/>
          <w:color w:val="000000" w:themeColor="text1"/>
          <w:sz w:val="16"/>
          <w:szCs w:val="16"/>
        </w:rPr>
        <w:softHyphen/>
        <w:t>щика.</w:t>
      </w:r>
    </w:p>
    <w:p w14:paraId="72EDF0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целью выявления боевых ка</w:t>
      </w:r>
      <w:r w:rsidRPr="00070ADE">
        <w:rPr>
          <w:rFonts w:ascii="Times New Roman" w:hAnsi="Times New Roman"/>
          <w:color w:val="000000" w:themeColor="text1"/>
          <w:sz w:val="16"/>
          <w:szCs w:val="16"/>
        </w:rPr>
        <w:softHyphen/>
        <w:t>честв Ил-АМ-42 предлагалось "...вы</w:t>
      </w:r>
      <w:r w:rsidRPr="00070ADE">
        <w:rPr>
          <w:rFonts w:ascii="Times New Roman" w:hAnsi="Times New Roman"/>
          <w:color w:val="000000" w:themeColor="text1"/>
          <w:sz w:val="16"/>
          <w:szCs w:val="16"/>
        </w:rPr>
        <w:softHyphen/>
        <w:t>пустить войсковую серию этих само</w:t>
      </w:r>
      <w:r w:rsidRPr="00070ADE">
        <w:rPr>
          <w:rFonts w:ascii="Times New Roman" w:hAnsi="Times New Roman"/>
          <w:color w:val="000000" w:themeColor="text1"/>
          <w:sz w:val="16"/>
          <w:szCs w:val="16"/>
        </w:rPr>
        <w:softHyphen/>
        <w:t>летов". Причем, когда Акт подписы</w:t>
      </w:r>
      <w:r w:rsidRPr="00070ADE">
        <w:rPr>
          <w:rFonts w:ascii="Times New Roman" w:hAnsi="Times New Roman"/>
          <w:color w:val="000000" w:themeColor="text1"/>
          <w:sz w:val="16"/>
          <w:szCs w:val="16"/>
        </w:rPr>
        <w:softHyphen/>
        <w:t>вал начальник НИИ ВВС генерал-лейтенант П. А. Лосюков, то он соб</w:t>
      </w:r>
      <w:r w:rsidRPr="00070ADE">
        <w:rPr>
          <w:rFonts w:ascii="Times New Roman" w:hAnsi="Times New Roman"/>
          <w:color w:val="000000" w:themeColor="text1"/>
          <w:sz w:val="16"/>
          <w:szCs w:val="16"/>
        </w:rPr>
        <w:softHyphen/>
        <w:t>ственноручно дописал к этому пунк</w:t>
      </w:r>
      <w:r w:rsidRPr="00070ADE">
        <w:rPr>
          <w:rFonts w:ascii="Times New Roman" w:hAnsi="Times New Roman"/>
          <w:color w:val="000000" w:themeColor="text1"/>
          <w:sz w:val="16"/>
          <w:szCs w:val="16"/>
        </w:rPr>
        <w:softHyphen/>
        <w:t>ту документа: "даже с 50 час. ре</w:t>
      </w:r>
      <w:r w:rsidRPr="00070ADE">
        <w:rPr>
          <w:rFonts w:ascii="Times New Roman" w:hAnsi="Times New Roman"/>
          <w:color w:val="000000" w:themeColor="text1"/>
          <w:sz w:val="16"/>
          <w:szCs w:val="16"/>
        </w:rPr>
        <w:softHyphen/>
        <w:t>сурсом АМ-42 (если не успеют мо</w:t>
      </w:r>
      <w:r w:rsidRPr="00070ADE">
        <w:rPr>
          <w:rFonts w:ascii="Times New Roman" w:hAnsi="Times New Roman"/>
          <w:color w:val="000000" w:themeColor="text1"/>
          <w:sz w:val="16"/>
          <w:szCs w:val="16"/>
        </w:rPr>
        <w:softHyphen/>
        <w:t>торы со 100 час. ресурсом)".</w:t>
      </w:r>
    </w:p>
    <w:p w14:paraId="2D33D7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Военные специалисты считали не</w:t>
      </w:r>
      <w:r w:rsidRPr="00070ADE">
        <w:rPr>
          <w:rFonts w:ascii="Times New Roman" w:hAnsi="Times New Roman"/>
          <w:color w:val="000000" w:themeColor="text1"/>
          <w:sz w:val="16"/>
          <w:szCs w:val="16"/>
        </w:rPr>
        <w:softHyphen/>
        <w:t>обходимым "просить Наркома авиапромышленности тов. Шахурина А. И. дать задания: а) Главному конструктору мотора АМ-42 тов. Ми-купину А. А. довести опытный мотор до состояния пригодного к нормаль</w:t>
      </w:r>
      <w:r w:rsidRPr="00070ADE">
        <w:rPr>
          <w:rFonts w:ascii="Times New Roman" w:hAnsi="Times New Roman"/>
          <w:color w:val="000000" w:themeColor="text1"/>
          <w:sz w:val="16"/>
          <w:szCs w:val="16"/>
        </w:rPr>
        <w:softHyphen/>
        <w:t>ной эксплуатации, б) Главному кон</w:t>
      </w:r>
      <w:r w:rsidRPr="00070ADE">
        <w:rPr>
          <w:rFonts w:ascii="Times New Roman" w:hAnsi="Times New Roman"/>
          <w:color w:val="000000" w:themeColor="text1"/>
          <w:sz w:val="16"/>
          <w:szCs w:val="16"/>
        </w:rPr>
        <w:softHyphen/>
        <w:t>структору самолета Ил с АМ-42 тов. Ильюшину С. В. до запуска в серий</w:t>
      </w:r>
      <w:r w:rsidRPr="00070ADE">
        <w:rPr>
          <w:rFonts w:ascii="Times New Roman" w:hAnsi="Times New Roman"/>
          <w:color w:val="000000" w:themeColor="text1"/>
          <w:sz w:val="16"/>
          <w:szCs w:val="16"/>
        </w:rPr>
        <w:softHyphen/>
        <w:t>ное производство устранить дефек</w:t>
      </w:r>
      <w:r w:rsidRPr="00070ADE">
        <w:rPr>
          <w:rFonts w:ascii="Times New Roman" w:hAnsi="Times New Roman"/>
          <w:color w:val="000000" w:themeColor="text1"/>
          <w:sz w:val="16"/>
          <w:szCs w:val="16"/>
        </w:rPr>
        <w:softHyphen/>
        <w:t>ты, отмеченные в выводах..."</w:t>
      </w:r>
    </w:p>
    <w:p w14:paraId="38F072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отношении установки на само</w:t>
      </w:r>
      <w:r w:rsidRPr="00070ADE">
        <w:rPr>
          <w:rFonts w:ascii="Times New Roman" w:hAnsi="Times New Roman"/>
          <w:color w:val="000000" w:themeColor="text1"/>
          <w:sz w:val="16"/>
          <w:szCs w:val="16"/>
        </w:rPr>
        <w:softHyphen/>
        <w:t>лет кассет ДАГ-1 0 и крупнокалибер</w:t>
      </w:r>
      <w:r w:rsidRPr="00070ADE">
        <w:rPr>
          <w:rFonts w:ascii="Times New Roman" w:hAnsi="Times New Roman"/>
          <w:color w:val="000000" w:themeColor="text1"/>
          <w:sz w:val="16"/>
          <w:szCs w:val="16"/>
        </w:rPr>
        <w:softHyphen/>
        <w:t>ных пушек 1 1 П, а также о величине бомбовой нагрузки с этими пушка</w:t>
      </w:r>
      <w:r w:rsidRPr="00070ADE">
        <w:rPr>
          <w:rFonts w:ascii="Times New Roman" w:hAnsi="Times New Roman"/>
          <w:color w:val="000000" w:themeColor="text1"/>
          <w:sz w:val="16"/>
          <w:szCs w:val="16"/>
        </w:rPr>
        <w:softHyphen/>
        <w:t>ми, решение планировалось принять после проведения испытаний 2-го эк</w:t>
      </w:r>
      <w:r w:rsidRPr="00070ADE">
        <w:rPr>
          <w:rFonts w:ascii="Times New Roman" w:hAnsi="Times New Roman"/>
          <w:color w:val="000000" w:themeColor="text1"/>
          <w:sz w:val="16"/>
          <w:szCs w:val="16"/>
        </w:rPr>
        <w:softHyphen/>
        <w:t>земпляра самолета Ил-АМ-42 (11427).</w:t>
      </w:r>
    </w:p>
    <w:p w14:paraId="7B5DB2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49445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марта 1944 бригада испытателей НИИ ВВС рапортовала руководству об успешном завершении государственных летных испытаний опытного штурмовика Ил-8 АМ-42 с более высокими, чем у Ил-2, летными данными. Самолет имел много общего с Ил-2, и в случае внедрения его в массовое производство можно было использовать те же конвейеры и большую часть имеющейся оснастки. По этой причине наркомат авиапромышленности вынашивал планы перевода производства авиазавода № 18 на серийный выпуск Ил-8 уже с лета 1944 г., а авиазаводов № 1 и № 30 - в первом полугодии следующего года. Кроме этого, на завершающей стадии заводских испытаний находился опытный штурмовик ОКБ Сухого Су-6, который лучше подходил для боя, чем Ил-8. На подходе был еще один опытный штурмовик - Ил-10 АМ-42 (12020).</w:t>
      </w:r>
    </w:p>
    <w:p w14:paraId="5738BB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714686"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марта 1944 в 18.00 бригада испытателей, которая последние 3 дня работала весьма активно, рапортовала руководству института об успешном завершении государственных испытаний Ил-АМ-42 со «старым» проверенным винтом АВ-5 л-18Б, начавшихся 29 февраля.</w:t>
      </w:r>
    </w:p>
    <w:p w14:paraId="32AB5DB8" w14:textId="10B2D0C8"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Таким образом, испытания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продолжались в течение 31 календарного дня, из которых летных дней было всего 10, нелетных</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14. Еще 7 дней пришлось затратить на ремонт и доводку самолета. В общей сложности было выполнено 44 полета с налетом 19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 30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мин.</w:t>
      </w:r>
    </w:p>
    <w:p w14:paraId="733729EB" w14:textId="4F81E0A8"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испытаний самолет облетали ведущий инженер-летчик 3-го отдела НИИ ВВС инженер-майор 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Синельников, летчик-испытатель 4-го отдела майор 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Субботин, старший летчик-испытатель 3-го отдела майор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Журавлев и летчик-испытатель подполковник 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Нюхтиков. В качестве штурманов облета участвовали капитан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Горбунов, заместитель начальника 4-го отдела полковник 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Шауров, помощник начальника 6-го отдела капитан Васильев, штурман-испытатель капитан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Ковынев, штурман-испытатель подполковник 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Цветков.</w:t>
      </w:r>
    </w:p>
    <w:p w14:paraId="2650008D"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документов, самолет проходил испытания в двух вариантах: разведчика-корректировщика и штурмовика-бомбардировщика, которые отличались друг от друга фактически только бомбовой нагрузкой и заправкой самолета горючим и маслом. Состав фото- и радиооборудования самолета в ходе испытаний оставался неизменным и соответствовал «следопыту».</w:t>
      </w:r>
    </w:p>
    <w:p w14:paraId="6631F584"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Стрелково-пушечное вооружение самолета в обоих вариантах назначения было одинаковым и включало две пушки ВЯ (300 патронов), два пулемета ШКАС (1500 патронов) и оборонительный пулемет УБК (3 диска по 50 патронов) на ВУ-8. Ракетное вооружение не предусматривалось.</w:t>
      </w:r>
    </w:p>
    <w:p w14:paraId="25A4B00E" w14:textId="737FE08A"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 полетный вес штурмовика-бомбардировщика устанавливался в 7260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в перегрузку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7660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Полезная нагрузка при нормальном полетном весе составляла 1995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w:t>
      </w:r>
    </w:p>
    <w:p w14:paraId="3A02E087" w14:textId="2E66A59D"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перегрузочном варианте допускалась подвеска до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в том числе на двух внешних узлах две бомбы типа ФАБ-500 или два выливных авиаприбора ВАП-250 или УХАП-250.</w:t>
      </w:r>
    </w:p>
    <w:p w14:paraId="1B6C73E9" w14:textId="31E319C9"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Нагрузка в варианте «следопыта» ограничивалась 1460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и отличалась от штурмового варианта отсутствием бомбовой нагрузки и увеличенным до 120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весом съемного оборудования.</w:t>
      </w:r>
    </w:p>
    <w:p w14:paraId="2AA77575" w14:textId="65DA92E2"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Поскольку состав съемного оборудования на самолете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соответствовал варианту разведчика-корректировщика, то при загрузке 600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и полной заправке горючим и маслом вес самолета на 65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превышал нормальный полетный вес, установленный для штурмовика-бомбардировщика. Поэтому при проведении испытательных полетов в варианте штурмовика вес горючего уменьшался ровно на 65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w:t>
      </w:r>
    </w:p>
    <w:p w14:paraId="7551CBBD" w14:textId="6470C270"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АМ-42 на протяжении всего времени испытаний работал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и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 Отмечался и большой расход горючего на номинальном режиме работы мотора, который при контрольном полете 19 марта составил 295–315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г/л.</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 ч.</w:t>
      </w:r>
    </w:p>
    <w:p w14:paraId="5E020160"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испытаний пришлось заменить маслоуплотнитель носка вала редуктора мотора, регулятор давления наддува, прокладки под всасывающими патрубками (для чего был демонтирован карбюратор). Дважды заменили весь комплект свечей, по одному разу все свечи внешнего ряда, водяную трубку (подводящую охлаждающую воду к левому блоку цилиндров мотора от помпы) и бензотрубку (подводящую топливо к карбюраторам). Из-за течи по сварке трижды ремонтировались маслобаки. Одновременно были отремонтированы все карбюраторы и коллекторы нагнетателя.</w:t>
      </w:r>
    </w:p>
    <w:p w14:paraId="0DFBB97D"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выполнении работ по устранению недостатков и дефектов «в полный рост» проявилась непродуманность конструкции винтомоторной группы с точки зрения удобства эксплуатации. Например, для того чтобы снять водяную трубку, необходимо было демонтировать блоки мотора, выхлопные патрубки и левый маслобак, а затем вернуть их на свои места. Замена трубопровода, подводящего горючее к карбюраторам, выливалась в полный демонтаж всасывающей трубы нагнетателя и карбюратора. Испытатели отмечали трудоемкую замену свечей внутренней стороны, и особенно проводников к свечам. На их замену затрачивалось до 5–6 часов. Трубки, подводящие воду к блокам, имели слишком большую длину (без технологических разъемов), что серьезно усложняло их замену и ремонт.</w:t>
      </w:r>
    </w:p>
    <w:p w14:paraId="0D079C52"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общем, проблем с мотором хватало с избытком, но бригаде НИИ ВВС все же удалось отлетать программу испытаний почти в полном объеме.</w:t>
      </w:r>
    </w:p>
    <w:p w14:paraId="7804BA32" w14:textId="518E87F3"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первую очередь определялись летно-технические данные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в варианте штурмовика-бомбардировщика и только затем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 варианте разведчика-корректировщика. Как показали полеты, основные данные нового самолета заметно превосходили Ил-2, хотя, по мнению военных, уже не отвечали в полном объеме современным требованиям.</w:t>
      </w:r>
    </w:p>
    <w:p w14:paraId="68680A25" w14:textId="5EDCDC32"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нормальном полетном весе (600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на внутренней подвеске) максимальная скорость полета оказалась равной 472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на высоте 2500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и 428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у земли. Вертикальная скорость не превышала 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м/с на высоте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и 6,7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у земли. Разбег самолета с отклоненными на 17° щитками и с форсажем мотора составил 435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Пробег при посадочном весе 5900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с применением тормозов и отклонением щитков на 45° оказался в пределах 465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Посадочная скорость равнялась 136</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w:t>
      </w:r>
    </w:p>
    <w:p w14:paraId="7A5A228D" w14:textId="3CF3D6E3"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Разведчик-корректировщик на всех высотах летал на 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быстрее штурмовика-бомбардировщика. Примерно на 22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была выше скороподъемность и на 11</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горизонтальная маневренность. Лучшими были и взлетно-посадочные характеристики. Из-за непостоянства наддува в полете при работе мотора, тряски и выработки ресурса мотора (к моменту начала полетов в варианте «следопыта» остаток ресурса составлял 4–5 часов) измерить скороподъемность выше границы высотности не удалось.</w:t>
      </w:r>
    </w:p>
    <w:p w14:paraId="6EEC77C0" w14:textId="33FF9DEA"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всех вариантах полетного веса центровка самолета (шасси выпущено) находилась в пределах от 19,9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САХ (пустой самолет) до 23,3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(перегрузочный вариант с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w:t>
      </w:r>
    </w:p>
    <w:p w14:paraId="00BAFCC3" w14:textId="12EDAD5C"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полета на высоте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и скорости 308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составила 820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на 155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 больше дальности полета Ил-2 АМ-38ф. При этом отмечалось, что дальность полета 2-го экземпляра Ил-АМ-42, на котором установлены бензобаки емкостью 1020 л, будет достигать 980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w:t>
      </w:r>
    </w:p>
    <w:p w14:paraId="207F69A2" w14:textId="4C5255CB"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своим пилотажным свойствам Ил-АМ-42 оказался достаточно простым и легким в управлении. В сравнении с Ил-2 новый самолет обладал значительно лучшей продольной устойчивостью и управляемостью, что упростило технику пилотирования, особенно на виражах и бреющих полетах. Летчики-испытатели отмечали, что Ил-АМ-42 в отличие от Ил-2 «на вираже позволяет значительно выбирать ручку руля высоты на себя, для уменьшения радиуса виража». Пикировал самолет устойчиво. Просадка на выводе оказалась несколько больше, чем у серийного Ил-2. Сила отдачи при стрельбе из пушек почти не сказывалась на пилотировании самолетом и прицеливании. Маневренность Ил-АМ-42 в вертикальной и горизонтальной плоскостях оказалась почти такой же, как у серийной «двойки», даже несколько хуже, и считалась недостаточной для условий боевых действий завершающего периода войны. Тем не менее в целом самолет оставил у военных летчиков-испытателей хорошее впечатление. «Специального переучивания летного состава для перехода с Ил-2 не требует»,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указывалось в отчете по испытаниям.</w:t>
      </w:r>
    </w:p>
    <w:p w14:paraId="53042672"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улучшения пилотажных качеств машины летчики предлагали на руль поворота установить триммер, а на элероны «наклепать ножи для регулировки от подваливания».</w:t>
      </w:r>
    </w:p>
    <w:p w14:paraId="6143CA67" w14:textId="72C5ED1F"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Указывалось, что Ил-АМ-42 строился по нормам прочности 1941 года и относится к классу Б</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ограниченно маневренных самолетов. При полетном весе 7250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разрушающая перегрузка равнялась 7,5 единицы, эксплуатационная перегрузка («установленная главным конструктором самолета»)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4,96 единицы.</w:t>
      </w:r>
    </w:p>
    <w:p w14:paraId="00B8B1A1"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Помимо неудовлетворительной работы мотора АМ-42 отмечались и ряд других недостатков, отнесенных специалистами института к разряду основных.</w:t>
      </w:r>
    </w:p>
    <w:p w14:paraId="488329A8"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частности, для самолета боя представлялось обязательным наличие системы заполнения бензобаков нейтральным газом. На Ил-АМ-42, как указывалось выше, такая система имелась, но на государственные испытания официально она не предъявлялась, так как не была доведена до рабочего состояния.</w:t>
      </w:r>
    </w:p>
    <w:p w14:paraId="6AE1E666" w14:textId="7222E4F4"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Схему бронирования Ил-АМ-42 специалисты НИИ ВВС оценили как не отвечающую современным требованиям. Соответствующее заключение начальник 8-го отдела института инженер-полковник Лагутин утвердил 24 марта. В ряду особо уязвимых мест значились задняя бронеперегородка штурмана-стрелка (толщина 12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и моторная часть снизу-сбоку (толщина 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Боевой опыт показал, что именно эти места бронекорпуса Ил-2 наиболее часто поражаются огнем противника. Предлагалось усилить эти участки путем перераспределения толщины брони при сохранении веса брони на прежнем уровне. Для этого рекомендовалось «снять с корпуса/…/передние броневые детали за втулкой винта, уменьшить с 5 до 2,5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толщину деталей пояса кабины летчика в местах примыкания крыла к фюзеляжу». Кроме этого, требовалось заднюю перегородку штурмана установить по образцу 2-го экземпляра Ил-АМ-42, то есть сделать экранированной две бронеплиты по 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и обеспечить защиту головы штурмана бронестеклом.</w:t>
      </w:r>
    </w:p>
    <w:p w14:paraId="7750D096" w14:textId="17707CA3"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 же время отмечалось, что обе кабины</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летчика и штурмана-стрелка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 сравнении с Ил-2 имеют увеличенные размеры, что улучшает условия боевой работы экипажа. В кабине штурмана-стрелка вместо брезентовой ленты (как на Ил-2) устанавливалось постоянное откидное сиденье. Штурман облета капитан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Горбунов отмечал, что в кабине «тепло, задуваний нет, можно работать без летных очков». Посадка в кабину через нижний люк в бронекорпусе была признана удобной. В аварийной ситуации штурман легко покидал кабину с парашютом. Однако при посадке на фюзеляж выбраться из своей кабины штурман не мог, «так как фонарь летчика при открытии надвигается на фонарь штурмана».</w:t>
      </w:r>
    </w:p>
    <w:p w14:paraId="725EFC4E"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достоинству машины было отнесено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поскольку это сильно облегчало работу летчика в бою.</w:t>
      </w:r>
    </w:p>
    <w:p w14:paraId="4102393E"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Положительно оценили наличие дублирования в каналах управления рулем высоты, поворота, элеронами и триммерами.</w:t>
      </w:r>
    </w:p>
    <w:p w14:paraId="0D5AD193" w14:textId="70FC5713"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в кабине пилота прицела ПБП-1б на легкосъемном кронштейне обеспечивала летчику дополнительную безопасность при посадке с убранным шасси. Как известно, на Ил-2 ранних серий летчики часто ударялись о прицел ПБП-1 головой во время вынужденных посадок, что нередко приводило к серьезным травмам, а в ряде случаев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и к смертельным исходам.</w:t>
      </w:r>
    </w:p>
    <w:p w14:paraId="7026A3E7" w14:textId="32E5DE44"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Бомбовое вооружение штурмовика-бомбардировщика Ил-АМ-42 по номенклатуре бомб и весу в целом соответствовало требованиям войны. Бомбометание допускалось как с горизонтального полета, так и с пикирования, но под углами не более 25–30°, хотя на испытаниях самолет пикировал до 40° без каких-либо нареканий. Для бомбометания с горизонтального полета предназначался прицел ОПБ-1р. Сброс бомб мог осуществляться и штурманом, и летчиком. Однако прицельно сбросить бомбы ни тот ни другой не могли.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w:t>
      </w:r>
      <w:r w:rsidRPr="00070ADE">
        <w:rPr>
          <w:rFonts w:ascii="Times New Roman" w:hAnsi="Times New Roman"/>
          <w:color w:val="000000" w:themeColor="text1"/>
          <w:sz w:val="16"/>
          <w:szCs w:val="16"/>
        </w:rPr>
        <w:lastRenderedPageBreak/>
        <w:t>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штурман, «что требует соответствующей методической проработки».</w:t>
      </w:r>
    </w:p>
    <w:p w14:paraId="156ADB44" w14:textId="7F02A243"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бомбовый прицел штурмана в полете нещадно забрызгивался маслом, которое выбивалось из-под уплотнительного кольца втулки винта и носка коленчатого вала мотора. По этим причинам в первом же полете на испытание бомбового вооружения 9 марта штурман капитан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Горбунов был вынужден сбросить все бомбы залпом, неприцельно, за один заход. Для предохранения прицела от попадания масла на заводе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240 был изготовлен специальный щиток. Установка щитка на самолет положение не улучшило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оптика забрызгивалась маслом. Прицельное бомбометание по-прежнему оставалось невозможным. В испытательном полете 19 марта со щитком из-за замасливания оптики Горбунов сбросил все бомбы аварийно. В то же время отмечалось, что работать с ОПБ-1р в боевом положении удобно, а сам прицел является наиболее подходящим для установки на Ил-АМ-42, если, конечно, «устранить забрызгивание оптики прицела маслом».</w:t>
      </w:r>
    </w:p>
    <w:p w14:paraId="3F6A8D67"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этим причинам для бомбометания с горизонтального полета рекомендовалось использовать прицельную систему, отработанную для Ил-2: разметку и визирные штыри на бронекапоте самолета, метки и прицельные линии на лобовом и боковых бронестеклах фонаря кабины.</w:t>
      </w:r>
    </w:p>
    <w:p w14:paraId="75BF901E"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Бомбометание с пикирования по методике ничем не отличалось от таковой на Ил-2 и в целом показало хорошие результаты вследствие лучшей устойчивости самолета при пикировании.</w:t>
      </w:r>
    </w:p>
    <w:p w14:paraId="5108B7B9"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Отметим, что маслом забрызгивалось и переднее бронестекло фонаря кабины пилота, что, естественно, ухудшало условия прицеливания.</w:t>
      </w:r>
    </w:p>
    <w:p w14:paraId="567D128A"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отработки стрелково-пушечного вооружения было выполнено в общей сложности 19 полетов, из них «9 полетов со стрельбой по наземным целям и 10 полетов с ВУ-8».</w:t>
      </w:r>
    </w:p>
    <w:p w14:paraId="173D2C46"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Если к пушкам ВЯ и пулеметам ШКАС при стрельбе в воздухе каких-либо серьезных претензий у военных испытателей не было, то работой оборонительной установки ВУ-8 с пулеметом УБК и ее возможностями они остались недовольны.</w:t>
      </w:r>
    </w:p>
    <w:p w14:paraId="20D841BD" w14:textId="7D2096D0"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недостатки ВУ-8 в явном виде проявились в воздушном бою с немецким истребителем Bf109G-2, который состоялся 30 апреля. За воздушного стрелка вылетал штурман-испытатель подполковник 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Цветков. Атаки выполнялись со всех возможных в реальном бою направлений. При этом на маршруте полета от Чкаловской до Ногинска «мессер» успевал выполнить до 8–9 атак, находясь всегда в задней полусфере и отворачивая всякий раз в сторону с набором высоты.</w:t>
      </w:r>
    </w:p>
    <w:p w14:paraId="235EAE01" w14:textId="64599895"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Оказалось, что за время одной атаки «мессершмитта» штурман успевал только развернуть установку в сторону истребителя и выставить пулемет в необходимое положение для стрельбы по нему, а на прицеливание оставалось «такое незначительное время, что точно навести прицел с требуемой поправкой на скорость цели не удалось ни разу». С одной стороны, это обуславливалось большими угловыми скоростями цели, а с другой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значительными усилиями для удерживания пулемета при прицеливании и стрельбе. Дело в том, что для выполнения грубой наводки на цель штурману приходилось одной рукой (правой) удерживать пулемет, а другой рукой (левой)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фиксировать стопор каретки установки и одновременно «доворачивать пулеметную установку на цель». После окончания грубой наводки штурман переносил левую руку на пулемет для точного прицеливания, но положение цели за это время менялось настолько, что она оказывалась за пределами углового сектора точной наводки пулемета. Требовалось вновь перемещать саму установку и выполнять точную наводку пулеметом и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 То есть «одной рукой довести пулемет и прицелиться невозможно».</w:t>
      </w:r>
    </w:p>
    <w:p w14:paraId="024614A3"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Положение усугублялось еще и тем обстоятельством, что при работе с пулеметом имело место «много мелких трудноуловимых препятствий, затруднявших маневр пулеметом и установкой».</w:t>
      </w:r>
    </w:p>
    <w:p w14:paraId="55927480" w14:textId="0BE09719"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донесения Цветкова, производить прицеливание при стрельбе вверх было крайне неудобно, так как «приходится опускаться на корточки, и получается очень напряженное, неустойчивое положение». При поворотах установки на левый борт очень трудно использовать доводочные углы пулемета, требовалось менять положение туловища относительно оружия, а поскольку прицел располагался слева от пулемета, то для прицеливания нужно было втиснуться между пулеметом и установкой. К тому же сильно мешал установленный в кабине штурмана фотоаппарат АЩАФА-2. Положение стрелка было недостаточно устойчивым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во время прицеливания и стрельбы все время приходилось подыскивать место, куда бы поставить ноги. Отсюда потеря времени на прицеливание. Практически получалось так, что обеспечить прицельный огонь с левого борта было нельзя.</w:t>
      </w:r>
    </w:p>
    <w:p w14:paraId="6E8C30AF"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Стрельба с незастопоренной установкой показала, что пулемет в этом случае резко уходит к правому борту, а при стрельбе с застопоренной установкой пулемет сильно трясет.</w:t>
      </w:r>
    </w:p>
    <w:p w14:paraId="1334A6C8" w14:textId="2F31FD98"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Ведение прицельного огня на виражах оказалось невозможным, так как пулемет прижимает вниз, а «приподнять и удержать его не хватает силы», не говоря уже о том, чтобы одновременно с этим еще и поворачивать установку в сторону цели. Во время воздушного боя на виражах истребитель легко держался в хвосте и на первом же вираже заходил строго в хвост на дистанцию открытия действительного огня 100–150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w:t>
      </w:r>
    </w:p>
    <w:p w14:paraId="65EF0E36"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мнению подполковника Цветкова, маневренность ВУ-8 и пулемета в целом явно недостаточная для эффективного отражения атак истребителей, «в лучшем случае она может позволить сделать одну прицельную очередь, и то с недостаточной точностью прицеливания». Одновременно отмечалось, что сама установка ВУ-8 заметно лучше, чем блистерная установка БЛУБ на Су-6, и несколько лучше, чем ВУБ-3 на Ил-2.</w:t>
      </w:r>
    </w:p>
    <w:p w14:paraId="1F01195E"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Справедливости ради следует отметить, что при всех атаках со стороны задней полусферы летчик по команде штурмана энергичным маневром успевал доворачивать самолет таким образом, чтобы штурман мог держать противника в секторе обстрела. Это до некоторой степени компенсировало ограниченность углов обстрела установки, однако не обеспечивало ведение прицельной стрельбы.</w:t>
      </w:r>
    </w:p>
    <w:p w14:paraId="0836E645" w14:textId="7745F1C5"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отражении атак истребителя со стороны солнца выявилась еще одна интересная особенность ВУ-8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плексиглас козырька установки слепил штурмана еще больше, чем солнце, вследствие чего прицеливаться было невозможно.</w:t>
      </w:r>
    </w:p>
    <w:p w14:paraId="3D2CA49B"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переговорное устройство штурмана и летчика работало неудовлетворительно: «… сильный треск и шум не давали разговаривать, переключатель абонентской коробки во время боя несколько раз самопроизвольно переключался в положение РС или РК, что нарушало связь с летчиком».</w:t>
      </w:r>
    </w:p>
    <w:p w14:paraId="74B3A958"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Серьезными недостатками ВУ-8 считались небольшая емкость магазина пулемета УБК и большое время его смены. Полсотни патронов в магазине оказалось недостаточно для отражения даже одной атаки истребителя. В то же время на его замену уходило около одной минуты, что было совершенно неприемлемым для реальных условий боя. В отчете указывалось, что за счет некоторых конструктивных улучшений можно сократить время смены магазина до 45–50 секунд, но все равно оно оставалось большим.</w:t>
      </w:r>
    </w:p>
    <w:p w14:paraId="2B748969" w14:textId="5E0465D6"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ранее принятыми подобными установками преимуществ не имеет, за исключением того, что защищает стрелка от задувания»,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констатировал подполковник Цветков после проведенного им воздушного боя с немецким истребителем.</w:t>
      </w:r>
    </w:p>
    <w:p w14:paraId="30C83F1D"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выводах отчета предлагалось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0D29F755" w14:textId="1296D811"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Предъявлялись претензии и к спецоборудованию самолета. В частности,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«летчик и штурман совмещают лишние функции».</w:t>
      </w:r>
    </w:p>
    <w:p w14:paraId="1E022969"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столь обширный перечень дефектов и недостатков Ил-АМ-42, в заключении акта по испытаниям самолет был рекомендован к запуску в серийное производство в вариантах штурмовика-бомбардировщика и разведчика-корректировщика.</w:t>
      </w:r>
    </w:p>
    <w:p w14:paraId="53FB5718" w14:textId="2E9D340A"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целью выявления боевых качеств Ил-АМ-42 предлагалось «выпустить войсковую серию этих самолетов». Причем когда акт подписывал начальник НИИ ВВС генерал-лейтенант 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Лосюков, то он собственноручно дописал к этому пункту документа: «…даже с 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час. ресурсом АМ-42 (если не успеют моторы со 100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час. ресурсом)».</w:t>
      </w:r>
    </w:p>
    <w:p w14:paraId="6C49052A" w14:textId="269F71D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Военные специалисты считали необходимым «просить Наркома авиапромышленности тов. Шахурина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 дать задания: а) Главному конструктору мотора АМ-42 тов. Микулину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 довести опытный мотор до состояния пригодного к нормальной эксплуатации. б) Главному конструктору самолета Ил с АМ-42 тов. Ильюшину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 до запуска в серийное производство устранить дефекты, отмеченные в выводах…»</w:t>
      </w:r>
    </w:p>
    <w:p w14:paraId="4858071B"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 касается установки на самолет кассет ДАГ-10 и крупнокалиберных пушек 11П, а также величины бомбовой нагрузки с этими пушками, то решение планировалось принять после проведения испытаний 2-го экземпляра самолета Ил-АМ-42 (17490).</w:t>
      </w:r>
    </w:p>
    <w:p w14:paraId="7415718B" w14:textId="77777777" w:rsidR="008E2CE5" w:rsidRPr="00070ADE" w:rsidRDefault="008E2CE5" w:rsidP="00B56F90">
      <w:pPr>
        <w:spacing w:after="0" w:line="240" w:lineRule="auto"/>
        <w:jc w:val="both"/>
        <w:rPr>
          <w:rFonts w:ascii="Times New Roman" w:hAnsi="Times New Roman"/>
          <w:color w:val="000000" w:themeColor="text1"/>
          <w:sz w:val="16"/>
          <w:szCs w:val="16"/>
        </w:rPr>
      </w:pPr>
    </w:p>
    <w:p w14:paraId="01503F1E" w14:textId="77777777" w:rsidR="00427F3D" w:rsidRPr="00070ADE" w:rsidRDefault="00427F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марта 1944 г. в НИИ ВВС с общим налетом 19 часов 30 минут в 44 полетах успешно завершились госиспытания опытного двухместного «тяжелого» «Ил» № 1 с мотором АМ42 и винтом АВ-5Л-18Б конструкции С.В. Ильюшина (экземпляр № 1, производство завода № 240 мая 1943 года). Самолет был рекомендован в серию в двух вариантах, однако моторов, пригодных к установке на этой самой серии, по сути, так и не было. Более того, по предложению наркома авиапромышленности А.И. Шахурина, И.В. Сталин, постановлением ГКО № 5525с от 3 апреля освободил Александра Александровича Микулина от обязанностей Главного конструктора завода № 24 в Куйбышеве. Этот пост занял Михаил Романович Флисский, которому и предстояло спасать АМ-42. Завод № 18 неспешно (по меркам того времени) приступил к освоению производства штурмовика Ил-8 или изделия «М» по внутризаводскому шифру. Однако этим планам не суждено было сбыться. Во второй половине апреля Сергей Владимирович Ильюшин завершил «операцию прикрытия». Двухместный вариант самолета Ил-1 после выполнения комплекса доработок на заводе № 240 получил (сначала полуофициально) новое наименование – Ил-10. События стали развиваться в ускоренном темпе. 18 апреля Владимир Константинович Коккинаки выполнил на новой машине первый вылет, а уже 27 мая с положительной оценкой завершились государственные испытания в НИИ ВВС. За следующие два месяца была проделана огромная работа по организации, планированиюи подготовке производстваИл-10 (21005)</w:t>
      </w:r>
    </w:p>
    <w:p w14:paraId="7E9207BC" w14:textId="77777777" w:rsidR="00427F3D" w:rsidRPr="00070ADE" w:rsidRDefault="00427F3D" w:rsidP="00B56F90">
      <w:pPr>
        <w:shd w:val="clear" w:color="auto" w:fill="FFFFFF"/>
        <w:spacing w:after="0" w:line="240" w:lineRule="auto"/>
        <w:jc w:val="both"/>
        <w:rPr>
          <w:rFonts w:ascii="Times New Roman" w:hAnsi="Times New Roman"/>
          <w:color w:val="000000" w:themeColor="text1"/>
          <w:sz w:val="16"/>
          <w:szCs w:val="16"/>
        </w:rPr>
      </w:pPr>
    </w:p>
    <w:p w14:paraId="75B1E0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марта 1944 года начальник НИИ ВВС генерал-лейтенант инженерной службы Лосюков и начальник 3-го отдела НИИ ВВС инженер-полковник Сафронов писали письмо N 3/0454 гл. инженеру ВВС генерал-полковнику Репину А.К., Шахурину, управление кадров ЦК ВКП(б) генерал лейтенанту авиации Шиманову Н.С.</w:t>
      </w:r>
    </w:p>
    <w:p w14:paraId="43FB84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 что государственные испытания опытного самолета Як-9У, конструкции Яковлева, с установленным 27 февраля 1944 года вторым мотором ВК-107А, временно прекращены. В полете выбивает масло через уплотнение вала редуктора и из суфлерной трубы мотора (1821,133).</w:t>
      </w:r>
    </w:p>
    <w:p w14:paraId="2305A1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9FED1E" w14:textId="77777777" w:rsidR="00087956" w:rsidRPr="00C94B78" w:rsidRDefault="00087956"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30 марта 1944 г из-за нелетной погоды высотный Ла-5 не смог поднять</w:t>
      </w:r>
      <w:r w:rsidRPr="00C94B78">
        <w:rPr>
          <w:rFonts w:ascii="Times New Roman" w:hAnsi="Times New Roman"/>
          <w:color w:val="0070C0"/>
          <w:sz w:val="16"/>
          <w:szCs w:val="16"/>
        </w:rPr>
        <w:softHyphen/>
        <w:t>ся в воздух, а сообщение об этом до Москвы не дошло. На следующий же день из НКАП в Горький ушла тревож</w:t>
      </w:r>
      <w:r w:rsidRPr="00C94B78">
        <w:rPr>
          <w:rFonts w:ascii="Times New Roman" w:hAnsi="Times New Roman"/>
          <w:color w:val="0070C0"/>
          <w:sz w:val="16"/>
          <w:szCs w:val="16"/>
        </w:rPr>
        <w:softHyphen/>
        <w:t>ная телефонограмма с требованием обязательных ежедневных сообще</w:t>
      </w:r>
      <w:r w:rsidRPr="00C94B78">
        <w:rPr>
          <w:rFonts w:ascii="Times New Roman" w:hAnsi="Times New Roman"/>
          <w:color w:val="0070C0"/>
          <w:sz w:val="16"/>
          <w:szCs w:val="16"/>
        </w:rPr>
        <w:softHyphen/>
        <w:t>ний (24930).</w:t>
      </w:r>
    </w:p>
    <w:p w14:paraId="1E589F72" w14:textId="77777777" w:rsidR="00087956" w:rsidRPr="00C94B78" w:rsidRDefault="00087956" w:rsidP="00B56F90">
      <w:pPr>
        <w:spacing w:after="0" w:line="240" w:lineRule="auto"/>
        <w:jc w:val="both"/>
        <w:rPr>
          <w:rFonts w:ascii="Times New Roman" w:hAnsi="Times New Roman"/>
          <w:color w:val="0070C0"/>
          <w:sz w:val="16"/>
          <w:szCs w:val="16"/>
        </w:rPr>
      </w:pPr>
    </w:p>
    <w:p w14:paraId="2A01DC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марта 1944 года была подготовлена справка:</w:t>
      </w:r>
    </w:p>
    <w:p w14:paraId="246D53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время оккупации Таганрога на базе завода № 86 НКАП был организован ремонтный завод фирмы “Юнкерс”. Отступая из Таганрога немцы эвакуировали завод в Умань. (Реэвакуировать оборудование ранее принадлежавшее заводу № 86 НКАП) (8951).</w:t>
      </w:r>
    </w:p>
    <w:p w14:paraId="1136E9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9F1D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марта 1944 года Н.С.Хрущева - тогда Первый секретарь ЦК КП(б)У и Председатель Совмина Украины, высказал предложения по восстановлению ГА в Украине (9631).</w:t>
      </w:r>
    </w:p>
    <w:p w14:paraId="2D3335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9C95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марта 1944 Нач. 12 ГУ НКАП Васильев писал письмо № 44/893 в ЦК ВКП(б) Управление кадров, Авиационный Отдел - т. Серову:</w:t>
      </w:r>
    </w:p>
    <w:p w14:paraId="321DCC8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Потребность самолетных заводов в концевых выключателях на 2-1 кв. 1944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8"/>
        <w:gridCol w:w="4500"/>
        <w:gridCol w:w="1206"/>
        <w:gridCol w:w="1206"/>
        <w:gridCol w:w="1206"/>
        <w:gridCol w:w="1206"/>
        <w:gridCol w:w="1206"/>
      </w:tblGrid>
      <w:tr w:rsidR="004D4663" w:rsidRPr="00070ADE" w14:paraId="2AC42FD9" w14:textId="77777777">
        <w:tc>
          <w:tcPr>
            <w:tcW w:w="738" w:type="dxa"/>
            <w:tcBorders>
              <w:top w:val="single" w:sz="12" w:space="0" w:color="auto"/>
            </w:tcBorders>
          </w:tcPr>
          <w:p w14:paraId="3C3BD4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п/п</w:t>
            </w:r>
          </w:p>
        </w:tc>
        <w:tc>
          <w:tcPr>
            <w:tcW w:w="4500" w:type="dxa"/>
            <w:tcBorders>
              <w:top w:val="single" w:sz="12" w:space="0" w:color="auto"/>
            </w:tcBorders>
          </w:tcPr>
          <w:p w14:paraId="5E485F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w:t>
            </w:r>
          </w:p>
        </w:tc>
        <w:tc>
          <w:tcPr>
            <w:tcW w:w="1206" w:type="dxa"/>
            <w:tcBorders>
              <w:top w:val="single" w:sz="12" w:space="0" w:color="auto"/>
            </w:tcBorders>
          </w:tcPr>
          <w:p w14:paraId="198E1D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w:t>
            </w:r>
          </w:p>
        </w:tc>
        <w:tc>
          <w:tcPr>
            <w:tcW w:w="1206" w:type="dxa"/>
            <w:tcBorders>
              <w:top w:val="single" w:sz="12" w:space="0" w:color="auto"/>
            </w:tcBorders>
          </w:tcPr>
          <w:p w14:paraId="7C1135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Назначение</w:t>
            </w:r>
          </w:p>
        </w:tc>
        <w:tc>
          <w:tcPr>
            <w:tcW w:w="1206" w:type="dxa"/>
            <w:tcBorders>
              <w:top w:val="single" w:sz="12" w:space="0" w:color="auto"/>
            </w:tcBorders>
          </w:tcPr>
          <w:p w14:paraId="3B3279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w:t>
            </w:r>
          </w:p>
        </w:tc>
        <w:tc>
          <w:tcPr>
            <w:tcW w:w="1206" w:type="dxa"/>
            <w:tcBorders>
              <w:top w:val="single" w:sz="12" w:space="0" w:color="auto"/>
            </w:tcBorders>
          </w:tcPr>
          <w:p w14:paraId="1A75E3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Потребность для обеспечения выпуска самолетов</w:t>
            </w:r>
          </w:p>
        </w:tc>
        <w:tc>
          <w:tcPr>
            <w:tcW w:w="1206" w:type="dxa"/>
            <w:tcBorders>
              <w:top w:val="single" w:sz="12" w:space="0" w:color="auto"/>
            </w:tcBorders>
          </w:tcPr>
          <w:p w14:paraId="3796AE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w:t>
            </w:r>
          </w:p>
        </w:tc>
      </w:tr>
      <w:tr w:rsidR="004D4663" w:rsidRPr="00070ADE" w14:paraId="7B11407B" w14:textId="77777777">
        <w:tc>
          <w:tcPr>
            <w:tcW w:w="738" w:type="dxa"/>
          </w:tcPr>
          <w:p w14:paraId="436C6F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4500" w:type="dxa"/>
          </w:tcPr>
          <w:p w14:paraId="31ED09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Концевой выключатель с дополнительным устройством</w:t>
            </w:r>
          </w:p>
        </w:tc>
        <w:tc>
          <w:tcPr>
            <w:tcW w:w="1206" w:type="dxa"/>
          </w:tcPr>
          <w:p w14:paraId="6D994E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ВК-41</w:t>
            </w:r>
          </w:p>
        </w:tc>
        <w:tc>
          <w:tcPr>
            <w:tcW w:w="1206" w:type="dxa"/>
          </w:tcPr>
          <w:p w14:paraId="2D6EDC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И-2</w:t>
            </w:r>
          </w:p>
        </w:tc>
        <w:tc>
          <w:tcPr>
            <w:tcW w:w="1206" w:type="dxa"/>
          </w:tcPr>
          <w:p w14:paraId="111BDE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1206" w:type="dxa"/>
          </w:tcPr>
          <w:p w14:paraId="752B3B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14950</w:t>
            </w:r>
          </w:p>
        </w:tc>
        <w:tc>
          <w:tcPr>
            <w:tcW w:w="1206" w:type="dxa"/>
          </w:tcPr>
          <w:p w14:paraId="169206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D734B55" w14:textId="77777777">
        <w:tc>
          <w:tcPr>
            <w:tcW w:w="738" w:type="dxa"/>
          </w:tcPr>
          <w:p w14:paraId="5FE3AD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3C93ADF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0885D34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1106BF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w:t>
            </w:r>
          </w:p>
        </w:tc>
        <w:tc>
          <w:tcPr>
            <w:tcW w:w="1206" w:type="dxa"/>
          </w:tcPr>
          <w:p w14:paraId="4AE11B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1206" w:type="dxa"/>
          </w:tcPr>
          <w:p w14:paraId="38EDDA1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4788</w:t>
            </w:r>
          </w:p>
        </w:tc>
        <w:tc>
          <w:tcPr>
            <w:tcW w:w="1206" w:type="dxa"/>
          </w:tcPr>
          <w:p w14:paraId="17D5503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779BE93" w14:textId="77777777">
        <w:tc>
          <w:tcPr>
            <w:tcW w:w="738" w:type="dxa"/>
          </w:tcPr>
          <w:p w14:paraId="7B1DF7A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47B2EA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35EB92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296EF3E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w:t>
            </w:r>
          </w:p>
        </w:tc>
        <w:tc>
          <w:tcPr>
            <w:tcW w:w="1206" w:type="dxa"/>
          </w:tcPr>
          <w:p w14:paraId="209055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w:t>
            </w:r>
          </w:p>
        </w:tc>
        <w:tc>
          <w:tcPr>
            <w:tcW w:w="1206" w:type="dxa"/>
          </w:tcPr>
          <w:p w14:paraId="5C3EA5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14706</w:t>
            </w:r>
          </w:p>
        </w:tc>
        <w:tc>
          <w:tcPr>
            <w:tcW w:w="1206" w:type="dxa"/>
          </w:tcPr>
          <w:p w14:paraId="6A53448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CF52DA3" w14:textId="77777777">
        <w:tc>
          <w:tcPr>
            <w:tcW w:w="738" w:type="dxa"/>
          </w:tcPr>
          <w:p w14:paraId="3490CF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327D6F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113700E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0629D0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Ту-2</w:t>
            </w:r>
          </w:p>
        </w:tc>
        <w:tc>
          <w:tcPr>
            <w:tcW w:w="1206" w:type="dxa"/>
          </w:tcPr>
          <w:p w14:paraId="0D22E07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1206" w:type="dxa"/>
          </w:tcPr>
          <w:p w14:paraId="0E0980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720</w:t>
            </w:r>
          </w:p>
        </w:tc>
        <w:tc>
          <w:tcPr>
            <w:tcW w:w="1206" w:type="dxa"/>
          </w:tcPr>
          <w:p w14:paraId="1D9E4C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9F199D5" w14:textId="77777777">
        <w:tc>
          <w:tcPr>
            <w:tcW w:w="738" w:type="dxa"/>
          </w:tcPr>
          <w:p w14:paraId="44E4A5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12BD40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0166D1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6079BBB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ЛаГГ-3</w:t>
            </w:r>
          </w:p>
        </w:tc>
        <w:tc>
          <w:tcPr>
            <w:tcW w:w="1206" w:type="dxa"/>
          </w:tcPr>
          <w:p w14:paraId="39223A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1206" w:type="dxa"/>
          </w:tcPr>
          <w:p w14:paraId="713AD8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1206" w:type="dxa"/>
          </w:tcPr>
          <w:p w14:paraId="798261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517221F" w14:textId="77777777">
        <w:tc>
          <w:tcPr>
            <w:tcW w:w="738" w:type="dxa"/>
          </w:tcPr>
          <w:p w14:paraId="64A730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7CFEAFE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51AFBF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5E578E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Ер-2</w:t>
            </w:r>
          </w:p>
        </w:tc>
        <w:tc>
          <w:tcPr>
            <w:tcW w:w="1206" w:type="dxa"/>
          </w:tcPr>
          <w:p w14:paraId="5FF09D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1206" w:type="dxa"/>
          </w:tcPr>
          <w:p w14:paraId="2CC8B4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360</w:t>
            </w:r>
          </w:p>
        </w:tc>
        <w:tc>
          <w:tcPr>
            <w:tcW w:w="1206" w:type="dxa"/>
          </w:tcPr>
          <w:p w14:paraId="2ACB520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3BBAFF5" w14:textId="77777777">
        <w:tc>
          <w:tcPr>
            <w:tcW w:w="738" w:type="dxa"/>
          </w:tcPr>
          <w:p w14:paraId="7384EC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4D8349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40B4D1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73D1AEB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Як-1</w:t>
            </w:r>
          </w:p>
        </w:tc>
        <w:tc>
          <w:tcPr>
            <w:tcW w:w="1206" w:type="dxa"/>
          </w:tcPr>
          <w:p w14:paraId="4E285D9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1206" w:type="dxa"/>
          </w:tcPr>
          <w:p w14:paraId="7D9B9C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1232</w:t>
            </w:r>
          </w:p>
        </w:tc>
        <w:tc>
          <w:tcPr>
            <w:tcW w:w="1206" w:type="dxa"/>
          </w:tcPr>
          <w:p w14:paraId="55D1FB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73224B8" w14:textId="77777777">
        <w:tc>
          <w:tcPr>
            <w:tcW w:w="738" w:type="dxa"/>
          </w:tcPr>
          <w:p w14:paraId="025A2E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58B8F4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4A940F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2D2666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w:t>
            </w:r>
          </w:p>
        </w:tc>
        <w:tc>
          <w:tcPr>
            <w:tcW w:w="1206" w:type="dxa"/>
          </w:tcPr>
          <w:p w14:paraId="353AE0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1206" w:type="dxa"/>
          </w:tcPr>
          <w:p w14:paraId="2EC3CE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1520</w:t>
            </w:r>
          </w:p>
        </w:tc>
        <w:tc>
          <w:tcPr>
            <w:tcW w:w="1206" w:type="dxa"/>
          </w:tcPr>
          <w:p w14:paraId="28E012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EABF2EA" w14:textId="77777777">
        <w:tc>
          <w:tcPr>
            <w:tcW w:w="738" w:type="dxa"/>
          </w:tcPr>
          <w:p w14:paraId="19B782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301588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tc>
        <w:tc>
          <w:tcPr>
            <w:tcW w:w="1206" w:type="dxa"/>
          </w:tcPr>
          <w:p w14:paraId="4514B6A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46AFFBE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685EF7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1E46E0C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38326</w:t>
            </w:r>
          </w:p>
        </w:tc>
        <w:tc>
          <w:tcPr>
            <w:tcW w:w="1206" w:type="dxa"/>
          </w:tcPr>
          <w:p w14:paraId="2029CD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4F6A924" w14:textId="77777777">
        <w:tc>
          <w:tcPr>
            <w:tcW w:w="738" w:type="dxa"/>
          </w:tcPr>
          <w:p w14:paraId="2592E5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0F803D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Заявка</w:t>
            </w:r>
          </w:p>
        </w:tc>
        <w:tc>
          <w:tcPr>
            <w:tcW w:w="1206" w:type="dxa"/>
          </w:tcPr>
          <w:p w14:paraId="45C867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343C832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108025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1F33C0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30000</w:t>
            </w:r>
          </w:p>
        </w:tc>
        <w:tc>
          <w:tcPr>
            <w:tcW w:w="1206" w:type="dxa"/>
          </w:tcPr>
          <w:p w14:paraId="1F6586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69E0A36" w14:textId="77777777">
        <w:tc>
          <w:tcPr>
            <w:tcW w:w="738" w:type="dxa"/>
          </w:tcPr>
          <w:p w14:paraId="55C378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4500" w:type="dxa"/>
          </w:tcPr>
          <w:p w14:paraId="46F3EAE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Выключатель концевой без дополнительного устройства</w:t>
            </w:r>
          </w:p>
        </w:tc>
        <w:tc>
          <w:tcPr>
            <w:tcW w:w="1206" w:type="dxa"/>
          </w:tcPr>
          <w:p w14:paraId="168840B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ВК-41</w:t>
            </w:r>
          </w:p>
        </w:tc>
        <w:tc>
          <w:tcPr>
            <w:tcW w:w="1206" w:type="dxa"/>
          </w:tcPr>
          <w:p w14:paraId="0426A1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Як-3</w:t>
            </w:r>
          </w:p>
        </w:tc>
        <w:tc>
          <w:tcPr>
            <w:tcW w:w="1206" w:type="dxa"/>
          </w:tcPr>
          <w:p w14:paraId="591993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1206" w:type="dxa"/>
          </w:tcPr>
          <w:p w14:paraId="454BF6B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1200</w:t>
            </w:r>
          </w:p>
        </w:tc>
        <w:tc>
          <w:tcPr>
            <w:tcW w:w="1206" w:type="dxa"/>
          </w:tcPr>
          <w:p w14:paraId="0E4560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BD4BF1C" w14:textId="77777777">
        <w:tc>
          <w:tcPr>
            <w:tcW w:w="738" w:type="dxa"/>
          </w:tcPr>
          <w:p w14:paraId="47FA66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6C326F2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65DF48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41F39A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w:t>
            </w:r>
          </w:p>
        </w:tc>
        <w:tc>
          <w:tcPr>
            <w:tcW w:w="1206" w:type="dxa"/>
          </w:tcPr>
          <w:p w14:paraId="3985387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1206" w:type="dxa"/>
          </w:tcPr>
          <w:p w14:paraId="46D39F8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3730</w:t>
            </w:r>
          </w:p>
        </w:tc>
        <w:tc>
          <w:tcPr>
            <w:tcW w:w="1206" w:type="dxa"/>
          </w:tcPr>
          <w:p w14:paraId="3F9B81F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A5A9CA9" w14:textId="77777777">
        <w:tc>
          <w:tcPr>
            <w:tcW w:w="738" w:type="dxa"/>
          </w:tcPr>
          <w:p w14:paraId="3BB476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153BAA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2D0687F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6E9B03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w:t>
            </w:r>
          </w:p>
        </w:tc>
        <w:tc>
          <w:tcPr>
            <w:tcW w:w="1206" w:type="dxa"/>
          </w:tcPr>
          <w:p w14:paraId="4BE3CC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1206" w:type="dxa"/>
          </w:tcPr>
          <w:p w14:paraId="7D1BDA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3192</w:t>
            </w:r>
          </w:p>
        </w:tc>
        <w:tc>
          <w:tcPr>
            <w:tcW w:w="1206" w:type="dxa"/>
          </w:tcPr>
          <w:p w14:paraId="30925F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C1CB23F" w14:textId="77777777">
        <w:tc>
          <w:tcPr>
            <w:tcW w:w="738" w:type="dxa"/>
          </w:tcPr>
          <w:p w14:paraId="0138F2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00C118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0AE061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5D0F6D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ЛаГГ-3</w:t>
            </w:r>
          </w:p>
        </w:tc>
        <w:tc>
          <w:tcPr>
            <w:tcW w:w="1206" w:type="dxa"/>
          </w:tcPr>
          <w:p w14:paraId="33F3C45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1206" w:type="dxa"/>
          </w:tcPr>
          <w:p w14:paraId="29BFCB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1206" w:type="dxa"/>
          </w:tcPr>
          <w:p w14:paraId="3DED853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6FB925D" w14:textId="77777777">
        <w:tc>
          <w:tcPr>
            <w:tcW w:w="738" w:type="dxa"/>
          </w:tcPr>
          <w:p w14:paraId="53EF133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Pr>
          <w:p w14:paraId="15C1409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tc>
        <w:tc>
          <w:tcPr>
            <w:tcW w:w="1206" w:type="dxa"/>
          </w:tcPr>
          <w:p w14:paraId="31D85E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54AAD5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38D757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Pr>
          <w:p w14:paraId="384D7C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8147</w:t>
            </w:r>
          </w:p>
        </w:tc>
        <w:tc>
          <w:tcPr>
            <w:tcW w:w="1206" w:type="dxa"/>
          </w:tcPr>
          <w:p w14:paraId="0F9F8D4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74A5A78" w14:textId="77777777">
        <w:tc>
          <w:tcPr>
            <w:tcW w:w="738" w:type="dxa"/>
            <w:tcBorders>
              <w:bottom w:val="single" w:sz="12" w:space="0" w:color="auto"/>
            </w:tcBorders>
          </w:tcPr>
          <w:p w14:paraId="2C2AF5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4500" w:type="dxa"/>
            <w:tcBorders>
              <w:bottom w:val="single" w:sz="12" w:space="0" w:color="auto"/>
            </w:tcBorders>
          </w:tcPr>
          <w:p w14:paraId="070A592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Заявка</w:t>
            </w:r>
          </w:p>
        </w:tc>
        <w:tc>
          <w:tcPr>
            <w:tcW w:w="1206" w:type="dxa"/>
            <w:tcBorders>
              <w:bottom w:val="single" w:sz="12" w:space="0" w:color="auto"/>
            </w:tcBorders>
          </w:tcPr>
          <w:p w14:paraId="330A7A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Borders>
              <w:bottom w:val="single" w:sz="12" w:space="0" w:color="auto"/>
            </w:tcBorders>
          </w:tcPr>
          <w:p w14:paraId="34053C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Borders>
              <w:bottom w:val="single" w:sz="12" w:space="0" w:color="auto"/>
            </w:tcBorders>
          </w:tcPr>
          <w:p w14:paraId="47E122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6" w:type="dxa"/>
            <w:tcBorders>
              <w:bottom w:val="single" w:sz="12" w:space="0" w:color="auto"/>
            </w:tcBorders>
          </w:tcPr>
          <w:p w14:paraId="22FBE2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10000</w:t>
            </w:r>
          </w:p>
        </w:tc>
        <w:tc>
          <w:tcPr>
            <w:tcW w:w="1206" w:type="dxa"/>
            <w:tcBorders>
              <w:bottom w:val="single" w:sz="12" w:space="0" w:color="auto"/>
            </w:tcBorders>
          </w:tcPr>
          <w:p w14:paraId="341BBD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bl>
    <w:p w14:paraId="6A7D75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(10527,6).</w:t>
      </w:r>
    </w:p>
    <w:p w14:paraId="6A127D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74FA2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3CADB8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8478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марта 1944:</w:t>
      </w:r>
    </w:p>
    <w:p w14:paraId="480164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докладной записки Красноярского крайкома ВКП (б) в Наркоматы Внутренних дел, боеприпасов и строительства О строительстве завода №580</w:t>
      </w:r>
    </w:p>
    <w:p w14:paraId="786B0D3E" w14:textId="77777777" w:rsidR="00595BFB" w:rsidRPr="00070ADE" w:rsidRDefault="00595BFB" w:rsidP="00B56F90">
      <w:pPr>
        <w:tabs>
          <w:tab w:val="left" w:pos="708"/>
          <w:tab w:val="center" w:pos="5425"/>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г.Красноярск 30 марта 1944 г.</w:t>
      </w:r>
    </w:p>
    <w:p w14:paraId="3DE7F9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Народному комиссару Внутренних дел СССР тов. Берия Л.П.</w:t>
      </w:r>
    </w:p>
    <w:p w14:paraId="0765799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Народному Комиссару боеприпасов СССР тов. Ванникову Б.Л.</w:t>
      </w:r>
    </w:p>
    <w:p w14:paraId="5AF688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Народному Комиссару по строительству тов. Гинзбург С.З.</w:t>
      </w:r>
    </w:p>
    <w:p w14:paraId="3ED3C7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 Красноярске коллективом строителей и монтажников первого стройуправления Особой Строительно-монтажной части №26 Наркомстроя, в соответствии с решением Государственного Комитета Обороны СССР от 13-го мая 1943 года, построены, смонтированы и сданы в эксплуатацию нижеследующие производства порохового завода №580 Наркомата Боеприпасов.</w:t>
      </w:r>
    </w:p>
    <w:p w14:paraId="5D87EBE1" w14:textId="77777777" w:rsidR="00595BFB" w:rsidRPr="00070ADE" w:rsidRDefault="00595BFB" w:rsidP="00B56F90">
      <w:pPr>
        <w:tabs>
          <w:tab w:val="left" w:pos="720"/>
          <w:tab w:val="left" w:pos="1287"/>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r w:rsidRPr="00070ADE">
        <w:rPr>
          <w:rFonts w:ascii="Times New Roman" w:hAnsi="Times New Roman"/>
          <w:color w:val="000000" w:themeColor="text1"/>
          <w:sz w:val="16"/>
          <w:szCs w:val="16"/>
        </w:rPr>
        <w:tab/>
        <w:t>Завод серной кислоты</w:t>
      </w:r>
    </w:p>
    <w:p w14:paraId="4270EC62" w14:textId="77777777" w:rsidR="00595BFB" w:rsidRPr="00070ADE" w:rsidRDefault="00595BFB" w:rsidP="00B56F90">
      <w:pPr>
        <w:tabs>
          <w:tab w:val="left" w:pos="720"/>
          <w:tab w:val="left" w:pos="1287"/>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r w:rsidRPr="00070ADE">
        <w:rPr>
          <w:rFonts w:ascii="Times New Roman" w:hAnsi="Times New Roman"/>
          <w:color w:val="000000" w:themeColor="text1"/>
          <w:sz w:val="16"/>
          <w:szCs w:val="16"/>
        </w:rPr>
        <w:tab/>
        <w:t>Спирто-эфирный завод</w:t>
      </w:r>
    </w:p>
    <w:p w14:paraId="012936AF" w14:textId="77777777" w:rsidR="00E5636B" w:rsidRPr="00070ADE" w:rsidRDefault="00595BFB" w:rsidP="00B56F90">
      <w:pPr>
        <w:tabs>
          <w:tab w:val="left" w:pos="720"/>
          <w:tab w:val="left" w:pos="1287"/>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r w:rsidRPr="00070ADE">
        <w:rPr>
          <w:rFonts w:ascii="Times New Roman" w:hAnsi="Times New Roman"/>
          <w:color w:val="000000" w:themeColor="text1"/>
          <w:sz w:val="16"/>
          <w:szCs w:val="16"/>
        </w:rPr>
        <w:tab/>
        <w:t>Завод пироксилин</w:t>
      </w:r>
      <w:r w:rsidR="00E5636B" w:rsidRPr="00070ADE">
        <w:rPr>
          <w:rFonts w:ascii="Times New Roman" w:hAnsi="Times New Roman"/>
          <w:color w:val="000000" w:themeColor="text1"/>
          <w:sz w:val="16"/>
          <w:szCs w:val="16"/>
        </w:rPr>
        <w:t>а</w:t>
      </w:r>
    </w:p>
    <w:p w14:paraId="25238B34" w14:textId="77777777" w:rsidR="00595BFB" w:rsidRPr="00070ADE" w:rsidRDefault="00595BFB" w:rsidP="00B56F90">
      <w:pPr>
        <w:tabs>
          <w:tab w:val="left" w:pos="720"/>
          <w:tab w:val="left" w:pos="1287"/>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r w:rsidRPr="00070ADE">
        <w:rPr>
          <w:rFonts w:ascii="Times New Roman" w:hAnsi="Times New Roman"/>
          <w:color w:val="000000" w:themeColor="text1"/>
          <w:sz w:val="16"/>
          <w:szCs w:val="16"/>
        </w:rPr>
        <w:tab/>
        <w:t>Зарядные мастерские</w:t>
      </w:r>
    </w:p>
    <w:p w14:paraId="5FA00323" w14:textId="77777777" w:rsidR="00595BFB" w:rsidRPr="00070ADE" w:rsidRDefault="00595BFB" w:rsidP="00B56F90">
      <w:pPr>
        <w:tabs>
          <w:tab w:val="left" w:pos="720"/>
          <w:tab w:val="left" w:pos="1287"/>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r w:rsidRPr="00070ADE">
        <w:rPr>
          <w:rFonts w:ascii="Times New Roman" w:hAnsi="Times New Roman"/>
          <w:color w:val="000000" w:themeColor="text1"/>
          <w:sz w:val="16"/>
          <w:szCs w:val="16"/>
        </w:rPr>
        <w:tab/>
        <w:t>Кислородный завод</w:t>
      </w:r>
    </w:p>
    <w:p w14:paraId="18A5325E" w14:textId="77777777" w:rsidR="00595BFB" w:rsidRPr="00070ADE" w:rsidRDefault="00595BFB" w:rsidP="00B56F90">
      <w:pPr>
        <w:tabs>
          <w:tab w:val="left" w:pos="720"/>
          <w:tab w:val="left" w:pos="1287"/>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r w:rsidRPr="00070ADE">
        <w:rPr>
          <w:rFonts w:ascii="Times New Roman" w:hAnsi="Times New Roman"/>
          <w:color w:val="000000" w:themeColor="text1"/>
          <w:sz w:val="16"/>
          <w:szCs w:val="16"/>
        </w:rPr>
        <w:tab/>
        <w:t>Артиллерийский полигон</w:t>
      </w:r>
    </w:p>
    <w:p w14:paraId="1489F7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Отстроен и пущен в эксплуатацию также жилпосёлок для рабочих завода.</w:t>
      </w:r>
    </w:p>
    <w:p w14:paraId="0BE6AC3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указанные производства освоены и выдают продукцию.</w:t>
      </w:r>
    </w:p>
    <w:p w14:paraId="2B690DE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23-му февраля 1944 года, 26-й годовщине Красной Армии, наиболее сложное и ответственное производство – завод пироксилина – выдал первую промышленную продукцию.</w:t>
      </w:r>
    </w:p>
    <w:p w14:paraId="7847F8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Все указанные производства запроектированы, построены и смонтированы в период Отечественной войны. </w:t>
      </w:r>
    </w:p>
    <w:p w14:paraId="7C047C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Коллектив строителей и монтажников стройуправления №1 ОСМЧ-26 систематически перевыполняет установленные государственные планы работ по заводу №580.</w:t>
      </w:r>
    </w:p>
    <w:p w14:paraId="531B54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 работ 1943 года выполнен на 126%. План работ 1-го квартала 1944 года выполнен свыше чем на 100%. ОСМЧ-26 в 1943 году дважды присуждалось во Всесоюзном соревновании строителей переходящее Красное знамя Государственного Комитета Обороны СССР.</w:t>
      </w:r>
    </w:p>
    <w:p w14:paraId="5A85DA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Коллективом строителей и монтажников в процессе строительства были осуществлены изменения и упрощения проектов, давшие значительную экономию в дефицитных материалах и стоимости строительства в целом и позволившие осуществить строительство сложного химического завода в короткие сроки.</w:t>
      </w:r>
    </w:p>
    <w:p w14:paraId="5C1EB0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Отмечая заслуги коллектива строителей в деле строительства завода №580, а также принимая во внимание большой объём выполненных работ в столь короткие сроки краевой комитет партии просит Вас поддержать нашу просьбу о представлении к правительственной награде наиболее отличившихся в строительстве рабочих, инженерно-технических работников и служащих.</w:t>
      </w:r>
    </w:p>
    <w:p w14:paraId="205CCE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Секретарь Красноярского краевого комитета ВКП (б) подпись И. Голубев</w:t>
      </w:r>
    </w:p>
    <w:p w14:paraId="235904FD" w14:textId="77777777" w:rsidR="00595BFB" w:rsidRPr="00070ADE" w:rsidRDefault="00595BFB" w:rsidP="00B56F90">
      <w:pPr>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Cs/>
          <w:color w:val="000000" w:themeColor="text1"/>
          <w:sz w:val="16"/>
          <w:szCs w:val="16"/>
        </w:rPr>
        <w:t xml:space="preserve">ГАКК. Ф.П-26. Оп.14. Д.1. Л.68-70. Подлинник. Машинопись (11836). </w:t>
      </w:r>
    </w:p>
    <w:p w14:paraId="29212F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9399F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марта 1944 г. было СООБЩЕНИЕ ЗАМЕСТИТЕЛЯ КОМАНДУЮЩЕГО БТ и МВ КА НАРОДНОМУ КОМИССАРУ ТАНКОВОЙ ПРОМЫШЛЕННОСТИ СССР В. МАЛЫШЕВУ ОБ ИСПЫТАНИЯХ ТАНКА ИС-2 И АРТСАМОХОДА ИСУ-152 В УСЛОВИЯХ ВЫСОКИХ ТЕМПЕРАТУР №521508</w:t>
      </w:r>
    </w:p>
    <w:p w14:paraId="32B70D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Сообщаю, что с необходимостью испытаний танка ИС-2 и артсамохода ИСУ-152 на гарантийный километраж; в г. Ташкенте, с целью изучения их работы в условиях высоких температур, согласен.</w:t>
      </w:r>
    </w:p>
    <w:p w14:paraId="33A0BD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как выделить машины для этих испытаний из планового поступления не представляется воз</w:t>
      </w:r>
      <w:r w:rsidRPr="00070ADE">
        <w:rPr>
          <w:rFonts w:ascii="Times New Roman" w:hAnsi="Times New Roman"/>
          <w:color w:val="000000" w:themeColor="text1"/>
          <w:sz w:val="16"/>
          <w:szCs w:val="16"/>
        </w:rPr>
        <w:softHyphen/>
        <w:t>можным, из-за ограниченного их выпуска, то испытания считаю целесообразным провести на танке ИС-2 и самоходе ИСУ-152, изготовленных сверх плана.</w:t>
      </w:r>
    </w:p>
    <w:p w14:paraId="388C73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Убедительно прошу Вас дать указания директору Кировского завода т. Зальцман, об изготовле</w:t>
      </w:r>
      <w:r w:rsidRPr="00070ADE">
        <w:rPr>
          <w:rFonts w:ascii="Times New Roman" w:hAnsi="Times New Roman"/>
          <w:color w:val="000000" w:themeColor="text1"/>
          <w:sz w:val="16"/>
          <w:szCs w:val="16"/>
        </w:rPr>
        <w:softHyphen/>
        <w:t>нии в апреле месяце 1944 года сверх плана одного танка ИС-2 и одного самохода ИСУ-152. О принятом Вами решении прошу поставить меня в известность.</w:t>
      </w:r>
    </w:p>
    <w:p w14:paraId="7F48CD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Зам. командующего БТ и МВ КА генерал-лейтенант танковых войск Коробков</w:t>
      </w:r>
    </w:p>
    <w:p w14:paraId="26FBBA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 военного совета генерал-лейтенант танковых войск Н.Бирюков</w:t>
      </w:r>
    </w:p>
    <w:p w14:paraId="222097A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2218. Л. 29. Копия (11403).</w:t>
      </w:r>
    </w:p>
    <w:p w14:paraId="57677B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8070FE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марта 1944 вышло Постановление ГКО № 5510 О мерах по обеспечению снабжения населения продовольственными товарами в апреле 1944 года. РГАНИР, Фонд ГКО, д. 222, лл. 240-244,245-266 (11012).</w:t>
      </w:r>
    </w:p>
    <w:p w14:paraId="01FA8D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40AADA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марта 1944 вышло Постановление ГКО № 5511 Об общем плане перевозок народнохозяйственных и воинских грузов по железнодорожному и морскому транспорту на апрель 1944 г. и по речному транспорту на апрель-май 1944 г. (7202, 267).</w:t>
      </w:r>
    </w:p>
    <w:p w14:paraId="28B4460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F000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марта 1944 вышло Распоряжение ГКО № 5512. О срочной вывозке из-за угрозы затопления готовых корпусов 82 мм мин с завода № 707 НКМВ в Кургане. РГАНИР, Фонд ГКО, д. 222, лл. 268-269 (11012).</w:t>
      </w:r>
    </w:p>
    <w:p w14:paraId="6043E0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7122DD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марта 1944 вышло Постановление ГКО № 5513 О плане перевозок народнохозяйственных грузов по железнодорожному и морскому транспорту на апрель и речному транспорту на апрель-май 1944 г. (7203, 1-8,9-273).</w:t>
      </w:r>
    </w:p>
    <w:p w14:paraId="7F7615B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2B90D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260DB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DC4060"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30 марта</w:t>
      </w:r>
      <w:r w:rsidRPr="00070ADE">
        <w:rPr>
          <w:rFonts w:ascii="Times New Roman" w:hAnsi="Times New Roman"/>
          <w:color w:val="000000" w:themeColor="text1"/>
          <w:sz w:val="16"/>
          <w:szCs w:val="16"/>
        </w:rPr>
        <w:t xml:space="preserve"> в 1944 году оперативная сводка Совинформбюро:</w:t>
      </w:r>
    </w:p>
    <w:p w14:paraId="649E8FF8"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развивая наступление, форсировали реку Прут и штурмом овладели областным городом Украины — Черновицы, важным хозяйственно-политическим центром Северной Буковины и мощным опорным пунктом обороны немцев на реке Прут, прикрывающим подступы к границам Венгрии и Румынии. В боях за город Черновицы отличились части полковника Моргунова, подполковника Кошелева, подполковника Гусаковского, подполковника Бойко, подполковника Кочура, полковника Вишневского, полковника Каменского, полковника Харчевина, полковника Нечипоренко, полковника Федульева, подполковника Бондаренко, подполковника Суровова, подполковника Поддубного, подполковника Щедрина, майора Пивинь, майора Стукалова, подполковника Горяинова, майора Гилинкова, подполковника Ромова, майора Роянова, майора Васильева, майора Яковлева, майора Князева, майора Чабунина.</w:t>
      </w:r>
    </w:p>
    <w:p w14:paraId="320608EB"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30 марта войска 1-го Украинского фронта, продолжая наступление, овладели районными центрами Станиславской области городом Тлумач, городом Тысменица, городом Надворная, городом Делятин, городом Обертин, городом Заболотов, городом Снятын, районным центром Черновицкой области городом Сторожинец, а также с боями заняли более 100 других населённых пунктов, в том числе крупные населённые пункты Пядыки, Ценева, Ганьковцы, Задубровцы, Стецова, Иванковцы, Лужаны, Раранче, Топоровцы, Нестеровцы, Гановка, Подлесный Мукаров, Нефедовцы, Крушановка, Китайгород.</w:t>
      </w:r>
    </w:p>
    <w:p w14:paraId="2C90E176"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западу от города Могилёв-Подольский наши войска овладели районным центром Молдавской ССР городом и крупной железнодорожной станцией Липканы и с боями заняли несколько других населённых пунктов.</w:t>
      </w:r>
    </w:p>
    <w:p w14:paraId="4D262749"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югу и востоку от города Бельцы наши войска, продолжая наступление, с боями заняли более 50 населённых пунктов, среди которых крупные населённые пункты Петрешты, Тодорешты, Тешкурень, Думбровица, Синешти, Паланка, Онишкань, Мындрешти, Стырча, Пепени, Ордашей, Распопени, Олишкани, Шолданешти, Поркань, Попауци, Чорна и железнодорожные станции Кобыльня, Шолданешти, Резина.</w:t>
      </w:r>
    </w:p>
    <w:p w14:paraId="4BBDF6EF"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в результате упорных боёв, овладели районным центром Молдавской ССР, городом и крупной железнодорожной станцией Рыбница.</w:t>
      </w:r>
    </w:p>
    <w:p w14:paraId="51B6F961"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Первомайск наши войска с боями продвигались вперёд, и овладели районным центром Одесской области Любашёвка, а также заняли более 60 других населённых пунктов, в том числе крупные населённые пункты Липецкое, Точилово, Ново-Георгиевка, Петровка, Боково, Софиевка, Яновка, Марьяновка, Ляхова, Гуляницкое, Тарасовка, Ново-Павловка. Нашими войсками полностью очищенаот противника железная дорога Первомайск-Слободка-Рыбница-Бельцы.</w:t>
      </w:r>
    </w:p>
    <w:p w14:paraId="7389CDCF"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западу и югу от города Вознесенск наши войска, преследуя отступающие войска немцев, овладели районными центрами Одесской области Мостовое, Веселиново, а также заняли более 150 других населённых пунктов, среди которых крупные населённые пункты Весёлая, Алексеевка, Каратаево, Васильевка, Софиевка, Николаевка 2-я, Капитанка, Ново-Покровка, Михайловка, Ватэрлоо, Весёлый Кут и железнодорожные станции Мартыновская, Мостовое, Веселиново, Анновка.</w:t>
      </w:r>
    </w:p>
    <w:p w14:paraId="08A97AA9"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районе города Николаев наши войска успешно форсировали реку Южный Буг и Бугский лиман и западнее Николаева с боями заняли более 60 населённых пунктов, в том числе районный центр Николаевской области город Варваровка и крупные населённые пункты Петровское, Большая Корениха, Новая Богдановка, Ильинское,Кринички, Петровка, Владимировка, Беляковичи, Нечаянное, Баланов, Турчаное.</w:t>
      </w:r>
    </w:p>
    <w:p w14:paraId="68D34DA1"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поиски разведчиков.</w:t>
      </w:r>
    </w:p>
    <w:p w14:paraId="0D560816"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29 марта наши войска на всех фронтах подбили и уничтожили 46 немецких танков. В воздушных боях и огнём зенитной артиллерии сбито 74 самолёта противника.</w:t>
      </w:r>
    </w:p>
    <w:p w14:paraId="3880EB5D"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успешное наступление и, форсировав реку Прут, штурмом овладели областным городом Украины — Черновицы. Многочисленный гарнизон противника наголову разбит. Захвачены большие трофеи и пленные. Развивая успех, советские части заняли город Сторожинец, находящийся в17 километрах к юго-западу от Черновицы.</w:t>
      </w:r>
    </w:p>
    <w:p w14:paraId="44D2318A"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подвижные соединения, с боями продвигаясь вперёд, овладели в Станиславской области городами Тлумач, Тысменица, Надворная, Делятин, Обертин,Заболотов, Снятын, а также заняли много других населённых пунктов. Удары советских войск были настолько стремительны, что в ряде пунктов немцы были разгромлены, не успев развернуться в боевые порядки. Оставшиеся в живых гитлеровцы бежали, бросив всё своё вооружение.</w:t>
      </w:r>
    </w:p>
    <w:p w14:paraId="4EC36468"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Ожесточённый бой произошёл в городе Тлумач. Этот город обороняли немецкие части и полк 7 венгерской пехотной дивизии. В рукопашной схватке советские бойцы разгромили противника. Свыше 300 венгерских солдат сдались в плен. Моторизованные части Н-ского соединения в бою за город Заболотов истребили 700 гитлеровцев и захватили 12 исправных немецких танков, 23 полевых и 4 самоходных орудия, 250 вагонов с грузами и несколько складов.</w:t>
      </w:r>
    </w:p>
    <w:p w14:paraId="38EFCB7D"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части ликвидировали окружённую в лесу восточнее Миньковцы группу противника. На поле боя осталось свыше 2.000 вражеских трупов. Взято много пленных.</w:t>
      </w:r>
    </w:p>
    <w:p w14:paraId="625E4EDA"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день боёв войсками фронта, по неполным данным, захвачено у немцев 90 танков, свыше 500 автомашин, 25 паровозов, много железнодорожных вагонов и склады с боеприпасами, продовольствием и военным имуществом.</w:t>
      </w:r>
    </w:p>
    <w:p w14:paraId="5703F63B"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югу и востоку от города Бельцы наши войска вели успешные наступательныебои. Бойцы Н-ского соединения продвинулись вперёд на 20 километров и заняли ряд населенных пунктов. Советские подразделения разгромили два батальона пехоты и крупный отряд конницы румын. Захвачено 8 орудий, свыше 200 лошадей и другие трофеи. В районе одного села наши бойцы окружили роту румынских солдат. Румыны без сопротивления сложили оружие и сдались в плен.</w:t>
      </w:r>
    </w:p>
    <w:p w14:paraId="4E0A2AFF"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Первомайск наши войска, с боями продвигаясь вперёд, овладели районным центром Одесской области Любашёвка, а также заняли более 60 других населённых пунктов. Разгромленные части противника в беспорядке отступают, бросая вооружение и военные материалы. В одном селе наши бойцы захватили на огневых позициях 4 полевых и 11 противотанковых орудий, 5 крупнокалиберных миномётов и склад боеприпасов. На другом участке советские танкисты отрезали пути отхода вражеской колонне и внезапным ударом разгромили её. Захвачено 80 автомашин с различными грузами. Взято в плен 700 немецких солдат и офицеров.</w:t>
      </w:r>
    </w:p>
    <w:p w14:paraId="7720523F"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южнее города Вознесенск наши войска, неотступно преследуя отступающего противника, врываются в боевые порядки немцев и наносят им тяжёлые потери. В районе Николаевки 2-й советские бойцы настигли колонну отступающих гитлеровцев и с хода атаковали её. Истреблено свыше 400 вражеских солдат и офицеров. Захвачено 8 танков, 6 тракторов и 110 автомашин. Большое количество немцев взято в плен. Части Н-ского соединения стремительным броском вышли в тыл противнику и отрезали ему пути отхода. Завязался ожесточённый бой. Наши бойцы разгромили немцев и овладели районным центром и железнодорожной станцией Веселиново. На поле боя осталось до 800 убитых и раненых гитлеровцев. Захвачено 2 самоходных орудия, 25 бронетранспортёров и 150 железнодорожных вагонов с боеприпасами и продовольствием.</w:t>
      </w:r>
    </w:p>
    <w:p w14:paraId="2E004462"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Краснознамённого Балтийского флота 29 марта атаковала корабли противника в Нарвском заливе. Прямым попаданием бомб потоплены две десантные баржи и один сторожевой катер. Трём другим судам противника нанесены серьёзные повреждения.</w:t>
      </w:r>
    </w:p>
    <w:p w14:paraId="5B4C2311"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Чёрном море наши корабли потопили транспорт противника водоизмещением в 5 тысяч тонн.</w:t>
      </w:r>
    </w:p>
    <w:p w14:paraId="12EA1740"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Украинский партизанский отряд организовал несколько засад на шоссейной дороге в Волынской области. Ночью, когда на шоссе появилась колонна венгерских войск, партизаны с разных сторон открыли огонь из пулемётов и автоматов. Попав под перекрёстный огонь, венгры в панике разбежались, оставив на дороге 70 трупов своих солдат и офицеров. Молдавский партизанский отряд разгромил обоз отступавшей немецкой пехотной дивизии. В бою истреблено 130 гитлеровцев. Партизанами захвачено более 100 лошадей и 40 повозок с патронами.» (15084).</w:t>
      </w:r>
    </w:p>
    <w:p w14:paraId="398A9E15" w14:textId="77777777" w:rsidR="004F35D0" w:rsidRPr="00070ADE" w:rsidRDefault="004F35D0" w:rsidP="00B56F90">
      <w:pPr>
        <w:spacing w:after="0" w:line="240" w:lineRule="auto"/>
        <w:jc w:val="both"/>
        <w:rPr>
          <w:rFonts w:ascii="Times New Roman" w:hAnsi="Times New Roman"/>
          <w:color w:val="000000" w:themeColor="text1"/>
          <w:sz w:val="16"/>
          <w:szCs w:val="16"/>
        </w:rPr>
      </w:pPr>
    </w:p>
    <w:p w14:paraId="15DF6F70" w14:textId="77777777" w:rsidR="00A76CAC" w:rsidRPr="00070ADE" w:rsidRDefault="00A76CA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30 на 31 марта 1944 45-я АДДД совершила налет на железнодорожный узел Tana (Эстония). В вылете принимал участие двадцать один корабль. Само</w:t>
      </w:r>
      <w:r w:rsidRPr="00070ADE">
        <w:rPr>
          <w:rFonts w:ascii="Times New Roman" w:hAnsi="Times New Roman"/>
          <w:color w:val="000000" w:themeColor="text1"/>
          <w:sz w:val="16"/>
          <w:szCs w:val="16"/>
        </w:rPr>
        <w:softHyphen/>
        <w:t>леты взлетели в период с 18 ч. 31 мин. по 19 ч. 21 мин. Один самолет (№ 42711, командир корабля Марусиченко, штурман Глухое) из 890-го АПДД через 45 минут после взлета вернулся и сел на своем аэродроме из-за того, что помощник борттехника лейтенант Алехин во время осмотра моторов в воздухе случайно открыл кран воздушно-масляного ради</w:t>
      </w:r>
      <w:r w:rsidRPr="00070ADE">
        <w:rPr>
          <w:rFonts w:ascii="Times New Roman" w:hAnsi="Times New Roman"/>
          <w:color w:val="000000" w:themeColor="text1"/>
          <w:sz w:val="16"/>
          <w:szCs w:val="16"/>
        </w:rPr>
        <w:softHyphen/>
        <w:t xml:space="preserve">атора. Когда это обнаружили, то через открытый кран уже выбило все масло. Пе-8 №42078 (командир корабля Белков, штурман Сидоров) </w:t>
      </w:r>
      <w:r w:rsidRPr="00070ADE">
        <w:rPr>
          <w:rFonts w:ascii="Times New Roman" w:hAnsi="Times New Roman"/>
          <w:color w:val="000000" w:themeColor="text1"/>
          <w:sz w:val="16"/>
          <w:szCs w:val="16"/>
        </w:rPr>
        <w:lastRenderedPageBreak/>
        <w:t>через четыре минуты после взлета тоже вернулся, так как в полете летчики обнаружили, что у них не работают указатели скорости. На земле обнаружив неисправность (у указателей скорости разъединилась проводка в ме</w:t>
      </w:r>
      <w:r w:rsidRPr="00070ADE">
        <w:rPr>
          <w:rFonts w:ascii="Times New Roman" w:hAnsi="Times New Roman"/>
          <w:color w:val="000000" w:themeColor="text1"/>
          <w:sz w:val="16"/>
          <w:szCs w:val="16"/>
        </w:rPr>
        <w:softHyphen/>
        <w:t>сте ее соединения дюритом), техники ее быстро устранили и через 38 минут по</w:t>
      </w:r>
      <w:r w:rsidRPr="00070ADE">
        <w:rPr>
          <w:rFonts w:ascii="Times New Roman" w:hAnsi="Times New Roman"/>
          <w:color w:val="000000" w:themeColor="text1"/>
          <w:sz w:val="16"/>
          <w:szCs w:val="16"/>
        </w:rPr>
        <w:softHyphen/>
        <w:t>сле посадки экипаж повторно взлетел.</w:t>
      </w:r>
    </w:p>
    <w:p w14:paraId="37C2CD11" w14:textId="1070FD76" w:rsidR="00A76CAC" w:rsidRPr="00070ADE" w:rsidRDefault="00A76CA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Над целью была сильная облачность, что сделало невозможным прицельное бомбометание, поэтому 16 кораблей бомбили основную цель из-за облаков, по расчету времени в период с 22 ч. 20 мин. по 22 ч. 55 мин. Четыре корабля бомбили запасные цели. На основную цель было сброшено: 20 ФАБ-2000, 9 ФАБ-2000тга, 1 ФАБ-ЮООтга, 14 ОД5- 500тга, 22 ФАБ-500.16 ФАБ-250тга, 15 ЗАБ-100цк, 1 ФОТАБ-50-35. Из состава 25-го гв. АПДД основную цель бомбили Пе-8 с заводскими номерами: 42076 (ко</w:t>
      </w:r>
      <w:r w:rsidRPr="00070ADE">
        <w:rPr>
          <w:rFonts w:ascii="Times New Roman" w:hAnsi="Times New Roman"/>
          <w:color w:val="000000" w:themeColor="text1"/>
          <w:sz w:val="16"/>
          <w:szCs w:val="16"/>
        </w:rPr>
        <w:softHyphen/>
        <w:t>мандир корабля Адамов), 42028 (коман</w:t>
      </w:r>
      <w:r w:rsidRPr="00070ADE">
        <w:rPr>
          <w:rFonts w:ascii="Times New Roman" w:hAnsi="Times New Roman"/>
          <w:color w:val="000000" w:themeColor="text1"/>
          <w:sz w:val="16"/>
          <w:szCs w:val="16"/>
        </w:rPr>
        <w:softHyphen/>
        <w:t>дир корабля Симонов), 42088 (командир корабля Сугак), 42059 (командир кора</w:t>
      </w:r>
      <w:r w:rsidRPr="00070ADE">
        <w:rPr>
          <w:rFonts w:ascii="Times New Roman" w:hAnsi="Times New Roman"/>
          <w:color w:val="000000" w:themeColor="text1"/>
          <w:sz w:val="16"/>
          <w:szCs w:val="16"/>
        </w:rPr>
        <w:softHyphen/>
        <w:t>бля Шатров), 42210 (командир корабля Бездольный), 42811 (командир корабля Пономаренко), 42911 (командир корабля Чурилин). Из состава 890-го АПДД бом</w:t>
      </w:r>
      <w:r w:rsidRPr="00070ADE">
        <w:rPr>
          <w:rFonts w:ascii="Times New Roman" w:hAnsi="Times New Roman"/>
          <w:color w:val="000000" w:themeColor="text1"/>
          <w:sz w:val="16"/>
          <w:szCs w:val="16"/>
        </w:rPr>
        <w:softHyphen/>
        <w:t>били основную цель Пе-8 с заводскими номерами: 4214 (командир корабля Откидач), предположительно бомбил 42098 (командир корабля Кокарев),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42710 (командир корабля Черниченко), 42810 (командир кора</w:t>
      </w:r>
      <w:r w:rsidRPr="00070ADE">
        <w:rPr>
          <w:rFonts w:ascii="Times New Roman" w:hAnsi="Times New Roman"/>
          <w:color w:val="000000" w:themeColor="text1"/>
          <w:sz w:val="16"/>
          <w:szCs w:val="16"/>
        </w:rPr>
        <w:softHyphen/>
        <w:t>бля Бобов), 42910 (командир корабля Шамрай), 42111 (коман</w:t>
      </w:r>
      <w:r w:rsidRPr="00070ADE">
        <w:rPr>
          <w:rFonts w:ascii="Times New Roman" w:hAnsi="Times New Roman"/>
          <w:color w:val="000000" w:themeColor="text1"/>
          <w:sz w:val="16"/>
          <w:szCs w:val="16"/>
        </w:rPr>
        <w:softHyphen/>
        <w:t>дир корабля Самохин), 42211 (командир корабля Невенчянный), 42411(командир корабля Романов), 421011 (командир корабля Вихорев).</w:t>
      </w:r>
    </w:p>
    <w:p w14:paraId="4741D38D" w14:textId="77777777" w:rsidR="00A76CAC" w:rsidRPr="00070ADE" w:rsidRDefault="00A76CA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Корабль 42067 (командир корабля Обухов, штурман Коно- ненко) из 25-го гв. АПДД и 42078 (командир корабля Белков, штурман Сидоров) из 890-го АПДД бомбили с 22 ч. 49 мин. по 23 ч. 20 мин. железнодорожную станцию Реквере. Оба этих корабля сбросили 4 ФАБ-1000тга, 4 ФАБ-500тга, 6 ФАБ-250тга, 2 ФОТАБ-50-35. Корабль 42410 (командир корабля Ищенко, штурман Иконников) из 25-го гв. АПДД сбросил (юмбы в рай</w:t>
      </w:r>
      <w:r w:rsidRPr="00070ADE">
        <w:rPr>
          <w:rFonts w:ascii="Times New Roman" w:hAnsi="Times New Roman"/>
          <w:color w:val="000000" w:themeColor="text1"/>
          <w:sz w:val="16"/>
          <w:szCs w:val="16"/>
        </w:rPr>
        <w:softHyphen/>
        <w:t>оне населенного пункта Ракке (35 километров юго-восточнее основной цели) в 22 ч. 48 мин. На цель сброшено: 2 ФАБ-2000, 2 ФАБ-500. Пе-8 42311 (командир корабля Зеленский, штурман Бурак), из 25-го гв. АПДД в 22 ч. 45 мин. сбросил бомбы в рай</w:t>
      </w:r>
      <w:r w:rsidRPr="00070ADE">
        <w:rPr>
          <w:rFonts w:ascii="Times New Roman" w:hAnsi="Times New Roman"/>
          <w:color w:val="000000" w:themeColor="text1"/>
          <w:sz w:val="16"/>
          <w:szCs w:val="16"/>
        </w:rPr>
        <w:softHyphen/>
        <w:t>оне населенного пункта Лайс (70 километров юго-восточнее основной цели). На цель сброшено: 2 ФАБ-2000, 2 ФАБ-500.</w:t>
      </w:r>
    </w:p>
    <w:p w14:paraId="435DA1E9" w14:textId="77777777" w:rsidR="00A76CAC" w:rsidRPr="00070ADE" w:rsidRDefault="00A76CA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Пе-8 №42098 (командир корабля Кокарев, штурман Се</w:t>
      </w:r>
      <w:r w:rsidRPr="00070ADE">
        <w:rPr>
          <w:rFonts w:ascii="Times New Roman" w:hAnsi="Times New Roman"/>
          <w:color w:val="000000" w:themeColor="text1"/>
          <w:sz w:val="16"/>
          <w:szCs w:val="16"/>
        </w:rPr>
        <w:softHyphen/>
        <w:t>лезнев) из 890-го АПДД был сбит истребителями противника. В период 22 ч. 05 мин. по 22 ч. 07 мин. два экипажа видели загоревшийся в воздухе самолет, который упал и взорвался в районе южнее порта Кунда (при этом огня зенитной артилле</w:t>
      </w:r>
      <w:r w:rsidRPr="00070ADE">
        <w:rPr>
          <w:rFonts w:ascii="Times New Roman" w:hAnsi="Times New Roman"/>
          <w:color w:val="000000" w:themeColor="text1"/>
          <w:sz w:val="16"/>
          <w:szCs w:val="16"/>
        </w:rPr>
        <w:softHyphen/>
        <w:t>рии они не видели). После выполнения задания шестнадцать самолетов приземлились на своем аэродроме в период с 01 ч. 25 мин по 02 ч. 11 мин. Три самолета совершили посадки на других аэродромах: №42078 сел на аэродроме Мигалово из-за малого остатка топлива, №421011 приземлился на аэродроме Чкаловская, так как командир корабля принял его за свой, а №42810 сел на аэродроме Выползово, так как штурман поте</w:t>
      </w:r>
      <w:r w:rsidRPr="00070ADE">
        <w:rPr>
          <w:rFonts w:ascii="Times New Roman" w:hAnsi="Times New Roman"/>
          <w:color w:val="000000" w:themeColor="text1"/>
          <w:sz w:val="16"/>
          <w:szCs w:val="16"/>
        </w:rPr>
        <w:softHyphen/>
        <w:t>рял ориентировку (19559).</w:t>
      </w:r>
    </w:p>
    <w:p w14:paraId="7A1951BD" w14:textId="77777777" w:rsidR="00A76CAC" w:rsidRPr="00070ADE" w:rsidRDefault="00A76CAC" w:rsidP="00B56F90">
      <w:pPr>
        <w:spacing w:after="0" w:line="240" w:lineRule="auto"/>
        <w:jc w:val="both"/>
        <w:rPr>
          <w:rFonts w:ascii="Times New Roman" w:hAnsi="Times New Roman"/>
          <w:color w:val="000000" w:themeColor="text1"/>
          <w:sz w:val="16"/>
          <w:szCs w:val="16"/>
        </w:rPr>
      </w:pPr>
    </w:p>
    <w:p w14:paraId="3861C7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марта 1944 были освобождена Черновцы (1348,224).</w:t>
      </w:r>
    </w:p>
    <w:p w14:paraId="1A3545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BB3EE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марта 1944 за поражения на Восточном фронте Гитлер уволил фельдмаршалов Манштейна и Клейста (4962).</w:t>
      </w:r>
    </w:p>
    <w:p w14:paraId="1268A1E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17ABB3" w14:textId="77777777" w:rsidR="004F35D0"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4E22E63E" w14:textId="77777777" w:rsidR="004F35D0" w:rsidRPr="00070ADE" w:rsidRDefault="004F35D0"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E7A7CD"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30 марта</w:t>
      </w:r>
      <w:r w:rsidRPr="00070ADE">
        <w:rPr>
          <w:rFonts w:ascii="Times New Roman" w:hAnsi="Times New Roman"/>
          <w:color w:val="000000" w:themeColor="text1"/>
          <w:sz w:val="16"/>
          <w:szCs w:val="16"/>
        </w:rPr>
        <w:t xml:space="preserve"> в 1944 году подписано советско-японское соглашение о ликвидации японских угольной и нефтяной концессий на Северном Сахалине и о продлении на пять лет рыболовной конвенции 1928 года (15084).</w:t>
      </w:r>
    </w:p>
    <w:p w14:paraId="711D1DB0" w14:textId="77777777" w:rsidR="004F35D0" w:rsidRPr="00070ADE" w:rsidRDefault="004F35D0" w:rsidP="00B56F90">
      <w:pPr>
        <w:spacing w:after="0" w:line="240" w:lineRule="auto"/>
        <w:jc w:val="both"/>
        <w:rPr>
          <w:rFonts w:ascii="Times New Roman" w:hAnsi="Times New Roman"/>
          <w:color w:val="000000" w:themeColor="text1"/>
          <w:sz w:val="16"/>
          <w:szCs w:val="16"/>
        </w:rPr>
      </w:pPr>
    </w:p>
    <w:p w14:paraId="0508EE5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42AB32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C9B899"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30 марта</w:t>
      </w:r>
      <w:r w:rsidRPr="00070ADE">
        <w:rPr>
          <w:rFonts w:ascii="Times New Roman" w:hAnsi="Times New Roman"/>
          <w:color w:val="000000" w:themeColor="text1"/>
          <w:sz w:val="16"/>
          <w:szCs w:val="16"/>
        </w:rPr>
        <w:t xml:space="preserve"> в 1944 году завершились окончательные испытания конструкции третьего прототипа «G4M3A» японского дальнего бомбардировщика </w:t>
      </w:r>
      <w:hyperlink r:id="rId92" w:tgtFrame="_blank" w:history="1">
        <w:r w:rsidRPr="00070ADE">
          <w:rPr>
            <w:rFonts w:ascii="Times New Roman" w:hAnsi="Times New Roman"/>
            <w:color w:val="000000" w:themeColor="text1"/>
            <w:sz w:val="16"/>
            <w:szCs w:val="16"/>
          </w:rPr>
          <w:t xml:space="preserve">«G4M» </w:t>
        </w:r>
      </w:hyperlink>
      <w:r w:rsidRPr="00070ADE">
        <w:rPr>
          <w:rFonts w:ascii="Times New Roman" w:hAnsi="Times New Roman"/>
          <w:color w:val="000000" w:themeColor="text1"/>
          <w:sz w:val="16"/>
          <w:szCs w:val="16"/>
        </w:rPr>
        <w:t>Переданный на испытания 20 февраля 1944 г., третий прототип при взлетном весе 11.000 кг достиг скорости 464 км/ч на высоте 2400 м, а на высоте 5065 м была зафиксирована скорость 481 км/ч. При этом выяснилось, что новое крыло обладает недостаточной прочностью, что вынудило конструкторов усилить лонжерон. Окончательные испытания конструкции закончились 30 марта 1944 г., когда было сделано заключение, что прочность крыла соответствует максимальному весу равному 13.000 кг. Получив такую "фору" (около 2000 кг) по величине взлетной массы, которая по мнению конструкторов позже должна была быть израсходована на дальнейшее наращивание пассивной защиты экипажа, а также наиболее важных узлов и агрегатов, японские адмиралы не удержались от соблазна и перед началом серийного производства предложили разработчикам установить еще два крыльевых топливных бака! Кроме того, была переработана хвостовая стрелковая точка, в конструкции которой были использованы многие технические решения заимствованные у американских механизированных турелей, устанавливаемых на бомбардировщиках «В-17», «В-24», «В-25» и «В-26». Это уменьшило общую длину фюзеляжа на 0,5 м, вызвав смещение центра тяжести всего самолета, последствия чего были скомпенсированы путем изменения угла установки хвостового оперения. Все эти изменения существенно задержали начало серийного производства «G4M3A» и первая машина выкатилась из стен сборочного цеха лишь в конце октября 1944 г (15084).</w:t>
      </w:r>
    </w:p>
    <w:p w14:paraId="21BB874C" w14:textId="77777777" w:rsidR="004F35D0" w:rsidRPr="00070ADE" w:rsidRDefault="004F35D0" w:rsidP="00B56F90">
      <w:pPr>
        <w:spacing w:after="0" w:line="240" w:lineRule="auto"/>
        <w:jc w:val="both"/>
        <w:rPr>
          <w:rFonts w:ascii="Times New Roman" w:hAnsi="Times New Roman"/>
          <w:color w:val="000000" w:themeColor="text1"/>
          <w:sz w:val="16"/>
          <w:szCs w:val="16"/>
        </w:rPr>
      </w:pPr>
    </w:p>
    <w:p w14:paraId="0FE5DB8F" w14:textId="77777777" w:rsidR="001A195C" w:rsidRPr="00070ADE" w:rsidRDefault="001A195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30–31 марта (ночь) 2944 795 британских бомбардировщиков атакуют Нюрнберг, Германия, при ярком лунном свете, рассчитывая на защиту от прогнозируемой высокой облачности, которая не материализуется. Немецкие ночные истребители перехватывают их над Бельгией, прежде чем они пересекают немецкую границу, и продолжают атаковать их в течение следующего часа, сбив 82 бомбардировщика, когда они летят в Нюрнберг и над целью. Еще 13 бомбардировщиков потеряны при обратном полете, а общее количество потерянных бомбардировщиков (11,9%) - это самые высокие потери бомбардировочного командования за один налет во время Второй мировой войны. Рейд наносит небольшой урон Нюрнбергу из-за облачности, ветра и маркировки целей, из-за которых большая часть бомб падает в открытой местности, а 120 самолетов по ошибке бомбят Швайнфурт, где они широко разбрасывают свои бомбы, также поражая в основном открытую и сельскую местность. убивают двух человек. Пилот-офицер Сирил Джо Бартон на «Галифаксе», прорывается в Нюрнберг, несмотря на серьезные повреждения своего бомбардировщика в результате атаки ночного истребителя, затем возвращает самолет домой и умирает при аварийной посадке с незначительными травмами членов экипажа. Посмертно получает Крест Виктории (20373).</w:t>
      </w:r>
    </w:p>
    <w:p w14:paraId="0024BBD1" w14:textId="77777777" w:rsidR="001A195C" w:rsidRPr="00070ADE" w:rsidRDefault="001A195C" w:rsidP="00B56F90">
      <w:pPr>
        <w:spacing w:after="0" w:line="240" w:lineRule="auto"/>
        <w:jc w:val="both"/>
        <w:rPr>
          <w:rFonts w:ascii="Times New Roman" w:hAnsi="Times New Roman"/>
          <w:color w:val="000000" w:themeColor="text1"/>
          <w:sz w:val="16"/>
          <w:szCs w:val="16"/>
        </w:rPr>
      </w:pPr>
    </w:p>
    <w:p w14:paraId="32422D8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марта 1944 в ходе налета на Нюрнберг немецкая авиация потеряла 95 самолетов (4962).</w:t>
      </w:r>
    </w:p>
    <w:p w14:paraId="2FDA43E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6AD7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March 30 1944 Royal Air Force bombing raid on Nurnberg suffers extremely heavy losses (1037).</w:t>
      </w:r>
    </w:p>
    <w:p w14:paraId="14D705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7E9B4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марта 1944 RAF в ходе рейда на Нюрнберг понесли особенно тяжелые потери (1037) - 795 вылетело и 95 было сбито, а 59 серьезно повреждено. 12 разбились по пути в Англию (2605).</w:t>
      </w:r>
    </w:p>
    <w:p w14:paraId="7BAFA8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CF1407" w14:textId="77777777" w:rsidR="004F35D0" w:rsidRPr="00070ADE" w:rsidRDefault="004F35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30 марта</w:t>
      </w:r>
      <w:r w:rsidRPr="00070ADE">
        <w:rPr>
          <w:rFonts w:ascii="Times New Roman" w:hAnsi="Times New Roman"/>
          <w:color w:val="000000" w:themeColor="text1"/>
          <w:sz w:val="16"/>
          <w:szCs w:val="16"/>
        </w:rPr>
        <w:t xml:space="preserve"> в 1944 году за поражения на Восточном фронте Адольф Гитлер уволил фельдмаршалов Манштейна и Клейста (15084).</w:t>
      </w:r>
    </w:p>
    <w:p w14:paraId="4F401C98" w14:textId="77777777" w:rsidR="004F35D0" w:rsidRPr="00070ADE" w:rsidRDefault="004F35D0" w:rsidP="00B56F90">
      <w:pPr>
        <w:spacing w:after="0" w:line="240" w:lineRule="auto"/>
        <w:jc w:val="both"/>
        <w:rPr>
          <w:rFonts w:ascii="Times New Roman" w:hAnsi="Times New Roman"/>
          <w:color w:val="000000" w:themeColor="text1"/>
          <w:sz w:val="16"/>
          <w:szCs w:val="16"/>
        </w:rPr>
      </w:pPr>
    </w:p>
    <w:p w14:paraId="6995DB11" w14:textId="77777777" w:rsidR="00AD7E02" w:rsidRPr="00070ADE" w:rsidRDefault="00AD7E0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марта 1944 состоялся большой дневной налет на Софию. «410 бомбардировщиков В-25 «Митчелл», В-24 «Либерейтор», В-17 тя</w:t>
      </w:r>
      <w:r w:rsidRPr="00070ADE">
        <w:rPr>
          <w:rFonts w:ascii="Times New Roman" w:hAnsi="Times New Roman"/>
          <w:color w:val="000000" w:themeColor="text1"/>
          <w:sz w:val="16"/>
          <w:szCs w:val="16"/>
        </w:rPr>
        <w:softHyphen/>
        <w:t>желых самолетов и «Галифакс» в сопровождении 150 истребите</w:t>
      </w:r>
      <w:r w:rsidRPr="00070ADE">
        <w:rPr>
          <w:rFonts w:ascii="Times New Roman" w:hAnsi="Times New Roman"/>
          <w:color w:val="000000" w:themeColor="text1"/>
          <w:sz w:val="16"/>
          <w:szCs w:val="16"/>
        </w:rPr>
        <w:softHyphen/>
        <w:t xml:space="preserve">лей «Лайтнинг» в 9.30 утра пересекли болгарскую границу. На их перехват были подняты 20 </w:t>
      </w:r>
      <w:r w:rsidRPr="00070ADE">
        <w:rPr>
          <w:rFonts w:ascii="Times New Roman" w:hAnsi="Times New Roman"/>
          <w:color w:val="000000" w:themeColor="text1"/>
          <w:sz w:val="16"/>
          <w:szCs w:val="16"/>
          <w:lang w:val="en-US"/>
        </w:rPr>
        <w:t>Bf</w:t>
      </w:r>
      <w:r w:rsidRPr="00070ADE">
        <w:rPr>
          <w:rFonts w:ascii="Times New Roman" w:hAnsi="Times New Roman"/>
          <w:color w:val="000000" w:themeColor="text1"/>
          <w:sz w:val="16"/>
          <w:szCs w:val="16"/>
        </w:rPr>
        <w:t>.</w:t>
      </w:r>
      <w:r w:rsidRPr="00070ADE">
        <w:rPr>
          <w:rFonts w:ascii="Times New Roman" w:hAnsi="Times New Roman"/>
          <w:color w:val="000000" w:themeColor="text1"/>
          <w:sz w:val="16"/>
          <w:szCs w:val="16"/>
          <w:lang w:val="en-US"/>
        </w:rPr>
        <w:t>l</w:t>
      </w:r>
      <w:r w:rsidRPr="00070ADE">
        <w:rPr>
          <w:rFonts w:ascii="Times New Roman" w:hAnsi="Times New Roman"/>
          <w:color w:val="000000" w:themeColor="text1"/>
          <w:sz w:val="16"/>
          <w:szCs w:val="16"/>
        </w:rPr>
        <w:t>09</w:t>
      </w:r>
      <w:r w:rsidRPr="00070ADE">
        <w:rPr>
          <w:rFonts w:ascii="Times New Roman" w:hAnsi="Times New Roman"/>
          <w:color w:val="000000" w:themeColor="text1"/>
          <w:sz w:val="16"/>
          <w:szCs w:val="16"/>
          <w:lang w:val="en-US"/>
        </w:rPr>
        <w:t>G</w:t>
      </w:r>
      <w:r w:rsidRPr="00070ADE">
        <w:rPr>
          <w:rFonts w:ascii="Times New Roman" w:hAnsi="Times New Roman"/>
          <w:color w:val="000000" w:themeColor="text1"/>
          <w:sz w:val="16"/>
          <w:szCs w:val="16"/>
        </w:rPr>
        <w:t xml:space="preserve">-2 с аэродрома Божуршите, 19 </w:t>
      </w:r>
      <w:r w:rsidRPr="00070ADE">
        <w:rPr>
          <w:rFonts w:ascii="Times New Roman" w:hAnsi="Times New Roman"/>
          <w:color w:val="000000" w:themeColor="text1"/>
          <w:sz w:val="16"/>
          <w:szCs w:val="16"/>
          <w:lang w:val="en-US"/>
        </w:rPr>
        <w:t>Bf</w:t>
      </w:r>
      <w:r w:rsidRPr="00070ADE">
        <w:rPr>
          <w:rFonts w:ascii="Times New Roman" w:hAnsi="Times New Roman"/>
          <w:color w:val="000000" w:themeColor="text1"/>
          <w:sz w:val="16"/>
          <w:szCs w:val="16"/>
        </w:rPr>
        <w:t>.</w:t>
      </w:r>
      <w:r w:rsidRPr="00070ADE">
        <w:rPr>
          <w:rFonts w:ascii="Times New Roman" w:hAnsi="Times New Roman"/>
          <w:color w:val="000000" w:themeColor="text1"/>
          <w:sz w:val="16"/>
          <w:szCs w:val="16"/>
          <w:lang w:val="en-US"/>
        </w:rPr>
        <w:t>l</w:t>
      </w:r>
      <w:r w:rsidRPr="00070ADE">
        <w:rPr>
          <w:rFonts w:ascii="Times New Roman" w:hAnsi="Times New Roman"/>
          <w:color w:val="000000" w:themeColor="text1"/>
          <w:sz w:val="16"/>
          <w:szCs w:val="16"/>
        </w:rPr>
        <w:t>09</w:t>
      </w:r>
      <w:r w:rsidRPr="00070ADE">
        <w:rPr>
          <w:rFonts w:ascii="Times New Roman" w:hAnsi="Times New Roman"/>
          <w:color w:val="000000" w:themeColor="text1"/>
          <w:sz w:val="16"/>
          <w:szCs w:val="16"/>
          <w:lang w:val="en-US"/>
        </w:rPr>
        <w:t>G</w:t>
      </w:r>
      <w:r w:rsidRPr="00070ADE">
        <w:rPr>
          <w:rFonts w:ascii="Times New Roman" w:hAnsi="Times New Roman"/>
          <w:color w:val="000000" w:themeColor="text1"/>
          <w:sz w:val="16"/>
          <w:szCs w:val="16"/>
        </w:rPr>
        <w:t xml:space="preserve">-6 и 6 </w:t>
      </w:r>
      <w:r w:rsidRPr="00070ADE">
        <w:rPr>
          <w:rFonts w:ascii="Times New Roman" w:hAnsi="Times New Roman"/>
          <w:color w:val="000000" w:themeColor="text1"/>
          <w:sz w:val="16"/>
          <w:szCs w:val="16"/>
          <w:lang w:val="en-US"/>
        </w:rPr>
        <w:t>D</w:t>
      </w:r>
      <w:r w:rsidRPr="00070ADE">
        <w:rPr>
          <w:rFonts w:ascii="Times New Roman" w:hAnsi="Times New Roman"/>
          <w:color w:val="000000" w:themeColor="text1"/>
          <w:sz w:val="16"/>
          <w:szCs w:val="16"/>
        </w:rPr>
        <w:t xml:space="preserve">.520 с аэродрома Враждебна и 25 </w:t>
      </w:r>
      <w:r w:rsidRPr="00070ADE">
        <w:rPr>
          <w:rFonts w:ascii="Times New Roman" w:hAnsi="Times New Roman"/>
          <w:color w:val="000000" w:themeColor="text1"/>
          <w:sz w:val="16"/>
          <w:szCs w:val="16"/>
          <w:lang w:val="en-US"/>
        </w:rPr>
        <w:t>D</w:t>
      </w:r>
      <w:r w:rsidRPr="00070ADE">
        <w:rPr>
          <w:rFonts w:ascii="Times New Roman" w:hAnsi="Times New Roman"/>
          <w:color w:val="000000" w:themeColor="text1"/>
          <w:sz w:val="16"/>
          <w:szCs w:val="16"/>
        </w:rPr>
        <w:t>.520 с аэродрома Карлово. Навстречу бомбардировщикам вылетели и четыре Авиа В-135 истребительной школы. На этих учебных машинах пушки были сняты и из вооружения остались только по два 7,92-мм пу</w:t>
      </w:r>
      <w:r w:rsidRPr="00070ADE">
        <w:rPr>
          <w:rFonts w:ascii="Times New Roman" w:hAnsi="Times New Roman"/>
          <w:color w:val="000000" w:themeColor="text1"/>
          <w:sz w:val="16"/>
          <w:szCs w:val="16"/>
        </w:rPr>
        <w:softHyphen/>
        <w:t>лемета. Но пилотировавшие авиаинструкторы храбро атаковали «Либерейторы» и подбили один из них (19104).</w:t>
      </w:r>
    </w:p>
    <w:p w14:paraId="350211F0" w14:textId="77777777" w:rsidR="00AD7E02" w:rsidRPr="00070ADE" w:rsidRDefault="00AD7E02" w:rsidP="00B56F90">
      <w:pPr>
        <w:spacing w:after="0" w:line="240" w:lineRule="auto"/>
        <w:jc w:val="both"/>
        <w:rPr>
          <w:rFonts w:ascii="Times New Roman" w:hAnsi="Times New Roman"/>
          <w:color w:val="000000" w:themeColor="text1"/>
          <w:sz w:val="16"/>
          <w:szCs w:val="16"/>
        </w:rPr>
      </w:pPr>
    </w:p>
    <w:p w14:paraId="2B76FA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30 March - l April 1944 Strikes on the Western Carolines 1944 In an operation designed to eliminate opposition to the landings at Hollandia and to gather photo intelligence for future campaigns, a strong Fifth Fleet force, built around Task Force 58 (Vice Admiral M. A. Mitscher) with 11 carriers, launched a series of attacks on Palau, Yap, Ulithi, and Woleai, and shipping in the area. Aerial mining of Paliu Harbor by Torpedo Squadrons 2, 8, and 16, was the first such mission by carrier aircraft and the first large scale daylight mining operation of the Pacific war. The attacks accounted for 157 enemy aircraft destroyed, 28 ships of 108,000 tons sunk, and denial of the harbor to the enemy for an estimated 6 weeks (1090).</w:t>
      </w:r>
    </w:p>
    <w:p w14:paraId="0E698A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F0279F4" w14:textId="77777777" w:rsidR="001A195C" w:rsidRPr="00070ADE" w:rsidRDefault="001A195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lang w:val="en-US"/>
        </w:rPr>
        <w:t xml:space="preserve">30–31 </w:t>
      </w:r>
      <w:r w:rsidRPr="00070ADE">
        <w:rPr>
          <w:rFonts w:ascii="Times New Roman" w:hAnsi="Times New Roman"/>
          <w:color w:val="000000" w:themeColor="text1"/>
          <w:sz w:val="16"/>
          <w:szCs w:val="16"/>
        </w:rPr>
        <w:t>марта</w:t>
      </w:r>
      <w:r w:rsidRPr="00070ADE">
        <w:rPr>
          <w:rFonts w:ascii="Times New Roman" w:hAnsi="Times New Roman"/>
          <w:color w:val="000000" w:themeColor="text1"/>
          <w:sz w:val="16"/>
          <w:szCs w:val="16"/>
          <w:lang w:val="en-US"/>
        </w:rPr>
        <w:t xml:space="preserve"> 1944 </w:t>
      </w:r>
      <w:r w:rsidRPr="00070ADE">
        <w:rPr>
          <w:rFonts w:ascii="Times New Roman" w:hAnsi="Times New Roman"/>
          <w:color w:val="000000" w:themeColor="text1"/>
          <w:sz w:val="16"/>
          <w:szCs w:val="16"/>
        </w:rPr>
        <w:t>в</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операции</w:t>
      </w:r>
      <w:r w:rsidRPr="00070ADE">
        <w:rPr>
          <w:rFonts w:ascii="Times New Roman" w:hAnsi="Times New Roman"/>
          <w:color w:val="000000" w:themeColor="text1"/>
          <w:sz w:val="16"/>
          <w:szCs w:val="16"/>
          <w:lang w:val="en-US"/>
        </w:rPr>
        <w:t xml:space="preserve"> Desecrate One, </w:t>
      </w:r>
      <w:r w:rsidRPr="00070ADE">
        <w:rPr>
          <w:rFonts w:ascii="Times New Roman" w:hAnsi="Times New Roman"/>
          <w:color w:val="000000" w:themeColor="text1"/>
          <w:sz w:val="16"/>
          <w:szCs w:val="16"/>
        </w:rPr>
        <w:t>авианосцы</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оперативной</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группы</w:t>
      </w:r>
      <w:r w:rsidRPr="00070ADE">
        <w:rPr>
          <w:rFonts w:ascii="Times New Roman" w:hAnsi="Times New Roman"/>
          <w:color w:val="000000" w:themeColor="text1"/>
          <w:sz w:val="16"/>
          <w:szCs w:val="16"/>
          <w:lang w:val="en-US"/>
        </w:rPr>
        <w:t xml:space="preserve"> 58 </w:t>
      </w:r>
      <w:r w:rsidRPr="00070ADE">
        <w:rPr>
          <w:rFonts w:ascii="Times New Roman" w:hAnsi="Times New Roman"/>
          <w:color w:val="000000" w:themeColor="text1"/>
          <w:sz w:val="16"/>
          <w:szCs w:val="16"/>
        </w:rPr>
        <w:t>ВМС</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США</w:t>
      </w:r>
      <w:r w:rsidRPr="00070ADE">
        <w:rPr>
          <w:rFonts w:ascii="Times New Roman" w:hAnsi="Times New Roman"/>
          <w:color w:val="000000" w:themeColor="text1"/>
          <w:sz w:val="16"/>
          <w:szCs w:val="16"/>
          <w:lang w:val="en-US"/>
        </w:rPr>
        <w:t xml:space="preserve"> USS Enterprise (CV-6), USS Bunker Hill (CV-17), USS Hornet (CV-12), USS Yorktown (CV-10), USS Lexington (CV-16), USS Monterey (CV-26), USS Belleau Wood (CVL-24), USS Cowpens (CVL-25), USS Cabot (CVL-28), USS Princeton (CVL-23) </w:t>
      </w:r>
      <w:r w:rsidRPr="00070ADE">
        <w:rPr>
          <w:rFonts w:ascii="Times New Roman" w:hAnsi="Times New Roman"/>
          <w:color w:val="000000" w:themeColor="text1"/>
          <w:sz w:val="16"/>
          <w:szCs w:val="16"/>
        </w:rPr>
        <w:t>и</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Военный</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корабль</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США</w:t>
      </w:r>
      <w:r w:rsidRPr="00070ADE">
        <w:rPr>
          <w:rFonts w:ascii="Times New Roman" w:hAnsi="Times New Roman"/>
          <w:color w:val="000000" w:themeColor="text1"/>
          <w:sz w:val="16"/>
          <w:szCs w:val="16"/>
          <w:lang w:val="en-US"/>
        </w:rPr>
        <w:t xml:space="preserve"> " </w:t>
      </w:r>
      <w:r w:rsidRPr="00070ADE">
        <w:rPr>
          <w:rFonts w:ascii="Times New Roman" w:hAnsi="Times New Roman"/>
          <w:color w:val="000000" w:themeColor="text1"/>
          <w:sz w:val="16"/>
          <w:szCs w:val="16"/>
        </w:rPr>
        <w:t>Лэнгли</w:t>
      </w:r>
      <w:r w:rsidRPr="00070ADE">
        <w:rPr>
          <w:rFonts w:ascii="Times New Roman" w:hAnsi="Times New Roman"/>
          <w:color w:val="000000" w:themeColor="text1"/>
          <w:sz w:val="16"/>
          <w:szCs w:val="16"/>
          <w:lang w:val="en-US"/>
        </w:rPr>
        <w:t xml:space="preserve">" (CVL-27) </w:t>
      </w:r>
      <w:r w:rsidRPr="00070ADE">
        <w:rPr>
          <w:rFonts w:ascii="Times New Roman" w:hAnsi="Times New Roman"/>
          <w:color w:val="000000" w:themeColor="text1"/>
          <w:sz w:val="16"/>
          <w:szCs w:val="16"/>
        </w:rPr>
        <w:t>наносят</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удар</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по</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японским</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базам</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на</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островах</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Палау</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За два дня ударов потопили или повредили 36 японских кораблей. Кроме того, TBF и TBM Avengers с авианосцев закладывают морские мины во время ударов, что является первым тактическим применением мин, установленных авианосцами во время войны на Тихом океане (20373).</w:t>
      </w:r>
    </w:p>
    <w:p w14:paraId="6D0D44CE" w14:textId="77777777" w:rsidR="001A195C" w:rsidRPr="00070ADE" w:rsidRDefault="001A195C" w:rsidP="00B56F90">
      <w:pPr>
        <w:spacing w:after="0" w:line="240" w:lineRule="auto"/>
        <w:jc w:val="both"/>
        <w:rPr>
          <w:rFonts w:ascii="Times New Roman" w:hAnsi="Times New Roman"/>
          <w:color w:val="000000" w:themeColor="text1"/>
          <w:sz w:val="16"/>
          <w:szCs w:val="16"/>
        </w:rPr>
      </w:pPr>
    </w:p>
    <w:p w14:paraId="31157166" w14:textId="77777777" w:rsidR="001A195C" w:rsidRPr="00070ADE" w:rsidRDefault="001A195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30–31 марта 1944 пятый ылот ВВС нпсинает свой первый большой дневной удар, атакуя японские аэродромы в Hollandia районе на Новой Гвинее с использованием 80 B-24 освободителей и 59 P-38 Молнии в первый день и аналогичные силы на второй день. Они повреждают большинство японских самолетов и заявляют, что 199 из них уничтожены (20373).</w:t>
      </w:r>
    </w:p>
    <w:p w14:paraId="1EAC1286" w14:textId="77777777" w:rsidR="001A195C" w:rsidRPr="00070ADE" w:rsidRDefault="001A195C" w:rsidP="00B56F90">
      <w:pPr>
        <w:spacing w:after="0" w:line="240" w:lineRule="auto"/>
        <w:jc w:val="both"/>
        <w:rPr>
          <w:rFonts w:ascii="Times New Roman" w:hAnsi="Times New Roman"/>
          <w:color w:val="000000" w:themeColor="text1"/>
          <w:sz w:val="16"/>
          <w:szCs w:val="16"/>
        </w:rPr>
      </w:pPr>
    </w:p>
    <w:p w14:paraId="4A4F688F" w14:textId="77777777" w:rsidR="001A195C" w:rsidRPr="00070ADE" w:rsidRDefault="001A195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марта - 1 апреля 1944 во время рейдов на острова Палау, Яп и Волеи самолеты оперативной группы 58 потопили или сильно повредили 36 японских кораблей общим тоннажем 130 000 тонн, еще 32 заперли в гаванях с помощью морских мин и уничтожили много японских самолетов при потере 25 самолетов США.</w:t>
      </w:r>
    </w:p>
    <w:p w14:paraId="636B1388" w14:textId="77777777" w:rsidR="001A195C" w:rsidRPr="00070ADE" w:rsidRDefault="001A195C" w:rsidP="00B56F90">
      <w:pPr>
        <w:spacing w:after="0" w:line="240" w:lineRule="auto"/>
        <w:jc w:val="both"/>
        <w:rPr>
          <w:rFonts w:ascii="Times New Roman" w:hAnsi="Times New Roman"/>
          <w:color w:val="000000" w:themeColor="text1"/>
          <w:sz w:val="16"/>
          <w:szCs w:val="16"/>
        </w:rPr>
      </w:pPr>
    </w:p>
    <w:p w14:paraId="01FF12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30 марта по 1 апреля 1944 американцы нанесли удары по западным Каролинским островам (1090).</w:t>
      </w:r>
    </w:p>
    <w:p w14:paraId="3186AF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039B9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07508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CAB7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марта 1944 был отпечатан Отчет об испытаниях самолета "Лавочкин-5" с мотором М-71 N 39210204 в трубе Т-101 ЦАГИ. Ведущий по испытаниям - А.К.Мартынов. Сделали вывод, что возможна скорость 720 км/ч. Испытания были проведены 23-25 сентября 1943 (507).</w:t>
      </w:r>
    </w:p>
    <w:p w14:paraId="0FE8B6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Т Ч Е Т об испытаниях: самолета "Лавочкин-5” с мотором М-71</w:t>
      </w:r>
    </w:p>
    <w:p w14:paraId="6DA7E0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Ведущий по самолету проф. Мартынов А.К.</w:t>
      </w:r>
    </w:p>
    <w:p w14:paraId="5C6B4C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Краткое содержание</w:t>
      </w:r>
    </w:p>
    <w:p w14:paraId="1B5A1F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аэродинамической самолетной трубе Т-101 ДАГИ бнли проведены испытания самолета “Лавочкин-5” № 39210204. Отличие этого самолета от серийного заключалось в постановке более мощного мотора, М-71 с большими габаритами, что отрази</w:t>
      </w:r>
      <w:r w:rsidRPr="00070ADE">
        <w:rPr>
          <w:rFonts w:ascii="Times New Roman" w:hAnsi="Times New Roman"/>
          <w:color w:val="000000" w:themeColor="text1"/>
          <w:sz w:val="16"/>
          <w:szCs w:val="16"/>
        </w:rPr>
        <w:softHyphen/>
        <w:t>лось на форме фюзеляжа. Кроме этого, на данном самолете бы</w:t>
      </w:r>
      <w:r w:rsidRPr="00070ADE">
        <w:rPr>
          <w:rFonts w:ascii="Times New Roman" w:hAnsi="Times New Roman"/>
          <w:color w:val="000000" w:themeColor="text1"/>
          <w:sz w:val="16"/>
          <w:szCs w:val="16"/>
        </w:rPr>
        <w:softHyphen/>
        <w:t>ли частично осуществлены рекомендованные ЦАГИ в 1942 г. мероприятия по увеличению максимальной скорости серийных само</w:t>
      </w:r>
      <w:r w:rsidRPr="00070ADE">
        <w:rPr>
          <w:rFonts w:ascii="Times New Roman" w:hAnsi="Times New Roman"/>
          <w:color w:val="000000" w:themeColor="text1"/>
          <w:sz w:val="16"/>
          <w:szCs w:val="16"/>
        </w:rPr>
        <w:softHyphen/>
        <w:t>летов “Лавочкин-5”. В связи с установкой более мощного мото</w:t>
      </w:r>
      <w:r w:rsidRPr="00070ADE">
        <w:rPr>
          <w:rFonts w:ascii="Times New Roman" w:hAnsi="Times New Roman"/>
          <w:color w:val="000000" w:themeColor="text1"/>
          <w:sz w:val="16"/>
          <w:szCs w:val="16"/>
        </w:rPr>
        <w:softHyphen/>
        <w:t>ра возрос и вес самолета.</w:t>
      </w:r>
    </w:p>
    <w:p w14:paraId="6B87A2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Целью испытаний являло ев получение общих аэро динамиче</w:t>
      </w:r>
      <w:r w:rsidRPr="00070ADE">
        <w:rPr>
          <w:rFonts w:ascii="Times New Roman" w:hAnsi="Times New Roman"/>
          <w:color w:val="000000" w:themeColor="text1"/>
          <w:sz w:val="16"/>
          <w:szCs w:val="16"/>
        </w:rPr>
        <w:softHyphen/>
        <w:t>ских характеристик, устойчивости и управляемости самолета.</w:t>
      </w:r>
    </w:p>
    <w:p w14:paraId="4D7805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результатов испытаний разработаны рекомен</w:t>
      </w:r>
      <w:r w:rsidRPr="00070ADE">
        <w:rPr>
          <w:rFonts w:ascii="Times New Roman" w:hAnsi="Times New Roman"/>
          <w:color w:val="000000" w:themeColor="text1"/>
          <w:sz w:val="16"/>
          <w:szCs w:val="16"/>
        </w:rPr>
        <w:softHyphen/>
        <w:t>дации по увеличению максимальной скорости данного самолета.</w:t>
      </w:r>
    </w:p>
    <w:p w14:paraId="10869C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Цель испытаний</w:t>
      </w:r>
    </w:p>
    <w:p w14:paraId="173CF4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Получение аэродинамических характеристик: подъемной си</w:t>
      </w:r>
      <w:r w:rsidRPr="00070ADE">
        <w:rPr>
          <w:rFonts w:ascii="Times New Roman" w:hAnsi="Times New Roman"/>
          <w:color w:val="000000" w:themeColor="text1"/>
          <w:sz w:val="16"/>
          <w:szCs w:val="16"/>
        </w:rPr>
        <w:softHyphen/>
        <w:t>лы, лобового сопротивления, моментов, определяющих устойчи</w:t>
      </w:r>
      <w:r w:rsidRPr="00070ADE">
        <w:rPr>
          <w:rFonts w:ascii="Times New Roman" w:hAnsi="Times New Roman"/>
          <w:color w:val="000000" w:themeColor="text1"/>
          <w:sz w:val="16"/>
          <w:szCs w:val="16"/>
        </w:rPr>
        <w:softHyphen/>
        <w:t>вость и управляемость самолета “Лавочкин-5” с мотором М-71 для сравнения с подобным же самолетом, снабженным мотором М-71 и разработка рекомендаций по улучшению испытанного самолета.</w:t>
      </w:r>
    </w:p>
    <w:p w14:paraId="188906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 Об”ект испытания.</w:t>
      </w:r>
    </w:p>
    <w:p w14:paraId="5BB886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Объектом испытания был самолет “Лавочкин-5” выпуска за</w:t>
      </w:r>
      <w:r w:rsidRPr="00070ADE">
        <w:rPr>
          <w:rFonts w:ascii="Times New Roman" w:hAnsi="Times New Roman"/>
          <w:color w:val="000000" w:themeColor="text1"/>
          <w:sz w:val="16"/>
          <w:szCs w:val="16"/>
        </w:rPr>
        <w:softHyphen/>
        <w:t>вода № 21 № 39210204 с мотором М-71. Установка мотора боль</w:t>
      </w:r>
      <w:r w:rsidRPr="00070ADE">
        <w:rPr>
          <w:rFonts w:ascii="Times New Roman" w:hAnsi="Times New Roman"/>
          <w:color w:val="000000" w:themeColor="text1"/>
          <w:sz w:val="16"/>
          <w:szCs w:val="16"/>
        </w:rPr>
        <w:softHyphen/>
        <w:t>ших габаритных размеров, по сравнению в мотором М-82 Ш, выз</w:t>
      </w:r>
      <w:r w:rsidRPr="00070ADE">
        <w:rPr>
          <w:rFonts w:ascii="Times New Roman" w:hAnsi="Times New Roman"/>
          <w:color w:val="000000" w:themeColor="text1"/>
          <w:sz w:val="16"/>
          <w:szCs w:val="16"/>
        </w:rPr>
        <w:softHyphen/>
        <w:t>вала увеличение миделя фюзеляжа, в остальном планер самолета остался без изменения.</w:t>
      </w:r>
    </w:p>
    <w:p w14:paraId="5102DA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частично осуществлены улучшения согласно рекомендаций ЦАГИ 1942 г. по увеличению максимальной скоро</w:t>
      </w:r>
      <w:r w:rsidRPr="00070ADE">
        <w:rPr>
          <w:rFonts w:ascii="Times New Roman" w:hAnsi="Times New Roman"/>
          <w:color w:val="000000" w:themeColor="text1"/>
          <w:sz w:val="16"/>
          <w:szCs w:val="16"/>
        </w:rPr>
        <w:softHyphen/>
        <w:t>сти.</w:t>
      </w:r>
    </w:p>
    <w:p w14:paraId="75893D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Отличие самолета "Лавочкин-5” с М-71 от аналогичных са</w:t>
      </w:r>
      <w:r w:rsidRPr="00070ADE">
        <w:rPr>
          <w:rFonts w:ascii="Times New Roman" w:hAnsi="Times New Roman"/>
          <w:color w:val="000000" w:themeColor="text1"/>
          <w:sz w:val="16"/>
          <w:szCs w:val="16"/>
        </w:rPr>
        <w:softHyphen/>
        <w:t>молетов с М-82 заключается в том, что всасывающий патрубок, стоявший наверху капота, перенесен вниз, масляный радиатор передвинут назад и установлен за 4 шпангоутом, полностью закрываются крышками купола шасси (последнее стало возможным после перестановки маслорадиатора). На самолете стоит фонарь пилота с задним обзором, подвижная часть фонаря при полном закрытии образует кривую плавно, переходящую в верхний контур фюзеляжа. Стекатель на подвижной части фонаря в закрытом положении не образует уступа.</w:t>
      </w:r>
    </w:p>
    <w:p w14:paraId="2CFEE0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Осмотр самолета показал наличие ряда дефектов, могущих 1-вызвать ухудшение аэродинамических свойств само лета. Пере- \ чевь этих дефектов приводится ниже.</w:t>
      </w:r>
    </w:p>
    <w:p w14:paraId="490575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Недостаточна наружная герметизация: имеют место большие щели в местах стыковки капота, около всасывающего патрубка, в натяжных замках капота и у створок капота.</w:t>
      </w:r>
    </w:p>
    <w:p w14:paraId="7184E2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Недостаточна внутренняя герметизация, например: имеют место лишние отверстия во внутреннем капоте.</w:t>
      </w:r>
    </w:p>
    <w:p w14:paraId="11E22A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Всасывающий патрубок недостаточно плавно сопрягается с капотом. Вход в патрубок имеет острые края.</w:t>
      </w:r>
    </w:p>
    <w:p w14:paraId="2C8D04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данные самолета «Лавочкин-5» с М-71 № 39210204 и их сравнение с данными по самолету с М-82ВН № 39210405 при</w:t>
      </w:r>
      <w:r w:rsidRPr="00070ADE">
        <w:rPr>
          <w:rFonts w:ascii="Times New Roman" w:hAnsi="Times New Roman"/>
          <w:color w:val="000000" w:themeColor="text1"/>
          <w:sz w:val="16"/>
          <w:szCs w:val="16"/>
        </w:rPr>
        <w:softHyphen/>
        <w:t>водятся ниже.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68"/>
        <w:gridCol w:w="2160"/>
        <w:gridCol w:w="2880"/>
        <w:gridCol w:w="3151"/>
      </w:tblGrid>
      <w:tr w:rsidR="004D4663" w:rsidRPr="00070ADE" w14:paraId="57FBEB65" w14:textId="77777777">
        <w:tc>
          <w:tcPr>
            <w:tcW w:w="468" w:type="dxa"/>
            <w:tcBorders>
              <w:top w:val="single" w:sz="12" w:space="0" w:color="auto"/>
            </w:tcBorders>
          </w:tcPr>
          <w:p w14:paraId="38F626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п/п</w:t>
            </w:r>
          </w:p>
        </w:tc>
        <w:tc>
          <w:tcPr>
            <w:tcW w:w="2160" w:type="dxa"/>
            <w:tcBorders>
              <w:top w:val="single" w:sz="12" w:space="0" w:color="auto"/>
            </w:tcBorders>
          </w:tcPr>
          <w:p w14:paraId="563BF3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 данных</w:t>
            </w:r>
          </w:p>
        </w:tc>
        <w:tc>
          <w:tcPr>
            <w:tcW w:w="2880" w:type="dxa"/>
            <w:tcBorders>
              <w:top w:val="single" w:sz="12" w:space="0" w:color="auto"/>
            </w:tcBorders>
          </w:tcPr>
          <w:p w14:paraId="54F830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 с М-71 № 39210204</w:t>
            </w:r>
          </w:p>
        </w:tc>
        <w:tc>
          <w:tcPr>
            <w:tcW w:w="3151" w:type="dxa"/>
            <w:tcBorders>
              <w:top w:val="single" w:sz="12" w:space="0" w:color="auto"/>
            </w:tcBorders>
          </w:tcPr>
          <w:p w14:paraId="50729C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 с М-82 № 39210405</w:t>
            </w:r>
          </w:p>
        </w:tc>
      </w:tr>
      <w:tr w:rsidR="004D4663" w:rsidRPr="00070ADE" w14:paraId="33B5A574" w14:textId="77777777">
        <w:tc>
          <w:tcPr>
            <w:tcW w:w="468" w:type="dxa"/>
          </w:tcPr>
          <w:p w14:paraId="768268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2160" w:type="dxa"/>
          </w:tcPr>
          <w:p w14:paraId="03F82B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Площадь крыла м.</w:t>
            </w:r>
          </w:p>
        </w:tc>
        <w:tc>
          <w:tcPr>
            <w:tcW w:w="2880" w:type="dxa"/>
          </w:tcPr>
          <w:p w14:paraId="62A29F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17,5</w:t>
            </w:r>
          </w:p>
        </w:tc>
        <w:tc>
          <w:tcPr>
            <w:tcW w:w="3151" w:type="dxa"/>
          </w:tcPr>
          <w:p w14:paraId="13D028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17,5</w:t>
            </w:r>
          </w:p>
        </w:tc>
      </w:tr>
      <w:tr w:rsidR="004D4663" w:rsidRPr="00070ADE" w14:paraId="0C31B39B" w14:textId="77777777">
        <w:tc>
          <w:tcPr>
            <w:tcW w:w="468" w:type="dxa"/>
          </w:tcPr>
          <w:p w14:paraId="5A9931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2160" w:type="dxa"/>
          </w:tcPr>
          <w:p w14:paraId="421A42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Размах крыла в м.</w:t>
            </w:r>
          </w:p>
        </w:tc>
        <w:tc>
          <w:tcPr>
            <w:tcW w:w="2880" w:type="dxa"/>
          </w:tcPr>
          <w:p w14:paraId="04740F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w:t>
            </w:r>
          </w:p>
        </w:tc>
        <w:tc>
          <w:tcPr>
            <w:tcW w:w="3151" w:type="dxa"/>
          </w:tcPr>
          <w:p w14:paraId="739091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w:t>
            </w:r>
          </w:p>
        </w:tc>
      </w:tr>
      <w:tr w:rsidR="004D4663" w:rsidRPr="00070ADE" w14:paraId="06763E24" w14:textId="77777777">
        <w:tc>
          <w:tcPr>
            <w:tcW w:w="468" w:type="dxa"/>
          </w:tcPr>
          <w:p w14:paraId="69C3EA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2160" w:type="dxa"/>
          </w:tcPr>
          <w:p w14:paraId="1C0026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Удлинение</w:t>
            </w:r>
          </w:p>
        </w:tc>
        <w:tc>
          <w:tcPr>
            <w:tcW w:w="2880" w:type="dxa"/>
          </w:tcPr>
          <w:p w14:paraId="4CDD3A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5,48</w:t>
            </w:r>
          </w:p>
        </w:tc>
        <w:tc>
          <w:tcPr>
            <w:tcW w:w="3151" w:type="dxa"/>
          </w:tcPr>
          <w:p w14:paraId="5E2D2F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5,48</w:t>
            </w:r>
          </w:p>
        </w:tc>
      </w:tr>
      <w:tr w:rsidR="004D4663" w:rsidRPr="00070ADE" w14:paraId="6E0B2C79" w14:textId="77777777">
        <w:tc>
          <w:tcPr>
            <w:tcW w:w="468" w:type="dxa"/>
          </w:tcPr>
          <w:p w14:paraId="013A98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2160" w:type="dxa"/>
          </w:tcPr>
          <w:p w14:paraId="3FED2A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Площадь горизонт. Оперения в м</w:t>
            </w:r>
          </w:p>
        </w:tc>
        <w:tc>
          <w:tcPr>
            <w:tcW w:w="2880" w:type="dxa"/>
          </w:tcPr>
          <w:p w14:paraId="087AB7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3,34</w:t>
            </w:r>
          </w:p>
        </w:tc>
        <w:tc>
          <w:tcPr>
            <w:tcW w:w="3151" w:type="dxa"/>
          </w:tcPr>
          <w:p w14:paraId="66E4AE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3,25</w:t>
            </w:r>
          </w:p>
        </w:tc>
      </w:tr>
      <w:tr w:rsidR="004D4663" w:rsidRPr="00070ADE" w14:paraId="1C80A3A4" w14:textId="77777777">
        <w:tc>
          <w:tcPr>
            <w:tcW w:w="468" w:type="dxa"/>
          </w:tcPr>
          <w:p w14:paraId="3DB618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2160" w:type="dxa"/>
          </w:tcPr>
          <w:p w14:paraId="0DDE06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Площадь рулей высоты м кв</w:t>
            </w:r>
          </w:p>
        </w:tc>
        <w:tc>
          <w:tcPr>
            <w:tcW w:w="2880" w:type="dxa"/>
          </w:tcPr>
          <w:p w14:paraId="199F0D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1,33</w:t>
            </w:r>
          </w:p>
        </w:tc>
        <w:tc>
          <w:tcPr>
            <w:tcW w:w="3151" w:type="dxa"/>
          </w:tcPr>
          <w:p w14:paraId="05E0CF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w:t>
            </w:r>
          </w:p>
        </w:tc>
      </w:tr>
      <w:tr w:rsidR="004D4663" w:rsidRPr="00070ADE" w14:paraId="7485C374" w14:textId="77777777">
        <w:tc>
          <w:tcPr>
            <w:tcW w:w="468" w:type="dxa"/>
          </w:tcPr>
          <w:p w14:paraId="0E1297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2160" w:type="dxa"/>
          </w:tcPr>
          <w:p w14:paraId="7A4C04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Площадь осевой компенсации РВ м кв</w:t>
            </w:r>
          </w:p>
        </w:tc>
        <w:tc>
          <w:tcPr>
            <w:tcW w:w="2880" w:type="dxa"/>
          </w:tcPr>
          <w:p w14:paraId="51607EB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0,18</w:t>
            </w:r>
          </w:p>
        </w:tc>
        <w:tc>
          <w:tcPr>
            <w:tcW w:w="3151" w:type="dxa"/>
          </w:tcPr>
          <w:p w14:paraId="7DE926E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0,116</w:t>
            </w:r>
          </w:p>
        </w:tc>
      </w:tr>
      <w:tr w:rsidR="004D4663" w:rsidRPr="00070ADE" w14:paraId="3964D382" w14:textId="77777777">
        <w:tc>
          <w:tcPr>
            <w:tcW w:w="468" w:type="dxa"/>
          </w:tcPr>
          <w:p w14:paraId="4AA836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2160" w:type="dxa"/>
          </w:tcPr>
          <w:p w14:paraId="322E3C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Площадь вертикального оперения м</w:t>
            </w:r>
          </w:p>
        </w:tc>
        <w:tc>
          <w:tcPr>
            <w:tcW w:w="2880" w:type="dxa"/>
          </w:tcPr>
          <w:p w14:paraId="32D037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1,315</w:t>
            </w:r>
          </w:p>
        </w:tc>
        <w:tc>
          <w:tcPr>
            <w:tcW w:w="3151" w:type="dxa"/>
          </w:tcPr>
          <w:p w14:paraId="78F3BB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1,34</w:t>
            </w:r>
          </w:p>
        </w:tc>
      </w:tr>
      <w:tr w:rsidR="004D4663" w:rsidRPr="00070ADE" w14:paraId="6039294E" w14:textId="77777777">
        <w:tc>
          <w:tcPr>
            <w:tcW w:w="468" w:type="dxa"/>
          </w:tcPr>
          <w:p w14:paraId="6C1302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2160" w:type="dxa"/>
          </w:tcPr>
          <w:p w14:paraId="30655D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Площадь руля направления</w:t>
            </w:r>
          </w:p>
        </w:tc>
        <w:tc>
          <w:tcPr>
            <w:tcW w:w="2880" w:type="dxa"/>
          </w:tcPr>
          <w:p w14:paraId="3BD211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0,898</w:t>
            </w:r>
          </w:p>
        </w:tc>
        <w:tc>
          <w:tcPr>
            <w:tcW w:w="3151" w:type="dxa"/>
          </w:tcPr>
          <w:p w14:paraId="04EF025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0,92</w:t>
            </w:r>
          </w:p>
        </w:tc>
      </w:tr>
      <w:tr w:rsidR="004D4663" w:rsidRPr="00070ADE" w14:paraId="5CAB164D" w14:textId="77777777">
        <w:tc>
          <w:tcPr>
            <w:tcW w:w="468" w:type="dxa"/>
          </w:tcPr>
          <w:p w14:paraId="0BF278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tc>
        <w:tc>
          <w:tcPr>
            <w:tcW w:w="2160" w:type="dxa"/>
          </w:tcPr>
          <w:p w14:paraId="700732D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Полная длина самолета</w:t>
            </w:r>
          </w:p>
        </w:tc>
        <w:tc>
          <w:tcPr>
            <w:tcW w:w="2880" w:type="dxa"/>
          </w:tcPr>
          <w:p w14:paraId="5F36C4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8,31</w:t>
            </w:r>
          </w:p>
        </w:tc>
        <w:tc>
          <w:tcPr>
            <w:tcW w:w="3151" w:type="dxa"/>
          </w:tcPr>
          <w:p w14:paraId="531EB8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8,67</w:t>
            </w:r>
          </w:p>
        </w:tc>
      </w:tr>
      <w:tr w:rsidR="004D4663" w:rsidRPr="00070ADE" w14:paraId="1BACAD63" w14:textId="77777777">
        <w:tc>
          <w:tcPr>
            <w:tcW w:w="468" w:type="dxa"/>
          </w:tcPr>
          <w:p w14:paraId="2A836C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2160" w:type="dxa"/>
          </w:tcPr>
          <w:p w14:paraId="0EEFE75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Диаметр капота м</w:t>
            </w:r>
          </w:p>
        </w:tc>
        <w:tc>
          <w:tcPr>
            <w:tcW w:w="2880" w:type="dxa"/>
          </w:tcPr>
          <w:p w14:paraId="248B4D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1,395</w:t>
            </w:r>
          </w:p>
        </w:tc>
        <w:tc>
          <w:tcPr>
            <w:tcW w:w="3151" w:type="dxa"/>
          </w:tcPr>
          <w:p w14:paraId="0F1E624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1,285</w:t>
            </w:r>
          </w:p>
        </w:tc>
      </w:tr>
      <w:tr w:rsidR="004D4663" w:rsidRPr="00070ADE" w14:paraId="45A334A6" w14:textId="77777777">
        <w:tc>
          <w:tcPr>
            <w:tcW w:w="468" w:type="dxa"/>
          </w:tcPr>
          <w:p w14:paraId="4A846A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tc>
        <w:tc>
          <w:tcPr>
            <w:tcW w:w="2160" w:type="dxa"/>
          </w:tcPr>
          <w:p w14:paraId="55062C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самолета</w:t>
            </w:r>
          </w:p>
        </w:tc>
        <w:tc>
          <w:tcPr>
            <w:tcW w:w="2880" w:type="dxa"/>
          </w:tcPr>
          <w:p w14:paraId="68D7023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3526</w:t>
            </w:r>
          </w:p>
        </w:tc>
        <w:tc>
          <w:tcPr>
            <w:tcW w:w="3151" w:type="dxa"/>
          </w:tcPr>
          <w:p w14:paraId="1B7DD6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3290</w:t>
            </w:r>
          </w:p>
        </w:tc>
      </w:tr>
      <w:tr w:rsidR="004D4663" w:rsidRPr="00070ADE" w14:paraId="37D5BF93" w14:textId="77777777">
        <w:tc>
          <w:tcPr>
            <w:tcW w:w="468" w:type="dxa"/>
          </w:tcPr>
          <w:p w14:paraId="21279C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c>
          <w:tcPr>
            <w:tcW w:w="2160" w:type="dxa"/>
          </w:tcPr>
          <w:p w14:paraId="079A46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Нагрузка на кв метр</w:t>
            </w:r>
          </w:p>
        </w:tc>
        <w:tc>
          <w:tcPr>
            <w:tcW w:w="2880" w:type="dxa"/>
          </w:tcPr>
          <w:p w14:paraId="449873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3151" w:type="dxa"/>
          </w:tcPr>
          <w:p w14:paraId="27A674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188</w:t>
            </w:r>
          </w:p>
        </w:tc>
      </w:tr>
      <w:tr w:rsidR="004D4663" w:rsidRPr="00070ADE" w14:paraId="1CA9276F" w14:textId="77777777">
        <w:tc>
          <w:tcPr>
            <w:tcW w:w="468" w:type="dxa"/>
            <w:tcBorders>
              <w:bottom w:val="single" w:sz="12" w:space="0" w:color="auto"/>
            </w:tcBorders>
          </w:tcPr>
          <w:p w14:paraId="1E2337E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tc>
        <w:tc>
          <w:tcPr>
            <w:tcW w:w="2160" w:type="dxa"/>
            <w:tcBorders>
              <w:bottom w:val="single" w:sz="12" w:space="0" w:color="auto"/>
            </w:tcBorders>
          </w:tcPr>
          <w:p w14:paraId="482385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Нагрузка на л.с.</w:t>
            </w:r>
          </w:p>
        </w:tc>
        <w:tc>
          <w:tcPr>
            <w:tcW w:w="2880" w:type="dxa"/>
            <w:tcBorders>
              <w:bottom w:val="single" w:sz="12" w:space="0" w:color="auto"/>
            </w:tcBorders>
          </w:tcPr>
          <w:p w14:paraId="15C6A79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w:t>
            </w:r>
          </w:p>
        </w:tc>
        <w:tc>
          <w:tcPr>
            <w:tcW w:w="3151" w:type="dxa"/>
            <w:tcBorders>
              <w:bottom w:val="single" w:sz="12" w:space="0" w:color="auto"/>
            </w:tcBorders>
          </w:tcPr>
          <w:p w14:paraId="01184F5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2,24</w:t>
            </w:r>
          </w:p>
        </w:tc>
      </w:tr>
    </w:tbl>
    <w:p w14:paraId="205A8A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(507).</w:t>
      </w:r>
    </w:p>
    <w:p w14:paraId="4C8D44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EF11E5" w14:textId="77777777" w:rsidR="009D0558" w:rsidRPr="00070ADE" w:rsidRDefault="009D0558"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марта 1944 г. На</w:t>
      </w:r>
      <w:r w:rsidRPr="00070ADE">
        <w:rPr>
          <w:rFonts w:ascii="Times New Roman" w:hAnsi="Times New Roman"/>
          <w:color w:val="000000" w:themeColor="text1"/>
          <w:sz w:val="16"/>
          <w:szCs w:val="16"/>
        </w:rPr>
        <w:softHyphen/>
        <w:t>чальник НИИ ВВС ге</w:t>
      </w:r>
      <w:r w:rsidRPr="00070ADE">
        <w:rPr>
          <w:rFonts w:ascii="Times New Roman" w:hAnsi="Times New Roman"/>
          <w:color w:val="000000" w:themeColor="text1"/>
          <w:sz w:val="16"/>
          <w:szCs w:val="16"/>
        </w:rPr>
        <w:softHyphen/>
        <w:t>нерал-лейтенант Лосю</w:t>
      </w:r>
      <w:r w:rsidRPr="00070ADE">
        <w:rPr>
          <w:rFonts w:ascii="Times New Roman" w:hAnsi="Times New Roman"/>
          <w:color w:val="000000" w:themeColor="text1"/>
          <w:sz w:val="16"/>
          <w:szCs w:val="16"/>
        </w:rPr>
        <w:softHyphen/>
        <w:t>ков направил письмо в Комитет по делам выс</w:t>
      </w:r>
      <w:r w:rsidRPr="00070ADE">
        <w:rPr>
          <w:rFonts w:ascii="Times New Roman" w:hAnsi="Times New Roman"/>
          <w:color w:val="000000" w:themeColor="text1"/>
          <w:sz w:val="16"/>
          <w:szCs w:val="16"/>
        </w:rPr>
        <w:softHyphen/>
        <w:t>шей школы при СНК СССР, в котором сооб</w:t>
      </w:r>
      <w:r w:rsidRPr="00070ADE">
        <w:rPr>
          <w:rFonts w:ascii="Times New Roman" w:hAnsi="Times New Roman"/>
          <w:color w:val="000000" w:themeColor="text1"/>
          <w:sz w:val="16"/>
          <w:szCs w:val="16"/>
        </w:rPr>
        <w:softHyphen/>
        <w:t>щил следующее:</w:t>
      </w:r>
    </w:p>
    <w:p w14:paraId="6B8E35DC" w14:textId="77777777" w:rsidR="009D0558" w:rsidRPr="00070ADE" w:rsidRDefault="009D055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«Инженером Вахмистровым В.С. за период времени с 1931 года по 1941 г. проделана большая работа по раз</w:t>
      </w:r>
      <w:r w:rsidRPr="00070ADE">
        <w:rPr>
          <w:rFonts w:ascii="Times New Roman" w:hAnsi="Times New Roman"/>
          <w:color w:val="000000" w:themeColor="text1"/>
          <w:sz w:val="16"/>
          <w:szCs w:val="16"/>
        </w:rPr>
        <w:softHyphen/>
        <w:t>работке, предложенной им идеи «соединенных самолетов».</w:t>
      </w:r>
    </w:p>
    <w:p w14:paraId="49B5378D" w14:textId="77777777" w:rsidR="009D0558" w:rsidRPr="00070ADE" w:rsidRDefault="009D055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Будучи инженером НИИ ВВС КА, тов. Вахмистров в 1931 г. предложил установить на крыльях самолета ТБ-1 два са</w:t>
      </w:r>
      <w:r w:rsidRPr="00070ADE">
        <w:rPr>
          <w:rFonts w:ascii="Times New Roman" w:hAnsi="Times New Roman"/>
          <w:color w:val="000000" w:themeColor="text1"/>
          <w:sz w:val="16"/>
          <w:szCs w:val="16"/>
        </w:rPr>
        <w:softHyphen/>
        <w:t>молета И-4. Обосновав свою идею теоретическими рас</w:t>
      </w:r>
      <w:r w:rsidRPr="00070ADE">
        <w:rPr>
          <w:rFonts w:ascii="Times New Roman" w:hAnsi="Times New Roman"/>
          <w:color w:val="000000" w:themeColor="text1"/>
          <w:sz w:val="16"/>
          <w:szCs w:val="16"/>
        </w:rPr>
        <w:softHyphen/>
        <w:t>четами и наследованиями в аэродинамической трубе, тов. Вахмистров добился реализации своего предложения.</w:t>
      </w:r>
    </w:p>
    <w:p w14:paraId="4820F52A" w14:textId="77777777" w:rsidR="009D0558" w:rsidRPr="00070ADE" w:rsidRDefault="009D055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Летные испытания полностью подтвердили все расчеты».</w:t>
      </w:r>
    </w:p>
    <w:p w14:paraId="336A170A" w14:textId="77777777" w:rsidR="009D0558" w:rsidRPr="00070ADE" w:rsidRDefault="009D055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последующих своих работах тов. Вахмистров продол</w:t>
      </w:r>
      <w:r w:rsidRPr="00070ADE">
        <w:rPr>
          <w:rFonts w:ascii="Times New Roman" w:hAnsi="Times New Roman"/>
          <w:color w:val="000000" w:themeColor="text1"/>
          <w:sz w:val="16"/>
          <w:szCs w:val="16"/>
        </w:rPr>
        <w:softHyphen/>
        <w:t>жал развивать свою идею и осенью 1941 г. комбинация ТБ-3+2И-16 с бомбами ФАБ-250 была с большим эффек</w:t>
      </w:r>
      <w:r w:rsidRPr="00070ADE">
        <w:rPr>
          <w:rFonts w:ascii="Times New Roman" w:hAnsi="Times New Roman"/>
          <w:color w:val="000000" w:themeColor="text1"/>
          <w:sz w:val="16"/>
          <w:szCs w:val="16"/>
        </w:rPr>
        <w:softHyphen/>
        <w:t>том применена на фронте против румынских захватчиков.</w:t>
      </w:r>
    </w:p>
    <w:p w14:paraId="080298C1" w14:textId="77777777" w:rsidR="009D0558" w:rsidRPr="00070ADE" w:rsidRDefault="009D055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Исходя из вышеизложенного, НИИ ВВС КА ходатайству</w:t>
      </w:r>
      <w:r w:rsidRPr="00070ADE">
        <w:rPr>
          <w:rFonts w:ascii="Times New Roman" w:hAnsi="Times New Roman"/>
          <w:color w:val="000000" w:themeColor="text1"/>
          <w:sz w:val="16"/>
          <w:szCs w:val="16"/>
        </w:rPr>
        <w:softHyphen/>
        <w:t>ет перед Комитетом по Делам Высшей Школы при СНК СССР о присвоении инженеру Вахмистрову Владимиру Сергеевичу ученой степени «Кандидата Технических Наук» без защиты диссертации» (20364).</w:t>
      </w:r>
    </w:p>
    <w:p w14:paraId="66AAC77A" w14:textId="77777777" w:rsidR="009D0558" w:rsidRPr="00070ADE" w:rsidRDefault="009D0558" w:rsidP="00B56F90">
      <w:pPr>
        <w:shd w:val="clear" w:color="auto" w:fill="FFFFFF"/>
        <w:spacing w:after="0" w:line="240" w:lineRule="auto"/>
        <w:jc w:val="both"/>
        <w:rPr>
          <w:rFonts w:ascii="Times New Roman" w:hAnsi="Times New Roman"/>
          <w:color w:val="000000" w:themeColor="text1"/>
          <w:sz w:val="16"/>
          <w:szCs w:val="16"/>
        </w:rPr>
      </w:pPr>
    </w:p>
    <w:p w14:paraId="2F2FA1A1"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марта 1944 г. начальник НИИ ВВС генерал-лей</w:t>
      </w:r>
      <w:r w:rsidRPr="00070ADE">
        <w:rPr>
          <w:rFonts w:ascii="Times New Roman" w:hAnsi="Times New Roman"/>
          <w:color w:val="000000" w:themeColor="text1"/>
          <w:sz w:val="16"/>
          <w:szCs w:val="16"/>
        </w:rPr>
        <w:softHyphen/>
        <w:t>тенант П.А.Лосюков направил письмо в Комитет по делам высшей школы при СНК СССР, в котором со</w:t>
      </w:r>
      <w:r w:rsidRPr="00070ADE">
        <w:rPr>
          <w:rFonts w:ascii="Times New Roman" w:hAnsi="Times New Roman"/>
          <w:color w:val="000000" w:themeColor="text1"/>
          <w:sz w:val="16"/>
          <w:szCs w:val="16"/>
        </w:rPr>
        <w:softHyphen/>
        <w:t>общил следующее:</w:t>
      </w:r>
    </w:p>
    <w:p w14:paraId="51586605"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«Инженером Вахмистровым В.С. за период време</w:t>
      </w:r>
      <w:r w:rsidRPr="00070ADE">
        <w:rPr>
          <w:rFonts w:ascii="Times New Roman" w:hAnsi="Times New Roman"/>
          <w:color w:val="000000" w:themeColor="text1"/>
          <w:sz w:val="16"/>
          <w:szCs w:val="16"/>
        </w:rPr>
        <w:softHyphen/>
        <w:t>ни с 1931 по 1941 г. проделана большая работа по разработке предложенной им идеи «соединенных са</w:t>
      </w:r>
      <w:r w:rsidRPr="00070ADE">
        <w:rPr>
          <w:rFonts w:ascii="Times New Roman" w:hAnsi="Times New Roman"/>
          <w:color w:val="000000" w:themeColor="text1"/>
          <w:sz w:val="16"/>
          <w:szCs w:val="16"/>
        </w:rPr>
        <w:softHyphen/>
        <w:t>молетов».</w:t>
      </w:r>
    </w:p>
    <w:p w14:paraId="474EA110"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Будучи инженером НИИ ВВС КА, тов. Вахмистров в 1931 г. предложил установить на крыльях самолета ТБ-1 два самолета И-4. Обосновав свою идею теоре</w:t>
      </w:r>
      <w:r w:rsidRPr="00070ADE">
        <w:rPr>
          <w:rFonts w:ascii="Times New Roman" w:hAnsi="Times New Roman"/>
          <w:color w:val="000000" w:themeColor="text1"/>
          <w:sz w:val="16"/>
          <w:szCs w:val="16"/>
        </w:rPr>
        <w:softHyphen/>
        <w:t>тическими расчетами и наследованиями в аэродина</w:t>
      </w:r>
      <w:r w:rsidRPr="00070ADE">
        <w:rPr>
          <w:rFonts w:ascii="Times New Roman" w:hAnsi="Times New Roman"/>
          <w:color w:val="000000" w:themeColor="text1"/>
          <w:sz w:val="16"/>
          <w:szCs w:val="16"/>
        </w:rPr>
        <w:softHyphen/>
        <w:t>мической трубе, тов. Вахмистров добился реализации своего предложения. Летные испытания полностью подтвердили все расчеты.</w:t>
      </w:r>
    </w:p>
    <w:p w14:paraId="2E85B516"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последующих своих работах тов. Вахмистров продолжал развивать свою идею и осенью 1941 г. комбинация ТБ-3+2И-16 с бомбами ФАБ-250 была с большим эффектом применена на фронте против ру</w:t>
      </w:r>
      <w:r w:rsidRPr="00070ADE">
        <w:rPr>
          <w:rFonts w:ascii="Times New Roman" w:hAnsi="Times New Roman"/>
          <w:color w:val="000000" w:themeColor="text1"/>
          <w:sz w:val="16"/>
          <w:szCs w:val="16"/>
        </w:rPr>
        <w:softHyphen/>
        <w:t>мынских захватчиков.</w:t>
      </w:r>
    </w:p>
    <w:p w14:paraId="5A80D167"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Исходя из вышеизложенного, НИИ ВВС КА хода</w:t>
      </w:r>
      <w:r w:rsidRPr="00070ADE">
        <w:rPr>
          <w:rFonts w:ascii="Times New Roman" w:hAnsi="Times New Roman"/>
          <w:color w:val="000000" w:themeColor="text1"/>
          <w:sz w:val="16"/>
          <w:szCs w:val="16"/>
        </w:rPr>
        <w:softHyphen/>
        <w:t>тайствует перед Комитетом по Делам Высшей Шко</w:t>
      </w:r>
      <w:r w:rsidRPr="00070ADE">
        <w:rPr>
          <w:rFonts w:ascii="Times New Roman" w:hAnsi="Times New Roman"/>
          <w:color w:val="000000" w:themeColor="text1"/>
          <w:sz w:val="16"/>
          <w:szCs w:val="16"/>
        </w:rPr>
        <w:softHyphen/>
        <w:t>лы при СНК СССР о присвоении инженеру Вахмис</w:t>
      </w:r>
      <w:r w:rsidRPr="00070ADE">
        <w:rPr>
          <w:rFonts w:ascii="Times New Roman" w:hAnsi="Times New Roman"/>
          <w:color w:val="000000" w:themeColor="text1"/>
          <w:sz w:val="16"/>
          <w:szCs w:val="16"/>
        </w:rPr>
        <w:softHyphen/>
        <w:t>трову Владимиру Сергеевичу ученой степени «Кан</w:t>
      </w:r>
      <w:r w:rsidRPr="00070ADE">
        <w:rPr>
          <w:rFonts w:ascii="Times New Roman" w:hAnsi="Times New Roman"/>
          <w:color w:val="000000" w:themeColor="text1"/>
          <w:sz w:val="16"/>
          <w:szCs w:val="16"/>
        </w:rPr>
        <w:softHyphen/>
        <w:t>дидата Технических Наук» без защиты диссертации».</w:t>
      </w:r>
    </w:p>
    <w:p w14:paraId="1AEE300A"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Перечень основных работ Вахмистрова</w:t>
      </w:r>
    </w:p>
    <w:tbl>
      <w:tblPr>
        <w:tblOverlap w:val="never"/>
        <w:tblW w:w="0" w:type="auto"/>
        <w:tblLayout w:type="fixed"/>
        <w:tblCellMar>
          <w:left w:w="10" w:type="dxa"/>
          <w:right w:w="10" w:type="dxa"/>
        </w:tblCellMar>
        <w:tblLook w:val="04A0" w:firstRow="1" w:lastRow="0" w:firstColumn="1" w:lastColumn="0" w:noHBand="0" w:noVBand="1"/>
      </w:tblPr>
      <w:tblGrid>
        <w:gridCol w:w="356"/>
        <w:gridCol w:w="1340"/>
        <w:gridCol w:w="1134"/>
        <w:gridCol w:w="2552"/>
        <w:gridCol w:w="2483"/>
        <w:gridCol w:w="2478"/>
      </w:tblGrid>
      <w:tr w:rsidR="00765210" w:rsidRPr="00070ADE" w14:paraId="6F23EE33" w14:textId="77777777" w:rsidTr="004C5D62">
        <w:trPr>
          <w:trHeight w:val="353"/>
        </w:trPr>
        <w:tc>
          <w:tcPr>
            <w:tcW w:w="356" w:type="dxa"/>
            <w:tcBorders>
              <w:top w:val="single" w:sz="4" w:space="0" w:color="auto"/>
              <w:left w:val="single" w:sz="4" w:space="0" w:color="auto"/>
              <w:bottom w:val="single" w:sz="4" w:space="0" w:color="auto"/>
              <w:right w:val="single" w:sz="4" w:space="0" w:color="auto"/>
            </w:tcBorders>
            <w:vAlign w:val="center"/>
          </w:tcPr>
          <w:p w14:paraId="3EB5BE62"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340" w:type="dxa"/>
            <w:tcBorders>
              <w:top w:val="single" w:sz="4" w:space="0" w:color="auto"/>
              <w:left w:val="single" w:sz="4" w:space="0" w:color="auto"/>
              <w:bottom w:val="single" w:sz="4" w:space="0" w:color="auto"/>
              <w:right w:val="single" w:sz="4" w:space="0" w:color="auto"/>
            </w:tcBorders>
            <w:vAlign w:val="center"/>
          </w:tcPr>
          <w:p w14:paraId="5D558BC5"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Название</w:t>
            </w:r>
          </w:p>
        </w:tc>
        <w:tc>
          <w:tcPr>
            <w:tcW w:w="1134" w:type="dxa"/>
            <w:tcBorders>
              <w:top w:val="single" w:sz="4" w:space="0" w:color="auto"/>
              <w:left w:val="single" w:sz="4" w:space="0" w:color="auto"/>
              <w:bottom w:val="single" w:sz="4" w:space="0" w:color="auto"/>
              <w:right w:val="single" w:sz="4" w:space="0" w:color="auto"/>
            </w:tcBorders>
            <w:vAlign w:val="center"/>
          </w:tcPr>
          <w:p w14:paraId="35DFDA0F"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Дата выпуска</w:t>
            </w:r>
          </w:p>
        </w:tc>
        <w:tc>
          <w:tcPr>
            <w:tcW w:w="2552" w:type="dxa"/>
            <w:tcBorders>
              <w:top w:val="single" w:sz="4" w:space="0" w:color="auto"/>
              <w:left w:val="single" w:sz="4" w:space="0" w:color="auto"/>
              <w:bottom w:val="single" w:sz="4" w:space="0" w:color="auto"/>
              <w:right w:val="single" w:sz="4" w:space="0" w:color="auto"/>
            </w:tcBorders>
            <w:vAlign w:val="center"/>
          </w:tcPr>
          <w:p w14:paraId="67BD54F4"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Конструктивное описание</w:t>
            </w:r>
          </w:p>
        </w:tc>
        <w:tc>
          <w:tcPr>
            <w:tcW w:w="2483" w:type="dxa"/>
            <w:tcBorders>
              <w:top w:val="single" w:sz="4" w:space="0" w:color="auto"/>
              <w:left w:val="single" w:sz="4" w:space="0" w:color="auto"/>
              <w:bottom w:val="single" w:sz="4" w:space="0" w:color="auto"/>
              <w:right w:val="single" w:sz="4" w:space="0" w:color="auto"/>
            </w:tcBorders>
            <w:vAlign w:val="center"/>
          </w:tcPr>
          <w:p w14:paraId="6570F6DF"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записи</w:t>
            </w:r>
          </w:p>
        </w:tc>
        <w:tc>
          <w:tcPr>
            <w:tcW w:w="2478" w:type="dxa"/>
            <w:tcBorders>
              <w:top w:val="single" w:sz="4" w:space="0" w:color="auto"/>
              <w:left w:val="single" w:sz="4" w:space="0" w:color="auto"/>
              <w:bottom w:val="single" w:sz="4" w:space="0" w:color="auto"/>
              <w:right w:val="single" w:sz="4" w:space="0" w:color="auto"/>
            </w:tcBorders>
            <w:vAlign w:val="center"/>
          </w:tcPr>
          <w:p w14:paraId="39BBA7DF"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w:t>
            </w:r>
          </w:p>
        </w:tc>
      </w:tr>
      <w:tr w:rsidR="00765210" w:rsidRPr="00070ADE" w14:paraId="5ADAE31C" w14:textId="77777777" w:rsidTr="004C5D62">
        <w:trPr>
          <w:trHeight w:val="1663"/>
        </w:trPr>
        <w:tc>
          <w:tcPr>
            <w:tcW w:w="356" w:type="dxa"/>
            <w:tcBorders>
              <w:top w:val="single" w:sz="4" w:space="0" w:color="auto"/>
              <w:left w:val="single" w:sz="4" w:space="0" w:color="auto"/>
              <w:bottom w:val="single" w:sz="4" w:space="0" w:color="auto"/>
              <w:right w:val="single" w:sz="4" w:space="0" w:color="auto"/>
            </w:tcBorders>
          </w:tcPr>
          <w:p w14:paraId="507612B6"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w:t>
            </w:r>
          </w:p>
        </w:tc>
        <w:tc>
          <w:tcPr>
            <w:tcW w:w="1340" w:type="dxa"/>
            <w:tcBorders>
              <w:top w:val="single" w:sz="4" w:space="0" w:color="auto"/>
              <w:left w:val="single" w:sz="4" w:space="0" w:color="auto"/>
              <w:bottom w:val="single" w:sz="4" w:space="0" w:color="auto"/>
              <w:right w:val="single" w:sz="4" w:space="0" w:color="auto"/>
            </w:tcBorders>
          </w:tcPr>
          <w:p w14:paraId="5CB8B771"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Звено-1 «3-1»</w:t>
            </w:r>
          </w:p>
          <w:p w14:paraId="35625666"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ТБ-1+2И-4</w:t>
            </w:r>
          </w:p>
        </w:tc>
        <w:tc>
          <w:tcPr>
            <w:tcW w:w="1134" w:type="dxa"/>
            <w:tcBorders>
              <w:top w:val="single" w:sz="4" w:space="0" w:color="auto"/>
              <w:left w:val="single" w:sz="4" w:space="0" w:color="auto"/>
              <w:bottom w:val="single" w:sz="4" w:space="0" w:color="auto"/>
              <w:right w:val="single" w:sz="4" w:space="0" w:color="auto"/>
            </w:tcBorders>
          </w:tcPr>
          <w:p w14:paraId="1899538F"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03.12.1931 —</w:t>
            </w:r>
          </w:p>
          <w:p w14:paraId="4D2759E2"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07.1933</w:t>
            </w:r>
          </w:p>
        </w:tc>
        <w:tc>
          <w:tcPr>
            <w:tcW w:w="2552" w:type="dxa"/>
            <w:tcBorders>
              <w:top w:val="single" w:sz="4" w:space="0" w:color="auto"/>
              <w:left w:val="single" w:sz="4" w:space="0" w:color="auto"/>
              <w:bottom w:val="single" w:sz="4" w:space="0" w:color="auto"/>
              <w:right w:val="single" w:sz="4" w:space="0" w:color="auto"/>
            </w:tcBorders>
            <w:vAlign w:val="center"/>
          </w:tcPr>
          <w:p w14:paraId="79B01122"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2 И-4: нижнее крыло снято, добавлены маслобаки, оборудованы замки крепления. На ТБ-1 оборудованы пауки с передними замками, управляе</w:t>
            </w:r>
            <w:r w:rsidRPr="00070ADE">
              <w:rPr>
                <w:rFonts w:ascii="Times New Roman" w:hAnsi="Times New Roman"/>
                <w:color w:val="000000" w:themeColor="text1"/>
                <w:sz w:val="16"/>
                <w:szCs w:val="16"/>
              </w:rPr>
              <w:softHyphen/>
              <w:t>мыми с места 2-го пилота. Шасси усилено, изменена бен</w:t>
            </w:r>
            <w:r w:rsidRPr="00070ADE">
              <w:rPr>
                <w:rFonts w:ascii="Times New Roman" w:hAnsi="Times New Roman"/>
                <w:color w:val="000000" w:themeColor="text1"/>
                <w:sz w:val="16"/>
                <w:szCs w:val="16"/>
              </w:rPr>
              <w:softHyphen/>
              <w:t>зосистема.</w:t>
            </w:r>
          </w:p>
        </w:tc>
        <w:tc>
          <w:tcPr>
            <w:tcW w:w="2483" w:type="dxa"/>
            <w:tcBorders>
              <w:top w:val="single" w:sz="4" w:space="0" w:color="auto"/>
              <w:left w:val="single" w:sz="4" w:space="0" w:color="auto"/>
              <w:bottom w:val="single" w:sz="4" w:space="0" w:color="auto"/>
              <w:right w:val="single" w:sz="4" w:space="0" w:color="auto"/>
            </w:tcBorders>
            <w:vAlign w:val="center"/>
          </w:tcPr>
          <w:p w14:paraId="728E43FA"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Рапорт РВС о первом полете 3-1 05.12.1931 г.</w:t>
            </w:r>
          </w:p>
          <w:p w14:paraId="56D2CD1F"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Акт об окончании летных испытаний 01-08.04.1932 г.</w:t>
            </w:r>
          </w:p>
          <w:p w14:paraId="70140F7A"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Отчет о войсковых испы</w:t>
            </w:r>
            <w:r w:rsidRPr="00070ADE">
              <w:rPr>
                <w:rFonts w:ascii="Times New Roman" w:hAnsi="Times New Roman"/>
                <w:color w:val="000000" w:themeColor="text1"/>
                <w:sz w:val="16"/>
                <w:szCs w:val="16"/>
              </w:rPr>
              <w:softHyphen/>
              <w:t>таниях 08.1933 г.</w:t>
            </w:r>
          </w:p>
          <w:p w14:paraId="4CA2A6C4"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Летная книжка П.М. Сте- фановского</w:t>
            </w:r>
          </w:p>
        </w:tc>
        <w:tc>
          <w:tcPr>
            <w:tcW w:w="2478" w:type="dxa"/>
            <w:tcBorders>
              <w:top w:val="single" w:sz="4" w:space="0" w:color="auto"/>
              <w:left w:val="single" w:sz="4" w:space="0" w:color="auto"/>
              <w:bottom w:val="single" w:sz="4" w:space="0" w:color="auto"/>
              <w:right w:val="single" w:sz="4" w:space="0" w:color="auto"/>
            </w:tcBorders>
            <w:vAlign w:val="center"/>
          </w:tcPr>
          <w:p w14:paraId="16E49954"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первого полета доработка замков рас</w:t>
            </w:r>
            <w:r w:rsidRPr="00070ADE">
              <w:rPr>
                <w:rFonts w:ascii="Times New Roman" w:hAnsi="Times New Roman"/>
                <w:color w:val="000000" w:themeColor="text1"/>
                <w:sz w:val="16"/>
                <w:szCs w:val="16"/>
              </w:rPr>
              <w:softHyphen/>
              <w:t>цепки. Была изготов</w:t>
            </w:r>
            <w:r w:rsidRPr="00070ADE">
              <w:rPr>
                <w:rFonts w:ascii="Times New Roman" w:hAnsi="Times New Roman"/>
                <w:color w:val="000000" w:themeColor="text1"/>
                <w:sz w:val="16"/>
                <w:szCs w:val="16"/>
              </w:rPr>
              <w:softHyphen/>
              <w:t>лена малая серия «3-1» для войсковых испытаний, которые прошли успешно</w:t>
            </w:r>
          </w:p>
        </w:tc>
      </w:tr>
      <w:tr w:rsidR="00765210" w:rsidRPr="00070ADE" w14:paraId="4D8CD1B9" w14:textId="77777777" w:rsidTr="004C5D62">
        <w:trPr>
          <w:trHeight w:val="1098"/>
        </w:trPr>
        <w:tc>
          <w:tcPr>
            <w:tcW w:w="356" w:type="dxa"/>
            <w:tcBorders>
              <w:top w:val="single" w:sz="4" w:space="0" w:color="auto"/>
              <w:left w:val="single" w:sz="4" w:space="0" w:color="auto"/>
              <w:bottom w:val="single" w:sz="4" w:space="0" w:color="auto"/>
              <w:right w:val="single" w:sz="4" w:space="0" w:color="auto"/>
            </w:tcBorders>
          </w:tcPr>
          <w:p w14:paraId="1A47A0D6"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1340" w:type="dxa"/>
            <w:tcBorders>
              <w:top w:val="single" w:sz="4" w:space="0" w:color="auto"/>
              <w:left w:val="single" w:sz="4" w:space="0" w:color="auto"/>
              <w:bottom w:val="single" w:sz="4" w:space="0" w:color="auto"/>
              <w:right w:val="single" w:sz="4" w:space="0" w:color="auto"/>
            </w:tcBorders>
          </w:tcPr>
          <w:p w14:paraId="48F1E84A"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а»</w:t>
            </w:r>
          </w:p>
          <w:p w14:paraId="036941B8"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ТБ-1+2И-5</w:t>
            </w:r>
          </w:p>
        </w:tc>
        <w:tc>
          <w:tcPr>
            <w:tcW w:w="1134" w:type="dxa"/>
            <w:tcBorders>
              <w:top w:val="single" w:sz="4" w:space="0" w:color="auto"/>
              <w:left w:val="single" w:sz="4" w:space="0" w:color="auto"/>
              <w:bottom w:val="single" w:sz="4" w:space="0" w:color="auto"/>
              <w:right w:val="single" w:sz="4" w:space="0" w:color="auto"/>
            </w:tcBorders>
          </w:tcPr>
          <w:p w14:paraId="780AD35B"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09.1933 -</w:t>
            </w:r>
          </w:p>
          <w:p w14:paraId="525B4E02"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05.10.1933 г.</w:t>
            </w:r>
          </w:p>
        </w:tc>
        <w:tc>
          <w:tcPr>
            <w:tcW w:w="2552" w:type="dxa"/>
            <w:tcBorders>
              <w:top w:val="single" w:sz="4" w:space="0" w:color="auto"/>
              <w:left w:val="single" w:sz="4" w:space="0" w:color="auto"/>
              <w:bottom w:val="single" w:sz="4" w:space="0" w:color="auto"/>
              <w:right w:val="single" w:sz="4" w:space="0" w:color="auto"/>
            </w:tcBorders>
          </w:tcPr>
          <w:p w14:paraId="13CC77A0"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ТБ-1 доработан для установки И-5</w:t>
            </w:r>
          </w:p>
        </w:tc>
        <w:tc>
          <w:tcPr>
            <w:tcW w:w="2483" w:type="dxa"/>
            <w:tcBorders>
              <w:top w:val="single" w:sz="4" w:space="0" w:color="auto"/>
              <w:left w:val="single" w:sz="4" w:space="0" w:color="auto"/>
              <w:bottom w:val="single" w:sz="4" w:space="0" w:color="auto"/>
              <w:right w:val="single" w:sz="4" w:space="0" w:color="auto"/>
            </w:tcBorders>
            <w:vAlign w:val="center"/>
          </w:tcPr>
          <w:p w14:paraId="2615E0E3"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Протокол испытаний «3-1 а» 09.1933 г.</w:t>
            </w:r>
          </w:p>
          <w:p w14:paraId="30611AF0"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2.Акт утвержденный Алкснисом испытаний «3-1 а» 05.10.1933 г.</w:t>
            </w:r>
          </w:p>
        </w:tc>
        <w:tc>
          <w:tcPr>
            <w:tcW w:w="2478" w:type="dxa"/>
            <w:tcBorders>
              <w:top w:val="single" w:sz="4" w:space="0" w:color="auto"/>
              <w:left w:val="single" w:sz="4" w:space="0" w:color="auto"/>
              <w:bottom w:val="single" w:sz="4" w:space="0" w:color="auto"/>
              <w:right w:val="single" w:sz="4" w:space="0" w:color="auto"/>
            </w:tcBorders>
          </w:tcPr>
          <w:p w14:paraId="1853450D"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Изготовлена малая се</w:t>
            </w:r>
            <w:r w:rsidRPr="00070ADE">
              <w:rPr>
                <w:rFonts w:ascii="Times New Roman" w:hAnsi="Times New Roman"/>
                <w:color w:val="000000" w:themeColor="text1"/>
                <w:sz w:val="16"/>
                <w:szCs w:val="16"/>
              </w:rPr>
              <w:softHyphen/>
              <w:t>рия «3-1 а». Войсковые испытания прошли ус</w:t>
            </w:r>
            <w:r w:rsidRPr="00070ADE">
              <w:rPr>
                <w:rFonts w:ascii="Times New Roman" w:hAnsi="Times New Roman"/>
                <w:color w:val="000000" w:themeColor="text1"/>
                <w:sz w:val="16"/>
                <w:szCs w:val="16"/>
              </w:rPr>
              <w:softHyphen/>
              <w:t>пешно</w:t>
            </w:r>
          </w:p>
        </w:tc>
      </w:tr>
      <w:tr w:rsidR="00765210" w:rsidRPr="00070ADE" w14:paraId="33311EBD" w14:textId="77777777" w:rsidTr="004C5D62">
        <w:trPr>
          <w:trHeight w:val="1120"/>
        </w:trPr>
        <w:tc>
          <w:tcPr>
            <w:tcW w:w="356" w:type="dxa"/>
            <w:tcBorders>
              <w:top w:val="single" w:sz="4" w:space="0" w:color="auto"/>
              <w:left w:val="single" w:sz="4" w:space="0" w:color="auto"/>
              <w:bottom w:val="single" w:sz="4" w:space="0" w:color="auto"/>
              <w:right w:val="single" w:sz="4" w:space="0" w:color="auto"/>
            </w:tcBorders>
          </w:tcPr>
          <w:p w14:paraId="2E56836B"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1340" w:type="dxa"/>
            <w:tcBorders>
              <w:top w:val="single" w:sz="4" w:space="0" w:color="auto"/>
              <w:left w:val="single" w:sz="4" w:space="0" w:color="auto"/>
              <w:bottom w:val="single" w:sz="4" w:space="0" w:color="auto"/>
              <w:right w:val="single" w:sz="4" w:space="0" w:color="auto"/>
            </w:tcBorders>
          </w:tcPr>
          <w:p w14:paraId="47FC7836"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Тягач Звена «Т-3»</w:t>
            </w:r>
          </w:p>
        </w:tc>
        <w:tc>
          <w:tcPr>
            <w:tcW w:w="1134" w:type="dxa"/>
            <w:tcBorders>
              <w:top w:val="single" w:sz="4" w:space="0" w:color="auto"/>
              <w:left w:val="single" w:sz="4" w:space="0" w:color="auto"/>
              <w:bottom w:val="single" w:sz="4" w:space="0" w:color="auto"/>
              <w:right w:val="single" w:sz="4" w:space="0" w:color="auto"/>
            </w:tcBorders>
          </w:tcPr>
          <w:p w14:paraId="3B9C8F60"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1933 г.</w:t>
            </w:r>
          </w:p>
        </w:tc>
        <w:tc>
          <w:tcPr>
            <w:tcW w:w="2552" w:type="dxa"/>
            <w:tcBorders>
              <w:top w:val="single" w:sz="4" w:space="0" w:color="auto"/>
              <w:left w:val="single" w:sz="4" w:space="0" w:color="auto"/>
              <w:bottom w:val="single" w:sz="4" w:space="0" w:color="auto"/>
              <w:right w:val="single" w:sz="4" w:space="0" w:color="auto"/>
            </w:tcBorders>
            <w:vAlign w:val="center"/>
          </w:tcPr>
          <w:p w14:paraId="003534F7"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Специальный самолет для уско</w:t>
            </w:r>
            <w:r w:rsidRPr="00070ADE">
              <w:rPr>
                <w:rFonts w:ascii="Times New Roman" w:hAnsi="Times New Roman"/>
                <w:color w:val="000000" w:themeColor="text1"/>
                <w:sz w:val="16"/>
                <w:szCs w:val="16"/>
              </w:rPr>
              <w:softHyphen/>
              <w:t>рения взлета самолета-носите</w:t>
            </w:r>
            <w:r w:rsidRPr="00070ADE">
              <w:rPr>
                <w:rFonts w:ascii="Times New Roman" w:hAnsi="Times New Roman"/>
                <w:color w:val="000000" w:themeColor="text1"/>
                <w:sz w:val="16"/>
                <w:szCs w:val="16"/>
              </w:rPr>
              <w:softHyphen/>
              <w:t>ля с мощным двигателем и специально подобранным воз</w:t>
            </w:r>
            <w:r w:rsidRPr="00070ADE">
              <w:rPr>
                <w:rFonts w:ascii="Times New Roman" w:hAnsi="Times New Roman"/>
                <w:color w:val="000000" w:themeColor="text1"/>
                <w:sz w:val="16"/>
                <w:szCs w:val="16"/>
              </w:rPr>
              <w:softHyphen/>
              <w:t>душным винтом</w:t>
            </w:r>
          </w:p>
        </w:tc>
        <w:tc>
          <w:tcPr>
            <w:tcW w:w="2483" w:type="dxa"/>
            <w:tcBorders>
              <w:top w:val="single" w:sz="4" w:space="0" w:color="auto"/>
              <w:left w:val="single" w:sz="4" w:space="0" w:color="auto"/>
              <w:bottom w:val="single" w:sz="4" w:space="0" w:color="auto"/>
              <w:right w:val="single" w:sz="4" w:space="0" w:color="auto"/>
            </w:tcBorders>
          </w:tcPr>
          <w:p w14:paraId="143D881A"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Эскизный проект</w:t>
            </w:r>
          </w:p>
        </w:tc>
        <w:tc>
          <w:tcPr>
            <w:tcW w:w="2478" w:type="dxa"/>
            <w:tcBorders>
              <w:top w:val="single" w:sz="4" w:space="0" w:color="auto"/>
              <w:left w:val="single" w:sz="4" w:space="0" w:color="auto"/>
              <w:bottom w:val="single" w:sz="4" w:space="0" w:color="auto"/>
              <w:right w:val="single" w:sz="4" w:space="0" w:color="auto"/>
            </w:tcBorders>
          </w:tcPr>
          <w:p w14:paraId="179B12E8"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Конструктивно не раз</w:t>
            </w:r>
            <w:r w:rsidRPr="00070ADE">
              <w:rPr>
                <w:rFonts w:ascii="Times New Roman" w:hAnsi="Times New Roman"/>
                <w:color w:val="000000" w:themeColor="text1"/>
                <w:sz w:val="16"/>
                <w:szCs w:val="16"/>
              </w:rPr>
              <w:softHyphen/>
              <w:t>рабатывался</w:t>
            </w:r>
          </w:p>
        </w:tc>
      </w:tr>
      <w:tr w:rsidR="00765210" w:rsidRPr="00070ADE" w14:paraId="6EA173D3" w14:textId="77777777" w:rsidTr="004C5D62">
        <w:trPr>
          <w:trHeight w:val="1282"/>
        </w:trPr>
        <w:tc>
          <w:tcPr>
            <w:tcW w:w="356" w:type="dxa"/>
            <w:tcBorders>
              <w:top w:val="single" w:sz="4" w:space="0" w:color="auto"/>
              <w:left w:val="single" w:sz="4" w:space="0" w:color="auto"/>
              <w:bottom w:val="single" w:sz="4" w:space="0" w:color="auto"/>
              <w:right w:val="single" w:sz="4" w:space="0" w:color="auto"/>
            </w:tcBorders>
          </w:tcPr>
          <w:p w14:paraId="7E74F721"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1340" w:type="dxa"/>
            <w:tcBorders>
              <w:top w:val="single" w:sz="4" w:space="0" w:color="auto"/>
              <w:left w:val="single" w:sz="4" w:space="0" w:color="auto"/>
              <w:bottom w:val="single" w:sz="4" w:space="0" w:color="auto"/>
              <w:right w:val="single" w:sz="4" w:space="0" w:color="auto"/>
            </w:tcBorders>
          </w:tcPr>
          <w:p w14:paraId="6839A16D"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w:t>
            </w:r>
          </w:p>
          <w:p w14:paraId="05F2B6EE"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ТБ-3+2И-5</w:t>
            </w:r>
          </w:p>
        </w:tc>
        <w:tc>
          <w:tcPr>
            <w:tcW w:w="1134" w:type="dxa"/>
            <w:tcBorders>
              <w:top w:val="single" w:sz="4" w:space="0" w:color="auto"/>
              <w:left w:val="single" w:sz="4" w:space="0" w:color="auto"/>
              <w:bottom w:val="single" w:sz="4" w:space="0" w:color="auto"/>
              <w:right w:val="single" w:sz="4" w:space="0" w:color="auto"/>
            </w:tcBorders>
          </w:tcPr>
          <w:p w14:paraId="4B608441"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06.1933 г. —</w:t>
            </w:r>
          </w:p>
          <w:p w14:paraId="50BE8981"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08.1935 г.</w:t>
            </w:r>
          </w:p>
        </w:tc>
        <w:tc>
          <w:tcPr>
            <w:tcW w:w="2552" w:type="dxa"/>
            <w:tcBorders>
              <w:top w:val="single" w:sz="4" w:space="0" w:color="auto"/>
              <w:left w:val="single" w:sz="4" w:space="0" w:color="auto"/>
              <w:bottom w:val="single" w:sz="4" w:space="0" w:color="auto"/>
              <w:right w:val="single" w:sz="4" w:space="0" w:color="auto"/>
            </w:tcBorders>
          </w:tcPr>
          <w:p w14:paraId="38ADF62D"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Конструкция крепления трех И-5 аналогична «3-1 а»</w:t>
            </w:r>
          </w:p>
        </w:tc>
        <w:tc>
          <w:tcPr>
            <w:tcW w:w="2483" w:type="dxa"/>
            <w:tcBorders>
              <w:top w:val="single" w:sz="4" w:space="0" w:color="auto"/>
              <w:left w:val="single" w:sz="4" w:space="0" w:color="auto"/>
              <w:bottom w:val="single" w:sz="4" w:space="0" w:color="auto"/>
              <w:right w:val="single" w:sz="4" w:space="0" w:color="auto"/>
            </w:tcBorders>
            <w:vAlign w:val="center"/>
          </w:tcPr>
          <w:p w14:paraId="04C9EDCC"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.Летная книжка П.М. Сте- фановского</w:t>
            </w:r>
          </w:p>
          <w:p w14:paraId="51B46F98"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Отчет по тактическим испытаниям самолета Зве</w:t>
            </w:r>
            <w:r w:rsidRPr="00070ADE">
              <w:rPr>
                <w:rFonts w:ascii="Times New Roman" w:hAnsi="Times New Roman"/>
                <w:color w:val="000000" w:themeColor="text1"/>
                <w:sz w:val="16"/>
                <w:szCs w:val="16"/>
              </w:rPr>
              <w:softHyphen/>
              <w:t>но ТБ-3+2И-5 (с бензопи</w:t>
            </w:r>
            <w:r w:rsidRPr="00070ADE">
              <w:rPr>
                <w:rFonts w:ascii="Times New Roman" w:hAnsi="Times New Roman"/>
                <w:color w:val="000000" w:themeColor="text1"/>
                <w:sz w:val="16"/>
                <w:szCs w:val="16"/>
              </w:rPr>
              <w:softHyphen/>
              <w:t>танием)</w:t>
            </w:r>
          </w:p>
        </w:tc>
        <w:tc>
          <w:tcPr>
            <w:tcW w:w="2478" w:type="dxa"/>
            <w:tcBorders>
              <w:top w:val="single" w:sz="4" w:space="0" w:color="auto"/>
              <w:left w:val="single" w:sz="4" w:space="0" w:color="auto"/>
              <w:bottom w:val="single" w:sz="4" w:space="0" w:color="auto"/>
              <w:right w:val="single" w:sz="4" w:space="0" w:color="auto"/>
            </w:tcBorders>
          </w:tcPr>
          <w:p w14:paraId="1229F4CF"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Испытывались ТБ-3+2И-5, ТБ-3+1 И-5, ТБ-З+ЗИ-5.</w:t>
            </w:r>
          </w:p>
        </w:tc>
      </w:tr>
      <w:tr w:rsidR="00765210" w:rsidRPr="00070ADE" w14:paraId="1FE1A76E" w14:textId="77777777" w:rsidTr="004C5D62">
        <w:trPr>
          <w:trHeight w:val="929"/>
        </w:trPr>
        <w:tc>
          <w:tcPr>
            <w:tcW w:w="356" w:type="dxa"/>
            <w:tcBorders>
              <w:top w:val="single" w:sz="4" w:space="0" w:color="auto"/>
              <w:left w:val="single" w:sz="4" w:space="0" w:color="auto"/>
              <w:bottom w:val="single" w:sz="4" w:space="0" w:color="auto"/>
              <w:right w:val="single" w:sz="4" w:space="0" w:color="auto"/>
            </w:tcBorders>
          </w:tcPr>
          <w:p w14:paraId="42E5628F"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1340" w:type="dxa"/>
            <w:tcBorders>
              <w:top w:val="single" w:sz="4" w:space="0" w:color="auto"/>
              <w:left w:val="single" w:sz="4" w:space="0" w:color="auto"/>
              <w:bottom w:val="single" w:sz="4" w:space="0" w:color="auto"/>
              <w:right w:val="single" w:sz="4" w:space="0" w:color="auto"/>
            </w:tcBorders>
          </w:tcPr>
          <w:p w14:paraId="7502D9FE"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w:t>
            </w:r>
          </w:p>
          <w:p w14:paraId="0971E182"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ТБ-3+2И-ЗЕТ</w:t>
            </w:r>
          </w:p>
        </w:tc>
        <w:tc>
          <w:tcPr>
            <w:tcW w:w="1134" w:type="dxa"/>
            <w:tcBorders>
              <w:top w:val="single" w:sz="4" w:space="0" w:color="auto"/>
              <w:left w:val="single" w:sz="4" w:space="0" w:color="auto"/>
              <w:bottom w:val="single" w:sz="4" w:space="0" w:color="auto"/>
              <w:right w:val="single" w:sz="4" w:space="0" w:color="auto"/>
            </w:tcBorders>
          </w:tcPr>
          <w:p w14:paraId="70E4F1FE"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07.1934 г.</w:t>
            </w:r>
          </w:p>
        </w:tc>
        <w:tc>
          <w:tcPr>
            <w:tcW w:w="2552" w:type="dxa"/>
            <w:tcBorders>
              <w:top w:val="single" w:sz="4" w:space="0" w:color="auto"/>
              <w:left w:val="single" w:sz="4" w:space="0" w:color="auto"/>
              <w:bottom w:val="single" w:sz="4" w:space="0" w:color="auto"/>
              <w:right w:val="single" w:sz="4" w:space="0" w:color="auto"/>
            </w:tcBorders>
            <w:vAlign w:val="center"/>
          </w:tcPr>
          <w:p w14:paraId="1A249F34"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И-ЗЕТ подвешивались на пла</w:t>
            </w:r>
            <w:r w:rsidRPr="00070ADE">
              <w:rPr>
                <w:rFonts w:ascii="Times New Roman" w:hAnsi="Times New Roman"/>
                <w:color w:val="000000" w:themeColor="text1"/>
                <w:sz w:val="16"/>
                <w:szCs w:val="16"/>
              </w:rPr>
              <w:softHyphen/>
              <w:t>вающей подвеске. При взлете ТБ-3 «ЗЕТЫ» стопорились в крайнем нижнем положении</w:t>
            </w:r>
          </w:p>
        </w:tc>
        <w:tc>
          <w:tcPr>
            <w:tcW w:w="2483" w:type="dxa"/>
            <w:tcBorders>
              <w:top w:val="single" w:sz="4" w:space="0" w:color="auto"/>
              <w:left w:val="single" w:sz="4" w:space="0" w:color="auto"/>
              <w:bottom w:val="single" w:sz="4" w:space="0" w:color="auto"/>
              <w:right w:val="single" w:sz="4" w:space="0" w:color="auto"/>
            </w:tcBorders>
          </w:tcPr>
          <w:p w14:paraId="09FC402C"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Летная книжка П.М. Стефа- новского</w:t>
            </w:r>
          </w:p>
        </w:tc>
        <w:tc>
          <w:tcPr>
            <w:tcW w:w="2478" w:type="dxa"/>
            <w:tcBorders>
              <w:top w:val="single" w:sz="4" w:space="0" w:color="auto"/>
              <w:left w:val="single" w:sz="4" w:space="0" w:color="auto"/>
              <w:bottom w:val="single" w:sz="4" w:space="0" w:color="auto"/>
              <w:right w:val="single" w:sz="4" w:space="0" w:color="auto"/>
            </w:tcBorders>
            <w:vAlign w:val="center"/>
          </w:tcPr>
          <w:p w14:paraId="2D3686E4"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первом эксперимен</w:t>
            </w:r>
            <w:r w:rsidRPr="00070ADE">
              <w:rPr>
                <w:rFonts w:ascii="Times New Roman" w:hAnsi="Times New Roman"/>
                <w:color w:val="000000" w:themeColor="text1"/>
                <w:sz w:val="16"/>
                <w:szCs w:val="16"/>
              </w:rPr>
              <w:softHyphen/>
              <w:t>тальном полете катаст</w:t>
            </w:r>
            <w:r w:rsidRPr="00070ADE">
              <w:rPr>
                <w:rFonts w:ascii="Times New Roman" w:hAnsi="Times New Roman"/>
                <w:color w:val="000000" w:themeColor="text1"/>
                <w:sz w:val="16"/>
                <w:szCs w:val="16"/>
              </w:rPr>
              <w:softHyphen/>
              <w:t>рофа, летчик Коротков погиб. Все прекращено</w:t>
            </w:r>
          </w:p>
        </w:tc>
      </w:tr>
      <w:tr w:rsidR="00765210" w:rsidRPr="00070ADE" w14:paraId="5AE747F7" w14:textId="77777777" w:rsidTr="004C5D62">
        <w:trPr>
          <w:trHeight w:val="738"/>
        </w:trPr>
        <w:tc>
          <w:tcPr>
            <w:tcW w:w="356" w:type="dxa"/>
            <w:tcBorders>
              <w:top w:val="single" w:sz="4" w:space="0" w:color="auto"/>
              <w:left w:val="single" w:sz="4" w:space="0" w:color="auto"/>
              <w:bottom w:val="single" w:sz="4" w:space="0" w:color="auto"/>
              <w:right w:val="single" w:sz="4" w:space="0" w:color="auto"/>
            </w:tcBorders>
          </w:tcPr>
          <w:p w14:paraId="2EE0EF31"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1340" w:type="dxa"/>
            <w:tcBorders>
              <w:top w:val="single" w:sz="4" w:space="0" w:color="auto"/>
              <w:left w:val="single" w:sz="4" w:space="0" w:color="auto"/>
              <w:bottom w:val="single" w:sz="4" w:space="0" w:color="auto"/>
              <w:right w:val="single" w:sz="4" w:space="0" w:color="auto"/>
            </w:tcBorders>
            <w:vAlign w:val="center"/>
          </w:tcPr>
          <w:p w14:paraId="0645088A"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 ТБ-З+И-5 (фюзеляж»)</w:t>
            </w:r>
          </w:p>
        </w:tc>
        <w:tc>
          <w:tcPr>
            <w:tcW w:w="1134" w:type="dxa"/>
            <w:tcBorders>
              <w:top w:val="single" w:sz="4" w:space="0" w:color="auto"/>
              <w:left w:val="single" w:sz="4" w:space="0" w:color="auto"/>
              <w:bottom w:val="single" w:sz="4" w:space="0" w:color="auto"/>
              <w:right w:val="single" w:sz="4" w:space="0" w:color="auto"/>
            </w:tcBorders>
          </w:tcPr>
          <w:p w14:paraId="21655287"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11.1935 г.</w:t>
            </w:r>
          </w:p>
        </w:tc>
        <w:tc>
          <w:tcPr>
            <w:tcW w:w="2552" w:type="dxa"/>
            <w:tcBorders>
              <w:top w:val="single" w:sz="4" w:space="0" w:color="auto"/>
              <w:left w:val="single" w:sz="4" w:space="0" w:color="auto"/>
              <w:bottom w:val="single" w:sz="4" w:space="0" w:color="auto"/>
              <w:right w:val="single" w:sz="4" w:space="0" w:color="auto"/>
            </w:tcBorders>
            <w:vAlign w:val="center"/>
          </w:tcPr>
          <w:p w14:paraId="471BC7F4"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Упрощенный «Т-3» с использо</w:t>
            </w:r>
            <w:r w:rsidRPr="00070ADE">
              <w:rPr>
                <w:rFonts w:ascii="Times New Roman" w:hAnsi="Times New Roman"/>
                <w:color w:val="000000" w:themeColor="text1"/>
                <w:sz w:val="16"/>
                <w:szCs w:val="16"/>
              </w:rPr>
              <w:softHyphen/>
              <w:t>ванием И-5 без крыльев и опе</w:t>
            </w:r>
            <w:r w:rsidRPr="00070ADE">
              <w:rPr>
                <w:rFonts w:ascii="Times New Roman" w:hAnsi="Times New Roman"/>
                <w:color w:val="000000" w:themeColor="text1"/>
                <w:sz w:val="16"/>
                <w:szCs w:val="16"/>
              </w:rPr>
              <w:softHyphen/>
              <w:t>рения</w:t>
            </w:r>
          </w:p>
        </w:tc>
        <w:tc>
          <w:tcPr>
            <w:tcW w:w="2483" w:type="dxa"/>
            <w:tcBorders>
              <w:top w:val="single" w:sz="4" w:space="0" w:color="auto"/>
              <w:left w:val="single" w:sz="4" w:space="0" w:color="auto"/>
              <w:bottom w:val="single" w:sz="4" w:space="0" w:color="auto"/>
              <w:right w:val="single" w:sz="4" w:space="0" w:color="auto"/>
            </w:tcBorders>
          </w:tcPr>
          <w:p w14:paraId="0FD2BD5A" w14:textId="77777777" w:rsidR="00765210" w:rsidRPr="00070ADE" w:rsidRDefault="00765210" w:rsidP="00B56F90">
            <w:pPr>
              <w:spacing w:after="0" w:line="240" w:lineRule="auto"/>
              <w:jc w:val="both"/>
              <w:rPr>
                <w:rFonts w:ascii="Times New Roman" w:hAnsi="Times New Roman"/>
                <w:color w:val="000000" w:themeColor="text1"/>
                <w:sz w:val="16"/>
                <w:szCs w:val="16"/>
              </w:rPr>
            </w:pPr>
          </w:p>
        </w:tc>
        <w:tc>
          <w:tcPr>
            <w:tcW w:w="2478" w:type="dxa"/>
            <w:tcBorders>
              <w:top w:val="single" w:sz="4" w:space="0" w:color="auto"/>
              <w:left w:val="single" w:sz="4" w:space="0" w:color="auto"/>
              <w:bottom w:val="single" w:sz="4" w:space="0" w:color="auto"/>
              <w:right w:val="single" w:sz="4" w:space="0" w:color="auto"/>
            </w:tcBorders>
            <w:vAlign w:val="center"/>
          </w:tcPr>
          <w:p w14:paraId="22B6D3C7"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полетов, преимуществ нет, по</w:t>
            </w:r>
            <w:r w:rsidRPr="00070ADE">
              <w:rPr>
                <w:rFonts w:ascii="Times New Roman" w:hAnsi="Times New Roman"/>
                <w:color w:val="000000" w:themeColor="text1"/>
                <w:sz w:val="16"/>
                <w:szCs w:val="16"/>
              </w:rPr>
              <w:softHyphen/>
              <w:t>леты прекратили</w:t>
            </w:r>
          </w:p>
        </w:tc>
      </w:tr>
      <w:tr w:rsidR="00765210" w:rsidRPr="00070ADE" w14:paraId="51DC5C59" w14:textId="77777777" w:rsidTr="004C5D62">
        <w:trPr>
          <w:trHeight w:val="652"/>
        </w:trPr>
        <w:tc>
          <w:tcPr>
            <w:tcW w:w="356" w:type="dxa"/>
            <w:tcBorders>
              <w:top w:val="single" w:sz="4" w:space="0" w:color="auto"/>
              <w:left w:val="single" w:sz="4" w:space="0" w:color="auto"/>
              <w:bottom w:val="single" w:sz="4" w:space="0" w:color="auto"/>
              <w:right w:val="single" w:sz="4" w:space="0" w:color="auto"/>
            </w:tcBorders>
          </w:tcPr>
          <w:p w14:paraId="75C0C44A"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1340" w:type="dxa"/>
            <w:tcBorders>
              <w:top w:val="single" w:sz="4" w:space="0" w:color="auto"/>
              <w:left w:val="single" w:sz="4" w:space="0" w:color="auto"/>
              <w:bottom w:val="single" w:sz="4" w:space="0" w:color="auto"/>
              <w:right w:val="single" w:sz="4" w:space="0" w:color="auto"/>
            </w:tcBorders>
            <w:vAlign w:val="center"/>
          </w:tcPr>
          <w:p w14:paraId="7F374ADB"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p w14:paraId="073FBD0E"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ТБ-З+И-ЗЕТ</w:t>
            </w:r>
          </w:p>
        </w:tc>
        <w:tc>
          <w:tcPr>
            <w:tcW w:w="1134" w:type="dxa"/>
            <w:tcBorders>
              <w:top w:val="single" w:sz="4" w:space="0" w:color="auto"/>
              <w:left w:val="single" w:sz="4" w:space="0" w:color="auto"/>
              <w:bottom w:val="single" w:sz="4" w:space="0" w:color="auto"/>
              <w:right w:val="single" w:sz="4" w:space="0" w:color="auto"/>
            </w:tcBorders>
          </w:tcPr>
          <w:p w14:paraId="3344818D"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04.04.1935 г.</w:t>
            </w:r>
          </w:p>
        </w:tc>
        <w:tc>
          <w:tcPr>
            <w:tcW w:w="2552" w:type="dxa"/>
            <w:tcBorders>
              <w:top w:val="single" w:sz="4" w:space="0" w:color="auto"/>
              <w:left w:val="single" w:sz="4" w:space="0" w:color="auto"/>
              <w:bottom w:val="single" w:sz="4" w:space="0" w:color="auto"/>
              <w:right w:val="single" w:sz="4" w:space="0" w:color="auto"/>
            </w:tcBorders>
            <w:vAlign w:val="center"/>
          </w:tcPr>
          <w:p w14:paraId="662AD24A"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ТБ-3 оборудован фермой для подцепки И-ЗЕТ</w:t>
            </w:r>
          </w:p>
        </w:tc>
        <w:tc>
          <w:tcPr>
            <w:tcW w:w="2483" w:type="dxa"/>
            <w:tcBorders>
              <w:top w:val="single" w:sz="4" w:space="0" w:color="auto"/>
              <w:left w:val="single" w:sz="4" w:space="0" w:color="auto"/>
              <w:bottom w:val="single" w:sz="4" w:space="0" w:color="auto"/>
              <w:right w:val="single" w:sz="4" w:space="0" w:color="auto"/>
            </w:tcBorders>
            <w:vAlign w:val="bottom"/>
          </w:tcPr>
          <w:p w14:paraId="13D25972"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Отчет по испытаниям</w:t>
            </w:r>
          </w:p>
          <w:p w14:paraId="07BE27DC"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Летная книжка П.М. Сте- фановского</w:t>
            </w:r>
          </w:p>
        </w:tc>
        <w:tc>
          <w:tcPr>
            <w:tcW w:w="2478" w:type="dxa"/>
            <w:tcBorders>
              <w:top w:val="single" w:sz="4" w:space="0" w:color="auto"/>
              <w:left w:val="single" w:sz="4" w:space="0" w:color="auto"/>
              <w:bottom w:val="single" w:sz="4" w:space="0" w:color="auto"/>
              <w:right w:val="single" w:sz="4" w:space="0" w:color="auto"/>
            </w:tcBorders>
            <w:vAlign w:val="center"/>
          </w:tcPr>
          <w:p w14:paraId="250BD44D"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Летчик В.А. Степанчо- нок</w:t>
            </w:r>
          </w:p>
        </w:tc>
      </w:tr>
      <w:tr w:rsidR="00765210" w:rsidRPr="00070ADE" w14:paraId="4FDF2045" w14:textId="77777777" w:rsidTr="004C5D62">
        <w:trPr>
          <w:trHeight w:val="652"/>
        </w:trPr>
        <w:tc>
          <w:tcPr>
            <w:tcW w:w="356" w:type="dxa"/>
            <w:tcBorders>
              <w:top w:val="single" w:sz="4" w:space="0" w:color="auto"/>
              <w:left w:val="single" w:sz="4" w:space="0" w:color="auto"/>
              <w:bottom w:val="single" w:sz="4" w:space="0" w:color="auto"/>
              <w:right w:val="single" w:sz="4" w:space="0" w:color="auto"/>
            </w:tcBorders>
          </w:tcPr>
          <w:p w14:paraId="0DCF9C06"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1340" w:type="dxa"/>
            <w:tcBorders>
              <w:top w:val="single" w:sz="4" w:space="0" w:color="auto"/>
              <w:left w:val="single" w:sz="4" w:space="0" w:color="auto"/>
              <w:bottom w:val="single" w:sz="4" w:space="0" w:color="auto"/>
              <w:right w:val="single" w:sz="4" w:space="0" w:color="auto"/>
            </w:tcBorders>
          </w:tcPr>
          <w:p w14:paraId="70A155EA"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w:t>
            </w:r>
          </w:p>
          <w:p w14:paraId="7869D3A3"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ТБ-3+2И-16</w:t>
            </w:r>
          </w:p>
        </w:tc>
        <w:tc>
          <w:tcPr>
            <w:tcW w:w="1134" w:type="dxa"/>
            <w:tcBorders>
              <w:top w:val="single" w:sz="4" w:space="0" w:color="auto"/>
              <w:left w:val="single" w:sz="4" w:space="0" w:color="auto"/>
              <w:bottom w:val="single" w:sz="4" w:space="0" w:color="auto"/>
              <w:right w:val="single" w:sz="4" w:space="0" w:color="auto"/>
            </w:tcBorders>
          </w:tcPr>
          <w:p w14:paraId="0EE90822"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12.34 г,—08.34 г.</w:t>
            </w:r>
          </w:p>
          <w:p w14:paraId="1CE9B3D4"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13.12.36 г.</w:t>
            </w:r>
          </w:p>
        </w:tc>
        <w:tc>
          <w:tcPr>
            <w:tcW w:w="2552" w:type="dxa"/>
            <w:tcBorders>
              <w:top w:val="single" w:sz="4" w:space="0" w:color="auto"/>
              <w:left w:val="single" w:sz="4" w:space="0" w:color="auto"/>
              <w:bottom w:val="single" w:sz="4" w:space="0" w:color="auto"/>
              <w:right w:val="single" w:sz="4" w:space="0" w:color="auto"/>
            </w:tcBorders>
          </w:tcPr>
          <w:p w14:paraId="4CA49DB0"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И-16 подвешивались к ТБ-3 на 3-х точках. На вершине пирами</w:t>
            </w:r>
            <w:r w:rsidRPr="00070ADE">
              <w:rPr>
                <w:rFonts w:ascii="Times New Roman" w:hAnsi="Times New Roman"/>
                <w:color w:val="000000" w:themeColor="text1"/>
                <w:sz w:val="16"/>
                <w:szCs w:val="16"/>
              </w:rPr>
              <w:softHyphen/>
              <w:t>ды замки. 3-я точка за сидени</w:t>
            </w:r>
            <w:r w:rsidRPr="00070ADE">
              <w:rPr>
                <w:rFonts w:ascii="Times New Roman" w:hAnsi="Times New Roman"/>
                <w:color w:val="000000" w:themeColor="text1"/>
                <w:sz w:val="16"/>
                <w:szCs w:val="16"/>
              </w:rPr>
              <w:softHyphen/>
              <w:t>ем И-16, стойка откидывалась.</w:t>
            </w:r>
          </w:p>
        </w:tc>
        <w:tc>
          <w:tcPr>
            <w:tcW w:w="2483" w:type="dxa"/>
            <w:tcBorders>
              <w:top w:val="single" w:sz="4" w:space="0" w:color="auto"/>
              <w:left w:val="single" w:sz="4" w:space="0" w:color="auto"/>
              <w:bottom w:val="single" w:sz="4" w:space="0" w:color="auto"/>
              <w:right w:val="single" w:sz="4" w:space="0" w:color="auto"/>
            </w:tcBorders>
          </w:tcPr>
          <w:p w14:paraId="62424253"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Летная книжка П.М. Сте- фановского</w:t>
            </w:r>
          </w:p>
          <w:p w14:paraId="22F75EBE"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Отчет по летным испыта</w:t>
            </w:r>
            <w:r w:rsidRPr="00070ADE">
              <w:rPr>
                <w:rFonts w:ascii="Times New Roman" w:hAnsi="Times New Roman"/>
                <w:color w:val="000000" w:themeColor="text1"/>
                <w:sz w:val="16"/>
                <w:szCs w:val="16"/>
              </w:rPr>
              <w:softHyphen/>
              <w:t>ниям</w:t>
            </w:r>
          </w:p>
        </w:tc>
        <w:tc>
          <w:tcPr>
            <w:tcW w:w="2478" w:type="dxa"/>
            <w:tcBorders>
              <w:top w:val="single" w:sz="4" w:space="0" w:color="auto"/>
              <w:left w:val="single" w:sz="4" w:space="0" w:color="auto"/>
              <w:bottom w:val="single" w:sz="4" w:space="0" w:color="auto"/>
              <w:right w:val="single" w:sz="4" w:space="0" w:color="auto"/>
            </w:tcBorders>
            <w:vAlign w:val="center"/>
          </w:tcPr>
          <w:p w14:paraId="06FA6AC8"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И-16 подруливал, цеп</w:t>
            </w:r>
            <w:r w:rsidRPr="00070ADE">
              <w:rPr>
                <w:rFonts w:ascii="Times New Roman" w:hAnsi="Times New Roman"/>
                <w:color w:val="000000" w:themeColor="text1"/>
                <w:sz w:val="16"/>
                <w:szCs w:val="16"/>
              </w:rPr>
              <w:softHyphen/>
              <w:t>лялся за замки, убирал шасси. Доработка зад</w:t>
            </w:r>
            <w:r w:rsidRPr="00070ADE">
              <w:rPr>
                <w:rFonts w:ascii="Times New Roman" w:hAnsi="Times New Roman"/>
                <w:color w:val="000000" w:themeColor="text1"/>
                <w:sz w:val="16"/>
                <w:szCs w:val="16"/>
              </w:rPr>
              <w:softHyphen/>
              <w:t>него замка, исключаю</w:t>
            </w:r>
            <w:r w:rsidRPr="00070ADE">
              <w:rPr>
                <w:rFonts w:ascii="Times New Roman" w:hAnsi="Times New Roman"/>
                <w:color w:val="000000" w:themeColor="text1"/>
                <w:sz w:val="16"/>
                <w:szCs w:val="16"/>
              </w:rPr>
              <w:softHyphen/>
              <w:t>щего самооткрытие. Испытания положи</w:t>
            </w:r>
            <w:r w:rsidRPr="00070ADE">
              <w:rPr>
                <w:rFonts w:ascii="Times New Roman" w:hAnsi="Times New Roman"/>
                <w:color w:val="000000" w:themeColor="text1"/>
                <w:sz w:val="16"/>
                <w:szCs w:val="16"/>
              </w:rPr>
              <w:softHyphen/>
              <w:t>тельно. Отработка бензопитания И-16 от ТБ-3</w:t>
            </w:r>
          </w:p>
        </w:tc>
      </w:tr>
      <w:tr w:rsidR="00765210" w:rsidRPr="00070ADE" w14:paraId="0B9C07B1" w14:textId="77777777" w:rsidTr="004C5D62">
        <w:trPr>
          <w:trHeight w:val="652"/>
        </w:trPr>
        <w:tc>
          <w:tcPr>
            <w:tcW w:w="356" w:type="dxa"/>
            <w:tcBorders>
              <w:top w:val="single" w:sz="4" w:space="0" w:color="auto"/>
              <w:left w:val="single" w:sz="4" w:space="0" w:color="auto"/>
              <w:bottom w:val="single" w:sz="4" w:space="0" w:color="auto"/>
              <w:right w:val="single" w:sz="4" w:space="0" w:color="auto"/>
            </w:tcBorders>
          </w:tcPr>
          <w:p w14:paraId="3DE5D7F3"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tc>
        <w:tc>
          <w:tcPr>
            <w:tcW w:w="1340" w:type="dxa"/>
            <w:tcBorders>
              <w:top w:val="single" w:sz="4" w:space="0" w:color="auto"/>
              <w:left w:val="single" w:sz="4" w:space="0" w:color="auto"/>
              <w:bottom w:val="single" w:sz="4" w:space="0" w:color="auto"/>
              <w:right w:val="single" w:sz="4" w:space="0" w:color="auto"/>
            </w:tcBorders>
          </w:tcPr>
          <w:p w14:paraId="359A59CC"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«И-3» «Истреби</w:t>
            </w:r>
            <w:r w:rsidRPr="00070ADE">
              <w:rPr>
                <w:rFonts w:ascii="Times New Roman" w:hAnsi="Times New Roman"/>
                <w:color w:val="000000" w:themeColor="text1"/>
                <w:sz w:val="16"/>
                <w:szCs w:val="16"/>
              </w:rPr>
              <w:softHyphen/>
            </w:r>
          </w:p>
          <w:p w14:paraId="7D73BCC0"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тель Звена»</w:t>
            </w:r>
          </w:p>
        </w:tc>
        <w:tc>
          <w:tcPr>
            <w:tcW w:w="1134" w:type="dxa"/>
            <w:tcBorders>
              <w:top w:val="single" w:sz="4" w:space="0" w:color="auto"/>
              <w:left w:val="single" w:sz="4" w:space="0" w:color="auto"/>
              <w:bottom w:val="single" w:sz="4" w:space="0" w:color="auto"/>
              <w:right w:val="single" w:sz="4" w:space="0" w:color="auto"/>
            </w:tcBorders>
          </w:tcPr>
          <w:p w14:paraId="5C1D0331"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1934-35 гг.</w:t>
            </w:r>
          </w:p>
        </w:tc>
        <w:tc>
          <w:tcPr>
            <w:tcW w:w="2552" w:type="dxa"/>
            <w:tcBorders>
              <w:top w:val="single" w:sz="4" w:space="0" w:color="auto"/>
              <w:left w:val="single" w:sz="4" w:space="0" w:color="auto"/>
              <w:bottom w:val="single" w:sz="4" w:space="0" w:color="auto"/>
              <w:right w:val="single" w:sz="4" w:space="0" w:color="auto"/>
            </w:tcBorders>
            <w:vAlign w:val="center"/>
          </w:tcPr>
          <w:p w14:paraId="601048F0"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Большая скорость на высоте, малая площадь крыла, нет обычного шасси, возвращался на носитель</w:t>
            </w:r>
          </w:p>
        </w:tc>
        <w:tc>
          <w:tcPr>
            <w:tcW w:w="2483" w:type="dxa"/>
            <w:tcBorders>
              <w:top w:val="single" w:sz="4" w:space="0" w:color="auto"/>
              <w:left w:val="single" w:sz="4" w:space="0" w:color="auto"/>
              <w:bottom w:val="single" w:sz="4" w:space="0" w:color="auto"/>
              <w:right w:val="single" w:sz="4" w:space="0" w:color="auto"/>
            </w:tcBorders>
            <w:vAlign w:val="center"/>
          </w:tcPr>
          <w:p w14:paraId="6BCB0CBB"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Докладная записка замнар- кома Тухачевскому и его резолюция о включении в план работ «И-3»</w:t>
            </w:r>
          </w:p>
        </w:tc>
        <w:tc>
          <w:tcPr>
            <w:tcW w:w="2478" w:type="dxa"/>
            <w:tcBorders>
              <w:top w:val="single" w:sz="4" w:space="0" w:color="auto"/>
              <w:left w:val="single" w:sz="4" w:space="0" w:color="auto"/>
              <w:bottom w:val="single" w:sz="4" w:space="0" w:color="auto"/>
              <w:right w:val="single" w:sz="4" w:space="0" w:color="auto"/>
            </w:tcBorders>
            <w:vAlign w:val="center"/>
          </w:tcPr>
          <w:p w14:paraId="67B45133"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спроектиро</w:t>
            </w:r>
            <w:r w:rsidRPr="00070ADE">
              <w:rPr>
                <w:rFonts w:ascii="Times New Roman" w:hAnsi="Times New Roman"/>
                <w:color w:val="000000" w:themeColor="text1"/>
                <w:sz w:val="16"/>
                <w:szCs w:val="16"/>
              </w:rPr>
              <w:softHyphen/>
              <w:t>вали и запустили в производство на заво</w:t>
            </w:r>
            <w:r w:rsidRPr="00070ADE">
              <w:rPr>
                <w:rFonts w:ascii="Times New Roman" w:hAnsi="Times New Roman"/>
                <w:color w:val="000000" w:themeColor="text1"/>
                <w:sz w:val="16"/>
                <w:szCs w:val="16"/>
              </w:rPr>
              <w:softHyphen/>
              <w:t>де №22, но затем сня</w:t>
            </w:r>
            <w:r w:rsidRPr="00070ADE">
              <w:rPr>
                <w:rFonts w:ascii="Times New Roman" w:hAnsi="Times New Roman"/>
                <w:color w:val="000000" w:themeColor="text1"/>
                <w:sz w:val="16"/>
                <w:szCs w:val="16"/>
              </w:rPr>
              <w:softHyphen/>
              <w:t>ли с плана</w:t>
            </w:r>
          </w:p>
        </w:tc>
      </w:tr>
      <w:tr w:rsidR="00765210" w:rsidRPr="00070ADE" w14:paraId="40F0AD1A" w14:textId="77777777" w:rsidTr="004C5D62">
        <w:trPr>
          <w:trHeight w:val="652"/>
        </w:trPr>
        <w:tc>
          <w:tcPr>
            <w:tcW w:w="356" w:type="dxa"/>
            <w:tcBorders>
              <w:top w:val="single" w:sz="4" w:space="0" w:color="auto"/>
              <w:left w:val="single" w:sz="4" w:space="0" w:color="auto"/>
              <w:bottom w:val="single" w:sz="4" w:space="0" w:color="auto"/>
              <w:right w:val="single" w:sz="4" w:space="0" w:color="auto"/>
            </w:tcBorders>
          </w:tcPr>
          <w:p w14:paraId="7BDFD5EF"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1340" w:type="dxa"/>
            <w:tcBorders>
              <w:top w:val="single" w:sz="4" w:space="0" w:color="auto"/>
              <w:left w:val="single" w:sz="4" w:space="0" w:color="auto"/>
              <w:bottom w:val="single" w:sz="4" w:space="0" w:color="auto"/>
              <w:right w:val="single" w:sz="4" w:space="0" w:color="auto"/>
            </w:tcBorders>
          </w:tcPr>
          <w:p w14:paraId="551F1A59"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Авиаматка ПВО («АМ») ТБ-3+2И- 5+2И-16+И-ЗЕТ</w:t>
            </w:r>
          </w:p>
        </w:tc>
        <w:tc>
          <w:tcPr>
            <w:tcW w:w="1134" w:type="dxa"/>
            <w:tcBorders>
              <w:top w:val="single" w:sz="4" w:space="0" w:color="auto"/>
              <w:left w:val="single" w:sz="4" w:space="0" w:color="auto"/>
              <w:bottom w:val="single" w:sz="4" w:space="0" w:color="auto"/>
              <w:right w:val="single" w:sz="4" w:space="0" w:color="auto"/>
            </w:tcBorders>
          </w:tcPr>
          <w:p w14:paraId="2542B129"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1935 г.</w:t>
            </w:r>
          </w:p>
        </w:tc>
        <w:tc>
          <w:tcPr>
            <w:tcW w:w="2552" w:type="dxa"/>
            <w:tcBorders>
              <w:top w:val="single" w:sz="4" w:space="0" w:color="auto"/>
              <w:left w:val="single" w:sz="4" w:space="0" w:color="auto"/>
              <w:bottom w:val="single" w:sz="4" w:space="0" w:color="auto"/>
              <w:right w:val="single" w:sz="4" w:space="0" w:color="auto"/>
            </w:tcBorders>
          </w:tcPr>
          <w:p w14:paraId="0A9329CB"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 «3-5» и «3-6» объединены и испытаны по специальной программе совместно с заво</w:t>
            </w:r>
            <w:r w:rsidRPr="00070ADE">
              <w:rPr>
                <w:rFonts w:ascii="Times New Roman" w:hAnsi="Times New Roman"/>
                <w:color w:val="000000" w:themeColor="text1"/>
                <w:sz w:val="16"/>
                <w:szCs w:val="16"/>
              </w:rPr>
              <w:softHyphen/>
              <w:t>дом №22</w:t>
            </w:r>
          </w:p>
        </w:tc>
        <w:tc>
          <w:tcPr>
            <w:tcW w:w="2483" w:type="dxa"/>
            <w:tcBorders>
              <w:top w:val="single" w:sz="4" w:space="0" w:color="auto"/>
              <w:left w:val="single" w:sz="4" w:space="0" w:color="auto"/>
              <w:bottom w:val="single" w:sz="4" w:space="0" w:color="auto"/>
              <w:right w:val="single" w:sz="4" w:space="0" w:color="auto"/>
            </w:tcBorders>
            <w:vAlign w:val="center"/>
          </w:tcPr>
          <w:p w14:paraId="4AB7178E"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Отчет по эксперимен</w:t>
            </w:r>
            <w:r w:rsidRPr="00070ADE">
              <w:rPr>
                <w:rFonts w:ascii="Times New Roman" w:hAnsi="Times New Roman"/>
                <w:color w:val="000000" w:themeColor="text1"/>
                <w:sz w:val="16"/>
                <w:szCs w:val="16"/>
              </w:rPr>
              <w:softHyphen/>
              <w:t>тальным испытаниям ТБ-3+2И-5+2И-16+И-ЗЕТ.</w:t>
            </w:r>
          </w:p>
          <w:p w14:paraId="6D0F6F03"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Летная книжка П.М. Сте- фановского</w:t>
            </w:r>
          </w:p>
        </w:tc>
        <w:tc>
          <w:tcPr>
            <w:tcW w:w="2478" w:type="dxa"/>
            <w:tcBorders>
              <w:top w:val="single" w:sz="4" w:space="0" w:color="auto"/>
              <w:left w:val="single" w:sz="4" w:space="0" w:color="auto"/>
              <w:bottom w:val="single" w:sz="4" w:space="0" w:color="auto"/>
              <w:right w:val="single" w:sz="4" w:space="0" w:color="auto"/>
            </w:tcBorders>
          </w:tcPr>
          <w:p w14:paraId="0422AA6C"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тренировочных поле</w:t>
            </w:r>
            <w:r w:rsidRPr="00070ADE">
              <w:rPr>
                <w:rFonts w:ascii="Times New Roman" w:hAnsi="Times New Roman"/>
                <w:color w:val="000000" w:themeColor="text1"/>
                <w:sz w:val="16"/>
                <w:szCs w:val="16"/>
              </w:rPr>
              <w:softHyphen/>
              <w:t>та, 1 испытательный с положительным ре</w:t>
            </w:r>
            <w:r w:rsidRPr="00070ADE">
              <w:rPr>
                <w:rFonts w:ascii="Times New Roman" w:hAnsi="Times New Roman"/>
                <w:color w:val="000000" w:themeColor="text1"/>
                <w:sz w:val="16"/>
                <w:szCs w:val="16"/>
              </w:rPr>
              <w:softHyphen/>
              <w:t>зультатом</w:t>
            </w:r>
          </w:p>
        </w:tc>
      </w:tr>
      <w:tr w:rsidR="00765210" w:rsidRPr="00070ADE" w14:paraId="6F87E85C" w14:textId="77777777" w:rsidTr="004C5D62">
        <w:trPr>
          <w:trHeight w:val="652"/>
        </w:trPr>
        <w:tc>
          <w:tcPr>
            <w:tcW w:w="356" w:type="dxa"/>
            <w:tcBorders>
              <w:top w:val="single" w:sz="4" w:space="0" w:color="auto"/>
              <w:left w:val="single" w:sz="4" w:space="0" w:color="auto"/>
              <w:bottom w:val="single" w:sz="4" w:space="0" w:color="auto"/>
              <w:right w:val="single" w:sz="4" w:space="0" w:color="auto"/>
            </w:tcBorders>
          </w:tcPr>
          <w:p w14:paraId="6C2D9D4D"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1340" w:type="dxa"/>
            <w:tcBorders>
              <w:top w:val="single" w:sz="4" w:space="0" w:color="auto"/>
              <w:left w:val="single" w:sz="4" w:space="0" w:color="auto"/>
              <w:bottom w:val="single" w:sz="4" w:space="0" w:color="auto"/>
              <w:right w:val="single" w:sz="4" w:space="0" w:color="auto"/>
            </w:tcBorders>
          </w:tcPr>
          <w:p w14:paraId="2CF89187"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«СПБ И-16» ТБ-3+2И-16 с 2хФАБ-250</w:t>
            </w:r>
          </w:p>
        </w:tc>
        <w:tc>
          <w:tcPr>
            <w:tcW w:w="1134" w:type="dxa"/>
            <w:tcBorders>
              <w:top w:val="single" w:sz="4" w:space="0" w:color="auto"/>
              <w:left w:val="single" w:sz="4" w:space="0" w:color="auto"/>
              <w:bottom w:val="single" w:sz="4" w:space="0" w:color="auto"/>
              <w:right w:val="single" w:sz="4" w:space="0" w:color="auto"/>
            </w:tcBorders>
          </w:tcPr>
          <w:p w14:paraId="56F3B9F0"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1936-40 гг.</w:t>
            </w:r>
          </w:p>
        </w:tc>
        <w:tc>
          <w:tcPr>
            <w:tcW w:w="2552" w:type="dxa"/>
            <w:tcBorders>
              <w:top w:val="single" w:sz="4" w:space="0" w:color="auto"/>
              <w:left w:val="single" w:sz="4" w:space="0" w:color="auto"/>
              <w:bottom w:val="single" w:sz="4" w:space="0" w:color="auto"/>
              <w:right w:val="single" w:sz="4" w:space="0" w:color="auto"/>
            </w:tcBorders>
          </w:tcPr>
          <w:p w14:paraId="5F311A7B"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 балку, на которую подве</w:t>
            </w:r>
            <w:r w:rsidRPr="00070ADE">
              <w:rPr>
                <w:rFonts w:ascii="Times New Roman" w:hAnsi="Times New Roman"/>
                <w:color w:val="000000" w:themeColor="text1"/>
                <w:sz w:val="16"/>
                <w:szCs w:val="16"/>
              </w:rPr>
              <w:softHyphen/>
              <w:t>шивались И-16, на спец, замки вешали ФАБ-250.</w:t>
            </w:r>
          </w:p>
        </w:tc>
        <w:tc>
          <w:tcPr>
            <w:tcW w:w="2483" w:type="dxa"/>
            <w:tcBorders>
              <w:top w:val="single" w:sz="4" w:space="0" w:color="auto"/>
              <w:left w:val="single" w:sz="4" w:space="0" w:color="auto"/>
              <w:bottom w:val="single" w:sz="4" w:space="0" w:color="auto"/>
              <w:right w:val="single" w:sz="4" w:space="0" w:color="auto"/>
            </w:tcBorders>
            <w:vAlign w:val="center"/>
          </w:tcPr>
          <w:p w14:paraId="79D1C8E8"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Предложение РВС 14.08.36 г. к дню Воздуш</w:t>
            </w:r>
            <w:r w:rsidRPr="00070ADE">
              <w:rPr>
                <w:rFonts w:ascii="Times New Roman" w:hAnsi="Times New Roman"/>
                <w:color w:val="000000" w:themeColor="text1"/>
                <w:sz w:val="16"/>
                <w:szCs w:val="16"/>
              </w:rPr>
              <w:softHyphen/>
              <w:t>ного флота.</w:t>
            </w:r>
          </w:p>
          <w:p w14:paraId="00155F86"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Отчет по летным испыта</w:t>
            </w:r>
            <w:r w:rsidRPr="00070ADE">
              <w:rPr>
                <w:rFonts w:ascii="Times New Roman" w:hAnsi="Times New Roman"/>
                <w:color w:val="000000" w:themeColor="text1"/>
                <w:sz w:val="16"/>
                <w:szCs w:val="16"/>
              </w:rPr>
              <w:softHyphen/>
              <w:t>ниям в 1938 г.</w:t>
            </w:r>
          </w:p>
          <w:p w14:paraId="4EFE593E"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3.Предложение об исполь</w:t>
            </w:r>
            <w:r w:rsidRPr="00070ADE">
              <w:rPr>
                <w:rFonts w:ascii="Times New Roman" w:hAnsi="Times New Roman"/>
                <w:color w:val="000000" w:themeColor="text1"/>
                <w:sz w:val="16"/>
                <w:szCs w:val="16"/>
              </w:rPr>
              <w:softHyphen/>
              <w:t>зовании в войне с Финлян</w:t>
            </w:r>
            <w:r w:rsidRPr="00070ADE">
              <w:rPr>
                <w:rFonts w:ascii="Times New Roman" w:hAnsi="Times New Roman"/>
                <w:color w:val="000000" w:themeColor="text1"/>
                <w:sz w:val="16"/>
                <w:szCs w:val="16"/>
              </w:rPr>
              <w:softHyphen/>
              <w:t>дией</w:t>
            </w:r>
          </w:p>
        </w:tc>
        <w:tc>
          <w:tcPr>
            <w:tcW w:w="2478" w:type="dxa"/>
            <w:tcBorders>
              <w:top w:val="single" w:sz="4" w:space="0" w:color="auto"/>
              <w:left w:val="single" w:sz="4" w:space="0" w:color="auto"/>
              <w:bottom w:val="single" w:sz="4" w:space="0" w:color="auto"/>
              <w:right w:val="single" w:sz="4" w:space="0" w:color="auto"/>
            </w:tcBorders>
          </w:tcPr>
          <w:p w14:paraId="0EB276E5"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Малая серия. Одна эс</w:t>
            </w:r>
            <w:r w:rsidRPr="00070ADE">
              <w:rPr>
                <w:rFonts w:ascii="Times New Roman" w:hAnsi="Times New Roman"/>
                <w:color w:val="000000" w:themeColor="text1"/>
                <w:sz w:val="16"/>
                <w:szCs w:val="16"/>
              </w:rPr>
              <w:softHyphen/>
              <w:t>кадрилья в Евпатории. Участие в ВОВ.</w:t>
            </w:r>
          </w:p>
        </w:tc>
      </w:tr>
      <w:tr w:rsidR="00765210" w:rsidRPr="00070ADE" w14:paraId="75DB70B2" w14:textId="77777777" w:rsidTr="004C5D62">
        <w:trPr>
          <w:trHeight w:val="652"/>
        </w:trPr>
        <w:tc>
          <w:tcPr>
            <w:tcW w:w="356" w:type="dxa"/>
            <w:tcBorders>
              <w:top w:val="single" w:sz="4" w:space="0" w:color="auto"/>
              <w:left w:val="single" w:sz="4" w:space="0" w:color="auto"/>
              <w:bottom w:val="single" w:sz="4" w:space="0" w:color="auto"/>
              <w:right w:val="single" w:sz="4" w:space="0" w:color="auto"/>
            </w:tcBorders>
          </w:tcPr>
          <w:p w14:paraId="4BEA01F7"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tc>
        <w:tc>
          <w:tcPr>
            <w:tcW w:w="1340" w:type="dxa"/>
            <w:tcBorders>
              <w:top w:val="single" w:sz="4" w:space="0" w:color="auto"/>
              <w:left w:val="single" w:sz="4" w:space="0" w:color="auto"/>
              <w:bottom w:val="single" w:sz="4" w:space="0" w:color="auto"/>
              <w:right w:val="single" w:sz="4" w:space="0" w:color="auto"/>
            </w:tcBorders>
          </w:tcPr>
          <w:p w14:paraId="6B5A33F9"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СПБ ФАБ-500</w:t>
            </w:r>
          </w:p>
        </w:tc>
        <w:tc>
          <w:tcPr>
            <w:tcW w:w="1134" w:type="dxa"/>
            <w:tcBorders>
              <w:top w:val="single" w:sz="4" w:space="0" w:color="auto"/>
              <w:left w:val="single" w:sz="4" w:space="0" w:color="auto"/>
              <w:bottom w:val="single" w:sz="4" w:space="0" w:color="auto"/>
              <w:right w:val="single" w:sz="4" w:space="0" w:color="auto"/>
            </w:tcBorders>
          </w:tcPr>
          <w:p w14:paraId="7E88D017"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1941 г.</w:t>
            </w:r>
          </w:p>
        </w:tc>
        <w:tc>
          <w:tcPr>
            <w:tcW w:w="2552" w:type="dxa"/>
            <w:tcBorders>
              <w:top w:val="single" w:sz="4" w:space="0" w:color="auto"/>
              <w:left w:val="single" w:sz="4" w:space="0" w:color="auto"/>
              <w:bottom w:val="single" w:sz="4" w:space="0" w:color="auto"/>
              <w:right w:val="single" w:sz="4" w:space="0" w:color="auto"/>
            </w:tcBorders>
            <w:vAlign w:val="center"/>
          </w:tcPr>
          <w:p w14:paraId="61A3ED47"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подвески ФАБ-500 специ</w:t>
            </w:r>
            <w:r w:rsidRPr="00070ADE">
              <w:rPr>
                <w:rFonts w:ascii="Times New Roman" w:hAnsi="Times New Roman"/>
                <w:color w:val="000000" w:themeColor="text1"/>
                <w:sz w:val="16"/>
                <w:szCs w:val="16"/>
              </w:rPr>
              <w:softHyphen/>
              <w:t>альная рама для вывода бомбы за диск вращающегося винта</w:t>
            </w:r>
          </w:p>
        </w:tc>
        <w:tc>
          <w:tcPr>
            <w:tcW w:w="2483" w:type="dxa"/>
            <w:tcBorders>
              <w:top w:val="single" w:sz="4" w:space="0" w:color="auto"/>
              <w:left w:val="single" w:sz="4" w:space="0" w:color="auto"/>
              <w:bottom w:val="single" w:sz="4" w:space="0" w:color="auto"/>
              <w:right w:val="single" w:sz="4" w:space="0" w:color="auto"/>
            </w:tcBorders>
          </w:tcPr>
          <w:p w14:paraId="68D29E6C" w14:textId="77777777" w:rsidR="00765210" w:rsidRPr="00070ADE" w:rsidRDefault="00765210" w:rsidP="00B56F90">
            <w:pPr>
              <w:spacing w:after="0" w:line="240" w:lineRule="auto"/>
              <w:jc w:val="both"/>
              <w:rPr>
                <w:rFonts w:ascii="Times New Roman" w:hAnsi="Times New Roman"/>
                <w:color w:val="000000" w:themeColor="text1"/>
                <w:sz w:val="16"/>
                <w:szCs w:val="16"/>
              </w:rPr>
            </w:pPr>
          </w:p>
        </w:tc>
        <w:tc>
          <w:tcPr>
            <w:tcW w:w="2478" w:type="dxa"/>
            <w:tcBorders>
              <w:top w:val="single" w:sz="4" w:space="0" w:color="auto"/>
              <w:left w:val="single" w:sz="4" w:space="0" w:color="auto"/>
              <w:bottom w:val="single" w:sz="4" w:space="0" w:color="auto"/>
              <w:right w:val="single" w:sz="4" w:space="0" w:color="auto"/>
            </w:tcBorders>
            <w:vAlign w:val="center"/>
          </w:tcPr>
          <w:p w14:paraId="73148912"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не прово</w:t>
            </w:r>
            <w:r w:rsidRPr="00070ADE">
              <w:rPr>
                <w:rFonts w:ascii="Times New Roman" w:hAnsi="Times New Roman"/>
                <w:color w:val="000000" w:themeColor="text1"/>
                <w:sz w:val="16"/>
                <w:szCs w:val="16"/>
              </w:rPr>
              <w:softHyphen/>
              <w:t>дились, хотя был обо</w:t>
            </w:r>
            <w:r w:rsidRPr="00070ADE">
              <w:rPr>
                <w:rFonts w:ascii="Times New Roman" w:hAnsi="Times New Roman"/>
                <w:color w:val="000000" w:themeColor="text1"/>
                <w:sz w:val="16"/>
                <w:szCs w:val="16"/>
              </w:rPr>
              <w:softHyphen/>
              <w:t>рудован один самолет</w:t>
            </w:r>
          </w:p>
        </w:tc>
      </w:tr>
      <w:tr w:rsidR="00765210" w:rsidRPr="00070ADE" w14:paraId="0382D97B" w14:textId="77777777" w:rsidTr="004C5D62">
        <w:trPr>
          <w:trHeight w:val="652"/>
        </w:trPr>
        <w:tc>
          <w:tcPr>
            <w:tcW w:w="356" w:type="dxa"/>
            <w:tcBorders>
              <w:top w:val="single" w:sz="4" w:space="0" w:color="auto"/>
              <w:left w:val="single" w:sz="4" w:space="0" w:color="auto"/>
              <w:bottom w:val="single" w:sz="4" w:space="0" w:color="auto"/>
              <w:right w:val="single" w:sz="4" w:space="0" w:color="auto"/>
            </w:tcBorders>
          </w:tcPr>
          <w:p w14:paraId="7E7F51EC"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tc>
        <w:tc>
          <w:tcPr>
            <w:tcW w:w="1340" w:type="dxa"/>
            <w:tcBorders>
              <w:top w:val="single" w:sz="4" w:space="0" w:color="auto"/>
              <w:left w:val="single" w:sz="4" w:space="0" w:color="auto"/>
              <w:bottom w:val="single" w:sz="4" w:space="0" w:color="auto"/>
              <w:right w:val="single" w:sz="4" w:space="0" w:color="auto"/>
            </w:tcBorders>
          </w:tcPr>
          <w:p w14:paraId="7576D546"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 Подцепка</w:t>
            </w:r>
          </w:p>
          <w:p w14:paraId="6AE0D916"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2хИ-16 в воздухе</w:t>
            </w:r>
          </w:p>
        </w:tc>
        <w:tc>
          <w:tcPr>
            <w:tcW w:w="1134" w:type="dxa"/>
            <w:tcBorders>
              <w:top w:val="single" w:sz="4" w:space="0" w:color="auto"/>
              <w:left w:val="single" w:sz="4" w:space="0" w:color="auto"/>
              <w:bottom w:val="single" w:sz="4" w:space="0" w:color="auto"/>
              <w:right w:val="single" w:sz="4" w:space="0" w:color="auto"/>
            </w:tcBorders>
          </w:tcPr>
          <w:p w14:paraId="4EF5082B"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1939 г.</w:t>
            </w:r>
          </w:p>
        </w:tc>
        <w:tc>
          <w:tcPr>
            <w:tcW w:w="2552" w:type="dxa"/>
            <w:tcBorders>
              <w:top w:val="single" w:sz="4" w:space="0" w:color="auto"/>
              <w:left w:val="single" w:sz="4" w:space="0" w:color="auto"/>
              <w:bottom w:val="single" w:sz="4" w:space="0" w:color="auto"/>
              <w:right w:val="single" w:sz="4" w:space="0" w:color="auto"/>
            </w:tcBorders>
          </w:tcPr>
          <w:p w14:paraId="2947381B"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Фермы как на 3-5 и пирамиды для упора</w:t>
            </w:r>
          </w:p>
        </w:tc>
        <w:tc>
          <w:tcPr>
            <w:tcW w:w="2483" w:type="dxa"/>
            <w:tcBorders>
              <w:top w:val="single" w:sz="4" w:space="0" w:color="auto"/>
              <w:left w:val="single" w:sz="4" w:space="0" w:color="auto"/>
              <w:bottom w:val="single" w:sz="4" w:space="0" w:color="auto"/>
              <w:right w:val="single" w:sz="4" w:space="0" w:color="auto"/>
            </w:tcBorders>
            <w:vAlign w:val="bottom"/>
          </w:tcPr>
          <w:p w14:paraId="2C403F86"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Отчет по испытаниям И-16 в полете. Несколько поле</w:t>
            </w:r>
            <w:r w:rsidRPr="00070ADE">
              <w:rPr>
                <w:rFonts w:ascii="Times New Roman" w:hAnsi="Times New Roman"/>
                <w:color w:val="000000" w:themeColor="text1"/>
                <w:sz w:val="16"/>
                <w:szCs w:val="16"/>
              </w:rPr>
              <w:softHyphen/>
              <w:t>тов для тренировки летчи</w:t>
            </w:r>
            <w:r w:rsidRPr="00070ADE">
              <w:rPr>
                <w:rFonts w:ascii="Times New Roman" w:hAnsi="Times New Roman"/>
                <w:color w:val="000000" w:themeColor="text1"/>
                <w:sz w:val="16"/>
                <w:szCs w:val="16"/>
              </w:rPr>
              <w:softHyphen/>
              <w:t>ков П.М. Стефановского и С.П. Супруна.</w:t>
            </w:r>
          </w:p>
        </w:tc>
        <w:tc>
          <w:tcPr>
            <w:tcW w:w="2478" w:type="dxa"/>
            <w:tcBorders>
              <w:top w:val="single" w:sz="4" w:space="0" w:color="auto"/>
              <w:left w:val="single" w:sz="4" w:space="0" w:color="auto"/>
              <w:bottom w:val="single" w:sz="4" w:space="0" w:color="auto"/>
              <w:right w:val="single" w:sz="4" w:space="0" w:color="auto"/>
            </w:tcBorders>
          </w:tcPr>
          <w:p w14:paraId="37D1B7BF"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не законче</w:t>
            </w:r>
            <w:r w:rsidRPr="00070ADE">
              <w:rPr>
                <w:rFonts w:ascii="Times New Roman" w:hAnsi="Times New Roman"/>
                <w:color w:val="000000" w:themeColor="text1"/>
                <w:sz w:val="16"/>
                <w:szCs w:val="16"/>
              </w:rPr>
              <w:softHyphen/>
              <w:t>ны в связи с началом войны</w:t>
            </w:r>
          </w:p>
        </w:tc>
      </w:tr>
    </w:tbl>
    <w:p w14:paraId="4DDDF4E9" w14:textId="77777777" w:rsidR="00765210" w:rsidRPr="00070ADE" w:rsidRDefault="007652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(23378).</w:t>
      </w:r>
    </w:p>
    <w:p w14:paraId="57097572" w14:textId="77777777" w:rsidR="00765210" w:rsidRPr="00070ADE" w:rsidRDefault="00765210" w:rsidP="00B56F90">
      <w:pPr>
        <w:spacing w:after="0" w:line="240" w:lineRule="auto"/>
        <w:jc w:val="both"/>
        <w:rPr>
          <w:rFonts w:ascii="Times New Roman" w:hAnsi="Times New Roman"/>
          <w:color w:val="000000" w:themeColor="text1"/>
          <w:sz w:val="16"/>
          <w:szCs w:val="16"/>
        </w:rPr>
      </w:pPr>
    </w:p>
    <w:p w14:paraId="662DF43C" w14:textId="77777777" w:rsidR="00087956" w:rsidRPr="00C94B78" w:rsidRDefault="00087956"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31 марта 1944 г. начальник Управления кораблестроения инженер-вице-адмирал Н. В. Исаченков направил в Главное управление ВВС флота запрос об окончательных размерах палубных самолётов в разложенном и сложенном виде, которые необходимо заложить в проект авианосца 72. Он сообщал, что при тех размерах, которые указаны в ОТЗ от 14 января 1943 года, стандартное водоизмещение большого авианосца получается 29 500 т, малого — 22 000 т, длина полётной палубы — 273 и 240 м соответственно.</w:t>
      </w:r>
    </w:p>
    <w:p w14:paraId="0BFF8BF9" w14:textId="77777777" w:rsidR="00087956" w:rsidRPr="00C94B78" w:rsidRDefault="00087956"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Для включения в ОТЗ требовалось сообщить основные характеристики по катапультам, лифтам, аэрофинишерам и другим специальным устройствам, механизмам погрузки и выгрузки самолётов, а также постам обслуживания самолётов. Наконец, необходимо было знать параметры хранения самолётов в ангарах и способы их крепления, технологию и места подготовки самолётов к вылету, характеристики и особенности взлётной и посадочной частей полётной палубы, особенности хранения авиатоплива и способы его подачи к машинам, комплектацию корабля пилотами и персоналом обслуживания самолётов. Исаченков напоминал о том, что «предэскизный проект авианосца будет закончен в апреле, и в мае представлен на рассмотрение НК ВМФ, поэтому данные нужны не позднее 15 апреля».</w:t>
      </w:r>
    </w:p>
    <w:p w14:paraId="65A991B1" w14:textId="77777777" w:rsidR="00087956" w:rsidRPr="00C94B78" w:rsidRDefault="00087956"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xml:space="preserve">Проблема состояла в том, что флотские авиаконструкторы не имели никакого опыта проектирования и использования авианосцев и совершенно не представляли, откуда взять всю эту информацию. Данные об авиации авианосцев, её особенностях и способах применения были буквально на вес золота. Ещё 8 февраля 1944 года специалисты Главного управления ВВС ВМФ обратились в Управление кораблестроения с просьбой передать во временное пользование отчётные материалы по экспериментальному бомбометанию отсека корабля под шифром «Сухогруз». Это было нужно, чтобы определить эффективность применения авиабомб. В ответ на </w:t>
      </w:r>
      <w:r w:rsidRPr="00C94B78">
        <w:rPr>
          <w:rFonts w:ascii="Times New Roman" w:hAnsi="Times New Roman"/>
          <w:color w:val="0070C0"/>
          <w:sz w:val="16"/>
          <w:szCs w:val="16"/>
        </w:rPr>
        <w:lastRenderedPageBreak/>
        <w:t>это 24 февраля начальник управления заявил, что эти материалы имеются только в одном экземпляре и могут быть предоставлены только для работы в самом управлении, предложив «авиаторам» прислать конкретных лиц, которые этим займутся (25374).</w:t>
      </w:r>
    </w:p>
    <w:p w14:paraId="35472305" w14:textId="77777777" w:rsidR="00087956" w:rsidRPr="00C94B78" w:rsidRDefault="00087956" w:rsidP="00B56F90">
      <w:pPr>
        <w:spacing w:after="0" w:line="240" w:lineRule="auto"/>
        <w:jc w:val="both"/>
        <w:rPr>
          <w:rFonts w:ascii="Times New Roman" w:hAnsi="Times New Roman"/>
          <w:color w:val="0070C0"/>
          <w:sz w:val="16"/>
          <w:szCs w:val="16"/>
        </w:rPr>
      </w:pPr>
    </w:p>
    <w:p w14:paraId="6282B05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AB361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9E33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марта 1944 вышло Постановление ГКО № 5514 Об обеспечении производства траков к танкам ИС и самоходным установкам ИСУ штамповками. РГАНИР, Фонд ГКО, д. 224, лл. 1 (11012).</w:t>
      </w:r>
    </w:p>
    <w:p w14:paraId="762D1C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BA507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марта 1944 г. вышла ДИРЕКТИВА ЗАМЕСТИТЕЛЯ НАЧАЛЬНИКА ГШ КА О СФОРМИРОВАНИИ БРОНЕТАНКОВОГО РЕМОНТНОГО ЗАВОДА №Орг/3/307103</w:t>
      </w:r>
    </w:p>
    <w:p w14:paraId="451228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Во исполнение Постановления ГОКО №5377сс от 12 марта 1944 г. к 20 апреля 1944 г. сфор</w:t>
      </w:r>
      <w:r w:rsidRPr="00070ADE">
        <w:rPr>
          <w:rFonts w:ascii="Times New Roman" w:hAnsi="Times New Roman"/>
          <w:color w:val="000000" w:themeColor="text1"/>
          <w:sz w:val="16"/>
          <w:szCs w:val="16"/>
        </w:rPr>
        <w:softHyphen/>
        <w:t>мировать бронетанковый ремонтный завод по капитальному ремонту импортных танков по штату №010/140, численностью 500 человек военнослужащих.</w:t>
      </w:r>
    </w:p>
    <w:p w14:paraId="64A437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Заводу присвоить № 137 и подчинить его начальнику Главного управления ремонта танков Красной Армии.</w:t>
      </w:r>
    </w:p>
    <w:p w14:paraId="0AE98C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Место дислокации завода — г. Горький.</w:t>
      </w:r>
    </w:p>
    <w:p w14:paraId="3CBC8E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Командующему войсками Московского военного округа обеспечить формируемый завод казарменным фондом и зачислить на все виды довольствия.</w:t>
      </w:r>
    </w:p>
    <w:p w14:paraId="28AF11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Начальникам главных управлений НКО укомплектовать формируемый завод личным соста</w:t>
      </w:r>
      <w:r w:rsidRPr="00070ADE">
        <w:rPr>
          <w:rFonts w:ascii="Times New Roman" w:hAnsi="Times New Roman"/>
          <w:color w:val="000000" w:themeColor="text1"/>
          <w:sz w:val="16"/>
          <w:szCs w:val="16"/>
        </w:rPr>
        <w:softHyphen/>
        <w:t>вом, обеспечить матчастью, вооружением и всеми видами имущества, согласно штату и табелям. Исполнение прошу донести к 20 апреля 1944 г.</w:t>
      </w:r>
    </w:p>
    <w:p w14:paraId="5F33DC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начальника Генштаба КА генерал-лейтенант Карпоносов</w:t>
      </w:r>
    </w:p>
    <w:p w14:paraId="639712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оргучетного управления генерал-лейтенант Четвериков</w:t>
      </w:r>
    </w:p>
    <w:p w14:paraId="35A89A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41. Оп. 11584. Д. 553. Л. 62. Копия (11403).</w:t>
      </w:r>
    </w:p>
    <w:p w14:paraId="203398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67B6464" w14:textId="77777777" w:rsidR="004F35D0"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марта 1944 состоялась закладка 17-го МБК (10671). Балтийцы спустили на воду 13-й ТЩ типа МТ-1, заложили последние два ТЩ того же типа (10671).</w:t>
      </w:r>
    </w:p>
    <w:p w14:paraId="76C74CEE" w14:textId="77777777" w:rsidR="004F35D0" w:rsidRPr="00070ADE" w:rsidRDefault="004F35D0" w:rsidP="00B56F90">
      <w:pPr>
        <w:autoSpaceDE w:val="0"/>
        <w:autoSpaceDN w:val="0"/>
        <w:adjustRightInd w:val="0"/>
        <w:spacing w:after="0" w:line="240" w:lineRule="auto"/>
        <w:jc w:val="both"/>
        <w:rPr>
          <w:rFonts w:ascii="Times New Roman" w:hAnsi="Times New Roman"/>
          <w:color w:val="000000" w:themeColor="text1"/>
          <w:sz w:val="16"/>
          <w:szCs w:val="16"/>
        </w:rPr>
      </w:pPr>
    </w:p>
    <w:p w14:paraId="56DF495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31 марта 1944 г. вышел ПРИКАЗ НК ВМФ ОБ ОПРЕДЕЛЕНИИ КЛАССОВ КОРАБЛЕЙ И КАТЕРОВ, ИМЕЮЩИХ ОСНОВНЫМ НАЗНАЧЕНИЕМ БОРЬБУ С ПОДВОДНЫМИ ЛОДКАМИ ПРОТИВНИКА № 0235 </w:t>
      </w:r>
    </w:p>
    <w:p w14:paraId="4F0E34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определения принадлежности кораблей и катеров, имеющих основным назначением борьбу с подводными лодками противника, к соответственным классам приказываю:</w:t>
      </w:r>
    </w:p>
    <w:p w14:paraId="6F0E4E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Корабли, имеющие основной задачей поиск и уничтожение подводных лодок противника, вооруженные необходимыми для выполнения этой задачи боевыми средствами (УЗПН, большие глубинные бомбы, минометы, бомбометы и др.) и обладающие скоростью хода не менее 18 узлов, отнести к классу кораблей «Большие охотники за подводными лодками» (БО).</w:t>
      </w:r>
    </w:p>
    <w:p w14:paraId="12DE1E1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Катера, имеющие основной задачей поиск и уничтожение подводных лодок противника, вооруженные необходимыми для выполнения этой задачи боевыми средствами (УЗПН, большие глубинные бомбы и др.) и обладающие скоростью хода не менее 18 узлов, отнести к классу катеров «Малые охотники за подводными лодками» (МО).</w:t>
      </w:r>
    </w:p>
    <w:p w14:paraId="6E35FF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 соответствии с вышеуказанным</w:t>
      </w:r>
    </w:p>
    <w:p w14:paraId="288658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 класс кораблей «Большие охотники за подводными лодками» (БО) включить: корабли 3 ранга проекта 122, с наименованием типа этих кораблей - тип «БО-2», и 110 футовые корабли, приобретенные в США, с наименованием типа последних - тип «БО-1»;</w:t>
      </w:r>
    </w:p>
    <w:p w14:paraId="44F4C13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 класс катеров - «Малые охотники за подводными лодками» (МО) включить катера типов: «МО-2», «МО-4», «МО-6» (деревянные и стальные), «БМО», «ОД-200», «Д-3», удовлетворяющие требования п. 2 настоящего приказа;</w:t>
      </w:r>
    </w:p>
    <w:p w14:paraId="7CA4D0F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катера всех типов, не удовлетворяющие требованиям п. 2 настоящего приказа, включить в класс «Сторожевые катера» (СКА).</w:t>
      </w:r>
    </w:p>
    <w:p w14:paraId="59F07A5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 соответствии с п. 3 в действующие приказы и уставные документы внести необходимые изменения в объявленное моим приказом № 0686-43 г. Наставление по боевой деятельности катеров-истребителей подводных лодок» (НКИПЛ-43) впредь именовать - «Наставление по боевой деятельности охотников за подводными лодками» (НОПЛ-43).</w:t>
      </w:r>
    </w:p>
    <w:p w14:paraId="7992AF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5. Начальнику Главного морского штаба разработать организацию соединений кораблей «Большие охотники за подводными лодками» (БО) и катеров «Малые охотники за подводными лодками» (МО). </w:t>
      </w:r>
    </w:p>
    <w:p w14:paraId="0B66954A" w14:textId="77777777" w:rsidR="00595BFB" w:rsidRPr="00070ADE" w:rsidRDefault="00595BFB" w:rsidP="00B56F90">
      <w:pPr>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Cs/>
          <w:color w:val="000000" w:themeColor="text1"/>
          <w:sz w:val="16"/>
          <w:szCs w:val="16"/>
        </w:rPr>
        <w:t>КУЗНЕЦОВ (11459).</w:t>
      </w:r>
    </w:p>
    <w:p w14:paraId="7979E72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4A6015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7F8E1A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96E8C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марта 1944 нарком внутренних дел СССР Л. Берия подписал приказ о высылке в Красноярск членов семей боевиков украинских формирований ОУН и УПА (4962).</w:t>
      </w:r>
    </w:p>
    <w:p w14:paraId="7D6D301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DA269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C063E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8EF239" w14:textId="77777777" w:rsidR="00C71B1D" w:rsidRPr="00070ADE" w:rsidRDefault="00C71B1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31 марта</w:t>
      </w:r>
      <w:r w:rsidRPr="00070ADE">
        <w:rPr>
          <w:rFonts w:ascii="Times New Roman" w:hAnsi="Times New Roman"/>
          <w:color w:val="000000" w:themeColor="text1"/>
          <w:sz w:val="16"/>
          <w:szCs w:val="16"/>
        </w:rPr>
        <w:t xml:space="preserve"> в 1944 году оперативная сводка Совинформбюро:</w:t>
      </w:r>
    </w:p>
    <w:p w14:paraId="34EF276F" w14:textId="77777777" w:rsidR="00C71B1D" w:rsidRPr="00070ADE" w:rsidRDefault="00C71B1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31 марта войска 1-го Украинского фронта, продолжая наступление, овладели районным центром Каменец-Подольской области городом Дунаевцы — важным узлом дорог и сильно укреплённым опорным пунктом обороны немцев, а также с боями заняли населённые пункты Смотричёвка, Зеленчи, Чаньков, Залесцы, Панасовка, Воробеевка, Иванковцы, Дзержановка, Яцковецная Гута, Ксаверовка, Княжполь, Выхватневцы, Студеница, Демшин, Фурмановка, Врублевцы.</w:t>
      </w:r>
    </w:p>
    <w:p w14:paraId="55C8A60A" w14:textId="77777777" w:rsidR="00C71B1D" w:rsidRPr="00070ADE" w:rsidRDefault="00C71B1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Каменец-Подольск наши войска, наступающие между реками, Днестр и Прут, овладели населёнными пунктами Дарабаны, Каплевка, Данковцы, Белевцы, Кишласалиева, Мамалыга, Крива и железнодорожными станциями Крива, Мамалыга.</w:t>
      </w:r>
    </w:p>
    <w:p w14:paraId="0D96A9DF" w14:textId="77777777" w:rsidR="00C71B1D" w:rsidRPr="00070ADE" w:rsidRDefault="00C71B1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Кишинёвском направлении наши войска с боями продвигались вперёд и заняли более 40 населённых пунктов, в том числе крупные населённые пункты Паркань, Шипотень, Пепени, Вадулека, Брынзени, Тыршицей, Сыркова, Царени, Выхватинцы, Зозуляны, Попенки, Кульна и железнодорожную станцию Шипотень, перерезав, таким образом, железную дорогу Кишинёв-Яссы.</w:t>
      </w:r>
    </w:p>
    <w:p w14:paraId="67FF9A7D" w14:textId="77777777" w:rsidR="00C71B1D" w:rsidRPr="00070ADE" w:rsidRDefault="00C71B1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Тираспольском направлении наши войска, продолжая развивать наступление, овладели районными центрами Одесской области городом и крупной железнодорожной станцией Котовск, городом Ананьев, Андреево-Ивановка, а также с боями заняли более 100 других населённых пунктов, в том числе крупные населённые пункты Валярка, Елизаветовка, Гондрабура, Шелехово, Екатериновка, Покровка, Николаевка, Исаево, Островка, Ивановка, и железнодорожную станцию Чубовка.</w:t>
      </w:r>
    </w:p>
    <w:p w14:paraId="53D69C61" w14:textId="77777777" w:rsidR="00C71B1D" w:rsidRPr="00070ADE" w:rsidRDefault="00C71B1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Одесском направлении наши войска, преследуя отступающего противника, овладели районным центром Одесской области городом и крупной железнодорожной станцией Берёзовка, районным центром Николаевской области Тилигуло-Березанка (Суворово), а также с боями заняли более 160 других населённых пунктов, среди которых крупные населённые пункты Стрюково, Шварцево, Петровка, Богорождественка, Оскаровка, Заводовка, Вормс, Рорбах, Основа, Игнатовка, Комиссаровка, Адамово, Андреевка и железнодорожные станции Колосовка, Калаглея.</w:t>
      </w:r>
    </w:p>
    <w:p w14:paraId="6B3A0F73" w14:textId="77777777" w:rsidR="00C71B1D" w:rsidRPr="00070ADE" w:rsidRDefault="00C71B1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развивая наступление, овладели крепостью игородом Очаков — важным опорным пунктом обороны немцев, запирающим вход в Днепровско-Бугский лиман.</w:t>
      </w:r>
    </w:p>
    <w:p w14:paraId="2D6FA34B" w14:textId="77777777" w:rsidR="00C71B1D" w:rsidRPr="00070ADE" w:rsidRDefault="00C71B1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в ряде пунктов шли бои местного значения.</w:t>
      </w:r>
    </w:p>
    <w:p w14:paraId="2ED8391B" w14:textId="77777777" w:rsidR="00C71B1D" w:rsidRPr="00070ADE" w:rsidRDefault="00C71B1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30 марта наши войска на всех фронтах подбили и уничтожили 29 немецких танков. В воздушных боях и огнём зенитной артиллерии сбито 35 самолётов противника.</w:t>
      </w:r>
    </w:p>
    <w:p w14:paraId="381397E0" w14:textId="77777777" w:rsidR="00C71B1D" w:rsidRPr="00070ADE" w:rsidRDefault="00C71B1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успешное наступление. Ожесточённые бои происходили сегодня на подступах к районному центру Каменец-Подольской области городу Дунаевцы. Немцы стремились любой ценой удержать в своих руках этот опорный пункт и важный узел шоссейных дорог, дававший им возможность маневрировать своими силами. Бойцы Н-ского соединения сломили сопротивление противника и решительным ударом выбили немцев из города Дунаевцы. На поле боя осталось много вражеских трупов. Нашими войсками захвачено большое количество вооружения и военных материалов.</w:t>
      </w:r>
    </w:p>
    <w:p w14:paraId="62B648C3" w14:textId="77777777" w:rsidR="00C71B1D" w:rsidRPr="00070ADE" w:rsidRDefault="00C71B1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бою за город Черновицы наши войска уничтожили более 1.500 гитлеровцев и взяли в плен 900 вражеских солдат и офицеров. Захвачены трофеи, в числе которых14 железнодорожных эшелонов и, кроме того, 312 вагонов и платформ с разнымигрузами, 12 крупных складов с продовольствием, вооружением и боеприпасами, несколько сот автомашин, а также много различного вооружения. В ходе боёв за Черновицы танкисты под командованием тов. Иванова внезапно ворвались на аэродром, на котором находилось 40 транспортных и боевых самолётов противника. Ни один немецкий самолёт не успел подняться в воздух. Часть вражеских самолётов танкисты уничтожили, а остальные захватили в исправном состоянии.</w:t>
      </w:r>
    </w:p>
    <w:p w14:paraId="06123942" w14:textId="77777777" w:rsidR="00C71B1D" w:rsidRPr="00070ADE" w:rsidRDefault="00C71B1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 Кишинёвском направлении наши войска вели наступательные бои. Части Н-ского соединения стремительным броском продвинулись вперёд и заняли железнодорожную станцию Шипотень. Таким образом, железная дорога Кишинёв-Яссы, имеющая большое значение для южной группировки немцев, перерезана </w:t>
      </w:r>
      <w:r w:rsidRPr="00070ADE">
        <w:rPr>
          <w:rFonts w:ascii="Times New Roman" w:hAnsi="Times New Roman"/>
          <w:color w:val="000000" w:themeColor="text1"/>
          <w:sz w:val="16"/>
          <w:szCs w:val="16"/>
        </w:rPr>
        <w:lastRenderedPageBreak/>
        <w:t>советскими войсками. Части другого нашего соединения в последних боях уничтожили свыше 2 тысяч гитлеровцев. Преследуя отступающего противника, советские бойцы захватили 52 орудия, 34 миномёта, 35 бронетранспортёров и 300 автомашин. Взято в плен свыше 500 немецкихи румынских солдат и офицеров.</w:t>
      </w:r>
    </w:p>
    <w:p w14:paraId="042B5958" w14:textId="77777777" w:rsidR="00C71B1D" w:rsidRPr="00070ADE" w:rsidRDefault="00C71B1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Одесском направлении наши войска, преследуя отступающего противника, наносят ему один удар за другим. Бойцы Н-ского соединения продвинулись вперёд на15 километров и овладели городом и крупной железнодорожной станцией Берёзовка. Другие советские части заняли районный центр Николаевской области Тилигуло-Березанка (Суворово) и более 160 других населённых пунктов. В одном районе несколько советских танков ворвались в крупный населённый пункт. Находившиеся в этом селе гитлеровцы, боясь окружения, в панике бежали, оставив 16 орудий, 100 автомашин, обоз с продовольствием и парк с переправочным имуществом. На железнодорожной станции Колосовка нашими бойцами захвачено 2 эшелона противника с военным имуществом.</w:t>
      </w:r>
    </w:p>
    <w:p w14:paraId="0E0F3992" w14:textId="77777777" w:rsidR="00C71B1D" w:rsidRPr="00070ADE" w:rsidRDefault="00C71B1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продолжали успешное наступление. Части Н-ского соединения, совершив обходный манёвр, поставили под угрозу окружения немецкий гарнизон крепости и города Очаков. Одновременно десантная группа береговойобороны Черноморского флота с Кинбургской косы форсировала Днепро-Бугский лиман и ворвалась в Очаковский порт. В результате совместных действий с суши и с моря наши войска овладели крепостью и городом Очаков. Десантная группа Черноморского флота заняла также остров Первомайский. Таким образом, вход в Днепро-Бугский лиман полностью очищен от немецко-фашистских захватчиков.</w:t>
      </w:r>
    </w:p>
    <w:p w14:paraId="79205D25" w14:textId="77777777" w:rsidR="00C71B1D" w:rsidRPr="00070ADE" w:rsidRDefault="00C71B1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Воздушная разведка авиации Краснознамённого Балтийского флота на рассвете обнаружила в Нарвском заливе группу кораблей противника. Советские бомбардировщики и штурмовики в сопровождении истребителей немедленно поднялись ввоздух и атаковали вражеские суда. Несмотря на сильный зенитный огонь, наши лётчики прорвались к цели и потопили два сторожевых корабля и два сторожевых катера противника. В воздушных боях наши лётчики сбили 6 немецких самолётов.</w:t>
      </w:r>
    </w:p>
    <w:p w14:paraId="69A23CBD" w14:textId="77777777" w:rsidR="00C71B1D" w:rsidRPr="00070ADE" w:rsidRDefault="00C71B1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Немецкое командование создало в Крыму специальный штаб по борьбе с партизанами. Однако все попытки немецких военных властей ликвидировать партизанское движение потерпели полный провал. Деятельность партизан запоследнее время приняла ещё более широкий размах. Во второй половине марта крымские партизаны истребили до 400 немецких и румынских оккупантов. На станции Джанкой партизаны-подрывники взорвали железнодорожный состав с горючим.» (15085).</w:t>
      </w:r>
    </w:p>
    <w:p w14:paraId="100118DF" w14:textId="77777777" w:rsidR="00C71B1D" w:rsidRPr="00070ADE" w:rsidRDefault="00C71B1D" w:rsidP="00B56F90">
      <w:pPr>
        <w:spacing w:after="0" w:line="240" w:lineRule="auto"/>
        <w:jc w:val="both"/>
        <w:rPr>
          <w:rFonts w:ascii="Times New Roman" w:hAnsi="Times New Roman"/>
          <w:color w:val="000000" w:themeColor="text1"/>
          <w:sz w:val="16"/>
          <w:szCs w:val="16"/>
        </w:rPr>
      </w:pPr>
    </w:p>
    <w:p w14:paraId="1523E0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марта 1944 с 15 до 16 час. несколько групп самолетов наносили удар по немецкой группировки, окруженной в районе Тернополя. Пб атаковали артиллерийские позиции на западе города, а ш - опорные позиции на северной и южной окраинах. Для отвлечения и за 15 минут до удара появились и. Наземные войска вошли в город сразу после авиаатаки (340,190).</w:t>
      </w:r>
    </w:p>
    <w:p w14:paraId="1C60DA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9D6DB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14861E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50EB15" w14:textId="77777777" w:rsidR="00C71B1D" w:rsidRPr="00070ADE" w:rsidRDefault="00C71B1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31 марта</w:t>
      </w:r>
      <w:r w:rsidRPr="00070ADE">
        <w:rPr>
          <w:rFonts w:ascii="Times New Roman" w:hAnsi="Times New Roman"/>
          <w:color w:val="000000" w:themeColor="text1"/>
          <w:sz w:val="16"/>
          <w:szCs w:val="16"/>
        </w:rPr>
        <w:t xml:space="preserve"> в 1944 году первый полёт бомбардировщика-штурмовика </w:t>
      </w:r>
      <w:hyperlink r:id="rId93" w:tgtFrame="_blank" w:history="1">
        <w:r w:rsidRPr="00070ADE">
          <w:rPr>
            <w:rFonts w:ascii="Times New Roman" w:hAnsi="Times New Roman"/>
            <w:color w:val="000000" w:themeColor="text1"/>
            <w:sz w:val="16"/>
            <w:szCs w:val="16"/>
          </w:rPr>
          <w:t xml:space="preserve">«NA-98X» </w:t>
        </w:r>
      </w:hyperlink>
      <w:r w:rsidRPr="00070ADE">
        <w:rPr>
          <w:rFonts w:ascii="Times New Roman" w:hAnsi="Times New Roman"/>
          <w:color w:val="000000" w:themeColor="text1"/>
          <w:sz w:val="16"/>
          <w:szCs w:val="16"/>
        </w:rPr>
        <w:t>(разработчик: «North American», США). Планировалось два варианта самолета - бомбардировщик и бомбардировочно-штурмовой самолёт "Super Strafer". Второй вариант должен был нести восемь 12.7-мм пулемётов в носу (400 выстрелов на ствол), еще два пулемёта в верхней турели (400 выстрелов на ствол), два в хвосте (600 выстрелов на ствол, а также два в бортах (200 выстрелов на ствол). В качестве альтернативы предусматривалась возможность установить четыре пулемёта в бортах носовой части фюзеляжа - итого 18 крупнокалиберных пулемётов. На прототипе также сохранили 75-мм пушку. У бомбардировочного варианта был остекленный нос с двумя неподвижными и одним наводимым пулемётом (300 выстрелов на ствол). Оказалось, что самолёт развивает большую максимальную скорость и отличается лучшей динамикой, устойчивее держит курс и испытывает меньшие вибрации. На полном форсаже самолёт мог набрать высоту 3050 м за 4,9 минут, максимальная скорость на уровне моря 527 км/ч. Максимальная скорость 563 км/ч представляла собой огромный скачок вперед по сравнению с 447 км/ч у «B-25G». Однако в ходе пробных полётов мощность двигателей ограничили, при этом скорость самолёта составила 547 км/ч. После аварии дальнейшие работы над «NA-98X» прекратили (15085).</w:t>
      </w:r>
    </w:p>
    <w:p w14:paraId="53578F78" w14:textId="77777777" w:rsidR="00C71B1D" w:rsidRPr="00070ADE" w:rsidRDefault="00C71B1D" w:rsidP="00B56F90">
      <w:pPr>
        <w:spacing w:after="0" w:line="240" w:lineRule="auto"/>
        <w:jc w:val="both"/>
        <w:rPr>
          <w:rFonts w:ascii="Times New Roman" w:hAnsi="Times New Roman"/>
          <w:color w:val="000000" w:themeColor="text1"/>
          <w:sz w:val="16"/>
          <w:szCs w:val="16"/>
        </w:rPr>
      </w:pPr>
    </w:p>
    <w:p w14:paraId="6127DEC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марта 1944 в Девоне (Англия) в условиях, приближенных к условиям Нормандии, проведена репетиция высадки войск союзников во Франции, закончившаяся полным провалом (4962).</w:t>
      </w:r>
    </w:p>
    <w:p w14:paraId="5199B57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D3227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марта 1944 в Тихом океане в авиакатастрофе погиб командующий японским флотом адмирал Минеиши Кога (4962).</w:t>
      </w:r>
    </w:p>
    <w:p w14:paraId="0EDD3A3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5C29AD" w14:textId="77777777" w:rsidR="009D0558" w:rsidRPr="00070ADE" w:rsidRDefault="009D055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марта 1944 летающая лодка адмирала Кога, Минэити, главнокомандующего Императорского японского флота исчезает после взлета с Бабелтуапа; никаких обломков или тел не найдено. Вторая летающая лодка, на борту которой находился контр-адмирал Сигеру Фукудоме из штаба Коги, совершившая такой же полет, потерпела крушение во время шторма; Фукудоме проводит две недели в руках туземцев на Себу, прежде чем его спасают (29373).</w:t>
      </w:r>
    </w:p>
    <w:p w14:paraId="5DB780D4" w14:textId="77777777" w:rsidR="009D0558" w:rsidRPr="00070ADE" w:rsidRDefault="009D0558" w:rsidP="00B56F90">
      <w:pPr>
        <w:spacing w:after="0" w:line="240" w:lineRule="auto"/>
        <w:jc w:val="both"/>
        <w:rPr>
          <w:rFonts w:ascii="Times New Roman" w:hAnsi="Times New Roman"/>
          <w:color w:val="000000" w:themeColor="text1"/>
          <w:sz w:val="16"/>
          <w:szCs w:val="16"/>
        </w:rPr>
      </w:pPr>
    </w:p>
    <w:p w14:paraId="580E4E4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37DDE9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62791D" w14:textId="015756C0" w:rsidR="00E23482" w:rsidRPr="00070ADE" w:rsidRDefault="00E23482"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В конце марта 1944 года ОКБ завода №100 под руководством Н.Ф. Шашмурина разработало проект глубокой модернизации Ис-2</w:t>
      </w:r>
      <w:r w:rsidR="00B643A8" w:rsidRPr="00070ADE">
        <w:rPr>
          <w:color w:val="000000" w:themeColor="text1"/>
          <w:sz w:val="16"/>
          <w:szCs w:val="16"/>
        </w:rPr>
        <w:t xml:space="preserve"> </w:t>
      </w:r>
      <w:r w:rsidRPr="00070ADE">
        <w:rPr>
          <w:color w:val="000000" w:themeColor="text1"/>
          <w:sz w:val="16"/>
          <w:szCs w:val="16"/>
        </w:rPr>
        <w:t>с кормовым расположением боевого отделения. Параллельно, судя по эскизам, предполагалось создание на той же базе и самоходной артиллерийской установки с кормовым расположением боевого отделения. По ряду причин дальше проекты не продвинулись, но уже летом 1944 года эстафета перешла к УЗТМ (19525).</w:t>
      </w:r>
    </w:p>
    <w:p w14:paraId="77CD2A98" w14:textId="77777777" w:rsidR="00E23482" w:rsidRPr="00070ADE" w:rsidRDefault="00E23482" w:rsidP="00B56F90">
      <w:pPr>
        <w:pStyle w:val="ae"/>
        <w:shd w:val="clear" w:color="auto" w:fill="FFFFFF"/>
        <w:spacing w:before="0" w:after="0"/>
        <w:jc w:val="both"/>
        <w:textAlignment w:val="baseline"/>
        <w:rPr>
          <w:color w:val="000000" w:themeColor="text1"/>
          <w:sz w:val="16"/>
          <w:szCs w:val="16"/>
        </w:rPr>
      </w:pPr>
    </w:p>
    <w:p w14:paraId="72B796EF" w14:textId="77777777" w:rsidR="00087956" w:rsidRPr="00C94B78" w:rsidRDefault="00087956"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До конца марта 1944 года продол</w:t>
      </w:r>
      <w:r w:rsidRPr="00C94B78">
        <w:rPr>
          <w:rFonts w:ascii="Times New Roman" w:hAnsi="Times New Roman"/>
          <w:color w:val="0070C0"/>
          <w:sz w:val="16"/>
          <w:szCs w:val="16"/>
        </w:rPr>
        <w:softHyphen/>
        <w:t>жались испытания ИС-3 (объект 244-го) закончились неудачей по причине недостаточной прочности ствола орудия. Танк ИС-3 (объект 244) представлял собой опытный танк ИС №1 (ИС-85) с установленной вместо штатного орудия Д-5Т-85 пушкой большой мощности Д-5Т-85БМ c начальной скоростью снаряда 900 м/с. Монтаж пушки никаких переделок за собой не повлек, поскольку все установочные размеры остались прежними. На объекте 244 ис</w:t>
      </w:r>
      <w:r w:rsidRPr="00C94B78">
        <w:rPr>
          <w:rFonts w:ascii="Times New Roman" w:hAnsi="Times New Roman"/>
          <w:color w:val="0070C0"/>
          <w:sz w:val="16"/>
          <w:szCs w:val="16"/>
        </w:rPr>
        <w:softHyphen/>
        <w:t>пытывался новый «ломающийся» телескопический прицел ПТ-8, а также ряд опытных узлов двигателя и трансмиссии, в частности - синхронизаторы 3 - 4-й и 7 - 8-й передач, которые позволяли сократить время на их переключение и облегчали управление машиной (25001).</w:t>
      </w:r>
    </w:p>
    <w:p w14:paraId="08264DFB" w14:textId="77777777" w:rsidR="00087956" w:rsidRPr="00C94B78" w:rsidRDefault="00087956" w:rsidP="00B56F90">
      <w:pPr>
        <w:spacing w:after="0" w:line="240" w:lineRule="auto"/>
        <w:jc w:val="both"/>
        <w:rPr>
          <w:rFonts w:ascii="Times New Roman" w:hAnsi="Times New Roman"/>
          <w:color w:val="0070C0"/>
          <w:sz w:val="16"/>
          <w:szCs w:val="16"/>
        </w:rPr>
      </w:pPr>
    </w:p>
    <w:p w14:paraId="14E7F9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марта 1944 третий изготовленный образец Т-44 был перевооружен новой 85-мм пушкой С-53 вместо Д-25-44. Мартовские испытания его вооружения увенчались успе</w:t>
      </w:r>
      <w:r w:rsidRPr="00070ADE">
        <w:rPr>
          <w:rFonts w:ascii="Times New Roman" w:hAnsi="Times New Roman"/>
          <w:color w:val="000000" w:themeColor="text1"/>
          <w:sz w:val="16"/>
          <w:szCs w:val="16"/>
        </w:rPr>
        <w:softHyphen/>
        <w:t>хом, но неожиданно сломался двигатель и государственные испытания Т-44 вновь были отложены.</w:t>
      </w:r>
    </w:p>
    <w:p w14:paraId="226E20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Вопреки сложившемуся мнению, что Т-44 стал разви</w:t>
      </w:r>
      <w:r w:rsidRPr="00070ADE">
        <w:rPr>
          <w:rFonts w:ascii="Times New Roman" w:hAnsi="Times New Roman"/>
          <w:color w:val="000000" w:themeColor="text1"/>
          <w:sz w:val="16"/>
          <w:szCs w:val="16"/>
        </w:rPr>
        <w:softHyphen/>
        <w:t>тием, своеобразным улучшением Т-34, новый танк являл собой машину абсолютно нового типа, на что неоднократ</w:t>
      </w:r>
      <w:r w:rsidRPr="00070ADE">
        <w:rPr>
          <w:rFonts w:ascii="Times New Roman" w:hAnsi="Times New Roman"/>
          <w:color w:val="000000" w:themeColor="text1"/>
          <w:sz w:val="16"/>
          <w:szCs w:val="16"/>
        </w:rPr>
        <w:softHyphen/>
        <w:t>но обращал внимание А. Морозов.</w:t>
      </w:r>
    </w:p>
    <w:p w14:paraId="75E659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техническом описании 1944 г. сказано, что Т-44 — «талстобронный скоростной маневренный танк принципиаль</w:t>
      </w:r>
      <w:r w:rsidRPr="00070ADE">
        <w:rPr>
          <w:rFonts w:ascii="Times New Roman" w:hAnsi="Times New Roman"/>
          <w:color w:val="000000" w:themeColor="text1"/>
          <w:sz w:val="16"/>
          <w:szCs w:val="16"/>
        </w:rPr>
        <w:softHyphen/>
        <w:t>но нового типа с мощным артиллерийским вооружением».</w:t>
      </w:r>
    </w:p>
    <w:p w14:paraId="20F3AA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Пресловутую «принципиальную новизну типа» танка А. Морозов постоянно подчеркивал во всех документах того периода. И это было оправданно, так как по массе танк был средним, а по вооружению и бронированию представлял со</w:t>
      </w:r>
      <w:r w:rsidRPr="00070ADE">
        <w:rPr>
          <w:rFonts w:ascii="Times New Roman" w:hAnsi="Times New Roman"/>
          <w:color w:val="000000" w:themeColor="text1"/>
          <w:sz w:val="16"/>
          <w:szCs w:val="16"/>
        </w:rPr>
        <w:softHyphen/>
        <w:t>бой эквивалент тяжелых боевых машин того времени.</w:t>
      </w:r>
    </w:p>
    <w:p w14:paraId="3EED76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Корпус</w:t>
      </w:r>
      <w:r w:rsidRPr="00070ADE">
        <w:rPr>
          <w:rFonts w:ascii="Times New Roman" w:hAnsi="Times New Roman"/>
          <w:b/>
          <w:bCs/>
          <w:color w:val="000000" w:themeColor="text1"/>
          <w:sz w:val="16"/>
          <w:szCs w:val="16"/>
        </w:rPr>
        <w:t xml:space="preserve"> </w:t>
      </w:r>
      <w:r w:rsidRPr="00070ADE">
        <w:rPr>
          <w:rFonts w:ascii="Times New Roman" w:hAnsi="Times New Roman"/>
          <w:color w:val="000000" w:themeColor="text1"/>
          <w:sz w:val="16"/>
          <w:szCs w:val="16"/>
        </w:rPr>
        <w:t>танка собирался сваркой из катаных броневых листов высокой твердости. Ширина корпуса была выбрана из расчета установки башни с кругом обслуживания 1800 мм. Длина корпуса была почти аналогичной длине корпуса Т-34, а.высота была максимально сокращена и составляла всего 830 мм в передней части и 965 мм в кормовой.</w:t>
      </w:r>
    </w:p>
    <w:p w14:paraId="36D9DE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Носовая часть корпуса состояла из двух броневых листов толщиной 75 мм, причем верхний лист был установлен под углом 60°. Борта и корма танка собирались из броневых лис</w:t>
      </w:r>
      <w:r w:rsidRPr="00070ADE">
        <w:rPr>
          <w:rFonts w:ascii="Times New Roman" w:hAnsi="Times New Roman"/>
          <w:color w:val="000000" w:themeColor="text1"/>
          <w:sz w:val="16"/>
          <w:szCs w:val="16"/>
        </w:rPr>
        <w:softHyphen/>
        <w:t>тов толщиной 45 мм. В верхней, наиболее поражаемой части бортов, они были усилены наваркой 30-мм экранов. Крыша и передняя часть днища имели толщину 20 мм.</w:t>
      </w:r>
    </w:p>
    <w:p w14:paraId="5F39C0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Боевое отделение танка отгораживалось от моторно-трансмиссионного перегородкой, состоящей из двух отсеков для топливных баков, причем задняя стенка отсеков явля</w:t>
      </w:r>
      <w:r w:rsidRPr="00070ADE">
        <w:rPr>
          <w:rFonts w:ascii="Times New Roman" w:hAnsi="Times New Roman"/>
          <w:color w:val="000000" w:themeColor="text1"/>
          <w:sz w:val="16"/>
          <w:szCs w:val="16"/>
        </w:rPr>
        <w:softHyphen/>
        <w:t>лась одновременно стойкой подмоторного фундамента.</w:t>
      </w:r>
    </w:p>
    <w:p w14:paraId="45A531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Крыша корпуса в его передней части приваривалась к корпусу, а крыша моторно-трансмиссионного отделения вы</w:t>
      </w:r>
      <w:r w:rsidRPr="00070ADE">
        <w:rPr>
          <w:rFonts w:ascii="Times New Roman" w:hAnsi="Times New Roman"/>
          <w:color w:val="000000" w:themeColor="text1"/>
          <w:sz w:val="16"/>
          <w:szCs w:val="16"/>
        </w:rPr>
        <w:softHyphen/>
        <w:t>полнялась съемной. В верхнем носовом листе крыши предсерийных машин слева было вварено литое основание башен</w:t>
      </w:r>
      <w:r w:rsidRPr="00070ADE">
        <w:rPr>
          <w:rFonts w:ascii="Times New Roman" w:hAnsi="Times New Roman"/>
          <w:color w:val="000000" w:themeColor="text1"/>
          <w:sz w:val="16"/>
          <w:szCs w:val="16"/>
        </w:rPr>
        <w:softHyphen/>
        <w:t>ки механика-водителя, в котором спереди монтировался смотровой люк-пробка, а сверху — люк-лаз. Крышка люка-пробки имела толщину 90 мм и могла открываться на петлях вперед-вверх. При закрытом люке-пробке механик-водитель мог вести наблюдение за полем боя через перископ, смонти</w:t>
      </w:r>
      <w:r w:rsidRPr="00070ADE">
        <w:rPr>
          <w:rFonts w:ascii="Times New Roman" w:hAnsi="Times New Roman"/>
          <w:color w:val="000000" w:themeColor="text1"/>
          <w:sz w:val="16"/>
          <w:szCs w:val="16"/>
        </w:rPr>
        <w:softHyphen/>
        <w:t>рованный во вращающемся основании люка-лаза.</w:t>
      </w:r>
    </w:p>
    <w:p w14:paraId="6D676B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Башня Т-44, разработанная сначала, была довольно оригинальна. Ее корпус состоял из литой носовой части, ли</w:t>
      </w:r>
      <w:r w:rsidRPr="00070ADE">
        <w:rPr>
          <w:rFonts w:ascii="Times New Roman" w:hAnsi="Times New Roman"/>
          <w:color w:val="000000" w:themeColor="text1"/>
          <w:sz w:val="16"/>
          <w:szCs w:val="16"/>
        </w:rPr>
        <w:softHyphen/>
        <w:t>той башенной ниши, соединенных вварными бортовыми вставками из катаной брони и приварной крышей. Такая конструкция была продиктована тем, что до начала 1945 г. отечественные литые башни были довольно хрупкими, осо</w:t>
      </w:r>
      <w:r w:rsidRPr="00070ADE">
        <w:rPr>
          <w:rFonts w:ascii="Times New Roman" w:hAnsi="Times New Roman"/>
          <w:color w:val="000000" w:themeColor="text1"/>
          <w:sz w:val="16"/>
          <w:szCs w:val="16"/>
        </w:rPr>
        <w:softHyphen/>
        <w:t>бенно в бортовой части. Наличие вставок из катаной брони толщиной 75 мм должно было повысить сопротивляемость Ц башни при ее обстреле бронебойными снарядами. Лобовая «часть башни имела толщину 90 мм, а кормовая - 70-75 мм.</w:t>
      </w:r>
    </w:p>
    <w:p w14:paraId="338BAD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массовое производство таких составных башен было сочтено нецелесообразным, и уже в марте 1943 г. было принято решение о разработке цельнолитых башен Т-44.</w:t>
      </w:r>
    </w:p>
    <w:p w14:paraId="107F99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Башня устанавливалась на погоне диаметром 1800 мм с шариковой беговой дорожкой. На крыше башни размещались два люка-лаза, один из которых стоял в крыше командирской башенки. Командирский люк имел вращающуюся крышу с одностворчатой крышкой. В задней части крыши располагался вентилятор боевого отделения.</w:t>
      </w:r>
    </w:p>
    <w:p w14:paraId="0A364A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танка Т-44 должно было стать очень мощ</w:t>
      </w:r>
      <w:r w:rsidRPr="00070ADE">
        <w:rPr>
          <w:rFonts w:ascii="Times New Roman" w:hAnsi="Times New Roman"/>
          <w:color w:val="000000" w:themeColor="text1"/>
          <w:sz w:val="16"/>
          <w:szCs w:val="16"/>
        </w:rPr>
        <w:softHyphen/>
        <w:t>ным. Оно предусматривалось из 85-мм пушки Д-5Т для линейных танков и 122-мм пушки Д-25Т для танков ар</w:t>
      </w:r>
      <w:r w:rsidRPr="00070ADE">
        <w:rPr>
          <w:rFonts w:ascii="Times New Roman" w:hAnsi="Times New Roman"/>
          <w:color w:val="000000" w:themeColor="text1"/>
          <w:sz w:val="16"/>
          <w:szCs w:val="16"/>
        </w:rPr>
        <w:softHyphen/>
        <w:t>тиллерийского усиления. Но если 85-мм пушка ничем не отличалась от своих собратьев, «прописавшихся» в танках К.В-85, ИС-85 и первой серии Т-34-85, то вторая была до</w:t>
      </w:r>
      <w:r w:rsidRPr="00070ADE">
        <w:rPr>
          <w:rFonts w:ascii="Times New Roman" w:hAnsi="Times New Roman"/>
          <w:color w:val="000000" w:themeColor="text1"/>
          <w:sz w:val="16"/>
          <w:szCs w:val="16"/>
        </w:rPr>
        <w:softHyphen/>
        <w:t>вольно оригинальна. От орудия Д-25-Т, установленного в ИС-122, пушка отличалась, во-первых, унитарным (или полуунитарным) выстрелом, во-вторых, немного умень</w:t>
      </w:r>
      <w:r w:rsidRPr="00070ADE">
        <w:rPr>
          <w:rFonts w:ascii="Times New Roman" w:hAnsi="Times New Roman"/>
          <w:color w:val="000000" w:themeColor="text1"/>
          <w:sz w:val="16"/>
          <w:szCs w:val="16"/>
        </w:rPr>
        <w:softHyphen/>
        <w:t>шенной длиной ствола и, в-третьих, уменьшенным на 2,3—3,2% пороховым зарядом. Правда, уже первые испы</w:t>
      </w:r>
      <w:r w:rsidRPr="00070ADE">
        <w:rPr>
          <w:rFonts w:ascii="Times New Roman" w:hAnsi="Times New Roman"/>
          <w:color w:val="000000" w:themeColor="text1"/>
          <w:sz w:val="16"/>
          <w:szCs w:val="16"/>
        </w:rPr>
        <w:softHyphen/>
        <w:t>тания орудий вызвали легкий шок. Не говоря уже о запре</w:t>
      </w:r>
      <w:r w:rsidRPr="00070ADE">
        <w:rPr>
          <w:rFonts w:ascii="Times New Roman" w:hAnsi="Times New Roman"/>
          <w:color w:val="000000" w:themeColor="text1"/>
          <w:sz w:val="16"/>
          <w:szCs w:val="16"/>
        </w:rPr>
        <w:softHyphen/>
        <w:t>дельной массе унитарного выстрела Д-25Т-44, заряжать указанную пушку в Т-44, ввиду ее низкой посадки и не</w:t>
      </w:r>
      <w:r w:rsidRPr="00070ADE">
        <w:rPr>
          <w:rFonts w:ascii="Times New Roman" w:hAnsi="Times New Roman"/>
          <w:color w:val="000000" w:themeColor="text1"/>
          <w:sz w:val="16"/>
          <w:szCs w:val="16"/>
        </w:rPr>
        <w:softHyphen/>
        <w:t>достаточного «заднего отрезка» даже в башне с кругом обслуживания 1800 мм оказалось крайне затруднитель</w:t>
      </w:r>
      <w:r w:rsidRPr="00070ADE">
        <w:rPr>
          <w:rFonts w:ascii="Times New Roman" w:hAnsi="Times New Roman"/>
          <w:color w:val="000000" w:themeColor="text1"/>
          <w:sz w:val="16"/>
          <w:szCs w:val="16"/>
        </w:rPr>
        <w:softHyphen/>
        <w:t>ным. Переход же к раздельному заряжанию резко снижал скорострельность, которая составила на опробовании не свыше 1 выстр./мин.</w:t>
      </w:r>
    </w:p>
    <w:p w14:paraId="5FCC38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Т-44 была проведена модернизация механизмов управления огнем. Танк получил все новейшие достиже</w:t>
      </w:r>
      <w:r w:rsidRPr="00070ADE">
        <w:rPr>
          <w:rFonts w:ascii="Times New Roman" w:hAnsi="Times New Roman"/>
          <w:color w:val="000000" w:themeColor="text1"/>
          <w:sz w:val="16"/>
          <w:szCs w:val="16"/>
        </w:rPr>
        <w:softHyphen/>
        <w:t>ния в данной области - ломающийся прицел, кнопочный анектроспуск орудия и пулемета, объединенное управле</w:t>
      </w:r>
      <w:r w:rsidRPr="00070ADE">
        <w:rPr>
          <w:rFonts w:ascii="Times New Roman" w:hAnsi="Times New Roman"/>
          <w:color w:val="000000" w:themeColor="text1"/>
          <w:sz w:val="16"/>
          <w:szCs w:val="16"/>
        </w:rPr>
        <w:softHyphen/>
        <w:t>ние ручным и моторным приводом поворота башни. Все эти нововведения, будучи отлаженными на Т-44, позже были внедрены также и на Т-34-85.</w:t>
      </w:r>
    </w:p>
    <w:p w14:paraId="38A11F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Поворотный механизм башни управлялся от рукояти ручного поворотного механизма, что позволяло перейти с ручного на моторный привод башни, не отрывая руки от рукоятки поворотного механизма.</w:t>
      </w:r>
    </w:p>
    <w:p w14:paraId="1830522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Большая часть боеукладки танка (44 выстрела) распола</w:t>
      </w:r>
      <w:r w:rsidRPr="00070ADE">
        <w:rPr>
          <w:rFonts w:ascii="Times New Roman" w:hAnsi="Times New Roman"/>
          <w:color w:val="000000" w:themeColor="text1"/>
          <w:sz w:val="16"/>
          <w:szCs w:val="16"/>
        </w:rPr>
        <w:softHyphen/>
        <w:t>галась в специальном стеллаже, установленном на месте, освободившемся от удаленного стрелка-радиста. Еще 16 вы</w:t>
      </w:r>
      <w:r w:rsidRPr="00070ADE">
        <w:rPr>
          <w:rFonts w:ascii="Times New Roman" w:hAnsi="Times New Roman"/>
          <w:color w:val="000000" w:themeColor="text1"/>
          <w:sz w:val="16"/>
          <w:szCs w:val="16"/>
        </w:rPr>
        <w:softHyphen/>
        <w:t>стрелов было размещено в башне (12 — в кормовой нише, 4 — на правом борту), а последние пять (у левого борта кор</w:t>
      </w:r>
      <w:r w:rsidRPr="00070ADE">
        <w:rPr>
          <w:rFonts w:ascii="Times New Roman" w:hAnsi="Times New Roman"/>
          <w:color w:val="000000" w:themeColor="text1"/>
          <w:sz w:val="16"/>
          <w:szCs w:val="16"/>
        </w:rPr>
        <w:softHyphen/>
        <w:t>пуса. Магазины к пулемету находились также в корпусе (11135).</w:t>
      </w:r>
    </w:p>
    <w:p w14:paraId="10CC1F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F1695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56308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562E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второй половине марта 1944 в полк “Нормандия” прибыла еще одна группа летчиков-истребителей под командо</w:t>
      </w:r>
      <w:r w:rsidRPr="00070ADE">
        <w:rPr>
          <w:rFonts w:ascii="Times New Roman" w:hAnsi="Times New Roman"/>
          <w:color w:val="000000" w:themeColor="text1"/>
          <w:sz w:val="16"/>
          <w:szCs w:val="16"/>
        </w:rPr>
        <w:softHyphen/>
        <w:t>ванием капитана Дельфино. Она долж</w:t>
      </w:r>
      <w:r w:rsidRPr="00070ADE">
        <w:rPr>
          <w:rFonts w:ascii="Times New Roman" w:hAnsi="Times New Roman"/>
          <w:color w:val="000000" w:themeColor="text1"/>
          <w:sz w:val="16"/>
          <w:szCs w:val="16"/>
        </w:rPr>
        <w:softHyphen/>
        <w:t>на была составить основу второго ис</w:t>
      </w:r>
      <w:r w:rsidRPr="00070ADE">
        <w:rPr>
          <w:rFonts w:ascii="Times New Roman" w:hAnsi="Times New Roman"/>
          <w:color w:val="000000" w:themeColor="text1"/>
          <w:sz w:val="16"/>
          <w:szCs w:val="16"/>
        </w:rPr>
        <w:softHyphen/>
        <w:t>требительного авиаполка “Париж”, ко</w:t>
      </w:r>
      <w:r w:rsidRPr="00070ADE">
        <w:rPr>
          <w:rFonts w:ascii="Times New Roman" w:hAnsi="Times New Roman"/>
          <w:color w:val="000000" w:themeColor="text1"/>
          <w:sz w:val="16"/>
          <w:szCs w:val="16"/>
        </w:rPr>
        <w:softHyphen/>
        <w:t>торый предполагалось сформировать в 1944 г. Однако из-за отсутствия доста</w:t>
      </w:r>
      <w:r w:rsidRPr="00070ADE">
        <w:rPr>
          <w:rFonts w:ascii="Times New Roman" w:hAnsi="Times New Roman"/>
          <w:color w:val="000000" w:themeColor="text1"/>
          <w:sz w:val="16"/>
          <w:szCs w:val="16"/>
        </w:rPr>
        <w:softHyphen/>
        <w:t>точного числа пилотов формирование его было временно отложено, и все прибывшие вошли в состав “Нормандии” (3956).</w:t>
      </w:r>
    </w:p>
    <w:p w14:paraId="7C4080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9B7F2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56943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3DFB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конструкторы ОКБ Ильюшина предприняли очередную попытку повысить оборонительные возможности Ил-2. На заводе № 30 построили Ил-2 с задней оборонительной установ</w:t>
      </w:r>
      <w:r w:rsidRPr="00070ADE">
        <w:rPr>
          <w:rFonts w:ascii="Times New Roman" w:hAnsi="Times New Roman"/>
          <w:color w:val="000000" w:themeColor="text1"/>
          <w:sz w:val="16"/>
          <w:szCs w:val="16"/>
        </w:rPr>
        <w:softHyphen/>
        <w:t>кой УБШ конструкции КБ завода № 487 наркомата вооружений под пулемет УБТ. Главный конструктор установки УБШ И.П. Ше-банов. Боекомплект пулемета состоял из 4 магазинов по 50 патро</w:t>
      </w:r>
      <w:r w:rsidRPr="00070ADE">
        <w:rPr>
          <w:rFonts w:ascii="Times New Roman" w:hAnsi="Times New Roman"/>
          <w:color w:val="000000" w:themeColor="text1"/>
          <w:sz w:val="16"/>
          <w:szCs w:val="16"/>
        </w:rPr>
        <w:softHyphen/>
        <w:t>нов. Угол вертикального наведения установки УБШ составлял вверх +57°, вниз с бортов 8° вправо и 2° влево; угол горизонтально</w:t>
      </w:r>
      <w:r w:rsidRPr="00070ADE">
        <w:rPr>
          <w:rFonts w:ascii="Times New Roman" w:hAnsi="Times New Roman"/>
          <w:color w:val="000000" w:themeColor="text1"/>
          <w:sz w:val="16"/>
          <w:szCs w:val="16"/>
        </w:rPr>
        <w:softHyphen/>
        <w:t>го наведения влево 45°, вправо 32°. Но испытания показали, что Ил-2 с УБШ не имеет явных пре</w:t>
      </w:r>
      <w:r w:rsidRPr="00070ADE">
        <w:rPr>
          <w:rFonts w:ascii="Times New Roman" w:hAnsi="Times New Roman"/>
          <w:color w:val="000000" w:themeColor="text1"/>
          <w:sz w:val="16"/>
          <w:szCs w:val="16"/>
        </w:rPr>
        <w:softHyphen/>
        <w:t>имуществ перед уже состоящими на вооружении Ил-2 с ВУБ-3 и не повышает обороноспособности Ил-2 со стороны верхней задней полусферы. К этому времени уже стало ясно, что для обороны этой полусферы необходимы 20-мм авиапушки. Поэтому от внедрения в серийное производство Ил-2 с турелью УБШ отказались, а заводу № 487 рекомендовали установить на Ил-2 20-мм авиапушку Бере</w:t>
      </w:r>
      <w:r w:rsidRPr="00070ADE">
        <w:rPr>
          <w:rFonts w:ascii="Times New Roman" w:hAnsi="Times New Roman"/>
          <w:color w:val="000000" w:themeColor="text1"/>
          <w:sz w:val="16"/>
          <w:szCs w:val="16"/>
        </w:rPr>
        <w:softHyphen/>
        <w:t>зина УБ-20 и предъявить турель на повторные испытания.(10695).</w:t>
      </w:r>
    </w:p>
    <w:p w14:paraId="5EDF82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9BA9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ОКБ С.В.Ильюшина была сделана очередная попытка повысить оборонительные воз</w:t>
      </w:r>
      <w:r w:rsidRPr="00070ADE">
        <w:rPr>
          <w:rFonts w:ascii="Times New Roman" w:hAnsi="Times New Roman"/>
          <w:color w:val="000000" w:themeColor="text1"/>
          <w:sz w:val="16"/>
          <w:szCs w:val="16"/>
        </w:rPr>
        <w:softHyphen/>
        <w:t>можности Ил-2. Заводом № 30 был по</w:t>
      </w:r>
      <w:r w:rsidRPr="00070ADE">
        <w:rPr>
          <w:rFonts w:ascii="Times New Roman" w:hAnsi="Times New Roman"/>
          <w:color w:val="000000" w:themeColor="text1"/>
          <w:sz w:val="16"/>
          <w:szCs w:val="16"/>
        </w:rPr>
        <w:softHyphen/>
        <w:t>строен Ил-2 с задней оборонительной установкой УБШ конструкции КБ завода № 487 НКВ (Главный конструктор Шебанов) под пулемет УБТ. Боекомплект к пулемету был увеличен до 200 патронов (4 магазина по 50 патронов). Конструк</w:t>
      </w:r>
      <w:r w:rsidRPr="00070ADE">
        <w:rPr>
          <w:rFonts w:ascii="Times New Roman" w:hAnsi="Times New Roman"/>
          <w:color w:val="000000" w:themeColor="text1"/>
          <w:sz w:val="16"/>
          <w:szCs w:val="16"/>
        </w:rPr>
        <w:softHyphen/>
        <w:t>ция УБШ обеспечивала увеличенные, по сравнению с ВУБ-3, углы обстрела зад</w:t>
      </w:r>
      <w:r w:rsidRPr="00070ADE">
        <w:rPr>
          <w:rFonts w:ascii="Times New Roman" w:hAnsi="Times New Roman"/>
          <w:color w:val="000000" w:themeColor="text1"/>
          <w:sz w:val="16"/>
          <w:szCs w:val="16"/>
        </w:rPr>
        <w:softHyphen/>
        <w:t>ней полусферы: вверх - 57°, вправо - 32°, влево - 45° и вниз с бортов - 8° вправо и 2° влево.</w:t>
      </w:r>
    </w:p>
    <w:p w14:paraId="51C830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Всесторонние испытания модифици</w:t>
      </w:r>
      <w:r w:rsidRPr="00070ADE">
        <w:rPr>
          <w:rFonts w:ascii="Times New Roman" w:hAnsi="Times New Roman"/>
          <w:color w:val="000000" w:themeColor="text1"/>
          <w:sz w:val="16"/>
          <w:szCs w:val="16"/>
        </w:rPr>
        <w:softHyphen/>
        <w:t>рованного Ил-2 в НИИ АВ ВВС показа</w:t>
      </w:r>
      <w:r w:rsidRPr="00070ADE">
        <w:rPr>
          <w:rFonts w:ascii="Times New Roman" w:hAnsi="Times New Roman"/>
          <w:color w:val="000000" w:themeColor="text1"/>
          <w:sz w:val="16"/>
          <w:szCs w:val="16"/>
        </w:rPr>
        <w:softHyphen/>
        <w:t>ли, что УБШ не имеет явных преиму</w:t>
      </w:r>
      <w:r w:rsidRPr="00070ADE">
        <w:rPr>
          <w:rFonts w:ascii="Times New Roman" w:hAnsi="Times New Roman"/>
          <w:color w:val="000000" w:themeColor="text1"/>
          <w:sz w:val="16"/>
          <w:szCs w:val="16"/>
        </w:rPr>
        <w:softHyphen/>
        <w:t>ществ перед стоящей на вооружении ВУБ-3 и не повышает обороноспособ</w:t>
      </w:r>
      <w:r w:rsidRPr="00070ADE">
        <w:rPr>
          <w:rFonts w:ascii="Times New Roman" w:hAnsi="Times New Roman"/>
          <w:color w:val="000000" w:themeColor="text1"/>
          <w:sz w:val="16"/>
          <w:szCs w:val="16"/>
        </w:rPr>
        <w:softHyphen/>
        <w:t>ность Ил-2 со стороны верхней задней полусферы. К тому же уже стало ясно, что для эффективной обороны со сто</w:t>
      </w:r>
      <w:r w:rsidRPr="00070ADE">
        <w:rPr>
          <w:rFonts w:ascii="Times New Roman" w:hAnsi="Times New Roman"/>
          <w:color w:val="000000" w:themeColor="text1"/>
          <w:sz w:val="16"/>
          <w:szCs w:val="16"/>
        </w:rPr>
        <w:softHyphen/>
        <w:t>роны задней полусферы необходимо использовать как минимум 20-мм авиа</w:t>
      </w:r>
      <w:r w:rsidRPr="00070ADE">
        <w:rPr>
          <w:rFonts w:ascii="Times New Roman" w:hAnsi="Times New Roman"/>
          <w:color w:val="000000" w:themeColor="text1"/>
          <w:sz w:val="16"/>
          <w:szCs w:val="16"/>
        </w:rPr>
        <w:softHyphen/>
        <w:t>пушки. В силу этого был сделан вывод о нецелесообразности внедрения туре</w:t>
      </w:r>
      <w:r w:rsidRPr="00070ADE">
        <w:rPr>
          <w:rFonts w:ascii="Times New Roman" w:hAnsi="Times New Roman"/>
          <w:color w:val="000000" w:themeColor="text1"/>
          <w:sz w:val="16"/>
          <w:szCs w:val="16"/>
        </w:rPr>
        <w:softHyphen/>
        <w:t>ли УБШ в серийное производство, а 487-му заводу было рекомендовано устра</w:t>
      </w:r>
      <w:r w:rsidRPr="00070ADE">
        <w:rPr>
          <w:rFonts w:ascii="Times New Roman" w:hAnsi="Times New Roman"/>
          <w:color w:val="000000" w:themeColor="text1"/>
          <w:sz w:val="16"/>
          <w:szCs w:val="16"/>
        </w:rPr>
        <w:softHyphen/>
        <w:t>нить отмеченные недостатки, усилить вооружение путем установки 20-мм авиапушки М.Е.Березина УБ-20 и предъявить турель на повторные испы</w:t>
      </w:r>
      <w:r w:rsidRPr="00070ADE">
        <w:rPr>
          <w:rFonts w:ascii="Times New Roman" w:hAnsi="Times New Roman"/>
          <w:color w:val="000000" w:themeColor="text1"/>
          <w:sz w:val="16"/>
          <w:szCs w:val="16"/>
        </w:rPr>
        <w:softHyphen/>
        <w:t>тания (6467).</w:t>
      </w:r>
    </w:p>
    <w:p w14:paraId="07FA82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5E48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была еще одна попытка повысить оборонительные возможности Ил-2. Заводом № 30 был построен Ил-2 с оборонительной установкой УБШ конструкции Шебанова (завод № 487 НКВ). Боекомплект к УБТ включал 200 патронов в четырех магазинах.</w:t>
      </w:r>
    </w:p>
    <w:p w14:paraId="2C126E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Всесторонние испытания модифицированного Ил-2 в НИИ АВ ВВС показали, что УБШ не имеет явных преимуществ в сравнении с ВУБ-3. К тому же, установка имела недостаточную живучесть. В 7 полетах из 11 со стрельбой в воздухе были неустранимые в воздухе задержки в стрельбе. В силу этого, был сделан вывод о нецелесообразности внедрения турели УБШ в серийное производство (12020).</w:t>
      </w:r>
    </w:p>
    <w:p w14:paraId="5A20CC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75298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при контрольном испытании Ил-2 завода 30 N 304201 были достигнуты скорости 404 км/час у земли и 417 км/час на границе высотности (1823,28).</w:t>
      </w:r>
    </w:p>
    <w:p w14:paraId="76B346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ABDC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марта 1944 года завод № 45 параллельно с выпуском моторов АМ-38Ф включил в производство изготовление деталей и агрегатов дизеля АЧ-30Б. С сентября 1945 года выпуск моторов АМ-38Ф с производства снят и оставлен в производстве только дизель-мотор АЧ-30Б</w:t>
      </w:r>
    </w:p>
    <w:p w14:paraId="1A3AD3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Москва, Мейеровский пр., 14 (территория Б, В), территория А – Ткацкая ул.</w:t>
      </w:r>
    </w:p>
    <w:p w14:paraId="5DDBD0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Производственный профиль – моторный (9829).</w:t>
      </w:r>
    </w:p>
    <w:p w14:paraId="54C8D9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4A74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после установки нового мотора АМ-42 и отладки всех систем С.В.Ильюшин направил “...Заместителю Народного комиссара Авиационной промышленности товарищу Яковлеву А.С.” докладную записку, в которой указывал, что “...двухместный бронированный штурмовик Ил-10 с мотором АМ-42 готов к первому вылету, на что и прошу Вашего разрешения” (9649).</w:t>
      </w:r>
    </w:p>
    <w:p w14:paraId="1B5CAD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047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в процессе отработки программы государственных летных испытаний был выявлен ряд серьезных конструктивных и производственных дефектов установленного на самолете эк</w:t>
      </w:r>
      <w:r w:rsidRPr="00070ADE">
        <w:rPr>
          <w:rFonts w:ascii="Times New Roman" w:hAnsi="Times New Roman"/>
          <w:color w:val="000000" w:themeColor="text1"/>
          <w:sz w:val="16"/>
          <w:szCs w:val="16"/>
        </w:rPr>
        <w:softHyphen/>
        <w:t>земпляра АМ-42 (возгорание смеси во всасывающих патруб</w:t>
      </w:r>
      <w:r w:rsidRPr="00070ADE">
        <w:rPr>
          <w:rFonts w:ascii="Times New Roman" w:hAnsi="Times New Roman"/>
          <w:color w:val="000000" w:themeColor="text1"/>
          <w:sz w:val="16"/>
          <w:szCs w:val="16"/>
        </w:rPr>
        <w:softHyphen/>
        <w:t>ках, повышенный в 4—5 раз расход масла). Ни в одном из по</w:t>
      </w:r>
      <w:r w:rsidRPr="00070ADE">
        <w:rPr>
          <w:rFonts w:ascii="Times New Roman" w:hAnsi="Times New Roman"/>
          <w:color w:val="000000" w:themeColor="text1"/>
          <w:sz w:val="16"/>
          <w:szCs w:val="16"/>
        </w:rPr>
        <w:softHyphen/>
        <w:t>летов мотор нормально не работал. По этой причине летные характеристики Су-6 АМ-42 в полном объеме снять не уда</w:t>
      </w:r>
      <w:r w:rsidRPr="00070ADE">
        <w:rPr>
          <w:rFonts w:ascii="Times New Roman" w:hAnsi="Times New Roman"/>
          <w:color w:val="000000" w:themeColor="text1"/>
          <w:sz w:val="16"/>
          <w:szCs w:val="16"/>
        </w:rPr>
        <w:softHyphen/>
        <w:t>лось.</w:t>
      </w:r>
    </w:p>
    <w:p w14:paraId="677690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Су-6 АМ-42 при полетном весе 6200 кг на высоте 1000 м составила 508 км/ч, на высоте 2000 м — 519 км/ч. На высоту 1000 м самолет забирался за 2 мин.</w:t>
      </w:r>
    </w:p>
    <w:p w14:paraId="4A9308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испытаний крупнокалиберные пушки НС-37 были заменены стандартными пушками штурмовой авиации Крас</w:t>
      </w:r>
      <w:r w:rsidRPr="00070ADE">
        <w:rPr>
          <w:rFonts w:ascii="Times New Roman" w:hAnsi="Times New Roman"/>
          <w:color w:val="000000" w:themeColor="text1"/>
          <w:sz w:val="16"/>
          <w:szCs w:val="16"/>
        </w:rPr>
        <w:softHyphen/>
        <w:t>ной Армии — ВЯ-23 (боекомплект 240 снарядов). Вес пусто</w:t>
      </w:r>
      <w:r w:rsidRPr="00070ADE">
        <w:rPr>
          <w:rFonts w:ascii="Times New Roman" w:hAnsi="Times New Roman"/>
          <w:color w:val="000000" w:themeColor="text1"/>
          <w:sz w:val="16"/>
          <w:szCs w:val="16"/>
        </w:rPr>
        <w:softHyphen/>
        <w:t>го самолета стал — 4366 кг. Вес бомбовой нагрузки вырос до 600 кг (11474,433).</w:t>
      </w:r>
    </w:p>
    <w:p w14:paraId="05A884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024677" w14:textId="77777777" w:rsidR="00CD71E7" w:rsidRPr="00070ADE" w:rsidRDefault="00CD71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первый АМ-42Б построили для стен</w:t>
      </w:r>
      <w:r w:rsidRPr="00070ADE">
        <w:rPr>
          <w:rFonts w:ascii="Times New Roman" w:hAnsi="Times New Roman"/>
          <w:color w:val="000000" w:themeColor="text1"/>
          <w:sz w:val="16"/>
          <w:szCs w:val="16"/>
        </w:rPr>
        <w:softHyphen/>
        <w:t>довых испытаний и по их результатам записали впечатляющие па</w:t>
      </w:r>
      <w:r w:rsidRPr="00070ADE">
        <w:rPr>
          <w:rFonts w:ascii="Times New Roman" w:hAnsi="Times New Roman"/>
          <w:color w:val="000000" w:themeColor="text1"/>
          <w:sz w:val="16"/>
          <w:szCs w:val="16"/>
        </w:rPr>
        <w:softHyphen/>
        <w:t>спортные данные. Взлетная мощность по</w:t>
      </w:r>
      <w:r w:rsidRPr="00070ADE">
        <w:rPr>
          <w:rFonts w:ascii="Times New Roman" w:hAnsi="Times New Roman"/>
          <w:color w:val="000000" w:themeColor="text1"/>
          <w:sz w:val="16"/>
          <w:szCs w:val="16"/>
        </w:rPr>
        <w:softHyphen/>
        <w:t>лучилась 2000 л.с. при 2500 об/мин и над</w:t>
      </w:r>
      <w:r w:rsidRPr="00070ADE">
        <w:rPr>
          <w:rFonts w:ascii="Times New Roman" w:hAnsi="Times New Roman"/>
          <w:color w:val="000000" w:themeColor="text1"/>
          <w:sz w:val="16"/>
          <w:szCs w:val="16"/>
        </w:rPr>
        <w:softHyphen/>
        <w:t>дуве 1540 мм ртутного столба; на номина</w:t>
      </w:r>
      <w:r w:rsidRPr="00070ADE">
        <w:rPr>
          <w:rFonts w:ascii="Times New Roman" w:hAnsi="Times New Roman"/>
          <w:color w:val="000000" w:themeColor="text1"/>
          <w:sz w:val="16"/>
          <w:szCs w:val="16"/>
        </w:rPr>
        <w:softHyphen/>
        <w:t>ле у земли двигатель развил 1750 л.с. при 2350 об./мин и наддуве 1350 мм рт. ст., а на границе высотности 7500 м дол</w:t>
      </w:r>
      <w:r w:rsidRPr="00070ADE">
        <w:rPr>
          <w:rFonts w:ascii="Times New Roman" w:hAnsi="Times New Roman"/>
          <w:color w:val="000000" w:themeColor="text1"/>
          <w:sz w:val="16"/>
          <w:szCs w:val="16"/>
        </w:rPr>
        <w:softHyphen/>
        <w:t>жен был дать 1750 л.с. Включение фор</w:t>
      </w:r>
      <w:r w:rsidRPr="00070ADE">
        <w:rPr>
          <w:rFonts w:ascii="Times New Roman" w:hAnsi="Times New Roman"/>
          <w:color w:val="000000" w:themeColor="text1"/>
          <w:sz w:val="16"/>
          <w:szCs w:val="16"/>
        </w:rPr>
        <w:softHyphen/>
        <w:t>сажа путем вывода регулятора надду</w:t>
      </w:r>
      <w:r w:rsidRPr="00070ADE">
        <w:rPr>
          <w:rFonts w:ascii="Times New Roman" w:hAnsi="Times New Roman"/>
          <w:color w:val="000000" w:themeColor="text1"/>
          <w:sz w:val="16"/>
          <w:szCs w:val="16"/>
        </w:rPr>
        <w:softHyphen/>
        <w:t>ва на максимум поднимало боевую мощ</w:t>
      </w:r>
      <w:r w:rsidRPr="00070ADE">
        <w:rPr>
          <w:rFonts w:ascii="Times New Roman" w:hAnsi="Times New Roman"/>
          <w:color w:val="000000" w:themeColor="text1"/>
          <w:sz w:val="16"/>
          <w:szCs w:val="16"/>
        </w:rPr>
        <w:softHyphen/>
        <w:t>ность до 2000 л.с., а границу высотно</w:t>
      </w:r>
      <w:r w:rsidRPr="00070ADE">
        <w:rPr>
          <w:rFonts w:ascii="Times New Roman" w:hAnsi="Times New Roman"/>
          <w:color w:val="000000" w:themeColor="text1"/>
          <w:sz w:val="16"/>
          <w:szCs w:val="16"/>
        </w:rPr>
        <w:softHyphen/>
        <w:t>сти - до 9000 м. Хотя граница высотности по мощности получалась на 3000 м мень</w:t>
      </w:r>
      <w:r w:rsidRPr="00070ADE">
        <w:rPr>
          <w:rFonts w:ascii="Times New Roman" w:hAnsi="Times New Roman"/>
          <w:color w:val="000000" w:themeColor="text1"/>
          <w:sz w:val="16"/>
          <w:szCs w:val="16"/>
        </w:rPr>
        <w:softHyphen/>
        <w:t>ше, чем у АМ-39, запас в 570 л.с. давал надежду на преимущество АМ-42Б и выше этой отметки, потому Микоян и Гуревич новым мотором сразу заинтересовались.</w:t>
      </w:r>
    </w:p>
    <w:p w14:paraId="4355EF97" w14:textId="77777777" w:rsidR="00CD71E7" w:rsidRPr="00070ADE" w:rsidRDefault="00CD71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Пользуясь как основанием для начала работ вышедшими ранее и всё ещё дей</w:t>
      </w:r>
      <w:r w:rsidRPr="00070ADE">
        <w:rPr>
          <w:rFonts w:ascii="Times New Roman" w:hAnsi="Times New Roman"/>
          <w:color w:val="000000" w:themeColor="text1"/>
          <w:sz w:val="16"/>
          <w:szCs w:val="16"/>
        </w:rPr>
        <w:softHyphen/>
        <w:t>ствующими руководящими документами по стратосферным перехватчикам, однов</w:t>
      </w:r>
      <w:r w:rsidRPr="00070ADE">
        <w:rPr>
          <w:rFonts w:ascii="Times New Roman" w:hAnsi="Times New Roman"/>
          <w:color w:val="000000" w:themeColor="text1"/>
          <w:sz w:val="16"/>
          <w:szCs w:val="16"/>
        </w:rPr>
        <w:softHyphen/>
        <w:t>ременно с проектом И-224 (самолёт «4А») с двигателем АМ-39Б они начали делать самолёт «5А» - И-225 АМ-42Б (23586).</w:t>
      </w:r>
    </w:p>
    <w:p w14:paraId="52D53BB6" w14:textId="77777777" w:rsidR="00CD71E7" w:rsidRPr="00070ADE" w:rsidRDefault="00CD71E7" w:rsidP="00B56F90">
      <w:pPr>
        <w:spacing w:after="0" w:line="240" w:lineRule="auto"/>
        <w:jc w:val="both"/>
        <w:rPr>
          <w:rFonts w:ascii="Times New Roman" w:hAnsi="Times New Roman"/>
          <w:color w:val="000000" w:themeColor="text1"/>
          <w:sz w:val="16"/>
          <w:szCs w:val="16"/>
        </w:rPr>
      </w:pPr>
    </w:p>
    <w:p w14:paraId="2CDD1DCA" w14:textId="3ADFD901"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марта 1944 года Су-8 2М-71 проходил заводские испытания. С учетом требований войны вместо 37-мм пушек и пулеметов УБК под фюзеляжем установили четыре пушки НС-45 калибра 45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Остальной состав вооружения остался без изменений. Вес нормальной бомбовой нагрузки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600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(в перегрузку 1400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Допускалась подвеска трех бомб калибра 250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либо двух бомб калибра 500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w:t>
      </w:r>
    </w:p>
    <w:p w14:paraId="39CC98CA" w14:textId="1145499A"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Схема бронирования обеспечивала защиту от огня крупнокалиберных пулеметов: летчика, стрелка-радиста, моторов (не забронированы только цилиндры), крыльевых бензобаков, маслобаков, маслорадиаторов и цилиндров винтов. Спереди летчика защищали бронестекла толщиной 64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Общий вес брони на самолете достигал 1680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w:t>
      </w:r>
    </w:p>
    <w:p w14:paraId="790E3F04" w14:textId="2D1C95CA"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При нормальном полетном весе 12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413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(600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 максимальная скорость полета составила 500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у земли и 550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на высоте 4600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Время подъема на высоту 4000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7,26</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мин. Дальность полета на высоте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(скорость 335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 (в перегрузку 1500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w:t>
      </w:r>
    </w:p>
    <w:p w14:paraId="32948127" w14:textId="77777777" w:rsidR="008E2CE5" w:rsidRPr="00070ADE" w:rsidRDefault="008E2CE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Заводские испытания самолета Су-8 продолжались с небольшими перерывами до весны 1945 года. На государственные испытания самолет не предъявлялся (17490).</w:t>
      </w:r>
    </w:p>
    <w:p w14:paraId="062B8306" w14:textId="77777777" w:rsidR="008E2CE5" w:rsidRPr="00070ADE" w:rsidRDefault="008E2CE5" w:rsidP="00B56F90">
      <w:pPr>
        <w:spacing w:after="0" w:line="240" w:lineRule="auto"/>
        <w:jc w:val="both"/>
        <w:rPr>
          <w:rFonts w:ascii="Times New Roman" w:eastAsia="Times New Roman" w:hAnsi="Times New Roman"/>
          <w:color w:val="000000" w:themeColor="text1"/>
          <w:sz w:val="16"/>
          <w:szCs w:val="16"/>
          <w:lang w:eastAsia="ru-RU"/>
        </w:rPr>
      </w:pPr>
    </w:p>
    <w:p w14:paraId="4E4E26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С.В.Ильюшин утвердил компоновку и общий вид двухмоторного Ил-12 с дизелями АЧ-31. Началось эскизное проектирование, полностью подчиненное стремлению создать высоконадежный и безопасный авиалайнер. При этом особое внимание уделялось отработке совместно с ЦАГИ аэродинамической компоновки крыла, принятию мер по обеспечению длительного полета на одном двигателе.</w:t>
      </w:r>
    </w:p>
    <w:p w14:paraId="271820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Основой экономической эффективности и безопасности полета пассажирского самолета является высокое аэродинамическое совершенство его крыла. Оно характеризуется не только величиной максимального аэродинамического качества, достижение которого само но себе является одной из труднейших задач проектирования. Большое значение имеют и особенности обтекания крыла на различных режимах полета, прежде всего, на так называемых околокритических углах атаки, когда происходит возникновение и развитие срыва потока с поверхности крыла, особенно на его концах. Резкий срыв потока с концевых частей крыла при полете на больших углах атаки может привести к потере поперечной управляемости из-за уменьшения эффективности элеронов. Если же концевые срывы по каким-либо причинам развиваются несимметрично, например из-за недостаточно точного соблюдения в производстве заданных теоретических контуров, то на больших углах атаки возникает поперечная неустойчивость и повышается вероятность сваливания на крыло с последующим самопроизвольным переходом в штопор, что для авиалайнера совершенно недопустимо.</w:t>
      </w:r>
    </w:p>
    <w:p w14:paraId="63B476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целью создания для Ил-12 крыла с высоким аэродинамическим совершенством на всех эксплуатационных режимах, в ЦАГИ и ОКБ провели обширные теоретические и экспериментальные исследования различных аэродинамических компоновок крыльев и на их основе создали крыло большого удлинения и умеренного сужения с безотрывным обтеканием концевых частей.</w:t>
      </w:r>
    </w:p>
    <w:p w14:paraId="1D2742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Особенность аэродинамической компоновки крыла Ил-12 заключалась и в том, что, в отличие от других авиалайнеров того времени, крыло спроектировали не для максимальных, а для крейсерских скоростей полета (несущие свойства в наибольшей степени реализовывались на крейсерской скорости). В сочетании со специально подобранными воздушными винтами, максимальный КПД которых также соответствовал режиму крейсерской скорости, это обеспечивало Ил-12 большую путевую скорость и высокую экономическую эффективность.</w:t>
      </w:r>
    </w:p>
    <w:p w14:paraId="062700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Достижение высокого аэродинамического совершенства при проектировании еще не решало полностью проблему безопасности полета. Добиваться нужно было и того, чтобы самолет мог выполнять длительный полет с полной коммерческой нагрузкой при отказе одного двигателя. В СССР эту задачу впервые решили при создании Ил-12. Одновременно приняли меры но обеспечению безотказной работы в этих условиях всех основных систем, пилотажно-навигационного и радиосвязного оборудования самолета.</w:t>
      </w:r>
    </w:p>
    <w:p w14:paraId="215786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Безопасность и регулярность полетов, а следовательно, и экономическая эффективность пассажирского самолета средних высот, каким на этапе эскизного проектирования стал Ил-12, во многом зависят от надежно работающей и простой в эксплуатации противообледенительной системы. В 1944 г. основным типом проти-вообледенительного устройства для защиты передних кромок крыла и оперения на пассажирских самолетах 1 был механический противообледенитель американской фирмы “Гудрич”. Широко применявшийся на самолетах ПС-84, ОС-3 п С-47, он представлял собой наклеенные на переднюю кромку крыла и стабилизатора резиновые протекторы. Внутри них располагались воздушные камеры, куда при обледенении попеременно поступал и выпускался сжатый воздух от установленных на двигателях компрессоров. На других самолетах применялись тепловые противообледенительные системы с использованием в качестве источников тепла автономных подогревателей - так называемых бензиновых печей.</w:t>
      </w:r>
    </w:p>
    <w:p w14:paraId="35D872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С.В.Ильюшин принял решение сосредоточить основные усилия на создании для Ил-12 противообледенительной системы с использованием выхлопных газов, конструктивно более простой по сравнению с механической системой типа “Гудрич” и значительно более пожаробезопасной, чем бензиновые подогреватели. На Ил-12 противообледенительная система предусматривала непосредственный обогрев обшивки носовой части крыла выхлопными газами в смеси с наружным воздухом. Предусматривалась защита от обледенения и других частей самолета.</w:t>
      </w:r>
    </w:p>
    <w:p w14:paraId="4BBBC5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Особое внимание при проектировании Ил-12 уделили пожарной безопасности: приняли все меры по исключению каких бы то ни было течей топлива и масла. Предполагавшаяся установка дизелей с керосином в качестве основного топлива потребовала от проектировщиков особенно тщательной герметизации топли-вопроводов, т.к. при малейшей течи медленно испаряющийся керосин не только пропитывал все окружающие конструктивные элементы, но и распространялся по самолету, создавая огромную потенциальную угрозу пожара. Опыт проектирования и эксплуатации Ил-6 с дизелями, на котором в ОКБ отработали новые приемы герметизации трубопроводов керосиновой топливной системы, помог справиться и с этой проблемой. Кроме профилактических мер, на Ил-12 предусматривалась установка различных систем пожаротушения как в мотогондолах, так и в пассажирском салоне (9528).</w:t>
      </w:r>
    </w:p>
    <w:p w14:paraId="7D828C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5837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С.В.Ильюшин утвердил компоновку и общий вид самолета Ил-12 с двумя дизелями АЧ-31. В ходе дальнейшего проектирования особое внимание уделялось обеспечению безопасности полетов, и в частности возможности продолжать взлет при отказе одного двигателя. Для этого потребовалось создать систему охлаждения, которая обеспечила работу исправного мотора на повышенных режимах в течение достаточно продолжительного времени и при небольшой скорости полета (до 180 км/ч). Разработчики Ил-12 также предприняли все возможные меры для усиления пожарной безопасности своего детища. Для этого была предусмотрена установка в мотогондолах и пассажирской кабине различных быстродействующих огнегасящих средств и предпринят комплекс мер для предотвращения течи топлива и масла.</w:t>
      </w:r>
    </w:p>
    <w:p w14:paraId="175CB1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Важнейшее значение для пассажирского самолета, работающего на средних высотах, приобрела противообледени-тельная система (ПОС). От ее надежности зависела не только безопасность, но и регулярность полетов, а следовательно, экономическая эффективность лайнера. Ильюшин отказался от применения наиболее распространенной в то время механической ПОС типа "Гудрич”" и решил разрабатывать тепловую систему, основанную на использовании выхлопных газов. Для этого их следовало подать от двигателей во внутреннюю полость носка крыла. Однако выхлопные газы были слишком горячими и могли воздействовать на конструкцию самолета самым фатальным образом. Решением этой проблемы стала созданная в ОКБ система, в которой газы охлаждались до приемлемого уровня, смешиваясь с наружным воздухом, и по стальным коробам подавались в крыло. Эта система применялась, напоимер, на DC-3. Она представляла собой резиновый протектоо. наклеенный на переднюю кромку крыла и оперения. внутри которого находились воздушные камеры. При обледенении камеры надувались. и лед скалывался. Однако такая система обладала относительно невысокими ресурсом и надежностью, а также негативно влияла на аэродинамику самолета (5156).</w:t>
      </w:r>
    </w:p>
    <w:p w14:paraId="5A23A9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34B3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Сначала Ил-12 был задуман 4-х двигательный, но в марте 1944 стали работать над двухдвигательным вариантом под АЧ-31 (24,352).</w:t>
      </w:r>
    </w:p>
    <w:p w14:paraId="71C4B9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0B93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С.В.И. утвердил компоновку и общий вид двухдвигательного варианта Ил-12 с дизельными двигателями АЧ-31 жидкостного охлаждения (3846,19).</w:t>
      </w:r>
    </w:p>
    <w:p w14:paraId="0E35A2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C5C468" w14:textId="77777777" w:rsidR="006419F3" w:rsidRPr="00C94B78" w:rsidRDefault="006419F3"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марте 1944 г. Ильюшин утвердил компоновку и общий вид двухдвигательного Ил-12. Разработка авиалайнера в основном завершилась в октябре того же года. Техни</w:t>
      </w:r>
      <w:r w:rsidRPr="00C94B78">
        <w:rPr>
          <w:rStyle w:val="aff1"/>
          <w:rFonts w:ascii="Times New Roman" w:hAnsi="Times New Roman" w:cs="Times New Roman"/>
          <w:color w:val="0070C0"/>
          <w:spacing w:val="0"/>
          <w:sz w:val="16"/>
          <w:szCs w:val="16"/>
        </w:rPr>
        <w:softHyphen/>
        <w:t>ческая готовность машины, как следует из отчета завода № 240, к 1 января 1945 года составила 30 процентов. Вто</w:t>
      </w:r>
      <w:r w:rsidRPr="00C94B78">
        <w:rPr>
          <w:rStyle w:val="aff1"/>
          <w:rFonts w:ascii="Times New Roman" w:hAnsi="Times New Roman" w:cs="Times New Roman"/>
          <w:color w:val="0070C0"/>
          <w:spacing w:val="0"/>
          <w:sz w:val="16"/>
          <w:szCs w:val="16"/>
        </w:rPr>
        <w:softHyphen/>
        <w:t>рой экземпляр Ил- 12 с герметичной кабиной из-за отсут</w:t>
      </w:r>
      <w:r w:rsidRPr="00C94B78">
        <w:rPr>
          <w:rStyle w:val="aff1"/>
          <w:rFonts w:ascii="Times New Roman" w:hAnsi="Times New Roman" w:cs="Times New Roman"/>
          <w:color w:val="0070C0"/>
          <w:spacing w:val="0"/>
          <w:sz w:val="16"/>
          <w:szCs w:val="16"/>
        </w:rPr>
        <w:softHyphen/>
        <w:t>ствия в заводских цехах свободной площади не строился (25091).</w:t>
      </w:r>
    </w:p>
    <w:p w14:paraId="5C0CA199" w14:textId="77777777" w:rsidR="006419F3" w:rsidRPr="00C94B78" w:rsidRDefault="006419F3" w:rsidP="00B56F90">
      <w:pPr>
        <w:spacing w:after="0" w:line="240" w:lineRule="auto"/>
        <w:jc w:val="both"/>
        <w:rPr>
          <w:rFonts w:ascii="Times New Roman" w:hAnsi="Times New Roman"/>
          <w:color w:val="0070C0"/>
          <w:sz w:val="16"/>
          <w:szCs w:val="16"/>
        </w:rPr>
      </w:pPr>
    </w:p>
    <w:p w14:paraId="4CF52130"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марте 1944 года вышло постановление ГКО, в соответствии с которым на заводе № 22 постро</w:t>
      </w:r>
      <w:r w:rsidRPr="00C94B78">
        <w:rPr>
          <w:rFonts w:ascii="Times New Roman" w:hAnsi="Times New Roman"/>
          <w:color w:val="0070C0"/>
          <w:sz w:val="16"/>
          <w:szCs w:val="16"/>
        </w:rPr>
        <w:softHyphen/>
        <w:t>или самолет для спецрейсов Пе-8 № 42712 с дизельными двигателями АЧ-30Б в пассажир</w:t>
      </w:r>
      <w:r w:rsidRPr="00C94B78">
        <w:rPr>
          <w:rFonts w:ascii="Times New Roman" w:hAnsi="Times New Roman"/>
          <w:color w:val="0070C0"/>
          <w:sz w:val="16"/>
          <w:szCs w:val="16"/>
        </w:rPr>
        <w:softHyphen/>
        <w:t>ском варианте. Внешне он отличался от серийных машин отсутствием на фюзеляже турели ТАТ и увеличенной за счет форкиля площадью вертикального оперения. В фюзеляжной части (в районе центроплана) располагалась спальная кабина для трех человек, за ней (в Ф-3) - пассажирская на двенадцать мест с креслами типа устанавливавшихся на Ли-2, в хво</w:t>
      </w:r>
      <w:r w:rsidRPr="00C94B78">
        <w:rPr>
          <w:rFonts w:ascii="Times New Roman" w:hAnsi="Times New Roman"/>
          <w:color w:val="0070C0"/>
          <w:sz w:val="16"/>
          <w:szCs w:val="16"/>
        </w:rPr>
        <w:softHyphen/>
        <w:t>стовой - туалетная комната. В бортах фюзеляжа появились иллюминаторы. Грузовые отсеки использовали для багажа.</w:t>
      </w:r>
    </w:p>
    <w:p w14:paraId="73071C21"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Воздушные винты и стекла кабин пилотов оснащались антиобледенительными устройствами. Для пассажиров на случай полета на большой высоте предназначались четыре кислородных баллона общей емкостью сорок литров и легочные автоматы КП-12. Вооружение состояло из носовой, кормовой и шассийных стрелковых установок. Бомбар</w:t>
      </w:r>
      <w:r w:rsidRPr="00C94B78">
        <w:rPr>
          <w:rFonts w:ascii="Times New Roman" w:hAnsi="Times New Roman"/>
          <w:color w:val="0070C0"/>
          <w:sz w:val="16"/>
          <w:szCs w:val="16"/>
        </w:rPr>
        <w:softHyphen/>
        <w:t>дировочное вооружение было полностью снято.</w:t>
      </w:r>
    </w:p>
    <w:p w14:paraId="72CF1B31"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итоге вес пустого самолета на 1362 кг превысил расчетный. В то же время согласно расчетам ожидалось при максимальном взлетном весе 35 500 кг достигнуть дальности полета 5600 км. Однако в ходе государственных испытаний, завершившихся в мае 1945 года, из-за постоянного выброса масла и недоведенности маслосистемы дальность беспосадоч</w:t>
      </w:r>
      <w:r w:rsidRPr="00C94B78">
        <w:rPr>
          <w:rFonts w:ascii="Times New Roman" w:hAnsi="Times New Roman"/>
          <w:color w:val="0070C0"/>
          <w:sz w:val="16"/>
          <w:szCs w:val="16"/>
        </w:rPr>
        <w:softHyphen/>
        <w:t>ного полета определить не удалось. Отмечалось также неудобное расположение навигаци</w:t>
      </w:r>
      <w:r w:rsidRPr="00C94B78">
        <w:rPr>
          <w:rFonts w:ascii="Times New Roman" w:hAnsi="Times New Roman"/>
          <w:color w:val="0070C0"/>
          <w:sz w:val="16"/>
          <w:szCs w:val="16"/>
        </w:rPr>
        <w:softHyphen/>
        <w:t>онных приборов и оборудования в кабине штурмана (24991).</w:t>
      </w:r>
    </w:p>
    <w:p w14:paraId="0E5314B9" w14:textId="77777777" w:rsidR="00202698" w:rsidRPr="00C94B78" w:rsidRDefault="00202698" w:rsidP="00B56F90">
      <w:pPr>
        <w:spacing w:after="0" w:line="240" w:lineRule="auto"/>
        <w:jc w:val="both"/>
        <w:rPr>
          <w:rFonts w:ascii="Times New Roman" w:hAnsi="Times New Roman"/>
          <w:color w:val="0070C0"/>
          <w:sz w:val="16"/>
          <w:szCs w:val="16"/>
        </w:rPr>
      </w:pPr>
    </w:p>
    <w:p w14:paraId="1014E2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в НИИ ВВС П.Стефановский закончил гос. испытания серийного Пе-2 М-82 N 1/232, которые проходили с января 1944. Не оценили (2205,41).</w:t>
      </w:r>
    </w:p>
    <w:p w14:paraId="0C4C83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500B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марте 1944 г. серийный самолет Пе-2 с М-82 закончил испытания в НИИ ВВС, которые шли с января, причем это был не зав. № 1/226 (на нем входе заводских испытаний на одном из моторов оборвался шатун, и самолет вышел из строя), а машина зав. № 1/232. Из-за неудовлетворительной работы карбюраторов и высотных корректоров двигатели на высоте более 3000-4000 м не развивали полную мощность, поэтому максимальная скорость самолета на второй границе высотности </w:t>
      </w:r>
      <w:r w:rsidRPr="00070ADE">
        <w:rPr>
          <w:rFonts w:ascii="Times New Roman" w:hAnsi="Times New Roman"/>
          <w:color w:val="000000" w:themeColor="text1"/>
          <w:sz w:val="16"/>
          <w:szCs w:val="16"/>
        </w:rPr>
        <w:lastRenderedPageBreak/>
        <w:t>оказалась меньше, чем на первой границе (526 км/ч). Летчик-испытатель генерал- майор авиации П.М. Стефановский в донесении об облете серийного Пе-2 с М-82 написал:</w:t>
      </w:r>
    </w:p>
    <w:p w14:paraId="0FDB6D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"Положительным качеством данного самолета является возможность производить полеты на одном моторе с полетным весом 8300 кг как с убранными, так и с выпущенными шасси... Глиссада планирования за счет больших оборотов моторов с убранным газом несколько более пологая... В остальном самолет остается таким же сложным и неудобным для экипажа, как и серийные самолеты Пе-2 с М-105ПФ".</w:t>
      </w:r>
    </w:p>
    <w:p w14:paraId="6FFD95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Основными причинами, сдерживавшими серийный выпуск Пе-2 с моторами воздушного охлаждения, оказались очень низкое качество маслорадиаторов и дефицитность самих двигателей, прежний резерв которых "съели" истребители Ла-5. Остается загадкой, как мог Государственный Комитет Обороны планировать массовый выпуск "пешек" с М-82, если их не хватало даже для самолетов Лавочкина (12042).</w:t>
      </w:r>
    </w:p>
    <w:p w14:paraId="6E4C82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8351E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в НИИ ВВС были проведены испытания самолета Ту-2 N 716 с увеличенными килями. На испытаниях была подобрана площадь килей, обеспечивающая самолету Ту-2 хорошую путевую устойчивость. Увеличенное вертикальное оперение рекомендовано для серийных самолетов (1821).</w:t>
      </w:r>
    </w:p>
    <w:p w14:paraId="78D307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D395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ОКБ А.Н.Т. окончило исследовательские работы в ходе испытаний машины N 716 с увеличенной площадью вертикального оперения, которые начались с февраля. Рекомендовали в серию (1835,32).</w:t>
      </w:r>
    </w:p>
    <w:p w14:paraId="1A2CDD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49B1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состоялись контрольные гос. испытания в НИИ ВВС Ту-2 с АШ-82ФН N 18/11. Макс. скорость 482 км/час у земли и 549 км/час на 5400 м (1880,168).</w:t>
      </w:r>
    </w:p>
    <w:p w14:paraId="141BDF2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4DAC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C марта 1944 по июль 1945 проводились испытания ДВБ-102 с М-71 и ТК-3 (4,192).</w:t>
      </w:r>
    </w:p>
    <w:p w14:paraId="1ACE15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08E6F5" w14:textId="77777777" w:rsidR="008E2CE5" w:rsidRPr="00070ADE" w:rsidRDefault="008E2CE5" w:rsidP="00B56F90">
      <w:pPr>
        <w:pStyle w:val="a3"/>
        <w:rPr>
          <w:color w:val="000000" w:themeColor="text1"/>
          <w:lang w:val="ru-RU"/>
        </w:rPr>
      </w:pPr>
      <w:r w:rsidRPr="00070ADE">
        <w:rPr>
          <w:color w:val="000000" w:themeColor="text1"/>
          <w:lang w:val="ru-RU"/>
        </w:rPr>
        <w:t>В марте 1944 г. выполнили установку новых моторов, наземную отработку «от</w:t>
      </w:r>
      <w:r w:rsidRPr="00070ADE">
        <w:rPr>
          <w:color w:val="000000" w:themeColor="text1"/>
          <w:lang w:val="ru-RU"/>
        </w:rPr>
        <w:softHyphen/>
        <w:t>гоняли» в апреле, так что в мае ДВБ-102 снова мог летать.</w:t>
      </w:r>
    </w:p>
    <w:p w14:paraId="43914129" w14:textId="77777777" w:rsidR="008E2CE5" w:rsidRPr="00070ADE" w:rsidRDefault="008E2CE5" w:rsidP="00B56F90">
      <w:pPr>
        <w:pStyle w:val="a3"/>
        <w:rPr>
          <w:color w:val="000000" w:themeColor="text1"/>
          <w:lang w:val="ru-RU"/>
        </w:rPr>
      </w:pPr>
      <w:r w:rsidRPr="00070ADE">
        <w:rPr>
          <w:color w:val="000000" w:themeColor="text1"/>
          <w:lang w:val="ru-RU"/>
        </w:rPr>
        <w:t>Для выполнения полетов была назна</w:t>
      </w:r>
      <w:r w:rsidRPr="00070ADE">
        <w:rPr>
          <w:color w:val="000000" w:themeColor="text1"/>
          <w:lang w:val="ru-RU"/>
        </w:rPr>
        <w:softHyphen/>
        <w:t>чена бригада в составе летчика-испыта- теля Ф.Ф. Опадчего и ведущего инженера А.В. Лурье от завода, от ЛИИ НКАП - лет</w:t>
      </w:r>
      <w:r w:rsidRPr="00070ADE">
        <w:rPr>
          <w:color w:val="000000" w:themeColor="text1"/>
          <w:lang w:val="ru-RU"/>
        </w:rPr>
        <w:softHyphen/>
        <w:t>чика И.И. Шунейко и инженера Н.И. Квитко, от НИИ ВВС - летчика В.И. Жданова, штур</w:t>
      </w:r>
      <w:r w:rsidRPr="00070ADE">
        <w:rPr>
          <w:color w:val="000000" w:themeColor="text1"/>
          <w:lang w:val="ru-RU"/>
        </w:rPr>
        <w:softHyphen/>
        <w:t>мана Н.П. Цветкова, ведущего инженера М.И. Ефимова и инженера по силовой установке А.Ф. Абашина (17739).</w:t>
      </w:r>
    </w:p>
    <w:p w14:paraId="367D9AFC" w14:textId="77777777" w:rsidR="008E2CE5" w:rsidRPr="00070ADE" w:rsidRDefault="008E2CE5" w:rsidP="00B56F90">
      <w:pPr>
        <w:spacing w:after="0" w:line="240" w:lineRule="auto"/>
        <w:jc w:val="both"/>
        <w:rPr>
          <w:rFonts w:ascii="Times New Roman" w:eastAsia="Times New Roman" w:hAnsi="Times New Roman"/>
          <w:color w:val="000000" w:themeColor="text1"/>
          <w:sz w:val="16"/>
          <w:szCs w:val="16"/>
          <w:lang w:eastAsia="ru-RU"/>
        </w:rPr>
      </w:pPr>
    </w:p>
    <w:p w14:paraId="050007AD" w14:textId="77777777" w:rsidR="00CD71E7" w:rsidRPr="00070ADE" w:rsidRDefault="00CD71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доработку самолета ДВБ-102 М-71Ф закончили, и он вновь был передан на СГИ.</w:t>
      </w:r>
    </w:p>
    <w:p w14:paraId="6D331E82" w14:textId="77777777" w:rsidR="00CD71E7" w:rsidRPr="00070ADE" w:rsidRDefault="00CD71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испытаний доработанного самолета была назначена бригада в составе летчика-испытателя Ф.Ф. Опадчего и ведущего инженера А.В. Лурье, от ЛИИ НКАП – летчика И.И. Шунейко и инженера Н.И. Квитко, от НИИ ВВС – летчика В.И. Жданова, штурмана Н.П. Цветкова, ведущего инженера М.И. Ефимова и инженера по силовой установке А.Ф. Абашина.</w:t>
      </w:r>
    </w:p>
    <w:p w14:paraId="5D2656F0" w14:textId="77777777" w:rsidR="00CD71E7" w:rsidRPr="00070ADE" w:rsidRDefault="00CD71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Двигатели М-71Ф, формально серийные, прошедшие 50-часовые испытания, работали крайне ненадежно, их постоянно меняли, причем 19-й завод не всегда мог поставить очередную пару с турбокомпрессорами. Машина летала то с М-71 в базовом варианте, то с форсированными М-71Ф, но все они были невысотными.</w:t>
      </w:r>
    </w:p>
    <w:p w14:paraId="22E21CD1" w14:textId="77777777" w:rsidR="00CD71E7" w:rsidRPr="00070ADE" w:rsidRDefault="00CD71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июля 1945 года при выполнении полета на определение границ высотности на 1-й и 2-й скоростях ПЦН на высоте 4200 м разрушились шатуны левого двигателя, Хотя самолет нормально сел, испытания были прерваны. Заменить двигатель оказалось нечем, так как производство их завод №19 прекратил (23552).</w:t>
      </w:r>
    </w:p>
    <w:p w14:paraId="5778396B" w14:textId="77777777" w:rsidR="00CD71E7" w:rsidRPr="00070ADE" w:rsidRDefault="00CD71E7" w:rsidP="00B56F90">
      <w:pPr>
        <w:spacing w:after="0" w:line="240" w:lineRule="auto"/>
        <w:jc w:val="both"/>
        <w:rPr>
          <w:rFonts w:ascii="Times New Roman" w:hAnsi="Times New Roman"/>
          <w:color w:val="000000" w:themeColor="text1"/>
          <w:sz w:val="16"/>
          <w:szCs w:val="16"/>
        </w:rPr>
      </w:pPr>
    </w:p>
    <w:p w14:paraId="0BAF8E4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на заводе № 39 построили восемнадцать Ер-2 и пятнадцать Ил-4. В июле 1944 г. было построено тридцать Ер-2 параллельно с последними десятью Ил-4.</w:t>
      </w:r>
    </w:p>
    <w:p w14:paraId="68F17C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со своим предшественником, дизельный образец Ер-2 внешне отличался более вытянутыми обводами фюзеляжа, роговой компенсацией рулей поворота, большими колесами, несколько измененной конструкцией жалюзей тоннельных радиаторов и, соответственно, крыла (на носках консолей появились характерные "стаканчики").</w:t>
      </w:r>
    </w:p>
    <w:p w14:paraId="1345043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Иркутский вариант Ер-2 имел увеличенную взлетную массу и площадь крыла, усиленное оборонительное вооружение, состоявшее из двух крупнокалиберных пулеметов УБТ и УБК, а также пушки ШВАК на ту- рельной установке ТУМ-5. Максимальная бомбовая нагрузка возросла до 5000 кг, сделав Ер-2 самым мощным двухмоторным бомбардировщиком отечественной постройки.</w:t>
      </w:r>
    </w:p>
    <w:p w14:paraId="59C0AD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Строившиеся серийные самолеты отнюдь не были "близнецами" и между собой. Так длительная и сложная технология изготовления эллипсовидной носовой части и, соответственно, жесткие требования к сборочной оснастке и геометрическим контурам, побудили конструкторов изменить обводы штурманской кабины.</w:t>
      </w:r>
    </w:p>
    <w:p w14:paraId="4FCC94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 разработан вариант "со спрямленным носом", позволявший, в частности, упростить и ускорить изготовление остекления. Аэродинамика при этом не ухудшилась. Комплект упрощенных стапелей запустили в производство параллельно с уже использующейся старой оснасткой. Самолет, в зависимости от того, на какую линию сборки он попадал, мог получить разные носовые части. Таким образом, различия в иркутских машинах, которые можно видеть на сохранившихся фотоснимках, объясняются этой причиной, а не временем выпуска и серией машины. Например, уже среди первых 22 иркутских Ер-2 с симметричной кабиной пилота, часть самолетов имела новую носовую часть.</w:t>
      </w:r>
    </w:p>
    <w:p w14:paraId="767C7C0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Поскольку еще в начале войны опыт использования самолетов ДБ-3, Ил-4 и Ер-2 в составе АДД выявил необходимость иметь в составе экипажа дальнего бомбардировщика второго летчика, возобновление производства Ер-2 дало благоприятную возможность реализовать это требование. Ранее были разработаны два варианта двухместной кабины: в первом - летчики сидели друг за другом по схеме "таtщем ", под доработа11 - ным ассиметричным фонарем, во втором - их кресла стояли рядом, боковое обзорное остекление правого борта устранялось и самолет оснащался классическим фонарем (этот вариант В.Г. Ермолаев и утвердил 18 ноября 1943 г.).</w:t>
      </w:r>
    </w:p>
    <w:p w14:paraId="20B0369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Варианты самолета имели, соответственно, наименования Ер-1 и Ер-2, что вносило путаницу в директивную конструкторско-тех- нологическую документацию. В производстве еще находился исходный "одноместный" бомбардировщик Ер-2, а службам подготовки уже стала поступать документация на "двухместный" Ер-1, потом на "двухместный" Ер-2!</w:t>
      </w:r>
    </w:p>
    <w:p w14:paraId="232B5BD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Когда же дошла директива "о приостановке работ над самолетом "Ер-1", руководство завода, для наведения ясности "в обозначении производимых изделий", временно ввело для "внутреннего пользования" свои индексы. Исходный "одноместный" бомбардировщик с асимметричной кабиной именовался Ер-2/1, новый, "двухместный" - Ер-2/2. Позже, когда в производстве остался только самолет с двумя летчиками, надобность в этих индексах отпала и вернулись к первоначальному обозначению Ер-2.</w:t>
      </w:r>
    </w:p>
    <w:p w14:paraId="516EC2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Бомбардировщик нравился строевым летчикам за его удобную кабину с отличным обзором, хорошую устойчивость и легкость в управлении, высокую живучесть, значительно возросшие возможности стрелкового и бомбового вооружения. Иркутские "Ермошки" интенсивно использовались на северо-западном и прибалтийском направлениях. В частности, своими крупнокалиберными бомбами они внесли существенный вклад в успех штурма Кенигсберга.</w:t>
      </w:r>
    </w:p>
    <w:p w14:paraId="2126F8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Дизельные двигатели АЧ-ЗОБ, официально считавшимися вполне надежными для серии, не переставали подбрасывать проблемы. Выходила из строя масляная система, прогорали поршневые кольца и т.п. Но зачастую причинами отказов были отнюдь не конструктивные дефекты. Для многих двигателей использовался металл, содержащий некачественные заменители дефицитных легирующих добавок, доставлявшихся из-за рубежа. "Эрзац" не выдерживал иногда даже штатной "напряженной" работы, не говоря уже о форсированных режимах... Это явилось причиной некоторых аварий на перегонах Ер-2 в строевые части, а также ряда вынужденных посадок на заводских испытаниях.</w:t>
      </w:r>
    </w:p>
    <w:p w14:paraId="6F1E7C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Например, на опытной машине, оснащенной флюгерными винтами, предполагалось проверить их работу при отключаемых двигателях. Новый вариант Ер-2 испытывал экипаж завода № 39 - летчик И.П. Яшин, контрольный бортмеханик П.Ф. Крейсик и бортрадист В.И. Кишкин. В воздухе левый дизель "решил играть честно" - масляная система вышла из строя и флюгировать винт пришлось в реальной аварийной ситуации. С одним работающим двигателем возникла резкая тряска и экипажу была дана команда покинуть самолет, но Яшин и Крейсик, предупредив радиста, дотянули все-таки до заводского аэродрома (12037).</w:t>
      </w:r>
    </w:p>
    <w:p w14:paraId="7FA4E0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93EA6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сложился облик ББ Н.Н.П. Взлетный вес са</w:t>
      </w:r>
      <w:r w:rsidRPr="00070ADE">
        <w:rPr>
          <w:rFonts w:ascii="Times New Roman" w:hAnsi="Times New Roman"/>
          <w:color w:val="000000" w:themeColor="text1"/>
          <w:sz w:val="16"/>
          <w:szCs w:val="16"/>
        </w:rPr>
        <w:softHyphen/>
        <w:t>молета составлял 26 т, площадь крыла - 100 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 размах -24,5 м, четыре двигателя должны были обеспечить до</w:t>
      </w:r>
      <w:r w:rsidRPr="00070ADE">
        <w:rPr>
          <w:rFonts w:ascii="Times New Roman" w:hAnsi="Times New Roman"/>
          <w:color w:val="000000" w:themeColor="text1"/>
          <w:sz w:val="16"/>
          <w:szCs w:val="16"/>
        </w:rPr>
        <w:softHyphen/>
        <w:t>стижение требуемой максимальной скорости (не ниже 550 км/ч) и высотности. Экипаж размещался в передней и задней гермокабинах, а также в двух гермокабинах, размещенных под крылом в прилегающих к фюзеляжу мотогондолах. Оборонительное вооружение включало:</w:t>
      </w:r>
    </w:p>
    <w:p w14:paraId="439761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спарен</w:t>
      </w:r>
      <w:r w:rsidRPr="00070ADE">
        <w:rPr>
          <w:rFonts w:ascii="Times New Roman" w:hAnsi="Times New Roman"/>
          <w:color w:val="000000" w:themeColor="text1"/>
          <w:sz w:val="16"/>
          <w:szCs w:val="16"/>
        </w:rPr>
        <w:softHyphen/>
        <w:t>ные пушки калибра 23 мм на передней и кормовой уста</w:t>
      </w:r>
      <w:r w:rsidRPr="00070ADE">
        <w:rPr>
          <w:rFonts w:ascii="Times New Roman" w:hAnsi="Times New Roman"/>
          <w:color w:val="000000" w:themeColor="text1"/>
          <w:sz w:val="16"/>
          <w:szCs w:val="16"/>
        </w:rPr>
        <w:softHyphen/>
        <w:t>новках;</w:t>
      </w:r>
    </w:p>
    <w:p w14:paraId="21784F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 одной 23 мм пушке под крылом в установках за гондолами внутренних двигателей;</w:t>
      </w:r>
    </w:p>
    <w:p w14:paraId="1F7C51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 одной 23 мм пушке в средней части фюзеляжа по каж</w:t>
      </w:r>
      <w:r w:rsidRPr="00070ADE">
        <w:rPr>
          <w:rFonts w:ascii="Times New Roman" w:hAnsi="Times New Roman"/>
          <w:color w:val="000000" w:themeColor="text1"/>
          <w:sz w:val="16"/>
          <w:szCs w:val="16"/>
        </w:rPr>
        <w:softHyphen/>
        <w:t>дому борту на дистанционной установке;</w:t>
      </w:r>
    </w:p>
    <w:p w14:paraId="7F5BF1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две 25 мм пушки и одна пушка калибра 45 мм в двух верхних ту</w:t>
      </w:r>
      <w:r w:rsidRPr="00070ADE">
        <w:rPr>
          <w:rFonts w:ascii="Times New Roman" w:hAnsi="Times New Roman"/>
          <w:color w:val="000000" w:themeColor="text1"/>
          <w:sz w:val="16"/>
          <w:szCs w:val="16"/>
        </w:rPr>
        <w:softHyphen/>
        <w:t>релях, располагавшихся вместе ближе к килю уступом, «как на крейсерах», или - предпочтительный вариант -две верхние турели с одной 45 мм пушкой.</w:t>
      </w:r>
    </w:p>
    <w:p w14:paraId="05574F3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Главной осо</w:t>
      </w:r>
      <w:r w:rsidRPr="00070ADE">
        <w:rPr>
          <w:rFonts w:ascii="Times New Roman" w:hAnsi="Times New Roman"/>
          <w:color w:val="000000" w:themeColor="text1"/>
          <w:sz w:val="16"/>
          <w:szCs w:val="16"/>
        </w:rPr>
        <w:softHyphen/>
        <w:t>бенностью вооружения являлось стремление добиться не только кругового обстрела, но и по возможности для большинства секторов - перекрестного (10667).</w:t>
      </w:r>
    </w:p>
    <w:p w14:paraId="018799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1C7A896"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В марте 1944 г. сложился облик ББ Н.Н.Р. Взлетный вес самолета составлял 26 тонн, площадь крыла — 100 кв. м, размах — 24,5 м, четыре двигателя должны были обеспечить достижение требуемой максимальной скорости не ниже 550 км/ч и высотности. Экипаж размещался в передней и задней гермокабинах, а также в двух гермокабинах, размещенных под крылом в прилегающих к фюзеляжу мотогондолах.</w:t>
      </w:r>
    </w:p>
    <w:p w14:paraId="739B6791"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Оборонительное вооружение включало:</w:t>
      </w:r>
    </w:p>
    <w:p w14:paraId="2BE12727"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 спаренные пушки калибра 23 мм на передней и кормовой установках;</w:t>
      </w:r>
    </w:p>
    <w:p w14:paraId="77A7D835"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 по одной 23-мм пушке под крылом в установках за гондолами внутренних двигателей;</w:t>
      </w:r>
    </w:p>
    <w:p w14:paraId="7D1E6FAC"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3) по одной 23-мм пушке в средней части фюзеляжа по каждому борту на дистанционной установке;</w:t>
      </w:r>
    </w:p>
    <w:p w14:paraId="13AF1498"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4) две 25-мм пушки и одна пушка калибра 45 мм в двух верхних турелях, располагавшихся вместе ближе к килю уступом, «как на крейсерах», или — предпочтительный вариант — две верхние турели с одной 45-мм пушкой.</w:t>
      </w:r>
    </w:p>
    <w:p w14:paraId="3EB5CF7B"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Главной особенностью оборонительного вооружения являлось стремление обеспечить не только круговой обстрел, но и по возможности для большинства секторов — перекрестный (25035).</w:t>
      </w:r>
    </w:p>
    <w:p w14:paraId="5FE5675E" w14:textId="77777777" w:rsidR="00202698" w:rsidRPr="00C94B78" w:rsidRDefault="00202698" w:rsidP="00B56F90">
      <w:pPr>
        <w:spacing w:after="0" w:line="240" w:lineRule="auto"/>
        <w:jc w:val="both"/>
        <w:rPr>
          <w:rFonts w:ascii="Times New Roman" w:hAnsi="Times New Roman"/>
          <w:color w:val="0070C0"/>
          <w:sz w:val="16"/>
          <w:szCs w:val="16"/>
        </w:rPr>
      </w:pPr>
    </w:p>
    <w:p w14:paraId="5823A92A"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марте 1944 г. летчик ГМ Шиянов начал летные испытания второго Ла-5ТК. Но конструкторы встретились прак</w:t>
      </w:r>
      <w:r w:rsidRPr="00C94B78">
        <w:rPr>
          <w:rFonts w:ascii="Times New Roman" w:hAnsi="Times New Roman"/>
          <w:color w:val="0070C0"/>
          <w:sz w:val="16"/>
          <w:szCs w:val="16"/>
        </w:rPr>
        <w:softHyphen/>
        <w:t>тически с теми же дефектами, что у первого перехватчика. Более того, не</w:t>
      </w:r>
      <w:r w:rsidRPr="00C94B78">
        <w:rPr>
          <w:rFonts w:ascii="Times New Roman" w:hAnsi="Times New Roman"/>
          <w:color w:val="0070C0"/>
          <w:sz w:val="16"/>
          <w:szCs w:val="16"/>
        </w:rPr>
        <w:softHyphen/>
        <w:t>поладок вскрылось больше, чем на пер</w:t>
      </w:r>
      <w:r w:rsidRPr="00C94B78">
        <w:rPr>
          <w:rFonts w:ascii="Times New Roman" w:hAnsi="Times New Roman"/>
          <w:color w:val="0070C0"/>
          <w:sz w:val="16"/>
          <w:szCs w:val="16"/>
        </w:rPr>
        <w:softHyphen/>
        <w:t>вой машине Головки цилиндров пере</w:t>
      </w:r>
      <w:r w:rsidRPr="00C94B78">
        <w:rPr>
          <w:rFonts w:ascii="Times New Roman" w:hAnsi="Times New Roman"/>
          <w:color w:val="0070C0"/>
          <w:sz w:val="16"/>
          <w:szCs w:val="16"/>
        </w:rPr>
        <w:softHyphen/>
        <w:t>гревались. дымили турбонагнетатели, скакало давление бензина, на высоте наблюдались выбросы масла из суфле</w:t>
      </w:r>
      <w:r w:rsidRPr="00C94B78">
        <w:rPr>
          <w:rFonts w:ascii="Times New Roman" w:hAnsi="Times New Roman"/>
          <w:color w:val="0070C0"/>
          <w:sz w:val="16"/>
          <w:szCs w:val="16"/>
        </w:rPr>
        <w:softHyphen/>
        <w:t>ров После долгих усилий испытателям удалось подняться на высоту 12 750 м Чтобы поднять потолок далее, требова</w:t>
      </w:r>
      <w:r w:rsidRPr="00C94B78">
        <w:rPr>
          <w:rFonts w:ascii="Times New Roman" w:hAnsi="Times New Roman"/>
          <w:color w:val="0070C0"/>
          <w:sz w:val="16"/>
          <w:szCs w:val="16"/>
        </w:rPr>
        <w:softHyphen/>
        <w:t>лось сменить стандартный ВИШ-105В на более подходящий для высотных полетов</w:t>
      </w:r>
    </w:p>
    <w:p w14:paraId="6B1DA2D2"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Второй экземпляр Ла-5ТК отправили на доводку в Москву Там испытания продолжили, но отказы мотоустановки участились. Особенно опасной выглядела большая потеря масла - до 15 кг за получасовой полет.</w:t>
      </w:r>
    </w:p>
    <w:p w14:paraId="6AFC4813"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Разработка высотных истребителей считалась настолько важной, что свод</w:t>
      </w:r>
      <w:r w:rsidRPr="00C94B78">
        <w:rPr>
          <w:rFonts w:ascii="Times New Roman" w:hAnsi="Times New Roman"/>
          <w:color w:val="0070C0"/>
          <w:sz w:val="16"/>
          <w:szCs w:val="16"/>
        </w:rPr>
        <w:softHyphen/>
        <w:t>ки об испытаниях Ла-5 с турбонадду</w:t>
      </w:r>
      <w:r w:rsidRPr="00C94B78">
        <w:rPr>
          <w:rFonts w:ascii="Times New Roman" w:hAnsi="Times New Roman"/>
          <w:color w:val="0070C0"/>
          <w:sz w:val="16"/>
          <w:szCs w:val="16"/>
        </w:rPr>
        <w:softHyphen/>
        <w:t>вом ежедневно передавались в НКАП Никто не знал, что немцы предпримут завтра (24930).</w:t>
      </w:r>
    </w:p>
    <w:p w14:paraId="6B65EF6B" w14:textId="77777777" w:rsidR="00202698" w:rsidRPr="00C94B78" w:rsidRDefault="00202698" w:rsidP="00B56F90">
      <w:pPr>
        <w:spacing w:after="0" w:line="240" w:lineRule="auto"/>
        <w:jc w:val="both"/>
        <w:rPr>
          <w:rFonts w:ascii="Times New Roman" w:hAnsi="Times New Roman"/>
          <w:color w:val="0070C0"/>
          <w:sz w:val="16"/>
          <w:szCs w:val="16"/>
        </w:rPr>
      </w:pPr>
    </w:p>
    <w:p w14:paraId="4A0648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года еще на Ла-5ФН типа 41 на заводе № 21 в серию пошли Ла-5 с металлическими лонжеронами. Снижение веса путем замены деревянных лон</w:t>
      </w:r>
      <w:r w:rsidRPr="00070ADE">
        <w:rPr>
          <w:rFonts w:ascii="Times New Roman" w:hAnsi="Times New Roman"/>
          <w:color w:val="000000" w:themeColor="text1"/>
          <w:sz w:val="16"/>
          <w:szCs w:val="16"/>
        </w:rPr>
        <w:softHyphen/>
        <w:t>жеронов крыла на металлические было осуществлено ОКБ еще в нача</w:t>
      </w:r>
      <w:r w:rsidRPr="00070ADE">
        <w:rPr>
          <w:rFonts w:ascii="Times New Roman" w:hAnsi="Times New Roman"/>
          <w:color w:val="000000" w:themeColor="text1"/>
          <w:sz w:val="16"/>
          <w:szCs w:val="16"/>
        </w:rPr>
        <w:softHyphen/>
        <w:t>ле 1943 года на опытном самолете Ла-5ФН «Дублер». Но внедрение в серию этого мероприятия было отло</w:t>
      </w:r>
      <w:r w:rsidRPr="00070ADE">
        <w:rPr>
          <w:rFonts w:ascii="Times New Roman" w:hAnsi="Times New Roman"/>
          <w:color w:val="000000" w:themeColor="text1"/>
          <w:sz w:val="16"/>
          <w:szCs w:val="16"/>
        </w:rPr>
        <w:softHyphen/>
        <w:t>жено до весны 1944 года, так как только к этому времени завод №21 смог получить необходимое металлорежу</w:t>
      </w:r>
      <w:r w:rsidRPr="00070ADE">
        <w:rPr>
          <w:rFonts w:ascii="Times New Roman" w:hAnsi="Times New Roman"/>
          <w:color w:val="000000" w:themeColor="text1"/>
          <w:sz w:val="16"/>
          <w:szCs w:val="16"/>
        </w:rPr>
        <w:softHyphen/>
        <w:t>щее оборудование. Таких машин было построено 89 штук. Так что металлические лон</w:t>
      </w:r>
      <w:r w:rsidRPr="00070ADE">
        <w:rPr>
          <w:rFonts w:ascii="Times New Roman" w:hAnsi="Times New Roman"/>
          <w:color w:val="000000" w:themeColor="text1"/>
          <w:sz w:val="16"/>
          <w:szCs w:val="16"/>
        </w:rPr>
        <w:softHyphen/>
        <w:t>жероны будущий Ла-7 получил, так сказать, по наследству (10714).</w:t>
      </w:r>
    </w:p>
    <w:p w14:paraId="6E0728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B77B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марта 1944 г. часть Ла-5ФН выпускалась как "тип 41" с лонжеронами, имевшими полки из легированной стали и стенки из алюминиевых сплавов. Такие истребители были легче деревянных и превосходили их во всех отношениях (11986).</w:t>
      </w:r>
    </w:p>
    <w:p w14:paraId="50FD65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43B59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марта 1944 г. часть Ла-5ФН выпускалась как "тип 41" с лонжеронами, имевшими полки из легированной стали и стенки из алюминиевых сплавов. Такие истребители были легче своих деревянных "собратьев" и превосходили их во всех отношениях (11990).</w:t>
      </w:r>
    </w:p>
    <w:p w14:paraId="13D578B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F8592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года в передвижных авиационных мастерских ПАМ-30 1-й ВА один из серийных самолетов Jla-5 переделали на двухместный Ла-5УТИ. В ходе государственных испытаний выявилась тряска хвостового оперения (видимо, из-за ослабления хвостовой части фюзеляжа) при заходе на посадку и на парашютировании. Это обстоятельство и привело к прекращению работ по машине (12032).</w:t>
      </w:r>
    </w:p>
    <w:p w14:paraId="4258AA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E5803E2"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марте 1944 г в передвижных авиационных мастер</w:t>
      </w:r>
      <w:r w:rsidRPr="00C94B78">
        <w:rPr>
          <w:rFonts w:ascii="Times New Roman" w:hAnsi="Times New Roman"/>
          <w:color w:val="0070C0"/>
          <w:sz w:val="16"/>
          <w:szCs w:val="16"/>
        </w:rPr>
        <w:softHyphen/>
        <w:t>ских ПАРМ-30 1-й воздушной армии один из серийных Ла-5 переделали в двухместный Ла-5УТИ В ходе испы</w:t>
      </w:r>
      <w:r w:rsidRPr="00C94B78">
        <w:rPr>
          <w:rFonts w:ascii="Times New Roman" w:hAnsi="Times New Roman"/>
          <w:color w:val="0070C0"/>
          <w:sz w:val="16"/>
          <w:szCs w:val="16"/>
        </w:rPr>
        <w:softHyphen/>
        <w:t>таний выявилась тряска хвостового оперения (видимо, из-за ослабления задней части фюзеляжа) при заходе на посадку и на парашютировании Это обстоятельство и привело к прекраще</w:t>
      </w:r>
      <w:r w:rsidRPr="00C94B78">
        <w:rPr>
          <w:rFonts w:ascii="Times New Roman" w:hAnsi="Times New Roman"/>
          <w:color w:val="0070C0"/>
          <w:sz w:val="16"/>
          <w:szCs w:val="16"/>
        </w:rPr>
        <w:softHyphen/>
        <w:t>нию работ по данной машине (24930).</w:t>
      </w:r>
    </w:p>
    <w:p w14:paraId="0199D2B1" w14:textId="77777777" w:rsidR="00202698" w:rsidRPr="00C94B78" w:rsidRDefault="00202698" w:rsidP="00B56F90">
      <w:pPr>
        <w:spacing w:after="0" w:line="240" w:lineRule="auto"/>
        <w:jc w:val="both"/>
        <w:rPr>
          <w:rFonts w:ascii="Times New Roman" w:hAnsi="Times New Roman"/>
          <w:color w:val="0070C0"/>
          <w:sz w:val="16"/>
          <w:szCs w:val="16"/>
        </w:rPr>
      </w:pPr>
    </w:p>
    <w:p w14:paraId="34E070C1" w14:textId="77777777" w:rsidR="00202698" w:rsidRPr="00C94B78" w:rsidRDefault="00202698"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В марте 1944 года в передвижных авиаци</w:t>
      </w:r>
      <w:r w:rsidRPr="00C94B78">
        <w:rPr>
          <w:rStyle w:val="aff1"/>
          <w:rFonts w:ascii="Times New Roman" w:hAnsi="Times New Roman" w:cs="Times New Roman"/>
          <w:color w:val="0070C0"/>
          <w:spacing w:val="0"/>
          <w:sz w:val="16"/>
          <w:szCs w:val="16"/>
        </w:rPr>
        <w:softHyphen/>
        <w:t>онных мастерских ПАМ-30 1-й ВА один из серийных са</w:t>
      </w:r>
      <w:r w:rsidRPr="00C94B78">
        <w:rPr>
          <w:rStyle w:val="aff1"/>
          <w:rFonts w:ascii="Times New Roman" w:hAnsi="Times New Roman" w:cs="Times New Roman"/>
          <w:color w:val="0070C0"/>
          <w:spacing w:val="0"/>
          <w:sz w:val="16"/>
          <w:szCs w:val="16"/>
        </w:rPr>
        <w:softHyphen/>
        <w:t>молетов Ла-5 переделали на двухместный Ла-5УТИ. В ходе государственных испытаний выявилась тряска хвостового оперения (видимо, из-за ослабления хвостовой части фю</w:t>
      </w:r>
      <w:r w:rsidRPr="00C94B78">
        <w:rPr>
          <w:rStyle w:val="aff1"/>
          <w:rFonts w:ascii="Times New Roman" w:hAnsi="Times New Roman" w:cs="Times New Roman"/>
          <w:color w:val="0070C0"/>
          <w:spacing w:val="0"/>
          <w:sz w:val="16"/>
          <w:szCs w:val="16"/>
        </w:rPr>
        <w:softHyphen/>
        <w:t>зеляжа) при заходе на посадку и на парашютировании. Это обстоятельство и привело к прекращению работ по ма</w:t>
      </w:r>
      <w:r w:rsidRPr="00C94B78">
        <w:rPr>
          <w:rStyle w:val="aff1"/>
          <w:rFonts w:ascii="Times New Roman" w:hAnsi="Times New Roman" w:cs="Times New Roman"/>
          <w:color w:val="0070C0"/>
          <w:spacing w:val="0"/>
          <w:sz w:val="16"/>
          <w:szCs w:val="16"/>
        </w:rPr>
        <w:softHyphen/>
        <w:t>шине.</w:t>
      </w:r>
    </w:p>
    <w:p w14:paraId="215272CF"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этом же году на заводе № 163 Ла-5Ф переоборудовали в двухместный учебно-тренировочный самолет. Во время государственных испытаний обнаружилась тряска хвосто</w:t>
      </w:r>
      <w:r w:rsidRPr="00C94B78">
        <w:rPr>
          <w:rStyle w:val="aff1"/>
          <w:rFonts w:ascii="Times New Roman" w:hAnsi="Times New Roman" w:cs="Times New Roman"/>
          <w:color w:val="0070C0"/>
          <w:spacing w:val="0"/>
          <w:sz w:val="16"/>
          <w:szCs w:val="16"/>
        </w:rPr>
        <w:softHyphen/>
        <w:t>вого оперения (типа бафтинг) на больших углах атаки и при открытых свыше 25 мм боковых створках мотора (25252).</w:t>
      </w:r>
    </w:p>
    <w:p w14:paraId="730B28BE" w14:textId="77777777" w:rsidR="00202698" w:rsidRPr="00C94B78" w:rsidRDefault="00202698" w:rsidP="00B56F90">
      <w:pPr>
        <w:spacing w:after="0" w:line="240" w:lineRule="auto"/>
        <w:jc w:val="both"/>
        <w:rPr>
          <w:rFonts w:ascii="Times New Roman" w:hAnsi="Times New Roman"/>
          <w:color w:val="0070C0"/>
          <w:sz w:val="16"/>
          <w:szCs w:val="16"/>
        </w:rPr>
      </w:pPr>
    </w:p>
    <w:p w14:paraId="5E8544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состоялись гос. испытания Ла-7-АШ82ФН (300,7).</w:t>
      </w:r>
    </w:p>
    <w:p w14:paraId="39949B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1030B6" w14:textId="77777777" w:rsidR="00C71B1D" w:rsidRPr="00070ADE" w:rsidRDefault="00C71B1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Ла-5ФН с 2ТК-3 совершил ещё три полёта до высо</w:t>
      </w:r>
      <w:r w:rsidRPr="00070ADE">
        <w:rPr>
          <w:rFonts w:ascii="Times New Roman" w:hAnsi="Times New Roman"/>
          <w:color w:val="000000" w:themeColor="text1"/>
          <w:sz w:val="16"/>
          <w:szCs w:val="16"/>
        </w:rPr>
        <w:softHyphen/>
        <w:t>ты 12000 м, в которых винтомоторная группа работала нормально, а в начале апреля, по причине изношенности материальной части, самолёт поставили в цех на восстано</w:t>
      </w:r>
      <w:r w:rsidRPr="00070ADE">
        <w:rPr>
          <w:rFonts w:ascii="Times New Roman" w:hAnsi="Times New Roman"/>
          <w:color w:val="000000" w:themeColor="text1"/>
          <w:sz w:val="16"/>
          <w:szCs w:val="16"/>
        </w:rPr>
        <w:softHyphen/>
        <w:t>вительный ремонт (15830).</w:t>
      </w:r>
    </w:p>
    <w:p w14:paraId="292962ED" w14:textId="77777777" w:rsidR="00C71B1D" w:rsidRPr="00070ADE" w:rsidRDefault="00C71B1D" w:rsidP="00B56F90">
      <w:pPr>
        <w:spacing w:after="0" w:line="240" w:lineRule="auto"/>
        <w:jc w:val="both"/>
        <w:rPr>
          <w:rFonts w:ascii="Times New Roman" w:hAnsi="Times New Roman"/>
          <w:color w:val="000000" w:themeColor="text1"/>
          <w:sz w:val="16"/>
          <w:szCs w:val="16"/>
        </w:rPr>
      </w:pPr>
    </w:p>
    <w:p w14:paraId="30F7084A"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марте 1944 первый опытный экземпляр Ла-7 (№ 3815758) с тремя син</w:t>
      </w:r>
      <w:r w:rsidRPr="00C94B78">
        <w:rPr>
          <w:rFonts w:ascii="Times New Roman" w:hAnsi="Times New Roman"/>
          <w:color w:val="0070C0"/>
          <w:sz w:val="16"/>
          <w:szCs w:val="16"/>
        </w:rPr>
        <w:softHyphen/>
        <w:t>хронными пушками Б-20с конструкции М.Е. Березина поступил в НИИ ВВС, и по результатам государственных ис</w:t>
      </w:r>
      <w:r w:rsidRPr="00C94B78">
        <w:rPr>
          <w:rFonts w:ascii="Times New Roman" w:hAnsi="Times New Roman"/>
          <w:color w:val="0070C0"/>
          <w:sz w:val="16"/>
          <w:szCs w:val="16"/>
        </w:rPr>
        <w:softHyphen/>
        <w:t>пытаний специалисты пришли к выводу о неудовлетворительной работе пушек и установок под них. Отмечалось небреж</w:t>
      </w:r>
      <w:r w:rsidRPr="00C94B78">
        <w:rPr>
          <w:rFonts w:ascii="Times New Roman" w:hAnsi="Times New Roman"/>
          <w:color w:val="0070C0"/>
          <w:sz w:val="16"/>
          <w:szCs w:val="16"/>
        </w:rPr>
        <w:softHyphen/>
        <w:t>ное изготовление самолета, недостаточ</w:t>
      </w:r>
      <w:r w:rsidRPr="00C94B78">
        <w:rPr>
          <w:rFonts w:ascii="Times New Roman" w:hAnsi="Times New Roman"/>
          <w:color w:val="0070C0"/>
          <w:sz w:val="16"/>
          <w:szCs w:val="16"/>
        </w:rPr>
        <w:softHyphen/>
        <w:t>ная прочность и жесткость крышек капота мотора, что приводило к их раздуванию. Неудовлетворительной была и прочность носков нижних стыковочных лент крыла, из-за чего в полете отгибались и обрыва</w:t>
      </w:r>
      <w:r w:rsidRPr="00C94B78">
        <w:rPr>
          <w:rFonts w:ascii="Times New Roman" w:hAnsi="Times New Roman"/>
          <w:color w:val="0070C0"/>
          <w:sz w:val="16"/>
          <w:szCs w:val="16"/>
        </w:rPr>
        <w:softHyphen/>
        <w:t>лись по заклепочному шву. По сравнению с Ла-7 «эталоном 1944 года» самолет ле</w:t>
      </w:r>
      <w:r w:rsidRPr="00C94B78">
        <w:rPr>
          <w:rFonts w:ascii="Times New Roman" w:hAnsi="Times New Roman"/>
          <w:color w:val="0070C0"/>
          <w:sz w:val="16"/>
          <w:szCs w:val="16"/>
        </w:rPr>
        <w:softHyphen/>
        <w:t>тал на 38 км/ч медленнее.</w:t>
      </w:r>
    </w:p>
    <w:p w14:paraId="1005DF2B"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Акт по результатам его испытаний ут</w:t>
      </w:r>
      <w:r w:rsidRPr="00C94B78">
        <w:rPr>
          <w:rFonts w:ascii="Times New Roman" w:hAnsi="Times New Roman"/>
          <w:color w:val="0070C0"/>
          <w:sz w:val="16"/>
          <w:szCs w:val="16"/>
        </w:rPr>
        <w:softHyphen/>
        <w:t>вердили 2 апреля, при этом руководство института решило законсервировать ма</w:t>
      </w:r>
      <w:r w:rsidRPr="00C94B78">
        <w:rPr>
          <w:rFonts w:ascii="Times New Roman" w:hAnsi="Times New Roman"/>
          <w:color w:val="0070C0"/>
          <w:sz w:val="16"/>
          <w:szCs w:val="16"/>
        </w:rPr>
        <w:softHyphen/>
        <w:t>шину с целью использования ее для опреВ марте 1944 г. вышел на испыта</w:t>
      </w:r>
      <w:r w:rsidRPr="00C94B78">
        <w:rPr>
          <w:rFonts w:ascii="Times New Roman" w:hAnsi="Times New Roman"/>
          <w:color w:val="0070C0"/>
          <w:sz w:val="16"/>
          <w:szCs w:val="16"/>
        </w:rPr>
        <w:softHyphen/>
        <w:t>ния Ла-5 с новым мотором АШ-83 (1900 л.с.), являвшимся дальнейшим развитием АШ-82ФН. Но этот двигатель не запустили в массовое производство, их изготовили меньше сотни (24930).</w:t>
      </w:r>
    </w:p>
    <w:p w14:paraId="4C4F37C2" w14:textId="77777777" w:rsidR="00202698" w:rsidRPr="00C94B78" w:rsidRDefault="00202698" w:rsidP="00B56F90">
      <w:pPr>
        <w:spacing w:after="0" w:line="240" w:lineRule="auto"/>
        <w:jc w:val="both"/>
        <w:rPr>
          <w:rFonts w:ascii="Times New Roman" w:hAnsi="Times New Roman"/>
          <w:color w:val="0070C0"/>
          <w:sz w:val="16"/>
          <w:szCs w:val="16"/>
        </w:rPr>
      </w:pPr>
    </w:p>
    <w:p w14:paraId="161ADDBA"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марте 1944 г. вышел на испыта</w:t>
      </w:r>
      <w:r w:rsidRPr="00C94B78">
        <w:rPr>
          <w:rFonts w:ascii="Times New Roman" w:hAnsi="Times New Roman"/>
          <w:color w:val="0070C0"/>
          <w:sz w:val="16"/>
          <w:szCs w:val="16"/>
        </w:rPr>
        <w:softHyphen/>
        <w:t>ния Ла-5 с новым мотором АШ-83 (1900 л.с.), являвшимся дальнейшим развитием АШ-82ФН. Но этот двигатель не запустили в массовое производство, их изготовили меньше сотни (24930).</w:t>
      </w:r>
    </w:p>
    <w:p w14:paraId="1FB8F0A7" w14:textId="77777777" w:rsidR="00202698" w:rsidRPr="00C94B78" w:rsidRDefault="00202698" w:rsidP="00B56F90">
      <w:pPr>
        <w:spacing w:after="0" w:line="240" w:lineRule="auto"/>
        <w:jc w:val="both"/>
        <w:rPr>
          <w:rFonts w:ascii="Times New Roman" w:hAnsi="Times New Roman"/>
          <w:color w:val="0070C0"/>
          <w:sz w:val="16"/>
          <w:szCs w:val="16"/>
        </w:rPr>
      </w:pPr>
    </w:p>
    <w:p w14:paraId="14F50678"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марте 1944 г. С.П.Королев, взяв за основу Ла-5ФН, предложил два варианта высотного истребителя «ВИ» Ла-5: с тремя ЖРД РД-1, установленными в фюзеляже и консо</w:t>
      </w:r>
      <w:r w:rsidRPr="00C94B78">
        <w:rPr>
          <w:rFonts w:ascii="Times New Roman" w:hAnsi="Times New Roman"/>
          <w:color w:val="0070C0"/>
          <w:sz w:val="16"/>
          <w:szCs w:val="16"/>
        </w:rPr>
        <w:softHyphen/>
        <w:t>лях крыла, а также с одним мощным трехкамерным РД-3. Площадь крыла в обоих случаях увеличивалась до 22 м</w:t>
      </w:r>
      <w:r w:rsidRPr="00C94B78">
        <w:rPr>
          <w:rFonts w:ascii="Times New Roman" w:hAnsi="Times New Roman"/>
          <w:color w:val="0070C0"/>
          <w:sz w:val="16"/>
          <w:szCs w:val="16"/>
          <w:vertAlign w:val="superscript"/>
        </w:rPr>
        <w:t>2</w:t>
      </w:r>
      <w:r w:rsidRPr="00C94B78">
        <w:rPr>
          <w:rFonts w:ascii="Times New Roman" w:hAnsi="Times New Roman"/>
          <w:color w:val="0070C0"/>
          <w:sz w:val="16"/>
          <w:szCs w:val="16"/>
        </w:rPr>
        <w:t>, на моторе М-82ФН устанавливалась па</w:t>
      </w:r>
      <w:r w:rsidRPr="00C94B78">
        <w:rPr>
          <w:rFonts w:ascii="Times New Roman" w:hAnsi="Times New Roman"/>
          <w:color w:val="0070C0"/>
          <w:sz w:val="16"/>
          <w:szCs w:val="16"/>
        </w:rPr>
        <w:softHyphen/>
        <w:t>ра турбокомпрессоров ТК-3. Но воору</w:t>
      </w:r>
      <w:r w:rsidRPr="00C94B78">
        <w:rPr>
          <w:rFonts w:ascii="Times New Roman" w:hAnsi="Times New Roman"/>
          <w:color w:val="0070C0"/>
          <w:sz w:val="16"/>
          <w:szCs w:val="16"/>
        </w:rPr>
        <w:softHyphen/>
        <w:t>жение отличалось от серийного Ла-5ФН и состояло из четырех пулеметов БС калибра 12,7 мм.</w:t>
      </w:r>
    </w:p>
    <w:p w14:paraId="1705EE3B"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Ожидалось, что прирост скорости у первого варианта истребителя соста</w:t>
      </w:r>
      <w:r w:rsidRPr="00C94B78">
        <w:rPr>
          <w:rFonts w:ascii="Times New Roman" w:hAnsi="Times New Roman"/>
          <w:color w:val="0070C0"/>
          <w:sz w:val="16"/>
          <w:szCs w:val="16"/>
        </w:rPr>
        <w:softHyphen/>
        <w:t>вит 100 - 140 км/ч, а у второго - 215 - 290 км/ч, потолок возрастет на 4000 и 6500 м соответственно. При этом продолжительность полета на высоте 14 000 м с использованием поршне</w:t>
      </w:r>
      <w:r w:rsidRPr="00C94B78">
        <w:rPr>
          <w:rFonts w:ascii="Times New Roman" w:hAnsi="Times New Roman"/>
          <w:color w:val="0070C0"/>
          <w:sz w:val="16"/>
          <w:szCs w:val="16"/>
        </w:rPr>
        <w:softHyphen/>
        <w:t>вого двигателя будет в пределах 15 - 20 минут. Но эти проекты остались на бумаге (24930).</w:t>
      </w:r>
    </w:p>
    <w:p w14:paraId="59910F98" w14:textId="77777777" w:rsidR="00202698" w:rsidRPr="00C94B78" w:rsidRDefault="00202698" w:rsidP="00B56F90">
      <w:pPr>
        <w:spacing w:after="0" w:line="240" w:lineRule="auto"/>
        <w:jc w:val="both"/>
        <w:rPr>
          <w:rFonts w:ascii="Times New Roman" w:hAnsi="Times New Roman"/>
          <w:color w:val="0070C0"/>
          <w:sz w:val="16"/>
          <w:szCs w:val="16"/>
        </w:rPr>
      </w:pPr>
    </w:p>
    <w:p w14:paraId="33C4E967" w14:textId="77777777" w:rsidR="00E23482" w:rsidRPr="00070ADE" w:rsidRDefault="00E23482"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В марте 1944 г. С.А. Лавочкин поручил выполнение зада чи по испытанию своих поршневых истребителей с ускорите лями ЖРД своему заместителю СМ. Алексееву, который ра ботал в это время в филиале ОКБ С.А. Лавочкин (опытный завод № 81) в г. Москве. Само ОКБ тогда еще находилось в эвакуации в г. Горьком на заводе № 2 1. Филиал этот нахо дился на территории авиационного завода № 381 и выпускал самолеты Ла-7. 21 октября 1944 г. под данное задание была закончена переделка первого серийно выпускавшегося Ла-7, который получил индекс — Ла-7Р-1.</w:t>
      </w:r>
    </w:p>
    <w:p w14:paraId="243ADCF3" w14:textId="77777777" w:rsidR="00E23482" w:rsidRPr="00070ADE" w:rsidRDefault="00E23482"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Далее последовал еще один истребитель с индексом Ла-7Р-2.</w:t>
      </w:r>
    </w:p>
    <w:p w14:paraId="013B2987" w14:textId="77777777" w:rsidR="00E23482" w:rsidRPr="00070ADE" w:rsidRDefault="00E23482"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На самолетах была доработана хвостовая часть фюзеляжа для размещения там РУ-1 с ЖРД РД-1 и дополнительно, связан ным с ним оборудованием. Центральный бензобак был заме нен баком с запасом азотной кислоты до 270 кг, а в правом крыле установили бак с запасом тракторного керосина 60 кг.</w:t>
      </w:r>
    </w:p>
    <w:p w14:paraId="55B4CBF3" w14:textId="77777777" w:rsidR="00E23482" w:rsidRPr="00070ADE" w:rsidRDefault="00E23482"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По расчетам этого топлива должно было хватить для работы РД-1 в течение 3,5...3,8 мин. Запас бензина для поршневого двигателя АШ-82ФН был сокращен с 340 до 210 кг. Для по дачи компонентов топлива в камеру сгорания РД-1 примени ли помпу, которая приводилась во вращение специальным ва лом, имеющим фрикционное соединение с храповиком на зад ней крышке двигателя АШ-82ФН.</w:t>
      </w:r>
    </w:p>
    <w:p w14:paraId="1401140E" w14:textId="77777777" w:rsidR="00E23482" w:rsidRPr="00070ADE" w:rsidRDefault="00E23482"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Давление в магистралях подачи кислоты и керосина со ставляло 40... 50 атм. Давление в камере сгорания РД-1 - 23 атм.</w:t>
      </w:r>
    </w:p>
    <w:p w14:paraId="086B15CF" w14:textId="77777777" w:rsidR="00E23482" w:rsidRPr="00070ADE" w:rsidRDefault="00E23482"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Для управления работой РД-1 использовались ручка сектора газа и пусковой воздушный кран.</w:t>
      </w:r>
    </w:p>
    <w:p w14:paraId="0F306CEF" w14:textId="77777777" w:rsidR="00E23482" w:rsidRPr="00070ADE" w:rsidRDefault="00E23482"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Для защиты от коррозии, к которой приводили даже не значительные пары азотной кислоты, была сделана тщатель ная изоляция в конструкции самолета, а в системе подачи и хранения кислоты применили более стойкие к кислотной ере де материалы (алюминий и его сплавы, нержавеющую сталь) (19586).</w:t>
      </w:r>
    </w:p>
    <w:p w14:paraId="4FCFD248" w14:textId="77777777" w:rsidR="00E23482" w:rsidRPr="00070ADE" w:rsidRDefault="00E23482"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33862CA"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В марте 1944 г. С,А.Лавочкин поручил выполнение зада</w:t>
      </w:r>
      <w:r w:rsidRPr="00C94B78">
        <w:rPr>
          <w:rFonts w:ascii="Times New Roman" w:hAnsi="Times New Roman"/>
          <w:color w:val="0070C0"/>
          <w:sz w:val="16"/>
          <w:szCs w:val="16"/>
        </w:rPr>
        <w:softHyphen/>
        <w:t>чи по испытанию своих поршневых истребителей с ускорите</w:t>
      </w:r>
      <w:r w:rsidRPr="00C94B78">
        <w:rPr>
          <w:rFonts w:ascii="Times New Roman" w:hAnsi="Times New Roman"/>
          <w:color w:val="0070C0"/>
          <w:sz w:val="16"/>
          <w:szCs w:val="16"/>
        </w:rPr>
        <w:softHyphen/>
        <w:t>лями ЖРД своему заместителю СМ. Алексееву, который ра</w:t>
      </w:r>
      <w:r w:rsidRPr="00C94B78">
        <w:rPr>
          <w:rFonts w:ascii="Times New Roman" w:hAnsi="Times New Roman"/>
          <w:color w:val="0070C0"/>
          <w:sz w:val="16"/>
          <w:szCs w:val="16"/>
        </w:rPr>
        <w:softHyphen/>
        <w:t>ботал в это время в филиале ОКБ С.А. Лавочкин (опытный завод № 81) в г. Москве. Само ОКБ тогда еще находилось в эвакуации в г. Горьком на заводе №21. Филиал этот нахо</w:t>
      </w:r>
      <w:r w:rsidRPr="00C94B78">
        <w:rPr>
          <w:rFonts w:ascii="Times New Roman" w:hAnsi="Times New Roman"/>
          <w:color w:val="0070C0"/>
          <w:sz w:val="16"/>
          <w:szCs w:val="16"/>
        </w:rPr>
        <w:softHyphen/>
        <w:t>дился на территории авиационного завода № 381 и выпускал самолеты Ла-7. 21 октября 1944 г. под данное задание была закончена переделка первого серийно выпускавшегося Ла-7, который получил индекс — Ла-7Р-1 (рис. 2.47) (основные так</w:t>
      </w:r>
      <w:r w:rsidRPr="00C94B78">
        <w:rPr>
          <w:rFonts w:ascii="Times New Roman" w:hAnsi="Times New Roman"/>
          <w:color w:val="0070C0"/>
          <w:sz w:val="16"/>
          <w:szCs w:val="16"/>
        </w:rPr>
        <w:softHyphen/>
        <w:t>тико-технические характеристики даны в табл. 4 прил. 1). Далее последовал еще один истребитель с индексом Ла-7Р-2. На самолетах была доработана хвостовая часть фюзеляжа для размещения там РУ-1 с ЖРД РД-1 и дополнительно, связан</w:t>
      </w:r>
      <w:r w:rsidRPr="00C94B78">
        <w:rPr>
          <w:rFonts w:ascii="Times New Roman" w:hAnsi="Times New Roman"/>
          <w:color w:val="0070C0"/>
          <w:sz w:val="16"/>
          <w:szCs w:val="16"/>
        </w:rPr>
        <w:softHyphen/>
        <w:t>ным с ним оборудованием. Центральный бензобак был заме</w:t>
      </w:r>
      <w:r w:rsidRPr="00C94B78">
        <w:rPr>
          <w:rFonts w:ascii="Times New Roman" w:hAnsi="Times New Roman"/>
          <w:color w:val="0070C0"/>
          <w:sz w:val="16"/>
          <w:szCs w:val="16"/>
        </w:rPr>
        <w:softHyphen/>
        <w:t>нен баком с запасом азотной кислоты до 270 кг, а в правом крыле установили бак с запасом тракторного керосина 60 кг. По расчетам этого топлива должно было хватить для работы РД-1 в течение 3,5...3,8 мин. Запас бензина для поршневого двигателя АШ-82ФН был сокращен с 340 до 210 кг. Для по</w:t>
      </w:r>
      <w:r w:rsidRPr="00C94B78">
        <w:rPr>
          <w:rFonts w:ascii="Times New Roman" w:hAnsi="Times New Roman"/>
          <w:color w:val="0070C0"/>
          <w:sz w:val="16"/>
          <w:szCs w:val="16"/>
        </w:rPr>
        <w:softHyphen/>
        <w:t>дачи компонентов топлива в камеру сгорания РД-1 примени</w:t>
      </w:r>
      <w:r w:rsidRPr="00C94B78">
        <w:rPr>
          <w:rFonts w:ascii="Times New Roman" w:hAnsi="Times New Roman"/>
          <w:color w:val="0070C0"/>
          <w:sz w:val="16"/>
          <w:szCs w:val="16"/>
        </w:rPr>
        <w:softHyphen/>
        <w:t>ли помпу, которая приводилась во вращение специальным ва</w:t>
      </w:r>
      <w:r w:rsidRPr="00C94B78">
        <w:rPr>
          <w:rFonts w:ascii="Times New Roman" w:hAnsi="Times New Roman"/>
          <w:color w:val="0070C0"/>
          <w:sz w:val="16"/>
          <w:szCs w:val="16"/>
        </w:rPr>
        <w:softHyphen/>
        <w:t>лом, имеющим фрикционное соединение с храповиком на зад</w:t>
      </w:r>
      <w:r w:rsidRPr="00C94B78">
        <w:rPr>
          <w:rFonts w:ascii="Times New Roman" w:hAnsi="Times New Roman"/>
          <w:color w:val="0070C0"/>
          <w:sz w:val="16"/>
          <w:szCs w:val="16"/>
        </w:rPr>
        <w:softHyphen/>
        <w:t>ней крышке двигателя АШ-82ФН (24920).</w:t>
      </w:r>
    </w:p>
    <w:p w14:paraId="753297F3" w14:textId="77777777" w:rsidR="00202698" w:rsidRPr="00C94B78" w:rsidRDefault="00202698" w:rsidP="00B56F90">
      <w:pPr>
        <w:spacing w:after="0" w:line="240" w:lineRule="auto"/>
        <w:jc w:val="both"/>
        <w:rPr>
          <w:rFonts w:ascii="Times New Roman" w:hAnsi="Times New Roman"/>
          <w:color w:val="0070C0"/>
          <w:sz w:val="16"/>
          <w:szCs w:val="16"/>
        </w:rPr>
      </w:pPr>
    </w:p>
    <w:p w14:paraId="0C69DC78" w14:textId="77777777" w:rsidR="00B06917" w:rsidRPr="00C94B78" w:rsidRDefault="00B0691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марте 1944 года С. А. Лавочкин поручил выполнение задания по оснащению истребителя ЖРД - ускорителем реорганизованному в Москве филиалу ОКБ, которым руководил С.М.Алексеев. Филиал назывался «Опытный завод № 81» и располагался на специально выделенной для него части серийного московского авиазавода № 381, выпускавшего в то время самолеты Ла-7. Переделка первого серийного Ла-7, получившего новый индекс Ла-7Р-1, была закончена к 21 октября 1944 года (24925).</w:t>
      </w:r>
    </w:p>
    <w:p w14:paraId="543B9CCB" w14:textId="77777777" w:rsidR="00B06917" w:rsidRPr="00C94B78" w:rsidRDefault="00B06917" w:rsidP="00B56F90">
      <w:pPr>
        <w:spacing w:after="0" w:line="240" w:lineRule="auto"/>
        <w:jc w:val="both"/>
        <w:rPr>
          <w:rFonts w:ascii="Times New Roman" w:hAnsi="Times New Roman"/>
          <w:color w:val="0070C0"/>
          <w:sz w:val="16"/>
          <w:szCs w:val="16"/>
        </w:rPr>
      </w:pPr>
    </w:p>
    <w:p w14:paraId="27ECB84C"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марте 1944 года прорабатывался вопрос о возможности установить на самолет И-211 ни больше, ни меньше а мотор с Р</w:t>
      </w:r>
      <w:r w:rsidRPr="00C94B78">
        <w:rPr>
          <w:rFonts w:ascii="Times New Roman" w:hAnsi="Times New Roman"/>
          <w:color w:val="0070C0"/>
          <w:sz w:val="16"/>
          <w:szCs w:val="16"/>
        </w:rPr>
        <w:noBreakHyphen/>
        <w:t>47D</w:t>
      </w:r>
      <w:r w:rsidRPr="00C94B78">
        <w:rPr>
          <w:rFonts w:ascii="Times New Roman" w:hAnsi="Times New Roman"/>
          <w:color w:val="0070C0"/>
          <w:sz w:val="16"/>
          <w:szCs w:val="16"/>
        </w:rPr>
        <w:noBreakHyphen/>
        <w:t>10RE «Thunderbolt». На планер, по конструкции сближенный с И</w:t>
      </w:r>
      <w:r w:rsidRPr="00C94B78">
        <w:rPr>
          <w:rFonts w:ascii="Times New Roman" w:hAnsi="Times New Roman"/>
          <w:color w:val="0070C0"/>
          <w:sz w:val="16"/>
          <w:szCs w:val="16"/>
        </w:rPr>
        <w:noBreakHyphen/>
        <w:t>211, планировали поставить двигатель Pratt</w:t>
      </w:r>
      <w:r w:rsidRPr="00C94B78">
        <w:rPr>
          <w:rFonts w:ascii="Times New Roman" w:hAnsi="Times New Roman"/>
          <w:color w:val="0070C0"/>
          <w:sz w:val="16"/>
          <w:szCs w:val="16"/>
        </w:rPr>
        <w:noBreakHyphen/>
        <w:t>Whitney R</w:t>
      </w:r>
      <w:r w:rsidRPr="00C94B78">
        <w:rPr>
          <w:rFonts w:ascii="Times New Roman" w:hAnsi="Times New Roman"/>
          <w:color w:val="0070C0"/>
          <w:sz w:val="16"/>
          <w:szCs w:val="16"/>
        </w:rPr>
        <w:noBreakHyphen/>
        <w:t>2800</w:t>
      </w:r>
      <w:r w:rsidRPr="00C94B78">
        <w:rPr>
          <w:rFonts w:ascii="Times New Roman" w:hAnsi="Times New Roman"/>
          <w:color w:val="0070C0"/>
          <w:sz w:val="16"/>
          <w:szCs w:val="16"/>
        </w:rPr>
        <w:noBreakHyphen/>
        <w:t>63 мощностью 2250 л.с. и наддув General Electric C</w:t>
      </w:r>
      <w:r w:rsidRPr="00C94B78">
        <w:rPr>
          <w:rFonts w:ascii="Times New Roman" w:hAnsi="Times New Roman"/>
          <w:color w:val="0070C0"/>
          <w:sz w:val="16"/>
          <w:szCs w:val="16"/>
        </w:rPr>
        <w:noBreakHyphen/>
        <w:t>23. По расчетам с таким двигателем самолет должен был развить скорость порядка 740 км/ч на высоте 10000 и достигнуть потолка 14500 м. При этом взлетный вес самолета достигал бы 3800 кг, что при столь мощном двигателе было немного. 8 апреля 1944 года проект был представлен на регулярном совещании НКАП, где одобрения не получил и на этом закончился (25067).</w:t>
      </w:r>
    </w:p>
    <w:p w14:paraId="3F66F800" w14:textId="77777777" w:rsidR="00202698" w:rsidRPr="00C94B78" w:rsidRDefault="00202698" w:rsidP="00B56F90">
      <w:pPr>
        <w:spacing w:after="0" w:line="240" w:lineRule="auto"/>
        <w:jc w:val="both"/>
        <w:rPr>
          <w:rFonts w:ascii="Times New Roman" w:hAnsi="Times New Roman"/>
          <w:color w:val="0070C0"/>
          <w:sz w:val="16"/>
          <w:szCs w:val="16"/>
        </w:rPr>
      </w:pPr>
    </w:p>
    <w:p w14:paraId="6C450146" w14:textId="77777777" w:rsidR="00202698" w:rsidRPr="00C94B78" w:rsidRDefault="00202698"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В марте 1944 г. мотор АМ-39А проходил государственные испытания, а летом был передан на летные испытания. Двигатели этого типа установили на опытный микояновский высотный истребитель И-220, который в одном из полетов на высоте 7200 м сумел развить скорость 690 км/ч.</w:t>
      </w:r>
    </w:p>
    <w:p w14:paraId="2E4EBC23" w14:textId="77777777" w:rsidR="00202698" w:rsidRPr="00C94B78" w:rsidRDefault="00202698"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Для увеличения высотности истребителя (приказом НКАП его потолок следовало довести до 14 000 м) потребовалось оснастить мотор турбокомпрессором. Под названием АМ-39Б такой мотор с двумя ТК-2Б установили на опытную машину И-222, однако в ходе летных испытаний летом и осенью 1944 г. добиться надежной работы силовой установки на больших высотах не удалось: падало давление масла и бензина, мотор работал неустойчиво.</w:t>
      </w:r>
    </w:p>
    <w:p w14:paraId="1D945F29"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Следующая попытка была предпринята при создании опытного истребителя И-224, оснащенного двигателем АМ-39ФБ с одним турбокомпрессором ТК-300Б на правом выхлопном коллекторе и воздухо</w:t>
      </w:r>
      <w:r w:rsidRPr="00C94B78">
        <w:rPr>
          <w:rStyle w:val="aff1"/>
          <w:rFonts w:ascii="Times New Roman" w:hAnsi="Times New Roman" w:cs="Times New Roman"/>
          <w:color w:val="0070C0"/>
          <w:spacing w:val="0"/>
          <w:sz w:val="16"/>
          <w:szCs w:val="16"/>
        </w:rPr>
        <w:softHyphen/>
        <w:t>воздушным интеркулером. Постановка турбоком</w:t>
      </w:r>
      <w:r w:rsidRPr="00C94B78">
        <w:rPr>
          <w:rStyle w:val="aff1"/>
          <w:rFonts w:ascii="Times New Roman" w:hAnsi="Times New Roman" w:cs="Times New Roman"/>
          <w:color w:val="0070C0"/>
          <w:spacing w:val="0"/>
          <w:sz w:val="16"/>
          <w:szCs w:val="16"/>
        </w:rPr>
        <w:softHyphen/>
        <w:t>прессора только на один блок мотора, по идее Микулина, при сохранении реактивного выхлопа с другого блока, позволяла увеличить скорость полета и отказаться от ручной регулировки режима работы ТК (25145).</w:t>
      </w:r>
    </w:p>
    <w:p w14:paraId="60137691" w14:textId="77777777" w:rsidR="00202698" w:rsidRPr="00C94B78" w:rsidRDefault="00202698" w:rsidP="00B56F90">
      <w:pPr>
        <w:spacing w:after="0" w:line="240" w:lineRule="auto"/>
        <w:jc w:val="both"/>
        <w:rPr>
          <w:rFonts w:ascii="Times New Roman" w:hAnsi="Times New Roman"/>
          <w:color w:val="0070C0"/>
          <w:sz w:val="16"/>
          <w:szCs w:val="16"/>
        </w:rPr>
      </w:pPr>
    </w:p>
    <w:p w14:paraId="72C2FC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в ОКБ-155 был проработан вариант истребителя МиГ-3 с мотором Пратт-Уитни R-2800-63 и турбокомпрессором Дженерал Электрик С-23, которые устанавливались на американском истребителе Рипаблик Р-47D-10RE "Тандерболт". За основу проекта был принят истребитель МиГ-9Е (И-211). При расчетной мощности 2250 л.с. (с учетом скоростного наддува) самолет должен был иметь максимальную скорость 740 км/ч на высоте 10000 м и практический потолок 14500 м. Полетная масса должна была составить 3800 кг. 8 апреля 1944 г. материалы были представлены на рассмотрение в НКАП, однако дальше теоретических разработок дело не пошло (5485,29).</w:t>
      </w:r>
    </w:p>
    <w:p w14:paraId="3D61A8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53B81" w14:textId="77777777" w:rsidR="00202698" w:rsidRPr="00C94B78" w:rsidRDefault="00202698"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С марта 1944 г. на заводе № 292 началось серийное производство истребителя Як-3 с мотором ВК-105ПФ2. Около двухсот машин из первых серий «троек» получили вооружение, включавшее пушку ШВАК (120 патронов) и один левый пулемет УБС (200 патронов), впоследствии добавился еще один УБС справа над мотором. В апреле 1945 г. боевую эффективность Як-3 усилили путем уста</w:t>
      </w:r>
      <w:r w:rsidRPr="00C94B78">
        <w:rPr>
          <w:rStyle w:val="aff1"/>
          <w:rFonts w:ascii="Times New Roman" w:hAnsi="Times New Roman" w:cs="Times New Roman"/>
          <w:color w:val="0070C0"/>
          <w:spacing w:val="0"/>
          <w:sz w:val="16"/>
          <w:szCs w:val="16"/>
        </w:rPr>
        <w:softHyphen/>
        <w:t>новки трех пушек Б-20: одной в моторном и двух в син</w:t>
      </w:r>
      <w:r w:rsidRPr="00C94B78">
        <w:rPr>
          <w:rStyle w:val="aff1"/>
          <w:rFonts w:ascii="Times New Roman" w:hAnsi="Times New Roman" w:cs="Times New Roman"/>
          <w:color w:val="0070C0"/>
          <w:spacing w:val="0"/>
          <w:sz w:val="16"/>
          <w:szCs w:val="16"/>
        </w:rPr>
        <w:softHyphen/>
        <w:t>хронном варианте (таких истребителей, получивших наи</w:t>
      </w:r>
      <w:r w:rsidRPr="00C94B78">
        <w:rPr>
          <w:rStyle w:val="aff1"/>
          <w:rFonts w:ascii="Times New Roman" w:hAnsi="Times New Roman" w:cs="Times New Roman"/>
          <w:color w:val="0070C0"/>
          <w:spacing w:val="0"/>
          <w:sz w:val="16"/>
          <w:szCs w:val="16"/>
        </w:rPr>
        <w:softHyphen/>
        <w:t>менование Як-3П, было построено 596 единиц, в основ</w:t>
      </w:r>
      <w:r w:rsidRPr="00C94B78">
        <w:rPr>
          <w:rStyle w:val="aff1"/>
          <w:rFonts w:ascii="Times New Roman" w:hAnsi="Times New Roman" w:cs="Times New Roman"/>
          <w:color w:val="0070C0"/>
          <w:spacing w:val="0"/>
          <w:sz w:val="16"/>
          <w:szCs w:val="16"/>
        </w:rPr>
        <w:softHyphen/>
        <w:t>ном уже после победы над Германией). Масса секундного залпа у таких машин составляла 3,52 кг (25141).</w:t>
      </w:r>
    </w:p>
    <w:p w14:paraId="5188A6EB" w14:textId="77777777" w:rsidR="00202698" w:rsidRPr="00C94B78" w:rsidRDefault="00202698" w:rsidP="00B56F90">
      <w:pPr>
        <w:spacing w:after="0" w:line="240" w:lineRule="auto"/>
        <w:jc w:val="both"/>
        <w:rPr>
          <w:rFonts w:ascii="Times New Roman" w:hAnsi="Times New Roman"/>
          <w:color w:val="0070C0"/>
          <w:sz w:val="16"/>
          <w:szCs w:val="16"/>
        </w:rPr>
      </w:pPr>
    </w:p>
    <w:p w14:paraId="667A55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вышел на испытания Як-9Б. Ближний разведчик Як-9Р представ</w:t>
      </w:r>
      <w:r w:rsidRPr="00070ADE">
        <w:rPr>
          <w:rFonts w:ascii="Times New Roman" w:hAnsi="Times New Roman"/>
          <w:color w:val="000000" w:themeColor="text1"/>
          <w:sz w:val="16"/>
          <w:szCs w:val="16"/>
        </w:rPr>
        <w:softHyphen/>
        <w:t>лял собой переделку обычного Як-9, в свободном отсеке фюзеляжа которого размещался аэрофотоаппарат, позволяв</w:t>
      </w:r>
      <w:r w:rsidRPr="00070ADE">
        <w:rPr>
          <w:rFonts w:ascii="Times New Roman" w:hAnsi="Times New Roman"/>
          <w:color w:val="000000" w:themeColor="text1"/>
          <w:sz w:val="16"/>
          <w:szCs w:val="16"/>
        </w:rPr>
        <w:softHyphen/>
        <w:t>ший вести плановую съемку с высот от 300 до 3000 м. Небольшими партиями этот самолет выпускался авиазаводами, кроме того, в полевых авиаремонт</w:t>
      </w:r>
      <w:r w:rsidRPr="00070ADE">
        <w:rPr>
          <w:rFonts w:ascii="Times New Roman" w:hAnsi="Times New Roman"/>
          <w:color w:val="000000" w:themeColor="text1"/>
          <w:sz w:val="16"/>
          <w:szCs w:val="16"/>
        </w:rPr>
        <w:softHyphen/>
        <w:t>ных мастерских или на рембазах в такой разведчик переделывали се</w:t>
      </w:r>
      <w:r w:rsidRPr="00070ADE">
        <w:rPr>
          <w:rFonts w:ascii="Times New Roman" w:hAnsi="Times New Roman"/>
          <w:color w:val="000000" w:themeColor="text1"/>
          <w:sz w:val="16"/>
          <w:szCs w:val="16"/>
        </w:rPr>
        <w:softHyphen/>
        <w:t>рийные Як-9. Второй вариант Як-9Р — даль</w:t>
      </w:r>
      <w:r w:rsidRPr="00070ADE">
        <w:rPr>
          <w:rFonts w:ascii="Times New Roman" w:hAnsi="Times New Roman"/>
          <w:color w:val="000000" w:themeColor="text1"/>
          <w:sz w:val="16"/>
          <w:szCs w:val="16"/>
        </w:rPr>
        <w:softHyphen/>
        <w:t>ний разведчик, являлся модифика</w:t>
      </w:r>
      <w:r w:rsidRPr="00070ADE">
        <w:rPr>
          <w:rFonts w:ascii="Times New Roman" w:hAnsi="Times New Roman"/>
          <w:color w:val="000000" w:themeColor="text1"/>
          <w:sz w:val="16"/>
          <w:szCs w:val="16"/>
        </w:rPr>
        <w:softHyphen/>
        <w:t>цией Як-9Д и отличался не только наличием фотоаппарата, но и бо</w:t>
      </w:r>
      <w:r w:rsidRPr="00070ADE">
        <w:rPr>
          <w:rFonts w:ascii="Times New Roman" w:hAnsi="Times New Roman"/>
          <w:color w:val="000000" w:themeColor="text1"/>
          <w:sz w:val="16"/>
          <w:szCs w:val="16"/>
        </w:rPr>
        <w:softHyphen/>
        <w:t>лее богатым оборудованием. Не</w:t>
      </w:r>
      <w:r w:rsidRPr="00070ADE">
        <w:rPr>
          <w:rFonts w:ascii="Times New Roman" w:hAnsi="Times New Roman"/>
          <w:color w:val="000000" w:themeColor="text1"/>
          <w:sz w:val="16"/>
          <w:szCs w:val="16"/>
        </w:rPr>
        <w:softHyphen/>
        <w:t>большое количество таких Як-9Р было построено на заводе №166. Як-9Р старались применять там, где проведение воздушной разведки другими самолетами, например Пе-2, было сопряжено с большим риском. Хотя ради спра</w:t>
      </w:r>
      <w:r w:rsidRPr="00070ADE">
        <w:rPr>
          <w:rFonts w:ascii="Times New Roman" w:hAnsi="Times New Roman"/>
          <w:color w:val="000000" w:themeColor="text1"/>
          <w:sz w:val="16"/>
          <w:szCs w:val="16"/>
        </w:rPr>
        <w:softHyphen/>
        <w:t>ведливости следует сказать, что полностью заменить Пе-2 в подоб</w:t>
      </w:r>
      <w:r w:rsidRPr="00070ADE">
        <w:rPr>
          <w:rFonts w:ascii="Times New Roman" w:hAnsi="Times New Roman"/>
          <w:color w:val="000000" w:themeColor="text1"/>
          <w:sz w:val="16"/>
          <w:szCs w:val="16"/>
        </w:rPr>
        <w:softHyphen/>
        <w:t>ных операциях Як-9Р не мог по при</w:t>
      </w:r>
      <w:r w:rsidRPr="00070ADE">
        <w:rPr>
          <w:rFonts w:ascii="Times New Roman" w:hAnsi="Times New Roman"/>
          <w:color w:val="000000" w:themeColor="text1"/>
          <w:sz w:val="16"/>
          <w:szCs w:val="16"/>
        </w:rPr>
        <w:softHyphen/>
        <w:t>чине ограниченной видимости из кабины пилота. Летчик и штурман Пе-2 лучше наводили самолет на интересующий объект. Тем не ме</w:t>
      </w:r>
      <w:r w:rsidRPr="00070ADE">
        <w:rPr>
          <w:rFonts w:ascii="Times New Roman" w:hAnsi="Times New Roman"/>
          <w:color w:val="000000" w:themeColor="text1"/>
          <w:sz w:val="16"/>
          <w:szCs w:val="16"/>
        </w:rPr>
        <w:softHyphen/>
        <w:t>нее, эти самолеты хорошо допол</w:t>
      </w:r>
      <w:r w:rsidRPr="00070ADE">
        <w:rPr>
          <w:rFonts w:ascii="Times New Roman" w:hAnsi="Times New Roman"/>
          <w:color w:val="000000" w:themeColor="text1"/>
          <w:sz w:val="16"/>
          <w:szCs w:val="16"/>
        </w:rPr>
        <w:softHyphen/>
        <w:t>няли друг друга. Во Второй мировой войне ист</w:t>
      </w:r>
      <w:r w:rsidRPr="00070ADE">
        <w:rPr>
          <w:rFonts w:ascii="Times New Roman" w:hAnsi="Times New Roman"/>
          <w:color w:val="000000" w:themeColor="text1"/>
          <w:sz w:val="16"/>
          <w:szCs w:val="16"/>
        </w:rPr>
        <w:softHyphen/>
        <w:t>ребители часто использовали для нанесения бомбовых ударов. В этих случаях боевой груз, включав</w:t>
      </w:r>
      <w:r w:rsidRPr="00070ADE">
        <w:rPr>
          <w:rFonts w:ascii="Times New Roman" w:hAnsi="Times New Roman"/>
          <w:color w:val="000000" w:themeColor="text1"/>
          <w:sz w:val="16"/>
          <w:szCs w:val="16"/>
        </w:rPr>
        <w:softHyphen/>
        <w:t>ший одну или несколько бомб, под</w:t>
      </w:r>
      <w:r w:rsidRPr="00070ADE">
        <w:rPr>
          <w:rFonts w:ascii="Times New Roman" w:hAnsi="Times New Roman"/>
          <w:color w:val="000000" w:themeColor="text1"/>
          <w:sz w:val="16"/>
          <w:szCs w:val="16"/>
        </w:rPr>
        <w:softHyphen/>
        <w:t>вешивали под фюзеляжем или кры</w:t>
      </w:r>
      <w:r w:rsidRPr="00070ADE">
        <w:rPr>
          <w:rFonts w:ascii="Times New Roman" w:hAnsi="Times New Roman"/>
          <w:color w:val="000000" w:themeColor="text1"/>
          <w:sz w:val="16"/>
          <w:szCs w:val="16"/>
        </w:rPr>
        <w:softHyphen/>
        <w:t>лом, из-за чего существенно воз</w:t>
      </w:r>
      <w:r w:rsidRPr="00070ADE">
        <w:rPr>
          <w:rFonts w:ascii="Times New Roman" w:hAnsi="Times New Roman"/>
          <w:color w:val="000000" w:themeColor="text1"/>
          <w:sz w:val="16"/>
          <w:szCs w:val="16"/>
        </w:rPr>
        <w:softHyphen/>
        <w:t>растало аэродинамическое сопротивление. На Як-9 был реализован иной способ размещения бомб — внутри фюзеляжа. За основу новой модификации, полу</w:t>
      </w:r>
      <w:r w:rsidRPr="00070ADE">
        <w:rPr>
          <w:rFonts w:ascii="Times New Roman" w:hAnsi="Times New Roman"/>
          <w:color w:val="000000" w:themeColor="text1"/>
          <w:sz w:val="16"/>
          <w:szCs w:val="16"/>
        </w:rPr>
        <w:softHyphen/>
        <w:t>чившей обозначение сначала Як-9Л, а за</w:t>
      </w:r>
      <w:r w:rsidRPr="00070ADE">
        <w:rPr>
          <w:rFonts w:ascii="Times New Roman" w:hAnsi="Times New Roman"/>
          <w:color w:val="000000" w:themeColor="text1"/>
          <w:sz w:val="16"/>
          <w:szCs w:val="16"/>
        </w:rPr>
        <w:softHyphen/>
        <w:t>тем Як-9Б, был взят истребитель Як-9Д. В свободном пространстве фюзеляжа за ка</w:t>
      </w:r>
      <w:r w:rsidRPr="00070ADE">
        <w:rPr>
          <w:rFonts w:ascii="Times New Roman" w:hAnsi="Times New Roman"/>
          <w:color w:val="000000" w:themeColor="text1"/>
          <w:sz w:val="16"/>
          <w:szCs w:val="16"/>
        </w:rPr>
        <w:softHyphen/>
        <w:t>биной летчика конструкторы оборудовали бомбоотсек, содержащий четыре трубы, в которые можно было подвешивать четыре 100-кг бомбы или же размещать 4 кассеты по 32 про</w:t>
      </w:r>
      <w:r w:rsidRPr="00070ADE">
        <w:rPr>
          <w:rFonts w:ascii="Times New Roman" w:hAnsi="Times New Roman"/>
          <w:color w:val="000000" w:themeColor="text1"/>
          <w:sz w:val="16"/>
          <w:szCs w:val="16"/>
        </w:rPr>
        <w:softHyphen/>
        <w:t>тивотанковые кумулятивные бомбы калибром 1,5 или 2,5 кг. Подвеска бомбового вооружения занимала 20-25 минут. Чтобы оценить, много или мало бомб мог нести Як-9Б, достаточно от</w:t>
      </w:r>
      <w:r w:rsidRPr="00070ADE">
        <w:rPr>
          <w:rFonts w:ascii="Times New Roman" w:hAnsi="Times New Roman"/>
          <w:color w:val="000000" w:themeColor="text1"/>
          <w:sz w:val="16"/>
          <w:szCs w:val="16"/>
        </w:rPr>
        <w:softHyphen/>
        <w:t>метить, что его возможности соответствовали нормальной нагрузке штурмовика Ил-2.Испытания показали, что во фронтовых частях Як-9Б лучше использовать с бомбовой нагрузкой 200 кг, поскольку при загрузке 400 кг статиче</w:t>
      </w:r>
      <w:r w:rsidRPr="00070ADE">
        <w:rPr>
          <w:rFonts w:ascii="Times New Roman" w:hAnsi="Times New Roman"/>
          <w:color w:val="000000" w:themeColor="text1"/>
          <w:sz w:val="16"/>
          <w:szCs w:val="16"/>
        </w:rPr>
        <w:softHyphen/>
        <w:t>ская устойчивость самолета недопустимо сни</w:t>
      </w:r>
      <w:r w:rsidRPr="00070ADE">
        <w:rPr>
          <w:rFonts w:ascii="Times New Roman" w:hAnsi="Times New Roman"/>
          <w:color w:val="000000" w:themeColor="text1"/>
          <w:sz w:val="16"/>
          <w:szCs w:val="16"/>
        </w:rPr>
        <w:softHyphen/>
        <w:t>жалась, и в этом случае полеты на нем разре</w:t>
      </w:r>
      <w:r w:rsidRPr="00070ADE">
        <w:rPr>
          <w:rFonts w:ascii="Times New Roman" w:hAnsi="Times New Roman"/>
          <w:color w:val="000000" w:themeColor="text1"/>
          <w:sz w:val="16"/>
          <w:szCs w:val="16"/>
        </w:rPr>
        <w:softHyphen/>
        <w:t>шались только летчикам с хорошей и отличной подготовкой. Самолетами Як-9Б была вооружена 130-я истребительная авиационная дивизия, дейст</w:t>
      </w:r>
      <w:r w:rsidRPr="00070ADE">
        <w:rPr>
          <w:rFonts w:ascii="Times New Roman" w:hAnsi="Times New Roman"/>
          <w:color w:val="000000" w:themeColor="text1"/>
          <w:sz w:val="16"/>
          <w:szCs w:val="16"/>
        </w:rPr>
        <w:softHyphen/>
        <w:t>вовавшая на 3-м Белорусском фронте. Инте</w:t>
      </w:r>
      <w:r w:rsidRPr="00070ADE">
        <w:rPr>
          <w:rFonts w:ascii="Times New Roman" w:hAnsi="Times New Roman"/>
          <w:color w:val="000000" w:themeColor="text1"/>
          <w:sz w:val="16"/>
          <w:szCs w:val="16"/>
        </w:rPr>
        <w:softHyphen/>
        <w:t>ресны результаты боевой работы этого соеди</w:t>
      </w:r>
      <w:r w:rsidRPr="00070ADE">
        <w:rPr>
          <w:rFonts w:ascii="Times New Roman" w:hAnsi="Times New Roman"/>
          <w:color w:val="000000" w:themeColor="text1"/>
          <w:sz w:val="16"/>
          <w:szCs w:val="16"/>
        </w:rPr>
        <w:softHyphen/>
        <w:t>нения. В архиве Министерства обороны России имеются сведения о ее действиях с 18 декабря 1944 г. по 20 февраля 1945 г. За этот период ди визия совершила 2494 боевых вылета. Было сброшено 356,5 т бомб и проведено 53 воздуш</w:t>
      </w:r>
      <w:r w:rsidRPr="00070ADE">
        <w:rPr>
          <w:rFonts w:ascii="Times New Roman" w:hAnsi="Times New Roman"/>
          <w:color w:val="000000" w:themeColor="text1"/>
          <w:sz w:val="16"/>
          <w:szCs w:val="16"/>
        </w:rPr>
        <w:softHyphen/>
        <w:t>ных боя, в которых противник потерял 25 само</w:t>
      </w:r>
      <w:r w:rsidRPr="00070ADE">
        <w:rPr>
          <w:rFonts w:ascii="Times New Roman" w:hAnsi="Times New Roman"/>
          <w:color w:val="000000" w:themeColor="text1"/>
          <w:sz w:val="16"/>
          <w:szCs w:val="16"/>
        </w:rPr>
        <w:softHyphen/>
        <w:t>летов (20 FW190, 2 Bf1099О, 1 Аг56, 2 Нh129). В этих же боях сбито 4 Як-9Б и столько же подби</w:t>
      </w:r>
      <w:r w:rsidRPr="00070ADE">
        <w:rPr>
          <w:rFonts w:ascii="Times New Roman" w:hAnsi="Times New Roman"/>
          <w:color w:val="000000" w:themeColor="text1"/>
          <w:sz w:val="16"/>
          <w:szCs w:val="16"/>
        </w:rPr>
        <w:softHyphen/>
        <w:t>то. Результаты бомбардировок: уничтожено танков — 29, бронетранспортеров — 11, авто</w:t>
      </w:r>
      <w:r w:rsidRPr="00070ADE">
        <w:rPr>
          <w:rFonts w:ascii="Times New Roman" w:hAnsi="Times New Roman"/>
          <w:color w:val="000000" w:themeColor="text1"/>
          <w:sz w:val="16"/>
          <w:szCs w:val="16"/>
        </w:rPr>
        <w:softHyphen/>
        <w:t>машин — 1014, орудий — 7, паровозов — 18, железнодорожных вагонов — 161, станционных зданий — 20, складов горючего — 4 и т.д. Несмотря на, казалось бы, положительные ре</w:t>
      </w:r>
      <w:r w:rsidRPr="00070ADE">
        <w:rPr>
          <w:rFonts w:ascii="Times New Roman" w:hAnsi="Times New Roman"/>
          <w:color w:val="000000" w:themeColor="text1"/>
          <w:sz w:val="16"/>
          <w:szCs w:val="16"/>
        </w:rPr>
        <w:softHyphen/>
        <w:t>зультаты боевой работы Як-9Б, фронтовые летчи</w:t>
      </w:r>
      <w:r w:rsidRPr="00070ADE">
        <w:rPr>
          <w:rFonts w:ascii="Times New Roman" w:hAnsi="Times New Roman"/>
          <w:color w:val="000000" w:themeColor="text1"/>
          <w:sz w:val="16"/>
          <w:szCs w:val="16"/>
        </w:rPr>
        <w:softHyphen/>
        <w:t>ки дали ему невысокую оценку. Причина была до обидного простой — отсутствие специального прицела, который и установить в кабине одно</w:t>
      </w:r>
      <w:r w:rsidRPr="00070ADE">
        <w:rPr>
          <w:rFonts w:ascii="Times New Roman" w:hAnsi="Times New Roman"/>
          <w:color w:val="000000" w:themeColor="text1"/>
          <w:sz w:val="16"/>
          <w:szCs w:val="16"/>
        </w:rPr>
        <w:softHyphen/>
        <w:t>местного истребителя не представлялось воз</w:t>
      </w:r>
      <w:r w:rsidRPr="00070ADE">
        <w:rPr>
          <w:rFonts w:ascii="Times New Roman" w:hAnsi="Times New Roman"/>
          <w:color w:val="000000" w:themeColor="text1"/>
          <w:sz w:val="16"/>
          <w:szCs w:val="16"/>
        </w:rPr>
        <w:softHyphen/>
        <w:t>можным. Летчики вынуждены были использовать простейшие и далеко не самые эффективные способы прицеливания, которые, к тому же, для разных режимов бомбометания существенно от</w:t>
      </w:r>
      <w:r w:rsidRPr="00070ADE">
        <w:rPr>
          <w:rFonts w:ascii="Times New Roman" w:hAnsi="Times New Roman"/>
          <w:color w:val="000000" w:themeColor="text1"/>
          <w:sz w:val="16"/>
          <w:szCs w:val="16"/>
        </w:rPr>
        <w:softHyphen/>
        <w:t>личались. Например, при бомбометании с гори</w:t>
      </w:r>
      <w:r w:rsidRPr="00070ADE">
        <w:rPr>
          <w:rFonts w:ascii="Times New Roman" w:hAnsi="Times New Roman"/>
          <w:color w:val="000000" w:themeColor="text1"/>
          <w:sz w:val="16"/>
          <w:szCs w:val="16"/>
        </w:rPr>
        <w:softHyphen/>
        <w:t>зонтального полета летчик должен был визиро</w:t>
      </w:r>
      <w:r w:rsidRPr="00070ADE">
        <w:rPr>
          <w:rFonts w:ascii="Times New Roman" w:hAnsi="Times New Roman"/>
          <w:color w:val="000000" w:themeColor="text1"/>
          <w:sz w:val="16"/>
          <w:szCs w:val="16"/>
        </w:rPr>
        <w:softHyphen/>
        <w:t>вать цель по капоту мотора, наметить впереди цели ориентир и выдерживать по нему курс, а бомбы сбросить через 3 секунды после «подхода цели к носу самолета». Не удивительно, что точ</w:t>
      </w:r>
      <w:r w:rsidRPr="00070ADE">
        <w:rPr>
          <w:rFonts w:ascii="Times New Roman" w:hAnsi="Times New Roman"/>
          <w:color w:val="000000" w:themeColor="text1"/>
          <w:sz w:val="16"/>
          <w:szCs w:val="16"/>
        </w:rPr>
        <w:softHyphen/>
        <w:t>ность попадания оказывалась низкой. По этой причине Як-9Б не получил широкого распростра</w:t>
      </w:r>
      <w:r w:rsidRPr="00070ADE">
        <w:rPr>
          <w:rFonts w:ascii="Times New Roman" w:hAnsi="Times New Roman"/>
          <w:color w:val="000000" w:themeColor="text1"/>
          <w:sz w:val="16"/>
          <w:szCs w:val="16"/>
        </w:rPr>
        <w:softHyphen/>
        <w:t>нения*. В общей сложности было построено 109 таких истребителей-бомбардировщиков (10712).</w:t>
      </w:r>
    </w:p>
    <w:p w14:paraId="7E3C10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64AB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заводской летчик капитан М.Я.Федотов вынужден был совершить посадку на первом серийном Як-9У с М-107А уже через 10 минут полета во избежание худшего: из мотора пошел дым. Изменения в выхлопных патрубках оказались не единственными. Кроме того, для снижения температуры в подкапотном пространстве сделали жабры на боковых крышках капотов и усилили кожухи обдува коллекторов. Более совершенной стала схема суфлирования мотора и маслобака. Для снижения усилий на ручке, несколько уменьшили площадь руля высоты. Кстати, начиная с этого времени моторы М-107А получили наименование ВК-107А в честь главного конструктора Владимира Климова. После облета первого серийного самолета, старший военпред завода инженер-подполковник подготовил дефектную ведомость, которая включапа 30 пунктов, причем 28 из них относились к конструктивным недостаткам. Военная премка в этом конфликте выступила на стороне дирекции завода, посчитав, что главный конструктор и его представители не проявляют настойчивости в устранении дефектов новой машины.</w:t>
      </w:r>
    </w:p>
    <w:p w14:paraId="6E1CD5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архивным даным, серийный самолет отличался от опытного не только в лучшую сторону. Внешняя отделка была далеко не столь совершенна: отсутствовала полировка поверхностей и не было специальных перегородок, закрывающих шели. Фонарь серийного самолета не имел механизма аварийного сброса, а бронезащита пилота была в конструктивном отношении подобна установленной на серийном Як-9 с мотором М-105ПФ, и в нынешних условиях уже не соответствовала требованиям ВВС Красной Армии (4842).</w:t>
      </w:r>
    </w:p>
    <w:p w14:paraId="63288B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CAFDB6" w14:textId="77777777" w:rsidR="006419F3" w:rsidRPr="00070ADE" w:rsidRDefault="006419F3"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в ОКБ П.О.С. был разработан проект второго варианта (который стал Су-5) одноместного истребителя с моторами М-107 и ВРДК, разработанного в феврале 1944 (1454,67).</w:t>
      </w:r>
    </w:p>
    <w:p w14:paraId="14742C53" w14:textId="77777777" w:rsidR="006419F3" w:rsidRPr="00070ADE" w:rsidRDefault="006419F3"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7CC9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51 заводом ОКБ Н.Н.П. был выпущен У-2 ШС (Штабной самолет) - 5 местный лимузин по инициативе самого Н.Н.П. согласно пожеланиям ВВС. Остался в двух опытных экз. из-за смерти Н.Н.П. (1076,722).</w:t>
      </w:r>
    </w:p>
    <w:p w14:paraId="3F4274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7B0A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на месте завода № 35 в Смоленске образован новый завод № 475 НКАП.</w:t>
      </w:r>
    </w:p>
    <w:p w14:paraId="52608AB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оборудования: (11.1940 г.)-105 металлорежущих станков.</w:t>
      </w:r>
    </w:p>
    <w:p w14:paraId="5CB722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Управляющий (1926 г.-)- М.В. Бавтуто. Директор (-06.1937-03.1940 г.)- М.А. Филатов, (03.1940 г.-)- И.Д. Алексеев.</w:t>
      </w:r>
    </w:p>
    <w:p w14:paraId="78B122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директора (9.05.1938 г.-)- Я.Я. Вилямовский. Помощник директора по найму и увольнению (1.09.1938 г.-)- И.Л. Наздрев.</w:t>
      </w:r>
    </w:p>
    <w:p w14:paraId="3E7A77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Технический директор (11.03.1937 г.-)- М.И. Исаев.</w:t>
      </w:r>
    </w:p>
    <w:p w14:paraId="7B4D8C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(9.05.1938 г.-)- Я.Я. Вилямовский.</w:t>
      </w:r>
    </w:p>
    <w:p w14:paraId="6925181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(-1938 г.)- В.А. Чижевский.</w:t>
      </w:r>
    </w:p>
    <w:p w14:paraId="4F1A5E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самолеты: Р-5 (1937-38), БОК-1, БОК-5, БОК-7, БОК-11, БОК-15 (1938), БОК-17 (11982).</w:t>
      </w:r>
    </w:p>
    <w:p w14:paraId="41A4A821" w14:textId="77777777" w:rsidR="00C71B1D" w:rsidRPr="00070ADE" w:rsidRDefault="00C71B1D"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D2C6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Р.Л.Б. сказал П.Дузю, что проектирует двухдвигательную транспортную и пассажирскую машину для номенклатуры областного и республиканского масштаба и с двумя вольнонаемными заканчивает эскизный проект (1105,7).</w:t>
      </w:r>
    </w:p>
    <w:p w14:paraId="051594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6C1586" w14:textId="77777777" w:rsidR="00CD71E7" w:rsidRPr="00070ADE" w:rsidRDefault="00CD71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после серии аварий и катастроф в 11-м иак, действовавшем на Северо-Западном фронте, провели проверку всех его «Кобр». На 15 маши</w:t>
      </w:r>
      <w:r w:rsidRPr="00070ADE">
        <w:rPr>
          <w:rFonts w:ascii="Times New Roman" w:hAnsi="Times New Roman"/>
          <w:color w:val="000000" w:themeColor="text1"/>
          <w:sz w:val="16"/>
          <w:szCs w:val="16"/>
        </w:rPr>
        <w:softHyphen/>
        <w:t>нах выявили явные признаки деформа</w:t>
      </w:r>
      <w:r w:rsidRPr="00070ADE">
        <w:rPr>
          <w:rFonts w:ascii="Times New Roman" w:hAnsi="Times New Roman"/>
          <w:color w:val="000000" w:themeColor="text1"/>
          <w:sz w:val="16"/>
          <w:szCs w:val="16"/>
        </w:rPr>
        <w:softHyphen/>
        <w:t>ции. Участвовавший в осмотре машин И.Г. Рабкин позже писал: «Мы обнаружили складки справа и слева на хвостовой части фюзеляжа, поломки лонжеронов стабили</w:t>
      </w:r>
      <w:r w:rsidRPr="00070ADE">
        <w:rPr>
          <w:rFonts w:ascii="Times New Roman" w:hAnsi="Times New Roman"/>
          <w:color w:val="000000" w:themeColor="text1"/>
          <w:sz w:val="16"/>
          <w:szCs w:val="16"/>
        </w:rPr>
        <w:softHyphen/>
        <w:t>затора вблизи мест крепления к фюзеляжу, складки на верхней обшивке стабилизато</w:t>
      </w:r>
      <w:r w:rsidRPr="00070ADE">
        <w:rPr>
          <w:rFonts w:ascii="Times New Roman" w:hAnsi="Times New Roman"/>
          <w:color w:val="000000" w:themeColor="text1"/>
          <w:sz w:val="16"/>
          <w:szCs w:val="16"/>
        </w:rPr>
        <w:softHyphen/>
        <w:t>ра и на носке киля». Летчикам временно за</w:t>
      </w:r>
      <w:r w:rsidRPr="00070ADE">
        <w:rPr>
          <w:rFonts w:ascii="Times New Roman" w:hAnsi="Times New Roman"/>
          <w:color w:val="000000" w:themeColor="text1"/>
          <w:sz w:val="16"/>
          <w:szCs w:val="16"/>
        </w:rPr>
        <w:softHyphen/>
        <w:t>претили выполнять иммельман и штопор.</w:t>
      </w:r>
    </w:p>
    <w:p w14:paraId="6E82772A" w14:textId="77777777" w:rsidR="00CD71E7" w:rsidRPr="00070ADE" w:rsidRDefault="00CD71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Большая эффективность рулей, свой</w:t>
      </w:r>
      <w:r w:rsidRPr="00070ADE">
        <w:rPr>
          <w:rFonts w:ascii="Times New Roman" w:hAnsi="Times New Roman"/>
          <w:color w:val="000000" w:themeColor="text1"/>
          <w:sz w:val="16"/>
          <w:szCs w:val="16"/>
        </w:rPr>
        <w:softHyphen/>
        <w:t>ственная Р-39, могла привести к тому, что высокие значения перегрузок можно было получить не только в штопоре, но и при резком маневрировании. Результат — тот же самый, деформация оперения и хво</w:t>
      </w:r>
      <w:r w:rsidRPr="00070ADE">
        <w:rPr>
          <w:rFonts w:ascii="Times New Roman" w:hAnsi="Times New Roman"/>
          <w:color w:val="000000" w:themeColor="text1"/>
          <w:sz w:val="16"/>
          <w:szCs w:val="16"/>
        </w:rPr>
        <w:softHyphen/>
        <w:t>стовой части фюзеляжа. Вот строки из до</w:t>
      </w:r>
      <w:r w:rsidRPr="00070ADE">
        <w:rPr>
          <w:rFonts w:ascii="Times New Roman" w:hAnsi="Times New Roman"/>
          <w:color w:val="000000" w:themeColor="text1"/>
          <w:sz w:val="16"/>
          <w:szCs w:val="16"/>
        </w:rPr>
        <w:softHyphen/>
        <w:t>клада старшего инженера 273-й дивизии (сентябрь 1944 г.): «Выявлены... скручива</w:t>
      </w:r>
      <w:r w:rsidRPr="00070ADE">
        <w:rPr>
          <w:rFonts w:ascii="Times New Roman" w:hAnsi="Times New Roman"/>
          <w:color w:val="000000" w:themeColor="text1"/>
          <w:sz w:val="16"/>
          <w:szCs w:val="16"/>
        </w:rPr>
        <w:softHyphen/>
        <w:t>ние хвостовой части фюзеляжа на участке радиолюка при резких эволюциях в возду</w:t>
      </w:r>
      <w:r w:rsidRPr="00070ADE">
        <w:rPr>
          <w:rFonts w:ascii="Times New Roman" w:hAnsi="Times New Roman"/>
          <w:color w:val="000000" w:themeColor="text1"/>
          <w:sz w:val="16"/>
          <w:szCs w:val="16"/>
        </w:rPr>
        <w:softHyphen/>
        <w:t>хе. Обнаруживалась дефорхмация обшивки в нижней концевой части фюзеляжа... Был случай, когда в воздухе одна из половин стабилизатора загибалась во внутреннюю сторону».</w:t>
      </w:r>
    </w:p>
    <w:p w14:paraId="1E227D06" w14:textId="77777777" w:rsidR="00CD71E7" w:rsidRPr="00070ADE" w:rsidRDefault="00CD71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СССР осуществили целую про</w:t>
      </w:r>
      <w:r w:rsidRPr="00070ADE">
        <w:rPr>
          <w:rFonts w:ascii="Times New Roman" w:hAnsi="Times New Roman"/>
          <w:color w:val="000000" w:themeColor="text1"/>
          <w:sz w:val="16"/>
          <w:szCs w:val="16"/>
        </w:rPr>
        <w:softHyphen/>
        <w:t>грамму борьбы с основными дефектами «Аэрокобры». После тщательных испы</w:t>
      </w:r>
      <w:r w:rsidRPr="00070ADE">
        <w:rPr>
          <w:rFonts w:ascii="Times New Roman" w:hAnsi="Times New Roman"/>
          <w:color w:val="000000" w:themeColor="text1"/>
          <w:sz w:val="16"/>
          <w:szCs w:val="16"/>
        </w:rPr>
        <w:softHyphen/>
        <w:t>таний выявили действия летчика, прово</w:t>
      </w:r>
      <w:r w:rsidRPr="00070ADE">
        <w:rPr>
          <w:rFonts w:ascii="Times New Roman" w:hAnsi="Times New Roman"/>
          <w:color w:val="000000" w:themeColor="text1"/>
          <w:sz w:val="16"/>
          <w:szCs w:val="16"/>
        </w:rPr>
        <w:softHyphen/>
        <w:t>цирующие вхождение в штопор. В НИИ ВВС провели учебные сборы инструкто</w:t>
      </w:r>
      <w:r w:rsidRPr="00070ADE">
        <w:rPr>
          <w:rFonts w:ascii="Times New Roman" w:hAnsi="Times New Roman"/>
          <w:color w:val="000000" w:themeColor="text1"/>
          <w:sz w:val="16"/>
          <w:szCs w:val="16"/>
        </w:rPr>
        <w:softHyphen/>
        <w:t>ров, в части направили опытных пилотов, демонстрировавших безопасные приемы пилотирования американского истребите</w:t>
      </w:r>
      <w:r w:rsidRPr="00070ADE">
        <w:rPr>
          <w:rFonts w:ascii="Times New Roman" w:hAnsi="Times New Roman"/>
          <w:color w:val="000000" w:themeColor="text1"/>
          <w:sz w:val="16"/>
          <w:szCs w:val="16"/>
        </w:rPr>
        <w:softHyphen/>
        <w:t>ля. Сняли даже учебный фильм «Штопор самолета «Аэрокобра». Все это сущест</w:t>
      </w:r>
      <w:r w:rsidRPr="00070ADE">
        <w:rPr>
          <w:rFonts w:ascii="Times New Roman" w:hAnsi="Times New Roman"/>
          <w:color w:val="000000" w:themeColor="text1"/>
          <w:sz w:val="16"/>
          <w:szCs w:val="16"/>
        </w:rPr>
        <w:softHyphen/>
        <w:t>венно уменьшило аварийность на фронте, хотя полностью от потерь избавить, ко</w:t>
      </w:r>
      <w:r w:rsidRPr="00070ADE">
        <w:rPr>
          <w:rFonts w:ascii="Times New Roman" w:hAnsi="Times New Roman"/>
          <w:color w:val="000000" w:themeColor="text1"/>
          <w:sz w:val="16"/>
          <w:szCs w:val="16"/>
        </w:rPr>
        <w:softHyphen/>
        <w:t>нечно, не могло.</w:t>
      </w:r>
    </w:p>
    <w:p w14:paraId="2C22FEE9" w14:textId="77777777" w:rsidR="00CD71E7" w:rsidRPr="00070ADE" w:rsidRDefault="00CD71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Распоряжением главного инженера ВВС ввели ограничения на центровку са</w:t>
      </w:r>
      <w:r w:rsidRPr="00070ADE">
        <w:rPr>
          <w:rFonts w:ascii="Times New Roman" w:hAnsi="Times New Roman"/>
          <w:color w:val="000000" w:themeColor="text1"/>
          <w:sz w:val="16"/>
          <w:szCs w:val="16"/>
        </w:rPr>
        <w:softHyphen/>
        <w:t>молета, запретили при перебазировании укладывать в хвостовую часть чехлы и ин</w:t>
      </w:r>
      <w:r w:rsidRPr="00070ADE">
        <w:rPr>
          <w:rFonts w:ascii="Times New Roman" w:hAnsi="Times New Roman"/>
          <w:color w:val="000000" w:themeColor="text1"/>
          <w:sz w:val="16"/>
          <w:szCs w:val="16"/>
        </w:rPr>
        <w:softHyphen/>
        <w:t>струмент. Высший пилотаж без боезапаса или равного ему по весу балласта катего</w:t>
      </w:r>
      <w:r w:rsidRPr="00070ADE">
        <w:rPr>
          <w:rFonts w:ascii="Times New Roman" w:hAnsi="Times New Roman"/>
          <w:color w:val="000000" w:themeColor="text1"/>
          <w:sz w:val="16"/>
          <w:szCs w:val="16"/>
        </w:rPr>
        <w:softHyphen/>
        <w:t>рически запрещался. Для смещения вперед центровки истребителя иногда практи</w:t>
      </w:r>
      <w:r w:rsidRPr="00070ADE">
        <w:rPr>
          <w:rFonts w:ascii="Times New Roman" w:hAnsi="Times New Roman"/>
          <w:color w:val="000000" w:themeColor="text1"/>
          <w:sz w:val="16"/>
          <w:szCs w:val="16"/>
        </w:rPr>
        <w:softHyphen/>
        <w:t>ковали, например, снятие бронезащиты с маслобака. Так поступали с P-39Q-5. Для более поздних серий этого оказывалось недостаточно. Там еще демонтировали всю броню с карбюратора (три стальных и две дюралевых плиты) и устанавливали балласт перед аккумулятором.</w:t>
      </w:r>
    </w:p>
    <w:p w14:paraId="5599FF2B" w14:textId="77777777" w:rsidR="00CD71E7" w:rsidRPr="00070ADE" w:rsidRDefault="00CD71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Американцы утолщили обшивку, под</w:t>
      </w:r>
      <w:r w:rsidRPr="00070ADE">
        <w:rPr>
          <w:rFonts w:ascii="Times New Roman" w:hAnsi="Times New Roman"/>
          <w:color w:val="000000" w:themeColor="text1"/>
          <w:sz w:val="16"/>
          <w:szCs w:val="16"/>
        </w:rPr>
        <w:softHyphen/>
        <w:t>крепили окантовку лючков. Но деформа</w:t>
      </w:r>
      <w:r w:rsidRPr="00070ADE">
        <w:rPr>
          <w:rFonts w:ascii="Times New Roman" w:hAnsi="Times New Roman"/>
          <w:color w:val="000000" w:themeColor="text1"/>
          <w:sz w:val="16"/>
          <w:szCs w:val="16"/>
        </w:rPr>
        <w:softHyphen/>
        <w:t>ции продолжали обнаруживать — в хво</w:t>
      </w:r>
      <w:r w:rsidRPr="00070ADE">
        <w:rPr>
          <w:rFonts w:ascii="Times New Roman" w:hAnsi="Times New Roman"/>
          <w:color w:val="000000" w:themeColor="text1"/>
          <w:sz w:val="16"/>
          <w:szCs w:val="16"/>
        </w:rPr>
        <w:softHyphen/>
        <w:t>стовой части появлялись продолговатые вмятины.</w:t>
      </w:r>
    </w:p>
    <w:p w14:paraId="0FDEFC40" w14:textId="77777777" w:rsidR="00CD71E7" w:rsidRPr="00070ADE" w:rsidRDefault="00CD71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Поэтому у нас сами занялись усилени</w:t>
      </w:r>
      <w:r w:rsidRPr="00070ADE">
        <w:rPr>
          <w:rFonts w:ascii="Times New Roman" w:hAnsi="Times New Roman"/>
          <w:color w:val="000000" w:themeColor="text1"/>
          <w:sz w:val="16"/>
          <w:szCs w:val="16"/>
        </w:rPr>
        <w:softHyphen/>
        <w:t>ем хвостовой части Р-39, технологию раз</w:t>
      </w:r>
      <w:r w:rsidRPr="00070ADE">
        <w:rPr>
          <w:rFonts w:ascii="Times New Roman" w:hAnsi="Times New Roman"/>
          <w:color w:val="000000" w:themeColor="text1"/>
          <w:sz w:val="16"/>
          <w:szCs w:val="16"/>
        </w:rPr>
        <w:softHyphen/>
        <w:t>работали в ЦАГИ. Параллельно и фирма стала вводить утолщения обшивки, под</w:t>
      </w:r>
      <w:r w:rsidRPr="00070ADE">
        <w:rPr>
          <w:rFonts w:ascii="Times New Roman" w:hAnsi="Times New Roman"/>
          <w:color w:val="000000" w:themeColor="text1"/>
          <w:sz w:val="16"/>
          <w:szCs w:val="16"/>
        </w:rPr>
        <w:softHyphen/>
        <w:t>крепления лючков и тому подобное. Но деформации обшивки все равно возника</w:t>
      </w:r>
      <w:r w:rsidRPr="00070ADE">
        <w:rPr>
          <w:rFonts w:ascii="Times New Roman" w:hAnsi="Times New Roman"/>
          <w:color w:val="000000" w:themeColor="text1"/>
          <w:sz w:val="16"/>
          <w:szCs w:val="16"/>
        </w:rPr>
        <w:softHyphen/>
        <w:t>ли. Тогда в конструкторском бюро ЦНЭБ ВВС инженер М.С. Малков предложил методику подкрепления набора в хвосто</w:t>
      </w:r>
      <w:r w:rsidRPr="00070ADE">
        <w:rPr>
          <w:rFonts w:ascii="Times New Roman" w:hAnsi="Times New Roman"/>
          <w:color w:val="000000" w:themeColor="text1"/>
          <w:sz w:val="16"/>
          <w:szCs w:val="16"/>
        </w:rPr>
        <w:softHyphen/>
        <w:t>вой части. Опытный самолет переделали и испытали в НИИ ВВС. Вслед за этим доработку «Аэрокобр» развернули непо</w:t>
      </w:r>
      <w:r w:rsidRPr="00070ADE">
        <w:rPr>
          <w:rFonts w:ascii="Times New Roman" w:hAnsi="Times New Roman"/>
          <w:color w:val="000000" w:themeColor="text1"/>
          <w:sz w:val="16"/>
          <w:szCs w:val="16"/>
        </w:rPr>
        <w:softHyphen/>
        <w:t>средственно в полках. Только в ПВО таким образом переделали 326 самолетов. В раз</w:t>
      </w:r>
      <w:r w:rsidRPr="00070ADE">
        <w:rPr>
          <w:rFonts w:ascii="Times New Roman" w:hAnsi="Times New Roman"/>
          <w:color w:val="000000" w:themeColor="text1"/>
          <w:sz w:val="16"/>
          <w:szCs w:val="16"/>
        </w:rPr>
        <w:softHyphen/>
        <w:t>личных частях по собственной инициати</w:t>
      </w:r>
      <w:r w:rsidRPr="00070ADE">
        <w:rPr>
          <w:rFonts w:ascii="Times New Roman" w:hAnsi="Times New Roman"/>
          <w:color w:val="000000" w:themeColor="text1"/>
          <w:sz w:val="16"/>
          <w:szCs w:val="16"/>
        </w:rPr>
        <w:softHyphen/>
        <w:t>ве вносили в планер истребителя другие усиления. Так, в 273-й иад ставили на</w:t>
      </w:r>
      <w:r w:rsidRPr="00070ADE">
        <w:rPr>
          <w:rFonts w:ascii="Times New Roman" w:hAnsi="Times New Roman"/>
          <w:color w:val="000000" w:themeColor="text1"/>
          <w:sz w:val="16"/>
          <w:szCs w:val="16"/>
        </w:rPr>
        <w:softHyphen/>
        <w:t>кладки на лонжероны стабилизатора. Все эти меры смещали центровку истребителя назад и вынуждали вновь изыскивать, что бы еще снять. Чаще всего просто ограни</w:t>
      </w:r>
      <w:r w:rsidRPr="00070ADE">
        <w:rPr>
          <w:rFonts w:ascii="Times New Roman" w:hAnsi="Times New Roman"/>
          <w:color w:val="000000" w:themeColor="text1"/>
          <w:sz w:val="16"/>
          <w:szCs w:val="16"/>
        </w:rPr>
        <w:softHyphen/>
        <w:t>чивали заправку маслобака.</w:t>
      </w:r>
    </w:p>
    <w:p w14:paraId="787FDEBD" w14:textId="77777777" w:rsidR="00CD71E7" w:rsidRPr="00070ADE" w:rsidRDefault="00CD71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 осталась в стороне и фирма «Белл». На поздних сериях модификации Q суще</w:t>
      </w:r>
      <w:r w:rsidRPr="00070ADE">
        <w:rPr>
          <w:rFonts w:ascii="Times New Roman" w:hAnsi="Times New Roman"/>
          <w:color w:val="000000" w:themeColor="text1"/>
          <w:sz w:val="16"/>
          <w:szCs w:val="16"/>
        </w:rPr>
        <w:softHyphen/>
        <w:t>ственно усилили хвостовую часть фюзеля</w:t>
      </w:r>
      <w:r w:rsidRPr="00070ADE">
        <w:rPr>
          <w:rFonts w:ascii="Times New Roman" w:hAnsi="Times New Roman"/>
          <w:color w:val="000000" w:themeColor="text1"/>
          <w:sz w:val="16"/>
          <w:szCs w:val="16"/>
        </w:rPr>
        <w:softHyphen/>
        <w:t>жа и ввели установку балласта в носу.</w:t>
      </w:r>
    </w:p>
    <w:p w14:paraId="5C910167" w14:textId="77777777" w:rsidR="00CD71E7" w:rsidRPr="00070ADE" w:rsidRDefault="00CD71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полной победы над штопором так и не добились. И после окончания вой</w:t>
      </w:r>
      <w:r w:rsidRPr="00070ADE">
        <w:rPr>
          <w:rFonts w:ascii="Times New Roman" w:hAnsi="Times New Roman"/>
          <w:color w:val="000000" w:themeColor="text1"/>
          <w:sz w:val="16"/>
          <w:szCs w:val="16"/>
        </w:rPr>
        <w:softHyphen/>
        <w:t>ны пилоты продолжали погибать на«Аэрокобрах». Так, 9 апреля 1947 г. со</w:t>
      </w:r>
      <w:r w:rsidRPr="00070ADE">
        <w:rPr>
          <w:rFonts w:ascii="Times New Roman" w:hAnsi="Times New Roman"/>
          <w:color w:val="000000" w:themeColor="text1"/>
          <w:sz w:val="16"/>
          <w:szCs w:val="16"/>
        </w:rPr>
        <w:softHyphen/>
        <w:t>рвался в штопор и разбился о воду стар</w:t>
      </w:r>
      <w:r w:rsidRPr="00070ADE">
        <w:rPr>
          <w:rFonts w:ascii="Times New Roman" w:hAnsi="Times New Roman"/>
          <w:color w:val="000000" w:themeColor="text1"/>
          <w:sz w:val="16"/>
          <w:szCs w:val="16"/>
        </w:rPr>
        <w:softHyphen/>
        <w:t>ший лейтенант Мойсиевич из 25-го иап морской авиации.</w:t>
      </w:r>
    </w:p>
    <w:p w14:paraId="41EFB94A" w14:textId="77777777" w:rsidR="00CD71E7" w:rsidRPr="00070ADE" w:rsidRDefault="00CD71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Отмечались и другие недостатки «Аэрокобры». Хотя трехколесное шасси обеспечивало прекрасный обзор на ру</w:t>
      </w:r>
      <w:r w:rsidRPr="00070ADE">
        <w:rPr>
          <w:rFonts w:ascii="Times New Roman" w:hAnsi="Times New Roman"/>
          <w:color w:val="000000" w:themeColor="text1"/>
          <w:sz w:val="16"/>
          <w:szCs w:val="16"/>
        </w:rPr>
        <w:softHyphen/>
        <w:t>лении и взлете и в принципе позволяло перемещаться по аэродрому с большой скоростью, не опасаясь капотирования, на неровных грунтовых аэродромах носовая стойка вибрировала и нередко ломалась, что вынуждало ограничивать скорость ру</w:t>
      </w:r>
      <w:r w:rsidRPr="00070ADE">
        <w:rPr>
          <w:rFonts w:ascii="Times New Roman" w:hAnsi="Times New Roman"/>
          <w:color w:val="000000" w:themeColor="text1"/>
          <w:sz w:val="16"/>
          <w:szCs w:val="16"/>
        </w:rPr>
        <w:softHyphen/>
        <w:t>ления.</w:t>
      </w:r>
    </w:p>
    <w:p w14:paraId="24A422CD" w14:textId="77777777" w:rsidR="00CD71E7" w:rsidRPr="00070ADE" w:rsidRDefault="00CD71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Моторы Аллисон V-1710 были те же, что и на Р-40, но увязывались с удлинен</w:t>
      </w:r>
      <w:r w:rsidRPr="00070ADE">
        <w:rPr>
          <w:rFonts w:ascii="Times New Roman" w:hAnsi="Times New Roman"/>
          <w:color w:val="000000" w:themeColor="text1"/>
          <w:sz w:val="16"/>
          <w:szCs w:val="16"/>
        </w:rPr>
        <w:softHyphen/>
        <w:t>ным валом, шедшим через весь самолет к винту. Они требовали квалифицирован</w:t>
      </w:r>
      <w:r w:rsidRPr="00070ADE">
        <w:rPr>
          <w:rFonts w:ascii="Times New Roman" w:hAnsi="Times New Roman"/>
          <w:color w:val="000000" w:themeColor="text1"/>
          <w:sz w:val="16"/>
          <w:szCs w:val="16"/>
        </w:rPr>
        <w:softHyphen/>
        <w:t>ного обслуживания, точной регулировки, хорошего масла и качественного бензина. Особенно уязвимы были подшипники из</w:t>
      </w:r>
    </w:p>
    <w:p w14:paraId="47D7E0EC" w14:textId="77777777" w:rsidR="00CD71E7" w:rsidRPr="00070ADE" w:rsidRDefault="00CD71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«белого сплава», содержавшего серебро. Они прекрасно работали при высоких оборотах и больших нагрузках, но при ка</w:t>
      </w:r>
      <w:r w:rsidRPr="00070ADE">
        <w:rPr>
          <w:rFonts w:ascii="Times New Roman" w:hAnsi="Times New Roman"/>
          <w:color w:val="000000" w:themeColor="text1"/>
          <w:sz w:val="16"/>
          <w:szCs w:val="16"/>
        </w:rPr>
        <w:softHyphen/>
        <w:t>чественной смазке и точной сборке. А эти условия у нас соблюдались далеко не всег</w:t>
      </w:r>
      <w:r w:rsidRPr="00070ADE">
        <w:rPr>
          <w:rFonts w:ascii="Times New Roman" w:hAnsi="Times New Roman"/>
          <w:color w:val="000000" w:themeColor="text1"/>
          <w:sz w:val="16"/>
          <w:szCs w:val="16"/>
        </w:rPr>
        <w:softHyphen/>
        <w:t>да. Моторы отвечали на это по-своему: заклиниванием коленчатого вала, обры</w:t>
      </w:r>
      <w:r w:rsidRPr="00070ADE">
        <w:rPr>
          <w:rFonts w:ascii="Times New Roman" w:hAnsi="Times New Roman"/>
          <w:color w:val="000000" w:themeColor="text1"/>
          <w:sz w:val="16"/>
          <w:szCs w:val="16"/>
        </w:rPr>
        <w:softHyphen/>
        <w:t>вами шатунов. Не скоро удалось приспо</w:t>
      </w:r>
      <w:r w:rsidRPr="00070ADE">
        <w:rPr>
          <w:rFonts w:ascii="Times New Roman" w:hAnsi="Times New Roman"/>
          <w:color w:val="000000" w:themeColor="text1"/>
          <w:sz w:val="16"/>
          <w:szCs w:val="16"/>
        </w:rPr>
        <w:softHyphen/>
        <w:t>собиться к особенностям американских двигателей. Вот что сообщали из 67-го гв. иап в августе 1944 г.: «Мотор положенные ему по ресурсу 250 ч по норме не выраба</w:t>
      </w:r>
      <w:r w:rsidRPr="00070ADE">
        <w:rPr>
          <w:rFonts w:ascii="Times New Roman" w:hAnsi="Times New Roman"/>
          <w:color w:val="000000" w:themeColor="text1"/>
          <w:sz w:val="16"/>
          <w:szCs w:val="16"/>
        </w:rPr>
        <w:softHyphen/>
        <w:t>тывает... За два года эксплуатации не было, чтобы мотор в боевых условиях нарабаты</w:t>
      </w:r>
      <w:r w:rsidRPr="00070ADE">
        <w:rPr>
          <w:rFonts w:ascii="Times New Roman" w:hAnsi="Times New Roman"/>
          <w:color w:val="000000" w:themeColor="text1"/>
          <w:sz w:val="16"/>
          <w:szCs w:val="16"/>
        </w:rPr>
        <w:softHyphen/>
        <w:t>вал хотя бы 60-</w:t>
      </w:r>
      <w:r w:rsidRPr="00070ADE">
        <w:rPr>
          <w:rFonts w:ascii="Times New Roman" w:hAnsi="Times New Roman"/>
          <w:color w:val="000000" w:themeColor="text1"/>
          <w:sz w:val="16"/>
          <w:szCs w:val="16"/>
        </w:rPr>
        <w:tab/>
        <w:t>70% от положенно</w:t>
      </w:r>
      <w:r w:rsidRPr="00070ADE">
        <w:rPr>
          <w:rFonts w:ascii="Times New Roman" w:hAnsi="Times New Roman"/>
          <w:color w:val="000000" w:themeColor="text1"/>
          <w:sz w:val="16"/>
          <w:szCs w:val="16"/>
        </w:rPr>
        <w:softHyphen/>
      </w:r>
    </w:p>
    <w:p w14:paraId="3FDC9E64" w14:textId="77777777" w:rsidR="00CD71E7" w:rsidRPr="00070ADE" w:rsidRDefault="00CD71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 Вот только «стрельба шатунами» здесь оказывалась гораздо опаснее, чем на Р-40, поскольку они легко могли перебить про</w:t>
      </w:r>
      <w:r w:rsidRPr="00070ADE">
        <w:rPr>
          <w:rFonts w:ascii="Times New Roman" w:hAnsi="Times New Roman"/>
          <w:color w:val="000000" w:themeColor="text1"/>
          <w:sz w:val="16"/>
          <w:szCs w:val="16"/>
        </w:rPr>
        <w:softHyphen/>
        <w:t>ходящие рядом тросы рулей.</w:t>
      </w:r>
    </w:p>
    <w:p w14:paraId="0DB5484F" w14:textId="77777777" w:rsidR="00CD71E7" w:rsidRPr="00070ADE" w:rsidRDefault="00CD71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Проверки в частях показывали, что летчики чрезмерно используют форсаж, не следят за состоянием маслосистемы. Да и не всегда пользуются необходимыми марками масел и бензина. У нас «Кобры» сначала обычно заправляли бензином 4Б-78, который, конечно, был хуже амери</w:t>
      </w:r>
      <w:r w:rsidRPr="00070ADE">
        <w:rPr>
          <w:rFonts w:ascii="Times New Roman" w:hAnsi="Times New Roman"/>
          <w:color w:val="000000" w:themeColor="text1"/>
          <w:sz w:val="16"/>
          <w:szCs w:val="16"/>
        </w:rPr>
        <w:softHyphen/>
        <w:t>канского. А в блокированном Ленинграде и Б-78 заменяли самодельной смесью «компот». Известен даже случай, когда в американский истребитель долили Б-70, и он благополучно взлетел после выну</w:t>
      </w:r>
      <w:r w:rsidRPr="00070ADE">
        <w:rPr>
          <w:rFonts w:ascii="Times New Roman" w:hAnsi="Times New Roman"/>
          <w:color w:val="000000" w:themeColor="text1"/>
          <w:sz w:val="16"/>
          <w:szCs w:val="16"/>
        </w:rPr>
        <w:softHyphen/>
        <w:t>жденной посадки! (23513).</w:t>
      </w:r>
    </w:p>
    <w:p w14:paraId="7EA3BA57" w14:textId="77777777" w:rsidR="00CD71E7" w:rsidRPr="00070ADE" w:rsidRDefault="00CD71E7" w:rsidP="00B56F90">
      <w:pPr>
        <w:spacing w:after="0" w:line="240" w:lineRule="auto"/>
        <w:jc w:val="both"/>
        <w:rPr>
          <w:rFonts w:ascii="Times New Roman" w:hAnsi="Times New Roman"/>
          <w:color w:val="000000" w:themeColor="text1"/>
          <w:sz w:val="16"/>
          <w:szCs w:val="16"/>
        </w:rPr>
      </w:pPr>
    </w:p>
    <w:p w14:paraId="27F6C1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АМ-39А на базе АМ-38Ф, 1500/1800 л.с. (по заданию 1700/1800 л.с.), карбюраторный, с нагнетателем от АМ-38Ф, но с двухскоростной передачей, водо-воздушным интеркулером проходил госиспытания в июле — летные испытания (11852).</w:t>
      </w:r>
    </w:p>
    <w:p w14:paraId="40753A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8D92C3" w14:textId="77777777" w:rsidR="00202698" w:rsidRPr="00070ADE" w:rsidRDefault="00202698"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завод № 300 приступил к серийному производству ТК-3 для высотных самолетов Мясищева и Лавочкина. За месяц было выпущено 15 экземпляров. Наркомат авиапрома затягивал принятие решения о дальнейшем производстве ТК-3, а потом выдал совершенно нереальный заказ на изготовление 90 экземпляров (9030).</w:t>
      </w:r>
    </w:p>
    <w:p w14:paraId="29441424" w14:textId="77777777" w:rsidR="00202698" w:rsidRPr="00070ADE" w:rsidRDefault="00202698"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57CB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испытали планер Г-11 В.К.Грибовского, производство которого было восстановлено в Рязани с конца 1943. Л ст.л. Чубуков писал: “Управляемость планера достаточная. Запас рулей вполне обеспечивает вывод планера из самого тяжелого положенияю Управление Г-11 подобрано чрезвычайно удачно, будучи не таким строгим как у планера А-7, вместе с тем обеспечивает полную управляемость в трудных условиях при любых вариантах загрузки. При выполнении фигур пилотажа - штопора, переворота и бочки планер быстро выходит без запаздывания в нормальное положение. Посадка во всех вариантах загрузки проста и выполняется на малых скоростях...” (9080, 25).</w:t>
      </w:r>
    </w:p>
    <w:p w14:paraId="7F173A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3C5C75" w14:textId="77777777" w:rsidR="00E23482" w:rsidRPr="00070ADE" w:rsidRDefault="00E2348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в Рязани собрали первый Г-11, а к маю их изготовили более десятка. За образец взяли аппараты последних серий завода № 471 (19014).</w:t>
      </w:r>
    </w:p>
    <w:p w14:paraId="5BB3BD8F" w14:textId="77777777" w:rsidR="00E23482" w:rsidRPr="00070ADE" w:rsidRDefault="00E23482" w:rsidP="00B56F90">
      <w:pPr>
        <w:spacing w:after="0" w:line="240" w:lineRule="auto"/>
        <w:jc w:val="both"/>
        <w:rPr>
          <w:rFonts w:ascii="Times New Roman" w:hAnsi="Times New Roman"/>
          <w:color w:val="000000" w:themeColor="text1"/>
          <w:sz w:val="16"/>
          <w:szCs w:val="16"/>
        </w:rPr>
      </w:pPr>
    </w:p>
    <w:p w14:paraId="197BF4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марте 1944 г. испытали первый «рязанский» Г-11. Планерист-испытатель старший лейтенант Чубуков написал в своем отзыве: «Управляемость планера достаточная. Запас рулей вполне обеспечивает вывод планера из самого тяжелого положения. Управление Г-11 подобрано чрезвычайно удачно, будучи не таким строгим, как у планера Г-14, вместе с тем обеспечивает полную управляемость в трудных условиях при любых вариантах загрузки. При выполнении фигур пилотажа — штопора, переворота и бочки планер быстро выходит без запаздывания в нормальное положение. Посадка во всех вариантах загрузки проста и выполняется на малых скоростях». В ходе серийного производства в конструкцию Г-11 вносились изменения. Начиная с экземпляра №21 на левом борту фюзеляжа оборудовали увеличенный грузовой люк шириной 1400 мм, а дверь на правом борту упразднили. С октября 1944 г. выпускались планеры с двойным управлением, амортизацией посадочной лыжи и дополнительными усилениями конструкции. В серии эти аппараты, дополнительным внешним отличием которых стал небольшой форкиль, получили обозначение Г-11У. Производство Г-11У прекратилось в середине 1945 г., однако, спустя год возобновилось и продолжалось вплоть до 1948 г. (точных данных о количестве Г-11, произведенных в этот период, не обнаружено). Использование Г-11 в период Великой Отечественной войны показало их высокую надежность и достаточную эффективность. Особенно активно планеры использовались для снабжения партизан в 1943–44 гг. В августе 1944-го конструктор Грибовский за доставку грузов планерами Г-11 партизанам Белоруссии был награжден медалью «Партизан Отечественной войны» (11810). </w:t>
      </w:r>
    </w:p>
    <w:p w14:paraId="4363E0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9A6D5E6"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первый планёр Г-11 собрали в Рязани, а к маю их изготовили более десятка. За образец взяли аппа</w:t>
      </w:r>
      <w:r w:rsidRPr="00070ADE">
        <w:rPr>
          <w:rFonts w:ascii="Times New Roman" w:hAnsi="Times New Roman"/>
          <w:color w:val="000000" w:themeColor="text1"/>
          <w:sz w:val="16"/>
          <w:szCs w:val="16"/>
        </w:rPr>
        <w:softHyphen/>
        <w:t>раты последних серий завода № 471. В мае головной образец облетал стар</w:t>
      </w:r>
      <w:r w:rsidRPr="00070ADE">
        <w:rPr>
          <w:rFonts w:ascii="Times New Roman" w:hAnsi="Times New Roman"/>
          <w:color w:val="000000" w:themeColor="text1"/>
          <w:sz w:val="16"/>
          <w:szCs w:val="16"/>
        </w:rPr>
        <w:softHyphen/>
        <w:t>ший лейтенант В. Чубуков с Опытно-испытательного полигона Воздушно-де- сантных войск. Взвешивание показало, что Г-11 № 63001 рязанского изготов</w:t>
      </w:r>
      <w:r w:rsidRPr="00070ADE">
        <w:rPr>
          <w:rFonts w:ascii="Times New Roman" w:hAnsi="Times New Roman"/>
          <w:color w:val="000000" w:themeColor="text1"/>
          <w:sz w:val="16"/>
          <w:szCs w:val="16"/>
        </w:rPr>
        <w:softHyphen/>
        <w:t>ления на 64 кг тяжелее сделанного в Шумерли. По своей центровке, лётным данным и характеристикам пилотиро</w:t>
      </w:r>
      <w:r w:rsidRPr="00070ADE">
        <w:rPr>
          <w:rFonts w:ascii="Times New Roman" w:hAnsi="Times New Roman"/>
          <w:color w:val="000000" w:themeColor="text1"/>
          <w:sz w:val="16"/>
          <w:szCs w:val="16"/>
        </w:rPr>
        <w:softHyphen/>
        <w:t xml:space="preserve">вания они не различались. Планёр </w:t>
      </w:r>
      <w:r w:rsidRPr="00070ADE">
        <w:rPr>
          <w:rFonts w:ascii="Times New Roman" w:hAnsi="Times New Roman"/>
          <w:color w:val="000000" w:themeColor="text1"/>
          <w:sz w:val="16"/>
          <w:szCs w:val="16"/>
        </w:rPr>
        <w:lastRenderedPageBreak/>
        <w:t>показал себя устойчивым в полёте, отличался хорошей управляемостью. На нём даже выполняли штопор, пере</w:t>
      </w:r>
      <w:r w:rsidRPr="00070ADE">
        <w:rPr>
          <w:rFonts w:ascii="Times New Roman" w:hAnsi="Times New Roman"/>
          <w:color w:val="000000" w:themeColor="text1"/>
          <w:sz w:val="16"/>
          <w:szCs w:val="16"/>
        </w:rPr>
        <w:softHyphen/>
        <w:t>ворот и бочку. При этом пилотирование Г-11 было проще, чем А-7.</w:t>
      </w:r>
    </w:p>
    <w:p w14:paraId="4068B9E3"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Начиная с 21-го экземпляра рязанс</w:t>
      </w:r>
      <w:r w:rsidRPr="00070ADE">
        <w:rPr>
          <w:rFonts w:ascii="Times New Roman" w:hAnsi="Times New Roman"/>
          <w:color w:val="000000" w:themeColor="text1"/>
          <w:sz w:val="16"/>
          <w:szCs w:val="16"/>
        </w:rPr>
        <w:softHyphen/>
        <w:t>кой сборки ввели грузовой люк вместо двери на правом борту. Он закрывался двумя створками. На крыле появились интерцепторы. Позже предусмотрели резиновые пластинчатые амортизато</w:t>
      </w:r>
      <w:r w:rsidRPr="00070ADE">
        <w:rPr>
          <w:rFonts w:ascii="Times New Roman" w:hAnsi="Times New Roman"/>
          <w:color w:val="000000" w:themeColor="text1"/>
          <w:sz w:val="16"/>
          <w:szCs w:val="16"/>
        </w:rPr>
        <w:softHyphen/>
        <w:t>ры для посадочной лыжи и установили небольшой форкиль (12266).</w:t>
      </w:r>
    </w:p>
    <w:p w14:paraId="0CB0116F" w14:textId="77777777" w:rsidR="00137373" w:rsidRPr="00070ADE" w:rsidRDefault="00137373" w:rsidP="00B56F90">
      <w:pPr>
        <w:spacing w:after="0" w:line="240" w:lineRule="auto"/>
        <w:jc w:val="both"/>
        <w:rPr>
          <w:rFonts w:ascii="Times New Roman" w:hAnsi="Times New Roman"/>
          <w:color w:val="000000" w:themeColor="text1"/>
          <w:sz w:val="16"/>
          <w:szCs w:val="16"/>
        </w:rPr>
      </w:pPr>
    </w:p>
    <w:p w14:paraId="59998C3D"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в Рязани собрали Первый планер Г-11, а к маю их изготовили более десятка. За образец взя</w:t>
      </w:r>
      <w:r w:rsidRPr="00070ADE">
        <w:rPr>
          <w:rFonts w:ascii="Times New Roman" w:hAnsi="Times New Roman"/>
          <w:color w:val="000000" w:themeColor="text1"/>
          <w:sz w:val="16"/>
          <w:szCs w:val="16"/>
        </w:rPr>
        <w:softHyphen/>
        <w:t>ли аппараты последних серий завода № 471. В 1943 г. положение на фронтах улучшилось и на</w:t>
      </w:r>
      <w:r w:rsidRPr="00070ADE">
        <w:rPr>
          <w:rFonts w:ascii="Times New Roman" w:hAnsi="Times New Roman"/>
          <w:color w:val="000000" w:themeColor="text1"/>
          <w:sz w:val="16"/>
          <w:szCs w:val="16"/>
        </w:rPr>
        <w:softHyphen/>
        <w:t>ладилось снабжение партизан с помощью планеров, так что производство Г-11 решили восстановить на заводе в Рязани. Туда из Тюмени перевели один из заводов, в котором Грибовского назначили главным конструктором. В мае головной образец облетал старший лейтенант В. Чу</w:t>
      </w:r>
      <w:r w:rsidRPr="00070ADE">
        <w:rPr>
          <w:rFonts w:ascii="Times New Roman" w:hAnsi="Times New Roman"/>
          <w:color w:val="000000" w:themeColor="text1"/>
          <w:sz w:val="16"/>
          <w:szCs w:val="16"/>
        </w:rPr>
        <w:softHyphen/>
        <w:t>буков с Опытно-испытательного полигона Воздушно- десантных войск. Взвешивание показало, что Г-11 № 63001 рязанского изготовления на 64 кг тяжелее сделанного в Шумерли. По своей центровке, лет</w:t>
      </w:r>
      <w:r w:rsidRPr="00070ADE">
        <w:rPr>
          <w:rFonts w:ascii="Times New Roman" w:hAnsi="Times New Roman"/>
          <w:color w:val="000000" w:themeColor="text1"/>
          <w:sz w:val="16"/>
          <w:szCs w:val="16"/>
        </w:rPr>
        <w:softHyphen/>
        <w:t>ным данным и характеристикам пилотирования они не различались. Планер показал себя устойчивым в полете, отличался хорошей управляемостью. На нем даже выполняли штопор, переворот и бочку. При этом пилотирование Г-11 было проще, чем А-7.</w:t>
      </w:r>
    </w:p>
    <w:p w14:paraId="72A5F3D9"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Начиная с 21-го экземпляра рязанской сборки ввели грузовой люк вместо двери на правом борту. Он закрывался двумя створками. На крыле появились интерцепторы. Позже предусмотрели резиновые пластинчатые амортизаторы для посадочной лыжи и установили небольшой форкиль.</w:t>
      </w:r>
    </w:p>
    <w:p w14:paraId="6388B70D"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серийного производства в конструкцию Г-11 вносились изменения. Когда стало ясно, что сбрасывать парашютистов из планера не имеет смысла, то упразднили дверь на правом борту (с эк</w:t>
      </w:r>
      <w:r w:rsidRPr="00070ADE">
        <w:rPr>
          <w:rFonts w:ascii="Times New Roman" w:hAnsi="Times New Roman"/>
          <w:color w:val="000000" w:themeColor="text1"/>
          <w:sz w:val="16"/>
          <w:szCs w:val="16"/>
        </w:rPr>
        <w:softHyphen/>
        <w:t>земпляра № 21), оставив ее только слева. Обобщив опыт применения Г-11, на рязанских планерах стали устанавливать широкую (1400 мм) грузовую дверь (12300).</w:t>
      </w:r>
    </w:p>
    <w:p w14:paraId="0EE36B3B" w14:textId="77777777" w:rsidR="00137373" w:rsidRPr="00070ADE" w:rsidRDefault="00137373" w:rsidP="00B56F90">
      <w:pPr>
        <w:spacing w:after="0" w:line="240" w:lineRule="auto"/>
        <w:jc w:val="both"/>
        <w:rPr>
          <w:rFonts w:ascii="Times New Roman" w:hAnsi="Times New Roman"/>
          <w:color w:val="000000" w:themeColor="text1"/>
          <w:sz w:val="16"/>
          <w:szCs w:val="16"/>
        </w:rPr>
      </w:pPr>
    </w:p>
    <w:p w14:paraId="4595736D" w14:textId="77777777" w:rsidR="00137373" w:rsidRPr="00070ADE" w:rsidRDefault="00137373"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первый «рязанский» Г-11 испытали. Планерист-испытатель старший лейтенант Чубуков написал в своем отзыве:</w:t>
      </w:r>
    </w:p>
    <w:p w14:paraId="1179F0E5" w14:textId="77777777" w:rsidR="00137373" w:rsidRPr="00070ADE" w:rsidRDefault="00137373" w:rsidP="00B56F90">
      <w:pPr>
        <w:shd w:val="clear" w:color="auto" w:fill="FFFFFF"/>
        <w:spacing w:after="0" w:line="240" w:lineRule="auto"/>
        <w:jc w:val="both"/>
        <w:rPr>
          <w:rFonts w:ascii="Times New Roman" w:hAnsi="Times New Roman"/>
          <w:iCs/>
          <w:color w:val="000000" w:themeColor="text1"/>
          <w:sz w:val="16"/>
          <w:szCs w:val="16"/>
        </w:rPr>
      </w:pPr>
      <w:r w:rsidRPr="00070ADE">
        <w:rPr>
          <w:rFonts w:ascii="Times New Roman" w:hAnsi="Times New Roman"/>
          <w:iCs/>
          <w:color w:val="000000" w:themeColor="text1"/>
          <w:sz w:val="16"/>
          <w:szCs w:val="16"/>
        </w:rPr>
        <w:t>«Управляемость планера достаточная. Запас рулей вполне обеспечивает вывод планера из самого тяжелого положения. Управление Г-11 подобрано чрезвычайно удачно, будучи не таким строгим, как у планера А-7, вместе с тем обеспечивает полную управляемость в трудных условиях при любых вариантах загрузки. При выполнении фигур пилотажа - штопора, переворота и бочки планер быстро выходит без запаздывания в нормальное положение. Посадка во всех вариантах загрузки проста и выполняется на малых скоростях».</w:t>
      </w:r>
    </w:p>
    <w:p w14:paraId="0E1B41EF" w14:textId="77777777" w:rsidR="00137373" w:rsidRPr="00070ADE" w:rsidRDefault="00137373"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серийного производства в конструкцию Г-11 вносились изменения. Начиная с экземпляра №21 на левом борту фюзеляжа оборудовали увеличенный грузовой люк шириной 1400 мм, а дверь на правом борту упразднили. С октября 1944 г. выпускались планеры с двойным управлением, амортизацией посадочной лыжи и дополнительными усилениями конструкции. В серии эти аппараты, дополнительным внешним отличием которых стал небольшой форкиль, получили обозначение Г-11У.</w:t>
      </w:r>
    </w:p>
    <w:p w14:paraId="46BD1EE7" w14:textId="77777777" w:rsidR="00137373" w:rsidRPr="00070ADE" w:rsidRDefault="00137373"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Г-11У прекратилось в середине 1945 г., однако, спустя год возобновилось и продолжалось вплоть до 1948 г. (точных данных о количестве Г-11, произведенных в этот период, не обнаружено).</w:t>
      </w:r>
    </w:p>
    <w:p w14:paraId="60575CC8" w14:textId="77777777" w:rsidR="00137373" w:rsidRPr="00070ADE" w:rsidRDefault="00137373"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Использование Г-11 в период Великой Отечественной войны показало их высокую надежность и достаточную эффективность. Особенно активно планеры использовались для снабжения партизан в 1943-44 гг. В августе 1944-го конструктор Грибовский за доставку грузов планерами Г-11 партизанам Белоруссии был награжден медалью «Партизан Отечественной войны».</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77"/>
        <w:gridCol w:w="6645"/>
      </w:tblGrid>
      <w:tr w:rsidR="004D4663" w:rsidRPr="00070ADE" w14:paraId="2D278DC1"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28F4ED5"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Модификация</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ED0039E" w14:textId="0D046519" w:rsidR="00137373" w:rsidRPr="00070ADE" w:rsidRDefault="00C63BA9" w:rsidP="00B56F9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37373" w:rsidRPr="00070ADE">
              <w:rPr>
                <w:rFonts w:ascii="Times New Roman" w:hAnsi="Times New Roman"/>
                <w:color w:val="000000" w:themeColor="text1"/>
                <w:sz w:val="16"/>
                <w:szCs w:val="16"/>
              </w:rPr>
              <w:t>Г-11</w:t>
            </w:r>
          </w:p>
        </w:tc>
      </w:tr>
      <w:tr w:rsidR="004D4663" w:rsidRPr="00070ADE" w14:paraId="1E450E2F"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175F848"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Размах крыла, м</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5C2D3D4" w14:textId="329BDBAA" w:rsidR="00137373" w:rsidRPr="00070ADE" w:rsidRDefault="00C63BA9" w:rsidP="00B56F9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37373" w:rsidRPr="00070ADE">
              <w:rPr>
                <w:rFonts w:ascii="Times New Roman" w:hAnsi="Times New Roman"/>
                <w:color w:val="000000" w:themeColor="text1"/>
                <w:sz w:val="16"/>
                <w:szCs w:val="16"/>
              </w:rPr>
              <w:t>18.00</w:t>
            </w:r>
          </w:p>
        </w:tc>
      </w:tr>
      <w:tr w:rsidR="004D4663" w:rsidRPr="00070ADE" w14:paraId="511EEA39"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A3DF451"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м</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5D2C010" w14:textId="5B784D5B" w:rsidR="00137373" w:rsidRPr="00070ADE" w:rsidRDefault="00C63BA9" w:rsidP="00B56F9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37373" w:rsidRPr="00070ADE">
              <w:rPr>
                <w:rFonts w:ascii="Times New Roman" w:hAnsi="Times New Roman"/>
                <w:color w:val="000000" w:themeColor="text1"/>
                <w:sz w:val="16"/>
                <w:szCs w:val="16"/>
              </w:rPr>
              <w:t>10.84</w:t>
            </w:r>
          </w:p>
        </w:tc>
      </w:tr>
      <w:tr w:rsidR="004D4663" w:rsidRPr="00070ADE" w14:paraId="7EE617DE"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A0C6054"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 м</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7D84544" w14:textId="675CD2FD" w:rsidR="00137373"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r>
      <w:tr w:rsidR="004D4663" w:rsidRPr="00070ADE" w14:paraId="2C28E340"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C2E9B81"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Площадь крыла, м²</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3108772" w14:textId="781F033D" w:rsidR="00137373" w:rsidRPr="00070ADE" w:rsidRDefault="00C63BA9" w:rsidP="00B56F9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37373" w:rsidRPr="00070ADE">
              <w:rPr>
                <w:rFonts w:ascii="Times New Roman" w:hAnsi="Times New Roman"/>
                <w:color w:val="000000" w:themeColor="text1"/>
                <w:sz w:val="16"/>
                <w:szCs w:val="16"/>
              </w:rPr>
              <w:t>30.00</w:t>
            </w:r>
          </w:p>
        </w:tc>
      </w:tr>
      <w:tr w:rsidR="004D4663" w:rsidRPr="00070ADE" w14:paraId="14FE30EC"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7A2E8FE"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Масса, кг</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FD1217A" w14:textId="10B92A91" w:rsidR="00137373"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r>
      <w:tr w:rsidR="004D4663" w:rsidRPr="00070ADE" w14:paraId="6FED1F9B"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6A77AEA" w14:textId="2F22241E" w:rsidR="00137373" w:rsidRPr="00070ADE" w:rsidRDefault="00C63BA9" w:rsidP="00B56F9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37373" w:rsidRPr="00070ADE">
              <w:rPr>
                <w:rFonts w:ascii="Times New Roman" w:hAnsi="Times New Roman"/>
                <w:color w:val="000000" w:themeColor="text1"/>
                <w:sz w:val="16"/>
                <w:szCs w:val="16"/>
              </w:rPr>
              <w:t>пустого снаряженного</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2235128" w14:textId="151689C7" w:rsidR="00137373" w:rsidRPr="00070ADE" w:rsidRDefault="00C63BA9" w:rsidP="00B56F9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37373" w:rsidRPr="00070ADE">
              <w:rPr>
                <w:rFonts w:ascii="Times New Roman" w:hAnsi="Times New Roman"/>
                <w:color w:val="000000" w:themeColor="text1"/>
                <w:sz w:val="16"/>
                <w:szCs w:val="16"/>
              </w:rPr>
              <w:t>960</w:t>
            </w:r>
          </w:p>
        </w:tc>
      </w:tr>
      <w:tr w:rsidR="004D4663" w:rsidRPr="00070ADE" w14:paraId="0716A815"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6E2605C" w14:textId="3137247E" w:rsidR="00137373" w:rsidRPr="00070ADE" w:rsidRDefault="00C63BA9" w:rsidP="00B56F9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37373" w:rsidRPr="00070ADE">
              <w:rPr>
                <w:rFonts w:ascii="Times New Roman" w:hAnsi="Times New Roman"/>
                <w:color w:val="000000" w:themeColor="text1"/>
                <w:sz w:val="16"/>
                <w:szCs w:val="16"/>
              </w:rPr>
              <w:t>максимальная взлетная</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597AEB8" w14:textId="5D7857CE" w:rsidR="00137373" w:rsidRPr="00070ADE" w:rsidRDefault="00C63BA9" w:rsidP="00B56F9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37373" w:rsidRPr="00070ADE">
              <w:rPr>
                <w:rFonts w:ascii="Times New Roman" w:hAnsi="Times New Roman"/>
                <w:color w:val="000000" w:themeColor="text1"/>
                <w:sz w:val="16"/>
                <w:szCs w:val="16"/>
              </w:rPr>
              <w:t>1660</w:t>
            </w:r>
          </w:p>
        </w:tc>
      </w:tr>
      <w:tr w:rsidR="004D4663" w:rsidRPr="00070ADE" w14:paraId="606AAF9E"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B3ADBF0"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км/ч</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C144367" w14:textId="1F9F1C87" w:rsidR="00137373" w:rsidRPr="00070ADE" w:rsidRDefault="00C63BA9" w:rsidP="00B56F9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37373" w:rsidRPr="00070ADE">
              <w:rPr>
                <w:rFonts w:ascii="Times New Roman" w:hAnsi="Times New Roman"/>
                <w:color w:val="000000" w:themeColor="text1"/>
                <w:sz w:val="16"/>
                <w:szCs w:val="16"/>
              </w:rPr>
              <w:t>220</w:t>
            </w:r>
          </w:p>
        </w:tc>
      </w:tr>
      <w:tr w:rsidR="004D4663" w:rsidRPr="00070ADE" w14:paraId="57F8269B" w14:textId="77777777" w:rsidTr="00137373">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7E01B22"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Полезная нагрузка:</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B7DE647" w14:textId="08A83621" w:rsidR="00137373" w:rsidRPr="00070ADE" w:rsidRDefault="00C63BA9" w:rsidP="00B56F9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37373" w:rsidRPr="00070ADE">
              <w:rPr>
                <w:rFonts w:ascii="Times New Roman" w:hAnsi="Times New Roman"/>
                <w:color w:val="000000" w:themeColor="text1"/>
                <w:sz w:val="16"/>
                <w:szCs w:val="16"/>
              </w:rPr>
              <w:t>11 десантников</w:t>
            </w:r>
          </w:p>
        </w:tc>
      </w:tr>
    </w:tbl>
    <w:p w14:paraId="65EDE90A" w14:textId="77777777" w:rsidR="00137373" w:rsidRPr="00070ADE" w:rsidRDefault="00137373" w:rsidP="00B56F90">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(12682).</w:t>
      </w:r>
    </w:p>
    <w:p w14:paraId="73121193" w14:textId="77777777" w:rsidR="00137373" w:rsidRPr="00070ADE" w:rsidRDefault="00137373" w:rsidP="00B56F90">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173938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был утвержден Отчет по совместным 50-часовым испытаниям мотора АШ-83</w:t>
      </w:r>
    </w:p>
    <w:p w14:paraId="093F29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Конструктор А.Швецов, з-д № 19</w:t>
      </w:r>
    </w:p>
    <w:p w14:paraId="57177F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Конструктивные отличия АШ-83 от АШ-82ФН следующие:</w:t>
      </w:r>
    </w:p>
    <w:p w14:paraId="3B84AF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Гильзы цилиндров имеют увеличенное оребрение на 22%</w:t>
      </w:r>
    </w:p>
    <w:p w14:paraId="6C4C5C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Крепление всасывающих труб к цилиндрам и выхлопных патрубков задних цилиндров осуществлено при помощи накидных гаек</w:t>
      </w:r>
    </w:p>
    <w:p w14:paraId="488070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Диаметро крыльчатки нагнетателя 305 мм вместо 288 мм</w:t>
      </w:r>
    </w:p>
    <w:p w14:paraId="0274E6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дефекты:</w:t>
      </w:r>
    </w:p>
    <w:p w14:paraId="59C36C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Прогар выхлопного клапана 14 цилиндра</w:t>
      </w:r>
    </w:p>
    <w:p w14:paraId="393931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Задир поршня 5 цилиндра</w:t>
      </w:r>
    </w:p>
    <w:p w14:paraId="62387B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w:t>
      </w:r>
    </w:p>
    <w:p w14:paraId="2BD4E1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Надежность всех деталей и агрегатов удовлетворительная</w:t>
      </w:r>
    </w:p>
    <w:p w14:paraId="20EA7E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Мотор АШ-83 может быть запущен в серийное пр-во со сроком службы между переборками - 50 часов</w:t>
      </w:r>
    </w:p>
    <w:p w14:paraId="5EF983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ноябре 1944 прошел 100 часовые госиспытания (735,13).</w:t>
      </w:r>
    </w:p>
    <w:p w14:paraId="252A95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АШ-83</w:t>
      </w:r>
    </w:p>
    <w:p w14:paraId="6DB7A5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Взлетная мощность 1900 лс.с. при числе оборотов 25000 и наддуве 1240мм</w:t>
      </w:r>
    </w:p>
    <w:p w14:paraId="395310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Удельный расхо топлива - 320-340 г/лс/час</w:t>
      </w:r>
    </w:p>
    <w:p w14:paraId="42A19C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Номинальнаяч мощность:</w:t>
      </w:r>
    </w:p>
    <w:p w14:paraId="4D0136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 1550 л.с., число оборотов 2450, Рк 10140, удельный расход 290-315</w:t>
      </w:r>
    </w:p>
    <w:p w14:paraId="42A050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гр высотности - 1700, 2450, 1040, расчетная всота 2000 м, удельный расход топлива 280-305, масла - 12, передаточное число 7,14 к 1</w:t>
      </w:r>
    </w:p>
    <w:p w14:paraId="1B3E47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 гр. высотности - 1500, 2450, 1040, 5800, 305-325, 12, 10 к 1</w:t>
      </w:r>
    </w:p>
    <w:p w14:paraId="3F3B68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Диаметр цилиндров - 155,5, ход поршня 155, литраж - 41,2, степень сжатия 7, степень редукции 11/16, площадь лба - 1,245 м2, сухой вес 916, уд. Вес 0,45 на взлетном.</w:t>
      </w:r>
    </w:p>
    <w:p w14:paraId="652B64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Габариты - длина 2013, диаметр 1260</w:t>
      </w:r>
    </w:p>
    <w:p w14:paraId="4CB5B0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Топливо 4Б-78, масло МЗС, МК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418"/>
        <w:gridCol w:w="1275"/>
        <w:gridCol w:w="1985"/>
        <w:gridCol w:w="1701"/>
      </w:tblGrid>
      <w:tr w:rsidR="004D4663" w:rsidRPr="00070ADE" w14:paraId="67854662" w14:textId="77777777">
        <w:tc>
          <w:tcPr>
            <w:tcW w:w="1951" w:type="dxa"/>
            <w:tcBorders>
              <w:top w:val="single" w:sz="12" w:space="0" w:color="auto"/>
            </w:tcBorders>
          </w:tcPr>
          <w:p w14:paraId="7147D0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Предельные величины</w:t>
            </w:r>
          </w:p>
        </w:tc>
        <w:tc>
          <w:tcPr>
            <w:tcW w:w="1418" w:type="dxa"/>
            <w:tcBorders>
              <w:top w:val="single" w:sz="12" w:space="0" w:color="auto"/>
            </w:tcBorders>
          </w:tcPr>
          <w:p w14:paraId="6B2382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 бенз. кг/см2</w:t>
            </w:r>
          </w:p>
        </w:tc>
        <w:tc>
          <w:tcPr>
            <w:tcW w:w="1275" w:type="dxa"/>
            <w:tcBorders>
              <w:top w:val="single" w:sz="12" w:space="0" w:color="auto"/>
            </w:tcBorders>
          </w:tcPr>
          <w:p w14:paraId="4C5148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 масла кг/см2</w:t>
            </w:r>
          </w:p>
        </w:tc>
        <w:tc>
          <w:tcPr>
            <w:tcW w:w="1985" w:type="dxa"/>
            <w:tcBorders>
              <w:top w:val="single" w:sz="12" w:space="0" w:color="auto"/>
            </w:tcBorders>
          </w:tcPr>
          <w:p w14:paraId="656983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температура масла</w:t>
            </w:r>
          </w:p>
        </w:tc>
        <w:tc>
          <w:tcPr>
            <w:tcW w:w="1701" w:type="dxa"/>
            <w:tcBorders>
              <w:top w:val="single" w:sz="12" w:space="0" w:color="auto"/>
            </w:tcBorders>
          </w:tcPr>
          <w:p w14:paraId="1BF029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температура головок цилиндров</w:t>
            </w:r>
          </w:p>
        </w:tc>
      </w:tr>
      <w:tr w:rsidR="004D4663" w:rsidRPr="00070ADE" w14:paraId="01CED249" w14:textId="77777777">
        <w:tc>
          <w:tcPr>
            <w:tcW w:w="1951" w:type="dxa"/>
          </w:tcPr>
          <w:p w14:paraId="7EE9FC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Минимальная</w:t>
            </w:r>
          </w:p>
        </w:tc>
        <w:tc>
          <w:tcPr>
            <w:tcW w:w="1418" w:type="dxa"/>
          </w:tcPr>
          <w:p w14:paraId="719852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7B9973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w:t>
            </w:r>
          </w:p>
        </w:tc>
        <w:tc>
          <w:tcPr>
            <w:tcW w:w="1275" w:type="dxa"/>
          </w:tcPr>
          <w:p w14:paraId="48F817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p w14:paraId="70AC7C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w:t>
            </w:r>
          </w:p>
        </w:tc>
        <w:tc>
          <w:tcPr>
            <w:tcW w:w="1985" w:type="dxa"/>
          </w:tcPr>
          <w:p w14:paraId="2439B2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вх. 50, вых. 60</w:t>
            </w:r>
          </w:p>
        </w:tc>
        <w:tc>
          <w:tcPr>
            <w:tcW w:w="1701" w:type="dxa"/>
          </w:tcPr>
          <w:p w14:paraId="548B5F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tc>
      </w:tr>
      <w:tr w:rsidR="004D4663" w:rsidRPr="00070ADE" w14:paraId="2905D81A" w14:textId="77777777">
        <w:tc>
          <w:tcPr>
            <w:tcW w:w="1951" w:type="dxa"/>
          </w:tcPr>
          <w:p w14:paraId="7665EF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Рекомендуемая</w:t>
            </w:r>
          </w:p>
        </w:tc>
        <w:tc>
          <w:tcPr>
            <w:tcW w:w="1418" w:type="dxa"/>
          </w:tcPr>
          <w:p w14:paraId="3FB2DD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w:t>
            </w:r>
          </w:p>
        </w:tc>
        <w:tc>
          <w:tcPr>
            <w:tcW w:w="1275" w:type="dxa"/>
          </w:tcPr>
          <w:p w14:paraId="4BF985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5,5-6,5</w:t>
            </w:r>
          </w:p>
        </w:tc>
        <w:tc>
          <w:tcPr>
            <w:tcW w:w="1985" w:type="dxa"/>
          </w:tcPr>
          <w:p w14:paraId="3E7C97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вх. 60-75, вых. 80-100</w:t>
            </w:r>
          </w:p>
        </w:tc>
        <w:tc>
          <w:tcPr>
            <w:tcW w:w="1701" w:type="dxa"/>
          </w:tcPr>
          <w:p w14:paraId="4CBA7A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215</w:t>
            </w:r>
          </w:p>
        </w:tc>
      </w:tr>
      <w:tr w:rsidR="004D4663" w:rsidRPr="00070ADE" w14:paraId="7640FAF4" w14:textId="77777777">
        <w:tc>
          <w:tcPr>
            <w:tcW w:w="1951" w:type="dxa"/>
            <w:tcBorders>
              <w:bottom w:val="single" w:sz="12" w:space="0" w:color="auto"/>
            </w:tcBorders>
          </w:tcPr>
          <w:p w14:paraId="604017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w:t>
            </w:r>
          </w:p>
        </w:tc>
        <w:tc>
          <w:tcPr>
            <w:tcW w:w="1418" w:type="dxa"/>
            <w:tcBorders>
              <w:bottom w:val="single" w:sz="12" w:space="0" w:color="auto"/>
            </w:tcBorders>
          </w:tcPr>
          <w:p w14:paraId="15DE73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1275" w:type="dxa"/>
            <w:tcBorders>
              <w:bottom w:val="single" w:sz="12" w:space="0" w:color="auto"/>
            </w:tcBorders>
          </w:tcPr>
          <w:p w14:paraId="120220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5,5-6,5</w:t>
            </w:r>
          </w:p>
        </w:tc>
        <w:tc>
          <w:tcPr>
            <w:tcW w:w="1985" w:type="dxa"/>
            <w:tcBorders>
              <w:bottom w:val="single" w:sz="12" w:space="0" w:color="auto"/>
            </w:tcBorders>
          </w:tcPr>
          <w:p w14:paraId="7696C2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вх. 85, вых. 125</w:t>
            </w:r>
          </w:p>
        </w:tc>
        <w:tc>
          <w:tcPr>
            <w:tcW w:w="1701" w:type="dxa"/>
            <w:tcBorders>
              <w:bottom w:val="single" w:sz="12" w:space="0" w:color="auto"/>
            </w:tcBorders>
          </w:tcPr>
          <w:p w14:paraId="10BE79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r>
    </w:tbl>
    <w:p w14:paraId="35E85D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(735,13).</w:t>
      </w:r>
    </w:p>
    <w:p w14:paraId="2E52F3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5D2E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завод № 300 приступил к се</w:t>
      </w:r>
      <w:r w:rsidRPr="00070ADE">
        <w:rPr>
          <w:rFonts w:ascii="Times New Roman" w:hAnsi="Times New Roman"/>
          <w:color w:val="000000" w:themeColor="text1"/>
          <w:sz w:val="16"/>
          <w:szCs w:val="16"/>
        </w:rPr>
        <w:softHyphen/>
        <w:t>рийному производству турбокомпрессоров ТК-3 для высотных са</w:t>
      </w:r>
      <w:r w:rsidRPr="00070ADE">
        <w:rPr>
          <w:rFonts w:ascii="Times New Roman" w:hAnsi="Times New Roman"/>
          <w:color w:val="000000" w:themeColor="text1"/>
          <w:sz w:val="16"/>
          <w:szCs w:val="16"/>
        </w:rPr>
        <w:softHyphen/>
        <w:t>молетов Мясищева и Лавочкина. За месяц было выпущено 15 эк</w:t>
      </w:r>
      <w:r w:rsidRPr="00070ADE">
        <w:rPr>
          <w:rFonts w:ascii="Times New Roman" w:hAnsi="Times New Roman"/>
          <w:color w:val="000000" w:themeColor="text1"/>
          <w:sz w:val="16"/>
          <w:szCs w:val="16"/>
        </w:rPr>
        <w:softHyphen/>
        <w:t>земпляров ТК-3. Два из них проходили комиссионные испытания. Выявились недостатки, потребовавшие доработки уже готовых тур</w:t>
      </w:r>
      <w:r w:rsidRPr="00070ADE">
        <w:rPr>
          <w:rFonts w:ascii="Times New Roman" w:hAnsi="Times New Roman"/>
          <w:color w:val="000000" w:themeColor="text1"/>
          <w:sz w:val="16"/>
          <w:szCs w:val="16"/>
        </w:rPr>
        <w:softHyphen/>
        <w:t>бокомпрессоров. После переделки ТК работали нормально, и заказ</w:t>
      </w:r>
      <w:r w:rsidRPr="00070ADE">
        <w:rPr>
          <w:rFonts w:ascii="Times New Roman" w:hAnsi="Times New Roman"/>
          <w:color w:val="000000" w:themeColor="text1"/>
          <w:sz w:val="16"/>
          <w:szCs w:val="16"/>
        </w:rPr>
        <w:softHyphen/>
        <w:t>чику сдали 34 агрегата. Наркомат авиапрома затягивал принятие решения о дальнейшем производстве ТК-3, а потом выдал совершен</w:t>
      </w:r>
      <w:r w:rsidRPr="00070ADE">
        <w:rPr>
          <w:rFonts w:ascii="Times New Roman" w:hAnsi="Times New Roman"/>
          <w:color w:val="000000" w:themeColor="text1"/>
          <w:sz w:val="16"/>
          <w:szCs w:val="16"/>
        </w:rPr>
        <w:softHyphen/>
        <w:t>но нереальный заказ на изготовление 90 экземпляров. Даже с уче</w:t>
      </w:r>
      <w:r w:rsidRPr="00070ADE">
        <w:rPr>
          <w:rFonts w:ascii="Times New Roman" w:hAnsi="Times New Roman"/>
          <w:color w:val="000000" w:themeColor="text1"/>
          <w:sz w:val="16"/>
          <w:szCs w:val="16"/>
        </w:rPr>
        <w:softHyphen/>
        <w:t xml:space="preserve">том собранных в 1945 г., заказчику было сдано всего 64 агрегата (10781). Параллельно с ТК-3 Микулин разрабатывал турбокомпрессор собственной конструкции ТК-300, затем ТК-300Б, которые явились прототипами уникального турбокомпрессора. </w:t>
      </w:r>
    </w:p>
    <w:p w14:paraId="74C1DE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8D1F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проводили госиспытания на стенде М-12, прерванные из-за поломки через 30 ч. Всего изготовили шесть-семь опытных экземпляров. Работы по М-12 Коссов вел до осени 1944 г. Впоследствии узлы коссовского М-12 скомбинировали с цилиндровой группой двигателя М-11Д, получив М-11ФР, запущенный в серию (11478).</w:t>
      </w:r>
    </w:p>
    <w:p w14:paraId="5CFEB1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1EDE9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АМ-39 про</w:t>
      </w:r>
      <w:r w:rsidRPr="00070ADE">
        <w:rPr>
          <w:rFonts w:ascii="Times New Roman" w:hAnsi="Times New Roman"/>
          <w:color w:val="000000" w:themeColor="text1"/>
          <w:sz w:val="16"/>
          <w:szCs w:val="16"/>
        </w:rPr>
        <w:softHyphen/>
        <w:t>шел госиспытания, но в большую серию не запускался. В апреле 1944 г. 10 АМ-39 изготовили на заводе № 45, в мае — июне того же года 22 экз. переделали на заводе № 300 из АМ-38Ф с исполь</w:t>
      </w:r>
      <w:r w:rsidRPr="00070ADE">
        <w:rPr>
          <w:rFonts w:ascii="Times New Roman" w:hAnsi="Times New Roman"/>
          <w:color w:val="000000" w:themeColor="text1"/>
          <w:sz w:val="16"/>
          <w:szCs w:val="16"/>
        </w:rPr>
        <w:softHyphen/>
        <w:t>зованием узлов, изготовленных заводом № 45.</w:t>
      </w:r>
    </w:p>
    <w:p w14:paraId="0F3222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Характеристики:</w:t>
      </w:r>
    </w:p>
    <w:p w14:paraId="115100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12-цилиндровый рядный У-образный, четырехтактный, водяного охлаждения, редукторный, с двухскоростным ПЦН и интеркулером;</w:t>
      </w:r>
    </w:p>
    <w:p w14:paraId="6B9B55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диаметр цилиндра/ход поршня 160/190 мм (в цилиндрах с прицепными шатунами 196,8 мм);</w:t>
      </w:r>
    </w:p>
    <w:p w14:paraId="411A14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объем 46,66 л;</w:t>
      </w:r>
    </w:p>
    <w:p w14:paraId="20A1E6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мощность и вес в зависимости от модификации;</w:t>
      </w:r>
    </w:p>
    <w:p w14:paraId="7E174F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запуск сжатым воздухом;</w:t>
      </w:r>
    </w:p>
    <w:p w14:paraId="5F4DC6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возможна установка синхронизатора. Известны модификации:</w:t>
      </w:r>
    </w:p>
    <w:p w14:paraId="45B7DF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АМ-39 на базе АМ-38, 1500/1800 л.с., карбюраторный.</w:t>
      </w:r>
    </w:p>
    <w:p w14:paraId="39F691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АМ-39А на базе АМ-38Ф, 1500/1800 л.с. (по заданию 1700/1800 л.с.), карбюраторный, с нагнетателем от АМ-38Ф, но с двухскоростной передачей, водо-воздушным интеркулером. Проходил госиспытания в марте 1944 г., в июле — летные испытания.</w:t>
      </w:r>
    </w:p>
    <w:p w14:paraId="4338F0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АМ-39А-ТК с турбонагнетателями ТК-Б. Испытывался на самолете И-224 в феврале 1944 г.</w:t>
      </w:r>
    </w:p>
    <w:p w14:paraId="7A6AB6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АМ-39Б (АМ-39Б-ТК), 1580/1890 л.с., вариант предыдущего типа с двумя турбонагнетателями ТК-ЗООБ и воздухо-воздушным интеркуле</w:t>
      </w:r>
      <w:r w:rsidRPr="00070ADE">
        <w:rPr>
          <w:rFonts w:ascii="Times New Roman" w:hAnsi="Times New Roman"/>
          <w:color w:val="000000" w:themeColor="text1"/>
          <w:sz w:val="16"/>
          <w:szCs w:val="16"/>
        </w:rPr>
        <w:softHyphen/>
        <w:t>ром. Испытывался в июне 1944 г. на И-224.</w:t>
      </w:r>
    </w:p>
    <w:p w14:paraId="6AE31B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АМ-39В с одним турбонагнетателем АМТК-1, установленным только на одном блоке двигателя (асимметрично); с другой стороны — вы</w:t>
      </w:r>
      <w:r w:rsidRPr="00070ADE">
        <w:rPr>
          <w:rFonts w:ascii="Times New Roman" w:hAnsi="Times New Roman"/>
          <w:color w:val="000000" w:themeColor="text1"/>
          <w:sz w:val="16"/>
          <w:szCs w:val="16"/>
        </w:rPr>
        <w:softHyphen/>
        <w:t>хлопные патрубки.</w:t>
      </w:r>
    </w:p>
    <w:p w14:paraId="25909E2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АМ-39 с турбонагнетателем АМТК</w:t>
      </w:r>
    </w:p>
    <w:p w14:paraId="38102A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АМ-39Ф с новым односкоростным ПЦН, форсирован по оборотам и наддуву, мощность 1800/1800 л.с. В ноябре 1944 г. прошел заводские испытания, затем летные на самолете «63».</w:t>
      </w:r>
    </w:p>
    <w:p w14:paraId="5F38F6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АМ-39Ф — вариант предыдущего с впрыском воды на режиме фор</w:t>
      </w:r>
      <w:r w:rsidRPr="00070ADE">
        <w:rPr>
          <w:rFonts w:ascii="Times New Roman" w:hAnsi="Times New Roman"/>
          <w:color w:val="000000" w:themeColor="text1"/>
          <w:sz w:val="16"/>
          <w:szCs w:val="16"/>
        </w:rPr>
        <w:softHyphen/>
        <w:t>сажа.</w:t>
      </w:r>
    </w:p>
    <w:p w14:paraId="2758A1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АМ-39ФК с форкамерным зажиганием, 1600/1850 л.с. В начале 1946 г. изготовили два опытных экземпляра и начали заводские испытания. В 1947 г. выпустили еще семь двигателей. На государственные ис</w:t>
      </w:r>
      <w:r w:rsidRPr="00070ADE">
        <w:rPr>
          <w:rFonts w:ascii="Times New Roman" w:hAnsi="Times New Roman"/>
          <w:color w:val="000000" w:themeColor="text1"/>
          <w:sz w:val="16"/>
          <w:szCs w:val="16"/>
        </w:rPr>
        <w:softHyphen/>
        <w:t>пытания АМ-39ФК не предъявлялся.</w:t>
      </w:r>
    </w:p>
    <w:p w14:paraId="0E3A55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АМ-39ФН (ФНВ), форсированный, с непосредственным впрыском, на базе АМ-38Ф. Разрабатывался в ОКБ-300 с середины 1944 г. От</w:t>
      </w:r>
      <w:r w:rsidRPr="00070ADE">
        <w:rPr>
          <w:rFonts w:ascii="Times New Roman" w:hAnsi="Times New Roman"/>
          <w:color w:val="000000" w:themeColor="text1"/>
          <w:sz w:val="16"/>
          <w:szCs w:val="16"/>
        </w:rPr>
        <w:softHyphen/>
        <w:t>личался улучшенной гидравликой ПЦН, увеличенным диаметром его крыльчатки, увеличенным диаметром клапанов, всасывающими па</w:t>
      </w:r>
      <w:r w:rsidRPr="00070ADE">
        <w:rPr>
          <w:rFonts w:ascii="Times New Roman" w:hAnsi="Times New Roman"/>
          <w:color w:val="000000" w:themeColor="text1"/>
          <w:sz w:val="16"/>
          <w:szCs w:val="16"/>
        </w:rPr>
        <w:softHyphen/>
        <w:t>трубками по типу мотора Аллисон У-1710. Мощность первоначально 1600/1850 л.с., затем 1730/2130 л.с., вес 970 кг. Испытания велись с августа 1944 г., официальные заводские испытания проходили в январе 1945 г. Летом того же года моторы испытывались на бомбардиров</w:t>
      </w:r>
      <w:r w:rsidRPr="00070ADE">
        <w:rPr>
          <w:rFonts w:ascii="Times New Roman" w:hAnsi="Times New Roman"/>
          <w:color w:val="000000" w:themeColor="text1"/>
          <w:sz w:val="16"/>
          <w:szCs w:val="16"/>
        </w:rPr>
        <w:softHyphen/>
        <w:t>щике Ту-2. Работы прекращены в сентябре 1945 г.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w:t>
      </w:r>
    </w:p>
    <w:p w14:paraId="6EEFAB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070ADE">
        <w:rPr>
          <w:rFonts w:ascii="Times New Roman" w:hAnsi="Times New Roman"/>
          <w:color w:val="000000" w:themeColor="text1"/>
          <w:sz w:val="16"/>
          <w:szCs w:val="16"/>
        </w:rPr>
        <w:softHyphen/>
        <w:t>сматривалось проектом самолета СПС (11852).</w:t>
      </w:r>
    </w:p>
    <w:p w14:paraId="7B83F1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06DCA0" w14:textId="77777777" w:rsidR="00A70C49" w:rsidRPr="00C94B78" w:rsidRDefault="00A70C4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марте 1944 г. М-12 Коссова проходил госиспытания на стенде, прерванные из-за поломки через 30 ч. Всего изготовили шесть-семь опытных экземпляров. Работы по М-12 Коссов вел до осени 1944 г. Впоследствии узлы коссовского М-12 скомбинировали с цилиндровой группой двигателя М-11Д, получив М-11ФР, запущенный в серию (25387).</w:t>
      </w:r>
    </w:p>
    <w:p w14:paraId="674A963A" w14:textId="77777777" w:rsidR="00A70C49" w:rsidRPr="00C94B78" w:rsidRDefault="00A70C49" w:rsidP="00B56F90">
      <w:pPr>
        <w:spacing w:after="0" w:line="240" w:lineRule="auto"/>
        <w:jc w:val="both"/>
        <w:rPr>
          <w:rFonts w:ascii="Times New Roman" w:hAnsi="Times New Roman"/>
          <w:color w:val="0070C0"/>
          <w:sz w:val="16"/>
          <w:szCs w:val="16"/>
        </w:rPr>
      </w:pPr>
    </w:p>
    <w:p w14:paraId="33722070" w14:textId="77777777" w:rsidR="00A70C49" w:rsidRPr="00C94B78" w:rsidRDefault="00A70C4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марте 1944 г. состоялось совещание в НКАП, на кото</w:t>
      </w:r>
      <w:r w:rsidRPr="00C94B78">
        <w:rPr>
          <w:rFonts w:ascii="Times New Roman" w:hAnsi="Times New Roman"/>
          <w:color w:val="0070C0"/>
          <w:sz w:val="16"/>
          <w:szCs w:val="16"/>
        </w:rPr>
        <w:softHyphen/>
        <w:t>ром проект ТРД С-18 был утвержден. В мае 1944 г. НКАП дал указание одному из заводов изготовить партию из пяти эк</w:t>
      </w:r>
      <w:r w:rsidRPr="00C94B78">
        <w:rPr>
          <w:rFonts w:ascii="Times New Roman" w:hAnsi="Times New Roman"/>
          <w:color w:val="0070C0"/>
          <w:sz w:val="16"/>
          <w:szCs w:val="16"/>
        </w:rPr>
        <w:softHyphen/>
        <w:t>земпляров С-18 [55. С. 67, 70] (24920).</w:t>
      </w:r>
    </w:p>
    <w:p w14:paraId="3C533BB5" w14:textId="77777777" w:rsidR="00A70C49" w:rsidRPr="00C94B78" w:rsidRDefault="00A70C49" w:rsidP="00B56F90">
      <w:pPr>
        <w:spacing w:after="0" w:line="240" w:lineRule="auto"/>
        <w:jc w:val="both"/>
        <w:rPr>
          <w:rFonts w:ascii="Times New Roman" w:hAnsi="Times New Roman"/>
          <w:color w:val="0070C0"/>
          <w:sz w:val="16"/>
          <w:szCs w:val="16"/>
        </w:rPr>
      </w:pPr>
    </w:p>
    <w:p w14:paraId="24131071"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марте 1944 г. был утвержден проект нового экспериментального воздушно-реактивного двигателя С-18, разработка которого проходила в НИИ-1 МАП, куда вместе с А.М. Люлька и ранее работавшими с ними сотрудниками ЦИАМ. В мае 1944 г. было выдано задание на малую серию в 5 двигателей. Первый двигатель С-18 был собран в конце 1944 г. и передан на испытания в НИИ-1, где после доводки демонстрировался в работе в начале 1945 г. В марте 1945 г. двигатель С</w:t>
      </w:r>
      <w:r w:rsidRPr="00C94B78">
        <w:rPr>
          <w:rFonts w:ascii="Times New Roman" w:hAnsi="Times New Roman"/>
          <w:color w:val="0070C0"/>
          <w:sz w:val="16"/>
          <w:szCs w:val="16"/>
        </w:rPr>
        <w:softHyphen/>
        <w:t>18 успешно прошел испытания, после чего было принято решение о создании летного варианта ТРД. Двигатель С-18, его проектирование, производство, испытания и доводка привели к организации первого в СССР опытно-конструкторского коллектива под руководством А.М. Люлька по созданию отечественных ТРД с самостоятельным опытным производством.</w:t>
      </w:r>
    </w:p>
    <w:p w14:paraId="0A6A8A6F"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Двигатель С-18 (рис.4.13) [47] имел следующие проектные и конструктивные данные:</w:t>
      </w:r>
    </w:p>
    <w:p w14:paraId="344D6D76"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тягу 1250 кг;</w:t>
      </w:r>
    </w:p>
    <w:p w14:paraId="196D16FF"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степень повышения давления 3,16 в шестиступенчатом осевом компрессоре;</w:t>
      </w:r>
    </w:p>
    <w:p w14:paraId="0917E0EC"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среднюю температуру газа на выходе из кольцевой камеры сгорания 777°С;</w:t>
      </w:r>
    </w:p>
    <w:p w14:paraId="741C7E9F"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одноступенчатую газовую турбину и реактивное сопло.</w:t>
      </w:r>
    </w:p>
    <w:p w14:paraId="04327F25"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Расчетный удельный расход топлива составил 1,4 кг топлива на кг тяги в час.</w:t>
      </w:r>
    </w:p>
    <w:p w14:paraId="204458C7"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Топливо - керосин.</w:t>
      </w:r>
    </w:p>
    <w:p w14:paraId="790E95D1"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Запуск - сжатым воздухом от баллона (25039).</w:t>
      </w:r>
    </w:p>
    <w:p w14:paraId="3F9676BA" w14:textId="77777777" w:rsidR="00202698" w:rsidRPr="00C94B78" w:rsidRDefault="00202698" w:rsidP="00B56F90">
      <w:pPr>
        <w:spacing w:after="0" w:line="240" w:lineRule="auto"/>
        <w:jc w:val="both"/>
        <w:rPr>
          <w:rFonts w:ascii="Times New Roman" w:hAnsi="Times New Roman"/>
          <w:color w:val="0070C0"/>
          <w:sz w:val="16"/>
          <w:szCs w:val="16"/>
        </w:rPr>
      </w:pPr>
    </w:p>
    <w:p w14:paraId="0FE1A6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прошли полигонные госиспытания ФАБ-2000М43, снаряженных аммотолом 50/50 методом горячей заливки. В ходе их с бомбардировщика Пе-8 с высот 2000-4000 м при скорости носителя 280 км/ч сбросили 10 авиабомб по песчаному грунту со слоем мерзлоты толщиной 0,1 м. Половину партии боеприпасов оснастили в головное очко взрывателями АВ-1, а в донное - взрывателями АПУВ. Остальные были окончательно снаряжены взрывателями АВ-1 с 22-секундным замедлением. Для сравнения с высоты 2000 м сбрасывали ФАБ-2000св, снаряженные тротилом, а также взрывателями АТП в головном очке и взрывателями АДП - в донном.</w:t>
      </w:r>
    </w:p>
    <w:p w14:paraId="5EBAEE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показали, что при бомбометании новых боеприпасов с высоты 2000 м в грунте образуются воронки диаметром 20 м и глубиной 4 м. Авиабомбы сработали от донного взрывателя АПУВ-М с замедлением 0,3 с, дав полный взрыв, при котором был виден огонь. Последнее свидетельствовало о незначительном заглублении боеприпаса в землю. В аналогичных условиях взрыв ФАБ-2000св с тротиловым снаряжением создал воронки глубиной 5 м и диаметром 15 м. В первом случае объем выброшенного грунта составил 578 м3, а во втором - 291 м3 (7453).</w:t>
      </w:r>
    </w:p>
    <w:p w14:paraId="44653F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4E24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марте 1944 г. в Наркомате боеприпасов от НИИ-6 НКБ потребовали повысить характеристики пиротехнических фотоосветительных средств и оптимизировать методику измерения светотехнических характеристик. Дело в том, что специалисты НИИ-6 утверждали, что “максимум вспышки” у серийных фотобомб наступает </w:t>
      </w:r>
      <w:r w:rsidRPr="00070ADE">
        <w:rPr>
          <w:rFonts w:ascii="Times New Roman" w:hAnsi="Times New Roman"/>
          <w:color w:val="000000" w:themeColor="text1"/>
          <w:sz w:val="16"/>
          <w:szCs w:val="16"/>
        </w:rPr>
        <w:lastRenderedPageBreak/>
        <w:t>не через 0,01 с, как это предусматривалось, а через 0,3 с. В связи с этим представители заказчика также заинтересовались проверкой спорных вопросов (7453).</w:t>
      </w:r>
    </w:p>
    <w:p w14:paraId="7FDAE1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04CD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НКБ потребовал от НИИ-6 повысить характеристики пиротехнических фотоосветительных средств (7453, 577).</w:t>
      </w:r>
    </w:p>
    <w:p w14:paraId="523B80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B611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состоялось заседание коллегии НКАП по вопросам внедрения поточных методов с участием директоров самолетостроительных и двигателестроительных заводов (173,225).</w:t>
      </w:r>
    </w:p>
    <w:p w14:paraId="16CDC5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3B6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был подготовлен перечень заводов НКАП, на которых установили усиленное медико-санитарное обслуживание: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75"/>
        <w:gridCol w:w="3532"/>
        <w:gridCol w:w="3532"/>
        <w:gridCol w:w="2859"/>
      </w:tblGrid>
      <w:tr w:rsidR="004D4663" w:rsidRPr="00070ADE" w14:paraId="66DF15AF" w14:textId="77777777">
        <w:tc>
          <w:tcPr>
            <w:tcW w:w="675" w:type="dxa"/>
          </w:tcPr>
          <w:p w14:paraId="62489A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Номер</w:t>
            </w:r>
          </w:p>
        </w:tc>
        <w:tc>
          <w:tcPr>
            <w:tcW w:w="3532" w:type="dxa"/>
          </w:tcPr>
          <w:p w14:paraId="165E02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Город</w:t>
            </w:r>
          </w:p>
        </w:tc>
        <w:tc>
          <w:tcPr>
            <w:tcW w:w="3532" w:type="dxa"/>
          </w:tcPr>
          <w:p w14:paraId="2F812C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w:t>
            </w:r>
          </w:p>
        </w:tc>
        <w:tc>
          <w:tcPr>
            <w:tcW w:w="2859" w:type="dxa"/>
          </w:tcPr>
          <w:p w14:paraId="098C4F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п/я</w:t>
            </w:r>
          </w:p>
        </w:tc>
      </w:tr>
      <w:tr w:rsidR="004D4663" w:rsidRPr="00070ADE" w14:paraId="3F5092C0" w14:textId="77777777">
        <w:tc>
          <w:tcPr>
            <w:tcW w:w="675" w:type="dxa"/>
          </w:tcPr>
          <w:p w14:paraId="174FD8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3532" w:type="dxa"/>
          </w:tcPr>
          <w:p w14:paraId="6D215A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Куйбышев</w:t>
            </w:r>
          </w:p>
        </w:tc>
        <w:tc>
          <w:tcPr>
            <w:tcW w:w="3532" w:type="dxa"/>
          </w:tcPr>
          <w:p w14:paraId="339E5A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Третьяков</w:t>
            </w:r>
          </w:p>
        </w:tc>
        <w:tc>
          <w:tcPr>
            <w:tcW w:w="2859" w:type="dxa"/>
          </w:tcPr>
          <w:p w14:paraId="5CF1B2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208</w:t>
            </w:r>
          </w:p>
        </w:tc>
      </w:tr>
      <w:tr w:rsidR="004D4663" w:rsidRPr="00070ADE" w14:paraId="34FB4EE2" w14:textId="77777777">
        <w:tc>
          <w:tcPr>
            <w:tcW w:w="675" w:type="dxa"/>
          </w:tcPr>
          <w:p w14:paraId="111AA4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tc>
        <w:tc>
          <w:tcPr>
            <w:tcW w:w="3532" w:type="dxa"/>
          </w:tcPr>
          <w:p w14:paraId="462560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Казань</w:t>
            </w:r>
          </w:p>
        </w:tc>
        <w:tc>
          <w:tcPr>
            <w:tcW w:w="3532" w:type="dxa"/>
          </w:tcPr>
          <w:p w14:paraId="22ED0E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Лукин</w:t>
            </w:r>
          </w:p>
        </w:tc>
        <w:tc>
          <w:tcPr>
            <w:tcW w:w="2859" w:type="dxa"/>
          </w:tcPr>
          <w:p w14:paraId="7B6035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735</w:t>
            </w:r>
          </w:p>
        </w:tc>
      </w:tr>
      <w:tr w:rsidR="004D4663" w:rsidRPr="00070ADE" w14:paraId="76D05272" w14:textId="77777777">
        <w:tc>
          <w:tcPr>
            <w:tcW w:w="675" w:type="dxa"/>
          </w:tcPr>
          <w:p w14:paraId="280E14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w:t>
            </w:r>
          </w:p>
        </w:tc>
        <w:tc>
          <w:tcPr>
            <w:tcW w:w="3532" w:type="dxa"/>
          </w:tcPr>
          <w:p w14:paraId="3F2B1D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Куйбышев</w:t>
            </w:r>
          </w:p>
        </w:tc>
        <w:tc>
          <w:tcPr>
            <w:tcW w:w="3532" w:type="dxa"/>
          </w:tcPr>
          <w:p w14:paraId="74122A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Белянский</w:t>
            </w:r>
          </w:p>
        </w:tc>
        <w:tc>
          <w:tcPr>
            <w:tcW w:w="2859" w:type="dxa"/>
          </w:tcPr>
          <w:p w14:paraId="78051A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w:t>
            </w:r>
          </w:p>
        </w:tc>
      </w:tr>
      <w:tr w:rsidR="004D4663" w:rsidRPr="00070ADE" w14:paraId="1A697ADC" w14:textId="77777777">
        <w:tc>
          <w:tcPr>
            <w:tcW w:w="675" w:type="dxa"/>
          </w:tcPr>
          <w:p w14:paraId="30F7CD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w:t>
            </w:r>
          </w:p>
        </w:tc>
        <w:tc>
          <w:tcPr>
            <w:tcW w:w="3532" w:type="dxa"/>
          </w:tcPr>
          <w:p w14:paraId="2D8D21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Молотов</w:t>
            </w:r>
          </w:p>
        </w:tc>
        <w:tc>
          <w:tcPr>
            <w:tcW w:w="3532" w:type="dxa"/>
          </w:tcPr>
          <w:p w14:paraId="1A52B8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Солдатов</w:t>
            </w:r>
          </w:p>
        </w:tc>
        <w:tc>
          <w:tcPr>
            <w:tcW w:w="2859" w:type="dxa"/>
          </w:tcPr>
          <w:p w14:paraId="727C02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211</w:t>
            </w:r>
          </w:p>
        </w:tc>
      </w:tr>
      <w:tr w:rsidR="004D4663" w:rsidRPr="00070ADE" w14:paraId="2F1456A0" w14:textId="77777777">
        <w:tc>
          <w:tcPr>
            <w:tcW w:w="675" w:type="dxa"/>
          </w:tcPr>
          <w:p w14:paraId="5B9B14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3532" w:type="dxa"/>
          </w:tcPr>
          <w:p w14:paraId="676D5B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Омск</w:t>
            </w:r>
          </w:p>
        </w:tc>
        <w:tc>
          <w:tcPr>
            <w:tcW w:w="3532" w:type="dxa"/>
          </w:tcPr>
          <w:p w14:paraId="696B36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Кругленин</w:t>
            </w:r>
          </w:p>
        </w:tc>
        <w:tc>
          <w:tcPr>
            <w:tcW w:w="2859" w:type="dxa"/>
          </w:tcPr>
          <w:p w14:paraId="510E5D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w:t>
            </w:r>
          </w:p>
        </w:tc>
      </w:tr>
      <w:tr w:rsidR="004D4663" w:rsidRPr="00070ADE" w14:paraId="3994A1E8" w14:textId="77777777">
        <w:tc>
          <w:tcPr>
            <w:tcW w:w="675" w:type="dxa"/>
          </w:tcPr>
          <w:p w14:paraId="3A4BF3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w:t>
            </w:r>
          </w:p>
        </w:tc>
        <w:tc>
          <w:tcPr>
            <w:tcW w:w="3532" w:type="dxa"/>
          </w:tcPr>
          <w:p w14:paraId="0ECDD6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Горький</w:t>
            </w:r>
          </w:p>
        </w:tc>
        <w:tc>
          <w:tcPr>
            <w:tcW w:w="3532" w:type="dxa"/>
          </w:tcPr>
          <w:p w14:paraId="09B57D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Агаджанов</w:t>
            </w:r>
          </w:p>
        </w:tc>
        <w:tc>
          <w:tcPr>
            <w:tcW w:w="2859" w:type="dxa"/>
          </w:tcPr>
          <w:p w14:paraId="128CAB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r>
      <w:tr w:rsidR="004D4663" w:rsidRPr="00070ADE" w14:paraId="531045BD" w14:textId="77777777">
        <w:tc>
          <w:tcPr>
            <w:tcW w:w="675" w:type="dxa"/>
          </w:tcPr>
          <w:p w14:paraId="161421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w:t>
            </w:r>
          </w:p>
        </w:tc>
        <w:tc>
          <w:tcPr>
            <w:tcW w:w="3532" w:type="dxa"/>
          </w:tcPr>
          <w:p w14:paraId="1D587A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Казань</w:t>
            </w:r>
          </w:p>
        </w:tc>
        <w:tc>
          <w:tcPr>
            <w:tcW w:w="3532" w:type="dxa"/>
          </w:tcPr>
          <w:p w14:paraId="666C4D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Окулов</w:t>
            </w:r>
          </w:p>
        </w:tc>
        <w:tc>
          <w:tcPr>
            <w:tcW w:w="2859" w:type="dxa"/>
          </w:tcPr>
          <w:p w14:paraId="63F1EC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747</w:t>
            </w:r>
          </w:p>
        </w:tc>
      </w:tr>
      <w:tr w:rsidR="004D4663" w:rsidRPr="00070ADE" w14:paraId="5A75ABB2" w14:textId="77777777">
        <w:tc>
          <w:tcPr>
            <w:tcW w:w="675" w:type="dxa"/>
          </w:tcPr>
          <w:p w14:paraId="32504E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w:t>
            </w:r>
          </w:p>
        </w:tc>
        <w:tc>
          <w:tcPr>
            <w:tcW w:w="3532" w:type="dxa"/>
          </w:tcPr>
          <w:p w14:paraId="4DE66B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w:t>
            </w:r>
          </w:p>
        </w:tc>
        <w:tc>
          <w:tcPr>
            <w:tcW w:w="3532" w:type="dxa"/>
          </w:tcPr>
          <w:p w14:paraId="1BB90F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Иосилович</w:t>
            </w:r>
          </w:p>
        </w:tc>
        <w:tc>
          <w:tcPr>
            <w:tcW w:w="2859" w:type="dxa"/>
          </w:tcPr>
          <w:p w14:paraId="258E2D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222</w:t>
            </w:r>
          </w:p>
        </w:tc>
      </w:tr>
      <w:tr w:rsidR="004D4663" w:rsidRPr="00070ADE" w14:paraId="187B18D4" w14:textId="77777777">
        <w:tc>
          <w:tcPr>
            <w:tcW w:w="675" w:type="dxa"/>
          </w:tcPr>
          <w:p w14:paraId="6F48BE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tc>
        <w:tc>
          <w:tcPr>
            <w:tcW w:w="3532" w:type="dxa"/>
          </w:tcPr>
          <w:p w14:paraId="54B0ED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Куйбышев</w:t>
            </w:r>
          </w:p>
        </w:tc>
        <w:tc>
          <w:tcPr>
            <w:tcW w:w="3532" w:type="dxa"/>
          </w:tcPr>
          <w:p w14:paraId="228568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Жезлов</w:t>
            </w:r>
          </w:p>
        </w:tc>
        <w:tc>
          <w:tcPr>
            <w:tcW w:w="2859" w:type="dxa"/>
          </w:tcPr>
          <w:p w14:paraId="7304C1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w:t>
            </w:r>
          </w:p>
        </w:tc>
      </w:tr>
      <w:tr w:rsidR="004D4663" w:rsidRPr="00070ADE" w14:paraId="2B84E9F7" w14:textId="77777777">
        <w:tc>
          <w:tcPr>
            <w:tcW w:w="675" w:type="dxa"/>
          </w:tcPr>
          <w:p w14:paraId="457443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w:t>
            </w:r>
          </w:p>
        </w:tc>
        <w:tc>
          <w:tcPr>
            <w:tcW w:w="3532" w:type="dxa"/>
          </w:tcPr>
          <w:p w14:paraId="1843C3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Уфа</w:t>
            </w:r>
          </w:p>
        </w:tc>
        <w:tc>
          <w:tcPr>
            <w:tcW w:w="3532" w:type="dxa"/>
          </w:tcPr>
          <w:p w14:paraId="7AA10E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Баландин</w:t>
            </w:r>
          </w:p>
        </w:tc>
        <w:tc>
          <w:tcPr>
            <w:tcW w:w="2859" w:type="dxa"/>
          </w:tcPr>
          <w:p w14:paraId="0FB4F0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r>
      <w:tr w:rsidR="004D4663" w:rsidRPr="00070ADE" w14:paraId="2C0106DE" w14:textId="77777777">
        <w:tc>
          <w:tcPr>
            <w:tcW w:w="675" w:type="dxa"/>
          </w:tcPr>
          <w:p w14:paraId="251078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w:t>
            </w:r>
          </w:p>
        </w:tc>
        <w:tc>
          <w:tcPr>
            <w:tcW w:w="3532" w:type="dxa"/>
          </w:tcPr>
          <w:p w14:paraId="03D89E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Омск</w:t>
            </w:r>
          </w:p>
        </w:tc>
        <w:tc>
          <w:tcPr>
            <w:tcW w:w="3532" w:type="dxa"/>
          </w:tcPr>
          <w:p w14:paraId="285688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Борисов</w:t>
            </w:r>
          </w:p>
        </w:tc>
        <w:tc>
          <w:tcPr>
            <w:tcW w:w="2859" w:type="dxa"/>
          </w:tcPr>
          <w:p w14:paraId="1ACFAB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w:t>
            </w:r>
          </w:p>
        </w:tc>
      </w:tr>
      <w:tr w:rsidR="004D4663" w:rsidRPr="00070ADE" w14:paraId="606B26EE" w14:textId="77777777">
        <w:tc>
          <w:tcPr>
            <w:tcW w:w="675" w:type="dxa"/>
          </w:tcPr>
          <w:p w14:paraId="3E7134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tc>
        <w:tc>
          <w:tcPr>
            <w:tcW w:w="3532" w:type="dxa"/>
          </w:tcPr>
          <w:p w14:paraId="17F292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w:t>
            </w:r>
          </w:p>
        </w:tc>
        <w:tc>
          <w:tcPr>
            <w:tcW w:w="3532" w:type="dxa"/>
          </w:tcPr>
          <w:p w14:paraId="4FF3B3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Смирнов</w:t>
            </w:r>
          </w:p>
        </w:tc>
        <w:tc>
          <w:tcPr>
            <w:tcW w:w="2859" w:type="dxa"/>
          </w:tcPr>
          <w:p w14:paraId="532F80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2402</w:t>
            </w:r>
          </w:p>
        </w:tc>
      </w:tr>
      <w:tr w:rsidR="004D4663" w:rsidRPr="00070ADE" w14:paraId="5282B4A1" w14:textId="77777777">
        <w:tc>
          <w:tcPr>
            <w:tcW w:w="675" w:type="dxa"/>
          </w:tcPr>
          <w:p w14:paraId="09C168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w:t>
            </w:r>
          </w:p>
        </w:tc>
        <w:tc>
          <w:tcPr>
            <w:tcW w:w="3532" w:type="dxa"/>
          </w:tcPr>
          <w:p w14:paraId="5BE05E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w:t>
            </w:r>
          </w:p>
        </w:tc>
        <w:tc>
          <w:tcPr>
            <w:tcW w:w="3532" w:type="dxa"/>
          </w:tcPr>
          <w:p w14:paraId="499E85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Горюнов</w:t>
            </w:r>
          </w:p>
        </w:tc>
        <w:tc>
          <w:tcPr>
            <w:tcW w:w="2859" w:type="dxa"/>
          </w:tcPr>
          <w:p w14:paraId="61714C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211</w:t>
            </w:r>
          </w:p>
        </w:tc>
      </w:tr>
      <w:tr w:rsidR="004D4663" w:rsidRPr="00070ADE" w14:paraId="286C7B28" w14:textId="77777777">
        <w:tc>
          <w:tcPr>
            <w:tcW w:w="675" w:type="dxa"/>
          </w:tcPr>
          <w:p w14:paraId="7B585D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w:t>
            </w:r>
          </w:p>
        </w:tc>
        <w:tc>
          <w:tcPr>
            <w:tcW w:w="3532" w:type="dxa"/>
          </w:tcPr>
          <w:p w14:paraId="07F990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Иркутск</w:t>
            </w:r>
          </w:p>
        </w:tc>
        <w:tc>
          <w:tcPr>
            <w:tcW w:w="3532" w:type="dxa"/>
          </w:tcPr>
          <w:p w14:paraId="0C2002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Абрамов</w:t>
            </w:r>
          </w:p>
        </w:tc>
        <w:tc>
          <w:tcPr>
            <w:tcW w:w="2859" w:type="dxa"/>
          </w:tcPr>
          <w:p w14:paraId="43156F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r>
      <w:tr w:rsidR="004D4663" w:rsidRPr="00070ADE" w14:paraId="3944D5EF" w14:textId="77777777">
        <w:tc>
          <w:tcPr>
            <w:tcW w:w="675" w:type="dxa"/>
          </w:tcPr>
          <w:p w14:paraId="64BD6A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c>
          <w:tcPr>
            <w:tcW w:w="3532" w:type="dxa"/>
          </w:tcPr>
          <w:p w14:paraId="51B22A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w:t>
            </w:r>
          </w:p>
        </w:tc>
        <w:tc>
          <w:tcPr>
            <w:tcW w:w="3532" w:type="dxa"/>
          </w:tcPr>
          <w:p w14:paraId="3B1D8D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Комаров</w:t>
            </w:r>
          </w:p>
        </w:tc>
        <w:tc>
          <w:tcPr>
            <w:tcW w:w="2859" w:type="dxa"/>
          </w:tcPr>
          <w:p w14:paraId="77C41A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299</w:t>
            </w:r>
          </w:p>
        </w:tc>
      </w:tr>
      <w:tr w:rsidR="004D4663" w:rsidRPr="00070ADE" w14:paraId="4087EBFB" w14:textId="77777777">
        <w:tc>
          <w:tcPr>
            <w:tcW w:w="675" w:type="dxa"/>
          </w:tcPr>
          <w:p w14:paraId="20CFF2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w:t>
            </w:r>
          </w:p>
        </w:tc>
        <w:tc>
          <w:tcPr>
            <w:tcW w:w="3532" w:type="dxa"/>
          </w:tcPr>
          <w:p w14:paraId="64A1F5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Химки</w:t>
            </w:r>
          </w:p>
        </w:tc>
        <w:tc>
          <w:tcPr>
            <w:tcW w:w="3532" w:type="dxa"/>
          </w:tcPr>
          <w:p w14:paraId="344EE3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Климовицкий</w:t>
            </w:r>
          </w:p>
        </w:tc>
        <w:tc>
          <w:tcPr>
            <w:tcW w:w="2859" w:type="dxa"/>
          </w:tcPr>
          <w:p w14:paraId="518042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1309</w:t>
            </w:r>
          </w:p>
        </w:tc>
      </w:tr>
      <w:tr w:rsidR="004D4663" w:rsidRPr="00070ADE" w14:paraId="5361C8EC" w14:textId="77777777">
        <w:tc>
          <w:tcPr>
            <w:tcW w:w="675" w:type="dxa"/>
          </w:tcPr>
          <w:p w14:paraId="3974D4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84</w:t>
            </w:r>
          </w:p>
        </w:tc>
        <w:tc>
          <w:tcPr>
            <w:tcW w:w="3532" w:type="dxa"/>
          </w:tcPr>
          <w:p w14:paraId="520718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Ташкент</w:t>
            </w:r>
          </w:p>
        </w:tc>
        <w:tc>
          <w:tcPr>
            <w:tcW w:w="3532" w:type="dxa"/>
          </w:tcPr>
          <w:p w14:paraId="754655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Ярунин</w:t>
            </w:r>
          </w:p>
        </w:tc>
        <w:tc>
          <w:tcPr>
            <w:tcW w:w="2859" w:type="dxa"/>
          </w:tcPr>
          <w:p w14:paraId="265985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116</w:t>
            </w:r>
          </w:p>
        </w:tc>
      </w:tr>
      <w:tr w:rsidR="004D4663" w:rsidRPr="00070ADE" w14:paraId="7F5EE29A" w14:textId="77777777">
        <w:tc>
          <w:tcPr>
            <w:tcW w:w="675" w:type="dxa"/>
          </w:tcPr>
          <w:p w14:paraId="6965E3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w:t>
            </w:r>
          </w:p>
        </w:tc>
        <w:tc>
          <w:tcPr>
            <w:tcW w:w="3532" w:type="dxa"/>
          </w:tcPr>
          <w:p w14:paraId="04D175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Верхняя салда</w:t>
            </w:r>
          </w:p>
        </w:tc>
        <w:tc>
          <w:tcPr>
            <w:tcW w:w="3532" w:type="dxa"/>
          </w:tcPr>
          <w:p w14:paraId="7294B6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Лещенко</w:t>
            </w:r>
          </w:p>
        </w:tc>
        <w:tc>
          <w:tcPr>
            <w:tcW w:w="2859" w:type="dxa"/>
          </w:tcPr>
          <w:p w14:paraId="4E326B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r>
      <w:tr w:rsidR="004D4663" w:rsidRPr="00070ADE" w14:paraId="083EB0C7" w14:textId="77777777">
        <w:tc>
          <w:tcPr>
            <w:tcW w:w="675" w:type="dxa"/>
          </w:tcPr>
          <w:p w14:paraId="762818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c>
          <w:tcPr>
            <w:tcW w:w="3532" w:type="dxa"/>
          </w:tcPr>
          <w:p w14:paraId="7B34FF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Ступино</w:t>
            </w:r>
          </w:p>
        </w:tc>
        <w:tc>
          <w:tcPr>
            <w:tcW w:w="3532" w:type="dxa"/>
          </w:tcPr>
          <w:p w14:paraId="3B3B64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Белов</w:t>
            </w:r>
          </w:p>
        </w:tc>
        <w:tc>
          <w:tcPr>
            <w:tcW w:w="2859" w:type="dxa"/>
          </w:tcPr>
          <w:p w14:paraId="708DBA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w:t>
            </w:r>
          </w:p>
        </w:tc>
      </w:tr>
      <w:tr w:rsidR="004D4663" w:rsidRPr="00070ADE" w14:paraId="42D44D59" w14:textId="77777777">
        <w:tc>
          <w:tcPr>
            <w:tcW w:w="675" w:type="dxa"/>
          </w:tcPr>
          <w:p w14:paraId="68106B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153</w:t>
            </w:r>
          </w:p>
        </w:tc>
        <w:tc>
          <w:tcPr>
            <w:tcW w:w="3532" w:type="dxa"/>
          </w:tcPr>
          <w:p w14:paraId="58FBE9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Новосибирск</w:t>
            </w:r>
          </w:p>
        </w:tc>
        <w:tc>
          <w:tcPr>
            <w:tcW w:w="3532" w:type="dxa"/>
          </w:tcPr>
          <w:p w14:paraId="534634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Лисунов</w:t>
            </w:r>
          </w:p>
        </w:tc>
        <w:tc>
          <w:tcPr>
            <w:tcW w:w="2859" w:type="dxa"/>
          </w:tcPr>
          <w:p w14:paraId="4755D4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1100</w:t>
            </w:r>
          </w:p>
        </w:tc>
      </w:tr>
      <w:tr w:rsidR="004D4663" w:rsidRPr="00070ADE" w14:paraId="77872D35" w14:textId="77777777">
        <w:tc>
          <w:tcPr>
            <w:tcW w:w="675" w:type="dxa"/>
          </w:tcPr>
          <w:p w14:paraId="65A81D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166</w:t>
            </w:r>
          </w:p>
        </w:tc>
        <w:tc>
          <w:tcPr>
            <w:tcW w:w="3532" w:type="dxa"/>
          </w:tcPr>
          <w:p w14:paraId="7D7183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Омск</w:t>
            </w:r>
          </w:p>
        </w:tc>
        <w:tc>
          <w:tcPr>
            <w:tcW w:w="3532" w:type="dxa"/>
          </w:tcPr>
          <w:p w14:paraId="06CDC4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Соколов</w:t>
            </w:r>
          </w:p>
        </w:tc>
        <w:tc>
          <w:tcPr>
            <w:tcW w:w="2859" w:type="dxa"/>
          </w:tcPr>
          <w:p w14:paraId="1EE5F8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r>
      <w:tr w:rsidR="004D4663" w:rsidRPr="00070ADE" w14:paraId="11A146D4" w14:textId="77777777">
        <w:tc>
          <w:tcPr>
            <w:tcW w:w="675" w:type="dxa"/>
          </w:tcPr>
          <w:p w14:paraId="17DE4E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213</w:t>
            </w:r>
          </w:p>
        </w:tc>
        <w:tc>
          <w:tcPr>
            <w:tcW w:w="3532" w:type="dxa"/>
          </w:tcPr>
          <w:p w14:paraId="4681F4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Энгельс</w:t>
            </w:r>
          </w:p>
        </w:tc>
        <w:tc>
          <w:tcPr>
            <w:tcW w:w="3532" w:type="dxa"/>
          </w:tcPr>
          <w:p w14:paraId="029741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Березин</w:t>
            </w:r>
          </w:p>
        </w:tc>
        <w:tc>
          <w:tcPr>
            <w:tcW w:w="2859" w:type="dxa"/>
          </w:tcPr>
          <w:p w14:paraId="7FAFAD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tc>
      </w:tr>
      <w:tr w:rsidR="004D4663" w:rsidRPr="00070ADE" w14:paraId="1B517ED4" w14:textId="77777777">
        <w:tc>
          <w:tcPr>
            <w:tcW w:w="675" w:type="dxa"/>
          </w:tcPr>
          <w:p w14:paraId="7326E6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219</w:t>
            </w:r>
          </w:p>
        </w:tc>
        <w:tc>
          <w:tcPr>
            <w:tcW w:w="3532" w:type="dxa"/>
          </w:tcPr>
          <w:p w14:paraId="365F81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Балашиха</w:t>
            </w:r>
          </w:p>
        </w:tc>
        <w:tc>
          <w:tcPr>
            <w:tcW w:w="3532" w:type="dxa"/>
          </w:tcPr>
          <w:p w14:paraId="08FFB8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Жихарев</w:t>
            </w:r>
          </w:p>
        </w:tc>
        <w:tc>
          <w:tcPr>
            <w:tcW w:w="2859" w:type="dxa"/>
          </w:tcPr>
          <w:p w14:paraId="55438B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845</w:t>
            </w:r>
          </w:p>
        </w:tc>
      </w:tr>
      <w:tr w:rsidR="004D4663" w:rsidRPr="00070ADE" w14:paraId="0D2A1740" w14:textId="77777777">
        <w:tc>
          <w:tcPr>
            <w:tcW w:w="675" w:type="dxa"/>
          </w:tcPr>
          <w:p w14:paraId="207B59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292</w:t>
            </w:r>
          </w:p>
        </w:tc>
        <w:tc>
          <w:tcPr>
            <w:tcW w:w="3532" w:type="dxa"/>
          </w:tcPr>
          <w:p w14:paraId="37326A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Саратов</w:t>
            </w:r>
          </w:p>
        </w:tc>
        <w:tc>
          <w:tcPr>
            <w:tcW w:w="3532" w:type="dxa"/>
          </w:tcPr>
          <w:p w14:paraId="24229D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Левин</w:t>
            </w:r>
          </w:p>
        </w:tc>
        <w:tc>
          <w:tcPr>
            <w:tcW w:w="2859" w:type="dxa"/>
          </w:tcPr>
          <w:p w14:paraId="5F103E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r>
      <w:tr w:rsidR="004D4663" w:rsidRPr="00070ADE" w14:paraId="73B331B9" w14:textId="77777777">
        <w:tc>
          <w:tcPr>
            <w:tcW w:w="675" w:type="dxa"/>
          </w:tcPr>
          <w:p w14:paraId="22CABC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268</w:t>
            </w:r>
          </w:p>
        </w:tc>
        <w:tc>
          <w:tcPr>
            <w:tcW w:w="3532" w:type="dxa"/>
          </w:tcPr>
          <w:p w14:paraId="56AE7A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Каменск Уральский</w:t>
            </w:r>
          </w:p>
        </w:tc>
        <w:tc>
          <w:tcPr>
            <w:tcW w:w="3532" w:type="dxa"/>
          </w:tcPr>
          <w:p w14:paraId="7EAEBC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Герасимов</w:t>
            </w:r>
          </w:p>
        </w:tc>
        <w:tc>
          <w:tcPr>
            <w:tcW w:w="2859" w:type="dxa"/>
          </w:tcPr>
          <w:p w14:paraId="108905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r>
      <w:tr w:rsidR="004D4663" w:rsidRPr="00070ADE" w14:paraId="6D91216D" w14:textId="77777777">
        <w:tc>
          <w:tcPr>
            <w:tcW w:w="675" w:type="dxa"/>
          </w:tcPr>
          <w:p w14:paraId="3C876D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381</w:t>
            </w:r>
          </w:p>
        </w:tc>
        <w:tc>
          <w:tcPr>
            <w:tcW w:w="3532" w:type="dxa"/>
          </w:tcPr>
          <w:p w14:paraId="328A86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w:t>
            </w:r>
          </w:p>
        </w:tc>
        <w:tc>
          <w:tcPr>
            <w:tcW w:w="3532" w:type="dxa"/>
          </w:tcPr>
          <w:p w14:paraId="0757440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Журовлев</w:t>
            </w:r>
          </w:p>
        </w:tc>
        <w:tc>
          <w:tcPr>
            <w:tcW w:w="2859" w:type="dxa"/>
          </w:tcPr>
          <w:p w14:paraId="39D9A4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2400</w:t>
            </w:r>
          </w:p>
        </w:tc>
      </w:tr>
      <w:tr w:rsidR="004D4663" w:rsidRPr="00070ADE" w14:paraId="372F0B3A" w14:textId="77777777">
        <w:tc>
          <w:tcPr>
            <w:tcW w:w="675" w:type="dxa"/>
          </w:tcPr>
          <w:p w14:paraId="73BC32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466</w:t>
            </w:r>
          </w:p>
        </w:tc>
        <w:tc>
          <w:tcPr>
            <w:tcW w:w="3532" w:type="dxa"/>
          </w:tcPr>
          <w:p w14:paraId="15F30B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Горький</w:t>
            </w:r>
          </w:p>
        </w:tc>
        <w:tc>
          <w:tcPr>
            <w:tcW w:w="3532" w:type="dxa"/>
          </w:tcPr>
          <w:p w14:paraId="280FBF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Лукин</w:t>
            </w:r>
          </w:p>
        </w:tc>
        <w:tc>
          <w:tcPr>
            <w:tcW w:w="2859" w:type="dxa"/>
          </w:tcPr>
          <w:p w14:paraId="7F3534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404</w:t>
            </w:r>
          </w:p>
        </w:tc>
      </w:tr>
      <w:tr w:rsidR="004D4663" w:rsidRPr="00070ADE" w14:paraId="465F0963" w14:textId="77777777">
        <w:tc>
          <w:tcPr>
            <w:tcW w:w="675" w:type="dxa"/>
          </w:tcPr>
          <w:p w14:paraId="22CE74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3532" w:type="dxa"/>
          </w:tcPr>
          <w:p w14:paraId="655766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Тушино</w:t>
            </w:r>
          </w:p>
        </w:tc>
        <w:tc>
          <w:tcPr>
            <w:tcW w:w="3532" w:type="dxa"/>
          </w:tcPr>
          <w:p w14:paraId="64FC8D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Петров</w:t>
            </w:r>
          </w:p>
        </w:tc>
        <w:tc>
          <w:tcPr>
            <w:tcW w:w="2859" w:type="dxa"/>
          </w:tcPr>
          <w:p w14:paraId="47BD5B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1321</w:t>
            </w:r>
          </w:p>
        </w:tc>
      </w:tr>
      <w:tr w:rsidR="005106D0" w:rsidRPr="00070ADE" w14:paraId="7C0E9379" w14:textId="77777777">
        <w:tc>
          <w:tcPr>
            <w:tcW w:w="675" w:type="dxa"/>
          </w:tcPr>
          <w:p w14:paraId="46F7FE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32" w:type="dxa"/>
          </w:tcPr>
          <w:p w14:paraId="32EA23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32" w:type="dxa"/>
          </w:tcPr>
          <w:p w14:paraId="5B6D34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59" w:type="dxa"/>
          </w:tcPr>
          <w:p w14:paraId="07845D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(2553, 148)</w:t>
            </w:r>
          </w:p>
        </w:tc>
      </w:tr>
    </w:tbl>
    <w:p w14:paraId="563C96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6C24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СКБ завода Компрессор закончила рабочие чертежи корабельной ПУ 16-М-13. Образец изготовил завод 760 в августе 1944 и в ноябре прошла испытания на ЧМ (4305,35).</w:t>
      </w:r>
    </w:p>
    <w:p w14:paraId="68BBD7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3DBF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была подготовлена справка по поставщикам НКАП: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992"/>
        <w:gridCol w:w="1559"/>
        <w:gridCol w:w="7763"/>
      </w:tblGrid>
      <w:tr w:rsidR="004D4663" w:rsidRPr="00070ADE" w14:paraId="6146658E" w14:textId="77777777">
        <w:tc>
          <w:tcPr>
            <w:tcW w:w="959" w:type="dxa"/>
          </w:tcPr>
          <w:p w14:paraId="20F946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Номер</w:t>
            </w:r>
          </w:p>
        </w:tc>
        <w:tc>
          <w:tcPr>
            <w:tcW w:w="992" w:type="dxa"/>
          </w:tcPr>
          <w:p w14:paraId="1613C2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Наркомат</w:t>
            </w:r>
          </w:p>
        </w:tc>
        <w:tc>
          <w:tcPr>
            <w:tcW w:w="1559" w:type="dxa"/>
          </w:tcPr>
          <w:p w14:paraId="0F10BC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Город</w:t>
            </w:r>
          </w:p>
        </w:tc>
        <w:tc>
          <w:tcPr>
            <w:tcW w:w="7763" w:type="dxa"/>
          </w:tcPr>
          <w:p w14:paraId="101719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Поставки</w:t>
            </w:r>
          </w:p>
        </w:tc>
      </w:tr>
      <w:tr w:rsidR="004D4663" w:rsidRPr="00070ADE" w14:paraId="28502D86" w14:textId="77777777">
        <w:tc>
          <w:tcPr>
            <w:tcW w:w="959" w:type="dxa"/>
          </w:tcPr>
          <w:p w14:paraId="64B2D1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705</w:t>
            </w:r>
          </w:p>
        </w:tc>
        <w:tc>
          <w:tcPr>
            <w:tcW w:w="992" w:type="dxa"/>
          </w:tcPr>
          <w:p w14:paraId="3B1733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НКРП</w:t>
            </w:r>
          </w:p>
        </w:tc>
        <w:tc>
          <w:tcPr>
            <w:tcW w:w="1559" w:type="dxa"/>
          </w:tcPr>
          <w:p w14:paraId="040F72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63" w:type="dxa"/>
          </w:tcPr>
          <w:p w14:paraId="5FBB1C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губка оназон для протектирования бензобаков</w:t>
            </w:r>
          </w:p>
        </w:tc>
      </w:tr>
      <w:tr w:rsidR="004D4663" w:rsidRPr="00070ADE" w14:paraId="31C99D3E" w14:textId="77777777">
        <w:tc>
          <w:tcPr>
            <w:tcW w:w="959" w:type="dxa"/>
          </w:tcPr>
          <w:p w14:paraId="26EF27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623</w:t>
            </w:r>
          </w:p>
        </w:tc>
        <w:tc>
          <w:tcPr>
            <w:tcW w:w="992" w:type="dxa"/>
          </w:tcPr>
          <w:p w14:paraId="3FC0A2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НКРП</w:t>
            </w:r>
          </w:p>
        </w:tc>
        <w:tc>
          <w:tcPr>
            <w:tcW w:w="1559" w:type="dxa"/>
          </w:tcPr>
          <w:p w14:paraId="5C2F9E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Казань</w:t>
            </w:r>
          </w:p>
        </w:tc>
        <w:tc>
          <w:tcPr>
            <w:tcW w:w="7763" w:type="dxa"/>
          </w:tcPr>
          <w:p w14:paraId="29DD81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губка оназон для протектирования бензобаков</w:t>
            </w:r>
          </w:p>
        </w:tc>
      </w:tr>
      <w:tr w:rsidR="004D4663" w:rsidRPr="00070ADE" w14:paraId="37D4F7B7" w14:textId="77777777">
        <w:tc>
          <w:tcPr>
            <w:tcW w:w="959" w:type="dxa"/>
          </w:tcPr>
          <w:p w14:paraId="1EA232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w:t>
            </w:r>
          </w:p>
        </w:tc>
        <w:tc>
          <w:tcPr>
            <w:tcW w:w="992" w:type="dxa"/>
          </w:tcPr>
          <w:p w14:paraId="4F7691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НКАП</w:t>
            </w:r>
          </w:p>
        </w:tc>
        <w:tc>
          <w:tcPr>
            <w:tcW w:w="1559" w:type="dxa"/>
          </w:tcPr>
          <w:p w14:paraId="12BEF4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w:t>
            </w:r>
          </w:p>
        </w:tc>
        <w:tc>
          <w:tcPr>
            <w:tcW w:w="7763" w:type="dxa"/>
          </w:tcPr>
          <w:p w14:paraId="42B514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Конденсаторы</w:t>
            </w:r>
          </w:p>
        </w:tc>
      </w:tr>
      <w:tr w:rsidR="004D4663" w:rsidRPr="00070ADE" w14:paraId="2486EAA9" w14:textId="77777777">
        <w:tc>
          <w:tcPr>
            <w:tcW w:w="959" w:type="dxa"/>
          </w:tcPr>
          <w:p w14:paraId="003005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695</w:t>
            </w:r>
          </w:p>
        </w:tc>
        <w:tc>
          <w:tcPr>
            <w:tcW w:w="992" w:type="dxa"/>
          </w:tcPr>
          <w:p w14:paraId="4D5910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НКАП</w:t>
            </w:r>
          </w:p>
        </w:tc>
        <w:tc>
          <w:tcPr>
            <w:tcW w:w="1559" w:type="dxa"/>
          </w:tcPr>
          <w:p w14:paraId="6CE787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w:t>
            </w:r>
          </w:p>
        </w:tc>
        <w:tc>
          <w:tcPr>
            <w:tcW w:w="7763" w:type="dxa"/>
          </w:tcPr>
          <w:p w14:paraId="0951DC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Конденсаторы безиндукционные</w:t>
            </w:r>
          </w:p>
        </w:tc>
      </w:tr>
      <w:tr w:rsidR="004D4663" w:rsidRPr="00070ADE" w14:paraId="6FFC2A53" w14:textId="77777777">
        <w:tc>
          <w:tcPr>
            <w:tcW w:w="959" w:type="dxa"/>
          </w:tcPr>
          <w:p w14:paraId="66E51C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590</w:t>
            </w:r>
          </w:p>
        </w:tc>
        <w:tc>
          <w:tcPr>
            <w:tcW w:w="992" w:type="dxa"/>
          </w:tcPr>
          <w:p w14:paraId="7E7AA3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41D348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Новосибирск</w:t>
            </w:r>
          </w:p>
        </w:tc>
        <w:tc>
          <w:tcPr>
            <w:tcW w:w="7763" w:type="dxa"/>
          </w:tcPr>
          <w:p w14:paraId="6196C4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Конденсаторы безиндукционные</w:t>
            </w:r>
          </w:p>
        </w:tc>
      </w:tr>
      <w:tr w:rsidR="004D4663" w:rsidRPr="00070ADE" w14:paraId="63B940E5" w14:textId="77777777">
        <w:tc>
          <w:tcPr>
            <w:tcW w:w="959" w:type="dxa"/>
          </w:tcPr>
          <w:p w14:paraId="37F0A0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355</w:t>
            </w:r>
          </w:p>
        </w:tc>
        <w:tc>
          <w:tcPr>
            <w:tcW w:w="992" w:type="dxa"/>
          </w:tcPr>
          <w:p w14:paraId="253F7E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НКВ</w:t>
            </w:r>
          </w:p>
        </w:tc>
        <w:tc>
          <w:tcPr>
            <w:tcW w:w="1559" w:type="dxa"/>
          </w:tcPr>
          <w:p w14:paraId="0FD58B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63" w:type="dxa"/>
          </w:tcPr>
          <w:p w14:paraId="0E5B68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прицелы</w:t>
            </w:r>
          </w:p>
        </w:tc>
      </w:tr>
      <w:tr w:rsidR="004D4663" w:rsidRPr="00070ADE" w14:paraId="4C4A0E02" w14:textId="77777777">
        <w:tc>
          <w:tcPr>
            <w:tcW w:w="959" w:type="dxa"/>
          </w:tcPr>
          <w:p w14:paraId="54FB7F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w:t>
            </w:r>
          </w:p>
        </w:tc>
        <w:tc>
          <w:tcPr>
            <w:tcW w:w="992" w:type="dxa"/>
          </w:tcPr>
          <w:p w14:paraId="4F4E00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НКБ</w:t>
            </w:r>
          </w:p>
        </w:tc>
        <w:tc>
          <w:tcPr>
            <w:tcW w:w="1559" w:type="dxa"/>
          </w:tcPr>
          <w:p w14:paraId="7E7C2C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Челябинск</w:t>
            </w:r>
          </w:p>
        </w:tc>
        <w:tc>
          <w:tcPr>
            <w:tcW w:w="7763" w:type="dxa"/>
          </w:tcPr>
          <w:p w14:paraId="7CC929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5055D21" w14:textId="77777777">
        <w:tc>
          <w:tcPr>
            <w:tcW w:w="959" w:type="dxa"/>
          </w:tcPr>
          <w:p w14:paraId="50083B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w:t>
            </w:r>
          </w:p>
        </w:tc>
        <w:tc>
          <w:tcPr>
            <w:tcW w:w="992" w:type="dxa"/>
          </w:tcPr>
          <w:p w14:paraId="66F159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НКБ</w:t>
            </w:r>
          </w:p>
        </w:tc>
        <w:tc>
          <w:tcPr>
            <w:tcW w:w="1559" w:type="dxa"/>
          </w:tcPr>
          <w:p w14:paraId="53FED8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63" w:type="dxa"/>
          </w:tcPr>
          <w:p w14:paraId="72C830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DD7730A" w14:textId="77777777">
        <w:tc>
          <w:tcPr>
            <w:tcW w:w="959" w:type="dxa"/>
          </w:tcPr>
          <w:p w14:paraId="39D26C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w:t>
            </w:r>
          </w:p>
        </w:tc>
        <w:tc>
          <w:tcPr>
            <w:tcW w:w="992" w:type="dxa"/>
          </w:tcPr>
          <w:p w14:paraId="5888A10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НКБ</w:t>
            </w:r>
          </w:p>
        </w:tc>
        <w:tc>
          <w:tcPr>
            <w:tcW w:w="1559" w:type="dxa"/>
          </w:tcPr>
          <w:p w14:paraId="0C96E6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63" w:type="dxa"/>
          </w:tcPr>
          <w:p w14:paraId="142155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7585DA4" w14:textId="77777777">
        <w:tc>
          <w:tcPr>
            <w:tcW w:w="959" w:type="dxa"/>
          </w:tcPr>
          <w:p w14:paraId="2D6540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w:t>
            </w:r>
          </w:p>
        </w:tc>
        <w:tc>
          <w:tcPr>
            <w:tcW w:w="992" w:type="dxa"/>
          </w:tcPr>
          <w:p w14:paraId="205B7C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НКБ</w:t>
            </w:r>
          </w:p>
        </w:tc>
        <w:tc>
          <w:tcPr>
            <w:tcW w:w="1559" w:type="dxa"/>
          </w:tcPr>
          <w:p w14:paraId="70D458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63" w:type="dxa"/>
          </w:tcPr>
          <w:p w14:paraId="1D58EB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070ADE" w14:paraId="23E7C83F" w14:textId="77777777">
        <w:tc>
          <w:tcPr>
            <w:tcW w:w="959" w:type="dxa"/>
          </w:tcPr>
          <w:p w14:paraId="140D4E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D826F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6FF9F8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63" w:type="dxa"/>
          </w:tcPr>
          <w:p w14:paraId="63C8A8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(7480 24-68)</w:t>
            </w:r>
          </w:p>
        </w:tc>
      </w:tr>
    </w:tbl>
    <w:p w14:paraId="0DF9D7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294DCF5"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марте 1944 года специалисты СКБ завода «Компрессор» создали оружие невиданной разрушительной силы — боевую двенадцатизарядную реактивную установку М-31 (БМ-31) на шасси автомашины «Студебекер». Её отличительной особенностью был пуск реактивных снарядов не из транспортной укупорки, а из специально разработанного сварного пакета — так называемых «сотовых» направляющих. При этом, за исключением моноблока направляющих и электрооборудования, узлы установки были унифицированы с «нормализованной» М-13Н.</w:t>
      </w:r>
    </w:p>
    <w:p w14:paraId="73ED6862"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Испытания новой боевой машины прошли в апреле-мае 1944 года и показали её высокие тактико-технические характеристики (25403). </w:t>
      </w:r>
    </w:p>
    <w:p w14:paraId="75CA7F72" w14:textId="77777777" w:rsidR="00202698" w:rsidRPr="00C94B78" w:rsidRDefault="00202698" w:rsidP="00B56F90">
      <w:pPr>
        <w:spacing w:after="0" w:line="240" w:lineRule="auto"/>
        <w:jc w:val="both"/>
        <w:rPr>
          <w:rFonts w:ascii="Times New Roman" w:hAnsi="Times New Roman"/>
          <w:color w:val="0070C0"/>
          <w:sz w:val="16"/>
          <w:szCs w:val="16"/>
        </w:rPr>
      </w:pPr>
    </w:p>
    <w:p w14:paraId="74881E63"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марте 1944 года в СКБ была создана пусковая уста</w:t>
      </w:r>
      <w:r w:rsidRPr="00C94B78">
        <w:rPr>
          <w:rStyle w:val="aff1"/>
          <w:rFonts w:ascii="Times New Roman" w:hAnsi="Times New Roman" w:cs="Times New Roman"/>
          <w:color w:val="0070C0"/>
          <w:spacing w:val="0"/>
          <w:sz w:val="16"/>
          <w:szCs w:val="16"/>
        </w:rPr>
        <w:softHyphen/>
        <w:t>новка БМ-31-12 для реактивных снарядов М-31 на шасси автомо</w:t>
      </w:r>
      <w:r w:rsidRPr="00C94B78">
        <w:rPr>
          <w:rStyle w:val="aff1"/>
          <w:rFonts w:ascii="Times New Roman" w:hAnsi="Times New Roman" w:cs="Times New Roman"/>
          <w:color w:val="0070C0"/>
          <w:spacing w:val="0"/>
          <w:sz w:val="16"/>
          <w:szCs w:val="16"/>
        </w:rPr>
        <w:softHyphen/>
        <w:t>биля «Студебеккер». Ее отличительной особенностью был пуск реактивных снарядов не из транспортной укупорки, а из специ</w:t>
      </w:r>
      <w:r w:rsidRPr="00C94B78">
        <w:rPr>
          <w:rStyle w:val="aff1"/>
          <w:rFonts w:ascii="Times New Roman" w:hAnsi="Times New Roman" w:cs="Times New Roman"/>
          <w:color w:val="0070C0"/>
          <w:spacing w:val="0"/>
          <w:sz w:val="16"/>
          <w:szCs w:val="16"/>
        </w:rPr>
        <w:softHyphen/>
        <w:t>ально разработанного сварного пакета — так называемых сотовых направляющих.</w:t>
      </w:r>
    </w:p>
    <w:p w14:paraId="2502C469" w14:textId="77777777" w:rsidR="00202698" w:rsidRPr="00C94B78" w:rsidRDefault="00202698" w:rsidP="00B56F90">
      <w:pPr>
        <w:spacing w:after="0" w:line="240" w:lineRule="auto"/>
        <w:jc w:val="both"/>
        <w:rPr>
          <w:rStyle w:val="aff1"/>
          <w:rFonts w:ascii="Times New Roman" w:hAnsi="Times New Roman" w:cs="Times New Roman"/>
          <w:color w:val="0070C0"/>
          <w:spacing w:val="0"/>
          <w:sz w:val="16"/>
          <w:szCs w:val="16"/>
        </w:rPr>
      </w:pPr>
      <w:r w:rsidRPr="00C94B78">
        <w:rPr>
          <w:rStyle w:val="35"/>
          <w:rFonts w:ascii="Times New Roman" w:cs="Times New Roman"/>
          <w:color w:val="0070C0"/>
          <w:spacing w:val="0"/>
          <w:sz w:val="16"/>
          <w:szCs w:val="16"/>
        </w:rPr>
        <w:t>Для стопорения снарядов на направляющих при движении ус</w:t>
      </w:r>
      <w:r w:rsidRPr="00C94B78">
        <w:rPr>
          <w:rStyle w:val="35"/>
          <w:rFonts w:ascii="Times New Roman" w:cs="Times New Roman"/>
          <w:color w:val="0070C0"/>
          <w:spacing w:val="0"/>
          <w:sz w:val="16"/>
          <w:szCs w:val="16"/>
        </w:rPr>
        <w:softHyphen/>
        <w:t>тановки было разработано специальное приспособление, состоя</w:t>
      </w:r>
      <w:r w:rsidRPr="00C94B78">
        <w:rPr>
          <w:rStyle w:val="35"/>
          <w:rFonts w:ascii="Times New Roman" w:cs="Times New Roman"/>
          <w:color w:val="0070C0"/>
          <w:spacing w:val="0"/>
          <w:sz w:val="16"/>
          <w:szCs w:val="16"/>
        </w:rPr>
        <w:softHyphen/>
        <w:t>щее из верхней и нижней поперечных планок с колодками для за</w:t>
      </w:r>
      <w:r w:rsidRPr="00C94B78">
        <w:rPr>
          <w:rStyle w:val="35"/>
          <w:rFonts w:ascii="Times New Roman" w:cs="Times New Roman"/>
          <w:color w:val="0070C0"/>
          <w:spacing w:val="0"/>
          <w:sz w:val="16"/>
          <w:szCs w:val="16"/>
        </w:rPr>
        <w:softHyphen/>
        <w:t xml:space="preserve">крепления снаряда спереди в походном положении, </w:t>
      </w:r>
      <w:r w:rsidRPr="00C94B78">
        <w:rPr>
          <w:rStyle w:val="35"/>
          <w:rFonts w:ascii="Times New Roman" w:cs="Times New Roman"/>
          <w:smallCaps/>
          <w:color w:val="0070C0"/>
          <w:spacing w:val="0"/>
          <w:sz w:val="16"/>
          <w:szCs w:val="16"/>
        </w:rPr>
        <w:t>двух</w:t>
      </w:r>
      <w:r w:rsidRPr="00C94B78">
        <w:rPr>
          <w:rStyle w:val="35"/>
          <w:rFonts w:ascii="Times New Roman" w:cs="Times New Roman"/>
          <w:color w:val="0070C0"/>
          <w:spacing w:val="0"/>
          <w:sz w:val="16"/>
          <w:szCs w:val="16"/>
        </w:rPr>
        <w:t xml:space="preserve"> задних откидных решеток с тарелями и натяжными устройствами (для за</w:t>
      </w:r>
      <w:r w:rsidRPr="00C94B78">
        <w:rPr>
          <w:rStyle w:val="35"/>
          <w:rFonts w:ascii="Times New Roman" w:cs="Times New Roman"/>
          <w:color w:val="0070C0"/>
          <w:spacing w:val="0"/>
          <w:sz w:val="16"/>
          <w:szCs w:val="16"/>
        </w:rPr>
        <w:softHyphen/>
        <w:t>крепления снаряда со стороны среза сопла) и системы рычагов, позволяющих опускать или поднимать откидывающиеся решетки и тем самым стопорить или освобождать снаряды. Одновременно</w:t>
      </w:r>
      <w:r>
        <w:rPr>
          <w:rStyle w:val="35"/>
          <w:rFonts w:ascii="Times New Roman" w:cs="Times New Roman"/>
          <w:color w:val="0070C0"/>
          <w:spacing w:val="0"/>
          <w:sz w:val="16"/>
          <w:szCs w:val="16"/>
        </w:rPr>
        <w:t xml:space="preserve"> </w:t>
      </w:r>
      <w:r w:rsidRPr="00C94B78">
        <w:rPr>
          <w:rStyle w:val="aff1"/>
          <w:rFonts w:ascii="Times New Roman" w:hAnsi="Times New Roman" w:cs="Times New Roman"/>
          <w:color w:val="0070C0"/>
          <w:spacing w:val="0"/>
          <w:sz w:val="16"/>
          <w:szCs w:val="16"/>
        </w:rPr>
        <w:t>это устройство служило блокировкой, исключающей самопроиз</w:t>
      </w:r>
      <w:r w:rsidRPr="00C94B78">
        <w:rPr>
          <w:rStyle w:val="aff1"/>
          <w:rFonts w:ascii="Times New Roman" w:hAnsi="Times New Roman" w:cs="Times New Roman"/>
          <w:color w:val="0070C0"/>
          <w:spacing w:val="0"/>
          <w:sz w:val="16"/>
          <w:szCs w:val="16"/>
        </w:rPr>
        <w:softHyphen/>
        <w:t>вольный запуск снаряда в походном положении установки (25439).</w:t>
      </w:r>
    </w:p>
    <w:p w14:paraId="7635C124" w14:textId="77777777" w:rsidR="00202698" w:rsidRPr="00C94B78" w:rsidRDefault="00202698" w:rsidP="00B56F90">
      <w:pPr>
        <w:spacing w:after="0" w:line="240" w:lineRule="auto"/>
        <w:jc w:val="both"/>
        <w:rPr>
          <w:rFonts w:ascii="Times New Roman" w:hAnsi="Times New Roman"/>
          <w:color w:val="0070C0"/>
          <w:sz w:val="16"/>
          <w:szCs w:val="16"/>
        </w:rPr>
      </w:pPr>
    </w:p>
    <w:p w14:paraId="073F697C" w14:textId="77777777" w:rsidR="00202698" w:rsidRPr="00C94B78" w:rsidRDefault="0020269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марте 1944 г. СКБ «Компрессор» закончило рабочие чертежи реактивной корабельной установки 16-М-13, предназначенной для пуска 16 ракет М-13. Опытный образец в августе 1944 г. Корабельные испытания 16-М-13 прошли на Чёрном море в ноябре 1944 г. В январе 1945 г. пусковая установка 16-М-13 была принята на вооружение ВМФ (25435).</w:t>
      </w:r>
    </w:p>
    <w:p w14:paraId="26BE60A3" w14:textId="77777777" w:rsidR="00202698" w:rsidRPr="00C94B78" w:rsidRDefault="00202698" w:rsidP="00B56F90">
      <w:pPr>
        <w:spacing w:after="0" w:line="240" w:lineRule="auto"/>
        <w:jc w:val="both"/>
        <w:rPr>
          <w:rFonts w:ascii="Times New Roman" w:hAnsi="Times New Roman"/>
          <w:color w:val="0070C0"/>
          <w:sz w:val="16"/>
          <w:szCs w:val="16"/>
        </w:rPr>
      </w:pPr>
    </w:p>
    <w:p w14:paraId="44D9A9AC" w14:textId="730E9DA6" w:rsidR="00C71B1D" w:rsidRPr="00070ADE" w:rsidRDefault="00C71B1D" w:rsidP="00B56F90">
      <w:pPr>
        <w:pStyle w:val="book"/>
        <w:ind w:firstLine="0"/>
        <w:jc w:val="both"/>
        <w:rPr>
          <w:color w:val="000000" w:themeColor="text1"/>
          <w:sz w:val="16"/>
          <w:szCs w:val="16"/>
        </w:rPr>
      </w:pPr>
      <w:r w:rsidRPr="00070ADE">
        <w:rPr>
          <w:color w:val="000000" w:themeColor="text1"/>
          <w:sz w:val="16"/>
          <w:szCs w:val="16"/>
        </w:rPr>
        <w:t xml:space="preserve">В марте 1944 г. Вильгельм Бурхардт начал работы над 15-см снарядом «Бура-127». Стабилизация снаряда осуществлялась с помощью четырех крыльев тех же размеров, что и у М-13. Крылья стабилизатора были поставлены косо под углом 1,5° к оси снаряда. Это обеспечивало проворачивание снаряда в полете и устраняло эксцентриситет двигателя. Двигатель снаряда Бурхардта имел одно сопло и семь шашек размером 780 х 45/10. Фугасное действие снаряда «Бура-127» было почти одинаковое с М-13, но осколочное действие существенно превосходило М-13. Вес осколков немецкого снаряда был около 10 кг. Дальность стрельбы в полтора раза превосходила М-13. Снаряд Бурхардта имел головной механический взрыватель двойного действия, то есть ударного и дистанционного. Снаряды Бурхардта изготавливало Акционерное общество Рурсталь. Всего было изготовлено 350 снарядов. На полигоне в Куммерсдорфе было отстреляно 150 снарядов. Стрельба велась с направляющих, «содранных» почти один в один с наших установок БМ-13. Снаряды «Бура-127» были близки к принятию на вооружение, но по неясным причинам </w:t>
      </w:r>
      <w:r w:rsidRPr="00070ADE">
        <w:rPr>
          <w:color w:val="000000" w:themeColor="text1"/>
          <w:sz w:val="16"/>
          <w:szCs w:val="16"/>
        </w:rPr>
        <w:lastRenderedPageBreak/>
        <w:t>в конце 1944 г. работы над ними были прерваны. Документация Бурхардта попала в руки советской «Комиссии по изучению немецкой реактивной техники», и на базе «Буры-127» начались уже советские разработки. После окончания Великой Отечественной войны основные работы над неуправляемыми снарядами сухопутных войск велись в КБ-2 МСХМ по двум направлениям: модернизации советских неуправляемых снарядов периода Великой Отечественной войны и доработке немецких турбореактивных неуправляемых снарядов. Начиная с 1947 г. в КБ-2 МСХМ параллельно шли работы над оперенным 132-мм снарядом М-13А (модернизация старого снаряда М-13 знаменитой «Катюши») и турбореактивным снарядом. В начале 1948 г. КБ-2 на основе германского 15-см реактивного снаряда от шестиствольного миномета разработало эскизный проект 163-мм турбореактивного снаряда. Вес снаряда 48,5 кг, вес боевой части 21 кг, вес ВВ 4,7 кг, вес семишашечного порохового заряда 10,4 кг. Длина снаряда 1030/6,3 мм/ клб. Расчетная максимальная дальность стрельбы 9,9 км. Однако, чтобы уменьшить длину снаряда в калибрах, был разработан вместо 163-мм турбореактивный снаряд калибра 170 мм со следующими данными: длина 980 мм, вес снаряда 46,55 кг, вес ВВ 4,67 кг, вес 18-шашечного порохового заряда из пороха Н-31 9,37 кг. Снаряд получил обозначение ТРС-17-ОФ (ТРС-170), а его чертежу присвоили номер 10164-СВ. 27 февраля 1948 г. на техническом совете КБ-2 рассмотрели проект этого снаряда и решили принять его к дальнейшей отработке. В марте 1948 г. изготовили 25 таких снарядов. Первая группа в 14 снарядов была отстреляна 22 апреля 1948 г. на Софринском полигоне. Однако и эти, и последующие испытания прошли неудачно, и в ноябре 1948 г. приступили к разработке турбореактивного снаряда калибра 132 мм (ТРС-132). В конце декабря 1948 г. — начале января 1949 г. на Софринском полигоне были испытаны четыре варианта снаряда ТРС-132. Однако все они имели большое рассеивание. После многочисленных опытов с 132-мм снарядом, так и не добившись кучности, удовлетворявшей тактико-техническим требованиям, КБ-2 решило разрабатывать снаряд калибра 140 мм — максимально допустимом тактико-техническими требованиями. В дальнейшем этот калибр стал основным и единственным, в котором проводились отработка и испытания. Работы над новыми реактивными снарядами серьезно затруднялись Постановлением Совмина № 1175—440 от 14 апреля 1948 г., где содержалось требование использовать новые реактивные снаряды со старых пусковых установок БМ-13Н. Лишь Постановлением Совмина от 27 декабря 1949 г. это ограничение было снято. В результате в 1950 г. работы шли лишь над ТРС-140. В IV квартале 1951 г. прошли государственные испытания ТРС-140 в объеме почти полутора тысяч выстрелов. Постановлением Совмина № 4964—1235 от 25 ноября 1952 г. снаряд ТРС-140 был принят на вооружение под индексом М-14-ОФ (М-14 осколочно-фугасный). Тем же Постановлением была принята на вооружение боевая машина БМ-14, созданная в СКБ МОП под руководством В.П. Бармина. БМ-14 имела шасси от автомобиля ЗИС-151 (15225).</w:t>
      </w:r>
    </w:p>
    <w:p w14:paraId="6D4EF42A" w14:textId="77777777" w:rsidR="00C71B1D" w:rsidRPr="00070ADE" w:rsidRDefault="00C71B1D" w:rsidP="00B56F90">
      <w:pPr>
        <w:pStyle w:val="book"/>
        <w:ind w:firstLine="0"/>
        <w:jc w:val="both"/>
        <w:rPr>
          <w:color w:val="000000" w:themeColor="text1"/>
          <w:sz w:val="16"/>
          <w:szCs w:val="16"/>
        </w:rPr>
      </w:pPr>
    </w:p>
    <w:p w14:paraId="08F9D072" w14:textId="77777777" w:rsidR="00E23482" w:rsidRPr="00070ADE" w:rsidRDefault="00E23482" w:rsidP="00B56F90">
      <w:pPr>
        <w:pStyle w:val="rtejustify"/>
        <w:shd w:val="clear" w:color="auto" w:fill="FFFFFF"/>
        <w:spacing w:before="0" w:after="0"/>
        <w:rPr>
          <w:color w:val="000000" w:themeColor="text1"/>
          <w:sz w:val="16"/>
          <w:szCs w:val="16"/>
        </w:rPr>
      </w:pPr>
      <w:r w:rsidRPr="00070ADE">
        <w:rPr>
          <w:color w:val="000000" w:themeColor="text1"/>
          <w:sz w:val="16"/>
          <w:szCs w:val="16"/>
        </w:rPr>
        <w:t>В марте 1944 г. увидел свет сборник “Немецкие самолеты”, в основу которого были положены материалы, полученные при изучении и испытаниях в НИИ ВВС Красной Армии трофейных самолетов. В сборнике содержалось описание большинства массовых машин, а также тяжелого истребителя Ме-210, бомбардировщика До-217, высотного разведчика Ю-86П, штурмовика Хш-129, ближнего разведчика Хш-126, транспортного Ю-52. Представлял большой интерес раздел о многоцелевом Ю-88, где показана эволюция самолета за годы войны и место его в люфтваффе (19179).</w:t>
      </w:r>
    </w:p>
    <w:p w14:paraId="72BE4927" w14:textId="77777777" w:rsidR="00E23482" w:rsidRPr="00070ADE" w:rsidRDefault="00E23482" w:rsidP="00B56F90">
      <w:pPr>
        <w:pStyle w:val="rtejustify"/>
        <w:shd w:val="clear" w:color="auto" w:fill="FFFFFF"/>
        <w:spacing w:before="0" w:after="0"/>
        <w:rPr>
          <w:color w:val="000000" w:themeColor="text1"/>
          <w:sz w:val="16"/>
          <w:szCs w:val="16"/>
        </w:rPr>
      </w:pPr>
    </w:p>
    <w:p w14:paraId="09094FA9" w14:textId="77777777" w:rsidR="00E23482" w:rsidRPr="00070ADE" w:rsidRDefault="00E2348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БНТ ЦАГИ издал сборник «Немецкие самолеты в НИИ ВВС Красной Армии», содержащий описания и характеристики основных типов самолетов, стоявших на вооружении люфтваффе (19727).</w:t>
      </w:r>
    </w:p>
    <w:p w14:paraId="4541CEDA" w14:textId="77777777" w:rsidR="00E23482" w:rsidRPr="00070ADE" w:rsidRDefault="00E23482" w:rsidP="00B56F90">
      <w:pPr>
        <w:spacing w:after="0" w:line="240" w:lineRule="auto"/>
        <w:jc w:val="both"/>
        <w:rPr>
          <w:rFonts w:ascii="Times New Roman" w:hAnsi="Times New Roman"/>
          <w:color w:val="000000" w:themeColor="text1"/>
          <w:sz w:val="16"/>
          <w:szCs w:val="16"/>
        </w:rPr>
      </w:pPr>
    </w:p>
    <w:p w14:paraId="08A94D7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20DF1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F0CDBB" w14:textId="77777777" w:rsidR="00C71B1D" w:rsidRPr="00070ADE" w:rsidRDefault="00C71B1D" w:rsidP="00B56F90">
      <w:pPr>
        <w:spacing w:after="0" w:line="240" w:lineRule="auto"/>
        <w:jc w:val="both"/>
        <w:rPr>
          <w:rFonts w:ascii="Times New Roman" w:hAnsi="Times New Roman"/>
          <w:color w:val="000000" w:themeColor="text1"/>
          <w:sz w:val="16"/>
          <w:szCs w:val="16"/>
        </w:rPr>
      </w:pPr>
      <w:r w:rsidRPr="00070ADE">
        <w:rPr>
          <w:rStyle w:val="Bodytext2"/>
          <w:rFonts w:eastAsia="Calibri"/>
          <w:color w:val="000000" w:themeColor="text1"/>
          <w:sz w:val="16"/>
          <w:szCs w:val="16"/>
        </w:rPr>
        <w:t xml:space="preserve">Март 1944 г. </w:t>
      </w:r>
      <w:r w:rsidRPr="00070ADE">
        <w:rPr>
          <w:rStyle w:val="Heading22"/>
          <w:rFonts w:eastAsia="Calibri"/>
          <w:color w:val="000000" w:themeColor="text1"/>
          <w:sz w:val="16"/>
          <w:szCs w:val="16"/>
        </w:rPr>
        <w:t>Из доклада командующего артиллерией Красной армии в Ставку ВГК</w:t>
      </w:r>
    </w:p>
    <w:p w14:paraId="70115613" w14:textId="77777777" w:rsidR="00C71B1D" w:rsidRPr="00070ADE" w:rsidRDefault="00C71B1D" w:rsidP="00B56F90">
      <w:pPr>
        <w:pStyle w:val="621"/>
        <w:shd w:val="clear" w:color="auto" w:fill="auto"/>
        <w:spacing w:before="0" w:line="240" w:lineRule="auto"/>
        <w:rPr>
          <w:rStyle w:val="16"/>
          <w:rFonts w:ascii="Times New Roman" w:cs="Times New Roman"/>
          <w:color w:val="000000" w:themeColor="text1"/>
          <w:spacing w:val="0"/>
          <w:u w:val="none"/>
        </w:rPr>
      </w:pPr>
      <w:r w:rsidRPr="00070ADE">
        <w:rPr>
          <w:rStyle w:val="16"/>
          <w:rFonts w:ascii="Times New Roman" w:cs="Times New Roman"/>
          <w:color w:val="000000" w:themeColor="text1"/>
          <w:spacing w:val="0"/>
          <w:u w:val="none"/>
        </w:rPr>
        <w:t>В ходе войны определилась необходимость непрерывного сопровождения войск огнем и колесами зенитной артиллерии для обеспечения их от ударов авиации противника. Ши</w:t>
      </w:r>
      <w:r w:rsidRPr="00070ADE">
        <w:rPr>
          <w:rStyle w:val="16"/>
          <w:rFonts w:ascii="Times New Roman" w:cs="Times New Roman"/>
          <w:color w:val="000000" w:themeColor="text1"/>
          <w:spacing w:val="0"/>
          <w:u w:val="none"/>
        </w:rPr>
        <w:softHyphen/>
        <w:t>рокое маневрирование зенитных средств является основой своевременного реагирования на изменения в воздушной обстановке. Установлено также, что наибольший успех в авиации наши войска имеют при условии мощного прикрытия с воздуха. Однако эти задачи при существующей неукомплектованности зенитной артиллерии автотранспортом и автотя</w:t>
      </w:r>
      <w:r w:rsidRPr="00070ADE">
        <w:rPr>
          <w:rStyle w:val="16"/>
          <w:rFonts w:ascii="Times New Roman" w:cs="Times New Roman"/>
          <w:color w:val="000000" w:themeColor="text1"/>
          <w:spacing w:val="0"/>
          <w:u w:val="none"/>
        </w:rPr>
        <w:softHyphen/>
        <w:t>гачами не могут выполняться. Зенитные артиллерийские части вынуждены перемещать материальную часть и боеприпасы в 2—3 рейса, вследствие чего отстают от войск, особенно от подвижных групп (15123).</w:t>
      </w:r>
    </w:p>
    <w:p w14:paraId="641FFA41" w14:textId="77777777" w:rsidR="00C71B1D" w:rsidRPr="00070ADE" w:rsidRDefault="00C71B1D" w:rsidP="00B56F90">
      <w:pPr>
        <w:pStyle w:val="621"/>
        <w:shd w:val="clear" w:color="auto" w:fill="auto"/>
        <w:spacing w:before="0" w:line="240" w:lineRule="auto"/>
        <w:rPr>
          <w:color w:val="000000" w:themeColor="text1"/>
          <w:sz w:val="16"/>
          <w:szCs w:val="16"/>
        </w:rPr>
      </w:pPr>
    </w:p>
    <w:p w14:paraId="39D08A6C" w14:textId="77777777" w:rsidR="006B6140" w:rsidRPr="00070ADE" w:rsidRDefault="006B614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завод №92 изготовил второй и третий образцы С-34, а 26 числа их отправили на завод №100. В ходе испытаний отстрелом орудия №2 (всего произвели 18 выстрелов) обнаружилось заедание оси кривошипного механизма. Ровно те же дефекты обнаружились и на орудии №3, из которого сделали 22 выстрела. 11 мая 1944 года нарком танковой промышленности Малышев подверг С-34 резкой критике. По его словам, системы, предназначенные для установки в ИС-2 и СУ-100, оказались неприспособленными для установки ни в танк, ни в САУ. Разумеется, системы дорабатывались, но время шло, а С-34 всё никак не устанавливалась в САУ. Поскольку особого прогресса с исправлениями не наблюдалось, то и на УЗТМ не особо торопились. Представитель ЦАКБ гвардии капитан Боглевский, прибывший на завод 23 апреля, сообщил, что с января никакой деятельности на УТЗМ по данной теме не велось (18252).</w:t>
      </w:r>
    </w:p>
    <w:p w14:paraId="105B1FEA" w14:textId="77777777" w:rsidR="006B6140" w:rsidRPr="00070ADE" w:rsidRDefault="006B6140" w:rsidP="00B56F90">
      <w:pPr>
        <w:spacing w:after="0" w:line="240" w:lineRule="auto"/>
        <w:jc w:val="both"/>
        <w:rPr>
          <w:rFonts w:ascii="Times New Roman" w:hAnsi="Times New Roman"/>
          <w:color w:val="000000" w:themeColor="text1"/>
          <w:sz w:val="16"/>
          <w:szCs w:val="16"/>
        </w:rPr>
      </w:pPr>
    </w:p>
    <w:p w14:paraId="12E3FC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командование бронетанковых войск и руководство НКТП с нетерпением ждали, какие же новинки в новой кампании предложит им фашистская Германия?</w:t>
      </w:r>
    </w:p>
    <w:p w14:paraId="4F67C4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Уже отмечалось, что ожидания сводились главным об</w:t>
      </w:r>
      <w:r w:rsidRPr="00070ADE">
        <w:rPr>
          <w:rFonts w:ascii="Times New Roman" w:hAnsi="Times New Roman"/>
          <w:color w:val="000000" w:themeColor="text1"/>
          <w:sz w:val="16"/>
          <w:szCs w:val="16"/>
        </w:rPr>
        <w:softHyphen/>
        <w:t>разом к следующему:</w:t>
      </w:r>
    </w:p>
    <w:p w14:paraId="5ADA3C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«Новая кампания пройдет для фашистской Германии под знаком стратегической обороны... Это может привес</w:t>
      </w:r>
      <w:r w:rsidRPr="00070ADE">
        <w:rPr>
          <w:rFonts w:ascii="Times New Roman" w:hAnsi="Times New Roman"/>
          <w:color w:val="000000" w:themeColor="text1"/>
          <w:sz w:val="16"/>
          <w:szCs w:val="16"/>
        </w:rPr>
        <w:softHyphen/>
        <w:t>ти к значительному усилению роли противотанковых само-ходно-артиллерийских установок и штурмовых орудий... Появление на фронте новых образцов танков маловероят</w:t>
      </w:r>
      <w:r w:rsidRPr="00070ADE">
        <w:rPr>
          <w:rFonts w:ascii="Times New Roman" w:hAnsi="Times New Roman"/>
          <w:color w:val="000000" w:themeColor="text1"/>
          <w:sz w:val="16"/>
          <w:szCs w:val="16"/>
        </w:rPr>
        <w:softHyphen/>
        <w:t>но... Более разумным была бы модернизация существующих танков путем замены в них артиллерийского вооружения на одну ступень (в танке «Пантера» вместо 75-мм танковой пушки обр 42 возможно появление 85-мм танковой пушки обр. 36 или даже обр. 43. Возможно появление тяжелых танков и противотанковых САУкал. 105-мм или даже 128-мм... Прекращение выпуска легких танков в пользу САУ...</w:t>
      </w:r>
    </w:p>
    <w:p w14:paraId="0159C4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Броневая защита немецких танков вряд ли претерпит ра</w:t>
      </w:r>
      <w:r w:rsidRPr="00070ADE">
        <w:rPr>
          <w:rFonts w:ascii="Times New Roman" w:hAnsi="Times New Roman"/>
          <w:color w:val="000000" w:themeColor="text1"/>
          <w:sz w:val="16"/>
          <w:szCs w:val="16"/>
        </w:rPr>
        <w:softHyphen/>
        <w:t>дикальные изменения... Новые образцы немецких танков ожи</w:t>
      </w:r>
      <w:r w:rsidRPr="00070ADE">
        <w:rPr>
          <w:rFonts w:ascii="Times New Roman" w:hAnsi="Times New Roman"/>
          <w:color w:val="000000" w:themeColor="text1"/>
          <w:sz w:val="16"/>
          <w:szCs w:val="16"/>
        </w:rPr>
        <w:softHyphen/>
        <w:t>даются на фронте в ходе весенее-летней кампании 1944 г.».</w:t>
      </w:r>
    </w:p>
    <w:p w14:paraId="6BC9D8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противник не спешил «радовать» новинками своего танкостроения. Производившиеся серийно «Тигр» и «Пан</w:t>
      </w:r>
      <w:r w:rsidRPr="00070ADE">
        <w:rPr>
          <w:rFonts w:ascii="Times New Roman" w:hAnsi="Times New Roman"/>
          <w:color w:val="000000" w:themeColor="text1"/>
          <w:sz w:val="16"/>
          <w:szCs w:val="16"/>
        </w:rPr>
        <w:softHyphen/>
        <w:t>тера» сохраняли свое бронирование и вооружение, лишь упрощаясь в конструкции. К весне 1944 г. танк «Пантера» стал широко распространенной моделью на всех фронтах.</w:t>
      </w:r>
    </w:p>
    <w:p w14:paraId="3984D6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Сообщения же о массовом применении танков «Тигр» следует отнести на счет модернизированных ТIV.</w:t>
      </w:r>
    </w:p>
    <w:p w14:paraId="3815F8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Интересно отметить также, что в этот момент многие не</w:t>
      </w:r>
      <w:r w:rsidRPr="00070ADE">
        <w:rPr>
          <w:rFonts w:ascii="Times New Roman" w:hAnsi="Times New Roman"/>
          <w:color w:val="000000" w:themeColor="text1"/>
          <w:sz w:val="16"/>
          <w:szCs w:val="16"/>
        </w:rPr>
        <w:softHyphen/>
        <w:t>мецкие танки получили так называемую «керамическую об</w:t>
      </w:r>
      <w:r w:rsidRPr="00070ADE">
        <w:rPr>
          <w:rFonts w:ascii="Times New Roman" w:hAnsi="Times New Roman"/>
          <w:color w:val="000000" w:themeColor="text1"/>
          <w:sz w:val="16"/>
          <w:szCs w:val="16"/>
        </w:rPr>
        <w:softHyphen/>
        <w:t>мазку», или,«циммерит». Официально принята версия, что «циммерит» наносился на корпус танка для защиты от маг</w:t>
      </w:r>
      <w:r w:rsidRPr="00070ADE">
        <w:rPr>
          <w:rFonts w:ascii="Times New Roman" w:hAnsi="Times New Roman"/>
          <w:color w:val="000000" w:themeColor="text1"/>
          <w:sz w:val="16"/>
          <w:szCs w:val="16"/>
        </w:rPr>
        <w:softHyphen/>
        <w:t>нитных кумулятивных боеприпасов, но опыты показывают, что это, скорее всего, не так. Впрочем, в рамках данного из</w:t>
      </w:r>
      <w:r w:rsidRPr="00070ADE">
        <w:rPr>
          <w:rFonts w:ascii="Times New Roman" w:hAnsi="Times New Roman"/>
          <w:color w:val="000000" w:themeColor="text1"/>
          <w:sz w:val="16"/>
          <w:szCs w:val="16"/>
        </w:rPr>
        <w:softHyphen/>
        <w:t>дания мы не станем разбираться с истинностью или ложнос</w:t>
      </w:r>
      <w:r w:rsidRPr="00070ADE">
        <w:rPr>
          <w:rFonts w:ascii="Times New Roman" w:hAnsi="Times New Roman"/>
          <w:color w:val="000000" w:themeColor="text1"/>
          <w:sz w:val="16"/>
          <w:szCs w:val="16"/>
        </w:rPr>
        <w:softHyphen/>
        <w:t>тью данного предположения и лишь констатируем сей факт (11135).</w:t>
      </w:r>
    </w:p>
    <w:p w14:paraId="3DFCCF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793322" w14:textId="77777777" w:rsidR="00B06917" w:rsidRPr="00C94B78" w:rsidRDefault="00B0691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марте 1944 года завод №92, являвшийся смежником ЦАКБ по выпуску танковых систем, изготовил второй и третий образцы 100 мм орудия С-34. К системе стало появляться всё больше вопросов. В ходе испытаний на заводе №100 второго образца, после 18-го выстрела, обнаружилось заедание оси кривошипного механизма. Такой же дефект, на 22-м выстреле, выявился на третьем образце орудия. Также выяснилось, что С-34 получается тяжелее Д-10с, поскольку система изначально проектировалась под калибр 122 мм. Разница по массе составила 475 кг. При этом становилось всё более очевидно, что перенос заряжающего влево, а наводчика вправо, каких-то преимуществ не дал (24928).</w:t>
      </w:r>
    </w:p>
    <w:p w14:paraId="32AB6D34" w14:textId="77777777" w:rsidR="00B06917" w:rsidRPr="00C94B78" w:rsidRDefault="00B06917" w:rsidP="00B56F90">
      <w:pPr>
        <w:spacing w:after="0" w:line="240" w:lineRule="auto"/>
        <w:jc w:val="both"/>
        <w:rPr>
          <w:rFonts w:ascii="Times New Roman" w:hAnsi="Times New Roman"/>
          <w:color w:val="0070C0"/>
          <w:sz w:val="16"/>
          <w:szCs w:val="16"/>
        </w:rPr>
      </w:pPr>
    </w:p>
    <w:p w14:paraId="26B45548" w14:textId="6257342B"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на стол и.о. начальника ОГК НКТП Бера легло послание следующего содержания:</w:t>
      </w:r>
    </w:p>
    <w:p w14:paraId="6F386F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имеющимся данным, немецкие танкостроите</w:t>
      </w:r>
      <w:r w:rsidRPr="00070ADE">
        <w:rPr>
          <w:rFonts w:ascii="Times New Roman" w:hAnsi="Times New Roman"/>
          <w:color w:val="000000" w:themeColor="text1"/>
          <w:sz w:val="16"/>
          <w:szCs w:val="16"/>
        </w:rPr>
        <w:softHyphen/>
        <w:t>ли создают тяжелый 60-тонный танк нового типа, называе</w:t>
      </w:r>
      <w:r w:rsidRPr="00070ADE">
        <w:rPr>
          <w:rFonts w:ascii="Times New Roman" w:hAnsi="Times New Roman"/>
          <w:color w:val="000000" w:themeColor="text1"/>
          <w:sz w:val="16"/>
          <w:szCs w:val="16"/>
        </w:rPr>
        <w:softHyphen/>
        <w:t>мый Т-9 или Т-10...</w:t>
      </w:r>
    </w:p>
    <w:p w14:paraId="632B40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нового танка очень сильное и состоит из но</w:t>
      </w:r>
      <w:r w:rsidRPr="00070ADE">
        <w:rPr>
          <w:rFonts w:ascii="Times New Roman" w:hAnsi="Times New Roman"/>
          <w:color w:val="000000" w:themeColor="text1"/>
          <w:sz w:val="16"/>
          <w:szCs w:val="16"/>
        </w:rPr>
        <w:softHyphen/>
        <w:t>вой 88-мм или 128-мм пушки с большой длиной ствола и 3-х пулеметов (1 зенитный).</w:t>
      </w:r>
    </w:p>
    <w:p w14:paraId="0D5C00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Предположительно, что танк имеет мощный авиацион</w:t>
      </w:r>
      <w:r w:rsidRPr="00070ADE">
        <w:rPr>
          <w:rFonts w:ascii="Times New Roman" w:hAnsi="Times New Roman"/>
          <w:color w:val="000000" w:themeColor="text1"/>
          <w:sz w:val="16"/>
          <w:szCs w:val="16"/>
        </w:rPr>
        <w:softHyphen/>
        <w:t>ный мотор «Даймлер-Бенц» и бензо-электрическую транс</w:t>
      </w:r>
      <w:r w:rsidRPr="00070ADE">
        <w:rPr>
          <w:rFonts w:ascii="Times New Roman" w:hAnsi="Times New Roman"/>
          <w:color w:val="000000" w:themeColor="text1"/>
          <w:sz w:val="16"/>
          <w:szCs w:val="16"/>
        </w:rPr>
        <w:softHyphen/>
        <w:t>миссию по типу трансмиссии САУ «Фердинанд»...</w:t>
      </w:r>
    </w:p>
    <w:p w14:paraId="1D9AE3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Броневая защита нового танка имеет толщину не менее 150 — 200мм с курсовых углов обстрела... Главной особенностью нового германского танка является широкое использование крупных литых броневых деталей в конструкции его корпуса и башни (есть сведения о применении в конструкции танка цель-нолитого корпуса и башни), делающих его пригодным к массово</w:t>
      </w:r>
      <w:r w:rsidRPr="00070ADE">
        <w:rPr>
          <w:rFonts w:ascii="Times New Roman" w:hAnsi="Times New Roman"/>
          <w:color w:val="000000" w:themeColor="text1"/>
          <w:sz w:val="16"/>
          <w:szCs w:val="16"/>
        </w:rPr>
        <w:softHyphen/>
        <w:t>му выпуску и придающих ему форму, выгодную с точки зрения склонности бронебойных снарядов к рикошету... В настоящее время немецкие предприятия ведут серийный выпуск литых ба</w:t>
      </w:r>
      <w:r w:rsidRPr="00070ADE">
        <w:rPr>
          <w:rFonts w:ascii="Times New Roman" w:hAnsi="Times New Roman"/>
          <w:color w:val="000000" w:themeColor="text1"/>
          <w:sz w:val="16"/>
          <w:szCs w:val="16"/>
        </w:rPr>
        <w:softHyphen/>
        <w:t>шен для нового тяжелого танка, который ожидается осенью-Возможно, что появление этого танка вызвано изучением немецких конструкторов литых башен и корпусных деталей танков Т-34, КВ-1 и нашего нового тяжелого танка ИС».</w:t>
      </w:r>
    </w:p>
    <w:p w14:paraId="5A157F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Откуда была получена данная информация - неизвест</w:t>
      </w:r>
      <w:r w:rsidRPr="00070ADE">
        <w:rPr>
          <w:rFonts w:ascii="Times New Roman" w:hAnsi="Times New Roman"/>
          <w:color w:val="000000" w:themeColor="text1"/>
          <w:sz w:val="16"/>
          <w:szCs w:val="16"/>
        </w:rPr>
        <w:softHyphen/>
        <w:t>но, как неизвестна и точная дата ее появления в СССР. Види</w:t>
      </w:r>
      <w:r w:rsidRPr="00070ADE">
        <w:rPr>
          <w:rFonts w:ascii="Times New Roman" w:hAnsi="Times New Roman"/>
          <w:color w:val="000000" w:themeColor="text1"/>
          <w:sz w:val="16"/>
          <w:szCs w:val="16"/>
        </w:rPr>
        <w:softHyphen/>
        <w:t>мо, здесь переплелись разрозненные данные о новом танке, более известном под названием «Королевский Тигр» (первые машины этого типа действительно несли ли</w:t>
      </w:r>
      <w:r w:rsidRPr="00070ADE">
        <w:rPr>
          <w:rFonts w:ascii="Times New Roman" w:hAnsi="Times New Roman"/>
          <w:color w:val="000000" w:themeColor="text1"/>
          <w:sz w:val="16"/>
          <w:szCs w:val="16"/>
        </w:rPr>
        <w:softHyphen/>
        <w:t>тые башни конструкции Ф. Порше), а также слухи об уже ис</w:t>
      </w:r>
      <w:r w:rsidRPr="00070ADE">
        <w:rPr>
          <w:rFonts w:ascii="Times New Roman" w:hAnsi="Times New Roman"/>
          <w:color w:val="000000" w:themeColor="text1"/>
          <w:sz w:val="16"/>
          <w:szCs w:val="16"/>
        </w:rPr>
        <w:softHyphen/>
        <w:t>пытывающемся «мышонке» и немецкие пропагандистские издания второй половины войны. Скорее всего, именно та</w:t>
      </w:r>
      <w:r w:rsidRPr="00070ADE">
        <w:rPr>
          <w:rFonts w:ascii="Times New Roman" w:hAnsi="Times New Roman"/>
          <w:color w:val="000000" w:themeColor="text1"/>
          <w:sz w:val="16"/>
          <w:szCs w:val="16"/>
        </w:rPr>
        <w:softHyphen/>
        <w:t>кая ура-патриотическая фантастическая публикация в «Бер-линер иллюстрирте цайтунг» и послужила тем самым источ</w:t>
      </w:r>
      <w:r w:rsidRPr="00070ADE">
        <w:rPr>
          <w:rFonts w:ascii="Times New Roman" w:hAnsi="Times New Roman"/>
          <w:color w:val="000000" w:themeColor="text1"/>
          <w:sz w:val="16"/>
          <w:szCs w:val="16"/>
        </w:rPr>
        <w:softHyphen/>
        <w:t>ником, на который ссьшались в приведенном выше письме. Вряд ли такой мифический проект имел место в Германии в конце войны, но в СССР он вызвал некоторый переполох (11135).</w:t>
      </w:r>
    </w:p>
    <w:p w14:paraId="05B938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BC211E" w14:textId="77777777" w:rsidR="000B533C" w:rsidRPr="00070ADE" w:rsidRDefault="000B5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Март 1944 стал пиковым месяцем для выпуска ИСУ-152 на ЧКЗ. Дело в том, что с апреля 1944 года началось производство ИСУ-122 (Объект 242). Бытует мнение, что появление этих машин связано с нехваткой систем МЛ-20с для вооружения ИСУ-152, но это не так. САУ со 122-мм пушкой А-19 в качестве эффективного противотанкового средства Красная армия хотела получить ещё с весны 1943 года.</w:t>
      </w:r>
    </w:p>
    <w:p w14:paraId="254F3AD7" w14:textId="77777777" w:rsidR="000B533C" w:rsidRPr="00070ADE" w:rsidRDefault="000B5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Запуск производства ИСУ-122 особых проблем не вызвал, поскольку отличалась эта машина от ИСУ-152 орудийной системой и укладками, причём по большинству деталей МЛ-20с и А-19 были унифицированы. ЧКЗ в соответствии с планами постепенно выходил на объём ежемесячного выпуска в 250 танков и 250 САУ. При этом темп производства ИСУ-152 пришлось снижать: в апреле их сдали 130 штук. Продолжалось внесение усовершенствований в конструкцию, например, были улучшены замки в снарядных укладках (18171).</w:t>
      </w:r>
    </w:p>
    <w:p w14:paraId="6B9113C2" w14:textId="77777777" w:rsidR="000B533C" w:rsidRPr="00070ADE" w:rsidRDefault="000B533C" w:rsidP="00B56F90">
      <w:pPr>
        <w:spacing w:after="0" w:line="240" w:lineRule="auto"/>
        <w:jc w:val="both"/>
        <w:rPr>
          <w:rFonts w:ascii="Times New Roman" w:hAnsi="Times New Roman"/>
          <w:color w:val="000000" w:themeColor="text1"/>
          <w:sz w:val="16"/>
          <w:szCs w:val="16"/>
        </w:rPr>
      </w:pPr>
    </w:p>
    <w:p w14:paraId="6D23DF10" w14:textId="77777777" w:rsidR="00CD71E7" w:rsidRPr="00070ADE" w:rsidRDefault="00CD71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проведенные испытания танка ИС-2 и САУ ИСУ-152 показали, что улучшение качества по сравнению с февралем не произошло. В.А.Малышев в апреле указывал, что в случае непринятия мер по повышению качества выпускаемой продукции должностные лица Кировского завода будут привлечены к ответственности. Принятые меры оказались недостаточными, качество выпускаемых машин продолжало оставаться низкого уровня на протяжении всего периода роста производства. В течение января - мая 1944 г. ни один танк не прошел испытания гарантийным пробегом на 1 тыс. км, трехсоткилометровый сдаточный пробег из 27 машин выдержали только 12. В июне на машинах военпредами было обнаружено в среднем по 5-6 дефектов (на некоторых до 25). Вывод наркомата был однозначным: это результат нарушения технологической дисциплины и неудовлетворительной работы сборщиков и сдатчиков[1062]. Только в III квартале 1944 г., когда количество бездефектных машин, сдаваемых военпреду, увеличилось с 3 % до 34 %, качество производства существенно возросло[1063].</w:t>
      </w:r>
    </w:p>
    <w:p w14:paraId="1431553D" w14:textId="77777777" w:rsidR="00CD71E7" w:rsidRPr="00070ADE" w:rsidRDefault="00CD71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концу года работа по доводке танков и самоходных установок ИС была завершена. Нарком танковой промышленности В.А. Малышев в своем приказе № 690с от 3 декабря 1944 г. констатировал, что конструкция танка ИС-2 отработана, вследствие чего Ж.Я. Котин освобождался от поста главного конструктора Кировского завода и возвращался на прежние должности[1064].</w:t>
      </w:r>
    </w:p>
    <w:p w14:paraId="439FB258" w14:textId="77777777" w:rsidR="00CD71E7" w:rsidRPr="00070ADE" w:rsidRDefault="00CD71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Основная причина такого неудовлетворительного качества машин серии ИС, изготовленных в первой половине 1944 г., заключалась в том, что вместо концентрации внимания на качестве производства основной упор был вновь сделан на скорейшее увеличение количества выпускаемых танков и артсамоходов. Постоянно наращивая выпуск боевых машин, Кировский завод точно в намеченный срок (июль 1944 г.) вышел на расчетный уровень производства 500 машин в месяц, и только после этого начались серьезные сдвиги в улучшении качества машин. Такого количества завод не выпускал никогда (за исключением октября 1943 г. - 515 шт.; см. таблицу 5.2 приложения). Поэтому не удивительно, что сразу же обозначились проблемы качества танков и САУ серии ИС.</w:t>
      </w:r>
    </w:p>
    <w:p w14:paraId="6089A1C0" w14:textId="77777777" w:rsidR="00CD71E7" w:rsidRPr="00070ADE" w:rsidRDefault="00CD71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Освоение серийного выпуска ИС шло с большим трудом. При устранении просчетов проектировщиков было изменено 38,8 % всей конструкторской документации, только на Кировском заводе произвели свыше 7,8 тыс. переделок в конструкции нового танка. Сборочные цеха, чтобы расширить полезные площади, перестраивались по 2-3 раза. Станочный парк механических цехов, насчитывавший 1650 станков, неоднократно перемещался на новые места, где станки иногда работали на временных опорах[1065] (23536).</w:t>
      </w:r>
    </w:p>
    <w:p w14:paraId="1B0F1D0B" w14:textId="77777777" w:rsidR="00CD71E7" w:rsidRPr="00070ADE" w:rsidRDefault="00CD71E7" w:rsidP="00B56F90">
      <w:pPr>
        <w:spacing w:after="0" w:line="240" w:lineRule="auto"/>
        <w:jc w:val="both"/>
        <w:rPr>
          <w:rFonts w:ascii="Times New Roman" w:hAnsi="Times New Roman"/>
          <w:color w:val="000000" w:themeColor="text1"/>
          <w:sz w:val="16"/>
          <w:szCs w:val="16"/>
        </w:rPr>
      </w:pPr>
    </w:p>
    <w:p w14:paraId="2CBA91F4" w14:textId="77777777" w:rsidR="00FC59A6" w:rsidRPr="00070ADE" w:rsidRDefault="00FC59A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В марте 1944 года появились первые предпосылки к работам по большой модернизации ИС-2, официально запущенные 8 апреля того же года. Заниматься модернизацией должны были СКБ-2 ЧКЗ и ОКБ опытного завода №100. Первое время на заводе №100 очень плотно работали по теме модернизации ИС-2, но в мае активность затихла. По этой причине СКБ-2 ЧКЗ было вынуждено заниматься танком самостроятельно. Но осенью 1944 года завод №100 вернулся к тебе модернизации. Итогом стало создание проекта ИС-2У, откуда потом взяли двухскатную лобовую деталь корпуса (24894).</w:t>
      </w:r>
    </w:p>
    <w:p w14:paraId="0C7DF577" w14:textId="77777777" w:rsidR="00FC59A6" w:rsidRPr="00070ADE" w:rsidRDefault="00FC59A6" w:rsidP="00B56F90">
      <w:pPr>
        <w:spacing w:after="0" w:line="240" w:lineRule="auto"/>
        <w:jc w:val="both"/>
        <w:rPr>
          <w:rFonts w:ascii="Times New Roman" w:hAnsi="Times New Roman"/>
          <w:color w:val="000000" w:themeColor="text1"/>
          <w:sz w:val="16"/>
          <w:szCs w:val="16"/>
        </w:rPr>
      </w:pPr>
    </w:p>
    <w:p w14:paraId="37AFE8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марта 1944 года на ИС-122 дульный тормоз немецкого типа заменили более эффективным - конструкции ЦАКБ. С этого же времени танки ИС-85 были переименованы в ИС-1, а ИС-122 - в ИС-2. (3862).</w:t>
      </w:r>
    </w:p>
    <w:p w14:paraId="727817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E54E93" w14:textId="77777777" w:rsidR="00B06917" w:rsidRPr="00C94B78" w:rsidRDefault="00B0691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Март 1944 года стал первым настоящим испытанием на прочность ЧКЗ с точки зрения производства ИС-122. До того 100 и больше тяжелых танков ежемесячно ЧКЗ выпускал в декабре 1942 года. Начинался март, впрочем, как и предыдущий месяц. По состоянию на 8 марта ни одного ИС-2 не приняли, завод занимался производством ИСУ-152. Во многом повторялась ситуация с УЗТМ, где сначала выпускали танки, а затем САУ, или наоборот. Т-34 продолжал оставаться тормозящим фактором на ЧКЗ, больше того, его производство даже пересмотрели в сторону увеличения. Вместо 150 штук, которые в январе планировали сдавать по постановлению ГКО №4850сс, к середине месяца планку подняли до 185 машин, именно столько и сдали за январь. В феврале план также предусматривал сдачу 185 танков.</w:t>
      </w:r>
    </w:p>
    <w:p w14:paraId="7F0421E2" w14:textId="77777777" w:rsidR="00B06917" w:rsidRPr="00C94B78" w:rsidRDefault="00B0691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Уже к началу марта судьба Т-34 на ЧКЗ решилась. Официально выпуск Т-34 с Танкограда сняли постановлением ГКО №5378сс от 12 марта. Согласно пункту 3, выпуск Т-34 прекращался с 15 марта, всего из задела изготовлялось 75 танков. Одновременно пересматривался план по выпуску ИС и ИСУ. В мае, вместо 150 танков, сдавалось 175 ИС-2, в июне 200, а в июле и августе по 225 машин. Также с апреля начинался выпуск самоходных установок ИСУ-122, вооруженных 122-мм орудиями А-19. Планировалось, что именно они, а не ИСУ-152, станут основным типом ИСУ. Данное решение оказалось связано с тем, что ИСУ-122 больше подходила как средство борьбы с немецкими тяжелыми танкам и САУ (25541).</w:t>
      </w:r>
    </w:p>
    <w:p w14:paraId="5C94DC0D" w14:textId="77777777" w:rsidR="00B06917" w:rsidRPr="00C94B78" w:rsidRDefault="00B06917" w:rsidP="00B56F90">
      <w:pPr>
        <w:spacing w:after="0" w:line="240" w:lineRule="auto"/>
        <w:jc w:val="both"/>
        <w:rPr>
          <w:rFonts w:ascii="Times New Roman" w:hAnsi="Times New Roman"/>
          <w:color w:val="0070C0"/>
          <w:sz w:val="16"/>
          <w:szCs w:val="16"/>
        </w:rPr>
      </w:pPr>
    </w:p>
    <w:p w14:paraId="043013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марта 1944 г. на ЧКЗ стали выпускаться танки ИС-2, оснащенные пушкой Д-25 с клиновым затвором и новой конструкцией дульного тор</w:t>
      </w:r>
      <w:r w:rsidRPr="00070ADE">
        <w:rPr>
          <w:rFonts w:ascii="Times New Roman" w:hAnsi="Times New Roman"/>
          <w:color w:val="000000" w:themeColor="text1"/>
          <w:sz w:val="16"/>
          <w:szCs w:val="16"/>
        </w:rPr>
        <w:softHyphen/>
        <w:t>моза. Всего было изготовлено 850 танков, которые широко применя</w:t>
      </w:r>
      <w:r w:rsidRPr="00070ADE">
        <w:rPr>
          <w:rFonts w:ascii="Times New Roman" w:hAnsi="Times New Roman"/>
          <w:color w:val="000000" w:themeColor="text1"/>
          <w:sz w:val="16"/>
          <w:szCs w:val="16"/>
        </w:rPr>
        <w:softHyphen/>
        <w:t>лись в третьем периоде Великой Отечественной войны. В связи с установкой пушки калибра 122-мм, имевшей значительно большие габариты по сравнению с 85-мм пушкой Д-5Т-85, рабочие ме</w:t>
      </w:r>
      <w:r w:rsidRPr="00070ADE">
        <w:rPr>
          <w:rFonts w:ascii="Times New Roman" w:hAnsi="Times New Roman"/>
          <w:color w:val="000000" w:themeColor="text1"/>
          <w:sz w:val="16"/>
          <w:szCs w:val="16"/>
        </w:rPr>
        <w:softHyphen/>
        <w:t>ста наводчика и командира танка в башне были сдвинуты влево, соот</w:t>
      </w:r>
      <w:r w:rsidRPr="00070ADE">
        <w:rPr>
          <w:rFonts w:ascii="Times New Roman" w:hAnsi="Times New Roman"/>
          <w:color w:val="000000" w:themeColor="text1"/>
          <w:sz w:val="16"/>
          <w:szCs w:val="16"/>
        </w:rPr>
        <w:softHyphen/>
        <w:t>ветственно конструкция башни в части установки командирской ба</w:t>
      </w:r>
      <w:r w:rsidRPr="00070ADE">
        <w:rPr>
          <w:rFonts w:ascii="Times New Roman" w:hAnsi="Times New Roman"/>
          <w:color w:val="000000" w:themeColor="text1"/>
          <w:sz w:val="16"/>
          <w:szCs w:val="16"/>
        </w:rPr>
        <w:softHyphen/>
        <w:t>шенки была изменена. Численность экипажа осталась без изменений и составляла четыре человека (10703).</w:t>
      </w:r>
    </w:p>
    <w:p w14:paraId="436021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19829E" w14:textId="77777777" w:rsidR="00A01DE5" w:rsidRPr="00070ADE" w:rsidRDefault="00A01DE5" w:rsidP="00B56F90">
      <w:pPr>
        <w:spacing w:after="0" w:line="240" w:lineRule="auto"/>
        <w:jc w:val="both"/>
        <w:rPr>
          <w:rFonts w:ascii="Times New Roman" w:hAnsi="Times New Roman"/>
          <w:color w:val="000000" w:themeColor="text1"/>
          <w:sz w:val="16"/>
          <w:szCs w:val="16"/>
        </w:rPr>
      </w:pPr>
      <w:r w:rsidRPr="00070ADE">
        <w:rPr>
          <w:rStyle w:val="712"/>
          <w:rFonts w:ascii="Times New Roman" w:hAnsi="Times New Roman" w:cs="Times New Roman"/>
          <w:color w:val="000000" w:themeColor="text1"/>
          <w:sz w:val="16"/>
          <w:szCs w:val="16"/>
        </w:rPr>
        <w:t>В марте 1944 года произошли очередные изменения конструкции ИС-2. Этот месяц для ЧКЗ был крайне тяжелым, поскольку вовсю шла перестройка производственного цикла на поточный метод, а смежники, прежде всего завод № 9, сдавали свою продукцию не</w:t>
      </w:r>
      <w:r w:rsidRPr="00070ADE">
        <w:rPr>
          <w:rStyle w:val="712"/>
          <w:rFonts w:ascii="Times New Roman" w:hAnsi="Times New Roman" w:cs="Times New Roman"/>
          <w:color w:val="000000" w:themeColor="text1"/>
          <w:sz w:val="16"/>
          <w:szCs w:val="16"/>
        </w:rPr>
        <w:softHyphen/>
        <w:t>ритмично. Всего за март было введено 12 пунктов улучшений конструкции танка, часть из которых повлияли и на внешний вид. Кнопку связи с экипажем перенесли на пра</w:t>
      </w:r>
      <w:r w:rsidRPr="00070ADE">
        <w:rPr>
          <w:rStyle w:val="712"/>
          <w:rFonts w:ascii="Times New Roman" w:hAnsi="Times New Roman" w:cs="Times New Roman"/>
          <w:color w:val="000000" w:themeColor="text1"/>
          <w:sz w:val="16"/>
          <w:szCs w:val="16"/>
        </w:rPr>
        <w:softHyphen/>
        <w:t>вую сторону кормы корпуса. Была усилена сетка воздухозаборников: в дополнение к поперечным ребрам жесткости появилось еще и продольное. Впрочем, более суще</w:t>
      </w:r>
      <w:r w:rsidRPr="00070ADE">
        <w:rPr>
          <w:rStyle w:val="712"/>
          <w:rFonts w:ascii="Times New Roman" w:hAnsi="Times New Roman" w:cs="Times New Roman"/>
          <w:color w:val="000000" w:themeColor="text1"/>
          <w:sz w:val="16"/>
          <w:szCs w:val="16"/>
        </w:rPr>
        <w:softHyphen/>
        <w:t>ственными стали изменения по корпусам и башням. С марта 1944 года начался выпуск корпусов и башен из стали высокой твердо</w:t>
      </w:r>
      <w:r w:rsidRPr="00070ADE">
        <w:rPr>
          <w:rStyle w:val="712"/>
          <w:rFonts w:ascii="Times New Roman" w:hAnsi="Times New Roman" w:cs="Times New Roman"/>
          <w:color w:val="000000" w:themeColor="text1"/>
          <w:sz w:val="16"/>
          <w:szCs w:val="16"/>
        </w:rPr>
        <w:softHyphen/>
        <w:t>сти 70Л. 78 из 116 корпусов и 62 из 82 башен, выпущенных за месяц заводом № 200, имели лобовые детали из брони высокой твердости.</w:t>
      </w:r>
    </w:p>
    <w:p w14:paraId="48B49448" w14:textId="77777777" w:rsidR="00A01DE5" w:rsidRPr="00070ADE" w:rsidRDefault="00A01DE5" w:rsidP="00B56F90">
      <w:pPr>
        <w:spacing w:after="0" w:line="240" w:lineRule="auto"/>
        <w:jc w:val="both"/>
        <w:rPr>
          <w:rFonts w:ascii="Times New Roman" w:hAnsi="Times New Roman"/>
          <w:color w:val="000000" w:themeColor="text1"/>
          <w:sz w:val="16"/>
          <w:szCs w:val="16"/>
        </w:rPr>
      </w:pPr>
      <w:r w:rsidRPr="00070ADE">
        <w:rPr>
          <w:rStyle w:val="712"/>
          <w:rFonts w:ascii="Times New Roman" w:hAnsi="Times New Roman" w:cs="Times New Roman"/>
          <w:color w:val="000000" w:themeColor="text1"/>
          <w:sz w:val="16"/>
          <w:szCs w:val="16"/>
        </w:rPr>
        <w:t>Тогда же сталь 70Л стала применяться и на УЗТМ. Данное изменение существенно по</w:t>
      </w:r>
      <w:r w:rsidRPr="00070ADE">
        <w:rPr>
          <w:rStyle w:val="712"/>
          <w:rFonts w:ascii="Times New Roman" w:hAnsi="Times New Roman" w:cs="Times New Roman"/>
          <w:color w:val="000000" w:themeColor="text1"/>
          <w:sz w:val="16"/>
          <w:szCs w:val="16"/>
        </w:rPr>
        <w:softHyphen/>
        <w:t>влияло на снарядостойкость: дистанция про</w:t>
      </w:r>
      <w:r w:rsidRPr="00070ADE">
        <w:rPr>
          <w:rStyle w:val="712"/>
          <w:rFonts w:ascii="Times New Roman" w:hAnsi="Times New Roman" w:cs="Times New Roman"/>
          <w:color w:val="000000" w:themeColor="text1"/>
          <w:sz w:val="16"/>
          <w:szCs w:val="16"/>
        </w:rPr>
        <w:softHyphen/>
        <w:t>бития 75-мм орудием «Пантеры» верхнего лобового листа корпуса снизилась до 570 метров. Улучшению показателей способство</w:t>
      </w:r>
      <w:r w:rsidRPr="00070ADE">
        <w:rPr>
          <w:rStyle w:val="712"/>
          <w:rFonts w:ascii="Times New Roman" w:hAnsi="Times New Roman" w:cs="Times New Roman"/>
          <w:color w:val="000000" w:themeColor="text1"/>
          <w:sz w:val="16"/>
          <w:szCs w:val="16"/>
        </w:rPr>
        <w:softHyphen/>
        <w:t>вало и повышение качества литья лобовых деталей корпуса. В результате танк даже со старой конструкцией лобовой детали корпу</w:t>
      </w:r>
      <w:r w:rsidRPr="00070ADE">
        <w:rPr>
          <w:rStyle w:val="712"/>
          <w:rFonts w:ascii="Times New Roman" w:hAnsi="Times New Roman" w:cs="Times New Roman"/>
          <w:color w:val="000000" w:themeColor="text1"/>
          <w:sz w:val="16"/>
          <w:szCs w:val="16"/>
        </w:rPr>
        <w:softHyphen/>
        <w:t>са стал «держать» снаряды на тех дистан</w:t>
      </w:r>
      <w:r w:rsidRPr="00070ADE">
        <w:rPr>
          <w:rStyle w:val="712"/>
          <w:rFonts w:ascii="Times New Roman" w:hAnsi="Times New Roman" w:cs="Times New Roman"/>
          <w:color w:val="000000" w:themeColor="text1"/>
          <w:sz w:val="16"/>
          <w:szCs w:val="16"/>
        </w:rPr>
        <w:softHyphen/>
        <w:t>циях, где раньше его пробивали. Неудиви</w:t>
      </w:r>
      <w:r w:rsidRPr="00070ADE">
        <w:rPr>
          <w:rStyle w:val="712"/>
          <w:rFonts w:ascii="Times New Roman" w:hAnsi="Times New Roman" w:cs="Times New Roman"/>
          <w:color w:val="000000" w:themeColor="text1"/>
          <w:sz w:val="16"/>
          <w:szCs w:val="16"/>
        </w:rPr>
        <w:softHyphen/>
        <w:t>тельно, что в отчетах о поражаемости ИС-2, основным калибром, которым немцы проби</w:t>
      </w:r>
      <w:r w:rsidRPr="00070ADE">
        <w:rPr>
          <w:rStyle w:val="712"/>
          <w:rFonts w:ascii="Times New Roman" w:hAnsi="Times New Roman" w:cs="Times New Roman"/>
          <w:color w:val="000000" w:themeColor="text1"/>
          <w:sz w:val="16"/>
          <w:szCs w:val="16"/>
        </w:rPr>
        <w:softHyphen/>
        <w:t>вали данные танки, стал 88 мм. При этом чаще всего речь идет о снарядах орудия 8.8 cm Pak 43 L/71 и его производных.</w:t>
      </w:r>
    </w:p>
    <w:p w14:paraId="52A9606D" w14:textId="77777777" w:rsidR="00A01DE5" w:rsidRPr="00070ADE" w:rsidRDefault="00A01DE5" w:rsidP="00B56F90">
      <w:pPr>
        <w:spacing w:after="0" w:line="240" w:lineRule="auto"/>
        <w:jc w:val="both"/>
        <w:rPr>
          <w:rFonts w:ascii="Times New Roman" w:hAnsi="Times New Roman"/>
          <w:color w:val="000000" w:themeColor="text1"/>
          <w:sz w:val="16"/>
          <w:szCs w:val="16"/>
        </w:rPr>
      </w:pPr>
      <w:r w:rsidRPr="00070ADE">
        <w:rPr>
          <w:rStyle w:val="712"/>
          <w:rFonts w:ascii="Times New Roman" w:hAnsi="Times New Roman" w:cs="Times New Roman"/>
          <w:color w:val="000000" w:themeColor="text1"/>
          <w:sz w:val="16"/>
          <w:szCs w:val="16"/>
        </w:rPr>
        <w:t>Не менее важным изменением марта стало появление башен производства еще двух за</w:t>
      </w:r>
      <w:r w:rsidRPr="00070ADE">
        <w:rPr>
          <w:rStyle w:val="712"/>
          <w:rFonts w:ascii="Times New Roman" w:hAnsi="Times New Roman" w:cs="Times New Roman"/>
          <w:color w:val="000000" w:themeColor="text1"/>
          <w:sz w:val="16"/>
          <w:szCs w:val="16"/>
        </w:rPr>
        <w:softHyphen/>
        <w:t>водов. Первым из них стал Таганрогский госу</w:t>
      </w:r>
      <w:r w:rsidRPr="00070ADE">
        <w:rPr>
          <w:rStyle w:val="712"/>
          <w:rFonts w:ascii="Times New Roman" w:hAnsi="Times New Roman" w:cs="Times New Roman"/>
          <w:color w:val="000000" w:themeColor="text1"/>
          <w:sz w:val="16"/>
          <w:szCs w:val="16"/>
        </w:rPr>
        <w:softHyphen/>
        <w:t>дарственный металлургический завод им. Андреева. Таганрог освободили 30 августа 1943 года, а с февраля 1944 года там освоили выпуск башен для ИС-2 из стали 70Л. В февра</w:t>
      </w:r>
      <w:r w:rsidRPr="00070ADE">
        <w:rPr>
          <w:rStyle w:val="712"/>
          <w:rFonts w:ascii="Times New Roman" w:hAnsi="Times New Roman" w:cs="Times New Roman"/>
          <w:color w:val="000000" w:themeColor="text1"/>
          <w:sz w:val="16"/>
          <w:szCs w:val="16"/>
        </w:rPr>
        <w:softHyphen/>
        <w:t>ле сдали 31 башню, в марте 71 и в апреле 85. Получателем выступал завод № 200. В Челя</w:t>
      </w:r>
      <w:r w:rsidRPr="00070ADE">
        <w:rPr>
          <w:rStyle w:val="712"/>
          <w:rFonts w:ascii="Times New Roman" w:hAnsi="Times New Roman" w:cs="Times New Roman"/>
          <w:color w:val="000000" w:themeColor="text1"/>
          <w:sz w:val="16"/>
          <w:szCs w:val="16"/>
        </w:rPr>
        <w:softHyphen/>
        <w:t>бинск поступали полуфабрикаты: башни про</w:t>
      </w:r>
      <w:r w:rsidRPr="00070ADE">
        <w:rPr>
          <w:rStyle w:val="712"/>
          <w:rFonts w:ascii="Times New Roman" w:hAnsi="Times New Roman" w:cs="Times New Roman"/>
          <w:color w:val="000000" w:themeColor="text1"/>
          <w:sz w:val="16"/>
          <w:szCs w:val="16"/>
        </w:rPr>
        <w:softHyphen/>
        <w:t>ходили обрубку, отрезку прибылей, разделку дефектов под заварку, после чего отгружа</w:t>
      </w:r>
      <w:r w:rsidRPr="00070ADE">
        <w:rPr>
          <w:rStyle w:val="712"/>
          <w:rFonts w:ascii="Times New Roman" w:hAnsi="Times New Roman" w:cs="Times New Roman"/>
          <w:color w:val="000000" w:themeColor="text1"/>
          <w:sz w:val="16"/>
          <w:szCs w:val="16"/>
        </w:rPr>
        <w:softHyphen/>
        <w:t>лись на завод № 200. В результате башни, формально выпущенные в Челябинске, не</w:t>
      </w:r>
      <w:r w:rsidRPr="00070ADE">
        <w:rPr>
          <w:rStyle w:val="712"/>
          <w:rFonts w:ascii="Times New Roman" w:hAnsi="Times New Roman" w:cs="Times New Roman"/>
          <w:color w:val="000000" w:themeColor="text1"/>
          <w:sz w:val="16"/>
          <w:szCs w:val="16"/>
        </w:rPr>
        <w:softHyphen/>
        <w:t>много отличались друг от друга. Четвертым производителем башен стал Мариупольский металлургический завод им. Ильича. В сен</w:t>
      </w:r>
      <w:r w:rsidRPr="00070ADE">
        <w:rPr>
          <w:rStyle w:val="712"/>
          <w:rFonts w:ascii="Times New Roman" w:hAnsi="Times New Roman" w:cs="Times New Roman"/>
          <w:color w:val="000000" w:themeColor="text1"/>
          <w:sz w:val="16"/>
          <w:szCs w:val="16"/>
        </w:rPr>
        <w:softHyphen/>
        <w:t>тябре 1943 года Мариуполь был освобожден Красной Армией, почти сразу же началось возрождение броневого производства. Вы</w:t>
      </w:r>
      <w:r w:rsidRPr="00070ADE">
        <w:rPr>
          <w:rStyle w:val="712"/>
          <w:rFonts w:ascii="Times New Roman" w:hAnsi="Times New Roman" w:cs="Times New Roman"/>
          <w:color w:val="000000" w:themeColor="text1"/>
          <w:sz w:val="16"/>
          <w:szCs w:val="16"/>
        </w:rPr>
        <w:softHyphen/>
        <w:t>пуск башен для ИС-2 там освоили с апреля 1943 года, также в виде полуфабрикатов. Если с башнями из Таганрога пока не очень понятно, чем именно они отличались, то ма</w:t>
      </w:r>
      <w:r w:rsidRPr="00070ADE">
        <w:rPr>
          <w:rStyle w:val="712"/>
          <w:rFonts w:ascii="Times New Roman" w:hAnsi="Times New Roman" w:cs="Times New Roman"/>
          <w:color w:val="000000" w:themeColor="text1"/>
          <w:sz w:val="16"/>
          <w:szCs w:val="16"/>
        </w:rPr>
        <w:softHyphen/>
        <w:t>риупольские изделия отличить несложно. Форма башни напоминала ту, что была у УЗТМ, также использовались короткие поручни. В районе установки кормового пулемета отсут</w:t>
      </w:r>
      <w:r w:rsidRPr="00070ADE">
        <w:rPr>
          <w:rStyle w:val="712"/>
          <w:rFonts w:ascii="Times New Roman" w:hAnsi="Times New Roman" w:cs="Times New Roman"/>
          <w:color w:val="000000" w:themeColor="text1"/>
          <w:sz w:val="16"/>
          <w:szCs w:val="16"/>
        </w:rPr>
        <w:softHyphen/>
        <w:t>ствовали «ребра». Наконец, на продукции Ма</w:t>
      </w:r>
      <w:r w:rsidRPr="00070ADE">
        <w:rPr>
          <w:rStyle w:val="712"/>
          <w:rFonts w:ascii="Times New Roman" w:hAnsi="Times New Roman" w:cs="Times New Roman"/>
          <w:color w:val="000000" w:themeColor="text1"/>
          <w:sz w:val="16"/>
          <w:szCs w:val="16"/>
        </w:rPr>
        <w:softHyphen/>
        <w:t>риупольского металлургического завода име</w:t>
      </w:r>
      <w:r w:rsidRPr="00070ADE">
        <w:rPr>
          <w:rStyle w:val="712"/>
          <w:rFonts w:ascii="Times New Roman" w:hAnsi="Times New Roman" w:cs="Times New Roman"/>
          <w:color w:val="000000" w:themeColor="text1"/>
          <w:sz w:val="16"/>
          <w:szCs w:val="16"/>
        </w:rPr>
        <w:softHyphen/>
        <w:t>лись литьевые номера, отличающиеся от че</w:t>
      </w:r>
      <w:r w:rsidRPr="00070ADE">
        <w:rPr>
          <w:rStyle w:val="712"/>
          <w:rFonts w:ascii="Times New Roman" w:hAnsi="Times New Roman" w:cs="Times New Roman"/>
          <w:color w:val="000000" w:themeColor="text1"/>
          <w:sz w:val="16"/>
          <w:szCs w:val="16"/>
        </w:rPr>
        <w:softHyphen/>
        <w:t>лябинских. При этом крыши и командирские башенки ставились заводом № 200. Первое время с мариупольскими башнями имелись проблемы по качеству, например, наблюда</w:t>
      </w:r>
      <w:r w:rsidRPr="00070ADE">
        <w:rPr>
          <w:rStyle w:val="712"/>
          <w:rFonts w:ascii="Times New Roman" w:hAnsi="Times New Roman" w:cs="Times New Roman"/>
          <w:color w:val="000000" w:themeColor="text1"/>
          <w:sz w:val="16"/>
          <w:szCs w:val="16"/>
        </w:rPr>
        <w:softHyphen/>
        <w:t>лось существенное превышение массы (19874).</w:t>
      </w:r>
    </w:p>
    <w:p w14:paraId="46E5205F" w14:textId="77777777" w:rsidR="00A01DE5" w:rsidRPr="00070ADE" w:rsidRDefault="00A01DE5" w:rsidP="00B56F90">
      <w:pPr>
        <w:shd w:val="clear" w:color="auto" w:fill="FFFFFF"/>
        <w:spacing w:after="0" w:line="240" w:lineRule="auto"/>
        <w:jc w:val="both"/>
        <w:rPr>
          <w:rStyle w:val="712"/>
          <w:rFonts w:ascii="Times New Roman" w:hAnsi="Times New Roman" w:cs="Times New Roman"/>
          <w:color w:val="000000" w:themeColor="text1"/>
          <w:sz w:val="16"/>
          <w:szCs w:val="16"/>
        </w:rPr>
      </w:pPr>
    </w:p>
    <w:p w14:paraId="59F1E0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марта 1944 г. доработанный вариант 122 мм пушки Д-25 с поршневым затвором, созданной на основе корпус</w:t>
      </w:r>
      <w:r w:rsidRPr="00070ADE">
        <w:rPr>
          <w:rFonts w:ascii="Times New Roman" w:hAnsi="Times New Roman"/>
          <w:color w:val="000000" w:themeColor="text1"/>
          <w:sz w:val="16"/>
          <w:szCs w:val="16"/>
        </w:rPr>
        <w:softHyphen/>
        <w:t>ной пушки А-19 с полуавтоматическим горизонтальным клиновым затвором под индек</w:t>
      </w:r>
      <w:r w:rsidRPr="00070ADE">
        <w:rPr>
          <w:rFonts w:ascii="Times New Roman" w:hAnsi="Times New Roman"/>
          <w:color w:val="000000" w:themeColor="text1"/>
          <w:sz w:val="16"/>
          <w:szCs w:val="16"/>
        </w:rPr>
        <w:softHyphen/>
        <w:t>сом Д-25Т стал устанавливаться в тяжелый танк ИС-2. 122-мм нарезная танковая пушка Д-25Т производства завода № 9 НКВ представляла собой укороченный на 245 мм ствол корпусной пуш</w:t>
      </w:r>
      <w:r w:rsidRPr="00070ADE">
        <w:rPr>
          <w:rFonts w:ascii="Times New Roman" w:hAnsi="Times New Roman"/>
          <w:color w:val="000000" w:themeColor="text1"/>
          <w:sz w:val="16"/>
          <w:szCs w:val="16"/>
        </w:rPr>
        <w:softHyphen/>
        <w:t>ки обр. 1931/37 гг. (А-19), наложенный на люльку 85-мм танковой пуш</w:t>
      </w:r>
      <w:r w:rsidRPr="00070ADE">
        <w:rPr>
          <w:rFonts w:ascii="Times New Roman" w:hAnsi="Times New Roman"/>
          <w:color w:val="000000" w:themeColor="text1"/>
          <w:sz w:val="16"/>
          <w:szCs w:val="16"/>
        </w:rPr>
        <w:softHyphen/>
        <w:t>ки Д-5Т-85, но с несколько удлиненными цилиндрами и штоками тор</w:t>
      </w:r>
      <w:r w:rsidRPr="00070ADE">
        <w:rPr>
          <w:rFonts w:ascii="Times New Roman" w:hAnsi="Times New Roman"/>
          <w:color w:val="000000" w:themeColor="text1"/>
          <w:sz w:val="16"/>
          <w:szCs w:val="16"/>
        </w:rPr>
        <w:softHyphen/>
        <w:t>моза отката и накатника. Ствол пушки состоял из трубы-моноблока, казенника, муфты и дуль</w:t>
      </w:r>
      <w:r w:rsidRPr="00070ADE">
        <w:rPr>
          <w:rFonts w:ascii="Times New Roman" w:hAnsi="Times New Roman"/>
          <w:color w:val="000000" w:themeColor="text1"/>
          <w:sz w:val="16"/>
          <w:szCs w:val="16"/>
        </w:rPr>
        <w:softHyphen/>
        <w:t>ного тормоза. Труба-моноблок имела ступенчатую цилиндрическую форму и в дульной части была обработан^ на конус. Цилиндрической ча</w:t>
      </w:r>
      <w:r w:rsidRPr="00070ADE">
        <w:rPr>
          <w:rFonts w:ascii="Times New Roman" w:hAnsi="Times New Roman"/>
          <w:color w:val="000000" w:themeColor="text1"/>
          <w:sz w:val="16"/>
          <w:szCs w:val="16"/>
        </w:rPr>
        <w:softHyphen/>
        <w:t>стью диаметром 260 мм труба входила в направляющие бронзовые вкла</w:t>
      </w:r>
      <w:r w:rsidRPr="00070ADE">
        <w:rPr>
          <w:rFonts w:ascii="Times New Roman" w:hAnsi="Times New Roman"/>
          <w:color w:val="000000" w:themeColor="text1"/>
          <w:sz w:val="16"/>
          <w:szCs w:val="16"/>
        </w:rPr>
        <w:softHyphen/>
        <w:t>дыши люльки, по которым она скользила при откате и накате. У дульно</w:t>
      </w:r>
      <w:r w:rsidRPr="00070ADE">
        <w:rPr>
          <w:rFonts w:ascii="Times New Roman" w:hAnsi="Times New Roman"/>
          <w:color w:val="000000" w:themeColor="text1"/>
          <w:sz w:val="16"/>
          <w:szCs w:val="16"/>
        </w:rPr>
        <w:softHyphen/>
        <w:t>го среза на трубе имелась ленточная резьба для навинчивания дульного тормоза. Поршневой затвор, применявшийся на первых образцах пушки Д-25Т был заимствован у 122-мм корпусной пушки А-19. Казенник пуш</w:t>
      </w:r>
      <w:r w:rsidRPr="00070ADE">
        <w:rPr>
          <w:rFonts w:ascii="Times New Roman" w:hAnsi="Times New Roman"/>
          <w:color w:val="000000" w:themeColor="text1"/>
          <w:sz w:val="16"/>
          <w:szCs w:val="16"/>
        </w:rPr>
        <w:softHyphen/>
        <w:t>ки был несколько изменен, введен лоток для облегчения заряжания и поставлен усиленный подъемный механизм. Литая люлька обойменного типа качалась на двух цапфах, укрепленных в кронштейнах амбразуры башни. Противооткатные устройства (гидравлический тормоз веретен</w:t>
      </w:r>
      <w:r w:rsidRPr="00070ADE">
        <w:rPr>
          <w:rFonts w:ascii="Times New Roman" w:hAnsi="Times New Roman"/>
          <w:color w:val="000000" w:themeColor="text1"/>
          <w:sz w:val="16"/>
          <w:szCs w:val="16"/>
        </w:rPr>
        <w:softHyphen/>
        <w:t>ного типа и гидропневматический накатник) располагались над стволом, что обеспечивало динамическую уравновешенность ствола при выстре</w:t>
      </w:r>
      <w:r w:rsidRPr="00070ADE">
        <w:rPr>
          <w:rFonts w:ascii="Times New Roman" w:hAnsi="Times New Roman"/>
          <w:color w:val="000000" w:themeColor="text1"/>
          <w:sz w:val="16"/>
          <w:szCs w:val="16"/>
        </w:rPr>
        <w:softHyphen/>
        <w:t xml:space="preserve">ле и удобство обслуживания противооткатных устройств. Нормальная длина отката </w:t>
      </w:r>
      <w:r w:rsidRPr="00070ADE">
        <w:rPr>
          <w:rFonts w:ascii="Times New Roman" w:hAnsi="Times New Roman"/>
          <w:color w:val="000000" w:themeColor="text1"/>
          <w:sz w:val="16"/>
          <w:szCs w:val="16"/>
        </w:rPr>
        <w:lastRenderedPageBreak/>
        <w:t>была 490 - 550 мм, предельная - 570 мм. Существенным недостатком применения в конструкции пушки поршневого затвора яв</w:t>
      </w:r>
      <w:r w:rsidRPr="00070ADE">
        <w:rPr>
          <w:rFonts w:ascii="Times New Roman" w:hAnsi="Times New Roman"/>
          <w:color w:val="000000" w:themeColor="text1"/>
          <w:sz w:val="16"/>
          <w:szCs w:val="16"/>
        </w:rPr>
        <w:softHyphen/>
        <w:t>лялась низкая скорострельность - 2 - 3 выстр./мин. Для устранения этого недостатка с марта 1943 г. в конструкцию пушки был введен гори</w:t>
      </w:r>
      <w:r w:rsidRPr="00070ADE">
        <w:rPr>
          <w:rFonts w:ascii="Times New Roman" w:hAnsi="Times New Roman"/>
          <w:color w:val="000000" w:themeColor="text1"/>
          <w:sz w:val="16"/>
          <w:szCs w:val="16"/>
        </w:rPr>
        <w:softHyphen/>
        <w:t>зонтальный клиновой с полуавтоматикой копирного типа затвор, кото</w:t>
      </w:r>
      <w:r w:rsidRPr="00070ADE">
        <w:rPr>
          <w:rFonts w:ascii="Times New Roman" w:hAnsi="Times New Roman"/>
          <w:color w:val="000000" w:themeColor="text1"/>
          <w:sz w:val="16"/>
          <w:szCs w:val="16"/>
        </w:rPr>
        <w:softHyphen/>
        <w:t>рый повысил скорострельность до 3,5 выстр./мин. Пушка имела ручной спусковой механизм. Спуск осуществлялся нажатием на рычаг электроспуска, располагавшийся на рукоятке подъ</w:t>
      </w:r>
      <w:r w:rsidRPr="00070ADE">
        <w:rPr>
          <w:rFonts w:ascii="Times New Roman" w:hAnsi="Times New Roman"/>
          <w:color w:val="000000" w:themeColor="text1"/>
          <w:sz w:val="16"/>
          <w:szCs w:val="16"/>
        </w:rPr>
        <w:softHyphen/>
        <w:t>емного механизма пушки. Кроме электроспуска имелся рычаг механи</w:t>
      </w:r>
      <w:r w:rsidRPr="00070ADE">
        <w:rPr>
          <w:rFonts w:ascii="Times New Roman" w:hAnsi="Times New Roman"/>
          <w:color w:val="000000" w:themeColor="text1"/>
          <w:sz w:val="16"/>
          <w:szCs w:val="16"/>
        </w:rPr>
        <w:softHyphen/>
        <w:t>ческого спуска, располагавшийся на левом щите ограждения пушки. Для стрельбы из пушки использовались выстрелы раздельно-гиль-' зового заряжания 122-мм пушки обр. 1931 г. (А-19): дальнобойный ос</w:t>
      </w:r>
      <w:r w:rsidRPr="00070ADE">
        <w:rPr>
          <w:rFonts w:ascii="Times New Roman" w:hAnsi="Times New Roman"/>
          <w:color w:val="000000" w:themeColor="text1"/>
          <w:sz w:val="16"/>
          <w:szCs w:val="16"/>
        </w:rPr>
        <w:softHyphen/>
        <w:t>колочно-фугасный выстрел 53-ВОФ-471 со снарядом 53-ОФ-471 м взрывателем РГМ; бронебойно-трассирующий выстрел 53-ВБР-471 со снарядом 53-БР-471 и взрывателем ДР. По могуществу действия снарядов по цели и их разрушительному воздействию 122-мм пушка Д-25Т являлась самой мощной танков пушкой, устанавливавшейся на серийных танках Второй мировойны. Длина ствола этой пушки составляла 48 калибров, начальная (скорость бронебойного снаряда массой 25 кг достигала 795 м/с. Даль прямого выстрела по средним и тяжелым танкам находилась в пределах 1000 - 1100 м, прицельная дальность составляла 5000 м. Дуль энергия пушки достигала 806 тс-м, в то время как у 88-мм длинноствольной пушки немецкого тяжелого танка Т-У1В "Тигр-П" она была лишь 520 тс/м. Пушка Д-25Т уверенно пробивала лобовую броню "Пантеры" тупо головым бронебойным снарядом на дальностях свыше 2500 м, а пушка танка Т-У1В "Тигр II" пробивала эту же деталь на дистанции не более 650 м. По могуществу фугасного действия 122-мм снаряд превосхо в 1,4 раза немецкий 88-мм осколочно-фугасный снаряд. К серийному производству пушки были привлечены заводы №№ 9, 75 и 221. Всего было выпущено свыше 5500 танковых пушек Д-25Т. Эта пушка являлась основным оружием тяжелых танков ИС-2 и ИС-3. Работы по совершенствованию 122-мм орудий вели ЦАКБ НКВ и ОКБ завода № 9. В 1944 г. ЦАКБ НКВ на базе 100-мм танковой пушки С-34 было спроектировано орудие С-34-П калибра 122 мм. Это орудие обладало рядом преимуществ по сравнению с пушкой Д-25Т: оно не имело дульного тормоза, было оснащено досылателем выстрелов для облегчения работы заряжающего и механизмом продувки канала ство</w:t>
      </w:r>
      <w:r w:rsidRPr="00070ADE">
        <w:rPr>
          <w:rFonts w:ascii="Times New Roman" w:hAnsi="Times New Roman"/>
          <w:color w:val="000000" w:themeColor="text1"/>
          <w:sz w:val="16"/>
          <w:szCs w:val="16"/>
        </w:rPr>
        <w:softHyphen/>
        <w:t>ла сжатым воздухом после выстрела. Однако для установки этой пушки в танк требовалось создание новой башни, так как рабочее место заря</w:t>
      </w:r>
      <w:r w:rsidRPr="00070ADE">
        <w:rPr>
          <w:rFonts w:ascii="Times New Roman" w:hAnsi="Times New Roman"/>
          <w:color w:val="000000" w:themeColor="text1"/>
          <w:sz w:val="16"/>
          <w:szCs w:val="16"/>
        </w:rPr>
        <w:softHyphen/>
        <w:t>жающего находились слева от пушки, а командира танка и наводчика — справа. Поэтому основным оружием серийных тяжелых танков до кон</w:t>
      </w:r>
      <w:r w:rsidRPr="00070ADE">
        <w:rPr>
          <w:rFonts w:ascii="Times New Roman" w:hAnsi="Times New Roman"/>
          <w:color w:val="000000" w:themeColor="text1"/>
          <w:sz w:val="16"/>
          <w:szCs w:val="16"/>
        </w:rPr>
        <w:softHyphen/>
        <w:t>ца войны осталась пушка Д-25Т (10703).</w:t>
      </w:r>
    </w:p>
    <w:p w14:paraId="2F3A8C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Отечественные пушки серийных танков периода Великой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2726"/>
        <w:gridCol w:w="1286"/>
        <w:gridCol w:w="1277"/>
        <w:gridCol w:w="1133"/>
        <w:gridCol w:w="1123"/>
        <w:gridCol w:w="960"/>
        <w:gridCol w:w="960"/>
        <w:gridCol w:w="1296"/>
      </w:tblGrid>
      <w:tr w:rsidR="004D4663" w:rsidRPr="00070ADE" w14:paraId="29B1EAE3" w14:textId="77777777">
        <w:trPr>
          <w:trHeight w:val="221"/>
        </w:trPr>
        <w:tc>
          <w:tcPr>
            <w:tcW w:w="2726" w:type="dxa"/>
            <w:tcBorders>
              <w:top w:val="single" w:sz="6" w:space="0" w:color="auto"/>
              <w:left w:val="single" w:sz="6" w:space="0" w:color="auto"/>
              <w:bottom w:val="nil"/>
              <w:right w:val="single" w:sz="6" w:space="0" w:color="auto"/>
            </w:tcBorders>
          </w:tcPr>
          <w:p w14:paraId="741B0D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Характеристики</w:t>
            </w:r>
          </w:p>
        </w:tc>
        <w:tc>
          <w:tcPr>
            <w:tcW w:w="8035" w:type="dxa"/>
            <w:gridSpan w:val="7"/>
            <w:tcBorders>
              <w:top w:val="single" w:sz="6" w:space="0" w:color="auto"/>
              <w:left w:val="single" w:sz="6" w:space="0" w:color="auto"/>
              <w:bottom w:val="single" w:sz="6" w:space="0" w:color="auto"/>
              <w:right w:val="single" w:sz="6" w:space="0" w:color="auto"/>
            </w:tcBorders>
          </w:tcPr>
          <w:p w14:paraId="4CD1DA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Марка пушки</w:t>
            </w:r>
          </w:p>
        </w:tc>
      </w:tr>
      <w:tr w:rsidR="004D4663" w:rsidRPr="00070ADE" w14:paraId="2127A6AE" w14:textId="77777777">
        <w:trPr>
          <w:trHeight w:val="384"/>
        </w:trPr>
        <w:tc>
          <w:tcPr>
            <w:tcW w:w="2726" w:type="dxa"/>
            <w:tcBorders>
              <w:top w:val="nil"/>
              <w:left w:val="single" w:sz="6" w:space="0" w:color="auto"/>
              <w:bottom w:val="single" w:sz="6" w:space="0" w:color="auto"/>
              <w:right w:val="single" w:sz="6" w:space="0" w:color="auto"/>
            </w:tcBorders>
          </w:tcPr>
          <w:p w14:paraId="298CD1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A4F9B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20-мм ТНШ</w:t>
            </w:r>
          </w:p>
        </w:tc>
        <w:tc>
          <w:tcPr>
            <w:tcW w:w="1277" w:type="dxa"/>
            <w:tcBorders>
              <w:top w:val="single" w:sz="6" w:space="0" w:color="auto"/>
              <w:left w:val="single" w:sz="6" w:space="0" w:color="auto"/>
              <w:bottom w:val="single" w:sz="6" w:space="0" w:color="auto"/>
              <w:right w:val="single" w:sz="6" w:space="0" w:color="auto"/>
            </w:tcBorders>
          </w:tcPr>
          <w:p w14:paraId="7B0CC3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45-мм обр. 1942 г.</w:t>
            </w:r>
          </w:p>
        </w:tc>
        <w:tc>
          <w:tcPr>
            <w:tcW w:w="1133" w:type="dxa"/>
            <w:tcBorders>
              <w:top w:val="single" w:sz="6" w:space="0" w:color="auto"/>
              <w:left w:val="single" w:sz="6" w:space="0" w:color="auto"/>
              <w:bottom w:val="single" w:sz="6" w:space="0" w:color="auto"/>
              <w:right w:val="single" w:sz="6" w:space="0" w:color="auto"/>
            </w:tcBorders>
          </w:tcPr>
          <w:p w14:paraId="33BAD5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Ф-32</w:t>
            </w:r>
          </w:p>
        </w:tc>
        <w:tc>
          <w:tcPr>
            <w:tcW w:w="1123" w:type="dxa"/>
            <w:tcBorders>
              <w:top w:val="single" w:sz="6" w:space="0" w:color="auto"/>
              <w:left w:val="single" w:sz="6" w:space="0" w:color="auto"/>
              <w:bottom w:val="single" w:sz="6" w:space="0" w:color="auto"/>
              <w:right w:val="single" w:sz="6" w:space="0" w:color="auto"/>
            </w:tcBorders>
          </w:tcPr>
          <w:p w14:paraId="219114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Ф-34, ЗИС-5</w:t>
            </w:r>
          </w:p>
        </w:tc>
        <w:tc>
          <w:tcPr>
            <w:tcW w:w="960" w:type="dxa"/>
            <w:tcBorders>
              <w:top w:val="single" w:sz="6" w:space="0" w:color="auto"/>
              <w:left w:val="single" w:sz="6" w:space="0" w:color="auto"/>
              <w:bottom w:val="single" w:sz="6" w:space="0" w:color="auto"/>
              <w:right w:val="single" w:sz="6" w:space="0" w:color="auto"/>
            </w:tcBorders>
          </w:tcPr>
          <w:p w14:paraId="55D648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ЗИС-С-53</w:t>
            </w:r>
          </w:p>
        </w:tc>
        <w:tc>
          <w:tcPr>
            <w:tcW w:w="960" w:type="dxa"/>
            <w:tcBorders>
              <w:top w:val="single" w:sz="6" w:space="0" w:color="auto"/>
              <w:left w:val="single" w:sz="6" w:space="0" w:color="auto"/>
              <w:bottom w:val="single" w:sz="6" w:space="0" w:color="auto"/>
              <w:right w:val="single" w:sz="6" w:space="0" w:color="auto"/>
            </w:tcBorders>
          </w:tcPr>
          <w:p w14:paraId="18A8DB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Д-5Т-85</w:t>
            </w:r>
          </w:p>
        </w:tc>
        <w:tc>
          <w:tcPr>
            <w:tcW w:w="1296" w:type="dxa"/>
            <w:tcBorders>
              <w:top w:val="single" w:sz="6" w:space="0" w:color="auto"/>
              <w:left w:val="single" w:sz="6" w:space="0" w:color="auto"/>
              <w:bottom w:val="single" w:sz="6" w:space="0" w:color="auto"/>
              <w:right w:val="single" w:sz="6" w:space="0" w:color="auto"/>
            </w:tcBorders>
          </w:tcPr>
          <w:p w14:paraId="20F2E4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Д-25Т</w:t>
            </w:r>
          </w:p>
        </w:tc>
      </w:tr>
      <w:tr w:rsidR="004D4663" w:rsidRPr="00070ADE" w14:paraId="0C309CD3" w14:textId="77777777">
        <w:trPr>
          <w:trHeight w:val="202"/>
        </w:trPr>
        <w:tc>
          <w:tcPr>
            <w:tcW w:w="2726" w:type="dxa"/>
            <w:tcBorders>
              <w:top w:val="single" w:sz="6" w:space="0" w:color="auto"/>
              <w:left w:val="single" w:sz="6" w:space="0" w:color="auto"/>
              <w:bottom w:val="single" w:sz="6" w:space="0" w:color="auto"/>
              <w:right w:val="single" w:sz="6" w:space="0" w:color="auto"/>
            </w:tcBorders>
          </w:tcPr>
          <w:p w14:paraId="093214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Калибр пушки, мм</w:t>
            </w:r>
          </w:p>
        </w:tc>
        <w:tc>
          <w:tcPr>
            <w:tcW w:w="1286" w:type="dxa"/>
            <w:tcBorders>
              <w:top w:val="single" w:sz="6" w:space="0" w:color="auto"/>
              <w:left w:val="single" w:sz="6" w:space="0" w:color="auto"/>
              <w:bottom w:val="single" w:sz="6" w:space="0" w:color="auto"/>
              <w:right w:val="single" w:sz="6" w:space="0" w:color="auto"/>
            </w:tcBorders>
          </w:tcPr>
          <w:p w14:paraId="613696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1277" w:type="dxa"/>
            <w:tcBorders>
              <w:top w:val="single" w:sz="6" w:space="0" w:color="auto"/>
              <w:left w:val="single" w:sz="6" w:space="0" w:color="auto"/>
              <w:bottom w:val="single" w:sz="6" w:space="0" w:color="auto"/>
              <w:right w:val="single" w:sz="6" w:space="0" w:color="auto"/>
            </w:tcBorders>
          </w:tcPr>
          <w:p w14:paraId="064302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c>
          <w:tcPr>
            <w:tcW w:w="1133" w:type="dxa"/>
            <w:tcBorders>
              <w:top w:val="single" w:sz="6" w:space="0" w:color="auto"/>
              <w:left w:val="single" w:sz="6" w:space="0" w:color="auto"/>
              <w:bottom w:val="single" w:sz="6" w:space="0" w:color="auto"/>
              <w:right w:val="single" w:sz="6" w:space="0" w:color="auto"/>
            </w:tcBorders>
          </w:tcPr>
          <w:p w14:paraId="53B251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76,2</w:t>
            </w:r>
          </w:p>
        </w:tc>
        <w:tc>
          <w:tcPr>
            <w:tcW w:w="1123" w:type="dxa"/>
            <w:tcBorders>
              <w:top w:val="single" w:sz="6" w:space="0" w:color="auto"/>
              <w:left w:val="single" w:sz="6" w:space="0" w:color="auto"/>
              <w:bottom w:val="single" w:sz="6" w:space="0" w:color="auto"/>
              <w:right w:val="single" w:sz="6" w:space="0" w:color="auto"/>
            </w:tcBorders>
          </w:tcPr>
          <w:p w14:paraId="7AE270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76,2</w:t>
            </w:r>
          </w:p>
        </w:tc>
        <w:tc>
          <w:tcPr>
            <w:tcW w:w="960" w:type="dxa"/>
            <w:tcBorders>
              <w:top w:val="single" w:sz="6" w:space="0" w:color="auto"/>
              <w:left w:val="single" w:sz="6" w:space="0" w:color="auto"/>
              <w:bottom w:val="single" w:sz="6" w:space="0" w:color="auto"/>
              <w:right w:val="single" w:sz="6" w:space="0" w:color="auto"/>
            </w:tcBorders>
          </w:tcPr>
          <w:p w14:paraId="5BF201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w:t>
            </w:r>
          </w:p>
        </w:tc>
        <w:tc>
          <w:tcPr>
            <w:tcW w:w="960" w:type="dxa"/>
            <w:tcBorders>
              <w:top w:val="single" w:sz="6" w:space="0" w:color="auto"/>
              <w:left w:val="single" w:sz="6" w:space="0" w:color="auto"/>
              <w:bottom w:val="single" w:sz="6" w:space="0" w:color="auto"/>
              <w:right w:val="single" w:sz="6" w:space="0" w:color="auto"/>
            </w:tcBorders>
          </w:tcPr>
          <w:p w14:paraId="6E3B4C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w:t>
            </w:r>
          </w:p>
        </w:tc>
        <w:tc>
          <w:tcPr>
            <w:tcW w:w="1296" w:type="dxa"/>
            <w:tcBorders>
              <w:top w:val="single" w:sz="6" w:space="0" w:color="auto"/>
              <w:left w:val="single" w:sz="6" w:space="0" w:color="auto"/>
              <w:bottom w:val="single" w:sz="6" w:space="0" w:color="auto"/>
              <w:right w:val="single" w:sz="6" w:space="0" w:color="auto"/>
            </w:tcBorders>
          </w:tcPr>
          <w:p w14:paraId="73E3FB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122</w:t>
            </w:r>
          </w:p>
        </w:tc>
      </w:tr>
      <w:tr w:rsidR="004D4663" w:rsidRPr="00070ADE" w14:paraId="6AE0EAB3" w14:textId="77777777">
        <w:trPr>
          <w:trHeight w:val="557"/>
        </w:trPr>
        <w:tc>
          <w:tcPr>
            <w:tcW w:w="2726" w:type="dxa"/>
            <w:tcBorders>
              <w:top w:val="single" w:sz="6" w:space="0" w:color="auto"/>
              <w:left w:val="single" w:sz="6" w:space="0" w:color="auto"/>
              <w:bottom w:val="single" w:sz="6" w:space="0" w:color="auto"/>
              <w:right w:val="single" w:sz="6" w:space="0" w:color="auto"/>
            </w:tcBorders>
          </w:tcPr>
          <w:p w14:paraId="3FFD0E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Объект установки (марка танка)</w:t>
            </w:r>
          </w:p>
        </w:tc>
        <w:tc>
          <w:tcPr>
            <w:tcW w:w="1286" w:type="dxa"/>
            <w:tcBorders>
              <w:top w:val="single" w:sz="6" w:space="0" w:color="auto"/>
              <w:left w:val="single" w:sz="6" w:space="0" w:color="auto"/>
              <w:bottom w:val="single" w:sz="6" w:space="0" w:color="auto"/>
              <w:right w:val="single" w:sz="6" w:space="0" w:color="auto"/>
            </w:tcBorders>
          </w:tcPr>
          <w:p w14:paraId="6A266D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Т-60; Т-30; Т-40С</w:t>
            </w:r>
          </w:p>
        </w:tc>
        <w:tc>
          <w:tcPr>
            <w:tcW w:w="1277" w:type="dxa"/>
            <w:tcBorders>
              <w:top w:val="single" w:sz="6" w:space="0" w:color="auto"/>
              <w:left w:val="single" w:sz="6" w:space="0" w:color="auto"/>
              <w:bottom w:val="single" w:sz="6" w:space="0" w:color="auto"/>
              <w:right w:val="single" w:sz="6" w:space="0" w:color="auto"/>
            </w:tcBorders>
          </w:tcPr>
          <w:p w14:paraId="5F3871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Т-70;Т-80</w:t>
            </w:r>
          </w:p>
        </w:tc>
        <w:tc>
          <w:tcPr>
            <w:tcW w:w="1133" w:type="dxa"/>
            <w:tcBorders>
              <w:top w:val="single" w:sz="6" w:space="0" w:color="auto"/>
              <w:left w:val="single" w:sz="6" w:space="0" w:color="auto"/>
              <w:bottom w:val="single" w:sz="6" w:space="0" w:color="auto"/>
              <w:right w:val="single" w:sz="6" w:space="0" w:color="auto"/>
            </w:tcBorders>
          </w:tcPr>
          <w:p w14:paraId="136FE6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КВ-1</w:t>
            </w:r>
          </w:p>
        </w:tc>
        <w:tc>
          <w:tcPr>
            <w:tcW w:w="1123" w:type="dxa"/>
            <w:tcBorders>
              <w:top w:val="single" w:sz="6" w:space="0" w:color="auto"/>
              <w:left w:val="single" w:sz="6" w:space="0" w:color="auto"/>
              <w:bottom w:val="single" w:sz="6" w:space="0" w:color="auto"/>
              <w:right w:val="single" w:sz="6" w:space="0" w:color="auto"/>
            </w:tcBorders>
          </w:tcPr>
          <w:p w14:paraId="46F823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Т-34-76; КВ-1 С</w:t>
            </w:r>
          </w:p>
        </w:tc>
        <w:tc>
          <w:tcPr>
            <w:tcW w:w="960" w:type="dxa"/>
            <w:tcBorders>
              <w:top w:val="single" w:sz="6" w:space="0" w:color="auto"/>
              <w:left w:val="single" w:sz="6" w:space="0" w:color="auto"/>
              <w:bottom w:val="single" w:sz="6" w:space="0" w:color="auto"/>
              <w:right w:val="single" w:sz="6" w:space="0" w:color="auto"/>
            </w:tcBorders>
          </w:tcPr>
          <w:p w14:paraId="3882F4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Т-34-85; Т-44</w:t>
            </w:r>
          </w:p>
        </w:tc>
        <w:tc>
          <w:tcPr>
            <w:tcW w:w="960" w:type="dxa"/>
            <w:tcBorders>
              <w:top w:val="single" w:sz="6" w:space="0" w:color="auto"/>
              <w:left w:val="single" w:sz="6" w:space="0" w:color="auto"/>
              <w:bottom w:val="single" w:sz="6" w:space="0" w:color="auto"/>
              <w:right w:val="single" w:sz="6" w:space="0" w:color="auto"/>
            </w:tcBorders>
          </w:tcPr>
          <w:p w14:paraId="12FCCB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Т-34-85; КВ-85; ИС-1</w:t>
            </w:r>
          </w:p>
        </w:tc>
        <w:tc>
          <w:tcPr>
            <w:tcW w:w="1296" w:type="dxa"/>
            <w:tcBorders>
              <w:top w:val="single" w:sz="6" w:space="0" w:color="auto"/>
              <w:left w:val="single" w:sz="6" w:space="0" w:color="auto"/>
              <w:bottom w:val="single" w:sz="6" w:space="0" w:color="auto"/>
              <w:right w:val="single" w:sz="6" w:space="0" w:color="auto"/>
            </w:tcBorders>
          </w:tcPr>
          <w:p w14:paraId="0715D0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ИС-2; ИС-3</w:t>
            </w:r>
          </w:p>
        </w:tc>
      </w:tr>
      <w:tr w:rsidR="004D4663" w:rsidRPr="00070ADE" w14:paraId="4B4FD5F0" w14:textId="77777777">
        <w:trPr>
          <w:trHeight w:val="202"/>
        </w:trPr>
        <w:tc>
          <w:tcPr>
            <w:tcW w:w="2726" w:type="dxa"/>
            <w:tcBorders>
              <w:top w:val="single" w:sz="6" w:space="0" w:color="auto"/>
              <w:left w:val="single" w:sz="6" w:space="0" w:color="auto"/>
              <w:bottom w:val="single" w:sz="6" w:space="0" w:color="auto"/>
              <w:right w:val="single" w:sz="6" w:space="0" w:color="auto"/>
            </w:tcBorders>
          </w:tcPr>
          <w:p w14:paraId="5198BB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Дульная энергия, тс- м</w:t>
            </w:r>
          </w:p>
        </w:tc>
        <w:tc>
          <w:tcPr>
            <w:tcW w:w="1286" w:type="dxa"/>
            <w:tcBorders>
              <w:top w:val="single" w:sz="6" w:space="0" w:color="auto"/>
              <w:left w:val="single" w:sz="6" w:space="0" w:color="auto"/>
              <w:bottom w:val="single" w:sz="6" w:space="0" w:color="auto"/>
              <w:right w:val="single" w:sz="6" w:space="0" w:color="auto"/>
            </w:tcBorders>
          </w:tcPr>
          <w:p w14:paraId="6B5956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D6692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w:t>
            </w:r>
          </w:p>
        </w:tc>
        <w:tc>
          <w:tcPr>
            <w:tcW w:w="1133" w:type="dxa"/>
            <w:tcBorders>
              <w:top w:val="single" w:sz="6" w:space="0" w:color="auto"/>
              <w:left w:val="single" w:sz="6" w:space="0" w:color="auto"/>
              <w:bottom w:val="single" w:sz="6" w:space="0" w:color="auto"/>
              <w:right w:val="single" w:sz="6" w:space="0" w:color="auto"/>
            </w:tcBorders>
          </w:tcPr>
          <w:p w14:paraId="43153B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122</w:t>
            </w:r>
          </w:p>
        </w:tc>
        <w:tc>
          <w:tcPr>
            <w:tcW w:w="1123" w:type="dxa"/>
            <w:tcBorders>
              <w:top w:val="single" w:sz="6" w:space="0" w:color="auto"/>
              <w:left w:val="single" w:sz="6" w:space="0" w:color="auto"/>
              <w:bottom w:val="single" w:sz="6" w:space="0" w:color="auto"/>
              <w:right w:val="single" w:sz="6" w:space="0" w:color="auto"/>
            </w:tcBorders>
          </w:tcPr>
          <w:p w14:paraId="20A142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145</w:t>
            </w:r>
          </w:p>
        </w:tc>
        <w:tc>
          <w:tcPr>
            <w:tcW w:w="960" w:type="dxa"/>
            <w:tcBorders>
              <w:top w:val="single" w:sz="6" w:space="0" w:color="auto"/>
              <w:left w:val="single" w:sz="6" w:space="0" w:color="auto"/>
              <w:bottom w:val="single" w:sz="6" w:space="0" w:color="auto"/>
              <w:right w:val="single" w:sz="6" w:space="0" w:color="auto"/>
            </w:tcBorders>
          </w:tcPr>
          <w:p w14:paraId="658908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294</w:t>
            </w:r>
          </w:p>
        </w:tc>
        <w:tc>
          <w:tcPr>
            <w:tcW w:w="960" w:type="dxa"/>
            <w:tcBorders>
              <w:top w:val="single" w:sz="6" w:space="0" w:color="auto"/>
              <w:left w:val="single" w:sz="6" w:space="0" w:color="auto"/>
              <w:bottom w:val="single" w:sz="6" w:space="0" w:color="auto"/>
              <w:right w:val="single" w:sz="6" w:space="0" w:color="auto"/>
            </w:tcBorders>
          </w:tcPr>
          <w:p w14:paraId="5514FB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tc>
        <w:tc>
          <w:tcPr>
            <w:tcW w:w="1296" w:type="dxa"/>
            <w:tcBorders>
              <w:top w:val="single" w:sz="6" w:space="0" w:color="auto"/>
              <w:left w:val="single" w:sz="6" w:space="0" w:color="auto"/>
              <w:bottom w:val="single" w:sz="6" w:space="0" w:color="auto"/>
              <w:right w:val="single" w:sz="6" w:space="0" w:color="auto"/>
            </w:tcBorders>
          </w:tcPr>
          <w:p w14:paraId="211204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806(815)</w:t>
            </w:r>
          </w:p>
        </w:tc>
      </w:tr>
      <w:tr w:rsidR="004D4663" w:rsidRPr="00070ADE" w14:paraId="0F6C9E86" w14:textId="77777777">
        <w:trPr>
          <w:trHeight w:val="374"/>
        </w:trPr>
        <w:tc>
          <w:tcPr>
            <w:tcW w:w="2726" w:type="dxa"/>
            <w:tcBorders>
              <w:top w:val="single" w:sz="6" w:space="0" w:color="auto"/>
              <w:left w:val="single" w:sz="6" w:space="0" w:color="auto"/>
              <w:bottom w:val="single" w:sz="6" w:space="0" w:color="auto"/>
              <w:right w:val="single" w:sz="6" w:space="0" w:color="auto"/>
            </w:tcBorders>
          </w:tcPr>
          <w:p w14:paraId="50CF36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Бронепробиваемость БрС на Д= 1000 м по нормали, мм</w:t>
            </w:r>
          </w:p>
        </w:tc>
        <w:tc>
          <w:tcPr>
            <w:tcW w:w="1286" w:type="dxa"/>
            <w:tcBorders>
              <w:top w:val="single" w:sz="6" w:space="0" w:color="auto"/>
              <w:left w:val="single" w:sz="6" w:space="0" w:color="auto"/>
              <w:bottom w:val="single" w:sz="6" w:space="0" w:color="auto"/>
              <w:right w:val="single" w:sz="6" w:space="0" w:color="auto"/>
            </w:tcBorders>
          </w:tcPr>
          <w:p w14:paraId="3865C0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(до 400м)</w:t>
            </w:r>
          </w:p>
        </w:tc>
        <w:tc>
          <w:tcPr>
            <w:tcW w:w="1277" w:type="dxa"/>
            <w:tcBorders>
              <w:top w:val="single" w:sz="6" w:space="0" w:color="auto"/>
              <w:left w:val="single" w:sz="6" w:space="0" w:color="auto"/>
              <w:bottom w:val="single" w:sz="6" w:space="0" w:color="auto"/>
              <w:right w:val="single" w:sz="6" w:space="0" w:color="auto"/>
            </w:tcBorders>
          </w:tcPr>
          <w:p w14:paraId="329EFD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w:t>
            </w:r>
          </w:p>
        </w:tc>
        <w:tc>
          <w:tcPr>
            <w:tcW w:w="1133" w:type="dxa"/>
            <w:tcBorders>
              <w:top w:val="single" w:sz="6" w:space="0" w:color="auto"/>
              <w:left w:val="single" w:sz="6" w:space="0" w:color="auto"/>
              <w:bottom w:val="single" w:sz="6" w:space="0" w:color="auto"/>
              <w:right w:val="single" w:sz="6" w:space="0" w:color="auto"/>
            </w:tcBorders>
          </w:tcPr>
          <w:p w14:paraId="185DD9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w:t>
            </w:r>
          </w:p>
        </w:tc>
        <w:tc>
          <w:tcPr>
            <w:tcW w:w="1123" w:type="dxa"/>
            <w:tcBorders>
              <w:top w:val="single" w:sz="6" w:space="0" w:color="auto"/>
              <w:left w:val="single" w:sz="6" w:space="0" w:color="auto"/>
              <w:bottom w:val="single" w:sz="6" w:space="0" w:color="auto"/>
              <w:right w:val="single" w:sz="6" w:space="0" w:color="auto"/>
            </w:tcBorders>
          </w:tcPr>
          <w:p w14:paraId="636DC2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w:t>
            </w:r>
          </w:p>
        </w:tc>
        <w:tc>
          <w:tcPr>
            <w:tcW w:w="1920" w:type="dxa"/>
            <w:gridSpan w:val="2"/>
            <w:tcBorders>
              <w:top w:val="single" w:sz="6" w:space="0" w:color="auto"/>
              <w:left w:val="single" w:sz="6" w:space="0" w:color="auto"/>
              <w:bottom w:val="single" w:sz="6" w:space="0" w:color="auto"/>
              <w:right w:val="single" w:sz="6" w:space="0" w:color="auto"/>
            </w:tcBorders>
          </w:tcPr>
          <w:p w14:paraId="04D792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1296" w:type="dxa"/>
            <w:tcBorders>
              <w:top w:val="single" w:sz="6" w:space="0" w:color="auto"/>
              <w:left w:val="single" w:sz="6" w:space="0" w:color="auto"/>
              <w:bottom w:val="single" w:sz="6" w:space="0" w:color="auto"/>
              <w:right w:val="single" w:sz="6" w:space="0" w:color="auto"/>
            </w:tcBorders>
          </w:tcPr>
          <w:p w14:paraId="5D0B23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145</w:t>
            </w:r>
          </w:p>
        </w:tc>
      </w:tr>
      <w:tr w:rsidR="004D4663" w:rsidRPr="00070ADE" w14:paraId="2C3ECA3D" w14:textId="77777777">
        <w:trPr>
          <w:trHeight w:val="202"/>
        </w:trPr>
        <w:tc>
          <w:tcPr>
            <w:tcW w:w="2726" w:type="dxa"/>
            <w:tcBorders>
              <w:top w:val="single" w:sz="6" w:space="0" w:color="auto"/>
              <w:left w:val="single" w:sz="6" w:space="0" w:color="auto"/>
              <w:bottom w:val="single" w:sz="6" w:space="0" w:color="auto"/>
              <w:right w:val="single" w:sz="6" w:space="0" w:color="auto"/>
            </w:tcBorders>
          </w:tcPr>
          <w:p w14:paraId="550A33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Скорострельность, выстр./мин</w:t>
            </w:r>
          </w:p>
        </w:tc>
        <w:tc>
          <w:tcPr>
            <w:tcW w:w="1286" w:type="dxa"/>
            <w:tcBorders>
              <w:top w:val="single" w:sz="6" w:space="0" w:color="auto"/>
              <w:left w:val="single" w:sz="6" w:space="0" w:color="auto"/>
              <w:bottom w:val="single" w:sz="6" w:space="0" w:color="auto"/>
              <w:right w:val="single" w:sz="6" w:space="0" w:color="auto"/>
            </w:tcBorders>
          </w:tcPr>
          <w:p w14:paraId="03573D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1277" w:type="dxa"/>
            <w:tcBorders>
              <w:top w:val="single" w:sz="6" w:space="0" w:color="auto"/>
              <w:left w:val="single" w:sz="6" w:space="0" w:color="auto"/>
              <w:bottom w:val="single" w:sz="6" w:space="0" w:color="auto"/>
              <w:right w:val="single" w:sz="6" w:space="0" w:color="auto"/>
            </w:tcBorders>
          </w:tcPr>
          <w:p w14:paraId="44E59F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7-12</w:t>
            </w:r>
          </w:p>
        </w:tc>
        <w:tc>
          <w:tcPr>
            <w:tcW w:w="1133" w:type="dxa"/>
            <w:tcBorders>
              <w:top w:val="single" w:sz="6" w:space="0" w:color="auto"/>
              <w:left w:val="single" w:sz="6" w:space="0" w:color="auto"/>
              <w:bottom w:val="single" w:sz="6" w:space="0" w:color="auto"/>
              <w:right w:val="single" w:sz="6" w:space="0" w:color="auto"/>
            </w:tcBorders>
          </w:tcPr>
          <w:p w14:paraId="38140F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5-11</w:t>
            </w:r>
          </w:p>
        </w:tc>
        <w:tc>
          <w:tcPr>
            <w:tcW w:w="1123" w:type="dxa"/>
            <w:tcBorders>
              <w:top w:val="single" w:sz="6" w:space="0" w:color="auto"/>
              <w:left w:val="single" w:sz="6" w:space="0" w:color="auto"/>
              <w:bottom w:val="single" w:sz="6" w:space="0" w:color="auto"/>
              <w:right w:val="single" w:sz="6" w:space="0" w:color="auto"/>
            </w:tcBorders>
          </w:tcPr>
          <w:p w14:paraId="74AD9B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5-10</w:t>
            </w:r>
          </w:p>
        </w:tc>
        <w:tc>
          <w:tcPr>
            <w:tcW w:w="960" w:type="dxa"/>
            <w:tcBorders>
              <w:top w:val="single" w:sz="6" w:space="0" w:color="auto"/>
              <w:left w:val="single" w:sz="6" w:space="0" w:color="auto"/>
              <w:bottom w:val="single" w:sz="6" w:space="0" w:color="auto"/>
              <w:right w:val="nil"/>
            </w:tcBorders>
          </w:tcPr>
          <w:p w14:paraId="433B4F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w:t>
            </w:r>
          </w:p>
        </w:tc>
        <w:tc>
          <w:tcPr>
            <w:tcW w:w="960" w:type="dxa"/>
            <w:tcBorders>
              <w:top w:val="single" w:sz="6" w:space="0" w:color="auto"/>
              <w:left w:val="nil"/>
              <w:bottom w:val="single" w:sz="6" w:space="0" w:color="auto"/>
              <w:right w:val="single" w:sz="6" w:space="0" w:color="auto"/>
            </w:tcBorders>
          </w:tcPr>
          <w:p w14:paraId="557394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w:t>
            </w:r>
          </w:p>
        </w:tc>
        <w:tc>
          <w:tcPr>
            <w:tcW w:w="1296" w:type="dxa"/>
            <w:tcBorders>
              <w:top w:val="single" w:sz="6" w:space="0" w:color="auto"/>
              <w:left w:val="single" w:sz="6" w:space="0" w:color="auto"/>
              <w:bottom w:val="single" w:sz="6" w:space="0" w:color="auto"/>
              <w:right w:val="single" w:sz="6" w:space="0" w:color="auto"/>
            </w:tcBorders>
          </w:tcPr>
          <w:p w14:paraId="4E0EE3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r>
      <w:tr w:rsidR="004D4663" w:rsidRPr="00070ADE" w14:paraId="09E53F4E" w14:textId="77777777">
        <w:trPr>
          <w:trHeight w:val="384"/>
        </w:trPr>
        <w:tc>
          <w:tcPr>
            <w:tcW w:w="2726" w:type="dxa"/>
            <w:tcBorders>
              <w:top w:val="single" w:sz="6" w:space="0" w:color="auto"/>
              <w:left w:val="single" w:sz="6" w:space="0" w:color="auto"/>
              <w:bottom w:val="single" w:sz="6" w:space="0" w:color="auto"/>
              <w:right w:val="single" w:sz="6" w:space="0" w:color="auto"/>
            </w:tcBorders>
          </w:tcPr>
          <w:p w14:paraId="7FE155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Заряжание, тип</w:t>
            </w:r>
          </w:p>
        </w:tc>
        <w:tc>
          <w:tcPr>
            <w:tcW w:w="1286" w:type="dxa"/>
            <w:tcBorders>
              <w:top w:val="single" w:sz="6" w:space="0" w:color="auto"/>
              <w:left w:val="single" w:sz="6" w:space="0" w:color="auto"/>
              <w:bottom w:val="single" w:sz="6" w:space="0" w:color="auto"/>
              <w:right w:val="single" w:sz="6" w:space="0" w:color="auto"/>
            </w:tcBorders>
          </w:tcPr>
          <w:p w14:paraId="029D23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автомат</w:t>
            </w:r>
          </w:p>
        </w:tc>
        <w:tc>
          <w:tcPr>
            <w:tcW w:w="5453" w:type="dxa"/>
            <w:gridSpan w:val="5"/>
            <w:tcBorders>
              <w:top w:val="single" w:sz="6" w:space="0" w:color="auto"/>
              <w:left w:val="single" w:sz="6" w:space="0" w:color="auto"/>
              <w:bottom w:val="single" w:sz="6" w:space="0" w:color="auto"/>
              <w:right w:val="single" w:sz="6" w:space="0" w:color="auto"/>
            </w:tcBorders>
          </w:tcPr>
          <w:p w14:paraId="616D6E2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унитарное</w:t>
            </w:r>
          </w:p>
        </w:tc>
        <w:tc>
          <w:tcPr>
            <w:tcW w:w="1296" w:type="dxa"/>
            <w:tcBorders>
              <w:top w:val="single" w:sz="6" w:space="0" w:color="auto"/>
              <w:left w:val="single" w:sz="6" w:space="0" w:color="auto"/>
              <w:bottom w:val="single" w:sz="6" w:space="0" w:color="auto"/>
              <w:right w:val="single" w:sz="6" w:space="0" w:color="auto"/>
            </w:tcBorders>
          </w:tcPr>
          <w:p w14:paraId="3E276F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раздельно-гильзовое</w:t>
            </w:r>
          </w:p>
        </w:tc>
      </w:tr>
      <w:tr w:rsidR="004D4663" w:rsidRPr="00070ADE" w14:paraId="44511DF5" w14:textId="77777777">
        <w:trPr>
          <w:trHeight w:val="202"/>
        </w:trPr>
        <w:tc>
          <w:tcPr>
            <w:tcW w:w="2726" w:type="dxa"/>
            <w:tcBorders>
              <w:top w:val="single" w:sz="6" w:space="0" w:color="auto"/>
              <w:left w:val="single" w:sz="6" w:space="0" w:color="auto"/>
              <w:bottom w:val="single" w:sz="6" w:space="0" w:color="auto"/>
              <w:right w:val="single" w:sz="6" w:space="0" w:color="auto"/>
            </w:tcBorders>
          </w:tcPr>
          <w:p w14:paraId="3ABA49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ствола, клб</w:t>
            </w:r>
          </w:p>
        </w:tc>
        <w:tc>
          <w:tcPr>
            <w:tcW w:w="1286" w:type="dxa"/>
            <w:tcBorders>
              <w:top w:val="single" w:sz="6" w:space="0" w:color="auto"/>
              <w:left w:val="single" w:sz="6" w:space="0" w:color="auto"/>
              <w:bottom w:val="single" w:sz="6" w:space="0" w:color="auto"/>
              <w:right w:val="single" w:sz="6" w:space="0" w:color="auto"/>
            </w:tcBorders>
          </w:tcPr>
          <w:p w14:paraId="17A2E6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82,4</w:t>
            </w:r>
          </w:p>
        </w:tc>
        <w:tc>
          <w:tcPr>
            <w:tcW w:w="1277" w:type="dxa"/>
            <w:tcBorders>
              <w:top w:val="single" w:sz="6" w:space="0" w:color="auto"/>
              <w:left w:val="single" w:sz="6" w:space="0" w:color="auto"/>
              <w:bottom w:val="single" w:sz="6" w:space="0" w:color="auto"/>
              <w:right w:val="nil"/>
            </w:tcBorders>
          </w:tcPr>
          <w:p w14:paraId="5F749A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w:t>
            </w:r>
          </w:p>
        </w:tc>
        <w:tc>
          <w:tcPr>
            <w:tcW w:w="1133" w:type="dxa"/>
            <w:tcBorders>
              <w:top w:val="single" w:sz="6" w:space="0" w:color="auto"/>
              <w:left w:val="nil"/>
              <w:bottom w:val="single" w:sz="6" w:space="0" w:color="auto"/>
              <w:right w:val="nil"/>
            </w:tcBorders>
          </w:tcPr>
          <w:p w14:paraId="174E64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31,5</w:t>
            </w:r>
          </w:p>
        </w:tc>
        <w:tc>
          <w:tcPr>
            <w:tcW w:w="1123" w:type="dxa"/>
            <w:tcBorders>
              <w:top w:val="single" w:sz="6" w:space="0" w:color="auto"/>
              <w:left w:val="nil"/>
              <w:bottom w:val="single" w:sz="6" w:space="0" w:color="auto"/>
              <w:right w:val="nil"/>
            </w:tcBorders>
          </w:tcPr>
          <w:p w14:paraId="358417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41,5</w:t>
            </w:r>
          </w:p>
        </w:tc>
        <w:tc>
          <w:tcPr>
            <w:tcW w:w="960" w:type="dxa"/>
            <w:tcBorders>
              <w:top w:val="single" w:sz="6" w:space="0" w:color="auto"/>
              <w:left w:val="nil"/>
              <w:bottom w:val="single" w:sz="6" w:space="0" w:color="auto"/>
              <w:right w:val="nil"/>
            </w:tcBorders>
          </w:tcPr>
          <w:p w14:paraId="2791AC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51,6</w:t>
            </w:r>
          </w:p>
        </w:tc>
        <w:tc>
          <w:tcPr>
            <w:tcW w:w="960" w:type="dxa"/>
            <w:tcBorders>
              <w:top w:val="single" w:sz="6" w:space="0" w:color="auto"/>
              <w:left w:val="nil"/>
              <w:bottom w:val="single" w:sz="6" w:space="0" w:color="auto"/>
              <w:right w:val="single" w:sz="6" w:space="0" w:color="auto"/>
            </w:tcBorders>
          </w:tcPr>
          <w:p w14:paraId="1A87F8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w:t>
            </w:r>
          </w:p>
        </w:tc>
        <w:tc>
          <w:tcPr>
            <w:tcW w:w="1296" w:type="dxa"/>
            <w:tcBorders>
              <w:top w:val="single" w:sz="6" w:space="0" w:color="auto"/>
              <w:left w:val="single" w:sz="6" w:space="0" w:color="auto"/>
              <w:bottom w:val="single" w:sz="6" w:space="0" w:color="auto"/>
              <w:right w:val="single" w:sz="6" w:space="0" w:color="auto"/>
            </w:tcBorders>
          </w:tcPr>
          <w:p w14:paraId="6D467D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w:t>
            </w:r>
          </w:p>
        </w:tc>
      </w:tr>
      <w:tr w:rsidR="004D4663" w:rsidRPr="00070ADE" w14:paraId="51B23794" w14:textId="77777777">
        <w:trPr>
          <w:trHeight w:val="374"/>
        </w:trPr>
        <w:tc>
          <w:tcPr>
            <w:tcW w:w="2726" w:type="dxa"/>
            <w:tcBorders>
              <w:top w:val="single" w:sz="6" w:space="0" w:color="auto"/>
              <w:left w:val="single" w:sz="6" w:space="0" w:color="auto"/>
              <w:bottom w:val="single" w:sz="6" w:space="0" w:color="auto"/>
              <w:right w:val="single" w:sz="6" w:space="0" w:color="auto"/>
            </w:tcBorders>
          </w:tcPr>
          <w:p w14:paraId="76F729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Затвор, тип</w:t>
            </w:r>
          </w:p>
        </w:tc>
        <w:tc>
          <w:tcPr>
            <w:tcW w:w="1286" w:type="dxa"/>
            <w:tcBorders>
              <w:top w:val="single" w:sz="6" w:space="0" w:color="auto"/>
              <w:left w:val="single" w:sz="6" w:space="0" w:color="auto"/>
              <w:bottom w:val="single" w:sz="6" w:space="0" w:color="auto"/>
              <w:right w:val="single" w:sz="6" w:space="0" w:color="auto"/>
            </w:tcBorders>
          </w:tcPr>
          <w:p w14:paraId="02FD2A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5453" w:type="dxa"/>
            <w:gridSpan w:val="5"/>
            <w:tcBorders>
              <w:top w:val="single" w:sz="6" w:space="0" w:color="auto"/>
              <w:left w:val="single" w:sz="6" w:space="0" w:color="auto"/>
              <w:bottom w:val="single" w:sz="6" w:space="0" w:color="auto"/>
              <w:right w:val="single" w:sz="6" w:space="0" w:color="auto"/>
            </w:tcBorders>
          </w:tcPr>
          <w:p w14:paraId="454A58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клиновой, вертикальный</w:t>
            </w:r>
          </w:p>
        </w:tc>
        <w:tc>
          <w:tcPr>
            <w:tcW w:w="1296" w:type="dxa"/>
            <w:tcBorders>
              <w:top w:val="single" w:sz="6" w:space="0" w:color="auto"/>
              <w:left w:val="single" w:sz="6" w:space="0" w:color="auto"/>
              <w:bottom w:val="single" w:sz="6" w:space="0" w:color="auto"/>
              <w:right w:val="single" w:sz="6" w:space="0" w:color="auto"/>
            </w:tcBorders>
          </w:tcPr>
          <w:p w14:paraId="504066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клиновой, горизонтальный</w:t>
            </w:r>
          </w:p>
        </w:tc>
      </w:tr>
      <w:tr w:rsidR="004D4663" w:rsidRPr="00070ADE" w14:paraId="50D68CCF" w14:textId="77777777">
        <w:trPr>
          <w:trHeight w:val="202"/>
        </w:trPr>
        <w:tc>
          <w:tcPr>
            <w:tcW w:w="2726" w:type="dxa"/>
            <w:tcBorders>
              <w:top w:val="single" w:sz="6" w:space="0" w:color="auto"/>
              <w:left w:val="single" w:sz="6" w:space="0" w:color="auto"/>
              <w:bottom w:val="single" w:sz="6" w:space="0" w:color="auto"/>
              <w:right w:val="single" w:sz="6" w:space="0" w:color="auto"/>
            </w:tcBorders>
          </w:tcPr>
          <w:p w14:paraId="3D0AF7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отката, мм</w:t>
            </w:r>
          </w:p>
        </w:tc>
        <w:tc>
          <w:tcPr>
            <w:tcW w:w="1286" w:type="dxa"/>
            <w:tcBorders>
              <w:top w:val="single" w:sz="6" w:space="0" w:color="auto"/>
              <w:left w:val="single" w:sz="6" w:space="0" w:color="auto"/>
              <w:bottom w:val="single" w:sz="6" w:space="0" w:color="auto"/>
              <w:right w:val="single" w:sz="6" w:space="0" w:color="auto"/>
            </w:tcBorders>
          </w:tcPr>
          <w:p w14:paraId="68BAD9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185,5"</w:t>
            </w:r>
          </w:p>
        </w:tc>
        <w:tc>
          <w:tcPr>
            <w:tcW w:w="1277" w:type="dxa"/>
            <w:tcBorders>
              <w:top w:val="single" w:sz="6" w:space="0" w:color="auto"/>
              <w:left w:val="single" w:sz="6" w:space="0" w:color="auto"/>
              <w:bottom w:val="single" w:sz="6" w:space="0" w:color="auto"/>
              <w:right w:val="nil"/>
            </w:tcBorders>
          </w:tcPr>
          <w:p w14:paraId="633C28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230-270</w:t>
            </w:r>
          </w:p>
        </w:tc>
        <w:tc>
          <w:tcPr>
            <w:tcW w:w="2256" w:type="dxa"/>
            <w:gridSpan w:val="2"/>
            <w:tcBorders>
              <w:top w:val="single" w:sz="6" w:space="0" w:color="auto"/>
              <w:left w:val="nil"/>
              <w:bottom w:val="single" w:sz="6" w:space="0" w:color="auto"/>
              <w:right w:val="nil"/>
            </w:tcBorders>
          </w:tcPr>
          <w:p w14:paraId="15DEC1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320 - 370</w:t>
            </w:r>
          </w:p>
        </w:tc>
        <w:tc>
          <w:tcPr>
            <w:tcW w:w="960" w:type="dxa"/>
            <w:tcBorders>
              <w:top w:val="single" w:sz="6" w:space="0" w:color="auto"/>
              <w:left w:val="nil"/>
              <w:bottom w:val="single" w:sz="6" w:space="0" w:color="auto"/>
              <w:right w:val="nil"/>
            </w:tcBorders>
          </w:tcPr>
          <w:p w14:paraId="1DBDEC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280-320</w:t>
            </w:r>
          </w:p>
        </w:tc>
        <w:tc>
          <w:tcPr>
            <w:tcW w:w="960" w:type="dxa"/>
            <w:tcBorders>
              <w:top w:val="single" w:sz="6" w:space="0" w:color="auto"/>
              <w:left w:val="nil"/>
              <w:bottom w:val="single" w:sz="6" w:space="0" w:color="auto"/>
              <w:right w:val="single" w:sz="6" w:space="0" w:color="auto"/>
            </w:tcBorders>
          </w:tcPr>
          <w:p w14:paraId="1A1978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270-320</w:t>
            </w:r>
          </w:p>
        </w:tc>
        <w:tc>
          <w:tcPr>
            <w:tcW w:w="1296" w:type="dxa"/>
            <w:tcBorders>
              <w:top w:val="single" w:sz="6" w:space="0" w:color="auto"/>
              <w:left w:val="single" w:sz="6" w:space="0" w:color="auto"/>
              <w:bottom w:val="single" w:sz="6" w:space="0" w:color="auto"/>
              <w:right w:val="single" w:sz="6" w:space="0" w:color="auto"/>
            </w:tcBorders>
          </w:tcPr>
          <w:p w14:paraId="5E3921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490-550</w:t>
            </w:r>
          </w:p>
        </w:tc>
      </w:tr>
      <w:tr w:rsidR="004D4663" w:rsidRPr="00070ADE" w14:paraId="17BA6994" w14:textId="77777777">
        <w:trPr>
          <w:trHeight w:val="202"/>
        </w:trPr>
        <w:tc>
          <w:tcPr>
            <w:tcW w:w="2726" w:type="dxa"/>
            <w:tcBorders>
              <w:top w:val="single" w:sz="6" w:space="0" w:color="auto"/>
              <w:left w:val="single" w:sz="6" w:space="0" w:color="auto"/>
              <w:bottom w:val="single" w:sz="6" w:space="0" w:color="auto"/>
              <w:right w:val="single" w:sz="6" w:space="0" w:color="auto"/>
            </w:tcBorders>
          </w:tcPr>
          <w:p w14:paraId="51E4BE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Дульный тормоз</w:t>
            </w:r>
          </w:p>
        </w:tc>
        <w:tc>
          <w:tcPr>
            <w:tcW w:w="4819" w:type="dxa"/>
            <w:gridSpan w:val="4"/>
            <w:tcBorders>
              <w:top w:val="single" w:sz="6" w:space="0" w:color="auto"/>
              <w:left w:val="single" w:sz="6" w:space="0" w:color="auto"/>
              <w:bottom w:val="single" w:sz="6" w:space="0" w:color="auto"/>
              <w:right w:val="nil"/>
            </w:tcBorders>
          </w:tcPr>
          <w:p w14:paraId="4F723A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отсутствует</w:t>
            </w:r>
          </w:p>
        </w:tc>
        <w:tc>
          <w:tcPr>
            <w:tcW w:w="1920" w:type="dxa"/>
            <w:gridSpan w:val="2"/>
            <w:tcBorders>
              <w:top w:val="single" w:sz="6" w:space="0" w:color="auto"/>
              <w:left w:val="nil"/>
              <w:bottom w:val="single" w:sz="6" w:space="0" w:color="auto"/>
              <w:right w:val="single" w:sz="6" w:space="0" w:color="auto"/>
            </w:tcBorders>
          </w:tcPr>
          <w:p w14:paraId="6C2BA4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151BC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есть</w:t>
            </w:r>
          </w:p>
        </w:tc>
      </w:tr>
      <w:tr w:rsidR="004D4663" w:rsidRPr="00070ADE" w14:paraId="52747A40" w14:textId="77777777">
        <w:trPr>
          <w:trHeight w:val="374"/>
        </w:trPr>
        <w:tc>
          <w:tcPr>
            <w:tcW w:w="2726" w:type="dxa"/>
            <w:tcBorders>
              <w:top w:val="single" w:sz="6" w:space="0" w:color="auto"/>
              <w:left w:val="single" w:sz="6" w:space="0" w:color="auto"/>
              <w:bottom w:val="single" w:sz="6" w:space="0" w:color="auto"/>
              <w:right w:val="single" w:sz="6" w:space="0" w:color="auto"/>
            </w:tcBorders>
          </w:tcPr>
          <w:p w14:paraId="657100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дальность стрельбы, м</w:t>
            </w:r>
          </w:p>
        </w:tc>
        <w:tc>
          <w:tcPr>
            <w:tcW w:w="1286" w:type="dxa"/>
            <w:tcBorders>
              <w:top w:val="single" w:sz="6" w:space="0" w:color="auto"/>
              <w:left w:val="single" w:sz="6" w:space="0" w:color="auto"/>
              <w:bottom w:val="single" w:sz="6" w:space="0" w:color="auto"/>
              <w:right w:val="single" w:sz="6" w:space="0" w:color="auto"/>
            </w:tcBorders>
          </w:tcPr>
          <w:p w14:paraId="3B3773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6800</w:t>
            </w:r>
          </w:p>
        </w:tc>
        <w:tc>
          <w:tcPr>
            <w:tcW w:w="1277" w:type="dxa"/>
            <w:tcBorders>
              <w:top w:val="single" w:sz="6" w:space="0" w:color="auto"/>
              <w:left w:val="single" w:sz="6" w:space="0" w:color="auto"/>
              <w:bottom w:val="single" w:sz="6" w:space="0" w:color="auto"/>
              <w:right w:val="single" w:sz="6" w:space="0" w:color="auto"/>
            </w:tcBorders>
          </w:tcPr>
          <w:p w14:paraId="595C07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4800 (для Т-80 = 6000)</w:t>
            </w:r>
          </w:p>
        </w:tc>
        <w:tc>
          <w:tcPr>
            <w:tcW w:w="1133" w:type="dxa"/>
            <w:tcBorders>
              <w:top w:val="single" w:sz="6" w:space="0" w:color="auto"/>
              <w:left w:val="single" w:sz="6" w:space="0" w:color="auto"/>
              <w:bottom w:val="single" w:sz="6" w:space="0" w:color="auto"/>
              <w:right w:val="single" w:sz="6" w:space="0" w:color="auto"/>
            </w:tcBorders>
          </w:tcPr>
          <w:p w14:paraId="3A99EC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10000</w:t>
            </w:r>
          </w:p>
        </w:tc>
        <w:tc>
          <w:tcPr>
            <w:tcW w:w="1123" w:type="dxa"/>
            <w:tcBorders>
              <w:top w:val="single" w:sz="6" w:space="0" w:color="auto"/>
              <w:left w:val="single" w:sz="6" w:space="0" w:color="auto"/>
              <w:bottom w:val="single" w:sz="6" w:space="0" w:color="auto"/>
              <w:right w:val="single" w:sz="6" w:space="0" w:color="auto"/>
            </w:tcBorders>
          </w:tcPr>
          <w:p w14:paraId="3DFFEF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11200</w:t>
            </w:r>
          </w:p>
        </w:tc>
        <w:tc>
          <w:tcPr>
            <w:tcW w:w="960" w:type="dxa"/>
            <w:tcBorders>
              <w:top w:val="single" w:sz="6" w:space="0" w:color="auto"/>
              <w:left w:val="single" w:sz="6" w:space="0" w:color="auto"/>
              <w:bottom w:val="single" w:sz="6" w:space="0" w:color="auto"/>
              <w:right w:val="single" w:sz="6" w:space="0" w:color="auto"/>
            </w:tcBorders>
          </w:tcPr>
          <w:p w14:paraId="1E8F30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13600</w:t>
            </w:r>
          </w:p>
        </w:tc>
        <w:tc>
          <w:tcPr>
            <w:tcW w:w="960" w:type="dxa"/>
            <w:tcBorders>
              <w:top w:val="single" w:sz="6" w:space="0" w:color="auto"/>
              <w:left w:val="single" w:sz="6" w:space="0" w:color="auto"/>
              <w:bottom w:val="single" w:sz="6" w:space="0" w:color="auto"/>
              <w:right w:val="single" w:sz="6" w:space="0" w:color="auto"/>
            </w:tcBorders>
          </w:tcPr>
          <w:p w14:paraId="763A39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12900</w:t>
            </w:r>
          </w:p>
        </w:tc>
        <w:tc>
          <w:tcPr>
            <w:tcW w:w="1296" w:type="dxa"/>
            <w:tcBorders>
              <w:top w:val="single" w:sz="6" w:space="0" w:color="auto"/>
              <w:left w:val="single" w:sz="6" w:space="0" w:color="auto"/>
              <w:bottom w:val="single" w:sz="6" w:space="0" w:color="auto"/>
              <w:right w:val="single" w:sz="6" w:space="0" w:color="auto"/>
            </w:tcBorders>
          </w:tcPr>
          <w:p w14:paraId="32AA83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13500</w:t>
            </w:r>
          </w:p>
        </w:tc>
      </w:tr>
      <w:tr w:rsidR="004D4663" w:rsidRPr="00070ADE" w14:paraId="1705C33A" w14:textId="77777777">
        <w:trPr>
          <w:trHeight w:val="749"/>
        </w:trPr>
        <w:tc>
          <w:tcPr>
            <w:tcW w:w="2726" w:type="dxa"/>
            <w:tcBorders>
              <w:top w:val="single" w:sz="6" w:space="0" w:color="auto"/>
              <w:left w:val="single" w:sz="6" w:space="0" w:color="auto"/>
              <w:bottom w:val="single" w:sz="6" w:space="0" w:color="auto"/>
              <w:right w:val="single" w:sz="6" w:space="0" w:color="auto"/>
            </w:tcBorders>
          </w:tcPr>
          <w:p w14:paraId="5982C2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Начальная скорость снаряда, м/с: БПС БрС ОФС</w:t>
            </w:r>
          </w:p>
        </w:tc>
        <w:tc>
          <w:tcPr>
            <w:tcW w:w="1286" w:type="dxa"/>
            <w:tcBorders>
              <w:top w:val="single" w:sz="6" w:space="0" w:color="auto"/>
              <w:left w:val="single" w:sz="6" w:space="0" w:color="auto"/>
              <w:bottom w:val="single" w:sz="6" w:space="0" w:color="auto"/>
              <w:right w:val="single" w:sz="6" w:space="0" w:color="auto"/>
            </w:tcBorders>
          </w:tcPr>
          <w:p w14:paraId="085DBC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817 800</w:t>
            </w:r>
          </w:p>
        </w:tc>
        <w:tc>
          <w:tcPr>
            <w:tcW w:w="1277" w:type="dxa"/>
            <w:tcBorders>
              <w:top w:val="single" w:sz="6" w:space="0" w:color="auto"/>
              <w:left w:val="single" w:sz="6" w:space="0" w:color="auto"/>
              <w:bottom w:val="single" w:sz="6" w:space="0" w:color="auto"/>
              <w:right w:val="single" w:sz="6" w:space="0" w:color="auto"/>
            </w:tcBorders>
          </w:tcPr>
          <w:p w14:paraId="0F1D54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760 335</w:t>
            </w:r>
          </w:p>
        </w:tc>
        <w:tc>
          <w:tcPr>
            <w:tcW w:w="2256" w:type="dxa"/>
            <w:gridSpan w:val="2"/>
            <w:tcBorders>
              <w:top w:val="single" w:sz="6" w:space="0" w:color="auto"/>
              <w:left w:val="single" w:sz="6" w:space="0" w:color="auto"/>
              <w:bottom w:val="single" w:sz="6" w:space="0" w:color="auto"/>
              <w:right w:val="single" w:sz="6" w:space="0" w:color="auto"/>
            </w:tcBorders>
          </w:tcPr>
          <w:p w14:paraId="7339F0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950 662 680</w:t>
            </w:r>
          </w:p>
        </w:tc>
        <w:tc>
          <w:tcPr>
            <w:tcW w:w="1920" w:type="dxa"/>
            <w:gridSpan w:val="2"/>
            <w:tcBorders>
              <w:top w:val="single" w:sz="6" w:space="0" w:color="auto"/>
              <w:left w:val="single" w:sz="6" w:space="0" w:color="auto"/>
              <w:bottom w:val="single" w:sz="6" w:space="0" w:color="auto"/>
              <w:right w:val="single" w:sz="6" w:space="0" w:color="auto"/>
            </w:tcBorders>
          </w:tcPr>
          <w:p w14:paraId="10C8E5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792 785</w:t>
            </w:r>
          </w:p>
        </w:tc>
        <w:tc>
          <w:tcPr>
            <w:tcW w:w="1296" w:type="dxa"/>
            <w:tcBorders>
              <w:top w:val="single" w:sz="6" w:space="0" w:color="auto"/>
              <w:left w:val="single" w:sz="6" w:space="0" w:color="auto"/>
              <w:bottom w:val="single" w:sz="6" w:space="0" w:color="auto"/>
              <w:right w:val="single" w:sz="6" w:space="0" w:color="auto"/>
            </w:tcBorders>
          </w:tcPr>
          <w:p w14:paraId="06200F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795 781</w:t>
            </w:r>
          </w:p>
        </w:tc>
      </w:tr>
      <w:tr w:rsidR="004D4663" w:rsidRPr="00070ADE" w14:paraId="24BD999F" w14:textId="77777777">
        <w:trPr>
          <w:trHeight w:val="758"/>
        </w:trPr>
        <w:tc>
          <w:tcPr>
            <w:tcW w:w="2726" w:type="dxa"/>
            <w:tcBorders>
              <w:top w:val="single" w:sz="6" w:space="0" w:color="auto"/>
              <w:left w:val="single" w:sz="6" w:space="0" w:color="auto"/>
              <w:bottom w:val="single" w:sz="6" w:space="0" w:color="auto"/>
              <w:right w:val="single" w:sz="6" w:space="0" w:color="auto"/>
            </w:tcBorders>
          </w:tcPr>
          <w:p w14:paraId="531F53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Масса снаряда, кг: БПС БрС ОФС</w:t>
            </w:r>
          </w:p>
        </w:tc>
        <w:tc>
          <w:tcPr>
            <w:tcW w:w="1286" w:type="dxa"/>
            <w:tcBorders>
              <w:top w:val="single" w:sz="6" w:space="0" w:color="auto"/>
              <w:left w:val="single" w:sz="6" w:space="0" w:color="auto"/>
              <w:bottom w:val="single" w:sz="6" w:space="0" w:color="auto"/>
              <w:right w:val="single" w:sz="6" w:space="0" w:color="auto"/>
            </w:tcBorders>
          </w:tcPr>
          <w:p w14:paraId="73C2D2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0,096 0,096</w:t>
            </w:r>
          </w:p>
        </w:tc>
        <w:tc>
          <w:tcPr>
            <w:tcW w:w="1277" w:type="dxa"/>
            <w:tcBorders>
              <w:top w:val="single" w:sz="6" w:space="0" w:color="auto"/>
              <w:left w:val="single" w:sz="6" w:space="0" w:color="auto"/>
              <w:bottom w:val="single" w:sz="6" w:space="0" w:color="auto"/>
              <w:right w:val="single" w:sz="6" w:space="0" w:color="auto"/>
            </w:tcBorders>
          </w:tcPr>
          <w:p w14:paraId="14228B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1,425 2,135</w:t>
            </w:r>
          </w:p>
        </w:tc>
        <w:tc>
          <w:tcPr>
            <w:tcW w:w="2256" w:type="dxa"/>
            <w:gridSpan w:val="2"/>
            <w:tcBorders>
              <w:top w:val="single" w:sz="6" w:space="0" w:color="auto"/>
              <w:left w:val="single" w:sz="6" w:space="0" w:color="auto"/>
              <w:bottom w:val="single" w:sz="6" w:space="0" w:color="auto"/>
              <w:right w:val="single" w:sz="6" w:space="0" w:color="auto"/>
            </w:tcBorders>
          </w:tcPr>
          <w:p w14:paraId="0C4D25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3,05 6,50 6,23</w:t>
            </w:r>
          </w:p>
        </w:tc>
        <w:tc>
          <w:tcPr>
            <w:tcW w:w="1920" w:type="dxa"/>
            <w:gridSpan w:val="2"/>
            <w:tcBorders>
              <w:top w:val="single" w:sz="6" w:space="0" w:color="auto"/>
              <w:left w:val="single" w:sz="6" w:space="0" w:color="auto"/>
              <w:bottom w:val="single" w:sz="6" w:space="0" w:color="auto"/>
              <w:right w:val="single" w:sz="6" w:space="0" w:color="auto"/>
            </w:tcBorders>
          </w:tcPr>
          <w:p w14:paraId="069449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9,20 9,54</w:t>
            </w:r>
          </w:p>
        </w:tc>
        <w:tc>
          <w:tcPr>
            <w:tcW w:w="1296" w:type="dxa"/>
            <w:tcBorders>
              <w:top w:val="single" w:sz="6" w:space="0" w:color="auto"/>
              <w:left w:val="single" w:sz="6" w:space="0" w:color="auto"/>
              <w:bottom w:val="single" w:sz="6" w:space="0" w:color="auto"/>
              <w:right w:val="single" w:sz="6" w:space="0" w:color="auto"/>
            </w:tcBorders>
          </w:tcPr>
          <w:p w14:paraId="01DD60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25 25</w:t>
            </w:r>
          </w:p>
        </w:tc>
      </w:tr>
    </w:tbl>
    <w:p w14:paraId="18BB35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 данные отсутствуют</w:t>
      </w:r>
    </w:p>
    <w:p w14:paraId="60F18D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 длина хода подвижных частей</w:t>
      </w:r>
    </w:p>
    <w:p w14:paraId="2DDD8D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Отечественные пушки опытных танков периода Великой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3091"/>
        <w:gridCol w:w="1066"/>
        <w:gridCol w:w="1075"/>
        <w:gridCol w:w="1075"/>
        <w:gridCol w:w="1382"/>
        <w:gridCol w:w="1699"/>
        <w:gridCol w:w="1382"/>
      </w:tblGrid>
      <w:tr w:rsidR="004D4663" w:rsidRPr="00070ADE" w14:paraId="3148F0B3" w14:textId="77777777">
        <w:trPr>
          <w:trHeight w:val="269"/>
        </w:trPr>
        <w:tc>
          <w:tcPr>
            <w:tcW w:w="3091" w:type="dxa"/>
            <w:tcBorders>
              <w:top w:val="single" w:sz="6" w:space="0" w:color="auto"/>
              <w:left w:val="single" w:sz="6" w:space="0" w:color="auto"/>
              <w:bottom w:val="nil"/>
              <w:right w:val="single" w:sz="6" w:space="0" w:color="auto"/>
            </w:tcBorders>
          </w:tcPr>
          <w:p w14:paraId="279470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Характеристики</w:t>
            </w:r>
          </w:p>
        </w:tc>
        <w:tc>
          <w:tcPr>
            <w:tcW w:w="7679" w:type="dxa"/>
            <w:gridSpan w:val="6"/>
            <w:tcBorders>
              <w:top w:val="single" w:sz="6" w:space="0" w:color="auto"/>
              <w:left w:val="single" w:sz="6" w:space="0" w:color="auto"/>
              <w:bottom w:val="single" w:sz="6" w:space="0" w:color="auto"/>
              <w:right w:val="single" w:sz="6" w:space="0" w:color="auto"/>
            </w:tcBorders>
          </w:tcPr>
          <w:p w14:paraId="04AE64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Марка пушки</w:t>
            </w:r>
          </w:p>
        </w:tc>
      </w:tr>
      <w:tr w:rsidR="004D4663" w:rsidRPr="00070ADE" w14:paraId="118D3CF8" w14:textId="77777777">
        <w:trPr>
          <w:trHeight w:val="192"/>
        </w:trPr>
        <w:tc>
          <w:tcPr>
            <w:tcW w:w="3091" w:type="dxa"/>
            <w:tcBorders>
              <w:top w:val="nil"/>
              <w:left w:val="single" w:sz="6" w:space="0" w:color="auto"/>
              <w:bottom w:val="single" w:sz="6" w:space="0" w:color="auto"/>
              <w:right w:val="single" w:sz="6" w:space="0" w:color="auto"/>
            </w:tcBorders>
          </w:tcPr>
          <w:p w14:paraId="5646C9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4B703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ЗИС-19</w:t>
            </w:r>
          </w:p>
        </w:tc>
        <w:tc>
          <w:tcPr>
            <w:tcW w:w="1075" w:type="dxa"/>
            <w:tcBorders>
              <w:top w:val="single" w:sz="6" w:space="0" w:color="auto"/>
              <w:left w:val="single" w:sz="6" w:space="0" w:color="auto"/>
              <w:bottom w:val="single" w:sz="6" w:space="0" w:color="auto"/>
              <w:right w:val="single" w:sz="6" w:space="0" w:color="auto"/>
            </w:tcBorders>
          </w:tcPr>
          <w:p w14:paraId="2C0663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ЗИС-4</w:t>
            </w:r>
          </w:p>
        </w:tc>
        <w:tc>
          <w:tcPr>
            <w:tcW w:w="1075" w:type="dxa"/>
            <w:tcBorders>
              <w:top w:val="single" w:sz="6" w:space="0" w:color="auto"/>
              <w:left w:val="single" w:sz="6" w:space="0" w:color="auto"/>
              <w:bottom w:val="single" w:sz="6" w:space="0" w:color="auto"/>
              <w:right w:val="single" w:sz="6" w:space="0" w:color="auto"/>
            </w:tcBorders>
          </w:tcPr>
          <w:p w14:paraId="0C1318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С-54</w:t>
            </w:r>
          </w:p>
        </w:tc>
        <w:tc>
          <w:tcPr>
            <w:tcW w:w="1382" w:type="dxa"/>
            <w:tcBorders>
              <w:top w:val="single" w:sz="6" w:space="0" w:color="auto"/>
              <w:left w:val="single" w:sz="6" w:space="0" w:color="auto"/>
              <w:bottom w:val="single" w:sz="6" w:space="0" w:color="auto"/>
              <w:right w:val="single" w:sz="6" w:space="0" w:color="auto"/>
            </w:tcBorders>
          </w:tcPr>
          <w:p w14:paraId="539B2A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С-50</w:t>
            </w:r>
          </w:p>
        </w:tc>
        <w:tc>
          <w:tcPr>
            <w:tcW w:w="1699" w:type="dxa"/>
            <w:tcBorders>
              <w:top w:val="single" w:sz="6" w:space="0" w:color="auto"/>
              <w:left w:val="single" w:sz="6" w:space="0" w:color="auto"/>
              <w:bottom w:val="single" w:sz="6" w:space="0" w:color="auto"/>
              <w:right w:val="single" w:sz="6" w:space="0" w:color="auto"/>
            </w:tcBorders>
          </w:tcPr>
          <w:p w14:paraId="02BDA5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С-31</w:t>
            </w:r>
          </w:p>
        </w:tc>
        <w:tc>
          <w:tcPr>
            <w:tcW w:w="1382" w:type="dxa"/>
            <w:tcBorders>
              <w:top w:val="single" w:sz="6" w:space="0" w:color="auto"/>
              <w:left w:val="single" w:sz="6" w:space="0" w:color="auto"/>
              <w:bottom w:val="single" w:sz="6" w:space="0" w:color="auto"/>
              <w:right w:val="single" w:sz="6" w:space="0" w:color="auto"/>
            </w:tcBorders>
          </w:tcPr>
          <w:p w14:paraId="407632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С-34</w:t>
            </w:r>
          </w:p>
        </w:tc>
      </w:tr>
      <w:tr w:rsidR="004D4663" w:rsidRPr="00070ADE" w14:paraId="3B5A4333" w14:textId="77777777">
        <w:trPr>
          <w:trHeight w:val="240"/>
        </w:trPr>
        <w:tc>
          <w:tcPr>
            <w:tcW w:w="3091" w:type="dxa"/>
            <w:tcBorders>
              <w:top w:val="single" w:sz="6" w:space="0" w:color="auto"/>
              <w:left w:val="single" w:sz="6" w:space="0" w:color="auto"/>
              <w:bottom w:val="single" w:sz="6" w:space="0" w:color="auto"/>
              <w:right w:val="single" w:sz="6" w:space="0" w:color="auto"/>
            </w:tcBorders>
          </w:tcPr>
          <w:p w14:paraId="7268B2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Калибр пушки, мм</w:t>
            </w:r>
          </w:p>
        </w:tc>
        <w:tc>
          <w:tcPr>
            <w:tcW w:w="1066" w:type="dxa"/>
            <w:tcBorders>
              <w:top w:val="single" w:sz="6" w:space="0" w:color="auto"/>
              <w:left w:val="single" w:sz="6" w:space="0" w:color="auto"/>
              <w:bottom w:val="single" w:sz="6" w:space="0" w:color="auto"/>
              <w:right w:val="single" w:sz="6" w:space="0" w:color="auto"/>
            </w:tcBorders>
          </w:tcPr>
          <w:p w14:paraId="359148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w:t>
            </w:r>
          </w:p>
        </w:tc>
        <w:tc>
          <w:tcPr>
            <w:tcW w:w="1075" w:type="dxa"/>
            <w:tcBorders>
              <w:top w:val="single" w:sz="6" w:space="0" w:color="auto"/>
              <w:left w:val="single" w:sz="6" w:space="0" w:color="auto"/>
              <w:bottom w:val="single" w:sz="6" w:space="0" w:color="auto"/>
              <w:right w:val="single" w:sz="6" w:space="0" w:color="auto"/>
            </w:tcBorders>
          </w:tcPr>
          <w:p w14:paraId="219549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w:t>
            </w:r>
          </w:p>
        </w:tc>
        <w:tc>
          <w:tcPr>
            <w:tcW w:w="1075" w:type="dxa"/>
            <w:tcBorders>
              <w:top w:val="single" w:sz="6" w:space="0" w:color="auto"/>
              <w:left w:val="single" w:sz="6" w:space="0" w:color="auto"/>
              <w:bottom w:val="single" w:sz="6" w:space="0" w:color="auto"/>
              <w:right w:val="single" w:sz="6" w:space="0" w:color="auto"/>
            </w:tcBorders>
          </w:tcPr>
          <w:p w14:paraId="773593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76,2</w:t>
            </w:r>
          </w:p>
        </w:tc>
        <w:tc>
          <w:tcPr>
            <w:tcW w:w="1382" w:type="dxa"/>
            <w:tcBorders>
              <w:top w:val="single" w:sz="6" w:space="0" w:color="auto"/>
              <w:left w:val="single" w:sz="6" w:space="0" w:color="auto"/>
              <w:bottom w:val="single" w:sz="6" w:space="0" w:color="auto"/>
              <w:right w:val="single" w:sz="6" w:space="0" w:color="auto"/>
            </w:tcBorders>
          </w:tcPr>
          <w:p w14:paraId="5D63C2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w:t>
            </w:r>
          </w:p>
        </w:tc>
        <w:tc>
          <w:tcPr>
            <w:tcW w:w="1699" w:type="dxa"/>
            <w:tcBorders>
              <w:top w:val="single" w:sz="6" w:space="0" w:color="auto"/>
              <w:left w:val="single" w:sz="6" w:space="0" w:color="auto"/>
              <w:bottom w:val="single" w:sz="6" w:space="0" w:color="auto"/>
              <w:right w:val="single" w:sz="6" w:space="0" w:color="auto"/>
            </w:tcBorders>
          </w:tcPr>
          <w:p w14:paraId="572700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w:t>
            </w:r>
          </w:p>
        </w:tc>
        <w:tc>
          <w:tcPr>
            <w:tcW w:w="1382" w:type="dxa"/>
            <w:tcBorders>
              <w:top w:val="single" w:sz="6" w:space="0" w:color="auto"/>
              <w:left w:val="single" w:sz="6" w:space="0" w:color="auto"/>
              <w:bottom w:val="single" w:sz="6" w:space="0" w:color="auto"/>
              <w:right w:val="single" w:sz="6" w:space="0" w:color="auto"/>
            </w:tcBorders>
          </w:tcPr>
          <w:p w14:paraId="0E3FA9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r>
      <w:tr w:rsidR="004D4663" w:rsidRPr="00070ADE" w14:paraId="4B18B6E3" w14:textId="77777777">
        <w:trPr>
          <w:trHeight w:val="490"/>
        </w:trPr>
        <w:tc>
          <w:tcPr>
            <w:tcW w:w="3091" w:type="dxa"/>
            <w:tcBorders>
              <w:top w:val="single" w:sz="6" w:space="0" w:color="auto"/>
              <w:left w:val="single" w:sz="6" w:space="0" w:color="auto"/>
              <w:bottom w:val="single" w:sz="6" w:space="0" w:color="auto"/>
              <w:right w:val="single" w:sz="6" w:space="0" w:color="auto"/>
            </w:tcBorders>
          </w:tcPr>
          <w:p w14:paraId="10D0D5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Объект установки (марка танка)</w:t>
            </w:r>
          </w:p>
        </w:tc>
        <w:tc>
          <w:tcPr>
            <w:tcW w:w="1066" w:type="dxa"/>
            <w:tcBorders>
              <w:top w:val="single" w:sz="6" w:space="0" w:color="auto"/>
              <w:left w:val="single" w:sz="6" w:space="0" w:color="auto"/>
              <w:bottom w:val="single" w:sz="6" w:space="0" w:color="auto"/>
              <w:right w:val="single" w:sz="6" w:space="0" w:color="auto"/>
            </w:tcBorders>
          </w:tcPr>
          <w:p w14:paraId="369EE8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Т-60</w:t>
            </w:r>
          </w:p>
        </w:tc>
        <w:tc>
          <w:tcPr>
            <w:tcW w:w="1075" w:type="dxa"/>
            <w:tcBorders>
              <w:top w:val="single" w:sz="6" w:space="0" w:color="auto"/>
              <w:left w:val="single" w:sz="6" w:space="0" w:color="auto"/>
              <w:bottom w:val="single" w:sz="6" w:space="0" w:color="auto"/>
              <w:right w:val="single" w:sz="6" w:space="0" w:color="auto"/>
            </w:tcBorders>
          </w:tcPr>
          <w:p w14:paraId="0947B7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Т-34-76 обр. 1942 г.</w:t>
            </w:r>
          </w:p>
        </w:tc>
        <w:tc>
          <w:tcPr>
            <w:tcW w:w="1075" w:type="dxa"/>
            <w:tcBorders>
              <w:top w:val="single" w:sz="6" w:space="0" w:color="auto"/>
              <w:left w:val="single" w:sz="6" w:space="0" w:color="auto"/>
              <w:bottom w:val="single" w:sz="6" w:space="0" w:color="auto"/>
              <w:right w:val="single" w:sz="6" w:space="0" w:color="auto"/>
            </w:tcBorders>
          </w:tcPr>
          <w:p w14:paraId="1F51C7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Т-34-76 обр. 1942 г.</w:t>
            </w:r>
          </w:p>
        </w:tc>
        <w:tc>
          <w:tcPr>
            <w:tcW w:w="1382" w:type="dxa"/>
            <w:tcBorders>
              <w:top w:val="single" w:sz="6" w:space="0" w:color="auto"/>
              <w:left w:val="single" w:sz="6" w:space="0" w:color="auto"/>
              <w:bottom w:val="single" w:sz="6" w:space="0" w:color="auto"/>
              <w:right w:val="single" w:sz="6" w:space="0" w:color="auto"/>
            </w:tcBorders>
          </w:tcPr>
          <w:p w14:paraId="1F4DD8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Т-34-85 обр. 1943 г.</w:t>
            </w:r>
          </w:p>
        </w:tc>
        <w:tc>
          <w:tcPr>
            <w:tcW w:w="1699" w:type="dxa"/>
            <w:tcBorders>
              <w:top w:val="single" w:sz="6" w:space="0" w:color="auto"/>
              <w:left w:val="single" w:sz="6" w:space="0" w:color="auto"/>
              <w:bottom w:val="single" w:sz="6" w:space="0" w:color="auto"/>
              <w:right w:val="single" w:sz="6" w:space="0" w:color="auto"/>
            </w:tcBorders>
          </w:tcPr>
          <w:p w14:paraId="08794D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"Объект 237" "Объект 239"</w:t>
            </w:r>
          </w:p>
        </w:tc>
        <w:tc>
          <w:tcPr>
            <w:tcW w:w="1382" w:type="dxa"/>
            <w:tcBorders>
              <w:top w:val="single" w:sz="6" w:space="0" w:color="auto"/>
              <w:left w:val="single" w:sz="6" w:space="0" w:color="auto"/>
              <w:bottom w:val="single" w:sz="6" w:space="0" w:color="auto"/>
              <w:right w:val="single" w:sz="6" w:space="0" w:color="auto"/>
            </w:tcBorders>
          </w:tcPr>
          <w:p w14:paraId="30A87E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ИС-5, "Объект 248"</w:t>
            </w:r>
          </w:p>
        </w:tc>
      </w:tr>
      <w:tr w:rsidR="004D4663" w:rsidRPr="00070ADE" w14:paraId="1E488758" w14:textId="77777777">
        <w:trPr>
          <w:trHeight w:val="230"/>
        </w:trPr>
        <w:tc>
          <w:tcPr>
            <w:tcW w:w="3091" w:type="dxa"/>
            <w:tcBorders>
              <w:top w:val="single" w:sz="6" w:space="0" w:color="auto"/>
              <w:left w:val="single" w:sz="6" w:space="0" w:color="auto"/>
              <w:bottom w:val="single" w:sz="6" w:space="0" w:color="auto"/>
              <w:right w:val="single" w:sz="6" w:space="0" w:color="auto"/>
            </w:tcBorders>
          </w:tcPr>
          <w:p w14:paraId="0E2CF5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Дульная энергия, том</w:t>
            </w:r>
          </w:p>
        </w:tc>
        <w:tc>
          <w:tcPr>
            <w:tcW w:w="1066" w:type="dxa"/>
            <w:tcBorders>
              <w:top w:val="single" w:sz="6" w:space="0" w:color="auto"/>
              <w:left w:val="single" w:sz="6" w:space="0" w:color="auto"/>
              <w:bottom w:val="single" w:sz="6" w:space="0" w:color="auto"/>
              <w:right w:val="single" w:sz="6" w:space="0" w:color="auto"/>
            </w:tcBorders>
          </w:tcPr>
          <w:p w14:paraId="6DE3B8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075" w:type="dxa"/>
            <w:tcBorders>
              <w:top w:val="single" w:sz="6" w:space="0" w:color="auto"/>
              <w:left w:val="single" w:sz="6" w:space="0" w:color="auto"/>
              <w:bottom w:val="single" w:sz="6" w:space="0" w:color="auto"/>
              <w:right w:val="single" w:sz="6" w:space="0" w:color="auto"/>
            </w:tcBorders>
          </w:tcPr>
          <w:p w14:paraId="543D13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w:t>
            </w:r>
          </w:p>
        </w:tc>
        <w:tc>
          <w:tcPr>
            <w:tcW w:w="1075" w:type="dxa"/>
            <w:tcBorders>
              <w:top w:val="single" w:sz="6" w:space="0" w:color="auto"/>
              <w:left w:val="single" w:sz="6" w:space="0" w:color="auto"/>
              <w:bottom w:val="single" w:sz="6" w:space="0" w:color="auto"/>
              <w:right w:val="single" w:sz="6" w:space="0" w:color="auto"/>
            </w:tcBorders>
          </w:tcPr>
          <w:p w14:paraId="461E77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226,5</w:t>
            </w:r>
          </w:p>
        </w:tc>
        <w:tc>
          <w:tcPr>
            <w:tcW w:w="1382" w:type="dxa"/>
            <w:tcBorders>
              <w:top w:val="single" w:sz="6" w:space="0" w:color="auto"/>
              <w:left w:val="single" w:sz="6" w:space="0" w:color="auto"/>
              <w:bottom w:val="single" w:sz="6" w:space="0" w:color="auto"/>
              <w:right w:val="single" w:sz="6" w:space="0" w:color="auto"/>
            </w:tcBorders>
          </w:tcPr>
          <w:p w14:paraId="19EA2A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tc>
        <w:tc>
          <w:tcPr>
            <w:tcW w:w="1699" w:type="dxa"/>
            <w:tcBorders>
              <w:top w:val="single" w:sz="6" w:space="0" w:color="auto"/>
              <w:left w:val="single" w:sz="6" w:space="0" w:color="auto"/>
              <w:bottom w:val="single" w:sz="6" w:space="0" w:color="auto"/>
              <w:right w:val="single" w:sz="6" w:space="0" w:color="auto"/>
            </w:tcBorders>
          </w:tcPr>
          <w:p w14:paraId="475A9A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tc>
        <w:tc>
          <w:tcPr>
            <w:tcW w:w="1382" w:type="dxa"/>
            <w:tcBorders>
              <w:top w:val="single" w:sz="6" w:space="0" w:color="auto"/>
              <w:left w:val="single" w:sz="6" w:space="0" w:color="auto"/>
              <w:bottom w:val="single" w:sz="6" w:space="0" w:color="auto"/>
              <w:right w:val="single" w:sz="6" w:space="0" w:color="auto"/>
            </w:tcBorders>
          </w:tcPr>
          <w:p w14:paraId="79D93E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8E9A84C" w14:textId="77777777">
        <w:trPr>
          <w:trHeight w:val="499"/>
        </w:trPr>
        <w:tc>
          <w:tcPr>
            <w:tcW w:w="3091" w:type="dxa"/>
            <w:tcBorders>
              <w:top w:val="single" w:sz="6" w:space="0" w:color="auto"/>
              <w:left w:val="single" w:sz="6" w:space="0" w:color="auto"/>
              <w:bottom w:val="single" w:sz="6" w:space="0" w:color="auto"/>
              <w:right w:val="single" w:sz="6" w:space="0" w:color="auto"/>
            </w:tcBorders>
          </w:tcPr>
          <w:p w14:paraId="5F7CF4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Бронепробиваемость БрС на Д= 1000 м по нормали, мм</w:t>
            </w:r>
          </w:p>
        </w:tc>
        <w:tc>
          <w:tcPr>
            <w:tcW w:w="1066" w:type="dxa"/>
            <w:tcBorders>
              <w:top w:val="single" w:sz="6" w:space="0" w:color="auto"/>
              <w:left w:val="single" w:sz="6" w:space="0" w:color="auto"/>
              <w:bottom w:val="single" w:sz="6" w:space="0" w:color="auto"/>
              <w:right w:val="single" w:sz="6" w:space="0" w:color="auto"/>
            </w:tcBorders>
          </w:tcPr>
          <w:p w14:paraId="57C5D2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 (Д = 500м)</w:t>
            </w:r>
          </w:p>
        </w:tc>
        <w:tc>
          <w:tcPr>
            <w:tcW w:w="1075" w:type="dxa"/>
            <w:tcBorders>
              <w:top w:val="single" w:sz="6" w:space="0" w:color="auto"/>
              <w:left w:val="single" w:sz="6" w:space="0" w:color="auto"/>
              <w:bottom w:val="single" w:sz="6" w:space="0" w:color="auto"/>
              <w:right w:val="single" w:sz="6" w:space="0" w:color="auto"/>
            </w:tcBorders>
          </w:tcPr>
          <w:p w14:paraId="5B1EAD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89</w:t>
            </w:r>
          </w:p>
        </w:tc>
        <w:tc>
          <w:tcPr>
            <w:tcW w:w="1075" w:type="dxa"/>
            <w:tcBorders>
              <w:top w:val="single" w:sz="6" w:space="0" w:color="auto"/>
              <w:left w:val="single" w:sz="6" w:space="0" w:color="auto"/>
              <w:bottom w:val="single" w:sz="6" w:space="0" w:color="auto"/>
              <w:right w:val="single" w:sz="6" w:space="0" w:color="auto"/>
            </w:tcBorders>
          </w:tcPr>
          <w:p w14:paraId="42E744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w:t>
            </w:r>
          </w:p>
        </w:tc>
        <w:tc>
          <w:tcPr>
            <w:tcW w:w="1382" w:type="dxa"/>
            <w:tcBorders>
              <w:top w:val="single" w:sz="6" w:space="0" w:color="auto"/>
              <w:left w:val="single" w:sz="6" w:space="0" w:color="auto"/>
              <w:bottom w:val="single" w:sz="6" w:space="0" w:color="auto"/>
              <w:right w:val="single" w:sz="6" w:space="0" w:color="auto"/>
            </w:tcBorders>
          </w:tcPr>
          <w:p w14:paraId="3D4982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118</w:t>
            </w:r>
          </w:p>
        </w:tc>
        <w:tc>
          <w:tcPr>
            <w:tcW w:w="1699" w:type="dxa"/>
            <w:tcBorders>
              <w:top w:val="single" w:sz="6" w:space="0" w:color="auto"/>
              <w:left w:val="single" w:sz="6" w:space="0" w:color="auto"/>
              <w:bottom w:val="single" w:sz="6" w:space="0" w:color="auto"/>
              <w:right w:val="single" w:sz="6" w:space="0" w:color="auto"/>
            </w:tcBorders>
          </w:tcPr>
          <w:p w14:paraId="482A60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w:t>
            </w:r>
          </w:p>
        </w:tc>
        <w:tc>
          <w:tcPr>
            <w:tcW w:w="1382" w:type="dxa"/>
            <w:tcBorders>
              <w:top w:val="single" w:sz="6" w:space="0" w:color="auto"/>
              <w:left w:val="single" w:sz="6" w:space="0" w:color="auto"/>
              <w:bottom w:val="single" w:sz="6" w:space="0" w:color="auto"/>
              <w:right w:val="single" w:sz="6" w:space="0" w:color="auto"/>
            </w:tcBorders>
          </w:tcPr>
          <w:p w14:paraId="1CCBFE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6EA26BC" w14:textId="77777777">
        <w:trPr>
          <w:trHeight w:val="240"/>
        </w:trPr>
        <w:tc>
          <w:tcPr>
            <w:tcW w:w="3091" w:type="dxa"/>
            <w:tcBorders>
              <w:top w:val="single" w:sz="6" w:space="0" w:color="auto"/>
              <w:left w:val="single" w:sz="6" w:space="0" w:color="auto"/>
              <w:bottom w:val="single" w:sz="6" w:space="0" w:color="auto"/>
              <w:right w:val="single" w:sz="6" w:space="0" w:color="auto"/>
            </w:tcBorders>
          </w:tcPr>
          <w:p w14:paraId="16EA51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Скорострельность, выстр./мин</w:t>
            </w:r>
          </w:p>
        </w:tc>
        <w:tc>
          <w:tcPr>
            <w:tcW w:w="1066" w:type="dxa"/>
            <w:tcBorders>
              <w:top w:val="single" w:sz="6" w:space="0" w:color="auto"/>
              <w:left w:val="single" w:sz="6" w:space="0" w:color="auto"/>
              <w:bottom w:val="single" w:sz="6" w:space="0" w:color="auto"/>
              <w:right w:val="single" w:sz="6" w:space="0" w:color="auto"/>
            </w:tcBorders>
          </w:tcPr>
          <w:p w14:paraId="36378A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8-15</w:t>
            </w:r>
          </w:p>
        </w:tc>
        <w:tc>
          <w:tcPr>
            <w:tcW w:w="1075" w:type="dxa"/>
            <w:tcBorders>
              <w:top w:val="single" w:sz="6" w:space="0" w:color="auto"/>
              <w:left w:val="single" w:sz="6" w:space="0" w:color="auto"/>
              <w:bottom w:val="single" w:sz="6" w:space="0" w:color="auto"/>
              <w:right w:val="single" w:sz="6" w:space="0" w:color="auto"/>
            </w:tcBorders>
          </w:tcPr>
          <w:p w14:paraId="0BC082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6-10</w:t>
            </w:r>
          </w:p>
        </w:tc>
        <w:tc>
          <w:tcPr>
            <w:tcW w:w="1075" w:type="dxa"/>
            <w:tcBorders>
              <w:top w:val="single" w:sz="6" w:space="0" w:color="auto"/>
              <w:left w:val="single" w:sz="6" w:space="0" w:color="auto"/>
              <w:bottom w:val="single" w:sz="6" w:space="0" w:color="auto"/>
              <w:right w:val="single" w:sz="6" w:space="0" w:color="auto"/>
            </w:tcBorders>
          </w:tcPr>
          <w:p w14:paraId="734C4E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8-10</w:t>
            </w:r>
          </w:p>
        </w:tc>
        <w:tc>
          <w:tcPr>
            <w:tcW w:w="1382" w:type="dxa"/>
            <w:tcBorders>
              <w:top w:val="single" w:sz="6" w:space="0" w:color="auto"/>
              <w:left w:val="single" w:sz="6" w:space="0" w:color="auto"/>
              <w:bottom w:val="single" w:sz="6" w:space="0" w:color="auto"/>
              <w:right w:val="single" w:sz="6" w:space="0" w:color="auto"/>
            </w:tcBorders>
          </w:tcPr>
          <w:p w14:paraId="516B84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4B979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8-10</w:t>
            </w:r>
          </w:p>
        </w:tc>
        <w:tc>
          <w:tcPr>
            <w:tcW w:w="1382" w:type="dxa"/>
            <w:tcBorders>
              <w:top w:val="single" w:sz="6" w:space="0" w:color="auto"/>
              <w:left w:val="single" w:sz="6" w:space="0" w:color="auto"/>
              <w:bottom w:val="single" w:sz="6" w:space="0" w:color="auto"/>
              <w:right w:val="single" w:sz="6" w:space="0" w:color="auto"/>
            </w:tcBorders>
          </w:tcPr>
          <w:p w14:paraId="7A8838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r>
      <w:tr w:rsidR="004D4663" w:rsidRPr="00070ADE" w14:paraId="65AB850B" w14:textId="77777777">
        <w:trPr>
          <w:trHeight w:val="250"/>
        </w:trPr>
        <w:tc>
          <w:tcPr>
            <w:tcW w:w="3091" w:type="dxa"/>
            <w:tcBorders>
              <w:top w:val="single" w:sz="6" w:space="0" w:color="auto"/>
              <w:left w:val="single" w:sz="6" w:space="0" w:color="auto"/>
              <w:bottom w:val="single" w:sz="6" w:space="0" w:color="auto"/>
              <w:right w:val="single" w:sz="6" w:space="0" w:color="auto"/>
            </w:tcBorders>
          </w:tcPr>
          <w:p w14:paraId="6FDCD2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ствола, клб</w:t>
            </w:r>
          </w:p>
        </w:tc>
        <w:tc>
          <w:tcPr>
            <w:tcW w:w="1066" w:type="dxa"/>
            <w:tcBorders>
              <w:top w:val="single" w:sz="6" w:space="0" w:color="auto"/>
              <w:left w:val="single" w:sz="6" w:space="0" w:color="auto"/>
              <w:bottom w:val="single" w:sz="6" w:space="0" w:color="auto"/>
              <w:right w:val="single" w:sz="6" w:space="0" w:color="auto"/>
            </w:tcBorders>
          </w:tcPr>
          <w:p w14:paraId="0583D7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66,7</w:t>
            </w:r>
          </w:p>
        </w:tc>
        <w:tc>
          <w:tcPr>
            <w:tcW w:w="1075" w:type="dxa"/>
            <w:tcBorders>
              <w:top w:val="single" w:sz="6" w:space="0" w:color="auto"/>
              <w:left w:val="single" w:sz="6" w:space="0" w:color="auto"/>
              <w:bottom w:val="single" w:sz="6" w:space="0" w:color="auto"/>
              <w:right w:val="single" w:sz="6" w:space="0" w:color="auto"/>
            </w:tcBorders>
          </w:tcPr>
          <w:p w14:paraId="2DE4D9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w:t>
            </w:r>
          </w:p>
        </w:tc>
        <w:tc>
          <w:tcPr>
            <w:tcW w:w="1075" w:type="dxa"/>
            <w:tcBorders>
              <w:top w:val="single" w:sz="6" w:space="0" w:color="auto"/>
              <w:left w:val="single" w:sz="6" w:space="0" w:color="auto"/>
              <w:bottom w:val="single" w:sz="6" w:space="0" w:color="auto"/>
              <w:right w:val="single" w:sz="6" w:space="0" w:color="auto"/>
            </w:tcBorders>
          </w:tcPr>
          <w:p w14:paraId="3F82D3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tc>
        <w:tc>
          <w:tcPr>
            <w:tcW w:w="1382" w:type="dxa"/>
            <w:tcBorders>
              <w:top w:val="single" w:sz="6" w:space="0" w:color="auto"/>
              <w:left w:val="single" w:sz="6" w:space="0" w:color="auto"/>
              <w:bottom w:val="single" w:sz="6" w:space="0" w:color="auto"/>
              <w:right w:val="single" w:sz="6" w:space="0" w:color="auto"/>
            </w:tcBorders>
          </w:tcPr>
          <w:p w14:paraId="190512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c>
          <w:tcPr>
            <w:tcW w:w="1699" w:type="dxa"/>
            <w:tcBorders>
              <w:top w:val="single" w:sz="6" w:space="0" w:color="auto"/>
              <w:left w:val="single" w:sz="6" w:space="0" w:color="auto"/>
              <w:bottom w:val="single" w:sz="6" w:space="0" w:color="auto"/>
              <w:right w:val="single" w:sz="6" w:space="0" w:color="auto"/>
            </w:tcBorders>
          </w:tcPr>
          <w:p w14:paraId="72964D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51,2</w:t>
            </w:r>
          </w:p>
        </w:tc>
        <w:tc>
          <w:tcPr>
            <w:tcW w:w="1382" w:type="dxa"/>
            <w:tcBorders>
              <w:top w:val="single" w:sz="6" w:space="0" w:color="auto"/>
              <w:left w:val="single" w:sz="6" w:space="0" w:color="auto"/>
              <w:bottom w:val="single" w:sz="6" w:space="0" w:color="auto"/>
              <w:right w:val="single" w:sz="6" w:space="0" w:color="auto"/>
            </w:tcBorders>
          </w:tcPr>
          <w:p w14:paraId="0B26AC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55,9</w:t>
            </w:r>
          </w:p>
        </w:tc>
      </w:tr>
      <w:tr w:rsidR="004D4663" w:rsidRPr="00070ADE" w14:paraId="3ECE4E2F" w14:textId="77777777">
        <w:trPr>
          <w:trHeight w:val="250"/>
        </w:trPr>
        <w:tc>
          <w:tcPr>
            <w:tcW w:w="3091" w:type="dxa"/>
            <w:tcBorders>
              <w:top w:val="single" w:sz="6" w:space="0" w:color="auto"/>
              <w:left w:val="single" w:sz="6" w:space="0" w:color="auto"/>
              <w:bottom w:val="single" w:sz="6" w:space="0" w:color="auto"/>
              <w:right w:val="single" w:sz="6" w:space="0" w:color="auto"/>
            </w:tcBorders>
          </w:tcPr>
          <w:p w14:paraId="001BD6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Затвор, тип •</w:t>
            </w:r>
          </w:p>
        </w:tc>
        <w:tc>
          <w:tcPr>
            <w:tcW w:w="3216" w:type="dxa"/>
            <w:gridSpan w:val="3"/>
            <w:tcBorders>
              <w:top w:val="single" w:sz="6" w:space="0" w:color="auto"/>
              <w:left w:val="single" w:sz="6" w:space="0" w:color="auto"/>
              <w:bottom w:val="single" w:sz="6" w:space="0" w:color="auto"/>
              <w:right w:val="single" w:sz="6" w:space="0" w:color="auto"/>
            </w:tcBorders>
          </w:tcPr>
          <w:p w14:paraId="470A89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клиновой, вертикальный</w:t>
            </w:r>
          </w:p>
        </w:tc>
        <w:tc>
          <w:tcPr>
            <w:tcW w:w="4463" w:type="dxa"/>
            <w:gridSpan w:val="3"/>
            <w:tcBorders>
              <w:top w:val="single" w:sz="6" w:space="0" w:color="auto"/>
              <w:left w:val="single" w:sz="6" w:space="0" w:color="auto"/>
              <w:bottom w:val="single" w:sz="6" w:space="0" w:color="auto"/>
              <w:right w:val="single" w:sz="6" w:space="0" w:color="auto"/>
            </w:tcBorders>
          </w:tcPr>
          <w:p w14:paraId="7A3E30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клиновой, горизонтальный</w:t>
            </w:r>
          </w:p>
        </w:tc>
      </w:tr>
      <w:tr w:rsidR="004D4663" w:rsidRPr="00070ADE" w14:paraId="08DA6274" w14:textId="77777777">
        <w:trPr>
          <w:trHeight w:val="250"/>
        </w:trPr>
        <w:tc>
          <w:tcPr>
            <w:tcW w:w="3091" w:type="dxa"/>
            <w:tcBorders>
              <w:top w:val="single" w:sz="6" w:space="0" w:color="auto"/>
              <w:left w:val="single" w:sz="6" w:space="0" w:color="auto"/>
              <w:bottom w:val="single" w:sz="6" w:space="0" w:color="auto"/>
              <w:right w:val="single" w:sz="6" w:space="0" w:color="auto"/>
            </w:tcBorders>
          </w:tcPr>
          <w:p w14:paraId="0B9A44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отката, мм</w:t>
            </w:r>
          </w:p>
        </w:tc>
        <w:tc>
          <w:tcPr>
            <w:tcW w:w="1066" w:type="dxa"/>
            <w:tcBorders>
              <w:top w:val="single" w:sz="6" w:space="0" w:color="auto"/>
              <w:left w:val="single" w:sz="6" w:space="0" w:color="auto"/>
              <w:bottom w:val="single" w:sz="6" w:space="0" w:color="auto"/>
              <w:right w:val="single" w:sz="6" w:space="0" w:color="auto"/>
            </w:tcBorders>
          </w:tcPr>
          <w:p w14:paraId="384E63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2502A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350-380</w:t>
            </w:r>
          </w:p>
        </w:tc>
        <w:tc>
          <w:tcPr>
            <w:tcW w:w="1075" w:type="dxa"/>
            <w:tcBorders>
              <w:top w:val="single" w:sz="6" w:space="0" w:color="auto"/>
              <w:left w:val="single" w:sz="6" w:space="0" w:color="auto"/>
              <w:bottom w:val="single" w:sz="6" w:space="0" w:color="auto"/>
              <w:right w:val="single" w:sz="6" w:space="0" w:color="auto"/>
            </w:tcBorders>
          </w:tcPr>
          <w:p w14:paraId="486E8C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320-370</w:t>
            </w:r>
          </w:p>
        </w:tc>
        <w:tc>
          <w:tcPr>
            <w:tcW w:w="1382" w:type="dxa"/>
            <w:tcBorders>
              <w:top w:val="single" w:sz="6" w:space="0" w:color="auto"/>
              <w:left w:val="single" w:sz="6" w:space="0" w:color="auto"/>
              <w:bottom w:val="single" w:sz="6" w:space="0" w:color="auto"/>
              <w:right w:val="single" w:sz="6" w:space="0" w:color="auto"/>
            </w:tcBorders>
          </w:tcPr>
          <w:p w14:paraId="54219A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260-350</w:t>
            </w:r>
          </w:p>
        </w:tc>
        <w:tc>
          <w:tcPr>
            <w:tcW w:w="1699" w:type="dxa"/>
            <w:tcBorders>
              <w:top w:val="single" w:sz="6" w:space="0" w:color="auto"/>
              <w:left w:val="single" w:sz="6" w:space="0" w:color="auto"/>
              <w:bottom w:val="single" w:sz="6" w:space="0" w:color="auto"/>
              <w:right w:val="single" w:sz="6" w:space="0" w:color="auto"/>
            </w:tcBorders>
          </w:tcPr>
          <w:p w14:paraId="282ED7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480-550</w:t>
            </w:r>
          </w:p>
        </w:tc>
        <w:tc>
          <w:tcPr>
            <w:tcW w:w="1382" w:type="dxa"/>
            <w:tcBorders>
              <w:top w:val="single" w:sz="6" w:space="0" w:color="auto"/>
              <w:left w:val="single" w:sz="6" w:space="0" w:color="auto"/>
              <w:bottom w:val="single" w:sz="6" w:space="0" w:color="auto"/>
              <w:right w:val="single" w:sz="6" w:space="0" w:color="auto"/>
            </w:tcBorders>
          </w:tcPr>
          <w:p w14:paraId="2805FD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400-450</w:t>
            </w:r>
          </w:p>
        </w:tc>
      </w:tr>
      <w:tr w:rsidR="004D4663" w:rsidRPr="00070ADE" w14:paraId="2F9923AE" w14:textId="77777777">
        <w:trPr>
          <w:trHeight w:val="240"/>
        </w:trPr>
        <w:tc>
          <w:tcPr>
            <w:tcW w:w="3091" w:type="dxa"/>
            <w:tcBorders>
              <w:top w:val="single" w:sz="6" w:space="0" w:color="auto"/>
              <w:left w:val="single" w:sz="6" w:space="0" w:color="auto"/>
              <w:bottom w:val="single" w:sz="6" w:space="0" w:color="auto"/>
              <w:right w:val="single" w:sz="6" w:space="0" w:color="auto"/>
            </w:tcBorders>
          </w:tcPr>
          <w:p w14:paraId="3CFFBE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дальность стрельбы, м</w:t>
            </w:r>
          </w:p>
        </w:tc>
        <w:tc>
          <w:tcPr>
            <w:tcW w:w="1066" w:type="dxa"/>
            <w:tcBorders>
              <w:top w:val="single" w:sz="6" w:space="0" w:color="auto"/>
              <w:left w:val="single" w:sz="6" w:space="0" w:color="auto"/>
              <w:bottom w:val="single" w:sz="6" w:space="0" w:color="auto"/>
              <w:right w:val="single" w:sz="6" w:space="0" w:color="auto"/>
            </w:tcBorders>
          </w:tcPr>
          <w:p w14:paraId="3A4B77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10000</w:t>
            </w:r>
          </w:p>
        </w:tc>
        <w:tc>
          <w:tcPr>
            <w:tcW w:w="1075" w:type="dxa"/>
            <w:tcBorders>
              <w:top w:val="single" w:sz="6" w:space="0" w:color="auto"/>
              <w:left w:val="single" w:sz="6" w:space="0" w:color="auto"/>
              <w:bottom w:val="single" w:sz="6" w:space="0" w:color="auto"/>
              <w:right w:val="single" w:sz="6" w:space="0" w:color="auto"/>
            </w:tcBorders>
          </w:tcPr>
          <w:p w14:paraId="7C3B77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12500</w:t>
            </w:r>
          </w:p>
        </w:tc>
        <w:tc>
          <w:tcPr>
            <w:tcW w:w="1075" w:type="dxa"/>
            <w:tcBorders>
              <w:top w:val="single" w:sz="6" w:space="0" w:color="auto"/>
              <w:left w:val="single" w:sz="6" w:space="0" w:color="auto"/>
              <w:bottom w:val="single" w:sz="6" w:space="0" w:color="auto"/>
              <w:right w:val="single" w:sz="6" w:space="0" w:color="auto"/>
            </w:tcBorders>
          </w:tcPr>
          <w:p w14:paraId="106903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13000</w:t>
            </w:r>
          </w:p>
        </w:tc>
        <w:tc>
          <w:tcPr>
            <w:tcW w:w="1382" w:type="dxa"/>
            <w:tcBorders>
              <w:top w:val="single" w:sz="6" w:space="0" w:color="auto"/>
              <w:left w:val="single" w:sz="6" w:space="0" w:color="auto"/>
              <w:bottom w:val="single" w:sz="6" w:space="0" w:color="auto"/>
              <w:right w:val="single" w:sz="6" w:space="0" w:color="auto"/>
            </w:tcBorders>
          </w:tcPr>
          <w:p w14:paraId="27A6DF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699" w:type="dxa"/>
            <w:tcBorders>
              <w:top w:val="single" w:sz="6" w:space="0" w:color="auto"/>
              <w:left w:val="single" w:sz="6" w:space="0" w:color="auto"/>
              <w:bottom w:val="single" w:sz="6" w:space="0" w:color="auto"/>
              <w:right w:val="single" w:sz="6" w:space="0" w:color="auto"/>
            </w:tcBorders>
          </w:tcPr>
          <w:p w14:paraId="47EAE3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12500</w:t>
            </w:r>
          </w:p>
        </w:tc>
        <w:tc>
          <w:tcPr>
            <w:tcW w:w="1382" w:type="dxa"/>
            <w:tcBorders>
              <w:top w:val="single" w:sz="6" w:space="0" w:color="auto"/>
              <w:left w:val="single" w:sz="6" w:space="0" w:color="auto"/>
              <w:bottom w:val="single" w:sz="6" w:space="0" w:color="auto"/>
              <w:right w:val="single" w:sz="6" w:space="0" w:color="auto"/>
            </w:tcBorders>
          </w:tcPr>
          <w:p w14:paraId="191AAE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15000</w:t>
            </w:r>
          </w:p>
        </w:tc>
      </w:tr>
      <w:tr w:rsidR="004D4663" w:rsidRPr="00070ADE" w14:paraId="5FD92802" w14:textId="77777777">
        <w:trPr>
          <w:trHeight w:val="874"/>
        </w:trPr>
        <w:tc>
          <w:tcPr>
            <w:tcW w:w="3091" w:type="dxa"/>
            <w:tcBorders>
              <w:top w:val="single" w:sz="6" w:space="0" w:color="auto"/>
              <w:left w:val="single" w:sz="6" w:space="0" w:color="auto"/>
              <w:bottom w:val="single" w:sz="6" w:space="0" w:color="auto"/>
              <w:right w:val="single" w:sz="6" w:space="0" w:color="auto"/>
            </w:tcBorders>
          </w:tcPr>
          <w:p w14:paraId="20FAA5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Начальная скорость снаряда, м/с: бронебойно-подкалиберного бронебойного осколочно-фугасного</w:t>
            </w:r>
          </w:p>
        </w:tc>
        <w:tc>
          <w:tcPr>
            <w:tcW w:w="1066" w:type="dxa"/>
            <w:tcBorders>
              <w:top w:val="single" w:sz="6" w:space="0" w:color="auto"/>
              <w:left w:val="single" w:sz="6" w:space="0" w:color="auto"/>
              <w:bottom w:val="single" w:sz="6" w:space="0" w:color="auto"/>
              <w:right w:val="single" w:sz="6" w:space="0" w:color="auto"/>
            </w:tcBorders>
          </w:tcPr>
          <w:p w14:paraId="4AADD5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915</w:t>
            </w:r>
          </w:p>
        </w:tc>
        <w:tc>
          <w:tcPr>
            <w:tcW w:w="1075" w:type="dxa"/>
            <w:tcBorders>
              <w:top w:val="single" w:sz="6" w:space="0" w:color="auto"/>
              <w:left w:val="single" w:sz="6" w:space="0" w:color="auto"/>
              <w:bottom w:val="single" w:sz="6" w:space="0" w:color="auto"/>
              <w:right w:val="single" w:sz="6" w:space="0" w:color="auto"/>
            </w:tcBorders>
          </w:tcPr>
          <w:p w14:paraId="09F039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997 700</w:t>
            </w:r>
          </w:p>
        </w:tc>
        <w:tc>
          <w:tcPr>
            <w:tcW w:w="1075" w:type="dxa"/>
            <w:tcBorders>
              <w:top w:val="single" w:sz="6" w:space="0" w:color="auto"/>
              <w:left w:val="single" w:sz="6" w:space="0" w:color="auto"/>
              <w:bottom w:val="single" w:sz="6" w:space="0" w:color="auto"/>
              <w:right w:val="single" w:sz="6" w:space="0" w:color="auto"/>
            </w:tcBorders>
          </w:tcPr>
          <w:p w14:paraId="5FE9DB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1154 810 800</w:t>
            </w:r>
          </w:p>
        </w:tc>
        <w:tc>
          <w:tcPr>
            <w:tcW w:w="1382" w:type="dxa"/>
            <w:tcBorders>
              <w:top w:val="single" w:sz="6" w:space="0" w:color="auto"/>
              <w:left w:val="single" w:sz="6" w:space="0" w:color="auto"/>
              <w:bottom w:val="single" w:sz="6" w:space="0" w:color="auto"/>
              <w:right w:val="single" w:sz="6" w:space="0" w:color="auto"/>
            </w:tcBorders>
          </w:tcPr>
          <w:p w14:paraId="29A64B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800 793</w:t>
            </w:r>
          </w:p>
        </w:tc>
        <w:tc>
          <w:tcPr>
            <w:tcW w:w="1699" w:type="dxa"/>
            <w:tcBorders>
              <w:top w:val="single" w:sz="6" w:space="0" w:color="auto"/>
              <w:left w:val="single" w:sz="6" w:space="0" w:color="auto"/>
              <w:bottom w:val="single" w:sz="6" w:space="0" w:color="auto"/>
              <w:right w:val="single" w:sz="6" w:space="0" w:color="auto"/>
            </w:tcBorders>
          </w:tcPr>
          <w:p w14:paraId="6BB29B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w:t>
            </w:r>
          </w:p>
        </w:tc>
        <w:tc>
          <w:tcPr>
            <w:tcW w:w="1382" w:type="dxa"/>
            <w:tcBorders>
              <w:top w:val="single" w:sz="6" w:space="0" w:color="auto"/>
              <w:left w:val="single" w:sz="6" w:space="0" w:color="auto"/>
              <w:bottom w:val="single" w:sz="6" w:space="0" w:color="auto"/>
              <w:right w:val="single" w:sz="6" w:space="0" w:color="auto"/>
            </w:tcBorders>
          </w:tcPr>
          <w:p w14:paraId="3DF7A0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tc>
      </w:tr>
      <w:tr w:rsidR="004D4663" w:rsidRPr="00070ADE" w14:paraId="4A113539" w14:textId="77777777">
        <w:trPr>
          <w:trHeight w:val="902"/>
        </w:trPr>
        <w:tc>
          <w:tcPr>
            <w:tcW w:w="3091" w:type="dxa"/>
            <w:tcBorders>
              <w:top w:val="single" w:sz="6" w:space="0" w:color="auto"/>
              <w:left w:val="single" w:sz="6" w:space="0" w:color="auto"/>
              <w:bottom w:val="single" w:sz="6" w:space="0" w:color="auto"/>
              <w:right w:val="single" w:sz="6" w:space="0" w:color="auto"/>
            </w:tcBorders>
          </w:tcPr>
          <w:p w14:paraId="28E0BC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Масса снаряда, кг бронебойно-подкалиберного бронебойного осколочно-фугасного</w:t>
            </w:r>
          </w:p>
        </w:tc>
        <w:tc>
          <w:tcPr>
            <w:tcW w:w="1066" w:type="dxa"/>
            <w:tcBorders>
              <w:top w:val="single" w:sz="6" w:space="0" w:color="auto"/>
              <w:left w:val="single" w:sz="6" w:space="0" w:color="auto"/>
              <w:bottom w:val="single" w:sz="6" w:space="0" w:color="auto"/>
              <w:right w:val="single" w:sz="6" w:space="0" w:color="auto"/>
            </w:tcBorders>
          </w:tcPr>
          <w:p w14:paraId="50A98A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0,765 0,732"</w:t>
            </w:r>
          </w:p>
        </w:tc>
        <w:tc>
          <w:tcPr>
            <w:tcW w:w="1075" w:type="dxa"/>
            <w:tcBorders>
              <w:top w:val="single" w:sz="6" w:space="0" w:color="auto"/>
              <w:left w:val="single" w:sz="6" w:space="0" w:color="auto"/>
              <w:bottom w:val="single" w:sz="6" w:space="0" w:color="auto"/>
              <w:right w:val="single" w:sz="6" w:space="0" w:color="auto"/>
            </w:tcBorders>
          </w:tcPr>
          <w:p w14:paraId="13302F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3,14</w:t>
            </w:r>
          </w:p>
        </w:tc>
        <w:tc>
          <w:tcPr>
            <w:tcW w:w="1075" w:type="dxa"/>
            <w:tcBorders>
              <w:top w:val="single" w:sz="6" w:space="0" w:color="auto"/>
              <w:left w:val="single" w:sz="6" w:space="0" w:color="auto"/>
              <w:bottom w:val="single" w:sz="6" w:space="0" w:color="auto"/>
              <w:right w:val="single" w:sz="6" w:space="0" w:color="auto"/>
            </w:tcBorders>
          </w:tcPr>
          <w:p w14:paraId="3A9AE1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3,5 6,5 6,95</w:t>
            </w:r>
          </w:p>
        </w:tc>
        <w:tc>
          <w:tcPr>
            <w:tcW w:w="1382" w:type="dxa"/>
            <w:tcBorders>
              <w:top w:val="single" w:sz="6" w:space="0" w:color="auto"/>
              <w:left w:val="single" w:sz="6" w:space="0" w:color="auto"/>
              <w:bottom w:val="single" w:sz="6" w:space="0" w:color="auto"/>
              <w:right w:val="single" w:sz="6" w:space="0" w:color="auto"/>
            </w:tcBorders>
          </w:tcPr>
          <w:p w14:paraId="62DACD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9,20 9,54</w:t>
            </w:r>
          </w:p>
        </w:tc>
        <w:tc>
          <w:tcPr>
            <w:tcW w:w="1699" w:type="dxa"/>
            <w:tcBorders>
              <w:top w:val="single" w:sz="6" w:space="0" w:color="auto"/>
              <w:left w:val="single" w:sz="6" w:space="0" w:color="auto"/>
              <w:bottom w:val="single" w:sz="6" w:space="0" w:color="auto"/>
              <w:right w:val="single" w:sz="6" w:space="0" w:color="auto"/>
            </w:tcBorders>
          </w:tcPr>
          <w:p w14:paraId="7F0466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9,20 9,54</w:t>
            </w:r>
          </w:p>
        </w:tc>
        <w:tc>
          <w:tcPr>
            <w:tcW w:w="1382" w:type="dxa"/>
            <w:tcBorders>
              <w:top w:val="single" w:sz="6" w:space="0" w:color="auto"/>
              <w:left w:val="single" w:sz="6" w:space="0" w:color="auto"/>
              <w:bottom w:val="single" w:sz="6" w:space="0" w:color="auto"/>
              <w:right w:val="single" w:sz="6" w:space="0" w:color="auto"/>
            </w:tcBorders>
          </w:tcPr>
          <w:p w14:paraId="66EDC0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15,6 29,8</w:t>
            </w:r>
          </w:p>
        </w:tc>
      </w:tr>
    </w:tbl>
    <w:p w14:paraId="1133B5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 данные отсутствуют</w:t>
      </w:r>
    </w:p>
    <w:p w14:paraId="07D841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 осколочно-трассирующего</w:t>
      </w:r>
    </w:p>
    <w:p w14:paraId="0E4A79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3173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 марта 1944 г. по 1945 г. было выпущено 16199 танков Т-34-85 обр. 1944 года, причем танк был командирским. Серийное производстве машины продояжалось до 1947 г. (10703).</w:t>
      </w:r>
    </w:p>
    <w:p w14:paraId="363207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6244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завод 183 в Нижнем Тагиле начал выпуск Т-34-85 с ЗИС-С-53 (3547).</w:t>
      </w:r>
    </w:p>
    <w:p w14:paraId="2CDC54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ABE4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на Т-34-85 пушку Д-5Т заменили на ЗИС-С-53 (1031,32).</w:t>
      </w:r>
    </w:p>
    <w:p w14:paraId="2C5897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AD36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марта 1944 начался выпуск танковых 85-мм пушек С-53 в пуско-наладочном режиме, а с мая - в потоке. Соответственно с марта Т-34-85 с С-53 начал выпускать нижнетагильский завод 183, а потом и омский 174 и 112 Красное Сормово - наряду с машинами с Д-5Т (4390).</w:t>
      </w:r>
    </w:p>
    <w:p w14:paraId="590339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C5B5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года прекратили выпуск Т-34 на ЧКЗ (3862).</w:t>
      </w:r>
    </w:p>
    <w:p w14:paraId="1AC02B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43AF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на заводе N 183 начался серийный выпуск Т-34-85. Затем их стал собирать и завод №174 (в 1944 г. "тридцатьчетверку" выпускали эти три завода, так как СТЗ после освобождения Сталинграда не вернулся к производству танков, УЗТМ выпускал только СУ на базе Т-34, а ЧКЗ полностью сосредоточил свои усилия на выпуске тяжелых танков ИС-2 и СУ на их базе - ИСУ-152 и ИСУ-122). Наблюдались некоторые различия по заводам: на некоторых машинах применялись штампованные катки или литые с развитым оребрением, но уже с обрезинкой ("напряженка" с резиной, благодаря поставкам из США уменьшилась). Башни несколько отличались формой, числом и местом размещения на их крышах бронеколпаков вентиляторов, поручнями и т.д (3905).</w:t>
      </w:r>
    </w:p>
    <w:p w14:paraId="14A3A2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A72D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года пушка ЗИС-С-53 ("С" - Савин) заменила Д-5Т Петрова на сборочных линиях завода "Красное Сормово" и после ее установки новый танк получил обозначение Т-34/85 образца 1944 года. Боевая масса новой машины возросла до 32 тонн. Бронирование - 90...75 мм, удельное давление на грунт - 0,85 кг/см2. Вооружение - пушка ЗИС-С-53 с длиной ствола 54,6 калибра и два пулемета ДТМ. Угол возвышения орудия + 20°, склонения -5°, максимальная скорость поворота башни - 17 град/сек (3862).</w:t>
      </w:r>
    </w:p>
    <w:p w14:paraId="7C8DAA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некоторое увеличение массы, маневренные характеристики танка остались на достаточно высоком уровне. Одно из наиболее существенных преимуществ Т-34/85 заключалось в том, что создание этой более мощной боевой машины, способной противостоять новому поколению немецких танков, не отразилось на темпах и количестве выпускаемых в Советском Союзе танков. Совершенство основной конструкции танка и заложенные в ней технические резервы давали советским танковым заводам огромные преимущества в том, что касалось количества выпускаемых боевых машин (3862).</w:t>
      </w:r>
    </w:p>
    <w:p w14:paraId="61D912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новой башни, Т-34/85 образца 1943 года практически не отличался от Т-34/76 модели 1943 года, на базе которого он был построен. Радиостанция по-прежнему размещалась в правой передней части корпуса, на башню устанавливали перископы ПТК-5 и только на некоторых машинах стояли перископы нового образца МК-4 (3862).</w:t>
      </w:r>
    </w:p>
    <w:p w14:paraId="5F9FE6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со временем ряд изменений все же ввели. На ранних Т-34/85 командирская башенка располагалась примерно посередине крыши башни. Хотя такое конструктивное решение позволило получить большой свободный объем в задней части башни, оно однако вынуждало заряжающего сидеть буквально на коленях командира танка (3862).</w:t>
      </w:r>
    </w:p>
    <w:p w14:paraId="144823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8DD0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года начали сходить с конвейера Уральского танкового завода Т-34-85, принятые на вооружение 15 декабря 1943 года (9154).</w:t>
      </w:r>
    </w:p>
    <w:p w14:paraId="1186CB9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B3CA7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марта 1944 г. завод № 9 перешел на производство пушек Д-25 с клиновым затвором (10703).</w:t>
      </w:r>
    </w:p>
    <w:p w14:paraId="60E4B0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4C31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по заданию НКТП заводом № 38 было начато проек</w:t>
      </w:r>
      <w:r w:rsidRPr="00070ADE">
        <w:rPr>
          <w:rFonts w:ascii="Times New Roman" w:hAnsi="Times New Roman"/>
          <w:color w:val="000000" w:themeColor="text1"/>
          <w:sz w:val="16"/>
          <w:szCs w:val="16"/>
        </w:rPr>
        <w:softHyphen/>
        <w:t>тирование и изготовление опытного образца самоходной установки, во</w:t>
      </w:r>
      <w:r w:rsidRPr="00070ADE">
        <w:rPr>
          <w:rFonts w:ascii="Times New Roman" w:hAnsi="Times New Roman"/>
          <w:color w:val="000000" w:themeColor="text1"/>
          <w:sz w:val="16"/>
          <w:szCs w:val="16"/>
        </w:rPr>
        <w:softHyphen/>
        <w:t>оруженного 85-мм пушкой ЗИС-С-53. В июне того же года был изготов</w:t>
      </w:r>
      <w:r w:rsidRPr="00070ADE">
        <w:rPr>
          <w:rFonts w:ascii="Times New Roman" w:hAnsi="Times New Roman"/>
          <w:color w:val="000000" w:themeColor="text1"/>
          <w:sz w:val="16"/>
          <w:szCs w:val="16"/>
        </w:rPr>
        <w:softHyphen/>
        <w:t>лен опытный образец установки, но в связи с передислокацией завода в Харьков на территорию бывшего завода № 183, испытания машины не были закончены и дальнейшие работы прекращены (10703).</w:t>
      </w:r>
    </w:p>
    <w:p w14:paraId="46195F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664D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года в Нижнем Тагиле изготовили несколько эталонных образцов N-44, но производство нового танка было решено начать на прежнем Харьковском заводе (приказ ГКО от 18 июля 1944 г.) (3905).</w:t>
      </w:r>
    </w:p>
    <w:p w14:paraId="2DA682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DDCB3F" w14:textId="77777777" w:rsidR="00137373" w:rsidRPr="00070ADE" w:rsidRDefault="00137373" w:rsidP="00B56F90">
      <w:pPr>
        <w:pStyle w:val="a3"/>
        <w:rPr>
          <w:color w:val="000000" w:themeColor="text1"/>
          <w:lang w:val="ru-RU"/>
        </w:rPr>
      </w:pPr>
      <w:r w:rsidRPr="00070ADE">
        <w:rPr>
          <w:color w:val="000000" w:themeColor="text1"/>
          <w:lang w:val="ru-RU"/>
        </w:rPr>
        <w:t>В марте 1944 года начальник ГБТУ генерал- лейтенант Б. Г. Вершинин при обсуждении проекта постановления о производстве Т-44 на заводе № 183 занял жесткую позицию (Главное автобронетанковое управление. Люди, события, факты в документах - 1943-1944 гг. С. 667-670). Он ни в коем случае не соглашался на неизбежное при освоении нового танка временное сокращение производства (НКТП планировал, что по этой причине будет изготовлено на 475 танков меньше). Вершинин обращал внимание на то, что производство Т-34 сворачивается ещё и на Кировском заводе, что приведёт к падению общего производства этого танка в 1944 году на 1105 штук. Кроме того, ГБТУ опасалось потенциальной нехватки запчастей в случае сворачивания производства танка на заводе № 183, так как другие заводы не смогли бы покрыть потребности танковых войск. В целом Вершинин не был против освоения нового танка, но не желал ни в малейшей степени поступиться ради этого объёмами производства. Он на основании каких-то своих данных составлял собственные графики, в которых освоение Т-44 не приводило к падению производства. Если бы главой наркомата был всё ещё И. М. Зальцман, авантюрист по натуре, то он, возможно, включился бы в эту игру с ГБТУ и принял их условия, рассчитывая потом как-нибудь выкрутиться. Но В. А. Малышев не был человеком, который по своей собственной воле берёт на себя невыполнимые обязательства. Кроме того, возможно, свою роль в судьбе танка сыграли неудачные мартовские испытания, после которых комиссия под председательством Е. А. Кульчицкого не рекомендовала танк к принятию на вооружение до устранения обнаруженных дефектов. Следовательно, начало производства танка неизбежно откладывалось (12290).</w:t>
      </w:r>
    </w:p>
    <w:p w14:paraId="42CB1F3B" w14:textId="77777777" w:rsidR="00137373" w:rsidRPr="00070ADE" w:rsidRDefault="00137373" w:rsidP="00B56F90">
      <w:pPr>
        <w:pStyle w:val="a3"/>
        <w:rPr>
          <w:color w:val="000000" w:themeColor="text1"/>
          <w:lang w:val="ru-RU"/>
        </w:rPr>
      </w:pPr>
    </w:p>
    <w:p w14:paraId="0579F12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марту 1944 г. новый средний танк Т-44, казалось бы, обрел тот внешний вид, который отвечал всем чаяниям. Третий образец, вооруженный вместо 122-мм Д-25-44 85-мм пушкой С-53 и получивший улучшенную трансмиссию, про</w:t>
      </w:r>
      <w:r w:rsidRPr="00070ADE">
        <w:rPr>
          <w:rFonts w:ascii="Times New Roman" w:hAnsi="Times New Roman"/>
          <w:color w:val="000000" w:themeColor="text1"/>
          <w:sz w:val="16"/>
          <w:szCs w:val="16"/>
        </w:rPr>
        <w:softHyphen/>
        <w:t>шел весь цикл испытаний, которые увенчались бы полным успехом, не сломайся в самом конце их двигатель В-2ИС.</w:t>
      </w:r>
    </w:p>
    <w:p w14:paraId="322438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Т-44 были отремонтированы и с апреля по август проходили «огонь, воду и медные трубы» на полигонах. Производители и конструкторы внимательно изучали их, пытаясь еще более удешевить конструкцию и улучшить на</w:t>
      </w:r>
      <w:r w:rsidRPr="00070ADE">
        <w:rPr>
          <w:rFonts w:ascii="Times New Roman" w:hAnsi="Times New Roman"/>
          <w:color w:val="000000" w:themeColor="text1"/>
          <w:sz w:val="16"/>
          <w:szCs w:val="16"/>
        </w:rPr>
        <w:softHyphen/>
        <w:t>дежность работы агрегатов. Запланированные на май 1944 г. изготовление и испытание «улучшенного» танка Т-44А с пушкой С-53 и Т-44-100 с пушкой Д-10 не состоялись по причине отсутствия затребованных у Кировского завода ди</w:t>
      </w:r>
      <w:r w:rsidRPr="00070ADE">
        <w:rPr>
          <w:rFonts w:ascii="Times New Roman" w:hAnsi="Times New Roman"/>
          <w:color w:val="000000" w:themeColor="text1"/>
          <w:sz w:val="16"/>
          <w:szCs w:val="16"/>
        </w:rPr>
        <w:softHyphen/>
        <w:t>зелей и работ по постановке на УВЗ валового выпуска Т-34-85. В июне 1944 г. были изготовлены два эталонных экземпляра Т-44 с двигателем В-2-34М и пушками С-53, но эти танки в основном повторяли конструкцию февральской машины, отличаясь от нее в некоторых деталях (11135).</w:t>
      </w:r>
    </w:p>
    <w:p w14:paraId="3299A6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928873" w14:textId="77777777" w:rsidR="008E2CE5" w:rsidRPr="00070ADE" w:rsidRDefault="008E2CE5" w:rsidP="00B56F90">
      <w:pPr>
        <w:pStyle w:val="ae"/>
        <w:spacing w:before="0" w:after="0"/>
        <w:jc w:val="both"/>
        <w:textAlignment w:val="baseline"/>
        <w:rPr>
          <w:color w:val="000000" w:themeColor="text1"/>
          <w:sz w:val="16"/>
          <w:szCs w:val="16"/>
        </w:rPr>
      </w:pPr>
      <w:r w:rsidRPr="00070ADE">
        <w:rPr>
          <w:color w:val="000000" w:themeColor="text1"/>
          <w:sz w:val="16"/>
          <w:szCs w:val="16"/>
        </w:rPr>
        <w:t>В марте 1944 года наиболее заметным изменением на СУ-85 стали укороченные поручни на бортах рубки. Тогда же произошло смещение пистолетного порта в правом борту. 20 февраля 1944 года появились новые петли люка под панораму. В марте 1944 года кромки под амбразуру орудийной установки стали подрезать, а в отверстиях под пистолетные порты появились фаски. С января 1944 года изменилась конструкция подпятника орудийной установки, а в феврале был переделан кронштейн поворотного механизма. Также в 1-м квартале 1944 года сиденье наводчика стало регулироваться по высоте — из войск поступало много нареканий на отсутствие такой возможности. Ближе к концу лета 1944 года бандажи опорных катков лишились перфорации — это было последнее изменение в конструкции СУ-85. Официально с перфорацией распрощались в конце апреля 1944 года, но ставить опорные катки без отверстий стали только после выработки имевшегося задела (17719).</w:t>
      </w:r>
    </w:p>
    <w:p w14:paraId="4F899059" w14:textId="77777777" w:rsidR="008E2CE5" w:rsidRPr="00070ADE" w:rsidRDefault="008E2CE5" w:rsidP="00B56F90">
      <w:pPr>
        <w:spacing w:after="0" w:line="240" w:lineRule="auto"/>
        <w:jc w:val="both"/>
        <w:rPr>
          <w:rFonts w:ascii="Times New Roman" w:eastAsia="Times New Roman" w:hAnsi="Times New Roman"/>
          <w:color w:val="000000" w:themeColor="text1"/>
          <w:sz w:val="16"/>
          <w:szCs w:val="16"/>
          <w:lang w:eastAsia="ru-RU"/>
        </w:rPr>
      </w:pPr>
    </w:p>
    <w:p w14:paraId="26E137E7" w14:textId="77777777" w:rsidR="00A01DE5" w:rsidRPr="00070ADE" w:rsidRDefault="00A01DE5" w:rsidP="00B56F90">
      <w:pPr>
        <w:spacing w:after="0" w:line="240" w:lineRule="auto"/>
        <w:jc w:val="both"/>
        <w:rPr>
          <w:rStyle w:val="670"/>
          <w:rFonts w:ascii="Times New Roman" w:hAnsi="Times New Roman" w:cs="Times New Roman"/>
          <w:color w:val="000000" w:themeColor="text1"/>
          <w:sz w:val="16"/>
          <w:szCs w:val="16"/>
        </w:rPr>
      </w:pPr>
      <w:bookmarkStart w:id="42" w:name="bookmark78"/>
      <w:r w:rsidRPr="00070ADE">
        <w:rPr>
          <w:rStyle w:val="670"/>
          <w:rFonts w:ascii="Times New Roman" w:hAnsi="Times New Roman" w:cs="Times New Roman"/>
          <w:color w:val="000000" w:themeColor="text1"/>
          <w:sz w:val="16"/>
          <w:szCs w:val="16"/>
        </w:rPr>
        <w:t>В марте 1944 года кромки под амбразуру ору</w:t>
      </w:r>
      <w:r w:rsidRPr="00070ADE">
        <w:rPr>
          <w:rStyle w:val="670"/>
          <w:rFonts w:ascii="Times New Roman" w:hAnsi="Times New Roman" w:cs="Times New Roman"/>
          <w:color w:val="000000" w:themeColor="text1"/>
          <w:sz w:val="16"/>
          <w:szCs w:val="16"/>
        </w:rPr>
        <w:softHyphen/>
        <w:t>дийной установки стали подрезать, а в отвер</w:t>
      </w:r>
      <w:r w:rsidRPr="00070ADE">
        <w:rPr>
          <w:rStyle w:val="670"/>
          <w:rFonts w:ascii="Times New Roman" w:hAnsi="Times New Roman" w:cs="Times New Roman"/>
          <w:color w:val="000000" w:themeColor="text1"/>
          <w:sz w:val="16"/>
          <w:szCs w:val="16"/>
        </w:rPr>
        <w:softHyphen/>
        <w:t>стиях под пистолетные порты появились фаски. Также с 10 марта улучшили конструк</w:t>
      </w:r>
      <w:r w:rsidRPr="00070ADE">
        <w:rPr>
          <w:rStyle w:val="670"/>
          <w:rFonts w:ascii="Times New Roman" w:hAnsi="Times New Roman" w:cs="Times New Roman"/>
          <w:color w:val="000000" w:themeColor="text1"/>
          <w:sz w:val="16"/>
          <w:szCs w:val="16"/>
        </w:rPr>
        <w:softHyphen/>
        <w:t>цию стопора люка механика-водителя. Более важным изменением стал переход от СУ-85 к СУ-85А. Причиной тому стало прекращение выпуска Д5-С-85. Помимо того, что выпуск сразу двух артиллерийских систем был лишен смысла, на заводе №9 наращивалось производство орудий Д-25 для тяжелых тан</w:t>
      </w:r>
      <w:r w:rsidRPr="00070ADE">
        <w:rPr>
          <w:rStyle w:val="670"/>
          <w:rFonts w:ascii="Times New Roman" w:hAnsi="Times New Roman" w:cs="Times New Roman"/>
          <w:color w:val="000000" w:themeColor="text1"/>
          <w:sz w:val="16"/>
          <w:szCs w:val="16"/>
        </w:rPr>
        <w:softHyphen/>
        <w:t>ков ИС-2. В марте УЗТМ получил 102 Д-5С85 и 89 Д-5С85А. При этом из 191 машины, сдан</w:t>
      </w:r>
      <w:r w:rsidRPr="00070ADE">
        <w:rPr>
          <w:rStyle w:val="670"/>
          <w:rFonts w:ascii="Times New Roman" w:hAnsi="Times New Roman" w:cs="Times New Roman"/>
          <w:color w:val="000000" w:themeColor="text1"/>
          <w:sz w:val="16"/>
          <w:szCs w:val="16"/>
        </w:rPr>
        <w:softHyphen/>
        <w:t>ных в марте 1944 года, 112 являлись СУ-85, а 79 - СУ-85А. Находящаяся в польском Джонуве самоходная установка с серийным номе</w:t>
      </w:r>
      <w:r w:rsidRPr="00070ADE">
        <w:rPr>
          <w:rStyle w:val="670"/>
          <w:rFonts w:ascii="Times New Roman" w:hAnsi="Times New Roman" w:cs="Times New Roman"/>
          <w:color w:val="000000" w:themeColor="text1"/>
          <w:sz w:val="16"/>
          <w:szCs w:val="16"/>
        </w:rPr>
        <w:softHyphen/>
        <w:t>ром СУ403462А как раз является СУ-85А. Из 200 сданных в апреле СУ-85 175 штук относи</w:t>
      </w:r>
      <w:r w:rsidRPr="00070ADE">
        <w:rPr>
          <w:rStyle w:val="670"/>
          <w:rFonts w:ascii="Times New Roman" w:hAnsi="Times New Roman" w:cs="Times New Roman"/>
          <w:color w:val="000000" w:themeColor="text1"/>
          <w:sz w:val="16"/>
          <w:szCs w:val="16"/>
        </w:rPr>
        <w:softHyphen/>
        <w:t>лись к версии СУ-85А, а уже с мая на УЗТМ выпускались исключительно СУ-85А. Что же касается других изменений, то они в апреле- мае 1944 года свелись к внутренним улучше</w:t>
      </w:r>
      <w:r w:rsidRPr="00070ADE">
        <w:rPr>
          <w:rStyle w:val="670"/>
          <w:rFonts w:ascii="Times New Roman" w:hAnsi="Times New Roman" w:cs="Times New Roman"/>
          <w:color w:val="000000" w:themeColor="text1"/>
          <w:sz w:val="16"/>
          <w:szCs w:val="16"/>
        </w:rPr>
        <w:softHyphen/>
        <w:t>ниям. Также на некоторых машинах выпуска весны 1944 года можно видеть фары с удли</w:t>
      </w:r>
      <w:r w:rsidRPr="00070ADE">
        <w:rPr>
          <w:rStyle w:val="670"/>
          <w:rFonts w:ascii="Times New Roman" w:hAnsi="Times New Roman" w:cs="Times New Roman"/>
          <w:color w:val="000000" w:themeColor="text1"/>
          <w:sz w:val="16"/>
          <w:szCs w:val="16"/>
        </w:rPr>
        <w:softHyphen/>
        <w:t>ненным корпусом и меньшего диаметра (192 мм вместо 230,6 у полусферических), по типу тех, что ставились на Т-34-85 выпуска завода №183. В июне 1944 г. ввели, наконец, элек</w:t>
      </w:r>
      <w:r w:rsidRPr="00070ADE">
        <w:rPr>
          <w:rStyle w:val="670"/>
          <w:rFonts w:ascii="Times New Roman" w:hAnsi="Times New Roman" w:cs="Times New Roman"/>
          <w:color w:val="000000" w:themeColor="text1"/>
          <w:sz w:val="16"/>
          <w:szCs w:val="16"/>
        </w:rPr>
        <w:softHyphen/>
        <w:t>троспуск орудия - со 117-й машины. Последним же внешним изменением СУ- 85А стало долгожданное появление вытяж</w:t>
      </w:r>
      <w:r w:rsidRPr="00070ADE">
        <w:rPr>
          <w:rStyle w:val="670"/>
          <w:rFonts w:ascii="Times New Roman" w:hAnsi="Times New Roman" w:cs="Times New Roman"/>
          <w:color w:val="000000" w:themeColor="text1"/>
          <w:sz w:val="16"/>
          <w:szCs w:val="16"/>
        </w:rPr>
        <w:softHyphen/>
        <w:t>ного вентилятора на крыше рубки. Нередко можно слышать версию о том, что он был на самых ранних машинах, но на самом деле их ставили, наоборот, на СУ-85А самого поздне</w:t>
      </w:r>
      <w:r w:rsidRPr="00070ADE">
        <w:rPr>
          <w:rStyle w:val="670"/>
          <w:rFonts w:ascii="Times New Roman" w:hAnsi="Times New Roman" w:cs="Times New Roman"/>
          <w:color w:val="000000" w:themeColor="text1"/>
          <w:sz w:val="16"/>
          <w:szCs w:val="16"/>
        </w:rPr>
        <w:softHyphen/>
        <w:t>го периода выпуска. Когда именно ввели вентилятор, неизвестно, можно лишь гово</w:t>
      </w:r>
      <w:r w:rsidRPr="00070ADE">
        <w:rPr>
          <w:rStyle w:val="670"/>
          <w:rFonts w:ascii="Times New Roman" w:hAnsi="Times New Roman" w:cs="Times New Roman"/>
          <w:color w:val="000000" w:themeColor="text1"/>
          <w:sz w:val="16"/>
          <w:szCs w:val="16"/>
        </w:rPr>
        <w:softHyphen/>
        <w:t>рить о том, что произошло это летом 1944 года. Попадаются машины с вытяжным вен</w:t>
      </w:r>
      <w:r w:rsidRPr="00070ADE">
        <w:rPr>
          <w:rStyle w:val="670"/>
          <w:rFonts w:ascii="Times New Roman" w:hAnsi="Times New Roman" w:cs="Times New Roman"/>
          <w:color w:val="000000" w:themeColor="text1"/>
          <w:sz w:val="16"/>
          <w:szCs w:val="16"/>
        </w:rPr>
        <w:softHyphen/>
        <w:t>тилятором очень редко (19889).</w:t>
      </w:r>
    </w:p>
    <w:p w14:paraId="292A72E9" w14:textId="77777777" w:rsidR="00A01DE5" w:rsidRPr="00070ADE" w:rsidRDefault="00A01DE5" w:rsidP="00B56F90">
      <w:pPr>
        <w:spacing w:after="0" w:line="240" w:lineRule="auto"/>
        <w:jc w:val="both"/>
        <w:rPr>
          <w:rFonts w:ascii="Times New Roman" w:hAnsi="Times New Roman"/>
          <w:color w:val="000000" w:themeColor="text1"/>
          <w:sz w:val="16"/>
          <w:szCs w:val="16"/>
        </w:rPr>
      </w:pPr>
    </w:p>
    <w:bookmarkEnd w:id="42"/>
    <w:p w14:paraId="6B7387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марте 1944 г. СУ-100 Объект-138 прошел заводские и полигонные испытания на Гороховецком АНИОПе. По результатам испытаний в мае - июне 1944 г. был изготовлен второй опытный образец, который стал головным образцом серийного производства. Серийное производство было организовано на •УЗТМ с сентября 1944 г. по октябрь 1945 г. За время Великой Отечественной войны с сентября 1944 г. до 1 июня 1945 г. было выпущено 1560 самоходных установок, которые широко использовали в боях на заключительном этапе войны. Всего за время серийного производства выпустили 2495 самоходных установок СУ-100 (10703).</w:t>
      </w:r>
    </w:p>
    <w:p w14:paraId="4A2B3C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C072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вместе с СУ-100 с пушкой С-34 ЦАКБ испытывалась Cу-100 c пушкой Д-10С (3905).</w:t>
      </w:r>
    </w:p>
    <w:p w14:paraId="2CF3A0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6D08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года на АНИОП прошел полигонные испытания опытный образец самоходной гаубицы С-51, которая была разработана в ЦАКБ под руковод</w:t>
      </w:r>
      <w:r w:rsidRPr="00070ADE">
        <w:rPr>
          <w:rFonts w:ascii="Times New Roman" w:hAnsi="Times New Roman"/>
          <w:color w:val="000000" w:themeColor="text1"/>
          <w:sz w:val="16"/>
          <w:szCs w:val="16"/>
        </w:rPr>
        <w:softHyphen/>
        <w:t>ством В.Г. Грабина в 1943 г. и был рекомендован к принятию на вооружение. Однако на вооружение установка не прини</w:t>
      </w:r>
      <w:r w:rsidRPr="00070ADE">
        <w:rPr>
          <w:rFonts w:ascii="Times New Roman" w:hAnsi="Times New Roman"/>
          <w:color w:val="000000" w:themeColor="text1"/>
          <w:sz w:val="16"/>
          <w:szCs w:val="16"/>
        </w:rPr>
        <w:softHyphen/>
        <w:t>малась и в серийном производстве не состояла по причине прекраще</w:t>
      </w:r>
      <w:r w:rsidRPr="00070ADE">
        <w:rPr>
          <w:rFonts w:ascii="Times New Roman" w:hAnsi="Times New Roman"/>
          <w:color w:val="000000" w:themeColor="text1"/>
          <w:sz w:val="16"/>
          <w:szCs w:val="16"/>
        </w:rPr>
        <w:softHyphen/>
        <w:t>ния производства гаубиц Б-4 в начале 1942 г. Машина была создана на базе танка КВ-1С и имела компоновочную схему с кормовым расположением моторно-трансмиссионного отделе</w:t>
      </w:r>
      <w:r w:rsidRPr="00070ADE">
        <w:rPr>
          <w:rFonts w:ascii="Times New Roman" w:hAnsi="Times New Roman"/>
          <w:color w:val="000000" w:themeColor="text1"/>
          <w:sz w:val="16"/>
          <w:szCs w:val="16"/>
        </w:rPr>
        <w:softHyphen/>
        <w:t>ния и открытой установкой основного оружия в носовой части корпуса. Расчет (экипаж) установки состоял из десяти человек. В качестве основного оружия была использована качающаяся часть 203-мм гаубицы Б-4 обр. 1931 г. с поршневым затвором и баллистикой 203-мм гаубицы Б-4БМ. В связи с установкой орудия на новую само</w:t>
      </w:r>
      <w:r w:rsidRPr="00070ADE">
        <w:rPr>
          <w:rFonts w:ascii="Times New Roman" w:hAnsi="Times New Roman"/>
          <w:color w:val="000000" w:themeColor="text1"/>
          <w:sz w:val="16"/>
          <w:szCs w:val="16"/>
        </w:rPr>
        <w:softHyphen/>
        <w:t>ходную базу его конструкция существенных изменений не претерпела. В походном положении ствол гаубицы оттягивался назад. Высота ли</w:t>
      </w:r>
      <w:r w:rsidRPr="00070ADE">
        <w:rPr>
          <w:rFonts w:ascii="Times New Roman" w:hAnsi="Times New Roman"/>
          <w:color w:val="000000" w:themeColor="text1"/>
          <w:sz w:val="16"/>
          <w:szCs w:val="16"/>
        </w:rPr>
        <w:softHyphen/>
        <w:t>нии огня составляла 2795 мм. Стрельба велась только с места. Механиз</w:t>
      </w:r>
      <w:r w:rsidRPr="00070ADE">
        <w:rPr>
          <w:rFonts w:ascii="Times New Roman" w:hAnsi="Times New Roman"/>
          <w:color w:val="000000" w:themeColor="text1"/>
          <w:sz w:val="16"/>
          <w:szCs w:val="16"/>
        </w:rPr>
        <w:softHyphen/>
        <w:t>мы наводки (подъемный, приведения на заряжание и поворотный) сек</w:t>
      </w:r>
      <w:r w:rsidRPr="00070ADE">
        <w:rPr>
          <w:rFonts w:ascii="Times New Roman" w:hAnsi="Times New Roman"/>
          <w:color w:val="000000" w:themeColor="text1"/>
          <w:sz w:val="16"/>
          <w:szCs w:val="16"/>
        </w:rPr>
        <w:softHyphen/>
        <w:t>торного типа обеспечивали углы вертикальной наводки от 0 до +60° (10703).</w:t>
      </w:r>
    </w:p>
    <w:p w14:paraId="06FC63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77C7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марта 1944 г. вопросу усиления броневой защиты танка ИС было уделено самое пристальное внимание. Сотрудники НИИ-48 совместно с ОКБ опытного заво</w:t>
      </w:r>
      <w:r w:rsidRPr="00070ADE">
        <w:rPr>
          <w:rFonts w:ascii="Times New Roman" w:hAnsi="Times New Roman"/>
          <w:color w:val="000000" w:themeColor="text1"/>
          <w:sz w:val="16"/>
          <w:szCs w:val="16"/>
        </w:rPr>
        <w:softHyphen/>
        <w:t>да № 100 провели работы по теме № 27-44, посвященной улучшению защищенности танка ИС-122. В результате проведенных исследований было разработано четыре вари</w:t>
      </w:r>
      <w:r w:rsidRPr="00070ADE">
        <w:rPr>
          <w:rFonts w:ascii="Times New Roman" w:hAnsi="Times New Roman"/>
          <w:color w:val="000000" w:themeColor="text1"/>
          <w:sz w:val="16"/>
          <w:szCs w:val="16"/>
        </w:rPr>
        <w:softHyphen/>
        <w:t>анта усиления броневой защиты корпуса танка ИС.</w:t>
      </w:r>
    </w:p>
    <w:p w14:paraId="5D2561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Наиболее простым была закалка всех литых узлов на высокую твердость, но этот вариант смог лишь немного улучшить защиту танка от огня 75-мм пушки обр. 1940 г. с длиной ствола 43 и 48 калибров, но не был панацеей от бо</w:t>
      </w:r>
      <w:r w:rsidRPr="00070ADE">
        <w:rPr>
          <w:rFonts w:ascii="Times New Roman" w:hAnsi="Times New Roman"/>
          <w:color w:val="000000" w:themeColor="text1"/>
          <w:sz w:val="16"/>
          <w:szCs w:val="16"/>
        </w:rPr>
        <w:softHyphen/>
        <w:t>лее тяжелых снарядов калибра 88 мм и более.</w:t>
      </w:r>
    </w:p>
    <w:p w14:paraId="7E1C98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Лучшей защитой, по расчетам, обладал 4-й вариант НИИ-48, заключавшийся в разработке новой конструкции носового узла танка ИС, подобного носовому узлу танка Т-34, сваренного из катаных броневых листов толщиной 100-мм. Такая конструкция носа должна была держать 88-мм снаряд при курсовых углах ±30° даже выпущенный почти в упор. Предлагался также вариант корпуса со «спрям</w:t>
      </w:r>
      <w:r w:rsidRPr="00070ADE">
        <w:rPr>
          <w:rFonts w:ascii="Times New Roman" w:hAnsi="Times New Roman"/>
          <w:color w:val="000000" w:themeColor="text1"/>
          <w:sz w:val="16"/>
          <w:szCs w:val="16"/>
        </w:rPr>
        <w:softHyphen/>
        <w:t>ленным носом», в котором ступенчатая седлообразная носовая деталь заменялась такой же литой, но с наклонной площадкой и узкой наблюдательной щелью, закрытой бро</w:t>
      </w:r>
      <w:r w:rsidRPr="00070ADE">
        <w:rPr>
          <w:rFonts w:ascii="Times New Roman" w:hAnsi="Times New Roman"/>
          <w:color w:val="000000" w:themeColor="text1"/>
          <w:sz w:val="16"/>
          <w:szCs w:val="16"/>
        </w:rPr>
        <w:softHyphen/>
        <w:t>нестеклом, вместо люка-пробки. Но поскольку его стойкость ожидалась невысокой, то была расмотрена также комбинированная конструкция с литой верхней бронепли-той и приваренным к ней нижним листом из катаной брони.</w:t>
      </w:r>
    </w:p>
    <w:p w14:paraId="2A15E8EA" w14:textId="13D8076B"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Поскольку переделка не должна была привести к росту массы, то наиболее выгодным был признан последний ва</w:t>
      </w:r>
      <w:r w:rsidRPr="00070ADE">
        <w:rPr>
          <w:rFonts w:ascii="Times New Roman" w:hAnsi="Times New Roman"/>
          <w:color w:val="000000" w:themeColor="text1"/>
          <w:sz w:val="16"/>
          <w:szCs w:val="16"/>
        </w:rPr>
        <w:softHyphen/>
        <w:t>риант, так как он содержал и спрямленный нос, и катаный нижний лист прежней толщины, сопротивляемость кото</w:t>
      </w:r>
      <w:r w:rsidRPr="00070ADE">
        <w:rPr>
          <w:rFonts w:ascii="Times New Roman" w:hAnsi="Times New Roman"/>
          <w:color w:val="000000" w:themeColor="text1"/>
          <w:sz w:val="16"/>
          <w:szCs w:val="16"/>
        </w:rPr>
        <w:softHyphen/>
        <w:t>рого была в среднем на 10-15% выше, чем прежнего лито</w:t>
      </w:r>
      <w:r w:rsidRPr="00070ADE">
        <w:rPr>
          <w:rFonts w:ascii="Times New Roman" w:hAnsi="Times New Roman"/>
          <w:color w:val="000000" w:themeColor="text1"/>
          <w:sz w:val="16"/>
          <w:szCs w:val="16"/>
        </w:rPr>
        <w:softHyphen/>
        <w:t>го. Тем не менее остался и «переходной вариант» — цельнолитой носовой узел со спрямленным верхним листом. В нем, конечно, нижний лобовой лист оставался слабее, но его было решено усилить креплением запасных траков, для чего предусматривалась заводская установка специальных бонок. Броню подбашенной коробки планировалось уси</w:t>
      </w:r>
      <w:r w:rsidRPr="00070ADE">
        <w:rPr>
          <w:rFonts w:ascii="Times New Roman" w:hAnsi="Times New Roman"/>
          <w:color w:val="000000" w:themeColor="text1"/>
          <w:sz w:val="16"/>
          <w:szCs w:val="16"/>
        </w:rPr>
        <w:softHyphen/>
        <w:t>лить закалкой ее на высокую твердость.</w:t>
      </w:r>
    </w:p>
    <w:p w14:paraId="259524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200 должен был начать выпуск таких корпусов уже с 1 июня 1944 г., но лишь в середине месяца йервые се</w:t>
      </w:r>
      <w:r w:rsidRPr="00070ADE">
        <w:rPr>
          <w:rFonts w:ascii="Times New Roman" w:hAnsi="Times New Roman"/>
          <w:color w:val="000000" w:themeColor="text1"/>
          <w:sz w:val="16"/>
          <w:szCs w:val="16"/>
        </w:rPr>
        <w:softHyphen/>
        <w:t>рийные танки «ИС-2 обр. 1944 г.» с новой конструкцией носового узла («со спрямленным носом», «без излома», «без дырки во лбу») пошли на фронт. Причем поскольку они выпускались параллельно с корпусами старого типа, то окончательный переход состоялся лишь в середине июля.</w:t>
      </w:r>
    </w:p>
    <w:p w14:paraId="65B018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башней дело обстояло хуже. Несмотря на все попыт</w:t>
      </w:r>
      <w:r w:rsidRPr="00070ADE">
        <w:rPr>
          <w:rFonts w:ascii="Times New Roman" w:hAnsi="Times New Roman"/>
          <w:color w:val="000000" w:themeColor="text1"/>
          <w:sz w:val="16"/>
          <w:szCs w:val="16"/>
        </w:rPr>
        <w:softHyphen/>
        <w:t>ки усилить ее бронирование, сделать это ввиду большой массы артсистемы не представлялось возможным, так как всякое увеличение массы передней части башни приводи</w:t>
      </w:r>
      <w:r w:rsidRPr="00070ADE">
        <w:rPr>
          <w:rFonts w:ascii="Times New Roman" w:hAnsi="Times New Roman"/>
          <w:color w:val="000000" w:themeColor="text1"/>
          <w:sz w:val="16"/>
          <w:szCs w:val="16"/>
        </w:rPr>
        <w:softHyphen/>
        <w:t>ло к увеличению неуравновешенности ее на погоне и к не</w:t>
      </w:r>
      <w:r w:rsidRPr="00070ADE">
        <w:rPr>
          <w:rFonts w:ascii="Times New Roman" w:hAnsi="Times New Roman"/>
          <w:color w:val="000000" w:themeColor="text1"/>
          <w:sz w:val="16"/>
          <w:szCs w:val="16"/>
        </w:rPr>
        <w:softHyphen/>
        <w:t>допустимому росту усилия на рукоятке поворотного меха</w:t>
      </w:r>
      <w:r w:rsidRPr="00070ADE">
        <w:rPr>
          <w:rFonts w:ascii="Times New Roman" w:hAnsi="Times New Roman"/>
          <w:color w:val="000000" w:themeColor="text1"/>
          <w:sz w:val="16"/>
          <w:szCs w:val="16"/>
        </w:rPr>
        <w:softHyphen/>
        <w:t>низма. Требовалась принципиально новая башня, и в сен</w:t>
      </w:r>
      <w:r w:rsidRPr="00070ADE">
        <w:rPr>
          <w:rFonts w:ascii="Times New Roman" w:hAnsi="Times New Roman"/>
          <w:color w:val="000000" w:themeColor="text1"/>
          <w:sz w:val="16"/>
          <w:szCs w:val="16"/>
        </w:rPr>
        <w:softHyphen/>
        <w:t>тябре она была разработана, но поскольку уже рассматри</w:t>
      </w:r>
      <w:r w:rsidRPr="00070ADE">
        <w:rPr>
          <w:rFonts w:ascii="Times New Roman" w:hAnsi="Times New Roman"/>
          <w:color w:val="000000" w:themeColor="text1"/>
          <w:sz w:val="16"/>
          <w:szCs w:val="16"/>
        </w:rPr>
        <w:softHyphen/>
        <w:t>вался вопрос о переходе на выпуск нового танка, указан</w:t>
      </w:r>
      <w:r w:rsidRPr="00070ADE">
        <w:rPr>
          <w:rFonts w:ascii="Times New Roman" w:hAnsi="Times New Roman"/>
          <w:color w:val="000000" w:themeColor="text1"/>
          <w:sz w:val="16"/>
          <w:szCs w:val="16"/>
        </w:rPr>
        <w:softHyphen/>
        <w:t>ную башню осваивать в серии не стали... (11135).</w:t>
      </w:r>
    </w:p>
    <w:p w14:paraId="2FB4EA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A0DB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мае и сентябре 1944 г. испытания стрельбой Су-76 с 85мм пушкой показали, что реакция отдачи на шасси чрезмерна. Машина испытывает значительное раскачивание корпуса, затрудняющее прицеливание при ведении огня по движу</w:t>
      </w:r>
      <w:r w:rsidRPr="00070ADE">
        <w:rPr>
          <w:rFonts w:ascii="Times New Roman" w:hAnsi="Times New Roman"/>
          <w:color w:val="000000" w:themeColor="text1"/>
          <w:sz w:val="16"/>
          <w:szCs w:val="16"/>
        </w:rPr>
        <w:softHyphen/>
        <w:t>щейся цели. Для уменьшения раскачивания требовалось снизить реакцию отдачи, по крайней мере, на треть. "Вскоре требования на такое орудие были выданы ОКБ завода № 92. Руководил работами по новому орудию А.Са</w:t>
      </w:r>
      <w:r w:rsidRPr="00070ADE">
        <w:rPr>
          <w:rFonts w:ascii="Times New Roman" w:hAnsi="Times New Roman"/>
          <w:color w:val="000000" w:themeColor="text1"/>
          <w:sz w:val="16"/>
          <w:szCs w:val="16"/>
        </w:rPr>
        <w:softHyphen/>
        <w:t>вин. Причем для упрощения массового выпуска конструк</w:t>
      </w:r>
      <w:r w:rsidRPr="00070ADE">
        <w:rPr>
          <w:rFonts w:ascii="Times New Roman" w:hAnsi="Times New Roman"/>
          <w:color w:val="000000" w:themeColor="text1"/>
          <w:sz w:val="16"/>
          <w:szCs w:val="16"/>
        </w:rPr>
        <w:softHyphen/>
        <w:t>торы заимствовали большую часть механизмов пушки от ЗИС-С-53, серийно производимой здесь для Т-34. В нояб</w:t>
      </w:r>
      <w:r w:rsidRPr="00070ADE">
        <w:rPr>
          <w:rFonts w:ascii="Times New Roman" w:hAnsi="Times New Roman"/>
          <w:color w:val="000000" w:themeColor="text1"/>
          <w:sz w:val="16"/>
          <w:szCs w:val="16"/>
        </w:rPr>
        <w:softHyphen/>
        <w:t>ре 1944 г. пушка, получившая индекс ЛБ-2, была готова, но только в январе 1945 г. военные допустили ее для испыта</w:t>
      </w:r>
      <w:r w:rsidRPr="00070ADE">
        <w:rPr>
          <w:rFonts w:ascii="Times New Roman" w:hAnsi="Times New Roman"/>
          <w:color w:val="000000" w:themeColor="text1"/>
          <w:sz w:val="16"/>
          <w:szCs w:val="16"/>
        </w:rPr>
        <w:softHyphen/>
        <w:t>ний. Она отличалась от С-53 немного облегченной конст</w:t>
      </w:r>
      <w:r w:rsidRPr="00070ADE">
        <w:rPr>
          <w:rFonts w:ascii="Times New Roman" w:hAnsi="Times New Roman"/>
          <w:color w:val="000000" w:themeColor="text1"/>
          <w:sz w:val="16"/>
          <w:szCs w:val="16"/>
        </w:rPr>
        <w:softHyphen/>
        <w:t>рукцией и двухкамерным дульным тормозом (11417).</w:t>
      </w:r>
    </w:p>
    <w:p w14:paraId="1819F7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1A15FEC" w14:textId="77777777" w:rsidR="00B06917" w:rsidRPr="00C94B78" w:rsidRDefault="00B0691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марте 1944 года танк КВ-1 с серийным номером №11306 прибыл на артиллерийский полигон в Лулворте и принял участие в параде бронетанковой техники. В брошюре приводилась краткая характеристика машины: вес 47 тонн, максимальная скорость 18 миль (29 км) в час, 75-мм лобовое бронирование с 20-мм экраном, 75-мм борта. Орудие имело начальную скорость снаряда 2231 фут (680 метров) в секунду, но бронепробиваемость не приводилась. Прибыв в Лулворт, машина осталась там надолго. Предстояло провести ограниченные испытания стрельбой, а также оценить обзорность и удобства наведения оружия.</w:t>
      </w:r>
    </w:p>
    <w:p w14:paraId="06E9C897" w14:textId="77777777" w:rsidR="00B06917" w:rsidRPr="00C94B78" w:rsidRDefault="00B0691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Испытания начались в марте 1944 года и затянулись до июля. С отчётом об испытаниях тоже не спешили: он пошёл в печать только в октябре, но уже в ноябре публикацию приостановили в ожидании дополнительных испытаний. Танк к этому времени отправили в ремонт в Чобхэм. В декабре и январе ситуация оставалась прежней, а в феврале 1945 года тема КВ-1 из сводок полигона исчезла. Испытания для оформления скорректированного отчёта так и не провели — возможно, интерес к танку попросту угас. Делегация, посетившая фронт ещё в январе 1944 года, отметила, что КВ в строевых частях очень мало, а самоходку на его шасси видели лишь однажды.</w:t>
      </w:r>
    </w:p>
    <w:p w14:paraId="51C0F2E4" w14:textId="77777777" w:rsidR="00B06917" w:rsidRPr="00C94B78" w:rsidRDefault="00B0691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Изучение машины всё-таки подняло несколько вопросов, которые были заданы советской делегации 6 января 1944 года. Британские танкисты поинтересовались целесообразностью размещения топливных баков в боевом отделении, на что получили довольно грубый ответ в стиле «поищите лучшее место для них сами». На вопрос об отсутствии приборов для стрельбы с закрытых позиций советские танкисты ответили, что так у них танки не используют. Тем не менее, британцы всё равно интересовались способностью «КВ с 6-дюймовой гаубицей» вести стрельбу с закрытых позиций — к 1944 году, в отличие от 76-мм пушки, такое орудие всё ещё считалась современным вооружением тяжёлого танка (25532).</w:t>
      </w:r>
    </w:p>
    <w:p w14:paraId="7232EAD8" w14:textId="77777777" w:rsidR="00B06917" w:rsidRPr="00C94B78" w:rsidRDefault="00B06917" w:rsidP="00B56F90">
      <w:pPr>
        <w:spacing w:after="0" w:line="240" w:lineRule="auto"/>
        <w:jc w:val="both"/>
        <w:rPr>
          <w:rFonts w:ascii="Times New Roman" w:hAnsi="Times New Roman"/>
          <w:color w:val="0070C0"/>
          <w:sz w:val="16"/>
          <w:szCs w:val="16"/>
        </w:rPr>
      </w:pPr>
    </w:p>
    <w:p w14:paraId="373841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в КБ Горьконского автозавода был создан Бронеавтомобиль БА-64Б с 7,62-мм пулеметом СГ-43. Опытный образец бронеав</w:t>
      </w:r>
      <w:r w:rsidRPr="00070ADE">
        <w:rPr>
          <w:rFonts w:ascii="Times New Roman" w:hAnsi="Times New Roman"/>
          <w:color w:val="000000" w:themeColor="text1"/>
          <w:sz w:val="16"/>
          <w:szCs w:val="16"/>
        </w:rPr>
        <w:softHyphen/>
        <w:t>томобиля прошел испытания на НИ ВТ полигоне в апреле того же года. На вооружение не принимался и и серийном производстве не состоял (10703).</w:t>
      </w:r>
    </w:p>
    <w:p w14:paraId="043532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DB52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разрабатывался, но не был внедрен облегченный передний карданный вал на ГАЗ-67 (9638).</w:t>
      </w:r>
    </w:p>
    <w:p w14:paraId="03FF14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BD1D741" w14:textId="77777777" w:rsidR="006B6140" w:rsidRPr="00070ADE" w:rsidRDefault="006B614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года в НКХП прошло специальное совещание руководящих работников цехов снаряжения химбоеприпасов. Выявилось много негативных фактов. Представители заводов говорили, что большой процент операций по наливу ОВ в боеприпасы выполняется вручную, что из-за гонки за планом на производстве сохраняется крайне низкий уровень организации труда, что разливы ОВ в цехах по той же причине стали чуть ли не нормой, и это оказывает «крайне отрицательное влияние на санитарное состояние снаряжательных цехов». Но даже после этого очередное постановление ГКО СССР от 18 января 1945 года о безусловном выполнении плана поставок химбоеприпасов на склады выполнялось очень трудно (18649).</w:t>
      </w:r>
    </w:p>
    <w:p w14:paraId="6C3BC3AF" w14:textId="77777777" w:rsidR="006B6140" w:rsidRPr="00070ADE" w:rsidRDefault="006B6140" w:rsidP="00B56F90">
      <w:pPr>
        <w:spacing w:after="0" w:line="240" w:lineRule="auto"/>
        <w:jc w:val="both"/>
        <w:rPr>
          <w:rFonts w:ascii="Times New Roman" w:hAnsi="Times New Roman"/>
          <w:color w:val="000000" w:themeColor="text1"/>
          <w:sz w:val="16"/>
          <w:szCs w:val="16"/>
        </w:rPr>
      </w:pPr>
    </w:p>
    <w:p w14:paraId="4BCF0024" w14:textId="4979C7C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завод № 371 (Завод № 371 ИМ. Сталина НКВ, Компания Санкт-Петербургского металлического завода, Петроградский металлический завод, Ленинградский металлический завод (JIM3) крупного машиностроения, Государственный завод ВТУЗ им. Сталина, ЛМЗ ВТУЗ им. Сталина НКТП, НКМ, Завод им. Сталина НКОП, Минтяжмаша, МТиТМ, Дважды ордена Ленина ЛМЗ им. XXII съезда КПСС, АООТ, ОАО «ЛМЗ» / г. Санкт-Петербург,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Петроград,</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Ленинград/ /195009</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Санкт-Петербург Свердловская наб., д. 18 тел. 593-70-01/) передан в ведение Главкотлотурбопрома НКТМ и вновь переименован в ЛМЗ им. Сталина. С 28.02.1953 г. — в ведении Главкотлотурбопрома МТиТМ, с 1957 г. - Управления тяжелого машиностроения ЛенСНХ.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5F4550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070ADE">
        <w:rPr>
          <w:rFonts w:ascii="Times New Roman" w:hAnsi="Times New Roman"/>
          <w:color w:val="000000" w:themeColor="text1"/>
          <w:sz w:val="16"/>
          <w:szCs w:val="16"/>
          <w:vertAlign w:val="superscript"/>
        </w:rPr>
        <w:t>142</w:t>
      </w:r>
    </w:p>
    <w:p w14:paraId="0137B04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1949 г. велось производство морской артиллерийской башенной установки МК-5бис, пост. СМ № 1846-987 от 29.10.1955 г. оно прекращено.</w:t>
      </w:r>
    </w:p>
    <w:p w14:paraId="5071E4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070ADE">
        <w:rPr>
          <w:rFonts w:ascii="Times New Roman" w:hAnsi="Times New Roman"/>
          <w:color w:val="000000" w:themeColor="text1"/>
          <w:sz w:val="16"/>
          <w:szCs w:val="16"/>
          <w:vertAlign w:val="superscript"/>
        </w:rPr>
        <w:t>77</w:t>
      </w:r>
    </w:p>
    <w:p w14:paraId="3C529E73" w14:textId="5FA5B06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1956 г. начат выпуск газовых турбин. Всего на ЛМЗ изготовлено (на начало 2000-х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2750 турбин. В 1958 г. начат выпуск газотурбинных установок.</w:t>
      </w:r>
    </w:p>
    <w:p w14:paraId="48957ED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1970 г. спроектирована гидротурбина для Саянской ГЭС мощностью 815 МВт.</w:t>
      </w:r>
    </w:p>
    <w:p w14:paraId="2A2FC8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25.11.1992 г. завод акционирован и преобразован в АООТ, затем - ОАО ЛМЗ.</w:t>
      </w:r>
      <w:r w:rsidRPr="00070ADE">
        <w:rPr>
          <w:rFonts w:ascii="Times New Roman" w:hAnsi="Times New Roman"/>
          <w:color w:val="000000" w:themeColor="text1"/>
          <w:sz w:val="16"/>
          <w:szCs w:val="16"/>
          <w:vertAlign w:val="superscript"/>
        </w:rPr>
        <w:t>131</w:t>
      </w:r>
    </w:p>
    <w:p w14:paraId="062C0B3B" w14:textId="65C40D6B"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2000-х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часть площадей завода передана ЗАО «Яровит моторе», организовано производство грузовиков собственной конструкции.</w:t>
      </w:r>
    </w:p>
    <w:p w14:paraId="62B78E67" w14:textId="19CFB7B8"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(2000-е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газотурбинные установки; паровые турбины для ТЭЦ, АЭС.</w:t>
      </w:r>
    </w:p>
    <w:p w14:paraId="36DEF9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ЛМЗ являлся филиалом концерна «Силовые машины» (2002 г.).</w:t>
      </w:r>
    </w:p>
    <w:p w14:paraId="2318AB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(1996 г.)- 9970 чел., (1998 г.)- около 5 тыс. чел.</w:t>
      </w:r>
    </w:p>
    <w:p w14:paraId="046EC1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(12.1937 г.)- Тылочкин, (-09-11.1938 г.-)- Н. Г. Никитин, (02.1942 г.)- Седов.</w:t>
      </w:r>
      <w:r w:rsidRPr="00070ADE">
        <w:rPr>
          <w:rFonts w:ascii="Times New Roman" w:hAnsi="Times New Roman"/>
          <w:color w:val="000000" w:themeColor="text1"/>
          <w:sz w:val="16"/>
          <w:szCs w:val="16"/>
          <w:vertAlign w:val="superscript"/>
        </w:rPr>
        <w:t>65</w:t>
      </w:r>
      <w:r w:rsidRPr="00070ADE">
        <w:rPr>
          <w:rFonts w:ascii="Times New Roman" w:hAnsi="Times New Roman"/>
          <w:color w:val="000000" w:themeColor="text1"/>
          <w:sz w:val="16"/>
          <w:szCs w:val="16"/>
        </w:rPr>
        <w:t xml:space="preserve"> Гендиректор (-1998-99 г.- )- В. Чернышев, (-2003-02.2004 г.)- В. Шевченко, (02.2004 г.-)- И. Сорочан.</w:t>
      </w:r>
    </w:p>
    <w:p w14:paraId="27FB1F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зам. Гендиректора (-1990 г.)- В.К. Глухих. Зам. гендиректора (-02.2004 г.)- И. Сорочан.</w:t>
      </w:r>
      <w:r w:rsidRPr="00070ADE">
        <w:rPr>
          <w:rFonts w:ascii="Times New Roman" w:hAnsi="Times New Roman"/>
          <w:color w:val="000000" w:themeColor="text1"/>
          <w:sz w:val="16"/>
          <w:szCs w:val="16"/>
          <w:vertAlign w:val="superscript"/>
        </w:rPr>
        <w:t>1ш</w:t>
      </w:r>
      <w:r w:rsidRPr="00070ADE">
        <w:rPr>
          <w:rFonts w:ascii="Times New Roman" w:hAnsi="Times New Roman"/>
          <w:color w:val="000000" w:themeColor="text1"/>
          <w:sz w:val="16"/>
          <w:szCs w:val="16"/>
        </w:rPr>
        <w:t>*</w:t>
      </w:r>
      <w:r w:rsidRPr="00070ADE">
        <w:rPr>
          <w:rFonts w:ascii="Times New Roman" w:hAnsi="Times New Roman"/>
          <w:color w:val="000000" w:themeColor="text1"/>
          <w:sz w:val="16"/>
          <w:szCs w:val="16"/>
          <w:vertAlign w:val="superscript"/>
        </w:rPr>
        <w:t>йпмоГ8</w:t>
      </w:r>
    </w:p>
    <w:p w14:paraId="67E36C1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Технический директор (04.1937 г.)-проф. М.И. Гринбер г.</w:t>
      </w:r>
    </w:p>
    <w:p w14:paraId="1AB6D94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(11.1938 г.)- Н. Г. Шанцев, (-1990 г.)- В.К. Глухих.</w:t>
      </w:r>
      <w:r w:rsidRPr="00070ADE">
        <w:rPr>
          <w:rFonts w:ascii="Times New Roman" w:hAnsi="Times New Roman"/>
          <w:color w:val="000000" w:themeColor="text1"/>
          <w:sz w:val="16"/>
          <w:szCs w:val="16"/>
          <w:vertAlign w:val="superscript"/>
        </w:rPr>
        <w:t>49</w:t>
      </w:r>
    </w:p>
    <w:p w14:paraId="73B9EB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Помощник гл. инженера (-1912-14 г.-)- В. Смыслов.</w:t>
      </w:r>
    </w:p>
    <w:p w14:paraId="3E9BF3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технолог (1938 г.)- Захаров.</w:t>
      </w:r>
    </w:p>
    <w:p w14:paraId="7FE5F0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цехов: котельного (1912 г.)- Ф.К. Тихонов; (1946 г.)- В.А. Носанов.</w:t>
      </w:r>
    </w:p>
    <w:p w14:paraId="3336C2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 отделами: судостроительным (1912 г.)- И.П. Косюра. Начальники отделов: подготовки производства (1938 г.)- Вихерев. Начальник УКС (09.1938 г.)- Александров.</w:t>
      </w:r>
    </w:p>
    <w:p w14:paraId="56D5F6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строитель (1913 г.-)- В.Н. Корнилович.</w:t>
      </w:r>
    </w:p>
    <w:p w14:paraId="694F2C31" w14:textId="77777777" w:rsidR="00C71B1D"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ПЛ С.К. Джевецкого «Почтовый» (1906-), эсминец типа «Орфей» (1917)- 8, тральщик типа «Ударник» (1917-, не достроены)- 8;</w:t>
      </w:r>
      <w:r w:rsidRPr="00070ADE">
        <w:rPr>
          <w:rFonts w:ascii="Times New Roman" w:hAnsi="Times New Roman"/>
          <w:iCs/>
          <w:color w:val="000000" w:themeColor="text1"/>
          <w:sz w:val="16"/>
          <w:szCs w:val="16"/>
        </w:rPr>
        <w:t xml:space="preserve"> артиллерийские башни:</w:t>
      </w:r>
      <w:r w:rsidRPr="00070ADE">
        <w:rPr>
          <w:rFonts w:ascii="Times New Roman" w:hAnsi="Times New Roman"/>
          <w:color w:val="000000" w:themeColor="text1"/>
          <w:sz w:val="16"/>
          <w:szCs w:val="16"/>
        </w:rPr>
        <w:t xml:space="preserve"> 305-мм для броненосцев «Сисой Великий», «Полтава», «Севастополь», «Ретвюан»,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070ADE">
        <w:rPr>
          <w:rFonts w:ascii="Times New Roman" w:hAnsi="Times New Roman"/>
          <w:iCs/>
          <w:color w:val="000000" w:themeColor="text1"/>
          <w:sz w:val="16"/>
          <w:szCs w:val="16"/>
        </w:rPr>
        <w:t xml:space="preserve"> турбины:</w:t>
      </w:r>
      <w:r w:rsidRPr="00070ADE">
        <w:rPr>
          <w:rFonts w:ascii="Times New Roman" w:hAnsi="Times New Roman"/>
          <w:color w:val="000000" w:themeColor="text1"/>
          <w:sz w:val="16"/>
          <w:szCs w:val="16"/>
        </w:rPr>
        <w:t xml:space="preserve"> судовые Кертис-АЭГ-Вулкан для эсминцев (1913); для Индийской АЭС; судовые котлы Вулкан-Ярроу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1D5F51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КБ-1 ЛМЗ</w:t>
      </w:r>
    </w:p>
    <w:p w14:paraId="6CC4C06E" w14:textId="19A97FF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ВОВ - разработка корабельных артиллерийских башен.</w:t>
      </w:r>
      <w:r w:rsidRPr="00070ADE">
        <w:rPr>
          <w:rFonts w:ascii="Times New Roman" w:hAnsi="Times New Roman"/>
          <w:color w:val="000000" w:themeColor="text1"/>
          <w:sz w:val="16"/>
          <w:szCs w:val="16"/>
          <w:vertAlign w:val="superscript"/>
        </w:rPr>
        <w:t>61</w:t>
      </w:r>
      <w:r w:rsidRPr="00070ADE">
        <w:rPr>
          <w:rFonts w:ascii="Times New Roman" w:hAnsi="Times New Roman"/>
          <w:color w:val="000000" w:themeColor="text1"/>
          <w:sz w:val="16"/>
          <w:szCs w:val="16"/>
        </w:rPr>
        <w:t xml:space="preserve"> В 1920-е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трехорудийная МК-5 для крейсера пр. 68. В 1940 г. спроектирована 2-орудийная башня МК-18 со 130-мм пушками Б-51 для крейсера пр. МК-6.</w:t>
      </w:r>
    </w:p>
    <w:p w14:paraId="53172E60" w14:textId="6867E670"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1940-х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начата разработка 3-орудийной башенной установки СМ-31 для 305-мм пушек СМ-33 (совместно с ЦКБ-34), в 1953 г. работы прекращены.</w:t>
      </w:r>
    </w:p>
    <w:p w14:paraId="3B5B00CD" w14:textId="77777777" w:rsidR="00C71B1D"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Заведующий (1920-е)- Р.Н. Вульф. Начальник (-1941 г.)- Т.Д. Вылкост.</w:t>
      </w:r>
    </w:p>
    <w:p w14:paraId="2D3A8FD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ОАО «Силовые машины»</w:t>
      </w:r>
    </w:p>
    <w:p w14:paraId="3AACFD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1972D7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зам. гендиректора (2003 г.)- М. Наумченко. Зам. гендиректора: по экономике и финансам (-2003-07.2005 г.)- Н. Кузнецов, (03.2006 г.-)- В. Рогожев; (2004 г.)- О. Юхтенко, (2004 г.)- В. Шевченко, (09.2006 г.-)- И. Дубинников.</w:t>
      </w:r>
    </w:p>
    <w:p w14:paraId="65BA40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управляющий (10.2006-07 г.-)- А. Чуваев; по стратегии и корпоративным вопросам (-2003-04 г.-)- П. Скитович, по стратегическому развитию и контроллингу (11.2007 г.-)- А. Ранцев; по экономике и финансам (11.2007 г.-)- В. Чечнев; по промышленной интеграции (-2004 г.)- В. Шевченко; административный (09.2006 г.-)- И. Дубинников; по управлению персоналом (-2006-07 г.-)- О. Г. Морозова; по информационным технологиям (2006 г.)- А.Е. Никитин; по общественным связям и рекламе (2006 г.)- В.В. Вергельская.</w:t>
      </w:r>
    </w:p>
    <w:p w14:paraId="35482ED6" w14:textId="77777777" w:rsidR="00C71B1D"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управлений: информационных технологий (2007 г.)- А.Л. Банкевич.</w:t>
      </w:r>
    </w:p>
    <w:p w14:paraId="2D39892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Глухоозерский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134F8C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Глухоозерский механический завод основан в 1914 г.</w:t>
      </w:r>
    </w:p>
    <w:p w14:paraId="6DDF93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Ленгортреста местной промышленности от 30.03.1932 г. на базе Глухоозерского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352AA9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18.12.1992 г. завод преобразован в АООТ, затем - ОАО «ЗТЛ».</w:t>
      </w:r>
      <w:r w:rsidRPr="00070ADE">
        <w:rPr>
          <w:rFonts w:ascii="Times New Roman" w:hAnsi="Times New Roman"/>
          <w:color w:val="000000" w:themeColor="text1"/>
          <w:sz w:val="16"/>
          <w:szCs w:val="16"/>
          <w:vertAlign w:val="superscript"/>
        </w:rPr>
        <w:t>131</w:t>
      </w:r>
    </w:p>
    <w:p w14:paraId="40B1EA3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Гендиректор (-2003-04 г.-)- А.П. Балашов. Директор филиала (2005 г.)- А.П. Балашов (11982).</w:t>
      </w:r>
    </w:p>
    <w:p w14:paraId="04728431" w14:textId="77777777" w:rsidR="00C71B1D" w:rsidRPr="00070ADE" w:rsidRDefault="00C71B1D" w:rsidP="00B56F90">
      <w:pPr>
        <w:autoSpaceDE w:val="0"/>
        <w:autoSpaceDN w:val="0"/>
        <w:adjustRightInd w:val="0"/>
        <w:spacing w:after="0" w:line="240" w:lineRule="auto"/>
        <w:jc w:val="both"/>
        <w:rPr>
          <w:rFonts w:ascii="Times New Roman" w:hAnsi="Times New Roman"/>
          <w:color w:val="000000" w:themeColor="text1"/>
          <w:sz w:val="16"/>
          <w:szCs w:val="16"/>
        </w:rPr>
      </w:pPr>
    </w:p>
    <w:p w14:paraId="384601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на завод № 531 НКЭП с завода № 149 НКАП переданы работы по морским измерительным приборам. Производство приборов. За время блокады изготовлено около 100 тыс. приборов.</w:t>
      </w:r>
    </w:p>
    <w:p w14:paraId="70A9D5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1946 г. завод - в ведении МЭП. По приказу МЭП от 10.06.1954 г. завод № 531 переименован в ГС ленинградский завод электроизмерительных приборов «Вибратор». С 06.1957 г. завод - в ведении Управления приборостроительной промышленности ЛенСНХ, с 1958 г.- Управления агрегатостроения и приборостроения ЛенСНХ, с 19.11.1965 г. - ГУ по производству электроизмерительных прибров и средств точной механики МПиСА.</w:t>
      </w:r>
      <w:r w:rsidRPr="00070ADE">
        <w:rPr>
          <w:rFonts w:ascii="Times New Roman" w:hAnsi="Times New Roman"/>
          <w:color w:val="000000" w:themeColor="text1"/>
          <w:sz w:val="16"/>
          <w:szCs w:val="16"/>
          <w:vertAlign w:val="superscript"/>
        </w:rPr>
        <w:t>131</w:t>
      </w:r>
    </w:p>
    <w:p w14:paraId="3E6127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1993 г. завод акционирован и преобразован в Приборостроительное АООТ, а затем - ОАО «Приборостроительный завод «Вибратор».</w:t>
      </w:r>
    </w:p>
    <w:p w14:paraId="303FD5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Отраслевая лаборатория измерений (ОЛИЗ) НКАП, НКЭП, Всероссийский институт по приборостроению (ВИЭП), Ленинградский институт приборостроения</w:t>
      </w:r>
    </w:p>
    <w:p w14:paraId="1BE808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ОЛИЗ организована в 1937 г. По Указу Президиума ВС СССР от 17.04.1940 г. ОЛИЗ передана из 7ГУ НКАП в НКЭП. В 01.1941 г. на базе ОЛИЗ создан Всероссийский институт по приборостроению (ВИЭП, далее- завод № 531 НКЭП).</w:t>
      </w:r>
    </w:p>
    <w:p w14:paraId="2F8CA3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02-03.1942 г. группа из 14 специалистов института переведена на завод № 634 НКЭП в Омск (11982).</w:t>
      </w:r>
    </w:p>
    <w:p w14:paraId="415D7A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A2D6E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марта 1944 года освоением и самостоятельной разработкой радиолокационных станций обнаружения и управления торпедной, артиллерийской и ракетной стрельбой начал заниматься завод 703, созданный, как упоминалось, на месте эвакуированного завода 251. Первым директором вновь созданного предприятия стал С. М. Владимирский. Поначалу здесь осваивали корабельные станции, разработанные в НИИ-20, а затем пошла продукция, разработанная уже в собственном (при заводе) ОКБ-703 (9921).</w:t>
      </w:r>
    </w:p>
    <w:p w14:paraId="7BF8D1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392A6DD" w14:textId="71549E7B" w:rsidR="00C71B1D" w:rsidRPr="00070ADE" w:rsidRDefault="00C71B1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марта 1944 года освоением и самостоятельной разработкой радиолокационных станций обнаружения и управления артиллерийской и торпедной стрельбой начал заниматься завод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703. Начало было положено освоением РЛС «Пегматит», затем на освоение были взяты корабельные РЛС разработки НИИ-20 «Гюйс», «Гюйс-1», «Гюйс-1М». Но уже в том же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силами собственного ОКБ-703 была начата разработка панорамной РЛС воздушных целей «Гюйс-2». В составе первой группы разработчиков был Г.И. Зевин (1912—?), В.А. Кузнецов (р.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1912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 1946</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заместитель главного конструктора разработки), с 1945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главным конструктором разработки стал А.И. Патрикеев. Правда, до конца войны из всего семейства РЛС «Гюйс» были установлены на кораблях (эсминцах) только три станции (15736).</w:t>
      </w:r>
    </w:p>
    <w:p w14:paraId="7C181B1D" w14:textId="77777777" w:rsidR="00C71B1D" w:rsidRPr="00070ADE" w:rsidRDefault="00C71B1D" w:rsidP="00B56F90">
      <w:pPr>
        <w:spacing w:after="0" w:line="240" w:lineRule="auto"/>
        <w:jc w:val="both"/>
        <w:rPr>
          <w:rFonts w:ascii="Times New Roman" w:hAnsi="Times New Roman"/>
          <w:color w:val="000000" w:themeColor="text1"/>
          <w:sz w:val="16"/>
          <w:szCs w:val="16"/>
        </w:rPr>
      </w:pPr>
    </w:p>
    <w:p w14:paraId="43D515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заложены 2 БМО, строились 7 МБК и 5 БМО, завершен ремонт 3 ПЛ. На Балтийском заводе в разных стадиях готовности находились 22 стотонника: 7 достраивались на плаву (в том числе производились мелкие работы на головном), 11 строились на стапельных местах, для 4 ТЩ типа МТ-2 велась заготовка секций. На ремонте стояли линкор, 2 крейсера, 4 эсминца и 5 ПЛ. Адмиралтейцы по плану кооперации изготовляли электрошпили и мебель для МТ. Ждановцы строили 8 ТЩ типа МТ-1 (10671).</w:t>
      </w:r>
    </w:p>
    <w:p w14:paraId="60A7CE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59CABFD" w14:textId="77777777" w:rsidR="00B06917" w:rsidRPr="00C94B78" w:rsidRDefault="00B0691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марте 1944 года ленинградский завод № 189 предлагал достроить тяжёлый крейсер «Петропавловск» (бывший немецкий «Лютцов», купленный ещё перед войной), сделав его авианосцем на 40 самолётов (25374).</w:t>
      </w:r>
    </w:p>
    <w:p w14:paraId="767EDF26" w14:textId="77777777" w:rsidR="00B06917" w:rsidRPr="00C94B78" w:rsidRDefault="00B06917" w:rsidP="00B56F90">
      <w:pPr>
        <w:spacing w:after="0" w:line="240" w:lineRule="auto"/>
        <w:jc w:val="both"/>
        <w:rPr>
          <w:rFonts w:ascii="Times New Roman" w:hAnsi="Times New Roman"/>
          <w:color w:val="0070C0"/>
          <w:sz w:val="16"/>
          <w:szCs w:val="16"/>
        </w:rPr>
      </w:pPr>
    </w:p>
    <w:p w14:paraId="20B3C5D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BB989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CA5C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АДД выполнила массированный налет на Таллин. АЛЛ поддерживала операции по освобождению Крыма (в частности, парализовала работу портов Констанца и Галац, через которые осу</w:t>
      </w:r>
      <w:r w:rsidRPr="00070ADE">
        <w:rPr>
          <w:rFonts w:ascii="Times New Roman" w:hAnsi="Times New Roman"/>
          <w:color w:val="000000" w:themeColor="text1"/>
          <w:sz w:val="16"/>
          <w:szCs w:val="16"/>
        </w:rPr>
        <w:softHyphen/>
        <w:t>ществлялась связь с блокированным полуостровом). Бомбили и позиции немцев непосредственно под Севасто</w:t>
      </w:r>
      <w:r w:rsidRPr="00070ADE">
        <w:rPr>
          <w:rFonts w:ascii="Times New Roman" w:hAnsi="Times New Roman"/>
          <w:color w:val="000000" w:themeColor="text1"/>
          <w:sz w:val="16"/>
          <w:szCs w:val="16"/>
        </w:rPr>
        <w:softHyphen/>
        <w:t>полем (10734,81).</w:t>
      </w:r>
    </w:p>
    <w:p w14:paraId="794508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6C14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последовал массированный налет на Таллин. АДД поддерживала операции по освобождению Крыма (в частности, парализовала работу портов Констанца и Галац, через которые осуществлялась связь с блокированным полуостровом). Бомбили и позиции немцев непосредственно под Севастополем. В июне самолеты АДД приняли участие в Белорусской операции. Там задействовали 1226 машин. В основном их целями являлись железнодорожные узлы. Так, Брест бомбили два дня подряд. Дальние бомбардировщики до конца года наносили удары по целям вдоль всего фронта, а также эпизодически совершали рейды в глубокий тыл немцев (12021).</w:t>
      </w:r>
    </w:p>
    <w:p w14:paraId="154E9E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42CD9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началось формирование второго полка на самолетах Ер-2 в 1-м гвардейском авиакорпусе ДД - 330-го ап ДД (командир - майор И.У.Петруня). Полк формировался при 8-м ак ДД, откуда прибыли все командиры, начиная от комэсков и выше, позднее полк передали в 48-ю Рижскую авиадивизию ДД (3322,46).</w:t>
      </w:r>
    </w:p>
    <w:p w14:paraId="4793B0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DC22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марта 1944 года до конца войны одна только 8-я авиадивизия на Балтике потопила 229 судов и боевых кораблей противника (3457,109).</w:t>
      </w:r>
    </w:p>
    <w:p w14:paraId="231B87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22BE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началось формирование 327-го ап ДД на аэродроме Борисполь. Комплектовался полк из летного и технического состава 2-й и 8-й гвардейских авиадивизий ДД, 4-го гвардейского авиакорпуса ДД, 27-й офицерской дивизии АДД, а правые пилоты прибыли из Новосибирской и Ивановской летных школ АДД. Первым командиром полка был назначен гвардии подполковник В.Г. Черниченко (3322,47).</w:t>
      </w:r>
    </w:p>
    <w:p w14:paraId="39E60A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AA0774" w14:textId="77777777" w:rsidR="006F2DE1" w:rsidRPr="00070ADE" w:rsidRDefault="006F2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на Черноморском флоте появилась 39-я эскадрилья ночных истре</w:t>
      </w:r>
      <w:r w:rsidRPr="00070ADE">
        <w:rPr>
          <w:rFonts w:ascii="Times New Roman" w:hAnsi="Times New Roman"/>
          <w:color w:val="000000" w:themeColor="text1"/>
          <w:sz w:val="16"/>
          <w:szCs w:val="16"/>
        </w:rPr>
        <w:softHyphen/>
        <w:t>бителей на A-20G с РЛС «Гнейс-2». Базировалась она первоначально на кавказском побережье, куда перевели корабли после потери Крыма. Но работы для ночников там не нашлось: немцы, от</w:t>
      </w:r>
      <w:r w:rsidRPr="00070ADE">
        <w:rPr>
          <w:rFonts w:ascii="Times New Roman" w:hAnsi="Times New Roman"/>
          <w:color w:val="000000" w:themeColor="text1"/>
          <w:sz w:val="16"/>
          <w:szCs w:val="16"/>
        </w:rPr>
        <w:softHyphen/>
        <w:t>тесненные на запад, уже редко посылали свои самолеты к Поти и Новороссийску. Поэтому истребители решили исполь</w:t>
      </w:r>
      <w:r w:rsidRPr="00070ADE">
        <w:rPr>
          <w:rFonts w:ascii="Times New Roman" w:hAnsi="Times New Roman"/>
          <w:color w:val="000000" w:themeColor="text1"/>
          <w:sz w:val="16"/>
          <w:szCs w:val="16"/>
        </w:rPr>
        <w:softHyphen/>
        <w:t>зовать в роли разведчиков. 6 апреля со</w:t>
      </w:r>
      <w:r w:rsidRPr="00070ADE">
        <w:rPr>
          <w:rFonts w:ascii="Times New Roman" w:hAnsi="Times New Roman"/>
          <w:color w:val="000000" w:themeColor="text1"/>
          <w:sz w:val="16"/>
          <w:szCs w:val="16"/>
        </w:rPr>
        <w:softHyphen/>
        <w:t>стоялся первый вылет «Бостона» с РЛС на разведку портов южной части Крыма. Впоследствии выполнили еще несколько таких полетов.</w:t>
      </w:r>
    </w:p>
    <w:p w14:paraId="55ECC37F" w14:textId="77777777" w:rsidR="006F2DE1" w:rsidRPr="00070ADE" w:rsidRDefault="006F2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самолеты с «Гнейсами» попыта</w:t>
      </w:r>
      <w:r w:rsidRPr="00070ADE">
        <w:rPr>
          <w:rFonts w:ascii="Times New Roman" w:hAnsi="Times New Roman"/>
          <w:color w:val="000000" w:themeColor="text1"/>
          <w:sz w:val="16"/>
          <w:szCs w:val="16"/>
        </w:rPr>
        <w:softHyphen/>
        <w:t>лись применить для поиска подводных ло</w:t>
      </w:r>
      <w:r w:rsidRPr="00070ADE">
        <w:rPr>
          <w:rFonts w:ascii="Times New Roman" w:hAnsi="Times New Roman"/>
          <w:color w:val="000000" w:themeColor="text1"/>
          <w:sz w:val="16"/>
          <w:szCs w:val="16"/>
        </w:rPr>
        <w:softHyphen/>
        <w:t>док ночью. Поздно вечером 24 июня одна машина отправилась патрулировать море в районе Новороссийска, но из-за гро</w:t>
      </w:r>
      <w:r w:rsidRPr="00070ADE">
        <w:rPr>
          <w:rFonts w:ascii="Times New Roman" w:hAnsi="Times New Roman"/>
          <w:color w:val="000000" w:themeColor="text1"/>
          <w:sz w:val="16"/>
          <w:szCs w:val="16"/>
        </w:rPr>
        <w:softHyphen/>
        <w:t>зы вскоре вернулась. 26-28 июня решили проверить, а насколько реально обнару</w:t>
      </w:r>
      <w:r w:rsidRPr="00070ADE">
        <w:rPr>
          <w:rFonts w:ascii="Times New Roman" w:hAnsi="Times New Roman"/>
          <w:color w:val="000000" w:themeColor="text1"/>
          <w:sz w:val="16"/>
          <w:szCs w:val="16"/>
        </w:rPr>
        <w:softHyphen/>
        <w:t>жить субмарину с ночного истребителя. Подводная лодка М-54 в надводном по</w:t>
      </w:r>
      <w:r w:rsidRPr="00070ADE">
        <w:rPr>
          <w:rFonts w:ascii="Times New Roman" w:hAnsi="Times New Roman"/>
          <w:color w:val="000000" w:themeColor="text1"/>
          <w:sz w:val="16"/>
          <w:szCs w:val="16"/>
        </w:rPr>
        <w:softHyphen/>
        <w:t>ложении двигалась по маршруту Поти — Новороссийск — Туапсе. Лишь на третью ночь ее удалось найти с самолета.</w:t>
      </w:r>
    </w:p>
    <w:p w14:paraId="7714B2E7" w14:textId="77777777" w:rsidR="006F2DE1" w:rsidRPr="00070ADE" w:rsidRDefault="006F2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«Бостоны» и дальше пытались искать по ночам вражеские подлодки. Для этих операций специально выделили два само</w:t>
      </w:r>
      <w:r w:rsidRPr="00070ADE">
        <w:rPr>
          <w:rFonts w:ascii="Times New Roman" w:hAnsi="Times New Roman"/>
          <w:color w:val="000000" w:themeColor="text1"/>
          <w:sz w:val="16"/>
          <w:szCs w:val="16"/>
        </w:rPr>
        <w:softHyphen/>
        <w:t>лета. Но никаких успехов они не достигли. Предназначенный для поиска воздушных целей «Гнейс-2» не позволял выявить объ</w:t>
      </w:r>
      <w:r w:rsidRPr="00070ADE">
        <w:rPr>
          <w:rFonts w:ascii="Times New Roman" w:hAnsi="Times New Roman"/>
          <w:color w:val="000000" w:themeColor="text1"/>
          <w:sz w:val="16"/>
          <w:szCs w:val="16"/>
        </w:rPr>
        <w:softHyphen/>
        <w:t>ект на фоне отражения от поверхности моря. Чтобы выявить рубку подводной лодки, летчикам приходилось букваль</w:t>
      </w:r>
      <w:r w:rsidRPr="00070ADE">
        <w:rPr>
          <w:rFonts w:ascii="Times New Roman" w:hAnsi="Times New Roman"/>
          <w:color w:val="000000" w:themeColor="text1"/>
          <w:sz w:val="16"/>
          <w:szCs w:val="16"/>
        </w:rPr>
        <w:softHyphen/>
        <w:t>но прижиматься к воде. С высоты более 200 м субмарина не различалась. Эти де</w:t>
      </w:r>
      <w:r w:rsidRPr="00070ADE">
        <w:rPr>
          <w:rFonts w:ascii="Times New Roman" w:hAnsi="Times New Roman"/>
          <w:color w:val="000000" w:themeColor="text1"/>
          <w:sz w:val="16"/>
          <w:szCs w:val="16"/>
        </w:rPr>
        <w:softHyphen/>
        <w:t>фекты позднее частично устранили в РЛС «Гнейс-2М», специально предназначав</w:t>
      </w:r>
      <w:r w:rsidRPr="00070ADE">
        <w:rPr>
          <w:rFonts w:ascii="Times New Roman" w:hAnsi="Times New Roman"/>
          <w:color w:val="000000" w:themeColor="text1"/>
          <w:sz w:val="16"/>
          <w:szCs w:val="16"/>
        </w:rPr>
        <w:softHyphen/>
        <w:t>шейся для морской авиации. Но ее стави</w:t>
      </w:r>
      <w:r w:rsidRPr="00070ADE">
        <w:rPr>
          <w:rFonts w:ascii="Times New Roman" w:hAnsi="Times New Roman"/>
          <w:color w:val="000000" w:themeColor="text1"/>
          <w:sz w:val="16"/>
          <w:szCs w:val="16"/>
        </w:rPr>
        <w:softHyphen/>
        <w:t>ли на разведчики и торпедоносцы, а не на истребители.</w:t>
      </w:r>
    </w:p>
    <w:p w14:paraId="70204AF7" w14:textId="77777777" w:rsidR="006F2DE1" w:rsidRPr="00070ADE" w:rsidRDefault="006F2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освобождения Крыма 39-ю эска</w:t>
      </w:r>
      <w:r w:rsidRPr="00070ADE">
        <w:rPr>
          <w:rFonts w:ascii="Times New Roman" w:hAnsi="Times New Roman"/>
          <w:color w:val="000000" w:themeColor="text1"/>
          <w:sz w:val="16"/>
          <w:szCs w:val="16"/>
        </w:rPr>
        <w:softHyphen/>
        <w:t>дрилью перевели в Саки, где она совме</w:t>
      </w:r>
      <w:r w:rsidRPr="00070ADE">
        <w:rPr>
          <w:rFonts w:ascii="Times New Roman" w:hAnsi="Times New Roman"/>
          <w:color w:val="000000" w:themeColor="text1"/>
          <w:sz w:val="16"/>
          <w:szCs w:val="16"/>
        </w:rPr>
        <w:softHyphen/>
        <w:t>щала функции ПВО с патрулированием западной части Черного моря.</w:t>
      </w:r>
    </w:p>
    <w:p w14:paraId="21E8DA19" w14:textId="77777777" w:rsidR="006F2DE1" w:rsidRPr="00070ADE" w:rsidRDefault="006F2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A-20G испытывались и более со</w:t>
      </w:r>
      <w:r w:rsidRPr="00070ADE">
        <w:rPr>
          <w:rFonts w:ascii="Times New Roman" w:hAnsi="Times New Roman"/>
          <w:color w:val="000000" w:themeColor="text1"/>
          <w:sz w:val="16"/>
          <w:szCs w:val="16"/>
        </w:rPr>
        <w:softHyphen/>
        <w:t>вершенные радиолокаторы «Гнейс-3» и «Гнейс-5». На самолетах 45-й ад идд в бо</w:t>
      </w:r>
      <w:r w:rsidRPr="00070ADE">
        <w:rPr>
          <w:rFonts w:ascii="Times New Roman" w:hAnsi="Times New Roman"/>
          <w:color w:val="000000" w:themeColor="text1"/>
          <w:sz w:val="16"/>
          <w:szCs w:val="16"/>
        </w:rPr>
        <w:softHyphen/>
        <w:t>евых условиях под Бреслау опробовалась система телевизионного наведения РД-1. На экран в кабине истребителя трансли</w:t>
      </w:r>
      <w:r w:rsidRPr="00070ADE">
        <w:rPr>
          <w:rFonts w:ascii="Times New Roman" w:hAnsi="Times New Roman"/>
          <w:color w:val="000000" w:themeColor="text1"/>
          <w:sz w:val="16"/>
          <w:szCs w:val="16"/>
        </w:rPr>
        <w:softHyphen/>
        <w:t>ровалось с поста наведения изображение индикатора наземной РЛС, наложенное на карту местности с указанием положения перехватчика и его цели. Система РД-1 по</w:t>
      </w:r>
      <w:r w:rsidRPr="00070ADE">
        <w:rPr>
          <w:rFonts w:ascii="Times New Roman" w:hAnsi="Times New Roman"/>
          <w:color w:val="000000" w:themeColor="text1"/>
          <w:sz w:val="16"/>
          <w:szCs w:val="16"/>
        </w:rPr>
        <w:softHyphen/>
        <w:t>казала себя весьма надежной и эффектив</w:t>
      </w:r>
      <w:r w:rsidRPr="00070ADE">
        <w:rPr>
          <w:rFonts w:ascii="Times New Roman" w:hAnsi="Times New Roman"/>
          <w:color w:val="000000" w:themeColor="text1"/>
          <w:sz w:val="16"/>
          <w:szCs w:val="16"/>
        </w:rPr>
        <w:softHyphen/>
        <w:t>ной. В той же дивизии экспериментиро</w:t>
      </w:r>
      <w:r w:rsidRPr="00070ADE">
        <w:rPr>
          <w:rFonts w:ascii="Times New Roman" w:hAnsi="Times New Roman"/>
          <w:color w:val="000000" w:themeColor="text1"/>
          <w:sz w:val="16"/>
          <w:szCs w:val="16"/>
        </w:rPr>
        <w:softHyphen/>
        <w:t>вали с наведением ночных истребителей с летающих командных пунктов — специ</w:t>
      </w:r>
      <w:r w:rsidRPr="00070ADE">
        <w:rPr>
          <w:rFonts w:ascii="Times New Roman" w:hAnsi="Times New Roman"/>
          <w:color w:val="000000" w:themeColor="text1"/>
          <w:sz w:val="16"/>
          <w:szCs w:val="16"/>
        </w:rPr>
        <w:softHyphen/>
        <w:t>ально оборудованных транспортных са</w:t>
      </w:r>
      <w:r w:rsidRPr="00070ADE">
        <w:rPr>
          <w:rFonts w:ascii="Times New Roman" w:hAnsi="Times New Roman"/>
          <w:color w:val="000000" w:themeColor="text1"/>
          <w:sz w:val="16"/>
          <w:szCs w:val="16"/>
        </w:rPr>
        <w:softHyphen/>
        <w:t>молетов С-47, оснащенных радиолокато</w:t>
      </w:r>
      <w:r w:rsidRPr="00070ADE">
        <w:rPr>
          <w:rFonts w:ascii="Times New Roman" w:hAnsi="Times New Roman"/>
          <w:color w:val="000000" w:themeColor="text1"/>
          <w:sz w:val="16"/>
          <w:szCs w:val="16"/>
        </w:rPr>
        <w:softHyphen/>
        <w:t>рами (имелись две такие машины) (23513).</w:t>
      </w:r>
    </w:p>
    <w:p w14:paraId="7D03A800" w14:textId="77777777" w:rsidR="006F2DE1" w:rsidRPr="00070ADE" w:rsidRDefault="006F2DE1" w:rsidP="00B56F90">
      <w:pPr>
        <w:spacing w:after="0" w:line="240" w:lineRule="auto"/>
        <w:jc w:val="both"/>
        <w:rPr>
          <w:rFonts w:ascii="Times New Roman" w:hAnsi="Times New Roman"/>
          <w:color w:val="000000" w:themeColor="text1"/>
          <w:sz w:val="16"/>
          <w:szCs w:val="16"/>
        </w:rPr>
      </w:pPr>
    </w:p>
    <w:p w14:paraId="10510DAD" w14:textId="77777777" w:rsidR="006F2DE1" w:rsidRPr="00070ADE" w:rsidRDefault="006F2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самолеты СБ из 1-го ОАПП ВДВКА с планерами А—7 и Г—11 участвовали в третьей операции по достав</w:t>
      </w:r>
      <w:r w:rsidRPr="00070ADE">
        <w:rPr>
          <w:rFonts w:ascii="Times New Roman" w:hAnsi="Times New Roman"/>
          <w:color w:val="000000" w:themeColor="text1"/>
          <w:sz w:val="16"/>
          <w:szCs w:val="16"/>
        </w:rPr>
        <w:softHyphen/>
        <w:t>ке грузов партизанам Белоруссии. Служба буксировщиков СБ закончилась в начале мая 1944 г. Изношенные до предела маши</w:t>
      </w:r>
      <w:r w:rsidRPr="00070ADE">
        <w:rPr>
          <w:rFonts w:ascii="Times New Roman" w:hAnsi="Times New Roman"/>
          <w:color w:val="000000" w:themeColor="text1"/>
          <w:sz w:val="16"/>
          <w:szCs w:val="16"/>
        </w:rPr>
        <w:softHyphen/>
        <w:t>ны стали заменять на самолеты Ил—4 (23474).</w:t>
      </w:r>
    </w:p>
    <w:p w14:paraId="10865B20" w14:textId="77777777" w:rsidR="006F2DE1" w:rsidRPr="00070ADE" w:rsidRDefault="006F2DE1" w:rsidP="00B56F90">
      <w:pPr>
        <w:spacing w:after="0" w:line="240" w:lineRule="auto"/>
        <w:jc w:val="both"/>
        <w:rPr>
          <w:rFonts w:ascii="Times New Roman" w:hAnsi="Times New Roman"/>
          <w:color w:val="000000" w:themeColor="text1"/>
          <w:sz w:val="16"/>
          <w:szCs w:val="16"/>
        </w:rPr>
      </w:pPr>
    </w:p>
    <w:p w14:paraId="0D6293B9" w14:textId="77777777" w:rsidR="006F2DE1" w:rsidRPr="00070ADE" w:rsidRDefault="006F2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английские «Спитфайры»-фоторазведчики прилетали на Кольский полуостров последний раз и ра</w:t>
      </w:r>
      <w:r w:rsidRPr="00070ADE">
        <w:rPr>
          <w:rFonts w:ascii="Times New Roman" w:hAnsi="Times New Roman"/>
          <w:color w:val="000000" w:themeColor="text1"/>
          <w:sz w:val="16"/>
          <w:szCs w:val="16"/>
        </w:rPr>
        <w:softHyphen/>
        <w:t>ботали там до конца мая. Из трех отправ</w:t>
      </w:r>
      <w:r w:rsidRPr="00070ADE">
        <w:rPr>
          <w:rFonts w:ascii="Times New Roman" w:hAnsi="Times New Roman"/>
          <w:color w:val="000000" w:themeColor="text1"/>
          <w:sz w:val="16"/>
          <w:szCs w:val="16"/>
        </w:rPr>
        <w:softHyphen/>
        <w:t>ленных из Сумбурга самолетов один погиб еще на пути к Мурманску. Из-за неполадок с двигателем командир 542-й эскадрильи Фарнисс шел очень низко, и его обстре</w:t>
      </w:r>
      <w:r w:rsidRPr="00070ADE">
        <w:rPr>
          <w:rFonts w:ascii="Times New Roman" w:hAnsi="Times New Roman"/>
          <w:color w:val="000000" w:themeColor="text1"/>
          <w:sz w:val="16"/>
          <w:szCs w:val="16"/>
        </w:rPr>
        <w:softHyphen/>
        <w:t>ляли сначала немецкие, а затем советские зенитчики. Последние повредили ему хво</w:t>
      </w:r>
      <w:r w:rsidRPr="00070ADE">
        <w:rPr>
          <w:rFonts w:ascii="Times New Roman" w:hAnsi="Times New Roman"/>
          <w:color w:val="000000" w:themeColor="text1"/>
          <w:sz w:val="16"/>
          <w:szCs w:val="16"/>
        </w:rPr>
        <w:softHyphen/>
        <w:t>стовое оперение, и пришлось прыгать. До Мурманска Фарнисс добрался поездом. Еще один «Спитфайр» списали после вы</w:t>
      </w:r>
      <w:r w:rsidRPr="00070ADE">
        <w:rPr>
          <w:rFonts w:ascii="Times New Roman" w:hAnsi="Times New Roman"/>
          <w:color w:val="000000" w:themeColor="text1"/>
          <w:sz w:val="16"/>
          <w:szCs w:val="16"/>
        </w:rPr>
        <w:softHyphen/>
        <w:t>нужденной посадки 19 апреля. 31 мая под</w:t>
      </w:r>
      <w:r w:rsidRPr="00070ADE">
        <w:rPr>
          <w:rFonts w:ascii="Times New Roman" w:hAnsi="Times New Roman"/>
          <w:color w:val="000000" w:themeColor="text1"/>
          <w:sz w:val="16"/>
          <w:szCs w:val="16"/>
        </w:rPr>
        <w:softHyphen/>
        <w:t>разделение 542-й эскадрильи отозвали домой. Последний остававшийся у него самолет передали североморцам.</w:t>
      </w:r>
    </w:p>
    <w:p w14:paraId="19C9E36C" w14:textId="77777777" w:rsidR="006F2DE1" w:rsidRPr="00070ADE" w:rsidRDefault="006F2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в общей сложности ВВС Северного флота приобрели семь PR IV. В документах флота записано — 10, то есть учитывались все «Спитфайры», перегнанные на советскую территорию, включая потерянные еще под британской юрисдикцией. Разведчик, сочтенный год</w:t>
      </w:r>
      <w:r w:rsidRPr="00070ADE">
        <w:rPr>
          <w:rFonts w:ascii="Times New Roman" w:hAnsi="Times New Roman"/>
          <w:color w:val="000000" w:themeColor="text1"/>
          <w:sz w:val="16"/>
          <w:szCs w:val="16"/>
        </w:rPr>
        <w:softHyphen/>
        <w:t>ным только на запчасти, похоже, тоже вос</w:t>
      </w:r>
      <w:r w:rsidRPr="00070ADE">
        <w:rPr>
          <w:rFonts w:ascii="Times New Roman" w:hAnsi="Times New Roman"/>
          <w:color w:val="000000" w:themeColor="text1"/>
          <w:sz w:val="16"/>
          <w:szCs w:val="16"/>
        </w:rPr>
        <w:softHyphen/>
        <w:t>становили. Все PR IV получила 28-я ораэ, вливша</w:t>
      </w:r>
      <w:r w:rsidRPr="00070ADE">
        <w:rPr>
          <w:rFonts w:ascii="Times New Roman" w:hAnsi="Times New Roman"/>
          <w:color w:val="000000" w:themeColor="text1"/>
          <w:sz w:val="16"/>
          <w:szCs w:val="16"/>
        </w:rPr>
        <w:softHyphen/>
        <w:t>яся затем в 118-й орап (23513).</w:t>
      </w:r>
    </w:p>
    <w:p w14:paraId="71265716" w14:textId="77777777" w:rsidR="006F2DE1" w:rsidRPr="00070ADE" w:rsidRDefault="006F2DE1" w:rsidP="00B56F90">
      <w:pPr>
        <w:spacing w:after="0" w:line="240" w:lineRule="auto"/>
        <w:jc w:val="both"/>
        <w:rPr>
          <w:rFonts w:ascii="Times New Roman" w:hAnsi="Times New Roman"/>
          <w:color w:val="000000" w:themeColor="text1"/>
          <w:sz w:val="16"/>
          <w:szCs w:val="16"/>
        </w:rPr>
      </w:pPr>
    </w:p>
    <w:p w14:paraId="492528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года советская гражданская авиация имела 79 С-47 разных модификаций) и это позволило выделить часть машин и для наиболее важных внутренних перевозок. Например, группа С-47 вывозила никель из Воркуты и Дудинки, было перевезено около 1500 т. Самолеты 8-го транспортного полка привлекали к доставке золота из Магадана. Кстати сказать, у полновластного "хозяина" тех мест, Дальстроя НКВД, был свои С-47, обслуживавшие и регулярную линию Красной рок - Магадан. Летали эти машины и в Баку, Тбилиси, Краснодар, Куйбышев и другие города страны (3457,137).</w:t>
      </w:r>
    </w:p>
    <w:p w14:paraId="318E8C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A7CC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года Бостоны Б-3 доставляли оружие, боеприпасы и продовольствие конно-механизированной группе генерала Плиева, оторвавшейся от источников снабжения. В операции по перехвату поезда с членами болгарского правительства и немецкой миссией на болгаро-турецкой границе участвовали не только транспортные самолеты, но и часть A-20G из 449-го полка с десантом в бомболюках. Небольшое количество "Бостонов" в 1943 году поступило во 2-ю авиадивизию связи на подмосковном аэродроме Мячково. Они использовались для курьерских перевозок (3457,111).</w:t>
      </w:r>
    </w:p>
    <w:p w14:paraId="745061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C095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для практического взаимодействия с американцами в ходе челночных полетов образовали 169 авиабазу ОН в Полтаве и ее командиром стал г-м А.Р.Пермин. В США новым базам дали номера 559 (Полтава), 560 (Пирятино), 561 (Миргород) (1261,34).</w:t>
      </w:r>
    </w:p>
    <w:p w14:paraId="59340D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E431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Март 1944 года стал первым месяцем в ходе всей войны на Балтике, когда советским морским летчикам удалось нанести врагу не эпизодические потери, а весьма существенный урон (8942).</w:t>
      </w:r>
    </w:p>
    <w:p w14:paraId="193EE2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8495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английские "Спитфайры"-фоторазведчики последний раз прилетали на Кольский полуостров и работали там до конца мая. Из трех отправленных из Сумбурга самолетов один был потерян еще на пути к Мур</w:t>
      </w:r>
      <w:r w:rsidRPr="00070ADE">
        <w:rPr>
          <w:rFonts w:ascii="Times New Roman" w:hAnsi="Times New Roman"/>
          <w:color w:val="000000" w:themeColor="text1"/>
          <w:sz w:val="16"/>
          <w:szCs w:val="16"/>
        </w:rPr>
        <w:softHyphen/>
        <w:t>манску. Из-за неполадок с двигателем командир 542-й эскадрильи Фарнисс шел очень низко, и его обстреляли сначала немецкие, а затем советские зенитчики. Последние повредили ему хвостовое оперение, и летчику при</w:t>
      </w:r>
      <w:r w:rsidRPr="00070ADE">
        <w:rPr>
          <w:rFonts w:ascii="Times New Roman" w:hAnsi="Times New Roman"/>
          <w:color w:val="000000" w:themeColor="text1"/>
          <w:sz w:val="16"/>
          <w:szCs w:val="16"/>
        </w:rPr>
        <w:softHyphen/>
        <w:t>шлось прыгать. До Мурманска Фар</w:t>
      </w:r>
      <w:r w:rsidRPr="00070ADE">
        <w:rPr>
          <w:rFonts w:ascii="Times New Roman" w:hAnsi="Times New Roman"/>
          <w:color w:val="000000" w:themeColor="text1"/>
          <w:sz w:val="16"/>
          <w:szCs w:val="16"/>
        </w:rPr>
        <w:softHyphen/>
        <w:t>нисс добрался поездом. Еще один "Слитфайр" списали пос</w:t>
      </w:r>
      <w:r w:rsidRPr="00070ADE">
        <w:rPr>
          <w:rFonts w:ascii="Times New Roman" w:hAnsi="Times New Roman"/>
          <w:color w:val="000000" w:themeColor="text1"/>
          <w:sz w:val="16"/>
          <w:szCs w:val="16"/>
        </w:rPr>
        <w:softHyphen/>
        <w:t>ле вынужденной посадки 19 апреля. 31 мая подразделение 542-й эскадрильи отозвали домой. Последний оставав</w:t>
      </w:r>
      <w:r w:rsidRPr="00070ADE">
        <w:rPr>
          <w:rFonts w:ascii="Times New Roman" w:hAnsi="Times New Roman"/>
          <w:color w:val="000000" w:themeColor="text1"/>
          <w:sz w:val="16"/>
          <w:szCs w:val="16"/>
        </w:rPr>
        <w:softHyphen/>
        <w:t>шийся у него самолет передали севе</w:t>
      </w:r>
      <w:r w:rsidRPr="00070ADE">
        <w:rPr>
          <w:rFonts w:ascii="Times New Roman" w:hAnsi="Times New Roman"/>
          <w:color w:val="000000" w:themeColor="text1"/>
          <w:sz w:val="16"/>
          <w:szCs w:val="16"/>
        </w:rPr>
        <w:softHyphen/>
        <w:t>роморцам (10790).</w:t>
      </w:r>
    </w:p>
    <w:p w14:paraId="256E0E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9A73B0" w14:textId="77777777" w:rsidR="00A70C49" w:rsidRPr="00C94B78" w:rsidRDefault="00A70C4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марте 1944 года в 1-й ИАП «Варшава» Войска Польского поступил И-16 тип 5 №521560. Он использовался командиром полка как связной самолет. Вскоре после того, как подразделение вступило в бой (вероятно, осенью 1944-го), этот «ишак» был списан. Опознавательных знаков польской авиации он не носил.</w:t>
      </w:r>
    </w:p>
    <w:p w14:paraId="0F54F46B" w14:textId="77777777" w:rsidR="00A70C49" w:rsidRPr="00C94B78" w:rsidRDefault="00A70C4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Кроме того, на вооружении польских военно-воздушных сил имелось два УТИ-4. Оба самолёта имели польские опознавательные знаки. Один из них был отдан 15-му отдельному ЗАП в ноябре 1944 года. Второй использовался с января 1945 года в качестве курьерского, а в октябре 1945 года он был переведён в инженерную школу польских ВВС в городе Замосць. УТИ-4 поддерживался в лётном состоянии до 1947 года (25280).</w:t>
      </w:r>
    </w:p>
    <w:p w14:paraId="4931594E" w14:textId="77777777" w:rsidR="00A70C49" w:rsidRPr="00C94B78" w:rsidRDefault="00A70C49" w:rsidP="00B56F90">
      <w:pPr>
        <w:spacing w:after="0" w:line="240" w:lineRule="auto"/>
        <w:jc w:val="both"/>
        <w:rPr>
          <w:rFonts w:ascii="Times New Roman" w:hAnsi="Times New Roman"/>
          <w:color w:val="0070C0"/>
          <w:sz w:val="16"/>
          <w:szCs w:val="16"/>
        </w:rPr>
      </w:pPr>
    </w:p>
    <w:p w14:paraId="0A2553EB" w14:textId="77777777" w:rsidR="00E23482" w:rsidRPr="00070ADE" w:rsidRDefault="00E23482"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5511075B" w14:textId="77777777" w:rsidR="00E23482" w:rsidRPr="00070ADE" w:rsidRDefault="00E23482"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54159D" w14:textId="77777777" w:rsidR="00E23482" w:rsidRPr="00070ADE" w:rsidRDefault="00E2348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Март 1944. В клубе имени Ленина на Красной Пресне состоялся первый концерт вернувшегося из эмиграции Александра Вертинского. Парижская газета "Русские ведомости" сообщала: "Из Шанхая в Москву вернулся Вертинский... Он привез в дар Красной Армии вагон медикаментов и пятнадцать тысяч долларов... Первый концерт в Политехническом музее не состоялся из-за наплыва публики. Пришлось остановить трамвайное движение и вызвать конную милицию" (18692).</w:t>
      </w:r>
    </w:p>
    <w:p w14:paraId="79CDDC8F" w14:textId="77777777" w:rsidR="00E23482" w:rsidRPr="00070ADE" w:rsidRDefault="00E23482" w:rsidP="00B56F90">
      <w:pPr>
        <w:spacing w:after="0" w:line="240" w:lineRule="auto"/>
        <w:jc w:val="both"/>
        <w:rPr>
          <w:rFonts w:ascii="Times New Roman" w:hAnsi="Times New Roman"/>
          <w:color w:val="000000" w:themeColor="text1"/>
          <w:sz w:val="16"/>
          <w:szCs w:val="16"/>
        </w:rPr>
      </w:pPr>
    </w:p>
    <w:p w14:paraId="6993407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511C68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D63FFF" w14:textId="77777777" w:rsidR="00903E13" w:rsidRPr="00070ADE" w:rsidRDefault="00903E13" w:rsidP="00B56F90">
      <w:pPr>
        <w:pStyle w:val="a3"/>
        <w:rPr>
          <w:color w:val="000000" w:themeColor="text1"/>
          <w:lang w:val="ru-RU"/>
        </w:rPr>
      </w:pPr>
      <w:r w:rsidRPr="00070ADE">
        <w:rPr>
          <w:color w:val="000000" w:themeColor="text1"/>
          <w:lang w:val="ru-RU"/>
        </w:rPr>
        <w:t>В марте 1944 г. началось производство серии Р-8.</w:t>
      </w:r>
    </w:p>
    <w:p w14:paraId="3B6200D0" w14:textId="77777777" w:rsidR="00903E13" w:rsidRPr="00070ADE" w:rsidRDefault="00903E13" w:rsidP="00B56F90">
      <w:pPr>
        <w:pStyle w:val="a3"/>
        <w:rPr>
          <w:color w:val="000000" w:themeColor="text1"/>
          <w:lang w:val="ru-RU"/>
        </w:rPr>
      </w:pPr>
      <w:r w:rsidRPr="00070ADE">
        <w:rPr>
          <w:color w:val="000000" w:themeColor="text1"/>
          <w:lang w:val="ru-RU"/>
        </w:rPr>
        <w:t>Вооружение Р\л/190Р состояло из двух фюзеляжных пулеметов М017, двух син</w:t>
      </w:r>
      <w:r w:rsidRPr="00070ADE">
        <w:rPr>
          <w:color w:val="000000" w:themeColor="text1"/>
          <w:lang w:val="ru-RU"/>
        </w:rPr>
        <w:softHyphen/>
        <w:t xml:space="preserve">хронных крыльевых пушек МС151/20 и бомбового вооружения в составе четырех 50-кг бомб, подвешиваемых на фюзеляжном бомбодержателе ЕТС 501 с переходником ЕВ4 и двух бомб до 250 кг на подкрыльевых держателях. На ЕТС 501 можно было </w:t>
      </w:r>
      <w:r w:rsidRPr="00070ADE">
        <w:rPr>
          <w:color w:val="000000" w:themeColor="text1"/>
          <w:lang w:val="ru-RU"/>
        </w:rPr>
        <w:lastRenderedPageBreak/>
        <w:t>подве</w:t>
      </w:r>
      <w:r w:rsidRPr="00070ADE">
        <w:rPr>
          <w:color w:val="000000" w:themeColor="text1"/>
          <w:lang w:val="ru-RU"/>
        </w:rPr>
        <w:softHyphen/>
        <w:t>шивать также одну 500-кг бомбу ЗС500. На Р-2 был немного улучшен обзор из кабины пилота вперед-вниз, на недостаток которого жаловались пилоты первых серий, а на Р-3 держатель ЕТС 501 был приспособлен для подвески дополнительного бензобака. Серия Р-8 отличалась от собратьев фю</w:t>
      </w:r>
      <w:r w:rsidRPr="00070ADE">
        <w:rPr>
          <w:color w:val="000000" w:themeColor="text1"/>
          <w:lang w:val="ru-RU"/>
        </w:rPr>
        <w:softHyphen/>
        <w:t>зеляжными пулеметами МОЛ 31 калибра 13 мм и установкой четырех подкрыльевых держателей ЕТС 50 под 50-кг бомбы.</w:t>
      </w:r>
    </w:p>
    <w:p w14:paraId="39C609F9" w14:textId="77777777" w:rsidR="00903E13" w:rsidRPr="00070ADE" w:rsidRDefault="00903E13" w:rsidP="00B56F90">
      <w:pPr>
        <w:pStyle w:val="a3"/>
        <w:rPr>
          <w:color w:val="000000" w:themeColor="text1"/>
          <w:lang w:val="ru-RU"/>
        </w:rPr>
      </w:pPr>
      <w:r w:rsidRPr="00070ADE">
        <w:rPr>
          <w:color w:val="000000" w:themeColor="text1"/>
          <w:lang w:val="ru-RU"/>
        </w:rPr>
        <w:t>Бронирование ударных Р\д/190Р в срав</w:t>
      </w:r>
      <w:r w:rsidRPr="00070ADE">
        <w:rPr>
          <w:color w:val="000000" w:themeColor="text1"/>
          <w:lang w:val="ru-RU"/>
        </w:rPr>
        <w:softHyphen/>
        <w:t>нении с чистыми истребителями было усилено - общий вес бронедеталей на самолете вырос до 310 кг (по данным НИИ ВВС КА).</w:t>
      </w:r>
    </w:p>
    <w:p w14:paraId="7D796A33" w14:textId="77777777" w:rsidR="00903E13" w:rsidRPr="00070ADE" w:rsidRDefault="00903E13" w:rsidP="00B56F90">
      <w:pPr>
        <w:pStyle w:val="a3"/>
        <w:rPr>
          <w:color w:val="000000" w:themeColor="text1"/>
          <w:lang w:val="ru-RU"/>
        </w:rPr>
      </w:pPr>
      <w:r w:rsidRPr="00070ADE">
        <w:rPr>
          <w:color w:val="000000" w:themeColor="text1"/>
          <w:lang w:val="ru-RU"/>
        </w:rPr>
        <w:t>На моторе устанавливалось переднее бронекольцо толщиной 5 мм (в пересчете на советскую броню АБ-1 -3,3 мм), сделанное по габариту мотора с загибающимся внутрь передним краем. За ним устанавливался короткий цилиндр из брони толщиной Змм (АБ-1 -2 мм), по форме совпадающий с капотом мотора. Эти два бронекольца защищали маслобак, частично мотор, и усиливали защиту летчика спереди. На нижней поверхности фюзеляжа, начиная от броневых колец на моторе и до заднего обреза кабины летчика, устанавливались 18 бронеплит различной формы, толщиной 5 мм (АБ-1 - 3,3 мм) и под мотором - 6 мм (АБ-1 - 4 мм), в том числе два броневых щитка шасси.</w:t>
      </w:r>
    </w:p>
    <w:p w14:paraId="35EC1114" w14:textId="77777777" w:rsidR="00903E13" w:rsidRPr="00070ADE" w:rsidRDefault="00903E13" w:rsidP="00B56F90">
      <w:pPr>
        <w:pStyle w:val="a3"/>
        <w:rPr>
          <w:color w:val="000000" w:themeColor="text1"/>
          <w:lang w:val="ru-RU"/>
        </w:rPr>
      </w:pPr>
      <w:r w:rsidRPr="00070ADE">
        <w:rPr>
          <w:color w:val="000000" w:themeColor="text1"/>
          <w:lang w:val="ru-RU"/>
        </w:rPr>
        <w:t>Спереди летчика защищало пулестойкое стекло толщиной 57 мм (в пересчете на советское бронестекло типа К-4 - 40,7 мм), расположенное под углом 30° к продольной оси самолета. Кроме этого, за головой лет</w:t>
      </w:r>
      <w:r w:rsidRPr="00070ADE">
        <w:rPr>
          <w:color w:val="000000" w:themeColor="text1"/>
          <w:lang w:val="ru-RU"/>
        </w:rPr>
        <w:softHyphen/>
        <w:t>чика устанавливался 12-мм бронезаголовник (АБ-1 - 8 мм), сдвигающийся назад вместе с подвижной частью фонаря кабины. В свою очередь, боковины фонаря кабины выполня</w:t>
      </w:r>
      <w:r w:rsidRPr="00070ADE">
        <w:rPr>
          <w:color w:val="000000" w:themeColor="text1"/>
          <w:lang w:val="ru-RU"/>
        </w:rPr>
        <w:softHyphen/>
        <w:t>лись из 30-мм бронестекла (К-4 - 21,4 мм).</w:t>
      </w:r>
    </w:p>
    <w:p w14:paraId="3C57EB22" w14:textId="77777777" w:rsidR="00903E13" w:rsidRPr="00070ADE" w:rsidRDefault="00903E1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Защита летчика сзади обеспечива</w:t>
      </w:r>
      <w:r w:rsidRPr="00070ADE">
        <w:rPr>
          <w:rFonts w:ascii="Times New Roman" w:hAnsi="Times New Roman"/>
          <w:color w:val="000000" w:themeColor="text1"/>
          <w:sz w:val="16"/>
          <w:szCs w:val="16"/>
        </w:rPr>
        <w:softHyphen/>
        <w:t>лась также бронеплитой толщиной 8 мм (АБ-1 - 5,3 мм), несколько изогнутой в горизонтальной плоскости, расположенной за ней бронеперегородкой, составленной из четырех отдельных 5-мм бронеплит (АБ-1 -3,3 мм).</w:t>
      </w:r>
    </w:p>
    <w:p w14:paraId="13E43A0A" w14:textId="77777777" w:rsidR="00903E13" w:rsidRPr="00070ADE" w:rsidRDefault="00903E13" w:rsidP="00B56F90">
      <w:pPr>
        <w:pStyle w:val="a3"/>
        <w:rPr>
          <w:color w:val="000000" w:themeColor="text1"/>
          <w:lang w:val="ru-RU"/>
        </w:rPr>
      </w:pPr>
      <w:r w:rsidRPr="00070ADE">
        <w:rPr>
          <w:color w:val="000000" w:themeColor="text1"/>
          <w:lang w:val="ru-RU"/>
        </w:rPr>
        <w:t>В каждой эскадре немецкое коман</w:t>
      </w:r>
      <w:r w:rsidRPr="00070ADE">
        <w:rPr>
          <w:color w:val="000000" w:themeColor="text1"/>
          <w:lang w:val="ru-RU"/>
        </w:rPr>
        <w:softHyphen/>
        <w:t>дование планировало иметь три группы, вооруженных Р\л/190 в варианте истреби</w:t>
      </w:r>
      <w:r w:rsidRPr="00070ADE">
        <w:rPr>
          <w:color w:val="000000" w:themeColor="text1"/>
          <w:lang w:val="ru-RU"/>
        </w:rPr>
        <w:softHyphen/>
        <w:t>теля-штурмовика, и одну специальную противотанковую эскадрилью на Нз129В.</w:t>
      </w:r>
    </w:p>
    <w:p w14:paraId="35935E6F" w14:textId="77777777" w:rsidR="00903E13" w:rsidRPr="00070ADE" w:rsidRDefault="00903E13" w:rsidP="00B56F90">
      <w:pPr>
        <w:pStyle w:val="a3"/>
        <w:rPr>
          <w:color w:val="000000" w:themeColor="text1"/>
          <w:lang w:val="ru-RU"/>
        </w:rPr>
      </w:pPr>
      <w:r w:rsidRPr="00070ADE">
        <w:rPr>
          <w:color w:val="000000" w:themeColor="text1"/>
          <w:lang w:val="ru-RU"/>
        </w:rPr>
        <w:t>Считалось, что именно такое сочетание боевых сил позволит серьезно повысить эффективность непосредственной авиаци</w:t>
      </w:r>
      <w:r w:rsidRPr="00070ADE">
        <w:rPr>
          <w:color w:val="000000" w:themeColor="text1"/>
          <w:lang w:val="ru-RU"/>
        </w:rPr>
        <w:softHyphen/>
        <w:t>онной поддержки войск, как в обороне, так и в наступлении (12733).</w:t>
      </w:r>
    </w:p>
    <w:p w14:paraId="719AA921" w14:textId="77777777" w:rsidR="00903E13" w:rsidRPr="00070ADE" w:rsidRDefault="00903E13" w:rsidP="00B56F90">
      <w:pPr>
        <w:pStyle w:val="a3"/>
        <w:rPr>
          <w:color w:val="000000" w:themeColor="text1"/>
          <w:lang w:val="ru-RU"/>
        </w:rPr>
      </w:pPr>
    </w:p>
    <w:p w14:paraId="391F38A6" w14:textId="77777777" w:rsidR="004F2514" w:rsidRPr="00070ADE" w:rsidRDefault="004F2514" w:rsidP="00B56F90">
      <w:pPr>
        <w:shd w:val="clear" w:color="auto" w:fill="FFFFFF"/>
        <w:spacing w:after="0" w:line="240" w:lineRule="auto"/>
        <w:jc w:val="both"/>
        <w:rPr>
          <w:rStyle w:val="712"/>
          <w:rFonts w:ascii="Times New Roman" w:hAnsi="Times New Roman" w:cs="Times New Roman"/>
          <w:color w:val="000000" w:themeColor="text1"/>
          <w:sz w:val="16"/>
          <w:szCs w:val="16"/>
        </w:rPr>
      </w:pPr>
      <w:r w:rsidRPr="00070ADE">
        <w:rPr>
          <w:rFonts w:ascii="Times New Roman" w:hAnsi="Times New Roman"/>
          <w:color w:val="000000" w:themeColor="text1"/>
          <w:sz w:val="16"/>
          <w:szCs w:val="16"/>
        </w:rPr>
        <w:t>В марте 1944 года в Европе впервые появились P-51D, а в мае и Р-47D-25 с новой каплевидной кабиной по образцу кабин английских самолетов «Тайфун», «Тэмпест» и новых модификаций «спитфайра». Новая кабина сразу показала свои преимущества, но изменившаяся аэродинамика не только несколько слегка «срезала» скоростные качества истребителей (они все равно превосходили немцев на высоте), но и вновь обострила проблему курсовой устойчивости. А на Р-47 к тому же из-за уменьшения высоты фюзеляжа за кабиной снизилась жесткость хвостовой части и на больших скоростях возникал флаттер, были случаи полного разрушения оперения. Чтобы исключить опасность аварий, на P-51D-10-NA установили новый форкиль чуть большей площади, чем на Р-51В/С. На P-47D-40 его сделали низким, но дотянули его до самой кабины, включив в силовую схему фюзеляжа и изжив возможность возникновения флаттера (22889).</w:t>
      </w:r>
    </w:p>
    <w:p w14:paraId="7DCD16C9" w14:textId="77777777" w:rsidR="004F2514" w:rsidRPr="00070ADE" w:rsidRDefault="004F2514" w:rsidP="00B56F90">
      <w:pPr>
        <w:shd w:val="clear" w:color="auto" w:fill="FFFFFF"/>
        <w:spacing w:after="0" w:line="240" w:lineRule="auto"/>
        <w:jc w:val="both"/>
        <w:rPr>
          <w:rStyle w:val="712"/>
          <w:rFonts w:ascii="Times New Roman" w:hAnsi="Times New Roman" w:cs="Times New Roman"/>
          <w:color w:val="000000" w:themeColor="text1"/>
          <w:sz w:val="16"/>
          <w:szCs w:val="16"/>
        </w:rPr>
      </w:pPr>
    </w:p>
    <w:p w14:paraId="4C798D6C" w14:textId="77777777" w:rsidR="0072236C" w:rsidRPr="00070ADE" w:rsidRDefault="0072236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первый опытный «Сифайр» XV начал испытания на авианосце «Индефатигейбл». За ним последовали два дру</w:t>
      </w:r>
      <w:r w:rsidRPr="00070ADE">
        <w:rPr>
          <w:rFonts w:ascii="Times New Roman" w:hAnsi="Times New Roman"/>
          <w:color w:val="000000" w:themeColor="text1"/>
          <w:sz w:val="16"/>
          <w:szCs w:val="16"/>
        </w:rPr>
        <w:softHyphen/>
        <w:t>гих, отличавшихся рядом усовершенствова</w:t>
      </w:r>
      <w:r w:rsidRPr="00070ADE">
        <w:rPr>
          <w:rFonts w:ascii="Times New Roman" w:hAnsi="Times New Roman"/>
          <w:color w:val="000000" w:themeColor="text1"/>
          <w:sz w:val="16"/>
          <w:szCs w:val="16"/>
        </w:rPr>
        <w:softHyphen/>
        <w:t>ний. Серийное производство новых истре</w:t>
      </w:r>
      <w:r w:rsidRPr="00070ADE">
        <w:rPr>
          <w:rFonts w:ascii="Times New Roman" w:hAnsi="Times New Roman"/>
          <w:color w:val="000000" w:themeColor="text1"/>
          <w:sz w:val="16"/>
          <w:szCs w:val="16"/>
        </w:rPr>
        <w:softHyphen/>
        <w:t>бителей начали весной 1945 г. Они собира</w:t>
      </w:r>
      <w:r w:rsidRPr="00070ADE">
        <w:rPr>
          <w:rFonts w:ascii="Times New Roman" w:hAnsi="Times New Roman"/>
          <w:color w:val="000000" w:themeColor="text1"/>
          <w:sz w:val="16"/>
          <w:szCs w:val="16"/>
        </w:rPr>
        <w:softHyphen/>
        <w:t>лись на заводах «Уэстленд» и «Канлифф-Оу</w:t>
      </w:r>
      <w:r w:rsidRPr="00070ADE">
        <w:rPr>
          <w:rFonts w:ascii="Times New Roman" w:hAnsi="Times New Roman"/>
          <w:color w:val="000000" w:themeColor="text1"/>
          <w:sz w:val="16"/>
          <w:szCs w:val="16"/>
        </w:rPr>
        <w:softHyphen/>
        <w:t>эн». В мае они начали поступать в части мор</w:t>
      </w:r>
      <w:r w:rsidRPr="00070ADE">
        <w:rPr>
          <w:rFonts w:ascii="Times New Roman" w:hAnsi="Times New Roman"/>
          <w:color w:val="000000" w:themeColor="text1"/>
          <w:sz w:val="16"/>
          <w:szCs w:val="16"/>
        </w:rPr>
        <w:softHyphen/>
        <w:t>ской авиации. Освоение этих машин шло до</w:t>
      </w:r>
      <w:r w:rsidRPr="00070ADE">
        <w:rPr>
          <w:rFonts w:ascii="Times New Roman" w:hAnsi="Times New Roman"/>
          <w:color w:val="000000" w:themeColor="text1"/>
          <w:sz w:val="16"/>
          <w:szCs w:val="16"/>
        </w:rPr>
        <w:softHyphen/>
        <w:t>вольно долго, и во Второй мировой войне им участвовать не пришлось (24505).</w:t>
      </w:r>
    </w:p>
    <w:p w14:paraId="6E3344C5" w14:textId="77777777" w:rsidR="0072236C" w:rsidRPr="00070ADE" w:rsidRDefault="0072236C" w:rsidP="00B56F90">
      <w:pPr>
        <w:spacing w:after="0" w:line="240" w:lineRule="auto"/>
        <w:jc w:val="both"/>
        <w:rPr>
          <w:rFonts w:ascii="Times New Roman" w:hAnsi="Times New Roman"/>
          <w:color w:val="000000" w:themeColor="text1"/>
          <w:sz w:val="16"/>
          <w:szCs w:val="16"/>
        </w:rPr>
      </w:pPr>
    </w:p>
    <w:p w14:paraId="41212AEF" w14:textId="77777777" w:rsidR="004F2514" w:rsidRPr="00070ADE" w:rsidRDefault="004F25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первый полет Kawasaki Ki-102 (союзное название "Рэнди") и Тачикава Ки-74 (союзнические имена "Пэт" и "Пэтси") (20373).</w:t>
      </w:r>
    </w:p>
    <w:p w14:paraId="3078E147" w14:textId="77777777" w:rsidR="004F2514" w:rsidRPr="00070ADE" w:rsidRDefault="004F2514" w:rsidP="00B56F90">
      <w:pPr>
        <w:spacing w:after="0" w:line="240" w:lineRule="auto"/>
        <w:jc w:val="both"/>
        <w:rPr>
          <w:rFonts w:ascii="Times New Roman" w:hAnsi="Times New Roman"/>
          <w:color w:val="000000" w:themeColor="text1"/>
          <w:sz w:val="16"/>
          <w:szCs w:val="16"/>
        </w:rPr>
      </w:pPr>
    </w:p>
    <w:p w14:paraId="28671B17" w14:textId="77777777" w:rsidR="004F2514" w:rsidRPr="00070ADE" w:rsidRDefault="004F25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приняли решение о запуске Р-82 Твин Мустанг в серию, через год началась подготовка производства, но с окончанием войны первоначальный заказ в 500 самолетов сократили до двадцати Р-82В. Осенью они были почти готовы, но моторы начали поступать только в конце года. Первые два были получены ВВС в январе 1946 г., четыре — в феврале 1947 г. и последние тринадцать — в марте. Центральный бак и пулеметный контейнер в серии не выпускались, пришлось несколько сократить запас топлива в подвесных баках. Тем не менее дальность Р-82В осталась хорошей, и 27 февраля 1947 г. полковник Роберт Тэкер со штурманом Джоном Ардом установили на нем рекорд: взлетев на Гавайях с четырьмя подкрыльевыми баками, они прошли 8127 км за 14 ч 32 мин со средней скоростью 559,13 км/ч. Экипаж по ошибке не сбросил три из четырех ПТБ после их выработки, тем не менее благополучно приземлился в Нью-Йорке. Это достижение не смог перекрыть ни один поршневой истребитель, но реальная боевая дальность Р-82 была вдвое меньше (23019).</w:t>
      </w:r>
    </w:p>
    <w:p w14:paraId="168700F9" w14:textId="77777777" w:rsidR="004F2514" w:rsidRPr="00070ADE" w:rsidRDefault="004F2514" w:rsidP="00B56F90">
      <w:pPr>
        <w:spacing w:after="0" w:line="240" w:lineRule="auto"/>
        <w:jc w:val="both"/>
        <w:rPr>
          <w:rFonts w:ascii="Times New Roman" w:hAnsi="Times New Roman"/>
          <w:color w:val="000000" w:themeColor="text1"/>
          <w:sz w:val="16"/>
          <w:szCs w:val="16"/>
        </w:rPr>
      </w:pPr>
    </w:p>
    <w:p w14:paraId="55574A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из ракетного исследовательского центра Penemunde был осуществлен испытательный запуск А-4, на которой была установлена аппаратура зенитной ракеты Вассерфаль. Пуск окончился неудачей и ракета упала на юге Швеции (2990).</w:t>
      </w:r>
    </w:p>
    <w:p w14:paraId="10E159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3D3926" w14:textId="77777777" w:rsidR="000B533C" w:rsidRPr="00070ADE" w:rsidRDefault="000B5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го стало ясно, что сильная вибрация ослабляла резьбовые соединения топливопроводов Фау-2. Спирт испарялся и смешивался с парогазом (кислород плюс водяной пар). «Адская смесь» попадала на раскаленное сопло дви</w:t>
      </w:r>
      <w:r w:rsidRPr="00070ADE">
        <w:rPr>
          <w:rFonts w:ascii="Times New Roman" w:hAnsi="Times New Roman"/>
          <w:color w:val="000000" w:themeColor="text1"/>
          <w:sz w:val="16"/>
          <w:szCs w:val="16"/>
        </w:rPr>
        <w:softHyphen/>
        <w:t>гателя, далее следовал пожар и взрыв. Вторая причина подрывов — слиш</w:t>
      </w:r>
      <w:r w:rsidRPr="00070ADE">
        <w:rPr>
          <w:rFonts w:ascii="Times New Roman" w:hAnsi="Times New Roman"/>
          <w:color w:val="000000" w:themeColor="text1"/>
          <w:sz w:val="16"/>
          <w:szCs w:val="16"/>
        </w:rPr>
        <w:softHyphen/>
        <w:t>ком чувствительный импульсный детонатор (19630).</w:t>
      </w:r>
    </w:p>
    <w:p w14:paraId="37C64032" w14:textId="77777777" w:rsidR="000B533C" w:rsidRPr="00070ADE" w:rsidRDefault="000B533C" w:rsidP="00B56F90">
      <w:pPr>
        <w:spacing w:after="0" w:line="240" w:lineRule="auto"/>
        <w:jc w:val="both"/>
        <w:rPr>
          <w:rFonts w:ascii="Times New Roman" w:hAnsi="Times New Roman"/>
          <w:color w:val="000000" w:themeColor="text1"/>
          <w:sz w:val="16"/>
          <w:szCs w:val="16"/>
        </w:rPr>
      </w:pPr>
    </w:p>
    <w:p w14:paraId="4CC97C6E" w14:textId="77777777" w:rsidR="004F2514" w:rsidRPr="00070ADE" w:rsidRDefault="004F25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lang w:eastAsia="ru-RU" w:bidi="ru-RU"/>
        </w:rPr>
        <w:t>В марте 1944-</w:t>
      </w:r>
      <w:r w:rsidRPr="00070ADE">
        <w:rPr>
          <w:rFonts w:ascii="Times New Roman" w:hAnsi="Times New Roman"/>
          <w:color w:val="000000" w:themeColor="text1"/>
          <w:sz w:val="16"/>
          <w:szCs w:val="16"/>
        </w:rPr>
        <w:t>го стало ясно, что сильная вибрация ослабляла резьбовые соединения топливопроводов А-4. Спирт испарялся и смешивался с парогазом (кислород плюс водяной пар). «Адская смесь» попадала на раскаленное сопло дви</w:t>
      </w:r>
      <w:r w:rsidRPr="00070ADE">
        <w:rPr>
          <w:rFonts w:ascii="Times New Roman" w:hAnsi="Times New Roman"/>
          <w:color w:val="000000" w:themeColor="text1"/>
          <w:sz w:val="16"/>
          <w:szCs w:val="16"/>
        </w:rPr>
        <w:softHyphen/>
        <w:t>гателя, далее следовал пожар и взрыв. Вторая причина подрывов — слиш</w:t>
      </w:r>
      <w:r w:rsidRPr="00070ADE">
        <w:rPr>
          <w:rFonts w:ascii="Times New Roman" w:hAnsi="Times New Roman"/>
          <w:color w:val="000000" w:themeColor="text1"/>
          <w:sz w:val="16"/>
          <w:szCs w:val="16"/>
        </w:rPr>
        <w:softHyphen/>
        <w:t>ком чувствительный импульсный детонатор.</w:t>
      </w:r>
    </w:p>
    <w:p w14:paraId="68B760E6" w14:textId="77777777" w:rsidR="004F2514" w:rsidRPr="00070ADE" w:rsidRDefault="004F251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расчетам командования вер</w:t>
      </w:r>
      <w:r w:rsidRPr="00070ADE">
        <w:rPr>
          <w:rFonts w:ascii="Times New Roman" w:hAnsi="Times New Roman"/>
          <w:color w:val="000000" w:themeColor="text1"/>
          <w:sz w:val="16"/>
          <w:szCs w:val="16"/>
        </w:rPr>
        <w:softHyphen/>
        <w:t>махта, по Лондону необходимо было наносить удары каждые 20 минут. Для круглосуточного обстрела тре</w:t>
      </w:r>
      <w:r w:rsidRPr="00070ADE">
        <w:rPr>
          <w:rFonts w:ascii="Times New Roman" w:hAnsi="Times New Roman"/>
          <w:color w:val="000000" w:themeColor="text1"/>
          <w:sz w:val="16"/>
          <w:szCs w:val="16"/>
        </w:rPr>
        <w:softHyphen/>
        <w:t>бовалось около сотни А-4. Но чтобы обеспечить такой темп стрельбы, три ракетосборочных завода в Пенемюн</w:t>
      </w:r>
      <w:r w:rsidRPr="00070ADE">
        <w:rPr>
          <w:rFonts w:ascii="Times New Roman" w:hAnsi="Times New Roman"/>
          <w:color w:val="000000" w:themeColor="text1"/>
          <w:sz w:val="16"/>
          <w:szCs w:val="16"/>
        </w:rPr>
        <w:softHyphen/>
        <w:t>де, Винер-Нойштатте и Фридрихсха</w:t>
      </w:r>
      <w:r w:rsidRPr="00070ADE">
        <w:rPr>
          <w:rFonts w:ascii="Times New Roman" w:hAnsi="Times New Roman"/>
          <w:color w:val="000000" w:themeColor="text1"/>
          <w:sz w:val="16"/>
          <w:szCs w:val="16"/>
        </w:rPr>
        <w:softHyphen/>
        <w:t>фене должны отгружать около 3 ты</w:t>
      </w:r>
      <w:r w:rsidRPr="00070ADE">
        <w:rPr>
          <w:rFonts w:ascii="Times New Roman" w:hAnsi="Times New Roman"/>
          <w:color w:val="000000" w:themeColor="text1"/>
          <w:sz w:val="16"/>
          <w:szCs w:val="16"/>
        </w:rPr>
        <w:softHyphen/>
        <w:t>сяч ракет в месяц (22801).</w:t>
      </w:r>
    </w:p>
    <w:p w14:paraId="5E0D48B2" w14:textId="77777777" w:rsidR="004F2514" w:rsidRPr="00070ADE" w:rsidRDefault="004F2514" w:rsidP="00B56F90">
      <w:pPr>
        <w:spacing w:after="0" w:line="240" w:lineRule="auto"/>
        <w:jc w:val="both"/>
        <w:rPr>
          <w:rFonts w:ascii="Times New Roman" w:hAnsi="Times New Roman"/>
          <w:color w:val="000000" w:themeColor="text1"/>
          <w:sz w:val="16"/>
          <w:szCs w:val="16"/>
        </w:rPr>
      </w:pPr>
    </w:p>
    <w:p w14:paraId="4B998C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года удалось устранить аварии на восходящем отрезке траектории ракеты А-4. Катастрофы были вызваны сильной вибрацией, выводившей из строя реле, что приводило к остановке двигателя. Кроме того, она же приводила к нарушению герметичности топливопроводов во время работы двигателя – в результате распыления спирт проникал в хвостовую часть ракеты, соединялся с воздухом и загорался от пламени ракеты.</w:t>
      </w:r>
    </w:p>
    <w:p w14:paraId="5CABA4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даже после устранения этих проблем до 70% запущенных «V-2» взрывалось в конце траектории, не долетая до земли. Одной из причин преждевременных разрывов было несовершенство взрывателя. Дело в том, что первоначально на «V-2» был установлен высокочувствительный электрический взрыватель ударного действия. Снабженная таким взрывателем боеголовка должна была разрываться на поверхности, не успев зарыться в землю. В условиях же, когда большинство ракет разрушалось в полете, чувствительный взрыватель срабатывал от сотрясений, возникающих при распаде, и вызывал преждевременный взрыв ракеты в воздухе.</w:t>
      </w:r>
    </w:p>
    <w:p w14:paraId="3FC2859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это было установлено лишь летом 1944 года. А времени для устранения недостатка не оставалось. Стремительно наступавшие советские войска, освободив Белоруссию, вступили на территорию восточной Польши и приближались к учебному ракетному полигону «Хайделагер» («Heidelager») в Близне, расположенному в 150 км на северо-восток от Кракова. Ракетчикам пришлось сменить дислокацию. Эвакуация и оборудование нового полигона «Хайдекраут» («Heidekraut») близ Тухоля заняло два месяца.</w:t>
      </w:r>
    </w:p>
    <w:p w14:paraId="248C6C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 временем командование требовало начать нанесение ударов «V-2» не позднее начала сентября. Чтобы уложиться в поставленные сроки, конструкторам пришлось пожертвовать эффективностью – они поставили на ракету взрыватель с ограниченной чувствительностью, который значительно уменьшал разрушительную силу боеголовки.</w:t>
      </w:r>
    </w:p>
    <w:p w14:paraId="3A1F68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Неудачи преследовали и создателей самолета-снаряда «V-1». Из 68 боевых пусков, произведенных в течение июня и июля 1943 года, лишь 28 снарядов вообще достигли цели, что составило всего 41%. Большинство «V-1» по неизвестным причинам взрывалось практически сразу после старта. Было установлено, что одной из наиболее возможных причин аварий является повреждение поверхностей крыла. Однако проверить это предположение не представлялось возможным, а ракеты продолжали взрываться…</w:t>
      </w:r>
    </w:p>
    <w:p w14:paraId="61F1E7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Тогда конструкторы пошли на отчаянный шаг. Известнейшая в Третьем Рейхе женщина, летчик-испытатель Ханна Райч, отличавшаяся абсолютным бесстрашием, предложила переоборудовать один самолет-снаряд в пилотируемый вариант. Вместо боезаряда в носовом отсеке предлагалось установить место для наблюдателя, который, находясь в лежачем положении, должен был следить за состоянием крыльев и зафиксировать причину их поломки. Так как внешний диаметр фюзеляжа составлял всего восемьдесят сантиметров, а внутренний и того меньше, мужчина туда поместиться не мог, и Ханна Райч вызвалась добровольцем. Эта женщина имела маленький рост и щуплое телосложение. Для наблюдения пришлось встроить в фюзеляж перископ, направленный на крылья. После четырех дней испытательных полетов предположение подтвердилось, и причина неполадок была установлена, однако последний запуск закончился неудачно, и отважная летчица пострадала (11688).</w:t>
      </w:r>
    </w:p>
    <w:p w14:paraId="184858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D746569" w14:textId="686E2997" w:rsidR="0072236C" w:rsidRPr="00070ADE" w:rsidRDefault="0072236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удалось выяснить причину т.н. «высотные взрывы» А-4, которые одной из главных проблем. По неизвестной причине часть ракет взрывалась либо сразу после старта (начиная с</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высоты 4800 м), либо при снижении в районе цели (на высоте примерно 1500 м). Оказалось, что сильная вибрация корпуса ракеты ослабляла резьбовые соединения топливных магистралей, что нарушало их герметичность во время работы двигателя. Спирт испарялся и смешивался с парогазом (кислород плюс водяной пар). Когда «облако» этой смеси внутри ракеты достигало раскаленной оболочки сопла двигателя, происходил взрыв. Но после устранения этого </w:t>
      </w:r>
      <w:r w:rsidRPr="00070ADE">
        <w:rPr>
          <w:rFonts w:ascii="Times New Roman" w:hAnsi="Times New Roman"/>
          <w:color w:val="000000" w:themeColor="text1"/>
          <w:sz w:val="16"/>
          <w:szCs w:val="16"/>
        </w:rPr>
        <w:lastRenderedPageBreak/>
        <w:t>недостатка до 70 % запущенных А4 взрывались в конце траектории, не долетая до земли. Только в июне поняли, что взрывы происходили из-за слишком высокой чувствительности электрического взрывателя ударного действия. Когда ракета падала на цель, вся её конструкция начинала вибрировать под воздействием аэродинамических перегрузок, и</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прибор срабатывал (23372).</w:t>
      </w:r>
    </w:p>
    <w:p w14:paraId="156325B8" w14:textId="77777777" w:rsidR="0072236C" w:rsidRPr="00070ADE" w:rsidRDefault="0072236C" w:rsidP="00B56F90">
      <w:pPr>
        <w:spacing w:after="0" w:line="240" w:lineRule="auto"/>
        <w:jc w:val="both"/>
        <w:rPr>
          <w:rFonts w:ascii="Times New Roman" w:hAnsi="Times New Roman"/>
          <w:color w:val="000000" w:themeColor="text1"/>
          <w:sz w:val="16"/>
          <w:szCs w:val="16"/>
        </w:rPr>
      </w:pPr>
    </w:p>
    <w:p w14:paraId="2A7441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В. фон Браун, К. Ридель и Г. Греттруп были арестованы гестапо на основании подслушанного разговора. Оказалось, что эти пионеры ракетостроения вели приватную беседу о том, что их заветной целью являются межпланетные путешествия, а работа над ракетой А4 ведется ими по принуждению.</w:t>
      </w:r>
    </w:p>
    <w:p w14:paraId="48FE12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Фельдмаршал Кейтель вызвал руководителя ракетных программ сухопутных войск Германии В. Дорнбергера и сказал ему, что арестованные будут казнены по обвинению в саботаже. И только благодаря заявлению Дорнбергера под присягой, что эти люди нужны для завершения работ над проектом А4, арестованные были освобождены.</w:t>
      </w:r>
    </w:p>
    <w:p w14:paraId="561457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Больше в Третьем рейхе фон Браун разговоров о космосе не вел (11686).</w:t>
      </w:r>
    </w:p>
    <w:p w14:paraId="656CB2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600D252" w14:textId="77777777" w:rsidR="00E23482" w:rsidRPr="00070ADE" w:rsidRDefault="00E23482"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марте 1944 г. ТРД Jumo-004 был запущен в производство. Этот двигатель имел следующие параметры: тяга двигате ля на взлетном режиме — 900 кгс, удельный расход топлива на взлетном режиме— 1,4 кг/кгс.ч, расход воздуха— 21,2 кг/с степень повышения давления — 3,14, температура газа на вхо де в турбину — 1048 К, масса двигателя — 745 кг, длина дви гателя — 3 860 м, максимальный диаметр двигателя — 760 мм.</w:t>
      </w:r>
    </w:p>
    <w:p w14:paraId="38915CEB" w14:textId="77777777" w:rsidR="00E23482" w:rsidRPr="00070ADE" w:rsidRDefault="00E23482" w:rsidP="00B56F90">
      <w:pPr>
        <w:pStyle w:val="ae"/>
        <w:shd w:val="clear" w:color="auto" w:fill="FFFFFF"/>
        <w:spacing w:before="0" w:after="0"/>
        <w:jc w:val="both"/>
        <w:rPr>
          <w:color w:val="000000" w:themeColor="text1"/>
          <w:sz w:val="16"/>
          <w:szCs w:val="16"/>
        </w:rPr>
      </w:pPr>
      <w:r w:rsidRPr="00070ADE">
        <w:rPr>
          <w:color w:val="000000" w:themeColor="text1"/>
          <w:sz w:val="16"/>
          <w:szCs w:val="16"/>
        </w:rPr>
        <w:t>Разрабатывались другие модификации двигателя Jumo 004D (тяга 1050 кгс), Jumo-004H (тяга 1805 кгс), Jumo-004G (тяга 1693 кгс). В 1945 г. были проведены испытания двига теля Jumo-004E с дожиганием топлива (тяга 1000 кгс, тяга с дожиганием 1200 кгс, температура газа на входе в турбину с дожиганием — 1143 К).</w:t>
      </w:r>
    </w:p>
    <w:p w14:paraId="3BA68800" w14:textId="77777777" w:rsidR="00E23482" w:rsidRPr="00070ADE" w:rsidRDefault="00E23482"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производстве двигателей участвовали заводы, располо женные в городах Дессау, Магдебург, Кетен, Прага, Циттау и др. В связи с усилившейся бомбардировкой Германии эти пред приятия были передислоцированы в подземные убежища, наи более крупное из которых площадью 40 000 м2 располагалось вблизи города Нордхаузен. Всего в Германии было изготовле но 6 424 двигателя марки Jumo-004 (в 1943 г. — 41 шт., в 1944 г. — 1201 шт., в 1945 г. — 5182 шт.), которые устанав ливались на самолеты Ме-262 и Аг-234В.</w:t>
      </w:r>
    </w:p>
    <w:p w14:paraId="7EBC3FAA" w14:textId="77777777" w:rsidR="00E23482" w:rsidRPr="00070ADE" w:rsidRDefault="00E23482"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1945—1946 гг. Правительство СССР решило возобновить производство двигателей на заводах фирмы «Юнкере» в г. Дес сау. В этом городе располагались опытные заводы фирмы по производству авиационных двигателей и самолетов.</w:t>
      </w:r>
    </w:p>
    <w:p w14:paraId="16E34A88" w14:textId="77777777" w:rsidR="00E23482" w:rsidRPr="00070ADE" w:rsidRDefault="00E23482" w:rsidP="00B56F90">
      <w:pPr>
        <w:pStyle w:val="ae"/>
        <w:shd w:val="clear" w:color="auto" w:fill="FFFFFF"/>
        <w:spacing w:before="0" w:after="0"/>
        <w:jc w:val="both"/>
        <w:rPr>
          <w:color w:val="000000" w:themeColor="text1"/>
          <w:sz w:val="16"/>
          <w:szCs w:val="16"/>
        </w:rPr>
      </w:pPr>
      <w:r w:rsidRPr="00070ADE">
        <w:rPr>
          <w:color w:val="000000" w:themeColor="text1"/>
          <w:sz w:val="16"/>
          <w:szCs w:val="16"/>
        </w:rPr>
        <w:t>На территории завода были найдены подорванные фауст патронами двигатели Jumo-004. Предполагалось из имеющихся деталей построить двигатели Jumo-004, продолжить их совер шенствование, а также возобновить разработку двигателей Jumo-012 и Jumo-022. Для этого было организовано Особое техническое бюро МАП, руководил которым Н.М. Олехнович.</w:t>
      </w:r>
    </w:p>
    <w:p w14:paraId="28AEFAEE" w14:textId="77777777" w:rsidR="00E23482" w:rsidRPr="00070ADE" w:rsidRDefault="00E23482" w:rsidP="00B56F90">
      <w:pPr>
        <w:pStyle w:val="ae"/>
        <w:shd w:val="clear" w:color="auto" w:fill="FFFFFF"/>
        <w:spacing w:before="0" w:after="0"/>
        <w:jc w:val="both"/>
        <w:rPr>
          <w:color w:val="000000" w:themeColor="text1"/>
          <w:sz w:val="16"/>
          <w:szCs w:val="16"/>
        </w:rPr>
      </w:pPr>
      <w:r w:rsidRPr="00070ADE">
        <w:rPr>
          <w:color w:val="000000" w:themeColor="text1"/>
          <w:sz w:val="16"/>
          <w:szCs w:val="16"/>
        </w:rPr>
        <w:t>КБ под руководством доктора А. Шайбе в г. Дессау полу чило задание закончить форсирование ТРД Jumo-004F с тя гой на земле 1 200 кгс (19586).</w:t>
      </w:r>
    </w:p>
    <w:p w14:paraId="5BDD46CA" w14:textId="77777777" w:rsidR="00E23482" w:rsidRPr="00070ADE" w:rsidRDefault="00E23482" w:rsidP="00B56F90">
      <w:pPr>
        <w:pStyle w:val="ae"/>
        <w:shd w:val="clear" w:color="auto" w:fill="FFFFFF"/>
        <w:spacing w:before="0" w:after="0"/>
        <w:jc w:val="both"/>
        <w:rPr>
          <w:color w:val="000000" w:themeColor="text1"/>
          <w:sz w:val="16"/>
          <w:szCs w:val="16"/>
        </w:rPr>
      </w:pPr>
    </w:p>
    <w:p w14:paraId="52F194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появились Кертисс Р-40N, часть которых попали в СССР (173,247).</w:t>
      </w:r>
    </w:p>
    <w:p w14:paraId="18D788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AE39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 началось производство серии Fw190F-8 (9084).</w:t>
      </w:r>
    </w:p>
    <w:p w14:paraId="79D299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4B4CA9"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1944 года в одном из боев за город Проскуров командир батальона Т-34 54-й гвардейской танковой бригады 3-й гвардейской танковой армии майор С. Хохряков лично уничтожил 8 танков противника. За этот бой гвардии майор Хохряков был удостоен звания Героя Советского Союза (12217).</w:t>
      </w:r>
    </w:p>
    <w:p w14:paraId="26C8A5DF" w14:textId="77777777" w:rsidR="00137373" w:rsidRPr="00070ADE" w:rsidRDefault="00137373" w:rsidP="00B56F90">
      <w:pPr>
        <w:spacing w:after="0" w:line="240" w:lineRule="auto"/>
        <w:jc w:val="both"/>
        <w:rPr>
          <w:rFonts w:ascii="Times New Roman" w:hAnsi="Times New Roman"/>
          <w:color w:val="000000" w:themeColor="text1"/>
          <w:sz w:val="16"/>
          <w:szCs w:val="16"/>
        </w:rPr>
      </w:pPr>
    </w:p>
    <w:p w14:paraId="7A9011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марта 1944 года на танках Шерман была внедрена новая горизонтальная спирально-пружинная подвеска (HVSS), которая применялась практически на всех моделях М4 (3905).</w:t>
      </w:r>
    </w:p>
    <w:p w14:paraId="03FC9C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102A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марта 1944 г. и до конца войны выпускалась модификация танка Пантера Pz. VG. На ней толщина верхней бортовой брони была увеличена до 50 мм, отсутствовал смотровой лючок механика-водителя в лобовом листе. Благодаря мощной пушке и отличным оптическим приборам (прицел, приборы наблюдения) "Пантера" могла успешно вести бой с танками противника на расстоянии 1500-2000 м. Проверенные данные говорят, что по затрате человеко-часов на производство одной машины "Пантера" соответствовала в два раза более легкому танку Pz. IV. Всего было выпущено около 6000 "Пантер" (3905).</w:t>
      </w:r>
    </w:p>
    <w:p w14:paraId="402D86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895F9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A2576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251ABB" w14:textId="77777777" w:rsidR="0072236C" w:rsidRPr="00070ADE" w:rsidRDefault="0072236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I квартале 1944 г. на заводе № 482 в Москве началось проектирование и строительство 2-го опытного образца самолета ДВБ-102.</w:t>
      </w:r>
    </w:p>
    <w:p w14:paraId="7A7F30BA" w14:textId="77777777" w:rsidR="0072236C" w:rsidRPr="00070ADE" w:rsidRDefault="0072236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строился заводом № 288 по типу 1-го опытного самолета сразу с доработанной носовой частью и с остеклением («широкая» кабина летчика) и с металлическим крылом, а также с рядом улучшений, которые накопились по опыту испытаний 1-го опытного образца, но не могли на нем быть осуществлены. При этом среди прочего были учтены трудности с высотными силовыми установками и положительный опыт применения скоростных бомбардировщиков на малых высотах по тыловым целям (в то время – прежде всего, ВВС Великобритании с самолетами де Хэвилленд «Москито»).</w:t>
      </w:r>
    </w:p>
    <w:p w14:paraId="7C7D43A2" w14:textId="77777777" w:rsidR="0072236C" w:rsidRPr="00070ADE" w:rsidRDefault="0072236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учетом этого от герметизации кабин и дистанционно управляемых установок отказались. Самолет последовательно проектировался под разные варианты ВМГ, начиная с мотора М-120ТК, но к моменту начала сборки крупных агрегатов его мотогондолы делались под моторы МБ-100.</w:t>
      </w:r>
    </w:p>
    <w:p w14:paraId="6C9885A0" w14:textId="77777777" w:rsidR="0072236C" w:rsidRPr="00070ADE" w:rsidRDefault="0072236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планировалось передать самолет на ГИ к 01.02.44 г., но двигатели МБ-100 так и не были поставлены и на машину установили моторы М-71Ф без ТК. Самолет был полностью закончен постройкой, начата гонка ВМГ, но облетан он не был (23552).</w:t>
      </w:r>
    </w:p>
    <w:p w14:paraId="324B3AFE" w14:textId="77777777" w:rsidR="0072236C" w:rsidRPr="00070ADE" w:rsidRDefault="0072236C" w:rsidP="00B56F90">
      <w:pPr>
        <w:spacing w:after="0" w:line="240" w:lineRule="auto"/>
        <w:jc w:val="both"/>
        <w:rPr>
          <w:rFonts w:ascii="Times New Roman" w:hAnsi="Times New Roman"/>
          <w:color w:val="000000" w:themeColor="text1"/>
          <w:sz w:val="16"/>
          <w:szCs w:val="16"/>
        </w:rPr>
      </w:pPr>
    </w:p>
    <w:p w14:paraId="5A3C36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I квартале 1944 г. закончились заводские испытания истребителя И-211, которые начались 12 февраля 1943 после чего работы по нему свернули. В I квартале 1943 г. для ВВС планировалось построить 10 самолетов МиГ-9Е (5485,29).</w:t>
      </w:r>
    </w:p>
    <w:p w14:paraId="531685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0BF6B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0055A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D0ADAD" w14:textId="77777777" w:rsidR="0072236C" w:rsidRPr="00070ADE" w:rsidRDefault="0072236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марте-апреле 1944 г. доработанный под руководст</w:t>
      </w:r>
      <w:r w:rsidRPr="00070ADE">
        <w:rPr>
          <w:rFonts w:ascii="Times New Roman" w:hAnsi="Times New Roman"/>
          <w:color w:val="000000" w:themeColor="text1"/>
          <w:sz w:val="16"/>
          <w:szCs w:val="16"/>
        </w:rPr>
        <w:softHyphen/>
        <w:t>вом Флисского АМ-42 успешно прошёл Государственные испытания и был принят на снабжение ВВС Красной Армии толь</w:t>
      </w:r>
      <w:r w:rsidRPr="00070ADE">
        <w:rPr>
          <w:rFonts w:ascii="Times New Roman" w:hAnsi="Times New Roman"/>
          <w:color w:val="000000" w:themeColor="text1"/>
          <w:sz w:val="16"/>
          <w:szCs w:val="16"/>
        </w:rPr>
        <w:softHyphen/>
        <w:t>ко и уже в I квартале этого года 24-й завод дал первые серий</w:t>
      </w:r>
      <w:r w:rsidRPr="00070ADE">
        <w:rPr>
          <w:rFonts w:ascii="Times New Roman" w:hAnsi="Times New Roman"/>
          <w:color w:val="000000" w:themeColor="text1"/>
          <w:sz w:val="16"/>
          <w:szCs w:val="16"/>
        </w:rPr>
        <w:softHyphen/>
        <w:t>ные изделия, а Микулин, даже не дожида</w:t>
      </w:r>
      <w:r w:rsidRPr="00070ADE">
        <w:rPr>
          <w:rFonts w:ascii="Times New Roman" w:hAnsi="Times New Roman"/>
          <w:color w:val="000000" w:themeColor="text1"/>
          <w:sz w:val="16"/>
          <w:szCs w:val="16"/>
        </w:rPr>
        <w:softHyphen/>
        <w:t>ясь этого, в декабре 1943 г. сообщил Ми</w:t>
      </w:r>
      <w:r w:rsidRPr="00070ADE">
        <w:rPr>
          <w:rFonts w:ascii="Times New Roman" w:hAnsi="Times New Roman"/>
          <w:color w:val="000000" w:themeColor="text1"/>
          <w:sz w:val="16"/>
          <w:szCs w:val="16"/>
        </w:rPr>
        <w:softHyphen/>
        <w:t>кояну и Туполеву о своей работе над вы</w:t>
      </w:r>
      <w:r w:rsidRPr="00070ADE">
        <w:rPr>
          <w:rFonts w:ascii="Times New Roman" w:hAnsi="Times New Roman"/>
          <w:color w:val="000000" w:themeColor="text1"/>
          <w:sz w:val="16"/>
          <w:szCs w:val="16"/>
        </w:rPr>
        <w:softHyphen/>
        <w:t>сотными его модификациями, которые во</w:t>
      </w:r>
      <w:r w:rsidRPr="00070ADE">
        <w:rPr>
          <w:rFonts w:ascii="Times New Roman" w:hAnsi="Times New Roman"/>
          <w:color w:val="000000" w:themeColor="text1"/>
          <w:sz w:val="16"/>
          <w:szCs w:val="16"/>
        </w:rPr>
        <w:softHyphen/>
        <w:t>обще были пока только на бумаге.</w:t>
      </w:r>
    </w:p>
    <w:p w14:paraId="04A3C7B4" w14:textId="77777777" w:rsidR="0072236C" w:rsidRPr="00070ADE" w:rsidRDefault="0072236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работе находились, по меньшей мере, пять вариантов АМ-42 с различны</w:t>
      </w:r>
      <w:r w:rsidRPr="00070ADE">
        <w:rPr>
          <w:rFonts w:ascii="Times New Roman" w:hAnsi="Times New Roman"/>
          <w:color w:val="000000" w:themeColor="text1"/>
          <w:sz w:val="16"/>
          <w:szCs w:val="16"/>
        </w:rPr>
        <w:softHyphen/>
        <w:t>ми комбинациями систем наддува - Ми</w:t>
      </w:r>
      <w:r w:rsidRPr="00070ADE">
        <w:rPr>
          <w:rFonts w:ascii="Times New Roman" w:hAnsi="Times New Roman"/>
          <w:color w:val="000000" w:themeColor="text1"/>
          <w:sz w:val="16"/>
          <w:szCs w:val="16"/>
        </w:rPr>
        <w:softHyphen/>
        <w:t>коян выбрал модификацию с сочетанием одного турбокомпрессора ТК-300Б, кото</w:t>
      </w:r>
      <w:r w:rsidRPr="00070ADE">
        <w:rPr>
          <w:rFonts w:ascii="Times New Roman" w:hAnsi="Times New Roman"/>
          <w:color w:val="000000" w:themeColor="text1"/>
          <w:sz w:val="16"/>
          <w:szCs w:val="16"/>
        </w:rPr>
        <w:softHyphen/>
        <w:t>рый подает воздух в приводной центро</w:t>
      </w:r>
      <w:r w:rsidRPr="00070ADE">
        <w:rPr>
          <w:rFonts w:ascii="Times New Roman" w:hAnsi="Times New Roman"/>
          <w:color w:val="000000" w:themeColor="text1"/>
          <w:sz w:val="16"/>
          <w:szCs w:val="16"/>
        </w:rPr>
        <w:softHyphen/>
        <w:t>бежный нагнетатель (ПЦН) на моторе че</w:t>
      </w:r>
      <w:r w:rsidRPr="00070ADE">
        <w:rPr>
          <w:rFonts w:ascii="Times New Roman" w:hAnsi="Times New Roman"/>
          <w:color w:val="000000" w:themeColor="text1"/>
          <w:sz w:val="16"/>
          <w:szCs w:val="16"/>
        </w:rPr>
        <w:softHyphen/>
        <w:t>рез промежуточный водо-воздушный ра</w:t>
      </w:r>
      <w:r w:rsidRPr="00070ADE">
        <w:rPr>
          <w:rFonts w:ascii="Times New Roman" w:hAnsi="Times New Roman"/>
          <w:color w:val="000000" w:themeColor="text1"/>
          <w:sz w:val="16"/>
          <w:szCs w:val="16"/>
        </w:rPr>
        <w:softHyphen/>
        <w:t>диатор. Такой же ТК подобным же обра</w:t>
      </w:r>
      <w:r w:rsidRPr="00070ADE">
        <w:rPr>
          <w:rFonts w:ascii="Times New Roman" w:hAnsi="Times New Roman"/>
          <w:color w:val="000000" w:themeColor="text1"/>
          <w:sz w:val="16"/>
          <w:szCs w:val="16"/>
        </w:rPr>
        <w:softHyphen/>
        <w:t>зом стоял и на двигателях АМ-39Б уже строившегося перехватчика И-222 (само</w:t>
      </w:r>
      <w:r w:rsidRPr="00070ADE">
        <w:rPr>
          <w:rFonts w:ascii="Times New Roman" w:hAnsi="Times New Roman"/>
          <w:color w:val="000000" w:themeColor="text1"/>
          <w:sz w:val="16"/>
          <w:szCs w:val="16"/>
        </w:rPr>
        <w:softHyphen/>
        <w:t>лёт «3А») и проектируемого в то время И-224 («4А»).</w:t>
      </w:r>
    </w:p>
    <w:p w14:paraId="1A30EFA0" w14:textId="77777777" w:rsidR="0072236C" w:rsidRPr="00070ADE" w:rsidRDefault="0072236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двигателях АМ-39 ПЦН применили двухскоростной, тогда как для высотно</w:t>
      </w:r>
      <w:r w:rsidRPr="00070ADE">
        <w:rPr>
          <w:rFonts w:ascii="Times New Roman" w:hAnsi="Times New Roman"/>
          <w:color w:val="000000" w:themeColor="text1"/>
          <w:sz w:val="16"/>
          <w:szCs w:val="16"/>
        </w:rPr>
        <w:softHyphen/>
        <w:t>го АМ-42Б (он же АМ-42БТК, АМ-42Б-ТК, АМ-42ТК или АМ-42ТК-Б) оставили одно</w:t>
      </w:r>
      <w:r w:rsidRPr="00070ADE">
        <w:rPr>
          <w:rFonts w:ascii="Times New Roman" w:hAnsi="Times New Roman"/>
          <w:color w:val="000000" w:themeColor="text1"/>
          <w:sz w:val="16"/>
          <w:szCs w:val="16"/>
        </w:rPr>
        <w:softHyphen/>
        <w:t>скоростной, перепроектировав на боль</w:t>
      </w:r>
      <w:r w:rsidRPr="00070ADE">
        <w:rPr>
          <w:rFonts w:ascii="Times New Roman" w:hAnsi="Times New Roman"/>
          <w:color w:val="000000" w:themeColor="text1"/>
          <w:sz w:val="16"/>
          <w:szCs w:val="16"/>
        </w:rPr>
        <w:softHyphen/>
        <w:t>шую границу высотности. Как и на делав</w:t>
      </w:r>
      <w:r w:rsidRPr="00070ADE">
        <w:rPr>
          <w:rFonts w:ascii="Times New Roman" w:hAnsi="Times New Roman"/>
          <w:color w:val="000000" w:themeColor="text1"/>
          <w:sz w:val="16"/>
          <w:szCs w:val="16"/>
        </w:rPr>
        <w:softHyphen/>
        <w:t>шемся одновременно самолёте «4А» тур</w:t>
      </w:r>
      <w:r w:rsidRPr="00070ADE">
        <w:rPr>
          <w:rFonts w:ascii="Times New Roman" w:hAnsi="Times New Roman"/>
          <w:color w:val="000000" w:themeColor="text1"/>
          <w:sz w:val="16"/>
          <w:szCs w:val="16"/>
        </w:rPr>
        <w:softHyphen/>
        <w:t>бину вывели на правый борт - на взлёте и посадке лётчиков учили смотреть от фю</w:t>
      </w:r>
      <w:r w:rsidRPr="00070ADE">
        <w:rPr>
          <w:rFonts w:ascii="Times New Roman" w:hAnsi="Times New Roman"/>
          <w:color w:val="000000" w:themeColor="text1"/>
          <w:sz w:val="16"/>
          <w:szCs w:val="16"/>
        </w:rPr>
        <w:softHyphen/>
        <w:t>зеляжа влево, а даже с эжектором выхо</w:t>
      </w:r>
      <w:r w:rsidRPr="00070ADE">
        <w:rPr>
          <w:rFonts w:ascii="Times New Roman" w:hAnsi="Times New Roman"/>
          <w:color w:val="000000" w:themeColor="text1"/>
          <w:sz w:val="16"/>
          <w:szCs w:val="16"/>
        </w:rPr>
        <w:softHyphen/>
        <w:t>дящий из нее факел в сумерках (а тем бо</w:t>
      </w:r>
      <w:r w:rsidRPr="00070ADE">
        <w:rPr>
          <w:rFonts w:ascii="Times New Roman" w:hAnsi="Times New Roman"/>
          <w:color w:val="000000" w:themeColor="text1"/>
          <w:sz w:val="16"/>
          <w:szCs w:val="16"/>
        </w:rPr>
        <w:softHyphen/>
        <w:t>лее ночью) мог слепить.</w:t>
      </w:r>
    </w:p>
    <w:p w14:paraId="62659F8B" w14:textId="77777777" w:rsidR="0072236C" w:rsidRPr="00070ADE" w:rsidRDefault="0072236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Редуктор подобрали под новый вы</w:t>
      </w:r>
      <w:r w:rsidRPr="00070ADE">
        <w:rPr>
          <w:rFonts w:ascii="Times New Roman" w:hAnsi="Times New Roman"/>
          <w:color w:val="000000" w:themeColor="text1"/>
          <w:sz w:val="16"/>
          <w:szCs w:val="16"/>
        </w:rPr>
        <w:softHyphen/>
        <w:t>сотный воздушный винт АВ-5Ф-22И, ко</w:t>
      </w:r>
      <w:r w:rsidRPr="00070ADE">
        <w:rPr>
          <w:rFonts w:ascii="Times New Roman" w:hAnsi="Times New Roman"/>
          <w:color w:val="000000" w:themeColor="text1"/>
          <w:sz w:val="16"/>
          <w:szCs w:val="16"/>
        </w:rPr>
        <w:softHyphen/>
        <w:t>торый имел три лопасти со сравнитель</w:t>
      </w:r>
      <w:r w:rsidRPr="00070ADE">
        <w:rPr>
          <w:rFonts w:ascii="Times New Roman" w:hAnsi="Times New Roman"/>
          <w:color w:val="000000" w:themeColor="text1"/>
          <w:sz w:val="16"/>
          <w:szCs w:val="16"/>
        </w:rPr>
        <w:softHyphen/>
        <w:t>но узкими хордами, а не четыре широ</w:t>
      </w:r>
      <w:r w:rsidRPr="00070ADE">
        <w:rPr>
          <w:rFonts w:ascii="Times New Roman" w:hAnsi="Times New Roman"/>
          <w:color w:val="000000" w:themeColor="text1"/>
          <w:sz w:val="16"/>
          <w:szCs w:val="16"/>
        </w:rPr>
        <w:softHyphen/>
        <w:t>ких, как на И-224, но диаметр его был на 100 мм больше - 3,6 м, как у винта АВ-5Л-126 самолёта И-220 (23586).</w:t>
      </w:r>
    </w:p>
    <w:p w14:paraId="6FA69034" w14:textId="77777777" w:rsidR="0072236C" w:rsidRPr="00070ADE" w:rsidRDefault="0072236C" w:rsidP="00B56F90">
      <w:pPr>
        <w:spacing w:after="0" w:line="240" w:lineRule="auto"/>
        <w:jc w:val="both"/>
        <w:rPr>
          <w:rFonts w:ascii="Times New Roman" w:hAnsi="Times New Roman"/>
          <w:color w:val="000000" w:themeColor="text1"/>
          <w:sz w:val="16"/>
          <w:szCs w:val="16"/>
        </w:rPr>
      </w:pPr>
    </w:p>
    <w:p w14:paraId="286C95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марте-апреле 1944 г. проходили государственные испытания АМ-39, закончившиеся с удовлетворительными результатами. Взлетная мощность АМ-39 составляла 1800 л.с., а номинальная мощность изменялась от 1600 л.с. на высоте 1100 м до 1500 л.с. на высоте 6800 м. По своим основным характеристикам и эксплуатационным качествам АМ-39 явился еще одним важнейшим успехом ОКБ Микулина. С двигателями АМ-39 проходил заводские испытания скоростной дневной бомбардировщик Туполева типа "103" (СДБ). Отчет об этих испытаниях был утвержден ВВС в июле 1944 г. с предложением о принятии модифицированного самолета "103" на вооружение. Мотор АМ-39 устанавливался также на тяжелом пушечном истребителе ИТП М-2 конструкции Н.Н. Поликарпова. Первый полет самолет совершил 23 ноября 1943 г. Из-за недоведенности мотора летные данные самолета были определены только на первой скорости нагнетателя: удалось достичь максимальной скорости на форсаже 650 км/ч в полете на высоте всего 570 м. После доводки мотора ожидалось получение на второй расчетной высоте максимальной скорости более 700 км/ч. (9032).</w:t>
      </w:r>
    </w:p>
    <w:p w14:paraId="689FA7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E81E20" w14:textId="77777777" w:rsidR="008E2CE5" w:rsidRPr="00070ADE" w:rsidRDefault="008E2CE5"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течение всего марта и апреля 1944 на самолете ТИС (МА) велись работы по подгонке капотов моторов, уста</w:t>
      </w:r>
      <w:r w:rsidRPr="00070ADE">
        <w:rPr>
          <w:color w:val="000000" w:themeColor="text1"/>
          <w:sz w:val="16"/>
          <w:szCs w:val="16"/>
        </w:rPr>
        <w:softHyphen/>
        <w:t>новке и отладке водо- и маслосистем, патронных ящиков и рукавов питания, оборудования кабин, а также устранялись производственные дефек</w:t>
      </w:r>
      <w:r w:rsidRPr="00070ADE">
        <w:rPr>
          <w:color w:val="000000" w:themeColor="text1"/>
          <w:sz w:val="16"/>
          <w:szCs w:val="16"/>
        </w:rPr>
        <w:softHyphen/>
        <w:t>ты и выполнялись отделочные работы (окраска и шпаклевка консолей, капотов и фюзеляжа). Са</w:t>
      </w:r>
      <w:r w:rsidRPr="00070ADE">
        <w:rPr>
          <w:color w:val="000000" w:themeColor="text1"/>
          <w:sz w:val="16"/>
          <w:szCs w:val="16"/>
        </w:rPr>
        <w:softHyphen/>
        <w:t>молет дважды планировали передать на летно-ис- пытательную станцию завода, но всякий раз сроки переносили. Задержки объяснялись тем, что «под</w:t>
      </w:r>
      <w:r w:rsidRPr="00070ADE">
        <w:rPr>
          <w:color w:val="000000" w:themeColor="text1"/>
          <w:sz w:val="16"/>
          <w:szCs w:val="16"/>
        </w:rPr>
        <w:softHyphen/>
        <w:t>гонка всех деталей и агрегатов производится по месту, так как рабочих чертежей для монтажа не имеется».</w:t>
      </w:r>
    </w:p>
    <w:p w14:paraId="16D89DAD" w14:textId="77777777" w:rsidR="008E2CE5" w:rsidRPr="00070ADE" w:rsidRDefault="008E2CE5"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lastRenderedPageBreak/>
        <w:t>Летной готовности ТИС (МА) достиг к 1 июня 1944 г. К этому дню выполнили рулежки и подлеты. Поведение самолета было вполне нормальным. По</w:t>
      </w:r>
      <w:r w:rsidRPr="00070ADE">
        <w:rPr>
          <w:color w:val="000000" w:themeColor="text1"/>
          <w:sz w:val="16"/>
          <w:szCs w:val="16"/>
        </w:rPr>
        <w:softHyphen/>
        <w:t>сле регулировки моторов и устранения некоторых мелких производственных дефектов ОКБ офици</w:t>
      </w:r>
      <w:r w:rsidRPr="00070ADE">
        <w:rPr>
          <w:color w:val="000000" w:themeColor="text1"/>
          <w:sz w:val="16"/>
          <w:szCs w:val="16"/>
        </w:rPr>
        <w:softHyphen/>
        <w:t>ально доложило о готовности самолета ТИС (МА) совершить первый испытательный полет 8 июня. Необходимые документы, подтверждающие готов</w:t>
      </w:r>
      <w:r w:rsidRPr="00070ADE">
        <w:rPr>
          <w:color w:val="000000" w:themeColor="text1"/>
          <w:sz w:val="16"/>
          <w:szCs w:val="16"/>
        </w:rPr>
        <w:softHyphen/>
        <w:t>ность машины, вместе с запросом на полет бы</w:t>
      </w:r>
      <w:r w:rsidRPr="00070ADE">
        <w:rPr>
          <w:color w:val="000000" w:themeColor="text1"/>
          <w:sz w:val="16"/>
          <w:szCs w:val="16"/>
        </w:rPr>
        <w:softHyphen/>
        <w:t>ли направлены в НКАП. Разрешение заместителя наркома А. С. Яковлева на первый вылет было по</w:t>
      </w:r>
      <w:r w:rsidRPr="00070ADE">
        <w:rPr>
          <w:color w:val="000000" w:themeColor="text1"/>
          <w:sz w:val="16"/>
          <w:szCs w:val="16"/>
        </w:rPr>
        <w:softHyphen/>
        <w:t>лучено только 13 июня. В этот же день летчик-ис</w:t>
      </w:r>
      <w:r w:rsidRPr="00070ADE">
        <w:rPr>
          <w:color w:val="000000" w:themeColor="text1"/>
          <w:sz w:val="16"/>
          <w:szCs w:val="16"/>
        </w:rPr>
        <w:softHyphen/>
        <w:t>пытатель Н. В. Гаврилов поднял машину в воздух. Полет прошел без происшествий, строго по плану. Температуры воды и масла в полете были в преде</w:t>
      </w:r>
      <w:r w:rsidRPr="00070ADE">
        <w:rPr>
          <w:color w:val="000000" w:themeColor="text1"/>
          <w:sz w:val="16"/>
          <w:szCs w:val="16"/>
        </w:rPr>
        <w:softHyphen/>
        <w:t>лах нормы. Посадка была выполнена на повышен</w:t>
      </w:r>
      <w:r w:rsidRPr="00070ADE">
        <w:rPr>
          <w:color w:val="000000" w:themeColor="text1"/>
          <w:sz w:val="16"/>
          <w:szCs w:val="16"/>
        </w:rPr>
        <w:softHyphen/>
        <w:t>ной скорости примерно 250—270 км/ч. По заявле</w:t>
      </w:r>
      <w:r w:rsidRPr="00070ADE">
        <w:rPr>
          <w:color w:val="000000" w:themeColor="text1"/>
          <w:sz w:val="16"/>
          <w:szCs w:val="16"/>
        </w:rPr>
        <w:softHyphen/>
        <w:t>нию летчика, «рулей высоты на посадку хватило, но без запаса. Остальные рули эффективны. По</w:t>
      </w:r>
      <w:r w:rsidRPr="00070ADE">
        <w:rPr>
          <w:color w:val="000000" w:themeColor="text1"/>
          <w:sz w:val="16"/>
          <w:szCs w:val="16"/>
        </w:rPr>
        <w:softHyphen/>
        <w:t>перечная устойчивость самолета больше продоль</w:t>
      </w:r>
      <w:r w:rsidRPr="00070ADE">
        <w:rPr>
          <w:color w:val="000000" w:themeColor="text1"/>
          <w:sz w:val="16"/>
          <w:szCs w:val="16"/>
        </w:rPr>
        <w:softHyphen/>
        <w:t>ной, что делает самолет неприятным в пилотиро</w:t>
      </w:r>
      <w:r w:rsidRPr="00070ADE">
        <w:rPr>
          <w:color w:val="000000" w:themeColor="text1"/>
          <w:sz w:val="16"/>
          <w:szCs w:val="16"/>
        </w:rPr>
        <w:softHyphen/>
        <w:t>вании».</w:t>
      </w:r>
    </w:p>
    <w:p w14:paraId="0F25A67B" w14:textId="77777777" w:rsidR="008E2CE5" w:rsidRPr="00070ADE" w:rsidRDefault="008E2CE5"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ходе очередного испытательного полета 21 июня не убралась левая стойка шасси. Как выяс</w:t>
      </w:r>
      <w:r w:rsidRPr="00070ADE">
        <w:rPr>
          <w:color w:val="000000" w:themeColor="text1"/>
          <w:sz w:val="16"/>
          <w:szCs w:val="16"/>
        </w:rPr>
        <w:softHyphen/>
        <w:t>нилось, сработалась собачка замка шасси. Самолет встал в ремонт. 29 июня при посадке без щитков (Н. В. Гаврилов забыл выпустить их) в конце пробе</w:t>
      </w:r>
      <w:r w:rsidRPr="00070ADE">
        <w:rPr>
          <w:color w:val="000000" w:themeColor="text1"/>
          <w:sz w:val="16"/>
          <w:szCs w:val="16"/>
        </w:rPr>
        <w:softHyphen/>
        <w:t>га отказали тормоза, самолет выкатился за пределы аэродрома, попал в канаву и подломал левую стой</w:t>
      </w:r>
      <w:r w:rsidRPr="00070ADE">
        <w:rPr>
          <w:color w:val="000000" w:themeColor="text1"/>
          <w:sz w:val="16"/>
          <w:szCs w:val="16"/>
        </w:rPr>
        <w:softHyphen/>
        <w:t>ку основного шасси. Очередной ремонт самолета продолжался до 30 июля. Пришлось ремонтиро</w:t>
      </w:r>
      <w:r w:rsidRPr="00070ADE">
        <w:rPr>
          <w:color w:val="000000" w:themeColor="text1"/>
          <w:sz w:val="16"/>
          <w:szCs w:val="16"/>
        </w:rPr>
        <w:softHyphen/>
        <w:t>вать фюзеляж, крыло, шасси и оперение. Заменили левую мотораму, оба мотора и винты. Одновремен</w:t>
      </w:r>
      <w:r w:rsidRPr="00070ADE">
        <w:rPr>
          <w:color w:val="000000" w:themeColor="text1"/>
          <w:sz w:val="16"/>
          <w:szCs w:val="16"/>
        </w:rPr>
        <w:softHyphen/>
        <w:t>но для увеличения запаса рулей высоты на посадке изменили угол установки стабилизатора на —2°30'. При первых же пробежках после ремонта 30 июля обнаружилось, что тормоза колес шасси работают все так же недостаточно эффективно и посадка на Центральном аэродроме возможна лишь в од</w:t>
      </w:r>
      <w:r w:rsidRPr="00070ADE">
        <w:rPr>
          <w:color w:val="000000" w:themeColor="text1"/>
          <w:sz w:val="16"/>
          <w:szCs w:val="16"/>
        </w:rPr>
        <w:softHyphen/>
        <w:t>ном направлении. По этой причине было приня</w:t>
      </w:r>
      <w:r w:rsidRPr="00070ADE">
        <w:rPr>
          <w:color w:val="000000" w:themeColor="text1"/>
          <w:sz w:val="16"/>
          <w:szCs w:val="16"/>
        </w:rPr>
        <w:softHyphen/>
        <w:t>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в целом завершить программу заводских летных испытаний. К сожа</w:t>
      </w:r>
      <w:r w:rsidRPr="00070ADE">
        <w:rPr>
          <w:color w:val="000000" w:themeColor="text1"/>
          <w:sz w:val="16"/>
          <w:szCs w:val="16"/>
        </w:rPr>
        <w:softHyphen/>
        <w:t>лению, в этот день при взлете произошел обрыв ушка крепления цилиндра подъема шасси с обры</w:t>
      </w:r>
      <w:r w:rsidRPr="00070ADE">
        <w:rPr>
          <w:color w:val="000000" w:themeColor="text1"/>
          <w:sz w:val="16"/>
          <w:szCs w:val="16"/>
        </w:rPr>
        <w:softHyphen/>
        <w:t>вом воздушной проводки, в результате чего шасси осталось в незафиксированном положении. При посадке на аэродром Раменское шасси сложилось. Помялись нижние капоты моторов и маслорадиато- ры. Погнулись оба винта. Но главное, деформиро</w:t>
      </w:r>
      <w:r w:rsidRPr="00070ADE">
        <w:rPr>
          <w:color w:val="000000" w:themeColor="text1"/>
          <w:sz w:val="16"/>
          <w:szCs w:val="16"/>
        </w:rPr>
        <w:softHyphen/>
        <w:t>вался фюзеляж. Самолету требовался длительный ремонт (17500).</w:t>
      </w:r>
    </w:p>
    <w:p w14:paraId="32706BBD" w14:textId="77777777" w:rsidR="008E2CE5" w:rsidRPr="00070ADE" w:rsidRDefault="008E2CE5" w:rsidP="00B56F90">
      <w:pPr>
        <w:spacing w:after="0" w:line="240" w:lineRule="auto"/>
        <w:jc w:val="both"/>
        <w:rPr>
          <w:rFonts w:ascii="Times New Roman" w:eastAsia="Times New Roman" w:hAnsi="Times New Roman"/>
          <w:color w:val="000000" w:themeColor="text1"/>
          <w:sz w:val="16"/>
          <w:szCs w:val="16"/>
          <w:lang w:eastAsia="ru-RU"/>
        </w:rPr>
      </w:pPr>
    </w:p>
    <w:p w14:paraId="1DE20E3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4477A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33F8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марте-апреле 1944 года были проведены первые полигонные испытания 82-мм легкое пехотное орудие СКБ-34. В ходе этих испытаний произошло разрушение сварных швов лафета (3861).</w:t>
      </w:r>
    </w:p>
    <w:p w14:paraId="75CEBC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1E7B7C" w14:textId="28AA1625" w:rsidR="00E23482" w:rsidRPr="00070ADE" w:rsidRDefault="00E23482" w:rsidP="00B56F90">
      <w:pPr>
        <w:spacing w:after="0" w:line="240" w:lineRule="auto"/>
        <w:jc w:val="both"/>
        <w:rPr>
          <w:rFonts w:ascii="Times New Roman" w:hAnsi="Times New Roman"/>
          <w:color w:val="000000" w:themeColor="text1"/>
          <w:sz w:val="16"/>
          <w:szCs w:val="16"/>
          <w:shd w:val="clear" w:color="auto" w:fill="FFFFFF"/>
        </w:rPr>
      </w:pPr>
      <w:r w:rsidRPr="00070ADE">
        <w:rPr>
          <w:rFonts w:ascii="Times New Roman" w:hAnsi="Times New Roman"/>
          <w:color w:val="000000" w:themeColor="text1"/>
          <w:sz w:val="16"/>
          <w:szCs w:val="16"/>
          <w:shd w:val="clear" w:color="auto" w:fill="FFFFFF"/>
        </w:rPr>
        <w:t xml:space="preserve">В марте-апреле 1944 года были первый раз проведены полигонные испытания </w:t>
      </w:r>
      <w:r w:rsidRPr="00070ADE">
        <w:rPr>
          <w:rStyle w:val="a7"/>
          <w:rFonts w:ascii="Times New Roman" w:hAnsi="Times New Roman"/>
          <w:b w:val="0"/>
          <w:color w:val="000000" w:themeColor="text1"/>
          <w:sz w:val="16"/>
          <w:szCs w:val="16"/>
          <w:shd w:val="clear" w:color="auto" w:fill="FFFFFF"/>
        </w:rPr>
        <w:t>82-мм легкого пехотного орудия</w:t>
      </w:r>
      <w:r w:rsidRPr="00070ADE">
        <w:rPr>
          <w:rFonts w:ascii="Times New Roman" w:hAnsi="Times New Roman"/>
          <w:color w:val="000000" w:themeColor="text1"/>
          <w:sz w:val="16"/>
          <w:szCs w:val="16"/>
          <w:shd w:val="clear" w:color="auto" w:fill="FFFFFF"/>
        </w:rPr>
        <w:t xml:space="preserve"> СКБ-34, спроектированого в СКБ-НКВ (Коломна). СКБ-34 оказалось суперуниверсальным орудием — оно могло вести навесной огонь 82-мм минами как обычный миномет, вести борьбу с танками и даже с самолетами. То есть это был миномет, полевая пушка, противотанковая и зенитная пушки в одной системе — можно сказать, предшественник орудия «Нона». Орудие имело разнообразный боекомплект; в него входили: обычная 82-мм мина для навесной стрельбы (заряды, как в обычных минометах); унитарный выстрел для настильной стрельбы. Оперенный снаряд для него был спроектирован в СКБ-48;</w:t>
      </w:r>
      <w:r w:rsidR="00C63BA9">
        <w:rPr>
          <w:rFonts w:ascii="Times New Roman" w:hAnsi="Times New Roman"/>
          <w:color w:val="000000" w:themeColor="text1"/>
          <w:sz w:val="16"/>
          <w:szCs w:val="16"/>
          <w:shd w:val="clear" w:color="auto" w:fill="FFFFFF"/>
        </w:rPr>
        <w:t xml:space="preserve"> </w:t>
      </w:r>
      <w:r w:rsidRPr="00070ADE">
        <w:rPr>
          <w:rFonts w:ascii="Times New Roman" w:hAnsi="Times New Roman"/>
          <w:color w:val="000000" w:themeColor="text1"/>
          <w:sz w:val="16"/>
          <w:szCs w:val="16"/>
          <w:shd w:val="clear" w:color="auto" w:fill="FFFFFF"/>
        </w:rPr>
        <w:t>82-мм противотанковая кумулятивная мина конструкции СКБ-НКВ; унитарный зенитный выстрел с дистанционным взрывателем; унитарный выстрел с картечью. При ведении навесного огня при углах, больших 45°, заряжание производилось с дула, а настильного — с казенной части. Стрельба при углах свыше 45° велась с помощью вставленной с казны постоянной железной гильзы с жестким бойком, то есть воспламенителя Стокса. Стрельба при малых углах возвышения (до +5°) велась с колес, а при больших углах — с двух опорных плит. При постановке системы на плиты колеса приподнимались на 40-60 мм над грунтом.</w:t>
      </w:r>
    </w:p>
    <w:p w14:paraId="07740337" w14:textId="77777777" w:rsidR="00E23482" w:rsidRPr="00070ADE" w:rsidRDefault="00E23482" w:rsidP="00B56F90">
      <w:pPr>
        <w:spacing w:after="0" w:line="240" w:lineRule="auto"/>
        <w:jc w:val="both"/>
        <w:rPr>
          <w:rFonts w:ascii="Times New Roman" w:hAnsi="Times New Roman"/>
          <w:color w:val="000000" w:themeColor="text1"/>
          <w:sz w:val="16"/>
          <w:szCs w:val="16"/>
          <w:shd w:val="clear" w:color="auto" w:fill="FFFFFF"/>
        </w:rPr>
      </w:pPr>
      <w:r w:rsidRPr="00070ADE">
        <w:rPr>
          <w:rFonts w:ascii="Times New Roman" w:hAnsi="Times New Roman"/>
          <w:color w:val="000000" w:themeColor="text1"/>
          <w:sz w:val="16"/>
          <w:szCs w:val="16"/>
          <w:shd w:val="clear" w:color="auto" w:fill="FFFFFF"/>
        </w:rPr>
        <w:t>Ствол орудия — моноблок с иавинтным казенником. Канал ствола гладкий. Затвор горизонтальный клиновой. Люлька с противооткатными устройствами взята штатная от 45-мм противотанковой пушки обр. 1937 г. Единственное изменение в ней — шесть дополнительных канавок в цилиндре тормоза отката. Верхний станок штампосварной. Уравновешивающий механизм пружинный, тянущего типа. Поворотный механизм винтовой. Подъемный механизм секторный. Боевая ось коробчатая сварная. Колеса мотоциклетные.</w:t>
      </w:r>
    </w:p>
    <w:p w14:paraId="08AC0D2E" w14:textId="106ECDCE" w:rsidR="00E23482" w:rsidRPr="00070ADE" w:rsidRDefault="00E2348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Согласно заключению комиссии по полигонным испытаниям от 23 июня 1944 года: кучность системы при стрельбе с дистанции 500 м хуже кучности 76-мм полковой пушки обр. 1943 г.</w:t>
      </w:r>
      <w:r w:rsidR="00C63BA9">
        <w:rPr>
          <w:rFonts w:ascii="Times New Roman" w:hAnsi="Times New Roman"/>
          <w:color w:val="000000" w:themeColor="text1"/>
          <w:sz w:val="16"/>
          <w:szCs w:val="16"/>
          <w:shd w:val="clear" w:color="auto" w:fill="FFFFFF"/>
        </w:rPr>
        <w:t xml:space="preserve"> </w:t>
      </w:r>
      <w:r w:rsidRPr="00070ADE">
        <w:rPr>
          <w:rFonts w:ascii="Times New Roman" w:hAnsi="Times New Roman"/>
          <w:color w:val="000000" w:themeColor="text1"/>
          <w:sz w:val="16"/>
          <w:szCs w:val="16"/>
          <w:shd w:val="clear" w:color="auto" w:fill="FFFFFF"/>
        </w:rPr>
        <w:t>Прочность пружин подрессоривания и сварных швов при возке неудовлетворительны. Железная гильза с бойком для самонакалывания после стрельбы плохо экстрактируется. Щитовое прикрытие не полностью прикрывает расчет. Тем не менее комиссия рекомендовала изготовить опытную серию орудий для войсковых испытаний. Дальнейшая сульба орудия неизвестна (19615).</w:t>
      </w:r>
    </w:p>
    <w:p w14:paraId="4B825A07" w14:textId="77777777" w:rsidR="00E23482" w:rsidRPr="00070ADE" w:rsidRDefault="00E23482" w:rsidP="00B56F90">
      <w:pPr>
        <w:spacing w:after="0" w:line="240" w:lineRule="auto"/>
        <w:jc w:val="both"/>
        <w:rPr>
          <w:rFonts w:ascii="Times New Roman" w:hAnsi="Times New Roman"/>
          <w:color w:val="000000" w:themeColor="text1"/>
          <w:sz w:val="16"/>
          <w:szCs w:val="16"/>
        </w:rPr>
      </w:pPr>
    </w:p>
    <w:p w14:paraId="4C3C7AA9" w14:textId="77777777" w:rsidR="00A70C49" w:rsidRPr="00C94B78" w:rsidRDefault="00A70C4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марте-апреле 1944 г. эталонный вариант СЧ с взрывателем для уничтожения прибора проходил испытания в НИИ ВВС. Первые приборы не имели средств уничтожения на случай угрозы захвата против</w:t>
      </w:r>
      <w:r w:rsidRPr="00C94B78">
        <w:rPr>
          <w:rStyle w:val="aff1"/>
          <w:rFonts w:ascii="Times New Roman" w:hAnsi="Times New Roman" w:cs="Times New Roman"/>
          <w:color w:val="0070C0"/>
          <w:spacing w:val="0"/>
          <w:sz w:val="16"/>
          <w:szCs w:val="16"/>
        </w:rPr>
        <w:softHyphen/>
        <w:t>ником. В ходе передачи производства с Радиозавода- института на завод № 339 началось внедрение штатных взрывателей.</w:t>
      </w:r>
      <w:r w:rsidRPr="00A70C49">
        <w:rPr>
          <w:rStyle w:val="aff3"/>
          <w:rFonts w:ascii="Times New Roman" w:hAnsi="Times New Roman" w:cs="Times New Roman"/>
          <w:color w:val="0070C0"/>
          <w:sz w:val="16"/>
          <w:szCs w:val="16"/>
          <w:lang w:val="ru-RU"/>
        </w:rPr>
        <w:t xml:space="preserve"> </w:t>
      </w:r>
      <w:r w:rsidRPr="00C94B78">
        <w:rPr>
          <w:rStyle w:val="aff1"/>
          <w:rFonts w:ascii="Times New Roman" w:hAnsi="Times New Roman" w:cs="Times New Roman"/>
          <w:color w:val="0070C0"/>
          <w:spacing w:val="0"/>
          <w:sz w:val="16"/>
          <w:szCs w:val="16"/>
        </w:rPr>
        <w:t>С ноября 1944 г. взрывателями комплектовались все СЧ (25594).</w:t>
      </w:r>
    </w:p>
    <w:p w14:paraId="473A8CF2" w14:textId="77777777" w:rsidR="00A70C49" w:rsidRPr="00C94B78" w:rsidRDefault="00A70C49" w:rsidP="00B56F90">
      <w:pPr>
        <w:spacing w:after="0" w:line="240" w:lineRule="auto"/>
        <w:jc w:val="both"/>
        <w:rPr>
          <w:rFonts w:ascii="Times New Roman" w:hAnsi="Times New Roman"/>
          <w:color w:val="0070C0"/>
          <w:sz w:val="16"/>
          <w:szCs w:val="16"/>
        </w:rPr>
      </w:pPr>
    </w:p>
    <w:p w14:paraId="2C3DFACE" w14:textId="77777777" w:rsidR="00A70C49" w:rsidRPr="00C94B78" w:rsidRDefault="00A70C4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марте-апреле 1944 года на Гороховецком артиллерийском полигоне прошел основной этап испытаний опытного образца гаубицы Б-4 на шасси КВ-1с – проекта С-51 ЦАКБ Грабина. В ходе этих тестов прототип прошел 115 км и произвел 209 выстрелов. Результаты оказались неутешительными и выявили фатальные недостатки конструкции.</w:t>
      </w:r>
    </w:p>
    <w:p w14:paraId="60CB70F9" w14:textId="77777777" w:rsidR="00A70C49" w:rsidRPr="00C94B78" w:rsidRDefault="00A70C4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Главной проблемой, которую не смогли решить конструкторы, стала огромная сила отдачи 203-мм гаубицы, многократно усиленная высокой линией огня. При выстреле САУ испытывала сильнейший динамический удар. Машина не просто сильно раскачивалась — ее буквально отбрасывало назад, причем часто с боковым смещением. Это полностью сбивало наводку, делая невозможной быструю корректировку огня и ведение прицельной стрельбы. При стрельбе на больших углах возвышения отдача становилась настолько мощной, что представляла прямую физическую угрозу для экипажа. Расчет, работавший на открытой кормовой платформе, рисковал быть сброшенным с машины силой инерции. Устойчивость САУ была признана абсолютно неудовлетворительной. В отчетах по итогам испытаний указывалось, что для минимально приемлемой эксплуатации машина нуждается в установке мощных кормовых сошников, аналогичных тем, что используются на буксируемых орудиях. Однако это свело бы на нет главное преимущество самоходной установки — возможность быстрой смены позиции.</w:t>
      </w:r>
    </w:p>
    <w:p w14:paraId="77B9ECE0" w14:textId="77777777" w:rsidR="00A70C49" w:rsidRPr="00C94B78" w:rsidRDefault="00A70C4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 результатам испытаний С-51 не была принята на вооружение РККА, и проект был закрыт (25600).</w:t>
      </w:r>
    </w:p>
    <w:p w14:paraId="32C14736" w14:textId="77777777" w:rsidR="00A70C49" w:rsidRPr="00C94B78" w:rsidRDefault="00A70C49" w:rsidP="00B56F90">
      <w:pPr>
        <w:spacing w:after="0" w:line="240" w:lineRule="auto"/>
        <w:jc w:val="both"/>
        <w:rPr>
          <w:rFonts w:ascii="Times New Roman" w:hAnsi="Times New Roman"/>
          <w:color w:val="0070C0"/>
          <w:sz w:val="16"/>
          <w:szCs w:val="16"/>
        </w:rPr>
      </w:pPr>
    </w:p>
    <w:p w14:paraId="62C4A0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 апреле 1944 г. был из</w:t>
      </w:r>
      <w:r w:rsidRPr="00070ADE">
        <w:rPr>
          <w:rFonts w:ascii="Times New Roman" w:hAnsi="Times New Roman"/>
          <w:color w:val="000000" w:themeColor="text1"/>
          <w:sz w:val="16"/>
          <w:szCs w:val="16"/>
        </w:rPr>
        <w:softHyphen/>
        <w:t>готовлен заводом № 100 танк "Объект 245" (за</w:t>
      </w:r>
      <w:r w:rsidRPr="00070ADE">
        <w:rPr>
          <w:rFonts w:ascii="Times New Roman" w:hAnsi="Times New Roman"/>
          <w:color w:val="000000" w:themeColor="text1"/>
          <w:sz w:val="16"/>
          <w:szCs w:val="16"/>
        </w:rPr>
        <w:softHyphen/>
        <w:t>водское обозначение - ИС-4), вооруженный 100-мм пушкой Д-10Т за</w:t>
      </w:r>
      <w:r w:rsidRPr="00070ADE">
        <w:rPr>
          <w:rFonts w:ascii="Times New Roman" w:hAnsi="Times New Roman"/>
          <w:color w:val="000000" w:themeColor="text1"/>
          <w:sz w:val="16"/>
          <w:szCs w:val="16"/>
        </w:rPr>
        <w:softHyphen/>
        <w:t>вода № 9 НКВ с баллистикой морской пушки Б-34 (длина ствола 56 ка</w:t>
      </w:r>
      <w:r w:rsidRPr="00070ADE">
        <w:rPr>
          <w:rFonts w:ascii="Times New Roman" w:hAnsi="Times New Roman"/>
          <w:color w:val="000000" w:themeColor="text1"/>
          <w:sz w:val="16"/>
          <w:szCs w:val="16"/>
        </w:rPr>
        <w:softHyphen/>
        <w:t>либров, начальная скорость бронебойного снаряда 900 м/с). Ведущим инженером машины от завода № 100 был Н.И. Заморянский, а по пушке Д-10Т от завода № 9 - М.Е. Безусов (10703).</w:t>
      </w:r>
    </w:p>
    <w:p w14:paraId="2C5B8A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E349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 апреле на заводе № 9 НКВ была произведена установка основного оружия в башню танка Объект 245 (ИС-4). Ведущим инженером машины от завода № 100 был Н.И. Заморянский, от завода № 9 - М.Е. Безусов. В период с марта по апрель и в июне 1944 г. машина прошла заводские испытания. На вооружение танк не принимался и серийном производстве не состоял. Танк был создан на базе серийного танка ИС-1 и отличался от него установкой 100-мм пушки Д-10Т с длиной ствола 56 калибров и клино</w:t>
      </w:r>
      <w:r w:rsidRPr="00070ADE">
        <w:rPr>
          <w:rFonts w:ascii="Times New Roman" w:hAnsi="Times New Roman"/>
          <w:color w:val="000000" w:themeColor="text1"/>
          <w:sz w:val="16"/>
          <w:szCs w:val="16"/>
        </w:rPr>
        <w:softHyphen/>
        <w:t>вым затвором. Высота линии огня составляла 1950 мм, длина отката -570 мм. Вместе с пушкой был спарен 7,62-мм пулемет ДТ. Для наводки в цель спаренной установки оружия использовался телескопический шарнирный прицел ТШ с 2,5-кратным увеличением. Углы вертикаль</w:t>
      </w:r>
      <w:r w:rsidRPr="00070ADE">
        <w:rPr>
          <w:rFonts w:ascii="Times New Roman" w:hAnsi="Times New Roman"/>
          <w:color w:val="000000" w:themeColor="text1"/>
          <w:sz w:val="16"/>
          <w:szCs w:val="16"/>
        </w:rPr>
        <w:softHyphen/>
        <w:t>ной наводки пушки находились в интервале от -3 до +20°. Для удале</w:t>
      </w:r>
      <w:r w:rsidRPr="00070ADE">
        <w:rPr>
          <w:rFonts w:ascii="Times New Roman" w:hAnsi="Times New Roman"/>
          <w:color w:val="000000" w:themeColor="text1"/>
          <w:sz w:val="16"/>
          <w:szCs w:val="16"/>
        </w:rPr>
        <w:softHyphen/>
        <w:t>ния пороховых газов из боевого отделения применялся вентилятор по</w:t>
      </w:r>
      <w:r w:rsidRPr="00070ADE">
        <w:rPr>
          <w:rFonts w:ascii="Times New Roman" w:hAnsi="Times New Roman"/>
          <w:color w:val="000000" w:themeColor="text1"/>
          <w:sz w:val="16"/>
          <w:szCs w:val="16"/>
        </w:rPr>
        <w:softHyphen/>
        <w:t>вышенной производительности (10703).</w:t>
      </w:r>
    </w:p>
    <w:p w14:paraId="00862C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6335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с марта по апрель и в июне 1944 г. машина Объект 245 (ИС-4) прошла заводские испытания. На вооружение танк не принимался и серийном производстве не состоял. Танк был создан на базе серийного танка ИС-1 и отличался от него установкой 100-мм пушки Д-10Т с длиной ствола 56 калибров и клино</w:t>
      </w:r>
      <w:r w:rsidRPr="00070ADE">
        <w:rPr>
          <w:rFonts w:ascii="Times New Roman" w:hAnsi="Times New Roman"/>
          <w:color w:val="000000" w:themeColor="text1"/>
          <w:sz w:val="16"/>
          <w:szCs w:val="16"/>
        </w:rPr>
        <w:softHyphen/>
        <w:t>вым затвором. Высота линии огня составляла 1950 мм, длина отката -570 мм. Вместе с пушкой был спарен 7,62-мм пулемет ДТ. Для наводки в цель спаренной установки оружия использовался телескопический шарнирный прицел ТШ с 2,5-кратным увеличением. Углы вертикаль</w:t>
      </w:r>
      <w:r w:rsidRPr="00070ADE">
        <w:rPr>
          <w:rFonts w:ascii="Times New Roman" w:hAnsi="Times New Roman"/>
          <w:color w:val="000000" w:themeColor="text1"/>
          <w:sz w:val="16"/>
          <w:szCs w:val="16"/>
        </w:rPr>
        <w:softHyphen/>
        <w:t>ной наводки пушки находились в интервале от -3 до +20°. Для удале</w:t>
      </w:r>
      <w:r w:rsidRPr="00070ADE">
        <w:rPr>
          <w:rFonts w:ascii="Times New Roman" w:hAnsi="Times New Roman"/>
          <w:color w:val="000000" w:themeColor="text1"/>
          <w:sz w:val="16"/>
          <w:szCs w:val="16"/>
        </w:rPr>
        <w:softHyphen/>
        <w:t>ния пороховых газов из боевого отделения применялся вентилятор по</w:t>
      </w:r>
      <w:r w:rsidRPr="00070ADE">
        <w:rPr>
          <w:rFonts w:ascii="Times New Roman" w:hAnsi="Times New Roman"/>
          <w:color w:val="000000" w:themeColor="text1"/>
          <w:sz w:val="16"/>
          <w:szCs w:val="16"/>
        </w:rPr>
        <w:softHyphen/>
        <w:t>вышенной производительности (10703).</w:t>
      </w:r>
    </w:p>
    <w:p w14:paraId="170488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E866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 апреле 1944 г. испытания танка Объект 245 (ИС-4) на Горохо вецком АНИОПе выявили недостатки в работе полуавтоматики пушки которая была отправлена на завод № 9 для доработки. В июне 1944 г. до работанная и изготовленная заводом № 4 пушка Д-10Т на заводе № 100 была вновь установлена в танке "Объект 245" и повторно подвергну полигонным испытаниям. Кроме того, в боевом отделении танка бы установлен вентилятор более высокой производительности и измене: наклон хомутиковой укладки выстрелов (10703).</w:t>
      </w:r>
    </w:p>
    <w:p w14:paraId="25BA0B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6A02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марте-апреле 1944 г. в Кубинке проходили первые испытания макетного образца стабилизатор для 85мм пушки Т-34, который был разработан специаль</w:t>
      </w:r>
      <w:r w:rsidRPr="00070ADE">
        <w:rPr>
          <w:rFonts w:ascii="Times New Roman" w:hAnsi="Times New Roman"/>
          <w:color w:val="000000" w:themeColor="text1"/>
          <w:sz w:val="16"/>
          <w:szCs w:val="16"/>
        </w:rPr>
        <w:softHyphen/>
        <w:t>ным конструкторским бюро Наркомата судостроения под руководством А. Атовмьяна по теме «Таран»., но закончились не вполне удачно, так как орудие ЗИС-С-53 имело больший вес, нежели С-53 (у С-53 бьши более тонкие стенки ствола) и потому больший момент инерции, что увеличивало время реакции испол</w:t>
      </w:r>
      <w:r w:rsidRPr="00070ADE">
        <w:rPr>
          <w:rFonts w:ascii="Times New Roman" w:hAnsi="Times New Roman"/>
          <w:color w:val="000000" w:themeColor="text1"/>
          <w:sz w:val="16"/>
          <w:szCs w:val="16"/>
        </w:rPr>
        <w:softHyphen/>
        <w:t>нительных механизмов и ухудшало результаты стрельбы. После этого стабилизатор СТП-С-53 «Таран» был дора</w:t>
      </w:r>
      <w:r w:rsidRPr="00070ADE">
        <w:rPr>
          <w:rFonts w:ascii="Times New Roman" w:hAnsi="Times New Roman"/>
          <w:color w:val="000000" w:themeColor="text1"/>
          <w:sz w:val="16"/>
          <w:szCs w:val="16"/>
        </w:rPr>
        <w:softHyphen/>
        <w:t>ботан и в конце 1944 г. им бьши оснащены 4 специально пе</w:t>
      </w:r>
      <w:r w:rsidRPr="00070ADE">
        <w:rPr>
          <w:rFonts w:ascii="Times New Roman" w:hAnsi="Times New Roman"/>
          <w:color w:val="000000" w:themeColor="text1"/>
          <w:sz w:val="16"/>
          <w:szCs w:val="16"/>
        </w:rPr>
        <w:softHyphen/>
        <w:t>реоборудованные танка (названные разработчиком Т-34-85-СТ), проходившие испытания в начале 1945 г. Испытания показали многообещающие результаты. Стабилизатор облег</w:t>
      </w:r>
      <w:r w:rsidRPr="00070ADE">
        <w:rPr>
          <w:rFonts w:ascii="Times New Roman" w:hAnsi="Times New Roman"/>
          <w:color w:val="000000" w:themeColor="text1"/>
          <w:sz w:val="16"/>
          <w:szCs w:val="16"/>
        </w:rPr>
        <w:softHyphen/>
        <w:t>чал наводчику операцию вертикальной наводки орудия в движении по слабопересеченной местности, а условия про</w:t>
      </w:r>
      <w:r w:rsidRPr="00070ADE">
        <w:rPr>
          <w:rFonts w:ascii="Times New Roman" w:hAnsi="Times New Roman"/>
          <w:color w:val="000000" w:themeColor="text1"/>
          <w:sz w:val="16"/>
          <w:szCs w:val="16"/>
        </w:rPr>
        <w:softHyphen/>
        <w:t xml:space="preserve">ведения стрельб на ходу приближались к таковым с </w:t>
      </w:r>
      <w:r w:rsidRPr="00070ADE">
        <w:rPr>
          <w:rFonts w:ascii="Times New Roman" w:hAnsi="Times New Roman"/>
          <w:color w:val="000000" w:themeColor="text1"/>
          <w:sz w:val="16"/>
          <w:szCs w:val="16"/>
        </w:rPr>
        <w:lastRenderedPageBreak/>
        <w:t>места. Однако стабилизатор работал еще не вполне надежно, а его эксплуатация была под силу только подготовленному экипажу. Поэтому на вооружение он не принимался (11135).</w:t>
      </w:r>
    </w:p>
    <w:p w14:paraId="16EE1D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E5D2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 мае 1944 г. в КБ завода № 38 в г. Кирове под руководством М.Н. Щукина была разработана Самоходная установка ОСУ-76. Веду</w:t>
      </w:r>
      <w:r w:rsidRPr="00070ADE">
        <w:rPr>
          <w:rFonts w:ascii="Times New Roman" w:hAnsi="Times New Roman"/>
          <w:color w:val="000000" w:themeColor="text1"/>
          <w:sz w:val="16"/>
          <w:szCs w:val="16"/>
        </w:rPr>
        <w:softHyphen/>
        <w:t>щими инженерами машины были конструкторы Чирков и Мизонов. Ле</w:t>
      </w:r>
      <w:r w:rsidRPr="00070ADE">
        <w:rPr>
          <w:rFonts w:ascii="Times New Roman" w:hAnsi="Times New Roman"/>
          <w:color w:val="000000" w:themeColor="text1"/>
          <w:sz w:val="16"/>
          <w:szCs w:val="16"/>
        </w:rPr>
        <w:softHyphen/>
        <w:t>том 1944 г. были изготовлены три опытных образца установки, которые в июле того же года на ГАНИОПе и НИБТ полигоне прошли государ</w:t>
      </w:r>
      <w:r w:rsidRPr="00070ADE">
        <w:rPr>
          <w:rFonts w:ascii="Times New Roman" w:hAnsi="Times New Roman"/>
          <w:color w:val="000000" w:themeColor="text1"/>
          <w:sz w:val="16"/>
          <w:szCs w:val="16"/>
        </w:rPr>
        <w:softHyphen/>
        <w:t>ственные испытания. Машина предназначалась для непосредственной поддержки пехоты. На вооружении и в серийном производстве не со</w:t>
      </w:r>
      <w:r w:rsidRPr="00070ADE">
        <w:rPr>
          <w:rFonts w:ascii="Times New Roman" w:hAnsi="Times New Roman"/>
          <w:color w:val="000000" w:themeColor="text1"/>
          <w:sz w:val="16"/>
          <w:szCs w:val="16"/>
        </w:rPr>
        <w:softHyphen/>
        <w:t>стояла (10703).</w:t>
      </w:r>
    </w:p>
    <w:p w14:paraId="56BD21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A9D09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7DB49E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3E00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марте-апреле 1944 г. в соответствии с приказом Наркома ВМФ на специально оборудованных по</w:t>
      </w:r>
      <w:r w:rsidRPr="00070ADE">
        <w:rPr>
          <w:rFonts w:ascii="Times New Roman" w:hAnsi="Times New Roman"/>
          <w:color w:val="000000" w:themeColor="text1"/>
          <w:sz w:val="16"/>
          <w:szCs w:val="16"/>
        </w:rPr>
        <w:softHyphen/>
        <w:t>лигонах морские летчики-штурмовики начали осваивать топмачтовый способ бомбометания, ко</w:t>
      </w:r>
      <w:r w:rsidRPr="00070ADE">
        <w:rPr>
          <w:rFonts w:ascii="Times New Roman" w:hAnsi="Times New Roman"/>
          <w:color w:val="000000" w:themeColor="text1"/>
          <w:sz w:val="16"/>
          <w:szCs w:val="16"/>
        </w:rPr>
        <w:softHyphen/>
        <w:t xml:space="preserve">торый определялся как </w:t>
      </w:r>
      <w:r w:rsidRPr="00070ADE">
        <w:rPr>
          <w:rFonts w:ascii="Times New Roman" w:hAnsi="Times New Roman"/>
          <w:iCs/>
          <w:color w:val="000000" w:themeColor="text1"/>
          <w:sz w:val="16"/>
          <w:szCs w:val="16"/>
        </w:rPr>
        <w:t>"основной спо</w:t>
      </w:r>
      <w:r w:rsidRPr="00070ADE">
        <w:rPr>
          <w:rFonts w:ascii="Times New Roman" w:hAnsi="Times New Roman"/>
          <w:iCs/>
          <w:color w:val="000000" w:themeColor="text1"/>
          <w:sz w:val="16"/>
          <w:szCs w:val="16"/>
        </w:rPr>
        <w:softHyphen/>
        <w:t>соб при бомбовых ударах по плавсредствам противника на переходе морем".</w:t>
      </w:r>
    </w:p>
    <w:p w14:paraId="06AC1E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Суть топмачтового способа бомбоме</w:t>
      </w:r>
      <w:r w:rsidRPr="00070ADE">
        <w:rPr>
          <w:rFonts w:ascii="Times New Roman" w:hAnsi="Times New Roman"/>
          <w:color w:val="000000" w:themeColor="text1"/>
          <w:sz w:val="16"/>
          <w:szCs w:val="16"/>
        </w:rPr>
        <w:softHyphen/>
        <w:t>тания состояла в следующем. При вы</w:t>
      </w:r>
      <w:r w:rsidRPr="00070ADE">
        <w:rPr>
          <w:rFonts w:ascii="Times New Roman" w:hAnsi="Times New Roman"/>
          <w:color w:val="000000" w:themeColor="text1"/>
          <w:sz w:val="16"/>
          <w:szCs w:val="16"/>
        </w:rPr>
        <w:softHyphen/>
        <w:t>ходе штурмовиков на конвой Ил-2-топ-мачтовики, летящие вначале в общем боевом порядке, снижались и, маневри</w:t>
      </w:r>
      <w:r w:rsidRPr="00070ADE">
        <w:rPr>
          <w:rFonts w:ascii="Times New Roman" w:hAnsi="Times New Roman"/>
          <w:color w:val="000000" w:themeColor="text1"/>
          <w:sz w:val="16"/>
          <w:szCs w:val="16"/>
        </w:rPr>
        <w:softHyphen/>
        <w:t>руя, выходили вслед за группой подав</w:t>
      </w:r>
      <w:r w:rsidRPr="00070ADE">
        <w:rPr>
          <w:rFonts w:ascii="Times New Roman" w:hAnsi="Times New Roman"/>
          <w:color w:val="000000" w:themeColor="text1"/>
          <w:sz w:val="16"/>
          <w:szCs w:val="16"/>
        </w:rPr>
        <w:softHyphen/>
        <w:t>ления зенитного огня в атаку на цель. С дальности пуска реактивных снарядов и действительного огня стрелково-пушечного вооружения (700-600 м) - дистан</w:t>
      </w:r>
      <w:r w:rsidRPr="00070ADE">
        <w:rPr>
          <w:rFonts w:ascii="Times New Roman" w:hAnsi="Times New Roman"/>
          <w:color w:val="000000" w:themeColor="text1"/>
          <w:sz w:val="16"/>
          <w:szCs w:val="16"/>
        </w:rPr>
        <w:softHyphen/>
        <w:t>ция выхода на боевой курс, летчик-топмачтовик обстреливал цель, продолжая снижение до бреющего полета. С высо</w:t>
      </w:r>
      <w:r w:rsidRPr="00070ADE">
        <w:rPr>
          <w:rFonts w:ascii="Times New Roman" w:hAnsi="Times New Roman"/>
          <w:color w:val="000000" w:themeColor="text1"/>
          <w:sz w:val="16"/>
          <w:szCs w:val="16"/>
        </w:rPr>
        <w:softHyphen/>
        <w:t>ты 20-30 м, что соответствовало верхней оконечности (топ) мачты корабля (суд</w:t>
      </w:r>
      <w:r w:rsidRPr="00070ADE">
        <w:rPr>
          <w:rFonts w:ascii="Times New Roman" w:hAnsi="Times New Roman"/>
          <w:color w:val="000000" w:themeColor="text1"/>
          <w:sz w:val="16"/>
          <w:szCs w:val="16"/>
        </w:rPr>
        <w:softHyphen/>
        <w:t>на), на дистанции несколько меньшей величины относа (250-150 м) пилот Ил-2 сбрасывал серию авиабомб (с интер</w:t>
      </w:r>
      <w:r w:rsidRPr="00070ADE">
        <w:rPr>
          <w:rFonts w:ascii="Times New Roman" w:hAnsi="Times New Roman"/>
          <w:color w:val="000000" w:themeColor="text1"/>
          <w:sz w:val="16"/>
          <w:szCs w:val="16"/>
        </w:rPr>
        <w:softHyphen/>
        <w:t>валом 0,05-0,1 сек при скорости полета 300-350 км/ч) так, чтобы первая упала с недолетом и, делая "барс" (рикошетируя), попадала в борт корабля. В случае ошибки корабль поражался другими авиабомбами серии. Чтобы Ил-2-топ-мачтовик не получил повреждения от осколков авиабомб, их взрыватели ус</w:t>
      </w:r>
      <w:r w:rsidRPr="00070ADE">
        <w:rPr>
          <w:rFonts w:ascii="Times New Roman" w:hAnsi="Times New Roman"/>
          <w:color w:val="000000" w:themeColor="text1"/>
          <w:sz w:val="16"/>
          <w:szCs w:val="16"/>
        </w:rPr>
        <w:softHyphen/>
        <w:t>танавливались с замедлением на 4-7 сек. Сбросив авиабомбы, экипаж про</w:t>
      </w:r>
      <w:r w:rsidRPr="00070ADE">
        <w:rPr>
          <w:rFonts w:ascii="Times New Roman" w:hAnsi="Times New Roman"/>
          <w:color w:val="000000" w:themeColor="text1"/>
          <w:sz w:val="16"/>
          <w:szCs w:val="16"/>
        </w:rPr>
        <w:softHyphen/>
        <w:t>летал над кораблем и, выполнив проти</w:t>
      </w:r>
      <w:r w:rsidRPr="00070ADE">
        <w:rPr>
          <w:rFonts w:ascii="Times New Roman" w:hAnsi="Times New Roman"/>
          <w:color w:val="000000" w:themeColor="text1"/>
          <w:sz w:val="16"/>
          <w:szCs w:val="16"/>
        </w:rPr>
        <w:softHyphen/>
        <w:t>возенитный маневр, уходил восвояси.</w:t>
      </w:r>
    </w:p>
    <w:p w14:paraId="141CC1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Ведомый Ил-2-топмачтовик повторял маневр ведущего и наносил удар по тому же кораблю или транспорту. Сброс авиабомб ведомый осуществлял по сиг</w:t>
      </w:r>
      <w:r w:rsidRPr="00070ADE">
        <w:rPr>
          <w:rFonts w:ascii="Times New Roman" w:hAnsi="Times New Roman"/>
          <w:color w:val="000000" w:themeColor="text1"/>
          <w:sz w:val="16"/>
          <w:szCs w:val="16"/>
        </w:rPr>
        <w:softHyphen/>
        <w:t>налу ведущего или самостоятельно.</w:t>
      </w:r>
    </w:p>
    <w:p w14:paraId="2E444A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Топмачтовое бомбометание, в соче</w:t>
      </w:r>
      <w:r w:rsidRPr="00070ADE">
        <w:rPr>
          <w:rFonts w:ascii="Times New Roman" w:hAnsi="Times New Roman"/>
          <w:color w:val="000000" w:themeColor="text1"/>
          <w:sz w:val="16"/>
          <w:szCs w:val="16"/>
        </w:rPr>
        <w:softHyphen/>
        <w:t>тании с обычными приемами атак Ил-2 надводных целей, оказалось весьма и весьма результативным (6467).</w:t>
      </w:r>
    </w:p>
    <w:p w14:paraId="0CE796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737C5C" w14:textId="77777777" w:rsidR="00E23482" w:rsidRPr="00070ADE" w:rsidRDefault="00E23482"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876ABE5" w14:textId="77777777" w:rsidR="00E23482" w:rsidRPr="00070ADE" w:rsidRDefault="00E23482"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AD14D5" w14:textId="712DC40A" w:rsidR="00E23482" w:rsidRPr="00070ADE" w:rsidRDefault="00E23482"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В начале весны 1944 года стали известны первые результаты боевого применения тяжёлого танка</w:t>
      </w:r>
      <w:r w:rsidR="00B643A8" w:rsidRPr="00070ADE">
        <w:rPr>
          <w:color w:val="000000" w:themeColor="text1"/>
          <w:sz w:val="16"/>
          <w:szCs w:val="16"/>
        </w:rPr>
        <w:t xml:space="preserve"> </w:t>
      </w:r>
      <w:hyperlink r:id="rId94" w:history="1">
        <w:r w:rsidRPr="00070ADE">
          <w:rPr>
            <w:rStyle w:val="a5"/>
            <w:bCs/>
            <w:iCs/>
            <w:color w:val="000000" w:themeColor="text1"/>
            <w:sz w:val="16"/>
            <w:szCs w:val="16"/>
            <w:bdr w:val="none" w:sz="0" w:space="0" w:color="auto" w:frame="1"/>
          </w:rPr>
          <w:t>ИС-85 (ИС-1)</w:t>
        </w:r>
      </w:hyperlink>
      <w:r w:rsidRPr="00070ADE">
        <w:rPr>
          <w:color w:val="000000" w:themeColor="text1"/>
          <w:sz w:val="16"/>
          <w:szCs w:val="16"/>
        </w:rPr>
        <w:t>. Выяснилось, что броневая защита танка, как и его вооружение, не соответствуют реалиям поля боя. Насчёт вооружения в ГБТУ КА знали и так: уже с декабря 1943 года начался выпуск тяжёлых танков</w:t>
      </w:r>
      <w:r w:rsidR="00B643A8" w:rsidRPr="00070ADE">
        <w:rPr>
          <w:color w:val="000000" w:themeColor="text1"/>
          <w:sz w:val="16"/>
          <w:szCs w:val="16"/>
        </w:rPr>
        <w:t xml:space="preserve"> </w:t>
      </w:r>
      <w:hyperlink r:id="rId95" w:history="1">
        <w:r w:rsidRPr="00070ADE">
          <w:rPr>
            <w:rStyle w:val="a5"/>
            <w:bCs/>
            <w:iCs/>
            <w:color w:val="000000" w:themeColor="text1"/>
            <w:sz w:val="16"/>
            <w:szCs w:val="16"/>
            <w:bdr w:val="none" w:sz="0" w:space="0" w:color="auto" w:frame="1"/>
          </w:rPr>
          <w:t>ИС-122 (ИС-2)</w:t>
        </w:r>
      </w:hyperlink>
      <w:r w:rsidR="00B643A8" w:rsidRPr="00070ADE">
        <w:rPr>
          <w:color w:val="000000" w:themeColor="text1"/>
          <w:sz w:val="16"/>
          <w:szCs w:val="16"/>
        </w:rPr>
        <w:t xml:space="preserve"> </w:t>
      </w:r>
      <w:r w:rsidRPr="00070ADE">
        <w:rPr>
          <w:color w:val="000000" w:themeColor="text1"/>
          <w:sz w:val="16"/>
          <w:szCs w:val="16"/>
        </w:rPr>
        <w:t>с более мощной 122-мм пушкой Д-25Т. В случае же с бронированием новость оказалась крайне неприятной. Оказалось, что немецкое 75-мм орудие KwK 42 L/70 пробивает и лоб корпуса, и лоб башни. По этой причине уже с конца марта начались проектные работы по модернизации ИС-2. Окончательно их легализовали постановлением ГКО №5583сс «Об изготовлении опытных образцов нового тяжёлого танка на Кировском заводе НКТП» от 8 апреля 1944 года. Помимо разработки и постройки опытных образцов тяжёлого танка Объект 701, в постановлении шла речь о модернизированном ИС-2. В трёхмесячный срок требовалось разработать и изготовить улучшенный вариант танка. Главными требованиями являлись усиление броневой защиты, а также повышение надёжности ходовой части и трансмиссии (19150).</w:t>
      </w:r>
    </w:p>
    <w:p w14:paraId="4A050266" w14:textId="77777777" w:rsidR="00E23482" w:rsidRPr="00070ADE" w:rsidRDefault="00E23482" w:rsidP="00B56F90">
      <w:pPr>
        <w:pStyle w:val="ae"/>
        <w:shd w:val="clear" w:color="auto" w:fill="FFFFFF"/>
        <w:spacing w:before="0" w:after="0"/>
        <w:jc w:val="both"/>
        <w:textAlignment w:val="baseline"/>
        <w:rPr>
          <w:color w:val="000000" w:themeColor="text1"/>
          <w:sz w:val="16"/>
          <w:szCs w:val="16"/>
        </w:rPr>
      </w:pPr>
    </w:p>
    <w:p w14:paraId="3D39E6C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1577D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81A73E" w14:textId="77777777" w:rsidR="00E23482" w:rsidRPr="00070ADE" w:rsidRDefault="00E2348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апрелю 1944 г. по сравнению с тем же месяцем 1942 г. эффективность труда в авиастроении увеличилась на 47%, тогда как общий ее уровень в промышленности — на 40%. Темпы роста производительности труда в отрасли даже перекрывали государственные задания. Если в 1940 г. 1 тыс. рабочих производила 35,6 условных самолетов, то в 1943 г. — уже 78,8 (18305).</w:t>
      </w:r>
    </w:p>
    <w:p w14:paraId="3CF9CEEA" w14:textId="77777777" w:rsidR="00E23482" w:rsidRPr="00070ADE" w:rsidRDefault="00E23482" w:rsidP="00B56F90">
      <w:pPr>
        <w:spacing w:after="0" w:line="240" w:lineRule="auto"/>
        <w:jc w:val="both"/>
        <w:rPr>
          <w:rFonts w:ascii="Times New Roman" w:hAnsi="Times New Roman"/>
          <w:color w:val="000000" w:themeColor="text1"/>
          <w:sz w:val="16"/>
          <w:szCs w:val="16"/>
        </w:rPr>
      </w:pPr>
    </w:p>
    <w:p w14:paraId="5683B5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апрелю 1944 г. были завершены работы над проектом истре</w:t>
      </w:r>
      <w:r w:rsidRPr="00070ADE">
        <w:rPr>
          <w:rFonts w:ascii="Times New Roman" w:hAnsi="Times New Roman"/>
          <w:color w:val="000000" w:themeColor="text1"/>
          <w:sz w:val="16"/>
          <w:szCs w:val="16"/>
        </w:rPr>
        <w:softHyphen/>
        <w:t>бителя-бомбардировщика Ла-5Б. Как и у Як-9Л, бомбы на этом самолете собирались размещать во внутрифюзеляжном отсеке, однако, учитывая недостатки яковлевской машины, его спроек</w:t>
      </w:r>
      <w:r w:rsidRPr="00070ADE">
        <w:rPr>
          <w:rFonts w:ascii="Times New Roman" w:hAnsi="Times New Roman"/>
          <w:color w:val="000000" w:themeColor="text1"/>
          <w:sz w:val="16"/>
          <w:szCs w:val="16"/>
        </w:rPr>
        <w:softHyphen/>
        <w:t>тировали не под ФАБ-100, а для 40 мелких противотанковых ПТАБ-2,5-1,5. Но заказчик счел более перспективным штурмовик Ил-10, и Ла-5Б на свет не появился (11123).</w:t>
      </w:r>
    </w:p>
    <w:p w14:paraId="15CC8A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EC0F3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50FF8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B9A8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апрелю 1944 в строю была лл Дуглас DF, машина пережила войну и летала еще в 1946 (2930,10).</w:t>
      </w:r>
    </w:p>
    <w:p w14:paraId="0D8857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2BC8C9" w14:textId="73E73D01" w:rsidR="00253D32" w:rsidRPr="00070ADE" w:rsidRDefault="00253D32"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70ADE">
        <w:rPr>
          <w:rFonts w:ascii="Times New Roman" w:hAnsi="Times New Roman"/>
          <w:i/>
          <w:iCs/>
          <w:color w:val="000000" w:themeColor="text1"/>
          <w:sz w:val="16"/>
          <w:szCs w:val="16"/>
        </w:rPr>
        <w:t>За рубежом:</w:t>
      </w:r>
    </w:p>
    <w:p w14:paraId="5DED7FC8" w14:textId="77777777" w:rsidR="00253D32" w:rsidRPr="00070ADE" w:rsidRDefault="00253D32"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91C562A" w14:textId="77777777" w:rsidR="00253D32" w:rsidRPr="00070ADE" w:rsidRDefault="00253D32"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апрелю 1944 года начались летные испытания первого BV.238V1 без вооружения, который вместо перспективных DB.603D по 1900 сил получил 6 серийные DB.603A по 1750 л.с.</w:t>
      </w:r>
    </w:p>
    <w:p w14:paraId="1F22340B" w14:textId="77777777" w:rsidR="00253D32" w:rsidRPr="00070ADE" w:rsidRDefault="00253D32"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задании командования Люфтваффе на новую гигантскую летающую лодку BV.238 фирму «Блом унд Фосс» обязали обеспечить подвеску до 10 т бомб (в т.ч. самых крупных калибров), торпед и мин. </w:t>
      </w:r>
    </w:p>
    <w:p w14:paraId="7E3358F8" w14:textId="77777777" w:rsidR="00253D32" w:rsidRPr="00070ADE" w:rsidRDefault="00253D32"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Фирма «Юмо» не поставила 2500-сильные дизели, и вместо четырех Jumo.223 пришлось ставить шесть DB.603, а для взлета применить четыре сбрасываемых жидкостных ракетных ускорителя. Изменение числа двигателей потребовало полной переделки проекта крыла, а чтобы сохранить устойчивость, пришлось удлинять фюзеляж. Не ладилось и с компоновкой вооружения. Оборона должна была включать 12 пушек MG.151/20 в башнях с дистанционным управлением, но к моменту, когда фирма закончила отработку крыльевых пушечных башен, центропланы на первые четыре самолета были уже готовы, и поставить на них эти башни было невозможно.</w:t>
      </w:r>
    </w:p>
    <w:p w14:paraId="12E90D2B" w14:textId="77777777" w:rsidR="00253D32" w:rsidRPr="00070ADE" w:rsidRDefault="00253D32"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«Блом унд Фосс» был перегружен, приоритетными были разведчик BV.138 и транспортный BV.222, и к проектированию и постройке BV.238 подключили фирму «Везер», заводы «Бреге» в оккупированной Франции, а также «Флюгтехнише Фертигунгсгемейншафт Праг» в Чехии. Чешским самолетостроителям, не имевшим никакого опыта в гидроавиации, поручили строить пилотируемую модель BV.138, но саботаж работавших на заводе военнопленных сорвал эту часть работы. </w:t>
      </w:r>
    </w:p>
    <w:p w14:paraId="11AAF3D4" w14:textId="77777777" w:rsidR="00253D32" w:rsidRPr="00070ADE" w:rsidRDefault="00253D32"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был самый тяжелый самолет в мире: в некоторых полетах вес достигал фантастической величины в 90 тонн!</w:t>
      </w:r>
    </w:p>
    <w:p w14:paraId="6658D13F" w14:textId="77777777" w:rsidR="00253D32" w:rsidRPr="00070ADE" w:rsidRDefault="00253D32"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 временем почти достроили еще три BV.238V с вооружением: V2 и 3 с моторами DB.603 (прототипы для серийного BV.238A), а также BV.238V4 со звездообразными моторами BMW.801 (BV.238B). Но дальнейшая работа была прекращена, когда на якорной стоянке был уничтожен «залетными» Р-51 «Мустанг» единственный летный образец (22817).</w:t>
      </w:r>
    </w:p>
    <w:p w14:paraId="786057CB" w14:textId="77777777" w:rsidR="00253D32" w:rsidRPr="00070ADE" w:rsidRDefault="00253D32" w:rsidP="00B56F90">
      <w:pPr>
        <w:shd w:val="clear" w:color="auto" w:fill="FFFFFF"/>
        <w:spacing w:after="0" w:line="240" w:lineRule="auto"/>
        <w:jc w:val="both"/>
        <w:rPr>
          <w:rFonts w:ascii="Times New Roman" w:hAnsi="Times New Roman"/>
          <w:color w:val="000000" w:themeColor="text1"/>
          <w:sz w:val="16"/>
          <w:szCs w:val="16"/>
        </w:rPr>
      </w:pPr>
    </w:p>
    <w:p w14:paraId="170D9DF5" w14:textId="77777777" w:rsidR="002C7AF2" w:rsidRPr="00070ADE" w:rsidRDefault="002C7AF2"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0717E80" w14:textId="77777777" w:rsidR="002C7AF2" w:rsidRPr="00070ADE" w:rsidRDefault="002C7AF2"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25B98C" w14:textId="77777777" w:rsidR="002C7AF2" w:rsidRPr="00070ADE" w:rsidRDefault="002C7AF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началу апреля 1944 г. в НИИ ВВС (хотя решение ГКО уже было принято) оформили отчет по резуль</w:t>
      </w:r>
      <w:r w:rsidRPr="00070ADE">
        <w:rPr>
          <w:rFonts w:ascii="Times New Roman" w:hAnsi="Times New Roman"/>
          <w:color w:val="000000" w:themeColor="text1"/>
          <w:sz w:val="16"/>
          <w:szCs w:val="16"/>
        </w:rPr>
        <w:softHyphen/>
        <w:t>татам выполненной части программы испытаний самолета 3Б - эталон Ла-5 1944 года. По материалам испытаний полетный вес новой ма</w:t>
      </w:r>
      <w:r w:rsidRPr="00070ADE">
        <w:rPr>
          <w:rFonts w:ascii="Times New Roman" w:hAnsi="Times New Roman"/>
          <w:color w:val="000000" w:themeColor="text1"/>
          <w:sz w:val="16"/>
          <w:szCs w:val="16"/>
        </w:rPr>
        <w:softHyphen/>
        <w:t>шины составил 3265 кг, а вес пустого - 2605 кг, что было, соответственно, на 55 и 71 кг меньше, чем у серийного Ла-5ФН № 39211257, проходившего контрольные испытания в НИИ ВВС в марте 1944 года. По скорости «Эталон» превосходил этот «Лавочкин» на 50-60 км/ч на всех высотах. У земли 3Б разгонялся до 597 км/ч на первой границе высотности (3250 м) - 670 км/ч. на второй (6000 м) - 680 км/ч, на высоте 5000м скорость новой машины состав</w:t>
      </w:r>
      <w:r w:rsidRPr="00070ADE">
        <w:rPr>
          <w:rFonts w:ascii="Times New Roman" w:hAnsi="Times New Roman"/>
          <w:color w:val="000000" w:themeColor="text1"/>
          <w:sz w:val="16"/>
          <w:szCs w:val="16"/>
        </w:rPr>
        <w:softHyphen/>
        <w:t>ляла 661 км/ч. Набор этой высоты занимал 4 минуты 28 секунд.</w:t>
      </w:r>
    </w:p>
    <w:p w14:paraId="624C0367" w14:textId="77777777" w:rsidR="002C7AF2" w:rsidRPr="00070ADE" w:rsidRDefault="002C7AF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оставшейся на бумаге части программы испытаний на облет машины другими пило</w:t>
      </w:r>
      <w:r w:rsidRPr="00070ADE">
        <w:rPr>
          <w:rFonts w:ascii="Times New Roman" w:hAnsi="Times New Roman"/>
          <w:color w:val="000000" w:themeColor="text1"/>
          <w:sz w:val="16"/>
          <w:szCs w:val="16"/>
        </w:rPr>
        <w:softHyphen/>
        <w:t>тами было отведено 7 вылетов по полчаса каждый. К сожалению, летную оценку смог дать только Алексей Георгиевич Кубышкин, однако выглядит она достаточно взвешен</w:t>
      </w:r>
      <w:r w:rsidRPr="00070ADE">
        <w:rPr>
          <w:rFonts w:ascii="Times New Roman" w:hAnsi="Times New Roman"/>
          <w:color w:val="000000" w:themeColor="text1"/>
          <w:sz w:val="16"/>
          <w:szCs w:val="16"/>
        </w:rPr>
        <w:softHyphen/>
        <w:t>ной и всесторонней: «Самолет Ла-5 эталон 1944 года значительно увеличил горизон</w:t>
      </w:r>
      <w:r w:rsidRPr="00070ADE">
        <w:rPr>
          <w:rFonts w:ascii="Times New Roman" w:hAnsi="Times New Roman"/>
          <w:color w:val="000000" w:themeColor="text1"/>
          <w:sz w:val="16"/>
          <w:szCs w:val="16"/>
        </w:rPr>
        <w:softHyphen/>
        <w:t>тальную и вертикальную скорости. Вслед</w:t>
      </w:r>
      <w:r w:rsidRPr="00070ADE">
        <w:rPr>
          <w:rFonts w:ascii="Times New Roman" w:hAnsi="Times New Roman"/>
          <w:color w:val="000000" w:themeColor="text1"/>
          <w:sz w:val="16"/>
          <w:szCs w:val="16"/>
        </w:rPr>
        <w:softHyphen/>
        <w:t>ствие увеличения аэродинамической ком</w:t>
      </w:r>
      <w:r w:rsidRPr="00070ADE">
        <w:rPr>
          <w:rFonts w:ascii="Times New Roman" w:hAnsi="Times New Roman"/>
          <w:color w:val="000000" w:themeColor="text1"/>
          <w:sz w:val="16"/>
          <w:szCs w:val="16"/>
        </w:rPr>
        <w:softHyphen/>
        <w:t>пенсации элеронов и руля глубины управ</w:t>
      </w:r>
      <w:r w:rsidRPr="00070ADE">
        <w:rPr>
          <w:rFonts w:ascii="Times New Roman" w:hAnsi="Times New Roman"/>
          <w:color w:val="000000" w:themeColor="text1"/>
          <w:sz w:val="16"/>
          <w:szCs w:val="16"/>
        </w:rPr>
        <w:softHyphen/>
        <w:t>ляемость самолета стала еще легче и даль</w:t>
      </w:r>
      <w:r w:rsidRPr="00070ADE">
        <w:rPr>
          <w:rFonts w:ascii="Times New Roman" w:hAnsi="Times New Roman"/>
          <w:color w:val="000000" w:themeColor="text1"/>
          <w:sz w:val="16"/>
          <w:szCs w:val="16"/>
        </w:rPr>
        <w:softHyphen/>
        <w:t>нейшего облегчения не требует. Управляе</w:t>
      </w:r>
      <w:r w:rsidRPr="00070ADE">
        <w:rPr>
          <w:rFonts w:ascii="Times New Roman" w:hAnsi="Times New Roman"/>
          <w:color w:val="000000" w:themeColor="text1"/>
          <w:sz w:val="16"/>
          <w:szCs w:val="16"/>
        </w:rPr>
        <w:softHyphen/>
        <w:t>мость рулем поворота тяжелое (так в ори</w:t>
      </w:r>
      <w:r w:rsidRPr="00070ADE">
        <w:rPr>
          <w:rFonts w:ascii="Times New Roman" w:hAnsi="Times New Roman"/>
          <w:color w:val="000000" w:themeColor="text1"/>
          <w:sz w:val="16"/>
          <w:szCs w:val="16"/>
        </w:rPr>
        <w:softHyphen/>
        <w:t>гинале) и при изменении режима полета, при отсутствии триммера летчику не</w:t>
      </w:r>
      <w:r w:rsidRPr="00070ADE">
        <w:rPr>
          <w:rFonts w:ascii="Times New Roman" w:hAnsi="Times New Roman"/>
          <w:color w:val="000000" w:themeColor="text1"/>
          <w:sz w:val="16"/>
          <w:szCs w:val="16"/>
        </w:rPr>
        <w:softHyphen/>
        <w:t>обходимо прикладывать значительные уси</w:t>
      </w:r>
      <w:r w:rsidRPr="00070ADE">
        <w:rPr>
          <w:rFonts w:ascii="Times New Roman" w:hAnsi="Times New Roman"/>
          <w:color w:val="000000" w:themeColor="text1"/>
          <w:sz w:val="16"/>
          <w:szCs w:val="16"/>
        </w:rPr>
        <w:softHyphen/>
        <w:t>лия, чтобы удержать самолет от разворо</w:t>
      </w:r>
      <w:r w:rsidRPr="00070ADE">
        <w:rPr>
          <w:rFonts w:ascii="Times New Roman" w:hAnsi="Times New Roman"/>
          <w:color w:val="000000" w:themeColor="text1"/>
          <w:sz w:val="16"/>
          <w:szCs w:val="16"/>
        </w:rPr>
        <w:softHyphen/>
        <w:t>та. При серийной постройке необходимо увеличить аэродинамическую компенсацию руля поворота.</w:t>
      </w:r>
    </w:p>
    <w:p w14:paraId="192B7491" w14:textId="77777777" w:rsidR="002C7AF2" w:rsidRPr="00070ADE" w:rsidRDefault="002C7AF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Техника пилотирования осталась такая же, как и на серийных самолетах. Продольная устойчивость при наборе высоты несколько ухудшилась за счет смещения центра тяже</w:t>
      </w:r>
      <w:r w:rsidRPr="00070ADE">
        <w:rPr>
          <w:rFonts w:ascii="Times New Roman" w:hAnsi="Times New Roman"/>
          <w:color w:val="000000" w:themeColor="text1"/>
          <w:sz w:val="16"/>
          <w:szCs w:val="16"/>
        </w:rPr>
        <w:softHyphen/>
        <w:t>сти самолета назад, в горизонтальном поле</w:t>
      </w:r>
      <w:r w:rsidRPr="00070ADE">
        <w:rPr>
          <w:rFonts w:ascii="Times New Roman" w:hAnsi="Times New Roman"/>
          <w:color w:val="000000" w:themeColor="text1"/>
          <w:sz w:val="16"/>
          <w:szCs w:val="16"/>
        </w:rPr>
        <w:softHyphen/>
        <w:t>те изменения устойчивости практически не ощущается. Компоновка приборной доски выполнена хорошо. Расположение рычагов управления, в основном, удовлетворитель</w:t>
      </w:r>
      <w:r w:rsidRPr="00070ADE">
        <w:rPr>
          <w:rFonts w:ascii="Times New Roman" w:hAnsi="Times New Roman"/>
          <w:color w:val="000000" w:themeColor="text1"/>
          <w:sz w:val="16"/>
          <w:szCs w:val="16"/>
        </w:rPr>
        <w:softHyphen/>
        <w:t>ное.</w:t>
      </w:r>
    </w:p>
    <w:p w14:paraId="3323929A" w14:textId="77777777" w:rsidR="002C7AF2" w:rsidRPr="00070ADE" w:rsidRDefault="002C7AF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Обзор вперед улучшился за счет снятия всасывающего патрубка, и поле зрения в прицеле увеличилось. Необходимо отме</w:t>
      </w:r>
      <w:r w:rsidRPr="00070ADE">
        <w:rPr>
          <w:rFonts w:ascii="Times New Roman" w:hAnsi="Times New Roman"/>
          <w:color w:val="000000" w:themeColor="text1"/>
          <w:sz w:val="16"/>
          <w:szCs w:val="16"/>
        </w:rPr>
        <w:softHyphen/>
        <w:t>тить, что, несмотря на некоторые кон</w:t>
      </w:r>
      <w:r w:rsidRPr="00070ADE">
        <w:rPr>
          <w:rFonts w:ascii="Times New Roman" w:hAnsi="Times New Roman"/>
          <w:color w:val="000000" w:themeColor="text1"/>
          <w:sz w:val="16"/>
          <w:szCs w:val="16"/>
        </w:rPr>
        <w:softHyphen/>
        <w:t>структивные улучшения по снижению тем</w:t>
      </w:r>
      <w:r w:rsidRPr="00070ADE">
        <w:rPr>
          <w:rFonts w:ascii="Times New Roman" w:hAnsi="Times New Roman"/>
          <w:color w:val="000000" w:themeColor="text1"/>
          <w:sz w:val="16"/>
          <w:szCs w:val="16"/>
        </w:rPr>
        <w:softHyphen/>
        <w:t>пературы и вентиляции кабины этот во</w:t>
      </w:r>
      <w:r w:rsidRPr="00070ADE">
        <w:rPr>
          <w:rFonts w:ascii="Times New Roman" w:hAnsi="Times New Roman"/>
          <w:color w:val="000000" w:themeColor="text1"/>
          <w:sz w:val="16"/>
          <w:szCs w:val="16"/>
        </w:rPr>
        <w:softHyphen/>
        <w:t>прос еще не разрешен. Температура в кабине в полете достигает 40 градусов. Вслед</w:t>
      </w:r>
      <w:r w:rsidRPr="00070ADE">
        <w:rPr>
          <w:rFonts w:ascii="Times New Roman" w:hAnsi="Times New Roman"/>
          <w:color w:val="000000" w:themeColor="text1"/>
          <w:sz w:val="16"/>
          <w:szCs w:val="16"/>
        </w:rPr>
        <w:softHyphen/>
        <w:t>ствие плохой вентиляции в кабине посто</w:t>
      </w:r>
      <w:r w:rsidRPr="00070ADE">
        <w:rPr>
          <w:rFonts w:ascii="Times New Roman" w:hAnsi="Times New Roman"/>
          <w:color w:val="000000" w:themeColor="text1"/>
          <w:sz w:val="16"/>
          <w:szCs w:val="16"/>
        </w:rPr>
        <w:softHyphen/>
        <w:t>янное присутствие отработанных газов и запах горелой резины.</w:t>
      </w:r>
    </w:p>
    <w:p w14:paraId="76BBF310" w14:textId="77777777" w:rsidR="002C7AF2" w:rsidRPr="00070ADE" w:rsidRDefault="002C7AF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Радиостанция в воздухе вовсе не работа</w:t>
      </w:r>
      <w:r w:rsidRPr="00070ADE">
        <w:rPr>
          <w:rFonts w:ascii="Times New Roman" w:hAnsi="Times New Roman"/>
          <w:color w:val="000000" w:themeColor="text1"/>
          <w:sz w:val="16"/>
          <w:szCs w:val="16"/>
        </w:rPr>
        <w:softHyphen/>
        <w:t>ла вследствие неудовлетворительной кон</w:t>
      </w:r>
      <w:r w:rsidRPr="00070ADE">
        <w:rPr>
          <w:rFonts w:ascii="Times New Roman" w:hAnsi="Times New Roman"/>
          <w:color w:val="000000" w:themeColor="text1"/>
          <w:sz w:val="16"/>
          <w:szCs w:val="16"/>
        </w:rPr>
        <w:softHyphen/>
        <w:t>струкции дистанционного управления. На самолете не обеспечен быстрый аварийный выпуск шасси. Снятие с замка подвижной части фонаря из среднего положения неудоб</w:t>
      </w:r>
      <w:r w:rsidRPr="00070ADE">
        <w:rPr>
          <w:rFonts w:ascii="Times New Roman" w:hAnsi="Times New Roman"/>
          <w:color w:val="000000" w:themeColor="text1"/>
          <w:sz w:val="16"/>
          <w:szCs w:val="16"/>
        </w:rPr>
        <w:softHyphen/>
        <w:t>но. Кислородная маска прибора КП-12 очень трудно герметически подгоняется к лицу, а сам прибор не обеспечивает постоянного принудительного питания кислородом без нажатия на аварийную кнопку. Необходим кран дополнительной подачи кислорода. В полете между плитами бронестекол образу</w:t>
      </w:r>
      <w:r w:rsidRPr="00070ADE">
        <w:rPr>
          <w:rFonts w:ascii="Times New Roman" w:hAnsi="Times New Roman"/>
          <w:color w:val="000000" w:themeColor="text1"/>
          <w:sz w:val="16"/>
          <w:szCs w:val="16"/>
        </w:rPr>
        <w:softHyphen/>
        <w:t>ется конденсат, вследствие чего ухудшает</w:t>
      </w:r>
      <w:r w:rsidRPr="00070ADE">
        <w:rPr>
          <w:rFonts w:ascii="Times New Roman" w:hAnsi="Times New Roman"/>
          <w:color w:val="000000" w:themeColor="text1"/>
          <w:sz w:val="16"/>
          <w:szCs w:val="16"/>
        </w:rPr>
        <w:softHyphen/>
        <w:t>ся обзор.</w:t>
      </w:r>
    </w:p>
    <w:p w14:paraId="236893D7" w14:textId="77777777" w:rsidR="002C7AF2" w:rsidRPr="00070ADE" w:rsidRDefault="002C7AF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 Самолет Ла-5 эталон 1944 года по сравнению с серийным самолетом имеет значительный прирост в максимальной го</w:t>
      </w:r>
      <w:r w:rsidRPr="00070ADE">
        <w:rPr>
          <w:rFonts w:ascii="Times New Roman" w:hAnsi="Times New Roman"/>
          <w:color w:val="000000" w:themeColor="text1"/>
          <w:sz w:val="16"/>
          <w:szCs w:val="16"/>
        </w:rPr>
        <w:softHyphen/>
        <w:t>ризонтальной скорости и скороподъемно</w:t>
      </w:r>
      <w:r w:rsidRPr="00070ADE">
        <w:rPr>
          <w:rFonts w:ascii="Times New Roman" w:hAnsi="Times New Roman"/>
          <w:color w:val="000000" w:themeColor="text1"/>
          <w:sz w:val="16"/>
          <w:szCs w:val="16"/>
        </w:rPr>
        <w:softHyphen/>
        <w:t>сти и по своим летным данным является одним из лучших истребителей. Необходимо форсировать серийную постройку самолета с одновременным устранением вышеизло</w:t>
      </w:r>
      <w:r w:rsidRPr="00070ADE">
        <w:rPr>
          <w:rFonts w:ascii="Times New Roman" w:hAnsi="Times New Roman"/>
          <w:color w:val="000000" w:themeColor="text1"/>
          <w:sz w:val="16"/>
          <w:szCs w:val="16"/>
        </w:rPr>
        <w:softHyphen/>
        <w:t>женных дефектов».</w:t>
      </w:r>
    </w:p>
    <w:p w14:paraId="7DFC6FA6" w14:textId="77777777" w:rsidR="002C7AF2" w:rsidRPr="00070ADE" w:rsidRDefault="002C7AF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Алексей Георгиевич сумел в своей оценке дать достаточно развернутую характеристи</w:t>
      </w:r>
      <w:r w:rsidRPr="00070ADE">
        <w:rPr>
          <w:rFonts w:ascii="Times New Roman" w:hAnsi="Times New Roman"/>
          <w:color w:val="000000" w:themeColor="text1"/>
          <w:sz w:val="16"/>
          <w:szCs w:val="16"/>
        </w:rPr>
        <w:softHyphen/>
        <w:t>ку самолета, включая перечень основных де</w:t>
      </w:r>
      <w:r w:rsidRPr="00070ADE">
        <w:rPr>
          <w:rFonts w:ascii="Times New Roman" w:hAnsi="Times New Roman"/>
          <w:color w:val="000000" w:themeColor="text1"/>
          <w:sz w:val="16"/>
          <w:szCs w:val="16"/>
        </w:rPr>
        <w:softHyphen/>
        <w:t>фектов. «За кадром» остались некоторые не очень значительные технические нюансы, вроде не совсем удобной заправки маслоба</w:t>
      </w:r>
      <w:r w:rsidRPr="00070ADE">
        <w:rPr>
          <w:rFonts w:ascii="Times New Roman" w:hAnsi="Times New Roman"/>
          <w:color w:val="000000" w:themeColor="text1"/>
          <w:sz w:val="16"/>
          <w:szCs w:val="16"/>
        </w:rPr>
        <w:softHyphen/>
        <w:t>ка и отсутствия храповика на коке винта. По</w:t>
      </w:r>
      <w:r w:rsidRPr="00070ADE">
        <w:rPr>
          <w:rFonts w:ascii="Times New Roman" w:hAnsi="Times New Roman"/>
          <w:color w:val="000000" w:themeColor="text1"/>
          <w:sz w:val="16"/>
          <w:szCs w:val="16"/>
        </w:rPr>
        <w:softHyphen/>
        <w:t>жалуй, единственный важный аспект не нашел отражение в летной оценке - новое вооружение. Пострелять на новой машине не пришлось никому, поэтому в заключение ав</w:t>
      </w:r>
      <w:r w:rsidRPr="00070ADE">
        <w:rPr>
          <w:rFonts w:ascii="Times New Roman" w:hAnsi="Times New Roman"/>
          <w:color w:val="000000" w:themeColor="text1"/>
          <w:sz w:val="16"/>
          <w:szCs w:val="16"/>
        </w:rPr>
        <w:softHyphen/>
        <w:t>торам отчета пришлось написать так: «...2. Рекомендовать в серийную постройку само</w:t>
      </w:r>
      <w:r w:rsidRPr="00070ADE">
        <w:rPr>
          <w:rFonts w:ascii="Times New Roman" w:hAnsi="Times New Roman"/>
          <w:color w:val="000000" w:themeColor="text1"/>
          <w:sz w:val="16"/>
          <w:szCs w:val="16"/>
        </w:rPr>
        <w:softHyphen/>
        <w:t>лет Ла-5-эталон 1944 года (Ла-7), как имею</w:t>
      </w:r>
      <w:r w:rsidRPr="00070ADE">
        <w:rPr>
          <w:rFonts w:ascii="Times New Roman" w:hAnsi="Times New Roman"/>
          <w:color w:val="000000" w:themeColor="text1"/>
          <w:sz w:val="16"/>
          <w:szCs w:val="16"/>
        </w:rPr>
        <w:softHyphen/>
        <w:t>щий значительное преимущество в летных данных над серийными самолетами, с устра</w:t>
      </w:r>
      <w:r w:rsidRPr="00070ADE">
        <w:rPr>
          <w:rFonts w:ascii="Times New Roman" w:hAnsi="Times New Roman"/>
          <w:color w:val="000000" w:themeColor="text1"/>
          <w:sz w:val="16"/>
          <w:szCs w:val="16"/>
        </w:rPr>
        <w:softHyphen/>
        <w:t>нением отмеченных дефектов. Так как на са</w:t>
      </w:r>
      <w:r w:rsidRPr="00070ADE">
        <w:rPr>
          <w:rFonts w:ascii="Times New Roman" w:hAnsi="Times New Roman"/>
          <w:color w:val="000000" w:themeColor="text1"/>
          <w:sz w:val="16"/>
          <w:szCs w:val="16"/>
        </w:rPr>
        <w:softHyphen/>
        <w:t>молете Ла-5-эталон 1944 г. установлены опытные пушки УБ-20, испытания которых в НИИ АВ ВВС Красной Армии не закончены, считать целесообразным выпускать само</w:t>
      </w:r>
      <w:r w:rsidRPr="00070ADE">
        <w:rPr>
          <w:rFonts w:ascii="Times New Roman" w:hAnsi="Times New Roman"/>
          <w:color w:val="000000" w:themeColor="text1"/>
          <w:sz w:val="16"/>
          <w:szCs w:val="16"/>
        </w:rPr>
        <w:softHyphen/>
        <w:t>леты с серийным вооружением, т.е. 2 пушки СП-20 с боезапасом 340 шт. патронов». Ла-7 в трехпушечном варианте был запущен в серию только в феврале 1945 года в соответ</w:t>
      </w:r>
      <w:r w:rsidRPr="00070ADE">
        <w:rPr>
          <w:rFonts w:ascii="Times New Roman" w:hAnsi="Times New Roman"/>
          <w:color w:val="000000" w:themeColor="text1"/>
          <w:sz w:val="16"/>
          <w:szCs w:val="16"/>
        </w:rPr>
        <w:softHyphen/>
        <w:t>ствии с постановлением ГКО № 7231сс от 29 декабря 1944 года (24194).</w:t>
      </w:r>
    </w:p>
    <w:p w14:paraId="58543D9F" w14:textId="77777777" w:rsidR="002C7AF2" w:rsidRPr="00070ADE" w:rsidRDefault="002C7AF2" w:rsidP="00B56F90">
      <w:pPr>
        <w:spacing w:after="0" w:line="240" w:lineRule="auto"/>
        <w:jc w:val="both"/>
        <w:rPr>
          <w:rFonts w:ascii="Times New Roman" w:hAnsi="Times New Roman"/>
          <w:color w:val="000000" w:themeColor="text1"/>
          <w:sz w:val="16"/>
          <w:szCs w:val="16"/>
        </w:rPr>
      </w:pPr>
    </w:p>
    <w:p w14:paraId="428DD57F" w14:textId="41C281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64443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D0023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 второму кварталу 1944 г. относится начало серийного производства цельнометаллического штурмовика Ил10 в двухместном варианте с мотором АМ-42 и комплектующих к ним относится (ГАСО. Ф. Р-3454. Оп. 1. Д. 43. Л. 4.) (11714).</w:t>
      </w:r>
    </w:p>
    <w:p w14:paraId="2DF288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C7C7AE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E8341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7614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color w:val="000000" w:themeColor="text1"/>
          <w:sz w:val="16"/>
          <w:szCs w:val="16"/>
        </w:rPr>
        <w:t xml:space="preserve">По состоянию на 1 апреля 1944 г. </w:t>
      </w:r>
      <w:r w:rsidRPr="00070ADE">
        <w:rPr>
          <w:rFonts w:ascii="Times New Roman" w:hAnsi="Times New Roman"/>
          <w:iCs/>
          <w:color w:val="000000" w:themeColor="text1"/>
          <w:sz w:val="16"/>
          <w:szCs w:val="16"/>
        </w:rPr>
        <w:t>"завод No 1 сдал по сборке 20 самоле</w:t>
      </w:r>
      <w:r w:rsidRPr="00070ADE">
        <w:rPr>
          <w:rFonts w:ascii="Times New Roman" w:hAnsi="Times New Roman"/>
          <w:iCs/>
          <w:color w:val="000000" w:themeColor="text1"/>
          <w:sz w:val="16"/>
          <w:szCs w:val="16"/>
        </w:rPr>
        <w:softHyphen/>
        <w:t>тов, завод</w:t>
      </w:r>
      <w:r w:rsidRPr="00070ADE">
        <w:rPr>
          <w:rFonts w:ascii="Times New Roman" w:hAnsi="Times New Roman"/>
          <w:color w:val="000000" w:themeColor="text1"/>
          <w:sz w:val="16"/>
          <w:szCs w:val="16"/>
        </w:rPr>
        <w:t xml:space="preserve"> № </w:t>
      </w:r>
      <w:r w:rsidRPr="00070ADE">
        <w:rPr>
          <w:rFonts w:ascii="Times New Roman" w:hAnsi="Times New Roman"/>
          <w:iCs/>
          <w:color w:val="000000" w:themeColor="text1"/>
          <w:sz w:val="16"/>
          <w:szCs w:val="16"/>
        </w:rPr>
        <w:t>18 - 4 самолета, завод No 30 - 22 самолета с крылом стрельчатой конструкции" (6467).</w:t>
      </w:r>
    </w:p>
    <w:p w14:paraId="08F432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542B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К 1 апреля 1944 «завод № 1 сдал по сборке 20 самолетов, завод № 18 - 4 самолета, завод № 30 - 22 само</w:t>
      </w:r>
      <w:r w:rsidRPr="00070ADE">
        <w:rPr>
          <w:rFonts w:ascii="Times New Roman" w:hAnsi="Times New Roman"/>
          <w:iCs/>
          <w:color w:val="000000" w:themeColor="text1"/>
          <w:sz w:val="16"/>
          <w:szCs w:val="16"/>
        </w:rPr>
        <w:softHyphen/>
        <w:t xml:space="preserve">лета». </w:t>
      </w:r>
      <w:r w:rsidRPr="00070ADE">
        <w:rPr>
          <w:rFonts w:ascii="Times New Roman" w:hAnsi="Times New Roman"/>
          <w:color w:val="000000" w:themeColor="text1"/>
          <w:sz w:val="16"/>
          <w:szCs w:val="16"/>
        </w:rPr>
        <w:t>Возникла, как писал начальник ГУЗ ВВС генерал-лейтенант Н. П. Селез</w:t>
      </w:r>
      <w:r w:rsidRPr="00070ADE">
        <w:rPr>
          <w:rFonts w:ascii="Times New Roman" w:hAnsi="Times New Roman"/>
          <w:color w:val="000000" w:themeColor="text1"/>
          <w:sz w:val="16"/>
          <w:szCs w:val="16"/>
        </w:rPr>
        <w:softHyphen/>
        <w:t xml:space="preserve">нев, </w:t>
      </w:r>
      <w:r w:rsidRPr="00070ADE">
        <w:rPr>
          <w:rFonts w:ascii="Times New Roman" w:hAnsi="Times New Roman"/>
          <w:iCs/>
          <w:color w:val="000000" w:themeColor="text1"/>
          <w:sz w:val="16"/>
          <w:szCs w:val="16"/>
        </w:rPr>
        <w:t xml:space="preserve">«угроза срыва сроков выполнения решения». </w:t>
      </w:r>
      <w:r w:rsidRPr="00070ADE">
        <w:rPr>
          <w:rFonts w:ascii="Times New Roman" w:hAnsi="Times New Roman"/>
          <w:color w:val="000000" w:themeColor="text1"/>
          <w:sz w:val="16"/>
          <w:szCs w:val="16"/>
        </w:rPr>
        <w:t xml:space="preserve">Он требовал срочно </w:t>
      </w:r>
      <w:r w:rsidRPr="00070ADE">
        <w:rPr>
          <w:rFonts w:ascii="Times New Roman" w:hAnsi="Times New Roman"/>
          <w:iCs/>
          <w:color w:val="000000" w:themeColor="text1"/>
          <w:sz w:val="16"/>
          <w:szCs w:val="16"/>
        </w:rPr>
        <w:t>«при</w:t>
      </w:r>
      <w:r w:rsidRPr="00070ADE">
        <w:rPr>
          <w:rFonts w:ascii="Times New Roman" w:hAnsi="Times New Roman"/>
          <w:iCs/>
          <w:color w:val="000000" w:themeColor="text1"/>
          <w:sz w:val="16"/>
          <w:szCs w:val="16"/>
        </w:rPr>
        <w:softHyphen/>
        <w:t>нять меры по разворачиванию произ</w:t>
      </w:r>
      <w:r w:rsidRPr="00070ADE">
        <w:rPr>
          <w:rFonts w:ascii="Times New Roman" w:hAnsi="Times New Roman"/>
          <w:iCs/>
          <w:color w:val="000000" w:themeColor="text1"/>
          <w:sz w:val="16"/>
          <w:szCs w:val="16"/>
        </w:rPr>
        <w:softHyphen/>
        <w:t>водства металлических крыльев стрельчатой конструкции».</w:t>
      </w:r>
    </w:p>
    <w:p w14:paraId="07227F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вышло Постановление ГОКО, которое требовало от директо</w:t>
      </w:r>
      <w:r w:rsidRPr="00070ADE">
        <w:rPr>
          <w:rFonts w:ascii="Times New Roman" w:hAnsi="Times New Roman"/>
          <w:color w:val="000000" w:themeColor="text1"/>
          <w:sz w:val="16"/>
          <w:szCs w:val="16"/>
        </w:rPr>
        <w:softHyphen/>
        <w:t>ров авиазаводов № 1 и 30 ускорить внедрение в серийное производство штурмовиков Ил-2 с металлическим крылом «стрельчатой конструкции».</w:t>
      </w:r>
    </w:p>
    <w:p w14:paraId="51737B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«Послабление» в отношении 18-го авиазавода объясняется следующим образом. Дело в том, что 30 марта бри</w:t>
      </w:r>
      <w:r w:rsidRPr="00070ADE">
        <w:rPr>
          <w:rFonts w:ascii="Times New Roman" w:hAnsi="Times New Roman"/>
          <w:color w:val="000000" w:themeColor="text1"/>
          <w:sz w:val="16"/>
          <w:szCs w:val="16"/>
        </w:rPr>
        <w:softHyphen/>
        <w:t>гада испытателей НИИ ВВС рапортова</w:t>
      </w:r>
      <w:r w:rsidRPr="00070ADE">
        <w:rPr>
          <w:rFonts w:ascii="Times New Roman" w:hAnsi="Times New Roman"/>
          <w:color w:val="000000" w:themeColor="text1"/>
          <w:sz w:val="16"/>
          <w:szCs w:val="16"/>
        </w:rPr>
        <w:softHyphen/>
        <w:t>ла руководству об успешном заверше</w:t>
      </w:r>
      <w:r w:rsidRPr="00070ADE">
        <w:rPr>
          <w:rFonts w:ascii="Times New Roman" w:hAnsi="Times New Roman"/>
          <w:color w:val="000000" w:themeColor="text1"/>
          <w:sz w:val="16"/>
          <w:szCs w:val="16"/>
        </w:rPr>
        <w:softHyphen/>
        <w:t>нии государственных летных испыта</w:t>
      </w:r>
      <w:r w:rsidRPr="00070ADE">
        <w:rPr>
          <w:rFonts w:ascii="Times New Roman" w:hAnsi="Times New Roman"/>
          <w:color w:val="000000" w:themeColor="text1"/>
          <w:sz w:val="16"/>
          <w:szCs w:val="16"/>
        </w:rPr>
        <w:softHyphen/>
        <w:t>ний опытного штурмовика Ил-8 АМ-42 с более высокими, чем у Ил-2, летными данными. Самолет имел много общего с Ил-2, и в случае внедрения его в мас</w:t>
      </w:r>
      <w:r w:rsidRPr="00070ADE">
        <w:rPr>
          <w:rFonts w:ascii="Times New Roman" w:hAnsi="Times New Roman"/>
          <w:color w:val="000000" w:themeColor="text1"/>
          <w:sz w:val="16"/>
          <w:szCs w:val="16"/>
        </w:rPr>
        <w:softHyphen/>
        <w:t>совое производство можно было ис</w:t>
      </w:r>
      <w:r w:rsidRPr="00070ADE">
        <w:rPr>
          <w:rFonts w:ascii="Times New Roman" w:hAnsi="Times New Roman"/>
          <w:color w:val="000000" w:themeColor="text1"/>
          <w:sz w:val="16"/>
          <w:szCs w:val="16"/>
        </w:rPr>
        <w:softHyphen/>
        <w:t>пользовать те же конвейеры и боль</w:t>
      </w:r>
      <w:r w:rsidRPr="00070ADE">
        <w:rPr>
          <w:rFonts w:ascii="Times New Roman" w:hAnsi="Times New Roman"/>
          <w:color w:val="000000" w:themeColor="text1"/>
          <w:sz w:val="16"/>
          <w:szCs w:val="16"/>
        </w:rPr>
        <w:softHyphen/>
        <w:t>шую часть имеющейся оснастки. По этой причине наркомат авиапромыш</w:t>
      </w:r>
      <w:r w:rsidRPr="00070ADE">
        <w:rPr>
          <w:rFonts w:ascii="Times New Roman" w:hAnsi="Times New Roman"/>
          <w:color w:val="000000" w:themeColor="text1"/>
          <w:sz w:val="16"/>
          <w:szCs w:val="16"/>
        </w:rPr>
        <w:softHyphen/>
        <w:t>ленности вынашивал планы перевода производства авиазавода № 18 на се</w:t>
      </w:r>
      <w:r w:rsidRPr="00070ADE">
        <w:rPr>
          <w:rFonts w:ascii="Times New Roman" w:hAnsi="Times New Roman"/>
          <w:color w:val="000000" w:themeColor="text1"/>
          <w:sz w:val="16"/>
          <w:szCs w:val="16"/>
        </w:rPr>
        <w:softHyphen/>
        <w:t>рийный выпуск Ил-8 уже с лета 1944 г., а авиазаводов № 1 и № 30 - в первом полугодии следующего года. Кроме этого, на завершающей стадии заводс</w:t>
      </w:r>
      <w:r w:rsidRPr="00070ADE">
        <w:rPr>
          <w:rFonts w:ascii="Times New Roman" w:hAnsi="Times New Roman"/>
          <w:color w:val="000000" w:themeColor="text1"/>
          <w:sz w:val="16"/>
          <w:szCs w:val="16"/>
        </w:rPr>
        <w:softHyphen/>
        <w:t>ких испытаний находился опытный штурмовик ОКБ П. О. Сухого Су-6, кото</w:t>
      </w:r>
      <w:r w:rsidRPr="00070ADE">
        <w:rPr>
          <w:rFonts w:ascii="Times New Roman" w:hAnsi="Times New Roman"/>
          <w:color w:val="000000" w:themeColor="text1"/>
          <w:sz w:val="16"/>
          <w:szCs w:val="16"/>
        </w:rPr>
        <w:softHyphen/>
        <w:t>рый лучше подходил для боя, чем Ил-8. На подходе был еще один опытный штурмовик-Ил-10 АМ-42. Учитывая эти обстоятельства, было решено с форси</w:t>
      </w:r>
      <w:r w:rsidRPr="00070ADE">
        <w:rPr>
          <w:rFonts w:ascii="Times New Roman" w:hAnsi="Times New Roman"/>
          <w:color w:val="000000" w:themeColor="text1"/>
          <w:sz w:val="16"/>
          <w:szCs w:val="16"/>
        </w:rPr>
        <w:softHyphen/>
        <w:t>рованием выпуска модифицированно</w:t>
      </w:r>
      <w:r w:rsidRPr="00070ADE">
        <w:rPr>
          <w:rFonts w:ascii="Times New Roman" w:hAnsi="Times New Roman"/>
          <w:color w:val="000000" w:themeColor="text1"/>
          <w:sz w:val="16"/>
          <w:szCs w:val="16"/>
        </w:rPr>
        <w:softHyphen/>
        <w:t>го Ил-2 на 18-м авиазаводе подождать до тех пор, пока не станет ясно, какой из трех опытных штурмовиков будет поставлен на вооружение ВВС.</w:t>
      </w:r>
    </w:p>
    <w:p w14:paraId="565913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Авиазавод № 18 вышел на плано</w:t>
      </w:r>
      <w:r w:rsidRPr="00070ADE">
        <w:rPr>
          <w:rFonts w:ascii="Times New Roman" w:hAnsi="Times New Roman"/>
          <w:color w:val="000000" w:themeColor="text1"/>
          <w:sz w:val="16"/>
          <w:szCs w:val="16"/>
        </w:rPr>
        <w:softHyphen/>
        <w:t>вый уровень производства самолетов Ил-2 с металлическим крылом «стрель</w:t>
      </w:r>
      <w:r w:rsidRPr="00070ADE">
        <w:rPr>
          <w:rFonts w:ascii="Times New Roman" w:hAnsi="Times New Roman"/>
          <w:color w:val="000000" w:themeColor="text1"/>
          <w:sz w:val="16"/>
          <w:szCs w:val="16"/>
        </w:rPr>
        <w:softHyphen/>
        <w:t>чатой конструкции» лишь к июню, а 1-й и 30-й заводы - к сентябрю 1944 г. В общей сложности к концу года в стро</w:t>
      </w:r>
      <w:r w:rsidRPr="00070ADE">
        <w:rPr>
          <w:rFonts w:ascii="Times New Roman" w:hAnsi="Times New Roman"/>
          <w:color w:val="000000" w:themeColor="text1"/>
          <w:sz w:val="16"/>
          <w:szCs w:val="16"/>
        </w:rPr>
        <w:softHyphen/>
        <w:t xml:space="preserve">евые части ВВС было отправлено 7377 Ил-2 </w:t>
      </w:r>
      <w:r w:rsidRPr="00070ADE">
        <w:rPr>
          <w:rFonts w:ascii="Times New Roman" w:hAnsi="Times New Roman"/>
          <w:iCs/>
          <w:color w:val="000000" w:themeColor="text1"/>
          <w:sz w:val="16"/>
          <w:szCs w:val="16"/>
        </w:rPr>
        <w:t xml:space="preserve">«крыло со стрелкой». </w:t>
      </w:r>
      <w:r w:rsidRPr="00070ADE">
        <w:rPr>
          <w:rFonts w:ascii="Times New Roman" w:hAnsi="Times New Roman"/>
          <w:color w:val="000000" w:themeColor="text1"/>
          <w:sz w:val="16"/>
          <w:szCs w:val="16"/>
        </w:rPr>
        <w:t>При этом авиазаводы № 1 и № 30 выпускали са</w:t>
      </w:r>
      <w:r w:rsidRPr="00070ADE">
        <w:rPr>
          <w:rFonts w:ascii="Times New Roman" w:hAnsi="Times New Roman"/>
          <w:color w:val="000000" w:themeColor="text1"/>
          <w:sz w:val="16"/>
          <w:szCs w:val="16"/>
        </w:rPr>
        <w:softHyphen/>
        <w:t>молеты и с металлическим, и с дере</w:t>
      </w:r>
      <w:r w:rsidRPr="00070ADE">
        <w:rPr>
          <w:rFonts w:ascii="Times New Roman" w:hAnsi="Times New Roman"/>
          <w:color w:val="000000" w:themeColor="text1"/>
          <w:sz w:val="16"/>
          <w:szCs w:val="16"/>
        </w:rPr>
        <w:softHyphen/>
        <w:t>вянным крылом. Все самолеты имели «стандартное» для 1944 г. наступатель</w:t>
      </w:r>
      <w:r w:rsidRPr="00070ADE">
        <w:rPr>
          <w:rFonts w:ascii="Times New Roman" w:hAnsi="Times New Roman"/>
          <w:color w:val="000000" w:themeColor="text1"/>
          <w:sz w:val="16"/>
          <w:szCs w:val="16"/>
        </w:rPr>
        <w:softHyphen/>
        <w:t>ное вооружение: пушки ВЯ, пулеметы ШКАС, «эрэсы» и бомбы (11215).</w:t>
      </w:r>
    </w:p>
    <w:p w14:paraId="325169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48AD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апреля 1944 Зам. Нач. 12 ГУ НКАП Соколов писал письмо № Д-2/1451 ГИ 10 ГУ НКАП т. Тарасевичу:</w:t>
      </w:r>
    </w:p>
    <w:p w14:paraId="1743B0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запуском в производства самолета Ил-8 прошу Вас срочно представить 12 ГУ НКАП утвержденные чертежи на бронекозырьки самолетов Ил-8, в количестве 2 экз.</w:t>
      </w:r>
    </w:p>
    <w:p w14:paraId="1ACDC9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Вас учесть, что на освоение производства бронекозырьков потребуется минимум 3-4 месяца и непредставление Вами просимых чертежей может задержать выпуск самолета Ил-8 (10532,9).</w:t>
      </w:r>
    </w:p>
    <w:p w14:paraId="63AE0D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3FB6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апреля 1944 состояние опытного строительства на 21 заводе было следующим:</w:t>
      </w:r>
    </w:p>
    <w:p w14:paraId="525A92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Ла-5 Д (АШ-82ФН). Произведено взвешивание с-та. Нормальный полетный вес - 3543. Центровка - 24,5% САХ. В отличие от серийного с-та типа 41 на с-те установлены дополнительные б/б (консольные) по 112 л и фюзеляжный бак 127 л. Емкость м/б - 72 л. На оценку проведено 3 полета. С-т отправлен в ЛИИ НКАП для предварительных испытаний.</w:t>
      </w:r>
    </w:p>
    <w:p w14:paraId="77C236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Доводка серийных с-тов:</w:t>
      </w:r>
    </w:p>
    <w:p w14:paraId="70AD03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Изготовлен крайней левый мягкий б/б. В сборке осваивается с-т 41 типа (с металлическими лонжеронами)</w:t>
      </w:r>
    </w:p>
    <w:p w14:paraId="38628A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апреля изготовлено 10 с-тов 41 типа</w:t>
      </w:r>
    </w:p>
    <w:p w14:paraId="375C28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Разрабатываются чертежи на размещение в фюзеляже 40 шт. Бомб ПТАБ-25 для Ла-5 тип 39 (ФН)</w:t>
      </w:r>
    </w:p>
    <w:p w14:paraId="6589D6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Заканчивается монтаж АРТЦ-43, Д-67, ВГ-82 на одном из серийных ФН (738,18).</w:t>
      </w:r>
    </w:p>
    <w:p w14:paraId="74000B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CA8903" w14:textId="275EFA8C"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апреля 1944</w:t>
      </w:r>
      <w:r w:rsidR="002C7AF2" w:rsidRPr="00070ADE">
        <w:rPr>
          <w:rFonts w:ascii="Times New Roman" w:hAnsi="Times New Roman"/>
          <w:color w:val="000000" w:themeColor="text1"/>
          <w:sz w:val="16"/>
          <w:szCs w:val="16"/>
        </w:rPr>
        <w:t>,</w:t>
      </w:r>
      <w:r w:rsidRPr="00070ADE">
        <w:rPr>
          <w:rFonts w:ascii="Times New Roman" w:hAnsi="Times New Roman"/>
          <w:color w:val="000000" w:themeColor="text1"/>
          <w:sz w:val="16"/>
          <w:szCs w:val="16"/>
        </w:rPr>
        <w:t xml:space="preserve"> согласно журнала наблюдения за проектированием, постройкой и испытаниями высотного истребителя МиГ-1 на И-222 произвордились подгонки оборудования гермокабины, срок изготовления которой был намечен к 1 апреля. Выяснилось увеличение усилий на ручке управления при герметизации проводки. Мотор еще не получен (991,12).</w:t>
      </w:r>
    </w:p>
    <w:p w14:paraId="34F6FF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2A349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апреля 194 года начальник ЛИИ проф. Чесалов писал письмо N 211с Шахурину.</w:t>
      </w:r>
    </w:p>
    <w:p w14:paraId="4D501A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Довожу до Вашего сведения результаты контрольных испытаний серийных самолетов, проведенных ЛИИ в марте 1944 года в соответствии с приказом N 505с.</w:t>
      </w:r>
    </w:p>
    <w:p w14:paraId="150D92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Самолет Ла-5ф N 3811022, производства завода N 381 выпуска февраля 1944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252EFE00" w14:textId="77777777">
        <w:tc>
          <w:tcPr>
            <w:tcW w:w="5636" w:type="dxa"/>
          </w:tcPr>
          <w:p w14:paraId="44ACCA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w:t>
            </w:r>
          </w:p>
        </w:tc>
        <w:tc>
          <w:tcPr>
            <w:tcW w:w="5636" w:type="dxa"/>
          </w:tcPr>
          <w:p w14:paraId="33CEF2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3145 кг</w:t>
            </w:r>
          </w:p>
        </w:tc>
      </w:tr>
      <w:tr w:rsidR="004D4663" w:rsidRPr="00070ADE" w14:paraId="79665A5C" w14:textId="77777777">
        <w:tc>
          <w:tcPr>
            <w:tcW w:w="5636" w:type="dxa"/>
          </w:tcPr>
          <w:p w14:paraId="16D30D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(уменьшение полетного веса</w:t>
            </w:r>
          </w:p>
        </w:tc>
        <w:tc>
          <w:tcPr>
            <w:tcW w:w="5636" w:type="dxa"/>
          </w:tcPr>
          <w:p w14:paraId="39BBEC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3DC8DE0" w14:textId="77777777">
        <w:tc>
          <w:tcPr>
            <w:tcW w:w="5636" w:type="dxa"/>
          </w:tcPr>
          <w:p w14:paraId="66A561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произведено за счет замены</w:t>
            </w:r>
          </w:p>
        </w:tc>
        <w:tc>
          <w:tcPr>
            <w:tcW w:w="5636" w:type="dxa"/>
          </w:tcPr>
          <w:p w14:paraId="719388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A6FFFE7" w14:textId="77777777">
        <w:tc>
          <w:tcPr>
            <w:tcW w:w="5636" w:type="dxa"/>
          </w:tcPr>
          <w:p w14:paraId="7F3BAE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деревянных лонжеронов на</w:t>
            </w:r>
          </w:p>
        </w:tc>
        <w:tc>
          <w:tcPr>
            <w:tcW w:w="5636" w:type="dxa"/>
          </w:tcPr>
          <w:p w14:paraId="2FAA11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712973B" w14:textId="77777777">
        <w:tc>
          <w:tcPr>
            <w:tcW w:w="5636" w:type="dxa"/>
          </w:tcPr>
          <w:p w14:paraId="25B904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металлические).</w:t>
            </w:r>
          </w:p>
        </w:tc>
        <w:tc>
          <w:tcPr>
            <w:tcW w:w="5636" w:type="dxa"/>
          </w:tcPr>
          <w:p w14:paraId="45FA1C0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E319F05" w14:textId="77777777">
        <w:tc>
          <w:tcPr>
            <w:tcW w:w="5636" w:type="dxa"/>
          </w:tcPr>
          <w:p w14:paraId="0F4085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w:t>
            </w:r>
          </w:p>
        </w:tc>
        <w:tc>
          <w:tcPr>
            <w:tcW w:w="5636" w:type="dxa"/>
          </w:tcPr>
          <w:p w14:paraId="3960B5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549 км/час</w:t>
            </w:r>
          </w:p>
        </w:tc>
      </w:tr>
      <w:tr w:rsidR="004D4663" w:rsidRPr="00070ADE" w14:paraId="3F2745AB" w14:textId="77777777">
        <w:tc>
          <w:tcPr>
            <w:tcW w:w="5636" w:type="dxa"/>
          </w:tcPr>
          <w:p w14:paraId="60AE57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2-й</w:t>
            </w:r>
          </w:p>
        </w:tc>
        <w:tc>
          <w:tcPr>
            <w:tcW w:w="5636" w:type="dxa"/>
          </w:tcPr>
          <w:p w14:paraId="1B7052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BD8A56E" w14:textId="77777777">
        <w:tc>
          <w:tcPr>
            <w:tcW w:w="5636" w:type="dxa"/>
          </w:tcPr>
          <w:p w14:paraId="60A88E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границе высотности (Н=5950 м)</w:t>
            </w:r>
          </w:p>
        </w:tc>
        <w:tc>
          <w:tcPr>
            <w:tcW w:w="5636" w:type="dxa"/>
          </w:tcPr>
          <w:p w14:paraId="3D608B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595 км/час</w:t>
            </w:r>
          </w:p>
        </w:tc>
      </w:tr>
      <w:tr w:rsidR="004D4663" w:rsidRPr="00070ADE" w14:paraId="696C3CD1" w14:textId="77777777">
        <w:tc>
          <w:tcPr>
            <w:tcW w:w="5636" w:type="dxa"/>
          </w:tcPr>
          <w:p w14:paraId="014F4A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 м</w:t>
            </w:r>
          </w:p>
        </w:tc>
        <w:tc>
          <w:tcPr>
            <w:tcW w:w="5636" w:type="dxa"/>
          </w:tcPr>
          <w:p w14:paraId="59FA110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 мин.</w:t>
            </w:r>
          </w:p>
        </w:tc>
      </w:tr>
      <w:tr w:rsidR="004D4663" w:rsidRPr="00070ADE" w14:paraId="6E22B5FD" w14:textId="77777777">
        <w:tc>
          <w:tcPr>
            <w:tcW w:w="5636" w:type="dxa"/>
          </w:tcPr>
          <w:p w14:paraId="78660C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Охлаждение головок масла на</w:t>
            </w:r>
          </w:p>
        </w:tc>
        <w:tc>
          <w:tcPr>
            <w:tcW w:w="5636" w:type="dxa"/>
          </w:tcPr>
          <w:p w14:paraId="7DEFA8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79138E2" w14:textId="77777777">
        <w:tc>
          <w:tcPr>
            <w:tcW w:w="5636" w:type="dxa"/>
          </w:tcPr>
          <w:p w14:paraId="44AC99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подъеме недостаточно. Для</w:t>
            </w:r>
          </w:p>
        </w:tc>
        <w:tc>
          <w:tcPr>
            <w:tcW w:w="5636" w:type="dxa"/>
          </w:tcPr>
          <w:p w14:paraId="2C9267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389DFED" w14:textId="77777777">
        <w:tc>
          <w:tcPr>
            <w:tcW w:w="5636" w:type="dxa"/>
          </w:tcPr>
          <w:p w14:paraId="693FF6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улучшения охлаждения головки</w:t>
            </w:r>
          </w:p>
        </w:tc>
        <w:tc>
          <w:tcPr>
            <w:tcW w:w="5636" w:type="dxa"/>
          </w:tcPr>
          <w:p w14:paraId="55CDCE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5F74591" w14:textId="77777777">
        <w:tc>
          <w:tcPr>
            <w:tcW w:w="5636" w:type="dxa"/>
          </w:tcPr>
          <w:p w14:paraId="6B606D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1-го цилиндра рекомендовано</w:t>
            </w:r>
          </w:p>
        </w:tc>
        <w:tc>
          <w:tcPr>
            <w:tcW w:w="5636" w:type="dxa"/>
          </w:tcPr>
          <w:p w14:paraId="6D4833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A954708" w14:textId="77777777">
        <w:tc>
          <w:tcPr>
            <w:tcW w:w="5636" w:type="dxa"/>
          </w:tcPr>
          <w:p w14:paraId="7A3491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изменить его по образцу,</w:t>
            </w:r>
          </w:p>
        </w:tc>
        <w:tc>
          <w:tcPr>
            <w:tcW w:w="5636" w:type="dxa"/>
          </w:tcPr>
          <w:p w14:paraId="4DB66D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1838F8B" w14:textId="77777777">
        <w:tc>
          <w:tcPr>
            <w:tcW w:w="5636" w:type="dxa"/>
          </w:tcPr>
          <w:p w14:paraId="7BD300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выполненному в ЛИИ.</w:t>
            </w:r>
          </w:p>
        </w:tc>
        <w:tc>
          <w:tcPr>
            <w:tcW w:w="5636" w:type="dxa"/>
          </w:tcPr>
          <w:p w14:paraId="68C465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3F26A8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Самолет Ла-5 ФН N 39211525 производства завода N 21 выпуска февраля 1944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7494B522" w14:textId="77777777">
        <w:tc>
          <w:tcPr>
            <w:tcW w:w="5636" w:type="dxa"/>
          </w:tcPr>
          <w:p w14:paraId="491385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w:t>
            </w:r>
          </w:p>
        </w:tc>
        <w:tc>
          <w:tcPr>
            <w:tcW w:w="5636" w:type="dxa"/>
          </w:tcPr>
          <w:p w14:paraId="0D042F3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550 км/час</w:t>
            </w:r>
          </w:p>
        </w:tc>
      </w:tr>
      <w:tr w:rsidR="004D4663" w:rsidRPr="00070ADE" w14:paraId="49E67802" w14:textId="77777777">
        <w:tc>
          <w:tcPr>
            <w:tcW w:w="5636" w:type="dxa"/>
          </w:tcPr>
          <w:p w14:paraId="07F5DD3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номинале (Рк=1000 мм рт. ст.)</w:t>
            </w:r>
          </w:p>
        </w:tc>
        <w:tc>
          <w:tcPr>
            <w:tcW w:w="5636" w:type="dxa"/>
          </w:tcPr>
          <w:p w14:paraId="7E34C7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C5E47A9" w14:textId="77777777">
        <w:tc>
          <w:tcPr>
            <w:tcW w:w="5636" w:type="dxa"/>
          </w:tcPr>
          <w:p w14:paraId="2996C5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режиме боевой мощности</w:t>
            </w:r>
          </w:p>
        </w:tc>
        <w:tc>
          <w:tcPr>
            <w:tcW w:w="5636" w:type="dxa"/>
          </w:tcPr>
          <w:p w14:paraId="182206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E2AE8B5" w14:textId="77777777">
        <w:tc>
          <w:tcPr>
            <w:tcW w:w="5636" w:type="dxa"/>
          </w:tcPr>
          <w:p w14:paraId="77F00F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(Рк=1180 мм рт. ст.) следует</w:t>
            </w:r>
          </w:p>
        </w:tc>
        <w:tc>
          <w:tcPr>
            <w:tcW w:w="5636" w:type="dxa"/>
          </w:tcPr>
          <w:p w14:paraId="4F7FA0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AC09B09" w14:textId="77777777">
        <w:tc>
          <w:tcPr>
            <w:tcW w:w="5636" w:type="dxa"/>
          </w:tcPr>
          <w:p w14:paraId="7F2E62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ожидать скорость</w:t>
            </w:r>
          </w:p>
        </w:tc>
        <w:tc>
          <w:tcPr>
            <w:tcW w:w="5636" w:type="dxa"/>
          </w:tcPr>
          <w:p w14:paraId="31851D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580 км/час</w:t>
            </w:r>
          </w:p>
        </w:tc>
      </w:tr>
      <w:tr w:rsidR="004D4663" w:rsidRPr="00070ADE" w14:paraId="78950997" w14:textId="77777777">
        <w:tc>
          <w:tcPr>
            <w:tcW w:w="5636" w:type="dxa"/>
          </w:tcPr>
          <w:p w14:paraId="2A0880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w:t>
            </w:r>
          </w:p>
        </w:tc>
        <w:tc>
          <w:tcPr>
            <w:tcW w:w="5636" w:type="dxa"/>
          </w:tcPr>
          <w:p w14:paraId="232C61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FD75022" w14:textId="77777777">
        <w:tc>
          <w:tcPr>
            <w:tcW w:w="5636" w:type="dxa"/>
          </w:tcPr>
          <w:p w14:paraId="089DD1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высоте 5700 м примерно</w:t>
            </w:r>
          </w:p>
        </w:tc>
        <w:tc>
          <w:tcPr>
            <w:tcW w:w="5636" w:type="dxa"/>
          </w:tcPr>
          <w:p w14:paraId="296AC3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625 км/час</w:t>
            </w:r>
          </w:p>
        </w:tc>
      </w:tr>
      <w:tr w:rsidR="004D4663" w:rsidRPr="00070ADE" w14:paraId="50797E54" w14:textId="77777777">
        <w:tc>
          <w:tcPr>
            <w:tcW w:w="5636" w:type="dxa"/>
          </w:tcPr>
          <w:p w14:paraId="022A23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 м</w:t>
            </w:r>
          </w:p>
        </w:tc>
        <w:tc>
          <w:tcPr>
            <w:tcW w:w="5636" w:type="dxa"/>
          </w:tcPr>
          <w:p w14:paraId="258DEA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 мин.</w:t>
            </w:r>
          </w:p>
        </w:tc>
      </w:tr>
    </w:tbl>
    <w:p w14:paraId="5FF048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Малая скорость на 2-й границе высотности в значительной степени объясняется неравномерной работой мотора, из-за которой испытания закончить не удалось.</w:t>
      </w:r>
    </w:p>
    <w:p w14:paraId="201113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Самолет Як-1, N 36176 производства завода N 292, выпуска февраля 1944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4A585D2E" w14:textId="77777777">
        <w:tc>
          <w:tcPr>
            <w:tcW w:w="5636" w:type="dxa"/>
          </w:tcPr>
          <w:p w14:paraId="4A3245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w:t>
            </w:r>
          </w:p>
        </w:tc>
        <w:tc>
          <w:tcPr>
            <w:tcW w:w="5636" w:type="dxa"/>
          </w:tcPr>
          <w:p w14:paraId="059543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2890 кг</w:t>
            </w:r>
          </w:p>
        </w:tc>
      </w:tr>
      <w:tr w:rsidR="004D4663" w:rsidRPr="00070ADE" w14:paraId="2D8D287E" w14:textId="77777777">
        <w:tc>
          <w:tcPr>
            <w:tcW w:w="5636" w:type="dxa"/>
          </w:tcPr>
          <w:p w14:paraId="3AFB91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w:t>
            </w:r>
          </w:p>
        </w:tc>
        <w:tc>
          <w:tcPr>
            <w:tcW w:w="5636" w:type="dxa"/>
          </w:tcPr>
          <w:p w14:paraId="6018AC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528 км/час</w:t>
            </w:r>
          </w:p>
        </w:tc>
      </w:tr>
      <w:tr w:rsidR="004D4663" w:rsidRPr="00070ADE" w14:paraId="25BA0FA1" w14:textId="77777777">
        <w:tc>
          <w:tcPr>
            <w:tcW w:w="5636" w:type="dxa"/>
          </w:tcPr>
          <w:p w14:paraId="1B5745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2-й</w:t>
            </w:r>
          </w:p>
        </w:tc>
        <w:tc>
          <w:tcPr>
            <w:tcW w:w="5636" w:type="dxa"/>
          </w:tcPr>
          <w:p w14:paraId="7E0BCC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5B2DC5A" w14:textId="77777777">
        <w:tc>
          <w:tcPr>
            <w:tcW w:w="5636" w:type="dxa"/>
          </w:tcPr>
          <w:p w14:paraId="6DF66A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границе высотности </w:t>
            </w:r>
          </w:p>
        </w:tc>
        <w:tc>
          <w:tcPr>
            <w:tcW w:w="5636" w:type="dxa"/>
          </w:tcPr>
          <w:p w14:paraId="215A06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590 км/час</w:t>
            </w:r>
          </w:p>
        </w:tc>
      </w:tr>
      <w:tr w:rsidR="004D4663" w:rsidRPr="00070ADE" w14:paraId="7C7F07EA" w14:textId="77777777">
        <w:tc>
          <w:tcPr>
            <w:tcW w:w="5636" w:type="dxa"/>
          </w:tcPr>
          <w:p w14:paraId="09BC35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 м</w:t>
            </w:r>
          </w:p>
        </w:tc>
        <w:tc>
          <w:tcPr>
            <w:tcW w:w="5636" w:type="dxa"/>
          </w:tcPr>
          <w:p w14:paraId="146B89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 мин.</w:t>
            </w:r>
          </w:p>
        </w:tc>
      </w:tr>
    </w:tbl>
    <w:p w14:paraId="305F9E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Охлаждение масла недостаточно.</w:t>
      </w:r>
    </w:p>
    <w:p w14:paraId="5F3D92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Самолет Як-9 N 17006 производства завода N 166 выпуска февраля 1944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6A5D11D7" w14:textId="77777777">
        <w:tc>
          <w:tcPr>
            <w:tcW w:w="5636" w:type="dxa"/>
          </w:tcPr>
          <w:p w14:paraId="5820DE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w:t>
            </w:r>
          </w:p>
        </w:tc>
        <w:tc>
          <w:tcPr>
            <w:tcW w:w="5636" w:type="dxa"/>
          </w:tcPr>
          <w:p w14:paraId="000567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3106 кг</w:t>
            </w:r>
          </w:p>
        </w:tc>
      </w:tr>
      <w:tr w:rsidR="004D4663" w:rsidRPr="00070ADE" w14:paraId="1A9D6639" w14:textId="77777777">
        <w:tc>
          <w:tcPr>
            <w:tcW w:w="5636" w:type="dxa"/>
          </w:tcPr>
          <w:p w14:paraId="0F8258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w:t>
            </w:r>
          </w:p>
        </w:tc>
        <w:tc>
          <w:tcPr>
            <w:tcW w:w="5636" w:type="dxa"/>
          </w:tcPr>
          <w:p w14:paraId="167B7D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533 км/час</w:t>
            </w:r>
          </w:p>
        </w:tc>
      </w:tr>
      <w:tr w:rsidR="004D4663" w:rsidRPr="00070ADE" w14:paraId="6A1966DF" w14:textId="77777777">
        <w:tc>
          <w:tcPr>
            <w:tcW w:w="5636" w:type="dxa"/>
          </w:tcPr>
          <w:p w14:paraId="2367503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2-й</w:t>
            </w:r>
          </w:p>
        </w:tc>
        <w:tc>
          <w:tcPr>
            <w:tcW w:w="5636" w:type="dxa"/>
          </w:tcPr>
          <w:p w14:paraId="4D7DB1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C741D89" w14:textId="77777777">
        <w:tc>
          <w:tcPr>
            <w:tcW w:w="5636" w:type="dxa"/>
          </w:tcPr>
          <w:p w14:paraId="6B8C5B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границе высотности (Н=3880 м)</w:t>
            </w:r>
          </w:p>
        </w:tc>
        <w:tc>
          <w:tcPr>
            <w:tcW w:w="5636" w:type="dxa"/>
          </w:tcPr>
          <w:p w14:paraId="029DD8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591 км/час</w:t>
            </w:r>
          </w:p>
        </w:tc>
      </w:tr>
      <w:tr w:rsidR="004D4663" w:rsidRPr="00070ADE" w14:paraId="31FA7770" w14:textId="77777777">
        <w:tc>
          <w:tcPr>
            <w:tcW w:w="5636" w:type="dxa"/>
          </w:tcPr>
          <w:p w14:paraId="0D9E11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 м</w:t>
            </w:r>
          </w:p>
        </w:tc>
        <w:tc>
          <w:tcPr>
            <w:tcW w:w="5636" w:type="dxa"/>
          </w:tcPr>
          <w:p w14:paraId="0400E9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 мин.</w:t>
            </w:r>
          </w:p>
        </w:tc>
      </w:tr>
    </w:tbl>
    <w:p w14:paraId="70C4CE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Охлаждение воды и масла достаточно.</w:t>
      </w:r>
    </w:p>
    <w:p w14:paraId="4945AE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Самолет ЛаГГ-3 N 7166 производства завода N 31 выпуска февраля 1944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4D4663" w:rsidRPr="00070ADE" w14:paraId="7CAB4553" w14:textId="77777777">
        <w:tc>
          <w:tcPr>
            <w:tcW w:w="3757" w:type="dxa"/>
          </w:tcPr>
          <w:p w14:paraId="114FE8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w:t>
            </w:r>
          </w:p>
        </w:tc>
        <w:tc>
          <w:tcPr>
            <w:tcW w:w="3757" w:type="dxa"/>
          </w:tcPr>
          <w:p w14:paraId="41873F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2983 кг</w:t>
            </w:r>
          </w:p>
        </w:tc>
      </w:tr>
      <w:tr w:rsidR="004D4663" w:rsidRPr="00070ADE" w14:paraId="5B11F766" w14:textId="77777777">
        <w:tc>
          <w:tcPr>
            <w:tcW w:w="3757" w:type="dxa"/>
          </w:tcPr>
          <w:p w14:paraId="518F7B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w:t>
            </w:r>
          </w:p>
        </w:tc>
        <w:tc>
          <w:tcPr>
            <w:tcW w:w="3757" w:type="dxa"/>
          </w:tcPr>
          <w:p w14:paraId="0873BC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532 км/час</w:t>
            </w:r>
          </w:p>
        </w:tc>
      </w:tr>
      <w:tr w:rsidR="004D4663" w:rsidRPr="00070ADE" w14:paraId="4FE7D904" w14:textId="77777777">
        <w:tc>
          <w:tcPr>
            <w:tcW w:w="3757" w:type="dxa"/>
          </w:tcPr>
          <w:p w14:paraId="5B4CD9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2-й</w:t>
            </w:r>
          </w:p>
        </w:tc>
        <w:tc>
          <w:tcPr>
            <w:tcW w:w="3757" w:type="dxa"/>
          </w:tcPr>
          <w:p w14:paraId="2E42B3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5F4656F" w14:textId="77777777">
        <w:tc>
          <w:tcPr>
            <w:tcW w:w="3757" w:type="dxa"/>
          </w:tcPr>
          <w:p w14:paraId="0C7D4D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границе высотности </w:t>
            </w:r>
          </w:p>
        </w:tc>
        <w:tc>
          <w:tcPr>
            <w:tcW w:w="3757" w:type="dxa"/>
          </w:tcPr>
          <w:p w14:paraId="3E0BCE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586 км/час</w:t>
            </w:r>
          </w:p>
        </w:tc>
      </w:tr>
      <w:tr w:rsidR="004D4663" w:rsidRPr="00070ADE" w14:paraId="0F2C7953" w14:textId="77777777">
        <w:tc>
          <w:tcPr>
            <w:tcW w:w="3757" w:type="dxa"/>
          </w:tcPr>
          <w:p w14:paraId="6BE43A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 м</w:t>
            </w:r>
          </w:p>
        </w:tc>
        <w:tc>
          <w:tcPr>
            <w:tcW w:w="3757" w:type="dxa"/>
          </w:tcPr>
          <w:p w14:paraId="2DAADE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 мин.</w:t>
            </w:r>
          </w:p>
        </w:tc>
      </w:tr>
    </w:tbl>
    <w:p w14:paraId="383711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Охлаждение масла недостаточно (1821).</w:t>
      </w:r>
    </w:p>
    <w:p w14:paraId="33AD56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BE8B47" w14:textId="77777777" w:rsidR="002C7AF2" w:rsidRPr="00070ADE" w:rsidRDefault="002C7AF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 апреля 1944 г. на самолете ИТП (М-2) АМ-39 в об</w:t>
      </w:r>
      <w:r w:rsidRPr="00070ADE">
        <w:rPr>
          <w:rFonts w:ascii="Times New Roman" w:hAnsi="Times New Roman"/>
          <w:color w:val="000000" w:themeColor="text1"/>
          <w:sz w:val="16"/>
          <w:szCs w:val="16"/>
        </w:rPr>
        <w:softHyphen/>
        <w:t>щей сложности выполнили 13 испыта</w:t>
      </w:r>
      <w:r w:rsidRPr="00070ADE">
        <w:rPr>
          <w:rFonts w:ascii="Times New Roman" w:hAnsi="Times New Roman"/>
          <w:color w:val="000000" w:themeColor="text1"/>
          <w:sz w:val="16"/>
          <w:szCs w:val="16"/>
        </w:rPr>
        <w:softHyphen/>
        <w:t>тельных полетов. К этому времени «пред</w:t>
      </w:r>
      <w:r w:rsidRPr="00070ADE">
        <w:rPr>
          <w:rFonts w:ascii="Times New Roman" w:hAnsi="Times New Roman"/>
          <w:color w:val="000000" w:themeColor="text1"/>
          <w:sz w:val="16"/>
          <w:szCs w:val="16"/>
        </w:rPr>
        <w:softHyphen/>
        <w:t>варительные данные по самолету пока еще не выявлены, так как в большинст</w:t>
      </w:r>
      <w:r w:rsidRPr="00070ADE">
        <w:rPr>
          <w:rFonts w:ascii="Times New Roman" w:hAnsi="Times New Roman"/>
          <w:color w:val="000000" w:themeColor="text1"/>
          <w:sz w:val="16"/>
          <w:szCs w:val="16"/>
        </w:rPr>
        <w:softHyphen/>
        <w:t>ве полетов - задания не выполнялись и программа летных заводских испытаний в основном еще не выполнена».</w:t>
      </w:r>
    </w:p>
    <w:p w14:paraId="05F1E209" w14:textId="77777777" w:rsidR="002C7AF2" w:rsidRPr="00070ADE" w:rsidRDefault="002C7AF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ремонте самолет простоял целых 40 дней. Все это время консоли заново шпаклевались и окрашивались. Основная причина такой большой задержки заклю</w:t>
      </w:r>
      <w:r w:rsidRPr="00070ADE">
        <w:rPr>
          <w:rFonts w:ascii="Times New Roman" w:hAnsi="Times New Roman"/>
          <w:color w:val="000000" w:themeColor="text1"/>
          <w:sz w:val="16"/>
          <w:szCs w:val="16"/>
        </w:rPr>
        <w:softHyphen/>
        <w:t>чалась в отсутствии на заводе смывки и качественной шпаклевки (24308).</w:t>
      </w:r>
    </w:p>
    <w:p w14:paraId="2B793270" w14:textId="77777777" w:rsidR="002C7AF2" w:rsidRPr="00070ADE" w:rsidRDefault="002C7AF2" w:rsidP="00B56F90">
      <w:pPr>
        <w:spacing w:after="0" w:line="240" w:lineRule="auto"/>
        <w:jc w:val="both"/>
        <w:rPr>
          <w:rFonts w:ascii="Times New Roman" w:hAnsi="Times New Roman"/>
          <w:color w:val="000000" w:themeColor="text1"/>
          <w:sz w:val="16"/>
          <w:szCs w:val="16"/>
        </w:rPr>
      </w:pPr>
    </w:p>
    <w:p w14:paraId="1BD048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апреля 1944 л А.Г.Кочетков и и Ф.П.Супрун прибыли в Буффало испытывать Р-63 (172,168).</w:t>
      </w:r>
    </w:p>
    <w:p w14:paraId="20785B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69F3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апреля 1944 вышло Постановление ГКО № 5518 О мероприятиях по обеспечению производства во II квартале 1944 г. силикатного стекла и сталинита для выработки авиационной прозрачной брони и органического стекла. РГАНИР, Фонд ГКО, д. 224, лл. 36-39,40 (11012).</w:t>
      </w:r>
    </w:p>
    <w:p w14:paraId="2FBBAF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960DBF4" w14:textId="77777777" w:rsidR="007242CB" w:rsidRPr="00C94B78" w:rsidRDefault="007242CB"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К 1 апреля 1944 г. подгото</w:t>
      </w:r>
      <w:r w:rsidRPr="00C94B78">
        <w:rPr>
          <w:rStyle w:val="aff1"/>
          <w:rFonts w:ascii="Times New Roman" w:hAnsi="Times New Roman" w:cs="Times New Roman"/>
          <w:color w:val="0070C0"/>
          <w:spacing w:val="0"/>
          <w:sz w:val="16"/>
          <w:szCs w:val="16"/>
        </w:rPr>
        <w:softHyphen/>
        <w:t>вили рабочие чертежи 37‑мм пушки Н‑37 ОКБ‑16. Параллельно в цехах опытного производства изготавливали дета</w:t>
      </w:r>
      <w:r w:rsidRPr="00C94B78">
        <w:rPr>
          <w:rStyle w:val="aff1"/>
          <w:rFonts w:ascii="Times New Roman" w:hAnsi="Times New Roman" w:cs="Times New Roman"/>
          <w:color w:val="0070C0"/>
          <w:spacing w:val="0"/>
          <w:sz w:val="16"/>
          <w:szCs w:val="16"/>
        </w:rPr>
        <w:softHyphen/>
        <w:t>ли, «весь комплект которых был передан в сбо</w:t>
      </w:r>
      <w:r w:rsidRPr="00C94B78">
        <w:rPr>
          <w:rStyle w:val="aff1"/>
          <w:rFonts w:ascii="Times New Roman" w:hAnsi="Times New Roman" w:cs="Times New Roman"/>
          <w:color w:val="0070C0"/>
          <w:spacing w:val="0"/>
          <w:sz w:val="16"/>
          <w:szCs w:val="16"/>
        </w:rPr>
        <w:softHyphen/>
        <w:t>рочный цех 20 апреля». Уже 24 апреля прове</w:t>
      </w:r>
      <w:r w:rsidRPr="00C94B78">
        <w:rPr>
          <w:rStyle w:val="aff1"/>
          <w:rFonts w:ascii="Times New Roman" w:hAnsi="Times New Roman" w:cs="Times New Roman"/>
          <w:color w:val="0070C0"/>
          <w:spacing w:val="0"/>
          <w:sz w:val="16"/>
          <w:szCs w:val="16"/>
        </w:rPr>
        <w:softHyphen/>
        <w:t>ли первую стрельбу. В течение мая автоматику пушки полностью отработали. С 10 по 20 июня она успешно прошла заводские испытания в ГК НИИ ВВС, а с 1 по 25 августа – государ</w:t>
      </w:r>
      <w:r w:rsidRPr="00C94B78">
        <w:rPr>
          <w:rStyle w:val="aff1"/>
          <w:rFonts w:ascii="Times New Roman" w:hAnsi="Times New Roman" w:cs="Times New Roman"/>
          <w:color w:val="0070C0"/>
          <w:spacing w:val="0"/>
          <w:sz w:val="16"/>
          <w:szCs w:val="16"/>
        </w:rPr>
        <w:softHyphen/>
        <w:t>ственные наземные испытания. Одновременно испытывались патроны.</w:t>
      </w:r>
    </w:p>
    <w:p w14:paraId="33E2D823" w14:textId="77777777" w:rsidR="007242CB" w:rsidRPr="00C94B78" w:rsidRDefault="007242CB"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Патрон пониженной баллистики к Н‑37 со</w:t>
      </w:r>
      <w:r w:rsidRPr="00C94B78">
        <w:rPr>
          <w:rStyle w:val="aff1"/>
          <w:rFonts w:ascii="Times New Roman" w:hAnsi="Times New Roman" w:cs="Times New Roman"/>
          <w:color w:val="0070C0"/>
          <w:spacing w:val="0"/>
          <w:sz w:val="16"/>
          <w:szCs w:val="16"/>
        </w:rPr>
        <w:softHyphen/>
        <w:t>стоял из осколочно‑зажигательно‑трассирую</w:t>
      </w:r>
      <w:r w:rsidRPr="00C94B78">
        <w:rPr>
          <w:rStyle w:val="aff1"/>
          <w:rFonts w:ascii="Times New Roman" w:hAnsi="Times New Roman" w:cs="Times New Roman"/>
          <w:color w:val="0070C0"/>
          <w:spacing w:val="0"/>
          <w:sz w:val="16"/>
          <w:szCs w:val="16"/>
        </w:rPr>
        <w:softHyphen/>
        <w:t>щего снаряда (с взрывателем МГ‑8) или бро</w:t>
      </w:r>
      <w:r w:rsidRPr="00C94B78">
        <w:rPr>
          <w:rStyle w:val="aff1"/>
          <w:rFonts w:ascii="Times New Roman" w:hAnsi="Times New Roman" w:cs="Times New Roman"/>
          <w:color w:val="0070C0"/>
          <w:spacing w:val="0"/>
          <w:sz w:val="16"/>
          <w:szCs w:val="16"/>
        </w:rPr>
        <w:softHyphen/>
        <w:t>небойно‑зажигательно‑трассирующего снаря</w:t>
      </w:r>
      <w:r w:rsidRPr="00C94B78">
        <w:rPr>
          <w:rStyle w:val="aff1"/>
          <w:rFonts w:ascii="Times New Roman" w:hAnsi="Times New Roman" w:cs="Times New Roman"/>
          <w:color w:val="0070C0"/>
          <w:spacing w:val="0"/>
          <w:sz w:val="16"/>
          <w:szCs w:val="16"/>
        </w:rPr>
        <w:softHyphen/>
        <w:t>да к пушке 11П, латунной гильзы (изготавлива</w:t>
      </w:r>
      <w:r w:rsidRPr="00C94B78">
        <w:rPr>
          <w:rStyle w:val="aff1"/>
          <w:rFonts w:ascii="Times New Roman" w:hAnsi="Times New Roman" w:cs="Times New Roman"/>
          <w:color w:val="0070C0"/>
          <w:spacing w:val="0"/>
          <w:sz w:val="16"/>
          <w:szCs w:val="16"/>
        </w:rPr>
        <w:softHyphen/>
        <w:t>лась из заготовки валовой гильзы к зенитной пушке 61К путем ее укорочения, переобжатия и переделки закраины) и серийной капсюль</w:t>
      </w:r>
      <w:r w:rsidRPr="00C94B78">
        <w:rPr>
          <w:rStyle w:val="aff1"/>
          <w:rFonts w:ascii="Times New Roman" w:hAnsi="Times New Roman" w:cs="Times New Roman"/>
          <w:color w:val="0070C0"/>
          <w:spacing w:val="0"/>
          <w:sz w:val="16"/>
          <w:szCs w:val="16"/>
        </w:rPr>
        <w:softHyphen/>
        <w:t>ной втулки КВ‑2. Звенья использовались штат</w:t>
      </w:r>
      <w:r w:rsidRPr="00C94B78">
        <w:rPr>
          <w:rStyle w:val="aff1"/>
          <w:rFonts w:ascii="Times New Roman" w:hAnsi="Times New Roman" w:cs="Times New Roman"/>
          <w:color w:val="0070C0"/>
          <w:spacing w:val="0"/>
          <w:sz w:val="16"/>
          <w:szCs w:val="16"/>
        </w:rPr>
        <w:softHyphen/>
        <w:t>ные – от 11П.</w:t>
      </w:r>
    </w:p>
    <w:p w14:paraId="208A8EE8" w14:textId="77777777" w:rsidR="007242CB" w:rsidRPr="00C94B78" w:rsidRDefault="007242CB"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По сравнению с патроном к 11П объем камеры гильзы патрона к Н‑37 уменьшился</w:t>
      </w:r>
    </w:p>
    <w:p w14:paraId="7E992C19" w14:textId="77777777" w:rsidR="007242CB" w:rsidRPr="00C94B78" w:rsidRDefault="007242CB"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до 162 см</w:t>
      </w:r>
      <w:r w:rsidRPr="00C94B78">
        <w:rPr>
          <w:rStyle w:val="aff1"/>
          <w:rFonts w:ascii="Times New Roman" w:hAnsi="Times New Roman" w:cs="Times New Roman"/>
          <w:color w:val="0070C0"/>
          <w:spacing w:val="0"/>
          <w:sz w:val="16"/>
          <w:szCs w:val="16"/>
          <w:vertAlign w:val="superscript"/>
        </w:rPr>
        <w:t>3</w:t>
      </w:r>
      <w:r w:rsidRPr="00C94B78">
        <w:rPr>
          <w:rStyle w:val="aff1"/>
          <w:rFonts w:ascii="Times New Roman" w:hAnsi="Times New Roman" w:cs="Times New Roman"/>
          <w:color w:val="0070C0"/>
          <w:spacing w:val="0"/>
          <w:sz w:val="16"/>
          <w:szCs w:val="16"/>
        </w:rPr>
        <w:t xml:space="preserve"> (вместо 607 см</w:t>
      </w:r>
      <w:r w:rsidRPr="00C94B78">
        <w:rPr>
          <w:rStyle w:val="aff1"/>
          <w:rFonts w:ascii="Times New Roman" w:hAnsi="Times New Roman" w:cs="Times New Roman"/>
          <w:color w:val="0070C0"/>
          <w:spacing w:val="0"/>
          <w:sz w:val="16"/>
          <w:szCs w:val="16"/>
          <w:vertAlign w:val="superscript"/>
        </w:rPr>
        <w:t>3</w:t>
      </w:r>
      <w:r w:rsidRPr="00C94B78">
        <w:rPr>
          <w:rStyle w:val="aff1"/>
          <w:rFonts w:ascii="Times New Roman" w:hAnsi="Times New Roman" w:cs="Times New Roman"/>
          <w:color w:val="0070C0"/>
          <w:spacing w:val="0"/>
          <w:sz w:val="16"/>
          <w:szCs w:val="16"/>
        </w:rPr>
        <w:t>), а вес порохово</w:t>
      </w:r>
      <w:r w:rsidRPr="00C94B78">
        <w:rPr>
          <w:rStyle w:val="aff1"/>
          <w:rFonts w:ascii="Times New Roman" w:hAnsi="Times New Roman" w:cs="Times New Roman"/>
          <w:color w:val="0070C0"/>
          <w:spacing w:val="0"/>
          <w:sz w:val="16"/>
          <w:szCs w:val="16"/>
        </w:rPr>
        <w:softHyphen/>
        <w:t>го заряда – до 122,3 г (вместо 212 г). Соответ</w:t>
      </w:r>
      <w:r w:rsidRPr="00C94B78">
        <w:rPr>
          <w:rStyle w:val="aff1"/>
          <w:rFonts w:ascii="Times New Roman" w:hAnsi="Times New Roman" w:cs="Times New Roman"/>
          <w:color w:val="0070C0"/>
          <w:spacing w:val="0"/>
          <w:sz w:val="16"/>
          <w:szCs w:val="16"/>
        </w:rPr>
        <w:softHyphen/>
        <w:t>ственно, начальная скорость снаряда Н‑37 со</w:t>
      </w:r>
      <w:r w:rsidRPr="00C94B78">
        <w:rPr>
          <w:rStyle w:val="aff1"/>
          <w:rFonts w:ascii="Times New Roman" w:hAnsi="Times New Roman" w:cs="Times New Roman"/>
          <w:color w:val="0070C0"/>
          <w:spacing w:val="0"/>
          <w:sz w:val="16"/>
          <w:szCs w:val="16"/>
        </w:rPr>
        <w:softHyphen/>
        <w:t>ставила около 700 м/с (вместо 900 м/с), темп стрельбы вырос до 320 выстр./мин (вместо 250 выстр./мин), а усилие отдачи при стрель</w:t>
      </w:r>
      <w:r w:rsidRPr="00C94B78">
        <w:rPr>
          <w:rStyle w:val="aff1"/>
          <w:rFonts w:ascii="Times New Roman" w:hAnsi="Times New Roman" w:cs="Times New Roman"/>
          <w:color w:val="0070C0"/>
          <w:spacing w:val="0"/>
          <w:sz w:val="16"/>
          <w:szCs w:val="16"/>
        </w:rPr>
        <w:softHyphen/>
        <w:t>бе снизилось до 2180 кг (вместо 5500 кг). При этом вес и габариты пушки уменьшились до 96 кг (вместо 152,25 кг) и 2485 мм (вместо 3140 мм) соответственно.</w:t>
      </w:r>
    </w:p>
    <w:p w14:paraId="553DC8C5" w14:textId="77777777" w:rsidR="007242CB" w:rsidRPr="00C94B78" w:rsidRDefault="007242CB"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Одним из следствий применения патрона уменьшенной баллистики стала повышенная живучесть ствола. Ствол Н‑37 №1 не исчерпал своей живучести после 3500 выстрелов, тогда как живучесть ствола серийной 11П не превы</w:t>
      </w:r>
      <w:r w:rsidRPr="00C94B78">
        <w:rPr>
          <w:rStyle w:val="aff1"/>
          <w:rFonts w:ascii="Times New Roman" w:hAnsi="Times New Roman" w:cs="Times New Roman"/>
          <w:color w:val="0070C0"/>
          <w:spacing w:val="0"/>
          <w:sz w:val="16"/>
          <w:szCs w:val="16"/>
        </w:rPr>
        <w:softHyphen/>
        <w:t>шала 1500–2000 выстрелов.</w:t>
      </w:r>
    </w:p>
    <w:p w14:paraId="3E4C19FD" w14:textId="77777777" w:rsidR="007242CB" w:rsidRPr="00C94B78" w:rsidRDefault="007242CB"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Для снижения силы отдачи при стрель</w:t>
      </w:r>
      <w:r w:rsidRPr="00C94B78">
        <w:rPr>
          <w:rStyle w:val="aff1"/>
          <w:rFonts w:ascii="Times New Roman" w:hAnsi="Times New Roman" w:cs="Times New Roman"/>
          <w:color w:val="0070C0"/>
          <w:spacing w:val="0"/>
          <w:sz w:val="16"/>
          <w:szCs w:val="16"/>
        </w:rPr>
        <w:softHyphen/>
        <w:t>бе в пушке применили мощный дульный тор</w:t>
      </w:r>
      <w:r w:rsidRPr="00C94B78">
        <w:rPr>
          <w:rStyle w:val="aff1"/>
          <w:rFonts w:ascii="Times New Roman" w:hAnsi="Times New Roman" w:cs="Times New Roman"/>
          <w:color w:val="0070C0"/>
          <w:spacing w:val="0"/>
          <w:sz w:val="16"/>
          <w:szCs w:val="16"/>
        </w:rPr>
        <w:softHyphen/>
        <w:t>моз и регулируемый гидротормоз, амортизи</w:t>
      </w:r>
      <w:r w:rsidRPr="00C94B78">
        <w:rPr>
          <w:rStyle w:val="aff1"/>
          <w:rFonts w:ascii="Times New Roman" w:hAnsi="Times New Roman" w:cs="Times New Roman"/>
          <w:color w:val="0070C0"/>
          <w:spacing w:val="0"/>
          <w:sz w:val="16"/>
          <w:szCs w:val="16"/>
        </w:rPr>
        <w:softHyphen/>
        <w:t>ровавший откат и накат ствола. Регулировка гидротормоза позволяла «очень просто от</w:t>
      </w:r>
      <w:r w:rsidRPr="00C94B78">
        <w:rPr>
          <w:rStyle w:val="aff1"/>
          <w:rFonts w:ascii="Times New Roman" w:hAnsi="Times New Roman" w:cs="Times New Roman"/>
          <w:color w:val="0070C0"/>
          <w:spacing w:val="0"/>
          <w:sz w:val="16"/>
          <w:szCs w:val="16"/>
        </w:rPr>
        <w:softHyphen/>
        <w:t>лаживать пушки на заводе и эксплуатировать в частях».</w:t>
      </w:r>
    </w:p>
    <w:p w14:paraId="088DD262" w14:textId="77777777" w:rsidR="007242CB" w:rsidRPr="00C94B78" w:rsidRDefault="007242CB"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Поскольку Н‑37 создавалась на основе се</w:t>
      </w:r>
      <w:r w:rsidRPr="00C94B78">
        <w:rPr>
          <w:rStyle w:val="aff1"/>
          <w:rFonts w:ascii="Times New Roman" w:hAnsi="Times New Roman" w:cs="Times New Roman"/>
          <w:color w:val="0070C0"/>
          <w:spacing w:val="0"/>
          <w:sz w:val="16"/>
          <w:szCs w:val="16"/>
        </w:rPr>
        <w:softHyphen/>
        <w:t>рийной 11П, то сохранялась технологическая преемственность. Это улучшало условия вне</w:t>
      </w:r>
      <w:r w:rsidRPr="00C94B78">
        <w:rPr>
          <w:rStyle w:val="aff1"/>
          <w:rFonts w:ascii="Times New Roman" w:hAnsi="Times New Roman" w:cs="Times New Roman"/>
          <w:color w:val="0070C0"/>
          <w:spacing w:val="0"/>
          <w:sz w:val="16"/>
          <w:szCs w:val="16"/>
        </w:rPr>
        <w:softHyphen/>
        <w:t>дрения пушки в массовое производство и ее освоение в войсках (25101).</w:t>
      </w:r>
    </w:p>
    <w:p w14:paraId="43CCBA6A" w14:textId="77777777" w:rsidR="007242CB" w:rsidRPr="00C94B78" w:rsidRDefault="007242CB" w:rsidP="00B56F90">
      <w:pPr>
        <w:spacing w:after="0" w:line="240" w:lineRule="auto"/>
        <w:jc w:val="both"/>
        <w:rPr>
          <w:rFonts w:ascii="Times New Roman" w:hAnsi="Times New Roman"/>
          <w:color w:val="0070C0"/>
          <w:sz w:val="16"/>
          <w:szCs w:val="16"/>
        </w:rPr>
      </w:pPr>
    </w:p>
    <w:p w14:paraId="4E52719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BDD0F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B29E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апреля 1944 г. была подготовлена СПРАВКА О ВЫПОЛНЕНИИ ПОСТАНОВЛЕНИЙ ПРАВИТЕЛЬСТВА ПО ТУ ГБТУ КА НА 1.04.1944 г.</w:t>
      </w:r>
    </w:p>
    <w:tbl>
      <w:tblPr>
        <w:tblW w:w="0" w:type="auto"/>
        <w:tblInd w:w="40" w:type="dxa"/>
        <w:tblLayout w:type="fixed"/>
        <w:tblCellMar>
          <w:left w:w="40" w:type="dxa"/>
          <w:right w:w="40" w:type="dxa"/>
        </w:tblCellMar>
        <w:tblLook w:val="0000" w:firstRow="0" w:lastRow="0" w:firstColumn="0" w:lastColumn="0" w:noHBand="0" w:noVBand="0"/>
      </w:tblPr>
      <w:tblGrid>
        <w:gridCol w:w="422"/>
        <w:gridCol w:w="4330"/>
        <w:gridCol w:w="4877"/>
      </w:tblGrid>
      <w:tr w:rsidR="004D4663" w:rsidRPr="00070ADE" w14:paraId="0C866EE1" w14:textId="77777777">
        <w:trPr>
          <w:trHeight w:val="384"/>
        </w:trPr>
        <w:tc>
          <w:tcPr>
            <w:tcW w:w="422" w:type="dxa"/>
            <w:tcBorders>
              <w:top w:val="single" w:sz="6" w:space="0" w:color="auto"/>
              <w:left w:val="single" w:sz="6" w:space="0" w:color="auto"/>
              <w:bottom w:val="single" w:sz="6" w:space="0" w:color="auto"/>
              <w:right w:val="single" w:sz="6" w:space="0" w:color="auto"/>
            </w:tcBorders>
          </w:tcPr>
          <w:p w14:paraId="3176AB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п/п</w:t>
            </w:r>
          </w:p>
          <w:p w14:paraId="308DE2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30" w:type="dxa"/>
            <w:tcBorders>
              <w:top w:val="single" w:sz="6" w:space="0" w:color="auto"/>
              <w:left w:val="single" w:sz="6" w:space="0" w:color="auto"/>
              <w:bottom w:val="single" w:sz="6" w:space="0" w:color="auto"/>
              <w:right w:val="single" w:sz="6" w:space="0" w:color="auto"/>
            </w:tcBorders>
          </w:tcPr>
          <w:p w14:paraId="4E325A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Краткое содержание постановлений, их № и дата</w:t>
            </w:r>
          </w:p>
          <w:p w14:paraId="7CD954C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77" w:type="dxa"/>
            <w:tcBorders>
              <w:top w:val="single" w:sz="6" w:space="0" w:color="auto"/>
              <w:left w:val="single" w:sz="6" w:space="0" w:color="auto"/>
              <w:bottom w:val="single" w:sz="6" w:space="0" w:color="auto"/>
              <w:right w:val="single" w:sz="6" w:space="0" w:color="auto"/>
            </w:tcBorders>
          </w:tcPr>
          <w:p w14:paraId="389651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 сделано по постановлению</w:t>
            </w:r>
          </w:p>
          <w:p w14:paraId="79BAC0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D3C27C9" w14:textId="77777777">
        <w:trPr>
          <w:trHeight w:val="1046"/>
        </w:trPr>
        <w:tc>
          <w:tcPr>
            <w:tcW w:w="422" w:type="dxa"/>
            <w:tcBorders>
              <w:top w:val="single" w:sz="6" w:space="0" w:color="auto"/>
              <w:left w:val="single" w:sz="6" w:space="0" w:color="auto"/>
              <w:bottom w:val="single" w:sz="6" w:space="0" w:color="auto"/>
              <w:right w:val="single" w:sz="6" w:space="0" w:color="auto"/>
            </w:tcBorders>
          </w:tcPr>
          <w:p w14:paraId="1C585A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048259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30" w:type="dxa"/>
            <w:tcBorders>
              <w:top w:val="single" w:sz="6" w:space="0" w:color="auto"/>
              <w:left w:val="single" w:sz="6" w:space="0" w:color="auto"/>
              <w:bottom w:val="single" w:sz="6" w:space="0" w:color="auto"/>
              <w:right w:val="single" w:sz="6" w:space="0" w:color="auto"/>
            </w:tcBorders>
          </w:tcPr>
          <w:p w14:paraId="179FC6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 ГОКО №3374с от 20.07.1943 г. §2. Обязать НКО (т. Федоренко) провести до 25.10.1943 г. полигонные испытания танка КВ с элек</w:t>
            </w:r>
            <w:r w:rsidRPr="00070ADE">
              <w:rPr>
                <w:rFonts w:ascii="Times New Roman" w:hAnsi="Times New Roman"/>
                <w:color w:val="000000" w:themeColor="text1"/>
                <w:sz w:val="16"/>
                <w:szCs w:val="16"/>
              </w:rPr>
              <w:softHyphen/>
              <w:t>трической тягой и результаты испытаний к 1.11.1943 г. доложить ГОКО.</w:t>
            </w:r>
          </w:p>
          <w:p w14:paraId="679106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77" w:type="dxa"/>
            <w:tcBorders>
              <w:top w:val="single" w:sz="6" w:space="0" w:color="auto"/>
              <w:left w:val="single" w:sz="6" w:space="0" w:color="auto"/>
              <w:bottom w:val="single" w:sz="6" w:space="0" w:color="auto"/>
              <w:right w:val="single" w:sz="6" w:space="0" w:color="auto"/>
            </w:tcBorders>
          </w:tcPr>
          <w:p w14:paraId="41A80A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 в срок не выполнено. О невыполнении постановления доложено т. Берия письмами №1142255 от 2.12.1943 г. и №520260 от 18.01.1944 г. В настоящее время танк подготавливается к полигонным испытаниям.</w:t>
            </w:r>
          </w:p>
          <w:p w14:paraId="669B41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7CF47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п/п</w:t>
      </w:r>
    </w:p>
    <w:p w14:paraId="25EF23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Краткое содержание постановлений, их № и дата</w:t>
      </w:r>
    </w:p>
    <w:p w14:paraId="622EC6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 сделано по постановлению</w:t>
      </w:r>
    </w:p>
    <w:p w14:paraId="3790FE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508C06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Распоряжение ГОКО №4251 с от 5.10.1943 г.</w:t>
      </w:r>
    </w:p>
    <w:p w14:paraId="26EF56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Обязать ГБТУ КА (т. Вершинина) совместно с НКАП провести полигонные испытания опытных образ</w:t>
      </w:r>
      <w:r w:rsidRPr="00070ADE">
        <w:rPr>
          <w:rFonts w:ascii="Times New Roman" w:hAnsi="Times New Roman"/>
          <w:color w:val="000000" w:themeColor="text1"/>
          <w:sz w:val="16"/>
          <w:szCs w:val="16"/>
        </w:rPr>
        <w:softHyphen/>
        <w:t>цов дистанционных тахометров и к 1.02.1944 г. пред</w:t>
      </w:r>
      <w:r w:rsidRPr="00070ADE">
        <w:rPr>
          <w:rFonts w:ascii="Times New Roman" w:hAnsi="Times New Roman"/>
          <w:color w:val="000000" w:themeColor="text1"/>
          <w:sz w:val="16"/>
          <w:szCs w:val="16"/>
        </w:rPr>
        <w:softHyphen/>
        <w:t>ставить свои соображения о поставке их на серийное производство.</w:t>
      </w:r>
    </w:p>
    <w:p w14:paraId="46D351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Тахометры при испытании показали неудовлетворительные результаты.</w:t>
      </w:r>
    </w:p>
    <w:p w14:paraId="33F583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Написано письмо т. Берия за №521058 от 4.03.1944 г. с приложением нового распоряжения ГОКО о доработке тахоме</w:t>
      </w:r>
      <w:r w:rsidRPr="00070ADE">
        <w:rPr>
          <w:rFonts w:ascii="Times New Roman" w:hAnsi="Times New Roman"/>
          <w:color w:val="000000" w:themeColor="text1"/>
          <w:sz w:val="16"/>
          <w:szCs w:val="16"/>
        </w:rPr>
        <w:softHyphen/>
        <w:t>тров. В настоящее время вышло новое распоряжение ГОКО №5423с от 21.03.1944 г., по которому НКАП обязан устранить конструктивные недостатки в тахометрах к 1.06.1944 г. и поставить их вновь на испытания.</w:t>
      </w:r>
    </w:p>
    <w:p w14:paraId="6CB288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3.</w:t>
      </w:r>
    </w:p>
    <w:p w14:paraId="181E43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Распоряжение ГОКО №4442с от 28.10.1943 г.</w:t>
      </w:r>
    </w:p>
    <w:p w14:paraId="5C2248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Изготовить 7 танковых моторов В-2 с коленча</w:t>
      </w:r>
      <w:r w:rsidRPr="00070ADE">
        <w:rPr>
          <w:rFonts w:ascii="Times New Roman" w:hAnsi="Times New Roman"/>
          <w:color w:val="000000" w:themeColor="text1"/>
          <w:sz w:val="16"/>
          <w:szCs w:val="16"/>
        </w:rPr>
        <w:softHyphen/>
        <w:t>тыми валами, главными шатунами и крышками из стали ЭИ-500 и к 1.01.1944 г. НКТП совместно с ГБТУ КА провести дополнительные стендовые испы</w:t>
      </w:r>
      <w:r w:rsidRPr="00070ADE">
        <w:rPr>
          <w:rFonts w:ascii="Times New Roman" w:hAnsi="Times New Roman"/>
          <w:color w:val="000000" w:themeColor="text1"/>
          <w:sz w:val="16"/>
          <w:szCs w:val="16"/>
        </w:rPr>
        <w:softHyphen/>
        <w:t>тания 2-х моторов и ходовые испытания 5-ти моторов. Результаты испытаний представить 15.01.1944 г. в Госплан.</w:t>
      </w:r>
    </w:p>
    <w:p w14:paraId="2A32F5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Стендовые испытания моторов закончены. Отчет пред</w:t>
      </w:r>
      <w:r w:rsidRPr="00070ADE">
        <w:rPr>
          <w:rFonts w:ascii="Times New Roman" w:hAnsi="Times New Roman"/>
          <w:color w:val="000000" w:themeColor="text1"/>
          <w:sz w:val="16"/>
          <w:szCs w:val="16"/>
        </w:rPr>
        <w:softHyphen/>
        <w:t>ставлен в НКТП. Ходовые испытания не проведены. Моторы (5 штук) не прибыли на полигон ГБТУ КА. О невыполнении постановления в срок написано письмо т. Микояну №520078 от 4.01.1944 г. и т. Борисову №521379с от 21.03.1944 г.</w:t>
      </w:r>
    </w:p>
    <w:p w14:paraId="7FF129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Распоряжение СНК №22664с от 28.11.1943 г.</w:t>
      </w:r>
    </w:p>
    <w:p w14:paraId="61C1C7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Обязать НКТП (т. Котина) изготовить на заводе №100 по чертежам ГБТУ КА и ЦНИИПО НКВД СССР опытную партию автоматических углекислотных огнегаситель-ных установок и оборудовать ими в декабре 1943 г., январе 1944 года 100 танков Т-34.</w:t>
      </w:r>
    </w:p>
    <w:p w14:paraId="6202B3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 комплектов огнетушителей изготовлены на заводе №100 и переданы Кировскому заводу для монтажа их в танки.</w:t>
      </w:r>
    </w:p>
    <w:p w14:paraId="1CB9CB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Было смонтировано 20 танков и отправлено в армию. Для контроля за работой огнегасительной аппаратуры посланы два офицера ЦНИИПО. В связи прекращением выпуска тан</w:t>
      </w:r>
      <w:r w:rsidRPr="00070ADE">
        <w:rPr>
          <w:rFonts w:ascii="Times New Roman" w:hAnsi="Times New Roman"/>
          <w:color w:val="000000" w:themeColor="text1"/>
          <w:sz w:val="16"/>
          <w:szCs w:val="16"/>
        </w:rPr>
        <w:softHyphen/>
        <w:t>ков Т-34 на Кировском заводе, работы прекращены. Написано письмо т. Малышеву о передаче этой работы заводу №183.</w:t>
      </w:r>
    </w:p>
    <w:p w14:paraId="1ECDF2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5DE32B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 ГОКО №4851сс от 27.12.1943 г.</w:t>
      </w:r>
    </w:p>
    <w:p w14:paraId="6F0467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НКТП (т. Малышева) и директоров заводов Кировского и №100 спроектировать и изготовить обра</w:t>
      </w:r>
      <w:r w:rsidRPr="00070ADE">
        <w:rPr>
          <w:rFonts w:ascii="Times New Roman" w:hAnsi="Times New Roman"/>
          <w:color w:val="000000" w:themeColor="text1"/>
          <w:sz w:val="16"/>
          <w:szCs w:val="16"/>
        </w:rPr>
        <w:softHyphen/>
        <w:t>зец танка ИС с пушкой 100 мм. Заводские испытания танка ИС со 100-мм пушкой провести к 20.02.1944 года и к 25.02.1944 г. подать танк на полигонные испытания.</w:t>
      </w:r>
    </w:p>
    <w:p w14:paraId="170A5B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100-мм пушка смонтирована в танке. Танк подан на ГАНИОП для полигонных испытаний. Утверждена и отослана программа испытаний.</w:t>
      </w:r>
    </w:p>
    <w:p w14:paraId="0367D6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командующего БТ и МВ КА, НКТП и начальника ГАУ КА №032 от 18.03.1944 г. т. Кальчицкий назначен пред</w:t>
      </w:r>
      <w:r w:rsidRPr="00070ADE">
        <w:rPr>
          <w:rFonts w:ascii="Times New Roman" w:hAnsi="Times New Roman"/>
          <w:color w:val="000000" w:themeColor="text1"/>
          <w:sz w:val="16"/>
          <w:szCs w:val="16"/>
        </w:rPr>
        <w:softHyphen/>
        <w:t>седателем комиссии по испытаниям. Испытания начаты с 27.03.1944 года.</w:t>
      </w:r>
    </w:p>
    <w:p w14:paraId="419B78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p w14:paraId="0471A9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Распоряжение ГОКО №5423с от 20.03.1944 года обязать НКАП устранить конструктивные недостатки в дистанционных тахометрах к 1.06.1944 г. и поставить их вновь на испытания.</w:t>
      </w:r>
    </w:p>
    <w:p w14:paraId="177397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 ГБТУ КА генерал-лейтенантом т. Лебедевым утверждены новые тактико-технические требования и согласо</w:t>
      </w:r>
      <w:r w:rsidRPr="00070ADE">
        <w:rPr>
          <w:rFonts w:ascii="Times New Roman" w:hAnsi="Times New Roman"/>
          <w:color w:val="000000" w:themeColor="text1"/>
          <w:sz w:val="16"/>
          <w:szCs w:val="16"/>
        </w:rPr>
        <w:softHyphen/>
        <w:t>ваны с НКАП.</w:t>
      </w:r>
    </w:p>
    <w:p w14:paraId="4876FC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№149 НКАП приступил к изготовлению тахометров.</w:t>
      </w:r>
    </w:p>
    <w:p w14:paraId="17BCFE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ТУ ГБТУ КА инженер-подполковник Муравич</w:t>
      </w:r>
    </w:p>
    <w:p w14:paraId="487FA9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2211. Л. 19-20. Подлинник (11403).</w:t>
      </w:r>
    </w:p>
    <w:p w14:paraId="6489A6F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FD660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апреля 1944 г. вышла ДОКЛАДНАЯ ЗАПИСКА ЗАМЕСТИТЕЛЯ НАЧАЛЬНИКА ТУ ГБТУ КА НАЧАЛЬНИКУ ТЕХНИЧЕСКОГО ОТДЕЛА НКЧМ О ПОДГОТОВКЕ ИСПЫТАНИЙ 90-мм БРОНИ №521519</w:t>
      </w:r>
    </w:p>
    <w:p w14:paraId="2E52AF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совместного решения ГБТУ КА, НКЧМ и НКТП испытание 90-мм брони, изготовлен</w:t>
      </w:r>
      <w:r w:rsidRPr="00070ADE">
        <w:rPr>
          <w:rFonts w:ascii="Times New Roman" w:hAnsi="Times New Roman"/>
          <w:color w:val="000000" w:themeColor="text1"/>
          <w:sz w:val="16"/>
          <w:szCs w:val="16"/>
        </w:rPr>
        <w:softHyphen/>
        <w:t>ной из сталей марок 42 см и 51 см, должно производиться снарядом калибра 85 мм.</w:t>
      </w:r>
    </w:p>
    <w:p w14:paraId="352014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Единственным поставщиком брони указанной толщины является Магнитогорский металлурги</w:t>
      </w:r>
      <w:r w:rsidRPr="00070ADE">
        <w:rPr>
          <w:rFonts w:ascii="Times New Roman" w:hAnsi="Times New Roman"/>
          <w:color w:val="000000" w:themeColor="text1"/>
          <w:sz w:val="16"/>
          <w:szCs w:val="16"/>
        </w:rPr>
        <w:softHyphen/>
        <w:t>ческий комбинат.</w:t>
      </w:r>
    </w:p>
    <w:p w14:paraId="2AB201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Магнитогорский металлургический комбинат, несмотря на наличие 85-мм зенитной пушки и боеприпасов к ней, к испытанию 90-мм брони из указанной системы еще не подготовлен.</w:t>
      </w:r>
    </w:p>
    <w:p w14:paraId="09E3C9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организации стрельбы из 85-мм пушки Магнитогорскому металлургическом комбинату тре</w:t>
      </w:r>
      <w:r w:rsidRPr="00070ADE">
        <w:rPr>
          <w:rFonts w:ascii="Times New Roman" w:hAnsi="Times New Roman"/>
          <w:color w:val="000000" w:themeColor="text1"/>
          <w:sz w:val="16"/>
          <w:szCs w:val="16"/>
        </w:rPr>
        <w:softHyphen/>
        <w:t>буется, на существующем у него полигоне, произвести ряд небольших переделок.</w:t>
      </w:r>
    </w:p>
    <w:p w14:paraId="02A7D0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донесению ст. военпреда ТУ ГБТУ КА инженер-подполковника т. Межбижера, директор Магнитогорского металлургического комбината отказывается производить какие-либо переделки на полигоне, мотивируя свой отказ отсутствием указания от Наркомчермета о необходимости про</w:t>
      </w:r>
      <w:r w:rsidRPr="00070ADE">
        <w:rPr>
          <w:rFonts w:ascii="Times New Roman" w:hAnsi="Times New Roman"/>
          <w:color w:val="000000" w:themeColor="text1"/>
          <w:sz w:val="16"/>
          <w:szCs w:val="16"/>
        </w:rPr>
        <w:softHyphen/>
        <w:t>изводства испытания брони из 85-мм пушки.</w:t>
      </w:r>
    </w:p>
    <w:p w14:paraId="7AE947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Ваших указаний директору Магнитогорского металлургического комбината о производ</w:t>
      </w:r>
      <w:r w:rsidRPr="00070ADE">
        <w:rPr>
          <w:rFonts w:ascii="Times New Roman" w:hAnsi="Times New Roman"/>
          <w:color w:val="000000" w:themeColor="text1"/>
          <w:sz w:val="16"/>
          <w:szCs w:val="16"/>
        </w:rPr>
        <w:softHyphen/>
        <w:t>стве к 20 апреля с.г. необходимых переделок на полигоне, обеспечивающих испытание 90-мм брони из 85-мм пушки.</w:t>
      </w:r>
    </w:p>
    <w:p w14:paraId="62764E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Вашем решении прошу поставить меня в известность.</w:t>
      </w:r>
    </w:p>
    <w:p w14:paraId="6FA734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ТУ ГБТУ Красной Армии инженер-подполковник Муравич</w:t>
      </w:r>
    </w:p>
    <w:p w14:paraId="7CA8DD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отдела ТУ ГБТУ Красной Армии инженер-майор Мирошников</w:t>
      </w:r>
    </w:p>
    <w:p w14:paraId="754B05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2198. Л. 14. Копия (114030).</w:t>
      </w:r>
    </w:p>
    <w:p w14:paraId="5A2229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AB77D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апреля 1944 вышло Постановление ГКО № 5515 О плане ремонта автомобилей для Красной Армии на 1944 г. (7204, 2-9,10-30).</w:t>
      </w:r>
    </w:p>
    <w:p w14:paraId="2C224EE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3A94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апреля 1944 года Государственный Комитет Обороны СССР в связи с возникшей большой потребностью в запасных частях для ремонта импортных автомобилей, поставляемых по ленд-лизу, принял Постановление за № 6515 «О создании Московского завода «Автозапчастей» в составе Наркомата Среднего Машиностроения СССР. На новое предприятие возлагалось освоение производства запасных частей 83-х наименований к автомобилям «Форд», «Студебеккер», «Виллис» и «Додж». Для выполнения этой задачи на предприятии были проведены ремонтно-восстановительные работы, произведено его дооснащение необходимым оборудованием, и до конца войны оно обеспечивало поставки запасных частей для мастерских и авторемонтных заводов страны (10766).</w:t>
      </w:r>
    </w:p>
    <w:p w14:paraId="515E86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24E4A3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апреля 1944 вышло Постановление ГКО № 5516 О переводе из Северного флота и из Каспийской военной флотилии в состав Черноморского флота пяти подводных лодок типа М. (7204, 31-32).</w:t>
      </w:r>
    </w:p>
    <w:p w14:paraId="0082AA2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C56EA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апреля 1944 вышло Постановление ГКО № 5517 О переводе из Каспийского моря и с завода № 112 Наркомтанкопрома в состав Северного флота 3 подводных лодок типа С. (7204, 33-35).</w:t>
      </w:r>
    </w:p>
    <w:p w14:paraId="4433057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66654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апреля 1944 вышло № 5519 [Телеграмма Ярославскому облисполкому с разрешением оставить до 10 апреля 1944 г. на работах по вывозке дров 4500 лошадей.] (7204, 41).</w:t>
      </w:r>
    </w:p>
    <w:p w14:paraId="1749889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09596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30B885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DD2D16"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апреля в 1944 году оперативная сводка Совинформбюро:</w:t>
      </w:r>
    </w:p>
    <w:p w14:paraId="0D17855A"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 апреля юго-западнее города Тарнополь наши войска вели наступательные бои, в ходе которых овладели районным центром Тарнопольской области городом Подгайцы, а также заняли более 30 других населённых пунктов, среди которых крупные населённые пункты Завалув, Голешув, Товстобабы, Коньчаки, Крымидув, Тумиж, Мендзыгуже и железнодорожные станции Комаровка, Нижнюв, Олешув.</w:t>
      </w:r>
    </w:p>
    <w:p w14:paraId="5A6397CC"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югу от города Каменец-Подольск наши войска овладели населёнными пунктами Недобоевцы, Пашковцы, Ставчаны, Должок, Динауцы, Малинешти, Котелеву, Форостна и ворвались в город Хотин, где завязали уличные бои.</w:t>
      </w:r>
    </w:p>
    <w:p w14:paraId="39C35F9A"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Кишинёвском направлении наши войска, преодолевая сопротивление и контратаки противника, продолжали вести наступательные бои, в ходе которых заняли более 30 населённых пунктов, среди которых крупные населённые пункты Мындрешти, Теленешти, Вережени, Негурени, Скорцени, Гидулени, Чинишеуцы, Екимауць, Мокра, Топалы, Черна.</w:t>
      </w:r>
    </w:p>
    <w:p w14:paraId="17375F67"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Тираспольском направлении наши войска, продолжая наступление, овладели районным центром Одесской области Троицкое, а также с боями заняли более 60 других населённых пунктов, среди которых крупные населённые пункты Новосёловка, Кохановка, Денисовка, Николаевка, Викторовка, Каминское.</w:t>
      </w:r>
    </w:p>
    <w:p w14:paraId="4253BEB2"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Одесском направлении наши войска, преследуя отступающего противника, с боями заняли более 100 населённых пунктов, в том числе крупные населённые пункты Чёрный Кут, Шабельник, Бирюки, Демидова, Анатольевка, Котовского, Нейково, Черногорка, Сербка, Капитоновка, Нейзац, Ташино, Блюменфельд, Тузлы, Коблево, Карабаш, Аджиаска и железнодорожные станции Рауховка, Мариново, Сербка. Отступая под ударами наших войск, противник несёт большие потери в живой силе и технике.</w:t>
      </w:r>
    </w:p>
    <w:p w14:paraId="21C7890F"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бои местного значения.</w:t>
      </w:r>
    </w:p>
    <w:p w14:paraId="7EE1C87B"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31 марта наши войска на всех фронтах подбили и уничтожили 33 немецких танка. В воздушных боях и огнём зенитной артиллерии сбито 86 самолётов противника.</w:t>
      </w:r>
    </w:p>
    <w:p w14:paraId="36D51430"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Юго-западнее города Тарнополь наши войска форсировали реку Коропец и с боями овладели важным узлом шоссейных дорог городом Подгайцы. Развивая успех, наши части выбили немцев из ряда других населённых пунктов. Захвачены у противника 2 самоходных и 8 полевых орудий, 46 пулемётов, 55 автомашин, 2 склада с боеприпасами и крупный склад с зерном.</w:t>
      </w:r>
    </w:p>
    <w:p w14:paraId="277458DF"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югу от города Каменец-Подольск части Н-ского соединения в ожесточённом бою сломили сопротивление противника и ворвались в город Хотин, расположенный на правом берегу Днестра. Стремясь восстановить положение, немцы предприняли несколько контратак, но были отброшены с большими для них потерями. Южная и центральная часть города Хотин заняты нашими войсками. Противник оттеснён на северную окраину города. На другом участке советские пехотинцы, развивая наступление, продвинулись вперёд на 15 километров и заняли несколько населённых пунктов. В этих боях уничтожено до полка немецкой пехоты. Взято в плен свыше 300 солдат и офицеров противника.</w:t>
      </w:r>
    </w:p>
    <w:p w14:paraId="358217E9"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дня советские лётчики и зенитчики сбили 38 немецких самолётов.</w:t>
      </w:r>
    </w:p>
    <w:p w14:paraId="5ADC28A0"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Кишинёвском направлении наши войска продолжали вести наступательные бои. Противник, используя естественные рубежи и бросая в бой пехоту и танки, пытался остановить наступление советских войск. Однако под ударами наших танкистов и пехотинцев гитлеровцы не могли задержаться ни на одном оборонительном рубеже. За день боёв очищено от немцев более 30 населённых пунктов. Нашими войсками захвачено 19 немецких танков, из них 3 танка типа «Тигр», свыше 100 полевых и 6 самоходных орудий, 20 бронетранспортёров, 1.250 автомашин, 18 паровозов, около 300 вагонов с боеприпасами и военным имуществом и другие трофеи. На одном участке на сторону Красной Армии перешёл румынский батальон в полном составе.</w:t>
      </w:r>
    </w:p>
    <w:p w14:paraId="4B0F59F1"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Тираспольском направлении наши войска в результате обходного манёвра овладели узлом грунтовых дорог районным центром Одесской области Троицкое. Закрепившись на рубеже реки Журовка, противник пытался задержать наступление советских частей. Ночью наши подразделения переправились через реку и внезапным ударом заняли несколько населённых пунктов. В боях за эти пункты уничтожено 800 гитлеровцев. Захвачено у немцев 15 орудий, 80 автомашин и 3 склада боеприпасов. Взяты в плен две роты пехоты противника.</w:t>
      </w:r>
    </w:p>
    <w:p w14:paraId="26FA47E5"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занятом вчера советскими войсками городе Котовск обнаружено свыше 500 трупов немецких солдат и офицеров.</w:t>
      </w:r>
    </w:p>
    <w:p w14:paraId="6AA4F1C2"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Одесском направлении наши войска, преследуя противника, заняли более 100 населённых пунктов. Части Н-ского гвардейского соединения, блокируя и уничтожая вражеские гарнизоны, очистили от немцев восточный берег Тилигульского лимана. Взято в плен 450 гитлеровцев и захвачено много вооружения. Отдельные части противника были прижаты к лиману и уничтожены. В одном районе наши танкисты и кавалеристы разгромили крупную колонну противника, уничтожили до 600 немецких солдат и офицеров. Захвачены трофеи, в числе которых 17 орудий и 70 автомашин с боеприпасами.</w:t>
      </w:r>
    </w:p>
    <w:p w14:paraId="54DB89F3"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белорусских партизанских отрядов, действующих в Белостокской области, в марте пустили под откос 20 немецких воинских эшелонов. Кроме того, партизаны взорвали 2 железнодорожных и 7 шоссейных мостов, вырезали 37 километров телефонно-телеграфной линии связи. Разведчики одного из партизанских отрядов Брестской области установили, что немцы гонят награбленный у населения скот. Советские патриоты из засад внезапно напали и уничтожили гитлеровцев, а отбитых у них коров и лошадей возвратили крестьянам.» (15086).</w:t>
      </w:r>
    </w:p>
    <w:p w14:paraId="05480D64" w14:textId="77777777" w:rsidR="00383F24" w:rsidRPr="00070ADE" w:rsidRDefault="00383F24" w:rsidP="00B56F90">
      <w:pPr>
        <w:spacing w:after="0" w:line="240" w:lineRule="auto"/>
        <w:jc w:val="both"/>
        <w:rPr>
          <w:rFonts w:ascii="Times New Roman" w:hAnsi="Times New Roman"/>
          <w:color w:val="000000" w:themeColor="text1"/>
          <w:sz w:val="16"/>
          <w:szCs w:val="16"/>
        </w:rPr>
      </w:pPr>
    </w:p>
    <w:p w14:paraId="38366E3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апреля 1944 Войсками 2 УФ в ходе Уманско-Батошанской операции освобожден город Ананьев (оккупирован 7 августа 1941 г.). В освобождении города принимали участие: 5 гв.А. - 33 гв. ск. (9 гв. вдд, часть сил 214 сд) (4963 ).</w:t>
      </w:r>
    </w:p>
    <w:p w14:paraId="1B2E6F3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6CB4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апреля 1944 года был сбит и совершил вынужденную посадку на воду заместитель командира 11-й ШАД, майор В. Жумбакис. На поиски майора отправили спасательный катер в сопровождении 6 Як-9 из 6-го ГИАП. Четверо летчиков были совсем зелеными, это был их первый боевой вылет. Их послали одних потому что надеялись, что в плохую погоду противник не встретится. Тем не менее в воздухе появилось звено Вf109. В бой с "мессерами" вступила пара Воронов-Акулов. Им удалось сбить один "мессер". Тем не менее желтые Вf109 с коричневым камуфляжем и белыми носами сбили двух молодых пилотов: Селянкина и Леонтьева (2691).</w:t>
      </w:r>
    </w:p>
    <w:p w14:paraId="685EC6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E753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апреля 1944 закончился 2100 км партизанский рейд соединения П.П.Вершигоры через Ровенскую, Волынскую, Львовскую, Брестскую, Пинскую обл., Люблинское воеводство и часть Восточной Пруссии (3398,134).</w:t>
      </w:r>
    </w:p>
    <w:p w14:paraId="437914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26AF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апреля 1944 г., перед ударом английской палубной авиации по "Тирпицу", Альтен-фьорд снимали два со</w:t>
      </w:r>
      <w:r w:rsidRPr="00070ADE">
        <w:rPr>
          <w:rFonts w:ascii="Times New Roman" w:hAnsi="Times New Roman"/>
          <w:color w:val="000000" w:themeColor="text1"/>
          <w:sz w:val="16"/>
          <w:szCs w:val="16"/>
        </w:rPr>
        <w:softHyphen/>
        <w:t>ветских РR IV и один Пе-3 (10790).</w:t>
      </w:r>
    </w:p>
    <w:p w14:paraId="4226FA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6F1F6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7E1553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30D9ED"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 апреля в 1944 году к испытаниям представлен американский экспериментальный легкий истребитель </w:t>
      </w:r>
      <w:hyperlink r:id="rId96" w:tgtFrame="_blank" w:history="1">
        <w:r w:rsidRPr="00070ADE">
          <w:rPr>
            <w:rFonts w:ascii="Times New Roman" w:hAnsi="Times New Roman"/>
            <w:color w:val="000000" w:themeColor="text1"/>
            <w:sz w:val="16"/>
            <w:szCs w:val="16"/>
          </w:rPr>
          <w:t>«Р-77» (15086).</w:t>
        </w:r>
      </w:hyperlink>
    </w:p>
    <w:p w14:paraId="542501C8" w14:textId="77777777" w:rsidR="00383F24" w:rsidRPr="00070ADE" w:rsidRDefault="00383F24" w:rsidP="00B56F90">
      <w:pPr>
        <w:spacing w:after="0" w:line="240" w:lineRule="auto"/>
        <w:jc w:val="both"/>
        <w:rPr>
          <w:rFonts w:ascii="Times New Roman" w:hAnsi="Times New Roman"/>
          <w:color w:val="000000" w:themeColor="text1"/>
          <w:sz w:val="16"/>
          <w:szCs w:val="16"/>
        </w:rPr>
      </w:pPr>
    </w:p>
    <w:p w14:paraId="66AF02D1" w14:textId="77777777" w:rsidR="001914DC" w:rsidRPr="00070ADE" w:rsidRDefault="001914D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апреля 1944 первый полет Bell XP-77 (20373).</w:t>
      </w:r>
    </w:p>
    <w:p w14:paraId="630C0C93" w14:textId="77777777" w:rsidR="001914DC" w:rsidRPr="00070ADE" w:rsidRDefault="001914DC" w:rsidP="00B56F90">
      <w:pPr>
        <w:spacing w:after="0" w:line="240" w:lineRule="auto"/>
        <w:jc w:val="both"/>
        <w:rPr>
          <w:rFonts w:ascii="Times New Roman" w:hAnsi="Times New Roman"/>
          <w:color w:val="000000" w:themeColor="text1"/>
          <w:sz w:val="16"/>
          <w:szCs w:val="16"/>
        </w:rPr>
      </w:pPr>
    </w:p>
    <w:p w14:paraId="604B5EE2" w14:textId="79ABA1F3" w:rsidR="001914DC" w:rsidRPr="00070ADE" w:rsidRDefault="001914D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апреля 1944 года — первый полёт экспериментального истребителя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Bell XP-77.</w:t>
      </w:r>
    </w:p>
    <w:p w14:paraId="4683EB21" w14:textId="0AD3B152" w:rsidR="001914DC" w:rsidRPr="00070ADE" w:rsidRDefault="001914D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Ещё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октябре 1941 года, опасаясь нехватки сырья для авиапромышленности в случае вступления во Вторую мировую войну, в США начали прорабатывать варианты постройки боевых самолётов из</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«нестратегических материалов». Компания Bell получила задание разработать лёгкий истребитель, основным материалом конструкции которого должно было быть дерево. Так появился проект XP-77.</w:t>
      </w:r>
    </w:p>
    <w:p w14:paraId="4DE02176" w14:textId="4B741F83" w:rsidR="001914DC" w:rsidRPr="00070ADE" w:rsidRDefault="001914D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Самолёт представлял собой одномоторный низкоплан с трёхопорным шасси с передней стойкой. Деревянный каркас был обшит металлическими листами. Вооружение: 1 × 20-мм пушка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Hispano-Suiza HS.404, 2 × 12,7 мм пулемёта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M2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пара лёгких бомб.</w:t>
      </w:r>
    </w:p>
    <w:p w14:paraId="2A7088DB" w14:textId="542EA4D8" w:rsidR="001914DC" w:rsidRPr="00070ADE" w:rsidRDefault="001914D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Bell была загружена заказами на производство и модернизацию истребителя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P-39 Airacobra, поэтому работы над экспериментальной машиной шли медленно. К своему первому полёту XP-77 уже уступал серийным самолётам, да и дефицита металла не случилось. Построили лишь</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прототипа Bell XP-77, один из которых был потерян в испытательном полёте. В декабре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1944 года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проект закрыли (22300).</w:t>
      </w:r>
    </w:p>
    <w:p w14:paraId="3A3EFCFF" w14:textId="77777777" w:rsidR="001914DC" w:rsidRPr="00070ADE" w:rsidRDefault="001914DC" w:rsidP="00B56F90">
      <w:pPr>
        <w:spacing w:after="0" w:line="240" w:lineRule="auto"/>
        <w:jc w:val="both"/>
        <w:rPr>
          <w:rFonts w:ascii="Times New Roman" w:hAnsi="Times New Roman"/>
          <w:color w:val="000000" w:themeColor="text1"/>
          <w:sz w:val="16"/>
          <w:szCs w:val="16"/>
        </w:rPr>
      </w:pPr>
    </w:p>
    <w:p w14:paraId="2AC247B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апреля 1944 американская авиация по ошибке разбомбила швейцарский город Шафхаузен, погибло до 50 мирных жителей (4962).</w:t>
      </w:r>
    </w:p>
    <w:p w14:paraId="7A45630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F53546"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апреля в 1944 году начало немецкой оккупации Венгрии (15086).</w:t>
      </w:r>
    </w:p>
    <w:p w14:paraId="24099294" w14:textId="77777777" w:rsidR="00383F24" w:rsidRPr="00070ADE" w:rsidRDefault="00383F24" w:rsidP="00B56F90">
      <w:pPr>
        <w:spacing w:after="0" w:line="240" w:lineRule="auto"/>
        <w:jc w:val="both"/>
        <w:rPr>
          <w:rFonts w:ascii="Times New Roman" w:hAnsi="Times New Roman"/>
          <w:color w:val="000000" w:themeColor="text1"/>
          <w:sz w:val="16"/>
          <w:szCs w:val="16"/>
        </w:rPr>
      </w:pPr>
    </w:p>
    <w:p w14:paraId="21E3AD69" w14:textId="77777777" w:rsidR="001914DC" w:rsidRPr="00070ADE" w:rsidRDefault="001914D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апреля 1944 Оперативная группа 58 ВМС США наносит удар по авианосцу Волеи (20373).</w:t>
      </w:r>
    </w:p>
    <w:p w14:paraId="36805F07" w14:textId="77777777" w:rsidR="001914DC" w:rsidRPr="00070ADE" w:rsidRDefault="001914DC" w:rsidP="00B56F90">
      <w:pPr>
        <w:spacing w:after="0" w:line="240" w:lineRule="auto"/>
        <w:jc w:val="both"/>
        <w:rPr>
          <w:rFonts w:ascii="Times New Roman" w:hAnsi="Times New Roman"/>
          <w:color w:val="000000" w:themeColor="text1"/>
          <w:sz w:val="16"/>
          <w:szCs w:val="16"/>
        </w:rPr>
      </w:pPr>
    </w:p>
    <w:p w14:paraId="1E48EA9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E5B9C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8A4D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 по 5 апреля 1944 экипаж В.В.Лисицына совершил на Ер-2 перелет по маршруту Иркутск-Красноярск-Новосибирск-Омск-Свердловск-Москва (Чкаловская) в рамках гос. испытаний доработанной и первой серийной машины (2865,10).</w:t>
      </w:r>
    </w:p>
    <w:p w14:paraId="13CD71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9ABB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 2 по 5 апреля 1944 экипаж Лисицына на первом серийном самолете Ер-2 с М-30Б летчик В.В. Лисицын и штурман Литвинчук совершил перелет по маршруту Иркутск - Красноярск - Новосибирск - Омск - Свердловск - Москва (аэродром Чкаловская) с промежуточными посадками в указанных пунктах в рамках госиспытаний (11994).</w:t>
      </w:r>
    </w:p>
    <w:p w14:paraId="0A2AEB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B8F9FE9"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 апреля в 1944 году утвержден макет скоростного дневного бомбардировщика </w:t>
      </w:r>
      <w:hyperlink r:id="rId97" w:tgtFrame="_blank" w:history="1">
        <w:r w:rsidRPr="00070ADE">
          <w:rPr>
            <w:rFonts w:ascii="Times New Roman" w:hAnsi="Times New Roman"/>
            <w:color w:val="000000" w:themeColor="text1"/>
            <w:sz w:val="16"/>
            <w:szCs w:val="16"/>
          </w:rPr>
          <w:t xml:space="preserve">«СДБ» </w:t>
        </w:r>
      </w:hyperlink>
      <w:r w:rsidRPr="00070ADE">
        <w:rPr>
          <w:rFonts w:ascii="Times New Roman" w:hAnsi="Times New Roman"/>
          <w:color w:val="000000" w:themeColor="text1"/>
          <w:sz w:val="16"/>
          <w:szCs w:val="16"/>
        </w:rPr>
        <w:t>ОКБ Туполева (15087).</w:t>
      </w:r>
    </w:p>
    <w:p w14:paraId="3FF6872F" w14:textId="77777777" w:rsidR="00383F24" w:rsidRPr="00070ADE" w:rsidRDefault="00383F24" w:rsidP="00B56F90">
      <w:pPr>
        <w:spacing w:after="0" w:line="240" w:lineRule="auto"/>
        <w:jc w:val="both"/>
        <w:rPr>
          <w:rFonts w:ascii="Times New Roman" w:hAnsi="Times New Roman"/>
          <w:color w:val="000000" w:themeColor="text1"/>
          <w:sz w:val="16"/>
          <w:szCs w:val="16"/>
        </w:rPr>
      </w:pPr>
    </w:p>
    <w:p w14:paraId="74A68D38" w14:textId="77777777" w:rsidR="002830B4" w:rsidRPr="00C94B78" w:rsidRDefault="002830B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 апреля 1944 г. ут</w:t>
      </w:r>
      <w:r w:rsidRPr="00C94B78">
        <w:rPr>
          <w:rFonts w:ascii="Times New Roman" w:hAnsi="Times New Roman"/>
          <w:color w:val="0070C0"/>
          <w:sz w:val="16"/>
          <w:szCs w:val="16"/>
        </w:rPr>
        <w:softHyphen/>
        <w:t>вердили Акт по результатам испытаний первый опытный экземпляр Ла-7 (№ 3815758) с тремя син</w:t>
      </w:r>
      <w:r w:rsidRPr="00C94B78">
        <w:rPr>
          <w:rFonts w:ascii="Times New Roman" w:hAnsi="Times New Roman"/>
          <w:color w:val="0070C0"/>
          <w:sz w:val="16"/>
          <w:szCs w:val="16"/>
        </w:rPr>
        <w:softHyphen/>
        <w:t>хронными пушками Б-20с конструкции М.Е. Березина, при этом руководство института решило законсервировать ма</w:t>
      </w:r>
      <w:r w:rsidRPr="00C94B78">
        <w:rPr>
          <w:rFonts w:ascii="Times New Roman" w:hAnsi="Times New Roman"/>
          <w:color w:val="0070C0"/>
          <w:sz w:val="16"/>
          <w:szCs w:val="16"/>
        </w:rPr>
        <w:softHyphen/>
        <w:t>шину с целью использования ее для определения характеристик, необходимых для проверки методики летных испытаний (24988).</w:t>
      </w:r>
    </w:p>
    <w:p w14:paraId="34849861" w14:textId="77777777" w:rsidR="002830B4" w:rsidRPr="00C94B78" w:rsidRDefault="002830B4" w:rsidP="00B56F90">
      <w:pPr>
        <w:spacing w:after="0" w:line="240" w:lineRule="auto"/>
        <w:jc w:val="both"/>
        <w:rPr>
          <w:rFonts w:ascii="Times New Roman" w:hAnsi="Times New Roman"/>
          <w:color w:val="0070C0"/>
          <w:sz w:val="16"/>
          <w:szCs w:val="16"/>
        </w:rPr>
      </w:pPr>
    </w:p>
    <w:p w14:paraId="6FACF23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8D5D1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D9804A"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апреля в 1944 году оперативная сводка Совинформбюро:.</w:t>
      </w:r>
    </w:p>
    <w:p w14:paraId="3C1B5154"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 апреля войска 1-го Украинского фронта, продолжая наступление, овладели районными центрами Станиславской области городом КОСОВ, городом Куты и районным центром Черновицкой области городом Герца.</w:t>
      </w:r>
    </w:p>
    <w:p w14:paraId="7F0BD110"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К югу от города Каменец-Подольск наши войска вели наступательные бои, в ходе которых овладели районным центром Черновицкой области городом Новоселица, а также заняли несколько других населённых пунктов, среди которых крупные населённые пункты Маршинцы, Тарасовцы, Ванчиковцы, Думень, Кошулень и железнодорожные станции Ванчиковцы, Новоселица.</w:t>
      </w:r>
    </w:p>
    <w:p w14:paraId="036052F2"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Кишинёвском направлении наши войска, преодолевая сопротивление и контратаки противника, продолжали вести наступательные бои и овладели районным центром Молдавской ССР городом Резина, а также заняли более 20 других населённых пунктов, в том числе крупные населённые пункты Красношени, Сухулучени, Клишова, Чоколтени, Киштельница, Загорень, Бушовка, Городиштя, Ново-Красное, Степановка.</w:t>
      </w:r>
    </w:p>
    <w:p w14:paraId="215AB268"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Тираспольском направлении наши войска, продолжая наступление, овладели районным центром Одесской области Ширяево, а также с боями заняли более 30 других населённых пунктов, среди которых крупные населённые пункты Флёра, Малая и Большая Кондратовка, Ново-Александровка, Марьяновка, Михайловка, Якимов Яр, Новая и Старая Гуляевка.</w:t>
      </w:r>
    </w:p>
    <w:p w14:paraId="2F7B04DE"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Одесском направлении наши войска с боями заняли более 50 населённых пунктов, среди которых крупные населённые пункты Вульфово, Ново-Петровка, Новая Елизаветовка, Евгеньевка, Джугастрова, Люботаевка, Балайчук, Максимовка, Александровка, Петровское.</w:t>
      </w:r>
    </w:p>
    <w:p w14:paraId="1D767E42"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в ряде пунктов шли бои местного значения.</w:t>
      </w:r>
    </w:p>
    <w:p w14:paraId="65D679FF"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 апреля наши войска на всех фронтах подбили и уничтожили 19 немецких танков. В воздушных боях и огнём зенитной артиллерии сбито 40 самолётов противника.</w:t>
      </w:r>
    </w:p>
    <w:p w14:paraId="70132B89"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наступление. Наши танкисты и пехотинцы стремительно продвинулись вперёд и овладели районными центрами Станиславской области городом Косов, городом Куты и районным центром Черновицкой области городом Герца. Захвачено много пленных и трофеев. На одном участке наш подвижной отряд внезапным ударом разгромил большую колонну противника и взял вплен 800 вражеских солдат и офицеров. Захвачены 4 самоходных орудия, 11бронетранспортёров и 120 автомашин с боеприпасами и военными материалами. На крупной железнодорожной станции нашими войсками захвачен паровоз и 300 вагонов и платформ с разными военными грузами противника. В районе города Делятин пленён в полном составе 44 полк 18 венгерской лёгкопехотной дивизии вместе со штабом и командиром полка.</w:t>
      </w:r>
    </w:p>
    <w:p w14:paraId="2A7A294C"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югу от города Каменец-Подольск части Н-ского соединения, с боями продвигаясь вперёд, заняли несколько населённых пунктов. В результате решительной атаки советские бойцы овладели районным центром Черновицкой области городом Новоселица. Остатки разбитого гарнизона противника пытались спастись вплавь через Прут, но были обстреляны сильным ружейно-пулемётным огнём и утонулив реке. В другом районе бойцы Н-ской части в течение дня истребили 800 гитлеровцев и взяли в плен более 300 солдат и офицеров противника. Захвачены у немцев 4 зенитных орудия, 11 миномётов, 40 автомашин, склад боеприпасов и два склада с продовольствием.</w:t>
      </w:r>
    </w:p>
    <w:p w14:paraId="2B8F0C45"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Кишинёвском направлении наши войска вели наступательные бои. Противник, опираясь на промежуточные оборонительные рубежи, оказывал упорное сопротивление. Советские части, широко применяя обходные манёвры, окружают и ликвидируют вражеские гарнизоны. На одном участке наши бойцы отбили контратаку противника и на плечах отступающих немцев ворвались в крупный населённый пункт и овладели им. На подступах к селу и на его улицах осталось много вражеских трупов. Захвачено несколько артиллерийских батарей и склады с боеприпасами. В другом районе наши танкисты разгромили штаб 282 немецкой пехотной дивизии, уничтожив при этом до 400 немецких солдат и офицеров.</w:t>
      </w:r>
    </w:p>
    <w:p w14:paraId="29D68DBB"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Тираспольском направлении наши войска продолжали продвигаться вперёд. Части Н-ского соединения овладели районным центром Одесской области Ширяево и заняли свыше 30 других населённых пунктов. Под ударами наших войск противник отступает, бросая на поле боя технику, вооружение и раненых. На одном участкесоветские подразделения захватили большое число орудий, бронетранспортёров, пулемётов и 50 автомашин с имуществом, награбленным гитлеровцами у мирных жителей. За день боёв взято в плен до 500 немецких солдат и офицеров.</w:t>
      </w:r>
    </w:p>
    <w:p w14:paraId="27081088"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Краснознамённого Балтийского флота нанесла бомбовый удар по группе кораблей противника в Нарвском заливе. Советские лётчики-истребители завязали воздушные бои с истребителями противника и сбили три немецких самолёта. Тем временем наши бомбардировщики прорвались сквозь завесу артиллерийского огня к цели и прямым попаданием бомб потопили тральщик противника.</w:t>
      </w:r>
    </w:p>
    <w:p w14:paraId="7B6F03D3"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Черноморского флота совершила налёт на порт Феодосия. Корабли противника, находившиеся в порту, и зенитные орудия береговой артиллерии открыли интенсивный огонь. Штурмовыми ударами советские лётчики подавили огонь нескольких зенитных батарей. В результате действий ударной группы самолётов потоплена быстроходная десантная баржа противника. Другая десантная баржа сильно повреждена. Все наши самолёты возвратились на свои аэродромы.</w:t>
      </w:r>
    </w:p>
    <w:p w14:paraId="6CF2AE5C"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украинских партизанских отрядов, действующих в Львовской области, с 19 по 21 марта провели ряд успешных боевых операций. На одном участке железной дороги партизаны огнём из орудий и противотанковых ружей подожгли один немецкий воинский эшелон, а второй эшелон противника пустили под откос. Советские патриоты остановили поезд, в котором гитлеровцы увозили советских граждан на каторгу в Германию. Партизаны перебили охрану поезда и освободили 1.200 советских граждан.» (15087).</w:t>
      </w:r>
    </w:p>
    <w:p w14:paraId="3517F13D" w14:textId="77777777" w:rsidR="00383F24" w:rsidRPr="00070ADE" w:rsidRDefault="00383F24" w:rsidP="00B56F90">
      <w:pPr>
        <w:spacing w:after="0" w:line="240" w:lineRule="auto"/>
        <w:jc w:val="both"/>
        <w:rPr>
          <w:rFonts w:ascii="Times New Roman" w:hAnsi="Times New Roman"/>
          <w:color w:val="000000" w:themeColor="text1"/>
          <w:sz w:val="16"/>
          <w:szCs w:val="16"/>
        </w:rPr>
      </w:pPr>
    </w:p>
    <w:p w14:paraId="728E87B3"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апреля в 1944 году (2-7 апреля) немецкие войска, окруженные под Каменцем-Подольским, сумели прорваться на запад – в район Бучача (15087).</w:t>
      </w:r>
    </w:p>
    <w:p w14:paraId="60F8D65C" w14:textId="77777777" w:rsidR="00383F24" w:rsidRPr="00070ADE" w:rsidRDefault="00383F24" w:rsidP="00B56F90">
      <w:pPr>
        <w:spacing w:after="0" w:line="240" w:lineRule="auto"/>
        <w:jc w:val="both"/>
        <w:rPr>
          <w:rFonts w:ascii="Times New Roman" w:hAnsi="Times New Roman"/>
          <w:color w:val="000000" w:themeColor="text1"/>
          <w:sz w:val="16"/>
          <w:szCs w:val="16"/>
        </w:rPr>
      </w:pPr>
    </w:p>
    <w:p w14:paraId="45447C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апреля 1944 на Южном участке ВФ советские войска пересекли границу Румынии (3907,248).</w:t>
      </w:r>
    </w:p>
    <w:p w14:paraId="6F75E9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8899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апреля 1944 тихоокеанские морские летчики, направленные для перегонки л/л Номад появились в Элизабет-сити недалеко от Нового Орлеана. Там их уже ожидали подготовленные к сдаче 25 PBN-1. Для переподготовки советских экипажей сформировали специальную учебную эскадрилью лейтенанта Харнера. В обучении принимали участие и специалисты, откомандированные NAF, в том числе заводской испытатель капитан Стюард. Поскольку в США PBN-1 почти не эксплуатировались, то подготовка началась с проведения совместных испытаний самолета при различных вариантах загрузки. С советской стороны в испытаниях участвовал Н.Ф.Пискарев. Первая группа закончила подготовку за 20 дней. В завершение каждый экипаж совершил по два 6-часовых полета над Атлантикой для тренировки в работе с радио- и навигационной аппаратурой. Тихоокеанцев использовали в качестве инструкторов для остальных летчиков, прибывших на месяц позже. Они приплыли из Мурманска морем. Первые машины должны были отправляться на север - для авиации Северного флота и Беломорской военной флотилии. Лодки разбили на шесть отрядов по четыре самолета. Последняя, 25-я, стала командирской. Поскольку наши экипажи имели мало опыта длительных полетов, пришлось обратиться к помощи союзников, причем не американцев, а англичан. В каждый экипаж вошли английские летчик и радист. "Выделенные английские летчики имели звание не ниже капитана. Они обладали большим опытом участия в длительных полетах. Некоторые из них пересекали океан до 53 раз", - писал в своем отчете Пискарев. Самолеты летели по маршруту Элизабет-сити - оз. Гандер - Рейкьявик - Мурманск. Несмотря на тщательную подготовку, не обошлось без происшествий. На подходе к Исландии гидропланы так сильно обледенели, что оборвались антенны. В Рейкьявике советские летчики распростились с британскими коллегами. Последний этап предстояло преодолеть самостоятельно (3457,128).</w:t>
      </w:r>
    </w:p>
    <w:p w14:paraId="286BC4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62230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54E7CB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7680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апреля 1944 г. был подготовлен ОТЧЕТ НКВД НАЧАЛЬНИКУ ТЫЛА КАА.В. ХРУЛЕВУ О НАЛИЧИИ, ТЕХНИЧЕСКОМ СОСТОЯНИИ И ИСПОЛЬЗОВАНИИ АВТОМОБИЛЬНОГО ПАРКА НАРОДНОГО ХОЗЯЙСТВА СССР НА 1 ЯНВАРЯ 1944 Г. № 1/6467</w:t>
      </w:r>
    </w:p>
    <w:p w14:paraId="6C393F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Наличие и техническое состояние автомотопарка</w:t>
      </w:r>
    </w:p>
    <w:p w14:paraId="6B5810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Численность автомотопарка</w:t>
      </w:r>
    </w:p>
    <w:p w14:paraId="2C6D49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Автомотопарк народного хозяйства Союза ССР на 1 января 1944 г. составляет 220142 машины, в том числе:</w:t>
      </w:r>
    </w:p>
    <w:p w14:paraId="77A967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автомобилей - 206420 мотоциклов - 12455 тягачей и тракторов на резиновом ходу - 1267</w:t>
      </w:r>
    </w:p>
    <w:p w14:paraId="38F755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состав автомобильного парка входят:</w:t>
      </w:r>
    </w:p>
    <w:p w14:paraId="039648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грузовые бензиновые автомобили - 113807</w:t>
      </w:r>
    </w:p>
    <w:p w14:paraId="3765CF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грузовые газогенераторные автомобили - 33619</w:t>
      </w:r>
    </w:p>
    <w:p w14:paraId="57E385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грузовые газобаллонные автомобили - 629</w:t>
      </w:r>
    </w:p>
    <w:p w14:paraId="4E869A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легковые автомобили - 36836</w:t>
      </w:r>
    </w:p>
    <w:p w14:paraId="1CD2E6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специальные автомобили - 16780</w:t>
      </w:r>
    </w:p>
    <w:p w14:paraId="61E6B3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автобусы - 4749</w:t>
      </w:r>
    </w:p>
    <w:p w14:paraId="6A7226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в народном хозяйстве имеется 15928 автомобильных прицепов.</w:t>
      </w:r>
    </w:p>
    <w:p w14:paraId="3835CA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с 1 августа 1943 года по 1 января 1944 года численность автопарка увеличилась на 1056 единиц или на 0,5% к общему наличию автопарка.</w:t>
      </w:r>
    </w:p>
    <w:p w14:paraId="02A269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Изменения в количественном составе автомотопарка по типам машин характеризуется следую</w:t>
      </w:r>
      <w:r w:rsidRPr="00070ADE">
        <w:rPr>
          <w:rFonts w:ascii="Times New Roman" w:hAnsi="Times New Roman"/>
          <w:color w:val="000000" w:themeColor="text1"/>
          <w:sz w:val="16"/>
          <w:szCs w:val="16"/>
        </w:rPr>
        <w:softHyphen/>
        <w:t>щими данными:</w:t>
      </w:r>
    </w:p>
    <w:tbl>
      <w:tblPr>
        <w:tblW w:w="0" w:type="auto"/>
        <w:tblInd w:w="40" w:type="dxa"/>
        <w:tblLayout w:type="fixed"/>
        <w:tblCellMar>
          <w:left w:w="40" w:type="dxa"/>
          <w:right w:w="40" w:type="dxa"/>
        </w:tblCellMar>
        <w:tblLook w:val="0000" w:firstRow="0" w:lastRow="0" w:firstColumn="0" w:lastColumn="0" w:noHBand="0" w:noVBand="0"/>
      </w:tblPr>
      <w:tblGrid>
        <w:gridCol w:w="3466"/>
        <w:gridCol w:w="1008"/>
        <w:gridCol w:w="998"/>
        <w:gridCol w:w="1008"/>
        <w:gridCol w:w="1008"/>
        <w:gridCol w:w="998"/>
        <w:gridCol w:w="1027"/>
      </w:tblGrid>
      <w:tr w:rsidR="004D4663" w:rsidRPr="00070ADE" w14:paraId="53757F0F" w14:textId="77777777">
        <w:trPr>
          <w:trHeight w:val="221"/>
        </w:trPr>
        <w:tc>
          <w:tcPr>
            <w:tcW w:w="3466" w:type="dxa"/>
            <w:tcBorders>
              <w:top w:val="single" w:sz="6" w:space="0" w:color="auto"/>
              <w:left w:val="single" w:sz="6" w:space="0" w:color="auto"/>
              <w:bottom w:val="nil"/>
              <w:right w:val="single" w:sz="6" w:space="0" w:color="auto"/>
            </w:tcBorders>
          </w:tcPr>
          <w:p w14:paraId="2BA3C6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Типы машин</w:t>
            </w:r>
          </w:p>
          <w:p w14:paraId="451516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gridSpan w:val="2"/>
            <w:tcBorders>
              <w:top w:val="single" w:sz="6" w:space="0" w:color="auto"/>
              <w:left w:val="single" w:sz="6" w:space="0" w:color="auto"/>
              <w:bottom w:val="single" w:sz="6" w:space="0" w:color="auto"/>
              <w:right w:val="single" w:sz="6" w:space="0" w:color="auto"/>
            </w:tcBorders>
          </w:tcPr>
          <w:p w14:paraId="550747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Наличие машин</w:t>
            </w:r>
          </w:p>
          <w:p w14:paraId="135473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16" w:type="dxa"/>
            <w:gridSpan w:val="2"/>
            <w:tcBorders>
              <w:top w:val="single" w:sz="6" w:space="0" w:color="auto"/>
              <w:left w:val="single" w:sz="6" w:space="0" w:color="auto"/>
              <w:bottom w:val="single" w:sz="6" w:space="0" w:color="auto"/>
              <w:right w:val="single" w:sz="6" w:space="0" w:color="auto"/>
            </w:tcBorders>
          </w:tcPr>
          <w:p w14:paraId="29E6EC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Увеличение</w:t>
            </w:r>
          </w:p>
          <w:p w14:paraId="1B0207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5" w:type="dxa"/>
            <w:gridSpan w:val="2"/>
            <w:tcBorders>
              <w:top w:val="single" w:sz="6" w:space="0" w:color="auto"/>
              <w:left w:val="single" w:sz="6" w:space="0" w:color="auto"/>
              <w:bottom w:val="single" w:sz="6" w:space="0" w:color="auto"/>
              <w:right w:val="single" w:sz="6" w:space="0" w:color="auto"/>
            </w:tcBorders>
          </w:tcPr>
          <w:p w14:paraId="37E2BE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Уменьшение</w:t>
            </w:r>
          </w:p>
          <w:p w14:paraId="10A2DF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BF29F92" w14:textId="77777777">
        <w:trPr>
          <w:trHeight w:val="374"/>
        </w:trPr>
        <w:tc>
          <w:tcPr>
            <w:tcW w:w="3466" w:type="dxa"/>
            <w:tcBorders>
              <w:top w:val="nil"/>
              <w:left w:val="single" w:sz="6" w:space="0" w:color="auto"/>
              <w:bottom w:val="single" w:sz="6" w:space="0" w:color="auto"/>
              <w:right w:val="single" w:sz="6" w:space="0" w:color="auto"/>
            </w:tcBorders>
          </w:tcPr>
          <w:p w14:paraId="5D9834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331215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ED991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1.08.1943 г.</w:t>
            </w:r>
          </w:p>
          <w:p w14:paraId="7BBB34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7EC03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 1.01.1944 г.</w:t>
            </w:r>
          </w:p>
          <w:p w14:paraId="14551D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06205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Абсолютное количество</w:t>
            </w:r>
          </w:p>
          <w:p w14:paraId="6B8AD0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476168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w:t>
            </w:r>
          </w:p>
          <w:p w14:paraId="7EF4BC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DE39A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Абсолютное количество</w:t>
            </w:r>
          </w:p>
          <w:p w14:paraId="6FA676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02277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w:t>
            </w:r>
          </w:p>
          <w:p w14:paraId="25626C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0A83CF5"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35E089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Грузовые бензиновые автомобили</w:t>
            </w:r>
          </w:p>
          <w:p w14:paraId="01F91F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4D278B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111679</w:t>
            </w:r>
          </w:p>
          <w:p w14:paraId="011177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61EE2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113807</w:t>
            </w:r>
          </w:p>
          <w:p w14:paraId="39ED66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384C2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2128</w:t>
            </w:r>
          </w:p>
          <w:p w14:paraId="771FAC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530C1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w:t>
            </w:r>
          </w:p>
          <w:p w14:paraId="0A6F51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B91F0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8BF49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D67F7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88FD3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CFCF34D"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71373C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Грузовые газогенераторные автомобили</w:t>
            </w:r>
          </w:p>
          <w:p w14:paraId="6F14F4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1E6CF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33231</w:t>
            </w:r>
          </w:p>
          <w:p w14:paraId="5EC203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41F06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33619</w:t>
            </w:r>
          </w:p>
          <w:p w14:paraId="453718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DB6BE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388</w:t>
            </w:r>
          </w:p>
          <w:p w14:paraId="16A511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5A4BC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p w14:paraId="2BF15D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592D8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D83FE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BCDC2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FABCD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AFB0F23"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0F0ED2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Грузовые газобаллонные автомобили</w:t>
            </w:r>
          </w:p>
          <w:p w14:paraId="46A97B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EE180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443</w:t>
            </w:r>
          </w:p>
          <w:p w14:paraId="5C04E6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30FF5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629</w:t>
            </w:r>
          </w:p>
          <w:p w14:paraId="564E8D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E93B4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186</w:t>
            </w:r>
          </w:p>
          <w:p w14:paraId="239018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9FE2A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42,0</w:t>
            </w:r>
          </w:p>
          <w:p w14:paraId="56BC1F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A22EA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878B0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925C9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9A0DA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E5A76C6"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4C807A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Легковые автомобили</w:t>
            </w:r>
          </w:p>
          <w:p w14:paraId="77DBB6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42EBFE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37037</w:t>
            </w:r>
          </w:p>
          <w:p w14:paraId="729836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46C11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36836</w:t>
            </w:r>
          </w:p>
          <w:p w14:paraId="50F737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70835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0F893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B365A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F3C3A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4AB55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201</w:t>
            </w:r>
          </w:p>
          <w:p w14:paraId="1C01BC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9BA11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0,5</w:t>
            </w:r>
          </w:p>
          <w:p w14:paraId="42493A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7529E71"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3F8B46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Специальные автомобили</w:t>
            </w:r>
          </w:p>
          <w:p w14:paraId="5D15A1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1D0C4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17877</w:t>
            </w:r>
          </w:p>
          <w:p w14:paraId="610FF6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C7A65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16780</w:t>
            </w:r>
          </w:p>
          <w:p w14:paraId="3E9548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FFDD9C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898B0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4C2F4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637FC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CEDFC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1097</w:t>
            </w:r>
          </w:p>
          <w:p w14:paraId="20EDC8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D2B89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w:t>
            </w:r>
          </w:p>
          <w:p w14:paraId="6A40E9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DB05324"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17953F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Автобусы</w:t>
            </w:r>
          </w:p>
          <w:p w14:paraId="53A476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76074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5097</w:t>
            </w:r>
          </w:p>
          <w:p w14:paraId="7A5542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3D3E1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4749</w:t>
            </w:r>
          </w:p>
          <w:p w14:paraId="628E84C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088BE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8EEF6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2706B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DE9ED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23C64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348</w:t>
            </w:r>
          </w:p>
          <w:p w14:paraId="51EF74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A47C9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w:t>
            </w:r>
          </w:p>
          <w:p w14:paraId="5EFE52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B03E867"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507266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 автомобилей:</w:t>
            </w:r>
          </w:p>
          <w:p w14:paraId="4FE4F8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E13DB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205364</w:t>
            </w:r>
          </w:p>
          <w:p w14:paraId="7AE634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C66D7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206420</w:t>
            </w:r>
          </w:p>
          <w:p w14:paraId="406E8C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C0A4E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1056</w:t>
            </w:r>
          </w:p>
          <w:p w14:paraId="626ACD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65570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0,5</w:t>
            </w:r>
          </w:p>
          <w:p w14:paraId="06C8F6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6AB21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E3444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640F1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47015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E3C271D"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7FF769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Мотоциклы</w:t>
            </w:r>
          </w:p>
          <w:p w14:paraId="519607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3A3AF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11938</w:t>
            </w:r>
          </w:p>
          <w:p w14:paraId="399D26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CCB24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12455</w:t>
            </w:r>
          </w:p>
          <w:p w14:paraId="78456F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AE61D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517</w:t>
            </w:r>
          </w:p>
          <w:p w14:paraId="08F50A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BA5C8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w:t>
            </w:r>
          </w:p>
          <w:p w14:paraId="620268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1671C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BC2D0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BBC90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C0EC8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88EA52B" w14:textId="77777777">
        <w:trPr>
          <w:trHeight w:val="230"/>
        </w:trPr>
        <w:tc>
          <w:tcPr>
            <w:tcW w:w="3466" w:type="dxa"/>
            <w:tcBorders>
              <w:top w:val="single" w:sz="6" w:space="0" w:color="auto"/>
              <w:left w:val="single" w:sz="6" w:space="0" w:color="auto"/>
              <w:bottom w:val="single" w:sz="6" w:space="0" w:color="auto"/>
              <w:right w:val="single" w:sz="6" w:space="0" w:color="auto"/>
            </w:tcBorders>
          </w:tcPr>
          <w:p w14:paraId="14B56E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Тягачи и тракторы на резиновом ходу</w:t>
            </w:r>
          </w:p>
          <w:p w14:paraId="0F4FE0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66A44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1378</w:t>
            </w:r>
          </w:p>
          <w:p w14:paraId="35D7A5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CFFEC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1267</w:t>
            </w:r>
          </w:p>
          <w:p w14:paraId="713149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AD58C2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D6D85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DA1FD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A7A90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B0B05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w:t>
            </w:r>
          </w:p>
          <w:p w14:paraId="40DDA1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177CB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w:t>
            </w:r>
          </w:p>
          <w:p w14:paraId="3BBF64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D2617E8" w14:textId="77777777">
        <w:trPr>
          <w:trHeight w:val="250"/>
        </w:trPr>
        <w:tc>
          <w:tcPr>
            <w:tcW w:w="3466" w:type="dxa"/>
            <w:tcBorders>
              <w:top w:val="single" w:sz="6" w:space="0" w:color="auto"/>
              <w:left w:val="single" w:sz="6" w:space="0" w:color="auto"/>
              <w:bottom w:val="single" w:sz="6" w:space="0" w:color="auto"/>
              <w:right w:val="single" w:sz="6" w:space="0" w:color="auto"/>
            </w:tcBorders>
          </w:tcPr>
          <w:p w14:paraId="536345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машин:</w:t>
            </w:r>
          </w:p>
          <w:p w14:paraId="2277BC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6876D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218675</w:t>
            </w:r>
          </w:p>
          <w:p w14:paraId="749273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15476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220142</w:t>
            </w:r>
          </w:p>
          <w:p w14:paraId="105DFE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101C2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1467</w:t>
            </w:r>
          </w:p>
          <w:p w14:paraId="3B9AB9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9C8F9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0,7</w:t>
            </w:r>
          </w:p>
          <w:p w14:paraId="6E22D8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9C845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3105F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622DB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24932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96FE5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Общее увеличение автомотопарка произошло за счет поступления в народное хозяйство новых, в основном импортных, грузовых автомобилей и, частично, за счет восстановления автомобилей и мотоциклов в областях, освобожденных от немецких захватчиков.</w:t>
      </w:r>
    </w:p>
    <w:p w14:paraId="24BE0E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это же время было выбраковано 7218 автомобилей, как нерентабельных к восстановлению, вследствие своей изношенности.</w:t>
      </w:r>
    </w:p>
    <w:p w14:paraId="2A2ED6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Отчет по материалам технического осмотра, произведенного органами Госавтоинспекции, приводится с сокращениями.</w:t>
      </w:r>
    </w:p>
    <w:p w14:paraId="61D79B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Уменьшение количества легковых, специальных автомобилей и автобусов объясняется мобилизаци</w:t>
      </w:r>
      <w:r w:rsidRPr="00070ADE">
        <w:rPr>
          <w:rFonts w:ascii="Times New Roman" w:hAnsi="Times New Roman"/>
          <w:color w:val="000000" w:themeColor="text1"/>
          <w:sz w:val="16"/>
          <w:szCs w:val="16"/>
        </w:rPr>
        <w:softHyphen/>
        <w:t>ей некоторой части их в Красную Армию и выбраковкой непригодных к дальнейшему использованию. Увеличение числа мотоциклов произошло за счет восстановления трофейных машин.</w:t>
      </w:r>
    </w:p>
    <w:p w14:paraId="277C10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Категорийность автомотопарка</w:t>
      </w:r>
    </w:p>
    <w:p w14:paraId="5D955B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Сравнительные данные категорийности автопарка по результатам двух последних технических осмотров указаны в следующей таблице:</w:t>
      </w:r>
    </w:p>
    <w:tbl>
      <w:tblPr>
        <w:tblW w:w="0" w:type="auto"/>
        <w:tblInd w:w="40" w:type="dxa"/>
        <w:tblLayout w:type="fixed"/>
        <w:tblCellMar>
          <w:left w:w="40" w:type="dxa"/>
          <w:right w:w="40" w:type="dxa"/>
        </w:tblCellMar>
        <w:tblLook w:val="0000" w:firstRow="0" w:lastRow="0" w:firstColumn="0" w:lastColumn="0" w:noHBand="0" w:noVBand="0"/>
      </w:tblPr>
      <w:tblGrid>
        <w:gridCol w:w="1776"/>
        <w:gridCol w:w="1171"/>
        <w:gridCol w:w="835"/>
        <w:gridCol w:w="826"/>
        <w:gridCol w:w="835"/>
        <w:gridCol w:w="835"/>
        <w:gridCol w:w="835"/>
        <w:gridCol w:w="826"/>
        <w:gridCol w:w="835"/>
        <w:gridCol w:w="835"/>
      </w:tblGrid>
      <w:tr w:rsidR="004D4663" w:rsidRPr="00070ADE" w14:paraId="2B7D1BEE" w14:textId="77777777">
        <w:trPr>
          <w:trHeight w:val="230"/>
        </w:trPr>
        <w:tc>
          <w:tcPr>
            <w:tcW w:w="2947" w:type="dxa"/>
            <w:gridSpan w:val="2"/>
            <w:tcBorders>
              <w:top w:val="single" w:sz="6" w:space="0" w:color="auto"/>
              <w:left w:val="single" w:sz="6" w:space="0" w:color="auto"/>
              <w:bottom w:val="nil"/>
              <w:right w:val="single" w:sz="6" w:space="0" w:color="auto"/>
            </w:tcBorders>
          </w:tcPr>
          <w:p w14:paraId="45E063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машины</w:t>
            </w:r>
          </w:p>
          <w:p w14:paraId="4C55DA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2" w:type="dxa"/>
            <w:gridSpan w:val="8"/>
            <w:tcBorders>
              <w:top w:val="single" w:sz="6" w:space="0" w:color="auto"/>
              <w:left w:val="single" w:sz="6" w:space="0" w:color="auto"/>
              <w:bottom w:val="single" w:sz="6" w:space="0" w:color="auto"/>
              <w:right w:val="single" w:sz="6" w:space="0" w:color="auto"/>
            </w:tcBorders>
          </w:tcPr>
          <w:p w14:paraId="14A29E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автомобилей по категориям</w:t>
            </w:r>
          </w:p>
          <w:p w14:paraId="3D9F83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0D52BA2" w14:textId="77777777">
        <w:trPr>
          <w:trHeight w:val="211"/>
        </w:trPr>
        <w:tc>
          <w:tcPr>
            <w:tcW w:w="2947" w:type="dxa"/>
            <w:gridSpan w:val="2"/>
            <w:tcBorders>
              <w:top w:val="nil"/>
              <w:left w:val="single" w:sz="6" w:space="0" w:color="auto"/>
              <w:bottom w:val="nil"/>
              <w:right w:val="single" w:sz="6" w:space="0" w:color="auto"/>
            </w:tcBorders>
          </w:tcPr>
          <w:p w14:paraId="79A5561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6E3DD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331" w:type="dxa"/>
            <w:gridSpan w:val="4"/>
            <w:tcBorders>
              <w:top w:val="single" w:sz="6" w:space="0" w:color="auto"/>
              <w:left w:val="single" w:sz="6" w:space="0" w:color="auto"/>
              <w:bottom w:val="single" w:sz="6" w:space="0" w:color="auto"/>
              <w:right w:val="single" w:sz="6" w:space="0" w:color="auto"/>
            </w:tcBorders>
          </w:tcPr>
          <w:p w14:paraId="7EC31B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августа 1943 г.</w:t>
            </w:r>
          </w:p>
          <w:p w14:paraId="1DFD7B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31" w:type="dxa"/>
            <w:gridSpan w:val="4"/>
            <w:tcBorders>
              <w:top w:val="single" w:sz="6" w:space="0" w:color="auto"/>
              <w:left w:val="single" w:sz="6" w:space="0" w:color="auto"/>
              <w:bottom w:val="single" w:sz="6" w:space="0" w:color="auto"/>
              <w:right w:val="single" w:sz="6" w:space="0" w:color="auto"/>
            </w:tcBorders>
          </w:tcPr>
          <w:p w14:paraId="2076D6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г.</w:t>
            </w:r>
          </w:p>
          <w:p w14:paraId="0A065AC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7BBEBF7" w14:textId="77777777">
        <w:trPr>
          <w:trHeight w:val="221"/>
        </w:trPr>
        <w:tc>
          <w:tcPr>
            <w:tcW w:w="2947" w:type="dxa"/>
            <w:gridSpan w:val="2"/>
            <w:tcBorders>
              <w:top w:val="nil"/>
              <w:left w:val="single" w:sz="6" w:space="0" w:color="auto"/>
              <w:bottom w:val="single" w:sz="6" w:space="0" w:color="auto"/>
              <w:right w:val="single" w:sz="6" w:space="0" w:color="auto"/>
            </w:tcBorders>
          </w:tcPr>
          <w:p w14:paraId="7CF7A7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3D5C5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AFD79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w:t>
            </w:r>
          </w:p>
          <w:p w14:paraId="6931AF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22B55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w:t>
            </w:r>
          </w:p>
          <w:p w14:paraId="437F01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A65C9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w:t>
            </w:r>
          </w:p>
          <w:p w14:paraId="2DE387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CCD91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455D09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D3DA2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w:t>
            </w:r>
          </w:p>
          <w:p w14:paraId="609122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AE5AC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w:t>
            </w:r>
          </w:p>
          <w:p w14:paraId="181DF4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04C51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w:t>
            </w:r>
          </w:p>
          <w:p w14:paraId="1AE7E8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DCD26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525526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239B684" w14:textId="77777777">
        <w:trPr>
          <w:trHeight w:val="221"/>
        </w:trPr>
        <w:tc>
          <w:tcPr>
            <w:tcW w:w="1776" w:type="dxa"/>
            <w:tcBorders>
              <w:top w:val="single" w:sz="6" w:space="0" w:color="auto"/>
              <w:left w:val="single" w:sz="6" w:space="0" w:color="auto"/>
              <w:bottom w:val="nil"/>
              <w:right w:val="single" w:sz="6" w:space="0" w:color="auto"/>
            </w:tcBorders>
          </w:tcPr>
          <w:p w14:paraId="6F582B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Грузовые бензин.</w:t>
            </w:r>
          </w:p>
          <w:p w14:paraId="24807C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03858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p w14:paraId="3CB4FB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62093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8189</w:t>
            </w:r>
          </w:p>
          <w:p w14:paraId="2ACEF0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FF5D9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15746</w:t>
            </w:r>
          </w:p>
          <w:p w14:paraId="75B80D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0E91F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87730</w:t>
            </w:r>
          </w:p>
          <w:p w14:paraId="7A7748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D36AE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111665</w:t>
            </w:r>
          </w:p>
          <w:p w14:paraId="45C8BA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0A893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11224</w:t>
            </w:r>
          </w:p>
          <w:p w14:paraId="1E343F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56220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14580</w:t>
            </w:r>
          </w:p>
          <w:p w14:paraId="308289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AF145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88003</w:t>
            </w:r>
          </w:p>
          <w:p w14:paraId="34FF41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F780C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113807</w:t>
            </w:r>
          </w:p>
          <w:p w14:paraId="7B8902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7DE1A64" w14:textId="77777777">
        <w:trPr>
          <w:trHeight w:val="230"/>
        </w:trPr>
        <w:tc>
          <w:tcPr>
            <w:tcW w:w="1776" w:type="dxa"/>
            <w:tcBorders>
              <w:top w:val="nil"/>
              <w:left w:val="single" w:sz="6" w:space="0" w:color="auto"/>
              <w:bottom w:val="single" w:sz="6" w:space="0" w:color="auto"/>
              <w:right w:val="single" w:sz="6" w:space="0" w:color="auto"/>
            </w:tcBorders>
          </w:tcPr>
          <w:p w14:paraId="0B1BBB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1E1A8B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91189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00CB85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AD0B8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w:t>
            </w:r>
          </w:p>
          <w:p w14:paraId="544EDDE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0A4B4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14,1</w:t>
            </w:r>
          </w:p>
          <w:p w14:paraId="79B48F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E526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78,6</w:t>
            </w:r>
          </w:p>
          <w:p w14:paraId="57F6B0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DDE90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4E668C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F1983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9,9</w:t>
            </w:r>
          </w:p>
          <w:p w14:paraId="20DD99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06712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12,8</w:t>
            </w:r>
          </w:p>
          <w:p w14:paraId="3D429C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F6D73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77,3</w:t>
            </w:r>
          </w:p>
          <w:p w14:paraId="64E6DFE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8297B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3A77FA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98B1061" w14:textId="77777777">
        <w:trPr>
          <w:trHeight w:val="230"/>
        </w:trPr>
        <w:tc>
          <w:tcPr>
            <w:tcW w:w="1776" w:type="dxa"/>
            <w:tcBorders>
              <w:top w:val="single" w:sz="6" w:space="0" w:color="auto"/>
              <w:left w:val="single" w:sz="6" w:space="0" w:color="auto"/>
              <w:bottom w:val="nil"/>
              <w:right w:val="single" w:sz="6" w:space="0" w:color="auto"/>
            </w:tcBorders>
          </w:tcPr>
          <w:p w14:paraId="0EA728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Грузовые газоген.</w:t>
            </w:r>
          </w:p>
          <w:p w14:paraId="3DC882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02FFD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p w14:paraId="5C2BB6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40BA9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2988</w:t>
            </w:r>
          </w:p>
          <w:p w14:paraId="1E7ACB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7D983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10765</w:t>
            </w:r>
          </w:p>
          <w:p w14:paraId="1E87A3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496BA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19478</w:t>
            </w:r>
          </w:p>
          <w:p w14:paraId="35903C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970A3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33231</w:t>
            </w:r>
          </w:p>
          <w:p w14:paraId="714BA5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E13A4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1689</w:t>
            </w:r>
          </w:p>
          <w:p w14:paraId="5292C4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385D1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9256</w:t>
            </w:r>
          </w:p>
          <w:p w14:paraId="1FB0CE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CDE11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22674</w:t>
            </w:r>
          </w:p>
          <w:p w14:paraId="4E5080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161AE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33619</w:t>
            </w:r>
          </w:p>
          <w:p w14:paraId="1B6194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A600680" w14:textId="77777777">
        <w:trPr>
          <w:trHeight w:val="230"/>
        </w:trPr>
        <w:tc>
          <w:tcPr>
            <w:tcW w:w="1776" w:type="dxa"/>
            <w:tcBorders>
              <w:top w:val="nil"/>
              <w:left w:val="single" w:sz="6" w:space="0" w:color="auto"/>
              <w:bottom w:val="single" w:sz="6" w:space="0" w:color="auto"/>
              <w:right w:val="single" w:sz="6" w:space="0" w:color="auto"/>
            </w:tcBorders>
          </w:tcPr>
          <w:p w14:paraId="37000D5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80D090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72127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5DFB8C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656AC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w:t>
            </w:r>
          </w:p>
          <w:p w14:paraId="162B7F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DBCC3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32,4</w:t>
            </w:r>
          </w:p>
          <w:p w14:paraId="6D9610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10C2C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58,6</w:t>
            </w:r>
          </w:p>
          <w:p w14:paraId="3B2252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EC51E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5B2A08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68ABF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43E981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023C4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27,5</w:t>
            </w:r>
          </w:p>
          <w:p w14:paraId="274281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D7C99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700D65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D059A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6B03C3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1F5B785" w14:textId="77777777">
        <w:trPr>
          <w:trHeight w:val="230"/>
        </w:trPr>
        <w:tc>
          <w:tcPr>
            <w:tcW w:w="1776" w:type="dxa"/>
            <w:tcBorders>
              <w:top w:val="single" w:sz="6" w:space="0" w:color="auto"/>
              <w:left w:val="single" w:sz="6" w:space="0" w:color="auto"/>
              <w:bottom w:val="nil"/>
              <w:right w:val="single" w:sz="6" w:space="0" w:color="auto"/>
            </w:tcBorders>
          </w:tcPr>
          <w:p w14:paraId="20E618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Грузовые газобал.</w:t>
            </w:r>
          </w:p>
          <w:p w14:paraId="3641AD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096FD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p w14:paraId="0B97F2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F3329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p w14:paraId="48BD9C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D3BC8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149</w:t>
            </w:r>
          </w:p>
          <w:p w14:paraId="69994A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8C44A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273</w:t>
            </w:r>
          </w:p>
          <w:p w14:paraId="5D5806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51117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443</w:t>
            </w:r>
          </w:p>
          <w:p w14:paraId="4BAEA4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5D71A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p w14:paraId="2813F9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150E2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w:t>
            </w:r>
          </w:p>
          <w:p w14:paraId="3702EB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60470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431</w:t>
            </w:r>
          </w:p>
          <w:p w14:paraId="736CA5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A23D5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629</w:t>
            </w:r>
          </w:p>
          <w:p w14:paraId="3BC224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B6950D0" w14:textId="77777777">
        <w:trPr>
          <w:trHeight w:val="230"/>
        </w:trPr>
        <w:tc>
          <w:tcPr>
            <w:tcW w:w="1776" w:type="dxa"/>
            <w:tcBorders>
              <w:top w:val="nil"/>
              <w:left w:val="single" w:sz="6" w:space="0" w:color="auto"/>
              <w:bottom w:val="single" w:sz="6" w:space="0" w:color="auto"/>
              <w:right w:val="single" w:sz="6" w:space="0" w:color="auto"/>
            </w:tcBorders>
          </w:tcPr>
          <w:p w14:paraId="6A8E1D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921675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186A5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658866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CDCF3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036FDF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5DBCA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33,6</w:t>
            </w:r>
          </w:p>
          <w:p w14:paraId="0BF5FD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71784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61,4</w:t>
            </w:r>
          </w:p>
          <w:p w14:paraId="5C50B3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FF5B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456032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67E82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8,7</w:t>
            </w:r>
          </w:p>
          <w:p w14:paraId="0E61BA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64BE5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22,7</w:t>
            </w:r>
          </w:p>
          <w:p w14:paraId="38A468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64095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68,6</w:t>
            </w:r>
          </w:p>
          <w:p w14:paraId="46B619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2FAC8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79D7EB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990774B" w14:textId="77777777">
        <w:trPr>
          <w:trHeight w:val="230"/>
        </w:trPr>
        <w:tc>
          <w:tcPr>
            <w:tcW w:w="1776" w:type="dxa"/>
            <w:tcBorders>
              <w:top w:val="single" w:sz="6" w:space="0" w:color="auto"/>
              <w:left w:val="single" w:sz="6" w:space="0" w:color="auto"/>
              <w:bottom w:val="nil"/>
              <w:right w:val="single" w:sz="6" w:space="0" w:color="auto"/>
            </w:tcBorders>
          </w:tcPr>
          <w:p w14:paraId="424E35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Легковые</w:t>
            </w:r>
          </w:p>
          <w:p w14:paraId="4D776A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92BCA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p w14:paraId="1FF780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509A7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2325</w:t>
            </w:r>
          </w:p>
          <w:p w14:paraId="0E608E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9343F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7379</w:t>
            </w:r>
          </w:p>
          <w:p w14:paraId="546CB0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8BF0E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27290</w:t>
            </w:r>
          </w:p>
          <w:p w14:paraId="049D5F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461F7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36994</w:t>
            </w:r>
          </w:p>
          <w:p w14:paraId="5D5207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EFD40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2190</w:t>
            </w:r>
          </w:p>
          <w:p w14:paraId="4492FC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5FBD5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7012</w:t>
            </w:r>
          </w:p>
          <w:p w14:paraId="394004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7FCF3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27634</w:t>
            </w:r>
          </w:p>
          <w:p w14:paraId="6E04AC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4675E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36836</w:t>
            </w:r>
          </w:p>
          <w:p w14:paraId="4C9920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7668E2C" w14:textId="77777777">
        <w:trPr>
          <w:trHeight w:val="230"/>
        </w:trPr>
        <w:tc>
          <w:tcPr>
            <w:tcW w:w="1776" w:type="dxa"/>
            <w:tcBorders>
              <w:top w:val="nil"/>
              <w:left w:val="single" w:sz="6" w:space="0" w:color="auto"/>
              <w:bottom w:val="single" w:sz="6" w:space="0" w:color="auto"/>
              <w:right w:val="single" w:sz="6" w:space="0" w:color="auto"/>
            </w:tcBorders>
          </w:tcPr>
          <w:p w14:paraId="263D3A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5F0D0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286B4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14D765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65FA5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w:t>
            </w:r>
          </w:p>
          <w:p w14:paraId="3E55FF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4293B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19,9</w:t>
            </w:r>
          </w:p>
          <w:p w14:paraId="3CD3E5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81E80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73,8</w:t>
            </w:r>
          </w:p>
          <w:p w14:paraId="35367A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5FC47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3A5F6F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A4AB0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w:t>
            </w:r>
          </w:p>
          <w:p w14:paraId="1E68F5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BA6C2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19,0</w:t>
            </w:r>
          </w:p>
          <w:p w14:paraId="078DCB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5B5C7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75,1</w:t>
            </w:r>
          </w:p>
          <w:p w14:paraId="09B5C9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0822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391721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FE4C731" w14:textId="77777777">
        <w:trPr>
          <w:trHeight w:val="230"/>
        </w:trPr>
        <w:tc>
          <w:tcPr>
            <w:tcW w:w="1776" w:type="dxa"/>
            <w:tcBorders>
              <w:top w:val="single" w:sz="6" w:space="0" w:color="auto"/>
              <w:left w:val="single" w:sz="6" w:space="0" w:color="auto"/>
              <w:bottom w:val="nil"/>
              <w:right w:val="single" w:sz="6" w:space="0" w:color="auto"/>
            </w:tcBorders>
          </w:tcPr>
          <w:p w14:paraId="446915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Специальные</w:t>
            </w:r>
          </w:p>
          <w:p w14:paraId="0E5AC4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B2EAF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p w14:paraId="5903AE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D4E7F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5969</w:t>
            </w:r>
          </w:p>
          <w:p w14:paraId="477569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E6817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4626</w:t>
            </w:r>
          </w:p>
          <w:p w14:paraId="7A515D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8F04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7281</w:t>
            </w:r>
          </w:p>
          <w:p w14:paraId="6FA7DE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61DDE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17876</w:t>
            </w:r>
          </w:p>
          <w:p w14:paraId="12ED34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0FE63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5483</w:t>
            </w:r>
          </w:p>
          <w:p w14:paraId="2A4844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16C91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4277</w:t>
            </w:r>
          </w:p>
          <w:p w14:paraId="2D0B08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B3EC3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7020</w:t>
            </w:r>
          </w:p>
          <w:p w14:paraId="51ECC3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30CA4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16780</w:t>
            </w:r>
          </w:p>
          <w:p w14:paraId="171872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5C7BA56" w14:textId="77777777">
        <w:trPr>
          <w:trHeight w:val="230"/>
        </w:trPr>
        <w:tc>
          <w:tcPr>
            <w:tcW w:w="1776" w:type="dxa"/>
            <w:tcBorders>
              <w:top w:val="nil"/>
              <w:left w:val="single" w:sz="6" w:space="0" w:color="auto"/>
              <w:bottom w:val="single" w:sz="6" w:space="0" w:color="auto"/>
              <w:right w:val="single" w:sz="6" w:space="0" w:color="auto"/>
            </w:tcBorders>
          </w:tcPr>
          <w:p w14:paraId="26BA72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9C862B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77FA6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771F7F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E6879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33,4</w:t>
            </w:r>
          </w:p>
          <w:p w14:paraId="591760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0DA69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25,9</w:t>
            </w:r>
          </w:p>
          <w:p w14:paraId="06018C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47180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40,7</w:t>
            </w:r>
          </w:p>
          <w:p w14:paraId="115BB6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67D93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1A85DE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CB5CA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32,7</w:t>
            </w:r>
          </w:p>
          <w:p w14:paraId="053260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89ED8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25,5</w:t>
            </w:r>
          </w:p>
          <w:p w14:paraId="00E9A8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EC54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41,8</w:t>
            </w:r>
          </w:p>
          <w:p w14:paraId="6B838F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13804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4D223E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4112394" w14:textId="77777777">
        <w:trPr>
          <w:trHeight w:val="230"/>
        </w:trPr>
        <w:tc>
          <w:tcPr>
            <w:tcW w:w="1776" w:type="dxa"/>
            <w:tcBorders>
              <w:top w:val="single" w:sz="6" w:space="0" w:color="auto"/>
              <w:left w:val="single" w:sz="6" w:space="0" w:color="auto"/>
              <w:bottom w:val="nil"/>
              <w:right w:val="single" w:sz="6" w:space="0" w:color="auto"/>
            </w:tcBorders>
          </w:tcPr>
          <w:p w14:paraId="4A4457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Автобусы</w:t>
            </w:r>
          </w:p>
          <w:p w14:paraId="3AE81B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56C20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p w14:paraId="502E86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3EBE8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534</w:t>
            </w:r>
          </w:p>
          <w:p w14:paraId="2C48E8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40FE3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1213</w:t>
            </w:r>
          </w:p>
          <w:p w14:paraId="708C80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91F59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3350</w:t>
            </w:r>
          </w:p>
          <w:p w14:paraId="22AD11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477DE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5097</w:t>
            </w:r>
          </w:p>
          <w:p w14:paraId="658DC3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A81BE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419</w:t>
            </w:r>
          </w:p>
          <w:p w14:paraId="2E8414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C003D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1107</w:t>
            </w:r>
          </w:p>
          <w:p w14:paraId="50457C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4B5AD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3223</w:t>
            </w:r>
          </w:p>
          <w:p w14:paraId="18CB4E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A9209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4749</w:t>
            </w:r>
          </w:p>
          <w:p w14:paraId="5F7C06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45040E6" w14:textId="77777777">
        <w:trPr>
          <w:trHeight w:val="230"/>
        </w:trPr>
        <w:tc>
          <w:tcPr>
            <w:tcW w:w="1776" w:type="dxa"/>
            <w:tcBorders>
              <w:top w:val="nil"/>
              <w:left w:val="single" w:sz="6" w:space="0" w:color="auto"/>
              <w:bottom w:val="single" w:sz="6" w:space="0" w:color="auto"/>
              <w:right w:val="single" w:sz="6" w:space="0" w:color="auto"/>
            </w:tcBorders>
          </w:tcPr>
          <w:p w14:paraId="108EB38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D89A5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4906B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w:t>
            </w:r>
          </w:p>
          <w:p w14:paraId="2382AE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771C5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w:t>
            </w:r>
          </w:p>
          <w:p w14:paraId="12B790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7297E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23,8</w:t>
            </w:r>
          </w:p>
          <w:p w14:paraId="7DE7AC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BD191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65,7</w:t>
            </w:r>
          </w:p>
          <w:p w14:paraId="71D438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57804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184C97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D69D9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w:t>
            </w:r>
          </w:p>
          <w:p w14:paraId="70BCF3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BDF0D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23,3</w:t>
            </w:r>
          </w:p>
          <w:p w14:paraId="571F36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388E4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67,9</w:t>
            </w:r>
          </w:p>
          <w:p w14:paraId="15BB73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34FF3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3D35CEE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9B1559D" w14:textId="77777777">
        <w:trPr>
          <w:trHeight w:val="230"/>
        </w:trPr>
        <w:tc>
          <w:tcPr>
            <w:tcW w:w="1776" w:type="dxa"/>
            <w:tcBorders>
              <w:top w:val="single" w:sz="6" w:space="0" w:color="auto"/>
              <w:left w:val="single" w:sz="6" w:space="0" w:color="auto"/>
              <w:bottom w:val="nil"/>
              <w:right w:val="single" w:sz="6" w:space="0" w:color="auto"/>
            </w:tcBorders>
          </w:tcPr>
          <w:p w14:paraId="25D699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 автомобилей</w:t>
            </w:r>
          </w:p>
          <w:p w14:paraId="34CB13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DB3F2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p w14:paraId="2B65D0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BFB81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20027</w:t>
            </w:r>
          </w:p>
          <w:p w14:paraId="7A90F5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6235B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39878</w:t>
            </w:r>
          </w:p>
          <w:p w14:paraId="358AF9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F8712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145401</w:t>
            </w:r>
          </w:p>
          <w:p w14:paraId="6BE798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ED757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205306</w:t>
            </w:r>
          </w:p>
          <w:p w14:paraId="1652B1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D6C50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21060</w:t>
            </w:r>
          </w:p>
          <w:p w14:paraId="3F47CC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089AD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36375</w:t>
            </w:r>
          </w:p>
          <w:p w14:paraId="7CC70C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B41A9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148985</w:t>
            </w:r>
          </w:p>
          <w:p w14:paraId="2118F5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57DBB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206420</w:t>
            </w:r>
          </w:p>
          <w:p w14:paraId="53867E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E4E7511" w14:textId="77777777">
        <w:trPr>
          <w:trHeight w:val="230"/>
        </w:trPr>
        <w:tc>
          <w:tcPr>
            <w:tcW w:w="1776" w:type="dxa"/>
            <w:tcBorders>
              <w:top w:val="nil"/>
              <w:left w:val="single" w:sz="6" w:space="0" w:color="auto"/>
              <w:bottom w:val="single" w:sz="6" w:space="0" w:color="auto"/>
              <w:right w:val="single" w:sz="6" w:space="0" w:color="auto"/>
            </w:tcBorders>
          </w:tcPr>
          <w:p w14:paraId="532E4DF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270CB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C313E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7829F5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CC0A8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w:t>
            </w:r>
          </w:p>
          <w:p w14:paraId="061F85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24A50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w:t>
            </w:r>
          </w:p>
          <w:p w14:paraId="77EE55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D4A21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70,8</w:t>
            </w:r>
          </w:p>
          <w:p w14:paraId="6FF97E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18239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0BDF9C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C7BDE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w:t>
            </w:r>
          </w:p>
          <w:p w14:paraId="5716E5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463C5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17,6</w:t>
            </w:r>
          </w:p>
          <w:p w14:paraId="228A35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B312E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72,2</w:t>
            </w:r>
          </w:p>
          <w:p w14:paraId="18C1A3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7986E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0DC3DE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25E69C3" w14:textId="77777777">
        <w:trPr>
          <w:trHeight w:val="230"/>
        </w:trPr>
        <w:tc>
          <w:tcPr>
            <w:tcW w:w="1776" w:type="dxa"/>
            <w:tcBorders>
              <w:top w:val="single" w:sz="6" w:space="0" w:color="auto"/>
              <w:left w:val="single" w:sz="6" w:space="0" w:color="auto"/>
              <w:bottom w:val="nil"/>
              <w:right w:val="single" w:sz="6" w:space="0" w:color="auto"/>
            </w:tcBorders>
          </w:tcPr>
          <w:p w14:paraId="12EDC8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Мотоциклы</w:t>
            </w:r>
          </w:p>
          <w:p w14:paraId="4740CA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B969A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p w14:paraId="7BC3ED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66E52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1049</w:t>
            </w:r>
          </w:p>
          <w:p w14:paraId="7164B3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F42F9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2524</w:t>
            </w:r>
          </w:p>
          <w:p w14:paraId="07673B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E63E3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8362</w:t>
            </w:r>
          </w:p>
          <w:p w14:paraId="791841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2A455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11935</w:t>
            </w:r>
          </w:p>
          <w:p w14:paraId="6580D1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9F38B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880</w:t>
            </w:r>
          </w:p>
          <w:p w14:paraId="2F423E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B758E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2494</w:t>
            </w:r>
          </w:p>
          <w:p w14:paraId="07DEF9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025E5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9081</w:t>
            </w:r>
          </w:p>
          <w:p w14:paraId="18ED4C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29033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12455</w:t>
            </w:r>
          </w:p>
          <w:p w14:paraId="510F48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8EBA307" w14:textId="77777777">
        <w:trPr>
          <w:trHeight w:val="230"/>
        </w:trPr>
        <w:tc>
          <w:tcPr>
            <w:tcW w:w="1776" w:type="dxa"/>
            <w:tcBorders>
              <w:top w:val="nil"/>
              <w:left w:val="single" w:sz="6" w:space="0" w:color="auto"/>
              <w:bottom w:val="single" w:sz="6" w:space="0" w:color="auto"/>
              <w:right w:val="single" w:sz="6" w:space="0" w:color="auto"/>
            </w:tcBorders>
          </w:tcPr>
          <w:p w14:paraId="0B0C4E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224F8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F6AA5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095ADF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E35B7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w:t>
            </w:r>
          </w:p>
          <w:p w14:paraId="6DBCA0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86ED7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21,1</w:t>
            </w:r>
          </w:p>
          <w:p w14:paraId="4F4126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1793C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70,1</w:t>
            </w:r>
          </w:p>
          <w:p w14:paraId="731466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0A689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3FF3A7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17409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w:t>
            </w:r>
          </w:p>
          <w:p w14:paraId="5B8D73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C8750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4E2FA4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4C44C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72,9</w:t>
            </w:r>
          </w:p>
          <w:p w14:paraId="49B6E4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87539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14388F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C3AFF63" w14:textId="77777777">
        <w:trPr>
          <w:trHeight w:val="230"/>
        </w:trPr>
        <w:tc>
          <w:tcPr>
            <w:tcW w:w="1776" w:type="dxa"/>
            <w:tcBorders>
              <w:top w:val="single" w:sz="6" w:space="0" w:color="auto"/>
              <w:left w:val="single" w:sz="6" w:space="0" w:color="auto"/>
              <w:bottom w:val="nil"/>
              <w:right w:val="single" w:sz="6" w:space="0" w:color="auto"/>
            </w:tcBorders>
          </w:tcPr>
          <w:p w14:paraId="62DA27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Тягачи и трактора на резиновом ходу</w:t>
            </w:r>
          </w:p>
          <w:p w14:paraId="662CF8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64D39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p w14:paraId="3BB4FA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8EB23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w:t>
            </w:r>
          </w:p>
          <w:p w14:paraId="5FCCAC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9EF9B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w:t>
            </w:r>
          </w:p>
          <w:p w14:paraId="0839B1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86E03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1177</w:t>
            </w:r>
          </w:p>
          <w:p w14:paraId="1F8B7E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574A6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1373</w:t>
            </w:r>
          </w:p>
          <w:p w14:paraId="27326B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4592A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w:t>
            </w:r>
          </w:p>
          <w:p w14:paraId="7BC077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1AA8F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w:t>
            </w:r>
          </w:p>
          <w:p w14:paraId="275BEA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C4A30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1066</w:t>
            </w:r>
          </w:p>
          <w:p w14:paraId="153858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DAD88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1267</w:t>
            </w:r>
          </w:p>
          <w:p w14:paraId="75626E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24D8BA1" w14:textId="77777777">
        <w:trPr>
          <w:trHeight w:val="230"/>
        </w:trPr>
        <w:tc>
          <w:tcPr>
            <w:tcW w:w="1776" w:type="dxa"/>
            <w:tcBorders>
              <w:top w:val="nil"/>
              <w:left w:val="single" w:sz="6" w:space="0" w:color="auto"/>
              <w:bottom w:val="single" w:sz="6" w:space="0" w:color="auto"/>
              <w:right w:val="single" w:sz="6" w:space="0" w:color="auto"/>
            </w:tcBorders>
          </w:tcPr>
          <w:p w14:paraId="5E645E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B7E66D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B3C85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6BED68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DCCAA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w:t>
            </w:r>
          </w:p>
          <w:p w14:paraId="7FC79F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84175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w:t>
            </w:r>
          </w:p>
          <w:p w14:paraId="724DA0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71929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85,7</w:t>
            </w:r>
          </w:p>
          <w:p w14:paraId="0B4E26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034475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00A0C0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1F378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w:t>
            </w:r>
          </w:p>
          <w:p w14:paraId="64667E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B07DA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14,2</w:t>
            </w:r>
          </w:p>
          <w:p w14:paraId="0747DB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AC59A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84,1</w:t>
            </w:r>
          </w:p>
          <w:p w14:paraId="39C628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1FC44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45E1CB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633EA81" w14:textId="77777777">
        <w:trPr>
          <w:trHeight w:val="221"/>
        </w:trPr>
        <w:tc>
          <w:tcPr>
            <w:tcW w:w="1776" w:type="dxa"/>
            <w:tcBorders>
              <w:top w:val="single" w:sz="6" w:space="0" w:color="auto"/>
              <w:left w:val="single" w:sz="6" w:space="0" w:color="auto"/>
              <w:bottom w:val="nil"/>
              <w:right w:val="single" w:sz="6" w:space="0" w:color="auto"/>
            </w:tcBorders>
          </w:tcPr>
          <w:p w14:paraId="73F243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30043A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D5172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p>
          <w:p w14:paraId="2891BF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A7077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21120</w:t>
            </w:r>
          </w:p>
          <w:p w14:paraId="47A33D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C8CCF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42554</w:t>
            </w:r>
          </w:p>
          <w:p w14:paraId="20FE3F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4E60F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154940</w:t>
            </w:r>
          </w:p>
          <w:p w14:paraId="18FFD7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9F03A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218614</w:t>
            </w:r>
          </w:p>
          <w:p w14:paraId="7FF9E7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120DA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21961</w:t>
            </w:r>
          </w:p>
          <w:p w14:paraId="54779E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BF74A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39049</w:t>
            </w:r>
          </w:p>
          <w:p w14:paraId="2901C5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413FE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159132</w:t>
            </w:r>
          </w:p>
          <w:p w14:paraId="4E138A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EADF1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220142</w:t>
            </w:r>
          </w:p>
          <w:p w14:paraId="520A74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0228AA1" w14:textId="77777777">
        <w:trPr>
          <w:trHeight w:val="250"/>
        </w:trPr>
        <w:tc>
          <w:tcPr>
            <w:tcW w:w="1776" w:type="dxa"/>
            <w:tcBorders>
              <w:top w:val="nil"/>
              <w:left w:val="single" w:sz="6" w:space="0" w:color="auto"/>
              <w:bottom w:val="single" w:sz="6" w:space="0" w:color="auto"/>
              <w:right w:val="single" w:sz="6" w:space="0" w:color="auto"/>
            </w:tcBorders>
          </w:tcPr>
          <w:p w14:paraId="40B84B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92ACD5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A14FB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11FC20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0829E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w:t>
            </w:r>
          </w:p>
          <w:p w14:paraId="7E0977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C446D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19,5</w:t>
            </w:r>
          </w:p>
          <w:p w14:paraId="7821E7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7B66E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70,8</w:t>
            </w:r>
          </w:p>
          <w:p w14:paraId="3CAF4F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C8811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7B1AC8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D9D02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1B6F0C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E3AEA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17,7</w:t>
            </w:r>
          </w:p>
          <w:p w14:paraId="054189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E33D6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72,3</w:t>
            </w:r>
          </w:p>
          <w:p w14:paraId="65AFFC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B7274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60F2DD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82D20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Увеличение числа машин первой категории среди грузовых бензиновых автомобилей объясня</w:t>
      </w:r>
      <w:r w:rsidRPr="00070ADE">
        <w:rPr>
          <w:rFonts w:ascii="Times New Roman" w:hAnsi="Times New Roman"/>
          <w:color w:val="000000" w:themeColor="text1"/>
          <w:sz w:val="16"/>
          <w:szCs w:val="16"/>
        </w:rPr>
        <w:softHyphen/>
        <w:t>ется, как это отмечалось ранее, пополнением парка новыми импортными автомашинами.</w:t>
      </w:r>
    </w:p>
    <w:p w14:paraId="66458C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ухудшение категорийности газогенераторных машин повлияла неудовлетворительная обе</w:t>
      </w:r>
      <w:r w:rsidRPr="00070ADE">
        <w:rPr>
          <w:rFonts w:ascii="Times New Roman" w:hAnsi="Times New Roman"/>
          <w:color w:val="000000" w:themeColor="text1"/>
          <w:sz w:val="16"/>
          <w:szCs w:val="16"/>
        </w:rPr>
        <w:softHyphen/>
        <w:t>спеченность машин этого типа запасными частями, в результате чего автомобили своевременно не ремонтировались.</w:t>
      </w:r>
    </w:p>
    <w:p w14:paraId="153CF8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Техническое состояние автопарка</w:t>
      </w:r>
    </w:p>
    <w:p w14:paraId="5F1DF4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Из общего количества, находящихся в народном хозяйстве Союза ССР, на 1 января 1944 года, 206420 автомобилей, органами Госавтоинспекции осмотрено 195926 автомашин или 97,9% всего автопарка. Из общего количества осмотренных автомашин оказалось:</w:t>
      </w:r>
    </w:p>
    <w:p w14:paraId="1B3D57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 ходу (в эксплуатации) 120492 автомобиля или 61,5%;</w:t>
      </w:r>
    </w:p>
    <w:p w14:paraId="1B6381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не на ходу (простаивает по различным причинам) 75434 автомобилей или 38,5%. Техническое состояние ходовых автомобилей следующее:</w:t>
      </w:r>
    </w:p>
    <w:tbl>
      <w:tblPr>
        <w:tblW w:w="0" w:type="auto"/>
        <w:tblInd w:w="40" w:type="dxa"/>
        <w:tblLayout w:type="fixed"/>
        <w:tblCellMar>
          <w:left w:w="40" w:type="dxa"/>
          <w:right w:w="40" w:type="dxa"/>
        </w:tblCellMar>
        <w:tblLook w:val="0000" w:firstRow="0" w:lastRow="0" w:firstColumn="0" w:lastColumn="0" w:noHBand="0" w:noVBand="0"/>
      </w:tblPr>
      <w:tblGrid>
        <w:gridCol w:w="3254"/>
        <w:gridCol w:w="1699"/>
        <w:gridCol w:w="1805"/>
        <w:gridCol w:w="1824"/>
      </w:tblGrid>
      <w:tr w:rsidR="004D4663" w:rsidRPr="00070ADE" w14:paraId="10810FEA" w14:textId="77777777">
        <w:trPr>
          <w:trHeight w:val="269"/>
        </w:trPr>
        <w:tc>
          <w:tcPr>
            <w:tcW w:w="3254" w:type="dxa"/>
            <w:tcBorders>
              <w:top w:val="single" w:sz="6" w:space="0" w:color="auto"/>
              <w:left w:val="single" w:sz="6" w:space="0" w:color="auto"/>
              <w:bottom w:val="nil"/>
              <w:right w:val="single" w:sz="6" w:space="0" w:color="auto"/>
            </w:tcBorders>
          </w:tcPr>
          <w:p w14:paraId="536D15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Состояние автомобилей</w:t>
            </w:r>
          </w:p>
          <w:p w14:paraId="1ACF3F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nil"/>
              <w:right w:val="single" w:sz="6" w:space="0" w:color="auto"/>
            </w:tcBorders>
          </w:tcPr>
          <w:p w14:paraId="1BD6B9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автомобилей</w:t>
            </w:r>
          </w:p>
          <w:p w14:paraId="17A7C45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29" w:type="dxa"/>
            <w:gridSpan w:val="2"/>
            <w:tcBorders>
              <w:top w:val="single" w:sz="6" w:space="0" w:color="auto"/>
              <w:left w:val="single" w:sz="6" w:space="0" w:color="auto"/>
              <w:bottom w:val="single" w:sz="6" w:space="0" w:color="auto"/>
              <w:right w:val="single" w:sz="6" w:space="0" w:color="auto"/>
            </w:tcBorders>
          </w:tcPr>
          <w:p w14:paraId="1A231D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5034B1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18C56D6" w14:textId="77777777">
        <w:trPr>
          <w:trHeight w:val="269"/>
        </w:trPr>
        <w:tc>
          <w:tcPr>
            <w:tcW w:w="3254" w:type="dxa"/>
            <w:tcBorders>
              <w:top w:val="nil"/>
              <w:left w:val="single" w:sz="6" w:space="0" w:color="auto"/>
              <w:bottom w:val="single" w:sz="6" w:space="0" w:color="auto"/>
              <w:right w:val="single" w:sz="6" w:space="0" w:color="auto"/>
            </w:tcBorders>
          </w:tcPr>
          <w:p w14:paraId="424C3C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1C578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nil"/>
              <w:left w:val="single" w:sz="6" w:space="0" w:color="auto"/>
              <w:bottom w:val="single" w:sz="6" w:space="0" w:color="auto"/>
              <w:right w:val="single" w:sz="6" w:space="0" w:color="auto"/>
            </w:tcBorders>
          </w:tcPr>
          <w:p w14:paraId="0FAE07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2616F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0EFC51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ходовому парку</w:t>
            </w:r>
          </w:p>
          <w:p w14:paraId="00C169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16F77A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осмотренному парку</w:t>
            </w:r>
          </w:p>
          <w:p w14:paraId="2F2D22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E13D694" w14:textId="77777777">
        <w:trPr>
          <w:trHeight w:val="278"/>
        </w:trPr>
        <w:tc>
          <w:tcPr>
            <w:tcW w:w="3254" w:type="dxa"/>
            <w:tcBorders>
              <w:top w:val="single" w:sz="6" w:space="0" w:color="auto"/>
              <w:left w:val="single" w:sz="6" w:space="0" w:color="auto"/>
              <w:bottom w:val="single" w:sz="6" w:space="0" w:color="auto"/>
              <w:right w:val="single" w:sz="6" w:space="0" w:color="auto"/>
            </w:tcBorders>
          </w:tcPr>
          <w:p w14:paraId="2FEC3A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ходовых автомашин</w:t>
            </w:r>
          </w:p>
          <w:p w14:paraId="14895D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4E080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120492</w:t>
            </w:r>
          </w:p>
          <w:p w14:paraId="63A4FD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4BB03A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42CED7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144135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61,5</w:t>
            </w:r>
          </w:p>
          <w:p w14:paraId="24BA67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1C19FED" w14:textId="77777777">
        <w:trPr>
          <w:trHeight w:val="269"/>
        </w:trPr>
        <w:tc>
          <w:tcPr>
            <w:tcW w:w="3254" w:type="dxa"/>
            <w:tcBorders>
              <w:top w:val="single" w:sz="6" w:space="0" w:color="auto"/>
              <w:left w:val="single" w:sz="6" w:space="0" w:color="auto"/>
              <w:bottom w:val="single" w:sz="6" w:space="0" w:color="auto"/>
              <w:right w:val="single" w:sz="6" w:space="0" w:color="auto"/>
            </w:tcBorders>
          </w:tcPr>
          <w:p w14:paraId="7A1BA0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них:</w:t>
            </w:r>
          </w:p>
          <w:p w14:paraId="10FAFC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07AADE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17DC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4B6D05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803C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429C10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272B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EEEA8A7" w14:textId="77777777">
        <w:trPr>
          <w:trHeight w:val="278"/>
        </w:trPr>
        <w:tc>
          <w:tcPr>
            <w:tcW w:w="3254" w:type="dxa"/>
            <w:tcBorders>
              <w:top w:val="single" w:sz="6" w:space="0" w:color="auto"/>
              <w:left w:val="single" w:sz="6" w:space="0" w:color="auto"/>
              <w:bottom w:val="single" w:sz="6" w:space="0" w:color="auto"/>
              <w:right w:val="single" w:sz="6" w:space="0" w:color="auto"/>
            </w:tcBorders>
          </w:tcPr>
          <w:p w14:paraId="4C20F1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 исправных</w:t>
            </w:r>
          </w:p>
          <w:p w14:paraId="26EC3A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F7CD5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83402</w:t>
            </w:r>
          </w:p>
          <w:p w14:paraId="0329A0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6F106E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69,2</w:t>
            </w:r>
          </w:p>
          <w:p w14:paraId="647B91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739AF5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42,6</w:t>
            </w:r>
          </w:p>
          <w:p w14:paraId="1AD315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070ADE" w14:paraId="1E38385C" w14:textId="77777777">
        <w:trPr>
          <w:trHeight w:val="298"/>
        </w:trPr>
        <w:tc>
          <w:tcPr>
            <w:tcW w:w="3254" w:type="dxa"/>
            <w:tcBorders>
              <w:top w:val="single" w:sz="6" w:space="0" w:color="auto"/>
              <w:left w:val="single" w:sz="6" w:space="0" w:color="auto"/>
              <w:bottom w:val="single" w:sz="6" w:space="0" w:color="auto"/>
              <w:right w:val="single" w:sz="6" w:space="0" w:color="auto"/>
            </w:tcBorders>
          </w:tcPr>
          <w:p w14:paraId="14C8CD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Требующих текущего ремонта</w:t>
            </w:r>
          </w:p>
          <w:p w14:paraId="768A63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60769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19862</w:t>
            </w:r>
          </w:p>
          <w:p w14:paraId="55797D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30DA18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16,5</w:t>
            </w:r>
          </w:p>
          <w:p w14:paraId="39DB5F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2FF565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w:t>
            </w:r>
          </w:p>
          <w:p w14:paraId="744F38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DD6E69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3235"/>
        <w:gridCol w:w="1699"/>
        <w:gridCol w:w="1805"/>
        <w:gridCol w:w="1824"/>
      </w:tblGrid>
      <w:tr w:rsidR="004D4663" w:rsidRPr="00070ADE" w14:paraId="34828DF0" w14:textId="77777777">
        <w:trPr>
          <w:trHeight w:val="269"/>
        </w:trPr>
        <w:tc>
          <w:tcPr>
            <w:tcW w:w="3235" w:type="dxa"/>
            <w:tcBorders>
              <w:top w:val="single" w:sz="6" w:space="0" w:color="auto"/>
              <w:left w:val="single" w:sz="6" w:space="0" w:color="auto"/>
              <w:bottom w:val="nil"/>
              <w:right w:val="single" w:sz="6" w:space="0" w:color="auto"/>
            </w:tcBorders>
          </w:tcPr>
          <w:p w14:paraId="6858AE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Состояние автомобилей</w:t>
            </w:r>
          </w:p>
          <w:p w14:paraId="2D3321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nil"/>
              <w:right w:val="single" w:sz="6" w:space="0" w:color="auto"/>
            </w:tcBorders>
          </w:tcPr>
          <w:p w14:paraId="1DA4C3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автомобилей</w:t>
            </w:r>
          </w:p>
          <w:p w14:paraId="54F407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29" w:type="dxa"/>
            <w:gridSpan w:val="2"/>
            <w:tcBorders>
              <w:top w:val="single" w:sz="6" w:space="0" w:color="auto"/>
              <w:left w:val="single" w:sz="6" w:space="0" w:color="auto"/>
              <w:bottom w:val="single" w:sz="6" w:space="0" w:color="auto"/>
              <w:right w:val="single" w:sz="6" w:space="0" w:color="auto"/>
            </w:tcBorders>
          </w:tcPr>
          <w:p w14:paraId="30CA44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5AA985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8938925" w14:textId="77777777">
        <w:trPr>
          <w:trHeight w:val="259"/>
        </w:trPr>
        <w:tc>
          <w:tcPr>
            <w:tcW w:w="3235" w:type="dxa"/>
            <w:tcBorders>
              <w:top w:val="nil"/>
              <w:left w:val="single" w:sz="6" w:space="0" w:color="auto"/>
              <w:bottom w:val="single" w:sz="6" w:space="0" w:color="auto"/>
              <w:right w:val="single" w:sz="6" w:space="0" w:color="auto"/>
            </w:tcBorders>
          </w:tcPr>
          <w:p w14:paraId="0F8C11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B8EB3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nil"/>
              <w:left w:val="single" w:sz="6" w:space="0" w:color="auto"/>
              <w:bottom w:val="single" w:sz="6" w:space="0" w:color="auto"/>
              <w:right w:val="single" w:sz="6" w:space="0" w:color="auto"/>
            </w:tcBorders>
          </w:tcPr>
          <w:p w14:paraId="7C76C8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3EBDA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3A271F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ходовому парку</w:t>
            </w:r>
          </w:p>
          <w:p w14:paraId="09E4C9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291CF6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осмотренному парку</w:t>
            </w:r>
          </w:p>
          <w:p w14:paraId="572319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FEF4BF0" w14:textId="77777777">
        <w:trPr>
          <w:trHeight w:val="278"/>
        </w:trPr>
        <w:tc>
          <w:tcPr>
            <w:tcW w:w="3235" w:type="dxa"/>
            <w:tcBorders>
              <w:top w:val="single" w:sz="6" w:space="0" w:color="auto"/>
              <w:left w:val="single" w:sz="6" w:space="0" w:color="auto"/>
              <w:bottom w:val="single" w:sz="6" w:space="0" w:color="auto"/>
              <w:right w:val="single" w:sz="6" w:space="0" w:color="auto"/>
            </w:tcBorders>
          </w:tcPr>
          <w:p w14:paraId="4F0137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Требующих среднего ремонта</w:t>
            </w:r>
          </w:p>
          <w:p w14:paraId="7CC546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7333B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13271</w:t>
            </w:r>
          </w:p>
          <w:p w14:paraId="43821D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71B449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w:t>
            </w:r>
          </w:p>
          <w:p w14:paraId="2C81AF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0648A8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w:t>
            </w:r>
          </w:p>
          <w:p w14:paraId="2C73C2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07EC68D" w14:textId="77777777">
        <w:trPr>
          <w:trHeight w:val="298"/>
        </w:trPr>
        <w:tc>
          <w:tcPr>
            <w:tcW w:w="3235" w:type="dxa"/>
            <w:tcBorders>
              <w:top w:val="single" w:sz="6" w:space="0" w:color="auto"/>
              <w:left w:val="single" w:sz="6" w:space="0" w:color="auto"/>
              <w:bottom w:val="single" w:sz="6" w:space="0" w:color="auto"/>
              <w:right w:val="single" w:sz="6" w:space="0" w:color="auto"/>
            </w:tcBorders>
          </w:tcPr>
          <w:p w14:paraId="4A4135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Требующих капитального ремонта</w:t>
            </w:r>
          </w:p>
          <w:p w14:paraId="42B68D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0581C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3957</w:t>
            </w:r>
          </w:p>
          <w:p w14:paraId="7F3B6D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25E500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w:t>
            </w:r>
          </w:p>
          <w:p w14:paraId="5D50F4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05B1A6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p w14:paraId="0B41A5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A93F9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приведенного видно, что исправных автомашин имеется лишь 83402 единицы или 69,2% от общего числа ходовых машин; остальные 37090 автомашин (30,8%) эксплуатировались в неисправ</w:t>
      </w:r>
      <w:r w:rsidRPr="00070ADE">
        <w:rPr>
          <w:rFonts w:ascii="Times New Roman" w:hAnsi="Times New Roman"/>
          <w:color w:val="000000" w:themeColor="text1"/>
          <w:sz w:val="16"/>
          <w:szCs w:val="16"/>
        </w:rPr>
        <w:softHyphen/>
        <w:t>ном состоянии.</w:t>
      </w:r>
    </w:p>
    <w:p w14:paraId="29C800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Техническое состояние простаивающих (неходовых) автомобилей приводится ниже:</w:t>
      </w:r>
    </w:p>
    <w:tbl>
      <w:tblPr>
        <w:tblW w:w="0" w:type="auto"/>
        <w:tblInd w:w="40" w:type="dxa"/>
        <w:tblLayout w:type="fixed"/>
        <w:tblCellMar>
          <w:left w:w="40" w:type="dxa"/>
          <w:right w:w="40" w:type="dxa"/>
        </w:tblCellMar>
        <w:tblLook w:val="0000" w:firstRow="0" w:lastRow="0" w:firstColumn="0" w:lastColumn="0" w:noHBand="0" w:noVBand="0"/>
      </w:tblPr>
      <w:tblGrid>
        <w:gridCol w:w="4330"/>
        <w:gridCol w:w="1498"/>
        <w:gridCol w:w="1622"/>
        <w:gridCol w:w="1651"/>
      </w:tblGrid>
      <w:tr w:rsidR="004D4663" w:rsidRPr="00070ADE" w14:paraId="479E7484" w14:textId="77777777">
        <w:trPr>
          <w:trHeight w:val="192"/>
        </w:trPr>
        <w:tc>
          <w:tcPr>
            <w:tcW w:w="4330" w:type="dxa"/>
            <w:tcBorders>
              <w:top w:val="single" w:sz="6" w:space="0" w:color="auto"/>
              <w:left w:val="single" w:sz="6" w:space="0" w:color="auto"/>
              <w:bottom w:val="nil"/>
              <w:right w:val="single" w:sz="6" w:space="0" w:color="auto"/>
            </w:tcBorders>
          </w:tcPr>
          <w:p w14:paraId="78D6BE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Состояние автомобилей</w:t>
            </w:r>
          </w:p>
          <w:p w14:paraId="6166BE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nil"/>
              <w:right w:val="single" w:sz="6" w:space="0" w:color="auto"/>
            </w:tcBorders>
          </w:tcPr>
          <w:p w14:paraId="3D9B5E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автомобилей</w:t>
            </w:r>
          </w:p>
          <w:p w14:paraId="0C721E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73" w:type="dxa"/>
            <w:gridSpan w:val="2"/>
            <w:tcBorders>
              <w:top w:val="single" w:sz="6" w:space="0" w:color="auto"/>
              <w:left w:val="single" w:sz="6" w:space="0" w:color="auto"/>
              <w:bottom w:val="single" w:sz="6" w:space="0" w:color="auto"/>
              <w:right w:val="single" w:sz="6" w:space="0" w:color="auto"/>
            </w:tcBorders>
          </w:tcPr>
          <w:p w14:paraId="10F718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p>
          <w:p w14:paraId="7279D9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123263C" w14:textId="77777777">
        <w:trPr>
          <w:trHeight w:val="182"/>
        </w:trPr>
        <w:tc>
          <w:tcPr>
            <w:tcW w:w="4330" w:type="dxa"/>
            <w:tcBorders>
              <w:top w:val="nil"/>
              <w:left w:val="single" w:sz="6" w:space="0" w:color="auto"/>
              <w:bottom w:val="single" w:sz="6" w:space="0" w:color="auto"/>
              <w:right w:val="single" w:sz="6" w:space="0" w:color="auto"/>
            </w:tcBorders>
          </w:tcPr>
          <w:p w14:paraId="24E8B80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EE7E63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nil"/>
              <w:left w:val="single" w:sz="6" w:space="0" w:color="auto"/>
              <w:bottom w:val="single" w:sz="6" w:space="0" w:color="auto"/>
              <w:right w:val="single" w:sz="6" w:space="0" w:color="auto"/>
            </w:tcBorders>
          </w:tcPr>
          <w:p w14:paraId="71779C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4B70B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D37AA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неходовому парку</w:t>
            </w:r>
          </w:p>
          <w:p w14:paraId="6B960F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6D02C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осмотренному парку</w:t>
            </w:r>
          </w:p>
          <w:p w14:paraId="2B4DC2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EBA3E7B"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1C7EC3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неходовых автомобилей</w:t>
            </w:r>
          </w:p>
          <w:p w14:paraId="460EDD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3437F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75434</w:t>
            </w:r>
          </w:p>
          <w:p w14:paraId="0F8DEF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328BD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5D05B7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F4FA1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38,5</w:t>
            </w:r>
          </w:p>
          <w:p w14:paraId="6D0187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0E5A98D" w14:textId="77777777">
        <w:trPr>
          <w:trHeight w:val="202"/>
        </w:trPr>
        <w:tc>
          <w:tcPr>
            <w:tcW w:w="4330" w:type="dxa"/>
            <w:tcBorders>
              <w:top w:val="single" w:sz="6" w:space="0" w:color="auto"/>
              <w:left w:val="single" w:sz="6" w:space="0" w:color="auto"/>
              <w:bottom w:val="single" w:sz="6" w:space="0" w:color="auto"/>
              <w:right w:val="single" w:sz="6" w:space="0" w:color="auto"/>
            </w:tcBorders>
          </w:tcPr>
          <w:p w14:paraId="79FBE4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них:</w:t>
            </w:r>
          </w:p>
          <w:p w14:paraId="4F6A97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736A2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0678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144D8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30FB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7345A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7105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A5FF0BA"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15A657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 исправных, простаивающих без резины</w:t>
            </w:r>
          </w:p>
          <w:p w14:paraId="2983E5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41049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1825</w:t>
            </w:r>
          </w:p>
          <w:p w14:paraId="3FDF25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EB2A1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p w14:paraId="55DDE4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C84D8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0,9</w:t>
            </w:r>
          </w:p>
          <w:p w14:paraId="4F7EB1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E4EBE66"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5DA2E0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текущем ремонте</w:t>
            </w:r>
          </w:p>
          <w:p w14:paraId="4C7FA2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79274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5676</w:t>
            </w:r>
          </w:p>
          <w:p w14:paraId="289649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896A2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35D301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AF5D0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w:t>
            </w:r>
          </w:p>
          <w:p w14:paraId="434CA4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94B525C" w14:textId="77777777">
        <w:trPr>
          <w:trHeight w:val="202"/>
        </w:trPr>
        <w:tc>
          <w:tcPr>
            <w:tcW w:w="4330" w:type="dxa"/>
            <w:tcBorders>
              <w:top w:val="single" w:sz="6" w:space="0" w:color="auto"/>
              <w:left w:val="single" w:sz="6" w:space="0" w:color="auto"/>
              <w:bottom w:val="single" w:sz="6" w:space="0" w:color="auto"/>
              <w:right w:val="single" w:sz="6" w:space="0" w:color="auto"/>
            </w:tcBorders>
          </w:tcPr>
          <w:p w14:paraId="5DEB46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среднем ремонте</w:t>
            </w:r>
          </w:p>
          <w:p w14:paraId="25F658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69C48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11165</w:t>
            </w:r>
          </w:p>
          <w:p w14:paraId="649E0F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ECF74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14,8</w:t>
            </w:r>
          </w:p>
          <w:p w14:paraId="17BE93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51E7D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w:t>
            </w:r>
          </w:p>
          <w:p w14:paraId="7DB5FA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3AEE4EF"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69A36E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капитальном ремонте</w:t>
            </w:r>
          </w:p>
          <w:p w14:paraId="3DCBB3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AA697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11109</w:t>
            </w:r>
          </w:p>
          <w:p w14:paraId="742018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E623E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14,9</w:t>
            </w:r>
          </w:p>
          <w:p w14:paraId="6A06F8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288385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w:t>
            </w:r>
          </w:p>
          <w:p w14:paraId="58B1AF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7A1EF68"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57917C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ожидании текущего ремонта</w:t>
            </w:r>
          </w:p>
          <w:p w14:paraId="035ED5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82A19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4898</w:t>
            </w:r>
          </w:p>
          <w:p w14:paraId="32261E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B79E0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w:t>
            </w:r>
          </w:p>
          <w:p w14:paraId="0DA339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49D602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321FC3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1A1F9CF" w14:textId="77777777">
        <w:trPr>
          <w:trHeight w:val="202"/>
        </w:trPr>
        <w:tc>
          <w:tcPr>
            <w:tcW w:w="4330" w:type="dxa"/>
            <w:tcBorders>
              <w:top w:val="single" w:sz="6" w:space="0" w:color="auto"/>
              <w:left w:val="single" w:sz="6" w:space="0" w:color="auto"/>
              <w:bottom w:val="single" w:sz="6" w:space="0" w:color="auto"/>
              <w:right w:val="single" w:sz="6" w:space="0" w:color="auto"/>
            </w:tcBorders>
          </w:tcPr>
          <w:p w14:paraId="6A6A27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ожидании среднего ремонта</w:t>
            </w:r>
          </w:p>
          <w:p w14:paraId="05772E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83B18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10859</w:t>
            </w:r>
          </w:p>
          <w:p w14:paraId="1E2407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73148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w:t>
            </w:r>
          </w:p>
          <w:p w14:paraId="68B987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08341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p w14:paraId="367C82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DDEC2C3" w14:textId="77777777">
        <w:trPr>
          <w:trHeight w:val="192"/>
        </w:trPr>
        <w:tc>
          <w:tcPr>
            <w:tcW w:w="4330" w:type="dxa"/>
            <w:tcBorders>
              <w:top w:val="single" w:sz="6" w:space="0" w:color="auto"/>
              <w:left w:val="single" w:sz="6" w:space="0" w:color="auto"/>
              <w:bottom w:val="single" w:sz="6" w:space="0" w:color="auto"/>
              <w:right w:val="single" w:sz="6" w:space="0" w:color="auto"/>
            </w:tcBorders>
          </w:tcPr>
          <w:p w14:paraId="1DF953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ожидании капитального ремонта</w:t>
            </w:r>
          </w:p>
          <w:p w14:paraId="010E55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DFF43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26952</w:t>
            </w:r>
          </w:p>
          <w:p w14:paraId="64C06E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56E9E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35,7</w:t>
            </w:r>
          </w:p>
          <w:p w14:paraId="3FD24A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18D4A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13,8</w:t>
            </w:r>
          </w:p>
          <w:p w14:paraId="2479C0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40ECD5D" w14:textId="77777777">
        <w:trPr>
          <w:trHeight w:val="221"/>
        </w:trPr>
        <w:tc>
          <w:tcPr>
            <w:tcW w:w="4330" w:type="dxa"/>
            <w:tcBorders>
              <w:top w:val="single" w:sz="6" w:space="0" w:color="auto"/>
              <w:left w:val="single" w:sz="6" w:space="0" w:color="auto"/>
              <w:bottom w:val="single" w:sz="6" w:space="0" w:color="auto"/>
              <w:right w:val="single" w:sz="6" w:space="0" w:color="auto"/>
            </w:tcBorders>
          </w:tcPr>
          <w:p w14:paraId="15E2B0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Нерентабельных к восстановлению</w:t>
            </w:r>
          </w:p>
          <w:p w14:paraId="34AC72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6A84F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2950</w:t>
            </w:r>
          </w:p>
          <w:p w14:paraId="11FCEA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EB0ED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w:t>
            </w:r>
          </w:p>
          <w:p w14:paraId="548605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49EF1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p w14:paraId="50A48F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6E944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75434 простаивающих автомобилей 70859 машин находились в ремонте или в ожидании ремонта.</w:t>
      </w:r>
    </w:p>
    <w:p w14:paraId="4E0401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сравнении технического состояния автопарка на 1 января 1944 года с результатами пред</w:t>
      </w:r>
      <w:r w:rsidRPr="00070ADE">
        <w:rPr>
          <w:rFonts w:ascii="Times New Roman" w:hAnsi="Times New Roman"/>
          <w:color w:val="000000" w:themeColor="text1"/>
          <w:sz w:val="16"/>
          <w:szCs w:val="16"/>
        </w:rPr>
        <w:softHyphen/>
        <w:t>ыдущих технических осмотров видно некоторое улучшение его, так, например:</w:t>
      </w:r>
    </w:p>
    <w:tbl>
      <w:tblPr>
        <w:tblW w:w="0" w:type="auto"/>
        <w:tblInd w:w="40" w:type="dxa"/>
        <w:tblLayout w:type="fixed"/>
        <w:tblCellMar>
          <w:left w:w="40" w:type="dxa"/>
          <w:right w:w="40" w:type="dxa"/>
        </w:tblCellMar>
        <w:tblLook w:val="0000" w:firstRow="0" w:lastRow="0" w:firstColumn="0" w:lastColumn="0" w:noHBand="0" w:noVBand="0"/>
      </w:tblPr>
      <w:tblGrid>
        <w:gridCol w:w="3312"/>
        <w:gridCol w:w="1037"/>
        <w:gridCol w:w="1046"/>
        <w:gridCol w:w="1046"/>
        <w:gridCol w:w="1046"/>
        <w:gridCol w:w="1037"/>
        <w:gridCol w:w="1066"/>
      </w:tblGrid>
      <w:tr w:rsidR="004D4663" w:rsidRPr="00070ADE" w14:paraId="7391ECA5" w14:textId="77777777">
        <w:trPr>
          <w:trHeight w:val="192"/>
        </w:trPr>
        <w:tc>
          <w:tcPr>
            <w:tcW w:w="3312" w:type="dxa"/>
            <w:tcBorders>
              <w:top w:val="single" w:sz="6" w:space="0" w:color="auto"/>
              <w:left w:val="single" w:sz="6" w:space="0" w:color="auto"/>
              <w:bottom w:val="nil"/>
              <w:right w:val="single" w:sz="6" w:space="0" w:color="auto"/>
            </w:tcBorders>
          </w:tcPr>
          <w:p w14:paraId="0ACA65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Состояние автомобилей</w:t>
            </w:r>
          </w:p>
          <w:p w14:paraId="1199EE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83" w:type="dxa"/>
            <w:gridSpan w:val="2"/>
            <w:tcBorders>
              <w:top w:val="single" w:sz="6" w:space="0" w:color="auto"/>
              <w:left w:val="single" w:sz="6" w:space="0" w:color="auto"/>
              <w:bottom w:val="single" w:sz="6" w:space="0" w:color="auto"/>
              <w:right w:val="single" w:sz="6" w:space="0" w:color="auto"/>
            </w:tcBorders>
          </w:tcPr>
          <w:p w14:paraId="596B50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1.01.1943 г.</w:t>
            </w:r>
          </w:p>
          <w:p w14:paraId="04F7FA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2" w:type="dxa"/>
            <w:gridSpan w:val="2"/>
            <w:tcBorders>
              <w:top w:val="single" w:sz="6" w:space="0" w:color="auto"/>
              <w:left w:val="single" w:sz="6" w:space="0" w:color="auto"/>
              <w:bottom w:val="single" w:sz="6" w:space="0" w:color="auto"/>
              <w:right w:val="single" w:sz="6" w:space="0" w:color="auto"/>
            </w:tcBorders>
          </w:tcPr>
          <w:p w14:paraId="384B0E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1.08.1943 г.</w:t>
            </w:r>
          </w:p>
          <w:p w14:paraId="327848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3" w:type="dxa"/>
            <w:gridSpan w:val="2"/>
            <w:tcBorders>
              <w:top w:val="single" w:sz="6" w:space="0" w:color="auto"/>
              <w:left w:val="single" w:sz="6" w:space="0" w:color="auto"/>
              <w:bottom w:val="single" w:sz="6" w:space="0" w:color="auto"/>
              <w:right w:val="single" w:sz="6" w:space="0" w:color="auto"/>
            </w:tcBorders>
          </w:tcPr>
          <w:p w14:paraId="4B7798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1.01.1944 г.</w:t>
            </w:r>
          </w:p>
          <w:p w14:paraId="4634D3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AFC3329" w14:textId="77777777">
        <w:trPr>
          <w:trHeight w:val="336"/>
        </w:trPr>
        <w:tc>
          <w:tcPr>
            <w:tcW w:w="3312" w:type="dxa"/>
            <w:tcBorders>
              <w:top w:val="nil"/>
              <w:left w:val="single" w:sz="6" w:space="0" w:color="auto"/>
              <w:bottom w:val="single" w:sz="6" w:space="0" w:color="auto"/>
              <w:right w:val="single" w:sz="6" w:space="0" w:color="auto"/>
            </w:tcBorders>
          </w:tcPr>
          <w:p w14:paraId="40305B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A4608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BBD04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автомобилей</w:t>
            </w:r>
          </w:p>
          <w:p w14:paraId="6D6EEF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3E0AA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 к осмо</w:t>
            </w:r>
            <w:r w:rsidRPr="00070ADE">
              <w:rPr>
                <w:rFonts w:ascii="Times New Roman" w:hAnsi="Times New Roman"/>
                <w:color w:val="000000" w:themeColor="text1"/>
                <w:sz w:val="16"/>
                <w:szCs w:val="16"/>
              </w:rPr>
              <w:softHyphen/>
              <w:t>тренному парку</w:t>
            </w:r>
          </w:p>
          <w:p w14:paraId="6CFAF9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34831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автомобилей</w:t>
            </w:r>
          </w:p>
          <w:p w14:paraId="33AA0B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D911B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 к осмо</w:t>
            </w:r>
            <w:r w:rsidRPr="00070ADE">
              <w:rPr>
                <w:rFonts w:ascii="Times New Roman" w:hAnsi="Times New Roman"/>
                <w:color w:val="000000" w:themeColor="text1"/>
                <w:sz w:val="16"/>
                <w:szCs w:val="16"/>
              </w:rPr>
              <w:softHyphen/>
              <w:t>тренному парку</w:t>
            </w:r>
          </w:p>
          <w:p w14:paraId="62E8BA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5372B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автомобилей</w:t>
            </w:r>
          </w:p>
          <w:p w14:paraId="007DEA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9AA55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 к осмо</w:t>
            </w:r>
            <w:r w:rsidRPr="00070ADE">
              <w:rPr>
                <w:rFonts w:ascii="Times New Roman" w:hAnsi="Times New Roman"/>
                <w:color w:val="000000" w:themeColor="text1"/>
                <w:sz w:val="16"/>
                <w:szCs w:val="16"/>
              </w:rPr>
              <w:softHyphen/>
              <w:t>тренному парку</w:t>
            </w:r>
          </w:p>
          <w:p w14:paraId="169CDD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26B72B2" w14:textId="77777777">
        <w:trPr>
          <w:trHeight w:val="202"/>
        </w:trPr>
        <w:tc>
          <w:tcPr>
            <w:tcW w:w="3312" w:type="dxa"/>
            <w:tcBorders>
              <w:top w:val="single" w:sz="6" w:space="0" w:color="auto"/>
              <w:left w:val="single" w:sz="6" w:space="0" w:color="auto"/>
              <w:bottom w:val="single" w:sz="6" w:space="0" w:color="auto"/>
              <w:right w:val="single" w:sz="6" w:space="0" w:color="auto"/>
            </w:tcBorders>
          </w:tcPr>
          <w:p w14:paraId="58436A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 исправных на ходу</w:t>
            </w:r>
          </w:p>
          <w:p w14:paraId="2D6C1D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7A6AE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65323</w:t>
            </w:r>
          </w:p>
          <w:p w14:paraId="4081DF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176CA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31,8</w:t>
            </w:r>
          </w:p>
          <w:p w14:paraId="554186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DCFE0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74300</w:t>
            </w:r>
          </w:p>
          <w:p w14:paraId="3AE304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22809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38,0</w:t>
            </w:r>
          </w:p>
          <w:p w14:paraId="450E1B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94B79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83402</w:t>
            </w:r>
          </w:p>
          <w:p w14:paraId="6F8AB5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7587E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42,6</w:t>
            </w:r>
          </w:p>
          <w:p w14:paraId="58EC0A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B32882E" w14:textId="77777777">
        <w:trPr>
          <w:trHeight w:val="394"/>
        </w:trPr>
        <w:tc>
          <w:tcPr>
            <w:tcW w:w="3312" w:type="dxa"/>
            <w:tcBorders>
              <w:top w:val="single" w:sz="6" w:space="0" w:color="auto"/>
              <w:left w:val="single" w:sz="6" w:space="0" w:color="auto"/>
              <w:bottom w:val="single" w:sz="6" w:space="0" w:color="auto"/>
              <w:right w:val="single" w:sz="6" w:space="0" w:color="auto"/>
            </w:tcBorders>
          </w:tcPr>
          <w:p w14:paraId="1F1BFF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 исправных простаивающих без резины</w:t>
            </w:r>
          </w:p>
          <w:p w14:paraId="102AFC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C250C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7098</w:t>
            </w:r>
          </w:p>
          <w:p w14:paraId="146E68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ABDCF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w:t>
            </w:r>
          </w:p>
          <w:p w14:paraId="0ED7FA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EC136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2778</w:t>
            </w:r>
          </w:p>
          <w:p w14:paraId="2565E9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1BFDD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w:t>
            </w:r>
          </w:p>
          <w:p w14:paraId="48A699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A5B6A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1825</w:t>
            </w:r>
          </w:p>
          <w:p w14:paraId="60101C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51275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0,9</w:t>
            </w:r>
          </w:p>
          <w:p w14:paraId="102F8C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8B51B2D" w14:textId="77777777">
        <w:trPr>
          <w:trHeight w:val="192"/>
        </w:trPr>
        <w:tc>
          <w:tcPr>
            <w:tcW w:w="3312" w:type="dxa"/>
            <w:tcBorders>
              <w:top w:val="single" w:sz="6" w:space="0" w:color="auto"/>
              <w:left w:val="single" w:sz="6" w:space="0" w:color="auto"/>
              <w:bottom w:val="single" w:sz="6" w:space="0" w:color="auto"/>
              <w:right w:val="single" w:sz="6" w:space="0" w:color="auto"/>
            </w:tcBorders>
          </w:tcPr>
          <w:p w14:paraId="2C9F0D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Ходовых машин, требующих ремонта</w:t>
            </w:r>
          </w:p>
          <w:p w14:paraId="6CC56C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CEE47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39674</w:t>
            </w:r>
          </w:p>
          <w:p w14:paraId="0C439F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94A59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w:t>
            </w:r>
          </w:p>
          <w:p w14:paraId="54509F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3F4E1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39439</w:t>
            </w:r>
          </w:p>
          <w:p w14:paraId="547F57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453E2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20,2</w:t>
            </w:r>
          </w:p>
          <w:p w14:paraId="111650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02C28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37090</w:t>
            </w:r>
          </w:p>
          <w:p w14:paraId="59209F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396D5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18,9</w:t>
            </w:r>
          </w:p>
          <w:p w14:paraId="5C969A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7717456" w14:textId="77777777">
        <w:trPr>
          <w:trHeight w:val="202"/>
        </w:trPr>
        <w:tc>
          <w:tcPr>
            <w:tcW w:w="3312" w:type="dxa"/>
            <w:tcBorders>
              <w:top w:val="single" w:sz="6" w:space="0" w:color="auto"/>
              <w:left w:val="single" w:sz="6" w:space="0" w:color="auto"/>
              <w:bottom w:val="single" w:sz="6" w:space="0" w:color="auto"/>
              <w:right w:val="single" w:sz="6" w:space="0" w:color="auto"/>
            </w:tcBorders>
          </w:tcPr>
          <w:p w14:paraId="76E047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Автомашин, находящихся в ремонте</w:t>
            </w:r>
          </w:p>
          <w:p w14:paraId="151245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9048E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29455</w:t>
            </w:r>
          </w:p>
          <w:p w14:paraId="3EDD38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CA5D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w:t>
            </w:r>
          </w:p>
          <w:p w14:paraId="3970ED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C5EF1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28473</w:t>
            </w:r>
          </w:p>
          <w:p w14:paraId="2151EF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F53D2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14,6</w:t>
            </w:r>
          </w:p>
          <w:p w14:paraId="2DBF3C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C70EB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27950</w:t>
            </w:r>
          </w:p>
          <w:p w14:paraId="330E94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169C3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w:t>
            </w:r>
          </w:p>
          <w:p w14:paraId="616DAC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917794E" w14:textId="77777777">
        <w:trPr>
          <w:trHeight w:val="192"/>
        </w:trPr>
        <w:tc>
          <w:tcPr>
            <w:tcW w:w="3312" w:type="dxa"/>
            <w:tcBorders>
              <w:top w:val="single" w:sz="6" w:space="0" w:color="auto"/>
              <w:left w:val="single" w:sz="6" w:space="0" w:color="auto"/>
              <w:bottom w:val="single" w:sz="6" w:space="0" w:color="auto"/>
              <w:right w:val="single" w:sz="6" w:space="0" w:color="auto"/>
            </w:tcBorders>
          </w:tcPr>
          <w:p w14:paraId="6688D4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Автомашин в ожидании ремонта</w:t>
            </w:r>
          </w:p>
          <w:p w14:paraId="2A5B29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64F5B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55782</w:t>
            </w:r>
          </w:p>
          <w:p w14:paraId="2D69F7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55A62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w:t>
            </w:r>
          </w:p>
          <w:p w14:paraId="078927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3C4BA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44316</w:t>
            </w:r>
          </w:p>
          <w:p w14:paraId="1D2504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030B9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22,8</w:t>
            </w:r>
          </w:p>
          <w:p w14:paraId="584C82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A34DF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42709</w:t>
            </w:r>
          </w:p>
          <w:p w14:paraId="296D13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8987F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21,8</w:t>
            </w:r>
          </w:p>
          <w:p w14:paraId="6D643A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19BCC1C" w14:textId="77777777">
        <w:trPr>
          <w:trHeight w:val="413"/>
        </w:trPr>
        <w:tc>
          <w:tcPr>
            <w:tcW w:w="3312" w:type="dxa"/>
            <w:tcBorders>
              <w:top w:val="single" w:sz="6" w:space="0" w:color="auto"/>
              <w:left w:val="single" w:sz="6" w:space="0" w:color="auto"/>
              <w:bottom w:val="single" w:sz="6" w:space="0" w:color="auto"/>
              <w:right w:val="single" w:sz="6" w:space="0" w:color="auto"/>
            </w:tcBorders>
          </w:tcPr>
          <w:p w14:paraId="549573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Автомашин нерентабельных к восстанов</w:t>
            </w:r>
            <w:r w:rsidRPr="00070ADE">
              <w:rPr>
                <w:rFonts w:ascii="Times New Roman" w:hAnsi="Times New Roman"/>
                <w:color w:val="000000" w:themeColor="text1"/>
                <w:sz w:val="16"/>
                <w:szCs w:val="16"/>
              </w:rPr>
              <w:softHyphen/>
              <w:t>лению</w:t>
            </w:r>
          </w:p>
          <w:p w14:paraId="047C47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EC419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8034</w:t>
            </w:r>
          </w:p>
          <w:p w14:paraId="3409FF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EA8FF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w:t>
            </w:r>
          </w:p>
          <w:p w14:paraId="346CF8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37CEB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5971</w:t>
            </w:r>
          </w:p>
          <w:p w14:paraId="7A6ADE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0F383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48F72B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D5E7D0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2950</w:t>
            </w:r>
          </w:p>
          <w:p w14:paraId="3CEEFD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790A0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p w14:paraId="42779B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0F211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Сопоставленные в таблице данные свидетельствуют об увеличении числа ходовых, технически исправных автомобилей. Так, на 1 января 1943 года, они составляли 31,8% наличия автопарка, на 1 января 1944 года 42,6%, по данным же на 1 мая 1942 года их было лишь 24,9%.</w:t>
      </w:r>
    </w:p>
    <w:p w14:paraId="719A53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Растущая потребность в автотранспорте заставила руководителей многих предприятий серьез</w:t>
      </w:r>
      <w:r w:rsidRPr="00070ADE">
        <w:rPr>
          <w:rFonts w:ascii="Times New Roman" w:hAnsi="Times New Roman"/>
          <w:color w:val="000000" w:themeColor="text1"/>
          <w:sz w:val="16"/>
          <w:szCs w:val="16"/>
        </w:rPr>
        <w:softHyphen/>
        <w:t>нее заняться ремонтом автомобилей, ранее длительное время простаивающих в ожидании ремонта, вследствие чего число таких машин на 1 января 1944 года снизилось.</w:t>
      </w:r>
    </w:p>
    <w:p w14:paraId="487F8C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Количество технически исправных автомобилей, простаивающих из-за отсутствия резины, сокращается. Так, на 1 мая 1942 года простаивало без резины 4,4% автомашин, на 1 января 1943 года — 3,4%, на 1 января 1944 года их осталось 0,9%.</w:t>
      </w:r>
    </w:p>
    <w:p w14:paraId="60397B5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Наряду с общим улучшением технического состояния автопарка, в ряде Наркоматов подведом</w:t>
      </w:r>
      <w:r w:rsidRPr="00070ADE">
        <w:rPr>
          <w:rFonts w:ascii="Times New Roman" w:hAnsi="Times New Roman"/>
          <w:color w:val="000000" w:themeColor="text1"/>
          <w:sz w:val="16"/>
          <w:szCs w:val="16"/>
        </w:rPr>
        <w:softHyphen/>
        <w:t>ственный им автотранспорт продолжает оставаться на крайне низком уровне. Например:</w:t>
      </w:r>
    </w:p>
    <w:tbl>
      <w:tblPr>
        <w:tblW w:w="0" w:type="auto"/>
        <w:tblInd w:w="40" w:type="dxa"/>
        <w:tblLayout w:type="fixed"/>
        <w:tblCellMar>
          <w:left w:w="40" w:type="dxa"/>
          <w:right w:w="40" w:type="dxa"/>
        </w:tblCellMar>
        <w:tblLook w:val="0000" w:firstRow="0" w:lastRow="0" w:firstColumn="0" w:lastColumn="0" w:noHBand="0" w:noVBand="0"/>
      </w:tblPr>
      <w:tblGrid>
        <w:gridCol w:w="3917"/>
        <w:gridCol w:w="9"/>
        <w:gridCol w:w="1085"/>
        <w:gridCol w:w="1008"/>
        <w:gridCol w:w="10"/>
        <w:gridCol w:w="758"/>
        <w:gridCol w:w="10"/>
        <w:gridCol w:w="1017"/>
        <w:gridCol w:w="20"/>
        <w:gridCol w:w="1113"/>
        <w:gridCol w:w="39"/>
      </w:tblGrid>
      <w:tr w:rsidR="004D4663" w:rsidRPr="00070ADE" w14:paraId="3EB02FAC" w14:textId="77777777">
        <w:trPr>
          <w:trHeight w:val="346"/>
        </w:trPr>
        <w:tc>
          <w:tcPr>
            <w:tcW w:w="3926" w:type="dxa"/>
            <w:gridSpan w:val="2"/>
            <w:tcBorders>
              <w:top w:val="single" w:sz="6" w:space="0" w:color="auto"/>
              <w:left w:val="single" w:sz="6" w:space="0" w:color="auto"/>
              <w:bottom w:val="nil"/>
              <w:right w:val="single" w:sz="6" w:space="0" w:color="auto"/>
            </w:tcBorders>
          </w:tcPr>
          <w:p w14:paraId="183CCB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 Наркоматов и ведомств</w:t>
            </w:r>
          </w:p>
          <w:p w14:paraId="6F6967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nil"/>
              <w:right w:val="single" w:sz="6" w:space="0" w:color="auto"/>
            </w:tcBorders>
          </w:tcPr>
          <w:p w14:paraId="39BAFA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проверенных автомобилей</w:t>
            </w:r>
          </w:p>
          <w:p w14:paraId="55163E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gridSpan w:val="4"/>
            <w:tcBorders>
              <w:top w:val="single" w:sz="6" w:space="0" w:color="auto"/>
              <w:left w:val="single" w:sz="6" w:space="0" w:color="auto"/>
              <w:bottom w:val="single" w:sz="6" w:space="0" w:color="auto"/>
              <w:right w:val="single" w:sz="6" w:space="0" w:color="auto"/>
            </w:tcBorders>
          </w:tcPr>
          <w:p w14:paraId="51702B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них на ходу</w:t>
            </w:r>
          </w:p>
          <w:p w14:paraId="5739ED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4"/>
            <w:tcBorders>
              <w:top w:val="single" w:sz="6" w:space="0" w:color="auto"/>
              <w:left w:val="single" w:sz="6" w:space="0" w:color="auto"/>
              <w:bottom w:val="single" w:sz="6" w:space="0" w:color="auto"/>
              <w:right w:val="single" w:sz="6" w:space="0" w:color="auto"/>
            </w:tcBorders>
          </w:tcPr>
          <w:p w14:paraId="64549C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числа ходовых исправных автомобилей</w:t>
            </w:r>
          </w:p>
          <w:p w14:paraId="1CFA05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ED47EB4" w14:textId="77777777">
        <w:trPr>
          <w:trHeight w:val="509"/>
        </w:trPr>
        <w:tc>
          <w:tcPr>
            <w:tcW w:w="3926" w:type="dxa"/>
            <w:gridSpan w:val="2"/>
            <w:tcBorders>
              <w:top w:val="nil"/>
              <w:left w:val="single" w:sz="6" w:space="0" w:color="auto"/>
              <w:bottom w:val="single" w:sz="6" w:space="0" w:color="auto"/>
              <w:right w:val="single" w:sz="6" w:space="0" w:color="auto"/>
            </w:tcBorders>
          </w:tcPr>
          <w:p w14:paraId="0821AE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F4290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single" w:sz="6" w:space="0" w:color="auto"/>
              <w:right w:val="single" w:sz="6" w:space="0" w:color="auto"/>
            </w:tcBorders>
          </w:tcPr>
          <w:p w14:paraId="07A7A2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50D68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2E6D4F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абсолютное количество</w:t>
            </w:r>
          </w:p>
          <w:p w14:paraId="327EC4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443C72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w:t>
            </w:r>
          </w:p>
          <w:p w14:paraId="5DFD52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5A5983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абсолютное количество</w:t>
            </w:r>
          </w:p>
          <w:p w14:paraId="3710D8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1C5376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 ко всему осмотренному парку</w:t>
            </w:r>
          </w:p>
          <w:p w14:paraId="48F6CA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CD8DB66" w14:textId="77777777">
        <w:trPr>
          <w:trHeight w:val="192"/>
        </w:trPr>
        <w:tc>
          <w:tcPr>
            <w:tcW w:w="3926" w:type="dxa"/>
            <w:gridSpan w:val="2"/>
            <w:tcBorders>
              <w:top w:val="single" w:sz="6" w:space="0" w:color="auto"/>
              <w:left w:val="single" w:sz="6" w:space="0" w:color="auto"/>
              <w:bottom w:val="single" w:sz="6" w:space="0" w:color="auto"/>
              <w:right w:val="single" w:sz="6" w:space="0" w:color="auto"/>
            </w:tcBorders>
          </w:tcPr>
          <w:p w14:paraId="790DA2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Наркомавтотранспорта Таджикской ССР</w:t>
            </w:r>
          </w:p>
          <w:p w14:paraId="1B238D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E091F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503</w:t>
            </w:r>
          </w:p>
          <w:p w14:paraId="7F0E5A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64C4B7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94</w:t>
            </w:r>
          </w:p>
          <w:p w14:paraId="69CF20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4A1379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18,6</w:t>
            </w:r>
          </w:p>
          <w:p w14:paraId="682B10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57222F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w:t>
            </w:r>
          </w:p>
          <w:p w14:paraId="55898A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1887C3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15,7</w:t>
            </w:r>
          </w:p>
          <w:p w14:paraId="2B642B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9DA20C4" w14:textId="77777777">
        <w:trPr>
          <w:trHeight w:val="192"/>
        </w:trPr>
        <w:tc>
          <w:tcPr>
            <w:tcW w:w="3926" w:type="dxa"/>
            <w:gridSpan w:val="2"/>
            <w:tcBorders>
              <w:top w:val="single" w:sz="6" w:space="0" w:color="auto"/>
              <w:left w:val="single" w:sz="6" w:space="0" w:color="auto"/>
              <w:bottom w:val="single" w:sz="6" w:space="0" w:color="auto"/>
              <w:right w:val="single" w:sz="6" w:space="0" w:color="auto"/>
            </w:tcBorders>
          </w:tcPr>
          <w:p w14:paraId="6665BC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Наркомхоз Узбекской ССР</w:t>
            </w:r>
          </w:p>
          <w:p w14:paraId="67FE9D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DED07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99</w:t>
            </w:r>
          </w:p>
          <w:p w14:paraId="793819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784524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w:t>
            </w:r>
          </w:p>
          <w:p w14:paraId="0F84EE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79C9ED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28,2</w:t>
            </w:r>
          </w:p>
          <w:p w14:paraId="52A8A5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2AD00E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w:t>
            </w:r>
          </w:p>
          <w:p w14:paraId="0AD5BC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44B019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18,1</w:t>
            </w:r>
          </w:p>
          <w:p w14:paraId="32DED6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7FF6907" w14:textId="77777777">
        <w:trPr>
          <w:trHeight w:val="202"/>
        </w:trPr>
        <w:tc>
          <w:tcPr>
            <w:tcW w:w="3926" w:type="dxa"/>
            <w:gridSpan w:val="2"/>
            <w:tcBorders>
              <w:top w:val="single" w:sz="6" w:space="0" w:color="auto"/>
              <w:left w:val="single" w:sz="6" w:space="0" w:color="auto"/>
              <w:bottom w:val="single" w:sz="6" w:space="0" w:color="auto"/>
              <w:right w:val="single" w:sz="6" w:space="0" w:color="auto"/>
            </w:tcBorders>
          </w:tcPr>
          <w:p w14:paraId="3027B9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Колхозы</w:t>
            </w:r>
          </w:p>
          <w:p w14:paraId="7F0423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CC3F1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6837</w:t>
            </w:r>
          </w:p>
          <w:p w14:paraId="64162B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418DBF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2300</w:t>
            </w:r>
          </w:p>
          <w:p w14:paraId="75F1F0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5DA729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33,6</w:t>
            </w:r>
          </w:p>
          <w:p w14:paraId="70E7FF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0F48A3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1083</w:t>
            </w:r>
          </w:p>
          <w:p w14:paraId="70B393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341D21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15,8</w:t>
            </w:r>
          </w:p>
          <w:p w14:paraId="5C9B2C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456B67E" w14:textId="77777777">
        <w:trPr>
          <w:trHeight w:val="211"/>
        </w:trPr>
        <w:tc>
          <w:tcPr>
            <w:tcW w:w="3926" w:type="dxa"/>
            <w:gridSpan w:val="2"/>
            <w:tcBorders>
              <w:top w:val="single" w:sz="6" w:space="0" w:color="auto"/>
              <w:left w:val="single" w:sz="6" w:space="0" w:color="auto"/>
              <w:bottom w:val="single" w:sz="6" w:space="0" w:color="auto"/>
              <w:right w:val="single" w:sz="6" w:space="0" w:color="auto"/>
            </w:tcBorders>
          </w:tcPr>
          <w:p w14:paraId="2C6D10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Наркомавтотранспорта Казахской ССР</w:t>
            </w:r>
          </w:p>
          <w:p w14:paraId="6F1837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F1F23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899</w:t>
            </w:r>
          </w:p>
          <w:p w14:paraId="38A5B1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gridSpan w:val="2"/>
            <w:tcBorders>
              <w:top w:val="single" w:sz="6" w:space="0" w:color="auto"/>
              <w:left w:val="single" w:sz="6" w:space="0" w:color="auto"/>
              <w:bottom w:val="single" w:sz="6" w:space="0" w:color="auto"/>
              <w:right w:val="single" w:sz="6" w:space="0" w:color="auto"/>
            </w:tcBorders>
          </w:tcPr>
          <w:p w14:paraId="47A96D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352</w:t>
            </w:r>
          </w:p>
          <w:p w14:paraId="49EB20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5C489F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39,1</w:t>
            </w:r>
          </w:p>
          <w:p w14:paraId="6910C6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gridSpan w:val="2"/>
            <w:tcBorders>
              <w:top w:val="single" w:sz="6" w:space="0" w:color="auto"/>
              <w:left w:val="single" w:sz="6" w:space="0" w:color="auto"/>
              <w:bottom w:val="single" w:sz="6" w:space="0" w:color="auto"/>
              <w:right w:val="single" w:sz="6" w:space="0" w:color="auto"/>
            </w:tcBorders>
          </w:tcPr>
          <w:p w14:paraId="43A51E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30948B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4DA79B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22,2</w:t>
            </w:r>
          </w:p>
          <w:p w14:paraId="31FFFB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AB26693" w14:textId="77777777">
        <w:trPr>
          <w:gridAfter w:val="1"/>
          <w:wAfter w:w="39" w:type="dxa"/>
          <w:trHeight w:val="182"/>
        </w:trPr>
        <w:tc>
          <w:tcPr>
            <w:tcW w:w="3917" w:type="dxa"/>
            <w:tcBorders>
              <w:top w:val="single" w:sz="6" w:space="0" w:color="auto"/>
              <w:left w:val="single" w:sz="6" w:space="0" w:color="auto"/>
              <w:bottom w:val="single" w:sz="6" w:space="0" w:color="auto"/>
              <w:right w:val="single" w:sz="6" w:space="0" w:color="auto"/>
            </w:tcBorders>
          </w:tcPr>
          <w:p w14:paraId="4DA3DD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Центросоюз</w:t>
            </w:r>
          </w:p>
          <w:p w14:paraId="226FE7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3A0700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2298</w:t>
            </w:r>
          </w:p>
          <w:p w14:paraId="39B1CD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53133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916</w:t>
            </w:r>
          </w:p>
          <w:p w14:paraId="7B8AC8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164160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39,8</w:t>
            </w:r>
          </w:p>
          <w:p w14:paraId="651840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6E6FD9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492</w:t>
            </w:r>
          </w:p>
          <w:p w14:paraId="540827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57F345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21,4</w:t>
            </w:r>
          </w:p>
          <w:p w14:paraId="2ACA37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25FE826" w14:textId="77777777">
        <w:trPr>
          <w:gridAfter w:val="1"/>
          <w:wAfter w:w="39" w:type="dxa"/>
          <w:trHeight w:val="202"/>
        </w:trPr>
        <w:tc>
          <w:tcPr>
            <w:tcW w:w="3917" w:type="dxa"/>
            <w:tcBorders>
              <w:top w:val="single" w:sz="6" w:space="0" w:color="auto"/>
              <w:left w:val="single" w:sz="6" w:space="0" w:color="auto"/>
              <w:bottom w:val="single" w:sz="6" w:space="0" w:color="auto"/>
              <w:right w:val="single" w:sz="6" w:space="0" w:color="auto"/>
            </w:tcBorders>
          </w:tcPr>
          <w:p w14:paraId="1915F0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Управление промкооперации при СНК РСФСР</w:t>
            </w:r>
          </w:p>
          <w:p w14:paraId="79CA0C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5743AE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828</w:t>
            </w:r>
          </w:p>
          <w:p w14:paraId="5A788C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DB1EB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369</w:t>
            </w:r>
          </w:p>
          <w:p w14:paraId="0DAFFC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336D08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44,5</w:t>
            </w:r>
          </w:p>
          <w:p w14:paraId="78F978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15992F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230</w:t>
            </w:r>
          </w:p>
          <w:p w14:paraId="30CA55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5D2D04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27,7</w:t>
            </w:r>
          </w:p>
          <w:p w14:paraId="230503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2E40FCD" w14:textId="77777777">
        <w:trPr>
          <w:gridAfter w:val="1"/>
          <w:wAfter w:w="39" w:type="dxa"/>
          <w:trHeight w:val="192"/>
        </w:trPr>
        <w:tc>
          <w:tcPr>
            <w:tcW w:w="3917" w:type="dxa"/>
            <w:tcBorders>
              <w:top w:val="single" w:sz="6" w:space="0" w:color="auto"/>
              <w:left w:val="single" w:sz="6" w:space="0" w:color="auto"/>
              <w:bottom w:val="single" w:sz="6" w:space="0" w:color="auto"/>
              <w:right w:val="single" w:sz="6" w:space="0" w:color="auto"/>
            </w:tcBorders>
          </w:tcPr>
          <w:p w14:paraId="0459C4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Наркомлес СССР</w:t>
            </w:r>
          </w:p>
          <w:p w14:paraId="02E5CB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44CE77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3013</w:t>
            </w:r>
          </w:p>
          <w:p w14:paraId="3FD8DE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DCCAE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1522</w:t>
            </w:r>
          </w:p>
          <w:p w14:paraId="303F4F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07D5A1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50,5</w:t>
            </w:r>
          </w:p>
          <w:p w14:paraId="29A51E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3E81D6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952</w:t>
            </w:r>
          </w:p>
          <w:p w14:paraId="1621A3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238BDA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31,5</w:t>
            </w:r>
          </w:p>
          <w:p w14:paraId="473AB9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C941BD1" w14:textId="77777777">
        <w:trPr>
          <w:gridAfter w:val="1"/>
          <w:wAfter w:w="39" w:type="dxa"/>
          <w:trHeight w:val="211"/>
        </w:trPr>
        <w:tc>
          <w:tcPr>
            <w:tcW w:w="3917" w:type="dxa"/>
            <w:tcBorders>
              <w:top w:val="single" w:sz="6" w:space="0" w:color="auto"/>
              <w:left w:val="single" w:sz="6" w:space="0" w:color="auto"/>
              <w:bottom w:val="single" w:sz="6" w:space="0" w:color="auto"/>
              <w:right w:val="single" w:sz="6" w:space="0" w:color="auto"/>
            </w:tcBorders>
          </w:tcPr>
          <w:p w14:paraId="723EE7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Наркомзем СССР</w:t>
            </w:r>
          </w:p>
          <w:p w14:paraId="7251F2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gridSpan w:val="2"/>
            <w:tcBorders>
              <w:top w:val="single" w:sz="6" w:space="0" w:color="auto"/>
              <w:left w:val="single" w:sz="6" w:space="0" w:color="auto"/>
              <w:bottom w:val="single" w:sz="6" w:space="0" w:color="auto"/>
              <w:right w:val="single" w:sz="6" w:space="0" w:color="auto"/>
            </w:tcBorders>
          </w:tcPr>
          <w:p w14:paraId="4CD339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14276</w:t>
            </w:r>
          </w:p>
          <w:p w14:paraId="5E5A96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4497E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7876</w:t>
            </w:r>
          </w:p>
          <w:p w14:paraId="2290A3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21EDB7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55,1</w:t>
            </w:r>
          </w:p>
          <w:p w14:paraId="37B5F0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59D6D8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3605</w:t>
            </w:r>
          </w:p>
          <w:p w14:paraId="2232F2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17A057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w:t>
            </w:r>
          </w:p>
          <w:p w14:paraId="7D5B24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8FBE8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Врио начальника Главного управления милиции НКВД СССР комиссар милиции 3 ранга Лобуренко</w:t>
      </w:r>
    </w:p>
    <w:p w14:paraId="030722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Госавтоинспекции комиссар милиции 3 ранга Соколов</w:t>
      </w:r>
    </w:p>
    <w:p w14:paraId="43D48F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41. Оп, 11584. Д. 127. Л. 1-9. Подлинник (11403).</w:t>
      </w:r>
    </w:p>
    <w:p w14:paraId="4CA08F2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A058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апреля 1944 вышло Постановление ГКО № 5520 О мерах по завозу горючего и масел во II квартале 1944 года для весенних сельскохозяйственных работ. РГАНИР, Фонд ГКО, д. 224, лл. 42-52,53 (11012).</w:t>
      </w:r>
    </w:p>
    <w:p w14:paraId="1064B3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2589B85"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апреля в 1944 году постановление ГКО о выселении крымских татар в Казахстан и Сибирь (15087).</w:t>
      </w:r>
    </w:p>
    <w:p w14:paraId="1C52E4CE" w14:textId="77777777" w:rsidR="00383F24" w:rsidRPr="00070ADE" w:rsidRDefault="00383F24" w:rsidP="00B56F90">
      <w:pPr>
        <w:spacing w:after="0" w:line="240" w:lineRule="auto"/>
        <w:jc w:val="both"/>
        <w:rPr>
          <w:rFonts w:ascii="Times New Roman" w:hAnsi="Times New Roman"/>
          <w:color w:val="000000" w:themeColor="text1"/>
          <w:sz w:val="16"/>
          <w:szCs w:val="16"/>
        </w:rPr>
      </w:pPr>
    </w:p>
    <w:p w14:paraId="3320821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012C63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FBDF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апреля 1944 министр иностранных дел СССР В.М.М. в речи по радио заверил румын, что СССР кроме возвращения Бесарабии не имеет к Румынии территориальных претензий и не намерен ничего менять в ее социальной структуре, если она выступит против Германии и Венгрии.</w:t>
      </w:r>
    </w:p>
    <w:p w14:paraId="3FB6F2D3" w14:textId="77777777" w:rsidR="00383F24" w:rsidRPr="00070ADE" w:rsidRDefault="00383F24"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8E5DA8"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апреля в 1944 году заявление Советского правительства в связи с вступлением частей Советской Армии на территорию Румынии, в котором содержалось обещание не предпринимать попыток изменить румынский общественный строй (15087).</w:t>
      </w:r>
    </w:p>
    <w:p w14:paraId="38ABE5D3" w14:textId="77777777" w:rsidR="00383F24" w:rsidRPr="00070ADE" w:rsidRDefault="00383F24" w:rsidP="00B56F90">
      <w:pPr>
        <w:spacing w:after="0" w:line="240" w:lineRule="auto"/>
        <w:jc w:val="both"/>
        <w:rPr>
          <w:rFonts w:ascii="Times New Roman" w:hAnsi="Times New Roman"/>
          <w:color w:val="000000" w:themeColor="text1"/>
          <w:sz w:val="16"/>
          <w:szCs w:val="16"/>
        </w:rPr>
      </w:pPr>
    </w:p>
    <w:p w14:paraId="359CA9C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562A97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264632" w14:textId="77777777" w:rsidR="007249B9" w:rsidRPr="00070ADE" w:rsidRDefault="007249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апреля 1944 первый самолет ВВС США B-29 Superfortress прибывает в Калькутту, Индия, после полета на 11530 миль (18 567 км) из Канзаса, который включал остановки в Преск-Айл, штат Мэн; Гандер, Ньюфаундленд; Марракеш, Марокко; Каир, Египет; и Карачи, а также беспосадочный трансатлантический перелет между Гандером и Марракешем протяженностью 2700 миль (4348 км) (20373).</w:t>
      </w:r>
    </w:p>
    <w:p w14:paraId="1E5FD524" w14:textId="77777777" w:rsidR="007249B9" w:rsidRPr="00070ADE" w:rsidRDefault="007249B9" w:rsidP="00B56F90">
      <w:pPr>
        <w:spacing w:after="0" w:line="240" w:lineRule="auto"/>
        <w:jc w:val="both"/>
        <w:rPr>
          <w:rFonts w:ascii="Times New Roman" w:hAnsi="Times New Roman"/>
          <w:color w:val="000000" w:themeColor="text1"/>
          <w:sz w:val="16"/>
          <w:szCs w:val="16"/>
        </w:rPr>
      </w:pPr>
    </w:p>
    <w:p w14:paraId="3B134E5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апреля 1944 после попытки взрыва поезда с немецкими солдатами члены дивизии СС “Гитлерюгенд” расстреляли 86 бельгийцев (4962).</w:t>
      </w:r>
    </w:p>
    <w:p w14:paraId="6EB23BD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AFBE0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F1A72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A1D6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вышло Постановление ГОКО, которое требовало от директо</w:t>
      </w:r>
      <w:r w:rsidRPr="00070ADE">
        <w:rPr>
          <w:rFonts w:ascii="Times New Roman" w:hAnsi="Times New Roman"/>
          <w:color w:val="000000" w:themeColor="text1"/>
          <w:sz w:val="16"/>
          <w:szCs w:val="16"/>
        </w:rPr>
        <w:softHyphen/>
        <w:t>ров авиазаводов № 1 и 30 ускорить внедрение в серийное производство штурмовиков Ил-2 с металлическим крылом «стрельчатой конструкции».</w:t>
      </w:r>
    </w:p>
    <w:p w14:paraId="1F9D14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«Послабление» в отношении 18-го авиазавода объясняется следующим образом. Дело в том, что 30 марта бри</w:t>
      </w:r>
      <w:r w:rsidRPr="00070ADE">
        <w:rPr>
          <w:rFonts w:ascii="Times New Roman" w:hAnsi="Times New Roman"/>
          <w:color w:val="000000" w:themeColor="text1"/>
          <w:sz w:val="16"/>
          <w:szCs w:val="16"/>
        </w:rPr>
        <w:softHyphen/>
        <w:t>гада испытателей НИИ ВВС рапортова</w:t>
      </w:r>
      <w:r w:rsidRPr="00070ADE">
        <w:rPr>
          <w:rFonts w:ascii="Times New Roman" w:hAnsi="Times New Roman"/>
          <w:color w:val="000000" w:themeColor="text1"/>
          <w:sz w:val="16"/>
          <w:szCs w:val="16"/>
        </w:rPr>
        <w:softHyphen/>
        <w:t>ла руководству об успешном заверше</w:t>
      </w:r>
      <w:r w:rsidRPr="00070ADE">
        <w:rPr>
          <w:rFonts w:ascii="Times New Roman" w:hAnsi="Times New Roman"/>
          <w:color w:val="000000" w:themeColor="text1"/>
          <w:sz w:val="16"/>
          <w:szCs w:val="16"/>
        </w:rPr>
        <w:softHyphen/>
        <w:t>нии государственных летных испыта</w:t>
      </w:r>
      <w:r w:rsidRPr="00070ADE">
        <w:rPr>
          <w:rFonts w:ascii="Times New Roman" w:hAnsi="Times New Roman"/>
          <w:color w:val="000000" w:themeColor="text1"/>
          <w:sz w:val="16"/>
          <w:szCs w:val="16"/>
        </w:rPr>
        <w:softHyphen/>
        <w:t>ний опытного штурмовика Ил-8 АМ-42 с более высокими, чем у Ил-2, летными данными. Самолет имел много общего с Ил-2, и в случае внедрения его в мас</w:t>
      </w:r>
      <w:r w:rsidRPr="00070ADE">
        <w:rPr>
          <w:rFonts w:ascii="Times New Roman" w:hAnsi="Times New Roman"/>
          <w:color w:val="000000" w:themeColor="text1"/>
          <w:sz w:val="16"/>
          <w:szCs w:val="16"/>
        </w:rPr>
        <w:softHyphen/>
        <w:t>совое производство можно было ис</w:t>
      </w:r>
      <w:r w:rsidRPr="00070ADE">
        <w:rPr>
          <w:rFonts w:ascii="Times New Roman" w:hAnsi="Times New Roman"/>
          <w:color w:val="000000" w:themeColor="text1"/>
          <w:sz w:val="16"/>
          <w:szCs w:val="16"/>
        </w:rPr>
        <w:softHyphen/>
        <w:t>пользовать те же конвейеры и боль</w:t>
      </w:r>
      <w:r w:rsidRPr="00070ADE">
        <w:rPr>
          <w:rFonts w:ascii="Times New Roman" w:hAnsi="Times New Roman"/>
          <w:color w:val="000000" w:themeColor="text1"/>
          <w:sz w:val="16"/>
          <w:szCs w:val="16"/>
        </w:rPr>
        <w:softHyphen/>
        <w:t>шую часть имеющейся оснастки. По этой причине наркомат авиапромыш</w:t>
      </w:r>
      <w:r w:rsidRPr="00070ADE">
        <w:rPr>
          <w:rFonts w:ascii="Times New Roman" w:hAnsi="Times New Roman"/>
          <w:color w:val="000000" w:themeColor="text1"/>
          <w:sz w:val="16"/>
          <w:szCs w:val="16"/>
        </w:rPr>
        <w:softHyphen/>
        <w:t>ленности вынашивал планы перевода производства авиазавода № 18 на се</w:t>
      </w:r>
      <w:r w:rsidRPr="00070ADE">
        <w:rPr>
          <w:rFonts w:ascii="Times New Roman" w:hAnsi="Times New Roman"/>
          <w:color w:val="000000" w:themeColor="text1"/>
          <w:sz w:val="16"/>
          <w:szCs w:val="16"/>
        </w:rPr>
        <w:softHyphen/>
        <w:t>рийный выпуск Ил-8 уже с лета 1944 г., а авиазаводов № 1 и № 30 - в первом полугодии следующего года. Кроме этого, на завершающей стадии заводс</w:t>
      </w:r>
      <w:r w:rsidRPr="00070ADE">
        <w:rPr>
          <w:rFonts w:ascii="Times New Roman" w:hAnsi="Times New Roman"/>
          <w:color w:val="000000" w:themeColor="text1"/>
          <w:sz w:val="16"/>
          <w:szCs w:val="16"/>
        </w:rPr>
        <w:softHyphen/>
        <w:t>ких испытаний находился опытный штурмовик ОКБ П. 0. Сухого Су-б, кото</w:t>
      </w:r>
      <w:r w:rsidRPr="00070ADE">
        <w:rPr>
          <w:rFonts w:ascii="Times New Roman" w:hAnsi="Times New Roman"/>
          <w:color w:val="000000" w:themeColor="text1"/>
          <w:sz w:val="16"/>
          <w:szCs w:val="16"/>
        </w:rPr>
        <w:softHyphen/>
        <w:t>рый лучше подходил для боя, чем Ил-8. На подходе был еще один опытный штурмовик-Ил-10 АМ-42. Учитывая эти обстоятельства, было решено с форси</w:t>
      </w:r>
      <w:r w:rsidRPr="00070ADE">
        <w:rPr>
          <w:rFonts w:ascii="Times New Roman" w:hAnsi="Times New Roman"/>
          <w:color w:val="000000" w:themeColor="text1"/>
          <w:sz w:val="16"/>
          <w:szCs w:val="16"/>
        </w:rPr>
        <w:softHyphen/>
        <w:t>рованием выпуска модифицированно</w:t>
      </w:r>
      <w:r w:rsidRPr="00070ADE">
        <w:rPr>
          <w:rFonts w:ascii="Times New Roman" w:hAnsi="Times New Roman"/>
          <w:color w:val="000000" w:themeColor="text1"/>
          <w:sz w:val="16"/>
          <w:szCs w:val="16"/>
        </w:rPr>
        <w:softHyphen/>
        <w:t>го Ил-2 на 18-м авиазаводе подождать до тех пор, пока не станет ясно, какой из трех опытных штурмовиков будет поставлен на вооружение ВВС.</w:t>
      </w:r>
    </w:p>
    <w:p w14:paraId="682194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Авиазавод № 18 вышел на плано</w:t>
      </w:r>
      <w:r w:rsidRPr="00070ADE">
        <w:rPr>
          <w:rFonts w:ascii="Times New Roman" w:hAnsi="Times New Roman"/>
          <w:color w:val="000000" w:themeColor="text1"/>
          <w:sz w:val="16"/>
          <w:szCs w:val="16"/>
        </w:rPr>
        <w:softHyphen/>
        <w:t>вый уровень производства самолетов Ил-2 с металлическим крылом «стрель</w:t>
      </w:r>
      <w:r w:rsidRPr="00070ADE">
        <w:rPr>
          <w:rFonts w:ascii="Times New Roman" w:hAnsi="Times New Roman"/>
          <w:color w:val="000000" w:themeColor="text1"/>
          <w:sz w:val="16"/>
          <w:szCs w:val="16"/>
        </w:rPr>
        <w:softHyphen/>
        <w:t>чатой конструкции» лишь к июню, а 1-й и 30-й заводы - к сентябрю 1944 г. В общей сложности к концу года в стро</w:t>
      </w:r>
      <w:r w:rsidRPr="00070ADE">
        <w:rPr>
          <w:rFonts w:ascii="Times New Roman" w:hAnsi="Times New Roman"/>
          <w:color w:val="000000" w:themeColor="text1"/>
          <w:sz w:val="16"/>
          <w:szCs w:val="16"/>
        </w:rPr>
        <w:softHyphen/>
        <w:t xml:space="preserve">евые части ВВС было отправлено 7377 Ил-2 </w:t>
      </w:r>
      <w:r w:rsidRPr="00070ADE">
        <w:rPr>
          <w:rFonts w:ascii="Times New Roman" w:hAnsi="Times New Roman"/>
          <w:iCs/>
          <w:color w:val="000000" w:themeColor="text1"/>
          <w:sz w:val="16"/>
          <w:szCs w:val="16"/>
        </w:rPr>
        <w:t xml:space="preserve">«крыло со стрелкой». </w:t>
      </w:r>
      <w:r w:rsidRPr="00070ADE">
        <w:rPr>
          <w:rFonts w:ascii="Times New Roman" w:hAnsi="Times New Roman"/>
          <w:color w:val="000000" w:themeColor="text1"/>
          <w:sz w:val="16"/>
          <w:szCs w:val="16"/>
        </w:rPr>
        <w:t>При этом авиазаводы № 1 и № 30 выпускали са</w:t>
      </w:r>
      <w:r w:rsidRPr="00070ADE">
        <w:rPr>
          <w:rFonts w:ascii="Times New Roman" w:hAnsi="Times New Roman"/>
          <w:color w:val="000000" w:themeColor="text1"/>
          <w:sz w:val="16"/>
          <w:szCs w:val="16"/>
        </w:rPr>
        <w:softHyphen/>
        <w:t>молеты и с металлическим, и с дере</w:t>
      </w:r>
      <w:r w:rsidRPr="00070ADE">
        <w:rPr>
          <w:rFonts w:ascii="Times New Roman" w:hAnsi="Times New Roman"/>
          <w:color w:val="000000" w:themeColor="text1"/>
          <w:sz w:val="16"/>
          <w:szCs w:val="16"/>
        </w:rPr>
        <w:softHyphen/>
        <w:t>вянным крылом. Все самолеты имели «стандартное» для 1944 г. наступатель</w:t>
      </w:r>
      <w:r w:rsidRPr="00070ADE">
        <w:rPr>
          <w:rFonts w:ascii="Times New Roman" w:hAnsi="Times New Roman"/>
          <w:color w:val="000000" w:themeColor="text1"/>
          <w:sz w:val="16"/>
          <w:szCs w:val="16"/>
        </w:rPr>
        <w:softHyphen/>
        <w:t>ное вооружение: пушки ВЯ, пулеметы ШКАС, «эрэсы» и бомбы (11215).</w:t>
      </w:r>
    </w:p>
    <w:p w14:paraId="6B39F0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CB10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ГКО своим Постановлением обязал директоров заводов № 1 и 30 ускорить внедрение в серию Ил-2 с металлическим крылом "стрельчатой конструкции".</w:t>
      </w:r>
    </w:p>
    <w:p w14:paraId="1142D2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"Послабление" в отношении 18-го авиазавода объясняется следующим образом. Дело в том, что 30 марта бригада испытателей НИИ ВВС рапортовала руководству об успешном завершении государственных летных испытаний опытного штурмовика Ил-8 АМ-42 с более высокими, чем у Ил-2, летными данными. Самолет имел много общего с Ил-2, и в случае внедрения его в массовое производство можно было использовать те же конвейеры и большую часть имеющейся оснастки. По этой причине наркомат авиапромышленности вынашивал планы перевода производства авиазавода № 18 на серийный выпуск Ил-8 уже с лета 1944 г., а авиазаводов № 1 и № 30 - в первом полугодии следующего года. Кроме этого, на завершающей стадии заводских испытаний находился опытный штурмовик ОКБ Сухого Су-6, который лучше подходил для боя, чем Ил-8. На подходе был еще один опытный штурмовик - Ил-10 АМ-42. Учитывая эти обстоятельства, было решено, с форсированием выпуска модифицированного Ил-2 на 18-м авиазаводе подождать до тех пор, пока не станет ясно, какой из трех опытных штурмовиков будет принят на вооружение ВВС.</w:t>
      </w:r>
    </w:p>
    <w:p w14:paraId="4B8451B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документов, завод № 18 вышел на плановый уровень производства Ил-2 с металлическим крылом "со стрелкой" лишь к июню, а 1-й и 30-й заводы - к сентябрю 1944 г. Всего к концу года в ВВС поступило 7377 Ил-2 "крыло со стрелкой". При этом авиазаводы № 1 и № 30 выпускали самолеты и с металлическим, и с деревянным крылом. Все самолеты имели "стандартное" для 1944 г. наступательное вооружение: пушки ВЯ, пулеметы ШКАС, "эрэ- сы" и бомбы. Пушки НС-37 на них никогда не устанавливались (12020).</w:t>
      </w:r>
    </w:p>
    <w:p w14:paraId="2E3EF05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F97B2F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3 апреля 1944 г. вышло постановление ГКО № 5526 об ускорении производства Ил-2 с металлическими крыльями на заводе № 1 (11982).</w:t>
      </w:r>
    </w:p>
    <w:p w14:paraId="39B99A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0729C9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вышло Постановление ГКО № 5525 Об авиационном моторе АМ-42. РГАНИР, Фонд ГКО, д. 224, лл. 168-169 (11012).</w:t>
      </w:r>
    </w:p>
    <w:p w14:paraId="67EEAC8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A5D255C" w14:textId="77777777" w:rsidR="00846998" w:rsidRPr="00070ADE" w:rsidRDefault="0084699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вышло Постановление ГКО № 5525 Об авиационном моторе АМ-42</w:t>
      </w:r>
    </w:p>
    <w:p w14:paraId="726F195A" w14:textId="77777777" w:rsidR="00846998" w:rsidRPr="00070ADE" w:rsidRDefault="00846998"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Г ос ударстввенный Комитет Оборону отмечает, что главный конструктор т.Микулин до сих пор не обеспечил доводку и проведение государственных испытаний мотора АМ-42. Тов.Никулин, находясь в Москве, в отрыве т Куй</w:t>
      </w:r>
      <w:r w:rsidRPr="00070ADE">
        <w:rPr>
          <w:rFonts w:ascii="Times New Roman" w:hAnsi="Times New Roman" w:cs="Times New Roman"/>
          <w:color w:val="000000" w:themeColor="text1"/>
          <w:sz w:val="16"/>
          <w:szCs w:val="16"/>
        </w:rPr>
        <w:softHyphen/>
        <w:t>бышевского завода лично не руководил работой по доводке мотора, не уделял этому вопросу должного внима</w:t>
      </w:r>
      <w:r w:rsidRPr="00070ADE">
        <w:rPr>
          <w:rFonts w:ascii="Times New Roman" w:hAnsi="Times New Roman" w:cs="Times New Roman"/>
          <w:color w:val="000000" w:themeColor="text1"/>
          <w:sz w:val="16"/>
          <w:szCs w:val="16"/>
        </w:rPr>
        <w:softHyphen/>
        <w:t>ния , но оставаясь главным конструктором Завода № 24,тор</w:t>
      </w:r>
      <w:r w:rsidRPr="00070ADE">
        <w:rPr>
          <w:rFonts w:ascii="Times New Roman" w:hAnsi="Times New Roman" w:cs="Times New Roman"/>
          <w:color w:val="000000" w:themeColor="text1"/>
          <w:sz w:val="16"/>
          <w:szCs w:val="16"/>
        </w:rPr>
        <w:softHyphen/>
        <w:t>мозил тем самым принятие своевременных мер по доводке мотора на заводе № 24.</w:t>
      </w:r>
    </w:p>
    <w:p w14:paraId="2B2C9738" w14:textId="77777777" w:rsidR="00846998" w:rsidRPr="00070ADE" w:rsidRDefault="00846998"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Считая совершенно нетерпимым создавшееся положение с руководством доводкой мотора АМ-42, Государственный Комитет Обороны постановляет:</w:t>
      </w:r>
    </w:p>
    <w:p w14:paraId="68B20D31" w14:textId="77777777" w:rsidR="00846998" w:rsidRPr="00070ADE" w:rsidRDefault="00846998"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1. Освободить тов.Микулина от обязанностей главно</w:t>
      </w:r>
      <w:r w:rsidRPr="00070ADE">
        <w:rPr>
          <w:rFonts w:ascii="Times New Roman" w:hAnsi="Times New Roman" w:cs="Times New Roman"/>
          <w:color w:val="000000" w:themeColor="text1"/>
          <w:sz w:val="16"/>
          <w:szCs w:val="16"/>
        </w:rPr>
        <w:softHyphen/>
        <w:t>го конструктора завода № 24в Куйбышеве, оставив его главный конструктором заводов 300 к 45 в Москве.</w:t>
      </w:r>
    </w:p>
    <w:p w14:paraId="11B10671" w14:textId="77777777" w:rsidR="00846998" w:rsidRPr="00070ADE" w:rsidRDefault="00846998" w:rsidP="00B56F90">
      <w:pPr>
        <w:pStyle w:val="47"/>
        <w:shd w:val="clear" w:color="auto" w:fill="auto"/>
        <w:tabs>
          <w:tab w:val="left" w:pos="1446"/>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2. Наэначить главным конструктором завода № 24 тов.Флиокого М</w:t>
      </w:r>
      <w:r w:rsidRPr="00070ADE">
        <w:rPr>
          <w:rStyle w:val="1pt"/>
          <w:rFonts w:ascii="Times New Roman" w:hAnsi="Times New Roman" w:cs="Times New Roman"/>
          <w:color w:val="000000" w:themeColor="text1"/>
          <w:spacing w:val="0"/>
          <w:sz w:val="16"/>
          <w:szCs w:val="16"/>
        </w:rPr>
        <w:t>.Р.,</w:t>
      </w:r>
      <w:r w:rsidRPr="00070ADE">
        <w:rPr>
          <w:rFonts w:ascii="Times New Roman" w:hAnsi="Times New Roman" w:cs="Times New Roman"/>
          <w:color w:val="000000" w:themeColor="text1"/>
          <w:sz w:val="16"/>
          <w:szCs w:val="16"/>
        </w:rPr>
        <w:t xml:space="preserve"> поручив ему доводку, проведение го</w:t>
      </w:r>
      <w:r w:rsidRPr="00070ADE">
        <w:rPr>
          <w:rFonts w:ascii="Times New Roman" w:hAnsi="Times New Roman" w:cs="Times New Roman"/>
          <w:color w:val="000000" w:themeColor="text1"/>
          <w:sz w:val="16"/>
          <w:szCs w:val="16"/>
        </w:rPr>
        <w:softHyphen/>
        <w:t>сударственных испытаний и дальнейшее развитие мотора АМ-42.</w:t>
      </w:r>
    </w:p>
    <w:p w14:paraId="4F50D745" w14:textId="77777777" w:rsidR="00846998" w:rsidRPr="00070ADE" w:rsidRDefault="00846998" w:rsidP="00B56F90">
      <w:pPr>
        <w:pStyle w:val="47"/>
        <w:shd w:val="clear" w:color="auto" w:fill="auto"/>
        <w:tabs>
          <w:tab w:val="left" w:pos="1431"/>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3. Обяэать директора завода № 24 - т. Жез лова и глав</w:t>
      </w:r>
      <w:r w:rsidRPr="00070ADE">
        <w:rPr>
          <w:rFonts w:ascii="Times New Roman" w:hAnsi="Times New Roman" w:cs="Times New Roman"/>
          <w:color w:val="000000" w:themeColor="text1"/>
          <w:sz w:val="16"/>
          <w:szCs w:val="16"/>
        </w:rPr>
        <w:softHyphen/>
        <w:t>ного конструктора - т. Флисского обеспечить проведение государственных испытаний мотора АМ-42. в апреле 1944г .</w:t>
      </w:r>
    </w:p>
    <w:p w14:paraId="42B62C08" w14:textId="77777777" w:rsidR="00846998" w:rsidRPr="00070ADE" w:rsidRDefault="0084699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Для оказания необходимой помощи в быстрейшей доводке мотора АМ-42 командировать на завод 24 комис</w:t>
      </w:r>
      <w:r w:rsidRPr="00070ADE">
        <w:rPr>
          <w:rFonts w:ascii="Times New Roman" w:hAnsi="Times New Roman"/>
          <w:color w:val="000000" w:themeColor="text1"/>
          <w:sz w:val="16"/>
          <w:szCs w:val="16"/>
        </w:rPr>
        <w:softHyphen/>
        <w:t>сию в составе: главного конструктора завода № 26 - тов. Климова (руководитель комиссий</w:t>
      </w:r>
      <w:r w:rsidRPr="00070ADE">
        <w:rPr>
          <w:rFonts w:ascii="Times New Roman" w:hAnsi="Times New Roman"/>
          <w:color w:val="000000" w:themeColor="text1"/>
          <w:sz w:val="16"/>
          <w:szCs w:val="16"/>
          <w:vertAlign w:val="subscript"/>
        </w:rPr>
        <w:t xml:space="preserve">г </w:t>
      </w:r>
      <w:r w:rsidRPr="00070ADE">
        <w:rPr>
          <w:rFonts w:ascii="Times New Roman" w:hAnsi="Times New Roman"/>
          <w:color w:val="000000" w:themeColor="text1"/>
          <w:sz w:val="16"/>
          <w:szCs w:val="16"/>
        </w:rPr>
        <w:t>начальника моторного отдела ВВС КА - тов.Левина, начальника отдела прочности ЦИАМ - тов.Кинасошвили и заместителя наркома авиационной промышленности - тов.Кузнецова В.П.</w:t>
      </w:r>
    </w:p>
    <w:p w14:paraId="61C3F88F" w14:textId="18C88F8C" w:rsidR="00846998" w:rsidRPr="00070ADE" w:rsidRDefault="0084699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Разрешить директору завода № 24 - тов. Козлову и главному конструктору - т. Фдисскому оставить на эаводе № 24</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весь личный состав опытно-конструкторского бюро, а также оборудование опытных цехов по состоянию на 1 марта </w:t>
      </w:r>
      <w:r w:rsidRPr="00070ADE">
        <w:rPr>
          <w:rStyle w:val="1pt"/>
          <w:rFonts w:ascii="Times New Roman" w:hAnsi="Times New Roman" w:cs="Times New Roman"/>
          <w:color w:val="000000" w:themeColor="text1"/>
          <w:spacing w:val="0"/>
          <w:sz w:val="16"/>
          <w:szCs w:val="16"/>
        </w:rPr>
        <w:t xml:space="preserve">с.г;, </w:t>
      </w:r>
      <w:r w:rsidRPr="00070ADE">
        <w:rPr>
          <w:rFonts w:ascii="Times New Roman" w:hAnsi="Times New Roman"/>
          <w:color w:val="000000" w:themeColor="text1"/>
          <w:sz w:val="16"/>
          <w:szCs w:val="16"/>
        </w:rPr>
        <w:t xml:space="preserve">для работы по дальнейшему развитию мотора </w:t>
      </w:r>
      <w:r w:rsidRPr="00070ADE">
        <w:rPr>
          <w:rFonts w:ascii="Times New Roman" w:hAnsi="Times New Roman"/>
          <w:color w:val="000000" w:themeColor="text1"/>
          <w:sz w:val="16"/>
          <w:szCs w:val="16"/>
          <w:lang w:val="en-US"/>
        </w:rPr>
        <w:t>AM</w:t>
      </w:r>
      <w:r w:rsidRPr="00070ADE">
        <w:rPr>
          <w:rFonts w:ascii="Times New Roman" w:hAnsi="Times New Roman"/>
          <w:color w:val="000000" w:themeColor="text1"/>
          <w:sz w:val="16"/>
          <w:szCs w:val="16"/>
        </w:rPr>
        <w:t>-42 (19480).</w:t>
      </w:r>
    </w:p>
    <w:p w14:paraId="362374FE" w14:textId="77777777" w:rsidR="00420257" w:rsidRPr="00070ADE" w:rsidRDefault="00420257" w:rsidP="00B56F90">
      <w:pPr>
        <w:autoSpaceDE w:val="0"/>
        <w:autoSpaceDN w:val="0"/>
        <w:adjustRightInd w:val="0"/>
        <w:spacing w:after="0" w:line="240" w:lineRule="auto"/>
        <w:jc w:val="both"/>
        <w:rPr>
          <w:rFonts w:ascii="Times New Roman" w:hAnsi="Times New Roman"/>
          <w:color w:val="000000" w:themeColor="text1"/>
          <w:sz w:val="16"/>
          <w:szCs w:val="16"/>
        </w:rPr>
      </w:pPr>
    </w:p>
    <w:p w14:paraId="05591074" w14:textId="77777777" w:rsidR="007249B9" w:rsidRPr="00070ADE" w:rsidRDefault="007249B9" w:rsidP="00B56F90">
      <w:pPr>
        <w:spacing w:after="0" w:line="240" w:lineRule="auto"/>
        <w:jc w:val="both"/>
        <w:rPr>
          <w:rStyle w:val="841"/>
          <w:rFonts w:ascii="Times New Roman" w:hAnsi="Times New Roman" w:cs="Times New Roman"/>
          <w:color w:val="000000" w:themeColor="text1"/>
          <w:sz w:val="16"/>
          <w:szCs w:val="16"/>
        </w:rPr>
      </w:pPr>
      <w:r w:rsidRPr="00070ADE">
        <w:rPr>
          <w:rStyle w:val="841"/>
          <w:rFonts w:ascii="Times New Roman" w:hAnsi="Times New Roman" w:cs="Times New Roman"/>
          <w:color w:val="000000" w:themeColor="text1"/>
          <w:sz w:val="16"/>
          <w:szCs w:val="16"/>
        </w:rPr>
        <w:t>3 апреля 1944 постановле</w:t>
      </w:r>
      <w:r w:rsidRPr="00070ADE">
        <w:rPr>
          <w:rStyle w:val="841"/>
          <w:rFonts w:ascii="Times New Roman" w:hAnsi="Times New Roman" w:cs="Times New Roman"/>
          <w:color w:val="000000" w:themeColor="text1"/>
          <w:sz w:val="16"/>
          <w:szCs w:val="16"/>
        </w:rPr>
        <w:softHyphen/>
        <w:t>нием ГОКО № 5525с Александра Александровича Микулина освободил от обязанно</w:t>
      </w:r>
      <w:r w:rsidRPr="00070ADE">
        <w:rPr>
          <w:rStyle w:val="841"/>
          <w:rFonts w:ascii="Times New Roman" w:hAnsi="Times New Roman" w:cs="Times New Roman"/>
          <w:color w:val="000000" w:themeColor="text1"/>
          <w:sz w:val="16"/>
          <w:szCs w:val="16"/>
        </w:rPr>
        <w:softHyphen/>
        <w:t>стей Главного конструктора завода № 24 в Куйбышеве (Самара), при этом он оставался Главным конструктором московских заводов №№ 45 и 300. Помимо доводки АМ-42, на основе этого мотора под руководством М.Р. Флисского был разработан ряд новых двига</w:t>
      </w:r>
      <w:r w:rsidRPr="00070ADE">
        <w:rPr>
          <w:rStyle w:val="841"/>
          <w:rFonts w:ascii="Times New Roman" w:hAnsi="Times New Roman" w:cs="Times New Roman"/>
          <w:color w:val="000000" w:themeColor="text1"/>
          <w:sz w:val="16"/>
          <w:szCs w:val="16"/>
        </w:rPr>
        <w:softHyphen/>
        <w:t>телей и их модификаций: М-43, М-44, М-45, М- 46 и М-47, которые во многих документах обозначались еще «МФ», что вероятнее всего значит «мотор Флисского» (19912).</w:t>
      </w:r>
    </w:p>
    <w:p w14:paraId="44D8ED1C" w14:textId="77777777" w:rsidR="007249B9" w:rsidRPr="00070ADE" w:rsidRDefault="007249B9" w:rsidP="00B56F90">
      <w:pPr>
        <w:spacing w:after="0" w:line="240" w:lineRule="auto"/>
        <w:jc w:val="both"/>
        <w:rPr>
          <w:rFonts w:ascii="Times New Roman" w:hAnsi="Times New Roman"/>
          <w:color w:val="000000" w:themeColor="text1"/>
          <w:sz w:val="16"/>
          <w:szCs w:val="16"/>
        </w:rPr>
      </w:pPr>
    </w:p>
    <w:p w14:paraId="094C15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вышло Постановление ГКО № 5526 Об ускорении производства истребителей Як-3 на заводе № 292 и штурмовиков Ил-2 с металлическими крыльями на заводах № 1 и 30. РГАНИР, Фонд ГКО, д. 224, лл. 170-171 (11012).</w:t>
      </w:r>
    </w:p>
    <w:p w14:paraId="46DFF3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88E93EE" w14:textId="77777777" w:rsidR="00076BEB" w:rsidRPr="00070ADE" w:rsidRDefault="00076B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вышло Постановление ГКО № 5526 Об ускорении производства истребителей Як-3 на заводе № 292 и штурмовиков Ил-2 с металлическими крыльями на заводах № 1 и 30</w:t>
      </w:r>
    </w:p>
    <w:p w14:paraId="30CDDE0A" w14:textId="77777777" w:rsidR="00076BEB" w:rsidRPr="00070ADE" w:rsidRDefault="00076BEB"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Государственной Комитет Сбороны посттвновляет:</w:t>
      </w:r>
    </w:p>
    <w:p w14:paraId="64CBF189" w14:textId="77777777" w:rsidR="00076BEB" w:rsidRPr="00070ADE" w:rsidRDefault="00076BEB"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 Обязать Наркомавиапром - т.Шахурина, директора завода № 292 - т.Левина всемерно ускорить производство истребителей Як-3 и обеспечить следующий выпуск: в апре</w:t>
      </w:r>
      <w:r w:rsidRPr="00070ADE">
        <w:rPr>
          <w:rFonts w:ascii="Times New Roman" w:cs="Times New Roman"/>
          <w:color w:val="000000" w:themeColor="text1"/>
          <w:spacing w:val="0"/>
          <w:sz w:val="16"/>
          <w:szCs w:val="16"/>
        </w:rPr>
        <w:softHyphen/>
        <w:t>ле - 45, в мае - 90 и в июне - 135 самслетов.</w:t>
      </w:r>
    </w:p>
    <w:p w14:paraId="7EFDEEAE" w14:textId="77777777" w:rsidR="00076BEB" w:rsidRPr="00070ADE" w:rsidRDefault="00076BEB"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Для облегчения перехода завода № 292 на производ</w:t>
      </w:r>
      <w:r w:rsidRPr="00070ADE">
        <w:rPr>
          <w:rFonts w:ascii="Times New Roman" w:cs="Times New Roman"/>
          <w:color w:val="000000" w:themeColor="text1"/>
          <w:spacing w:val="0"/>
          <w:sz w:val="16"/>
          <w:szCs w:val="16"/>
        </w:rPr>
        <w:softHyphen/>
        <w:t xml:space="preserve">ство самолетов Як-3 установить с 1 апреля </w:t>
      </w:r>
      <w:r w:rsidRPr="00070ADE">
        <w:rPr>
          <w:rStyle w:val="0pt"/>
          <w:rFonts w:ascii="Times New Roman" w:cs="Times New Roman"/>
          <w:color w:val="000000" w:themeColor="text1"/>
          <w:spacing w:val="0"/>
          <w:sz w:val="16"/>
          <w:szCs w:val="16"/>
        </w:rPr>
        <w:t>1944</w:t>
      </w:r>
      <w:r w:rsidRPr="00070ADE">
        <w:rPr>
          <w:rFonts w:ascii="Times New Roman" w:cs="Times New Roman"/>
          <w:color w:val="000000" w:themeColor="text1"/>
          <w:spacing w:val="0"/>
          <w:sz w:val="16"/>
          <w:szCs w:val="16"/>
        </w:rPr>
        <w:t xml:space="preserve"> года про</w:t>
      </w:r>
      <w:r w:rsidRPr="00070ADE">
        <w:rPr>
          <w:rFonts w:ascii="Times New Roman" w:cs="Times New Roman"/>
          <w:color w:val="000000" w:themeColor="text1"/>
          <w:spacing w:val="0"/>
          <w:sz w:val="16"/>
          <w:szCs w:val="16"/>
        </w:rPr>
        <w:softHyphen/>
        <w:t>грамму выпуска самолетов Як-3 и Як-1 по 8 самолетов в день, вместо выпускаемых в настоящее время 10 самолетов в день.</w:t>
      </w:r>
    </w:p>
    <w:p w14:paraId="6EBA8836" w14:textId="77777777" w:rsidR="00076BEB" w:rsidRPr="00070ADE" w:rsidRDefault="00076BEB"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 xml:space="preserve">2. Обязать Наркомавиапром- т.Шахурина, директора завода № 1 - т.Третьякова всемерно ускорить переход па производство самолетов Ил-2 с металлическими крыльями и обеспечить при всех условиях следующий выпуск самолетов Ил-2 с металлическими крыльями: в апреле - </w:t>
      </w:r>
      <w:r w:rsidRPr="00070ADE">
        <w:rPr>
          <w:rStyle w:val="0pt"/>
          <w:rFonts w:ascii="Times New Roman" w:cs="Times New Roman"/>
          <w:color w:val="000000" w:themeColor="text1"/>
          <w:spacing w:val="0"/>
          <w:sz w:val="16"/>
          <w:szCs w:val="16"/>
        </w:rPr>
        <w:t>60,</w:t>
      </w:r>
      <w:r w:rsidRPr="00070ADE">
        <w:rPr>
          <w:rFonts w:ascii="Times New Roman" w:cs="Times New Roman"/>
          <w:color w:val="000000" w:themeColor="text1"/>
          <w:spacing w:val="0"/>
          <w:sz w:val="16"/>
          <w:szCs w:val="16"/>
        </w:rPr>
        <w:t xml:space="preserve"> в мае - </w:t>
      </w:r>
      <w:r w:rsidRPr="00070ADE">
        <w:rPr>
          <w:rStyle w:val="0pt"/>
          <w:rFonts w:ascii="Times New Roman" w:cs="Times New Roman"/>
          <w:color w:val="000000" w:themeColor="text1"/>
          <w:spacing w:val="0"/>
          <w:sz w:val="16"/>
          <w:szCs w:val="16"/>
        </w:rPr>
        <w:t>180</w:t>
      </w:r>
      <w:r w:rsidRPr="00070ADE">
        <w:rPr>
          <w:rFonts w:ascii="Times New Roman" w:cs="Times New Roman"/>
          <w:color w:val="000000" w:themeColor="text1"/>
          <w:spacing w:val="0"/>
          <w:sz w:val="16"/>
          <w:szCs w:val="16"/>
        </w:rPr>
        <w:t xml:space="preserve"> самолетов.</w:t>
      </w:r>
    </w:p>
    <w:p w14:paraId="05087B54" w14:textId="77777777" w:rsidR="00076BEB" w:rsidRPr="00070ADE" w:rsidRDefault="00076BEB"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 xml:space="preserve">Установить заводу № 1 с 1 апреля </w:t>
      </w:r>
      <w:r w:rsidRPr="00070ADE">
        <w:rPr>
          <w:rStyle w:val="0pt"/>
          <w:rFonts w:ascii="Times New Roman" w:cs="Times New Roman"/>
          <w:color w:val="000000" w:themeColor="text1"/>
          <w:spacing w:val="0"/>
          <w:sz w:val="16"/>
          <w:szCs w:val="16"/>
        </w:rPr>
        <w:t>1944</w:t>
      </w:r>
      <w:r w:rsidRPr="00070ADE">
        <w:rPr>
          <w:rFonts w:ascii="Times New Roman" w:cs="Times New Roman"/>
          <w:color w:val="000000" w:themeColor="text1"/>
          <w:spacing w:val="0"/>
          <w:sz w:val="16"/>
          <w:szCs w:val="16"/>
        </w:rPr>
        <w:t xml:space="preserve"> года вы</w:t>
      </w:r>
      <w:r w:rsidRPr="00070ADE">
        <w:rPr>
          <w:rFonts w:ascii="Times New Roman" w:cs="Times New Roman"/>
          <w:color w:val="000000" w:themeColor="text1"/>
          <w:spacing w:val="0"/>
          <w:sz w:val="16"/>
          <w:szCs w:val="16"/>
        </w:rPr>
        <w:softHyphen/>
        <w:t>пуск по 11 самолетов в день» вместо выпускаемых в настоя</w:t>
      </w:r>
      <w:r w:rsidRPr="00070ADE">
        <w:rPr>
          <w:rFonts w:ascii="Times New Roman" w:cs="Times New Roman"/>
          <w:color w:val="000000" w:themeColor="text1"/>
          <w:spacing w:val="0"/>
          <w:sz w:val="16"/>
          <w:szCs w:val="16"/>
        </w:rPr>
        <w:softHyphen/>
        <w:t>щее время 14 самслетов в день</w:t>
      </w:r>
    </w:p>
    <w:p w14:paraId="316FF4CC" w14:textId="31099153" w:rsidR="00076BEB" w:rsidRPr="00070ADE" w:rsidRDefault="00076B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Обязать Наркомавиапром</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т.Шахурина и директора за</w:t>
      </w:r>
      <w:r w:rsidRPr="00070ADE">
        <w:rPr>
          <w:rFonts w:ascii="Times New Roman" w:hAnsi="Times New Roman"/>
          <w:color w:val="000000" w:themeColor="text1"/>
          <w:sz w:val="16"/>
          <w:szCs w:val="16"/>
        </w:rPr>
        <w:softHyphen/>
        <w:t>вода № 30 - т.Смирнова всемерно ускорить переход на произ</w:t>
      </w:r>
      <w:r w:rsidRPr="00070ADE">
        <w:rPr>
          <w:rFonts w:ascii="Times New Roman" w:hAnsi="Times New Roman"/>
          <w:color w:val="000000" w:themeColor="text1"/>
          <w:sz w:val="16"/>
          <w:szCs w:val="16"/>
        </w:rPr>
        <w:softHyphen/>
        <w:t>водство самолетов Ил-2 с металлическими крыльями и обеспечить при всех условиях следующий выпуск самолетов Ил-4 с металли</w:t>
      </w:r>
      <w:r w:rsidRPr="00070ADE">
        <w:rPr>
          <w:rFonts w:ascii="Times New Roman" w:hAnsi="Times New Roman"/>
          <w:color w:val="000000" w:themeColor="text1"/>
          <w:sz w:val="16"/>
          <w:szCs w:val="16"/>
        </w:rPr>
        <w:softHyphen/>
        <w:t>ческими крыльями: в апреле - 50 и в мае - 170 самолетов.</w:t>
      </w:r>
    </w:p>
    <w:p w14:paraId="2F0F0130" w14:textId="77777777" w:rsidR="00076BEB" w:rsidRPr="00070ADE" w:rsidRDefault="00076B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Установить заводу № 30 с 1 апреля 1944 года выпуск по 9 самолетов в день, вместо выпускаемых в настоящее время 10 самолетов в день.</w:t>
      </w:r>
    </w:p>
    <w:p w14:paraId="6DAD686D" w14:textId="77777777" w:rsidR="00076BEB" w:rsidRPr="00070ADE" w:rsidRDefault="00076B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4. Госплану </w:t>
      </w:r>
      <w:r w:rsidRPr="00070ADE">
        <w:rPr>
          <w:rFonts w:ascii="Times New Roman" w:hAnsi="Times New Roman"/>
          <w:color w:val="000000" w:themeColor="text1"/>
          <w:sz w:val="16"/>
          <w:szCs w:val="16"/>
          <w:lang w:val="en-US"/>
        </w:rPr>
        <w:t>CCCF</w:t>
      </w:r>
      <w:r w:rsidRPr="00070ADE">
        <w:rPr>
          <w:rFonts w:ascii="Times New Roman" w:hAnsi="Times New Roman"/>
          <w:color w:val="000000" w:themeColor="text1"/>
          <w:sz w:val="16"/>
          <w:szCs w:val="16"/>
        </w:rPr>
        <w:t xml:space="preserve"> и Наркотину </w:t>
      </w:r>
      <w:r w:rsidRPr="00070ADE">
        <w:rPr>
          <w:rFonts w:ascii="Times New Roman" w:hAnsi="Times New Roman"/>
          <w:color w:val="000000" w:themeColor="text1"/>
          <w:sz w:val="16"/>
          <w:szCs w:val="16"/>
          <w:lang w:val="en-US"/>
        </w:rPr>
        <w:t>CCCF</w:t>
      </w:r>
      <w:r w:rsidRPr="00070ADE">
        <w:rPr>
          <w:rFonts w:ascii="Times New Roman" w:hAnsi="Times New Roman"/>
          <w:color w:val="000000" w:themeColor="text1"/>
          <w:sz w:val="16"/>
          <w:szCs w:val="16"/>
        </w:rPr>
        <w:t xml:space="preserve"> ввести в годовой и квартально-хозяйственный план заводов Наркоиавиапрома соответ ствующие уточнения, вытекающие из настоящего постановления (19481).</w:t>
      </w:r>
    </w:p>
    <w:p w14:paraId="308BFD35" w14:textId="77777777" w:rsidR="00076BEB" w:rsidRPr="00070ADE" w:rsidRDefault="00076BEB" w:rsidP="00B56F90">
      <w:pPr>
        <w:autoSpaceDE w:val="0"/>
        <w:autoSpaceDN w:val="0"/>
        <w:adjustRightInd w:val="0"/>
        <w:spacing w:after="0" w:line="240" w:lineRule="auto"/>
        <w:jc w:val="both"/>
        <w:rPr>
          <w:rFonts w:ascii="Times New Roman" w:hAnsi="Times New Roman"/>
          <w:color w:val="000000" w:themeColor="text1"/>
          <w:sz w:val="16"/>
          <w:szCs w:val="16"/>
        </w:rPr>
      </w:pPr>
    </w:p>
    <w:p w14:paraId="057DAB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3 по 18 апреля 1944 на курсах им. Ворошилова проходил второй этап испытаний - стрельбой 37-мм противотанковых пушек, а первый - с 26 марта по 2 апреля 1944 на аэродроме у Медвежьих озер на базе отдельной испытательной эскадрильи (3861).</w:t>
      </w:r>
    </w:p>
    <w:p w14:paraId="41255D6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7CB0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состоялось заседание коллегии НКАП по вопросу "Об итогах проведенной работы по внедрению поточного метода производства на заводах НКАП (1743).</w:t>
      </w:r>
    </w:p>
    <w:p w14:paraId="378828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8867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года начальник ЦИАМ профессор Поликовский писали письмо Шахурину.</w:t>
      </w:r>
    </w:p>
    <w:p w14:paraId="74F6FE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Вопрос, затронутый Фадеевым и другими, об авторах схемы реактивно-винтовой моторной установки совершенно не важен. Принципиального различия в схемах ЦАГИ и ЦИАМ не имеется. Имеющиеся технические различия являются естественным следствием процесса разработки схемы двигателя.</w:t>
      </w:r>
    </w:p>
    <w:p w14:paraId="427E0C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Конечно, отсутствие ссылки на ЦИАМ в техническом отчете ЦАГИ за 1943 г., является не тактичным, но этот вопрос не заслуживает особенного внимания (1825,19).</w:t>
      </w:r>
    </w:p>
    <w:p w14:paraId="78BEC0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DCDA9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BBBE7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6936E1" w14:textId="77777777" w:rsidR="00AE5FD0" w:rsidRPr="00C94B78" w:rsidRDefault="00AE5FD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3-4 апреля 1944 года датирован эскиз модернизации ИС-2, проработанный художником Добровольским. Что как раз соответствует требованиям, которые прорабатывались ГБТУ КА в конце марта 1944 года. Машина эта крайне интересно тем, что именно у нее двухместное отделение управления. Также данный вариант танка получал планетарную трансмиссию, что также предусматривалось требованиями. Ну а спрямленная носовая деталь корпуса - таковую можно видеть и на самых первых вариантах Объекта 701.</w:t>
      </w:r>
    </w:p>
    <w:p w14:paraId="706B4215" w14:textId="77777777" w:rsidR="00AE5FD0" w:rsidRPr="00C94B78" w:rsidRDefault="00AE5FD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Не менее интересно выглядела башня данного танка. В ней можно заметить прямое влияние Объекта 701. Для повышения стойкости переделывалась орудийная установка. От съемной неподвижной бронировки отказывались, а на крыше башни появлялся люк, через который происходила выемка орудия. Данное решение впервые появилось на Объекте 701. Также по его мотивам проектировалась пониженная командирская башенка, получавшая спереди и сзади смотровые перископические приборы. Данная идея пересекалась с командирскими башенками английских танков, например, Churchill III/IV, который в Челябинске подробно изучали.</w:t>
      </w:r>
    </w:p>
    <w:p w14:paraId="5DD3127E" w14:textId="77777777" w:rsidR="00AE5FD0" w:rsidRPr="00C94B78" w:rsidRDefault="00AE5FD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Самой интересной особенностью танка, безусловно, являлась компоновка с кормовым расположением боевого отделения. Такая схема диктовалась необходимостью более рационально распределить нагрузку на шасси, а также уменьшить вылет ствола за пределы шасси. Надо сказать, что немцы с аналогичными проектами также пытались решить проблему вылета ствола, а также чрезмерной нагрузки на передние опорные катки. Но минусов у этой компоновки оказывалось едва ли не больше. Например, расчет башни немилосердно болтало вверх-вниз.</w:t>
      </w:r>
    </w:p>
    <w:p w14:paraId="05795726" w14:textId="77777777" w:rsidR="00AE5FD0" w:rsidRPr="00C94B78" w:rsidRDefault="00AE5FD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Дальше эскизного проекта данный проект модернизации ИС-2 не пошел. Но именно он лёг в основу того самого проекта модернизации ИС-2, который завод №100 разработал во второй половине апреля 1944 года. С него, в измененном виде, взяли башню, конструкцию "ванны" корпуса, системы охлаждения двигателя, а также опорные катки большого диаметра. А позже всё это трансформировалось в проект ИС-6, который, совершенно внезапно, также создавался в варианте с планетарной и электромеханической трансмиссией. Так что под соусом модернизации ИС-2 всё равно получился конкурент Объекту 701 (24939).</w:t>
      </w:r>
    </w:p>
    <w:p w14:paraId="1B110B73" w14:textId="77777777" w:rsidR="00AE5FD0" w:rsidRPr="00C94B78" w:rsidRDefault="00AE5FD0" w:rsidP="00B56F90">
      <w:pPr>
        <w:spacing w:after="0" w:line="240" w:lineRule="auto"/>
        <w:jc w:val="both"/>
        <w:rPr>
          <w:rFonts w:ascii="Times New Roman" w:hAnsi="Times New Roman"/>
          <w:color w:val="0070C0"/>
          <w:sz w:val="16"/>
          <w:szCs w:val="16"/>
        </w:rPr>
      </w:pPr>
    </w:p>
    <w:p w14:paraId="52B45A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г. была подготовлена ДОКЛАДНАЯ ЗАПИСКА КОМАНДУЮЩЕГО БТ и МВ КА ЗАМЕСТИТЕЛЮ ПРЕДСЕДАТЕЛЯ СНК СССР Л.П.БЕРИИ О ПОВЫШЕНИИ БРОНЕСТОЙКОСТИ ТАНКОВ Т-34 И САМОХОДНЫХ УСТАНОВОК СУ-85 №521559</w:t>
      </w:r>
    </w:p>
    <w:p w14:paraId="6C067A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повышения бронестойкости танка Т-VI (Тигр), немцы возимый запасный комплект тра</w:t>
      </w:r>
      <w:r w:rsidRPr="00070ADE">
        <w:rPr>
          <w:rFonts w:ascii="Times New Roman" w:hAnsi="Times New Roman"/>
          <w:color w:val="000000" w:themeColor="text1"/>
          <w:sz w:val="16"/>
          <w:szCs w:val="16"/>
        </w:rPr>
        <w:softHyphen/>
        <w:t>ков укрепляют на вертикальную броню передней части корпуса.</w:t>
      </w:r>
    </w:p>
    <w:p w14:paraId="4FA8BF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проверки эффективности этого мероприятия, в марте месяце 1944 г. на НИБТ полигоне ГБТУ КА проводились испытания обстрелом передней части корпуса (деталь 34.29.904) танка Т-34 с траками, закрепленными на переднем верхнем броневом листе.</w:t>
      </w:r>
    </w:p>
    <w:p w14:paraId="17C7AD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Обстрел производился бронебойным 75-мм снарядом из немецкой пушки (Рак 40), имеющей начальную скорость равную 770 м/с.</w:t>
      </w:r>
    </w:p>
    <w:p w14:paraId="624F48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Испытаниями установлено, что передняя часть корпуса, незащищенная траками, пробивается 75-мм бронебойным снарядом немецкой пушки (Рак 40) на дистанции 800 метров и не пробивается на дистанции 900 метров, а защищенная передняя часть корпуса танка Т-34 пробивается на дис</w:t>
      </w:r>
      <w:r w:rsidRPr="00070ADE">
        <w:rPr>
          <w:rFonts w:ascii="Times New Roman" w:hAnsi="Times New Roman"/>
          <w:color w:val="000000" w:themeColor="text1"/>
          <w:sz w:val="16"/>
          <w:szCs w:val="16"/>
        </w:rPr>
        <w:softHyphen/>
        <w:t>танции 1000 метров и не пробивается на дистанции 1100 метров, т.е. защита траками повышает бронестойкость на 200 метров дистанции.</w:t>
      </w:r>
    </w:p>
    <w:p w14:paraId="169C0E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Считаю целесообразным изменить существующую укладку возимых запасных траков на танках Т-34, самоходных установках СУ-85.</w:t>
      </w:r>
    </w:p>
    <w:p w14:paraId="7BF6FE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Прошу Вас обязать Наркомат танковой промышленности с 15 апреля 1944 года перенести укладку возимых запасных траков на переднюю часть корпуса танков Т-34 и самоходных установок СУ-85.</w:t>
      </w:r>
    </w:p>
    <w:p w14:paraId="4D9746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БТ и МВ КА маршал бронетанковых войск Федоренко</w:t>
      </w:r>
    </w:p>
    <w:p w14:paraId="3F7636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 военного совета БТ и МВ КА генерал-лейтенант танковых войск Бирюков</w:t>
      </w:r>
    </w:p>
    <w:p w14:paraId="350D9B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2198. Л. 18. Копия (11403).</w:t>
      </w:r>
    </w:p>
    <w:p w14:paraId="6614AA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1E7EC6E"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года командующий бронетанковыми и механизированными войсками Красной Армии Маршал бронетанковых войск Федоренко направил на имя заместителя председателя СНК СССР Л. Берии предложение «О повышении бронес- тойкости танков Т-34 и самоходных установок СУ-85», в котором предлагал следующее:</w:t>
      </w:r>
    </w:p>
    <w:p w14:paraId="79661FE2"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повышения бронестойкости танка Т-У (Тигр), немцы возимый запасный комплект траков укрепляют на вертикальную броню передней части корпуса.</w:t>
      </w:r>
    </w:p>
    <w:p w14:paraId="5DE21ED4"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проверки эффективности этого мероприятия, в марте месяце 1944 г. на НИБТ полигоне ГБТУ КА проводились испытания обстрелом передней части корпуса (деталь 34.29.904) танка Т-34 с траками, закрепленными на переднем верхнем броневом листе.</w:t>
      </w:r>
    </w:p>
    <w:p w14:paraId="46C5A36D"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Обстрел производился бронебойным 75-мм снарядом из немецкой пушки (Рак 40), имеющей начальную скорость равную 770 м/с.</w:t>
      </w:r>
    </w:p>
    <w:p w14:paraId="271B6278"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Испытаниями установлено, что передняя часть корпуса, незащищенная траками, пробивается 75-мм бронебойным снарядом немецкой пушки (Рак 40) на дистанции 800 метров и не пробивается на дистанции 900 метров, а защищенная передняя часть корпуса танка Т-34 пробивается на дистанции 1000 метров и не пробивается на дистанции 1100 метров, т.е. защита траками повышает бронес- тойкость на 200 метров дистанции.</w:t>
      </w:r>
    </w:p>
    <w:p w14:paraId="609D4F36"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Считаю целесообразным изменить существующую укладку возимых запасных траков на танках Т-34. самоходных установках СУ-85.</w:t>
      </w:r>
    </w:p>
    <w:p w14:paraId="0DF4BE9C"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Вас обязать Наркомат танковой промышленности с 15 апреля 1944 года перенести укладку возимых запасных траков на переднюю часть корпуса танков Т-34 и самоходных установок СУ-85».</w:t>
      </w:r>
    </w:p>
    <w:p w14:paraId="0141210C"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в 1944 году на лобовом листе Т-34-85 появилась укладка пяти дополнительных траков (12217).</w:t>
      </w:r>
    </w:p>
    <w:p w14:paraId="3A9D6994" w14:textId="77777777" w:rsidR="00137373" w:rsidRPr="00070ADE" w:rsidRDefault="00137373" w:rsidP="00B56F90">
      <w:pPr>
        <w:spacing w:after="0" w:line="240" w:lineRule="auto"/>
        <w:jc w:val="both"/>
        <w:rPr>
          <w:rFonts w:ascii="Times New Roman" w:hAnsi="Times New Roman"/>
          <w:color w:val="000000" w:themeColor="text1"/>
          <w:sz w:val="16"/>
          <w:szCs w:val="16"/>
        </w:rPr>
      </w:pPr>
    </w:p>
    <w:p w14:paraId="1EE97BAC" w14:textId="77777777" w:rsidR="002C7AF2" w:rsidRPr="00070ADE" w:rsidRDefault="002C7AF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с 3 по 28 апреля 1944 года состоялись повторные испытания танка Т-80 с орудием БТ-43. На сей раз их проводил Научно-Испытательный Зенитный Артиллерийский Полигон ГАУ КА (НИЗАП), подход там оказался совсем другой. Специалисты НИЗАП смотрели на танк как на ЗСУ, а не как средство отпугивания вражеских самолетов. Кроме того, танк пришел некомплектным, в частности отсутствовал прицел К-8Т. Машину пришлось ремонтировать, что несколько затянуло процесс испытаний.</w:t>
      </w:r>
    </w:p>
    <w:p w14:paraId="7E3A334C" w14:textId="77777777" w:rsidR="002C7AF2" w:rsidRPr="00070ADE" w:rsidRDefault="002C7AF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Зенитчикам танк не понравился. Как выяснилось, коллиматорный прицел мог работать в диапазоне от 25 до 57 градусов. На углах наводки меньше 25 градусов использовался телескопический прицел, что было неудобно. По итогам испытаний, в ходе которых было произведено 300 выстрелов, НИЗАП танк забраковал. В мишень, которую тащил самолет Р-5, экипаж Т-80 ни разу не попал. Финал истории оказался предсказуемым. Впрочем, тут следует уточнить еще раз один момент. Т-80 не являлся ЗСУ. Его задачей являлось ведение заградительного огня, чтобы усложнить атакующим самолетам жизнь. Настоящие же зенитные танки похоронили еще за год до испытаний на НИЗАП. Так или иначе, но пушка, предназначенная для стрельбы по вражеским танкам, умудрилась попасть в историю отечественных ЗСУ (23475).</w:t>
      </w:r>
    </w:p>
    <w:p w14:paraId="19CEE532" w14:textId="77777777" w:rsidR="002C7AF2" w:rsidRPr="00070ADE" w:rsidRDefault="002C7AF2" w:rsidP="00B56F90">
      <w:pPr>
        <w:spacing w:after="0" w:line="240" w:lineRule="auto"/>
        <w:jc w:val="both"/>
        <w:rPr>
          <w:rFonts w:ascii="Times New Roman" w:hAnsi="Times New Roman"/>
          <w:color w:val="000000" w:themeColor="text1"/>
          <w:sz w:val="16"/>
          <w:szCs w:val="16"/>
        </w:rPr>
      </w:pPr>
    </w:p>
    <w:p w14:paraId="43E830A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вышло Распоряжение ГКО № 5521 [О выделении военнослужащих на речной транспорт для работы по перевозке воинских грузов на период навигации.] (7204, 54,55-56).</w:t>
      </w:r>
    </w:p>
    <w:p w14:paraId="3D9F4C7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4523E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вышло Постановление ГКО № 5522 О плане ремонта вооружения для Красной Армии на II квартал 1944 года. РГАНИР, Фонд ГКО, д. 224, лл. 57-61,62-136 (11012).</w:t>
      </w:r>
    </w:p>
    <w:p w14:paraId="2E7E66D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23C73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вышло Постановление ГКО № 5524 О мерах неотложной помощи по восстановлению содовых заводов Наркомхимпрома в Донбассе. РГАНИР, Фонд ГКО, д. 224, лл. 142-154,155-167 (11012).</w:t>
      </w:r>
    </w:p>
    <w:p w14:paraId="241BE8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DC2D8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вышло Постановление ГКО № 5527 О мерах по обеспечению Военно-Морского Флота торпедами. РГАНИР, Фонд ГКО, д. 224, лл. 172-175,176-186 (11012).</w:t>
      </w:r>
    </w:p>
    <w:p w14:paraId="16F4FC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F8B6C3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вышло Постановление ГКО № 5528 О мерах помощи Дальнефтекомбинату для увеличения добычи нефти на острове Сахалине. (7204, 187-191,192-198).</w:t>
      </w:r>
    </w:p>
    <w:p w14:paraId="32C39D1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6EB2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вышло Постановление ГКО № 5529 О мероприятиях по укреплению материально-технической базы предприятий Казахстаннефтекомбината. РГАНИР, Фонд ГКО, д. 224, лл. 199-206,207-209 (11012).</w:t>
      </w:r>
    </w:p>
    <w:p w14:paraId="52C1EF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51A55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вышло Постановление ГКО № 5530 О запрещении привлекать личный состав строевых и запасных частей для хозяйственных работ и о формировании для этой цели во фронтах рабочих батальонов. РГАНИР, Фонд ГКО, д. 224, лл. 210-211 (11012).</w:t>
      </w:r>
    </w:p>
    <w:p w14:paraId="0E3C02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F2660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вышло Постановление ГКО № 5531 О строительстве Чусовского металлургического завода Наркомчермета. РГАНИР, Фонд ГКО, д. 224, лл. 212-214,215-220 (11012).</w:t>
      </w:r>
    </w:p>
    <w:p w14:paraId="6E63CE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5FCE4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вышло Постановление ГКО № 5533 О мероприятиях по окончанию строительства вторых очередей и вводу на полную мощность Тавдинского, Лобвинского, Красноярского и Канского гидролизных заводов. РГАНИР, Фонд ГКО, д. 224, лл. 238-242,243-249 (11012).</w:t>
      </w:r>
    </w:p>
    <w:p w14:paraId="51CFE2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F1FD2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вышло Распоряжение ГКО № 5534. О мерах по обеспечению строящихся тяжелых железнодорожных артиллерийских батарей Военно-Морского Флота вагонами погребами для боезапаса и зенитными платформами сопровождения. РГАНИР, Фонд ГКО, д. 224, лл. 250-251 (11012).</w:t>
      </w:r>
    </w:p>
    <w:p w14:paraId="72D7B6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88B9F5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вышло Распоряжение ГКО № 5535. О поставке материалов для ремонта кораблей Черноморского флота. РГАНИР, Фонд ГКО, д. 224, лл. 252-253 (11012).</w:t>
      </w:r>
    </w:p>
    <w:p w14:paraId="7F6CF5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2212C0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вышло Постановление ГКО № 5532 О мероприятиях по обеспечению вывоза хлеба речным транспортом в полноводный период навигации 1944 г. (7204, 221-226,227-237).</w:t>
      </w:r>
    </w:p>
    <w:p w14:paraId="1DA1DAA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4D628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приказом Госплана уполномоченным на местах запретили: “давать кому бы то ни было различные статистические материалы и отчеты, кроме как первому секретарю обкома, крайкомои ВКП(б) и ЦК компартий” (7643, 16).</w:t>
      </w:r>
    </w:p>
    <w:p w14:paraId="64C8A6A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AF6D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г. Приказами Госплана было запрещено Уполномоченным, в том числе их управлениям статистики “давать кому бы то ни было различные статистические материалы и отчеты, кроме как первому секретарю обкома, крайкома ВКП(б) и ЦК компартий республик и председателю Совнаркома союзной, автономной республики, обл. (крайисполкома”. Это предотвращало утечку сведений, содержащих государственную тайну (7543).</w:t>
      </w:r>
    </w:p>
    <w:p w14:paraId="65133B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EB8B1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042AF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571855"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 апреля</w:t>
      </w:r>
      <w:r w:rsidRPr="00070ADE">
        <w:rPr>
          <w:rFonts w:ascii="Times New Roman" w:hAnsi="Times New Roman"/>
          <w:color w:val="000000" w:themeColor="text1"/>
          <w:sz w:val="16"/>
          <w:szCs w:val="16"/>
        </w:rPr>
        <w:t xml:space="preserve"> в 1944 году оперативная сводка Совинформбюро:</w:t>
      </w:r>
    </w:p>
    <w:p w14:paraId="7D4D64F8"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3 апреля западнее и юго-западнее города Дубно наши войска вели наступательные бои, в ходе которых овладели районными центрами Волынской области городом Горохов, городом Берестечко, районным центромЛьвовской области Лопатин, а также заняли более 80 других населённых пунктов, среди которых крупные населённые пункты Ольхувка, Звиняче, Скобелка, Холонюв, Боремель, Перемыл, Барылув, Смажув, Щуровице, Завидче, Куликув, Немилув, Станиславчик, Пониковица, Боратын, Пониква.</w:t>
      </w:r>
    </w:p>
    <w:p w14:paraId="1D27741C"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дней назад войска 2-го Украинского фронта на ряде участков форсировали реку Прут и заняли на румынской территории более 50 населённых пунктов и среди них крупные населённые пункты Красналеука, Шерпенида, Сэвени, Хенешти, Денжений, Стефанешти, Кауешти, Трифешти, Циганешиу, Кырпицый (13 километров севернее Яссы) и железнодорожную станцию Денжений, перерезав таким образом железную дорогу Яссы-Дорохой.</w:t>
      </w:r>
    </w:p>
    <w:p w14:paraId="0D9E0CF3"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Кишинёвском направлении наши войска продолжали вести наступательные бои, в ходе которых заняли несколько населённых пунктов, среди которых крупные населённые пункты Гординешти, Мелешень, Бравича, Кукурузени, Курлени, Лалова, Стодолна, Самарка.</w:t>
      </w:r>
    </w:p>
    <w:p w14:paraId="0363714A"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 Одесском направлении наши войска, продолжая развивать наступление, овладели районными центрами Одесской области Красные Окна, Валегоцулово, Жовтень, а также с боями заняли более 100 других населённых пунктов, в том числе крупные населённые пункты Малаешты, Ново-Самарка, Антоновка, Владимировка, Новоезарицкое, Бирносово, Онилово, Бранкованово, Кочулова, Армашовка, Семенополь, Сталино, Цезаревка и железнодорожную станцию Мардаровка.</w:t>
      </w:r>
    </w:p>
    <w:p w14:paraId="18FDE167"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в ряде пунктов шли бои местного значения.</w:t>
      </w:r>
    </w:p>
    <w:p w14:paraId="5EBCE4C3"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 апреля наши войска на всех фронтах подбили и уничтожили 52 немецких танка. В воздушных боях и огнём зенитной артиллерии сбито 40 самолётов противника.</w:t>
      </w:r>
    </w:p>
    <w:p w14:paraId="0FA0FD76"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Дубно наши войска, преодолевая упорное сопротивление противника, овладели районными центрами Волынской области городами Горохов и Берестечко и районным центром Львовской области Лопатин. В боях за эти пункты противник понёс большие потери в людях и технике. По неполным данным, уничтожено до 1.500 немецких солдат и офицеров, сожжено и подбито 34 танка противника. Захвачены у немцев 9 бронемашин и бронетранспортёров, 26 орудий, 80 пулемётов, склады с боеприпасами и военным имуществом.</w:t>
      </w:r>
    </w:p>
    <w:p w14:paraId="2E284B92"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вели бои по уничтожению немецких войск, окружённых в районе города Скала. Противник предпринимает отчаянные попытки выбраться из «котла», но всюду наталкивается на непреодолимые заслоны советскихвойск. Колонны немцев пытались пробиться на юг, к Днестру. Советские пехотинцы, артиллеристы, миномётчики и танкисты встретили врага ураганным огнем. Все попытки противника прорваться в западном направлении также ликвидированы. Сжимая кольцо окружения, наши части в течение дня уничтожили свыше 3.000 немецких солдат и офицеров. Гитлеровцы оставили на поле боя огромное количество вооружения и боевой техники. Только на одном участке взято в плен 1.200 солдат и офицеров противника и захвачено свыше 1.000 автомашин. В другом районе немцы, отступая под ударами советских войск, оставили 40 взорванных танков и более 2.000 сожжённых автомашин. Советские танкисты наносят особенно тяжёлые потери противнику. Врываясь в боевые порядки немцев, танкисты расчленяют их наотдельные группы и по частям добивают остатки окружённых немецких дивизий.</w:t>
      </w:r>
    </w:p>
    <w:p w14:paraId="5AE7E040"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бойцы и офицеры, действующие в условиях распутицы и бездорожья, проявляют величайший героизм и самоотверженность. Небольшая группа красноармейцев под командой т. Головкина ворвалась на железнодорожную станцию, занятую немцами. Несмотря на то, что противник обладал численным перевесом, советские бойцы вступили в неравный бой. Они истребили многих гитлеровцев, а остальных обратили в бегство. Захвачено 8 орудий, 6 вагонов, 45 тягачей иавтомашин. На другом участке немцы, отступая, переправились через реку и подожгли за собой мост. Несколько гитлеровцев остались на берегу реки и пулемётным огнём мешали нашим бойцам ликвидировать пожар. Автоматчики тт. Караеви Бундец переплыли через реку и уничтожили немецких пулемётчиков. Наши бойцы быстро потушили пожар и, использовав мост, переправились через реку. Экипаж танка гвардии старшего лейтенанта Кульдина в последних боях истребил 60 гитлеровцев и уничтожил 4 немецких танка, 60 автомашин и повозок с боеприпасами. Экипаж танка гвардии лейтенанта Верёвкина подбил 3 немецких танка и уничтожил 30 автомашин противника.</w:t>
      </w:r>
    </w:p>
    <w:p w14:paraId="0C92EAA5"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Одесском направлении наши войска продолжали наступление. Противник, опираясь на естественные рубежи, оказывал сильное огневое сопротивление. Советские части с боями продвигались вперёд и заняли более 100 населённых пунктов. Бойцы Н-ского соединения переправились через реку Большой Куяльник и стремительной атакой с различных направлений овладели районным центром Одесской области Жовтень. На поле боя осталось много вражеских трупов. Захвачены трофеи и пленные. Подразделения Н-ской части в результате успешного обходного манёвра разбили два батальона немцев и захватили всё их вооружение. Другая наша часть, овладев населённым пунктом, захватила 24 орудия, 40 автомашин и крупный склад боеприпасов.</w:t>
      </w:r>
    </w:p>
    <w:p w14:paraId="7B4064ED"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Лётчики разведывательной авиации Краснознамённого Балтийского флота обнаружили в Финском заливе две группы кораблей противника. Авиация флота в течение дня нанесла три последовательных массированных удара по вражеским судам. Несмотря на сильный зенитный огонь с кораблей и противодействие истребителей противника, все наши самолёты прорвались к цели. Прямым попаданием бомб потоплены 2 тральщика, 2 сторожевых катера и десантная баржа. В ожесточённых воздушных боях советские лётчики сбили 35 немецких самолётов. Наши потери — 4 самолёта.</w:t>
      </w:r>
    </w:p>
    <w:p w14:paraId="706CBFA5"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Северного флота совершила налёт на порт Лиинахамари (залив Петсамо). Группа советских штурмовиков в сопровождении истребителей нанесла удар по транспортам противника, находившимся в порту. Сброшенными бомбами потоплен немецкий транспорт водоизмещением в 3 тысячи тонн. Другой транспорт противника сильно повреждён.</w:t>
      </w:r>
    </w:p>
    <w:p w14:paraId="17011E58"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Крымские партизаны 27 марта разгромили вражеский гарнизон в городе Старый Крым. В ожесточённых уличных боях советские патриоты истребили до 200 гитлеровцев. Взорваны и сожжены склады с боеприпасами и вооружением, здание комендатуры и городской полиции. Советскими патриотами захвачено много трофеев. Партизаны перебили немецкую охрану тюрьмы и освободили 46 заключённых советских граждан.» (15088).</w:t>
      </w:r>
    </w:p>
    <w:p w14:paraId="20F5E41F" w14:textId="77777777" w:rsidR="00383F24" w:rsidRPr="00070ADE" w:rsidRDefault="00383F24" w:rsidP="00B56F90">
      <w:pPr>
        <w:spacing w:after="0" w:line="240" w:lineRule="auto"/>
        <w:jc w:val="both"/>
        <w:rPr>
          <w:rFonts w:ascii="Times New Roman" w:hAnsi="Times New Roman"/>
          <w:color w:val="000000" w:themeColor="text1"/>
          <w:sz w:val="16"/>
          <w:szCs w:val="16"/>
        </w:rPr>
      </w:pPr>
    </w:p>
    <w:p w14:paraId="143D3E0D" w14:textId="77777777" w:rsidR="00383F24" w:rsidRPr="00070ADE" w:rsidRDefault="00383F24" w:rsidP="00B56F90">
      <w:pPr>
        <w:spacing w:after="0" w:line="240" w:lineRule="auto"/>
        <w:jc w:val="both"/>
        <w:rPr>
          <w:rFonts w:ascii="Times New Roman" w:hAnsi="Times New Roman"/>
          <w:bCs/>
          <w:color w:val="000000" w:themeColor="text1"/>
          <w:sz w:val="16"/>
          <w:szCs w:val="16"/>
        </w:rPr>
      </w:pPr>
      <w:r w:rsidRPr="00070ADE">
        <w:rPr>
          <w:rFonts w:ascii="Times New Roman" w:hAnsi="Times New Roman"/>
          <w:bCs/>
          <w:color w:val="000000" w:themeColor="text1"/>
          <w:sz w:val="16"/>
          <w:szCs w:val="16"/>
        </w:rPr>
        <w:t>3 апреля</w:t>
      </w:r>
      <w:r w:rsidRPr="00070ADE">
        <w:rPr>
          <w:rFonts w:ascii="Times New Roman" w:hAnsi="Times New Roman"/>
          <w:color w:val="000000" w:themeColor="text1"/>
          <w:sz w:val="16"/>
          <w:szCs w:val="16"/>
        </w:rPr>
        <w:t xml:space="preserve"> в 1944 году был произведен первый вылет немецкого тяжелого истребителя «Ме-210» в венгерском дивизионе ночных истребителей № 5/1, известном как дивизион "Bagoly" ("Совы"). Дивизион стал первой венгерской частью, оснащенной самолетами «Ме-210», базировавшейся в Ферихедь под Будапештом. Первые самолеты поступили в дивизион в июне 1943 года. Экипажи дивизиона не имели опыта ночных полетов. Дивизион, которым командовал капитан Адам Круди, располагал 12 самолетами. Первый вылет был произведен 3 апреля 1944 года. Перед летчиками стояла задача перехватить американские бомбардировщики из 15-й Воздушной Армии. Из вылета вернулись все самолеты, правда не одержав ни одной победы. Два дня спустя сержант Дезо Замбеки первым сбил «В-24» из 45-й бомбардировочной группы.:</w:t>
      </w:r>
    </w:p>
    <w:p w14:paraId="0C822276" w14:textId="77777777" w:rsidR="00383F24" w:rsidRPr="00070ADE" w:rsidRDefault="00383F24" w:rsidP="00B56F90">
      <w:pPr>
        <w:spacing w:after="0" w:line="240" w:lineRule="auto"/>
        <w:jc w:val="both"/>
        <w:rPr>
          <w:rFonts w:ascii="Times New Roman" w:hAnsi="Times New Roman"/>
          <w:bCs/>
          <w:color w:val="000000" w:themeColor="text1"/>
          <w:sz w:val="16"/>
          <w:szCs w:val="16"/>
        </w:rPr>
      </w:pPr>
    </w:p>
    <w:p w14:paraId="7770C302"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 апреля</w:t>
      </w:r>
      <w:r w:rsidRPr="00070ADE">
        <w:rPr>
          <w:rFonts w:ascii="Times New Roman" w:hAnsi="Times New Roman"/>
          <w:color w:val="000000" w:themeColor="text1"/>
          <w:sz w:val="16"/>
          <w:szCs w:val="16"/>
        </w:rPr>
        <w:t xml:space="preserve"> в 1944 году в ночь на 3 апреля в районе Неттуно - Анцио состоялся первый боевой вылет штурмовиков-бомбардировщиков </w:t>
      </w:r>
      <w:hyperlink r:id="rId98" w:tgtFrame="_blank" w:history="1">
        <w:r w:rsidRPr="00070ADE">
          <w:rPr>
            <w:rFonts w:ascii="Times New Roman" w:hAnsi="Times New Roman"/>
            <w:color w:val="000000" w:themeColor="text1"/>
            <w:sz w:val="16"/>
            <w:szCs w:val="16"/>
          </w:rPr>
          <w:t xml:space="preserve">«Ju.87D» «Stuka» </w:t>
        </w:r>
      </w:hyperlink>
      <w:r w:rsidRPr="00070ADE">
        <w:rPr>
          <w:rFonts w:ascii="Times New Roman" w:hAnsi="Times New Roman"/>
          <w:color w:val="000000" w:themeColor="text1"/>
          <w:sz w:val="16"/>
          <w:szCs w:val="16"/>
        </w:rPr>
        <w:t>переоборудованных в ночные штурмовики. Взамен изношенных на самолёты устанавливали модифицированные двигатели «Jumo211P» с выхлопными патрубками, закрытыми пламегасителями из жаропрочной стали. Эти варианты назывались «D-7» ("короткорылый", переделанный из «D-3») и «D-8» ("длиннокрылый" - из «D-5»). На последнем стволы пушек «MG151/20» оснастили коническими надульниками против ослепления. На всех машинах, предназначенных для полков ночных штурмовиков (Nachtsclachtgruppen), вновь усилили бронирование кабины и модернизировали радиооборудование, позволявшее пилотам теперь действовать по командам операторов наземных радаров типа "Freya" (система наведения "Egon"). Большинство из 300 переоборудованных самолётов оснастили радиостанцией «FuG16Z», некоторые получили радиополукомпас с петлей антенны впереди мачты радиостанции. На большинстве стоял автоответчик "свой - чужой" «FuG25A» с антенной в нижней части фюзеляжа. Тормозные решетки сняли. Положительная оценка их действий инициировала создание новых подразделений "ночников", к осени на "штуках" летали уже 6 ночных эскадрилий (15088).</w:t>
      </w:r>
    </w:p>
    <w:p w14:paraId="3BF62222" w14:textId="77777777" w:rsidR="00383F24" w:rsidRPr="00070ADE" w:rsidRDefault="00383F24" w:rsidP="00B56F90">
      <w:pPr>
        <w:spacing w:after="0" w:line="240" w:lineRule="auto"/>
        <w:jc w:val="both"/>
        <w:rPr>
          <w:rFonts w:ascii="Times New Roman" w:hAnsi="Times New Roman"/>
          <w:color w:val="000000" w:themeColor="text1"/>
          <w:sz w:val="16"/>
          <w:szCs w:val="16"/>
        </w:rPr>
      </w:pPr>
    </w:p>
    <w:p w14:paraId="6C88364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вышло Постановление ГКО № 5523 О создании ВС Польской армии в составе Берлинга З., Сверчковского К., Завадского А. и утверждении временного положения о ВС. РГАНИР, Фонд ГКО, д. 224, лл. 137,138-141 (11012).</w:t>
      </w:r>
    </w:p>
    <w:p w14:paraId="40986B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256C4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вышло Постановление ГКО № 5540 О расформировании войсковых частей НКО, работающих в промышленности и народном хозяйстве и сформировании дорожных и мостовых частей для действующей армии. РГАНИР, Фонд ГКО, д. 225, лл. 27,28-31 (11012).</w:t>
      </w:r>
    </w:p>
    <w:p w14:paraId="45BA45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5F965B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1BC0CA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DEE20F" w14:textId="77777777" w:rsidR="007249B9" w:rsidRPr="00070ADE" w:rsidRDefault="007249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налет американской авиации на Вотье (20373).</w:t>
      </w:r>
    </w:p>
    <w:p w14:paraId="0D935502" w14:textId="77777777" w:rsidR="007249B9" w:rsidRPr="00070ADE" w:rsidRDefault="007249B9" w:rsidP="00B56F90">
      <w:pPr>
        <w:spacing w:after="0" w:line="240" w:lineRule="auto"/>
        <w:jc w:val="both"/>
        <w:rPr>
          <w:rFonts w:ascii="Times New Roman" w:hAnsi="Times New Roman"/>
          <w:color w:val="000000" w:themeColor="text1"/>
          <w:sz w:val="16"/>
          <w:szCs w:val="16"/>
        </w:rPr>
      </w:pPr>
    </w:p>
    <w:p w14:paraId="6830F56E" w14:textId="179C60F0" w:rsidR="007249B9" w:rsidRPr="00070ADE" w:rsidRDefault="007249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- 180 бомбардировщиков 15-й воздушной армии США под прикрытием 170 истребителей совершили первый налет Венгрию - на Дунайский авиазавод в пригороде Будапешта, что привело к смерти 1036 человек (22548).</w:t>
      </w:r>
    </w:p>
    <w:p w14:paraId="394476A5" w14:textId="77777777" w:rsidR="007249B9" w:rsidRPr="00070ADE" w:rsidRDefault="007249B9" w:rsidP="00B56F90">
      <w:pPr>
        <w:spacing w:after="0" w:line="240" w:lineRule="auto"/>
        <w:jc w:val="both"/>
        <w:rPr>
          <w:rFonts w:ascii="Times New Roman" w:hAnsi="Times New Roman"/>
          <w:color w:val="000000" w:themeColor="text1"/>
          <w:sz w:val="16"/>
          <w:szCs w:val="16"/>
        </w:rPr>
      </w:pPr>
    </w:p>
    <w:p w14:paraId="4F79F007" w14:textId="77777777" w:rsidR="007249B9" w:rsidRPr="00070ADE" w:rsidRDefault="007249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225 британских бомбардировщиков без потерь атаковали железнодорожные объекты в Вильнёв-Сент-Джордж, Франция (20373).</w:t>
      </w:r>
    </w:p>
    <w:p w14:paraId="13FA13EA" w14:textId="77777777" w:rsidR="007249B9" w:rsidRPr="00070ADE" w:rsidRDefault="007249B9" w:rsidP="00B56F90">
      <w:pPr>
        <w:spacing w:after="0" w:line="240" w:lineRule="auto"/>
        <w:jc w:val="both"/>
        <w:rPr>
          <w:rFonts w:ascii="Times New Roman" w:hAnsi="Times New Roman"/>
          <w:color w:val="000000" w:themeColor="text1"/>
          <w:sz w:val="16"/>
          <w:szCs w:val="16"/>
        </w:rPr>
      </w:pPr>
    </w:p>
    <w:p w14:paraId="4E15CAA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американская и английская авиация начала бомбардировку Будапешта и Бухареста (4962).</w:t>
      </w:r>
    </w:p>
    <w:p w14:paraId="350CD4B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486A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апреля 1944 Создание польского штаба партизанского движения (7451).</w:t>
      </w:r>
    </w:p>
    <w:p w14:paraId="1D2DBF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1D53BC"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 апреля</w:t>
      </w:r>
      <w:r w:rsidRPr="00070ADE">
        <w:rPr>
          <w:rFonts w:ascii="Times New Roman" w:hAnsi="Times New Roman"/>
          <w:color w:val="000000" w:themeColor="text1"/>
          <w:sz w:val="16"/>
          <w:szCs w:val="16"/>
        </w:rPr>
        <w:t xml:space="preserve"> в 1944 году атака английской авиации на линкор Тирпиц (15088).</w:t>
      </w:r>
    </w:p>
    <w:p w14:paraId="232241BE" w14:textId="77777777" w:rsidR="00383F24" w:rsidRPr="00070ADE" w:rsidRDefault="00383F24" w:rsidP="00B56F90">
      <w:pPr>
        <w:spacing w:after="0" w:line="240" w:lineRule="auto"/>
        <w:jc w:val="both"/>
        <w:rPr>
          <w:rFonts w:ascii="Times New Roman" w:hAnsi="Times New Roman"/>
          <w:color w:val="000000" w:themeColor="text1"/>
          <w:sz w:val="16"/>
          <w:szCs w:val="16"/>
        </w:rPr>
      </w:pPr>
    </w:p>
    <w:p w14:paraId="6056F6FB" w14:textId="77777777" w:rsidR="007249B9" w:rsidRPr="00070ADE" w:rsidRDefault="007249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3 апреля 1944 пятый флот ВВС возобновляет атаки на японские аэродроме вокруг Холландии на Новой Гвинее, в том числе около ста A-20 Havoc. Они встречают лишь спорадическое сопротивление японцев (20373). </w:t>
      </w:r>
    </w:p>
    <w:p w14:paraId="034DE8BC" w14:textId="77777777" w:rsidR="007249B9" w:rsidRPr="00070ADE" w:rsidRDefault="007249B9" w:rsidP="00B56F90">
      <w:pPr>
        <w:spacing w:after="0" w:line="240" w:lineRule="auto"/>
        <w:jc w:val="both"/>
        <w:rPr>
          <w:rFonts w:ascii="Times New Roman" w:hAnsi="Times New Roman"/>
          <w:color w:val="000000" w:themeColor="text1"/>
          <w:sz w:val="16"/>
          <w:szCs w:val="16"/>
        </w:rPr>
      </w:pPr>
    </w:p>
    <w:p w14:paraId="5EE616D6" w14:textId="77777777" w:rsidR="007249B9" w:rsidRPr="00070ADE" w:rsidRDefault="007249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3 апреля 1944 в ходе операции Tungsten, налет, начатый с британских авианосцев HMS Victorious, HMS Furious, HMS Emperor, HMS Fencer, HMS Pursuer и HMS Searcher в составе 42 самолетов Fairey Barracuda в сопровождении 40 истребителей, наносит 14 попаданий ьомбами весом 1600 фунтов (726 кг) немецкому линкорец Tirpitz в Альтенфьорде, Норвегия, серьезно повредив его вызвав гибель 122 члена экипажа. Две Барракуды потеряны (20373).</w:t>
      </w:r>
    </w:p>
    <w:p w14:paraId="3C0705D5" w14:textId="77777777" w:rsidR="007249B9" w:rsidRPr="00070ADE" w:rsidRDefault="007249B9" w:rsidP="00B56F90">
      <w:pPr>
        <w:spacing w:after="0" w:line="240" w:lineRule="auto"/>
        <w:jc w:val="both"/>
        <w:rPr>
          <w:rFonts w:ascii="Times New Roman" w:hAnsi="Times New Roman"/>
          <w:color w:val="000000" w:themeColor="text1"/>
          <w:sz w:val="16"/>
          <w:szCs w:val="16"/>
        </w:rPr>
      </w:pPr>
    </w:p>
    <w:p w14:paraId="7440E5F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8C354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7B70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апреля 1944 г. начальник ГУЗ ВВС КА генерал-лейтенант Н.П.Селез</w:t>
      </w:r>
      <w:r w:rsidRPr="00070ADE">
        <w:rPr>
          <w:rFonts w:ascii="Times New Roman" w:hAnsi="Times New Roman"/>
          <w:color w:val="000000" w:themeColor="text1"/>
          <w:sz w:val="16"/>
          <w:szCs w:val="16"/>
        </w:rPr>
        <w:softHyphen/>
        <w:t>нев в письме на имя заместителя нар</w:t>
      </w:r>
      <w:r w:rsidRPr="00070ADE">
        <w:rPr>
          <w:rFonts w:ascii="Times New Roman" w:hAnsi="Times New Roman"/>
          <w:color w:val="000000" w:themeColor="text1"/>
          <w:sz w:val="16"/>
          <w:szCs w:val="16"/>
        </w:rPr>
        <w:softHyphen/>
        <w:t>кома авиапромышленности П.В.Демен</w:t>
      </w:r>
      <w:r w:rsidRPr="00070ADE">
        <w:rPr>
          <w:rFonts w:ascii="Times New Roman" w:hAnsi="Times New Roman"/>
          <w:color w:val="000000" w:themeColor="text1"/>
          <w:sz w:val="16"/>
          <w:szCs w:val="16"/>
        </w:rPr>
        <w:softHyphen/>
        <w:t xml:space="preserve">тьева № 872722 писал, что создалась реальная </w:t>
      </w:r>
      <w:r w:rsidRPr="00070ADE">
        <w:rPr>
          <w:rFonts w:ascii="Times New Roman" w:hAnsi="Times New Roman"/>
          <w:iCs/>
          <w:color w:val="000000" w:themeColor="text1"/>
          <w:sz w:val="16"/>
          <w:szCs w:val="16"/>
        </w:rPr>
        <w:t>"угроза срыва сроков выполнения реше</w:t>
      </w:r>
      <w:r w:rsidRPr="00070ADE">
        <w:rPr>
          <w:rFonts w:ascii="Times New Roman" w:hAnsi="Times New Roman"/>
          <w:iCs/>
          <w:color w:val="000000" w:themeColor="text1"/>
          <w:sz w:val="16"/>
          <w:szCs w:val="16"/>
        </w:rPr>
        <w:softHyphen/>
        <w:t>ния..."</w:t>
      </w:r>
      <w:r w:rsidRPr="00070ADE">
        <w:rPr>
          <w:rFonts w:ascii="Times New Roman" w:hAnsi="Times New Roman"/>
          <w:color w:val="000000" w:themeColor="text1"/>
          <w:sz w:val="16"/>
          <w:szCs w:val="16"/>
        </w:rPr>
        <w:t xml:space="preserve"> Требовалось срочно </w:t>
      </w:r>
      <w:r w:rsidRPr="00070ADE">
        <w:rPr>
          <w:rFonts w:ascii="Times New Roman" w:hAnsi="Times New Roman"/>
          <w:iCs/>
          <w:color w:val="000000" w:themeColor="text1"/>
          <w:sz w:val="16"/>
          <w:szCs w:val="16"/>
        </w:rPr>
        <w:t xml:space="preserve">"принять меры по разворачиванию производства металлических крыльев стрельчатой конструкции " </w:t>
      </w:r>
      <w:r w:rsidRPr="00070ADE">
        <w:rPr>
          <w:rFonts w:ascii="Times New Roman" w:hAnsi="Times New Roman"/>
          <w:color w:val="000000" w:themeColor="text1"/>
          <w:sz w:val="16"/>
          <w:szCs w:val="16"/>
        </w:rPr>
        <w:t>(6467).</w:t>
      </w:r>
    </w:p>
    <w:p w14:paraId="32A9F7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9AB4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апреля 1944 года начальник 7-го гл. управления С. Шишкин писал письмо N 816 завод N 477 летчику-испытателю Подгорному Т.С.</w:t>
      </w:r>
    </w:p>
    <w:p w14:paraId="72FDBB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предложенному Вами проекту "Аэролидера" сообщаю, что ввиду нереальности проекта, НКАП считает реализацию его невозможной (1825,18).</w:t>
      </w:r>
    </w:p>
    <w:p w14:paraId="0B0059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6D9126"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4 апреля</w:t>
      </w:r>
      <w:r w:rsidRPr="00070ADE">
        <w:rPr>
          <w:rFonts w:ascii="Times New Roman" w:hAnsi="Times New Roman"/>
          <w:color w:val="000000" w:themeColor="text1"/>
          <w:sz w:val="16"/>
          <w:szCs w:val="16"/>
        </w:rPr>
        <w:t xml:space="preserve"> в 1944 году построены дальний истребитель «Як-9ДД» с дальностью до 2285 км и высотный истребитель «Як-9ПД» с потолком 13500 км (15089).</w:t>
      </w:r>
    </w:p>
    <w:p w14:paraId="3166138E" w14:textId="77777777" w:rsidR="00383F24" w:rsidRPr="00070ADE" w:rsidRDefault="00383F24" w:rsidP="00B56F90">
      <w:pPr>
        <w:spacing w:after="0" w:line="240" w:lineRule="auto"/>
        <w:jc w:val="both"/>
        <w:rPr>
          <w:rFonts w:ascii="Times New Roman" w:hAnsi="Times New Roman"/>
          <w:color w:val="000000" w:themeColor="text1"/>
          <w:sz w:val="16"/>
          <w:szCs w:val="16"/>
        </w:rPr>
      </w:pPr>
    </w:p>
    <w:p w14:paraId="340903A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8DD17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DD2A74" w14:textId="77777777" w:rsidR="00AA077A" w:rsidRPr="00070ADE" w:rsidRDefault="00AA077A" w:rsidP="00B56F90">
      <w:pPr>
        <w:pStyle w:val="ae"/>
        <w:spacing w:before="0" w:after="0"/>
        <w:jc w:val="both"/>
        <w:textAlignment w:val="baseline"/>
        <w:rPr>
          <w:color w:val="000000" w:themeColor="text1"/>
          <w:sz w:val="16"/>
          <w:szCs w:val="16"/>
        </w:rPr>
      </w:pPr>
      <w:r w:rsidRPr="00070ADE">
        <w:rPr>
          <w:color w:val="000000" w:themeColor="text1"/>
          <w:sz w:val="16"/>
          <w:szCs w:val="16"/>
        </w:rPr>
        <w:t>4-5 апреля 1944 года корпус Т-44, специально изготовленный на заводе № 183, прошёл испытания обстрелом на Уральском артиллерийском полигоне.</w:t>
      </w:r>
    </w:p>
    <w:p w14:paraId="23B280C1" w14:textId="77777777" w:rsidR="00AA077A" w:rsidRPr="00070ADE" w:rsidRDefault="00AA077A" w:rsidP="00B56F90">
      <w:pPr>
        <w:pStyle w:val="ae"/>
        <w:spacing w:before="0" w:after="0"/>
        <w:jc w:val="both"/>
        <w:textAlignment w:val="baseline"/>
        <w:rPr>
          <w:color w:val="000000" w:themeColor="text1"/>
          <w:sz w:val="16"/>
          <w:szCs w:val="16"/>
        </w:rPr>
      </w:pPr>
      <w:r w:rsidRPr="00070ADE">
        <w:rPr>
          <w:color w:val="000000" w:themeColor="text1"/>
          <w:sz w:val="16"/>
          <w:szCs w:val="16"/>
        </w:rPr>
        <w:t>Столь высокий интерес был вызван не в последнюю очередь конструктивными особенностями корпуса танка. Как уже говорилось, КБ-520 заявляло о том, что с лобовой проекции корпус Т-44 не поражается бронебойными снарядами немецкой 75-мм противотанковой пушки Pak 40. Впрочем, одно дело заявления, а другое — реальное положение вещей. Поскольку в случае успеха танку предстояло заменить Т-34-85, вопрос стойкости брони стоял высоко. Между тем, у танка имелась деталь, вызывавшая массу вопросов — будка (рубка) механика-водителя. Помимо того, что ради рубки пришлось делать у башни длинную «шею», весьма уязвимую для вражеских снарядов, сама будка имела неоднородную защиту. Толщину стенок подняли до 90 м, но броня была литая. Также в будке имелся большой смотровой лючок, весьма уязвимый для вражеских снарядов.</w:t>
      </w:r>
    </w:p>
    <w:p w14:paraId="12023313" w14:textId="77777777" w:rsidR="00AA077A" w:rsidRPr="00070ADE" w:rsidRDefault="00AA077A" w:rsidP="00B56F90">
      <w:pPr>
        <w:pStyle w:val="ae"/>
        <w:spacing w:before="0" w:after="0"/>
        <w:jc w:val="both"/>
        <w:textAlignment w:val="baseline"/>
        <w:rPr>
          <w:color w:val="000000" w:themeColor="text1"/>
          <w:sz w:val="16"/>
          <w:szCs w:val="16"/>
        </w:rPr>
      </w:pPr>
      <w:r w:rsidRPr="00070ADE">
        <w:rPr>
          <w:color w:val="000000" w:themeColor="text1"/>
          <w:sz w:val="16"/>
          <w:szCs w:val="16"/>
        </w:rPr>
        <w:t>Pak 40 в ходе огневых испытаний корпуса Т-44 не использовали. Вместо этого по нему произвели 38 выстрелов с дистанции 50 м из отечественных систем. Огонь вёлся в основном 76-мм пушкой Ф-34, но лобовой лист также дополнительно обстреляли из 85-мм пушки с баллистикой зенитки 52-К. Для чистоты эксперимента каждое попадание фиксировалось.</w:t>
      </w:r>
    </w:p>
    <w:p w14:paraId="796E13E6" w14:textId="77777777" w:rsidR="00AA077A" w:rsidRPr="00070ADE" w:rsidRDefault="00AA077A" w:rsidP="00B56F90">
      <w:pPr>
        <w:pStyle w:val="ae"/>
        <w:spacing w:before="0" w:after="0"/>
        <w:jc w:val="both"/>
        <w:textAlignment w:val="baseline"/>
        <w:rPr>
          <w:color w:val="000000" w:themeColor="text1"/>
          <w:sz w:val="16"/>
          <w:szCs w:val="16"/>
        </w:rPr>
      </w:pPr>
      <w:r w:rsidRPr="00070ADE">
        <w:rPr>
          <w:color w:val="000000" w:themeColor="text1"/>
          <w:sz w:val="16"/>
          <w:szCs w:val="16"/>
        </w:rPr>
        <w:t>Первым делом обстрелу подверглась лобовая часть корпуса. Поначалу появлялись вмятины, но вскоре стали образовываться трещины. Особенно много их стало после начала обстрела 85-мм орудием. Главной же проблемой стал обстрел будки механика-водителя. Первое же попадание привело к отколу куска размером 220×100 мм, частично оборвались сварные швы. Фактически это означало, что первым же снарядом механик-водитель был бы убит. Ничем хорошим не закончилась и стрельба по смотровому лючку рубки. Снаряд сделал пробоину размером 100×150 мм, а ведь Ф-34 была слабее Pak 40, снаряд которой, по заявлению КБ завода №183, должен был держать лоб корпуса танка! Ещё одним слабым местом стали не прикрытые бронёй кронштейны ленивца.</w:t>
      </w:r>
    </w:p>
    <w:p w14:paraId="0EFE6102" w14:textId="77777777" w:rsidR="00AA077A" w:rsidRPr="00070ADE" w:rsidRDefault="00AA077A" w:rsidP="00B56F90">
      <w:pPr>
        <w:pStyle w:val="ae"/>
        <w:spacing w:before="0" w:after="0"/>
        <w:jc w:val="both"/>
        <w:textAlignment w:val="baseline"/>
        <w:rPr>
          <w:color w:val="000000" w:themeColor="text1"/>
          <w:sz w:val="16"/>
          <w:szCs w:val="16"/>
        </w:rPr>
      </w:pPr>
      <w:r w:rsidRPr="00070ADE">
        <w:rPr>
          <w:color w:val="000000" w:themeColor="text1"/>
          <w:sz w:val="16"/>
          <w:szCs w:val="16"/>
        </w:rPr>
        <w:t>Помимо лобовых деталей корпуса, обстрелу подверглись его борта и корма. С самого начала было ясно, что стойкость брони на этих участках окажется ниже. При стрельбе под прямым углом борта пробивались 76-мм снарядом. Впрочем, при стрельбе под углом картина была иной. Верхние части бортов, прикрытые экранами, выдерживали попадания под углом 60 градусов. Долго экраны попадания держать не могли, по мере обстрела в их швах появлялись трещины. Тем не менее отчасти свою задачу они выполнили.</w:t>
      </w:r>
    </w:p>
    <w:p w14:paraId="4FDC4658" w14:textId="77777777" w:rsidR="00AA077A" w:rsidRPr="00070ADE" w:rsidRDefault="00AA077A" w:rsidP="00B56F90">
      <w:pPr>
        <w:pStyle w:val="ae"/>
        <w:spacing w:before="0" w:after="0"/>
        <w:jc w:val="both"/>
        <w:textAlignment w:val="baseline"/>
        <w:rPr>
          <w:color w:val="000000" w:themeColor="text1"/>
          <w:sz w:val="16"/>
          <w:szCs w:val="16"/>
        </w:rPr>
      </w:pPr>
      <w:r w:rsidRPr="00070ADE">
        <w:rPr>
          <w:color w:val="000000" w:themeColor="text1"/>
          <w:sz w:val="16"/>
          <w:szCs w:val="16"/>
        </w:rPr>
        <w:t>По итогам испытаний комиссия дала указания если не убрать полностью будку механика-водителя, то как минимум переработать её конструкцию. Для улучшения стойкости лобовой части корпуса следовало увеличить угол наклона нижнего лобового листа, сделав его равноценным с верхним лобовым листом. Переделке также подвергались кронштейны ленивцев. Наконец, борта теперь делались не составными, а цельными. Это усложняло их изготовление, зато повышалась стойкость. Все указанные изменения вводились на улучшенных образцах Т-44, в которых также учитывались претензии по итогам полигонных испытаний. В результате конструкция Т-44 претерпевала существенные изменения, а сроки внедрения танка оттягивались. Тем не менее решения о переделках были абсолютно верными. Т-44 всё же превратился в машину, которая поступила в серию, но для этого требовался ещё не один этап эволюции (18799).</w:t>
      </w:r>
    </w:p>
    <w:p w14:paraId="508375C9" w14:textId="77777777" w:rsidR="00AA077A" w:rsidRPr="00070ADE" w:rsidRDefault="00AA077A" w:rsidP="00B56F90">
      <w:pPr>
        <w:spacing w:after="0" w:line="240" w:lineRule="auto"/>
        <w:jc w:val="both"/>
        <w:rPr>
          <w:rFonts w:ascii="Times New Roman" w:hAnsi="Times New Roman"/>
          <w:color w:val="000000" w:themeColor="text1"/>
          <w:sz w:val="16"/>
          <w:szCs w:val="16"/>
        </w:rPr>
      </w:pPr>
    </w:p>
    <w:p w14:paraId="5E4A755D" w14:textId="77777777" w:rsidR="00AA077A" w:rsidRPr="00070ADE" w:rsidRDefault="00AA077A" w:rsidP="00B56F90">
      <w:pPr>
        <w:pStyle w:val="ae"/>
        <w:spacing w:before="0" w:after="0"/>
        <w:jc w:val="both"/>
        <w:textAlignment w:val="baseline"/>
        <w:rPr>
          <w:color w:val="000000" w:themeColor="text1"/>
          <w:sz w:val="16"/>
          <w:szCs w:val="16"/>
        </w:rPr>
      </w:pPr>
      <w:r w:rsidRPr="00070ADE">
        <w:rPr>
          <w:color w:val="000000" w:themeColor="text1"/>
          <w:sz w:val="16"/>
          <w:szCs w:val="16"/>
        </w:rPr>
        <w:t>4-5 апреля 1944 года прошли испытания обстрелом корпуса танка Т-44, которые стали богатой пищей для размышлений. Выяснилось, что будка механика-водителя, к которой и так имелись претензии, является ещё и уязвимым местом. В результате последовала команда о переделке будки, чтобы сделать её менее уязвимой к вражескому огню. Также потребовалась доработка нижнего лобового листа корпуса и его бортов (18950).</w:t>
      </w:r>
    </w:p>
    <w:p w14:paraId="6985465A" w14:textId="77777777" w:rsidR="00AA077A" w:rsidRPr="00070ADE" w:rsidRDefault="00AA077A" w:rsidP="00B56F90">
      <w:pPr>
        <w:pStyle w:val="ae"/>
        <w:spacing w:before="0" w:after="0"/>
        <w:jc w:val="both"/>
        <w:textAlignment w:val="baseline"/>
        <w:rPr>
          <w:color w:val="000000" w:themeColor="text1"/>
          <w:sz w:val="16"/>
          <w:szCs w:val="16"/>
        </w:rPr>
      </w:pPr>
    </w:p>
    <w:p w14:paraId="3B4881B6"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4-5 апреля 1944 года на Уральском артиллерийском полигоне прошли испытания обстрелом опытного корпуса Т-44. Согласно пояснительной записке, броня танка с лобовой проекции не поражалась бронебойными снарядами немецкой 75-мм противотанковой пушки Pak 40. Вместо немецкой пушки по корпусу танка произвели 38 выстрелов, с дистанции 50 метров, из отечественных систем. В основном огонь велся 76-мм пушкой Ф-34, но лобовой лист также дополнительно обстреляли из 85-мм пушки с баллистикой зенитки 52-К. Для чистоты эксперимента каждое попадание фиксировалось. И эти самые испытания пошли явно не так, как планировалось.</w:t>
      </w:r>
    </w:p>
    <w:p w14:paraId="67A4FF21"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Вскоре после начала обстрела лобовой части корпуса стали образовываться трещины. Особенно много их стало после начала обстрела 85-мм орудием 52-К. Наиболее проблемным местом стала будка механика-водителя. Первое же попадание привело к отколу куска размером 220х100 мм, частично оборвались сварные швы. Фактически это означало, что первым же снарядом механик-водитель был бы убит. Ничем хорошим не закончилась и стрельба по смотровому лючку рубки. Снаряд сделал пробоину размером 100х150 мм. Также слабым местом стали не прикрытые броней кронштейны ленивца.</w:t>
      </w:r>
    </w:p>
    <w:p w14:paraId="3FDC70ED"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 итогам испытаний комиссия дала указания будку механика-водителя если не убрать полностью, то, как минимум переработать ее конструкцию. Для улучшения стойкости лобовой части корпуса следовало увеличить угол наклона нижнего лобового листа, сделав его равноценным с верхним лобовым листом. Переделке также подвергались кронштейны ленивцев. Наконец, борта теперь делались не составными, а цельными. Это усложняло их изготовление, зато повышалась стойкость. Таким образом, требовалось существенно доработать танк, а это означало простую вещь — в текущем виде Т-44 не годился. На заводе №183 уже вовсю кипела работа по второму варианту Т-44 (25486).</w:t>
      </w:r>
    </w:p>
    <w:p w14:paraId="06E50912" w14:textId="77777777" w:rsidR="00D0391D" w:rsidRPr="00C94B78" w:rsidRDefault="00D0391D" w:rsidP="00B56F90">
      <w:pPr>
        <w:spacing w:after="0" w:line="240" w:lineRule="auto"/>
        <w:jc w:val="both"/>
        <w:rPr>
          <w:rFonts w:ascii="Times New Roman" w:hAnsi="Times New Roman"/>
          <w:color w:val="0070C0"/>
          <w:sz w:val="16"/>
          <w:szCs w:val="16"/>
        </w:rPr>
      </w:pPr>
    </w:p>
    <w:p w14:paraId="38E8D5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апреля 1944 вышло Распоряжение ГКО № 5536. О поставке материалов строительству Закавказского металлургического завода. РГАНИР, Фонд ГКО, д. 225, лл. 1,2 (11012).</w:t>
      </w:r>
    </w:p>
    <w:p w14:paraId="5746B0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DF6D52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апреля 1944 вышло Постановление ГКО № 5537 О мероприятиях по внедрению автоматической электросварки на восстанавливаемых промышленных предприятиях в освобожденных районах Украины. (7205, 3-5,6-10).</w:t>
      </w:r>
    </w:p>
    <w:p w14:paraId="115CA74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8AA5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апреля 1944 вышло Постановление ГКО № 5538 О восстановлении местной промышленности и промкооперации Украинской ССР. РГАНИР, Фонд ГКО, д. 225, лл. 11-17,18-23 (11012).</w:t>
      </w:r>
    </w:p>
    <w:p w14:paraId="23FA891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D692BE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апреля 1944 вышло Постановление ГКО № 5539 Об организации добычи кислого гудрона из Марфинских прудов завода № 406 Наркомнефти для электростанций Ярославэнерго и города Ярославля. РГАНИР, Фонд ГКО, д. 225, лл. 24-26 (11012).</w:t>
      </w:r>
    </w:p>
    <w:p w14:paraId="26C688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9723DB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EB5F5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892164"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4 апреля</w:t>
      </w:r>
      <w:r w:rsidRPr="00070ADE">
        <w:rPr>
          <w:rFonts w:ascii="Times New Roman" w:hAnsi="Times New Roman"/>
          <w:color w:val="000000" w:themeColor="text1"/>
          <w:sz w:val="16"/>
          <w:szCs w:val="16"/>
        </w:rPr>
        <w:t xml:space="preserve"> в 1944 году оперативная сводка Совинформбюро:</w:t>
      </w:r>
    </w:p>
    <w:p w14:paraId="38D2DA96"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4 апреля к западу от города Дубно наши войска продолжали вести наступательные бои, в ходе которых заняли более 30 населённых пунктов, в том числе крупные населённые пункты Цехув, Борочице, Галичаны, Лобачовка, Пулганы, Бужаны и железнодорожные станции Сенкевичевка, Галичаны, Звиняче, Горохов.</w:t>
      </w:r>
    </w:p>
    <w:p w14:paraId="0C187D7E"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блокирующие город Тарнополь, вели успешные бои по уничтожению окружённого гарнизона противника и овладели большей частью города. За три дня уличных боёв истреблено свыше 3.000 немецких солдат и офицеров. Взято в плен более 300 немцев.</w:t>
      </w:r>
    </w:p>
    <w:p w14:paraId="22930BD0"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вели бои по уничтожению окружённой группировки противника в районе Скала и заняли несколько населённых пунктов. Противник предпринимал неоднократные попытки вырваться из окружения, но был отбит и понёс большие потери в живой силе и технике.</w:t>
      </w:r>
    </w:p>
    <w:p w14:paraId="7E38F783"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югу от города Каменец-Подольск наши войска после трёхдневных упорных боёв овладели районным центром Черновицкой области городом Хотин — важным опорным пунктом обороны немцев на Днестре, уничтожив при этом гарнизон противника, оборонявший город.</w:t>
      </w:r>
    </w:p>
    <w:p w14:paraId="6A7C4B55"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 Кишинёвском направлении наши войска овладели районным центром Молдавской ССР Киперчены, а также с боями заняли более 30 других населённых пунктов, среди которых крупные населённые пункты Чишма, Ходорожа, Шаркань, Лапатна, Журы, Михалёвка, Дойбаны, Реймаровка, Осиповка, Васильевка.</w:t>
      </w:r>
    </w:p>
    <w:p w14:paraId="3D62E7B4"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Одесском направлении наши войска, продолжая развивать наступление,овладели районными центрами Одесской области Фрунзовка, Цебриково, а также с боями заняли более 50 других населённых пунктов, в том числе крупные населённые пункты Затишье, Краснополь, Шептеридюры 2-е, Глубокояр, Диордиешты, Торосово, Ново-Романовка, Даниловка, Понятовка, Бакалово, и железнодорожные станции Затишье, Торосово, Ивановка, Весёлый Кут.</w:t>
      </w:r>
    </w:p>
    <w:p w14:paraId="165FA67B"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бои местного значения.</w:t>
      </w:r>
    </w:p>
    <w:p w14:paraId="6E827819"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3 апреля наши войска на всех фронтах подбили и уничтожили 31 немецкий танк. В воздушных боях и огнём зенитной артиллерии сбито 79 самолётов противника.</w:t>
      </w:r>
    </w:p>
    <w:p w14:paraId="1E4658DC"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вели успешные бои по уничтожению окружённого в городе Тарнополь гарнизона противника. Немцы опоясали город сетью оборонительных сооружений и превратили каменные здания в узлы сопротивления и огневые точки. Советские части три дня назад нанесли мощные удары по опорным пунктам противника и ворвались в город с севера, востока и юга. Наши бойцы в ожесточённых схватках очищают от гитлеровцев квартал за кварталом и овладели уже большей частью города. На улицах Тарнополя обнаружено более 3.000 трупов немецких солдат и офицеров. Пленные рассказывают, что Гитлер отдал приказ любой ценой удержать город. В приказе подчёркивается, что в Тарнополе немцы защищают границы Германии. Гитлер обещал всем офицерам и солдатам высокие награды, если они удержат город. Солдатам штрафных батальонов объявлено, что с них будет снята судимость и их возвратят в свои части. Всем остальным обещаны железные кресты. Чтобы подбодрить упавших духом солдат, немецкое командование опубликовало ложное сообщение о том, что на помощь осаждённому в Тарнополе гарнизону идут крупные силы танков.</w:t>
      </w:r>
    </w:p>
    <w:p w14:paraId="0BCBBA7B"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вести бои по уничтожению группировки противника, окружённой в районе города Скала. Рано утром немцы перешли в контратаку в западном направлении. Сосредоточив на узком участке крупные силы пехоты и танков, немцы пытались таранным ударом прорвать кольцо окружения. Советские гвардейские части встретили гитлеровцев артиллерийско-миномётным и ружейно-пулемётным огнём. Затем наши танки, находившиеся в засаде, нанесли врагу удары с флангов. Немцы метались из стороны в сторону, но всюду встречали непреодолимую стену огня. Советские танкисты врезались в гущу вражеских солдат, давили их гусеницами, истребляли орудийным и пулемётным огнём. Только на одном участке в течение дня уничтожено до 2.000 солдат и офицеров противника. Сжимая кольцо окружения советские войска выбили немцев из не скольких населённых пунктов. В одном селе захвачены 62 орудия, свыше 400 автомашин и другие трофеи.</w:t>
      </w:r>
    </w:p>
    <w:p w14:paraId="21BDA9E5"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Кишинёвском направлении части Н-ского соединения в результате упорных боёв овладели районным центром Молдавской ССР Киперчены. Пытаясь восстановить положение, немцы предприняли несколько контратак, но были отброшены с большими для них потерями. В другом районе наши войска сломили сопротивление противника, укрепившегося на рубеже одной реки. Советские бойцы, несмотря на ледяную воду, вброд переправились через реку и штыковым ударом овладели немецкими позициями. На поле боя осталось свыше 600 вражеских трупов. Захвачено 22 орудия, 5 бронетранспортёров и два склада боеприпасов. Взято в плен до 300 немецких солдат и офицеров.</w:t>
      </w:r>
    </w:p>
    <w:p w14:paraId="042B8C4A"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Одесском направлении наши войска продолжали наступление. Бойцы Н-ского соединения овладели районными центрами Одесской области Фрунзовка и Цебриково. Развивая успех, советские части с боями прошли за день до 20 километров и нанесли противнику большой урон в живой силе и технике. На другом участке подвижные соединения, овладевшие вчера крупным селом Сталино, устремились по грейдерной дороге на юго-запад. Наши части с хода смяли и разбили вражеские гарнизоны в населённых пунктах Лозовом, Понятовке и Бакалове (в 4-х километрах от крупного узла железных дорог и города Раздельная).</w:t>
      </w:r>
    </w:p>
    <w:p w14:paraId="15B19B0C"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Северного флота совершила ещё один налёт на порт Лиинахамари (заливПетсамо). Группа штурмовиков прорвалась сквозь завесу зенитного огня и сбросила бомбы на суда противника. Потоплены буксир и транспорт водоизмещением в 2 тысячи тонн.</w:t>
      </w:r>
    </w:p>
    <w:p w14:paraId="5995DC9F"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Самолёт-торпедоносец Северного флота атаковал в районе острова Арней немецкий танкер водоизмещением в 10 тысяч тонн. Танкер противника потоплен прямым попаданием торпеды.</w:t>
      </w:r>
    </w:p>
    <w:p w14:paraId="653DA19E"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Штурмовая авиация Черноморского флота наносила удары по скоплениям судов в портах противника. Наши штурмовики потопили десантную баржу и три катера. Кроме того, подожжены 2 десантных баржи, 5 катеров и взорван склад противника с боеприпасами. В воздушных боях сбито 7 немецких самолётов.</w:t>
      </w:r>
    </w:p>
    <w:p w14:paraId="086E0CC8"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украинских партизанских отрядов, действующих в Волынской области,атаковали противника на одной железнодорожной станции. В трёхчасовом бою партизаны разгромили немцев и заняли посёлок и железнодорожную станцию. Немецкое командование, пытаясь восстановить положение, бросило против партизан до батальона пехоты. Советские патриоты организовали круговую оборону, отбили все атаки гитлеровцев и удержали железнодорожную станцию до подхода частей Красной Армии. В этом бою партизаны уничтожили 150 вражеских солдат и офицеров. Захвачены паровоз, 30 вагонов, 18 пулемётов, 4 миномёта, 97 винтовок и автоматов, 150 тысяч патронов, много мин и гранат. Партизаны освободили 500 советских граждан, которых немцы угоняли на каторгу в Германию.».</w:t>
      </w:r>
    </w:p>
    <w:p w14:paraId="00ED1B18"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Потери немцев и трофеи войск 1-го Украинского фронта за период боев с 4 по 31 марта с. г.</w:t>
      </w:r>
    </w:p>
    <w:p w14:paraId="2335114E"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под командованием Маршала Советского Союза Жукова, в результате проведённых наступательных операций с 4 по 31 марта, освободили от немецких захватчиков 41.940 квадратных километров Советской территории, 3 областных центра Украины: Винница, Каменец-Подольск, Черновицы, 57 городов, 11 железнодорожных узлов, 647 крупных населённых пунктов и 3.801 других населённых пунктов.</w:t>
      </w:r>
    </w:p>
    <w:p w14:paraId="45E5AFE8"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Развивая наступление, войска фронта вышли в предгорья Карпат и разрезали фронт немцев на две части, лишив его основных коммуникаций, вследствие чего южная группировка противника вынуждена базироваться только на дороги, идущие через Румынию.</w:t>
      </w:r>
    </w:p>
    <w:p w14:paraId="179A4312"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наступления войска фронта разгромили или нанесли тяжёлые потери 96, 208, 254, 291, 340, 371, 183, 217, 339, 68, 357, 359, 361 пехотным дивизиям, дивизионную группу польского генерал-губернаторства, дивизионную группу Прютцмана, дивизионную группу Шааля, 454 охранную дивизию, 101 горно-стрелковую дивизию, 44 полицейскую дивизию СС, 1, 6, 7, 8, И, 16, 17,19, 25 танковые дивизии, танковые дивизии СС «Рейх», «Адольф Гитлер», танковую группу Радовица, танковую группу Гуделиуса, 20 мотодивизию немцев и 8 пехотную дивизию румын.</w:t>
      </w:r>
    </w:p>
    <w:p w14:paraId="140BB500"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стремительного наступления ударных войск фронта в районе Скала окружены и добиваются остатки семи пехотных, семи танковых и одной моторизованной дивизии немцев.</w:t>
      </w:r>
    </w:p>
    <w:p w14:paraId="202B81F7"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итоге проведённых операций с 4 по 31 мартавойска 1-го Украинского фронта нанесли противнику следующие потери:</w:t>
      </w:r>
    </w:p>
    <w:p w14:paraId="4025A6B7"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Уничтожено: танков и самоходных орудий — 1.338, орудий разного калибра — 2.516, миномётов — 1.285, пулемётов — 4.206, автомашин и тягачей —22.519, бронемашин и бронетранспортёров — 572, самолётов — 272. Противник оставил на поле боя 183.310 трупов солдат и офицеров.</w:t>
      </w:r>
    </w:p>
    <w:p w14:paraId="7F7986FB"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это же время войска1-го Украинского фронта захватили следующие трофеи: танков и самоходных орудий —849, орудий разного калибра — 2.086, пулемётов — 4.223, миномётов — 1.391, винтовок и автоматов — 38.020, автомашин — 31.468, бронемашин и бронетранспортёров — 406, паровозов — 149, вагонов — 6.315, мотоциклов — 1.944, радиостанций — 203, снарядов — 7.634.000, складов разных с военным имуществом —436, лошадей — 4.528. Взято в плен 24.950 немецких солдат и офицеров.</w:t>
      </w:r>
    </w:p>
    <w:p w14:paraId="743C367A"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общие потери немцев по главным видам боевой техники и людям за время операций составляют: пленными и убитыми — 208.260, танков и самоходных орудий —2.187, орудий разного калибра — 4.602, миномётов — 2.676, пулемётов — 8.429, автомашин и тягачей — 53.987, бронемашин и бронетранспортёров —978.» (15089).</w:t>
      </w:r>
    </w:p>
    <w:p w14:paraId="4502EAB8" w14:textId="77777777" w:rsidR="00383F24" w:rsidRPr="00070ADE" w:rsidRDefault="00383F24" w:rsidP="00B56F90">
      <w:pPr>
        <w:spacing w:after="0" w:line="240" w:lineRule="auto"/>
        <w:jc w:val="both"/>
        <w:rPr>
          <w:rFonts w:ascii="Times New Roman" w:hAnsi="Times New Roman"/>
          <w:color w:val="000000" w:themeColor="text1"/>
          <w:sz w:val="16"/>
          <w:szCs w:val="16"/>
        </w:rPr>
      </w:pPr>
    </w:p>
    <w:p w14:paraId="1BF36D30"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4 апреля</w:t>
      </w:r>
      <w:r w:rsidRPr="00070ADE">
        <w:rPr>
          <w:rFonts w:ascii="Times New Roman" w:hAnsi="Times New Roman"/>
          <w:color w:val="000000" w:themeColor="text1"/>
          <w:sz w:val="16"/>
          <w:szCs w:val="16"/>
        </w:rPr>
        <w:t xml:space="preserve"> в 1944 году советские войска во взаимодействии с чехословацким армейским корпусом овладеывают Дуклинским перевалом и вступают в пределы Чехословакии (15089).</w:t>
      </w:r>
    </w:p>
    <w:p w14:paraId="64B083D5" w14:textId="77777777" w:rsidR="00383F24" w:rsidRPr="00070ADE" w:rsidRDefault="00383F24" w:rsidP="00B56F90">
      <w:pPr>
        <w:spacing w:after="0" w:line="240" w:lineRule="auto"/>
        <w:jc w:val="both"/>
        <w:rPr>
          <w:rFonts w:ascii="Times New Roman" w:hAnsi="Times New Roman"/>
          <w:color w:val="000000" w:themeColor="text1"/>
          <w:sz w:val="16"/>
          <w:szCs w:val="16"/>
        </w:rPr>
      </w:pPr>
    </w:p>
    <w:p w14:paraId="62BE617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апреля 1944 советские войска отрезали одесской группировке фашистов пути отхода в Румынию (4962).</w:t>
      </w:r>
    </w:p>
    <w:p w14:paraId="3CADD8F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694130" w14:textId="77777777" w:rsidR="00383F24"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04F6B6E4" w14:textId="77777777" w:rsidR="00383F24" w:rsidRPr="00070ADE" w:rsidRDefault="00383F24"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D30466" w14:textId="77777777" w:rsidR="00383F24" w:rsidRPr="00070ADE" w:rsidRDefault="00383F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4 апреля</w:t>
      </w:r>
      <w:r w:rsidRPr="00070ADE">
        <w:rPr>
          <w:rFonts w:ascii="Times New Roman" w:hAnsi="Times New Roman"/>
          <w:color w:val="000000" w:themeColor="text1"/>
          <w:sz w:val="16"/>
          <w:szCs w:val="16"/>
        </w:rPr>
        <w:t xml:space="preserve"> в 1944 году был заключен контракт № 3297 на постройку 17 предсерийных машин патрульного самолета </w:t>
      </w:r>
      <w:hyperlink r:id="rId99" w:tgtFrame="_blank" w:history="1">
        <w:r w:rsidRPr="00070ADE">
          <w:rPr>
            <w:rFonts w:ascii="Times New Roman" w:hAnsi="Times New Roman"/>
            <w:color w:val="000000" w:themeColor="text1"/>
            <w:sz w:val="16"/>
            <w:szCs w:val="16"/>
          </w:rPr>
          <w:t xml:space="preserve">«Lockheed» «P2V-1» «Neptune», </w:t>
        </w:r>
      </w:hyperlink>
      <w:r w:rsidRPr="00070ADE">
        <w:rPr>
          <w:rFonts w:ascii="Times New Roman" w:hAnsi="Times New Roman"/>
          <w:color w:val="000000" w:themeColor="text1"/>
          <w:sz w:val="16"/>
          <w:szCs w:val="16"/>
        </w:rPr>
        <w:t>включая два прототипа, а первый самолет с заводским номером 48237 построили в мае 1945-го под руководством ведущего инженера Р.Бэйли. Прототип «XP2V-1» строился по проекту «V-146», отличавшемуся от «V-1352 средним расположением крыла и измененным хвостовым оперением (15089).</w:t>
      </w:r>
    </w:p>
    <w:p w14:paraId="455C800A" w14:textId="77777777" w:rsidR="00383F24" w:rsidRPr="00070ADE" w:rsidRDefault="00383F24" w:rsidP="00B56F90">
      <w:pPr>
        <w:spacing w:after="0" w:line="240" w:lineRule="auto"/>
        <w:jc w:val="both"/>
        <w:rPr>
          <w:rFonts w:ascii="Times New Roman" w:hAnsi="Times New Roman"/>
          <w:color w:val="000000" w:themeColor="text1"/>
          <w:sz w:val="16"/>
          <w:szCs w:val="16"/>
        </w:rPr>
      </w:pPr>
    </w:p>
    <w:p w14:paraId="0BD45112" w14:textId="77777777" w:rsidR="007249B9" w:rsidRPr="00070ADE" w:rsidRDefault="007249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апреля 1944 г. был заключен контракт №3297 с фирмой Локхид на постройку двух опытных XP2V-1 и 15-ти предсерийных машин, а первый самолет с регистрационным номером ВМС 48237 был построен в мае 1945 г. под руководством ведущего инженера Р. Байли. Опытные XP2V-1 строились по проекту V-146, отличавшемуся от V-135 помимо прочего средним расположением крыла и измененным хвостовым оперением. На прототипе были установлены двигатели Райт R-3350-8, развивавшие по 2300 л.с. на взлете, 2100 л.с. при оборотах 2400 об/мин без турбонаддува и 1800 л.с. на высотах 750…4150 м с турбонаддувом. Горючее помещалось в двух 2650-литровых главных баках в центральной секции крыла и двух 1800-литровых баках в консолях, которые опорожнялись первыми. Еще четыре 950-литровых бака можно было разместить в бомбовом отсеке: 12700 л бензина хватало на 6780 км полета. Для обеспечения требуемой заказчиком дальности 8000 км устанавливались дополнительные баки в обитаемой части фюзеляжа. Самолет должен был действовать в любых погодных условиях и оснащался спиртовой противообледенительной системой (23020).</w:t>
      </w:r>
    </w:p>
    <w:p w14:paraId="6B36D14A" w14:textId="77777777" w:rsidR="007249B9" w:rsidRPr="00070ADE" w:rsidRDefault="007249B9" w:rsidP="00B56F90">
      <w:pPr>
        <w:spacing w:after="0" w:line="240" w:lineRule="auto"/>
        <w:jc w:val="both"/>
        <w:rPr>
          <w:rFonts w:ascii="Times New Roman" w:hAnsi="Times New Roman"/>
          <w:color w:val="000000" w:themeColor="text1"/>
          <w:sz w:val="16"/>
          <w:szCs w:val="16"/>
        </w:rPr>
      </w:pPr>
    </w:p>
    <w:p w14:paraId="08A8E850" w14:textId="77777777" w:rsidR="00AA077A" w:rsidRPr="00070ADE" w:rsidRDefault="00AA077A" w:rsidP="00B56F90">
      <w:pPr>
        <w:pStyle w:val="101"/>
        <w:shd w:val="clear" w:color="auto" w:fill="auto"/>
        <w:tabs>
          <w:tab w:val="left" w:pos="452"/>
        </w:tabs>
        <w:spacing w:after="0" w:line="240" w:lineRule="auto"/>
        <w:jc w:val="both"/>
        <w:rPr>
          <w:rFonts w:ascii="Times New Roman" w:hAnsi="Times New Roman" w:cs="Times New Roman"/>
          <w:color w:val="000000" w:themeColor="text1"/>
          <w:spacing w:val="0"/>
          <w:sz w:val="16"/>
          <w:szCs w:val="16"/>
        </w:rPr>
      </w:pPr>
      <w:r w:rsidRPr="00070ADE">
        <w:rPr>
          <w:rFonts w:ascii="Times New Roman" w:hAnsi="Times New Roman" w:cs="Times New Roman"/>
          <w:color w:val="000000" w:themeColor="text1"/>
          <w:spacing w:val="0"/>
          <w:sz w:val="16"/>
          <w:szCs w:val="16"/>
        </w:rPr>
        <w:t>4 апреля 1944 г. с аэродромов в районе города Фоджа стар</w:t>
      </w:r>
      <w:r w:rsidRPr="00070ADE">
        <w:rPr>
          <w:rFonts w:ascii="Times New Roman" w:hAnsi="Times New Roman" w:cs="Times New Roman"/>
          <w:color w:val="000000" w:themeColor="text1"/>
          <w:spacing w:val="0"/>
          <w:sz w:val="16"/>
          <w:szCs w:val="16"/>
        </w:rPr>
        <w:softHyphen/>
        <w:t>товали 350 бомбардировщиков В-24 и В-17 в сопровождении 119 истребителей Р-38. Это был первый большой налет на Румынию с итальянских аэродромов, от которых до Плоешти было немногим более тысячи километров, что позволяло дальним истребителям сопровождать бомбардировщики на протяжении всего полета.</w:t>
      </w:r>
    </w:p>
    <w:p w14:paraId="52E4EF06" w14:textId="77777777" w:rsidR="00AA077A" w:rsidRPr="00070ADE" w:rsidRDefault="00AA077A" w:rsidP="00B56F90">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070ADE">
        <w:rPr>
          <w:rFonts w:ascii="Times New Roman" w:hAnsi="Times New Roman" w:cs="Times New Roman"/>
          <w:color w:val="000000" w:themeColor="text1"/>
          <w:spacing w:val="0"/>
          <w:sz w:val="16"/>
          <w:szCs w:val="16"/>
        </w:rPr>
        <w:t>Любопытно, что только 32 В-24 бомбили Плоешти, а остальные атаковали Бухарест, Снагов и ряд других городов. В Бухаресте было убито и ранено свыше 5 тысяч человек. Семь В-24 были сбиты и 13 повреждены (19080).</w:t>
      </w:r>
    </w:p>
    <w:p w14:paraId="33B2883B" w14:textId="77777777" w:rsidR="00AA077A" w:rsidRPr="00070ADE" w:rsidRDefault="00AA077A" w:rsidP="00B56F90">
      <w:pPr>
        <w:pStyle w:val="101"/>
        <w:shd w:val="clear" w:color="auto" w:fill="auto"/>
        <w:spacing w:after="0" w:line="240" w:lineRule="auto"/>
        <w:jc w:val="both"/>
        <w:rPr>
          <w:rFonts w:ascii="Times New Roman" w:hAnsi="Times New Roman" w:cs="Times New Roman"/>
          <w:color w:val="000000" w:themeColor="text1"/>
          <w:spacing w:val="0"/>
          <w:sz w:val="16"/>
          <w:szCs w:val="16"/>
        </w:rPr>
      </w:pPr>
    </w:p>
    <w:p w14:paraId="63210B1C" w14:textId="77777777" w:rsidR="00AA077A" w:rsidRPr="00070ADE" w:rsidRDefault="00AA077A" w:rsidP="00B56F90">
      <w:pPr>
        <w:pStyle w:val="101"/>
        <w:shd w:val="clear" w:color="auto" w:fill="auto"/>
        <w:tabs>
          <w:tab w:val="left" w:pos="430"/>
        </w:tabs>
        <w:spacing w:after="0" w:line="240" w:lineRule="auto"/>
        <w:jc w:val="both"/>
        <w:rPr>
          <w:rFonts w:ascii="Times New Roman" w:hAnsi="Times New Roman" w:cs="Times New Roman"/>
          <w:color w:val="000000" w:themeColor="text1"/>
          <w:spacing w:val="0"/>
          <w:sz w:val="16"/>
          <w:szCs w:val="16"/>
        </w:rPr>
      </w:pPr>
      <w:r w:rsidRPr="00070ADE">
        <w:rPr>
          <w:rFonts w:ascii="Times New Roman" w:hAnsi="Times New Roman" w:cs="Times New Roman"/>
          <w:color w:val="000000" w:themeColor="text1"/>
          <w:spacing w:val="0"/>
          <w:sz w:val="16"/>
          <w:szCs w:val="16"/>
        </w:rPr>
        <w:t>4 апреля 1944 134 бомбардировщика В-24 и 96 В-17 вновь бомбили Румынию. Из полета не вернулись 13 бомбардировщиков (19080).</w:t>
      </w:r>
    </w:p>
    <w:p w14:paraId="05B41C8C" w14:textId="77777777" w:rsidR="00AA077A" w:rsidRPr="00070ADE" w:rsidRDefault="00AA077A" w:rsidP="00B56F90">
      <w:pPr>
        <w:pStyle w:val="101"/>
        <w:shd w:val="clear" w:color="auto" w:fill="auto"/>
        <w:tabs>
          <w:tab w:val="left" w:pos="430"/>
        </w:tabs>
        <w:spacing w:after="0" w:line="240" w:lineRule="auto"/>
        <w:jc w:val="both"/>
        <w:rPr>
          <w:rFonts w:ascii="Times New Roman" w:hAnsi="Times New Roman" w:cs="Times New Roman"/>
          <w:color w:val="000000" w:themeColor="text1"/>
          <w:spacing w:val="0"/>
          <w:sz w:val="16"/>
          <w:szCs w:val="16"/>
        </w:rPr>
      </w:pPr>
    </w:p>
    <w:p w14:paraId="138E25E3" w14:textId="77777777" w:rsidR="007249B9" w:rsidRPr="00070ADE" w:rsidRDefault="007249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апреля 1944 ВВС США активируют двадцатую армию ВВС, которая проведет кампанию стратегических бомбардировок Японии (29373).</w:t>
      </w:r>
    </w:p>
    <w:p w14:paraId="4F50415E" w14:textId="77777777" w:rsidR="007249B9" w:rsidRPr="00070ADE" w:rsidRDefault="007249B9" w:rsidP="00B56F90">
      <w:pPr>
        <w:spacing w:after="0" w:line="240" w:lineRule="auto"/>
        <w:jc w:val="both"/>
        <w:rPr>
          <w:rFonts w:ascii="Times New Roman" w:hAnsi="Times New Roman"/>
          <w:color w:val="000000" w:themeColor="text1"/>
          <w:sz w:val="16"/>
          <w:szCs w:val="16"/>
        </w:rPr>
      </w:pPr>
    </w:p>
    <w:p w14:paraId="69B7E57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EEC33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861A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Нач. ЛИИ А.В.Чесалов писал письмо N 226 Зам. НКАП В.П.Кузнецову с кратким техотчетом за март 1944 (2564,22).</w:t>
      </w:r>
    </w:p>
    <w:p w14:paraId="71A45D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382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Нач. 7 ГУ С.Шишкин писал письмо № 4480/л ли завода № 477 тов. Т.С.Подгорному</w:t>
      </w:r>
    </w:p>
    <w:p w14:paraId="20E12F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предложенному Вами проекту “Аэролидера” сообщаю, что ввиду нереальности проекта, НКАП считает реализацию его невозможной (1825,18).</w:t>
      </w:r>
    </w:p>
    <w:p w14:paraId="79EF11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85460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ADB64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A9E3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г. было подготовлено ЗАКЛЮЧЕНИЕ НАЧАЛЬНИКА 5-го ОТДЕЛА УБП БТ и МВ КА НАЧАЛЬНИКУ 8-го ОТДЕЛА ТУ ГБТУ КА ПО ПРЕДЛОЖЕНИЮ «ФОТОГРАФИРОВАНИЕ ИЗ ТАНКА ЧЕРЕЗ ТЕЛЕСКОПИЧЕСКИЙ ПРИЦЕЛ» №510655</w:t>
      </w:r>
    </w:p>
    <w:p w14:paraId="1984B1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Фотографирование из танка через телескопический прицел может найти применение лишь в разведке. Для контроля стрельбы в таком фотографировании нет необходимости.</w:t>
      </w:r>
    </w:p>
    <w:p w14:paraId="12AA48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разведке желательно иметь возможность производить фотографирование с дистанции до 800-1000 метров. В объяснительной записке т. Гриневич не указано с какой дистанции можно получить четкий снимок. Расчет показывает, что прилагаемый экспериментальный снимок сделан с дистанции 200-300 метров. Такая дистанция съемки для боевой практики совершенно недостаточна и, если фотографирование с больших дистанций при данном приспособлении невозможно, то предложение не представляет ценности.</w:t>
      </w:r>
    </w:p>
    <w:p w14:paraId="29A2D5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Считаю необходимым изготовить несколько опытных прицелов с фотокамерой и проверить целесообразность их применения в действующих танковых частях.</w:t>
      </w:r>
    </w:p>
    <w:p w14:paraId="66D931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материал по предложению т. Гриневич</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w:t>
      </w:r>
    </w:p>
    <w:p w14:paraId="354577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 начальника 5 отдела УБП БТ и МВ КА инженер-подполковник Кашигин</w:t>
      </w:r>
    </w:p>
    <w:p w14:paraId="44FC73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 начальника 5 отдела УБП БТ и МВ КА инженер-майор Деминцев</w:t>
      </w:r>
    </w:p>
    <w:p w14:paraId="23EE41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11351. Д. 229. Л. 175. Подлинник (11403).</w:t>
      </w:r>
    </w:p>
    <w:p w14:paraId="06502E4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D0BA7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вышло Распоряжение ГКО № 5542. О поставках балансов и дров Сухонским предприятиям НКБП. РГАНИР, Фонд ГКО, д. 225, лл. 39-40 (11012).</w:t>
      </w:r>
    </w:p>
    <w:p w14:paraId="5320919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37F5DC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вышло Постановление ГКО № 5545 О трофейном подвижном составе. (7205, 53-54).</w:t>
      </w:r>
    </w:p>
    <w:p w14:paraId="683C522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29C13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вышло Распоряжение ГКО № 5549 [О мобилизации в Вологодской обл. 150 рабочих и 50 возчиков с лошадьми для работы в Удимском леспромхозе по заготовке и вывозу дров.] (7205, 58).</w:t>
      </w:r>
    </w:p>
    <w:p w14:paraId="75E5791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64921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вышло Распоряжение ГКО № 5550. О мобилизации в Марийской АССР 320 рабочих и 150 возчиков с лошадьми на строительство рейда и лесной биржи Марийского бумкомбината и предприятия НКМП РСФСР. РГАНИР, Фонд ГКО, д. 225, лл. 59 (11012).</w:t>
      </w:r>
    </w:p>
    <w:p w14:paraId="5044A7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4D93B7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вышло Распоряжение ГКО № 5551 [О мобилизации в Кировской обл. 3,2 тыс. рабочих и 175 возчиков с лошадьми для подвозки зерна к причалам и погрузочно-разгрузочных работ.] (7205, 60).</w:t>
      </w:r>
    </w:p>
    <w:p w14:paraId="4CCC6AF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30CBC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вышло Распоряжение ГКО № 5552 [О поставке заводу № 672 НКЭП импортного оборудования и мобилизации 20 возчиков с лошадьми в Тульской обл.] (7205, 61,62).</w:t>
      </w:r>
    </w:p>
    <w:p w14:paraId="4005FAF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79AAA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вышло Распоряжение ГКО № 5553. О поставке во II кв. 1944 г. Украинскому ШПД оборудования и аппаратуры. РГАНИР, Фонд ГКО, д. 225, лл. 63,64-66 (11012).</w:t>
      </w:r>
    </w:p>
    <w:p w14:paraId="16938E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5C4E3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вышло Постановление ГКО № 5554 О мерах неотложной помощи золотоплатиновой промышленности Наркомцветмета. РГАНИР, Фонд ГКО, д. 225, лл. 67-78,79-100 (11012).</w:t>
      </w:r>
    </w:p>
    <w:p w14:paraId="5D610C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F18DC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вышло Постановление ГКО № 5555 Об обеспечении деловой древесиной частей Красной Армии в Закавказье и Иране. РГАНИР, Фонд ГКО, д. 225, лл. 101-103 (11012).</w:t>
      </w:r>
    </w:p>
    <w:p w14:paraId="27D177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9DC435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вышло Постановление ГКО № 5556 О мероприятиях по проведению лесосплава в навигацию 1944 г. (7205, 104-117,118-132).</w:t>
      </w:r>
    </w:p>
    <w:p w14:paraId="020F0D7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8420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вышло Постановление ГКО № 5558 Об организации на Московском подшипниковом заводе № 1 им. Л.М.Кагановича Наркомсредмаша цеха крупногабаритных мелкосерийных подшипников. РГАНИР, Фонд ГКО, д. 225, лл. 188-189,190-192 (11012).</w:t>
      </w:r>
    </w:p>
    <w:p w14:paraId="65E307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1A70851" w14:textId="77777777" w:rsidR="006F0EDF"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FF6EAD0" w14:textId="77777777" w:rsidR="006F0EDF" w:rsidRPr="00070ADE" w:rsidRDefault="006F0EDF"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9AE9CF" w14:textId="77777777" w:rsidR="006F0EDF" w:rsidRPr="00070ADE" w:rsidRDefault="006F0ED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5 апреля</w:t>
      </w:r>
      <w:r w:rsidRPr="00070ADE">
        <w:rPr>
          <w:rFonts w:ascii="Times New Roman" w:hAnsi="Times New Roman"/>
          <w:color w:val="000000" w:themeColor="text1"/>
          <w:sz w:val="16"/>
          <w:szCs w:val="16"/>
        </w:rPr>
        <w:t xml:space="preserve"> в 1944 году оперативная сводка Совинформбюро:</w:t>
      </w:r>
    </w:p>
    <w:p w14:paraId="68085F2C" w14:textId="77777777" w:rsidR="006F0EDF" w:rsidRPr="00070ADE" w:rsidRDefault="006F0ED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5 апреля наши войска продолжали вести бои по уничтожению группировки противника, окружённой в районе Скала, и занялинесколько населённых пунктов.</w:t>
      </w:r>
    </w:p>
    <w:p w14:paraId="243804EF" w14:textId="77777777" w:rsidR="006F0EDF" w:rsidRPr="00070ADE" w:rsidRDefault="006F0ED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Кишинёвском направлении наши войска продолжали вести наступательные бои, в ходе которых овладели районным центром Молдавской ССР Суслены, а также занялиболее 30 других населённых пунктов, среди которых крупные населённые пункты Будей, Бологани, Булаешти, Цыбулевка, Ягорлык, Паркановка, Курпиново,Соше-Островское.</w:t>
      </w:r>
    </w:p>
    <w:p w14:paraId="14221886" w14:textId="77777777" w:rsidR="006F0EDF" w:rsidRPr="00070ADE" w:rsidRDefault="006F0ED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продолжая наступление, в результатестремительного удара пехоты и конно-механизированных соединений, овладелигородом и крупным железнодорожным узлом Раздельная — важным опорным пунктомобороны немцев на подступах к Одессе, отрезав тем самым основные пути отхода вРумынию одесской группировке противника, а также с боями заняли более 100 другихнаселённых пунктов, в том числе районные центры Одесской области Яновка, Антоно-Кодинцово, крупные населённые пункты Первомайский, Парканцы, Страссбург, Баден, Ростовцево, Бараново, Бузиново, Ираклиевка, Любополь, Визирка, Сычавка, Старые Беляры и железнодорожные станции Мигаево, Кучурган, Кубанка.</w:t>
      </w:r>
    </w:p>
    <w:p w14:paraId="7B137C08" w14:textId="77777777" w:rsidR="006F0EDF" w:rsidRPr="00070ADE" w:rsidRDefault="006F0ED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в ряде пунктов шли бои местного значения.</w:t>
      </w:r>
    </w:p>
    <w:p w14:paraId="358A3751" w14:textId="77777777" w:rsidR="006F0EDF" w:rsidRPr="00070ADE" w:rsidRDefault="006F0ED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4 апреля наши войска на всех фронтах подбили и уничтожили 48 немецких танков. В воздушных боях и огнём зенитной артиллерии сбито 42 самолёта противника.</w:t>
      </w:r>
    </w:p>
    <w:p w14:paraId="1278F45F" w14:textId="77777777" w:rsidR="006F0EDF" w:rsidRPr="00070ADE" w:rsidRDefault="006F0ED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Войска 1-го Украинского фронта продолжали вести бои по уничтожению группировки немцев, окружённой в районе города Скала. Противник стремится ценой любых потерь вырваться из «котла». Утром крупные силы немецкой пехоты и танков предприняли контратаки в северо-западном направлении. Встретив отпор, гитлеровцы понесли большие потери и отхлынули назад. Наскоро перегруппировав свои силы, противник вновь перешёл в контратаку. Два батальона вражеской пехоты вклинились в расположение советских частей, но были отрезаны и полностью уничтожены. На другом участке пехота и танки противника пытались пробиться в западном направлении. Пьяные гитлеровцы попали под артиллерийско-миномётный и пулемётный огонь советских частей. На поле боя остались сотни вражеских </w:t>
      </w:r>
      <w:r w:rsidRPr="00070ADE">
        <w:rPr>
          <w:rFonts w:ascii="Times New Roman" w:hAnsi="Times New Roman"/>
          <w:color w:val="000000" w:themeColor="text1"/>
          <w:sz w:val="16"/>
          <w:szCs w:val="16"/>
        </w:rPr>
        <w:lastRenderedPageBreak/>
        <w:t>трупов и более 30 подбитых немецких танков. Отбивая контратаки противника, советские войскапродолжали сжимать кольцо окружения и выбили немцев из нескольких населённых пунктов. Захвачены большие трофеи, в том числе 9 танков, 14 бронетранспортёров, свыше 300 автомашин с различными грузами.</w:t>
      </w:r>
    </w:p>
    <w:p w14:paraId="4543A11A" w14:textId="77777777" w:rsidR="006F0EDF" w:rsidRPr="00070ADE" w:rsidRDefault="006F0ED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овладевшие вчера районным центром Черновицкой области — городом Хотин, нанесли противнику тяжёлые потери в живой силе и технике. На улицах города подсчитано 4.650 трупов немцев. Советские части взяли в плен 1.250 вражеских солдат и офицеров и захватили 40 танков, 20 орудий и много других трофеев.</w:t>
      </w:r>
    </w:p>
    <w:p w14:paraId="4E882BF3" w14:textId="77777777" w:rsidR="006F0EDF" w:rsidRPr="00070ADE" w:rsidRDefault="006F0ED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Кишинёвском направлении наши войска продолжали вести наступательные бои. Части Н-ского соединения отбили несколько контратак немцев, пытавшихся вернуть потерянные накануне позиции. Измотав противника, советские бойцы нанесли ему удар с флангов. Гитлеровцы под угрозой окружения начали беспорядочно отходить. Развивая успех, наши части овладели районным центром Молдавской ССР Суслены, а также заняли несколько других населённых пунктов. Уничтожено более 800 солдат и офицеров противника. Захвачены у немцев 14 орудий, 70 пулеметов, 3 бронетранспортёра, 40 автомашин, склад боеприпасов и 2 склада с продовольствием. Взято в плен 400 немецких солдат и офицеров.</w:t>
      </w:r>
    </w:p>
    <w:p w14:paraId="590AEA62" w14:textId="77777777" w:rsidR="006F0EDF" w:rsidRPr="00070ADE" w:rsidRDefault="006F0ED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продолжали успешное наступление. Советская пехота и конно-механизированные соединения вышли на подступы к городу Раздельная. Немцы упорно защищали этот важный узел коммуникаций и опорный пунктих обороны на подступах к Одессе. Стремительными ударами наши бойцы сломили сопротивление противника и овладели крупным узлом железных дорог и городом Раздельная. Таким образом железная дорога Одесса-Тирасполь перерезана нашими войсками. Тем самым отрезаны основные пути отхода в Румынию одесской группировке противника. Другие советские части, продвигаясь на юг, заняли районные центры Одесской области Яновка, Антоно-Кодинцово и более ста других населённых пунктов. Отступая под ударами наших войск, противник несёт тяжёлые потери в живой силе и технике. В течение дня захвачено у немцев 25 танков, 48 орудий, из них калибра 150 мм — 11 орудий и калибра 210 мм — 7 орудий, 460 автомашин, 4 переправочных парка, 7 складов с боеприпасами, продовольствием и военным имуществом.</w:t>
      </w:r>
    </w:p>
    <w:p w14:paraId="12CE9B07" w14:textId="77777777" w:rsidR="006F0EDF" w:rsidRPr="00070ADE" w:rsidRDefault="006F0ED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Лётчики Ленинградского фронта в течение дня сбили в воздушных боях 15 немецких самолётов. При выполнении боевого задания две пятёрки наших штурмовиков на подходе к цели были атакованы истребителями противника. В завязавшихся воздушных схватках старшие лейтенанты Агеев, Андрианов и Никитенко сбили по одному немецкому самолёту. Выполнив боевое задание, советские лётчики благополучно вернулись на свой аэродром.</w:t>
      </w:r>
    </w:p>
    <w:p w14:paraId="1B1E24D3" w14:textId="77777777" w:rsidR="006F0EDF" w:rsidRPr="00070ADE" w:rsidRDefault="006F0ED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Разведка Краснознамённого Балтийского флота утром обнаружила в западной части Нарвского залива группу тральщиков, десантных барж и сторожевых катеров противника. В течение дня наши бомбардировщики и штурмовики, преодолевая сильное сопротивление вражеских истребителей, нанесли несколько ударов по обнаруженной группе кораблей. Потоплены одна десантная баржа и два сторожевых катера противника.</w:t>
      </w:r>
    </w:p>
    <w:p w14:paraId="6E777EDA" w14:textId="77777777" w:rsidR="006F0EDF" w:rsidRPr="00070ADE" w:rsidRDefault="006F0ED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ожесточённых воздушных боях сбито 13 немецких самолётов.</w:t>
      </w:r>
    </w:p>
    <w:p w14:paraId="794A66FB" w14:textId="77777777" w:rsidR="006F0EDF" w:rsidRPr="00070ADE" w:rsidRDefault="006F0ED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Черновицкой области, в ночь на 28 марта атаковал немецкий гарнизон в одном населённом пункте. Партизаны уничтожили 40 гитлеровцев, а остальные в панике разбежались. Захваченное у немцев продовольствие роздано местным жителям. Партизаны этого же отряда подорвали на минах и уничтожили огнём из засад на шоссейных дорогах 25 немецких автомашин и 3 автоцистерны с бензином. Группа молдавских партизан, действующая в прифронтовой полосе, в ходе боёв с фашистскими захватчиками истребила две роты немцев и румын.» (15090).</w:t>
      </w:r>
    </w:p>
    <w:p w14:paraId="365D99B4" w14:textId="77777777" w:rsidR="006F0EDF" w:rsidRPr="00070ADE" w:rsidRDefault="006F0EDF" w:rsidP="00B56F90">
      <w:pPr>
        <w:spacing w:after="0" w:line="240" w:lineRule="auto"/>
        <w:jc w:val="both"/>
        <w:rPr>
          <w:rFonts w:ascii="Times New Roman" w:hAnsi="Times New Roman"/>
          <w:color w:val="000000" w:themeColor="text1"/>
          <w:sz w:val="16"/>
          <w:szCs w:val="16"/>
        </w:rPr>
      </w:pPr>
    </w:p>
    <w:p w14:paraId="3FDE653C" w14:textId="77777777" w:rsidR="006F0EDF" w:rsidRPr="00070ADE" w:rsidRDefault="006F0ED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5 апреля</w:t>
      </w:r>
      <w:r w:rsidRPr="00070ADE">
        <w:rPr>
          <w:rFonts w:ascii="Times New Roman" w:hAnsi="Times New Roman"/>
          <w:color w:val="000000" w:themeColor="text1"/>
          <w:sz w:val="16"/>
          <w:szCs w:val="16"/>
        </w:rPr>
        <w:t xml:space="preserve"> в 1944 году (5–11 апреля) эвакуация германских войск из Одессы морем прошла без потерь (15090).</w:t>
      </w:r>
    </w:p>
    <w:p w14:paraId="51DE7647" w14:textId="77777777" w:rsidR="006F0EDF" w:rsidRPr="00070ADE" w:rsidRDefault="006F0EDF" w:rsidP="00B56F90">
      <w:pPr>
        <w:spacing w:after="0" w:line="240" w:lineRule="auto"/>
        <w:jc w:val="both"/>
        <w:rPr>
          <w:rFonts w:ascii="Times New Roman" w:hAnsi="Times New Roman"/>
          <w:color w:val="000000" w:themeColor="text1"/>
          <w:sz w:val="16"/>
          <w:szCs w:val="16"/>
        </w:rPr>
      </w:pPr>
    </w:p>
    <w:p w14:paraId="5E6C6692" w14:textId="77777777" w:rsidR="00E80BEB" w:rsidRPr="00070ADE" w:rsidRDefault="00E80BE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завершилась Полесская наступательная операция войск 2-го Белорусского фронта, проведённая с целью разгрома ковельской группировки противника</w:t>
      </w:r>
    </w:p>
    <w:p w14:paraId="7FA7D4A3" w14:textId="77777777" w:rsidR="00E80BEB" w:rsidRPr="00070ADE" w:rsidRDefault="00E80BE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957D1B" w14:textId="77777777" w:rsidR="00E80BEB" w:rsidRPr="00070ADE" w:rsidRDefault="00E80BE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April 5th, 1944: German forces of Heeresgruppe Mitte (von Kluge) encircled in the Kowel pocket are relieved after bitter fighting (3819).</w:t>
      </w:r>
    </w:p>
    <w:p w14:paraId="55ED5371" w14:textId="77777777" w:rsidR="00E80BEB" w:rsidRPr="00070ADE" w:rsidRDefault="00E80BE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CA6FFB4" w14:textId="77777777" w:rsidR="00E80BEB" w:rsidRPr="00070ADE" w:rsidRDefault="00E80BE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окруженные у Ковеля войска Группы Центр (фон Клюге) прорвались (3819).</w:t>
      </w:r>
    </w:p>
    <w:p w14:paraId="7DAC5435" w14:textId="77777777" w:rsidR="00E80BEB" w:rsidRPr="00070ADE" w:rsidRDefault="00E80BE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2781D1" w14:textId="77777777" w:rsidR="00E80BEB" w:rsidRPr="00070ADE" w:rsidRDefault="00E80BE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вышло Распоряжение ГКО № 5547. О продлении до 1 октября 1944 г. срока работы военнослужащих, занятых на эксплуатации радиостанций В-100 НКсвязи. РГАНИР, Фонд ГКО, д. 225, лл. 56 (11012).</w:t>
      </w:r>
    </w:p>
    <w:p w14:paraId="21AC25D7" w14:textId="77777777" w:rsidR="00E80BEB" w:rsidRPr="00070ADE" w:rsidRDefault="00E80BEB" w:rsidP="00B56F90">
      <w:pPr>
        <w:autoSpaceDE w:val="0"/>
        <w:autoSpaceDN w:val="0"/>
        <w:adjustRightInd w:val="0"/>
        <w:spacing w:after="0" w:line="240" w:lineRule="auto"/>
        <w:jc w:val="both"/>
        <w:rPr>
          <w:rFonts w:ascii="Times New Roman" w:hAnsi="Times New Roman"/>
          <w:color w:val="000000" w:themeColor="text1"/>
          <w:sz w:val="16"/>
          <w:szCs w:val="16"/>
        </w:rPr>
      </w:pPr>
    </w:p>
    <w:p w14:paraId="643466B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4954A0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98161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вышло Постановление ГКО № 5541 О материально-техническом обеспечении производства орденов и медалей СССР и разменной монеты во II квартале 1944 г. (7205, 32-34,35-38).</w:t>
      </w:r>
    </w:p>
    <w:p w14:paraId="3B94BDE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456A2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вышло Постановление ГКО № 5543 О мероприятиях по восстановлению заводов Наркомстройматериалов БССР в освобожденных районах Белоруссии. РГАНИР, Фонд ГКО, д. 225, лл. 41-45,46-51 (11012).</w:t>
      </w:r>
    </w:p>
    <w:p w14:paraId="06065F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D8377A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вышло Распоряжение ГКО № 5544 [О мерах по повышению горизонта воды в Угличском водохранилище.] (7205, 52).</w:t>
      </w:r>
    </w:p>
    <w:p w14:paraId="7791F13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E0E4D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вышло Распоряжение ГКО № 5546. О продлении до 1 июля 1944 г. срока работы мобилизованных на предприятия Главснаблеса. РГАНИР, Фонд ГКО, д. 225, лл. 55 (11012).</w:t>
      </w:r>
    </w:p>
    <w:p w14:paraId="32B7D5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190628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вышло Распоряжение ГКО № 5548. О передаче 100 некадровых командиров-инженеров для работ по восстановлению МТС, МТМ и ремонтных заводов в освобожденных районах. РГАНИР, Фонд ГКО, д. 225, лл. 57 (11012).</w:t>
      </w:r>
    </w:p>
    <w:p w14:paraId="2B2069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57C1D8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вышло Постановление ГКО № 5557 О мерах по улучшению работы протезной промышленности в 1944 г. (7205, 133-141,142-187).</w:t>
      </w:r>
    </w:p>
    <w:p w14:paraId="5585AF9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AD1A4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7FD4FB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C1D0DE" w14:textId="77777777" w:rsidR="006F0EDF" w:rsidRPr="00070ADE" w:rsidRDefault="006F0ED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5 апреля</w:t>
      </w:r>
      <w:r w:rsidRPr="00070ADE">
        <w:rPr>
          <w:rFonts w:ascii="Times New Roman" w:hAnsi="Times New Roman"/>
          <w:color w:val="000000" w:themeColor="text1"/>
          <w:sz w:val="16"/>
          <w:szCs w:val="16"/>
        </w:rPr>
        <w:t xml:space="preserve"> в 1944 году впервые поднялся в воздух опытный экземпляр английского УТС разработанный английской фирмой «Miles» и получивший обозначение </w:t>
      </w:r>
      <w:hyperlink r:id="rId100" w:tgtFrame="_blank" w:history="1">
        <w:r w:rsidRPr="00070ADE">
          <w:rPr>
            <w:rFonts w:ascii="Times New Roman" w:hAnsi="Times New Roman"/>
            <w:color w:val="000000" w:themeColor="text1"/>
            <w:sz w:val="16"/>
            <w:szCs w:val="16"/>
          </w:rPr>
          <w:t xml:space="preserve">«Monitor T.T.» «Mk.I», </w:t>
        </w:r>
      </w:hyperlink>
      <w:r w:rsidRPr="00070ADE">
        <w:rPr>
          <w:rFonts w:ascii="Times New Roman" w:hAnsi="Times New Roman"/>
          <w:color w:val="000000" w:themeColor="text1"/>
          <w:sz w:val="16"/>
          <w:szCs w:val="16"/>
        </w:rPr>
        <w:t>будущий «M.33» «Monitor» - учебно-тренировочный самолет. Он хорошо слушался рулей, но война окончилась еще до полного завершения разработки, и контракт был уменьшен сначала до 200 самолетов, затем до 50 и окончательно расторгнут после поставки 20 машин (15090).</w:t>
      </w:r>
    </w:p>
    <w:p w14:paraId="2E76AD4A" w14:textId="77777777" w:rsidR="006F0EDF" w:rsidRPr="00070ADE" w:rsidRDefault="006F0EDF" w:rsidP="00B56F90">
      <w:pPr>
        <w:spacing w:after="0" w:line="240" w:lineRule="auto"/>
        <w:jc w:val="both"/>
        <w:rPr>
          <w:rFonts w:ascii="Times New Roman" w:hAnsi="Times New Roman"/>
          <w:color w:val="000000" w:themeColor="text1"/>
          <w:sz w:val="16"/>
          <w:szCs w:val="16"/>
        </w:rPr>
      </w:pPr>
    </w:p>
    <w:p w14:paraId="43E33602" w14:textId="77777777" w:rsidR="007249B9" w:rsidRPr="00070ADE" w:rsidRDefault="007249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первый полет Miles M.33 Monitor (20373).</w:t>
      </w:r>
    </w:p>
    <w:p w14:paraId="7E9BC34A" w14:textId="77777777" w:rsidR="007249B9" w:rsidRPr="00070ADE" w:rsidRDefault="007249B9" w:rsidP="00B56F90">
      <w:pPr>
        <w:spacing w:after="0" w:line="240" w:lineRule="auto"/>
        <w:jc w:val="both"/>
        <w:rPr>
          <w:rFonts w:ascii="Times New Roman" w:hAnsi="Times New Roman"/>
          <w:color w:val="000000" w:themeColor="text1"/>
          <w:sz w:val="16"/>
          <w:szCs w:val="16"/>
        </w:rPr>
      </w:pPr>
    </w:p>
    <w:p w14:paraId="389FE28C" w14:textId="54E7C8B3" w:rsidR="007249B9" w:rsidRPr="00070ADE" w:rsidRDefault="007249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года — первый полёт буксировщика мишеней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Miles M.33 Monitor</w:t>
      </w:r>
    </w:p>
    <w:p w14:paraId="68C2E7A7" w14:textId="12EBE966" w:rsidR="007249B9" w:rsidRPr="00070ADE" w:rsidRDefault="007249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1942 году авиационное министерство Великобритании выпустило спецификацию</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Q.9/42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на скоростной (не менее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482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двухмоторный буксировщик мишеней. Также в требованиях был пункт о необходимости наблюдателя в экипаже для быстрой смены мишеней. За проект взялась компания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Miles Aircraft.</w:t>
      </w:r>
    </w:p>
    <w:p w14:paraId="183DE6DC" w14:textId="787715A3" w:rsidR="007249B9" w:rsidRPr="00070ADE" w:rsidRDefault="007249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Первоначально планировалось для ускорения работ использовать крыло и шасси от тяжелого истребителя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Bristol Beaufighter. Но в итоге взяли лишь шасси, а крыло для M.33 Monitor разработали своё. Конструкция самолёта была смешанной — металлический фюзеляж и деревянное крыло. На верхней части фюзеляжа, ближе к хвосту, располагалась кабина наблюдателя.</w:t>
      </w:r>
    </w:p>
    <w:p w14:paraId="19CE3CB2" w14:textId="7E85FB5D" w:rsidR="007249B9" w:rsidRPr="00070ADE" w:rsidRDefault="007249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Планировалось выпустить</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600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самолётов, но приближающийся конец войны вынудил сначала сократить заказ до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200, а затем до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единиц M.33. Но после потери двух прототипов в катастрофах, все оставшиеся самолёты списали. Miles M.33 Monitor так 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не был принят на вооружение (22300).</w:t>
      </w:r>
    </w:p>
    <w:p w14:paraId="17FB4A0A" w14:textId="77777777" w:rsidR="007249B9" w:rsidRPr="00070ADE" w:rsidRDefault="007249B9" w:rsidP="00B56F90">
      <w:pPr>
        <w:spacing w:after="0" w:line="240" w:lineRule="auto"/>
        <w:jc w:val="both"/>
        <w:rPr>
          <w:rFonts w:ascii="Times New Roman" w:hAnsi="Times New Roman"/>
          <w:color w:val="000000" w:themeColor="text1"/>
          <w:sz w:val="16"/>
          <w:szCs w:val="16"/>
        </w:rPr>
      </w:pPr>
    </w:p>
    <w:p w14:paraId="19E2C5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года 456 американских „Мустангов“ и „Тандерболтов“ нанесли массированный удар по 11 аэродромам истребительной авиации Германии, уничтожив на земле и в воздухе всего 53 немецких истребителя [Майк Спик. Асы люфтваффе.– Смоленск: Русич, 1999., 77]. И это – один из самых удачных для союзной авиации эпизодов войны. Так откуда же взялась та супер-гипер-экстраэффективность, которой якобы достигло люфтваффе 22 июня 1941 года? (11652).</w:t>
      </w:r>
    </w:p>
    <w:p w14:paraId="2BB237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7986CAE" w14:textId="77777777" w:rsidR="007249B9" w:rsidRPr="00070ADE" w:rsidRDefault="007249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самолет пятой армии ВВС снова атакует японские аэродромы вокруг Голландии (20373).</w:t>
      </w:r>
    </w:p>
    <w:p w14:paraId="1D8E1BE7" w14:textId="77777777" w:rsidR="007249B9" w:rsidRPr="00070ADE" w:rsidRDefault="007249B9" w:rsidP="00B56F90">
      <w:pPr>
        <w:spacing w:after="0" w:line="240" w:lineRule="auto"/>
        <w:jc w:val="both"/>
        <w:rPr>
          <w:rFonts w:ascii="Times New Roman" w:hAnsi="Times New Roman"/>
          <w:color w:val="000000" w:themeColor="text1"/>
          <w:sz w:val="16"/>
          <w:szCs w:val="16"/>
        </w:rPr>
      </w:pPr>
    </w:p>
    <w:p w14:paraId="6FD13017" w14:textId="77777777" w:rsidR="007249B9" w:rsidRPr="00070ADE" w:rsidRDefault="007249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 апреля (ночь) 1944 145 британских бомбардировщиков атакуют авиационный завод в Тулузе, Франция. Один бомбардировщик Ланкастер потерян, когда взрывается над целью (20373).</w:t>
      </w:r>
    </w:p>
    <w:p w14:paraId="472EC945" w14:textId="77777777" w:rsidR="007249B9" w:rsidRPr="00070ADE" w:rsidRDefault="007249B9" w:rsidP="00B56F90">
      <w:pPr>
        <w:spacing w:after="0" w:line="240" w:lineRule="auto"/>
        <w:jc w:val="both"/>
        <w:rPr>
          <w:rFonts w:ascii="Times New Roman" w:hAnsi="Times New Roman"/>
          <w:color w:val="000000" w:themeColor="text1"/>
          <w:sz w:val="16"/>
          <w:szCs w:val="16"/>
        </w:rPr>
      </w:pPr>
    </w:p>
    <w:p w14:paraId="6F1248CB" w14:textId="77777777" w:rsidR="006F0EDF" w:rsidRPr="00070ADE" w:rsidRDefault="006F0E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апреля 1944 г Де Голь стал главой французского правительства в Лондоне (2247,2).</w:t>
      </w:r>
    </w:p>
    <w:p w14:paraId="2B7F97D9" w14:textId="77777777" w:rsidR="006F0EDF" w:rsidRPr="00070ADE" w:rsidRDefault="006F0ED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F11C4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lastRenderedPageBreak/>
        <w:t>Авиапромышленность:</w:t>
      </w:r>
    </w:p>
    <w:p w14:paraId="34D77F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50AB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апреля 1944 Постановлением ГКО №3137 ВМШ-2 был офи</w:t>
      </w:r>
      <w:r w:rsidRPr="00070ADE">
        <w:rPr>
          <w:rFonts w:ascii="Times New Roman" w:hAnsi="Times New Roman"/>
          <w:color w:val="000000" w:themeColor="text1"/>
          <w:sz w:val="16"/>
          <w:szCs w:val="16"/>
        </w:rPr>
        <w:softHyphen/>
        <w:t>циально запущен в серийное производ</w:t>
      </w:r>
      <w:r w:rsidRPr="00070ADE">
        <w:rPr>
          <w:rFonts w:ascii="Times New Roman" w:hAnsi="Times New Roman"/>
          <w:color w:val="000000" w:themeColor="text1"/>
          <w:sz w:val="16"/>
          <w:szCs w:val="16"/>
        </w:rPr>
        <w:softHyphen/>
        <w:t>ство и стал устанавливаться на всех выпускаемых штурмовиках Ил-2. Несмотря на столь длительную довод</w:t>
      </w:r>
      <w:r w:rsidRPr="00070ADE">
        <w:rPr>
          <w:rFonts w:ascii="Times New Roman" w:hAnsi="Times New Roman"/>
          <w:color w:val="000000" w:themeColor="text1"/>
          <w:sz w:val="16"/>
          <w:szCs w:val="16"/>
        </w:rPr>
        <w:softHyphen/>
        <w:t>ку, ВМШ-2 все же не нашел широкого применения в строевых частях штурмо</w:t>
      </w:r>
      <w:r w:rsidRPr="00070ADE">
        <w:rPr>
          <w:rFonts w:ascii="Times New Roman" w:hAnsi="Times New Roman"/>
          <w:color w:val="000000" w:themeColor="text1"/>
          <w:sz w:val="16"/>
          <w:szCs w:val="16"/>
        </w:rPr>
        <w:softHyphen/>
        <w:t>вой авиации ВВС КА. Как ни старались привить уважение летчиков к этому при</w:t>
      </w:r>
      <w:r w:rsidRPr="00070ADE">
        <w:rPr>
          <w:rFonts w:ascii="Times New Roman" w:hAnsi="Times New Roman"/>
          <w:color w:val="000000" w:themeColor="text1"/>
          <w:sz w:val="16"/>
          <w:szCs w:val="16"/>
        </w:rPr>
        <w:softHyphen/>
        <w:t>бору и заставить пользоваться им, ниче</w:t>
      </w:r>
      <w:r w:rsidRPr="00070ADE">
        <w:rPr>
          <w:rFonts w:ascii="Times New Roman" w:hAnsi="Times New Roman"/>
          <w:color w:val="000000" w:themeColor="text1"/>
          <w:sz w:val="16"/>
          <w:szCs w:val="16"/>
        </w:rPr>
        <w:softHyphen/>
        <w:t>го из этого не получилось, хотя времен</w:t>
      </w:r>
      <w:r w:rsidRPr="00070ADE">
        <w:rPr>
          <w:rFonts w:ascii="Times New Roman" w:hAnsi="Times New Roman"/>
          <w:color w:val="000000" w:themeColor="text1"/>
          <w:sz w:val="16"/>
          <w:szCs w:val="16"/>
        </w:rPr>
        <w:softHyphen/>
        <w:t>ной механизм и просуществовал на во</w:t>
      </w:r>
      <w:r w:rsidRPr="00070ADE">
        <w:rPr>
          <w:rFonts w:ascii="Times New Roman" w:hAnsi="Times New Roman"/>
          <w:color w:val="000000" w:themeColor="text1"/>
          <w:sz w:val="16"/>
          <w:szCs w:val="16"/>
        </w:rPr>
        <w:softHyphen/>
        <w:t>оружении до самого окончания войны. Основным недостатком ВМШ-2 явля</w:t>
      </w:r>
      <w:r w:rsidRPr="00070ADE">
        <w:rPr>
          <w:rFonts w:ascii="Times New Roman" w:hAnsi="Times New Roman"/>
          <w:color w:val="000000" w:themeColor="text1"/>
          <w:sz w:val="16"/>
          <w:szCs w:val="16"/>
        </w:rPr>
        <w:softHyphen/>
        <w:t>лось то, что сбрасывание авиабомб при бомбометании с пикирования, или, дру</w:t>
      </w:r>
      <w:r w:rsidRPr="00070ADE">
        <w:rPr>
          <w:rFonts w:ascii="Times New Roman" w:hAnsi="Times New Roman"/>
          <w:color w:val="000000" w:themeColor="text1"/>
          <w:sz w:val="16"/>
          <w:szCs w:val="16"/>
        </w:rPr>
        <w:softHyphen/>
        <w:t>гими словами, вывод из пикирования, всегда происходил на одной и той же высоте - 400 м, хотя ввод в пикирование мог осуществляться с различных высот (600-1200 м). Это приводило к однооб</w:t>
      </w:r>
      <w:r w:rsidRPr="00070ADE">
        <w:rPr>
          <w:rFonts w:ascii="Times New Roman" w:hAnsi="Times New Roman"/>
          <w:color w:val="000000" w:themeColor="text1"/>
          <w:sz w:val="16"/>
          <w:szCs w:val="16"/>
        </w:rPr>
        <w:softHyphen/>
        <w:t>разию тактических приемов над целью, вследствие чего противник наносил Ил-2 тяжелые потери огнем МЗА.</w:t>
      </w:r>
    </w:p>
    <w:p w14:paraId="13DAEC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AECF79" w14:textId="77777777" w:rsidR="00E80BEB" w:rsidRPr="00070ADE" w:rsidRDefault="00E80BEB" w:rsidP="00B56F90">
      <w:pPr>
        <w:pStyle w:val="a3"/>
        <w:rPr>
          <w:color w:val="000000" w:themeColor="text1"/>
          <w:lang w:val="ru-RU"/>
        </w:rPr>
      </w:pPr>
      <w:r w:rsidRPr="00070ADE">
        <w:rPr>
          <w:color w:val="000000" w:themeColor="text1"/>
          <w:lang w:val="ru-RU"/>
        </w:rPr>
        <w:t>6 апреля 1944 г. Постановлением ГКО ВМШ-2 был официально запущен в серийное производство и стал устанав</w:t>
      </w:r>
      <w:r w:rsidRPr="00070ADE">
        <w:rPr>
          <w:color w:val="000000" w:themeColor="text1"/>
          <w:lang w:val="ru-RU"/>
        </w:rPr>
        <w:softHyphen/>
        <w:t>ливаться на всех выпускаемых штурмовиках Ил-2.</w:t>
      </w:r>
    </w:p>
    <w:p w14:paraId="5D5A35EA" w14:textId="77777777" w:rsidR="00E80BEB" w:rsidRPr="00070ADE" w:rsidRDefault="00E80BEB" w:rsidP="00B56F90">
      <w:pPr>
        <w:pStyle w:val="a3"/>
        <w:rPr>
          <w:color w:val="000000" w:themeColor="text1"/>
          <w:lang w:val="ru-RU"/>
        </w:rPr>
      </w:pPr>
      <w:r w:rsidRPr="00070ADE">
        <w:rPr>
          <w:color w:val="000000" w:themeColor="text1"/>
          <w:lang w:val="ru-RU"/>
        </w:rPr>
        <w:t>Несмотря на столь длительную доводку, ВМШ-2 всё же не нашел широкого применения в частях штурмовой авиации ВВС КА. Как ни старались привить уважение лётчиков к этому при</w:t>
      </w:r>
      <w:r w:rsidRPr="00070ADE">
        <w:rPr>
          <w:color w:val="000000" w:themeColor="text1"/>
          <w:lang w:val="ru-RU"/>
        </w:rPr>
        <w:softHyphen/>
        <w:t>бору и заставить пользоваться и'м, ничего из этого не получилось, хотя временной механизм и просуществовал на вооружении Ил-2 до самого окончания войны.</w:t>
      </w:r>
    </w:p>
    <w:p w14:paraId="68D32D7E" w14:textId="77777777" w:rsidR="00E80BEB" w:rsidRPr="00070ADE" w:rsidRDefault="00E80BEB" w:rsidP="00B56F90">
      <w:pPr>
        <w:pStyle w:val="a3"/>
        <w:rPr>
          <w:color w:val="000000" w:themeColor="text1"/>
          <w:lang w:val="ru-RU"/>
        </w:rPr>
      </w:pPr>
      <w:r w:rsidRPr="00070ADE">
        <w:rPr>
          <w:color w:val="000000" w:themeColor="text1"/>
          <w:lang w:val="ru-RU"/>
        </w:rPr>
        <w:t>Основным недостатком ВМШ-2, из-за которого его и не любили лётчики, был ограниченный диапазон высот боевого применения и дискретность их выбора.</w:t>
      </w:r>
    </w:p>
    <w:p w14:paraId="088532AA" w14:textId="77777777" w:rsidR="00E80BEB" w:rsidRPr="00070ADE" w:rsidRDefault="00E80BEB" w:rsidP="00B56F90">
      <w:pPr>
        <w:pStyle w:val="a3"/>
        <w:rPr>
          <w:color w:val="000000" w:themeColor="text1"/>
          <w:lang w:val="ru-RU"/>
        </w:rPr>
      </w:pPr>
      <w:r w:rsidRPr="00070ADE">
        <w:rPr>
          <w:color w:val="000000" w:themeColor="text1"/>
          <w:lang w:val="ru-RU"/>
        </w:rPr>
        <w:t>Бомбометание с горизонтального полёта при помощи ВМШ-2 могло производиться с высот 70, 100, 200, 300 м и выше (всё кратно 100 м), а бомбометание на выходе из пикирования только с высоты 400 м, хотя ввод в пикирование осуществлялся с различных высот: от 600 м до 1 200 м. К тому же, использование ВМШ-2 требовало длительного нахождения над целью без противозенитного манёвра. Всё это приводило к излишнему однообразию тактических при</w:t>
      </w:r>
      <w:r w:rsidRPr="00070ADE">
        <w:rPr>
          <w:color w:val="000000" w:themeColor="text1"/>
          <w:lang w:val="ru-RU"/>
        </w:rPr>
        <w:softHyphen/>
        <w:t>ёмов над целью, и противник наносил Ил-2 тяжелые потери, в основном огнём малокалиберной зенитной артиллерии и крупнокалиберных зенитных пулемётов (15978).</w:t>
      </w:r>
    </w:p>
    <w:p w14:paraId="78F548D8" w14:textId="77777777" w:rsidR="00E80BEB" w:rsidRPr="00070ADE" w:rsidRDefault="00E80BEB" w:rsidP="00B56F90">
      <w:pPr>
        <w:pStyle w:val="a3"/>
        <w:rPr>
          <w:color w:val="000000" w:themeColor="text1"/>
          <w:lang w:val="ru-RU"/>
        </w:rPr>
      </w:pPr>
    </w:p>
    <w:p w14:paraId="74F883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апреля 1944 к А.Г.Васильченко, л-и завода 22, поднял в воздух Пе-2И В.М.М. 1-й экз. и 7 и 8 выполнил еще 2 полета и потом машину завели в опытный цех для устранения дефектов и окраски. При опробовании двигателей нашли стружку и решили менять. Подоспел 2-й экз. После замены двигателей достигли скорости 654 км/час. Пошел доклад наверх и И.В.С. распорядился немедленно передать машину на гос. испытания, которые начались в мае 1944 (2471,36).</w:t>
      </w:r>
    </w:p>
    <w:p w14:paraId="7CD1EC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5C68A9" w14:textId="77777777" w:rsidR="00E80BEB" w:rsidRPr="00070ADE" w:rsidRDefault="00E80B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6 апреля</w:t>
      </w:r>
      <w:r w:rsidRPr="00070ADE">
        <w:rPr>
          <w:rFonts w:ascii="Times New Roman" w:hAnsi="Times New Roman"/>
          <w:color w:val="000000" w:themeColor="text1"/>
          <w:sz w:val="16"/>
          <w:szCs w:val="16"/>
        </w:rPr>
        <w:t xml:space="preserve"> в 1944 году летчик-испытатель завода № 22 капитан А.Г.Васильченко впервые поднял бомбардировщик </w:t>
      </w:r>
      <w:hyperlink r:id="rId101" w:tgtFrame="_blank" w:history="1">
        <w:r w:rsidRPr="00070ADE">
          <w:rPr>
            <w:rFonts w:ascii="Times New Roman" w:hAnsi="Times New Roman"/>
            <w:color w:val="000000" w:themeColor="text1"/>
            <w:sz w:val="16"/>
            <w:szCs w:val="16"/>
          </w:rPr>
          <w:t xml:space="preserve">«Пе-2И» </w:t>
        </w:r>
      </w:hyperlink>
      <w:r w:rsidRPr="00070ADE">
        <w:rPr>
          <w:rFonts w:ascii="Times New Roman" w:hAnsi="Times New Roman"/>
          <w:color w:val="000000" w:themeColor="text1"/>
          <w:sz w:val="16"/>
          <w:szCs w:val="16"/>
        </w:rPr>
        <w:t>в воздух, а 7 и 8 апреля совершил на ней еще два полета. Моторы работали удовлетворительно, температурные режимы винтомоторной группы оказались в норме. Васильченко определил важнейшие характеристики самолета - устойчивость по всем трем осям, управляемость и взлетно-посадочные качества. По этим показателям новая машина не уступала «Пе-2», а по простоте пилотирования «Пе-2И» оказался в заметном выигрыше. В частности, путевая устойчивость была заметно лучше (что отмечалось еще на «Пе-2Ф» и являлось следствием, по-видимому, среднепланной схемы машины). Неприятной неожиданностью стало то, что разбег и пробег реально оказались в полтора раза больше расчетных. Всего было выпущено 3 опытных «Пе-2И». Ни один из выпущенных «Пе-2И» не был доведен до боеготового состояния вплоть до июня 1945 года и не был оплачен ВВС, поэтому все дальнейшие работы по истребительному варианту постепенно зашли в тупик (15091).</w:t>
      </w:r>
    </w:p>
    <w:p w14:paraId="2027D790" w14:textId="77777777" w:rsidR="00E80BEB" w:rsidRPr="00070ADE" w:rsidRDefault="00E80BEB" w:rsidP="00B56F90">
      <w:pPr>
        <w:spacing w:after="0" w:line="240" w:lineRule="auto"/>
        <w:jc w:val="both"/>
        <w:rPr>
          <w:rFonts w:ascii="Times New Roman" w:hAnsi="Times New Roman"/>
          <w:color w:val="000000" w:themeColor="text1"/>
          <w:sz w:val="16"/>
          <w:szCs w:val="16"/>
        </w:rPr>
      </w:pPr>
    </w:p>
    <w:p w14:paraId="338583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апреля 1944 г. Летчик-испытатель завода № 22 капитан А. Г. Васильченко впервые поднял машину Пе-2И в небо, а 7 и 8 апреля совершил на ней еще два полета. Моторы работали удовлетворительно, температурные режимы винтомоторной группы оказались в норме. Васильченко определил важнейшие характеристики самолета: устойчивость по всем трем осям, управляемость и взлетно-поса- дочные качества. По этим показателям новая машина не уступала Пе-2, а по простоте пилотирования Пе-2И оказался в заметном выигрыше. В частности, путевая устойчивость была заметно лучше (что отмечалось еще на Пе-2Ф и являлось следствием, по- видимому, среднепланной схемы машины). Неприятной неожиданностью стало то, что разбег и пробег оказались в полтора раза больше расчетных.</w:t>
      </w:r>
    </w:p>
    <w:p w14:paraId="241998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опытном цехе заканчивали сборку второго опытного Пе-2И. В ходе статиспыта- ний выявилась недостаточная прочность крыла самолета, поэтому на "дублере" усилили полки лонжеронов. Установили пулемет под сиденьем пилота (обещанную пушку так и не успели офаботать), добавили брони, устранили выявленные макетной комиссией недостатки. Масса самолета несколько возросла. Опытно-конструкторский отдел прорабатывал две дальнейшие модификации машины: с двигателями М-1 и с шасси с носовой опорой. Эти проекты, впрочем, так и остались на бумаге.</w:t>
      </w:r>
    </w:p>
    <w:p w14:paraId="04F3D57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замены двигателя капитан Васильченко приступил к определению максимальной скорости полета. Обычно самолет чуть- чуть (или более того) "не дотягивает" до расчетного значения. При испытаниях Пе-2И произошел редкий случай - полученная на второй границе высотности скорость 654 км/ч на 14 км/ч превышала расчетную величину. С такой скоростью, по имевшимся в то время в ОКО-22 данным, не летал ни один известный двухмоторный бомбардировщик! (Заметим, что некоторые варианты "Москито", в частности, бомбардировочные В.IX и В.XIV, еще в 1943 г. развивали максимальную скорость порядка 680 км/ч, но на существенно большей высоте.)</w:t>
      </w:r>
    </w:p>
    <w:p w14:paraId="195182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Незамедлительно поступил доклад "наверх". Испытаниями самолета Пе-2И заинтересовалось руководство ВВС, НКАП и авиационного отдела ЦК ВКП(б). О машине доложили И.В. Сталину. Поступило распоряжение немедленно передать Пе-2И на государственные испытания в НИИ ВВС. У Мясишева исчезли проблемы с "добыванием" дефицитных моторов BK-I07A, но появились новые - как сделать, чтобы "сыроватые" двигатели не "похоронили" машину. Наступила череда мучительных доводок.</w:t>
      </w:r>
    </w:p>
    <w:p w14:paraId="670A8E9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в НИИ ВВС проводила бригада в составе: ведущий инженер - инженер-майор Г.В. Грибакин, летчик - майор A.M. Хрипков, штурман - ст. лейтенант Ромашко. В ходе первого этапа испытаний, проводившихся в мае-июле, пришлось четыре раза менять моторы, у которых то происходила раскрутка винтов, то прорывало газы через верхнее уплотнение блока цилиндров, то начиналось выбрасывание масла из суфлеров. Двигатели BK-I07A не сдавались и упорно расшатывали нервы испытателям и конструкторам самолета. И все же, полученные в результате нечастых удачных полетов данные оказались весьма высокими: максимальная скорость полета у земли - 556 км/ч, на первой границе высотности - 617 км/ч и на второй границе - 656 км/ч, а время набора высоты 5000 м лишь ненамного отличалось от расчетного - 7 мин. По комплексу летно-техниче- ских характеристик Пе-2И уверенно вышел на первое место в своем классе. Перетяже- ление опытного самолета на 500 кг планировалось уменьшить в серии до 100-150 кг, смонтировать новые законцовки крыла, увеличивавшие его размах до 17,8 м, а площадь до 43,5 м кв.</w:t>
      </w:r>
    </w:p>
    <w:p w14:paraId="1B0D7DF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отличие от обычных серийных Пе-2 новая машина прилично вела себя на посадке, не теряла быстро скорость после выравнивания. Благодаря новому профилю сваливание на крыло не наблюдалось, после касания земли самолет не имел тенденции к развороту. Летчик Хрипков в своем заключении указывал: "По технике пилотирования самолет Пе-2И доступен летчикам средней квалификации. В целом по своим летно-техничес- ким свойствам самолет Пе-2И имеет большое преимущество перед находящимся в настоящее время на вооружении ВВС КА самолетом Пе-2".</w:t>
      </w:r>
    </w:p>
    <w:p w14:paraId="6FA551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Проведенные учебные воздушные бои с трофейным истребителем Bf 109G 4 убедительно продемонстрировали, что в горизонтальном полете на высоте до 7000 м "немец" не смог ни разу атаковать Пе-2И, уступая ему в скорости. В районе цели, когда "пешка" выполняла второй заход, "мессер" лишь однажды смог поймать ее в прицел, причем почти строго с хвоста, рискуя напороться на огонь ДЭУ. В целом, новый советский бомбардировщик проявил несомненные "москитные" способности по уклонению от боя с неприятельскими истребителями, что должно было способствовать сокращению потерь бомбардировщиков на фронте (12042).</w:t>
      </w:r>
    </w:p>
    <w:p w14:paraId="343F273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5D066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апреля 1944 г. Летчик-испытатель завода № 22 капитан А. Г. Васильченко впервые поднял машину Пе-2И в воздух (4476)</w:t>
      </w:r>
    </w:p>
    <w:p w14:paraId="570405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73A4A7"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6 апреля 1944 капитан А Г Васильченко впервые поднял Пе-2И в воздух. Пе-2И оказался проще в пилотировании, достаточно устойчив, но разбег и пробег получились в полтора раза больше рас</w:t>
      </w:r>
      <w:r w:rsidRPr="00C94B78">
        <w:rPr>
          <w:rFonts w:ascii="Times New Roman" w:hAnsi="Times New Roman"/>
          <w:color w:val="0070C0"/>
          <w:sz w:val="16"/>
          <w:szCs w:val="16"/>
        </w:rPr>
        <w:softHyphen/>
        <w:t>четных. Затем совершили еще два по</w:t>
      </w:r>
      <w:r w:rsidRPr="00C94B78">
        <w:rPr>
          <w:rFonts w:ascii="Times New Roman" w:hAnsi="Times New Roman"/>
          <w:color w:val="0070C0"/>
          <w:sz w:val="16"/>
          <w:szCs w:val="16"/>
        </w:rPr>
        <w:softHyphen/>
        <w:t>лета, а потом пришлось менять моторы.</w:t>
      </w:r>
    </w:p>
    <w:p w14:paraId="6880666B"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этому времени закончили второй опытный образец Пе-2И. На нем уси</w:t>
      </w:r>
      <w:r w:rsidRPr="00C94B78">
        <w:rPr>
          <w:rFonts w:ascii="Times New Roman" w:hAnsi="Times New Roman"/>
          <w:color w:val="0070C0"/>
          <w:sz w:val="16"/>
          <w:szCs w:val="16"/>
        </w:rPr>
        <w:softHyphen/>
        <w:t>лили полки лонжеронов крыла, немного добавили брони и устранили некото</w:t>
      </w:r>
      <w:r w:rsidRPr="00C94B78">
        <w:rPr>
          <w:rFonts w:ascii="Times New Roman" w:hAnsi="Times New Roman"/>
          <w:color w:val="0070C0"/>
          <w:sz w:val="16"/>
          <w:szCs w:val="16"/>
        </w:rPr>
        <w:softHyphen/>
        <w:t>рые недостатки, указанные макетной комиссией.</w:t>
      </w:r>
    </w:p>
    <w:p w14:paraId="20E60937"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Первый образец после замены двигателей достиг скорости 654 км/ч. Об этом доложили «наверх», вплоть до И В. Сталина Поступило распоря</w:t>
      </w:r>
      <w:r w:rsidRPr="00C94B78">
        <w:rPr>
          <w:rFonts w:ascii="Times New Roman" w:hAnsi="Times New Roman"/>
          <w:color w:val="0070C0"/>
          <w:sz w:val="16"/>
          <w:szCs w:val="16"/>
        </w:rPr>
        <w:softHyphen/>
        <w:t>жение немедленно передать Пе-2И на государственные испытания (24934).</w:t>
      </w:r>
    </w:p>
    <w:p w14:paraId="33FC3D80" w14:textId="77777777" w:rsidR="00D0391D" w:rsidRPr="00C94B78" w:rsidRDefault="00D0391D" w:rsidP="00B56F90">
      <w:pPr>
        <w:spacing w:after="0" w:line="240" w:lineRule="auto"/>
        <w:jc w:val="both"/>
        <w:rPr>
          <w:rFonts w:ascii="Times New Roman" w:hAnsi="Times New Roman"/>
          <w:color w:val="0070C0"/>
          <w:sz w:val="16"/>
          <w:szCs w:val="16"/>
        </w:rPr>
      </w:pPr>
    </w:p>
    <w:p w14:paraId="6ED02C04" w14:textId="77777777" w:rsidR="00D0391D" w:rsidRPr="00C94B78" w:rsidRDefault="00D0391D" w:rsidP="00B56F90">
      <w:pPr>
        <w:spacing w:after="0" w:line="240" w:lineRule="auto"/>
        <w:jc w:val="both"/>
        <w:rPr>
          <w:rStyle w:val="aff1"/>
          <w:rFonts w:ascii="Times New Roman" w:eastAsiaTheme="minorHAnsi" w:hAnsi="Times New Roman" w:cs="Times New Roman"/>
          <w:color w:val="0070C0"/>
          <w:spacing w:val="0"/>
          <w:sz w:val="16"/>
          <w:szCs w:val="16"/>
        </w:rPr>
      </w:pPr>
      <w:r w:rsidRPr="00C94B78">
        <w:rPr>
          <w:rStyle w:val="aff1"/>
          <w:rFonts w:ascii="Times New Roman" w:eastAsiaTheme="minorHAnsi" w:hAnsi="Times New Roman" w:cs="Times New Roman"/>
          <w:color w:val="0070C0"/>
          <w:spacing w:val="0"/>
          <w:sz w:val="16"/>
          <w:szCs w:val="16"/>
        </w:rPr>
        <w:t>6 апреля 1944 г. первый прототип Пе-2И (второго с этим обозначением) поднялся в воздух и показал хорошие лётные качества, в т.ч. максимальную скорость 656 км/ч.</w:t>
      </w:r>
    </w:p>
    <w:p w14:paraId="43359176" w14:textId="77777777" w:rsidR="00D0391D" w:rsidRPr="00C94B78" w:rsidRDefault="00D0391D" w:rsidP="00B56F90">
      <w:pPr>
        <w:spacing w:after="0" w:line="240" w:lineRule="auto"/>
        <w:jc w:val="both"/>
        <w:rPr>
          <w:rStyle w:val="aff1"/>
          <w:rFonts w:ascii="Times New Roman" w:eastAsiaTheme="minorHAnsi" w:hAnsi="Times New Roman" w:cs="Times New Roman"/>
          <w:color w:val="0070C0"/>
          <w:spacing w:val="0"/>
          <w:sz w:val="16"/>
          <w:szCs w:val="16"/>
        </w:rPr>
      </w:pPr>
      <w:r w:rsidRPr="00C94B78">
        <w:rPr>
          <w:rStyle w:val="aff1"/>
          <w:rFonts w:ascii="Times New Roman" w:eastAsiaTheme="minorHAnsi" w:hAnsi="Times New Roman" w:cs="Times New Roman"/>
          <w:color w:val="0070C0"/>
          <w:spacing w:val="0"/>
          <w:sz w:val="16"/>
          <w:szCs w:val="16"/>
        </w:rPr>
        <w:t xml:space="preserve">Самолёт оснастили двигателями ВК-107А с винтами ВИШ-107ТЛ-5. Экипаж был сокращён до двух человек. Максимальная бомбовая нагрузка возросла до 1500 кг; стрелковое вооружение ограничивалось двумя пулемётами УБК (в носу и на турели ДЭУ-1). «Второй» Пе-2И стал намного совершеннее аэродинамически, но от серийного самолёта в нём остались лишь консоли крыла, хвостовая часть фюзеляжа и оперение. (Есть мнение, что Мясищев назвал самолёт так, выдав его за модификацию прежнего Пе-2И, чтобы обхитрить НКАП. Иногда Пе-2И называли «советским Москито», т.к. его концепция была схожа с концепцией британского самолёта де Хэвилленд </w:t>
      </w:r>
      <w:r w:rsidRPr="00C94B78">
        <w:rPr>
          <w:rStyle w:val="aff1"/>
          <w:rFonts w:ascii="Times New Roman" w:eastAsiaTheme="minorHAnsi" w:hAnsi="Times New Roman" w:cs="Times New Roman"/>
          <w:color w:val="0070C0"/>
          <w:spacing w:val="0"/>
          <w:sz w:val="16"/>
          <w:szCs w:val="16"/>
          <w:lang w:val="en-US"/>
        </w:rPr>
        <w:t>DH</w:t>
      </w:r>
      <w:r w:rsidRPr="00C94B78">
        <w:rPr>
          <w:rStyle w:val="aff1"/>
          <w:rFonts w:ascii="Times New Roman" w:eastAsiaTheme="minorHAnsi" w:hAnsi="Times New Roman" w:cs="Times New Roman"/>
          <w:color w:val="0070C0"/>
          <w:spacing w:val="0"/>
          <w:sz w:val="16"/>
          <w:szCs w:val="16"/>
        </w:rPr>
        <w:t>.98 «Москито».).</w:t>
      </w:r>
    </w:p>
    <w:p w14:paraId="791A2704"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eastAsiaTheme="minorHAnsi" w:hAnsi="Times New Roman" w:cs="Times New Roman"/>
          <w:color w:val="0070C0"/>
          <w:spacing w:val="0"/>
          <w:sz w:val="16"/>
          <w:szCs w:val="16"/>
        </w:rPr>
        <w:t xml:space="preserve">На втором прототипе были введены изменения, в т.ч. раздутые створки бомболюка, позволявшие подвесить бомбу ФАБ-1000М43; он прошёл госиспытания в ноябре 1944 г. Самолёт был рекомендован в серию, но в итоге опытный цех построил лишь пять серийных машин из-за недоведённости двигателя ВК-107 и нежелания руководства НКАП снижать объёмы выпуска обычных Пе-2. Развитием Пе-2И стал Пе-2М, у которого экипаж состоял из трёх человек и имелись экранированная турель ВУ-5-20 и люковая установка ЛУС-20 с 20-мм пушками Березина УБ-20 на привычных для Пе-2 местах (установка ДЭУ-1 не оправдала себя). Он был построен </w:t>
      </w:r>
      <w:r w:rsidRPr="00C94B78">
        <w:rPr>
          <w:rStyle w:val="aff1"/>
          <w:rFonts w:ascii="Times New Roman" w:eastAsiaTheme="minorHAnsi" w:hAnsi="Times New Roman" w:cs="Times New Roman"/>
          <w:color w:val="0070C0"/>
          <w:spacing w:val="0"/>
          <w:sz w:val="16"/>
          <w:szCs w:val="16"/>
        </w:rPr>
        <w:lastRenderedPageBreak/>
        <w:t>в 1945 г. всего в четырёх экземплярах и на войну опоздал. В сентябре 1944 г. началась постройка дневного скоростного бомбардировщика ДБ-108 (ДБ-2ВК-108), рассчитанного на бомбовую нагрузку до 2 тонн, но прототип был достроен лишь в конце мая 1945 г. и потерян в катастрофе 5 июня того года (25084).</w:t>
      </w:r>
    </w:p>
    <w:p w14:paraId="7B57CBC5" w14:textId="77777777" w:rsidR="00D0391D" w:rsidRPr="00C94B78" w:rsidRDefault="00D0391D" w:rsidP="00B56F90">
      <w:pPr>
        <w:spacing w:after="0" w:line="240" w:lineRule="auto"/>
        <w:jc w:val="both"/>
        <w:rPr>
          <w:rFonts w:ascii="Times New Roman" w:hAnsi="Times New Roman"/>
          <w:color w:val="0070C0"/>
          <w:sz w:val="16"/>
          <w:szCs w:val="16"/>
        </w:rPr>
      </w:pPr>
    </w:p>
    <w:p w14:paraId="506299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апреля 1944 Пе-2Б был отправлен в НИИ ВВС (ведущий летчик В.И. Жданов), где прошел государственные испытания (акт от 17 июля 1944 г. № 0722) и был рекомендован для серийного произ</w:t>
      </w:r>
      <w:r w:rsidRPr="00070ADE">
        <w:rPr>
          <w:rFonts w:ascii="Times New Roman" w:hAnsi="Times New Roman"/>
          <w:color w:val="000000" w:themeColor="text1"/>
          <w:sz w:val="16"/>
          <w:szCs w:val="16"/>
        </w:rPr>
        <w:softHyphen/>
        <w:t>водства (11446).</w:t>
      </w:r>
    </w:p>
    <w:p w14:paraId="71A4BA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9DFF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апреля 1944 Ю.А.Антипов садился аварийно на Як-3 М-107 N 347-76 на Чкаловском (817).</w:t>
      </w:r>
    </w:p>
    <w:p w14:paraId="634E1C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BB07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6-го апреля 1944 года на Як-3 с мотором ВК-107А во время пробного полета для проверки работы ВМГ, вышел из строя мотор ВК-107А N 347-76. Мотор имел 100-часовой ресурс и наработал с начала эксплуатации 2 час. 00 мин., из них в воздухе 0 час. 40 мин. Испытания были прерваны (1821).</w:t>
      </w:r>
    </w:p>
    <w:p w14:paraId="101BA1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CA9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апреля 1944 года Конструктор и ГК завода № 155 В.И.М. писал письмо (зам. начальника гл. управления НКАП В.Н. Алексеев заверил - Копия верна № 4620 г-7) зам. наркома Авиапрома Яковлеву А.С.</w:t>
      </w:r>
    </w:p>
    <w:p w14:paraId="73E13A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НКАП N 315сс от 14 июня 1943 г., в соответствии с Постановлением ГОКО от 12 июня 1943 года, мне было поручено выпустить высотный истребитель, с АМ-39 и ТК к 1 сентября 1943 г. Одновременно ЦИАМ"у было поручено отработать высотную установку винтомоторной группы.</w:t>
      </w:r>
    </w:p>
    <w:p w14:paraId="2292FA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НКАП от 3 июля N 390сс обязывались:</w:t>
      </w:r>
    </w:p>
    <w:p w14:paraId="7B9DC3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Завод N 300 подобрать ЦИАМ"у мотор к 25-му июля 1943 г. и заводу N 155 резервный мотор к 10-му августа 1943 г.</w:t>
      </w:r>
    </w:p>
    <w:p w14:paraId="6E5262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ЦИАМ провести стендовые испытания мотора Ам-39 с ТК, отработать автоматику и сдать заводу N 155 15 августа 1943 г.</w:t>
      </w:r>
    </w:p>
    <w:p w14:paraId="69AB38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со срывом установленных этим приказом сроков НКАП, приказом N 503сс от 31 августа 1943 г., отметив недопустимость срыва сроков подачи летного мотора заводом N 300, установлен срок подачи мотора ЦИАМ"у 3 сентября и заводу N 155 10 сентября.</w:t>
      </w:r>
    </w:p>
    <w:p w14:paraId="68B3D9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Этим же приказом ЦИАМ обязан был к 1 октября 1943 г. отработать систему зажигания, масло и бензопитания для обеспечения безотказной работы мотора до высоты 1400 м.</w:t>
      </w:r>
    </w:p>
    <w:p w14:paraId="56BB4B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Фактически завод первый мотор АМ-39 получил позже всех установленных НКАП сроков на 1,5-2 месяца для первого экземпляра самолета без соответствующей отработки ЦИАМ"ом на стенде мотора, полученной ему приказом НКАП.</w:t>
      </w:r>
    </w:p>
    <w:p w14:paraId="6A5721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гибели первого экземпляра завод форсировал выпуск второго экземпляра машины с герметической кабиной и воздушным радиатором.</w:t>
      </w:r>
    </w:p>
    <w:p w14:paraId="2BB9AA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Указанный экземпляр машины готов для выкатки на аэродром и задерживается из-за отсутствия кондиционного мотора АМ-39А.</w:t>
      </w:r>
    </w:p>
    <w:p w14:paraId="0CD338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обещания по срокам поставки этого мотора заводом N 300 сорваны и в настоящий момент нет уверенности в подаче мотора по последнему обещанию завода N 300 к 10 апреля 1944 года.</w:t>
      </w:r>
    </w:p>
    <w:p w14:paraId="1E3517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 по отработке коммуникаций винтомоторной группы на стенде ЦИАМ"ом не закончена и прекращена из-за отсутствия мотора.</w:t>
      </w:r>
    </w:p>
    <w:p w14:paraId="75CB16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Вас довести до сведения наркома об изложенном для принятия необходимых мер по заводу N 300 и ЦИАМ"у (1825,222).</w:t>
      </w:r>
    </w:p>
    <w:p w14:paraId="0B3765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318F5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73540F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D29D38" w14:textId="77777777" w:rsidR="00E80BEB" w:rsidRPr="00070ADE" w:rsidRDefault="00E80B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6 апреля</w:t>
      </w:r>
      <w:r w:rsidRPr="00070ADE">
        <w:rPr>
          <w:rFonts w:ascii="Times New Roman" w:hAnsi="Times New Roman"/>
          <w:color w:val="000000" w:themeColor="text1"/>
          <w:sz w:val="16"/>
          <w:szCs w:val="16"/>
        </w:rPr>
        <w:t xml:space="preserve"> в 1944 году оперативная сводка Совинформбюро:</w:t>
      </w:r>
    </w:p>
    <w:p w14:paraId="7CE66766" w14:textId="77777777" w:rsidR="00E80BEB" w:rsidRPr="00070ADE" w:rsidRDefault="00E80B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6 апреля наши войска продолжали вести бои поуничтожению окружённой группировки противника в районе западнее Скала и, сжимая кольцо окружения, овладели рядом опорных пунктов обороны немцев и среди них Скала, Борщев, Мельница-Подольская, Цыганы. При этом нашими войсками захвачены следующие трофеи: танков — 6, самолётов на аэродроме транспортных — 29, истребителей — 4, автомашин — 600 и другое военное имущество. Одновременно к юго-западу от города Тарнополь наши войска отбивали атаки крупных сил пехоты итанков противника, стремившихся пробиться на помощь к своей окружённой группировке. В ходе ожесточённых боёв противник понёс большие потери в живой силе и технике.</w:t>
      </w:r>
    </w:p>
    <w:p w14:paraId="2E19B036" w14:textId="77777777" w:rsidR="00E80BEB" w:rsidRPr="00070ADE" w:rsidRDefault="00E80B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Кишинёвском направлении наши войска продолжали вести наступательные бои, в ходе которых заняли несколько населённых пунктов.</w:t>
      </w:r>
    </w:p>
    <w:p w14:paraId="2A89E0B5" w14:textId="77777777" w:rsidR="00E80BEB" w:rsidRPr="00070ADE" w:rsidRDefault="00E80B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Одесском направлении наши войска, развивая наступление, овладели районным центром Одесской области Гросулово, а также с боями заняли более 100 других населённых пунктов, в том числе крупные населённые пункты Мещанка,Ново-Петровка, Поплавское, Карманово, Марьяновка. Константиновка, Ново-Вандалинка, Благоево, Александровка, Павлинка, Новая Кубанка, Благодатное, Свердлово (22 километра северо-восточнее Одесса) и железнодорожную станцию Карпово (юго-восточнее Раздельная).</w:t>
      </w:r>
    </w:p>
    <w:p w14:paraId="067E5879" w14:textId="77777777" w:rsidR="00E80BEB" w:rsidRPr="00070ADE" w:rsidRDefault="00E80B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бои местного значения.</w:t>
      </w:r>
    </w:p>
    <w:p w14:paraId="3814CFD5" w14:textId="77777777" w:rsidR="00E80BEB" w:rsidRPr="00070ADE" w:rsidRDefault="00E80B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5 апреля наши войска на всех фронтах подбили и уничтожили 84 немецких танка. В воздушных боях и огнём зенитной артиллерии сбито 44 самолёта противника.</w:t>
      </w:r>
    </w:p>
    <w:p w14:paraId="1175E8DC" w14:textId="77777777" w:rsidR="00E80BEB" w:rsidRPr="00070ADE" w:rsidRDefault="00E80B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продолжали вести бои по уничтожению группировки противника, окружённой в районе западнее города Скала. Части Н-ского соединения нанесли немцам удар с востока и выбили их из опорных пунктов Скала, Борщёв, Мельница-Подольская, Цыганы и ряда других населённых пунктов. Противник понёс тяжёлые потери. Только в районе населённых пунктов Иванков и Мушкатовка уничтожено свыше 1.000 немецких солдат и офицеров. Отступая, гитлеровцы сожгли и взорвали десятки танков, бронетранспортёров и много автомашин.</w:t>
      </w:r>
    </w:p>
    <w:p w14:paraId="73730886" w14:textId="77777777" w:rsidR="00E80BEB" w:rsidRPr="00070ADE" w:rsidRDefault="00E80B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Немцы крупными силами днём и ночью предпринимали контратаки в западном направлении, стремясь прорвать кольцо окружения. Советские артиллеристы, танкисты и пехотинцы всюду встречают гитлеровцев плотной стеной огня, производя опустошения в рядах противника. Части одного нашего соединения, отбивая вражеские контратаки, уничтожили до полка немецкой пехоты. Советские лётчики, блокируя с воздуха район расположения окружённой группировки противника, в течение дня сбили в воздушных боях 19 немецких самолётов. Захваченные в плен немецкие солдаты рассказывают, что старшие немецкие офицеры улетают на транспортных самолётах из района окружения.</w:t>
      </w:r>
    </w:p>
    <w:p w14:paraId="1F1AFD42" w14:textId="77777777" w:rsidR="00E80BEB" w:rsidRPr="00070ADE" w:rsidRDefault="00E80B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юго-западу от города Тарнополь крупные силы танков и пехоты противника предприняли ряд ожесточённых атак, стремясь пробиться на помощь к своей окружённой группировке. Наши войска, отражая атаки гитлеровцев, уничтожили много танков и нанесли противнику большой урон в живой силе.</w:t>
      </w:r>
    </w:p>
    <w:p w14:paraId="69729B20" w14:textId="77777777" w:rsidR="00E80BEB" w:rsidRPr="00070ADE" w:rsidRDefault="00E80B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Кишинёвском направлении наши войска в ходе наступательных боёв заняли несколько населённых пунктов. Советские части за два дня боёв захватили у немцев большие трофеи, в числе которых 75 орудий, 120 пулемётов, 46 понтонов, 30 радиостанций и более 500 автомашин. За это же время взято в плен до 2.000 солдат и офицеров противника.</w:t>
      </w:r>
    </w:p>
    <w:p w14:paraId="6CB605C5" w14:textId="77777777" w:rsidR="00E80BEB" w:rsidRPr="00070ADE" w:rsidRDefault="00E80B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Одесском направлении наши войска продолжали успешное наступление.</w:t>
      </w:r>
    </w:p>
    <w:p w14:paraId="1E084D08" w14:textId="77777777" w:rsidR="00E80BEB" w:rsidRPr="00070ADE" w:rsidRDefault="00E80B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БойцыН-ского соединения, с боями продвигаясь вперёд, штурмом заняли районный центр Одесской области Гросулово. Наши танкисты захватили два железнодорожных эшелона с танками и орудиями. Ожесточённые бои происходили юго-восточнее города Раздельная. Немцы бросили в контратаку крупные силы, стремясь вновь захватить этот важный опорный пункт. Наши войска нанесли контратакующему противнику фланговый удар. Немцы поспешно отступили, оставив на поле боя много трупов своих солдат и офицеров. Другие наши части, стремительно продвигаясь по раскисшим от дождя просёлочным дорогам вдоль реки Большой Куяльник, разгромили батальон гитлеровцев. Части гвардейского соединения продвинулись вперёд на 20 километрови уничтожили более 600 немцев. Захвачены у противника 17 орудий, 36 пулемётов,40 автомашин, 250 повозок и много различных военных материалов.</w:t>
      </w:r>
    </w:p>
    <w:p w14:paraId="3F7FE620" w14:textId="77777777" w:rsidR="00E80BEB" w:rsidRPr="00070ADE" w:rsidRDefault="00E80B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партизанских отрядов, действующих в Калининской области, с 12 по 24 марта пустили под откос 18 немецких воинских эшелонов. Разбиты 9 паровозов, 47 вагонов с войсками и грузами, 18 цистерн с бензином и 35 платформ с орудиями и автомашинами. Партизанами взорвано более двух тысяч рельсов, 7 мостов и вырезано 43 километра телеграфно-телефонной линии связи. За это же время калининские партизаны разгромили ряд немецких гарнизонов и полицейских участков.</w:t>
      </w:r>
    </w:p>
    <w:p w14:paraId="28AC38A3" w14:textId="77777777" w:rsidR="00E80BEB" w:rsidRPr="00070ADE" w:rsidRDefault="00E80B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Немецко-фашистские мерзавцы разрушили дотла колонию и село Малин, Острожецкого района, Ровенской области. Комиссия, расследовавшая чудовищные злодеяния гитлеровцев, составила акт, в котором говорится: «Рано утром немцы оцепили колонию и село Малин и согнали всё население на площадь. Затем гитлеровцы заперли мужчин в школе и церкви, а женщин и детей — в сараях. Фашистские убийцы обложили деревянные здания школы, церкви и сараи соломой, облили керосином и подожгли. У дверей и окон караулили немецкие часовые. Они расстреливали из автоматов каждого, кто пытался выбраться из огня и спастись. Гитлеровские изверги за этот день убили и сожгли 603 советских гражданина, из них 205 малолетних детей. Фашистские бандиты сожгли также 355 жилых домов и хозяйственных построек».</w:t>
      </w:r>
    </w:p>
    <w:p w14:paraId="720584FA" w14:textId="77777777" w:rsidR="00E80BEB" w:rsidRPr="00070ADE" w:rsidRDefault="00E80B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гвардии подполковник медицинской службы Лизунков, гвардии майор Тихонов, гвардии капитан юстиции Русов, жители села Малин А.Гора, П.Казмирук и другие.» (15091).</w:t>
      </w:r>
    </w:p>
    <w:p w14:paraId="58CB5AC3" w14:textId="77777777" w:rsidR="00E80BEB" w:rsidRPr="00070ADE" w:rsidRDefault="00E80BEB" w:rsidP="00B56F90">
      <w:pPr>
        <w:spacing w:after="0" w:line="240" w:lineRule="auto"/>
        <w:jc w:val="both"/>
        <w:rPr>
          <w:rFonts w:ascii="Times New Roman" w:hAnsi="Times New Roman"/>
          <w:color w:val="000000" w:themeColor="text1"/>
          <w:sz w:val="16"/>
          <w:szCs w:val="16"/>
        </w:rPr>
      </w:pPr>
    </w:p>
    <w:p w14:paraId="0C65D3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апреля 1944 была:</w:t>
      </w:r>
    </w:p>
    <w:p w14:paraId="395F00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“УТВЕРЖДАЮ”</w:t>
      </w:r>
    </w:p>
    <w:p w14:paraId="0C91DA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3-й воздушной армией генерал-лейтенант авиации</w:t>
      </w:r>
    </w:p>
    <w:p w14:paraId="527829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ПАПИВИН</w:t>
      </w:r>
    </w:p>
    <w:p w14:paraId="66ED69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апреля 1944 г.</w:t>
      </w:r>
    </w:p>
    <w:p w14:paraId="3CF900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ПАМЯТКА КОМАНДИРУ ГРУППЫ ШТУРМОВИКОВ</w:t>
      </w:r>
    </w:p>
    <w:p w14:paraId="3786BA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Материалом для настоящей Памятки послужил опыт шестерки Ил-2 Героя Советского Союза старшего лейтенанта Павлова, которая за период с 13 августа 1943 г. по февраль 1944 г. произвела 354 успешных самолето-вылета, что составляет около 60 групп-вылетов в условиях сильного противодействия зенитной артиллерии. Герой Советского Союза старший лейтенант Павлов провел 8 оборонительных воздушных боев с истребителями противника.</w:t>
      </w:r>
    </w:p>
    <w:p w14:paraId="46BCB2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Группа тов. Павлова за весь период боевой работы потеряла 1 Ил-2 от ЗА противника и 1 Ил-2 от истребителей противника, что составляет 177 самолето-вылетов на одну потерю.</w:t>
      </w:r>
    </w:p>
    <w:p w14:paraId="50289F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Общие положения</w:t>
      </w:r>
    </w:p>
    <w:p w14:paraId="416A08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Для успешного выполнения боевых задач группа штурмовиков по количеству самолетов должно удовлетворять следующим требованиям: – обеспечивать возможность одновременных действий по заданным целям и по подавлению огня зенитной артиллерии, мешающей атаке целей; – обеспечивать легкость управления группой; – давать возможность организовать надежное огневое противодействие истребителям противника. Указанные требования полностью выполнимы для группы в 6-8 самолетов Ил-2, действующих отдельно или в составе эшелона.</w:t>
      </w:r>
    </w:p>
    <w:p w14:paraId="1BE4E1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Основой боевого порядка группы является пара. В целях сохранения боеспособности группы и устойчивости боевого порядка личный состав группы, а также и пар в ней должен быть постоянным.</w:t>
      </w:r>
    </w:p>
    <w:p w14:paraId="36A747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При подготовке к боевому вылету командир группы обязан подготовить карту района цели масштаба 1 : 50 000 или 1 : 10 000. Порядок подготовки карты района цели: – нанести цель; – отметить превышение цели по отношению к аэродрому вылета; – поднять дороги, реки, озера и лесные массивы в радиусе 10 км от цели; – проложить предполагаемые направления атаки (основное и запасное).</w:t>
      </w:r>
    </w:p>
    <w:p w14:paraId="4A6B8D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 экипажами группы командир группы при подготовке должен отрабатывать следующие вопросы: – детально уяснить полученную боевую задачу (что необходимо уничтожить или подавить); – произвести оценку характера и расположения цели (по карте крупного масштаба или по фотосхеме); – оценить детально наземную и воздушную обстановку (положение наших войск, положение противника, возможные изменения линии фронта, базирование и районы патрулирования истребителей противника, базирование и районы патрулирования наших истребителей, районы расположения ЗА противника и нашей); – определить маршрут и профиль полета, контрольные ориентиры, запасные аэродромы, места расположения КПП и радиостанции наведения и порядок работы с ними; – взаимодействие с истребителями прикрытия (количество и тип истребителей прикрытия, время и место встречи, порядок сбора и общий боевой порядок); – определить высоту подхода к цели, способ бомбометания, направление и количество заходов, противозенитный маневр; – указать порядок действий при атаке истребителей противника (сигналы, боевой порядок, зоны наблюдения и обстрела); – указать порядок пользования радиосвязью в полете; – определить порядок вылета и сбора над своим аэродромом.</w:t>
      </w:r>
    </w:p>
    <w:p w14:paraId="1B0EA9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С истребителями прикрытия должны быть отработаны следующие вопросы: – состав группы прикрытия и тип самолета; – звание, фамилия и позывной командира группы; – порядок встречи и сбора; – боевой порядок истребителей прикрытия; – порядок действий при встрече с истребителями противника; – условные сигналы. В целях улучшения взаимодействия необходимо придавать группы истребителей к группам штурмовиков для постоянной работы на период операции или на отдельный ее этап. При невозможности ежедневного общения командира группы штурмовиков с командиром группы приданных истребителей необходимо организовывать личное общение командиров этих групп перед началом операции и после выполнения отдельных ее этапов.</w:t>
      </w:r>
    </w:p>
    <w:p w14:paraId="1C7CF6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Полет по маршруту</w:t>
      </w:r>
    </w:p>
    <w:p w14:paraId="010737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Шестерка полет по маршруту производит в строю пеленг пар, близком к строю фронт или змейка. Такой строй обеспечивает хороший обзор и управление группой. Для безопасности командира группы целесообразно его ведомого ставить в пеленг, противоположный пеленгу группы. Восьмерка полет по маршруту производит в строю пятерка в пеленге и звено сзади ниже на 100-200 м.</w:t>
      </w:r>
    </w:p>
    <w:p w14:paraId="0CF28D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Интервал между самолетами в парах и между парами в группе не должен превышать 50-70 м.</w:t>
      </w:r>
    </w:p>
    <w:p w14:paraId="50277B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При полете по маршруту командир группы должен держать скорость 270-280 км, что полностью обеспечит сохранение боевою порядка.</w:t>
      </w:r>
    </w:p>
    <w:p w14:paraId="15B1A72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За 10-15 км до линии фронта командир группы вступает в связь с радиостанцией наведения и получает от нее информацию о воздушной обстановке, а при пролете линии фронта – подтверждение о правильности выхода на цель.</w:t>
      </w:r>
    </w:p>
    <w:p w14:paraId="5B6751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При подходе к линии фронта командир группы уменьшает скорость до 260 км/час, в это время ведомые пристраиваются, уплотняя боевой по рядок, так как в момент подхода к линии фронта вероятны атаки со стороны истребителей противника,</w:t>
      </w:r>
    </w:p>
    <w:p w14:paraId="259D22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Подход к цели</w:t>
      </w:r>
    </w:p>
    <w:p w14:paraId="183543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За 10 км до цели командир группы переходит к детальной ориентировке по карте масштаба 1 : 100 000 или 1 : 50 000.</w:t>
      </w:r>
    </w:p>
    <w:p w14:paraId="4E6501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За 5 км до цели группа принимает следующий боевой порядок: а) шестерка: две пары в пеленге (правом или левом в зависимости от разворота), третья пара оттягивается назад в кильватер пары командира группы на дистанцию 100-200 м, интервал между самолетами 50-70 м; б) восьмерка: пятерка в строю пеленг (правом или левом в зависимости от разворота), звено оттягивается назад в кильватер пары командира группы на дистанцию 100-200 м.</w:t>
      </w:r>
    </w:p>
    <w:p w14:paraId="13E61C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Скорость командира группы 270-280 км/час.</w:t>
      </w:r>
    </w:p>
    <w:p w14:paraId="7DD2C2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Противозенитный маневр производится попарно, путем изменения высоты с подскальзыванием.</w:t>
      </w:r>
    </w:p>
    <w:p w14:paraId="196E74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Подход к цели при низком облачности производить ниже нижней кромки облачности, так как противник, зная высоту облаков, легко может пристреляться. При подходе к цели над облаками толщиной 100-300 м с разрывами необходимо идти выше кромки облачности, так как противник, просматривая облачность, может атаковать снизу.</w:t>
      </w:r>
    </w:p>
    <w:p w14:paraId="3D7877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При атаке цели, сильно защищенной ЗА, успех решает внезапность выхода на цель. Основным способом внезапного выхода на цель является бреющий полет.</w:t>
      </w:r>
    </w:p>
    <w:p w14:paraId="518455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Заход для атаки цели необходимо производить с расчетом, чтобы разворот для ухода от нее на свою территорию не превышал 30-40°, это даст возможность экипажам в случае повреждения самолета не делать большого крена при развороте для ухода на свою территорию, так как при производстве разворота с большим креном на поврежденном самолете имеется большая опасность срыва в штопор.</w:t>
      </w:r>
    </w:p>
    <w:p w14:paraId="5CE23A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IV. Атака цели</w:t>
      </w:r>
    </w:p>
    <w:p w14:paraId="6DF85C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Шестерка. Атаку цели начинает четверка одновременно. Скорость при вводе в планирование не должна превышать 260-280 км. Во время атаки четверки замыкающая пара подавляет зенитные средства и наблюдает за задней полусферой, обращая особое внимание на возможность атак со стороны истребителей противника снизу сзади. После выхода из атаки четверка продолжает идти по прямой, уменьшая скорость до 300 км/час. Стрелки четверки все внимание обращают на заднюю полусферу, обеспечивая безопасность замыкающей пары. После выхода из атаки четверки атаку производит замыкающая пара. После выхода из атаки пары четверка начинает разворот. Скорость у ведущего четверки 300-320 км/час, крен 30-35°. Замыкающая пара срезает круг, делая разворот с креном до 45° при скорости 330-340 км/час. Таким образом, по окончании разворота группа принимает боевой порядок клина пар.</w:t>
      </w:r>
    </w:p>
    <w:p w14:paraId="6BF0CB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Восьмерка. Атака цели производится попарно. Первая пара после атаки цели, пройдя некоторое время по прямой, начинает разворот. Вторая пара, начиная атаку цели одновременно с первой, в момент разворота первой пары также начинает разворот, удерживая интервал по отношению к первой паре, за счет увеличения скорости и крена. Пятый самолет после атаки цели срезает круг и выходит в сторону, обратную пеленгу. Замыкающее звено в период атаки пятерки подавляет зенитный огонь. После выхода из атаки пятерки также атакует цель, становясь при выходе из атаки в кильватер паре командира группы. Скорости такие же, как и у шестерки. Таким образом,” по окончании разворота, восьмерка принимает следующий боевой порядок: пятерка в строю клин и сзади звено к строю клин. Окончив разворот, командир группы уменьшает скорость до 260-280 км/час до тех пор, пока все самолеты группы не займут нормальных дистанций.</w:t>
      </w:r>
    </w:p>
    <w:p w14:paraId="0FC440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Развороты для ухода от цели необходимо производить не с постоянным креном, а с перерывами, время от времени выводя самолет из крена, что создает своеобразный противозенитный маневр.</w:t>
      </w:r>
    </w:p>
    <w:p w14:paraId="76DA87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Для повторной атаки необходимо выйти из зоны огня ЗА, развернуться и произвести заход для атаки цели с нового направления и на другой высоте.</w:t>
      </w:r>
    </w:p>
    <w:p w14:paraId="387F6E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V. Воздушный бок с истребителями противника</w:t>
      </w:r>
    </w:p>
    <w:p w14:paraId="0BBB6F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Для оповещения об опасности атаки истребителей противника первый заметивший самолет противника воздушный стрелок дает сигнал ракетой установленного образца в сторону противника, оповещая все экипажи в группе об опасности.</w:t>
      </w:r>
    </w:p>
    <w:p w14:paraId="30A645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Получив сигнал, командир группы подает сигнал экипажам – сомкнуться, для чего скорость его самолета не должна превышать 280 км/час. По этому сигналу ведомые увеличивают скорость и пристраиваются, занимая нормальные дистанции и интервалы.</w:t>
      </w:r>
    </w:p>
    <w:p w14:paraId="75D3AB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Наиболее удобным боевым порядком для отражения атак истребителей противника является “клин” пар. Такой боевой порядок обеспечивает максимально эффективное использование стрелкового вооружения самолета Ил-2 и хорошее маневрирование отдельных пар в группе и всей группы в целом.</w:t>
      </w:r>
    </w:p>
    <w:p w14:paraId="546F89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Если истребители противника атакуют группу штурмовиков до цели, то замыкающая пара переходит в сторону, обратную пеленгу. Скорость ведущего 260-280 км/час допускает быстрое перестроение замыкающей пары на скорости.</w:t>
      </w:r>
    </w:p>
    <w:p w14:paraId="5600ED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Если истребители противника атакуют штурмовиков (шестерку или восьмерку) после атаки цели, когда группа уже приняла боевой порядок клина, командир группы, не увеличивая скорости, переходит на бреющий полет. Переход на бреющий полет после атаки цели лишает возможности истребителей противника атаковывать штурмовиков снизу сзади, т. е. с наиболее уязвимого направления.</w:t>
      </w:r>
    </w:p>
    <w:p w14:paraId="7CAD41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6. Необходимо помнить, что увеличение скорости командиром группы в момент атаки истребителей противника может послужить причиной расстройства боевого порядка, что неизбежно приведет к потерям. При переходе на бреющий полет скорость командира группы должна обеспечивать ведомым возможность быстрого пристраивания и не должна превышать 270-280 км/час; после того как все экипажи группы перешли на бреющий полет и заняли нормальные интервалы и дистанции, командир группы увеличивает скорость до 290-300 км/час, Связь с радиостанцией наведения должна поддерживаться непрерывно как командиром группы, так и его </w:t>
      </w:r>
      <w:r w:rsidRPr="00070ADE">
        <w:rPr>
          <w:rFonts w:ascii="Times New Roman" w:hAnsi="Times New Roman"/>
          <w:color w:val="000000" w:themeColor="text1"/>
          <w:sz w:val="16"/>
          <w:szCs w:val="16"/>
        </w:rPr>
        <w:lastRenderedPageBreak/>
        <w:t>заместителем. Огонь по самолетам противника как стрелком, так и летчиком должен вестись организованно, короткими очередями (10-15 выстрелов) и всегда прицельно. Каждый защищает хвост своего соседа. Плотный боевой порядок, дисциплина строя, взаимная выручка – залог успеха группы штурмовиков в воздушном бою с истребителями противника.</w:t>
      </w:r>
    </w:p>
    <w:p w14:paraId="1DAC38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командующего 3-й воздушной армией генерал-майор авиации СИНЯКОВ</w:t>
      </w:r>
    </w:p>
    <w:p w14:paraId="73020A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штаба 3-й воздушной армии генерал-майор авиации ДАГАЕВ"</w:t>
      </w:r>
    </w:p>
    <w:p w14:paraId="30609B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37020F" w14:textId="77777777" w:rsidR="00AA077A" w:rsidRPr="00070ADE" w:rsidRDefault="00AA077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6 на 7 апреля 1944 45-я АДДД совершила вылет на желез</w:t>
      </w:r>
      <w:r w:rsidRPr="00070ADE">
        <w:rPr>
          <w:rFonts w:ascii="Times New Roman" w:hAnsi="Times New Roman"/>
          <w:color w:val="000000" w:themeColor="text1"/>
          <w:sz w:val="16"/>
          <w:szCs w:val="16"/>
        </w:rPr>
        <w:softHyphen/>
        <w:t>нодорожный узел Резекне (Латвия). В вылет отправилось 16 кора</w:t>
      </w:r>
      <w:r w:rsidRPr="00070ADE">
        <w:rPr>
          <w:rFonts w:ascii="Times New Roman" w:hAnsi="Times New Roman"/>
          <w:color w:val="000000" w:themeColor="text1"/>
          <w:sz w:val="16"/>
          <w:szCs w:val="16"/>
        </w:rPr>
        <w:softHyphen/>
        <w:t>блей, которые стартовали в период с 18 ч. 36 мин. по 19 ч. 14 мин.</w:t>
      </w:r>
    </w:p>
    <w:p w14:paraId="2A56B70B" w14:textId="77777777" w:rsidR="00AA077A" w:rsidRPr="00070ADE" w:rsidRDefault="00AA077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они бомбили основную цель в период с 21 ч. 36 мин по 22 ч. мин. На цель было сброшено: 12 ФАБ-2000, 21 ФАБ-1000тга, 8 ФАБ-1000,40 ФАБ-500,4 ФАБ-250тга, 28 ФАБ-250, 5 ЗАБ-100цк, 6 ФОТАБ-50-35. Из состава 25-го гв. АПДД цель бомбили Пе-8 с заводскими номерами: 42076 (командир корабля Адамов), 42067 (командир корабля Обухов), 42028 (командир корабля Симонов), 42059 (командир корабля Шатров), 42210 (командир корабля Бездольный), 42410 (командир корабля Ищенко), 42311 (командир корабля Зеленский), 42811 (командир корабля Пономаренко). Из состава 890-го АПДД бомбили цель Пе-8 с заводскими номерами: 4214 (командир корабля Откидач), 42078 (командир корабля Белков), 42710 (командир корабля Черниченко), 42810 (командир корабля Олейников), 42910 (командир корабля Шамрай), 42111 (командир корабля Самохин), 42411(командир корабля Романов), 421011 (командир корабля Вихорев). После выполнения задания все корабли произвели посадку на своем аэродроме в период с 00 ч. 16 мин. по 01 ч. 08 мин. Потерь не было (19559).</w:t>
      </w:r>
    </w:p>
    <w:p w14:paraId="5BB8E04F" w14:textId="77777777" w:rsidR="00AA077A" w:rsidRPr="00070ADE" w:rsidRDefault="00AA077A" w:rsidP="00B56F90">
      <w:pPr>
        <w:spacing w:after="0" w:line="240" w:lineRule="auto"/>
        <w:jc w:val="both"/>
        <w:rPr>
          <w:rFonts w:ascii="Times New Roman" w:hAnsi="Times New Roman"/>
          <w:color w:val="000000" w:themeColor="text1"/>
          <w:sz w:val="16"/>
          <w:szCs w:val="16"/>
        </w:rPr>
      </w:pPr>
    </w:p>
    <w:p w14:paraId="5E822332" w14:textId="77777777" w:rsidR="00AA077A" w:rsidRPr="00070ADE" w:rsidRDefault="00AA077A"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418D0F9A" w14:textId="77777777" w:rsidR="00AA077A" w:rsidRPr="00070ADE" w:rsidRDefault="00AA077A"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D5D6F2" w14:textId="77777777" w:rsidR="007249B9" w:rsidRPr="00070ADE" w:rsidRDefault="007249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апреля 1944 года авианалет Союзников уничтожил 8 из 11 Br. 730-1 «Вега» на стапелях завода в Тулузе на территории оккупированной Южной Франции (22815).</w:t>
      </w:r>
    </w:p>
    <w:p w14:paraId="72A3CB6A" w14:textId="77777777" w:rsidR="007249B9" w:rsidRPr="00070ADE" w:rsidRDefault="007249B9" w:rsidP="00B56F90">
      <w:pPr>
        <w:spacing w:after="0" w:line="240" w:lineRule="auto"/>
        <w:jc w:val="both"/>
        <w:rPr>
          <w:rFonts w:ascii="Times New Roman" w:hAnsi="Times New Roman"/>
          <w:color w:val="000000" w:themeColor="text1"/>
          <w:sz w:val="16"/>
          <w:szCs w:val="16"/>
        </w:rPr>
      </w:pPr>
    </w:p>
    <w:p w14:paraId="5B9C6A00" w14:textId="77777777" w:rsidR="00AA077A" w:rsidRPr="00070ADE" w:rsidRDefault="00AA077A" w:rsidP="00B56F90">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070ADE">
        <w:rPr>
          <w:rFonts w:ascii="Times New Roman" w:hAnsi="Times New Roman" w:cs="Times New Roman"/>
          <w:color w:val="000000" w:themeColor="text1"/>
          <w:spacing w:val="0"/>
          <w:sz w:val="16"/>
          <w:szCs w:val="16"/>
        </w:rPr>
        <w:t>С 6 апреля по 10 июня 1944 самолеты 15-й американской воздушной армии еще 7 раз бомбили Румынию.</w:t>
      </w:r>
    </w:p>
    <w:p w14:paraId="1A9B60C9" w14:textId="77777777" w:rsidR="00AA077A" w:rsidRPr="00070ADE" w:rsidRDefault="00AA077A" w:rsidP="00B56F90">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070ADE">
        <w:rPr>
          <w:rFonts w:ascii="Times New Roman" w:hAnsi="Times New Roman" w:cs="Times New Roman"/>
          <w:color w:val="000000" w:themeColor="text1"/>
          <w:spacing w:val="0"/>
          <w:sz w:val="16"/>
          <w:szCs w:val="16"/>
        </w:rPr>
        <w:t>15 апреля: 461-я бомбардировочная группа ВВС США бомбила Бухарест. Повреждены университет и несколько церквей. Истреби</w:t>
      </w:r>
      <w:r w:rsidRPr="00070ADE">
        <w:rPr>
          <w:rFonts w:ascii="Times New Roman" w:hAnsi="Times New Roman" w:cs="Times New Roman"/>
          <w:color w:val="000000" w:themeColor="text1"/>
          <w:spacing w:val="0"/>
          <w:sz w:val="16"/>
          <w:szCs w:val="16"/>
        </w:rPr>
        <w:softHyphen/>
        <w:t xml:space="preserve">тели </w:t>
      </w:r>
      <w:r w:rsidRPr="00070ADE">
        <w:rPr>
          <w:rFonts w:ascii="Times New Roman" w:hAnsi="Times New Roman" w:cs="Times New Roman"/>
          <w:color w:val="000000" w:themeColor="text1"/>
          <w:spacing w:val="0"/>
          <w:sz w:val="16"/>
          <w:szCs w:val="16"/>
          <w:lang w:val="en-US"/>
        </w:rPr>
        <w:t>Me</w:t>
      </w:r>
      <w:r w:rsidRPr="00070ADE">
        <w:rPr>
          <w:rFonts w:ascii="Times New Roman" w:hAnsi="Times New Roman" w:cs="Times New Roman"/>
          <w:color w:val="000000" w:themeColor="text1"/>
          <w:spacing w:val="0"/>
          <w:sz w:val="16"/>
          <w:szCs w:val="16"/>
        </w:rPr>
        <w:t>-109</w:t>
      </w:r>
      <w:r w:rsidRPr="00070ADE">
        <w:rPr>
          <w:rFonts w:ascii="Times New Roman" w:hAnsi="Times New Roman" w:cs="Times New Roman"/>
          <w:color w:val="000000" w:themeColor="text1"/>
          <w:spacing w:val="0"/>
          <w:sz w:val="16"/>
          <w:szCs w:val="16"/>
          <w:lang w:val="en-US"/>
        </w:rPr>
        <w:t>G</w:t>
      </w:r>
      <w:r w:rsidRPr="00070ADE">
        <w:rPr>
          <w:rFonts w:ascii="Times New Roman" w:hAnsi="Times New Roman" w:cs="Times New Roman"/>
          <w:color w:val="000000" w:themeColor="text1"/>
          <w:spacing w:val="0"/>
          <w:sz w:val="16"/>
          <w:szCs w:val="16"/>
        </w:rPr>
        <w:t xml:space="preserve"> сбили шесть В-24.</w:t>
      </w:r>
    </w:p>
    <w:p w14:paraId="55DCD03E" w14:textId="77777777" w:rsidR="00AA077A" w:rsidRPr="00070ADE" w:rsidRDefault="00AA077A" w:rsidP="00B56F90">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070ADE">
        <w:rPr>
          <w:rFonts w:ascii="Times New Roman" w:hAnsi="Times New Roman" w:cs="Times New Roman"/>
          <w:color w:val="000000" w:themeColor="text1"/>
          <w:spacing w:val="0"/>
          <w:sz w:val="16"/>
          <w:szCs w:val="16"/>
        </w:rPr>
        <w:t>18 мая - налет на Плоешти 700 бомбардировщиков 15-й воз</w:t>
      </w:r>
      <w:r w:rsidRPr="00070ADE">
        <w:rPr>
          <w:rFonts w:ascii="Times New Roman" w:hAnsi="Times New Roman" w:cs="Times New Roman"/>
          <w:color w:val="000000" w:themeColor="text1"/>
          <w:spacing w:val="0"/>
          <w:sz w:val="16"/>
          <w:szCs w:val="16"/>
        </w:rPr>
        <w:softHyphen/>
        <w:t>душной армии США. Однако на цель смогли сбросить бомбы лишь 206 самолетов.</w:t>
      </w:r>
    </w:p>
    <w:p w14:paraId="132DB078" w14:textId="77777777" w:rsidR="00AA077A" w:rsidRPr="00070ADE" w:rsidRDefault="00AA077A" w:rsidP="00B56F90">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070ADE">
        <w:rPr>
          <w:rFonts w:ascii="Times New Roman" w:hAnsi="Times New Roman" w:cs="Times New Roman"/>
          <w:color w:val="000000" w:themeColor="text1"/>
          <w:spacing w:val="0"/>
          <w:sz w:val="16"/>
          <w:szCs w:val="16"/>
        </w:rPr>
        <w:t>31 мая - налет на Плоешти 481 бомбардировщика В-24 и В-17, сбито 16 бомбардировщиков.</w:t>
      </w:r>
    </w:p>
    <w:p w14:paraId="5AD7AC2E" w14:textId="77777777" w:rsidR="00AA077A" w:rsidRPr="00070ADE" w:rsidRDefault="00AA077A" w:rsidP="00B56F90">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070ADE">
        <w:rPr>
          <w:rFonts w:ascii="Times New Roman" w:hAnsi="Times New Roman" w:cs="Times New Roman"/>
          <w:color w:val="000000" w:themeColor="text1"/>
          <w:spacing w:val="0"/>
          <w:sz w:val="16"/>
          <w:szCs w:val="16"/>
        </w:rPr>
        <w:t>В начале июня 1944 г. американское командование решило ис</w:t>
      </w:r>
      <w:r w:rsidRPr="00070ADE">
        <w:rPr>
          <w:rFonts w:ascii="Times New Roman" w:hAnsi="Times New Roman" w:cs="Times New Roman"/>
          <w:color w:val="000000" w:themeColor="text1"/>
          <w:spacing w:val="0"/>
          <w:sz w:val="16"/>
          <w:szCs w:val="16"/>
        </w:rPr>
        <w:softHyphen/>
        <w:t>пользовать для бомбардировок нефтеперерабатывающих заводов в Плоешти тяжелые истребители Р-38, предполагая, что они, дей</w:t>
      </w:r>
      <w:r w:rsidRPr="00070ADE">
        <w:rPr>
          <w:rFonts w:ascii="Times New Roman" w:hAnsi="Times New Roman" w:cs="Times New Roman"/>
          <w:color w:val="000000" w:themeColor="text1"/>
          <w:spacing w:val="0"/>
          <w:sz w:val="16"/>
          <w:szCs w:val="16"/>
        </w:rPr>
        <w:softHyphen/>
        <w:t>ствуя на малых высотах, более точнее, чем «летающие крепости», сумеют поразить цели (19080).</w:t>
      </w:r>
    </w:p>
    <w:p w14:paraId="1EF55095" w14:textId="77777777" w:rsidR="00AA077A" w:rsidRPr="00070ADE" w:rsidRDefault="00AA077A" w:rsidP="00B56F90">
      <w:pPr>
        <w:pStyle w:val="101"/>
        <w:shd w:val="clear" w:color="auto" w:fill="auto"/>
        <w:spacing w:after="0" w:line="240" w:lineRule="auto"/>
        <w:jc w:val="both"/>
        <w:rPr>
          <w:rFonts w:ascii="Times New Roman" w:hAnsi="Times New Roman" w:cs="Times New Roman"/>
          <w:color w:val="000000" w:themeColor="text1"/>
          <w:spacing w:val="0"/>
          <w:sz w:val="16"/>
          <w:szCs w:val="16"/>
        </w:rPr>
      </w:pPr>
    </w:p>
    <w:p w14:paraId="44211EDF" w14:textId="77777777" w:rsidR="00282955"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5AA3A70" w14:textId="77777777" w:rsidR="00282955" w:rsidRPr="00070ADE" w:rsidRDefault="00282955"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90A3F8" w14:textId="77777777" w:rsidR="00282955" w:rsidRPr="00070ADE" w:rsidRDefault="00282955" w:rsidP="00B56F90">
      <w:pPr>
        <w:pStyle w:val="a3"/>
        <w:rPr>
          <w:color w:val="000000" w:themeColor="text1"/>
          <w:lang w:val="ru-RU"/>
        </w:rPr>
      </w:pPr>
      <w:r w:rsidRPr="00070ADE">
        <w:rPr>
          <w:color w:val="000000" w:themeColor="text1"/>
          <w:lang w:val="ru-RU"/>
        </w:rPr>
        <w:t>6 апреля 1944 завершились испытания С-51, а 9-го числа комиссия АНИОП дала заключение по их результатам:</w:t>
      </w:r>
    </w:p>
    <w:p w14:paraId="7DEF2D4B"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«1. Самоходная гаубица «С-51» в основном испытания выдержала, так как:</w:t>
      </w:r>
    </w:p>
    <w:p w14:paraId="5BA98C08" w14:textId="77777777" w:rsidR="00282955" w:rsidRPr="00070ADE" w:rsidRDefault="00282955" w:rsidP="00B56F90">
      <w:pPr>
        <w:pStyle w:val="Bodytext141"/>
        <w:shd w:val="clear" w:color="auto" w:fill="auto"/>
        <w:tabs>
          <w:tab w:val="left" w:pos="905"/>
        </w:tabs>
        <w:spacing w:line="240" w:lineRule="auto"/>
        <w:ind w:firstLine="0"/>
        <w:jc w:val="both"/>
        <w:rPr>
          <w:i w:val="0"/>
          <w:color w:val="000000" w:themeColor="text1"/>
          <w:sz w:val="16"/>
          <w:szCs w:val="16"/>
        </w:rPr>
      </w:pPr>
      <w:r w:rsidRPr="00070ADE">
        <w:rPr>
          <w:i w:val="0"/>
          <w:color w:val="000000" w:themeColor="text1"/>
          <w:sz w:val="16"/>
          <w:szCs w:val="16"/>
        </w:rPr>
        <w:t>а) работа и прочность агрегатов и механизмов орудия — удовлет</w:t>
      </w:r>
      <w:r w:rsidRPr="00070ADE">
        <w:rPr>
          <w:i w:val="0"/>
          <w:color w:val="000000" w:themeColor="text1"/>
          <w:sz w:val="16"/>
          <w:szCs w:val="16"/>
        </w:rPr>
        <w:softHyphen/>
        <w:t>ворительные.</w:t>
      </w:r>
    </w:p>
    <w:p w14:paraId="126DFD6E" w14:textId="77777777" w:rsidR="00282955" w:rsidRPr="00070ADE" w:rsidRDefault="00282955" w:rsidP="00B56F90">
      <w:pPr>
        <w:pStyle w:val="Bodytext141"/>
        <w:shd w:val="clear" w:color="auto" w:fill="auto"/>
        <w:tabs>
          <w:tab w:val="left" w:pos="900"/>
        </w:tabs>
        <w:spacing w:line="240" w:lineRule="auto"/>
        <w:ind w:firstLine="0"/>
        <w:jc w:val="both"/>
        <w:rPr>
          <w:i w:val="0"/>
          <w:color w:val="000000" w:themeColor="text1"/>
          <w:sz w:val="16"/>
          <w:szCs w:val="16"/>
        </w:rPr>
      </w:pPr>
      <w:r w:rsidRPr="00070ADE">
        <w:rPr>
          <w:i w:val="0"/>
          <w:color w:val="000000" w:themeColor="text1"/>
          <w:sz w:val="16"/>
          <w:szCs w:val="16"/>
        </w:rPr>
        <w:t>б) прочность установочных частей орудия — достаточная.</w:t>
      </w:r>
    </w:p>
    <w:p w14:paraId="20A0155E" w14:textId="77777777" w:rsidR="00282955" w:rsidRPr="00070ADE" w:rsidRDefault="00282955" w:rsidP="00B56F90">
      <w:pPr>
        <w:pStyle w:val="Bodytext141"/>
        <w:shd w:val="clear" w:color="auto" w:fill="auto"/>
        <w:tabs>
          <w:tab w:val="left" w:pos="866"/>
        </w:tabs>
        <w:spacing w:line="240" w:lineRule="auto"/>
        <w:ind w:firstLine="0"/>
        <w:jc w:val="both"/>
        <w:rPr>
          <w:i w:val="0"/>
          <w:color w:val="000000" w:themeColor="text1"/>
          <w:sz w:val="16"/>
          <w:szCs w:val="16"/>
        </w:rPr>
      </w:pPr>
      <w:r w:rsidRPr="00070ADE">
        <w:rPr>
          <w:i w:val="0"/>
          <w:color w:val="000000" w:themeColor="text1"/>
          <w:sz w:val="16"/>
          <w:szCs w:val="16"/>
        </w:rPr>
        <w:t>в) работа и прочность агрегатов и механизмов самохода — удовлет</w:t>
      </w:r>
      <w:r w:rsidRPr="00070ADE">
        <w:rPr>
          <w:i w:val="0"/>
          <w:color w:val="000000" w:themeColor="text1"/>
          <w:sz w:val="16"/>
          <w:szCs w:val="16"/>
        </w:rPr>
        <w:softHyphen/>
        <w:t>ворительная, за исключением трансмиссионной группы, которая во время испытаний имела ряд дефектов, вызванных общим пло</w:t>
      </w:r>
      <w:r w:rsidRPr="00070ADE">
        <w:rPr>
          <w:i w:val="0"/>
          <w:color w:val="000000" w:themeColor="text1"/>
          <w:sz w:val="16"/>
          <w:szCs w:val="16"/>
        </w:rPr>
        <w:softHyphen/>
        <w:t>хим техническим состоянием ее до испытаний и изношенностью деталей.</w:t>
      </w:r>
    </w:p>
    <w:p w14:paraId="386077AA"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2. Существенными недостатками самоходной гаубицы «С-51» при</w:t>
      </w:r>
    </w:p>
    <w:p w14:paraId="67DB774B"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стрельбе являются:</w:t>
      </w:r>
    </w:p>
    <w:p w14:paraId="697C5D79" w14:textId="77777777" w:rsidR="00282955" w:rsidRPr="00070ADE" w:rsidRDefault="00282955" w:rsidP="00B56F90">
      <w:pPr>
        <w:pStyle w:val="Bodytext141"/>
        <w:shd w:val="clear" w:color="auto" w:fill="auto"/>
        <w:tabs>
          <w:tab w:val="left" w:pos="905"/>
        </w:tabs>
        <w:spacing w:line="240" w:lineRule="auto"/>
        <w:ind w:firstLine="0"/>
        <w:jc w:val="both"/>
        <w:rPr>
          <w:i w:val="0"/>
          <w:color w:val="000000" w:themeColor="text1"/>
          <w:sz w:val="16"/>
          <w:szCs w:val="16"/>
        </w:rPr>
      </w:pPr>
      <w:r w:rsidRPr="00070ADE">
        <w:rPr>
          <w:i w:val="0"/>
          <w:color w:val="000000" w:themeColor="text1"/>
          <w:sz w:val="16"/>
          <w:szCs w:val="16"/>
        </w:rPr>
        <w:t>а) большой отход назад и сбиваемость наводки, особенно при малых углах возвышения, вследствие неудовлетворительной устойчиво</w:t>
      </w:r>
      <w:r w:rsidRPr="00070ADE">
        <w:rPr>
          <w:i w:val="0"/>
          <w:color w:val="000000" w:themeColor="text1"/>
          <w:sz w:val="16"/>
          <w:szCs w:val="16"/>
        </w:rPr>
        <w:softHyphen/>
        <w:t>сти самохода при выстреле.</w:t>
      </w:r>
    </w:p>
    <w:p w14:paraId="631AD401" w14:textId="77777777" w:rsidR="00282955" w:rsidRPr="00070ADE" w:rsidRDefault="0028295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Большое боковое рассеивание снарядов вследствие бокового сме</w:t>
      </w:r>
      <w:r w:rsidRPr="00070ADE">
        <w:rPr>
          <w:rFonts w:ascii="Times New Roman" w:hAnsi="Times New Roman"/>
          <w:color w:val="000000" w:themeColor="text1"/>
          <w:sz w:val="16"/>
          <w:szCs w:val="16"/>
        </w:rPr>
        <w:softHyphen/>
        <w:t>щения орудия при выстреле.</w:t>
      </w:r>
    </w:p>
    <w:p w14:paraId="17441D88"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Данные недостатки возможно устранить путем постановки сошни</w:t>
      </w:r>
      <w:r w:rsidRPr="00070ADE">
        <w:rPr>
          <w:i w:val="0"/>
          <w:color w:val="000000" w:themeColor="text1"/>
          <w:sz w:val="16"/>
          <w:szCs w:val="16"/>
        </w:rPr>
        <w:softHyphen/>
        <w:t>ков в задней части корпуса самохода, как это было применено на 203-мм самоходной установке «СУ-14» конструкции и изготовления Кировского завода, проходившей испытания на НИАПе в 1936 году.</w:t>
      </w:r>
    </w:p>
    <w:p w14:paraId="2B2DA4DA"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Учитывая, что гаубица в основном будет вести стрельбу при больших углах возвышения, при которых отход назад и сбиваемость наводки менее значительны, для устранения отхода самохода при сравнительно редких и эпизодических стрельбах под малыми углами возвышения можно реко</w:t>
      </w:r>
      <w:r w:rsidRPr="00070ADE">
        <w:rPr>
          <w:i w:val="0"/>
          <w:color w:val="000000" w:themeColor="text1"/>
          <w:sz w:val="16"/>
          <w:szCs w:val="16"/>
        </w:rPr>
        <w:softHyphen/>
        <w:t>мендовать подкладывать сзади под гусеницы деревянные брусья из подруч</w:t>
      </w:r>
      <w:r w:rsidRPr="00070ADE">
        <w:rPr>
          <w:i w:val="0"/>
          <w:color w:val="000000" w:themeColor="text1"/>
          <w:sz w:val="16"/>
          <w:szCs w:val="16"/>
        </w:rPr>
        <w:softHyphen/>
        <w:t>ного материала.</w:t>
      </w:r>
    </w:p>
    <w:p w14:paraId="111A0CC0"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3. АНИОП считает, что 203 мм самоходная гаубица «С-51 по срав</w:t>
      </w:r>
      <w:r w:rsidRPr="00070ADE">
        <w:rPr>
          <w:i w:val="0"/>
          <w:color w:val="000000" w:themeColor="text1"/>
          <w:sz w:val="16"/>
          <w:szCs w:val="16"/>
        </w:rPr>
        <w:softHyphen/>
        <w:t>нению с 203-мм гаубицей «Б-4» обладает большей маневренностью движения и огня при сохранении своего огневого могущества и по устранении недостатков, выявленных при испытании и отмеченных в настоящем отчете, может быть рекомендована на вооружение Красной Армии» (17484).</w:t>
      </w:r>
    </w:p>
    <w:p w14:paraId="2F67D527" w14:textId="77777777" w:rsidR="00282955" w:rsidRPr="00070ADE" w:rsidRDefault="00282955" w:rsidP="00B56F90">
      <w:pPr>
        <w:spacing w:after="0" w:line="240" w:lineRule="auto"/>
        <w:jc w:val="both"/>
        <w:rPr>
          <w:rFonts w:ascii="Times New Roman" w:hAnsi="Times New Roman"/>
          <w:color w:val="000000" w:themeColor="text1"/>
          <w:sz w:val="16"/>
          <w:szCs w:val="16"/>
        </w:rPr>
      </w:pPr>
    </w:p>
    <w:p w14:paraId="3D6903D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0C65F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4B65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апреля 1944 ОКБ П.О.С. приступило к работе над эскизным проектом Су-6 с РД в окончательном варианте. Практически эскизное и рабочее проектирование, а также производ</w:t>
      </w:r>
      <w:r w:rsidRPr="00070ADE">
        <w:rPr>
          <w:rFonts w:ascii="Times New Roman" w:hAnsi="Times New Roman"/>
          <w:color w:val="000000" w:themeColor="text1"/>
          <w:sz w:val="16"/>
          <w:szCs w:val="16"/>
        </w:rPr>
        <w:softHyphen/>
        <w:t>ственные работы проводились одно</w:t>
      </w:r>
      <w:r w:rsidRPr="00070ADE">
        <w:rPr>
          <w:rFonts w:ascii="Times New Roman" w:hAnsi="Times New Roman"/>
          <w:color w:val="000000" w:themeColor="text1"/>
          <w:sz w:val="16"/>
          <w:szCs w:val="16"/>
        </w:rPr>
        <w:softHyphen/>
        <w:t>временно. Задача облегчалась тем, что за основу нового самолета приняли один из двух построенных экземпляров опытного одноместного бронированно</w:t>
      </w:r>
      <w:r w:rsidRPr="00070ADE">
        <w:rPr>
          <w:rFonts w:ascii="Times New Roman" w:hAnsi="Times New Roman"/>
          <w:color w:val="000000" w:themeColor="text1"/>
          <w:sz w:val="16"/>
          <w:szCs w:val="16"/>
        </w:rPr>
        <w:softHyphen/>
        <w:t>го штурмовика Су-6. В связи с этим отпала необходимость в изготовлении макета и постройке экземпляра для статиспытаний (10668).</w:t>
      </w:r>
    </w:p>
    <w:p w14:paraId="4882E1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18BC42" w14:textId="77777777" w:rsidR="00AA077A" w:rsidRPr="00070ADE" w:rsidRDefault="00AA077A"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В начале апреля 1944 ОКБ Сухого приступило к работе над эскизным проектом Су-6 с М-82 ФН 2ТК- и РД-1 в окончательном вари анте. 22 апреля 1944 г. были Утверждены тактико-технические требования к проектируемому самолету. Этот самолет предназначался для перехвата и уничтожения самолетов противника и ведения активного воз душного боя, главным образом на больших высотах во фрон товой зоне и в системе ПВО.</w:t>
      </w:r>
    </w:p>
    <w:p w14:paraId="2FFB06F8" w14:textId="77777777" w:rsidR="00AA077A" w:rsidRPr="00070ADE" w:rsidRDefault="00AA077A"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Эскизное и рабочее проектирование, а также производство проводились параллельно. Задачу облегчало то, что за основу нового самолета был принят один из двух построенных экзем пляров опытного одноместного бронированного штурмовика Су-6. В связи с этим отпала необходимость в изготовлении ма кета и постройке экземпляра для статических испытаний. За держка окончания постройки самолета произошла из-за не своевременной подачи заводу № 289 турбокомпрессоров, при вода к насосному агрегату ЖРД и самого двигателя РД-1 (19586).</w:t>
      </w:r>
    </w:p>
    <w:p w14:paraId="4C472D83" w14:textId="77777777" w:rsidR="00AA077A" w:rsidRPr="00070ADE" w:rsidRDefault="00AA077A"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522BA63"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апреля 1944 г. в КБ П.О.С. приступили над Су-6 под мотор АШ-82ФН 2ТК-3 или М-83 с установкой двигателя РД-1 В.П. Глушко. К работе над эскизным проектом в окончательном вари</w:t>
      </w:r>
      <w:r w:rsidRPr="00C94B78">
        <w:rPr>
          <w:rFonts w:ascii="Times New Roman" w:hAnsi="Times New Roman"/>
          <w:color w:val="0070C0"/>
          <w:sz w:val="16"/>
          <w:szCs w:val="16"/>
        </w:rPr>
        <w:softHyphen/>
        <w:t>анте приступили 22 апреля 1944 г. были Утверждены тактико-технические требования к проектируемому самолету. Этот самолет предназначался для перехвата и уничтожения самолетов противника и ведения активного воз</w:t>
      </w:r>
      <w:r w:rsidRPr="00C94B78">
        <w:rPr>
          <w:rFonts w:ascii="Times New Roman" w:hAnsi="Times New Roman"/>
          <w:color w:val="0070C0"/>
          <w:sz w:val="16"/>
          <w:szCs w:val="16"/>
        </w:rPr>
        <w:softHyphen/>
        <w:t>душного боя, главным образом на больших высотах во фрон</w:t>
      </w:r>
      <w:r w:rsidRPr="00C94B78">
        <w:rPr>
          <w:rFonts w:ascii="Times New Roman" w:hAnsi="Times New Roman"/>
          <w:color w:val="0070C0"/>
          <w:sz w:val="16"/>
          <w:szCs w:val="16"/>
        </w:rPr>
        <w:softHyphen/>
        <w:t>товой зоне и в системе ПВО.</w:t>
      </w:r>
    </w:p>
    <w:p w14:paraId="70551705"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Эскизное и рабочее проектирование, а также производство проводились параллельно. Задачу облегчало то, что за основу нового самолета был принят один из двух построенных экзем</w:t>
      </w:r>
      <w:r w:rsidRPr="00C94B78">
        <w:rPr>
          <w:rFonts w:ascii="Times New Roman" w:hAnsi="Times New Roman"/>
          <w:color w:val="0070C0"/>
          <w:sz w:val="16"/>
          <w:szCs w:val="16"/>
        </w:rPr>
        <w:softHyphen/>
        <w:t>пляров опытного одноместного бронированного штурмовика Су-6. В связи с этим отпала необходимость в изготовлении ма</w:t>
      </w:r>
      <w:r w:rsidRPr="00C94B78">
        <w:rPr>
          <w:rFonts w:ascii="Times New Roman" w:hAnsi="Times New Roman"/>
          <w:color w:val="0070C0"/>
          <w:sz w:val="16"/>
          <w:szCs w:val="16"/>
        </w:rPr>
        <w:softHyphen/>
        <w:t>кета и постройке экземпляра для статических испытаний. За</w:t>
      </w:r>
      <w:r w:rsidRPr="00C94B78">
        <w:rPr>
          <w:rFonts w:ascii="Times New Roman" w:hAnsi="Times New Roman"/>
          <w:color w:val="0070C0"/>
          <w:sz w:val="16"/>
          <w:szCs w:val="16"/>
        </w:rPr>
        <w:softHyphen/>
        <w:t>держка окончания постройки самолета произошла из-за не</w:t>
      </w:r>
      <w:r w:rsidRPr="00C94B78">
        <w:rPr>
          <w:rFonts w:ascii="Times New Roman" w:hAnsi="Times New Roman"/>
          <w:color w:val="0070C0"/>
          <w:sz w:val="16"/>
          <w:szCs w:val="16"/>
        </w:rPr>
        <w:softHyphen/>
        <w:t>своевременной подачи заводу № 289 турбокомпрессоров, при</w:t>
      </w:r>
      <w:r w:rsidRPr="00C94B78">
        <w:rPr>
          <w:rFonts w:ascii="Times New Roman" w:hAnsi="Times New Roman"/>
          <w:color w:val="0070C0"/>
          <w:sz w:val="16"/>
          <w:szCs w:val="16"/>
        </w:rPr>
        <w:softHyphen/>
        <w:t>вода к насосному агрегату ЖРД и самого двигателя РД-1 (24920).</w:t>
      </w:r>
    </w:p>
    <w:p w14:paraId="0B610E5C" w14:textId="77777777" w:rsidR="00D0391D" w:rsidRPr="00C94B78" w:rsidRDefault="00D0391D" w:rsidP="00B56F90">
      <w:pPr>
        <w:spacing w:after="0" w:line="240" w:lineRule="auto"/>
        <w:jc w:val="both"/>
        <w:rPr>
          <w:rFonts w:ascii="Times New Roman" w:hAnsi="Times New Roman"/>
          <w:color w:val="0070C0"/>
          <w:sz w:val="16"/>
          <w:szCs w:val="16"/>
        </w:rPr>
      </w:pPr>
    </w:p>
    <w:p w14:paraId="61A9D720" w14:textId="77777777" w:rsidR="0053744E" w:rsidRPr="00070ADE" w:rsidRDefault="0053744E"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апреля 1944 года на головном бомбардировщике Ер-2 № 7013901 иркутской серии с двумя дизелями М-30Б был совершен перелет Иркутск – Москва (Чкаловская) с промежуточными посадками в Красноярске, Новосибирске, Омске, Свердловске. Из-за многочисленных дефектов испытания проходили тяжело и шесть раз прерывались для доработки самолетных систем и двигателей. Устранение возникающих отказов проводила бригада бортмеханика Д.И. Кирюхина, представителей моторостроительного завода № 500, которые сопровождали дальний перелет Ер-2 на транспортном самолете Ли-2 (15223).</w:t>
      </w:r>
    </w:p>
    <w:p w14:paraId="4BAECCFA" w14:textId="77777777" w:rsidR="0053744E" w:rsidRPr="00070ADE" w:rsidRDefault="0053744E" w:rsidP="00B56F90">
      <w:pPr>
        <w:shd w:val="clear" w:color="auto" w:fill="FFFFFF"/>
        <w:spacing w:after="0" w:line="240" w:lineRule="auto"/>
        <w:jc w:val="both"/>
        <w:rPr>
          <w:rFonts w:ascii="Times New Roman" w:hAnsi="Times New Roman"/>
          <w:color w:val="000000" w:themeColor="text1"/>
          <w:sz w:val="16"/>
          <w:szCs w:val="16"/>
        </w:rPr>
      </w:pPr>
    </w:p>
    <w:p w14:paraId="0BFA714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апреля 1944 же года заводом №31 в Тбилиси был построен первый экземпляр машины №31 0001 с двигателем ВК-105ПФ2,и с 11 апреля по 25 мая проходили его заводские испытания. Вооружение истребителя включало пушку МП-20 и два БСа с боезапасом 110 и 300 патронов соответственно. Ведущими по машине были инженер И.А. Шабанов и летчик С.Г. Плыгунов.</w:t>
      </w:r>
    </w:p>
    <w:p w14:paraId="21D999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испытаний выявили целый букет дефектов: 25 - по планеру, четыре - по шасси, десять - по силовой установке, пять - по вооружению и восемь - по спецоборудованию. Из них л ишь десять (20%) можно отнести к конструктивным недостаткам. Замечания заказчика учли и менее чем за два года сдали военным 960 машин (12047).</w:t>
      </w:r>
    </w:p>
    <w:p w14:paraId="33D147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EBBCF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начале апреля 1944 года на заводе № 31 был выпущен первый экземпляр машины Як-3 с двигателем ВК-105ПФ2 №310001. Его первый полет (ведущие - инженер И.А. Шабанов и летчик-испытатель С.Г. Плыгунов) состоялся 11 апреля. Вооружение истребителя включало пушку МП-20 и два БСа. В ходе испытаний было выявлено 52 дефекта машины и ее систем, из них 10 - конструктивных. Тем не менее летные данные истребителя были в пределах технических условий заказчика и выпуск "яков" продолжили.</w:t>
      </w:r>
    </w:p>
    <w:p w14:paraId="06132C8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1945 году в Тбилиси его сменил, несмотря на неудовлетворительные результаты государственных испытаний, Як-3 с двигателем ВК-107А. Но его производство длилось недолго, и в 1946-м после сдачи заказчику 48 машин выпуск прекратили (12047).</w:t>
      </w:r>
    </w:p>
    <w:p w14:paraId="28A0DD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E675E32"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апреля 1944 г. А.С. Яковлев буквально таки потребовал применения экстраординарных мер, включая установления неимоверно больших премий для самолетостроителей и мотористов за будущие работы и наложение взысканий на мотористов за то, что уже было сделано (орфография и пунктуация сохранены):</w:t>
      </w:r>
    </w:p>
    <w:p w14:paraId="1E958965"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«Дело создания высотных истребителей обстоит исключительно плохо.</w:t>
      </w:r>
    </w:p>
    <w:p w14:paraId="69C4AA60"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самолёты этого типа, строящиеся конструкторами ЯКОВЛЕВЫМ, ЛАВОЧКИНЫМ и МИКОЯНОМ, находятся в состоянии застоя и при существующем положении дел не будут готовы к лету даже в опытных экземплярах.</w:t>
      </w:r>
    </w:p>
    <w:p w14:paraId="38C9180A"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Основной причиной такого недопустимого положения с решением важнейшей обо</w:t>
      </w:r>
      <w:r w:rsidRPr="00070ADE">
        <w:rPr>
          <w:rFonts w:ascii="Times New Roman" w:hAnsi="Times New Roman"/>
          <w:color w:val="000000" w:themeColor="text1"/>
          <w:sz w:val="16"/>
          <w:szCs w:val="16"/>
        </w:rPr>
        <w:softHyphen/>
        <w:t>ронной проблемы является полное бездействие опытно-моторного Главка, конструк</w:t>
      </w:r>
      <w:r w:rsidRPr="00070ADE">
        <w:rPr>
          <w:rFonts w:ascii="Times New Roman" w:hAnsi="Times New Roman"/>
          <w:color w:val="000000" w:themeColor="text1"/>
          <w:sz w:val="16"/>
          <w:szCs w:val="16"/>
        </w:rPr>
        <w:softHyphen/>
        <w:t xml:space="preserve">торов-мотористов и ЦИАМ... </w:t>
      </w:r>
      <w:r w:rsidRPr="00070ADE">
        <w:rPr>
          <w:rStyle w:val="59"/>
          <w:rFonts w:ascii="Times New Roman" w:hAnsi="Times New Roman" w:cs="Times New Roman"/>
          <w:color w:val="000000" w:themeColor="text1"/>
          <w:sz w:val="16"/>
          <w:szCs w:val="16"/>
        </w:rPr>
        <w:t>В результате</w:t>
      </w:r>
      <w:r w:rsidRPr="00070ADE">
        <w:rPr>
          <w:rFonts w:ascii="Times New Roman" w:hAnsi="Times New Roman"/>
          <w:color w:val="000000" w:themeColor="text1"/>
          <w:sz w:val="16"/>
          <w:szCs w:val="16"/>
        </w:rPr>
        <w:t>:</w:t>
      </w:r>
    </w:p>
    <w:p w14:paraId="15AC1871"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самолёт т. ЯКОВЛЕВА с мотором 105ПД стоит в ожидании доработки моторной группы по увеличению её высотности;</w:t>
      </w:r>
    </w:p>
    <w:p w14:paraId="0632749B"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самолёт т. ЛАВОЧКИНА не может достичь заданной высоты из-за перегрева мотора на высотах. Рекомендованный ЦИАМ в прошлом году впрыск воды работает неудов</w:t>
      </w:r>
      <w:r w:rsidRPr="00070ADE">
        <w:rPr>
          <w:rFonts w:ascii="Times New Roman" w:hAnsi="Times New Roman"/>
          <w:color w:val="000000" w:themeColor="text1"/>
          <w:sz w:val="16"/>
          <w:szCs w:val="16"/>
        </w:rPr>
        <w:softHyphen/>
        <w:t>летворительно, но ЦИАМом не доводится.</w:t>
      </w:r>
    </w:p>
    <w:p w14:paraId="58B011B5"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самолёт т. МИКОЯНА с мотором АМ-39 с ТК ожидает мотора, все сроки подачи ко</w:t>
      </w:r>
      <w:r w:rsidRPr="00070ADE">
        <w:rPr>
          <w:rFonts w:ascii="Times New Roman" w:hAnsi="Times New Roman"/>
          <w:color w:val="000000" w:themeColor="text1"/>
          <w:sz w:val="16"/>
          <w:szCs w:val="16"/>
        </w:rPr>
        <w:softHyphen/>
        <w:t>торого по постановлению ГОКО давно истекли.</w:t>
      </w:r>
    </w:p>
    <w:p w14:paraId="75A43DD1"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вследствие непонятной бездеятельности мотористов мы оказыва</w:t>
      </w:r>
      <w:r w:rsidRPr="00070ADE">
        <w:rPr>
          <w:rFonts w:ascii="Times New Roman" w:hAnsi="Times New Roman"/>
          <w:color w:val="000000" w:themeColor="text1"/>
          <w:sz w:val="16"/>
          <w:szCs w:val="16"/>
        </w:rPr>
        <w:softHyphen/>
        <w:t xml:space="preserve">емся безоружными перед лицом высотных самолётов врага. </w:t>
      </w:r>
      <w:r w:rsidRPr="00070ADE">
        <w:rPr>
          <w:rStyle w:val="59"/>
          <w:rFonts w:ascii="Times New Roman" w:hAnsi="Times New Roman" w:cs="Times New Roman"/>
          <w:color w:val="000000" w:themeColor="text1"/>
          <w:sz w:val="16"/>
          <w:szCs w:val="16"/>
        </w:rPr>
        <w:t>Необходимо</w:t>
      </w:r>
      <w:r w:rsidRPr="00070ADE">
        <w:rPr>
          <w:rFonts w:ascii="Times New Roman" w:hAnsi="Times New Roman"/>
          <w:color w:val="000000" w:themeColor="text1"/>
          <w:sz w:val="16"/>
          <w:szCs w:val="16"/>
        </w:rPr>
        <w:t>:</w:t>
      </w:r>
    </w:p>
    <w:p w14:paraId="38E47ECD" w14:textId="77777777" w:rsidR="0053744E" w:rsidRPr="00070ADE" w:rsidRDefault="0053744E" w:rsidP="00B56F90">
      <w:pPr>
        <w:tabs>
          <w:tab w:val="left" w:pos="43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Войти в Правительство с прилагаемым проектом постановления, в котором наме</w:t>
      </w:r>
      <w:r w:rsidRPr="00070ADE">
        <w:rPr>
          <w:rFonts w:ascii="Times New Roman" w:hAnsi="Times New Roman"/>
          <w:color w:val="000000" w:themeColor="text1"/>
          <w:sz w:val="16"/>
          <w:szCs w:val="16"/>
        </w:rPr>
        <w:softHyphen/>
        <w:t>чены экстраординарные мероприятия по поощрению отработки высотных самолётов.</w:t>
      </w:r>
    </w:p>
    <w:p w14:paraId="30E14C53" w14:textId="77777777" w:rsidR="0053744E" w:rsidRPr="00070ADE" w:rsidRDefault="0053744E" w:rsidP="00B56F90">
      <w:pPr>
        <w:tabs>
          <w:tab w:val="left" w:pos="44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Наложить строгие взыскания на виновников задержки:</w:t>
      </w:r>
    </w:p>
    <w:p w14:paraId="4E39DB6D" w14:textId="77777777" w:rsidR="0053744E" w:rsidRPr="00070ADE" w:rsidRDefault="0053744E" w:rsidP="00B56F90">
      <w:pPr>
        <w:tabs>
          <w:tab w:val="left" w:pos="43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отработки и развития мотора 105ПД,</w:t>
      </w:r>
    </w:p>
    <w:p w14:paraId="1CA3C52F" w14:textId="77777777" w:rsidR="0053744E" w:rsidRPr="00070ADE" w:rsidRDefault="0053744E" w:rsidP="00B56F90">
      <w:pPr>
        <w:tabs>
          <w:tab w:val="left" w:pos="45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мотора АМ-39 с ТК,</w:t>
      </w:r>
    </w:p>
    <w:p w14:paraId="51D054B8" w14:textId="77777777" w:rsidR="0053744E" w:rsidRPr="00070ADE" w:rsidRDefault="0053744E" w:rsidP="00B56F90">
      <w:pPr>
        <w:tabs>
          <w:tab w:val="left" w:pos="44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отработки впрыска воды и системы ТК к мотору АШ-82ФН,</w:t>
      </w:r>
    </w:p>
    <w:p w14:paraId="404EFCF9" w14:textId="77777777" w:rsidR="0053744E" w:rsidRPr="00070ADE" w:rsidRDefault="0053744E" w:rsidP="00B56F90">
      <w:pPr>
        <w:tabs>
          <w:tab w:val="left" w:pos="45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серийного выпуска ТК.</w:t>
      </w:r>
    </w:p>
    <w:p w14:paraId="314BA60A" w14:textId="77777777" w:rsidR="0053744E" w:rsidRPr="00070ADE" w:rsidRDefault="0053744E" w:rsidP="00B56F90">
      <w:pPr>
        <w:tabs>
          <w:tab w:val="left" w:pos="42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Обязать 8 Главк и ЦИАМ бросить все силы на доводку моторных групп высотных истребителей т.т. ЯКОВЛЕВА, ЛАВОЧКИНА и МИКОЯНА.</w:t>
      </w:r>
    </w:p>
    <w:p w14:paraId="3E2D8F58" w14:textId="77777777" w:rsidR="0053744E" w:rsidRPr="00070ADE" w:rsidRDefault="0053744E" w:rsidP="00B56F90">
      <w:pPr>
        <w:tabs>
          <w:tab w:val="left" w:pos="44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Немедленно начать выпуск небольшой серии моторов М-105ПД».</w:t>
      </w:r>
    </w:p>
    <w:p w14:paraId="74E10845"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общем, во всём виноваты мотористы — их всех надо наказать. Совершенно неспра</w:t>
      </w:r>
      <w:r w:rsidRPr="00070ADE">
        <w:rPr>
          <w:rFonts w:ascii="Times New Roman" w:hAnsi="Times New Roman"/>
          <w:color w:val="000000" w:themeColor="text1"/>
          <w:sz w:val="16"/>
          <w:szCs w:val="16"/>
        </w:rPr>
        <w:softHyphen/>
        <w:t>ведливый вывод, но, с «аппаратной» точки зрения, абсолютно разумный: убрать из-под топора свою голову и подставить чужую. Тем более что поощрение, действительно, пред</w:t>
      </w:r>
      <w:r w:rsidRPr="00070ADE">
        <w:rPr>
          <w:rFonts w:ascii="Times New Roman" w:hAnsi="Times New Roman"/>
          <w:color w:val="000000" w:themeColor="text1"/>
          <w:sz w:val="16"/>
          <w:szCs w:val="16"/>
        </w:rPr>
        <w:softHyphen/>
        <w:t>полагалось экстраординарное: «Установить первую премию в 1 миллион рублей опытно</w:t>
      </w:r>
      <w:r w:rsidRPr="00070ADE">
        <w:rPr>
          <w:rFonts w:ascii="Times New Roman" w:hAnsi="Times New Roman"/>
          <w:color w:val="000000" w:themeColor="text1"/>
          <w:sz w:val="16"/>
          <w:szCs w:val="16"/>
        </w:rPr>
        <w:softHyphen/>
        <w:t>му самолётному конструкторскому бюро, которое первым даст самолёт-истребитель с потолком 14000 мт. На высоте 13000 мт самолёт должен иметь вертикальную скорость 2,5 мт в секунду и иметь продолжительность полёта не менее 30 минут. Самолёт должен нести не менее одной пушки калибра 20 мм с боезапасом 60 снарядов. Потолок, верти</w:t>
      </w:r>
      <w:r w:rsidRPr="00070ADE">
        <w:rPr>
          <w:rFonts w:ascii="Times New Roman" w:hAnsi="Times New Roman"/>
          <w:color w:val="000000" w:themeColor="text1"/>
          <w:sz w:val="16"/>
          <w:szCs w:val="16"/>
        </w:rPr>
        <w:softHyphen/>
        <w:t>кальная скорость и продолжительность полёта должны быть определены государствен</w:t>
      </w:r>
      <w:r w:rsidRPr="00070ADE">
        <w:rPr>
          <w:rFonts w:ascii="Times New Roman" w:hAnsi="Times New Roman"/>
          <w:color w:val="000000" w:themeColor="text1"/>
          <w:sz w:val="16"/>
          <w:szCs w:val="16"/>
        </w:rPr>
        <w:softHyphen/>
        <w:t>ным испытанием. Из указанной премии в 1 миллион рублей, 50% выдается лично глав</w:t>
      </w:r>
      <w:r w:rsidRPr="00070ADE">
        <w:rPr>
          <w:rFonts w:ascii="Times New Roman" w:hAnsi="Times New Roman"/>
          <w:color w:val="000000" w:themeColor="text1"/>
          <w:sz w:val="16"/>
          <w:szCs w:val="16"/>
        </w:rPr>
        <w:softHyphen/>
        <w:t>ному конструктору самолёта и 50% — коллективу ОКБ». Премия в 500 тыс. руб. устанав</w:t>
      </w:r>
      <w:r w:rsidRPr="00070ADE">
        <w:rPr>
          <w:rFonts w:ascii="Times New Roman" w:hAnsi="Times New Roman"/>
          <w:color w:val="000000" w:themeColor="text1"/>
          <w:sz w:val="16"/>
          <w:szCs w:val="16"/>
        </w:rPr>
        <w:softHyphen/>
        <w:t>ливалась за самолёт с потолком 13500 м, премии 1 млн. и 500 тыс. руб. выплачивались опытно-моторным КБ, в зависимости от того, в решении какой из задач использовался разработанный ими мотор. Половина премии во всех случаях выдавалась лично главно</w:t>
      </w:r>
      <w:r w:rsidRPr="00070ADE">
        <w:rPr>
          <w:rFonts w:ascii="Times New Roman" w:hAnsi="Times New Roman"/>
          <w:color w:val="000000" w:themeColor="text1"/>
          <w:sz w:val="16"/>
          <w:szCs w:val="16"/>
        </w:rPr>
        <w:softHyphen/>
        <w:t>му конструктору самолёта или мотора. Помимо денежных премий, главных конструкто</w:t>
      </w:r>
      <w:r w:rsidRPr="00070ADE">
        <w:rPr>
          <w:rFonts w:ascii="Times New Roman" w:hAnsi="Times New Roman"/>
          <w:color w:val="000000" w:themeColor="text1"/>
          <w:sz w:val="16"/>
          <w:szCs w:val="16"/>
        </w:rPr>
        <w:softHyphen/>
        <w:t>ров, первыми решившими поставленную задачу, и лучших работников их коллективов Наркомавиапром представлял к правительственным наградам (15830).</w:t>
      </w:r>
    </w:p>
    <w:p w14:paraId="78072F15" w14:textId="77777777" w:rsidR="0053744E" w:rsidRPr="00070ADE" w:rsidRDefault="0053744E" w:rsidP="00B56F90">
      <w:pPr>
        <w:spacing w:after="0" w:line="240" w:lineRule="auto"/>
        <w:jc w:val="both"/>
        <w:rPr>
          <w:rFonts w:ascii="Times New Roman" w:hAnsi="Times New Roman"/>
          <w:color w:val="000000" w:themeColor="text1"/>
          <w:sz w:val="16"/>
          <w:szCs w:val="16"/>
        </w:rPr>
      </w:pPr>
    </w:p>
    <w:p w14:paraId="46A627BF"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апреля 1944, по причине изношенности материальной части, доработанный высотный Ла-5 поставили в цех на восстано</w:t>
      </w:r>
      <w:r w:rsidRPr="00070ADE">
        <w:rPr>
          <w:rFonts w:ascii="Times New Roman" w:hAnsi="Times New Roman"/>
          <w:color w:val="000000" w:themeColor="text1"/>
          <w:sz w:val="16"/>
          <w:szCs w:val="16"/>
        </w:rPr>
        <w:softHyphen/>
        <w:t>вительный ремонт (15830).</w:t>
      </w:r>
    </w:p>
    <w:p w14:paraId="6F4FB29C" w14:textId="77777777" w:rsidR="0053744E" w:rsidRPr="00070ADE" w:rsidRDefault="0053744E" w:rsidP="00B56F90">
      <w:pPr>
        <w:spacing w:after="0" w:line="240" w:lineRule="auto"/>
        <w:jc w:val="both"/>
        <w:rPr>
          <w:rFonts w:ascii="Times New Roman" w:hAnsi="Times New Roman"/>
          <w:color w:val="000000" w:themeColor="text1"/>
          <w:sz w:val="16"/>
          <w:szCs w:val="16"/>
        </w:rPr>
      </w:pPr>
    </w:p>
    <w:p w14:paraId="3C228B82"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самых первых числах апреля 1944 г. заместитель начальника 7</w:t>
      </w:r>
      <w:r w:rsidRPr="00070ADE">
        <w:rPr>
          <w:rFonts w:ascii="Times New Roman" w:hAnsi="Times New Roman"/>
          <w:color w:val="000000" w:themeColor="text1"/>
          <w:sz w:val="16"/>
          <w:szCs w:val="16"/>
        </w:rPr>
        <w:noBreakHyphen/>
        <w:t>го Главного управления Наркомата авиапромышленности (этот главк НКАП был ответственен за опытное самолётостроение) В.Н. Алексеев официальным письмом перенаправил своему руководителю А.С. Яковлеву жалобу Главного конструктора ОКБ</w:t>
      </w:r>
      <w:r w:rsidRPr="00070ADE">
        <w:rPr>
          <w:rFonts w:ascii="Times New Roman" w:hAnsi="Times New Roman"/>
          <w:color w:val="000000" w:themeColor="text1"/>
          <w:sz w:val="16"/>
          <w:szCs w:val="16"/>
        </w:rPr>
        <w:noBreakHyphen/>
        <w:t>155 Микояна на задержки с отработкой и поставкой ему высотных моторов для плановых работ. В ней тот вспомнил и старые долги:</w:t>
      </w:r>
    </w:p>
    <w:p w14:paraId="144EBD37"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НКАП №315сс от 14 июня 1943 г., в соответствии с Постановлением ГОКО от 12 июня 1943 г., мне было поручено выпустить высотный истребитель, с АМ</w:t>
      </w:r>
      <w:r w:rsidRPr="00070ADE">
        <w:rPr>
          <w:rFonts w:ascii="Times New Roman" w:hAnsi="Times New Roman"/>
          <w:color w:val="000000" w:themeColor="text1"/>
          <w:sz w:val="16"/>
          <w:szCs w:val="16"/>
        </w:rPr>
        <w:noBreakHyphen/>
        <w:t>39 и ТК к 1 сентября 1943 г. Одновременно ЦИАМ’у было поручено от</w:t>
      </w:r>
      <w:r w:rsidRPr="00070ADE">
        <w:rPr>
          <w:rFonts w:ascii="Times New Roman" w:hAnsi="Times New Roman"/>
          <w:color w:val="000000" w:themeColor="text1"/>
          <w:sz w:val="16"/>
          <w:szCs w:val="16"/>
        </w:rPr>
        <w:noBreakHyphen/>
        <w:t xml:space="preserve"> работать высотную установку винтомоторной группы. Приказом НКАП от 3 июля №390сс обязывались: 1. Завод №300 подобрать ЦИАМ’у мо</w:t>
      </w:r>
      <w:r w:rsidRPr="00070ADE">
        <w:rPr>
          <w:rFonts w:ascii="Times New Roman" w:hAnsi="Times New Roman"/>
          <w:color w:val="000000" w:themeColor="text1"/>
          <w:sz w:val="16"/>
          <w:szCs w:val="16"/>
        </w:rPr>
        <w:noBreakHyphen/>
        <w:t xml:space="preserve"> тор к 25</w:t>
      </w:r>
      <w:r w:rsidRPr="00070ADE">
        <w:rPr>
          <w:rFonts w:ascii="Times New Roman" w:hAnsi="Times New Roman"/>
          <w:color w:val="000000" w:themeColor="text1"/>
          <w:sz w:val="16"/>
          <w:szCs w:val="16"/>
        </w:rPr>
        <w:noBreakHyphen/>
        <w:t>му июля 1943 г. и заводу №155 резервный мотор к 10</w:t>
      </w:r>
      <w:r w:rsidRPr="00070ADE">
        <w:rPr>
          <w:rFonts w:ascii="Times New Roman" w:hAnsi="Times New Roman"/>
          <w:color w:val="000000" w:themeColor="text1"/>
          <w:sz w:val="16"/>
          <w:szCs w:val="16"/>
        </w:rPr>
        <w:noBreakHyphen/>
        <w:t>му августа 1943 г. 2. ЦИАМ провести стендовые испытания мотора АМ</w:t>
      </w:r>
      <w:r w:rsidRPr="00070ADE">
        <w:rPr>
          <w:rFonts w:ascii="Times New Roman" w:hAnsi="Times New Roman"/>
          <w:color w:val="000000" w:themeColor="text1"/>
          <w:sz w:val="16"/>
          <w:szCs w:val="16"/>
        </w:rPr>
        <w:noBreakHyphen/>
        <w:t>39 с ТК, отработать автоматику и сдать заводу №155 15 августа 1943 г. В связи со срывом установленных этим приказом сроков НКАП, приказом №503сс от 31 августа 1943 г., отметив недопустимость срыва сроков подачи летного мотора заводом №300, установлен срок подачи мотора ЦИАМ’у 3 сентября и заводу №155 10 сентября. Этим же приказом ЦИАМ обязан был к 1 октября 1943 г. отработать систему зажигания, масло и бензопитания для обеспечения безотказной работы мотора до высоты 14000 м. Фактически завод первый мотор АМ</w:t>
      </w:r>
      <w:r w:rsidRPr="00070ADE">
        <w:rPr>
          <w:rFonts w:ascii="Times New Roman" w:hAnsi="Times New Roman"/>
          <w:color w:val="000000" w:themeColor="text1"/>
          <w:sz w:val="16"/>
          <w:szCs w:val="16"/>
        </w:rPr>
        <w:noBreakHyphen/>
        <w:t>39 получил позже всех установленных НКАП сроков на 1,5–2 месяца для первого экземпляра самолёта без соответствую</w:t>
      </w:r>
      <w:r w:rsidRPr="00070ADE">
        <w:rPr>
          <w:rFonts w:ascii="Times New Roman" w:hAnsi="Times New Roman"/>
          <w:color w:val="000000" w:themeColor="text1"/>
          <w:sz w:val="16"/>
          <w:szCs w:val="16"/>
        </w:rPr>
        <w:noBreakHyphen/>
        <w:t xml:space="preserve"> щей отработки ЦИАМ’ом на стенде мотора, порученной ему приказом НКАП. После гибели первого экземпляра (самолёт «2А» – авт.) завод форсировал выпуск второго экземпляра машины с герметической кабиной и воздушным радиатором. Указанный экземпляр машины готов для выкатки на аэродром и задерживается из</w:t>
      </w:r>
      <w:r w:rsidRPr="00070ADE">
        <w:rPr>
          <w:rFonts w:ascii="Times New Roman" w:hAnsi="Times New Roman"/>
          <w:color w:val="000000" w:themeColor="text1"/>
          <w:sz w:val="16"/>
          <w:szCs w:val="16"/>
        </w:rPr>
        <w:noBreakHyphen/>
        <w:t>за отсутствия кондиционного мотора АМ</w:t>
      </w:r>
      <w:r w:rsidRPr="00070ADE">
        <w:rPr>
          <w:rFonts w:ascii="Times New Roman" w:hAnsi="Times New Roman"/>
          <w:color w:val="000000" w:themeColor="text1"/>
          <w:sz w:val="16"/>
          <w:szCs w:val="16"/>
        </w:rPr>
        <w:noBreakHyphen/>
        <w:t>39А. (Так в документе, хотя на самолет «3А» нужен был АМ</w:t>
      </w:r>
      <w:r w:rsidRPr="00070ADE">
        <w:rPr>
          <w:rFonts w:ascii="Times New Roman" w:hAnsi="Times New Roman"/>
          <w:color w:val="000000" w:themeColor="text1"/>
          <w:sz w:val="16"/>
          <w:szCs w:val="16"/>
        </w:rPr>
        <w:noBreakHyphen/>
        <w:t>39Б). Все обещания по срокам поставки этого мотора заводом №300 сорваны и в настоящий момент нет уверенности в подаче мотора по последнему обещанию завода №300 к 10 апреля 1944 г. Работа по отработке коммуникаций винтомоторной группы на стенде ЦИАМ’ом не закончена и прекращена из</w:t>
      </w:r>
      <w:r w:rsidRPr="00070ADE">
        <w:rPr>
          <w:rFonts w:ascii="Times New Roman" w:hAnsi="Times New Roman"/>
          <w:color w:val="000000" w:themeColor="text1"/>
          <w:sz w:val="16"/>
          <w:szCs w:val="16"/>
        </w:rPr>
        <w:noBreakHyphen/>
        <w:t>за отсутствия мотора. Прошу Вас довести до сведения наркома об изложенном для принятия необходимых мер по заводу №300 и ЦИАМ’у» (23471).</w:t>
      </w:r>
    </w:p>
    <w:p w14:paraId="2BBDA94B" w14:textId="77777777" w:rsidR="00597AB6" w:rsidRPr="00070ADE" w:rsidRDefault="00597AB6" w:rsidP="00B56F90">
      <w:pPr>
        <w:spacing w:after="0" w:line="240" w:lineRule="auto"/>
        <w:jc w:val="both"/>
        <w:rPr>
          <w:rFonts w:ascii="Times New Roman" w:hAnsi="Times New Roman"/>
          <w:color w:val="000000" w:themeColor="text1"/>
          <w:sz w:val="16"/>
          <w:szCs w:val="16"/>
        </w:rPr>
      </w:pPr>
    </w:p>
    <w:p w14:paraId="3D9F6DC5"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w:t>
      </w:r>
      <w:r w:rsidRPr="00070ADE">
        <w:rPr>
          <w:rFonts w:ascii="Times New Roman" w:hAnsi="Times New Roman"/>
          <w:color w:val="000000" w:themeColor="text1"/>
          <w:sz w:val="16"/>
          <w:szCs w:val="16"/>
        </w:rPr>
        <w:softHyphen/>
        <w:t>вых числах апреля 1944 г. заместитель на</w:t>
      </w:r>
      <w:r w:rsidRPr="00070ADE">
        <w:rPr>
          <w:rFonts w:ascii="Times New Roman" w:hAnsi="Times New Roman"/>
          <w:color w:val="000000" w:themeColor="text1"/>
          <w:sz w:val="16"/>
          <w:szCs w:val="16"/>
        </w:rPr>
        <w:softHyphen/>
        <w:t>чальника 7-го Главного управления На</w:t>
      </w:r>
      <w:r w:rsidRPr="00070ADE">
        <w:rPr>
          <w:rFonts w:ascii="Times New Roman" w:hAnsi="Times New Roman"/>
          <w:color w:val="000000" w:themeColor="text1"/>
          <w:sz w:val="16"/>
          <w:szCs w:val="16"/>
        </w:rPr>
        <w:softHyphen/>
        <w:t>ркомата авиапромышленности (этот главк НКАП был ответственен за опытное са</w:t>
      </w:r>
      <w:r w:rsidRPr="00070ADE">
        <w:rPr>
          <w:rFonts w:ascii="Times New Roman" w:hAnsi="Times New Roman"/>
          <w:color w:val="000000" w:themeColor="text1"/>
          <w:sz w:val="16"/>
          <w:szCs w:val="16"/>
        </w:rPr>
        <w:softHyphen/>
        <w:t>молётостроение) В.Н. Алексеев офици</w:t>
      </w:r>
      <w:r w:rsidRPr="00070ADE">
        <w:rPr>
          <w:rFonts w:ascii="Times New Roman" w:hAnsi="Times New Roman"/>
          <w:color w:val="000000" w:themeColor="text1"/>
          <w:sz w:val="16"/>
          <w:szCs w:val="16"/>
        </w:rPr>
        <w:softHyphen/>
        <w:t>альным письмом перенаправил свое</w:t>
      </w:r>
      <w:r w:rsidRPr="00070ADE">
        <w:rPr>
          <w:rFonts w:ascii="Times New Roman" w:hAnsi="Times New Roman"/>
          <w:color w:val="000000" w:themeColor="text1"/>
          <w:sz w:val="16"/>
          <w:szCs w:val="16"/>
        </w:rPr>
        <w:softHyphen/>
        <w:t>му руководителю А.С. Яковлеву жалобу Главного конструктора ОКБ-155 Микоя</w:t>
      </w:r>
      <w:r w:rsidRPr="00070ADE">
        <w:rPr>
          <w:rFonts w:ascii="Times New Roman" w:hAnsi="Times New Roman"/>
          <w:color w:val="000000" w:themeColor="text1"/>
          <w:sz w:val="16"/>
          <w:szCs w:val="16"/>
        </w:rPr>
        <w:softHyphen/>
        <w:t>на на задержки с отработкой и поставкой ему высотных моторов для плановых ра</w:t>
      </w:r>
      <w:r w:rsidRPr="00070ADE">
        <w:rPr>
          <w:rFonts w:ascii="Times New Roman" w:hAnsi="Times New Roman"/>
          <w:color w:val="000000" w:themeColor="text1"/>
          <w:sz w:val="16"/>
          <w:szCs w:val="16"/>
        </w:rPr>
        <w:softHyphen/>
        <w:t>бот. В ней тот вспомнил и старые долги, и новые - накипело!</w:t>
      </w:r>
    </w:p>
    <w:p w14:paraId="2842F483"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НКАП №315сс от 14 июня 1943 г., в соответствии с Постановлени</w:t>
      </w:r>
      <w:r w:rsidRPr="00070ADE">
        <w:rPr>
          <w:rFonts w:ascii="Times New Roman" w:hAnsi="Times New Roman"/>
          <w:color w:val="000000" w:themeColor="text1"/>
          <w:sz w:val="16"/>
          <w:szCs w:val="16"/>
        </w:rPr>
        <w:softHyphen/>
        <w:t>ем ГОКО от 12 июня 1943 г., мне было по</w:t>
      </w:r>
      <w:r w:rsidRPr="00070ADE">
        <w:rPr>
          <w:rFonts w:ascii="Times New Roman" w:hAnsi="Times New Roman"/>
          <w:color w:val="000000" w:themeColor="text1"/>
          <w:sz w:val="16"/>
          <w:szCs w:val="16"/>
        </w:rPr>
        <w:softHyphen/>
        <w:t>ручено выпустить высотный истреби</w:t>
      </w:r>
      <w:r w:rsidRPr="00070ADE">
        <w:rPr>
          <w:rFonts w:ascii="Times New Roman" w:hAnsi="Times New Roman"/>
          <w:color w:val="000000" w:themeColor="text1"/>
          <w:sz w:val="16"/>
          <w:szCs w:val="16"/>
        </w:rPr>
        <w:softHyphen/>
        <w:t>тель, с АМ-39 и ТК к 1 сентября 1943 г. Одновременно ЦИАМ’у было поручено от</w:t>
      </w:r>
      <w:r w:rsidRPr="00070ADE">
        <w:rPr>
          <w:rFonts w:ascii="Times New Roman" w:hAnsi="Times New Roman"/>
          <w:color w:val="000000" w:themeColor="text1"/>
          <w:sz w:val="16"/>
          <w:szCs w:val="16"/>
        </w:rPr>
        <w:softHyphen/>
        <w:t>работать высотную установку винтомо</w:t>
      </w:r>
      <w:r w:rsidRPr="00070ADE">
        <w:rPr>
          <w:rFonts w:ascii="Times New Roman" w:hAnsi="Times New Roman"/>
          <w:color w:val="000000" w:themeColor="text1"/>
          <w:sz w:val="16"/>
          <w:szCs w:val="16"/>
        </w:rPr>
        <w:softHyphen/>
        <w:t>торной группы.</w:t>
      </w:r>
    </w:p>
    <w:p w14:paraId="2BAB062E"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НКАП от 3 июля №390сс обязывались:</w:t>
      </w:r>
    </w:p>
    <w:p w14:paraId="5B18DC37"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Завод №300 подобрать ЦИАМ’у мо</w:t>
      </w:r>
      <w:r w:rsidRPr="00070ADE">
        <w:rPr>
          <w:rFonts w:ascii="Times New Roman" w:hAnsi="Times New Roman"/>
          <w:color w:val="000000" w:themeColor="text1"/>
          <w:sz w:val="16"/>
          <w:szCs w:val="16"/>
        </w:rPr>
        <w:softHyphen/>
        <w:t>тор к 25-му июля 1943 г. и заводу №155 резервный мотор к 10-му августа 1943 г.</w:t>
      </w:r>
    </w:p>
    <w:p w14:paraId="63C50B16"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ЦИАМ провести стендовые испыта</w:t>
      </w:r>
      <w:r w:rsidRPr="00070ADE">
        <w:rPr>
          <w:rFonts w:ascii="Times New Roman" w:hAnsi="Times New Roman"/>
          <w:color w:val="000000" w:themeColor="text1"/>
          <w:sz w:val="16"/>
          <w:szCs w:val="16"/>
        </w:rPr>
        <w:softHyphen/>
        <w:t>ния мотора АМ-39 с ТК, отработать ав</w:t>
      </w:r>
      <w:r w:rsidRPr="00070ADE">
        <w:rPr>
          <w:rFonts w:ascii="Times New Roman" w:hAnsi="Times New Roman"/>
          <w:color w:val="000000" w:themeColor="text1"/>
          <w:sz w:val="16"/>
          <w:szCs w:val="16"/>
        </w:rPr>
        <w:softHyphen/>
        <w:t>томатику и сдать заводу №15515 авгу</w:t>
      </w:r>
      <w:r w:rsidRPr="00070ADE">
        <w:rPr>
          <w:rFonts w:ascii="Times New Roman" w:hAnsi="Times New Roman"/>
          <w:color w:val="000000" w:themeColor="text1"/>
          <w:sz w:val="16"/>
          <w:szCs w:val="16"/>
        </w:rPr>
        <w:softHyphen/>
        <w:t>ста 1943 г.</w:t>
      </w:r>
    </w:p>
    <w:p w14:paraId="1947346B"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со срывом установленных этим приказом сроков НКАП, приказом №503сс от 31 августа 1943 г., отметив недопустимость срыва сроков подачи летного мотора заводом №300, установ</w:t>
      </w:r>
      <w:r w:rsidRPr="00070ADE">
        <w:rPr>
          <w:rFonts w:ascii="Times New Roman" w:hAnsi="Times New Roman"/>
          <w:color w:val="000000" w:themeColor="text1"/>
          <w:sz w:val="16"/>
          <w:szCs w:val="16"/>
        </w:rPr>
        <w:softHyphen/>
        <w:t>лен срок подачи мотора ЦИАМ’у 3 сентя</w:t>
      </w:r>
      <w:r w:rsidRPr="00070ADE">
        <w:rPr>
          <w:rFonts w:ascii="Times New Roman" w:hAnsi="Times New Roman"/>
          <w:color w:val="000000" w:themeColor="text1"/>
          <w:sz w:val="16"/>
          <w:szCs w:val="16"/>
        </w:rPr>
        <w:softHyphen/>
        <w:t>бря и заводу №15510 сентября.</w:t>
      </w:r>
    </w:p>
    <w:p w14:paraId="5BB2B626"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Этим же приказом ЦИАМ обязан был к 1 октября 1943 г. отработать систе</w:t>
      </w:r>
      <w:r w:rsidRPr="00070ADE">
        <w:rPr>
          <w:rFonts w:ascii="Times New Roman" w:hAnsi="Times New Roman"/>
          <w:color w:val="000000" w:themeColor="text1"/>
          <w:sz w:val="16"/>
          <w:szCs w:val="16"/>
        </w:rPr>
        <w:softHyphen/>
        <w:t>му зажигания, масло и бензопитания для обеспечения безотказной работы мотора до высоты 14000 м.</w:t>
      </w:r>
    </w:p>
    <w:p w14:paraId="7202C25E"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Фактически завод первый мотор АМ-39 получил позже всех установленных НКАП сроков на 1,5-2 месяца для первого экземпляра самолёта без соответствую</w:t>
      </w:r>
      <w:r w:rsidRPr="00070ADE">
        <w:rPr>
          <w:rFonts w:ascii="Times New Roman" w:hAnsi="Times New Roman"/>
          <w:color w:val="000000" w:themeColor="text1"/>
          <w:sz w:val="16"/>
          <w:szCs w:val="16"/>
        </w:rPr>
        <w:softHyphen/>
        <w:t>щей отработки ЦИАМ’ом на стенде мо</w:t>
      </w:r>
      <w:r w:rsidRPr="00070ADE">
        <w:rPr>
          <w:rFonts w:ascii="Times New Roman" w:hAnsi="Times New Roman"/>
          <w:color w:val="000000" w:themeColor="text1"/>
          <w:sz w:val="16"/>
          <w:szCs w:val="16"/>
        </w:rPr>
        <w:softHyphen/>
        <w:t>тора, порученной ему приказом НКАП.</w:t>
      </w:r>
    </w:p>
    <w:p w14:paraId="6EE785EF"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гибели первого экземпля</w:t>
      </w:r>
      <w:r w:rsidRPr="00070ADE">
        <w:rPr>
          <w:rFonts w:ascii="Times New Roman" w:hAnsi="Times New Roman"/>
          <w:color w:val="000000" w:themeColor="text1"/>
          <w:sz w:val="16"/>
          <w:szCs w:val="16"/>
        </w:rPr>
        <w:softHyphen/>
        <w:t>ра (самолёт «2А») завод форсиро</w:t>
      </w:r>
      <w:r w:rsidRPr="00070ADE">
        <w:rPr>
          <w:rFonts w:ascii="Times New Roman" w:hAnsi="Times New Roman"/>
          <w:color w:val="000000" w:themeColor="text1"/>
          <w:sz w:val="16"/>
          <w:szCs w:val="16"/>
        </w:rPr>
        <w:softHyphen/>
        <w:t>вал выпуск второго экземпляра маши</w:t>
      </w:r>
      <w:r w:rsidRPr="00070ADE">
        <w:rPr>
          <w:rFonts w:ascii="Times New Roman" w:hAnsi="Times New Roman"/>
          <w:color w:val="000000" w:themeColor="text1"/>
          <w:sz w:val="16"/>
          <w:szCs w:val="16"/>
        </w:rPr>
        <w:softHyphen/>
        <w:t>ны с герметической кабиной и воздушным радиатором.</w:t>
      </w:r>
    </w:p>
    <w:p w14:paraId="430A1058"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Указанный экземпляр машины го</w:t>
      </w:r>
      <w:r w:rsidRPr="00070ADE">
        <w:rPr>
          <w:rFonts w:ascii="Times New Roman" w:hAnsi="Times New Roman"/>
          <w:color w:val="000000" w:themeColor="text1"/>
          <w:sz w:val="16"/>
          <w:szCs w:val="16"/>
        </w:rPr>
        <w:softHyphen/>
        <w:t>тов для выкатки на аэродром и задер</w:t>
      </w:r>
      <w:r w:rsidRPr="00070ADE">
        <w:rPr>
          <w:rFonts w:ascii="Times New Roman" w:hAnsi="Times New Roman"/>
          <w:color w:val="000000" w:themeColor="text1"/>
          <w:sz w:val="16"/>
          <w:szCs w:val="16"/>
        </w:rPr>
        <w:softHyphen/>
        <w:t>живается из-за отсутствия кондици</w:t>
      </w:r>
      <w:r w:rsidRPr="00070ADE">
        <w:rPr>
          <w:rFonts w:ascii="Times New Roman" w:hAnsi="Times New Roman"/>
          <w:color w:val="000000" w:themeColor="text1"/>
          <w:sz w:val="16"/>
          <w:szCs w:val="16"/>
        </w:rPr>
        <w:softHyphen/>
        <w:t>онного мотора АМ-39А. (Так в докумен</w:t>
      </w:r>
      <w:r w:rsidRPr="00070ADE">
        <w:rPr>
          <w:rFonts w:ascii="Times New Roman" w:hAnsi="Times New Roman"/>
          <w:color w:val="000000" w:themeColor="text1"/>
          <w:sz w:val="16"/>
          <w:szCs w:val="16"/>
        </w:rPr>
        <w:softHyphen/>
        <w:t>те, хотя на самолет «3А» нужен был АМ-39Б).</w:t>
      </w:r>
    </w:p>
    <w:p w14:paraId="7421D6CF"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обещания по срокам поставки этого мотора заводом №300 сорваны и в настоящий момент нет уверенности в подаче мотора по последнему обещанию завода №300 к 10 апреля 1944 г.</w:t>
      </w:r>
    </w:p>
    <w:p w14:paraId="513AB10B"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 по отработке коммуника</w:t>
      </w:r>
      <w:r w:rsidRPr="00070ADE">
        <w:rPr>
          <w:rFonts w:ascii="Times New Roman" w:hAnsi="Times New Roman"/>
          <w:color w:val="000000" w:themeColor="text1"/>
          <w:sz w:val="16"/>
          <w:szCs w:val="16"/>
        </w:rPr>
        <w:softHyphen/>
        <w:t>ций винтомоторной группы на стенде ЦИАМ’ом не закончена и прекращена из-за отсутствия мотора.</w:t>
      </w:r>
    </w:p>
    <w:p w14:paraId="53A6D7EC"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Вас довести до сведения нарко</w:t>
      </w:r>
      <w:r w:rsidRPr="00070ADE">
        <w:rPr>
          <w:rFonts w:ascii="Times New Roman" w:hAnsi="Times New Roman"/>
          <w:color w:val="000000" w:themeColor="text1"/>
          <w:sz w:val="16"/>
          <w:szCs w:val="16"/>
        </w:rPr>
        <w:softHyphen/>
        <w:t>ма об изложенном для принятия необходи</w:t>
      </w:r>
      <w:r w:rsidRPr="00070ADE">
        <w:rPr>
          <w:rFonts w:ascii="Times New Roman" w:hAnsi="Times New Roman"/>
          <w:color w:val="000000" w:themeColor="text1"/>
          <w:sz w:val="16"/>
          <w:szCs w:val="16"/>
        </w:rPr>
        <w:softHyphen/>
        <w:t>мых мер по заводу №300 и ЦИАМ’у».</w:t>
      </w:r>
    </w:p>
    <w:p w14:paraId="42B66C46"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Яковлев не только как руководитель подразделения Наркомата авиапромыш</w:t>
      </w:r>
      <w:r w:rsidRPr="00070ADE">
        <w:rPr>
          <w:rFonts w:ascii="Times New Roman" w:hAnsi="Times New Roman"/>
          <w:color w:val="000000" w:themeColor="text1"/>
          <w:sz w:val="16"/>
          <w:szCs w:val="16"/>
        </w:rPr>
        <w:softHyphen/>
        <w:t>ленности, но и как Главный конструктор ОКБ-115, тоже имеющий задание на раз</w:t>
      </w:r>
      <w:r w:rsidRPr="00070ADE">
        <w:rPr>
          <w:rFonts w:ascii="Times New Roman" w:hAnsi="Times New Roman"/>
          <w:color w:val="000000" w:themeColor="text1"/>
          <w:sz w:val="16"/>
          <w:szCs w:val="16"/>
        </w:rPr>
        <w:softHyphen/>
        <w:t>работку высотного перехватчика, и сам был встревожен подобным вопросом, но связанным с высотным мотором дру</w:t>
      </w:r>
      <w:r w:rsidRPr="00070ADE">
        <w:rPr>
          <w:rFonts w:ascii="Times New Roman" w:hAnsi="Times New Roman"/>
          <w:color w:val="000000" w:themeColor="text1"/>
          <w:sz w:val="16"/>
          <w:szCs w:val="16"/>
        </w:rPr>
        <w:softHyphen/>
        <w:t>гого разработчика - В.Я. Климова. Пото</w:t>
      </w:r>
      <w:r w:rsidRPr="00070ADE">
        <w:rPr>
          <w:rFonts w:ascii="Times New Roman" w:hAnsi="Times New Roman"/>
          <w:color w:val="000000" w:themeColor="text1"/>
          <w:sz w:val="16"/>
          <w:szCs w:val="16"/>
        </w:rPr>
        <w:softHyphen/>
        <w:t>му уже 7-го апреля он обратился к На</w:t>
      </w:r>
      <w:r w:rsidRPr="00070ADE">
        <w:rPr>
          <w:rFonts w:ascii="Times New Roman" w:hAnsi="Times New Roman"/>
          <w:color w:val="000000" w:themeColor="text1"/>
          <w:sz w:val="16"/>
          <w:szCs w:val="16"/>
        </w:rPr>
        <w:softHyphen/>
        <w:t>ркому авиапромышленности А.И. Шахурину (23471),</w:t>
      </w:r>
    </w:p>
    <w:p w14:paraId="6B6496B7" w14:textId="77777777" w:rsidR="00597AB6" w:rsidRPr="00070ADE" w:rsidRDefault="00597AB6" w:rsidP="00B56F90">
      <w:pPr>
        <w:spacing w:after="0" w:line="240" w:lineRule="auto"/>
        <w:jc w:val="both"/>
        <w:rPr>
          <w:rFonts w:ascii="Times New Roman" w:hAnsi="Times New Roman"/>
          <w:color w:val="000000" w:themeColor="text1"/>
          <w:sz w:val="16"/>
          <w:szCs w:val="16"/>
        </w:rPr>
      </w:pPr>
    </w:p>
    <w:p w14:paraId="74DB12A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36865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FCFE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начале апреля 1944 г. 100-мм пушка С-34 с завода № 92 НКВ (вместо 20 февраля 1944 г., как это было предусмотрено планом) была подана на завод № 100. Совместным приказом НКТП, НКВ, коман</w:t>
      </w:r>
      <w:r w:rsidRPr="00070ADE">
        <w:rPr>
          <w:rFonts w:ascii="Times New Roman" w:hAnsi="Times New Roman"/>
          <w:color w:val="000000" w:themeColor="text1"/>
          <w:sz w:val="16"/>
          <w:szCs w:val="16"/>
        </w:rPr>
        <w:softHyphen/>
        <w:t>дующего БТ и МВ РККА и начальника ГАУ были установлены новые сроки проведения испытаний. Теперь заводу № 100 необходимо было подать танк на Гороховецкий АНИОП к 8 мая 1944 г. Но опытный тяже</w:t>
      </w:r>
      <w:r w:rsidRPr="00070ADE">
        <w:rPr>
          <w:rFonts w:ascii="Times New Roman" w:hAnsi="Times New Roman"/>
          <w:color w:val="000000" w:themeColor="text1"/>
          <w:sz w:val="16"/>
          <w:szCs w:val="16"/>
        </w:rPr>
        <w:softHyphen/>
        <w:t>лый танк ИС-5 ("Объект 248") из-за отсутствия готовой башни был из</w:t>
      </w:r>
      <w:r w:rsidRPr="00070ADE">
        <w:rPr>
          <w:rFonts w:ascii="Times New Roman" w:hAnsi="Times New Roman"/>
          <w:color w:val="000000" w:themeColor="text1"/>
          <w:sz w:val="16"/>
          <w:szCs w:val="16"/>
        </w:rPr>
        <w:softHyphen/>
        <w:t>готовлен заводом только в июне 1944 г. и к концу месяца прошел лишь заводские испытания пробегом и отстрелом на Миасском полигоне. Танк "Объект 248" был создан на базе опытного тяжелого танка "Объект 237" № 1. В связи с установкой новой пушки и башни была изменена компоновка боевого отделения. Командир и наводчик располагались справа, а заряжающий - слева от пушки. Люк и командирская башенка имели, по отношению к серийной башне танка ИС-1, зеркальное распо</w:t>
      </w:r>
      <w:r w:rsidRPr="00070ADE">
        <w:rPr>
          <w:rFonts w:ascii="Times New Roman" w:hAnsi="Times New Roman"/>
          <w:color w:val="000000" w:themeColor="text1"/>
          <w:sz w:val="16"/>
          <w:szCs w:val="16"/>
        </w:rPr>
        <w:softHyphen/>
        <w:t>ложение. Кроме того, отсутствовала установка тыльного пулемета. После проведения заводских испытаний машина была рекомендова</w:t>
      </w:r>
      <w:r w:rsidRPr="00070ADE">
        <w:rPr>
          <w:rFonts w:ascii="Times New Roman" w:hAnsi="Times New Roman"/>
          <w:color w:val="000000" w:themeColor="text1"/>
          <w:sz w:val="16"/>
          <w:szCs w:val="16"/>
        </w:rPr>
        <w:softHyphen/>
        <w:t>на на полигонные испытания. Однако ни "Объект 245", ни "Объект 248", оснащенные 100-мм пуш</w:t>
      </w:r>
      <w:r w:rsidRPr="00070ADE">
        <w:rPr>
          <w:rFonts w:ascii="Times New Roman" w:hAnsi="Times New Roman"/>
          <w:color w:val="000000" w:themeColor="text1"/>
          <w:sz w:val="16"/>
          <w:szCs w:val="16"/>
        </w:rPr>
        <w:softHyphen/>
        <w:t>ками, не были приняты на вооружение вследствие того, что на дальнос</w:t>
      </w:r>
      <w:r w:rsidRPr="00070ADE">
        <w:rPr>
          <w:rFonts w:ascii="Times New Roman" w:hAnsi="Times New Roman"/>
          <w:color w:val="000000" w:themeColor="text1"/>
          <w:sz w:val="16"/>
          <w:szCs w:val="16"/>
        </w:rPr>
        <w:softHyphen/>
        <w:t>тях свыше 1000 м из-за меньшей массы бронебойных снарядов их бро-непробиваемость оказалась меньше, чем у 122-мм бронебойных снаря</w:t>
      </w:r>
      <w:r w:rsidRPr="00070ADE">
        <w:rPr>
          <w:rFonts w:ascii="Times New Roman" w:hAnsi="Times New Roman"/>
          <w:color w:val="000000" w:themeColor="text1"/>
          <w:sz w:val="16"/>
          <w:szCs w:val="16"/>
        </w:rPr>
        <w:softHyphen/>
        <w:t>дов пушки Д-25. С середины апреля 1944 г. на основании "Тактико-технических тре</w:t>
      </w:r>
      <w:r w:rsidRPr="00070ADE">
        <w:rPr>
          <w:rFonts w:ascii="Times New Roman" w:hAnsi="Times New Roman"/>
          <w:color w:val="000000" w:themeColor="text1"/>
          <w:sz w:val="16"/>
          <w:szCs w:val="16"/>
        </w:rPr>
        <w:softHyphen/>
        <w:t>бований на проектирование тяжелого танка", разработанных ТУ ГБТУ, в КБ завода № 100 велась работа по проектированию опытных тяжелых танков с электромеханической и механической трансмиссиями (10703).</w:t>
      </w:r>
    </w:p>
    <w:p w14:paraId="52B4C3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B1D664" w14:textId="77777777" w:rsidR="00075AF0" w:rsidRPr="00070ADE" w:rsidRDefault="00075AF0"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начале апреля 1944 года появился третий завод, который освоил выпуск башен для ИС-2. Им стал Мариупольский завод им. Ильича, который удалось восстановить после освобождения Мариуполя в сентябре 1943 года. Уже в январе Мариуполь дал первую броню, которая шла в том числе и на завод №178. К концу апреля на завод №200 прибыла первая партия из 83 мариупольских башен. Правда, сразу можно было использовать только 35 из них, поскольку остальные имели превышение по весу, причём весьма существенное (350–400 килограмм).</w:t>
      </w:r>
    </w:p>
    <w:p w14:paraId="707AAA1E" w14:textId="77777777" w:rsidR="00075AF0" w:rsidRPr="00070ADE" w:rsidRDefault="00075AF0"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Впрочем, и у завода №200 имелись проблемы с литьём. Частым явлением были трещины, которые приходилось заваривать. Мариупольские башни, по мнению комиссии, действовавшей на заводе №200 в мае 1944 года, оказались более качественными. Несмотря на то, что по составу стали они отличались от заданных параметров, за счёт лучшего качества наружной поверхности и хорошей плотности отливок продукция завода им. Ильича оказалась более стойкой. И это при том, что стойкость башен и корпусов завода №200 из стали 70Л оказалась на 13–14% выше тех же деталей из брони средней твёрдости.</w:t>
      </w:r>
    </w:p>
    <w:p w14:paraId="2CDD4167" w14:textId="77777777" w:rsidR="00075AF0" w:rsidRPr="00070ADE" w:rsidRDefault="00075AF0"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Внешне мариупольские башни выглядели похожими на продукцию УЗТМ — правда, у них имелся литьевой номер на корме (17721).</w:t>
      </w:r>
    </w:p>
    <w:p w14:paraId="3F22D3AD" w14:textId="77777777" w:rsidR="00075AF0" w:rsidRPr="00070ADE" w:rsidRDefault="00075AF0" w:rsidP="00B56F90">
      <w:pPr>
        <w:spacing w:after="0" w:line="240" w:lineRule="auto"/>
        <w:jc w:val="both"/>
        <w:rPr>
          <w:rFonts w:ascii="Times New Roman" w:eastAsia="Times New Roman" w:hAnsi="Times New Roman"/>
          <w:color w:val="000000" w:themeColor="text1"/>
          <w:sz w:val="16"/>
          <w:szCs w:val="16"/>
          <w:lang w:eastAsia="ru-RU"/>
        </w:rPr>
      </w:pPr>
    </w:p>
    <w:p w14:paraId="74004764"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апреля 1944 года появился третий завод, который освоил выпуск башен для ИС-2. Им стал Мариупольский завод им. Ильича, который удалось восстановить после освобождения Мариуполя в сентябре 1943 года. Уже в январе 1944 года Мариуполь дал первую броню, она шла, в том числе, на завод №178. К концу апреля на завод №200 прибыла первая партия из 83 мариупольских башен. Правда, из них сразу можно было использовать только 35 штук, поскольку остальные имели превышение по весу, причем весьма существенным (350-400 килограмм). Впрочем, и у самого завода №200 имелись проблемы с литьем. Частым явлением были трещины, которые заваривались. Мариупольские башни, по мнению комиссии, которая действовала на заводе №200 в мае 1944 года, оказались более качественными. Внешне мариупольские башни выглядели похожими на продукцию УЗТМ, но при этом имелся литьевой номер на корме (25541).</w:t>
      </w:r>
    </w:p>
    <w:p w14:paraId="49BFAA29" w14:textId="77777777" w:rsidR="00D0391D" w:rsidRPr="00C94B78" w:rsidRDefault="00D0391D" w:rsidP="00B56F90">
      <w:pPr>
        <w:spacing w:after="0" w:line="240" w:lineRule="auto"/>
        <w:jc w:val="both"/>
        <w:rPr>
          <w:rFonts w:ascii="Times New Roman" w:hAnsi="Times New Roman"/>
          <w:color w:val="0070C0"/>
          <w:sz w:val="16"/>
          <w:szCs w:val="16"/>
        </w:rPr>
      </w:pPr>
    </w:p>
    <w:p w14:paraId="361F63B9" w14:textId="77777777" w:rsidR="00075AF0" w:rsidRPr="00070ADE" w:rsidRDefault="00075AF0"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В начале апреля 1944 года КБ завода 100 был представлен эскизный проект, который условно называют ИС-2М,. Он довольно быстро был забыт, а вот 46-тонная версия ИС-2 дошла до стадии изготовления деревянных моделей. На этом разработка модернизации и закончилась.</w:t>
      </w:r>
    </w:p>
    <w:p w14:paraId="6D417BCF" w14:textId="77777777" w:rsidR="00075AF0" w:rsidRPr="00070ADE" w:rsidRDefault="00075AF0"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Во всё том же апреле 1944 года на заводе №100 началась разработка инициативного проекта тяжёлого танка, более известного как ИС-6. Велась она тайно, причём даже часть руководства завода была отстранена от информации о ней. Военпред завода №100 Вовк даже обратился в связи с этим в ГБТУ КА с жалобой. Работы над ИС-6, в ходе которых были реализованы некоторые решения проекта модернизации ИС-2, поставили крест как на 46-тонной версии ИС-2, так и на проекте Шашмурина.</w:t>
      </w:r>
    </w:p>
    <w:p w14:paraId="0437989B" w14:textId="77777777" w:rsidR="00075AF0" w:rsidRPr="00070ADE" w:rsidRDefault="00075AF0"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Впрочем, ситуация оставалась нелепой. На ЧКЗ и соседних предприятиях проектировались уже два совершенно новых танка, а модернизация ИС-2 прорабатывалась уже в двух вариантах: большом и малом.</w:t>
      </w:r>
    </w:p>
    <w:p w14:paraId="63E63511" w14:textId="77777777" w:rsidR="00075AF0" w:rsidRPr="00070ADE" w:rsidRDefault="00075AF0"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Соит упомянуть и ситуацию с двигателями. Ещё в 1943 году было получено указание об увеличении мощности двигателя В-2-ИС. В связи с началом работ по Объекту 701 стал разрабатываться и более мощный мотор. На этом направлении дело продвинулось куда дальше требований и эскизных проектов. Появилось сразу три двигателя на базе В-2: В-11 разработки завода №75, В-14 разработки завода №76 и В-16 разработки завода №77. Из них до стадии серийного производства дошёл только В-11, да и то в 1945 году. При этом вместо необходимых 700 лошадиных сил он развивал те же 520, что и В-2-ИС.</w:t>
      </w:r>
    </w:p>
    <w:p w14:paraId="118EC750" w14:textId="77777777" w:rsidR="00075AF0" w:rsidRPr="00070ADE" w:rsidRDefault="00075AF0"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Казахским сельскохозяйственным институтом (г. Алма-Ата) разрабатывался ещё один, очень специфический, двигатель для ИС. Паросиловая установка первоначально проектировалась для КВ, но работы затянулись, и позднее она проектировалась уже под ИС. Эта разработка неоднократно обсуждалась, её проект был представлен в двух вариантах, отличавшихся габаритами. Но до изготовления в металле дело так и не дошло, хотя средства на это выделялись неоднократно (17756).</w:t>
      </w:r>
    </w:p>
    <w:p w14:paraId="2D80FE63" w14:textId="77777777" w:rsidR="00075AF0" w:rsidRPr="00070ADE" w:rsidRDefault="00075AF0" w:rsidP="00B56F90">
      <w:pPr>
        <w:spacing w:after="0" w:line="240" w:lineRule="auto"/>
        <w:jc w:val="both"/>
        <w:rPr>
          <w:rFonts w:ascii="Times New Roman" w:eastAsia="Times New Roman" w:hAnsi="Times New Roman"/>
          <w:color w:val="000000" w:themeColor="text1"/>
          <w:sz w:val="16"/>
          <w:szCs w:val="16"/>
          <w:lang w:eastAsia="ru-RU"/>
        </w:rPr>
      </w:pPr>
    </w:p>
    <w:p w14:paraId="032878BD"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апреля 1944 в НАТИ соб</w:t>
      </w:r>
      <w:r w:rsidRPr="00070ADE">
        <w:rPr>
          <w:rFonts w:ascii="Times New Roman" w:hAnsi="Times New Roman"/>
          <w:color w:val="000000" w:themeColor="text1"/>
          <w:sz w:val="16"/>
          <w:szCs w:val="16"/>
        </w:rPr>
        <w:softHyphen/>
        <w:t>ран двигатель для нового пропашного колесного трак</w:t>
      </w:r>
      <w:r w:rsidRPr="00070ADE">
        <w:rPr>
          <w:rFonts w:ascii="Times New Roman" w:hAnsi="Times New Roman"/>
          <w:color w:val="000000" w:themeColor="text1"/>
          <w:sz w:val="16"/>
          <w:szCs w:val="16"/>
        </w:rPr>
        <w:softHyphen/>
        <w:t>тора «Универсал-2» (22518)</w:t>
      </w:r>
    </w:p>
    <w:p w14:paraId="42AC948C" w14:textId="77777777" w:rsidR="0094033C" w:rsidRPr="00070ADE" w:rsidRDefault="0094033C" w:rsidP="00B56F90">
      <w:pPr>
        <w:spacing w:after="0" w:line="240" w:lineRule="auto"/>
        <w:jc w:val="both"/>
        <w:rPr>
          <w:rFonts w:ascii="Times New Roman" w:hAnsi="Times New Roman"/>
          <w:color w:val="000000" w:themeColor="text1"/>
          <w:sz w:val="16"/>
          <w:szCs w:val="16"/>
        </w:rPr>
      </w:pPr>
    </w:p>
    <w:p w14:paraId="48ABE9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первых числах апреля 1944 г. в только что освобожден</w:t>
      </w:r>
      <w:r w:rsidRPr="00070ADE">
        <w:rPr>
          <w:rFonts w:ascii="Times New Roman" w:hAnsi="Times New Roman"/>
          <w:color w:val="000000" w:themeColor="text1"/>
          <w:sz w:val="16"/>
          <w:szCs w:val="16"/>
        </w:rPr>
        <w:softHyphen/>
        <w:t>ный Николаев прибыла специальная комиссия, созданная для подготовки правительственного решения о восстановлении про</w:t>
      </w:r>
      <w:r w:rsidRPr="00070ADE">
        <w:rPr>
          <w:rFonts w:ascii="Times New Roman" w:hAnsi="Times New Roman"/>
          <w:color w:val="000000" w:themeColor="text1"/>
          <w:sz w:val="16"/>
          <w:szCs w:val="16"/>
        </w:rPr>
        <w:softHyphen/>
        <w:t>мышленных предприятий этого города. Разрушения николаевских судостроительных заводов, причиненные при отступлении немец-ко-фашистских войск, оказались огромными. На заводе 198 сохранились только здание заводской лаболатории и бытовой корпус, а на заводе 200 — двухэтажное здание столовой и два котла из четырех в здании заводской котельной. Достаточно хорошо сохранились подземные инженерные коммуникации и гидротехнические сооружения наклонных стапелей обоих заводов (3898).</w:t>
      </w:r>
    </w:p>
    <w:p w14:paraId="0638A6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AFC1A" w14:textId="35DFB18C" w:rsidR="00D0391D" w:rsidRPr="00070ADE" w:rsidRDefault="00D0391D"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r w:rsidRPr="00070ADE">
        <w:rPr>
          <w:rFonts w:ascii="Times New Roman" w:hAnsi="Times New Roman"/>
          <w:i/>
          <w:iCs/>
          <w:color w:val="000000" w:themeColor="text1"/>
          <w:sz w:val="16"/>
          <w:szCs w:val="16"/>
        </w:rPr>
        <w:t>:</w:t>
      </w:r>
    </w:p>
    <w:p w14:paraId="1EB669EF" w14:textId="77777777" w:rsidR="00D0391D" w:rsidRPr="00070ADE" w:rsidRDefault="00D0391D"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45CEA9F"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апреля 1944 г. 20 чехословацких пилотов прибыли в Москву, их направили в распоряжение командования расквартированной в Иваново 6</w:t>
      </w:r>
      <w:r w:rsidRPr="00C94B78">
        <w:rPr>
          <w:rFonts w:ascii="Times New Roman" w:hAnsi="Times New Roman"/>
          <w:color w:val="0070C0"/>
          <w:sz w:val="16"/>
          <w:szCs w:val="16"/>
        </w:rPr>
        <w:noBreakHyphen/>
        <w:t>й резервной авиационной бригады для переучивания на Ла</w:t>
      </w:r>
      <w:r w:rsidRPr="00C94B78">
        <w:rPr>
          <w:rFonts w:ascii="Times New Roman" w:hAnsi="Times New Roman"/>
          <w:color w:val="0070C0"/>
          <w:sz w:val="16"/>
          <w:szCs w:val="16"/>
        </w:rPr>
        <w:noBreakHyphen/>
        <w:t>5. Самолеты будущего чехословацкого полка, 24 новеньких Ла</w:t>
      </w:r>
      <w:r w:rsidRPr="00C94B78">
        <w:rPr>
          <w:rFonts w:ascii="Times New Roman" w:hAnsi="Times New Roman"/>
          <w:color w:val="0070C0"/>
          <w:sz w:val="16"/>
          <w:szCs w:val="16"/>
        </w:rPr>
        <w:noBreakHyphen/>
        <w:t>5ФН, перегнали с аэродрома ярославского ГАЗ № 31 в Иваново 13 апреля 1944 г., однако погода не благоприятствовала полетам и машины поставили в ангары.</w:t>
      </w:r>
    </w:p>
    <w:p w14:paraId="0BA1C555"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Чехи начали проходить курс переучивания 3 мая 1944 г., каждый пилот выполнил по пять 30</w:t>
      </w:r>
      <w:r w:rsidRPr="00C94B78">
        <w:rPr>
          <w:rFonts w:ascii="Times New Roman" w:hAnsi="Times New Roman"/>
          <w:color w:val="0070C0"/>
          <w:sz w:val="16"/>
          <w:szCs w:val="16"/>
        </w:rPr>
        <w:noBreakHyphen/>
        <w:t>минутных полетов на Ла</w:t>
      </w:r>
      <w:r w:rsidRPr="00C94B78">
        <w:rPr>
          <w:rFonts w:ascii="Times New Roman" w:hAnsi="Times New Roman"/>
          <w:color w:val="0070C0"/>
          <w:sz w:val="16"/>
          <w:szCs w:val="16"/>
        </w:rPr>
        <w:noBreakHyphen/>
        <w:t>5УТИ, после чего получил допуск к самостоятельному вылету на Ла</w:t>
      </w:r>
      <w:r w:rsidRPr="00C94B78">
        <w:rPr>
          <w:rFonts w:ascii="Times New Roman" w:hAnsi="Times New Roman"/>
          <w:color w:val="0070C0"/>
          <w:sz w:val="16"/>
          <w:szCs w:val="16"/>
        </w:rPr>
        <w:noBreakHyphen/>
        <w:t>5ФН. В ходе переподготовки к двадцати летчиками присоединилось два словацких пилота – мастер сержант Антон Матушек и первый сержант Людовит Доброводский, 9 сентября 1943 г. они перелетели на своих Bf 109G</w:t>
      </w:r>
      <w:r w:rsidRPr="00C94B78">
        <w:rPr>
          <w:rFonts w:ascii="Times New Roman" w:hAnsi="Times New Roman"/>
          <w:color w:val="0070C0"/>
          <w:sz w:val="16"/>
          <w:szCs w:val="16"/>
        </w:rPr>
        <w:noBreakHyphen/>
        <w:t>4 на территорию, контролировавшуюся Красной Армией.</w:t>
      </w:r>
    </w:p>
    <w:p w14:paraId="581C131D"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Чехословаков 18 мая перебросили в подмосковную Кубинку, где они завершили переподготовку. После налета каждым пилотом 12 часов на Ла</w:t>
      </w:r>
      <w:r w:rsidRPr="00C94B78">
        <w:rPr>
          <w:rFonts w:ascii="Times New Roman" w:hAnsi="Times New Roman"/>
          <w:color w:val="0070C0"/>
          <w:sz w:val="16"/>
          <w:szCs w:val="16"/>
        </w:rPr>
        <w:noBreakHyphen/>
        <w:t>5ФН 1</w:t>
      </w:r>
      <w:r w:rsidRPr="00C94B78">
        <w:rPr>
          <w:rFonts w:ascii="Times New Roman" w:hAnsi="Times New Roman"/>
          <w:color w:val="0070C0"/>
          <w:sz w:val="16"/>
          <w:szCs w:val="16"/>
        </w:rPr>
        <w:noBreakHyphen/>
        <w:t>й чехословацкий истребительный авиаполк был готов к боевым действиям (25068).</w:t>
      </w:r>
    </w:p>
    <w:p w14:paraId="48161314" w14:textId="77777777" w:rsidR="00D0391D" w:rsidRPr="00C94B78" w:rsidRDefault="00D0391D" w:rsidP="00B56F90">
      <w:pPr>
        <w:spacing w:after="0" w:line="240" w:lineRule="auto"/>
        <w:jc w:val="both"/>
        <w:rPr>
          <w:rFonts w:ascii="Times New Roman" w:hAnsi="Times New Roman"/>
          <w:color w:val="0070C0"/>
          <w:sz w:val="16"/>
          <w:szCs w:val="16"/>
        </w:rPr>
      </w:pPr>
    </w:p>
    <w:p w14:paraId="12429C9B" w14:textId="25CB8017" w:rsidR="00597AB6" w:rsidRPr="00070ADE" w:rsidRDefault="00597AB6"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70ADE">
        <w:rPr>
          <w:rFonts w:ascii="Times New Roman" w:hAnsi="Times New Roman"/>
          <w:i/>
          <w:iCs/>
          <w:color w:val="000000" w:themeColor="text1"/>
          <w:sz w:val="16"/>
          <w:szCs w:val="16"/>
        </w:rPr>
        <w:t>За рубежом:</w:t>
      </w:r>
    </w:p>
    <w:p w14:paraId="35E3EE6A" w14:textId="77777777" w:rsidR="00597AB6" w:rsidRPr="00070ADE" w:rsidRDefault="00597AB6"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43E2503"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начале апреля 1944 года удача сопутствовала Кацьяну. Ранним утром, наблюдатели оперативно сообщили о падении целого образца в болота у Седлицы, который не взорвался. Оперативные мероприятия увенчались успехом, совершенно целую ракету </w:t>
      </w:r>
      <w:r w:rsidRPr="00070ADE">
        <w:rPr>
          <w:rFonts w:ascii="Times New Roman" w:hAnsi="Times New Roman"/>
          <w:color w:val="000000" w:themeColor="text1"/>
          <w:sz w:val="16"/>
          <w:szCs w:val="16"/>
          <w:lang w:val="en-US"/>
        </w:rPr>
        <w:t>V</w:t>
      </w:r>
      <w:r w:rsidRPr="00070ADE">
        <w:rPr>
          <w:rFonts w:ascii="Times New Roman" w:hAnsi="Times New Roman"/>
          <w:color w:val="000000" w:themeColor="text1"/>
          <w:sz w:val="16"/>
          <w:szCs w:val="16"/>
        </w:rPr>
        <w:t>-1 удалось быстро разобрать и растащить по окрестным деревням еще до прихода поисковых отрядов немецкой полевой жандармерии. Через несколько дней, поиски прекратили, посчитав ракету утонувшей в болоте, однако...</w:t>
      </w:r>
    </w:p>
    <w:p w14:paraId="5F1EA906"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Вывезенная в Варшаву радиоэлектронная начинка ракеты, попала на кухонный стол профессора академии наук Польши, Януша Грошковского. Именно он, первым обнаружил главный секрет управления ракетой, а именно то, что телеметрический автомат наведения V-4 постоянно корректируется по наземному сигналу и передает на землю информацию о режимах своего полета (15500).</w:t>
      </w:r>
    </w:p>
    <w:p w14:paraId="36472937" w14:textId="77777777" w:rsidR="00597AB6" w:rsidRPr="00070ADE" w:rsidRDefault="00597AB6" w:rsidP="00B56F90">
      <w:pPr>
        <w:spacing w:after="0" w:line="240" w:lineRule="auto"/>
        <w:jc w:val="both"/>
        <w:rPr>
          <w:rFonts w:ascii="Times New Roman" w:hAnsi="Times New Roman"/>
          <w:color w:val="000000" w:themeColor="text1"/>
          <w:sz w:val="16"/>
          <w:szCs w:val="16"/>
        </w:rPr>
      </w:pPr>
    </w:p>
    <w:p w14:paraId="4647DD00" w14:textId="207EA746"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DF628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781A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отчета НИИ АВ ВВС N 95 от 7 апреля 1944 года пушки НС-45 на самолете Ил-2 гос. испытания выдержали. В выводах отмечено, что установки под пушки сделанные ОКБ-240 обеспечили нормальную работу пушек. Заключение в целом по самолету Ил-2 с пушками НС-45 НИИ АВ не сделано, так как предъявленные образцы пушек имели реакцию на цапфы большую чем было предусмотрено ТУ на проектирование узлов крепления пушки в крыле самолета (1825,231).</w:t>
      </w:r>
    </w:p>
    <w:p w14:paraId="55923E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7810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апреля 1944 Кузнецов писал А.И.Ш. письмо N 2360:</w:t>
      </w:r>
    </w:p>
    <w:p w14:paraId="272C62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 по вопросу повышения скоростей самолетов Ил-2, выпускаемых заводами 18, 30 и 1:</w:t>
      </w:r>
    </w:p>
    <w:p w14:paraId="6CC7DB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18</w:t>
      </w:r>
    </w:p>
    <w:p w14:paraId="4A29FA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первой половине 1943 завод имел: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4D4663" w:rsidRPr="00070ADE" w14:paraId="7A5D48B3" w14:textId="77777777">
        <w:tc>
          <w:tcPr>
            <w:tcW w:w="2818" w:type="dxa"/>
          </w:tcPr>
          <w:p w14:paraId="478A35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C3BC5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Дата испытаний</w:t>
            </w:r>
          </w:p>
        </w:tc>
        <w:tc>
          <w:tcPr>
            <w:tcW w:w="2818" w:type="dxa"/>
          </w:tcPr>
          <w:p w14:paraId="3C17DA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у земли</w:t>
            </w:r>
          </w:p>
        </w:tc>
        <w:tc>
          <w:tcPr>
            <w:tcW w:w="2818" w:type="dxa"/>
          </w:tcPr>
          <w:p w14:paraId="7A39116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границе высотности</w:t>
            </w:r>
          </w:p>
        </w:tc>
      </w:tr>
      <w:tr w:rsidR="004D4663" w:rsidRPr="00070ADE" w14:paraId="02A52891" w14:textId="77777777">
        <w:tc>
          <w:tcPr>
            <w:tcW w:w="2818" w:type="dxa"/>
          </w:tcPr>
          <w:p w14:paraId="67BAE2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1872046</w:t>
            </w:r>
          </w:p>
        </w:tc>
        <w:tc>
          <w:tcPr>
            <w:tcW w:w="2818" w:type="dxa"/>
          </w:tcPr>
          <w:p w14:paraId="078A83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1943</w:t>
            </w:r>
          </w:p>
        </w:tc>
        <w:tc>
          <w:tcPr>
            <w:tcW w:w="2818" w:type="dxa"/>
          </w:tcPr>
          <w:p w14:paraId="67D4E9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387</w:t>
            </w:r>
          </w:p>
        </w:tc>
        <w:tc>
          <w:tcPr>
            <w:tcW w:w="2818" w:type="dxa"/>
          </w:tcPr>
          <w:p w14:paraId="6E09A2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409</w:t>
            </w:r>
          </w:p>
        </w:tc>
      </w:tr>
      <w:tr w:rsidR="004D4663" w:rsidRPr="00070ADE" w14:paraId="0A1FBCE2" w14:textId="77777777">
        <w:tc>
          <w:tcPr>
            <w:tcW w:w="2818" w:type="dxa"/>
          </w:tcPr>
          <w:p w14:paraId="1511F1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1871955</w:t>
            </w:r>
          </w:p>
        </w:tc>
        <w:tc>
          <w:tcPr>
            <w:tcW w:w="2818" w:type="dxa"/>
          </w:tcPr>
          <w:p w14:paraId="6C5990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1943</w:t>
            </w:r>
          </w:p>
        </w:tc>
        <w:tc>
          <w:tcPr>
            <w:tcW w:w="2818" w:type="dxa"/>
          </w:tcPr>
          <w:p w14:paraId="430E92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387</w:t>
            </w:r>
          </w:p>
        </w:tc>
        <w:tc>
          <w:tcPr>
            <w:tcW w:w="2818" w:type="dxa"/>
          </w:tcPr>
          <w:p w14:paraId="2127AC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404</w:t>
            </w:r>
          </w:p>
        </w:tc>
      </w:tr>
      <w:tr w:rsidR="004D4663" w:rsidRPr="00070ADE" w14:paraId="7F61BCC8" w14:textId="77777777">
        <w:tc>
          <w:tcPr>
            <w:tcW w:w="2818" w:type="dxa"/>
          </w:tcPr>
          <w:p w14:paraId="7E9DE3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1876562</w:t>
            </w:r>
          </w:p>
        </w:tc>
        <w:tc>
          <w:tcPr>
            <w:tcW w:w="2818" w:type="dxa"/>
          </w:tcPr>
          <w:p w14:paraId="0A35FD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1943</w:t>
            </w:r>
          </w:p>
        </w:tc>
        <w:tc>
          <w:tcPr>
            <w:tcW w:w="2818" w:type="dxa"/>
          </w:tcPr>
          <w:p w14:paraId="5457B5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387</w:t>
            </w:r>
          </w:p>
        </w:tc>
        <w:tc>
          <w:tcPr>
            <w:tcW w:w="2818" w:type="dxa"/>
          </w:tcPr>
          <w:p w14:paraId="43CBE0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395</w:t>
            </w:r>
          </w:p>
        </w:tc>
      </w:tr>
    </w:tbl>
    <w:p w14:paraId="639435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во 2 половине 1943 ввел в серию целый ряд аэродинамических улучшений и улучшил производственное выполнение выпускаемых самолетов.</w:t>
      </w:r>
    </w:p>
    <w:p w14:paraId="47CF78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Контрольные испытания, проведенные заводом в 1 кв. с.г. показали, что в результате всех проведенных мероприятий завод добился повышения скорости серийных самолетов Ил-2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4D4663" w:rsidRPr="00070ADE" w14:paraId="5C0B8BA6" w14:textId="77777777">
        <w:tc>
          <w:tcPr>
            <w:tcW w:w="2818" w:type="dxa"/>
          </w:tcPr>
          <w:p w14:paraId="7D496A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NN</w:t>
            </w:r>
          </w:p>
        </w:tc>
        <w:tc>
          <w:tcPr>
            <w:tcW w:w="2818" w:type="dxa"/>
          </w:tcPr>
          <w:p w14:paraId="047D99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Дата испытаний</w:t>
            </w:r>
          </w:p>
        </w:tc>
        <w:tc>
          <w:tcPr>
            <w:tcW w:w="2818" w:type="dxa"/>
          </w:tcPr>
          <w:p w14:paraId="6186E5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у земли</w:t>
            </w:r>
          </w:p>
        </w:tc>
        <w:tc>
          <w:tcPr>
            <w:tcW w:w="2818" w:type="dxa"/>
          </w:tcPr>
          <w:p w14:paraId="0F0C0A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границе высотности</w:t>
            </w:r>
          </w:p>
        </w:tc>
      </w:tr>
      <w:tr w:rsidR="004D4663" w:rsidRPr="00070ADE" w14:paraId="5D968765" w14:textId="77777777">
        <w:tc>
          <w:tcPr>
            <w:tcW w:w="2818" w:type="dxa"/>
          </w:tcPr>
          <w:p w14:paraId="41F934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1878286</w:t>
            </w:r>
          </w:p>
        </w:tc>
        <w:tc>
          <w:tcPr>
            <w:tcW w:w="2818" w:type="dxa"/>
          </w:tcPr>
          <w:p w14:paraId="1062BA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января 1944</w:t>
            </w:r>
          </w:p>
        </w:tc>
        <w:tc>
          <w:tcPr>
            <w:tcW w:w="2818" w:type="dxa"/>
          </w:tcPr>
          <w:p w14:paraId="368680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396</w:t>
            </w:r>
          </w:p>
        </w:tc>
        <w:tc>
          <w:tcPr>
            <w:tcW w:w="2818" w:type="dxa"/>
          </w:tcPr>
          <w:p w14:paraId="610024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415</w:t>
            </w:r>
          </w:p>
        </w:tc>
      </w:tr>
      <w:tr w:rsidR="004D4663" w:rsidRPr="00070ADE" w14:paraId="60B75A9C" w14:textId="77777777">
        <w:tc>
          <w:tcPr>
            <w:tcW w:w="2818" w:type="dxa"/>
          </w:tcPr>
          <w:p w14:paraId="72D516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1878790</w:t>
            </w:r>
          </w:p>
        </w:tc>
        <w:tc>
          <w:tcPr>
            <w:tcW w:w="2818" w:type="dxa"/>
          </w:tcPr>
          <w:p w14:paraId="73DEE3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февраля 1944</w:t>
            </w:r>
          </w:p>
        </w:tc>
        <w:tc>
          <w:tcPr>
            <w:tcW w:w="2818" w:type="dxa"/>
          </w:tcPr>
          <w:p w14:paraId="48C814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398</w:t>
            </w:r>
          </w:p>
        </w:tc>
        <w:tc>
          <w:tcPr>
            <w:tcW w:w="2818" w:type="dxa"/>
          </w:tcPr>
          <w:p w14:paraId="3EB92B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415</w:t>
            </w:r>
          </w:p>
        </w:tc>
      </w:tr>
      <w:tr w:rsidR="004D4663" w:rsidRPr="00070ADE" w14:paraId="53670C52" w14:textId="77777777">
        <w:tc>
          <w:tcPr>
            <w:tcW w:w="2818" w:type="dxa"/>
          </w:tcPr>
          <w:p w14:paraId="751C0E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1876382</w:t>
            </w:r>
          </w:p>
        </w:tc>
        <w:tc>
          <w:tcPr>
            <w:tcW w:w="2818" w:type="dxa"/>
          </w:tcPr>
          <w:p w14:paraId="506634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февраля 1944</w:t>
            </w:r>
          </w:p>
        </w:tc>
        <w:tc>
          <w:tcPr>
            <w:tcW w:w="2818" w:type="dxa"/>
          </w:tcPr>
          <w:p w14:paraId="7BFAC1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398.5</w:t>
            </w:r>
          </w:p>
        </w:tc>
        <w:tc>
          <w:tcPr>
            <w:tcW w:w="2818" w:type="dxa"/>
          </w:tcPr>
          <w:p w14:paraId="5DCE6E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412</w:t>
            </w:r>
          </w:p>
        </w:tc>
      </w:tr>
    </w:tbl>
    <w:p w14:paraId="335085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скорость серийного самолета Ил-2 завода 18 увеличилась на 11 км/час.</w:t>
      </w:r>
    </w:p>
    <w:p w14:paraId="33202A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выпускаемых заводом 18 самолетах с конца 1943 осуществлены все основные мероприятия по повышению скоростей, принятые заводом 30.</w:t>
      </w:r>
    </w:p>
    <w:p w14:paraId="741C4C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30</w:t>
      </w:r>
    </w:p>
    <w:p w14:paraId="7CB541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 самолетов с повышенными скоростями заводом 30 начат во 2 половине 1943.</w:t>
      </w:r>
    </w:p>
    <w:p w14:paraId="50A8BE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Периодически осуществленные контрольные проверки показывают, что завод сохраняет достигнутые повышения скоростей.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3694"/>
      </w:tblGrid>
      <w:tr w:rsidR="004D4663" w:rsidRPr="00070ADE" w14:paraId="524745E7" w14:textId="77777777">
        <w:tc>
          <w:tcPr>
            <w:tcW w:w="2254" w:type="dxa"/>
          </w:tcPr>
          <w:p w14:paraId="749BDE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NN</w:t>
            </w:r>
          </w:p>
        </w:tc>
        <w:tc>
          <w:tcPr>
            <w:tcW w:w="2254" w:type="dxa"/>
          </w:tcPr>
          <w:p w14:paraId="1AB7E4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Дата испытаний</w:t>
            </w:r>
          </w:p>
        </w:tc>
        <w:tc>
          <w:tcPr>
            <w:tcW w:w="2254" w:type="dxa"/>
          </w:tcPr>
          <w:p w14:paraId="1BD66B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у земли</w:t>
            </w:r>
          </w:p>
        </w:tc>
        <w:tc>
          <w:tcPr>
            <w:tcW w:w="3694" w:type="dxa"/>
          </w:tcPr>
          <w:p w14:paraId="0BF1B2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границе высотности</w:t>
            </w:r>
          </w:p>
        </w:tc>
      </w:tr>
      <w:tr w:rsidR="004D4663" w:rsidRPr="00070ADE" w14:paraId="7F30CEBA" w14:textId="77777777">
        <w:tc>
          <w:tcPr>
            <w:tcW w:w="2254" w:type="dxa"/>
          </w:tcPr>
          <w:p w14:paraId="135191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302804</w:t>
            </w:r>
          </w:p>
        </w:tc>
        <w:tc>
          <w:tcPr>
            <w:tcW w:w="2254" w:type="dxa"/>
          </w:tcPr>
          <w:p w14:paraId="3B541C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сентября 1943</w:t>
            </w:r>
          </w:p>
        </w:tc>
        <w:tc>
          <w:tcPr>
            <w:tcW w:w="2254" w:type="dxa"/>
          </w:tcPr>
          <w:p w14:paraId="24D633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392</w:t>
            </w:r>
          </w:p>
        </w:tc>
        <w:tc>
          <w:tcPr>
            <w:tcW w:w="3694" w:type="dxa"/>
          </w:tcPr>
          <w:p w14:paraId="48945F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416</w:t>
            </w:r>
          </w:p>
        </w:tc>
      </w:tr>
      <w:tr w:rsidR="004D4663" w:rsidRPr="00070ADE" w14:paraId="20274122" w14:textId="77777777">
        <w:tc>
          <w:tcPr>
            <w:tcW w:w="2254" w:type="dxa"/>
          </w:tcPr>
          <w:p w14:paraId="0E77A8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303125</w:t>
            </w:r>
          </w:p>
        </w:tc>
        <w:tc>
          <w:tcPr>
            <w:tcW w:w="2254" w:type="dxa"/>
          </w:tcPr>
          <w:p w14:paraId="1F7FD5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октября 1943</w:t>
            </w:r>
          </w:p>
        </w:tc>
        <w:tc>
          <w:tcPr>
            <w:tcW w:w="2254" w:type="dxa"/>
          </w:tcPr>
          <w:p w14:paraId="063FDE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402</w:t>
            </w:r>
          </w:p>
        </w:tc>
        <w:tc>
          <w:tcPr>
            <w:tcW w:w="3694" w:type="dxa"/>
          </w:tcPr>
          <w:p w14:paraId="5B567D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E52C694" w14:textId="77777777">
        <w:tc>
          <w:tcPr>
            <w:tcW w:w="2254" w:type="dxa"/>
          </w:tcPr>
          <w:p w14:paraId="1CFA71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304054</w:t>
            </w:r>
          </w:p>
        </w:tc>
        <w:tc>
          <w:tcPr>
            <w:tcW w:w="2254" w:type="dxa"/>
          </w:tcPr>
          <w:p w14:paraId="4EE1CF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 1944</w:t>
            </w:r>
          </w:p>
        </w:tc>
        <w:tc>
          <w:tcPr>
            <w:tcW w:w="2254" w:type="dxa"/>
          </w:tcPr>
          <w:p w14:paraId="47E95A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397.5</w:t>
            </w:r>
          </w:p>
        </w:tc>
        <w:tc>
          <w:tcPr>
            <w:tcW w:w="3694" w:type="dxa"/>
          </w:tcPr>
          <w:p w14:paraId="5E473F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419</w:t>
            </w:r>
          </w:p>
        </w:tc>
      </w:tr>
      <w:tr w:rsidR="004D4663" w:rsidRPr="00070ADE" w14:paraId="0B3515A4" w14:textId="77777777">
        <w:tc>
          <w:tcPr>
            <w:tcW w:w="2254" w:type="dxa"/>
          </w:tcPr>
          <w:p w14:paraId="789902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304201</w:t>
            </w:r>
          </w:p>
        </w:tc>
        <w:tc>
          <w:tcPr>
            <w:tcW w:w="2254" w:type="dxa"/>
          </w:tcPr>
          <w:p w14:paraId="20FE97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март 1944</w:t>
            </w:r>
          </w:p>
        </w:tc>
        <w:tc>
          <w:tcPr>
            <w:tcW w:w="2254" w:type="dxa"/>
          </w:tcPr>
          <w:p w14:paraId="61F44D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404</w:t>
            </w:r>
          </w:p>
        </w:tc>
        <w:tc>
          <w:tcPr>
            <w:tcW w:w="3694" w:type="dxa"/>
          </w:tcPr>
          <w:p w14:paraId="745565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417</w:t>
            </w:r>
          </w:p>
        </w:tc>
      </w:tr>
    </w:tbl>
    <w:p w14:paraId="0E8BD9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1</w:t>
      </w:r>
    </w:p>
    <w:p w14:paraId="26248B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данным отчета летных испытаний серийного самолета, проведенных во 2 половине марта, получены следующие значения макс. скоростей: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4D4663" w:rsidRPr="00070ADE" w14:paraId="359473A6" w14:textId="77777777">
        <w:tc>
          <w:tcPr>
            <w:tcW w:w="2818" w:type="dxa"/>
          </w:tcPr>
          <w:p w14:paraId="6315D7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NN</w:t>
            </w:r>
          </w:p>
        </w:tc>
        <w:tc>
          <w:tcPr>
            <w:tcW w:w="2818" w:type="dxa"/>
          </w:tcPr>
          <w:p w14:paraId="57E8EC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Дата испытаний</w:t>
            </w:r>
          </w:p>
        </w:tc>
        <w:tc>
          <w:tcPr>
            <w:tcW w:w="2818" w:type="dxa"/>
          </w:tcPr>
          <w:p w14:paraId="1DC72E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у земли</w:t>
            </w:r>
          </w:p>
        </w:tc>
        <w:tc>
          <w:tcPr>
            <w:tcW w:w="2818" w:type="dxa"/>
          </w:tcPr>
          <w:p w14:paraId="7D515E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границе высотности</w:t>
            </w:r>
          </w:p>
        </w:tc>
      </w:tr>
      <w:tr w:rsidR="005106D0" w:rsidRPr="00070ADE" w14:paraId="51E03F31" w14:textId="77777777">
        <w:tc>
          <w:tcPr>
            <w:tcW w:w="2818" w:type="dxa"/>
          </w:tcPr>
          <w:p w14:paraId="1B257D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10571</w:t>
            </w:r>
          </w:p>
        </w:tc>
        <w:tc>
          <w:tcPr>
            <w:tcW w:w="2818" w:type="dxa"/>
          </w:tcPr>
          <w:p w14:paraId="084E40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марта 1943</w:t>
            </w:r>
          </w:p>
        </w:tc>
        <w:tc>
          <w:tcPr>
            <w:tcW w:w="2818" w:type="dxa"/>
          </w:tcPr>
          <w:p w14:paraId="3D0669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398</w:t>
            </w:r>
          </w:p>
        </w:tc>
        <w:tc>
          <w:tcPr>
            <w:tcW w:w="2818" w:type="dxa"/>
          </w:tcPr>
          <w:p w14:paraId="39FD9F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413 (1823,28)</w:t>
            </w:r>
          </w:p>
        </w:tc>
      </w:tr>
    </w:tbl>
    <w:p w14:paraId="22E524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BFAD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 8 апреля 1944 Летчик-испытатель завода № 22 капитан А. Г. Васильченко совершил на Пе-2И еще два полета. Моторы работали удовлетворительно, температурные режимы винтомоторной группы оказались в норме. Васильченко определил важнейшие характеристики самолета - устойчивость по всем трем осям, управляемость и взлетно-посадочные качества. По этим показателям новая машина не уступала Пе-2, а по простоте пилотирования Пе-2И оказался в заметном выигрыше. В частности, путевая устойчивость была заметно лучше (что отмечалось еще на Пе-2Ф и являлось следствием, по-видимому, среднеплан-ной схемы машины). Неприятной неожиданностью стало то, что разбег и пробег реально оказались в полтора раза больше расчетных. Перед снятием высотно-скоростных характеристик и замером скороподъемности самолет вновь завели в опытный цех для устранения мелких дефектов и окраски (4476).</w:t>
      </w:r>
    </w:p>
    <w:p w14:paraId="136DC4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0A1E6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 8 апреля 1944 летчик-испытатель завода № 22 капитан А. Г. Васильченко впервые поднявший машину Пе-2И в небо 6 апреля, совершил на ней еще два полета. Моторы работали удовлетворительно, температурные режимы винтомоторной группы оказались в норме. Васильченко определил важнейшие характеристики самолета: устойчивость по всем трем осям, управляемость и взлетно-поса- дочные качества. По этим показателям новая машина не уступала Пе-2, а по простоте пилотирования Пе-2И оказался в заметном выигрыше. В частности, путевая устойчивость была заметно лучше (что отмечалось еще на Пе-2Ф и являлось следствием, по- видимому, среднепланной схемы машины). Неприятной неожиданностью стало то, что разбег и пробег оказались в полтора раза больше расчетных.</w:t>
      </w:r>
    </w:p>
    <w:p w14:paraId="203D04E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опытном цехе заканчивали сборку второго опытного Пе-2И. В ходе статиспыта- ний выявилась недостаточная прочность крыла самолета, поэтому на "дублере" усилили полки лонжеронов. Установили пулемет под сиденьем пилота (обещанную пушку так и не успели офаботать), добавили брони, устранили выявленные макетной комиссией недостатки. Масса самолета несколько возросла. Опытно-конструкторский отдел прорабатывал две дальнейшие модификации машины: с двигателями М-1 и с шасси с носовой опорой. Эти проекты, впрочем, так и остались на бумаге.</w:t>
      </w:r>
    </w:p>
    <w:p w14:paraId="5FF2B1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замены двигателя капитан Васильченко приступил к определению максимальной скорости полета. Обычно самолет чуть- чуть (или более того) "не дотягивает" до расчетного значения. При испытаниях Пе-2И произошел редкий случай - полученная на второй границе высотности скорость 654 км/ч на 14 км/ч превышала расчетную величину. С такой скоростью, по имевшимся в то время в ОКО-22 данным, не летал ни один известный двухмоторный бомбардировщик! (Заметим, что некоторые варианты "Москито", в частности, бомбардировочные В.IX и В.XIV, еще в 1943 г. развивали максимальную скорость порядка 680 км/ч, но на существенно большей высоте.)</w:t>
      </w:r>
    </w:p>
    <w:p w14:paraId="7C9E6D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Незамедлительно поступил доклад "наверх". Испытаниями самолета Пе-2И заинтересовалось руководство ВВС, НКАП и авиационного отдела ЦК ВКП(б). О машине доложили И.В. Сталину. Поступило распоряжение немедленно передать Пе-2И на государственные испытания в НИИ ВВС. У Мясишева исчезли проблемы с "добыванием" дефицитных моторов BK-I07A, но появились новые - как сделать, чтобы "сыроватые" двигатели не "похоронили" машину. Наступила череда мучительных доводок.</w:t>
      </w:r>
    </w:p>
    <w:p w14:paraId="64D089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в НИИ ВВС проводила бригада в составе: ведущий инженер - инженер-майор Г.В. Грибакин, летчик - майор A.M. Хрипков, штурман - ст. лейтенант Ромашко. В ходе первого этапа испытаний, проводившихся в мае-июле, пришлось четыре раза менять моторы, у которых то происходила раскрутка винтов, то прорывало газы через верхнее уплотнение блока цилиндров, то начиналось выбрасывание масла из суфлеров. Двигатели BK-I07A не сдавались и упорно расшатывали нервы испытателям и конструкторам самолета. И все же, полученные в результате нечастых удачных полетов данные оказались весьма высокими: максимальная скорость полета у земли - 556 км/ч, на первой границе высотности - 617 км/ч и на второй границе - 656 км/ч, а время набора высоты 5000 м лишь ненамного отличалось от расчетного - 7 мин. По комплексу летно-техниче- ских характеристик Пе-2И уверенно вышел на первое место в своем классе. Перетяже- ление опытного самолета на 500 кг планировалось уменьшить в серии до 100-150 кг, смонтировать новые законцовки крыла, увеличивавшие его размах до 17,8 м, а площадь до 43,5 м.</w:t>
      </w:r>
    </w:p>
    <w:p w14:paraId="2F28BE9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отличие от обычных серийных Пе-2 новая машина прилично вела себя на посадке, не теряла быстро скорость после выравнивания. Благодаря новому профилю сваливание на крыло не наблюдалось, после касания земли самолет не имел тенденции к развороту. Летчик Хрипков в своем заключении указывал: "По технике пилотирования самолет Пе-2И доступен летчикам средней квалификации. В целом по своим летно-техничес- ким свойствам самолет Пе-2И имеет большое преимущество перед находящимся в настоящее время на вооружении ВВС КА самолетом Пе-2".</w:t>
      </w:r>
    </w:p>
    <w:p w14:paraId="492411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Проведенные учебные воздушные бои с трофейным истребителем Bf 109G 4 убедительно продемонстрировали, что в горизонтальном полете на высоте до 7000 м "немец" не смог ни разу атаковать Пе-2И, уступая ему в скорости. В районе цели, когда "пешка" выполняла второй заход, "мессер" лишь однажды смог поймать ее в прицел, причем почти строго с хвоста, рискуя напороться на огонь ДЭУ. В целом, новый советский бомбардировщик проявил несомненные "москитные" способности по уклонению от боя с неприятельскими истребителями, что должно было способствовать сокращению потерь бомбардировщиков на фронте (12042).</w:t>
      </w:r>
    </w:p>
    <w:p w14:paraId="07C31E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36796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апреля 1944 года начальник НИИ ВВС генерал-лейтенант инженерной службы Лосюков и начальник 3-го отдела НИИ ВВС инженер-полковник Сафронов писали письмо N 3/0515 гл. инженеру ВВС генерал-полковнику Репину А.К., Шахурину, управление кадров ЦК ВКП(б) генерал лейтенанту авиации Шиманову Н.С.</w:t>
      </w:r>
    </w:p>
    <w:p w14:paraId="181032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 что на самолете Як-3 с мотором ВК-107А 6-го апреля 1944 года, во время пробного полета для проверки работы ВМГ, вышел из строя мотор ВК-107А N 347-76.</w:t>
      </w:r>
    </w:p>
    <w:p w14:paraId="40695D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имел 100-часовой ресурс и наработал с начала эксплуатации 2 час. 00 мин., из них в воздухе 0 час. 40 мин.</w:t>
      </w:r>
    </w:p>
    <w:p w14:paraId="25403B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прерваны. Мотор требует замены (1821).</w:t>
      </w:r>
    </w:p>
    <w:p w14:paraId="2C3914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D6ED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апреля 1944 вышел приказ НКАП N 242с "О бомбардировочном варианте самолета Як-9"</w:t>
      </w:r>
    </w:p>
    <w:p w14:paraId="6450AE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"ГКО в своем постановлении N 5403 от 15 марта 1944 принял предложение НКАП о постройке самолета Як-9 с бомбовым вооружением в следующих вариантах бомбовой загрузки и макс. дальности при наивыгоднейшей скорости полета: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6F7EB191" w14:textId="77777777">
        <w:tc>
          <w:tcPr>
            <w:tcW w:w="5636" w:type="dxa"/>
          </w:tcPr>
          <w:p w14:paraId="063756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4х100</w:t>
            </w:r>
          </w:p>
        </w:tc>
        <w:tc>
          <w:tcPr>
            <w:tcW w:w="5636" w:type="dxa"/>
          </w:tcPr>
          <w:p w14:paraId="14006D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 км</w:t>
            </w:r>
          </w:p>
        </w:tc>
      </w:tr>
      <w:tr w:rsidR="004D4663" w:rsidRPr="00070ADE" w14:paraId="6927C129" w14:textId="77777777">
        <w:tc>
          <w:tcPr>
            <w:tcW w:w="5636" w:type="dxa"/>
          </w:tcPr>
          <w:p w14:paraId="6A6EF3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2х100</w:t>
            </w:r>
          </w:p>
        </w:tc>
        <w:tc>
          <w:tcPr>
            <w:tcW w:w="5636" w:type="dxa"/>
          </w:tcPr>
          <w:p w14:paraId="3D8317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1300 км</w:t>
            </w:r>
          </w:p>
        </w:tc>
      </w:tr>
      <w:tr w:rsidR="004D4663" w:rsidRPr="00070ADE" w14:paraId="479CA8A9" w14:textId="77777777">
        <w:tc>
          <w:tcPr>
            <w:tcW w:w="5636" w:type="dxa"/>
          </w:tcPr>
          <w:p w14:paraId="352A44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 ПТАБ 1.5-2.5</w:t>
            </w:r>
          </w:p>
        </w:tc>
        <w:tc>
          <w:tcPr>
            <w:tcW w:w="5636" w:type="dxa"/>
          </w:tcPr>
          <w:p w14:paraId="3181476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 км</w:t>
            </w:r>
          </w:p>
        </w:tc>
      </w:tr>
    </w:tbl>
    <w:p w14:paraId="5FFF33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наркома А.С.Я. предъявить Як-9 в бомбардировочном варианте на гос. испытания к 20 марта 1944 (1625,25).</w:t>
      </w:r>
    </w:p>
    <w:p w14:paraId="5C6233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664D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апреля 1944 года Яковлев писал письмо Шахурину.</w:t>
      </w:r>
    </w:p>
    <w:p w14:paraId="75C050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Дело создания высотных истребителей обстоит исключительно плохо.</w:t>
      </w:r>
    </w:p>
    <w:p w14:paraId="6DE4E0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Все самолеты этого типа, строящиеся конструкторами Яковлевым, Лавочкиным и Микояном, находятся в состоянии застоя и при существующем положении не будут </w:t>
      </w:r>
      <w:r w:rsidRPr="00070ADE">
        <w:rPr>
          <w:rFonts w:ascii="Times New Roman" w:hAnsi="Times New Roman"/>
          <w:color w:val="000000" w:themeColor="text1"/>
          <w:sz w:val="16"/>
          <w:szCs w:val="16"/>
        </w:rPr>
        <w:lastRenderedPageBreak/>
        <w:t>готовы к лету даже в опытных экземплярах.</w:t>
      </w:r>
    </w:p>
    <w:p w14:paraId="0083C5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основной причиной такого недопустимого положения с решением важнейшей оборонной проблемы является полное бездействие опытно-моторного Главка, конструкторов-мотористов и ЦИАМ.</w:t>
      </w:r>
    </w:p>
    <w:p w14:paraId="5A2AF7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Проблема должна была решаться двумя путями:</w:t>
      </w:r>
    </w:p>
    <w:p w14:paraId="3D54DF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Создание моторов с современными нагнетателями и</w:t>
      </w:r>
    </w:p>
    <w:p w14:paraId="7C1E83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Отработка мощных моторов с турбокомпрессорами.</w:t>
      </w:r>
    </w:p>
    <w:p w14:paraId="39B9C6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 по одному из этих путей работа не идет нормально.</w:t>
      </w:r>
    </w:p>
    <w:p w14:paraId="26F709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созданию нагнетателей, вместо немедленной энергичной доводки мотора 105ПД, уже имеющего высотность 9500 м с единственным имеющимся двухступенчатым нагнетателем, к лету этого года, 8 Главк встал на путь создания для сравнительно далекого будущего нового двухступенчатого, двухскоростного нагнетателя к мотору ВК-107А, забросив вовсе работу по мотору 105.</w:t>
      </w:r>
    </w:p>
    <w:p w14:paraId="6E409A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Нами выяснено у авторитетных работников ЦИАМ Дмитриевского и Хохлова, что высотность мотора 105ПД может быть значительно поднята дополнительно, по крайней мере, до 10500 м сравнительно простыми мероприятиями, но по непонятным причинам это не делается и работа по М-105ПД в ЦИАМ прекращена.</w:t>
      </w:r>
    </w:p>
    <w:p w14:paraId="3F6879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турбокомпрессорам планомерной и настойчивой работы также не ведется.</w:t>
      </w:r>
    </w:p>
    <w:p w14:paraId="260488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w:t>
      </w:r>
    </w:p>
    <w:p w14:paraId="16F0AF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Яковлева с мотором 105ПД стоит в ожидании доработки моторной группы по увеличению ее высотности;</w:t>
      </w:r>
    </w:p>
    <w:p w14:paraId="2A86DF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Лавочкина не может достичь заданной высоты из-за перегрева мотора на высотах. Рекомендованный ЦИАМ в прошлом году выпуск воды работает неудовлетворительно, но ЦИАМ"ом не доводится;</w:t>
      </w:r>
    </w:p>
    <w:p w14:paraId="133F21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Микояна с мотором Ам-39 с ТК ожидает мотора, все сроки подачи которого по постановлению ГОКО давно истекли.</w:t>
      </w:r>
    </w:p>
    <w:p w14:paraId="780538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вследствие непонятной бездеятельности мотористов мы оказываемся безоружными перед лицом высотных самолетов врага.</w:t>
      </w:r>
    </w:p>
    <w:p w14:paraId="7B48B6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Необходимо:</w:t>
      </w:r>
    </w:p>
    <w:p w14:paraId="2F9C36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Войти в Правительство с прилагаемым проектом постановления, в котором намечены экстраординарные мероприятия по поощрению отработки высотных самолетов.</w:t>
      </w:r>
    </w:p>
    <w:p w14:paraId="16D7E4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Наложить строгие взыскания на виновников задержки:</w:t>
      </w:r>
    </w:p>
    <w:p w14:paraId="735375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отработки и развития мотора 105ПД;</w:t>
      </w:r>
    </w:p>
    <w:p w14:paraId="63BF2A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мотора Ам-39 с ТК;</w:t>
      </w:r>
    </w:p>
    <w:p w14:paraId="37DDA10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отработки впрыска воды и системы ТК к мотору АШ-82ФН;</w:t>
      </w:r>
    </w:p>
    <w:p w14:paraId="4C7783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серийного выпуска ТК.</w:t>
      </w:r>
    </w:p>
    <w:p w14:paraId="200920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Обязать 8 Главк и ЦИАМ бросить все силы на доводку моторных групп высотных истребителей Яковлева, Лавочкина и Микояна.</w:t>
      </w:r>
    </w:p>
    <w:p w14:paraId="192809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Немедленно начать выпуск небольшой серии моторов М-105ПД (1825,219).</w:t>
      </w:r>
    </w:p>
    <w:p w14:paraId="300064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80DE60"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r w:rsidRPr="00070ADE">
        <w:rPr>
          <w:rFonts w:ascii="Times New Roman" w:hAnsi="Times New Roman"/>
          <w:color w:val="000000" w:themeColor="text1"/>
          <w:sz w:val="16"/>
          <w:szCs w:val="16"/>
        </w:rPr>
        <w:noBreakHyphen/>
        <w:t>го апреля 1944 г. А.С.Я. обратился к Наркому авиапромышленности А.И. Шахурину, добавив претензии еще и от себя в адрес КБ</w:t>
      </w:r>
      <w:r w:rsidRPr="00070ADE">
        <w:rPr>
          <w:rFonts w:ascii="Times New Roman" w:hAnsi="Times New Roman"/>
          <w:color w:val="000000" w:themeColor="text1"/>
          <w:sz w:val="16"/>
          <w:szCs w:val="16"/>
        </w:rPr>
        <w:noBreakHyphen/>
        <w:t>26, которое перестало заниматься предназначенным для высотных Яков двигателем М</w:t>
      </w:r>
      <w:r w:rsidRPr="00070ADE">
        <w:rPr>
          <w:rFonts w:ascii="Times New Roman" w:hAnsi="Times New Roman"/>
          <w:color w:val="000000" w:themeColor="text1"/>
          <w:sz w:val="16"/>
          <w:szCs w:val="16"/>
        </w:rPr>
        <w:noBreakHyphen/>
        <w:t>105ПД. Опуская проблемы Яковлева, не касающиеся нашей темы напрямую, приведем это письмо с сокращениями:</w:t>
      </w:r>
    </w:p>
    <w:p w14:paraId="32E008B4"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«Дело создания высотных истребите</w:t>
      </w:r>
      <w:r w:rsidRPr="00070ADE">
        <w:rPr>
          <w:rFonts w:ascii="Times New Roman" w:hAnsi="Times New Roman"/>
          <w:color w:val="000000" w:themeColor="text1"/>
          <w:sz w:val="16"/>
          <w:szCs w:val="16"/>
        </w:rPr>
        <w:noBreakHyphen/>
        <w:t xml:space="preserve"> лей обстоит исключительно плохо. Все самолёты этого типа, строящиеся конструкторами Яковлевым, Лавочкиным и Микояном, находятся в состоянии застоя и при существующем положении не будут готовы к лету даже в опытных экземплярах. Основной причиной такого недопустимого положения с решением важнейшей оборонной проблемы является полное без</w:t>
      </w:r>
      <w:r w:rsidRPr="00070ADE">
        <w:rPr>
          <w:rFonts w:ascii="Times New Roman" w:hAnsi="Times New Roman"/>
          <w:color w:val="000000" w:themeColor="text1"/>
          <w:sz w:val="16"/>
          <w:szCs w:val="16"/>
        </w:rPr>
        <w:noBreakHyphen/>
        <w:t xml:space="preserve"> действие опытно</w:t>
      </w:r>
      <w:r w:rsidRPr="00070ADE">
        <w:rPr>
          <w:rFonts w:ascii="Times New Roman" w:hAnsi="Times New Roman"/>
          <w:color w:val="000000" w:themeColor="text1"/>
          <w:sz w:val="16"/>
          <w:szCs w:val="16"/>
        </w:rPr>
        <w:noBreakHyphen/>
        <w:t>моторного Главка, конструкторов</w:t>
      </w:r>
      <w:r w:rsidRPr="00070ADE">
        <w:rPr>
          <w:rFonts w:ascii="Times New Roman" w:hAnsi="Times New Roman"/>
          <w:color w:val="000000" w:themeColor="text1"/>
          <w:sz w:val="16"/>
          <w:szCs w:val="16"/>
        </w:rPr>
        <w:noBreakHyphen/>
        <w:t>мотористов и ЦИАМ. Проблема должна была решаться двумя путями:</w:t>
      </w:r>
    </w:p>
    <w:p w14:paraId="57BAB695"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Создание моторов с современными нагнетателями</w:t>
      </w:r>
    </w:p>
    <w:p w14:paraId="30FB6020"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Отработка мощных моторов с турбокомпрессорами.</w:t>
      </w:r>
    </w:p>
    <w:p w14:paraId="36A377FA"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 по одному из этих путей работа не идет нормально. … По турбокомпрессорам планомерной и настойчивой работы также не ведется. В результате: … самолёт Микояна с мотором АМ</w:t>
      </w:r>
      <w:r w:rsidRPr="00070ADE">
        <w:rPr>
          <w:rFonts w:ascii="Times New Roman" w:hAnsi="Times New Roman"/>
          <w:color w:val="000000" w:themeColor="text1"/>
          <w:sz w:val="16"/>
          <w:szCs w:val="16"/>
        </w:rPr>
        <w:noBreakHyphen/>
        <w:t>39 с ТК ожидает мотора, все сроки подачи которого по постановлению ГОКО давно истекли. Таким образом вследствие непонят</w:t>
      </w:r>
      <w:r w:rsidRPr="00070ADE">
        <w:rPr>
          <w:rFonts w:ascii="Times New Roman" w:hAnsi="Times New Roman"/>
          <w:color w:val="000000" w:themeColor="text1"/>
          <w:sz w:val="16"/>
          <w:szCs w:val="16"/>
        </w:rPr>
        <w:noBreakHyphen/>
        <w:t xml:space="preserve"> ной бездеятельности мотористов мы оказываемся безоружными перед лицом высотных самолётов врага. Необходимо: </w:t>
      </w:r>
    </w:p>
    <w:p w14:paraId="383E8F2F"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Войти в Правительство с прилагаемым проектом постановления, в котором намечены экстраординарные мероприятия по поощрению отработки высотных самолётов.</w:t>
      </w:r>
    </w:p>
    <w:p w14:paraId="5307BDFD"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Наложить строгие взыскания на виновников задержки:</w:t>
      </w:r>
    </w:p>
    <w:p w14:paraId="6B106A6D"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отработки и развития мотора 105ПД;</w:t>
      </w:r>
    </w:p>
    <w:p w14:paraId="6FCFB76E"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мотора АМ</w:t>
      </w:r>
      <w:r w:rsidRPr="00070ADE">
        <w:rPr>
          <w:rFonts w:ascii="Times New Roman" w:hAnsi="Times New Roman"/>
          <w:color w:val="000000" w:themeColor="text1"/>
          <w:sz w:val="16"/>
          <w:szCs w:val="16"/>
        </w:rPr>
        <w:noBreakHyphen/>
        <w:t>39 с ТК;</w:t>
      </w:r>
    </w:p>
    <w:p w14:paraId="0EBCDD17"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отработки впрыска воды и системы ТК к мотору АШ</w:t>
      </w:r>
      <w:r w:rsidRPr="00070ADE">
        <w:rPr>
          <w:rFonts w:ascii="Times New Roman" w:hAnsi="Times New Roman"/>
          <w:color w:val="000000" w:themeColor="text1"/>
          <w:sz w:val="16"/>
          <w:szCs w:val="16"/>
        </w:rPr>
        <w:noBreakHyphen/>
        <w:t>82ФН;</w:t>
      </w:r>
    </w:p>
    <w:p w14:paraId="7E7A8502"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серийного выпуска ТК.</w:t>
      </w:r>
    </w:p>
    <w:p w14:paraId="3D4D8CC5"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Обязать 8 Главк и ЦИАМ бросить все силы на доводку моторных групп вы</w:t>
      </w:r>
      <w:r w:rsidRPr="00070ADE">
        <w:rPr>
          <w:rFonts w:ascii="Times New Roman" w:hAnsi="Times New Roman"/>
          <w:color w:val="000000" w:themeColor="text1"/>
          <w:sz w:val="16"/>
          <w:szCs w:val="16"/>
        </w:rPr>
        <w:noBreakHyphen/>
        <w:t xml:space="preserve"> сотных истребителей Яковлева, Лавочки на и Микояна.</w:t>
      </w:r>
    </w:p>
    <w:p w14:paraId="631E42E5"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Немедленно начать выпуск небольшой серии моторов М</w:t>
      </w:r>
      <w:r w:rsidRPr="00070ADE">
        <w:rPr>
          <w:rFonts w:ascii="Times New Roman" w:hAnsi="Times New Roman"/>
          <w:color w:val="000000" w:themeColor="text1"/>
          <w:sz w:val="16"/>
          <w:szCs w:val="16"/>
        </w:rPr>
        <w:noBreakHyphen/>
        <w:t>105ПД» (23471).</w:t>
      </w:r>
    </w:p>
    <w:p w14:paraId="1AF94986" w14:textId="77777777" w:rsidR="00597AB6" w:rsidRPr="00070ADE" w:rsidRDefault="00597AB6" w:rsidP="00B56F90">
      <w:pPr>
        <w:spacing w:after="0" w:line="240" w:lineRule="auto"/>
        <w:jc w:val="both"/>
        <w:rPr>
          <w:rFonts w:ascii="Times New Roman" w:hAnsi="Times New Roman"/>
          <w:color w:val="000000" w:themeColor="text1"/>
          <w:sz w:val="16"/>
          <w:szCs w:val="16"/>
        </w:rPr>
      </w:pPr>
    </w:p>
    <w:p w14:paraId="68865698"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7-го апреля 1944 г А.С.Я. обратился к На</w:t>
      </w:r>
      <w:r w:rsidRPr="00070ADE">
        <w:rPr>
          <w:rFonts w:ascii="Times New Roman" w:hAnsi="Times New Roman"/>
          <w:color w:val="000000" w:themeColor="text1"/>
          <w:sz w:val="16"/>
          <w:szCs w:val="16"/>
        </w:rPr>
        <w:softHyphen/>
        <w:t>ркому авиапромышленности А.И. Шахурину, добавив к претензиям МиГ еще претензии еще и от себя в адрес КБ-26, которое перестало зани</w:t>
      </w:r>
      <w:r w:rsidRPr="00070ADE">
        <w:rPr>
          <w:rFonts w:ascii="Times New Roman" w:hAnsi="Times New Roman"/>
          <w:color w:val="000000" w:themeColor="text1"/>
          <w:sz w:val="16"/>
          <w:szCs w:val="16"/>
        </w:rPr>
        <w:softHyphen/>
        <w:t>маться предназначенным для высотных Яков двигателем М-105ПД. Опуская про</w:t>
      </w:r>
      <w:r w:rsidRPr="00070ADE">
        <w:rPr>
          <w:rFonts w:ascii="Times New Roman" w:hAnsi="Times New Roman"/>
          <w:color w:val="000000" w:themeColor="text1"/>
          <w:sz w:val="16"/>
          <w:szCs w:val="16"/>
        </w:rPr>
        <w:softHyphen/>
        <w:t>блемы Яковлева, приведем это письмо с сокращениями:</w:t>
      </w:r>
    </w:p>
    <w:p w14:paraId="04B4F8E9"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«Дело создания высотных истребите</w:t>
      </w:r>
      <w:r w:rsidRPr="00070ADE">
        <w:rPr>
          <w:rFonts w:ascii="Times New Roman" w:hAnsi="Times New Roman"/>
          <w:color w:val="000000" w:themeColor="text1"/>
          <w:sz w:val="16"/>
          <w:szCs w:val="16"/>
        </w:rPr>
        <w:softHyphen/>
        <w:t>лей обстоит исключительно плохо.</w:t>
      </w:r>
    </w:p>
    <w:p w14:paraId="2DBDC781"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самолёты этого типа, строящи</w:t>
      </w:r>
      <w:r w:rsidRPr="00070ADE">
        <w:rPr>
          <w:rFonts w:ascii="Times New Roman" w:hAnsi="Times New Roman"/>
          <w:color w:val="000000" w:themeColor="text1"/>
          <w:sz w:val="16"/>
          <w:szCs w:val="16"/>
        </w:rPr>
        <w:softHyphen/>
        <w:t>еся конструкторами Яковлевым, Лавочки</w:t>
      </w:r>
      <w:r w:rsidRPr="00070ADE">
        <w:rPr>
          <w:rFonts w:ascii="Times New Roman" w:hAnsi="Times New Roman"/>
          <w:color w:val="000000" w:themeColor="text1"/>
          <w:sz w:val="16"/>
          <w:szCs w:val="16"/>
        </w:rPr>
        <w:softHyphen/>
        <w:t>ным и Микояном, находятся в состоянии застоя и при существующем положении не будут готовы к лету даже в опытных экземплярах.</w:t>
      </w:r>
    </w:p>
    <w:p w14:paraId="649B76EE"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Основной причиной такого недопусти</w:t>
      </w:r>
      <w:r w:rsidRPr="00070ADE">
        <w:rPr>
          <w:rFonts w:ascii="Times New Roman" w:hAnsi="Times New Roman"/>
          <w:color w:val="000000" w:themeColor="text1"/>
          <w:sz w:val="16"/>
          <w:szCs w:val="16"/>
        </w:rPr>
        <w:softHyphen/>
        <w:t>мого положения с решением важнейшей оборонной проблемы является полное без</w:t>
      </w:r>
      <w:r w:rsidRPr="00070ADE">
        <w:rPr>
          <w:rFonts w:ascii="Times New Roman" w:hAnsi="Times New Roman"/>
          <w:color w:val="000000" w:themeColor="text1"/>
          <w:sz w:val="16"/>
          <w:szCs w:val="16"/>
        </w:rPr>
        <w:softHyphen/>
        <w:t>действие опытно-моторного Главка, кон</w:t>
      </w:r>
      <w:r w:rsidRPr="00070ADE">
        <w:rPr>
          <w:rFonts w:ascii="Times New Roman" w:hAnsi="Times New Roman"/>
          <w:color w:val="000000" w:themeColor="text1"/>
          <w:sz w:val="16"/>
          <w:szCs w:val="16"/>
        </w:rPr>
        <w:softHyphen/>
        <w:t>структоров-мотористов и ЦИАМ.</w:t>
      </w:r>
    </w:p>
    <w:p w14:paraId="3B2E64D9"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Проблема должна была решаться дву</w:t>
      </w:r>
      <w:r w:rsidRPr="00070ADE">
        <w:rPr>
          <w:rFonts w:ascii="Times New Roman" w:hAnsi="Times New Roman"/>
          <w:color w:val="000000" w:themeColor="text1"/>
          <w:sz w:val="16"/>
          <w:szCs w:val="16"/>
        </w:rPr>
        <w:softHyphen/>
        <w:t>мя путями:</w:t>
      </w:r>
    </w:p>
    <w:p w14:paraId="7DDFB13E"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Создание моторов с современными нагнетателями</w:t>
      </w:r>
    </w:p>
    <w:p w14:paraId="099FA49E"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Отработка мощных моторов с турбокомпрессорами.</w:t>
      </w:r>
    </w:p>
    <w:p w14:paraId="4C7AF613"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 по одному из этих путей работа не идет нормально.</w:t>
      </w:r>
    </w:p>
    <w:p w14:paraId="243F04FB"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турбокомпрессорам планомерной и настойчивой работы также не ведется.</w:t>
      </w:r>
    </w:p>
    <w:p w14:paraId="20AECF00"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w:t>
      </w:r>
    </w:p>
    <w:p w14:paraId="6D480738"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самолёт Микояна с мотором АМ-39 с ТК ожидает мотора, все сроки подачи которого по постановлению ГОКО давно истекли.</w:t>
      </w:r>
    </w:p>
    <w:p w14:paraId="7F49CF79"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вследствие непонят</w:t>
      </w:r>
      <w:r w:rsidRPr="00070ADE">
        <w:rPr>
          <w:rFonts w:ascii="Times New Roman" w:hAnsi="Times New Roman"/>
          <w:color w:val="000000" w:themeColor="text1"/>
          <w:sz w:val="16"/>
          <w:szCs w:val="16"/>
        </w:rPr>
        <w:softHyphen/>
        <w:t>ной бездеятельности мотористов мы оказываемся безоружными перед лицом высотных самолётов врага.</w:t>
      </w:r>
    </w:p>
    <w:p w14:paraId="4DA956F5"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Необходимо:</w:t>
      </w:r>
    </w:p>
    <w:p w14:paraId="7479D489"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Войти в Правительство с прилагае</w:t>
      </w:r>
      <w:r w:rsidRPr="00070ADE">
        <w:rPr>
          <w:rFonts w:ascii="Times New Roman" w:hAnsi="Times New Roman"/>
          <w:color w:val="000000" w:themeColor="text1"/>
          <w:sz w:val="16"/>
          <w:szCs w:val="16"/>
        </w:rPr>
        <w:softHyphen/>
        <w:t>мым проектом постановления, в котором намечены экстраординарные мероприя</w:t>
      </w:r>
      <w:r w:rsidRPr="00070ADE">
        <w:rPr>
          <w:rFonts w:ascii="Times New Roman" w:hAnsi="Times New Roman"/>
          <w:color w:val="000000" w:themeColor="text1"/>
          <w:sz w:val="16"/>
          <w:szCs w:val="16"/>
        </w:rPr>
        <w:softHyphen/>
        <w:t>тия по поощрению отработки высотных самолётов.</w:t>
      </w:r>
    </w:p>
    <w:p w14:paraId="00DB7C51"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Наложить строгие взыскания на ви</w:t>
      </w:r>
      <w:r w:rsidRPr="00070ADE">
        <w:rPr>
          <w:rFonts w:ascii="Times New Roman" w:hAnsi="Times New Roman"/>
          <w:color w:val="000000" w:themeColor="text1"/>
          <w:sz w:val="16"/>
          <w:szCs w:val="16"/>
        </w:rPr>
        <w:softHyphen/>
        <w:t>новников задержки:</w:t>
      </w:r>
    </w:p>
    <w:p w14:paraId="7F3CDC4E"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отработки и развития мотора 105ПД;</w:t>
      </w:r>
    </w:p>
    <w:p w14:paraId="5CDC94F8"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мотора АМ-39 с ТК;</w:t>
      </w:r>
    </w:p>
    <w:p w14:paraId="154BE469"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отработки впрыска воды и системы ТК к мотору АШ-82ФН;</w:t>
      </w:r>
    </w:p>
    <w:p w14:paraId="1B863C5B"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серийного выпуска ТК.</w:t>
      </w:r>
    </w:p>
    <w:p w14:paraId="07C628FB"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Обязать 8 Главк и ЦИАМ бросить все силы на доводку моторных групп вы</w:t>
      </w:r>
      <w:r w:rsidRPr="00070ADE">
        <w:rPr>
          <w:rFonts w:ascii="Times New Roman" w:hAnsi="Times New Roman"/>
          <w:color w:val="000000" w:themeColor="text1"/>
          <w:sz w:val="16"/>
          <w:szCs w:val="16"/>
        </w:rPr>
        <w:softHyphen/>
        <w:t>сотных истребителей Яковлева, Лавочки</w:t>
      </w:r>
      <w:r w:rsidRPr="00070ADE">
        <w:rPr>
          <w:rFonts w:ascii="Times New Roman" w:hAnsi="Times New Roman"/>
          <w:color w:val="000000" w:themeColor="text1"/>
          <w:sz w:val="16"/>
          <w:szCs w:val="16"/>
        </w:rPr>
        <w:softHyphen/>
        <w:t>на и Микояна.</w:t>
      </w:r>
    </w:p>
    <w:p w14:paraId="581EE851" w14:textId="77777777" w:rsidR="00597AB6" w:rsidRPr="00070ADE" w:rsidRDefault="00597A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Немедленно начать выпуск неболь</w:t>
      </w:r>
      <w:r w:rsidRPr="00070ADE">
        <w:rPr>
          <w:rFonts w:ascii="Times New Roman" w:hAnsi="Times New Roman"/>
          <w:color w:val="000000" w:themeColor="text1"/>
          <w:sz w:val="16"/>
          <w:szCs w:val="16"/>
        </w:rPr>
        <w:softHyphen/>
        <w:t>шой серии моторов М-105ПД» (23471).</w:t>
      </w:r>
    </w:p>
    <w:p w14:paraId="34C3620A" w14:textId="77777777" w:rsidR="00597AB6" w:rsidRPr="00070ADE" w:rsidRDefault="00597AB6" w:rsidP="00B56F90">
      <w:pPr>
        <w:spacing w:after="0" w:line="240" w:lineRule="auto"/>
        <w:jc w:val="both"/>
        <w:rPr>
          <w:rFonts w:ascii="Times New Roman" w:hAnsi="Times New Roman"/>
          <w:color w:val="000000" w:themeColor="text1"/>
          <w:sz w:val="16"/>
          <w:szCs w:val="16"/>
        </w:rPr>
      </w:pPr>
    </w:p>
    <w:p w14:paraId="0BB2AF1E"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7 апреля 1944 г. Главное управление ВВС ВМФ сообщило о том, что запрошенные материалы о размерах палубных самолётов и параметрах лётного оборудования может предоставить только к 1 июня:</w:t>
      </w:r>
    </w:p>
    <w:p w14:paraId="60F4CAC4"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«Проектирование палубного истребителя ещё не началось, так как Наркомат авиационной промышленности НКАП не располагает свободными конструкторскими мощностями. Эскизный проект палубного торпедоносца ПТ-М72 в настоящее время рассматривается экспертной комиссией НКАП, после чего будет передан на утверждение в НКВМФ».</w:t>
      </w:r>
    </w:p>
    <w:p w14:paraId="2A13BC3D"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В то же время проектирование палубного истребителя даже не начиналось. Составление тактико-технических требований к катапультам, лифтам и аэрофинишерам затруднялось из-за отсутствия опыта. Все немногочисленные специалисты по корабельной авиации в этот момент находились на Черноморском флоте и были заняты экспериментами по запуску катапультного истребителя «Спитфайр» с крейсера «Молотов» (25374).</w:t>
      </w:r>
    </w:p>
    <w:p w14:paraId="52292D60" w14:textId="77777777" w:rsidR="00D0391D" w:rsidRPr="00C94B78" w:rsidRDefault="00D0391D" w:rsidP="00B56F90">
      <w:pPr>
        <w:spacing w:after="0" w:line="240" w:lineRule="auto"/>
        <w:jc w:val="both"/>
        <w:rPr>
          <w:rFonts w:ascii="Times New Roman" w:hAnsi="Times New Roman"/>
          <w:color w:val="0070C0"/>
          <w:sz w:val="16"/>
          <w:szCs w:val="16"/>
        </w:rPr>
      </w:pPr>
    </w:p>
    <w:p w14:paraId="1A15267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387219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3E5FB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апреля 1944 вышло Распоряжение ГКО № 5559 [О мерах по восстановлению при Физико-техническом институте Украинской АН высоковольтной установки.] (7206, 1-2,3).</w:t>
      </w:r>
    </w:p>
    <w:p w14:paraId="4FEA0E2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2DA38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апреля 1944 вышло Распоряжение ГКО № 5560. О выделении 3 тыс. нестроевых призывников из УССР на погрузку угля в Донбассе. РГАНИР, Фонд ГКО, д. 226, лл. 4 (11012).</w:t>
      </w:r>
    </w:p>
    <w:p w14:paraId="2EE6E5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AFA9FB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апреля 1944 вышло Постановление ГКО № 5561 О плане выработки и распределения электроэнергии на II квартал 1944 г. РГАНИР, Фонд ГКО, д. 226, лл. 5-7,8-64 (11012).</w:t>
      </w:r>
    </w:p>
    <w:p w14:paraId="2BCD20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773B1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апреля 1944 постановлением ГКО на вооружение приняли 100 мм полевую пушку обр. 1944 БС-3 - "Зверобой (3398,174).</w:t>
      </w:r>
    </w:p>
    <w:p w14:paraId="2C752F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6BA4C1"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апреля 1944 г. Е.А. Кульчицким было подписано очередное заключение по испытаниям, проведенным под его руководством – заключение по испытанию опытного образца 100-мм танковой пушки Д-10-Т конструкции завода № 9 НКВ, установленной в тяжелом танке ИС (21209).</w:t>
      </w:r>
    </w:p>
    <w:p w14:paraId="5C9C3E6A" w14:textId="77777777" w:rsidR="0094033C" w:rsidRPr="00070ADE" w:rsidRDefault="0094033C" w:rsidP="00B56F90">
      <w:pPr>
        <w:spacing w:after="0" w:line="240" w:lineRule="auto"/>
        <w:jc w:val="both"/>
        <w:rPr>
          <w:rFonts w:ascii="Times New Roman" w:hAnsi="Times New Roman"/>
          <w:color w:val="000000" w:themeColor="text1"/>
          <w:sz w:val="16"/>
          <w:szCs w:val="16"/>
        </w:rPr>
      </w:pPr>
    </w:p>
    <w:p w14:paraId="7B78C9A1" w14:textId="7B247400"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апреля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Первое боевое применение бортовой РЛС "Гнейс-2М" разработки НИИ-20 (ВНИИРТ). Впервые в морской авиации обнаружен с помощью РЛС и потоплен немецкий транспорт. Самолет А-20G "Бостон", экипаж И.И.Борзова (22543).</w:t>
      </w:r>
    </w:p>
    <w:p w14:paraId="63DC1C2C" w14:textId="77777777" w:rsidR="0094033C" w:rsidRPr="00070ADE" w:rsidRDefault="0094033C" w:rsidP="00B56F90">
      <w:pPr>
        <w:spacing w:after="0" w:line="240" w:lineRule="auto"/>
        <w:jc w:val="both"/>
        <w:rPr>
          <w:rFonts w:ascii="Times New Roman" w:hAnsi="Times New Roman"/>
          <w:color w:val="000000" w:themeColor="text1"/>
          <w:sz w:val="16"/>
          <w:szCs w:val="16"/>
        </w:rPr>
      </w:pPr>
    </w:p>
    <w:p w14:paraId="26A40F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апреля 1941 г. вышло постановление ЦК ВКП(б) и СНК, на основании которого в конце 1944 г. совместными усилиями ВАММ им. Сталина, заводов № 627, "Динамо", "Электросила" и ЧКЗ был изготовлен Танк ЭКВ (10703).</w:t>
      </w:r>
    </w:p>
    <w:p w14:paraId="7EE48E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30ED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070ADE">
        <w:rPr>
          <w:rFonts w:ascii="Times New Roman" w:hAnsi="Times New Roman"/>
          <w:color w:val="000000" w:themeColor="text1"/>
          <w:sz w:val="16"/>
          <w:szCs w:val="16"/>
        </w:rPr>
        <w:t>7 апреля 1944 г. по приказу НКЭП организован Электроремонтный завод № 10 в ведении Всесоюзного треста «Энергоремтрест». С 1946 г. - в ведении МЭП, с 1957 г. - Управления электротехнической промышленности ЛенСНХ. Пост. ЛенСНХ от 14.05.1959 г. переименован в Ленинградский государственный опытный электротехнический завод, в 1961 г. передан в ПО Госпрофобра СССР (11982).</w:t>
      </w:r>
    </w:p>
    <w:p w14:paraId="6D1475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4DD87B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1AB66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991CFE"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7 апреля</w:t>
      </w:r>
      <w:r w:rsidRPr="00070ADE">
        <w:rPr>
          <w:rFonts w:ascii="Times New Roman" w:hAnsi="Times New Roman"/>
          <w:color w:val="000000" w:themeColor="text1"/>
          <w:sz w:val="16"/>
          <w:szCs w:val="16"/>
        </w:rPr>
        <w:t xml:space="preserve"> в 1944 году оперативная сводка Совинформбюро:.</w:t>
      </w:r>
    </w:p>
    <w:p w14:paraId="37FA1644"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7 апреля наши войска к западу от Скала вели бои по уничтожению окружённой группировки противника и отбивали её попытки пробиться из окружения в западном направлении. В боях за 6 апреля в этом районе нашими войсками уничтожено более 4.000 немецких солдат и офицеров и захвачены следующие трофеи: транспортных самолётов «Ю-52» — 5, орудий разного калибра — 17, танков —7, автомашин — 1.400. Юго-западнее города Тарнополь наши войска отбивали атаки крупных сил пехоты и танков противника, стремившихся пробиться на помощь к окружённой группировке.</w:t>
      </w:r>
    </w:p>
    <w:p w14:paraId="1034FEF4"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Кишинёвском направлении наши войска после двухдневных упорных боёв овладели уездным центром Молдавской ССР городом Оргеев — важным опорным пунктомобороны немцев на подступах к Кишинёву.</w:t>
      </w:r>
    </w:p>
    <w:p w14:paraId="5C259EB8"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Одесском направлении наши войска овладели районным центром Одесской области Беляевка, а также с боями заняли более 60 других населённых пунктов и среди них крупные населённые пункты Капоклеевка, Будёновка, Ермеевка, Мангейм, Карсталь (28 километров северо-западнее Одесса), Маяки, Мариновка, Новая Зметовка, Кубанка, Старая Дофиновка, Новая Дофиновка (16 километров северо-восточнее Одесса), Чабанка, Григорьевка и железнодорожные станции Кошково, Кремидовка. Значительная группа немецких войск, состоящая из остатков 5-6 дивизий, окружена нашими войсками к северу от Раздельная и уничтожается. За 6 и 7 апреля в этом районе немцы оставили на поле боя более 5.000 трупов. Взято в плен более 1.000 немецких солдат и офицеров. Захвачено 64 орудия и 24 танка. На станции Весёлый Кут нашими войсками захвачено 1.100 вагонов с различнымимуществом, из них 74 вагона со снарядами, 31 вагон с авиабомбами, 81 вагон с продфуражом, 50 вагонов с заводским оборудованием, которое немцы вывозили из Одессы в Германию. По предварительным данным, при овладении городом и железнодорожным узлом Раздельная нашими войсками захвачены следующие трофеи: орудий — 44, из них 12 тяжёлых, паровозов — 17, вагонов с военным имуществом —500, складов — 3, железнодорожных эшелонов — 6, из них один эшелон с орудиями и танками и два эшелона с ранеными немецкими солдатами и офицерами.</w:t>
      </w:r>
    </w:p>
    <w:p w14:paraId="2A46EF02"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в ряде пунктов шли бои местного значения.</w:t>
      </w:r>
    </w:p>
    <w:p w14:paraId="7E4BE45B"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6 апреля наши войска на всех фронтах подбили и уничтожили 40 немецких танков. В воздушных боях и огнём зенитной артиллерии сбито 45 самолётов противника.</w:t>
      </w:r>
    </w:p>
    <w:p w14:paraId="408485F2"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западу от города Скала наши войска продолжали вести бои по уничтожению окруженной группировки противника. Части Н-ского соединения, сжимая кольцо окружения, выбили немцев из нескольких населённых пунктов. На другом участке, юго-западнее города Мельница-Подольская, советские части отрезали труппу немцев от основных сил и уничтожили её. Захвачены трофеи, в числе которых многоавтомашин с различными военными грузами.</w:t>
      </w:r>
    </w:p>
    <w:p w14:paraId="37137DBD"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Окружённые войска противника пытаются любой ценой вырваться из «котла». Крупные силы немецкой пехоты и танков неоднократно переходили в атаки в западном направлении, но каждый раз отбрасывались назад, неся тяжёлые потери. Советские артиллеристы и танкисты в этих боях сожгли и подбили 19 танков, 3 бронемашины и свыше 200 автомашин с немецкой пехотой.</w:t>
      </w:r>
    </w:p>
    <w:p w14:paraId="01CB99ED"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Тарнополь танки и пехота противника с утра возобновили атаки, стремясь пробиться на помощь к своей группировке, попавшей в окружение. В течение всего дня продолжались ожесточённые бои, в ходе которых отдельные населённые пункты неоднократно переходили из рук в руки. Немцы несут огромные потери в живой силе и технике. Только одно наше соединение за день уничтожило 13 танков, 6 самоходных орудий, 4 бронемашины и до полка пехоты противника.</w:t>
      </w:r>
    </w:p>
    <w:p w14:paraId="7ADCB98A"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Кишинёвском направлении наши войска продолжали наступление. Упорные бои происходили в районе города Оргеев, расположенного на северном берегу реки Реут. На подступах к Оргееву немцы построили оборонительные сооружения и превратили его в сильно укреплённый пункт своей обороны. В течение двух дней советские части выбивали гитлеровцев из укреплений и настойчиво шаг за шагом приближались к городу. К исходу второго дня наши войска после ожесточённых боёв овладели уездным центром Молдавской ССР городом Оргеев. На плечах отступающих в панике немцев наши гвардейцы форсировали реку Реут и захватили плацдарм на её южном берегу. В боях за Оргеев противник понёс большие потери в живой силе и технике.</w:t>
      </w:r>
    </w:p>
    <w:p w14:paraId="00C6D5EE"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Одесском направлении наши подвижные соединения и пехота, с боями продвигаясь вперёд, овладели районным центром Одесской области Беляевка, а также населённым пунктом Маяки, находящимся в 30 километрах западнее города Одессы. Подразделения Н-ской части, совершив обходный манёвр, прижали противника к реке Малый Куяльник и в ожесточённом бою истребили до батальона гитлеровцев. 300 немецких солдат и офицеров прекратили сопротивление, сложили оружие и сдались в плен. Развивая успех, советские бойцы продвинулись на юг между Куяльницким и Хаджибейским лиманами и заняли ряд населённых пунктов. В районе к северу от Раздельной окружены остатки пяти — шести дивизий противника. Немцы предприняли отчаянную попытку прорваться на северо-запад. Вначале им удалось несколько продвинуться вперёд и выйти в район севернее города Раздельной. Советские войска стремительным манёвром преградили противнику пути отхода и ведут бои на егоуничтожение. В течение двух дней в этом районе убито более 5.000 немецких солдат и офицеров. Захвачено много трофеев и пленных.</w:t>
      </w:r>
    </w:p>
    <w:p w14:paraId="6709BA24"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Краснознамённого Балтийского флота сегодня обнаружила в Балтийском море конвой противника в составе транспорта и трёх кораблей охранения. Врезультате атаки самолётом-торпедоносцем потоплен транспорт противника водоизмещением в 12.000 тонн.</w:t>
      </w:r>
    </w:p>
    <w:p w14:paraId="7B36D722"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Финском заливе потоплен тральщик противника водоизмещением в 500 тонн.</w:t>
      </w:r>
    </w:p>
    <w:p w14:paraId="01E839C7" w14:textId="77777777" w:rsidR="0053744E" w:rsidRPr="00070ADE" w:rsidRDefault="005374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Волынской области, в конце марта атаковал вражеский опорный пункт. В результате боя гарнизон противника был разгромлен. Партизаны истребили 75 венгерских солдат и офицеров. Взято в плен 67 венгров. Захвачено 8 пулемётов, 125 винтовок, 2 радиостанции и много патронов. Группа партизан этого отряда пустила под откос бронепоезд и два воинских эшелона противника. Разведчики другого партизанского отряда пулемётным огнём подбили немецкий самолёт «Фокке-Вульф-189». Самолёт сделал вынужденную посадку. Два лётчика взяты в плен. Немецкий самолёт сожжён.</w:t>
      </w:r>
    </w:p>
    <w:p w14:paraId="44FD35AC" w14:textId="77777777" w:rsidR="0053744E" w:rsidRPr="00070ADE" w:rsidRDefault="0053744E" w:rsidP="00B56F90">
      <w:pPr>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rPr>
        <w:t xml:space="preserve">Спасаясь от гитлеровских извергов, многие жители посёлка Восход, деревень Коротковичи, Бродки, Красновка, Дуброва, Антоновка и других укрывались в деревне Ола, Полесской области, и в лесу, находящемся вблизи этой деревни. Немецко-фашистские захватчики 14 января оцепили деревню Ола и учинили дикую расправу над мирными советскими гражданами. Озверевшие гитлеровцы загнали стариков, женщин и детей в дома и сараи, заперли их там, а затем сожгли живьём. Фашистские изверги бросали в горящие дома гранаты, стреляли из автоматов и следили, чтобы никто не мог убежать. В одном сарае, на северо-западной окраине деревни, немцы заживо сожгли до 70 человек. В огне погибли Александра Зыкун — 95 лет, Яков Курулович — 85 лет, Степан Зыкун — 81 года, грудные дети — Александр Устименко </w:t>
      </w:r>
      <w:r w:rsidRPr="00070ADE">
        <w:rPr>
          <w:rFonts w:ascii="Times New Roman" w:hAnsi="Times New Roman"/>
          <w:color w:val="000000" w:themeColor="text1"/>
          <w:sz w:val="16"/>
          <w:szCs w:val="16"/>
        </w:rPr>
        <w:lastRenderedPageBreak/>
        <w:t xml:space="preserve">— двух месяцев, Феня Зыкун — трёх месяцев и многие другие. По рассказам оставшихся в живых жителей деревни, немцы в течение этого дня расстреляли и сожгли свыше тысячи мужчин, женщин и детей.» </w:t>
      </w:r>
      <w:r w:rsidRPr="00070ADE">
        <w:rPr>
          <w:rFonts w:ascii="Times New Roman" w:hAnsi="Times New Roman"/>
          <w:color w:val="000000" w:themeColor="text1"/>
          <w:sz w:val="16"/>
          <w:szCs w:val="16"/>
          <w:lang w:val="en-US"/>
        </w:rPr>
        <w:t>(15092).</w:t>
      </w:r>
    </w:p>
    <w:p w14:paraId="4100F209" w14:textId="77777777" w:rsidR="0053744E" w:rsidRPr="00070ADE" w:rsidRDefault="0053744E" w:rsidP="00B56F90">
      <w:pPr>
        <w:spacing w:after="0" w:line="240" w:lineRule="auto"/>
        <w:jc w:val="both"/>
        <w:rPr>
          <w:rFonts w:ascii="Times New Roman" w:hAnsi="Times New Roman"/>
          <w:color w:val="000000" w:themeColor="text1"/>
          <w:sz w:val="16"/>
          <w:szCs w:val="16"/>
          <w:lang w:val="en-US"/>
        </w:rPr>
      </w:pPr>
    </w:p>
    <w:p w14:paraId="5C5218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April 7th, 1944: In the East, the Red Army breaks through the German lines at Kerch in the eastern Crimea (3819).</w:t>
      </w:r>
    </w:p>
    <w:p w14:paraId="549573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48E53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7 апреля по 12 мая 1944 было освобождение Крыма (3908,369).</w:t>
      </w:r>
    </w:p>
    <w:p w14:paraId="633471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06114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апреля 1944 немецкая группировка, окруженная у Каменец-Подольска, прорвала советскую блокаду и соединилась с основными силами германской армии (4962).</w:t>
      </w:r>
    </w:p>
    <w:p w14:paraId="79D1181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9557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7 апреля 1944 «Бостон» командира 1-го ГМТАП Борзова вылетел на задание. Самолет достиг Рижского залива, обнаружил противника и в 00:37 произвел торпедную атаку. По неподтвержденному донесению жертвой Борзова стал танкер водоизмещением 12000 тонн. О возвращении командира полка на аэродром вспоминает А.В.Пресняков: «Дверь распахнулась. На пороге показался Иван Иванович Борзов. По виду не скажешь, что только сейчас он вернулся из опасного пятичасового полета...</w:t>
      </w:r>
    </w:p>
    <w:p w14:paraId="2D4CEDE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Можно вопрос? - торопливо вставляет Шаманов. - Вы для начала только скажите, сможем ли мы торпедировать ночью?</w:t>
      </w:r>
    </w:p>
    <w:p w14:paraId="7B4E9D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Сможете! Обязательно сможете, - уверенно отвечает Борзов, садясь на подставленную скамейку. - Трудности будут, особенно в первых полетах. Сегодня я их ощутил, когда первый раз в темноте с высоты почти к самой воде опускался. Высотомеру верить нельзя - там барометрическое давление атмосферы обязательно отличается от установленного на аэродроме. Вместо моря внизу видна чернота. Поэтому страха по горло, а удовольствия нет. Однако, как видите, смог. И за вас я уверен, что сможете...» (9965).</w:t>
      </w:r>
    </w:p>
    <w:p w14:paraId="120CF7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677D7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7 апреля 1944 торпедоносец А-20, пилотируемый самим командиром полка И.И. Борзовым в крейсерском полете в Рижский залив сумел обнаружить и потопить (по донесению) вражеский танкер в 12 000 т. Конвой противника был обнаружен сначала при помощи РЛС, а затем визуально на лунной дорожке, что и позволило осуществить атаку (12002).</w:t>
      </w:r>
    </w:p>
    <w:p w14:paraId="0E981E1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CC3F979"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7 апреля 1944 года в Рижском заливе была совершена первая ночная торпедная атака транспорта противника с использова</w:t>
      </w:r>
      <w:r w:rsidRPr="00C94B78">
        <w:rPr>
          <w:rStyle w:val="aff1"/>
          <w:rFonts w:ascii="Times New Roman" w:hAnsi="Times New Roman" w:cs="Times New Roman"/>
          <w:color w:val="0070C0"/>
          <w:spacing w:val="0"/>
          <w:sz w:val="16"/>
          <w:szCs w:val="16"/>
        </w:rPr>
        <w:softHyphen/>
        <w:t>нием РЛС «Гнейс-2М» на Бостоне 15-го отдельного разведывательного авиаполка ВВС Краснознаменного Балтийского флота (25693).</w:t>
      </w:r>
    </w:p>
    <w:p w14:paraId="05469152" w14:textId="77777777" w:rsidR="00D0391D" w:rsidRPr="00C94B78" w:rsidRDefault="00D0391D" w:rsidP="00B56F90">
      <w:pPr>
        <w:spacing w:after="0" w:line="240" w:lineRule="auto"/>
        <w:jc w:val="both"/>
        <w:rPr>
          <w:rFonts w:ascii="Times New Roman" w:hAnsi="Times New Roman"/>
          <w:color w:val="0070C0"/>
          <w:sz w:val="16"/>
          <w:szCs w:val="16"/>
        </w:rPr>
      </w:pPr>
    </w:p>
    <w:p w14:paraId="7CC75A0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06D6B50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EBEE1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апреля 1944 Гитлер распустил муниципальные службы Берлина, назначив “штадт-президентом” Геббельса и дав тому неограниченные полномочия по наведению порядка в городе (4962).</w:t>
      </w:r>
    </w:p>
    <w:p w14:paraId="771AB23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32CBC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апреля 1944 шеф лионского гестапо Клаус Барбье захватил в еврейском детском доме 41 ребенка возраста 3-10 лет, отправив их в Освенцим (4962).</w:t>
      </w:r>
    </w:p>
    <w:p w14:paraId="75BF8FB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FA43B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2C03A4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D851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ГИ ВВС КА гл ИАС А.Лапин подписал "Акт по результатам гос. испытаний опытного двухместного самолета Ил с мотором АМ-42 и винтом АВ-5Л-18Б конструкции С.В.И." (экз. 1 производства завода 240). Ви и-м П.Т.Аброщенко, пом. ВИ и-к С.Г.Фролов, вл пп А.К.Долгов (1865).</w:t>
      </w:r>
    </w:p>
    <w:p w14:paraId="5FB3FE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437D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г. замести</w:t>
      </w:r>
      <w:r w:rsidRPr="00070ADE">
        <w:rPr>
          <w:rFonts w:ascii="Times New Roman" w:hAnsi="Times New Roman"/>
          <w:color w:val="000000" w:themeColor="text1"/>
          <w:sz w:val="16"/>
          <w:szCs w:val="16"/>
        </w:rPr>
        <w:softHyphen/>
        <w:t>телем главного инженера ВВС КА ге</w:t>
      </w:r>
      <w:r w:rsidRPr="00070ADE">
        <w:rPr>
          <w:rFonts w:ascii="Times New Roman" w:hAnsi="Times New Roman"/>
          <w:color w:val="000000" w:themeColor="text1"/>
          <w:sz w:val="16"/>
          <w:szCs w:val="16"/>
        </w:rPr>
        <w:softHyphen/>
        <w:t>нералом А. А. Лапиным Акт по государственным испыта</w:t>
      </w:r>
      <w:r w:rsidRPr="00070ADE">
        <w:rPr>
          <w:rFonts w:ascii="Times New Roman" w:hAnsi="Times New Roman"/>
          <w:color w:val="000000" w:themeColor="text1"/>
          <w:sz w:val="16"/>
          <w:szCs w:val="16"/>
        </w:rPr>
        <w:softHyphen/>
        <w:t>ниям Ил-АМ-42 (экз. № 1) был ут</w:t>
      </w:r>
      <w:r w:rsidRPr="00070ADE">
        <w:rPr>
          <w:rFonts w:ascii="Times New Roman" w:hAnsi="Times New Roman"/>
          <w:color w:val="000000" w:themeColor="text1"/>
          <w:sz w:val="16"/>
          <w:szCs w:val="16"/>
        </w:rPr>
        <w:softHyphen/>
        <w:t>вержден. При этом в сопроводительной записке к Акту от 12 апреля на имя командующего ВВС КА главного маршала Новикова са</w:t>
      </w:r>
      <w:r w:rsidRPr="00070ADE">
        <w:rPr>
          <w:rFonts w:ascii="Times New Roman" w:hAnsi="Times New Roman"/>
          <w:color w:val="000000" w:themeColor="text1"/>
          <w:sz w:val="16"/>
          <w:szCs w:val="16"/>
        </w:rPr>
        <w:softHyphen/>
        <w:t>молет уже именовался как Ил-8 АМ-42. Надо полагать, переименование произошло где-то в самом начале апреля (11427).</w:t>
      </w:r>
    </w:p>
    <w:p w14:paraId="133F09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4B2C29" w14:textId="6E732465" w:rsidR="00075AF0" w:rsidRPr="00070ADE" w:rsidRDefault="00075A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года заместителем главного инженера ВВС КА генералом 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Лапиным был утвержден Акт по государственным испытаниям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При этом в сопроводительной записке к акту от 12 апреля на имя командующего ВВС КА главного маршала авиации 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Новикова самолет уже именовался как Ил-8 АМ-42. Надо полагать, переименование произошло где-то в самом начале апреля. Соответственно, двухместный штурмовой вариант самолета Ил-1 получил обозначение Ил-10 (17490).</w:t>
      </w:r>
    </w:p>
    <w:p w14:paraId="02EA0514" w14:textId="77777777" w:rsidR="00075AF0" w:rsidRPr="00070ADE" w:rsidRDefault="00075AF0" w:rsidP="00B56F90">
      <w:pPr>
        <w:spacing w:after="0" w:line="240" w:lineRule="auto"/>
        <w:jc w:val="both"/>
        <w:rPr>
          <w:rFonts w:ascii="Times New Roman" w:hAnsi="Times New Roman"/>
          <w:color w:val="000000" w:themeColor="text1"/>
          <w:sz w:val="16"/>
          <w:szCs w:val="16"/>
        </w:rPr>
      </w:pPr>
    </w:p>
    <w:p w14:paraId="66D17E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8 апреля 1944 в НИИ ВВС закончились государственные испытания разведчика-корректировщика Ил-АМ-42 экз. №1, которые шли с 26 февраля 1944, после того как к 22 февраля 1944, несмотря на неустойчивую работу мотора АМ-42, разведчик-корректировщик Ил-АМ-42 экз. №1 сумел успешно завершить программу заводских испытаний.</w:t>
      </w:r>
    </w:p>
    <w:p w14:paraId="0DE32B4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первую очередь определялись летно-технические данные в варианте штурмовика-бомбардировщика и только затем - в варианте разведчика-корректировщика. Как показали полеты, основные данные Ил-АМ-42 заметно превосходили Ил-2 АМ-38ф, хотя, по мнению военных, уже не отвечали в полном объеме требованиям.</w:t>
      </w:r>
    </w:p>
    <w:p w14:paraId="5EFFBE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Ил-АМ-42 имел удовлетворительную устойчивость по всем направлениям. Самолет позволял полет с брошенной ручкой управления. Виражил и пикировал устойчиво, без рысканий. Это обеспечивало лучшие условия для прицеливания и стрельбы.</w:t>
      </w:r>
    </w:p>
    <w:p w14:paraId="142E879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тоже время указывались и ряд серьезных недостатков. В частности, не доведена система заполнения бензобаков нейтральным газом. Заднюю бронеперегородку штурмана предлагалось сделать экранированной - две бронеплиты по 8 мм, и обеспечить защиту его головы бронестеклом.</w:t>
      </w:r>
    </w:p>
    <w:p w14:paraId="581509F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Оказалось, что при посадке на фюзеляж штурман выбраться из своей кабины не сможет, "так как фонарь летчика при открытии надвигается на фонарь штурмана".</w:t>
      </w:r>
    </w:p>
    <w:p w14:paraId="3A2B4B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ни летчик, ни штурман не могли прицельно сбросить бомбы. Из-за плохого обзора передней полусферы штурман без помощи летчика "не может вывести самолет на нехарактерную цель" (объект удара), то есть "заранее найти цель, опознать ее, а затем осуществить наводку". Как отмечалось в отчете, "выполнить все это через прицел не представляется возможным". В свою очередь, "вследствие неудовлетворительного качества прицельных устройств" летчик мог прицеливаться и бомбить "с горизонта" лишь по наитию. Фактически получалось так, что при бомбометании с горизонтального полета наводку на цель и выход на боевой курс должен был выполнять непосредственно летчик, а прицеливание - штурман, "что требует соответствующей методической проработки".</w:t>
      </w:r>
    </w:p>
    <w:p w14:paraId="29EC00A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дополнение к этому, бомбовый прицел штурмана в полете нещадно забрызгивался маслом, которое выбивалось из-под уплот- нительного кольца втулки винта и носка коленчатого вала мотора. Установка маслоотражателей проблемы не решило.</w:t>
      </w:r>
    </w:p>
    <w:p w14:paraId="5DE1DD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Работой оборонительной установки ВУ-8 с пулеметом УБК и ее возможностями в бою военные испытатели остались недовольны.</w:t>
      </w:r>
    </w:p>
    <w:p w14:paraId="3D0CF1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Предъявлялись претензии и к спецоборудованию самолета. Отмечалась плохая конструктивная проработка экранировки системы зажигания мотора, вследствие чего "уровень помех радиоприема вырастает до недопустимых величин". Схема коммутации средств радио- и внутрисамолетной связи не учитывала особенности работы экипажа на данном самолете - "летчик и штурман совмещают лишние функции".</w:t>
      </w:r>
    </w:p>
    <w:p w14:paraId="3491BC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недостатки, Ил-АМ-42 был рекомендован для постановки в серийное производство. При этом в сопроводительной записке к Акту по госиспытаниям от 12 апреля самолет уже именовался как Ил-8 АМ-42.</w:t>
      </w:r>
    </w:p>
    <w:p w14:paraId="55FF873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Надо сказать, к этому времени сложилась весьма непростая ситуация. Очевидно, что результаты испытаний Ил-8 не могли удовлетворить военных в полном объеме - ни штурмовик, ни бомбардировщик. В то же время испытания штурмовика Су-6 проходили очень сложно по причине плохой работы, установленного на самолете экземпляра мотора АМ-42.</w:t>
      </w:r>
    </w:p>
    <w:p w14:paraId="46F44C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сложившейся обстановке ВВС сделали попытку вернуться к первоначальной цельнометаллической конструкции Ил-2. Это позволяло улучшить боевые и эксплуатационные качества самолета и несколько разрядить напряженность в вопросе постановки на вооружение штурмовика, отвечающего современным требованиям (12020).</w:t>
      </w:r>
    </w:p>
    <w:p w14:paraId="251F62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E8D4F80"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года был подписан Акт по результатам государственных испытаний опытного двухместного самолета Ил с мотором АМ-42 и винтом АВ-5Л-18Б, конструкции т. Ильюшина.</w:t>
      </w:r>
    </w:p>
    <w:p w14:paraId="1E2FBA11"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Цель испытаний.</w:t>
      </w:r>
    </w:p>
    <w:p w14:paraId="2801EC7A"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Определить летно-тактические данные самолета.</w:t>
      </w:r>
    </w:p>
    <w:p w14:paraId="6CD9D70A"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Дать оценку работы винто-моторной группы, вооружения, спецоборудования и броневой защиты экипажа.</w:t>
      </w:r>
    </w:p>
    <w:p w14:paraId="7C1B88D9"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Выявить целесообразность принятия на вооружение ВВС Красной Армии опытного самолета Ил с АМ-42, вместо серийного самолета Ил-2 с АМ-38Ф.</w:t>
      </w:r>
    </w:p>
    <w:p w14:paraId="475DF487"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Объект испытаний.</w:t>
      </w:r>
    </w:p>
    <w:p w14:paraId="7A7AB715"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Предъявленный на государственные испытания опытный двухместный самолет Ил экз.№1 с мотором АМ-42, конструкции тов. ИЛЬЮШИНА, построен на заводе. №240 НКАП в мае месяце 1943 года.</w:t>
      </w:r>
    </w:p>
    <w:p w14:paraId="50CE8AE0"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предъявлен на испытания, как бронированный штурмовик-бомбардировщик и разведчик-корректировщик артиллерийского огня.</w:t>
      </w:r>
    </w:p>
    <w:p w14:paraId="1EB2A318"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по нормам прочности 1941 г. отнесен к классу «Б» с расчетной разрушающей перегрузкой 7,45 при полетном весе 7250 кг.</w:t>
      </w:r>
    </w:p>
    <w:p w14:paraId="4627A2E4"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имеет вооружение из двух пушек ВЯ 23мм и двух пулеметов ШКАС 7,62мм. Стрелок имеет турель ВУ-8 с УБТ 12,7мм. Ракетное вооружение не предусматривается.</w:t>
      </w:r>
    </w:p>
    <w:p w14:paraId="79A0D021"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caмолета состоит из двух человек: летчика и штурмана - стрелка, размещенных в двух кабинах-тандем.</w:t>
      </w:r>
    </w:p>
    <w:p w14:paraId="295D70E2"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Результаты испытаний.</w:t>
      </w:r>
    </w:p>
    <w:p w14:paraId="00C0615A"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прибыл в НИИ ВВС Красной Армии для прохождения государственных испытаний 26 февраля 1944 года.</w:t>
      </w:r>
    </w:p>
    <w:p w14:paraId="6F63659A"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Летные испытания начаты 29 февраля и закончены 8 марта 1944 года, проведены за 31 календарный день, в которых:</w:t>
      </w:r>
    </w:p>
    <w:p w14:paraId="533DAFB8"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Летных дней 10.</w:t>
      </w:r>
    </w:p>
    <w:p w14:paraId="008B0515"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Дней с нелетной погодой 14.</w:t>
      </w:r>
    </w:p>
    <w:p w14:paraId="704EA4EF"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Дней затраченных на доводку и ремонт материальной части 7.</w:t>
      </w:r>
    </w:p>
    <w:p w14:paraId="141A4868"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испытаний произведено 44 полета с общим налетом 19 часов 30 минут.</w:t>
      </w:r>
    </w:p>
    <w:p w14:paraId="4F588C3B"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Ил экз. №1 с АМ-42 испытания проходил в двух вариантах:</w:t>
      </w:r>
    </w:p>
    <w:p w14:paraId="13089418"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разведчика - корректировщика</w:t>
      </w:r>
    </w:p>
    <w:p w14:paraId="4B261C55"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штурмовика - бомбардировщика.</w:t>
      </w:r>
    </w:p>
    <w:p w14:paraId="1019CAE3"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Полеты, производились с нормальным и перегрузочным весами с внутренней и наружной подвеской бомб.</w:t>
      </w:r>
    </w:p>
    <w:p w14:paraId="4889306B"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Дополнительная нагрузка перегрузочного полетного веса для штурмовика-бомбардировщика составляет 400кг.</w:t>
      </w:r>
    </w:p>
    <w:p w14:paraId="52135D6D"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облетали ведущий инженер-летчик 3-го отдела НИИ ВВС инженер-майор А.В.Синельников, летчик-испытатель 4-го отдела майор М.П.Субботин, старший летчик-испытатель 3-го отдела майор В.С.Журавлев и летчик-испытатель подполковник М.А.Нюхтиков. В качестве штурманов облета участвовали капитан Т.Ф.Горбунов, заместитель начальника 4-го отдела полковник Н.И.Шауров, помощник начальника 6-го отдела капитан Васильев, штурман-испытатель капитан В.Н.Ковынев, штурман-испытатель подполковник Н.П.Цветков.</w:t>
      </w:r>
    </w:p>
    <w:p w14:paraId="4BF3EF4C"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По пилотажным свойствам Ил-АМ-42 простой и легкий в управлении. В сравнении с Ил-2, самолет Ил АМ42 обладет значительно лучшей продольной устойчивостью и управляемостью, что упрощает технику пилотирования, особенно на виражах и бреющих полетах. </w:t>
      </w:r>
    </w:p>
    <w:p w14:paraId="68300223"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Ил-АМ-42 в отличие от Ил-2 на вираже позволяет значительно выбирать ручку руля высоты на себя, для уменьшения радиуса виража. </w:t>
      </w:r>
    </w:p>
    <w:p w14:paraId="14CED627"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Пикирование самолета устойчивое. </w:t>
      </w:r>
    </w:p>
    <w:p w14:paraId="5DFA5D0C"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Просадка на выводе несколько больше, чем у серийного Ил-2. </w:t>
      </w:r>
    </w:p>
    <w:p w14:paraId="68D08F1E"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Сила отдачи при стрельбе из пушек почти не мешает пилотированию самолетом и прицеливанию. </w:t>
      </w:r>
    </w:p>
    <w:p w14:paraId="240F521C"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Маневренность Ил-АМ-42 в вертикальной и горизонтальной плоскостях почти такая же, как у серийного Ил-2, - Самолет Ил-АМ-42 специального переучивания летного состава для перехода с Ил-2 не требует.</w:t>
      </w:r>
    </w:p>
    <w:p w14:paraId="7ACDB856"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Для улучшения пилотажных качеств машины следует на руль поворота установить триммер, а на элероны наклепать ножи для регулировки от подваливания.</w:t>
      </w:r>
    </w:p>
    <w:p w14:paraId="4125B5FA"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Мотор АМ-42 работает с недостатками: дымление, тряска, непостоянство наддува на режиме номинальной мощности, течь масла из-под уплотнения вала редуктора мотора, из-под крышки блоков, из корпуса нагнетателя через дренаж (после остановки мотора), а также засорение воздушных клапанов карбюраторов, быстрый износ поршневых колец. </w:t>
      </w:r>
    </w:p>
    <w:p w14:paraId="5EC2FFAD"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Большой расход горючего на номинальном режиме работы мотора - 295–315г/л.с. ч.</w:t>
      </w:r>
    </w:p>
    <w:p w14:paraId="79D7711A"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ходе испытаний заменялись: маслоуплотнитель носка вала редуктора мотора, регулятор давления наддува, прокладки под всасывающими патрубками, снимался карбюратор. Дважды менялся комплект свечей, по одному разу все свечи внешнего ряда, водяную трубку (подводящую охлаждающую воду к левому блоку цилиндров мотора от помпы) и бензотрубку (подводящую топливо к карбюраторам). </w:t>
      </w:r>
    </w:p>
    <w:p w14:paraId="591AE9CE"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-Маслобаки текут по сварочным швам. </w:t>
      </w:r>
    </w:p>
    <w:p w14:paraId="78886B4F"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-Имеется непродуманность конструкции винтомоторной группы с точки зрения удобства эксплуатации. </w:t>
      </w:r>
    </w:p>
    <w:p w14:paraId="2489AFFC"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Для того чтобы снять водяную трубку, необходимо демонтировать блоки мотора, выхлопные патрубки и левый маслобак, а затем вернуть их на свои места.</w:t>
      </w:r>
    </w:p>
    <w:p w14:paraId="51311ACE"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Для замены трубопровода подводящего горючее к карбюраторам, втребуется снять всасывающую трубу нагнетателя и карбюратора.</w:t>
      </w:r>
    </w:p>
    <w:p w14:paraId="63DE3CE1"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Трудно заменятть свечи внутренней стороны, и проводники к свечам. На их замену тратится 5–6 часов. Трубки, подводящие воду к блокам, слишком длинные и без технологических разъемов, что усложняет их замену и ремонт.</w:t>
      </w:r>
    </w:p>
    <w:p w14:paraId="5FD28117"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Самолет Ил-АМ-42, снабжен системой заполнения баков нейтральным газом, однако она не была доведена до рабочего состояния.</w:t>
      </w:r>
    </w:p>
    <w:p w14:paraId="29AF4B24"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Схема бронирования Ил-АМ-42 не отвечает современным требованиям.</w:t>
      </w:r>
    </w:p>
    <w:p w14:paraId="44E25A40"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Особо уязвимые места - задняя бронеперегородка штурмана-стрелка (толщина 12мм) и моторная часть снизу-сбоку (толщина 4мм). Предлагается усилить эти участки путем перераспределения толщины брони при сохранении веса брони на прежнем уровне. Снять с корпуса передние броневые детали за втулкой винта, уменьшить с 5 до 2,5мм толщину деталей пояса кабины летчика в местах примыкания крыла к фюзеляжу. Заднюю перегородку штурмана установить по образцу 2-го экземпляра Ил-АМ-42. Обеспечить защиту головы штурмана бронестеклом.</w:t>
      </w:r>
    </w:p>
    <w:p w14:paraId="3AAD2F9A"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Обе кабины– летчика и штурмана-стрелка– в сравнении с Ил-2 имеют увеличенные размеры, что улучшает условия боевой работы экипажа. </w:t>
      </w:r>
    </w:p>
    <w:p w14:paraId="2108056F"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В кабине штурмана-стрелка вместо брезентовой ленты как на Ил-2, установлено откидное сиденье. </w:t>
      </w:r>
    </w:p>
    <w:p w14:paraId="4BC528AC"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В кабине тепло, задуваний нет, можно работать без летных очков. </w:t>
      </w:r>
    </w:p>
    <w:p w14:paraId="65B634E9"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Посадка в заднюю кабину через нижний люк в бронекорпусе удобная. </w:t>
      </w:r>
    </w:p>
    <w:p w14:paraId="1A18B41A"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В аварийной ситуации легко покинуть кабину с парашютом. </w:t>
      </w:r>
    </w:p>
    <w:p w14:paraId="40C1FAAC"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При посадке на фюзеляж выбраться из задней кабины нельзя, так как фонарь летчика при открытии надвигается на фонарь штурмана.</w:t>
      </w:r>
    </w:p>
    <w:p w14:paraId="6CBA7F49"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Удачное применение электрической системы управления заслонками водо- и маслорадиаторов, а также пневмоэлектрической системы управления огнем и перезарядки стрелково-пушечного вооружения, сильно облегчает работу летчика в бою.</w:t>
      </w:r>
    </w:p>
    <w:p w14:paraId="49B1F573"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Дублирование управления рулем высоты, поворота, элеронами и триммерами, улучшает боевую живучесть.</w:t>
      </w:r>
    </w:p>
    <w:p w14:paraId="4B222633"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Установка в кабине пилота прицела ПБП-1б на легкосъемном кронштейне обеспечивает летчику дополнительную безопасность при посадке с убранным шасси.</w:t>
      </w:r>
    </w:p>
    <w:p w14:paraId="7820622B"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Бомбовое вооружение штурмовика-бомбардировщика Ил-АМ-42 по номенклатуре бомб и весу в целом соответствует требованиям войны.</w:t>
      </w:r>
    </w:p>
    <w:p w14:paraId="0D62FE31"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Бомбометание допускается как с горизонтального полета, так и с пикирования, под углами не более 25–30°, - Для бомбометания с горизонтального полета предназначается прицел ОПБ-1р. Сброс бомб может осуществляться и штурманом, и летчиком. </w:t>
      </w:r>
    </w:p>
    <w:p w14:paraId="29BE46F0"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Плохой обзор передней полусферы, штурман без помощи летчика не может вывести самолет на нехарактерную цель, то есть заранее найти цель, опознать ее, а затем осуществить наводку. Выполнить все это через прицел не представляется возможным. Вследствие неудовлетворительного качества прицельных устройств, летчик может прицеливаться и бомбить с горизонта по наитию. При бомбометании с горизонтального полета наводку на цель и выход на боевой курс должен выполнять непосредственно летчик, а прицеливание– штурман, что требует соответствующей методической проработки.</w:t>
      </w:r>
    </w:p>
    <w:p w14:paraId="03B43451"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Бомбовый прицел штурмана в полете забрызгивается маслом, которое выбивается из-под уплотнительного кольца втулки винта и носка коленчатого вала мотора.</w:t>
      </w:r>
    </w:p>
    <w:p w14:paraId="3347B3B6"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Для предохранения прицела от попадания масла на заводе №240 изготовлен специальный щиток. Установка щитка на самолет положение не улучшило– оптика забрызгивается маслом. Прицельное бомбометание со щитком по-прежнему невозможно. </w:t>
      </w:r>
    </w:p>
    <w:p w14:paraId="60C60E01"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Работать с прицелом ОПБ-1р в боевом положении удобно, а сам прицел является наиболее подходящим для установки на Ил-АМ-42, если, устранить забрызгивание оптики прицела маслом.</w:t>
      </w:r>
    </w:p>
    <w:p w14:paraId="291421BE"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Пока забрызгивание не бужет устранено, для бомбометания с горизонтального полета рекомендуется использовать прицельную систему, отработанную для серийных Ил-2.</w:t>
      </w:r>
    </w:p>
    <w:p w14:paraId="045F46A6"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Бомбометание с пикирования по методике ничем не отличается от таковой на Ил-2 и в целом показало хорошие результаты вследствие лучшей устойчивости самолета при пикировании.</w:t>
      </w:r>
    </w:p>
    <w:p w14:paraId="562612DD"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Маслом забрызгивается переднее бронестекло фонаря кабины пилота, что, ухудшает условия прицеливания.</w:t>
      </w:r>
    </w:p>
    <w:p w14:paraId="0DAE89D8"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Турельная установка ВУ-8 с пулеметом УБТ, по сравнению с ранее принятыми подобными установками преимуществ не имеет, за исключением того, что защищает стрелка от задувания.</w:t>
      </w:r>
    </w:p>
    <w:p w14:paraId="7BEAE9F9"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Предлагается увеличить углы обстрела вверх и по горизонту и емкость магазина, хотя бы до 75 патронов, а также отработать механизм компенсирующий вес пулемета и магазина.</w:t>
      </w:r>
    </w:p>
    <w:p w14:paraId="7E1EF2BC"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Плохая конструктивная проработка экранировки системы зажигания мотора, вследствие чего уровень помех радиоприема вырастает до недопустимых величин.</w:t>
      </w:r>
    </w:p>
    <w:p w14:paraId="04530B1D"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Схема коммутации средств радио- и внутрисамолетной связи не учитывает особенности работы экипажа на данном самолете – летчик и штурман совмещают лишние функции.</w:t>
      </w:r>
    </w:p>
    <w:p w14:paraId="00DE11E9"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Заключение.</w:t>
      </w:r>
    </w:p>
    <w:p w14:paraId="6261B7DD"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Самолет Ил-АМ-42 рекомендован к запуску в серийное производство в вариантах штурмовика-бомбардировщика и разведчика-корректировщика.</w:t>
      </w:r>
    </w:p>
    <w:p w14:paraId="59D7772C"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С целью выявления боевых качеств Ил-АМ-42 предлагается выпустить войсковую серию этих самолетов.</w:t>
      </w:r>
    </w:p>
    <w:p w14:paraId="3A03A8C7"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Даже с 50час. ресурсом АМ-42, если не успеют моторы со 100 час. ресурсом.</w:t>
      </w:r>
    </w:p>
    <w:p w14:paraId="396EB34F"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Просить Наркома авиапромышленности тов. ШахуринаА.И. дать задания: </w:t>
      </w:r>
    </w:p>
    <w:p w14:paraId="66E1AF72"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 Главному конструктору мотора АМ-42 тов. МикулинуА.А. довести опытный мотор до состояния пригодного к нормальной эксплуатации. </w:t>
      </w:r>
    </w:p>
    <w:p w14:paraId="7B1488C5"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Главному конструктору самолета Ил с АМ-42 тов. ИльюшинуС.В. до запуска в серийное производство устранить дефекты.</w:t>
      </w:r>
    </w:p>
    <w:p w14:paraId="5DCFDE08" w14:textId="77777777" w:rsidR="0094033C" w:rsidRPr="00070ADE" w:rsidRDefault="0094033C" w:rsidP="00B56F90">
      <w:pPr>
        <w:spacing w:after="0" w:line="240" w:lineRule="auto"/>
        <w:jc w:val="both"/>
        <w:rPr>
          <w:rStyle w:val="a5"/>
          <w:rFonts w:ascii="Times New Roman" w:hAnsi="Times New Roman"/>
          <w:color w:val="000000" w:themeColor="text1"/>
          <w:sz w:val="16"/>
          <w:szCs w:val="16"/>
          <w:bdr w:val="single" w:sz="2" w:space="0" w:color="auto" w:frame="1"/>
        </w:rPr>
      </w:pPr>
      <w:r w:rsidRPr="00070ADE">
        <w:rPr>
          <w:rFonts w:ascii="Times New Roman" w:hAnsi="Times New Roman"/>
          <w:color w:val="000000" w:themeColor="text1"/>
          <w:sz w:val="16"/>
          <w:szCs w:val="16"/>
        </w:rPr>
        <w:t>- Установку на самолет Ил-АМ-42 кассет ДАГ-10 и крупнокалиберных пушек 11П, а также величины бомбовой нагрузки с этими пушками, принять после проведения испытаний 2-го экземпляра самолета Ил-АМ-42 (ФБ Линевич)</w:t>
      </w:r>
      <w:r w:rsidRPr="00070ADE">
        <w:rPr>
          <w:rFonts w:ascii="Times New Roman" w:hAnsi="Times New Roman"/>
          <w:color w:val="000000" w:themeColor="text1"/>
          <w:sz w:val="16"/>
          <w:szCs w:val="16"/>
        </w:rPr>
        <w:fldChar w:fldCharType="begin"/>
      </w:r>
      <w:r w:rsidRPr="00070ADE">
        <w:rPr>
          <w:rFonts w:ascii="Times New Roman" w:hAnsi="Times New Roman"/>
          <w:color w:val="000000" w:themeColor="text1"/>
          <w:sz w:val="16"/>
          <w:szCs w:val="16"/>
        </w:rPr>
        <w:instrText xml:space="preserve"> HYPERLINK "https://www.facebook.com/photo/?fbid=1860313640801979&amp;set=pcb.1860314250801918&amp;__cft__%5b0%5d=AZUU_PaYRplXUgVVNEP9sGjlZdbgly4skr_gcTzwqt8dPyYrhv4VI0s7QhgfB_EpfXYzYL2DUOC8GAojti21o-PCf1yMDhXHr4IURiuyhTqfYzU8EPO8szzBIMjbAdlP8H4&amp;__tn__=*bH-R" </w:instrText>
      </w:r>
      <w:r w:rsidRPr="00070ADE">
        <w:rPr>
          <w:rFonts w:ascii="Times New Roman" w:hAnsi="Times New Roman"/>
          <w:color w:val="000000" w:themeColor="text1"/>
          <w:sz w:val="16"/>
          <w:szCs w:val="16"/>
        </w:rPr>
      </w:r>
      <w:r w:rsidRPr="00070ADE">
        <w:rPr>
          <w:rFonts w:ascii="Times New Roman" w:hAnsi="Times New Roman"/>
          <w:color w:val="000000" w:themeColor="text1"/>
          <w:sz w:val="16"/>
          <w:szCs w:val="16"/>
        </w:rPr>
        <w:fldChar w:fldCharType="separate"/>
      </w:r>
    </w:p>
    <w:p w14:paraId="0A85CB7A" w14:textId="77777777" w:rsidR="0094033C" w:rsidRPr="00070ADE" w:rsidRDefault="00940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fldChar w:fldCharType="end"/>
      </w:r>
    </w:p>
    <w:p w14:paraId="40140F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закончились испытания Як-9К с НС-45, которые начались 12 января 1944, а в апреле-июле сделали войсковую серию из 53 машин. Серии не было, так как пушка была ненадежна (65,133).</w:t>
      </w:r>
    </w:p>
    <w:p w14:paraId="5CAABE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6221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года директор и гл. конструктор завода N 155 Микоян А.И. писал письмо N 273 зам. наркома Авиапрома Дементьеву П.В.</w:t>
      </w:r>
    </w:p>
    <w:p w14:paraId="589AFB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Направляю общий вид самолета МИГ-3 с мотором Пратт-Уитни.</w:t>
      </w:r>
    </w:p>
    <w:p w14:paraId="4CC1F3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упомянутое на одном листе (1825,217).</w:t>
      </w:r>
    </w:p>
    <w:p w14:paraId="47B87F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581D74"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г. на рассмотрение руководству НКАП ОКБ МиГ был представлен проект, сочетавший планер опытного ис</w:t>
      </w:r>
      <w:r w:rsidRPr="00070ADE">
        <w:rPr>
          <w:rFonts w:ascii="Times New Roman" w:hAnsi="Times New Roman"/>
          <w:color w:val="000000" w:themeColor="text1"/>
          <w:sz w:val="16"/>
          <w:szCs w:val="16"/>
        </w:rPr>
        <w:softHyphen/>
        <w:t>требителя-перехватчика МиГ-9Е (он же И-211), первоначально оснащавшегося мотором АШ-82ФН, с мотоустановкой от P-47D-10, то есть двигателем R-2800-63 и турбонагнетателем С23. По расчетам, эта машина, намного более легкая и ком</w:t>
      </w:r>
      <w:r w:rsidRPr="00070ADE">
        <w:rPr>
          <w:rFonts w:ascii="Times New Roman" w:hAnsi="Times New Roman"/>
          <w:color w:val="000000" w:themeColor="text1"/>
          <w:sz w:val="16"/>
          <w:szCs w:val="16"/>
        </w:rPr>
        <w:softHyphen/>
        <w:t>пактная, чем «Тандерболт», должна была достичь скорости 740 км/ч на высоте 10000 м., однако интереса не вызвал и далее не прорабатывался (23513).</w:t>
      </w:r>
    </w:p>
    <w:p w14:paraId="126EA91C" w14:textId="77777777" w:rsidR="00F43847" w:rsidRPr="00070ADE" w:rsidRDefault="00F43847" w:rsidP="00B56F90">
      <w:pPr>
        <w:spacing w:after="0" w:line="240" w:lineRule="auto"/>
        <w:jc w:val="both"/>
        <w:rPr>
          <w:rFonts w:ascii="Times New Roman" w:hAnsi="Times New Roman"/>
          <w:color w:val="000000" w:themeColor="text1"/>
          <w:sz w:val="16"/>
          <w:szCs w:val="16"/>
        </w:rPr>
      </w:pPr>
    </w:p>
    <w:p w14:paraId="5F779A89"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8 апреля 1944 г. на рассмотрение руко</w:t>
      </w:r>
      <w:r w:rsidRPr="00C94B78">
        <w:rPr>
          <w:rFonts w:ascii="Times New Roman" w:hAnsi="Times New Roman"/>
          <w:color w:val="0070C0"/>
          <w:sz w:val="16"/>
          <w:szCs w:val="16"/>
        </w:rPr>
        <w:softHyphen/>
        <w:t>водству НКАП был представлен предварительный проект оснащения планера опытного ис</w:t>
      </w:r>
      <w:r w:rsidRPr="00C94B78">
        <w:rPr>
          <w:rFonts w:ascii="Times New Roman" w:hAnsi="Times New Roman"/>
          <w:color w:val="0070C0"/>
          <w:sz w:val="16"/>
          <w:szCs w:val="16"/>
        </w:rPr>
        <w:softHyphen/>
        <w:t>требителя-перехватчика МиГ-9Е (он же И-211), первоначально оснащавшегося мотором АШ-82ФН, мотоустановкой от P-47D-10, однако интереса не вызвал и далее не прора</w:t>
      </w:r>
      <w:r w:rsidRPr="00C94B78">
        <w:rPr>
          <w:rFonts w:ascii="Times New Roman" w:hAnsi="Times New Roman"/>
          <w:color w:val="0070C0"/>
          <w:sz w:val="16"/>
          <w:szCs w:val="16"/>
        </w:rPr>
        <w:softHyphen/>
        <w:t>батывался (24942)</w:t>
      </w:r>
    </w:p>
    <w:p w14:paraId="0A705111" w14:textId="77777777" w:rsidR="00D0391D" w:rsidRPr="00C94B78" w:rsidRDefault="00D0391D" w:rsidP="00B56F90">
      <w:pPr>
        <w:spacing w:after="0" w:line="240" w:lineRule="auto"/>
        <w:jc w:val="both"/>
        <w:rPr>
          <w:rFonts w:ascii="Times New Roman" w:hAnsi="Times New Roman"/>
          <w:color w:val="0070C0"/>
          <w:sz w:val="16"/>
          <w:szCs w:val="16"/>
        </w:rPr>
      </w:pPr>
    </w:p>
    <w:p w14:paraId="11E2B4BF"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8 апреля 1944 года проект установки на самолет И-211 двигатель Pratt</w:t>
      </w:r>
      <w:r w:rsidRPr="00C94B78">
        <w:rPr>
          <w:rFonts w:ascii="Times New Roman" w:hAnsi="Times New Roman"/>
          <w:color w:val="0070C0"/>
          <w:sz w:val="16"/>
          <w:szCs w:val="16"/>
        </w:rPr>
        <w:noBreakHyphen/>
        <w:t>Whitney R</w:t>
      </w:r>
      <w:r w:rsidRPr="00C94B78">
        <w:rPr>
          <w:rFonts w:ascii="Times New Roman" w:hAnsi="Times New Roman"/>
          <w:color w:val="0070C0"/>
          <w:sz w:val="16"/>
          <w:szCs w:val="16"/>
        </w:rPr>
        <w:noBreakHyphen/>
        <w:t>2800</w:t>
      </w:r>
      <w:r w:rsidRPr="00C94B78">
        <w:rPr>
          <w:rFonts w:ascii="Times New Roman" w:hAnsi="Times New Roman"/>
          <w:color w:val="0070C0"/>
          <w:sz w:val="16"/>
          <w:szCs w:val="16"/>
        </w:rPr>
        <w:noBreakHyphen/>
        <w:t>63 мощностью 2250 л.с. и наддув General Electric C</w:t>
      </w:r>
      <w:r w:rsidRPr="00C94B78">
        <w:rPr>
          <w:rFonts w:ascii="Times New Roman" w:hAnsi="Times New Roman"/>
          <w:color w:val="0070C0"/>
          <w:sz w:val="16"/>
          <w:szCs w:val="16"/>
        </w:rPr>
        <w:noBreakHyphen/>
        <w:t>23 был представлен на регулярном совещании НКАП, где одобрения не получил и на этом закончился (25067).</w:t>
      </w:r>
    </w:p>
    <w:p w14:paraId="413CC65F" w14:textId="77777777" w:rsidR="00D0391D" w:rsidRPr="00C94B78" w:rsidRDefault="00D0391D" w:rsidP="00B56F90">
      <w:pPr>
        <w:spacing w:after="0" w:line="240" w:lineRule="auto"/>
        <w:jc w:val="both"/>
        <w:rPr>
          <w:rFonts w:ascii="Times New Roman" w:hAnsi="Times New Roman"/>
          <w:color w:val="0070C0"/>
          <w:sz w:val="16"/>
          <w:szCs w:val="16"/>
        </w:rPr>
      </w:pPr>
    </w:p>
    <w:p w14:paraId="3A5A52F7" w14:textId="734F8560"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г. директор и Главный конструктор завода №155 А.И. Микоян письмом № 273 направил в аппарат НКАП чертеж общего вида самолёта с силовой установкой в виде американского 18-цилиндрового мо</w:t>
      </w:r>
      <w:r w:rsidRPr="00070ADE">
        <w:rPr>
          <w:rFonts w:ascii="Times New Roman" w:hAnsi="Times New Roman"/>
          <w:color w:val="000000" w:themeColor="text1"/>
          <w:sz w:val="16"/>
          <w:szCs w:val="16"/>
        </w:rPr>
        <w:softHyphen/>
        <w:t>тора R-2800-63, который имел взлётную мощность 2000 л.с., а боевую - на границе высотно</w:t>
      </w:r>
      <w:r w:rsidRPr="00070ADE">
        <w:rPr>
          <w:rFonts w:ascii="Times New Roman" w:hAnsi="Times New Roman"/>
          <w:color w:val="000000" w:themeColor="text1"/>
          <w:sz w:val="16"/>
          <w:szCs w:val="16"/>
        </w:rPr>
        <w:softHyphen/>
        <w:t>сти 2300 сил. Машина была</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представлена как «МиГ-3 с мотором Пратт-Уитни». Фактически же речь мо</w:t>
      </w:r>
      <w:r w:rsidRPr="00070ADE">
        <w:rPr>
          <w:rFonts w:ascii="Times New Roman" w:hAnsi="Times New Roman"/>
          <w:color w:val="000000" w:themeColor="text1"/>
          <w:sz w:val="16"/>
          <w:szCs w:val="16"/>
        </w:rPr>
        <w:softHyphen/>
        <w:t>гла идти не о простой переделке МиГ-3 под такую силовую установку - в него она никак не вписывалась, и даже не о модификации самолёта И-211, кото</w:t>
      </w:r>
      <w:r w:rsidRPr="00070ADE">
        <w:rPr>
          <w:rFonts w:ascii="Times New Roman" w:hAnsi="Times New Roman"/>
          <w:color w:val="000000" w:themeColor="text1"/>
          <w:sz w:val="16"/>
          <w:szCs w:val="16"/>
        </w:rPr>
        <w:softHyphen/>
        <w:t>рый сам иногда представлялся как раз</w:t>
      </w:r>
      <w:r w:rsidRPr="00070ADE">
        <w:rPr>
          <w:rFonts w:ascii="Times New Roman" w:hAnsi="Times New Roman"/>
          <w:color w:val="000000" w:themeColor="text1"/>
          <w:sz w:val="16"/>
          <w:szCs w:val="16"/>
        </w:rPr>
        <w:softHyphen/>
        <w:t>витие МиГ-3, а о принципиально новом проекте.</w:t>
      </w:r>
    </w:p>
    <w:p w14:paraId="362DA59F"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Конкретно письмо адресовано было не начальнику 7-го Главного управле</w:t>
      </w:r>
      <w:r w:rsidRPr="00070ADE">
        <w:rPr>
          <w:rFonts w:ascii="Times New Roman" w:hAnsi="Times New Roman"/>
          <w:color w:val="000000" w:themeColor="text1"/>
          <w:sz w:val="16"/>
          <w:szCs w:val="16"/>
        </w:rPr>
        <w:softHyphen/>
        <w:t>ния Наркомата авиапромышленности А.С. Яковлеву, который отвечал за опыт</w:t>
      </w:r>
      <w:r w:rsidRPr="00070ADE">
        <w:rPr>
          <w:rFonts w:ascii="Times New Roman" w:hAnsi="Times New Roman"/>
          <w:color w:val="000000" w:themeColor="text1"/>
          <w:sz w:val="16"/>
          <w:szCs w:val="16"/>
        </w:rPr>
        <w:softHyphen/>
        <w:t>ное самолётостроение и занимался таки</w:t>
      </w:r>
      <w:r w:rsidRPr="00070ADE">
        <w:rPr>
          <w:rFonts w:ascii="Times New Roman" w:hAnsi="Times New Roman"/>
          <w:color w:val="000000" w:themeColor="text1"/>
          <w:sz w:val="16"/>
          <w:szCs w:val="16"/>
        </w:rPr>
        <w:softHyphen/>
        <w:t>ми вопросами непосредственно, а «через его голову» прямо первому заму нарко</w:t>
      </w:r>
      <w:r w:rsidRPr="00070ADE">
        <w:rPr>
          <w:rFonts w:ascii="Times New Roman" w:hAnsi="Times New Roman"/>
          <w:color w:val="000000" w:themeColor="text1"/>
          <w:sz w:val="16"/>
          <w:szCs w:val="16"/>
        </w:rPr>
        <w:softHyphen/>
        <w:t>ма П.В. Дементьеву. Может быть, Микоян и надеялся на давние с ним отношения, ко</w:t>
      </w:r>
      <w:r w:rsidRPr="00070ADE">
        <w:rPr>
          <w:rFonts w:ascii="Times New Roman" w:hAnsi="Times New Roman"/>
          <w:color w:val="000000" w:themeColor="text1"/>
          <w:sz w:val="16"/>
          <w:szCs w:val="16"/>
        </w:rPr>
        <w:softHyphen/>
        <w:t>торые укрепились еще во время их сов</w:t>
      </w:r>
      <w:r w:rsidRPr="00070ADE">
        <w:rPr>
          <w:rFonts w:ascii="Times New Roman" w:hAnsi="Times New Roman"/>
          <w:color w:val="000000" w:themeColor="text1"/>
          <w:sz w:val="16"/>
          <w:szCs w:val="16"/>
        </w:rPr>
        <w:softHyphen/>
        <w:t>местной работы на заводе №1, но теперь даже трудно установить, какова была ре</w:t>
      </w:r>
      <w:r w:rsidRPr="00070ADE">
        <w:rPr>
          <w:rFonts w:ascii="Times New Roman" w:hAnsi="Times New Roman"/>
          <w:color w:val="000000" w:themeColor="text1"/>
          <w:sz w:val="16"/>
          <w:szCs w:val="16"/>
        </w:rPr>
        <w:softHyphen/>
        <w:t>акция и поступила ли она вообще (23958).</w:t>
      </w:r>
    </w:p>
    <w:p w14:paraId="1037A114" w14:textId="77777777" w:rsidR="00F43847" w:rsidRPr="00070ADE" w:rsidRDefault="00F43847" w:rsidP="00B56F90">
      <w:pPr>
        <w:spacing w:after="0" w:line="240" w:lineRule="auto"/>
        <w:jc w:val="both"/>
        <w:rPr>
          <w:rFonts w:ascii="Times New Roman" w:hAnsi="Times New Roman"/>
          <w:color w:val="000000" w:themeColor="text1"/>
          <w:sz w:val="16"/>
          <w:szCs w:val="16"/>
        </w:rPr>
      </w:pPr>
    </w:p>
    <w:p w14:paraId="0BFA83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вышел приказ НКАП N 243с о порядке и составе проведения летных испытаний самолетов в ЛИИ (1813,104).</w:t>
      </w:r>
    </w:p>
    <w:p w14:paraId="24A1FC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64335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2012DF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0BBF9F"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г. из КРАТКОГО ОТЧЕТА ДИРЕКТОРА ЗАВОДА № 136 М.Г. КОСТИКОВА ЗА ПЕРИОД 1941-1944 гг.</w:t>
      </w:r>
    </w:p>
    <w:p w14:paraId="50C2E5AB"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Эвакуация и восстановление завода в г. Новосибирске</w:t>
      </w:r>
    </w:p>
    <w:p w14:paraId="5FF19FB8"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Завод № 136 до 10 октября 1941 г. находился в городе Туле как одно из производств завода № 187 и располагал мощностями на выпуск 20 и 23 мм патронов до 35,0 миллионов в год. В 1941 году завод выпускал: 20 мм осколочно-фугасный патрон, 20 мм бронебойно-зажигательный патрон, 23 мм осколочно- и бронебойно-зажигательные патроны. С 10 октября 1941 года по решению Государственного Комитета Обороны СССР и согласно приказа народного комиссара боеприпасов производство авиавыстрела вместе с заводом № 556 эвакуировано в город Новосибирск и восстановлено на северной площадке комбината № 179 в корпусе 123-Е. Первоначально производство патронирования и снаряжения восстанавливалось как одно из производств комбината № 179, затем по приказу директора комбината № 179 от 9 декабря 1941 года № 659 оно передано в состав завода № 556, где и находилось до 1 сентября 1943 года как одно из цехов завода. С 1 ноября 1943 года приказом народного комиссара боеприпасов № 1 032с от 5 сентября 1943 года производство авиавыстрела выделено в самостоятельный завод № 136. По генеральному плану завод № 136 восстановлен на патронирование и снаряжение 20 и 23 мм осколочно- и бронебойно-зажигательных патронов в объеме 45,0 миллионов в год. В 1944 году завод выпускает следующую номенклатуру изделий: 20 мм осколочно-зажигательный патрон, 20 мм бронебойно-зажигательный патрон, 20 мм осколочно-трассирующий патрон, 23 мм осколочно-зажигательный патрон, 23 мм бронебойно-зажигательный патрон. В период эвакуации и восстановления коллектив завода проделал большую работу. На перебазирование завода из города Тулы и восстановление его на новом месте было затрачено всего лишь 2—2,5 месяца. В декабре 1941 года завод уже на новом месте выпускал продукцию. На новом месте за период Отечественной войны завод увеличил выпуск - 20 мм патронов почти в три раза, а 23 мм больше чем в пять раз. Из года в год резко увеличивается удельный вес в производстве 23 мм патронов. За период войны завод проделал большую работу по улучшению технологического процесса и механизации производства. В 1944 году завод полностью перевел производство 20 мм патронов на конвейер. Это обстоятельство дало возможность освободить заводу значительное количество рабочих, установить ритм производства и дисциплинировать рабочих, резко повысить производительность труда. В настоящее время проведены все необходимые подготовительные работы по установке конвейера № 2 на производстве 23 мм патронов. Большую роль в повышении производительности труда завода играют в настоящее время комсомольско-молодежные бригады. Всего на заводе имелось комсомольско-молодежных бригад в январе - 18, в феврале - 18, в марте — 34. Включившись в предмайское социалистическое соревнование, комсомольско-молодежная бригада тов. Пироговой В.В. выполнила производственное задание марта месяца на 287%, бригада тов. Свияновой О.Г. - на 245%, бригада тов. Никоновой В.Б. - на 210%, бригада тов. Якунина A.M. — на 167%. Указанные товарищи работают без брака, не имеют нарушений трудовой дисциплины, экономно относятся к расходу основных и вспомогательных материалов. За март месяц завод сократил не выполняющих норм с 10 человек в феврале до 3 человек в марте. В 1943 году завод дал снижение себестоимости на 42,3%, дав государству экономию за счет снижения себестоимости 114,2 миллионов рублей, в том числе 8,0 миллионов сверх плановой прибыли ... </w:t>
      </w:r>
    </w:p>
    <w:p w14:paraId="53894470"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завода № 136 НКБ СССР Костиков</w:t>
      </w:r>
    </w:p>
    <w:p w14:paraId="54135A6C"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ПЭО и ООТ завода № 136 НКБ Тренин</w:t>
      </w:r>
    </w:p>
    <w:p w14:paraId="0580C3FE"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ГАНО. Ф. П-4. Оп. 6. Д. 473. Л. 157-158, 160-162. Подлинник.</w:t>
      </w:r>
    </w:p>
    <w:p w14:paraId="37EBAA2F"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Подписи-автографы Костикова и Тренина. Документ составлен в 2 экз. 8/1V 1944 г.. первый экземпляр отправлен в обком ВКП(6) (12194).</w:t>
      </w:r>
    </w:p>
    <w:p w14:paraId="66ECAEC7" w14:textId="77777777" w:rsidR="00137373" w:rsidRPr="00070ADE" w:rsidRDefault="00137373" w:rsidP="00B56F90">
      <w:pPr>
        <w:spacing w:after="0" w:line="240" w:lineRule="auto"/>
        <w:jc w:val="both"/>
        <w:rPr>
          <w:rFonts w:ascii="Times New Roman" w:hAnsi="Times New Roman"/>
          <w:color w:val="000000" w:themeColor="text1"/>
          <w:sz w:val="16"/>
          <w:szCs w:val="16"/>
        </w:rPr>
      </w:pPr>
    </w:p>
    <w:p w14:paraId="74A9C4A4"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г. ИЗ КРАТКОГО ОТЧЕТА ДИРЕКТОРА ЗАВОДА № 136 М.Г. КОСТИКОВА ЗА ПЕРИОД 1941-1944 гг.</w:t>
      </w:r>
    </w:p>
    <w:p w14:paraId="2FE9C2B0"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Эвакуация и восстановление завода в г. Новосибирске</w:t>
      </w:r>
    </w:p>
    <w:p w14:paraId="35DE9E33"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136 до 10 октября 1941 г. находился в городе Туле как одно из производств завода № 187 и располагал мощностями на выпуск 20 и 23 мм патронов до 35,0 миллионов в год. В 1941 году завод выпускал:</w:t>
      </w:r>
    </w:p>
    <w:p w14:paraId="3867D036"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мм осколочно-фугасный патрон, 20 мм бронебойно-зажигательный патрон, 23 мм осколочно- и бронебойно-зажигательные патроны.</w:t>
      </w:r>
    </w:p>
    <w:p w14:paraId="01AB7E9D"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&lt;...&gt;</w:t>
      </w:r>
    </w:p>
    <w:p w14:paraId="2B24FC17"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10 октября 1941 года по решению Государственного Комитета Обороны СССР и [согласно] приказа народного комиссара боеприпасов производство авиавыстрела вместе с заводом № 556 эвакуировано в город Новосибирск и восстановлено на северной площадке комбината № 179 в корпусе 123-Е. Первоначально производство патронирования и снаряжения восстанавливалось как одно из производств комбината № 179, затем по приказу директора комбината № 179 от 9 декабря 1941 года № 659 оно передано в состав завода № 556, где и находилось до 1 сентября 1943 года как одно из цехов завода.</w:t>
      </w:r>
    </w:p>
    <w:p w14:paraId="44E7DAE5"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 ноября 1943 года приказом народного комиссара боеприпасов № 1 032с от 5 сентября 1943 года производство авиавыстрела выделено в самостоятельный завод № 136. По генеральному плану завод № 136</w:t>
      </w:r>
    </w:p>
    <w:p w14:paraId="0DC55A30"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восстановлен на патронирование и снаряжение 20 и 23 мм осколочно- и бронебойно-зажигательных патронов в объеме 45,0 миллионов в год.</w:t>
      </w:r>
    </w:p>
    <w:p w14:paraId="6721927E"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1944 году завод выпускает следующую номенклатуру изделий:</w:t>
      </w:r>
    </w:p>
    <w:p w14:paraId="0DFDC850"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20 мм осколочно-зажигательный патрон, 20 мм бронебойно-зажигательный патрон, 20 мм осколочно-трассирующий патрон, 23 мм осколочно -зажигательный патрон, 23 мм бронебойно-зажигательный патрон.</w:t>
      </w:r>
    </w:p>
    <w:p w14:paraId="5BFA650D"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&lt;...&gt;</w:t>
      </w:r>
    </w:p>
    <w:p w14:paraId="30038235"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эвакуации и восстановления коллектив завода проделал большую работу. На перебазирование завода из города Тулы и восстановление его на новом месте было затрачено всего лишь 2-2,5 месяца.</w:t>
      </w:r>
    </w:p>
    <w:p w14:paraId="11A706F8"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декабре 1941 года завод уже на новом месте выпускал продукцию.</w:t>
      </w:r>
    </w:p>
    <w:p w14:paraId="4FC31828"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1941—1943 гг. завод дал для фронта следующее количество продукции:</w:t>
      </w:r>
    </w:p>
    <w:p w14:paraId="0A829BFD" w14:textId="7B75561E"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 продукции</w:t>
      </w:r>
      <w:r w:rsidRPr="00070ADE">
        <w:rPr>
          <w:rFonts w:ascii="Times New Roman" w:hAnsi="Times New Roman"/>
          <w:color w:val="000000" w:themeColor="text1"/>
          <w:sz w:val="16"/>
          <w:szCs w:val="16"/>
        </w:rPr>
        <w:tab/>
        <w:t>Ед.</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изм.</w:t>
      </w:r>
      <w:r w:rsidRPr="00070ADE">
        <w:rPr>
          <w:rFonts w:ascii="Times New Roman" w:hAnsi="Times New Roman"/>
          <w:color w:val="000000" w:themeColor="text1"/>
          <w:sz w:val="16"/>
          <w:szCs w:val="16"/>
        </w:rPr>
        <w:tab/>
        <w:t>1941 год (до эвакуа- ции)</w:t>
      </w:r>
      <w:r w:rsidRPr="00070ADE">
        <w:rPr>
          <w:rFonts w:ascii="Times New Roman" w:hAnsi="Times New Roman"/>
          <w:color w:val="000000" w:themeColor="text1"/>
          <w:sz w:val="16"/>
          <w:szCs w:val="16"/>
        </w:rPr>
        <w:tab/>
        <w:t>После эвакуации</w:t>
      </w:r>
      <w:r w:rsidRPr="00070ADE">
        <w:rPr>
          <w:rFonts w:ascii="Times New Roman" w:hAnsi="Times New Roman"/>
          <w:color w:val="000000" w:themeColor="text1"/>
          <w:sz w:val="16"/>
          <w:szCs w:val="16"/>
        </w:rPr>
        <w:tab/>
      </w:r>
    </w:p>
    <w:p w14:paraId="4FA6EA23"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t>1942 г.</w:t>
      </w:r>
      <w:r w:rsidRPr="00070ADE">
        <w:rPr>
          <w:rFonts w:ascii="Times New Roman" w:hAnsi="Times New Roman"/>
          <w:color w:val="000000" w:themeColor="text1"/>
          <w:sz w:val="16"/>
          <w:szCs w:val="16"/>
        </w:rPr>
        <w:tab/>
        <w:t>1943 г.</w:t>
      </w:r>
    </w:p>
    <w:p w14:paraId="51712784"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мм патрон разных типов</w:t>
      </w:r>
      <w:r w:rsidRPr="00070ADE">
        <w:rPr>
          <w:rFonts w:ascii="Times New Roman" w:hAnsi="Times New Roman"/>
          <w:color w:val="000000" w:themeColor="text1"/>
          <w:sz w:val="16"/>
          <w:szCs w:val="16"/>
        </w:rPr>
        <w:tab/>
        <w:t>т[ыс.] шт.</w:t>
      </w:r>
      <w:r w:rsidRPr="00070ADE">
        <w:rPr>
          <w:rFonts w:ascii="Times New Roman" w:hAnsi="Times New Roman"/>
          <w:color w:val="000000" w:themeColor="text1"/>
          <w:sz w:val="16"/>
          <w:szCs w:val="16"/>
        </w:rPr>
        <w:tab/>
        <w:t>7 240,0</w:t>
      </w:r>
      <w:r w:rsidRPr="00070ADE">
        <w:rPr>
          <w:rFonts w:ascii="Times New Roman" w:hAnsi="Times New Roman"/>
          <w:color w:val="000000" w:themeColor="text1"/>
          <w:sz w:val="16"/>
          <w:szCs w:val="16"/>
        </w:rPr>
        <w:tab/>
        <w:t>20 024,4</w:t>
      </w:r>
      <w:r w:rsidRPr="00070ADE">
        <w:rPr>
          <w:rFonts w:ascii="Times New Roman" w:hAnsi="Times New Roman"/>
          <w:color w:val="000000" w:themeColor="text1"/>
          <w:sz w:val="16"/>
          <w:szCs w:val="16"/>
        </w:rPr>
        <w:tab/>
        <w:t>18 228,0</w:t>
      </w:r>
    </w:p>
    <w:p w14:paraId="7D05D4E2"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мм патрон разных типов</w:t>
      </w:r>
      <w:r w:rsidRPr="00070ADE">
        <w:rPr>
          <w:rFonts w:ascii="Times New Roman" w:hAnsi="Times New Roman"/>
          <w:color w:val="000000" w:themeColor="text1"/>
          <w:sz w:val="16"/>
          <w:szCs w:val="16"/>
        </w:rPr>
        <w:tab/>
        <w:t>т[ыс.] шт.</w:t>
      </w:r>
      <w:r w:rsidRPr="00070ADE">
        <w:rPr>
          <w:rFonts w:ascii="Times New Roman" w:hAnsi="Times New Roman"/>
          <w:color w:val="000000" w:themeColor="text1"/>
          <w:sz w:val="16"/>
          <w:szCs w:val="16"/>
        </w:rPr>
        <w:tab/>
        <w:t>2 023,0</w:t>
      </w:r>
      <w:r w:rsidRPr="00070ADE">
        <w:rPr>
          <w:rFonts w:ascii="Times New Roman" w:hAnsi="Times New Roman"/>
          <w:color w:val="000000" w:themeColor="text1"/>
          <w:sz w:val="16"/>
          <w:szCs w:val="16"/>
        </w:rPr>
        <w:tab/>
        <w:t>6 085,1</w:t>
      </w:r>
      <w:r w:rsidRPr="00070ADE">
        <w:rPr>
          <w:rFonts w:ascii="Times New Roman" w:hAnsi="Times New Roman"/>
          <w:color w:val="000000" w:themeColor="text1"/>
          <w:sz w:val="16"/>
          <w:szCs w:val="16"/>
        </w:rPr>
        <w:tab/>
        <w:t>10 425,6</w:t>
      </w:r>
    </w:p>
    <w:p w14:paraId="63C4CB73"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видно из приведенной таблицы, на новом месте за период Отечественной войны завод увеличил выпуск — 20 мм патронов почти в три раза, а 23 мм больше чем в пять раз. Из года в год резко увеличивается</w:t>
      </w:r>
    </w:p>
    <w:p w14:paraId="0FBDE39B"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удельный вес в производстве 23 мм патронов.</w:t>
      </w:r>
    </w:p>
    <w:p w14:paraId="02D16936"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&lt;...&gt;</w:t>
      </w:r>
    </w:p>
    <w:p w14:paraId="36BDDD10"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период войны завод проделал большую работу по улучшению технологического процесса и механизации производства. В 1944 году завод полностью перевел производство 20 мм патронов на конвейер. Это обстоятельство дало возможность освободить заводу значительное количество рабочих, установить ритм производства и дисциплинировать рабочих, резко повысить производительность труда. В настоящее время проведены все необходимые подготовительные работы по установке конвейера № 2 на производстве 23 мм патронов.</w:t>
      </w:r>
    </w:p>
    <w:p w14:paraId="2CD67B3E"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&lt;...&gt;</w:t>
      </w:r>
    </w:p>
    <w:p w14:paraId="3B42CE7E"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Большую роль в повышении производительности труда завода играют в настоящее время комсомольско-молодежные бригады. Всего на заводе имелось комсомольско-молодежных бригад в январе — 18, в феврале - 18, в марте - 34.</w:t>
      </w:r>
    </w:p>
    <w:p w14:paraId="0CF890DE"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Включившись в предмайское социалистическое соревнование, комсомольско-молодежная бригада тов. Пироговой В.В. выполнила производственное задание марта месяца на 287%, бригада тов. Свияновой О.Г. — на 245%, бригада тов. Никоновой В.Б. - на 210%, бригада тов. Якунина А.М. — на 167%. &lt;...&gt; Указанные товарищи работают без брака, не имеют нарушений трудовой дисциплины, экономно относятся к расходу основных и вспомогательных материалов. За март месяц завод сократил не выполняющих норм с 10 человек в феврале до 3 человек в марте. &lt;...&gt; В 1943 году завод дал снижение себестоимости на 42,3%, дав государству экономию за счет снижения себестоимости 114,2 миллионов рублей, в том числе 8,0 миллионов сверх плановой прибыли ...</w:t>
      </w:r>
    </w:p>
    <w:p w14:paraId="36DA4700"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завода № 136 НКБ СССР Костиков</w:t>
      </w:r>
    </w:p>
    <w:p w14:paraId="6EE2A73C"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ПЭО и ООТ завода № 136 НКБ Тренин</w:t>
      </w:r>
    </w:p>
    <w:p w14:paraId="083699A5"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ГАНО. Ф. П-4. Оп. 6. Д. 473. Л. 157-158, 160-162. Подлинник.</w:t>
      </w:r>
    </w:p>
    <w:p w14:paraId="31B0F156"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Подписи-автографы Костикова и Тренина. Документ составлен в 2 экз. 8/IV 1944 г.,</w:t>
      </w:r>
    </w:p>
    <w:p w14:paraId="6C273207" w14:textId="77777777" w:rsidR="00F43847" w:rsidRPr="00070ADE" w:rsidRDefault="00F438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первый экземпляр отправлен в обком ВКП(б) (23692).</w:t>
      </w:r>
    </w:p>
    <w:p w14:paraId="36B722D1" w14:textId="77777777" w:rsidR="00F43847" w:rsidRPr="00070ADE" w:rsidRDefault="00F43847" w:rsidP="00B56F90">
      <w:pPr>
        <w:spacing w:after="0" w:line="240" w:lineRule="auto"/>
        <w:jc w:val="both"/>
        <w:rPr>
          <w:rFonts w:ascii="Times New Roman" w:hAnsi="Times New Roman"/>
          <w:color w:val="000000" w:themeColor="text1"/>
          <w:sz w:val="16"/>
          <w:szCs w:val="16"/>
        </w:rPr>
      </w:pPr>
    </w:p>
    <w:p w14:paraId="20FA03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г. вышло заключение комиссии АНИОПа по испытаниям стрельбой 203-мм самоходной гаубицы на шасси танка КВ-1с, с которого была снята башня и установлена вращающаяся часть 203-мм гаубицы Б-4 - гаубицы С-51. Согласно заключению: "система в основном испытания выдержала" и "может быть рекомендована к принятию на вооружение в РККА". Тем не менее на вооружение система принята не была. По видимому это связано с нежеланием промышленности связываться с такой "импровизацией" и возобновлять производство Б-4, прекращенное в начале 1942 года (3861).</w:t>
      </w:r>
    </w:p>
    <w:p w14:paraId="3255CB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3B6BD4"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8 апреля 1944 г. вышло заключению комиссии АНИОПа по полигонным испытаниям 203-мм самоходной гаубицы С-51 ЦАКБ. Система в основном испытания выдержала и может быть рекомендована к принятию на вооружение в РККА.</w:t>
      </w:r>
    </w:p>
    <w:p w14:paraId="75A44AC0"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Тем не менее на вооружение система принята не была. По-видимому, это связано с нежеланием промышленности возобновлять производство Б-4, прекращенное в начале 1942 г.</w:t>
      </w:r>
    </w:p>
    <w:p w14:paraId="3AD4A46E"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Таким же образом Грабин создал 152-мм самоходную пушку С-59, установив вращающуюся часть 152-мм пушки Бр-2 на шасси танка КВ-1с. Но ГАУ не приняло на вооружение ни С-51, ни С-59.</w:t>
      </w:r>
    </w:p>
    <w:p w14:paraId="0AB4F365"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Неудовлетворительная маневренность лафета Б-4 заставила Артуправление наряду с попытками модернизировать этот лафет начать проектирование принципиально нового колесного лафета (25440).</w:t>
      </w:r>
    </w:p>
    <w:p w14:paraId="5AEA1E97" w14:textId="77777777" w:rsidR="00D0391D" w:rsidRPr="00C94B78" w:rsidRDefault="00D0391D" w:rsidP="00B56F90">
      <w:pPr>
        <w:spacing w:after="0" w:line="240" w:lineRule="auto"/>
        <w:jc w:val="both"/>
        <w:rPr>
          <w:rFonts w:ascii="Times New Roman" w:hAnsi="Times New Roman"/>
          <w:color w:val="0070C0"/>
          <w:sz w:val="16"/>
          <w:szCs w:val="16"/>
        </w:rPr>
      </w:pPr>
    </w:p>
    <w:p w14:paraId="205E33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г. вышло постановление ГКО "Об изготовле</w:t>
      </w:r>
      <w:r w:rsidRPr="00070ADE">
        <w:rPr>
          <w:rFonts w:ascii="Times New Roman" w:hAnsi="Times New Roman"/>
          <w:color w:val="000000" w:themeColor="text1"/>
          <w:sz w:val="16"/>
          <w:szCs w:val="16"/>
        </w:rPr>
        <w:softHyphen/>
        <w:t>нии опытного образца нового тяжелого танка на Кировском заводе". В этом постановлении наряду с вопросом по созданию опытного образца тяжелого танка, большое внимание было уделено и дальнейшему усо</w:t>
      </w:r>
      <w:r w:rsidRPr="00070ADE">
        <w:rPr>
          <w:rFonts w:ascii="Times New Roman" w:hAnsi="Times New Roman"/>
          <w:color w:val="000000" w:themeColor="text1"/>
          <w:sz w:val="16"/>
          <w:szCs w:val="16"/>
        </w:rPr>
        <w:softHyphen/>
        <w:t>вершенствованию конструкции и повышению качества серийно выпус</w:t>
      </w:r>
      <w:r w:rsidRPr="00070ADE">
        <w:rPr>
          <w:rFonts w:ascii="Times New Roman" w:hAnsi="Times New Roman"/>
          <w:color w:val="000000" w:themeColor="text1"/>
          <w:sz w:val="16"/>
          <w:szCs w:val="16"/>
        </w:rPr>
        <w:softHyphen/>
        <w:t>кавшихся тяжелых танков ИС-2. Проектирование нового танка велось в СКБ-701 ЧКЗ под общим ру</w:t>
      </w:r>
      <w:r w:rsidRPr="00070ADE">
        <w:rPr>
          <w:rFonts w:ascii="Times New Roman" w:hAnsi="Times New Roman"/>
          <w:color w:val="000000" w:themeColor="text1"/>
          <w:sz w:val="16"/>
          <w:szCs w:val="16"/>
        </w:rPr>
        <w:softHyphen/>
        <w:t>ководством главного конструктора Н.Л. Духова, руководителем проек</w:t>
      </w:r>
      <w:r w:rsidRPr="00070ADE">
        <w:rPr>
          <w:rFonts w:ascii="Times New Roman" w:hAnsi="Times New Roman"/>
          <w:color w:val="000000" w:themeColor="text1"/>
          <w:sz w:val="16"/>
          <w:szCs w:val="16"/>
        </w:rPr>
        <w:softHyphen/>
        <w:t>та был М.Ф. Балжи. Разработку систем, узлов и агрегатов возглавляли конструкторы: Мякишев - корпус, Шухман - силовая установка, Кру</w:t>
      </w:r>
      <w:r w:rsidRPr="00070ADE">
        <w:rPr>
          <w:rFonts w:ascii="Times New Roman" w:hAnsi="Times New Roman"/>
          <w:color w:val="000000" w:themeColor="text1"/>
          <w:sz w:val="16"/>
          <w:szCs w:val="16"/>
        </w:rPr>
        <w:softHyphen/>
        <w:t>ченых - вооружение, Сергеев — трансмиссия, Гольдштейн - электро- и радиооборудование, Волошин - ЗИП (10703).</w:t>
      </w:r>
    </w:p>
    <w:p w14:paraId="58E90F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03C4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г. вышло Постановление ГКО "Об изготовлении опытного образца нового тяжелого танка на Кировском заводе НКТП", которым НКТП было разрешено на ЧКЗ в апреле 1944 г. изготовить два опытных образ</w:t>
      </w:r>
      <w:r w:rsidRPr="00070ADE">
        <w:rPr>
          <w:rFonts w:ascii="Times New Roman" w:hAnsi="Times New Roman"/>
          <w:color w:val="000000" w:themeColor="text1"/>
          <w:sz w:val="16"/>
          <w:szCs w:val="16"/>
        </w:rPr>
        <w:softHyphen/>
        <w:t>ца нового тяжелого танка и один корпус и совместно с ГБТУ произвес</w:t>
      </w:r>
      <w:r w:rsidRPr="00070ADE">
        <w:rPr>
          <w:rFonts w:ascii="Times New Roman" w:hAnsi="Times New Roman"/>
          <w:color w:val="000000" w:themeColor="text1"/>
          <w:sz w:val="16"/>
          <w:szCs w:val="16"/>
        </w:rPr>
        <w:softHyphen/>
        <w:t>ти испытания танков и обстрел корпуса. Первый образец нового танка (№ 0), названного по номеру заказа, "Объект 701" с пушкой Д-25 и двигателем В-12 был изготовлен в апре</w:t>
      </w:r>
      <w:r w:rsidRPr="00070ADE">
        <w:rPr>
          <w:rFonts w:ascii="Times New Roman" w:hAnsi="Times New Roman"/>
          <w:color w:val="000000" w:themeColor="text1"/>
          <w:sz w:val="16"/>
          <w:szCs w:val="16"/>
        </w:rPr>
        <w:softHyphen/>
        <w:t>ле 1944 г. и до 15 июня 1944 г. был подвергнут длительным заводским испытаниям. В апреле - мае 1944 г. ЧКЗ изготовил два новых образца танка (№ 1 и 2) и к 1 июля предъявил их на полигонные испытания, ко</w:t>
      </w:r>
      <w:r w:rsidRPr="00070ADE">
        <w:rPr>
          <w:rFonts w:ascii="Times New Roman" w:hAnsi="Times New Roman"/>
          <w:color w:val="000000" w:themeColor="text1"/>
          <w:sz w:val="16"/>
          <w:szCs w:val="16"/>
        </w:rPr>
        <w:softHyphen/>
        <w:t>торые проходили в районе Челябинска с 1 июля по 15 августа 1944 г. под председательством начальника ГБТУ генерал-лейтенанта танковых войск Б.Г. Вершинина (10703).</w:t>
      </w:r>
    </w:p>
    <w:p w14:paraId="2BA2455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4A0188" w14:textId="77777777" w:rsidR="00075AF0" w:rsidRPr="00070ADE" w:rsidRDefault="00075AF0"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8 апреля 1944 вышло постановление ГКО №5583сс «Об изготовлении опытных образцов нового тяжёлого танка на Кировском заводе НКТП». Речь в нём в основном шла об изготовлении двух опытных танков Объект 701. Но третий пункт документа касался совсем другой машины:</w:t>
      </w:r>
    </w:p>
    <w:p w14:paraId="31297C30" w14:textId="77777777" w:rsidR="00075AF0" w:rsidRPr="00070ADE" w:rsidRDefault="00075AF0"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iCs/>
          <w:color w:val="000000" w:themeColor="text1"/>
          <w:sz w:val="16"/>
          <w:szCs w:val="16"/>
          <w:lang w:eastAsia="ru-RU"/>
        </w:rPr>
        <w:t>«Обязать Наркомтанкопром — тов. Малышева, директора Кировского завода — тов. Зальцмана и главного конструктора тов. Котина сосредоточить основное внимание на дальнейшем усовершенствовании конструкции и улучшении качества танка и артсамоходов ИС.</w:t>
      </w:r>
    </w:p>
    <w:p w14:paraId="1F8DFAFE" w14:textId="77777777" w:rsidR="00075AF0" w:rsidRPr="00070ADE" w:rsidRDefault="00075AF0"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iCs/>
          <w:color w:val="000000" w:themeColor="text1"/>
          <w:sz w:val="16"/>
          <w:szCs w:val="16"/>
          <w:lang w:eastAsia="ru-RU"/>
        </w:rPr>
        <w:t>В 3-месячный срок провести необходимые работы по усилению броневой защиты танков ИС, усовершенствованию трансмиссии и ходовой части, используя для модернизации танков ИС опыт новых образцов тяжёлых танков».</w:t>
      </w:r>
    </w:p>
    <w:p w14:paraId="24E2B14A" w14:textId="77777777" w:rsidR="00075AF0" w:rsidRPr="00070ADE" w:rsidRDefault="00075AF0"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Это постановление трансформировалось в приказ НКТП №226сс от 13 апреля 1944 года. Окончательно требования к глубокой модернизации ИС-2 были сформированы 19 мая 1944 года. Список улучшений включал 20 пунктов. Некоторые из них имели прямое отношение к Объекту 701. От этой машины брались установка радиатора, привод к радиатору, поворотный механизм башни и погонное устройство. Спрямлённый нос корпуса толщиной 90 мм катаной брони либо 100 мм литой брони изготовлялся по типу носа Объекта 701. По его же подобию проектировалась башня: от новой машины бралась командирская башенка и система выемки орудия через специальный люк в крыше. Выхлопные трубы предполагалось перенести на верхний кормовой лист по типу Т-34. Такое решение полностью исключало риск попадания выхлопных газов в воздухозаборники (17756).</w:t>
      </w:r>
    </w:p>
    <w:p w14:paraId="27B818E5" w14:textId="77777777" w:rsidR="00075AF0" w:rsidRPr="00070ADE" w:rsidRDefault="00075AF0" w:rsidP="00B56F90">
      <w:pPr>
        <w:spacing w:after="0" w:line="240" w:lineRule="auto"/>
        <w:jc w:val="both"/>
        <w:rPr>
          <w:rFonts w:ascii="Times New Roman" w:hAnsi="Times New Roman"/>
          <w:color w:val="000000" w:themeColor="text1"/>
          <w:sz w:val="16"/>
          <w:szCs w:val="16"/>
        </w:rPr>
      </w:pPr>
    </w:p>
    <w:p w14:paraId="00E34383" w14:textId="77777777" w:rsidR="008B5CA2" w:rsidRPr="00070ADE" w:rsidRDefault="008B5CA2" w:rsidP="00B56F90">
      <w:pPr>
        <w:pStyle w:val="1131"/>
        <w:shd w:val="clear" w:color="auto" w:fill="auto"/>
        <w:spacing w:line="240" w:lineRule="auto"/>
        <w:ind w:firstLine="0"/>
        <w:rPr>
          <w:rStyle w:val="600"/>
          <w:rFonts w:ascii="Times New Roman" w:hAnsi="Times New Roman" w:cs="Times New Roman"/>
          <w:color w:val="000000" w:themeColor="text1"/>
          <w:sz w:val="16"/>
          <w:szCs w:val="16"/>
        </w:rPr>
      </w:pPr>
      <w:r w:rsidRPr="00070ADE">
        <w:rPr>
          <w:rStyle w:val="600"/>
          <w:rFonts w:ascii="Times New Roman" w:hAnsi="Times New Roman" w:cs="Times New Roman"/>
          <w:color w:val="000000" w:themeColor="text1"/>
          <w:sz w:val="16"/>
          <w:szCs w:val="16"/>
        </w:rPr>
        <w:t xml:space="preserve">8 апреля 1944 года </w:t>
      </w:r>
      <w:r w:rsidRPr="00070ADE">
        <w:rPr>
          <w:rStyle w:val="600"/>
          <w:rFonts w:ascii="Times New Roman" w:hAnsi="Times New Roman" w:cs="Times New Roman"/>
          <w:color w:val="000000" w:themeColor="text1"/>
          <w:sz w:val="16"/>
          <w:szCs w:val="16"/>
          <w:lang w:val="ru-RU"/>
        </w:rPr>
        <w:t>о</w:t>
      </w:r>
      <w:r w:rsidRPr="00070ADE">
        <w:rPr>
          <w:rStyle w:val="600"/>
          <w:rFonts w:ascii="Times New Roman" w:hAnsi="Times New Roman" w:cs="Times New Roman"/>
          <w:color w:val="000000" w:themeColor="text1"/>
          <w:sz w:val="16"/>
          <w:szCs w:val="16"/>
        </w:rPr>
        <w:t>фициально стартовали работы по «большой модер</w:t>
      </w:r>
      <w:r w:rsidRPr="00070ADE">
        <w:rPr>
          <w:rStyle w:val="600"/>
          <w:rFonts w:ascii="Times New Roman" w:hAnsi="Times New Roman" w:cs="Times New Roman"/>
          <w:color w:val="000000" w:themeColor="text1"/>
          <w:sz w:val="16"/>
          <w:szCs w:val="16"/>
        </w:rPr>
        <w:softHyphen/>
        <w:t>низации» ИС-2. В этот день вышло постанов</w:t>
      </w:r>
      <w:r w:rsidRPr="00070ADE">
        <w:rPr>
          <w:rStyle w:val="600"/>
          <w:rFonts w:ascii="Times New Roman" w:hAnsi="Times New Roman" w:cs="Times New Roman"/>
          <w:color w:val="000000" w:themeColor="text1"/>
          <w:sz w:val="16"/>
          <w:szCs w:val="16"/>
        </w:rPr>
        <w:softHyphen/>
        <w:t>ление ГКО № 5583сс «Об изготовлении опыт</w:t>
      </w:r>
      <w:r w:rsidRPr="00070ADE">
        <w:rPr>
          <w:rStyle w:val="600"/>
          <w:rFonts w:ascii="Times New Roman" w:hAnsi="Times New Roman" w:cs="Times New Roman"/>
          <w:color w:val="000000" w:themeColor="text1"/>
          <w:sz w:val="16"/>
          <w:szCs w:val="16"/>
        </w:rPr>
        <w:softHyphen/>
        <w:t>ных образцов нового тяжелого танка на Ки</w:t>
      </w:r>
      <w:r w:rsidRPr="00070ADE">
        <w:rPr>
          <w:rStyle w:val="600"/>
          <w:rFonts w:ascii="Times New Roman" w:hAnsi="Times New Roman" w:cs="Times New Roman"/>
          <w:color w:val="000000" w:themeColor="text1"/>
          <w:sz w:val="16"/>
          <w:szCs w:val="16"/>
        </w:rPr>
        <w:softHyphen/>
        <w:t>ровском заводе НКТП». Касалось оно разра</w:t>
      </w:r>
      <w:r w:rsidRPr="00070ADE">
        <w:rPr>
          <w:rStyle w:val="600"/>
          <w:rFonts w:ascii="Times New Roman" w:hAnsi="Times New Roman" w:cs="Times New Roman"/>
          <w:color w:val="000000" w:themeColor="text1"/>
          <w:sz w:val="16"/>
          <w:szCs w:val="16"/>
        </w:rPr>
        <w:softHyphen/>
        <w:t>ботки тяжелого танка «Объект 701», но при этом в третьем пункте постановления указыва</w:t>
      </w:r>
      <w:r w:rsidRPr="00070ADE">
        <w:rPr>
          <w:rStyle w:val="600"/>
          <w:rFonts w:ascii="Times New Roman" w:hAnsi="Times New Roman" w:cs="Times New Roman"/>
          <w:color w:val="000000" w:themeColor="text1"/>
          <w:sz w:val="16"/>
          <w:szCs w:val="16"/>
        </w:rPr>
        <w:softHyphen/>
        <w:t>лось на необходимость в трехмесячный срок провести модернизацию ИС-2. При этом при модернизации следовало учитывать опыт раз</w:t>
      </w:r>
      <w:r w:rsidRPr="00070ADE">
        <w:rPr>
          <w:rStyle w:val="600"/>
          <w:rFonts w:ascii="Times New Roman" w:hAnsi="Times New Roman" w:cs="Times New Roman"/>
          <w:color w:val="000000" w:themeColor="text1"/>
          <w:sz w:val="16"/>
          <w:szCs w:val="16"/>
        </w:rPr>
        <w:softHyphen/>
        <w:t>работки «Объекта 701»</w:t>
      </w:r>
      <w:r w:rsidRPr="00070ADE">
        <w:rPr>
          <w:rStyle w:val="600"/>
          <w:rFonts w:ascii="Times New Roman" w:hAnsi="Times New Roman" w:cs="Times New Roman"/>
          <w:color w:val="000000" w:themeColor="text1"/>
          <w:sz w:val="16"/>
          <w:szCs w:val="16"/>
          <w:lang w:val="ru-RU"/>
        </w:rPr>
        <w:t xml:space="preserve"> (19880)</w:t>
      </w:r>
      <w:r w:rsidRPr="00070ADE">
        <w:rPr>
          <w:rStyle w:val="600"/>
          <w:rFonts w:ascii="Times New Roman" w:hAnsi="Times New Roman" w:cs="Times New Roman"/>
          <w:color w:val="000000" w:themeColor="text1"/>
          <w:sz w:val="16"/>
          <w:szCs w:val="16"/>
        </w:rPr>
        <w:t>.</w:t>
      </w:r>
    </w:p>
    <w:p w14:paraId="29A1B788" w14:textId="77777777" w:rsidR="008B5CA2" w:rsidRPr="00070ADE" w:rsidRDefault="008B5CA2" w:rsidP="00B56F90">
      <w:pPr>
        <w:pStyle w:val="1131"/>
        <w:shd w:val="clear" w:color="auto" w:fill="auto"/>
        <w:spacing w:line="240" w:lineRule="auto"/>
        <w:ind w:firstLine="0"/>
        <w:rPr>
          <w:rStyle w:val="600"/>
          <w:rFonts w:ascii="Times New Roman" w:hAnsi="Times New Roman" w:cs="Times New Roman"/>
          <w:color w:val="000000" w:themeColor="text1"/>
          <w:sz w:val="16"/>
          <w:szCs w:val="16"/>
        </w:rPr>
      </w:pPr>
    </w:p>
    <w:p w14:paraId="7DD3C7F5" w14:textId="77777777" w:rsidR="00FC59A6" w:rsidRPr="00070ADE" w:rsidRDefault="00FC59A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года были официально запущены работы по большой модернизации ИС-2 (24894).</w:t>
      </w:r>
    </w:p>
    <w:p w14:paraId="40AAFC5D" w14:textId="77777777" w:rsidR="00FC59A6" w:rsidRPr="00070ADE" w:rsidRDefault="00FC59A6" w:rsidP="00B56F90">
      <w:pPr>
        <w:spacing w:after="0" w:line="240" w:lineRule="auto"/>
        <w:jc w:val="both"/>
        <w:rPr>
          <w:rFonts w:ascii="Times New Roman" w:hAnsi="Times New Roman"/>
          <w:color w:val="000000" w:themeColor="text1"/>
          <w:sz w:val="16"/>
          <w:szCs w:val="16"/>
        </w:rPr>
      </w:pPr>
    </w:p>
    <w:p w14:paraId="5C9FE371" w14:textId="77777777" w:rsidR="00AA077A" w:rsidRPr="00070ADE" w:rsidRDefault="00AA077A"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8 апреля 1944 года вышло постановление ГКО №5583сс «Об изготовлении опытных образцов нового тяжёлого танка на Кировском заводе НКТП». Помимо разработки и постройки опытных образцов тяжёлого танка Объект 701, в постановлении шла речь о модернизированном ИС-2. В трёхмесячный срок требовалось разработать и изготовить улучшенный вариант танка. Главными требованиями являлись усиление броневой защиты, а также повышение надёжности ходовой части и трансмиссии (19150).</w:t>
      </w:r>
    </w:p>
    <w:p w14:paraId="7CE54ADD" w14:textId="77777777" w:rsidR="00AA077A" w:rsidRPr="00070ADE" w:rsidRDefault="00AA077A" w:rsidP="00B56F90">
      <w:pPr>
        <w:pStyle w:val="ae"/>
        <w:shd w:val="clear" w:color="auto" w:fill="FFFFFF"/>
        <w:spacing w:before="0" w:after="0"/>
        <w:jc w:val="both"/>
        <w:textAlignment w:val="baseline"/>
        <w:rPr>
          <w:color w:val="000000" w:themeColor="text1"/>
          <w:sz w:val="16"/>
          <w:szCs w:val="16"/>
        </w:rPr>
      </w:pPr>
    </w:p>
    <w:p w14:paraId="0375FC85" w14:textId="756F06DD" w:rsidR="00AA077A" w:rsidRPr="00070ADE" w:rsidRDefault="00AA077A" w:rsidP="00B56F90">
      <w:pPr>
        <w:pStyle w:val="ae"/>
        <w:spacing w:before="0" w:after="0"/>
        <w:jc w:val="both"/>
        <w:textAlignment w:val="baseline"/>
        <w:rPr>
          <w:color w:val="000000" w:themeColor="text1"/>
          <w:sz w:val="16"/>
          <w:szCs w:val="16"/>
        </w:rPr>
      </w:pPr>
      <w:r w:rsidRPr="00070ADE">
        <w:rPr>
          <w:color w:val="000000" w:themeColor="text1"/>
          <w:sz w:val="16"/>
          <w:szCs w:val="16"/>
        </w:rPr>
        <w:lastRenderedPageBreak/>
        <w:t>8 апреля 1944 года Малышев представил два варианта проекта постановления ГКО. Варианты отличались местом выпуска танков. Первый вариант предполагал, что на Коломенском заводе НКТМ будет создана новая производственная площадка. В Коломне организовывалось производство бронекорпусов, ходовой части, а также непосредственная сборка. Проблема состояла в том, что ради выпуска танков в Коломне требовалось пожертвовать сразу двумя заводами, выпускавшими лёгкие самоходные артиллерийские установки</w:t>
      </w:r>
      <w:r w:rsidR="00B643A8" w:rsidRPr="00070ADE">
        <w:rPr>
          <w:color w:val="000000" w:themeColor="text1"/>
          <w:sz w:val="16"/>
          <w:szCs w:val="16"/>
        </w:rPr>
        <w:t xml:space="preserve"> </w:t>
      </w:r>
      <w:hyperlink r:id="rId102" w:history="1">
        <w:r w:rsidRPr="00070ADE">
          <w:rPr>
            <w:rStyle w:val="a5"/>
            <w:bCs/>
            <w:iCs/>
            <w:color w:val="000000" w:themeColor="text1"/>
            <w:sz w:val="16"/>
            <w:szCs w:val="16"/>
            <w:bdr w:val="none" w:sz="0" w:space="0" w:color="auto" w:frame="1"/>
          </w:rPr>
          <w:t>СУ-76М</w:t>
        </w:r>
      </w:hyperlink>
      <w:r w:rsidRPr="00070ADE">
        <w:rPr>
          <w:color w:val="000000" w:themeColor="text1"/>
          <w:sz w:val="16"/>
          <w:szCs w:val="16"/>
        </w:rPr>
        <w:t>. Во-первых, в Коломну из Кирова возвращался завод №38, чьи производственные возможности позволяли сравнительно быстро довести выпуск Т-44 до 300 штук в месяц. Во-вторых, на заводе №40 в Мытищах планировалось организовать выпуск элементов трансмиссии Т-44.</w:t>
      </w:r>
    </w:p>
    <w:p w14:paraId="60653416" w14:textId="07A01CB0" w:rsidR="00AA077A" w:rsidRPr="00070ADE" w:rsidRDefault="00AA077A" w:rsidP="00B56F90">
      <w:pPr>
        <w:pStyle w:val="ae"/>
        <w:spacing w:before="0" w:after="0"/>
        <w:jc w:val="both"/>
        <w:textAlignment w:val="baseline"/>
        <w:rPr>
          <w:color w:val="000000" w:themeColor="text1"/>
          <w:sz w:val="16"/>
          <w:szCs w:val="16"/>
        </w:rPr>
      </w:pPr>
      <w:r w:rsidRPr="00070ADE">
        <w:rPr>
          <w:color w:val="000000" w:themeColor="text1"/>
          <w:sz w:val="16"/>
          <w:szCs w:val="16"/>
        </w:rPr>
        <w:t>Альтернативным вариантом являлось возрождение танкового производства на Сталинградском тракторном заводе. Сильно разрушенное предприятие требовалось ещё восстановить, так что больше 175 танков за 1944 год СТЗ сдать не мог. К тому же, на СТЗ планировалось восстанавливать выпуск тракторов, который в случае с запуском производства Т-44 переносился на конец 1945 года. Смежником по выпуску корпусов становился завод №264, где также было необходимо восстанавливать корпусное производство. Впрочем, завод №264 вскоре всё равно привлекли к производству рубок по</w:t>
      </w:r>
      <w:r w:rsidR="00B643A8" w:rsidRPr="00070ADE">
        <w:rPr>
          <w:color w:val="000000" w:themeColor="text1"/>
          <w:sz w:val="16"/>
          <w:szCs w:val="16"/>
        </w:rPr>
        <w:t xml:space="preserve"> </w:t>
      </w:r>
      <w:hyperlink r:id="rId103" w:history="1">
        <w:r w:rsidRPr="00070ADE">
          <w:rPr>
            <w:rStyle w:val="a5"/>
            <w:bCs/>
            <w:iCs/>
            <w:color w:val="000000" w:themeColor="text1"/>
            <w:sz w:val="16"/>
            <w:szCs w:val="16"/>
            <w:bdr w:val="none" w:sz="0" w:space="0" w:color="auto" w:frame="1"/>
          </w:rPr>
          <w:t>ИСУ-152</w:t>
        </w:r>
      </w:hyperlink>
      <w:r w:rsidRPr="00070ADE">
        <w:rPr>
          <w:color w:val="000000" w:themeColor="text1"/>
          <w:sz w:val="16"/>
          <w:szCs w:val="16"/>
        </w:rPr>
        <w:t>, так что отчасти данный вопрос отпал. В целом же Малышев выступал за организацию выпуска Т-44 в Коломне. Первые 25 танков там планировалось сдать в июле 1944 года, постепенно, к декабрю 1944 года, доведя ежемесячный выпуск до 300 штук. Впрочем, и этот вариант также не устроил руководство. Выбирать приходилось из плохого и ещё худшего вариантов: в одном случае весь выпуск лёгких САУ ложился на ГАЗ, а с учётом торпедирования заводским руководством новых разработок после войны СССР остался бы вовсе без разработчиков лёгких самоходок. В случае же с СТЗ требовалось возродить танковый завод почти с нуля (19047).</w:t>
      </w:r>
    </w:p>
    <w:p w14:paraId="258C0B8E" w14:textId="77777777" w:rsidR="00AA077A" w:rsidRPr="00070ADE" w:rsidRDefault="00AA077A" w:rsidP="00B56F90">
      <w:pPr>
        <w:spacing w:after="0" w:line="240" w:lineRule="auto"/>
        <w:jc w:val="both"/>
        <w:textAlignment w:val="baseline"/>
        <w:rPr>
          <w:rFonts w:ascii="Times New Roman" w:hAnsi="Times New Roman"/>
          <w:color w:val="000000" w:themeColor="text1"/>
          <w:sz w:val="16"/>
          <w:szCs w:val="16"/>
        </w:rPr>
      </w:pPr>
    </w:p>
    <w:p w14:paraId="08A41F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г. Постановлением был открыт заказ за №701, согласно которому Кировский завод должен был изготовить два опытных образца нового тяжелого танка и один бронекорпус... Срок изготовления — 3 месяца (11135).</w:t>
      </w:r>
    </w:p>
    <w:p w14:paraId="1B4909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0209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г. постановлением ГКО № 5583сс ЧКЗ был открыт заказ за № 701 на изготовление двух опытных образ</w:t>
      </w:r>
      <w:r w:rsidRPr="00070ADE">
        <w:rPr>
          <w:rFonts w:ascii="Times New Roman" w:hAnsi="Times New Roman"/>
          <w:color w:val="000000" w:themeColor="text1"/>
          <w:sz w:val="16"/>
          <w:szCs w:val="16"/>
        </w:rPr>
        <w:softHyphen/>
        <w:t>цов нового тяжелого танка. Первый образец, «Объект 70 Г» № 0 (со 122-мм пушкой Д-25Т), был готов к маю 1944 г. и в течении последующих полутора месяцев проходил завод</w:t>
      </w:r>
      <w:r w:rsidRPr="00070ADE">
        <w:rPr>
          <w:rFonts w:ascii="Times New Roman" w:hAnsi="Times New Roman"/>
          <w:color w:val="000000" w:themeColor="text1"/>
          <w:sz w:val="16"/>
          <w:szCs w:val="16"/>
        </w:rPr>
        <w:softHyphen/>
        <w:t>ские испытания в объеме 1230 км. После внесения в конст</w:t>
      </w:r>
      <w:r w:rsidRPr="00070ADE">
        <w:rPr>
          <w:rFonts w:ascii="Times New Roman" w:hAnsi="Times New Roman"/>
          <w:color w:val="000000" w:themeColor="text1"/>
          <w:sz w:val="16"/>
          <w:szCs w:val="16"/>
        </w:rPr>
        <w:softHyphen/>
        <w:t>рукцию необходимых изменений, ЧКЗ изготовил две других машины - «Объект 701» № 1 (со 122-мм пушкой С-34-П) и «Объект 701» № 3 (со 100-мм пушкой С-34-1) (11135).</w:t>
      </w:r>
    </w:p>
    <w:p w14:paraId="553062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674AD7"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8 апреля 1944 года, в день, когда И.В. Сталин подписал постановление ГКО №5583сс "Об изготовлении опытных образцов нового тяжёлого танка на Кировском заводе НКТП" официально начинается история работ по большой модернизации тяжелого танка ИС-2. Согласно постановлению, к 20 апреля 1944 года в НКТП предоставлялся план дальнейшей модернизации ИС-2. При этом учитывался опыт разработки Объекта 701 (24939).</w:t>
      </w:r>
    </w:p>
    <w:p w14:paraId="78AEEC00" w14:textId="77777777" w:rsidR="00D0391D" w:rsidRPr="00C94B78" w:rsidRDefault="00D0391D" w:rsidP="00B56F90">
      <w:pPr>
        <w:spacing w:after="0" w:line="240" w:lineRule="auto"/>
        <w:jc w:val="both"/>
        <w:rPr>
          <w:rFonts w:ascii="Times New Roman" w:hAnsi="Times New Roman"/>
          <w:color w:val="0070C0"/>
          <w:sz w:val="16"/>
          <w:szCs w:val="16"/>
        </w:rPr>
      </w:pPr>
    </w:p>
    <w:p w14:paraId="69A0AA4B"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8 апреля 1944 года в соответствии с постановлением ГКО №5583 «Об изго</w:t>
      </w:r>
      <w:r w:rsidRPr="00C94B78">
        <w:rPr>
          <w:rFonts w:ascii="Times New Roman" w:hAnsi="Times New Roman"/>
          <w:color w:val="0070C0"/>
          <w:sz w:val="16"/>
          <w:szCs w:val="16"/>
        </w:rPr>
        <w:softHyphen/>
        <w:t>товлении опытного образца нового тяжелого танка на Кировском заводе». начались проектные работы. Вслед за этим постановлением увидел свет ряд документов НКТП и ГБТУ, в которых были перечислены мероприятия по улучшению качества танков ИС. Основными из них были:</w:t>
      </w:r>
    </w:p>
    <w:p w14:paraId="53B1E778"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 а) Для усиления броневой защиты танка заменить существующую литую конструкцию носа танка катаной, сварной, обеспечив непробивае</w:t>
      </w:r>
      <w:r w:rsidRPr="00C94B78">
        <w:rPr>
          <w:rFonts w:ascii="Times New Roman" w:hAnsi="Times New Roman"/>
          <w:color w:val="0070C0"/>
          <w:sz w:val="16"/>
          <w:szCs w:val="16"/>
        </w:rPr>
        <w:softHyphen/>
        <w:t>мость его в рабочем положении танка бронебой</w:t>
      </w:r>
      <w:r w:rsidRPr="00C94B78">
        <w:rPr>
          <w:rFonts w:ascii="Times New Roman" w:hAnsi="Times New Roman"/>
          <w:color w:val="0070C0"/>
          <w:sz w:val="16"/>
          <w:szCs w:val="16"/>
        </w:rPr>
        <w:softHyphen/>
        <w:t>ными и подкапиберными снарядами из пушек танков «Пантера» и «Тигр» со всех дистанций.</w:t>
      </w:r>
    </w:p>
    <w:p w14:paraId="6B09D9D5"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б) Изменить конструкцию и увеличить толщину передней части башни, сделав ее равнопрочной с носовой частью.</w:t>
      </w:r>
    </w:p>
    <w:p w14:paraId="73F6A827" w14:textId="77777777" w:rsidR="00D0391D" w:rsidRPr="00C94B78" w:rsidRDefault="00D0391D" w:rsidP="00B56F90">
      <w:pPr>
        <w:widowControl w:val="0"/>
        <w:tabs>
          <w:tab w:val="left" w:pos="560"/>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 Обеспечить уплотнение кормового листа.</w:t>
      </w:r>
    </w:p>
    <w:p w14:paraId="589DD009" w14:textId="77777777" w:rsidR="00D0391D" w:rsidRPr="00C94B78" w:rsidRDefault="00D0391D" w:rsidP="00B56F90">
      <w:pPr>
        <w:widowControl w:val="0"/>
        <w:tabs>
          <w:tab w:val="left" w:pos="560"/>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3. Изменить боеукладку.</w:t>
      </w:r>
    </w:p>
    <w:p w14:paraId="3942CA74" w14:textId="77777777" w:rsidR="00D0391D" w:rsidRPr="00C94B78" w:rsidRDefault="00D0391D" w:rsidP="00B56F90">
      <w:pPr>
        <w:widowControl w:val="0"/>
        <w:tabs>
          <w:tab w:val="left" w:pos="567"/>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4. Установить крупнокалиберный пулемет для стрельбы по зенитным целям.</w:t>
      </w:r>
    </w:p>
    <w:p w14:paraId="525D8E2B" w14:textId="77777777" w:rsidR="00D0391D" w:rsidRPr="00C94B78" w:rsidRDefault="00D0391D" w:rsidP="00B56F90">
      <w:pPr>
        <w:widowControl w:val="0"/>
        <w:tabs>
          <w:tab w:val="left" w:pos="553"/>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5. Установить подшипники качения для цапф пушки.</w:t>
      </w:r>
    </w:p>
    <w:p w14:paraId="6A23F324" w14:textId="77777777" w:rsidR="00D0391D" w:rsidRPr="00C94B78" w:rsidRDefault="00D0391D" w:rsidP="00B56F90">
      <w:pPr>
        <w:widowControl w:val="0"/>
        <w:tabs>
          <w:tab w:val="left" w:pos="562"/>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6. Убрать топливные баки из отделения управления.</w:t>
      </w:r>
    </w:p>
    <w:p w14:paraId="00339F06" w14:textId="77777777" w:rsidR="00D0391D" w:rsidRPr="00C94B78" w:rsidRDefault="00D0391D" w:rsidP="00B56F90">
      <w:pPr>
        <w:widowControl w:val="0"/>
        <w:tabs>
          <w:tab w:val="left" w:pos="590"/>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7. Усилить главный фрикцион».</w:t>
      </w:r>
    </w:p>
    <w:p w14:paraId="57684EB8" w14:textId="77777777" w:rsidR="00D0391D" w:rsidRPr="00C94B78" w:rsidRDefault="00D0391D" w:rsidP="00B56F90">
      <w:pPr>
        <w:widowControl w:val="0"/>
        <w:tabs>
          <w:tab w:val="left" w:pos="590"/>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Следует отметить, что в цитируемом до</w:t>
      </w:r>
      <w:r w:rsidRPr="00C94B78">
        <w:rPr>
          <w:rFonts w:ascii="Times New Roman" w:hAnsi="Times New Roman"/>
          <w:color w:val="0070C0"/>
          <w:sz w:val="16"/>
          <w:szCs w:val="16"/>
        </w:rPr>
        <w:softHyphen/>
        <w:t>кументе речь не идет о модернизации серийно выпускаемых танков ИС-2. Эта работа шла парал</w:t>
      </w:r>
      <w:r w:rsidRPr="00C94B78">
        <w:rPr>
          <w:rFonts w:ascii="Times New Roman" w:hAnsi="Times New Roman"/>
          <w:color w:val="0070C0"/>
          <w:sz w:val="16"/>
          <w:szCs w:val="16"/>
        </w:rPr>
        <w:softHyphen/>
        <w:t>лельно (25001).</w:t>
      </w:r>
    </w:p>
    <w:p w14:paraId="57A0C2C2" w14:textId="77777777" w:rsidR="00D0391D" w:rsidRPr="00C94B78" w:rsidRDefault="00D0391D" w:rsidP="00B56F90">
      <w:pPr>
        <w:spacing w:after="0" w:line="240" w:lineRule="auto"/>
        <w:jc w:val="both"/>
        <w:rPr>
          <w:rFonts w:ascii="Times New Roman" w:hAnsi="Times New Roman"/>
          <w:color w:val="0070C0"/>
          <w:sz w:val="16"/>
          <w:szCs w:val="16"/>
        </w:rPr>
      </w:pPr>
    </w:p>
    <w:p w14:paraId="3C2F7E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Постановление ГКО № 5562 О восстановлении производства паровых и гидравлических турбин на Ленинградском металлическом заводе имени Сталина. РГАНИР, Фонд ГКО, д. 226, лл. 65-68,69-87 (11012).</w:t>
      </w:r>
    </w:p>
    <w:p w14:paraId="050351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B5E401C" w14:textId="17A6B8B5"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г. вышло постановление ГКО № 5562 о восстановлении на заводе (Завод № 371 ИМ. Сталина НКВ, Компания Санкт-Петербургского металлического завода, Петроградский металлический завод, Ленинградский металлический завод (JIM3) крупного машиностроения, Государственный завод ВТУЗ им. Сталина, ЛМЗ ВТУЗ им. Сталина НКТП, НКМ, Завод им. Сталина НКОП, Минтяжмаша, МТиТМ, Дважды ордена Ленина ЛМЗ им. XXII съезда КПСС, АООТ, ОАО «ЛМЗ» / г. Санкт-Петербург,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Петроград,</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Ленинград/ /195009</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Санкт-Петербург Свердловская наб., д. 18 тел. 593-70-01/) производства паровых и гидравлических турбин; 16.03.1945 г. - постановление ГКО № 7849 о производстве башенных и открытых артустановок.</w:t>
      </w:r>
    </w:p>
    <w:p w14:paraId="19CE50B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03.1944 г. завод № 371 передан в ведение Главкотлотурбопрома НКТМ и вновь переименован в ЛМЗ им. Сталина. С 28.02.1953 г. — в ведении Главкотлотурбопрома МТиТМ, с 1957 г. - Управления тяжелого машиностроения ЛенСНХ.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1AFBF8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070ADE">
        <w:rPr>
          <w:rFonts w:ascii="Times New Roman" w:hAnsi="Times New Roman"/>
          <w:color w:val="000000" w:themeColor="text1"/>
          <w:sz w:val="16"/>
          <w:szCs w:val="16"/>
          <w:vertAlign w:val="superscript"/>
        </w:rPr>
        <w:t>142</w:t>
      </w:r>
    </w:p>
    <w:p w14:paraId="4F8341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1949 г. велось производство морской артиллерийской башенной установки МК-5бис, пост. СМ № 1846-987 от 29.10.1955 г. оно прекращено.</w:t>
      </w:r>
    </w:p>
    <w:p w14:paraId="7964A0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070ADE">
        <w:rPr>
          <w:rFonts w:ascii="Times New Roman" w:hAnsi="Times New Roman"/>
          <w:color w:val="000000" w:themeColor="text1"/>
          <w:sz w:val="16"/>
          <w:szCs w:val="16"/>
          <w:vertAlign w:val="superscript"/>
        </w:rPr>
        <w:t>77</w:t>
      </w:r>
    </w:p>
    <w:p w14:paraId="246332CD" w14:textId="507B752B"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1956 г. начат выпуск газовых турбин. Всего на ЛМЗ изготовлено (на начало 2000-х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2750 турбин. В 1958 г. начат выпуск газотурбинных установок.</w:t>
      </w:r>
    </w:p>
    <w:p w14:paraId="0CA0AD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1970 г. спроектирована гидротурбина для Саянской ГЭС мощностью 815 МВт.</w:t>
      </w:r>
    </w:p>
    <w:p w14:paraId="0B31B4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25.11.1992 г. завод акционирован и преобразован в АООТ, затем - ОАО ЛМЗ.</w:t>
      </w:r>
      <w:r w:rsidRPr="00070ADE">
        <w:rPr>
          <w:rFonts w:ascii="Times New Roman" w:hAnsi="Times New Roman"/>
          <w:color w:val="000000" w:themeColor="text1"/>
          <w:sz w:val="16"/>
          <w:szCs w:val="16"/>
          <w:vertAlign w:val="superscript"/>
        </w:rPr>
        <w:t>131</w:t>
      </w:r>
    </w:p>
    <w:p w14:paraId="0CD6651F" w14:textId="6EA6E724"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2000-х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часть площадей завода передана ЗАО «Яровит моторе», организовано производство грузовиков собственной конструкции.</w:t>
      </w:r>
    </w:p>
    <w:p w14:paraId="17F2016C" w14:textId="1D2FB95B"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(2000-е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газотурбинные установки; паровые турбины для ТЭЦ, АЭС.</w:t>
      </w:r>
    </w:p>
    <w:p w14:paraId="3A2D57B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ЛМЗ являлся филиалом концерна «Силовые машины» (2002 г.).</w:t>
      </w:r>
    </w:p>
    <w:p w14:paraId="7889D1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(1996 г.)- 9970 чел., (1998 г.)- около 5 тыс. чел.</w:t>
      </w:r>
    </w:p>
    <w:p w14:paraId="5A334D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(12.1937 г.)- Тылочкин, (-09-11.1938 г.-)- Н. Г. Никитин, (02.1942 г.)- Седов.</w:t>
      </w:r>
      <w:r w:rsidRPr="00070ADE">
        <w:rPr>
          <w:rFonts w:ascii="Times New Roman" w:hAnsi="Times New Roman"/>
          <w:color w:val="000000" w:themeColor="text1"/>
          <w:sz w:val="16"/>
          <w:szCs w:val="16"/>
          <w:vertAlign w:val="superscript"/>
        </w:rPr>
        <w:t>65</w:t>
      </w:r>
      <w:r w:rsidRPr="00070ADE">
        <w:rPr>
          <w:rFonts w:ascii="Times New Roman" w:hAnsi="Times New Roman"/>
          <w:color w:val="000000" w:themeColor="text1"/>
          <w:sz w:val="16"/>
          <w:szCs w:val="16"/>
        </w:rPr>
        <w:t xml:space="preserve"> Гендиректор (-1998-99 г.- )- В. Чернышев, (-2003-02.2004 г.)- В. Шевченко, (02.2004 г.-)- И. Сорочан.</w:t>
      </w:r>
    </w:p>
    <w:p w14:paraId="7D3BEB1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зам. Гендиректора (-1990 г.)- В.К. Глухих. Зам. гендиректора (-02.2004 г.)- И. Сорочан.</w:t>
      </w:r>
      <w:r w:rsidRPr="00070ADE">
        <w:rPr>
          <w:rFonts w:ascii="Times New Roman" w:hAnsi="Times New Roman"/>
          <w:color w:val="000000" w:themeColor="text1"/>
          <w:sz w:val="16"/>
          <w:szCs w:val="16"/>
          <w:vertAlign w:val="superscript"/>
        </w:rPr>
        <w:t>1ш</w:t>
      </w:r>
      <w:r w:rsidRPr="00070ADE">
        <w:rPr>
          <w:rFonts w:ascii="Times New Roman" w:hAnsi="Times New Roman"/>
          <w:color w:val="000000" w:themeColor="text1"/>
          <w:sz w:val="16"/>
          <w:szCs w:val="16"/>
        </w:rPr>
        <w:t>*</w:t>
      </w:r>
      <w:r w:rsidRPr="00070ADE">
        <w:rPr>
          <w:rFonts w:ascii="Times New Roman" w:hAnsi="Times New Roman"/>
          <w:color w:val="000000" w:themeColor="text1"/>
          <w:sz w:val="16"/>
          <w:szCs w:val="16"/>
          <w:vertAlign w:val="superscript"/>
        </w:rPr>
        <w:t>йпмоГ8</w:t>
      </w:r>
    </w:p>
    <w:p w14:paraId="7EB7A2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Технический директор (04.1937 г.)-проф. М.И. Гринбер г.</w:t>
      </w:r>
    </w:p>
    <w:p w14:paraId="65D7A4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(11.1938 г.)- Н. Г. Шанцев, (-1990 г.)- В.К. Глухих.</w:t>
      </w:r>
      <w:r w:rsidRPr="00070ADE">
        <w:rPr>
          <w:rFonts w:ascii="Times New Roman" w:hAnsi="Times New Roman"/>
          <w:color w:val="000000" w:themeColor="text1"/>
          <w:sz w:val="16"/>
          <w:szCs w:val="16"/>
          <w:vertAlign w:val="superscript"/>
        </w:rPr>
        <w:t>49</w:t>
      </w:r>
    </w:p>
    <w:p w14:paraId="1CCCA2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Помощник гл. инженера (-1912-14 г.-)- В. Смыслов.</w:t>
      </w:r>
    </w:p>
    <w:p w14:paraId="718B6F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технолог (1938 г.)- Захаров.</w:t>
      </w:r>
    </w:p>
    <w:p w14:paraId="0D5351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цехов: котельного (1912 г.)- Ф.К. Тихонов; (1946 г.)- В.А. Носанов.</w:t>
      </w:r>
    </w:p>
    <w:p w14:paraId="507D29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 отделами: судостроительным (1912 г.)- И.П. Косюра. Начальники отделов: подготовки производства (1938 г.)- Вихерев. Начальник УКС (09.1938 г.)- Александров.</w:t>
      </w:r>
    </w:p>
    <w:p w14:paraId="6C9ED49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строитель (1913 г.-)- В.Н. Корнилович.</w:t>
      </w:r>
    </w:p>
    <w:p w14:paraId="244F62C7" w14:textId="77777777" w:rsidR="002F4B64"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ПЛ С.К. Джевецкого «Почтовый» (1906-), эсминец типа «Орфей» (1917)- 8, тральщик типа «Ударник» (1917-, не достроены)- 8;</w:t>
      </w:r>
      <w:r w:rsidRPr="00070ADE">
        <w:rPr>
          <w:rFonts w:ascii="Times New Roman" w:hAnsi="Times New Roman"/>
          <w:iCs/>
          <w:color w:val="000000" w:themeColor="text1"/>
          <w:sz w:val="16"/>
          <w:szCs w:val="16"/>
        </w:rPr>
        <w:t xml:space="preserve"> артиллерийские башни:</w:t>
      </w:r>
      <w:r w:rsidRPr="00070ADE">
        <w:rPr>
          <w:rFonts w:ascii="Times New Roman" w:hAnsi="Times New Roman"/>
          <w:color w:val="000000" w:themeColor="text1"/>
          <w:sz w:val="16"/>
          <w:szCs w:val="16"/>
        </w:rPr>
        <w:t xml:space="preserve"> 305-мм для броненосцев «Сисой Великий», «Полтава», «Севастополь», «Ретвюан»,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070ADE">
        <w:rPr>
          <w:rFonts w:ascii="Times New Roman" w:hAnsi="Times New Roman"/>
          <w:iCs/>
          <w:color w:val="000000" w:themeColor="text1"/>
          <w:sz w:val="16"/>
          <w:szCs w:val="16"/>
        </w:rPr>
        <w:t xml:space="preserve"> турбины:</w:t>
      </w:r>
      <w:r w:rsidRPr="00070ADE">
        <w:rPr>
          <w:rFonts w:ascii="Times New Roman" w:hAnsi="Times New Roman"/>
          <w:color w:val="000000" w:themeColor="text1"/>
          <w:sz w:val="16"/>
          <w:szCs w:val="16"/>
        </w:rPr>
        <w:t xml:space="preserve"> судовые Кертис-АЭГ-Вулкан для эсминцев (1913); для Индийской АЭС; судовые котлы Вулкан-Ярроу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148D3A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КБ-1 ЛМЗ</w:t>
      </w:r>
    </w:p>
    <w:p w14:paraId="09136BAF" w14:textId="0B7AE1D0"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ВОВ - разработка корабельных артиллерийских башен.</w:t>
      </w:r>
      <w:r w:rsidRPr="00070ADE">
        <w:rPr>
          <w:rFonts w:ascii="Times New Roman" w:hAnsi="Times New Roman"/>
          <w:color w:val="000000" w:themeColor="text1"/>
          <w:sz w:val="16"/>
          <w:szCs w:val="16"/>
          <w:vertAlign w:val="superscript"/>
        </w:rPr>
        <w:t>61</w:t>
      </w:r>
      <w:r w:rsidRPr="00070ADE">
        <w:rPr>
          <w:rFonts w:ascii="Times New Roman" w:hAnsi="Times New Roman"/>
          <w:color w:val="000000" w:themeColor="text1"/>
          <w:sz w:val="16"/>
          <w:szCs w:val="16"/>
        </w:rPr>
        <w:t xml:space="preserve"> В 1920-е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w:t>
      </w:r>
      <w:r w:rsidRPr="00070ADE">
        <w:rPr>
          <w:rFonts w:ascii="Times New Roman" w:hAnsi="Times New Roman"/>
          <w:color w:val="000000" w:themeColor="text1"/>
          <w:sz w:val="16"/>
          <w:szCs w:val="16"/>
        </w:rPr>
        <w:lastRenderedPageBreak/>
        <w:t>152-мм пушки Б-38: двухорудийные МК-4 для линкора пр. 23, МК-17 для крейсера пр. 69; трехорудийная МК-5 для крейсера пр. 68. В 1940 г. спроектирована 2-орудийная башня МК-18 со 130-мм пушками Б-51 для крейсера пр. МК-6.</w:t>
      </w:r>
    </w:p>
    <w:p w14:paraId="4916D830" w14:textId="18C6D0C3"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1940-х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начата разработка 3-орудийной башенной установки СМ-31 для 305-мм пушек СМ-33 (совместно с ЦКБ-34), в 1953 г. работы прекращены.</w:t>
      </w:r>
    </w:p>
    <w:p w14:paraId="0C708B72" w14:textId="77777777" w:rsidR="002F4B64"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Заведующий (1920-е)- Р.Н. Вульф. Начальник (-1941 г.)- Т.Д. Вылкост.</w:t>
      </w:r>
    </w:p>
    <w:p w14:paraId="54A25E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ОАО «Силовые машины»</w:t>
      </w:r>
    </w:p>
    <w:p w14:paraId="740B20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69F26A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зам. гендиректора (2003 г.)- М. Наумченко. Зам. гендиректора: по экономике и финансам (-2003-07.2005 г.)- Н. Кузнецов, (03.2006 г.-)- В. Рогожев; (2004 г.)- О. Юхтенко, (2004 г.)- В. Шевченко, (09.2006 г.-)- И. Дубинников.</w:t>
      </w:r>
    </w:p>
    <w:p w14:paraId="13DCBF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управляющий (10.2006-07 г.-)- А. Чуваев; по стратегии и корпоративным вопросам (-2003-04 г.-)- П. Скитович, по стратегическому развитию и контроллингу (11.2007 г.-)- А. Ранцев; по экономике и финансам (11.2007 г.-)- В. Чечнев; по промышленной интеграции (-2004 г.)- В. Шевченко; административный (09.2006 г.-)- И. Дубинников; по управлению персоналом (-2006-07 г.-)- О. Г. Морозова; по информационным технологиям (2006 г.)- А.Е. Никитин; по общественным связям и рекламе (2006 г.)- В.В. Вергельская.</w:t>
      </w:r>
    </w:p>
    <w:p w14:paraId="16BCFE69" w14:textId="77777777" w:rsidR="002F4B64"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управлений: информационных технологий (2007 г.)- А.Л. Банкевич.</w:t>
      </w:r>
    </w:p>
    <w:p w14:paraId="6B78C4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Глухоозерский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1326CC0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Глухоозерский механический завод основан в 1914 г.</w:t>
      </w:r>
    </w:p>
    <w:p w14:paraId="526EEB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Ленгортреста местной промышленности от 30.03.1932 г. на базе Глухоозерского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044FA8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18.12.1992 г. завод преобразован в АООТ, затем - ОАО «ЗТЛ».</w:t>
      </w:r>
      <w:r w:rsidRPr="00070ADE">
        <w:rPr>
          <w:rFonts w:ascii="Times New Roman" w:hAnsi="Times New Roman"/>
          <w:color w:val="000000" w:themeColor="text1"/>
          <w:sz w:val="16"/>
          <w:szCs w:val="16"/>
          <w:vertAlign w:val="superscript"/>
        </w:rPr>
        <w:t>131</w:t>
      </w:r>
    </w:p>
    <w:p w14:paraId="7F0C01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Гендиректор (-2003-04 г.-)- А.П. Балашов. Директор филиала (2005 г.)- А.П. Балашов (11982).</w:t>
      </w:r>
    </w:p>
    <w:p w14:paraId="0AA4CE87" w14:textId="77777777" w:rsidR="002F4B64" w:rsidRPr="00070ADE" w:rsidRDefault="002F4B64" w:rsidP="00B56F90">
      <w:pPr>
        <w:autoSpaceDE w:val="0"/>
        <w:autoSpaceDN w:val="0"/>
        <w:adjustRightInd w:val="0"/>
        <w:spacing w:after="0" w:line="240" w:lineRule="auto"/>
        <w:jc w:val="both"/>
        <w:rPr>
          <w:rFonts w:ascii="Times New Roman" w:hAnsi="Times New Roman"/>
          <w:color w:val="000000" w:themeColor="text1"/>
          <w:sz w:val="16"/>
          <w:szCs w:val="16"/>
        </w:rPr>
      </w:pPr>
    </w:p>
    <w:p w14:paraId="6F93C30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Постановление ГКО № 5564 О монтаже котла № 3 на ТЭЦ завода № 19 НКАП. РГАНИР, Фонд ГКО, д. 226, лл. 91-94,95-99 (11012).</w:t>
      </w:r>
    </w:p>
    <w:p w14:paraId="12AD769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3AAC4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Распоряжение ГКО № 5565. О поставках химикатов Комитету по делам кинематографии при СНК СССР. РГАНИР, Фонд ГКО, д. 226, лл. 100 (11012).</w:t>
      </w:r>
    </w:p>
    <w:p w14:paraId="694675E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F2542A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Распоряжение ГКО № 5566 [О мобилизации в Марийской АССР 250 рабочих и 170 возчиков с лошадьми на заготовку и вывозку дров для электростанции в Йошкар-Оле.] (7206, 101).</w:t>
      </w:r>
    </w:p>
    <w:p w14:paraId="637BF66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A8F4E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Распоряжение ГКО № 5567 [О поставках НКГБ материалов и оборудования во II кв. 1944 г.] (7206, 102,103-115).</w:t>
      </w:r>
    </w:p>
    <w:p w14:paraId="5DC75AA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EE20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Распоряжение ГКО № 5568. О производстве тягачей на базе танка Т-34 на танкоремонтных заводах НКО. РГАНИР, Фонд ГКО, д. 226, лл. 116 (11012).</w:t>
      </w:r>
    </w:p>
    <w:p w14:paraId="215EA1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677FB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Распоряжение ГКО № 5569. О мерах помощи строительству "Севанстрой". РГАНИР, Фонд ГКО, д. 226, лл. 117-118,119 (11012).</w:t>
      </w:r>
    </w:p>
    <w:p w14:paraId="040608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6749DB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Распоряжение ГКО № 5570. О поставках керосина Молотовской обл. РГАНИР, Фонд ГКО, д. 226, лл. 120 (11012).</w:t>
      </w:r>
    </w:p>
    <w:p w14:paraId="72D310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61F9B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Постановление ГКО№ 5571 О балансах и планах распределения сырья и проката цветных металлов, баббитов, припоев, угольных и графитированных электродов, нефтяного кокса и кабельных изделий на квартал 1944 года. РГАНИР, Фонд ГКО, д. 226, лл. 121-123,124-193 (11012).</w:t>
      </w:r>
    </w:p>
    <w:p w14:paraId="259CAC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6929D2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Постановление ГКО № 5571 О балансах и планах распределения сырья и проката цветных металлов, баббитов, припоев, угольных и графитированных электродов, нефтяного кокса и кабельных изделий на II квартал 1944 г. (7206, 121-123,124-193</w:t>
      </w:r>
    </w:p>
    <w:p w14:paraId="41A3447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8699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Постановление ГКО № 5572 О мероприятиях по восстановлению и развитию средств связи Украинской ССР. РГАНИР, Фонд ГКО, д. 226, лл. 194-199,200-213 (11012).</w:t>
      </w:r>
    </w:p>
    <w:p w14:paraId="59CE7C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187D1D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Постановление ГКО № 5573 О подготовке кирпичных заводов Наркомстройматериалов РСФСР, Наркомместпрома РСФСР и Управления промкооперации при Совнаркоме РСФСР к производственному сезону 1944 г. (7206, 214-216,217-221).</w:t>
      </w:r>
    </w:p>
    <w:p w14:paraId="328ADF9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B017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Постановление ГКО № 5574 О плане распределения торфа на II квартал 1944 года. РГАНИР, Фонд ГКО, д. 227, лл. 1-2,3-18 (11012).</w:t>
      </w:r>
    </w:p>
    <w:p w14:paraId="429077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B35863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Распоряжение ГКО № 5576 [О мерах по своевременному началу добычи торфа на Арбанском торфопредприятии Марийской АССР.] (7207, 31).</w:t>
      </w:r>
    </w:p>
    <w:p w14:paraId="0F6AFC8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663C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Постановление ГКО № 5577 О строительстве Нижне-Широковской гидроэлектростанции на реке Косьве Молотовской области. РГАНИР, Фонд ГКО, д. 227, лл. 32 (11012).</w:t>
      </w:r>
    </w:p>
    <w:p w14:paraId="6B2DDCF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981DC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Постановление ГКО № 5579 О мероприятиях по восстановлению и строительству объектов Главного артиллерийского управления Красной Армии. РГАНИР, Фонд ГКО, д. 227, лл. 35-37,38-42 (11012).</w:t>
      </w:r>
    </w:p>
    <w:p w14:paraId="65FD70A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6D7D9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Постановление ГКО № 5581 Об обеспечении пуска цехов серебрянки на заводах "Серп и Молот" и "Электросталь" Наркомчермета. РГАНИР, Фонд ГКО, д. 227, лл. 46-49,50-51 (11012).</w:t>
      </w:r>
    </w:p>
    <w:p w14:paraId="61CDBE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D09EF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Постановление ГКО № 5582 О мерах по обеспечению работы лаборатории № 2 АН СССР в 1944 г. РГАНИР, Фонд ГКО, д. 227, лл. 52-54,55-62 (11012).</w:t>
      </w:r>
    </w:p>
    <w:p w14:paraId="714554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BCD35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Постановление ГКО № 5583 Об изготовлении опытных образцов нового тяжелого танка на Кировском заводе НКТП. РГАНИР, Фонд ГКО, д. 227, лл. 63,64-65 (11012).</w:t>
      </w:r>
    </w:p>
    <w:p w14:paraId="5A7A12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8345B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Постановление ГКО № 5585 О развитии геолого-разведочных работ по радиоактивным элементам в 1944 году. РГАНИР, Фонд ГКО, д. 227, лл. 68-73,74-83 (11012).</w:t>
      </w:r>
    </w:p>
    <w:p w14:paraId="2BB645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A97C2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Распоряжение ГКО № 5586. Об учреждении переходящего Красного знамени ГКО и установлении одной второй и одной третьей премии для победителей во Всесоюзном соцсоревновании среди металлургических заводов и металлургических производств заводов НКТП. РГАНИР, Фонд ГКО, д. 227, лл. 84 (11012).</w:t>
      </w:r>
    </w:p>
    <w:p w14:paraId="7B13B8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E92DCF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33476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A78DBF"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8 апреля</w:t>
      </w:r>
      <w:r w:rsidRPr="00070ADE">
        <w:rPr>
          <w:rFonts w:ascii="Times New Roman" w:hAnsi="Times New Roman"/>
          <w:color w:val="000000" w:themeColor="text1"/>
          <w:sz w:val="16"/>
          <w:szCs w:val="16"/>
        </w:rPr>
        <w:t xml:space="preserve"> в 1944 году оперативная сводка Совинформбюро:</w:t>
      </w:r>
    </w:p>
    <w:p w14:paraId="6CF59E98"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8 апреля западнее города Скала наши войска продолжали вести бои по уничтожению окружённой группировки противника и заняли ряд населённых пунктов, среди которых крупные населённые пункты Езежаны, Лановце, Глубичек, Бильчезлоте, Винятинцы, Касперовцы.</w:t>
      </w:r>
    </w:p>
    <w:p w14:paraId="25D20EA1"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Войска 1-го Украинского фронта, нанеся поражение противнику в предгорьях Карпат, вышли на нашу государственную границу с Чехословакией и Румынией на фронте протяжением до 200 километров и овладели районными центрами Станиславский области Печенежин, Яблонов, Жабье, районными центрами Черновицкой области городом Вашковцы, городом Вижница, Путила, Глыбока, а также с боями заняли более300 других населённых пунктов, в том числе крупные населённые пункты Космач, Кживорувня, Усьцерыкни, Селетин, Красноильск, Петровцы, Купка, Старый Волчинец, Деутш и железнодорожные станции Косьмин, Адынката, Карапчу, Чудин, Косчуя, Тисауцы, Берхомет, Вижница. Преследуя отходящего противника, войска фронта овладели на румынской территории городом Серет и заняли свыше 30 другихнаселённых пунктов и среди них крупные населённые пункты Стража, Михейлены, Дерска.</w:t>
      </w:r>
    </w:p>
    <w:p w14:paraId="0687EF10"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форсировали реку Прут севернее города Яссы на участке протяжением 170 километров, прорвали оборону противника и, преследуя войска противника, вышли к реке Серет на фронте протяжением 85 километров, овладели городами дорохой, ботошани, а также с боями заняли более 150 других населённых пунктов, среди которых крупные населённые пункты Сату-Маре, Варфу-Кампулуй, Бучеча, Вледений, Корни, Жолдешти, Тудора, Уричени, Сулица, Кишкерени, Корнеле-Капрей, Фокуриле и железнодорожные станции Шолдана, Рэдиу, Реушений, Тодирений, Трушешти, Унгурений, Ворничени, Броскеуцы, Вакулешти, Леорда, Бучеча.</w:t>
      </w:r>
    </w:p>
    <w:p w14:paraId="27EAF19C"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Одесском направлении наши войска, продолжая наступление, с боями заняли более 30 населённых пунктов и среди них крупные населённые пункты Зельцы, Кандель, Граденица, Эльзас, Большое Фестерово, Острадовка, Ильинка, Гильдендорф (13 километров севернее Одесса), Александровка. Севернее Раздельная наши войска завершили ликвидацию окружённой группировки противника. В этом районе, по уточнённым данным, в боях за 6 и 7 апреля нашими войсками захвачены следующие трофеи: танков — 40, самоходных орудий «Фердинанд» — 5, орудий разного калибра —188, пулемётов — 284, лошадей — 1.000 и много другого военного имущества. Взято в плен 3.200 немецких солдат и офицеров, причём имели место случаи организованной сдачи в плен целых немецких подразделений. Противник оставил наполе боя более 7.000 трупов солдат и офицеров.</w:t>
      </w:r>
    </w:p>
    <w:p w14:paraId="7B43BB5F"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бои местного значения.</w:t>
      </w:r>
    </w:p>
    <w:p w14:paraId="70781336"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7 апреля наши войска на всех фронтах подбили и уничтожили 41 немецкий танк. В воздушных боях и огнём зенитной артиллерии сбито 92 самолёта противника.</w:t>
      </w:r>
    </w:p>
    <w:p w14:paraId="4985E771"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города Скала наши войска продолжали вести бои по уничтожению окружённой группировки противника. Части Н-ского соединения переправились через водный рубеж и стремительным манёвром отсекли группу немцев от основных их сил. В ожесточённой схватке советские пехотинцы и танкисты истребили свыше 900 гитлеровцев. Остальные немецкие солдаты и офицеры численностью в 300 человек сложили оружие и сдались в плен. Захвачено 2 танка, 3 самоходных и 8 полевых орудий, 57 пулемётов, 19 миномётов и более 100 автомашин с различными грузами.</w:t>
      </w:r>
    </w:p>
    <w:p w14:paraId="310CB863"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Немецкие войска предпринимали новые попытки прорвать кольцо окружения. Крупные силы пехоты и танков противника на различных участках бросались в атаки, но всюду встречали непроходимую стену огня и откатывались назад, оставляя на поле боя сотни убитых и раненых солдат и офицеров. Только на одном участке уничтожено до двух батальонов гитлеровцев, подбито и сожжено 19 танков и 4 самоходных орудия.</w:t>
      </w:r>
    </w:p>
    <w:p w14:paraId="500A7BBD"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поддерживала действия наземных частей и наносила непрерывные удары по войскам противника. Советские лётчики уничтожили 18 немецких танков, 12 бронетранспортёров и до 200 автомашин с войсками и грузами.</w:t>
      </w:r>
    </w:p>
    <w:p w14:paraId="3D39F054"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форсировали реку Прут севернее города Яссы на участке протяжением в 170 километров. Местность, пересечённая рядом высот и холмов, давала возможность вражеским войскам создать сильно укреплённые оборонительные позиции. Дожди и непролазная грязь также крайне затрудняли продвижение наших войск. Стремительными ударами советские бойцы опрокинули противника и, быстро продвигаясь вперёд, вышли к румынскому городу Ботошани. Противник пытался оказать сопротивление, но был смят мощным ударом наших войск. Советские части овладели городом Ботошани, городом Дорохой и заняли более 150 других населённых пунктов. Потерпев поражение, немцы пытались отвести свои частиза реку Серет. Преследуя врага по пятам, наши войска прижали гитлеровцев к реке и вновь нанесли им тяжёлый урон в живой силе и технике. Отдельные части противника, в беспорядке отступая, побросали всю свою технику и вооружение. Нашими войсками захвачено много трофеев.</w:t>
      </w:r>
    </w:p>
    <w:p w14:paraId="72C5AB37"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Одесском направлении наши войска продолжали наступление. Части Н-ского соединения с боями продвигались вдоль западного берега Хаджибейского лимана и очистили от немцев ряд населённых пунктов. Наши подвижные отряды прорываются в тылы противника и, отрезая пути отхода, наносят ему тяжёлый урон. В течение дня на этом участке уничтожено более батальона гитлеровцев. Захвачены у немцев 2 танка, 38 орудий и 5 миномётов. Подвижные части, действующие в низовьях Днестра, взяли в плен свыше 700 немецких и румынских солдат и офицеров.</w:t>
      </w:r>
    </w:p>
    <w:p w14:paraId="244661FB"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Группировка противника, окружённая севернее города Раздельная, пыталась пробиться на запад. Советские войска прижали немцев к разлившейся речке Кучурган и расчленили их на отдельные изолированные части. Многие немецкие солдаты и офицеры прекратили сопротивление и сложили оружие. Отдельные гитлеровцы бросались вплавь через речку, но в большинстве своём были убиты и потоплены. К исходу дня вся окружённая группировка противника была ликвидирована.</w:t>
      </w:r>
    </w:p>
    <w:p w14:paraId="3B299D8B"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Ленинградском фронте лётчики-истребители авиачасти, где командиром дважды Герой Советского Союза Покрышев, за последние дни сбили 16 самолётов противника. Четыре из них сбил лётчик лейтенант Серов. Четвёрка наших самолётов во главе с майором Михайлиным встретила в воздухе 8 немецких истребителей "Фокке-Вульф-190" и атаковала их. В ожесточенном воздушном бою, происходившем на большой высоте, советские лётчики сбили 5 немецких самолётов. Майор Михайлин в этом бою лично сбил два самолёта противника. В тот же день лётчики капитан Лихачёв и младший лейтенант Лисица, патрулируя в воздухе, были атакованы шестёркой вражеских самолётов. В короткой схватке тт. Лихачёв и Лисица уничтожили два самолёта противника. Возвращаясь на свой аэродром, капитан Лихачёв встретил и сбил ещё один немецкий истребитель.</w:t>
      </w:r>
    </w:p>
    <w:p w14:paraId="468DC2A6"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Группа литовских партизан из отряда имени Костаса Калинаускаса пустила под откос два немецких воинских эшелона. В результате крушений разбиты два паровозаи большое количество вагонов. Под обломками вагонов погибло свыше 200 гитлеровцев. Литовские партизаны проникли в гор. Тракай, уничтожили охрану тюрьмы и освободили 45 советских граждан, томившихся в немецком застенке. В другом районе литовские партизаны спилили сотни телеграфных столбов и сняли 170 километров телеграфно-телефонной линии связи.» (15093).</w:t>
      </w:r>
    </w:p>
    <w:p w14:paraId="47713C63" w14:textId="77777777" w:rsidR="002F4B64" w:rsidRPr="00070ADE" w:rsidRDefault="002F4B64" w:rsidP="00B56F90">
      <w:pPr>
        <w:spacing w:after="0" w:line="240" w:lineRule="auto"/>
        <w:jc w:val="both"/>
        <w:rPr>
          <w:rFonts w:ascii="Times New Roman" w:hAnsi="Times New Roman"/>
          <w:color w:val="000000" w:themeColor="text1"/>
          <w:sz w:val="16"/>
          <w:szCs w:val="16"/>
        </w:rPr>
      </w:pPr>
    </w:p>
    <w:p w14:paraId="5E2672E3" w14:textId="77777777" w:rsidR="00AA077A" w:rsidRPr="00070ADE" w:rsidRDefault="00AA077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8 на 9 апреля 1944 45-я АДДД совершила налет на желез</w:t>
      </w:r>
      <w:r w:rsidRPr="00070ADE">
        <w:rPr>
          <w:rFonts w:ascii="Times New Roman" w:hAnsi="Times New Roman"/>
          <w:color w:val="000000" w:themeColor="text1"/>
          <w:sz w:val="16"/>
          <w:szCs w:val="16"/>
        </w:rPr>
        <w:softHyphen/>
        <w:t>нодорожный узел Гулбене (в Латвии). В вылете приняло участие кораблей. Взлет прошел в период с 18 ч. 24 мин. по 19 ч. 28 мин. Корабль №42410 (командир корабля Ищенко) из-за неи</w:t>
      </w:r>
      <w:r w:rsidRPr="00070ADE">
        <w:rPr>
          <w:rFonts w:ascii="Times New Roman" w:hAnsi="Times New Roman"/>
          <w:color w:val="000000" w:themeColor="text1"/>
          <w:sz w:val="16"/>
          <w:szCs w:val="16"/>
        </w:rPr>
        <w:softHyphen/>
        <w:t>справности мат. части взлетел позже - в 20 ч. 21 мин. Все само</w:t>
      </w:r>
      <w:r w:rsidRPr="00070ADE">
        <w:rPr>
          <w:rFonts w:ascii="Times New Roman" w:hAnsi="Times New Roman"/>
          <w:color w:val="000000" w:themeColor="text1"/>
          <w:sz w:val="16"/>
          <w:szCs w:val="16"/>
        </w:rPr>
        <w:softHyphen/>
        <w:t>леты бомбили основную цель в период с 22 ч. 16 мин по 22 ч. 51 мин. Пе-8 42410, взлетевший позже бомбил основную цель в 23 ч. 44 мин. На цель было сброшено: 10 ФАБ-2000,12 ФАБ- 1000, 42 ФАБ-500,4 ФАБ-500тр, 36 ФАБ-250,6 ФОТАБ-50-35. Из состава 25-го гв. АПДД цель бомбили Пе-8 с заводскими номерами: 42076 (командир корабля Адамов), 42067 (командир корабля Обухов), 42028 (командир корабля Симонов), 42059 (командир корабля Шатров), 42410 (командир корабля Ищенко), 42311 (командир корабля Зеленский), 42811 (командир корабля Пономаренко). Из состава 890 АПДД бомбили цель Пе-8 с завод</w:t>
      </w:r>
      <w:r w:rsidRPr="00070ADE">
        <w:rPr>
          <w:rFonts w:ascii="Times New Roman" w:hAnsi="Times New Roman"/>
          <w:color w:val="000000" w:themeColor="text1"/>
          <w:sz w:val="16"/>
          <w:szCs w:val="16"/>
        </w:rPr>
        <w:softHyphen/>
        <w:t>скими номерами: 4214 (командир корабля Откидач), 42078 (ко</w:t>
      </w:r>
      <w:r w:rsidRPr="00070ADE">
        <w:rPr>
          <w:rFonts w:ascii="Times New Roman" w:hAnsi="Times New Roman"/>
          <w:color w:val="000000" w:themeColor="text1"/>
          <w:sz w:val="16"/>
          <w:szCs w:val="16"/>
        </w:rPr>
        <w:softHyphen/>
        <w:t>мандир корабля Белков), 42710 (командир корабля Черниченко), 42810 (командир корабля Олейников), 42910 (командир корабля Шамрай), 42411(командир корабля Романов), 42711 (командир корабля Марусиченко), 421011 (командир корабля Вихорев). При подходе к цели в 22 ч. 10 мин. стрелки Пе-8 №421011 обстре</w:t>
      </w:r>
      <w:r w:rsidRPr="00070ADE">
        <w:rPr>
          <w:rFonts w:ascii="Times New Roman" w:hAnsi="Times New Roman"/>
          <w:color w:val="000000" w:themeColor="text1"/>
          <w:sz w:val="16"/>
          <w:szCs w:val="16"/>
        </w:rPr>
        <w:softHyphen/>
        <w:t>ляли два двухмоторных самолета противника. После выпол</w:t>
      </w:r>
      <w:r w:rsidRPr="00070ADE">
        <w:rPr>
          <w:rFonts w:ascii="Times New Roman" w:hAnsi="Times New Roman"/>
          <w:color w:val="000000" w:themeColor="text1"/>
          <w:sz w:val="16"/>
          <w:szCs w:val="16"/>
        </w:rPr>
        <w:softHyphen/>
        <w:t>нения задания все корабли произвели посадку на своем аэро</w:t>
      </w:r>
      <w:r w:rsidRPr="00070ADE">
        <w:rPr>
          <w:rFonts w:ascii="Times New Roman" w:hAnsi="Times New Roman"/>
          <w:color w:val="000000" w:themeColor="text1"/>
          <w:sz w:val="16"/>
          <w:szCs w:val="16"/>
        </w:rPr>
        <w:softHyphen/>
        <w:t>дроме в период с 00 ч. 35 мин. по 02 ч. 13 мин. Потерь не было (19559).</w:t>
      </w:r>
    </w:p>
    <w:p w14:paraId="04124EE7" w14:textId="77777777" w:rsidR="00AA077A" w:rsidRPr="00070ADE" w:rsidRDefault="00AA077A" w:rsidP="00B56F90">
      <w:pPr>
        <w:spacing w:after="0" w:line="240" w:lineRule="auto"/>
        <w:jc w:val="both"/>
        <w:rPr>
          <w:rFonts w:ascii="Times New Roman" w:hAnsi="Times New Roman"/>
          <w:color w:val="000000" w:themeColor="text1"/>
          <w:sz w:val="16"/>
          <w:szCs w:val="16"/>
        </w:rPr>
      </w:pPr>
    </w:p>
    <w:p w14:paraId="4D699EA0"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8 апреля</w:t>
      </w:r>
      <w:r w:rsidRPr="00070ADE">
        <w:rPr>
          <w:rFonts w:ascii="Times New Roman" w:hAnsi="Times New Roman"/>
          <w:color w:val="000000" w:themeColor="text1"/>
          <w:sz w:val="16"/>
          <w:szCs w:val="16"/>
        </w:rPr>
        <w:t xml:space="preserve"> в 1944 году началась Крымская стратегическая наступательная операция советских войск. 8 апреля после артиллерийской и авиационной подготовки, войска 4-го Украинского фронта (генерал армии Ф.И.Толбухин) перешли в наступление, после ожесточенных боев прорвали оборону противника и 11 апреля освободили Джанкой. В ночь на 11 апреля перешла в наступление Отдельная Приморская армия (генерал армии А.И.Еременко) и утром освободила Керчь. В ходе наступления 13 апреля были освобождены Евпатория, Симферополь и Феодосия, 14 апреля—Бахчисарай, 16 апреля—Ялта, 18 апреля— Балаклава. С 15 апреля по 4 мая велась подготовка к решающему штурму севастопольских укреплений. 5 мая после мощной артиллерийской подготовки началось наступление на Севастополь, 9 мая город был освобожден Остатки разгромленных войск противника 12 мая были взяты в плен у мыса Херсонес. Противник потерял на суше всю технику и до 100 тысяч человек, а на море во время эвакуации более 42 тысяч человек (15093).</w:t>
      </w:r>
    </w:p>
    <w:p w14:paraId="67F74E7E" w14:textId="77777777" w:rsidR="002F4B64" w:rsidRPr="00070ADE" w:rsidRDefault="002F4B64" w:rsidP="00B56F90">
      <w:pPr>
        <w:spacing w:after="0" w:line="240" w:lineRule="auto"/>
        <w:jc w:val="both"/>
        <w:rPr>
          <w:rFonts w:ascii="Times New Roman" w:hAnsi="Times New Roman"/>
          <w:color w:val="000000" w:themeColor="text1"/>
          <w:sz w:val="16"/>
          <w:szCs w:val="16"/>
        </w:rPr>
      </w:pPr>
    </w:p>
    <w:p w14:paraId="158B26F8"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8 апреля</w:t>
      </w:r>
      <w:r w:rsidRPr="00070ADE">
        <w:rPr>
          <w:rFonts w:ascii="Times New Roman" w:hAnsi="Times New Roman"/>
          <w:color w:val="000000" w:themeColor="text1"/>
          <w:sz w:val="16"/>
          <w:szCs w:val="16"/>
        </w:rPr>
        <w:t xml:space="preserve"> в 1944 году поднялся в воздух прототип </w:t>
      </w:r>
      <w:hyperlink r:id="rId104" w:tgtFrame="_blank" w:history="1">
        <w:r w:rsidRPr="00070ADE">
          <w:rPr>
            <w:rFonts w:ascii="Times New Roman" w:hAnsi="Times New Roman"/>
            <w:color w:val="000000" w:themeColor="text1"/>
            <w:sz w:val="16"/>
            <w:szCs w:val="16"/>
          </w:rPr>
          <w:t xml:space="preserve">«Ta-154V-8» </w:t>
        </w:r>
      </w:hyperlink>
      <w:r w:rsidRPr="00070ADE">
        <w:rPr>
          <w:rFonts w:ascii="Times New Roman" w:hAnsi="Times New Roman"/>
          <w:color w:val="000000" w:themeColor="text1"/>
          <w:sz w:val="16"/>
          <w:szCs w:val="16"/>
        </w:rPr>
        <w:t>(сер.№0008, код TE+FL) оснащенный моторами «Jumo 213A». Следом за ним эти двигатели поставили на «V-10», «V-22», «V-23», собранные соответственно в мае, июне и июле. Новые движки развивали на взлетном режиме 1776 л.с. и вращали пропеллеры «VS111» (15093).</w:t>
      </w:r>
    </w:p>
    <w:p w14:paraId="1662C0DA" w14:textId="77777777" w:rsidR="002F4B64" w:rsidRPr="00070ADE" w:rsidRDefault="002F4B64" w:rsidP="00B56F90">
      <w:pPr>
        <w:spacing w:after="0" w:line="240" w:lineRule="auto"/>
        <w:jc w:val="both"/>
        <w:rPr>
          <w:rFonts w:ascii="Times New Roman" w:hAnsi="Times New Roman"/>
          <w:color w:val="000000" w:themeColor="text1"/>
          <w:sz w:val="16"/>
          <w:szCs w:val="16"/>
        </w:rPr>
      </w:pPr>
    </w:p>
    <w:p w14:paraId="658D2CF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войска первого Украинского фронта начали военные операции за пределами СССР (4962).</w:t>
      </w:r>
    </w:p>
    <w:p w14:paraId="7403857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239F0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советские войска начали Крымскую операцию (4962), войска 4-го Украинского фронта и Отдельной Приморской армии,поддержанные силами Черноморского флота и Азовской военной флотилии (4963 ).</w:t>
      </w:r>
    </w:p>
    <w:p w14:paraId="5F990BB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623C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April 8 1944 Soviet troops begin offensive to liberate Crimea (1050).</w:t>
      </w:r>
    </w:p>
    <w:p w14:paraId="0CBB95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35E24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8 апреля 1944 КА начала наступление для освобождения Крыма (1050) и Крымская операция длилась до 12 мая 1944. Наступали с керченского плацдарма и через </w:t>
      </w:r>
      <w:r w:rsidRPr="00070ADE">
        <w:rPr>
          <w:rFonts w:ascii="Times New Roman" w:hAnsi="Times New Roman"/>
          <w:color w:val="000000" w:themeColor="text1"/>
          <w:sz w:val="16"/>
          <w:szCs w:val="16"/>
        </w:rPr>
        <w:lastRenderedPageBreak/>
        <w:t>Сиваш и Перекоп на Симферополь (2438,343) 4УФ 11 апреля освободили Джанкой и утром 11 - ПримА - Керчь, 13 - Евпатория, 14 - Бахчисарай, 16 - Ялту, 18 - Балаклаву (3398,141).</w:t>
      </w:r>
    </w:p>
    <w:p w14:paraId="1DACC9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АДД нанесла удары по аэродромам (518,65).</w:t>
      </w:r>
    </w:p>
    <w:p w14:paraId="08C7A1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этого передний край обработали ш под управлением мастеров ш ударов - Филиппов, Тюленев, Анисов, Суклышкин, Жилинский. За 1-2 минуты перед ними вылетели и под командованием Попова и Еремина, чтобы не допустить противодействия н и. В результате на земле и в воздухе уничтожили 40 (430,197).</w:t>
      </w:r>
    </w:p>
    <w:p w14:paraId="6D9DFD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 самой атакой ш атаковали высоту 30.3 - ключи к воротам Крыма, которая закрывала проход от Айгульского озера до залива (430,198).</w:t>
      </w:r>
    </w:p>
    <w:p w14:paraId="61118B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Авиасоединения массированными действиями на направлении главного удара помогали отбить контрнаступление действуя по танкам и живой силе над полем боя и в районах сосредоточения, а также на коммуникациях (518,144).</w:t>
      </w:r>
    </w:p>
    <w:p w14:paraId="7923B1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Здесь был пример апв в горных условиях и авиация также компенсировала недостаточную огневую мощь пехоты (518,150).</w:t>
      </w:r>
    </w:p>
    <w:p w14:paraId="696929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Авиасоединения массированными действиями на направлении главного удара помогали отбить контрнаступление действуя по танкам и живой силе над полем боя и в районах сосредоточения, а также на коммуникациях в Осовецкой, Уманской (518,144).</w:t>
      </w:r>
    </w:p>
    <w:p w14:paraId="0260F2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преследовании отступающих войск авиация была перенацелена на дезорганизацию отхода и уничтожение войск и боевой техники в сотрудничестве фронтовой авиации и АДД (518,163).</w:t>
      </w:r>
    </w:p>
    <w:p w14:paraId="5C39F4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операции на поддержку и прикрытие сухопутных войск ВВС флота выделяли от 20 до 35% самолетовылетов (518,183).</w:t>
      </w:r>
    </w:p>
    <w:p w14:paraId="366624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прорыва сухопутными войсками обороны противника фронтовая авиация наносила удары по военно-морским базам и портам 7% самолетовылетов, а флотская - 91.6% (518,186).</w:t>
      </w:r>
    </w:p>
    <w:p w14:paraId="0782DF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C98D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April 8th, 1944: Troops of Heeresgruppe Ukraine (von Manstein) encircled at Kamenets-Podolsk break out to their own lines (3819).</w:t>
      </w:r>
    </w:p>
    <w:p w14:paraId="495031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49190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прорвались войска Группы Украина (фон Манштейн), окруженные у Каменец-Подольского (3819).</w:t>
      </w:r>
    </w:p>
    <w:p w14:paraId="7F6650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243FD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70B204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591F3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Постановление ГКО № 5575 Об улучшении жилищного строительства на важнейших предприятиях Свердловской области. (7207, 19-22,23-30).</w:t>
      </w:r>
    </w:p>
    <w:p w14:paraId="0E0EEAB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4FBD8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Постановление ГКО № 5578 Об освобождении помещений профсоюзных клубов, домов союзов и дворцов труда, используемых не по назначению. (7207, 33-34).</w:t>
      </w:r>
    </w:p>
    <w:p w14:paraId="2725F93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D5CC6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Постановление ГКО № 5580 О мероприятиях по обеспечению выпуска шифера заводами Наркомстройматериалов СССР. (7207, 43-45).</w:t>
      </w:r>
    </w:p>
    <w:p w14:paraId="030F721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97F0B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19F942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82435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Постановление ГКО № 5563 [О мерах помощи ШПД Польши.] (7206, 88-90).</w:t>
      </w:r>
    </w:p>
    <w:p w14:paraId="425E4E6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F24EA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вышло Постановление ГКО № 5584 О восстановлении охраны государственной границы Союза ССР на освобождаемых от войск противника участках и о сформировании 35 полков НКВД по охране тыла Красной Армии. (7207, 66-67).</w:t>
      </w:r>
    </w:p>
    <w:p w14:paraId="08C03B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Между 6 и 12 апреля 1944. Из протокола заседания Политбюро N 1, особая папка, 1939 г.</w:t>
      </w:r>
    </w:p>
    <w:p w14:paraId="51C121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 восстановлении охраны государственной границы Союза ССР </w:t>
      </w:r>
    </w:p>
    <w:p w14:paraId="793C474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связи с выходом частей Красной Армии на отдельных участках фронта на государственную границу и необходимостью восстановления охраны государственной границы пограничными войсками Государственный Комитет Обороны постановляет: </w:t>
      </w:r>
    </w:p>
    <w:p w14:paraId="1887CA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Обязать НКВД СССР: </w:t>
      </w:r>
    </w:p>
    <w:p w14:paraId="2C6A00D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 по мере освобождения территории Союза ССР от войск противника и продвижения частей Красной Армии за линию государственной границы восстанавливать охрану границы пограничными войсками НКВД с использованием для этой цели пограничных полков НКВД, несущих охрану тыла Действующей Красной Армии; </w:t>
      </w:r>
    </w:p>
    <w:p w14:paraId="79ADEE8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 для охраны тыла Действующей Красной Армии сформировать 35 полков войск НКВД общей численностью 57 000 человек. </w:t>
      </w:r>
    </w:p>
    <w:p w14:paraId="20A559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постановления ГКО N 5584сс, 1944 г. (11652).</w:t>
      </w:r>
    </w:p>
    <w:p w14:paraId="0268AD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4C820A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в СССР принято постановление о восстановлении пограничной службы на западных границах (4962).</w:t>
      </w:r>
    </w:p>
    <w:p w14:paraId="0C98FB2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4DFB68" w14:textId="11CC1756" w:rsidR="008B5CA2" w:rsidRPr="00070ADE" w:rsidRDefault="008B5CA2"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70ADE">
        <w:rPr>
          <w:rFonts w:ascii="Times New Roman" w:hAnsi="Times New Roman"/>
          <w:i/>
          <w:iCs/>
          <w:color w:val="000000" w:themeColor="text1"/>
          <w:sz w:val="16"/>
          <w:szCs w:val="16"/>
        </w:rPr>
        <w:t>За рубежом:</w:t>
      </w:r>
    </w:p>
    <w:p w14:paraId="01AC9238" w14:textId="77777777" w:rsidR="008B5CA2" w:rsidRPr="00070ADE" w:rsidRDefault="008B5CA2"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DA7FFBA" w14:textId="77777777" w:rsidR="008B5CA2" w:rsidRPr="00070ADE" w:rsidRDefault="008B5CA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апреля 1944 г. более 100 фашистских самолё</w:t>
      </w:r>
      <w:r w:rsidRPr="00070ADE">
        <w:rPr>
          <w:rFonts w:ascii="Times New Roman" w:hAnsi="Times New Roman"/>
          <w:color w:val="000000" w:themeColor="text1"/>
          <w:sz w:val="16"/>
          <w:szCs w:val="16"/>
        </w:rPr>
        <w:softHyphen/>
        <w:t>тов нанесли массированный удар по освобождён</w:t>
      </w:r>
      <w:r w:rsidRPr="00070ADE">
        <w:rPr>
          <w:rFonts w:ascii="Times New Roman" w:hAnsi="Times New Roman"/>
          <w:color w:val="000000" w:themeColor="text1"/>
          <w:sz w:val="16"/>
          <w:szCs w:val="16"/>
        </w:rPr>
        <w:softHyphen/>
        <w:t>ному нашими войсками Киеву, они бомбили пе</w:t>
      </w:r>
      <w:r w:rsidRPr="00070ADE">
        <w:rPr>
          <w:rFonts w:ascii="Times New Roman" w:hAnsi="Times New Roman"/>
          <w:color w:val="000000" w:themeColor="text1"/>
          <w:sz w:val="16"/>
          <w:szCs w:val="16"/>
        </w:rPr>
        <w:softHyphen/>
        <w:t>реправы через Днепр и железнодорожный узел Дарницу (20120).</w:t>
      </w:r>
    </w:p>
    <w:p w14:paraId="110A7956" w14:textId="77777777" w:rsidR="008B5CA2" w:rsidRPr="00070ADE" w:rsidRDefault="008B5CA2" w:rsidP="00B56F90">
      <w:pPr>
        <w:spacing w:after="0" w:line="240" w:lineRule="auto"/>
        <w:jc w:val="both"/>
        <w:rPr>
          <w:rFonts w:ascii="Times New Roman" w:hAnsi="Times New Roman"/>
          <w:color w:val="000000" w:themeColor="text1"/>
          <w:sz w:val="16"/>
          <w:szCs w:val="16"/>
        </w:rPr>
      </w:pPr>
    </w:p>
    <w:p w14:paraId="63E74A17" w14:textId="20B2AD3C"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B1243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C2D46C" w14:textId="77777777" w:rsidR="00EB1E33" w:rsidRPr="00070ADE" w:rsidRDefault="00EB1E33"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9 апреля 1944 г. был утвержден Отчет по испытани</w:t>
      </w:r>
      <w:r w:rsidRPr="00070ADE">
        <w:rPr>
          <w:color w:val="000000" w:themeColor="text1"/>
          <w:sz w:val="16"/>
          <w:szCs w:val="16"/>
        </w:rPr>
        <w:softHyphen/>
        <w:t>ям мотор-пушки 111П (МП-45), установленной на се</w:t>
      </w:r>
      <w:r w:rsidRPr="00070ADE">
        <w:rPr>
          <w:color w:val="000000" w:themeColor="text1"/>
          <w:sz w:val="16"/>
          <w:szCs w:val="16"/>
        </w:rPr>
        <w:softHyphen/>
        <w:t>рийном самолете Як-9т зав. № 01-21 производства завода № 153, которые проходили с 13 по 17 января и с 23 января по 29 марта.</w:t>
      </w:r>
    </w:p>
    <w:p w14:paraId="3B5C0A3A" w14:textId="77777777" w:rsidR="00EB1E33" w:rsidRPr="00070ADE" w:rsidRDefault="00EB1E33"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Ответственным исполнителем был ведущий инженер 3-го отдела института инже</w:t>
      </w:r>
      <w:r w:rsidRPr="00070ADE">
        <w:rPr>
          <w:color w:val="000000" w:themeColor="text1"/>
          <w:sz w:val="16"/>
          <w:szCs w:val="16"/>
        </w:rPr>
        <w:softHyphen/>
        <w:t>нер-майор А. Т. Степанец, ведущий летчик-испыта</w:t>
      </w:r>
      <w:r w:rsidRPr="00070ADE">
        <w:rPr>
          <w:color w:val="000000" w:themeColor="text1"/>
          <w:sz w:val="16"/>
          <w:szCs w:val="16"/>
        </w:rPr>
        <w:softHyphen/>
        <w:t xml:space="preserve">тель — майор В. Е. Голофастов. Всего выполнено 19 полетов с налетом 12 ч 16 мин. </w:t>
      </w:r>
    </w:p>
    <w:p w14:paraId="5501287D" w14:textId="77777777" w:rsidR="00EB1E33" w:rsidRPr="00070ADE" w:rsidRDefault="00EB1E33" w:rsidP="00B56F90">
      <w:pPr>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hAnsi="Times New Roman"/>
          <w:color w:val="000000" w:themeColor="text1"/>
          <w:sz w:val="16"/>
          <w:szCs w:val="16"/>
        </w:rPr>
        <w:t>Пушка МП-45 располагалась в развале блока цилиндров мотора и крепилась в 3 точках на мото</w:t>
      </w:r>
      <w:r w:rsidRPr="00070ADE">
        <w:rPr>
          <w:rFonts w:ascii="Times New Roman" w:hAnsi="Times New Roman"/>
          <w:color w:val="000000" w:themeColor="text1"/>
          <w:sz w:val="16"/>
          <w:szCs w:val="16"/>
        </w:rPr>
        <w:softHyphen/>
        <w:t>ре — 2 передних и 1 заднего. Ствол проходил через полый вал редуктора мотора и втулку винта. Ради</w:t>
      </w:r>
      <w:r w:rsidRPr="00070ADE">
        <w:rPr>
          <w:rFonts w:ascii="Times New Roman" w:hAnsi="Times New Roman"/>
          <w:color w:val="000000" w:themeColor="text1"/>
          <w:sz w:val="16"/>
          <w:szCs w:val="16"/>
        </w:rPr>
        <w:softHyphen/>
        <w:t>альный зазор между стволом пушки и внутренней стенкой вала редуктора мотора составлял всего 0,75 мм. По этой причине на втулке винта имелось специальное приспособление с шарикоподшипни</w:t>
      </w:r>
      <w:r w:rsidRPr="00070ADE">
        <w:rPr>
          <w:rFonts w:ascii="Times New Roman" w:hAnsi="Times New Roman"/>
          <w:color w:val="000000" w:themeColor="text1"/>
          <w:sz w:val="16"/>
          <w:szCs w:val="16"/>
        </w:rPr>
        <w:softHyphen/>
        <w:t>ком, которое центрировало ствол пушки по оси ва</w:t>
      </w:r>
      <w:r w:rsidRPr="00070ADE">
        <w:rPr>
          <w:rFonts w:ascii="Times New Roman" w:hAnsi="Times New Roman"/>
          <w:color w:val="000000" w:themeColor="text1"/>
          <w:sz w:val="16"/>
          <w:szCs w:val="16"/>
        </w:rPr>
        <w:softHyphen/>
        <w:t>ла редуктора мотора. Ствол пушки был сделан бо</w:t>
      </w:r>
      <w:r w:rsidRPr="00070ADE">
        <w:rPr>
          <w:rFonts w:ascii="Times New Roman" w:hAnsi="Times New Roman"/>
          <w:color w:val="000000" w:themeColor="text1"/>
          <w:sz w:val="16"/>
          <w:szCs w:val="16"/>
        </w:rPr>
        <w:softHyphen/>
        <w:t>лее тонким. На расстоянии 650 мм от дульного сре</w:t>
      </w:r>
      <w:r w:rsidRPr="00070ADE">
        <w:rPr>
          <w:rFonts w:ascii="Times New Roman" w:hAnsi="Times New Roman"/>
          <w:color w:val="000000" w:themeColor="text1"/>
          <w:sz w:val="16"/>
          <w:szCs w:val="16"/>
        </w:rPr>
        <w:softHyphen/>
        <w:t>за толщина стенки ствола пушки равнялась 3,75 мм против 7,1 мм у штатного ствола пушки 11П. Пушка оснащалась дульным тормозом, поглощавшим зна</w:t>
      </w:r>
      <w:r w:rsidRPr="00070ADE">
        <w:rPr>
          <w:rFonts w:ascii="Times New Roman" w:hAnsi="Times New Roman"/>
          <w:color w:val="000000" w:themeColor="text1"/>
          <w:sz w:val="16"/>
          <w:szCs w:val="16"/>
        </w:rPr>
        <w:softHyphen/>
        <w:t>чительную часть энергии отдачи (до 85%).</w:t>
      </w:r>
    </w:p>
    <w:p w14:paraId="287B1FF3" w14:textId="77777777" w:rsidR="00EB1E33" w:rsidRPr="00070ADE" w:rsidRDefault="00EB1E33"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Средний темп стрельбы, зафиксированный в хо</w:t>
      </w:r>
      <w:r w:rsidRPr="00070ADE">
        <w:rPr>
          <w:color w:val="000000" w:themeColor="text1"/>
          <w:sz w:val="16"/>
          <w:szCs w:val="16"/>
        </w:rPr>
        <w:softHyphen/>
        <w:t>де испытаний, равнялся 270 выстр./мин. Питание пушки МП-45 выполнялось от рассыпной ленты из металлических звеньев. Боекомплект к пушке включал 29 снарядов. Вес пушки с агрегатами — 163,8 кг, общий вес пушки с уста</w:t>
      </w:r>
      <w:r w:rsidRPr="00070ADE">
        <w:rPr>
          <w:color w:val="000000" w:themeColor="text1"/>
          <w:sz w:val="16"/>
          <w:szCs w:val="16"/>
        </w:rPr>
        <w:softHyphen/>
        <w:t>новкой — 191,1 кг, вес боезапаса — 69 кг. Гильзы и звенья собирались в специальные сборники под пуш</w:t>
      </w:r>
      <w:r w:rsidRPr="00070ADE">
        <w:rPr>
          <w:color w:val="000000" w:themeColor="text1"/>
          <w:sz w:val="16"/>
          <w:szCs w:val="16"/>
        </w:rPr>
        <w:softHyphen/>
        <w:t>кой. На приборной доске в кабине летчика имелся счетчик оставших</w:t>
      </w:r>
      <w:r w:rsidRPr="00070ADE">
        <w:rPr>
          <w:color w:val="000000" w:themeColor="text1"/>
          <w:sz w:val="16"/>
          <w:szCs w:val="16"/>
        </w:rPr>
        <w:softHyphen/>
        <w:t>ся снарядов пушки. Управление ог</w:t>
      </w:r>
      <w:r w:rsidRPr="00070ADE">
        <w:rPr>
          <w:color w:val="000000" w:themeColor="text1"/>
          <w:sz w:val="16"/>
          <w:szCs w:val="16"/>
        </w:rPr>
        <w:softHyphen/>
        <w:t>нем — электропневматическое при помощи кнопки, расположенной на ручке управления. Прицел кол- лиматорный ПБП-1а. Нормальный полетный вес Як-9т с МП-45 состав</w:t>
      </w:r>
      <w:r w:rsidRPr="00070ADE">
        <w:rPr>
          <w:color w:val="000000" w:themeColor="text1"/>
          <w:sz w:val="16"/>
          <w:szCs w:val="16"/>
        </w:rPr>
        <w:softHyphen/>
        <w:t>лял 3028 кг (вес топлива 322 кг). Вес секундного залпа достигал 5,531 кг.</w:t>
      </w:r>
    </w:p>
    <w:p w14:paraId="16856D45" w14:textId="77777777" w:rsidR="00EB1E33" w:rsidRPr="00070ADE" w:rsidRDefault="00EB1E33"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Летные данные, маневренность и взлетно-посадочные характеристики Як-9т с пуш</w:t>
      </w:r>
      <w:r w:rsidRPr="00070ADE">
        <w:rPr>
          <w:color w:val="000000" w:themeColor="text1"/>
          <w:sz w:val="16"/>
          <w:szCs w:val="16"/>
        </w:rPr>
        <w:softHyphen/>
        <w:t>кой МП-45 несколько ухудшились, но по технике пилотирования самолет ничем не отличался от обычных Як-9т.</w:t>
      </w:r>
    </w:p>
    <w:p w14:paraId="17BDA831" w14:textId="77777777" w:rsidR="00EB1E33" w:rsidRPr="00070ADE" w:rsidRDefault="00EB1E33"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Максимальная скорость у земли составила 516 км/ч, на высоте 3900 м — 573 км/ч, на 5000 м — 566 км/ч. Время подъема на 5000 м — 5,7 мин. Вре</w:t>
      </w:r>
      <w:r w:rsidRPr="00070ADE">
        <w:rPr>
          <w:color w:val="000000" w:themeColor="text1"/>
          <w:sz w:val="16"/>
          <w:szCs w:val="16"/>
        </w:rPr>
        <w:softHyphen/>
        <w:t>мя виража на 1000 м — 21,4 с. Набор высоты за бо</w:t>
      </w:r>
      <w:r w:rsidRPr="00070ADE">
        <w:rPr>
          <w:color w:val="000000" w:themeColor="text1"/>
          <w:sz w:val="16"/>
          <w:szCs w:val="16"/>
        </w:rPr>
        <w:softHyphen/>
        <w:t>евой разворот с высоты 1000—1050 м. Дальность полета — 598 км.</w:t>
      </w:r>
    </w:p>
    <w:p w14:paraId="61EA1526" w14:textId="77777777" w:rsidR="00EB1E33" w:rsidRPr="00070ADE" w:rsidRDefault="00EB1E33"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Стрельба из пушки МП-45 при скорости полета менее 350 км/ч «сопровождается сильной отдачей (сила отдачи 6975 кг. —</w:t>
      </w:r>
      <w:r w:rsidRPr="00070ADE">
        <w:rPr>
          <w:rStyle w:val="BodytextItalic"/>
          <w:i w:val="0"/>
          <w:color w:val="000000" w:themeColor="text1"/>
          <w:sz w:val="16"/>
          <w:szCs w:val="16"/>
        </w:rPr>
        <w:t xml:space="preserve"> Авт.),</w:t>
      </w:r>
      <w:r w:rsidRPr="00070ADE">
        <w:rPr>
          <w:color w:val="000000" w:themeColor="text1"/>
          <w:sz w:val="16"/>
          <w:szCs w:val="16"/>
        </w:rPr>
        <w:t xml:space="preserve"> самолет раскачива</w:t>
      </w:r>
      <w:r w:rsidRPr="00070ADE">
        <w:rPr>
          <w:color w:val="000000" w:themeColor="text1"/>
          <w:sz w:val="16"/>
          <w:szCs w:val="16"/>
        </w:rPr>
        <w:softHyphen/>
        <w:t>ется, летчик движется вперед-назад, что затрудняет прицельную стрельбу». Как отмечалось в отчете по испытаниям, «прицельным может быть только пер</w:t>
      </w:r>
      <w:r w:rsidRPr="00070ADE">
        <w:rPr>
          <w:color w:val="000000" w:themeColor="text1"/>
          <w:sz w:val="16"/>
          <w:szCs w:val="16"/>
        </w:rPr>
        <w:softHyphen/>
        <w:t>вый выстрел». Чем больше была скорость полета и угол пикирования, тем меньшее влияние на само</w:t>
      </w:r>
      <w:r w:rsidRPr="00070ADE">
        <w:rPr>
          <w:color w:val="000000" w:themeColor="text1"/>
          <w:sz w:val="16"/>
          <w:szCs w:val="16"/>
        </w:rPr>
        <w:softHyphen/>
        <w:t>лет оказывала отдача. Прицельная стрельба была возможна и эффективна только на скоростях более 350 км/ч и при коротких очередях в 2—3 снаряда. Фактически стрельбу из пушки МП-45 можно было вести лишь одиночными выстрелами на скоростях, близких к максимальной скорости. Однако благо</w:t>
      </w:r>
      <w:r w:rsidRPr="00070ADE">
        <w:rPr>
          <w:color w:val="000000" w:themeColor="text1"/>
          <w:sz w:val="16"/>
          <w:szCs w:val="16"/>
        </w:rPr>
        <w:softHyphen/>
        <w:t>даря наличию дымного следа от трассера снаряда бледно-розового цвета, хорошо видимого как днем, так и в вечерние и утренние сумерки, вероятность попадания в цель не уменьшалась.</w:t>
      </w:r>
    </w:p>
    <w:p w14:paraId="6C3A393B" w14:textId="77777777" w:rsidR="00EB1E33" w:rsidRPr="00070ADE" w:rsidRDefault="00EB1E33"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Большая сила отдачи пушки МП-45 оказывала существенное влияние на конструкцию самоле</w:t>
      </w:r>
      <w:r w:rsidRPr="00070ADE">
        <w:rPr>
          <w:color w:val="000000" w:themeColor="text1"/>
          <w:sz w:val="16"/>
          <w:szCs w:val="16"/>
        </w:rPr>
        <w:softHyphen/>
        <w:t>та, приводя к течи масла и воды через различные уплотнения и трещины в трубопроводах, радиато</w:t>
      </w:r>
      <w:r w:rsidRPr="00070ADE">
        <w:rPr>
          <w:color w:val="000000" w:themeColor="text1"/>
          <w:sz w:val="16"/>
          <w:szCs w:val="16"/>
        </w:rPr>
        <w:softHyphen/>
        <w:t>рах и т.д. В кабину летчика при стрельбе из пушки проникало очень много пороховых газов.</w:t>
      </w:r>
    </w:p>
    <w:p w14:paraId="10B271E4" w14:textId="77777777" w:rsidR="00EB1E33" w:rsidRPr="00070ADE" w:rsidRDefault="00EB1E33"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то же время автоматика пушки работала хоро</w:t>
      </w:r>
      <w:r w:rsidRPr="00070ADE">
        <w:rPr>
          <w:color w:val="000000" w:themeColor="text1"/>
          <w:sz w:val="16"/>
          <w:szCs w:val="16"/>
        </w:rPr>
        <w:softHyphen/>
        <w:t>шо при всех условиях полета и стрельбы в возду</w:t>
      </w:r>
      <w:r w:rsidRPr="00070ADE">
        <w:rPr>
          <w:color w:val="000000" w:themeColor="text1"/>
          <w:sz w:val="16"/>
          <w:szCs w:val="16"/>
        </w:rPr>
        <w:softHyphen/>
        <w:t>хе. Надежность и живучесть деталей и узлов пушки были в пределах установленных требований.</w:t>
      </w:r>
    </w:p>
    <w:p w14:paraId="28C7E935" w14:textId="77777777" w:rsidR="00EB1E33" w:rsidRPr="00070ADE" w:rsidRDefault="00EB1E33"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К числу основных недостатков пушки МП-45 и пушечной установки на Як-9т относились из</w:t>
      </w:r>
      <w:r w:rsidRPr="00070ADE">
        <w:rPr>
          <w:color w:val="000000" w:themeColor="text1"/>
          <w:sz w:val="16"/>
          <w:szCs w:val="16"/>
        </w:rPr>
        <w:softHyphen/>
        <w:t>лишне большая сила отдачи пушки при стрельбе, ненадежное соединение штока гидротормоза со ствольной коробкой, а также имевшее место разъ</w:t>
      </w:r>
      <w:r w:rsidRPr="00070ADE">
        <w:rPr>
          <w:color w:val="000000" w:themeColor="text1"/>
          <w:sz w:val="16"/>
          <w:szCs w:val="16"/>
        </w:rPr>
        <w:softHyphen/>
        <w:t>единение цилиндра подачи приемника с рычагом подачи.</w:t>
      </w:r>
    </w:p>
    <w:p w14:paraId="184A64A2" w14:textId="77777777" w:rsidR="00EB1E33" w:rsidRPr="00070ADE" w:rsidRDefault="00EB1E33"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lastRenderedPageBreak/>
        <w:t>Начальник НИИ АВ генерал-майор М. В. Гуре- вич в своем докладе заместителю председателя СНК СССР маршалу К. Е. Ворошилову констатиро</w:t>
      </w:r>
      <w:r w:rsidRPr="00070ADE">
        <w:rPr>
          <w:color w:val="000000" w:themeColor="text1"/>
          <w:sz w:val="16"/>
          <w:szCs w:val="16"/>
        </w:rPr>
        <w:softHyphen/>
        <w:t>вал: «В результате сравнительных испытаний 45-мм авиапушек ОКБ-15 и ОКБ-16 выявлены преимуще</w:t>
      </w:r>
      <w:r w:rsidRPr="00070ADE">
        <w:rPr>
          <w:color w:val="000000" w:themeColor="text1"/>
          <w:sz w:val="16"/>
          <w:szCs w:val="16"/>
        </w:rPr>
        <w:softHyphen/>
        <w:t>ства пушки ОКБ-16 и как удовлетворяющая ТТТ ВВС КА государственные испытания выдержала. Пушка ОКБ-15 из-за малой живучести испытаний не вы</w:t>
      </w:r>
      <w:r w:rsidRPr="00070ADE">
        <w:rPr>
          <w:color w:val="000000" w:themeColor="text1"/>
          <w:sz w:val="16"/>
          <w:szCs w:val="16"/>
        </w:rPr>
        <w:softHyphen/>
        <w:t>держала».</w:t>
      </w:r>
    </w:p>
    <w:p w14:paraId="79034E2D" w14:textId="77777777" w:rsidR="00EB1E33" w:rsidRPr="00070ADE" w:rsidRDefault="00EB1E33"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Самолет Як-9т с пушкой МП-45 рекомендовался «в малую серию для дальнейших войсковых испы</w:t>
      </w:r>
      <w:r w:rsidRPr="00070ADE">
        <w:rPr>
          <w:color w:val="000000" w:themeColor="text1"/>
          <w:sz w:val="16"/>
          <w:szCs w:val="16"/>
        </w:rPr>
        <w:softHyphen/>
        <w:t>таний во фронтовых условиях» (17500).</w:t>
      </w:r>
    </w:p>
    <w:p w14:paraId="0EDAFE73" w14:textId="77777777" w:rsidR="00EB1E33" w:rsidRPr="00070ADE" w:rsidRDefault="00EB1E33" w:rsidP="00B56F90">
      <w:pPr>
        <w:spacing w:after="0" w:line="240" w:lineRule="auto"/>
        <w:jc w:val="both"/>
        <w:rPr>
          <w:rFonts w:ascii="Times New Roman" w:eastAsia="Times New Roman" w:hAnsi="Times New Roman"/>
          <w:color w:val="000000" w:themeColor="text1"/>
          <w:sz w:val="16"/>
          <w:szCs w:val="16"/>
          <w:lang w:eastAsia="ru-RU"/>
        </w:rPr>
      </w:pPr>
    </w:p>
    <w:p w14:paraId="02603D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апреля 1944 вышел отчет по гос. испытаниям У-2 ШС (Штабной самолет) - 5 местного лимузина, выпущенного 51 заводом ОКБ Н.Н.П. по инициативе самого Н.Н.П. согласно пожеланиям ВВС. Остался в двух опытных экз. из-за смерти Н.Н.П. (1076,722).</w:t>
      </w:r>
    </w:p>
    <w:p w14:paraId="4112C2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C95E8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33CB9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B6E66F" w14:textId="77777777" w:rsidR="00282955" w:rsidRPr="00070ADE" w:rsidRDefault="00282955" w:rsidP="00B56F90">
      <w:pPr>
        <w:pStyle w:val="a3"/>
        <w:rPr>
          <w:color w:val="000000" w:themeColor="text1"/>
          <w:lang w:val="ru-RU"/>
        </w:rPr>
      </w:pPr>
      <w:r w:rsidRPr="00070ADE">
        <w:rPr>
          <w:color w:val="000000" w:themeColor="text1"/>
          <w:lang w:val="ru-RU"/>
        </w:rPr>
        <w:t>9-го апреля 1944 комиссия АНИОП дала заключение по результатам испытаний С-51:</w:t>
      </w:r>
    </w:p>
    <w:p w14:paraId="12B328E3"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«1. Самоходная гаубица «С-51» в основном испытания выдержала, так как:</w:t>
      </w:r>
    </w:p>
    <w:p w14:paraId="7E3449E7" w14:textId="77777777" w:rsidR="00282955" w:rsidRPr="00070ADE" w:rsidRDefault="00282955" w:rsidP="00B56F90">
      <w:pPr>
        <w:pStyle w:val="Bodytext141"/>
        <w:shd w:val="clear" w:color="auto" w:fill="auto"/>
        <w:tabs>
          <w:tab w:val="left" w:pos="905"/>
        </w:tabs>
        <w:spacing w:line="240" w:lineRule="auto"/>
        <w:ind w:firstLine="0"/>
        <w:jc w:val="both"/>
        <w:rPr>
          <w:i w:val="0"/>
          <w:color w:val="000000" w:themeColor="text1"/>
          <w:sz w:val="16"/>
          <w:szCs w:val="16"/>
        </w:rPr>
      </w:pPr>
      <w:r w:rsidRPr="00070ADE">
        <w:rPr>
          <w:i w:val="0"/>
          <w:color w:val="000000" w:themeColor="text1"/>
          <w:sz w:val="16"/>
          <w:szCs w:val="16"/>
        </w:rPr>
        <w:t>а) работа и прочность агрегатов и механизмов орудия — удовлет</w:t>
      </w:r>
      <w:r w:rsidRPr="00070ADE">
        <w:rPr>
          <w:i w:val="0"/>
          <w:color w:val="000000" w:themeColor="text1"/>
          <w:sz w:val="16"/>
          <w:szCs w:val="16"/>
        </w:rPr>
        <w:softHyphen/>
        <w:t>ворительные.</w:t>
      </w:r>
    </w:p>
    <w:p w14:paraId="37042106" w14:textId="77777777" w:rsidR="00282955" w:rsidRPr="00070ADE" w:rsidRDefault="00282955" w:rsidP="00B56F90">
      <w:pPr>
        <w:pStyle w:val="Bodytext141"/>
        <w:shd w:val="clear" w:color="auto" w:fill="auto"/>
        <w:tabs>
          <w:tab w:val="left" w:pos="900"/>
        </w:tabs>
        <w:spacing w:line="240" w:lineRule="auto"/>
        <w:ind w:firstLine="0"/>
        <w:jc w:val="both"/>
        <w:rPr>
          <w:i w:val="0"/>
          <w:color w:val="000000" w:themeColor="text1"/>
          <w:sz w:val="16"/>
          <w:szCs w:val="16"/>
        </w:rPr>
      </w:pPr>
      <w:r w:rsidRPr="00070ADE">
        <w:rPr>
          <w:i w:val="0"/>
          <w:color w:val="000000" w:themeColor="text1"/>
          <w:sz w:val="16"/>
          <w:szCs w:val="16"/>
        </w:rPr>
        <w:t>б) прочность установочных частей орудия — достаточная.</w:t>
      </w:r>
    </w:p>
    <w:p w14:paraId="3473B1A1" w14:textId="77777777" w:rsidR="00282955" w:rsidRPr="00070ADE" w:rsidRDefault="00282955" w:rsidP="00B56F90">
      <w:pPr>
        <w:pStyle w:val="Bodytext141"/>
        <w:shd w:val="clear" w:color="auto" w:fill="auto"/>
        <w:tabs>
          <w:tab w:val="left" w:pos="866"/>
        </w:tabs>
        <w:spacing w:line="240" w:lineRule="auto"/>
        <w:ind w:firstLine="0"/>
        <w:jc w:val="both"/>
        <w:rPr>
          <w:i w:val="0"/>
          <w:color w:val="000000" w:themeColor="text1"/>
          <w:sz w:val="16"/>
          <w:szCs w:val="16"/>
        </w:rPr>
      </w:pPr>
      <w:r w:rsidRPr="00070ADE">
        <w:rPr>
          <w:i w:val="0"/>
          <w:color w:val="000000" w:themeColor="text1"/>
          <w:sz w:val="16"/>
          <w:szCs w:val="16"/>
        </w:rPr>
        <w:t>в) работа и прочность агрегатов и механизмов самохода — удовлет</w:t>
      </w:r>
      <w:r w:rsidRPr="00070ADE">
        <w:rPr>
          <w:i w:val="0"/>
          <w:color w:val="000000" w:themeColor="text1"/>
          <w:sz w:val="16"/>
          <w:szCs w:val="16"/>
        </w:rPr>
        <w:softHyphen/>
        <w:t>ворительная, за исключением трансмиссионной группы, которая во время испытаний имела ряд дефектов, вызванных общим пло</w:t>
      </w:r>
      <w:r w:rsidRPr="00070ADE">
        <w:rPr>
          <w:i w:val="0"/>
          <w:color w:val="000000" w:themeColor="text1"/>
          <w:sz w:val="16"/>
          <w:szCs w:val="16"/>
        </w:rPr>
        <w:softHyphen/>
        <w:t>хим техническим состоянием ее до испытаний и изношенностью деталей.</w:t>
      </w:r>
    </w:p>
    <w:p w14:paraId="55724E25"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2. Существенными недостатками самоходной гаубицы «С-51» при</w:t>
      </w:r>
    </w:p>
    <w:p w14:paraId="1D2CC76C"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стрельбе являются:</w:t>
      </w:r>
    </w:p>
    <w:p w14:paraId="59EB35E0" w14:textId="77777777" w:rsidR="00282955" w:rsidRPr="00070ADE" w:rsidRDefault="00282955" w:rsidP="00B56F90">
      <w:pPr>
        <w:pStyle w:val="Bodytext141"/>
        <w:shd w:val="clear" w:color="auto" w:fill="auto"/>
        <w:tabs>
          <w:tab w:val="left" w:pos="905"/>
        </w:tabs>
        <w:spacing w:line="240" w:lineRule="auto"/>
        <w:ind w:firstLine="0"/>
        <w:jc w:val="both"/>
        <w:rPr>
          <w:i w:val="0"/>
          <w:color w:val="000000" w:themeColor="text1"/>
          <w:sz w:val="16"/>
          <w:szCs w:val="16"/>
        </w:rPr>
      </w:pPr>
      <w:r w:rsidRPr="00070ADE">
        <w:rPr>
          <w:i w:val="0"/>
          <w:color w:val="000000" w:themeColor="text1"/>
          <w:sz w:val="16"/>
          <w:szCs w:val="16"/>
        </w:rPr>
        <w:t>а) большой отход назад и сбиваемость наводки, особенно при малых углах возвышения, вследствие неудовлетворительной устойчиво</w:t>
      </w:r>
      <w:r w:rsidRPr="00070ADE">
        <w:rPr>
          <w:i w:val="0"/>
          <w:color w:val="000000" w:themeColor="text1"/>
          <w:sz w:val="16"/>
          <w:szCs w:val="16"/>
        </w:rPr>
        <w:softHyphen/>
        <w:t>сти самохода при выстреле.</w:t>
      </w:r>
    </w:p>
    <w:p w14:paraId="2F7EC2B2" w14:textId="77777777" w:rsidR="00282955" w:rsidRPr="00070ADE" w:rsidRDefault="0028295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Большое боковое рассеивание снарядов вследствие бокового сме</w:t>
      </w:r>
      <w:r w:rsidRPr="00070ADE">
        <w:rPr>
          <w:rFonts w:ascii="Times New Roman" w:hAnsi="Times New Roman"/>
          <w:color w:val="000000" w:themeColor="text1"/>
          <w:sz w:val="16"/>
          <w:szCs w:val="16"/>
        </w:rPr>
        <w:softHyphen/>
        <w:t>щения орудия при выстреле.</w:t>
      </w:r>
    </w:p>
    <w:p w14:paraId="2CFFE4DB"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Данные недостатки возможно устранить путем постановки сошни</w:t>
      </w:r>
      <w:r w:rsidRPr="00070ADE">
        <w:rPr>
          <w:i w:val="0"/>
          <w:color w:val="000000" w:themeColor="text1"/>
          <w:sz w:val="16"/>
          <w:szCs w:val="16"/>
        </w:rPr>
        <w:softHyphen/>
        <w:t>ков в задней части корпуса самохода, как это было применено на 203-мм самоходной установке «СУ-14» конструкции и изготовления Кировского завода, проходившей испытания на НИАПе в 1936 году.</w:t>
      </w:r>
    </w:p>
    <w:p w14:paraId="6FFB7641"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Учитывая, что гаубица в основном будет вести стрельбу при больших углах возвышения, при которых отход назад и сбиваемость наводки менее значительны, для устранения отхода самохода при сравнительно редких и эпизодических стрельбах под малыми углами возвышения можно реко</w:t>
      </w:r>
      <w:r w:rsidRPr="00070ADE">
        <w:rPr>
          <w:i w:val="0"/>
          <w:color w:val="000000" w:themeColor="text1"/>
          <w:sz w:val="16"/>
          <w:szCs w:val="16"/>
        </w:rPr>
        <w:softHyphen/>
        <w:t>мендовать подкладывать сзади под гусеницы деревянные брусья из подруч</w:t>
      </w:r>
      <w:r w:rsidRPr="00070ADE">
        <w:rPr>
          <w:i w:val="0"/>
          <w:color w:val="000000" w:themeColor="text1"/>
          <w:sz w:val="16"/>
          <w:szCs w:val="16"/>
        </w:rPr>
        <w:softHyphen/>
        <w:t>ного материала.</w:t>
      </w:r>
    </w:p>
    <w:p w14:paraId="1CF48D82"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3. АНИОП считает, что 203 мм самоходная гаубица «С-51 по срав</w:t>
      </w:r>
      <w:r w:rsidRPr="00070ADE">
        <w:rPr>
          <w:i w:val="0"/>
          <w:color w:val="000000" w:themeColor="text1"/>
          <w:sz w:val="16"/>
          <w:szCs w:val="16"/>
        </w:rPr>
        <w:softHyphen/>
        <w:t>нению с 203-мм гаубицей «Б-4» обладает большей маневренностью движения и огня при сохранении своего огневого могущества и по устранении недостатков, выявленных при испытании и отмеченных в настоящем отчете, может быть рекомендована на вооружение Красной Армии».</w:t>
      </w:r>
    </w:p>
    <w:p w14:paraId="6CE56B4C" w14:textId="77777777" w:rsidR="00282955" w:rsidRPr="00070ADE" w:rsidRDefault="00282955" w:rsidP="00B56F90">
      <w:pPr>
        <w:pStyle w:val="a3"/>
        <w:rPr>
          <w:color w:val="000000" w:themeColor="text1"/>
          <w:lang w:val="ru-RU"/>
        </w:rPr>
      </w:pPr>
      <w:r w:rsidRPr="00070ADE">
        <w:rPr>
          <w:color w:val="000000" w:themeColor="text1"/>
          <w:lang w:val="ru-RU"/>
        </w:rPr>
        <w:t>По итогам испытаний Грабин обратился с письмом к Берии, в кото</w:t>
      </w:r>
      <w:r w:rsidRPr="00070ADE">
        <w:rPr>
          <w:color w:val="000000" w:themeColor="text1"/>
          <w:lang w:val="ru-RU"/>
        </w:rPr>
        <w:softHyphen/>
        <w:t>ром высказал соображения относительно запуска С-51 в серийное про</w:t>
      </w:r>
      <w:r w:rsidRPr="00070ADE">
        <w:rPr>
          <w:color w:val="000000" w:themeColor="text1"/>
          <w:lang w:val="ru-RU"/>
        </w:rPr>
        <w:softHyphen/>
        <w:t>изводство. По мнению начальника ЦАКБ, общий объем выпуска са</w:t>
      </w:r>
      <w:r w:rsidRPr="00070ADE">
        <w:rPr>
          <w:color w:val="000000" w:themeColor="text1"/>
          <w:lang w:val="ru-RU"/>
        </w:rPr>
        <w:softHyphen/>
        <w:t xml:space="preserve">моходных установок данного типа должен был составить 20—30 штук. К такой идее отрицательно отнеслись в Управлении самоходной артиллерии, где считали нерациональным использовать шасси </w:t>
      </w:r>
      <w:r w:rsidRPr="00070ADE">
        <w:rPr>
          <w:color w:val="000000" w:themeColor="text1"/>
        </w:rPr>
        <w:t>KB</w:t>
      </w:r>
      <w:r w:rsidRPr="00070ADE">
        <w:rPr>
          <w:color w:val="000000" w:themeColor="text1"/>
          <w:lang w:val="ru-RU"/>
        </w:rPr>
        <w:t>-1С для изготовления тяжелой САУ с легким щитовым прикрытием. Кро</w:t>
      </w:r>
      <w:r w:rsidRPr="00070ADE">
        <w:rPr>
          <w:color w:val="000000" w:themeColor="text1"/>
          <w:lang w:val="ru-RU"/>
        </w:rPr>
        <w:softHyphen/>
        <w:t xml:space="preserve">ме того, боевая масса С-51 составляла 50 тонн, а ситуацию 1942 года, когда у доведенных до такой массы </w:t>
      </w:r>
      <w:r w:rsidRPr="00070ADE">
        <w:rPr>
          <w:color w:val="000000" w:themeColor="text1"/>
        </w:rPr>
        <w:t>KB</w:t>
      </w:r>
      <w:r w:rsidRPr="00070ADE">
        <w:rPr>
          <w:color w:val="000000" w:themeColor="text1"/>
          <w:lang w:val="ru-RU"/>
        </w:rPr>
        <w:t>-1 «сыпались» агрегаты моторно-трансмиссионнои группы, все еще стояла у «танкистов» перед гла</w:t>
      </w:r>
      <w:r w:rsidRPr="00070ADE">
        <w:rPr>
          <w:color w:val="000000" w:themeColor="text1"/>
          <w:lang w:val="ru-RU"/>
        </w:rPr>
        <w:softHyphen/>
        <w:t>зами. Было решено провести дополнительные испытания самоходной установки, но они не состоялись ввиду того, что шасси после весенних пробегов требовало капитального ремонта. На этом ситуация вокруг С-51 временно застопорилась.</w:t>
      </w:r>
    </w:p>
    <w:p w14:paraId="38522FDB" w14:textId="77777777" w:rsidR="00282955" w:rsidRPr="00070ADE" w:rsidRDefault="00282955"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 xml:space="preserve"> (17484).</w:t>
      </w:r>
    </w:p>
    <w:p w14:paraId="4402B81B" w14:textId="77777777" w:rsidR="00282955" w:rsidRPr="00070ADE" w:rsidRDefault="00282955" w:rsidP="00B56F90">
      <w:pPr>
        <w:spacing w:after="0" w:line="240" w:lineRule="auto"/>
        <w:jc w:val="both"/>
        <w:rPr>
          <w:rFonts w:ascii="Times New Roman" w:hAnsi="Times New Roman"/>
          <w:color w:val="000000" w:themeColor="text1"/>
          <w:sz w:val="16"/>
          <w:szCs w:val="16"/>
        </w:rPr>
      </w:pPr>
    </w:p>
    <w:p w14:paraId="375DAB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апреля 1944 вышло Постановление ГКО № 5587 О добыче нефти и выработке нефтепродуктов в апреле и II квартале 1944 года. РГАНИР, Фонд ГКО, д. 227, лл. 85-93,94-97 (11012).</w:t>
      </w:r>
    </w:p>
    <w:p w14:paraId="1F8C9A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00252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апреля 1944 вышло Постановление ГКО № 5588 О плане производства боеприпасов во II квартале 1944 года. РГАНИР, Фонд ГКО, д. 228, лл. 1-29,30-473 (11012).</w:t>
      </w:r>
    </w:p>
    <w:p w14:paraId="24261E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57F2D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апреля 1944 вышло Постановление ГКО № 5589 О плане производства и поставок пистолетов-пулеметов Шпагина и ПП-43 в апреле и во II квартале 1944 г. РГАНИР, Фонд ГКО, д. 230, лл. 1-9,10-19 (11012).</w:t>
      </w:r>
    </w:p>
    <w:p w14:paraId="5AFC53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D0CF2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апреля 1944 вышло Постановление ГКО № 5590 О плане производства и поставок НКО и НКВМФ артиллерийского, минометного и стрелкового вооружения и военных приборов на апрель и II квартал 1944 г. РГАНИР, Фонд ГКО, д. 230, лл. 20-54,55-161 (11012).</w:t>
      </w:r>
    </w:p>
    <w:p w14:paraId="14B17B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7E59B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апреля 1944 вышло Постановление ГКО № 5591 О плане производства и поставок патронов и звеньев Наркоматом вооружения в апреле и во II квартале 1944 г. РГАНИР, Фонд ГКО, д. 230, лл. 162-173,174-187 (11012).</w:t>
      </w:r>
    </w:p>
    <w:p w14:paraId="3E9B43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5689B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апреля 1944 вышло Постановление ГКО № 5592 О плане производства важнейших химикатов для боеприпасов и народного хозяйства на II квартал 1944 года. РГАНИР, Фонд ГКО, д. 230, лл. 188-208,209-219 (11012).</w:t>
      </w:r>
    </w:p>
    <w:p w14:paraId="792BCD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07941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апреля 1944 вышло Постановление ГКО № 5593 О плане производства танков, самоходных артиллерийских установок, дизелей, запасных частей к ним и ремонте танков, артсамоходов и дизелей на II квартал 1944 года. РГАНИР, Фонд ГКО, д. 231, лл. 1-8,9-202 (11012).</w:t>
      </w:r>
    </w:p>
    <w:p w14:paraId="66D4F2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270930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3C441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03C943"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апреля в 1944 году оперативная сводка Совинформбюро:</w:t>
      </w:r>
    </w:p>
    <w:p w14:paraId="7B4CD83E"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9 апреля западнее города Скала наши войска, преодолевая сопротивление и контратаки противника, продолжали вести бои по уничтожению его окружённой группировки и заняли несколько населённых пунктов.</w:t>
      </w:r>
    </w:p>
    <w:p w14:paraId="4E10B89C"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наступающие между реками Прут и Серет, с боями заняли нарумынской территории более 200 населённых пунктов, в том числе крупные населённые пункты Рогозеште, Кындешти, Калинешти, Сарафинешти, Руши, Фэгэдэу, Котнарий, Чепленица, Ходора, Белчешти, Мунтени, Валя Ойлор, Ларга, Захорна (12 километров северо-западнее Яссы) и железнодорожные станции Владений, Ларга, Мовилени, Кукутени, Поду-Илоаей, Белчешти, Котнарий. Таким образом, нашимивойсками перерезана железная дорога Яссы-Пашкани.</w:t>
      </w:r>
    </w:p>
    <w:p w14:paraId="72871CB3"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Одесском направлении наши войска, преодолевая сопротивление противника, с боями продвигались вперёд и овладели населёнными пунктами Троицкое, Ясски, Петерсталь, Юзефсталь, Мариенталь, Ленинталь, Фрейденталь, Красный Переселенец (18 километров западнее Одессы), Васильевка, Петровский, Выгода, Гниляково, Палиово, Алтестово, Холодная Балка, Черевичный, Августовка, Корсунцы, Шевченко, Фонтанка, Крыжановка, а также заняли железнодорожные станции Выгода и Сортировочная (5 километров севернее Одесса).</w:t>
      </w:r>
    </w:p>
    <w:p w14:paraId="4464EBAC"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поиски разведчиков и бои местного значения.</w:t>
      </w:r>
    </w:p>
    <w:p w14:paraId="6EB20E02"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8 апреля наши войска на всех фронтах подбили и уничтожили 104 немецких танка. В воздушных боях и огнём зенитной артиллерии сбит 71 самолёт противника.</w:t>
      </w:r>
    </w:p>
    <w:p w14:paraId="3FD04B7A"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города Скала наши войска продолжали вести бои по уничтожению окружённой группировки противника. Части Н-ского соединения ночью совершили стремительный манёвр и нанесли внезапный удар немцам, укрепившимся в одном населённом пункте. В ожесточённой схватке советские бойцы истребили 400 гитлеровцев. Более 200 немецких солдат и офицеров прекратили сопротивление и сдались в плен. Захвачено 3 исправных танка, 4 скорострельных зенитных и 15 полевых орудий и обоз с боеприпасами. На другом участке наши войска сломили упорное сопротивление немцев и, продвигаясь вперёд, заняли несколько населённых пунктов. На поле боя осталось много техники, сожжённой противником при отступлении. По неполным данным, истреблено до 2.000 гитлеровцев. Наша авиация наносила непрерывные удары по боевым порядкам противника. В течение дня советские лётчики уничтожили 40 немецких танков, 10 бензоцистерн, 12 бронетранспортёров и более 250 автомашин.</w:t>
      </w:r>
    </w:p>
    <w:p w14:paraId="34EC5EC3"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развивая успешное наступление между реками Прут и Серет, заняли более 200 населённых пунктов на румынской территории. Части Н-ского соединения с боями овладели железнодорожной станцией Поду-Илоаей и тем самым перерезали железную дорогу, идущую от города Яссы на запад. В этом районе уничтожено более 900 немцев и румын. Взято в плен 250 вражеских солдат и офицеров. Захвачены трофеи, в том числе много орудий и боеприпасов. На другом участке наши пехотинцыи танкисты атаковали батальон румынской пехоты. Под натиском советских бойцов румыны начали поспешно отступать. Немецкий заградительный отряд открыл по румынам пулемётный огонь. Из всего батальона осталось в живых лишь 43 румынских солдата, сдавшихся в плен.</w:t>
      </w:r>
    </w:p>
    <w:p w14:paraId="6AFC37B4"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 Одесском направлении наши войска продолжали наступление. На подступах к Одессе немцы заранее подготовили оборонительную полосу, использовав для этого все выгодные естественные рубежи — лиманы, овраги и балки. Наши войска, действуя подвижными отрядами и умело маневрируя, наносят противнику удары с тыла и флангов, отвоёвывая у него один рубеж за другим. Подразделения Н-ской гвардейской части, нащупав слабое место в обороне немцев, ночью с фланга атаковали противника. Гвардейцы истребили 300 гитлеровцев и захватили на огневых позициях 12 орудий. К северо-востоку от Одессы противник, стремясь преградить путь нашим войскам, продвигавшимся вдоль побережья Чёрного моря, взорвал дамбу лимана. Вода стремительным потоком хлынула в море, заливая прибрежную дорогу. Бойцы части, где командиром майор Таран, работая по пояс в ледяной воде, в короткий срок, навели переправу. Наши войска форсировали водную преграду и, с хода атаковав противника, выбили его из населённого пункта Фонтанка. Развивая успех, советские части овладели железнодорожной станцией Сортировочная, находящейся в 5 километрах от Одессы.</w:t>
      </w:r>
    </w:p>
    <w:p w14:paraId="68F1DE90"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одном участке Белорусского фронта лётчик Герой Советского Союза подполковник Пологов, патрулируя над нашими позициями, встретился с четырьмя немецкими истребителями «Фокке-Вульф-190». В ожесточённой схватке тов. Пологовсбил два самолёта противника. Самолёт тов. Пологова получил повреждения и загорелся. В это время в районе боя появились 11 вражеских транспортных самолётов «Юнкерс-52». Подполковник Пологов на своём горящем истребителе врезался в их строй и протаранил один немецкий транспортный самолёт. Тов.Пологов выбросился с парашютом из горящей машины и благополучно приземлился на своей территории.</w:t>
      </w:r>
    </w:p>
    <w:p w14:paraId="21F422FD"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Наблюдательные посты Северного флота ночью обнаружили караван судов противника, пытавшийся выйти в море из одного финского порта. Два советских торпедных катера атаковали немецкий караван. Прямыми попаданиями торпед потоплен катер и серьёзно повреждены два транспорта противника.</w:t>
      </w:r>
    </w:p>
    <w:p w14:paraId="2DEF143C"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эту же ночь авиация флота нанесла удар другому каравану судов противника. В результате четырёх следовавших одна за другой атак потоплены транспорт водоизмещением в 2.000 тонн и 4 сторожевых корабля противника. Двум транспортам причинены повреждения. В воздушных боях советские лётчики сбили 5 немецких самолётов и без потерь вернулись на свои базы.</w:t>
      </w:r>
    </w:p>
    <w:p w14:paraId="47E810D9"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имени Щорса, действующий в Барановичской области, подорвал на минах немецкий бронепоезд. За бронепоездом следовали два воинских эшелона с техникой и боеприпасами. Партизаны пустили под откос и эти составы противника. Разбиты 4 паровоза и 48 вагонов. Белорусский партизанский отряд имени Александра Невского за две недели пустил под откос 3 немецких эшелона. Во время крушений этих эшелонов было убито 160 гитлеровцев.» (15094).</w:t>
      </w:r>
    </w:p>
    <w:p w14:paraId="2CDB2083" w14:textId="77777777" w:rsidR="002F4B64" w:rsidRPr="00070ADE" w:rsidRDefault="002F4B64" w:rsidP="00B56F90">
      <w:pPr>
        <w:spacing w:after="0" w:line="240" w:lineRule="auto"/>
        <w:jc w:val="both"/>
        <w:rPr>
          <w:rFonts w:ascii="Times New Roman" w:hAnsi="Times New Roman"/>
          <w:color w:val="000000" w:themeColor="text1"/>
          <w:sz w:val="16"/>
          <w:szCs w:val="16"/>
        </w:rPr>
      </w:pPr>
    </w:p>
    <w:p w14:paraId="6D7B0699" w14:textId="77777777" w:rsidR="00AA077A" w:rsidRPr="00070ADE" w:rsidRDefault="00AA077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9 на 10 апреля 1944 45-я АДДД совершила налет на же</w:t>
      </w:r>
      <w:r w:rsidRPr="00070ADE">
        <w:rPr>
          <w:rFonts w:ascii="Times New Roman" w:hAnsi="Times New Roman"/>
          <w:color w:val="000000" w:themeColor="text1"/>
          <w:sz w:val="16"/>
          <w:szCs w:val="16"/>
        </w:rPr>
        <w:softHyphen/>
        <w:t>лезнодорожный узел Львов (Украина). На задание вылетало 16 кораблей. Взлет прошел в период с 17 ч. 01 мин. по 18 ч. 25 мин. Однако задание выполнили не все экипажи. Один самолет (№42059, командир корабля Шатров) из 25-го гв. АПДД из-за отказа генератора в третьем моторе задержался с взлетом. Но после замены генератора взлетел в 18 ч. 40 мин. Однако в воз</w:t>
      </w:r>
      <w:r w:rsidRPr="00070ADE">
        <w:rPr>
          <w:rFonts w:ascii="Times New Roman" w:hAnsi="Times New Roman"/>
          <w:color w:val="000000" w:themeColor="text1"/>
          <w:sz w:val="16"/>
          <w:szCs w:val="16"/>
        </w:rPr>
        <w:softHyphen/>
        <w:t>духе у него произошел отказ всех четырех моторов, и экипаж произвел вынужденную посадку в районе деревни Тарутино, в 30-ти километрах западнее Лопасни. Через некоторое время самолет был отремонтирован. Пе-8 №42111 (командир корабля Самохин, штурман Куликов) из 890-го АПДД, из-за отказа четвер</w:t>
      </w:r>
      <w:r w:rsidRPr="00070ADE">
        <w:rPr>
          <w:rFonts w:ascii="Times New Roman" w:hAnsi="Times New Roman"/>
          <w:color w:val="000000" w:themeColor="text1"/>
          <w:sz w:val="16"/>
          <w:szCs w:val="16"/>
        </w:rPr>
        <w:softHyphen/>
        <w:t>того двигателя вернулся на свой аэродром, не выполнив задания. У Пе-8 №4214 (командир корабля Сукоркин, штурман Бурлуцкий) из 890-го АПДД, также отказал один двигатель, и через девять минут после взлета корабль приземлился на своем аэродроме. Пе-8 №42711 (командир корабля Марусиченко, штурман Моисеев) из 890-го АПДД из-за отказа второго двигателя произвел посадку на аэродроме Грабцево через 2 ч. 30 мин. после взлета.</w:t>
      </w:r>
    </w:p>
    <w:p w14:paraId="23B90096" w14:textId="77777777" w:rsidR="00AA077A" w:rsidRPr="00070ADE" w:rsidRDefault="00AA077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Остальные 12 самолетов бомбили основную цель в период с 22 ч. 14 мин по 23 ч. 24 мин. На цель было сброшено: 5 ФАБ- 2000, 24 ФАБ-ЮООтга, 16 ФАБ-250тга, 2 ЗАБ-ЮОцк, 14 ЗАБ-50тг, 4 ФОТАБ-35. Из состава 25-го гв. АПДД цель бомбили Пе-8 с заводскими номерами: 42076 (командир корабля Адамов), 42067 (командир корабля Об</w:t>
      </w:r>
      <w:r w:rsidRPr="00070ADE">
        <w:rPr>
          <w:rFonts w:ascii="Times New Roman" w:hAnsi="Times New Roman"/>
          <w:color w:val="000000" w:themeColor="text1"/>
          <w:sz w:val="16"/>
          <w:szCs w:val="16"/>
        </w:rPr>
        <w:softHyphen/>
        <w:t>ухов), 42028 (командир корабля Симо</w:t>
      </w:r>
      <w:r w:rsidRPr="00070ADE">
        <w:rPr>
          <w:rFonts w:ascii="Times New Roman" w:hAnsi="Times New Roman"/>
          <w:color w:val="000000" w:themeColor="text1"/>
          <w:sz w:val="16"/>
          <w:szCs w:val="16"/>
        </w:rPr>
        <w:softHyphen/>
        <w:t>нов), 42410 (командир корабля Ищенко), 42311 (командир корабля Зеленский), 42811 (командир корабля Пономаренко), 42911 (командир корабля Чурилин). Из состава 890-го АПДД бомбили цель Пе-8 с заводскими номерами: 42078 (коман</w:t>
      </w:r>
      <w:r w:rsidRPr="00070ADE">
        <w:rPr>
          <w:rFonts w:ascii="Times New Roman" w:hAnsi="Times New Roman"/>
          <w:color w:val="000000" w:themeColor="text1"/>
          <w:sz w:val="16"/>
          <w:szCs w:val="16"/>
        </w:rPr>
        <w:softHyphen/>
        <w:t>дир корабля Белков), 42810 (командир корабля Олейников), 42910 (командир корабля Шамрай), 42411(командир ко</w:t>
      </w:r>
      <w:r w:rsidRPr="00070ADE">
        <w:rPr>
          <w:rFonts w:ascii="Times New Roman" w:hAnsi="Times New Roman"/>
          <w:color w:val="000000" w:themeColor="text1"/>
          <w:sz w:val="16"/>
          <w:szCs w:val="16"/>
        </w:rPr>
        <w:softHyphen/>
        <w:t>рабля Романов), 421011 (командир ко</w:t>
      </w:r>
      <w:r w:rsidRPr="00070ADE">
        <w:rPr>
          <w:rFonts w:ascii="Times New Roman" w:hAnsi="Times New Roman"/>
          <w:color w:val="000000" w:themeColor="text1"/>
          <w:sz w:val="16"/>
          <w:szCs w:val="16"/>
        </w:rPr>
        <w:softHyphen/>
        <w:t>рабля Невенчанный). После выполнения задания все корабли, бомбившие цель произвели посадку на своем аэродроме, в период с 02 ч. 02 мин. по 03 ч. 26 мин. Потерь не было (19559).</w:t>
      </w:r>
    </w:p>
    <w:p w14:paraId="0B584EA4" w14:textId="77777777" w:rsidR="00AA077A" w:rsidRPr="00070ADE" w:rsidRDefault="00AA077A" w:rsidP="00B56F90">
      <w:pPr>
        <w:spacing w:after="0" w:line="240" w:lineRule="auto"/>
        <w:jc w:val="both"/>
        <w:rPr>
          <w:rFonts w:ascii="Times New Roman" w:hAnsi="Times New Roman"/>
          <w:color w:val="000000" w:themeColor="text1"/>
          <w:sz w:val="16"/>
          <w:szCs w:val="16"/>
        </w:rPr>
      </w:pPr>
    </w:p>
    <w:p w14:paraId="55CD9C61" w14:textId="584C50A8" w:rsidR="00AA077A" w:rsidRPr="00070ADE" w:rsidRDefault="00AA077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9-11 апреля 1944 года 30-й дивизион поддерживал огнем наступление наших частей на Чонгарском перешейке, а после прорыва немецкой обороны и освобождения Крыма в мае вошел в состав Отдельной Приморской армии и сосредоточился в Симферополе, а в августе 1944 года 30 отдельный дивизион бронепоездов был расформирован.</w:t>
      </w:r>
      <w:r w:rsidR="00B643A8" w:rsidRPr="00070ADE">
        <w:rPr>
          <w:rFonts w:ascii="Times New Roman" w:hAnsi="Times New Roman"/>
          <w:color w:val="000000" w:themeColor="text1"/>
          <w:sz w:val="16"/>
          <w:szCs w:val="16"/>
        </w:rPr>
        <w:t xml:space="preserve"> </w:t>
      </w:r>
    </w:p>
    <w:p w14:paraId="4BF514EC" w14:textId="78BA90B9" w:rsidR="00AA077A" w:rsidRPr="00070ADE" w:rsidRDefault="00AA077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Мотоброневагон МБВ № 01 был направлен на ремонт и перевооружение (вместо КТ-28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он получил 76-мм танковые пушки Ф-34), после чего в феврале 1945 года вошел в состав 59-го отдельного дивизиона бронепоездов 1-го Белорусского фронта, в котором и закончил войну. После расформирования дивизиона летом 1947 года МБВ №01 передали 8-му дивизиону бронепоездов, а после того, как и он был расформирован в августе 1953 года мотоброневагон поступил на военный склад № 2707 в Брянске. Автор не располагает сведениями о том, проводилась ли на МБВ № 01 замена двигателя М-17 на В-2-34. Что стало с этим мотоброневагоном пока установить не удалось, скорее всего, он был сдан в металлолом в 1960-х годах (18626).</w:t>
      </w:r>
    </w:p>
    <w:p w14:paraId="143079DA" w14:textId="77777777" w:rsidR="00AA077A" w:rsidRPr="00070ADE" w:rsidRDefault="00AA077A" w:rsidP="00B56F90">
      <w:pPr>
        <w:spacing w:after="0" w:line="240" w:lineRule="auto"/>
        <w:jc w:val="both"/>
        <w:rPr>
          <w:rFonts w:ascii="Times New Roman" w:hAnsi="Times New Roman"/>
          <w:color w:val="000000" w:themeColor="text1"/>
          <w:sz w:val="16"/>
          <w:szCs w:val="16"/>
        </w:rPr>
      </w:pPr>
    </w:p>
    <w:p w14:paraId="22BF6B0D"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апреля в 1944 году "Алкогольные напитки не уничтожать, а оставить русским. Практика показывает, что, когда они захватывают такие трофеи, их наступление замедляется". Приказ командующего 17-й немецкой армией от 9 апреля 1944 года (15094).</w:t>
      </w:r>
    </w:p>
    <w:p w14:paraId="247A96CF" w14:textId="77777777" w:rsidR="002F4B64" w:rsidRPr="00070ADE" w:rsidRDefault="002F4B64" w:rsidP="00B56F90">
      <w:pPr>
        <w:spacing w:after="0" w:line="240" w:lineRule="auto"/>
        <w:jc w:val="both"/>
        <w:rPr>
          <w:rFonts w:ascii="Times New Roman" w:hAnsi="Times New Roman"/>
          <w:color w:val="000000" w:themeColor="text1"/>
          <w:sz w:val="16"/>
          <w:szCs w:val="16"/>
        </w:rPr>
      </w:pPr>
    </w:p>
    <w:p w14:paraId="0DF848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апреля 1944 по сообщению Совинформбюро л БелФ п/п П.А.Пологов во время патрулирования встретился с 4-мя ФВ-190. Два сбил, но был подбит. В районе боя увидел 11 Ю-52 и врезался в их строй, протаранив один, выбросился на парашюте и благополучно приземлился (438,900).</w:t>
      </w:r>
    </w:p>
    <w:p w14:paraId="090DFD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C21A20" w14:textId="05CC7D14" w:rsidR="008B5CA2" w:rsidRPr="00070ADE" w:rsidRDefault="008B5CA2"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70ADE">
        <w:rPr>
          <w:rFonts w:ascii="Times New Roman" w:hAnsi="Times New Roman"/>
          <w:i/>
          <w:iCs/>
          <w:color w:val="000000" w:themeColor="text1"/>
          <w:sz w:val="16"/>
          <w:szCs w:val="16"/>
        </w:rPr>
        <w:t>За рубежом:</w:t>
      </w:r>
    </w:p>
    <w:p w14:paraId="771AF86B" w14:textId="77777777" w:rsidR="008B5CA2" w:rsidRPr="00070ADE" w:rsidRDefault="008B5CA2"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0E72C31" w14:textId="77777777" w:rsidR="008B5CA2" w:rsidRPr="00070ADE" w:rsidRDefault="008B5CA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9–10 апреля (ночь) 1944 239 британских бомбардировщиков атаковали железнодорожные станции в Лилле, Франция, потеряв один самолет Lancaster (20373).</w:t>
      </w:r>
    </w:p>
    <w:p w14:paraId="0F970D50" w14:textId="77777777" w:rsidR="008B5CA2" w:rsidRPr="00070ADE" w:rsidRDefault="008B5CA2" w:rsidP="00B56F90">
      <w:pPr>
        <w:spacing w:after="0" w:line="240" w:lineRule="auto"/>
        <w:jc w:val="both"/>
        <w:rPr>
          <w:rFonts w:ascii="Times New Roman" w:hAnsi="Times New Roman"/>
          <w:color w:val="000000" w:themeColor="text1"/>
          <w:sz w:val="16"/>
          <w:szCs w:val="16"/>
        </w:rPr>
      </w:pPr>
    </w:p>
    <w:p w14:paraId="78B84D3E" w14:textId="2570E55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17846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2424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10/11 апреля 1944 Зам. командующего ВВС Скрипко писал Зам. наркома Дементьеву письмо N 10060077с (вход. 4774-4л. от 11 апреля 1944):</w:t>
      </w:r>
    </w:p>
    <w:p w14:paraId="1B949E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"Направляю Вам копии объяснительных записок слушателей Ивановской ВШШ и Л АДД летчика мл. л. Ананьева и ш мл. л. Чукавина, которые показывают, как приходится летать на Ил-4 при отказе одного мотора." (1868,298). Дело было 8 февраля в Средней Азии и на одном моторе без потери высоты лететь смогли только 15-20 минут, так как мотор стал греться. Все выбросились с парашютом и спаслись" (1868,298).</w:t>
      </w:r>
    </w:p>
    <w:p w14:paraId="2F8868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ОБ"ЯСНИТЕЛЬНАЯ ЗАПИСКА, младшего лейтенанта АНАНЬЕВА</w:t>
      </w:r>
    </w:p>
    <w:p w14:paraId="1F1624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февраля я принял самолет №12 у техника-старшины ГОРБУНОВА и взлетел на нем, чтобы итти по маршруту Шары-Султан-Бент-ст Чарджоу -Мары-Ашхабад-Теджен-Мары . В воздухе матчасть работала хорошо, после пролета С.Бента невдалеке от ст. Чарджоу, то есть через 1ч.10 м. от момента взлета я заметил,что у меня резко упало давле</w:t>
      </w:r>
      <w:r w:rsidRPr="00070ADE">
        <w:rPr>
          <w:rFonts w:ascii="Times New Roman" w:hAnsi="Times New Roman"/>
          <w:color w:val="000000" w:themeColor="text1"/>
          <w:sz w:val="16"/>
          <w:szCs w:val="16"/>
        </w:rPr>
        <w:softHyphen/>
        <w:t xml:space="preserve">ние масла левого мотора до </w:t>
      </w:r>
      <w:r w:rsidRPr="00070ADE">
        <w:rPr>
          <w:rFonts w:ascii="Times New Roman" w:hAnsi="Times New Roman"/>
          <w:iCs/>
          <w:color w:val="000000" w:themeColor="text1"/>
          <w:sz w:val="16"/>
          <w:szCs w:val="16"/>
        </w:rPr>
        <w:t xml:space="preserve">2 </w:t>
      </w:r>
      <w:r w:rsidRPr="00070ADE">
        <w:rPr>
          <w:rFonts w:ascii="Times New Roman" w:hAnsi="Times New Roman"/>
          <w:color w:val="000000" w:themeColor="text1"/>
          <w:sz w:val="16"/>
          <w:szCs w:val="16"/>
        </w:rPr>
        <w:t>атм., после чего я вызвал радиста фоническим сигналом и приказал посмотреть, не бьет ли масло с левого мотора .Когда он посмотрел,то доложил, что масло с левого мо</w:t>
      </w:r>
      <w:r w:rsidRPr="00070ADE">
        <w:rPr>
          <w:rFonts w:ascii="Times New Roman" w:hAnsi="Times New Roman"/>
          <w:color w:val="000000" w:themeColor="text1"/>
          <w:sz w:val="16"/>
          <w:szCs w:val="16"/>
        </w:rPr>
        <w:softHyphen/>
        <w:t>тора бьет. После доклада радиста я сразу развернулся и взял курс на г .Мары. До ст. Чарджоу мы не долетели километров пять. Когда летели обратно, то через две минуты давление масла упало до 0, я подал команду штурману, чтобы он приготовил в Ф-1 ножное управле</w:t>
      </w:r>
      <w:r w:rsidRPr="00070ADE">
        <w:rPr>
          <w:rFonts w:ascii="Times New Roman" w:hAnsi="Times New Roman"/>
          <w:color w:val="000000" w:themeColor="text1"/>
          <w:sz w:val="16"/>
          <w:szCs w:val="16"/>
        </w:rPr>
        <w:softHyphen/>
        <w:t>ние и по моей команде нажимал на правую педаль. Через 2-2,5 ми</w:t>
      </w:r>
      <w:r w:rsidRPr="00070ADE">
        <w:rPr>
          <w:rFonts w:ascii="Times New Roman" w:hAnsi="Times New Roman"/>
          <w:color w:val="000000" w:themeColor="text1"/>
          <w:sz w:val="16"/>
          <w:szCs w:val="16"/>
        </w:rPr>
        <w:softHyphen/>
        <w:t>нуты мотор левый совсем заклинило, после чего я штурману отдал команду,чтобы он держал правую педаль и в случае, если будет тя</w:t>
      </w:r>
      <w:r w:rsidRPr="00070ADE">
        <w:rPr>
          <w:rFonts w:ascii="Times New Roman" w:hAnsi="Times New Roman"/>
          <w:color w:val="000000" w:themeColor="text1"/>
          <w:sz w:val="16"/>
          <w:szCs w:val="16"/>
        </w:rPr>
        <w:softHyphen/>
        <w:t>жело, нажимал обоими ногами. Мою команду он выполнил и мы пошли на одном моторе Н-1700 м., радисту передал, чтобы он сообщил, что идем на одном моторе и передал несколько раз, чтобы на приводной радиостанции приняли нашу радиограмму. На одном моторе летели мы минут 15 без потери высоты, затем мотор правый стал греться, по</w:t>
      </w:r>
      <w:r w:rsidRPr="00070ADE">
        <w:rPr>
          <w:rFonts w:ascii="Times New Roman" w:hAnsi="Times New Roman"/>
          <w:color w:val="000000" w:themeColor="text1"/>
          <w:sz w:val="16"/>
          <w:szCs w:val="16"/>
        </w:rPr>
        <w:softHyphen/>
        <w:t>тому что РК я держал 840 мм., а на меньшем РК машина теряет вы</w:t>
      </w:r>
      <w:r w:rsidRPr="00070ADE">
        <w:rPr>
          <w:rFonts w:ascii="Times New Roman" w:hAnsi="Times New Roman"/>
          <w:color w:val="000000" w:themeColor="text1"/>
          <w:sz w:val="16"/>
          <w:szCs w:val="16"/>
        </w:rPr>
        <w:softHyphen/>
        <w:t>соту и перегружена была горючим.</w:t>
      </w:r>
    </w:p>
    <w:p w14:paraId="2F7F09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Штурман в это время дал мне совет - не вернуться ли нам в Чарджоу. Я ему ответил,чтзо нет. Это я сделал, то есть такое ре</w:t>
      </w:r>
      <w:r w:rsidRPr="00070ADE">
        <w:rPr>
          <w:rFonts w:ascii="Times New Roman" w:hAnsi="Times New Roman"/>
          <w:color w:val="000000" w:themeColor="text1"/>
          <w:sz w:val="16"/>
          <w:szCs w:val="16"/>
        </w:rPr>
        <w:softHyphen/>
        <w:t>шение принял иотому, что в Чарджоу аэродром маленький для само</w:t>
      </w:r>
      <w:r w:rsidRPr="00070ADE">
        <w:rPr>
          <w:rFonts w:ascii="Times New Roman" w:hAnsi="Times New Roman"/>
          <w:color w:val="000000" w:themeColor="text1"/>
          <w:sz w:val="16"/>
          <w:szCs w:val="16"/>
        </w:rPr>
        <w:softHyphen/>
        <w:t>летов У-2.. Я подходов к нему не знаю и могу врезаться в препятст вие, а большой аэродром в это время не работал. Летел я на од</w:t>
      </w:r>
      <w:r w:rsidRPr="00070ADE">
        <w:rPr>
          <w:rFonts w:ascii="Times New Roman" w:hAnsi="Times New Roman"/>
          <w:color w:val="000000" w:themeColor="text1"/>
          <w:sz w:val="16"/>
          <w:szCs w:val="16"/>
        </w:rPr>
        <w:softHyphen/>
        <w:t>ном моторе еще 5 минут, высота стала падать, мотор перегревался, я стал периодически изменять шаг винта, это не помогло. Шторки радиаторов были открыты полностью, полностью открыты и юбки капотон. Тогда я стал уменьшать РК до 750 мм. и это не помогло, мо тор не тяняет к самолет уже начал парашютировать.</w:t>
      </w:r>
    </w:p>
    <w:p w14:paraId="378A90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Тогда я даю команду радисту и штурману приказание, чтобы они приготовились к покиданию самолета, штурману сказал,чтобы он взял ракетницу и ракет, он мне ответил что взял. Тогда с высоты 470 м. я подал ломанду голосом "прыгай" и сиреной - условный сиг</w:t>
      </w:r>
      <w:r w:rsidRPr="00070ADE">
        <w:rPr>
          <w:rFonts w:ascii="Times New Roman" w:hAnsi="Times New Roman"/>
          <w:color w:val="000000" w:themeColor="text1"/>
          <w:sz w:val="16"/>
          <w:szCs w:val="16"/>
        </w:rPr>
        <w:softHyphen/>
        <w:t>нал, после чего убедился по СПУ о радисте и штурмане, что их нет, выключил зажигание, убрал сектора газа правого мотора, открыл колпак и покинул самолет с Н - 420 м., после приземления стал при</w:t>
      </w:r>
      <w:r w:rsidRPr="00070ADE">
        <w:rPr>
          <w:rFonts w:ascii="Times New Roman" w:hAnsi="Times New Roman"/>
          <w:color w:val="000000" w:themeColor="text1"/>
          <w:sz w:val="16"/>
          <w:szCs w:val="16"/>
        </w:rPr>
        <w:softHyphen/>
        <w:t>зывать членов экипажа. На ,мой призыв никто не ответил. При: при</w:t>
      </w:r>
      <w:r w:rsidRPr="00070ADE">
        <w:rPr>
          <w:rFonts w:ascii="Times New Roman" w:hAnsi="Times New Roman"/>
          <w:color w:val="000000" w:themeColor="text1"/>
          <w:sz w:val="16"/>
          <w:szCs w:val="16"/>
        </w:rPr>
        <w:softHyphen/>
        <w:t xml:space="preserve">землении я ушиб левуго ногу, набросил свой парашют на кусты, чтобы при поисках быстрей могли обнаружить место падения самолета и решил итти на железную дорогу, считая, что у штурмана и радиста парашюты не раскрылись, иначе штурман дал бы ракету. Когда я шел на ж.д., т о вышел на верблюжью тропу и прошел по ней километров 30, рассчитывал на т о, что она сойдется с делезяой дорогой, но убедившись по звездам, что я иду параллельно ж.д., решил итти на 90° этой тропе .Пройдя 15 км. и пескам все еще нет и конца, нет тех при знаков, что жел. дорога близко, я пошел на 180° обратно и решил вновь вернуться на тропу, по которой и шел раньше, но в это время вссгретил пастуха и пошел с ним на его стоянку, это было уже 8 часов утра. Прожил я у пастухов </w:t>
      </w:r>
      <w:r w:rsidRPr="00070ADE">
        <w:rPr>
          <w:rFonts w:ascii="Times New Roman" w:hAnsi="Times New Roman"/>
          <w:iCs/>
          <w:color w:val="000000" w:themeColor="text1"/>
          <w:sz w:val="16"/>
          <w:szCs w:val="16"/>
        </w:rPr>
        <w:t xml:space="preserve">2-е </w:t>
      </w:r>
      <w:r w:rsidRPr="00070ADE">
        <w:rPr>
          <w:rFonts w:ascii="Times New Roman" w:hAnsi="Times New Roman"/>
          <w:color w:val="000000" w:themeColor="text1"/>
          <w:sz w:val="16"/>
          <w:szCs w:val="16"/>
        </w:rPr>
        <w:lastRenderedPageBreak/>
        <w:t>суток, после чего нога моя стала болеть не сильно, я решил итти на железную дорогу .По пути встретил самолет У-2 , который летел к месту падения самолета, сбросил мне вымпел , чтобы я ждал автомашину, я ее дождался, после чего с”ездил к аварии самолета и поехал на автомашине о г .Мари .</w:t>
      </w:r>
    </w:p>
    <w:p w14:paraId="59C392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Мл. лейтенант /Ананьев/</w:t>
      </w:r>
    </w:p>
    <w:p w14:paraId="3EDB79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февраля 1944 г. в 18.00 экипал № 12 в составе летчика мл. лейтенанта АНАНЬЕВА, штурмана мл .лейтенанта ЧУКАВИНА и стрелка-радиста ГОРОДНИЧЕВА вылетел на выполнение упраж</w:t>
      </w:r>
      <w:r w:rsidRPr="00070ADE">
        <w:rPr>
          <w:rFonts w:ascii="Times New Roman" w:hAnsi="Times New Roman"/>
          <w:color w:val="000000" w:themeColor="text1"/>
          <w:sz w:val="16"/>
          <w:szCs w:val="16"/>
        </w:rPr>
        <w:softHyphen/>
        <w:t>нения № 9. Моторы самолета до Чарджоу работал:: нормально; Около Уч-аджи радист докладывал летчику о течи масла из левого мотора, но но словам летчика, он этого доклада не слышал. Не долетая до Чардноу за 8-10 м., летчик спросил радиста, не течет ли масло из левого мотора,радист отве</w:t>
      </w:r>
      <w:r w:rsidRPr="00070ADE">
        <w:rPr>
          <w:rFonts w:ascii="Times New Roman" w:hAnsi="Times New Roman"/>
          <w:color w:val="000000" w:themeColor="text1"/>
          <w:sz w:val="16"/>
          <w:szCs w:val="16"/>
        </w:rPr>
        <w:softHyphen/>
        <w:t>тил,что масло печет. Не долетая Чарджоу 5-6 км. взяли курс на Мары. Пролете в по этому курсу 8-10 м., заклинило левый мотор .Летчик мне сказал, чтобы я жал на правую педаль. Я предлагал летчику вернуться на Чарджоу, но он решил тя</w:t>
      </w:r>
      <w:r w:rsidRPr="00070ADE">
        <w:rPr>
          <w:rFonts w:ascii="Times New Roman" w:hAnsi="Times New Roman"/>
          <w:color w:val="000000" w:themeColor="text1"/>
          <w:sz w:val="16"/>
          <w:szCs w:val="16"/>
        </w:rPr>
        <w:softHyphen/>
        <w:t>нуть до Мары. Почти без потери высоты шли около 20 мин. За</w:t>
      </w:r>
      <w:r w:rsidRPr="00070ADE">
        <w:rPr>
          <w:rFonts w:ascii="Times New Roman" w:hAnsi="Times New Roman"/>
          <w:color w:val="000000" w:themeColor="text1"/>
          <w:sz w:val="16"/>
          <w:szCs w:val="16"/>
        </w:rPr>
        <w:softHyphen/>
        <w:t>тем правый мотор перегрелся и из-за отсутствия достаточ</w:t>
      </w:r>
      <w:r w:rsidRPr="00070ADE">
        <w:rPr>
          <w:rFonts w:ascii="Times New Roman" w:hAnsi="Times New Roman"/>
          <w:color w:val="000000" w:themeColor="text1"/>
          <w:sz w:val="16"/>
          <w:szCs w:val="16"/>
        </w:rPr>
        <w:softHyphen/>
        <w:t>ной скорости, самолет в горизонтальном полете стал прова</w:t>
      </w:r>
      <w:r w:rsidRPr="00070ADE">
        <w:rPr>
          <w:rFonts w:ascii="Times New Roman" w:hAnsi="Times New Roman"/>
          <w:color w:val="000000" w:themeColor="text1"/>
          <w:sz w:val="16"/>
          <w:szCs w:val="16"/>
        </w:rPr>
        <w:softHyphen/>
        <w:t>ливаться, вынуадены были итти со снижением .Летчик меня предупредил,чтобы я взял ракетницу, но я ее взять не мог, так как она лежала в носу самолета, а встать с сиденья я не мог так как помогал летчику вести самолет. Так со снижением мы дошли до Н-450 и по.команде летчика покинули самолет. Когда я опускался на парашюте, наблюдал за поле</w:t>
      </w:r>
      <w:r w:rsidRPr="00070ADE">
        <w:rPr>
          <w:rFonts w:ascii="Times New Roman" w:hAnsi="Times New Roman"/>
          <w:color w:val="000000" w:themeColor="text1"/>
          <w:sz w:val="16"/>
          <w:szCs w:val="16"/>
        </w:rPr>
        <w:softHyphen/>
        <w:t>том самолета, он примерно летел со старым курсом. После приземления самолета я больше не видел. Мы с радистом пошли искать самолет, поискав 4-5 часов, самолета не нашли, тогда. мы взяли курс на железную дорогу. В 8ч. 10 февраля мы вышли на железную дорогу в 12 км. северо-зосточнее ст. Уч-Аджи.</w:t>
      </w:r>
    </w:p>
    <w:p w14:paraId="04E364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Штурман самолета № 12Мл лейтенант Чукавин (1868,299)</w:t>
      </w:r>
    </w:p>
    <w:p w14:paraId="22A000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3716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апреля 1944 Зам. Нач. НИИ ВВС Лосюков и Начштаба Гребенев с письмом N 0039 направили в НКАП А.И.Ш. акт по результатам гос. испытаний Як-9Т N 01-21 с ВК-105ПФ, вооруженного пушкой ОКБ-16 калибра 45 мм. Самолет производства завода 153, установка пушки 115 (2564,173).</w:t>
      </w:r>
    </w:p>
    <w:p w14:paraId="2F56F4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6A9A3B"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10 апреля 1944 г. заместитель главного инженера ВВС ВМФ генерал-майор Пруссаков отослал в Управление кораблестроения проект тактико-технических требований на корабельный истребитель Як-9К. Одновременно с этим он предлагал палубу с самолётами и «остров» продуть на модели корабля в ЦАГИ. 15 мая в Управлении кораблестроения было решено производить продувку модели лишь по готовности эскизного проекта с точно определённым размещением вооружения.</w:t>
      </w:r>
    </w:p>
    <w:p w14:paraId="7CAB8333"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Корабельный самолёт был поставлен в план опытного самолётостроения на 1944 год, им занимался завод № 458. Его назначение определялось как одноместный истребитель ПВО для кораблей флота. Из требований Пруссакова следует, что изначально Як-9К рассматривался как катапультный истребитель для крейсеров (взамен предполагавшегося «Спитфайра»), поэтому приземлять его рассчитывали на береговых аэродромах, без использования посадочного крюка (25374).</w:t>
      </w:r>
    </w:p>
    <w:p w14:paraId="5AD53D74" w14:textId="77777777" w:rsidR="00D0391D" w:rsidRPr="00C94B78" w:rsidRDefault="00D0391D" w:rsidP="00B56F90">
      <w:pPr>
        <w:spacing w:after="0" w:line="240" w:lineRule="auto"/>
        <w:jc w:val="both"/>
        <w:rPr>
          <w:rFonts w:ascii="Times New Roman" w:hAnsi="Times New Roman"/>
          <w:color w:val="0070C0"/>
          <w:sz w:val="16"/>
          <w:szCs w:val="16"/>
        </w:rPr>
      </w:pPr>
    </w:p>
    <w:p w14:paraId="35E526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10 апреля 1944 года производству был выдан полный комплект рабочих чертежей Пе-8ОН (7685).</w:t>
      </w:r>
    </w:p>
    <w:p w14:paraId="32F647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2366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10 апреля 1944 г. полный комплект рабочих чертежей самолёта "Е", или Пе-8ОН ("особого назначения") отправили на производство Основная пассажирская кабина с 12 креслами по типу ПС-84 располагалась в задней части фюзеляжа. Позади неё находился туалет. В центроплане оборудовалась спальная кабина с тремя диванами, под её полом сделали багажник на 200 кг груза.</w:t>
      </w:r>
    </w:p>
    <w:p w14:paraId="420D0B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размещения пассажиров потребовалось снять верхнюю установку ТАТ, а также грузовой пол над бомбоотсеком, в связи с чем пришлось доработать ряд шпангоутов и спроектировать новый пол, обеспечивающий проход пассажиров в полный рост. Грузовой пол в районе центроплана, являвшийся силовым элементом, сохранили без изменений.</w:t>
      </w:r>
    </w:p>
    <w:p w14:paraId="0976979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кабинах предусматривались отопление, вентиляция и освещение. Отопительные каналы проложили по полу по обеим сторонам прохода. Забор воздуха производился в носке крыла, затем он проходил через радиаторы, где подогревался горячей водой от системы охлаждения двигателей и подавался в кабину. Воздух для приточной вентиляции поступал через заборники на фюзеляже и подавался по коробам, идущим вдоль бортов; у каждого кресла имелся индивидуальный вывод.</w:t>
      </w:r>
    </w:p>
    <w:p w14:paraId="25A2F5F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Из-за установки дизелей АЧ-30Б с турбонаддувом использование в антиобледенителях тепла выхлопных газов не представлялось возможным. На передних кромках крыла и оперения монтировались пневматические антиобледенители типа "Гудрич". Антиобледенители на винтах и стеклах козырька пилотской кабины были жидкостные, как и на серийных бомбардировщиках.</w:t>
      </w:r>
    </w:p>
    <w:p w14:paraId="77C2EA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пассажиры обеспечивались кислородом из расчёта 16 л на человека. Этого запаса хватало для полёта на высотах 6000 - 8000 м в течение 8 часов. На "самолёте сохранили всё навигационное и радиооборудование бомбардировщика. Экипаж состоял из 10 человек.</w:t>
      </w:r>
    </w:p>
    <w:p w14:paraId="0BB303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носовой части фюзеляжа стоял пулемёт УБТ на шаровой опоре с запасом 200 патронов, в корме - башня КЭБ с пушкой ШВАК с 230 патронами. Две установки ШУ-32 с пулемётами УБТ (по 230 патронов на каждый) находились в обтекателях шасси.</w:t>
      </w:r>
    </w:p>
    <w:p w14:paraId="6DA419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Мотоустановка с АЧ-30Б отличалась от серийных самолётов с теми же двигателями. Туннели радиаторов имели открытый вход и регулировку на выходе. На самолёте установили маслобаки увеличенной ёмкости (на 20 ч полёта) и воздушно-масляные радиаторы вместо водомасляных. Топливную систему выполнили с кольцеванием по всем четырём двигателям, применили флю- гируемые винты УФ-61В.</w:t>
      </w:r>
    </w:p>
    <w:p w14:paraId="4B7E65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Пе-8ОН внедрили вертикальное оперение увеличенной площади с форкилем. Прорезали дополнительные окна в районе пассажирской кабины.</w:t>
      </w:r>
    </w:p>
    <w:p w14:paraId="4B010B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расчётам, нормальный полётный вес определялся в 30 000 кг, вес пустого - в 21 520 кг. В перегрузочном варианте полётный вес доводился до 35 500 кг. Максимальная скорость составляла 425 км/ч, нормальная дальность - 3080 км, максимальная - 6050 км, без пассажиров можно было пролететь 6800 км (11996).</w:t>
      </w:r>
    </w:p>
    <w:p w14:paraId="022F50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C39D1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апреля 1944 Нач. НИИ ВВС Лосюков и Нач. штаба Гребенев писали письмо 00544 НКАП А.И.Ш. с письмом "Альбом самолетов ВВС КА" на 1944, составленный по данным испытаний, проведенных в НИИ ВВС КА за период январь-апрель 1944.</w:t>
      </w:r>
    </w:p>
    <w:p w14:paraId="011F8B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мере проведения испытаний новых самолетов Вам будут представлены дополнительные карточки для включения в данный альбом." (2564,23).</w:t>
      </w:r>
    </w:p>
    <w:p w14:paraId="32311F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8AF4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апреля 1944 года на заводе №82 был пожар - второй, а первый - в январе 1942 года. Пожары принесли очень большие потери (9460).</w:t>
      </w:r>
    </w:p>
    <w:p w14:paraId="6AE46F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7DA397" w14:textId="77777777" w:rsidR="00AA41AF" w:rsidRPr="00070ADE" w:rsidRDefault="00AA41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10 на 11 апреля 1944 г. на заводе №82 произошел по</w:t>
      </w:r>
      <w:r w:rsidRPr="00070ADE">
        <w:rPr>
          <w:rFonts w:ascii="Times New Roman" w:hAnsi="Times New Roman"/>
          <w:color w:val="000000" w:themeColor="text1"/>
          <w:sz w:val="16"/>
          <w:szCs w:val="16"/>
        </w:rPr>
        <w:softHyphen/>
        <w:t>жар, который полностью уничтожил заготовительно-штам</w:t>
      </w:r>
      <w:r w:rsidRPr="00070ADE">
        <w:rPr>
          <w:rFonts w:ascii="Times New Roman" w:hAnsi="Times New Roman"/>
          <w:color w:val="000000" w:themeColor="text1"/>
          <w:sz w:val="16"/>
          <w:szCs w:val="16"/>
        </w:rPr>
        <w:softHyphen/>
        <w:t>повочный цех №2, цех покрытий №12, шаблонно-плазовый цех №23 и цех главного механика №9. Частично постра</w:t>
      </w:r>
      <w:r w:rsidRPr="00070ADE">
        <w:rPr>
          <w:rFonts w:ascii="Times New Roman" w:hAnsi="Times New Roman"/>
          <w:color w:val="000000" w:themeColor="text1"/>
          <w:sz w:val="16"/>
          <w:szCs w:val="16"/>
        </w:rPr>
        <w:softHyphen/>
        <w:t>дали слесарно-заготовительный цех №20 и механический №1. Последствия пожара были столь большими, потому что в его очаге оказалась позиция зенитного орудия, боеза</w:t>
      </w:r>
      <w:r w:rsidRPr="00070ADE">
        <w:rPr>
          <w:rFonts w:ascii="Times New Roman" w:hAnsi="Times New Roman"/>
          <w:color w:val="000000" w:themeColor="text1"/>
          <w:sz w:val="16"/>
          <w:szCs w:val="16"/>
        </w:rPr>
        <w:softHyphen/>
        <w:t>пас которого начал рваться. Только прибывшим из Москвы пожарным командам удалось отстоять фюзеляжный и сбо</w:t>
      </w:r>
      <w:r w:rsidRPr="00070ADE">
        <w:rPr>
          <w:rFonts w:ascii="Times New Roman" w:hAnsi="Times New Roman"/>
          <w:color w:val="000000" w:themeColor="text1"/>
          <w:sz w:val="16"/>
          <w:szCs w:val="16"/>
        </w:rPr>
        <w:softHyphen/>
        <w:t>рочный цеха. В огне сгорело не только оборудование, но и запас готовых изделий на майскую и июньскую программы Як-9У. Испытывая трудности с выполнением поставленной задачи по серийному выпуску этого типа самолета, дирек</w:t>
      </w:r>
      <w:r w:rsidRPr="00070ADE">
        <w:rPr>
          <w:rFonts w:ascii="Times New Roman" w:hAnsi="Times New Roman"/>
          <w:color w:val="000000" w:themeColor="text1"/>
          <w:sz w:val="16"/>
          <w:szCs w:val="16"/>
        </w:rPr>
        <w:softHyphen/>
        <w:t>тор завода буквально выпросил у наркома авиапромыш</w:t>
      </w:r>
      <w:r w:rsidRPr="00070ADE">
        <w:rPr>
          <w:rFonts w:ascii="Times New Roman" w:hAnsi="Times New Roman"/>
          <w:color w:val="000000" w:themeColor="text1"/>
          <w:sz w:val="16"/>
          <w:szCs w:val="16"/>
        </w:rPr>
        <w:softHyphen/>
        <w:t>ленности разрешение продолжить изготовление истреби</w:t>
      </w:r>
      <w:r w:rsidRPr="00070ADE">
        <w:rPr>
          <w:rFonts w:ascii="Times New Roman" w:hAnsi="Times New Roman"/>
          <w:color w:val="000000" w:themeColor="text1"/>
          <w:sz w:val="16"/>
          <w:szCs w:val="16"/>
        </w:rPr>
        <w:softHyphen/>
        <w:t>телей Як-7Б до июля 1944 г. Выпуск Як-7Б на заводе №82 закончился 30-й серией. В течение г. особых изменений в конструкцию самолета не вносилось. Результаты работы завода №82 в 1944 г. отображены в таблице 11.</w:t>
      </w:r>
    </w:p>
    <w:p w14:paraId="25F9AE06" w14:textId="77777777" w:rsidR="00AA41AF" w:rsidRPr="00070ADE" w:rsidRDefault="00AA41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с начала выпуска всеми заводами изготовлено 6428 самолетов типа Як-7. Все обнаруженные несоответ</w:t>
      </w:r>
      <w:r w:rsidRPr="00070ADE">
        <w:rPr>
          <w:rFonts w:ascii="Times New Roman" w:hAnsi="Times New Roman"/>
          <w:color w:val="000000" w:themeColor="text1"/>
          <w:sz w:val="16"/>
          <w:szCs w:val="16"/>
        </w:rPr>
        <w:softHyphen/>
        <w:t>ствия и (или) разногласия в данных по различным источни</w:t>
      </w:r>
      <w:r w:rsidRPr="00070ADE">
        <w:rPr>
          <w:rFonts w:ascii="Times New Roman" w:hAnsi="Times New Roman"/>
          <w:color w:val="000000" w:themeColor="text1"/>
          <w:sz w:val="16"/>
          <w:szCs w:val="16"/>
        </w:rPr>
        <w:softHyphen/>
        <w:t>кам приведены в примечаниях к таблицам. Выпуск машин типа Як-7 по г.м изготовления в разрезе заводов-изготови</w:t>
      </w:r>
      <w:r w:rsidRPr="00070ADE">
        <w:rPr>
          <w:rFonts w:ascii="Times New Roman" w:hAnsi="Times New Roman"/>
          <w:color w:val="000000" w:themeColor="text1"/>
          <w:sz w:val="16"/>
          <w:szCs w:val="16"/>
        </w:rPr>
        <w:softHyphen/>
        <w:t>телей и модификаций приведен в таблицах 12 и 13 (23381).</w:t>
      </w:r>
    </w:p>
    <w:p w14:paraId="7695F1AB" w14:textId="77777777" w:rsidR="00AA41AF" w:rsidRPr="00070ADE" w:rsidRDefault="00AA41AF" w:rsidP="00B56F90">
      <w:pPr>
        <w:spacing w:after="0" w:line="240" w:lineRule="auto"/>
        <w:jc w:val="both"/>
        <w:rPr>
          <w:rFonts w:ascii="Times New Roman" w:hAnsi="Times New Roman"/>
          <w:color w:val="000000" w:themeColor="text1"/>
          <w:sz w:val="16"/>
          <w:szCs w:val="16"/>
        </w:rPr>
      </w:pPr>
    </w:p>
    <w:p w14:paraId="58A3BE4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CC83F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352B6F"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апреля в 1944 году оперативная сводка Совинформбюро:</w:t>
      </w:r>
    </w:p>
    <w:p w14:paraId="17D01313"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10 апреля западнее города Скала наши войска продолжали вести бои по уничтожению окружённой группировки противника.</w:t>
      </w:r>
    </w:p>
    <w:p w14:paraId="247879E6"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Румынии, к западу и юго-западу от города Ботошани, наши войска форсировалиреки Серет и Сучава и овладели городами Рэдэуци, Солька, Сучава, железнодорожными узлами Дерменешти, Верешти, Долгаска, а также с боями заняли более 150 других населённых пунктов, в том числе крупные населённые пункты Городникул, Мардзина, Бурла, Арбора, Ботушана, Обер Пертеште, Илисешти, Драгожеште, Хородничень, Боссанче, Литени и железнодорожные станции Реусени, Бурдужени, Милешоуц, Байа Сучава, Викшань, Литени.</w:t>
      </w:r>
    </w:p>
    <w:p w14:paraId="3CE936A9"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Ясском направлении наши войска вели наступательные бои, в ходе которыховладели городом и крупной железнодорожной станцией Тыргу-Фрумос, а также сбоями заняли более 30 других населённых пунктов и среди них Кристешти, Гоешти, Вултурул (8 километров северо-западнее Яссы).</w:t>
      </w:r>
    </w:p>
    <w:p w14:paraId="59E2BD85"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сегодня, 10 апреля, в результате умелогообходного манёвра пехоты и конно-механизированных соединений в сочетании сфронтальной атакой, овладели важным хозяйственно-политическим центром страны,областным городом Украины и первоклассным портом на Черном море — Одесса, мощнымопорным пунктом обороны немцев, прикрывающим пути к центральным районам Румынии, а также с боями заняли населённые пункты Застава, Дальник, Татарка, Чубаевка, Дмитриевка, Сухой Лиман, Нейбург, Францфельд, Александрогильф.</w:t>
      </w:r>
    </w:p>
    <w:p w14:paraId="6A8D8622"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 днях войска 4-го Украинского фронта под командованием генерала армии Толбухина перешли в наступление против немецко-фашистских войск, расположенныхна Перекопском перешейке и южном побережье Сиваша. Наши войска прорвали сильно укреплённую оборону противника на Перекопском перешейке и, продвинувшись вперёд до 20 километров, овладели городом и железнодорожной станцией Армянск, населёнными пунктами Щемиловка, Кула, Новый Чуваш, Караджанай, Старый Чуваш, Джулга, Деде, Кураевка, Филатовка, Карт-Казак № 1, Будановка, Пятихатка, Карповабалка, Чурюк, Карт-Казак № 3, Тихоновка и вышли </w:t>
      </w:r>
      <w:r w:rsidRPr="00070ADE">
        <w:rPr>
          <w:rFonts w:ascii="Times New Roman" w:hAnsi="Times New Roman"/>
          <w:color w:val="000000" w:themeColor="text1"/>
          <w:sz w:val="16"/>
          <w:szCs w:val="16"/>
        </w:rPr>
        <w:lastRenderedPageBreak/>
        <w:t>к Ишунским позициям противника. Одновременно наши войска, форсировав Сиваш восточнее города Армянск, прорвалисильно укреплённую оборону противника в озёрных дефиле на южном побережье Сиваша и овладели населёнными пунктами Уржин, Ашкадан, Биюк Кият, Тюйтюбе, Каранки, Асс-Найман, Томашёвка, Пасурман 1-й. За два дня упорных боёв наши войска уничтожили более 5.500 солдат и офицеров противника, 44 танка, 21 самолёт и захватили следующие трофеи: орудий разного калибра — 91, миномётов — 54,пулемётов — 337, винтовок и автоматов — 2.686. Взято в плен более 1.000 солдат и офицеров противника.</w:t>
      </w:r>
    </w:p>
    <w:p w14:paraId="525FB8FE"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в ряде пунктов шли бои местного значения.</w:t>
      </w:r>
    </w:p>
    <w:p w14:paraId="3D48BEAB"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9 апреля наши войска на всех фронтах подбили и уничтожили 95 немецких танков. В воздушных боях и огнём зенитной артиллерии сбито 30 самолётов противника.</w:t>
      </w:r>
    </w:p>
    <w:p w14:paraId="2AC76A28"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города Скала наши войска продолжали вести бои по уничтожению окружённой группировки противника. Части Н-ского соединения в течение дня истребили свыше батальона гитлеровцев. Бойцы другого нашего соединения отбили восемь следовавших одна за другой контратак противника. В результате боя уничтожено 32 немецких танка, 20 бронетранспортёров и до 700 немцев.</w:t>
      </w:r>
    </w:p>
    <w:p w14:paraId="3F4057AC"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Румынии, к западу и юго-западу от города Ботошани, наши войска продолжали успешное наступление. Части Н-ского соединения форсировали реку Серет и после ожесточённых боёв преодолели оборонительную полосу противника, построенную на правом берегу реки. Устремившись на запад, наши войска с хода переправились через реку Сучава и с боями овладели городом и железнодорожной станцией Рэдэуци. Вслед за этим советские части разгромили гарнизоны городов Солька и Сучава и заняли более 150 других населённых пунктов. Быстро продвигаясь вперёд, советские части вышли в предгорья Восточных Карпат. В ходе боёв противник несёт большие потери. Одно наше соединение за два дня уничтожило 1.500 немецких и румынских солдат и офицеров. Захвачено 37 орудий, 19 миномётов, 5 складов боеприпасов, 2 склада с горючим, 4 склада с продовольствием, паровозы, вагоны и другие трофеи. Взято в плен свыше 600 немцев и румын.</w:t>
      </w:r>
    </w:p>
    <w:p w14:paraId="227044D7"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сегодня утром овладели городом Одесса. Этой новой победой бойцы и офицеры Красной Армии ещё раз продемонстрировали своё военное мастерство, мужество и героизм. Противник располагал на подступах к Одессе чрезвычайно выгодными позициями. С востока и севера город прикрытзаливом, лиманами, многочисленными балками и оврагами. Узкие перешейки между Одесским заливом, Куяльницким и Хаджибейским лиманами немцы превратили в мощный рубеж обороны с противотанковыми рвами, дзотами, минными полями и проволочными заграждениями. По показаниям пленных, немецкое командование считало, что населённые пункты Сортировочная, Солдатская слобода и Пересыпь наглухо закрываютдоступ к Одессе. Советские части всех родов войск, несмотря на распутицу и бездорожье, прорвали оборону немцев, форсировали Куяльницкий лиман и с фланга нанесли удар противнику. Немцы, боясь оказаться прижатыми к морю, стали отходить и ослабили сопротивление на перешейке. Тогда наши войска предприняли фронтальную атаку, смяли противника и штурмом заняли населённый пункт Пересыпь. Попытки гитлеровцев удержаться на подготовленных рубежах на северной и восточной окраинах города успеха не имели. Наши бойцы вчера вечером мелкими группами начали просачиваться в Одессу и завязали уличные бои. Одновременно подвижные труппы кавалерии, танков и мотопехоты предприняли глубокий фланговый обход, быстро продвинулись на юг, к побережью моря и в полночь вышли на западную и юго-западную окраины Одессы. Всю ночь шли ожесточённые уличные бои, в результате которых советские войска полностью овладели городом и первоклассным портом на Чёрном море. Захвачены огромные трофеи, в числе которых много танков, сотни орудий и миномётов, большое число паровозов, несколько тысяч вагонов и платформ с различными грузами.</w:t>
      </w:r>
    </w:p>
    <w:p w14:paraId="480DC066"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4-го Украинского фронта на днях после мощной артиллерийской подготовки перешли в наступление на Перекопском перешейке и южном побережье Сиваша. Перекопский перешеек является ключевой позицией, прикрывающей вход в Крым. Природные условия в этом районе сами по себе благоприятствуют обороняющейся стороне. Кроме того, противник всемерно укрепил и без того неприступные оборонительные рубежи.</w:t>
      </w:r>
    </w:p>
    <w:p w14:paraId="529AF028"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прорвали оборону немцев на Перекопском перешейке и, продвигаясь с боями вдоль железной и шоссейной дорог, ворвались в город Армянск. Каждый дом этого города немцы превратили в огневую точку с пулемётами и орудиями. Советские пехотинцы, действуя штурмовыми группами, усиленными артиллерией, разгромили противника и овладели городом Армянск. Развивая успех, наши войска вышли к Ишунским позициям немцев. В районе населённого пункта Тихоновка полностью уничтожены три полка пехоты противника. Другие наши части форсировали Сиваш, являющийся трудно преодолимой водной преградой. В ожесточённых боях прорвана оборона немцев на южном побережье Сиваша, состоявшая из нескольких линий траншей и множества других оборонительных сооружений. Продвигаясь вперёд, советские войска заняли ряд сильно укреплённых населенных пунктов. Пленные показали, что немецкие и румынские части понесли тяжёлые потери в живой силе и технике.</w:t>
      </w:r>
    </w:p>
    <w:p w14:paraId="1CFC05FA" w14:textId="77777777" w:rsidR="002F4B64" w:rsidRPr="00070ADE" w:rsidRDefault="002F4B64" w:rsidP="00B56F90">
      <w:pPr>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rPr>
        <w:t xml:space="preserve">Лётчики воздушных сил Северного флота обнаружили караван судов противника. Группа торпедных катеров под командованием капитана 3 ранга Коршуновича вышла в море и настигла вражеские корабли. В результате атаки потоплен транспорт водоизмещением в 6 тысяч тонн и один сторожевой корабль противника.» </w:t>
      </w:r>
      <w:r w:rsidRPr="00070ADE">
        <w:rPr>
          <w:rFonts w:ascii="Times New Roman" w:hAnsi="Times New Roman"/>
          <w:color w:val="000000" w:themeColor="text1"/>
          <w:sz w:val="16"/>
          <w:szCs w:val="16"/>
          <w:lang w:val="en-US"/>
        </w:rPr>
        <w:t>(15095).</w:t>
      </w:r>
    </w:p>
    <w:p w14:paraId="0B7DFA53" w14:textId="77777777" w:rsidR="002F4B64" w:rsidRPr="00070ADE" w:rsidRDefault="002F4B64" w:rsidP="00B56F90">
      <w:pPr>
        <w:spacing w:after="0" w:line="240" w:lineRule="auto"/>
        <w:jc w:val="both"/>
        <w:rPr>
          <w:rFonts w:ascii="Times New Roman" w:hAnsi="Times New Roman"/>
          <w:color w:val="000000" w:themeColor="text1"/>
          <w:sz w:val="16"/>
          <w:szCs w:val="16"/>
          <w:lang w:val="en-US"/>
        </w:rPr>
      </w:pPr>
    </w:p>
    <w:p w14:paraId="7AF905F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 xml:space="preserve">10 </w:t>
      </w:r>
      <w:r w:rsidRPr="00070ADE">
        <w:rPr>
          <w:rFonts w:ascii="Times New Roman" w:hAnsi="Times New Roman"/>
          <w:color w:val="000000" w:themeColor="text1"/>
          <w:sz w:val="16"/>
          <w:szCs w:val="16"/>
        </w:rPr>
        <w:t>апреля</w:t>
      </w:r>
      <w:r w:rsidRPr="00070ADE">
        <w:rPr>
          <w:rFonts w:ascii="Times New Roman" w:hAnsi="Times New Roman"/>
          <w:color w:val="000000" w:themeColor="text1"/>
          <w:sz w:val="16"/>
          <w:szCs w:val="16"/>
          <w:lang w:val="en-US"/>
        </w:rPr>
        <w:t xml:space="preserve"> 1944 </w:t>
      </w:r>
      <w:r w:rsidRPr="00070ADE">
        <w:rPr>
          <w:rFonts w:ascii="Times New Roman" w:hAnsi="Times New Roman"/>
          <w:color w:val="000000" w:themeColor="text1"/>
          <w:sz w:val="16"/>
          <w:szCs w:val="16"/>
        </w:rPr>
        <w:t>советскиевойскавзялиОдессу</w:t>
      </w:r>
      <w:r w:rsidRPr="00070ADE">
        <w:rPr>
          <w:rFonts w:ascii="Times New Roman" w:hAnsi="Times New Roman"/>
          <w:color w:val="000000" w:themeColor="text1"/>
          <w:sz w:val="16"/>
          <w:szCs w:val="16"/>
          <w:lang w:val="en-US"/>
        </w:rPr>
        <w:t xml:space="preserve"> (4962).</w:t>
      </w:r>
    </w:p>
    <w:p w14:paraId="3E6696F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00BA71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April 10th, 1944: German forces of Heeresgruppe Ukraine evacuate Odessa on the Black Sea and withdraw to the west bank of the Dnestr river. In the West, Us and British air forces begin an offensive against German airfields and communications in France and Belgium (3819).</w:t>
      </w:r>
    </w:p>
    <w:p w14:paraId="0B9F1B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20004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10 April 1944 Odessa recaptured by the Russians (270).</w:t>
      </w:r>
    </w:p>
    <w:p w14:paraId="05BC9C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FBFB2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апреля 1944 была освобождена Одесса (270) - 3УФ (Р.Я.Малиновский) (3398,143).</w:t>
      </w:r>
    </w:p>
    <w:p w14:paraId="683C32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5712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апреля 1944 вышло Постановление ГКО № 5594 О поведении Красной Армии на территории Румынии. РГАНИР, Фонд ГКО, д. 231, лл. 203-207 (11012).</w:t>
      </w:r>
    </w:p>
    <w:p w14:paraId="6F7447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 задачах Красной Армии в связи с вступлением на территорию Румынии </w:t>
      </w:r>
    </w:p>
    <w:p w14:paraId="5ADB32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вступлением Красной Армии на территорию Румынии Военному Совету 2-го Украинского фронта издать к населению воззвание, в котором призвать население продолжать свой мирный труд и оказывать командованию Красной Армии содействие и помощь в поддержании порядка и обеспечении нормальной работы промышленных, торговых, коммунальных и других предприятий. В воззвании объяснить населению, что Красная Армия вошла в пределы Румынии, не преследуя целей приобретения какой-либо части румынской территории или изменения существующего в Румынии общественного строя. Вступление советских войск на территорию Румынии вызвано исключительно военной необходимостью и продолжающимся сопротивлением германских войск и воинских частей союзной с Германией Румынии. В воззвании сказать, что Красная Армия выполняет приказ Верховного Главнокомандующего — преследовать неприятельские войска до их полного поражения и капитуляции противника. Не как завоевательница, а как освободительница румынского народа от немецко-фашистского гнета вошла в Румынию Красная Армия, не имеющая других целей, кроме целей разгрома вражеских германских армий... (11652).</w:t>
      </w:r>
    </w:p>
    <w:p w14:paraId="261B4F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0B3652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7D3C90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7D070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апреля 1944 авиация США и Великобритании начали кампанию налетов на немецкие аэродромы во Франции и Бельгии (3819).</w:t>
      </w:r>
    </w:p>
    <w:p w14:paraId="328378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EFDFAA" w14:textId="77777777" w:rsidR="008B5CA2" w:rsidRPr="00070ADE" w:rsidRDefault="008B5CA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10–11 апреля (ночь) 1944 789 британских бомбардировщиков наносят удары по железнодорожным целям в Туре, Тергье, Лаоне и Аульне, Франция, и Генте, Бельгия. Рейд Лаона не удался, но другие цели сильно пострадали. Девятнадцать бомбардировщиков не возвращаются (20373).</w:t>
      </w:r>
    </w:p>
    <w:p w14:paraId="77646AAD" w14:textId="77777777" w:rsidR="008B5CA2" w:rsidRPr="00070ADE" w:rsidRDefault="008B5CA2" w:rsidP="00B56F90">
      <w:pPr>
        <w:spacing w:after="0" w:line="240" w:lineRule="auto"/>
        <w:jc w:val="both"/>
        <w:rPr>
          <w:rFonts w:ascii="Times New Roman" w:hAnsi="Times New Roman"/>
          <w:color w:val="000000" w:themeColor="text1"/>
          <w:sz w:val="16"/>
          <w:szCs w:val="16"/>
        </w:rPr>
      </w:pPr>
    </w:p>
    <w:p w14:paraId="78BB4199"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апреля в 1944 году удается синтезировать хинин – средство борьбы с малярией (15095).</w:t>
      </w:r>
    </w:p>
    <w:p w14:paraId="42D0761B" w14:textId="77777777" w:rsidR="002F4B64" w:rsidRPr="00070ADE" w:rsidRDefault="002F4B64" w:rsidP="00B56F90">
      <w:pPr>
        <w:spacing w:after="0" w:line="240" w:lineRule="auto"/>
        <w:jc w:val="both"/>
        <w:rPr>
          <w:rFonts w:ascii="Times New Roman" w:hAnsi="Times New Roman"/>
          <w:color w:val="000000" w:themeColor="text1"/>
          <w:sz w:val="16"/>
          <w:szCs w:val="16"/>
        </w:rPr>
      </w:pPr>
    </w:p>
    <w:p w14:paraId="524FB67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7179F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57EB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апреля 1944 Нач. ГУЗ ВВС Н.Н.Селезнев писал А.И.Ш. письмо N 872832:</w:t>
      </w:r>
    </w:p>
    <w:p w14:paraId="07F09A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 боевой эксплуатации самолетов Ил-2 в частях ВВС показал, что наличие в его конструкции деревянного фюзеляжа зачастую приводит к длительному простаиванию матчасти на аэродромах без действия из-за появления дефектов, присущих деревянным агрегатам. Приведение самолетов в боевую готовность требует больших материальных затрат, квалифицированной РС и времени со стороны серийных заводов. Ремонт по дереву в полевых условиях является чрезвычайно сложным и не всегда может быть выполнен качественно. В связи с этим, считаю целесообразным просить Вас о выпуске самолетов Ил-2 цельнометаллической конструкции." (1817,26).</w:t>
      </w:r>
    </w:p>
    <w:p w14:paraId="3456C2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67FE2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38DE8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1491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апреля 1944 вышло Распоряжение ГКО № 5595. Об изготовлении опытного образца стабилизатора 85 мм пушки С-53 для танка Т-34-85. РГАНИР, Фонд ГКО, д. 231, лл. 208 (11012).</w:t>
      </w:r>
    </w:p>
    <w:p w14:paraId="5E23C3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D0742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11 апреля 1944 г. было подготовлено СООБЩЕНИЕ НАЧАЛЬНИКА ГБТУ КА НАРОДНОМУ КОМИССАРУ ТАНКОВОЙ ПРОМЫШЛЕННОСТИ В. МАЛЫШЕВУ ПО ВОПРОСУ КАЧЕСТВА ИЗГОТОВЛЕНИЯ ТАНКОВ ИС И АРТСАМОХОДОВ ИСУ-152 №555810</w:t>
      </w:r>
    </w:p>
    <w:p w14:paraId="3AA03B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Проведенные в марте месяце с.г. испытания танков ИС и артсамоходов ИСУ-152, сданных Кировским заводом, показали, что улучшения качества их, по сравнению с февральскими машинами — не имеется.</w:t>
      </w:r>
    </w:p>
    <w:p w14:paraId="3005FB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испытаний танков и артсамоходов на 300 км следующие: из 2-х танков ИС не выдержал испытание 1 танк, и из 3-х самоходных артустановок ИСУ-152 не выдержали испытания — 2.</w:t>
      </w:r>
    </w:p>
    <w:p w14:paraId="709C82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ИС не выдержал испытания вследствие выхода из строя левого бортового редуктора, подгорания дисков главного фрикциона, рассоединения тяги привода к планетарному механизму поворота и заедания подвижной каретки 1-4 передачи.</w:t>
      </w:r>
    </w:p>
    <w:p w14:paraId="3F5709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Самоходные артустановки при испытании вышли из строя: одна - из-за просачивания воды в масляную систему, вследствие наличия раковины внутри блока цилиндров дизель-мотора, и другая - из-за обрыва болтов муфты полужесткого соединения.</w:t>
      </w:r>
    </w:p>
    <w:p w14:paraId="092299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Проведенные испытания ИСУ-152 пробегом на гарантийный километраж (1000 км) показали также неудовлетворительные результаты. Эта самоходная артустановка не выдержала испытания вследствие поломки стопора натяжного механизма ленивца, обрыва 4 болтов крепления поддерживающих катков, разрушения проушин у 20 траков и вследствие дефектов в топливном насосе.</w:t>
      </w:r>
    </w:p>
    <w:p w14:paraId="0F59A7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отсутствие улучшения качества выпускаемых танков ИС и артиллерийских самоходных установок ИСУ-152 показывают и приемо-сдаточные испытания, проводимые на заводе военпредом ГБТУ КА. Неоднократно повторявшимися серьезными дефектами на этих испытаниях в марте месяце являлись:</w:t>
      </w:r>
    </w:p>
    <w:p w14:paraId="7D7B1C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Сгорание дисков главного фрикциона.</w:t>
      </w:r>
    </w:p>
    <w:p w14:paraId="770A26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Заклинивание бортовых редукторов.</w:t>
      </w:r>
    </w:p>
    <w:p w14:paraId="5B692E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Срыв болтов муфты полужесткого соединения.</w:t>
      </w:r>
    </w:p>
    <w:p w14:paraId="6D3AFCD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Необходимость в немедленных мероприятиях по улучшению выпускаемых Кировским заводом танков и артсамоходов следует также и из имеющегося опыта эксплуатации их в войсках (перечень характерных дефектов в танках ИС и в артсамоходах ИСУ-152 прилагается).</w:t>
      </w:r>
    </w:p>
    <w:p w14:paraId="0B019D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Вас обязать директора Кировского завода принять срочные меры по улучшению качества выпускаемых в армию тяжелых танков ИС и самоходных артустановок ИСУ-152. Приложение: перечень дефектов на 1 листе</w:t>
      </w:r>
      <w:r w:rsidRPr="00070ADE">
        <w:rPr>
          <w:rFonts w:ascii="Times New Roman" w:hAnsi="Times New Roman"/>
          <w:color w:val="000000" w:themeColor="text1"/>
          <w:sz w:val="16"/>
          <w:szCs w:val="16"/>
          <w:vertAlign w:val="superscript"/>
        </w:rPr>
        <w:t>3</w:t>
      </w:r>
      <w:r w:rsidRPr="00070ADE">
        <w:rPr>
          <w:rFonts w:ascii="Times New Roman" w:hAnsi="Times New Roman"/>
          <w:color w:val="000000" w:themeColor="text1"/>
          <w:sz w:val="16"/>
          <w:szCs w:val="16"/>
        </w:rPr>
        <w:t>.</w:t>
      </w:r>
    </w:p>
    <w:p w14:paraId="5813F8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ГБТУ Красной Армии генерал-лейтенант танковых войск Вершинин</w:t>
      </w:r>
    </w:p>
    <w:p w14:paraId="113695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11369. Д. 270. Л. 7-7 об. Копия (11403).</w:t>
      </w:r>
    </w:p>
    <w:p w14:paraId="7607B0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EDD089" w14:textId="77777777" w:rsidR="00AA41AF" w:rsidRPr="00070ADE" w:rsidRDefault="00AA41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апреля 1944 г. на свердловском заводе № 76 была осуществлена проверка комиссией Наркомата госконтроля СССР, которая вновь выявила множественные недочеты. Основной проблемой стало массовое попадание некондиционных деталей на сборочный участок. А иногда на двигатели устанавливались даже откровенно бракованные детали. С 1 января по 12 марта 1944 г. было выявлено 10 моторов, которые были сняты со стендов и переработаны именно из-за брака. За что начальник ОТК завода Н.П. Левитский получил выговор[1094]. В этой ситуации важно то, завод № 76 не имел четко работающей системы выявления некондиционных и бракованных изделий, которые впоследствии резко снижали работоспособность танкового дизеля (23536).</w:t>
      </w:r>
    </w:p>
    <w:p w14:paraId="1F65FB47" w14:textId="77777777" w:rsidR="00AA41AF" w:rsidRPr="00070ADE" w:rsidRDefault="00AA41AF" w:rsidP="00B56F90">
      <w:pPr>
        <w:spacing w:after="0" w:line="240" w:lineRule="auto"/>
        <w:jc w:val="both"/>
        <w:rPr>
          <w:rFonts w:ascii="Times New Roman" w:hAnsi="Times New Roman"/>
          <w:color w:val="000000" w:themeColor="text1"/>
          <w:sz w:val="16"/>
          <w:szCs w:val="16"/>
        </w:rPr>
      </w:pPr>
    </w:p>
    <w:p w14:paraId="200193D1" w14:textId="77777777" w:rsidR="00D4630C" w:rsidRPr="00070ADE" w:rsidRDefault="00D463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11 апреля 1944 г. Постановление Совнаркома БАССР и обкома ВКП(б) о плане изготовления запасных частей к тракторам, комбайнам и другим сельхозмашинам на предприятиях союзной </w:t>
      </w:r>
      <w:bookmarkStart w:id="43" w:name="bookmark56"/>
      <w:r w:rsidRPr="00070ADE">
        <w:rPr>
          <w:rFonts w:ascii="Times New Roman" w:hAnsi="Times New Roman"/>
          <w:color w:val="000000" w:themeColor="text1"/>
          <w:sz w:val="16"/>
          <w:szCs w:val="16"/>
        </w:rPr>
        <w:t>и местной промышленности на II квартал 1944 года.</w:t>
      </w:r>
      <w:bookmarkEnd w:id="43"/>
    </w:p>
    <w:p w14:paraId="77908978" w14:textId="77777777" w:rsidR="00D4630C" w:rsidRPr="00070ADE" w:rsidRDefault="00D463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Совнарком Башкирской АССР и бюро обкома ВКП(б) постановляют:</w:t>
      </w:r>
    </w:p>
    <w:p w14:paraId="7EF6CAE8" w14:textId="77777777" w:rsidR="00D4630C" w:rsidRPr="00070ADE" w:rsidRDefault="00D463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 план изготовления запасных частей к тракторам, комбайнам по предприятиям местной и союзной промышленности на II квартал 1944 года в сумме 1 443 тыс. руб., согласно приложению № 1*, план изготовления запасных частей к сельхозмашинам — на сумму 157 тыс. рублей, согласно приложению № 2*.</w:t>
      </w:r>
    </w:p>
    <w:p w14:paraId="5CD33278" w14:textId="77777777" w:rsidR="00D4630C" w:rsidRPr="00070ADE" w:rsidRDefault="00D463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Обязать директоров: завода № 26 тов. Баландина, завода № 49 тов. Антипова, завода № 85 тов. Гутцайт, завода № 161 тов. Масальского, Белметкомбината тов. Маркова, завода 231 тов. Фесенко, завода «Трактородеталь» тов. Гулина, завода им. Ленина тов. Эльцина, завода горного оборудования тов. Потапова, Баймакского медеплавильного комбината тов. Никляева, завода № 628 тов. Солонникова, завода № 697 тов. Собенина, завода № 680 тов. Йткиса, завода № 643 тов. Киселева, зав. № 656 тов. Дубового, ПРЗ тов. Черемухина, судоремонтного завода тов. Тихиенко, завода им. Сталина тов. Витенберга, завода № 688 тов. Манвелова, завода № 428 тов. Мереченкова, завода «Красный пролетарий» тов. Сайганова, завода № 154 тов. Дановича, Красноусольского стеклозавода тов. Савельева, Белебеев- ского машзавода тов. Сарычева, уполроскоопром тов. Аминева, Давлекановского мельзавода тов. Афонина, управляющего стройтрестом № 3 тов. Воробьева — немедленно приступить к производству запасных частей и обеспечить безусловное выполнение установленного плана к 1 июля 1944 года, ежемесячно равными частями.</w:t>
      </w:r>
    </w:p>
    <w:p w14:paraId="2D44201A" w14:textId="77777777" w:rsidR="00D4630C" w:rsidRPr="00070ADE" w:rsidRDefault="00D463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Обязать управляющего Башкирской конторой автотрак- торосбыта т. Апарова, управляющего сельхозснабом тов. Но- воселева и всех перечисленных в п. 2 директоров предприятий не позднее 20 апреля с. г. заключить договора на изготовление предусмотренных планом деталей и запасных частей к тракторам, комбайнам и сельхозмашинам.</w:t>
      </w:r>
    </w:p>
    <w:p w14:paraId="29905E9D" w14:textId="77777777" w:rsidR="00D4630C" w:rsidRPr="00070ADE" w:rsidRDefault="00D463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расширения производства сложных деталей к тракторам и комбайнам в III квартале 1944 г., установить план освоения изготовления тракторных запасных частей на заводах республики во втором квартале 1944 г.: по Бе- лорецкому меткомбинату — звено гусеницы к тракторам СТЗ- НАТИ, по заводу № 85—диски ферадо (из отходов), по заводу № 688— ремней вентилятора, по заводу № 26— реставрацию коренных подшипников, по заводу горного оборудования — модель головки блока и обязать директоров указанных предприятий освоить производство указанных деталей во Н-м квартале 1944 г.</w:t>
      </w:r>
    </w:p>
    <w:p w14:paraId="228A665C" w14:textId="77777777" w:rsidR="00D4630C" w:rsidRPr="00070ADE" w:rsidRDefault="00D463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Контроль за выполнением настоящего постановления возложить на тов. Уразбаева.</w:t>
      </w:r>
    </w:p>
    <w:p w14:paraId="3285892D" w14:textId="77777777" w:rsidR="00D4630C" w:rsidRPr="00070ADE" w:rsidRDefault="00D463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СНК БАССР</w:t>
      </w:r>
      <w:r w:rsidRPr="00070ADE">
        <w:rPr>
          <w:rFonts w:ascii="Times New Roman" w:hAnsi="Times New Roman"/>
          <w:color w:val="000000" w:themeColor="text1"/>
          <w:sz w:val="16"/>
          <w:szCs w:val="16"/>
        </w:rPr>
        <w:tab/>
        <w:t>Вагапов</w:t>
      </w:r>
    </w:p>
    <w:p w14:paraId="47EC4E33" w14:textId="77777777" w:rsidR="00D4630C" w:rsidRPr="00070ADE" w:rsidRDefault="00D463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Секретарь обкома ВКП(б)</w:t>
      </w:r>
      <w:r w:rsidRPr="00070ADE">
        <w:rPr>
          <w:rFonts w:ascii="Times New Roman" w:hAnsi="Times New Roman"/>
          <w:color w:val="000000" w:themeColor="text1"/>
          <w:sz w:val="16"/>
          <w:szCs w:val="16"/>
        </w:rPr>
        <w:tab/>
        <w:t>Игнатьев</w:t>
      </w:r>
    </w:p>
    <w:p w14:paraId="4F80E5F9" w14:textId="77777777" w:rsidR="00D4630C" w:rsidRPr="00070ADE" w:rsidRDefault="00D4630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ЦГАОО РВ. Ф. 122. On. 24. Д. 107 Лл. 84—85. Копа» (17279).</w:t>
      </w:r>
    </w:p>
    <w:p w14:paraId="1F036D6E" w14:textId="77777777" w:rsidR="00D4630C" w:rsidRPr="00070ADE" w:rsidRDefault="00D4630C" w:rsidP="00B56F90">
      <w:pPr>
        <w:spacing w:after="0" w:line="240" w:lineRule="auto"/>
        <w:jc w:val="both"/>
        <w:rPr>
          <w:rFonts w:ascii="Times New Roman" w:hAnsi="Times New Roman"/>
          <w:color w:val="000000" w:themeColor="text1"/>
          <w:sz w:val="16"/>
          <w:szCs w:val="16"/>
          <w:highlight w:val="yellow"/>
        </w:rPr>
      </w:pPr>
    </w:p>
    <w:p w14:paraId="6189E4F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22271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593527"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апреля в 1944 году оперативная сводка Совинформбюро:</w:t>
      </w:r>
    </w:p>
    <w:p w14:paraId="3F59030B"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11 апреля западнее города Скала наши войска отбивали атаки крупных сил пехоты и танков противника, пробивавшихся на помощь окружённой группировке своих войск. Ценой больших потерь в живой силе и технике противнику удалось занять Бучач и соединиться в этом районе с окружённой группировкой.</w:t>
      </w:r>
    </w:p>
    <w:p w14:paraId="54D6A0BA"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Румынии, к югу от города Ботошани, наши войска, форсировав реку Серет, овладели городом и крупным железнодорожным узлом Пашкани, а также с боями заняли населённые пункты Ротунда, Концешть, Кристештий, Топиле, Гэштешть и железнодорожные станции Леспези, Кристештий. На железнодорожной станции Кристештий нашими войсками захвачено 6 паровозов и до 400 вагонов.</w:t>
      </w:r>
    </w:p>
    <w:p w14:paraId="48E0D058"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Ясском направлении наши войска, отбивая контратаки пехоты и танков противника, продолжали вести наступательные бои, в ходе которых заняли несколько населённых пунктов.</w:t>
      </w:r>
    </w:p>
    <w:p w14:paraId="73A59276"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Кишинёвском направлении наши войска с боями продвигались вперёд и занялиболее 30 населённых пунктов, в том числе Гартоп, Глинное, Карманово, Павловка,Шибка, Комаровка, Ново-Александровка.</w:t>
      </w:r>
    </w:p>
    <w:p w14:paraId="31F0B88C"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Тираспольском направлении наши войска с боями продвигались вперёд и овладели районным центром Молдавской ССР Слободзея Молдаванская, а также заняли более 100 других населённых пунктов, в том числе крупные населённые пункты Кассель, Плоское, Славяносербка, Гребеники, Константиновка, Владимировка, Ближний Хутор, Суклея, Карагаш, Слободзея Русская, Чобручи, Глинное, Коротное, Незавертайловка, и железнодорожную станцию Ново-Савицкая. Наши войска вплотную подошли к городу Тирасполь и завязали бои на его окраинах.</w:t>
      </w:r>
    </w:p>
    <w:p w14:paraId="7AE49A1D"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югу и юго-западу от города Одесса наши войска, продолжая наступление,овладели населёнными пунктами Гросс-Либенталь, Клейн-Либенталь, Дерибасовка,Средний и Большой Фонтан.</w:t>
      </w:r>
    </w:p>
    <w:p w14:paraId="2EF940C6"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4-го Украинского фронта, продолжая развивать наступление, овладели городом и важнейшим железнодорожным узлом Крыма — Джанкой, с боями заняли более 50 других населённых пунктов, в том числе Монастырка, Байсары, Ново-Александровка, Большая Магазинка, Ново-Ивановка, Леккерт, Татаркой, Владимировка, Тюй-Тебе, Джанай, 21-й Участок и железнодорожные станции Чирик, Богемка, а также очистили от противника Чонгарский полуостров, заняв при этом населённые пункты Чень-Трень, Чонгар, Марьяновка, Васильевка, Екатериновка и железнодорожные станции Джимбулук, Чонгар.</w:t>
      </w:r>
    </w:p>
    <w:p w14:paraId="2B36B7AF"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Отдельной Приморской армии, перейдя в наступление, прорвали сильно укреплённую оборону противника на Керченском полуострове и 11 апреля овладели городом и крепостью Керчь — важным опорным пунктом обороны немцев на восточном побережье Крыма. Развивая наступление, наши войска продвинулись на запад от Керчи до 30 километров, перевалили через Турецкий Вал и с боями заняли более 40 населённых пунктов, среди которых крупные населённые пункты Катерлез, Мамарусская, Большой Бабчик, Труд Крестьянина, Чурбаш, Мысырь, Джайлав, Чистополье, Кош-Кую, Михайловка, Айман-Кую, Маяк-Салын, Аджыэли, Султановка, Сараймин, и железнодорожные станции Багерово, Салын. Отступая под ударами наших войск,противник несёт большие потери в живой силе и технике.</w:t>
      </w:r>
    </w:p>
    <w:p w14:paraId="6D31808D"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1F1D821B"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10 апреля наши войска на всех фронтах подбили и уничтожили 93 немецких танка. В воздушных боях и огнём зенитной артиллерии сбит 61 самолёт противника.</w:t>
      </w:r>
    </w:p>
    <w:p w14:paraId="4A151A67"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Налёт нашей авиации на железнодорожный узел Львов</w:t>
      </w:r>
    </w:p>
    <w:p w14:paraId="26A2BE08"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10 апреля наша авиация дальнего действия произвела налёт на железнодорожный узел Львов и подвергла бомбардировке большое скопление воинских эшелонов противника, находившихся на этом узле железных дорог. В результате бомбардировки возникло много пожаров: горели вагоны и платформы с военными грузами, а также военные склады противника. Особенно крупные пожары наблюдением отмечены на железнодорожной станции Львов-Главная. Среди пожаров происходилисильные взрывы.</w:t>
      </w:r>
    </w:p>
    <w:p w14:paraId="4C60FFDD"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наши самолёты вернулись на свои аэродромы.</w:t>
      </w:r>
    </w:p>
    <w:p w14:paraId="40449BA6"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Румынии, к югу от города Ботошани, наши войска продолжали наступление.Части Н-ского соединения форсировали реку Серет, преодолели заболоченную полосу на её правом берегу и в результате ожесточённых боёв заняли крупный узел железных и грунтовых дорог город Пашкани. За два дня боёв в этом районе уничтожено до полка пехоты противника. Захвачено 24 орудия, свыше 300 подвод с различными грузами и другие трофеи.</w:t>
      </w:r>
    </w:p>
    <w:p w14:paraId="23140B65"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югу и юго-западу от города Одессы части Н-ского соединения, развивая наступление, прижали группу войск противника к Чёрному морю и ведут бои по её уничтожению. Разрозненные подразделения немцев бросают оружие и сдаются в плен. Наши подвижные части настигли и в коротком бою разгромили вражескую колонну у берега Сухого лимана. Захвачено много орудий и автомашин.</w:t>
      </w:r>
    </w:p>
    <w:p w14:paraId="5305DE3C"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лётчики бомбардировали и штурмовали скопления войск, автомашин, повозок и железнодорожных составов противника у переправ в районах Аккермана и Бугазского маяка. Эти последние пути отступления разбитых немецких и румынских частей через Днестровский лиман всё время днём и ночью находятся под воздействием нашей авиации. От бомбардировки и пушечно-пулемётного огня советских самолётов противник несёт тяжёлые потери в живой силе и технике.</w:t>
      </w:r>
    </w:p>
    <w:p w14:paraId="232B74A6"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Перекопском перешейке наши войска продолжали наступление. Противник, отойдя на Ишунские позиции, оказывает упорное сопротивление. Ишунские позиции по своей мощности не уступают первой оборонительной полосе немцев в районеТурецкого вала. Противотанковый ров перерезает на всю ширину перешеек между Каркинитским заливом и озером Старое. Впереди противотанкового рва установлены надолбы, а все проходы прикрыты минными полями. Позади рва местность на большую глубину изрыта траншеями и окотами, за которыми оборудованы хорошо замаскированные артиллерийские и миномётные позиции. Советские артиллеристы и лётчики разрушают эти сильно укреплённые рубежи Ишунских позиций. Советские пехотинцы шаг за шагом выбивают гитлеровцев из окопов и траншей. Места боёв завалены трупами немцев и румын.</w:t>
      </w:r>
    </w:p>
    <w:p w14:paraId="5526B768"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южном берегу Сиваша ваши войска после ожесточённых боёв прорвали на всю глубину широко развитую оборону противника. Немцы спешно подтянули из тыла резервы пехоты и с хода бросили их в контратаки. Наши танкисты, взаимодействуя с пехотой, разгромили противника и, с боями продвигаясь вперёд, штурмом овладели важнейшим железнодорожным узлом и городом Джанкой. Таким образом, вражеская группировка лишена центра коммуникаций, связывающего восточную, южную и северную части Крыма. Наши войска захватили большие трофеи и много пленных.</w:t>
      </w:r>
    </w:p>
    <w:p w14:paraId="4956E5F9"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Отдельной Приморской армии перешли в наступление на Керченскомполуострове. Советские лётчики всю ночь бомбили узлы сопротивления и базы снабжения противника. В пять часов утра соединения штурмовой авиации атаковали вражеские позиции. Одновременно началась артиллерийская подготовка. Вслед за огневым валом в атаку двинулась советская пехота. Противник готовился здесь к длительной обороне. Гряда высот, тянущаяся от Азовского моря к Керчи, надёжно прикрывала фланг немцев. Все улицы города Керчь были изрыты траншеями. Наши войска нанесли противнику стремительный удар. Рано утром крепость, город и порт Керчь были полностью очищены от немецко-фашистских захватчиков. Советские бойцы,быстро продвигаясь вперёд, прорвали одну за другой три оборонительные полосы противника. Танкисты и мотопехота, развивая наступление, уничтожают отступающих гитлеровцев. В течение дня наши части продвинулись на 30 километров и перевалили через Турецкий вал. Войска противника, расположенные южнее города Керчь, над которыми нависла угроза окружения, обратились в бегство. Захвачено большое количество вооружения, техники и военных материалов. Взято в плен много немецкихи румынских солдат и офицеров.</w:t>
      </w:r>
    </w:p>
    <w:p w14:paraId="25C16F74"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Три группы торпедоносцев и бомбардировщиков Черноморского флота обнаружили на подходах к устью реки Дунай караван судов противника. В результате успешных атак советские лётчики потопили транспорт водоизмещением в 3 тысячи тонн, сторожевой катер, одну десантную и одну сухогрузную баржи. Два торпедных катера, производившие поиски вражеских кораблей, на подходах к одному из портов Крыма, потопили десантную баржу противника.</w:t>
      </w:r>
    </w:p>
    <w:p w14:paraId="08DD817F"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Краснознамённого Балтийского флота совершила успешный налёт на группу вражеских кораблей в Нарвском заливе. Потоплены тральщик и сторожевой катер противника.» (15096).</w:t>
      </w:r>
    </w:p>
    <w:p w14:paraId="34BD9C23" w14:textId="77777777" w:rsidR="002F4B64" w:rsidRPr="00070ADE" w:rsidRDefault="002F4B64" w:rsidP="00B56F90">
      <w:pPr>
        <w:spacing w:after="0" w:line="240" w:lineRule="auto"/>
        <w:jc w:val="both"/>
        <w:rPr>
          <w:rFonts w:ascii="Times New Roman" w:hAnsi="Times New Roman"/>
          <w:color w:val="000000" w:themeColor="text1"/>
          <w:sz w:val="16"/>
          <w:szCs w:val="16"/>
        </w:rPr>
      </w:pPr>
    </w:p>
    <w:p w14:paraId="691BAAA0" w14:textId="77777777" w:rsidR="00A61476" w:rsidRPr="00070ADE" w:rsidRDefault="00A614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11 на 12 апреля 1944 45-я АДДД бомбила Румынский порт Констанца. На задание вылетало 14 кораблей. Взлет прошел в период с 18 ч. 52 мин. по 19 ч. 34 мин. Два корабля из 890-го АПДД из- за неисправности мат. части прервали выполнение боевого задания и верну</w:t>
      </w:r>
      <w:r w:rsidRPr="00070ADE">
        <w:rPr>
          <w:rFonts w:ascii="Times New Roman" w:hAnsi="Times New Roman"/>
          <w:color w:val="000000" w:themeColor="text1"/>
          <w:sz w:val="16"/>
          <w:szCs w:val="16"/>
        </w:rPr>
        <w:softHyphen/>
        <w:t>лись домой. Пе-8 №42211 (командир ко</w:t>
      </w:r>
      <w:r w:rsidRPr="00070ADE">
        <w:rPr>
          <w:rFonts w:ascii="Times New Roman" w:hAnsi="Times New Roman"/>
          <w:color w:val="000000" w:themeColor="text1"/>
          <w:sz w:val="16"/>
          <w:szCs w:val="16"/>
        </w:rPr>
        <w:softHyphen/>
        <w:t>рабля Невенчанный, штурман Базовкин), приземлился через 01 ч. 09 мин. после взлета на своем аэродроме, а Пе-8 №421011 (командир корабля Вихорев, штурман Куликов), приземлился через 9 минут после взлета на своём аэродроме.</w:t>
      </w:r>
    </w:p>
    <w:p w14:paraId="656DBA01" w14:textId="77777777" w:rsidR="00A61476" w:rsidRPr="00070ADE" w:rsidRDefault="00A614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Пе-8 №42028 (командир корабля Симонов, штурман Гончаров) из 25-го гв. АПДД бомбил запасную цель, в 02 ч. 45 мин. На запасную цель было сброшено: 6 ФАБ-250тга, 2 ЗАБ-50тг. Остальные 11 кораблей бомбили основную цель в пе</w:t>
      </w:r>
      <w:r w:rsidRPr="00070ADE">
        <w:rPr>
          <w:rFonts w:ascii="Times New Roman" w:hAnsi="Times New Roman"/>
          <w:color w:val="000000" w:themeColor="text1"/>
          <w:sz w:val="16"/>
          <w:szCs w:val="16"/>
        </w:rPr>
        <w:softHyphen/>
        <w:t>риод с 00 ч. 20 мин по 00 ч. 51 мин. На цель сброшено: 23 ФАБ-ЮООтга, 8 ФАБ- 500тга, 2 ФАБ-250тга, 18 ЗАБ-50тг. Из состава 25-го гв. АПДД основную цель бомбили Пе-8 с заводскими номерами: 42076 (командир корабля Адамов), 42067 (командир корабля Додонов), 42088 (ко</w:t>
      </w:r>
      <w:r w:rsidRPr="00070ADE">
        <w:rPr>
          <w:rFonts w:ascii="Times New Roman" w:hAnsi="Times New Roman"/>
          <w:color w:val="000000" w:themeColor="text1"/>
          <w:sz w:val="16"/>
          <w:szCs w:val="16"/>
        </w:rPr>
        <w:softHyphen/>
        <w:t>мандир корабля Сугак), 42410 (командир корабля Ищенко), 42311 (командир кора</w:t>
      </w:r>
      <w:r w:rsidRPr="00070ADE">
        <w:rPr>
          <w:rFonts w:ascii="Times New Roman" w:hAnsi="Times New Roman"/>
          <w:color w:val="000000" w:themeColor="text1"/>
          <w:sz w:val="16"/>
          <w:szCs w:val="16"/>
        </w:rPr>
        <w:softHyphen/>
        <w:t>бля Зеленский), 42811 (командир кора</w:t>
      </w:r>
      <w:r w:rsidRPr="00070ADE">
        <w:rPr>
          <w:rFonts w:ascii="Times New Roman" w:hAnsi="Times New Roman"/>
          <w:color w:val="000000" w:themeColor="text1"/>
          <w:sz w:val="16"/>
          <w:szCs w:val="16"/>
        </w:rPr>
        <w:softHyphen/>
        <w:t>бля Пономаренко), 42911 (командир ко</w:t>
      </w:r>
      <w:r w:rsidRPr="00070ADE">
        <w:rPr>
          <w:rFonts w:ascii="Times New Roman" w:hAnsi="Times New Roman"/>
          <w:color w:val="000000" w:themeColor="text1"/>
          <w:sz w:val="16"/>
          <w:szCs w:val="16"/>
        </w:rPr>
        <w:softHyphen/>
        <w:t>рабля Чурилин). Из состава 890-го АПДД бомбили цель Пе-8 с заводскими номе</w:t>
      </w:r>
      <w:r w:rsidRPr="00070ADE">
        <w:rPr>
          <w:rFonts w:ascii="Times New Roman" w:hAnsi="Times New Roman"/>
          <w:color w:val="000000" w:themeColor="text1"/>
          <w:sz w:val="16"/>
          <w:szCs w:val="16"/>
        </w:rPr>
        <w:softHyphen/>
        <w:t>рами: 4214 (командир корабля Откидач), 42078 (командир корабля Косяченко), 42111 (командир корабля Самохин), 42411 (командир корабля Романов).</w:t>
      </w:r>
    </w:p>
    <w:p w14:paraId="3D859832" w14:textId="77777777" w:rsidR="00A61476" w:rsidRPr="00070ADE" w:rsidRDefault="00A614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Четыре корабля из 25-го гв. АПДД с моторами АМ-35А (у которых дальность полета была меньше чем у машин с моторами М-82) по заданию должны были произвести посадку на промежуточных аэродромах: Конотоп, Прилуки, Орел, но все эти аэродромы были закрыты туманом и они произ</w:t>
      </w:r>
      <w:r w:rsidRPr="00070ADE">
        <w:rPr>
          <w:rFonts w:ascii="Times New Roman" w:hAnsi="Times New Roman"/>
          <w:color w:val="000000" w:themeColor="text1"/>
          <w:sz w:val="16"/>
          <w:szCs w:val="16"/>
        </w:rPr>
        <w:softHyphen/>
        <w:t>вели посадки в других местах. Корабль № 42076 сел в районе села Гремячка (10 км южнее Ямполь), №42067 при</w:t>
      </w:r>
      <w:r w:rsidRPr="00070ADE">
        <w:rPr>
          <w:rFonts w:ascii="Times New Roman" w:hAnsi="Times New Roman"/>
          <w:color w:val="000000" w:themeColor="text1"/>
          <w:sz w:val="16"/>
          <w:szCs w:val="16"/>
        </w:rPr>
        <w:softHyphen/>
        <w:t>землился в районе станции Липовицы (15 км южнее Прилуки), при посадке сломана левая нога шасси и погнуты 2 винта, экипаж невредим. Самолет №42028 сел в районе деревни Дро</w:t>
      </w:r>
      <w:r w:rsidRPr="00070ADE">
        <w:rPr>
          <w:rFonts w:ascii="Times New Roman" w:hAnsi="Times New Roman"/>
          <w:color w:val="000000" w:themeColor="text1"/>
          <w:sz w:val="16"/>
          <w:szCs w:val="16"/>
        </w:rPr>
        <w:softHyphen/>
        <w:t>зды (15 км севернее Белая Церковь), №42088 приземлился на аэродроме Ротмистровка. Позже все машины, совершившие вынужденные посадки, были отремонтированы. Остальные во</w:t>
      </w:r>
      <w:r w:rsidRPr="00070ADE">
        <w:rPr>
          <w:rFonts w:ascii="Times New Roman" w:hAnsi="Times New Roman"/>
          <w:color w:val="000000" w:themeColor="text1"/>
          <w:sz w:val="16"/>
          <w:szCs w:val="16"/>
        </w:rPr>
        <w:softHyphen/>
        <w:t>семь приземлились на своем аэродроме в период с 05 ч. 15 мин. по 06 ч. 29 мин. Потерь не было (19559).</w:t>
      </w:r>
    </w:p>
    <w:p w14:paraId="492C9C37" w14:textId="77777777" w:rsidR="00A61476" w:rsidRPr="00070ADE" w:rsidRDefault="00A61476" w:rsidP="00B56F90">
      <w:pPr>
        <w:spacing w:after="0" w:line="240" w:lineRule="auto"/>
        <w:jc w:val="both"/>
        <w:rPr>
          <w:rFonts w:ascii="Times New Roman" w:hAnsi="Times New Roman"/>
          <w:color w:val="000000" w:themeColor="text1"/>
          <w:sz w:val="16"/>
          <w:szCs w:val="16"/>
        </w:rPr>
      </w:pPr>
    </w:p>
    <w:p w14:paraId="4F71D2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апреля 1944 пара Ил-2 под командованием ст-л Шикалова и к Проварихиным вывели из строя эшелон с 2 паровозами, который отошел от станции Салын. В результате немцы не смогли отвести еще 3 эшелона, которые были захвачены (430,199).</w:t>
      </w:r>
    </w:p>
    <w:p w14:paraId="5CB6C6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F6E4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апреля 1944 был освобожден весь Крым кроме Севастополя (3907,248).</w:t>
      </w:r>
    </w:p>
    <w:p w14:paraId="1CAF67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289BD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апреля 1944 в Симферополе (п-ов Крым) немцы сбросили в 24-метровый колодец около 260 советских мирных граждан (4963 ).</w:t>
      </w:r>
    </w:p>
    <w:p w14:paraId="00EF014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103AB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апреля 1944 советские войска освободили от фашистов Керчь и Джанкой (4962).</w:t>
      </w:r>
    </w:p>
    <w:p w14:paraId="45AA1E8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6128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апреля 1944 СВГК поставила перед флотом задачу систематически нарушать коммуникации противника в ЧМ, для действий по коммуникациям использовать разнородные силы - п/л, бомбардировочную, минно-торпедную и ш авиацию. В это время крупная группировка противника была прижата к морю ударами войск 4УФ и Отдельной Приморской Армии и немцы пытались эвакуироваться в румынские порты. По решению СВГК была организована операция по дезорганизации морских коммуникаций и уничтожению транспортов врага, в которой наряду с силами ЧМФ приняли участие 8 и 4ВА и ДБА. АДД бомбила Галац и Констанцу, а фронтовая авиация - порты погрузки. Всего выполнили 7489 вылетов, включая 4506 (60.1%) ВВС ЧМФ, 1764 (23.6%) - 4 и 8ВА, 1219 (16.3%) - АДД. Потопили 40 транспортов и 38 боевых и вспомогательных кораблей. Немцы потеряли 42 тыс. солдат и офицеров с 3 по 13 мая 1944 (518,187).</w:t>
      </w:r>
    </w:p>
    <w:p w14:paraId="6C6C2C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E660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апреля 1944 ОПрА (А.И.Еременко) освободила Керчь (3398,143).</w:t>
      </w:r>
    </w:p>
    <w:p w14:paraId="7D17D9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10A7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апреля 1944 л ВВС СФ двумя группами атаковали у берегов Норвегии большой караван и причинили ему большой ущерб. Торпедоносцы потопили 3 транспорта, сторожевик и тральщик. Несколько транспортов повредили. В бою был подбит к И.Б.Катунин и он направил горящую машину на транспорт, погибнув со стрелком радистом ст. сер. А.М.Маркиным. Стали ГСС (438,900).</w:t>
      </w:r>
    </w:p>
    <w:p w14:paraId="74E94A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D9077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050078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23AA17"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апреля в 1944 году пилоты люфтваффе, унтер-офицер Гертер и ефрейтор Пербикс из 2./NJG 1, первыми в истории авиации покинули подбитый «Не-219» «Uhu» с помощью пневматической катапульты в боевой обстановке. На земле обоих пилотов ожидал приятный сюрприз. Профессор Хейнкель выплатил обоим премию в размере 1000 марок. Масса кресла летчика самолёта «Не-219» равна 15,1 кг, масса кресла наблюдателя 16,6 кг, масса цилиндров, поршней и затворов 2Ч9,8 кг, масса баллонов с проводкой и клапанами 2Ч3 кг. Общая масса 57,3 кг (15096).</w:t>
      </w:r>
    </w:p>
    <w:p w14:paraId="39413B9A" w14:textId="77777777" w:rsidR="002F4B64" w:rsidRPr="00070ADE" w:rsidRDefault="002F4B64" w:rsidP="00B56F90">
      <w:pPr>
        <w:spacing w:after="0" w:line="240" w:lineRule="auto"/>
        <w:jc w:val="both"/>
        <w:rPr>
          <w:rFonts w:ascii="Times New Roman" w:hAnsi="Times New Roman"/>
          <w:color w:val="000000" w:themeColor="text1"/>
          <w:sz w:val="16"/>
          <w:szCs w:val="16"/>
        </w:rPr>
      </w:pPr>
    </w:p>
    <w:p w14:paraId="1A18A1D3" w14:textId="77777777" w:rsidR="008B5CA2" w:rsidRPr="00070ADE" w:rsidRDefault="008B5CA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11–12 апреля (ночь) 1044 352 британских бомбардировщика совершили налет на Ахен, Германия, потеряв девять самолетов (2,6 процента сил). Самая разрушительная атака на Аахен во время Второй мировой войны, рейд наносит большой ущерб и вызывает пожары в центральной и южной частях Ахена и в пригороде Буртшайд (20373).</w:t>
      </w:r>
    </w:p>
    <w:p w14:paraId="3E04CEC1" w14:textId="77777777" w:rsidR="008B5CA2" w:rsidRPr="00070ADE" w:rsidRDefault="008B5CA2" w:rsidP="00B56F90">
      <w:pPr>
        <w:spacing w:after="0" w:line="240" w:lineRule="auto"/>
        <w:jc w:val="both"/>
        <w:rPr>
          <w:rFonts w:ascii="Times New Roman" w:hAnsi="Times New Roman"/>
          <w:color w:val="000000" w:themeColor="text1"/>
          <w:sz w:val="16"/>
          <w:szCs w:val="16"/>
        </w:rPr>
      </w:pPr>
    </w:p>
    <w:p w14:paraId="1698578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апреля 1944 английской авиацией разрушен штаб гестапо в Гааге (4962).</w:t>
      </w:r>
    </w:p>
    <w:p w14:paraId="6D6325B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ABD759"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апреля в 1944 году началось наступление 5-й и 8-й армий союзников на "линию Густава" силами 10 дивизий при 2 тысяч орудий. Польский корпус Андерса должен был овладеть Кассино и понес большие потери (до 4-х тысяч человек), обеспечив продвижение англичан (15096).</w:t>
      </w:r>
    </w:p>
    <w:p w14:paraId="4E712568" w14:textId="77777777" w:rsidR="002F4B64" w:rsidRPr="00070ADE" w:rsidRDefault="002F4B64" w:rsidP="00B56F90">
      <w:pPr>
        <w:spacing w:after="0" w:line="240" w:lineRule="auto"/>
        <w:jc w:val="both"/>
        <w:rPr>
          <w:rFonts w:ascii="Times New Roman" w:hAnsi="Times New Roman"/>
          <w:color w:val="000000" w:themeColor="text1"/>
          <w:sz w:val="16"/>
          <w:szCs w:val="16"/>
        </w:rPr>
      </w:pPr>
    </w:p>
    <w:p w14:paraId="65B4E9D6"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утра 11 апреля 1944 монголы начали бомбить и обстреливать китай</w:t>
      </w:r>
      <w:r w:rsidRPr="00070ADE">
        <w:rPr>
          <w:rFonts w:ascii="Times New Roman" w:hAnsi="Times New Roman"/>
          <w:color w:val="000000" w:themeColor="text1"/>
          <w:sz w:val="16"/>
          <w:szCs w:val="16"/>
        </w:rPr>
        <w:softHyphen/>
        <w:t>ские войска. Всего монгольские лётчики совершили 57 (по другим данным - 59) боевых вылетов. Китайские войска ото</w:t>
      </w:r>
      <w:r w:rsidRPr="00070ADE">
        <w:rPr>
          <w:rFonts w:ascii="Times New Roman" w:hAnsi="Times New Roman"/>
          <w:color w:val="000000" w:themeColor="text1"/>
          <w:sz w:val="16"/>
          <w:szCs w:val="16"/>
        </w:rPr>
        <w:softHyphen/>
        <w:t>шли, а правительство Чан Кайши за</w:t>
      </w:r>
      <w:r w:rsidRPr="00070ADE">
        <w:rPr>
          <w:rFonts w:ascii="Times New Roman" w:hAnsi="Times New Roman"/>
          <w:color w:val="000000" w:themeColor="text1"/>
          <w:sz w:val="16"/>
          <w:szCs w:val="16"/>
        </w:rPr>
        <w:softHyphen/>
        <w:t>явило протест, мотивируя это тем, что боевые действия, дескать, велись на китайской территории.</w:t>
      </w:r>
    </w:p>
    <w:p w14:paraId="687B9586"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 эскадрилья монгольских «бисов» в августе 1945 г. участвовала в операциях против Квантунской армии японцев (12294).</w:t>
      </w:r>
    </w:p>
    <w:p w14:paraId="68242D43" w14:textId="77777777" w:rsidR="00137373" w:rsidRPr="00070ADE" w:rsidRDefault="00137373" w:rsidP="00B56F90">
      <w:pPr>
        <w:spacing w:after="0" w:line="240" w:lineRule="auto"/>
        <w:jc w:val="both"/>
        <w:rPr>
          <w:rFonts w:ascii="Times New Roman" w:hAnsi="Times New Roman"/>
          <w:color w:val="000000" w:themeColor="text1"/>
          <w:sz w:val="16"/>
          <w:szCs w:val="16"/>
        </w:rPr>
      </w:pPr>
    </w:p>
    <w:p w14:paraId="4EE95FA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A0723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F8D1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Нач. НИИ ВВС Лосюков и Нач. шт. НИИ ВВС гм ИАС Иващенко направили письмом N 038 (вход. 4864 от 12 апреля 1944 и 4464 от 4 мая 1944) "Акт по результатам гос. испытаний опытного двухместного самолета ИЛ с мотором АМ-42 и винтом АВ-5Л-18Б конструкции С.В.И. (экз. 1, производство завода 240) (1865).</w:t>
      </w:r>
    </w:p>
    <w:p w14:paraId="1A917A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1FC0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был утвержден отчет о гос. испытаниях в НИИ ВВС Ил-8-АМ42 - бронированного разведчика-корректировщика (300,17).</w:t>
      </w:r>
    </w:p>
    <w:p w14:paraId="0F3B99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7EA8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акта НИИ ВВС N 038 от 12 апреля 1944 самолет Ил-8-1 АМ-42 успешно прошел гос. испытания и был рекомендован для запуска в серию (2217).</w:t>
      </w:r>
    </w:p>
    <w:p w14:paraId="221E1C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3F95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 сопроводительной записке к Акту по госиспытаниям самолет Ил-АМ-42 уже именовался как Ил-8 АМ-42. Несмотря на недостатки, был рекомендован для постановки в серийное производство (12020).</w:t>
      </w:r>
    </w:p>
    <w:p w14:paraId="62C1EE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654002" w14:textId="77777777" w:rsidR="00315AAD" w:rsidRPr="00070ADE" w:rsidRDefault="00315AA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12 апреля 1944 г. по инициа</w:t>
      </w:r>
      <w:r w:rsidRPr="00070ADE">
        <w:rPr>
          <w:rFonts w:ascii="Times New Roman" w:hAnsi="Times New Roman"/>
          <w:color w:val="000000" w:themeColor="text1"/>
          <w:sz w:val="16"/>
          <w:szCs w:val="16"/>
        </w:rPr>
        <w:softHyphen/>
        <w:t>тиве Ильюшина Ил-АМ-42 получил обо</w:t>
      </w:r>
      <w:r w:rsidRPr="00070ADE">
        <w:rPr>
          <w:rFonts w:ascii="Times New Roman" w:hAnsi="Times New Roman"/>
          <w:color w:val="000000" w:themeColor="text1"/>
          <w:sz w:val="16"/>
          <w:szCs w:val="16"/>
        </w:rPr>
        <w:softHyphen/>
        <w:t>значение Ил-8, а опытный штурмовик Ил-1 - Ил-10). Несмотря на положительное заклю</w:t>
      </w:r>
      <w:r w:rsidRPr="00070ADE">
        <w:rPr>
          <w:rFonts w:ascii="Times New Roman" w:hAnsi="Times New Roman"/>
          <w:color w:val="000000" w:themeColor="text1"/>
          <w:sz w:val="16"/>
          <w:szCs w:val="16"/>
        </w:rPr>
        <w:softHyphen/>
        <w:t>чение НИИ ВВС, окончательное решение командования ВВС КА по этому самолету еще не оформилось</w:t>
      </w:r>
      <w:r w:rsidRPr="00070ADE">
        <w:rPr>
          <w:rStyle w:val="9pt80"/>
          <w:rFonts w:ascii="Times New Roman" w:hAnsi="Times New Roman" w:cs="Times New Roman"/>
          <w:color w:val="000000" w:themeColor="text1"/>
          <w:w w:val="100"/>
          <w:sz w:val="16"/>
          <w:szCs w:val="16"/>
        </w:rPr>
        <w:t xml:space="preserve"> </w:t>
      </w:r>
      <w:r w:rsidRPr="00070ADE">
        <w:rPr>
          <w:rStyle w:val="9pt80"/>
          <w:rFonts w:ascii="Times New Roman" w:hAnsi="Times New Roman" w:cs="Times New Roman"/>
          <w:i w:val="0"/>
          <w:iCs w:val="0"/>
          <w:color w:val="000000" w:themeColor="text1"/>
          <w:w w:val="100"/>
          <w:sz w:val="16"/>
          <w:szCs w:val="16"/>
        </w:rPr>
        <w:t>(«ни штурмовик, ни бомбардировщик»)</w:t>
      </w:r>
      <w:r w:rsidRPr="00070ADE">
        <w:rPr>
          <w:rStyle w:val="9pt80"/>
          <w:rFonts w:ascii="Times New Roman" w:hAnsi="Times New Roman" w:cs="Times New Roman"/>
          <w:color w:val="000000" w:themeColor="text1"/>
          <w:w w:val="100"/>
          <w:sz w:val="16"/>
          <w:szCs w:val="16"/>
        </w:rPr>
        <w:t>.</w:t>
      </w:r>
      <w:r w:rsidRPr="00070ADE">
        <w:rPr>
          <w:rFonts w:ascii="Times New Roman" w:hAnsi="Times New Roman"/>
          <w:color w:val="000000" w:themeColor="text1"/>
          <w:sz w:val="16"/>
          <w:szCs w:val="16"/>
        </w:rPr>
        <w:t xml:space="preserve"> Больший интерес все же представлял Су-6 АМ-42, как наиболее полно отвечающий требованиям к само</w:t>
      </w:r>
      <w:r w:rsidRPr="00070ADE">
        <w:rPr>
          <w:rFonts w:ascii="Times New Roman" w:hAnsi="Times New Roman"/>
          <w:color w:val="000000" w:themeColor="text1"/>
          <w:sz w:val="16"/>
          <w:szCs w:val="16"/>
        </w:rPr>
        <w:softHyphen/>
        <w:t>лету непосредственной поддержки войск. Однако окончательные результаты испы</w:t>
      </w:r>
      <w:r w:rsidRPr="00070ADE">
        <w:rPr>
          <w:rFonts w:ascii="Times New Roman" w:hAnsi="Times New Roman"/>
          <w:color w:val="000000" w:themeColor="text1"/>
          <w:sz w:val="16"/>
          <w:szCs w:val="16"/>
        </w:rPr>
        <w:softHyphen/>
        <w:t>таний еще не были получены. К тому же в стадии завершения находились завод</w:t>
      </w:r>
      <w:r w:rsidRPr="00070ADE">
        <w:rPr>
          <w:rFonts w:ascii="Times New Roman" w:hAnsi="Times New Roman"/>
          <w:color w:val="000000" w:themeColor="text1"/>
          <w:sz w:val="16"/>
          <w:szCs w:val="16"/>
        </w:rPr>
        <w:softHyphen/>
        <w:t>ские летные испытания опытного штур</w:t>
      </w:r>
      <w:r w:rsidRPr="00070ADE">
        <w:rPr>
          <w:rFonts w:ascii="Times New Roman" w:hAnsi="Times New Roman"/>
          <w:color w:val="000000" w:themeColor="text1"/>
          <w:sz w:val="16"/>
          <w:szCs w:val="16"/>
        </w:rPr>
        <w:softHyphen/>
        <w:t>мовика Ил-10 АМ-42. По сведениям во</w:t>
      </w:r>
      <w:r w:rsidRPr="00070ADE">
        <w:rPr>
          <w:rFonts w:ascii="Times New Roman" w:hAnsi="Times New Roman"/>
          <w:color w:val="000000" w:themeColor="text1"/>
          <w:sz w:val="16"/>
          <w:szCs w:val="16"/>
        </w:rPr>
        <w:softHyphen/>
        <w:t>енпреда на заводе №240 инженер-майора Григорьева его летные данные были также высокими. Очевидно, следовало не торопиться и не принимать скоропали</w:t>
      </w:r>
      <w:r w:rsidRPr="00070ADE">
        <w:rPr>
          <w:rFonts w:ascii="Times New Roman" w:hAnsi="Times New Roman"/>
          <w:color w:val="000000" w:themeColor="text1"/>
          <w:sz w:val="16"/>
          <w:szCs w:val="16"/>
        </w:rPr>
        <w:softHyphen/>
        <w:t>тельных решений.</w:t>
      </w:r>
    </w:p>
    <w:p w14:paraId="4B5582AA" w14:textId="77777777" w:rsidR="00315AAD" w:rsidRPr="00070ADE" w:rsidRDefault="00315AA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Незадолго до этого ВВС сделали по</w:t>
      </w:r>
      <w:r w:rsidRPr="00070ADE">
        <w:rPr>
          <w:rFonts w:ascii="Times New Roman" w:hAnsi="Times New Roman"/>
          <w:color w:val="000000" w:themeColor="text1"/>
          <w:sz w:val="16"/>
          <w:szCs w:val="16"/>
        </w:rPr>
        <w:softHyphen/>
        <w:t>пытку вернуться к первоначальной цель</w:t>
      </w:r>
      <w:r w:rsidRPr="00070ADE">
        <w:rPr>
          <w:rFonts w:ascii="Times New Roman" w:hAnsi="Times New Roman"/>
          <w:color w:val="000000" w:themeColor="text1"/>
          <w:sz w:val="16"/>
          <w:szCs w:val="16"/>
        </w:rPr>
        <w:softHyphen/>
        <w:t>нометаллической конструкции Ил-2. Это позволяло улучшить боевые и эксплуата</w:t>
      </w:r>
      <w:r w:rsidRPr="00070ADE">
        <w:rPr>
          <w:rFonts w:ascii="Times New Roman" w:hAnsi="Times New Roman"/>
          <w:color w:val="000000" w:themeColor="text1"/>
          <w:sz w:val="16"/>
          <w:szCs w:val="16"/>
        </w:rPr>
        <w:softHyphen/>
        <w:t>ционные качества самолета и несколько разрядить напряженность в вопросе по</w:t>
      </w:r>
      <w:r w:rsidRPr="00070ADE">
        <w:rPr>
          <w:rFonts w:ascii="Times New Roman" w:hAnsi="Times New Roman"/>
          <w:color w:val="000000" w:themeColor="text1"/>
          <w:sz w:val="16"/>
          <w:szCs w:val="16"/>
        </w:rPr>
        <w:softHyphen/>
        <w:t>становки на вооружение штурмовика, от</w:t>
      </w:r>
      <w:r w:rsidRPr="00070ADE">
        <w:rPr>
          <w:rFonts w:ascii="Times New Roman" w:hAnsi="Times New Roman"/>
          <w:color w:val="000000" w:themeColor="text1"/>
          <w:sz w:val="16"/>
          <w:szCs w:val="16"/>
        </w:rPr>
        <w:softHyphen/>
        <w:t>вечающего современным требованиям (19853).</w:t>
      </w:r>
    </w:p>
    <w:p w14:paraId="2A8289DA" w14:textId="77777777" w:rsidR="00315AAD" w:rsidRPr="00070ADE" w:rsidRDefault="00315AAD" w:rsidP="00B56F90">
      <w:pPr>
        <w:spacing w:after="0" w:line="240" w:lineRule="auto"/>
        <w:jc w:val="both"/>
        <w:rPr>
          <w:rFonts w:ascii="Times New Roman" w:hAnsi="Times New Roman"/>
          <w:color w:val="000000" w:themeColor="text1"/>
          <w:sz w:val="16"/>
          <w:szCs w:val="16"/>
        </w:rPr>
      </w:pPr>
    </w:p>
    <w:p w14:paraId="44F3FBAE" w14:textId="3F68DF4D" w:rsidR="00EB1E33" w:rsidRPr="00070ADE" w:rsidRDefault="00EB1E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 сопроводительной записке к акту по государственным испытаниям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на имя командующего ВВС КА главного маршала авиации 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Новикова самолет уже именовался как Ил-8 АМ-42. Надо полагать, переименование произошло где-то в самом начале апреля. Соответственно, двухместный штурмовой вариант самолета Ил-1 получил обозначение Ил-10 (17490).</w:t>
      </w:r>
    </w:p>
    <w:p w14:paraId="5F0B12AF" w14:textId="77777777" w:rsidR="00EB1E33" w:rsidRPr="00070ADE" w:rsidRDefault="00EB1E33" w:rsidP="00B56F90">
      <w:pPr>
        <w:spacing w:after="0" w:line="240" w:lineRule="auto"/>
        <w:jc w:val="both"/>
        <w:rPr>
          <w:rFonts w:ascii="Times New Roman" w:hAnsi="Times New Roman"/>
          <w:color w:val="000000" w:themeColor="text1"/>
          <w:sz w:val="16"/>
          <w:szCs w:val="16"/>
        </w:rPr>
      </w:pPr>
    </w:p>
    <w:p w14:paraId="46D8A0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12 апреля 1944 состояние опытного строительства на 21 заводе было следующим:</w:t>
      </w:r>
    </w:p>
    <w:p w14:paraId="7F9477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 М-83 выполнил первый полет. Мотор работал хорошо. Предполагается на 2-й гр. Высотности получить 700-710 км/час</w:t>
      </w:r>
    </w:p>
    <w:p w14:paraId="7DC2C6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комплекта мягких баков 27-28 кг, серийного 35-36 кг.</w:t>
      </w:r>
    </w:p>
    <w:p w14:paraId="344647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Произведен первый полет Ла-5ФН с АРТИ-43ю Автомат устойчиво держит температуру по датчику 220 гр. Производится монтаж АРТИ-43 на 4-х серийных с-тах.</w:t>
      </w:r>
    </w:p>
    <w:p w14:paraId="0728AD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Произведены летные испытания Ла-5ФН с ВИШ-105 В-4 (махоустойчивая лопасть). Забросов оборотов не было.</w:t>
      </w:r>
    </w:p>
    <w:p w14:paraId="3E9BCB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Установкой доп. маслобачка в маслобаке не устранили дефекта - выбрасывания масла.</w:t>
      </w:r>
    </w:p>
    <w:p w14:paraId="79ECC8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Ведется исследование по увеличению диаметра трубопровода от бачка до маслоотстойника (738,21).</w:t>
      </w:r>
    </w:p>
    <w:p w14:paraId="0BC853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3601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у А.Г.Кубышкина на ЛаГГ-3 М-105ПФ N 6152 сдал мотор и с трудом посадил (815,16).</w:t>
      </w:r>
    </w:p>
    <w:p w14:paraId="75F2B0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800826"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12 апреля 1944 г.</w:t>
      </w:r>
    </w:p>
    <w:p w14:paraId="31C5547A"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Приказ народного комиссара авиационной промышленности СССР</w:t>
      </w:r>
    </w:p>
    <w:p w14:paraId="7A468869"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 внедрении в серийное производство на всех самолетах-истребителях Як фонаря пилота с механизмом аварийного сбрасывания»</w:t>
      </w:r>
    </w:p>
    <w:p w14:paraId="7EEC17E8"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[г. Новосибирск] 12 апреля 1944 г.</w:t>
      </w:r>
    </w:p>
    <w:p w14:paraId="425E118C"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Заводом № 116 разработана единая конструкция подвижной части фонаря пилота с механизмом аварийного сбрасывания для всех самолетов-истребителей Як с усилием сбрасывания, не превышающим 8-12 кг. Самолет Як-9107 Д № 08-09, оборудованный фонарем пилота этой конструкции, прошел в марте с. г. контрольные испытания в НИИ ВВС КА. В целях дальнейшего повышения летно-тактических данных самолета-истребителя Як приказываю:</w:t>
      </w:r>
    </w:p>
    <w:p w14:paraId="2DD401DA"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Начальнику 1-го Главного управления т. Боронину и директорам заводов: № 153 - т. Кисицину, № 292 - т. Левину, № 166 - т. Соколову, № 82 - т. Климовицкому и № 31 - т. Саладзе:</w:t>
      </w:r>
    </w:p>
    <w:p w14:paraId="3957C171"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А) перейти на выпуск всех самолетов Як-1, Як-3, Як-7 и Як-9 с аварийно сбрасываемым фонарем пилота конструкции завода № 115 по чертежу № 0531-00-Б не позднее 15 мая с. г.;</w:t>
      </w:r>
    </w:p>
    <w:p w14:paraId="76A4DD32"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Б) изготовить для ВВС КА детали механизма аварийного сбрасывания фонаря по чертежам завода № 115 и сдать их до 20.V.1944 г. военпредам своих заводов:</w:t>
      </w:r>
    </w:p>
    <w:p w14:paraId="2DC6BC81"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завода № 153 - 220 комплектов;</w:t>
      </w:r>
    </w:p>
    <w:p w14:paraId="3C3A65B9"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[завода №] 292 - 140, в т. ч. для самолетов Як-3 - 30 комплектов;</w:t>
      </w:r>
    </w:p>
    <w:p w14:paraId="275D4147"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[завода №] 166 - 80;</w:t>
      </w:r>
    </w:p>
    <w:p w14:paraId="3F9DF6D1"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[завода] № 82 - 60 (для самолетов Як-7).</w:t>
      </w:r>
    </w:p>
    <w:p w14:paraId="2A128858"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П/п. Народный комиссар авиационной промышленности [подпись] [печать]</w:t>
      </w:r>
    </w:p>
    <w:p w14:paraId="24055856"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А. Шахурин.</w:t>
      </w:r>
    </w:p>
    <w:p w14:paraId="7C1A8FD7"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[Подпись] Васильев</w:t>
      </w:r>
    </w:p>
    <w:p w14:paraId="220D1894"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ГАНО. Ф. П. 4. Оп. 8. Д. 508. Л. 109. Машинопись. Заверенная копия. Подпись А. Шахурина(?). На документе имеется рукописная пометка: подпись «Васильев» (24921).</w:t>
      </w:r>
    </w:p>
    <w:p w14:paraId="6B74A7C6" w14:textId="77777777" w:rsidR="004D5A57" w:rsidRPr="00C94B78" w:rsidRDefault="004D5A57" w:rsidP="00B56F90">
      <w:pPr>
        <w:spacing w:after="0" w:line="240" w:lineRule="auto"/>
        <w:jc w:val="both"/>
        <w:rPr>
          <w:rFonts w:ascii="Times New Roman" w:hAnsi="Times New Roman"/>
          <w:color w:val="0070C0"/>
          <w:sz w:val="16"/>
          <w:szCs w:val="16"/>
        </w:rPr>
      </w:pPr>
    </w:p>
    <w:p w14:paraId="7555581A"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12 апреля 1944 г.</w:t>
      </w:r>
    </w:p>
    <w:p w14:paraId="6621E357"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Приказ народного комиссара авиационной промышленности СССР «О выпуске самолетов Як-9 с ВК-105Пф завода № 153, оборудованных фильтрами-пылеуловителями»</w:t>
      </w:r>
    </w:p>
    <w:p w14:paraId="3D1B7139"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[г. Новосибирск] 12 апреля 1944 г.</w:t>
      </w:r>
    </w:p>
    <w:p w14:paraId="60D371C5"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ОКБ-115 на заводе № 153 разработана конструкция фильтров-пылеуловителей на всасывающие патрубки самолетов Як-9. Серийный самолет Як-9, оборудованный фильтрами этой конструкции, прошел испытания на заводе № 153, а также контрольные испытания в ЛИИ НКАП в марте месяце с. г. Для повышения живучести моторов на самолетах Як-9 приказываем:</w:t>
      </w:r>
    </w:p>
    <w:p w14:paraId="2AC07925"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Директору завода № 153 т. Лисицыну:</w:t>
      </w:r>
    </w:p>
    <w:p w14:paraId="34F44D78"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А) с 25 мая с. г. оборудовать фильтрами-пылеуловителями конструкции ОКБ-115 50 % выпускаемых самолетов Як-9 с ВК-105Пф;</w:t>
      </w:r>
    </w:p>
    <w:p w14:paraId="1B4CC3F2"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Б) с 10 июня с. г. перейти на выпуск всех самолетов Як-9 с ВК-105Пф, оборудованных фильтрами этой конструкции.</w:t>
      </w:r>
    </w:p>
    <w:p w14:paraId="6B05DC19"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Начальнику 4-го Главного управления т. Брусникину поставлять заводу № 153 сетку «Дельбаг» в количествах, обеспечивающих выпуск самолетов.</w:t>
      </w:r>
    </w:p>
    <w:p w14:paraId="5AD9AC55"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 п. Народный комиссар авиационной промышленности А. Шахурин. П. п. Врид. командующего Военно-воздушных сил Красной армии генерал- полковник А. Никитин.</w:t>
      </w:r>
    </w:p>
    <w:p w14:paraId="6BB51F74"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ГАНО. Ф. П. 4. Оп. 8. Д. 508. Л. 116. Машинопись. Заверенная копия. На документе имеется рукописная пометка: подпись «Васильев» (24921).</w:t>
      </w:r>
    </w:p>
    <w:p w14:paraId="1E849888" w14:textId="77777777" w:rsidR="004D5A57" w:rsidRPr="00C94B78" w:rsidRDefault="004D5A57" w:rsidP="00B56F90">
      <w:pPr>
        <w:spacing w:after="0" w:line="240" w:lineRule="auto"/>
        <w:jc w:val="both"/>
        <w:rPr>
          <w:rFonts w:ascii="Times New Roman" w:hAnsi="Times New Roman"/>
          <w:color w:val="0070C0"/>
          <w:sz w:val="16"/>
          <w:szCs w:val="16"/>
        </w:rPr>
      </w:pPr>
    </w:p>
    <w:p w14:paraId="7A6880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года С.В.И. писал Объяснительную записку:</w:t>
      </w:r>
    </w:p>
    <w:p w14:paraId="161C3B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Нет необходимости доказывать, что в послевоенный период транспортная авиация приобретет огромное народнохозяйственное значение. Очевидно далее, что наличие массовой транспортной авиации - это наличие массовой бомбардировочной авиации и наличие производственной базы для всех других видов боевой авиации.</w:t>
      </w:r>
    </w:p>
    <w:p w14:paraId="542EAC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Вопрос о транспортной авиации в нашей стране, это вопрос конкретный, практический. прежде всего это вопрос о типе или о типах транспортных самолетов. Не вдаваясь в анализ всей суммы транспортных самолетов, необходимых для нашей страны, я остановлюсь лишь на одном типе самолета.</w:t>
      </w:r>
    </w:p>
    <w:p w14:paraId="1D967E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период войны мы особенно сильно ощутили значение транспортной авиации как для фронта, так и в не меньшей степени для тыла. Основным транспортным самолетом был и есть пока двухмоторный самолет "Дуглас" ДС-3. Какие бы типы транспортных самолетов ни были у нас на снабжении в послевоенный период, при всех условиях, тип двухмоторного транспортного самолета будет одним из основных типов. Это бесспорно - и не требует доказательства.</w:t>
      </w:r>
    </w:p>
    <w:p w14:paraId="317B94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"Дуглас" ДС-3 - хороший самолет, но лишь для определенной полосы развития транспортной авиации.</w:t>
      </w:r>
    </w:p>
    <w:p w14:paraId="6D037C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Уже теперь весьма ощутимой является потребность в увеличении крейсерской скорости у земли минимум до 300 км в час.</w:t>
      </w:r>
    </w:p>
    <w:p w14:paraId="39C18C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Наличие у нашей Авиапромышленности дизель-мотора может обеспечить вторую очень важную данную транспортной авиации экономичность в расходовании топлива, причем топлива низкосортного.</w:t>
      </w:r>
    </w:p>
    <w:p w14:paraId="513A8C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наконец третья важная данная увеличение коммерческой нагрузки. Коммерческая нагрузка ДС-3 составляет 2000 кг требуется 3000 - 3500 кг.</w:t>
      </w:r>
    </w:p>
    <w:p w14:paraId="4E22D9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Исходя из указанных предпосылок представляется проект транспортного самолета вполне отвечающего современным требованиям.</w:t>
      </w:r>
    </w:p>
    <w:p w14:paraId="2A0964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дается сравнительная таблица транспортных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4D4663" w:rsidRPr="00070ADE" w14:paraId="6F1C11C8" w14:textId="77777777">
        <w:tc>
          <w:tcPr>
            <w:tcW w:w="2254" w:type="dxa"/>
          </w:tcPr>
          <w:p w14:paraId="455079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B468C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Транспорт.</w:t>
            </w:r>
          </w:p>
        </w:tc>
        <w:tc>
          <w:tcPr>
            <w:tcW w:w="2254" w:type="dxa"/>
          </w:tcPr>
          <w:p w14:paraId="1C9BC2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1E84FE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3C5F1AD" w14:textId="77777777">
        <w:tc>
          <w:tcPr>
            <w:tcW w:w="2254" w:type="dxa"/>
          </w:tcPr>
          <w:p w14:paraId="22E308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ACF2D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 АЧ31</w:t>
            </w:r>
          </w:p>
        </w:tc>
        <w:tc>
          <w:tcPr>
            <w:tcW w:w="2254" w:type="dxa"/>
          </w:tcPr>
          <w:p w14:paraId="790241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ДС-3</w:t>
            </w:r>
          </w:p>
        </w:tc>
        <w:tc>
          <w:tcPr>
            <w:tcW w:w="2254" w:type="dxa"/>
          </w:tcPr>
          <w:p w14:paraId="668913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ДС-54</w:t>
            </w:r>
          </w:p>
        </w:tc>
      </w:tr>
      <w:tr w:rsidR="004D4663" w:rsidRPr="00070ADE" w14:paraId="56E01864" w14:textId="77777777">
        <w:tc>
          <w:tcPr>
            <w:tcW w:w="2254" w:type="dxa"/>
          </w:tcPr>
          <w:p w14:paraId="4BD55B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и количество моторов</w:t>
            </w:r>
          </w:p>
        </w:tc>
        <w:tc>
          <w:tcPr>
            <w:tcW w:w="2254" w:type="dxa"/>
          </w:tcPr>
          <w:p w14:paraId="53206B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АЧ31</w:t>
            </w:r>
          </w:p>
        </w:tc>
        <w:tc>
          <w:tcPr>
            <w:tcW w:w="2254" w:type="dxa"/>
          </w:tcPr>
          <w:p w14:paraId="1DC0CC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М-62</w:t>
            </w:r>
          </w:p>
        </w:tc>
        <w:tc>
          <w:tcPr>
            <w:tcW w:w="2254" w:type="dxa"/>
          </w:tcPr>
          <w:p w14:paraId="087DA2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Пратт-Уитни.</w:t>
            </w:r>
          </w:p>
        </w:tc>
      </w:tr>
      <w:tr w:rsidR="004D4663" w:rsidRPr="00070ADE" w14:paraId="58F7F694" w14:textId="77777777">
        <w:tc>
          <w:tcPr>
            <w:tcW w:w="2254" w:type="dxa"/>
          </w:tcPr>
          <w:p w14:paraId="6E149A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277084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шт.</w:t>
            </w:r>
          </w:p>
        </w:tc>
        <w:tc>
          <w:tcPr>
            <w:tcW w:w="2254" w:type="dxa"/>
          </w:tcPr>
          <w:p w14:paraId="2291ED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шт.</w:t>
            </w:r>
          </w:p>
        </w:tc>
        <w:tc>
          <w:tcPr>
            <w:tcW w:w="2254" w:type="dxa"/>
          </w:tcPr>
          <w:p w14:paraId="53615B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шт.</w:t>
            </w:r>
          </w:p>
        </w:tc>
      </w:tr>
      <w:tr w:rsidR="004D4663" w:rsidRPr="00070ADE" w14:paraId="22C1ACB1" w14:textId="77777777">
        <w:tc>
          <w:tcPr>
            <w:tcW w:w="2254" w:type="dxa"/>
          </w:tcPr>
          <w:p w14:paraId="3BBB7D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Мощность моторов (номин.)</w:t>
            </w:r>
          </w:p>
        </w:tc>
        <w:tc>
          <w:tcPr>
            <w:tcW w:w="2254" w:type="dxa"/>
          </w:tcPr>
          <w:p w14:paraId="22D073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3000/6000</w:t>
            </w:r>
          </w:p>
        </w:tc>
        <w:tc>
          <w:tcPr>
            <w:tcW w:w="2254" w:type="dxa"/>
          </w:tcPr>
          <w:p w14:paraId="31EA89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2000/0</w:t>
            </w:r>
          </w:p>
        </w:tc>
        <w:tc>
          <w:tcPr>
            <w:tcW w:w="2254" w:type="dxa"/>
          </w:tcPr>
          <w:p w14:paraId="0DA8E0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4400/2130</w:t>
            </w:r>
          </w:p>
        </w:tc>
      </w:tr>
      <w:tr w:rsidR="004D4663" w:rsidRPr="00070ADE" w14:paraId="050431C0" w14:textId="77777777">
        <w:tc>
          <w:tcPr>
            <w:tcW w:w="2254" w:type="dxa"/>
          </w:tcPr>
          <w:p w14:paraId="7B0ABE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w:t>
            </w:r>
          </w:p>
        </w:tc>
        <w:tc>
          <w:tcPr>
            <w:tcW w:w="2254" w:type="dxa"/>
          </w:tcPr>
          <w:p w14:paraId="6639D5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3D22C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10557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7CC3FD6" w14:textId="77777777">
        <w:tc>
          <w:tcPr>
            <w:tcW w:w="2254" w:type="dxa"/>
          </w:tcPr>
          <w:p w14:paraId="0CF553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w:t>
            </w:r>
          </w:p>
        </w:tc>
        <w:tc>
          <w:tcPr>
            <w:tcW w:w="2254" w:type="dxa"/>
          </w:tcPr>
          <w:p w14:paraId="3A9C39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165060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24979F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7FC80EB" w14:textId="77777777">
        <w:tc>
          <w:tcPr>
            <w:tcW w:w="2254" w:type="dxa"/>
          </w:tcPr>
          <w:p w14:paraId="21B9DE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пассажир.</w:t>
            </w:r>
          </w:p>
        </w:tc>
        <w:tc>
          <w:tcPr>
            <w:tcW w:w="2254" w:type="dxa"/>
          </w:tcPr>
          <w:p w14:paraId="72A3DF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16000</w:t>
            </w:r>
          </w:p>
        </w:tc>
        <w:tc>
          <w:tcPr>
            <w:tcW w:w="2254" w:type="dxa"/>
          </w:tcPr>
          <w:p w14:paraId="13D019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12000</w:t>
            </w:r>
          </w:p>
        </w:tc>
        <w:tc>
          <w:tcPr>
            <w:tcW w:w="2254" w:type="dxa"/>
          </w:tcPr>
          <w:p w14:paraId="316558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230F246" w14:textId="77777777">
        <w:tc>
          <w:tcPr>
            <w:tcW w:w="2254" w:type="dxa"/>
          </w:tcPr>
          <w:p w14:paraId="4CEA7E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транспорт.</w:t>
            </w:r>
          </w:p>
        </w:tc>
        <w:tc>
          <w:tcPr>
            <w:tcW w:w="2254" w:type="dxa"/>
          </w:tcPr>
          <w:p w14:paraId="5B08B6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16500</w:t>
            </w:r>
          </w:p>
        </w:tc>
        <w:tc>
          <w:tcPr>
            <w:tcW w:w="2254" w:type="dxa"/>
          </w:tcPr>
          <w:p w14:paraId="7848D9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1DC88F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23587</w:t>
            </w:r>
          </w:p>
        </w:tc>
      </w:tr>
      <w:tr w:rsidR="004D4663" w:rsidRPr="00070ADE" w14:paraId="71C34D24" w14:textId="77777777">
        <w:tc>
          <w:tcPr>
            <w:tcW w:w="2254" w:type="dxa"/>
          </w:tcPr>
          <w:p w14:paraId="1ACB3B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самолета</w:t>
            </w:r>
          </w:p>
        </w:tc>
        <w:tc>
          <w:tcPr>
            <w:tcW w:w="2254" w:type="dxa"/>
          </w:tcPr>
          <w:p w14:paraId="01AAF0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15CE3B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23DD09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9321F06" w14:textId="77777777">
        <w:tc>
          <w:tcPr>
            <w:tcW w:w="2254" w:type="dxa"/>
          </w:tcPr>
          <w:p w14:paraId="6C735A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пассажир.</w:t>
            </w:r>
          </w:p>
        </w:tc>
        <w:tc>
          <w:tcPr>
            <w:tcW w:w="2254" w:type="dxa"/>
          </w:tcPr>
          <w:p w14:paraId="206DA7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11550</w:t>
            </w:r>
          </w:p>
        </w:tc>
        <w:tc>
          <w:tcPr>
            <w:tcW w:w="2254" w:type="dxa"/>
          </w:tcPr>
          <w:p w14:paraId="29CF4A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8000</w:t>
            </w:r>
          </w:p>
        </w:tc>
        <w:tc>
          <w:tcPr>
            <w:tcW w:w="2254" w:type="dxa"/>
          </w:tcPr>
          <w:p w14:paraId="106E79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233B406A" w14:textId="77777777">
        <w:tc>
          <w:tcPr>
            <w:tcW w:w="2254" w:type="dxa"/>
          </w:tcPr>
          <w:p w14:paraId="12DD25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транспорт.10930</w:t>
            </w:r>
          </w:p>
        </w:tc>
        <w:tc>
          <w:tcPr>
            <w:tcW w:w="2254" w:type="dxa"/>
          </w:tcPr>
          <w:p w14:paraId="48EB4D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7400</w:t>
            </w:r>
          </w:p>
        </w:tc>
        <w:tc>
          <w:tcPr>
            <w:tcW w:w="2254" w:type="dxa"/>
          </w:tcPr>
          <w:p w14:paraId="0604A4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16715</w:t>
            </w:r>
          </w:p>
        </w:tc>
        <w:tc>
          <w:tcPr>
            <w:tcW w:w="2254" w:type="dxa"/>
          </w:tcPr>
          <w:p w14:paraId="7B345F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32ACB62" w14:textId="77777777">
        <w:tc>
          <w:tcPr>
            <w:tcW w:w="2254" w:type="dxa"/>
          </w:tcPr>
          <w:p w14:paraId="3322DC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топлива</w:t>
            </w:r>
          </w:p>
        </w:tc>
        <w:tc>
          <w:tcPr>
            <w:tcW w:w="2254" w:type="dxa"/>
          </w:tcPr>
          <w:p w14:paraId="5B806A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w:t>
            </w:r>
          </w:p>
        </w:tc>
        <w:tc>
          <w:tcPr>
            <w:tcW w:w="2254" w:type="dxa"/>
          </w:tcPr>
          <w:p w14:paraId="687BA9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1330</w:t>
            </w:r>
          </w:p>
        </w:tc>
        <w:tc>
          <w:tcPr>
            <w:tcW w:w="2254" w:type="dxa"/>
          </w:tcPr>
          <w:p w14:paraId="6B291C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9A0C3D5" w14:textId="77777777">
        <w:tc>
          <w:tcPr>
            <w:tcW w:w="2254" w:type="dxa"/>
          </w:tcPr>
          <w:p w14:paraId="3BC92A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Коммерческая нагрузка</w:t>
            </w:r>
          </w:p>
        </w:tc>
        <w:tc>
          <w:tcPr>
            <w:tcW w:w="2254" w:type="dxa"/>
          </w:tcPr>
          <w:p w14:paraId="2F7A9B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3500</w:t>
            </w:r>
          </w:p>
        </w:tc>
        <w:tc>
          <w:tcPr>
            <w:tcW w:w="2254" w:type="dxa"/>
          </w:tcPr>
          <w:p w14:paraId="0DBD0D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2000</w:t>
            </w:r>
          </w:p>
        </w:tc>
        <w:tc>
          <w:tcPr>
            <w:tcW w:w="2254" w:type="dxa"/>
          </w:tcPr>
          <w:p w14:paraId="28CADD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4000</w:t>
            </w:r>
          </w:p>
        </w:tc>
      </w:tr>
      <w:tr w:rsidR="004D4663" w:rsidRPr="00070ADE" w14:paraId="734AE97A" w14:textId="77777777">
        <w:tc>
          <w:tcPr>
            <w:tcW w:w="2254" w:type="dxa"/>
          </w:tcPr>
          <w:p w14:paraId="778582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или</w:t>
            </w:r>
          </w:p>
        </w:tc>
        <w:tc>
          <w:tcPr>
            <w:tcW w:w="2254" w:type="dxa"/>
          </w:tcPr>
          <w:p w14:paraId="57F2AE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140E80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B59136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565CB3C" w14:textId="77777777">
        <w:tc>
          <w:tcPr>
            <w:tcW w:w="2254" w:type="dxa"/>
          </w:tcPr>
          <w:p w14:paraId="1BEBE5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Число пассажиров</w:t>
            </w:r>
          </w:p>
        </w:tc>
        <w:tc>
          <w:tcPr>
            <w:tcW w:w="2254" w:type="dxa"/>
          </w:tcPr>
          <w:p w14:paraId="43E1AC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w:t>
            </w:r>
          </w:p>
        </w:tc>
        <w:tc>
          <w:tcPr>
            <w:tcW w:w="2254" w:type="dxa"/>
          </w:tcPr>
          <w:p w14:paraId="43A5F1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w:t>
            </w:r>
          </w:p>
        </w:tc>
        <w:tc>
          <w:tcPr>
            <w:tcW w:w="2254" w:type="dxa"/>
          </w:tcPr>
          <w:p w14:paraId="503CBE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C29D276" w14:textId="77777777">
        <w:tc>
          <w:tcPr>
            <w:tcW w:w="2254" w:type="dxa"/>
          </w:tcPr>
          <w:p w14:paraId="6D328B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w:t>
            </w:r>
          </w:p>
        </w:tc>
        <w:tc>
          <w:tcPr>
            <w:tcW w:w="2254" w:type="dxa"/>
          </w:tcPr>
          <w:p w14:paraId="4714D0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4914A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4E8A5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16805BF" w14:textId="77777777">
        <w:tc>
          <w:tcPr>
            <w:tcW w:w="2254" w:type="dxa"/>
          </w:tcPr>
          <w:p w14:paraId="6B7C04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w:t>
            </w:r>
          </w:p>
        </w:tc>
        <w:tc>
          <w:tcPr>
            <w:tcW w:w="2254" w:type="dxa"/>
          </w:tcPr>
          <w:p w14:paraId="0FC6C56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390</w:t>
            </w:r>
          </w:p>
        </w:tc>
        <w:tc>
          <w:tcPr>
            <w:tcW w:w="2254" w:type="dxa"/>
          </w:tcPr>
          <w:p w14:paraId="5790AF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309</w:t>
            </w:r>
          </w:p>
        </w:tc>
        <w:tc>
          <w:tcPr>
            <w:tcW w:w="2254" w:type="dxa"/>
          </w:tcPr>
          <w:p w14:paraId="64A3F7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414</w:t>
            </w:r>
          </w:p>
        </w:tc>
      </w:tr>
      <w:tr w:rsidR="004D4663" w:rsidRPr="00070ADE" w14:paraId="21739269" w14:textId="77777777">
        <w:tc>
          <w:tcPr>
            <w:tcW w:w="2254" w:type="dxa"/>
          </w:tcPr>
          <w:p w14:paraId="0EB10F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w:t>
            </w:r>
          </w:p>
        </w:tc>
        <w:tc>
          <w:tcPr>
            <w:tcW w:w="2254" w:type="dxa"/>
          </w:tcPr>
          <w:p w14:paraId="39AEAA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470/6000</w:t>
            </w:r>
          </w:p>
        </w:tc>
        <w:tc>
          <w:tcPr>
            <w:tcW w:w="2254" w:type="dxa"/>
          </w:tcPr>
          <w:p w14:paraId="7CBCD1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254" w:type="dxa"/>
          </w:tcPr>
          <w:p w14:paraId="72BEEC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421/4690</w:t>
            </w:r>
          </w:p>
        </w:tc>
      </w:tr>
      <w:tr w:rsidR="004D4663" w:rsidRPr="00070ADE" w14:paraId="427641BD" w14:textId="77777777">
        <w:tc>
          <w:tcPr>
            <w:tcW w:w="2254" w:type="dxa"/>
          </w:tcPr>
          <w:p w14:paraId="69C483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Путевая скорость</w:t>
            </w:r>
          </w:p>
        </w:tc>
        <w:tc>
          <w:tcPr>
            <w:tcW w:w="2254" w:type="dxa"/>
          </w:tcPr>
          <w:p w14:paraId="32EA89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AB85F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E3CED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13F5C3E" w14:textId="77777777">
        <w:tc>
          <w:tcPr>
            <w:tcW w:w="2254" w:type="dxa"/>
          </w:tcPr>
          <w:p w14:paraId="4DC4C5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w:t>
            </w:r>
          </w:p>
        </w:tc>
        <w:tc>
          <w:tcPr>
            <w:tcW w:w="2254" w:type="dxa"/>
          </w:tcPr>
          <w:p w14:paraId="10CF2C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325</w:t>
            </w:r>
          </w:p>
        </w:tc>
        <w:tc>
          <w:tcPr>
            <w:tcW w:w="2254" w:type="dxa"/>
          </w:tcPr>
          <w:p w14:paraId="76ECAE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254" w:type="dxa"/>
          </w:tcPr>
          <w:p w14:paraId="70F34F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A6F4B5B" w14:textId="77777777">
        <w:tc>
          <w:tcPr>
            <w:tcW w:w="2254" w:type="dxa"/>
          </w:tcPr>
          <w:p w14:paraId="36C27A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w:t>
            </w:r>
          </w:p>
        </w:tc>
        <w:tc>
          <w:tcPr>
            <w:tcW w:w="2254" w:type="dxa"/>
          </w:tcPr>
          <w:p w14:paraId="5DED36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400/6000</w:t>
            </w:r>
          </w:p>
        </w:tc>
        <w:tc>
          <w:tcPr>
            <w:tcW w:w="2254" w:type="dxa"/>
          </w:tcPr>
          <w:p w14:paraId="70586E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254" w:type="dxa"/>
          </w:tcPr>
          <w:p w14:paraId="0B8F7B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357/3050</w:t>
            </w:r>
          </w:p>
        </w:tc>
      </w:tr>
      <w:tr w:rsidR="004D4663" w:rsidRPr="00070ADE" w14:paraId="484F012B" w14:textId="77777777">
        <w:tc>
          <w:tcPr>
            <w:tcW w:w="2254" w:type="dxa"/>
          </w:tcPr>
          <w:p w14:paraId="3AAAA2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самолета</w:t>
            </w:r>
          </w:p>
        </w:tc>
        <w:tc>
          <w:tcPr>
            <w:tcW w:w="2254" w:type="dxa"/>
          </w:tcPr>
          <w:p w14:paraId="3F1784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4502E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130881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538141E" w14:textId="77777777">
        <w:tc>
          <w:tcPr>
            <w:tcW w:w="2254" w:type="dxa"/>
          </w:tcPr>
          <w:p w14:paraId="19ECA6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w:t>
            </w:r>
          </w:p>
        </w:tc>
        <w:tc>
          <w:tcPr>
            <w:tcW w:w="2254" w:type="dxa"/>
          </w:tcPr>
          <w:p w14:paraId="26B14C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1250</w:t>
            </w:r>
          </w:p>
        </w:tc>
        <w:tc>
          <w:tcPr>
            <w:tcW w:w="2254" w:type="dxa"/>
          </w:tcPr>
          <w:p w14:paraId="7ACD86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1250</w:t>
            </w:r>
          </w:p>
        </w:tc>
        <w:tc>
          <w:tcPr>
            <w:tcW w:w="2254" w:type="dxa"/>
          </w:tcPr>
          <w:p w14:paraId="39B94F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34F35D9" w14:textId="77777777">
        <w:tc>
          <w:tcPr>
            <w:tcW w:w="2254" w:type="dxa"/>
          </w:tcPr>
          <w:p w14:paraId="23687A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w:t>
            </w:r>
          </w:p>
        </w:tc>
        <w:tc>
          <w:tcPr>
            <w:tcW w:w="2254" w:type="dxa"/>
          </w:tcPr>
          <w:p w14:paraId="7A3BAA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1400/6000</w:t>
            </w:r>
          </w:p>
        </w:tc>
        <w:tc>
          <w:tcPr>
            <w:tcW w:w="2254" w:type="dxa"/>
          </w:tcPr>
          <w:p w14:paraId="5E18C5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1400/3000</w:t>
            </w:r>
          </w:p>
        </w:tc>
        <w:tc>
          <w:tcPr>
            <w:tcW w:w="2254" w:type="dxa"/>
          </w:tcPr>
          <w:p w14:paraId="776907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D72F057" w14:textId="77777777">
        <w:tc>
          <w:tcPr>
            <w:tcW w:w="2254" w:type="dxa"/>
          </w:tcPr>
          <w:p w14:paraId="60D177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Скороподъемность Н=0</w:t>
            </w:r>
          </w:p>
        </w:tc>
        <w:tc>
          <w:tcPr>
            <w:tcW w:w="2254" w:type="dxa"/>
          </w:tcPr>
          <w:p w14:paraId="5EE2A0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w:t>
            </w:r>
          </w:p>
        </w:tc>
        <w:tc>
          <w:tcPr>
            <w:tcW w:w="2254" w:type="dxa"/>
          </w:tcPr>
          <w:p w14:paraId="373331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w:t>
            </w:r>
          </w:p>
        </w:tc>
        <w:tc>
          <w:tcPr>
            <w:tcW w:w="2254" w:type="dxa"/>
          </w:tcPr>
          <w:p w14:paraId="41FFCD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0774CD7" w14:textId="77777777">
        <w:tc>
          <w:tcPr>
            <w:tcW w:w="2254" w:type="dxa"/>
          </w:tcPr>
          <w:p w14:paraId="0D7B01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Потолок</w:t>
            </w:r>
          </w:p>
        </w:tc>
        <w:tc>
          <w:tcPr>
            <w:tcW w:w="2254" w:type="dxa"/>
          </w:tcPr>
          <w:p w14:paraId="42F10D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9000</w:t>
            </w:r>
          </w:p>
        </w:tc>
        <w:tc>
          <w:tcPr>
            <w:tcW w:w="2254" w:type="dxa"/>
          </w:tcPr>
          <w:p w14:paraId="34964B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5720</w:t>
            </w:r>
          </w:p>
        </w:tc>
        <w:tc>
          <w:tcPr>
            <w:tcW w:w="2254" w:type="dxa"/>
          </w:tcPr>
          <w:p w14:paraId="04E42B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7720</w:t>
            </w:r>
          </w:p>
        </w:tc>
      </w:tr>
    </w:tbl>
    <w:p w14:paraId="3BCBB1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нижеприведенной таблице даны сравнительные показатели транспортных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523"/>
        <w:gridCol w:w="1523"/>
        <w:gridCol w:w="1523"/>
      </w:tblGrid>
      <w:tr w:rsidR="004D4663" w:rsidRPr="00070ADE" w14:paraId="59ECB01D" w14:textId="77777777">
        <w:tc>
          <w:tcPr>
            <w:tcW w:w="2943" w:type="dxa"/>
          </w:tcPr>
          <w:p w14:paraId="1055A9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414729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Транспорт.</w:t>
            </w:r>
          </w:p>
        </w:tc>
        <w:tc>
          <w:tcPr>
            <w:tcW w:w="1523" w:type="dxa"/>
          </w:tcPr>
          <w:p w14:paraId="6207D9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623D04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D66F35A" w14:textId="77777777">
        <w:tc>
          <w:tcPr>
            <w:tcW w:w="2943" w:type="dxa"/>
          </w:tcPr>
          <w:p w14:paraId="682D2B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27E57F0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 АЧ-31</w:t>
            </w:r>
          </w:p>
        </w:tc>
        <w:tc>
          <w:tcPr>
            <w:tcW w:w="1523" w:type="dxa"/>
          </w:tcPr>
          <w:p w14:paraId="2A470D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ДС-3</w:t>
            </w:r>
          </w:p>
        </w:tc>
        <w:tc>
          <w:tcPr>
            <w:tcW w:w="1523" w:type="dxa"/>
          </w:tcPr>
          <w:p w14:paraId="02CF7F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ДС-54</w:t>
            </w:r>
          </w:p>
        </w:tc>
      </w:tr>
      <w:tr w:rsidR="004D4663" w:rsidRPr="00070ADE" w14:paraId="4189750D" w14:textId="77777777">
        <w:tc>
          <w:tcPr>
            <w:tcW w:w="2943" w:type="dxa"/>
          </w:tcPr>
          <w:p w14:paraId="2192A4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самолета</w:t>
            </w:r>
          </w:p>
        </w:tc>
        <w:tc>
          <w:tcPr>
            <w:tcW w:w="1523" w:type="dxa"/>
          </w:tcPr>
          <w:p w14:paraId="11C38D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160E06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331180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B36F39E" w14:textId="77777777">
        <w:tc>
          <w:tcPr>
            <w:tcW w:w="2943" w:type="dxa"/>
          </w:tcPr>
          <w:p w14:paraId="515C5A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отнесенный</w:t>
            </w:r>
          </w:p>
        </w:tc>
        <w:tc>
          <w:tcPr>
            <w:tcW w:w="1523" w:type="dxa"/>
          </w:tcPr>
          <w:p w14:paraId="5F0C88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7EDCBB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7521C2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ACCDFAD" w14:textId="77777777">
        <w:tc>
          <w:tcPr>
            <w:tcW w:w="2943" w:type="dxa"/>
          </w:tcPr>
          <w:p w14:paraId="762CBC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одному пассажиру</w:t>
            </w:r>
          </w:p>
        </w:tc>
        <w:tc>
          <w:tcPr>
            <w:tcW w:w="1523" w:type="dxa"/>
          </w:tcPr>
          <w:p w14:paraId="2D55E9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422 кг</w:t>
            </w:r>
          </w:p>
        </w:tc>
        <w:tc>
          <w:tcPr>
            <w:tcW w:w="1523" w:type="dxa"/>
          </w:tcPr>
          <w:p w14:paraId="53F88D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380 кг</w:t>
            </w:r>
          </w:p>
        </w:tc>
        <w:tc>
          <w:tcPr>
            <w:tcW w:w="1523" w:type="dxa"/>
          </w:tcPr>
          <w:p w14:paraId="0150FB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4259815" w14:textId="77777777">
        <w:tc>
          <w:tcPr>
            <w:tcW w:w="2943" w:type="dxa"/>
          </w:tcPr>
          <w:p w14:paraId="40ADAD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одному кг коммерч.</w:t>
            </w:r>
          </w:p>
        </w:tc>
        <w:tc>
          <w:tcPr>
            <w:tcW w:w="1523" w:type="dxa"/>
          </w:tcPr>
          <w:p w14:paraId="61E952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4F12F7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25A41E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B8D69C4" w14:textId="77777777">
        <w:tc>
          <w:tcPr>
            <w:tcW w:w="2943" w:type="dxa"/>
          </w:tcPr>
          <w:p w14:paraId="514836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груза</w:t>
            </w:r>
          </w:p>
        </w:tc>
        <w:tc>
          <w:tcPr>
            <w:tcW w:w="1523" w:type="dxa"/>
          </w:tcPr>
          <w:p w14:paraId="5A56CA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2,86</w:t>
            </w:r>
          </w:p>
        </w:tc>
        <w:tc>
          <w:tcPr>
            <w:tcW w:w="1523" w:type="dxa"/>
          </w:tcPr>
          <w:p w14:paraId="4E9D13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c>
          <w:tcPr>
            <w:tcW w:w="1523" w:type="dxa"/>
          </w:tcPr>
          <w:p w14:paraId="7B0F0D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4,32</w:t>
            </w:r>
          </w:p>
        </w:tc>
      </w:tr>
      <w:tr w:rsidR="004D4663" w:rsidRPr="00070ADE" w14:paraId="3C5CBA08" w14:textId="77777777">
        <w:tc>
          <w:tcPr>
            <w:tcW w:w="2943" w:type="dxa"/>
          </w:tcPr>
          <w:p w14:paraId="4B1F40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Расход топлива с-том на</w:t>
            </w:r>
          </w:p>
        </w:tc>
        <w:tc>
          <w:tcPr>
            <w:tcW w:w="1523" w:type="dxa"/>
          </w:tcPr>
          <w:p w14:paraId="0900D0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7F465D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4978DA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96DADB0" w14:textId="77777777">
        <w:tc>
          <w:tcPr>
            <w:tcW w:w="2943" w:type="dxa"/>
          </w:tcPr>
          <w:p w14:paraId="4C59A5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 км пути при</w:t>
            </w:r>
          </w:p>
        </w:tc>
        <w:tc>
          <w:tcPr>
            <w:tcW w:w="1523" w:type="dxa"/>
          </w:tcPr>
          <w:p w14:paraId="263CEA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0A077F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5CB150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328211A" w14:textId="77777777">
        <w:tc>
          <w:tcPr>
            <w:tcW w:w="2943" w:type="dxa"/>
          </w:tcPr>
          <w:p w14:paraId="1FAD03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эксплуатацион. скорости</w:t>
            </w:r>
          </w:p>
        </w:tc>
        <w:tc>
          <w:tcPr>
            <w:tcW w:w="1523" w:type="dxa"/>
          </w:tcPr>
          <w:p w14:paraId="4B7D07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16984F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6C3909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634593B" w14:textId="77777777">
        <w:tc>
          <w:tcPr>
            <w:tcW w:w="2943" w:type="dxa"/>
          </w:tcPr>
          <w:p w14:paraId="158ABB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w:t>
            </w:r>
          </w:p>
        </w:tc>
        <w:tc>
          <w:tcPr>
            <w:tcW w:w="1523" w:type="dxa"/>
          </w:tcPr>
          <w:p w14:paraId="0654CE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109</w:t>
            </w:r>
          </w:p>
        </w:tc>
        <w:tc>
          <w:tcPr>
            <w:tcW w:w="1523" w:type="dxa"/>
          </w:tcPr>
          <w:p w14:paraId="7E94CB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w:t>
            </w:r>
          </w:p>
        </w:tc>
        <w:tc>
          <w:tcPr>
            <w:tcW w:w="1523" w:type="dxa"/>
          </w:tcPr>
          <w:p w14:paraId="2D5D0F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222</w:t>
            </w:r>
          </w:p>
        </w:tc>
      </w:tr>
      <w:tr w:rsidR="004D4663" w:rsidRPr="00070ADE" w14:paraId="5CEB035D" w14:textId="77777777">
        <w:tc>
          <w:tcPr>
            <w:tcW w:w="2943" w:type="dxa"/>
          </w:tcPr>
          <w:p w14:paraId="01500E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w:t>
            </w:r>
          </w:p>
        </w:tc>
        <w:tc>
          <w:tcPr>
            <w:tcW w:w="1523" w:type="dxa"/>
          </w:tcPr>
          <w:p w14:paraId="77580E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w:t>
            </w:r>
          </w:p>
        </w:tc>
        <w:tc>
          <w:tcPr>
            <w:tcW w:w="1523" w:type="dxa"/>
          </w:tcPr>
          <w:p w14:paraId="0826B9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523" w:type="dxa"/>
          </w:tcPr>
          <w:p w14:paraId="509E1D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BA56751" w14:textId="77777777">
        <w:tc>
          <w:tcPr>
            <w:tcW w:w="2943" w:type="dxa"/>
          </w:tcPr>
          <w:p w14:paraId="3EECED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Расход топлива на одного</w:t>
            </w:r>
          </w:p>
        </w:tc>
        <w:tc>
          <w:tcPr>
            <w:tcW w:w="1523" w:type="dxa"/>
          </w:tcPr>
          <w:p w14:paraId="225516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353C88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6E3F40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AE60A0A" w14:textId="77777777">
        <w:tc>
          <w:tcPr>
            <w:tcW w:w="2943" w:type="dxa"/>
          </w:tcPr>
          <w:p w14:paraId="637951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пассажира на 100 км пути</w:t>
            </w:r>
          </w:p>
        </w:tc>
        <w:tc>
          <w:tcPr>
            <w:tcW w:w="1523" w:type="dxa"/>
          </w:tcPr>
          <w:p w14:paraId="4037F1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3D3FDF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566E27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337CD5B" w14:textId="77777777">
        <w:tc>
          <w:tcPr>
            <w:tcW w:w="2943" w:type="dxa"/>
          </w:tcPr>
          <w:p w14:paraId="461BF8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w:t>
            </w:r>
          </w:p>
        </w:tc>
        <w:tc>
          <w:tcPr>
            <w:tcW w:w="1523" w:type="dxa"/>
          </w:tcPr>
          <w:p w14:paraId="3A1547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4,06</w:t>
            </w:r>
          </w:p>
        </w:tc>
        <w:tc>
          <w:tcPr>
            <w:tcW w:w="1523" w:type="dxa"/>
          </w:tcPr>
          <w:p w14:paraId="5D755E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4,82</w:t>
            </w:r>
          </w:p>
        </w:tc>
        <w:tc>
          <w:tcPr>
            <w:tcW w:w="1523" w:type="dxa"/>
          </w:tcPr>
          <w:p w14:paraId="7AB1D4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018E601" w14:textId="77777777">
        <w:tc>
          <w:tcPr>
            <w:tcW w:w="2943" w:type="dxa"/>
          </w:tcPr>
          <w:p w14:paraId="5ECDE9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w:t>
            </w:r>
          </w:p>
        </w:tc>
        <w:tc>
          <w:tcPr>
            <w:tcW w:w="1523" w:type="dxa"/>
          </w:tcPr>
          <w:p w14:paraId="1C70E0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3,63</w:t>
            </w:r>
          </w:p>
        </w:tc>
        <w:tc>
          <w:tcPr>
            <w:tcW w:w="1523" w:type="dxa"/>
          </w:tcPr>
          <w:p w14:paraId="316047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523" w:type="dxa"/>
          </w:tcPr>
          <w:p w14:paraId="559AD6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E649435" w14:textId="77777777">
        <w:tc>
          <w:tcPr>
            <w:tcW w:w="2943" w:type="dxa"/>
          </w:tcPr>
          <w:p w14:paraId="463C8F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Расход топлива на один</w:t>
            </w:r>
          </w:p>
        </w:tc>
        <w:tc>
          <w:tcPr>
            <w:tcW w:w="1523" w:type="dxa"/>
          </w:tcPr>
          <w:p w14:paraId="1C47D1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0A2F24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4D9814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FCC6D72" w14:textId="77777777">
        <w:tc>
          <w:tcPr>
            <w:tcW w:w="2943" w:type="dxa"/>
          </w:tcPr>
          <w:p w14:paraId="5396AB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кг коммерческого груза</w:t>
            </w:r>
          </w:p>
        </w:tc>
        <w:tc>
          <w:tcPr>
            <w:tcW w:w="1523" w:type="dxa"/>
          </w:tcPr>
          <w:p w14:paraId="562F6D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747651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7A2DF2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AB75E2A" w14:textId="77777777">
        <w:tc>
          <w:tcPr>
            <w:tcW w:w="2943" w:type="dxa"/>
          </w:tcPr>
          <w:p w14:paraId="708F8D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100 км пути</w:t>
            </w:r>
          </w:p>
        </w:tc>
        <w:tc>
          <w:tcPr>
            <w:tcW w:w="1523" w:type="dxa"/>
          </w:tcPr>
          <w:p w14:paraId="4E22EF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2D37FE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581A79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EB7ECAF" w14:textId="77777777">
        <w:tc>
          <w:tcPr>
            <w:tcW w:w="2943" w:type="dxa"/>
          </w:tcPr>
          <w:p w14:paraId="37A42F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w:t>
            </w:r>
          </w:p>
        </w:tc>
        <w:tc>
          <w:tcPr>
            <w:tcW w:w="1523" w:type="dxa"/>
          </w:tcPr>
          <w:p w14:paraId="30C2DF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0,032</w:t>
            </w:r>
          </w:p>
        </w:tc>
        <w:tc>
          <w:tcPr>
            <w:tcW w:w="1523" w:type="dxa"/>
          </w:tcPr>
          <w:p w14:paraId="3EFA2A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0,052</w:t>
            </w:r>
          </w:p>
        </w:tc>
        <w:tc>
          <w:tcPr>
            <w:tcW w:w="1523" w:type="dxa"/>
          </w:tcPr>
          <w:p w14:paraId="1E4240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0,057</w:t>
            </w:r>
          </w:p>
        </w:tc>
      </w:tr>
      <w:tr w:rsidR="004D4663" w:rsidRPr="00070ADE" w14:paraId="1EF3059D" w14:textId="77777777">
        <w:tc>
          <w:tcPr>
            <w:tcW w:w="2943" w:type="dxa"/>
          </w:tcPr>
          <w:p w14:paraId="20FFEC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w:t>
            </w:r>
          </w:p>
        </w:tc>
        <w:tc>
          <w:tcPr>
            <w:tcW w:w="1523" w:type="dxa"/>
          </w:tcPr>
          <w:p w14:paraId="152035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0,028</w:t>
            </w:r>
          </w:p>
        </w:tc>
        <w:tc>
          <w:tcPr>
            <w:tcW w:w="1523" w:type="dxa"/>
          </w:tcPr>
          <w:p w14:paraId="0FA106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3" w:type="dxa"/>
          </w:tcPr>
          <w:p w14:paraId="2F8511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6C2B11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этой таблицы видно, что для перевозки одного кг коммерческого груза требуется металла: для "ДС-3" - 4 кг для "ДС-54" - 4,32 кг и для Ил- АЧ-31 - 2,86 кг.</w:t>
      </w:r>
    </w:p>
    <w:p w14:paraId="4B3FE8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Соответственно расход топлива для перевозки одного кг коммерческого груза на 100 км для "ДС-3" - 52 кг для "ДС-54" - 57 кг и для транспортного Ил- АЧ-31 - 32 кг.</w:t>
      </w:r>
    </w:p>
    <w:p w14:paraId="6DC4BD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Интересно привести в качестве сравнения с этими данными такие же данные по пассажирскому автомобильному транспорту, и пассажирскому железнодорожному транспорту.</w:t>
      </w:r>
    </w:p>
    <w:p w14:paraId="2FA95C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Если взять для примера по автомобильному транспорту автомобиль ЗИС-101, и по железнодорожному транспорту пассажирский поезд с 400 чел. пассажирами в составе 10 классных вагонов, одного вагона ресторана и паровоза с тендером (такой состав весит 600 тонн, расход топлива паровозом, везущим такой состав составляет 3500 кг на 100 км пути в исчислении Донецкого угля).</w:t>
      </w:r>
    </w:p>
    <w:p w14:paraId="0F472D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Сравнительные данные указанных видов транспорта даны в нижеследующей таблице.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992"/>
        <w:gridCol w:w="1134"/>
        <w:gridCol w:w="1129"/>
        <w:gridCol w:w="812"/>
        <w:gridCol w:w="4722"/>
      </w:tblGrid>
      <w:tr w:rsidR="004D4663" w:rsidRPr="00070ADE" w14:paraId="458A1D32" w14:textId="77777777">
        <w:tc>
          <w:tcPr>
            <w:tcW w:w="1668" w:type="dxa"/>
          </w:tcPr>
          <w:p w14:paraId="38AE0E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Вид транспорта</w:t>
            </w:r>
          </w:p>
        </w:tc>
        <w:tc>
          <w:tcPr>
            <w:tcW w:w="992" w:type="dxa"/>
          </w:tcPr>
          <w:p w14:paraId="086826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Число</w:t>
            </w:r>
          </w:p>
        </w:tc>
        <w:tc>
          <w:tcPr>
            <w:tcW w:w="1134" w:type="dxa"/>
          </w:tcPr>
          <w:p w14:paraId="1E9208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w:t>
            </w:r>
          </w:p>
        </w:tc>
        <w:tc>
          <w:tcPr>
            <w:tcW w:w="1129" w:type="dxa"/>
          </w:tcPr>
          <w:p w14:paraId="635DF1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w:t>
            </w:r>
          </w:p>
        </w:tc>
        <w:tc>
          <w:tcPr>
            <w:tcW w:w="812" w:type="dxa"/>
          </w:tcPr>
          <w:p w14:paraId="26064F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Расход</w:t>
            </w:r>
          </w:p>
        </w:tc>
        <w:tc>
          <w:tcPr>
            <w:tcW w:w="4722" w:type="dxa"/>
          </w:tcPr>
          <w:p w14:paraId="5B2214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Расход</w:t>
            </w:r>
          </w:p>
        </w:tc>
      </w:tr>
      <w:tr w:rsidR="004D4663" w:rsidRPr="00070ADE" w14:paraId="42EDB099" w14:textId="77777777">
        <w:tc>
          <w:tcPr>
            <w:tcW w:w="1668" w:type="dxa"/>
          </w:tcPr>
          <w:p w14:paraId="5E8ED1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7F950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пассажир.</w:t>
            </w:r>
          </w:p>
        </w:tc>
        <w:tc>
          <w:tcPr>
            <w:tcW w:w="1134" w:type="dxa"/>
          </w:tcPr>
          <w:p w14:paraId="229042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пустого</w:t>
            </w:r>
          </w:p>
        </w:tc>
        <w:tc>
          <w:tcPr>
            <w:tcW w:w="1129" w:type="dxa"/>
          </w:tcPr>
          <w:p w14:paraId="1360FD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отнесен.</w:t>
            </w:r>
          </w:p>
        </w:tc>
        <w:tc>
          <w:tcPr>
            <w:tcW w:w="812" w:type="dxa"/>
          </w:tcPr>
          <w:p w14:paraId="0AEF0D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топлива</w:t>
            </w:r>
          </w:p>
        </w:tc>
        <w:tc>
          <w:tcPr>
            <w:tcW w:w="4722" w:type="dxa"/>
          </w:tcPr>
          <w:p w14:paraId="0FDD96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топлива</w:t>
            </w:r>
          </w:p>
        </w:tc>
      </w:tr>
      <w:tr w:rsidR="004D4663" w:rsidRPr="00070ADE" w14:paraId="44287EEC" w14:textId="77777777">
        <w:tc>
          <w:tcPr>
            <w:tcW w:w="1668" w:type="dxa"/>
          </w:tcPr>
          <w:p w14:paraId="339CBD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F29D0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24075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9" w:type="dxa"/>
          </w:tcPr>
          <w:p w14:paraId="1DE3D1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w:t>
            </w:r>
          </w:p>
        </w:tc>
        <w:tc>
          <w:tcPr>
            <w:tcW w:w="812" w:type="dxa"/>
          </w:tcPr>
          <w:p w14:paraId="47FA04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100</w:t>
            </w:r>
          </w:p>
        </w:tc>
        <w:tc>
          <w:tcPr>
            <w:tcW w:w="4722" w:type="dxa"/>
          </w:tcPr>
          <w:p w14:paraId="5D814B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100 км</w:t>
            </w:r>
          </w:p>
        </w:tc>
      </w:tr>
      <w:tr w:rsidR="004D4663" w:rsidRPr="00070ADE" w14:paraId="19F0AF8E" w14:textId="77777777">
        <w:tc>
          <w:tcPr>
            <w:tcW w:w="1668" w:type="dxa"/>
          </w:tcPr>
          <w:p w14:paraId="6099F7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DC18C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52AE8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9" w:type="dxa"/>
          </w:tcPr>
          <w:p w14:paraId="6A3297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пассажиру</w:t>
            </w:r>
          </w:p>
        </w:tc>
        <w:tc>
          <w:tcPr>
            <w:tcW w:w="812" w:type="dxa"/>
          </w:tcPr>
          <w:p w14:paraId="31F0D9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 пути</w:t>
            </w:r>
          </w:p>
        </w:tc>
        <w:tc>
          <w:tcPr>
            <w:tcW w:w="4722" w:type="dxa"/>
          </w:tcPr>
          <w:p w14:paraId="7FE547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пути на</w:t>
            </w:r>
          </w:p>
        </w:tc>
      </w:tr>
      <w:tr w:rsidR="004D4663" w:rsidRPr="00070ADE" w14:paraId="7BC01C52" w14:textId="77777777">
        <w:tc>
          <w:tcPr>
            <w:tcW w:w="1668" w:type="dxa"/>
          </w:tcPr>
          <w:p w14:paraId="418BA7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5A721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7BD8A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9" w:type="dxa"/>
          </w:tcPr>
          <w:p w14:paraId="5D6E06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2" w:type="dxa"/>
          </w:tcPr>
          <w:p w14:paraId="6109C3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22" w:type="dxa"/>
          </w:tcPr>
          <w:p w14:paraId="4E9316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пассажира</w:t>
            </w:r>
          </w:p>
        </w:tc>
      </w:tr>
      <w:tr w:rsidR="004D4663" w:rsidRPr="00070ADE" w14:paraId="0CBF9EC3" w14:textId="77777777">
        <w:tc>
          <w:tcPr>
            <w:tcW w:w="1668" w:type="dxa"/>
          </w:tcPr>
          <w:p w14:paraId="140B6E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Ил- АЧ-31</w:t>
            </w:r>
          </w:p>
        </w:tc>
        <w:tc>
          <w:tcPr>
            <w:tcW w:w="992" w:type="dxa"/>
          </w:tcPr>
          <w:p w14:paraId="159DCF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w:t>
            </w:r>
          </w:p>
        </w:tc>
        <w:tc>
          <w:tcPr>
            <w:tcW w:w="1134" w:type="dxa"/>
          </w:tcPr>
          <w:p w14:paraId="6237C4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11550 кг</w:t>
            </w:r>
          </w:p>
        </w:tc>
        <w:tc>
          <w:tcPr>
            <w:tcW w:w="1129" w:type="dxa"/>
          </w:tcPr>
          <w:p w14:paraId="106BF5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422 кг</w:t>
            </w:r>
          </w:p>
        </w:tc>
        <w:tc>
          <w:tcPr>
            <w:tcW w:w="812" w:type="dxa"/>
          </w:tcPr>
          <w:p w14:paraId="18B58B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109 кг</w:t>
            </w:r>
          </w:p>
        </w:tc>
        <w:tc>
          <w:tcPr>
            <w:tcW w:w="4722" w:type="dxa"/>
          </w:tcPr>
          <w:p w14:paraId="07B6D9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4.06 кг/</w:t>
            </w:r>
          </w:p>
        </w:tc>
      </w:tr>
      <w:tr w:rsidR="004D4663" w:rsidRPr="00070ADE" w14:paraId="6CFA59CF" w14:textId="77777777">
        <w:tc>
          <w:tcPr>
            <w:tcW w:w="1668" w:type="dxa"/>
          </w:tcPr>
          <w:p w14:paraId="2E3A5D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02F6B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62FAE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9" w:type="dxa"/>
          </w:tcPr>
          <w:p w14:paraId="6E4B5E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2" w:type="dxa"/>
          </w:tcPr>
          <w:p w14:paraId="5C71A8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22" w:type="dxa"/>
          </w:tcPr>
          <w:p w14:paraId="0F5FE5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40.000 калор</w:t>
            </w:r>
          </w:p>
        </w:tc>
      </w:tr>
      <w:tr w:rsidR="004D4663" w:rsidRPr="00070ADE" w14:paraId="4357D4C5" w14:textId="77777777">
        <w:tc>
          <w:tcPr>
            <w:tcW w:w="1668" w:type="dxa"/>
          </w:tcPr>
          <w:p w14:paraId="5B545D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ЗИС-101</w:t>
            </w:r>
          </w:p>
        </w:tc>
        <w:tc>
          <w:tcPr>
            <w:tcW w:w="992" w:type="dxa"/>
          </w:tcPr>
          <w:p w14:paraId="4E846E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1134" w:type="dxa"/>
          </w:tcPr>
          <w:p w14:paraId="499056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2700 кг</w:t>
            </w:r>
          </w:p>
        </w:tc>
        <w:tc>
          <w:tcPr>
            <w:tcW w:w="1129" w:type="dxa"/>
          </w:tcPr>
          <w:p w14:paraId="415A28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540 кг</w:t>
            </w:r>
          </w:p>
        </w:tc>
        <w:tc>
          <w:tcPr>
            <w:tcW w:w="812" w:type="dxa"/>
          </w:tcPr>
          <w:p w14:paraId="3ADC27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кг</w:t>
            </w:r>
          </w:p>
        </w:tc>
        <w:tc>
          <w:tcPr>
            <w:tcW w:w="4722" w:type="dxa"/>
          </w:tcPr>
          <w:p w14:paraId="2ADB8A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 кг/</w:t>
            </w:r>
          </w:p>
        </w:tc>
      </w:tr>
      <w:tr w:rsidR="004D4663" w:rsidRPr="00070ADE" w14:paraId="042FDBFD" w14:textId="77777777">
        <w:tc>
          <w:tcPr>
            <w:tcW w:w="1668" w:type="dxa"/>
          </w:tcPr>
          <w:p w14:paraId="1B8A72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94D84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DEE47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9" w:type="dxa"/>
          </w:tcPr>
          <w:p w14:paraId="594874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2" w:type="dxa"/>
          </w:tcPr>
          <w:p w14:paraId="4BB4E1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22" w:type="dxa"/>
          </w:tcPr>
          <w:p w14:paraId="75421B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40.000 кал.</w:t>
            </w:r>
          </w:p>
        </w:tc>
      </w:tr>
      <w:tr w:rsidR="004D4663" w:rsidRPr="00070ADE" w14:paraId="0CA73302" w14:textId="77777777">
        <w:tc>
          <w:tcPr>
            <w:tcW w:w="1668" w:type="dxa"/>
          </w:tcPr>
          <w:p w14:paraId="3B172B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Пассажирский</w:t>
            </w:r>
          </w:p>
        </w:tc>
        <w:tc>
          <w:tcPr>
            <w:tcW w:w="992" w:type="dxa"/>
          </w:tcPr>
          <w:p w14:paraId="02F7A4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1752E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9" w:type="dxa"/>
          </w:tcPr>
          <w:p w14:paraId="3784EF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2" w:type="dxa"/>
          </w:tcPr>
          <w:p w14:paraId="01F4BC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22" w:type="dxa"/>
          </w:tcPr>
          <w:p w14:paraId="24F601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B908799" w14:textId="77777777">
        <w:tc>
          <w:tcPr>
            <w:tcW w:w="1668" w:type="dxa"/>
          </w:tcPr>
          <w:p w14:paraId="055C8C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поезд</w:t>
            </w:r>
          </w:p>
        </w:tc>
        <w:tc>
          <w:tcPr>
            <w:tcW w:w="992" w:type="dxa"/>
          </w:tcPr>
          <w:p w14:paraId="4A8A9E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tc>
        <w:tc>
          <w:tcPr>
            <w:tcW w:w="1134" w:type="dxa"/>
          </w:tcPr>
          <w:p w14:paraId="42E5E0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600000 кг</w:t>
            </w:r>
          </w:p>
        </w:tc>
        <w:tc>
          <w:tcPr>
            <w:tcW w:w="1129" w:type="dxa"/>
          </w:tcPr>
          <w:p w14:paraId="07EF0E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 кг</w:t>
            </w:r>
          </w:p>
        </w:tc>
        <w:tc>
          <w:tcPr>
            <w:tcW w:w="812" w:type="dxa"/>
          </w:tcPr>
          <w:p w14:paraId="79012E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3500 кг</w:t>
            </w:r>
          </w:p>
        </w:tc>
        <w:tc>
          <w:tcPr>
            <w:tcW w:w="4722" w:type="dxa"/>
          </w:tcPr>
          <w:p w14:paraId="3D6A21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8.75 кг/</w:t>
            </w:r>
          </w:p>
        </w:tc>
      </w:tr>
      <w:tr w:rsidR="004D4663" w:rsidRPr="00070ADE" w14:paraId="52D953C4" w14:textId="77777777">
        <w:tc>
          <w:tcPr>
            <w:tcW w:w="1668" w:type="dxa"/>
          </w:tcPr>
          <w:p w14:paraId="62AEB2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31121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3395B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9" w:type="dxa"/>
          </w:tcPr>
          <w:p w14:paraId="6A7FD2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2" w:type="dxa"/>
          </w:tcPr>
          <w:p w14:paraId="44B55E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22" w:type="dxa"/>
          </w:tcPr>
          <w:p w14:paraId="7CF80B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57.275 кал.</w:t>
            </w:r>
          </w:p>
        </w:tc>
      </w:tr>
    </w:tbl>
    <w:p w14:paraId="766F63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приведенной таблицы следует, что по двум из основных экономических показателей авиационный транспорт является наиболее дешевым видом транспорта, хотя распространенным является мнение, что авиационный пассажирский транспорт является одним из самых дорогих видов транспорта.</w:t>
      </w:r>
    </w:p>
    <w:p w14:paraId="2A4E51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сравнении экономичности авиационного пассажирского транспорта с пассажирским железнодорожным транспортом необходимо учесть еще одну очень важную данную.</w:t>
      </w:r>
    </w:p>
    <w:p w14:paraId="1997EF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Предположим, что из Москвы в Иркутск отправляются одновременно пассажирский поезд (в составе указанном выше) с 400 пассажирами и 15 транспортных пассажирских самолетов с 400 пассажирами.</w:t>
      </w:r>
    </w:p>
    <w:p w14:paraId="74C87D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Пассажирский поезд прибудет в Иркутск по истечении 6-ти суток, пассажирские транспортные самолеты прибудут в Иркутск по истечении одних суток.</w:t>
      </w:r>
    </w:p>
    <w:p w14:paraId="4A7B5A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400 человек пассажиров пассажирского поезда потратят непроизводительно 12800 рабочих часов.</w:t>
      </w:r>
    </w:p>
    <w:p w14:paraId="793F1F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перевезет 27 человек пассажиров сэкономит 864 часа, что составит 1/20 затраты рабочего времени на постройку самолета с моторами и со всем оборудованием. Десять таких рейсов Москва-Иркутск и обратно окупают полностью затрату рабочих часов на постройку самолета.</w:t>
      </w:r>
    </w:p>
    <w:p w14:paraId="059BEF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w:t>
      </w:r>
    </w:p>
    <w:p w14:paraId="4A39CF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основных данных транспортного самолета Ил с дизель-мотором АЧ31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5EC4DF25" w14:textId="77777777">
        <w:tc>
          <w:tcPr>
            <w:tcW w:w="5636" w:type="dxa"/>
          </w:tcPr>
          <w:p w14:paraId="26D35A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15364A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Транспортный</w:t>
            </w:r>
          </w:p>
        </w:tc>
      </w:tr>
      <w:tr w:rsidR="004D4663" w:rsidRPr="00070ADE" w14:paraId="0FD5ACA9" w14:textId="77777777">
        <w:tc>
          <w:tcPr>
            <w:tcW w:w="5636" w:type="dxa"/>
          </w:tcPr>
          <w:p w14:paraId="41B16E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4EE059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 АЧ31</w:t>
            </w:r>
          </w:p>
        </w:tc>
      </w:tr>
      <w:tr w:rsidR="004D4663" w:rsidRPr="00070ADE" w14:paraId="4013482D" w14:textId="77777777">
        <w:tc>
          <w:tcPr>
            <w:tcW w:w="5636" w:type="dxa"/>
          </w:tcPr>
          <w:p w14:paraId="134D953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и количество</w:t>
            </w:r>
          </w:p>
        </w:tc>
        <w:tc>
          <w:tcPr>
            <w:tcW w:w="5636" w:type="dxa"/>
          </w:tcPr>
          <w:p w14:paraId="2262B7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4A9E989" w14:textId="77777777">
        <w:tc>
          <w:tcPr>
            <w:tcW w:w="5636" w:type="dxa"/>
          </w:tcPr>
          <w:p w14:paraId="3EC4C3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моторов</w:t>
            </w:r>
          </w:p>
        </w:tc>
        <w:tc>
          <w:tcPr>
            <w:tcW w:w="5636" w:type="dxa"/>
          </w:tcPr>
          <w:p w14:paraId="1D91FD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АЧ31 2 шт.</w:t>
            </w:r>
          </w:p>
        </w:tc>
      </w:tr>
      <w:tr w:rsidR="004D4663" w:rsidRPr="00070ADE" w14:paraId="49A52723" w14:textId="77777777">
        <w:tc>
          <w:tcPr>
            <w:tcW w:w="5636" w:type="dxa"/>
          </w:tcPr>
          <w:p w14:paraId="0570E5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Мощность моторов</w:t>
            </w:r>
          </w:p>
        </w:tc>
        <w:tc>
          <w:tcPr>
            <w:tcW w:w="5636" w:type="dxa"/>
          </w:tcPr>
          <w:p w14:paraId="572F38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B516D4F" w14:textId="77777777">
        <w:tc>
          <w:tcPr>
            <w:tcW w:w="5636" w:type="dxa"/>
          </w:tcPr>
          <w:p w14:paraId="5FDB54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(номин.) на высоте</w:t>
            </w:r>
          </w:p>
        </w:tc>
        <w:tc>
          <w:tcPr>
            <w:tcW w:w="5636" w:type="dxa"/>
          </w:tcPr>
          <w:p w14:paraId="7C33D3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3000/6000</w:t>
            </w:r>
          </w:p>
        </w:tc>
      </w:tr>
      <w:tr w:rsidR="004D4663" w:rsidRPr="00070ADE" w14:paraId="3FA490A5" w14:textId="77777777">
        <w:tc>
          <w:tcPr>
            <w:tcW w:w="5636" w:type="dxa"/>
          </w:tcPr>
          <w:p w14:paraId="2DDB6A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w:t>
            </w:r>
          </w:p>
        </w:tc>
        <w:tc>
          <w:tcPr>
            <w:tcW w:w="5636" w:type="dxa"/>
          </w:tcPr>
          <w:p w14:paraId="55808C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52AA687" w14:textId="77777777">
        <w:tc>
          <w:tcPr>
            <w:tcW w:w="5636" w:type="dxa"/>
          </w:tcPr>
          <w:p w14:paraId="274DDD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пассажирский</w:t>
            </w:r>
          </w:p>
        </w:tc>
        <w:tc>
          <w:tcPr>
            <w:tcW w:w="5636" w:type="dxa"/>
          </w:tcPr>
          <w:p w14:paraId="712B4C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16000</w:t>
            </w:r>
          </w:p>
        </w:tc>
      </w:tr>
      <w:tr w:rsidR="004D4663" w:rsidRPr="00070ADE" w14:paraId="18CE1F4A" w14:textId="77777777">
        <w:tc>
          <w:tcPr>
            <w:tcW w:w="5636" w:type="dxa"/>
          </w:tcPr>
          <w:p w14:paraId="70435C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транспортный</w:t>
            </w:r>
          </w:p>
        </w:tc>
        <w:tc>
          <w:tcPr>
            <w:tcW w:w="5636" w:type="dxa"/>
          </w:tcPr>
          <w:p w14:paraId="634994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16500</w:t>
            </w:r>
          </w:p>
        </w:tc>
      </w:tr>
      <w:tr w:rsidR="004D4663" w:rsidRPr="00070ADE" w14:paraId="2F3709E8" w14:textId="77777777">
        <w:tc>
          <w:tcPr>
            <w:tcW w:w="5636" w:type="dxa"/>
          </w:tcPr>
          <w:p w14:paraId="369309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самолета</w:t>
            </w:r>
          </w:p>
        </w:tc>
        <w:tc>
          <w:tcPr>
            <w:tcW w:w="5636" w:type="dxa"/>
          </w:tcPr>
          <w:p w14:paraId="41DBFA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4AB0949" w14:textId="77777777">
        <w:tc>
          <w:tcPr>
            <w:tcW w:w="5636" w:type="dxa"/>
          </w:tcPr>
          <w:p w14:paraId="6D83C3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пассажирский</w:t>
            </w:r>
          </w:p>
        </w:tc>
        <w:tc>
          <w:tcPr>
            <w:tcW w:w="5636" w:type="dxa"/>
          </w:tcPr>
          <w:p w14:paraId="72F5A4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11550</w:t>
            </w:r>
          </w:p>
        </w:tc>
      </w:tr>
      <w:tr w:rsidR="004D4663" w:rsidRPr="00070ADE" w14:paraId="066B424C" w14:textId="77777777">
        <w:tc>
          <w:tcPr>
            <w:tcW w:w="5636" w:type="dxa"/>
          </w:tcPr>
          <w:p w14:paraId="40900D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транспортный</w:t>
            </w:r>
          </w:p>
        </w:tc>
        <w:tc>
          <w:tcPr>
            <w:tcW w:w="5636" w:type="dxa"/>
          </w:tcPr>
          <w:p w14:paraId="717090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10930</w:t>
            </w:r>
          </w:p>
        </w:tc>
      </w:tr>
      <w:tr w:rsidR="004D4663" w:rsidRPr="00070ADE" w14:paraId="00D2ECF1" w14:textId="77777777">
        <w:tc>
          <w:tcPr>
            <w:tcW w:w="5636" w:type="dxa"/>
          </w:tcPr>
          <w:p w14:paraId="5BDB24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топлива</w:t>
            </w:r>
          </w:p>
        </w:tc>
        <w:tc>
          <w:tcPr>
            <w:tcW w:w="5636" w:type="dxa"/>
          </w:tcPr>
          <w:p w14:paraId="0110E9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w:t>
            </w:r>
          </w:p>
        </w:tc>
      </w:tr>
      <w:tr w:rsidR="004D4663" w:rsidRPr="00070ADE" w14:paraId="7373816A" w14:textId="77777777">
        <w:tc>
          <w:tcPr>
            <w:tcW w:w="5636" w:type="dxa"/>
          </w:tcPr>
          <w:p w14:paraId="36D895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Коммерческая нагрузка</w:t>
            </w:r>
          </w:p>
        </w:tc>
        <w:tc>
          <w:tcPr>
            <w:tcW w:w="5636" w:type="dxa"/>
          </w:tcPr>
          <w:p w14:paraId="2DE634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3500</w:t>
            </w:r>
          </w:p>
        </w:tc>
      </w:tr>
      <w:tr w:rsidR="004D4663" w:rsidRPr="00070ADE" w14:paraId="7813C817" w14:textId="77777777">
        <w:tc>
          <w:tcPr>
            <w:tcW w:w="5636" w:type="dxa"/>
          </w:tcPr>
          <w:p w14:paraId="3138B1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или</w:t>
            </w:r>
          </w:p>
        </w:tc>
        <w:tc>
          <w:tcPr>
            <w:tcW w:w="5636" w:type="dxa"/>
          </w:tcPr>
          <w:p w14:paraId="66EEF4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981019C" w14:textId="77777777">
        <w:tc>
          <w:tcPr>
            <w:tcW w:w="5636" w:type="dxa"/>
          </w:tcPr>
          <w:p w14:paraId="29F012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Число пассажиров</w:t>
            </w:r>
          </w:p>
        </w:tc>
        <w:tc>
          <w:tcPr>
            <w:tcW w:w="5636" w:type="dxa"/>
          </w:tcPr>
          <w:p w14:paraId="7A06FF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w:t>
            </w:r>
          </w:p>
        </w:tc>
      </w:tr>
      <w:tr w:rsidR="004D4663" w:rsidRPr="00070ADE" w14:paraId="6CA3928C" w14:textId="77777777">
        <w:tc>
          <w:tcPr>
            <w:tcW w:w="5636" w:type="dxa"/>
          </w:tcPr>
          <w:p w14:paraId="6527AC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w:t>
            </w:r>
          </w:p>
        </w:tc>
        <w:tc>
          <w:tcPr>
            <w:tcW w:w="5636" w:type="dxa"/>
          </w:tcPr>
          <w:p w14:paraId="3E1CA9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C675DF4" w14:textId="77777777">
        <w:tc>
          <w:tcPr>
            <w:tcW w:w="5636" w:type="dxa"/>
          </w:tcPr>
          <w:p w14:paraId="5A39EC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w:t>
            </w:r>
          </w:p>
        </w:tc>
        <w:tc>
          <w:tcPr>
            <w:tcW w:w="5636" w:type="dxa"/>
          </w:tcPr>
          <w:p w14:paraId="7B37F2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390</w:t>
            </w:r>
          </w:p>
        </w:tc>
      </w:tr>
      <w:tr w:rsidR="004D4663" w:rsidRPr="00070ADE" w14:paraId="561208AF" w14:textId="77777777">
        <w:tc>
          <w:tcPr>
            <w:tcW w:w="5636" w:type="dxa"/>
          </w:tcPr>
          <w:p w14:paraId="148C1C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w:t>
            </w:r>
          </w:p>
        </w:tc>
        <w:tc>
          <w:tcPr>
            <w:tcW w:w="5636" w:type="dxa"/>
          </w:tcPr>
          <w:p w14:paraId="5E35EE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470/6000</w:t>
            </w:r>
          </w:p>
        </w:tc>
      </w:tr>
      <w:tr w:rsidR="004D4663" w:rsidRPr="00070ADE" w14:paraId="18207E52" w14:textId="77777777">
        <w:tc>
          <w:tcPr>
            <w:tcW w:w="5636" w:type="dxa"/>
          </w:tcPr>
          <w:p w14:paraId="0CE417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Путевая скорость</w:t>
            </w:r>
          </w:p>
        </w:tc>
        <w:tc>
          <w:tcPr>
            <w:tcW w:w="5636" w:type="dxa"/>
          </w:tcPr>
          <w:p w14:paraId="256112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2190A3E" w14:textId="77777777">
        <w:tc>
          <w:tcPr>
            <w:tcW w:w="5636" w:type="dxa"/>
          </w:tcPr>
          <w:p w14:paraId="319AD0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w:t>
            </w:r>
          </w:p>
        </w:tc>
        <w:tc>
          <w:tcPr>
            <w:tcW w:w="5636" w:type="dxa"/>
          </w:tcPr>
          <w:p w14:paraId="1B3602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325</w:t>
            </w:r>
          </w:p>
        </w:tc>
      </w:tr>
      <w:tr w:rsidR="004D4663" w:rsidRPr="00070ADE" w14:paraId="22C23BAF" w14:textId="77777777">
        <w:tc>
          <w:tcPr>
            <w:tcW w:w="5636" w:type="dxa"/>
          </w:tcPr>
          <w:p w14:paraId="15AAAF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w:t>
            </w:r>
          </w:p>
        </w:tc>
        <w:tc>
          <w:tcPr>
            <w:tcW w:w="5636" w:type="dxa"/>
          </w:tcPr>
          <w:p w14:paraId="501077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400/6000</w:t>
            </w:r>
          </w:p>
        </w:tc>
      </w:tr>
      <w:tr w:rsidR="004D4663" w:rsidRPr="00070ADE" w14:paraId="576D5143" w14:textId="77777777">
        <w:tc>
          <w:tcPr>
            <w:tcW w:w="5636" w:type="dxa"/>
          </w:tcPr>
          <w:p w14:paraId="10786D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самолета</w:t>
            </w:r>
          </w:p>
        </w:tc>
        <w:tc>
          <w:tcPr>
            <w:tcW w:w="5636" w:type="dxa"/>
          </w:tcPr>
          <w:p w14:paraId="76FCB3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0E60CCE" w14:textId="77777777">
        <w:tc>
          <w:tcPr>
            <w:tcW w:w="5636" w:type="dxa"/>
          </w:tcPr>
          <w:p w14:paraId="17D34D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w:t>
            </w:r>
          </w:p>
        </w:tc>
        <w:tc>
          <w:tcPr>
            <w:tcW w:w="5636" w:type="dxa"/>
          </w:tcPr>
          <w:p w14:paraId="205FA9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1250</w:t>
            </w:r>
          </w:p>
        </w:tc>
      </w:tr>
      <w:tr w:rsidR="004D4663" w:rsidRPr="00070ADE" w14:paraId="054C64B6" w14:textId="77777777">
        <w:tc>
          <w:tcPr>
            <w:tcW w:w="5636" w:type="dxa"/>
          </w:tcPr>
          <w:p w14:paraId="6485F8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w:t>
            </w:r>
          </w:p>
        </w:tc>
        <w:tc>
          <w:tcPr>
            <w:tcW w:w="5636" w:type="dxa"/>
          </w:tcPr>
          <w:p w14:paraId="029E13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1400/6000</w:t>
            </w:r>
          </w:p>
        </w:tc>
      </w:tr>
      <w:tr w:rsidR="004D4663" w:rsidRPr="00070ADE" w14:paraId="54E83F89" w14:textId="77777777">
        <w:tc>
          <w:tcPr>
            <w:tcW w:w="5636" w:type="dxa"/>
          </w:tcPr>
          <w:p w14:paraId="5EC04E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Скороподъемность Н=0</w:t>
            </w:r>
          </w:p>
        </w:tc>
        <w:tc>
          <w:tcPr>
            <w:tcW w:w="5636" w:type="dxa"/>
          </w:tcPr>
          <w:p w14:paraId="12A166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w:t>
            </w:r>
          </w:p>
        </w:tc>
      </w:tr>
      <w:tr w:rsidR="004D4663" w:rsidRPr="00070ADE" w14:paraId="5BB1AC53" w14:textId="77777777">
        <w:tc>
          <w:tcPr>
            <w:tcW w:w="5636" w:type="dxa"/>
          </w:tcPr>
          <w:p w14:paraId="6CDA3E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Потолок</w:t>
            </w:r>
          </w:p>
        </w:tc>
        <w:tc>
          <w:tcPr>
            <w:tcW w:w="5636" w:type="dxa"/>
          </w:tcPr>
          <w:p w14:paraId="0B9B30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9000</w:t>
            </w:r>
          </w:p>
        </w:tc>
      </w:tr>
    </w:tbl>
    <w:p w14:paraId="4A2CC2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Рабочие чертежи первого опытного самолета без герметической кабины будут готовы к сдаче на производство 1-го июля 1944 года.</w:t>
      </w:r>
    </w:p>
    <w:p w14:paraId="321C19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Рабочие чертежи с герметической кабиной будут готовы к сдаче на производство 1 августа 1944 г (2562,200).</w:t>
      </w:r>
    </w:p>
    <w:p w14:paraId="7B169B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48EED1" w14:textId="77777777" w:rsidR="002F4B64" w:rsidRPr="00070ADE" w:rsidRDefault="002F4B64" w:rsidP="00B56F90">
      <w:pPr>
        <w:pStyle w:val="a3"/>
        <w:rPr>
          <w:color w:val="000000" w:themeColor="text1"/>
          <w:lang w:val="ru-RU"/>
        </w:rPr>
      </w:pPr>
      <w:r w:rsidRPr="00070ADE">
        <w:rPr>
          <w:color w:val="000000" w:themeColor="text1"/>
          <w:lang w:val="ru-RU"/>
        </w:rPr>
        <w:t>12 апреля 1944 г., за год до оконча</w:t>
      </w:r>
      <w:r w:rsidRPr="00070ADE">
        <w:rPr>
          <w:color w:val="000000" w:themeColor="text1"/>
          <w:lang w:val="ru-RU"/>
        </w:rPr>
        <w:softHyphen/>
        <w:t>ния</w:t>
      </w:r>
      <w:r w:rsidRPr="00070ADE">
        <w:rPr>
          <w:rStyle w:val="251"/>
          <w:rFonts w:ascii="Times New Roman" w:hAnsi="Times New Roman" w:cs="Times New Roman"/>
          <w:b w:val="0"/>
          <w:color w:val="000000" w:themeColor="text1"/>
          <w:sz w:val="16"/>
          <w:szCs w:val="16"/>
          <w:lang w:val="ru-RU"/>
        </w:rPr>
        <w:t xml:space="preserve"> войны,</w:t>
      </w:r>
      <w:r w:rsidRPr="00070ADE">
        <w:rPr>
          <w:color w:val="000000" w:themeColor="text1"/>
          <w:lang w:val="ru-RU"/>
        </w:rPr>
        <w:t xml:space="preserve"> С.В. Ильюшин направил в </w:t>
      </w:r>
      <w:r w:rsidRPr="00070ADE">
        <w:rPr>
          <w:rStyle w:val="9100"/>
          <w:rFonts w:ascii="Times New Roman" w:hAnsi="Times New Roman" w:cs="Times New Roman"/>
          <w:b w:val="0"/>
          <w:color w:val="000000" w:themeColor="text1"/>
          <w:spacing w:val="0"/>
          <w:sz w:val="16"/>
          <w:szCs w:val="16"/>
          <w:lang w:val="ru-RU"/>
        </w:rPr>
        <w:t>НКАП,</w:t>
      </w:r>
      <w:r w:rsidRPr="00070ADE">
        <w:rPr>
          <w:color w:val="000000" w:themeColor="text1"/>
          <w:lang w:val="ru-RU"/>
        </w:rPr>
        <w:t xml:space="preserve"> НИИ ВВС и ГУ ГВФ предложение </w:t>
      </w:r>
      <w:r w:rsidRPr="00070ADE">
        <w:rPr>
          <w:rStyle w:val="9100"/>
          <w:rFonts w:ascii="Times New Roman" w:hAnsi="Times New Roman" w:cs="Times New Roman"/>
          <w:b w:val="0"/>
          <w:color w:val="000000" w:themeColor="text1"/>
          <w:spacing w:val="0"/>
          <w:sz w:val="16"/>
          <w:szCs w:val="16"/>
          <w:lang w:val="ru-RU"/>
        </w:rPr>
        <w:t>о</w:t>
      </w:r>
      <w:r w:rsidRPr="00070ADE">
        <w:rPr>
          <w:rStyle w:val="251"/>
          <w:rFonts w:ascii="Times New Roman" w:hAnsi="Times New Roman" w:cs="Times New Roman"/>
          <w:b w:val="0"/>
          <w:color w:val="000000" w:themeColor="text1"/>
          <w:sz w:val="16"/>
          <w:szCs w:val="16"/>
          <w:lang w:val="ru-RU"/>
        </w:rPr>
        <w:t xml:space="preserve"> создании</w:t>
      </w:r>
      <w:r w:rsidRPr="00070ADE">
        <w:rPr>
          <w:color w:val="000000" w:themeColor="text1"/>
          <w:lang w:val="ru-RU"/>
        </w:rPr>
        <w:t xml:space="preserve"> нового транспортного самолета,</w:t>
      </w:r>
      <w:r w:rsidRPr="00070ADE">
        <w:rPr>
          <w:rStyle w:val="251"/>
          <w:rFonts w:ascii="Times New Roman" w:hAnsi="Times New Roman" w:cs="Times New Roman"/>
          <w:b w:val="0"/>
          <w:color w:val="000000" w:themeColor="text1"/>
          <w:sz w:val="16"/>
          <w:szCs w:val="16"/>
          <w:lang w:val="ru-RU"/>
        </w:rPr>
        <w:t xml:space="preserve"> пока</w:t>
      </w:r>
      <w:r w:rsidRPr="00070ADE">
        <w:rPr>
          <w:color w:val="000000" w:themeColor="text1"/>
          <w:lang w:val="ru-RU"/>
        </w:rPr>
        <w:t xml:space="preserve"> еще имевшего обозначение </w:t>
      </w:r>
      <w:r w:rsidRPr="00070ADE">
        <w:rPr>
          <w:rStyle w:val="9100"/>
          <w:rFonts w:ascii="Times New Roman" w:hAnsi="Times New Roman" w:cs="Times New Roman"/>
          <w:b w:val="0"/>
          <w:color w:val="000000" w:themeColor="text1"/>
          <w:spacing w:val="0"/>
          <w:sz w:val="16"/>
          <w:szCs w:val="16"/>
          <w:lang w:val="ru-RU"/>
        </w:rPr>
        <w:t>Ил-АЧ</w:t>
      </w:r>
      <w:r w:rsidRPr="00070ADE">
        <w:rPr>
          <w:color w:val="000000" w:themeColor="text1"/>
          <w:lang w:val="ru-RU"/>
        </w:rPr>
        <w:t>-31. Предлагаемая машина имела герметичную кабину на 27 пассажирских мест</w:t>
      </w:r>
      <w:r w:rsidRPr="00070ADE">
        <w:rPr>
          <w:rStyle w:val="9100"/>
          <w:rFonts w:ascii="Times New Roman" w:hAnsi="Times New Roman" w:cs="Times New Roman"/>
          <w:b w:val="0"/>
          <w:color w:val="000000" w:themeColor="text1"/>
          <w:spacing w:val="0"/>
          <w:sz w:val="16"/>
          <w:szCs w:val="16"/>
          <w:lang w:val="ru-RU"/>
        </w:rPr>
        <w:t>е.</w:t>
      </w:r>
      <w:r w:rsidRPr="00070ADE">
        <w:rPr>
          <w:rStyle w:val="251"/>
          <w:rFonts w:ascii="Times New Roman" w:hAnsi="Times New Roman" w:cs="Times New Roman"/>
          <w:b w:val="0"/>
          <w:color w:val="000000" w:themeColor="text1"/>
          <w:sz w:val="16"/>
          <w:szCs w:val="16"/>
          <w:lang w:val="ru-RU"/>
        </w:rPr>
        <w:t xml:space="preserve"> На ней</w:t>
      </w:r>
      <w:r w:rsidRPr="00070ADE">
        <w:rPr>
          <w:color w:val="000000" w:themeColor="text1"/>
          <w:lang w:val="ru-RU"/>
        </w:rPr>
        <w:t xml:space="preserve"> было установлено два дизельных двигателя с водяным охлаждением АМ-31 конструкции А. Д. Чаромского мощностью 1500 л.с. 6000 м. Масса пустого са- </w:t>
      </w:r>
      <w:r w:rsidRPr="00070ADE">
        <w:rPr>
          <w:rStyle w:val="9100"/>
          <w:rFonts w:ascii="Times New Roman" w:hAnsi="Times New Roman" w:cs="Times New Roman"/>
          <w:b w:val="0"/>
          <w:color w:val="000000" w:themeColor="text1"/>
          <w:spacing w:val="0"/>
          <w:sz w:val="16"/>
          <w:szCs w:val="16"/>
          <w:lang w:val="ru-RU"/>
        </w:rPr>
        <w:t>в</w:t>
      </w:r>
      <w:r w:rsidRPr="00070ADE">
        <w:rPr>
          <w:color w:val="000000" w:themeColor="text1"/>
          <w:lang w:val="ru-RU"/>
        </w:rPr>
        <w:t xml:space="preserve"> транспортном варианте была </w:t>
      </w:r>
      <w:r w:rsidRPr="00070ADE">
        <w:rPr>
          <w:rStyle w:val="251"/>
          <w:rFonts w:ascii="Times New Roman" w:hAnsi="Times New Roman" w:cs="Times New Roman"/>
          <w:b w:val="0"/>
          <w:color w:val="000000" w:themeColor="text1"/>
          <w:sz w:val="16"/>
          <w:szCs w:val="16"/>
          <w:lang w:val="ru-RU"/>
        </w:rPr>
        <w:t>г, а в</w:t>
      </w:r>
      <w:r w:rsidRPr="00070ADE">
        <w:rPr>
          <w:color w:val="000000" w:themeColor="text1"/>
          <w:lang w:val="ru-RU"/>
        </w:rPr>
        <w:t xml:space="preserve"> пассажирском - 11550 кг.</w:t>
      </w:r>
    </w:p>
    <w:p w14:paraId="61FE8E95" w14:textId="77777777" w:rsidR="002F4B64" w:rsidRPr="00070ADE" w:rsidRDefault="002F4B64" w:rsidP="00B56F90">
      <w:pPr>
        <w:pStyle w:val="a3"/>
        <w:rPr>
          <w:color w:val="000000" w:themeColor="text1"/>
          <w:lang w:val="ru-RU"/>
        </w:rPr>
      </w:pPr>
      <w:r w:rsidRPr="00070ADE">
        <w:rPr>
          <w:color w:val="000000" w:themeColor="text1"/>
          <w:lang w:val="ru-RU"/>
        </w:rPr>
        <w:t>Полетная масса соответственно состав</w:t>
      </w:r>
      <w:r w:rsidRPr="00070ADE">
        <w:rPr>
          <w:color w:val="000000" w:themeColor="text1"/>
          <w:lang w:val="ru-RU"/>
        </w:rPr>
        <w:softHyphen/>
        <w:t>ляла 16500 кг и 16000 кг. Перевозимая коммерческая нагрузка равнялась 3500 кг или в пассажирском варианте 27 че</w:t>
      </w:r>
      <w:r w:rsidRPr="00070ADE">
        <w:rPr>
          <w:color w:val="000000" w:themeColor="text1"/>
          <w:lang w:val="ru-RU"/>
        </w:rPr>
        <w:softHyphen/>
        <w:t>ловек. Самолет мог у земли развивать максимальную скорость 390 км/ч а на высоте 6000 м - 470 км/ч. Его путевая скорость соответственно была 325 км/ч и 400 км/ч. При полете на высоте 6000 м самолет мог преодолеть 1400 км, а у земли - 1250 км. Его потолок равнялся 9000 м. Срок передачи на производство рабочих чертежей первого опытного самолета без герметической кабины гарантировался 1 июля 1944 г., а рабо</w:t>
      </w:r>
      <w:r w:rsidRPr="00070ADE">
        <w:rPr>
          <w:color w:val="000000" w:themeColor="text1"/>
          <w:lang w:val="ru-RU"/>
        </w:rPr>
        <w:softHyphen/>
        <w:t>чих чертежей с герметичной кабиной - 1 августа того же года.</w:t>
      </w:r>
    </w:p>
    <w:p w14:paraId="7DB0CEFB" w14:textId="77777777" w:rsidR="002F4B64" w:rsidRPr="00070ADE" w:rsidRDefault="002F4B64" w:rsidP="00B56F90">
      <w:pPr>
        <w:pStyle w:val="a3"/>
        <w:rPr>
          <w:color w:val="000000" w:themeColor="text1"/>
          <w:lang w:val="ru-RU"/>
        </w:rPr>
      </w:pPr>
      <w:r w:rsidRPr="00070ADE">
        <w:rPr>
          <w:color w:val="000000" w:themeColor="text1"/>
          <w:lang w:val="ru-RU"/>
        </w:rPr>
        <w:t>В пояснительной записке главный конструктор сообщал, что нет необходи</w:t>
      </w:r>
      <w:r w:rsidRPr="00070ADE">
        <w:rPr>
          <w:color w:val="000000" w:themeColor="text1"/>
          <w:lang w:val="ru-RU"/>
        </w:rPr>
        <w:softHyphen/>
        <w:t>мости доказывать, что в послевоенный период транспортная авиация приобре</w:t>
      </w:r>
      <w:r w:rsidRPr="00070ADE">
        <w:rPr>
          <w:color w:val="000000" w:themeColor="text1"/>
          <w:lang w:val="ru-RU"/>
        </w:rPr>
        <w:softHyphen/>
        <w:t>тет огромное народнохозяйственное значение. Совершенно очевидно, что наличие массовой транспортной ави</w:t>
      </w:r>
      <w:r w:rsidRPr="00070ADE">
        <w:rPr>
          <w:color w:val="000000" w:themeColor="text1"/>
          <w:lang w:val="ru-RU"/>
        </w:rPr>
        <w:softHyphen/>
        <w:t>ации - это, с одной стороны, наличие массовой бомбардировочной авиации и, с другой, наличие производственной базы для всех остальных видов авиации.</w:t>
      </w:r>
    </w:p>
    <w:p w14:paraId="03015FC2" w14:textId="77777777" w:rsidR="002F4B64" w:rsidRPr="00070ADE" w:rsidRDefault="002F4B64" w:rsidP="00B56F90">
      <w:pPr>
        <w:pStyle w:val="1010"/>
        <w:shd w:val="clear" w:color="auto" w:fill="auto"/>
        <w:spacing w:line="240" w:lineRule="auto"/>
        <w:ind w:firstLine="0"/>
        <w:rPr>
          <w:rFonts w:ascii="Times New Roman" w:hAnsi="Times New Roman" w:cs="Times New Roman"/>
          <w:i w:val="0"/>
          <w:color w:val="000000" w:themeColor="text1"/>
          <w:sz w:val="16"/>
          <w:szCs w:val="16"/>
        </w:rPr>
      </w:pPr>
      <w:r w:rsidRPr="00070ADE">
        <w:rPr>
          <w:rStyle w:val="1013"/>
          <w:rFonts w:ascii="Times New Roman" w:eastAsia="Arial Unicode MS" w:hAnsi="Times New Roman" w:cs="Times New Roman"/>
          <w:i w:val="0"/>
          <w:iCs w:val="0"/>
          <w:color w:val="000000" w:themeColor="text1"/>
          <w:sz w:val="16"/>
          <w:szCs w:val="16"/>
        </w:rPr>
        <w:t>Касаясь вопроса о выборе самолета, необходимого для послевоенной гра</w:t>
      </w:r>
      <w:r w:rsidRPr="00070ADE">
        <w:rPr>
          <w:rStyle w:val="1013"/>
          <w:rFonts w:ascii="Times New Roman" w:eastAsia="Arial Unicode MS" w:hAnsi="Times New Roman" w:cs="Times New Roman"/>
          <w:i w:val="0"/>
          <w:iCs w:val="0"/>
          <w:color w:val="000000" w:themeColor="text1"/>
          <w:sz w:val="16"/>
          <w:szCs w:val="16"/>
        </w:rPr>
        <w:softHyphen/>
        <w:t>жданской авиации страны, главный конструктор высказал следующее:</w:t>
      </w:r>
      <w:r w:rsidRPr="00070ADE">
        <w:rPr>
          <w:rFonts w:ascii="Times New Roman" w:hAnsi="Times New Roman" w:cs="Times New Roman"/>
          <w:i w:val="0"/>
          <w:color w:val="000000" w:themeColor="text1"/>
          <w:sz w:val="16"/>
          <w:szCs w:val="16"/>
        </w:rPr>
        <w:t xml:space="preserve"> «За период войны мы особенно сильно ощу</w:t>
      </w:r>
      <w:r w:rsidRPr="00070ADE">
        <w:rPr>
          <w:rFonts w:ascii="Times New Roman" w:hAnsi="Times New Roman" w:cs="Times New Roman"/>
          <w:i w:val="0"/>
          <w:color w:val="000000" w:themeColor="text1"/>
          <w:sz w:val="16"/>
          <w:szCs w:val="16"/>
        </w:rPr>
        <w:softHyphen/>
        <w:t>тили значение транспортной авиации как для фронта, так и, в не меньшей степени, для тыла. Все это время нашей основной транспортной машиной был и пока остается двухмоторный самолет «Дуглас ОС-3». Какие бы типы транс</w:t>
      </w:r>
      <w:r w:rsidRPr="00070ADE">
        <w:rPr>
          <w:rFonts w:ascii="Times New Roman" w:hAnsi="Times New Roman" w:cs="Times New Roman"/>
          <w:i w:val="0"/>
          <w:color w:val="000000" w:themeColor="text1"/>
          <w:sz w:val="16"/>
          <w:szCs w:val="16"/>
        </w:rPr>
        <w:softHyphen/>
        <w:t>портных самолетов ни находились у нас на снабжении в послевоенный период, при всех условиях тип двухмоторного транспортного самолета будет одним из основных. Это бесспорно и не требует доказательств».</w:t>
      </w:r>
    </w:p>
    <w:p w14:paraId="66C35098" w14:textId="77777777" w:rsidR="002F4B64" w:rsidRPr="00070ADE" w:rsidRDefault="002F4B64" w:rsidP="00B56F90">
      <w:pPr>
        <w:pStyle w:val="1010"/>
        <w:shd w:val="clear" w:color="auto" w:fill="auto"/>
        <w:spacing w:line="240" w:lineRule="auto"/>
        <w:ind w:firstLine="0"/>
        <w:rPr>
          <w:rFonts w:ascii="Times New Roman" w:hAnsi="Times New Roman" w:cs="Times New Roman"/>
          <w:i w:val="0"/>
          <w:color w:val="000000" w:themeColor="text1"/>
          <w:sz w:val="16"/>
          <w:szCs w:val="16"/>
        </w:rPr>
      </w:pPr>
      <w:r w:rsidRPr="00070ADE">
        <w:rPr>
          <w:rStyle w:val="1013"/>
          <w:rFonts w:ascii="Times New Roman" w:eastAsia="Arial Unicode MS" w:hAnsi="Times New Roman" w:cs="Times New Roman"/>
          <w:i w:val="0"/>
          <w:iCs w:val="0"/>
          <w:color w:val="000000" w:themeColor="text1"/>
          <w:sz w:val="16"/>
          <w:szCs w:val="16"/>
        </w:rPr>
        <w:t>В заключительной части записки С.В. Ильюшин высказал свое мнение о необходимости модернизации суще</w:t>
      </w:r>
      <w:r w:rsidRPr="00070ADE">
        <w:rPr>
          <w:rStyle w:val="1013"/>
          <w:rFonts w:ascii="Times New Roman" w:eastAsia="Arial Unicode MS" w:hAnsi="Times New Roman" w:cs="Times New Roman"/>
          <w:i w:val="0"/>
          <w:iCs w:val="0"/>
          <w:color w:val="000000" w:themeColor="text1"/>
          <w:sz w:val="16"/>
          <w:szCs w:val="16"/>
        </w:rPr>
        <w:softHyphen/>
        <w:t>ствующего самолета ОС-3:</w:t>
      </w:r>
      <w:r w:rsidRPr="00070ADE">
        <w:rPr>
          <w:rFonts w:ascii="Times New Roman" w:hAnsi="Times New Roman" w:cs="Times New Roman"/>
          <w:i w:val="0"/>
          <w:color w:val="000000" w:themeColor="text1"/>
          <w:sz w:val="16"/>
          <w:szCs w:val="16"/>
        </w:rPr>
        <w:t xml:space="preserve"> «Самолет «Дуглас ДС-3 - хороший самолет, но лишь для определенного временного промежутка развития гражданской ави</w:t>
      </w:r>
      <w:r w:rsidRPr="00070ADE">
        <w:rPr>
          <w:rFonts w:ascii="Times New Roman" w:hAnsi="Times New Roman" w:cs="Times New Roman"/>
          <w:i w:val="0"/>
          <w:color w:val="000000" w:themeColor="text1"/>
          <w:sz w:val="16"/>
          <w:szCs w:val="16"/>
        </w:rPr>
        <w:softHyphen/>
        <w:t>ации. Уже теперь весьма ощущается необходимость увеличения его крей</w:t>
      </w:r>
      <w:r w:rsidRPr="00070ADE">
        <w:rPr>
          <w:rFonts w:ascii="Times New Roman" w:hAnsi="Times New Roman" w:cs="Times New Roman"/>
          <w:i w:val="0"/>
          <w:color w:val="000000" w:themeColor="text1"/>
          <w:sz w:val="16"/>
          <w:szCs w:val="16"/>
        </w:rPr>
        <w:softHyphen/>
        <w:t>серской скорости у земли до 300 км/ч. Наличие у нашей авиационной про</w:t>
      </w:r>
      <w:r w:rsidRPr="00070ADE">
        <w:rPr>
          <w:rFonts w:ascii="Times New Roman" w:hAnsi="Times New Roman" w:cs="Times New Roman"/>
          <w:i w:val="0"/>
          <w:color w:val="000000" w:themeColor="text1"/>
          <w:sz w:val="16"/>
          <w:szCs w:val="16"/>
        </w:rPr>
        <w:softHyphen/>
        <w:t>мышленности дизельного двигателя может решить вторую очень важную для транспортной авиации задачу - по</w:t>
      </w:r>
      <w:r w:rsidRPr="00070ADE">
        <w:rPr>
          <w:rFonts w:ascii="Times New Roman" w:hAnsi="Times New Roman" w:cs="Times New Roman"/>
          <w:i w:val="0"/>
          <w:color w:val="000000" w:themeColor="text1"/>
          <w:sz w:val="16"/>
          <w:szCs w:val="16"/>
        </w:rPr>
        <w:softHyphen/>
        <w:t>высить экономичность в расходовании топлива, при этом топлива низкосорт</w:t>
      </w:r>
      <w:r w:rsidRPr="00070ADE">
        <w:rPr>
          <w:rFonts w:ascii="Times New Roman" w:hAnsi="Times New Roman" w:cs="Times New Roman"/>
          <w:i w:val="0"/>
          <w:color w:val="000000" w:themeColor="text1"/>
          <w:sz w:val="16"/>
          <w:szCs w:val="16"/>
        </w:rPr>
        <w:softHyphen/>
        <w:t>ного. И, наконец, третья важная задача - увеличение массы коммерческой нагрузки, составляющей у самолета ДС-3 - 2000 кг, до 3000-3500 кг. Исходя из указанных предпосылок</w:t>
      </w:r>
      <w:r w:rsidRPr="00070ADE">
        <w:rPr>
          <w:rStyle w:val="241"/>
          <w:rFonts w:ascii="Times New Roman" w:hAnsi="Times New Roman" w:cs="Times New Roman"/>
          <w:b w:val="0"/>
          <w:iCs/>
          <w:color w:val="000000" w:themeColor="text1"/>
          <w:sz w:val="16"/>
          <w:szCs w:val="16"/>
        </w:rPr>
        <w:t xml:space="preserve"> представля</w:t>
      </w:r>
      <w:r w:rsidRPr="00070ADE">
        <w:rPr>
          <w:rStyle w:val="241"/>
          <w:rFonts w:ascii="Times New Roman" w:hAnsi="Times New Roman" w:cs="Times New Roman"/>
          <w:b w:val="0"/>
          <w:iCs/>
          <w:color w:val="000000" w:themeColor="text1"/>
          <w:sz w:val="16"/>
          <w:szCs w:val="16"/>
        </w:rPr>
        <w:softHyphen/>
      </w:r>
      <w:r w:rsidRPr="00070ADE">
        <w:rPr>
          <w:rStyle w:val="161"/>
          <w:rFonts w:ascii="Times New Roman" w:hAnsi="Times New Roman" w:cs="Times New Roman"/>
          <w:iCs/>
          <w:color w:val="000000" w:themeColor="text1"/>
          <w:sz w:val="16"/>
          <w:szCs w:val="16"/>
        </w:rPr>
        <w:t>ется проект транспортного</w:t>
      </w:r>
      <w:r w:rsidRPr="00070ADE">
        <w:rPr>
          <w:rStyle w:val="241"/>
          <w:rFonts w:ascii="Times New Roman" w:hAnsi="Times New Roman" w:cs="Times New Roman"/>
          <w:b w:val="0"/>
          <w:iCs/>
          <w:color w:val="000000" w:themeColor="text1"/>
          <w:sz w:val="16"/>
          <w:szCs w:val="16"/>
        </w:rPr>
        <w:t xml:space="preserve"> самолета, </w:t>
      </w:r>
      <w:r w:rsidRPr="00070ADE">
        <w:rPr>
          <w:rStyle w:val="161"/>
          <w:rFonts w:ascii="Times New Roman" w:hAnsi="Times New Roman" w:cs="Times New Roman"/>
          <w:iCs/>
          <w:color w:val="000000" w:themeColor="text1"/>
          <w:sz w:val="16"/>
          <w:szCs w:val="16"/>
        </w:rPr>
        <w:t>вполне отвечающего современный требованиям».</w:t>
      </w:r>
      <w:r w:rsidRPr="00070ADE">
        <w:rPr>
          <w:rStyle w:val="1c"/>
          <w:rFonts w:ascii="Times New Roman" w:hAnsi="Times New Roman" w:cs="Times New Roman"/>
          <w:i w:val="0"/>
          <w:iCs w:val="0"/>
          <w:color w:val="000000" w:themeColor="text1"/>
          <w:sz w:val="16"/>
          <w:szCs w:val="16"/>
        </w:rPr>
        <w:t xml:space="preserve"> В этой же записке пред</w:t>
      </w:r>
      <w:r w:rsidRPr="00070ADE">
        <w:rPr>
          <w:rStyle w:val="1c"/>
          <w:rFonts w:ascii="Times New Roman" w:hAnsi="Times New Roman" w:cs="Times New Roman"/>
          <w:i w:val="0"/>
          <w:iCs w:val="0"/>
          <w:color w:val="000000" w:themeColor="text1"/>
          <w:sz w:val="16"/>
          <w:szCs w:val="16"/>
        </w:rPr>
        <w:softHyphen/>
        <w:t>ставлены расчетные летно-технические характеристики самолета в сравнении с ЭС-3, сравнительная экономическая целесообразность использования этих машин и расчет эффективности воз</w:t>
      </w:r>
      <w:r w:rsidRPr="00070ADE">
        <w:rPr>
          <w:rStyle w:val="1c"/>
          <w:rFonts w:ascii="Times New Roman" w:hAnsi="Times New Roman" w:cs="Times New Roman"/>
          <w:i w:val="0"/>
          <w:iCs w:val="0"/>
          <w:color w:val="000000" w:themeColor="text1"/>
          <w:sz w:val="16"/>
          <w:szCs w:val="16"/>
        </w:rPr>
        <w:softHyphen/>
        <w:t>душного путешествия на предлагаемом транспортном самолете в сравнении с проездом по железной дороге или на автомобильном транспорте на то же расстояние.</w:t>
      </w:r>
    </w:p>
    <w:p w14:paraId="6DF7BD1F" w14:textId="77777777" w:rsidR="002F4B64" w:rsidRPr="00070ADE" w:rsidRDefault="002F4B64" w:rsidP="00B56F90">
      <w:pPr>
        <w:pStyle w:val="1010"/>
        <w:shd w:val="clear" w:color="auto" w:fill="auto"/>
        <w:spacing w:line="240" w:lineRule="auto"/>
        <w:ind w:firstLine="0"/>
        <w:rPr>
          <w:rFonts w:ascii="Times New Roman" w:hAnsi="Times New Roman" w:cs="Times New Roman"/>
          <w:i w:val="0"/>
          <w:color w:val="000000" w:themeColor="text1"/>
          <w:sz w:val="16"/>
          <w:szCs w:val="16"/>
        </w:rPr>
      </w:pPr>
      <w:r w:rsidRPr="00070ADE">
        <w:rPr>
          <w:rStyle w:val="1013"/>
          <w:rFonts w:ascii="Times New Roman" w:eastAsia="Arial Unicode MS" w:hAnsi="Times New Roman" w:cs="Times New Roman"/>
          <w:i w:val="0"/>
          <w:iCs w:val="0"/>
          <w:color w:val="000000" w:themeColor="text1"/>
          <w:sz w:val="16"/>
          <w:szCs w:val="16"/>
        </w:rPr>
        <w:t>Представляют интерес находящи</w:t>
      </w:r>
      <w:r w:rsidRPr="00070ADE">
        <w:rPr>
          <w:rStyle w:val="1013"/>
          <w:rFonts w:ascii="Times New Roman" w:eastAsia="Arial Unicode MS" w:hAnsi="Times New Roman" w:cs="Times New Roman"/>
          <w:i w:val="0"/>
          <w:iCs w:val="0"/>
          <w:color w:val="000000" w:themeColor="text1"/>
          <w:sz w:val="16"/>
          <w:szCs w:val="16"/>
        </w:rPr>
        <w:softHyphen/>
        <w:t>еся в пояснительной записке коммен</w:t>
      </w:r>
      <w:r w:rsidRPr="00070ADE">
        <w:rPr>
          <w:rStyle w:val="1013"/>
          <w:rFonts w:ascii="Times New Roman" w:eastAsia="Arial Unicode MS" w:hAnsi="Times New Roman" w:cs="Times New Roman"/>
          <w:i w:val="0"/>
          <w:iCs w:val="0"/>
          <w:color w:val="000000" w:themeColor="text1"/>
          <w:sz w:val="16"/>
          <w:szCs w:val="16"/>
        </w:rPr>
        <w:softHyphen/>
        <w:t>тарии Главного конструктора к Таб</w:t>
      </w:r>
      <w:r w:rsidRPr="00070ADE">
        <w:rPr>
          <w:rStyle w:val="1013"/>
          <w:rFonts w:ascii="Times New Roman" w:eastAsia="Arial Unicode MS" w:hAnsi="Times New Roman" w:cs="Times New Roman"/>
          <w:i w:val="0"/>
          <w:iCs w:val="0"/>
          <w:color w:val="000000" w:themeColor="text1"/>
          <w:sz w:val="16"/>
          <w:szCs w:val="16"/>
        </w:rPr>
        <w:softHyphen/>
        <w:t>лице N 3.</w:t>
      </w:r>
      <w:r w:rsidRPr="00070ADE">
        <w:rPr>
          <w:rFonts w:ascii="Times New Roman" w:hAnsi="Times New Roman" w:cs="Times New Roman"/>
          <w:i w:val="0"/>
          <w:color w:val="000000" w:themeColor="text1"/>
          <w:sz w:val="16"/>
          <w:szCs w:val="16"/>
        </w:rPr>
        <w:t xml:space="preserve"> «Если взять для примера по автомобильному транспорту автомо</w:t>
      </w:r>
      <w:r w:rsidRPr="00070ADE">
        <w:rPr>
          <w:rFonts w:ascii="Times New Roman" w:hAnsi="Times New Roman" w:cs="Times New Roman"/>
          <w:i w:val="0"/>
          <w:color w:val="000000" w:themeColor="text1"/>
          <w:sz w:val="16"/>
          <w:szCs w:val="16"/>
        </w:rPr>
        <w:softHyphen/>
        <w:t>биль ЗИС-101, а по железнодорожному транспорту пассажирский поезд в со</w:t>
      </w:r>
      <w:r w:rsidRPr="00070ADE">
        <w:rPr>
          <w:rFonts w:ascii="Times New Roman" w:hAnsi="Times New Roman" w:cs="Times New Roman"/>
          <w:i w:val="0"/>
          <w:color w:val="000000" w:themeColor="text1"/>
          <w:sz w:val="16"/>
          <w:szCs w:val="16"/>
        </w:rPr>
        <w:softHyphen/>
        <w:t>ставе паровоза с тендером, вагона- ресторана и десяти классных вагонов, в которых находится 400 пассажиров (масса такого состава будет равна 600 т), расход топлива паровозом, везущим такой состав на расстояние 100 км, составляет 3500 кг угля. Из при</w:t>
      </w:r>
      <w:r w:rsidRPr="00070ADE">
        <w:rPr>
          <w:rFonts w:ascii="Times New Roman" w:hAnsi="Times New Roman" w:cs="Times New Roman"/>
          <w:i w:val="0"/>
          <w:color w:val="000000" w:themeColor="text1"/>
          <w:sz w:val="16"/>
          <w:szCs w:val="16"/>
        </w:rPr>
        <w:softHyphen/>
        <w:t>веденной таблицы следует, что по</w:t>
      </w:r>
      <w:r w:rsidRPr="00070ADE">
        <w:rPr>
          <w:rStyle w:val="1050"/>
          <w:rFonts w:ascii="Times New Roman" w:eastAsia="Arial Unicode MS" w:hAnsi="Times New Roman" w:cs="Times New Roman"/>
          <w:b w:val="0"/>
          <w:iCs/>
          <w:color w:val="000000" w:themeColor="text1"/>
          <w:sz w:val="16"/>
          <w:szCs w:val="16"/>
        </w:rPr>
        <w:t xml:space="preserve"> двум </w:t>
      </w:r>
      <w:r w:rsidRPr="00070ADE">
        <w:rPr>
          <w:rFonts w:ascii="Times New Roman" w:hAnsi="Times New Roman" w:cs="Times New Roman"/>
          <w:i w:val="0"/>
          <w:color w:val="000000" w:themeColor="text1"/>
          <w:sz w:val="16"/>
          <w:szCs w:val="16"/>
        </w:rPr>
        <w:t>из основных экономических показате</w:t>
      </w:r>
      <w:r w:rsidRPr="00070ADE">
        <w:rPr>
          <w:rFonts w:ascii="Times New Roman" w:hAnsi="Times New Roman" w:cs="Times New Roman"/>
          <w:i w:val="0"/>
          <w:color w:val="000000" w:themeColor="text1"/>
          <w:sz w:val="16"/>
          <w:szCs w:val="16"/>
        </w:rPr>
        <w:softHyphen/>
        <w:t>лей авиационный транспорт является наиболее дешевым видом транспорта, хотя распространенным является мне</w:t>
      </w:r>
      <w:r w:rsidRPr="00070ADE">
        <w:rPr>
          <w:rFonts w:ascii="Times New Roman" w:hAnsi="Times New Roman" w:cs="Times New Roman"/>
          <w:i w:val="0"/>
          <w:color w:val="000000" w:themeColor="text1"/>
          <w:sz w:val="16"/>
          <w:szCs w:val="16"/>
        </w:rPr>
        <w:softHyphen/>
        <w:t>ние, что авиационный пассажирский транспорт является одним из</w:t>
      </w:r>
      <w:r w:rsidRPr="00070ADE">
        <w:rPr>
          <w:rStyle w:val="1050"/>
          <w:rFonts w:ascii="Times New Roman" w:eastAsia="Arial Unicode MS" w:hAnsi="Times New Roman" w:cs="Times New Roman"/>
          <w:b w:val="0"/>
          <w:iCs/>
          <w:color w:val="000000" w:themeColor="text1"/>
          <w:sz w:val="16"/>
          <w:szCs w:val="16"/>
        </w:rPr>
        <w:t xml:space="preserve"> самых </w:t>
      </w:r>
      <w:r w:rsidRPr="00070ADE">
        <w:rPr>
          <w:rFonts w:ascii="Times New Roman" w:hAnsi="Times New Roman" w:cs="Times New Roman"/>
          <w:i w:val="0"/>
          <w:color w:val="000000" w:themeColor="text1"/>
          <w:sz w:val="16"/>
          <w:szCs w:val="16"/>
        </w:rPr>
        <w:t>дорогих. При сравнении экономично</w:t>
      </w:r>
      <w:r w:rsidRPr="00070ADE">
        <w:rPr>
          <w:rFonts w:ascii="Times New Roman" w:hAnsi="Times New Roman" w:cs="Times New Roman"/>
          <w:i w:val="0"/>
          <w:color w:val="000000" w:themeColor="text1"/>
          <w:sz w:val="16"/>
          <w:szCs w:val="16"/>
        </w:rPr>
        <w:softHyphen/>
        <w:t>сти авиационного и железнодорожного пассажирского транспорта необходимо учесть еще одну очень важную</w:t>
      </w:r>
      <w:r w:rsidRPr="00070ADE">
        <w:rPr>
          <w:rStyle w:val="1050"/>
          <w:rFonts w:ascii="Times New Roman" w:eastAsia="Arial Unicode MS" w:hAnsi="Times New Roman" w:cs="Times New Roman"/>
          <w:b w:val="0"/>
          <w:iCs/>
          <w:color w:val="000000" w:themeColor="text1"/>
          <w:sz w:val="16"/>
          <w:szCs w:val="16"/>
        </w:rPr>
        <w:t xml:space="preserve"> деталь. </w:t>
      </w:r>
      <w:r w:rsidRPr="00070ADE">
        <w:rPr>
          <w:rFonts w:ascii="Times New Roman" w:hAnsi="Times New Roman" w:cs="Times New Roman"/>
          <w:i w:val="0"/>
          <w:color w:val="000000" w:themeColor="text1"/>
          <w:sz w:val="16"/>
          <w:szCs w:val="16"/>
        </w:rPr>
        <w:t>Предположим, что из Москвы в</w:t>
      </w:r>
      <w:r w:rsidRPr="00070ADE">
        <w:rPr>
          <w:rStyle w:val="1050"/>
          <w:rFonts w:ascii="Times New Roman" w:eastAsia="Arial Unicode MS" w:hAnsi="Times New Roman" w:cs="Times New Roman"/>
          <w:b w:val="0"/>
          <w:iCs/>
          <w:color w:val="000000" w:themeColor="text1"/>
          <w:sz w:val="16"/>
          <w:szCs w:val="16"/>
        </w:rPr>
        <w:t xml:space="preserve"> Иркутск </w:t>
      </w:r>
      <w:r w:rsidRPr="00070ADE">
        <w:rPr>
          <w:rFonts w:ascii="Times New Roman" w:hAnsi="Times New Roman" w:cs="Times New Roman"/>
          <w:i w:val="0"/>
          <w:color w:val="000000" w:themeColor="text1"/>
          <w:sz w:val="16"/>
          <w:szCs w:val="16"/>
        </w:rPr>
        <w:t>отправляются одновременно</w:t>
      </w:r>
      <w:r w:rsidRPr="00070ADE">
        <w:rPr>
          <w:rStyle w:val="1050"/>
          <w:rFonts w:ascii="Times New Roman" w:eastAsia="Arial Unicode MS" w:hAnsi="Times New Roman" w:cs="Times New Roman"/>
          <w:b w:val="0"/>
          <w:iCs/>
          <w:color w:val="000000" w:themeColor="text1"/>
          <w:sz w:val="16"/>
          <w:szCs w:val="16"/>
        </w:rPr>
        <w:t xml:space="preserve"> пасса</w:t>
      </w:r>
      <w:r w:rsidRPr="00070ADE">
        <w:rPr>
          <w:rStyle w:val="1050"/>
          <w:rFonts w:ascii="Times New Roman" w:eastAsia="Arial Unicode MS" w:hAnsi="Times New Roman" w:cs="Times New Roman"/>
          <w:b w:val="0"/>
          <w:iCs/>
          <w:color w:val="000000" w:themeColor="text1"/>
          <w:sz w:val="16"/>
          <w:szCs w:val="16"/>
        </w:rPr>
        <w:softHyphen/>
      </w:r>
      <w:r w:rsidRPr="00070ADE">
        <w:rPr>
          <w:rFonts w:ascii="Times New Roman" w:hAnsi="Times New Roman" w:cs="Times New Roman"/>
          <w:i w:val="0"/>
          <w:color w:val="000000" w:themeColor="text1"/>
          <w:sz w:val="16"/>
          <w:szCs w:val="16"/>
        </w:rPr>
        <w:t>жирский поезд в указанном</w:t>
      </w:r>
      <w:r w:rsidRPr="00070ADE">
        <w:rPr>
          <w:rStyle w:val="1050"/>
          <w:rFonts w:ascii="Times New Roman" w:eastAsia="Arial Unicode MS" w:hAnsi="Times New Roman" w:cs="Times New Roman"/>
          <w:b w:val="0"/>
          <w:iCs/>
          <w:color w:val="000000" w:themeColor="text1"/>
          <w:sz w:val="16"/>
          <w:szCs w:val="16"/>
        </w:rPr>
        <w:t xml:space="preserve"> составе</w:t>
      </w:r>
      <w:r w:rsidRPr="00070ADE">
        <w:rPr>
          <w:rFonts w:ascii="Times New Roman" w:hAnsi="Times New Roman" w:cs="Times New Roman"/>
          <w:i w:val="0"/>
          <w:color w:val="000000" w:themeColor="text1"/>
          <w:sz w:val="16"/>
          <w:szCs w:val="16"/>
        </w:rPr>
        <w:t xml:space="preserve"> и 15 транспортных самолетов с тем</w:t>
      </w:r>
      <w:r w:rsidRPr="00070ADE">
        <w:rPr>
          <w:rStyle w:val="1050"/>
          <w:rFonts w:ascii="Times New Roman" w:eastAsia="Arial Unicode MS" w:hAnsi="Times New Roman" w:cs="Times New Roman"/>
          <w:b w:val="0"/>
          <w:iCs/>
          <w:color w:val="000000" w:themeColor="text1"/>
          <w:sz w:val="16"/>
          <w:szCs w:val="16"/>
        </w:rPr>
        <w:t xml:space="preserve"> же </w:t>
      </w:r>
      <w:r w:rsidRPr="00070ADE">
        <w:rPr>
          <w:rFonts w:ascii="Times New Roman" w:hAnsi="Times New Roman" w:cs="Times New Roman"/>
          <w:i w:val="0"/>
          <w:color w:val="000000" w:themeColor="text1"/>
          <w:sz w:val="16"/>
          <w:szCs w:val="16"/>
        </w:rPr>
        <w:t>суммарным количеством пассажиров (400 чел.). Пассажирский поезд прибу</w:t>
      </w:r>
      <w:r w:rsidRPr="00070ADE">
        <w:rPr>
          <w:rFonts w:ascii="Times New Roman" w:hAnsi="Times New Roman" w:cs="Times New Roman"/>
          <w:i w:val="0"/>
          <w:color w:val="000000" w:themeColor="text1"/>
          <w:sz w:val="16"/>
          <w:szCs w:val="16"/>
        </w:rPr>
        <w:softHyphen/>
        <w:t>дет в Иркутск по истечении пяти</w:t>
      </w:r>
      <w:r w:rsidRPr="00070ADE">
        <w:rPr>
          <w:rStyle w:val="1050"/>
          <w:rFonts w:ascii="Times New Roman" w:eastAsia="Arial Unicode MS" w:hAnsi="Times New Roman" w:cs="Times New Roman"/>
          <w:b w:val="0"/>
          <w:iCs/>
          <w:color w:val="000000" w:themeColor="text1"/>
          <w:sz w:val="16"/>
          <w:szCs w:val="16"/>
        </w:rPr>
        <w:t xml:space="preserve"> суток, </w:t>
      </w:r>
      <w:r w:rsidRPr="00070ADE">
        <w:rPr>
          <w:rFonts w:ascii="Times New Roman" w:hAnsi="Times New Roman" w:cs="Times New Roman"/>
          <w:i w:val="0"/>
          <w:color w:val="000000" w:themeColor="text1"/>
          <w:sz w:val="16"/>
          <w:szCs w:val="16"/>
        </w:rPr>
        <w:t>пассажирские транспортные самолеты прибудут в Иркутск по истечении</w:t>
      </w:r>
      <w:r w:rsidRPr="00070ADE">
        <w:rPr>
          <w:rStyle w:val="1050"/>
          <w:rFonts w:ascii="Times New Roman" w:eastAsia="Arial Unicode MS" w:hAnsi="Times New Roman" w:cs="Times New Roman"/>
          <w:b w:val="0"/>
          <w:iCs/>
          <w:color w:val="000000" w:themeColor="text1"/>
          <w:sz w:val="16"/>
          <w:szCs w:val="16"/>
        </w:rPr>
        <w:t xml:space="preserve"> одних </w:t>
      </w:r>
      <w:r w:rsidRPr="00070ADE">
        <w:rPr>
          <w:rFonts w:ascii="Times New Roman" w:hAnsi="Times New Roman" w:cs="Times New Roman"/>
          <w:i w:val="0"/>
          <w:color w:val="000000" w:themeColor="text1"/>
          <w:sz w:val="16"/>
          <w:szCs w:val="16"/>
        </w:rPr>
        <w:t>суток. Таким образом, 400 пассажиров пассажирского поезда непроизводи</w:t>
      </w:r>
      <w:r w:rsidRPr="00070ADE">
        <w:rPr>
          <w:rFonts w:ascii="Times New Roman" w:hAnsi="Times New Roman" w:cs="Times New Roman"/>
          <w:i w:val="0"/>
          <w:color w:val="000000" w:themeColor="text1"/>
          <w:sz w:val="16"/>
          <w:szCs w:val="16"/>
        </w:rPr>
        <w:softHyphen/>
        <w:t>тельно потратят 12800 рабочих</w:t>
      </w:r>
      <w:r w:rsidRPr="00070ADE">
        <w:rPr>
          <w:rStyle w:val="1050"/>
          <w:rFonts w:ascii="Times New Roman" w:eastAsia="Arial Unicode MS" w:hAnsi="Times New Roman" w:cs="Times New Roman"/>
          <w:b w:val="0"/>
          <w:iCs/>
          <w:color w:val="000000" w:themeColor="text1"/>
          <w:sz w:val="16"/>
          <w:szCs w:val="16"/>
        </w:rPr>
        <w:t xml:space="preserve"> часов. </w:t>
      </w:r>
      <w:r w:rsidRPr="00070ADE">
        <w:rPr>
          <w:rFonts w:ascii="Times New Roman" w:hAnsi="Times New Roman" w:cs="Times New Roman"/>
          <w:i w:val="0"/>
          <w:color w:val="000000" w:themeColor="text1"/>
          <w:sz w:val="16"/>
          <w:szCs w:val="16"/>
        </w:rPr>
        <w:t>А один самолет, перевезя 27</w:t>
      </w:r>
      <w:r w:rsidRPr="00070ADE">
        <w:rPr>
          <w:rStyle w:val="1050"/>
          <w:rFonts w:ascii="Times New Roman" w:eastAsia="Arial Unicode MS" w:hAnsi="Times New Roman" w:cs="Times New Roman"/>
          <w:b w:val="0"/>
          <w:iCs/>
          <w:color w:val="000000" w:themeColor="text1"/>
          <w:sz w:val="16"/>
          <w:szCs w:val="16"/>
        </w:rPr>
        <w:t xml:space="preserve"> пасса</w:t>
      </w:r>
      <w:r w:rsidRPr="00070ADE">
        <w:rPr>
          <w:rStyle w:val="1050"/>
          <w:rFonts w:ascii="Times New Roman" w:eastAsia="Arial Unicode MS" w:hAnsi="Times New Roman" w:cs="Times New Roman"/>
          <w:b w:val="0"/>
          <w:iCs/>
          <w:color w:val="000000" w:themeColor="text1"/>
          <w:sz w:val="16"/>
          <w:szCs w:val="16"/>
        </w:rPr>
        <w:softHyphen/>
      </w:r>
      <w:r w:rsidRPr="00070ADE">
        <w:rPr>
          <w:rFonts w:ascii="Times New Roman" w:hAnsi="Times New Roman" w:cs="Times New Roman"/>
          <w:i w:val="0"/>
          <w:color w:val="000000" w:themeColor="text1"/>
          <w:sz w:val="16"/>
          <w:szCs w:val="16"/>
        </w:rPr>
        <w:t>жиров, сэкономит 864 рабочих</w:t>
      </w:r>
      <w:r w:rsidRPr="00070ADE">
        <w:rPr>
          <w:rStyle w:val="1050"/>
          <w:rFonts w:ascii="Times New Roman" w:eastAsia="Arial Unicode MS" w:hAnsi="Times New Roman" w:cs="Times New Roman"/>
          <w:b w:val="0"/>
          <w:iCs/>
          <w:color w:val="000000" w:themeColor="text1"/>
          <w:sz w:val="16"/>
          <w:szCs w:val="16"/>
        </w:rPr>
        <w:t xml:space="preserve"> часа, </w:t>
      </w:r>
      <w:r w:rsidRPr="00070ADE">
        <w:rPr>
          <w:rFonts w:ascii="Times New Roman" w:hAnsi="Times New Roman" w:cs="Times New Roman"/>
          <w:i w:val="0"/>
          <w:color w:val="000000" w:themeColor="text1"/>
          <w:sz w:val="16"/>
          <w:szCs w:val="16"/>
        </w:rPr>
        <w:t>что составляет 1/20 затрат</w:t>
      </w:r>
      <w:r w:rsidRPr="00070ADE">
        <w:rPr>
          <w:rStyle w:val="1050"/>
          <w:rFonts w:ascii="Times New Roman" w:eastAsia="Arial Unicode MS" w:hAnsi="Times New Roman" w:cs="Times New Roman"/>
          <w:b w:val="0"/>
          <w:iCs/>
          <w:color w:val="000000" w:themeColor="text1"/>
          <w:sz w:val="16"/>
          <w:szCs w:val="16"/>
        </w:rPr>
        <w:t xml:space="preserve"> рабочего </w:t>
      </w:r>
      <w:r w:rsidRPr="00070ADE">
        <w:rPr>
          <w:rFonts w:ascii="Times New Roman" w:hAnsi="Times New Roman" w:cs="Times New Roman"/>
          <w:i w:val="0"/>
          <w:color w:val="000000" w:themeColor="text1"/>
          <w:sz w:val="16"/>
          <w:szCs w:val="16"/>
        </w:rPr>
        <w:t>времени на постройку самолета с мо</w:t>
      </w:r>
      <w:r w:rsidRPr="00070ADE">
        <w:rPr>
          <w:rFonts w:ascii="Times New Roman" w:hAnsi="Times New Roman" w:cs="Times New Roman"/>
          <w:i w:val="0"/>
          <w:color w:val="000000" w:themeColor="text1"/>
          <w:sz w:val="16"/>
          <w:szCs w:val="16"/>
        </w:rPr>
        <w:softHyphen/>
        <w:t>торами и со всем оборудованием. Де</w:t>
      </w:r>
      <w:r w:rsidRPr="00070ADE">
        <w:rPr>
          <w:rFonts w:ascii="Times New Roman" w:hAnsi="Times New Roman" w:cs="Times New Roman"/>
          <w:i w:val="0"/>
          <w:color w:val="000000" w:themeColor="text1"/>
          <w:sz w:val="16"/>
          <w:szCs w:val="16"/>
        </w:rPr>
        <w:softHyphen/>
        <w:t>сять таких рейсов Москва</w:t>
      </w:r>
      <w:r w:rsidRPr="00070ADE">
        <w:rPr>
          <w:rStyle w:val="1013"/>
          <w:rFonts w:ascii="Times New Roman" w:eastAsia="Arial Unicode MS" w:hAnsi="Times New Roman" w:cs="Times New Roman"/>
          <w:i w:val="0"/>
          <w:iCs w:val="0"/>
          <w:color w:val="000000" w:themeColor="text1"/>
          <w:sz w:val="16"/>
          <w:szCs w:val="16"/>
        </w:rPr>
        <w:t xml:space="preserve"> -</w:t>
      </w:r>
      <w:r w:rsidRPr="00070ADE">
        <w:rPr>
          <w:rStyle w:val="1050"/>
          <w:rFonts w:ascii="Times New Roman" w:eastAsia="Arial Unicode MS" w:hAnsi="Times New Roman" w:cs="Times New Roman"/>
          <w:b w:val="0"/>
          <w:iCs/>
          <w:color w:val="000000" w:themeColor="text1"/>
          <w:sz w:val="16"/>
          <w:szCs w:val="16"/>
        </w:rPr>
        <w:t xml:space="preserve"> Иркутск и </w:t>
      </w:r>
      <w:r w:rsidRPr="00070ADE">
        <w:rPr>
          <w:rFonts w:ascii="Times New Roman" w:hAnsi="Times New Roman" w:cs="Times New Roman"/>
          <w:i w:val="0"/>
          <w:color w:val="000000" w:themeColor="text1"/>
          <w:sz w:val="16"/>
          <w:szCs w:val="16"/>
        </w:rPr>
        <w:t>обратно полностью окупают</w:t>
      </w:r>
      <w:r w:rsidRPr="00070ADE">
        <w:rPr>
          <w:rStyle w:val="1050"/>
          <w:rFonts w:ascii="Times New Roman" w:eastAsia="Arial Unicode MS" w:hAnsi="Times New Roman" w:cs="Times New Roman"/>
          <w:b w:val="0"/>
          <w:iCs/>
          <w:color w:val="000000" w:themeColor="text1"/>
          <w:sz w:val="16"/>
          <w:szCs w:val="16"/>
        </w:rPr>
        <w:t xml:space="preserve"> затрату </w:t>
      </w:r>
      <w:r w:rsidRPr="00070ADE">
        <w:rPr>
          <w:rFonts w:ascii="Times New Roman" w:hAnsi="Times New Roman" w:cs="Times New Roman"/>
          <w:i w:val="0"/>
          <w:color w:val="000000" w:themeColor="text1"/>
          <w:sz w:val="16"/>
          <w:szCs w:val="16"/>
        </w:rPr>
        <w:t>рабочих часов на постройку</w:t>
      </w:r>
      <w:r w:rsidRPr="00070ADE">
        <w:rPr>
          <w:rStyle w:val="1050"/>
          <w:rFonts w:ascii="Times New Roman" w:eastAsia="Arial Unicode MS" w:hAnsi="Times New Roman" w:cs="Times New Roman"/>
          <w:b w:val="0"/>
          <w:iCs/>
          <w:color w:val="000000" w:themeColor="text1"/>
          <w:sz w:val="16"/>
          <w:szCs w:val="16"/>
        </w:rPr>
        <w:t xml:space="preserve"> одного са</w:t>
      </w:r>
      <w:r w:rsidRPr="00070ADE">
        <w:rPr>
          <w:rStyle w:val="1050"/>
          <w:rFonts w:ascii="Times New Roman" w:eastAsia="Arial Unicode MS" w:hAnsi="Times New Roman" w:cs="Times New Roman"/>
          <w:b w:val="0"/>
          <w:iCs/>
          <w:color w:val="000000" w:themeColor="text1"/>
          <w:sz w:val="16"/>
          <w:szCs w:val="16"/>
        </w:rPr>
        <w:softHyphen/>
      </w:r>
      <w:r w:rsidRPr="00070ADE">
        <w:rPr>
          <w:rFonts w:ascii="Times New Roman" w:hAnsi="Times New Roman" w:cs="Times New Roman"/>
          <w:i w:val="0"/>
          <w:color w:val="000000" w:themeColor="text1"/>
          <w:sz w:val="16"/>
          <w:szCs w:val="16"/>
        </w:rPr>
        <w:t>молета».</w:t>
      </w:r>
      <w:r w:rsidRPr="00070ADE">
        <w:rPr>
          <w:rStyle w:val="1013"/>
          <w:rFonts w:ascii="Times New Roman" w:eastAsia="Arial Unicode MS" w:hAnsi="Times New Roman" w:cs="Times New Roman"/>
          <w:i w:val="0"/>
          <w:iCs w:val="0"/>
          <w:color w:val="000000" w:themeColor="text1"/>
          <w:sz w:val="16"/>
          <w:szCs w:val="16"/>
        </w:rPr>
        <w:t xml:space="preserve"> Неожиданный и, вместе с тем, соответствующий духу времени вывод.</w:t>
      </w:r>
    </w:p>
    <w:p w14:paraId="541F404D" w14:textId="77777777" w:rsidR="002F4B64" w:rsidRPr="00070ADE" w:rsidRDefault="002F4B64" w:rsidP="00B56F90">
      <w:pPr>
        <w:pStyle w:val="a3"/>
        <w:rPr>
          <w:rStyle w:val="152"/>
          <w:rFonts w:ascii="Times New Roman" w:hAnsi="Times New Roman" w:cs="Times New Roman"/>
          <w:i w:val="0"/>
          <w:color w:val="000000" w:themeColor="text1"/>
          <w:sz w:val="16"/>
          <w:szCs w:val="16"/>
          <w:lang w:val="ru-RU"/>
        </w:rPr>
      </w:pPr>
      <w:r w:rsidRPr="00070ADE">
        <w:rPr>
          <w:color w:val="000000" w:themeColor="text1"/>
          <w:lang w:val="ru-RU"/>
        </w:rPr>
        <w:t>В заключение документа С.В.</w:t>
      </w:r>
      <w:r w:rsidRPr="00070ADE">
        <w:rPr>
          <w:rStyle w:val="251"/>
          <w:rFonts w:ascii="Times New Roman" w:hAnsi="Times New Roman" w:cs="Times New Roman"/>
          <w:b w:val="0"/>
          <w:color w:val="000000" w:themeColor="text1"/>
          <w:sz w:val="16"/>
          <w:szCs w:val="16"/>
          <w:lang w:val="ru-RU"/>
        </w:rPr>
        <w:t xml:space="preserve"> Илью</w:t>
      </w:r>
      <w:r w:rsidRPr="00070ADE">
        <w:rPr>
          <w:rStyle w:val="251"/>
          <w:rFonts w:ascii="Times New Roman" w:hAnsi="Times New Roman" w:cs="Times New Roman"/>
          <w:b w:val="0"/>
          <w:color w:val="000000" w:themeColor="text1"/>
          <w:sz w:val="16"/>
          <w:szCs w:val="16"/>
          <w:lang w:val="ru-RU"/>
        </w:rPr>
        <w:softHyphen/>
      </w:r>
      <w:r w:rsidRPr="00070ADE">
        <w:rPr>
          <w:color w:val="000000" w:themeColor="text1"/>
          <w:lang w:val="ru-RU"/>
        </w:rPr>
        <w:t>шин гарантировал, что</w:t>
      </w:r>
      <w:r w:rsidRPr="00070ADE">
        <w:rPr>
          <w:rStyle w:val="241"/>
          <w:rFonts w:ascii="Times New Roman" w:hAnsi="Times New Roman" w:cs="Times New Roman"/>
          <w:b w:val="0"/>
          <w:i w:val="0"/>
          <w:color w:val="000000" w:themeColor="text1"/>
          <w:sz w:val="16"/>
          <w:szCs w:val="16"/>
          <w:lang w:val="ru-RU"/>
        </w:rPr>
        <w:t xml:space="preserve"> «Рабочие чер</w:t>
      </w:r>
      <w:r w:rsidRPr="00070ADE">
        <w:rPr>
          <w:rStyle w:val="241"/>
          <w:rFonts w:ascii="Times New Roman" w:hAnsi="Times New Roman" w:cs="Times New Roman"/>
          <w:b w:val="0"/>
          <w:i w:val="0"/>
          <w:color w:val="000000" w:themeColor="text1"/>
          <w:sz w:val="16"/>
          <w:szCs w:val="16"/>
          <w:lang w:val="ru-RU"/>
        </w:rPr>
        <w:softHyphen/>
      </w:r>
      <w:r w:rsidRPr="00070ADE">
        <w:rPr>
          <w:rStyle w:val="161"/>
          <w:rFonts w:ascii="Times New Roman" w:hAnsi="Times New Roman" w:cs="Times New Roman"/>
          <w:i w:val="0"/>
          <w:color w:val="000000" w:themeColor="text1"/>
          <w:sz w:val="16"/>
          <w:szCs w:val="16"/>
          <w:lang w:val="ru-RU"/>
        </w:rPr>
        <w:t>тежи первого опытного</w:t>
      </w:r>
      <w:r w:rsidRPr="00070ADE">
        <w:rPr>
          <w:rStyle w:val="241"/>
          <w:rFonts w:ascii="Times New Roman" w:hAnsi="Times New Roman" w:cs="Times New Roman"/>
          <w:b w:val="0"/>
          <w:i w:val="0"/>
          <w:color w:val="000000" w:themeColor="text1"/>
          <w:sz w:val="16"/>
          <w:szCs w:val="16"/>
          <w:lang w:val="ru-RU"/>
        </w:rPr>
        <w:t xml:space="preserve"> самолета без </w:t>
      </w:r>
      <w:r w:rsidRPr="00070ADE">
        <w:rPr>
          <w:rStyle w:val="161"/>
          <w:rFonts w:ascii="Times New Roman" w:hAnsi="Times New Roman" w:cs="Times New Roman"/>
          <w:i w:val="0"/>
          <w:color w:val="000000" w:themeColor="text1"/>
          <w:sz w:val="16"/>
          <w:szCs w:val="16"/>
          <w:lang w:val="ru-RU"/>
        </w:rPr>
        <w:t>герметической кабины</w:t>
      </w:r>
      <w:r w:rsidRPr="00070ADE">
        <w:rPr>
          <w:rStyle w:val="241"/>
          <w:rFonts w:ascii="Times New Roman" w:hAnsi="Times New Roman" w:cs="Times New Roman"/>
          <w:b w:val="0"/>
          <w:i w:val="0"/>
          <w:color w:val="000000" w:themeColor="text1"/>
          <w:sz w:val="16"/>
          <w:szCs w:val="16"/>
          <w:lang w:val="ru-RU"/>
        </w:rPr>
        <w:t xml:space="preserve"> будут готовы к сдаче на</w:t>
      </w:r>
      <w:r w:rsidRPr="00070ADE">
        <w:rPr>
          <w:rStyle w:val="104"/>
          <w:rFonts w:eastAsia="Arial Unicode MS"/>
          <w:color w:val="000000" w:themeColor="text1"/>
          <w:lang w:val="ru-RU"/>
        </w:rPr>
        <w:t xml:space="preserve"> </w:t>
      </w:r>
      <w:r w:rsidRPr="00070ADE">
        <w:rPr>
          <w:rStyle w:val="104"/>
          <w:rFonts w:eastAsia="Arial Unicode MS"/>
          <w:color w:val="000000" w:themeColor="text1"/>
          <w:lang w:val="ru-RU"/>
        </w:rPr>
        <w:lastRenderedPageBreak/>
        <w:t xml:space="preserve">производство 1-го июля 1944 </w:t>
      </w:r>
      <w:r w:rsidRPr="00070ADE">
        <w:rPr>
          <w:rStyle w:val="152"/>
          <w:rFonts w:ascii="Times New Roman" w:hAnsi="Times New Roman" w:cs="Times New Roman"/>
          <w:i w:val="0"/>
          <w:color w:val="000000" w:themeColor="text1"/>
          <w:sz w:val="16"/>
          <w:szCs w:val="16"/>
          <w:lang w:val="ru-RU"/>
        </w:rPr>
        <w:t>г., чертежи с герметической ка</w:t>
      </w:r>
      <w:r w:rsidRPr="00070ADE">
        <w:rPr>
          <w:rStyle w:val="152"/>
          <w:rFonts w:ascii="Times New Roman" w:hAnsi="Times New Roman" w:cs="Times New Roman"/>
          <w:i w:val="0"/>
          <w:color w:val="000000" w:themeColor="text1"/>
          <w:sz w:val="16"/>
          <w:szCs w:val="16"/>
          <w:lang w:val="ru-RU"/>
        </w:rPr>
        <w:softHyphen/>
        <w:t>биной будут готовы 1 августа 1944 г.».</w:t>
      </w:r>
    </w:p>
    <w:p w14:paraId="4DF2B57F" w14:textId="77777777" w:rsidR="002F4B64" w:rsidRPr="00070ADE" w:rsidRDefault="002F4B64" w:rsidP="00B56F90">
      <w:pPr>
        <w:pStyle w:val="a3"/>
        <w:rPr>
          <w:rStyle w:val="152"/>
          <w:rFonts w:ascii="Times New Roman" w:hAnsi="Times New Roman" w:cs="Times New Roman"/>
          <w:i w:val="0"/>
          <w:color w:val="000000" w:themeColor="text1"/>
          <w:sz w:val="16"/>
          <w:szCs w:val="16"/>
          <w:lang w:val="ru-RU"/>
        </w:rPr>
      </w:pPr>
      <w:r w:rsidRPr="00070ADE">
        <w:rPr>
          <w:rStyle w:val="221"/>
          <w:rFonts w:ascii="Times New Roman" w:hAnsi="Times New Roman" w:cs="Times New Roman"/>
          <w:b w:val="0"/>
          <w:color w:val="000000" w:themeColor="text1"/>
          <w:sz w:val="16"/>
          <w:szCs w:val="16"/>
          <w:lang w:val="ru-RU"/>
        </w:rPr>
        <w:t>Необходимо</w:t>
      </w:r>
      <w:r w:rsidRPr="00070ADE">
        <w:rPr>
          <w:color w:val="000000" w:themeColor="text1"/>
          <w:lang w:val="ru-RU"/>
        </w:rPr>
        <w:t xml:space="preserve"> отметить, что в период предварительных проработок по вы</w:t>
      </w:r>
      <w:r w:rsidRPr="00070ADE">
        <w:rPr>
          <w:color w:val="000000" w:themeColor="text1"/>
          <w:lang w:val="ru-RU"/>
        </w:rPr>
        <w:softHyphen/>
      </w:r>
      <w:r w:rsidRPr="00070ADE">
        <w:rPr>
          <w:rStyle w:val="221"/>
          <w:rFonts w:ascii="Times New Roman" w:hAnsi="Times New Roman" w:cs="Times New Roman"/>
          <w:b w:val="0"/>
          <w:color w:val="000000" w:themeColor="text1"/>
          <w:sz w:val="16"/>
          <w:szCs w:val="16"/>
          <w:lang w:val="ru-RU"/>
        </w:rPr>
        <w:t>бору</w:t>
      </w:r>
      <w:r w:rsidRPr="00070ADE">
        <w:rPr>
          <w:color w:val="000000" w:themeColor="text1"/>
          <w:lang w:val="ru-RU"/>
        </w:rPr>
        <w:t xml:space="preserve"> конфигурации и основных раз</w:t>
      </w:r>
      <w:r w:rsidRPr="00070ADE">
        <w:rPr>
          <w:color w:val="000000" w:themeColor="text1"/>
          <w:lang w:val="ru-RU"/>
        </w:rPr>
        <w:softHyphen/>
        <w:t xml:space="preserve">мерностей самолета рассматривалось несколько его различных вариантов, </w:t>
      </w:r>
      <w:r w:rsidRPr="00070ADE">
        <w:rPr>
          <w:rStyle w:val="221"/>
          <w:rFonts w:ascii="Times New Roman" w:hAnsi="Times New Roman" w:cs="Times New Roman"/>
          <w:b w:val="0"/>
          <w:color w:val="000000" w:themeColor="text1"/>
          <w:sz w:val="16"/>
          <w:szCs w:val="16"/>
          <w:lang w:val="ru-RU"/>
        </w:rPr>
        <w:t>в том</w:t>
      </w:r>
      <w:r w:rsidRPr="00070ADE">
        <w:rPr>
          <w:color w:val="000000" w:themeColor="text1"/>
          <w:lang w:val="ru-RU"/>
        </w:rPr>
        <w:t xml:space="preserve"> числе с герметичной кабиной; с высокорасположенным крылом; с двумя </w:t>
      </w:r>
      <w:r w:rsidRPr="00070ADE">
        <w:rPr>
          <w:rStyle w:val="221"/>
          <w:rFonts w:ascii="Times New Roman" w:hAnsi="Times New Roman" w:cs="Times New Roman"/>
          <w:b w:val="0"/>
          <w:color w:val="000000" w:themeColor="text1"/>
          <w:sz w:val="16"/>
          <w:szCs w:val="16"/>
          <w:lang w:val="ru-RU"/>
        </w:rPr>
        <w:t>и четырьмя</w:t>
      </w:r>
      <w:r w:rsidRPr="00070ADE">
        <w:rPr>
          <w:color w:val="000000" w:themeColor="text1"/>
          <w:lang w:val="ru-RU"/>
        </w:rPr>
        <w:t xml:space="preserve"> различными силовыми уста</w:t>
      </w:r>
      <w:r w:rsidRPr="00070ADE">
        <w:rPr>
          <w:color w:val="000000" w:themeColor="text1"/>
          <w:lang w:val="ru-RU"/>
        </w:rPr>
        <w:softHyphen/>
      </w:r>
      <w:r w:rsidRPr="00070ADE">
        <w:rPr>
          <w:rStyle w:val="221"/>
          <w:rFonts w:ascii="Times New Roman" w:hAnsi="Times New Roman" w:cs="Times New Roman"/>
          <w:b w:val="0"/>
          <w:color w:val="000000" w:themeColor="text1"/>
          <w:sz w:val="16"/>
          <w:szCs w:val="16"/>
          <w:lang w:val="ru-RU"/>
        </w:rPr>
        <w:t>новками.</w:t>
      </w:r>
      <w:r w:rsidRPr="00070ADE">
        <w:rPr>
          <w:color w:val="000000" w:themeColor="text1"/>
          <w:lang w:val="ru-RU"/>
        </w:rPr>
        <w:t xml:space="preserve"> Однако, только один из этих вариантов, а именно, двухмоторный транспортный самолет Ил-АЧ-31 был </w:t>
      </w:r>
      <w:r w:rsidRPr="00070ADE">
        <w:rPr>
          <w:rStyle w:val="221"/>
          <w:rFonts w:ascii="Times New Roman" w:hAnsi="Times New Roman" w:cs="Times New Roman"/>
          <w:b w:val="0"/>
          <w:color w:val="000000" w:themeColor="text1"/>
          <w:sz w:val="16"/>
          <w:szCs w:val="16"/>
          <w:lang w:val="ru-RU"/>
        </w:rPr>
        <w:t>4 января</w:t>
      </w:r>
      <w:r w:rsidRPr="00070ADE">
        <w:rPr>
          <w:color w:val="000000" w:themeColor="text1"/>
          <w:lang w:val="ru-RU"/>
        </w:rPr>
        <w:t xml:space="preserve"> 1944 г. утвержден главным конструктором, и в этом же месяце по</w:t>
      </w:r>
      <w:r w:rsidRPr="00070ADE">
        <w:rPr>
          <w:color w:val="000000" w:themeColor="text1"/>
          <w:lang w:val="ru-RU"/>
        </w:rPr>
        <w:softHyphen/>
      </w:r>
      <w:r w:rsidRPr="00070ADE">
        <w:rPr>
          <w:rStyle w:val="221"/>
          <w:rFonts w:ascii="Times New Roman" w:hAnsi="Times New Roman" w:cs="Times New Roman"/>
          <w:b w:val="0"/>
          <w:color w:val="000000" w:themeColor="text1"/>
          <w:sz w:val="16"/>
          <w:szCs w:val="16"/>
          <w:lang w:val="ru-RU"/>
        </w:rPr>
        <w:t>лучил</w:t>
      </w:r>
      <w:r w:rsidRPr="00070ADE">
        <w:rPr>
          <w:color w:val="000000" w:themeColor="text1"/>
          <w:lang w:val="ru-RU"/>
        </w:rPr>
        <w:t xml:space="preserve"> положительную оценку И.В. Ста</w:t>
      </w:r>
      <w:r w:rsidRPr="00070ADE">
        <w:rPr>
          <w:color w:val="000000" w:themeColor="text1"/>
          <w:lang w:val="ru-RU"/>
        </w:rPr>
        <w:softHyphen/>
        <w:t>лина, о чем в своей книге «Цель жизни» упоминает А.С. Яковлев. Немало хлопот конструкторскому коллективу доста</w:t>
      </w:r>
      <w:r w:rsidRPr="00070ADE">
        <w:rPr>
          <w:color w:val="000000" w:themeColor="text1"/>
          <w:lang w:val="ru-RU"/>
        </w:rPr>
        <w:softHyphen/>
        <w:t>вила работа над эскизным проектом самолета. Позднее С.В. Ильюшин, вспо</w:t>
      </w:r>
      <w:r w:rsidRPr="00070ADE">
        <w:rPr>
          <w:color w:val="000000" w:themeColor="text1"/>
          <w:lang w:val="ru-RU"/>
        </w:rPr>
        <w:softHyphen/>
      </w:r>
      <w:r w:rsidRPr="00070ADE">
        <w:rPr>
          <w:rStyle w:val="221"/>
          <w:rFonts w:ascii="Times New Roman" w:hAnsi="Times New Roman" w:cs="Times New Roman"/>
          <w:b w:val="0"/>
          <w:color w:val="000000" w:themeColor="text1"/>
          <w:sz w:val="16"/>
          <w:szCs w:val="16"/>
          <w:lang w:val="ru-RU"/>
        </w:rPr>
        <w:t>миная</w:t>
      </w:r>
      <w:r w:rsidRPr="00070ADE">
        <w:rPr>
          <w:color w:val="000000" w:themeColor="text1"/>
          <w:lang w:val="ru-RU"/>
        </w:rPr>
        <w:t xml:space="preserve"> о том периоде, говорил:</w:t>
      </w:r>
      <w:r w:rsidRPr="00070ADE">
        <w:rPr>
          <w:rStyle w:val="152"/>
          <w:rFonts w:ascii="Times New Roman" w:hAnsi="Times New Roman" w:cs="Times New Roman"/>
          <w:i w:val="0"/>
          <w:color w:val="000000" w:themeColor="text1"/>
          <w:sz w:val="16"/>
          <w:szCs w:val="16"/>
          <w:lang w:val="ru-RU"/>
        </w:rPr>
        <w:t xml:space="preserve"> «Тща</w:t>
      </w:r>
      <w:r w:rsidRPr="00070ADE">
        <w:rPr>
          <w:rStyle w:val="152"/>
          <w:rFonts w:ascii="Times New Roman" w:hAnsi="Times New Roman" w:cs="Times New Roman"/>
          <w:i w:val="0"/>
          <w:color w:val="000000" w:themeColor="text1"/>
          <w:sz w:val="16"/>
          <w:szCs w:val="16"/>
          <w:lang w:val="ru-RU"/>
        </w:rPr>
        <w:softHyphen/>
        <w:t>тельно разработанных требований к транспортному самолету тогда не было и</w:t>
      </w:r>
      <w:r w:rsidRPr="00070ADE">
        <w:rPr>
          <w:rStyle w:val="230"/>
          <w:rFonts w:ascii="Times New Roman" w:hAnsi="Times New Roman" w:cs="Times New Roman"/>
          <w:b w:val="0"/>
          <w:i w:val="0"/>
          <w:color w:val="000000" w:themeColor="text1"/>
          <w:sz w:val="16"/>
          <w:szCs w:val="16"/>
          <w:lang w:val="ru-RU"/>
        </w:rPr>
        <w:t xml:space="preserve"> в</w:t>
      </w:r>
      <w:r w:rsidRPr="00070ADE">
        <w:rPr>
          <w:rStyle w:val="152"/>
          <w:rFonts w:ascii="Times New Roman" w:hAnsi="Times New Roman" w:cs="Times New Roman"/>
          <w:i w:val="0"/>
          <w:color w:val="000000" w:themeColor="text1"/>
          <w:sz w:val="16"/>
          <w:szCs w:val="16"/>
          <w:lang w:val="ru-RU"/>
        </w:rPr>
        <w:t xml:space="preserve"> помине. Конструкторам приходилось проектировать самолет на свой страх и риск. Когда мы начали работать над проектом, многого из того, что требу</w:t>
      </w:r>
      <w:r w:rsidRPr="00070ADE">
        <w:rPr>
          <w:rStyle w:val="152"/>
          <w:rFonts w:ascii="Times New Roman" w:hAnsi="Times New Roman" w:cs="Times New Roman"/>
          <w:i w:val="0"/>
          <w:color w:val="000000" w:themeColor="text1"/>
          <w:sz w:val="16"/>
          <w:szCs w:val="16"/>
          <w:lang w:val="ru-RU"/>
        </w:rPr>
        <w:softHyphen/>
        <w:t>ется для оснащения современного воз</w:t>
      </w:r>
      <w:r w:rsidRPr="00070ADE">
        <w:rPr>
          <w:rStyle w:val="152"/>
          <w:rFonts w:ascii="Times New Roman" w:hAnsi="Times New Roman" w:cs="Times New Roman"/>
          <w:i w:val="0"/>
          <w:color w:val="000000" w:themeColor="text1"/>
          <w:sz w:val="16"/>
          <w:szCs w:val="16"/>
          <w:lang w:val="ru-RU"/>
        </w:rPr>
        <w:softHyphen/>
        <w:t>душного корабля не было. Однако это нас не обескуражило. Мы знали, что как только кончится война, у нас будут все возможности для оснащения граждан</w:t>
      </w:r>
      <w:r w:rsidRPr="00070ADE">
        <w:rPr>
          <w:rStyle w:val="152"/>
          <w:rFonts w:ascii="Times New Roman" w:hAnsi="Times New Roman" w:cs="Times New Roman"/>
          <w:i w:val="0"/>
          <w:color w:val="000000" w:themeColor="text1"/>
          <w:sz w:val="16"/>
          <w:szCs w:val="16"/>
          <w:lang w:val="ru-RU"/>
        </w:rPr>
        <w:softHyphen/>
        <w:t>ских самолетов самым довременным оборудованием» (15749).</w:t>
      </w:r>
    </w:p>
    <w:p w14:paraId="732995B6" w14:textId="77777777" w:rsidR="002F4B64" w:rsidRPr="00070ADE" w:rsidRDefault="002F4B64" w:rsidP="00B56F90">
      <w:pPr>
        <w:pStyle w:val="a3"/>
        <w:rPr>
          <w:color w:val="000000" w:themeColor="text1"/>
          <w:lang w:val="ru-RU"/>
        </w:rPr>
      </w:pPr>
    </w:p>
    <w:p w14:paraId="11A5FEF1"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12 апреле 1944 г. (отпечатана 12/</w:t>
      </w:r>
      <w:r w:rsidRPr="00C94B78">
        <w:rPr>
          <w:rStyle w:val="aff1"/>
          <w:rFonts w:ascii="Times New Roman" w:hAnsi="Times New Roman" w:cs="Times New Roman"/>
          <w:color w:val="0070C0"/>
          <w:spacing w:val="0"/>
          <w:sz w:val="16"/>
          <w:szCs w:val="16"/>
          <w:lang w:val="en-US"/>
        </w:rPr>
        <w:t>IV</w:t>
      </w:r>
      <w:r w:rsidRPr="00C94B78">
        <w:rPr>
          <w:rStyle w:val="aff1"/>
          <w:rFonts w:ascii="Times New Roman" w:hAnsi="Times New Roman" w:cs="Times New Roman"/>
          <w:color w:val="0070C0"/>
          <w:spacing w:val="0"/>
          <w:sz w:val="16"/>
          <w:szCs w:val="16"/>
        </w:rPr>
        <w:t>-44 г., входящий рег. номер 3-39_4937_13/</w:t>
      </w:r>
      <w:r w:rsidRPr="00C94B78">
        <w:rPr>
          <w:rStyle w:val="aff1"/>
          <w:rFonts w:ascii="Times New Roman" w:hAnsi="Times New Roman" w:cs="Times New Roman"/>
          <w:color w:val="0070C0"/>
          <w:spacing w:val="0"/>
          <w:sz w:val="16"/>
          <w:szCs w:val="16"/>
          <w:lang w:val="en-US"/>
        </w:rPr>
        <w:t>IV</w:t>
      </w:r>
      <w:r w:rsidRPr="00C94B78">
        <w:rPr>
          <w:rStyle w:val="aff1"/>
          <w:rFonts w:ascii="Times New Roman" w:hAnsi="Times New Roman" w:cs="Times New Roman"/>
          <w:color w:val="0070C0"/>
          <w:spacing w:val="0"/>
          <w:sz w:val="16"/>
          <w:szCs w:val="16"/>
        </w:rPr>
        <w:t>44) С.В.И. направил в НКАП</w:t>
      </w:r>
      <w:r>
        <w:rPr>
          <w:rStyle w:val="aff1"/>
          <w:rFonts w:ascii="Times New Roman" w:hAnsi="Times New Roman" w:cs="Times New Roman"/>
          <w:color w:val="0070C0"/>
        </w:rPr>
        <w:t xml:space="preserve"> </w:t>
      </w:r>
      <w:r w:rsidRPr="00C94B78">
        <w:rPr>
          <w:rStyle w:val="aff1"/>
          <w:rFonts w:ascii="Times New Roman" w:hAnsi="Times New Roman" w:cs="Times New Roman"/>
          <w:color w:val="0070C0"/>
          <w:spacing w:val="0"/>
          <w:sz w:val="16"/>
          <w:szCs w:val="16"/>
        </w:rPr>
        <w:t>объяснительную записку. Помимо самих соображений и предложений С.В. Ильюшина, интересен приложенный к документу ранее не публиковавшийся детальный трёхвидовой рисунок «дизельного» Ил-12.</w:t>
      </w:r>
    </w:p>
    <w:p w14:paraId="2832202B"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записке Ильюшин выдвигает предложение о создании двухмоторного пассажирского самолёта с двумя дизельными двигателями АЧ-31. При этом он считает не лишним привести доводы в обоснование необходимости развёртывания воздушного транс</w:t>
      </w:r>
      <w:r w:rsidRPr="00C94B78">
        <w:rPr>
          <w:rStyle w:val="aff1"/>
          <w:rFonts w:ascii="Times New Roman" w:hAnsi="Times New Roman" w:cs="Times New Roman"/>
          <w:color w:val="0070C0"/>
          <w:spacing w:val="0"/>
          <w:sz w:val="16"/>
          <w:szCs w:val="16"/>
        </w:rPr>
        <w:softHyphen/>
        <w:t>порта в стране в послевоенный период, хотя, как сказано выше, эта идея в принципе уже получила поддержку на самом верху.</w:t>
      </w:r>
    </w:p>
    <w:p w14:paraId="2608E970"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«Нет необходимости доказывать, – пишет Ильюшин, – что в послевоенный период транс</w:t>
      </w:r>
      <w:r w:rsidRPr="00C94B78">
        <w:rPr>
          <w:rStyle w:val="aff1"/>
          <w:rFonts w:ascii="Times New Roman" w:hAnsi="Times New Roman" w:cs="Times New Roman"/>
          <w:color w:val="0070C0"/>
          <w:spacing w:val="0"/>
          <w:sz w:val="16"/>
          <w:szCs w:val="16"/>
        </w:rPr>
        <w:softHyphen/>
        <w:t>портная авиация приобретёт огромное народно</w:t>
      </w:r>
      <w:r w:rsidRPr="00C94B78">
        <w:rPr>
          <w:rStyle w:val="aff1"/>
          <w:rFonts w:ascii="Times New Roman" w:hAnsi="Times New Roman" w:cs="Times New Roman"/>
          <w:color w:val="0070C0"/>
          <w:spacing w:val="0"/>
          <w:sz w:val="16"/>
          <w:szCs w:val="16"/>
        </w:rPr>
        <w:softHyphen/>
        <w:t>хозяйственное значение. &lt;…&gt; Прежде всего это вопрос о типе или типах транспортных самолётов. &lt;…&gt; Я остановлюсь лишь на одном типе самолёта. &lt;…&gt; При всех условиях тип двухмоторного транс</w:t>
      </w:r>
      <w:r w:rsidRPr="00C94B78">
        <w:rPr>
          <w:rStyle w:val="aff1"/>
          <w:rFonts w:ascii="Times New Roman" w:hAnsi="Times New Roman" w:cs="Times New Roman"/>
          <w:color w:val="0070C0"/>
          <w:spacing w:val="0"/>
          <w:sz w:val="16"/>
          <w:szCs w:val="16"/>
        </w:rPr>
        <w:softHyphen/>
        <w:t>портного самолёта будет одним из основных типов. &lt;…&gt; Самолёт «Дуглас» ДС-3 – хороший самолёт, но лишь для определённой полосы развития транс</w:t>
      </w:r>
      <w:r w:rsidRPr="00C94B78">
        <w:rPr>
          <w:rStyle w:val="aff1"/>
          <w:rFonts w:ascii="Times New Roman" w:hAnsi="Times New Roman" w:cs="Times New Roman"/>
          <w:color w:val="0070C0"/>
          <w:spacing w:val="0"/>
          <w:sz w:val="16"/>
          <w:szCs w:val="16"/>
        </w:rPr>
        <w:softHyphen/>
        <w:t xml:space="preserve">портной авиации. (Ильюшин здесь фактически имеет в виду советский лицензионный вариант самолёта </w:t>
      </w:r>
      <w:r w:rsidRPr="00C94B78">
        <w:rPr>
          <w:rStyle w:val="aff1"/>
          <w:rFonts w:ascii="Times New Roman" w:hAnsi="Times New Roman" w:cs="Times New Roman"/>
          <w:color w:val="0070C0"/>
          <w:spacing w:val="0"/>
          <w:sz w:val="16"/>
          <w:szCs w:val="16"/>
          <w:lang w:val="en-US"/>
        </w:rPr>
        <w:t>Douglas</w:t>
      </w:r>
      <w:r w:rsidRPr="00C94B78">
        <w:rPr>
          <w:rStyle w:val="aff1"/>
          <w:rFonts w:ascii="Times New Roman" w:hAnsi="Times New Roman" w:cs="Times New Roman"/>
          <w:color w:val="0070C0"/>
          <w:spacing w:val="0"/>
          <w:sz w:val="16"/>
          <w:szCs w:val="16"/>
        </w:rPr>
        <w:t xml:space="preserve"> </w:t>
      </w:r>
      <w:r w:rsidRPr="00C94B78">
        <w:rPr>
          <w:rStyle w:val="aff1"/>
          <w:rFonts w:ascii="Times New Roman" w:hAnsi="Times New Roman" w:cs="Times New Roman"/>
          <w:color w:val="0070C0"/>
          <w:spacing w:val="0"/>
          <w:sz w:val="16"/>
          <w:szCs w:val="16"/>
          <w:lang w:val="en-US"/>
        </w:rPr>
        <w:t>DC</w:t>
      </w:r>
      <w:r w:rsidRPr="00C94B78">
        <w:rPr>
          <w:rStyle w:val="aff1"/>
          <w:rFonts w:ascii="Times New Roman" w:hAnsi="Times New Roman" w:cs="Times New Roman"/>
          <w:color w:val="0070C0"/>
          <w:spacing w:val="0"/>
          <w:sz w:val="16"/>
          <w:szCs w:val="16"/>
        </w:rPr>
        <w:t>-3, который строился у нас под обозначе</w:t>
      </w:r>
      <w:r w:rsidRPr="00C94B78">
        <w:rPr>
          <w:rStyle w:val="aff1"/>
          <w:rFonts w:ascii="Times New Roman" w:hAnsi="Times New Roman" w:cs="Times New Roman"/>
          <w:color w:val="0070C0"/>
          <w:spacing w:val="0"/>
          <w:sz w:val="16"/>
          <w:szCs w:val="16"/>
        </w:rPr>
        <w:softHyphen/>
        <w:t>нием ПС-84, а затем Ли-2)</w:t>
      </w:r>
    </w:p>
    <w:p w14:paraId="3EF04308"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Уже теперь весьма ощутимой является потреб</w:t>
      </w:r>
      <w:r w:rsidRPr="00C94B78">
        <w:rPr>
          <w:rStyle w:val="aff1"/>
          <w:rFonts w:ascii="Times New Roman" w:hAnsi="Times New Roman" w:cs="Times New Roman"/>
          <w:color w:val="0070C0"/>
          <w:spacing w:val="0"/>
          <w:sz w:val="16"/>
          <w:szCs w:val="16"/>
        </w:rPr>
        <w:softHyphen/>
        <w:t>ность в увеличении крейсерской скорости у земли минимум до 300 клм в час.</w:t>
      </w:r>
    </w:p>
    <w:p w14:paraId="22485F7A"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Наличие у нашей Авиационной Промышленно</w:t>
      </w:r>
      <w:r w:rsidRPr="00C94B78">
        <w:rPr>
          <w:rStyle w:val="aff1"/>
          <w:rFonts w:ascii="Times New Roman" w:hAnsi="Times New Roman" w:cs="Times New Roman"/>
          <w:color w:val="0070C0"/>
          <w:spacing w:val="0"/>
          <w:sz w:val="16"/>
          <w:szCs w:val="16"/>
        </w:rPr>
        <w:softHyphen/>
        <w:t>сти дизель-мотора может обеспечить вторую очень важную данную транспортной авиации экономичность в расходовании топлива, причём топлива низкосортного.</w:t>
      </w:r>
    </w:p>
    <w:p w14:paraId="4D838F6E"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И, наконец, третья важная данная увеличение коммерческой нагрузки. Коммерческая нагрузка ДС-3 составляет 2000 кгр. требуется 3000–3500 кгр.</w:t>
      </w:r>
    </w:p>
    <w:p w14:paraId="4B224D12"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Исходя из указанных предпосылок представляется проект транспортного самолёта, вполне отвеча</w:t>
      </w:r>
      <w:r w:rsidRPr="00C94B78">
        <w:rPr>
          <w:rStyle w:val="aff1"/>
          <w:rFonts w:ascii="Times New Roman" w:hAnsi="Times New Roman" w:cs="Times New Roman"/>
          <w:color w:val="0070C0"/>
          <w:spacing w:val="0"/>
          <w:sz w:val="16"/>
          <w:szCs w:val="16"/>
        </w:rPr>
        <w:softHyphen/>
        <w:t>ющего современным требованиям» (орфография и пунктуация здесь и далее по подлиннику).</w:t>
      </w:r>
    </w:p>
    <w:p w14:paraId="7DF38AC5"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Далее Ильюшин представляет три сравнительные таблицы данных. В первой из них сопоставляются проектные лётно-технические характеристики самолёта Ил- АЧ-31</w:t>
      </w:r>
      <w:r w:rsidRPr="00C94B78">
        <w:rPr>
          <w:rStyle w:val="aff1"/>
          <w:rFonts w:ascii="Times New Roman" w:hAnsi="Times New Roman" w:cs="Times New Roman"/>
          <w:b/>
          <w:bCs/>
          <w:color w:val="0070C0"/>
          <w:spacing w:val="0"/>
          <w:sz w:val="16"/>
          <w:szCs w:val="16"/>
        </w:rPr>
        <w:t xml:space="preserve"> </w:t>
      </w:r>
      <w:r w:rsidRPr="00C94B78">
        <w:rPr>
          <w:rStyle w:val="aff1"/>
          <w:rFonts w:ascii="Times New Roman" w:hAnsi="Times New Roman" w:cs="Times New Roman"/>
          <w:color w:val="0070C0"/>
          <w:spacing w:val="0"/>
          <w:sz w:val="16"/>
          <w:szCs w:val="16"/>
        </w:rPr>
        <w:t>(так он поимено</w:t>
      </w:r>
      <w:r w:rsidRPr="00C94B78">
        <w:rPr>
          <w:rStyle w:val="aff1"/>
          <w:rFonts w:ascii="Times New Roman" w:hAnsi="Times New Roman" w:cs="Times New Roman"/>
          <w:color w:val="0070C0"/>
          <w:spacing w:val="0"/>
          <w:sz w:val="16"/>
          <w:szCs w:val="16"/>
        </w:rPr>
        <w:softHyphen/>
        <w:t xml:space="preserve">ван в документе) и реальные данные американских ДС-3 и ДС-54 (т.е. </w:t>
      </w:r>
      <w:r w:rsidRPr="00C94B78">
        <w:rPr>
          <w:rStyle w:val="aff1"/>
          <w:rFonts w:ascii="Times New Roman" w:hAnsi="Times New Roman" w:cs="Times New Roman"/>
          <w:color w:val="0070C0"/>
          <w:spacing w:val="0"/>
          <w:sz w:val="16"/>
          <w:szCs w:val="16"/>
          <w:lang w:val="en-US"/>
        </w:rPr>
        <w:t>Douglas</w:t>
      </w:r>
      <w:r w:rsidRPr="00C94B78">
        <w:rPr>
          <w:rStyle w:val="aff1"/>
          <w:rFonts w:ascii="Times New Roman" w:hAnsi="Times New Roman" w:cs="Times New Roman"/>
          <w:color w:val="0070C0"/>
          <w:spacing w:val="0"/>
          <w:sz w:val="16"/>
          <w:szCs w:val="16"/>
        </w:rPr>
        <w:t xml:space="preserve"> </w:t>
      </w:r>
      <w:r w:rsidRPr="00C94B78">
        <w:rPr>
          <w:rStyle w:val="aff1"/>
          <w:rFonts w:ascii="Times New Roman" w:hAnsi="Times New Roman" w:cs="Times New Roman"/>
          <w:color w:val="0070C0"/>
          <w:spacing w:val="0"/>
          <w:sz w:val="16"/>
          <w:szCs w:val="16"/>
          <w:lang w:val="en-US"/>
        </w:rPr>
        <w:t>DC</w:t>
      </w:r>
      <w:r w:rsidRPr="00C94B78">
        <w:rPr>
          <w:rStyle w:val="aff1"/>
          <w:rFonts w:ascii="Times New Roman" w:hAnsi="Times New Roman" w:cs="Times New Roman"/>
          <w:color w:val="0070C0"/>
          <w:spacing w:val="0"/>
          <w:sz w:val="16"/>
          <w:szCs w:val="16"/>
        </w:rPr>
        <w:t xml:space="preserve">-3 в виде лицензионного ПС-84 с моторами АШ-62ИР и </w:t>
      </w:r>
      <w:r w:rsidRPr="00C94B78">
        <w:rPr>
          <w:rStyle w:val="aff1"/>
          <w:rFonts w:ascii="Times New Roman" w:hAnsi="Times New Roman" w:cs="Times New Roman"/>
          <w:color w:val="0070C0"/>
          <w:spacing w:val="0"/>
          <w:sz w:val="16"/>
          <w:szCs w:val="16"/>
          <w:lang w:val="en-US"/>
        </w:rPr>
        <w:t>Douglas</w:t>
      </w:r>
      <w:r w:rsidRPr="00C94B78">
        <w:rPr>
          <w:rStyle w:val="aff1"/>
          <w:rFonts w:ascii="Times New Roman" w:hAnsi="Times New Roman" w:cs="Times New Roman"/>
          <w:color w:val="0070C0"/>
          <w:spacing w:val="0"/>
          <w:sz w:val="16"/>
          <w:szCs w:val="16"/>
        </w:rPr>
        <w:t xml:space="preserve"> </w:t>
      </w:r>
      <w:r w:rsidRPr="00C94B78">
        <w:rPr>
          <w:rStyle w:val="aff1"/>
          <w:rFonts w:ascii="Times New Roman" w:hAnsi="Times New Roman" w:cs="Times New Roman"/>
          <w:color w:val="0070C0"/>
          <w:spacing w:val="0"/>
          <w:sz w:val="16"/>
          <w:szCs w:val="16"/>
          <w:lang w:val="en-US"/>
        </w:rPr>
        <w:t>C</w:t>
      </w:r>
      <w:r w:rsidRPr="00C94B78">
        <w:rPr>
          <w:rStyle w:val="aff1"/>
          <w:rFonts w:ascii="Times New Roman" w:hAnsi="Times New Roman" w:cs="Times New Roman"/>
          <w:color w:val="0070C0"/>
          <w:spacing w:val="0"/>
          <w:sz w:val="16"/>
          <w:szCs w:val="16"/>
        </w:rPr>
        <w:t xml:space="preserve">-54 – военного варианта четырёхмоторного лайнера </w:t>
      </w:r>
      <w:r w:rsidRPr="00C94B78">
        <w:rPr>
          <w:rStyle w:val="aff1"/>
          <w:rFonts w:ascii="Times New Roman" w:hAnsi="Times New Roman" w:cs="Times New Roman"/>
          <w:color w:val="0070C0"/>
          <w:spacing w:val="0"/>
          <w:sz w:val="16"/>
          <w:szCs w:val="16"/>
          <w:lang w:val="en-US"/>
        </w:rPr>
        <w:t>DC</w:t>
      </w:r>
      <w:r w:rsidRPr="00C94B78">
        <w:rPr>
          <w:rStyle w:val="aff1"/>
          <w:rFonts w:ascii="Times New Roman" w:hAnsi="Times New Roman" w:cs="Times New Roman"/>
          <w:color w:val="0070C0"/>
          <w:spacing w:val="0"/>
          <w:sz w:val="16"/>
          <w:szCs w:val="16"/>
        </w:rPr>
        <w:t>-4. Транспорт</w:t>
      </w:r>
      <w:r w:rsidRPr="00C94B78">
        <w:rPr>
          <w:rStyle w:val="aff1"/>
          <w:rFonts w:ascii="Times New Roman" w:hAnsi="Times New Roman" w:cs="Times New Roman"/>
          <w:color w:val="0070C0"/>
          <w:spacing w:val="0"/>
          <w:sz w:val="16"/>
          <w:szCs w:val="16"/>
        </w:rPr>
        <w:softHyphen/>
        <w:t>ный С-54 с 1942 года широко применялся в вооружён</w:t>
      </w:r>
      <w:r w:rsidRPr="00C94B78">
        <w:rPr>
          <w:rStyle w:val="aff1"/>
          <w:rFonts w:ascii="Times New Roman" w:hAnsi="Times New Roman" w:cs="Times New Roman"/>
          <w:color w:val="0070C0"/>
          <w:spacing w:val="0"/>
          <w:sz w:val="16"/>
          <w:szCs w:val="16"/>
        </w:rPr>
        <w:softHyphen/>
        <w:t>ных силах США. Ильюшин берёт для сравнения ранний вариант С-54 с 4 моторами по 1100 л.с., позже стави</w:t>
      </w:r>
      <w:r w:rsidRPr="00C94B78">
        <w:rPr>
          <w:rStyle w:val="aff1"/>
          <w:rFonts w:ascii="Times New Roman" w:hAnsi="Times New Roman" w:cs="Times New Roman"/>
          <w:color w:val="0070C0"/>
          <w:spacing w:val="0"/>
          <w:sz w:val="16"/>
          <w:szCs w:val="16"/>
        </w:rPr>
        <w:softHyphen/>
        <w:t>лись более мощные моторы).</w:t>
      </w:r>
    </w:p>
    <w:p w14:paraId="031FA29A"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 xml:space="preserve">Из данных первой таблицы явствует, что Ил- АЧ-31, превосходя во всех отношениях </w:t>
      </w:r>
      <w:r w:rsidRPr="00C94B78">
        <w:rPr>
          <w:rStyle w:val="aff1"/>
          <w:rFonts w:ascii="Times New Roman" w:hAnsi="Times New Roman" w:cs="Times New Roman"/>
          <w:color w:val="0070C0"/>
          <w:spacing w:val="0"/>
          <w:sz w:val="16"/>
          <w:szCs w:val="16"/>
          <w:lang w:val="en-US"/>
        </w:rPr>
        <w:t>DC</w:t>
      </w:r>
      <w:r w:rsidRPr="00C94B78">
        <w:rPr>
          <w:rStyle w:val="aff1"/>
          <w:rFonts w:ascii="Times New Roman" w:hAnsi="Times New Roman" w:cs="Times New Roman"/>
          <w:color w:val="0070C0"/>
          <w:spacing w:val="0"/>
          <w:sz w:val="16"/>
          <w:szCs w:val="16"/>
        </w:rPr>
        <w:t>-3, по некоторым показателям был сопоставим с четырёхмоторным С-54 или даже превосходил его. Так, коммерческая нагрузка Ил- АЧ-31 составляла 3500 кг при общей мощности двигателей 1500 л.с. (2,33 кг на л.с.), а у С-54 – 4000 кг при общей мощности двигателей 4400 л.с. (0,9 кг на л.с.). Отношение коммерческой нагрузки к полётному весу у Ил- АЧ-31 составляло 3500/16500 = 0,212, а у С-54 – 4000/23587 = 0,17. Крейсерская («путевая») скорость «Ила» составляла 400 км/ч на высоте 6000 м, С-54 – 357 км/ч на высоте 3050 м. Потолок «Ила» – 9000 м, С-54 – 7720 м.</w:t>
      </w:r>
    </w:p>
    <w:p w14:paraId="6FADAB4F"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Во второй таблице приведены сравнительные экономические показатели тех же самолётов. Коммен</w:t>
      </w:r>
      <w:r w:rsidRPr="00C94B78">
        <w:rPr>
          <w:rStyle w:val="aff1"/>
          <w:rFonts w:ascii="Times New Roman" w:hAnsi="Times New Roman" w:cs="Times New Roman"/>
          <w:color w:val="0070C0"/>
          <w:spacing w:val="0"/>
          <w:sz w:val="16"/>
          <w:szCs w:val="16"/>
        </w:rPr>
        <w:softHyphen/>
        <w:t>тируя эти показатели, Ильюшин пишет:</w:t>
      </w:r>
    </w:p>
    <w:p w14:paraId="7491ECD6"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«Из этой таблицы видно, что для перевозки одного кгр. коммерческого груза требуется металла: для «ДС-3» – 4 кгр, для «ДС-54» - 4,32 кгр. и для Ил АЧ-31 – 2,85 кгр.</w:t>
      </w:r>
    </w:p>
    <w:p w14:paraId="1D37B752"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Соответственно, расход топлива для перевозки одного кгр. коммерческого груза на 100 км для «ДС-3» – 52 гр., для «ДС-54» – 57 гр. и для транспорт</w:t>
      </w:r>
      <w:r w:rsidRPr="00C94B78">
        <w:rPr>
          <w:rStyle w:val="aff1"/>
          <w:rFonts w:ascii="Times New Roman" w:hAnsi="Times New Roman" w:cs="Times New Roman"/>
          <w:color w:val="0070C0"/>
          <w:spacing w:val="0"/>
          <w:sz w:val="16"/>
          <w:szCs w:val="16"/>
        </w:rPr>
        <w:softHyphen/>
        <w:t>ного Ил-АЧ-31 – 32 гр.»</w:t>
      </w:r>
    </w:p>
    <w:p w14:paraId="7D8075B7"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Сравнительная таблица транспортных самолётов</w:t>
      </w:r>
    </w:p>
    <w:tbl>
      <w:tblPr>
        <w:tblOverlap w:val="never"/>
        <w:tblW w:w="0" w:type="auto"/>
        <w:tblLayout w:type="fixed"/>
        <w:tblCellMar>
          <w:left w:w="10" w:type="dxa"/>
          <w:right w:w="10" w:type="dxa"/>
        </w:tblCellMar>
        <w:tblLook w:val="0000" w:firstRow="0" w:lastRow="0" w:firstColumn="0" w:lastColumn="0" w:noHBand="0" w:noVBand="0"/>
      </w:tblPr>
      <w:tblGrid>
        <w:gridCol w:w="418"/>
        <w:gridCol w:w="1819"/>
        <w:gridCol w:w="979"/>
        <w:gridCol w:w="739"/>
        <w:gridCol w:w="888"/>
      </w:tblGrid>
      <w:tr w:rsidR="00D0391D" w:rsidRPr="00C94B78" w14:paraId="21A881A3" w14:textId="77777777" w:rsidTr="00D0391D">
        <w:trPr>
          <w:trHeight w:hRule="exact" w:val="821"/>
        </w:trPr>
        <w:tc>
          <w:tcPr>
            <w:tcW w:w="418" w:type="dxa"/>
            <w:tcBorders>
              <w:top w:val="single" w:sz="4" w:space="0" w:color="auto"/>
              <w:left w:val="single" w:sz="4" w:space="0" w:color="auto"/>
            </w:tcBorders>
            <w:vAlign w:val="center"/>
          </w:tcPr>
          <w:p w14:paraId="4430DEC6"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 пп</w:t>
            </w:r>
          </w:p>
        </w:tc>
        <w:tc>
          <w:tcPr>
            <w:tcW w:w="1819" w:type="dxa"/>
            <w:tcBorders>
              <w:top w:val="single" w:sz="4" w:space="0" w:color="auto"/>
              <w:left w:val="single" w:sz="4" w:space="0" w:color="auto"/>
            </w:tcBorders>
          </w:tcPr>
          <w:p w14:paraId="21DF1DFC" w14:textId="77777777" w:rsidR="00D0391D" w:rsidRPr="00C94B78" w:rsidRDefault="00D0391D" w:rsidP="00B56F90">
            <w:pPr>
              <w:spacing w:after="0" w:line="240" w:lineRule="auto"/>
              <w:jc w:val="both"/>
              <w:rPr>
                <w:rFonts w:ascii="Times New Roman" w:hAnsi="Times New Roman"/>
                <w:color w:val="0070C0"/>
                <w:sz w:val="16"/>
                <w:szCs w:val="16"/>
              </w:rPr>
            </w:pPr>
          </w:p>
        </w:tc>
        <w:tc>
          <w:tcPr>
            <w:tcW w:w="979" w:type="dxa"/>
            <w:tcBorders>
              <w:top w:val="single" w:sz="4" w:space="0" w:color="auto"/>
              <w:left w:val="single" w:sz="4" w:space="0" w:color="auto"/>
            </w:tcBorders>
            <w:vAlign w:val="center"/>
          </w:tcPr>
          <w:p w14:paraId="078E0E0A"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Транспорт. Ил- АЧ31</w:t>
            </w:r>
          </w:p>
        </w:tc>
        <w:tc>
          <w:tcPr>
            <w:tcW w:w="739" w:type="dxa"/>
            <w:tcBorders>
              <w:top w:val="single" w:sz="4" w:space="0" w:color="auto"/>
              <w:left w:val="single" w:sz="4" w:space="0" w:color="auto"/>
            </w:tcBorders>
          </w:tcPr>
          <w:p w14:paraId="6FBD3FAA"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ДС-3</w:t>
            </w:r>
          </w:p>
        </w:tc>
        <w:tc>
          <w:tcPr>
            <w:tcW w:w="888" w:type="dxa"/>
            <w:tcBorders>
              <w:top w:val="single" w:sz="4" w:space="0" w:color="auto"/>
              <w:left w:val="single" w:sz="4" w:space="0" w:color="auto"/>
              <w:right w:val="single" w:sz="4" w:space="0" w:color="auto"/>
            </w:tcBorders>
          </w:tcPr>
          <w:p w14:paraId="4A405923"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ДС-54</w:t>
            </w:r>
          </w:p>
        </w:tc>
      </w:tr>
      <w:tr w:rsidR="00D0391D" w:rsidRPr="00C94B78" w14:paraId="02525CC1" w14:textId="77777777" w:rsidTr="00D0391D">
        <w:trPr>
          <w:trHeight w:hRule="exact" w:val="1253"/>
        </w:trPr>
        <w:tc>
          <w:tcPr>
            <w:tcW w:w="418" w:type="dxa"/>
            <w:tcBorders>
              <w:top w:val="single" w:sz="4" w:space="0" w:color="auto"/>
              <w:left w:val="single" w:sz="4" w:space="0" w:color="auto"/>
            </w:tcBorders>
          </w:tcPr>
          <w:p w14:paraId="58820F99"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1</w:t>
            </w:r>
          </w:p>
        </w:tc>
        <w:tc>
          <w:tcPr>
            <w:tcW w:w="1819" w:type="dxa"/>
            <w:tcBorders>
              <w:top w:val="single" w:sz="4" w:space="0" w:color="auto"/>
              <w:left w:val="single" w:sz="4" w:space="0" w:color="auto"/>
            </w:tcBorders>
          </w:tcPr>
          <w:p w14:paraId="109D4211"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Тип и количество моторов</w:t>
            </w:r>
          </w:p>
        </w:tc>
        <w:tc>
          <w:tcPr>
            <w:tcW w:w="979" w:type="dxa"/>
            <w:tcBorders>
              <w:top w:val="single" w:sz="4" w:space="0" w:color="auto"/>
              <w:left w:val="single" w:sz="4" w:space="0" w:color="auto"/>
            </w:tcBorders>
          </w:tcPr>
          <w:p w14:paraId="7BFC45B6"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АЧ31</w:t>
            </w:r>
          </w:p>
          <w:p w14:paraId="180B5885"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2 шт</w:t>
            </w:r>
          </w:p>
        </w:tc>
        <w:tc>
          <w:tcPr>
            <w:tcW w:w="739" w:type="dxa"/>
            <w:tcBorders>
              <w:top w:val="single" w:sz="4" w:space="0" w:color="auto"/>
              <w:left w:val="single" w:sz="4" w:space="0" w:color="auto"/>
            </w:tcBorders>
          </w:tcPr>
          <w:p w14:paraId="064FB478"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М-62</w:t>
            </w:r>
          </w:p>
          <w:p w14:paraId="3ACB2461"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2 шт</w:t>
            </w:r>
          </w:p>
        </w:tc>
        <w:tc>
          <w:tcPr>
            <w:tcW w:w="888" w:type="dxa"/>
            <w:tcBorders>
              <w:top w:val="single" w:sz="4" w:space="0" w:color="auto"/>
              <w:left w:val="single" w:sz="4" w:space="0" w:color="auto"/>
              <w:right w:val="single" w:sz="4" w:space="0" w:color="auto"/>
            </w:tcBorders>
            <w:vAlign w:val="center"/>
          </w:tcPr>
          <w:p w14:paraId="1E3F6D57"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Пратт- Уитн. 4 шт</w:t>
            </w:r>
          </w:p>
        </w:tc>
      </w:tr>
      <w:tr w:rsidR="00D0391D" w:rsidRPr="00C94B78" w14:paraId="3C3CD964" w14:textId="77777777" w:rsidTr="00D0391D">
        <w:trPr>
          <w:trHeight w:hRule="exact" w:val="1253"/>
        </w:trPr>
        <w:tc>
          <w:tcPr>
            <w:tcW w:w="418" w:type="dxa"/>
            <w:tcBorders>
              <w:top w:val="single" w:sz="4" w:space="0" w:color="auto"/>
              <w:left w:val="single" w:sz="4" w:space="0" w:color="auto"/>
            </w:tcBorders>
          </w:tcPr>
          <w:p w14:paraId="2CBD09CB"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2</w:t>
            </w:r>
          </w:p>
        </w:tc>
        <w:tc>
          <w:tcPr>
            <w:tcW w:w="1819" w:type="dxa"/>
            <w:tcBorders>
              <w:top w:val="single" w:sz="4" w:space="0" w:color="auto"/>
              <w:left w:val="single" w:sz="4" w:space="0" w:color="auto"/>
            </w:tcBorders>
            <w:vAlign w:val="center"/>
          </w:tcPr>
          <w:p w14:paraId="6B2D74A2"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Мощность моторов</w:t>
            </w:r>
          </w:p>
          <w:p w14:paraId="49E04B0F"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номин</w:t>
            </w:r>
          </w:p>
          <w:p w14:paraId="3CAC60FB"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на высоте</w:t>
            </w:r>
          </w:p>
        </w:tc>
        <w:tc>
          <w:tcPr>
            <w:tcW w:w="979" w:type="dxa"/>
            <w:tcBorders>
              <w:top w:val="single" w:sz="4" w:space="0" w:color="auto"/>
              <w:left w:val="single" w:sz="4" w:space="0" w:color="auto"/>
            </w:tcBorders>
            <w:vAlign w:val="bottom"/>
          </w:tcPr>
          <w:p w14:paraId="3C11518E"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u w:val="single"/>
              </w:rPr>
              <w:t>3000</w:t>
            </w:r>
          </w:p>
          <w:p w14:paraId="7F727C4A"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6000</w:t>
            </w:r>
          </w:p>
        </w:tc>
        <w:tc>
          <w:tcPr>
            <w:tcW w:w="739" w:type="dxa"/>
            <w:tcBorders>
              <w:top w:val="single" w:sz="4" w:space="0" w:color="auto"/>
              <w:left w:val="single" w:sz="4" w:space="0" w:color="auto"/>
            </w:tcBorders>
            <w:vAlign w:val="bottom"/>
          </w:tcPr>
          <w:p w14:paraId="66171C90"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u w:val="single"/>
              </w:rPr>
              <w:t xml:space="preserve">2000 </w:t>
            </w:r>
            <w:r w:rsidRPr="00C94B78">
              <w:rPr>
                <w:rStyle w:val="affffff8"/>
                <w:rFonts w:ascii="Times New Roman" w:hAnsi="Times New Roman" w:cs="Times New Roman"/>
                <w:color w:val="0070C0"/>
                <w:sz w:val="16"/>
                <w:szCs w:val="16"/>
              </w:rPr>
              <w:t>0</w:t>
            </w:r>
          </w:p>
        </w:tc>
        <w:tc>
          <w:tcPr>
            <w:tcW w:w="888" w:type="dxa"/>
            <w:tcBorders>
              <w:top w:val="single" w:sz="4" w:space="0" w:color="auto"/>
              <w:left w:val="single" w:sz="4" w:space="0" w:color="auto"/>
              <w:right w:val="single" w:sz="4" w:space="0" w:color="auto"/>
            </w:tcBorders>
            <w:vAlign w:val="bottom"/>
          </w:tcPr>
          <w:p w14:paraId="1FAFBFEB"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u w:val="single"/>
              </w:rPr>
              <w:t>4400</w:t>
            </w:r>
          </w:p>
          <w:p w14:paraId="34625AA9"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2130</w:t>
            </w:r>
          </w:p>
        </w:tc>
      </w:tr>
      <w:tr w:rsidR="00D0391D" w:rsidRPr="00C94B78" w14:paraId="203BC4EE" w14:textId="77777777" w:rsidTr="00D0391D">
        <w:trPr>
          <w:trHeight w:hRule="exact" w:val="1248"/>
        </w:trPr>
        <w:tc>
          <w:tcPr>
            <w:tcW w:w="418" w:type="dxa"/>
            <w:tcBorders>
              <w:top w:val="single" w:sz="4" w:space="0" w:color="auto"/>
              <w:left w:val="single" w:sz="4" w:space="0" w:color="auto"/>
            </w:tcBorders>
          </w:tcPr>
          <w:p w14:paraId="056C9C8F"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3</w:t>
            </w:r>
          </w:p>
        </w:tc>
        <w:tc>
          <w:tcPr>
            <w:tcW w:w="1819" w:type="dxa"/>
            <w:tcBorders>
              <w:top w:val="single" w:sz="4" w:space="0" w:color="auto"/>
              <w:left w:val="single" w:sz="4" w:space="0" w:color="auto"/>
            </w:tcBorders>
            <w:vAlign w:val="center"/>
          </w:tcPr>
          <w:p w14:paraId="32BEDB83"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Полётный вес Пассажир. Транспорт.</w:t>
            </w:r>
          </w:p>
        </w:tc>
        <w:tc>
          <w:tcPr>
            <w:tcW w:w="979" w:type="dxa"/>
            <w:tcBorders>
              <w:top w:val="single" w:sz="4" w:space="0" w:color="auto"/>
              <w:left w:val="single" w:sz="4" w:space="0" w:color="auto"/>
            </w:tcBorders>
            <w:vAlign w:val="bottom"/>
          </w:tcPr>
          <w:p w14:paraId="5EF807F4"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16000</w:t>
            </w:r>
          </w:p>
          <w:p w14:paraId="6C5613E6"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16500</w:t>
            </w:r>
          </w:p>
        </w:tc>
        <w:tc>
          <w:tcPr>
            <w:tcW w:w="739" w:type="dxa"/>
            <w:tcBorders>
              <w:top w:val="single" w:sz="4" w:space="0" w:color="auto"/>
              <w:left w:val="single" w:sz="4" w:space="0" w:color="auto"/>
            </w:tcBorders>
            <w:vAlign w:val="center"/>
          </w:tcPr>
          <w:p w14:paraId="3D464CDA"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12000</w:t>
            </w:r>
          </w:p>
        </w:tc>
        <w:tc>
          <w:tcPr>
            <w:tcW w:w="888" w:type="dxa"/>
            <w:tcBorders>
              <w:top w:val="single" w:sz="4" w:space="0" w:color="auto"/>
              <w:left w:val="single" w:sz="4" w:space="0" w:color="auto"/>
              <w:right w:val="single" w:sz="4" w:space="0" w:color="auto"/>
            </w:tcBorders>
            <w:vAlign w:val="bottom"/>
          </w:tcPr>
          <w:p w14:paraId="4CFF090F"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w:t>
            </w:r>
          </w:p>
          <w:p w14:paraId="6F0B5153"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23587</w:t>
            </w:r>
          </w:p>
        </w:tc>
      </w:tr>
      <w:tr w:rsidR="00D0391D" w:rsidRPr="00C94B78" w14:paraId="226FC201" w14:textId="77777777" w:rsidTr="00D0391D">
        <w:trPr>
          <w:trHeight w:hRule="exact" w:val="1253"/>
        </w:trPr>
        <w:tc>
          <w:tcPr>
            <w:tcW w:w="418" w:type="dxa"/>
            <w:tcBorders>
              <w:top w:val="single" w:sz="4" w:space="0" w:color="auto"/>
              <w:left w:val="single" w:sz="4" w:space="0" w:color="auto"/>
            </w:tcBorders>
          </w:tcPr>
          <w:p w14:paraId="2FFEA7F8"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4</w:t>
            </w:r>
          </w:p>
        </w:tc>
        <w:tc>
          <w:tcPr>
            <w:tcW w:w="1819" w:type="dxa"/>
            <w:tcBorders>
              <w:top w:val="single" w:sz="4" w:space="0" w:color="auto"/>
              <w:left w:val="single" w:sz="4" w:space="0" w:color="auto"/>
            </w:tcBorders>
            <w:vAlign w:val="center"/>
          </w:tcPr>
          <w:p w14:paraId="577E8FD6"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Вес пустого самолёта Пассажир.</w:t>
            </w:r>
          </w:p>
          <w:p w14:paraId="2D60EE2B"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Транспорт.</w:t>
            </w:r>
          </w:p>
        </w:tc>
        <w:tc>
          <w:tcPr>
            <w:tcW w:w="979" w:type="dxa"/>
            <w:tcBorders>
              <w:top w:val="single" w:sz="4" w:space="0" w:color="auto"/>
              <w:left w:val="single" w:sz="4" w:space="0" w:color="auto"/>
            </w:tcBorders>
            <w:vAlign w:val="bottom"/>
          </w:tcPr>
          <w:p w14:paraId="7A9DB0E6"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11550</w:t>
            </w:r>
          </w:p>
          <w:p w14:paraId="0E985A20"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10930</w:t>
            </w:r>
          </w:p>
        </w:tc>
        <w:tc>
          <w:tcPr>
            <w:tcW w:w="739" w:type="dxa"/>
            <w:tcBorders>
              <w:top w:val="single" w:sz="4" w:space="0" w:color="auto"/>
              <w:left w:val="single" w:sz="4" w:space="0" w:color="auto"/>
            </w:tcBorders>
            <w:vAlign w:val="bottom"/>
          </w:tcPr>
          <w:p w14:paraId="05C626C4"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8000</w:t>
            </w:r>
          </w:p>
          <w:p w14:paraId="1DC9D5F7"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7400</w:t>
            </w:r>
          </w:p>
        </w:tc>
        <w:tc>
          <w:tcPr>
            <w:tcW w:w="888" w:type="dxa"/>
            <w:tcBorders>
              <w:top w:val="single" w:sz="4" w:space="0" w:color="auto"/>
              <w:left w:val="single" w:sz="4" w:space="0" w:color="auto"/>
              <w:right w:val="single" w:sz="4" w:space="0" w:color="auto"/>
            </w:tcBorders>
            <w:vAlign w:val="bottom"/>
          </w:tcPr>
          <w:p w14:paraId="63223760"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w:t>
            </w:r>
          </w:p>
          <w:p w14:paraId="32B34521"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16715</w:t>
            </w:r>
          </w:p>
        </w:tc>
      </w:tr>
      <w:tr w:rsidR="00D0391D" w:rsidRPr="00C94B78" w14:paraId="774B21A6" w14:textId="77777777" w:rsidTr="00D0391D">
        <w:trPr>
          <w:trHeight w:hRule="exact" w:val="610"/>
        </w:trPr>
        <w:tc>
          <w:tcPr>
            <w:tcW w:w="418" w:type="dxa"/>
            <w:tcBorders>
              <w:top w:val="single" w:sz="4" w:space="0" w:color="auto"/>
              <w:left w:val="single" w:sz="4" w:space="0" w:color="auto"/>
            </w:tcBorders>
            <w:vAlign w:val="center"/>
          </w:tcPr>
          <w:p w14:paraId="347270FD"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5</w:t>
            </w:r>
          </w:p>
        </w:tc>
        <w:tc>
          <w:tcPr>
            <w:tcW w:w="1819" w:type="dxa"/>
            <w:tcBorders>
              <w:top w:val="single" w:sz="4" w:space="0" w:color="auto"/>
              <w:left w:val="single" w:sz="4" w:space="0" w:color="auto"/>
            </w:tcBorders>
            <w:vAlign w:val="center"/>
          </w:tcPr>
          <w:p w14:paraId="25655E79"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Вес топлива</w:t>
            </w:r>
          </w:p>
        </w:tc>
        <w:tc>
          <w:tcPr>
            <w:tcW w:w="979" w:type="dxa"/>
            <w:tcBorders>
              <w:top w:val="single" w:sz="4" w:space="0" w:color="auto"/>
              <w:left w:val="single" w:sz="4" w:space="0" w:color="auto"/>
            </w:tcBorders>
            <w:vAlign w:val="center"/>
          </w:tcPr>
          <w:p w14:paraId="3CE60327"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1500</w:t>
            </w:r>
          </w:p>
        </w:tc>
        <w:tc>
          <w:tcPr>
            <w:tcW w:w="739" w:type="dxa"/>
            <w:tcBorders>
              <w:top w:val="single" w:sz="4" w:space="0" w:color="auto"/>
              <w:left w:val="single" w:sz="4" w:space="0" w:color="auto"/>
            </w:tcBorders>
            <w:vAlign w:val="center"/>
          </w:tcPr>
          <w:p w14:paraId="5F13B5AD"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1330</w:t>
            </w:r>
          </w:p>
        </w:tc>
        <w:tc>
          <w:tcPr>
            <w:tcW w:w="888" w:type="dxa"/>
            <w:tcBorders>
              <w:top w:val="single" w:sz="4" w:space="0" w:color="auto"/>
              <w:left w:val="single" w:sz="4" w:space="0" w:color="auto"/>
              <w:right w:val="single" w:sz="4" w:space="0" w:color="auto"/>
            </w:tcBorders>
            <w:vAlign w:val="center"/>
          </w:tcPr>
          <w:p w14:paraId="122D84C5"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w:t>
            </w:r>
          </w:p>
        </w:tc>
      </w:tr>
      <w:tr w:rsidR="00D0391D" w:rsidRPr="00C94B78" w14:paraId="0A69F595" w14:textId="77777777" w:rsidTr="00D0391D">
        <w:trPr>
          <w:trHeight w:hRule="exact" w:val="931"/>
        </w:trPr>
        <w:tc>
          <w:tcPr>
            <w:tcW w:w="418" w:type="dxa"/>
            <w:tcBorders>
              <w:top w:val="single" w:sz="4" w:space="0" w:color="auto"/>
              <w:left w:val="single" w:sz="4" w:space="0" w:color="auto"/>
            </w:tcBorders>
          </w:tcPr>
          <w:p w14:paraId="1856E454"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6</w:t>
            </w:r>
          </w:p>
        </w:tc>
        <w:tc>
          <w:tcPr>
            <w:tcW w:w="1819" w:type="dxa"/>
            <w:tcBorders>
              <w:top w:val="single" w:sz="4" w:space="0" w:color="auto"/>
              <w:left w:val="single" w:sz="4" w:space="0" w:color="auto"/>
            </w:tcBorders>
            <w:vAlign w:val="center"/>
          </w:tcPr>
          <w:p w14:paraId="58822A47"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Коммерческая нагрузка</w:t>
            </w:r>
          </w:p>
        </w:tc>
        <w:tc>
          <w:tcPr>
            <w:tcW w:w="979" w:type="dxa"/>
            <w:tcBorders>
              <w:top w:val="single" w:sz="4" w:space="0" w:color="auto"/>
              <w:left w:val="single" w:sz="4" w:space="0" w:color="auto"/>
            </w:tcBorders>
            <w:vAlign w:val="bottom"/>
          </w:tcPr>
          <w:p w14:paraId="149CD5BD"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3500</w:t>
            </w:r>
          </w:p>
        </w:tc>
        <w:tc>
          <w:tcPr>
            <w:tcW w:w="739" w:type="dxa"/>
            <w:tcBorders>
              <w:top w:val="single" w:sz="4" w:space="0" w:color="auto"/>
              <w:left w:val="single" w:sz="4" w:space="0" w:color="auto"/>
            </w:tcBorders>
            <w:vAlign w:val="bottom"/>
          </w:tcPr>
          <w:p w14:paraId="5FC0755F"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2000</w:t>
            </w:r>
          </w:p>
        </w:tc>
        <w:tc>
          <w:tcPr>
            <w:tcW w:w="888" w:type="dxa"/>
            <w:tcBorders>
              <w:top w:val="single" w:sz="4" w:space="0" w:color="auto"/>
              <w:left w:val="single" w:sz="4" w:space="0" w:color="auto"/>
              <w:right w:val="single" w:sz="4" w:space="0" w:color="auto"/>
            </w:tcBorders>
            <w:vAlign w:val="bottom"/>
          </w:tcPr>
          <w:p w14:paraId="7563A2D0"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4000</w:t>
            </w:r>
          </w:p>
        </w:tc>
      </w:tr>
      <w:tr w:rsidR="00D0391D" w:rsidRPr="00C94B78" w14:paraId="7294F9ED" w14:textId="77777777" w:rsidTr="00D0391D">
        <w:trPr>
          <w:trHeight w:hRule="exact" w:val="610"/>
        </w:trPr>
        <w:tc>
          <w:tcPr>
            <w:tcW w:w="418" w:type="dxa"/>
            <w:tcBorders>
              <w:top w:val="single" w:sz="4" w:space="0" w:color="auto"/>
              <w:left w:val="single" w:sz="4" w:space="0" w:color="auto"/>
            </w:tcBorders>
            <w:vAlign w:val="center"/>
          </w:tcPr>
          <w:p w14:paraId="1DFF1DE3"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7</w:t>
            </w:r>
          </w:p>
        </w:tc>
        <w:tc>
          <w:tcPr>
            <w:tcW w:w="1819" w:type="dxa"/>
            <w:tcBorders>
              <w:top w:val="single" w:sz="4" w:space="0" w:color="auto"/>
              <w:left w:val="single" w:sz="4" w:space="0" w:color="auto"/>
            </w:tcBorders>
            <w:vAlign w:val="center"/>
          </w:tcPr>
          <w:p w14:paraId="5F2A4F40"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Число пассажиров</w:t>
            </w:r>
          </w:p>
        </w:tc>
        <w:tc>
          <w:tcPr>
            <w:tcW w:w="979" w:type="dxa"/>
            <w:tcBorders>
              <w:top w:val="single" w:sz="4" w:space="0" w:color="auto"/>
              <w:left w:val="single" w:sz="4" w:space="0" w:color="auto"/>
            </w:tcBorders>
            <w:vAlign w:val="center"/>
          </w:tcPr>
          <w:p w14:paraId="752F3685"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27</w:t>
            </w:r>
          </w:p>
        </w:tc>
        <w:tc>
          <w:tcPr>
            <w:tcW w:w="739" w:type="dxa"/>
            <w:tcBorders>
              <w:top w:val="single" w:sz="4" w:space="0" w:color="auto"/>
              <w:left w:val="single" w:sz="4" w:space="0" w:color="auto"/>
            </w:tcBorders>
            <w:vAlign w:val="center"/>
          </w:tcPr>
          <w:p w14:paraId="2F4B7837"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21</w:t>
            </w:r>
          </w:p>
        </w:tc>
        <w:tc>
          <w:tcPr>
            <w:tcW w:w="888" w:type="dxa"/>
            <w:tcBorders>
              <w:top w:val="single" w:sz="4" w:space="0" w:color="auto"/>
              <w:left w:val="single" w:sz="4" w:space="0" w:color="auto"/>
              <w:right w:val="single" w:sz="4" w:space="0" w:color="auto"/>
            </w:tcBorders>
            <w:vAlign w:val="center"/>
          </w:tcPr>
          <w:p w14:paraId="7D4F9F08"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w:t>
            </w:r>
          </w:p>
        </w:tc>
      </w:tr>
      <w:tr w:rsidR="00D0391D" w:rsidRPr="00C94B78" w14:paraId="02B3DBAB" w14:textId="77777777" w:rsidTr="00D0391D">
        <w:trPr>
          <w:trHeight w:hRule="exact" w:val="1608"/>
        </w:trPr>
        <w:tc>
          <w:tcPr>
            <w:tcW w:w="418" w:type="dxa"/>
            <w:tcBorders>
              <w:top w:val="single" w:sz="4" w:space="0" w:color="auto"/>
              <w:left w:val="single" w:sz="4" w:space="0" w:color="auto"/>
              <w:bottom w:val="single" w:sz="4" w:space="0" w:color="auto"/>
            </w:tcBorders>
          </w:tcPr>
          <w:p w14:paraId="5844FB66"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lastRenderedPageBreak/>
              <w:t>8</w:t>
            </w:r>
          </w:p>
        </w:tc>
        <w:tc>
          <w:tcPr>
            <w:tcW w:w="1819" w:type="dxa"/>
            <w:tcBorders>
              <w:top w:val="single" w:sz="4" w:space="0" w:color="auto"/>
              <w:left w:val="single" w:sz="4" w:space="0" w:color="auto"/>
              <w:bottom w:val="single" w:sz="4" w:space="0" w:color="auto"/>
            </w:tcBorders>
            <w:vAlign w:val="center"/>
          </w:tcPr>
          <w:p w14:paraId="696D4D19"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Максимальная</w:t>
            </w:r>
          </w:p>
          <w:p w14:paraId="21339824"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скорость</w:t>
            </w:r>
          </w:p>
          <w:p w14:paraId="536071AC"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у земли</w:t>
            </w:r>
          </w:p>
          <w:p w14:paraId="35F5B019"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на высоте</w:t>
            </w:r>
          </w:p>
        </w:tc>
        <w:tc>
          <w:tcPr>
            <w:tcW w:w="979" w:type="dxa"/>
            <w:tcBorders>
              <w:top w:val="single" w:sz="4" w:space="0" w:color="auto"/>
              <w:left w:val="single" w:sz="4" w:space="0" w:color="auto"/>
              <w:bottom w:val="single" w:sz="4" w:space="0" w:color="auto"/>
            </w:tcBorders>
            <w:vAlign w:val="bottom"/>
          </w:tcPr>
          <w:p w14:paraId="2D71760A"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390</w:t>
            </w:r>
          </w:p>
          <w:p w14:paraId="74CA37FE"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u w:val="single"/>
              </w:rPr>
              <w:t>470</w:t>
            </w:r>
          </w:p>
          <w:p w14:paraId="0CD30DBA"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6000</w:t>
            </w:r>
          </w:p>
        </w:tc>
        <w:tc>
          <w:tcPr>
            <w:tcW w:w="739" w:type="dxa"/>
            <w:tcBorders>
              <w:top w:val="single" w:sz="4" w:space="0" w:color="auto"/>
              <w:left w:val="single" w:sz="4" w:space="0" w:color="auto"/>
              <w:bottom w:val="single" w:sz="4" w:space="0" w:color="auto"/>
            </w:tcBorders>
            <w:vAlign w:val="center"/>
          </w:tcPr>
          <w:p w14:paraId="17C25531"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309</w:t>
            </w:r>
          </w:p>
        </w:tc>
        <w:tc>
          <w:tcPr>
            <w:tcW w:w="888" w:type="dxa"/>
            <w:tcBorders>
              <w:top w:val="single" w:sz="4" w:space="0" w:color="auto"/>
              <w:left w:val="single" w:sz="4" w:space="0" w:color="auto"/>
              <w:bottom w:val="single" w:sz="4" w:space="0" w:color="auto"/>
              <w:right w:val="single" w:sz="4" w:space="0" w:color="auto"/>
            </w:tcBorders>
            <w:vAlign w:val="bottom"/>
          </w:tcPr>
          <w:p w14:paraId="154AEA42"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414</w:t>
            </w:r>
          </w:p>
          <w:p w14:paraId="760994F4"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u w:val="single"/>
              </w:rPr>
              <w:t>421</w:t>
            </w:r>
          </w:p>
          <w:p w14:paraId="68A45092"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4690</w:t>
            </w:r>
          </w:p>
        </w:tc>
      </w:tr>
      <w:tr w:rsidR="00D0391D" w:rsidRPr="00C94B78" w14:paraId="4C107158" w14:textId="77777777" w:rsidTr="00D0391D">
        <w:trPr>
          <w:trHeight w:hRule="exact" w:val="1608"/>
        </w:trPr>
        <w:tc>
          <w:tcPr>
            <w:tcW w:w="418" w:type="dxa"/>
            <w:tcBorders>
              <w:top w:val="single" w:sz="4" w:space="0" w:color="auto"/>
              <w:left w:val="single" w:sz="4" w:space="0" w:color="auto"/>
              <w:bottom w:val="single" w:sz="4" w:space="0" w:color="auto"/>
            </w:tcBorders>
          </w:tcPr>
          <w:p w14:paraId="48FECE71"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9</w:t>
            </w:r>
          </w:p>
        </w:tc>
        <w:tc>
          <w:tcPr>
            <w:tcW w:w="1819" w:type="dxa"/>
            <w:tcBorders>
              <w:top w:val="single" w:sz="4" w:space="0" w:color="auto"/>
              <w:left w:val="single" w:sz="4" w:space="0" w:color="auto"/>
              <w:bottom w:val="single" w:sz="4" w:space="0" w:color="auto"/>
            </w:tcBorders>
            <w:vAlign w:val="center"/>
          </w:tcPr>
          <w:p w14:paraId="72429C0B"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Путевая скорость</w:t>
            </w:r>
          </w:p>
        </w:tc>
        <w:tc>
          <w:tcPr>
            <w:tcW w:w="979" w:type="dxa"/>
            <w:tcBorders>
              <w:top w:val="single" w:sz="4" w:space="0" w:color="auto"/>
              <w:left w:val="single" w:sz="4" w:space="0" w:color="auto"/>
              <w:bottom w:val="single" w:sz="4" w:space="0" w:color="auto"/>
            </w:tcBorders>
            <w:vAlign w:val="bottom"/>
          </w:tcPr>
          <w:p w14:paraId="00693E6C"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325</w:t>
            </w:r>
          </w:p>
        </w:tc>
        <w:tc>
          <w:tcPr>
            <w:tcW w:w="739" w:type="dxa"/>
            <w:tcBorders>
              <w:top w:val="single" w:sz="4" w:space="0" w:color="auto"/>
              <w:left w:val="single" w:sz="4" w:space="0" w:color="auto"/>
              <w:bottom w:val="single" w:sz="4" w:space="0" w:color="auto"/>
            </w:tcBorders>
            <w:vAlign w:val="center"/>
          </w:tcPr>
          <w:p w14:paraId="608C626A"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w:t>
            </w:r>
          </w:p>
        </w:tc>
        <w:tc>
          <w:tcPr>
            <w:tcW w:w="888" w:type="dxa"/>
            <w:tcBorders>
              <w:top w:val="single" w:sz="4" w:space="0" w:color="auto"/>
              <w:left w:val="single" w:sz="4" w:space="0" w:color="auto"/>
              <w:bottom w:val="single" w:sz="4" w:space="0" w:color="auto"/>
              <w:right w:val="single" w:sz="4" w:space="0" w:color="auto"/>
            </w:tcBorders>
            <w:vAlign w:val="bottom"/>
          </w:tcPr>
          <w:p w14:paraId="04A86AA8"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w:t>
            </w:r>
          </w:p>
        </w:tc>
      </w:tr>
      <w:tr w:rsidR="00D0391D" w:rsidRPr="00C94B78" w14:paraId="3D9C992D" w14:textId="77777777" w:rsidTr="00D0391D">
        <w:trPr>
          <w:trHeight w:hRule="exact" w:val="1608"/>
        </w:trPr>
        <w:tc>
          <w:tcPr>
            <w:tcW w:w="418" w:type="dxa"/>
            <w:tcBorders>
              <w:top w:val="single" w:sz="4" w:space="0" w:color="auto"/>
              <w:left w:val="single" w:sz="4" w:space="0" w:color="auto"/>
              <w:bottom w:val="single" w:sz="4" w:space="0" w:color="auto"/>
            </w:tcBorders>
          </w:tcPr>
          <w:p w14:paraId="2DD90D4B" w14:textId="77777777" w:rsidR="00D0391D" w:rsidRPr="00C94B78" w:rsidRDefault="00D0391D" w:rsidP="00B56F90">
            <w:pPr>
              <w:pStyle w:val="affffff9"/>
              <w:ind w:firstLine="0"/>
              <w:jc w:val="both"/>
              <w:rPr>
                <w:rFonts w:ascii="Times New Roman" w:hAnsi="Times New Roman" w:cs="Times New Roman"/>
                <w:color w:val="0070C0"/>
                <w:sz w:val="16"/>
                <w:szCs w:val="16"/>
              </w:rPr>
            </w:pPr>
          </w:p>
        </w:tc>
        <w:tc>
          <w:tcPr>
            <w:tcW w:w="1819" w:type="dxa"/>
            <w:tcBorders>
              <w:top w:val="single" w:sz="4" w:space="0" w:color="auto"/>
              <w:left w:val="single" w:sz="4" w:space="0" w:color="auto"/>
              <w:bottom w:val="single" w:sz="4" w:space="0" w:color="auto"/>
            </w:tcBorders>
            <w:vAlign w:val="center"/>
          </w:tcPr>
          <w:p w14:paraId="7ADFC54B"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у земли</w:t>
            </w:r>
          </w:p>
        </w:tc>
        <w:tc>
          <w:tcPr>
            <w:tcW w:w="979" w:type="dxa"/>
            <w:tcBorders>
              <w:top w:val="single" w:sz="4" w:space="0" w:color="auto"/>
              <w:left w:val="single" w:sz="4" w:space="0" w:color="auto"/>
              <w:bottom w:val="single" w:sz="4" w:space="0" w:color="auto"/>
            </w:tcBorders>
            <w:vAlign w:val="bottom"/>
          </w:tcPr>
          <w:p w14:paraId="75A0C049"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400</w:t>
            </w:r>
          </w:p>
        </w:tc>
        <w:tc>
          <w:tcPr>
            <w:tcW w:w="739" w:type="dxa"/>
            <w:tcBorders>
              <w:top w:val="single" w:sz="4" w:space="0" w:color="auto"/>
              <w:left w:val="single" w:sz="4" w:space="0" w:color="auto"/>
              <w:bottom w:val="single" w:sz="4" w:space="0" w:color="auto"/>
            </w:tcBorders>
            <w:vAlign w:val="center"/>
          </w:tcPr>
          <w:p w14:paraId="32FD9C0B"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w:t>
            </w:r>
          </w:p>
        </w:tc>
        <w:tc>
          <w:tcPr>
            <w:tcW w:w="888" w:type="dxa"/>
            <w:tcBorders>
              <w:top w:val="single" w:sz="4" w:space="0" w:color="auto"/>
              <w:left w:val="single" w:sz="4" w:space="0" w:color="auto"/>
              <w:bottom w:val="single" w:sz="4" w:space="0" w:color="auto"/>
              <w:right w:val="single" w:sz="4" w:space="0" w:color="auto"/>
            </w:tcBorders>
            <w:vAlign w:val="bottom"/>
          </w:tcPr>
          <w:p w14:paraId="46581EA6"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357</w:t>
            </w:r>
          </w:p>
        </w:tc>
      </w:tr>
      <w:tr w:rsidR="00D0391D" w:rsidRPr="00C94B78" w14:paraId="59353741" w14:textId="77777777" w:rsidTr="00D0391D">
        <w:trPr>
          <w:trHeight w:hRule="exact" w:val="1608"/>
        </w:trPr>
        <w:tc>
          <w:tcPr>
            <w:tcW w:w="418" w:type="dxa"/>
            <w:tcBorders>
              <w:top w:val="single" w:sz="4" w:space="0" w:color="auto"/>
              <w:left w:val="single" w:sz="4" w:space="0" w:color="auto"/>
              <w:bottom w:val="single" w:sz="4" w:space="0" w:color="auto"/>
            </w:tcBorders>
          </w:tcPr>
          <w:p w14:paraId="3BAD2924" w14:textId="77777777" w:rsidR="00D0391D" w:rsidRPr="00C94B78" w:rsidRDefault="00D0391D" w:rsidP="00B56F90">
            <w:pPr>
              <w:pStyle w:val="affffff9"/>
              <w:ind w:firstLine="0"/>
              <w:jc w:val="both"/>
              <w:rPr>
                <w:rFonts w:ascii="Times New Roman" w:hAnsi="Times New Roman" w:cs="Times New Roman"/>
                <w:color w:val="0070C0"/>
                <w:sz w:val="16"/>
                <w:szCs w:val="16"/>
              </w:rPr>
            </w:pPr>
          </w:p>
        </w:tc>
        <w:tc>
          <w:tcPr>
            <w:tcW w:w="1819" w:type="dxa"/>
            <w:tcBorders>
              <w:top w:val="single" w:sz="4" w:space="0" w:color="auto"/>
              <w:left w:val="single" w:sz="4" w:space="0" w:color="auto"/>
              <w:bottom w:val="single" w:sz="4" w:space="0" w:color="auto"/>
            </w:tcBorders>
            <w:vAlign w:val="center"/>
          </w:tcPr>
          <w:p w14:paraId="7D102317"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на высоте</w:t>
            </w:r>
          </w:p>
        </w:tc>
        <w:tc>
          <w:tcPr>
            <w:tcW w:w="979" w:type="dxa"/>
            <w:tcBorders>
              <w:top w:val="single" w:sz="4" w:space="0" w:color="auto"/>
              <w:left w:val="single" w:sz="4" w:space="0" w:color="auto"/>
              <w:bottom w:val="single" w:sz="4" w:space="0" w:color="auto"/>
            </w:tcBorders>
            <w:vAlign w:val="bottom"/>
          </w:tcPr>
          <w:p w14:paraId="6F1F2177"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6000</w:t>
            </w:r>
          </w:p>
        </w:tc>
        <w:tc>
          <w:tcPr>
            <w:tcW w:w="739" w:type="dxa"/>
            <w:tcBorders>
              <w:top w:val="single" w:sz="4" w:space="0" w:color="auto"/>
              <w:left w:val="single" w:sz="4" w:space="0" w:color="auto"/>
              <w:bottom w:val="single" w:sz="4" w:space="0" w:color="auto"/>
            </w:tcBorders>
            <w:vAlign w:val="center"/>
          </w:tcPr>
          <w:p w14:paraId="1853B2AA" w14:textId="77777777" w:rsidR="00D0391D" w:rsidRPr="00C94B78" w:rsidRDefault="00D0391D" w:rsidP="00B56F90">
            <w:pPr>
              <w:pStyle w:val="affffff9"/>
              <w:ind w:firstLine="0"/>
              <w:jc w:val="both"/>
              <w:rPr>
                <w:rFonts w:ascii="Times New Roman" w:hAnsi="Times New Roman" w:cs="Times New Roman"/>
                <w:color w:val="0070C0"/>
                <w:sz w:val="16"/>
                <w:szCs w:val="16"/>
              </w:rPr>
            </w:pPr>
          </w:p>
        </w:tc>
        <w:tc>
          <w:tcPr>
            <w:tcW w:w="888" w:type="dxa"/>
            <w:tcBorders>
              <w:top w:val="single" w:sz="4" w:space="0" w:color="auto"/>
              <w:left w:val="single" w:sz="4" w:space="0" w:color="auto"/>
              <w:bottom w:val="single" w:sz="4" w:space="0" w:color="auto"/>
              <w:right w:val="single" w:sz="4" w:space="0" w:color="auto"/>
            </w:tcBorders>
            <w:vAlign w:val="bottom"/>
          </w:tcPr>
          <w:p w14:paraId="5DF9F4E7"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3050</w:t>
            </w:r>
          </w:p>
        </w:tc>
      </w:tr>
      <w:tr w:rsidR="00D0391D" w:rsidRPr="00C94B78" w14:paraId="7F19D6E0" w14:textId="77777777" w:rsidTr="00D0391D">
        <w:trPr>
          <w:trHeight w:hRule="exact" w:val="1608"/>
        </w:trPr>
        <w:tc>
          <w:tcPr>
            <w:tcW w:w="418" w:type="dxa"/>
            <w:tcBorders>
              <w:top w:val="single" w:sz="4" w:space="0" w:color="auto"/>
              <w:left w:val="single" w:sz="4" w:space="0" w:color="auto"/>
              <w:bottom w:val="single" w:sz="4" w:space="0" w:color="auto"/>
            </w:tcBorders>
          </w:tcPr>
          <w:p w14:paraId="6995A3AF"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10</w:t>
            </w:r>
          </w:p>
        </w:tc>
        <w:tc>
          <w:tcPr>
            <w:tcW w:w="1819" w:type="dxa"/>
            <w:tcBorders>
              <w:top w:val="single" w:sz="4" w:space="0" w:color="auto"/>
              <w:left w:val="single" w:sz="4" w:space="0" w:color="auto"/>
              <w:bottom w:val="single" w:sz="4" w:space="0" w:color="auto"/>
            </w:tcBorders>
            <w:vAlign w:val="center"/>
          </w:tcPr>
          <w:p w14:paraId="2CB56012"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Дальность самолёта</w:t>
            </w:r>
          </w:p>
        </w:tc>
        <w:tc>
          <w:tcPr>
            <w:tcW w:w="979" w:type="dxa"/>
            <w:tcBorders>
              <w:top w:val="single" w:sz="4" w:space="0" w:color="auto"/>
              <w:left w:val="single" w:sz="4" w:space="0" w:color="auto"/>
              <w:bottom w:val="single" w:sz="4" w:space="0" w:color="auto"/>
            </w:tcBorders>
            <w:vAlign w:val="bottom"/>
          </w:tcPr>
          <w:p w14:paraId="453350CE"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1250</w:t>
            </w:r>
          </w:p>
        </w:tc>
        <w:tc>
          <w:tcPr>
            <w:tcW w:w="739" w:type="dxa"/>
            <w:tcBorders>
              <w:top w:val="single" w:sz="4" w:space="0" w:color="auto"/>
              <w:left w:val="single" w:sz="4" w:space="0" w:color="auto"/>
              <w:bottom w:val="single" w:sz="4" w:space="0" w:color="auto"/>
            </w:tcBorders>
            <w:vAlign w:val="center"/>
          </w:tcPr>
          <w:p w14:paraId="5CAFC680"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1250</w:t>
            </w:r>
          </w:p>
        </w:tc>
        <w:tc>
          <w:tcPr>
            <w:tcW w:w="888" w:type="dxa"/>
            <w:tcBorders>
              <w:top w:val="single" w:sz="4" w:space="0" w:color="auto"/>
              <w:left w:val="single" w:sz="4" w:space="0" w:color="auto"/>
              <w:bottom w:val="single" w:sz="4" w:space="0" w:color="auto"/>
              <w:right w:val="single" w:sz="4" w:space="0" w:color="auto"/>
            </w:tcBorders>
            <w:vAlign w:val="bottom"/>
          </w:tcPr>
          <w:p w14:paraId="5E5F0A45"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w:t>
            </w:r>
          </w:p>
        </w:tc>
      </w:tr>
      <w:tr w:rsidR="00D0391D" w:rsidRPr="00C94B78" w14:paraId="0529C076" w14:textId="77777777" w:rsidTr="00D0391D">
        <w:trPr>
          <w:trHeight w:hRule="exact" w:val="1608"/>
        </w:trPr>
        <w:tc>
          <w:tcPr>
            <w:tcW w:w="418" w:type="dxa"/>
            <w:tcBorders>
              <w:top w:val="single" w:sz="4" w:space="0" w:color="auto"/>
              <w:left w:val="single" w:sz="4" w:space="0" w:color="auto"/>
              <w:bottom w:val="single" w:sz="4" w:space="0" w:color="auto"/>
            </w:tcBorders>
          </w:tcPr>
          <w:p w14:paraId="1D55391A" w14:textId="77777777" w:rsidR="00D0391D" w:rsidRPr="00C94B78" w:rsidRDefault="00D0391D" w:rsidP="00B56F90">
            <w:pPr>
              <w:pStyle w:val="affffff9"/>
              <w:ind w:firstLine="0"/>
              <w:jc w:val="both"/>
              <w:rPr>
                <w:rFonts w:ascii="Times New Roman" w:hAnsi="Times New Roman" w:cs="Times New Roman"/>
                <w:color w:val="0070C0"/>
                <w:sz w:val="16"/>
                <w:szCs w:val="16"/>
              </w:rPr>
            </w:pPr>
          </w:p>
        </w:tc>
        <w:tc>
          <w:tcPr>
            <w:tcW w:w="1819" w:type="dxa"/>
            <w:tcBorders>
              <w:top w:val="single" w:sz="4" w:space="0" w:color="auto"/>
              <w:left w:val="single" w:sz="4" w:space="0" w:color="auto"/>
              <w:bottom w:val="single" w:sz="4" w:space="0" w:color="auto"/>
            </w:tcBorders>
            <w:vAlign w:val="center"/>
          </w:tcPr>
          <w:p w14:paraId="697C594F"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у земли</w:t>
            </w:r>
          </w:p>
        </w:tc>
        <w:tc>
          <w:tcPr>
            <w:tcW w:w="979" w:type="dxa"/>
            <w:tcBorders>
              <w:top w:val="single" w:sz="4" w:space="0" w:color="auto"/>
              <w:left w:val="single" w:sz="4" w:space="0" w:color="auto"/>
              <w:bottom w:val="single" w:sz="4" w:space="0" w:color="auto"/>
            </w:tcBorders>
            <w:vAlign w:val="bottom"/>
          </w:tcPr>
          <w:p w14:paraId="627B14BF"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1400</w:t>
            </w:r>
          </w:p>
        </w:tc>
        <w:tc>
          <w:tcPr>
            <w:tcW w:w="739" w:type="dxa"/>
            <w:tcBorders>
              <w:top w:val="single" w:sz="4" w:space="0" w:color="auto"/>
              <w:left w:val="single" w:sz="4" w:space="0" w:color="auto"/>
              <w:bottom w:val="single" w:sz="4" w:space="0" w:color="auto"/>
            </w:tcBorders>
            <w:vAlign w:val="center"/>
          </w:tcPr>
          <w:p w14:paraId="26D7D68E"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1400</w:t>
            </w:r>
          </w:p>
        </w:tc>
        <w:tc>
          <w:tcPr>
            <w:tcW w:w="888" w:type="dxa"/>
            <w:tcBorders>
              <w:top w:val="single" w:sz="4" w:space="0" w:color="auto"/>
              <w:left w:val="single" w:sz="4" w:space="0" w:color="auto"/>
              <w:bottom w:val="single" w:sz="4" w:space="0" w:color="auto"/>
              <w:right w:val="single" w:sz="4" w:space="0" w:color="auto"/>
            </w:tcBorders>
            <w:vAlign w:val="bottom"/>
          </w:tcPr>
          <w:p w14:paraId="414EC008"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w:t>
            </w:r>
          </w:p>
        </w:tc>
      </w:tr>
      <w:tr w:rsidR="00D0391D" w:rsidRPr="00C94B78" w14:paraId="5D331D91" w14:textId="77777777" w:rsidTr="00D0391D">
        <w:trPr>
          <w:trHeight w:hRule="exact" w:val="1608"/>
        </w:trPr>
        <w:tc>
          <w:tcPr>
            <w:tcW w:w="418" w:type="dxa"/>
            <w:tcBorders>
              <w:top w:val="single" w:sz="4" w:space="0" w:color="auto"/>
              <w:left w:val="single" w:sz="4" w:space="0" w:color="auto"/>
              <w:bottom w:val="single" w:sz="4" w:space="0" w:color="auto"/>
            </w:tcBorders>
          </w:tcPr>
          <w:p w14:paraId="2DC92245" w14:textId="77777777" w:rsidR="00D0391D" w:rsidRPr="00C94B78" w:rsidRDefault="00D0391D" w:rsidP="00B56F90">
            <w:pPr>
              <w:pStyle w:val="affffff9"/>
              <w:ind w:firstLine="0"/>
              <w:jc w:val="both"/>
              <w:rPr>
                <w:rFonts w:ascii="Times New Roman" w:hAnsi="Times New Roman" w:cs="Times New Roman"/>
                <w:color w:val="0070C0"/>
                <w:sz w:val="16"/>
                <w:szCs w:val="16"/>
              </w:rPr>
            </w:pPr>
          </w:p>
        </w:tc>
        <w:tc>
          <w:tcPr>
            <w:tcW w:w="1819" w:type="dxa"/>
            <w:tcBorders>
              <w:top w:val="single" w:sz="4" w:space="0" w:color="auto"/>
              <w:left w:val="single" w:sz="4" w:space="0" w:color="auto"/>
              <w:bottom w:val="single" w:sz="4" w:space="0" w:color="auto"/>
            </w:tcBorders>
            <w:vAlign w:val="center"/>
          </w:tcPr>
          <w:p w14:paraId="18347BC6"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на высоте</w:t>
            </w:r>
          </w:p>
        </w:tc>
        <w:tc>
          <w:tcPr>
            <w:tcW w:w="979" w:type="dxa"/>
            <w:tcBorders>
              <w:top w:val="single" w:sz="4" w:space="0" w:color="auto"/>
              <w:left w:val="single" w:sz="4" w:space="0" w:color="auto"/>
              <w:bottom w:val="single" w:sz="4" w:space="0" w:color="auto"/>
            </w:tcBorders>
            <w:vAlign w:val="bottom"/>
          </w:tcPr>
          <w:p w14:paraId="307D1214"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6000</w:t>
            </w:r>
          </w:p>
        </w:tc>
        <w:tc>
          <w:tcPr>
            <w:tcW w:w="739" w:type="dxa"/>
            <w:tcBorders>
              <w:top w:val="single" w:sz="4" w:space="0" w:color="auto"/>
              <w:left w:val="single" w:sz="4" w:space="0" w:color="auto"/>
              <w:bottom w:val="single" w:sz="4" w:space="0" w:color="auto"/>
            </w:tcBorders>
            <w:vAlign w:val="center"/>
          </w:tcPr>
          <w:p w14:paraId="492B571E"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3000</w:t>
            </w:r>
          </w:p>
        </w:tc>
        <w:tc>
          <w:tcPr>
            <w:tcW w:w="888" w:type="dxa"/>
            <w:tcBorders>
              <w:top w:val="single" w:sz="4" w:space="0" w:color="auto"/>
              <w:left w:val="single" w:sz="4" w:space="0" w:color="auto"/>
              <w:bottom w:val="single" w:sz="4" w:space="0" w:color="auto"/>
              <w:right w:val="single" w:sz="4" w:space="0" w:color="auto"/>
            </w:tcBorders>
            <w:vAlign w:val="bottom"/>
          </w:tcPr>
          <w:p w14:paraId="1EB9E92D" w14:textId="77777777" w:rsidR="00D0391D" w:rsidRPr="00C94B78" w:rsidRDefault="00D0391D" w:rsidP="00B56F90">
            <w:pPr>
              <w:pStyle w:val="affffff9"/>
              <w:ind w:firstLine="0"/>
              <w:jc w:val="both"/>
              <w:rPr>
                <w:rFonts w:ascii="Times New Roman" w:hAnsi="Times New Roman" w:cs="Times New Roman"/>
                <w:color w:val="0070C0"/>
                <w:sz w:val="16"/>
                <w:szCs w:val="16"/>
              </w:rPr>
            </w:pPr>
          </w:p>
        </w:tc>
      </w:tr>
      <w:tr w:rsidR="00D0391D" w:rsidRPr="00C94B78" w14:paraId="49755EAF" w14:textId="77777777" w:rsidTr="00D0391D">
        <w:trPr>
          <w:trHeight w:hRule="exact" w:val="1608"/>
        </w:trPr>
        <w:tc>
          <w:tcPr>
            <w:tcW w:w="418" w:type="dxa"/>
            <w:tcBorders>
              <w:top w:val="single" w:sz="4" w:space="0" w:color="auto"/>
              <w:left w:val="single" w:sz="4" w:space="0" w:color="auto"/>
              <w:bottom w:val="single" w:sz="4" w:space="0" w:color="auto"/>
            </w:tcBorders>
          </w:tcPr>
          <w:p w14:paraId="0D0222B0"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11</w:t>
            </w:r>
          </w:p>
        </w:tc>
        <w:tc>
          <w:tcPr>
            <w:tcW w:w="1819" w:type="dxa"/>
            <w:tcBorders>
              <w:top w:val="single" w:sz="4" w:space="0" w:color="auto"/>
              <w:left w:val="single" w:sz="4" w:space="0" w:color="auto"/>
              <w:bottom w:val="single" w:sz="4" w:space="0" w:color="auto"/>
            </w:tcBorders>
            <w:vAlign w:val="center"/>
          </w:tcPr>
          <w:p w14:paraId="25F979B4"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Скороподъемность</w:t>
            </w:r>
          </w:p>
          <w:p w14:paraId="6EBEB7F8"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Н= 0</w:t>
            </w:r>
          </w:p>
        </w:tc>
        <w:tc>
          <w:tcPr>
            <w:tcW w:w="979" w:type="dxa"/>
            <w:tcBorders>
              <w:top w:val="single" w:sz="4" w:space="0" w:color="auto"/>
              <w:left w:val="single" w:sz="4" w:space="0" w:color="auto"/>
              <w:bottom w:val="single" w:sz="4" w:space="0" w:color="auto"/>
            </w:tcBorders>
            <w:vAlign w:val="bottom"/>
          </w:tcPr>
          <w:p w14:paraId="25A48D2C"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8,0</w:t>
            </w:r>
          </w:p>
        </w:tc>
        <w:tc>
          <w:tcPr>
            <w:tcW w:w="739" w:type="dxa"/>
            <w:tcBorders>
              <w:top w:val="single" w:sz="4" w:space="0" w:color="auto"/>
              <w:left w:val="single" w:sz="4" w:space="0" w:color="auto"/>
              <w:bottom w:val="single" w:sz="4" w:space="0" w:color="auto"/>
            </w:tcBorders>
            <w:vAlign w:val="center"/>
          </w:tcPr>
          <w:p w14:paraId="34C89000"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3,4</w:t>
            </w:r>
          </w:p>
        </w:tc>
        <w:tc>
          <w:tcPr>
            <w:tcW w:w="888" w:type="dxa"/>
            <w:tcBorders>
              <w:top w:val="single" w:sz="4" w:space="0" w:color="auto"/>
              <w:left w:val="single" w:sz="4" w:space="0" w:color="auto"/>
              <w:bottom w:val="single" w:sz="4" w:space="0" w:color="auto"/>
              <w:right w:val="single" w:sz="4" w:space="0" w:color="auto"/>
            </w:tcBorders>
            <w:vAlign w:val="bottom"/>
          </w:tcPr>
          <w:p w14:paraId="0D4920A0"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w:t>
            </w:r>
          </w:p>
        </w:tc>
      </w:tr>
      <w:tr w:rsidR="00D0391D" w:rsidRPr="00C94B78" w14:paraId="4ED1DF80" w14:textId="77777777" w:rsidTr="00D0391D">
        <w:trPr>
          <w:trHeight w:hRule="exact" w:val="1608"/>
        </w:trPr>
        <w:tc>
          <w:tcPr>
            <w:tcW w:w="418" w:type="dxa"/>
            <w:tcBorders>
              <w:top w:val="single" w:sz="4" w:space="0" w:color="auto"/>
              <w:left w:val="single" w:sz="4" w:space="0" w:color="auto"/>
              <w:bottom w:val="single" w:sz="4" w:space="0" w:color="auto"/>
            </w:tcBorders>
          </w:tcPr>
          <w:p w14:paraId="36BE4122"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12</w:t>
            </w:r>
          </w:p>
        </w:tc>
        <w:tc>
          <w:tcPr>
            <w:tcW w:w="1819" w:type="dxa"/>
            <w:tcBorders>
              <w:top w:val="single" w:sz="4" w:space="0" w:color="auto"/>
              <w:left w:val="single" w:sz="4" w:space="0" w:color="auto"/>
              <w:bottom w:val="single" w:sz="4" w:space="0" w:color="auto"/>
            </w:tcBorders>
            <w:vAlign w:val="center"/>
          </w:tcPr>
          <w:p w14:paraId="3BD57BDC"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Потолок</w:t>
            </w:r>
          </w:p>
        </w:tc>
        <w:tc>
          <w:tcPr>
            <w:tcW w:w="979" w:type="dxa"/>
            <w:tcBorders>
              <w:top w:val="single" w:sz="4" w:space="0" w:color="auto"/>
              <w:left w:val="single" w:sz="4" w:space="0" w:color="auto"/>
              <w:bottom w:val="single" w:sz="4" w:space="0" w:color="auto"/>
            </w:tcBorders>
            <w:vAlign w:val="bottom"/>
          </w:tcPr>
          <w:p w14:paraId="07FD7DD8"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9000</w:t>
            </w:r>
          </w:p>
        </w:tc>
        <w:tc>
          <w:tcPr>
            <w:tcW w:w="739" w:type="dxa"/>
            <w:tcBorders>
              <w:top w:val="single" w:sz="4" w:space="0" w:color="auto"/>
              <w:left w:val="single" w:sz="4" w:space="0" w:color="auto"/>
              <w:bottom w:val="single" w:sz="4" w:space="0" w:color="auto"/>
            </w:tcBorders>
            <w:vAlign w:val="center"/>
          </w:tcPr>
          <w:p w14:paraId="22D16F8F"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5720</w:t>
            </w:r>
          </w:p>
        </w:tc>
        <w:tc>
          <w:tcPr>
            <w:tcW w:w="888" w:type="dxa"/>
            <w:tcBorders>
              <w:top w:val="single" w:sz="4" w:space="0" w:color="auto"/>
              <w:left w:val="single" w:sz="4" w:space="0" w:color="auto"/>
              <w:bottom w:val="single" w:sz="4" w:space="0" w:color="auto"/>
              <w:right w:val="single" w:sz="4" w:space="0" w:color="auto"/>
            </w:tcBorders>
            <w:vAlign w:val="bottom"/>
          </w:tcPr>
          <w:p w14:paraId="57B17B3E"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7720</w:t>
            </w:r>
          </w:p>
        </w:tc>
      </w:tr>
    </w:tbl>
    <w:p w14:paraId="64781381"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Сравнительные экономические показатели транспортных самолётов</w:t>
      </w:r>
    </w:p>
    <w:tbl>
      <w:tblPr>
        <w:tblOverlap w:val="never"/>
        <w:tblW w:w="0" w:type="auto"/>
        <w:tblLayout w:type="fixed"/>
        <w:tblCellMar>
          <w:left w:w="10" w:type="dxa"/>
          <w:right w:w="10" w:type="dxa"/>
        </w:tblCellMar>
        <w:tblLook w:val="0000" w:firstRow="0" w:lastRow="0" w:firstColumn="0" w:lastColumn="0" w:noHBand="0" w:noVBand="0"/>
      </w:tblPr>
      <w:tblGrid>
        <w:gridCol w:w="490"/>
        <w:gridCol w:w="1733"/>
        <w:gridCol w:w="1066"/>
        <w:gridCol w:w="768"/>
        <w:gridCol w:w="797"/>
      </w:tblGrid>
      <w:tr w:rsidR="00D0391D" w:rsidRPr="00C94B78" w14:paraId="19AAAEE0" w14:textId="77777777" w:rsidTr="00D0391D">
        <w:trPr>
          <w:trHeight w:hRule="exact" w:val="1032"/>
        </w:trPr>
        <w:tc>
          <w:tcPr>
            <w:tcW w:w="490" w:type="dxa"/>
            <w:tcBorders>
              <w:top w:val="single" w:sz="4" w:space="0" w:color="auto"/>
              <w:left w:val="single" w:sz="4" w:space="0" w:color="auto"/>
            </w:tcBorders>
            <w:vAlign w:val="center"/>
          </w:tcPr>
          <w:p w14:paraId="6D912C2E"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 пп</w:t>
            </w:r>
          </w:p>
        </w:tc>
        <w:tc>
          <w:tcPr>
            <w:tcW w:w="1733" w:type="dxa"/>
            <w:tcBorders>
              <w:top w:val="single" w:sz="4" w:space="0" w:color="auto"/>
              <w:left w:val="single" w:sz="4" w:space="0" w:color="auto"/>
            </w:tcBorders>
          </w:tcPr>
          <w:p w14:paraId="7558C543" w14:textId="77777777" w:rsidR="00D0391D" w:rsidRPr="00C94B78" w:rsidRDefault="00D0391D" w:rsidP="00B56F90">
            <w:pPr>
              <w:spacing w:after="0" w:line="240" w:lineRule="auto"/>
              <w:jc w:val="both"/>
              <w:rPr>
                <w:rFonts w:ascii="Times New Roman" w:hAnsi="Times New Roman"/>
                <w:color w:val="0070C0"/>
                <w:sz w:val="16"/>
                <w:szCs w:val="16"/>
              </w:rPr>
            </w:pPr>
          </w:p>
        </w:tc>
        <w:tc>
          <w:tcPr>
            <w:tcW w:w="1066" w:type="dxa"/>
            <w:tcBorders>
              <w:top w:val="single" w:sz="4" w:space="0" w:color="auto"/>
              <w:left w:val="single" w:sz="4" w:space="0" w:color="auto"/>
            </w:tcBorders>
            <w:vAlign w:val="center"/>
          </w:tcPr>
          <w:p w14:paraId="6994928C"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Транспорт. Ил- АЧ31</w:t>
            </w:r>
          </w:p>
        </w:tc>
        <w:tc>
          <w:tcPr>
            <w:tcW w:w="768" w:type="dxa"/>
            <w:tcBorders>
              <w:top w:val="single" w:sz="4" w:space="0" w:color="auto"/>
              <w:left w:val="single" w:sz="4" w:space="0" w:color="auto"/>
            </w:tcBorders>
            <w:vAlign w:val="center"/>
          </w:tcPr>
          <w:p w14:paraId="03C704C4"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ДС-3</w:t>
            </w:r>
          </w:p>
        </w:tc>
        <w:tc>
          <w:tcPr>
            <w:tcW w:w="797" w:type="dxa"/>
            <w:tcBorders>
              <w:top w:val="single" w:sz="4" w:space="0" w:color="auto"/>
              <w:left w:val="single" w:sz="4" w:space="0" w:color="auto"/>
              <w:right w:val="single" w:sz="4" w:space="0" w:color="auto"/>
            </w:tcBorders>
            <w:vAlign w:val="center"/>
          </w:tcPr>
          <w:p w14:paraId="050E8901"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ДС-54</w:t>
            </w:r>
          </w:p>
        </w:tc>
      </w:tr>
      <w:tr w:rsidR="00D0391D" w:rsidRPr="00C94B78" w14:paraId="0B96DC4D" w14:textId="77777777" w:rsidTr="00D0391D">
        <w:trPr>
          <w:trHeight w:hRule="exact" w:val="1306"/>
        </w:trPr>
        <w:tc>
          <w:tcPr>
            <w:tcW w:w="490" w:type="dxa"/>
            <w:tcBorders>
              <w:top w:val="single" w:sz="4" w:space="0" w:color="auto"/>
              <w:left w:val="single" w:sz="4" w:space="0" w:color="auto"/>
            </w:tcBorders>
          </w:tcPr>
          <w:p w14:paraId="4403941A"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lastRenderedPageBreak/>
              <w:t>1</w:t>
            </w:r>
          </w:p>
        </w:tc>
        <w:tc>
          <w:tcPr>
            <w:tcW w:w="1733" w:type="dxa"/>
            <w:tcBorders>
              <w:top w:val="single" w:sz="4" w:space="0" w:color="auto"/>
              <w:left w:val="single" w:sz="4" w:space="0" w:color="auto"/>
            </w:tcBorders>
            <w:vAlign w:val="center"/>
          </w:tcPr>
          <w:p w14:paraId="58558348"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Вес пустого с-та от</w:t>
            </w:r>
            <w:r w:rsidRPr="00C94B78">
              <w:rPr>
                <w:rStyle w:val="affffff8"/>
                <w:rFonts w:ascii="Times New Roman" w:hAnsi="Times New Roman" w:cs="Times New Roman"/>
                <w:color w:val="0070C0"/>
                <w:sz w:val="16"/>
                <w:szCs w:val="16"/>
              </w:rPr>
              <w:softHyphen/>
              <w:t>несенный к одному пассажиру</w:t>
            </w:r>
          </w:p>
        </w:tc>
        <w:tc>
          <w:tcPr>
            <w:tcW w:w="1066" w:type="dxa"/>
            <w:tcBorders>
              <w:top w:val="single" w:sz="4" w:space="0" w:color="auto"/>
              <w:left w:val="single" w:sz="4" w:space="0" w:color="auto"/>
            </w:tcBorders>
            <w:vAlign w:val="bottom"/>
          </w:tcPr>
          <w:p w14:paraId="639A5931"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422 кгр</w:t>
            </w:r>
          </w:p>
        </w:tc>
        <w:tc>
          <w:tcPr>
            <w:tcW w:w="768" w:type="dxa"/>
            <w:tcBorders>
              <w:top w:val="single" w:sz="4" w:space="0" w:color="auto"/>
              <w:left w:val="single" w:sz="4" w:space="0" w:color="auto"/>
            </w:tcBorders>
            <w:vAlign w:val="bottom"/>
          </w:tcPr>
          <w:p w14:paraId="335C8631"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380 кгр.</w:t>
            </w:r>
          </w:p>
        </w:tc>
        <w:tc>
          <w:tcPr>
            <w:tcW w:w="797" w:type="dxa"/>
            <w:tcBorders>
              <w:top w:val="single" w:sz="4" w:space="0" w:color="auto"/>
              <w:left w:val="single" w:sz="4" w:space="0" w:color="auto"/>
              <w:right w:val="single" w:sz="4" w:space="0" w:color="auto"/>
            </w:tcBorders>
          </w:tcPr>
          <w:p w14:paraId="7F94D406" w14:textId="77777777" w:rsidR="00D0391D" w:rsidRPr="00C94B78" w:rsidRDefault="00D0391D" w:rsidP="00B56F90">
            <w:pPr>
              <w:spacing w:after="0" w:line="240" w:lineRule="auto"/>
              <w:jc w:val="both"/>
              <w:rPr>
                <w:rFonts w:ascii="Times New Roman" w:hAnsi="Times New Roman"/>
                <w:color w:val="0070C0"/>
                <w:sz w:val="16"/>
                <w:szCs w:val="16"/>
              </w:rPr>
            </w:pPr>
          </w:p>
        </w:tc>
      </w:tr>
      <w:tr w:rsidR="00D0391D" w:rsidRPr="00C94B78" w14:paraId="2E12B1B0" w14:textId="77777777" w:rsidTr="00D0391D">
        <w:trPr>
          <w:trHeight w:hRule="exact" w:val="917"/>
        </w:trPr>
        <w:tc>
          <w:tcPr>
            <w:tcW w:w="490" w:type="dxa"/>
            <w:tcBorders>
              <w:left w:val="single" w:sz="4" w:space="0" w:color="auto"/>
            </w:tcBorders>
          </w:tcPr>
          <w:p w14:paraId="358E1BAA" w14:textId="77777777" w:rsidR="00D0391D" w:rsidRPr="00C94B78" w:rsidRDefault="00D0391D" w:rsidP="00B56F90">
            <w:pPr>
              <w:spacing w:after="0" w:line="240" w:lineRule="auto"/>
              <w:jc w:val="both"/>
              <w:rPr>
                <w:rFonts w:ascii="Times New Roman" w:hAnsi="Times New Roman"/>
                <w:color w:val="0070C0"/>
                <w:sz w:val="16"/>
                <w:szCs w:val="16"/>
              </w:rPr>
            </w:pPr>
          </w:p>
        </w:tc>
        <w:tc>
          <w:tcPr>
            <w:tcW w:w="1733" w:type="dxa"/>
            <w:tcBorders>
              <w:left w:val="single" w:sz="4" w:space="0" w:color="auto"/>
            </w:tcBorders>
            <w:vAlign w:val="center"/>
          </w:tcPr>
          <w:p w14:paraId="27C80A3F" w14:textId="77777777" w:rsidR="00D0391D" w:rsidRPr="00C94B78" w:rsidRDefault="00D0391D" w:rsidP="00B56F90">
            <w:pPr>
              <w:pStyle w:val="affffff9"/>
              <w:ind w:left="200"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к одному кгр. ком</w:t>
            </w:r>
            <w:r w:rsidRPr="00C94B78">
              <w:rPr>
                <w:rStyle w:val="affffff8"/>
                <w:rFonts w:ascii="Times New Roman" w:hAnsi="Times New Roman" w:cs="Times New Roman"/>
                <w:color w:val="0070C0"/>
                <w:sz w:val="16"/>
                <w:szCs w:val="16"/>
              </w:rPr>
              <w:softHyphen/>
              <w:t>мерч. груза</w:t>
            </w:r>
          </w:p>
        </w:tc>
        <w:tc>
          <w:tcPr>
            <w:tcW w:w="1066" w:type="dxa"/>
            <w:tcBorders>
              <w:left w:val="single" w:sz="4" w:space="0" w:color="auto"/>
            </w:tcBorders>
            <w:vAlign w:val="center"/>
          </w:tcPr>
          <w:p w14:paraId="403DE349"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2,86</w:t>
            </w:r>
          </w:p>
        </w:tc>
        <w:tc>
          <w:tcPr>
            <w:tcW w:w="768" w:type="dxa"/>
            <w:tcBorders>
              <w:left w:val="single" w:sz="4" w:space="0" w:color="auto"/>
            </w:tcBorders>
            <w:vAlign w:val="center"/>
          </w:tcPr>
          <w:p w14:paraId="21453D8A"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4,0</w:t>
            </w:r>
          </w:p>
        </w:tc>
        <w:tc>
          <w:tcPr>
            <w:tcW w:w="797" w:type="dxa"/>
            <w:tcBorders>
              <w:left w:val="single" w:sz="4" w:space="0" w:color="auto"/>
              <w:right w:val="single" w:sz="4" w:space="0" w:color="auto"/>
            </w:tcBorders>
            <w:vAlign w:val="center"/>
          </w:tcPr>
          <w:p w14:paraId="78569EB0"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4,32</w:t>
            </w:r>
          </w:p>
        </w:tc>
      </w:tr>
      <w:tr w:rsidR="00D0391D" w:rsidRPr="00C94B78" w14:paraId="2D14829C" w14:textId="77777777" w:rsidTr="00D0391D">
        <w:trPr>
          <w:trHeight w:hRule="exact" w:val="2525"/>
        </w:trPr>
        <w:tc>
          <w:tcPr>
            <w:tcW w:w="490" w:type="dxa"/>
            <w:tcBorders>
              <w:top w:val="single" w:sz="4" w:space="0" w:color="auto"/>
              <w:left w:val="single" w:sz="4" w:space="0" w:color="auto"/>
            </w:tcBorders>
          </w:tcPr>
          <w:p w14:paraId="1E376835"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2</w:t>
            </w:r>
          </w:p>
        </w:tc>
        <w:tc>
          <w:tcPr>
            <w:tcW w:w="1733" w:type="dxa"/>
            <w:tcBorders>
              <w:top w:val="single" w:sz="4" w:space="0" w:color="auto"/>
              <w:left w:val="single" w:sz="4" w:space="0" w:color="auto"/>
            </w:tcBorders>
            <w:vAlign w:val="center"/>
          </w:tcPr>
          <w:p w14:paraId="4EA586BB"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Расход топлива с-том на 100 клм пути при эксплуата</w:t>
            </w:r>
            <w:r w:rsidRPr="00C94B78">
              <w:rPr>
                <w:rStyle w:val="affffff8"/>
                <w:rFonts w:ascii="Times New Roman" w:hAnsi="Times New Roman" w:cs="Times New Roman"/>
                <w:color w:val="0070C0"/>
                <w:sz w:val="16"/>
                <w:szCs w:val="16"/>
              </w:rPr>
              <w:softHyphen/>
              <w:t>ционной скорости у земли на высоте</w:t>
            </w:r>
          </w:p>
        </w:tc>
        <w:tc>
          <w:tcPr>
            <w:tcW w:w="1066" w:type="dxa"/>
            <w:tcBorders>
              <w:top w:val="single" w:sz="4" w:space="0" w:color="auto"/>
              <w:left w:val="single" w:sz="4" w:space="0" w:color="auto"/>
            </w:tcBorders>
            <w:vAlign w:val="bottom"/>
          </w:tcPr>
          <w:p w14:paraId="3F2E86BB"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109</w:t>
            </w:r>
          </w:p>
          <w:p w14:paraId="76F382C1"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98</w:t>
            </w:r>
          </w:p>
        </w:tc>
        <w:tc>
          <w:tcPr>
            <w:tcW w:w="768" w:type="dxa"/>
            <w:tcBorders>
              <w:top w:val="single" w:sz="4" w:space="0" w:color="auto"/>
              <w:left w:val="single" w:sz="4" w:space="0" w:color="auto"/>
            </w:tcBorders>
            <w:vAlign w:val="center"/>
          </w:tcPr>
          <w:p w14:paraId="76EC299C"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103</w:t>
            </w:r>
          </w:p>
        </w:tc>
        <w:tc>
          <w:tcPr>
            <w:tcW w:w="797" w:type="dxa"/>
            <w:tcBorders>
              <w:top w:val="single" w:sz="4" w:space="0" w:color="auto"/>
              <w:left w:val="single" w:sz="4" w:space="0" w:color="auto"/>
              <w:right w:val="single" w:sz="4" w:space="0" w:color="auto"/>
            </w:tcBorders>
            <w:vAlign w:val="center"/>
          </w:tcPr>
          <w:p w14:paraId="5D053D7B"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222</w:t>
            </w:r>
          </w:p>
        </w:tc>
      </w:tr>
      <w:tr w:rsidR="00D0391D" w:rsidRPr="00C94B78" w14:paraId="6F4E33CE" w14:textId="77777777" w:rsidTr="00D0391D">
        <w:trPr>
          <w:trHeight w:hRule="exact" w:val="2232"/>
        </w:trPr>
        <w:tc>
          <w:tcPr>
            <w:tcW w:w="490" w:type="dxa"/>
            <w:tcBorders>
              <w:top w:val="single" w:sz="4" w:space="0" w:color="auto"/>
              <w:left w:val="single" w:sz="4" w:space="0" w:color="auto"/>
              <w:bottom w:val="single" w:sz="4" w:space="0" w:color="auto"/>
            </w:tcBorders>
          </w:tcPr>
          <w:p w14:paraId="06E355DE"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3.</w:t>
            </w:r>
          </w:p>
        </w:tc>
        <w:tc>
          <w:tcPr>
            <w:tcW w:w="1733" w:type="dxa"/>
            <w:tcBorders>
              <w:top w:val="single" w:sz="4" w:space="0" w:color="auto"/>
              <w:left w:val="single" w:sz="4" w:space="0" w:color="auto"/>
              <w:bottom w:val="single" w:sz="4" w:space="0" w:color="auto"/>
            </w:tcBorders>
            <w:vAlign w:val="center"/>
          </w:tcPr>
          <w:p w14:paraId="5A61EC28"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Расход топлива на одного пассажира на 100 клм. пути</w:t>
            </w:r>
          </w:p>
          <w:p w14:paraId="79AD9172" w14:textId="77777777" w:rsidR="00D0391D" w:rsidRPr="00C94B78" w:rsidRDefault="00D0391D" w:rsidP="00B56F90">
            <w:pPr>
              <w:pStyle w:val="affffff9"/>
              <w:ind w:left="200"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у земли на высоте</w:t>
            </w:r>
          </w:p>
        </w:tc>
        <w:tc>
          <w:tcPr>
            <w:tcW w:w="1066" w:type="dxa"/>
            <w:tcBorders>
              <w:top w:val="single" w:sz="4" w:space="0" w:color="auto"/>
              <w:left w:val="single" w:sz="4" w:space="0" w:color="auto"/>
              <w:bottom w:val="single" w:sz="4" w:space="0" w:color="auto"/>
            </w:tcBorders>
            <w:vAlign w:val="bottom"/>
          </w:tcPr>
          <w:p w14:paraId="12B1B73B"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0,032</w:t>
            </w:r>
          </w:p>
          <w:p w14:paraId="46CF0CCD"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0,028</w:t>
            </w:r>
          </w:p>
        </w:tc>
        <w:tc>
          <w:tcPr>
            <w:tcW w:w="768" w:type="dxa"/>
            <w:tcBorders>
              <w:top w:val="single" w:sz="4" w:space="0" w:color="auto"/>
              <w:left w:val="single" w:sz="4" w:space="0" w:color="auto"/>
              <w:bottom w:val="single" w:sz="4" w:space="0" w:color="auto"/>
            </w:tcBorders>
            <w:vAlign w:val="bottom"/>
          </w:tcPr>
          <w:p w14:paraId="102B016C"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0,052</w:t>
            </w:r>
          </w:p>
        </w:tc>
        <w:tc>
          <w:tcPr>
            <w:tcW w:w="797" w:type="dxa"/>
            <w:tcBorders>
              <w:top w:val="single" w:sz="4" w:space="0" w:color="auto"/>
              <w:left w:val="single" w:sz="4" w:space="0" w:color="auto"/>
              <w:bottom w:val="single" w:sz="4" w:space="0" w:color="auto"/>
              <w:right w:val="single" w:sz="4" w:space="0" w:color="auto"/>
            </w:tcBorders>
            <w:vAlign w:val="bottom"/>
          </w:tcPr>
          <w:p w14:paraId="5CE243C1"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0,057</w:t>
            </w:r>
          </w:p>
        </w:tc>
      </w:tr>
    </w:tbl>
    <w:p w14:paraId="262646DF" w14:textId="77777777" w:rsidR="00D0391D" w:rsidRPr="00D0391D" w:rsidRDefault="00D0391D" w:rsidP="00B56F90">
      <w:pPr>
        <w:pStyle w:val="aff2"/>
        <w:spacing w:line="240" w:lineRule="auto"/>
        <w:ind w:left="1618"/>
        <w:rPr>
          <w:rFonts w:ascii="Times New Roman" w:hAnsi="Times New Roman" w:cs="Times New Roman"/>
          <w:color w:val="0070C0"/>
          <w:sz w:val="16"/>
          <w:szCs w:val="16"/>
          <w:lang w:val="ru-RU"/>
        </w:rPr>
      </w:pPr>
      <w:r w:rsidRPr="00D0391D">
        <w:rPr>
          <w:rStyle w:val="aff3"/>
          <w:rFonts w:ascii="Times New Roman" w:eastAsia="Arial" w:hAnsi="Times New Roman" w:cs="Times New Roman"/>
          <w:color w:val="0070C0"/>
          <w:sz w:val="16"/>
          <w:szCs w:val="16"/>
          <w:lang w:val="ru-RU"/>
        </w:rPr>
        <w:t>Сравнительные данные по экономичности различных видов транспорта</w:t>
      </w:r>
    </w:p>
    <w:tbl>
      <w:tblPr>
        <w:tblOverlap w:val="never"/>
        <w:tblW w:w="0" w:type="auto"/>
        <w:tblLayout w:type="fixed"/>
        <w:tblCellMar>
          <w:left w:w="10" w:type="dxa"/>
          <w:right w:w="10" w:type="dxa"/>
        </w:tblCellMar>
        <w:tblLook w:val="0000" w:firstRow="0" w:lastRow="0" w:firstColumn="0" w:lastColumn="0" w:noHBand="0" w:noVBand="0"/>
      </w:tblPr>
      <w:tblGrid>
        <w:gridCol w:w="1853"/>
        <w:gridCol w:w="1301"/>
        <w:gridCol w:w="1382"/>
        <w:gridCol w:w="1570"/>
        <w:gridCol w:w="1498"/>
        <w:gridCol w:w="2318"/>
      </w:tblGrid>
      <w:tr w:rsidR="00D0391D" w:rsidRPr="00C94B78" w14:paraId="752F625E" w14:textId="77777777" w:rsidTr="00D0391D">
        <w:trPr>
          <w:trHeight w:hRule="exact" w:val="528"/>
        </w:trPr>
        <w:tc>
          <w:tcPr>
            <w:tcW w:w="1853" w:type="dxa"/>
            <w:tcBorders>
              <w:top w:val="single" w:sz="4" w:space="0" w:color="auto"/>
              <w:left w:val="single" w:sz="4" w:space="0" w:color="auto"/>
            </w:tcBorders>
          </w:tcPr>
          <w:p w14:paraId="2579952E"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Вид транспорта</w:t>
            </w:r>
          </w:p>
        </w:tc>
        <w:tc>
          <w:tcPr>
            <w:tcW w:w="1301" w:type="dxa"/>
            <w:tcBorders>
              <w:top w:val="single" w:sz="4" w:space="0" w:color="auto"/>
              <w:left w:val="single" w:sz="4" w:space="0" w:color="auto"/>
            </w:tcBorders>
            <w:vAlign w:val="bottom"/>
          </w:tcPr>
          <w:p w14:paraId="445CDA15"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Число пассажиров</w:t>
            </w:r>
          </w:p>
        </w:tc>
        <w:tc>
          <w:tcPr>
            <w:tcW w:w="1382" w:type="dxa"/>
            <w:tcBorders>
              <w:top w:val="single" w:sz="4" w:space="0" w:color="auto"/>
              <w:left w:val="single" w:sz="4" w:space="0" w:color="auto"/>
            </w:tcBorders>
          </w:tcPr>
          <w:p w14:paraId="39271F56"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Вес пустого</w:t>
            </w:r>
          </w:p>
        </w:tc>
        <w:tc>
          <w:tcPr>
            <w:tcW w:w="1570" w:type="dxa"/>
            <w:tcBorders>
              <w:top w:val="single" w:sz="4" w:space="0" w:color="auto"/>
              <w:left w:val="single" w:sz="4" w:space="0" w:color="auto"/>
            </w:tcBorders>
            <w:vAlign w:val="bottom"/>
          </w:tcPr>
          <w:p w14:paraId="2CE9F990"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Вес отнесен. к 1 пассажиру</w:t>
            </w:r>
          </w:p>
        </w:tc>
        <w:tc>
          <w:tcPr>
            <w:tcW w:w="1498" w:type="dxa"/>
            <w:tcBorders>
              <w:top w:val="single" w:sz="4" w:space="0" w:color="auto"/>
              <w:left w:val="single" w:sz="4" w:space="0" w:color="auto"/>
            </w:tcBorders>
            <w:vAlign w:val="bottom"/>
          </w:tcPr>
          <w:p w14:paraId="2717E28E"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Расход топлива на 100 клм. пути</w:t>
            </w:r>
          </w:p>
        </w:tc>
        <w:tc>
          <w:tcPr>
            <w:tcW w:w="2318" w:type="dxa"/>
            <w:tcBorders>
              <w:top w:val="single" w:sz="4" w:space="0" w:color="auto"/>
              <w:left w:val="single" w:sz="4" w:space="0" w:color="auto"/>
              <w:right w:val="single" w:sz="4" w:space="0" w:color="auto"/>
            </w:tcBorders>
            <w:vAlign w:val="bottom"/>
          </w:tcPr>
          <w:p w14:paraId="5A5B21E0"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Расход топлива на 100 клм. пути на одного пассажира</w:t>
            </w:r>
          </w:p>
        </w:tc>
      </w:tr>
      <w:tr w:rsidR="00D0391D" w:rsidRPr="00C94B78" w14:paraId="189AB2C9" w14:textId="77777777" w:rsidTr="00D0391D">
        <w:trPr>
          <w:trHeight w:hRule="exact" w:val="523"/>
        </w:trPr>
        <w:tc>
          <w:tcPr>
            <w:tcW w:w="1853" w:type="dxa"/>
            <w:tcBorders>
              <w:top w:val="single" w:sz="4" w:space="0" w:color="auto"/>
              <w:left w:val="single" w:sz="4" w:space="0" w:color="auto"/>
            </w:tcBorders>
            <w:vAlign w:val="bottom"/>
          </w:tcPr>
          <w:p w14:paraId="35DDA1BE"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Самолёт</w:t>
            </w:r>
          </w:p>
          <w:p w14:paraId="1292B797"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Ил-АЧ-31</w:t>
            </w:r>
          </w:p>
        </w:tc>
        <w:tc>
          <w:tcPr>
            <w:tcW w:w="1301" w:type="dxa"/>
            <w:tcBorders>
              <w:top w:val="single" w:sz="4" w:space="0" w:color="auto"/>
              <w:left w:val="single" w:sz="4" w:space="0" w:color="auto"/>
            </w:tcBorders>
            <w:vAlign w:val="bottom"/>
          </w:tcPr>
          <w:p w14:paraId="2199CCDC"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27</w:t>
            </w:r>
          </w:p>
        </w:tc>
        <w:tc>
          <w:tcPr>
            <w:tcW w:w="1382" w:type="dxa"/>
            <w:tcBorders>
              <w:top w:val="single" w:sz="4" w:space="0" w:color="auto"/>
              <w:left w:val="single" w:sz="4" w:space="0" w:color="auto"/>
            </w:tcBorders>
            <w:vAlign w:val="bottom"/>
          </w:tcPr>
          <w:p w14:paraId="2454E5D2"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11.550 кг</w:t>
            </w:r>
          </w:p>
        </w:tc>
        <w:tc>
          <w:tcPr>
            <w:tcW w:w="1570" w:type="dxa"/>
            <w:tcBorders>
              <w:top w:val="single" w:sz="4" w:space="0" w:color="auto"/>
              <w:left w:val="single" w:sz="4" w:space="0" w:color="auto"/>
            </w:tcBorders>
            <w:vAlign w:val="bottom"/>
          </w:tcPr>
          <w:p w14:paraId="68017138"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422 кг</w:t>
            </w:r>
          </w:p>
        </w:tc>
        <w:tc>
          <w:tcPr>
            <w:tcW w:w="1498" w:type="dxa"/>
            <w:tcBorders>
              <w:top w:val="single" w:sz="4" w:space="0" w:color="auto"/>
              <w:left w:val="single" w:sz="4" w:space="0" w:color="auto"/>
            </w:tcBorders>
          </w:tcPr>
          <w:p w14:paraId="1A615992"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109 кг</w:t>
            </w:r>
          </w:p>
        </w:tc>
        <w:tc>
          <w:tcPr>
            <w:tcW w:w="2318" w:type="dxa"/>
            <w:tcBorders>
              <w:top w:val="single" w:sz="4" w:space="0" w:color="auto"/>
              <w:left w:val="single" w:sz="4" w:space="0" w:color="auto"/>
              <w:right w:val="single" w:sz="4" w:space="0" w:color="auto"/>
            </w:tcBorders>
            <w:vAlign w:val="bottom"/>
          </w:tcPr>
          <w:p w14:paraId="23B602EB"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u w:val="single"/>
              </w:rPr>
              <w:t xml:space="preserve">4,06 кг </w:t>
            </w:r>
            <w:r w:rsidRPr="00C94B78">
              <w:rPr>
                <w:rStyle w:val="affffff8"/>
                <w:rFonts w:ascii="Times New Roman" w:hAnsi="Times New Roman" w:cs="Times New Roman"/>
                <w:color w:val="0070C0"/>
                <w:sz w:val="16"/>
                <w:szCs w:val="16"/>
              </w:rPr>
              <w:t>40.000 калор.</w:t>
            </w:r>
          </w:p>
        </w:tc>
      </w:tr>
      <w:tr w:rsidR="00D0391D" w:rsidRPr="00C94B78" w14:paraId="42E67C4E" w14:textId="77777777" w:rsidTr="00D0391D">
        <w:trPr>
          <w:trHeight w:hRule="exact" w:val="523"/>
        </w:trPr>
        <w:tc>
          <w:tcPr>
            <w:tcW w:w="1853" w:type="dxa"/>
            <w:tcBorders>
              <w:top w:val="single" w:sz="4" w:space="0" w:color="auto"/>
              <w:left w:val="single" w:sz="4" w:space="0" w:color="auto"/>
            </w:tcBorders>
            <w:vAlign w:val="bottom"/>
          </w:tcPr>
          <w:p w14:paraId="01C99274"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Автомобиль ЗИС-101</w:t>
            </w:r>
          </w:p>
        </w:tc>
        <w:tc>
          <w:tcPr>
            <w:tcW w:w="1301" w:type="dxa"/>
            <w:tcBorders>
              <w:top w:val="single" w:sz="4" w:space="0" w:color="auto"/>
              <w:left w:val="single" w:sz="4" w:space="0" w:color="auto"/>
            </w:tcBorders>
            <w:vAlign w:val="bottom"/>
          </w:tcPr>
          <w:p w14:paraId="2D041FEB"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5</w:t>
            </w:r>
          </w:p>
        </w:tc>
        <w:tc>
          <w:tcPr>
            <w:tcW w:w="1382" w:type="dxa"/>
            <w:tcBorders>
              <w:top w:val="single" w:sz="4" w:space="0" w:color="auto"/>
              <w:left w:val="single" w:sz="4" w:space="0" w:color="auto"/>
            </w:tcBorders>
            <w:vAlign w:val="bottom"/>
          </w:tcPr>
          <w:p w14:paraId="1249418F"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2.700 кг</w:t>
            </w:r>
          </w:p>
        </w:tc>
        <w:tc>
          <w:tcPr>
            <w:tcW w:w="1570" w:type="dxa"/>
            <w:tcBorders>
              <w:top w:val="single" w:sz="4" w:space="0" w:color="auto"/>
              <w:left w:val="single" w:sz="4" w:space="0" w:color="auto"/>
            </w:tcBorders>
            <w:vAlign w:val="bottom"/>
          </w:tcPr>
          <w:p w14:paraId="1F64C47F"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540 кг</w:t>
            </w:r>
          </w:p>
        </w:tc>
        <w:tc>
          <w:tcPr>
            <w:tcW w:w="1498" w:type="dxa"/>
            <w:tcBorders>
              <w:top w:val="single" w:sz="4" w:space="0" w:color="auto"/>
              <w:left w:val="single" w:sz="4" w:space="0" w:color="auto"/>
            </w:tcBorders>
            <w:vAlign w:val="bottom"/>
          </w:tcPr>
          <w:p w14:paraId="77D302CB"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20 кг</w:t>
            </w:r>
          </w:p>
        </w:tc>
        <w:tc>
          <w:tcPr>
            <w:tcW w:w="2318" w:type="dxa"/>
            <w:tcBorders>
              <w:top w:val="single" w:sz="4" w:space="0" w:color="auto"/>
              <w:left w:val="single" w:sz="4" w:space="0" w:color="auto"/>
              <w:right w:val="single" w:sz="4" w:space="0" w:color="auto"/>
            </w:tcBorders>
            <w:vAlign w:val="bottom"/>
          </w:tcPr>
          <w:p w14:paraId="751F0A99"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u w:val="single"/>
              </w:rPr>
              <w:t xml:space="preserve">4,0 кг </w:t>
            </w:r>
            <w:r w:rsidRPr="00C94B78">
              <w:rPr>
                <w:rStyle w:val="affffff8"/>
                <w:rFonts w:ascii="Times New Roman" w:hAnsi="Times New Roman" w:cs="Times New Roman"/>
                <w:color w:val="0070C0"/>
                <w:sz w:val="16"/>
                <w:szCs w:val="16"/>
              </w:rPr>
              <w:t>40.000 кал.</w:t>
            </w:r>
          </w:p>
        </w:tc>
      </w:tr>
      <w:tr w:rsidR="00D0391D" w:rsidRPr="00C94B78" w14:paraId="51E4FFE9" w14:textId="77777777" w:rsidTr="00D0391D">
        <w:trPr>
          <w:trHeight w:hRule="exact" w:val="528"/>
        </w:trPr>
        <w:tc>
          <w:tcPr>
            <w:tcW w:w="1853" w:type="dxa"/>
            <w:tcBorders>
              <w:top w:val="single" w:sz="4" w:space="0" w:color="auto"/>
              <w:left w:val="single" w:sz="4" w:space="0" w:color="auto"/>
              <w:bottom w:val="single" w:sz="4" w:space="0" w:color="auto"/>
            </w:tcBorders>
            <w:vAlign w:val="bottom"/>
          </w:tcPr>
          <w:p w14:paraId="1F3B8565"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Пассажирский поезд*</w:t>
            </w:r>
          </w:p>
        </w:tc>
        <w:tc>
          <w:tcPr>
            <w:tcW w:w="1301" w:type="dxa"/>
            <w:tcBorders>
              <w:top w:val="single" w:sz="4" w:space="0" w:color="auto"/>
              <w:left w:val="single" w:sz="4" w:space="0" w:color="auto"/>
              <w:bottom w:val="single" w:sz="4" w:space="0" w:color="auto"/>
            </w:tcBorders>
            <w:vAlign w:val="bottom"/>
          </w:tcPr>
          <w:p w14:paraId="49792AFD"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400</w:t>
            </w:r>
          </w:p>
        </w:tc>
        <w:tc>
          <w:tcPr>
            <w:tcW w:w="1382" w:type="dxa"/>
            <w:tcBorders>
              <w:top w:val="single" w:sz="4" w:space="0" w:color="auto"/>
              <w:left w:val="single" w:sz="4" w:space="0" w:color="auto"/>
              <w:bottom w:val="single" w:sz="4" w:space="0" w:color="auto"/>
            </w:tcBorders>
            <w:vAlign w:val="bottom"/>
          </w:tcPr>
          <w:p w14:paraId="487307B2"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600.000 кг</w:t>
            </w:r>
          </w:p>
        </w:tc>
        <w:tc>
          <w:tcPr>
            <w:tcW w:w="1570" w:type="dxa"/>
            <w:tcBorders>
              <w:top w:val="single" w:sz="4" w:space="0" w:color="auto"/>
              <w:left w:val="single" w:sz="4" w:space="0" w:color="auto"/>
              <w:bottom w:val="single" w:sz="4" w:space="0" w:color="auto"/>
            </w:tcBorders>
            <w:vAlign w:val="bottom"/>
          </w:tcPr>
          <w:p w14:paraId="7FFB250E"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1500 кг</w:t>
            </w:r>
          </w:p>
        </w:tc>
        <w:tc>
          <w:tcPr>
            <w:tcW w:w="1498" w:type="dxa"/>
            <w:tcBorders>
              <w:top w:val="single" w:sz="4" w:space="0" w:color="auto"/>
              <w:left w:val="single" w:sz="4" w:space="0" w:color="auto"/>
              <w:bottom w:val="single" w:sz="4" w:space="0" w:color="auto"/>
            </w:tcBorders>
            <w:vAlign w:val="bottom"/>
          </w:tcPr>
          <w:p w14:paraId="60C991C8"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3500 кг</w:t>
            </w:r>
          </w:p>
        </w:tc>
        <w:tc>
          <w:tcPr>
            <w:tcW w:w="2318" w:type="dxa"/>
            <w:tcBorders>
              <w:top w:val="single" w:sz="4" w:space="0" w:color="auto"/>
              <w:left w:val="single" w:sz="4" w:space="0" w:color="auto"/>
              <w:bottom w:val="single" w:sz="4" w:space="0" w:color="auto"/>
              <w:right w:val="single" w:sz="4" w:space="0" w:color="auto"/>
            </w:tcBorders>
            <w:vAlign w:val="bottom"/>
          </w:tcPr>
          <w:p w14:paraId="2FEA7DB3" w14:textId="77777777" w:rsidR="00D0391D" w:rsidRPr="00C94B78" w:rsidRDefault="00D0391D" w:rsidP="00B56F90">
            <w:pPr>
              <w:pStyle w:val="affffff9"/>
              <w:ind w:firstLine="0"/>
              <w:jc w:val="both"/>
              <w:rPr>
                <w:rFonts w:ascii="Times New Roman" w:hAnsi="Times New Roman" w:cs="Times New Roman"/>
                <w:color w:val="0070C0"/>
                <w:sz w:val="16"/>
                <w:szCs w:val="16"/>
              </w:rPr>
            </w:pPr>
            <w:r w:rsidRPr="00C94B78">
              <w:rPr>
                <w:rStyle w:val="affffff8"/>
                <w:rFonts w:ascii="Times New Roman" w:hAnsi="Times New Roman" w:cs="Times New Roman"/>
                <w:color w:val="0070C0"/>
                <w:sz w:val="16"/>
                <w:szCs w:val="16"/>
              </w:rPr>
              <w:t>8,75 кг 57.275 кал.</w:t>
            </w:r>
          </w:p>
        </w:tc>
      </w:tr>
    </w:tbl>
    <w:p w14:paraId="593A7D36"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Не ограничиваясь этим, Ильюшин считает необхо</w:t>
      </w:r>
      <w:r w:rsidRPr="00C94B78">
        <w:rPr>
          <w:rStyle w:val="aff1"/>
          <w:rFonts w:ascii="Times New Roman" w:hAnsi="Times New Roman" w:cs="Times New Roman"/>
          <w:color w:val="0070C0"/>
          <w:spacing w:val="0"/>
          <w:sz w:val="16"/>
          <w:szCs w:val="16"/>
        </w:rPr>
        <w:softHyphen/>
        <w:t>димым сопоставить также экономические показа</w:t>
      </w:r>
      <w:r w:rsidRPr="00C94B78">
        <w:rPr>
          <w:rStyle w:val="aff1"/>
          <w:rFonts w:ascii="Times New Roman" w:hAnsi="Times New Roman" w:cs="Times New Roman"/>
          <w:color w:val="0070C0"/>
          <w:spacing w:val="0"/>
          <w:sz w:val="16"/>
          <w:szCs w:val="16"/>
        </w:rPr>
        <w:softHyphen/>
        <w:t>тели Ил- АЧ31 с показателями автомобиля ЗИС-101 и пассажирского поезда с 400 пассажирами в составе 10 классных вагонов (по его данным, паровоз, везущий такой состав весом 600 тонн, расходует 3500 кг на 100 км пути в исчислении Донецкого угля). Сопоставляется, в частности, расход топлива на 100 км пути на одного пассажира. В пересчёте на калории он составляет 40000 калорий для Ил- АЧ-31 и ЗИС-101 и 57275 калорий для пасса</w:t>
      </w:r>
      <w:r w:rsidRPr="00C94B78">
        <w:rPr>
          <w:rStyle w:val="aff1"/>
          <w:rFonts w:ascii="Times New Roman" w:hAnsi="Times New Roman" w:cs="Times New Roman"/>
          <w:color w:val="0070C0"/>
          <w:spacing w:val="0"/>
          <w:sz w:val="16"/>
          <w:szCs w:val="16"/>
        </w:rPr>
        <w:softHyphen/>
        <w:t>жирского поезда.</w:t>
      </w:r>
    </w:p>
    <w:p w14:paraId="33E26C37"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Комментарий Ильюшина: «Из приведённой таблицы следует, что по двум из основных экономиче</w:t>
      </w:r>
      <w:r w:rsidRPr="00C94B78">
        <w:rPr>
          <w:rStyle w:val="aff1"/>
          <w:rFonts w:ascii="Times New Roman" w:hAnsi="Times New Roman" w:cs="Times New Roman"/>
          <w:color w:val="0070C0"/>
          <w:spacing w:val="0"/>
          <w:sz w:val="16"/>
          <w:szCs w:val="16"/>
        </w:rPr>
        <w:softHyphen/>
        <w:t>ских показателей авиационный транспорт является наиболее дешевым видом транспорта, хотя распро</w:t>
      </w:r>
      <w:r w:rsidRPr="00C94B78">
        <w:rPr>
          <w:rStyle w:val="aff1"/>
          <w:rFonts w:ascii="Times New Roman" w:hAnsi="Times New Roman" w:cs="Times New Roman"/>
          <w:color w:val="0070C0"/>
          <w:spacing w:val="0"/>
          <w:sz w:val="16"/>
          <w:szCs w:val="16"/>
        </w:rPr>
        <w:softHyphen/>
        <w:t>страненным является мнение, что авиационный пассажирский транспорт является одним из самых дорогих видов транспорта.»</w:t>
      </w:r>
    </w:p>
    <w:p w14:paraId="105E4D87"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К этому Ильюшин добавляет следующее:</w:t>
      </w:r>
    </w:p>
    <w:p w14:paraId="0CD0FBD4"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«При сравнении экономичности авиационного пассажирского транспорта с пассажирским железно</w:t>
      </w:r>
      <w:r w:rsidRPr="00C94B78">
        <w:rPr>
          <w:rStyle w:val="aff1"/>
          <w:rFonts w:ascii="Times New Roman" w:hAnsi="Times New Roman" w:cs="Times New Roman"/>
          <w:color w:val="0070C0"/>
          <w:spacing w:val="0"/>
          <w:sz w:val="16"/>
          <w:szCs w:val="16"/>
        </w:rPr>
        <w:softHyphen/>
        <w:t>дорожным транспортом необходимо учесть еще одну очень важную данную.</w:t>
      </w:r>
    </w:p>
    <w:p w14:paraId="4859A7F1"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Предположим, что из Москвы в Иркутск отправ</w:t>
      </w:r>
      <w:r w:rsidRPr="00C94B78">
        <w:rPr>
          <w:rStyle w:val="aff1"/>
          <w:rFonts w:ascii="Times New Roman" w:hAnsi="Times New Roman" w:cs="Times New Roman"/>
          <w:color w:val="0070C0"/>
          <w:spacing w:val="0"/>
          <w:sz w:val="16"/>
          <w:szCs w:val="16"/>
        </w:rPr>
        <w:softHyphen/>
        <w:t>ляются одновременно пассажирский поезд (в составе указанном выше) с 400 пассажирами и 15 транспорт</w:t>
      </w:r>
      <w:r w:rsidRPr="00C94B78">
        <w:rPr>
          <w:rStyle w:val="aff1"/>
          <w:rFonts w:ascii="Times New Roman" w:hAnsi="Times New Roman" w:cs="Times New Roman"/>
          <w:color w:val="0070C0"/>
          <w:spacing w:val="0"/>
          <w:sz w:val="16"/>
          <w:szCs w:val="16"/>
        </w:rPr>
        <w:softHyphen/>
        <w:t>ных самолётов с 400 пассажирами.</w:t>
      </w:r>
    </w:p>
    <w:p w14:paraId="328C9DAC"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Пассажирский поезд прибудет в Иркутск по истечении 5 суток, пассажирские транспортные самолёты прибудут в Иркутск по истечении одних суток.</w:t>
      </w:r>
    </w:p>
    <w:p w14:paraId="57899025"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Таким образом, 400 человек пассажиров пассажир</w:t>
      </w:r>
      <w:r w:rsidRPr="00C94B78">
        <w:rPr>
          <w:rStyle w:val="aff1"/>
          <w:rFonts w:ascii="Times New Roman" w:hAnsi="Times New Roman" w:cs="Times New Roman"/>
          <w:color w:val="0070C0"/>
          <w:spacing w:val="0"/>
          <w:sz w:val="16"/>
          <w:szCs w:val="16"/>
        </w:rPr>
        <w:softHyphen/>
        <w:t>ского поезда потратят непроизводительно 12800 рабочих часов.</w:t>
      </w:r>
    </w:p>
    <w:p w14:paraId="536BD247"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Самолёт перевезет 27 человек пассажиров, сэкономит 864 часа, что составит 1/20 затраты рабочего времени на постройку самолёта с моторами и со всем оборудованием. Десять таких рейсов Москва- Иркутск и обратно окупают полностью затрату рабочих часов на постройку самолёта».</w:t>
      </w:r>
    </w:p>
    <w:p w14:paraId="6A6ECAC7"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Как видим, Ильюшин акцентирует внимание на экономической целесообразности развития воздуш</w:t>
      </w:r>
      <w:r w:rsidRPr="00C94B78">
        <w:rPr>
          <w:rStyle w:val="aff1"/>
          <w:rFonts w:ascii="Times New Roman" w:hAnsi="Times New Roman" w:cs="Times New Roman"/>
          <w:color w:val="0070C0"/>
          <w:spacing w:val="0"/>
          <w:sz w:val="16"/>
          <w:szCs w:val="16"/>
        </w:rPr>
        <w:softHyphen/>
        <w:t>ного транспорта, давая понять, что в грядущие мирные времена пассажирские воздушные перевозки должны будут стать обыденным делом, а не средством для служебных поездок ограниченного количества офици</w:t>
      </w:r>
      <w:r w:rsidRPr="00C94B78">
        <w:rPr>
          <w:rStyle w:val="aff1"/>
          <w:rFonts w:ascii="Times New Roman" w:hAnsi="Times New Roman" w:cs="Times New Roman"/>
          <w:color w:val="0070C0"/>
          <w:spacing w:val="0"/>
          <w:sz w:val="16"/>
          <w:szCs w:val="16"/>
        </w:rPr>
        <w:softHyphen/>
        <w:t>альных лиц.</w:t>
      </w:r>
    </w:p>
    <w:p w14:paraId="37661E18"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Обратимся теперь к упомянутому выше трёхвидо</w:t>
      </w:r>
      <w:r w:rsidRPr="00C94B78">
        <w:rPr>
          <w:rStyle w:val="aff1"/>
          <w:rFonts w:ascii="Times New Roman" w:hAnsi="Times New Roman" w:cs="Times New Roman"/>
          <w:color w:val="0070C0"/>
          <w:spacing w:val="0"/>
          <w:sz w:val="16"/>
          <w:szCs w:val="16"/>
        </w:rPr>
        <w:softHyphen/>
        <w:t>вому рисунку Ил-12 с АЧ-31. Случилось так, что для истории осталась одна-единственная фотография этого самолёта, где он запечатлён в ночное время в лобовом ракурсе, частично заслонённый группой участников создания машины. Снимок, к сожалению, не даёт достаточного представления обо всех особен</w:t>
      </w:r>
      <w:r w:rsidRPr="00C94B78">
        <w:rPr>
          <w:rStyle w:val="aff1"/>
          <w:rFonts w:ascii="Times New Roman" w:hAnsi="Times New Roman" w:cs="Times New Roman"/>
          <w:color w:val="0070C0"/>
          <w:spacing w:val="0"/>
          <w:sz w:val="16"/>
          <w:szCs w:val="16"/>
        </w:rPr>
        <w:softHyphen/>
        <w:t>ностях этого экземпляра и его отличиях от последу</w:t>
      </w:r>
      <w:r w:rsidRPr="00C94B78">
        <w:rPr>
          <w:rStyle w:val="aff1"/>
          <w:rFonts w:ascii="Times New Roman" w:hAnsi="Times New Roman" w:cs="Times New Roman"/>
          <w:color w:val="0070C0"/>
          <w:spacing w:val="0"/>
          <w:sz w:val="16"/>
          <w:szCs w:val="16"/>
        </w:rPr>
        <w:softHyphen/>
        <w:t>ющего серийного варианта с двигателями АШ-82ФН. В дополнение к этому снимку в наших исторических публикациях приводятся лишь снимки продувочной модели самолёта и два-три рисунка, показывающих проектные конфигурации самолёта.</w:t>
      </w:r>
    </w:p>
    <w:p w14:paraId="639D447A"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Сопоставление этих рисунков и фото между собой и с иллюстрациями варианта Ил-12 с двигателями АШ-82ФН позволяет выявить некоторые интересные детали внешнего облика и компоновки самолёта и эволюцию проекта на начальном этапе.</w:t>
      </w:r>
    </w:p>
    <w:p w14:paraId="2358DA48"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Начнём с того, что характерной особенностью первого экземпляра Ил-12 являлась компоновка мотогондол и основных стоек шасси, связанная с применением рядных двигателей водяного охлажде</w:t>
      </w:r>
      <w:r w:rsidRPr="00C94B78">
        <w:rPr>
          <w:rStyle w:val="aff1"/>
          <w:rFonts w:ascii="Times New Roman" w:hAnsi="Times New Roman" w:cs="Times New Roman"/>
          <w:color w:val="0070C0"/>
          <w:spacing w:val="0"/>
          <w:sz w:val="16"/>
          <w:szCs w:val="16"/>
        </w:rPr>
        <w:softHyphen/>
        <w:t>ния АЧ-31. Большая длина рядного двигателя АЧ-31 в сочетании с размещением (водо?) радиатора под дви</w:t>
      </w:r>
      <w:r w:rsidRPr="00C94B78">
        <w:rPr>
          <w:rStyle w:val="aff1"/>
          <w:rFonts w:ascii="Times New Roman" w:hAnsi="Times New Roman" w:cs="Times New Roman"/>
          <w:color w:val="0070C0"/>
          <w:spacing w:val="0"/>
          <w:sz w:val="16"/>
          <w:szCs w:val="16"/>
        </w:rPr>
        <w:softHyphen/>
        <w:t>гателем (что мы видим на чертеже от 1 марта 1944 г.) не оставила возможности для уборки основных стоек шасси в мотогондолы поворотом вперёд. Поворот же стоек назад вынудил удлинить заднюю часть мотогон</w:t>
      </w:r>
      <w:r w:rsidRPr="00C94B78">
        <w:rPr>
          <w:rStyle w:val="aff1"/>
          <w:rFonts w:ascii="Times New Roman" w:hAnsi="Times New Roman" w:cs="Times New Roman"/>
          <w:color w:val="0070C0"/>
          <w:spacing w:val="0"/>
          <w:sz w:val="16"/>
          <w:szCs w:val="16"/>
        </w:rPr>
        <w:softHyphen/>
        <w:t>дол так, что они стали выступать за заднюю кромку крыла, не позволяя применить цельный закрылок на каждом полукрыле. При этом на каждую стойку было поставлено по одному колесу большого диаме</w:t>
      </w:r>
      <w:r w:rsidRPr="00C94B78">
        <w:rPr>
          <w:rStyle w:val="aff1"/>
          <w:rFonts w:ascii="Times New Roman" w:hAnsi="Times New Roman" w:cs="Times New Roman"/>
          <w:color w:val="0070C0"/>
          <w:spacing w:val="0"/>
          <w:sz w:val="16"/>
          <w:szCs w:val="16"/>
        </w:rPr>
        <w:softHyphen/>
        <w:t>тра, настолько большого (судя по чертежу – порядка 1380 мм), что колёса не помещались при уборке целиком в мотогондолы и выступали за их обводы.</w:t>
      </w:r>
    </w:p>
    <w:p w14:paraId="22BACD75"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Как отмечается в изданиях по истории ОКБ, позже, при установке на самолёт звездообразных двигате</w:t>
      </w:r>
      <w:r w:rsidRPr="00C94B78">
        <w:rPr>
          <w:rStyle w:val="aff1"/>
          <w:rFonts w:ascii="Times New Roman" w:hAnsi="Times New Roman" w:cs="Times New Roman"/>
          <w:color w:val="0070C0"/>
          <w:spacing w:val="0"/>
          <w:sz w:val="16"/>
          <w:szCs w:val="16"/>
        </w:rPr>
        <w:softHyphen/>
        <w:t>лей АШ-82ФН, появилась возможность убирать стойки основного шасси в мотогондолы поворотом вперёд с применением сдвоенных колёс меньшего диаметра. Это, в частности, позволило значительно укоротить задние обтекатели мотогондол и освободить заднюю кромку крыла для установки цельных (не разделён</w:t>
      </w:r>
      <w:r w:rsidRPr="00C94B78">
        <w:rPr>
          <w:rStyle w:val="aff1"/>
          <w:rFonts w:ascii="Times New Roman" w:hAnsi="Times New Roman" w:cs="Times New Roman"/>
          <w:color w:val="0070C0"/>
          <w:spacing w:val="0"/>
          <w:sz w:val="16"/>
          <w:szCs w:val="16"/>
        </w:rPr>
        <w:softHyphen/>
        <w:t>ных на две части) закрылков, увеличив при этом их площадь.</w:t>
      </w:r>
    </w:p>
    <w:p w14:paraId="7368B80D" w14:textId="77777777" w:rsidR="00D0391D" w:rsidRPr="00C94B78" w:rsidRDefault="00D0391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lastRenderedPageBreak/>
        <w:t xml:space="preserve">Вторая характерная особенность «дизельного» Ил-12 – это размещение водорадиаторов в носке центроплана, получившего наплыв в этой части. Заметим, однако, что эта деталь фигурирует не на всех проектных изображениях самолёта </w:t>
      </w:r>
      <w:r w:rsidRPr="00C94B78">
        <w:rPr>
          <w:rFonts w:ascii="Times New Roman" w:hAnsi="Times New Roman"/>
          <w:color w:val="0070C0"/>
          <w:sz w:val="16"/>
          <w:szCs w:val="16"/>
        </w:rPr>
        <w:t>(25711).</w:t>
      </w:r>
    </w:p>
    <w:p w14:paraId="1369AD8E" w14:textId="77777777" w:rsidR="00D0391D" w:rsidRPr="00C94B78" w:rsidRDefault="00D0391D" w:rsidP="00B56F90">
      <w:pPr>
        <w:spacing w:after="0" w:line="240" w:lineRule="auto"/>
        <w:jc w:val="both"/>
        <w:rPr>
          <w:rFonts w:ascii="Times New Roman" w:hAnsi="Times New Roman"/>
          <w:color w:val="0070C0"/>
          <w:sz w:val="16"/>
          <w:szCs w:val="16"/>
        </w:rPr>
      </w:pPr>
    </w:p>
    <w:p w14:paraId="1D6159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года в Каменск-Уральском смонтирован и пущен в эксплуатацию новый завод № 268 НКАП (8952).</w:t>
      </w:r>
    </w:p>
    <w:p w14:paraId="3AAEDE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9E26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вышло Постановление ГКО № 5604 О строительстве 15 полевых аэродромов со сборными металлическими взлетно-посадочными полосами, рулежными дорожками и местами стоянок. РГАНИР, Фонд ГКО, д. 232, лл. 169-174,175-177 (11012).</w:t>
      </w:r>
    </w:p>
    <w:p w14:paraId="0B3674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31B7C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вышло Постановление ГКО № 5607 О поставке воздухоплавательного имущества Наркомату обороны СССР и Наркомвоенморфлоту во II квартале 1944 г. РГАНИР, Фонд ГКО, д. 232, лл. 224-227,228-236 (11012).</w:t>
      </w:r>
    </w:p>
    <w:p w14:paraId="10790EB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F35656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E8111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8CA5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г. был подготовлен ДОКЛАД О СОСТОЯНИИ БРОНЕПОЕЗДОВ И ИХ ВООРУЖЕНИЯ ПО ОПЫТУ УЧАСТИЯ ИХ В ОТЕЧЕСТВЕННОЙ ВОЙНЕ</w:t>
      </w:r>
    </w:p>
    <w:p w14:paraId="16B6CD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Данные о бронепоездах к началу войны</w:t>
      </w:r>
    </w:p>
    <w:p w14:paraId="7DE6A2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Бронепоезда строились одним заводом — заводом «Красный Профинтерн» в г. Бежица, с про</w:t>
      </w:r>
      <w:r w:rsidRPr="00070ADE">
        <w:rPr>
          <w:rFonts w:ascii="Times New Roman" w:hAnsi="Times New Roman"/>
          <w:color w:val="000000" w:themeColor="text1"/>
          <w:sz w:val="16"/>
          <w:szCs w:val="16"/>
        </w:rPr>
        <w:softHyphen/>
        <w:t>граммой 5-6 бронепоездов в год.</w:t>
      </w:r>
    </w:p>
    <w:p w14:paraId="14007C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Ремонт бронепоездов, их модернизация, а также изготовление опытных образцов и разра</w:t>
      </w:r>
      <w:r w:rsidRPr="00070ADE">
        <w:rPr>
          <w:rFonts w:ascii="Times New Roman" w:hAnsi="Times New Roman"/>
          <w:color w:val="000000" w:themeColor="text1"/>
          <w:sz w:val="16"/>
          <w:szCs w:val="16"/>
        </w:rPr>
        <w:softHyphen/>
        <w:t>ботка различной технической документации (чертежи на новое строительство, на модернизацию, опытные образцы и т.п.) производилось рембазой №6 АБТУ РККА в г. Брянске.</w:t>
      </w:r>
    </w:p>
    <w:p w14:paraId="71A96F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Ремонт железнодорожной части бронепаровозов (собственно паровоза) и бронеплощадок (ходо</w:t>
      </w:r>
      <w:r w:rsidRPr="00070ADE">
        <w:rPr>
          <w:rFonts w:ascii="Times New Roman" w:hAnsi="Times New Roman"/>
          <w:color w:val="000000" w:themeColor="text1"/>
          <w:sz w:val="16"/>
          <w:szCs w:val="16"/>
        </w:rPr>
        <w:softHyphen/>
        <w:t>вой части) производился в специально выделенном только для этой цели депо на станции Брянск.</w:t>
      </w:r>
    </w:p>
    <w:p w14:paraId="0C2338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Бронепоезда изготовлялись в следующем составе: бронепаровоз (тип ПР-35), две четырехос</w:t>
      </w:r>
      <w:r w:rsidRPr="00070ADE">
        <w:rPr>
          <w:rFonts w:ascii="Times New Roman" w:hAnsi="Times New Roman"/>
          <w:color w:val="000000" w:themeColor="text1"/>
          <w:sz w:val="16"/>
          <w:szCs w:val="16"/>
        </w:rPr>
        <w:softHyphen/>
        <w:t>ных двухбашенных бронеплощадки и одна платформа ПВО (тип СПУ-БП).</w:t>
      </w:r>
    </w:p>
    <w:p w14:paraId="3E36AE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К началу войны в Красной Армии состояло 34 легких бронепоезда и 13 тяжелых бронепоездов, из них в ДВФ и Забайкальском фронте — 12 легких и 5 тяжелых бронепоездов. Платформ ПВО (типа СПУ-БП) имелось всего 28 штук, из них в ДВФ и Забайкальском фронте — 15 штук.</w:t>
      </w:r>
    </w:p>
    <w:p w14:paraId="52C556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Характеристика бронепоездов: Легкий бронепоезд.</w:t>
      </w:r>
    </w:p>
    <w:p w14:paraId="77880E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Бронепаровоз серии О</w:t>
      </w:r>
      <w:r w:rsidRPr="00070ADE">
        <w:rPr>
          <w:rFonts w:ascii="Times New Roman" w:hAnsi="Times New Roman"/>
          <w:color w:val="000000" w:themeColor="text1"/>
          <w:sz w:val="16"/>
          <w:szCs w:val="16"/>
          <w:vertAlign w:val="superscript"/>
        </w:rPr>
        <w:t>в</w:t>
      </w:r>
      <w:r w:rsidRPr="00070ADE">
        <w:rPr>
          <w:rFonts w:ascii="Times New Roman" w:hAnsi="Times New Roman"/>
          <w:color w:val="000000" w:themeColor="text1"/>
          <w:sz w:val="16"/>
          <w:szCs w:val="16"/>
        </w:rPr>
        <w:t>, толщина брони 10 до 15 мм, вооружен 2 шт. пулеметов «Максима» (спаренные зенитные).</w:t>
      </w:r>
    </w:p>
    <w:p w14:paraId="399CA0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2 шт. четырехосных бронеплощадки, толщина брони 15-20 мм, вооружение (бронепоезда) 4 шт. 76-мм пушки образца 1902 года или 1902/30 года и 12 шт. бортовых пулеметов «Максима». Тяжелый бронепоезд.</w:t>
      </w:r>
    </w:p>
    <w:p w14:paraId="48B762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Бронепаровоз серии О</w:t>
      </w:r>
      <w:r w:rsidRPr="00070ADE">
        <w:rPr>
          <w:rFonts w:ascii="Times New Roman" w:hAnsi="Times New Roman"/>
          <w:color w:val="000000" w:themeColor="text1"/>
          <w:sz w:val="16"/>
          <w:szCs w:val="16"/>
          <w:vertAlign w:val="superscript"/>
        </w:rPr>
        <w:t>в</w:t>
      </w:r>
      <w:r w:rsidRPr="00070ADE">
        <w:rPr>
          <w:rFonts w:ascii="Times New Roman" w:hAnsi="Times New Roman"/>
          <w:color w:val="000000" w:themeColor="text1"/>
          <w:sz w:val="16"/>
          <w:szCs w:val="16"/>
        </w:rPr>
        <w:t>.</w:t>
      </w:r>
    </w:p>
    <w:p w14:paraId="3E4CE2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2 шт. четырехосных бронеплощадки, толщина брони до 20 мм, вооружение (бронепоезда) 2 шт. 107-мм пушки образца 1910 года и 10 пулеметов «Максима».</w:t>
      </w:r>
    </w:p>
    <w:p w14:paraId="269E72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Платформа ПВО (СПУ-БП) — на двухосной платформе смонтирована специальная башня с зенитной установкой счетверенных пулеметов «Максима».</w:t>
      </w:r>
    </w:p>
    <w:p w14:paraId="27A083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внутреннему оборудованию, электроосвещению, внутренней связи (морского образца) и внешней связи (рация 71-ТК-2) боевая работа бронепоездов полностью обеспечивается.</w:t>
      </w:r>
    </w:p>
    <w:p w14:paraId="53D8E6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Недостатки бронепоездов:</w:t>
      </w:r>
    </w:p>
    <w:p w14:paraId="431A2B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Слабая броневая защита.</w:t>
      </w:r>
    </w:p>
    <w:p w14:paraId="5E0A34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Отсутствие зенитных средств.</w:t>
      </w:r>
    </w:p>
    <w:p w14:paraId="489F76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Большая мишенная поверхность (по высоте бронеплощадок).</w:t>
      </w:r>
    </w:p>
    <w:p w14:paraId="289877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Наличие четырехосных бронеплощадок затрудняет их подъемку при сходе с рельс, а также при выходе одной бронеплощадки бронепоезд терял половину огневых средств. 7. Хорошая сторона:</w:t>
      </w:r>
    </w:p>
    <w:p w14:paraId="7C1F14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Надежное вооружение.</w:t>
      </w:r>
    </w:p>
    <w:p w14:paraId="4F584D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Внутреннее оборудование полностью обеспечивало работу бронепоезда.</w:t>
      </w:r>
    </w:p>
    <w:p w14:paraId="09A377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Быстрое и легкое вращение орудийных башен.</w:t>
      </w:r>
    </w:p>
    <w:p w14:paraId="5F38F1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Простота ведения огня с закрытых позиций (наличие панорам Герца) — как из полевой батареи.</w:t>
      </w:r>
    </w:p>
    <w:p w14:paraId="26A52E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Данные о бронепоездах постройки первого периода Отечественной войны</w:t>
      </w:r>
    </w:p>
    <w:p w14:paraId="29FE0F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(сентябрь 1941 г. — май 1942 г.)</w:t>
      </w:r>
    </w:p>
    <w:p w14:paraId="12AE25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Вследствие перемещения промышленности на восток и нахождения ее в стадии становления, в период с сентября месяца 1941 года по май месяц 1942 года строительство бронепоездов приняло широкие размеры. Бронепоезда строили главным образом железнодорожные предприятия НКПС (депо и ремонтные заводы).</w:t>
      </w:r>
    </w:p>
    <w:p w14:paraId="3DF354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 маю месяцу 1942 года было построено 100 бронепоездов.</w:t>
      </w:r>
    </w:p>
    <w:p w14:paraId="3B0E5D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До декабря месяца 1941 г. бронепоезда (тип Полтавского завода) строились несколько похо</w:t>
      </w:r>
      <w:r w:rsidRPr="00070ADE">
        <w:rPr>
          <w:rFonts w:ascii="Times New Roman" w:hAnsi="Times New Roman"/>
          <w:color w:val="000000" w:themeColor="text1"/>
          <w:sz w:val="16"/>
          <w:szCs w:val="16"/>
        </w:rPr>
        <w:softHyphen/>
        <w:t>жими на бронепоезда довоенной постройки в составе двух четырехосных двухбашенных бронепло</w:t>
      </w:r>
      <w:r w:rsidRPr="00070ADE">
        <w:rPr>
          <w:rFonts w:ascii="Times New Roman" w:hAnsi="Times New Roman"/>
          <w:color w:val="000000" w:themeColor="text1"/>
          <w:sz w:val="16"/>
          <w:szCs w:val="16"/>
        </w:rPr>
        <w:softHyphen/>
        <w:t>щадок и бронепаровоза серии О</w:t>
      </w:r>
      <w:r w:rsidRPr="00070ADE">
        <w:rPr>
          <w:rFonts w:ascii="Times New Roman" w:hAnsi="Times New Roman"/>
          <w:color w:val="000000" w:themeColor="text1"/>
          <w:sz w:val="16"/>
          <w:szCs w:val="16"/>
          <w:vertAlign w:val="superscript"/>
        </w:rPr>
        <w:t>в</w:t>
      </w:r>
      <w:r w:rsidRPr="00070ADE">
        <w:rPr>
          <w:rFonts w:ascii="Times New Roman" w:hAnsi="Times New Roman"/>
          <w:color w:val="000000" w:themeColor="text1"/>
          <w:sz w:val="16"/>
          <w:szCs w:val="16"/>
        </w:rPr>
        <w:t xml:space="preserve"> (без платформ ПВО), средствами ПВО в большинстве случаев не обеспечивались.</w:t>
      </w:r>
    </w:p>
    <w:p w14:paraId="312E30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последующий период бронепоезда строились в следующем составе: бронепаровоз серии О</w:t>
      </w:r>
      <w:r w:rsidRPr="00070ADE">
        <w:rPr>
          <w:rFonts w:ascii="Times New Roman" w:hAnsi="Times New Roman"/>
          <w:color w:val="000000" w:themeColor="text1"/>
          <w:sz w:val="16"/>
          <w:szCs w:val="16"/>
          <w:vertAlign w:val="superscript"/>
        </w:rPr>
        <w:t>в</w:t>
      </w:r>
      <w:r w:rsidRPr="00070ADE">
        <w:rPr>
          <w:rFonts w:ascii="Times New Roman" w:hAnsi="Times New Roman"/>
          <w:color w:val="000000" w:themeColor="text1"/>
          <w:sz w:val="16"/>
          <w:szCs w:val="16"/>
        </w:rPr>
        <w:t>, четырех двухосных однобашенных бронеплощадок (тип ОБ-3) и платформы ПВО.</w:t>
      </w:r>
    </w:p>
    <w:p w14:paraId="53FC75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Характеристики бронепоездов:</w:t>
      </w:r>
    </w:p>
    <w:p w14:paraId="173BB4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Вследствие отсутствия качественной броневой стали бронепоезда строились из сырой броне</w:t>
      </w:r>
      <w:r w:rsidRPr="00070ADE">
        <w:rPr>
          <w:rFonts w:ascii="Times New Roman" w:hAnsi="Times New Roman"/>
          <w:color w:val="000000" w:themeColor="text1"/>
          <w:sz w:val="16"/>
          <w:szCs w:val="16"/>
        </w:rPr>
        <w:softHyphen/>
        <w:t>вой стали, а также из подручного металла.</w:t>
      </w:r>
    </w:p>
    <w:p w14:paraId="687F21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Толщина брони: бронепаровоза — до 45 мм, четырехосных бронеплощадок — 45 мм, двухосных бронеплощадок — 30 мм (15+ 15 мм — в два слоя).</w:t>
      </w:r>
    </w:p>
    <w:p w14:paraId="702A21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Артвооружение — было использовано находящееся в арсеналах и мало используемое в поле</w:t>
      </w:r>
      <w:r w:rsidRPr="00070ADE">
        <w:rPr>
          <w:rFonts w:ascii="Times New Roman" w:hAnsi="Times New Roman"/>
          <w:color w:val="000000" w:themeColor="text1"/>
          <w:sz w:val="16"/>
          <w:szCs w:val="16"/>
        </w:rPr>
        <w:softHyphen/>
        <w:t>вой артиллерии — различных образцов: 76-мм зенитные [пушки] образца 1914-1915 годов, 75-мм французские пушки образца 1897 года, 75-мм польские [пушки] образца 1902-1926 годов, 76-мм образца 1902 года, 76-мм образца 1927 года и т.п. и даже 45-мм танковые пушки.</w:t>
      </w:r>
    </w:p>
    <w:p w14:paraId="1B5917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76-мм зенитные пушки образца 1914-1915 годов главным образом устанавливались на четыре</w:t>
      </w:r>
      <w:r w:rsidRPr="00070ADE">
        <w:rPr>
          <w:rFonts w:ascii="Times New Roman" w:hAnsi="Times New Roman"/>
          <w:color w:val="000000" w:themeColor="text1"/>
          <w:sz w:val="16"/>
          <w:szCs w:val="16"/>
        </w:rPr>
        <w:softHyphen/>
        <w:t>хосных двухбашенных бронеплощадках.</w:t>
      </w:r>
    </w:p>
    <w:p w14:paraId="43F4AB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Бортовое вооружение — пулеметов ДТ — 12 шт. в бронепоездах с четырехосными бронепло-щадками и до 20 шт. в бронепоездах с двухосными бронеплощадками.</w:t>
      </w:r>
    </w:p>
    <w:p w14:paraId="1C5626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Зенитное вооружение — к марту месяцу 1941 года каждый дивизион бронепоездов (2 бронепоез</w:t>
      </w:r>
      <w:r w:rsidRPr="00070ADE">
        <w:rPr>
          <w:rFonts w:ascii="Times New Roman" w:hAnsi="Times New Roman"/>
          <w:color w:val="000000" w:themeColor="text1"/>
          <w:sz w:val="16"/>
          <w:szCs w:val="16"/>
        </w:rPr>
        <w:softHyphen/>
        <w:t>да) были обеспечены в большинстве случаев семью зенитными точками — 12,7-мм пулеметами ДШК, в меньшей степени 25-37-мм пушками. Почти каждому бронепоезду давалась бронеплощадка ПВО.</w:t>
      </w:r>
    </w:p>
    <w:p w14:paraId="300612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Внутреннее оборудование:</w:t>
      </w:r>
    </w:p>
    <w:p w14:paraId="73F274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Связь — примитивного образца — полевые телефоны или временного железнодорожного типа (индукторные), т.к. промышленность еще не могла обеспечить специальной аппаратурой.</w:t>
      </w:r>
    </w:p>
    <w:p w14:paraId="3770E2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Прочее оборудование (стеллажи, паровое отопление, электроосвещение) изготовлялось упро</w:t>
      </w:r>
      <w:r w:rsidRPr="00070ADE">
        <w:rPr>
          <w:rFonts w:ascii="Times New Roman" w:hAnsi="Times New Roman"/>
          <w:color w:val="000000" w:themeColor="text1"/>
          <w:sz w:val="16"/>
          <w:szCs w:val="16"/>
        </w:rPr>
        <w:softHyphen/>
        <w:t>щенной конструкции из подручных материалов. 5. Общие положительные стороны:</w:t>
      </w:r>
    </w:p>
    <w:p w14:paraId="00AF75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Особенно положительной стороной строительства этого периода является использование внутренних материальных ресурсов и неиспользуемого для других родов войск вооружения.</w:t>
      </w:r>
    </w:p>
    <w:p w14:paraId="663A2B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Развертывание строительства на большем числе предприятий (60 заводов и депо) обеспечило массовость их выпуска и быстрое вооружение бронепоездами Красной Армии.</w:t>
      </w:r>
    </w:p>
    <w:p w14:paraId="60B4DB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Обеспеченность (хотя и недостаточная) бронепоездов средствами ПВО уменьшила уязви</w:t>
      </w:r>
      <w:r w:rsidRPr="00070ADE">
        <w:rPr>
          <w:rFonts w:ascii="Times New Roman" w:hAnsi="Times New Roman"/>
          <w:color w:val="000000" w:themeColor="text1"/>
          <w:sz w:val="16"/>
          <w:szCs w:val="16"/>
        </w:rPr>
        <w:softHyphen/>
        <w:t>мость бронепоездов с воздуха в сравнении с бронепоездами довоенного периода и начала войны. 6. Технические и тактические недостатки:</w:t>
      </w:r>
    </w:p>
    <w:p w14:paraId="154EE0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Сырая броневая сталь.</w:t>
      </w:r>
    </w:p>
    <w:p w14:paraId="0E06CD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Разнохарактерность образцов вооружения, слабое и устаревшее вооружение.</w:t>
      </w:r>
    </w:p>
    <w:p w14:paraId="35F3CF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Перегруженность бронеплощадок по осям.</w:t>
      </w:r>
    </w:p>
    <w:p w14:paraId="65673C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Медленное вращение орудийных башен.</w:t>
      </w:r>
    </w:p>
    <w:p w14:paraId="4495C8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Бронепаровозы имеют неудобную рубку командира и башню ПВО. е) Внутренняя связь не обеспечивает в должной степени управления, ж) Нет полной укомплектованности бронепоездов до штата 25-37-мм зенитными пушками.</w:t>
      </w:r>
    </w:p>
    <w:p w14:paraId="414B82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Данные о бронепоездах постройки 1942-1943 годов</w:t>
      </w:r>
    </w:p>
    <w:p w14:paraId="08E5A8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Опыт войны 1941 и начала 1942 годов показал, что бронепоезда должны иметь более мощ</w:t>
      </w:r>
      <w:r w:rsidRPr="00070ADE">
        <w:rPr>
          <w:rFonts w:ascii="Times New Roman" w:hAnsi="Times New Roman"/>
          <w:color w:val="000000" w:themeColor="text1"/>
          <w:sz w:val="16"/>
          <w:szCs w:val="16"/>
        </w:rPr>
        <w:softHyphen/>
        <w:t>ное артвооружение, более надежную броневую защиту, меньший вес (меньшие нагрузки на оси) и надежные средства ПВО.</w:t>
      </w:r>
    </w:p>
    <w:p w14:paraId="6D7DE8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 основе этих данных в середине 1942 года был разработан проект нового бронепоезда — тип БП-43. Этот тип, как показал опыт их применения, является наиболее совершенным в сравнении со всеми ранее строившимися бронепоездами.</w:t>
      </w:r>
    </w:p>
    <w:p w14:paraId="124F4F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Бронепоездов типа БП-43 в течение 1942-1943 годов построено 20 штук.</w:t>
      </w:r>
    </w:p>
    <w:p w14:paraId="07BAF8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3. Состав бронепоезда БП-43: бронепаровоз типа ПР-43, 4 шт. двухонсных однобашенных броне-площадки типа ПЛ-43 и 1 шт. двухосной бронеплощадки ПВО (тип ПВО-4).</w:t>
      </w:r>
    </w:p>
    <w:p w14:paraId="2AD509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Характеристика бронепоезда БП-43: Бронепоезд серии О</w:t>
      </w:r>
      <w:r w:rsidRPr="00070ADE">
        <w:rPr>
          <w:rFonts w:ascii="Times New Roman" w:hAnsi="Times New Roman"/>
          <w:color w:val="000000" w:themeColor="text1"/>
          <w:sz w:val="16"/>
          <w:szCs w:val="16"/>
          <w:vertAlign w:val="superscript"/>
        </w:rPr>
        <w:t>в</w:t>
      </w:r>
      <w:r w:rsidRPr="00070ADE">
        <w:rPr>
          <w:rFonts w:ascii="Times New Roman" w:hAnsi="Times New Roman"/>
          <w:color w:val="000000" w:themeColor="text1"/>
          <w:sz w:val="16"/>
          <w:szCs w:val="16"/>
        </w:rPr>
        <w:t>:</w:t>
      </w:r>
    </w:p>
    <w:p w14:paraId="49DA57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Толщина брони (термически обработанная) — от 20 до 45 мм.</w:t>
      </w:r>
    </w:p>
    <w:p w14:paraId="586282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Вооружение — 12,7-мм зенитный пулемет ДШК.</w:t>
      </w:r>
    </w:p>
    <w:p w14:paraId="563296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Удобный пост управления (рубка командира). Бронеплощадки ПЛ-43:</w:t>
      </w:r>
    </w:p>
    <w:p w14:paraId="6DB4F2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Толщина брони (термически обработанная) — 45 мм.</w:t>
      </w:r>
    </w:p>
    <w:p w14:paraId="51BF8C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Вооружение (всего бронепоезда) — 4 шт. 76-мм пушки в башнях танка Т-34, 12 шт. пулеметов ДТ. Бронеплощадка ПВО:</w:t>
      </w:r>
    </w:p>
    <w:p w14:paraId="3C8383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Толщина брони (термически обработанная) — 30 мм.</w:t>
      </w:r>
    </w:p>
    <w:p w14:paraId="1C60BA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Вооружение — 2 шт. 37-мм зенитных пушки. Внутреннее оборудование бронепоезда:</w:t>
      </w:r>
    </w:p>
    <w:p w14:paraId="45EFFF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Надежная внутренняя связь танкового типа: телефон, ревун и светосигнал.</w:t>
      </w:r>
    </w:p>
    <w:p w14:paraId="233600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Безотказно действующая радиостанция.</w:t>
      </w:r>
    </w:p>
    <w:p w14:paraId="69BBD12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Электроосвещение и электропривод вращения орудийной башни.</w:t>
      </w:r>
    </w:p>
    <w:p w14:paraId="6552D6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Надежное и удобное в использовании прочее внутреннее оборудование: стеллажи, паровое отопление, места размещения личного состава и т.п.</w:t>
      </w:r>
    </w:p>
    <w:p w14:paraId="35F31B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Положительной стороной бронепоезда БП-43 является:</w:t>
      </w:r>
    </w:p>
    <w:p w14:paraId="4A80BE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Хорошее вооружение (76-мм пушки Ф-34 и 37-мм зенитные пушки).</w:t>
      </w:r>
    </w:p>
    <w:p w14:paraId="481397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Усиленная броневая защита.</w:t>
      </w:r>
    </w:p>
    <w:p w14:paraId="32A51F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Малая мишенная площадь бронеплощадок.</w:t>
      </w:r>
    </w:p>
    <w:p w14:paraId="03C177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Малый вес бронеплощадок и удобство их подъемки при сходе с рельс.</w:t>
      </w:r>
    </w:p>
    <w:p w14:paraId="301251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Удобное и надежное внутреннее оборудование.</w:t>
      </w:r>
    </w:p>
    <w:p w14:paraId="49D339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 Хорошее средство внутренней и внешней связи.</w:t>
      </w:r>
    </w:p>
    <w:p w14:paraId="4754A8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 Удовлетворительная защита от самолетов противника (2 шт. 37-мм пушки и 1 шт. 12,7-мм пулемет).</w:t>
      </w:r>
    </w:p>
    <w:p w14:paraId="15C95B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сравнении со всеми бронепоездами бронепоезд БП-43 во всех отношениях является лучшим типом.</w:t>
      </w:r>
    </w:p>
    <w:p w14:paraId="68B5F9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Основные недостатки бронепоезда БП-43:</w:t>
      </w:r>
    </w:p>
    <w:p w14:paraId="28261B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Неудобное размещение командира бронеплощадки.</w:t>
      </w:r>
    </w:p>
    <w:p w14:paraId="5900A9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Из рубки командира недостаточно удобное наблюдение за воздухом.</w:t>
      </w:r>
    </w:p>
    <w:p w14:paraId="096990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Схема электрооборудования не дает полной зарядки аккумуляторов.</w:t>
      </w:r>
    </w:p>
    <w:p w14:paraId="31E6F9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Устранение этих недостатков предусмотрено, но в связи с прекращением производства броне</w:t>
      </w:r>
      <w:r w:rsidRPr="00070ADE">
        <w:rPr>
          <w:rFonts w:ascii="Times New Roman" w:hAnsi="Times New Roman"/>
          <w:color w:val="000000" w:themeColor="text1"/>
          <w:sz w:val="16"/>
          <w:szCs w:val="16"/>
        </w:rPr>
        <w:softHyphen/>
        <w:t>поездов их осуществить не представляется возможным. Устранение их на существующих бронепо</w:t>
      </w:r>
      <w:r w:rsidRPr="00070ADE">
        <w:rPr>
          <w:rFonts w:ascii="Times New Roman" w:hAnsi="Times New Roman"/>
          <w:color w:val="000000" w:themeColor="text1"/>
          <w:sz w:val="16"/>
          <w:szCs w:val="16"/>
        </w:rPr>
        <w:softHyphen/>
        <w:t>ездах является нерентабельным (большие затраты и большой отрыв бронепоездов с фронта).</w:t>
      </w:r>
    </w:p>
    <w:p w14:paraId="04FF6C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Перевооружение бронепоездов постройки 1941-1942 годов и их модернизация</w:t>
      </w:r>
    </w:p>
    <w:p w14:paraId="5603E6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 1943 году из бронепоездов имеющих устаревшие и слабые артсистемы перевооружено 52 шт. бронепоездов на 76-мм танковые пушки Ф-34.</w:t>
      </w:r>
    </w:p>
    <w:p w14:paraId="6EB5FF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перевооружении бронепоездов производился их ремонт и улучшение внутреннего обору</w:t>
      </w:r>
      <w:r w:rsidRPr="00070ADE">
        <w:rPr>
          <w:rFonts w:ascii="Times New Roman" w:hAnsi="Times New Roman"/>
          <w:color w:val="000000" w:themeColor="text1"/>
          <w:sz w:val="16"/>
          <w:szCs w:val="16"/>
        </w:rPr>
        <w:softHyphen/>
        <w:t>дования и усиление ходовых частей.</w:t>
      </w:r>
    </w:p>
    <w:p w14:paraId="57188E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При перевооружении производилось частичное усиление бронепоездов зенитными средства</w:t>
      </w:r>
      <w:r w:rsidRPr="00070ADE">
        <w:rPr>
          <w:rFonts w:ascii="Times New Roman" w:hAnsi="Times New Roman"/>
          <w:color w:val="000000" w:themeColor="text1"/>
          <w:sz w:val="16"/>
          <w:szCs w:val="16"/>
        </w:rPr>
        <w:softHyphen/>
        <w:t>ми — бронепоезда доукомплектовывались бронеплощадками ПВО с 25-37-мм зенитными пушками.</w:t>
      </w:r>
    </w:p>
    <w:p w14:paraId="642911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 1943-1944 годах при ремонте бронепоездов производилась и производится модернизация части бронепоездов: замена рубок командира на бронепаровозах по типу бронепоезда БП-43, заме</w:t>
      </w:r>
      <w:r w:rsidRPr="00070ADE">
        <w:rPr>
          <w:rFonts w:ascii="Times New Roman" w:hAnsi="Times New Roman"/>
          <w:color w:val="000000" w:themeColor="text1"/>
          <w:sz w:val="16"/>
          <w:szCs w:val="16"/>
        </w:rPr>
        <w:softHyphen/>
        <w:t>на башен ПВО на бронепаровозе и установка в них 12,7-мм зенитных пулеметов, устанавливаются рации, улучшается электрооборудование, внутренняя связь и прочее внутреннее оборудование.</w:t>
      </w:r>
    </w:p>
    <w:p w14:paraId="16A171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Зенитное вооружение бронепоездов</w:t>
      </w:r>
    </w:p>
    <w:p w14:paraId="4A7C37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К началу 1942 года бронепоезда фактически не имели зенитных средств. К марту месяцу 1942 года бронепоезда стали укомплектовываться 12,7-мм пулеметами Л Т ПК, а в последующие месяцы 1942 года 25-мм зенитными пушками (по 1 пушке на бронепоезд) и в дальнейшем 37-мм зенитными пушками.</w:t>
      </w:r>
    </w:p>
    <w:p w14:paraId="1A691F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 настоящее время в бронепоездах имеется 98 бронеплощадок ПВО (на 2 зенитные точки каждая). На них установлено 72 шт. 12,7-мм зенитных пулеметов ДШК и 123 шт. 25-37-мм зенитных пушек. Кроме того, почти на каждом бронепаровозе бронепоезда установлено по одному 12,7-мм пулемету ДШК и в базе каждого дивизиона имеется по 1 шт. 12,7-мм пулемета ДШК.</w:t>
      </w:r>
    </w:p>
    <w:p w14:paraId="4DD85C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Во II и III квартале 1943 года будет изготовлена 31 бронеплощадка ПВО с 37-мм зенитными пушками. Таким образом, все бронепоезда будут укомплектованы бронеплощадками ПВО.</w:t>
      </w:r>
    </w:p>
    <w:p w14:paraId="005B0E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Для полного укомплектования бронепоездов 25-37-мм зенитными пушками до штата еще потребно 73 шт. зенитных пушек.</w:t>
      </w:r>
    </w:p>
    <w:p w14:paraId="4041AA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Нужно считать, что зенитная защита бронепоездов в настоящее время является удовлетвори</w:t>
      </w:r>
      <w:r w:rsidRPr="00070ADE">
        <w:rPr>
          <w:rFonts w:ascii="Times New Roman" w:hAnsi="Times New Roman"/>
          <w:color w:val="000000" w:themeColor="text1"/>
          <w:sz w:val="16"/>
          <w:szCs w:val="16"/>
        </w:rPr>
        <w:softHyphen/>
        <w:t>тельной.</w:t>
      </w:r>
    </w:p>
    <w:p w14:paraId="3235A4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Проекты новых видов бронепоездов</w:t>
      </w:r>
    </w:p>
    <w:p w14:paraId="4EF0A7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Зенитный бронепоезд БП-44 (новый)</w:t>
      </w:r>
    </w:p>
    <w:p w14:paraId="0143DC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Основное вооружение и приборы:</w:t>
      </w:r>
    </w:p>
    <w:p w14:paraId="236686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- 4 шт. 85-мм зенитных пушки;</w:t>
      </w:r>
    </w:p>
    <w:p w14:paraId="2F504B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- 2 шт. 37-мм зенитных пушки;</w:t>
      </w:r>
    </w:p>
    <w:p w14:paraId="365D73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 шт. 12,7-мм зенитного пулемета;</w:t>
      </w:r>
    </w:p>
    <w:p w14:paraId="3A3546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прибор ПУАЗО;</w:t>
      </w:r>
    </w:p>
    <w:p w14:paraId="28F152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четырехметровый стереодальномер.</w:t>
      </w:r>
    </w:p>
    <w:p w14:paraId="4CE54C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Бронепоезд полностью решает все задачи стрельбы по зенитным и наземным целям.</w:t>
      </w:r>
    </w:p>
    <w:p w14:paraId="13BBA3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постройку бронепоезда полностью разработаны рабочие чертежи и технические условия.</w:t>
      </w:r>
    </w:p>
    <w:p w14:paraId="207C3B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Зенитный бронепоезд БП-45 (перевооружение бронепоезда с устаревшими артсистемами) Характеристика бронепоезда одинакова с характеристикой бронепоезда БП-44. На производство перевооружения существующих бронепоездов с устаревшими артсистемами и зенитными пушками полностью разработаны рабочие чертежи и технические условия.</w:t>
      </w:r>
    </w:p>
    <w:p w14:paraId="590CC4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Бронеавтомотрисса БАМ-2.</w:t>
      </w:r>
    </w:p>
    <w:p w14:paraId="59DAA8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Назначение: тяговая единица для бронепоезда на замену бронепаровоза, а также самостоя</w:t>
      </w:r>
      <w:r w:rsidRPr="00070ADE">
        <w:rPr>
          <w:rFonts w:ascii="Times New Roman" w:hAnsi="Times New Roman"/>
          <w:color w:val="000000" w:themeColor="text1"/>
          <w:sz w:val="16"/>
          <w:szCs w:val="16"/>
        </w:rPr>
        <w:softHyphen/>
        <w:t>тельное решение боевых задач.</w:t>
      </w:r>
    </w:p>
    <w:p w14:paraId="347C66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Основное вооружение: 2 шт. 76-мм танковых пушки образца 1939 года.</w:t>
      </w:r>
    </w:p>
    <w:p w14:paraId="2377A4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Толщина брони корпуса: 45 мм.</w:t>
      </w:r>
    </w:p>
    <w:p w14:paraId="3FDBF10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Максимальная скорость: до 80 км/час.</w:t>
      </w:r>
    </w:p>
    <w:p w14:paraId="73BAE0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Тип двигателя и мощность: дизель-мотор В-2 мощностью 500 лошадиных сил. 4. Бронеавтомотрисса БАМ-3.</w:t>
      </w:r>
    </w:p>
    <w:p w14:paraId="633CCC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Назначение: тяговая единица для зенитного бронепоезда на замену бронепаровоза.</w:t>
      </w:r>
    </w:p>
    <w:p w14:paraId="2E73EB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Вооружение: 2 шт. 85-мм зенитных пушки. Остальные данные те же, что и у БАМ-2.</w:t>
      </w:r>
    </w:p>
    <w:p w14:paraId="302B93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Конструкция ходовой части, трансмиссии и силовой группы по чертежам БАМ-2, броневой кор</w:t>
      </w:r>
      <w:r w:rsidRPr="00070ADE">
        <w:rPr>
          <w:rFonts w:ascii="Times New Roman" w:hAnsi="Times New Roman"/>
          <w:color w:val="000000" w:themeColor="text1"/>
          <w:sz w:val="16"/>
          <w:szCs w:val="16"/>
        </w:rPr>
        <w:softHyphen/>
        <w:t>пус и установка вооружения разработаны в эскизном проекте. 5. Бронепоезд БП-Т (тяжелый). Вооружение: 4 шт. 152-мм пушки-гаубицы. Начаты работы по проектированию</w:t>
      </w:r>
    </w:p>
    <w:p w14:paraId="12C02A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w:t>
      </w:r>
    </w:p>
    <w:p w14:paraId="7120C0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опыта применения бронепоездов в Отечественной войне вытекают следующие выводы:</w:t>
      </w:r>
    </w:p>
    <w:p w14:paraId="108D4D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Бронепаровоз серии О</w:t>
      </w:r>
      <w:r w:rsidRPr="00070ADE">
        <w:rPr>
          <w:rFonts w:ascii="Times New Roman" w:hAnsi="Times New Roman"/>
          <w:color w:val="000000" w:themeColor="text1"/>
          <w:sz w:val="16"/>
          <w:szCs w:val="16"/>
          <w:vertAlign w:val="superscript"/>
        </w:rPr>
        <w:t>в</w:t>
      </w:r>
      <w:r w:rsidRPr="00070ADE">
        <w:rPr>
          <w:rFonts w:ascii="Times New Roman" w:hAnsi="Times New Roman"/>
          <w:color w:val="000000" w:themeColor="text1"/>
          <w:sz w:val="16"/>
          <w:szCs w:val="16"/>
        </w:rPr>
        <w:t>, как имеющие недостаточную маневренность (скорость до 35 км в час), слабую защиту, большие габариты, большие нагрузки на оси, зависимость от действующих депо и водоснабжения и долгий отрыв с фронта на текущие ремонты (промывки), должен быть заменен новой тяговой единицей с дизель-мотором — бронеавтомотриссой.</w:t>
      </w:r>
    </w:p>
    <w:p w14:paraId="17DF08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Бронепоезда, действуя на временно восстановленных железнодорожных путях, часто из-за большого веса бронепаровоза не пропускаются к линии фронта, а отсутствие в районах действия работающих депо из-за потребности в частых ремонтах (промывках) на долго отрывает бронепоезда с фронта в глубокий тыл.</w:t>
      </w:r>
    </w:p>
    <w:p w14:paraId="625E12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Бронепоезда, обладая постоянной боевой готовностью и находясь на железной дороге, а сле</w:t>
      </w:r>
      <w:r w:rsidRPr="00070ADE">
        <w:rPr>
          <w:rFonts w:ascii="Times New Roman" w:hAnsi="Times New Roman"/>
          <w:color w:val="000000" w:themeColor="text1"/>
          <w:sz w:val="16"/>
          <w:szCs w:val="16"/>
        </w:rPr>
        <w:softHyphen/>
        <w:t>довательно, в важных пунктах сосредоточения войск и их питания, должны иметь мощное зенитное вооружение, т.е. все вооружение зенитным. Бронепоезда должны быть бронезенитными бронепо</w:t>
      </w:r>
      <w:r w:rsidRPr="00070ADE">
        <w:rPr>
          <w:rFonts w:ascii="Times New Roman" w:hAnsi="Times New Roman"/>
          <w:color w:val="000000" w:themeColor="text1"/>
          <w:sz w:val="16"/>
          <w:szCs w:val="16"/>
        </w:rPr>
        <w:softHyphen/>
        <w:t>ездами с решением задач стрельбы по наземным целям.</w:t>
      </w:r>
    </w:p>
    <w:p w14:paraId="4E0AA0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Используемый железнодорожный подвижной состав для бронепоездов, обладая большей грузо</w:t>
      </w:r>
      <w:r w:rsidRPr="00070ADE">
        <w:rPr>
          <w:rFonts w:ascii="Times New Roman" w:hAnsi="Times New Roman"/>
          <w:color w:val="000000" w:themeColor="text1"/>
          <w:sz w:val="16"/>
          <w:szCs w:val="16"/>
        </w:rPr>
        <w:softHyphen/>
        <w:t>подъемностью, позволяет устанавливать на него тяжелое вооружение (152-мм и 203-мм пушки-гаубицы).</w:t>
      </w:r>
    </w:p>
    <w:p w14:paraId="08C27B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Вывод:</w:t>
      </w:r>
    </w:p>
    <w:p w14:paraId="27FBD9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Дальнейшее развитие бронепоездов должно идти по линии:</w:t>
      </w:r>
    </w:p>
    <w:p w14:paraId="03C80B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Строительства зенитных бронепоездов и перевооружения существующих бронепоездов на зенитные пушки.</w:t>
      </w:r>
    </w:p>
    <w:p w14:paraId="2C7FAA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б) Строительства железнодорожной тяжелой артиллерии (с легким бронированием и с зенит</w:t>
      </w:r>
      <w:r w:rsidRPr="00070ADE">
        <w:rPr>
          <w:rFonts w:ascii="Times New Roman" w:hAnsi="Times New Roman"/>
          <w:color w:val="000000" w:themeColor="text1"/>
          <w:sz w:val="16"/>
          <w:szCs w:val="16"/>
        </w:rPr>
        <w:softHyphen/>
        <w:t>ными средствами самозащиты).</w:t>
      </w:r>
    </w:p>
    <w:p w14:paraId="38AC35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Строительства новых тяговых единиц на замену устаревшего паровоза серии О</w:t>
      </w:r>
      <w:r w:rsidRPr="00070ADE">
        <w:rPr>
          <w:rFonts w:ascii="Times New Roman" w:hAnsi="Times New Roman"/>
          <w:color w:val="000000" w:themeColor="text1"/>
          <w:sz w:val="16"/>
          <w:szCs w:val="16"/>
          <w:vertAlign w:val="superscript"/>
        </w:rPr>
        <w:t>в</w:t>
      </w:r>
      <w:r w:rsidRPr="00070ADE">
        <w:rPr>
          <w:rFonts w:ascii="Times New Roman" w:hAnsi="Times New Roman"/>
          <w:color w:val="000000" w:themeColor="text1"/>
          <w:sz w:val="16"/>
          <w:szCs w:val="16"/>
        </w:rPr>
        <w:t>.</w:t>
      </w:r>
    </w:p>
    <w:p w14:paraId="419BBB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Необходимые мероприятия по развитию бронепоездов</w:t>
      </w:r>
    </w:p>
    <w:p w14:paraId="0E6971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Иметь постоянную свою производственную базу по ремонту, строительству и изготовлению опытных образцов бронепоездов, а также иметь техническую группу (конструкторское бюро) при этой базе для разработки новых проектов.</w:t>
      </w:r>
    </w:p>
    <w:p w14:paraId="7E3F19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Изготовить опытный образец бронеавтомотриссы с зенитными пушками в порядке решения ГОКО. Командованием БТ и МВ КА в 1943 году эта работа была отклонена.</w:t>
      </w:r>
    </w:p>
    <w:p w14:paraId="55B639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Изготовить опытный образец зенитного бронепоезда БП-44 в порядке решения ГОКО. Командованием БТ и МВ КА в январе месяце 1943 года эта работа отклонена.</w:t>
      </w:r>
    </w:p>
    <w:p w14:paraId="4ABE4A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Произвести перевооружение (бронепоезд БП-45) на зенитные пушки в 1944 году двенадцати бронепоездов в порядке решения ГОКО. Проект постановления ГОКО подготовлен.</w:t>
      </w:r>
    </w:p>
    <w:p w14:paraId="01390D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Разработать проект тяжелого бронепоезда со 152-мм пушками-гаубицами и изготовить в 1944 году опытный образец.</w:t>
      </w:r>
    </w:p>
    <w:p w14:paraId="04BCA8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1 отдела управления бронепоездов и бронемашин ГБТУ КА</w:t>
      </w:r>
    </w:p>
    <w:p w14:paraId="54995F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инженер-майор Смирнов</w:t>
      </w:r>
    </w:p>
    <w:p w14:paraId="1AF30E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11358. Д. 205. Л. 112-119. Подлинник (11403).</w:t>
      </w:r>
    </w:p>
    <w:p w14:paraId="796FE0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40FA9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г. была подготовлена ДОКЛАДНАЯ ЗАПИСКА ОБ ЭКСПЛУАТАЦИИ И РЕМОНТЕ АЭРОСАННОГО ПАРКА В I КВАРТАЛЕ 1944 ГОДА</w:t>
      </w:r>
    </w:p>
    <w:p w14:paraId="77DA37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Численность и распределение аэросанного парка в зиму 1943-1944 гг.</w:t>
      </w:r>
    </w:p>
    <w:p w14:paraId="097E08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января 1944 г. ГБТУ КА имело 3330 аэросаней, из них боевых НКЛ-26 — 1290 шт., транс</w:t>
      </w:r>
      <w:r w:rsidRPr="00070ADE">
        <w:rPr>
          <w:rFonts w:ascii="Times New Roman" w:hAnsi="Times New Roman"/>
          <w:color w:val="000000" w:themeColor="text1"/>
          <w:sz w:val="16"/>
          <w:szCs w:val="16"/>
        </w:rPr>
        <w:softHyphen/>
        <w:t>портных НКЛ-16 — 2040шт.</w:t>
      </w:r>
    </w:p>
    <w:p w14:paraId="43101B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Аэросани были распределены следующим образом:</w:t>
      </w:r>
    </w:p>
    <w:p w14:paraId="5BF449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 фронте (в батальонах и резерве) 1503 шт.</w:t>
      </w:r>
    </w:p>
    <w:p w14:paraId="45C09F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во внутренних округах 1758 шт.</w:t>
      </w:r>
    </w:p>
    <w:p w14:paraId="09B4FE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 заводах промышленности 69 шт.</w:t>
      </w:r>
    </w:p>
    <w:p w14:paraId="7F98E7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Между 15 и 25 января из внутренних округов было отправлено на фронт еще 13 аэросанных батальонов (546 аэросаней). Таким образом, в зиму 1943-1944 годов на фронте было сосредоточено всего 2049 аэросаней.</w:t>
      </w:r>
    </w:p>
    <w:p w14:paraId="2805C0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Весь аэросанный парк на 1 января был полностью отремонтирован.</w:t>
      </w:r>
    </w:p>
    <w:p w14:paraId="7FC1FB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Эксплуатация аэросаней в зимний период.</w:t>
      </w:r>
    </w:p>
    <w:p w14:paraId="4FED2D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Эксплуатация аэросаней в зиму 1943-1944 годов по сравнению с предыдущей зимой проходи</w:t>
      </w:r>
      <w:r w:rsidRPr="00070ADE">
        <w:rPr>
          <w:rFonts w:ascii="Times New Roman" w:hAnsi="Times New Roman"/>
          <w:color w:val="000000" w:themeColor="text1"/>
          <w:sz w:val="16"/>
          <w:szCs w:val="16"/>
        </w:rPr>
        <w:softHyphen/>
        <w:t>ла на более высоком уровне. Экипажи хорошо освоили свою материальную часть. Аэросани были лучше оснащены средствами подогрева и запуска. Водительский состав добился больших успехов в вождении аэросаней.</w:t>
      </w:r>
    </w:p>
    <w:p w14:paraId="58FFBB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на фронтах было сосредоточено 39 аэросанных батальонов, из них боевых — 10, транс</w:t>
      </w:r>
      <w:r w:rsidRPr="00070ADE">
        <w:rPr>
          <w:rFonts w:ascii="Times New Roman" w:hAnsi="Times New Roman"/>
          <w:color w:val="000000" w:themeColor="text1"/>
          <w:sz w:val="16"/>
          <w:szCs w:val="16"/>
        </w:rPr>
        <w:softHyphen/>
        <w:t>портных — 29.</w:t>
      </w:r>
    </w:p>
    <w:p w14:paraId="65D42D5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Активно были использованы аэросанные батальоны на Волховском фронте: 11, 34, 44 и частич</w:t>
      </w:r>
      <w:r w:rsidRPr="00070ADE">
        <w:rPr>
          <w:rFonts w:ascii="Times New Roman" w:hAnsi="Times New Roman"/>
          <w:color w:val="000000" w:themeColor="text1"/>
          <w:sz w:val="16"/>
          <w:szCs w:val="16"/>
        </w:rPr>
        <w:softHyphen/>
        <w:t>но 35. Два аэросанных батальона 34 и 44 за отличные боевые действия получили наименования «Новгородских».</w:t>
      </w:r>
    </w:p>
    <w:p w14:paraId="17DB5C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Использовались для несения сторожевой службы и разведывательных действий аэросанные батальоны Карельского фронта и 7 отдельной армии (21 аэросанный батальон).</w:t>
      </w:r>
    </w:p>
    <w:p w14:paraId="558075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 были использованы по условиям теплой погоды и обстановки аэросанные батальоны Ленинградского, 2 Прибалтийского, Западного и Белорусского фронтов (14 батальонов).</w:t>
      </w:r>
    </w:p>
    <w:p w14:paraId="3C1F0E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Действующими на фронте аэросанными батальонами выполнена следующая работа:</w:t>
      </w:r>
    </w:p>
    <w:p w14:paraId="0E89FC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Перевезено передовым частям фронта 205 тонн военного имущества.</w:t>
      </w:r>
    </w:p>
    <w:p w14:paraId="5EA371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Вывезено раненых и офицеров связи — 1750 человек.</w:t>
      </w:r>
    </w:p>
    <w:p w14:paraId="3F573B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Перевезено автоматчиков и десантников — 644 человека. Аэросанные части за время действия понесли следующие боевые потери:</w:t>
      </w:r>
    </w:p>
    <w:p w14:paraId="10A242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Подбито и сожжено аэросаней — 32 шт.</w:t>
      </w:r>
    </w:p>
    <w:p w14:paraId="3BD154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Убито:</w:t>
      </w:r>
    </w:p>
    <w:p w14:paraId="689E97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офицеров — 8 человек, сержантского и рядового состава — 23 человека.</w:t>
      </w:r>
    </w:p>
    <w:p w14:paraId="273284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Ранено:</w:t>
      </w:r>
    </w:p>
    <w:p w14:paraId="581C1F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офицеров — 6 человек, сержантского и рядового состава — 20 человек.</w:t>
      </w:r>
    </w:p>
    <w:p w14:paraId="49E7E8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Расход ГСМ при эксплуатации аэросаней не превышал установленных норм, за исключением 40 и 48 ОАСБ, которые при передислоцировании со ст. Бабаеве до Мегра (Онежское озеро), имели перерасход горючего по 3 тонны, из-за неблагоприятных метеорологических условий движения.</w:t>
      </w:r>
    </w:p>
    <w:p w14:paraId="60CDED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Порядок получения и отпуска ГСМ, отчетность по расходу ГСМ, учет экономии и перерасхода ГСМ проходит согласно приказов НКО и приказам по тылу. Основным учетным документом являет</w:t>
      </w:r>
      <w:r w:rsidRPr="00070ADE">
        <w:rPr>
          <w:rFonts w:ascii="Times New Roman" w:hAnsi="Times New Roman"/>
          <w:color w:val="000000" w:themeColor="text1"/>
          <w:sz w:val="16"/>
          <w:szCs w:val="16"/>
        </w:rPr>
        <w:softHyphen/>
        <w:t>ся путевой лист, установленного образца.</w:t>
      </w:r>
    </w:p>
    <w:p w14:paraId="57220F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Большим недостатком в экономии ГСМ для транспортных аэросаней является отсутствие раз</w:t>
      </w:r>
      <w:r w:rsidRPr="00070ADE">
        <w:rPr>
          <w:rFonts w:ascii="Times New Roman" w:hAnsi="Times New Roman"/>
          <w:color w:val="000000" w:themeColor="text1"/>
          <w:sz w:val="16"/>
          <w:szCs w:val="16"/>
        </w:rPr>
        <w:softHyphen/>
        <w:t>работанной системы поощрений при экономии ГСМ.</w:t>
      </w:r>
    </w:p>
    <w:p w14:paraId="50B9B5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Расчеты за ГСМ проходят централизовано через УСГ Красной Армии.</w:t>
      </w:r>
    </w:p>
    <w:p w14:paraId="7F7FA5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Ремонт аэросанного парка.</w:t>
      </w:r>
    </w:p>
    <w:p w14:paraId="5EF941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восстановления аэросанного парка в 1944 году запланировано следующее количество ремонтов:</w:t>
      </w:r>
    </w:p>
    <w:p w14:paraId="1B61FA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капитальный ремонт аэросаней —</w:t>
      </w:r>
    </w:p>
    <w:p w14:paraId="18D515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текущий и средний ремонт аэросаней —</w:t>
      </w:r>
    </w:p>
    <w:p w14:paraId="41A34D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капитальный и средний ремонт моторов —</w:t>
      </w:r>
    </w:p>
    <w:p w14:paraId="30DF8C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текущий ремонт моторов —</w:t>
      </w:r>
    </w:p>
    <w:p w14:paraId="0B1ADB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 машин, 1940 машин, 600 штук, 2120 штук.</w:t>
      </w:r>
    </w:p>
    <w:p w14:paraId="20742B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Весь капитальный и средний ремонт моторов будет сосредоточен на заводе №41 НКАП (г. Москва), а капитальный ремонт аэросаней на заводе №41 Наркомлеса (г. Киров).</w:t>
      </w:r>
    </w:p>
    <w:p w14:paraId="23AFF9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Производственная мощность этих заводов вполне обеспечит наши потребности в капитальном ремонте аэросаней и моторов.</w:t>
      </w:r>
    </w:p>
    <w:p w14:paraId="30F554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Текущий и средний ремонт аэросаней и текущий ремонт моторов будет сосредоточен в учебном аэросанном полку (Котлас) и учебном аэросанном батальоне (Карельский фронт).</w:t>
      </w:r>
    </w:p>
    <w:p w14:paraId="4EAD55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сформирования учебных аэросанных частей будут организованы ремонтные базы в них, которые согласно плана ремонта должны с мая месяца сего года приступить к войсковому ремонту аэросаней и моторов.</w:t>
      </w:r>
    </w:p>
    <w:p w14:paraId="6AAA19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отделом ведется организационная подготовка по созданию ремонтных баз в указанных учебных аэросанных частях.</w:t>
      </w:r>
    </w:p>
    <w:p w14:paraId="1A8E44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Третья ремрота (г. Москва) будет использована для ремонта отдельных агрегатов аэросаней.</w:t>
      </w:r>
    </w:p>
    <w:p w14:paraId="5EDD6C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Выполнение постановлений ГОКО по ремонту.</w:t>
      </w:r>
    </w:p>
    <w:p w14:paraId="6F925A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обеспечения капитального ремонта аэросанного парка в I квартале 1944 года вышло два Постановления ГОКО: №5089 от 3.02.1944 г. — на ремонт моторов и №5250 от 25.02.1944 г. - на ремонт аэросаней.</w:t>
      </w:r>
    </w:p>
    <w:p w14:paraId="5C9504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Постановлению ГОКО №5089 завод №41 НКАП должен был отремонтировать в I квартале 100 моторов М-11 и изготовить запасных частей к ним на сумму 100 тыс. руб.</w:t>
      </w:r>
    </w:p>
    <w:p w14:paraId="5BEBDD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состоянию на 1 апреля с.г. завод отремонтировал 64 мотора и изготовил запчастей на сумму 54841 руб.</w:t>
      </w:r>
    </w:p>
    <w:p w14:paraId="02ABE76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Недовыполнение задания по капитальному ремонту моторов объясняется недозавозом моторов в ремонт, вследствие отсутствия ремфонда. Теплая зима 1943-1944 г. не давала возможности фрон</w:t>
      </w:r>
      <w:r w:rsidRPr="00070ADE">
        <w:rPr>
          <w:rFonts w:ascii="Times New Roman" w:hAnsi="Times New Roman"/>
          <w:color w:val="000000" w:themeColor="text1"/>
          <w:sz w:val="16"/>
          <w:szCs w:val="16"/>
        </w:rPr>
        <w:softHyphen/>
        <w:t>там полностью использовать аэросанный парк. По этой причине в I квартале с.г. от аэросанных бата</w:t>
      </w:r>
      <w:r w:rsidRPr="00070ADE">
        <w:rPr>
          <w:rFonts w:ascii="Times New Roman" w:hAnsi="Times New Roman"/>
          <w:color w:val="000000" w:themeColor="text1"/>
          <w:sz w:val="16"/>
          <w:szCs w:val="16"/>
        </w:rPr>
        <w:softHyphen/>
        <w:t>льонов ремфонда почти не поступало.</w:t>
      </w:r>
    </w:p>
    <w:p w14:paraId="17D8BB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завод №41 имеет ремфонд в количестве 158 моторов, что обеспечит двух</w:t>
      </w:r>
      <w:r w:rsidRPr="00070ADE">
        <w:rPr>
          <w:rFonts w:ascii="Times New Roman" w:hAnsi="Times New Roman"/>
          <w:color w:val="000000" w:themeColor="text1"/>
          <w:sz w:val="16"/>
          <w:szCs w:val="16"/>
        </w:rPr>
        <w:softHyphen/>
        <w:t>месячную потребность завода в ремфонде.</w:t>
      </w:r>
    </w:p>
    <w:p w14:paraId="70972A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Задание по запасным частям к моторам М-11 завод №41 НКАП недовыполнил по причине неосвоения производства поршневых пальцев 2-го ремонтного размера и демультипликаторов к моторам серии «Г».</w:t>
      </w:r>
    </w:p>
    <w:p w14:paraId="7241CA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Недоданные в I квартале запчасти мотора завод гарантирует поставить в течение апреля и мая месяцев с.г.</w:t>
      </w:r>
    </w:p>
    <w:p w14:paraId="60F5A2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 ГОКО №5250 предусматривает капитальный ремонт аэросаней во II квартале в количестве 200 машин и изготовление запасных частей к аэросаням в I и II кварталах 1944 года.</w:t>
      </w:r>
    </w:p>
    <w:p w14:paraId="4A576D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I квартале сего года завод №41 Наркомлеса недовыполнил задание по изготовлению лыж и бензобаков к аэросаням по причине отсутствия уголка для подреза лыжи и оцинкованного железа для бензобака.</w:t>
      </w:r>
    </w:p>
    <w:p w14:paraId="1707DD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 стороны 5 отдела приняты необходимые меры перед Наркомлесом о выполнении во II квар</w:t>
      </w:r>
      <w:r w:rsidRPr="00070ADE">
        <w:rPr>
          <w:rFonts w:ascii="Times New Roman" w:hAnsi="Times New Roman"/>
          <w:color w:val="000000" w:themeColor="text1"/>
          <w:sz w:val="16"/>
          <w:szCs w:val="16"/>
        </w:rPr>
        <w:softHyphen/>
        <w:t>тале полной номенклатуры запчастей к аэросаням, предусмотренных постановлением ГОКО.</w:t>
      </w:r>
    </w:p>
    <w:p w14:paraId="23B699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Недовыполнение постановлений ГОКО по ремонту моторов и изготовлению запчастей к аэро</w:t>
      </w:r>
      <w:r w:rsidRPr="00070ADE">
        <w:rPr>
          <w:rFonts w:ascii="Times New Roman" w:hAnsi="Times New Roman"/>
          <w:color w:val="000000" w:themeColor="text1"/>
          <w:sz w:val="16"/>
          <w:szCs w:val="16"/>
        </w:rPr>
        <w:softHyphen/>
        <w:t>саням и моторам не могло повлиять на ход зимней эксплуатации аэросаней, так как аэросанные батальоны и фронтовые склады имели достаточное количество запасных моторов, запасных частей к аэросаням и моторам М-11.</w:t>
      </w:r>
    </w:p>
    <w:p w14:paraId="2F3DD6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Качество ремонта аэросаней и моторов и перспективы дальнейшего</w:t>
      </w:r>
    </w:p>
    <w:p w14:paraId="724D50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усовершенствования их.</w:t>
      </w:r>
    </w:p>
    <w:p w14:paraId="1B2304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Отзывы военных частей по эксплуатации аэросаней зимой 1943-1944 годов говорят о высокой оценке технического состояния материальной части аэросаней.</w:t>
      </w:r>
    </w:p>
    <w:p w14:paraId="2964E6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 крупным конструктивным недостатком аэросаней является недостаточная мощность мотора М-11, вследствие чего эксплуатация аэросаней зимой при температуре от 0° до -5° весьма затруднительна и не экономична.</w:t>
      </w:r>
    </w:p>
    <w:p w14:paraId="1EDB67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процессе зимней эксплуатации имело место незначительное количество случаев обрыва носка коленчатого вала, выработавшего 1800-2000 моточасов и поломок (по сварке) узлов крепления амортизаторов, срыва шпилек крепления стойки коромысла клапанов и срыва шпилек крепления выхлопных патрубков мотора М-11.</w:t>
      </w:r>
    </w:p>
    <w:p w14:paraId="620C68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увеличения мощности мотора М-11 и ликвидации указанных дефектов 5 отделом принима</w:t>
      </w:r>
      <w:r w:rsidRPr="00070ADE">
        <w:rPr>
          <w:rFonts w:ascii="Times New Roman" w:hAnsi="Times New Roman"/>
          <w:color w:val="000000" w:themeColor="text1"/>
          <w:sz w:val="16"/>
          <w:szCs w:val="16"/>
        </w:rPr>
        <w:softHyphen/>
        <w:t>ются меры по изготовлению во II квартале опытных образцов модернизации моторов М-11 с доведе</w:t>
      </w:r>
      <w:r w:rsidRPr="00070ADE">
        <w:rPr>
          <w:rFonts w:ascii="Times New Roman" w:hAnsi="Times New Roman"/>
          <w:color w:val="000000" w:themeColor="text1"/>
          <w:sz w:val="16"/>
          <w:szCs w:val="16"/>
        </w:rPr>
        <w:softHyphen/>
        <w:t>нием мощности их с 90 лошадиных сил до 125 лошадиных сил и соответственного усиления слабых мест мотора.</w:t>
      </w:r>
    </w:p>
    <w:p w14:paraId="111606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Военпредам на заводах даны указания по усилению контроля за качеством ремонта и повыше</w:t>
      </w:r>
      <w:r w:rsidRPr="00070ADE">
        <w:rPr>
          <w:rFonts w:ascii="Times New Roman" w:hAnsi="Times New Roman"/>
          <w:color w:val="000000" w:themeColor="text1"/>
          <w:sz w:val="16"/>
          <w:szCs w:val="16"/>
        </w:rPr>
        <w:softHyphen/>
        <w:t>нию требовательности к заводам по выполнению технических условий и чертежей.</w:t>
      </w:r>
    </w:p>
    <w:p w14:paraId="14F806E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Дальнейшее усовершенствование существующих марок аэросаней производится по линии улучшения конструкций ходовой части и тормоза.</w:t>
      </w:r>
    </w:p>
    <w:p w14:paraId="0A2E81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1943 году ЦКБ Главспецдревпрома разработана конструкция 4-местных аэросаней марки НКЛ-38, которая имеет ряд преимуществ в скорости и проходимости. Эта машина может быть успешно использована для целей связи и разведки, а также как пассажирская — штабная машина, в условиях зимнего бездорожья.</w:t>
      </w:r>
    </w:p>
    <w:p w14:paraId="3525FA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Наравне с развертыванием работ по улучшению существующих марок аэросаней, 5 отдел счи</w:t>
      </w:r>
      <w:r w:rsidRPr="00070ADE">
        <w:rPr>
          <w:rFonts w:ascii="Times New Roman" w:hAnsi="Times New Roman"/>
          <w:color w:val="000000" w:themeColor="text1"/>
          <w:sz w:val="16"/>
          <w:szCs w:val="16"/>
        </w:rPr>
        <w:softHyphen/>
        <w:t>тает необходимым создание летом 1944 года отечественного образца снегохода типа американского снегохода «Бомбардир», показавшего хорошие результаты при полигонных испытаниях. В этом направлении отдел ведет в настоящее время подготовительную работу.</w:t>
      </w:r>
    </w:p>
    <w:p w14:paraId="0CF849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Получение и распределение оборудования, запчастей, инструмента и материалов.</w:t>
      </w:r>
    </w:p>
    <w:p w14:paraId="2C314A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Оборудование, запчасти, инструмент и материалы, потребные для эксплуатации и ремонта аэросанного парка, поступили от промышленности и УРТ ГБТУ КА.</w:t>
      </w:r>
    </w:p>
    <w:p w14:paraId="7A0B7E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Поступающее имущество распределялось в соответствии с заявками фронтов и отправлялось на фронтовые склады.</w:t>
      </w:r>
    </w:p>
    <w:p w14:paraId="2604E8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все фронта, имеющие аэросанные батальоны, были отправлены запчасти, инструмент и материалы, полностью обеспечивающие пополнение батальонных и индивидуальных аэросанных комплектов.</w:t>
      </w:r>
    </w:p>
    <w:p w14:paraId="2553DC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расформированием аэросанных батальонов все аэросанное имущество, находившееся на фронтовых складах, сосредотачивается в г. Котлас, где при учебном аэросанном полку организу</w:t>
      </w:r>
      <w:r w:rsidRPr="00070ADE">
        <w:rPr>
          <w:rFonts w:ascii="Times New Roman" w:hAnsi="Times New Roman"/>
          <w:color w:val="000000" w:themeColor="text1"/>
          <w:sz w:val="16"/>
          <w:szCs w:val="16"/>
        </w:rPr>
        <w:softHyphen/>
        <w:t>ется склад для его хранения.</w:t>
      </w:r>
    </w:p>
    <w:p w14:paraId="1D5159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Имеющиеся в излишке незавершенные производством запчасти к аэросаням доделываются силами ремроты для использования их при ремонте аэросаней.</w:t>
      </w:r>
    </w:p>
    <w:p w14:paraId="54EF1E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5 отдела управления бронепоездов и бронемашин ГБТУ КА</w:t>
      </w:r>
    </w:p>
    <w:p w14:paraId="747BDA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инженер-полковник Михайлов</w:t>
      </w:r>
    </w:p>
    <w:p w14:paraId="4E6851C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11358. Д. 205. Л. 100-103. Подлинник (11403).</w:t>
      </w:r>
    </w:p>
    <w:p w14:paraId="131616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61C3F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вышло Постановление ГКО № 5596 О плане распределения нефтепродуктов на II квартал 1944 года. РГАНИР, Фонд ГКО, д. 232, лл. 1-2,3-42 (11012).</w:t>
      </w:r>
    </w:p>
    <w:p w14:paraId="2EA6AA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AF061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вышло Постановление ГКО № 5597 О плане распределения угля на II квартал 1944 г. РГАНИР, Фонд ГКО, д. 232, лл. 43-46,47-126 (11012).</w:t>
      </w:r>
    </w:p>
    <w:p w14:paraId="02DB897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B3443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вышло Постановление ГКО № 5598 О мероприятиях по обеспечению выпуска мотоциклов для мотомеханизированных соединений Красной Армии во II квартале 1944 года. РГАНИР, Фонд ГКО, д. 232, лл. 127-133,134-140 (11012).</w:t>
      </w:r>
    </w:p>
    <w:p w14:paraId="5EFC96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B2E27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вышло Постановление ГКО № 5599 О мерах неотложной помощи Наркомстрою по восстановлению и вводу в эксплуатацию первой очереди Ново-Краматорского завода им. Сталина и Старо-Краматорского завода им. Орджоникидзе в Донбассе. РГАНИР, Фонд ГКО, д. 232, лл. 141-147,148-150 (11012).</w:t>
      </w:r>
    </w:p>
    <w:p w14:paraId="549F9E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A9B6C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вышло Постановление ГКО № 5601 О разборке разрушенных зданий, очистке и подготовке к восстановлению улицы Крещатик и центральных кварталов г. Киева. РГАНИР, Фонд ГКО, д. 232, лл. 152-154,155-156 (11012).</w:t>
      </w:r>
    </w:p>
    <w:p w14:paraId="07A3D7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39A8F7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вышло Постановление ГКО № 5602 О поставках НКПС железнодорожных запасных частей в 1944 г. (7208, 157-160,161-164).</w:t>
      </w:r>
    </w:p>
    <w:p w14:paraId="4B7F9B3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72103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вышло Распоряжение ГКО № 5603 [О мерах по обеспечению производства автомобильных радиостанций на заводе № 197 НКЭП специальными автокузовами.] (7208, 165-166,167-168).</w:t>
      </w:r>
    </w:p>
    <w:p w14:paraId="27E46D7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4828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вышло Постановление ГКО № 5605 О поставке Наркомвоенморфлоту трально-сетевого вооружения во II квартале 1944 г. РГАНИР, Фонд ГКО, д. 232, лл. 178-181,182-189 (11012).</w:t>
      </w:r>
    </w:p>
    <w:p w14:paraId="483EE3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F990B5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вышло Постановление ГКО № 5608 О плане производства и распределения подвижных ремонтных мастерских на II квартал 1944 г. (7209, 1-4,5-21).</w:t>
      </w:r>
    </w:p>
    <w:p w14:paraId="1D55E97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E97B2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вышло Постановление ГКО № 5609 О мероприятиях по обеспечению производства каучука, автомобильных, авиационных и артиллерийских шин, средств химической защиты, инженерного имущества, а также других резинотехнических и асбестовых изделий во II квартале 1944 г. РГАНИР, Фонд ГКО, д. 233, лл. 22-45 (11012).</w:t>
      </w:r>
    </w:p>
    <w:p w14:paraId="2F265E9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E085F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вышло Постановление ГКО № 5610 О форсировании строительства Орско-Халиловского металлургического завода Наркомчермета. РГАНИР, Фонд ГКО, д. 233, лл. 46-53,54-63 (11012).</w:t>
      </w:r>
    </w:p>
    <w:p w14:paraId="5245F4F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0D2AA3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вышло Постановление ГКО № 5611 О плане ремонта тракторов для Красной Армии и Военно-Морского Флота на II квартал 1944 года. РГАНИР, Фонд ГКО, д. 233, лл. 64-67,68-95 (11012).</w:t>
      </w:r>
    </w:p>
    <w:p w14:paraId="0CD943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5FB48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вышло Постановление ГКО № 5612 О плане ремонта бронеавтомобилей, бронетранспортов, мотоциклов и велосипедов для Красной Армии на II квартал 1944 года. РГАНИР, Фонд ГКО, д. 233, лл. 96-97,98-116 (11012).</w:t>
      </w:r>
    </w:p>
    <w:p w14:paraId="14226C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7B0FA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вышло Постановление ГКО № 5613 О плане распределения автомобильных запасных частей на II квартал 1944 года. РГАНИР, Фонд ГКО, д. 233, лл. 117-118,119-136 (11012).</w:t>
      </w:r>
    </w:p>
    <w:p w14:paraId="2B83000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BA613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вышло Постановление ГКО № 5614 О плане поставок военно-полевых средств и имущества связи на II квартал 1944 года. РГАНИР, Фонд ГКО, д. 233, лл. 137-139,140-186 (11012).</w:t>
      </w:r>
    </w:p>
    <w:p w14:paraId="0D4A87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F389A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вышло Постановление ГКО № 5615 О производстве и поставке Наркомобороны СССР, Наркомвоенморфлоту и войскам НКВД СССР инженерного вооружения и спецоборудования во II кв. 1944 года. РГАНИР, Фонд ГКО, д. 233, лл. 187-191,192-241 (11012).</w:t>
      </w:r>
    </w:p>
    <w:p w14:paraId="3983BA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D9BCA1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вышло Постановление ГКО № 5616 О сплаве дров и деловой древесины самозаготовителями в навигацию 1944 года. РГАНИР, Фонд ГКО, д. 234, лл. 1-7,8-18 (11012).</w:t>
      </w:r>
    </w:p>
    <w:p w14:paraId="2CA3D9A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4E094B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вышло Постановление ГКО № 5617 О производстве и поставке Красной Армии, Военно-Морскому Флоту и войскам НКВД СССР медико-санитарного и санитарно-хозяйственного имущества и перевязочных изделий во II квартале 1944 года. РГАНИР, Фонд ГКО, д. 234, лл. 19-22,23-79 (11012).</w:t>
      </w:r>
    </w:p>
    <w:p w14:paraId="56B6C0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BFCE3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вышло Постановление ГКО № 5618 О поставке Наркомвоенморфлоту артиллерийских приборов, штурманского вооружения, судового оборудования и запасных частей к механизмам во II квартале 1944 г. РГАНИР, Фонд ГКО, д. 234, лл. 80-84,85-126 (11012).</w:t>
      </w:r>
    </w:p>
    <w:p w14:paraId="6FA9E9A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4767BB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lastRenderedPageBreak/>
        <w:t>Армия:</w:t>
      </w:r>
    </w:p>
    <w:p w14:paraId="307535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7F6E89"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в 1944 году оперативная сводка Совинформбюро:</w:t>
      </w:r>
    </w:p>
    <w:p w14:paraId="02C04B53"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12 апреля западнее города Скала наши войска,отбивая контратаки пехоты и танков противника, вели наступательные бои, в ходе которых заняли несколько населённых пунктов. За время с 1 по 10 апреля войска1-го Украинского фронта нанесли следующие тяжёлые потери группировке немцев, окружённой западнее города Скала: захвачено танков и самоходных орудий — 187, орудий разных калибров — 121, самолётов — 61, автомашин — 7.483. Захвачено в плен 6.988 немцев. Противник оставил на поле боя более 26.000 трупов своих солдат и офицеров. К 11 апреля от окружённой группировки противника остались лишь сборные отряды 6 пехотных, 7 танковых и одной мотодивизии немцев,численностью до 10.000 солдат и до 80 танков.</w:t>
      </w:r>
    </w:p>
    <w:p w14:paraId="2616628E"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Румынии, юго-западнее города Ботошани, наши войска с боями продвигались вперёд и овладели городом Фэлтичени, а также заняли несколько других населённых пунктов, среди которых крупные населённые пункты Бражеште, Рэдэшань, Бая, Думбрэвица.</w:t>
      </w:r>
    </w:p>
    <w:p w14:paraId="43CFAC4B"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Кишинёвском направлении наши войска овладели районными центрами МолдавскойССР городом Дубоссары, городом Григориополь, а также с боями заняли более 30 других населённых пунктов, в том числе крупные населённые пункты Домний, Пятра,Требужень, Маркауць, Маловатое, Кучеер, Коржево, Лунга, Ташлык, Бутор, Спея, Токмодзея, Малаешты, Красная Горка, Парканы, Терновка.</w:t>
      </w:r>
    </w:p>
    <w:p w14:paraId="11118766"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в результате ночного штурма овладели городом Тирасполь — важным опорным пунктом обороны немцев на реке Днестр.</w:t>
      </w:r>
    </w:p>
    <w:p w14:paraId="688418D6"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Одесса наши войска вели наступательные бои, в ходекоторых овладели населёнными пунктами Калаглея, Александровка, Бурлачья Балка, Люстдорф, Ильичёвка и железнодорожной станцией Аккаржа.</w:t>
      </w:r>
    </w:p>
    <w:p w14:paraId="2EB9C035"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4-го Украинского фронта прорвали сильно укреплённые Ишунские позиции противника и, преследуя его отступающие войска, с боями заняли более 150 населённых пунктов, в том числе районные центры Крыма Колай, Курман-Кемельчи, Сейтлер, Биюк-Онлар, Карача-Кангил (в 18 километрах севернее города Симферополь), крупные населённые пункты Красноперекопск, Ишунь, Воронцовка,Воинка, Долинка, Куллар-Кирчак, Айгашен, Калининдорф, Весёлое и железнодорожные станции Пятиозёрная, Юшунь, Воинка, Каранкут, Колай, Сейтлер, Курман-Кемельчи, Ташлык Дайр, Биюк-Онлар. Отступая под ударами наших войск, противник несёт большие потери в живой силе и технике.</w:t>
      </w:r>
    </w:p>
    <w:p w14:paraId="270F6B66"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Феодосийском направлении наши войска, преследуя поспешно отступающегопротивника, полностью очистили Керченский полуостров и прошли Акмонайские позиции. В ходе наступления наши войска освободили более 140 населённых пунктов, в том числе районный центр Крыма Семь Колодезей, крупные населённые пункты Ново-Николаевка, Марфовка, Марьевка, Ленинск, Китень Русский, Ак-Монай, Арма-Эли и железнодорожные станции Ташлыяр, Ойсул, Семь Колодезей, Алибай, Ак-Монай. Нашими войсками взято в плен свыше 2.000 солдат и офицеров противника и захвачены большие трофеи, которые подсчитываются. Противник оставил на поле боя свыше 3.000 трупов своих солдат и офицеров.</w:t>
      </w:r>
    </w:p>
    <w:p w14:paraId="15980019"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в ряде пунктов шли бои местного значения.</w:t>
      </w:r>
    </w:p>
    <w:p w14:paraId="034882F9"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11 апреля наши войска на всех фронтах подбили и уничтожили 132 немецких танка. В воздушных боях и огнём зенитной артиллерии сбито 47 самолётов противника.</w:t>
      </w:r>
    </w:p>
    <w:p w14:paraId="0FD52D4D"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Налёт нашей авиации на город Констанца.</w:t>
      </w:r>
    </w:p>
    <w:p w14:paraId="0037A837"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12 апреля наша авиация дальнего действия крупными силами бомбардировала военно-промышленные объекты города Констанца (Румыния). Советские самолёты подвергли бомбардировке порт, железнодорожный узел и нефтяной городок в Констанце. В результате бомбардировки в районе цели возникли большие пожары, сопровождавшиеся взрывами. Значительная часть порта была охвачена огнём. На территории нефтяного городка возникло несколько пожаров с густым чёрным дымом и произошли сильные взрывы.</w:t>
      </w:r>
    </w:p>
    <w:p w14:paraId="723CE3CD"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развивая наступление, сегодня ночью штурмом овладели городом Тирасполь — важным опорным пунктом обороны немцев на реке Днестр. Эта победа достигнута нашими войсками в результате умелых и решительныхдействий. Два дня назад линия фронта проходила в 25 километрах восточнее Тирасполя. Противник создал на этом рубеже сильную оборонительную полосу и рассчитывал надолго сковать здесь советские войска. Вчера наши части мощным ударом опрокинули немцев и, преследуя их, ворвались в город Тирасполь. На станции Ново-Савицкая советские бойцы захватили несколько железнодорожных составов, склады с боеприпасами, продовольствием и военным имуществом. Особенно много трофеев захвачено на станции и в городе Тирасполь. Воспользовавшись паникой среди гитлеровцев, наши войска форсировали реку Днестр южнее городаТирасполь и захватили плацдармы на её западном берегу.</w:t>
      </w:r>
    </w:p>
    <w:p w14:paraId="24FC148E"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Крыму наши войска, продолжая успешное наступление, штурмом прорвали Ишунские позиции противника. Преодолена таким образом вторая мощная полоса обороны немцев, прикрывавшая вход в Крым через Перекопский перешеек. Успеху войск, штурмовавших Ишунь, способствовали наши части, действующие на южном побережье Сиваша. Нанеся удар в юго-западном направлении, советские пехотинцы овладели сильно укреплённым опорным пунктом немцев Воинкой и двинулись в обход Ишунских позиций. В ходе этой операции наши войска истребили до 3.000 солдат и офицеров противника.</w:t>
      </w:r>
    </w:p>
    <w:p w14:paraId="75AD4ECB"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подвижные соединения и пехота, развивая стремительное наступление к югу от Джанкоя, продвинулись вперёд на 60 километров и заняли районный центр Крыма Карача-Кангил, находящийся в 18 километрах севернее города Симферополь. Другие части, продвигаясь с боями на юго-восток, овладели районным центром Сейтлер. Советские части уничтожают отступающего противника и громят вражеские гарнизоны в населённых пунктах. В одном селе разбит 125 отдельный батальон немцев. Командир батальона и 200 солдат и офицеров сложили оружие и сдались в плен. Н-ская танковая часть захватила несколько железнодорожных эшелонов, 50 орудий и 250 пулемётов. В течение дня взято в плен несколько тысяч солдат и офицеров противника.</w:t>
      </w:r>
    </w:p>
    <w:p w14:paraId="14B4BF54"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лётчики, активно поддерживая действия наземных войск, сбили в воздушных боях и уничтожили на аэродромах 39 немецких самолётов.</w:t>
      </w:r>
    </w:p>
    <w:p w14:paraId="751CBD79"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Феодосийском направлении наши войска стремительными ударами не дали возможности противнику задержаться на промежуточных рубежах. В районе Турецкого Вала разгромлен 9 румынский кавалерийский полк. Его остатки вместе с командиром полка взяты в плен. К исходу дня войска Отдельной Приморской армии полностью очистили от противника Керченский полуостров. Попытка немцев задержаться на Акмонайских позициях также потерпела неудачу. В районе Ак-Моная на узкой полосе между Чёрным и Азовским морями, шириной в 18 километров, немцы сосредоточили большое количество артиллерии, миномётов и пехоты. Советские танкисты и автоматчики прорвали и этот оборонительный рубеж противника. По неполный данным, захвачено более 100 орудий разных калибров, 140 миномётов, свыше 300 пулемётов и много другого военного имущества.</w:t>
      </w:r>
    </w:p>
    <w:p w14:paraId="6A9DC17E"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Воздушная разведка Северного флота обнаружила в одном порту 13 транспортов, 9 кораблей охранения и 2 миноносца противника. Авиация флота нанесла массированный бомбово-штурмовой удар по вражеским судам. Советские лётчики потопили три транспорта общим водоизмещением в 15.000 тонн, один сторожевой корабль и один тральщик противника. Предположительно потоплен ещё один транспорт водоизмещением в 3.000 тонн и повреждены два транспорта общим водоизмещением в 13.000 тонн.</w:t>
      </w:r>
    </w:p>
    <w:p w14:paraId="4114E666"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Лётчики Краснознамённого Балтийского флота потопили две самоходные десантные баржи противника.</w:t>
      </w:r>
    </w:p>
    <w:p w14:paraId="59D7B8E9"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Черноморского флота совершила налёт на порт Феодосия. В результате бомбардировки потоплено 4 самоходные десантные баржи, 4 катера и один торпедный катер. Нанесены также повреждения другим судам противника, находившимся в этом порту.</w:t>
      </w:r>
    </w:p>
    <w:p w14:paraId="43DDA507"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Отряд белорусских партизан напал на немецкий зенитный дивизион, расположенный в одном населённом пункте Могилёвской области. Советские патриоты истребили более роты гитлеровцев, уничтожили 8 зенитных орудий и 40 автомашин. Захвачены трофеи. Партизаны Минской области освободили 3 тысячи советских граждан, насильно мобилизованных немцами на принудительные работы.» (15097).</w:t>
      </w:r>
    </w:p>
    <w:p w14:paraId="2910C3FA" w14:textId="77777777" w:rsidR="002F4B64" w:rsidRPr="00070ADE" w:rsidRDefault="002F4B64" w:rsidP="00B56F90">
      <w:pPr>
        <w:spacing w:after="0" w:line="240" w:lineRule="auto"/>
        <w:jc w:val="both"/>
        <w:rPr>
          <w:rFonts w:ascii="Times New Roman" w:hAnsi="Times New Roman"/>
          <w:color w:val="000000" w:themeColor="text1"/>
          <w:sz w:val="16"/>
          <w:szCs w:val="16"/>
        </w:rPr>
      </w:pPr>
    </w:p>
    <w:p w14:paraId="033B1DC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вышло Распоряжение ГКО № 5600 [Об отводе земель под аэродромы, а также помещений для частей Новосибирской школы АДД КА.] (7208, 151).</w:t>
      </w:r>
    </w:p>
    <w:p w14:paraId="0DF1E12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56DC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вышло Постановление ГКО № 5606 О недостатках в работе командования и штаба Западного фронта. РГАНИР, Фонд ГКО, д. 232, лл. 190,191-223 (11012).</w:t>
      </w:r>
    </w:p>
    <w:p w14:paraId="0642C6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AB81A42"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в 1944 году игнорируя приказ Гитлера сражаться «до последнего солдата», германское командование начало эвакуацию войск из Крыма (15097).</w:t>
      </w:r>
    </w:p>
    <w:p w14:paraId="13D44540" w14:textId="77777777" w:rsidR="002F4B64" w:rsidRPr="00070ADE" w:rsidRDefault="002F4B64" w:rsidP="00B56F90">
      <w:pPr>
        <w:spacing w:after="0" w:line="240" w:lineRule="auto"/>
        <w:jc w:val="both"/>
        <w:rPr>
          <w:rFonts w:ascii="Times New Roman" w:hAnsi="Times New Roman"/>
          <w:color w:val="000000" w:themeColor="text1"/>
          <w:sz w:val="16"/>
          <w:szCs w:val="16"/>
        </w:rPr>
      </w:pPr>
    </w:p>
    <w:p w14:paraId="517151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April 12th, 1944: German forces in the Crimea withdraw to Sevastopol (3819).</w:t>
      </w:r>
    </w:p>
    <w:p w14:paraId="0354B1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3320C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германские войска отступили к Севастополю (3819).</w:t>
      </w:r>
    </w:p>
    <w:p w14:paraId="121D0A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368BB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игнорируя приказ Гитлера сражаться “до последнего солдата”, германское командование начало эвакуацию войск из Крыма (4962).</w:t>
      </w:r>
    </w:p>
    <w:p w14:paraId="6A9BA82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8DC52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советские войска освободили от фашистов Тирасполь и Дубоссары (4962).</w:t>
      </w:r>
    </w:p>
    <w:p w14:paraId="09D0D70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D64F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3УФ (Ф.И.Толбухин) освободил Тирасполь (3398,145).</w:t>
      </w:r>
    </w:p>
    <w:p w14:paraId="57C456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407A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состоялись тяжелые воздушные бои над Германией, в которых приняло участие 2 тыс. американских самолетов (2247,3).</w:t>
      </w:r>
    </w:p>
    <w:p w14:paraId="1E9E27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4B88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л ГВФ л А.П.Мамкин возвращался ночью от партизан, имея на борту 3-х партизан и 10 детей. был ранен ЗА, но истекая кровью довел машину, посадил и умер (438,901).</w:t>
      </w:r>
    </w:p>
    <w:p w14:paraId="50BD1A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B56CB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28176F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2B0F30"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в 1944 году предъявление Советским правительством по согласованию с США и Великбританией румынскому правительству условий перемирия (разрыв с Германией и объявление ей войны, восстановление довоенной советско-румынской границы, возмещения ущерба, причиненного СССР, возвращение всех военнопленных), которые не были приняты правительством Антонеску (15097).</w:t>
      </w:r>
    </w:p>
    <w:p w14:paraId="5CF25AC2" w14:textId="77777777" w:rsidR="002F4B64" w:rsidRPr="00070ADE" w:rsidRDefault="002F4B64" w:rsidP="00B56F90">
      <w:pPr>
        <w:spacing w:after="0" w:line="240" w:lineRule="auto"/>
        <w:jc w:val="both"/>
        <w:rPr>
          <w:rFonts w:ascii="Times New Roman" w:hAnsi="Times New Roman"/>
          <w:color w:val="000000" w:themeColor="text1"/>
          <w:sz w:val="16"/>
          <w:szCs w:val="16"/>
        </w:rPr>
      </w:pPr>
    </w:p>
    <w:p w14:paraId="5890B8C4"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в 1944 году финский парламент отклонил советские условия перемирия (15097).</w:t>
      </w:r>
    </w:p>
    <w:p w14:paraId="430D0D72" w14:textId="77777777" w:rsidR="002F4B64" w:rsidRPr="00070ADE" w:rsidRDefault="002F4B64" w:rsidP="00B56F90">
      <w:pPr>
        <w:spacing w:after="0" w:line="240" w:lineRule="auto"/>
        <w:jc w:val="both"/>
        <w:rPr>
          <w:rFonts w:ascii="Times New Roman" w:hAnsi="Times New Roman"/>
          <w:color w:val="000000" w:themeColor="text1"/>
          <w:sz w:val="16"/>
          <w:szCs w:val="16"/>
        </w:rPr>
      </w:pPr>
    </w:p>
    <w:p w14:paraId="66C9AAE0" w14:textId="77777777" w:rsidR="002F4B64"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1AD32C2" w14:textId="77777777" w:rsidR="002F4B64" w:rsidRPr="00070ADE" w:rsidRDefault="002F4B64"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1A7469" w14:textId="77777777" w:rsidR="00315AAD" w:rsidRPr="00070ADE" w:rsidRDefault="00315AA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игрок в поло американского чемпионата Томми Хичкок-младший, служащий подполковником в ВВС США, погибает, когда не может выйти из пикирования во время испытаний истребителя P-51 Mustang, и разбивается около Салисбурга, Уилтшир , Англия (20373).</w:t>
      </w:r>
    </w:p>
    <w:p w14:paraId="68F0B5DC" w14:textId="77777777" w:rsidR="00315AAD" w:rsidRPr="00070ADE" w:rsidRDefault="00315AAD" w:rsidP="00B56F90">
      <w:pPr>
        <w:spacing w:after="0" w:line="240" w:lineRule="auto"/>
        <w:jc w:val="both"/>
        <w:rPr>
          <w:rFonts w:ascii="Times New Roman" w:hAnsi="Times New Roman"/>
          <w:color w:val="000000" w:themeColor="text1"/>
          <w:sz w:val="16"/>
          <w:szCs w:val="16"/>
        </w:rPr>
      </w:pPr>
    </w:p>
    <w:p w14:paraId="4C811F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ВВС союзников начали систематические налеты на Германию и прежде всего на промышленные центры (Мерзебург, Треглиц, Белау и др.) (3186).</w:t>
      </w:r>
    </w:p>
    <w:p w14:paraId="109243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4644AE" w14:textId="77777777" w:rsidR="002F4B64" w:rsidRPr="00070ADE" w:rsidRDefault="002F4B6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в 1944 году отрекся от престола последний итальянский король Виктор-Эммануэль, и Италия стала республикой. Но другие страны с монархическим строем ее примеру на последовали, а в семидесятые годы одна важная монархия - испанская - была даже восстановлена после долгого перерыва (15097).</w:t>
      </w:r>
    </w:p>
    <w:p w14:paraId="60C59AE7" w14:textId="77777777" w:rsidR="002F4B64" w:rsidRPr="00070ADE" w:rsidRDefault="002F4B64" w:rsidP="00B56F90">
      <w:pPr>
        <w:spacing w:after="0" w:line="240" w:lineRule="auto"/>
        <w:jc w:val="both"/>
        <w:rPr>
          <w:rFonts w:ascii="Times New Roman" w:hAnsi="Times New Roman"/>
          <w:color w:val="000000" w:themeColor="text1"/>
          <w:sz w:val="16"/>
          <w:szCs w:val="16"/>
        </w:rPr>
      </w:pPr>
    </w:p>
    <w:p w14:paraId="7CFC45DF" w14:textId="77777777" w:rsidR="00315AAD" w:rsidRPr="00070ADE" w:rsidRDefault="00315AA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апреля 1944 самолет пятой армии ВВС снова атакует японские аэродромы вокруг Голландии (20373).</w:t>
      </w:r>
    </w:p>
    <w:p w14:paraId="75117505" w14:textId="77777777" w:rsidR="00315AAD" w:rsidRPr="00070ADE" w:rsidRDefault="00315AAD" w:rsidP="00B56F90">
      <w:pPr>
        <w:spacing w:after="0" w:line="240" w:lineRule="auto"/>
        <w:jc w:val="both"/>
        <w:rPr>
          <w:rFonts w:ascii="Times New Roman" w:hAnsi="Times New Roman"/>
          <w:color w:val="000000" w:themeColor="text1"/>
          <w:sz w:val="16"/>
          <w:szCs w:val="16"/>
        </w:rPr>
      </w:pPr>
    </w:p>
    <w:p w14:paraId="17D48C0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00BAE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20D8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апреля 1944 г. генерал Н.П.Селезнев обратился к А.И.Шахурину с письмом (№ 872832), в котором просил наркомат выпускать Ил-2 только цельнометаллической конструкции. Наркомату авиапромышленности по</w:t>
      </w:r>
      <w:r w:rsidRPr="00070ADE">
        <w:rPr>
          <w:rFonts w:ascii="Times New Roman" w:hAnsi="Times New Roman"/>
          <w:color w:val="000000" w:themeColor="text1"/>
          <w:sz w:val="16"/>
          <w:szCs w:val="16"/>
        </w:rPr>
        <w:softHyphen/>
        <w:t>требовался целый месяц для решения этого вопроса (6467).</w:t>
      </w:r>
    </w:p>
    <w:p w14:paraId="661409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AC2B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апреля 1944 г. начальник Глав</w:t>
      </w:r>
      <w:r w:rsidRPr="00070ADE">
        <w:rPr>
          <w:rFonts w:ascii="Times New Roman" w:hAnsi="Times New Roman"/>
          <w:color w:val="000000" w:themeColor="text1"/>
          <w:sz w:val="16"/>
          <w:szCs w:val="16"/>
        </w:rPr>
        <w:softHyphen/>
        <w:t>ного управления заказов ВВС гене</w:t>
      </w:r>
      <w:r w:rsidRPr="00070ADE">
        <w:rPr>
          <w:rFonts w:ascii="Times New Roman" w:hAnsi="Times New Roman"/>
          <w:color w:val="000000" w:themeColor="text1"/>
          <w:sz w:val="16"/>
          <w:szCs w:val="16"/>
        </w:rPr>
        <w:softHyphen/>
        <w:t>рал-лейтенант Н. П. Селезнев обра</w:t>
      </w:r>
      <w:r w:rsidRPr="00070ADE">
        <w:rPr>
          <w:rFonts w:ascii="Times New Roman" w:hAnsi="Times New Roman"/>
          <w:color w:val="000000" w:themeColor="text1"/>
          <w:sz w:val="16"/>
          <w:szCs w:val="16"/>
        </w:rPr>
        <w:softHyphen/>
        <w:t>тился к А. И. Шахурину с письмом следующего содержания: "Опыт бо</w:t>
      </w:r>
      <w:r w:rsidRPr="00070ADE">
        <w:rPr>
          <w:rFonts w:ascii="Times New Roman" w:hAnsi="Times New Roman"/>
          <w:color w:val="000000" w:themeColor="text1"/>
          <w:sz w:val="16"/>
          <w:szCs w:val="16"/>
        </w:rPr>
        <w:softHyphen/>
        <w:t>евой эксплуатации самолетов Ил-2 в частях ВВС КА показал, что нали</w:t>
      </w:r>
      <w:r w:rsidRPr="00070ADE">
        <w:rPr>
          <w:rFonts w:ascii="Times New Roman" w:hAnsi="Times New Roman"/>
          <w:color w:val="000000" w:themeColor="text1"/>
          <w:sz w:val="16"/>
          <w:szCs w:val="16"/>
        </w:rPr>
        <w:softHyphen/>
        <w:t>чие в его конструкции деревянного фюзеляжа зачастую приводит к дли</w:t>
      </w:r>
      <w:r w:rsidRPr="00070ADE">
        <w:rPr>
          <w:rFonts w:ascii="Times New Roman" w:hAnsi="Times New Roman"/>
          <w:color w:val="000000" w:themeColor="text1"/>
          <w:sz w:val="16"/>
          <w:szCs w:val="16"/>
        </w:rPr>
        <w:softHyphen/>
        <w:t>тельному простаиванию материаль</w:t>
      </w:r>
      <w:r w:rsidRPr="00070ADE">
        <w:rPr>
          <w:rFonts w:ascii="Times New Roman" w:hAnsi="Times New Roman"/>
          <w:color w:val="000000" w:themeColor="text1"/>
          <w:sz w:val="16"/>
          <w:szCs w:val="16"/>
        </w:rPr>
        <w:softHyphen/>
        <w:t>ной части на аэродромах без дей</w:t>
      </w:r>
      <w:r w:rsidRPr="00070ADE">
        <w:rPr>
          <w:rFonts w:ascii="Times New Roman" w:hAnsi="Times New Roman"/>
          <w:color w:val="000000" w:themeColor="text1"/>
          <w:sz w:val="16"/>
          <w:szCs w:val="16"/>
        </w:rPr>
        <w:softHyphen/>
        <w:t>ствия из-за появления дефектов при</w:t>
      </w:r>
      <w:r w:rsidRPr="00070ADE">
        <w:rPr>
          <w:rFonts w:ascii="Times New Roman" w:hAnsi="Times New Roman"/>
          <w:color w:val="000000" w:themeColor="text1"/>
          <w:sz w:val="16"/>
          <w:szCs w:val="16"/>
        </w:rPr>
        <w:softHyphen/>
        <w:t>сущих деревянным агрегатам. При</w:t>
      </w:r>
      <w:r w:rsidRPr="00070ADE">
        <w:rPr>
          <w:rFonts w:ascii="Times New Roman" w:hAnsi="Times New Roman"/>
          <w:color w:val="000000" w:themeColor="text1"/>
          <w:sz w:val="16"/>
          <w:szCs w:val="16"/>
        </w:rPr>
        <w:softHyphen/>
        <w:t>ведение самолетов в боевую готов</w:t>
      </w:r>
      <w:r w:rsidRPr="00070ADE">
        <w:rPr>
          <w:rFonts w:ascii="Times New Roman" w:hAnsi="Times New Roman"/>
          <w:color w:val="000000" w:themeColor="text1"/>
          <w:sz w:val="16"/>
          <w:szCs w:val="16"/>
        </w:rPr>
        <w:softHyphen/>
        <w:t>ность требует больших материальных затрат, квалифицированной рабочей силы и времени со стороны серий</w:t>
      </w:r>
      <w:r w:rsidRPr="00070ADE">
        <w:rPr>
          <w:rFonts w:ascii="Times New Roman" w:hAnsi="Times New Roman"/>
          <w:color w:val="000000" w:themeColor="text1"/>
          <w:sz w:val="16"/>
          <w:szCs w:val="16"/>
        </w:rPr>
        <w:softHyphen/>
        <w:t>ных заводов; ремонт по дереву в полевых условиях является чрезвычай</w:t>
      </w:r>
      <w:r w:rsidRPr="00070ADE">
        <w:rPr>
          <w:rFonts w:ascii="Times New Roman" w:hAnsi="Times New Roman"/>
          <w:color w:val="000000" w:themeColor="text1"/>
          <w:sz w:val="16"/>
          <w:szCs w:val="16"/>
        </w:rPr>
        <w:softHyphen/>
        <w:t>но сложным и не всегда может быть выполнен качественно. В связи с этим, считаю целесообразным просить Вас о выпуске самолетов Ил-2 цельно</w:t>
      </w:r>
      <w:r w:rsidRPr="00070ADE">
        <w:rPr>
          <w:rFonts w:ascii="Times New Roman" w:hAnsi="Times New Roman"/>
          <w:color w:val="000000" w:themeColor="text1"/>
          <w:sz w:val="16"/>
          <w:szCs w:val="16"/>
        </w:rPr>
        <w:softHyphen/>
        <w:t>металлической конструкции".</w:t>
      </w:r>
    </w:p>
    <w:p w14:paraId="4D18A5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Казалось бы, НКАП должен был мгновенно согласиться на это пред</w:t>
      </w:r>
      <w:r w:rsidRPr="00070ADE">
        <w:rPr>
          <w:rFonts w:ascii="Times New Roman" w:hAnsi="Times New Roman"/>
          <w:color w:val="000000" w:themeColor="text1"/>
          <w:sz w:val="16"/>
          <w:szCs w:val="16"/>
        </w:rPr>
        <w:softHyphen/>
        <w:t>ложение. Однако руководству нар</w:t>
      </w:r>
      <w:r w:rsidRPr="00070ADE">
        <w:rPr>
          <w:rFonts w:ascii="Times New Roman" w:hAnsi="Times New Roman"/>
          <w:color w:val="000000" w:themeColor="text1"/>
          <w:sz w:val="16"/>
          <w:szCs w:val="16"/>
        </w:rPr>
        <w:softHyphen/>
        <w:t>комата авиационной промышленно</w:t>
      </w:r>
      <w:r w:rsidRPr="00070ADE">
        <w:rPr>
          <w:rFonts w:ascii="Times New Roman" w:hAnsi="Times New Roman"/>
          <w:color w:val="000000" w:themeColor="text1"/>
          <w:sz w:val="16"/>
          <w:szCs w:val="16"/>
        </w:rPr>
        <w:softHyphen/>
        <w:t>сти потребовался целый месяц для подготовки ответа. Только 14 мая, на следующий день, после того, как в НИИ ВВС для производства государ</w:t>
      </w:r>
      <w:r w:rsidRPr="00070ADE">
        <w:rPr>
          <w:rFonts w:ascii="Times New Roman" w:hAnsi="Times New Roman"/>
          <w:color w:val="000000" w:themeColor="text1"/>
          <w:sz w:val="16"/>
          <w:szCs w:val="16"/>
        </w:rPr>
        <w:softHyphen/>
        <w:t>ственных испытаний официально был передан новый опытный ильюшинский штурмовик Ил-10 (тот же двух</w:t>
      </w:r>
      <w:r w:rsidRPr="00070ADE">
        <w:rPr>
          <w:rFonts w:ascii="Times New Roman" w:hAnsi="Times New Roman"/>
          <w:color w:val="000000" w:themeColor="text1"/>
          <w:sz w:val="16"/>
          <w:szCs w:val="16"/>
        </w:rPr>
        <w:softHyphen/>
        <w:t>местный Ил-1 АМ-42, но с новым обозначением), из наркомата на имя Селезнева за подписью Шахурина ушло письмо. В нем нарком сооб</w:t>
      </w:r>
      <w:r w:rsidRPr="00070ADE">
        <w:rPr>
          <w:rFonts w:ascii="Times New Roman" w:hAnsi="Times New Roman"/>
          <w:color w:val="000000" w:themeColor="text1"/>
          <w:sz w:val="16"/>
          <w:szCs w:val="16"/>
        </w:rPr>
        <w:softHyphen/>
        <w:t>щал, что: "...НКАП имеет ввиду пе</w:t>
      </w:r>
      <w:r w:rsidRPr="00070ADE">
        <w:rPr>
          <w:rFonts w:ascii="Times New Roman" w:hAnsi="Times New Roman"/>
          <w:color w:val="000000" w:themeColor="text1"/>
          <w:sz w:val="16"/>
          <w:szCs w:val="16"/>
        </w:rPr>
        <w:softHyphen/>
        <w:t>ревести производство завода № 18 на выпуск цельнометаллических са</w:t>
      </w:r>
      <w:r w:rsidRPr="00070ADE">
        <w:rPr>
          <w:rFonts w:ascii="Times New Roman" w:hAnsi="Times New Roman"/>
          <w:color w:val="000000" w:themeColor="text1"/>
          <w:sz w:val="16"/>
          <w:szCs w:val="16"/>
        </w:rPr>
        <w:softHyphen/>
        <w:t>молетов Ил-8 АМ-42 в 1944 г., а заводы №№ 1 и 30 в первом полу</w:t>
      </w:r>
      <w:r w:rsidRPr="00070ADE">
        <w:rPr>
          <w:rFonts w:ascii="Times New Roman" w:hAnsi="Times New Roman"/>
          <w:color w:val="000000" w:themeColor="text1"/>
          <w:sz w:val="16"/>
          <w:szCs w:val="16"/>
        </w:rPr>
        <w:softHyphen/>
        <w:t>годии 1945 года. Исходя из этого, Наркомавиапром не считает целе</w:t>
      </w:r>
      <w:r w:rsidRPr="00070ADE">
        <w:rPr>
          <w:rFonts w:ascii="Times New Roman" w:hAnsi="Times New Roman"/>
          <w:color w:val="000000" w:themeColor="text1"/>
          <w:sz w:val="16"/>
          <w:szCs w:val="16"/>
        </w:rPr>
        <w:softHyphen/>
        <w:t>сообразным переводить заводы №№ / и 30 на выпуск самолетов Ил-2 с металлической хвостовой ча</w:t>
      </w:r>
      <w:r w:rsidRPr="00070ADE">
        <w:rPr>
          <w:rFonts w:ascii="Times New Roman" w:hAnsi="Times New Roman"/>
          <w:color w:val="000000" w:themeColor="text1"/>
          <w:sz w:val="16"/>
          <w:szCs w:val="16"/>
        </w:rPr>
        <w:softHyphen/>
        <w:t>стью фюзеляжей, в то время, когда цеха подготовки заводов должны быть заняты изготовлением оснастки для производства цельнометалличес</w:t>
      </w:r>
      <w:r w:rsidRPr="00070ADE">
        <w:rPr>
          <w:rFonts w:ascii="Times New Roman" w:hAnsi="Times New Roman"/>
          <w:color w:val="000000" w:themeColor="text1"/>
          <w:sz w:val="16"/>
          <w:szCs w:val="16"/>
        </w:rPr>
        <w:softHyphen/>
        <w:t>ких самолетов Ил-8".</w:t>
      </w:r>
    </w:p>
    <w:p w14:paraId="459A6C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Очевидно, наркомат в известной мере лукавил. Несмотря на успеш</w:t>
      </w:r>
      <w:r w:rsidRPr="00070ADE">
        <w:rPr>
          <w:rFonts w:ascii="Times New Roman" w:hAnsi="Times New Roman"/>
          <w:color w:val="000000" w:themeColor="text1"/>
          <w:sz w:val="16"/>
          <w:szCs w:val="16"/>
        </w:rPr>
        <w:softHyphen/>
        <w:t>ные в целом государственные испы</w:t>
      </w:r>
      <w:r w:rsidRPr="00070ADE">
        <w:rPr>
          <w:rFonts w:ascii="Times New Roman" w:hAnsi="Times New Roman"/>
          <w:color w:val="000000" w:themeColor="text1"/>
          <w:sz w:val="16"/>
          <w:szCs w:val="16"/>
        </w:rPr>
        <w:softHyphen/>
        <w:t>тания Ил-8 АМ-42, окончательное мнение военных по этому самолету еще не оформилось. Для них боль</w:t>
      </w:r>
      <w:r w:rsidRPr="00070ADE">
        <w:rPr>
          <w:rFonts w:ascii="Times New Roman" w:hAnsi="Times New Roman"/>
          <w:color w:val="000000" w:themeColor="text1"/>
          <w:sz w:val="16"/>
          <w:szCs w:val="16"/>
        </w:rPr>
        <w:softHyphen/>
        <w:t>ший интерес все же представлял Су-6, как более подходящий для боя.</w:t>
      </w:r>
    </w:p>
    <w:p w14:paraId="5047BA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Обращает внимание, что письмо появилось именно в тот момент, ког</w:t>
      </w:r>
      <w:r w:rsidRPr="00070ADE">
        <w:rPr>
          <w:rFonts w:ascii="Times New Roman" w:hAnsi="Times New Roman"/>
          <w:color w:val="000000" w:themeColor="text1"/>
          <w:sz w:val="16"/>
          <w:szCs w:val="16"/>
        </w:rPr>
        <w:softHyphen/>
        <w:t>да были приостановлены полеты на Су-6, а вопрос о принятии на воо</w:t>
      </w:r>
      <w:r w:rsidRPr="00070ADE">
        <w:rPr>
          <w:rFonts w:ascii="Times New Roman" w:hAnsi="Times New Roman"/>
          <w:color w:val="000000" w:themeColor="text1"/>
          <w:sz w:val="16"/>
          <w:szCs w:val="16"/>
        </w:rPr>
        <w:softHyphen/>
        <w:t>ружение Ил-8 еще только обсуждал</w:t>
      </w:r>
      <w:r w:rsidRPr="00070ADE">
        <w:rPr>
          <w:rFonts w:ascii="Times New Roman" w:hAnsi="Times New Roman"/>
          <w:color w:val="000000" w:themeColor="text1"/>
          <w:sz w:val="16"/>
          <w:szCs w:val="16"/>
        </w:rPr>
        <w:softHyphen/>
        <w:t>ся. Явно прослеживается желание наркомата подтолкнуть военных к решению о постановке "на снабже</w:t>
      </w:r>
      <w:r w:rsidRPr="00070ADE">
        <w:rPr>
          <w:rFonts w:ascii="Times New Roman" w:hAnsi="Times New Roman"/>
          <w:color w:val="000000" w:themeColor="text1"/>
          <w:sz w:val="16"/>
          <w:szCs w:val="16"/>
        </w:rPr>
        <w:softHyphen/>
        <w:t>ние ВВС КА "имен но самолета Ил-8, как более удобного в серийном про</w:t>
      </w:r>
      <w:r w:rsidRPr="00070ADE">
        <w:rPr>
          <w:rFonts w:ascii="Times New Roman" w:hAnsi="Times New Roman"/>
          <w:color w:val="000000" w:themeColor="text1"/>
          <w:sz w:val="16"/>
          <w:szCs w:val="16"/>
        </w:rPr>
        <w:softHyphen/>
        <w:t>изводстве.</w:t>
      </w:r>
    </w:p>
    <w:p w14:paraId="6AC608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Действительно, внедрение в се</w:t>
      </w:r>
      <w:r w:rsidRPr="00070ADE">
        <w:rPr>
          <w:rFonts w:ascii="Times New Roman" w:hAnsi="Times New Roman"/>
          <w:color w:val="000000" w:themeColor="text1"/>
          <w:sz w:val="16"/>
          <w:szCs w:val="16"/>
        </w:rPr>
        <w:softHyphen/>
        <w:t>рийное производство Су-6 АМ-42 по</w:t>
      </w:r>
      <w:r w:rsidRPr="00070ADE">
        <w:rPr>
          <w:rFonts w:ascii="Times New Roman" w:hAnsi="Times New Roman"/>
          <w:color w:val="000000" w:themeColor="text1"/>
          <w:sz w:val="16"/>
          <w:szCs w:val="16"/>
        </w:rPr>
        <w:softHyphen/>
        <w:t>требовало бы перестройки сбороч</w:t>
      </w:r>
      <w:r w:rsidRPr="00070ADE">
        <w:rPr>
          <w:rFonts w:ascii="Times New Roman" w:hAnsi="Times New Roman"/>
          <w:color w:val="000000" w:themeColor="text1"/>
          <w:sz w:val="16"/>
          <w:szCs w:val="16"/>
        </w:rPr>
        <w:softHyphen/>
        <w:t>ных конвейеров, что в условиях вой</w:t>
      </w:r>
      <w:r w:rsidRPr="00070ADE">
        <w:rPr>
          <w:rFonts w:ascii="Times New Roman" w:hAnsi="Times New Roman"/>
          <w:color w:val="000000" w:themeColor="text1"/>
          <w:sz w:val="16"/>
          <w:szCs w:val="16"/>
        </w:rPr>
        <w:softHyphen/>
        <w:t>ны, несомненно, являлось определен</w:t>
      </w:r>
      <w:r w:rsidRPr="00070ADE">
        <w:rPr>
          <w:rFonts w:ascii="Times New Roman" w:hAnsi="Times New Roman"/>
          <w:color w:val="000000" w:themeColor="text1"/>
          <w:sz w:val="16"/>
          <w:szCs w:val="16"/>
        </w:rPr>
        <w:softHyphen/>
        <w:t>ным техническим риском. В тоже вре</w:t>
      </w:r>
      <w:r w:rsidRPr="00070ADE">
        <w:rPr>
          <w:rFonts w:ascii="Times New Roman" w:hAnsi="Times New Roman"/>
          <w:color w:val="000000" w:themeColor="text1"/>
          <w:sz w:val="16"/>
          <w:szCs w:val="16"/>
        </w:rPr>
        <w:softHyphen/>
        <w:t>мя самолет Ил-8 АМ-42 имел много общего с Ил-2 АМ-38ф, и в случае внедрения его в массовое производ</w:t>
      </w:r>
      <w:r w:rsidRPr="00070ADE">
        <w:rPr>
          <w:rFonts w:ascii="Times New Roman" w:hAnsi="Times New Roman"/>
          <w:color w:val="000000" w:themeColor="text1"/>
          <w:sz w:val="16"/>
          <w:szCs w:val="16"/>
        </w:rPr>
        <w:softHyphen/>
        <w:t>ство можно было использовать те же конвейеры и большую часть имею</w:t>
      </w:r>
      <w:r w:rsidRPr="00070ADE">
        <w:rPr>
          <w:rFonts w:ascii="Times New Roman" w:hAnsi="Times New Roman"/>
          <w:color w:val="000000" w:themeColor="text1"/>
          <w:sz w:val="16"/>
          <w:szCs w:val="16"/>
        </w:rPr>
        <w:softHyphen/>
        <w:t>щейся оснастки. Штурмовик Ил-10 в этом отношении уступал "восьмерке".</w:t>
      </w:r>
    </w:p>
    <w:p w14:paraId="4A3D70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документов, А. И. Шахурин, не дожидаясь реакции во</w:t>
      </w:r>
      <w:r w:rsidRPr="00070ADE">
        <w:rPr>
          <w:rFonts w:ascii="Times New Roman" w:hAnsi="Times New Roman"/>
          <w:color w:val="000000" w:themeColor="text1"/>
          <w:sz w:val="16"/>
          <w:szCs w:val="16"/>
        </w:rPr>
        <w:softHyphen/>
        <w:t>енных на свое письмо, дал указание о срочном развертывании серийно</w:t>
      </w:r>
      <w:r w:rsidRPr="00070ADE">
        <w:rPr>
          <w:rFonts w:ascii="Times New Roman" w:hAnsi="Times New Roman"/>
          <w:color w:val="000000" w:themeColor="text1"/>
          <w:sz w:val="16"/>
          <w:szCs w:val="16"/>
        </w:rPr>
        <w:softHyphen/>
        <w:t>го производства Ил-8 АМ-42 на авиазаводе № 18.</w:t>
      </w:r>
    </w:p>
    <w:p w14:paraId="321475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Остается неизвестным, согласо</w:t>
      </w:r>
      <w:r w:rsidRPr="00070ADE">
        <w:rPr>
          <w:rFonts w:ascii="Times New Roman" w:hAnsi="Times New Roman"/>
          <w:color w:val="000000" w:themeColor="text1"/>
          <w:sz w:val="16"/>
          <w:szCs w:val="16"/>
        </w:rPr>
        <w:softHyphen/>
        <w:t>вывалось ли это решение предвари</w:t>
      </w:r>
      <w:r w:rsidRPr="00070ADE">
        <w:rPr>
          <w:rFonts w:ascii="Times New Roman" w:hAnsi="Times New Roman"/>
          <w:color w:val="000000" w:themeColor="text1"/>
          <w:sz w:val="16"/>
          <w:szCs w:val="16"/>
        </w:rPr>
        <w:softHyphen/>
        <w:t>тельно с ГОКО или нет. Скорее все</w:t>
      </w:r>
      <w:r w:rsidRPr="00070ADE">
        <w:rPr>
          <w:rFonts w:ascii="Times New Roman" w:hAnsi="Times New Roman"/>
          <w:color w:val="000000" w:themeColor="text1"/>
          <w:sz w:val="16"/>
          <w:szCs w:val="16"/>
        </w:rPr>
        <w:softHyphen/>
        <w:t>го, в той или иной мере этот вопрос все же обсуждался. Однако докумен</w:t>
      </w:r>
      <w:r w:rsidRPr="00070ADE">
        <w:rPr>
          <w:rFonts w:ascii="Times New Roman" w:hAnsi="Times New Roman"/>
          <w:color w:val="000000" w:themeColor="text1"/>
          <w:sz w:val="16"/>
          <w:szCs w:val="16"/>
        </w:rPr>
        <w:softHyphen/>
        <w:t>тального подтверждения обращения НКАП к руководству страны с предложением разрешить серийный вы</w:t>
      </w:r>
      <w:r w:rsidRPr="00070ADE">
        <w:rPr>
          <w:rFonts w:ascii="Times New Roman" w:hAnsi="Times New Roman"/>
          <w:color w:val="000000" w:themeColor="text1"/>
          <w:sz w:val="16"/>
          <w:szCs w:val="16"/>
        </w:rPr>
        <w:softHyphen/>
        <w:t>пуск самолета Ил-8 и получение по</w:t>
      </w:r>
      <w:r w:rsidRPr="00070ADE">
        <w:rPr>
          <w:rFonts w:ascii="Times New Roman" w:hAnsi="Times New Roman"/>
          <w:color w:val="000000" w:themeColor="text1"/>
          <w:sz w:val="16"/>
          <w:szCs w:val="16"/>
        </w:rPr>
        <w:softHyphen/>
        <w:t>ложительного или отрицательного ответа по нему пока не найдено (11428).</w:t>
      </w:r>
    </w:p>
    <w:p w14:paraId="55E779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C257D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апреля 1944 г. начальник ГУЗ ВВС генерал-лейтенант Селезнев обратился к Шахурину с письмом следующего содержания: "Опыт боевой эксплуатации самолетов Ил-2 в частях ВВС КА показал, что наличие в его конструкции деревянного фюзеляжа зачастую приводит к длительному простаиванию материальной части на аэродромах без действия из-за появления дефектов присущих деревянным агрегатам. Приведение самолетов в боевую готовность требует больших материальных затрат, квалифицированной рабочей силы и времени со стороны серийных заводов; ремонт по дереву в полевых условиях является чрезвычайно сложным и не всегда может быть выполнен качественно. В связи с этим, считаю целесообразным просить Вас о выпуске самолетов Ил-2 цельнометаллической конструкции".</w:t>
      </w:r>
    </w:p>
    <w:p w14:paraId="3541F6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Казалось бы, НКАП должен был мгновенно согласиться на это предложение. Однако руководству наркомата потребовался целый месяц для подготовки ответа (12020).</w:t>
      </w:r>
    </w:p>
    <w:p w14:paraId="3E95DF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80D179D" w14:textId="77777777" w:rsidR="00315AAD" w:rsidRPr="00070ADE" w:rsidRDefault="00315AA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апреля 1944 г. начальник Глав</w:t>
      </w:r>
      <w:r w:rsidRPr="00070ADE">
        <w:rPr>
          <w:rFonts w:ascii="Times New Roman" w:hAnsi="Times New Roman"/>
          <w:color w:val="000000" w:themeColor="text1"/>
          <w:sz w:val="16"/>
          <w:szCs w:val="16"/>
        </w:rPr>
        <w:softHyphen/>
        <w:t>ного управления заказов ВВС генерал- лейтенант Н.П. Селезнев в письме на</w:t>
      </w:r>
      <w:r w:rsidRPr="00070ADE">
        <w:rPr>
          <w:rFonts w:ascii="Times New Roman" w:hAnsi="Times New Roman"/>
          <w:color w:val="000000" w:themeColor="text1"/>
          <w:sz w:val="16"/>
          <w:szCs w:val="16"/>
        </w:rPr>
        <w:softHyphen/>
        <w:t>ркому авиапромышленности Шахурину указывал: «</w:t>
      </w:r>
      <w:r w:rsidRPr="00070ADE">
        <w:rPr>
          <w:rStyle w:val="122"/>
          <w:rFonts w:ascii="Times New Roman" w:hAnsi="Times New Roman" w:cs="Times New Roman"/>
          <w:b w:val="0"/>
          <w:bCs w:val="0"/>
          <w:color w:val="000000" w:themeColor="text1"/>
          <w:sz w:val="16"/>
          <w:szCs w:val="16"/>
        </w:rPr>
        <w:t>Опыт боевой эксплуатации самолетов Ил-2 в частях ВВС КА показал, что наличие в его конструкции деревян</w:t>
      </w:r>
      <w:r w:rsidRPr="00070ADE">
        <w:rPr>
          <w:rStyle w:val="122"/>
          <w:rFonts w:ascii="Times New Roman" w:hAnsi="Times New Roman" w:cs="Times New Roman"/>
          <w:b w:val="0"/>
          <w:bCs w:val="0"/>
          <w:color w:val="000000" w:themeColor="text1"/>
          <w:sz w:val="16"/>
          <w:szCs w:val="16"/>
        </w:rPr>
        <w:softHyphen/>
        <w:t>ного фюзеляжа зачастую приводит к дли</w:t>
      </w:r>
      <w:r w:rsidRPr="00070ADE">
        <w:rPr>
          <w:rStyle w:val="122"/>
          <w:rFonts w:ascii="Times New Roman" w:hAnsi="Times New Roman" w:cs="Times New Roman"/>
          <w:b w:val="0"/>
          <w:bCs w:val="0"/>
          <w:color w:val="000000" w:themeColor="text1"/>
          <w:sz w:val="16"/>
          <w:szCs w:val="16"/>
        </w:rPr>
        <w:softHyphen/>
        <w:t>тельному простаиванию материальной части на аэродромах без действия из-за появления дефектов присущих деревян</w:t>
      </w:r>
      <w:r w:rsidRPr="00070ADE">
        <w:rPr>
          <w:rStyle w:val="122"/>
          <w:rFonts w:ascii="Times New Roman" w:hAnsi="Times New Roman" w:cs="Times New Roman"/>
          <w:b w:val="0"/>
          <w:bCs w:val="0"/>
          <w:color w:val="000000" w:themeColor="text1"/>
          <w:sz w:val="16"/>
          <w:szCs w:val="16"/>
        </w:rPr>
        <w:softHyphen/>
        <w:t>ным агрегатам. Приведение самолетов в боевую готовность требует больших ма</w:t>
      </w:r>
      <w:r w:rsidRPr="00070ADE">
        <w:rPr>
          <w:rStyle w:val="122"/>
          <w:rFonts w:ascii="Times New Roman" w:hAnsi="Times New Roman" w:cs="Times New Roman"/>
          <w:b w:val="0"/>
          <w:bCs w:val="0"/>
          <w:color w:val="000000" w:themeColor="text1"/>
          <w:sz w:val="16"/>
          <w:szCs w:val="16"/>
        </w:rPr>
        <w:softHyphen/>
        <w:t>териальных затрат, квалифицированной рабочей силы и времени со стороны се</w:t>
      </w:r>
      <w:r w:rsidRPr="00070ADE">
        <w:rPr>
          <w:rStyle w:val="122"/>
          <w:rFonts w:ascii="Times New Roman" w:hAnsi="Times New Roman" w:cs="Times New Roman"/>
          <w:b w:val="0"/>
          <w:bCs w:val="0"/>
          <w:color w:val="000000" w:themeColor="text1"/>
          <w:sz w:val="16"/>
          <w:szCs w:val="16"/>
        </w:rPr>
        <w:softHyphen/>
        <w:t>рийных заводов; ремонт по дереву в поле</w:t>
      </w:r>
      <w:r w:rsidRPr="00070ADE">
        <w:rPr>
          <w:rStyle w:val="122"/>
          <w:rFonts w:ascii="Times New Roman" w:hAnsi="Times New Roman" w:cs="Times New Roman"/>
          <w:b w:val="0"/>
          <w:bCs w:val="0"/>
          <w:color w:val="000000" w:themeColor="text1"/>
          <w:sz w:val="16"/>
          <w:szCs w:val="16"/>
        </w:rPr>
        <w:softHyphen/>
        <w:t>вых условиях является чрезвычайно слож</w:t>
      </w:r>
      <w:r w:rsidRPr="00070ADE">
        <w:rPr>
          <w:rStyle w:val="122"/>
          <w:rFonts w:ascii="Times New Roman" w:hAnsi="Times New Roman" w:cs="Times New Roman"/>
          <w:b w:val="0"/>
          <w:bCs w:val="0"/>
          <w:color w:val="000000" w:themeColor="text1"/>
          <w:sz w:val="16"/>
          <w:szCs w:val="16"/>
        </w:rPr>
        <w:softHyphen/>
        <w:t>ным и не всегда может быть выполнен качественно. В связи с этим, считаю це</w:t>
      </w:r>
      <w:r w:rsidRPr="00070ADE">
        <w:rPr>
          <w:rStyle w:val="122"/>
          <w:rFonts w:ascii="Times New Roman" w:hAnsi="Times New Roman" w:cs="Times New Roman"/>
          <w:b w:val="0"/>
          <w:bCs w:val="0"/>
          <w:color w:val="000000" w:themeColor="text1"/>
          <w:sz w:val="16"/>
          <w:szCs w:val="16"/>
        </w:rPr>
        <w:softHyphen/>
        <w:t>лесообразным просить Вас о выпуске са</w:t>
      </w:r>
      <w:r w:rsidRPr="00070ADE">
        <w:rPr>
          <w:rStyle w:val="122"/>
          <w:rFonts w:ascii="Times New Roman" w:hAnsi="Times New Roman" w:cs="Times New Roman"/>
          <w:b w:val="0"/>
          <w:bCs w:val="0"/>
          <w:color w:val="000000" w:themeColor="text1"/>
          <w:sz w:val="16"/>
          <w:szCs w:val="16"/>
        </w:rPr>
        <w:softHyphen/>
        <w:t>молетов Ил-2 цельнометаллической кон</w:t>
      </w:r>
      <w:r w:rsidRPr="00070ADE">
        <w:rPr>
          <w:rStyle w:val="122"/>
          <w:rFonts w:ascii="Times New Roman" w:hAnsi="Times New Roman" w:cs="Times New Roman"/>
          <w:b w:val="0"/>
          <w:bCs w:val="0"/>
          <w:color w:val="000000" w:themeColor="text1"/>
          <w:sz w:val="16"/>
          <w:szCs w:val="16"/>
        </w:rPr>
        <w:softHyphen/>
        <w:t>струкции».</w:t>
      </w:r>
    </w:p>
    <w:p w14:paraId="494F986F" w14:textId="77777777" w:rsidR="00315AAD" w:rsidRPr="00070ADE" w:rsidRDefault="00315AA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Казалось бы, НКАП должен был согла</w:t>
      </w:r>
      <w:r w:rsidRPr="00070ADE">
        <w:rPr>
          <w:rFonts w:ascii="Times New Roman" w:hAnsi="Times New Roman"/>
          <w:color w:val="000000" w:themeColor="text1"/>
          <w:sz w:val="16"/>
          <w:szCs w:val="16"/>
        </w:rPr>
        <w:softHyphen/>
        <w:t>ситься на это предложение. Однако на</w:t>
      </w:r>
      <w:r w:rsidRPr="00070ADE">
        <w:rPr>
          <w:rFonts w:ascii="Times New Roman" w:hAnsi="Times New Roman"/>
          <w:color w:val="000000" w:themeColor="text1"/>
          <w:sz w:val="16"/>
          <w:szCs w:val="16"/>
        </w:rPr>
        <w:softHyphen/>
        <w:t>ркомат взял «паузу» на целый месяц.</w:t>
      </w:r>
    </w:p>
    <w:p w14:paraId="0D97AF39" w14:textId="77777777" w:rsidR="00315AAD" w:rsidRPr="00070ADE" w:rsidRDefault="00315AAD" w:rsidP="00B56F90">
      <w:pPr>
        <w:spacing w:after="0" w:line="240" w:lineRule="auto"/>
        <w:jc w:val="both"/>
        <w:rPr>
          <w:rFonts w:ascii="Times New Roman" w:hAnsi="Times New Roman"/>
          <w:color w:val="000000" w:themeColor="text1"/>
          <w:sz w:val="16"/>
          <w:szCs w:val="16"/>
        </w:rPr>
      </w:pPr>
      <w:r w:rsidRPr="00070ADE">
        <w:rPr>
          <w:rStyle w:val="128pt100"/>
          <w:rFonts w:ascii="Times New Roman" w:hAnsi="Times New Roman" w:cs="Times New Roman"/>
          <w:i w:val="0"/>
          <w:iCs w:val="0"/>
          <w:color w:val="000000" w:themeColor="text1"/>
        </w:rPr>
        <w:t>Только 14 мая из Наркомата авиапро</w:t>
      </w:r>
      <w:r w:rsidRPr="00070ADE">
        <w:rPr>
          <w:rStyle w:val="128pt100"/>
          <w:rFonts w:ascii="Times New Roman" w:hAnsi="Times New Roman" w:cs="Times New Roman"/>
          <w:i w:val="0"/>
          <w:iCs w:val="0"/>
          <w:color w:val="000000" w:themeColor="text1"/>
        </w:rPr>
        <w:softHyphen/>
        <w:t>мышленности на имя Селезнева за под</w:t>
      </w:r>
      <w:r w:rsidRPr="00070ADE">
        <w:rPr>
          <w:rStyle w:val="128pt100"/>
          <w:rFonts w:ascii="Times New Roman" w:hAnsi="Times New Roman" w:cs="Times New Roman"/>
          <w:i w:val="0"/>
          <w:iCs w:val="0"/>
          <w:color w:val="000000" w:themeColor="text1"/>
        </w:rPr>
        <w:softHyphen/>
        <w:t>писью Шахурина ушло письмо. В нем на</w:t>
      </w:r>
      <w:r w:rsidRPr="00070ADE">
        <w:rPr>
          <w:rStyle w:val="128pt100"/>
          <w:rFonts w:ascii="Times New Roman" w:hAnsi="Times New Roman" w:cs="Times New Roman"/>
          <w:i w:val="0"/>
          <w:iCs w:val="0"/>
          <w:color w:val="000000" w:themeColor="text1"/>
        </w:rPr>
        <w:softHyphen/>
        <w:t>рком сообщал, что:</w:t>
      </w:r>
      <w:r w:rsidRPr="00070ADE">
        <w:rPr>
          <w:rFonts w:ascii="Times New Roman" w:hAnsi="Times New Roman"/>
          <w:color w:val="000000" w:themeColor="text1"/>
          <w:sz w:val="16"/>
          <w:szCs w:val="16"/>
        </w:rPr>
        <w:t xml:space="preserve"> «НКАП имеет в виду перевести производство завода №18 на выпуск цельнометаллических самолетов Ил-8 АМ-42 в 1944 г., а заводы №№1 и 30 в первом полугодии 1945 года. Исходя из этого, Наркомавиапром не считает це</w:t>
      </w:r>
      <w:r w:rsidRPr="00070ADE">
        <w:rPr>
          <w:rFonts w:ascii="Times New Roman" w:hAnsi="Times New Roman"/>
          <w:color w:val="000000" w:themeColor="text1"/>
          <w:sz w:val="16"/>
          <w:szCs w:val="16"/>
        </w:rPr>
        <w:softHyphen/>
        <w:t>лесообразным переводить заводы №№1 и 30 на выпуск самолетов Ил-2 с метал</w:t>
      </w:r>
      <w:r w:rsidRPr="00070ADE">
        <w:rPr>
          <w:rFonts w:ascii="Times New Roman" w:hAnsi="Times New Roman"/>
          <w:color w:val="000000" w:themeColor="text1"/>
          <w:sz w:val="16"/>
          <w:szCs w:val="16"/>
        </w:rPr>
        <w:softHyphen/>
        <w:t>лической хвостовой частью фюзеляжей, в то время, когда цеха подготовки заво</w:t>
      </w:r>
      <w:r w:rsidRPr="00070ADE">
        <w:rPr>
          <w:rFonts w:ascii="Times New Roman" w:hAnsi="Times New Roman"/>
          <w:color w:val="000000" w:themeColor="text1"/>
          <w:sz w:val="16"/>
          <w:szCs w:val="16"/>
        </w:rPr>
        <w:softHyphen/>
        <w:t>дов должны быть заняты изготовлением оснастки для производства цельнометал</w:t>
      </w:r>
      <w:r w:rsidRPr="00070ADE">
        <w:rPr>
          <w:rFonts w:ascii="Times New Roman" w:hAnsi="Times New Roman"/>
          <w:color w:val="000000" w:themeColor="text1"/>
          <w:sz w:val="16"/>
          <w:szCs w:val="16"/>
        </w:rPr>
        <w:softHyphen/>
        <w:t>лических самолетов Ил-8».</w:t>
      </w:r>
    </w:p>
    <w:p w14:paraId="0F29C978" w14:textId="77777777" w:rsidR="00315AAD" w:rsidRPr="00070ADE" w:rsidRDefault="00315AA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Обращает внимание, что письмо поя</w:t>
      </w:r>
      <w:r w:rsidRPr="00070ADE">
        <w:rPr>
          <w:rFonts w:ascii="Times New Roman" w:hAnsi="Times New Roman"/>
          <w:color w:val="000000" w:themeColor="text1"/>
          <w:sz w:val="16"/>
          <w:szCs w:val="16"/>
        </w:rPr>
        <w:softHyphen/>
        <w:t>вилось именно в тот момент, когда было принято решение о приостановке поле</w:t>
      </w:r>
      <w:r w:rsidRPr="00070ADE">
        <w:rPr>
          <w:rFonts w:ascii="Times New Roman" w:hAnsi="Times New Roman"/>
          <w:color w:val="000000" w:themeColor="text1"/>
          <w:sz w:val="16"/>
          <w:szCs w:val="16"/>
        </w:rPr>
        <w:softHyphen/>
        <w:t>тов на Су-6 АМ-42, а в ГК НИИ ВВС 13 мая на государственные испытания поступил опытный штурмовик Ил-10 АМ-42. В то же время вопрос о принятии Ил-8 на воору</w:t>
      </w:r>
      <w:r w:rsidRPr="00070ADE">
        <w:rPr>
          <w:rFonts w:ascii="Times New Roman" w:hAnsi="Times New Roman"/>
          <w:color w:val="000000" w:themeColor="text1"/>
          <w:sz w:val="16"/>
          <w:szCs w:val="16"/>
        </w:rPr>
        <w:softHyphen/>
        <w:t>жение еще только обсуждался. Явно про</w:t>
      </w:r>
      <w:r w:rsidRPr="00070ADE">
        <w:rPr>
          <w:rFonts w:ascii="Times New Roman" w:hAnsi="Times New Roman"/>
          <w:color w:val="000000" w:themeColor="text1"/>
          <w:sz w:val="16"/>
          <w:szCs w:val="16"/>
        </w:rPr>
        <w:softHyphen/>
        <w:t>слеживается желание наркомата поста</w:t>
      </w:r>
      <w:r w:rsidRPr="00070ADE">
        <w:rPr>
          <w:rFonts w:ascii="Times New Roman" w:hAnsi="Times New Roman"/>
          <w:color w:val="000000" w:themeColor="text1"/>
          <w:sz w:val="16"/>
          <w:szCs w:val="16"/>
        </w:rPr>
        <w:softHyphen/>
        <w:t>вить</w:t>
      </w:r>
      <w:r w:rsidRPr="00070ADE">
        <w:rPr>
          <w:rStyle w:val="9pt80"/>
          <w:rFonts w:ascii="Times New Roman" w:hAnsi="Times New Roman" w:cs="Times New Roman"/>
          <w:i w:val="0"/>
          <w:iCs w:val="0"/>
          <w:color w:val="000000" w:themeColor="text1"/>
          <w:w w:val="100"/>
          <w:sz w:val="16"/>
          <w:szCs w:val="16"/>
        </w:rPr>
        <w:t xml:space="preserve"> «на снабжение ВВСКА»</w:t>
      </w:r>
      <w:r w:rsidRPr="00070ADE">
        <w:rPr>
          <w:rFonts w:ascii="Times New Roman" w:hAnsi="Times New Roman"/>
          <w:color w:val="000000" w:themeColor="text1"/>
          <w:sz w:val="16"/>
          <w:szCs w:val="16"/>
        </w:rPr>
        <w:t xml:space="preserve"> именно самолет Ил-8, как более удобный для массо</w:t>
      </w:r>
      <w:r w:rsidRPr="00070ADE">
        <w:rPr>
          <w:rFonts w:ascii="Times New Roman" w:hAnsi="Times New Roman"/>
          <w:color w:val="000000" w:themeColor="text1"/>
          <w:sz w:val="16"/>
          <w:szCs w:val="16"/>
        </w:rPr>
        <w:softHyphen/>
        <w:t>вого производства.</w:t>
      </w:r>
    </w:p>
    <w:p w14:paraId="5122B711" w14:textId="77777777" w:rsidR="00315AAD" w:rsidRPr="00070ADE" w:rsidRDefault="00315AA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Несомненно, внедрение в серию Су-6 АМ-42 потребовало бы перестройки сбо</w:t>
      </w:r>
      <w:r w:rsidRPr="00070ADE">
        <w:rPr>
          <w:rFonts w:ascii="Times New Roman" w:hAnsi="Times New Roman"/>
          <w:color w:val="000000" w:themeColor="text1"/>
          <w:sz w:val="16"/>
          <w:szCs w:val="16"/>
        </w:rPr>
        <w:softHyphen/>
        <w:t>рочных конвейеров и изготовления но</w:t>
      </w:r>
      <w:r w:rsidRPr="00070ADE">
        <w:rPr>
          <w:rFonts w:ascii="Times New Roman" w:hAnsi="Times New Roman"/>
          <w:color w:val="000000" w:themeColor="text1"/>
          <w:sz w:val="16"/>
          <w:szCs w:val="16"/>
        </w:rPr>
        <w:softHyphen/>
        <w:t>вой оснастки и инструмента, что в усло</w:t>
      </w:r>
      <w:r w:rsidRPr="00070ADE">
        <w:rPr>
          <w:rFonts w:ascii="Times New Roman" w:hAnsi="Times New Roman"/>
          <w:color w:val="000000" w:themeColor="text1"/>
          <w:sz w:val="16"/>
          <w:szCs w:val="16"/>
        </w:rPr>
        <w:softHyphen/>
        <w:t>виях войны, несомненно, являлось опре</w:t>
      </w:r>
      <w:r w:rsidRPr="00070ADE">
        <w:rPr>
          <w:rFonts w:ascii="Times New Roman" w:hAnsi="Times New Roman"/>
          <w:color w:val="000000" w:themeColor="text1"/>
          <w:sz w:val="16"/>
          <w:szCs w:val="16"/>
        </w:rPr>
        <w:softHyphen/>
        <w:t>деленным техническим риском. В то же время Ил-8 АМ-42 имел много общего с Ил-2 АМ-38ф, и в случае организации его серийного выпуска можно было ис</w:t>
      </w:r>
      <w:r w:rsidRPr="00070ADE">
        <w:rPr>
          <w:rFonts w:ascii="Times New Roman" w:hAnsi="Times New Roman"/>
          <w:color w:val="000000" w:themeColor="text1"/>
          <w:sz w:val="16"/>
          <w:szCs w:val="16"/>
        </w:rPr>
        <w:softHyphen/>
        <w:t>пользовать те же конвейеры и большую часть имеющейся оснастки</w:t>
      </w:r>
      <w:r w:rsidRPr="00070ADE">
        <w:rPr>
          <w:rStyle w:val="9pt80"/>
          <w:rFonts w:ascii="Times New Roman" w:hAnsi="Times New Roman" w:cs="Times New Roman"/>
          <w:i w:val="0"/>
          <w:iCs w:val="0"/>
          <w:color w:val="000000" w:themeColor="text1"/>
          <w:w w:val="100"/>
          <w:sz w:val="16"/>
          <w:szCs w:val="16"/>
        </w:rPr>
        <w:t xml:space="preserve"> («50% дета</w:t>
      </w:r>
      <w:r w:rsidRPr="00070ADE">
        <w:rPr>
          <w:rStyle w:val="9pt80"/>
          <w:rFonts w:ascii="Times New Roman" w:hAnsi="Times New Roman" w:cs="Times New Roman"/>
          <w:i w:val="0"/>
          <w:iCs w:val="0"/>
          <w:color w:val="000000" w:themeColor="text1"/>
          <w:w w:val="100"/>
          <w:sz w:val="16"/>
          <w:szCs w:val="16"/>
        </w:rPr>
        <w:softHyphen/>
        <w:t>лей и оснастки остается без изменений, а из 50% оснастки, которая подлежит пе</w:t>
      </w:r>
      <w:r w:rsidRPr="00070ADE">
        <w:rPr>
          <w:rStyle w:val="9pt80"/>
          <w:rFonts w:ascii="Times New Roman" w:hAnsi="Times New Roman" w:cs="Times New Roman"/>
          <w:i w:val="0"/>
          <w:iCs w:val="0"/>
          <w:color w:val="000000" w:themeColor="text1"/>
          <w:w w:val="100"/>
          <w:sz w:val="16"/>
          <w:szCs w:val="16"/>
        </w:rPr>
        <w:softHyphen/>
        <w:t>ределке, 25% подвергается только обра</w:t>
      </w:r>
      <w:r w:rsidRPr="00070ADE">
        <w:rPr>
          <w:rStyle w:val="9pt80"/>
          <w:rFonts w:ascii="Times New Roman" w:hAnsi="Times New Roman" w:cs="Times New Roman"/>
          <w:i w:val="0"/>
          <w:iCs w:val="0"/>
          <w:color w:val="000000" w:themeColor="text1"/>
          <w:w w:val="100"/>
          <w:sz w:val="16"/>
          <w:szCs w:val="16"/>
        </w:rPr>
        <w:softHyphen/>
        <w:t>ботке»),</w:t>
      </w:r>
      <w:r w:rsidRPr="00070ADE">
        <w:rPr>
          <w:rFonts w:ascii="Times New Roman" w:hAnsi="Times New Roman"/>
          <w:color w:val="000000" w:themeColor="text1"/>
          <w:sz w:val="16"/>
          <w:szCs w:val="16"/>
        </w:rPr>
        <w:t xml:space="preserve"> Штурмовик Ил-10 в этом отно</w:t>
      </w:r>
      <w:r w:rsidRPr="00070ADE">
        <w:rPr>
          <w:rFonts w:ascii="Times New Roman" w:hAnsi="Times New Roman"/>
          <w:color w:val="000000" w:themeColor="text1"/>
          <w:sz w:val="16"/>
          <w:szCs w:val="16"/>
        </w:rPr>
        <w:softHyphen/>
        <w:t>шении заметно уступал «восьмерке», что впоследствии стало для НКАП</w:t>
      </w:r>
      <w:r w:rsidRPr="00070ADE">
        <w:rPr>
          <w:rStyle w:val="9pt80"/>
          <w:rFonts w:ascii="Times New Roman" w:hAnsi="Times New Roman" w:cs="Times New Roman"/>
          <w:i w:val="0"/>
          <w:iCs w:val="0"/>
          <w:color w:val="000000" w:themeColor="text1"/>
          <w:w w:val="100"/>
          <w:sz w:val="16"/>
          <w:szCs w:val="16"/>
        </w:rPr>
        <w:t xml:space="preserve"> «неожидан</w:t>
      </w:r>
      <w:r w:rsidRPr="00070ADE">
        <w:rPr>
          <w:rStyle w:val="9pt80"/>
          <w:rFonts w:ascii="Times New Roman" w:hAnsi="Times New Roman" w:cs="Times New Roman"/>
          <w:i w:val="0"/>
          <w:iCs w:val="0"/>
          <w:color w:val="000000" w:themeColor="text1"/>
          <w:w w:val="100"/>
          <w:sz w:val="16"/>
          <w:szCs w:val="16"/>
        </w:rPr>
        <w:softHyphen/>
        <w:t>ным открытием».</w:t>
      </w:r>
    </w:p>
    <w:p w14:paraId="3BD5E30A" w14:textId="77777777" w:rsidR="00315AAD" w:rsidRPr="00070ADE" w:rsidRDefault="00315AA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документов, Ша</w:t>
      </w:r>
      <w:r w:rsidRPr="00070ADE">
        <w:rPr>
          <w:rFonts w:ascii="Times New Roman" w:hAnsi="Times New Roman"/>
          <w:color w:val="000000" w:themeColor="text1"/>
          <w:sz w:val="16"/>
          <w:szCs w:val="16"/>
          <w:lang w:val="en-US"/>
        </w:rPr>
        <w:t>xy</w:t>
      </w:r>
      <w:r w:rsidRPr="00070ADE">
        <w:rPr>
          <w:rFonts w:ascii="Times New Roman" w:hAnsi="Times New Roman"/>
          <w:color w:val="000000" w:themeColor="text1"/>
          <w:sz w:val="16"/>
          <w:szCs w:val="16"/>
        </w:rPr>
        <w:t>рин, не дожидаясь окончательного ре</w:t>
      </w:r>
      <w:r w:rsidRPr="00070ADE">
        <w:rPr>
          <w:rFonts w:ascii="Times New Roman" w:hAnsi="Times New Roman"/>
          <w:color w:val="000000" w:themeColor="text1"/>
          <w:sz w:val="16"/>
          <w:szCs w:val="16"/>
        </w:rPr>
        <w:softHyphen/>
        <w:t>шения военных, дал указание о срочном развертывании серийного производства Ил-8 АМ-42 на авиазаводе №18. Тем бо</w:t>
      </w:r>
      <w:r w:rsidRPr="00070ADE">
        <w:rPr>
          <w:rFonts w:ascii="Times New Roman" w:hAnsi="Times New Roman"/>
          <w:color w:val="000000" w:themeColor="text1"/>
          <w:sz w:val="16"/>
          <w:szCs w:val="16"/>
        </w:rPr>
        <w:softHyphen/>
        <w:t>лее что в наркомате имелось письмо главного инженера ВВС КА генерал-полковника Репина.</w:t>
      </w:r>
    </w:p>
    <w:p w14:paraId="1773C4A3" w14:textId="77777777" w:rsidR="00315AAD" w:rsidRPr="00070ADE" w:rsidRDefault="00315AA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Остается неизвестным, согласовыва</w:t>
      </w:r>
      <w:r w:rsidRPr="00070ADE">
        <w:rPr>
          <w:rFonts w:ascii="Times New Roman" w:hAnsi="Times New Roman"/>
          <w:color w:val="000000" w:themeColor="text1"/>
          <w:sz w:val="16"/>
          <w:szCs w:val="16"/>
        </w:rPr>
        <w:softHyphen/>
        <w:t>лось ли это решение предварительно с ГКО или нет. Скорее всего, в той или иной мере этот вопрос все же обсуждался. Од</w:t>
      </w:r>
      <w:r w:rsidRPr="00070ADE">
        <w:rPr>
          <w:rFonts w:ascii="Times New Roman" w:hAnsi="Times New Roman"/>
          <w:color w:val="000000" w:themeColor="text1"/>
          <w:sz w:val="16"/>
          <w:szCs w:val="16"/>
        </w:rPr>
        <w:softHyphen/>
        <w:t>нако документального подтверждения обращения .НКАП к руководству страны с предложением разрешить серийный вы</w:t>
      </w:r>
      <w:r w:rsidRPr="00070ADE">
        <w:rPr>
          <w:rFonts w:ascii="Times New Roman" w:hAnsi="Times New Roman"/>
          <w:color w:val="000000" w:themeColor="text1"/>
          <w:sz w:val="16"/>
          <w:szCs w:val="16"/>
        </w:rPr>
        <w:softHyphen/>
        <w:t>пуск самолета Ил-8 и получение положи</w:t>
      </w:r>
      <w:r w:rsidRPr="00070ADE">
        <w:rPr>
          <w:rFonts w:ascii="Times New Roman" w:hAnsi="Times New Roman"/>
          <w:color w:val="000000" w:themeColor="text1"/>
          <w:sz w:val="16"/>
          <w:szCs w:val="16"/>
        </w:rPr>
        <w:softHyphen/>
        <w:t>тельного или отрицательного ответа по нему пока не найдено (19853).</w:t>
      </w:r>
    </w:p>
    <w:p w14:paraId="4F4B5810" w14:textId="77777777" w:rsidR="00315AAD" w:rsidRPr="00070ADE" w:rsidRDefault="00315AAD" w:rsidP="00B56F90">
      <w:pPr>
        <w:spacing w:after="0" w:line="240" w:lineRule="auto"/>
        <w:jc w:val="both"/>
        <w:rPr>
          <w:rFonts w:ascii="Times New Roman" w:hAnsi="Times New Roman"/>
          <w:color w:val="000000" w:themeColor="text1"/>
          <w:sz w:val="16"/>
          <w:szCs w:val="16"/>
        </w:rPr>
      </w:pPr>
    </w:p>
    <w:p w14:paraId="169ABA36" w14:textId="24E037C3" w:rsidR="00EB1E33" w:rsidRPr="00070ADE" w:rsidRDefault="00EB1E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апреля 1944 года начальник Главного управления заказов ВВС генерал-лейтенант 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Селезнев направил наркому авиапромышленности 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Шахурину письмо, в котором указывал: «Опыт боевой эксплуатации самолетов Ил-2 в частях ВВС КА показал, что наличие в его конструкции деревянного фюзеляжа зачастую приводит к длительному простаиванию материальной части на аэродромах без действия из-за появления дефектов, присущих деревянным агрегатам. Приведение самолетов в боевую готовность требует больших материальных затрат, квалифицированной рабочей силы и времени со стороны серийных заводов; ремонт по дереву в полевых условиях является чрезвычайно сложным и не всегда может быть выполнен качественно. В связи с этим считаю целесообразным просить Вас о выпуске самолетов Ил-2 цельнометаллической конструкции».</w:t>
      </w:r>
    </w:p>
    <w:p w14:paraId="48E65DD8" w14:textId="77777777" w:rsidR="00EB1E33" w:rsidRPr="00070ADE" w:rsidRDefault="00EB1E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Казалось бы, НКАП должен был согласиться на это предложение. Однако наркомат взял «паузу» на целый месяц (17490).</w:t>
      </w:r>
    </w:p>
    <w:p w14:paraId="48AAF219" w14:textId="77777777" w:rsidR="00EB1E33" w:rsidRPr="00070ADE" w:rsidRDefault="00EB1E33" w:rsidP="00B56F90">
      <w:pPr>
        <w:spacing w:after="0" w:line="240" w:lineRule="auto"/>
        <w:jc w:val="both"/>
        <w:rPr>
          <w:rFonts w:ascii="Times New Roman" w:hAnsi="Times New Roman"/>
          <w:color w:val="000000" w:themeColor="text1"/>
          <w:sz w:val="16"/>
          <w:szCs w:val="16"/>
        </w:rPr>
      </w:pPr>
    </w:p>
    <w:p w14:paraId="61167F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апреля 1944 вышел приказ НКАП N 253с:</w:t>
      </w:r>
    </w:p>
    <w:p w14:paraId="372AEF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"Проведение заводских летных испытаний самолета Ил-6 после его доводки поручить ЛИИ" (1624,29).</w:t>
      </w:r>
    </w:p>
    <w:p w14:paraId="052360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4C61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апреля 1944 Нач. НИИ ВВС г-л П.А.Лосюков подписал ТТТ на новую машину - будущий И-250 (6471, 4).</w:t>
      </w:r>
    </w:p>
    <w:p w14:paraId="423D21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19E156" w14:textId="77777777" w:rsidR="00AA41AF" w:rsidRPr="00070ADE" w:rsidRDefault="00AA41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апреля 1944 г. пришел долго</w:t>
      </w:r>
      <w:r w:rsidRPr="00070ADE">
        <w:rPr>
          <w:rFonts w:ascii="Times New Roman" w:hAnsi="Times New Roman"/>
          <w:color w:val="000000" w:themeColor="text1"/>
          <w:sz w:val="16"/>
          <w:szCs w:val="16"/>
        </w:rPr>
        <w:softHyphen/>
        <w:t>жданный приказ о старте перелета Москито в Советский Союз, но теперь испортилась погода в Шотландии. После консультации с ан</w:t>
      </w:r>
      <w:r w:rsidRPr="00070ADE">
        <w:rPr>
          <w:rFonts w:ascii="Times New Roman" w:hAnsi="Times New Roman"/>
          <w:color w:val="000000" w:themeColor="text1"/>
          <w:sz w:val="16"/>
          <w:szCs w:val="16"/>
        </w:rPr>
        <w:softHyphen/>
        <w:t>глийской метеослужбой перелет опять отменили. 16 апреля советские летчики провели еще один тренировочный полет на «своем» бомбардировщике. Ночью 19 апреля «Москито» все-таки поднялся в воздух и взял курс на Москву. Самолет прошел над Северным морем, Швецией, Балтийским морем, над оккупированны</w:t>
      </w:r>
      <w:r w:rsidRPr="00070ADE">
        <w:rPr>
          <w:rFonts w:ascii="Times New Roman" w:hAnsi="Times New Roman"/>
          <w:color w:val="000000" w:themeColor="text1"/>
          <w:sz w:val="16"/>
          <w:szCs w:val="16"/>
        </w:rPr>
        <w:softHyphen/>
        <w:t>ми немцами территориями и рано утром приземлился на подмосковном аэродроме Внуково.</w:t>
      </w:r>
    </w:p>
    <w:p w14:paraId="7CE69774" w14:textId="77777777" w:rsidR="00AA41AF" w:rsidRPr="00070ADE" w:rsidRDefault="00AA41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Внукове самолет пробыл недолго и ни разу не поднимался в воздух. С 25 апреля он уже находился в ЛИИ, где начались лет</w:t>
      </w:r>
      <w:r w:rsidRPr="00070ADE">
        <w:rPr>
          <w:rFonts w:ascii="Times New Roman" w:hAnsi="Times New Roman"/>
          <w:color w:val="000000" w:themeColor="text1"/>
          <w:sz w:val="16"/>
          <w:szCs w:val="16"/>
        </w:rPr>
        <w:softHyphen/>
        <w:t>ные испытания. Ведущим инженером на них являлся В.С. Панкратов, а пилотиро</w:t>
      </w:r>
      <w:r w:rsidRPr="00070ADE">
        <w:rPr>
          <w:rFonts w:ascii="Times New Roman" w:hAnsi="Times New Roman"/>
          <w:color w:val="000000" w:themeColor="text1"/>
          <w:sz w:val="16"/>
          <w:szCs w:val="16"/>
        </w:rPr>
        <w:softHyphen/>
        <w:t>вал бомбардировщик Н.С. Рыбко (23513).</w:t>
      </w:r>
    </w:p>
    <w:p w14:paraId="354D2D9C" w14:textId="77777777" w:rsidR="00AA41AF" w:rsidRPr="00070ADE" w:rsidRDefault="00AA41AF" w:rsidP="00B56F90">
      <w:pPr>
        <w:spacing w:after="0" w:line="240" w:lineRule="auto"/>
        <w:jc w:val="both"/>
        <w:rPr>
          <w:rFonts w:ascii="Times New Roman" w:hAnsi="Times New Roman"/>
          <w:color w:val="000000" w:themeColor="text1"/>
          <w:sz w:val="16"/>
          <w:szCs w:val="16"/>
        </w:rPr>
      </w:pPr>
    </w:p>
    <w:p w14:paraId="3E2CF99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E708A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7E06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апреля 1944 г. была подготовлена КРАТКАЯ СПРАВКА ГБТУ КА ПО ТАКТИКО-ТЕХНИЧЕСКИМ ХАРАКТЕРИСТИКАМ ТАНКОВ</w:t>
      </w:r>
    </w:p>
    <w:tbl>
      <w:tblPr>
        <w:tblW w:w="0" w:type="auto"/>
        <w:tblInd w:w="40" w:type="dxa"/>
        <w:tblLayout w:type="fixed"/>
        <w:tblCellMar>
          <w:left w:w="40" w:type="dxa"/>
          <w:right w:w="40" w:type="dxa"/>
        </w:tblCellMar>
        <w:tblLook w:val="0000" w:firstRow="0" w:lastRow="0" w:firstColumn="0" w:lastColumn="0" w:noHBand="0" w:noVBand="0"/>
      </w:tblPr>
      <w:tblGrid>
        <w:gridCol w:w="422"/>
        <w:gridCol w:w="10"/>
        <w:gridCol w:w="10"/>
        <w:gridCol w:w="3590"/>
        <w:gridCol w:w="778"/>
        <w:gridCol w:w="124"/>
        <w:gridCol w:w="644"/>
        <w:gridCol w:w="258"/>
        <w:gridCol w:w="481"/>
        <w:gridCol w:w="594"/>
        <w:gridCol w:w="184"/>
        <w:gridCol w:w="787"/>
        <w:gridCol w:w="778"/>
        <w:gridCol w:w="787"/>
        <w:gridCol w:w="19"/>
      </w:tblGrid>
      <w:tr w:rsidR="004D4663" w:rsidRPr="00070ADE" w14:paraId="7F5A4F8D" w14:textId="77777777">
        <w:trPr>
          <w:gridAfter w:val="1"/>
          <w:wAfter w:w="19" w:type="dxa"/>
          <w:trHeight w:val="278"/>
        </w:trPr>
        <w:tc>
          <w:tcPr>
            <w:tcW w:w="422" w:type="dxa"/>
            <w:tcBorders>
              <w:top w:val="single" w:sz="6" w:space="0" w:color="auto"/>
              <w:left w:val="single" w:sz="6" w:space="0" w:color="auto"/>
              <w:bottom w:val="nil"/>
              <w:right w:val="single" w:sz="6" w:space="0" w:color="auto"/>
            </w:tcBorders>
          </w:tcPr>
          <w:p w14:paraId="63BEBB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7353C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п/п</w:t>
            </w:r>
          </w:p>
          <w:p w14:paraId="4071B5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gridSpan w:val="3"/>
            <w:tcBorders>
              <w:top w:val="single" w:sz="6" w:space="0" w:color="auto"/>
              <w:left w:val="single" w:sz="6" w:space="0" w:color="auto"/>
              <w:bottom w:val="nil"/>
              <w:right w:val="single" w:sz="6" w:space="0" w:color="auto"/>
            </w:tcBorders>
          </w:tcPr>
          <w:p w14:paraId="654789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 данных</w:t>
            </w:r>
          </w:p>
          <w:p w14:paraId="0472CF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gridSpan w:val="5"/>
            <w:tcBorders>
              <w:top w:val="single" w:sz="6" w:space="0" w:color="auto"/>
              <w:left w:val="single" w:sz="6" w:space="0" w:color="auto"/>
              <w:bottom w:val="single" w:sz="6" w:space="0" w:color="auto"/>
              <w:right w:val="single" w:sz="6" w:space="0" w:color="auto"/>
            </w:tcBorders>
          </w:tcPr>
          <w:p w14:paraId="439850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Танки СССР</w:t>
            </w:r>
          </w:p>
          <w:p w14:paraId="45473D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30" w:type="dxa"/>
            <w:gridSpan w:val="5"/>
            <w:tcBorders>
              <w:top w:val="single" w:sz="6" w:space="0" w:color="auto"/>
              <w:left w:val="single" w:sz="6" w:space="0" w:color="auto"/>
              <w:bottom w:val="single" w:sz="6" w:space="0" w:color="auto"/>
              <w:right w:val="single" w:sz="6" w:space="0" w:color="auto"/>
            </w:tcBorders>
          </w:tcPr>
          <w:p w14:paraId="59163C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Танки США</w:t>
            </w:r>
          </w:p>
          <w:p w14:paraId="4526DF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60A5D2E" w14:textId="77777777">
        <w:trPr>
          <w:gridAfter w:val="1"/>
          <w:wAfter w:w="19" w:type="dxa"/>
          <w:trHeight w:val="259"/>
        </w:trPr>
        <w:tc>
          <w:tcPr>
            <w:tcW w:w="422" w:type="dxa"/>
            <w:tcBorders>
              <w:top w:val="nil"/>
              <w:left w:val="single" w:sz="6" w:space="0" w:color="auto"/>
              <w:bottom w:val="single" w:sz="6" w:space="0" w:color="auto"/>
              <w:right w:val="single" w:sz="6" w:space="0" w:color="auto"/>
            </w:tcBorders>
          </w:tcPr>
          <w:p w14:paraId="46AACA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12E7C2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610" w:type="dxa"/>
            <w:gridSpan w:val="3"/>
            <w:tcBorders>
              <w:top w:val="nil"/>
              <w:left w:val="single" w:sz="6" w:space="0" w:color="auto"/>
              <w:bottom w:val="single" w:sz="6" w:space="0" w:color="auto"/>
              <w:right w:val="single" w:sz="6" w:space="0" w:color="auto"/>
            </w:tcBorders>
          </w:tcPr>
          <w:p w14:paraId="0F5DE9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0D539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F0288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w:t>
            </w:r>
          </w:p>
          <w:p w14:paraId="0F4B87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5F9805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ИС-2</w:t>
            </w:r>
          </w:p>
          <w:p w14:paraId="66202D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7B7E50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37D6D5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47D87C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М-6</w:t>
            </w:r>
          </w:p>
          <w:p w14:paraId="57253B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4A718A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М4А2</w:t>
            </w:r>
          </w:p>
          <w:p w14:paraId="00CC6D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3D852D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М-7</w:t>
            </w:r>
          </w:p>
          <w:p w14:paraId="393896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4AE1A0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М5А1</w:t>
            </w:r>
          </w:p>
          <w:p w14:paraId="4CC614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B440450" w14:textId="77777777">
        <w:trPr>
          <w:gridAfter w:val="1"/>
          <w:wAfter w:w="19" w:type="dxa"/>
          <w:trHeight w:val="230"/>
        </w:trPr>
        <w:tc>
          <w:tcPr>
            <w:tcW w:w="422" w:type="dxa"/>
            <w:tcBorders>
              <w:top w:val="single" w:sz="6" w:space="0" w:color="auto"/>
              <w:left w:val="single" w:sz="6" w:space="0" w:color="auto"/>
              <w:bottom w:val="single" w:sz="6" w:space="0" w:color="auto"/>
              <w:right w:val="single" w:sz="6" w:space="0" w:color="auto"/>
            </w:tcBorders>
          </w:tcPr>
          <w:p w14:paraId="36A5A7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0C2206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1057F0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танка в тоннах</w:t>
            </w:r>
          </w:p>
          <w:p w14:paraId="18B4C0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694B74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w:t>
            </w:r>
          </w:p>
          <w:p w14:paraId="0EC060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053B97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w:t>
            </w:r>
          </w:p>
          <w:p w14:paraId="5A2D43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1592F9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30-31,4</w:t>
            </w:r>
          </w:p>
          <w:p w14:paraId="426DB0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052A3B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w:t>
            </w:r>
          </w:p>
          <w:p w14:paraId="403228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F3B53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30,9</w:t>
            </w:r>
          </w:p>
          <w:p w14:paraId="020FC3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31D1B0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547153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AA8A5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w:t>
            </w:r>
          </w:p>
          <w:p w14:paraId="52CF06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1650F46" w14:textId="77777777">
        <w:trPr>
          <w:gridAfter w:val="1"/>
          <w:wAfter w:w="19" w:type="dxa"/>
          <w:trHeight w:val="230"/>
        </w:trPr>
        <w:tc>
          <w:tcPr>
            <w:tcW w:w="422" w:type="dxa"/>
            <w:tcBorders>
              <w:top w:val="single" w:sz="6" w:space="0" w:color="auto"/>
              <w:left w:val="single" w:sz="6" w:space="0" w:color="auto"/>
              <w:bottom w:val="single" w:sz="6" w:space="0" w:color="auto"/>
              <w:right w:val="single" w:sz="6" w:space="0" w:color="auto"/>
            </w:tcBorders>
          </w:tcPr>
          <w:p w14:paraId="2B6673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145ECC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13C850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Мощность мотора в л. с.</w:t>
            </w:r>
          </w:p>
          <w:p w14:paraId="06BD21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0AB53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520</w:t>
            </w:r>
          </w:p>
          <w:p w14:paraId="679C63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75B11E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520</w:t>
            </w:r>
          </w:p>
          <w:p w14:paraId="26F7C4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0A2C63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64028C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50E48C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w:t>
            </w:r>
          </w:p>
          <w:p w14:paraId="6AE569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E126B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375</w:t>
            </w:r>
          </w:p>
          <w:p w14:paraId="23BCA7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176CF2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p w14:paraId="499650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6A784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110x2</w:t>
            </w:r>
          </w:p>
          <w:p w14:paraId="039C61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3F7C1B8" w14:textId="77777777">
        <w:trPr>
          <w:gridAfter w:val="1"/>
          <w:wAfter w:w="19" w:type="dxa"/>
          <w:trHeight w:val="230"/>
        </w:trPr>
        <w:tc>
          <w:tcPr>
            <w:tcW w:w="422" w:type="dxa"/>
            <w:tcBorders>
              <w:top w:val="single" w:sz="6" w:space="0" w:color="auto"/>
              <w:left w:val="single" w:sz="6" w:space="0" w:color="auto"/>
              <w:bottom w:val="single" w:sz="6" w:space="0" w:color="auto"/>
              <w:right w:val="single" w:sz="6" w:space="0" w:color="auto"/>
            </w:tcBorders>
          </w:tcPr>
          <w:p w14:paraId="3D07AB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6A5B5F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4E5CC8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Удельная мощность в л. с. на тонн</w:t>
            </w:r>
          </w:p>
          <w:p w14:paraId="587E34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CBD7B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11,8</w:t>
            </w:r>
          </w:p>
          <w:p w14:paraId="0C3B09C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4FF2DA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11,3</w:t>
            </w:r>
          </w:p>
          <w:p w14:paraId="32B55E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72E70F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15,9</w:t>
            </w:r>
          </w:p>
          <w:p w14:paraId="254DE4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3831C8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w:t>
            </w:r>
          </w:p>
          <w:p w14:paraId="68D8FB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673459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w:t>
            </w:r>
          </w:p>
          <w:p w14:paraId="5E6214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3C5B2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p w14:paraId="026190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3F1F8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15,7</w:t>
            </w:r>
          </w:p>
          <w:p w14:paraId="24D2BF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8E29D32" w14:textId="77777777">
        <w:trPr>
          <w:gridAfter w:val="1"/>
          <w:wAfter w:w="19" w:type="dxa"/>
          <w:trHeight w:val="230"/>
        </w:trPr>
        <w:tc>
          <w:tcPr>
            <w:tcW w:w="422" w:type="dxa"/>
            <w:tcBorders>
              <w:top w:val="single" w:sz="6" w:space="0" w:color="auto"/>
              <w:left w:val="single" w:sz="6" w:space="0" w:color="auto"/>
              <w:bottom w:val="single" w:sz="6" w:space="0" w:color="auto"/>
              <w:right w:val="single" w:sz="6" w:space="0" w:color="auto"/>
            </w:tcBorders>
          </w:tcPr>
          <w:p w14:paraId="12CF76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3C04D1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1FDB60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в км/ч</w:t>
            </w:r>
          </w:p>
          <w:p w14:paraId="3E04C0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575298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w:t>
            </w:r>
          </w:p>
          <w:p w14:paraId="16B04A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043542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w:t>
            </w:r>
          </w:p>
          <w:p w14:paraId="0A563A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290A1D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p w14:paraId="0408C9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603638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w:t>
            </w:r>
          </w:p>
          <w:p w14:paraId="1B1106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73C6D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p w14:paraId="643FF1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041EC1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w:t>
            </w:r>
          </w:p>
          <w:p w14:paraId="2AFD23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4C3EF3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p w14:paraId="260E2D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B0D5C31" w14:textId="77777777">
        <w:trPr>
          <w:gridAfter w:val="1"/>
          <w:wAfter w:w="19" w:type="dxa"/>
          <w:trHeight w:val="230"/>
        </w:trPr>
        <w:tc>
          <w:tcPr>
            <w:tcW w:w="422" w:type="dxa"/>
            <w:tcBorders>
              <w:top w:val="single" w:sz="6" w:space="0" w:color="auto"/>
              <w:left w:val="single" w:sz="6" w:space="0" w:color="auto"/>
              <w:bottom w:val="single" w:sz="6" w:space="0" w:color="auto"/>
              <w:right w:val="single" w:sz="6" w:space="0" w:color="auto"/>
            </w:tcBorders>
          </w:tcPr>
          <w:p w14:paraId="78B542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5CBF89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3B1B46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Средняя скорость в км/ч</w:t>
            </w:r>
          </w:p>
          <w:p w14:paraId="206AA5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365E3B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w:t>
            </w:r>
          </w:p>
          <w:p w14:paraId="581CEA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685929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w:t>
            </w:r>
          </w:p>
          <w:p w14:paraId="3F9B6E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48F83A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75F848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5107B9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657D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40841C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w:t>
            </w:r>
          </w:p>
          <w:p w14:paraId="27352A5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3DA528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00AD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9069D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w:t>
            </w:r>
          </w:p>
          <w:p w14:paraId="7DC3C9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12ACCD6" w14:textId="77777777">
        <w:trPr>
          <w:gridAfter w:val="1"/>
          <w:wAfter w:w="19" w:type="dxa"/>
          <w:trHeight w:val="230"/>
        </w:trPr>
        <w:tc>
          <w:tcPr>
            <w:tcW w:w="422" w:type="dxa"/>
            <w:tcBorders>
              <w:top w:val="single" w:sz="6" w:space="0" w:color="auto"/>
              <w:left w:val="single" w:sz="6" w:space="0" w:color="auto"/>
              <w:bottom w:val="single" w:sz="6" w:space="0" w:color="auto"/>
              <w:right w:val="single" w:sz="6" w:space="0" w:color="auto"/>
            </w:tcBorders>
          </w:tcPr>
          <w:p w14:paraId="2A96B50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p w14:paraId="72AB45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2FA574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Удельное давление в кг/см</w:t>
            </w:r>
            <w:r w:rsidRPr="00070ADE">
              <w:rPr>
                <w:rFonts w:ascii="Times New Roman" w:hAnsi="Times New Roman"/>
                <w:color w:val="000000" w:themeColor="text1"/>
                <w:sz w:val="16"/>
                <w:szCs w:val="16"/>
                <w:vertAlign w:val="superscript"/>
              </w:rPr>
              <w:t>2</w:t>
            </w:r>
          </w:p>
          <w:p w14:paraId="79742F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94158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0,78</w:t>
            </w:r>
          </w:p>
          <w:p w14:paraId="5AF04A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4F682D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0,8</w:t>
            </w:r>
          </w:p>
          <w:p w14:paraId="6AAF2F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5DAF06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0,81</w:t>
            </w:r>
          </w:p>
          <w:p w14:paraId="1E90F2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39B19D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0,8</w:t>
            </w:r>
          </w:p>
          <w:p w14:paraId="6DECCB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305135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36799F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2F1AC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0,7</w:t>
            </w:r>
          </w:p>
          <w:p w14:paraId="3C7126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BEEE4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0,8</w:t>
            </w:r>
          </w:p>
          <w:p w14:paraId="76B963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412A2AB" w14:textId="77777777">
        <w:trPr>
          <w:gridAfter w:val="1"/>
          <w:wAfter w:w="19" w:type="dxa"/>
          <w:trHeight w:val="230"/>
        </w:trPr>
        <w:tc>
          <w:tcPr>
            <w:tcW w:w="422" w:type="dxa"/>
            <w:tcBorders>
              <w:top w:val="single" w:sz="6" w:space="0" w:color="auto"/>
              <w:left w:val="single" w:sz="6" w:space="0" w:color="auto"/>
              <w:bottom w:val="single" w:sz="6" w:space="0" w:color="auto"/>
              <w:right w:val="single" w:sz="6" w:space="0" w:color="auto"/>
            </w:tcBorders>
          </w:tcPr>
          <w:p w14:paraId="220115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p w14:paraId="1EA358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7B9071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Преодолеваемый подъем в градусах</w:t>
            </w:r>
          </w:p>
          <w:p w14:paraId="6F600F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5334ED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w:t>
            </w:r>
          </w:p>
          <w:p w14:paraId="3079C2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4A2226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w:t>
            </w:r>
          </w:p>
          <w:p w14:paraId="1B1F75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20F036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p w14:paraId="3A666E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069844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w:t>
            </w:r>
          </w:p>
          <w:p w14:paraId="1A8159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6F62A6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25/1 5</w:t>
            </w:r>
            <w:r w:rsidRPr="00070ADE">
              <w:rPr>
                <w:rFonts w:ascii="Times New Roman" w:hAnsi="Times New Roman"/>
                <w:color w:val="000000" w:themeColor="text1"/>
                <w:sz w:val="16"/>
                <w:szCs w:val="16"/>
                <w:vertAlign w:val="superscript"/>
              </w:rPr>
              <w:t>х</w:t>
            </w:r>
            <w:r w:rsidRPr="00070ADE">
              <w:rPr>
                <w:rFonts w:ascii="Times New Roman" w:hAnsi="Times New Roman"/>
                <w:color w:val="000000" w:themeColor="text1"/>
                <w:sz w:val="16"/>
                <w:szCs w:val="16"/>
              </w:rPr>
              <w:t>)</w:t>
            </w:r>
          </w:p>
          <w:p w14:paraId="368DA2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2A985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p w14:paraId="6C7652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254AE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w:t>
            </w:r>
          </w:p>
          <w:p w14:paraId="55A773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2AF1135" w14:textId="77777777">
        <w:trPr>
          <w:gridAfter w:val="1"/>
          <w:wAfter w:w="19" w:type="dxa"/>
          <w:trHeight w:val="240"/>
        </w:trPr>
        <w:tc>
          <w:tcPr>
            <w:tcW w:w="422" w:type="dxa"/>
            <w:tcBorders>
              <w:top w:val="single" w:sz="6" w:space="0" w:color="auto"/>
              <w:left w:val="single" w:sz="6" w:space="0" w:color="auto"/>
              <w:bottom w:val="single" w:sz="6" w:space="0" w:color="auto"/>
              <w:right w:val="single" w:sz="6" w:space="0" w:color="auto"/>
            </w:tcBorders>
          </w:tcPr>
          <w:p w14:paraId="29F745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p w14:paraId="0E23AF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0" w:type="dxa"/>
            <w:gridSpan w:val="3"/>
            <w:tcBorders>
              <w:top w:val="single" w:sz="6" w:space="0" w:color="auto"/>
              <w:left w:val="single" w:sz="6" w:space="0" w:color="auto"/>
              <w:bottom w:val="single" w:sz="6" w:space="0" w:color="auto"/>
              <w:right w:val="single" w:sz="6" w:space="0" w:color="auto"/>
            </w:tcBorders>
          </w:tcPr>
          <w:p w14:paraId="0A1630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Предельный крен в градусах</w:t>
            </w:r>
          </w:p>
          <w:p w14:paraId="105607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4F6141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611998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2DF37C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71033B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241A66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23CE3D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3A2345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29DC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3F0F3F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22/17</w:t>
            </w:r>
          </w:p>
          <w:p w14:paraId="47128B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D847B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p w14:paraId="4E86BF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269A0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495025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731EFDC" w14:textId="77777777">
        <w:trPr>
          <w:trHeight w:val="230"/>
        </w:trPr>
        <w:tc>
          <w:tcPr>
            <w:tcW w:w="442" w:type="dxa"/>
            <w:gridSpan w:val="3"/>
            <w:tcBorders>
              <w:top w:val="single" w:sz="6" w:space="0" w:color="auto"/>
              <w:left w:val="single" w:sz="6" w:space="0" w:color="auto"/>
              <w:bottom w:val="single" w:sz="6" w:space="0" w:color="auto"/>
              <w:right w:val="single" w:sz="6" w:space="0" w:color="auto"/>
            </w:tcBorders>
          </w:tcPr>
          <w:p w14:paraId="3133DA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p w14:paraId="2D4975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90" w:type="dxa"/>
            <w:tcBorders>
              <w:top w:val="single" w:sz="6" w:space="0" w:color="auto"/>
              <w:left w:val="single" w:sz="6" w:space="0" w:color="auto"/>
              <w:bottom w:val="single" w:sz="6" w:space="0" w:color="auto"/>
              <w:right w:val="single" w:sz="6" w:space="0" w:color="auto"/>
            </w:tcBorders>
          </w:tcPr>
          <w:p w14:paraId="763B6F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Преодолеваемый ров в мм</w:t>
            </w:r>
          </w:p>
          <w:p w14:paraId="612723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3584AD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2700</w:t>
            </w:r>
          </w:p>
          <w:p w14:paraId="3E03FE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3A3BD8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2700</w:t>
            </w:r>
          </w:p>
          <w:p w14:paraId="24FCB8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0E3A76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2500</w:t>
            </w:r>
          </w:p>
          <w:p w14:paraId="73E958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5A07F4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3D64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4441F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2400</w:t>
            </w:r>
          </w:p>
          <w:p w14:paraId="147DC9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38B8D8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50B8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01B795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1600</w:t>
            </w:r>
          </w:p>
          <w:p w14:paraId="7B01980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2CBB896" w14:textId="77777777">
        <w:trPr>
          <w:trHeight w:val="230"/>
        </w:trPr>
        <w:tc>
          <w:tcPr>
            <w:tcW w:w="442" w:type="dxa"/>
            <w:gridSpan w:val="3"/>
            <w:tcBorders>
              <w:top w:val="single" w:sz="6" w:space="0" w:color="auto"/>
              <w:left w:val="single" w:sz="6" w:space="0" w:color="auto"/>
              <w:bottom w:val="single" w:sz="6" w:space="0" w:color="auto"/>
              <w:right w:val="single" w:sz="6" w:space="0" w:color="auto"/>
            </w:tcBorders>
          </w:tcPr>
          <w:p w14:paraId="21CB6E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14613B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90" w:type="dxa"/>
            <w:tcBorders>
              <w:top w:val="single" w:sz="6" w:space="0" w:color="auto"/>
              <w:left w:val="single" w:sz="6" w:space="0" w:color="auto"/>
              <w:bottom w:val="single" w:sz="6" w:space="0" w:color="auto"/>
              <w:right w:val="single" w:sz="6" w:space="0" w:color="auto"/>
            </w:tcBorders>
          </w:tcPr>
          <w:p w14:paraId="71433B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Преодолеваемая вертикальная стенка в мм</w:t>
            </w:r>
          </w:p>
          <w:p w14:paraId="3B5E99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3720DE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1300</w:t>
            </w:r>
          </w:p>
          <w:p w14:paraId="0309BE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27EA73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1300</w:t>
            </w:r>
          </w:p>
          <w:p w14:paraId="685FCC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3E2E96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730</w:t>
            </w:r>
          </w:p>
          <w:p w14:paraId="1C5ADE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65206E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2D9D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90272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w:t>
            </w:r>
          </w:p>
          <w:p w14:paraId="6DE70D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53F402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178A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491AE1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610</w:t>
            </w:r>
          </w:p>
          <w:p w14:paraId="2742A5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EBDF73E" w14:textId="77777777">
        <w:trPr>
          <w:trHeight w:val="230"/>
        </w:trPr>
        <w:tc>
          <w:tcPr>
            <w:tcW w:w="442" w:type="dxa"/>
            <w:gridSpan w:val="3"/>
            <w:tcBorders>
              <w:top w:val="single" w:sz="6" w:space="0" w:color="auto"/>
              <w:left w:val="single" w:sz="6" w:space="0" w:color="auto"/>
              <w:bottom w:val="single" w:sz="6" w:space="0" w:color="auto"/>
              <w:right w:val="single" w:sz="6" w:space="0" w:color="auto"/>
            </w:tcBorders>
          </w:tcPr>
          <w:p w14:paraId="1C752E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p w14:paraId="569446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90" w:type="dxa"/>
            <w:tcBorders>
              <w:top w:val="single" w:sz="6" w:space="0" w:color="auto"/>
              <w:left w:val="single" w:sz="6" w:space="0" w:color="auto"/>
              <w:bottom w:val="single" w:sz="6" w:space="0" w:color="auto"/>
              <w:right w:val="single" w:sz="6" w:space="0" w:color="auto"/>
            </w:tcBorders>
          </w:tcPr>
          <w:p w14:paraId="11542C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Преодолеваемый брод в мм</w:t>
            </w:r>
          </w:p>
          <w:p w14:paraId="654B28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0F504D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1600</w:t>
            </w:r>
          </w:p>
          <w:p w14:paraId="16BF4E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single" w:sz="6" w:space="0" w:color="auto"/>
              <w:right w:val="single" w:sz="6" w:space="0" w:color="auto"/>
            </w:tcBorders>
          </w:tcPr>
          <w:p w14:paraId="4433F1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1600</w:t>
            </w:r>
          </w:p>
          <w:p w14:paraId="17D002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2206E3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1300</w:t>
            </w:r>
          </w:p>
          <w:p w14:paraId="7D3F9A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0C10FA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7687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838FE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1400</w:t>
            </w:r>
          </w:p>
          <w:p w14:paraId="5D8B86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4CA47A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FB44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2E7D0C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915</w:t>
            </w:r>
          </w:p>
          <w:p w14:paraId="0E6689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16D8DDC" w14:textId="77777777">
        <w:trPr>
          <w:trHeight w:val="230"/>
        </w:trPr>
        <w:tc>
          <w:tcPr>
            <w:tcW w:w="9466" w:type="dxa"/>
            <w:gridSpan w:val="15"/>
            <w:tcBorders>
              <w:top w:val="single" w:sz="6" w:space="0" w:color="auto"/>
              <w:left w:val="nil"/>
              <w:bottom w:val="nil"/>
              <w:right w:val="nil"/>
            </w:tcBorders>
          </w:tcPr>
          <w:p w14:paraId="28C2BD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Примечание: </w:t>
            </w:r>
            <w:r w:rsidRPr="00070ADE">
              <w:rPr>
                <w:rFonts w:ascii="Times New Roman" w:hAnsi="Times New Roman"/>
                <w:color w:val="000000" w:themeColor="text1"/>
                <w:sz w:val="16"/>
                <w:szCs w:val="16"/>
                <w:vertAlign w:val="superscript"/>
              </w:rPr>
              <w:t>х</w:t>
            </w:r>
            <w:r w:rsidRPr="00070ADE">
              <w:rPr>
                <w:rFonts w:ascii="Times New Roman" w:hAnsi="Times New Roman"/>
                <w:color w:val="000000" w:themeColor="text1"/>
                <w:sz w:val="16"/>
                <w:szCs w:val="16"/>
              </w:rPr>
              <w:t>'25° на резиновой гусенице / 1 5° на металлической гусенице.</w:t>
            </w:r>
          </w:p>
          <w:p w14:paraId="51DE1F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ADA9950" w14:textId="77777777">
        <w:trPr>
          <w:trHeight w:val="230"/>
        </w:trPr>
        <w:tc>
          <w:tcPr>
            <w:tcW w:w="432" w:type="dxa"/>
            <w:gridSpan w:val="2"/>
            <w:tcBorders>
              <w:top w:val="single" w:sz="6" w:space="0" w:color="auto"/>
              <w:left w:val="single" w:sz="6" w:space="0" w:color="auto"/>
              <w:bottom w:val="nil"/>
              <w:right w:val="single" w:sz="6" w:space="0" w:color="auto"/>
            </w:tcBorders>
          </w:tcPr>
          <w:p w14:paraId="72E813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п/п</w:t>
            </w:r>
          </w:p>
          <w:p w14:paraId="4C4A9C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nil"/>
              <w:right w:val="single" w:sz="6" w:space="0" w:color="auto"/>
            </w:tcBorders>
          </w:tcPr>
          <w:p w14:paraId="65759A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 данных</w:t>
            </w:r>
          </w:p>
          <w:p w14:paraId="6BA221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79" w:type="dxa"/>
            <w:gridSpan w:val="6"/>
            <w:tcBorders>
              <w:top w:val="single" w:sz="6" w:space="0" w:color="auto"/>
              <w:left w:val="single" w:sz="6" w:space="0" w:color="auto"/>
              <w:bottom w:val="single" w:sz="6" w:space="0" w:color="auto"/>
              <w:right w:val="single" w:sz="6" w:space="0" w:color="auto"/>
            </w:tcBorders>
          </w:tcPr>
          <w:p w14:paraId="45EB54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Танки Англии</w:t>
            </w:r>
          </w:p>
          <w:p w14:paraId="70271C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gridSpan w:val="5"/>
            <w:tcBorders>
              <w:top w:val="single" w:sz="6" w:space="0" w:color="auto"/>
              <w:left w:val="single" w:sz="6" w:space="0" w:color="auto"/>
              <w:bottom w:val="single" w:sz="6" w:space="0" w:color="auto"/>
              <w:right w:val="single" w:sz="6" w:space="0" w:color="auto"/>
            </w:tcBorders>
          </w:tcPr>
          <w:p w14:paraId="278826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Танки Германии</w:t>
            </w:r>
          </w:p>
          <w:p w14:paraId="2D373A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9FE0806" w14:textId="77777777">
        <w:trPr>
          <w:trHeight w:val="374"/>
        </w:trPr>
        <w:tc>
          <w:tcPr>
            <w:tcW w:w="432" w:type="dxa"/>
            <w:gridSpan w:val="2"/>
            <w:tcBorders>
              <w:top w:val="nil"/>
              <w:left w:val="single" w:sz="6" w:space="0" w:color="auto"/>
              <w:bottom w:val="single" w:sz="6" w:space="0" w:color="auto"/>
              <w:right w:val="single" w:sz="6" w:space="0" w:color="auto"/>
            </w:tcBorders>
          </w:tcPr>
          <w:p w14:paraId="6F3868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200950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nil"/>
              <w:left w:val="single" w:sz="6" w:space="0" w:color="auto"/>
              <w:bottom w:val="single" w:sz="6" w:space="0" w:color="auto"/>
              <w:right w:val="single" w:sz="6" w:space="0" w:color="auto"/>
            </w:tcBorders>
          </w:tcPr>
          <w:p w14:paraId="4B6321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51124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6DC446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МК-1У Черчилль</w:t>
            </w:r>
          </w:p>
          <w:p w14:paraId="1DDE6C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78F6BA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Кромвель</w:t>
            </w:r>
          </w:p>
          <w:p w14:paraId="2C4D8A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35BBA6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Валентин 9</w:t>
            </w:r>
          </w:p>
          <w:p w14:paraId="7B00FC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6FE143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ТАЛ Тигр</w:t>
            </w:r>
          </w:p>
          <w:p w14:paraId="2FD65F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4E14F5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 Пантера</w:t>
            </w:r>
          </w:p>
          <w:p w14:paraId="1528BD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56FCD9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Т-1У</w:t>
            </w:r>
          </w:p>
          <w:p w14:paraId="3D21EF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4B85843"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0186BF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296C51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3B6CA1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танка в тоннах</w:t>
            </w:r>
          </w:p>
          <w:p w14:paraId="517F86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45E0C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p w14:paraId="4710E9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6EDABD2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589738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3C7228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w:t>
            </w:r>
          </w:p>
          <w:p w14:paraId="027C90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FD1C0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w:t>
            </w:r>
          </w:p>
          <w:p w14:paraId="2CD1C8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06F2F4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p w14:paraId="31A560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306FBD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p w14:paraId="49D753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000FF5F"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0F1EF7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320AD3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64545D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Мощность мотора в л. с.</w:t>
            </w:r>
          </w:p>
          <w:p w14:paraId="1383D2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432FA3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w:t>
            </w:r>
          </w:p>
          <w:p w14:paraId="15B0F8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4137E1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600-630</w:t>
            </w:r>
          </w:p>
          <w:p w14:paraId="17C3FC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54ABB1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 или 165</w:t>
            </w:r>
          </w:p>
          <w:p w14:paraId="59C7B0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CD12A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p w14:paraId="5F6960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68B37E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p w14:paraId="491B02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2C4A45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w:t>
            </w:r>
          </w:p>
          <w:p w14:paraId="384DE9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707790A"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6151B4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167D0C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564865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Удельная мощность в л.с. на тонн</w:t>
            </w:r>
          </w:p>
          <w:p w14:paraId="327CDC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7B26A2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8,76</w:t>
            </w:r>
          </w:p>
          <w:p w14:paraId="1424DF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65A637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20-21</w:t>
            </w:r>
          </w:p>
          <w:p w14:paraId="34B2F8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50FE0F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 или 9,7</w:t>
            </w:r>
          </w:p>
          <w:p w14:paraId="3DA795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6126C9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11,6</w:t>
            </w:r>
          </w:p>
          <w:p w14:paraId="27FC97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0509D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14,4</w:t>
            </w:r>
          </w:p>
          <w:p w14:paraId="4FAAA3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6060DB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13,3</w:t>
            </w:r>
          </w:p>
          <w:p w14:paraId="7ECAD9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07B38FF" w14:textId="77777777">
        <w:trPr>
          <w:trHeight w:val="221"/>
        </w:trPr>
        <w:tc>
          <w:tcPr>
            <w:tcW w:w="432" w:type="dxa"/>
            <w:gridSpan w:val="2"/>
            <w:tcBorders>
              <w:top w:val="single" w:sz="6" w:space="0" w:color="auto"/>
              <w:left w:val="single" w:sz="6" w:space="0" w:color="auto"/>
              <w:bottom w:val="single" w:sz="6" w:space="0" w:color="auto"/>
              <w:right w:val="single" w:sz="6" w:space="0" w:color="auto"/>
            </w:tcBorders>
          </w:tcPr>
          <w:p w14:paraId="04BB57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221CF9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4CA9F5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в км/ч</w:t>
            </w:r>
          </w:p>
          <w:p w14:paraId="2F3D84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6618B1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w:t>
            </w:r>
          </w:p>
          <w:p w14:paraId="5C5E59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AA094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w:t>
            </w:r>
          </w:p>
          <w:p w14:paraId="6D7D5C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7D63B9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w:t>
            </w:r>
          </w:p>
          <w:p w14:paraId="75DDEF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E46A0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w:t>
            </w:r>
          </w:p>
          <w:p w14:paraId="567B20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4C9621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368194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241A99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2B888C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AAA188A"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02464C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5DDE93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3EBF78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Средняя скорость в км/ч</w:t>
            </w:r>
          </w:p>
          <w:p w14:paraId="52739F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38CB78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w:t>
            </w:r>
          </w:p>
          <w:p w14:paraId="70D5F1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5AAF4F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91FC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05A08A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p w14:paraId="7AE4B3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2B433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p w14:paraId="46393A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1C8089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p w14:paraId="0A2508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49CA5B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p w14:paraId="7322D7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54FF784"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0A7C13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p w14:paraId="5514D1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1AA964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Удельное давление в кг/см</w:t>
            </w:r>
            <w:r w:rsidRPr="00070ADE">
              <w:rPr>
                <w:rFonts w:ascii="Times New Roman" w:hAnsi="Times New Roman"/>
                <w:color w:val="000000" w:themeColor="text1"/>
                <w:sz w:val="16"/>
                <w:szCs w:val="16"/>
                <w:vertAlign w:val="superscript"/>
              </w:rPr>
              <w:t>2</w:t>
            </w:r>
          </w:p>
          <w:p w14:paraId="6F87CC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47B30B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0,93</w:t>
            </w:r>
          </w:p>
          <w:p w14:paraId="3ABA5D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1AA61C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0,95</w:t>
            </w:r>
          </w:p>
          <w:p w14:paraId="71A47E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4EA697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FF99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3A0B6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w:t>
            </w:r>
          </w:p>
          <w:p w14:paraId="577CF6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01A43C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0,84</w:t>
            </w:r>
          </w:p>
          <w:p w14:paraId="3AA72D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3A8538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0,9</w:t>
            </w:r>
          </w:p>
          <w:p w14:paraId="23C846C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7F22B5E"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77D757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p w14:paraId="1B4F12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437590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Преодолеваемый подъем в градусах</w:t>
            </w:r>
          </w:p>
          <w:p w14:paraId="103B85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568AC9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2564BE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4E995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300970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751F03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w:t>
            </w:r>
          </w:p>
          <w:p w14:paraId="41E154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C81A5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B661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33D6F5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A057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1A58BC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593C43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0B4EC4A"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20769F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p w14:paraId="01CDD5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5080F0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Предельный крен в градусах</w:t>
            </w:r>
          </w:p>
          <w:p w14:paraId="7D901E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1CF7CB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p w14:paraId="694584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B0652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A701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1DFBAF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w:t>
            </w:r>
          </w:p>
          <w:p w14:paraId="5B8C29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2B2387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0796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7371B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2710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2DA894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374517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0AE3EFD"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67D9CE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p w14:paraId="29CEAC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78C878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Преодолеваемый ров в мм</w:t>
            </w:r>
          </w:p>
          <w:p w14:paraId="3DB1CE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69427D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2900</w:t>
            </w:r>
          </w:p>
          <w:p w14:paraId="36D4F1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233A5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2800</w:t>
            </w:r>
          </w:p>
          <w:p w14:paraId="32630A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1C8D5F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2200</w:t>
            </w:r>
          </w:p>
          <w:p w14:paraId="769067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CDA99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2700</w:t>
            </w:r>
          </w:p>
          <w:p w14:paraId="094481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42A72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89FD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47E002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2340</w:t>
            </w:r>
          </w:p>
          <w:p w14:paraId="77DD52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3D30B38" w14:textId="77777777">
        <w:trPr>
          <w:trHeight w:val="230"/>
        </w:trPr>
        <w:tc>
          <w:tcPr>
            <w:tcW w:w="432" w:type="dxa"/>
            <w:gridSpan w:val="2"/>
            <w:tcBorders>
              <w:top w:val="single" w:sz="6" w:space="0" w:color="auto"/>
              <w:left w:val="single" w:sz="6" w:space="0" w:color="auto"/>
              <w:bottom w:val="single" w:sz="6" w:space="0" w:color="auto"/>
              <w:right w:val="single" w:sz="6" w:space="0" w:color="auto"/>
            </w:tcBorders>
          </w:tcPr>
          <w:p w14:paraId="37B32B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6F8C51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75137C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Преодолеваемая вертикальная стенка в мм</w:t>
            </w:r>
          </w:p>
          <w:p w14:paraId="07A3A5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C238E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1160</w:t>
            </w:r>
          </w:p>
          <w:p w14:paraId="6B313C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5AEEBE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17DD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728EFD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w:t>
            </w:r>
          </w:p>
          <w:p w14:paraId="7299FB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85DB1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6C87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78C93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0C81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15C046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710</w:t>
            </w:r>
          </w:p>
          <w:p w14:paraId="0C701B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266700F" w14:textId="77777777">
        <w:trPr>
          <w:trHeight w:val="250"/>
        </w:trPr>
        <w:tc>
          <w:tcPr>
            <w:tcW w:w="432" w:type="dxa"/>
            <w:gridSpan w:val="2"/>
            <w:tcBorders>
              <w:top w:val="single" w:sz="6" w:space="0" w:color="auto"/>
              <w:left w:val="single" w:sz="6" w:space="0" w:color="auto"/>
              <w:bottom w:val="single" w:sz="6" w:space="0" w:color="auto"/>
              <w:right w:val="single" w:sz="6" w:space="0" w:color="auto"/>
            </w:tcBorders>
          </w:tcPr>
          <w:p w14:paraId="126245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11</w:t>
            </w:r>
          </w:p>
          <w:p w14:paraId="5F0E37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00" w:type="dxa"/>
            <w:gridSpan w:val="2"/>
            <w:tcBorders>
              <w:top w:val="single" w:sz="6" w:space="0" w:color="auto"/>
              <w:left w:val="single" w:sz="6" w:space="0" w:color="auto"/>
              <w:bottom w:val="single" w:sz="6" w:space="0" w:color="auto"/>
              <w:right w:val="single" w:sz="6" w:space="0" w:color="auto"/>
            </w:tcBorders>
          </w:tcPr>
          <w:p w14:paraId="3F74C9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Преодолеваемый брод в мм</w:t>
            </w:r>
          </w:p>
          <w:p w14:paraId="7E6C9B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7A2B5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1200</w:t>
            </w:r>
          </w:p>
          <w:p w14:paraId="281FDD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6979A2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p w14:paraId="7A636A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5300F4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66C1D0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46641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1700-5000</w:t>
            </w:r>
          </w:p>
          <w:p w14:paraId="51E93C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BD534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3D08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697F4A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5356C2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EE5B7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2182. Л. 54. Подлинник (11403).</w:t>
      </w:r>
    </w:p>
    <w:p w14:paraId="7DB8EC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A2B98A5" w14:textId="77777777" w:rsidR="00315AAD" w:rsidRPr="00070ADE" w:rsidRDefault="00315AAD" w:rsidP="00B56F90">
      <w:pPr>
        <w:pStyle w:val="1131"/>
        <w:shd w:val="clear" w:color="auto" w:fill="auto"/>
        <w:spacing w:line="240" w:lineRule="auto"/>
        <w:ind w:firstLine="0"/>
        <w:rPr>
          <w:rStyle w:val="600"/>
          <w:rFonts w:ascii="Times New Roman" w:hAnsi="Times New Roman" w:cs="Times New Roman"/>
          <w:color w:val="000000" w:themeColor="text1"/>
          <w:sz w:val="16"/>
          <w:szCs w:val="16"/>
        </w:rPr>
      </w:pPr>
      <w:r w:rsidRPr="00070ADE">
        <w:rPr>
          <w:rStyle w:val="600"/>
          <w:rFonts w:ascii="Times New Roman" w:hAnsi="Times New Roman" w:cs="Times New Roman"/>
          <w:color w:val="000000" w:themeColor="text1"/>
          <w:sz w:val="16"/>
          <w:szCs w:val="16"/>
        </w:rPr>
        <w:t xml:space="preserve">13 апреля 1944 года </w:t>
      </w:r>
      <w:r w:rsidRPr="00070ADE">
        <w:rPr>
          <w:rStyle w:val="600"/>
          <w:rFonts w:ascii="Times New Roman" w:hAnsi="Times New Roman" w:cs="Times New Roman"/>
          <w:color w:val="000000" w:themeColor="text1"/>
          <w:sz w:val="16"/>
          <w:szCs w:val="16"/>
          <w:lang w:val="ru-RU"/>
        </w:rPr>
        <w:t>вышел</w:t>
      </w:r>
      <w:r w:rsidRPr="00070ADE">
        <w:rPr>
          <w:rStyle w:val="600"/>
          <w:rFonts w:ascii="Times New Roman" w:hAnsi="Times New Roman" w:cs="Times New Roman"/>
          <w:color w:val="000000" w:themeColor="text1"/>
          <w:sz w:val="16"/>
          <w:szCs w:val="16"/>
        </w:rPr>
        <w:t xml:space="preserve"> при</w:t>
      </w:r>
      <w:r w:rsidRPr="00070ADE">
        <w:rPr>
          <w:rStyle w:val="600"/>
          <w:rFonts w:ascii="Times New Roman" w:hAnsi="Times New Roman" w:cs="Times New Roman"/>
          <w:color w:val="000000" w:themeColor="text1"/>
          <w:sz w:val="16"/>
          <w:szCs w:val="16"/>
        </w:rPr>
        <w:softHyphen/>
        <w:t xml:space="preserve">каз по НКТП № 226сс, </w:t>
      </w:r>
      <w:r w:rsidRPr="00070ADE">
        <w:rPr>
          <w:rStyle w:val="600"/>
          <w:rFonts w:ascii="Times New Roman" w:hAnsi="Times New Roman" w:cs="Times New Roman"/>
          <w:color w:val="000000" w:themeColor="text1"/>
          <w:sz w:val="16"/>
          <w:szCs w:val="16"/>
          <w:lang w:val="ru-RU"/>
        </w:rPr>
        <w:t xml:space="preserve">который </w:t>
      </w:r>
      <w:r w:rsidRPr="00070ADE">
        <w:rPr>
          <w:rStyle w:val="600"/>
          <w:rFonts w:ascii="Times New Roman" w:hAnsi="Times New Roman" w:cs="Times New Roman"/>
          <w:color w:val="000000" w:themeColor="text1"/>
          <w:sz w:val="16"/>
          <w:szCs w:val="16"/>
        </w:rPr>
        <w:t>содержал 20 пунктов переделок</w:t>
      </w:r>
      <w:r w:rsidRPr="00070ADE">
        <w:rPr>
          <w:rStyle w:val="600"/>
          <w:rFonts w:ascii="Times New Roman" w:hAnsi="Times New Roman" w:cs="Times New Roman"/>
          <w:color w:val="000000" w:themeColor="text1"/>
          <w:sz w:val="16"/>
          <w:szCs w:val="16"/>
          <w:lang w:val="ru-RU"/>
        </w:rPr>
        <w:t xml:space="preserve"> ИС-2</w:t>
      </w:r>
      <w:r w:rsidRPr="00070ADE">
        <w:rPr>
          <w:rStyle w:val="600"/>
          <w:rFonts w:ascii="Times New Roman" w:hAnsi="Times New Roman" w:cs="Times New Roman"/>
          <w:color w:val="000000" w:themeColor="text1"/>
          <w:sz w:val="16"/>
          <w:szCs w:val="16"/>
        </w:rPr>
        <w:t>. Некоторые из них имели прямое отношение к «Объекту 701». От этой машины использовалась установка радиатора, привод к радиатору, поворотный механизм башни и погонное устройство. Спрямленный нос корпуса из катаной брони толщиной 90 мм, либо 100-мм литой брони, изготовлялся по типу «Объекта 701». По его же подобию про</w:t>
      </w:r>
      <w:r w:rsidRPr="00070ADE">
        <w:rPr>
          <w:rStyle w:val="600"/>
          <w:rFonts w:ascii="Times New Roman" w:hAnsi="Times New Roman" w:cs="Times New Roman"/>
          <w:color w:val="000000" w:themeColor="text1"/>
          <w:sz w:val="16"/>
          <w:szCs w:val="16"/>
        </w:rPr>
        <w:softHyphen/>
        <w:t>ектировалась башня: от новой машины бра</w:t>
      </w:r>
      <w:r w:rsidRPr="00070ADE">
        <w:rPr>
          <w:rStyle w:val="600"/>
          <w:rFonts w:ascii="Times New Roman" w:hAnsi="Times New Roman" w:cs="Times New Roman"/>
          <w:color w:val="000000" w:themeColor="text1"/>
          <w:sz w:val="16"/>
          <w:szCs w:val="16"/>
        </w:rPr>
        <w:softHyphen/>
        <w:t>лись командирская башенка и система выемки орудия через специальный люк в крыше. Вы</w:t>
      </w:r>
      <w:r w:rsidRPr="00070ADE">
        <w:rPr>
          <w:rStyle w:val="600"/>
          <w:rFonts w:ascii="Times New Roman" w:hAnsi="Times New Roman" w:cs="Times New Roman"/>
          <w:color w:val="000000" w:themeColor="text1"/>
          <w:sz w:val="16"/>
          <w:szCs w:val="16"/>
        </w:rPr>
        <w:softHyphen/>
        <w:t>хлопные трубы предполагалось перенести на верхний кормовой лист - как у Т-34. Такое ре</w:t>
      </w:r>
      <w:r w:rsidRPr="00070ADE">
        <w:rPr>
          <w:rStyle w:val="600"/>
          <w:rFonts w:ascii="Times New Roman" w:hAnsi="Times New Roman" w:cs="Times New Roman"/>
          <w:color w:val="000000" w:themeColor="text1"/>
          <w:sz w:val="16"/>
          <w:szCs w:val="16"/>
        </w:rPr>
        <w:softHyphen/>
        <w:t>шение полностью исключало риск попадания выхлопных газов в воздухозаборники.</w:t>
      </w:r>
      <w:r w:rsidRPr="00070ADE">
        <w:rPr>
          <w:rStyle w:val="600"/>
          <w:rFonts w:ascii="Times New Roman" w:hAnsi="Times New Roman" w:cs="Times New Roman"/>
          <w:color w:val="000000" w:themeColor="text1"/>
          <w:sz w:val="16"/>
          <w:szCs w:val="16"/>
          <w:lang w:val="ru-RU"/>
        </w:rPr>
        <w:t xml:space="preserve"> </w:t>
      </w:r>
      <w:r w:rsidRPr="00070ADE">
        <w:rPr>
          <w:rStyle w:val="600"/>
          <w:rFonts w:ascii="Times New Roman" w:hAnsi="Times New Roman" w:cs="Times New Roman"/>
          <w:color w:val="000000" w:themeColor="text1"/>
          <w:sz w:val="16"/>
          <w:szCs w:val="16"/>
        </w:rPr>
        <w:t>Работы по модернизации взяло на себя ОКБ завода № 100</w:t>
      </w:r>
      <w:r w:rsidRPr="00070ADE">
        <w:rPr>
          <w:rStyle w:val="600"/>
          <w:rFonts w:ascii="Times New Roman" w:hAnsi="Times New Roman" w:cs="Times New Roman"/>
          <w:color w:val="000000" w:themeColor="text1"/>
          <w:sz w:val="16"/>
          <w:szCs w:val="16"/>
          <w:lang w:val="ru-RU"/>
        </w:rPr>
        <w:t xml:space="preserve"> (19880)</w:t>
      </w:r>
      <w:r w:rsidRPr="00070ADE">
        <w:rPr>
          <w:rStyle w:val="600"/>
          <w:rFonts w:ascii="Times New Roman" w:hAnsi="Times New Roman" w:cs="Times New Roman"/>
          <w:color w:val="000000" w:themeColor="text1"/>
          <w:sz w:val="16"/>
          <w:szCs w:val="16"/>
        </w:rPr>
        <w:t xml:space="preserve">. </w:t>
      </w:r>
    </w:p>
    <w:p w14:paraId="758BDD9C" w14:textId="77777777" w:rsidR="00315AAD" w:rsidRPr="00070ADE" w:rsidRDefault="00315AAD" w:rsidP="00B56F90">
      <w:pPr>
        <w:pStyle w:val="1131"/>
        <w:shd w:val="clear" w:color="auto" w:fill="auto"/>
        <w:spacing w:line="240" w:lineRule="auto"/>
        <w:ind w:firstLine="0"/>
        <w:rPr>
          <w:rStyle w:val="600"/>
          <w:rFonts w:ascii="Times New Roman" w:hAnsi="Times New Roman" w:cs="Times New Roman"/>
          <w:color w:val="000000" w:themeColor="text1"/>
          <w:sz w:val="16"/>
          <w:szCs w:val="16"/>
        </w:rPr>
      </w:pPr>
    </w:p>
    <w:p w14:paraId="3A545E2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апреля 1944 вышло Постановление ГКО № 5621 О сформировании двух эксплуатационных жел.-дор. бригад в составе шести эксплуатационных железнодорожных полков. (7210, 131-132).</w:t>
      </w:r>
    </w:p>
    <w:p w14:paraId="51ADF98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4AA2B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апреля 1944 вышло Распоряжение ГКО № 5622. О дополнительной мобилизации 2550 чел. в Белоруссии на торфоразработки. РГАНИР, Фонд ГКО, д. 234, лл. 133 (11012).</w:t>
      </w:r>
    </w:p>
    <w:p w14:paraId="3C4FE9F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0CF93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апреля 1944 вышло Распоряжение ГКО № 5623. О поставках топлива горьковским электростанциям. РГАНИР, Фонд ГКО, д. 234, лл. 134-135 (11012).</w:t>
      </w:r>
    </w:p>
    <w:p w14:paraId="164C30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3DF455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апреля 1944 вышло Постановление ГКО № 5624 Об отпуске продовольственных, госпитальных и фуражных пайков для Красной Армии, Военно-Морского Флота и войск НКВД в апреле 1944 г. РГАНИР, Фонд ГКО, д. 234, лл. 136-138,139-140 (11012).</w:t>
      </w:r>
    </w:p>
    <w:p w14:paraId="2774154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B60927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32DED0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F14AA4"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апреля в 1944 году оперативная сводка Совинформбюро:</w:t>
      </w:r>
    </w:p>
    <w:p w14:paraId="4BC93963"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13 апреля юго-западнее города Одесса наши войска в результате упорных боёв овладели районным центром Одесской области Овидиополь, населёнными пунктами Скурты, Молдова, Барабой, Санжийка, Томашевка, Дальник, Новый Посёлок, Грибовка и железнодорожными станциями Барабой, Овидиополь.</w:t>
      </w:r>
    </w:p>
    <w:p w14:paraId="01AB7392"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4-го Украинского фронта, развивая наступление, 13 апреля в результате стремительной атаки танковых соединений и пехоты овладели столицей Крыма городом Симферополь — основным опорным пунктом обороны противника, прикрывающим пути к портам южного побережья Крымского полуострова, городом и портом на Чёрном море Евпатория — важным опорным пунктом обороны немцев на западном побережье Крыма, а также с боями заняли более 500 других населённых пунктов, в том числе районные центры Крыма Джурчи, Ак-Шейх, крупные населённые пункты Новый Кизил-Бай, Атай, Кара-Най-Ман, Коджамбак, Константиновка, Эски-Али-Кечь, Биюк Бузав, Фрилинг, Бютень, Спат, Сарабуз Болгарский, Анновка, Табулды, Ново-Царицыно ижелезнодорожные станции Китай, Сарабуз, Кара-Кият. Отступая под ударами наших войск, противник несёт большие потери в живой силе и технике. По предварительным данным, к исходу 12 апреля войсками 4-го Украинского фронта захвачено в плен свыше 11.000 солдат и офицеров противника.</w:t>
      </w:r>
    </w:p>
    <w:p w14:paraId="297D4B08"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Отдельной Приморской армии прорвали оборону противника на Ак-Монайских позициях и, развивая наступление, 13 апреля овладели городом и портом на Чёрном море Феодосия — важным опорным пунктом обороны немцев на юго-восточном побережье Крыма, а также с боями заняли более 100 других населённых пунктов, в том числе районные центры Крыма — город Старый Крым, Ислам-Терек, узловую железнодорожную станцию Владиславовка, крупные населённые пункты Семёновка, Новый Карабай, Найман, Изюмовка, колония Болгарская, Коктебель и железнодорожные станции Сарыголь, Ислам-Терек, Киличи.</w:t>
      </w:r>
    </w:p>
    <w:p w14:paraId="46B44514"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предварительным данным, к исходу 12 апреля войсками Отдельной Приморской армии взято в плен более 9.000 солдат и офицеров противника.</w:t>
      </w:r>
    </w:p>
    <w:p w14:paraId="0CCAF293"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бои местного значения.</w:t>
      </w:r>
    </w:p>
    <w:p w14:paraId="60C8B0DD"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12 апреля наши войска на всех фронтах подбили и уничтожили 35 немецких танков. В воздушных боях и огнём зенитной артиллерии сбито 38 самолётов противника.</w:t>
      </w:r>
    </w:p>
    <w:p w14:paraId="0E3608B9"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Одесса наши войска продолжали наступление. В результате ожесточённых боёв советские войска овладели районным центром Одесской области Овидиополь и рядом других населённых пунктов. Остатки разбитых частей противника прижаты к Днестровскому лиману и непрерывно подвергаются обстрелу советской артиллерии. Наша авиация днём и ночью бомбардировала и штурмовала скопления живой силы, автотранспорта и железнодорожные эшелоны противника у переправы Бугазский маяк и на железнодорожной станции Аккерман. Советские лётчики разбили два железнодорожных эшелона, взорвали много вагонов, уничтожили до 100 автомашин и потопили несколько катеров и понтонов с войсками противника.</w:t>
      </w:r>
    </w:p>
    <w:p w14:paraId="49F94D0A"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4-го Украинского фронта продолжали успешное наступление. Противник пытался любой ценой удержать в своих руках город Симферополь, прикрывающий пути к южным портам Крыма. Немецкое командование подтянуло к Симферополю части, ещё не участвовавшие в боях. Однако гитлеровцы не устояли против натиска советских войск. Наши танковые соединения и пехота овладели селом Сарабуз Болгарский и одновременно с нескольких направлений атаковали противника, оборонявшего Симферополь. Специальные отряды немецкой полевой жандармерии останавливали отступавших в панике немецких солдат и расстреливали их на месте. Но и эти драконовские меры не помогли. Немецкому командованию не удалось навести порядок и организовать сколько-нибудь длительное сопротивление. Наши войска сломили сопротивление противника и сегодня днём овладели столицей Крыма городом Симферополь. Захвачены большие трофеи, в том числе 10 железнодорожных эшелонов с вооружением, боеприпасами и военным имуществом. Другие наши части, преследуя разгромленные немецкие и румынские войска, продвинулись вперёд более чем на 60 километров и ночным штурмом заняли город и порт Евпатория. В этом районе уничтожено до 2.000 гитлеровцев. Захвачено у немцев 70 орудий, 200 пулемётов, 69 миномётов, свыше 400 автомашин и повозок, несколько окладов с боеприпасами и военным имуществом. Количество трофеев и пленных ежечасно возрастает.</w:t>
      </w:r>
    </w:p>
    <w:p w14:paraId="7C0D5C6F"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Отдельной Приморской армии сломили сопротивление немцев на Ак-Монайских позициях и, преследуя их по пятам, ворвались в Феодосию. После непродолжительных уличных боёв наши бойцы овладели городом и портом Феодосия. Продолжая наступление, советские танкисты и пехотинцы быстро продвигаются на запад и по юго-восточному побережью Крыма. Несколько объединившихся партизанских отрядов, содействуя войскам Красной Армии, ворвались в город Старый Крым и отрезали пути отхода вражеским частям, в панике отступавшим из Феодосии. Совместными ударами советские бойцы и партизаны полностью разгромили эту группировку противника. Много немцев и румын сложило оружие и сдалось в плен. Захвачено 20 танков, 220 орудий и миномётов, 370 пулемётов, 3.000 лошадей, крупные склады с вооружением, боеприпасами и продовольствием. Все попытки противника закрепиться на промежуточных рубежах были сорваны стремительными действиями наших подвижных частей.</w:t>
      </w:r>
    </w:p>
    <w:p w14:paraId="27A00C6E"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Группа торпедных катеров Черноморского флота обнаружила у западного побережья Крыма две быстроходные десантные баржи противника, шедшие под охраной 15 сторожевых и торпедных катеров. Несмотря на значительное численное превосходство противника, советские торпедные катеры атаковали вражеские суда и, умело маневрируя, потопили быстроходную десантную баржу и сторожевой катер.</w:t>
      </w:r>
    </w:p>
    <w:p w14:paraId="4209A669"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порту южного побережья Крыма лётчики Черноморского флота потопили быстроходную десантную баржу противника.</w:t>
      </w:r>
    </w:p>
    <w:p w14:paraId="0741EACE"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белорусских партизанских отрядов, действующих в Барановичской области, за семь дней пустили под откос 13 немецких воинских эшелонов. В результате крушений уничтожено 11 паровозов, 7 цистерн с горючим, 80 вагонов и15 платформ с грузами. Партизаны отряда имени Дзержинского напали на немецкий карательный отряд. Партизаны истребили 80 гитлеровцев и освободили мирных советских граждан, которых немцы угоняли на каторгу в Германию. В другом районе советские патриоты взорвали 700 рельсов и вырезали 21 километр телеграфно-телефонной линии связи.» (15098).</w:t>
      </w:r>
    </w:p>
    <w:p w14:paraId="06D9A074" w14:textId="77777777" w:rsidR="006B4CCE" w:rsidRPr="00070ADE" w:rsidRDefault="006B4CCE" w:rsidP="00B56F90">
      <w:pPr>
        <w:spacing w:after="0" w:line="240" w:lineRule="auto"/>
        <w:jc w:val="both"/>
        <w:rPr>
          <w:rFonts w:ascii="Times New Roman" w:hAnsi="Times New Roman"/>
          <w:color w:val="000000" w:themeColor="text1"/>
          <w:sz w:val="16"/>
          <w:szCs w:val="16"/>
        </w:rPr>
      </w:pPr>
    </w:p>
    <w:p w14:paraId="65ED3DC8"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апреля в 1944 году оперативная сводка Совинформбюро:</w:t>
      </w:r>
    </w:p>
    <w:p w14:paraId="596811F9"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13 апреля юго-западнее города Одесса наши войска в результате упорных боёв овладели районным центром Одесской области Овидиополь, населёнными пунктами Скурты, Молдова, Барабой, Санжийка, Томашевка, Дальник, Новый Посёлок, Грибовка и железнодорожными станциями Барабой, Овидиополь.</w:t>
      </w:r>
    </w:p>
    <w:p w14:paraId="08866204"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4-го Украинского фронта, развивая наступление, 13 апреля в результате стремительной атаки танковых соединений и пехоты овладели столицей Крыма городом Симферополь — основным опорным пунктом обороны противника, прикрывающим пути к портам южного побережья Крымского полуострова, городом и портом на Чёрном море Евпатория — важным опорным пунктом обороны немцев на западном побережье Крыма, а также с боями заняли более 500 других населённых пунктов, в том числе районные центры Крыма Джурчи, Ак-Шейх, крупные населённые пункты Новый Кизил-Бай, Атай, Кара-Най-Ман, Коджамбак, Константиновка, Эски-Али-Кечь, Биюк Бузав, Фрилинг, Бютень, Спат, Сарабуз Болгарский, Анновка, Табулды, Ново-Царицыно ижелезнодорожные станции Китай, Сарабуз, Кара-Кият. Отступая под ударами наших войск, противник несёт большие потери в живой силе и технике. По предварительным данным, к исходу 12 апреля войсками 4-го Украинского фронта захвачено в плен свыше 11.000 солдат и офицеров противника.</w:t>
      </w:r>
    </w:p>
    <w:p w14:paraId="266ADDCA"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Войска Отдельной Приморской армии прорвали оборону противника на Ак-Монайских позициях и, развивая наступление, 13 апреля овладели городом и портом на Чёрном море Феодосия — важным опорным пунктом обороны немцев на юго-восточном побережье Крыма, а также с боями заняли более 100 других населённых </w:t>
      </w:r>
      <w:r w:rsidRPr="00070ADE">
        <w:rPr>
          <w:rFonts w:ascii="Times New Roman" w:hAnsi="Times New Roman"/>
          <w:color w:val="000000" w:themeColor="text1"/>
          <w:sz w:val="16"/>
          <w:szCs w:val="16"/>
        </w:rPr>
        <w:lastRenderedPageBreak/>
        <w:t>пунктов, в том числе районные центры Крыма — город Старый Крым, Ислам-Терек, узловую железнодорожную станцию Владиславовка, крупные населённые пункты Семёновка, Новый Карабай, Найман, Изюмовка, колония Болгарская, Коктебель и железнодорожные станции Сарыголь, Ислам-Терек, Киличи.</w:t>
      </w:r>
    </w:p>
    <w:p w14:paraId="6CCB59E8"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предварительным данным, к исходу 12 апреля войсками Отдельной Приморской армии взято в плен более 9.000 солдат и офицеров противника.</w:t>
      </w:r>
    </w:p>
    <w:p w14:paraId="50451D14"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бои местного значения.</w:t>
      </w:r>
    </w:p>
    <w:p w14:paraId="06797597"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12 апреля наши войска на всех фронтах подбили и уничтожили 35 немецких танков. В воздушных боях и огнём зенитной артиллерии сбито 38 самолётов противника.</w:t>
      </w:r>
    </w:p>
    <w:p w14:paraId="7CA0D5DA"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Одесса наши войска продолжали наступление. В результате ожесточённых боёв советские войска овладели районным центром Одесской области Овидиополь и рядом других населённых пунктов. Остатки разбитых частей противника прижаты к Днестровскому лиману и непрерывно подвергаются обстрелу советской артиллерии. Наша авиация днём и ночью бомбардировала и штурмовала скопления живой силы, автотранспорта и железнодорожные эшелоны противника у переправы Бугазский маяк и на железнодорожной станции Аккерман. Советские лётчики разбили два железнодорожных эшелона, взорвали много вагонов, уничтожили до 100 автомашин и потопили несколько катеров и понтонов с войсками противника.</w:t>
      </w:r>
    </w:p>
    <w:p w14:paraId="41390EA5"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4-го Украинского фронта продолжали успешное наступление. Противник пытался любой ценой удержать в своих руках город Симферополь, прикрывающий пути к южным портам Крыма. Немецкое командование подтянуло к Симферополю части, ещё не участвовавшие в боях. Однако гитлеровцы не устояли против натиска советских войск. Наши танковые соединения и пехота овладели селом Сарабуз Болгарский и одновременно с нескольких направлений атаковали противника, оборонявшего Симферополь. Специальные отряды немецкой полевой жандармерии останавливали отступавших в панике немецких солдат и расстреливали их на месте. Но и эти драконовские меры не помогли. Немецкому командованию не удалось навести порядок и организовать сколько-нибудь длительное сопротивление. Наши войска сломили сопротивление противника и сегодня днём овладели столицей Крыма городом Симферополь. Захвачены большие трофеи, в том числе 10 железнодорожных эшелонов с вооружением, боеприпасами и военным имуществом. Другие наши части, преследуя разгромленные немецкие и румынские войска, продвинулись вперёд более чем на 60 километров и ночным штурмом заняли город и порт Евпатория. В этом районе уничтожено до 2.000 гитлеровцев. Захвачено у немцев 70 орудий, 200 пулемётов, 69 миномётов, свыше 400 автомашин и повозок, несколько окладов с боеприпасами и военным имуществом. Количество трофеев и пленных ежечасно возрастает.</w:t>
      </w:r>
    </w:p>
    <w:p w14:paraId="44F3B2EC"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Отдельной Приморской армии сломили сопротивление немцев на Ак-Монайских позициях и, преследуя их по пятам, ворвались в Феодосию. После непродолжительных уличных боёв наши бойцы овладели городом и портом Феодосия. Продолжая наступление, советские танкисты и пехотинцы быстро продвигаются на запад и по юго-восточному побережью Крыма. Несколько объединившихся партизанских отрядов, содействуя войскам Красной Армии, ворвались в город Старый Крым и отрезали пути отхода вражеским частям, в панике отступавшим из Феодосии. Совместными ударами советские бойцы и партизаны полностью разгромили эту группировку противника. Много немцев и румын сложило оружие и сдалось в плен. Захвачено 20 танков, 220 орудий и миномётов, 370 пулемётов, 3.000 лошадей, крупные склады с вооружением, боеприпасами и продовольствием. Все попытки противника закрепиться на промежуточных рубежах были сорваны стремительными действиями наших подвижных частей.</w:t>
      </w:r>
    </w:p>
    <w:p w14:paraId="5423DF8D"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Группа торпедных катеров Черноморского флота обнаружила у западного побережья Крыма две быстроходные десантные баржи противника, шедшие под охраной 15 сторожевых и торпедных катеров. Несмотря на значительное численное превосходство противника, советские торпедные катеры атаковали вражеские суда и, умело маневрируя, потопили быстроходную десантную баржу и сторожевой катер.</w:t>
      </w:r>
    </w:p>
    <w:p w14:paraId="7F43F990"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порту южного побережья Крыма лётчики Черноморского флота потопили быстроходную десантную баржу противника.</w:t>
      </w:r>
    </w:p>
    <w:p w14:paraId="6DCA053E" w14:textId="77777777" w:rsidR="006B4CCE" w:rsidRPr="00070ADE" w:rsidRDefault="006B4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белорусских партизанских отрядов, действующих в Барановичской области, за семь дней пустили под откос 13 немецких воинских эшелонов. В результате крушений уничтожено 11 паровозов, 7 цистерн с горючим, 80 вагонов и15 платформ с грузами. Партизаны отряда имени Дзержинского напали на немецкий карательный отряд. Партизаны истребили 80 гитлеровцев и освободили мирных советских граждан, которых немцы угоняли на каторгу в Германию. В другом районе советские патриоты взорвали 700 рельсов и вырезали 21 километр телеграфно-телефонной линии связи.» (15098).</w:t>
      </w:r>
    </w:p>
    <w:p w14:paraId="7A380625" w14:textId="77777777" w:rsidR="006B4CCE" w:rsidRPr="00070ADE" w:rsidRDefault="006B4CCE" w:rsidP="00B56F90">
      <w:pPr>
        <w:spacing w:after="0" w:line="240" w:lineRule="auto"/>
        <w:jc w:val="both"/>
        <w:rPr>
          <w:rFonts w:ascii="Times New Roman" w:hAnsi="Times New Roman"/>
          <w:color w:val="000000" w:themeColor="text1"/>
          <w:sz w:val="16"/>
          <w:szCs w:val="16"/>
        </w:rPr>
      </w:pPr>
    </w:p>
    <w:p w14:paraId="5250A59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апреля 1944 советские войска освободили от фашистов Симферополь и Феодосию (4962).</w:t>
      </w:r>
    </w:p>
    <w:p w14:paraId="7AEC635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AC25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апреля 1944 4 группы ш Ил-2 в порту Судак потопили 2 баржи из 5, а 3 повредили. Вечером нанесли еще один удар и потопили еще одну баржу (430,199).</w:t>
      </w:r>
    </w:p>
    <w:p w14:paraId="3C2B37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FDDA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апреля 1944 на ЧФ был первый топмачтовый удар. 9 А-20 были использованы мористее Алушты по судам, эвакуирующим войска из Крыма (4414,10).</w:t>
      </w:r>
    </w:p>
    <w:p w14:paraId="05B29E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89F3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13 апреля по 10 мая 1944 л ЧМФ произвели 145 самолето-вылетов на топмачтовое бомбометание и потопили 14 транспортов, 6 быстроходных десантных барж, 6 сторожевых катеров, один сторожевик и один торпедный катер, ? транспортов, 3 баржи, 5 катеров было повреждено. 30-40% бомб поразили цель или взорвались в радиусе поражения (4365).</w:t>
      </w:r>
    </w:p>
    <w:p w14:paraId="3746BA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6B5E1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апреля 1944 вышло Постановление ГКО № 5619 О переводе 10 подводных лодок типа М с Тихоокеанского флота в Черное море. (7210, 127).</w:t>
      </w:r>
    </w:p>
    <w:p w14:paraId="450648F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29073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апреля 1944 вышло Постановление ГКО № 5620 О переводе шести больших охотников и двенадцати торпедных катеров типа "Воспер" с Северного флота на Черноморский флот. (7210, 128-130).</w:t>
      </w:r>
    </w:p>
    <w:p w14:paraId="4A059AC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0F6BB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EA3C7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186F28"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апреля в 1944 году во время налёта американской авиации уничтожен единственный недостроенный прототип истребителя «Marton» X/V (разработчик: «Marton», Венгрия). На истребитель установили два двигателя «Daimler-Benz» «DB-605» (1475 л.с.), которые должны были обеспечить максимальную скорость не менее 580 км\ч на расчетной высоте. Вооружение «Marton» X\V состояло из двух 20-мм пушек и двух 12,7-мм пулеметов, но на опытный образец его установить не успели. Программу строительства закрыли в том же году, посчитав, что будет лучшим сосредоточить усилия на выпуске лицензионных «Bf.109G» и «Me.210A» (15098).</w:t>
      </w:r>
    </w:p>
    <w:p w14:paraId="706D09CD" w14:textId="77777777" w:rsidR="001732E9" w:rsidRPr="00070ADE" w:rsidRDefault="001732E9" w:rsidP="00B56F90">
      <w:pPr>
        <w:spacing w:after="0" w:line="240" w:lineRule="auto"/>
        <w:jc w:val="both"/>
        <w:rPr>
          <w:rFonts w:ascii="Times New Roman" w:hAnsi="Times New Roman"/>
          <w:color w:val="000000" w:themeColor="text1"/>
          <w:sz w:val="16"/>
          <w:szCs w:val="16"/>
        </w:rPr>
      </w:pPr>
    </w:p>
    <w:p w14:paraId="221DE7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апреля 1944 английская миниподлодка серии ХЕ потопила небольшой транспорт в порту Бергден (3961, 70).</w:t>
      </w:r>
    </w:p>
    <w:p w14:paraId="70386E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F7B15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C5BDE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822A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А.С.Я. распоряжением N Н-35/1962 в дополнение к приказу НКАП и ВВС N 183/044 от 10 марта 1944 установил ли завода 482 Ф.Ф.Опадчему доп. зарплату за проведение совместных испытаний ДВБ-102 М-71 (2562,55).</w:t>
      </w:r>
    </w:p>
    <w:p w14:paraId="1B92B1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BD95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А.С.Я. распоряжением N Н-35/1963 установил ли завода Н.Д.Фиксону за проведение полных заводских испытаний ДДБШ 2хМ-71 П.О.С. доп. зарплату в 35000 руб. и утвердил бригаду в составе ви В.И.Фердецкого и б/м М.М.Симчурина (2562,55).</w:t>
      </w:r>
    </w:p>
    <w:p w14:paraId="352B3C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C7F4BD"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в 1944 году был заложен первый опытный экземпляр многоцелевой летающей лодки «ЛЛ-143» (ОКБ Бериева), а несколько позже и второй. Сроки выпуска первой машины были поставлены очень жесткие, из-за чего общие статиспытания решили не проводить, ограничившись нагружением отдельных узлов (15099).</w:t>
      </w:r>
    </w:p>
    <w:p w14:paraId="5004CAF4" w14:textId="77777777" w:rsidR="001732E9" w:rsidRPr="00070ADE" w:rsidRDefault="001732E9" w:rsidP="00B56F90">
      <w:pPr>
        <w:spacing w:after="0" w:line="240" w:lineRule="auto"/>
        <w:jc w:val="both"/>
        <w:rPr>
          <w:rFonts w:ascii="Times New Roman" w:hAnsi="Times New Roman"/>
          <w:color w:val="000000" w:themeColor="text1"/>
          <w:sz w:val="16"/>
          <w:szCs w:val="16"/>
        </w:rPr>
      </w:pPr>
    </w:p>
    <w:p w14:paraId="507305E2" w14:textId="77777777" w:rsidR="00AA41AF" w:rsidRPr="00070ADE" w:rsidRDefault="00AA41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г. в Красноярске был заложен первый опытный экземпляр ЛЛ-143, а несколько позже и второй. Сроки выпуска первой машины были поставлены очень жесткие, из-за чего общие статиспытания решили не проводить, ограничившись нагружением отдельных узлов.</w:t>
      </w:r>
    </w:p>
    <w:p w14:paraId="67B57DED" w14:textId="77777777" w:rsidR="00AA41AF" w:rsidRPr="00070ADE" w:rsidRDefault="00AA41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Первый самолет был собран через тринадцать месяцев после закладки. В конце мая 1945 г. его разобрали и по железной дороге перевезли в Таганрог, куда должно было возвратиться из эвакуации ОКБ. В начале 1946 г. сюда же привезли и второй незаконченный экземпляр ЛЛ-143.</w:t>
      </w:r>
    </w:p>
    <w:p w14:paraId="38ACCA3C" w14:textId="77777777" w:rsidR="00AA41AF" w:rsidRPr="00070ADE" w:rsidRDefault="00AA41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сборку и подготовку самолета в Таганроге ушло два месяца, и 15 августа 1945 г. начались заводские испытания, которые по предложению командующего авиацией ВМФ С.Ф.</w:t>
      </w:r>
    </w:p>
    <w:p w14:paraId="57D7312B" w14:textId="77777777" w:rsidR="00AA41AF" w:rsidRPr="00070ADE" w:rsidRDefault="00AA41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Жаворонкова совместили с государственными.</w:t>
      </w:r>
    </w:p>
    <w:p w14:paraId="7586227F" w14:textId="77777777" w:rsidR="00AA41AF" w:rsidRPr="00070ADE" w:rsidRDefault="00AA41A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Председателем государственной комиссии стал начальник 3-го ВМАУ ВВС ВМФ (Высшее морское авиационное училище Военно-Воздушных Сил Военно-Морского Флота) полковник В.Ф. Злыгарев, Г.М. Бериев стал его заместителем. Летчиками-испытателями назначались подполковник Н.П. Котяков и майор Ф.С. Лещенко, ведущим инженером по испытаниям — А.С. Корытин (23541).</w:t>
      </w:r>
    </w:p>
    <w:p w14:paraId="35E66736" w14:textId="77777777" w:rsidR="00AA41AF" w:rsidRPr="00070ADE" w:rsidRDefault="00AA41AF" w:rsidP="00B56F90">
      <w:pPr>
        <w:spacing w:after="0" w:line="240" w:lineRule="auto"/>
        <w:jc w:val="both"/>
        <w:rPr>
          <w:rFonts w:ascii="Times New Roman" w:hAnsi="Times New Roman"/>
          <w:color w:val="000000" w:themeColor="text1"/>
          <w:sz w:val="16"/>
          <w:szCs w:val="16"/>
        </w:rPr>
      </w:pPr>
    </w:p>
    <w:p w14:paraId="62EAD9BD" w14:textId="77777777" w:rsidR="009C0B20" w:rsidRPr="00070ADE" w:rsidRDefault="009C0B20"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в сборочном цехе завода 477 Г.М.Б. (Красноярск) состоялась торжественная (под оркестр) закладка ЛЛ-143 (2555,262) и несколько позже - второго (3939,4).</w:t>
      </w:r>
    </w:p>
    <w:p w14:paraId="66B02576" w14:textId="77777777" w:rsidR="009C0B20" w:rsidRPr="00070ADE" w:rsidRDefault="009C0B20"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4B6E76"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14 апреля 1944 г был заложен первый опытный экземпляр ЛЛ-143, а несколько позже и второй. Сроки выпуска первой машины были поставлены очень жесткие, из-за чего общие статиспытания решили не проводить, ограничившись нагружени</w:t>
      </w:r>
      <w:r w:rsidRPr="00C94B78">
        <w:rPr>
          <w:rFonts w:ascii="Times New Roman" w:hAnsi="Times New Roman"/>
          <w:color w:val="0070C0"/>
          <w:sz w:val="16"/>
          <w:szCs w:val="16"/>
        </w:rPr>
        <w:softHyphen/>
        <w:t>ем отдельных узлов (24974).</w:t>
      </w:r>
    </w:p>
    <w:p w14:paraId="29D97E55" w14:textId="77777777" w:rsidR="004D5A57" w:rsidRPr="00C94B78" w:rsidRDefault="004D5A57" w:rsidP="00B56F90">
      <w:pPr>
        <w:spacing w:after="0" w:line="240" w:lineRule="auto"/>
        <w:jc w:val="both"/>
        <w:rPr>
          <w:rFonts w:ascii="Times New Roman" w:hAnsi="Times New Roman"/>
          <w:color w:val="0070C0"/>
          <w:sz w:val="16"/>
          <w:szCs w:val="16"/>
        </w:rPr>
      </w:pPr>
    </w:p>
    <w:p w14:paraId="0E9A1F1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9A7C5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5FA46E" w14:textId="77777777" w:rsidR="00A61476" w:rsidRPr="00070ADE" w:rsidRDefault="00A614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года, то есть спустя всего неделю после подписания постановления ГКО №5583сс, в СКБ-2 подготовили чертёж модернизированного корпуса. Согласно требованиям, приоритетным стало изготовление сварной лобовой детали толщиной 90 мм. Согласно расчётам, такая конструкция была, как минимум, равноценна литой с более толстыми стенками. Собирался нос из двух деталей: верхней (240-50-77) и нижней (240-50-131), их сваривали в шип. Вместо смотрового лючка появлялся смотровой прибор (пробка) по типу Объекта 701 (деталь 240-50-78), который приваривался по центру верхнего лобового листа. Перед смотровым прибором приваривалось ограждение в виде дуги, которое должно было предотвратить попадание снарядов, рикошетирующих от верхней лобовой детали.</w:t>
      </w:r>
    </w:p>
    <w:p w14:paraId="2433D951" w14:textId="77777777" w:rsidR="00A61476" w:rsidRPr="00070ADE" w:rsidRDefault="00A614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Верхняя деталь 240-50-77 должна была изготавливаться при помощи штамповки. Подходящий для таких задач пресс имелся на Уральском заводе тяжёлого машиностроения (УЗТМ), на нём, в частности, штамповали башни для Т-34. Проблема в том, что на заводе №200 такого пресса не было. По этой причине к 29 апреля был подготовлен второй вариант модернизированного корпуса с иной конструкцией лобовой детали. Её сделали литой и единой (деталь 240-50-141). К ней приваривались смотровой прибор и его отбойник. Из-за того, что стойкость литой детали была ниже, чем стойкость катаной, толщину верхней части лобовой детали увеличили до 100 мм, а нижней — до 130 мм. Из-за переделки лобовой части пришлось менять и другие детали, например, подбашенную коробку (старое обозначение 240-50-Сб.127). Новый узел (240-50-Сб.166) в месте стыка с литой носовой деталью получился более узким (18099).</w:t>
      </w:r>
    </w:p>
    <w:p w14:paraId="7424CB98" w14:textId="77777777" w:rsidR="00A61476" w:rsidRPr="00070ADE" w:rsidRDefault="00A61476" w:rsidP="00B56F90">
      <w:pPr>
        <w:spacing w:after="0" w:line="240" w:lineRule="auto"/>
        <w:jc w:val="both"/>
        <w:rPr>
          <w:rFonts w:ascii="Times New Roman" w:hAnsi="Times New Roman"/>
          <w:color w:val="000000" w:themeColor="text1"/>
          <w:sz w:val="16"/>
          <w:szCs w:val="16"/>
        </w:rPr>
      </w:pPr>
    </w:p>
    <w:p w14:paraId="4D34E548" w14:textId="77777777" w:rsidR="00315AAD" w:rsidRPr="00070ADE" w:rsidRDefault="00315AAD" w:rsidP="00B56F90">
      <w:pPr>
        <w:pStyle w:val="113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14 апреля 1944 года, то есть спустя всего неделю после подписания постановления ГКО № 5583сс, в ОГК-ТП ЧКЗ подготовили чертеж модернизи</w:t>
      </w:r>
      <w:r w:rsidRPr="00070ADE">
        <w:rPr>
          <w:rFonts w:ascii="Times New Roman" w:hAnsi="Times New Roman" w:cs="Times New Roman"/>
          <w:color w:val="000000" w:themeColor="text1"/>
          <w:sz w:val="16"/>
          <w:szCs w:val="16"/>
        </w:rPr>
        <w:softHyphen/>
        <w:t>рованного корпуса</w:t>
      </w:r>
      <w:r w:rsidRPr="00070ADE">
        <w:rPr>
          <w:rFonts w:ascii="Times New Roman" w:hAnsi="Times New Roman" w:cs="Times New Roman"/>
          <w:color w:val="000000" w:themeColor="text1"/>
          <w:sz w:val="16"/>
          <w:szCs w:val="16"/>
          <w:lang w:val="ru-RU"/>
        </w:rPr>
        <w:t xml:space="preserve"> ИС-2</w:t>
      </w:r>
      <w:r w:rsidRPr="00070ADE">
        <w:rPr>
          <w:rFonts w:ascii="Times New Roman" w:hAnsi="Times New Roman" w:cs="Times New Roman"/>
          <w:color w:val="000000" w:themeColor="text1"/>
          <w:sz w:val="16"/>
          <w:szCs w:val="16"/>
        </w:rPr>
        <w:t>. Согласно требованиям, приоритетным стало изготовление сварной ло</w:t>
      </w:r>
      <w:r w:rsidRPr="00070ADE">
        <w:rPr>
          <w:rFonts w:ascii="Times New Roman" w:hAnsi="Times New Roman" w:cs="Times New Roman"/>
          <w:color w:val="000000" w:themeColor="text1"/>
          <w:sz w:val="16"/>
          <w:szCs w:val="16"/>
        </w:rPr>
        <w:softHyphen/>
        <w:t>бовой детали толщиной 90 мм. Именно такую конструкцию и разработали в Челябинске. Со</w:t>
      </w:r>
      <w:r w:rsidRPr="00070ADE">
        <w:rPr>
          <w:rFonts w:ascii="Times New Roman" w:hAnsi="Times New Roman" w:cs="Times New Roman"/>
          <w:color w:val="000000" w:themeColor="text1"/>
          <w:sz w:val="16"/>
          <w:szCs w:val="16"/>
        </w:rPr>
        <w:softHyphen/>
        <w:t>бирался нос из двух деталей: верхней (240-50</w:t>
      </w:r>
      <w:r w:rsidRPr="00070ADE">
        <w:rPr>
          <w:rFonts w:ascii="Times New Roman" w:hAnsi="Times New Roman" w:cs="Times New Roman"/>
          <w:color w:val="000000" w:themeColor="text1"/>
          <w:sz w:val="16"/>
          <w:szCs w:val="16"/>
        </w:rPr>
        <w:softHyphen/>
        <w:t>77) и нижней (240-50-131), которые сваривали в шип. Вместо смотрового лючка появлялся смотровой прибор (пробка) по образцу «Объ</w:t>
      </w:r>
      <w:r w:rsidRPr="00070ADE">
        <w:rPr>
          <w:rFonts w:ascii="Times New Roman" w:hAnsi="Times New Roman" w:cs="Times New Roman"/>
          <w:color w:val="000000" w:themeColor="text1"/>
          <w:sz w:val="16"/>
          <w:szCs w:val="16"/>
        </w:rPr>
        <w:softHyphen/>
        <w:t>екта 701» (деталь 240-50-78), который прива</w:t>
      </w:r>
      <w:r w:rsidRPr="00070ADE">
        <w:rPr>
          <w:rFonts w:ascii="Times New Roman" w:hAnsi="Times New Roman" w:cs="Times New Roman"/>
          <w:color w:val="000000" w:themeColor="text1"/>
          <w:sz w:val="16"/>
          <w:szCs w:val="16"/>
        </w:rPr>
        <w:softHyphen/>
        <w:t>ривался по центру верхнего лобового листа. Перед смотровым прибором приваривалось ограждение в виде дуги, которое должно было предотвратить попадание снарядов, рикоше</w:t>
      </w:r>
      <w:r w:rsidRPr="00070ADE">
        <w:rPr>
          <w:rFonts w:ascii="Times New Roman" w:hAnsi="Times New Roman" w:cs="Times New Roman"/>
          <w:color w:val="000000" w:themeColor="text1"/>
          <w:sz w:val="16"/>
          <w:szCs w:val="16"/>
        </w:rPr>
        <w:softHyphen/>
        <w:t>тирующих от верхней лобовой детали. Стоит также отметить, что деталь 240-50-77 имела довольно сложную форму и была не просто ка</w:t>
      </w:r>
      <w:r w:rsidRPr="00070ADE">
        <w:rPr>
          <w:rFonts w:ascii="Times New Roman" w:hAnsi="Times New Roman" w:cs="Times New Roman"/>
          <w:color w:val="000000" w:themeColor="text1"/>
          <w:sz w:val="16"/>
          <w:szCs w:val="16"/>
        </w:rPr>
        <w:softHyphen/>
        <w:t>таной, но еще и штампованной. В связи с изме</w:t>
      </w:r>
      <w:r w:rsidRPr="00070ADE">
        <w:rPr>
          <w:rFonts w:ascii="Times New Roman" w:hAnsi="Times New Roman" w:cs="Times New Roman"/>
          <w:color w:val="000000" w:themeColor="text1"/>
          <w:sz w:val="16"/>
          <w:szCs w:val="16"/>
        </w:rPr>
        <w:softHyphen/>
        <w:t>нением носовой детали поменялась и подба</w:t>
      </w:r>
      <w:r w:rsidRPr="00070ADE">
        <w:rPr>
          <w:rFonts w:ascii="Times New Roman" w:hAnsi="Times New Roman" w:cs="Times New Roman"/>
          <w:color w:val="000000" w:themeColor="text1"/>
          <w:sz w:val="16"/>
          <w:szCs w:val="16"/>
        </w:rPr>
        <w:softHyphen/>
        <w:t>шенная коробка (узел 240-50-Сб127).</w:t>
      </w:r>
    </w:p>
    <w:p w14:paraId="014CDFCA" w14:textId="77777777" w:rsidR="00315AAD" w:rsidRPr="00070ADE" w:rsidRDefault="00315AAD"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Конструкция спрямленной носовой дета</w:t>
      </w:r>
      <w:r w:rsidRPr="00070ADE">
        <w:rPr>
          <w:rFonts w:ascii="Times New Roman" w:hAnsi="Times New Roman"/>
          <w:color w:val="000000" w:themeColor="text1"/>
          <w:sz w:val="16"/>
          <w:szCs w:val="16"/>
        </w:rPr>
        <w:softHyphen/>
        <w:t>ли корпуса диктовалась требованиями ГБТУ КА. Другой вопрос, что катано-штампован</w:t>
      </w:r>
      <w:r w:rsidRPr="00070ADE">
        <w:rPr>
          <w:rFonts w:ascii="Times New Roman" w:hAnsi="Times New Roman"/>
          <w:color w:val="000000" w:themeColor="text1"/>
          <w:sz w:val="16"/>
          <w:szCs w:val="16"/>
        </w:rPr>
        <w:softHyphen/>
        <w:t>ную деталь 240-50-77 можно было изготов</w:t>
      </w:r>
      <w:r w:rsidRPr="00070ADE">
        <w:rPr>
          <w:rFonts w:ascii="Times New Roman" w:hAnsi="Times New Roman"/>
          <w:color w:val="000000" w:themeColor="text1"/>
          <w:sz w:val="16"/>
          <w:szCs w:val="16"/>
        </w:rPr>
        <w:softHyphen/>
        <w:t>лять на свердловском УЗТМ (Уральский завод тяжелого машиностроения), где имелся мощ</w:t>
      </w:r>
      <w:r w:rsidRPr="00070ADE">
        <w:rPr>
          <w:rFonts w:ascii="Times New Roman" w:hAnsi="Times New Roman"/>
          <w:color w:val="000000" w:themeColor="text1"/>
          <w:sz w:val="16"/>
          <w:szCs w:val="16"/>
        </w:rPr>
        <w:softHyphen/>
        <w:t>ный пресс (тот самый, которым штамповали башни Т-34), но не на заводе № 200. В НКТП понимали суть проблемы, поэтому 21 апреля вышел приказ по НКТП № 224с/061с, соглас</w:t>
      </w:r>
      <w:r w:rsidRPr="00070ADE">
        <w:rPr>
          <w:rFonts w:ascii="Times New Roman" w:hAnsi="Times New Roman"/>
          <w:color w:val="000000" w:themeColor="text1"/>
          <w:sz w:val="16"/>
          <w:szCs w:val="16"/>
        </w:rPr>
        <w:softHyphen/>
        <w:t>но которому завод № 200 вместо сварной но</w:t>
      </w:r>
      <w:r w:rsidRPr="00070ADE">
        <w:rPr>
          <w:rFonts w:ascii="Times New Roman" w:hAnsi="Times New Roman"/>
          <w:color w:val="000000" w:themeColor="text1"/>
          <w:sz w:val="16"/>
          <w:szCs w:val="16"/>
        </w:rPr>
        <w:softHyphen/>
        <w:t>совой части делал литую. Правда, первона</w:t>
      </w:r>
      <w:r w:rsidRPr="00070ADE">
        <w:rPr>
          <w:rFonts w:ascii="Times New Roman" w:hAnsi="Times New Roman"/>
          <w:color w:val="000000" w:themeColor="text1"/>
          <w:sz w:val="16"/>
          <w:szCs w:val="16"/>
        </w:rPr>
        <w:softHyphen/>
        <w:t>чально толщина стенок была иной. Согласно приказу, нижняя носовая часть изготовля</w:t>
      </w:r>
      <w:r w:rsidRPr="00070ADE">
        <w:rPr>
          <w:rFonts w:ascii="Times New Roman" w:hAnsi="Times New Roman"/>
          <w:color w:val="000000" w:themeColor="text1"/>
          <w:sz w:val="16"/>
          <w:szCs w:val="16"/>
        </w:rPr>
        <w:softHyphen/>
        <w:t>лась толщиной 90 мм, такую же толщину пла</w:t>
      </w:r>
      <w:r w:rsidRPr="00070ADE">
        <w:rPr>
          <w:rFonts w:ascii="Times New Roman" w:hAnsi="Times New Roman"/>
          <w:color w:val="000000" w:themeColor="text1"/>
          <w:sz w:val="16"/>
          <w:szCs w:val="16"/>
        </w:rPr>
        <w:softHyphen/>
        <w:t>нировали и для боковых стенок. 24 апреля ОГК-ТП ЧКЗ был подготовлен чертеж корпуса с литой носовой деталью (240-50-141). К ней приваривались смотровой прибор и его от</w:t>
      </w:r>
      <w:r w:rsidRPr="00070ADE">
        <w:rPr>
          <w:rFonts w:ascii="Times New Roman" w:hAnsi="Times New Roman"/>
          <w:color w:val="000000" w:themeColor="text1"/>
          <w:sz w:val="16"/>
          <w:szCs w:val="16"/>
        </w:rPr>
        <w:softHyphen/>
        <w:t>бойник. В то время как толщина верхней части лба корпуса составляла 100 мм, ниж</w:t>
      </w:r>
      <w:r w:rsidRPr="00070ADE">
        <w:rPr>
          <w:rFonts w:ascii="Times New Roman" w:hAnsi="Times New Roman"/>
          <w:color w:val="000000" w:themeColor="text1"/>
          <w:sz w:val="16"/>
          <w:szCs w:val="16"/>
        </w:rPr>
        <w:softHyphen/>
        <w:t>нюю часть усилили до 130 мм. Из-за передел</w:t>
      </w:r>
      <w:r w:rsidRPr="00070ADE">
        <w:rPr>
          <w:rFonts w:ascii="Times New Roman" w:hAnsi="Times New Roman"/>
          <w:color w:val="000000" w:themeColor="text1"/>
          <w:sz w:val="16"/>
          <w:szCs w:val="16"/>
        </w:rPr>
        <w:softHyphen/>
        <w:t>ки лобовой части пришлось менять и другие детали, например подбашенную коробку. Новый узел (240-50-Сб166) в месте стыка с литой носовой деталью получился более узким. Конечно, такое отступление от требо</w:t>
      </w:r>
      <w:r w:rsidRPr="00070ADE">
        <w:rPr>
          <w:rFonts w:ascii="Times New Roman" w:hAnsi="Times New Roman"/>
          <w:color w:val="000000" w:themeColor="text1"/>
          <w:sz w:val="16"/>
          <w:szCs w:val="16"/>
        </w:rPr>
        <w:softHyphen/>
        <w:t>ваний увеличило массу детали, но, как пока</w:t>
      </w:r>
      <w:r w:rsidRPr="00070ADE">
        <w:rPr>
          <w:rFonts w:ascii="Times New Roman" w:hAnsi="Times New Roman"/>
          <w:color w:val="000000" w:themeColor="text1"/>
          <w:sz w:val="16"/>
          <w:szCs w:val="16"/>
        </w:rPr>
        <w:softHyphen/>
        <w:t>зали дальнейшие события, увеличение тол</w:t>
      </w:r>
      <w:r w:rsidRPr="00070ADE">
        <w:rPr>
          <w:rFonts w:ascii="Times New Roman" w:hAnsi="Times New Roman"/>
          <w:color w:val="000000" w:themeColor="text1"/>
          <w:sz w:val="16"/>
          <w:szCs w:val="16"/>
        </w:rPr>
        <w:softHyphen/>
        <w:t>щины нижней части до 130 мм было оправ</w:t>
      </w:r>
      <w:r w:rsidRPr="00070ADE">
        <w:rPr>
          <w:rFonts w:ascii="Times New Roman" w:hAnsi="Times New Roman"/>
          <w:color w:val="000000" w:themeColor="text1"/>
          <w:sz w:val="16"/>
          <w:szCs w:val="16"/>
        </w:rPr>
        <w:softHyphen/>
        <w:t>данно (19880).</w:t>
      </w:r>
    </w:p>
    <w:p w14:paraId="7D31F9AF" w14:textId="77777777" w:rsidR="00315AAD" w:rsidRPr="00070ADE" w:rsidRDefault="00315AAD" w:rsidP="00B56F90">
      <w:pPr>
        <w:shd w:val="clear" w:color="auto" w:fill="FFFFFF"/>
        <w:spacing w:after="0" w:line="240" w:lineRule="auto"/>
        <w:jc w:val="both"/>
        <w:rPr>
          <w:rFonts w:ascii="Times New Roman" w:hAnsi="Times New Roman"/>
          <w:color w:val="000000" w:themeColor="text1"/>
          <w:sz w:val="16"/>
          <w:szCs w:val="16"/>
        </w:rPr>
      </w:pPr>
    </w:p>
    <w:p w14:paraId="42A377E3" w14:textId="77777777" w:rsidR="00A61476" w:rsidRPr="00070ADE" w:rsidRDefault="00A614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МЛ-20см выдержала испытания на скоростной отстрел 60 выстрелов, произведя их за 39 минут вместо положенного часа. Всего же за март-май 1944 года орудие произвело 249 выстрелов, из них 196 — усиленным зарядом. Скорострельность достигала 2,9 выстрела в минуту.</w:t>
      </w:r>
    </w:p>
    <w:p w14:paraId="143B0813" w14:textId="77777777" w:rsidR="00A61476" w:rsidRPr="00070ADE" w:rsidRDefault="00A614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итогам испытаний планировалось установить орудие в самоходку, но этого так и не произошло. Что же касается испытаний орудия, то они продолжались на заводе №172 до сентября 1944 года. В это время между НКТП, ГБТУ КА, НКТП и ГАУ шли споры относительно орудия. Наконец 2 октября 1944 года была дана команда отправить МЛ-20см на Кировский завод и установить в ИСУ-152. К середине октября, когда орудие доставили в Челябинск, выяснилось, что оно прибыло в недоработанном виде. В конце декабря ГАУ КА поставило перед заводом №172 вопрос о необходимости срочной доработки орудия и отправке конструкторов на ЧКЗ. Несмотря на это представители завода №172 прибыли в Челябинск только к середине февраля 1945 года. К тому моменту ситуация с модернизацией ИСУ вышла на новый уровень (18636).</w:t>
      </w:r>
    </w:p>
    <w:p w14:paraId="37B174C1" w14:textId="77777777" w:rsidR="00A61476" w:rsidRPr="00070ADE" w:rsidRDefault="00A61476" w:rsidP="00B56F90">
      <w:pPr>
        <w:spacing w:after="0" w:line="240" w:lineRule="auto"/>
        <w:jc w:val="both"/>
        <w:rPr>
          <w:rFonts w:ascii="Times New Roman" w:hAnsi="Times New Roman"/>
          <w:color w:val="000000" w:themeColor="text1"/>
          <w:sz w:val="16"/>
          <w:szCs w:val="16"/>
        </w:rPr>
      </w:pPr>
    </w:p>
    <w:p w14:paraId="2DD8DE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по заводу Уралмаш отдали распоряжение о немедленной подготовке к серийному производству СУ-100. Однако ЦАКБ снова потребовало формального выполнения постановления ГКО, то есть изготовления опытной САУ с пушкой С-34. Вновь потянулись переговоры и переписка по этому вопросу. В итоге было принято решение о частичной переделке пушки С-34, спроектированной изначально для вооружения тяжелого танка ИС-2 (3862).</w:t>
      </w:r>
    </w:p>
    <w:p w14:paraId="73D39B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Переделка, заключавшаяся в уменьшении ширины люльки на 160 мм, изготовлении новых вставных цапф, новой рамки, поворотного механизма, походного крепления, удалении прилива под спаренный пулемет и установке прицела, выполнялась на заводе №9 (3862).</w:t>
      </w:r>
    </w:p>
    <w:p w14:paraId="1800DA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САУ с орудием С-34 получила индекс СУ-100-2. Одновременно с ней построили второй опытный образец САУ СУ-100, которая стала головной для машин серийного производства и включала в себя все улучшения, рекомендованные госкомиссией (3862).</w:t>
      </w:r>
    </w:p>
    <w:p w14:paraId="73CB8D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0C1D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по заводу Уралмаш отдали распоряжение о немедленной подготовке к серийному производству артсамохода СУ-100. Однако ЦАКБ снова потребовало формального выполнения постановления ГКО, то есть изготовления опытной САУ с пушкой С-34. Вновь потянулись переговоры и переписка по этому вопросу. В итоге было принято решение о частичной переделке пушки С-34, спроектированной изначально для вооружения тяжелого танка ИС-2. Переделка, заключавшаяся в уменьшении ширины люльки на 160 мм, изготовлении новых вставных цапф, новой рамки, поворотного механизма, походного крепления, удалении прилива под спаренный пулемет и установке прицела, выполнялась на заводе № 9. Самоход с орудием С-34 получил индекс СУ-100-2. Одновременно с ним построили второй опытный образец самохода СУ-100, который стал головным для машин серийного производства и включал в себя все улучшения, рекомендованные госкомиссией. Его испытания проходили на АНИОПе с 24 по 28 июня 1944 года. После проведения стрельбы в количестве 923 выстрела и пробега на 250 км государственная комиссия признала, что "тактико-технические показатели СУ-100 обеспечивают успешное поражение современных бронетанковых средств противника на дистанциях 1500 м для танков "Тигр" и "Пантера" вне зависимости от точки попадания снаряда, а для артсамохода "Фердинанд" только при попадании в бортовую броню, но с дистанции 2000 м" (9637).</w:t>
      </w:r>
    </w:p>
    <w:p w14:paraId="62C960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28359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г. на основании результатов испыта</w:t>
      </w:r>
      <w:r w:rsidRPr="00070ADE">
        <w:rPr>
          <w:rFonts w:ascii="Times New Roman" w:hAnsi="Times New Roman"/>
          <w:color w:val="000000" w:themeColor="text1"/>
          <w:sz w:val="16"/>
          <w:szCs w:val="16"/>
        </w:rPr>
        <w:softHyphen/>
        <w:t>ний заводу было дано распоряжение о немедленной подготовке серийного производства самоходной установки СУ-100 (10703).</w:t>
      </w:r>
    </w:p>
    <w:p w14:paraId="640121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7A01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г. руководство завода решило не</w:t>
      </w:r>
      <w:r w:rsidRPr="00070ADE">
        <w:rPr>
          <w:rFonts w:ascii="Times New Roman" w:hAnsi="Times New Roman"/>
          <w:color w:val="000000" w:themeColor="text1"/>
          <w:sz w:val="16"/>
          <w:szCs w:val="16"/>
        </w:rPr>
        <w:softHyphen/>
        <w:t>медленно готовиться к серийному производству СУ-100 с учетом ликвидации отмеченных недостатков.</w:t>
      </w:r>
    </w:p>
    <w:p w14:paraId="559196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Казалось, что СУ-100 нашла путь в серию, но ЦАКБ нашло формальный повод настоять на выполнении поста</w:t>
      </w:r>
      <w:r w:rsidRPr="00070ADE">
        <w:rPr>
          <w:rFonts w:ascii="Times New Roman" w:hAnsi="Times New Roman"/>
          <w:color w:val="000000" w:themeColor="text1"/>
          <w:sz w:val="16"/>
          <w:szCs w:val="16"/>
        </w:rPr>
        <w:softHyphen/>
        <w:t>новления ГКО, то есть чтобы был изготовлен и испытан образец СУ-85 со 100-мм пушкой С-34.</w:t>
      </w:r>
    </w:p>
    <w:p w14:paraId="4D534B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Эта работа продлилась еще 2 месяца. 20 апреля на заводе № 100 пушка С-34 была демонтирована с танка ИС-5 (Объ</w:t>
      </w:r>
      <w:r w:rsidRPr="00070ADE">
        <w:rPr>
          <w:rFonts w:ascii="Times New Roman" w:hAnsi="Times New Roman"/>
          <w:color w:val="000000" w:themeColor="text1"/>
          <w:sz w:val="16"/>
          <w:szCs w:val="16"/>
        </w:rPr>
        <w:softHyphen/>
        <w:t>ект 248) и передана на Уралмашзавод для установки в СУ-85. Но установить указанную пушку в самоход не представля</w:t>
      </w:r>
      <w:r w:rsidRPr="00070ADE">
        <w:rPr>
          <w:rFonts w:ascii="Times New Roman" w:hAnsi="Times New Roman"/>
          <w:color w:val="000000" w:themeColor="text1"/>
          <w:sz w:val="16"/>
          <w:szCs w:val="16"/>
        </w:rPr>
        <w:softHyphen/>
        <w:t>лось возможным, о чем спустя два дня был извещен нарком танковой промышленности. Но 30 апреля совместным при</w:t>
      </w:r>
      <w:r w:rsidRPr="00070ADE">
        <w:rPr>
          <w:rFonts w:ascii="Times New Roman" w:hAnsi="Times New Roman"/>
          <w:color w:val="000000" w:themeColor="text1"/>
          <w:sz w:val="16"/>
          <w:szCs w:val="16"/>
        </w:rPr>
        <w:softHyphen/>
        <w:t>казом НКТП, НКВ, начальника ГАУ и командующего Бро</w:t>
      </w:r>
      <w:r w:rsidRPr="00070ADE">
        <w:rPr>
          <w:rFonts w:ascii="Times New Roman" w:hAnsi="Times New Roman"/>
          <w:color w:val="000000" w:themeColor="text1"/>
          <w:sz w:val="16"/>
          <w:szCs w:val="16"/>
        </w:rPr>
        <w:softHyphen/>
        <w:t>нетанковыми войсками Красной Армии завод обязывался изготовить опытный образец СУ-85 со 100-мм пушкой С-34 и к 10 мая закончить его заводские испытания и отгрузить на Гороховецкий полигон. Но пушка требовала проведения до</w:t>
      </w:r>
      <w:r w:rsidRPr="00070ADE">
        <w:rPr>
          <w:rFonts w:ascii="Times New Roman" w:hAnsi="Times New Roman"/>
          <w:color w:val="000000" w:themeColor="text1"/>
          <w:sz w:val="16"/>
          <w:szCs w:val="16"/>
        </w:rPr>
        <w:softHyphen/>
        <w:t>работок на артиллерийском заводе, которые были санкционированы только 5 мая. Наконец, завод № 9 провел доработ</w:t>
      </w:r>
      <w:r w:rsidRPr="00070ADE">
        <w:rPr>
          <w:rFonts w:ascii="Times New Roman" w:hAnsi="Times New Roman"/>
          <w:color w:val="000000" w:themeColor="text1"/>
          <w:sz w:val="16"/>
          <w:szCs w:val="16"/>
        </w:rPr>
        <w:softHyphen/>
        <w:t>ку артсистемы, которая заключалась в следующем:</w:t>
      </w:r>
    </w:p>
    <w:p w14:paraId="0F92D7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Ширина люльки уменьшена на 160 мм.</w:t>
      </w:r>
    </w:p>
    <w:p w14:paraId="0F7242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Изготовлены новые вставные цапфы.</w:t>
      </w:r>
    </w:p>
    <w:p w14:paraId="2D781E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Удален прилив под пулемет.</w:t>
      </w:r>
    </w:p>
    <w:p w14:paraId="7431A2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Изготовлена новая рамка (вместо рамки СУ-85), пово</w:t>
      </w:r>
      <w:r w:rsidRPr="00070ADE">
        <w:rPr>
          <w:rFonts w:ascii="Times New Roman" w:hAnsi="Times New Roman"/>
          <w:color w:val="000000" w:themeColor="text1"/>
          <w:sz w:val="16"/>
          <w:szCs w:val="16"/>
        </w:rPr>
        <w:softHyphen/>
        <w:t>ротный механизм и крепление по-походному по типу Д-10С (орудие С-34 крепления по-походному не имело).</w:t>
      </w:r>
    </w:p>
    <w:p w14:paraId="2F2E95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Изготовлен новый привод к прицелу (панораме), так как пушка имелатолько телескопический прицел. Машина получила индекс СУ-100-2 и была подана на Гороховецкий полигон. Тем временем туда же прибыл эта</w:t>
      </w:r>
      <w:r w:rsidRPr="00070ADE">
        <w:rPr>
          <w:rFonts w:ascii="Times New Roman" w:hAnsi="Times New Roman"/>
          <w:color w:val="000000" w:themeColor="text1"/>
          <w:sz w:val="16"/>
          <w:szCs w:val="16"/>
        </w:rPr>
        <w:softHyphen/>
        <w:t>лонный образец СУ-100 с орудием Д-10С, и конкуренты могли испытываться практически параллельно.</w:t>
      </w:r>
    </w:p>
    <w:p w14:paraId="29315A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Нетрудно догадаться, что указанные испытания, прове</w:t>
      </w:r>
      <w:r w:rsidRPr="00070ADE">
        <w:rPr>
          <w:rFonts w:ascii="Times New Roman" w:hAnsi="Times New Roman"/>
          <w:color w:val="000000" w:themeColor="text1"/>
          <w:sz w:val="16"/>
          <w:szCs w:val="16"/>
        </w:rPr>
        <w:softHyphen/>
        <w:t>денные в июне—июле 1944 г., завершились в пользу СУ-100 с пушкой Д-ЮС, которая постановлением ГКО № 6131 от 3 июля была принята на вооружение взамен СУ-85.</w:t>
      </w:r>
    </w:p>
    <w:p w14:paraId="657A15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принятие на вооружение СУ-100 вовсе не означа</w:t>
      </w:r>
      <w:r w:rsidRPr="00070ADE">
        <w:rPr>
          <w:rFonts w:ascii="Times New Roman" w:hAnsi="Times New Roman"/>
          <w:color w:val="000000" w:themeColor="text1"/>
          <w:sz w:val="16"/>
          <w:szCs w:val="16"/>
        </w:rPr>
        <w:softHyphen/>
        <w:t>ло, что они тут же широким потоком хлынут на фронт. Ведь бронебойный снаряд и выстрел с ним к июлю еще не были отработаны в серии, и их освоение промышленнос</w:t>
      </w:r>
      <w:r w:rsidRPr="00070ADE">
        <w:rPr>
          <w:rFonts w:ascii="Times New Roman" w:hAnsi="Times New Roman"/>
          <w:color w:val="000000" w:themeColor="text1"/>
          <w:sz w:val="16"/>
          <w:szCs w:val="16"/>
        </w:rPr>
        <w:softHyphen/>
        <w:t>тью ожидалось лишь в IV квартале. А фронт не ждал.</w:t>
      </w:r>
    </w:p>
    <w:p w14:paraId="179F91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Чтобы в кратчайшее время дать фронту мощную про</w:t>
      </w:r>
      <w:r w:rsidRPr="00070ADE">
        <w:rPr>
          <w:rFonts w:ascii="Times New Roman" w:hAnsi="Times New Roman"/>
          <w:color w:val="000000" w:themeColor="text1"/>
          <w:sz w:val="16"/>
          <w:szCs w:val="16"/>
        </w:rPr>
        <w:softHyphen/>
        <w:t>тивотанковую САУ, КБ Уралмашзавода под руководством Л.И. Горлицкого решило идти по пути, уже опробованно</w:t>
      </w:r>
      <w:r w:rsidRPr="00070ADE">
        <w:rPr>
          <w:rFonts w:ascii="Times New Roman" w:hAnsi="Times New Roman"/>
          <w:color w:val="000000" w:themeColor="text1"/>
          <w:sz w:val="16"/>
          <w:szCs w:val="16"/>
        </w:rPr>
        <w:softHyphen/>
        <w:t>му ЧКЗ и опытным заводом № 100, предложив в конце июля 1944 г. вооружить СУ-100 122-мм самоходной пуш</w:t>
      </w:r>
      <w:r w:rsidRPr="00070ADE">
        <w:rPr>
          <w:rFonts w:ascii="Times New Roman" w:hAnsi="Times New Roman"/>
          <w:color w:val="000000" w:themeColor="text1"/>
          <w:sz w:val="16"/>
          <w:szCs w:val="16"/>
        </w:rPr>
        <w:softHyphen/>
        <w:t>кой Д-25С, разработка которой была завершена на заводе № 9 НКВ и которая по установочным местам соответство</w:t>
      </w:r>
      <w:r w:rsidRPr="00070ADE">
        <w:rPr>
          <w:rFonts w:ascii="Times New Roman" w:hAnsi="Times New Roman"/>
          <w:color w:val="000000" w:themeColor="text1"/>
          <w:sz w:val="16"/>
          <w:szCs w:val="16"/>
        </w:rPr>
        <w:softHyphen/>
        <w:t>вала как 100-мм пушке Д-10С, так и 85-мм пушке Д-5С. Единственным отличием интерьера нового самохода, по</w:t>
      </w:r>
      <w:r w:rsidRPr="00070ADE">
        <w:rPr>
          <w:rFonts w:ascii="Times New Roman" w:hAnsi="Times New Roman"/>
          <w:color w:val="000000" w:themeColor="text1"/>
          <w:sz w:val="16"/>
          <w:szCs w:val="16"/>
        </w:rPr>
        <w:softHyphen/>
        <w:t>лучившего индекс СУ-122П, было крепление боекомп</w:t>
      </w:r>
      <w:r w:rsidRPr="00070ADE">
        <w:rPr>
          <w:rFonts w:ascii="Times New Roman" w:hAnsi="Times New Roman"/>
          <w:color w:val="000000" w:themeColor="text1"/>
          <w:sz w:val="16"/>
          <w:szCs w:val="16"/>
        </w:rPr>
        <w:softHyphen/>
        <w:t>лекта. Потому проектные работы были завершены в ко</w:t>
      </w:r>
      <w:r w:rsidRPr="00070ADE">
        <w:rPr>
          <w:rFonts w:ascii="Times New Roman" w:hAnsi="Times New Roman"/>
          <w:color w:val="000000" w:themeColor="text1"/>
          <w:sz w:val="16"/>
          <w:szCs w:val="16"/>
        </w:rPr>
        <w:softHyphen/>
        <w:t>роткий срок. Данные по бронепробиванию 122-мм пушки Д-25С были практически идентичны Д-10С (таблично Д-25 проигрывала в бронепробиваемости Д-10 в среднем 4—5 мм), а осколочно-фугасное действие превышало поч</w:t>
      </w:r>
      <w:r w:rsidRPr="00070ADE">
        <w:rPr>
          <w:rFonts w:ascii="Times New Roman" w:hAnsi="Times New Roman"/>
          <w:color w:val="000000" w:themeColor="text1"/>
          <w:sz w:val="16"/>
          <w:szCs w:val="16"/>
        </w:rPr>
        <w:softHyphen/>
        <w:t>ти вдвое. По массе, подвижности и проходимости СУ-12211 практически не отличалась от СУ-100, и лишь малая скорострельность портила впечатление о машине (11417).</w:t>
      </w:r>
    </w:p>
    <w:p w14:paraId="5FAD19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C920BB"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г.</w:t>
      </w:r>
    </w:p>
    <w:p w14:paraId="4FF972F6"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Фонд 38 Опись 11355а Дело 367 Листы 1 – 34</w:t>
      </w:r>
    </w:p>
    <w:p w14:paraId="2FBC16B8"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СЕКРЕТНО</w:t>
      </w:r>
    </w:p>
    <w:p w14:paraId="5DC05208"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Экз. № 1</w:t>
      </w:r>
    </w:p>
    <w:p w14:paraId="3617D7C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НАУЧНО-ИСПЫТАТЕЛЬНЫЙ БРОНЕТАНКОВЫЙ ПОЛИГОН ГБТУ КА</w:t>
      </w:r>
    </w:p>
    <w:p w14:paraId="4BBE6D3F"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«УТВЕРЖДАЮ»</w:t>
      </w:r>
    </w:p>
    <w:p w14:paraId="6371F64E"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НИБТ Полигона</w:t>
      </w:r>
    </w:p>
    <w:p w14:paraId="2603082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Генерал-Майор Танковых войск (Романов)</w:t>
      </w:r>
    </w:p>
    <w:p w14:paraId="5D5D40C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подпись инженер-подполковника А.М. Сыча</w:t>
      </w:r>
    </w:p>
    <w:p w14:paraId="5D8BB084"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г.</w:t>
      </w:r>
    </w:p>
    <w:p w14:paraId="52FFB30F"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ОТЧЕТ</w:t>
      </w:r>
    </w:p>
    <w:p w14:paraId="36853100"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"Причины выхода из строя двигателя В-2 раньше гарантийного срока"</w:t>
      </w:r>
    </w:p>
    <w:p w14:paraId="2EB58BB7"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Лабораторный отдел</w:t>
      </w:r>
    </w:p>
    <w:p w14:paraId="05BDC699"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 г.</w:t>
      </w:r>
    </w:p>
    <w:p w14:paraId="5C788A43"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ОГЛАВЛЕНИЕ</w:t>
      </w:r>
    </w:p>
    <w:p w14:paraId="175D0C67"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ВВЕДЕНИЕ.</w:t>
      </w:r>
    </w:p>
    <w:p w14:paraId="67B179A6"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Изучение причин преждевременного выхода из строя двигателей В-2-34 и В-2К производилось НИБТ Полигоном по тем дефектам двигателей, которые были обнаружены главным образом в процессе гарантийных испытаний танков Т-34 и КВ-1с в 1943 г. Кроме этого были изучены также дефекты этих двигателей, имевшие место во время боевых действий 16-го танкового корпуса в феврале – марте 1943 года.</w:t>
      </w:r>
    </w:p>
    <w:p w14:paraId="1E94B1EB"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Выход двигателей В-2-34 и В-2К из строя раньше гарантийного срока объясняется с одной стороны конструктивными недостатками отдельных узлов или вспомогательных агрегатов двигателя, с другой стороны имеют место производственные дефекты, относящиеся или к неправильной технологии обработки деталей или к недостаточному техническому контролю за изготовлением и сборкой.</w:t>
      </w:r>
    </w:p>
    <w:p w14:paraId="497A4B54"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Производственные дефекты, обнаруженные на двигателях разных моторостроительных заводов, характеризуют собою качество работы последних. В приведенной ниже таблице показано состояние двигателей В-2 различных заводов-изготовителей в процессе гарантийных испытаний.</w:t>
      </w:r>
    </w:p>
    <w:p w14:paraId="73A8AFE0"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видно из приведенной таблицы, несмотря на однотипную конструкцию двигателей, но изготовленных различными заводами, наименьший процент преждевременного выхода из строя показали двигатели завода № 76. Двигатели заводов № 75 и № 77 показали более низкие результаты, что можно объяснить худшей постановкой на этих заводах технологии производства и контроля.</w:t>
      </w:r>
    </w:p>
    <w:p w14:paraId="297026D4"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 ПРОГРАММА РАБОТ.</w:t>
      </w:r>
    </w:p>
    <w:p w14:paraId="4E8E4FA2"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ЦЕЛЬ РАБОТЫ:</w:t>
      </w:r>
    </w:p>
    <w:p w14:paraId="4491D1AB"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Определить причины выхода из строя отдельных агрегатов и деталей двигателей В-2 в пределах испытаний танков на гарантийный километраж.</w:t>
      </w:r>
    </w:p>
    <w:p w14:paraId="29256277"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ОБЪЕМ РАБОТ:</w:t>
      </w:r>
    </w:p>
    <w:p w14:paraId="1A3F44CD"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 процессе гарантийных испытаний на Полигоне выявить характер неисправностей следующих узлов и агрегатов:</w:t>
      </w:r>
    </w:p>
    <w:p w14:paraId="083F3096"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Поршневая группа;</w:t>
      </w:r>
    </w:p>
    <w:p w14:paraId="7B37A23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Коленчатый вал и вкладыши подшипников;</w:t>
      </w:r>
    </w:p>
    <w:p w14:paraId="2057DD65"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Прокладка под головку блока;</w:t>
      </w:r>
    </w:p>
    <w:p w14:paraId="65D5406F"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Водяной насос;</w:t>
      </w:r>
    </w:p>
    <w:p w14:paraId="4115CCDF"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Топливный насос и форсунки;</w:t>
      </w:r>
    </w:p>
    <w:p w14:paraId="7C616C16"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Болты и шпильки крепления.</w:t>
      </w:r>
    </w:p>
    <w:p w14:paraId="407C8978"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Определить причины, лимитирующие срок службы двигателя и найти возможные мероприятия для повышения его долговечности.</w:t>
      </w:r>
    </w:p>
    <w:p w14:paraId="04B295A4"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2. ПОРШНЕВАЯ ГРУППА.</w:t>
      </w:r>
    </w:p>
    <w:p w14:paraId="52236E46"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процессе гарантийных испытаний танков на Полигоне за 1943 год из 30 танков Т-34 с дизельмоторами В-2, 12 танков не выдержали испытаний вследствие выхода из строя двигателя. В 16 танковом корпусе за двухмесячный срок его боевых действий 47 танков имели техническую неисправность по двигателям, что составило 76% от общего количества технически неисправных танков Т-34.</w:t>
      </w:r>
    </w:p>
    <w:p w14:paraId="344A4806"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Наиболее значительным дефектом двигателя в процессе его эксплоатации является преждевременный износ поршневых колец. Вследствие повышенного износа поршневых колец у двигателя теряется компрессия, что приводит к снижению мощности двигателя и увеличению расхода масла. Количество случаев преждевременного износа поршневых колец у двигателя В2-34 в процессе испытаний танков на гарантийный километраж представлено в таблице № 1.</w:t>
      </w:r>
    </w:p>
    <w:p w14:paraId="20B9EACB"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видно из таблицы № 1, четыре танка не выдержали гарантийных испытаний вследствие преждевременного износа поршневых колец двигателя, что составляет 13% от общего количества участвовавших танков Т-34 в испытаниях. Преждевременный, повышенный износ поршневых колец также наблюдался у двигателей В-2К. Из четырех танков КВ-1с, участвовавших в испытаниях (с февраля по август месяц 1943 г.), один двигатель В-2К не выдержал гарантийного километража вследствие больших износов поршневых колец.</w:t>
      </w:r>
    </w:p>
    <w:p w14:paraId="177134B5"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Гарантийными испытаниями установлено, что износ поршневых колец в некоторых случаях достигает недопустимых пределов.</w:t>
      </w:r>
    </w:p>
    <w:p w14:paraId="6CFFB7C0"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Следует отметить, что увеличенные износы поршневых колец особенно наблюдаются при эксплуатации танков в летних условиях по проселочным дорогам в ясную погоду, когда при движении машины образуется большое количество пыли.</w:t>
      </w:r>
    </w:p>
    <w:p w14:paraId="29394334"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разборке нескольких двигателей после 80 – 85 часов их эксплоатации были обнаружены большие износы поршневых колец, конусы второго и третьего кольца всех поршней были полностью сработаны, зазор в замках у всех колец достигал 5 – 6 мм. Чрезмерно большие износы поршневых колец вызывали повышенные расходы масла. Так, например, при работе дизельмотора В2-34 № КР-304-648 Кировского завода с танка завода 183 (апрельский выпуск) на 75 часу его работы (1300 км) резко увеличился расход масла (см. рис. № 1). Причиной большого расхода масла является повышенный износ поршневых колец, особенно в правой группе. После замены поршневых колец этой группы на новые, расход масла уменьшился на 30 – 50% против максимального расхода на 85 часу работы двигателя.</w:t>
      </w:r>
    </w:p>
    <w:p w14:paraId="14D3DE83"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Плавное снижение расхода масла после смены поршневых колец правой группы (85 – 110 часов работы двигателя) объясняется приработкой новых колец, а сравнительно высокий уровень расхода масла является следствием повышенного износа поршневых колец в левой группе. Из графика также видно, что часовой расход масла после 60 – 70 часов работы всех двигателей резко увеличивается и в некоторых случаях достигает 12 – 18 кг/ч, т.е. в 5 – 6 раз больше нормального. Резкое повышение расхода масла на 34 часу работы двигателя танка Кировского завода следует отнести за счет механических повреждений поршневой группы левого блока, так как в цилиндры, особенно в первый, попали осколки разрушенного вентилятора.</w:t>
      </w:r>
    </w:p>
    <w:p w14:paraId="1F0BF90B"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на рис. № 2 и № 3 приведены кривые зависимости расхода масла в процессе работы двигателей во время гарантийных испытаний танков июньского и августовского выпуска.</w:t>
      </w:r>
    </w:p>
    <w:p w14:paraId="295DF057"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1. Часовой расход масла двигателей В-2 (апрельский выпуск).</w:t>
      </w:r>
    </w:p>
    <w:p w14:paraId="13DA0F2D"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2. Часовой расход масла двигателей В-2 (июньский выпуск).</w:t>
      </w:r>
    </w:p>
    <w:p w14:paraId="2F84F575"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3. Часовой расход масла двигателей В-2 (августовский выпуск).</w:t>
      </w:r>
    </w:p>
    <w:p w14:paraId="1AC9679E"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наблюдений по гарантийным испытаниям установлено, что двигатели 77 завода имеют больше случаев преждевременного износа поршневых колец, чем двигатели других заводов, а в отдельных случаях двигатели 77 завода окончательно выходили из строя после 80 – 85 часов своей работы.</w:t>
      </w:r>
    </w:p>
    <w:p w14:paraId="3B98D145"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приведенных кривых часового расхода масла (см. рис. № 1, № 2, № 3) видно, что у двигателей В-2 апрельского выпуска наблюдается наибольший расход масла. Повышенные расходы масла двигателей апрельской партии следует отнести за счет повышенного износа поршневых колец. Испытания танков в этом случае производились при ясной погоде по пыльным полевым и проселочным дорогам, тогда как испытания июньской и других партий танков производились в основном в дождливую погоду, что исключало возможность образования запыленных участков пути.</w:t>
      </w:r>
    </w:p>
    <w:p w14:paraId="70A118B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вышеизложенного следует, что основной причиной, вызывающей повышенные износы поршневых колец, является неудовлетворительная фильтрация воздуха, поступающего для питания двигателя.</w:t>
      </w:r>
    </w:p>
    <w:p w14:paraId="6F3EC7E0"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Фильтрация воздуха.</w:t>
      </w:r>
    </w:p>
    <w:p w14:paraId="5686C5A6"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Во время гарантийных испытаний было установлено, что воздушные фильтры танков Т-34 и КВ-1с, в силу своих конструктивных недостатков, а также вследствие забора воздуха из наиболее запыленной части танка (трансмиссионное отделение), не обеспечивают в летних условиях требуемую очистку воздуха от пыли. Плохая фильтрация воздуха приводит к быстрому износу поршневых колец, особенно верхней части уплотнительного пояса. На рис. № 4 представлен поршень с отложением пыли на днище после 48 часов работы двигателя В-2. Отложение пыли представляло твердую корку толщиной до 1 – 1,5 мм.</w:t>
      </w:r>
    </w:p>
    <w:p w14:paraId="0B595317"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двигателях В2-34 воздухоочистители "Циклон" в условиях сильной запыленности требуют очистки фильтрующего материала через 2 – 3 часа, тогда как по тактическим соображениям очистка фильтров должна производиться через 10 – 12 часов. Указанный срок работоспособности воздухоочистителей (2 – 3 часа) не позволяет совершать безостановочные марши в летний период на 120 – 150 км.</w:t>
      </w:r>
    </w:p>
    <w:p w14:paraId="7CD54E67"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Бункера воздухоочистителей, при пыльной дороге, быстро заполняются пылью, и очистка воздуха еще более ухудшается. Так, например, за 90 – 95 км пробега танка Т-34 в бункерах воздухоочистителей накапливалось по 5 – 6 кг пыли.</w:t>
      </w:r>
    </w:p>
    <w:p w14:paraId="1E2DB656"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Загрязненность фильтрующего материала, кроме повышенных износов поршневой группы, оказывает большое сопротивление проходящему через него воздуху, что приводит к снижению мощности двигателя.</w:t>
      </w:r>
    </w:p>
    <w:p w14:paraId="5AB8D0E4"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4. Поршень с отложением слоя пыли на днище.</w:t>
      </w:r>
    </w:p>
    <w:p w14:paraId="7F3297E3"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5. Накапливание пыли в бункере воздухоочистителя через 10 часов работы двигателя при движении танка по пыльной дороге.</w:t>
      </w:r>
    </w:p>
    <w:p w14:paraId="52F9D03B"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Быстрое засорение фильтрующего материала воздухоочистителей объясняется подводом воздуха к ним из наиболее запыленной части танка – отделения трансмиссии.</w:t>
      </w:r>
    </w:p>
    <w:p w14:paraId="54B64F82"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Подобный недостаток является существенным фактором, так как при движении танка основная часть пыли образуется у кормы машины.</w:t>
      </w:r>
    </w:p>
    <w:p w14:paraId="71151387"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Отсутствие предварительной фильтрации воздуха, поступающего в танк, от крупных механических частиц и посторонних предметов, способствует быстрому засорению воздушных фильтров и особенно засорению радиаторов системы охлаждения двигателя, что снижает эффективность охлаждения двигателя и способствует его перегревам.</w:t>
      </w:r>
    </w:p>
    <w:p w14:paraId="509B120F"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Крупные металлические сетки, установленные на входных воздушных окнах, не задерживают крупных частиц грунта, листьев и прочих посторонних предметов. При движении танка в условиях пыльной дороги через 500 км нижняя часть радиаторов плотно забивается пылью и др. механическими частицами на 20 – 25% высоты радиаторов, через 1000 км засорение радиаторов достигает 40 – 50%. Таким образом, поверхность теплоотдачи радиаторов уменьшается на 25 – 50%, что значительно уменьшает отвод тепла от воды и двигателя в целом.</w:t>
      </w:r>
    </w:p>
    <w:p w14:paraId="6810B891"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Некоторое увеличение скорости воздушного потока при этом, за счет уменьшения проходного сечения радиаторов, не компенсирует потерю поверхности теплоотдачи, тем более что скорость воздушного потока входит в формулу для подсчета теплоотдачи в степени = 0,8.</w:t>
      </w:r>
    </w:p>
    <w:p w14:paraId="64857AD3"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улучшения фильтрации воздуха, поступающего в двигатель возможны следующие мероприятия:</w:t>
      </w:r>
    </w:p>
    <w:p w14:paraId="6FC5DCE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Предохранить радиаторы системы охлаждения двигателя от засорения их в летних условиях пылью, листьями и др. посторонними предметами, снижающим эффективность охлаждения двигателя.</w:t>
      </w:r>
    </w:p>
    <w:p w14:paraId="14B935A2"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Улучшить конструкцию воздушных фильтров и осуществить подвод воздуха к ним их менее запыленной части танка или на весенне-летний период из боевого отделения.</w:t>
      </w:r>
    </w:p>
    <w:p w14:paraId="204B50E9"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Осуществить двойную фильтрацию воздуха путем постановки снаружи танка инерционных воздушных фильтров типа "Мультициклон". Назначение фильтра – дать предварительную очистку воздуха, который поступает в воздушный фильтр тонкой очистки, установленный в танке.</w:t>
      </w:r>
    </w:p>
    <w:p w14:paraId="046BB1F2"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6. Эскиз первичного воздухоочистителя с танка Т-VI (Тигр).</w:t>
      </w:r>
    </w:p>
    <w:p w14:paraId="32964657"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Подобные мероприятия отмечались НИБТ Полигоном еще в 1943 г. в отчетах по гарантийным испытаниям танков апрельского выпуска. Следует отметить, что на немецких танках последних выпусков Т-VI ("Тигр") осуществлена двойная очистка воздуха, поступающего в двигатель. Первичные воздухоочистители "Мультициклон" (см. схему рис. № 6) устанавливаются снаружи танка – на заднем кормовом листе. На танке установлено четыре таких фильтра, объединенных попарно.</w:t>
      </w:r>
    </w:p>
    <w:p w14:paraId="4A153EA3"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Масляный радиатор.</w:t>
      </w:r>
    </w:p>
    <w:p w14:paraId="2C10D48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повышение температурного режима двигателя влияет также отсутствие в танках масляных радиаторов. Как выяснилось при ходовых испытаниях танка завода № 183 (июньского выпуска) масляный радиатор обеспечивает работу двигателя без перегрева масла при эксплоатации танка в тяжелых дорожных условиях. Ниже показан график температур выходящего масла с включенным и выключенным радиатором при движении танка по проселочной дороге со скоростью 15 км/час.</w:t>
      </w:r>
    </w:p>
    <w:p w14:paraId="1CB6D6D4"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7. Изменение температур выходящего масла двигателя В2-34 с включенным и выключенным масляным радиатором.</w:t>
      </w:r>
    </w:p>
    <w:p w14:paraId="2D5C3FEF"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видно из графика, температура выходящего масла при включенном радиаторе не превышает 90°С при работе двигателя на эксплоатационных режимах и температуре наружного воздуха до +24°С. Таким образом, масляный радиатор понижает температуру выходящего масла на 10° – 15°С, входящего масла на 20°С и повышает давление масла в системе на 1,1 кг/см² (подробно см. отчет НИП № 140 за 1943 год).</w:t>
      </w:r>
    </w:p>
    <w:p w14:paraId="470D8126"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Отсутствие в системе смазки двигателя масляного радиатора способствует перегревам двигателя и снижает среднюю скорость движения танка в летних условиях.</w:t>
      </w:r>
    </w:p>
    <w:p w14:paraId="6C207A06"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3. КОЛЕНЧАТЫЙ ВАЛ И ПОДШИПНИКИ.</w:t>
      </w:r>
    </w:p>
    <w:p w14:paraId="34F6359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КОЛЕНЧАТЫЙ ВАЛ.</w:t>
      </w:r>
    </w:p>
    <w:p w14:paraId="64737E35"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Коленчатый вал и коренные подшипники воспринимают на себя все ударные нагрузки, передаваемые от поршня через шатуны двигателя. Устранение дефектов коленчатого вала требует затраты большого времени и не всегда возможно в полевых условиях.</w:t>
      </w:r>
    </w:p>
    <w:p w14:paraId="3DBD9D9B"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Большим дефектом в коленчатом вале является образование трещин в шейках и носке коленчатого вала. Во время испытаний танков на гарантийный километраж была обнаружена трещина в носке коленчатого вала двигателя Кировского завода на танке завода № 183 после 82 часов работы двигателя (майский выпуск).</w:t>
      </w:r>
    </w:p>
    <w:p w14:paraId="2E5421CB"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8. Трещина носка коленчатого вала двигателя № КР-305106.</w:t>
      </w:r>
    </w:p>
    <w:p w14:paraId="6CA14475"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Аналогичные случаи также были обнаружены во время боевых действий 16 танкового корпуса, где 3 двигателя вышли из строя ввиду течи масла из трещин носка коленчатого вала. При осмотре нескольких двигателей В-2, присланных для ремонта на ремпоезд № 48 обнаружено:</w:t>
      </w:r>
    </w:p>
    <w:p w14:paraId="01CC22EF"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4м-38532 – Трещина носка коленчатого вала.</w:t>
      </w:r>
    </w:p>
    <w:p w14:paraId="0F64E9FE"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210224 – Трещина 4-й коренной шейки.</w:t>
      </w:r>
    </w:p>
    <w:p w14:paraId="2D716D79"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4 АС 2028 – Трещина 6-й коренной шейки и щеки коленчатого вала.</w:t>
      </w:r>
    </w:p>
    <w:p w14:paraId="73818E46"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видно из приведенных данных, подтверждаемых также данными ремзавода № 22 – трещины в коленчатом вале образуются главным образом в его носке и коренных шейках, расположенных вблизи носка (6 – 4 коренные шейки).</w:t>
      </w:r>
    </w:p>
    <w:p w14:paraId="4C3C1308"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Причины образования трещин в коленчатом вале:</w:t>
      </w:r>
    </w:p>
    <w:p w14:paraId="37B300A2"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Большие вибрации коленчатого вала, вызываемые биением главного фрикциона и маховика, сидящих на носке при весьма частом ослаблении и произвольном отвертывании гайки хвостовика распорного конуса.</w:t>
      </w:r>
    </w:p>
    <w:p w14:paraId="692C21D0"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Большие изгибающие моменты, возникающие в коленчатом вале вследствие неравномерного износа коренных подшипников, особенно 7 – 8 опор (см. ниже о подшипниках).</w:t>
      </w:r>
    </w:p>
    <w:p w14:paraId="5D1A1608"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Производственные дефекты.</w:t>
      </w:r>
    </w:p>
    <w:p w14:paraId="4CCC1935"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Подшипники.</w:t>
      </w:r>
    </w:p>
    <w:p w14:paraId="4CEFDA19"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Существенным дефектом в работе двигателя В-2 является подплавление коренных подшипников коленчатого вала. За март месяц 1943 г. в районе непосредственных боевых действий 16 танкового корпуса имело место 18 случаев подплавления коренных подшипников, преимущественно 7 и 4 подвесок, что составило 29% от общего количества танков, вышедших из строя по техническим неисправностям.</w:t>
      </w:r>
    </w:p>
    <w:p w14:paraId="288ED4BD"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Следует отметить, что разрушение 7-й подвески также было обнаружено при осмотре двигателей В-2, присланных для ремонта на ремпоезд № 48, и во время гарантийных испытаний танков на Полигоне.</w:t>
      </w:r>
    </w:p>
    <w:p w14:paraId="0A842078"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изучении причин, вызывающих подплавление коренных подшипников коленчатого вала двигателей В-2, Полигоном на танках Т-34 № 39590 и № 3102 были произведены экспериментальные работы по запуску холодного двигателя. В процессе этих работ выяснилось, что наиболее опасными, с точки зрения подплавления подшипников, являются моменты запуска и прогрева холодного двигателя.</w:t>
      </w:r>
    </w:p>
    <w:p w14:paraId="09DE4BDA"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запуска двигателя масло прокачивалось ручным насосом, а затем стартерами, при этом учитывалось время, затраченное на прокачку масла стартерами до момента появления давления масла в носке коленчатого вала. Запуск производился при температуре окружающего воздуха от +5° до –8°С. Время, потребное для прокачки масла стартерами до появления давления в носке коленчатого вала = 0,2 – 0,3 кг/см², равно 6 – 10 сек. Время прокачки масла ручным насосом, до появления давления масла (на входе в коленчатый вал по манометру на щитке приборов) = 0,2 – 0,3 кг/см², равно 2 – 3 минутам.</w:t>
      </w:r>
    </w:p>
    <w:p w14:paraId="30109CC6"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приведенных данных можно сделать вывод, что прокачка масла стартерами, до появления масла в носке коленчатого вала при давлении 0,2 – 0,3 кг/см² требует большого расхода энергии аккумуляторов. Ручная прокачка масла насосом дает незначительный эффект и почти не оказывает никакого влияния на предварительное создание давления масла в носке коленчатого вала. Это объясняется тем, что ручной насос малопроизводителен.</w:t>
      </w:r>
    </w:p>
    <w:p w14:paraId="085B22B6"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Интенсивная прокачка масла за малый промежуток времени возможна только тогда, когда ручной насос будет заменен более совершенным насосом.</w:t>
      </w:r>
    </w:p>
    <w:p w14:paraId="2B4F5E3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на рис. № 9 приведены характеристики давления масла в коленчатом вале двигателя на малых оборотах в зависимости от его температуры. Замеры давления масла производились с помощью манометров, установленных в систему смазки – на входе в коленчатый вал и в носке вала.</w:t>
      </w:r>
    </w:p>
    <w:p w14:paraId="1EDEED87"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Из приведенных характеристик видно, что давление в носке коленчатого вала в 2 – 4 раза меньше по сравнению с давлением масла на входе в коленчатый вал. При этом по мере разогрева масла перепад давлений увеличивается. Следовательно, малые обороты также опасны в смысле надежности работы подшипников т.к. при этих оборотах давление масла в системе (на входе в коленчатый вал) при температуре его в 65 – 70°С равно 2,5 – 3 кг/см².</w:t>
      </w:r>
    </w:p>
    <w:p w14:paraId="694B23B1"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на фото № 10 и № 11 приведены графики зависимости давления и вязкости зимнего масла "МЗ" и летнего "МК" от его температуры в носке коленчатого вала и на входе в коленчатый вал двигателя В-2. Сплошными кривыми показаны графики давлений, а пунктирными – графики вязкости масла в градусах Энглера.</w:t>
      </w:r>
    </w:p>
    <w:p w14:paraId="02A51A5E"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9. Перепады давлений масла в коленчатом вале двигателя В-2.</w:t>
      </w:r>
    </w:p>
    <w:p w14:paraId="12F12C31"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10. График зависимости давления зимнего масла "МЗ" от его температуры (в носке коленчатого вала и на входе в коленчатый вал двигателя В-2).</w:t>
      </w:r>
    </w:p>
    <w:p w14:paraId="49391571"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11. График зависимости давления летного масла "МК" от его температуры (в носке коленчатого вала и на входе в коленчатый вал двигателя В-2).</w:t>
      </w:r>
    </w:p>
    <w:p w14:paraId="2DF85F07"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Приведенные данные наглядно показывают конструктивный недостаток одностороннего ввода масла в коленчатый вал двигателя В-2, что приводит к частому подплавлению отдаленных подшипников.</w:t>
      </w:r>
    </w:p>
    <w:p w14:paraId="2C625441"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некоторых случаях подплавление подшипников было вызвано небрежностью производства и отсутствием надлежащего контроля при сборке двигателя на заводе т.к. имелось несколько случаев отхода заглушек в шатунных шейках коленчатого вала.</w:t>
      </w:r>
    </w:p>
    <w:p w14:paraId="53470ABE"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Подплавление подшипников может быть устранено путем двухстороннего ввода масла в коленчатый вал. Надежность работы двигателя при этом будет значительно повышена.</w:t>
      </w:r>
    </w:p>
    <w:p w14:paraId="6773FFA6"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Следует отметить, что немецкая фирма Майбах, не смотря на роликовые коренные подшипники, применяет двухсторонний ввод масла в коленчатый вал на танковом двигателе марки HL 120 TRM.</w:t>
      </w:r>
    </w:p>
    <w:p w14:paraId="68238155"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4. ПРОКЛАДКА ПОД ГОЛОВКУ БЛОКА ЦИЛИНДРОВ.</w:t>
      </w:r>
    </w:p>
    <w:p w14:paraId="352587A6"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установлено гарантийными испытаниями, срок службы двигателя в танке в значительной мере лимитируется выходом из строя прокладки под головку блока цилиндров. На НИБТ Полигоне из 30 двигателей зафиксировано 4 случая пробивания прокладки. В 16 танковом корпусе за 2 месяца его боевых действий зафиксировано 9 случаев пробивания прокладки.</w:t>
      </w:r>
    </w:p>
    <w:p w14:paraId="7BD1C91D"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Основной причиной пробивания прокладок является ослабление гаек силовых шпилек через 40 – 50 часов работы двигателя. Так, например, через 60 – 70 часов работы двигателя гайки силовых шпилек ослабевают на 1 – 2,5 грани. Ослабление гаек силовых шпилек является следствием как различного коэффициента линейного расширения алюминиевого блока и головки с одной стороны и силовых шпилек – с другой, так и различной степени нагрева тех и других.</w:t>
      </w:r>
    </w:p>
    <w:p w14:paraId="3A1D4742"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12. Пробитая прокладка под головку блока цилиндров.</w:t>
      </w:r>
    </w:p>
    <w:p w14:paraId="10439435"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Вследствие этого в силовых шпильках, особенно при перегревах двигателя, возникают большие температурные напряжения, сопровождающиеся остаточными деформациями шпилек. На двигателях с чугунными блоками положение не изменяется т.к. блок значительно менее подвержен нагреву чем головка.</w:t>
      </w:r>
    </w:p>
    <w:p w14:paraId="0B9977F2"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частое пробивание прокладок на двигателе В-2 не является производственным дефектом, а относится к конструктивному недостатку двигателя, поэтому повышение надежности уплотнения газового стыка двигателя В-2 требует конструктивного изменения этого узла. Качество газового стыка с железоасбестовой прокладкой, осуществленное на двигателе В-2-ИС, Полигоном пока не изучено.</w:t>
      </w:r>
    </w:p>
    <w:p w14:paraId="199B255B"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5. ВОДЯНОЙ НАСОС.</w:t>
      </w:r>
    </w:p>
    <w:p w14:paraId="6FF4CE80"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процессе эксплоатации двигателей В-2 наблюдаются очень частые случаи отказа в работе водяного насоса. К неисправностям водяного насоса следует отнести разрушение соединительной муфты валика водяного насоса с нижним вертикальным валиком. Кроме этого, наблюдается скручивание хвостовика валика водяного насоса.</w:t>
      </w:r>
    </w:p>
    <w:p w14:paraId="1DA2F86B"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Разрушение соединительной муфты происходит вследствие больших вибраций валика водяного насоса, возникающих с одной стороны вследствие несовершенства конструкции соединительной муфты, и с другой стороны – вследствие быстрого износа втулки корпуса насоса (из-за недостаточного подвода смазки), а также вследствие ослабления крепления корпуса насоса к картеру (произвольное отвертывание шпилек крепления корпуса насоса).</w:t>
      </w:r>
    </w:p>
    <w:p w14:paraId="1020D45A"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13. Излом соединительной муфты водяного насоса.</w:t>
      </w:r>
    </w:p>
    <w:p w14:paraId="567F2C01"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14. Разрушенный хвостовик валика водяного насоса.</w:t>
      </w:r>
    </w:p>
    <w:p w14:paraId="67C7FBC0"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Корпус водяного насоса, изготовленный из чугуна, значительно увеличивает вес насоса в сравнении с насосами, имеющими алюминиевый корпус. Вследствие этого шпильки крепления насоса воспринимают увеличенную нагрузку, происходит обмятие резьбовых отверстий в картере и шпильки произвольно отвертываются.</w:t>
      </w:r>
    </w:p>
    <w:p w14:paraId="7E11E956"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Недостаточный периодический подвод смазки в сальниковое уплотнение насоса приводит к быстрому износу втулки корпуса насоса. Указания инструкции на необходимость подвертывания винта шприца через каждый час работы двигателя как правило экипажем не выполняются и не могут быть соблюдены, особенно в боевой обстановке. Ниже в таблице № 2 приведены размеры диаметров шейки валиков, втулок и зазоры валика во втулке водяных насосов двигателей В-2 с испытуемых танков Т-34.</w:t>
      </w:r>
    </w:p>
    <w:p w14:paraId="10317A5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 № 2.</w:t>
      </w:r>
    </w:p>
    <w:p w14:paraId="552FE779"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приведенной таблицы видно, что зазоры валика во втулке корпуса водяного насоса увеличены в 2 – 6 раз против допустимого зазора для ремонтных размеров двигателя. Вследствие этого хвостовик валика и соединительная муфта воспринимают на себя дополнительные ударные нагрузки от вибрации валика во втулке, кроме ударных нагрузок, возникающих при резких изменениях оборотов двигателя, неизбежных при переключении передач (гидравлические удары на крыльчатку насоса).</w:t>
      </w:r>
    </w:p>
    <w:p w14:paraId="29CFF4CF"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процессе испытаний, помимо выше перечисленных неисправностей водяного насоса, наблюдается разрушение хвостовика нижнего вертикального валика. На двигателе Кировского завода с танка завода 183 (ноябрьская партия выпуска) разрушение хвостовика произошло у его основания в месте перехода к шлицевой части валика.</w:t>
      </w:r>
    </w:p>
    <w:p w14:paraId="29EF7999"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15. Вертикальный валик с хвостовиком.</w:t>
      </w:r>
    </w:p>
    <w:p w14:paraId="6318B899"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Переход выполнен по радиусу, подрезов не было, на рабочих поверхностях хвостовика были местные вмятины. Детали соединительной муфты нижнего вертикального валика с валиком водяного насоса, а также быстроизнашиваемая втулка корпуса насоса были подвергнуты лабораторным анализам, данные которых приведены ниже (см. таблицу № 3).</w:t>
      </w:r>
    </w:p>
    <w:p w14:paraId="466EB380"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 № 3.</w:t>
      </w:r>
    </w:p>
    <w:p w14:paraId="1FE92140"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Хвостовик нижнего вертикального валика цементирован на глубину 0,15 – 0,20 мм. Микроструктура цементированного слоя тростито-мартенсит, материал хвостовика валика дефектов не имеет.</w:t>
      </w:r>
    </w:p>
    <w:p w14:paraId="4DAD4F5E"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Сердцевина хвостовика термически обработана на хрупкую структуру, вследствие его закалки при высоких температурах.</w:t>
      </w:r>
    </w:p>
    <w:p w14:paraId="0CCAAF0E"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Материал бронзового подшипника вследствие малой его твердости при недостаточном подводе смазки быстро изнашивается, что приводит к преждевременным недопустимым зазорам валика насоса в бронзовой втулке. Разрушение хвостовика нижнего вертикального валика произошло по тем же причинам, как это было уже сказано в отношении валика насоса.</w:t>
      </w:r>
    </w:p>
    <w:p w14:paraId="56AA60C2"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в процессе гарантийных испытаний обнаружено:</w:t>
      </w:r>
    </w:p>
    <w:p w14:paraId="614EE6EA"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Через 70 – 80 часов эксплоатации двигателя зазор между валиком и втулкой корпуса насоса оказывается в 2 – 6 раз больше против допустимых для ремонтных моторов.</w:t>
      </w:r>
    </w:p>
    <w:p w14:paraId="2AFD8330"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Наблюдается довольно частое разрушение соединительной муфты и скручивание хвостовика валика водяного насоса.</w:t>
      </w:r>
    </w:p>
    <w:p w14:paraId="5A9E9CA8"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Состояние сальников указывает на недостаточное поступление смазки к подшипникам и особенно втулке корпуса водяного насоса, что и приводит к значительным износам втулки.</w:t>
      </w:r>
    </w:p>
    <w:p w14:paraId="11ECB92B"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Недоброкачественная термическая обработка деталей водяного насоса и его привода.</w:t>
      </w:r>
    </w:p>
    <w:p w14:paraId="41885BD2"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устранения дефектов водяного насоса необходимо:</w:t>
      </w:r>
    </w:p>
    <w:p w14:paraId="27375FC8"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Изменить конструкцию соединительной муфты насоса на более совершенную, кроме этого, необходимо осуществить автоматический подвод смазки в сальниковое уплотнение водяного насоса.</w:t>
      </w:r>
    </w:p>
    <w:p w14:paraId="126242FE"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Глубину цементированного слоя рабочих поверхностей хвостовиков сальников и сухаря соединительной муфты иметь в пределах 0,6 – 0,7 мм. Термически обрабатывать на твердость по Роквеллу шкала С 60 – 62 и структуру – гарденит (мартенсит тонкого сложения).</w:t>
      </w:r>
    </w:p>
    <w:p w14:paraId="5EB0BAC0"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Сердцевин хвостовиков валиков и выступов сухаря соединительной муфты термически обрабатывать на твердость по Роквеллу шкала С 34 – 38 и вязкую сорбитовую структуру.</w:t>
      </w:r>
    </w:p>
    <w:p w14:paraId="3CF94598"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В целях уменьшения износов повысить твердость бронзового подшипника.</w:t>
      </w:r>
    </w:p>
    <w:p w14:paraId="41EFBCFF"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Для надежности крепления водяного насоса (с чугунным корпусом) к картеру двигателя, диаметр шпилек должен быть увеличен.</w:t>
      </w:r>
    </w:p>
    <w:p w14:paraId="2532683E"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6. ТОПЛИВНЫЙ НАСОС И ФОРСУНКИ.</w:t>
      </w:r>
    </w:p>
    <w:p w14:paraId="19D5D1B1"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процессе гарантийных испытаний и эксплоатации танков в бронетанковых войсках установлено, что топливный насос НК-1 работает надежно, исключая при этом дефекты отдельных деталей насоса.</w:t>
      </w:r>
    </w:p>
    <w:p w14:paraId="3ADA2B7F"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Отдельные случаи отказа в работе насоса наблюдаются из-за поломки пружин и поворотных втулок плунжеров. Поломка пружин плунжеров во всех случаях объясняется применением для них дефектного материала.</w:t>
      </w:r>
    </w:p>
    <w:p w14:paraId="5EC389D1"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16. Пружина топливного насоса НК-1, двигатель Кировского завода.</w:t>
      </w:r>
    </w:p>
    <w:p w14:paraId="0E8AF93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Лабораторными анализами установлено:</w:t>
      </w:r>
    </w:p>
    <w:p w14:paraId="04883244"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 Материал пружин имеет твердость по Роквеллу шкала С 50 – 51.</w:t>
      </w:r>
    </w:p>
    <w:p w14:paraId="77FD0868"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Материал сильно загрязнен неметаллическими включениями.</w:t>
      </w:r>
    </w:p>
    <w:p w14:paraId="41387657"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Излом выступов поворотной втулки происходит вследствие заклинивания при работе двигателя витков сломанной пружины между поворотной втулкой и тарелкой, закрепленной на головке плунжера.</w:t>
      </w:r>
    </w:p>
    <w:p w14:paraId="2E20CB7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Имеются случаи зависания иглы в корпусе распылителя форсунки и неплотная посадка иглы в седле распылителя, вследствие чего форсунка отказывает в работе (отсутствие распыла топлива, подтекание).</w:t>
      </w:r>
    </w:p>
    <w:p w14:paraId="3B2B32C2"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неисправностям топливного насоса следует также отнести самопроизвольное отвертывание ограничителя хода рейки топливного насоса. Это явление наблюдается на многих танках. Данный дефект следует отнести за счет плохой затяжки при сборке и недостаточной прочности пластинчатого шплинта.</w:t>
      </w:r>
    </w:p>
    <w:p w14:paraId="034706B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Наблюдаются также случаи произвольного отвертывания пробки картера регулятора, вследствие чего в картер регулятора попадает пыль, что приводит к заеданию рейки в корпусе насоса.</w:t>
      </w:r>
    </w:p>
    <w:p w14:paraId="56DA0DFF"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Надежность работы топливного насоса и форсунок снижена главным образом за счет недостаточного контроля за изготовлением его деталей и сборкой.</w:t>
      </w:r>
    </w:p>
    <w:p w14:paraId="0657D638"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7. ЗАМЕЧАНИЯ ПО ДРУГИМ АГРЕГАТАМ И ДЕТАЛЯМ ДВИГАТЕЛЯ.</w:t>
      </w:r>
    </w:p>
    <w:p w14:paraId="72C1E002"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время гарантийных испытаний и в процессе эксплоатации танков Т-34, КВ-1с и ИС имели место также следующие дефекты:</w:t>
      </w:r>
    </w:p>
    <w:p w14:paraId="12BB9960"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Дефекты, обнаруженные на двигателе В2-ИС:</w:t>
      </w:r>
    </w:p>
    <w:p w14:paraId="41F7BA09"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Разрушения зубьев ведущей шестерни привода топливного насоса. Разрушение зубьев шестерни произошло в результате их низкой твердости, т.к. шестерня не подвергалась полной цементации.</w:t>
      </w:r>
    </w:p>
    <w:p w14:paraId="57A8D405"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Обрыв стяжной шпильки четвертого коренного подшипника. Обрыв шпильки произошел при сборке двигателя на заводе.</w:t>
      </w:r>
    </w:p>
    <w:p w14:paraId="02DA9B1D"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Разрушение подшипника фрикционной шестерни, смятие храповика и зубьев шестерни инерционного стартера двигателя.</w:t>
      </w:r>
    </w:p>
    <w:p w14:paraId="177D4C1A"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Дефекты, обнаруженные в двигателях В-2-34:</w:t>
      </w:r>
    </w:p>
    <w:p w14:paraId="3CDD4D80"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За время испытаний наблюдаются довольно частые случаи течи масла и топлива через неплотности в соединениях и штуцерах. Причина – неудовлетворительная затяжка соединений при сборке и недостаточный контроль за плотностью соединений в масляной и топливной системах.</w:t>
      </w:r>
    </w:p>
    <w:p w14:paraId="10F2FFFE"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Имеет место обрыв шпилек крепления крышки нижней головки главного шатуна, вследствие перетяжки гайки шпильки при сборке на заводе.</w:t>
      </w:r>
    </w:p>
    <w:p w14:paraId="55537A9B"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17. Разрушенные зубья шестерни привода топливного насоса. Рис. № 18. Оборванная шпилька с гайкой.</w:t>
      </w:r>
    </w:p>
    <w:p w14:paraId="7E936326"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Рис. № 19. Разрушенный выхлопной коллектор с двигателя В-2К.</w:t>
      </w:r>
    </w:p>
    <w:p w14:paraId="774F96A6"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Наблюдаются частые случаи выхода из строя масляных манометров вследствие поломок капиллярных трубок на расстоянии 10 – 15 см. от гармониковой мембраны (в местах больших перегибов трубки). Необходимо требовать от завода поставщика масляных манометров постановки на капиллярные трубки на всю длину гибкой армировки.</w:t>
      </w:r>
    </w:p>
    <w:p w14:paraId="4353433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Во время испытаний имело место неоднократное ослабление и самопроизвольное отвертывание (двигатели 76 завода) шпилек крепления масляного фильтра, вследствие чего через отверстия шпилек вытекало масло. Заводам необходимо увеличить приливы под отверстия шпилек, а отверстия под шпильки делать глухими.</w:t>
      </w:r>
    </w:p>
    <w:p w14:paraId="6C47220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На двигателях В-2К наблюдаются случаи разрушения выхлопных коллекторов (прогорание).</w:t>
      </w:r>
    </w:p>
    <w:p w14:paraId="7FF20A9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Разрушение коллекторов происходит вследствие повышенной температуры выхлопных газов двигателя В-2К и недостаточной жароустойчивости материала. Выхлопные коллекторы двигателя В-2К должны быть усилены по сравнению с двигателем В2-34 за счет повышения жароустойчивости материала и способности переносить значительные температурные деформации.</w:t>
      </w:r>
    </w:p>
    <w:p w14:paraId="038E0460"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в таблице № 4 сведены поломки и неисправности двигателей В-2-34, обнаруженные в процессе гарантийного километража танков на НИБТ Полигоне в 1943 г.</w:t>
      </w:r>
    </w:p>
    <w:p w14:paraId="7A4A9A88"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 № 4.</w:t>
      </w:r>
    </w:p>
    <w:p w14:paraId="1B17546F"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ПОЛОМКИ ДВИГАТЕЛЕЙ В2-34 ЗА ВРЕМЯ ИСПЫТАНИЙ ТАНКОВ</w:t>
      </w:r>
    </w:p>
    <w:p w14:paraId="690EF812"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ГАРАНТИЙНЫЙ КИЛОМЕТРАЖ В 1943 г.</w:t>
      </w:r>
    </w:p>
    <w:p w14:paraId="7E4FAAE5"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8. ВЫВОДЫ.</w:t>
      </w:r>
    </w:p>
    <w:p w14:paraId="515C03A8"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приведенных ниже данных о дефектах двигателей В-2, обнаруженных в процессе испытаний танков на гарантийный километраж, а также подробного изучения этих дефектов, следует что выход их строя двигателей В-2 раньше гарантийного срока происходит по следующим основным причинам:</w:t>
      </w:r>
    </w:p>
    <w:p w14:paraId="52053699"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Воздушные фильтры танков Т-34 и КВ-1с, в силу своих конструктивных недостатков, а также вследствие забора воздуха из наиболее запыленной части танка (трансмиссионное отделение), не обеспечивают в летних условиях требуемую очистку воздуха от пыли даже при условии промывки фильтрующего элемента через 3 – 5 часов работы двигателя.</w:t>
      </w:r>
    </w:p>
    <w:p w14:paraId="2D0C5B02"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Недостаточная очистка воздуха, поступающего в двигатель, через 50 – 60 часов его работы вызывает повышенный износ поршневых колец, сопровождающийся чрезмерно большим расходом масла.</w:t>
      </w:r>
    </w:p>
    <w:p w14:paraId="4E0C23E2"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Засорение радиаторов системы охлаждения (пылью, листьями и др. посторонними предметами) при эксплоатации танков в летних условиях, а также отсутствие радиатора в системе смазки вызывает повышенные температурные режимы двигателя, что снижает средние скорости движения танка и способствует разрушению прокладки под головку блока цилиндров.</w:t>
      </w:r>
    </w:p>
    <w:p w14:paraId="42C96BDE"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Односторонний ввод масла в коленчатый вал двигателя не обеспечивает надежной смазки коренных подшипников, создает большие перепады давлений в полости вала, что приводит к неравномерному износу коренных подшипников и подплавлению отдаленных от передней опоры подшипников.</w:t>
      </w:r>
    </w:p>
    <w:p w14:paraId="443C0A86"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Произвольное отвертывание гайки хвостовика распорного конуса и неравномерный износ коренных подшипников создает большие вибрации коленчатого вала и значительные изгибающие моменты, вследствие чего в носке коленчатого вала и его коренных шейках образуются трещины.</w:t>
      </w:r>
    </w:p>
    <w:p w14:paraId="4E6C9F94"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Существующая конструкция привода водяного насоса двигателей В2-34 не обеспечивает надежной эксплоатации двигателя, даже при условии периодической смазки валика водяного насоса через 1 – 2 часа работы.</w:t>
      </w:r>
    </w:p>
    <w:p w14:paraId="3832D5FF"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Повышенный износ втулки валика (ввиду недостаточной ее твердости и недостаточном подводе смазки в сальниковой уплотнение) создает перекосы валика, работу его с вибрациями, что и приводит к разрушению соединительной муфты. К недостаткам следует также отнести неудовлетворительную термическую обработке деталей водяного насоса, что способствует преждевременному выходу их строя водяного насоса.</w:t>
      </w:r>
    </w:p>
    <w:p w14:paraId="11485A53"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Ввиду различного коэффициента линейного расширения алюминиевого блока и головки с одной стороны и силовых шпилек – с другой, а также различной степени их нагрева, происходит ослабление гаек силовых шпилек через 40 – 50 часов работы двигателя, что приводит к разрушению прокладки под головку блока цилиндров.</w:t>
      </w:r>
    </w:p>
    <w:p w14:paraId="1FBDEEF5"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Качество изготовления деталей топливной аппаратуры в основном снижено слабым контролем за изготовлением, сборкой и термической обработкой деталей.</w:t>
      </w:r>
    </w:p>
    <w:p w14:paraId="5484E772"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На двигателях В-2К имеет место разрушение выхлопных коллекторов (прогорание) вследствие повышенной температуры выхлопных газов по сравнению с двигателями В2-34 и недостаточной жароустойчивости материала.</w:t>
      </w:r>
    </w:p>
    <w:p w14:paraId="09AFF455"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9. ЗАКЛЮЧЕНИЕ.</w:t>
      </w:r>
    </w:p>
    <w:p w14:paraId="3E3D1448"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повышения надежности работы двигателя В-2 необходимо:</w:t>
      </w:r>
    </w:p>
    <w:p w14:paraId="483FD8D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Улучшить конструкцию воздушных фильтров и осуществить двойную фильтрацию воздуха путем постановки снаружи танка инерционных фильтров типа "Мультициклон". При существующей системе очистки воздуха необходимо изменить место забора фильтрами воздуха.</w:t>
      </w:r>
    </w:p>
    <w:p w14:paraId="546F4D6E"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Для устранения образования трещин в коленчатом вале, вызываемых с одной стороны частым самопроизвольным отвертыванием гайки хвостовика распорного конуса (биение маховика и главного фрикциона) и с другой – неравномерным износом коренных подшипников (появление больших изгибающих моментов в коленчатом вале) необходимо:</w:t>
      </w:r>
    </w:p>
    <w:p w14:paraId="4CFA692D"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Устранить самопроизвольное отвертывание гайки хвостовика распорного конуса.</w:t>
      </w:r>
    </w:p>
    <w:p w14:paraId="3DA1B29F"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Осуществить двухсторонний подвод масла в коленчатый вал, тем самым значительно будет снижена неравномерность износа коренных подшипников.</w:t>
      </w:r>
    </w:p>
    <w:p w14:paraId="7F4E5E57"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 водяному насосу:</w:t>
      </w:r>
    </w:p>
    <w:p w14:paraId="7C8634F9"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Изменить конструкцию привода насоса на более совершенную.</w:t>
      </w:r>
    </w:p>
    <w:p w14:paraId="43AB40F3"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Усилить крепление корпуса водяного насоса к картеру двигателя.</w:t>
      </w:r>
    </w:p>
    <w:p w14:paraId="1BE773EF"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Обеспечить автоматический подвод смазки в сальниковое уплотнение насоса, повысить твердость бронзового подшипника валика водяного насоса.</w:t>
      </w:r>
    </w:p>
    <w:p w14:paraId="19576082"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Улучшить термическую обработку нижнего вертикального валика.</w:t>
      </w:r>
    </w:p>
    <w:p w14:paraId="481E160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Для повышения надежности работы коренных подшипников коленчатого вала необходимо:</w:t>
      </w:r>
    </w:p>
    <w:p w14:paraId="45409463"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Осуществить двухсторонний ввод масла в коленчатый вал.</w:t>
      </w:r>
    </w:p>
    <w:p w14:paraId="5989857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Заменить ручной насос для прокачки масла на более производительный.</w:t>
      </w:r>
    </w:p>
    <w:p w14:paraId="0BD2D8FE"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Для снижения температурного режима двигателя В2-34 при эксплоатации танков в летних условиях необходимо:</w:t>
      </w:r>
    </w:p>
    <w:p w14:paraId="32DB2DD0"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 систему смазки двигателя включить масляный радиатор.</w:t>
      </w:r>
    </w:p>
    <w:p w14:paraId="1D795E7B"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Предохранить радиаторы жидкостного охлаждения двигателя от засорения их в летних условиях пылью, листьями и др. посторонними предметами, снижающими эффективность охлаждения двигателя.</w:t>
      </w:r>
    </w:p>
    <w:p w14:paraId="542A46F6"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Повысить надежность работы прокладки под головку блока за счет конструктивного изменения уплотнения газового стыка.</w:t>
      </w:r>
    </w:p>
    <w:p w14:paraId="74F120A2"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По топливной аппаратуре:</w:t>
      </w:r>
    </w:p>
    <w:p w14:paraId="617DDBD0"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а) Повысить контроль за термической обработкой пружин плунжеров.</w:t>
      </w:r>
    </w:p>
    <w:p w14:paraId="3466A93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Усилить прочность пластинчатого шплинта ограничителя хода рейки топливного насоса.</w:t>
      </w:r>
    </w:p>
    <w:p w14:paraId="61772123"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Установить стопор против самопроизвольного отвертывания пробки картера регулятора насоса.</w:t>
      </w:r>
    </w:p>
    <w:p w14:paraId="323F1A5A"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Усилить выхлопные коллекторы двигателей В-2К по их жароустойчивости и способности переносить значительные температурные деформации.</w:t>
      </w:r>
    </w:p>
    <w:p w14:paraId="39E2B1FB"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Повысить качество крепежных деталей и контроль за сборкой двигателя и его агрегатов.</w:t>
      </w:r>
    </w:p>
    <w:p w14:paraId="48D2C85E"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НИБТ ПОЛИГОНА ГБТУ КА</w:t>
      </w:r>
    </w:p>
    <w:p w14:paraId="595DA459"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ИНЖЕНЕР-ПОДПОЛКОВНИК подпись (СЫЧ)</w:t>
      </w:r>
    </w:p>
    <w:p w14:paraId="7876E13D"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ЛАБОРАТОРНОГО ОТДЕЛА</w:t>
      </w:r>
    </w:p>
    <w:p w14:paraId="03ABEB7B"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ИНЖЕНЕР-ПОДПОЛКОВНИК подпись (МАЛЯВИН)</w:t>
      </w:r>
    </w:p>
    <w:p w14:paraId="75758D25"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ПОМ. НАЧАЛЬНИКА ЛАБОРАТОРНОГО ОТДЕЛА ПО ДВИГАТЕЛЯМ</w:t>
      </w:r>
    </w:p>
    <w:p w14:paraId="39B4BEE0"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ИНЖЕНЕР-МАЙОР подпись (ПОЧТАРЕВ)</w:t>
      </w:r>
    </w:p>
    <w:p w14:paraId="660B69B8"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ОТВЕТСТВЕННЫЙ ИСПОЛНИТЕЛЬ</w:t>
      </w:r>
    </w:p>
    <w:p w14:paraId="5EE3A995"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ТЕХНИК-ЛЕЙТЕНАНТ подпись (ТОЛМАЧЕВ)</w:t>
      </w:r>
    </w:p>
    <w:p w14:paraId="5EEDAEFD"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51</w:t>
      </w:r>
    </w:p>
    <w:p w14:paraId="5F5F1565"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Отп. в пяти экз.</w:t>
      </w:r>
    </w:p>
    <w:p w14:paraId="5DC4BCB3"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Экз. № 1 – Начальнику ГБТУ КА</w:t>
      </w:r>
    </w:p>
    <w:p w14:paraId="5F880647"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Экз. № 2 – Начальнику ТУ ГБТУ КА</w:t>
      </w:r>
    </w:p>
    <w:p w14:paraId="0065B72D"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Экз. № 3 – Начальнику УЭТ ГБТУ КА</w:t>
      </w:r>
    </w:p>
    <w:p w14:paraId="5930E39B"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Экз. № 4 – НКТП</w:t>
      </w:r>
    </w:p>
    <w:p w14:paraId="43989C3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Экз. № 5 – НИБТ Полигон</w:t>
      </w:r>
    </w:p>
    <w:p w14:paraId="50AE7360"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 21.III.44 года (23524)</w:t>
      </w:r>
    </w:p>
    <w:p w14:paraId="4F8D11F3" w14:textId="77777777" w:rsidR="00627AF4" w:rsidRPr="00070ADE" w:rsidRDefault="00627AF4" w:rsidP="00B56F90">
      <w:pPr>
        <w:spacing w:after="0" w:line="240" w:lineRule="auto"/>
        <w:jc w:val="both"/>
        <w:rPr>
          <w:rFonts w:ascii="Times New Roman" w:hAnsi="Times New Roman"/>
          <w:color w:val="000000" w:themeColor="text1"/>
          <w:sz w:val="16"/>
          <w:szCs w:val="16"/>
        </w:rPr>
      </w:pPr>
    </w:p>
    <w:p w14:paraId="0EC72AE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года вышел приказ № 169с НКБ</w:t>
      </w:r>
    </w:p>
    <w:p w14:paraId="09C5A90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постановлением ГОКО № 5096сс от 5 февраля 1944 года</w:t>
      </w:r>
    </w:p>
    <w:p w14:paraId="7EF315F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Организовать 9 Гл. управление, выделив его из состава 3 Гл. управления.</w:t>
      </w:r>
    </w:p>
    <w:p w14:paraId="4E9F629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Подчинить непосредственному руководству 3 Гл. управления НКБ заводы: 6,59, 98, 348, 512, 562, 594, 576, 577, 676 и 850.</w:t>
      </w:r>
    </w:p>
    <w:p w14:paraId="53958F5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Подчинить непосредственному руководству 9 Гл. управления НКБ заводы: 9, 14, 40, 100, 101, 129, 204, 222, 388 и 580 (6013, 1).</w:t>
      </w:r>
    </w:p>
    <w:p w14:paraId="2BA8288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27F1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вышло Постановление ГКО № 5625 О плане заказов НКО, НКВМФ и НКВД СССР по вещевому имуществу и снаряжению на II квартал 1944 года. РГАНИР, Фонд ГКО, д. 234, лл. 141-144,145-210 (11012).</w:t>
      </w:r>
    </w:p>
    <w:p w14:paraId="305F0A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91555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вышло Постановление ГКО № 5627 О мерах неотложной помощи кожевенно-обувной промышленности в обеспечении поставок обуви Красной Армии. РГАНИР, Фонд ГКО, д. 235, лл. 1-7,8-51 (11012).</w:t>
      </w:r>
    </w:p>
    <w:p w14:paraId="5272A0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27D9A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вышло Постановление ГКО № 5628 О мероприятиях по обеспечению бесперебойной работы цветной металлургии во II квартале 1944 года. РГАНИР, Фонд ГКО, д. 235, лл. 52-63,64-123 (11012).</w:t>
      </w:r>
    </w:p>
    <w:p w14:paraId="77A472E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AD828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вышло Постановление ГКО № 5629 О плане снабжения горюче-смазочными материалами и каменноугольным топливом Красной Армии и Военно-Морского Флота на апрель 1944 года. РГАНИР, Фонд ГКО, д. 235, лл. 124-125,126-166 (11012).</w:t>
      </w:r>
    </w:p>
    <w:p w14:paraId="518C616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182BED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вышло Постановление ГКО № 5631 О плане использования импортных рельсов, паровозов и вагонов, получаемых в I полугодии 1944 г. (7211, 171-173).</w:t>
      </w:r>
    </w:p>
    <w:p w14:paraId="5FE0C81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69608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вышло Постановление ГКО № 5632 О плане снабжения дровами на II квартал 1944 г. (7212, 1-2,3-42).</w:t>
      </w:r>
    </w:p>
    <w:p w14:paraId="5EA978D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8D500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вышло Постановление ГКО № 5633 О балансе и плане распределения лесных материалов и плане распределения вагонов для перевозки лесоматериалов на II квартал 1944 г. (7212, 43-45,46-160).</w:t>
      </w:r>
    </w:p>
    <w:p w14:paraId="164415C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0449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года в соответствии с распоряжением СНК за № 8331рс и приказом НКБ № 203с от 12 мая 1944 года завод № 15 разделен на два самостоятельные завода:</w:t>
      </w:r>
    </w:p>
    <w:p w14:paraId="3874AA02" w14:textId="77777777" w:rsidR="00595BFB" w:rsidRPr="00070ADE" w:rsidRDefault="00595BFB" w:rsidP="00B56F9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Химический завод № 15 (производство взрывчатых веществ и кислот).</w:t>
      </w:r>
    </w:p>
    <w:p w14:paraId="6EAAE079" w14:textId="77777777" w:rsidR="00595BFB" w:rsidRPr="00070ADE" w:rsidRDefault="00595BFB" w:rsidP="00B56F9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Снаряжательный завод.</w:t>
      </w:r>
    </w:p>
    <w:p w14:paraId="2C72625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Снаряжательного завода инженер-полковник Крысин.</w:t>
      </w:r>
    </w:p>
    <w:p w14:paraId="3B3287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химического завода № 15 инженер-майор Быков (10214).</w:t>
      </w:r>
    </w:p>
    <w:p w14:paraId="1C8BF84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0C07C0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336225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4F2C76"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в 1944 году оперативная сводка Совинформбюро:</w:t>
      </w:r>
    </w:p>
    <w:p w14:paraId="1369926C"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14 апреля юго-западнее города Чертков наши войска вели наступательные бои, в ходе которых овладели районным центромТарнопольской области Тлусте, а также заняли более 40 других населённых пунктов, в том числе крупные населённые пункты Ягельница Стара, Шульгановка, Ягельница, Мухавка, Антонув, Слоне, Торске.</w:t>
      </w:r>
    </w:p>
    <w:p w14:paraId="5422EDC2"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Одесса наши войска полностью очистили от противника восточный берег Днестровского лимана, заняв при этом населённые пункты Роксоляны, Первомайск, Крыжановка, Терновка, Каралина Бугаз и железнодорожные станции Дальний, Каралина Бугаз.</w:t>
      </w:r>
    </w:p>
    <w:p w14:paraId="5B0811FA"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4-го Украинского фронта, развивая успешное наступление, овладели районными центрами Крыма городом Бахчисарай, городом Алушта, городом Саки, Ак-Мечеть, Фрайдорф, Зуя, а также заняли более 300 других населённых пунктов, в том числе крупные населённые пункты Ярылгач, Кунан, Караджа, Мережино, Сукуркой, Отар-Майнак, Михайловка, Ивановка, Контуган, Булганак, Азек, Верхние и Нижние Саблы, Биюк-Янкой и железнодорожные станции Камбары, Княжевичи, Саки, Кара-Тобе, Булганак, Альма, Шакул, Бахчисарай. Отступая под ударами наших войск, противник несёт огромные потери в живой силе и технике. По предварительным данным, к исходу 13 апреля войсками 4-го Украинского фронта взято в плен свыше 17.000солдат и офицеров противника.</w:t>
      </w:r>
    </w:p>
    <w:p w14:paraId="5FA6903D"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Отдельной Приморской армии, преследуя отступающего противника, овладели районными центрами Крыма городом Карасубазар, городом Судак, Ички, а также заняли более 200 других населённых пунктов, в том числе крупные населённыепункты Розенталь, Фриденталь, Баксан, Ускут, Капсихор, Кутлак, Таракташ. В ходе наступления войска Отдельной Приморской армии соединились с войсками 4-го Украинского фронта. По предварительным данным, к исходу 13 апреля войсками Отдельной Приморской армии взято в плен более 14.000 солдат и офицеровпротивника.</w:t>
      </w:r>
    </w:p>
    <w:p w14:paraId="13F86DFF"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3CA09073"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13 апреля наши войска подбили и уничтожили 34 немецких танка. В воздушных боях и огнём зенитной артиллерии сбито 18 самолётов противника.</w:t>
      </w:r>
    </w:p>
    <w:p w14:paraId="76D26A2F"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Одесса немцы, прижатые к Днестровскому лиману, оказывали упорное сопротивление. Сильным огнём и контратаками они пытались выиграть время и переправить свои части, вооружение и технику. Наши войска стремительными ударами разгромили противника и полностью очистили от немецко-фашистских захватчиков восточный берег Днестровского лимана. Отдельные группы немцев, пытавшиеся переправиться через лиман на плотах и лодках, были атакованы с воздуха и потоплены. Захвачены эшелоны с вооружением, боеприпасами и заводским оборудованием. В районном центре Овидиополь в числе трофеев захвачено 36 орудий, 10 тягачей и 200 автомашин с различными грузами.</w:t>
      </w:r>
    </w:p>
    <w:p w14:paraId="01408830"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Войска 4-го Украинского фронта развивали стремительное наступление. Наши моторизованные стрелковые части с боем овладели городом Саки и, преследуя разбитые войска противника, полностью очистили шоссе Саки-Симферополь. На западном побережье Крыма немцы пытались оказать сопротивление. Наши подвижные соединения смяли противника и быстро продвигаются на юг. Советские танкисты и пехотинцы заняли город Бахчисарай и ведут бои в лесной и горной части Крыма. Другие наши части, продвинувшись за день на 40 километров, вышли на южное побережье Крыма и внезапным ударом заняли город Алушта. Тем самым вражеским войскам, отступающим из Феодосии, отрезан путь на Ялту. Юго-восточнее Сейтлера окружена и разгромлена группа войск противника. Свыше тысячи солдат и офицеров во главе с командиром полка Бату Флорин сдались в плен. Разбиты 9 и 10 румынские дивизии. Полностью уничтожена немецкая пехотная </w:t>
      </w:r>
      <w:r w:rsidRPr="00070ADE">
        <w:rPr>
          <w:rFonts w:ascii="Times New Roman" w:hAnsi="Times New Roman"/>
          <w:color w:val="000000" w:themeColor="text1"/>
          <w:sz w:val="16"/>
          <w:szCs w:val="16"/>
        </w:rPr>
        <w:lastRenderedPageBreak/>
        <w:t>дивизия. Захвачено огромное количество боевой техники, много железнодорожных вагонов и паровозов. Пленные заявляют, что немецкие и румынские генералы улетели из Крыма на самолётах, оставив свои дивизии на произвол судьбы.</w:t>
      </w:r>
    </w:p>
    <w:p w14:paraId="23B53756"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Отдельной Приморской армии продолжали успешное наступление. Все попытки противника задержаться на промежуточных рубежах и привести в порядок свои разбитые части закончились неудачей. Наши бойцы быстро подавляют сопротивление гитлеровцев, уничтожают их, либо берут в плен. Войска Отдельной Приморской армии овладели городом Карасубазар и соединились с войсками 4-го Украинского фронта. Наступая вдоль побережья Чёрного моря, наши бойцы заняли город Судак, разгромив в этом районе большое скопление немецких и румынских войск. По неполным данным, в течение дня захвачено у немцев 160 орудий, 110 миномётов, 310 пулемётов, 5 тысяч винтовок и автоматов, 25 тракторов, 10 обозов, 1.500 лошадей и другие трофеи. На дорогах, ведущих в глубь Крыма, в панике отступая, немцы бросают не только автомашины, винтовки, боеприпасы, но также и своё личное обмундирование: шинели, сапоги, каски, вещевые мешки и противогазы.</w:t>
      </w:r>
    </w:p>
    <w:p w14:paraId="7A18A3EC"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и корабли Черноморского флота наносят непрерывные удары по вражеским судам, пытающимся выйти из портов Крыма, находящихся ещё в руках противника. Кораблями флота сегодня потоплен транспорт противника водоизмещением в 3 тысячи тонн. Советские лётчики потопили три самоходные десантные баржи с немецкой пехотой. Пять самоходных барж серьёзно повреждены и потеряли ход. Кроме того, потоплено несколько других мелких судов. В открытом море наши лётчики атаковали вражеский транспорт, шедший под усиленным конвоем. На судне возник большой пожар. Одному вражескому миноносцу причинены серьёзные повреждения. Советские моряки и лётчики пресекают все попытки противника спасти хотя бы некоторую часть своей обречённой на гибель крымской группировки.</w:t>
      </w:r>
    </w:p>
    <w:p w14:paraId="1E559D98"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Партизанские отряды, действующие в Львовской области, за три дня пустили под откос четыре немецких воинских эшелона. Кроме того, советские патриоты взорвали 3 шоссейных моста и склад артиллерийских снарядов. Первого апреля львовские партизаны разгромили вражеский гарнизон в одном населённом пункте. Убито 60 гитлеровцев.</w:t>
      </w:r>
    </w:p>
    <w:p w14:paraId="558B8E09"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Захваченный в плен на Керченском полуострове командир 9 кавалерийского полка 6 румынской кавалерийской дивизии подполковник Паулиану рассказал: «Мой полк занимал оборону южнее города Керчь. Когда русские прорвали немецкую оборону и вышли на шоссейную дорогу Керчь-Феодосия, над полком нависла угроза окружения. Немцы очертя голову удирали, и я отдал приказ отступить на линию Турецкого вала. Не успели мы занять оборону на новом месте, как на левом фланге появились русские танки. Увидев, что немцы побежали, румынские солдаты стали сдаваться в плен целыми эскадронами. Приказы, отданные мною командирам эскадронов, не выполнялись. Девятый кавалерийский полк полностью разгромлен, ни один солдат не ушел с Керченского полуострова. Вся техника полка и приданная ему артиллерия захвачены русскими» (15099).</w:t>
      </w:r>
    </w:p>
    <w:p w14:paraId="65D4C37D" w14:textId="77777777" w:rsidR="001732E9" w:rsidRPr="00070ADE" w:rsidRDefault="001732E9" w:rsidP="00B56F90">
      <w:pPr>
        <w:spacing w:after="0" w:line="240" w:lineRule="auto"/>
        <w:jc w:val="both"/>
        <w:rPr>
          <w:rFonts w:ascii="Times New Roman" w:hAnsi="Times New Roman"/>
          <w:color w:val="000000" w:themeColor="text1"/>
          <w:sz w:val="16"/>
          <w:szCs w:val="16"/>
        </w:rPr>
      </w:pPr>
    </w:p>
    <w:p w14:paraId="2E5C72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вышло Постановление ГКО № 5626 О формировании одной бомбардировочной и двух штурмовых авиадивизий в составе РСВГК. РГАНИР, Фонд ГКО, д. 234, лл. 211-212 (11012).</w:t>
      </w:r>
    </w:p>
    <w:p w14:paraId="2BA31A0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B2B89F1" w14:textId="77777777" w:rsidR="009C0B20" w:rsidRPr="00070ADE" w:rsidRDefault="009C0B2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вышло Постановление ГКО № 5626</w:t>
      </w:r>
    </w:p>
    <w:p w14:paraId="4057A9E2" w14:textId="77777777" w:rsidR="009C0B20" w:rsidRPr="00070ADE" w:rsidRDefault="009C0B20"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Для усиления штурмовой и бомбардировочной авиации Резерва Государственный Комитет Обороны постановляет:</w:t>
      </w:r>
    </w:p>
    <w:p w14:paraId="7E1D19F1" w14:textId="77777777" w:rsidR="009C0B20" w:rsidRPr="00070ADE" w:rsidRDefault="009C0B20" w:rsidP="00B56F90">
      <w:pPr>
        <w:pStyle w:val="47"/>
        <w:shd w:val="clear" w:color="auto" w:fill="auto"/>
        <w:tabs>
          <w:tab w:val="left" w:pos="1415"/>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1. Обязать Командующего ВВС Красной Армии сформиро</w:t>
      </w:r>
      <w:r w:rsidRPr="00070ADE">
        <w:rPr>
          <w:rFonts w:ascii="Times New Roman" w:hAnsi="Times New Roman" w:cs="Times New Roman"/>
          <w:color w:val="000000" w:themeColor="text1"/>
          <w:sz w:val="16"/>
          <w:szCs w:val="16"/>
        </w:rPr>
        <w:softHyphen/>
        <w:t>вать в составе Резерва Ставки Верховного Главнокомандования 327 бомбардировочную авиадивизию на самолетах А-20ж в составе трех авиаполков по тридцать два самолета в каждом;</w:t>
      </w:r>
    </w:p>
    <w:p w14:paraId="3D792065" w14:textId="77777777" w:rsidR="009C0B20" w:rsidRPr="00070ADE" w:rsidRDefault="009C0B20"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189 штурмовую авиадивизию Ил-2 в составе трех авиаполков по сорок самолетов в каждом;</w:t>
      </w:r>
    </w:p>
    <w:p w14:paraId="6ADCA79E" w14:textId="77777777" w:rsidR="009C0B20" w:rsidRPr="00070ADE" w:rsidRDefault="009C0B20"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136 штурмовую авиадивизию Ил-2 в составе трех авиаполков по сорок самолетов в каждом</w:t>
      </w:r>
    </w:p>
    <w:p w14:paraId="2E174BF0" w14:textId="77777777" w:rsidR="009C0B20" w:rsidRPr="00070ADE" w:rsidRDefault="009C0B20" w:rsidP="00B56F90">
      <w:pPr>
        <w:pStyle w:val="47"/>
        <w:shd w:val="clear" w:color="auto" w:fill="auto"/>
        <w:tabs>
          <w:tab w:val="left" w:pos="1415"/>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2. На формирование авиадивизий обратить Управление 327 ночной бомбардировочной авиадивизии Резерва, 189 ноч</w:t>
      </w:r>
      <w:r w:rsidRPr="00070ADE">
        <w:rPr>
          <w:rFonts w:ascii="Times New Roman" w:hAnsi="Times New Roman" w:cs="Times New Roman"/>
          <w:color w:val="000000" w:themeColor="text1"/>
          <w:sz w:val="16"/>
          <w:szCs w:val="16"/>
        </w:rPr>
        <w:softHyphen/>
        <w:t>ную бомбардировочную авиадивизию Резерва с входящими в ее состав авиаполками и Управление 136 смешанной авиади</w:t>
      </w:r>
      <w:r w:rsidRPr="00070ADE">
        <w:rPr>
          <w:rFonts w:ascii="Times New Roman" w:hAnsi="Times New Roman" w:cs="Times New Roman"/>
          <w:color w:val="000000" w:themeColor="text1"/>
          <w:sz w:val="16"/>
          <w:szCs w:val="16"/>
        </w:rPr>
        <w:softHyphen/>
        <w:t>визии, выведя ее с ротой свяви из состава Средне-Авиатского Военного округа.</w:t>
      </w:r>
    </w:p>
    <w:p w14:paraId="4EC9139F" w14:textId="77777777" w:rsidR="009C0B20" w:rsidRPr="00070ADE" w:rsidRDefault="009C0B20" w:rsidP="00B56F90">
      <w:pPr>
        <w:pStyle w:val="47"/>
        <w:shd w:val="clear" w:color="auto" w:fill="auto"/>
        <w:tabs>
          <w:tab w:val="left" w:pos="1437"/>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3. Вывести в Резерв, перевооружить и включить в формируемые авиадивизии:</w:t>
      </w:r>
    </w:p>
    <w:p w14:paraId="1302A803" w14:textId="77777777" w:rsidR="009C0B20" w:rsidRPr="00070ADE" w:rsidRDefault="009C0B20"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Один штурмовой авиаполк из состава отдельной При</w:t>
      </w:r>
      <w:r w:rsidRPr="00070ADE">
        <w:rPr>
          <w:rFonts w:ascii="Times New Roman" w:hAnsi="Times New Roman" w:cs="Times New Roman"/>
          <w:color w:val="000000" w:themeColor="text1"/>
          <w:sz w:val="16"/>
          <w:szCs w:val="16"/>
        </w:rPr>
        <w:softHyphen/>
        <w:t>морской армии, один штурмовой и один ночной бом</w:t>
      </w:r>
      <w:r w:rsidRPr="00070ADE">
        <w:rPr>
          <w:rFonts w:ascii="Times New Roman" w:hAnsi="Times New Roman" w:cs="Times New Roman"/>
          <w:color w:val="000000" w:themeColor="text1"/>
          <w:sz w:val="16"/>
          <w:szCs w:val="16"/>
        </w:rPr>
        <w:softHyphen/>
        <w:t>бардировочный авиаполки И8 состава 1-го Прибалтий</w:t>
      </w:r>
      <w:r w:rsidRPr="00070ADE">
        <w:rPr>
          <w:rFonts w:ascii="Times New Roman" w:hAnsi="Times New Roman" w:cs="Times New Roman"/>
          <w:color w:val="000000" w:themeColor="text1"/>
          <w:sz w:val="16"/>
          <w:szCs w:val="16"/>
        </w:rPr>
        <w:softHyphen/>
        <w:t>ского фронта, один авиаполк ночных бомбардировщи</w:t>
      </w:r>
      <w:r w:rsidRPr="00070ADE">
        <w:rPr>
          <w:rFonts w:ascii="Times New Roman" w:hAnsi="Times New Roman" w:cs="Times New Roman"/>
          <w:color w:val="000000" w:themeColor="text1"/>
          <w:sz w:val="16"/>
          <w:szCs w:val="16"/>
        </w:rPr>
        <w:softHyphen/>
        <w:t>ков из состава Западного фронта и два ночных бом</w:t>
      </w:r>
      <w:r w:rsidRPr="00070ADE">
        <w:rPr>
          <w:rFonts w:ascii="Times New Roman" w:hAnsi="Times New Roman" w:cs="Times New Roman"/>
          <w:color w:val="000000" w:themeColor="text1"/>
          <w:sz w:val="16"/>
          <w:szCs w:val="16"/>
        </w:rPr>
        <w:softHyphen/>
        <w:t>бардировочных авиаполка из состава 1-го Украинско</w:t>
      </w:r>
      <w:r w:rsidRPr="00070ADE">
        <w:rPr>
          <w:rFonts w:ascii="Times New Roman" w:hAnsi="Times New Roman" w:cs="Times New Roman"/>
          <w:color w:val="000000" w:themeColor="text1"/>
          <w:sz w:val="16"/>
          <w:szCs w:val="16"/>
        </w:rPr>
        <w:softHyphen/>
        <w:t>го фронта.</w:t>
      </w:r>
    </w:p>
    <w:p w14:paraId="67F4281F" w14:textId="77777777" w:rsidR="009C0B20" w:rsidRPr="00070ADE" w:rsidRDefault="009C0B2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выводимых в резерв авиаполков оставить на месте и передать на доукомплектование других авиачастей фронтов.</w:t>
      </w:r>
    </w:p>
    <w:p w14:paraId="1CB40D79" w14:textId="77777777" w:rsidR="009C0B20" w:rsidRPr="00070ADE" w:rsidRDefault="009C0B2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Обязать Начальника Генерального Штаба Красной Армии отдать необходимые организационные указания во исполнение настоящего постановлений (19482).</w:t>
      </w:r>
    </w:p>
    <w:p w14:paraId="42759720" w14:textId="77777777" w:rsidR="009C0B20" w:rsidRPr="00070ADE" w:rsidRDefault="009C0B20" w:rsidP="00B56F90">
      <w:pPr>
        <w:autoSpaceDE w:val="0"/>
        <w:autoSpaceDN w:val="0"/>
        <w:adjustRightInd w:val="0"/>
        <w:spacing w:after="0" w:line="240" w:lineRule="auto"/>
        <w:jc w:val="both"/>
        <w:rPr>
          <w:rFonts w:ascii="Times New Roman" w:hAnsi="Times New Roman"/>
          <w:color w:val="000000" w:themeColor="text1"/>
          <w:sz w:val="16"/>
          <w:szCs w:val="16"/>
        </w:rPr>
      </w:pPr>
    </w:p>
    <w:p w14:paraId="046A74CB"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г. вышло Постановление ГКО СССР Ш 5626 «О мероприятиях по и бомбардировочной авиации и усилению штурмовой авиации.</w:t>
      </w:r>
    </w:p>
    <w:p w14:paraId="030F3AD5"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г.</w:t>
      </w:r>
    </w:p>
    <w:p w14:paraId="7A50C1D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РГАСПИ. Ф. 644. Оп. 2. автограф И.В. Сталина. Д. 313. Л. 54-55. Подлинник</w:t>
      </w:r>
    </w:p>
    <w:p w14:paraId="072A15E1"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ашинописный текст. Подпись -</w:t>
      </w:r>
    </w:p>
    <w:p w14:paraId="74961401"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СОВЕРШЕННО СЕКРЕТНО</w:t>
      </w:r>
    </w:p>
    <w:p w14:paraId="3C8A5E34"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w:t>
      </w:r>
    </w:p>
    <w:p w14:paraId="234CC3D7"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ГОСУДАРСТВЕННОГО КОМИТЕТА ОБОРОНЫ</w:t>
      </w:r>
    </w:p>
    <w:p w14:paraId="5301C581"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г. № 5626 сс</w:t>
      </w:r>
    </w:p>
    <w:p w14:paraId="0602BAC3"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Москва</w:t>
      </w:r>
    </w:p>
    <w:p w14:paraId="31C37699"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усиления штурмовой и бомбардировочной авиации Резерва, Государственный Комитет Обороны ПОСТАНОВЛЯЕТ:</w:t>
      </w:r>
    </w:p>
    <w:p w14:paraId="32A9A86B"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Обязать командующего ВВС Красной армии сформировать в составе Резерва Ставки Верховного Главнокомандования:</w:t>
      </w:r>
    </w:p>
    <w:p w14:paraId="31AEECB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327 бомбардировочную авиадивизию на самолетах А—20ж в составе трех авиаполков по тридцать два самолёта в каждом;</w:t>
      </w:r>
    </w:p>
    <w:p w14:paraId="1EBCB64D"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- 189 штурмовую авиадивизию Ил-2 в составе трех авиаполков по сорок самолётов в каждом;</w:t>
      </w:r>
    </w:p>
    <w:p w14:paraId="48AA5ED2"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- 136 штурхмовую авиадивизию Ил-2 в составе трех авиаполков по сорок сахмолетов в каждом.</w:t>
      </w:r>
    </w:p>
    <w:p w14:paraId="4B0476A1"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 формирование авиадивизий обратить Управление 327 ночной бомбардировочной авиадивизии Резерва, 189 ночную бОхМбардировочную авиадивизию Резерва с входящими в её состав авиаполками и Управление 136 смешанной авиадивизии, выведя её с ротой связи из состава Средне—Азиатского военного округа.</w:t>
      </w:r>
    </w:p>
    <w:p w14:paraId="0547DE40"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Вывести в Резерв, перевооружить и включить в формируемые авиадивизии:</w:t>
      </w:r>
    </w:p>
    <w:p w14:paraId="3125F5F9"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Один штурхмовой авиаполк из состава отдельной Приморской армии, один штурмовой и один ночной бомбардировочный авиаполки из состава I—го Прибалтийского фронта, один авиаполк ночных бомбардировщиков из состава Западного фронта и два ночных бомбардировочных авиаполка из состава I—го Украинского фронта.</w:t>
      </w:r>
    </w:p>
    <w:p w14:paraId="185A1831"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Самолёты выводимые в резерв авиаполков оставить на месте и передать на доукохмплектование других авиачастей фронтов.</w:t>
      </w:r>
    </w:p>
    <w:p w14:paraId="535ED542"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Обязать Начальника Генерального штаба Красной армии отдать необходимые организационные указания во исполнение настоящего Постановления.</w:t>
      </w:r>
    </w:p>
    <w:p w14:paraId="78282D6C"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ГОСУДАРСТВЕННОГО КОМИТЕТА ОБОРОНЫ И. Сталин</w:t>
      </w:r>
    </w:p>
    <w:p w14:paraId="38639061" w14:textId="77777777" w:rsidR="00627AF4" w:rsidRPr="00070ADE" w:rsidRDefault="00627AF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[Выписки]: т.т. Молотову, Новикову, Антонову (23613).</w:t>
      </w:r>
    </w:p>
    <w:p w14:paraId="5EA6B4B9" w14:textId="77777777" w:rsidR="00627AF4" w:rsidRPr="00070ADE" w:rsidRDefault="00627AF4" w:rsidP="00B56F90">
      <w:pPr>
        <w:spacing w:after="0" w:line="240" w:lineRule="auto"/>
        <w:jc w:val="both"/>
        <w:rPr>
          <w:rFonts w:ascii="Times New Roman" w:hAnsi="Times New Roman"/>
          <w:color w:val="000000" w:themeColor="text1"/>
          <w:sz w:val="16"/>
          <w:szCs w:val="16"/>
        </w:rPr>
      </w:pPr>
    </w:p>
    <w:p w14:paraId="34337AF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советские войска завершили Одесскую операцию (4962).</w:t>
      </w:r>
    </w:p>
    <w:p w14:paraId="3602505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D113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в Полтаву прибыла первая группа из 46 американских офицеров для организации челночных рейсов - операция Frantic (1261,34).</w:t>
      </w:r>
    </w:p>
    <w:p w14:paraId="1CDDD7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E3E839"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14 апреля 1944 г. в Полтаву прибыла первая группа американских офицеров в составе 46 человек. Совместно с ними личный состав 169-й авиабазы особого назначения приступил к работе (25184).</w:t>
      </w:r>
    </w:p>
    <w:p w14:paraId="1A50B3BE" w14:textId="77777777" w:rsidR="004D5A57" w:rsidRPr="00C94B78" w:rsidRDefault="004D5A57" w:rsidP="00B56F90">
      <w:pPr>
        <w:spacing w:after="0" w:line="240" w:lineRule="auto"/>
        <w:jc w:val="both"/>
        <w:rPr>
          <w:rFonts w:ascii="Times New Roman" w:hAnsi="Times New Roman"/>
          <w:color w:val="0070C0"/>
          <w:sz w:val="16"/>
          <w:szCs w:val="16"/>
        </w:rPr>
      </w:pPr>
    </w:p>
    <w:p w14:paraId="0592A6E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вышло Постановление ГКО № 5630 О составе резерва истребительной авиации ВВС Красной Армии. (7211, 167-169,170).</w:t>
      </w:r>
    </w:p>
    <w:p w14:paraId="661A330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23789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9D620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B47006"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в 1944 году авария истребителя «Bf 109H-1». При испытаниях на пикирование, которые проводились в Аугсбурге флюг-капитаном Венделем, после пикирования с высоты 5000 м, на высоте 3000 м при скорости 800 км/ч начался флаттер крыла. После того, как Вендель взял ручку на себя, левое крыло отвалилось с частью фюзеляжа (15099).</w:t>
      </w:r>
    </w:p>
    <w:p w14:paraId="633A6813" w14:textId="77777777" w:rsidR="001732E9" w:rsidRPr="00070ADE" w:rsidRDefault="001732E9" w:rsidP="00B56F90">
      <w:pPr>
        <w:spacing w:after="0" w:line="240" w:lineRule="auto"/>
        <w:jc w:val="both"/>
        <w:rPr>
          <w:rFonts w:ascii="Times New Roman" w:hAnsi="Times New Roman"/>
          <w:color w:val="000000" w:themeColor="text1"/>
          <w:sz w:val="16"/>
          <w:szCs w:val="16"/>
        </w:rPr>
      </w:pPr>
    </w:p>
    <w:p w14:paraId="52B78F3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в концлагерь Освенцим стали поступать евреи из Греции (4962).</w:t>
      </w:r>
    </w:p>
    <w:p w14:paraId="66FD596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5B1E3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апреля 1944 из-за взрыва корабля в бухте Бомбея и вызванным этим пожаром погибли 1376 человек (4962).</w:t>
      </w:r>
    </w:p>
    <w:p w14:paraId="62A298A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C7A18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F8D78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4F4E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апреля 1944 А.С.Я. распоряжением N Н-35/1963 установил ли Н.Д.Фиксону доп. зарплату за проведение полных заводских испытаний ДДБШ с 2М-71 конструкции П.О.С. и утвердил бригаду с ви В.И.Фурдецким (2562,56).</w:t>
      </w:r>
    </w:p>
    <w:p w14:paraId="1A9549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1E54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апреля 1944 Зам. нач. 7 ГУ Алексеев подготовил справку N 2194:</w:t>
      </w:r>
    </w:p>
    <w:p w14:paraId="62A521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Справка по выполнению приказов Наркома о строительстве высотных самолетов по состоянию на 15 апреля 1944:</w:t>
      </w:r>
    </w:p>
    <w:p w14:paraId="73F8E7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Высотный бомбардировщик Ил-4 с 2М-88Б и ТК.</w:t>
      </w:r>
    </w:p>
    <w:p w14:paraId="2ED6A2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выпускался согласно приказов НКАП N 835сс от 12 ноября 1942 и N 523сс от 31 августа 1943.</w:t>
      </w:r>
    </w:p>
    <w:p w14:paraId="7B1D14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экз. самолета Ил-4 с 2М-88Б, оборудованный ТК-3, без герметической кабины, был выпущен на испытания 18 декабря 1942, за два дня до установленного приказом срока.</w:t>
      </w:r>
    </w:p>
    <w:p w14:paraId="25A66D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заводских испытаний было выполнено 11 полетов, в которых была достигнута высота 7100 м вместо 9500 м по расчету.</w:t>
      </w:r>
    </w:p>
    <w:p w14:paraId="7CC851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Ввиду неудовлетворительной работы ВМГ с ТК самолет был передан 10 августа 1943 в ЛИИ согласно приказа НКАП N 444с от 24 июля 1943, без отработки ВМГ и ТК при участии ЦИАМа.</w:t>
      </w:r>
    </w:p>
    <w:p w14:paraId="2BF2C0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Испытаниями установлено:</w:t>
      </w:r>
    </w:p>
    <w:p w14:paraId="1ACEE5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Граница высотности М-88Б с включенными ТК равна 7650 м, на режиме горизонтального полета на макс. скорости.</w:t>
      </w:r>
    </w:p>
    <w:p w14:paraId="0E510A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Полученная граница высотности на 1000 м ниже, заявленной ЦИАМ.</w:t>
      </w:r>
    </w:p>
    <w:p w14:paraId="56073E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ТК-3 на самолете Ил-4 вызвала изменения форм самолета, что увеличило аэродинамическое сопротивление и ухудшило обтекание отдельных частей самолета. Вследствие этого макс. скорость на расчетной высоте снизилась на 20-22 км/час, ухудшилась скороподъемность на 15.5% и появились вибрации хвостового оперения и обшивки фюзеляжа.</w:t>
      </w:r>
    </w:p>
    <w:p w14:paraId="6F01B8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Из-за наличия ряда существенных недостатков ВМГ дальнейшие испытания самолета Ил-4 прекращены и самолет возвращен заводу 240.</w:t>
      </w:r>
    </w:p>
    <w:p w14:paraId="3001D2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2-й экз. самолета проходил заводские испытания с 10 марта по 29 мая 1943 с герметической кабиной первого варианта и с 10 августа 1943 с герметической кабиной второго варианта и ТК ТК-М вместо ТК-3.</w:t>
      </w:r>
    </w:p>
    <w:p w14:paraId="5103FC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данном экз. самолета полеты выше 7500 м не проводились из-за дефектов винтов.</w:t>
      </w:r>
    </w:p>
    <w:p w14:paraId="20FC55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Была обнаружена раскрутка трехлопастных винтов ВИШ-61П, а также замененных 4-х лопастных винтов АВ-9.</w:t>
      </w:r>
    </w:p>
    <w:p w14:paraId="0B6A37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Доводочные работы по винтам были выполнены 10 ноября 1943.</w:t>
      </w:r>
    </w:p>
    <w:p w14:paraId="04F1FE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Дальнейшие испытания самолета прекращены по распоряжению С.В.И., ввиду загрузки завода 240 по проведению испытаний самолетов Ил-2 с АМ-42." (1825,208).</w:t>
      </w:r>
    </w:p>
    <w:p w14:paraId="52C548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89EB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апреля 1944 распоряжением N Н-35/1962 А.С.Я. в дополнение к приказу НКАП и НИИ ВВС КА N 183/044 от 10 марта 1944 установил Ф.Ф.Опадчему доп. зарплату за проведение совместных испытаний ДВБ-102 с М-71 ТК-3 (2562,55).</w:t>
      </w:r>
    </w:p>
    <w:p w14:paraId="4729FD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F512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апреля 1944 года Дементьев писал письмо N Н-35/1979 гл. конструктору завода N 25 Жданову.</w:t>
      </w:r>
    </w:p>
    <w:p w14:paraId="44DE93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Наиболее отсталым участком работы Вашего ОКБ является обеспечение бомбардировочной авиации (Ер-2; Ли-2, Ту-2 и Ил-4) флюгерными винтами.</w:t>
      </w:r>
    </w:p>
    <w:p w14:paraId="29CA47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явную необходимость обеспечения бомбардировщиков флюгерными винтами, Вами мер к форсированию этих работ не принимается.</w:t>
      </w:r>
    </w:p>
    <w:p w14:paraId="501321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Считаем отработку и испытание флюгерных винтов для бомбардировщиков первоочередной и важнейшей задачей завода N 25, обязываю Вас закончить эти работы в следующие сроки:</w:t>
      </w:r>
    </w:p>
    <w:p w14:paraId="08F6E6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Флюгерный винт для с-та Ер-2 к 25 мая 1944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2731"/>
      </w:tblGrid>
      <w:tr w:rsidR="004D4663" w:rsidRPr="00070ADE" w14:paraId="211B2C77" w14:textId="77777777">
        <w:tc>
          <w:tcPr>
            <w:tcW w:w="1878" w:type="dxa"/>
          </w:tcPr>
          <w:p w14:paraId="02FD94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78" w:type="dxa"/>
          </w:tcPr>
          <w:p w14:paraId="55446D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731" w:type="dxa"/>
          </w:tcPr>
          <w:p w14:paraId="3D1671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Ли-2 к 15 мая 1944 г.</w:t>
            </w:r>
          </w:p>
        </w:tc>
      </w:tr>
      <w:tr w:rsidR="004D4663" w:rsidRPr="00070ADE" w14:paraId="524D0A8B" w14:textId="77777777">
        <w:tc>
          <w:tcPr>
            <w:tcW w:w="1878" w:type="dxa"/>
          </w:tcPr>
          <w:p w14:paraId="2A858A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78" w:type="dxa"/>
          </w:tcPr>
          <w:p w14:paraId="601B5B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731" w:type="dxa"/>
          </w:tcPr>
          <w:p w14:paraId="1495CF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Ту-2 к 1 июля 1944 г.</w:t>
            </w:r>
          </w:p>
        </w:tc>
      </w:tr>
      <w:tr w:rsidR="004D4663" w:rsidRPr="00070ADE" w14:paraId="2B05013A" w14:textId="77777777">
        <w:tc>
          <w:tcPr>
            <w:tcW w:w="1878" w:type="dxa"/>
          </w:tcPr>
          <w:p w14:paraId="709A69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78" w:type="dxa"/>
          </w:tcPr>
          <w:p w14:paraId="6ECE99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731" w:type="dxa"/>
          </w:tcPr>
          <w:p w14:paraId="06E219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Ил-4 к 20 мая 1944 г.</w:t>
            </w:r>
          </w:p>
        </w:tc>
      </w:tr>
    </w:tbl>
    <w:p w14:paraId="7A0CDE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ходе работы по отработке флюгерных винтов требую ежемесячного отчета (2562,57).</w:t>
      </w:r>
    </w:p>
    <w:p w14:paraId="5AC257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A2F3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апреля 1944 года зам. начальника 7-го гл. управления НКАП Алексеев.</w:t>
      </w:r>
    </w:p>
    <w:p w14:paraId="426681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Справка</w:t>
      </w:r>
    </w:p>
    <w:p w14:paraId="7189A3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выполнению приказов Наркома о строительстве высотных самолетов по состоянию на 15 апреля 1944 г.</w:t>
      </w:r>
    </w:p>
    <w:p w14:paraId="485968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вариант самолета Ла-5 с мотором АШ-82ФН и 2ТК-3.</w:t>
      </w:r>
    </w:p>
    <w:p w14:paraId="290F02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строился согласно приказов НКАП за N 355сс от 14 июня и N 523сс от 31 августа 1943 года. Заданная боевая высота - 1300 м.</w:t>
      </w:r>
    </w:p>
    <w:p w14:paraId="3FD4AD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9 июля 1943 г. самолет проходит заводские испытания на заводе N 21. Всего произведено 30 полетов, из них 9 полетов на высоту свыше 9000 м.</w:t>
      </w:r>
    </w:p>
    <w:p w14:paraId="5D1B95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Наибольшая высота полета, достигнутая при испытаниях - 12500 м по прибору; в полете на этой высоте обнаружен перегрев масла и головок цилиндров мотора, особенно сильный у цилиндра N 1. Высокие температурные режимы мотора не позволили увеличить высоту полета, хотя, по заявлению летчика, на высоте 12500 м самолет сохранял способность горизонтального и вертикального маневров.</w:t>
      </w:r>
    </w:p>
    <w:p w14:paraId="06365F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испытаний сменено три мотора из-за появления стружки в маслосистеме. Замена моторов и их дефекты при полетах на больших высотах значительно задержали проведение летных испытаний.</w:t>
      </w:r>
    </w:p>
    <w:p w14:paraId="6EF4B3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процессе испытаний на самолете произведены следующие работы: установлен увеличенный масляный радиатор, смонтирована система впрыска воды в цилиндры мотора. Поставлен дополнительный бензобак на 60 кг, заменена маслопомпа МШ-1 на МШ-5, что повлекло переделки маслопровода и ряд других работ, связанных с устранением дефектов, выявленных в полете.</w:t>
      </w:r>
    </w:p>
    <w:p w14:paraId="3C8A70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доводочных работ на самолете, в полете достигнута высота 12000 м по прибору. Снижение высоты объясняется увеличением веса самолета на 100 кг за счет дополнительного бензина и воды.</w:t>
      </w:r>
    </w:p>
    <w:p w14:paraId="2610B6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зимних месяцев проводились одиночные полеты из-за отсутствия высоты. В марте произведено три полета до высоты 12000 м. При этих полетах винтомоторная группа работала нормально. В начале апреля самолет поставлен в цех на восстановительный ремонт из-за изношенности материальной части. Ремонт предполагается закончить в начале мая с.г.</w:t>
      </w:r>
    </w:p>
    <w:p w14:paraId="6A38DB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окончания ремонта будут производиться полеты для снятия летных характеристик и проведения исследовательских работ по доводке винто-моторной группы на высоте.</w:t>
      </w:r>
    </w:p>
    <w:p w14:paraId="223E1D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Второй экземпляр высотного самолета ЛА-5 с АШ-82ФН и 2ТК-3</w:t>
      </w:r>
    </w:p>
    <w:p w14:paraId="43FAC5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увеличенной площадью крыла и оперения</w:t>
      </w:r>
    </w:p>
    <w:p w14:paraId="0669F6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строился согласно приказа НКАП за N 523сс от 31 августа 1943 года. Заданная боевая высота - 13500 м.</w:t>
      </w:r>
    </w:p>
    <w:p w14:paraId="2A19F9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должен быть предъявлен на летные испытания 15 октября 1943 года.</w:t>
      </w:r>
    </w:p>
    <w:p w14:paraId="419213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закончен производством в январе 1944 года. Задержка произошла из-за загрузки опытного цеха работами по самолету Ла-7.</w:t>
      </w:r>
    </w:p>
    <w:p w14:paraId="1BFF4B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полетов не производилось из-за отсутствия летной погоды. Из-за появления стружки в маслосистеме при опробовании мотора на земле, произведена смена мотора.</w:t>
      </w:r>
    </w:p>
    <w:p w14:paraId="2BED57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марте произведено два контрольных полета до высоты 3000 м, винтомоторная группа работала нормально. Самолет подготовлен к полетам на снятие летных характеристик.</w:t>
      </w:r>
    </w:p>
    <w:p w14:paraId="4B41D5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Полеты проводит летчик Шиянов.</w:t>
      </w:r>
    </w:p>
    <w:p w14:paraId="37AE95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Высотный самолет МИГ с мотором</w:t>
      </w:r>
    </w:p>
    <w:p w14:paraId="3FA199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АМ-39А с 2ТК-2Б</w:t>
      </w:r>
    </w:p>
    <w:p w14:paraId="358367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строился согласно приказов НКАП за N 355сс от 14 июня и N 523сс от 31 августа 1943 года.</w:t>
      </w:r>
    </w:p>
    <w:p w14:paraId="0D2E55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Заданный потолок для самолета - 14000 м.</w:t>
      </w:r>
    </w:p>
    <w:p w14:paraId="459FA6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экземпляр самолета без герметической кабины, проходил летные заводские испытания с 2.12.1943 г. по 7.03.1944 г. На летные испытания этот самолет был выпущен с опозданием на 2 месяца из-за несвоевременной подачи мотора АМ-39 заводом N 300.</w:t>
      </w:r>
    </w:p>
    <w:p w14:paraId="18BE43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летных испытаний, самолет произвел девять полетов, из них:</w:t>
      </w:r>
    </w:p>
    <w:p w14:paraId="563A3A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полета без включения ТК на 1-й скорости нагнетателя на высотах до 5000 м,</w:t>
      </w:r>
    </w:p>
    <w:p w14:paraId="12E7DB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полета на 2-й скорости нагнетателя без включения ТК на высотах 800 и 3000 м,</w:t>
      </w:r>
    </w:p>
    <w:p w14:paraId="63CD39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полета с включением ТК на высотах 1000, 2000, 3000, 4000, 8000 и 9300 м.</w:t>
      </w:r>
    </w:p>
    <w:p w14:paraId="53167C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испытаний имело место падение давления масла и колебания в давлении бензина. Эти дефекты были устранены и в последних полетах не наблюдались.</w:t>
      </w:r>
    </w:p>
    <w:p w14:paraId="20B944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При полете 7.02.1944 года с работающим ТК самолет разбился. Летчик выбросился на парашюте с высоты 900 м. Причиной аварии самолета явилась неправильная оценка обстановки летчиком Журавлевым, которым было принято за начавшийся пожар - появление дыма в кабине и длинных факелов пламени из выхлопных патрубков ТК.</w:t>
      </w:r>
    </w:p>
    <w:p w14:paraId="7E7371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2-й экземпляр самолета с герметической кабиной находится в производстве с макетным мотором. Выпуск его задерживается из-за отсутствия летного мотора, который до сего времени не подан, несмотря на неоднократно устанавливавшиеся сроки заводом N 300. Общая готовность по постройке составляет 95%.</w:t>
      </w:r>
    </w:p>
    <w:p w14:paraId="2DE359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3-й экземпляр самолета с герметической кабиной находится в производстве, в агрегатной сборке. Общая готовность по постройке составляет 20%.</w:t>
      </w:r>
    </w:p>
    <w:p w14:paraId="05E357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Высотный бомбардировщик Ил-4 с</w:t>
      </w:r>
    </w:p>
    <w:p w14:paraId="7D8F31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2М-88Б и ТК</w:t>
      </w:r>
    </w:p>
    <w:p w14:paraId="79720D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выпускался согласно приказов НКАП за N 835сс от 12 ноября 1942 г. и N 523сс от 31 августа 1943 г.</w:t>
      </w:r>
    </w:p>
    <w:p w14:paraId="278EC5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экземпляр самолета Ил-4 с 2М-88Б, оборудованными ТК-3, без герметической кабины, был выпущен на испытания 18 декабря 1942 г., за два дня до установленного приказом срока.</w:t>
      </w:r>
    </w:p>
    <w:p w14:paraId="2B405F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заводских испытаний было выполнено 11 полетов, в которых была достигнута высота 7100 м, вместо 9500 м по расчету.</w:t>
      </w:r>
    </w:p>
    <w:p w14:paraId="5F9F32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Ввиду неудовлетворительной работы ВМГ с ТК, самолет был передан 10 августа 1943 г. в ЛИИ, согласно приказа НКАП N 444с от 24 июля 1943 г., для отработки ВМГ т ТК при участии ЦИАМ"а.</w:t>
      </w:r>
    </w:p>
    <w:p w14:paraId="796965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Испытаниями установлено:</w:t>
      </w:r>
    </w:p>
    <w:p w14:paraId="5B6E9D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граница высотности мотора М-88Б с включенными турбокомпрессорами равна 7650 м, на режиме горизонтального полета на максимальной скорости.</w:t>
      </w:r>
    </w:p>
    <w:p w14:paraId="3DA98A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Полученная граница высотности на 1000 м ниже, заявленной ЦИАМ.</w:t>
      </w:r>
    </w:p>
    <w:p w14:paraId="2C3E00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ТК-3 на самолете Ил-4 вызвала изменение форм самолета, что увеличило аэродинамическое сопротивление и ухудшило обтекание отдельных частей самолета. Вследствие этого максимальная скорость на расчетной высоте снизилась на 20-22 км/час, ухудшилась скороподъемность на 15,5% и появились вибрации хвостового оперения и обшивки фюзеляжа.</w:t>
      </w:r>
    </w:p>
    <w:p w14:paraId="61A289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Из-за наличия ряда существенных недостатков винтомоторной установки дальнейшие испытания самолета Ил-4 прекращены и самолет возвращен заводу N 240.</w:t>
      </w:r>
    </w:p>
    <w:p w14:paraId="33780C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2-й экземпляр самолета проходил заводские испытания с 10 марта по 29 мая 1943 года с герметической кабиной первого варианта и с 10 августа 1943 года с герметической кабиной второго варианта и турбокомпрессорами ТК-М, вместо ТК-3.</w:t>
      </w:r>
    </w:p>
    <w:p w14:paraId="1F790A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данном экземпляре самолета полеты выше 7500 м не производились из-за дефектов винтов.</w:t>
      </w:r>
    </w:p>
    <w:p w14:paraId="018DC7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Была обнаружена раскрутка трехлопастных винтов ВИШ-61П, а также замененных четырехлопастных винтов АВ-9.</w:t>
      </w:r>
    </w:p>
    <w:p w14:paraId="371A20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Доводочные работы по винтам были выполнены к 10 ноября 1943 года.</w:t>
      </w:r>
    </w:p>
    <w:p w14:paraId="006571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Дальнейшие испытания самолета прекращены по распоряжению С.В.И., ввиду загрузки завода N 240 по проведению испытаний самолетов Ил-2 с АМ-42.</w:t>
      </w:r>
    </w:p>
    <w:p w14:paraId="4EB4DF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Высотный двухмоторный истребитель</w:t>
      </w:r>
    </w:p>
    <w:p w14:paraId="0BDE36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 с 2М-105ПД</w:t>
      </w:r>
    </w:p>
    <w:p w14:paraId="66D875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выпускался согласно приказа НКАП за N 835сс от 12 ноября 1942 г.</w:t>
      </w:r>
    </w:p>
    <w:p w14:paraId="19313E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Пе-2 с 2М-105ПД был закончен в производстве и передан на заводские испытания в апреле 1943 г.</w:t>
      </w:r>
    </w:p>
    <w:p w14:paraId="11280A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испытаниях было произведено 15 полетов, во время которых выявился ряд дефектов моторов. Устранить полностью эти дефекты бригада ЦИАМ не смогла. В октябре 1943 г., согласно приказа N 523с от 31 августа 1943 г., самолет был передан заводу N 482 и ЛИИ для доводки винтомоторной группы, герметической кабины.</w:t>
      </w:r>
    </w:p>
    <w:p w14:paraId="482C18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доводки винтомоторной группы, в ЛИИ самолет произвел 9 полетов, в течении которых имело место попадание газов из цилиндра в рубашку блока у одного из моторов.</w:t>
      </w:r>
    </w:p>
    <w:p w14:paraId="5EB2F7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летных испытаний на самолете достигнута наибольшая высота 10500 м. По заключению ЛИИ практический потолок самолета не превышает 11000 м.</w:t>
      </w:r>
    </w:p>
    <w:p w14:paraId="12D94F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находится на заводе N 482, где производится устранение дефектов, выявленных при испытании. Самолет не обеспечен кондиционными моторами, которые до сего времени (с декабря 1943 г.) не поданы ЦИАМ.</w:t>
      </w:r>
    </w:p>
    <w:p w14:paraId="35C284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Высотный вариант самолета Як-9</w:t>
      </w:r>
    </w:p>
    <w:p w14:paraId="025D11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мотором М-105ПД</w:t>
      </w:r>
    </w:p>
    <w:p w14:paraId="478263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строился согласно приказов НКАП N 355сс от 14 июня и N 523сс от 31 августа 1943 г.</w:t>
      </w:r>
    </w:p>
    <w:p w14:paraId="702D7C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Первый экземпляр самолета, для которого была задана боевая высота 13000 м, был выпущен на заводские испытания 29 июля 1943 г., в срок установленный по приказу.</w:t>
      </w:r>
    </w:p>
    <w:p w14:paraId="1C122A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Поставленный ЦИАМ"ом мотор с увеличенной редукцией нагнетателя оказался с некондиционными шестернями, в результате чего испытания были начаты лишь 26 августа 1943 г.</w:t>
      </w:r>
    </w:p>
    <w:p w14:paraId="7FFA91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время испытаний в полетах на высоте более 11000 м происходило образование работы мотора из-за плохой регулировки смеси высотным корректором, сильное перегревание и падение давления масла в моторе.</w:t>
      </w:r>
    </w:p>
    <w:p w14:paraId="4AAAA1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время испытаний производилась отработка на высоте водяной, масляной бензосистем, а также зажигания. Так как все эти работы проводились последовательно, испытания затянулись. В октябре 1943 г. на самолете был установлен второй мотор с повышенной высотностью до 9500 м на расчетном режиме (по данным ЦИАМ). До установки мотора с повышенной высотностью на самолете был произведен 21 полет.</w:t>
      </w:r>
    </w:p>
    <w:p w14:paraId="0EF9D2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октября 1943 г. был совершен полет летчиком Югановым, в котором была достигнута высота 13000 м. Эта высота близка к потолку для самолета Як-9, т.к. скороподъемность на указанной высоте была 0,5-0,75 м/сек.</w:t>
      </w:r>
    </w:p>
    <w:p w14:paraId="2117AF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Первый мотор М-105ПД с высотностью 9500 м был подан заводу N 115 с опозданием на 34 дня, второй мотор с опозданием на 15 дней.</w:t>
      </w:r>
    </w:p>
    <w:p w14:paraId="24ADE2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самолет стоит на заводе N 115 в ожидании доработки винтомоторной группы по увеличении ее высотности.</w:t>
      </w:r>
    </w:p>
    <w:p w14:paraId="3DCD04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НКАП N 212с от 23 марта 1944 г. постройка второго экземпляра самолета Як-9 с М-105ПД с боевой высотой 13500 м, предусмотренная приказом N 523сс от 31 марта 1943 г., отменена (1825,208).</w:t>
      </w:r>
    </w:p>
    <w:p w14:paraId="7D418A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70EA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15 апреля 1944 года первый высотный Ла-5 выполнил 30 испытательных полетов, из них девять - на высоте более 9000 м. Но выше 12 500 м подняться не удавалось, хотя самолет отличался достаточной маневренностью: как горизонтальной, так и вертикальной на этой высоте. Испытания шли тяжело, перегревались масло и головки цилиндров двигателя, падало давление бензина. Все это не позволяло достигнуть расчетного потолка. За отмеченный период пришлось заменить три двигателя, увеличить объем масло- радиатора и поставить дополнительный масляный бак на 60 кг. Вырос запас горючего и появился бак с водой, предназначавшейся для охлаждения цилиндров мотора при ее впрыске в клапанные коробки. В итоге вес машины возрос на 100 кг, а потолок снизился до 12 000 м (12032).</w:t>
      </w:r>
    </w:p>
    <w:p w14:paraId="44EAD0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3C1F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15 апреля по 20 ноября 1944 П.Я.Федрови проводил заводские испытания Як-3-1 с ВК-107А с ВИШ-107ЛО диаметром 3.1 м смешанной конструкции и было выполнено 38 полетов продолжительностью 14:50. Ви был А.М.Дружинин, а м - О.В.Яницкий. До 25 полета в основном доводили ВМГ (65,185).</w:t>
      </w:r>
    </w:p>
    <w:p w14:paraId="408B5B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479957"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апреля в 1944 году начались (по 20 ноября) заводские испытания истребителя «Як-З» «ВК-107», ОКБ Яковлева (ведущий летчик П.Я.Федрови, ведущий инженер А.М.Дружинин, механик О.В.Яницкий). Опытный «Як-З» смешанной конструкции с двигателем «ВК-107А»и винтом «ВИШ-107ЛО» диаметром 3,1 м являлся модификацией «Як-З ВК-105ПФ2» и отличался от него, главным образом, установкой более мощного и более высотного двигателя ВК-107А. Вооружение состояло из двух синхронных пушек «Б-20С» калибра 20 мм с боезапасом по 120 снарядов. Спецоборудование не изменилось за исключением того, что установлены однолучевая безмачтовая антенна вместо двухлучевой; вольтметр; генератор «ГС-15-500» взамен «ГС-10-350». Заводские испытания проводились со снятым вооружением при полетной массе 2800 кг. Было выполнено 38 полетов общей продолжительностью 14 ч 50 мин. Двигатель «ВК-107А» работал неудовлетворительно и трижды выходил из строя, чему способствовало недостаточное охлаждение воды и масла. Поэтому заводские испытания самолета свелись по существу к доводке двигателя и ВМГ, и лишь после 25 полетов состояние ВМГ позволило проводить испытания со снятием летных характеристик (15100).</w:t>
      </w:r>
    </w:p>
    <w:p w14:paraId="7ED2749F" w14:textId="77777777" w:rsidR="001732E9" w:rsidRPr="00070ADE" w:rsidRDefault="001732E9" w:rsidP="00B56F90">
      <w:pPr>
        <w:spacing w:after="0" w:line="240" w:lineRule="auto"/>
        <w:jc w:val="both"/>
        <w:rPr>
          <w:rFonts w:ascii="Times New Roman" w:hAnsi="Times New Roman"/>
          <w:color w:val="000000" w:themeColor="text1"/>
          <w:sz w:val="16"/>
          <w:szCs w:val="16"/>
        </w:rPr>
      </w:pPr>
    </w:p>
    <w:p w14:paraId="6AD0E5AE"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апреля 1944. катастрофа погиб летчик-испытатель А.И.Кокин при выполнении испытательного полёта на «Як-9У» с «М-107А» (15100).</w:t>
      </w:r>
    </w:p>
    <w:p w14:paraId="6B083008" w14:textId="77777777" w:rsidR="001732E9" w:rsidRPr="00070ADE" w:rsidRDefault="001732E9" w:rsidP="00B56F90">
      <w:pPr>
        <w:spacing w:after="0" w:line="240" w:lineRule="auto"/>
        <w:jc w:val="both"/>
        <w:rPr>
          <w:rFonts w:ascii="Times New Roman" w:hAnsi="Times New Roman"/>
          <w:color w:val="000000" w:themeColor="text1"/>
          <w:sz w:val="16"/>
          <w:szCs w:val="16"/>
        </w:rPr>
      </w:pPr>
    </w:p>
    <w:p w14:paraId="3BACC9A4"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15 апреля по 20 ноября 1944 года проводили заводские испытания первого прототипа Як-3 с ВК-107А. Летчик</w:t>
      </w:r>
      <w:r w:rsidRPr="00C94B78">
        <w:rPr>
          <w:rFonts w:ascii="Times New Roman" w:hAnsi="Times New Roman"/>
          <w:color w:val="0070C0"/>
          <w:sz w:val="16"/>
          <w:szCs w:val="16"/>
        </w:rPr>
        <w:noBreakHyphen/>
        <w:t>испытатель П.Ю. Федоров. Было построено два экземпляра: № 1 и «дублер»/</w:t>
      </w:r>
    </w:p>
    <w:p w14:paraId="6EC0794F"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Новый двигатель был не единственным изменением в конструкции самолета. Кабину пилота сдвинули назад на 400 мм, самолет получил 12 отдельных выхлопных патрубков, а емкость топливных баков увеличили с 390 до 518 литров. Вооружение состояло из двух пушек Б</w:t>
      </w:r>
      <w:r w:rsidRPr="00C94B78">
        <w:rPr>
          <w:rFonts w:ascii="Times New Roman" w:hAnsi="Times New Roman"/>
          <w:color w:val="0070C0"/>
          <w:sz w:val="16"/>
          <w:szCs w:val="16"/>
        </w:rPr>
        <w:noBreakHyphen/>
        <w:t>2 °C калибра 20 мм с боекомплектом 120 выстрелов на ствол, хотя в ходе испытаний вооружение на самолет не устанавливали. Первая половина испытаний прошла под флагом борьбы за надежность двигателя. Лишь 25 из 38 полетов прошли успешно. Причем эти успехи были многообещающими. Несмотря на то, что масса самолета выросла до 2984 кг, скорость у земли достигла 611 км/ч, а на высоте 5750 м – 720 км/ч. Высоту 5000 метров самолет набирал за 3,9 минут. Заметно возросла дальность действия: на скорости 509 км/ч самолет пролетал до 1060 км. В ходе боевого разворота Як</w:t>
      </w:r>
      <w:r w:rsidRPr="00C94B78">
        <w:rPr>
          <w:rFonts w:ascii="Times New Roman" w:hAnsi="Times New Roman"/>
          <w:color w:val="0070C0"/>
          <w:sz w:val="16"/>
          <w:szCs w:val="16"/>
        </w:rPr>
        <w:noBreakHyphen/>
        <w:t xml:space="preserve">3 с новым двигателем набирал 1500 метров, что делало его очень ценной машиной. Немецкие самолеты безнадежно </w:t>
      </w:r>
      <w:r w:rsidRPr="00C94B78">
        <w:rPr>
          <w:rFonts w:ascii="Times New Roman" w:hAnsi="Times New Roman"/>
          <w:color w:val="0070C0"/>
          <w:sz w:val="16"/>
          <w:szCs w:val="16"/>
        </w:rPr>
        <w:lastRenderedPageBreak/>
        <w:t>отставали от Як</w:t>
      </w:r>
      <w:r w:rsidRPr="00C94B78">
        <w:rPr>
          <w:rFonts w:ascii="Times New Roman" w:hAnsi="Times New Roman"/>
          <w:color w:val="0070C0"/>
          <w:sz w:val="16"/>
          <w:szCs w:val="16"/>
        </w:rPr>
        <w:noBreakHyphen/>
        <w:t>3 по этому параметру: Bf 109G</w:t>
      </w:r>
      <w:r w:rsidRPr="00C94B78">
        <w:rPr>
          <w:rFonts w:ascii="Times New Roman" w:hAnsi="Times New Roman"/>
          <w:color w:val="0070C0"/>
          <w:sz w:val="16"/>
          <w:szCs w:val="16"/>
        </w:rPr>
        <w:noBreakHyphen/>
        <w:t>2 с тремя пушками на 400 метров, a Fw 190A</w:t>
      </w:r>
      <w:r w:rsidRPr="00C94B78">
        <w:rPr>
          <w:rFonts w:ascii="Times New Roman" w:hAnsi="Times New Roman"/>
          <w:color w:val="0070C0"/>
          <w:sz w:val="16"/>
          <w:szCs w:val="16"/>
        </w:rPr>
        <w:noBreakHyphen/>
        <w:t>4 – на 800 метров! Тем не менее, прототип нуждался в доработке, прежде всего, требовалось улучшить надежность двигателя и повысить эффективность системы охлаждения. Очень быстро вырабатывали ресурс подшипники коленвала, происходила разгерметизация цилиндров, при некоторых режимах работы двигатель начинал вибрировать. При эксплуатации двигателя на предельных режимах отмечался быстрый рост температуры воды и масла. Охлаждение становилось адекватным лишь при полностью раскрытом воздухозаборнике, но это резко ухудшало аэродинамику самолета.</w:t>
      </w:r>
    </w:p>
    <w:p w14:paraId="68FAB8A5"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Смешанная конструкция самолета характеризовалась недостаточной прочностью. Большая масса самолета и уменьшение оборотов винта (с 1800 до 1600 в минуту) привели к росту разбега и пробега. При посадке самолет проявлял тенденцию к капотированию, что не позволяло энергично тормозить (25076).</w:t>
      </w:r>
    </w:p>
    <w:p w14:paraId="758A6FF9" w14:textId="77777777" w:rsidR="004D5A57" w:rsidRPr="00C94B78" w:rsidRDefault="004D5A57" w:rsidP="00B56F90">
      <w:pPr>
        <w:spacing w:after="0" w:line="240" w:lineRule="auto"/>
        <w:jc w:val="both"/>
        <w:rPr>
          <w:rFonts w:ascii="Times New Roman" w:hAnsi="Times New Roman"/>
          <w:color w:val="0070C0"/>
          <w:sz w:val="16"/>
          <w:szCs w:val="16"/>
        </w:rPr>
      </w:pPr>
    </w:p>
    <w:p w14:paraId="34278B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апреля 1944 года вышел приказ НКАП</w:t>
      </w:r>
    </w:p>
    <w:p w14:paraId="6C1CE3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 директором завода № 161 Чубилкина Д.П., освободить Масальского М.Г. (8925)</w:t>
      </w:r>
    </w:p>
    <w:p w14:paraId="2B5B74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апреля 1944 г. в ходе доводки произошла катастрофа с Як-9 М-107А. Неожиданно вспыхнул мотор и пытаясь спасти опытный самолет Андрей Иванович Кокин погиб. По мнению аварийной комиссии, причиной катастрофы стала поломка нипеля бензиновой трубки и протечка бензина с его последующим загоранием (4842).</w:t>
      </w:r>
    </w:p>
    <w:p w14:paraId="6E88B5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B2B1E5" w14:textId="77777777" w:rsidR="00715936" w:rsidRPr="00070ADE" w:rsidRDefault="0071593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апреля 1944 года зам. начальника 7-го главно</w:t>
      </w:r>
      <w:r w:rsidRPr="00070ADE">
        <w:rPr>
          <w:rFonts w:ascii="Times New Roman" w:hAnsi="Times New Roman"/>
          <w:color w:val="000000" w:themeColor="text1"/>
          <w:sz w:val="16"/>
          <w:szCs w:val="16"/>
        </w:rPr>
        <w:softHyphen/>
        <w:t>го управления НКАП В.Н. Алексеев в своей справке:</w:t>
      </w:r>
    </w:p>
    <w:p w14:paraId="295F8811" w14:textId="77777777" w:rsidR="00715936" w:rsidRPr="00070ADE" w:rsidRDefault="0071593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«Справка по выполнению приказов Наркома о строитель</w:t>
      </w:r>
      <w:r w:rsidRPr="00070ADE">
        <w:rPr>
          <w:rFonts w:ascii="Times New Roman" w:hAnsi="Times New Roman"/>
          <w:color w:val="000000" w:themeColor="text1"/>
          <w:sz w:val="16"/>
          <w:szCs w:val="16"/>
        </w:rPr>
        <w:softHyphen/>
        <w:t>стве высотных самолетов по состоянию на 15 апреля 1944 г.</w:t>
      </w:r>
    </w:p>
    <w:p w14:paraId="50F3C0FA" w14:textId="77777777" w:rsidR="00715936" w:rsidRPr="00070ADE" w:rsidRDefault="0071593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вариант самолета Ла-5 с мо</w:t>
      </w:r>
      <w:r w:rsidRPr="00070ADE">
        <w:rPr>
          <w:rFonts w:ascii="Times New Roman" w:hAnsi="Times New Roman"/>
          <w:color w:val="000000" w:themeColor="text1"/>
          <w:sz w:val="16"/>
          <w:szCs w:val="16"/>
        </w:rPr>
        <w:softHyphen/>
        <w:t>тором АШ-82ФН и 2ТК-3.</w:t>
      </w:r>
    </w:p>
    <w:p w14:paraId="323F17A1" w14:textId="77777777" w:rsidR="00715936" w:rsidRPr="00070ADE" w:rsidRDefault="0071593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строился согласно приказов НКАП за № 355сс от 14 июня и № 523сс от 31 августа 1943 года. Заданная боевая высота - 13000 м.</w:t>
      </w:r>
    </w:p>
    <w:p w14:paraId="397A490A" w14:textId="77777777" w:rsidR="00715936" w:rsidRPr="00070ADE" w:rsidRDefault="0071593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9 июля 1943 г. самолет проходит завод</w:t>
      </w:r>
      <w:r w:rsidRPr="00070ADE">
        <w:rPr>
          <w:rFonts w:ascii="Times New Roman" w:hAnsi="Times New Roman"/>
          <w:color w:val="000000" w:themeColor="text1"/>
          <w:sz w:val="16"/>
          <w:szCs w:val="16"/>
        </w:rPr>
        <w:softHyphen/>
        <w:t>ские испытания на заводе № 21. Всего про</w:t>
      </w:r>
      <w:r w:rsidRPr="00070ADE">
        <w:rPr>
          <w:rFonts w:ascii="Times New Roman" w:hAnsi="Times New Roman"/>
          <w:color w:val="000000" w:themeColor="text1"/>
          <w:sz w:val="16"/>
          <w:szCs w:val="16"/>
        </w:rPr>
        <w:softHyphen/>
        <w:t>изведено 30 полетов, из них 9 полетов на вы</w:t>
      </w:r>
      <w:r w:rsidRPr="00070ADE">
        <w:rPr>
          <w:rFonts w:ascii="Times New Roman" w:hAnsi="Times New Roman"/>
          <w:color w:val="000000" w:themeColor="text1"/>
          <w:sz w:val="16"/>
          <w:szCs w:val="16"/>
        </w:rPr>
        <w:softHyphen/>
        <w:t>соту свыше 9000 м. Наибольшая высота поле</w:t>
      </w:r>
      <w:r w:rsidRPr="00070ADE">
        <w:rPr>
          <w:rFonts w:ascii="Times New Roman" w:hAnsi="Times New Roman"/>
          <w:color w:val="000000" w:themeColor="text1"/>
          <w:sz w:val="16"/>
          <w:szCs w:val="16"/>
        </w:rPr>
        <w:softHyphen/>
        <w:t>та, достигнутая при испытаниях - 12500 м по прибору; в полете на этой высоте обнару</w:t>
      </w:r>
      <w:r w:rsidRPr="00070ADE">
        <w:rPr>
          <w:rFonts w:ascii="Times New Roman" w:hAnsi="Times New Roman"/>
          <w:color w:val="000000" w:themeColor="text1"/>
          <w:sz w:val="16"/>
          <w:szCs w:val="16"/>
        </w:rPr>
        <w:softHyphen/>
        <w:t>жен перегрев масла и головок цилиндров мо</w:t>
      </w:r>
      <w:r w:rsidRPr="00070ADE">
        <w:rPr>
          <w:rFonts w:ascii="Times New Roman" w:hAnsi="Times New Roman"/>
          <w:color w:val="000000" w:themeColor="text1"/>
          <w:sz w:val="16"/>
          <w:szCs w:val="16"/>
        </w:rPr>
        <w:softHyphen/>
        <w:t>тора, особенно сильный у цилиндра №1. Высо</w:t>
      </w:r>
      <w:r w:rsidRPr="00070ADE">
        <w:rPr>
          <w:rFonts w:ascii="Times New Roman" w:hAnsi="Times New Roman"/>
          <w:color w:val="000000" w:themeColor="text1"/>
          <w:sz w:val="16"/>
          <w:szCs w:val="16"/>
        </w:rPr>
        <w:softHyphen/>
        <w:t>кие температурные режимы мотора не поз</w:t>
      </w:r>
      <w:r w:rsidRPr="00070ADE">
        <w:rPr>
          <w:rFonts w:ascii="Times New Roman" w:hAnsi="Times New Roman"/>
          <w:color w:val="000000" w:themeColor="text1"/>
          <w:sz w:val="16"/>
          <w:szCs w:val="16"/>
        </w:rPr>
        <w:softHyphen/>
        <w:t>волили увеличить высоту полета, хотя, по заявлению летчика, на высоте 12500 м само</w:t>
      </w:r>
      <w:r w:rsidRPr="00070ADE">
        <w:rPr>
          <w:rFonts w:ascii="Times New Roman" w:hAnsi="Times New Roman"/>
          <w:color w:val="000000" w:themeColor="text1"/>
          <w:sz w:val="16"/>
          <w:szCs w:val="16"/>
        </w:rPr>
        <w:softHyphen/>
        <w:t>лет сохранял способность горизонтального и вертикального маневров.</w:t>
      </w:r>
    </w:p>
    <w:p w14:paraId="2350DE66" w14:textId="77777777" w:rsidR="00715936" w:rsidRPr="00070ADE" w:rsidRDefault="0071593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испытаний сменено три мотора из-за появления стружки в маслосистеме. За</w:t>
      </w:r>
      <w:r w:rsidRPr="00070ADE">
        <w:rPr>
          <w:rFonts w:ascii="Times New Roman" w:hAnsi="Times New Roman"/>
          <w:color w:val="000000" w:themeColor="text1"/>
          <w:sz w:val="16"/>
          <w:szCs w:val="16"/>
        </w:rPr>
        <w:softHyphen/>
        <w:t>мена моторов и их дефекты при полетах на больших высотах значительно задержали проведение летных испытаний. В процессе испытаний на самолете произведены следую</w:t>
      </w:r>
      <w:r w:rsidRPr="00070ADE">
        <w:rPr>
          <w:rFonts w:ascii="Times New Roman" w:hAnsi="Times New Roman"/>
          <w:color w:val="000000" w:themeColor="text1"/>
          <w:sz w:val="16"/>
          <w:szCs w:val="16"/>
        </w:rPr>
        <w:softHyphen/>
        <w:t>щие работы: установлен увеличенный масля</w:t>
      </w:r>
      <w:r w:rsidRPr="00070ADE">
        <w:rPr>
          <w:rFonts w:ascii="Times New Roman" w:hAnsi="Times New Roman"/>
          <w:color w:val="000000" w:themeColor="text1"/>
          <w:sz w:val="16"/>
          <w:szCs w:val="16"/>
        </w:rPr>
        <w:softHyphen/>
        <w:t>ный радиатор, смонтирована система впрыс</w:t>
      </w:r>
      <w:r w:rsidRPr="00070ADE">
        <w:rPr>
          <w:rFonts w:ascii="Times New Roman" w:hAnsi="Times New Roman"/>
          <w:color w:val="000000" w:themeColor="text1"/>
          <w:sz w:val="16"/>
          <w:szCs w:val="16"/>
        </w:rPr>
        <w:softHyphen/>
        <w:t>ка воды в цилиндры мотора. Поставлен до</w:t>
      </w:r>
      <w:r w:rsidRPr="00070ADE">
        <w:rPr>
          <w:rFonts w:ascii="Times New Roman" w:hAnsi="Times New Roman"/>
          <w:color w:val="000000" w:themeColor="text1"/>
          <w:sz w:val="16"/>
          <w:szCs w:val="16"/>
        </w:rPr>
        <w:softHyphen/>
        <w:t>полнительный бензобак на 60 кг, заменена маслопомпа МШ-1 на МШ-5, что повлекло пе</w:t>
      </w:r>
      <w:r w:rsidRPr="00070ADE">
        <w:rPr>
          <w:rFonts w:ascii="Times New Roman" w:hAnsi="Times New Roman"/>
          <w:color w:val="000000" w:themeColor="text1"/>
          <w:sz w:val="16"/>
          <w:szCs w:val="16"/>
        </w:rPr>
        <w:softHyphen/>
        <w:t>ределки маслопровода и ряд других работ, связанных с устранением дефектов, выявлен</w:t>
      </w:r>
      <w:r w:rsidRPr="00070ADE">
        <w:rPr>
          <w:rFonts w:ascii="Times New Roman" w:hAnsi="Times New Roman"/>
          <w:color w:val="000000" w:themeColor="text1"/>
          <w:sz w:val="16"/>
          <w:szCs w:val="16"/>
        </w:rPr>
        <w:softHyphen/>
        <w:t>ных в полете.</w:t>
      </w:r>
    </w:p>
    <w:p w14:paraId="7070B9C1" w14:textId="77777777" w:rsidR="00715936" w:rsidRPr="00070ADE" w:rsidRDefault="0071593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доводочных работ на самолете, в полете достигнута высота 12000 м по при</w:t>
      </w:r>
      <w:r w:rsidRPr="00070ADE">
        <w:rPr>
          <w:rFonts w:ascii="Times New Roman" w:hAnsi="Times New Roman"/>
          <w:color w:val="000000" w:themeColor="text1"/>
          <w:sz w:val="16"/>
          <w:szCs w:val="16"/>
        </w:rPr>
        <w:softHyphen/>
        <w:t>бору. Снижение высоты объясняется уве</w:t>
      </w:r>
      <w:r w:rsidRPr="00070ADE">
        <w:rPr>
          <w:rFonts w:ascii="Times New Roman" w:hAnsi="Times New Roman"/>
          <w:color w:val="000000" w:themeColor="text1"/>
          <w:sz w:val="16"/>
          <w:szCs w:val="16"/>
        </w:rPr>
        <w:softHyphen/>
        <w:t>личением веса самолета на 100 кг за счет до</w:t>
      </w:r>
      <w:r w:rsidRPr="00070ADE">
        <w:rPr>
          <w:rFonts w:ascii="Times New Roman" w:hAnsi="Times New Roman"/>
          <w:color w:val="000000" w:themeColor="text1"/>
          <w:sz w:val="16"/>
          <w:szCs w:val="16"/>
        </w:rPr>
        <w:softHyphen/>
        <w:t>полнительного бензина и воды. В течение зимних месяцев проводились одиночные по</w:t>
      </w:r>
      <w:r w:rsidRPr="00070ADE">
        <w:rPr>
          <w:rFonts w:ascii="Times New Roman" w:hAnsi="Times New Roman"/>
          <w:color w:val="000000" w:themeColor="text1"/>
          <w:sz w:val="16"/>
          <w:szCs w:val="16"/>
        </w:rPr>
        <w:softHyphen/>
        <w:t>леты из-за отсутствия высоты. В марте произведено три полета до высоты 12000 м. При этих полетах винтомоторная группа работала нормально. В начале апреля само</w:t>
      </w:r>
      <w:r w:rsidRPr="00070ADE">
        <w:rPr>
          <w:rFonts w:ascii="Times New Roman" w:hAnsi="Times New Roman"/>
          <w:color w:val="000000" w:themeColor="text1"/>
          <w:sz w:val="16"/>
          <w:szCs w:val="16"/>
        </w:rPr>
        <w:softHyphen/>
        <w:t>лет поставлен в цех на восстановительный ремонт из-за изношенности материальной части. Ремонт предполагается закончить в начале мая с.г. После окончания ремонта будут производиться полеты для снятия летных характеристик и проведения исследовательских работ по доводке винтомо</w:t>
      </w:r>
      <w:r w:rsidRPr="00070ADE">
        <w:rPr>
          <w:rFonts w:ascii="Times New Roman" w:hAnsi="Times New Roman"/>
          <w:color w:val="000000" w:themeColor="text1"/>
          <w:sz w:val="16"/>
          <w:szCs w:val="16"/>
        </w:rPr>
        <w:softHyphen/>
        <w:t>торной группы на высоте...» (24036).</w:t>
      </w:r>
    </w:p>
    <w:p w14:paraId="2F9324FD" w14:textId="77777777" w:rsidR="00715936" w:rsidRPr="00070ADE" w:rsidRDefault="00715936" w:rsidP="00B56F90">
      <w:pPr>
        <w:spacing w:after="0" w:line="240" w:lineRule="auto"/>
        <w:jc w:val="both"/>
        <w:rPr>
          <w:rFonts w:ascii="Times New Roman" w:hAnsi="Times New Roman"/>
          <w:color w:val="000000" w:themeColor="text1"/>
          <w:sz w:val="16"/>
          <w:szCs w:val="16"/>
        </w:rPr>
      </w:pPr>
    </w:p>
    <w:p w14:paraId="0D98F3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апреля 1944 на завод 155 А.И.М. с завода 300 А.А.М. был подан высотный мотор АМ-39 с воздушно-воздушным радиатором вместо водо-воздушного (1824,5). Задержка была вызвана просьбой А.И.М., который перекомпонововал машину под этот мотор (1824,20).</w:t>
      </w:r>
    </w:p>
    <w:p w14:paraId="3FD19A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EEC9BC" w14:textId="77777777" w:rsidR="00715936" w:rsidRPr="00070ADE" w:rsidRDefault="0071593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апреля 1944 г. трёхсотый завод подал сто пятьдесят пятому летный экземпляр мотора АМ</w:t>
      </w:r>
      <w:r w:rsidRPr="00070ADE">
        <w:rPr>
          <w:rFonts w:ascii="Times New Roman" w:hAnsi="Times New Roman"/>
          <w:color w:val="000000" w:themeColor="text1"/>
          <w:sz w:val="16"/>
          <w:szCs w:val="16"/>
        </w:rPr>
        <w:noBreakHyphen/>
        <w:t>39Б</w:t>
      </w:r>
      <w:r w:rsidRPr="00070ADE">
        <w:rPr>
          <w:rFonts w:ascii="Times New Roman" w:hAnsi="Times New Roman"/>
          <w:color w:val="000000" w:themeColor="text1"/>
          <w:sz w:val="16"/>
          <w:szCs w:val="16"/>
        </w:rPr>
        <w:noBreakHyphen/>
        <w:t>1 с опозданием примерно на два месяца от первоначально установленного срока, что, впрочем, Главный конструктор КБ</w:t>
      </w:r>
      <w:r w:rsidRPr="00070ADE">
        <w:rPr>
          <w:rFonts w:ascii="Times New Roman" w:hAnsi="Times New Roman"/>
          <w:color w:val="000000" w:themeColor="text1"/>
          <w:sz w:val="16"/>
          <w:szCs w:val="16"/>
        </w:rPr>
        <w:noBreakHyphen/>
        <w:t>300 объяснил переделкой мотора под новый ВВР по требованию ОКБ</w:t>
      </w:r>
      <w:r w:rsidRPr="00070ADE">
        <w:rPr>
          <w:rFonts w:ascii="Times New Roman" w:hAnsi="Times New Roman"/>
          <w:color w:val="000000" w:themeColor="text1"/>
          <w:sz w:val="16"/>
          <w:szCs w:val="16"/>
        </w:rPr>
        <w:noBreakHyphen/>
        <w:t>155.</w:t>
      </w:r>
    </w:p>
    <w:p w14:paraId="21BE11A8" w14:textId="77777777" w:rsidR="00715936" w:rsidRPr="00070ADE" w:rsidRDefault="0071593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Четырёхлопастный воздушный винт АВ</w:t>
      </w:r>
      <w:r w:rsidRPr="00070ADE">
        <w:rPr>
          <w:rFonts w:ascii="Times New Roman" w:hAnsi="Times New Roman"/>
          <w:color w:val="000000" w:themeColor="text1"/>
          <w:sz w:val="16"/>
          <w:szCs w:val="16"/>
        </w:rPr>
        <w:noBreakHyphen/>
        <w:t>9 в высотном варианте к началу наземных испытаний заводом №120 так и не был подан и по распоряжению Микояна после длительных поисков подходящей и имеющейся в наличии замены для него временно поставили трёхлопастный винт серии АВ</w:t>
      </w:r>
      <w:r w:rsidRPr="00070ADE">
        <w:rPr>
          <w:rFonts w:ascii="Times New Roman" w:hAnsi="Times New Roman"/>
          <w:color w:val="000000" w:themeColor="text1"/>
          <w:sz w:val="16"/>
          <w:szCs w:val="16"/>
        </w:rPr>
        <w:noBreakHyphen/>
        <w:t>5Л (23471).</w:t>
      </w:r>
    </w:p>
    <w:p w14:paraId="13B82423" w14:textId="77777777" w:rsidR="00715936" w:rsidRPr="00070ADE" w:rsidRDefault="00715936" w:rsidP="00B56F90">
      <w:pPr>
        <w:spacing w:after="0" w:line="240" w:lineRule="auto"/>
        <w:jc w:val="both"/>
        <w:rPr>
          <w:rFonts w:ascii="Times New Roman" w:hAnsi="Times New Roman"/>
          <w:color w:val="000000" w:themeColor="text1"/>
          <w:sz w:val="16"/>
          <w:szCs w:val="16"/>
        </w:rPr>
      </w:pPr>
    </w:p>
    <w:p w14:paraId="64B139D6" w14:textId="77777777" w:rsidR="00715936" w:rsidRPr="00070ADE" w:rsidRDefault="0071593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апреля 1944 замнаркома авиапромышленности Дементьев строго указал Главному конструктору КБ-120 Жданову: «Наиболее отсталым участ</w:t>
      </w:r>
      <w:r w:rsidRPr="00070ADE">
        <w:rPr>
          <w:rFonts w:ascii="Times New Roman" w:hAnsi="Times New Roman"/>
          <w:color w:val="000000" w:themeColor="text1"/>
          <w:sz w:val="16"/>
          <w:szCs w:val="16"/>
        </w:rPr>
        <w:softHyphen/>
        <w:t>ком работы Вашего ОКБ является обеспечение бомбардиро</w:t>
      </w:r>
      <w:r w:rsidRPr="00070ADE">
        <w:rPr>
          <w:rFonts w:ascii="Times New Roman" w:hAnsi="Times New Roman"/>
          <w:color w:val="000000" w:themeColor="text1"/>
          <w:sz w:val="16"/>
          <w:szCs w:val="16"/>
        </w:rPr>
        <w:softHyphen/>
        <w:t xml:space="preserve">вочной авиации... флюгерными винтами. Несмотря на явную необходимость..., Вами мер к форсированию этих работ не принимается.». </w:t>
      </w:r>
      <w:bookmarkStart w:id="44" w:name="_Hlk144999470"/>
      <w:r w:rsidRPr="00070ADE">
        <w:rPr>
          <w:rFonts w:ascii="Times New Roman" w:hAnsi="Times New Roman"/>
          <w:color w:val="000000" w:themeColor="text1"/>
          <w:sz w:val="16"/>
          <w:szCs w:val="16"/>
        </w:rPr>
        <w:t>В августе 1944 года был выпущен головной Ил-4 с флюгерными винтами УФ-61ИФ, в декабре — с АВ-7ФЕ- 158А. Они выдержали испытания и в 1945 году были запущены в серию, но большинство Ил-4 по-прежнему сдавались с ус</w:t>
      </w:r>
      <w:r w:rsidRPr="00070ADE">
        <w:rPr>
          <w:rFonts w:ascii="Times New Roman" w:hAnsi="Times New Roman"/>
          <w:color w:val="000000" w:themeColor="text1"/>
          <w:sz w:val="16"/>
          <w:szCs w:val="16"/>
        </w:rPr>
        <w:softHyphen/>
        <w:t>таревшими воздушными винтами ВИШ-23Т. Их пытались дора</w:t>
      </w:r>
      <w:r w:rsidRPr="00070ADE">
        <w:rPr>
          <w:rFonts w:ascii="Times New Roman" w:hAnsi="Times New Roman"/>
          <w:color w:val="000000" w:themeColor="text1"/>
          <w:sz w:val="16"/>
          <w:szCs w:val="16"/>
        </w:rPr>
        <w:softHyphen/>
        <w:t>батывать, под них разрабатывали методики полета с отказом одного мотора, но сделать Ил-4 безопасным при отказе одного М-88Б так и не удалось (24140).</w:t>
      </w:r>
    </w:p>
    <w:p w14:paraId="7E04A2AD" w14:textId="77777777" w:rsidR="00715936" w:rsidRPr="00070ADE" w:rsidRDefault="00715936" w:rsidP="00B56F90">
      <w:pPr>
        <w:spacing w:after="0" w:line="240" w:lineRule="auto"/>
        <w:jc w:val="both"/>
        <w:rPr>
          <w:rFonts w:ascii="Times New Roman" w:hAnsi="Times New Roman"/>
          <w:color w:val="000000" w:themeColor="text1"/>
          <w:sz w:val="16"/>
          <w:szCs w:val="16"/>
        </w:rPr>
      </w:pPr>
    </w:p>
    <w:bookmarkEnd w:id="44"/>
    <w:p w14:paraId="672C283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241001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1D24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15 апреля по 18 мая 1944 года на НИМАПе были проведены полигонные испытания 37-мм спаренной автоматической палубной установки В-11 в объеме 1193 выстрелов. На полигонных испытаниях после непрерывной очереди в 83 выстрела вода в кожухе закипела, а после 166 выстрелов вода полностью обратилась в пар. По проекту механизм стабилизации должен был иметь электрический привод, а опытный и серийные образцы имели только ручной привод (3861).</w:t>
      </w:r>
    </w:p>
    <w:p w14:paraId="19FD47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BE9384"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15 апреля 1944 г. из ОТЧЕТА ДИРЕКТОРА КОМБИНАТА № 179 НОВОСИБИРСКОМУ ОБЛАСТНОМУ КОМИТЕТУ ВКП(б) О РАБОТЕ ОРДЕНА ЛЕНИНА КОМБИНАТА № 179 ЗА ВРЕМЯ ОТЕЧЕСТВЕННОЙ ВОЙНЫ» </w:t>
      </w:r>
    </w:p>
    <w:p w14:paraId="3E2DFF0D"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Новосибирскому областному комитету ВКП(б)</w:t>
      </w:r>
    </w:p>
    <w:p w14:paraId="059E763C"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Отдел боеприпасов</w:t>
      </w:r>
    </w:p>
    <w:p w14:paraId="2B2A8D7A"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апреля 1944 года комбинат имеет 15 200 человек рабочих и выпускает 10 видов боеприпасов, в том числе:</w:t>
      </w:r>
    </w:p>
    <w:p w14:paraId="1A824535"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76 мм ОФС с месячным выпуском в марте — 760, 0 тыс. шт.</w:t>
      </w:r>
    </w:p>
    <w:p w14:paraId="12A5CB76"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122 мм ОФС с месячным выпуском в марте — 111,0 тыс. шт.</w:t>
      </w:r>
    </w:p>
    <w:p w14:paraId="7D7B3319"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152 мм ОФС с месячным выпуском в марте — 51,0 тыс. шт.</w:t>
      </w:r>
    </w:p>
    <w:p w14:paraId="7A643FFD"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ФАБ-100 с месячным выпуском в марте — 7,0 тыс. шт.</w:t>
      </w:r>
    </w:p>
    <w:p w14:paraId="72F7BB20"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ФАБ-50 с месячным выпуском в марте — 7,0 тыс. шт.</w:t>
      </w:r>
    </w:p>
    <w:p w14:paraId="24D2C252"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АО-25 с месячным выпуском в марте — 6,0 тыс. шт.</w:t>
      </w:r>
    </w:p>
    <w:p w14:paraId="44759BD4"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Штамповка детали 7 изделия М-8 в марте — 6,0 тыс. шт.</w:t>
      </w:r>
    </w:p>
    <w:p w14:paraId="6EE7FE43"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Штамповка 122 мм гаубицы в марте — 45,0 тыс. шт.</w:t>
      </w:r>
    </w:p>
    <w:p w14:paraId="55123FE8"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Штамповка детали 10 изделия М-8 в марте — 18,0 тыс. шт.</w:t>
      </w:r>
    </w:p>
    <w:p w14:paraId="382A92F4"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Отливка 120 мм мины в марте — 66,0 тыс. шт. Выпуск всех этих изделий освоен в период войны.</w:t>
      </w:r>
    </w:p>
    <w:p w14:paraId="54547527"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За период войны из состава комбината были выделены в самостоятельные заводы союзного значения: заводы № 188 - НКВ, № 65 - НКБ, № 677 - НКБ, № 556 - НКБ, № 325 - НКБ, № 702 - НКЧМ. Восстановление и пуск прибывших в конце 1941 года эвакуированных заводов №№ 65, 187/556, 513/325 основной своей тяжестью легло на коллектив комбината № 179. Размещение этих заводов в большинстве проходило во вновь строящихся зданиях. Оборудование эвакуированных предприятий поступало некомплектно, а трансмиссионные устройства — лишь в размере 10-12%. Из поступившего механического оборудования в большинстве случаев нельзя было собрать полностью даже одной нитки. Таким образом, помимо окончания строительства и монтажа эвакуированного оборудования, комбинат должен был в условиях разворота собственного производства, острого недостатка квалифицированных рабочих и мастеров решать задачи по изготовлению нестандартного оборудования, переделке станков, изготовлению трансмиссии и изысканию моторов для перевода станков на индивидуальный привод. Решение этих задач проводилось в весьма сжатые сроки. Основательно комбинат встал на прочные ноги в 1943 году. В 1943 году коллектив комбината № 179 впервые за все время ... существования предприятия добился перевыполнения годового плана. В течение пяти месяцев 1943 года комбинат завоевывал первое место во Всесоюзном социалистическом соревновании заводов НКБ и был держателем переходящего Красного знамени ЦК ВКЩб). За образцовое выполнение заданий правительства по производству и освоению новых видов боеприпасов Указом Президиума Верховного Совета СССР от 28 сентября 1943 года комбинат был награжден высшей наградой Советского Союза — орденом Ленина. Одновременно были награждены орденами и медалями Советского Союза 127 человек, наиболее отличившихся рабочих и руководящих работников комбината. Всего количество награжденных правительственными наградами за работу на комбинате - 144 человека. На протяжении 1-го квартала 1944 года комбинат систематически увеличивает выпуск боеприпасов и перевыполняет правительственные задания. </w:t>
      </w:r>
    </w:p>
    <w:p w14:paraId="471F4331"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Дано сверхплановой продукции в фонд обороны страны на 12,7 миллионов рублей. В январе комбинату присуждено третье место, в феврале — второе и в марте - первое место во Всесоюзном соревновании заводов НКБ. Лучшими стахановцами комбината являются: тов. ШИРШОВ Павел Ефимович — токарь цеха № 51, член ВКЩб), инициатор движения тысячников Новосибирской области, награжден орденом Ленина. В настоящее время переведен на работу мастером, его участок систематически перевыполняет план. Тов. ОЧЕНЕВ Петр Михайлович, бригадир штамповщиков цеха № 1, кандидат в члены ВКП(б), из месяца в месяц повышает производительность труда, выполняя задание на 175-200%, за отличную работу награжден орденом Красной Звезды. Тов. ГУСЕВ Николай Васильевич, токарь-</w:t>
      </w:r>
      <w:r w:rsidRPr="00070ADE">
        <w:rPr>
          <w:rFonts w:ascii="Times New Roman" w:hAnsi="Times New Roman"/>
          <w:color w:val="000000" w:themeColor="text1"/>
          <w:sz w:val="16"/>
          <w:szCs w:val="16"/>
        </w:rPr>
        <w:lastRenderedPageBreak/>
        <w:t>инструментальщик, член ВКП(б), один из инициаторов движения многостаночников на комбинате. В начале Отечественной войны, когда комбинат испытывал острую нужду в штампажном инструменте, т. Гусев своими рацпредложениями и мероприятиями по усовершенствованию технологии помог расшить это узкое место. Недавно т. Гусев усовершенствовал техпроцесс пуансонов, что увеличило производительность [труда] токарей на этой работе на 30—40%. За стахановский труд т. Гусев награжден орденом Ленина. Тов. УСТЬЯНЦЕВ Александр Игнатьевич, кузнец цеха X2 54, систематически выполняет более двух норм в смену. Совершенствуя методы работы, он добивается их улучшения, действуя в контакте с инженерно-техническими работниками, успешно решил задачу правительства — освоить и выпустить коленчатый вал мотора для трактора, участие в освоении этой детали т. Устьянцев совмещал с организацией социалистического соревнования кузнецов цеха № 54. Когда тов. Устьянцев добивался рекорда выполнения задания по валам, то это вызывало на соревнование его сменщика тов. Великжанина, который стремился побить его рекорд. Это социалистическое соревнование кузнецов цеха № 54 привело к успешному выполнению комбинатом задания по изготовлению запчастей и деталей для сельскохозяйственных машин. Тов. АЛЕХИН, бригадир штамповщиков цеха № 8, систематически перевыполняет задания. Четкая организация работы в бригаде, обсуждение бригадой ежедневно итогов работы и намечение плана работы на следующий день, своевременное устранение возникающих неполадок в процессе работы является залогом успешной работы бригады. Цех X* 8 осваивал новое изделие, бригада т. Алехина поставила своей задачей добиться максимальной выработки. Тщательно подготовив агрегаты, т. Алехин 5 марта добился рекордной выработки. В этот день он выполнил норму на 194%. Оставшись неудовлетворенным, т. Алехин на следующий день перекрыл свой рекорд, выполнив задание на 220,5%. Рекорд т. Алехина послужил толчком к новому подъему предмайского социалистического соревнования в цехе, и поэтому цех выполнил мартовскую программу на 127,2%. Тов. ШАНДАЕВ Григорий Матвеевич, по командировке Прокопьев-ского горкома ВКП(б) был направлен на комбинат № 179 в качестве станочника в октябре 1941 г., с октября 1941 г. по февраль 1942 г. т. Шандаев работал станочником опер[ации] № 13 в цехе № 20, где значительно перевыполнял нормы — до 150%, быстро изучил настройку станка и его устройство. За хорошую работу в феврале 1942 года был выдвинут на должность бригадира-наладчик а. С новой работой т. Шандаев быстро освоился, и его бригада систематически стала перевыполнять задания. Много станочников обучил тов. Шандаев, которые сейчас работают бригадирами и мастерами. В январе 1943 года т. Шандаев был выдвинут на должность мастера. Вскоре его участок стал передовым по цеху. За хорошую работу премирован костюмом и неоднократно деньгами. Участок мастера Шандаева систематически перевыполнял задание, давая 130-140% плана. В феврале 1943 года т. Шандаев был принят в кандидаты ВКП(б). Как хороший производственник в феврале 1944 года был назначен начальником участка. За результаты работы в марте он получил звание «Лучший начальник участка по механическим цехам комбината за март месяц». Апрельское повышенное задание т. Шандаев значительно перевыполняет. Тов. ТЕРЕШИНА Таисия Федоровна, член ВЛКСМ. Тов. Терешина прибыла для работы на комбинате по мобилизации из города Прокопьевска в апреле месяце 1942 года. С первых дней своей работы т. Терешина освоила хорошо работу своего станка. Она явилась первым инициатором 2-станочного обслуживания в цехе. Кроме того, в период развертывания предмайского соцсоревнования и борьбы за право подписать предмайский рапорт товарищу Сталину т. Терешина перешла работать с обслуживанием сразу трех станков. Она также явилась инициатором трехстаночного обслуживания. Задания свои перевыполняет систематически: за февраль месяц - на 129%, за март — на 135% и за 10 дней апреля - на 127%. С первых чисел апреля месяца т. Терешина руководит комсомольско-молодежной бригадой. За время Отечественной войны по освоению производств, расшивке узких мест, повышению производительности труда, усовершенствованию технологии, экономии материалов и инструмента, замене остродефицитных материалов на комбинате было подано 3 393 рационализаторских предложения, из коих 1 498 предложений внедрено, с условной годовой экономией от внедрения этих предложений 83 698 тыс. рублей. В настоящее время комбинат насчитывает 1 434 человека рационализаторов и изобретателей. Лучшими рационализаторами производства комбината являются: тов. КОРОЛЕВ М.Н.- заместитель главного инженера (бывший начальник цеха), предложил охлаждение матрицы и др.- экономия 2 000 тыс. рублей. Тов. ДРОБНИЦА К.К.- инженер, предложил новый способ протяжки изделий и др.- экономия более 600 тыс. рублей. Тов. ПУШКАНЦЕР Л.— мастер, усовершенствовал некоторые узлы ковочных машин и др.- экономия более 1 000 тыс. руб. тт. КЛИМОВ, ВУЛЬФОВИЧ и ФЕЛЬДМАН - авторы предложения упрощения конструкции цельнокорпусного 122 мм ОФС, обеспечивающей сокращение времени на обработку на 42,3% и экономию топлива за счет отмены термообработки при полном использовании мощности в 4 800 тонн в год. Тов. ФРИД И.Л.- рационализатор и изобретатель, является автором ряда предложений по изменению и упрощению технологии. За период Отечественной войны на комбинате была проделана большая работа по усовершенствованию технологического процесса изготовляемых изделий. По изделию 122 мм ОФС комбинатом разработаны конструкция и технология цельнокорпусного снаряда без термообработки. Внедрение нового изделия в марте 1944 года, с отменой термообработки, а также применением штамповки с внутренним конусом в каморе, позволило значительно сократить время за счет уменьшения числа операций, припусков под механическую обработку и увеличения режимов резания. Станочное время сокращено на одну штуку с 85,00 до 45,34 минуты, или на 42,3%, суммарное время — с 99,80 до 54,36 минуты, или на 45,5%. Помимо уменьшения затрат станочного времени на механическую обработку, перевод производства на изделие этой конструкции позволил высвободить цех по изготовлению головок, насчитывающий 140 единиц оборудования, и использовать его на выпуск 76 мм ОФС. Предусмотренная конструкцией этого изделия отмена термообработки позволила высвободить участок термических печей и сэкономить 4 кг угля на единицу изделия, что при использовании полной мощности даст годовую экономию 4 800 тонн угля. По цельнокорпусным снарядам 152 мм применен внутренний конус под обжим с экономией металла 4,25 кг на штуку, или 6%, что при использовании существующей мощности составит годовую экономию 3 060 тонн металла. В 1943 году и в I квартале 1944 года на комбинате была проделана значительная работа по внедрению поточного метода производства. В целом ряде цехов были проведены технологические перепланировки оборудования, были смонтированы и сданы в эксплуатацию транспортеры, рольганги, конвейеры и узкоколейные железнодорожные пути. Новая планировка оборудования и введение механизации межцехового и внутрицехового транспорта, создав поточность в производстве, позволили улучшить использование оборудования, высвободить значительное количество вспомогательных рабочих и одновременно увеличить выпуск продукции. Упрощение технологических процессов, внедрение новых, более совершенных конструкций изделий, введение поточного метода производства с механизацией транспортировки позволили резко снизить себестоимость выпускаемых изделий. За 1942—1943 гг. и два месяца 1944 года себестоимость 76 мм ОФС снижена на 52%, 122 мм ОФС — на 42% и 152 мм ОФС - на 30%. В I квартале 1944 года на комбинате имел место бурный рост Комсомольске-молодежных бригад, за это время число бригад увеличилось на 127 и составляет на 1 апреля 1944 года 170. Также значительно увеличилось число членов бригад. В феврале месяце 1944 года в бригадах состояло 452 человека, к 1 апреля их число выросло до 730 человек. Своей стахановской работой эти товарищи сэкономили труд более 400 человек, так как средний уровень выполнения ими выработки составил 160%. Лучшими бригадами комбината являются: бригада т. САМОХВАЛОВА (цех № 7). Эта бригада добилась наилучшей выработки. В марте она выполнила задание на 386%, бригада широко практикует взаимопомощь, бригада обучила одного ученика. Бригада т. ОСТАПЕНКО (цех № 8) работает на одной из труднейших операций основного изделия комбината. Несмотря на это, в бригаде нет ни одного не выполняющего норм выработки и бригада выполнила свое задание на 112,3%. Этой бригаде за март месяц присуждена вторая премия и звание «Фронтовая комсомольско-молодежная бригада». Комсомольске-молодежная бригада т. МИРОШНИКОВОЙ (производство № 8), состоящая из девушек, добилась дружной работой и взаимопомощью выполнения задания на 170% и сумела высвободить для других участков производства 3 человека. Бригаде стерженщиц цеха № 18 т. ТИТОВСКОЙ уже второй месяц присуждается премия за хорошие результаты работы. В марте эта бригада выполнила задание на 199%. Для улучшения быта молодых рабочих комбината организован молодежный городок на 1 100 человек с обеспечением питания, бельем, одеждой и обувью. Построен дом отдыха на 100 человек. Строится и в ближайшее время будет открыт ночной туберкулезный санаторий на 100 человек, заводская поликлиника на 60 врачебных приемов. Создан в больших размерах ряд новых отраслей хозяйства: свинооткорм, овцеводство, организуется пчеловодство и т.д. Систематически возрастает улов рыбы на собственных рыбопромыслах. Улов рыбы-сырца в центнерах: за 1942 год - 3 170,1943 год - 8 273, за I квартал 1944 года - 2 200 (план на 1944 г. - 6 000). За счет продуктов, получаемых от пригородных хозяйств, рыбной ловли, децентрализованных заготовок и закупок, в 1943 году и в I квартале 1944 г. рабочим, ИТР и служащим комбината ежедневно отпускалось 43 880 дополнительных блюд сверх централизованного снабжения. При условии выполнения намеченных плановых заданий к концу года отпуск блюд по дополнительному бескарточному питанию будет доведен до 75 000 в сутки. Вся продукция собственных подсобных мастерских составит за два года свыше 10 миллионов рублей. Кроме того, выработано в 1943 году обуви и одежды для рабочих комбината через местную промышленность и промысловую кооперацию на 2 150 тысяч рублей.</w:t>
      </w:r>
    </w:p>
    <w:p w14:paraId="15618978"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ордена Ленина комбината № 179 Саханицкий</w:t>
      </w:r>
    </w:p>
    <w:p w14:paraId="59E36BD3"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Парторг ЦК ВКП(б) Жидков</w:t>
      </w:r>
    </w:p>
    <w:p w14:paraId="04AC7671"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ГАНО. Ф. П-22. Оп. 3. Д. 1598. Л. 4-И, 13-15. Заверенная копия.</w:t>
      </w:r>
    </w:p>
    <w:p w14:paraId="67487908"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Документ составлен на бланке комбината № 179 10 апреля 1944 г. в 2 экз. Отправлен согласно дате на штампе в верхнем левом углу 15 апреля 1944 г. в обком ВКП(б). кроме того. 3 экз. копий — в обком, горком партии и партком комбината. Подписи Саханицкого и Жидкова отсутствуют. Подпись-росчерк заверявшего не читается (12160).</w:t>
      </w:r>
    </w:p>
    <w:p w14:paraId="625819A5" w14:textId="77777777" w:rsidR="00137373" w:rsidRPr="00070ADE" w:rsidRDefault="00137373" w:rsidP="00B56F90">
      <w:pPr>
        <w:spacing w:after="0" w:line="240" w:lineRule="auto"/>
        <w:jc w:val="both"/>
        <w:rPr>
          <w:rFonts w:ascii="Times New Roman" w:hAnsi="Times New Roman"/>
          <w:color w:val="000000" w:themeColor="text1"/>
          <w:sz w:val="16"/>
          <w:szCs w:val="16"/>
        </w:rPr>
      </w:pPr>
    </w:p>
    <w:p w14:paraId="68DCC4CD" w14:textId="3CFE26AD" w:rsidR="00A61476" w:rsidRPr="00070ADE" w:rsidRDefault="00A61476" w:rsidP="00B56F90">
      <w:pPr>
        <w:pStyle w:val="ae"/>
        <w:spacing w:before="0" w:after="0"/>
        <w:jc w:val="both"/>
        <w:textAlignment w:val="baseline"/>
        <w:rPr>
          <w:color w:val="000000" w:themeColor="text1"/>
          <w:sz w:val="16"/>
          <w:szCs w:val="16"/>
        </w:rPr>
      </w:pPr>
      <w:r w:rsidRPr="00070ADE">
        <w:rPr>
          <w:color w:val="000000" w:themeColor="text1"/>
          <w:sz w:val="16"/>
          <w:szCs w:val="16"/>
        </w:rPr>
        <w:t>К 15 апреля 1944 ни одного корпуса Т-44 на заводе №183 не изготовили. Даже при наличии корпусов всё равно танки к сроку не изготовили бы, поскольку завод №75 по состоянию на 15 апреля не сдал ни одного двигателя В-2-44. Перепроектирования потребовала и башня. Во-первых, из-за отказа от 122-мм орудия Д-25-44 необходимость в погоне диаметром 1800 мм отпала — оптимальным стал вариант башни с диаметром погона 1600 мм. Во-вторых, башня потребовала доработки, причём не только по результатам полигонных испытаний. Переделка будки механика-водителя позволила убрать уязвимую для вражеских снарядов «шею». В-третьих, менялось вооружение: вместо 85-мм орудия Д-5Т танк получал орудие ЗИС-С-53 того же калибра. С весны 1944 года это орудие стало штатным для</w:t>
      </w:r>
      <w:r w:rsidR="00B643A8" w:rsidRPr="00070ADE">
        <w:rPr>
          <w:color w:val="000000" w:themeColor="text1"/>
          <w:sz w:val="16"/>
          <w:szCs w:val="16"/>
        </w:rPr>
        <w:t xml:space="preserve"> </w:t>
      </w:r>
      <w:hyperlink r:id="rId105" w:history="1">
        <w:r w:rsidRPr="00070ADE">
          <w:rPr>
            <w:rStyle w:val="a5"/>
            <w:bCs/>
            <w:iCs/>
            <w:color w:val="000000" w:themeColor="text1"/>
            <w:sz w:val="16"/>
            <w:szCs w:val="16"/>
            <w:bdr w:val="none" w:sz="0" w:space="0" w:color="auto" w:frame="1"/>
          </w:rPr>
          <w:t>Т-34-85</w:t>
        </w:r>
      </w:hyperlink>
      <w:r w:rsidRPr="00070ADE">
        <w:rPr>
          <w:color w:val="000000" w:themeColor="text1"/>
          <w:sz w:val="16"/>
          <w:szCs w:val="16"/>
        </w:rPr>
        <w:t>, а производство Д-5Т прекратили. Одним словом, набрался приличный объём причин, по которым разработка улучшенной версии Т-44 задержалась.</w:t>
      </w:r>
    </w:p>
    <w:p w14:paraId="7876E1F5" w14:textId="77777777" w:rsidR="00A61476" w:rsidRPr="00070ADE" w:rsidRDefault="00A61476" w:rsidP="00B56F90">
      <w:pPr>
        <w:spacing w:after="0" w:line="240" w:lineRule="auto"/>
        <w:jc w:val="both"/>
        <w:textAlignment w:val="baseline"/>
        <w:rPr>
          <w:rFonts w:ascii="Times New Roman" w:hAnsi="Times New Roman"/>
          <w:color w:val="000000" w:themeColor="text1"/>
          <w:sz w:val="16"/>
          <w:szCs w:val="16"/>
        </w:rPr>
      </w:pPr>
      <w:r w:rsidRPr="00070ADE">
        <w:rPr>
          <w:rFonts w:ascii="Times New Roman" w:hAnsi="Times New Roman"/>
          <w:color w:val="000000" w:themeColor="text1"/>
          <w:sz w:val="16"/>
          <w:szCs w:val="16"/>
        </w:rPr>
        <w:t>По итогам испытаний первого варианта Т-44 в конструкцию танка внесли массу изменений (18950).</w:t>
      </w:r>
    </w:p>
    <w:p w14:paraId="03C76D04" w14:textId="77777777" w:rsidR="00A61476" w:rsidRPr="00070ADE" w:rsidRDefault="00A61476" w:rsidP="00B56F90">
      <w:pPr>
        <w:spacing w:after="0" w:line="240" w:lineRule="auto"/>
        <w:jc w:val="both"/>
        <w:textAlignment w:val="baseline"/>
        <w:rPr>
          <w:rFonts w:ascii="Times New Roman" w:hAnsi="Times New Roman"/>
          <w:color w:val="000000" w:themeColor="text1"/>
          <w:sz w:val="16"/>
          <w:szCs w:val="16"/>
        </w:rPr>
      </w:pPr>
    </w:p>
    <w:p w14:paraId="2810973C"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К 15 апреля 1944 г. ни одного нового корпуса для Т-44 на заводе №183 не изготовили. Даже при наличии корпусов всё равно танки к сроку не изготовили бы, поскольку завод №75 по состоянию на 15 апреля не сдал ни одного двигателя В-2-44.</w:t>
      </w:r>
    </w:p>
    <w:p w14:paraId="1F869E55"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Требовалась и переделка башни. Для начала, диаметр ее погона теперь составлял 1600 мм, поскольку от идеи ставить 122-мм орудие Д-25Т отказались. Далее, переделка будки механика-водителя повлекла за собой необходимость переделки лобовой части башни. Кроме того, менялось вооружение: вместо 85-мм орудия Д-5Т-85 танк получал орудие ЗИС-С-53 того же калибра. Данное орудие стало с весны 1944 года штатным для Т-34-85, а производство Д-5Т прекратили. Таким образом, башню требовалось существенно изменять, что, разумеется, прямым образом повлияло на сроки изготовления улучшенных образов танка.</w:t>
      </w:r>
    </w:p>
    <w:p w14:paraId="0A74EBF0"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Доклад с результатами испытаний Т-44 указывал, что необходимо увеличить толщину лобовой брони корпуса до 90 мм. Причины роста толщины брони следует искать в результатах первого боевого применения тяжелых танков ИС-85. Выяснилось, что бронебойные снаряды орудий немецких танков Pz.Kpfw.Panther пробивают новый советский тяжелый танк не только в лоб башни, но и в лоб корпуса, причем на дистанции в километр.</w:t>
      </w:r>
    </w:p>
    <w:p w14:paraId="428C0D7C" w14:textId="77777777" w:rsidR="004D5A57" w:rsidRPr="00C94B78" w:rsidRDefault="004D5A5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Предложение усилить лоб, а также разработать планетарную трансмиссию, приходили дважды (25624).</w:t>
      </w:r>
    </w:p>
    <w:p w14:paraId="11EE29D6" w14:textId="77777777" w:rsidR="004D5A57" w:rsidRPr="00C94B78" w:rsidRDefault="004D5A57" w:rsidP="00B56F90">
      <w:pPr>
        <w:spacing w:after="0" w:line="240" w:lineRule="auto"/>
        <w:jc w:val="both"/>
        <w:rPr>
          <w:rFonts w:ascii="Times New Roman" w:hAnsi="Times New Roman"/>
          <w:color w:val="0070C0"/>
          <w:sz w:val="16"/>
          <w:szCs w:val="16"/>
        </w:rPr>
      </w:pPr>
    </w:p>
    <w:p w14:paraId="671836B2" w14:textId="77777777" w:rsidR="00B05D39" w:rsidRPr="00070ADE" w:rsidRDefault="00B05D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апреля 1944 года ди</w:t>
      </w:r>
      <w:r w:rsidRPr="00070ADE">
        <w:rPr>
          <w:rFonts w:ascii="Times New Roman" w:hAnsi="Times New Roman"/>
          <w:color w:val="000000" w:themeColor="text1"/>
          <w:sz w:val="16"/>
          <w:szCs w:val="16"/>
        </w:rPr>
        <w:softHyphen/>
        <w:t>рективой №810 начальника Главного автомо</w:t>
      </w:r>
      <w:r w:rsidRPr="00070ADE">
        <w:rPr>
          <w:rFonts w:ascii="Times New Roman" w:hAnsi="Times New Roman"/>
          <w:color w:val="000000" w:themeColor="text1"/>
          <w:sz w:val="16"/>
          <w:szCs w:val="16"/>
        </w:rPr>
        <w:softHyphen/>
        <w:t>бильного управления Красной Армии авто</w:t>
      </w:r>
      <w:r w:rsidRPr="00070ADE">
        <w:rPr>
          <w:rFonts w:ascii="Times New Roman" w:hAnsi="Times New Roman"/>
          <w:color w:val="000000" w:themeColor="text1"/>
          <w:sz w:val="16"/>
          <w:szCs w:val="16"/>
        </w:rPr>
        <w:softHyphen/>
        <w:t>управлениям фронтов и округов было пред</w:t>
      </w:r>
      <w:r w:rsidRPr="00070ADE">
        <w:rPr>
          <w:rFonts w:ascii="Times New Roman" w:hAnsi="Times New Roman"/>
          <w:color w:val="000000" w:themeColor="text1"/>
          <w:sz w:val="16"/>
          <w:szCs w:val="16"/>
        </w:rPr>
        <w:softHyphen/>
        <w:t>ложено самостоятельно организовать на месте изготовление разного рода автоприце</w:t>
      </w:r>
      <w:r w:rsidRPr="00070ADE">
        <w:rPr>
          <w:rFonts w:ascii="Times New Roman" w:hAnsi="Times New Roman"/>
          <w:color w:val="000000" w:themeColor="text1"/>
          <w:sz w:val="16"/>
          <w:szCs w:val="16"/>
        </w:rPr>
        <w:softHyphen/>
        <w:t>пов из шасси трофейных машин (21625).</w:t>
      </w:r>
    </w:p>
    <w:p w14:paraId="26F73B35" w14:textId="77777777" w:rsidR="00B05D39" w:rsidRPr="00070ADE" w:rsidRDefault="00B05D39" w:rsidP="00B56F90">
      <w:pPr>
        <w:spacing w:after="0" w:line="240" w:lineRule="auto"/>
        <w:jc w:val="both"/>
        <w:rPr>
          <w:rFonts w:ascii="Times New Roman" w:hAnsi="Times New Roman"/>
          <w:color w:val="000000" w:themeColor="text1"/>
          <w:sz w:val="16"/>
          <w:szCs w:val="16"/>
        </w:rPr>
      </w:pPr>
    </w:p>
    <w:p w14:paraId="14ADF3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апреля 1944 вышло Распоряжение ГКО № 5634. О мерах помощи строительству завода № 590 НКЭлектропрома. РГАНИР, Фонд ГКО, д. 237, лл. 1 (11012).</w:t>
      </w:r>
    </w:p>
    <w:p w14:paraId="706015D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1333F1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апреля 1944 вышло Постановление ГКО № 5667 О плане производства радиолокационных станций и о материально-техническом обеспечении предприятий Наркомэлектропрома, Наркомавиапрома и Наркомсудпрома, изготовляющих эти станции во II квартале 1944 г. (7215, 145-151, 152-180).</w:t>
      </w:r>
    </w:p>
    <w:p w14:paraId="16070DD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AA164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3260F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29487F"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апреля в 1944 году оперативная сводка Совинформбюро:</w:t>
      </w:r>
    </w:p>
    <w:p w14:paraId="18CEE976"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после упорных уличных боёв полностью овладели областным центром Украины городом Тарнополь — крупным железнодорожным узлом и сильным опорным пунктом обороны немцев на Львовском направлении. Окружённый в Тарнополе гарнизон немцев из остатков четырёх пехотных дивизий и ряда отдельных частей общей численностью в 16.000 человек полностью уничтожен, за исключением 2.400 немецких солдат и офицеров, которые сдались в плен. Захвачены следующие трофеи: танков и самоходных орудий — 35, орудий разного калибра — 85, миномётов — 125, пулемётов — до 400, автомашин — 350, паровозов — 5, вагонов — 285, складов разных — 6.</w:t>
      </w:r>
    </w:p>
    <w:p w14:paraId="54DF059E"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15 апреля западнее и юго-западнее города Чертков наши войска продолжали вести наступательные бои, в ходе которых заняли несколько населённых пунктов и среди них Джурын, Половце, Паушувка, Базар, Якубовка.</w:t>
      </w:r>
    </w:p>
    <w:p w14:paraId="0AE76F9E"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Севастопольском направлении наши войска, преодолевая сопротивление и систему инженерных заграждений противника в горно-лесистой части южного побережья Крыма, продолжали наступление и с боями заняли более 60 населённых пунктов, в том числе районный центр Крыма Албат, населённые пункты Береговое, Аджи-Булат, Кача, Мамашай, Бельбек, Любимовка, Дуванкой, Заланкой, Шули, Демерджи, Семидворье, Сотера, Кучук-Узень, Туак и железнодорожные станции Сюрень и Бельбек.</w:t>
      </w:r>
    </w:p>
    <w:p w14:paraId="6BB1C57B"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предварительным данным, к исходу 14 апреля войсками 4-го Украинского фронта взято в плен свыше 20.000 солдат и офицеров противника. К этому же времени, по неполным данным, войсками Отдельной Приморской армии взято в плен более 17.000 солдат и офицеров противника. Таким образом, к исходу 14 апреля нашими войсками в Крыму взято в плен более 37.000 солдат и офицеров противника.</w:t>
      </w:r>
    </w:p>
    <w:p w14:paraId="1DF1EBA8"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в ряде пунктов шли бои местного значения.</w:t>
      </w:r>
    </w:p>
    <w:p w14:paraId="64EA5C21"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14 апреля наши войска на всех фронтах подбили и уничтожили 69 немецких танков. В воздушных боях и огнём зенитной артиллерии сбито 24 самолёта противника.</w:t>
      </w:r>
    </w:p>
    <w:p w14:paraId="0DDD3E80"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Массированный налёт нашей авиации на порт и железнодорожную станцию Севастополь</w:t>
      </w:r>
    </w:p>
    <w:p w14:paraId="7BB3662D"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15 апреля наша авиация дальнего действия произвела массированный налёт на порт и железнодорожную станцию Севастополь и бомбардировала скопление войск и техники противника, военные склады и немецкие суда, находившиеся в Севастопольской бухте. В результате бомбардировки возникли пожары и произошло много взрывов. Наблюдением отмечены взрывы огромной силы в районе складов с горючим. Наиболее крупные пожары, сопровождавшиеся взрывами, отмечены на железнодорожной станции и в южной бухте.</w:t>
      </w:r>
    </w:p>
    <w:p w14:paraId="2C63B699"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Украинского фронта овладели областным центром Украины городом Тарнополь. Окружённый в Тарнополе гарнизон противника ликвидирован. Советские пехотинцы, действуя мелкими группами, очищали от гитлеровцев улицу за улицей. Теснимые с разных сторон немцы были зажаты в западной части города. Измотав противника, наши войска нанесли ему решающий удар и полностью очистили Тарнополь от немецко-фашистских захватчиков.</w:t>
      </w:r>
    </w:p>
    <w:p w14:paraId="0860D4F1"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Чертков наши войска, продвигаясь вперёд, заняли несколько населённых пунктов. В этих боях нанесён значительный урон частям 10 немецкой танковой дивизии СС, только что прибывшей на советско-германский фронт из Франции. В течение дня уничтожено свыше 800 солдат и офицеров противника. Наши артиллеристы и бронебойщики сожгли и подбили 28 немецких танков, самоходных орудий и бронетранспортёров. Советские бойцы героически сражаются с немецко-фашистскими захватчиками. На автоматчика т. Голова напало 12 немцев. Отважный боец открыл огонь и уничтожил 7 солдат противника. Преследуя остальных гитлеровцев, т. Голов захватил в плен немецкого офицера. Красноармейцы тт. Елисеев, Гринёв и Па-леев, незаметно пробравшись в деревню, занятую противником, заметили на улице немецкий танк «Тигр». В это время ненецкие танкисты вышли из дома и направились к своему танку. Наши бойцы уничтожили гитлеровцев, а затем гранатами подорвали немецкий танк.</w:t>
      </w:r>
    </w:p>
    <w:p w14:paraId="05D5CE5D"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Севастопольском направлении наши войска продолжали успешное наступление. Части Н-ского соединения, нанося противнику непрерывные удары, на широком участке вышли к реке Бельбек и овладели населённым пунктом Любимовка, находящимся в 6 километрах севернее Севастополя. Советские подвижные войска, продвигаясь вдоль шоссе и железной дороги Симферополь-Севастополь, разгромили несколько крупных групп противника. Захвачены большие трофеи, в том числе 40 танков и самоходных орудий, 184 полевых орудия, 7 паровозов, до 2.500 вагонов с различными грузами, 24 склада с военным имуществом и большой армейский склад боеприпасов. Ожесточённые бои происходят в гористо-лесистой местности. Активную помощь нашим войскам оказывают крымские партизаны, которые перехватывают пути отхода врага и истребляют его живую силу. На побережье Крыма между городами Судак и Алушта наши части уничтожали остатки отрезанных здесь немецких и румынских войск, отступающих от Феодосии. Противник несёт тяжелые потери. Видя безвыходность своего положения, многие немецкие и румынские подразделения сдаются в плен. Количество пленных и трофеев непрерывно возрастает.</w:t>
      </w:r>
    </w:p>
    <w:p w14:paraId="765A6AB9"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Черноморского флота наносила удары по судам противника, пытавшимся вывезти из Крыма остатки разбитых немецко-румынских соединений. Группа наших самолётов обнаружила в море самоходные десантные баржи и атаковала их. Потоплены две самоходные десантные баржи и моторная шхуна противника. Многим другим судам нанесены серьёзные повреждения.</w:t>
      </w:r>
    </w:p>
    <w:p w14:paraId="05BD2A1B"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партизанских отрядов, действующих в Калининской области в период с 27 марта по 1 апреля пустили под откос 9 немецких воинских эшелонов. На шоссейных и грунтовых дорогах партизаны подорвали 48 грузовых и 7 легковых автомашин, вырезали 11 километров телеграфно-телефонной линии связи. Убито 6 немецких офицеров и 180 солдат.</w:t>
      </w:r>
    </w:p>
    <w:p w14:paraId="4504FAB1"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Взятый в плен в Крыму командир 85 запасного немецкого батальона майор Эльмар Крауз рассказал: «Молниеносные удары советских войск парализовали наше сопротивление. Остальное довершила паника, охватившая солдат и офицеров. Целые батальоны срывались с места и мчались куда глаза глядят. Из моего батальона ни одному солдату и ни одному офицеру не удалось спастись. Две роты были полностью разгромлены при погрузке на автомашины. Остальные сдались в плен вместе со мной».</w:t>
      </w:r>
    </w:p>
    <w:p w14:paraId="6B122A92"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Обер-фельдфебель 1 роты 213 полка 73 немецкой пехотной дивизии Кик заявил: «Три недели тому назад в Крым в полном составе прибыла 111 пехотная немецкая дивизия. В одной из радиопередач на немецком языке русские по этому поводу заявили, что в крымскую «фрицеловку» попала ещё одна немецкая дивизия. Так оно и получилось. Наступление русских не было неожиданным. Мы к нему были подготовлены. Однако сообщение о глубоком прорыве вызвало всеобщую растерянность. Никто из нас не предполагал, что удар русских войск будет таким сокрушающим».».</w:t>
      </w:r>
    </w:p>
    <w:p w14:paraId="32F80DD0"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Потери противника и трофеи войск 3-го Украинского фронта за период боев с 25 марта по 12 апреля с. г.</w:t>
      </w:r>
    </w:p>
    <w:p w14:paraId="7136B841"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Украинского фронта под командованием генерала армии Малиновского в результате проведённых наступательных операций от Южного Буга до Днестра с 25 марта па 12 апреля нанесли противнику следующие потери в живой силе и технике:</w:t>
      </w:r>
    </w:p>
    <w:p w14:paraId="5B4791B1"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Уничтожено: танков и самоходных орудий — 42, орудий разного калибра — 199, миномётов — 83, пулемётов — 589, автомашин и тягачей — 436.</w:t>
      </w:r>
    </w:p>
    <w:p w14:paraId="63AD2BB5"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Противник оставил на поле боя 26.800 трупов солдат и офицеров.</w:t>
      </w:r>
    </w:p>
    <w:p w14:paraId="0572BAFD"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За это же время войска 3-го Украинского фронта захватили у немцев следующие трофеи: самолётов — 7, танков и самоходных орудий — 401, орудий разного калибра — 753, миномётов — 291, пулемётов — 991, винтовок — 8.820, радиостанций — 101, автомашин — 10.672, мотоциклов — 481, тракторов и тягачей — 208, бронетранспортёров — 46, автоприцепов — 392, повозок с военными грузами — 6.203, лошадей — 2.076, паровозов — 287, вагонов, платформ и цистерн — 6.104, из </w:t>
      </w:r>
      <w:r w:rsidRPr="00070ADE">
        <w:rPr>
          <w:rFonts w:ascii="Times New Roman" w:hAnsi="Times New Roman"/>
          <w:color w:val="000000" w:themeColor="text1"/>
          <w:sz w:val="16"/>
          <w:szCs w:val="16"/>
        </w:rPr>
        <w:lastRenderedPageBreak/>
        <w:t>них 1.377 гружённых боеприпасами, продовольствием, горючим, заводским оборудованием, инженерно-техническим и другим военным имуществом, складов — 95, из них с боеприпасами — 52, с продовольствием — 38, с колючей проволокой — 3, с цементом — 2.</w:t>
      </w:r>
    </w:p>
    <w:p w14:paraId="1D7C3588"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Взято в плен 10.680 немецких солдат и офицеров.</w:t>
      </w:r>
    </w:p>
    <w:p w14:paraId="411E7008"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общие потери немцев по главным видам боевой техники и в живой силе за время наступательных операций войск 3-го Украинского фронта с 25 марта по 12 апреля составляют: пленными и убитыми — 37.480, танков и самоходных орудий — 443, орудий разного калибра — 952, автомашин, автоприцепов и тягачей — 11.708.» (15100).</w:t>
      </w:r>
    </w:p>
    <w:p w14:paraId="47BCC3A3" w14:textId="77777777" w:rsidR="001732E9" w:rsidRPr="00070ADE" w:rsidRDefault="001732E9" w:rsidP="00B56F90">
      <w:pPr>
        <w:spacing w:after="0" w:line="240" w:lineRule="auto"/>
        <w:jc w:val="both"/>
        <w:rPr>
          <w:rFonts w:ascii="Times New Roman" w:hAnsi="Times New Roman"/>
          <w:color w:val="000000" w:themeColor="text1"/>
          <w:sz w:val="16"/>
          <w:szCs w:val="16"/>
        </w:rPr>
      </w:pPr>
    </w:p>
    <w:p w14:paraId="2FAA312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апреля 1944 украинскими бандеровцами убит советский генерал Н. Ватутин (4962).</w:t>
      </w:r>
    </w:p>
    <w:p w14:paraId="2F2CCFC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2BF5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lang w:val="en-US"/>
        </w:rPr>
        <w:t>April</w:t>
      </w:r>
      <w:r w:rsidRPr="00070ADE">
        <w:rPr>
          <w:rFonts w:ascii="Times New Roman" w:hAnsi="Times New Roman"/>
          <w:color w:val="000000" w:themeColor="text1"/>
          <w:sz w:val="16"/>
          <w:szCs w:val="16"/>
        </w:rPr>
        <w:t xml:space="preserve"> 15 1944 </w:t>
      </w:r>
      <w:r w:rsidRPr="00070ADE">
        <w:rPr>
          <w:rFonts w:ascii="Times New Roman" w:hAnsi="Times New Roman"/>
          <w:color w:val="000000" w:themeColor="text1"/>
          <w:sz w:val="16"/>
          <w:szCs w:val="16"/>
          <w:lang w:val="en-US"/>
        </w:rPr>
        <w:t>SovietoffensiveintoPolandcapturesTarnopol</w:t>
      </w:r>
      <w:r w:rsidRPr="00070ADE">
        <w:rPr>
          <w:rFonts w:ascii="Times New Roman" w:hAnsi="Times New Roman"/>
          <w:color w:val="000000" w:themeColor="text1"/>
          <w:sz w:val="16"/>
          <w:szCs w:val="16"/>
        </w:rPr>
        <w:t xml:space="preserve"> (1037).</w:t>
      </w:r>
    </w:p>
    <w:p w14:paraId="6288A5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4501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апреля 1944 в ходе наступления КА в Польше был взят Тарнополь (1037).</w:t>
      </w:r>
    </w:p>
    <w:p w14:paraId="054CB5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CCBE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апреля 1944 была издана директива начальника ВВС о борьбе с воздушными разведчиками противника (340,161).</w:t>
      </w:r>
    </w:p>
    <w:p w14:paraId="4BC835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CA61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апреля 1944 штаб ВВС издал директиву о борьбе с воздушными разведчиками в связи с тем, что одиночные н разведчики стали проникать глубоко в тылы. Всем ВА приказали разработать спецмероприятия по обнаружению и перехвату (340,161).</w:t>
      </w:r>
    </w:p>
    <w:p w14:paraId="2114DE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ACFB09" w14:textId="77777777" w:rsidR="00A61476" w:rsidRPr="00070ADE" w:rsidRDefault="00A61476"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5F27657B" w14:textId="77777777" w:rsidR="00A61476" w:rsidRPr="00070ADE" w:rsidRDefault="00A61476"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6CF807" w14:textId="77777777" w:rsidR="00A61476" w:rsidRPr="00070ADE" w:rsidRDefault="00A614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апреля 1944 в Москве открылось восемь гастрономов, в которых торговали продовольственными товарами, винами, напитками и табачными изделиями, два рыбных магазина, два мясных, два молочных, два овощных, один кондитерский, один чайный, один табачный и один винный. Торговля велась без карточек для всего населения, но по специальным ценам. Для некоторых категорий граждан была установлена скидка (18692).</w:t>
      </w:r>
    </w:p>
    <w:p w14:paraId="4073DDF0" w14:textId="77777777" w:rsidR="00A61476" w:rsidRPr="00070ADE" w:rsidRDefault="00A61476" w:rsidP="00B56F90">
      <w:pPr>
        <w:spacing w:after="0" w:line="240" w:lineRule="auto"/>
        <w:jc w:val="both"/>
        <w:rPr>
          <w:rFonts w:ascii="Times New Roman" w:hAnsi="Times New Roman"/>
          <w:color w:val="000000" w:themeColor="text1"/>
          <w:sz w:val="16"/>
          <w:szCs w:val="16"/>
        </w:rPr>
      </w:pPr>
    </w:p>
    <w:p w14:paraId="38161F46" w14:textId="77777777" w:rsidR="001732E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43BA8729" w14:textId="77777777" w:rsidR="001732E9" w:rsidRPr="00070ADE" w:rsidRDefault="001732E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E01BB7"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апреля в 1944 году поднялся в воздух прототип транспортного самолёта «ХR2Y» «Liberator-Liner» (разработчик: «Consolidated», США). Появившийся в 1943 году самолёт «Model 39» «Liberator-Liner» представлял собой моноплан с высокорасположенным крылом из легкого сплава с обтянутыми тканью рулевыми поверхностями и силовой установкой из четырех «R-1830-94» «Twin Wasp» мощностью по 1200 л. с. (895 кВт). "Consolidated" на свои средства построила фюзеляж прототипа и установила на нем хвостовое оперение от «PB4Y-2». Самолёт мог перевозить до 48 пассажиров или 8 392 кг полезной нагрузки. В марте 1944 года ВМС США заказали 253 серийных самолета с поставкой с августа 1944-го по март 1945 года под обозначением «R2Y-1». Но спустя всего месяц флот аннулировал заказ, ознакомившись с макетом. Было построено всего два прототипа применявшихся для различных экспериментов (в частности по испытанию закрылков большого размаха). Потом эти самолёты отдали на временное хранение и в конечном итоге разобрали на металл (15100).</w:t>
      </w:r>
    </w:p>
    <w:p w14:paraId="619423EE" w14:textId="77777777" w:rsidR="001732E9" w:rsidRPr="00070ADE" w:rsidRDefault="001732E9" w:rsidP="00B56F90">
      <w:pPr>
        <w:spacing w:after="0" w:line="240" w:lineRule="auto"/>
        <w:jc w:val="both"/>
        <w:rPr>
          <w:rFonts w:ascii="Times New Roman" w:hAnsi="Times New Roman"/>
          <w:color w:val="000000" w:themeColor="text1"/>
          <w:sz w:val="16"/>
          <w:szCs w:val="16"/>
        </w:rPr>
      </w:pPr>
    </w:p>
    <w:p w14:paraId="0B33433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8A77C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70CD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первой половине апреля 1944 пока Акт по госиспытаниям Ил-АМ-42 утверждался вышестоя</w:t>
      </w:r>
      <w:r w:rsidRPr="00070ADE">
        <w:rPr>
          <w:rFonts w:ascii="Times New Roman" w:hAnsi="Times New Roman"/>
          <w:color w:val="000000" w:themeColor="text1"/>
          <w:sz w:val="16"/>
          <w:szCs w:val="16"/>
        </w:rPr>
        <w:softHyphen/>
        <w:t>щими инстанциями ВВС КА, опытный самолет дополнительно прошел специальные летные испытания по замеру расхо</w:t>
      </w:r>
      <w:r w:rsidRPr="00070ADE">
        <w:rPr>
          <w:rFonts w:ascii="Times New Roman" w:hAnsi="Times New Roman"/>
          <w:color w:val="000000" w:themeColor="text1"/>
          <w:sz w:val="16"/>
          <w:szCs w:val="16"/>
        </w:rPr>
        <w:softHyphen/>
        <w:t>дов горючего и определение даль</w:t>
      </w:r>
      <w:r w:rsidRPr="00070ADE">
        <w:rPr>
          <w:rFonts w:ascii="Times New Roman" w:hAnsi="Times New Roman"/>
          <w:color w:val="000000" w:themeColor="text1"/>
          <w:sz w:val="16"/>
          <w:szCs w:val="16"/>
        </w:rPr>
        <w:softHyphen/>
        <w:t>ности полета. В ходе испытаний при взлетном весе 7260 кг (запас топли</w:t>
      </w:r>
      <w:r w:rsidRPr="00070ADE">
        <w:rPr>
          <w:rFonts w:ascii="Times New Roman" w:hAnsi="Times New Roman"/>
          <w:color w:val="000000" w:themeColor="text1"/>
          <w:sz w:val="16"/>
          <w:szCs w:val="16"/>
        </w:rPr>
        <w:softHyphen/>
        <w:t>ва 1020 л) была получена максималь</w:t>
      </w:r>
      <w:r w:rsidRPr="00070ADE">
        <w:rPr>
          <w:rFonts w:ascii="Times New Roman" w:hAnsi="Times New Roman"/>
          <w:color w:val="000000" w:themeColor="text1"/>
          <w:sz w:val="16"/>
          <w:szCs w:val="16"/>
        </w:rPr>
        <w:softHyphen/>
        <w:t>ная дальность полета 980 км (высота 1000 м, скорость по прибору 308 км/ ч), что подтверждало выводы отчета по государственным испытаниям.</w:t>
      </w:r>
    </w:p>
    <w:p w14:paraId="6E91C1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Ответственным исполнителем был инженер-капитан К. А. Савенко. Ле</w:t>
      </w:r>
      <w:r w:rsidRPr="00070ADE">
        <w:rPr>
          <w:rFonts w:ascii="Times New Roman" w:hAnsi="Times New Roman"/>
          <w:color w:val="000000" w:themeColor="text1"/>
          <w:sz w:val="16"/>
          <w:szCs w:val="16"/>
        </w:rPr>
        <w:softHyphen/>
        <w:t>тал летчик-испытатель подполковник А. К. Долгов. Отчет по испытаниям утвержден 6 апреля начальником группы моторов и топлив НИИ ВВС инженер-полковником Г. А. Печенко (11427).</w:t>
      </w:r>
    </w:p>
    <w:p w14:paraId="68BCE0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041B73" w14:textId="08AF3DEE" w:rsidR="00EB1E33" w:rsidRPr="00070ADE" w:rsidRDefault="00EB1E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первой половине апреля 1944 пока акт государственным испытаниям Ил-АМ-42 (экз.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утверждался вышестоящими инстанциями ВВС КА, самолет дополнительно прошел специальные летные испытания по замеру расходов горючего и определению дальности полета. В ходе испытаний при взлетном весе 7260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(запас топлива 1020 л) была получена максимальная дальность полета 980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 (высота 1000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скорость по прибору 308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что подтверждало выводы отчета по государственным испытаниям.</w:t>
      </w:r>
    </w:p>
    <w:p w14:paraId="059DD303" w14:textId="28314F88" w:rsidR="00EB1E33" w:rsidRPr="00070ADE" w:rsidRDefault="00EB1E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Ответственным исполнителем был инженер-капитан К.</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Савенко. Летал летчик-испытатель подполковник 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Долгов. Отчет по испытаниям утвержден 6 апреля начальником группы моторов и топлив НИИ ВВС инженер-полковником Г.</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Печенко (17490).</w:t>
      </w:r>
    </w:p>
    <w:p w14:paraId="12B4D177" w14:textId="77777777" w:rsidR="00EB1E33" w:rsidRPr="00070ADE" w:rsidRDefault="00EB1E33" w:rsidP="00B56F90">
      <w:pPr>
        <w:spacing w:after="0" w:line="240" w:lineRule="auto"/>
        <w:jc w:val="both"/>
        <w:rPr>
          <w:rFonts w:ascii="Times New Roman" w:hAnsi="Times New Roman"/>
          <w:color w:val="000000" w:themeColor="text1"/>
          <w:sz w:val="16"/>
          <w:szCs w:val="16"/>
        </w:rPr>
      </w:pPr>
    </w:p>
    <w:p w14:paraId="3DD47EA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C0A830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51D1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середины апреля 1944 г. на основании "Тактико-технических тре</w:t>
      </w:r>
      <w:r w:rsidRPr="00070ADE">
        <w:rPr>
          <w:rFonts w:ascii="Times New Roman" w:hAnsi="Times New Roman"/>
          <w:color w:val="000000" w:themeColor="text1"/>
          <w:sz w:val="16"/>
          <w:szCs w:val="16"/>
        </w:rPr>
        <w:softHyphen/>
        <w:t>бований на проектирование тяжелого танка", разработанных ТУ ГБТУ, в КБ завода № 100 велась работа по проектированию опытных тяжелых танков с электромеханической и механической трансмиссиями (10703).</w:t>
      </w:r>
    </w:p>
    <w:p w14:paraId="0FF138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085761" w14:textId="77777777" w:rsidR="00EB1E33" w:rsidRPr="00070ADE" w:rsidRDefault="00EB1E33"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середине апреля 1944 года в ходе совещаний на заводах №38 и ГАЗ был утверждён список изменений из 24 пунктов. Помимо упоминавшихся выше переделок, в этот список попала переделка стопора по-походному. Задний стопор убирался, а передний теперь можно было снимать с водительского места. Появлялся гильзоулавливатель, но на практике его ставили только на заводе №38.</w:t>
      </w:r>
    </w:p>
    <w:p w14:paraId="3F0CF370" w14:textId="77777777" w:rsidR="00EB1E33" w:rsidRPr="00070ADE" w:rsidRDefault="00EB1E33"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Переделки планировалось вводить с мая 1944 года, но фактически появились они уже в июне. СУ-76М получила ленивцы с резиновыми бандажами, новые буферы балансиров, трёхцветную сигнализацию. Впрочем, различия между машинами разных заводов всё равно сохранялись. Каждое предприятие оснащало САУ стопорами по-походному своей конструкции. А завод №40 вносил изменения как по своему списку, так и по чертежам ГАЗ им. Молотова.</w:t>
      </w:r>
    </w:p>
    <w:p w14:paraId="6EE3E94D" w14:textId="77777777" w:rsidR="00EB1E33" w:rsidRPr="00070ADE" w:rsidRDefault="00EB1E33" w:rsidP="00B56F90">
      <w:pPr>
        <w:pStyle w:val="ae"/>
        <w:shd w:val="clear" w:color="auto" w:fill="FFFFFF"/>
        <w:spacing w:before="0" w:after="0"/>
        <w:jc w:val="both"/>
        <w:rPr>
          <w:color w:val="000000" w:themeColor="text1"/>
          <w:sz w:val="16"/>
          <w:szCs w:val="16"/>
        </w:rPr>
      </w:pPr>
      <w:r w:rsidRPr="00070ADE">
        <w:rPr>
          <w:color w:val="000000" w:themeColor="text1"/>
          <w:sz w:val="16"/>
          <w:szCs w:val="16"/>
        </w:rPr>
        <w:t>На заводе №40 переделки получила уже первая машина июньского выпуска, а на заводе №38 в серию изменения пошли в июле. На ГАЗ же отдельные новые элементы получили апрельские машины. Новый стопор по-походному здесь был введён с 26 числа, также в апреле была переделана часть ЗИП и укладок, улучшена конструкция главной передачи. В мае появился новый стопор задней дверки корпуса, машины получили световую сигнализацию и бревно самовытаскивания. С 20 мая стал ставиться буксирный крюк по типу Т-34. Ряд улучшений появился и в июне. В то же время даже в июне ГАЗ-овские машины выпускались с ленивцами без обрезинки.</w:t>
      </w:r>
    </w:p>
    <w:p w14:paraId="387A121B" w14:textId="77777777" w:rsidR="00EB1E33" w:rsidRPr="00070ADE" w:rsidRDefault="00EB1E33" w:rsidP="00B56F90">
      <w:pPr>
        <w:pStyle w:val="ae"/>
        <w:shd w:val="clear" w:color="auto" w:fill="FFFFFF"/>
        <w:spacing w:before="0" w:after="0"/>
        <w:jc w:val="both"/>
        <w:rPr>
          <w:color w:val="000000" w:themeColor="text1"/>
          <w:sz w:val="16"/>
          <w:szCs w:val="16"/>
        </w:rPr>
      </w:pPr>
      <w:r w:rsidRPr="00070ADE">
        <w:rPr>
          <w:color w:val="000000" w:themeColor="text1"/>
          <w:sz w:val="16"/>
          <w:szCs w:val="16"/>
        </w:rPr>
        <w:t>Интересно, что работы по модернизации и усовершенствованию САУ без проволочек велись только на заводе №38. С завода №40 ежемесячно поступали доклады о том, что отдел главного конструктора своими обязанностями занимается только после нажима со стороны военной приёмки. Ещё интереснее выглядела ситуация на ГАЗ им. Молотова. С конца 1943 года на «военную» часть завода оказывалось всё большее давление со стороны заводского руководства. Главный конструктор А.А. Липгарт ненавязчиво «торпедировал» новые разработки. Причиной тому были планы по организации гражданской продукции. В начале 1944 года после конфликта с Липгартом с завода ушёл В.А. Грачёв, на котором держались все военные разработки ГАЗ на колёсной базе. Периодически возникали трения между главным конструктором и военной приёмкой (17728).</w:t>
      </w:r>
    </w:p>
    <w:p w14:paraId="3E155546" w14:textId="77777777" w:rsidR="00EB1E33" w:rsidRPr="00070ADE" w:rsidRDefault="00EB1E33" w:rsidP="00B56F90">
      <w:pPr>
        <w:spacing w:after="0" w:line="240" w:lineRule="auto"/>
        <w:jc w:val="both"/>
        <w:rPr>
          <w:rFonts w:ascii="Times New Roman" w:eastAsia="Times New Roman" w:hAnsi="Times New Roman"/>
          <w:color w:val="000000" w:themeColor="text1"/>
          <w:sz w:val="16"/>
          <w:szCs w:val="16"/>
          <w:lang w:eastAsia="ru-RU"/>
        </w:rPr>
      </w:pPr>
    </w:p>
    <w:p w14:paraId="5375328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21F2A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B5D279" w14:textId="4ACF85C0" w:rsidR="00A61476" w:rsidRPr="00070ADE" w:rsidRDefault="00A61476"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К середине апреля 1944 года были подготовлены тактико-технические требования на средний танк, которые даже превосходили ТТТ ГБТУ КА. Боевая масса ожидалась в пределах 35 т, максимальная скорость — около 45-50 км/ч. Броневая защита верхней лобовой детали корпуса вырастала до 90-100 мм, а толщина лба башни увеличивалась до 120-130 мм. Это требование появилось на основе изучения попаданий в тяжёлый танк</w:t>
      </w:r>
      <w:r w:rsidR="00B643A8" w:rsidRPr="00070ADE">
        <w:rPr>
          <w:color w:val="000000" w:themeColor="text1"/>
          <w:sz w:val="16"/>
          <w:szCs w:val="16"/>
        </w:rPr>
        <w:t xml:space="preserve"> </w:t>
      </w:r>
      <w:hyperlink r:id="rId106" w:history="1">
        <w:r w:rsidRPr="00070ADE">
          <w:rPr>
            <w:rStyle w:val="a5"/>
            <w:bCs/>
            <w:iCs/>
            <w:color w:val="000000" w:themeColor="text1"/>
            <w:sz w:val="16"/>
            <w:szCs w:val="16"/>
            <w:bdr w:val="none" w:sz="0" w:space="0" w:color="auto" w:frame="1"/>
          </w:rPr>
          <w:t>ИС-1</w:t>
        </w:r>
      </w:hyperlink>
      <w:r w:rsidRPr="00070ADE">
        <w:rPr>
          <w:color w:val="000000" w:themeColor="text1"/>
          <w:sz w:val="16"/>
          <w:szCs w:val="16"/>
        </w:rPr>
        <w:t>. Диаметр погона башни увеличивался до 1700 мм, при этом ставился электрический мотор поворота башни по типу американского Medium Tank M4A4. В качестве вооружения предполагалась пушка калибра 76-85 мм, но с увеличенной до 1000 м/с начальной скоростью снаряда. Пулемётов планировалось два — один спаренный, один кормовой. Также предполагалось поставить на башне 6 мортирок для дымопуска — такое решение подсмотрели на немецких танках. Подвеска оставалась торсионной, но спереди и сзади появлялись амортизаторы.</w:t>
      </w:r>
    </w:p>
    <w:p w14:paraId="2A581D56" w14:textId="77777777" w:rsidR="00A61476" w:rsidRPr="00070ADE" w:rsidRDefault="00A61476"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 xml:space="preserve">Эти тактико-технические требования имели скорее концептуальный характер, тем не менее их развитие можно видеть в дальнейших ТТТ, которые исходили уже от ГБТУ КА. Датированы они июнем 1944 года и являются ещё более концептуальными. Экипаж должен был составлять 5 человек, а толщина брони не конкретизировалась. В целях облегчения работы заряжающего предполагалось произвести рокировку мест наводчика и заряжающего — так же, как и на орудиях С-34 разработки ЦАКБ. В сентябре 1944 года этот «полёт фантазий», особенно по броневой защите, стал причиной бурной переписки между ГБТУ КА и НКТП. По </w:t>
      </w:r>
      <w:r w:rsidRPr="00070ADE">
        <w:rPr>
          <w:color w:val="000000" w:themeColor="text1"/>
          <w:sz w:val="16"/>
          <w:szCs w:val="16"/>
        </w:rPr>
        <w:lastRenderedPageBreak/>
        <w:t>результатам расчётов, сделанных в НКТП, получалось, что лоб корпуса имел толщину 100 мм, лоб башни увеличивался до 170 мм, борта корпуса — 120-160 мм, а борта башни — 125-165 мм.</w:t>
      </w:r>
    </w:p>
    <w:p w14:paraId="116A3A9F" w14:textId="77777777" w:rsidR="00A61476" w:rsidRPr="00070ADE" w:rsidRDefault="00A61476"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Простой математический расчёт показывал, что масса пустого корпуса и башни составит около 30 т, а общая масса танка — 55 т. Также в НКТП подвергли критике идею ГБТУ КА установить два пулемёта ленточного питания на крыльях. Там предлагали оставить один пулемёт в корпусе, но в ГБТУ КА настаивали на своей идее. Предложение поставить в танк двигатель мощностью 620 л.с. вызвало в НКТП некоторое недоумение. Такого мотора не было в серии и, как показало будущее, его во второй половине 40-х и не появилось. Не меньшее удивление вызвало требование поставить на танк прибор ночного видения. На советских танках подобные приборы впервые применили осенью 1942 года, конструкция потребовала доработки, а по состоянию на 1944 год работы по ПНВ были, скорее, заморожены. Улучшенные приборы ПЦТ-8 испытывались с 1943 года, но результаты были не особо успешными. Одним словом, в НКТП намекнули, что подготовленные требования несколько не согласуются с реальностью (19090).</w:t>
      </w:r>
    </w:p>
    <w:p w14:paraId="33579917" w14:textId="77777777" w:rsidR="00A61476" w:rsidRPr="00070ADE" w:rsidRDefault="00A61476" w:rsidP="00B56F90">
      <w:pPr>
        <w:pStyle w:val="ae"/>
        <w:shd w:val="clear" w:color="auto" w:fill="FFFFFF"/>
        <w:spacing w:before="0" w:after="0"/>
        <w:jc w:val="both"/>
        <w:textAlignment w:val="baseline"/>
        <w:rPr>
          <w:color w:val="000000" w:themeColor="text1"/>
          <w:sz w:val="16"/>
          <w:szCs w:val="16"/>
        </w:rPr>
      </w:pPr>
    </w:p>
    <w:p w14:paraId="4298CB17" w14:textId="77777777" w:rsidR="00A61476" w:rsidRPr="00070ADE" w:rsidRDefault="00A614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середине апреля 1944 года на ЧКЗ начался выпуск ИСУ-122. К 20 апреля сдали всего 5 машин, а полностью выпуск месячной нормы удалось выполнить к 1 мая. В отличие от ИСУ-152, которые поначалу выпускались и с корпусами завода №200, все ИСУ-122 сдавались уже с корпусами Уральского завода тяжёлого машиностроения (УЗТМ). Особых трудностей освоение ИСУ-122 не представляло, поскольку машина минимально отличалась от ИСУ-152. В данном случае большая трудность состояла в росте объёма выпуска самоходок в целом. Второй, едва ли не более существенной проблемой стал объём выпуска орудий А-19. Нередко можно слышать теорию о том, что ИСУ-122 якобы появилась из-за нехватки систем МЛ-20с, но на это можно только улыбнуться. В мае, то есть уже на второй месяц выпуска ИСУ-122, случились первые перебои с А-19. В результате вместо 100 машин сдали 90, а ИСУ-152 сдали 135 штук вместо 125 (18335).</w:t>
      </w:r>
    </w:p>
    <w:p w14:paraId="7AB412FC" w14:textId="77777777" w:rsidR="00A61476" w:rsidRPr="00070ADE" w:rsidRDefault="00A61476" w:rsidP="00B56F90">
      <w:pPr>
        <w:spacing w:after="0" w:line="240" w:lineRule="auto"/>
        <w:jc w:val="both"/>
        <w:rPr>
          <w:rFonts w:ascii="Times New Roman" w:hAnsi="Times New Roman"/>
          <w:color w:val="000000" w:themeColor="text1"/>
          <w:sz w:val="16"/>
          <w:szCs w:val="16"/>
        </w:rPr>
      </w:pPr>
    </w:p>
    <w:p w14:paraId="6949416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апреля 1944 вышло Постановление ГКО № 5635 О развитии угольной промышленности в Грузинской ССР для обеспечения местным углем строящегося металлургического завода, электростанций, оборонных и промышленных предприятий в Закавказье. (7214, 2-14,15-27).</w:t>
      </w:r>
    </w:p>
    <w:p w14:paraId="3A5E45E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ACD8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апреля 1944 вышло Постановление ГКО№ 5636 О т.т. Хохлове И.С., Русских А.Г., Карпенкове. РГАНИР, Фонд ГКО, д. А. и Окорокове А.РГАНИР, Фонд ГКО, д. РГАНИР, Фонд ГКО, д. 237, лл. 28 (11012).</w:t>
      </w:r>
    </w:p>
    <w:p w14:paraId="7AF6E2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C62D8F7" w14:textId="77777777" w:rsidR="001732E9"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апреля 1944 вышло Постановление ГКО № 5637 О вводе новых мощностей на электростанциях в 1944 году. РГАНИР, Фонд ГКО, д. 237, лл. 29-36,37-292 (11012).</w:t>
      </w:r>
    </w:p>
    <w:p w14:paraId="272A7EEF" w14:textId="77777777" w:rsidR="001732E9" w:rsidRPr="00070ADE" w:rsidRDefault="001732E9" w:rsidP="00B56F90">
      <w:pPr>
        <w:autoSpaceDE w:val="0"/>
        <w:autoSpaceDN w:val="0"/>
        <w:adjustRightInd w:val="0"/>
        <w:spacing w:after="0" w:line="240" w:lineRule="auto"/>
        <w:jc w:val="both"/>
        <w:rPr>
          <w:rFonts w:ascii="Times New Roman" w:hAnsi="Times New Roman"/>
          <w:color w:val="000000" w:themeColor="text1"/>
          <w:sz w:val="16"/>
          <w:szCs w:val="16"/>
        </w:rPr>
      </w:pPr>
    </w:p>
    <w:p w14:paraId="24544C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16 апреля 1944 г. вышел ПРИКАЗ НК ВМФ О ВЫПОЛНЕНИИ ПОСТАНОВЛЕНИЯ ГОСУДАРСТВЕННОГО КОМИТЕТА ОБОРОНЫ ОТ 13 АПРЕЛЯ 1944 г. ЗА № ГОКО-5619сс ПО ПЕРЕВОДУ 10 ПОДВОДНЫХ ЛОДОК ТИПА &lt;М&gt; С ТИХООКЕАНСКОГО ФЛОТА В ЧЕРНОЕ МОРЕ № 0097 </w:t>
      </w:r>
    </w:p>
    <w:p w14:paraId="5103BA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усиления Черноморского флота Государственный Комитет Обороны постановил перевести с Тихоокеанского флота 10 подводных лодок типа «М» в состав Черноморского флота.</w:t>
      </w:r>
    </w:p>
    <w:p w14:paraId="170451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Переброску 10 подводных лодок типа «М» произвести по железной дороге на специальных транспортерах по маршруту Владивосток-Поти.</w:t>
      </w:r>
    </w:p>
    <w:p w14:paraId="1BAE9C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Указанным постановлением Государственный Комитет Обороны обязал НКПС (тов. Кагановича) обеспечить переброску 10 транспортеров из г. Горького во Владивосток и из Владивостока 10 транспортеров с подводными лодками в г. Поти.</w:t>
      </w:r>
    </w:p>
    <w:p w14:paraId="14C180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исполнение указанного постановления Государственного Комитета Обороны, приказываю:</w:t>
      </w:r>
    </w:p>
    <w:p w14:paraId="5E7A9B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Военсовету Тихоокеанского флота:</w:t>
      </w:r>
    </w:p>
    <w:p w14:paraId="20B2DE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Подготовить к отправке по железной дороге на Черноморский флот 10 ) подводных лодок типа «М» (с двумя управлениями дивизионов) в три очереди:</w:t>
      </w:r>
    </w:p>
    <w:p w14:paraId="08FEF2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очередь - четыре подводных лодки типа «М» - XII серии,;</w:t>
      </w:r>
    </w:p>
    <w:p w14:paraId="37AC99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 3 очереди - по три подводных лодки типа «М» VI или У1-бис серии, наиболее исправные по техническому состоянию.</w:t>
      </w:r>
    </w:p>
    <w:p w14:paraId="737DB1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Отправку подлодок произвести в следующие ориентировочные сроки:</w:t>
      </w:r>
    </w:p>
    <w:p w14:paraId="381297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очередь - май-июнь 1944 г.</w:t>
      </w:r>
    </w:p>
    <w:p w14:paraId="3C4E5C7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очередь - июнь-июль 1944 г.</w:t>
      </w:r>
    </w:p>
    <w:p w14:paraId="253D13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очередь - июль-август 1944 г.</w:t>
      </w:r>
    </w:p>
    <w:p w14:paraId="332979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Выделить в распоряжение завода № 202 НКСП необходимое количество краснофлотцев, по согласованию с уполномоченным У К ВМФ в г. Владивостоке, для производства демонтажных работ и обеспечить участие всего личного состава отправляемых лодок в работах завода № 202 НКСП.</w:t>
      </w:r>
    </w:p>
    <w:p w14:paraId="59322A5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Обеспечить средствами тыла ТОФ упаковку, погрузку в вагоны и отправку вместе с подлодками всего снятого с них оборудования и запасных частей.</w:t>
      </w:r>
    </w:p>
    <w:p w14:paraId="748E9A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Внести соответствующие изменения в графики II и III кварталов 1944 г. по судоремонту боевых кораблей на заводе № 202 НКСП в связи с производством демонтажных работ подлодок указанным заводом.</w:t>
      </w:r>
    </w:p>
    <w:p w14:paraId="1DBF88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В остальном руководствоваться «Инструкцией по техническому обеспечению подводных лодок НКВМФ типа «М», перебрасываемых по железной дороге из состава одного флота в состав другого» 1939 г.</w:t>
      </w:r>
    </w:p>
    <w:p w14:paraId="57DF94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Военсовету Черноморского флота;</w:t>
      </w:r>
    </w:p>
    <w:p w14:paraId="3751EE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Обеспечить базирование 10 подводных лодок типа «М» по прибытии их в Поти.</w:t>
      </w:r>
    </w:p>
    <w:p w14:paraId="5D27A3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Обеспечить средствами тыла ЧФ разгрузку из вагонов всего оборудования подлодок в Поти.</w:t>
      </w:r>
    </w:p>
    <w:p w14:paraId="54ABBF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Обеспечить участие личного состава в монтаже подлодок и провести контрольные испытания их после восстановительного монтажа, в соответствии с «Инструкцией» 1939 г., уточнив программу испытаний своим приказом, исходя из обстановки.</w:t>
      </w:r>
    </w:p>
    <w:p w14:paraId="5BD9B16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Внести соответствующие изменения в графике II и Ш-кварталов 1944 г. по судоремонту боевых кораблей на заводе № 201 НКСП в связи с производством восстановительного монтажа подлодок указанным заводом.</w:t>
      </w:r>
    </w:p>
    <w:p w14:paraId="497762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остальном руководствоваться «Инструкцией» 1939 г.</w:t>
      </w:r>
    </w:p>
    <w:p w14:paraId="040FAC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Начальнику управления кораблестроения ВМФ:</w:t>
      </w:r>
    </w:p>
    <w:p w14:paraId="686342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Подготовить 5 транспортеров и отправить их 25 апреля с. г. из Горького во Владивосток для переброски подлодок первой очереди.</w:t>
      </w:r>
    </w:p>
    <w:p w14:paraId="42E8DF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 освобождении 4 транспортеров после переброски подлодок XII серии с СФ на ЧФ, отправить их в мае-июне 1944 г. во Владивосток для переброски подлодок 2 очереди.</w:t>
      </w:r>
    </w:p>
    <w:p w14:paraId="7AC6E3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 освобождении 4 транспортеров после переброски больших охотников из Сарепты в Калач, отправить их в июне-июле 1944 г. во Владивосток для переброски подлодок 3 очереди.</w:t>
      </w:r>
    </w:p>
    <w:p w14:paraId="3B0C75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Обеспечить средствами промышленности при участии личного состава спуск 10 подводных лодок с транспортеров на воду и производство восстановительного монтажа в г. Поти.</w:t>
      </w:r>
    </w:p>
    <w:p w14:paraId="68072A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IV. Начальнику управления военных сообщений:</w:t>
      </w:r>
    </w:p>
    <w:p w14:paraId="75F056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Обеспечить перевозку порожних транспортеров в г. Владивосток по заявке начальника УК ВМФ.</w:t>
      </w:r>
    </w:p>
    <w:p w14:paraId="2039E3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Подать подвижной состав во Владивосток для перевозки оборудования подлодок и обеспечить перевозку подводных лодок на транспортерах из Владивостока в Поти по заявке начальника тыла ТОФ.</w:t>
      </w:r>
    </w:p>
    <w:p w14:paraId="67CADF9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V. Начальнику финансового управления:</w:t>
      </w:r>
    </w:p>
    <w:p w14:paraId="6CF1BBE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Обеспечить финансирование расходов, связанных с переброской 10 подводных лодок типа «М» из Владивостока в Поти. </w:t>
      </w:r>
    </w:p>
    <w:p w14:paraId="10C2E218" w14:textId="77777777" w:rsidR="00595BFB" w:rsidRPr="00070ADE" w:rsidRDefault="00595BFB" w:rsidP="00B56F90">
      <w:pPr>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Cs/>
          <w:color w:val="000000" w:themeColor="text1"/>
          <w:sz w:val="16"/>
          <w:szCs w:val="16"/>
        </w:rPr>
        <w:t>КУЗНЕЦОВ</w:t>
      </w:r>
    </w:p>
    <w:p w14:paraId="1F685D5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ЦВМА, ф. 79, д. 39840, л. 352-354. Подлинник (11459).</w:t>
      </w:r>
    </w:p>
    <w:p w14:paraId="01D22D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718E50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11752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CAAD0E"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апреля в 1944 году оперативная сводка Совинформбюро:</w:t>
      </w:r>
    </w:p>
    <w:p w14:paraId="685DCA80"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16 апреля на Кишинёвском направлении наши войска, форсировав на ряде участков реку Днестр, захватили плацдармы на правом берегу реки и вели бои по их расширению.</w:t>
      </w:r>
    </w:p>
    <w:p w14:paraId="712E7739"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югу от города Тирасполь наши войска, форсировав Днестр, овладели населёнными пунктами Урсоя, Кицкань, Копанка и вели бои за расширение захваченного плацдарма.</w:t>
      </w:r>
    </w:p>
    <w:p w14:paraId="1EA0C709"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Отдельной Приморской армии, развивая наступление, овладели городом ипортом на Чёрном море Ялта, одним из опорных пунктов обороны противника на южном побережье Крыма, а также с боями заняли более 40 других населённых пунктов, в том числе город Алупка, курортные поселки Гурзуф, Ливадия, Кореиз, Симеиз, Артек, Кикенеиз и населённые пункты Адымчокрак, Коклуз, Коккозы, Лимены, Кучуккой.</w:t>
      </w:r>
    </w:p>
    <w:p w14:paraId="19006B87"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поиски разведчиков и в ряде пунктов бои местного значения.</w:t>
      </w:r>
    </w:p>
    <w:p w14:paraId="4029E9EB"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течение 15 апреля наши войска на всех фронтах подбили и уничтожили 91 немецкий танк. В воздушных боях и огнём зенитной артиллерии сбито 78 самолётов противника.</w:t>
      </w:r>
    </w:p>
    <w:p w14:paraId="22FFA7FA"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Налёт нашей авиации на железнодорожную станцию и порт Севастополь.</w:t>
      </w:r>
    </w:p>
    <w:p w14:paraId="44DBDFDC"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16 апреля наша авиация вновь произвела налёт на железнодорожнуюстанцию и порт Севастополь. В результате бомбардировки на железнодорожной станции возникли пожары. Особенно крупные пожары отмечены в районе угольно-нефтяной пристани. Прямым попаданием бомбы потоплен стоявший в порту транспорт противника водоизмещением в 3.000 тонн. Наблюдением отмечено также несколько сильных взрывов среди судов, находившихся в южной бухте.</w:t>
      </w:r>
    </w:p>
    <w:p w14:paraId="4227E40C"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Кишинёвском направлении наши войска, сломив упорное сопротивление противника, в ряде мест переправились через Днестр. Немцы предприняли несколько контратак, пытаясь сбросить советские части в реку. Наши пехотинцы отбили все контратаки противника, уничтожив при этом до 800 гитлеровцев. С боями продвигаясь вперёд, наши войска шаг за шагом расширяют плацдармы на правом берегу Днестра.</w:t>
      </w:r>
    </w:p>
    <w:p w14:paraId="0F647422"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югу от города Тирасполь бойцы Н-ского соединения внезапно переправились через реку Днестр и стремительной атакой заняли несколько населённых пунктов. В бою за эти пункты уничтожено свыше тысячи немецких солдат и офицеров. Захвачено 11 орудий, 27 пулемётов, 8 миномётов, склад боеприпасов и склад с продовольствием. Взяты пленные, в том числе командир батальона противника.</w:t>
      </w:r>
    </w:p>
    <w:p w14:paraId="1BC7F2AD"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Отдельной Приморской армии продолжали успешное наступление. Отступая под ударами советских частей вдоль побережья Чёрного моря, противник усиленно минирует дороги, устраивает завалы и взрывает мосты. На подступах к Гурзуфу и Ялте немцы выставили артиллерийские и пулемётные заслоны, рассчитывая, что удобная для обороны местность даст им возможность надолго задержать советские войска. Наши бойцы, действуя мелкими штурмовыми группами, обошли горными тропинками заслоны противника и нанесли им удар с тыла. Развивая наступление, войска Отдельной Приморской армии овладели городом и портом Ялта, городом Алупка и курортными посёлками Гурзуф, Артек, Ливадия, Кореиз, Симеиз, Кикенеиз. В Ялте захвачены большие трофеи и много пленных. В Гурзуфе сдался в плен в полном составе батальон 2 горно-стрелковой дивизии противника вместе со своим командиром. Ожесточённые бои происходят в горах. Советские части преследуют скрывающихся в горах гитлеровцев, окружают и уничтожают их. По неполным данным, взято в плен 3.000 солдат и офицеров противника. Захвачено у немцев 80 орудий, 110 миномётов, 7 тысяч винтовок и автоматов, 250 автомашин и повозок с грузами, 2.400 лошадей, 25 складов с боеприпасами, продовольствием и различным военным имуществом. Пленные немецкие солдаты сообщили, что командир 98 немецкой пехотнойдивизии Гарейс и командиры полков после разгрома этой дивизии на Керченском полуострове заболели «крымской болезнью» и улетели на самолёте. Известно также, что многие другие немецкие генералы и старшие офицеры бросили своих солдат на произвол судьбы и дезертировали из Крыма.</w:t>
      </w:r>
    </w:p>
    <w:p w14:paraId="60B5A4C5"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Корабли Черноморского флота наносят удары по судам, на которых немцы пытаются выбраться из Крыма. Сегодня потоплены 4 самоходные баржи с пехотой противника. Несколько вражеских судов получили серьёзные повреждения.</w:t>
      </w:r>
    </w:p>
    <w:p w14:paraId="337F162C"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уничтожала самолёты противника на аэродроме мыс Херсонес. В течение дня разбито и сожжено на этом аэродроме 28 немецких самолётов. Кроме того, в воздушных боях сбито 10 самолётов противника.</w:t>
      </w:r>
    </w:p>
    <w:p w14:paraId="2D827273"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одном районе Могилёвской области, в ночь на 30 марта напал на сильно укреплённый немецкий гарнизон. Советские патриоты разгромили штаб гарнизона, уничтожили 2 орудия, 60 автомашин и сожгли 4 цистерны с бензином. В ходе боя партизаны истребили до роты гитлеровцев.</w:t>
      </w:r>
    </w:p>
    <w:p w14:paraId="006D5ECD"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Взятый в плен командир сапёрного батальона 10 румынской пехотной дивизииподполковник Стефан Букуренчу сообщил: «За несколько дней до наступления русских командир нашей дивизии издал приказ, с которым были ознакомлены все офицеры. В этом приказе говорилось, что командование требует удержать Крым любой ценой, до последнего солдата. Офицеры были уверены, что они сумеют выполнить этот приказ. Укрепления на Перекопском перешейке мы считали неприступными. Наличие в Крым крупных сил немецко-румынских войск, военной техники, особенно артиллерии и миномётов, укрепляло нашу уверенность. Среди офицеров господствовало мнение, что русским потребуется по крайней мере много недель для того, чтобы прорваться через Перекопский перешеек. Однако действительность опрокинула все наши расчёты. Наступление русских войск было необычайным. Особенно большую роль сыграли советская артиллерия и танки. Под ударами же русской пехоты вся наша оборона рассыпалась».</w:t>
      </w:r>
    </w:p>
    <w:p w14:paraId="7EDA9AB6"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Потери противника и трофеи войск 2-го Украинского фронта за период боев с 6 марта по 15 апреля с. г.</w:t>
      </w:r>
    </w:p>
    <w:p w14:paraId="236E39D2"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Украинского фронта под командованием Маршала Советского Союза Конева, в результате проведённых наступательных операций с 6 марта по 15 апреля сего года, нанесли противнику следующие потери в живой силе и технике:</w:t>
      </w:r>
    </w:p>
    <w:p w14:paraId="56ACFC7D"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Уничтожено: самолётов — 142, танков и самоходных орудий —688,</w:t>
      </w:r>
    </w:p>
    <w:p w14:paraId="455F2106"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орудий разных калибров — 1.474, миномётов — 1.838, пулемётов —3.660,</w:t>
      </w:r>
    </w:p>
    <w:p w14:paraId="6D82C64F"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бронемашин и бронетранспортёров — 356, автомашин — 25.111, тягачей —248, повозок — 6.453, лошадей — 8.740, складов с боеприпасами и военно-техническим имуществом — 63.</w:t>
      </w:r>
    </w:p>
    <w:p w14:paraId="4CFEAA74"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Противник оставил на поле боя 118.400 трупов солдат и офицеров.</w:t>
      </w:r>
    </w:p>
    <w:p w14:paraId="60DDF164"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это же время войска 2-го Украинского фронта захватили следующие трофеи: самолётов — 27, танков и самоходных орудий — 731, полевых орудий разных калибров — 1.356, миномётов — 1.156, пулемётов — 2.090, винтовок — 27.093, бронемашин и бронетранспортёров — 204, автомашин — 15.096, тягачей — 149, радиостанций — 198, повозок — 1.470, лошадей — 6.260, паровозов —71, вагонов — 4.009, снарядов — 6.340.000, складов с военно-техническим имуществом — 76.</w:t>
      </w:r>
    </w:p>
    <w:p w14:paraId="3D826D95"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Взято в плен 27.393 немецких солдат и офицеров.</w:t>
      </w:r>
    </w:p>
    <w:p w14:paraId="4FB2C851"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общие потери немцев по главным видам боевой техники и в живой силе за время наступательных операций 2-го Украинского фронта составляют: пленными и убитыми — 145.793, самолётов — 169, танков и самоходных орудий — 1.419, орудий разных калибров — 2.830, миномётов — 2.994, пулемётов — 5.750, бронемашин и бронетранспортёров — 560, автомашин — 40.207.» (15101).</w:t>
      </w:r>
    </w:p>
    <w:p w14:paraId="18BBA771" w14:textId="77777777" w:rsidR="001732E9" w:rsidRPr="00070ADE" w:rsidRDefault="001732E9" w:rsidP="00B56F90">
      <w:pPr>
        <w:spacing w:after="0" w:line="240" w:lineRule="auto"/>
        <w:jc w:val="both"/>
        <w:rPr>
          <w:rFonts w:ascii="Times New Roman" w:hAnsi="Times New Roman"/>
          <w:color w:val="000000" w:themeColor="text1"/>
          <w:sz w:val="16"/>
          <w:szCs w:val="16"/>
        </w:rPr>
      </w:pPr>
    </w:p>
    <w:p w14:paraId="7395BA89" w14:textId="77777777" w:rsidR="00715936" w:rsidRPr="00070ADE" w:rsidRDefault="0071593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апреля 1944 г. в Иванове началось переучивание чехословацких пилотов на советские истребители.</w:t>
      </w:r>
    </w:p>
    <w:p w14:paraId="52220B36" w14:textId="77777777" w:rsidR="00715936" w:rsidRPr="00070ADE" w:rsidRDefault="0071593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Чехословацких пилотов в Иванове уже ожидали пятнадцать новых Ла-5ФН. После завершения теоретического обучения, 3 мая они приступили к полетам сначала на двухместном Ла-5УТИ, а уже на следующий день — на Ла-5ФН. Поэтому 3 мая было выбрано официальной датой создания 128-й чехословацкой отдельной истребительной эскадрильи в СССР.</w:t>
      </w:r>
    </w:p>
    <w:p w14:paraId="7F14F0C1" w14:textId="77777777" w:rsidR="00715936" w:rsidRPr="00070ADE" w:rsidRDefault="0071593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мая 1944 года к эскадрилье присоединились два словацких пилота, которые в сентябре 1943 года дезертировали из рядов врага. Во время боев на Кубани они перелетели на своих Мессершмиттах Bf-109G на советские аэродромы, а затем переучивались в Вязниках на Ла-5. Число пилотов выросло до 22, и 15 мая эскадрилья получила из Ярославля еще шесть новых Ла-5ФН. Согласно документам, на 16 мая в 128-й эскадрилье насчитывалось 22 истребителя (откуда взялся еще один самолет — неизвестно, возможно посчитали Ла-5УТИ).</w:t>
      </w:r>
    </w:p>
    <w:p w14:paraId="616509A8" w14:textId="77777777" w:rsidR="00715936" w:rsidRPr="00070ADE" w:rsidRDefault="0071593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дня спустя эскадрилью перебросили в подмосковную Кубинку, где 30 мая, сдав экзамены, чехословацкие пилоты завершили курс переобучения. Поскольку предполагалось, что через два-три месяца курсы авиашколы в Вязниках завершат подготовку, советское командование издало 1 июня 1944 года приказ, согласно которому эскадрилья была преобразована в 1-й чехословацкий автономный истребительный полк. На момент создания он имел две эскадрильи (perute) по десять самолетов и два истребителя штабного звена. Третью эскадрилью предполагалось организовать по прибытии пополнения из Вязников. В конце июня полк все еще базировался в Кубинке и имел на вооружении 22 Ла-5ФН и три поликарповских биплана По-2. Два «Лавочкиных» из первоначального парка 128-й эскадрильи к тому времени уже заменили новыми машинами.</w:t>
      </w:r>
    </w:p>
    <w:p w14:paraId="7C306172" w14:textId="77777777" w:rsidR="00715936" w:rsidRPr="00070ADE" w:rsidRDefault="0071593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Начиная с 6 июня и до конца месяца, пилоты полка рвались на фронт. По общему мнению советского и чехословацкого командования, истребительный полк должен был обеспечивать воздушное прикрытие 1-го чехословацкого армейского корпуса, формирование бригад которого в то время завершалось в советском тылу. Поэтому 20 июля 1944 года полк был переведен на аэродром Проскуров, где в это время проходила подготовку 2-я чехословацкая десантная бригада. Полк завершил перебазирование к 22 июля, перегнав в Проскуров все свои Ла-5ФН (По-2 остались в Кубинке). На новом месте подразделение находилось до 7 сентября, когда 1-я эскадрилья во главе с командиром полка перелетела на прифронтовой аэродром Стубно. Четыре дня спустя за ней последовала 2-я эскадрилья, которой командовал надпоручик (лейтенант) Ф. Чабера.</w:t>
      </w:r>
    </w:p>
    <w:p w14:paraId="67175670" w14:textId="77777777" w:rsidR="00715936" w:rsidRPr="00070ADE" w:rsidRDefault="0071593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отдельный истребительный полк вошел в состав 2-ой Воздушной Армии под командованием генерал-полковника Красовского. Подразделение приступило к боевой работе 10 сентября 1944 года, когда пятерка Ла-5ФН отправилась патрулировать по маршруту Стубно — Пршемысл — Кросно — Санок — Пршемысл — Стубно. Пять дней спустя командир полка, его заместитель и оба командира эскадрилий отбыли по приказу Красовского в Словакию, где 29 августа 1944 года началось народное восстание. Они должны были на месте оценить возможность переброски полка на аэродромы, располагавшиеся на территории, контролируемой словацкими патриотами, срочно нуждавшимися в авиационной поддержке.</w:t>
      </w:r>
    </w:p>
    <w:p w14:paraId="055BE2A1" w14:textId="77777777" w:rsidR="00715936" w:rsidRPr="00070ADE" w:rsidRDefault="0071593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сентября 1944 года в 18:55 по Москве (15:55 по Гринвичу) четыре Ла-5ФН приземлились на аэродроме Три Дуби, их пилоты стали первыми авиаторами сил Свободной Чехословакии, вернувшимися на территорию своей Родины. На следующий день надпоручик Чабера выполнил с этого аэродрома патрульный полет на своем Ла-5ФН б/н 02, а в 11:00 тройка истребителей отправилась в обратный полет. Командир 1-ой эскадрильи надпоручик И. Стехлик остался в Три Дуби из-за ушиба ноги вместе с Ла-5ФН б/н 39 заместителя командира полка штабс-капитана Клана, который поменялся со Стехликом самолетами. В тот же день командир полка доложил генералу Красовскому о положительных результатах «полевой разведки».</w:t>
      </w:r>
    </w:p>
    <w:p w14:paraId="3111E918" w14:textId="77777777" w:rsidR="00715936" w:rsidRPr="00070ADE" w:rsidRDefault="0071593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17 сентября 1944 года 21 Ла-5ФН отправился из Стубно на аэродром Зольна рядом с Зволеном. Во время промежуточной посадки в Кросно поручик Рудольф Боровец случайно убрал шасси своего Ла-5ФН б/н 95, и поврежденную машину пришлось отправить в ремонт. В этот же день оставшиеся двадцать истребителей прибыли в </w:t>
      </w:r>
      <w:r w:rsidRPr="00070ADE">
        <w:rPr>
          <w:rFonts w:ascii="Times New Roman" w:hAnsi="Times New Roman"/>
          <w:color w:val="000000" w:themeColor="text1"/>
          <w:sz w:val="16"/>
          <w:szCs w:val="16"/>
        </w:rPr>
        <w:lastRenderedPageBreak/>
        <w:t>Зольну, а позднее, в 18:55, подпоручик Крута взлетел на перехват вражеского самолета. В послевоенные годы 17 сентября — день прибытия 1-го отдельного истребительного полка в Словакию — отмечался как День чехословацких ВВС (23547).</w:t>
      </w:r>
    </w:p>
    <w:p w14:paraId="172816D0" w14:textId="77777777" w:rsidR="00715936" w:rsidRPr="00070ADE" w:rsidRDefault="00715936" w:rsidP="00B56F90">
      <w:pPr>
        <w:spacing w:after="0" w:line="240" w:lineRule="auto"/>
        <w:jc w:val="both"/>
        <w:rPr>
          <w:rFonts w:ascii="Times New Roman" w:hAnsi="Times New Roman"/>
          <w:color w:val="000000" w:themeColor="text1"/>
          <w:sz w:val="16"/>
          <w:szCs w:val="16"/>
        </w:rPr>
      </w:pPr>
    </w:p>
    <w:p w14:paraId="72134F9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апреля 1944 советские войска освободили Ялту (Крым) (4962).</w:t>
      </w:r>
    </w:p>
    <w:p w14:paraId="69E2821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A5ABF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апреля 1944 советские войска форсировали Днестр (4962).</w:t>
      </w:r>
    </w:p>
    <w:p w14:paraId="3BC2BCA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CC4D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апреля 1944 в ночь на 16 л АДД произвели налет на Севастополь. Бомбили ж/д станцию и потопили транспорт 3000 т, а на аэродроме сожгли 28 и в бою сбили 10 самолетов (438,901).</w:t>
      </w:r>
    </w:p>
    <w:p w14:paraId="10B3D0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5CFD7E" w14:textId="77777777" w:rsidR="00A61476" w:rsidRPr="00070ADE" w:rsidRDefault="00A61476"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5375A224" w14:textId="77777777" w:rsidR="00A61476" w:rsidRPr="00070ADE" w:rsidRDefault="00A61476"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DA10F9" w14:textId="77777777" w:rsidR="00A61476" w:rsidRPr="00070ADE" w:rsidRDefault="00A614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апреля 1944. Церковный праздник Светлое воскресение (Пасха).</w:t>
      </w:r>
    </w:p>
    <w:p w14:paraId="62CA0EC0" w14:textId="77777777" w:rsidR="00A61476" w:rsidRPr="00070ADE" w:rsidRDefault="00A614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Совета по делам РПЦ при СНК СССР Г. Г. Карпов сообщал И. В. Сталину, В. М. Молотову и Л. П. Берии: "В ночь с 15 на 16 апреля с. г. во всех городах и районах Союза, где есть действующие православные церкви, проводилась ночная пасхальная служба, так называемая "заутреня". В г. Москве пасхальная служба проводилась в 30 церквах патриаршей ориентации и одной обновленческой. Причем, во всех церквах было большое переполнение верующих. Общее число посетивших церкви г. Москвы на первой "заутрени" ориентировочно составляет 120 тысяч человек, но в большинстве церквей в эту ночь было проведено по 2 и 3 службы. Примерно половину посетивших церкви составляли пожилые возраста, 25% - среднего возраста и 25% - молодежь. 75% всех составляли женщины. Особенно большое скопление верующих наблюдалось в следующих церквах г. Москвы:</w:t>
      </w:r>
    </w:p>
    <w:p w14:paraId="7CA4C3F9" w14:textId="77777777" w:rsidR="00A61476" w:rsidRPr="00070ADE" w:rsidRDefault="00A614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Кафедральный Богоявленский собор (Спартаковская, 15) - до 10 тысяч человек.</w:t>
      </w:r>
    </w:p>
    <w:p w14:paraId="57FF1AB2" w14:textId="77777777" w:rsidR="00A61476" w:rsidRPr="00070ADE" w:rsidRDefault="00A614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Церковь Петра и Павла (Преображенская пл. 11) - 8 тысяч человек.</w:t>
      </w:r>
    </w:p>
    <w:p w14:paraId="70B00696" w14:textId="77777777" w:rsidR="00A61476" w:rsidRPr="00070ADE" w:rsidRDefault="00A614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Свято-Духовская церковь (на Даниловском кладбище) - 8 тысяч чел.</w:t>
      </w:r>
    </w:p>
    <w:p w14:paraId="2BF9A639" w14:textId="77777777" w:rsidR="00A61476" w:rsidRPr="00070ADE" w:rsidRDefault="00A614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Церковь Иоанна Предтечи (на Красной Пресне) - 6 тысяч человек.</w:t>
      </w:r>
    </w:p>
    <w:p w14:paraId="236AAAC1" w14:textId="77777777" w:rsidR="00A61476" w:rsidRPr="00070ADE" w:rsidRDefault="00A614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Церковь Иоанна Воина (Б. Якиманка, 46) - 6 тысяч человек.</w:t>
      </w:r>
    </w:p>
    <w:p w14:paraId="4E2583FB" w14:textId="77777777" w:rsidR="00A61476" w:rsidRPr="00070ADE" w:rsidRDefault="00A614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Церковь Петра и Павла (Солдатская ул. 4) - 4 тысячи человек.</w:t>
      </w:r>
    </w:p>
    <w:p w14:paraId="1045142C" w14:textId="77777777" w:rsidR="00A61476" w:rsidRPr="00070ADE" w:rsidRDefault="00A614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Почти во всех церквах города, в том или другом количестве, были военнослужащие офицерского и рядового состава, общим числом свыше 500 человек (от 10 до 20 человек в каждой церкви, и только в церкви "Иоанна Предтечи" на Красной Пресне было военнослужащих до 200 человек). Наиболее крупные церкви посетили представители и сотрудники инопосольств и инокорреспон-денты. Так, например, в кафедральном соборе, где службу вел патриарх Сергий, было иностранцев до 25 человек (прошедших в алтарь), в том числе 14 человек от Американского посольства, и среди них - советник посольства Гамильтон, начальник морского отдела миссии - контр-адмирал Оль-сен, первый и второй секретари посольства; из Английского посольства - 4 человека; из Австралийской миссии - 2, трое японских корреспондентов и технический секретарь Французского представительства - Отт.</w:t>
      </w:r>
    </w:p>
    <w:p w14:paraId="4523833F" w14:textId="77777777" w:rsidR="00A61476" w:rsidRPr="00070ADE" w:rsidRDefault="00A614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Выборочные данные о посещаемости церквей в эту ночь в Московской области показывают, что количество верующих в церквах было значительно выше, чем в праздник пасхи 1943 г. Так, например, в 30 районах области 90 действующих церквей посетило 148 тысяч человек, тогда как в прошлом году - 95 тысяч человек. Почти 80% посетивших пасхальную службу в районах области составляют женщины, молодежь - от 20 до 25%, но в некоторых районах, как, например, Подольском, Мытищинском, Константинов -ском, Краснопахринском молодежь составляла 50% всех присутствующих в церквах.</w:t>
      </w:r>
    </w:p>
    <w:p w14:paraId="7E6EE89E" w14:textId="77777777" w:rsidR="00A61476" w:rsidRPr="00070ADE" w:rsidRDefault="00A614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области также были посещения церквей офицерским и рядовым составом. Так, например, в "Казанской" церкви (села Коломенское Ленинского района) военнослужащих было 50 человек, в церкви "Александра Невского" (поселок Бирюлево Ленинского района) - 275 человек, в "Троицкой" церкви т. Подольска - 100 человек.</w:t>
      </w:r>
    </w:p>
    <w:p w14:paraId="7FDEE257" w14:textId="77777777" w:rsidR="00A61476" w:rsidRPr="00070ADE" w:rsidRDefault="00A614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всех церквах города и области во время пасхальной службы было зачитано щ ковно-патриотическое обращение патриарха Сергия. Никаких происшествий в церквах не зарегистрировано" (18692).</w:t>
      </w:r>
    </w:p>
    <w:p w14:paraId="249E2801" w14:textId="77777777" w:rsidR="00A61476" w:rsidRPr="00070ADE" w:rsidRDefault="00A61476"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7186B4" w14:textId="77777777" w:rsidR="001732E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38498726" w14:textId="77777777" w:rsidR="001732E9" w:rsidRPr="00070ADE" w:rsidRDefault="001732E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D29BE3"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апреля в 1944 году началась третья серия испытаний немецкого экспериментального самолета «Sack» «AS-6».</w:t>
      </w:r>
    </w:p>
    <w:p w14:paraId="65B3408F"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ВПП базы «Брандис» («Brandis») - 700 м. Самолет пробегал 500 метров без подъема хвостовой части, хотя краткий подлет был зафиксирован. Во время четвертой заключительной серии испытаний самолет таки смогли поднять в воздух на небольшую высоту, но тут обнаружилось, что «AS-6» имеет очевидный крен влево из-за вращающего момента двигателя. Малый размах крыла не позволял компенсировать этот момент. Пилот-испытатель рекомендовал установить более мощный двигатель, и увеличить число тестовых продувок в аэродинамической трубе. Артур Зак вернулся к чертежной доске для доработки своего "детища" (15101).</w:t>
      </w:r>
    </w:p>
    <w:p w14:paraId="28C099C6" w14:textId="77777777" w:rsidR="001732E9" w:rsidRPr="00070ADE" w:rsidRDefault="001732E9" w:rsidP="00B56F90">
      <w:pPr>
        <w:spacing w:after="0" w:line="240" w:lineRule="auto"/>
        <w:jc w:val="both"/>
        <w:rPr>
          <w:rFonts w:ascii="Times New Roman" w:hAnsi="Times New Roman"/>
          <w:color w:val="000000" w:themeColor="text1"/>
          <w:sz w:val="16"/>
          <w:szCs w:val="16"/>
        </w:rPr>
      </w:pPr>
    </w:p>
    <w:p w14:paraId="7C2EE290" w14:textId="77777777" w:rsidR="00B05D39" w:rsidRPr="00070ADE" w:rsidRDefault="00B05D39" w:rsidP="00B56F90">
      <w:pPr>
        <w:pStyle w:val="1151"/>
        <w:shd w:val="clear" w:color="auto" w:fill="auto"/>
        <w:spacing w:before="0" w:line="240" w:lineRule="auto"/>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16 апреля 1944 года</w:t>
      </w:r>
      <w:r w:rsidRPr="00070ADE">
        <w:rPr>
          <w:rFonts w:ascii="Times New Roman" w:hAnsi="Times New Roman" w:cs="Times New Roman"/>
          <w:color w:val="000000" w:themeColor="text1"/>
          <w:sz w:val="16"/>
          <w:szCs w:val="16"/>
          <w:lang w:val="ru-RU"/>
        </w:rPr>
        <w:t xml:space="preserve"> был</w:t>
      </w:r>
      <w:r w:rsidRPr="00070ADE">
        <w:rPr>
          <w:rFonts w:ascii="Times New Roman" w:hAnsi="Times New Roman" w:cs="Times New Roman"/>
          <w:color w:val="000000" w:themeColor="text1"/>
          <w:sz w:val="16"/>
          <w:szCs w:val="16"/>
        </w:rPr>
        <w:t xml:space="preserve"> облетан</w:t>
      </w:r>
      <w:r w:rsidRPr="00070ADE">
        <w:rPr>
          <w:rFonts w:ascii="Times New Roman" w:hAnsi="Times New Roman" w:cs="Times New Roman"/>
          <w:color w:val="000000" w:themeColor="text1"/>
          <w:sz w:val="16"/>
          <w:szCs w:val="16"/>
          <w:lang w:val="ru-RU"/>
        </w:rPr>
        <w:t xml:space="preserve"> Ме-264</w:t>
      </w:r>
      <w:r w:rsidRPr="00070ADE">
        <w:rPr>
          <w:rFonts w:ascii="Times New Roman" w:hAnsi="Times New Roman" w:cs="Times New Roman"/>
          <w:color w:val="000000" w:themeColor="text1"/>
          <w:sz w:val="16"/>
          <w:szCs w:val="16"/>
        </w:rPr>
        <w:t xml:space="preserve"> с новыми звездообразными моторами BMW801</w:t>
      </w:r>
      <w:r w:rsidRPr="00070ADE">
        <w:rPr>
          <w:rFonts w:ascii="Times New Roman" w:hAnsi="Times New Roman" w:cs="Times New Roman"/>
          <w:color w:val="000000" w:themeColor="text1"/>
          <w:sz w:val="16"/>
          <w:szCs w:val="16"/>
          <w:lang w:val="ru-RU"/>
        </w:rPr>
        <w:t xml:space="preserve">. </w:t>
      </w:r>
      <w:r w:rsidRPr="00070ADE">
        <w:rPr>
          <w:rFonts w:ascii="Times New Roman" w:hAnsi="Times New Roman" w:cs="Times New Roman"/>
          <w:color w:val="000000" w:themeColor="text1"/>
          <w:sz w:val="16"/>
          <w:szCs w:val="16"/>
        </w:rPr>
        <w:t xml:space="preserve">Взлетные характеристики улучшились, но управляемость и особенно надежность все еще были недостаточными. Из-за этого самолет так и не выполнил ни одного зачетного полета на дальность. Летом машину отдали для экспериментов с дополнительными ракетными и турбореактивными двигателями, а также для наземной отработки экспериментальной паротурбинной установки фирмы «Озермашинен ГмбХ». Ее двигатель, работавший на смеси угольного порошка и бензина, должен был сообщать многолопастному винту малого — всего 2 м — диаметра мощность 6000 л.с. Конец этим экспериментам положила авиация Союзников, разбомбив 18 июля 1944 года Me264V1 вместе с готовыми на 80% прототипами V2 и V3 на испытательной базе в Меммингене. </w:t>
      </w:r>
      <w:r w:rsidRPr="00070ADE">
        <w:rPr>
          <w:rFonts w:ascii="Times New Roman" w:hAnsi="Times New Roman" w:cs="Times New Roman"/>
          <w:color w:val="000000" w:themeColor="text1"/>
          <w:sz w:val="16"/>
          <w:szCs w:val="16"/>
          <w:lang w:val="ru-RU"/>
        </w:rPr>
        <w:t>(22883)</w:t>
      </w:r>
      <w:r w:rsidRPr="00070ADE">
        <w:rPr>
          <w:rFonts w:ascii="Times New Roman" w:hAnsi="Times New Roman" w:cs="Times New Roman"/>
          <w:color w:val="000000" w:themeColor="text1"/>
          <w:sz w:val="16"/>
          <w:szCs w:val="16"/>
        </w:rPr>
        <w:t>.</w:t>
      </w:r>
    </w:p>
    <w:p w14:paraId="2DB6A7D9" w14:textId="77777777" w:rsidR="00B05D39" w:rsidRPr="00070ADE" w:rsidRDefault="00B05D39" w:rsidP="00B56F90">
      <w:pPr>
        <w:pStyle w:val="1151"/>
        <w:shd w:val="clear" w:color="auto" w:fill="auto"/>
        <w:spacing w:before="0" w:line="240" w:lineRule="auto"/>
        <w:rPr>
          <w:rFonts w:ascii="Times New Roman" w:hAnsi="Times New Roman" w:cs="Times New Roman"/>
          <w:color w:val="000000" w:themeColor="text1"/>
          <w:sz w:val="16"/>
          <w:szCs w:val="16"/>
        </w:rPr>
      </w:pPr>
    </w:p>
    <w:p w14:paraId="31C79E66" w14:textId="77777777" w:rsidR="00B05D39" w:rsidRPr="00070ADE" w:rsidRDefault="00B05D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апреля 1944 самолет пятой армии ВВС наносят последний удар по японским аэродромам в окрестностях Голландии. Они практически уничтожили японские силы из 351 самолета, которые находились на аэродромах в конце марта (20373).</w:t>
      </w:r>
    </w:p>
    <w:p w14:paraId="521474D0" w14:textId="77777777" w:rsidR="00B05D39" w:rsidRPr="00070ADE" w:rsidRDefault="00B05D39" w:rsidP="00B56F90">
      <w:pPr>
        <w:spacing w:after="0" w:line="240" w:lineRule="auto"/>
        <w:jc w:val="both"/>
        <w:rPr>
          <w:rFonts w:ascii="Times New Roman" w:hAnsi="Times New Roman"/>
          <w:color w:val="000000" w:themeColor="text1"/>
          <w:sz w:val="16"/>
          <w:szCs w:val="16"/>
        </w:rPr>
      </w:pPr>
    </w:p>
    <w:p w14:paraId="595F315A" w14:textId="000A9432" w:rsidR="00606E03" w:rsidRPr="00606E03" w:rsidRDefault="00606E03" w:rsidP="00606E03">
      <w:pPr>
        <w:spacing w:after="0" w:line="240" w:lineRule="auto"/>
        <w:jc w:val="both"/>
        <w:rPr>
          <w:rFonts w:ascii="Times New Roman" w:hAnsi="Times New Roman"/>
          <w:color w:val="0070C0"/>
          <w:sz w:val="16"/>
          <w:szCs w:val="16"/>
        </w:rPr>
      </w:pPr>
      <w:r w:rsidRPr="00606E03">
        <w:rPr>
          <w:rStyle w:val="aff1"/>
          <w:rFonts w:ascii="Times New Roman" w:hAnsi="Times New Roman" w:cs="Times New Roman"/>
          <w:color w:val="0070C0"/>
          <w:spacing w:val="0"/>
          <w:sz w:val="16"/>
          <w:szCs w:val="16"/>
        </w:rPr>
        <w:t>16 апреля 1944 года капитан 3-го ранга-инженер Эйити Ивая отправился из Германии в Японию на борту 1-29. После 87 дней плавания он высадился в Сингапуре, откуда вылетел в Японию. Основной комплект документации на немецкие реактивные двигатели и их натурные образцы остались на лодке и были безвоз</w:t>
      </w:r>
      <w:r w:rsidRPr="00606E03">
        <w:rPr>
          <w:rStyle w:val="aff1"/>
          <w:rFonts w:ascii="Times New Roman" w:hAnsi="Times New Roman" w:cs="Times New Roman"/>
          <w:color w:val="0070C0"/>
          <w:spacing w:val="0"/>
          <w:sz w:val="16"/>
          <w:szCs w:val="16"/>
        </w:rPr>
        <w:softHyphen/>
        <w:t xml:space="preserve">вратно утеряны, когда ее потопили западнее Филиппин. Японцам достались лишь копии чертежей общих видов двигателя </w:t>
      </w:r>
      <w:r w:rsidRPr="00606E03">
        <w:rPr>
          <w:rStyle w:val="aff1"/>
          <w:rFonts w:ascii="Times New Roman" w:hAnsi="Times New Roman" w:cs="Times New Roman"/>
          <w:color w:val="0070C0"/>
          <w:spacing w:val="0"/>
          <w:sz w:val="16"/>
          <w:szCs w:val="16"/>
          <w:lang w:val="en-US"/>
        </w:rPr>
        <w:t>BMW</w:t>
      </w:r>
      <w:r w:rsidRPr="00606E03">
        <w:rPr>
          <w:rStyle w:val="aff1"/>
          <w:rFonts w:ascii="Times New Roman" w:hAnsi="Times New Roman" w:cs="Times New Roman"/>
          <w:color w:val="0070C0"/>
          <w:spacing w:val="0"/>
          <w:sz w:val="16"/>
          <w:szCs w:val="16"/>
        </w:rPr>
        <w:t xml:space="preserve"> 003А, которые Ивая сохранил при себе. Его возвраще</w:t>
      </w:r>
      <w:r w:rsidRPr="00606E03">
        <w:rPr>
          <w:rStyle w:val="aff1"/>
          <w:rFonts w:ascii="Times New Roman" w:hAnsi="Times New Roman" w:cs="Times New Roman"/>
          <w:color w:val="0070C0"/>
          <w:spacing w:val="0"/>
          <w:sz w:val="16"/>
          <w:szCs w:val="16"/>
        </w:rPr>
        <w:softHyphen/>
        <w:t xml:space="preserve">ние пришлось на время подготовки к серийному выпуску </w:t>
      </w:r>
      <w:r w:rsidRPr="00606E03">
        <w:rPr>
          <w:rStyle w:val="aff1"/>
          <w:rFonts w:ascii="Times New Roman" w:hAnsi="Times New Roman" w:cs="Times New Roman"/>
          <w:color w:val="0070C0"/>
          <w:spacing w:val="0"/>
          <w:sz w:val="16"/>
          <w:szCs w:val="16"/>
          <w:lang w:val="en-US"/>
        </w:rPr>
        <w:t>Ne</w:t>
      </w:r>
      <w:r w:rsidRPr="00606E03">
        <w:rPr>
          <w:rStyle w:val="aff1"/>
          <w:rFonts w:ascii="Times New Roman" w:hAnsi="Times New Roman" w:cs="Times New Roman"/>
          <w:color w:val="0070C0"/>
          <w:spacing w:val="0"/>
          <w:sz w:val="16"/>
          <w:szCs w:val="16"/>
        </w:rPr>
        <w:t>-12</w:t>
      </w:r>
      <w:r w:rsidRPr="00606E03">
        <w:rPr>
          <w:rStyle w:val="aff1"/>
          <w:rFonts w:ascii="Times New Roman" w:hAnsi="Times New Roman" w:cs="Times New Roman"/>
          <w:color w:val="0070C0"/>
          <w:spacing w:val="0"/>
          <w:sz w:val="16"/>
          <w:szCs w:val="16"/>
          <w:lang w:val="en-US"/>
        </w:rPr>
        <w:t>B</w:t>
      </w:r>
      <w:r w:rsidRPr="00606E03">
        <w:rPr>
          <w:rStyle w:val="aff1"/>
          <w:rFonts w:ascii="Times New Roman" w:hAnsi="Times New Roman" w:cs="Times New Roman"/>
          <w:color w:val="0070C0"/>
          <w:spacing w:val="0"/>
          <w:sz w:val="16"/>
          <w:szCs w:val="16"/>
        </w:rPr>
        <w:t xml:space="preserve">. Но даже из того, что он привез, было очевидно, что </w:t>
      </w:r>
      <w:r w:rsidRPr="00606E03">
        <w:rPr>
          <w:rStyle w:val="aff1"/>
          <w:rFonts w:ascii="Times New Roman" w:hAnsi="Times New Roman" w:cs="Times New Roman"/>
          <w:color w:val="0070C0"/>
          <w:spacing w:val="0"/>
          <w:sz w:val="16"/>
          <w:szCs w:val="16"/>
          <w:lang w:val="en-US"/>
        </w:rPr>
        <w:t>BMW</w:t>
      </w:r>
      <w:r w:rsidRPr="00606E03">
        <w:rPr>
          <w:rStyle w:val="aff1"/>
          <w:rFonts w:ascii="Times New Roman" w:hAnsi="Times New Roman" w:cs="Times New Roman"/>
          <w:color w:val="0070C0"/>
          <w:spacing w:val="0"/>
          <w:sz w:val="16"/>
          <w:szCs w:val="16"/>
        </w:rPr>
        <w:t xml:space="preserve"> 003А более перспек</w:t>
      </w:r>
      <w:r w:rsidRPr="00606E03">
        <w:rPr>
          <w:rStyle w:val="aff1"/>
          <w:rFonts w:ascii="Times New Roman" w:hAnsi="Times New Roman" w:cs="Times New Roman"/>
          <w:color w:val="0070C0"/>
          <w:spacing w:val="0"/>
          <w:sz w:val="16"/>
          <w:szCs w:val="16"/>
        </w:rPr>
        <w:softHyphen/>
        <w:t>тивен, чем японский мотор.</w:t>
      </w:r>
    </w:p>
    <w:p w14:paraId="02866C69" w14:textId="77777777" w:rsidR="00606E03" w:rsidRDefault="00606E03" w:rsidP="00606E03">
      <w:pPr>
        <w:widowControl w:val="0"/>
        <w:autoSpaceDE w:val="0"/>
        <w:autoSpaceDN w:val="0"/>
        <w:adjustRightInd w:val="0"/>
        <w:spacing w:after="0" w:line="240" w:lineRule="auto"/>
        <w:jc w:val="both"/>
        <w:rPr>
          <w:rStyle w:val="aff1"/>
          <w:rFonts w:ascii="Times New Roman" w:hAnsi="Times New Roman" w:cs="Times New Roman"/>
          <w:color w:val="0070C0"/>
          <w:spacing w:val="0"/>
          <w:sz w:val="16"/>
          <w:szCs w:val="16"/>
        </w:rPr>
      </w:pPr>
      <w:r w:rsidRPr="00606E03">
        <w:rPr>
          <w:rStyle w:val="aff1"/>
          <w:rFonts w:ascii="Times New Roman" w:hAnsi="Times New Roman" w:cs="Times New Roman"/>
          <w:color w:val="0070C0"/>
          <w:spacing w:val="0"/>
          <w:sz w:val="16"/>
          <w:szCs w:val="16"/>
        </w:rPr>
        <w:t xml:space="preserve">По фрагментарной немецкой документации были созданы проекты двигателей «Исикавад- зима-Сибаура» </w:t>
      </w:r>
      <w:r w:rsidRPr="00606E03">
        <w:rPr>
          <w:rStyle w:val="aff1"/>
          <w:rFonts w:ascii="Times New Roman" w:hAnsi="Times New Roman" w:cs="Times New Roman"/>
          <w:color w:val="0070C0"/>
          <w:spacing w:val="0"/>
          <w:sz w:val="16"/>
          <w:szCs w:val="16"/>
          <w:lang w:val="en-US"/>
        </w:rPr>
        <w:t>Ne</w:t>
      </w:r>
      <w:r w:rsidRPr="00606E03">
        <w:rPr>
          <w:rStyle w:val="aff1"/>
          <w:rFonts w:ascii="Times New Roman" w:hAnsi="Times New Roman" w:cs="Times New Roman"/>
          <w:color w:val="0070C0"/>
          <w:spacing w:val="0"/>
          <w:sz w:val="16"/>
          <w:szCs w:val="16"/>
        </w:rPr>
        <w:t xml:space="preserve">-130, «Накадзима» </w:t>
      </w:r>
      <w:r w:rsidRPr="00606E03">
        <w:rPr>
          <w:rStyle w:val="aff1"/>
          <w:rFonts w:ascii="Times New Roman" w:hAnsi="Times New Roman" w:cs="Times New Roman"/>
          <w:color w:val="0070C0"/>
          <w:spacing w:val="0"/>
          <w:sz w:val="16"/>
          <w:szCs w:val="16"/>
          <w:lang w:val="en-US"/>
        </w:rPr>
        <w:t>Ne</w:t>
      </w:r>
      <w:r w:rsidRPr="00606E03">
        <w:rPr>
          <w:rStyle w:val="aff1"/>
          <w:rFonts w:ascii="Times New Roman" w:hAnsi="Times New Roman" w:cs="Times New Roman"/>
          <w:color w:val="0070C0"/>
          <w:spacing w:val="0"/>
          <w:sz w:val="16"/>
          <w:szCs w:val="16"/>
        </w:rPr>
        <w:t xml:space="preserve">-230 и «Мицубиси» </w:t>
      </w:r>
      <w:r w:rsidRPr="00606E03">
        <w:rPr>
          <w:rStyle w:val="aff1"/>
          <w:rFonts w:ascii="Times New Roman" w:hAnsi="Times New Roman" w:cs="Times New Roman"/>
          <w:color w:val="0070C0"/>
          <w:spacing w:val="0"/>
          <w:sz w:val="16"/>
          <w:szCs w:val="16"/>
          <w:lang w:val="en-US"/>
        </w:rPr>
        <w:t>Ne</w:t>
      </w:r>
      <w:r w:rsidRPr="00606E03">
        <w:rPr>
          <w:rStyle w:val="aff1"/>
          <w:rFonts w:ascii="Times New Roman" w:hAnsi="Times New Roman" w:cs="Times New Roman"/>
          <w:color w:val="0070C0"/>
          <w:spacing w:val="0"/>
          <w:sz w:val="16"/>
          <w:szCs w:val="16"/>
        </w:rPr>
        <w:t xml:space="preserve">-ЗЗО. Позже Военно-морской авиационный арсенал в Йокосуке разработал собственную версию двигателя </w:t>
      </w:r>
      <w:r w:rsidRPr="00606E03">
        <w:rPr>
          <w:rStyle w:val="aff1"/>
          <w:rFonts w:ascii="Times New Roman" w:hAnsi="Times New Roman" w:cs="Times New Roman"/>
          <w:color w:val="0070C0"/>
          <w:spacing w:val="0"/>
          <w:sz w:val="16"/>
          <w:szCs w:val="16"/>
          <w:lang w:val="en-US"/>
        </w:rPr>
        <w:t>BMW</w:t>
      </w:r>
      <w:r w:rsidRPr="00606E03">
        <w:rPr>
          <w:rStyle w:val="aff1"/>
          <w:rFonts w:ascii="Times New Roman" w:hAnsi="Times New Roman" w:cs="Times New Roman"/>
          <w:color w:val="0070C0"/>
          <w:spacing w:val="0"/>
          <w:sz w:val="16"/>
          <w:szCs w:val="16"/>
        </w:rPr>
        <w:t xml:space="preserve">, получившую обозначение </w:t>
      </w:r>
      <w:r w:rsidRPr="00606E03">
        <w:rPr>
          <w:rStyle w:val="aff1"/>
          <w:rFonts w:ascii="Times New Roman" w:hAnsi="Times New Roman" w:cs="Times New Roman"/>
          <w:color w:val="0070C0"/>
          <w:spacing w:val="0"/>
          <w:sz w:val="16"/>
          <w:szCs w:val="16"/>
          <w:lang w:val="en-US"/>
        </w:rPr>
        <w:t>Ne</w:t>
      </w:r>
      <w:r w:rsidRPr="00606E03">
        <w:rPr>
          <w:rStyle w:val="aff1"/>
          <w:rFonts w:ascii="Times New Roman" w:hAnsi="Times New Roman" w:cs="Times New Roman"/>
          <w:color w:val="0070C0"/>
          <w:spacing w:val="0"/>
          <w:sz w:val="16"/>
          <w:szCs w:val="16"/>
        </w:rPr>
        <w:t>-20. При этом японский мо</w:t>
      </w:r>
      <w:r w:rsidRPr="00606E03">
        <w:rPr>
          <w:rStyle w:val="aff1"/>
          <w:rFonts w:ascii="Times New Roman" w:hAnsi="Times New Roman" w:cs="Times New Roman"/>
          <w:color w:val="0070C0"/>
          <w:spacing w:val="0"/>
          <w:sz w:val="16"/>
          <w:szCs w:val="16"/>
        </w:rPr>
        <w:softHyphen/>
        <w:t>тор получился примерно на четверть компактнее</w:t>
      </w:r>
      <w:r>
        <w:rPr>
          <w:rStyle w:val="aff1"/>
          <w:rFonts w:ascii="Times New Roman" w:hAnsi="Times New Roman" w:cs="Times New Roman"/>
          <w:color w:val="0070C0"/>
          <w:spacing w:val="0"/>
          <w:sz w:val="16"/>
          <w:szCs w:val="16"/>
        </w:rPr>
        <w:t>.</w:t>
      </w:r>
    </w:p>
    <w:p w14:paraId="79F9A7B9" w14:textId="77777777" w:rsidR="00606E03" w:rsidRPr="00606E03" w:rsidRDefault="00606E03" w:rsidP="00606E03">
      <w:pPr>
        <w:spacing w:after="0" w:line="240" w:lineRule="auto"/>
        <w:jc w:val="both"/>
        <w:rPr>
          <w:rFonts w:ascii="Times New Roman" w:hAnsi="Times New Roman"/>
          <w:color w:val="0070C0"/>
          <w:sz w:val="16"/>
          <w:szCs w:val="16"/>
        </w:rPr>
      </w:pPr>
      <w:r w:rsidRPr="00606E03">
        <w:rPr>
          <w:rStyle w:val="aff1"/>
          <w:rFonts w:ascii="Times New Roman" w:hAnsi="Times New Roman" w:cs="Times New Roman"/>
          <w:color w:val="0070C0"/>
          <w:spacing w:val="0"/>
          <w:sz w:val="16"/>
          <w:szCs w:val="16"/>
        </w:rPr>
        <w:t xml:space="preserve">Разработкой двигателя </w:t>
      </w:r>
      <w:r w:rsidRPr="00606E03">
        <w:rPr>
          <w:rStyle w:val="aff1"/>
          <w:rFonts w:ascii="Times New Roman" w:hAnsi="Times New Roman" w:cs="Times New Roman"/>
          <w:color w:val="0070C0"/>
          <w:spacing w:val="0"/>
          <w:sz w:val="16"/>
          <w:szCs w:val="16"/>
          <w:lang w:val="en-US"/>
        </w:rPr>
        <w:t>Ne</w:t>
      </w:r>
      <w:r w:rsidRPr="00606E03">
        <w:rPr>
          <w:rStyle w:val="aff1"/>
          <w:rFonts w:ascii="Times New Roman" w:hAnsi="Times New Roman" w:cs="Times New Roman"/>
          <w:color w:val="0070C0"/>
          <w:spacing w:val="0"/>
          <w:sz w:val="16"/>
          <w:szCs w:val="16"/>
        </w:rPr>
        <w:t>-20 руководил капитан Нагано, к нему прикомандировали капитана Танегасима. Производственный уча</w:t>
      </w:r>
      <w:r w:rsidRPr="00606E03">
        <w:rPr>
          <w:rStyle w:val="aff1"/>
          <w:rFonts w:ascii="Times New Roman" w:hAnsi="Times New Roman" w:cs="Times New Roman"/>
          <w:color w:val="0070C0"/>
          <w:spacing w:val="0"/>
          <w:sz w:val="16"/>
          <w:szCs w:val="16"/>
        </w:rPr>
        <w:softHyphen/>
        <w:t>сток перенесли в Ханаду у южного подножия гор Танзава, где была меньше опасность атак американской авиации.</w:t>
      </w:r>
    </w:p>
    <w:p w14:paraId="4CF11FD6" w14:textId="3FE55ED9" w:rsidR="00606E03" w:rsidRPr="00606E03" w:rsidRDefault="00606E03" w:rsidP="00606E03">
      <w:pPr>
        <w:spacing w:after="0" w:line="240" w:lineRule="auto"/>
        <w:jc w:val="both"/>
        <w:rPr>
          <w:rStyle w:val="aff1"/>
          <w:rFonts w:ascii="Times New Roman" w:hAnsi="Times New Roman" w:cs="Times New Roman"/>
          <w:color w:val="0070C0"/>
          <w:spacing w:val="0"/>
          <w:sz w:val="16"/>
          <w:szCs w:val="16"/>
        </w:rPr>
      </w:pPr>
      <w:r w:rsidRPr="00606E03">
        <w:rPr>
          <w:rStyle w:val="aff1"/>
          <w:rFonts w:ascii="Times New Roman" w:hAnsi="Times New Roman" w:cs="Times New Roman"/>
          <w:color w:val="0070C0"/>
          <w:spacing w:val="0"/>
          <w:sz w:val="16"/>
          <w:szCs w:val="16"/>
        </w:rPr>
        <w:t>Поначалу компрессор ТРД не давал до</w:t>
      </w:r>
      <w:r w:rsidRPr="00606E03">
        <w:rPr>
          <w:rStyle w:val="aff1"/>
          <w:rFonts w:ascii="Times New Roman" w:hAnsi="Times New Roman" w:cs="Times New Roman"/>
          <w:color w:val="0070C0"/>
          <w:spacing w:val="0"/>
          <w:sz w:val="16"/>
          <w:szCs w:val="16"/>
        </w:rPr>
        <w:softHyphen/>
        <w:t xml:space="preserve">статочной степени сжатия. Нагано полагал, что лопатки статора с профилем </w:t>
      </w:r>
      <w:r w:rsidRPr="00606E03">
        <w:rPr>
          <w:rStyle w:val="aff1"/>
          <w:rFonts w:ascii="Times New Roman" w:hAnsi="Times New Roman" w:cs="Times New Roman"/>
          <w:color w:val="0070C0"/>
          <w:spacing w:val="0"/>
          <w:sz w:val="16"/>
          <w:szCs w:val="16"/>
          <w:lang w:val="en-US"/>
        </w:rPr>
        <w:t>Clark</w:t>
      </w:r>
      <w:r w:rsidRPr="00606E03">
        <w:rPr>
          <w:rStyle w:val="aff1"/>
          <w:rFonts w:ascii="Times New Roman" w:hAnsi="Times New Roman" w:cs="Times New Roman"/>
          <w:color w:val="0070C0"/>
          <w:spacing w:val="0"/>
          <w:sz w:val="16"/>
          <w:szCs w:val="16"/>
        </w:rPr>
        <w:t xml:space="preserve"> </w:t>
      </w:r>
      <w:r w:rsidRPr="00606E03">
        <w:rPr>
          <w:rStyle w:val="aff1"/>
          <w:rFonts w:ascii="Times New Roman" w:hAnsi="Times New Roman" w:cs="Times New Roman"/>
          <w:color w:val="0070C0"/>
          <w:spacing w:val="0"/>
          <w:sz w:val="16"/>
          <w:szCs w:val="16"/>
          <w:lang w:val="en-US"/>
        </w:rPr>
        <w:t>Y</w:t>
      </w:r>
      <w:r w:rsidRPr="00606E03">
        <w:rPr>
          <w:rStyle w:val="aff1"/>
          <w:rFonts w:ascii="Times New Roman" w:hAnsi="Times New Roman" w:cs="Times New Roman"/>
          <w:color w:val="0070C0"/>
          <w:spacing w:val="0"/>
          <w:sz w:val="16"/>
          <w:szCs w:val="16"/>
        </w:rPr>
        <w:t xml:space="preserve"> были недостаточно изогнуты и поэтому он допол</w:t>
      </w:r>
      <w:r w:rsidRPr="00606E03">
        <w:rPr>
          <w:rStyle w:val="aff1"/>
          <w:rFonts w:ascii="Times New Roman" w:hAnsi="Times New Roman" w:cs="Times New Roman"/>
          <w:color w:val="0070C0"/>
          <w:spacing w:val="0"/>
          <w:sz w:val="16"/>
          <w:szCs w:val="16"/>
        </w:rPr>
        <w:softHyphen/>
        <w:t>нительно подогнул их с помощью молотка и наковальни. Модифицированный статор испы</w:t>
      </w:r>
      <w:r w:rsidRPr="00606E03">
        <w:rPr>
          <w:rStyle w:val="aff1"/>
          <w:rFonts w:ascii="Times New Roman" w:hAnsi="Times New Roman" w:cs="Times New Roman"/>
          <w:color w:val="0070C0"/>
          <w:spacing w:val="0"/>
          <w:sz w:val="16"/>
          <w:szCs w:val="16"/>
        </w:rPr>
        <w:softHyphen/>
        <w:t xml:space="preserve">тали на втором экземпляре </w:t>
      </w:r>
      <w:r w:rsidRPr="00606E03">
        <w:rPr>
          <w:rStyle w:val="aff1"/>
          <w:rFonts w:ascii="Times New Roman" w:hAnsi="Times New Roman" w:cs="Times New Roman"/>
          <w:color w:val="0070C0"/>
          <w:spacing w:val="0"/>
          <w:sz w:val="16"/>
          <w:szCs w:val="16"/>
          <w:lang w:val="en-US"/>
        </w:rPr>
        <w:t>Ne</w:t>
      </w:r>
      <w:r w:rsidRPr="00606E03">
        <w:rPr>
          <w:rStyle w:val="aff1"/>
          <w:rFonts w:ascii="Times New Roman" w:hAnsi="Times New Roman" w:cs="Times New Roman"/>
          <w:color w:val="0070C0"/>
          <w:spacing w:val="0"/>
          <w:sz w:val="16"/>
          <w:szCs w:val="16"/>
        </w:rPr>
        <w:t>-20. Результат оказался положительным, поэтому все осталь</w:t>
      </w:r>
      <w:r w:rsidRPr="00606E03">
        <w:rPr>
          <w:rStyle w:val="aff1"/>
          <w:rFonts w:ascii="Times New Roman" w:hAnsi="Times New Roman" w:cs="Times New Roman"/>
          <w:color w:val="0070C0"/>
          <w:spacing w:val="0"/>
          <w:sz w:val="16"/>
          <w:szCs w:val="16"/>
        </w:rPr>
        <w:softHyphen/>
        <w:t>ные двигатели получили модернизированные компрессоры. Другой проблемой стал частый перегрев и разрушение радиального подшип</w:t>
      </w:r>
      <w:r w:rsidRPr="00606E03">
        <w:rPr>
          <w:rStyle w:val="aff1"/>
          <w:rFonts w:ascii="Times New Roman" w:hAnsi="Times New Roman" w:cs="Times New Roman"/>
          <w:color w:val="0070C0"/>
          <w:spacing w:val="0"/>
          <w:sz w:val="16"/>
          <w:szCs w:val="16"/>
        </w:rPr>
        <w:softHyphen/>
        <w:t>ника вала компрессора, но и эти недостатки устранили. Из-за появившихся трещин на креплении лопаток в диске после двух часов работы двигателя пришлось увеличить их тол</w:t>
      </w:r>
      <w:r w:rsidRPr="00606E03">
        <w:rPr>
          <w:rStyle w:val="aff1"/>
          <w:rFonts w:ascii="Times New Roman" w:hAnsi="Times New Roman" w:cs="Times New Roman"/>
          <w:color w:val="0070C0"/>
          <w:spacing w:val="0"/>
          <w:sz w:val="16"/>
          <w:szCs w:val="16"/>
        </w:rPr>
        <w:softHyphen/>
        <w:t>щину и уменьшить количество. Тяга двигателя снизилась, но удалось увеличить время его надежной работы до пяти часов</w:t>
      </w:r>
      <w:r w:rsidRPr="00606E03">
        <w:rPr>
          <w:rStyle w:val="aff1"/>
          <w:rFonts w:ascii="Times New Roman" w:hAnsi="Times New Roman" w:cs="Times New Roman"/>
          <w:color w:val="0070C0"/>
          <w:spacing w:val="0"/>
          <w:sz w:val="16"/>
          <w:szCs w:val="16"/>
        </w:rPr>
        <w:t xml:space="preserve"> (25794).</w:t>
      </w:r>
    </w:p>
    <w:p w14:paraId="32F1D629" w14:textId="77777777" w:rsidR="00606E03" w:rsidRDefault="00606E03" w:rsidP="00606E0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FD80303" w14:textId="0FEE885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CF892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0EE3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апреля 1944 г. начальник ЛИИ НКАП профессор А.В. Че-салов утвердил отчет по результатам испытаний модернизиро ванной системы водяного охлаждения мотора АМ-38ф на се</w:t>
      </w:r>
      <w:r w:rsidRPr="00070ADE">
        <w:rPr>
          <w:rFonts w:ascii="Times New Roman" w:hAnsi="Times New Roman"/>
          <w:color w:val="000000" w:themeColor="text1"/>
          <w:sz w:val="16"/>
          <w:szCs w:val="16"/>
        </w:rPr>
        <w:softHyphen/>
        <w:t>рийном самолете Ил-2 зав. № 1873370.</w:t>
      </w:r>
    </w:p>
    <w:p w14:paraId="613239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Новая система отличалась от серийной наличием диффузора во всасывающем трубопроводе водяного насоса (вместо трой</w:t>
      </w:r>
      <w:r w:rsidRPr="00070ADE">
        <w:rPr>
          <w:rFonts w:ascii="Times New Roman" w:hAnsi="Times New Roman"/>
          <w:color w:val="000000" w:themeColor="text1"/>
          <w:sz w:val="16"/>
          <w:szCs w:val="16"/>
        </w:rPr>
        <w:softHyphen/>
        <w:t>ника компенсационной трубки) и сепаратора в трубопроводе, отводящем воду из блоков цилиндров. За счет этого удалось по</w:t>
      </w:r>
      <w:r w:rsidRPr="00070ADE">
        <w:rPr>
          <w:rFonts w:ascii="Times New Roman" w:hAnsi="Times New Roman"/>
          <w:color w:val="000000" w:themeColor="text1"/>
          <w:sz w:val="16"/>
          <w:szCs w:val="16"/>
        </w:rPr>
        <w:softHyphen/>
        <w:t>высить давление воды перед насосом и почти полностью устра</w:t>
      </w:r>
      <w:r w:rsidRPr="00070ADE">
        <w:rPr>
          <w:rFonts w:ascii="Times New Roman" w:hAnsi="Times New Roman"/>
          <w:color w:val="000000" w:themeColor="text1"/>
          <w:sz w:val="16"/>
          <w:szCs w:val="16"/>
        </w:rPr>
        <w:softHyphen/>
        <w:t>нить кавитационные явления в системе. Эффективность работы водорадиатора улучшилась. В результате температура воды в го</w:t>
      </w:r>
      <w:r w:rsidRPr="00070ADE">
        <w:rPr>
          <w:rFonts w:ascii="Times New Roman" w:hAnsi="Times New Roman"/>
          <w:color w:val="000000" w:themeColor="text1"/>
          <w:sz w:val="16"/>
          <w:szCs w:val="16"/>
        </w:rPr>
        <w:softHyphen/>
        <w:t>ризонтальном полете понизилась на 8—14°С, а на режиме ско</w:t>
      </w:r>
      <w:r w:rsidRPr="00070ADE">
        <w:rPr>
          <w:rFonts w:ascii="Times New Roman" w:hAnsi="Times New Roman"/>
          <w:color w:val="000000" w:themeColor="text1"/>
          <w:sz w:val="16"/>
          <w:szCs w:val="16"/>
        </w:rPr>
        <w:softHyphen/>
        <w:t>роподъемности — на 2—3°С. Система была рекомендована к внедрению в серийном производстве (11474,375).</w:t>
      </w:r>
    </w:p>
    <w:p w14:paraId="5EC326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A6E03E" w14:textId="77777777" w:rsidR="00BF53B0" w:rsidRPr="00070ADE" w:rsidRDefault="00BF53B0"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lastRenderedPageBreak/>
        <w:t>17 апреля 1944 г.Докладная записка главного конструктора Г.М. Бериева и директора завода № 477 И.Я. Рехтмана начальнику ВВС ВМФ генерал-полковнику авиации С.Ф. Жаворонкову</w:t>
      </w:r>
    </w:p>
    <w:p w14:paraId="3FF59BE4" w14:textId="77777777" w:rsidR="00BF53B0" w:rsidRPr="00070ADE" w:rsidRDefault="00BF53B0"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г. Красноярск 17 апреля 1944 г.</w:t>
      </w:r>
    </w:p>
    <w:p w14:paraId="4C6A4CEC" w14:textId="77777777" w:rsidR="00BF53B0" w:rsidRPr="00070ADE" w:rsidRDefault="00BF53B0"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секретно</w:t>
      </w:r>
    </w:p>
    <w:p w14:paraId="2515E46F" w14:textId="77777777" w:rsidR="00BF53B0" w:rsidRPr="00070ADE" w:rsidRDefault="00BF53B0"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Завод № 477 НКАП, получив задание по строительству опытной машины ЛЛ-143 конструкции инженера Бериева, широко развернул запуск в пр[оизводст]во этой работы. В настоящее время закончены стр[оительст]вом стапеля и произведена закладка в общесборочный стапель основного агрегата-лодки. Все остальные агрегаты также находятся в стадии производственного изготовления. Коллектив завода, учитывая важность своевременной подачи ВВС ВМФ такого типа машины, прилагает все усилия, чтобы обеспечить выпуск первой машины в октябре-месяце 1944 года.</w:t>
      </w:r>
    </w:p>
    <w:p w14:paraId="53E942FA" w14:textId="77777777" w:rsidR="00BF53B0" w:rsidRPr="00070ADE" w:rsidRDefault="00BF53B0"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Наряду со строительством опытной машины завод № 477 производит серийный выпуск машины Бе-4.</w:t>
      </w:r>
    </w:p>
    <w:p w14:paraId="36BB43B1" w14:textId="77777777" w:rsidR="00BF53B0" w:rsidRPr="00070ADE" w:rsidRDefault="00BF53B0"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В настоящее время завод испытывает большие трудности из-за недостаточной мощности механического парка, что вынуждает нас в целях обеспечения выпуска в срок опытной машины просить Вашего разрешения об уменьшении на машинах Бе-4 выпуска текущего года количества поставляемых съемных сухопутных шасси, изготовление которых требует больших затрат механических мощностей, в которых крайне нуждается опытная машина. Просим Вас учесть, что Бе-4 в настоящее время используется главным образом на Черном море, где сухопутные шасси совершенно не применяются.</w:t>
      </w:r>
    </w:p>
    <w:p w14:paraId="4920B318" w14:textId="77777777" w:rsidR="00BF53B0" w:rsidRPr="00070ADE" w:rsidRDefault="00BF53B0"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Завод № 477 в состоянии в текущем году изготовлять один комплект шасси на каждые пять машин.</w:t>
      </w:r>
    </w:p>
    <w:p w14:paraId="068378BD" w14:textId="77777777" w:rsidR="00BF53B0" w:rsidRPr="00070ADE" w:rsidRDefault="00BF53B0"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Просим Вас, учитывая вышеизложенное, удовлетворить нашу просьбу и о Вашем решении срочно уведомить нас по телеграфу.</w:t>
      </w:r>
    </w:p>
    <w:p w14:paraId="7CBB960A" w14:textId="77777777" w:rsidR="00BF53B0" w:rsidRPr="00070ADE" w:rsidRDefault="00BF53B0"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Директор завода Рехтман</w:t>
      </w:r>
    </w:p>
    <w:p w14:paraId="4378045B" w14:textId="77777777" w:rsidR="00BF53B0" w:rsidRPr="00070ADE" w:rsidRDefault="00BF53B0"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Глав[ный] конструктор Бериев</w:t>
      </w:r>
    </w:p>
    <w:p w14:paraId="6E4BE14F" w14:textId="77777777" w:rsidR="00BF53B0" w:rsidRPr="00070ADE" w:rsidRDefault="00BF53B0" w:rsidP="00B56F90">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070ADE">
        <w:rPr>
          <w:rFonts w:ascii="Times New Roman" w:eastAsia="TimesNewRomanPSMT" w:hAnsi="Times New Roman"/>
          <w:iCs/>
          <w:color w:val="000000" w:themeColor="text1"/>
          <w:sz w:val="16"/>
          <w:szCs w:val="16"/>
        </w:rPr>
        <w:t>КГКУ «ГАКК». Ф.Р-1341. Оп. 4. Д. 156. Л. 5, 5об. Копия. Машинопись (19799).</w:t>
      </w:r>
    </w:p>
    <w:p w14:paraId="700F9420" w14:textId="77777777" w:rsidR="00BF53B0" w:rsidRPr="00070ADE" w:rsidRDefault="00BF53B0" w:rsidP="00B56F90">
      <w:pPr>
        <w:spacing w:after="0" w:line="240" w:lineRule="auto"/>
        <w:jc w:val="both"/>
        <w:rPr>
          <w:rFonts w:ascii="Times New Roman" w:hAnsi="Times New Roman"/>
          <w:color w:val="000000" w:themeColor="text1"/>
          <w:sz w:val="16"/>
          <w:szCs w:val="16"/>
        </w:rPr>
      </w:pPr>
    </w:p>
    <w:p w14:paraId="20B2765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97335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E13B5F"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апреля 1944 г. из ДОКЛАДНОЙ ЗАПИСКИ СЕКРЕТАРЯ НОВОСИБИРСКОГО ОБКОМА ВКП(б) М.В. КУЛАГИНА ПРЕДСЕДАТЕЛЮ ГОСУДАРСТВЕННОГО КОМИТЕТА ОБОРОНЫ СССР И.В. СТАЛИНУ О ЗАВОДЕ № 644</w:t>
      </w:r>
    </w:p>
    <w:p w14:paraId="02AF8FD8"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Председателю Государственного Комитета Обороны Союза ССР тов. Сталину И.В. </w:t>
      </w:r>
    </w:p>
    <w:p w14:paraId="242E0D43"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Прожекторный завод № 644 им. Л.М. Кагановича — единственный в Союзе завод крупного прожекторостроения, который обеспечивает в течение 15 лет нужды Красной Армии и Флота мощными прожекторами всех типов. Прожекторными установками этого завода была оснащена противовоздушная оборона Москвы, Ленинграда, Севастополя, Баку и других крупнейших центров страны и береговая оборона Союза. Посадочными прожекторными станциями завода № 644 оборудованы аэродромы военно-воздушных сил страны. Положительные отзывы, полученные из боевых частей, говорят о высоком качестве советских прожекторных установок. По проходимости подвижные прожекторные станции завода № 644 намного превышают аналогичные заграничные образцы благодаря удобной конструкции и малому весу. Так же высоко оцениваются, по сравнению с заграничными образцами, светотехнические и тактические данные этих станций. После эвакуации на восток коллектив завода в трудных условиях военного времени, одновременно ведя большое строительство, сумел организовать на новом месте производство зенитных авиапосадочных и авиамаячных прожекторных станций, выпустив при этом за последние два года 25 новых конструкций прожекторов и станций, отвечающих полностью требованиям фронта. Завод решил эти задачи с минимальным расходом цветных металлов. Только по двум типам прожекторных станций среднегодовая экономия цветных металлов составляет 320 тонн. Этот завод неуклонно увеличивает выпуск прожекторных станций для нужд фронта. В 1942 г. было выпущено 185 мощных зенитных прожекторных станций. В 1943 году выпуск составил 519 станций, т.е. был увеличен против 1942 года почти в три раза. По посадочным станциям для аэродромов военно-воздушных сил страны выпуск станций в 1942 году составлял 107 штук, а в 1943 году — 170 штук, т.е. был увеличен более чем в полтора раза. Завод № 644 в III квартале 1944 года продолжает увеличивать выпуск мощных станций, выполнив при этом задание Государственного Комитета Обороны по зенитным и посадочным прожекторным станциям на 103,4%. В связи с призывом многих квалифицированных рабочих, специалистов прожекторного дела, в Красную Армию завод широко развернул подготовку кадров из молодежи, добившись при этом значительного роста производительности труда. Если производительность труда в довоенный период (1940 г.) принять за 100%, то в 1943 г. она составляет 170% и в первом квартале 1944 г.— 206%. В начале текущего года исполнилось 15 лет существования завода. Начав работу в виде небольших мастерских на электрозаводе, коллектив создал по указанию партии и правительства мощный завод советского прожекторостроения в г. Москве, а затем, когда решением правительства этот завод был эвакуирован в г. Новосибирск и размещен в небольшом здании бывшего трамвайного депо, то, невзирая на все трудности военного времени, в течение года были построены большие корпуса и восстановлено полностью производство советских зенитных и посадочных прожекторов. Работа коллектива этого завода заслуживает быть отмеченной правительственной наградой. Новосибирский обком ВКП(б) ходатайствует перед Вами о представлении Новосибирского прожекторного завода № 644 Наркомэлектропрома СССР к награждению орденом Трудового Красного Знамени и лучших людей коллектива завода орденами и медалями Союза ССР.</w:t>
      </w:r>
    </w:p>
    <w:p w14:paraId="15BF9B3C"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Секретарь Новосибирского обкома ВКП(б) М. Кулагин</w:t>
      </w:r>
    </w:p>
    <w:p w14:paraId="72B319BF"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ГАНО. Ф. П-4. Оп. 8. Д. 2. Л. 113-113, Копня.</w:t>
      </w:r>
    </w:p>
    <w:p w14:paraId="5BEFA321"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верхнем левом углу резолюция М.В. Кулагина секретарю обкома: «тов. Семин. Прошу подготовить этот вопрос». Дата «17.IV.». Подпись под документом отсутствует (12194).</w:t>
      </w:r>
    </w:p>
    <w:p w14:paraId="135214D0" w14:textId="77777777" w:rsidR="00137373" w:rsidRPr="00070ADE" w:rsidRDefault="00137373" w:rsidP="00B56F90">
      <w:pPr>
        <w:spacing w:after="0" w:line="240" w:lineRule="auto"/>
        <w:jc w:val="both"/>
        <w:rPr>
          <w:rFonts w:ascii="Times New Roman" w:hAnsi="Times New Roman"/>
          <w:color w:val="000000" w:themeColor="text1"/>
          <w:sz w:val="16"/>
          <w:szCs w:val="16"/>
        </w:rPr>
      </w:pPr>
    </w:p>
    <w:p w14:paraId="4EF531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апреля 1944 вышло Постановление ГКО № 5638 Об утверждении заявки НКВТ на поставки по ленд-лизу с 1 июля 1944 г. по 30 июня 1945 г. РГАНИР, Фонд ГКО, д. 238, лл. 1,2-18 (11012).</w:t>
      </w:r>
    </w:p>
    <w:p w14:paraId="2F7E8F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5441A6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0B5D2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52FCD2"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апреля в 1944 году оперативная сводка Совинформбюро:</w:t>
      </w:r>
    </w:p>
    <w:p w14:paraId="7CB9B404"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17 апреля на Кишинёвском направлении нашивойска, преодолевая сопротивление и контратаки противника, продолжали вести бои по расширению захваченных плацдармов на правом берегу Днестра и улучшили свои позиции.</w:t>
      </w:r>
    </w:p>
    <w:p w14:paraId="7B3BF257"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Севастопольском направлении наши войска, преодолевая сопротивление и систему инженерных заграждений противника в горно-лесистой части южного побережья Крыма, продолжали наступление и с боями заняли населённые пункты Мекензия, Черкез-Кермен, Уппа, Узенбаш, Верхний Чоргунь, Мухалатка, Мелас, Форос, Байдары, Варнутка.</w:t>
      </w:r>
    </w:p>
    <w:p w14:paraId="45CCDB3B"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в ряде пунктов шли бои местного значения.</w:t>
      </w:r>
    </w:p>
    <w:p w14:paraId="5F03485D"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16 апреля наши войска на всех фронтах подбили и уничтожили 60 немецких танков. В воздушных боях и огнём зенитной артиллерии сбито 62 самолёта противника.</w:t>
      </w:r>
    </w:p>
    <w:p w14:paraId="1BFC0123"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Массированный налёт нашей авиации на железнодорожный узел и речной порт Галац</w:t>
      </w:r>
    </w:p>
    <w:p w14:paraId="2DC45E07"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17 апреля наша авиация дальнего действия произвела массированныйналет на железнодорожный узел и речной порт Галац (Румыния). В результатебомбардировки на железнодорожном узле возникло много пожаров, сопровождавшихся сильными взрывами. Распространяясь, пожары охватили значительную часть железнодорожного узла: горели воинские эшелоны и военные склады противника. Наблюдением отмечены прямые попадания бомб в суда, стоявшие на рейде и упричалов. На двух кораблях, стоявших на рейде, произошли взрывы большой силы.</w:t>
      </w:r>
    </w:p>
    <w:p w14:paraId="615802DD"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наши самолёты вернулись на свои базы.</w:t>
      </w:r>
    </w:p>
    <w:p w14:paraId="0872CDB4"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Кишинёвском направлении части Н-ского соединения продолжали вести бои по расширению плацдармов на правом берегу реки Днестр. Наши подвижные отряды прорвались в тыл противника и нанесли внезапный удар группе немецких войск. Огнём и гусеницами советские танкисты истребили до батальона гитлеровцев, уничтожили несколько бронетранспортёров и 100 повозок с различными грузами. В результате успешно проведённой операции советские части заняли выгодные позиции.</w:t>
      </w:r>
    </w:p>
    <w:p w14:paraId="374A17B5"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Севастопольском направлении наши войска продолжали наступление. Используя благоприятные для обороны природные условия, немцы соорудили на рубеже реки Бельбек и на высотах восточнее и северо-восточнее реки Чёрная сильно укреплённые позиции. Противник, опираясь на эту мощную оборонительную полосу, оказывал сильное сопротивление. Наши войска под прикрытием артиллерийского огня продвигались вперёд и выбили гитлеровцев из нескольких населённых пунктов. В ходе боя противник понёс большие потери. Только на одном участке уничтожено свыше 1.000 гитлеровцев. В другом районе советские штурмовые отряды заняли господствующую над местностью высоту, захватив при этом 7 артиллерийских батарей противника.</w:t>
      </w:r>
    </w:p>
    <w:p w14:paraId="307C3FC4"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с боями продвигаясь вдоль южного побережья Крыма, овладели рядом населённых пунктов. Занято село Байдары, открывающее дорогу к Балаклаве и Севастополю с юго-востока. Немцы, преследуемые нашими войсками, бросают на дорогах много вооружения и военных материалов. Бойцы Н-ской части в течение дня захватили 39 орудий, 108 пулемётов, 23 миномёта, 87 автомашин и крупный обоз с военными материалами.</w:t>
      </w:r>
    </w:p>
    <w:p w14:paraId="29A700D8"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активно помогает наземным войскам. Советские лётчики наносили непрерывные удары по боевым порядкам противника. В воздушных боях и на аэродроме мыс Херсонес наши лётчики уничтожили 10 немецких самолётов.</w:t>
      </w:r>
    </w:p>
    <w:p w14:paraId="06D8329E"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Воздушная разведка Черноморского флота утром обнаружила в море караван противника в составе транспорта, трёх быстроходных десантных барж и двух сторожевых катеров, шедших в Севастополь. Авиация флота произвела бомбово-штурмовой удар по вражеским судам и потопила транспорт водоизмещением в 3.000 тонн и одну быстроходную десантную баржу. Нанесены повреждения другим судам противника, следовавшим в этом караване.</w:t>
      </w:r>
    </w:p>
    <w:p w14:paraId="2F1A8A34"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1-м Украинском фронте лётчики под командованием генерал-полковника авиации Красовского за два дня в воздушных боях сбили 30 самолётов противника.</w:t>
      </w:r>
    </w:p>
    <w:p w14:paraId="2834A636"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белорусских партизанских отрядов, действующих в Полесской области, во второй половине марта пустили под откос 12 немецких воинских эшелонов. На шоссейных и грунтовых дорогах советские патриоты уничтожили танк, 15 автомашин и 6 повозок с боеприпасами. Вилейский партизанский отряд имени Чапаева напал на немецких полицейских, насильно угонявших мирное советское население. Партизаны уничтожили 40 гитлеровцев и освободили советских граждан, которых немцы угоняли на каторгу в Германию.</w:t>
      </w:r>
    </w:p>
    <w:p w14:paraId="06D93DBD"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Немецко-фашистские захватчики и их румынские прихвостни всячески запугивают население прифронтовых районов Румынии дикими небылицами о Красной Армии. Под влиянием этой лживой фашистской пропаганды некоторые жители городов и сёл в Румынии скрылись в леса. Однако при первом же соприкосновении с бойцами Красной Армии румынское население убеждается в том, что гитлеровские провокаторы их подло обманули. Через день-два беженцы возвращаются домой, и налаживается нормальная жизнь.</w:t>
      </w:r>
    </w:p>
    <w:p w14:paraId="57222026"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Когда передовые советские части вступили в город Стефанешти, его улицы были безлюдны, а двери и витрины лавок и магазинов заперты или забиты досками. Только через два часа в городе появились старик и старуха с поднятыми руками. Они прошлись по главной улице, боязливо озираясь по сторонам. Видя, что никто их не трогает, они снова ушли. Некоторое время спустя, из леса, домов и из-за укрытий высыпало много народу. При встрече с советскими бойцами жители вначале переходили на другую сторону улицы и поднимали руки, держа в них белые платки.Убедившись, что им ничего не грозит, румыны совершенно успокоились. Теперь в городе налаживается нормальная жизнь, открылись лавки, магазины, мастерские и парикмахерские. В селе Берза, занятом нашими войсками, все крестьяне также вернулись домой и, найдя свое хозяйство и имущество в полной сохранности, начали срывать со стен фашистские плакаты. В селе Чиорногалу румынский крестьянин Василе Косовану сказал: «Нам твердили, что русские будут сжигать наши дома, а нас убивать. Сейчас мы убедились, что все это немецкие враки. Солдаты КраснойАрмии культурные люди. Они вежливо обращаются с мирным населением. В первые часы вашего прихода мы были напуганы, а теперь полюбили вас всей душой». Крестьянин села Редеуцы Ион Бодяну в момент прихода наших войск скрывался в лесу. Явившись к вечеру домой, он увидел, что деревня цела, а в его дом никто даже не заходил. Это поразило его. Бодяну заявил: «Нам говорили, что Красная Армия будет сжигать деревни и убивать всех. Поэтому я убежал в лес и оставил всё хозяйство на произвол судьбы. Вернувшись домой, я нашел всё в полной сохранности».</w:t>
      </w:r>
    </w:p>
    <w:p w14:paraId="53383D40"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Жители румынских городов и сёл, занятых Красной Армией, все, как один, с ненавистью говорят о немцах и считают их главными виновниками этой преступной войны.» (15102).</w:t>
      </w:r>
    </w:p>
    <w:p w14:paraId="2F92AC39" w14:textId="77777777" w:rsidR="001732E9" w:rsidRPr="00070ADE" w:rsidRDefault="001732E9" w:rsidP="00B56F90">
      <w:pPr>
        <w:spacing w:after="0" w:line="240" w:lineRule="auto"/>
        <w:jc w:val="both"/>
        <w:rPr>
          <w:rFonts w:ascii="Times New Roman" w:hAnsi="Times New Roman"/>
          <w:color w:val="000000" w:themeColor="text1"/>
          <w:sz w:val="16"/>
          <w:szCs w:val="16"/>
        </w:rPr>
      </w:pPr>
    </w:p>
    <w:p w14:paraId="28E5D6BB" w14:textId="77777777" w:rsidR="00BF53B0" w:rsidRPr="00070ADE" w:rsidRDefault="00BF53B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17-ое на 18-ое апреля 1944 45-я АДДД снова бомбила Румынский порт Констанца. На задание вылетало семь кораблей. Еще два из 25-го гв. АПДД го</w:t>
      </w:r>
      <w:r w:rsidRPr="00070ADE">
        <w:rPr>
          <w:rFonts w:ascii="Times New Roman" w:hAnsi="Times New Roman"/>
          <w:color w:val="000000" w:themeColor="text1"/>
          <w:sz w:val="16"/>
          <w:szCs w:val="16"/>
        </w:rPr>
        <w:softHyphen/>
        <w:t>товили к вылету, но у самолета №42811 не завелся третий мотор, а у №42911 * отказали тормоза, в результате чего они остались дома. Также пять кораблей из 890-го АПДД, назначенные на этот вылет, по причине отказа мат. части на боевое задание не вылетали.</w:t>
      </w:r>
    </w:p>
    <w:p w14:paraId="146B9D7A" w14:textId="77777777" w:rsidR="00BF53B0" w:rsidRPr="00070ADE" w:rsidRDefault="00BF53B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 самолетов прошел в период с 17 ч. 25 мин. по 18 ч. 15 мин. Один корабль из 890-го АПДД из-за неисправ</w:t>
      </w:r>
      <w:r w:rsidRPr="00070ADE">
        <w:rPr>
          <w:rFonts w:ascii="Times New Roman" w:hAnsi="Times New Roman"/>
          <w:color w:val="000000" w:themeColor="text1"/>
          <w:sz w:val="16"/>
          <w:szCs w:val="16"/>
        </w:rPr>
        <w:softHyphen/>
        <w:t>ности прервал выполнение боевого задания и произвел посадку на аэро</w:t>
      </w:r>
      <w:r w:rsidRPr="00070ADE">
        <w:rPr>
          <w:rFonts w:ascii="Times New Roman" w:hAnsi="Times New Roman"/>
          <w:color w:val="000000" w:themeColor="text1"/>
          <w:sz w:val="16"/>
          <w:szCs w:val="16"/>
        </w:rPr>
        <w:softHyphen/>
        <w:t>дроме Грабцево. Пе-8 №4214 (командир корабля Сукоркин, штурман Аккуратов) из 890-го АПДД из-за сплошной облач</w:t>
      </w:r>
      <w:r w:rsidRPr="00070ADE">
        <w:rPr>
          <w:rFonts w:ascii="Times New Roman" w:hAnsi="Times New Roman"/>
          <w:color w:val="000000" w:themeColor="text1"/>
          <w:sz w:val="16"/>
          <w:szCs w:val="16"/>
        </w:rPr>
        <w:softHyphen/>
        <w:t>ности над основной целью бомбил в 23 ч. 12 мин. запасную цель - румынский порт Сулина. На эту цель были сброшены 2 ФАБ-ЮООтга и 2 ЗАБ-50т. Осталь</w:t>
      </w:r>
      <w:r w:rsidRPr="00070ADE">
        <w:rPr>
          <w:rFonts w:ascii="Times New Roman" w:hAnsi="Times New Roman"/>
          <w:color w:val="000000" w:themeColor="text1"/>
          <w:sz w:val="16"/>
          <w:szCs w:val="16"/>
        </w:rPr>
        <w:softHyphen/>
        <w:t>ные пять кораблей бомбили основную цель в период с 22 ч. 50 мин. по 00 ч. 05 мин. На основную цель было сбро</w:t>
      </w:r>
      <w:r w:rsidRPr="00070ADE">
        <w:rPr>
          <w:rFonts w:ascii="Times New Roman" w:hAnsi="Times New Roman"/>
          <w:color w:val="000000" w:themeColor="text1"/>
          <w:sz w:val="16"/>
          <w:szCs w:val="16"/>
        </w:rPr>
        <w:softHyphen/>
        <w:t>шено: 10 ФАБ-ЮООтга, 2 ФАБ-500тга, 2 ФАБ-250тга, 6 ЗАБ-50тг, 2 ФОТАБ-35. Из состава 25-й гв. АПДД основную цель бомбили Пе-8 с заводскими номерами: 42088 (командир корабля Сугак), 42210 (командир корабля Бездольный), 42311 (командир корабля Зеленский). Из со</w:t>
      </w:r>
      <w:r w:rsidRPr="00070ADE">
        <w:rPr>
          <w:rFonts w:ascii="Times New Roman" w:hAnsi="Times New Roman"/>
          <w:color w:val="000000" w:themeColor="text1"/>
          <w:sz w:val="16"/>
          <w:szCs w:val="16"/>
        </w:rPr>
        <w:softHyphen/>
        <w:t>става 890 АПДД бомбили цель Пе-8 с заводскими номерами: 42078 (коман</w:t>
      </w:r>
      <w:r w:rsidRPr="00070ADE">
        <w:rPr>
          <w:rFonts w:ascii="Times New Roman" w:hAnsi="Times New Roman"/>
          <w:color w:val="000000" w:themeColor="text1"/>
          <w:sz w:val="16"/>
          <w:szCs w:val="16"/>
        </w:rPr>
        <w:softHyphen/>
        <w:t>дир корабля Белков), 42411(командир корабля Романов). После выполнения боевого задания все шесть кораблей бомбивших цели произвели посадку на своем аэродроме. Потерь не было (19559).</w:t>
      </w:r>
    </w:p>
    <w:p w14:paraId="7F85071E" w14:textId="77777777" w:rsidR="00BF53B0" w:rsidRPr="00070ADE" w:rsidRDefault="00BF53B0" w:rsidP="00B56F90">
      <w:pPr>
        <w:spacing w:after="0" w:line="240" w:lineRule="auto"/>
        <w:jc w:val="both"/>
        <w:rPr>
          <w:rFonts w:ascii="Times New Roman" w:hAnsi="Times New Roman"/>
          <w:color w:val="000000" w:themeColor="text1"/>
          <w:sz w:val="16"/>
          <w:szCs w:val="16"/>
        </w:rPr>
      </w:pPr>
    </w:p>
    <w:p w14:paraId="2D6EF3C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апреля 1944 завершились 2 наступательные операции: Проскуровско-Черновицкая операция войск 1-го Украинского фронта и Уманско-Ботошанская операция войск 2-го Украинского фронта,проведённые с целью с целью разгрома основных сил нем.-фаш. группы армий "Юг" и освобождения областей Правобережной Украины. Этими операциями завершилось наступление советских войск на Правобережной Украине, начатое 24 декабря 1943 года (4963 ).</w:t>
      </w:r>
    </w:p>
    <w:p w14:paraId="148ABFB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EA49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апреля 1944 1Б и 1УФ перешли к обороне. 18 апреля 1944 - 2ПбФ, 19 апреля 1944 - ЛФ, 3ПбФ и 3 и 2БФ (340,165).</w:t>
      </w:r>
    </w:p>
    <w:p w14:paraId="1C1BCB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5DA0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апреля 1944 согласно сообщению Совинформбюро в ночь на 18 бомбардировщики ЧМФ атаковали два каравана и потопили 2 транспорта - 2000 и 3000 т</w:t>
      </w:r>
    </w:p>
    <w:p w14:paraId="2FD65C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A0B9B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2A025C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A2A5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апреля 1944 Нота Советского правительства правительству Болгарии с протестом против использования фашистской Германией болгарской территории и портов в войне с Советским Союзом (7448).</w:t>
      </w:r>
    </w:p>
    <w:p w14:paraId="75C0E3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EC258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15680A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6995A5"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апреля в 1944 году на Баденское озеро под Фридрисхафеном прерваны, продолжавшиеся с переменным успехом, испытания транспортной летающей лодки «SE-200» (разработчик: «SNCASE», Франция), когда в результате налета бомбардировщиков «Mosquito» на дно был пущен первый прототип (15102).</w:t>
      </w:r>
    </w:p>
    <w:p w14:paraId="149EAD4A" w14:textId="77777777" w:rsidR="001732E9" w:rsidRPr="00070ADE" w:rsidRDefault="001732E9" w:rsidP="00B56F90">
      <w:pPr>
        <w:spacing w:after="0" w:line="240" w:lineRule="auto"/>
        <w:jc w:val="both"/>
        <w:rPr>
          <w:rFonts w:ascii="Times New Roman" w:hAnsi="Times New Roman"/>
          <w:color w:val="000000" w:themeColor="text1"/>
          <w:sz w:val="16"/>
          <w:szCs w:val="16"/>
        </w:rPr>
      </w:pPr>
    </w:p>
    <w:p w14:paraId="1861D9CF" w14:textId="77777777" w:rsidR="00B05D39" w:rsidRPr="00070ADE" w:rsidRDefault="00B05D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апреля 1944 Ховард Хьюз и Джек Фрай установили новый трансконтинентальный рекорд скорости в США, пилотируя новый Lockheed L-049 Constellation из Бербанка, Калифорния, в Вашингтон, округ Колумбия, за 6 часов 57 минут (20373).</w:t>
      </w:r>
    </w:p>
    <w:p w14:paraId="7CED9DA2" w14:textId="77777777" w:rsidR="00B05D39" w:rsidRPr="00070ADE" w:rsidRDefault="00B05D39" w:rsidP="00B56F90">
      <w:pPr>
        <w:spacing w:after="0" w:line="240" w:lineRule="auto"/>
        <w:jc w:val="both"/>
        <w:rPr>
          <w:rFonts w:ascii="Times New Roman" w:hAnsi="Times New Roman"/>
          <w:color w:val="000000" w:themeColor="text1"/>
          <w:sz w:val="16"/>
          <w:szCs w:val="16"/>
        </w:rPr>
      </w:pPr>
    </w:p>
    <w:p w14:paraId="266ABB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апреля 1944 при налете на Софию 350 В-17 и 150 Р-51 поручик Бончев таранил В-17 (2885,48).</w:t>
      </w:r>
    </w:p>
    <w:p w14:paraId="679EC8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8BAF3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6CE3D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0A0F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В.К.Коккинаки выполнил первый полет самолета, получившего к этому времени обозначение Ил-10. Здесь есть неясность, так как резолюция А.С.Я., разрешающая этот вылет, датирована двумя днями позже - 20.04.44. Заводские испытания продолжались до 11 мая 1944 (3846,19).</w:t>
      </w:r>
    </w:p>
    <w:p w14:paraId="5A0220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A4ED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1944-го под управлением В.К.Коккинаки совершил первый полет Ил-10. Заводские испытания самолета были проведены быстро, и уже 13 мая три опытных Ил-10 поступили на госиспытания в ГК НИИ ВВС, которые продолжались всего две недели. Летно-тактические данные Ил-10 оказались выдающимися: максимальная горизонтальная скорость полета на высоте 2800 м была равна 551 км/ч - почти на 150 км/ч больше, чем у двухместного Ил-2 (9532,5).</w:t>
      </w:r>
    </w:p>
    <w:p w14:paraId="382E46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481B3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г. был выполнен первый полет штурмовика Ил-10 (6395).</w:t>
      </w:r>
    </w:p>
    <w:p w14:paraId="034832F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5CBD05" w14:textId="77777777" w:rsidR="00B05D39" w:rsidRPr="00070ADE" w:rsidRDefault="00B05D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Владимир Константинович Коккинаки выполнил на Ил-10 первый вылет, а уже 27 мая с положительной оценкой завершились государственные испытания в НИИ ВВС. За следующие два месяца была проделана огромная работа по организации, планированиюи подготовке производства Ил-10 (21005)</w:t>
      </w:r>
    </w:p>
    <w:p w14:paraId="66CC1985" w14:textId="77777777" w:rsidR="00B05D39" w:rsidRPr="00070ADE" w:rsidRDefault="00B05D39" w:rsidP="00B56F90">
      <w:pPr>
        <w:spacing w:after="0" w:line="240" w:lineRule="auto"/>
        <w:jc w:val="both"/>
        <w:rPr>
          <w:rFonts w:ascii="Times New Roman" w:hAnsi="Times New Roman"/>
          <w:color w:val="000000" w:themeColor="text1"/>
          <w:sz w:val="16"/>
          <w:szCs w:val="16"/>
        </w:rPr>
      </w:pPr>
    </w:p>
    <w:p w14:paraId="3EFBDFB4" w14:textId="3C4B8EE7" w:rsidR="00B05D39" w:rsidRPr="00070ADE" w:rsidRDefault="00B05D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Владимир Константинович Коккинаки выполнил на новой машине Ил-10 первый вылет, а уже 27 мая с положительной оценкой завершились государственные испытания в НИИ ВВС. За следующие два месяца была проделана огромная работа по организации, планированиюи подготовке производства Ил-10 (21005)</w:t>
      </w:r>
    </w:p>
    <w:p w14:paraId="5FC1D4CE" w14:textId="77777777" w:rsidR="00B05D39" w:rsidRPr="00070ADE" w:rsidRDefault="00B05D39" w:rsidP="00B56F90">
      <w:pPr>
        <w:spacing w:after="0" w:line="240" w:lineRule="auto"/>
        <w:jc w:val="both"/>
        <w:rPr>
          <w:rFonts w:ascii="Times New Roman" w:hAnsi="Times New Roman"/>
          <w:color w:val="000000" w:themeColor="text1"/>
          <w:sz w:val="16"/>
          <w:szCs w:val="16"/>
        </w:rPr>
      </w:pPr>
    </w:p>
    <w:p w14:paraId="03D90E59"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в 1944 году первый полет штурмовика «Ил-10», пилот В.К.Коккинаки. «Ил-10» был построен в 1944 году. По сравнению с «Ил-2» этот самолет имел меньшие размеры, существенно лучшую аэродинамику и более мощный мотор жидкостного охлаждения «АМ-42». На самолеты были установлены четыре пушки - на первом этапе калибром 20 мм, позже - калибром 23 мм: на крыльевых балках располагались 8 реактивных снарядов «PC-82»; бомболюк и внешняя подвеска допускали использование разнокалиберных бомб общим весом 600 килограммов. Большая скорость полета, хорошая маневренность и эффективная бронезащита определили высокие боевые качества «Ил-10». К 1 мая 1945 года действующей армии было передано 630 штурмовиков «Ил-10»;</w:t>
      </w:r>
    </w:p>
    <w:p w14:paraId="3908182B" w14:textId="77777777" w:rsidR="001732E9" w:rsidRPr="00070ADE" w:rsidRDefault="001732E9" w:rsidP="00B56F90">
      <w:pPr>
        <w:spacing w:after="0" w:line="240" w:lineRule="auto"/>
        <w:jc w:val="both"/>
        <w:rPr>
          <w:rFonts w:ascii="Times New Roman" w:hAnsi="Times New Roman"/>
          <w:color w:val="000000" w:themeColor="text1"/>
          <w:sz w:val="16"/>
          <w:szCs w:val="16"/>
        </w:rPr>
      </w:pPr>
    </w:p>
    <w:p w14:paraId="0693FE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18 апреля 1944 г. после установки двигателя АМ-42 и отладки всех систем новый штурмовик, получивший к этому времени обозначение Ил-10 совершил первый </w:t>
      </w:r>
      <w:r w:rsidRPr="00070ADE">
        <w:rPr>
          <w:rFonts w:ascii="Times New Roman" w:hAnsi="Times New Roman"/>
          <w:color w:val="000000" w:themeColor="text1"/>
          <w:sz w:val="16"/>
          <w:szCs w:val="16"/>
        </w:rPr>
        <w:lastRenderedPageBreak/>
        <w:t>полет, летал, как обычно, В.К.Коккинаки. Заводские испытания провели быстро, и уже 13 мая три опытные Ил-10 поступили на госиспытания в ГК НИИ ВВС (9528).</w:t>
      </w:r>
    </w:p>
    <w:p w14:paraId="768644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Ил-2 изменили толщину некоторых листов бронекорпуса: увеличили толщину нижних боковых стенок капота двигателя и уменьшили толщину боковых стенок кабины экипажа. Кроме того, опыт боевого применения Ил-2 показал, что на двухместном варианте практически не поражается верхняя передняя часть бронекорпуса, т.к. для огня с земли она была недосягаема, а от атак истребителей сзади ее защищал стрелок (спереди Ил-2 истребители, как правило, не атаковали из-за мощного стрелково-артиллерийского вооружения штурмовика). В связи с этим верхнюю часть бронекорпуса нового штурмовика, имевшую поверхность двойной кривизны, обеспечивавшую малый угол встречи снаряда с обшивкой, выполнили из дюралюминиевых листов толщиной от 1,5 до 6,0 мм. Новым было и применение в бронезащите экранированной броневой системы: задняя бронеспинка и подголовник пилота, а также бронеперегородка стрелка выполнялись из двух 8-мм бронеплит с воздушным промежутком. Наружная бронеплита должна была разрушать попавший в нее снаряд, а внутренняя - принимать на себя удары образовавшихся при взрыве осколков. Такая система, по предложению И.В.Сталина названная “активной броней”, эффективно защищала экипаж от 20-мм снарядов авиационных пушек. Бронекорпус был включен в силовую схему самолета.</w:t>
      </w:r>
    </w:p>
    <w:p w14:paraId="180BB9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Двухместный штурмовик Ил-1 сохранил все основные геометрические параметры и конструктивные особенности одноместного истребителя, но имел цельнометаллическую конструкцию. Вооружение состояло из двух пушек ВЯ с общим боезапасом 300 снарядов и двух ШКАСов с 1500 патронами. Пушки и пулеметы стояли |в консолях крыла вне диска, сметаемого винтом. В нормальном варианте штурмовик имел бомбовую нагрузку 400 кг, в перегрузочном - 600 кг. Вместо четырех бомбоотсеков на Ил-2, на новом штурмовике в утолщении центроплана оборудовали два бомбоотсека, их размеры позволяли размещать бомбы весом до 100 кг. Мелкие бомбы весом до 50 кг укладывали в отсеки непосредственно на створки бомболюков и они сбрасывались при открытия створок. Это позволило отказаться от применявшихся на Ил-2 кассет мелких бомб, увеличить число загружаемых бомб и ускорить процесс снаряжения самолета бомбами для повторного вылета. Бомбы весом 50-100 кг подвешивали внутри отсеков как обычно, на держателях. Наружные замки обеспечивали внешнюю подвеску бомб весом до 250 кг. Под консолями крыла имелись четыре направляющие для пуска ракет.</w:t>
      </w:r>
    </w:p>
    <w:p w14:paraId="14CCFC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нового штурмовика разработали три варианта оборонительного вооружения. На первом Ил-1 (Ил-10) установили турель с пулеметом УБТ, закрытую сферическим экраном. На госиспытания передали самолет с установкой ВУ-7, состоявшей из новой 20-мм пушки Б.Г.Шпитального Ш-20 с боезапасом 150 снарядов. На ; серийных Ил-10 стояла стрелковая установка ВУ-8 с УБТ и боезапасом 150 патронов. Она обеспечивала следующие углы обстрела задней полусферы: вверх 50°, вниз 18°, вправо от стрелка 45° и влево 55°. Кроме того, в хвосте штурмовика установили держатель 10 авиационных гранат АГ-2 (9528).</w:t>
      </w:r>
    </w:p>
    <w:p w14:paraId="170530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1C50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года гл. конструктор С.В.И. писал письмо N 1/445с Шахурину и директору завода N 24 Жезлову.</w:t>
      </w:r>
    </w:p>
    <w:p w14:paraId="025292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завода N 24 Флисский установил расход горючего по дроссельной характеристике мотора АМ-42 в следующих пределах:</w:t>
      </w:r>
    </w:p>
    <w:p w14:paraId="34D457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 номинальной мощности 295-315 гр.</w:t>
      </w:r>
    </w:p>
    <w:p w14:paraId="5126A5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 мощности 0,75 от номинальной 270-290 гр.</w:t>
      </w:r>
    </w:p>
    <w:p w14:paraId="52A91A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 мощности 0,5 от номинальной 270-290 гр.</w:t>
      </w:r>
    </w:p>
    <w:p w14:paraId="3C69FD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Принятые расходы горючего для мотора Ам-42 являются очень высокими и установлены без надлежащего технического обоснования, тем более без надлежащей работы над экономикой мотора Ам-42.</w:t>
      </w:r>
    </w:p>
    <w:p w14:paraId="4923C5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Необходимо расходы топлива для мотора Ам-42 установить нижеследующие:</w:t>
      </w:r>
    </w:p>
    <w:p w14:paraId="7C5310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 номинальном режиме 290-310 гр.</w:t>
      </w:r>
    </w:p>
    <w:p w14:paraId="19B764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 мощности 0,75 от номинальной 240-260 гр.</w:t>
      </w:r>
    </w:p>
    <w:p w14:paraId="2B9E3E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 мощности 0,5 от номинальной 230-250 гр.</w:t>
      </w:r>
    </w:p>
    <w:p w14:paraId="70D665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Ваших указаний (2562,73).</w:t>
      </w:r>
    </w:p>
    <w:p w14:paraId="6C01FC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43A2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были окончательно испытаны изготовленные к 1 апреля на заводе 300 6 комплектов ТК-3 для ви С.А.Л. (1824,5).</w:t>
      </w:r>
    </w:p>
    <w:p w14:paraId="74BB99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FAA6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года вышел Совместный приказ за № 00446/262 Народного Комиссара Внутренних Дел Союза ССР Л.П. Берия и Народного Комиссара Авиационной Промышленности А.И.Шахурина «Об объединении ОКБ-4 Спецотдела НКВД СССР на заводе № 16 и СКО завода № 16 в опытно-конструкторское бюро завода № 16» (11331).</w:t>
      </w:r>
    </w:p>
    <w:p w14:paraId="39DDA7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77610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г. по приказу № 00446/262сс серийное КБ завода № 16, которое появилось после слияния заводов заводов № 16 и № 27, возникло Серийное КБ единого завода № 16 НКАП было слито с Особым КБ 4-го Спецотдела НКВД и образовано единое ОКБ завода № 16 НКАП по мощным поршневым моторам со штатом из вольнонаемных и заключенных конструкторов. Работы по МБ-100, МБ-102.</w:t>
      </w:r>
    </w:p>
    <w:p w14:paraId="576406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Серийного КБ (01.1942-04.1944 г.)- С.Д. Колосов.</w:t>
      </w:r>
    </w:p>
    <w:p w14:paraId="335443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ОКБ (04.1944-07.1946 г.)- С.Д. Колосов.</w:t>
      </w:r>
    </w:p>
    <w:p w14:paraId="42BC9D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зам. гл. конструктора (1944 г.)- Ф.В. Концевич.</w:t>
      </w:r>
    </w:p>
    <w:p w14:paraId="58E1C9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Ведущие конструкторы - A.M. Добротворский (МБ-100, МБ-102), И.Т. Мащенко (М-1) (11982).</w:t>
      </w:r>
    </w:p>
    <w:p w14:paraId="69077B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F119A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г. по приказу № 00446/262сс группа В.П. Глушко была выделена из Особого КБ 4-го Спецотдела НКВД в самостоятельную конструкторскую единицу (в подчинении НКВД) при заводе № 16 НКАП для работ по ЖРД РД-1 и подлежала переводу в НИИ-1 НКАП после завершения его формирования. Некоторое время группа продолжала работать в составе единого ОКБ завода № 16.</w:t>
      </w:r>
    </w:p>
    <w:p w14:paraId="4151B79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НКАП № 656сс от 2.11.1944 г. из состава ОКБ-16 НКАП выделилось в самостоятельное ОКБ-16сб (вошла также группа реактивных установок Королева) в подчинении вновь образованного 18ГУ по реактивной технике. В разное время имело различные названия: ОКБ-РД при заводе № 16 (03.1945 г.), ОКБ-СД при заводе № 16 (04.1946 г.), ОКБ «СД»-16 МАП (1946 г.), ОКБ-16-2 МАП (1946 г.).</w:t>
      </w:r>
    </w:p>
    <w:p w14:paraId="76FC845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Продолжены работы по РД-1, его установке на Пе-2, JIa-7 и др. В 07-12.1945 г. и в 05-12.1946 г. Глушко находился в Германии для ознакомления с трофейной техникой. С 7.10.1945 г. в командировке в Германии был Королев.</w:t>
      </w:r>
    </w:p>
    <w:p w14:paraId="506D63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20.03.1946 г. (по приказу № 122с от 19.03.1946 г.) переведено в ведение 8ГУ НКАП. По приказу № 424с от 3.07.1946 г. ОКБ-16-2 предоставлена производственная база- завод № 456 МАП с образованием ОКБ-456, Глушко назначен его гл. конструктором. Распоряжением СМ от 29.09.1946 г. ОКБ-16-2 переведено на площадку завода №456 МАП.</w:t>
      </w:r>
      <w:r w:rsidRPr="00070ADE">
        <w:rPr>
          <w:rFonts w:ascii="Times New Roman" w:hAnsi="Times New Roman"/>
          <w:color w:val="000000" w:themeColor="text1"/>
          <w:sz w:val="16"/>
          <w:szCs w:val="16"/>
          <w:vertAlign w:val="superscript"/>
        </w:rPr>
        <w:t>3</w:t>
      </w:r>
    </w:p>
    <w:p w14:paraId="0F7C0B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(1944-46 г.)- В.П. Глушко.</w:t>
      </w:r>
    </w:p>
    <w:p w14:paraId="24C3F5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конструктора (12.1944 г.)- С.П. Королев, (03.1945 г.)- Н.Л. Уманский, (04.1946 г.)- Д.Д. Севрук.</w:t>
      </w:r>
    </w:p>
    <w:p w14:paraId="0CA10F9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отделов: экспериментального (07.1944 г.-)- Д.Д. Севрук (11982).</w:t>
      </w:r>
    </w:p>
    <w:p w14:paraId="19E105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89ED44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304385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5C15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г. начальник ГБТУ Б.Г. Вершинин и начальник ТУ ГБТУ С. А. Афонин подписали перечень мероприятий по совершенство</w:t>
      </w:r>
      <w:r w:rsidRPr="00070ADE">
        <w:rPr>
          <w:rFonts w:ascii="Times New Roman" w:hAnsi="Times New Roman"/>
          <w:color w:val="000000" w:themeColor="text1"/>
          <w:sz w:val="16"/>
          <w:szCs w:val="16"/>
        </w:rPr>
        <w:softHyphen/>
        <w:t>ванию конструкции и улучшению качества танков ИС-2, в котором ука</w:t>
      </w:r>
      <w:r w:rsidRPr="00070ADE">
        <w:rPr>
          <w:rFonts w:ascii="Times New Roman" w:hAnsi="Times New Roman"/>
          <w:color w:val="000000" w:themeColor="text1"/>
          <w:sz w:val="16"/>
          <w:szCs w:val="16"/>
        </w:rPr>
        <w:softHyphen/>
        <w:t>зывалось, что "для усиления броневой защиты танка заменить сущест</w:t>
      </w:r>
      <w:r w:rsidRPr="00070ADE">
        <w:rPr>
          <w:rFonts w:ascii="Times New Roman" w:hAnsi="Times New Roman"/>
          <w:color w:val="000000" w:themeColor="text1"/>
          <w:sz w:val="16"/>
          <w:szCs w:val="16"/>
        </w:rPr>
        <w:softHyphen/>
        <w:t>вующую литую конструкцию носа танка катаной, сварной, обеспечив непробиваемость его в рабочем положении танка бронебойными и под-калиберными снарядами из пушек танков Т-У ("Пантера") и Т-У1 ("Тигр I") со всех дистанций; изменить конструкцию и увеличить тол</w:t>
      </w:r>
      <w:r w:rsidRPr="00070ADE">
        <w:rPr>
          <w:rFonts w:ascii="Times New Roman" w:hAnsi="Times New Roman"/>
          <w:color w:val="000000" w:themeColor="text1"/>
          <w:sz w:val="16"/>
          <w:szCs w:val="16"/>
        </w:rPr>
        <w:softHyphen/>
        <w:t>щину брони передней части башни, сделав ее равнопрочной с носовой частью; перенести укладку гильз с бортов башни; установить крупнока</w:t>
      </w:r>
      <w:r w:rsidRPr="00070ADE">
        <w:rPr>
          <w:rFonts w:ascii="Times New Roman" w:hAnsi="Times New Roman"/>
          <w:color w:val="000000" w:themeColor="text1"/>
          <w:sz w:val="16"/>
          <w:szCs w:val="16"/>
        </w:rPr>
        <w:softHyphen/>
        <w:t>либерный пулемет для стрельбы по зенитным целям и ряд других кон</w:t>
      </w:r>
      <w:r w:rsidRPr="00070ADE">
        <w:rPr>
          <w:rFonts w:ascii="Times New Roman" w:hAnsi="Times New Roman"/>
          <w:color w:val="000000" w:themeColor="text1"/>
          <w:sz w:val="16"/>
          <w:szCs w:val="16"/>
        </w:rPr>
        <w:softHyphen/>
        <w:t>структивных мероприятий" (10703).</w:t>
      </w:r>
    </w:p>
    <w:p w14:paraId="4CAE2E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2FE259" w14:textId="77777777" w:rsidR="00EB1E33" w:rsidRPr="00070ADE" w:rsidRDefault="00EB1E33"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К 18 апреля 1944 КБ завода №100 был представлен эскизный проект модернизации ИС-2, разработанный на опытном заводе. Модернизированная версия танка должна была иметь боевую массу 46–47 тонн. Полностью перепроектировался корпус: его форма стала больше напоминать летающую тарелку, при этом убирался смотровой лючок в лобовом листе корпуса. Толщина лобового листа доставляла 120 мм, такая же толщина была и у бортов. Существенно переделывалась и башня, у которой лоб и борта усиливались до 150 мм.</w:t>
      </w:r>
    </w:p>
    <w:p w14:paraId="350B5F87" w14:textId="77777777" w:rsidR="00EB1E33" w:rsidRPr="00070ADE" w:rsidRDefault="00EB1E33"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Переделки вносились и в ходовую часть. Например, танк должен был получить опорные катки большего диаметра. Вооружить его планировалось либо штатной пушкой Д-25Т, либо 100-мм пушкой Д-10Т. Вместо пулемёта ДТ предполагалось использовать спаренный пулемёт ГВГ (будущий СГ-43). Подробностей о двигателе и трансмиссии мало, но известно, что как раз в начале 1944 года испытания проходила планетарная трансмиссия двух типов — разработки МВТУ им. Баумана и разработки завода №100. Неизвестен даже тип силовой установки, но максимальная скорость в 50 км/ч указывает на то, что использовать планировалось не В-2-ИС.</w:t>
      </w:r>
    </w:p>
    <w:p w14:paraId="105C86CD" w14:textId="77777777" w:rsidR="00EB1E33" w:rsidRPr="00070ADE" w:rsidRDefault="00EB1E33"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 xml:space="preserve">Этот проект модернизации не был единственной разработкой КБ завода №100. ТТТ на тяжёлый танк, утверждённые в конце ноября 1943 года, не были забыты. 21 марта 1944 года появились уточнённые ТТТ, согласно которым боевая масса танка оценивалась в районе 55–56 тонн. Цифры толщины брони из требований исчезли, зато появилось указание надёжно защитить танк от орудий «Тигра», «Пантеры» и «Фердинанда» в лобовой проекции. С борта он не должен был пробиваться на дистанции в 500 метров и далее. Вооружать танк предполагалось 122-мм пушкой с начальной скоростью полёта снаряда 1000 м/с и с боекомплектом 30–40 выстрелов. </w:t>
      </w:r>
      <w:r w:rsidRPr="00070ADE">
        <w:rPr>
          <w:rFonts w:ascii="Times New Roman" w:eastAsia="Times New Roman" w:hAnsi="Times New Roman"/>
          <w:color w:val="000000" w:themeColor="text1"/>
          <w:sz w:val="16"/>
          <w:szCs w:val="16"/>
          <w:lang w:eastAsia="ru-RU"/>
        </w:rPr>
        <w:lastRenderedPageBreak/>
        <w:t>Приводить в движение машину должен был 1000-сильный дизельный двигатель, обеспечивающий максимальную скорость 40 км/ч и среднюю скорость по грунтовой дороге 24–26 км/ч. Танк оснащался либо электрической, либо механической трансмиссией, в последнем случае использовалась 6-скоростная планетарная коробка передач с 2-ступенчатым механизмом поворота.</w:t>
      </w:r>
    </w:p>
    <w:p w14:paraId="48AC2842" w14:textId="77777777" w:rsidR="00EB1E33" w:rsidRPr="00070ADE" w:rsidRDefault="00EB1E33"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Эти требования были реализованы в виде эскизного проекта, разработанного под руководством Н.Ф. Шашмурина. Танк получил кормовое расположение башни, в корпусе размещались механик-водитель и радист. Конструкции башни, ходовой части и отчасти корпуса как раз и стали отправной точкой при разработке менее радикальной модернизации ИС-2 (17756).</w:t>
      </w:r>
    </w:p>
    <w:p w14:paraId="0F915840" w14:textId="77777777" w:rsidR="00EB1E33" w:rsidRPr="00070ADE" w:rsidRDefault="00EB1E33" w:rsidP="00B56F90">
      <w:pPr>
        <w:spacing w:after="0" w:line="240" w:lineRule="auto"/>
        <w:jc w:val="both"/>
        <w:rPr>
          <w:rFonts w:ascii="Times New Roman" w:eastAsia="Times New Roman" w:hAnsi="Times New Roman"/>
          <w:color w:val="000000" w:themeColor="text1"/>
          <w:sz w:val="16"/>
          <w:szCs w:val="16"/>
          <w:lang w:eastAsia="ru-RU"/>
        </w:rPr>
      </w:pPr>
    </w:p>
    <w:p w14:paraId="07956FEA" w14:textId="77777777" w:rsidR="00B05D39" w:rsidRPr="00070ADE" w:rsidRDefault="00B05D39" w:rsidP="00B56F90">
      <w:pPr>
        <w:pStyle w:val="1131"/>
        <w:shd w:val="clear" w:color="auto" w:fill="auto"/>
        <w:spacing w:line="240" w:lineRule="auto"/>
        <w:ind w:firstLine="0"/>
        <w:rPr>
          <w:rFonts w:ascii="Times New Roman" w:hAnsi="Times New Roman" w:cs="Times New Roman"/>
          <w:color w:val="000000" w:themeColor="text1"/>
          <w:sz w:val="16"/>
          <w:szCs w:val="16"/>
          <w:lang w:val="ru-RU"/>
        </w:rPr>
      </w:pPr>
      <w:r w:rsidRPr="00070ADE">
        <w:rPr>
          <w:rStyle w:val="600"/>
          <w:rFonts w:ascii="Times New Roman" w:hAnsi="Times New Roman" w:cs="Times New Roman"/>
          <w:color w:val="000000" w:themeColor="text1"/>
          <w:sz w:val="16"/>
          <w:szCs w:val="16"/>
          <w:lang w:val="ru-RU"/>
        </w:rPr>
        <w:t>К</w:t>
      </w:r>
      <w:r w:rsidRPr="00070ADE">
        <w:rPr>
          <w:rStyle w:val="600"/>
          <w:rFonts w:ascii="Times New Roman" w:hAnsi="Times New Roman" w:cs="Times New Roman"/>
          <w:color w:val="000000" w:themeColor="text1"/>
          <w:sz w:val="16"/>
          <w:szCs w:val="16"/>
        </w:rPr>
        <w:t xml:space="preserve"> 18 апреля </w:t>
      </w:r>
      <w:r w:rsidRPr="00070ADE">
        <w:rPr>
          <w:rStyle w:val="600"/>
          <w:rFonts w:ascii="Times New Roman" w:hAnsi="Times New Roman" w:cs="Times New Roman"/>
          <w:color w:val="000000" w:themeColor="text1"/>
          <w:sz w:val="16"/>
          <w:szCs w:val="16"/>
          <w:lang w:val="ru-RU"/>
        </w:rPr>
        <w:t xml:space="preserve">1944 </w:t>
      </w:r>
      <w:r w:rsidRPr="00070ADE">
        <w:rPr>
          <w:rStyle w:val="600"/>
          <w:rFonts w:ascii="Times New Roman" w:hAnsi="Times New Roman" w:cs="Times New Roman"/>
          <w:color w:val="000000" w:themeColor="text1"/>
          <w:sz w:val="16"/>
          <w:szCs w:val="16"/>
        </w:rPr>
        <w:t>на заводе № 100 подготовили доку</w:t>
      </w:r>
      <w:r w:rsidRPr="00070ADE">
        <w:rPr>
          <w:rStyle w:val="600"/>
          <w:rFonts w:ascii="Times New Roman" w:hAnsi="Times New Roman" w:cs="Times New Roman"/>
          <w:color w:val="000000" w:themeColor="text1"/>
          <w:sz w:val="16"/>
          <w:szCs w:val="16"/>
        </w:rPr>
        <w:softHyphen/>
        <w:t>ментацию по танку большой модернизации, имевшему массу отличий от ИС-2. Модерни</w:t>
      </w:r>
      <w:r w:rsidRPr="00070ADE">
        <w:rPr>
          <w:rStyle w:val="600"/>
          <w:rFonts w:ascii="Times New Roman" w:hAnsi="Times New Roman" w:cs="Times New Roman"/>
          <w:color w:val="000000" w:themeColor="text1"/>
          <w:sz w:val="16"/>
          <w:szCs w:val="16"/>
        </w:rPr>
        <w:softHyphen/>
        <w:t>зированная версия танка должна была иметь боевую массу 46-47 тонн. Полностью перепроектировали корпус: его форма стала больше напоминать летающую тарел</w:t>
      </w:r>
      <w:r w:rsidRPr="00070ADE">
        <w:rPr>
          <w:rStyle w:val="600"/>
          <w:rFonts w:ascii="Times New Roman" w:hAnsi="Times New Roman" w:cs="Times New Roman"/>
          <w:color w:val="000000" w:themeColor="text1"/>
          <w:sz w:val="16"/>
          <w:szCs w:val="16"/>
        </w:rPr>
        <w:softHyphen/>
        <w:t>ку, при этом убирался смотровой лючок в ло</w:t>
      </w:r>
      <w:r w:rsidRPr="00070ADE">
        <w:rPr>
          <w:rStyle w:val="600"/>
          <w:rFonts w:ascii="Times New Roman" w:hAnsi="Times New Roman" w:cs="Times New Roman"/>
          <w:color w:val="000000" w:themeColor="text1"/>
          <w:sz w:val="16"/>
          <w:szCs w:val="16"/>
        </w:rPr>
        <w:softHyphen/>
        <w:t>бовом листе корпуса. Толщина лобового листа достигала 120 мм, такая же толщина была и у бортов. Существенно переделыва</w:t>
      </w:r>
      <w:r w:rsidRPr="00070ADE">
        <w:rPr>
          <w:rStyle w:val="600"/>
          <w:rFonts w:ascii="Times New Roman" w:hAnsi="Times New Roman" w:cs="Times New Roman"/>
          <w:color w:val="000000" w:themeColor="text1"/>
          <w:sz w:val="16"/>
          <w:szCs w:val="16"/>
        </w:rPr>
        <w:softHyphen/>
        <w:t>лась и башня, лоб и борта которой усилива</w:t>
      </w:r>
      <w:r w:rsidRPr="00070ADE">
        <w:rPr>
          <w:rStyle w:val="600"/>
          <w:rFonts w:ascii="Times New Roman" w:hAnsi="Times New Roman" w:cs="Times New Roman"/>
          <w:color w:val="000000" w:themeColor="text1"/>
          <w:sz w:val="16"/>
          <w:szCs w:val="16"/>
        </w:rPr>
        <w:softHyphen/>
        <w:t>лись до 150 мм. Но...</w:t>
      </w:r>
      <w:r w:rsidRPr="00070ADE">
        <w:rPr>
          <w:rStyle w:val="612"/>
          <w:rFonts w:ascii="Times New Roman" w:hAnsi="Times New Roman" w:cs="Times New Roman"/>
          <w:color w:val="000000" w:themeColor="text1"/>
          <w:sz w:val="16"/>
          <w:szCs w:val="16"/>
        </w:rPr>
        <w:t xml:space="preserve"> </w:t>
      </w:r>
      <w:r w:rsidRPr="00070ADE">
        <w:rPr>
          <w:rStyle w:val="600"/>
          <w:rFonts w:ascii="Times New Roman" w:hAnsi="Times New Roman" w:cs="Times New Roman"/>
          <w:color w:val="000000" w:themeColor="text1"/>
          <w:sz w:val="16"/>
          <w:szCs w:val="16"/>
        </w:rPr>
        <w:t>во все том же апреле завод № 100 начал тайно, с санкции Ж.Я. Ко</w:t>
      </w:r>
      <w:r w:rsidRPr="00070ADE">
        <w:rPr>
          <w:rStyle w:val="600"/>
          <w:rFonts w:ascii="Times New Roman" w:hAnsi="Times New Roman" w:cs="Times New Roman"/>
          <w:color w:val="000000" w:themeColor="text1"/>
          <w:sz w:val="16"/>
          <w:szCs w:val="16"/>
        </w:rPr>
        <w:softHyphen/>
        <w:t>тина, разрабатывать конкурента «Объекта 701» - позже эту машину «легализовали» под обозначением ИС-6. Что же касается «большой модернизации» ИС-2, то она по</w:t>
      </w:r>
      <w:r w:rsidRPr="00070ADE">
        <w:rPr>
          <w:rStyle w:val="600"/>
          <w:rFonts w:ascii="Times New Roman" w:hAnsi="Times New Roman" w:cs="Times New Roman"/>
          <w:color w:val="000000" w:themeColor="text1"/>
          <w:sz w:val="16"/>
          <w:szCs w:val="16"/>
        </w:rPr>
        <w:softHyphen/>
        <w:t>просту заглохла</w:t>
      </w:r>
      <w:r w:rsidRPr="00070ADE">
        <w:rPr>
          <w:rStyle w:val="600"/>
          <w:rFonts w:ascii="Times New Roman" w:hAnsi="Times New Roman" w:cs="Times New Roman"/>
          <w:color w:val="000000" w:themeColor="text1"/>
          <w:sz w:val="16"/>
          <w:szCs w:val="16"/>
          <w:lang w:val="ru-RU"/>
        </w:rPr>
        <w:t>.</w:t>
      </w:r>
    </w:p>
    <w:p w14:paraId="0AF310BE" w14:textId="77777777" w:rsidR="00B05D39" w:rsidRPr="00070ADE" w:rsidRDefault="00B05D39" w:rsidP="00B56F90">
      <w:pPr>
        <w:pStyle w:val="113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Несмотря на столь странные действия опытного завода № 100, модернизация ИС-2 все же состоялась, но совсем в другом объеме. Да и занималось ей ОГК-ТП ЧКЗ, где работа над модернизированным корпусом серийного ИС-2 закипела сразу после появления приказа по НКТП № 226. (ЧКЗ - Челябинский Киров</w:t>
      </w:r>
      <w:r w:rsidRPr="00070ADE">
        <w:rPr>
          <w:rFonts w:ascii="Times New Roman" w:hAnsi="Times New Roman" w:cs="Times New Roman"/>
          <w:color w:val="000000" w:themeColor="text1"/>
          <w:sz w:val="16"/>
          <w:szCs w:val="16"/>
        </w:rPr>
        <w:softHyphen/>
        <w:t>ский завод или полностью: «Кировский завод Наркомата танковой промышленности в горо</w:t>
      </w:r>
      <w:r w:rsidRPr="00070ADE">
        <w:rPr>
          <w:rFonts w:ascii="Times New Roman" w:hAnsi="Times New Roman" w:cs="Times New Roman"/>
          <w:color w:val="000000" w:themeColor="text1"/>
          <w:sz w:val="16"/>
          <w:szCs w:val="16"/>
        </w:rPr>
        <w:softHyphen/>
        <w:t>де Челябинске». Такое название носил трак</w:t>
      </w:r>
      <w:r w:rsidRPr="00070ADE">
        <w:rPr>
          <w:rFonts w:ascii="Times New Roman" w:hAnsi="Times New Roman" w:cs="Times New Roman"/>
          <w:color w:val="000000" w:themeColor="text1"/>
          <w:sz w:val="16"/>
          <w:szCs w:val="16"/>
        </w:rPr>
        <w:softHyphen/>
        <w:t>торный завод ЧТЗ с 6 октября 1941 года после эвакуации на его площади харьковского ди</w:t>
      </w:r>
      <w:r w:rsidRPr="00070ADE">
        <w:rPr>
          <w:rFonts w:ascii="Times New Roman" w:hAnsi="Times New Roman" w:cs="Times New Roman"/>
          <w:color w:val="000000" w:themeColor="text1"/>
          <w:sz w:val="16"/>
          <w:szCs w:val="16"/>
        </w:rPr>
        <w:softHyphen/>
        <w:t>зель-моторного и ленинградского Кировского заводов). ИС-2 здесь занялись в первую оче</w:t>
      </w:r>
      <w:r w:rsidRPr="00070ADE">
        <w:rPr>
          <w:rFonts w:ascii="Times New Roman" w:hAnsi="Times New Roman" w:cs="Times New Roman"/>
          <w:color w:val="000000" w:themeColor="text1"/>
          <w:sz w:val="16"/>
          <w:szCs w:val="16"/>
        </w:rPr>
        <w:softHyphen/>
        <w:t>редь: согласно утвержденному ГБТУ КА «Пе</w:t>
      </w:r>
      <w:r w:rsidRPr="00070ADE">
        <w:rPr>
          <w:rFonts w:ascii="Times New Roman" w:hAnsi="Times New Roman" w:cs="Times New Roman"/>
          <w:color w:val="000000" w:themeColor="text1"/>
          <w:sz w:val="16"/>
          <w:szCs w:val="16"/>
        </w:rPr>
        <w:softHyphen/>
        <w:t>речню мероприятий по улучшению качества танка ИС», литую конструкцию носовой части требовалось заменить сварной</w:t>
      </w:r>
      <w:r w:rsidRPr="00070ADE">
        <w:rPr>
          <w:rFonts w:ascii="Times New Roman" w:hAnsi="Times New Roman" w:cs="Times New Roman"/>
          <w:color w:val="000000" w:themeColor="text1"/>
          <w:sz w:val="16"/>
          <w:szCs w:val="16"/>
          <w:lang w:val="ru-RU"/>
        </w:rPr>
        <w:t xml:space="preserve"> (19880)</w:t>
      </w:r>
      <w:r w:rsidRPr="00070ADE">
        <w:rPr>
          <w:rFonts w:ascii="Times New Roman" w:hAnsi="Times New Roman" w:cs="Times New Roman"/>
          <w:color w:val="000000" w:themeColor="text1"/>
          <w:sz w:val="16"/>
          <w:szCs w:val="16"/>
        </w:rPr>
        <w:t xml:space="preserve">. </w:t>
      </w:r>
    </w:p>
    <w:p w14:paraId="29D60D5C" w14:textId="77777777" w:rsidR="00B05D39" w:rsidRPr="00070ADE" w:rsidRDefault="00B05D39" w:rsidP="00B56F90">
      <w:pPr>
        <w:pStyle w:val="1131"/>
        <w:shd w:val="clear" w:color="auto" w:fill="auto"/>
        <w:spacing w:line="240" w:lineRule="auto"/>
        <w:ind w:firstLine="0"/>
        <w:rPr>
          <w:rFonts w:ascii="Times New Roman" w:hAnsi="Times New Roman" w:cs="Times New Roman"/>
          <w:color w:val="000000" w:themeColor="text1"/>
          <w:sz w:val="16"/>
          <w:szCs w:val="16"/>
        </w:rPr>
      </w:pPr>
    </w:p>
    <w:p w14:paraId="55F354C8" w14:textId="21497B77" w:rsidR="00BF53B0" w:rsidRPr="00070ADE" w:rsidRDefault="00BF53B0"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18 апреля 1944 года новый военный представитель на заводе 183 гвардии инженер-полковник А. Вовк</w:t>
      </w:r>
      <w:r w:rsidR="00C63BA9">
        <w:rPr>
          <w:color w:val="000000" w:themeColor="text1"/>
          <w:sz w:val="16"/>
          <w:szCs w:val="16"/>
        </w:rPr>
        <w:t xml:space="preserve"> </w:t>
      </w:r>
      <w:r w:rsidRPr="00070ADE">
        <w:rPr>
          <w:color w:val="000000" w:themeColor="text1"/>
          <w:sz w:val="16"/>
          <w:szCs w:val="16"/>
        </w:rPr>
        <w:t>направил письмо, в котором сообщал о странных активностях на заводе. На заводе он обнаружил комнату, у входа которой была выставлена охрана. Нового военного представителя туда не пустили, мотивируя это тем, что внутрь можно попасть только с личного разрешения</w:t>
      </w:r>
      <w:r w:rsidR="00B643A8" w:rsidRPr="00070ADE">
        <w:rPr>
          <w:color w:val="000000" w:themeColor="text1"/>
          <w:sz w:val="16"/>
          <w:szCs w:val="16"/>
        </w:rPr>
        <w:t xml:space="preserve"> </w:t>
      </w:r>
      <w:hyperlink r:id="rId107" w:history="1">
        <w:r w:rsidRPr="00070ADE">
          <w:rPr>
            <w:rStyle w:val="a5"/>
            <w:bCs/>
            <w:iCs/>
            <w:color w:val="000000" w:themeColor="text1"/>
            <w:sz w:val="16"/>
            <w:szCs w:val="16"/>
            <w:bdr w:val="none" w:sz="0" w:space="0" w:color="auto" w:frame="1"/>
          </w:rPr>
          <w:t>Ж.Я. Котина</w:t>
        </w:r>
      </w:hyperlink>
      <w:r w:rsidRPr="00070ADE">
        <w:rPr>
          <w:color w:val="000000" w:themeColor="text1"/>
          <w:sz w:val="16"/>
          <w:szCs w:val="16"/>
        </w:rPr>
        <w:t>. На вопрос, что это за помещение, Котин ответил, что это его личная рабочая комната.</w:t>
      </w:r>
    </w:p>
    <w:p w14:paraId="73086C12" w14:textId="55B620DF" w:rsidR="00BF53B0" w:rsidRPr="00070ADE" w:rsidRDefault="00BF53B0"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На самом деле в «личной комнате Котина» работали Н.Ф. Шашмурин, А.С. Шнейдман, Г.А. Турчанинов и другие конструкторы. У них имелась своя версия:</w:t>
      </w:r>
      <w:r w:rsidR="00B643A8" w:rsidRPr="00070ADE">
        <w:rPr>
          <w:color w:val="000000" w:themeColor="text1"/>
          <w:sz w:val="16"/>
          <w:szCs w:val="16"/>
        </w:rPr>
        <w:t xml:space="preserve"> </w:t>
      </w:r>
      <w:r w:rsidRPr="00070ADE">
        <w:rPr>
          <w:iCs/>
          <w:color w:val="000000" w:themeColor="text1"/>
          <w:sz w:val="16"/>
          <w:szCs w:val="16"/>
          <w:bdr w:val="none" w:sz="0" w:space="0" w:color="auto" w:frame="1"/>
        </w:rPr>
        <w:t>«Это курительная комната»</w:t>
      </w:r>
      <w:r w:rsidRPr="00070ADE">
        <w:rPr>
          <w:color w:val="000000" w:themeColor="text1"/>
          <w:sz w:val="16"/>
          <w:szCs w:val="16"/>
        </w:rPr>
        <w:t>. Разразился скандал, по этому поводу шла бурная переписка с указанием привести работу по текущим проектам и взаимоотношения с военной приёмкой в нормальное русло. Тем не менее активность по «посторонним» темам отнюдь не прекратилась. Тайная комната была местом, где велись работы по тяжёлому танку, который должен был стать конкурентом Объекту 701. Поскольку за такую работу со стороны НКТП могли последовать серьёзные проблемы, работы проходили в режиме секретности. Понятно и покровительство всему этому со стороны Котина: его явно не устраивал тот факт, что опытный завод №100 из центра разработки новых образцов бронетанковой техники превратился в структуру, которая должна работать на подхвате. В свою очередь, ЧКЗ, который должен был выпускать разработки завода №100, обзавёлся собственным КБ, которое и занималось Объектом 701. Отношения между заводом №100 и ЧКЗ особенно обострились в конце 1943 — начале 1944 года. На этом фоне появление конкурента Объекта 701 выглядело вполне ожидаемым (19150).</w:t>
      </w:r>
    </w:p>
    <w:p w14:paraId="2526F291" w14:textId="77777777" w:rsidR="00BF53B0" w:rsidRPr="00070ADE" w:rsidRDefault="00BF53B0" w:rsidP="00B56F90">
      <w:pPr>
        <w:pStyle w:val="ae"/>
        <w:shd w:val="clear" w:color="auto" w:fill="FFFFFF"/>
        <w:spacing w:before="0" w:after="0"/>
        <w:jc w:val="both"/>
        <w:textAlignment w:val="baseline"/>
        <w:rPr>
          <w:color w:val="000000" w:themeColor="text1"/>
          <w:sz w:val="16"/>
          <w:szCs w:val="16"/>
        </w:rPr>
      </w:pPr>
    </w:p>
    <w:p w14:paraId="62345A3F" w14:textId="77777777" w:rsidR="00BF53B0" w:rsidRPr="00070ADE" w:rsidRDefault="00BF53B0"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г. была подготовлена ДОКЛАДНАЯ ЗАПИСКА НАЧАЛЬНИКА УСА ГБТУ КА ЗАМЕСТИТЕЛЮ НАЧАЛЬНИКА ГАУ КА О ПРОВЕДЕНИИ ПОЛИГОННЫХ ИСПЫТАНИЙ АМЕРИКАНСКОЙ САМОХОДНОЙ АРТИЛЛЕРИЙСКОЙ УСТАНОВКИ Т-70 № 555867</w:t>
      </w:r>
    </w:p>
    <w:p w14:paraId="0D771E39" w14:textId="77777777" w:rsidR="00BF53B0" w:rsidRPr="00070ADE" w:rsidRDefault="00BF53B0"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ГБТУ Красной Армии получена новая американская самоходная артиллерийская установка Т-70, вооруженная 76-мм пушкой М1 и 12,7-мм пулеметом «Браунинг».</w:t>
      </w:r>
    </w:p>
    <w:p w14:paraId="2DCF236F" w14:textId="77777777" w:rsidR="00BF53B0" w:rsidRPr="00070ADE" w:rsidRDefault="00BF53B0"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Вашего распоряжения о проведении полигонных испытаний вооружения указанной установки.</w:t>
      </w:r>
    </w:p>
    <w:p w14:paraId="7E8F3209" w14:textId="77777777" w:rsidR="00BF53B0" w:rsidRPr="00070ADE" w:rsidRDefault="00BF53B0"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проведении испытания прошу дополнительно включить в типовую программу Арткома:</w:t>
      </w:r>
    </w:p>
    <w:p w14:paraId="567F85DE" w14:textId="77777777" w:rsidR="00BF53B0" w:rsidRPr="00070ADE" w:rsidRDefault="00BF53B0"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Определить физико-химические характеристики американской жидкости для противооткат</w:t>
      </w:r>
      <w:r w:rsidRPr="00070ADE">
        <w:rPr>
          <w:rFonts w:ascii="Times New Roman" w:hAnsi="Times New Roman"/>
          <w:color w:val="000000" w:themeColor="text1"/>
          <w:sz w:val="16"/>
          <w:szCs w:val="16"/>
        </w:rPr>
        <w:softHyphen/>
        <w:t>ных устройств пушки.</w:t>
      </w:r>
    </w:p>
    <w:p w14:paraId="753F8690" w14:textId="77777777" w:rsidR="00BF53B0" w:rsidRPr="00070ADE" w:rsidRDefault="00BF53B0"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Выяснить возможность применения штатной американской жидкости в зимнее и летнее время, замены американской жидкости отечественной и смешения штатной американской жидко</w:t>
      </w:r>
      <w:r w:rsidRPr="00070ADE">
        <w:rPr>
          <w:rFonts w:ascii="Times New Roman" w:hAnsi="Times New Roman"/>
          <w:color w:val="000000" w:themeColor="text1"/>
          <w:sz w:val="16"/>
          <w:szCs w:val="16"/>
        </w:rPr>
        <w:softHyphen/>
        <w:t>сти с этим заменителем.</w:t>
      </w:r>
    </w:p>
    <w:p w14:paraId="211A3840" w14:textId="77777777" w:rsidR="00BF53B0" w:rsidRPr="00070ADE" w:rsidRDefault="00BF53B0"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Выяснить возможность применения отечественных боеприпасов (осколочного, кумулятивно</w:t>
      </w:r>
      <w:r w:rsidRPr="00070ADE">
        <w:rPr>
          <w:rFonts w:ascii="Times New Roman" w:hAnsi="Times New Roman"/>
          <w:color w:val="000000" w:themeColor="text1"/>
          <w:sz w:val="16"/>
          <w:szCs w:val="16"/>
        </w:rPr>
        <w:softHyphen/>
        <w:t>го и подкалиберного снарядов) для стрельбы из 76-мм американской пушки М1.</w:t>
      </w:r>
    </w:p>
    <w:p w14:paraId="05ECC57F" w14:textId="77777777" w:rsidR="00BF53B0" w:rsidRPr="00070ADE" w:rsidRDefault="00BF53B0"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Ходовые испытания включать в программу считаю нецелесообразным, так как они проводятся НИ полигоном ГБТУ.</w:t>
      </w:r>
    </w:p>
    <w:p w14:paraId="67614F3C" w14:textId="77777777" w:rsidR="00BF53B0" w:rsidRPr="00070ADE" w:rsidRDefault="00BF53B0"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Самоходную установку Т-70, укомплектованную экипажем и снабженную одной заправкой горю</w:t>
      </w:r>
      <w:r w:rsidRPr="00070ADE">
        <w:rPr>
          <w:rFonts w:ascii="Times New Roman" w:hAnsi="Times New Roman"/>
          <w:color w:val="000000" w:themeColor="text1"/>
          <w:sz w:val="16"/>
          <w:szCs w:val="16"/>
        </w:rPr>
        <w:softHyphen/>
        <w:t>че-смазочных материалов (на 280 км пробега), а также 500 выстрелов с бронебойным снарядом и 250 выстрелов с осколочным снарядом, УСА ГБТУ КА доставить к началу мая по указанному Вами адресу.</w:t>
      </w:r>
    </w:p>
    <w:p w14:paraId="1B29902F" w14:textId="77777777" w:rsidR="00BF53B0" w:rsidRPr="00070ADE" w:rsidRDefault="00BF53B0"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Отчет о проведенных испытаниях, памятку экипажу и руководство службы по вооружению установ</w:t>
      </w:r>
      <w:r w:rsidRPr="00070ADE">
        <w:rPr>
          <w:rFonts w:ascii="Times New Roman" w:hAnsi="Times New Roman"/>
          <w:color w:val="000000" w:themeColor="text1"/>
          <w:sz w:val="16"/>
          <w:szCs w:val="16"/>
        </w:rPr>
        <w:softHyphen/>
        <w:t>ки (пушки, 12,7-мм пулемета «Браунинг», прицелам и боеприпасам) желательно получить к 1.06.1944 г.</w:t>
      </w:r>
    </w:p>
    <w:p w14:paraId="248D1752" w14:textId="77777777" w:rsidR="00BF53B0" w:rsidRPr="00070ADE" w:rsidRDefault="00BF53B0"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Вашем решении по данному вопросу прошу поставить меня в известность.</w:t>
      </w:r>
    </w:p>
    <w:p w14:paraId="53C459C3" w14:textId="77777777" w:rsidR="00BF53B0" w:rsidRPr="00070ADE" w:rsidRDefault="00BF53B0"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УСА ГБТУ КА генерал-майор инженерно-танковой службы Алымов</w:t>
      </w:r>
    </w:p>
    <w:p w14:paraId="2EB477CA" w14:textId="77777777" w:rsidR="00BF53B0" w:rsidRPr="00070ADE" w:rsidRDefault="00BF53B0"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2 отдела УСА ГБТУ КА инженер-подполковник Рогачев</w:t>
      </w:r>
    </w:p>
    <w:p w14:paraId="5C645414" w14:textId="77777777" w:rsidR="00BF53B0" w:rsidRPr="00070ADE" w:rsidRDefault="00BF53B0"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11369. Д. 284. Л. 60-61. Копия (11403).</w:t>
      </w:r>
    </w:p>
    <w:p w14:paraId="0FFA58FD" w14:textId="77777777" w:rsidR="00BF53B0" w:rsidRPr="00070ADE" w:rsidRDefault="00BF53B0" w:rsidP="00B56F90">
      <w:pPr>
        <w:autoSpaceDE w:val="0"/>
        <w:autoSpaceDN w:val="0"/>
        <w:adjustRightInd w:val="0"/>
        <w:spacing w:after="0" w:line="240" w:lineRule="auto"/>
        <w:jc w:val="both"/>
        <w:rPr>
          <w:rFonts w:ascii="Times New Roman" w:hAnsi="Times New Roman"/>
          <w:color w:val="000000" w:themeColor="text1"/>
          <w:sz w:val="16"/>
          <w:szCs w:val="16"/>
        </w:rPr>
      </w:pPr>
    </w:p>
    <w:p w14:paraId="47ED8BA0" w14:textId="77777777" w:rsidR="00B05D39" w:rsidRPr="00070ADE" w:rsidRDefault="00B05D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18 апреля 1944 года в адрес В.Г. Грабина, начальника ЦАКБ и конструкторов ЦАКБ А.С. Часовникова и С.Д. Казарина, ушло письмо из ГБТУ КА. В нем указывалось, что в СССР продолжают поступать Valentine с 2-фунтовыми пушками (прежде всего это касалось Valentine V). Поэтому появилось предложение к ЦАКБ рассмотреть возможность установки в штатную башню танка 85-мм пушки С-53 (22723).</w:t>
      </w:r>
    </w:p>
    <w:p w14:paraId="7F1255A8" w14:textId="77777777" w:rsidR="00B05D39" w:rsidRPr="00070ADE" w:rsidRDefault="00B05D39" w:rsidP="00B56F90">
      <w:pPr>
        <w:spacing w:after="0" w:line="240" w:lineRule="auto"/>
        <w:jc w:val="both"/>
        <w:rPr>
          <w:rFonts w:ascii="Times New Roman" w:hAnsi="Times New Roman"/>
          <w:color w:val="000000" w:themeColor="text1"/>
          <w:sz w:val="16"/>
          <w:szCs w:val="16"/>
        </w:rPr>
      </w:pPr>
    </w:p>
    <w:p w14:paraId="12348D9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года вышел приказ № 186с НКБ</w:t>
      </w:r>
    </w:p>
    <w:p w14:paraId="0528D61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организации производства приборов и станков на заводе № 139 НКБ по оснащению взрывательных и других заводов НКБ:</w:t>
      </w:r>
    </w:p>
    <w:p w14:paraId="0AA9E9FB" w14:textId="77777777" w:rsidR="00595BFB" w:rsidRPr="00070ADE" w:rsidRDefault="00595BFB" w:rsidP="00B56F9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Передать завод № 139 НКБ из 4 Гл. управления во 2 Гл. управление НКБ (6014, 1).</w:t>
      </w:r>
    </w:p>
    <w:p w14:paraId="3381E972" w14:textId="77777777" w:rsidR="00595BFB" w:rsidRPr="00070ADE" w:rsidRDefault="00595BFB" w:rsidP="00B56F90">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E59B2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Распоряжение ГКО № 5639. О продлении до 1 мая 1944 г. работы на лесозаготовках в Архангельской обл. мобилизованных из Рязанской, Орловской, Ярославской, Кировской, Вологодской и Курской обл. РГАНИР, Фонд ГКО, д. 238, лл. 19 (11012).</w:t>
      </w:r>
    </w:p>
    <w:p w14:paraId="187DC7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C56FED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Распоряжение ГКО № 5640. О мобилизации 3,5 тыс. чел. городского и сельского населения на работы по добыче живицы на предприятиях Наркомлеса СССР. РГАНИР, Фонд ГКО, д. 238, лл. 20,21 (11012).</w:t>
      </w:r>
    </w:p>
    <w:p w14:paraId="207BBB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5D5E4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Распоряжение ГКО № 5641. О мобилизации 900 чел. сельского населения на торфопредприятие "Пальцо" Орловской обл. РГАНИР, Фонд ГКО, д. 238, лл. 22 (11012).</w:t>
      </w:r>
    </w:p>
    <w:p w14:paraId="39B3FC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8ED60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Распоряжение ГКО № 5642. О поставках оборудования Гомельской ЦЭС. РГАНИР, Фонд ГКО, д. 238, лл. 23-24,25 (11012).</w:t>
      </w:r>
    </w:p>
    <w:p w14:paraId="55A78A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77F6EB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Распоряжение ГКО № 5645. О мерах по обеспечению бесперебойного снабжения потребителей основными оборонными спецсмазками во II кв. 1944 г. РГАНИР, Фонд ГКО, д. 238, лл. 30-32,33-37 (11012).</w:t>
      </w:r>
    </w:p>
    <w:p w14:paraId="0EC6CC2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B92C90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Постановление ГКО № 5646 О плане распределения природного газа на II квартал 1944 г. по трестам Главгазтоппрома при Совнаркоме СССР. РГАНИР, Фонд ГКО, д. 238, лл. 38,39-41 (11012).</w:t>
      </w:r>
    </w:p>
    <w:p w14:paraId="49383C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D8679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г. Постановление ГКО № 5647 «О Всесоюзном научно-исследовательском институте радиолокации № 108 Наркомэлектропрома» (Д. 316. Л. 45–70).</w:t>
      </w:r>
    </w:p>
    <w:p w14:paraId="7AF6244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FD9C5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Постановление ГКО № 5648 О плане производства и распределения карбида кальция на II квартал 1944 г. и мерах по обеспечению его производства. РГАНИР, Фонд ГКО, д. 238, лл. 73-78,79-85 (11012).</w:t>
      </w:r>
    </w:p>
    <w:p w14:paraId="708CE5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83E1C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Постановление ГКО № 5649 О строительстве Казахского металлургического завода Наркомчермета. РГАНИР, Фонд ГКО, д. 238, лл. 86-90,91-95 (11012).</w:t>
      </w:r>
    </w:p>
    <w:p w14:paraId="31C986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B3B15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Постановление ГКО № 5650 Об обеспечении заводов Наркомминвооружения лесоматериалами для производства сельхозмашин. РГАНИР, Фонд ГКО, д. 238, лл. 96-99,100-102 (11012).</w:t>
      </w:r>
    </w:p>
    <w:p w14:paraId="44AA3B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1BF002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Распоряжение ГКО № 5651. Об освобождении от призыва в КА студентов учебных заведений Наркомтекстиля СССР. РГАНИР, Фонд ГКО, д. 238, лл. 103 (11012).</w:t>
      </w:r>
    </w:p>
    <w:p w14:paraId="2775E8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172E9B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Распоряжение ГКО № 5651 [Об освобождении от призыва в КА студентов учебных заведений Наркомтекстиля СССР.] (7215, 103).</w:t>
      </w:r>
    </w:p>
    <w:p w14:paraId="607D926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669A2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Распоряжение ГКО № 5652. О поставках рыбы в Москву и Горький для обеспечения рабочих торфопредприятий этих областей. РГАНИР, Фонд ГКО, д. 238, лл. 104 (11012).</w:t>
      </w:r>
    </w:p>
    <w:p w14:paraId="1734224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614F24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Распоряжение ГКО № 5653 [О распределении телег, саней и упряжи, изготовляемых предприятиями местной промышленности и промкооперации РСФСР.] (7215, 105).</w:t>
      </w:r>
    </w:p>
    <w:p w14:paraId="2C9ECBB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F9B0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Распоряжение ГКО № 5654. О мерах по обеспечению автомобильных и танковых заводов бумажными прокладками. РГАНИР, Фонд ГКО, д. 238, лл. 106 (11012).</w:t>
      </w:r>
    </w:p>
    <w:p w14:paraId="1FFABE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16EDB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Распоряжение ГКО№ 5655. О приостановке строительства Губахинского азотно-тукового завода и переброске рабочих, ИТР, автотранспорта и оборудования на восстановление Горловского азотно-тукового завода. РГАНИР, Фонд ГКО, д. 238, лл. 107 (11012).</w:t>
      </w:r>
    </w:p>
    <w:p w14:paraId="44F3611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7DFFDD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Распоряжение ГКО № 5656 [О мерах по расширению производства на кабельных заводах НКЭП эмалированного медного провода размером от 0,05 до 0,19 мм.] (7215, 108).</w:t>
      </w:r>
    </w:p>
    <w:p w14:paraId="7719856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1ED28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Распоряжение ГКО № 5657 [О реэвакуации Центрального научно-исследовательского котлотурбинного института (ЦКТИ) НКТМ из Москвы и Свердловска в Ленинград.] (7215, 109).</w:t>
      </w:r>
    </w:p>
    <w:p w14:paraId="1E7E408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7D840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Распоряжение ГКО № 5658 [О создании самостоятельного Центрального управления стройматериалов НКПС.] (7215, 110).</w:t>
      </w:r>
    </w:p>
    <w:p w14:paraId="263FFC3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BB3F1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Распоряжение ГКО№ 5659. О снятии взыскания с зам. наркома НКТП Попова М.Н. РГАНИР, Фонд ГКО, д. 238, лл. 111 (11012).</w:t>
      </w:r>
    </w:p>
    <w:p w14:paraId="4D712EC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A1C49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Распоряжение ГКО № 5660. О переводе на постоянную работу на Ленинградский шинный завод НКРП 50 бойцов, работающих там. РГАНИР, Фонд ГКО, д. 238, лл. 112 (11012).</w:t>
      </w:r>
    </w:p>
    <w:p w14:paraId="7A4A2DE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AD0AEF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Распоряжение ГКО № 5661 [О передаче НКАП разрушенных зданий в Воронеже для восстановления авиатехникума.] (7215, 113).</w:t>
      </w:r>
    </w:p>
    <w:p w14:paraId="02D634A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AE66C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Распоряжение ГКО № 5662 [О возвращении в Ленинград Военной электротехнической академии связи КА им. С.М. Буденного.] (7215, 114).</w:t>
      </w:r>
    </w:p>
    <w:p w14:paraId="33A982B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0772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Постановление ГКО № 5663 Об изменении количества импортного оборудования, поставляемого СТЗ. РГАНИР, Фонд ГКО, д. 238, лл. 115 (11012).</w:t>
      </w:r>
    </w:p>
    <w:p w14:paraId="7DC92CC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9C794A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Распоряжение ГКО № 5664. О мерах по обеспечению надежного снабжения паром от Красноярской ТЭЦ НКЭС завода № 580 НКБ. РГАНИР, Фонд ГКО, д. 238, лл. 116-117 (11012).</w:t>
      </w:r>
    </w:p>
    <w:p w14:paraId="689E93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695FD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Постановление ГКО № 5665 О мероприятиях по обеспечению выполнения программы подрядных работ Главвоенпромстроя при Совнаркоме СССР во II кв. 1944 г. РГАНИР, Фонд ГКО, д. 238, лл. 118-128,129-137 (11012).</w:t>
      </w:r>
    </w:p>
    <w:p w14:paraId="6339096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E2BD4B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Постановление ГКО № 5668 О выделении материальных ресурсов для закладки в государственный резерв на II квартал 1944 г. (7215, 181-185,186-199).</w:t>
      </w:r>
    </w:p>
    <w:p w14:paraId="128C782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EB2E5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Постановление ГКО № 5669 О поставке химического сырья, материалов и изделий медицинской промышленности эвакогоспиталям и лечебной сети Наркомздрава СССР во II квартале 1944 года. РГАНИР, Фонд ГКО, д. 239, лл. 1-5,6-28 (11012).</w:t>
      </w:r>
    </w:p>
    <w:p w14:paraId="265C96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9007B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Постановление ГКО № 5670 О возврате конденсата промышленными предприятиями на электростанции. РГАНИР, Фонд ГКО, д. 239, лл. 20-31,32-36 (11012).</w:t>
      </w:r>
    </w:p>
    <w:p w14:paraId="3286D7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A04EDA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Распоряжение ГКО № 5671 [О поставке оборудования Институту электросварки АН СССР и подготовке специалистов и рабочих автоматической сварки под слоем флюса.] (7216, 37-38,39-41).</w:t>
      </w:r>
    </w:p>
    <w:p w14:paraId="2A1E48C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DAF9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Распоряжение ГКО № 5672. О рассмотрении и внесении на утверждение ГКО предложений по расширению производства понтонно-переправочных средств для КА на заводе № 342 НКСП. РГАНИР, Фонд ГКО, д. 239, лл. 42,43-55 (11012).</w:t>
      </w:r>
    </w:p>
    <w:p w14:paraId="7994EE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1808B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Постановление ГКО № 5673 О восстановлении Мариупольского графитового завода Наркомстройматериалов СССР. РГАНИР, Фонд ГКО, д. 239, лл. 56-57,58 (11012).</w:t>
      </w:r>
    </w:p>
    <w:p w14:paraId="1B76B4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3F7A49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Распоряжение ГКО № 5674. О заказе на импорт станочного оборудования и измерительных приборов для Главкислорода при СНК СССР. РГАНИР, Фонд ГКО, д. 239, лл. 59,60-68 (11012).</w:t>
      </w:r>
    </w:p>
    <w:p w14:paraId="3E72D6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68E7C1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Постановление ГКО № 5675 О материально-техническом обеспечении бумажных и печатных фабрик Гознака Наркомфина СССР во II квартале 1944 г. РГАНИР, Фонд ГКО, д. 239, лл. 69-71,72-77 (11012).</w:t>
      </w:r>
    </w:p>
    <w:p w14:paraId="333A999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A2290D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Постановление ГКО № 5676 О мероприятиях по увеличению выработки тунгового масла. (7216, 78-82,83).</w:t>
      </w:r>
    </w:p>
    <w:p w14:paraId="4B1B6C4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1600B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Постановление ГКО № 5677 О восстановлении Гомельского паровозоремонтного завода НКПС. (7216, 84-88,89).</w:t>
      </w:r>
    </w:p>
    <w:p w14:paraId="452732C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D4716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700E9C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85D505"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в 1944 году оперативная сводка Совинформбюро:</w:t>
      </w:r>
    </w:p>
    <w:p w14:paraId="584A1E78"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18 апреля к востоку от города Станислав наши войска отбивали атаки пехоты и танков противника и нанесли ему большие потери в живой силе и технике.</w:t>
      </w:r>
    </w:p>
    <w:p w14:paraId="2E7FD2F6"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Севастопольском направлении наши войска, сломив сопротивление противника, овладели районным центром Крыма городом Балаклава, а также с боями заняли населённые пункты Алсу, Камары, Кадыковка, Кучук-Мускомья, Батилиман.</w:t>
      </w:r>
    </w:p>
    <w:p w14:paraId="78CCFA62"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поиски разведчиков.</w:t>
      </w:r>
    </w:p>
    <w:p w14:paraId="6AAE8BB1"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17 апреля наши войска на всех фронтах подбили и уничтожили 21 немецкий танк. В воздушных боях и огнём зенитной артиллерии сбито 36 самолётов противника.».</w:t>
      </w:r>
    </w:p>
    <w:p w14:paraId="4531FC83"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Массированный налёт нашей авиации на железнодорожный узел и морской порт Констанца.</w:t>
      </w:r>
    </w:p>
    <w:p w14:paraId="29B1070E"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18 апреля наша авиация дальнего действия произвела массированный налёт на железнодорожный узел и морской порт Констанца (Румыния). В результате бомбардировки возникли многочисленные пожары. В порту и на железнодорожном узле наблюдением отмечено несколько сильных взрывов.</w:t>
      </w:r>
    </w:p>
    <w:p w14:paraId="07687948"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Один наш самолёт не вернулся на свой аэродром.».</w:t>
      </w:r>
    </w:p>
    <w:p w14:paraId="4E0186CA"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«К востоку от города Станислав немцы сосредоточили крупные силы и атаковал инаши позиции. Части Н-ского соединения в течение дня отбили пятнадцать атак противника и нанесли ему большие потери в людях и технике. На поле боя осталось свыше 700 вражеских трупов. Советские артиллеристы и бронебойщики подбили и сожгли 18 немецких танков, 10 бронетранспортёров и 20 автомашин с автоматчиками.</w:t>
      </w:r>
    </w:p>
    <w:p w14:paraId="2B9CBFBC"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Восемь лётчиков-истребителей во главе с гвардии майором Павловым, патрулируя в воздухе, заметили 30 немецких пикирующих бомбардировщиков, летевших в сопровождении истребителей. Немцы пытались нанести удар по боевым порядкам наших войск. Советские лётчики атаковали противника. В ожесточённом воздушном бою сбито три немецких бомбардировщика «Юнкерс-87» и один истребитель «Фокке-Вульф-190». Кроме того, два самолёта противника повреждены. Все наши лётчики благополучно вернулись на свой аэродром.</w:t>
      </w:r>
    </w:p>
    <w:p w14:paraId="37746CA9"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Севастопольском направлении наши войска продолжали вести наступательные бои. Остатки разбитых соединений противника, скопившиеся в районе Севастополя, оказывают отчаянное сопротивление. Немцы устраивают завалы, нагромождают как можно больше препятствий на пути наших войск и взрывают мосты через горные речки. На ряде участков противник использует румын в качестве частей прикрытия. В тылу румын расположены отряды немецких автоматчиков и пулемётчиков. При малейшей попытке румын перейти на сторону Красной Армии или отступить гитлеровцы открывают огонь по своим румынским «союзникам».</w:t>
      </w:r>
    </w:p>
    <w:p w14:paraId="08794F50"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наступающие вдоль южного побережья Крыма, овладев селением Байдары, ночью выбили немцев из нескольких населённых пунктов. Развивая успех, наша пехота, поддержанная танками и самоходными орудиями, прорвала заранее подготовленную полосу обороны противника и в результате упорного боя овладела районным центром Крыма городом Балаклава. Захвачены трофеи и много пленных.</w:t>
      </w:r>
    </w:p>
    <w:p w14:paraId="30E46137"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Советская авиация наносила удары по боевым порядкам и скоплениям немецких и румынских войск. В воздушных боях наши лётчики сбили 8 немецких самолётов. Кроме того, огнём зенитной артиллерии уничтожены 6 самолётов противника.</w:t>
      </w:r>
    </w:p>
    <w:p w14:paraId="44725AD0"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Украинский партизанский отряд, действующий в Волынской области, за несколько дней апреля на шоссейных и грунтовых дорогах подорвал 6 немецких танков, 3 бронемашины и 9 грузовых автомашин. Группа партизан этого же отряда пустила под откос немецкий воинский эшелон с боеприпасами. В другом районе три волынских партизанских отряда атаковали опорный пункт противника. В результате стремительного удара партизаны сломили сопротивление гитлеровцев и овладели опорным пунктом. На поле боя осталось более 100 трупов немецких солдат и офицеров.</w:t>
      </w:r>
    </w:p>
    <w:p w14:paraId="7212C39D"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Взятые в плен в Крыму командиры 2 и 3 рот 12 батальона 3 румынской горнострелковой дивизии капитан Лазареску и капитан Георгиу рассказали: «Немцы предали нас. Они взяли власть над румынскими войсками и распоряжаются нами, какхотят. В случае беды немцы заставляют румын подставлять свои головы под русские пули, а сами удирают. Вначале мы отступали вместе с немцами. Когда русские настигли наши колонны и, как говорится, вцепились в наш воротник, немцы быстро сели в автомашины. Часть румынских офицеров и солдат попыталась также сесть вгрузовики. Однако немцы открыли пулемётный огонь. Румынские солдаты также прибегли к оружию. С обеих сторон были раненые и убитые. Немцам удалось уехать на автомашинах, но многих из них мы через день встретили на сборном пункте для военнопленных. Румыны, оставшись одни, смастерили из нижних рубашек белые флаги. Вторая и третья роты при появлении русских танков в полном составе сдались в плен».</w:t>
      </w:r>
    </w:p>
    <w:p w14:paraId="54E74702" w14:textId="77777777" w:rsidR="001732E9" w:rsidRPr="00070ADE" w:rsidRDefault="001732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Немецко-фашистские мерзавцы с лихорадочной поспешностью уничтожают следысвоих кровавых преступлений. В городе Каунас и его окрестностях немецкие военные власти сжигают трупы советских граждан, загубленных и расстрелянных гитлеровцами за время оккупации. В 1941 и 1942 г.г. немцы только на территории IX форта в Каунасе расстреляли и похоронили около тридцати тысяч человек. Несколько месяцев тому назад гестапо сформировало специальную команду. Эта команда разрывает массовые могилы, извлекает трупы, складывает их в штабеля и сжигает. По вполне понятным причинам гитлеровцы стараются держать всё это в глубокой тайне. Весь район IX форта объявлен запретной зоной. Немецкие военные власти расклеили в городе приказ, в котором предупредили жителей, что всякий, кто подойдет близко к IX форту, будет немедленно расстрелян. По последним полученным сведениям, гитлеровцы уже сожгли в IX форту большую часть трупов расстрелянных ими мирных советских жителей.» (15103).</w:t>
      </w:r>
    </w:p>
    <w:p w14:paraId="479C03FF" w14:textId="77777777" w:rsidR="001732E9" w:rsidRPr="00070ADE" w:rsidRDefault="001732E9" w:rsidP="00B56F90">
      <w:pPr>
        <w:spacing w:after="0" w:line="240" w:lineRule="auto"/>
        <w:jc w:val="both"/>
        <w:rPr>
          <w:rFonts w:ascii="Times New Roman" w:hAnsi="Times New Roman"/>
          <w:color w:val="000000" w:themeColor="text1"/>
          <w:sz w:val="16"/>
          <w:szCs w:val="16"/>
        </w:rPr>
      </w:pPr>
    </w:p>
    <w:p w14:paraId="34629A9A" w14:textId="77777777" w:rsidR="00B05D39" w:rsidRPr="00070ADE" w:rsidRDefault="00B05D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18 апреля 1944 до 75 самолётов снова нанесли удар по Киеву. Всё это время в воз</w:t>
      </w:r>
      <w:r w:rsidRPr="00070ADE">
        <w:rPr>
          <w:rFonts w:ascii="Times New Roman" w:hAnsi="Times New Roman"/>
          <w:color w:val="000000" w:themeColor="text1"/>
          <w:sz w:val="16"/>
          <w:szCs w:val="16"/>
        </w:rPr>
        <w:softHyphen/>
        <w:t>духе находились аэростаты заграждения. Один из немецких самолётов на высоте 1500 м налетел на трос аэростата, поднятого в Киеве перед мостом на острове. В момент столкновения удар был та</w:t>
      </w:r>
      <w:r w:rsidRPr="00070ADE">
        <w:rPr>
          <w:rFonts w:ascii="Times New Roman" w:hAnsi="Times New Roman"/>
          <w:color w:val="000000" w:themeColor="text1"/>
          <w:sz w:val="16"/>
          <w:szCs w:val="16"/>
        </w:rPr>
        <w:softHyphen/>
        <w:t>кой силы, что прицепную лебёдку опрокинуло и протащило по земле. Затем стальной трос лоп</w:t>
      </w:r>
      <w:r w:rsidRPr="00070ADE">
        <w:rPr>
          <w:rFonts w:ascii="Times New Roman" w:hAnsi="Times New Roman"/>
          <w:color w:val="000000" w:themeColor="text1"/>
          <w:sz w:val="16"/>
          <w:szCs w:val="16"/>
        </w:rPr>
        <w:softHyphen/>
        <w:t>нул. Через 10 минут посты ВНОС 7-го корпуса ПВО доложили, что в 29 км от Киева совершил аварийную посадку бомбардировщик Ju-88. Ле</w:t>
      </w:r>
      <w:r w:rsidRPr="00070ADE">
        <w:rPr>
          <w:rFonts w:ascii="Times New Roman" w:hAnsi="Times New Roman"/>
          <w:color w:val="000000" w:themeColor="text1"/>
          <w:sz w:val="16"/>
          <w:szCs w:val="16"/>
        </w:rPr>
        <w:softHyphen/>
        <w:t>вый винт его был опутан тросом, а крыло по</w:t>
      </w:r>
      <w:r w:rsidRPr="00070ADE">
        <w:rPr>
          <w:rFonts w:ascii="Times New Roman" w:hAnsi="Times New Roman"/>
          <w:color w:val="000000" w:themeColor="text1"/>
          <w:sz w:val="16"/>
          <w:szCs w:val="16"/>
        </w:rPr>
        <w:softHyphen/>
        <w:t>вреждено от механического воздействия. Экипаж самолёта взяли в плен (20120).</w:t>
      </w:r>
    </w:p>
    <w:p w14:paraId="45D1D6DE" w14:textId="77777777" w:rsidR="00B05D39" w:rsidRPr="00070ADE" w:rsidRDefault="00B05D39" w:rsidP="00B56F90">
      <w:pPr>
        <w:spacing w:after="0" w:line="240" w:lineRule="auto"/>
        <w:jc w:val="both"/>
        <w:rPr>
          <w:rFonts w:ascii="Times New Roman" w:hAnsi="Times New Roman"/>
          <w:color w:val="000000" w:themeColor="text1"/>
          <w:sz w:val="16"/>
          <w:szCs w:val="16"/>
        </w:rPr>
      </w:pPr>
    </w:p>
    <w:p w14:paraId="4752398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советские войска освободили Балаклаву (Крым) (4962).</w:t>
      </w:r>
    </w:p>
    <w:p w14:paraId="387605D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CA4D5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советским командованием создан 3-й Прибалтийский фронт (4962).</w:t>
      </w:r>
    </w:p>
    <w:p w14:paraId="4604D1D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F35F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днем бомбили еще два каравана, направлявшихся из Севастополя в Румынию (438,901).</w:t>
      </w:r>
    </w:p>
    <w:p w14:paraId="309915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D6E86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7E9DDA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E2DD8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Распоряжение ГКО № 5643 [О строительстве паромной переправы через Днепр у г. Черкассы силами ГДУ КА.] (7215, 26).</w:t>
      </w:r>
    </w:p>
    <w:p w14:paraId="025869C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DE5E1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Постановление ГКО № 5644 О строительной организации Дворца Советов. (7215, 27-29).</w:t>
      </w:r>
    </w:p>
    <w:p w14:paraId="31CD7D8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56036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вышло Постановление ГКО № 5666 О мероприятиях по охране от пожаров лесов Наркомлеса СССР, Главлесоохраны при Совнаркоме СССР и других лесофондодержателей в летний период 1944 г. (7215, 138-142,143-144).</w:t>
      </w:r>
    </w:p>
    <w:p w14:paraId="05CD725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A7567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FAD8A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A12DC1"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в 1944 году из-за поломки шасси потерпел катастрофу первый самолет «Ta-154V-9», собранным в Познани и принятый в качестве эталона для серии. Экипаж погиб (15103).</w:t>
      </w:r>
    </w:p>
    <w:p w14:paraId="15653296" w14:textId="77777777" w:rsidR="000F02F6" w:rsidRPr="00070ADE" w:rsidRDefault="000F02F6" w:rsidP="00B56F90">
      <w:pPr>
        <w:spacing w:after="0" w:line="240" w:lineRule="auto"/>
        <w:jc w:val="both"/>
        <w:rPr>
          <w:rFonts w:ascii="Times New Roman" w:hAnsi="Times New Roman"/>
          <w:color w:val="000000" w:themeColor="text1"/>
          <w:sz w:val="16"/>
          <w:szCs w:val="16"/>
        </w:rPr>
      </w:pPr>
    </w:p>
    <w:p w14:paraId="65EB0C2D" w14:textId="77777777" w:rsidR="00B05D39" w:rsidRPr="00070ADE" w:rsidRDefault="00B05D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18–19 апреля (ночь) 1944 847 британских бомбардировщиков атаковали железнодорожные станции в Руане, Жюви, Нуази-ле-Сек и Тернье, Франция, потеряв 11 самолетов. В Руане происходят большие разрушения, и атака на Жувиси также успешна. Железнодорожные станции в Нуази-ле-Сек настолько сильно повреждены, что не будут полностью отремонтированы до 1951 года. Кроме того, бомбы разрушили 750 домов и повредили 2000 домов, в результате чего 464 французских мирных жителя погибли и 370 были ранены; в Tergnier 50 железнодорожных путей заблокированы, но большинство бомб падает на жилые дома (20373).</w:t>
      </w:r>
    </w:p>
    <w:p w14:paraId="053F0679" w14:textId="77777777" w:rsidR="00B05D39" w:rsidRPr="00070ADE" w:rsidRDefault="00B05D39" w:rsidP="00B56F90">
      <w:pPr>
        <w:spacing w:after="0" w:line="240" w:lineRule="auto"/>
        <w:jc w:val="both"/>
        <w:rPr>
          <w:rFonts w:ascii="Times New Roman" w:hAnsi="Times New Roman"/>
          <w:color w:val="000000" w:themeColor="text1"/>
          <w:sz w:val="16"/>
          <w:szCs w:val="16"/>
        </w:rPr>
      </w:pPr>
    </w:p>
    <w:p w14:paraId="665266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состоялось 30 часовое воздушное наступление союзников против немцев во Франции и Германии (2247,3).</w:t>
      </w:r>
    </w:p>
    <w:p w14:paraId="02333D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0F0A9E" w14:textId="77777777" w:rsidR="00B05D39" w:rsidRPr="00070ADE" w:rsidRDefault="00B05D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апреля 1944 Air Solomons (AirSols) начинает успешную серию фоторазведочных полетов над Марианскими островами. Миссии продолжаются до июня (20373).</w:t>
      </w:r>
    </w:p>
    <w:p w14:paraId="4217069F" w14:textId="77777777" w:rsidR="00B05D39" w:rsidRPr="00070ADE" w:rsidRDefault="00B05D39" w:rsidP="00B56F90">
      <w:pPr>
        <w:spacing w:after="0" w:line="240" w:lineRule="auto"/>
        <w:jc w:val="both"/>
        <w:rPr>
          <w:rFonts w:ascii="Times New Roman" w:hAnsi="Times New Roman"/>
          <w:color w:val="000000" w:themeColor="text1"/>
          <w:sz w:val="16"/>
          <w:szCs w:val="16"/>
        </w:rPr>
      </w:pPr>
    </w:p>
    <w:p w14:paraId="02D1F56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BBF7A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D634C1" w14:textId="77777777" w:rsidR="00C04E33" w:rsidRPr="00070ADE" w:rsidRDefault="00C04E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апреля 1944 «Москито» поднялся в воздух и взял курс на Москву. Самолет прошел над Северным морем, Швецией, Балтийским морем, над оккупированными немцами терри</w:t>
      </w:r>
      <w:r w:rsidRPr="00070ADE">
        <w:rPr>
          <w:rFonts w:ascii="Times New Roman" w:hAnsi="Times New Roman"/>
          <w:color w:val="000000" w:themeColor="text1"/>
          <w:sz w:val="16"/>
          <w:szCs w:val="16"/>
        </w:rPr>
        <w:softHyphen/>
        <w:t>ториями и рано утром приземлился на подмосковном аэродроме Внуково.</w:t>
      </w:r>
    </w:p>
    <w:p w14:paraId="33B283BD" w14:textId="77777777" w:rsidR="00C04E33" w:rsidRPr="00070ADE" w:rsidRDefault="00C04E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Внукове самолет пробыл недолго и ни разу не поднимался в воздух. С 25 апреля он уже находился в ЛИИ, где на</w:t>
      </w:r>
      <w:r w:rsidRPr="00070ADE">
        <w:rPr>
          <w:rFonts w:ascii="Times New Roman" w:hAnsi="Times New Roman"/>
          <w:color w:val="000000" w:themeColor="text1"/>
          <w:sz w:val="16"/>
          <w:szCs w:val="16"/>
        </w:rPr>
        <w:softHyphen/>
        <w:t>чались летные испытания. Ведущим ин</w:t>
      </w:r>
      <w:r w:rsidRPr="00070ADE">
        <w:rPr>
          <w:rFonts w:ascii="Times New Roman" w:hAnsi="Times New Roman"/>
          <w:color w:val="000000" w:themeColor="text1"/>
          <w:sz w:val="16"/>
          <w:szCs w:val="16"/>
        </w:rPr>
        <w:softHyphen/>
        <w:t>женером на них являлся B.C. Панкратов, а пилотировал бомбардировщик Н.С. Рыбко (19655).</w:t>
      </w:r>
    </w:p>
    <w:p w14:paraId="6274C944" w14:textId="77777777" w:rsidR="00C04E33" w:rsidRPr="00070ADE" w:rsidRDefault="00C04E33" w:rsidP="00B56F90">
      <w:pPr>
        <w:spacing w:after="0" w:line="240" w:lineRule="auto"/>
        <w:jc w:val="both"/>
        <w:rPr>
          <w:rFonts w:ascii="Times New Roman" w:hAnsi="Times New Roman"/>
          <w:color w:val="000000" w:themeColor="text1"/>
          <w:sz w:val="16"/>
          <w:szCs w:val="16"/>
        </w:rPr>
      </w:pPr>
    </w:p>
    <w:p w14:paraId="355A2D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апреля 1944 вышло Постановление ГКО № 5678 О плане производства самолетов и авиамоторов на III квартал 1944 года. РГАНИР, Фонд ГКО, д. 239, лл. 90-94 (11012).</w:t>
      </w:r>
    </w:p>
    <w:p w14:paraId="5F8565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BA52C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апреля 1944 вышло Постановление ГКО № 5679 О материально-техническом обеспечении Наркомавиапрома во II квартале 1944 года. РГАНИР, Фонд ГКО, д. 239, лл. 95-101,102-315 (11012).</w:t>
      </w:r>
    </w:p>
    <w:p w14:paraId="2AB131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AC912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апреля 1944 вышло постановление ГКО N 5679с о переходе в течение 1944 на выпуск самолетов Пе-2, Ил-2 и Як-9 с фибровыми протектированными баками (1672,78).</w:t>
      </w:r>
    </w:p>
    <w:p w14:paraId="3ECFEB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681293" w14:textId="77777777" w:rsidR="002867AB" w:rsidRPr="00070ADE" w:rsidRDefault="002867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19 апреля 1944 г. по Постановлению ГКО № 5679с на Пе-2 баки из сплава АМЦМЛ заменили фибровыми протектированными, сократив общую их емкость с 1 484 до 1 411 л, зато ввели новую систему нейтрального газа — снова на более эффективном азоте. По приказу НКАП № 386сс от 7 июня 1944 г. завод № 22 должен был обеспечить выпуск 50 % самолетов Пе-2 с неметаллическими баками № 2 и № 3 с 1 августа 1944 г.</w:t>
      </w:r>
    </w:p>
    <w:p w14:paraId="159D67B9" w14:textId="77777777" w:rsidR="002867AB" w:rsidRPr="00070ADE" w:rsidRDefault="002867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1944 г. с 301-й серии усилили фюзеляж в зоне хвостовой опоры шасси, ввели аварийное сбрасывание крышки верхнего люка стрелка-радиста, а откидной козырек в его передней части перенесли на фюзеляж, с 305-й серии начали делать дополнительные люки доступа к трубопроводам в центроплане, а с 306-й усилили моторамы.</w:t>
      </w:r>
    </w:p>
    <w:p w14:paraId="52A0E146" w14:textId="77777777" w:rsidR="002867AB" w:rsidRPr="00070ADE" w:rsidRDefault="002867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серии 327 был внедрен новый бомбардировочный прицел летчика ПБЛ-2, обеспечивший дневное и ночное бомбометание с горизонтального полета на скоростях 280 … 440 км/ч и высотах 400 … 1 400 м без участия штурмана, а также точный выход на боевой курс на удалении от цели, облегчив работу экипажа во время прицеливания. Из сделанных в 1944 г. доработок, направленных на повышение летных данных, можно отметить установку индивидуальных выхлопных патрубков с 354-й серии; общие коллекторы и сдвоенные патрубки продолжали использовать до исчерпания задела, а «сплошь» новая система выхлопа пошла с серии 359.</w:t>
      </w:r>
    </w:p>
    <w:p w14:paraId="00EF15B2" w14:textId="77777777" w:rsidR="002867AB" w:rsidRPr="00070ADE" w:rsidRDefault="002867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Большое значение по-прежнему придавалось снижению металлоемкости и улучшению технологичности Пе-2. Так, с серии 400 в стыках фюзеляжа с центропланом перестали ставить ленты перекрытия, устраняя щели подгонкой и заклейкой перкалем, а с 403-й серии антенна радиостанции стала однолучевой.</w:t>
      </w:r>
    </w:p>
    <w:p w14:paraId="6F200A47" w14:textId="77777777" w:rsidR="002867AB" w:rsidRPr="00070ADE" w:rsidRDefault="002867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с серии 408 кислородного прибора КП-12 с увеличенной до 10 км максимальной высотой применения вместо КП-3бис носила характер унификации с другими самолетами — старый просто перестали делать.</w:t>
      </w:r>
    </w:p>
    <w:p w14:paraId="3B3743F9" w14:textId="77777777" w:rsidR="002867AB" w:rsidRPr="00070ADE" w:rsidRDefault="002867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Серия 411 отличалась удобным креплением неподвижных зализов между фюзеляжем и стабилизатором металлическими лентами на болтах и анкерных гайках.</w:t>
      </w:r>
    </w:p>
    <w:p w14:paraId="52378857" w14:textId="77777777" w:rsidR="002867AB" w:rsidRPr="00070ADE" w:rsidRDefault="002867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1944 г. деревянный хвостовой кок фюзеляжа снова заменили металлическим, а в конце года было внедрено одно из немногочисленных изменений аэродинамики Пе-2 — в производство пошли носки консолей крыла с улучшенной обтекаемостью, отработанные на самолете 14/226 для Пе-2И, который в то время планировался в серию. Это повысило максимальные скорости на 10–15 км/ч, потолок — на 600– 800 м, улучшились посадочные характеристики (22828).</w:t>
      </w:r>
    </w:p>
    <w:p w14:paraId="37764620" w14:textId="77777777" w:rsidR="002867AB" w:rsidRPr="00070ADE" w:rsidRDefault="002867AB" w:rsidP="00B56F90">
      <w:pPr>
        <w:spacing w:after="0" w:line="240" w:lineRule="auto"/>
        <w:jc w:val="both"/>
        <w:rPr>
          <w:rFonts w:ascii="Times New Roman" w:hAnsi="Times New Roman"/>
          <w:color w:val="000000" w:themeColor="text1"/>
          <w:sz w:val="16"/>
          <w:szCs w:val="16"/>
        </w:rPr>
      </w:pPr>
    </w:p>
    <w:p w14:paraId="616F4E79"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 апреля 1944 г., согласно Постановления ГКО № 5679с, на Пе-2 вместо баков из сплава АМЦМЛ стали делать фибровые протектированные (их емкость была 1411 л) и ввели новую систему нейтрального газа (азот из баллонов вместо заполнения охлажденными выхлопными газами); согласно приказа по НКАП № 386сс от 7 июня 1944 г. завод № 22 должен был обеспечить выпуск 50% самолетов Пе-2, оборудованных фибровыми протектированными баками № 2 и № 3 с 1 августа 1944 г. (23565).</w:t>
      </w:r>
    </w:p>
    <w:p w14:paraId="062254A6" w14:textId="77777777" w:rsidR="00351460" w:rsidRPr="00070ADE" w:rsidRDefault="00351460" w:rsidP="00B56F90">
      <w:pPr>
        <w:spacing w:after="0" w:line="240" w:lineRule="auto"/>
        <w:jc w:val="both"/>
        <w:rPr>
          <w:rFonts w:ascii="Times New Roman" w:hAnsi="Times New Roman"/>
          <w:color w:val="000000" w:themeColor="text1"/>
          <w:sz w:val="16"/>
          <w:szCs w:val="16"/>
        </w:rPr>
      </w:pPr>
    </w:p>
    <w:p w14:paraId="4872FADC"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апреля 1944 г. ночью «Москито» все-таки поднялся в воздух и взял курс на Москву. Самолет прошел над Северным морем, Швецией, Балтийским морем, над оккупированны</w:t>
      </w:r>
      <w:r w:rsidRPr="00070ADE">
        <w:rPr>
          <w:rFonts w:ascii="Times New Roman" w:hAnsi="Times New Roman"/>
          <w:color w:val="000000" w:themeColor="text1"/>
          <w:sz w:val="16"/>
          <w:szCs w:val="16"/>
        </w:rPr>
        <w:softHyphen/>
        <w:t>ми немцами территориями и рано утром приземлился на подмосковном аэродроме Внуково.</w:t>
      </w:r>
    </w:p>
    <w:p w14:paraId="7E0EB07F"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Внукове самолет пробыл недолго и ни разу не поднимался в воздух. С 25 апреля он уже находился в ЛИИ, где начались лет</w:t>
      </w:r>
      <w:r w:rsidRPr="00070ADE">
        <w:rPr>
          <w:rFonts w:ascii="Times New Roman" w:hAnsi="Times New Roman"/>
          <w:color w:val="000000" w:themeColor="text1"/>
          <w:sz w:val="16"/>
          <w:szCs w:val="16"/>
        </w:rPr>
        <w:softHyphen/>
        <w:t>ные испытания. Ведущим инженером на них являлся В.С. Панкратов, а пилотиро</w:t>
      </w:r>
      <w:r w:rsidRPr="00070ADE">
        <w:rPr>
          <w:rFonts w:ascii="Times New Roman" w:hAnsi="Times New Roman"/>
          <w:color w:val="000000" w:themeColor="text1"/>
          <w:sz w:val="16"/>
          <w:szCs w:val="16"/>
        </w:rPr>
        <w:softHyphen/>
        <w:t>вал бомбардировщик Н.С. Рыбко (23513).</w:t>
      </w:r>
    </w:p>
    <w:p w14:paraId="1495EB87" w14:textId="77777777" w:rsidR="00351460" w:rsidRPr="00070ADE" w:rsidRDefault="00351460" w:rsidP="00B56F90">
      <w:pPr>
        <w:spacing w:after="0" w:line="240" w:lineRule="auto"/>
        <w:jc w:val="both"/>
        <w:rPr>
          <w:rFonts w:ascii="Times New Roman" w:hAnsi="Times New Roman"/>
          <w:color w:val="000000" w:themeColor="text1"/>
          <w:sz w:val="16"/>
          <w:szCs w:val="16"/>
        </w:rPr>
      </w:pPr>
    </w:p>
    <w:p w14:paraId="498FBA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апреля 1944 вышло Постановление ГКО № 5680 О ремонте самолетов, авиационных моторов и материально-техническом обеспечении ВВС КА, АДД, ВВС, ВМФ и ГВФ во II квартале 1944 года. РГАНИР, Фонд ГКО, д. 240, лл. 1-6,7-161 (11012).</w:t>
      </w:r>
    </w:p>
    <w:p w14:paraId="29E496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15F1E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АПРЕЛЯ 1944 ГОДА</w:t>
      </w:r>
    </w:p>
    <w:p w14:paraId="792460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«ОТВЕТЫ ТЕХНИЧЕСКОЙ ЭКСПЕРТИЗЫ ПО ДЕЛУ КОСТИКОВА А. Г. ОТ.</w:t>
      </w:r>
    </w:p>
    <w:p w14:paraId="038BF9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Состав экспертизы комиссии.</w:t>
      </w:r>
    </w:p>
    <w:p w14:paraId="2BDD02F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Чесалов Александр Васильевич, заслуженный деятель науки и техники, профессор, кандидат технических наук, начальник летно-технического института...</w:t>
      </w:r>
    </w:p>
    <w:p w14:paraId="58C7A8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Члены: Христианович Сергей Алексеевич, академик, начальник лаборатории № 2 ЦАГИ </w:t>
      </w:r>
      <w:r w:rsidRPr="00070ADE">
        <w:rPr>
          <w:rFonts w:ascii="Times New Roman" w:hAnsi="Times New Roman"/>
          <w:color w:val="000000" w:themeColor="text1"/>
          <w:sz w:val="16"/>
          <w:szCs w:val="16"/>
          <w:vertAlign w:val="superscript"/>
        </w:rPr>
        <w:t>4</w:t>
      </w:r>
      <w:r w:rsidRPr="00070ADE">
        <w:rPr>
          <w:rFonts w:ascii="Times New Roman" w:hAnsi="Times New Roman"/>
          <w:color w:val="000000" w:themeColor="text1"/>
          <w:sz w:val="16"/>
          <w:szCs w:val="16"/>
        </w:rPr>
        <w:t>;</w:t>
      </w:r>
    </w:p>
    <w:p w14:paraId="7EA68FD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Ушаков Константин Андреевич, заслуженный деятель науки и техники, профессор, доктор технических наук, начальник отдела № 3, лаборатории № 1 ЦАГИ;</w:t>
      </w:r>
    </w:p>
    <w:p w14:paraId="56E8E5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Левин Лев Михайлович, заместитель начальника отдела вооружения лаборатории № 2 ЦАГИ...</w:t>
      </w:r>
    </w:p>
    <w:p w14:paraId="3FAFA0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ВОПРОС четвертый:</w:t>
      </w:r>
    </w:p>
    <w:p w14:paraId="4FA521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являются ли КОСТИКОВ, ГВАЙ И AБOРЕНКОВ авторами М-8, М-13 и пусковых устройств к ним? </w:t>
      </w:r>
      <w:r w:rsidRPr="00070ADE">
        <w:rPr>
          <w:rFonts w:ascii="Times New Roman" w:hAnsi="Times New Roman"/>
          <w:color w:val="000000" w:themeColor="text1"/>
          <w:sz w:val="16"/>
          <w:szCs w:val="16"/>
          <w:vertAlign w:val="superscript"/>
        </w:rPr>
        <w:t>5</w:t>
      </w:r>
    </w:p>
    <w:p w14:paraId="0CF4DE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 Костиков, Гвай и Аборенков не могут считаться авторами М-8, М-13 и пусковых устройств к ним.</w:t>
      </w:r>
    </w:p>
    <w:p w14:paraId="290AD9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Снаряд М-8 отличается незначительными видоизменениями от снаряда PC-82, разработанного в НИИ-3 в период 1934— 1937 гг.</w:t>
      </w:r>
    </w:p>
    <w:p w14:paraId="203AB39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Снаряд М-13 является развитием снаряда РС-132, разработанного в НИИ-3 в 1937—1938 гг.</w:t>
      </w:r>
    </w:p>
    <w:p w14:paraId="0709A28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разработке снарядов РС-82 и РС-132, представлявших собой оригинальную конструкцию, Костиков, Гвай и Аборенков никакого отношения не имели.</w:t>
      </w:r>
    </w:p>
    <w:p w14:paraId="17AD88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рациональности установки пусковых устройств PC на легкие боевые машины, в частности на автомашины, указано, например, в книге «Ракеты, их устройство и применение» (ЛАНГЕМАК Г. Э. и ГЛУШКО В. П. ОНТИ, 1935 год, с. 119).</w:t>
      </w:r>
    </w:p>
    <w:p w14:paraId="77655C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идея создания машинной установки для ведения массированного огня реактивными снарядами не может быть приписана Костикову, Гваю и Аборенкову...</w:t>
      </w:r>
    </w:p>
    <w:p w14:paraId="068C91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Подписали: Чесалов, Христианович, Ушаков, Левин» (11912).</w:t>
      </w:r>
    </w:p>
    <w:p w14:paraId="59BFF6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46322FF" w14:textId="77777777" w:rsidR="00C04E33" w:rsidRPr="00070ADE" w:rsidRDefault="00C04E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апреля 1944</w:t>
      </w:r>
    </w:p>
    <w:p w14:paraId="5A424FF3" w14:textId="77777777" w:rsidR="00C04E33" w:rsidRPr="00070ADE" w:rsidRDefault="00C04E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«ОТВЕТЫ ТЕХНИЧЕСКОЙ ЭКСПЕРТИЗЫ ПО ДЕЛУ КОСТИКОВА А. Г. ОТ 19 АПРЕЛЯ 1944 ГОДА.</w:t>
      </w:r>
    </w:p>
    <w:p w14:paraId="3D0209C6" w14:textId="77777777" w:rsidR="00C04E33" w:rsidRPr="00070ADE" w:rsidRDefault="00C04E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Состав экспертизы комиссии.</w:t>
      </w:r>
    </w:p>
    <w:p w14:paraId="123DCB5F" w14:textId="4D6D95C4" w:rsidR="00C04E33" w:rsidRPr="00070ADE" w:rsidRDefault="00C63BA9" w:rsidP="00B56F9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04E33" w:rsidRPr="00070ADE">
        <w:rPr>
          <w:rFonts w:ascii="Times New Roman" w:hAnsi="Times New Roman"/>
          <w:color w:val="000000" w:themeColor="text1"/>
          <w:sz w:val="16"/>
          <w:szCs w:val="16"/>
        </w:rPr>
        <w:t xml:space="preserve"> Председатель, Чесалов Александр Васильевич, заслуженный деятель науки и техники, профессор, кандидат технических наук, начальник летно-технического института...</w:t>
      </w:r>
    </w:p>
    <w:p w14:paraId="67AFB834" w14:textId="55EE357C" w:rsidR="00C04E33" w:rsidRPr="00070ADE" w:rsidRDefault="00C63BA9" w:rsidP="00B56F9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04E33" w:rsidRPr="00070ADE">
        <w:rPr>
          <w:rFonts w:ascii="Times New Roman" w:hAnsi="Times New Roman"/>
          <w:color w:val="000000" w:themeColor="text1"/>
          <w:sz w:val="16"/>
          <w:szCs w:val="16"/>
        </w:rPr>
        <w:t>Члены: Христианович Сергей Алексеевич, академик, начальник лаборатории № 2 ЦАГИ 4; Ушаков Константин Андреевич, заслуженный деятель науки и техники, профессор, доктор технических наук, начальник отдела № 3, лаборатории № 1 ЦАГИ;</w:t>
      </w:r>
      <w:r>
        <w:rPr>
          <w:rFonts w:ascii="Times New Roman" w:hAnsi="Times New Roman"/>
          <w:color w:val="000000" w:themeColor="text1"/>
          <w:sz w:val="16"/>
          <w:szCs w:val="16"/>
        </w:rPr>
        <w:t xml:space="preserve"> </w:t>
      </w:r>
      <w:r w:rsidR="00C04E33" w:rsidRPr="00070ADE">
        <w:rPr>
          <w:rFonts w:ascii="Times New Roman" w:hAnsi="Times New Roman"/>
          <w:color w:val="000000" w:themeColor="text1"/>
          <w:sz w:val="16"/>
          <w:szCs w:val="16"/>
        </w:rPr>
        <w:t>Левин Лев Михайлович, заместитель начальника отдела вооружения лаборатории № 2 ЦАГИ...</w:t>
      </w:r>
    </w:p>
    <w:p w14:paraId="5B3A81AC" w14:textId="315DEF16" w:rsidR="00C04E33" w:rsidRPr="00070ADE" w:rsidRDefault="00C04E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ВОПРОС четвертый: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являются ли КОСТИКОВ, ГВАЙ И AБOРЕНКОВ авторами М-8, М-13 и пусковых устройств к ним?</w:t>
      </w:r>
    </w:p>
    <w:p w14:paraId="6E8D9B11" w14:textId="77777777" w:rsidR="00C04E33" w:rsidRPr="00070ADE" w:rsidRDefault="00C04E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 Костиков, Гвай и Аборенков не могут считаться авторами М-8, М-13 и пусковых устройств к ним.</w:t>
      </w:r>
    </w:p>
    <w:p w14:paraId="4982D77B" w14:textId="77777777" w:rsidR="00C04E33" w:rsidRPr="00070ADE" w:rsidRDefault="00C04E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Снаряд М-8 отличается незначительными видоизменениями от снаряда PC-82, разработанного в НИИ-3 в период 1934— 1937 гг.</w:t>
      </w:r>
    </w:p>
    <w:p w14:paraId="3B9170B6" w14:textId="77777777" w:rsidR="00C04E33" w:rsidRPr="00070ADE" w:rsidRDefault="00C04E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Снаряд М-13 является развитием снаряда РС-132, разработанного в НИИ-3 в 1937—1938 гг.</w:t>
      </w:r>
    </w:p>
    <w:p w14:paraId="559DC697" w14:textId="77777777" w:rsidR="00C04E33" w:rsidRPr="00070ADE" w:rsidRDefault="00C04E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разработке снарядов РС-82 и РС-132, представлявших собой оригинальную конструкцию, Костиков, Гвай и Аборенков никакого отношения не имели.</w:t>
      </w:r>
    </w:p>
    <w:p w14:paraId="20D86BD8" w14:textId="77777777" w:rsidR="00C04E33" w:rsidRPr="00070ADE" w:rsidRDefault="00C04E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рациональности установки пусковых устройств PC на легкие боевые машины, в частности на автомашины, указано, например, в книге «Ракеты, их устройство и применение» (ЛАНГЕМАК Г. Э. и ГЛУШКО В. П. ОНТИ, 1935 год, с. 119).</w:t>
      </w:r>
    </w:p>
    <w:p w14:paraId="29AE00E8" w14:textId="1908FBDE" w:rsidR="00C04E33" w:rsidRPr="00070ADE" w:rsidRDefault="00C04E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идея создания машинной установки для ведения массированного огня</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реактивными</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снарядами не может быть приписана Костикову, Гваю и Аборенкову...</w:t>
      </w:r>
    </w:p>
    <w:p w14:paraId="13658A0B" w14:textId="77777777" w:rsidR="00C04E33" w:rsidRPr="00070ADE" w:rsidRDefault="00C04E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Подписали: Чесалов, Христианович, Ушаков, Левин»." (19116).</w:t>
      </w:r>
    </w:p>
    <w:p w14:paraId="396D7F98" w14:textId="77777777" w:rsidR="00C04E33" w:rsidRPr="00070ADE" w:rsidRDefault="00C04E33" w:rsidP="00B56F90">
      <w:pPr>
        <w:spacing w:after="0" w:line="240" w:lineRule="auto"/>
        <w:jc w:val="both"/>
        <w:rPr>
          <w:rFonts w:ascii="Times New Roman" w:hAnsi="Times New Roman"/>
          <w:color w:val="000000" w:themeColor="text1"/>
          <w:sz w:val="16"/>
          <w:szCs w:val="16"/>
        </w:rPr>
      </w:pPr>
    </w:p>
    <w:p w14:paraId="1C336075" w14:textId="77777777" w:rsidR="001257C4" w:rsidRPr="00070ADE" w:rsidRDefault="001257C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апреля 1944 вышло Постановление ГКО № 5681 О производстве снарядов М-31 и М-13 улучшенной кучности. РГАНИР, Фонд ГКО, д. 240, лл. 162-163,164-174 (11012).</w:t>
      </w:r>
    </w:p>
    <w:p w14:paraId="7A083035" w14:textId="77777777" w:rsidR="001257C4" w:rsidRPr="00070ADE" w:rsidRDefault="001257C4" w:rsidP="00B56F90">
      <w:pPr>
        <w:autoSpaceDE w:val="0"/>
        <w:autoSpaceDN w:val="0"/>
        <w:adjustRightInd w:val="0"/>
        <w:spacing w:after="0" w:line="240" w:lineRule="auto"/>
        <w:jc w:val="both"/>
        <w:rPr>
          <w:rFonts w:ascii="Times New Roman" w:hAnsi="Times New Roman"/>
          <w:color w:val="000000" w:themeColor="text1"/>
          <w:sz w:val="16"/>
          <w:szCs w:val="16"/>
        </w:rPr>
      </w:pPr>
    </w:p>
    <w:p w14:paraId="272E5AF0" w14:textId="77777777" w:rsidR="001257C4" w:rsidRPr="00070ADE" w:rsidRDefault="001257C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апреля 1944 г.</w:t>
      </w:r>
      <w:r>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ГОСУДАРСТВЕННЫЙ КОМИТЕТ ОБОРОНЫ ПОСТАНОВЛЕНИЕ № ГКО-5681сс</w:t>
      </w:r>
    </w:p>
    <w:p w14:paraId="3863826E"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Москва, Кремль </w:t>
      </w:r>
    </w:p>
    <w:p w14:paraId="5C8F763F"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производстве снарядов М-31 и М-13 улучшенной кучности</w:t>
      </w:r>
    </w:p>
    <w:p w14:paraId="06B84940"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 Принять к сведению сообщение НКО (т.т. Воронова, Яковлева, Дегтярева и Гайдукова) и НКБ (т. Ванникова), что проведенные ими 22 марта 1944 года испытания реактивных снарядов М-31 и М-13 с внесенными конструктивными улучшениями, предложенными т.т. Христиановичем С.А. и Шором Я.Б.: </w:t>
      </w:r>
    </w:p>
    <w:p w14:paraId="66DEC11D"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снаряда М-31 с дополнительными 4-мя радиально расположенными насадками, суженным критическим сечением сопла и крыльями стабилизатора, расположенными под углом 2.5</w:t>
      </w:r>
      <w:r w:rsidRPr="00070ADE">
        <w:rPr>
          <w:rFonts w:ascii="Times New Roman" w:hAnsi="Times New Roman"/>
          <w:color w:val="000000" w:themeColor="text1"/>
          <w:sz w:val="16"/>
          <w:szCs w:val="16"/>
          <w:vertAlign w:val="superscript"/>
        </w:rPr>
        <w:t>о</w:t>
      </w:r>
      <w:r w:rsidRPr="00070ADE">
        <w:rPr>
          <w:rFonts w:ascii="Times New Roman" w:hAnsi="Times New Roman"/>
          <w:color w:val="000000" w:themeColor="text1"/>
          <w:sz w:val="16"/>
          <w:szCs w:val="16"/>
        </w:rPr>
        <w:t xml:space="preserve">; </w:t>
      </w:r>
    </w:p>
    <w:p w14:paraId="0AA35D77"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 снаряда М-13 с 12-тью тангенциально расположенными отверстиями и суженным критическим сечением сопла, </w:t>
      </w:r>
    </w:p>
    <w:p w14:paraId="38454F3C"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 также проведенные широкие полигонные испытания показали следующие результаты: </w:t>
      </w:r>
    </w:p>
    <w:p w14:paraId="55FD82B1"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для снаряда М-31 улучшенной кучности (М-31-УК) - </w:t>
      </w:r>
    </w:p>
    <w:p w14:paraId="798BAE98"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дальность стрельбы - 4000 метров, </w:t>
      </w:r>
    </w:p>
    <w:p w14:paraId="7EB5E571"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рассеивание по дальности ВД/х - 1/76, </w:t>
      </w:r>
    </w:p>
    <w:p w14:paraId="2330135E"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 xml:space="preserve">рассеивание в боковом направлении Вб/х - 1/56; </w:t>
      </w:r>
    </w:p>
    <w:p w14:paraId="0663C59C"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для снаряда М-13 улучшенной кучности (М-13-УК) - </w:t>
      </w:r>
    </w:p>
    <w:p w14:paraId="3CA09796"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дальность стрельбы - 79 метров, </w:t>
      </w:r>
    </w:p>
    <w:p w14:paraId="77E42BE2"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рассеивание по дальности ВД/х - 1/104, </w:t>
      </w:r>
    </w:p>
    <w:p w14:paraId="07746781"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рассеивание в боковом направлении Вб/х - 1/84. </w:t>
      </w:r>
    </w:p>
    <w:p w14:paraId="17B370A5"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 Разрешить НКБ (т. Ванникову) и ГУВГМЧ (т. Дегтяреву) изготавливать и принимать реактивные снаряды М-31 и М-13 с внесенными т.т. Христиановичем и Шором конструктивными улучшениями. </w:t>
      </w:r>
    </w:p>
    <w:p w14:paraId="59F526EF"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3. Обязать НКБ (т. Ванникова) и ГУВГМЧ (т. Дегтярева) на основе данных отстрела валовых производственных партий II квартала установить технические условия на приемку снарядов М-31-УК и М-13-УК по кучности. </w:t>
      </w:r>
    </w:p>
    <w:p w14:paraId="2CE3731F"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4. обязать Наркомбоеприпасов (т. Ванникова) снарядить и сдать НКО во II квартале 1944 года (в счет плана по снарядам М-31 и М-13): </w:t>
      </w:r>
    </w:p>
    <w:p w14:paraId="2CC42D00"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 снарядов М-31-УК - 68 тыс., в том числе в апреле - 8 тыс., мае 25 тыс. и июне 35 тысяч; </w:t>
      </w:r>
    </w:p>
    <w:p w14:paraId="7CFF3070"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 снарядов М-13-УК - 165 тыс., в том числе в апреле - 20 тыс., мае 45 тыс. и июне 100 тысяч. </w:t>
      </w:r>
    </w:p>
    <w:p w14:paraId="64F237EA"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Утвердить мероприятия по обеспечению производства снарядов М-31-УК и М-13-УК (приложение № 1).</w:t>
      </w:r>
    </w:p>
    <w:p w14:paraId="3B57F655"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ГОСУДАРСТВЕННОГО</w:t>
      </w:r>
    </w:p>
    <w:p w14:paraId="3891EB0E"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КОМИТЕТА ОБОРОНЫ И. СТАЛИН </w:t>
      </w:r>
    </w:p>
    <w:p w14:paraId="50F33933"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Выписки посланы: </w:t>
      </w:r>
    </w:p>
    <w:p w14:paraId="1DE62D73"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т.т. Молотову, Маленкову, Берия, Воронову, Ванникову, Шахурину, Яковлеву, Дегтяреву, Гайдукову - все; </w:t>
      </w:r>
    </w:p>
    <w:p w14:paraId="226A590A" w14:textId="77777777" w:rsidR="001257C4" w:rsidRPr="00070ADE" w:rsidRDefault="001257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Вознесенскому, Чадаеву, Борисову, Жукову - п. 4, 5 (12640).</w:t>
      </w:r>
    </w:p>
    <w:p w14:paraId="64E69A50" w14:textId="77777777" w:rsidR="001257C4" w:rsidRPr="00070ADE" w:rsidRDefault="001257C4" w:rsidP="00B56F90">
      <w:pPr>
        <w:autoSpaceDE w:val="0"/>
        <w:autoSpaceDN w:val="0"/>
        <w:adjustRightInd w:val="0"/>
        <w:spacing w:after="0" w:line="240" w:lineRule="auto"/>
        <w:jc w:val="both"/>
        <w:rPr>
          <w:rFonts w:ascii="Times New Roman" w:hAnsi="Times New Roman"/>
          <w:color w:val="000000" w:themeColor="text1"/>
          <w:sz w:val="16"/>
          <w:szCs w:val="16"/>
        </w:rPr>
      </w:pPr>
    </w:p>
    <w:p w14:paraId="23E7681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F9210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1ED636" w14:textId="77777777" w:rsidR="001257C4" w:rsidRPr="00C94B78" w:rsidRDefault="001257C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19 апреля 1944 года команду</w:t>
      </w:r>
      <w:r w:rsidRPr="00C94B78">
        <w:rPr>
          <w:rFonts w:ascii="Times New Roman" w:hAnsi="Times New Roman"/>
          <w:color w:val="0070C0"/>
          <w:sz w:val="16"/>
          <w:szCs w:val="16"/>
        </w:rPr>
        <w:softHyphen/>
        <w:t>ющий бронетанковыми и механизированны</w:t>
      </w:r>
      <w:r w:rsidRPr="00C94B78">
        <w:rPr>
          <w:rFonts w:ascii="Times New Roman" w:hAnsi="Times New Roman"/>
          <w:color w:val="0070C0"/>
          <w:sz w:val="16"/>
          <w:szCs w:val="16"/>
        </w:rPr>
        <w:softHyphen/>
        <w:t>ми войсками Красной Армии Я. Федоренко и член Военного совета БТ и МВ генерал- лейтенант Бирюков на</w:t>
      </w:r>
      <w:r w:rsidRPr="00C94B78">
        <w:rPr>
          <w:rFonts w:ascii="Times New Roman" w:hAnsi="Times New Roman"/>
          <w:color w:val="0070C0"/>
          <w:sz w:val="16"/>
          <w:szCs w:val="16"/>
        </w:rPr>
        <w:softHyphen/>
        <w:t>правили на имя Л. Берии следующий доку</w:t>
      </w:r>
      <w:r w:rsidRPr="00C94B78">
        <w:rPr>
          <w:rFonts w:ascii="Times New Roman" w:hAnsi="Times New Roman"/>
          <w:color w:val="0070C0"/>
          <w:sz w:val="16"/>
          <w:szCs w:val="16"/>
        </w:rPr>
        <w:softHyphen/>
        <w:t>мент (Берия был членом Государственно</w:t>
      </w:r>
      <w:r w:rsidRPr="00C94B78">
        <w:rPr>
          <w:rFonts w:ascii="Times New Roman" w:hAnsi="Times New Roman"/>
          <w:color w:val="0070C0"/>
          <w:sz w:val="16"/>
          <w:szCs w:val="16"/>
        </w:rPr>
        <w:softHyphen/>
        <w:t>го Комитета Обороны, в его задачи, помимо всего прочего, входило курирование танко</w:t>
      </w:r>
      <w:r w:rsidRPr="00C94B78">
        <w:rPr>
          <w:rFonts w:ascii="Times New Roman" w:hAnsi="Times New Roman"/>
          <w:color w:val="0070C0"/>
          <w:sz w:val="16"/>
          <w:szCs w:val="16"/>
        </w:rPr>
        <w:softHyphen/>
        <w:t>вой промышленности):</w:t>
      </w:r>
    </w:p>
    <w:p w14:paraId="440C7EC1" w14:textId="77777777" w:rsidR="001257C4" w:rsidRPr="00C94B78" w:rsidRDefault="001257C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«Считаю необходимым доложить, что Народным Комиссаром Танковой про</w:t>
      </w:r>
      <w:r w:rsidRPr="00C94B78">
        <w:rPr>
          <w:rFonts w:ascii="Times New Roman" w:hAnsi="Times New Roman"/>
          <w:color w:val="0070C0"/>
          <w:sz w:val="16"/>
          <w:szCs w:val="16"/>
        </w:rPr>
        <w:softHyphen/>
        <w:t>мышленности не учтено наше требование об увеличении толщины лобового листа кор</w:t>
      </w:r>
      <w:r w:rsidRPr="00C94B78">
        <w:rPr>
          <w:rFonts w:ascii="Times New Roman" w:hAnsi="Times New Roman"/>
          <w:color w:val="0070C0"/>
          <w:sz w:val="16"/>
          <w:szCs w:val="16"/>
        </w:rPr>
        <w:softHyphen/>
        <w:t>пуса до 90 мм.</w:t>
      </w:r>
    </w:p>
    <w:p w14:paraId="2E67813D" w14:textId="77777777" w:rsidR="001257C4" w:rsidRPr="00C94B78" w:rsidRDefault="001257C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изготавливаемых образцах лобовой лист корпуса сохранен толщиной 75 мм, что явля</w:t>
      </w:r>
      <w:r w:rsidRPr="00C94B78">
        <w:rPr>
          <w:rFonts w:ascii="Times New Roman" w:hAnsi="Times New Roman"/>
          <w:color w:val="0070C0"/>
          <w:sz w:val="16"/>
          <w:szCs w:val="16"/>
        </w:rPr>
        <w:softHyphen/>
        <w:t>ется недостаточным.</w:t>
      </w:r>
    </w:p>
    <w:p w14:paraId="53D5D3CE" w14:textId="77777777" w:rsidR="001257C4" w:rsidRPr="00C94B78" w:rsidRDefault="001257C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Прошу Ваших указаний Народному Ко</w:t>
      </w:r>
      <w:r w:rsidRPr="00C94B78">
        <w:rPr>
          <w:rFonts w:ascii="Times New Roman" w:hAnsi="Times New Roman"/>
          <w:color w:val="0070C0"/>
          <w:sz w:val="16"/>
          <w:szCs w:val="16"/>
        </w:rPr>
        <w:softHyphen/>
        <w:t>миссару Танковой Промышленности:</w:t>
      </w:r>
    </w:p>
    <w:p w14:paraId="4D2B6D16" w14:textId="77777777" w:rsidR="001257C4" w:rsidRPr="00C94B78" w:rsidRDefault="001257C4" w:rsidP="00B56F90">
      <w:pPr>
        <w:tabs>
          <w:tab w:val="left" w:pos="445"/>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а). Об увеличении толщины верхнего лобо</w:t>
      </w:r>
      <w:r w:rsidRPr="00C94B78">
        <w:rPr>
          <w:rFonts w:ascii="Times New Roman" w:hAnsi="Times New Roman"/>
          <w:color w:val="0070C0"/>
          <w:sz w:val="16"/>
          <w:szCs w:val="16"/>
        </w:rPr>
        <w:softHyphen/>
        <w:t>вого листа корпуса танка Т-44 до 90 мм.</w:t>
      </w:r>
    </w:p>
    <w:p w14:paraId="1604CA60" w14:textId="77777777" w:rsidR="001257C4" w:rsidRPr="00C94B78" w:rsidRDefault="001257C4" w:rsidP="00B56F90">
      <w:pPr>
        <w:tabs>
          <w:tab w:val="left" w:pos="464"/>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б). О предъявлении усиленного корпуса танка Т-44 для испытания его обстрелом.</w:t>
      </w:r>
    </w:p>
    <w:p w14:paraId="50D46F22" w14:textId="77777777" w:rsidR="001257C4" w:rsidRPr="00C94B78" w:rsidRDefault="001257C4" w:rsidP="00B56F90">
      <w:pPr>
        <w:tabs>
          <w:tab w:val="left" w:pos="449"/>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Об ускорении изготовления опытных образцов танков Т-44».</w:t>
      </w:r>
    </w:p>
    <w:p w14:paraId="00B85647" w14:textId="77777777" w:rsidR="001257C4" w:rsidRPr="00C94B78" w:rsidRDefault="001257C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 данном документе Л. Берия наложил следующую резолюцию:</w:t>
      </w:r>
    </w:p>
    <w:p w14:paraId="3AD29CFD" w14:textId="77777777" w:rsidR="001257C4" w:rsidRPr="00C94B78" w:rsidRDefault="001257C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«Тов. Малышев! Вместе с тов. Федоренко наметить меры и провести в жизнь».</w:t>
      </w:r>
    </w:p>
    <w:p w14:paraId="3CDD5C6B" w14:textId="77777777" w:rsidR="001257C4" w:rsidRPr="00C94B78" w:rsidRDefault="001257C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Но «провести в жизнь» не удалось - завод № 183 начал сборку танков Т-44 с 75 мм бро</w:t>
      </w:r>
      <w:r w:rsidRPr="00C94B78">
        <w:rPr>
          <w:rFonts w:ascii="Times New Roman" w:hAnsi="Times New Roman"/>
          <w:color w:val="0070C0"/>
          <w:sz w:val="16"/>
          <w:szCs w:val="16"/>
        </w:rPr>
        <w:softHyphen/>
        <w:t>ней, чем вызвал недовольство военных (25012).</w:t>
      </w:r>
    </w:p>
    <w:p w14:paraId="132F5741" w14:textId="77777777" w:rsidR="001257C4" w:rsidRPr="00C94B78" w:rsidRDefault="001257C4" w:rsidP="00B56F90">
      <w:pPr>
        <w:spacing w:after="0" w:line="240" w:lineRule="auto"/>
        <w:jc w:val="both"/>
        <w:rPr>
          <w:rFonts w:ascii="Times New Roman" w:hAnsi="Times New Roman"/>
          <w:color w:val="0070C0"/>
          <w:sz w:val="16"/>
          <w:szCs w:val="16"/>
        </w:rPr>
      </w:pPr>
    </w:p>
    <w:p w14:paraId="1A331F0C" w14:textId="77777777" w:rsidR="001257C4" w:rsidRPr="00C94B78" w:rsidRDefault="001257C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19 апреля 1944 года Военный совет БТ и МВ КА вторично поставил вопрос перед т. Берия о необходимости увеличения тол</w:t>
      </w:r>
      <w:r w:rsidRPr="00C94B78">
        <w:rPr>
          <w:rFonts w:ascii="Times New Roman" w:hAnsi="Times New Roman"/>
          <w:color w:val="0070C0"/>
          <w:sz w:val="16"/>
          <w:szCs w:val="16"/>
        </w:rPr>
        <w:softHyphen/>
        <w:t>щины верхнего лобового листа корпуса до 90 мм. Невыполнение этого требования рез</w:t>
      </w:r>
      <w:r w:rsidRPr="00C94B78">
        <w:rPr>
          <w:rFonts w:ascii="Times New Roman" w:hAnsi="Times New Roman"/>
          <w:color w:val="0070C0"/>
          <w:sz w:val="16"/>
          <w:szCs w:val="16"/>
        </w:rPr>
        <w:softHyphen/>
        <w:t>ко снижает преимущества танка Т-44 перед танком Т-34.</w:t>
      </w:r>
    </w:p>
    <w:p w14:paraId="363ADF4F" w14:textId="77777777" w:rsidR="001257C4" w:rsidRPr="00C94B78" w:rsidRDefault="001257C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Так как опытный образец танка Т-44, пред</w:t>
      </w:r>
      <w:r w:rsidRPr="00C94B78">
        <w:rPr>
          <w:rFonts w:ascii="Times New Roman" w:hAnsi="Times New Roman"/>
          <w:color w:val="0070C0"/>
          <w:sz w:val="16"/>
          <w:szCs w:val="16"/>
        </w:rPr>
        <w:softHyphen/>
        <w:t>назначенный для полигонных испытаний, и корпус, подлежащий обстрелу, уже гото</w:t>
      </w:r>
      <w:r w:rsidRPr="00C94B78">
        <w:rPr>
          <w:rFonts w:ascii="Times New Roman" w:hAnsi="Times New Roman"/>
          <w:color w:val="0070C0"/>
          <w:sz w:val="16"/>
          <w:szCs w:val="16"/>
        </w:rPr>
        <w:softHyphen/>
        <w:t>вы, прошу Вашего указания директору заво</w:t>
      </w:r>
      <w:r w:rsidRPr="00C94B78">
        <w:rPr>
          <w:rFonts w:ascii="Times New Roman" w:hAnsi="Times New Roman"/>
          <w:color w:val="0070C0"/>
          <w:sz w:val="16"/>
          <w:szCs w:val="16"/>
        </w:rPr>
        <w:softHyphen/>
        <w:t>да № 183 о срочной отработке чертежей тан</w:t>
      </w:r>
      <w:r w:rsidRPr="00C94B78">
        <w:rPr>
          <w:rFonts w:ascii="Times New Roman" w:hAnsi="Times New Roman"/>
          <w:color w:val="0070C0"/>
          <w:sz w:val="16"/>
          <w:szCs w:val="16"/>
        </w:rPr>
        <w:softHyphen/>
        <w:t>ка Т-44 с толщиной верхнего лобового листа корпуса 90 мм.</w:t>
      </w:r>
    </w:p>
    <w:p w14:paraId="0B95AC46" w14:textId="77777777" w:rsidR="001257C4" w:rsidRPr="00C94B78" w:rsidRDefault="001257C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 Вашем решении прошу поставить меня в известность».</w:t>
      </w:r>
    </w:p>
    <w:p w14:paraId="07FEB35A" w14:textId="77777777" w:rsidR="001257C4" w:rsidRPr="00C94B78" w:rsidRDefault="001257C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А пока шла переписка в вышестоящих инстанциях, завод № 183 вел сборку опыт</w:t>
      </w:r>
      <w:r w:rsidRPr="00C94B78">
        <w:rPr>
          <w:rFonts w:ascii="Times New Roman" w:hAnsi="Times New Roman"/>
          <w:color w:val="0070C0"/>
          <w:sz w:val="16"/>
          <w:szCs w:val="16"/>
        </w:rPr>
        <w:softHyphen/>
        <w:t>ных образцов Т-44 (иногда их называли Т-44 второго варианта или второй моди</w:t>
      </w:r>
      <w:r w:rsidRPr="00C94B78">
        <w:rPr>
          <w:rFonts w:ascii="Times New Roman" w:hAnsi="Times New Roman"/>
          <w:color w:val="0070C0"/>
          <w:sz w:val="16"/>
          <w:szCs w:val="16"/>
        </w:rPr>
        <w:softHyphen/>
        <w:t>фикации для отличия от трех первых опыт</w:t>
      </w:r>
      <w:r w:rsidRPr="00C94B78">
        <w:rPr>
          <w:rFonts w:ascii="Times New Roman" w:hAnsi="Times New Roman"/>
          <w:color w:val="0070C0"/>
          <w:sz w:val="16"/>
          <w:szCs w:val="16"/>
        </w:rPr>
        <w:softHyphen/>
        <w:t>ных образцов Т-44) и их заводскую обкат</w:t>
      </w:r>
      <w:r w:rsidRPr="00C94B78">
        <w:rPr>
          <w:rFonts w:ascii="Times New Roman" w:hAnsi="Times New Roman"/>
          <w:color w:val="0070C0"/>
          <w:sz w:val="16"/>
          <w:szCs w:val="16"/>
        </w:rPr>
        <w:softHyphen/>
        <w:t>ку. Всего было изготовлено две таких ма</w:t>
      </w:r>
      <w:r w:rsidRPr="00C94B78">
        <w:rPr>
          <w:rFonts w:ascii="Times New Roman" w:hAnsi="Times New Roman"/>
          <w:color w:val="0070C0"/>
          <w:sz w:val="16"/>
          <w:szCs w:val="16"/>
        </w:rPr>
        <w:softHyphen/>
        <w:t>шины, одна в мае, вторая в июне 1944 года, и один бронекорпус с башней для испыта</w:t>
      </w:r>
      <w:r w:rsidRPr="00C94B78">
        <w:rPr>
          <w:rFonts w:ascii="Times New Roman" w:hAnsi="Times New Roman"/>
          <w:color w:val="0070C0"/>
          <w:sz w:val="16"/>
          <w:szCs w:val="16"/>
        </w:rPr>
        <w:softHyphen/>
        <w:t>ния обстрелом.</w:t>
      </w:r>
    </w:p>
    <w:p w14:paraId="513346D5" w14:textId="77777777" w:rsidR="001257C4" w:rsidRPr="00C94B78" w:rsidRDefault="001257C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Кстати, кроме того, что броня лобового листа корпуса осталась на прежнем уровне, на Т-44 второго варианта не удалось устано</w:t>
      </w:r>
      <w:r w:rsidRPr="00C94B78">
        <w:rPr>
          <w:rFonts w:ascii="Times New Roman" w:hAnsi="Times New Roman"/>
          <w:color w:val="0070C0"/>
          <w:sz w:val="16"/>
          <w:szCs w:val="16"/>
        </w:rPr>
        <w:softHyphen/>
        <w:t>вить двигатель В-44, спроектированный спе</w:t>
      </w:r>
      <w:r w:rsidRPr="00C94B78">
        <w:rPr>
          <w:rFonts w:ascii="Times New Roman" w:hAnsi="Times New Roman"/>
          <w:color w:val="0070C0"/>
          <w:sz w:val="16"/>
          <w:szCs w:val="16"/>
        </w:rPr>
        <w:softHyphen/>
        <w:t>циально для «сорокчетверки». Поэтому оба танка получили В-2-ИС, уже опробованный на первых опытных Т-44 №2 и №3. Виной этому опять стал Челябинский Кировский завод, не сумевший поставить в срок новые движки.</w:t>
      </w:r>
    </w:p>
    <w:p w14:paraId="373129A1" w14:textId="77777777" w:rsidR="001257C4" w:rsidRPr="00C94B78" w:rsidRDefault="001257C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Двигатель В-44 отличался от В-2-34 не</w:t>
      </w:r>
      <w:r w:rsidRPr="00C94B78">
        <w:rPr>
          <w:rFonts w:ascii="Times New Roman" w:hAnsi="Times New Roman"/>
          <w:color w:val="0070C0"/>
          <w:sz w:val="16"/>
          <w:szCs w:val="16"/>
        </w:rPr>
        <w:softHyphen/>
        <w:t>сколько увеличенной мощностью (520 л.с.), а также уменьшенными габаритами по высо</w:t>
      </w:r>
      <w:r w:rsidRPr="00C94B78">
        <w:rPr>
          <w:rFonts w:ascii="Times New Roman" w:hAnsi="Times New Roman"/>
          <w:color w:val="0070C0"/>
          <w:sz w:val="16"/>
          <w:szCs w:val="16"/>
        </w:rPr>
        <w:softHyphen/>
        <w:t>те за счет перемещения масляного и водяно</w:t>
      </w:r>
      <w:r w:rsidRPr="00C94B78">
        <w:rPr>
          <w:rFonts w:ascii="Times New Roman" w:hAnsi="Times New Roman"/>
          <w:color w:val="0070C0"/>
          <w:sz w:val="16"/>
          <w:szCs w:val="16"/>
        </w:rPr>
        <w:softHyphen/>
        <w:t>го насосов в габариты нижнего картера. Кро</w:t>
      </w:r>
      <w:r w:rsidRPr="00C94B78">
        <w:rPr>
          <w:rFonts w:ascii="Times New Roman" w:hAnsi="Times New Roman"/>
          <w:color w:val="0070C0"/>
          <w:sz w:val="16"/>
          <w:szCs w:val="16"/>
        </w:rPr>
        <w:softHyphen/>
        <w:t>ме того, водяной насос вместо двух отверстий патрубков имел только одно, но увеличенно</w:t>
      </w:r>
      <w:r w:rsidRPr="00C94B78">
        <w:rPr>
          <w:rFonts w:ascii="Times New Roman" w:hAnsi="Times New Roman"/>
          <w:color w:val="0070C0"/>
          <w:sz w:val="16"/>
          <w:szCs w:val="16"/>
        </w:rPr>
        <w:softHyphen/>
        <w:t>го диаметра. Также двигатель снабжался всережимным регулятором и корректором по</w:t>
      </w:r>
      <w:r w:rsidRPr="00C94B78">
        <w:rPr>
          <w:rFonts w:ascii="Times New Roman" w:hAnsi="Times New Roman"/>
          <w:color w:val="0070C0"/>
          <w:sz w:val="16"/>
          <w:szCs w:val="16"/>
        </w:rPr>
        <w:softHyphen/>
        <w:t>дачи топлива (25012).</w:t>
      </w:r>
    </w:p>
    <w:p w14:paraId="7416CD91" w14:textId="77777777" w:rsidR="001257C4" w:rsidRPr="00C94B78" w:rsidRDefault="001257C4" w:rsidP="00B56F90">
      <w:pPr>
        <w:spacing w:after="0" w:line="240" w:lineRule="auto"/>
        <w:jc w:val="both"/>
        <w:rPr>
          <w:rFonts w:ascii="Times New Roman" w:hAnsi="Times New Roman"/>
          <w:color w:val="0070C0"/>
          <w:sz w:val="16"/>
          <w:szCs w:val="16"/>
        </w:rPr>
      </w:pPr>
    </w:p>
    <w:p w14:paraId="1AD465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апреля 1944 вышло Постановление ГКО № 5682 О т.т. Рудакове М.В., Яшечкине Ф.В. и Лобачеве А.А. РГАНИР, Фонд ГКО, д. 240, лл. 175 (11012).</w:t>
      </w:r>
    </w:p>
    <w:p w14:paraId="61585C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5DF3F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апреля 1944 вышло Распоряжение ГКО. № 5683 О мерах по обеспечению производства спецукупорки 120 мм мин, снарядов М-13, М-31 в апреле-мае 1944 г. на Карачаровском комбинате НКПСМ СССР. РГАНИР, Фонд ГКО, д. 240, лл. 176-177 (11012).</w:t>
      </w:r>
    </w:p>
    <w:p w14:paraId="30898EA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8327CC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апреля 1944 вышло Распоряжение ГКО № 5684 [Об организации базы по ремонту паровозов предприятий НКЧМ.] (7218, 178).</w:t>
      </w:r>
    </w:p>
    <w:p w14:paraId="33EAA00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0A51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апреля 1944 вышло Постановление ГКО № 5685 О производстве и поставке во II квартале 1944 года ветеринарному управлению Красной Армии конских противохимических пакетов. РГАНИР, Фонд ГКО, д. 240, лл. 179-180,181 (11012).</w:t>
      </w:r>
    </w:p>
    <w:p w14:paraId="65EF6D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D3C07D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апреля 1944 вышло Постановление ГКО № 5686 Об обеспечении угольной и горнорудной промышленности крепежным лесом и железных дорог дровами в период с апреля до 1 октября 1944 г. (7219, 1-16,17-48).</w:t>
      </w:r>
    </w:p>
    <w:p w14:paraId="7305177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6347EB" w14:textId="77777777" w:rsidR="00783151" w:rsidRPr="00070ADE" w:rsidRDefault="0078315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апреля 1944 г. заместитель начальника ЦАГИ Остославский подписал приказ за № 111: «В течение 1943 г. и 1944 г. 4 лабораторией ЦАГИ по инициативе и под руководством проф. К. К. Федяевского выполнена большая экспериментальная и теоретическая работа по улучшению ходовых качеств кораблей существующих типов. В заключении НТК НК ВМФ этой работе дается высокая оценка и указывается, что работа «представляет большой практический и научный интерес для отечественного кораблестроения». За проведение указанной работы объявляю благодарность и премирую Федяевского К. К., Бешеля А. Р., Фомину Н. Н., Авдонину В. И., Курятникову П. Е. месячным окладом каждого» (19727).</w:t>
      </w:r>
    </w:p>
    <w:p w14:paraId="6CCAC1AF" w14:textId="77777777" w:rsidR="00783151" w:rsidRPr="00070ADE" w:rsidRDefault="00783151" w:rsidP="00B56F90">
      <w:pPr>
        <w:spacing w:after="0" w:line="240" w:lineRule="auto"/>
        <w:jc w:val="both"/>
        <w:rPr>
          <w:rFonts w:ascii="Times New Roman" w:hAnsi="Times New Roman"/>
          <w:color w:val="000000" w:themeColor="text1"/>
          <w:sz w:val="16"/>
          <w:szCs w:val="16"/>
        </w:rPr>
      </w:pPr>
    </w:p>
    <w:p w14:paraId="39754312" w14:textId="77777777" w:rsidR="000F02F6"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29AE3FA" w14:textId="77777777" w:rsidR="000F02F6" w:rsidRPr="00070ADE" w:rsidRDefault="000F02F6"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28D0E0"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апреля в 1944 году оперативная сводка Совинформбюро:</w:t>
      </w:r>
    </w:p>
    <w:p w14:paraId="17E20029"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19 апреля к востоку и югу от города Станислав наши войска вели упорные бои с противником, отбивая атаки крупных сил пехоты и танков.</w:t>
      </w:r>
    </w:p>
    <w:p w14:paraId="542CF631"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Кишинёвском направлении наши войска продолжали вести бои по расширению плацдармов на правом берегу Днестра и улучшили свои позиции.</w:t>
      </w:r>
    </w:p>
    <w:p w14:paraId="5BED92B6"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Севастопольском направлении наши войска продолжали вести наступательные бои, в ходе которых выбили противника из нескольких сильно укреплённых опорных пунктов его обороны.</w:t>
      </w:r>
    </w:p>
    <w:p w14:paraId="442232F3"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поиски разведчиков.</w:t>
      </w:r>
    </w:p>
    <w:p w14:paraId="6F095E27"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18 апреля наши войска на всех фронтах подбили и уничтожили 17 немецких танков. В воздушных боях и огнём зенитной артиллерии сбито 70 самолётов противника.».</w:t>
      </w:r>
    </w:p>
    <w:p w14:paraId="556E021E"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Массированный налёт нашей авиации на железнодорожный узел Львов.</w:t>
      </w:r>
    </w:p>
    <w:p w14:paraId="78540DCA"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19 апреля наша авиация дальнего действия произвела массированный налёт на железнодорожный узел Львов и бомбардировала скопление эшелонов свойсками и техникой противника. В результате бомбардировки возникло до 40 пожаров: горели эшелоны с вооружением и войсками и цистерны с горючим. Пожары сопровождались сильными взрывами. Наши лётчики, уходя от цели, наблюдали пламя пожаров с расстояния в 150 километров.</w:t>
      </w:r>
    </w:p>
    <w:p w14:paraId="4BA1F6DE"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Один наш самолёт не вернулся на свой аэродром.».</w:t>
      </w:r>
    </w:p>
    <w:p w14:paraId="1F887F7D"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Восточнее города Станислав крупные силы пехоты и танков противника атаковали наши позиции. Завязался ожесточённый бой, в ходе которого отдельные населённые пункты переходили из рук в руки. Наши пехотинцы, при поддержке артиллеристов и миномётчиков, отбили все атаки противника и истребили до двух батальонов гитлеровцев. Подбиты и сожжены 12 немецких танков и самоходных орудий, 4 бронетранспортёра и 20 автомашин.</w:t>
      </w:r>
    </w:p>
    <w:p w14:paraId="528F93E8"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Группа лётчиков-истребителей под командованием Героя Советского Союза гвардии майора Ворожейкина прикрывала боевые порядки наших войск. В это время появилась большая группа немецких бомбардировщиков и истребителей. Гвардии майор Ворожейкин во главе ударной группы атаковал бомбардировщиков, а лейтенант Лазарев завязал бой с истребителями противника. Наши лётчики сбили 6 немецких самолётов. Всего в течение дня в этом районе в воздушных боях было сбито 13 самолётов противника.</w:t>
      </w:r>
    </w:p>
    <w:p w14:paraId="692A1FA5"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Кишинёвском направлении части Н-ского соединения вели бои по расширению плацдармов на правом берегу Днестра. Преодолевая упорное сопротивление противника и отражая его контратаки, наши бойцы продвинулись вперёд и занялинесколько населённых пунктов. Попытки немцев восстановить положение закончились неудачей. На поле боя осталось свыше 800 вражеских трупов. Захвачено у немцев два самоходных и 5 противотанковых орудий, 20 пулемётов, 6 миномётов и склад боеприпасов. Взяты пленные.</w:t>
      </w:r>
    </w:p>
    <w:p w14:paraId="100CDA28"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Севастопольском направлении наши войска продолжали вести наступательные бои. Противник, прижатый к морю, оказывает ожесточённое сопротивление. Советская артиллерия обстреливает позиции, оставшиеся в руках немцев. В районе шоссейной дороги Севастополь-Симферополь гитлеровцы во второй половине дня предприняли несколько контратак, поддержанных авиацией. Советские части отбросили немцев на исходные позиции, захватив при этом много пленных. На других участках наши штурмовые отряды с приданными им полевыми и самоходными орудиями, настойчиво продвигаясь вперёд, обходят вражеские узлы сопротивления, а затем решительными ударами ликвидируют их. Особенно упорная борьба происходила за Федюхины высоты. Наши бойцы вышли во фланг этих важных позиций врага и решительной атакой овладели ими. На поле боя осталось много вражеских трупов. Другие наши части удачным манёвром обошли с юга гору Сахарная Головка, прикрывающую вход в Инкерманскую долину. Перебежчики и пленные сообщают, что по приказу немецкого командования румынам, занимающим оборону, запрещено выходить из окопов. При малейшей попытке румын покинуть окопы их расстреливают немецкие автоматчики.</w:t>
      </w:r>
    </w:p>
    <w:p w14:paraId="5819E282"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Противник пытается вывезти морем и на самолётах остатки офицерского состава разгромленной крымской группировки. Советская авиация днём и ночью наносит удары по плавсредствам противника в порту Севастополь. Корабли и баржи, которым удаётся выбраться из порта, настигаются в открытом море. Ночью одна группа советских самолётов потопила 4 самоходные баржи и один катер противника. Другая группа наших самолётов пустила ко дну транспорт водоизмещением в 3.000 тонн.</w:t>
      </w:r>
    </w:p>
    <w:p w14:paraId="741374FB"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лётчики-штурмовики атаковали аэродром на мысе Херсонес и сожгли на земле 10 транспортных немецких самолётов. В воздушных боях и огнём зенитной артиллерии сбито 17 немецких истребителей.</w:t>
      </w:r>
    </w:p>
    <w:p w14:paraId="297BC6A2"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Черноморского флота наносила бомбово-штурмовые удары по транспортам противника на коммуникациях Севастополь-Констанца. Наши лётчики потопили транспорт водоизмещением в 4.000 тонн и сторожевой катер противника. Один крупный транспорт подожжён. Кроме того, повреждены два немецких транспорта общим водоизмещением в 5.000 тонн.</w:t>
      </w:r>
    </w:p>
    <w:p w14:paraId="0C7FFBAA"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Торпедные катеры Черноморского флота, действующие на подходах к Севастополю, ночью обнаружили четыре сторожевых катера и быстроходную десантную баржу. Завязав бой, наши торпедные катеры потопили быстроходную десантную баржу противника.</w:t>
      </w:r>
    </w:p>
    <w:p w14:paraId="24E64ED3"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Партизанские отряды, действующие в Барановичской области, за две недели разгромили несколько немецко-полицейских гарнизонов и карательных групп, грабивших местное население. В результате этих операций убито более 400 гитлеровцев. Захвачены у немцев 34 пулемёта, 4 миномёта, 330 винтовок, 70 тысяч патронов и другие трофеи. Группа белостокских партизан остановила на перегоне железнодорожный эшелон противника. Советские патриоты уничтожили паровоз, 20 вагонов и, кроме того, взорвали более 300 рельсов. Движение поездов на этом участке было прервано на несколько суток.</w:t>
      </w:r>
    </w:p>
    <w:p w14:paraId="326AB29F"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командир взвода 5 роты тяжёлых миномётов 2 румынской горнострелковой дивизии лейтенант Мурешану рассказал: «Наша рота 13 апреля прибыла в Судак. Там скопилось много немцев и румын. Немцы грузились на баржи. Как только три баржи, переполненные солдатами, отчалили от берега, налетели русские штурмовики. На наших глазах все три баржи пошли ко дну. После этого румынские солдаты, находившиеся в порту и видевшие гибель немцев, категорически отказались садиться на суда. На причалах поднялась невообразимая суматоха. Приказы офицеров не выполнялись. Между немцами и румынами произошли кровавые стычки. Немцы также прекратили погрузку. Они бросили вооружение и военное имущество и удрали по направлению к Алуште. Когда я вернулся в свою роту, меня окружили 300 солдат из разных подразделений и заявили, что они решили сложить оружие. Я также вместе с ними сдался в плен русским».</w:t>
      </w:r>
    </w:p>
    <w:p w14:paraId="4253398E"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Жители села Воробьёвка, Каменец-Подольской области, составили акт о зверствах немецко-фашистских мерзавцев. В акте говорится: «Немецкие людоеды разорили и опустошили наше село. До войны в Воробьёвке насчитывалось полторы тысячи жителей. Сейчас осталось не более ста человек. Многих наших односельчан гитлеровцы насильно угнали на каторгу в Германию, замучили и расстреляли. В январе этого года немцы выгнали на улицу жителей села и объявили, что всех сегодня же эвакуируют в тыл. Фашистские изверги повели собравшихся граждан на кладбище и там их расстреляли. Чтобы скрыть следы своих кровавых злодеяний, немцы облили трупы бензином и сожгли их».</w:t>
      </w:r>
    </w:p>
    <w:p w14:paraId="0DD3D47B"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колхозники: Максим Кузьмич, Николай Янчук, Ольга Семенчук, Анна Семенчук и другие.» (15104).</w:t>
      </w:r>
    </w:p>
    <w:p w14:paraId="128B28A3" w14:textId="77777777" w:rsidR="000F02F6" w:rsidRPr="00070ADE" w:rsidRDefault="000F02F6" w:rsidP="00B56F90">
      <w:pPr>
        <w:spacing w:after="0" w:line="240" w:lineRule="auto"/>
        <w:jc w:val="both"/>
        <w:rPr>
          <w:rFonts w:ascii="Times New Roman" w:hAnsi="Times New Roman"/>
          <w:color w:val="000000" w:themeColor="text1"/>
          <w:sz w:val="16"/>
          <w:szCs w:val="16"/>
        </w:rPr>
      </w:pPr>
    </w:p>
    <w:p w14:paraId="67AE77AF" w14:textId="77777777" w:rsidR="002867AB" w:rsidRPr="00070ADE" w:rsidRDefault="002867AB"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С 19 апреля по 15 мая 1944 г. против флота на Черном море Ил-2 1045 боевых вылетов. Среди потопленных самостоятельно либо совместно с другими си</w:t>
      </w:r>
      <w:r w:rsidRPr="00070ADE">
        <w:rPr>
          <w:rFonts w:ascii="Times New Roman" w:cs="Times New Roman"/>
          <w:color w:val="000000" w:themeColor="text1"/>
          <w:spacing w:val="0"/>
          <w:sz w:val="16"/>
          <w:szCs w:val="16"/>
        </w:rPr>
        <w:softHyphen/>
        <w:t>лами оказались крупнейшие на ТВД теплоходы «оси» «Тотила» и «Тея», которые привлекались для эвакуации с полуострова сил вермахта. «Тотилу» поначалу неудачно атаковали девять Ил-2 из 47-го ШАП. Их сменила восьмерка из 8-го ГвШАП, которая вса</w:t>
      </w:r>
      <w:r w:rsidRPr="00070ADE">
        <w:rPr>
          <w:rFonts w:ascii="Times New Roman" w:cs="Times New Roman"/>
          <w:color w:val="000000" w:themeColor="text1"/>
          <w:spacing w:val="0"/>
          <w:sz w:val="16"/>
          <w:szCs w:val="16"/>
        </w:rPr>
        <w:softHyphen/>
        <w:t>дила три ФАБ-100 в теплоход. Затем уже тонувшее судно доби</w:t>
      </w:r>
      <w:r w:rsidRPr="00070ADE">
        <w:rPr>
          <w:rFonts w:ascii="Times New Roman" w:cs="Times New Roman"/>
          <w:color w:val="000000" w:themeColor="text1"/>
          <w:spacing w:val="0"/>
          <w:sz w:val="16"/>
          <w:szCs w:val="16"/>
        </w:rPr>
        <w:softHyphen/>
        <w:t>ли прибывшие к месту разгрома тринадцать Ил-2. По «Тее» штурмовики произвели лишь одну, первую, атаку, угодив по теп</w:t>
      </w:r>
      <w:r w:rsidRPr="00070ADE">
        <w:rPr>
          <w:rFonts w:ascii="Times New Roman" w:cs="Times New Roman"/>
          <w:color w:val="000000" w:themeColor="text1"/>
          <w:spacing w:val="0"/>
          <w:sz w:val="16"/>
          <w:szCs w:val="16"/>
        </w:rPr>
        <w:softHyphen/>
        <w:t>лоходу «соткой». Дальше его добивали «Бостоны» и «пешки». Успех стоил «горбатым» четырех поврежденных машин.</w:t>
      </w:r>
    </w:p>
    <w:p w14:paraId="2B326EDC" w14:textId="77777777" w:rsidR="002867AB" w:rsidRPr="00070ADE" w:rsidRDefault="002867AB" w:rsidP="00B56F90">
      <w:pPr>
        <w:pStyle w:val="121"/>
        <w:shd w:val="clear" w:color="auto" w:fill="auto"/>
        <w:spacing w:line="240" w:lineRule="auto"/>
        <w:jc w:val="both"/>
        <w:rPr>
          <w:rFonts w:ascii="Times New Roman" w:hAnsi="Times New Roman" w:cs="Times New Roman"/>
          <w:b w:val="0"/>
          <w:bCs w:val="0"/>
          <w:color w:val="000000" w:themeColor="text1"/>
          <w:sz w:val="16"/>
          <w:szCs w:val="16"/>
        </w:rPr>
      </w:pPr>
      <w:r w:rsidRPr="00070ADE">
        <w:rPr>
          <w:rStyle w:val="120pt"/>
          <w:rFonts w:ascii="Times New Roman" w:hAnsi="Times New Roman" w:cs="Times New Roman"/>
          <w:b w:val="0"/>
          <w:bCs w:val="0"/>
          <w:i w:val="0"/>
          <w:iCs w:val="0"/>
          <w:color w:val="000000" w:themeColor="text1"/>
          <w:w w:val="100"/>
          <w:sz w:val="16"/>
          <w:szCs w:val="16"/>
        </w:rPr>
        <w:t>Вот как описывает разгром этого конвоя германский исто</w:t>
      </w:r>
      <w:r w:rsidRPr="00070ADE">
        <w:rPr>
          <w:rStyle w:val="120pt"/>
          <w:rFonts w:ascii="Times New Roman" w:hAnsi="Times New Roman" w:cs="Times New Roman"/>
          <w:b w:val="0"/>
          <w:bCs w:val="0"/>
          <w:i w:val="0"/>
          <w:iCs w:val="0"/>
          <w:color w:val="000000" w:themeColor="text1"/>
          <w:w w:val="100"/>
          <w:sz w:val="16"/>
          <w:szCs w:val="16"/>
        </w:rPr>
        <w:softHyphen/>
        <w:t>рик Алекс Бухнер (</w:t>
      </w:r>
      <w:r w:rsidRPr="00070ADE">
        <w:rPr>
          <w:rStyle w:val="120pt"/>
          <w:rFonts w:ascii="Times New Roman" w:hAnsi="Times New Roman" w:cs="Times New Roman"/>
          <w:b w:val="0"/>
          <w:bCs w:val="0"/>
          <w:i w:val="0"/>
          <w:iCs w:val="0"/>
          <w:color w:val="000000" w:themeColor="text1"/>
          <w:w w:val="100"/>
          <w:sz w:val="16"/>
          <w:szCs w:val="16"/>
          <w:lang w:val="en-US"/>
        </w:rPr>
        <w:t>Alex</w:t>
      </w:r>
      <w:r w:rsidRPr="00070ADE">
        <w:rPr>
          <w:rStyle w:val="120pt"/>
          <w:rFonts w:ascii="Times New Roman" w:hAnsi="Times New Roman" w:cs="Times New Roman"/>
          <w:b w:val="0"/>
          <w:bCs w:val="0"/>
          <w:i w:val="0"/>
          <w:iCs w:val="0"/>
          <w:color w:val="000000" w:themeColor="text1"/>
          <w:w w:val="100"/>
          <w:sz w:val="16"/>
          <w:szCs w:val="16"/>
        </w:rPr>
        <w:t xml:space="preserve"> </w:t>
      </w:r>
      <w:r w:rsidRPr="00070ADE">
        <w:rPr>
          <w:rStyle w:val="120pt"/>
          <w:rFonts w:ascii="Times New Roman" w:hAnsi="Times New Roman" w:cs="Times New Roman"/>
          <w:b w:val="0"/>
          <w:bCs w:val="0"/>
          <w:i w:val="0"/>
          <w:iCs w:val="0"/>
          <w:color w:val="000000" w:themeColor="text1"/>
          <w:w w:val="100"/>
          <w:sz w:val="16"/>
          <w:szCs w:val="16"/>
          <w:lang w:val="en-US"/>
        </w:rPr>
        <w:t>Buchner</w:t>
      </w:r>
      <w:r w:rsidRPr="00070ADE">
        <w:rPr>
          <w:rStyle w:val="120pt"/>
          <w:rFonts w:ascii="Times New Roman" w:hAnsi="Times New Roman" w:cs="Times New Roman"/>
          <w:b w:val="0"/>
          <w:bCs w:val="0"/>
          <w:i w:val="0"/>
          <w:iCs w:val="0"/>
          <w:color w:val="000000" w:themeColor="text1"/>
          <w:w w:val="100"/>
          <w:sz w:val="16"/>
          <w:szCs w:val="16"/>
        </w:rPr>
        <w:t>):</w:t>
      </w:r>
      <w:r w:rsidRPr="00070ADE">
        <w:rPr>
          <w:rFonts w:ascii="Times New Roman" w:hAnsi="Times New Roman" w:cs="Times New Roman"/>
          <w:b w:val="0"/>
          <w:bCs w:val="0"/>
          <w:color w:val="000000" w:themeColor="text1"/>
          <w:sz w:val="16"/>
          <w:szCs w:val="16"/>
        </w:rPr>
        <w:t xml:space="preserve"> «Тотила» приняла на борт уже 4 тысячи человек, когда на нее налетели советские штурмовики и бомбардировщики... Ударили корабельные зенитки, выпусти</w:t>
      </w:r>
      <w:r w:rsidRPr="00070ADE">
        <w:rPr>
          <w:rFonts w:ascii="Times New Roman" w:hAnsi="Times New Roman" w:cs="Times New Roman"/>
          <w:b w:val="0"/>
          <w:bCs w:val="0"/>
          <w:color w:val="000000" w:themeColor="text1"/>
          <w:sz w:val="16"/>
          <w:szCs w:val="16"/>
        </w:rPr>
        <w:softHyphen/>
        <w:t xml:space="preserve">ли в небо трассы своих снарядов. В 5.45 в «Тотилу» попали три бомбы, она загорелась и начала тонуть. На борту начался ад. Вода устремилась на нижние палубы, надстройки охватило пламя. Раздавались взрывы бомб. Кто не захлебнулся внутри корабля, не погиб от осколков и огня бортового вооружения или в пожаре, прыгал в воду. Толпы людей облепляли выброшенные спасательные круги и деревянные обломки корабля, пытались отплыть, тонули. В 8.00 «Тотила» утонула. Тральщик </w:t>
      </w:r>
      <w:r w:rsidRPr="00070ADE">
        <w:rPr>
          <w:rFonts w:ascii="Times New Roman" w:hAnsi="Times New Roman" w:cs="Times New Roman"/>
          <w:b w:val="0"/>
          <w:bCs w:val="0"/>
          <w:color w:val="000000" w:themeColor="text1"/>
          <w:sz w:val="16"/>
          <w:szCs w:val="16"/>
          <w:lang w:val="en-US"/>
        </w:rPr>
        <w:t>R</w:t>
      </w:r>
      <w:r w:rsidRPr="00070ADE">
        <w:rPr>
          <w:rFonts w:ascii="Times New Roman" w:hAnsi="Times New Roman" w:cs="Times New Roman"/>
          <w:b w:val="0"/>
          <w:bCs w:val="0"/>
          <w:color w:val="000000" w:themeColor="text1"/>
          <w:sz w:val="16"/>
          <w:szCs w:val="16"/>
        </w:rPr>
        <w:t xml:space="preserve"> 209 ... смог спасти только пару сотен человек».</w:t>
      </w:r>
    </w:p>
    <w:p w14:paraId="48D3B22E" w14:textId="77777777" w:rsidR="002867AB" w:rsidRPr="00070ADE" w:rsidRDefault="002867AB" w:rsidP="00B56F90">
      <w:pPr>
        <w:pStyle w:val="121"/>
        <w:shd w:val="clear" w:color="auto" w:fill="auto"/>
        <w:spacing w:line="240" w:lineRule="auto"/>
        <w:jc w:val="both"/>
        <w:rPr>
          <w:rFonts w:ascii="Times New Roman" w:hAnsi="Times New Roman" w:cs="Times New Roman"/>
          <w:b w:val="0"/>
          <w:bCs w:val="0"/>
          <w:color w:val="000000" w:themeColor="text1"/>
          <w:sz w:val="16"/>
          <w:szCs w:val="16"/>
        </w:rPr>
      </w:pPr>
      <w:r w:rsidRPr="00070ADE">
        <w:rPr>
          <w:rStyle w:val="120pt"/>
          <w:rFonts w:ascii="Times New Roman" w:hAnsi="Times New Roman" w:cs="Times New Roman"/>
          <w:b w:val="0"/>
          <w:bCs w:val="0"/>
          <w:i w:val="0"/>
          <w:iCs w:val="0"/>
          <w:color w:val="000000" w:themeColor="text1"/>
          <w:w w:val="100"/>
          <w:sz w:val="16"/>
          <w:szCs w:val="16"/>
        </w:rPr>
        <w:t>Вскоре дошла очередь до «Теи», на бор</w:t>
      </w:r>
      <w:r w:rsidRPr="00070ADE">
        <w:rPr>
          <w:rStyle w:val="120pt"/>
          <w:rFonts w:ascii="Times New Roman" w:hAnsi="Times New Roman" w:cs="Times New Roman"/>
          <w:b w:val="0"/>
          <w:bCs w:val="0"/>
          <w:i w:val="0"/>
          <w:iCs w:val="0"/>
          <w:color w:val="000000" w:themeColor="text1"/>
          <w:w w:val="100"/>
          <w:sz w:val="16"/>
          <w:szCs w:val="16"/>
        </w:rPr>
        <w:softHyphen/>
        <w:t xml:space="preserve">ту которой находилось около 5000 солдат. </w:t>
      </w:r>
      <w:r w:rsidRPr="00070ADE">
        <w:rPr>
          <w:rFonts w:ascii="Times New Roman" w:hAnsi="Times New Roman" w:cs="Times New Roman"/>
          <w:b w:val="0"/>
          <w:bCs w:val="0"/>
          <w:color w:val="000000" w:themeColor="text1"/>
          <w:sz w:val="16"/>
          <w:szCs w:val="16"/>
        </w:rPr>
        <w:t>«Бомбами и авиационными торпедами ко</w:t>
      </w:r>
      <w:r w:rsidRPr="00070ADE">
        <w:rPr>
          <w:rFonts w:ascii="Times New Roman" w:hAnsi="Times New Roman" w:cs="Times New Roman"/>
          <w:b w:val="0"/>
          <w:bCs w:val="0"/>
          <w:color w:val="000000" w:themeColor="text1"/>
          <w:sz w:val="16"/>
          <w:szCs w:val="16"/>
        </w:rPr>
        <w:softHyphen/>
        <w:t>рабль был настолько тяжело поврежден, что затонул в 15 часов в 23 милях юго-западнее Херсонеса. И снова повторились те же кар</w:t>
      </w:r>
      <w:r w:rsidRPr="00070ADE">
        <w:rPr>
          <w:rFonts w:ascii="Times New Roman" w:hAnsi="Times New Roman" w:cs="Times New Roman"/>
          <w:b w:val="0"/>
          <w:bCs w:val="0"/>
          <w:color w:val="000000" w:themeColor="text1"/>
          <w:sz w:val="16"/>
          <w:szCs w:val="16"/>
        </w:rPr>
        <w:softHyphen/>
        <w:t>тины ужаса. Тральщикам удалось взять на борт только около 400 человек... Около 8000 из погрузившихся на оба крупных транспор</w:t>
      </w:r>
      <w:r w:rsidRPr="00070ADE">
        <w:rPr>
          <w:rFonts w:ascii="Times New Roman" w:hAnsi="Times New Roman" w:cs="Times New Roman"/>
          <w:b w:val="0"/>
          <w:bCs w:val="0"/>
          <w:color w:val="000000" w:themeColor="text1"/>
          <w:sz w:val="16"/>
          <w:szCs w:val="16"/>
        </w:rPr>
        <w:softHyphen/>
        <w:t>та солдат утонули в водах Черного моря».</w:t>
      </w:r>
    </w:p>
    <w:p w14:paraId="7C677AC1" w14:textId="77777777" w:rsidR="002867AB" w:rsidRPr="00070ADE" w:rsidRDefault="002867AB"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Как видим, штурмовики на морских ТВД добились значительных успехов. И все же их возможности в данной «ипостаси» оставляли желать лучшего из-за малого радиуса дейст</w:t>
      </w:r>
      <w:r w:rsidRPr="00070ADE">
        <w:rPr>
          <w:rFonts w:ascii="Times New Roman" w:cs="Times New Roman"/>
          <w:color w:val="000000" w:themeColor="text1"/>
          <w:spacing w:val="0"/>
          <w:sz w:val="16"/>
          <w:szCs w:val="16"/>
        </w:rPr>
        <w:softHyphen/>
        <w:t>вия, небольшой боевой нагрузки и недоста</w:t>
      </w:r>
      <w:r w:rsidRPr="00070ADE">
        <w:rPr>
          <w:rFonts w:ascii="Times New Roman" w:cs="Times New Roman"/>
          <w:color w:val="000000" w:themeColor="text1"/>
          <w:spacing w:val="0"/>
          <w:sz w:val="16"/>
          <w:szCs w:val="16"/>
        </w:rPr>
        <w:softHyphen/>
        <w:t>точной ее номенклатуры (19854).</w:t>
      </w:r>
    </w:p>
    <w:p w14:paraId="28DD3B78" w14:textId="77777777" w:rsidR="002867AB" w:rsidRPr="00070ADE" w:rsidRDefault="002867AB" w:rsidP="00B56F90">
      <w:pPr>
        <w:pStyle w:val="100"/>
        <w:shd w:val="clear" w:color="auto" w:fill="auto"/>
        <w:spacing w:before="0" w:line="240" w:lineRule="auto"/>
        <w:ind w:firstLine="0"/>
        <w:rPr>
          <w:rFonts w:ascii="Times New Roman" w:hAnsi="Times New Roman" w:cs="Times New Roman"/>
          <w:color w:val="000000" w:themeColor="text1"/>
          <w:lang w:val="ru-RU"/>
        </w:rPr>
      </w:pPr>
    </w:p>
    <w:p w14:paraId="7FA2A04C" w14:textId="77777777" w:rsidR="00BD31A2" w:rsidRPr="00070ADE" w:rsidRDefault="00BD31A2"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апре</w:t>
      </w:r>
      <w:r w:rsidRPr="00070ADE">
        <w:rPr>
          <w:rFonts w:ascii="Times New Roman" w:hAnsi="Times New Roman"/>
          <w:color w:val="000000" w:themeColor="text1"/>
          <w:sz w:val="16"/>
          <w:szCs w:val="16"/>
        </w:rPr>
        <w:softHyphen/>
        <w:t>ля 1944 г. Л-6 в 12-м боевом походе погибла в бою с противолодочным кораблем против</w:t>
      </w:r>
      <w:r w:rsidRPr="00070ADE">
        <w:rPr>
          <w:rFonts w:ascii="Times New Roman" w:hAnsi="Times New Roman"/>
          <w:color w:val="000000" w:themeColor="text1"/>
          <w:sz w:val="16"/>
          <w:szCs w:val="16"/>
        </w:rPr>
        <w:softHyphen/>
        <w:t>ника (3898).</w:t>
      </w:r>
    </w:p>
    <w:p w14:paraId="1CEC6E76" w14:textId="77777777" w:rsidR="00BD31A2" w:rsidRPr="00070ADE" w:rsidRDefault="00BD31A2"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56593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4CAA78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CDD8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апреля 1944 в СССР в соответствии с новым курсом в отношениях с церковью и религиозными конфессиями было принято решение о создании Совета по делам неправославных курсов (Совет по делам РПЦ был создан в сентябре 1943) (3186).</w:t>
      </w:r>
    </w:p>
    <w:p w14:paraId="6DFD77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E7EEF9" w14:textId="77777777" w:rsidR="000F02F6"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6FC7816C" w14:textId="77777777" w:rsidR="000F02F6" w:rsidRPr="00070ADE" w:rsidRDefault="000F02F6"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BD0A90"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апреля в 1944 году правительство Финляндии отказалось принять советские условия перемирия, сославшись на невозможность их выполнения по техническим причинам (15104).</w:t>
      </w:r>
    </w:p>
    <w:p w14:paraId="164B19BF" w14:textId="77777777" w:rsidR="000F02F6" w:rsidRPr="00070ADE" w:rsidRDefault="000F02F6" w:rsidP="00B56F90">
      <w:pPr>
        <w:spacing w:after="0" w:line="240" w:lineRule="auto"/>
        <w:jc w:val="both"/>
        <w:rPr>
          <w:rFonts w:ascii="Times New Roman" w:hAnsi="Times New Roman"/>
          <w:color w:val="000000" w:themeColor="text1"/>
          <w:sz w:val="16"/>
          <w:szCs w:val="16"/>
        </w:rPr>
      </w:pPr>
    </w:p>
    <w:p w14:paraId="5A276949" w14:textId="77777777" w:rsidR="000F02F6"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34FEF880" w14:textId="77777777" w:rsidR="000F02F6" w:rsidRPr="00070ADE" w:rsidRDefault="000F02F6"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4A0E88" w14:textId="77777777" w:rsidR="002867AB" w:rsidRPr="00070ADE" w:rsidRDefault="002867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апреля 1944 года взлетел первый экземпляр обновленного «Корсара» под обозначением XF4U-4A. Второй образец, с обозначением F4U-4В, поднялся в воздух 12 июля 1944 года. В конструкцию машины внесли большое количество изменений. Основные — коснулись силовой установки. Скорость полета четвертой модификации достигла 717 км/ч. Существенно обновился состав радиооборудования и вооружения. Истребитель F4U-4 начал поступать в строевые части с 1945 года. До конца войны американцы успели построить 1912 самолетов этой модификации. Большинство «четверок» приняли участие в последних сражениях на Тихоокеанском театре военных действий (22903).</w:t>
      </w:r>
    </w:p>
    <w:p w14:paraId="481C3872" w14:textId="77777777" w:rsidR="002867AB" w:rsidRPr="00070ADE" w:rsidRDefault="002867AB" w:rsidP="00B56F90">
      <w:pPr>
        <w:spacing w:after="0" w:line="240" w:lineRule="auto"/>
        <w:jc w:val="both"/>
        <w:rPr>
          <w:rFonts w:ascii="Times New Roman" w:hAnsi="Times New Roman"/>
          <w:color w:val="000000" w:themeColor="text1"/>
          <w:sz w:val="16"/>
          <w:szCs w:val="16"/>
        </w:rPr>
      </w:pPr>
    </w:p>
    <w:p w14:paraId="34901E51"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апреля в 1944 году авианалет германских ВВС на Лондон (15104).</w:t>
      </w:r>
    </w:p>
    <w:p w14:paraId="17E7DEC6" w14:textId="77777777" w:rsidR="000F02F6" w:rsidRPr="00070ADE" w:rsidRDefault="000F02F6" w:rsidP="00B56F90">
      <w:pPr>
        <w:spacing w:after="0" w:line="240" w:lineRule="auto"/>
        <w:jc w:val="both"/>
        <w:rPr>
          <w:rFonts w:ascii="Times New Roman" w:hAnsi="Times New Roman"/>
          <w:color w:val="000000" w:themeColor="text1"/>
          <w:sz w:val="16"/>
          <w:szCs w:val="16"/>
        </w:rPr>
      </w:pPr>
    </w:p>
    <w:p w14:paraId="37D26D3B" w14:textId="77777777" w:rsidR="002867AB" w:rsidRPr="00070ADE" w:rsidRDefault="002867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19 апреля 1944 британский Восточный флот наносит первый британский воздушный удар по территории, удерживаемой Японией, используя Barracudas и Corsairs с британского авианосца HMS Illustrious и SBD Dauntlesses и F6F Hellcats с американского авианосца USS Saratoga (CV-3), совершающих налет на Сабанг, Суматра, повредив портовые сооружения и уничтожив радиолокационную станцию и японские самолеты на близлежащих аэродромах. Один Hellcat потерян (20373).</w:t>
      </w:r>
    </w:p>
    <w:p w14:paraId="1EB537FE" w14:textId="77777777" w:rsidR="002867AB" w:rsidRPr="00070ADE" w:rsidRDefault="002867AB" w:rsidP="00B56F90">
      <w:pPr>
        <w:spacing w:after="0" w:line="240" w:lineRule="auto"/>
        <w:jc w:val="both"/>
        <w:rPr>
          <w:rFonts w:ascii="Times New Roman" w:hAnsi="Times New Roman"/>
          <w:color w:val="000000" w:themeColor="text1"/>
          <w:sz w:val="16"/>
          <w:szCs w:val="16"/>
        </w:rPr>
      </w:pPr>
    </w:p>
    <w:p w14:paraId="355A012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8EA5F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6AFF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20/27 апреля 1944 вышел приказ НКАП N 287с:</w:t>
      </w:r>
    </w:p>
    <w:p w14:paraId="4DE2BB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Для проведения заводских испытаний самолета Ил-10 с АМ-42 назначить ли В.К.К. (1687,206).</w:t>
      </w:r>
    </w:p>
    <w:p w14:paraId="0E2F9C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9670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1944-го необходимое разрешение было получено и заводские испытания ИЛ-10 начались. Шеф-пилот ОКБ В.К.Коккинаки сделал на новом штурмовике свыше трех десятков полетов по программе и 13 мая (то есть с опозданием на шесть месяцев) машина была сдана на государственные испытания в ГК НИИ ВВС КА (9649).</w:t>
      </w:r>
    </w:p>
    <w:p w14:paraId="4D6B46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803652"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в 1944 году первый полет штурмовика «Ил-10», В.К.Коккинаки. «Ил-10» был построен в 1944 г. По сравнению с «Ил-2» этот самолет имел меньшие размеры, существенно лучшую аэродинамику и более мощный мотор жидкостного охлаждения «АМ-42». На самолеты были установлены четыре пушки - на первом этапе калибром 20 мм, позже - калибром 23 мм: на крыльевых балках располагались 8 реактивных снарядов «PC-82»; бомболюк и внешняя подвеска допускали использование разнокалиберных бомб общим весом 600 килограммов. Большая скорость полета, хорошая маневренность и эффективная бронезащита определили высокие боевые качества «Ил-10». К 1 мая 1945 г. действующей армии было передано 630 штурмовиков «Ил-10» (15105).</w:t>
      </w:r>
    </w:p>
    <w:p w14:paraId="7CB0C05A" w14:textId="77777777" w:rsidR="000F02F6" w:rsidRPr="00070ADE" w:rsidRDefault="000F02F6" w:rsidP="00B56F90">
      <w:pPr>
        <w:spacing w:after="0" w:line="240" w:lineRule="auto"/>
        <w:jc w:val="both"/>
        <w:rPr>
          <w:rFonts w:ascii="Times New Roman" w:hAnsi="Times New Roman"/>
          <w:color w:val="000000" w:themeColor="text1"/>
          <w:sz w:val="16"/>
          <w:szCs w:val="16"/>
        </w:rPr>
      </w:pPr>
    </w:p>
    <w:p w14:paraId="23D031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после отладки и проверки всех сис</w:t>
      </w:r>
      <w:r w:rsidRPr="00070ADE">
        <w:rPr>
          <w:rFonts w:ascii="Times New Roman" w:hAnsi="Times New Roman"/>
          <w:color w:val="000000" w:themeColor="text1"/>
          <w:sz w:val="16"/>
          <w:szCs w:val="16"/>
        </w:rPr>
        <w:softHyphen/>
        <w:t>тем С.В.Ильюшин направил замнаркома А.С. Яковлеву докладную запис</w:t>
      </w:r>
      <w:r w:rsidRPr="00070ADE">
        <w:rPr>
          <w:rFonts w:ascii="Times New Roman" w:hAnsi="Times New Roman"/>
          <w:color w:val="000000" w:themeColor="text1"/>
          <w:sz w:val="16"/>
          <w:szCs w:val="16"/>
        </w:rPr>
        <w:softHyphen/>
        <w:t>ку, в которой указывал, что «...двухмест</w:t>
      </w:r>
      <w:r w:rsidRPr="00070ADE">
        <w:rPr>
          <w:rFonts w:ascii="Times New Roman" w:hAnsi="Times New Roman"/>
          <w:color w:val="000000" w:themeColor="text1"/>
          <w:sz w:val="16"/>
          <w:szCs w:val="16"/>
        </w:rPr>
        <w:softHyphen/>
        <w:t>ный бронированный штурмовик Ил-10 с мотором АМ-42 готов к первому вылету, на что и прошу Вашего разрешения». Обратите внимание — уже не Ил-1, а Ил-10! Разрешение было получено, и к 11 мая шеф-пилот ОКБ В. К. Коккинаки сделал на новом штурмовике около трех десятков полетов по программе заводс</w:t>
      </w:r>
      <w:r w:rsidRPr="00070ADE">
        <w:rPr>
          <w:rFonts w:ascii="Times New Roman" w:hAnsi="Times New Roman"/>
          <w:color w:val="000000" w:themeColor="text1"/>
          <w:sz w:val="16"/>
          <w:szCs w:val="16"/>
        </w:rPr>
        <w:softHyphen/>
        <w:t>ких испытаний. Ведущим инженером по испытаниям был В.Н. Бугайский. При полетном весе 6300 кг максималь</w:t>
      </w:r>
      <w:r w:rsidRPr="00070ADE">
        <w:rPr>
          <w:rFonts w:ascii="Times New Roman" w:hAnsi="Times New Roman"/>
          <w:color w:val="000000" w:themeColor="text1"/>
          <w:sz w:val="16"/>
          <w:szCs w:val="16"/>
        </w:rPr>
        <w:softHyphen/>
        <w:t>ная скорость составила у земли 512 км/ч, а на высоте 2800 м — 555 км/ч. Время подъема на высоту 1000 м — 1,6 мин, на высоту 3000 м — 4,9 мин. Дальность поле</w:t>
      </w:r>
      <w:r w:rsidRPr="00070ADE">
        <w:rPr>
          <w:rFonts w:ascii="Times New Roman" w:hAnsi="Times New Roman"/>
          <w:color w:val="000000" w:themeColor="text1"/>
          <w:sz w:val="16"/>
          <w:szCs w:val="16"/>
        </w:rPr>
        <w:softHyphen/>
        <w:t>та на высоте 2800 м при скорости 385 км/ч равнялась 850 км. «...Испытания само</w:t>
      </w:r>
      <w:r w:rsidRPr="00070ADE">
        <w:rPr>
          <w:rFonts w:ascii="Times New Roman" w:hAnsi="Times New Roman"/>
          <w:color w:val="000000" w:themeColor="text1"/>
          <w:sz w:val="16"/>
          <w:szCs w:val="16"/>
        </w:rPr>
        <w:softHyphen/>
        <w:t>лет прошел удовлетворительно и подле</w:t>
      </w:r>
      <w:r w:rsidRPr="00070ADE">
        <w:rPr>
          <w:rFonts w:ascii="Times New Roman" w:hAnsi="Times New Roman"/>
          <w:color w:val="000000" w:themeColor="text1"/>
          <w:sz w:val="16"/>
          <w:szCs w:val="16"/>
        </w:rPr>
        <w:softHyphen/>
        <w:t>жит передаче на государственные испы</w:t>
      </w:r>
      <w:r w:rsidRPr="00070ADE">
        <w:rPr>
          <w:rFonts w:ascii="Times New Roman" w:hAnsi="Times New Roman"/>
          <w:color w:val="000000" w:themeColor="text1"/>
          <w:sz w:val="16"/>
          <w:szCs w:val="16"/>
        </w:rPr>
        <w:softHyphen/>
        <w:t>тания. Самолет обладает запасом устой</w:t>
      </w:r>
      <w:r w:rsidRPr="00070ADE">
        <w:rPr>
          <w:rFonts w:ascii="Times New Roman" w:hAnsi="Times New Roman"/>
          <w:color w:val="000000" w:themeColor="text1"/>
          <w:sz w:val="16"/>
          <w:szCs w:val="16"/>
        </w:rPr>
        <w:softHyphen/>
        <w:t>чивости по всем трем осям», — отмечалось в заключении отчета по за</w:t>
      </w:r>
      <w:r w:rsidRPr="00070ADE">
        <w:rPr>
          <w:rFonts w:ascii="Times New Roman" w:hAnsi="Times New Roman"/>
          <w:color w:val="000000" w:themeColor="text1"/>
          <w:sz w:val="16"/>
          <w:szCs w:val="16"/>
        </w:rPr>
        <w:softHyphen/>
        <w:t>водским испытаниям (10680).</w:t>
      </w:r>
    </w:p>
    <w:p w14:paraId="050269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8B582B"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20 апреля 1944 С. В. Ильюшин направил замнаркома А. С. Яковлеву докладную записку, в которой указывал, что «двухместный бронированный штурмовик Ил-10 с мотором АМ-42 готов к первому вылету, на что и прошу Вашего разрешения» (уже не Ил-1, а Ил-10</w:t>
      </w:r>
      <w:r w:rsidRPr="00070ADE">
        <w:rPr>
          <w:rStyle w:val="BodytextItalic"/>
          <w:rFonts w:eastAsiaTheme="minorHAnsi"/>
          <w:i w:val="0"/>
          <w:color w:val="000000" w:themeColor="text1"/>
          <w:sz w:val="16"/>
          <w:szCs w:val="16"/>
        </w:rPr>
        <w:t>.).</w:t>
      </w:r>
      <w:r w:rsidRPr="00070ADE">
        <w:rPr>
          <w:rStyle w:val="77"/>
          <w:rFonts w:eastAsiaTheme="minorHAnsi"/>
          <w:color w:val="000000" w:themeColor="text1"/>
          <w:sz w:val="16"/>
          <w:szCs w:val="16"/>
        </w:rPr>
        <w:t xml:space="preserve"> Разрешение было получено, и к 11 мая шеф -пилот ОКБ генерал-майор В. К. Коккинаки выполнил на новом штурмовике 22 полета (налет 11 ч) по программе заводских испытаний. В состав испытательной бригады входили: ведущий инженер по испытаниям В. Н. Бугайский, инженер-испытатель А. П. Винокуров, инженер по винтомоторной группе В. В. Семенов и бортмеханик И. Б. Кюсс.</w:t>
      </w:r>
    </w:p>
    <w:p w14:paraId="24C246C2"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Максимальная скорость полета равнялась 555 км/ч на высоте 2800 м и 512 км/ч - у земли. Время подъема на высоту 1000 м - 1,6 мин, на высоту 3000 м - 4,9 мин. Дальность полета на высоте 2800 м при скорости 385 км/ч достигала 850 км. «Испытания самолет прошел удовлетворительно и подлежит передаче на государственные испытания», - отмечалось в заключении отчета по заводским испытаниям.</w:t>
      </w:r>
    </w:p>
    <w:p w14:paraId="4C2151D9"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13 мая Ил-10 передали в НИИ ВВС для производства государственных испытаний. На самолете устанавливался винт типа АВ-5 л-24 диаметром 3,6 м с редукцией 0,6.</w:t>
      </w:r>
    </w:p>
    <w:p w14:paraId="354DD5B6"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Самолет испытывался бригадой в составе: ведущего инженера 3-го отдела НИИ ВВС инженер-майора П. Т. Аброщенко, его помощника летчика-испытателя 3-го отдела инженер-капитана С. Г. Фролова, ведущего летчика-испытателя помощника начальника 4-го отделения 3-го отдела по летной части подполковника А. К. Долгова и штурмана капитана Т. Ф. Горбунова. Уже через две недели - 27 мая, бригада рапортовала об успешном завершении программы испытаний. Всего было выполнено 43 полета с суммарным налетом 22 ч 37 мин.</w:t>
      </w:r>
    </w:p>
    <w:p w14:paraId="060C85D5"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Отмечалось, что самолет построен по нормам прочности 1943 года и относится к классу Б ограниченно маневренных самолетов с разрушающей перегрузкой на случай А при полетном весе 6000 кг - 8,3.</w:t>
      </w:r>
    </w:p>
    <w:p w14:paraId="2976E045"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Вооружение самолета включает две 23-мм пушки ВЯ (300 патронов) и два пулемета ШКАС (1500 патронов) в крыле и пушку калибра 20 мм Ш-20 (150 патронов) на ограниченно подвижной установке ВУ -7 у воздушного стрелка. Прицел у летчика - ПБП-16 на съемном держателе, прицел у стрелка - К8-Т.</w:t>
      </w:r>
    </w:p>
    <w:p w14:paraId="50869121"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Управление огнем из пушек ВЯ и пулеметов ШКАС электрическое от кнопки на ручке управления самолетом и двух тумблеров на щитке в кабине летчика. При стрельбе необходимо было предварительно включить тумблер пулеметов или пушек и затем вести стрельбу, нажимая кнопку на ручке управления. При одновременной стрельбе следовало включить оба тумблера.</w:t>
      </w:r>
    </w:p>
    <w:p w14:paraId="557A8590"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Стрельбой из пушек управляли при помощи пневмоэлектроспуска ПЭС-1, а из пулеметов - электроспуска М-10. На пулеметах дополнительно за крючок спуска закреплялся трос с кольцом для ручного спуска пулемета.</w:t>
      </w:r>
    </w:p>
    <w:p w14:paraId="5862D8B3"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Перезарядка пулеметов и пушек электропневматическая. Электрокнопки перезарядки размещались на щитке в кабине летчика. Система перезарядки питалась воздухом от системы шасси и запуска мотора.</w:t>
      </w:r>
    </w:p>
    <w:p w14:paraId="632040BD"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Подвижная установка ВУ-7 обеспечивала стрельбу в задней полусфере в секторах: вверх - 40° (от нейтрального положения, параллельного оси самолета), вниз - 15° (с поворотом пулемета к борту), вправо - 55°, влево - 50°. Углы замерялись при работе стрелка в зимнем обмундировании с парашютом.</w:t>
      </w:r>
    </w:p>
    <w:p w14:paraId="67607A35"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Обращалось внимание, что «по заявлению Главного конструктора самолета» предусмотрена замена консолей с пушками ВЯ на консоли с пушками 11П калибра 37 мм.</w:t>
      </w:r>
    </w:p>
    <w:p w14:paraId="7B3D4480"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Бомбардировочное вооружение самолета включало два наружных держателя ДЗ-42 и два бомбовых отсека в центроплане для внутренней загрузки. На наружные держатели допускалась подвеска бомб калибром от 50 до 250 кг. Во внутренние отсеки могли загружаться бомбы калибром от 1,5 до 100 кг. Нормальная бомбовая нагрузка составляла 400 кг, в перегрузку - 600 кг.</w:t>
      </w:r>
    </w:p>
    <w:p w14:paraId="7879EF5D" w14:textId="77777777" w:rsidR="00BD31A2" w:rsidRPr="00070ADE" w:rsidRDefault="00BD31A2" w:rsidP="00B56F90">
      <w:pPr>
        <w:spacing w:after="0" w:line="240" w:lineRule="auto"/>
        <w:jc w:val="both"/>
        <w:rPr>
          <w:rStyle w:val="77"/>
          <w:rFonts w:eastAsiaTheme="minorHAnsi"/>
          <w:color w:val="000000" w:themeColor="text1"/>
          <w:sz w:val="16"/>
          <w:szCs w:val="16"/>
        </w:rPr>
      </w:pPr>
      <w:r w:rsidRPr="00070ADE">
        <w:rPr>
          <w:rStyle w:val="77"/>
          <w:rFonts w:eastAsiaTheme="minorHAnsi"/>
          <w:color w:val="000000" w:themeColor="text1"/>
          <w:sz w:val="16"/>
          <w:szCs w:val="16"/>
        </w:rPr>
        <w:t>На самолет можно было подвесить: снаружи - 2 ФАБ-100, или 2 ФАБ-250, или 2 УХАП-250, внутри - 2 ФАБ-100, или 2 ФАБ-50, или 120 зажигательных бомб ЗАБ-2,5, или 176 осколочных бомб калибра 2,5 кг, или 54 АО-10, или 12 АО-25, или 144 ПТАБ -2,5-1,5 (всего от 200 до 540 кг). Мелкие бомбы укладывались на створки отсеков, а «сотки» и «полтинники» подвешивались на замках Дер -21.</w:t>
      </w:r>
    </w:p>
    <w:p w14:paraId="78E0AF34"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Сбрасывание бомб осуществлялось от боевой кнопки, расположенной на ручке управления самолетом, электросбрасывателя ЭСБР-3П и временного механизма штурмовика ВМШ-10. Временной механизм позволял сбрасывать бомбы с горизонтального полета в том случае, когда цель закрывалась капотом мотора. После сбрасывания бомб из бомбоотсеков створки люков закрывались штурвалом при помощи троса. Аварийный сброс бомб мог выполнить воздушный стрелок.</w:t>
      </w:r>
    </w:p>
    <w:p w14:paraId="5EAE57CC"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Прицельная система для бомбометания с горизонтального полета и с пикирования ничем принципиально не отличалась от таковой на серийном самолете Ил-2. На капоте имелись визирные штыри и специальная разметка, а на бронестеклах фонаря кабины летчика наносились прицельные линии и метки. Соответственно, методы бомбометания были те же.</w:t>
      </w:r>
    </w:p>
    <w:p w14:paraId="616B1B54"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Для отражения атак истребителей противника со стороны задней нижней полусферы предполагались 10 авиационных гранат АГ-2 в дистанционно управляемой кассете ДАГ-10, установленной в фюзеляже за кабиной стрелка. Сброс гранат осуществлялся стрелком при помощи командного прибора.</w:t>
      </w:r>
    </w:p>
    <w:p w14:paraId="650446C5"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Все оружие самолета было проверено в воздухе, для чего выполнили 10 полетов. Стреляли из пушек и пулеметов при горизонтальном полете, на виражах (скорость 480 км/ч) и на пикировании. Бомбометание выполнялось по стандартным методам, принятым для самолета Ил-2. Во всех случаях угол пикирования не превышал 25-30°, высота ввода в пикирование - 500-600 м.</w:t>
      </w:r>
    </w:p>
    <w:p w14:paraId="701BEAED"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Крыло снабжалось взлетно-посадочными щитками типа Шренк и элеронами типа Фрайз. Питание мотора горючим осуществлялось из двух баков - верхнего емкостью 440 л и нижнего емкостью 290 л. Верхний бак располагался за мотором перед кабиной летчика в верхней части корпуса, а нижний - под полом кабины впереди заднего лонжерона центроплана. Баки имели протектор. Емкость двух маслобаков 94 л.</w:t>
      </w:r>
    </w:p>
    <w:p w14:paraId="7A106D7F"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В ходе испытаний самолет облетали ведущий инженер -летчик 3-го отдела НИИ ВВС инженер-майор А. В. Синельников, летчик-испытатель 3-го отдела старший лейтенант Г. А. Тиняков, летчик-испытатель 4-го отдела майор М П. Субботин и летчик-испытатель майор А. А. Живописцев.</w:t>
      </w:r>
    </w:p>
    <w:p w14:paraId="63459473"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Вес пустого самолета Ил-10, представленного на госиспытания, составлял 4680 кг. Нормальный полетный вес - 6335 кг. Центровка самолета - в пределах 24,6 % САХ. Полетный вес в перегрузку - 6575 кг.</w:t>
      </w:r>
    </w:p>
    <w:p w14:paraId="7F5CEE98"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При нормальном полетном весе максимальная горизонтальная скорость полета достигала 551 км/ч на высоте 2800 м (почти на 150 км/ч больше максимальной скорости Ил-2 с АМ-38ф) и 507 км/ч - у земли. Время набора высоты 1000 м составило 1,6 мин, а высоты 3000 м - 5,0 мин. Вертикальная скорость у земли равнялась 9,8 м/с, на высоте 2400 м - 10,4 м/с. Разбег с отклоненными на 17° щитками и с форсажем мотора - 475 м. Взлетная дистанция - 1220 м.</w:t>
      </w:r>
    </w:p>
    <w:p w14:paraId="2B3A2FDC"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Дистанция посадки при полетном весе 5380 кг не превышала 1040 м (щитки в посадочном положении - 45°). Посадочная скорость - 148 км/ч.</w:t>
      </w:r>
    </w:p>
    <w:p w14:paraId="724AE176"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Дальность полета (720 л топлива) на высоте 500 м и скорости 325 км/ч достигала 800 км (2 ч 28 мин), на 1000 м и 330 км/ч - 790 км (2 ч 23 мин) и на 2000 м и 355 км/ч - 740 км (2 ч 5 мин).</w:t>
      </w:r>
    </w:p>
    <w:p w14:paraId="3DB86434"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lastRenderedPageBreak/>
        <w:t>На режиме максимальной скорости дальность полета на высоте 500 м и скорости 515 км/ч сокращалась до 495 км (57 мин), на 1000 м и 523 км/ч - до 490 км (56 мин), а на 2400 км и 544 км/ч - до 470 км (52 мин).</w:t>
      </w:r>
    </w:p>
    <w:p w14:paraId="65E8EDF0"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Скоростная дальность полета на скорости 0,9 максимальной равнялась 650 км (1 ч 23 мин) на высоте 500 м и 600 км (1 ч 14 мин) - на высоте 2000 м.</w:t>
      </w:r>
    </w:p>
    <w:p w14:paraId="33FD023B"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 xml:space="preserve">Необходимо отметить, что установленный на Ил-10 экземпляр мотора АМ-42 (зав. № 4257) оказался вполне кондиционным, так как работал значительно устойчивее, чем моторы на Су-6. Такой опасный дефект, как возгорание топливной смеси во всасывающих патрубках, ни в одном из полетов не наблюдался. Однако и на нем в полетах отмечалось дымление на всех режимах работы мотора, «течь масла из фланцев крепления моторных агрегатов», а также «выброс масла через суфлер мотора при работе на номинальной мощности». Причем по мере выработки моторесурса мотора выброс масла прогрессировал: «За 30-40 мин полета выброс масла достигает 25-30 л. При остатке масла в маслобаках 30-35 л на номинальном режиме происходит пульсация давления масла в пределах от 0 до 7 кг/см </w:t>
      </w:r>
      <w:r w:rsidRPr="00070ADE">
        <w:rPr>
          <w:rStyle w:val="77"/>
          <w:rFonts w:eastAsiaTheme="minorHAnsi"/>
          <w:color w:val="000000" w:themeColor="text1"/>
          <w:sz w:val="16"/>
          <w:szCs w:val="16"/>
          <w:vertAlign w:val="superscript"/>
        </w:rPr>
        <w:t>2</w:t>
      </w:r>
      <w:r w:rsidRPr="00070ADE">
        <w:rPr>
          <w:rStyle w:val="77"/>
          <w:rFonts w:eastAsiaTheme="minorHAnsi"/>
          <w:color w:val="000000" w:themeColor="text1"/>
          <w:sz w:val="16"/>
          <w:szCs w:val="16"/>
        </w:rPr>
        <w:t xml:space="preserve"> При сбавлении газа пульсации прекращаются».</w:t>
      </w:r>
    </w:p>
    <w:p w14:paraId="0C4B5672"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Суммарная наработка мотора к концу испытаний составляла 48 ч 30 мин, в том числе 22 ч 37 мин в воздухе и 7 ч 37 мин на земле - при проведении государственных испытаний и 12 ч 06 мин в воздухе и 6 ч 10 мин на земле - при проведении заводских испытаний. Тогда как гарантированный ресурс мотора устанавливался в 50 ч режимной работы.</w:t>
      </w:r>
    </w:p>
    <w:p w14:paraId="4140120E"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Новый штурмовик оставил у летчиков НИИ ВВС приятное впечатление по устойчивости, управляемости и летным качествам. Во всем диапазоне скоростей (от минимальной по сваливанию до максимальной) самолет был устойчив по всем трем осям и показал прекрасную маневренность как в горизонтальной плоскости, так и в вертикальной.</w:t>
      </w:r>
    </w:p>
    <w:p w14:paraId="5201773B"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 xml:space="preserve">Удельные нагрузки на крыло и мощность мотора при нормальном полетном весе, равные 211,2 кг/м </w:t>
      </w:r>
      <w:r w:rsidRPr="00070ADE">
        <w:rPr>
          <w:rStyle w:val="77"/>
          <w:rFonts w:eastAsiaTheme="minorHAnsi"/>
          <w:color w:val="000000" w:themeColor="text1"/>
          <w:sz w:val="16"/>
          <w:szCs w:val="16"/>
          <w:vertAlign w:val="superscript"/>
        </w:rPr>
        <w:t>2</w:t>
      </w:r>
      <w:r w:rsidRPr="00070ADE">
        <w:rPr>
          <w:rStyle w:val="77"/>
          <w:rFonts w:eastAsiaTheme="minorHAnsi"/>
          <w:color w:val="000000" w:themeColor="text1"/>
          <w:sz w:val="16"/>
          <w:szCs w:val="16"/>
        </w:rPr>
        <w:t>и 3,17 кг/л. с. соответственно, полностью укладывались в рамки концепции маневренного скоростного штурмовика.</w:t>
      </w:r>
    </w:p>
    <w:p w14:paraId="1D47EB9A"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Считалось, что по технике пилотирования самолет относительно простой и вполне доступен летчикам средней квалификации: «По технике пилотирования прост и не требует специального переучивания для перехода на него летчиков, летающих на серийных самолетах Ил-2./.../Устойчивость и управляемость хорошие. Путевая устойчивость несколько велика. Нагрузки от рулей нормальные по величине и направлению. Нагрузки от рулей высоты несколько велики. На рулежке устойчивость самолета недостаточная».</w:t>
      </w:r>
    </w:p>
    <w:p w14:paraId="6B262C43"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Были выявлены и существенные недостатки. В частности, несколько велика была путевая устойчивость самолета. Отсутствовали система нейтрального газа и дублированное управление рулем высоты. Неудовлетворительно работали тормоза колес. Не был предусмотрен аварийный сброс фонарей кабин летчика и стрелка. В случае капота самолета при вынужденной посадке летчик не мог выбраться из самолета. Система вентиляции кабин не обеспечивала гигиенических норм. Экипаж страдал от невыносимой жары - при +12 °</w:t>
      </w:r>
      <w:r w:rsidRPr="00070ADE">
        <w:rPr>
          <w:rStyle w:val="77"/>
          <w:rFonts w:eastAsiaTheme="minorHAnsi"/>
          <w:color w:val="000000" w:themeColor="text1"/>
          <w:sz w:val="16"/>
          <w:szCs w:val="16"/>
          <w:lang w:val="en-US"/>
        </w:rPr>
        <w:t>C</w:t>
      </w:r>
      <w:r w:rsidRPr="00070ADE">
        <w:rPr>
          <w:rStyle w:val="77"/>
          <w:rFonts w:eastAsiaTheme="minorHAnsi"/>
          <w:color w:val="000000" w:themeColor="text1"/>
          <w:sz w:val="16"/>
          <w:szCs w:val="16"/>
        </w:rPr>
        <w:t xml:space="preserve"> за бортом температура в кабинах достигала +41 °</w:t>
      </w:r>
      <w:r w:rsidRPr="00070ADE">
        <w:rPr>
          <w:rStyle w:val="77"/>
          <w:rFonts w:eastAsiaTheme="minorHAnsi"/>
          <w:color w:val="000000" w:themeColor="text1"/>
          <w:sz w:val="16"/>
          <w:szCs w:val="16"/>
          <w:lang w:val="en-US"/>
        </w:rPr>
        <w:t>C</w:t>
      </w:r>
      <w:r w:rsidRPr="00070ADE">
        <w:rPr>
          <w:rStyle w:val="77"/>
          <w:rFonts w:eastAsiaTheme="minorHAnsi"/>
          <w:color w:val="000000" w:themeColor="text1"/>
          <w:sz w:val="16"/>
          <w:szCs w:val="16"/>
        </w:rPr>
        <w:t xml:space="preserve"> и более.</w:t>
      </w:r>
    </w:p>
    <w:p w14:paraId="327D04D2"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Серьезные дефекты обнаружились в системе вооружения машины. Вести огонь из крыльевых пушек ВЯ и пулеметов ШКАС оказалось совершенно невозможным. В ходе наземных и летных испытаний ни разу не удалось полностью отстрелять боекомплект к ним.</w:t>
      </w:r>
    </w:p>
    <w:p w14:paraId="012EB726"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Так, после открытия огня из пушек в большинстве случаев происходила произвольная стрельба, прекратить которую можно было толь ко перезарядкой. Виной этому были дефекты пневмоэлектроспусков. Кроме этого, звенья снарядной ленты, собиравшиеся при стрельбе в снарядные ящики, попадали в подвижные части пушек, что приводило к задержкам в стрельбе. В ходе испытаний пришлось установить звеньеотводы для вывода звеньев наружу, как на серийных самолетах Ил-2.</w:t>
      </w:r>
    </w:p>
    <w:p w14:paraId="7834CB86"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При стрельбе из пулеметов ШКАС уже «после 350-400 выстрелов звенья накапливаются у звеньеотвода и заклинивают выход звеньев». Как следствие, стрельба прекращалась.</w:t>
      </w:r>
    </w:p>
    <w:p w14:paraId="1C70BFA8"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Оборонительная установка ВУ-7 с пушкой Ш-20 оценивалась военными испытателями довольно высоко. По их мнению, установка имела хорошую маневренность и была легкой в управлении. Сама пушка Ш-20 работала «значительно легче, чем пулемет УБТ, а наличие разрывного снаряда калибра 20 мм и непрерывного питания увеличивает защиту самолета».</w:t>
      </w:r>
    </w:p>
    <w:p w14:paraId="2C75454F"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Однако установку требовалось дорабатывать до необходимого уровня надежности. Дело в том, что в ходе стрельб (выполнено 3690 выстрелов на земле и 1045 - в воздухе) было получено довольно много задержек при автоматической стрельбе: 10 % - при стрельбе в воздухе и 7 % - при стрельбе на земле, в том числе соответственно 4 и 3 % - по вине пушки, остальные - по вине установки.</w:t>
      </w:r>
    </w:p>
    <w:p w14:paraId="29F0A0CC"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Кроме этого, после 1810 выстрелов деформировалась дуга фонаря установки, произошло расцепление зубчатки механизма стабилизации с зубьями неподвижного полукольца, а в шарнирных и болтовых соединениях механизма стабилизации вектора собственной скорости образовались люфты. После 4365 выстрелов разорвался рукав питания пушки, увеличилась деформация дуги фонаря установки. Отстрел еще 150 патронов привел к разрушению (срез болтов) крепления переднего кронштейна механизма стабилизации. Суммарный настрел пушки Ш-20 на установке ВУ-7 (включая заводскую отладку) составил 5115 выстрелов.</w:t>
      </w:r>
    </w:p>
    <w:p w14:paraId="0F557553"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Указывалось, что ВУ-7 после устранения отмеченных недостатков «будет лучше ранее предъявленных установок ВУБ-3, ВУ-8 и УБШ и значительно лучше блистерной БЛУБ (Су-6)». Однако пушка Ш-20 - опытная, поэтому для внедрения ВУ-7 в серию на самолете Ил-10 необходимо решение о постановке Ш-20 на вооружение ВВС КА.</w:t>
      </w:r>
    </w:p>
    <w:p w14:paraId="5C82A201"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Если недостатки стрелково-пушечного вооружения легко устранялись при переходе к конструктивным решениям, принятым для серийного самолета Ил-2, то с бомбардировочным вооружением Ил-10 дела обстояли гораздо хуже.</w:t>
      </w:r>
    </w:p>
    <w:p w14:paraId="1A8DEAB0"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Загрузка бомбоотсеков опытной «десятки» бомбами наиболее «ходовых» калибров (ПТАБ-2,5-1,5, АЖ-2, АО-15, АО-25, ФАБ-50, ФАБ-100) была на 100-300 кг меньше, чем серийной «двойки». На самолете просто не хватало места для размещения большого количества мелких бомб, хотя заявленная грузоподъемность самолета достигала 600 кг бомб (в перегрузку). К тому же подвеска под крылом на внешние держатели бомб калибра 100-250 кг на тросовых поясах была крайне неудобной и сложной в эксплуатации.</w:t>
      </w:r>
    </w:p>
    <w:p w14:paraId="5171321C"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По этой причине начальник 4-го отдела института генерал-майор М. В. Шишкин и его заместитель полковник Н. И. Шауров, давая тактическую оценку новому штурмовику, отметили, что «наличие Ил-10 не исключает необходимость иметь на вооружении ВВС самолет Ил-8/./, хотя и уступающего по летным данным».</w:t>
      </w:r>
    </w:p>
    <w:p w14:paraId="7E9C43A5" w14:textId="77777777" w:rsidR="00BD31A2" w:rsidRPr="00070ADE" w:rsidRDefault="00BD31A2" w:rsidP="00B56F90">
      <w:pPr>
        <w:spacing w:after="0" w:line="240" w:lineRule="auto"/>
        <w:jc w:val="both"/>
        <w:rPr>
          <w:rStyle w:val="77"/>
          <w:rFonts w:eastAsiaTheme="minorHAnsi"/>
          <w:color w:val="000000" w:themeColor="text1"/>
          <w:sz w:val="16"/>
          <w:szCs w:val="16"/>
        </w:rPr>
      </w:pPr>
      <w:r w:rsidRPr="00070ADE">
        <w:rPr>
          <w:rStyle w:val="77"/>
          <w:rFonts w:eastAsiaTheme="minorHAnsi"/>
          <w:color w:val="000000" w:themeColor="text1"/>
          <w:sz w:val="16"/>
          <w:szCs w:val="16"/>
        </w:rPr>
        <w:t>В выводах акта по результатам испытаний указывалось, что «Ил-10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 на границе высотности на 147 км/ч./. ../Время набора высоты 3000 м меньше на 3 мин./.. ./Дальность горизонтального полета на высоте 500 м возросла на 120 км./.. ./Высокая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 ../Самолет Ил-10 является классическим образцом самолета-штурмовика.»</w:t>
      </w:r>
    </w:p>
    <w:p w14:paraId="4BDC0B39"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При внедрении в серию требовалось обеспечить аварийный сброс фонаря кабины летчика, установить триммер руля поворота, изменить бронирование Ил-10, выполнив его по образцу Ил-8.</w:t>
      </w:r>
    </w:p>
    <w:p w14:paraId="53A77454" w14:textId="77777777" w:rsidR="00BD31A2" w:rsidRPr="00070ADE" w:rsidRDefault="00BD31A2"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В заключении акта самолет Ил-10 рекомендовался в серийное производство при условии устранения выявленных дефектов и недостатков. Вопрос об оборонительном пушечном вооружении предлагалось решить «после испытаний легких пушек калибра 20 мм».</w:t>
      </w:r>
    </w:p>
    <w:p w14:paraId="5A26A690" w14:textId="77777777" w:rsidR="00BD31A2" w:rsidRPr="00070ADE" w:rsidRDefault="00BD31A2" w:rsidP="00B56F90">
      <w:pPr>
        <w:spacing w:after="0" w:line="240" w:lineRule="auto"/>
        <w:jc w:val="both"/>
        <w:rPr>
          <w:rStyle w:val="77"/>
          <w:rFonts w:eastAsiaTheme="minorHAnsi"/>
          <w:color w:val="000000" w:themeColor="text1"/>
          <w:sz w:val="16"/>
          <w:szCs w:val="16"/>
        </w:rPr>
      </w:pPr>
      <w:r w:rsidRPr="00070ADE">
        <w:rPr>
          <w:rStyle w:val="77"/>
          <w:rFonts w:eastAsiaTheme="minorHAnsi"/>
          <w:color w:val="000000" w:themeColor="text1"/>
          <w:sz w:val="16"/>
          <w:szCs w:val="16"/>
        </w:rPr>
        <w:t>Одновременно считалось необходимым: «4. Просить Наркома авиапромышленности т. Шахурина дать задание: а) Главному конструктору т. Ильюшину - до запуска самолета в серию устранить дефекты и выполнить рекомендации. б) Главному конструктору по авиаколесам - модернизировать серийные тормозные колеса 800^260 мм под перегрузочный полетный вес 6550 кг в сроки, обеспечивающие серийный выпуск Ил-10. в) ЦАГИ - один самолет головной серии статически и динамически испытать. г) ЦИАМ - разработать механизм объединенного управления винта и газа для мотора АМ-42. 5. Просить Наркома НКВ - дать задание тов. Китенко - конструктору электроспусков, срочно устранить дефекты электроспусков» (17490).</w:t>
      </w:r>
    </w:p>
    <w:p w14:paraId="17D0B94F" w14:textId="77777777" w:rsidR="00BD31A2" w:rsidRPr="00070ADE" w:rsidRDefault="00BD31A2" w:rsidP="00B56F90">
      <w:pPr>
        <w:spacing w:after="0" w:line="240" w:lineRule="auto"/>
        <w:jc w:val="both"/>
        <w:rPr>
          <w:rFonts w:ascii="Times New Roman" w:hAnsi="Times New Roman"/>
          <w:color w:val="000000" w:themeColor="text1"/>
          <w:sz w:val="16"/>
          <w:szCs w:val="16"/>
        </w:rPr>
      </w:pPr>
    </w:p>
    <w:p w14:paraId="3D61BA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в ОКБ А.С.Я. был готов Як-9ПД с М-106ПВ и винтом ВИШ-105ТЛ. Взяли за основу Як-9У с ВК-107А и максимально облегчили до 2500 кг даже поставив облегченную пушку ША-20М с боекомплектом в 60 снарядов. Гермокабины не было (65,127).</w:t>
      </w:r>
    </w:p>
    <w:p w14:paraId="69465A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1078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А.Г.Прошаков на Чкаловской садился с заклиненным мотором на Як-9У с ВК-107А N 417-50 в рамках гос. испытаний, которые проводились с 18 января 1944 (817). Это был конец гос. испытаний этой машины (4237,34).</w:t>
      </w:r>
    </w:p>
    <w:p w14:paraId="51F1A3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1ADAAA"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в 1944 году в HИИ ВВС закончились (начались 18 января) Госиспытания истребителя «Як-9У» (улучшенный) (летчик А.Г.Прошаков, ведущий инженер А.Т.Степанец). Самолет строился серийно с апреля 1944 г. по август 1945 г., т.е. до замены его цельнометаллическим «Як-9У» «ВК-107А». Всего построено 3921 самолет «Як-9У» смешанной конструкции (15105).</w:t>
      </w:r>
    </w:p>
    <w:p w14:paraId="27439230" w14:textId="77777777" w:rsidR="000F02F6" w:rsidRPr="00070ADE" w:rsidRDefault="000F02F6" w:rsidP="00B56F90">
      <w:pPr>
        <w:spacing w:after="0" w:line="240" w:lineRule="auto"/>
        <w:jc w:val="both"/>
        <w:rPr>
          <w:rFonts w:ascii="Times New Roman" w:hAnsi="Times New Roman"/>
          <w:color w:val="000000" w:themeColor="text1"/>
          <w:sz w:val="16"/>
          <w:szCs w:val="16"/>
        </w:rPr>
      </w:pPr>
    </w:p>
    <w:p w14:paraId="664BFA8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20 апреля 1944 с 18 января летчики-испытатели НИИ ВВС 45 раз поднимались на Як-9У в воздух, налетав 22 часа 5 минут. Самолет поступил на испытания в январе с винтом обратной схемы АВ-10П-20, замененным впоследствии ВИШ-107Л5. Ведущими по машине были инженер А.Т. Степанец и летчик А.Г. Прошаков. Самолет облетали Ю.А. Антипов и А.Г. Кубышкин.</w:t>
      </w:r>
    </w:p>
    <w:p w14:paraId="0BD6E4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плане НКАП на 1943 год числился Як-9 с двигателем М-107А со следующими данными: максимальная скорость у земли - 580 км/ч, а на высоте 5900 м - 590 км/ч, при посадочной - 147 км/ч; время виража на высоте 1000 м - 18 секунд и практический потолок - 11 500 м. Его вооружение ограничивалось 20-миллиметровой пушкой </w:t>
      </w:r>
      <w:r w:rsidRPr="00070ADE">
        <w:rPr>
          <w:rFonts w:ascii="Times New Roman" w:hAnsi="Times New Roman"/>
          <w:color w:val="000000" w:themeColor="text1"/>
          <w:sz w:val="16"/>
          <w:szCs w:val="16"/>
        </w:rPr>
        <w:lastRenderedPageBreak/>
        <w:t>с боезапасом 120 патронов и пулеметом калибром 12,7 мм с 200 патронами. На государственные испытания машину предписывалось передать к 15 июня 1943 г. Однако из-за трудностей с доводкой двигателя создание этого истребителя затянулось.</w:t>
      </w:r>
    </w:p>
    <w:p w14:paraId="4E0E01A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 с мотором ВК-107А построили в соответствие декабрьским 1943 года постановлением ГКО на базе пушечного Як-9Т. При этом заимствовали ряд технических решений с истребителя Як-3 с двигателем ВК-105ПФ.</w:t>
      </w:r>
    </w:p>
    <w:p w14:paraId="0A6245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тому времени ВК-107А прошел 100-часовые стендовые испытания и развивал мощность 1650 л.с. на первой границе высотности (1800 м) и 1500 л.с. на 4500 м (вторая граница высотности). Новый двигатель потребовал изменения конструкции подмо- торной рамы и фермы крепления оружия из-за установки второго пулемета (на Як-9Т устанавливали 37-миллиметровую пушку и пулемет БС). Вооружение Як-9У с двигателем ВК-107А состояло из мотор-пушки МП-20 и двух синхронных пулеметов УБС.</w:t>
      </w:r>
    </w:p>
    <w:p w14:paraId="7714E7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предшественником, на новой машине установили маслорадиатор с большей теплоотдачей и перенесли его в центроплан крыла по типу Як-3. При этом укоротили трубки водорадиатора и улучшили внешние и внутренние обводы его тоннеля.</w:t>
      </w:r>
    </w:p>
    <w:p w14:paraId="78127E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Тогда же доработали нижнюю панель фюзеляжа между вторым и четвертым шпангоутами из-за размещения нового водорадиатора и вала ручного управления машиной, смонтированного на каркасе фюзеляжа.</w:t>
      </w:r>
    </w:p>
    <w:p w14:paraId="787DD5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фонаре кабины пилота появился механизм аварийного сброса его сдвижной части, а с козырька сняли лобовое бронестекло, сделав его более обтекаемым из гнутого плексигласа. Но, как выяснилось позже, снижение аэродинамического сопротивления фонаря сильно исказило изображение передней полусферы.</w:t>
      </w:r>
    </w:p>
    <w:p w14:paraId="0E658F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Убрали подлокотники для летчика, оказавшиеся лишними в непродолжительном полете и утяжелявшие истребитель. От Як-3 так же заимствовали бронеспинку, заголовник из прозрачной брони, надголовник и полуавтоматический стопор костыльной опоры.</w:t>
      </w:r>
    </w:p>
    <w:p w14:paraId="6943E2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семилитровых воздушных баллона заменили одним - объемом восемь литров. Сняли грузы весовой компенсации элеронов и на 200 мм увеличили размах аэродинамического компенсатора руля высоты.</w:t>
      </w:r>
    </w:p>
    <w:p w14:paraId="6C4554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известно различные щели в планере приводят не только к задуванию кабины, но и к увеличению аэродинамического сопротивления. В связи с этим, заделали щели (герметизировали) в противопожарной перегородке, крыле, кабине, хвостовой части фюзеляжа, отсеках бензобаков и в тоннеле маслорадиатора.</w:t>
      </w:r>
    </w:p>
    <w:p w14:paraId="3ACADC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Полотняными перегородками закрыли щели между крылом и элеронами, что исключило перетекание воздуха и, как следствие, улучшило аэродинамику машины. Также отполировали передние кромки крыла, оперения и носовой части капота мотора.</w:t>
      </w:r>
    </w:p>
    <w:p w14:paraId="136F7F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своих выводах специалисты института отмечали, в частности, что опытный Як-9У с ВК-107А по максимальной скорости горизонтального полета, скороподъемности и вертикальной маневренности в диапазоне высот до 6000 м является лучшим из известных отечественных и иностранных истребителей.</w:t>
      </w:r>
    </w:p>
    <w:p w14:paraId="378A8A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горизонтального полета на боевом режиме составляла: у земли (на высоте 5000 м) 600 км/ч (690 км/ч), что больше, чем у трехточечного Me-109G-2 на 76 км/ч (80 км/ч), у FW-190A-4 - на 90 км/ч (102 км/ч), Як-9Т - на 67 км/ч (105 км/ч), Як-9У эталона 1944 года - на 42 км/ч (75 км/ч), Як-3 "Дублера" - на 30 км/ч (42 км/ч) и Ла-7 эталона 1944 года - на 29 км/ч.</w:t>
      </w:r>
    </w:p>
    <w:p w14:paraId="58FB91B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 м на боевом режиме не превышало 4,1 минуты, что было почти как у Як-3 "Дублер" и меньше на 0,3 минуты, по сравнению с трехточечным Ме- 109G-2. Дольше набирали эту высоту FW190A-4 - на 2,7 минуты, Як-9Т - на 1,4 минуты, Як-9У с мотором М-105ПФ - на 0,7 минуты и Ла-7 - на 0,35 минуты. Последние две машины стали эталонами 1944 г.</w:t>
      </w:r>
    </w:p>
    <w:p w14:paraId="46112E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двигателя ВК-107А не усложнила технику пилотирования. Самолет оставался простым в управлении и доступным для летчиков средней квалификации.</w:t>
      </w:r>
    </w:p>
    <w:p w14:paraId="1C31163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Заказчик посчитал бронезашиту летчика недостаточной и не отвечавшей, предъявлявшимся к ней требованиям. Военные испытатели отметили и отсутствие зеркала, что затрудняло обзор задней полусферы.</w:t>
      </w:r>
    </w:p>
    <w:p w14:paraId="222D83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заключение "Акта по результатам государственных испытаний..." отмечалось: "Для быстрейшей доводки и ввода в строй Як-9У необходимо срочно провести войсковые и эксплуатационные испытания самолета..." (12046).</w:t>
      </w:r>
    </w:p>
    <w:p w14:paraId="471A07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данные унифицированных истребителей Як-9У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4D4663" w:rsidRPr="00070ADE" w14:paraId="76BC9255" w14:textId="77777777">
        <w:tc>
          <w:tcPr>
            <w:tcW w:w="1868" w:type="dxa"/>
            <w:tcBorders>
              <w:top w:val="single" w:sz="12" w:space="0" w:color="auto"/>
            </w:tcBorders>
          </w:tcPr>
          <w:p w14:paraId="4C9FE4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w:t>
            </w:r>
          </w:p>
        </w:tc>
        <w:tc>
          <w:tcPr>
            <w:tcW w:w="1868" w:type="dxa"/>
            <w:tcBorders>
              <w:top w:val="single" w:sz="12" w:space="0" w:color="auto"/>
            </w:tcBorders>
          </w:tcPr>
          <w:p w14:paraId="2D05DC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54F095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w:t>
            </w:r>
          </w:p>
        </w:tc>
        <w:tc>
          <w:tcPr>
            <w:tcW w:w="1868" w:type="dxa"/>
            <w:tcBorders>
              <w:top w:val="single" w:sz="12" w:space="0" w:color="auto"/>
            </w:tcBorders>
          </w:tcPr>
          <w:p w14:paraId="2CA3F42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28D9DC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ЯК-9УТ</w:t>
            </w:r>
          </w:p>
        </w:tc>
        <w:tc>
          <w:tcPr>
            <w:tcW w:w="1868" w:type="dxa"/>
            <w:tcBorders>
              <w:top w:val="single" w:sz="12" w:space="0" w:color="auto"/>
            </w:tcBorders>
          </w:tcPr>
          <w:p w14:paraId="48DD8ED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ЯК-9УВ</w:t>
            </w:r>
          </w:p>
        </w:tc>
      </w:tr>
      <w:tr w:rsidR="004D4663" w:rsidRPr="00070ADE" w14:paraId="4BDB3D11" w14:textId="77777777">
        <w:tc>
          <w:tcPr>
            <w:tcW w:w="1868" w:type="dxa"/>
          </w:tcPr>
          <w:p w14:paraId="3B46BF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4368F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C1AB3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 г.</w:t>
            </w:r>
          </w:p>
        </w:tc>
        <w:tc>
          <w:tcPr>
            <w:tcW w:w="1868" w:type="dxa"/>
          </w:tcPr>
          <w:p w14:paraId="07763D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E1027E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40-022</w:t>
            </w:r>
          </w:p>
        </w:tc>
        <w:tc>
          <w:tcPr>
            <w:tcW w:w="1868" w:type="dxa"/>
          </w:tcPr>
          <w:p w14:paraId="2CD6E9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79036FC" w14:textId="77777777">
        <w:tc>
          <w:tcPr>
            <w:tcW w:w="1868" w:type="dxa"/>
          </w:tcPr>
          <w:p w14:paraId="34C28A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w:t>
            </w:r>
          </w:p>
        </w:tc>
        <w:tc>
          <w:tcPr>
            <w:tcW w:w="1868" w:type="dxa"/>
          </w:tcPr>
          <w:p w14:paraId="265465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EC1A12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М-105ПФ21</w:t>
            </w:r>
          </w:p>
        </w:tc>
        <w:tc>
          <w:tcPr>
            <w:tcW w:w="1868" w:type="dxa"/>
          </w:tcPr>
          <w:p w14:paraId="354F9B5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ВК-107А</w:t>
            </w:r>
          </w:p>
        </w:tc>
        <w:tc>
          <w:tcPr>
            <w:tcW w:w="1868" w:type="dxa"/>
          </w:tcPr>
          <w:p w14:paraId="4A0690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ВК-107А</w:t>
            </w:r>
          </w:p>
        </w:tc>
        <w:tc>
          <w:tcPr>
            <w:tcW w:w="1868" w:type="dxa"/>
          </w:tcPr>
          <w:p w14:paraId="78DAA8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81B0BFC" w14:textId="77777777">
        <w:tc>
          <w:tcPr>
            <w:tcW w:w="1868" w:type="dxa"/>
          </w:tcPr>
          <w:p w14:paraId="729A511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Размах крыла, м</w:t>
            </w:r>
          </w:p>
        </w:tc>
        <w:tc>
          <w:tcPr>
            <w:tcW w:w="1868" w:type="dxa"/>
          </w:tcPr>
          <w:p w14:paraId="2526B1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86918D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c>
          <w:tcPr>
            <w:tcW w:w="1868" w:type="dxa"/>
          </w:tcPr>
          <w:p w14:paraId="52EAE11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7CA52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c>
          <w:tcPr>
            <w:tcW w:w="1868" w:type="dxa"/>
          </w:tcPr>
          <w:p w14:paraId="47D0961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r>
      <w:tr w:rsidR="004D4663" w:rsidRPr="00070ADE" w14:paraId="734B43FD" w14:textId="77777777">
        <w:tc>
          <w:tcPr>
            <w:tcW w:w="1868" w:type="dxa"/>
          </w:tcPr>
          <w:p w14:paraId="30A7804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м</w:t>
            </w:r>
          </w:p>
        </w:tc>
        <w:tc>
          <w:tcPr>
            <w:tcW w:w="1868" w:type="dxa"/>
          </w:tcPr>
          <w:p w14:paraId="24F164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B9B509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w:t>
            </w:r>
          </w:p>
        </w:tc>
        <w:tc>
          <w:tcPr>
            <w:tcW w:w="1868" w:type="dxa"/>
          </w:tcPr>
          <w:p w14:paraId="707025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95B55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8,55</w:t>
            </w:r>
          </w:p>
        </w:tc>
        <w:tc>
          <w:tcPr>
            <w:tcW w:w="1868" w:type="dxa"/>
          </w:tcPr>
          <w:p w14:paraId="5FDE6E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8,55</w:t>
            </w:r>
          </w:p>
        </w:tc>
      </w:tr>
      <w:tr w:rsidR="004D4663" w:rsidRPr="00070ADE" w14:paraId="05CB1F56" w14:textId="77777777">
        <w:tc>
          <w:tcPr>
            <w:tcW w:w="1868" w:type="dxa"/>
          </w:tcPr>
          <w:p w14:paraId="297C40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Площадь крыла, мг</w:t>
            </w:r>
          </w:p>
        </w:tc>
        <w:tc>
          <w:tcPr>
            <w:tcW w:w="1868" w:type="dxa"/>
          </w:tcPr>
          <w:p w14:paraId="1EBE089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B5BD29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c>
          <w:tcPr>
            <w:tcW w:w="1868" w:type="dxa"/>
          </w:tcPr>
          <w:p w14:paraId="0CAB71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81C08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c>
          <w:tcPr>
            <w:tcW w:w="1868" w:type="dxa"/>
          </w:tcPr>
          <w:p w14:paraId="5690A3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r>
      <w:tr w:rsidR="004D4663" w:rsidRPr="00070ADE" w14:paraId="04426473" w14:textId="77777777">
        <w:tc>
          <w:tcPr>
            <w:tcW w:w="1868" w:type="dxa"/>
          </w:tcPr>
          <w:p w14:paraId="5C7DC6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Взлетный вес, кг</w:t>
            </w:r>
          </w:p>
        </w:tc>
        <w:tc>
          <w:tcPr>
            <w:tcW w:w="1868" w:type="dxa"/>
          </w:tcPr>
          <w:p w14:paraId="6044B9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79F83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D8F99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8F8EC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08E0AD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07D1D2B" w14:textId="77777777">
        <w:tc>
          <w:tcPr>
            <w:tcW w:w="1868" w:type="dxa"/>
          </w:tcPr>
          <w:p w14:paraId="021445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w:t>
            </w:r>
          </w:p>
        </w:tc>
        <w:tc>
          <w:tcPr>
            <w:tcW w:w="1868" w:type="dxa"/>
          </w:tcPr>
          <w:p w14:paraId="5EC6A1E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53D683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2900</w:t>
            </w:r>
          </w:p>
        </w:tc>
        <w:tc>
          <w:tcPr>
            <w:tcW w:w="1868" w:type="dxa"/>
          </w:tcPr>
          <w:p w14:paraId="1FD311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F5D70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3260</w:t>
            </w:r>
          </w:p>
        </w:tc>
        <w:tc>
          <w:tcPr>
            <w:tcW w:w="1868" w:type="dxa"/>
          </w:tcPr>
          <w:p w14:paraId="3EB5D36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3128</w:t>
            </w:r>
          </w:p>
        </w:tc>
      </w:tr>
      <w:tr w:rsidR="004D4663" w:rsidRPr="00070ADE" w14:paraId="3C27FC01" w14:textId="77777777">
        <w:tc>
          <w:tcPr>
            <w:tcW w:w="1868" w:type="dxa"/>
          </w:tcPr>
          <w:p w14:paraId="3AD4DE4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кг</w:t>
            </w:r>
          </w:p>
        </w:tc>
        <w:tc>
          <w:tcPr>
            <w:tcW w:w="1868" w:type="dxa"/>
          </w:tcPr>
          <w:p w14:paraId="136013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7DCAB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2244</w:t>
            </w:r>
          </w:p>
        </w:tc>
        <w:tc>
          <w:tcPr>
            <w:tcW w:w="1868" w:type="dxa"/>
          </w:tcPr>
          <w:p w14:paraId="17A09C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79F72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2467</w:t>
            </w:r>
          </w:p>
        </w:tc>
        <w:tc>
          <w:tcPr>
            <w:tcW w:w="1868" w:type="dxa"/>
          </w:tcPr>
          <w:p w14:paraId="0AF38A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2505</w:t>
            </w:r>
          </w:p>
        </w:tc>
      </w:tr>
      <w:tr w:rsidR="004D4663" w:rsidRPr="00070ADE" w14:paraId="4E4BE451" w14:textId="77777777">
        <w:tc>
          <w:tcPr>
            <w:tcW w:w="1868" w:type="dxa"/>
          </w:tcPr>
          <w:p w14:paraId="64FB820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топлива, кг</w:t>
            </w:r>
          </w:p>
        </w:tc>
        <w:tc>
          <w:tcPr>
            <w:tcW w:w="1868" w:type="dxa"/>
          </w:tcPr>
          <w:p w14:paraId="1FB78A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F3BC4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318</w:t>
            </w:r>
          </w:p>
        </w:tc>
        <w:tc>
          <w:tcPr>
            <w:tcW w:w="1868" w:type="dxa"/>
          </w:tcPr>
          <w:p w14:paraId="12F0FD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22846F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380</w:t>
            </w:r>
          </w:p>
        </w:tc>
        <w:tc>
          <w:tcPr>
            <w:tcW w:w="1868" w:type="dxa"/>
          </w:tcPr>
          <w:p w14:paraId="1E3765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346</w:t>
            </w:r>
          </w:p>
        </w:tc>
      </w:tr>
      <w:tr w:rsidR="004D4663" w:rsidRPr="00070ADE" w14:paraId="71B58E48" w14:textId="77777777">
        <w:tc>
          <w:tcPr>
            <w:tcW w:w="1868" w:type="dxa"/>
          </w:tcPr>
          <w:p w14:paraId="5082DC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км/ч</w:t>
            </w:r>
          </w:p>
        </w:tc>
        <w:tc>
          <w:tcPr>
            <w:tcW w:w="1868" w:type="dxa"/>
          </w:tcPr>
          <w:p w14:paraId="4743BC9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CA809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57DDF5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8ED7F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A4986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C37A7A8" w14:textId="77777777">
        <w:tc>
          <w:tcPr>
            <w:tcW w:w="1868" w:type="dxa"/>
          </w:tcPr>
          <w:p w14:paraId="5D2045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w:t>
            </w:r>
          </w:p>
        </w:tc>
        <w:tc>
          <w:tcPr>
            <w:tcW w:w="1868" w:type="dxa"/>
          </w:tcPr>
          <w:p w14:paraId="3A29A8B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B3967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558</w:t>
            </w:r>
          </w:p>
        </w:tc>
        <w:tc>
          <w:tcPr>
            <w:tcW w:w="1868" w:type="dxa"/>
          </w:tcPr>
          <w:p w14:paraId="14431FE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E2C2C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578</w:t>
            </w:r>
          </w:p>
        </w:tc>
        <w:tc>
          <w:tcPr>
            <w:tcW w:w="1868" w:type="dxa"/>
          </w:tcPr>
          <w:p w14:paraId="2FA8725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564</w:t>
            </w:r>
          </w:p>
        </w:tc>
      </w:tr>
      <w:tr w:rsidR="004D4663" w:rsidRPr="00070ADE" w14:paraId="5CE582FC" w14:textId="77777777">
        <w:tc>
          <w:tcPr>
            <w:tcW w:w="1868" w:type="dxa"/>
          </w:tcPr>
          <w:p w14:paraId="2E27C4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1-й гр. высотности, м</w:t>
            </w:r>
          </w:p>
        </w:tc>
        <w:tc>
          <w:tcPr>
            <w:tcW w:w="1868" w:type="dxa"/>
          </w:tcPr>
          <w:p w14:paraId="46A589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7A7C2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600/1800</w:t>
            </w:r>
          </w:p>
        </w:tc>
        <w:tc>
          <w:tcPr>
            <w:tcW w:w="1868" w:type="dxa"/>
          </w:tcPr>
          <w:p w14:paraId="59E522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625/2200</w:t>
            </w:r>
          </w:p>
        </w:tc>
        <w:tc>
          <w:tcPr>
            <w:tcW w:w="1868" w:type="dxa"/>
          </w:tcPr>
          <w:p w14:paraId="4675AB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2B39A1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0802F8F" w14:textId="77777777">
        <w:tc>
          <w:tcPr>
            <w:tcW w:w="1868" w:type="dxa"/>
          </w:tcPr>
          <w:p w14:paraId="6BDEEE0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2-й гр. высотности, м</w:t>
            </w:r>
          </w:p>
        </w:tc>
        <w:tc>
          <w:tcPr>
            <w:tcW w:w="1868" w:type="dxa"/>
          </w:tcPr>
          <w:p w14:paraId="625DDB9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5BDAB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620/3850</w:t>
            </w:r>
          </w:p>
        </w:tc>
        <w:tc>
          <w:tcPr>
            <w:tcW w:w="1868" w:type="dxa"/>
          </w:tcPr>
          <w:p w14:paraId="186C65C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671/4900</w:t>
            </w:r>
          </w:p>
        </w:tc>
        <w:tc>
          <w:tcPr>
            <w:tcW w:w="1868" w:type="dxa"/>
          </w:tcPr>
          <w:p w14:paraId="11890C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623/4100</w:t>
            </w:r>
          </w:p>
        </w:tc>
        <w:tc>
          <w:tcPr>
            <w:tcW w:w="1868" w:type="dxa"/>
          </w:tcPr>
          <w:p w14:paraId="51C2FD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8C259A9" w14:textId="77777777">
        <w:tc>
          <w:tcPr>
            <w:tcW w:w="1868" w:type="dxa"/>
          </w:tcPr>
          <w:p w14:paraId="10AD644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w:t>
            </w:r>
          </w:p>
        </w:tc>
        <w:tc>
          <w:tcPr>
            <w:tcW w:w="1868" w:type="dxa"/>
          </w:tcPr>
          <w:p w14:paraId="66EDD8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D9C7F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7D79B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56D8B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68C8B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3177B93" w14:textId="77777777">
        <w:tc>
          <w:tcPr>
            <w:tcW w:w="1868" w:type="dxa"/>
          </w:tcPr>
          <w:p w14:paraId="32F69F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высоты 5000 м, мин</w:t>
            </w:r>
          </w:p>
        </w:tc>
        <w:tc>
          <w:tcPr>
            <w:tcW w:w="1868" w:type="dxa"/>
          </w:tcPr>
          <w:p w14:paraId="3A41B7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63059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w:t>
            </w:r>
          </w:p>
        </w:tc>
        <w:tc>
          <w:tcPr>
            <w:tcW w:w="1868" w:type="dxa"/>
          </w:tcPr>
          <w:p w14:paraId="07F544D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75EAA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w:t>
            </w:r>
          </w:p>
        </w:tc>
        <w:tc>
          <w:tcPr>
            <w:tcW w:w="1868" w:type="dxa"/>
          </w:tcPr>
          <w:p w14:paraId="35C935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tc>
      </w:tr>
      <w:tr w:rsidR="004D4663" w:rsidRPr="00070ADE" w14:paraId="4E534B4F" w14:textId="77777777">
        <w:tc>
          <w:tcPr>
            <w:tcW w:w="1868" w:type="dxa"/>
          </w:tcPr>
          <w:p w14:paraId="36EC6F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м</w:t>
            </w:r>
          </w:p>
        </w:tc>
        <w:tc>
          <w:tcPr>
            <w:tcW w:w="1868" w:type="dxa"/>
          </w:tcPr>
          <w:p w14:paraId="2786E4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CF226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10400</w:t>
            </w:r>
          </w:p>
        </w:tc>
        <w:tc>
          <w:tcPr>
            <w:tcW w:w="1868" w:type="dxa"/>
          </w:tcPr>
          <w:p w14:paraId="70A8FD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E02E1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10700</w:t>
            </w:r>
          </w:p>
        </w:tc>
        <w:tc>
          <w:tcPr>
            <w:tcW w:w="1868" w:type="dxa"/>
          </w:tcPr>
          <w:p w14:paraId="6F98A73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11300</w:t>
            </w:r>
          </w:p>
        </w:tc>
      </w:tr>
      <w:tr w:rsidR="004D4663" w:rsidRPr="00070ADE" w14:paraId="0D8820E5" w14:textId="77777777">
        <w:tc>
          <w:tcPr>
            <w:tcW w:w="1868" w:type="dxa"/>
          </w:tcPr>
          <w:p w14:paraId="6C7CF2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виража</w:t>
            </w:r>
          </w:p>
        </w:tc>
        <w:tc>
          <w:tcPr>
            <w:tcW w:w="1868" w:type="dxa"/>
          </w:tcPr>
          <w:p w14:paraId="1065CE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CA266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D40C05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81F81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BB518E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FDF6981" w14:textId="77777777">
        <w:tc>
          <w:tcPr>
            <w:tcW w:w="1868" w:type="dxa"/>
          </w:tcPr>
          <w:p w14:paraId="3A62AAA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 1000 м,</w:t>
            </w:r>
          </w:p>
        </w:tc>
        <w:tc>
          <w:tcPr>
            <w:tcW w:w="1868" w:type="dxa"/>
          </w:tcPr>
          <w:p w14:paraId="7639FB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9702D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19,5</w:t>
            </w:r>
          </w:p>
        </w:tc>
        <w:tc>
          <w:tcPr>
            <w:tcW w:w="1868" w:type="dxa"/>
          </w:tcPr>
          <w:p w14:paraId="4F8A1B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043B8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41114D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r>
      <w:tr w:rsidR="004D4663" w:rsidRPr="00070ADE" w14:paraId="79D6F65D" w14:textId="77777777">
        <w:tc>
          <w:tcPr>
            <w:tcW w:w="1868" w:type="dxa"/>
          </w:tcPr>
          <w:p w14:paraId="48DF64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макс, км</w:t>
            </w:r>
          </w:p>
        </w:tc>
        <w:tc>
          <w:tcPr>
            <w:tcW w:w="1868" w:type="dxa"/>
          </w:tcPr>
          <w:p w14:paraId="3D0D95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D3B55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850</w:t>
            </w:r>
          </w:p>
        </w:tc>
        <w:tc>
          <w:tcPr>
            <w:tcW w:w="1868" w:type="dxa"/>
          </w:tcPr>
          <w:p w14:paraId="7846CA5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ECC77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690</w:t>
            </w:r>
          </w:p>
        </w:tc>
        <w:tc>
          <w:tcPr>
            <w:tcW w:w="1868" w:type="dxa"/>
          </w:tcPr>
          <w:p w14:paraId="15019C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tc>
      </w:tr>
      <w:tr w:rsidR="004D4663" w:rsidRPr="00070ADE" w14:paraId="1B3060C4" w14:textId="77777777">
        <w:tc>
          <w:tcPr>
            <w:tcW w:w="1868" w:type="dxa"/>
            <w:tcBorders>
              <w:bottom w:val="single" w:sz="12" w:space="0" w:color="auto"/>
            </w:tcBorders>
          </w:tcPr>
          <w:p w14:paraId="46B642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Разбег/пробег, м</w:t>
            </w:r>
          </w:p>
        </w:tc>
        <w:tc>
          <w:tcPr>
            <w:tcW w:w="1868" w:type="dxa"/>
            <w:tcBorders>
              <w:bottom w:val="single" w:sz="12" w:space="0" w:color="auto"/>
            </w:tcBorders>
          </w:tcPr>
          <w:p w14:paraId="591A48D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6068EA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320/575</w:t>
            </w:r>
          </w:p>
        </w:tc>
        <w:tc>
          <w:tcPr>
            <w:tcW w:w="1868" w:type="dxa"/>
            <w:tcBorders>
              <w:bottom w:val="single" w:sz="12" w:space="0" w:color="auto"/>
            </w:tcBorders>
          </w:tcPr>
          <w:p w14:paraId="33F6F3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23F3D7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Borders>
              <w:bottom w:val="single" w:sz="12" w:space="0" w:color="auto"/>
            </w:tcBorders>
          </w:tcPr>
          <w:p w14:paraId="5CAE06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390/560</w:t>
            </w:r>
          </w:p>
        </w:tc>
      </w:tr>
    </w:tbl>
    <w:p w14:paraId="29FD06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Наддув двигателя 1100 мм рт. ст. (12046).</w:t>
      </w:r>
    </w:p>
    <w:p w14:paraId="6AE7EC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данные истребителей Як-9У с двигателями М-107А (ВК-107А)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4D4663" w:rsidRPr="00070ADE" w14:paraId="59200FAF" w14:textId="77777777">
        <w:tc>
          <w:tcPr>
            <w:tcW w:w="1868" w:type="dxa"/>
            <w:tcBorders>
              <w:top w:val="single" w:sz="12" w:space="0" w:color="auto"/>
            </w:tcBorders>
          </w:tcPr>
          <w:p w14:paraId="5E7BEC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w:t>
            </w:r>
          </w:p>
        </w:tc>
        <w:tc>
          <w:tcPr>
            <w:tcW w:w="1868" w:type="dxa"/>
            <w:tcBorders>
              <w:top w:val="single" w:sz="12" w:space="0" w:color="auto"/>
            </w:tcBorders>
          </w:tcPr>
          <w:p w14:paraId="5339FE3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w:t>
            </w:r>
          </w:p>
        </w:tc>
        <w:tc>
          <w:tcPr>
            <w:tcW w:w="1868" w:type="dxa"/>
            <w:tcBorders>
              <w:top w:val="single" w:sz="12" w:space="0" w:color="auto"/>
            </w:tcBorders>
          </w:tcPr>
          <w:p w14:paraId="72D9BB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w:t>
            </w:r>
          </w:p>
        </w:tc>
        <w:tc>
          <w:tcPr>
            <w:tcW w:w="1868" w:type="dxa"/>
            <w:tcBorders>
              <w:top w:val="single" w:sz="12" w:space="0" w:color="auto"/>
            </w:tcBorders>
          </w:tcPr>
          <w:p w14:paraId="25F34B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Як-9У2</w:t>
            </w:r>
          </w:p>
        </w:tc>
        <w:tc>
          <w:tcPr>
            <w:tcW w:w="1868" w:type="dxa"/>
            <w:tcBorders>
              <w:top w:val="single" w:sz="12" w:space="0" w:color="auto"/>
            </w:tcBorders>
          </w:tcPr>
          <w:p w14:paraId="01A313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w:t>
            </w:r>
          </w:p>
        </w:tc>
        <w:tc>
          <w:tcPr>
            <w:tcW w:w="1868" w:type="dxa"/>
            <w:tcBorders>
              <w:top w:val="single" w:sz="12" w:space="0" w:color="auto"/>
            </w:tcBorders>
          </w:tcPr>
          <w:p w14:paraId="684278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w:t>
            </w:r>
          </w:p>
        </w:tc>
      </w:tr>
      <w:tr w:rsidR="004D4663" w:rsidRPr="00070ADE" w14:paraId="72292386" w14:textId="77777777">
        <w:tc>
          <w:tcPr>
            <w:tcW w:w="1868" w:type="dxa"/>
          </w:tcPr>
          <w:p w14:paraId="3E06840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w:t>
            </w:r>
          </w:p>
        </w:tc>
        <w:tc>
          <w:tcPr>
            <w:tcW w:w="1868" w:type="dxa"/>
          </w:tcPr>
          <w:p w14:paraId="1B0366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115</w:t>
            </w:r>
          </w:p>
        </w:tc>
        <w:tc>
          <w:tcPr>
            <w:tcW w:w="1868" w:type="dxa"/>
          </w:tcPr>
          <w:p w14:paraId="6C791B9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166</w:t>
            </w:r>
          </w:p>
        </w:tc>
        <w:tc>
          <w:tcPr>
            <w:tcW w:w="1868" w:type="dxa"/>
          </w:tcPr>
          <w:p w14:paraId="7D24A5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166 и 115</w:t>
            </w:r>
          </w:p>
        </w:tc>
        <w:tc>
          <w:tcPr>
            <w:tcW w:w="1868" w:type="dxa"/>
          </w:tcPr>
          <w:p w14:paraId="01E1C56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166</w:t>
            </w:r>
          </w:p>
        </w:tc>
        <w:tc>
          <w:tcPr>
            <w:tcW w:w="1868" w:type="dxa"/>
          </w:tcPr>
          <w:p w14:paraId="4D5FE0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w:t>
            </w:r>
          </w:p>
        </w:tc>
      </w:tr>
      <w:tr w:rsidR="004D4663" w:rsidRPr="00070ADE" w14:paraId="52E8F4F7" w14:textId="77777777">
        <w:tc>
          <w:tcPr>
            <w:tcW w:w="1868" w:type="dxa"/>
          </w:tcPr>
          <w:p w14:paraId="2F44CD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Серийный №</w:t>
            </w:r>
          </w:p>
        </w:tc>
        <w:tc>
          <w:tcPr>
            <w:tcW w:w="1868" w:type="dxa"/>
          </w:tcPr>
          <w:p w14:paraId="7D8ACC0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опытный</w:t>
            </w:r>
          </w:p>
        </w:tc>
        <w:tc>
          <w:tcPr>
            <w:tcW w:w="1868" w:type="dxa"/>
          </w:tcPr>
          <w:p w14:paraId="50C32B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39-083</w:t>
            </w:r>
          </w:p>
        </w:tc>
        <w:tc>
          <w:tcPr>
            <w:tcW w:w="1868" w:type="dxa"/>
          </w:tcPr>
          <w:p w14:paraId="6A565B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41-038</w:t>
            </w:r>
          </w:p>
        </w:tc>
        <w:tc>
          <w:tcPr>
            <w:tcW w:w="1868" w:type="dxa"/>
          </w:tcPr>
          <w:p w14:paraId="0DFE1A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52-082</w:t>
            </w:r>
          </w:p>
        </w:tc>
        <w:tc>
          <w:tcPr>
            <w:tcW w:w="1868" w:type="dxa"/>
          </w:tcPr>
          <w:p w14:paraId="6852FE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10-10</w:t>
            </w:r>
          </w:p>
        </w:tc>
      </w:tr>
      <w:tr w:rsidR="004D4663" w:rsidRPr="00070ADE" w14:paraId="1C56DE8D" w14:textId="77777777">
        <w:tc>
          <w:tcPr>
            <w:tcW w:w="1868" w:type="dxa"/>
          </w:tcPr>
          <w:p w14:paraId="4E0A83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Мощность, л.с.</w:t>
            </w:r>
          </w:p>
        </w:tc>
        <w:tc>
          <w:tcPr>
            <w:tcW w:w="1868" w:type="dxa"/>
          </w:tcPr>
          <w:p w14:paraId="04530D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12B585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6E817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0DAA8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F7666E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01D46C0" w14:textId="77777777">
        <w:tc>
          <w:tcPr>
            <w:tcW w:w="1868" w:type="dxa"/>
          </w:tcPr>
          <w:p w14:paraId="4BA47B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взлетная</w:t>
            </w:r>
          </w:p>
        </w:tc>
        <w:tc>
          <w:tcPr>
            <w:tcW w:w="1868" w:type="dxa"/>
          </w:tcPr>
          <w:p w14:paraId="0031F4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1782A8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w:t>
            </w:r>
          </w:p>
        </w:tc>
        <w:tc>
          <w:tcPr>
            <w:tcW w:w="1868" w:type="dxa"/>
          </w:tcPr>
          <w:p w14:paraId="0A8D7C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1650</w:t>
            </w:r>
          </w:p>
        </w:tc>
        <w:tc>
          <w:tcPr>
            <w:tcW w:w="1868" w:type="dxa"/>
          </w:tcPr>
          <w:p w14:paraId="70E804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1650</w:t>
            </w:r>
          </w:p>
        </w:tc>
        <w:tc>
          <w:tcPr>
            <w:tcW w:w="1868" w:type="dxa"/>
          </w:tcPr>
          <w:p w14:paraId="0FF25E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w:t>
            </w:r>
          </w:p>
        </w:tc>
      </w:tr>
      <w:tr w:rsidR="004D4663" w:rsidRPr="00070ADE" w14:paraId="79B55ABD" w14:textId="77777777">
        <w:tc>
          <w:tcPr>
            <w:tcW w:w="1868" w:type="dxa"/>
          </w:tcPr>
          <w:p w14:paraId="5E3014B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w:t>
            </w:r>
          </w:p>
        </w:tc>
        <w:tc>
          <w:tcPr>
            <w:tcW w:w="1868" w:type="dxa"/>
          </w:tcPr>
          <w:p w14:paraId="75973F3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1600/1800</w:t>
            </w:r>
          </w:p>
        </w:tc>
        <w:tc>
          <w:tcPr>
            <w:tcW w:w="1868" w:type="dxa"/>
          </w:tcPr>
          <w:p w14:paraId="4661FF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1550/1200</w:t>
            </w:r>
          </w:p>
        </w:tc>
        <w:tc>
          <w:tcPr>
            <w:tcW w:w="1868" w:type="dxa"/>
          </w:tcPr>
          <w:p w14:paraId="38823AD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1600/1800</w:t>
            </w:r>
          </w:p>
        </w:tc>
        <w:tc>
          <w:tcPr>
            <w:tcW w:w="1868" w:type="dxa"/>
          </w:tcPr>
          <w:p w14:paraId="771714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1600/1800'</w:t>
            </w:r>
          </w:p>
        </w:tc>
        <w:tc>
          <w:tcPr>
            <w:tcW w:w="1868" w:type="dxa"/>
          </w:tcPr>
          <w:p w14:paraId="4B6841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550/1200</w:t>
            </w:r>
          </w:p>
        </w:tc>
      </w:tr>
      <w:tr w:rsidR="004D4663" w:rsidRPr="00070ADE" w14:paraId="73AA0F63" w14:textId="77777777">
        <w:tc>
          <w:tcPr>
            <w:tcW w:w="1868" w:type="dxa"/>
          </w:tcPr>
          <w:p w14:paraId="3D66EF5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0F9691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1500/4500</w:t>
            </w:r>
          </w:p>
        </w:tc>
        <w:tc>
          <w:tcPr>
            <w:tcW w:w="1868" w:type="dxa"/>
          </w:tcPr>
          <w:p w14:paraId="6B40D0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1450/3800</w:t>
            </w:r>
          </w:p>
        </w:tc>
        <w:tc>
          <w:tcPr>
            <w:tcW w:w="1868" w:type="dxa"/>
          </w:tcPr>
          <w:p w14:paraId="309611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1500/4500</w:t>
            </w:r>
          </w:p>
        </w:tc>
        <w:tc>
          <w:tcPr>
            <w:tcW w:w="1868" w:type="dxa"/>
          </w:tcPr>
          <w:p w14:paraId="0832BF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1500/3800'</w:t>
            </w:r>
          </w:p>
        </w:tc>
        <w:tc>
          <w:tcPr>
            <w:tcW w:w="1868" w:type="dxa"/>
          </w:tcPr>
          <w:p w14:paraId="1DE19F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450/3800</w:t>
            </w:r>
          </w:p>
        </w:tc>
      </w:tr>
      <w:tr w:rsidR="004D4663" w:rsidRPr="00070ADE" w14:paraId="5EEE2D7C" w14:textId="77777777">
        <w:tc>
          <w:tcPr>
            <w:tcW w:w="1868" w:type="dxa"/>
          </w:tcPr>
          <w:p w14:paraId="5E1D39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Размах крыла,м</w:t>
            </w:r>
          </w:p>
        </w:tc>
        <w:tc>
          <w:tcPr>
            <w:tcW w:w="1868" w:type="dxa"/>
          </w:tcPr>
          <w:p w14:paraId="223F82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c>
          <w:tcPr>
            <w:tcW w:w="1868" w:type="dxa"/>
          </w:tcPr>
          <w:p w14:paraId="798FB2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c>
          <w:tcPr>
            <w:tcW w:w="1868" w:type="dxa"/>
          </w:tcPr>
          <w:p w14:paraId="18CADBA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c>
          <w:tcPr>
            <w:tcW w:w="1868" w:type="dxa"/>
          </w:tcPr>
          <w:p w14:paraId="395981A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c>
          <w:tcPr>
            <w:tcW w:w="1868" w:type="dxa"/>
          </w:tcPr>
          <w:p w14:paraId="39CF40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r>
      <w:tr w:rsidR="004D4663" w:rsidRPr="00070ADE" w14:paraId="137D1993" w14:textId="77777777">
        <w:tc>
          <w:tcPr>
            <w:tcW w:w="1868" w:type="dxa"/>
          </w:tcPr>
          <w:p w14:paraId="7253CA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м</w:t>
            </w:r>
          </w:p>
        </w:tc>
        <w:tc>
          <w:tcPr>
            <w:tcW w:w="1868" w:type="dxa"/>
          </w:tcPr>
          <w:p w14:paraId="13813D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8,55</w:t>
            </w:r>
          </w:p>
        </w:tc>
        <w:tc>
          <w:tcPr>
            <w:tcW w:w="1868" w:type="dxa"/>
          </w:tcPr>
          <w:p w14:paraId="6012E7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8,55</w:t>
            </w:r>
          </w:p>
        </w:tc>
        <w:tc>
          <w:tcPr>
            <w:tcW w:w="1868" w:type="dxa"/>
          </w:tcPr>
          <w:p w14:paraId="505311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8,55</w:t>
            </w:r>
          </w:p>
        </w:tc>
        <w:tc>
          <w:tcPr>
            <w:tcW w:w="1868" w:type="dxa"/>
          </w:tcPr>
          <w:p w14:paraId="1DC7525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8,55</w:t>
            </w:r>
          </w:p>
        </w:tc>
        <w:tc>
          <w:tcPr>
            <w:tcW w:w="1868" w:type="dxa"/>
          </w:tcPr>
          <w:p w14:paraId="02AF20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8,55</w:t>
            </w:r>
          </w:p>
        </w:tc>
      </w:tr>
      <w:tr w:rsidR="004D4663" w:rsidRPr="00070ADE" w14:paraId="741AE328" w14:textId="77777777">
        <w:tc>
          <w:tcPr>
            <w:tcW w:w="1868" w:type="dxa"/>
          </w:tcPr>
          <w:p w14:paraId="414AD38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Площадь крыла, мг</w:t>
            </w:r>
          </w:p>
        </w:tc>
        <w:tc>
          <w:tcPr>
            <w:tcW w:w="1868" w:type="dxa"/>
          </w:tcPr>
          <w:p w14:paraId="6EA2AD1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c>
          <w:tcPr>
            <w:tcW w:w="1868" w:type="dxa"/>
          </w:tcPr>
          <w:p w14:paraId="71D69E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c>
          <w:tcPr>
            <w:tcW w:w="1868" w:type="dxa"/>
          </w:tcPr>
          <w:p w14:paraId="518A697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c>
          <w:tcPr>
            <w:tcW w:w="1868" w:type="dxa"/>
          </w:tcPr>
          <w:p w14:paraId="45FBD3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c>
          <w:tcPr>
            <w:tcW w:w="1868" w:type="dxa"/>
          </w:tcPr>
          <w:p w14:paraId="68F402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r>
      <w:tr w:rsidR="004D4663" w:rsidRPr="00070ADE" w14:paraId="6177D46C" w14:textId="77777777">
        <w:tc>
          <w:tcPr>
            <w:tcW w:w="1868" w:type="dxa"/>
          </w:tcPr>
          <w:p w14:paraId="46895A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Взлетный вес, кг</w:t>
            </w:r>
          </w:p>
        </w:tc>
        <w:tc>
          <w:tcPr>
            <w:tcW w:w="1868" w:type="dxa"/>
          </w:tcPr>
          <w:p w14:paraId="1E51CE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3204</w:t>
            </w:r>
          </w:p>
        </w:tc>
        <w:tc>
          <w:tcPr>
            <w:tcW w:w="1868" w:type="dxa"/>
          </w:tcPr>
          <w:p w14:paraId="4378E7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3204</w:t>
            </w:r>
          </w:p>
        </w:tc>
        <w:tc>
          <w:tcPr>
            <w:tcW w:w="1868" w:type="dxa"/>
          </w:tcPr>
          <w:p w14:paraId="1058A1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3145</w:t>
            </w:r>
          </w:p>
        </w:tc>
        <w:tc>
          <w:tcPr>
            <w:tcW w:w="1868" w:type="dxa"/>
          </w:tcPr>
          <w:p w14:paraId="332E42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3268</w:t>
            </w:r>
          </w:p>
        </w:tc>
        <w:tc>
          <w:tcPr>
            <w:tcW w:w="1868" w:type="dxa"/>
          </w:tcPr>
          <w:p w14:paraId="10B7425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3197</w:t>
            </w:r>
          </w:p>
        </w:tc>
      </w:tr>
      <w:tr w:rsidR="004D4663" w:rsidRPr="00070ADE" w14:paraId="7E2F12D5" w14:textId="77777777">
        <w:tc>
          <w:tcPr>
            <w:tcW w:w="1868" w:type="dxa"/>
          </w:tcPr>
          <w:p w14:paraId="4D1D19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кг</w:t>
            </w:r>
          </w:p>
        </w:tc>
        <w:tc>
          <w:tcPr>
            <w:tcW w:w="1868" w:type="dxa"/>
          </w:tcPr>
          <w:p w14:paraId="70688E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762081A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2512</w:t>
            </w:r>
          </w:p>
        </w:tc>
        <w:tc>
          <w:tcPr>
            <w:tcW w:w="1868" w:type="dxa"/>
          </w:tcPr>
          <w:p w14:paraId="581A56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2498</w:t>
            </w:r>
          </w:p>
        </w:tc>
        <w:tc>
          <w:tcPr>
            <w:tcW w:w="1868" w:type="dxa"/>
          </w:tcPr>
          <w:p w14:paraId="057D27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2596</w:t>
            </w:r>
          </w:p>
        </w:tc>
        <w:tc>
          <w:tcPr>
            <w:tcW w:w="1868" w:type="dxa"/>
          </w:tcPr>
          <w:p w14:paraId="2D5DAF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2529</w:t>
            </w:r>
          </w:p>
        </w:tc>
      </w:tr>
      <w:tr w:rsidR="004D4663" w:rsidRPr="00070ADE" w14:paraId="67F90A93" w14:textId="77777777">
        <w:tc>
          <w:tcPr>
            <w:tcW w:w="1868" w:type="dxa"/>
          </w:tcPr>
          <w:p w14:paraId="6EF265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топлива, кг</w:t>
            </w:r>
          </w:p>
        </w:tc>
        <w:tc>
          <w:tcPr>
            <w:tcW w:w="1868" w:type="dxa"/>
          </w:tcPr>
          <w:p w14:paraId="643722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355</w:t>
            </w:r>
          </w:p>
        </w:tc>
        <w:tc>
          <w:tcPr>
            <w:tcW w:w="1868" w:type="dxa"/>
          </w:tcPr>
          <w:p w14:paraId="3223990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380</w:t>
            </w:r>
          </w:p>
        </w:tc>
        <w:tc>
          <w:tcPr>
            <w:tcW w:w="1868" w:type="dxa"/>
          </w:tcPr>
          <w:p w14:paraId="1AB1B4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351</w:t>
            </w:r>
          </w:p>
        </w:tc>
        <w:tc>
          <w:tcPr>
            <w:tcW w:w="1868" w:type="dxa"/>
          </w:tcPr>
          <w:p w14:paraId="2E6A27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360</w:t>
            </w:r>
          </w:p>
        </w:tc>
        <w:tc>
          <w:tcPr>
            <w:tcW w:w="1868" w:type="dxa"/>
          </w:tcPr>
          <w:p w14:paraId="397566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A4AF0A1" w14:textId="77777777">
        <w:tc>
          <w:tcPr>
            <w:tcW w:w="1868" w:type="dxa"/>
          </w:tcPr>
          <w:p w14:paraId="581789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км/ч</w:t>
            </w:r>
          </w:p>
        </w:tc>
        <w:tc>
          <w:tcPr>
            <w:tcW w:w="1868" w:type="dxa"/>
          </w:tcPr>
          <w:p w14:paraId="1A0CC7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75F5B0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0347D7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8BD97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C699A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A708F8D" w14:textId="77777777">
        <w:tc>
          <w:tcPr>
            <w:tcW w:w="1868" w:type="dxa"/>
          </w:tcPr>
          <w:p w14:paraId="67FE28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w:t>
            </w:r>
          </w:p>
        </w:tc>
        <w:tc>
          <w:tcPr>
            <w:tcW w:w="1868" w:type="dxa"/>
          </w:tcPr>
          <w:p w14:paraId="1C518E3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tc>
        <w:tc>
          <w:tcPr>
            <w:tcW w:w="1868" w:type="dxa"/>
          </w:tcPr>
          <w:p w14:paraId="7FC8FA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575</w:t>
            </w:r>
          </w:p>
        </w:tc>
        <w:tc>
          <w:tcPr>
            <w:tcW w:w="1868" w:type="dxa"/>
          </w:tcPr>
          <w:p w14:paraId="5C33F8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577</w:t>
            </w:r>
          </w:p>
        </w:tc>
        <w:tc>
          <w:tcPr>
            <w:tcW w:w="1868" w:type="dxa"/>
          </w:tcPr>
          <w:p w14:paraId="50E294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572</w:t>
            </w:r>
          </w:p>
        </w:tc>
        <w:tc>
          <w:tcPr>
            <w:tcW w:w="1868" w:type="dxa"/>
          </w:tcPr>
          <w:p w14:paraId="1F779A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564</w:t>
            </w:r>
          </w:p>
        </w:tc>
      </w:tr>
      <w:tr w:rsidR="004D4663" w:rsidRPr="00070ADE" w14:paraId="79F08FC2" w14:textId="77777777">
        <w:tc>
          <w:tcPr>
            <w:tcW w:w="1868" w:type="dxa"/>
          </w:tcPr>
          <w:p w14:paraId="5B3FF1E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1-й гр. высотности, м</w:t>
            </w:r>
          </w:p>
        </w:tc>
        <w:tc>
          <w:tcPr>
            <w:tcW w:w="1868" w:type="dxa"/>
          </w:tcPr>
          <w:p w14:paraId="3F2F46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676/3000</w:t>
            </w:r>
          </w:p>
        </w:tc>
        <w:tc>
          <w:tcPr>
            <w:tcW w:w="1868" w:type="dxa"/>
          </w:tcPr>
          <w:p w14:paraId="13BF5F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636/2500</w:t>
            </w:r>
          </w:p>
        </w:tc>
        <w:tc>
          <w:tcPr>
            <w:tcW w:w="1868" w:type="dxa"/>
          </w:tcPr>
          <w:p w14:paraId="2FCD5C4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641/2950</w:t>
            </w:r>
          </w:p>
        </w:tc>
        <w:tc>
          <w:tcPr>
            <w:tcW w:w="1868" w:type="dxa"/>
          </w:tcPr>
          <w:p w14:paraId="7459019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648/3300</w:t>
            </w:r>
          </w:p>
        </w:tc>
        <w:tc>
          <w:tcPr>
            <w:tcW w:w="1868" w:type="dxa"/>
          </w:tcPr>
          <w:p w14:paraId="159E6E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632/2700</w:t>
            </w:r>
          </w:p>
        </w:tc>
      </w:tr>
      <w:tr w:rsidR="004D4663" w:rsidRPr="00070ADE" w14:paraId="3336995B" w14:textId="77777777">
        <w:tc>
          <w:tcPr>
            <w:tcW w:w="1868" w:type="dxa"/>
          </w:tcPr>
          <w:p w14:paraId="1CC7F7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2-й гр. высотности, м</w:t>
            </w:r>
          </w:p>
        </w:tc>
        <w:tc>
          <w:tcPr>
            <w:tcW w:w="1868" w:type="dxa"/>
          </w:tcPr>
          <w:p w14:paraId="3E752E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700/5500</w:t>
            </w:r>
          </w:p>
        </w:tc>
        <w:tc>
          <w:tcPr>
            <w:tcW w:w="1868" w:type="dxa"/>
          </w:tcPr>
          <w:p w14:paraId="30751EF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672/5000</w:t>
            </w:r>
          </w:p>
        </w:tc>
        <w:tc>
          <w:tcPr>
            <w:tcW w:w="1868" w:type="dxa"/>
          </w:tcPr>
          <w:p w14:paraId="1830B2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676/5900</w:t>
            </w:r>
          </w:p>
        </w:tc>
        <w:tc>
          <w:tcPr>
            <w:tcW w:w="1868" w:type="dxa"/>
          </w:tcPr>
          <w:p w14:paraId="1F2CA1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680/5850</w:t>
            </w:r>
          </w:p>
        </w:tc>
        <w:tc>
          <w:tcPr>
            <w:tcW w:w="1868" w:type="dxa"/>
          </w:tcPr>
          <w:p w14:paraId="0E461F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668/5300</w:t>
            </w:r>
          </w:p>
        </w:tc>
      </w:tr>
      <w:tr w:rsidR="004D4663" w:rsidRPr="00070ADE" w14:paraId="18450F4E" w14:textId="77777777">
        <w:tc>
          <w:tcPr>
            <w:tcW w:w="1868" w:type="dxa"/>
          </w:tcPr>
          <w:p w14:paraId="50A6060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w:t>
            </w:r>
          </w:p>
        </w:tc>
        <w:tc>
          <w:tcPr>
            <w:tcW w:w="1868" w:type="dxa"/>
          </w:tcPr>
          <w:p w14:paraId="0C434A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C940D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6DFC50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19789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D7623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9C0AA70" w14:textId="77777777">
        <w:tc>
          <w:tcPr>
            <w:tcW w:w="1868" w:type="dxa"/>
          </w:tcPr>
          <w:p w14:paraId="2C68E5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высоты 5000 м, мин</w:t>
            </w:r>
          </w:p>
        </w:tc>
        <w:tc>
          <w:tcPr>
            <w:tcW w:w="1868" w:type="dxa"/>
          </w:tcPr>
          <w:p w14:paraId="4F36420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w:t>
            </w:r>
          </w:p>
        </w:tc>
        <w:tc>
          <w:tcPr>
            <w:tcW w:w="1868" w:type="dxa"/>
          </w:tcPr>
          <w:p w14:paraId="6F8F6E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1868" w:type="dxa"/>
          </w:tcPr>
          <w:p w14:paraId="6C9D053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w:t>
            </w:r>
          </w:p>
        </w:tc>
        <w:tc>
          <w:tcPr>
            <w:tcW w:w="1868" w:type="dxa"/>
          </w:tcPr>
          <w:p w14:paraId="5EDD6B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5,4/4,4</w:t>
            </w:r>
          </w:p>
        </w:tc>
        <w:tc>
          <w:tcPr>
            <w:tcW w:w="1868" w:type="dxa"/>
          </w:tcPr>
          <w:p w14:paraId="6F736A4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w:t>
            </w:r>
          </w:p>
        </w:tc>
      </w:tr>
      <w:tr w:rsidR="004D4663" w:rsidRPr="00070ADE" w14:paraId="7E357E61" w14:textId="77777777">
        <w:tc>
          <w:tcPr>
            <w:tcW w:w="1868" w:type="dxa"/>
          </w:tcPr>
          <w:p w14:paraId="2F576E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м</w:t>
            </w:r>
          </w:p>
        </w:tc>
        <w:tc>
          <w:tcPr>
            <w:tcW w:w="1868" w:type="dxa"/>
          </w:tcPr>
          <w:p w14:paraId="483F4F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3FCB67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10650</w:t>
            </w:r>
          </w:p>
        </w:tc>
        <w:tc>
          <w:tcPr>
            <w:tcW w:w="1868" w:type="dxa"/>
          </w:tcPr>
          <w:p w14:paraId="793B45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10850</w:t>
            </w:r>
          </w:p>
        </w:tc>
        <w:tc>
          <w:tcPr>
            <w:tcW w:w="1868" w:type="dxa"/>
          </w:tcPr>
          <w:p w14:paraId="71F21C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702CB55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BBC2C45" w14:textId="77777777">
        <w:tc>
          <w:tcPr>
            <w:tcW w:w="1868" w:type="dxa"/>
          </w:tcPr>
          <w:p w14:paraId="653E3C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Время виража</w:t>
            </w:r>
          </w:p>
        </w:tc>
        <w:tc>
          <w:tcPr>
            <w:tcW w:w="1868" w:type="dxa"/>
          </w:tcPr>
          <w:p w14:paraId="1FB193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A82A49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0F0C8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0454D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DC3630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3695EC3" w14:textId="77777777">
        <w:tc>
          <w:tcPr>
            <w:tcW w:w="1868" w:type="dxa"/>
          </w:tcPr>
          <w:p w14:paraId="7CFB585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 1000 м,</w:t>
            </w:r>
          </w:p>
        </w:tc>
        <w:tc>
          <w:tcPr>
            <w:tcW w:w="1868" w:type="dxa"/>
          </w:tcPr>
          <w:p w14:paraId="5179C7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w:t>
            </w:r>
          </w:p>
        </w:tc>
        <w:tc>
          <w:tcPr>
            <w:tcW w:w="1868" w:type="dxa"/>
          </w:tcPr>
          <w:p w14:paraId="47D4DF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4C915B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7F6FFC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062BA51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21E33E0F" w14:textId="77777777">
        <w:tc>
          <w:tcPr>
            <w:tcW w:w="1868" w:type="dxa"/>
            <w:tcBorders>
              <w:bottom w:val="single" w:sz="12" w:space="0" w:color="auto"/>
            </w:tcBorders>
          </w:tcPr>
          <w:p w14:paraId="0C653E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макс, км</w:t>
            </w:r>
          </w:p>
        </w:tc>
        <w:tc>
          <w:tcPr>
            <w:tcW w:w="1868" w:type="dxa"/>
            <w:tcBorders>
              <w:bottom w:val="single" w:sz="12" w:space="0" w:color="auto"/>
            </w:tcBorders>
          </w:tcPr>
          <w:p w14:paraId="232AD2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884</w:t>
            </w:r>
          </w:p>
        </w:tc>
        <w:tc>
          <w:tcPr>
            <w:tcW w:w="1868" w:type="dxa"/>
            <w:tcBorders>
              <w:bottom w:val="single" w:sz="12" w:space="0" w:color="auto"/>
            </w:tcBorders>
          </w:tcPr>
          <w:p w14:paraId="3CCCD8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tc>
        <w:tc>
          <w:tcPr>
            <w:tcW w:w="1868" w:type="dxa"/>
            <w:tcBorders>
              <w:bottom w:val="single" w:sz="12" w:space="0" w:color="auto"/>
            </w:tcBorders>
          </w:tcPr>
          <w:p w14:paraId="199747D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10603)</w:t>
            </w:r>
          </w:p>
        </w:tc>
        <w:tc>
          <w:tcPr>
            <w:tcW w:w="1868" w:type="dxa"/>
            <w:tcBorders>
              <w:bottom w:val="single" w:sz="12" w:space="0" w:color="auto"/>
            </w:tcBorders>
          </w:tcPr>
          <w:p w14:paraId="5BAB6A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Borders>
              <w:bottom w:val="single" w:sz="12" w:space="0" w:color="auto"/>
            </w:tcBorders>
          </w:tcPr>
          <w:p w14:paraId="5A1CE75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7855</w:t>
            </w:r>
          </w:p>
        </w:tc>
      </w:tr>
    </w:tbl>
    <w:p w14:paraId="25D096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 результатам испытаний</w:t>
      </w:r>
      <w:r w:rsidRPr="00070ADE">
        <w:rPr>
          <w:rFonts w:ascii="Times New Roman" w:hAnsi="Times New Roman"/>
          <w:color w:val="000000" w:themeColor="text1"/>
          <w:sz w:val="16"/>
          <w:szCs w:val="16"/>
        </w:rPr>
        <w:tab/>
        <w:t>в январе 1941 г.</w:t>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r w:rsidRPr="00070ADE">
        <w:rPr>
          <w:rFonts w:ascii="Times New Roman" w:hAnsi="Times New Roman"/>
          <w:color w:val="000000" w:themeColor="text1"/>
          <w:sz w:val="16"/>
          <w:szCs w:val="16"/>
        </w:rPr>
        <w:tab/>
      </w:r>
    </w:p>
    <w:p w14:paraId="4E22BB1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Эталон 1945 г.</w:t>
      </w:r>
    </w:p>
    <w:p w14:paraId="256F9D1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 наивыгоднейшем режиме (скорость 314 км/ч и высота 1000 м), продолжительность полета 3 часа 23 минуты. На режиме скоростной дальности (0,9 от максимальной) - 640 км и продолжительность 1 час 18 минут).</w:t>
      </w:r>
    </w:p>
    <w:p w14:paraId="45EA8F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На скорости 508 км/ч и высоте 5070 м, продолжительность полета 1 час 21 минута.</w:t>
      </w:r>
    </w:p>
    <w:p w14:paraId="52982BD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На скорости 509 км/ч и высоте 5040 м, продолжительность полета 1 час 33 минуты) (12046).</w:t>
      </w:r>
    </w:p>
    <w:p w14:paraId="32D667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656A3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Зам. Нач. 8 ГУ Воликов подготовил Докладную справку N 273с для А.И.Ш. по вопросу обеспечения высотных истребителей (Ла, МиГ и Як) (1824,5).</w:t>
      </w:r>
    </w:p>
    <w:p w14:paraId="24DC05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D3AA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20 апреля 1944 состояние опытного строительства на 21 заводе было следующим:</w:t>
      </w:r>
    </w:p>
    <w:p w14:paraId="7E3632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Ла-7 АШ-83 “дублер” - на рулении сложился костыль, разрушен 14 шпангоут. С-т находится в ремонте.</w:t>
      </w:r>
    </w:p>
    <w:p w14:paraId="004625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 М-71 строительством закончен. Окраска задерживается.</w:t>
      </w:r>
    </w:p>
    <w:p w14:paraId="1E1799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с-те Ла-5 проводились испытания (на выброс масла из дренажа) с увеличенным диаметром трубопроводов от суфлера бачка к масло...</w:t>
      </w:r>
    </w:p>
    <w:p w14:paraId="0A574D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Выброс масла продолжается. В связи с некоторым улучшением по вопросу, ГК дал указание устанавливать суфлеры бачка с первой серии Ла-7</w:t>
      </w:r>
    </w:p>
    <w:p w14:paraId="523BB4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Проводятся летные испытания с-та Ла-5 ФН с автоматикой.</w:t>
      </w:r>
    </w:p>
    <w:p w14:paraId="578545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цехе сборки начата сборка 2-1 серии с-та Ла-5ФН типа 41 с металлизацией.</w:t>
      </w:r>
    </w:p>
    <w:p w14:paraId="2ED127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Закончена сбрка центроплана с ламинарным профилем.</w:t>
      </w:r>
    </w:p>
    <w:p w14:paraId="28E40F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аэродром вышли 11 Ла-5ФН, оборудованные АРТЦ -43, часть прошла летные испытания. Отзывы л положительные (738,21).</w:t>
      </w:r>
    </w:p>
    <w:p w14:paraId="5027BA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2B53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года зам. гл. конструктора ОКБ Вигант.</w:t>
      </w:r>
    </w:p>
    <w:p w14:paraId="5C2EAD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w:t>
      </w:r>
    </w:p>
    <w:p w14:paraId="05CB0E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испытаний самолета ЯК-9-37 с винтами ВИШ-61П 9 серии</w:t>
      </w:r>
    </w:p>
    <w:p w14:paraId="59E55C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Винт ВИШ-61П 9 серии, установленный на самолете ЯК-9-37 прошел совместные, ЛИИ и ОКБ завода N 115, испытания, на основании которых можно сделать следующие выводы:</w:t>
      </w:r>
    </w:p>
    <w:p w14:paraId="4F1421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Монтаж винта ВИШ-61П 9 серии аналогичен винту ВИШ-61П.</w:t>
      </w:r>
    </w:p>
    <w:p w14:paraId="525689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Винт допускает установку серийного кока, при условии переделки храповика.</w:t>
      </w:r>
    </w:p>
    <w:p w14:paraId="5CE088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Габариты втулки винта позволяют установку пушки 11 П калибра 37 мм.</w:t>
      </w:r>
    </w:p>
    <w:p w14:paraId="2CDDCC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Управление винтом ВИШ-61 П 9 серии аналогично винту ВИШ-61П.</w:t>
      </w:r>
    </w:p>
    <w:p w14:paraId="53FC53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При летных испытаниях самолета ЯК-9-37 с винтом ВИШ-61П 9 серии, получены следующие летные характеристики: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4D4663" w:rsidRPr="00070ADE" w14:paraId="6308A90C" w14:textId="77777777">
        <w:tc>
          <w:tcPr>
            <w:tcW w:w="3757" w:type="dxa"/>
          </w:tcPr>
          <w:p w14:paraId="121F03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w:t>
            </w:r>
          </w:p>
        </w:tc>
        <w:tc>
          <w:tcPr>
            <w:tcW w:w="3757" w:type="dxa"/>
          </w:tcPr>
          <w:p w14:paraId="4AE54B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544 км/час</w:t>
            </w:r>
          </w:p>
        </w:tc>
        <w:tc>
          <w:tcPr>
            <w:tcW w:w="3757" w:type="dxa"/>
          </w:tcPr>
          <w:p w14:paraId="5995CD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579CEF3" w14:textId="77777777">
        <w:tc>
          <w:tcPr>
            <w:tcW w:w="3757" w:type="dxa"/>
          </w:tcPr>
          <w:p w14:paraId="5E4A2F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2-й</w:t>
            </w:r>
          </w:p>
        </w:tc>
        <w:tc>
          <w:tcPr>
            <w:tcW w:w="3757" w:type="dxa"/>
          </w:tcPr>
          <w:p w14:paraId="5F1CF5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750FAD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4D7DC35" w14:textId="77777777">
        <w:tc>
          <w:tcPr>
            <w:tcW w:w="3757" w:type="dxa"/>
          </w:tcPr>
          <w:p w14:paraId="5D0533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границе высотности </w:t>
            </w:r>
          </w:p>
        </w:tc>
        <w:tc>
          <w:tcPr>
            <w:tcW w:w="3757" w:type="dxa"/>
          </w:tcPr>
          <w:p w14:paraId="2B8D97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71EE0F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613 км/час</w:t>
            </w:r>
          </w:p>
        </w:tc>
      </w:tr>
      <w:tr w:rsidR="004D4663" w:rsidRPr="00070ADE" w14:paraId="6E5E9A62" w14:textId="77777777">
        <w:tc>
          <w:tcPr>
            <w:tcW w:w="3757" w:type="dxa"/>
          </w:tcPr>
          <w:p w14:paraId="7827AF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Скороподъемность на 5000 м</w:t>
            </w:r>
          </w:p>
        </w:tc>
        <w:tc>
          <w:tcPr>
            <w:tcW w:w="3757" w:type="dxa"/>
          </w:tcPr>
          <w:p w14:paraId="2582B2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 мин.</w:t>
            </w:r>
          </w:p>
        </w:tc>
        <w:tc>
          <w:tcPr>
            <w:tcW w:w="3757" w:type="dxa"/>
          </w:tcPr>
          <w:p w14:paraId="2209D5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3E55A1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w:t>
      </w:r>
    </w:p>
    <w:p w14:paraId="76276D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Винт ВИШ-61П серии 9 пригоден для установки на самолетах ЯК-9 с пушкой 11п калибра 37 мм (1821).</w:t>
      </w:r>
    </w:p>
    <w:p w14:paraId="61ADB9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BA1E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года начальник НИИ ВВС генерал-лейтенант инженерной службы Лосюков и начальник 3-го отдела НИИ ВВС инженер-полковник Сафронов писали письмо N 3/0654 гл. инженеру ВВС генерал-полковнику Репину А.К., Шахурину, управление кадров ЦК ВКП(б) генерал лейтенанту авиации Шиманову Н.С.</w:t>
      </w:r>
    </w:p>
    <w:p w14:paraId="5F21EB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Ту-2с в частях ВВС не могут быть использованы с достаточной эффективностью, из-за ряда не устраненных на них дефектов:</w:t>
      </w:r>
    </w:p>
    <w:p w14:paraId="334E5A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Неудовлетворительного обзора штурману для ведения детальной ориентировки и плохого просмотра штурманом цели при подходе к ней, что значительно ухудшает условия для бомбометания.</w:t>
      </w:r>
    </w:p>
    <w:p w14:paraId="5FE9F7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Недостаточной путевой устойчивости самолета, что осложняет пилотирование самолета в сложных метеусловиях и ночью.</w:t>
      </w:r>
    </w:p>
    <w:p w14:paraId="2DDA6B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Неудовлетворительного обзора летчику, из-за неудачной конструкции фонаря.</w:t>
      </w:r>
    </w:p>
    <w:p w14:paraId="2F5F38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Раскрутки винтов АВ-5-167А (обратной схемы) с регулятором Р-7 на пикировании.</w:t>
      </w:r>
    </w:p>
    <w:p w14:paraId="72FFF3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Сложности выполнения ночных полетов, из-за: неудовлетворительного освещения основных приборов в кабине летчика, ненадежности и плохой работы фары, плохого обзора летчику и, особенно, штурману для ведения ориентировки в полете.</w:t>
      </w:r>
    </w:p>
    <w:p w14:paraId="601E4C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Разрушения покрышки костыльного колеса.</w:t>
      </w:r>
    </w:p>
    <w:p w14:paraId="0574D6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Массового отказа свечей ВГ-27 и ВГ-12 на моторах АШ-82-ФН.</w:t>
      </w:r>
    </w:p>
    <w:p w14:paraId="6E559C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Отказов и неудовлетворительной работы бензочасов, вследствие чего контроль за выработкой горючего в частях ВВС производится только по времени работы моторов.</w:t>
      </w:r>
    </w:p>
    <w:p w14:paraId="655A31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Массового разрушения выхлопных коллекторов.</w:t>
      </w:r>
    </w:p>
    <w:p w14:paraId="503675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Медленной заправки горючего.</w:t>
      </w:r>
    </w:p>
    <w:p w14:paraId="544A31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Частых случаев течи масла из под уплотнений кожухов-толкателей, фланцев крепления: АК-50, РС-2 и Р-7;</w:t>
      </w:r>
    </w:p>
    <w:p w14:paraId="3D56B0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также из-за других не устраненных дефектов, указанных в прилагаемой справке.</w:t>
      </w:r>
    </w:p>
    <w:p w14:paraId="41C229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проведения мероприятий по устранению некоторых из приведенных выше дефектов, гл. конструктором завода N 156 Туполевым спущены чертежи на зав. N 23, но устранение дефектов по чертежам гл. конструктора - задерживается, из-за отсутствия разрешения НКАП.</w:t>
      </w:r>
    </w:p>
    <w:p w14:paraId="50B4D7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Почти по всем указываемым в прилагаемой справке дефектов, гл. конструктором зав. N 156 и НИИ ВВС подготовлены решения по устранению дефектов в серии.</w:t>
      </w:r>
    </w:p>
    <w:p w14:paraId="44BA9C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декабря 1943 года гл. инженером ВВС был утвержден макет носовой части серийного самолета Ту-2 с новым фонарем и с улучшенным обзором для штурмана. Завод N 23 изготовил по чертежам гл. конструктора шаблоны для нового фонаря, но дальнейшие работы по фонарю были приостановлены указанием НКАП.</w:t>
      </w:r>
    </w:p>
    <w:p w14:paraId="461614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НИИ ВВС в марте 1944 г. были проведены испытания самолета Ту-2 N 716 с увеличенными килями. На испытаниях была подобрана площадь килей, обеспечивающая самолету Ту-2 хорошую путевую устойчивость. Увеличенное вертикальное оперение рекомендовано для серийных самолетов.</w:t>
      </w:r>
    </w:p>
    <w:p w14:paraId="58256B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отработки мероприятий по устранению раскрутки винта АВ-5-167А, в НИИ ВВС в январе 44 года на самолете Ту-2 N 716 были проведены гос. испытания винтов прямой схемы АВ-5В-167А.</w:t>
      </w:r>
    </w:p>
    <w:p w14:paraId="2E9512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Винты прямой схемы показали хорошие результаты, дефект раскрутки винта на пикировании был устранен и данные винты были рекомендованы для срочной установки на самолеты Ту-2, как на заводе, так и в частях ВВС.</w:t>
      </w:r>
    </w:p>
    <w:p w14:paraId="2801DC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Большинство отмеченных выше дефектов можно устранить не задерживая выпуск серийных самолетов Ту-2с.</w:t>
      </w:r>
    </w:p>
    <w:p w14:paraId="6A719B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работы по устранению основных дефектов завод N 23 не ведет.</w:t>
      </w:r>
    </w:p>
    <w:p w14:paraId="2365C6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Сроки устранения дефектов в серии все еще не установлены, несмотря на решение наркома Авиапрома Шахурина от 2 декабря 1943 года, обязывающие директора и гл. конструктора завода N 23 - устранить указанные выше дефекты и предъявить НИИ ВВС к 1 января самолет Ту-2 с новым фонарем с улучшенным обзором для штурмана (заключение Акта по совместным испытаниям самолета Ту-2 N 716 в НИИ ВВС в 1943 г.).</w:t>
      </w:r>
    </w:p>
    <w:p w14:paraId="12734A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Вас, в целях обеспечения большей эффективности боевого применения самолетов Ту-2с:</w:t>
      </w:r>
    </w:p>
    <w:p w14:paraId="6C002A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Установить сроки устранения заводом N 23 в серии дефектов, указанных в 1 разделе прилагаемой справки, по которым гл. конструктором зав. N 156 Туполевым спущены на зав. N 23 чертежи, согласованные с НИИ ВВС.</w:t>
      </w:r>
    </w:p>
    <w:p w14:paraId="5D69DA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Обязать директора и гл. конструктора завода N 23, в соответствии с решением наркома Авиапрома Шахурина от 2 декабря 1943 года предъявить НИИ ВВС к 15 мая 1944 года серийный самолет Ту-2с с новым фонарем, с улучшенным обзором для штурмана, с увеличенным вертикальным оперением, оборудованный прицелом НКПБ-7 и автоматом курса АК-1.</w:t>
      </w:r>
    </w:p>
    <w:p w14:paraId="40FF37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Дать указание о поставке заводу N 23 усиленных хвостовых колес с увеличенным числом слоев корда и установить срок поставки их заводу N 23.</w:t>
      </w:r>
    </w:p>
    <w:p w14:paraId="1A038E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Дать указания о дополнительном, срочном выпуске опытной партии авиасвечей АС-130, как наиболее надежных, по сравнению со свечами ВГ-27, ВГ-25 и ВГ-12 (для обеспечения нормальной эксплуатации самолетов Ту-2 и для массовой проверки свечей АС-130 на всех самолетах Ту-2 в 334-й БАД).</w:t>
      </w:r>
    </w:p>
    <w:p w14:paraId="1574AE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Обязать гл. конструктора зав. 156 Туполева срочно предъявить заводу N 23 чертежи по устранению всех конструктивных дефектов, отмеченных во 2-м разделе прилагаемой справки, а директора завода N 23 - устранить в серии дефекты, указанные во 2 и 4 разделах прилагаемой справки, в установленный Вами срок.</w:t>
      </w:r>
    </w:p>
    <w:p w14:paraId="3863A7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Приложение: Справка об основных дефектах с-та Ту-2 на 5 листах (1821).</w:t>
      </w:r>
    </w:p>
    <w:p w14:paraId="6218D5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CC48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И.Д.Полосухин на Москито перелетел из Данди (Северная Шотландия) во Внуково чтобы передать самолет на испытания в НИИ ВВС (438,902).</w:t>
      </w:r>
    </w:p>
    <w:p w14:paraId="50FA50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FA89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в состав Северного флота вошел крейсер Мурманск, бывший Milwaukee, оснащенный двумя Кингфишерами, которые использовались до 1949 - времени возвращения крейсера в США (9079).</w:t>
      </w:r>
    </w:p>
    <w:p w14:paraId="7F7D13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5E8D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был готов эскизный проект планера Г-31 В.К.Грибовского. Мог перевозить Виллис, 45 мм, 57 мм и 76 мм пушки, мотоцикл с коляской и любые грузы весом до 1500 кг. К реализации не приняли, но планер с аналогичными характеристиками САМ-23 поручили А.С.Москалеву (94,100).</w:t>
      </w:r>
    </w:p>
    <w:p w14:paraId="527184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EE422F"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г. крейсер «Милуоки» по прибытии получил имя «Мурманск» и вошел в состав Северного флота. Два «Кингфишера», как уже говорилось выше, прибыли в СССР на борту. На «Кингфишеры» нанесли советские опознавательные знаки и бортовые номера 1 и 2. Самолеты закрепили за 118-м отдельным разведывательным пол</w:t>
      </w:r>
      <w:r w:rsidRPr="00070ADE">
        <w:rPr>
          <w:rFonts w:ascii="Times New Roman" w:hAnsi="Times New Roman"/>
          <w:color w:val="000000" w:themeColor="text1"/>
          <w:sz w:val="16"/>
          <w:szCs w:val="16"/>
        </w:rPr>
        <w:softHyphen/>
        <w:t>ком и использовали до возвращения корабля США в 1949 г.</w:t>
      </w:r>
    </w:p>
    <w:p w14:paraId="3A6E03B4"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1943 г., после капитуляции Италии, Совет</w:t>
      </w:r>
      <w:r w:rsidRPr="00070ADE">
        <w:rPr>
          <w:rFonts w:ascii="Times New Roman" w:hAnsi="Times New Roman"/>
          <w:color w:val="000000" w:themeColor="text1"/>
          <w:sz w:val="16"/>
          <w:szCs w:val="16"/>
        </w:rPr>
        <w:softHyphen/>
        <w:t>ский Союз, США и Великобритания дого</w:t>
      </w:r>
      <w:r w:rsidRPr="00070ADE">
        <w:rPr>
          <w:rFonts w:ascii="Times New Roman" w:hAnsi="Times New Roman"/>
          <w:color w:val="000000" w:themeColor="text1"/>
          <w:sz w:val="16"/>
          <w:szCs w:val="16"/>
        </w:rPr>
        <w:softHyphen/>
        <w:t>ворились о разделе итальянского флота, по</w:t>
      </w:r>
      <w:r w:rsidRPr="00070ADE">
        <w:rPr>
          <w:rFonts w:ascii="Times New Roman" w:hAnsi="Times New Roman"/>
          <w:color w:val="000000" w:themeColor="text1"/>
          <w:sz w:val="16"/>
          <w:szCs w:val="16"/>
        </w:rPr>
        <w:softHyphen/>
        <w:t>сле чего союзники предложили передать Со</w:t>
      </w:r>
      <w:r w:rsidRPr="00070ADE">
        <w:rPr>
          <w:rFonts w:ascii="Times New Roman" w:hAnsi="Times New Roman"/>
          <w:color w:val="000000" w:themeColor="text1"/>
          <w:sz w:val="16"/>
          <w:szCs w:val="16"/>
        </w:rPr>
        <w:softHyphen/>
        <w:t>ветскому Союзу в счет репараций во времен</w:t>
      </w:r>
      <w:r w:rsidRPr="00070ADE">
        <w:rPr>
          <w:rFonts w:ascii="Times New Roman" w:hAnsi="Times New Roman"/>
          <w:color w:val="000000" w:themeColor="text1"/>
          <w:sz w:val="16"/>
          <w:szCs w:val="16"/>
        </w:rPr>
        <w:softHyphen/>
        <w:t>ное пользование несколько боевых кораблей. В соответствии с достигнутым соглашени</w:t>
      </w:r>
      <w:r w:rsidRPr="00070ADE">
        <w:rPr>
          <w:rFonts w:ascii="Times New Roman" w:hAnsi="Times New Roman"/>
          <w:color w:val="000000" w:themeColor="text1"/>
          <w:sz w:val="16"/>
          <w:szCs w:val="16"/>
        </w:rPr>
        <w:softHyphen/>
        <w:t>ем на базу Ваенга советского Северного фло</w:t>
      </w:r>
      <w:r w:rsidRPr="00070ADE">
        <w:rPr>
          <w:rFonts w:ascii="Times New Roman" w:hAnsi="Times New Roman"/>
          <w:color w:val="000000" w:themeColor="text1"/>
          <w:sz w:val="16"/>
          <w:szCs w:val="16"/>
        </w:rPr>
        <w:softHyphen/>
        <w:t>та прибыл американский крейсер «Милуоки» 1923 г. постройки. Крейсер имел водоизмещение 10 400 т, был оборудован ка</w:t>
      </w:r>
      <w:r w:rsidRPr="00070ADE">
        <w:rPr>
          <w:rFonts w:ascii="Times New Roman" w:hAnsi="Times New Roman"/>
          <w:color w:val="000000" w:themeColor="text1"/>
          <w:sz w:val="16"/>
          <w:szCs w:val="16"/>
        </w:rPr>
        <w:softHyphen/>
        <w:t>тапультой и нес на борту два поплавковых разведчика «Кингфишер».</w:t>
      </w:r>
    </w:p>
    <w:p w14:paraId="2990E92F" w14:textId="77777777" w:rsidR="00552857" w:rsidRPr="00070ADE" w:rsidRDefault="00552857" w:rsidP="00B56F90">
      <w:pPr>
        <w:pStyle w:val="2e"/>
        <w:shd w:val="clear" w:color="auto" w:fill="auto"/>
        <w:spacing w:line="240" w:lineRule="auto"/>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Сравнительные характеристики КОР-2, 05211-3 «Кингфишер», \Л/а1гиз Мк.1, Сигйзз 5С-1 ЗеаИажк</w:t>
      </w:r>
    </w:p>
    <w:tbl>
      <w:tblPr>
        <w:tblW w:w="0" w:type="auto"/>
        <w:tblInd w:w="-18" w:type="dxa"/>
        <w:tblLayout w:type="fixed"/>
        <w:tblCellMar>
          <w:left w:w="10" w:type="dxa"/>
          <w:right w:w="10" w:type="dxa"/>
        </w:tblCellMar>
        <w:tblLook w:val="0000" w:firstRow="0" w:lastRow="0" w:firstColumn="0" w:lastColumn="0" w:noHBand="0" w:noVBand="0"/>
      </w:tblPr>
      <w:tblGrid>
        <w:gridCol w:w="3690"/>
        <w:gridCol w:w="1483"/>
        <w:gridCol w:w="1480"/>
        <w:gridCol w:w="1480"/>
        <w:gridCol w:w="1490"/>
      </w:tblGrid>
      <w:tr w:rsidR="004D4663" w:rsidRPr="00070ADE" w14:paraId="72CE6162" w14:textId="77777777" w:rsidTr="004703C2">
        <w:trPr>
          <w:trHeight w:val="259"/>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374E6CEB" w14:textId="77777777" w:rsidR="00552857" w:rsidRPr="00070ADE" w:rsidRDefault="00552857" w:rsidP="00B56F90">
            <w:pPr>
              <w:spacing w:after="0" w:line="240" w:lineRule="auto"/>
              <w:jc w:val="both"/>
              <w:rPr>
                <w:rFonts w:ascii="Times New Roman" w:hAnsi="Times New Roman"/>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6B539BA"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КОР-2</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017483EB"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05211-3</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6DF57EB3"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\Уа1гш Мк.1.</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7E0A78EF"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5С-1 5еаЬа\ук</w:t>
            </w:r>
          </w:p>
        </w:tc>
      </w:tr>
      <w:tr w:rsidR="004D4663" w:rsidRPr="00070ADE" w14:paraId="72493E8B" w14:textId="77777777" w:rsidTr="004703C2">
        <w:trPr>
          <w:trHeight w:val="245"/>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727AD07A"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6C9CDD77"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М-62</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58E915E4"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К-985\Уа5р.1ипюг</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00F9A8D1"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Вп5(о1 Ре^азизУ!</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04CE1D5D"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РЦ К-1820-62</w:t>
            </w:r>
          </w:p>
        </w:tc>
      </w:tr>
      <w:tr w:rsidR="004D4663" w:rsidRPr="00070ADE" w14:paraId="05AE3DF1" w14:textId="77777777" w:rsidTr="004703C2">
        <w:trPr>
          <w:trHeight w:val="238"/>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7EF143F3"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Мощность (л.с.)</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08C8BFFC"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879E005"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693DF82"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775</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41F240D7"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1350</w:t>
            </w:r>
          </w:p>
        </w:tc>
      </w:tr>
      <w:tr w:rsidR="004D4663" w:rsidRPr="00070ADE" w14:paraId="68833FA3" w14:textId="77777777" w:rsidTr="004703C2">
        <w:trPr>
          <w:trHeight w:val="245"/>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088B051F"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Размах крыла (м)</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8501D13"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12,035</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4783F31"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10,95</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641CF3BF"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13,97</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45BFC206"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12,50</w:t>
            </w:r>
          </w:p>
        </w:tc>
      </w:tr>
      <w:tr w:rsidR="004D4663" w:rsidRPr="00070ADE" w14:paraId="1DBE5828" w14:textId="77777777" w:rsidTr="004703C2">
        <w:trPr>
          <w:trHeight w:val="248"/>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0E2D39CB"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в линии полета (м)</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780ED199"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10,435</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6B8BC4E7"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10,31</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6C0DC887"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11,58</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67D2D18F"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11,09</w:t>
            </w:r>
          </w:p>
        </w:tc>
      </w:tr>
      <w:tr w:rsidR="004D4663" w:rsidRPr="00070ADE" w14:paraId="717E98E0" w14:textId="77777777" w:rsidTr="004703C2">
        <w:trPr>
          <w:trHeight w:val="245"/>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2A48BE04"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Площадь крыла (м</w:t>
            </w:r>
            <w:r w:rsidRPr="00070ADE">
              <w:rPr>
                <w:rFonts w:ascii="Times New Roman" w:hAnsi="Times New Roman"/>
                <w:color w:val="000000" w:themeColor="text1"/>
                <w:sz w:val="16"/>
                <w:szCs w:val="16"/>
                <w:vertAlign w:val="superscript"/>
              </w:rPr>
              <w:t>:</w:t>
            </w:r>
            <w:r w:rsidRPr="00070ADE">
              <w:rPr>
                <w:rFonts w:ascii="Times New Roman" w:hAnsi="Times New Roman"/>
                <w:color w:val="000000" w:themeColor="text1"/>
                <w:sz w:val="16"/>
                <w:szCs w:val="16"/>
              </w:rPr>
              <w:t>)</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43AE5DDE"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25,5</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353F341"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24,34</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6A7C3C8"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56,7</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3D0E87DA"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26,01</w:t>
            </w:r>
          </w:p>
        </w:tc>
      </w:tr>
      <w:tr w:rsidR="004D4663" w:rsidRPr="00070ADE" w14:paraId="5273FB5A" w14:textId="77777777" w:rsidTr="004703C2">
        <w:trPr>
          <w:trHeight w:val="241"/>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20BBABAF"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(кг)</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AB6180A"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2248</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6C50BB5"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1870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205ECA97"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2223</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6F8EC04B"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2867</w:t>
            </w:r>
          </w:p>
        </w:tc>
      </w:tr>
      <w:tr w:rsidR="004D4663" w:rsidRPr="00070ADE" w14:paraId="083DC0D3" w14:textId="77777777" w:rsidTr="004703C2">
        <w:trPr>
          <w:trHeight w:val="245"/>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467E7A25"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 (кг)</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7D20BE18"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3458</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6C29AB0F"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2722</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5944089"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3651</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737C7267"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4082</w:t>
            </w:r>
          </w:p>
        </w:tc>
      </w:tr>
      <w:tr w:rsidR="004D4663" w:rsidRPr="00070ADE" w14:paraId="5A7505A5" w14:textId="77777777" w:rsidTr="004703C2">
        <w:trPr>
          <w:trHeight w:val="245"/>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441B053E"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(км/ч)</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BA4E3E7"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5FC80097"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292</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6CB7B5F"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217</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1748AF2D"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504</w:t>
            </w:r>
          </w:p>
        </w:tc>
      </w:tr>
      <w:tr w:rsidR="004D4663" w:rsidRPr="00070ADE" w14:paraId="04AF328E" w14:textId="77777777" w:rsidTr="004703C2">
        <w:trPr>
          <w:trHeight w:val="241"/>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566682E7"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(м)</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5B8AA57"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7800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086B9DF5"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3960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23976505"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5212</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020B4052"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11 370</w:t>
            </w:r>
          </w:p>
        </w:tc>
      </w:tr>
      <w:tr w:rsidR="004D4663" w:rsidRPr="00070ADE" w14:paraId="67457B15" w14:textId="77777777" w:rsidTr="004703C2">
        <w:trPr>
          <w:trHeight w:val="263"/>
        </w:trPr>
        <w:tc>
          <w:tcPr>
            <w:tcW w:w="3690" w:type="dxa"/>
            <w:tcBorders>
              <w:top w:val="single" w:sz="6" w:space="0" w:color="auto"/>
              <w:left w:val="single" w:sz="6" w:space="0" w:color="auto"/>
              <w:bottom w:val="single" w:sz="6" w:space="0" w:color="auto"/>
              <w:right w:val="single" w:sz="6" w:space="0" w:color="auto"/>
            </w:tcBorders>
            <w:shd w:val="clear" w:color="auto" w:fill="FFFFFF"/>
          </w:tcPr>
          <w:p w14:paraId="50331DDF"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полета (км)</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40DCBE4"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450-750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3053DD38"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1290</w:t>
            </w:r>
          </w:p>
        </w:tc>
        <w:tc>
          <w:tcPr>
            <w:tcW w:w="1480" w:type="dxa"/>
            <w:tcBorders>
              <w:top w:val="single" w:sz="6" w:space="0" w:color="auto"/>
              <w:left w:val="single" w:sz="6" w:space="0" w:color="auto"/>
              <w:bottom w:val="single" w:sz="6" w:space="0" w:color="auto"/>
              <w:right w:val="single" w:sz="6" w:space="0" w:color="auto"/>
            </w:tcBorders>
            <w:shd w:val="clear" w:color="auto" w:fill="FFFFFF"/>
          </w:tcPr>
          <w:p w14:paraId="1C5A7CB2"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966</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14:paraId="566E79DA" w14:textId="77777777" w:rsidR="00552857" w:rsidRPr="00070ADE" w:rsidRDefault="00552857" w:rsidP="00B56F90">
            <w:pPr>
              <w:pStyle w:val="190"/>
              <w:shd w:val="clear" w:color="auto" w:fill="auto"/>
              <w:spacing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1016</w:t>
            </w:r>
          </w:p>
        </w:tc>
      </w:tr>
    </w:tbl>
    <w:p w14:paraId="6F8FBB21"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(12301).</w:t>
      </w:r>
    </w:p>
    <w:p w14:paraId="780ACD68" w14:textId="77777777" w:rsidR="00552857" w:rsidRPr="00070ADE" w:rsidRDefault="00552857" w:rsidP="00B56F90">
      <w:pPr>
        <w:spacing w:after="0" w:line="240" w:lineRule="auto"/>
        <w:jc w:val="both"/>
        <w:rPr>
          <w:rFonts w:ascii="Times New Roman" w:hAnsi="Times New Roman"/>
          <w:color w:val="000000" w:themeColor="text1"/>
          <w:sz w:val="16"/>
          <w:szCs w:val="16"/>
        </w:rPr>
      </w:pPr>
    </w:p>
    <w:p w14:paraId="517708B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E9536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4B7DC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года вышел приказ № 189с НКБ</w:t>
      </w:r>
    </w:p>
    <w:p w14:paraId="74257F6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распоряжением СНК № 8175 рс от 15 апреля 1944 года:</w:t>
      </w:r>
    </w:p>
    <w:p w14:paraId="5D9493A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Начальнику 4 Гл. управления НКБ организовать КБ по гильзам при НИИ-24 НКБ (6014, 21).</w:t>
      </w:r>
    </w:p>
    <w:p w14:paraId="27F0C78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2374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г. с завода № 100 на УЗТМ была отправлена пушка С-34 для монтажа в САУ. 30 апреля 1944 г. был издан приказ НКТП об изго</w:t>
      </w:r>
      <w:r w:rsidRPr="00070ADE">
        <w:rPr>
          <w:rFonts w:ascii="Times New Roman" w:hAnsi="Times New Roman"/>
          <w:color w:val="000000" w:themeColor="text1"/>
          <w:sz w:val="16"/>
          <w:szCs w:val="16"/>
        </w:rPr>
        <w:softHyphen/>
        <w:t>товлении к 8 мая 1944 г. опытного образца самоходной установки с пуш</w:t>
      </w:r>
      <w:r w:rsidRPr="00070ADE">
        <w:rPr>
          <w:rFonts w:ascii="Times New Roman" w:hAnsi="Times New Roman"/>
          <w:color w:val="000000" w:themeColor="text1"/>
          <w:sz w:val="16"/>
          <w:szCs w:val="16"/>
        </w:rPr>
        <w:softHyphen/>
        <w:t>кой С-34 и проведении сравнительных испытаний самоходных устано</w:t>
      </w:r>
      <w:r w:rsidRPr="00070ADE">
        <w:rPr>
          <w:rFonts w:ascii="Times New Roman" w:hAnsi="Times New Roman"/>
          <w:color w:val="000000" w:themeColor="text1"/>
          <w:sz w:val="16"/>
          <w:szCs w:val="16"/>
        </w:rPr>
        <w:softHyphen/>
        <w:t>вок СУ-100, вооруженных 100-мм пушками Д-10С и С-34. Так как кон</w:t>
      </w:r>
      <w:r w:rsidRPr="00070ADE">
        <w:rPr>
          <w:rFonts w:ascii="Times New Roman" w:hAnsi="Times New Roman"/>
          <w:color w:val="000000" w:themeColor="text1"/>
          <w:sz w:val="16"/>
          <w:szCs w:val="16"/>
        </w:rPr>
        <w:softHyphen/>
        <w:t>струкция пушки С-34 не позволяла установить ее в корпус СУ-85 без су</w:t>
      </w:r>
      <w:r w:rsidRPr="00070ADE">
        <w:rPr>
          <w:rFonts w:ascii="Times New Roman" w:hAnsi="Times New Roman"/>
          <w:color w:val="000000" w:themeColor="text1"/>
          <w:sz w:val="16"/>
          <w:szCs w:val="16"/>
        </w:rPr>
        <w:softHyphen/>
        <w:t>щественных изменений последней, то по распоряжению НКВ и ГАУ РККА завод № 9 произвел частичные переделки пушки С-34 ЦАКБ. Эти изменения позволили осуществить ее монтаж в броневую рубку са</w:t>
      </w:r>
      <w:r w:rsidRPr="00070ADE">
        <w:rPr>
          <w:rFonts w:ascii="Times New Roman" w:hAnsi="Times New Roman"/>
          <w:color w:val="000000" w:themeColor="text1"/>
          <w:sz w:val="16"/>
          <w:szCs w:val="16"/>
        </w:rPr>
        <w:softHyphen/>
        <w:t>моходной установки СУ-85. Это были минимальные переделки, при ко</w:t>
      </w:r>
      <w:r w:rsidRPr="00070ADE">
        <w:rPr>
          <w:rFonts w:ascii="Times New Roman" w:hAnsi="Times New Roman"/>
          <w:color w:val="000000" w:themeColor="text1"/>
          <w:sz w:val="16"/>
          <w:szCs w:val="16"/>
        </w:rPr>
        <w:softHyphen/>
        <w:t>торых могла быть выполнена установка пушки с меньшими дефектами, чем без переделок. Полное устранение дефектов по существу приводило к изготовлению артиллерийского орудия, аналогичного орудию, специ</w:t>
      </w:r>
      <w:r w:rsidRPr="00070ADE">
        <w:rPr>
          <w:rFonts w:ascii="Times New Roman" w:hAnsi="Times New Roman"/>
          <w:color w:val="000000" w:themeColor="text1"/>
          <w:sz w:val="16"/>
          <w:szCs w:val="16"/>
        </w:rPr>
        <w:softHyphen/>
        <w:t>ально сконструированному заводом № 9 для этой самоходной установ</w:t>
      </w:r>
      <w:r w:rsidRPr="00070ADE">
        <w:rPr>
          <w:rFonts w:ascii="Times New Roman" w:hAnsi="Times New Roman"/>
          <w:color w:val="000000" w:themeColor="text1"/>
          <w:sz w:val="16"/>
          <w:szCs w:val="16"/>
        </w:rPr>
        <w:softHyphen/>
        <w:t>ки — пушке Д-10С. Новая САУ получила заводской индекс СУ-100-2 (10703).</w:t>
      </w:r>
    </w:p>
    <w:p w14:paraId="7A442E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C016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на заводе № 100 пушка С-34 была демонтирована с танка ИС-5 (Объ</w:t>
      </w:r>
      <w:r w:rsidRPr="00070ADE">
        <w:rPr>
          <w:rFonts w:ascii="Times New Roman" w:hAnsi="Times New Roman"/>
          <w:color w:val="000000" w:themeColor="text1"/>
          <w:sz w:val="16"/>
          <w:szCs w:val="16"/>
        </w:rPr>
        <w:softHyphen/>
        <w:t>ект 248) и передана на Уралмашзавод для установки в СУ-85. Но установить указанную пушку в самоход не представля</w:t>
      </w:r>
      <w:r w:rsidRPr="00070ADE">
        <w:rPr>
          <w:rFonts w:ascii="Times New Roman" w:hAnsi="Times New Roman"/>
          <w:color w:val="000000" w:themeColor="text1"/>
          <w:sz w:val="16"/>
          <w:szCs w:val="16"/>
        </w:rPr>
        <w:softHyphen/>
        <w:t>лось возможным, о чем спустя два дня был извещен нарком танковой промышленности. Но 30 апреля совместным при</w:t>
      </w:r>
      <w:r w:rsidRPr="00070ADE">
        <w:rPr>
          <w:rFonts w:ascii="Times New Roman" w:hAnsi="Times New Roman"/>
          <w:color w:val="000000" w:themeColor="text1"/>
          <w:sz w:val="16"/>
          <w:szCs w:val="16"/>
        </w:rPr>
        <w:softHyphen/>
        <w:t>казом НКТП, НКВ, начальника ГАУ и командующего Бро</w:t>
      </w:r>
      <w:r w:rsidRPr="00070ADE">
        <w:rPr>
          <w:rFonts w:ascii="Times New Roman" w:hAnsi="Times New Roman"/>
          <w:color w:val="000000" w:themeColor="text1"/>
          <w:sz w:val="16"/>
          <w:szCs w:val="16"/>
        </w:rPr>
        <w:softHyphen/>
        <w:t>нетанковыми войсками Красной Армии завод обязывался изготовить опытный образец СУ-85 со 100-мм пушкой С-34 и к 10 мая закончить его заводские испытания и отгрузить на Гороховецкий полигон. Но пушка требовала проведения до</w:t>
      </w:r>
      <w:r w:rsidRPr="00070ADE">
        <w:rPr>
          <w:rFonts w:ascii="Times New Roman" w:hAnsi="Times New Roman"/>
          <w:color w:val="000000" w:themeColor="text1"/>
          <w:sz w:val="16"/>
          <w:szCs w:val="16"/>
        </w:rPr>
        <w:softHyphen/>
        <w:t>работок на артиллерийском заводе, которые были санкционированы только 5 мая. Наконец, завод № 9 провел доработ</w:t>
      </w:r>
      <w:r w:rsidRPr="00070ADE">
        <w:rPr>
          <w:rFonts w:ascii="Times New Roman" w:hAnsi="Times New Roman"/>
          <w:color w:val="000000" w:themeColor="text1"/>
          <w:sz w:val="16"/>
          <w:szCs w:val="16"/>
        </w:rPr>
        <w:softHyphen/>
        <w:t>ку артсистемы, которая заключалась в следующем:</w:t>
      </w:r>
    </w:p>
    <w:p w14:paraId="783813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Ширина люльки уменьшена на 160 мм.</w:t>
      </w:r>
    </w:p>
    <w:p w14:paraId="1A543C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Изготовлены новые вставные цапфы.</w:t>
      </w:r>
    </w:p>
    <w:p w14:paraId="2C949C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Удален прилив под пулемет.</w:t>
      </w:r>
    </w:p>
    <w:p w14:paraId="5C3C30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Изготовлена новая рамка (вместо рамки СУ-85), пово</w:t>
      </w:r>
      <w:r w:rsidRPr="00070ADE">
        <w:rPr>
          <w:rFonts w:ascii="Times New Roman" w:hAnsi="Times New Roman"/>
          <w:color w:val="000000" w:themeColor="text1"/>
          <w:sz w:val="16"/>
          <w:szCs w:val="16"/>
        </w:rPr>
        <w:softHyphen/>
        <w:t>ротный механизм и крепление по-походному по типу Д-10С (орудие С-34 крепления по-походному не имело).</w:t>
      </w:r>
    </w:p>
    <w:p w14:paraId="0C1012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Изготовлен новый привод к прицелу (панораме), так как пушка имелатолько телескопический прицел. Машина получила индекс СУ-100-2 и была подана на Гороховецкий полигон. Тем временем туда же прибыл эта</w:t>
      </w:r>
      <w:r w:rsidRPr="00070ADE">
        <w:rPr>
          <w:rFonts w:ascii="Times New Roman" w:hAnsi="Times New Roman"/>
          <w:color w:val="000000" w:themeColor="text1"/>
          <w:sz w:val="16"/>
          <w:szCs w:val="16"/>
        </w:rPr>
        <w:softHyphen/>
        <w:t>лонный образец СУ-100 с орудием Д-10С, и конкуренты могли испытываться практически параллельно.</w:t>
      </w:r>
    </w:p>
    <w:p w14:paraId="5F99D3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Нетрудно догадаться, что указанные испытания, прове</w:t>
      </w:r>
      <w:r w:rsidRPr="00070ADE">
        <w:rPr>
          <w:rFonts w:ascii="Times New Roman" w:hAnsi="Times New Roman"/>
          <w:color w:val="000000" w:themeColor="text1"/>
          <w:sz w:val="16"/>
          <w:szCs w:val="16"/>
        </w:rPr>
        <w:softHyphen/>
        <w:t>денные в июне—июле 1944 г., завершились в пользу СУ-100 с пушкой Д-ЮС, которая постановлением ГКО № 6131 от 3 июля была принята на вооружение взамен СУ-85.</w:t>
      </w:r>
    </w:p>
    <w:p w14:paraId="2B55DD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принятие на вооружение СУ-100 вовсе не означа</w:t>
      </w:r>
      <w:r w:rsidRPr="00070ADE">
        <w:rPr>
          <w:rFonts w:ascii="Times New Roman" w:hAnsi="Times New Roman"/>
          <w:color w:val="000000" w:themeColor="text1"/>
          <w:sz w:val="16"/>
          <w:szCs w:val="16"/>
        </w:rPr>
        <w:softHyphen/>
        <w:t>ло, что они тут же широким потоком хлынут на фронт. Ведь бронебойный снаряд и выстрел с ним к июлю еще не были отработаны в серии, и их освоение промышленнос</w:t>
      </w:r>
      <w:r w:rsidRPr="00070ADE">
        <w:rPr>
          <w:rFonts w:ascii="Times New Roman" w:hAnsi="Times New Roman"/>
          <w:color w:val="000000" w:themeColor="text1"/>
          <w:sz w:val="16"/>
          <w:szCs w:val="16"/>
        </w:rPr>
        <w:softHyphen/>
        <w:t>тью ожидалось лишь в IV квартале. А фронт не ждал.</w:t>
      </w:r>
    </w:p>
    <w:p w14:paraId="181BAB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Чтобы в кратчайшее время дать фронту мощную про</w:t>
      </w:r>
      <w:r w:rsidRPr="00070ADE">
        <w:rPr>
          <w:rFonts w:ascii="Times New Roman" w:hAnsi="Times New Roman"/>
          <w:color w:val="000000" w:themeColor="text1"/>
          <w:sz w:val="16"/>
          <w:szCs w:val="16"/>
        </w:rPr>
        <w:softHyphen/>
        <w:t>тивотанковую САУ, КБ Уралмашзавода под руководством Л.И. Горлицкого решило идти по пути, уже опробованно</w:t>
      </w:r>
      <w:r w:rsidRPr="00070ADE">
        <w:rPr>
          <w:rFonts w:ascii="Times New Roman" w:hAnsi="Times New Roman"/>
          <w:color w:val="000000" w:themeColor="text1"/>
          <w:sz w:val="16"/>
          <w:szCs w:val="16"/>
        </w:rPr>
        <w:softHyphen/>
        <w:t>му ЧКЗ и опытным заводом № 100, предложив в конце июля 1944 г. вооружить СУ-100 122-мм самоходной пуш</w:t>
      </w:r>
      <w:r w:rsidRPr="00070ADE">
        <w:rPr>
          <w:rFonts w:ascii="Times New Roman" w:hAnsi="Times New Roman"/>
          <w:color w:val="000000" w:themeColor="text1"/>
          <w:sz w:val="16"/>
          <w:szCs w:val="16"/>
        </w:rPr>
        <w:softHyphen/>
        <w:t>кой Д-25С, разработка которой была завершена на заводе № 9 НКВ и которая по установочным местам соответство</w:t>
      </w:r>
      <w:r w:rsidRPr="00070ADE">
        <w:rPr>
          <w:rFonts w:ascii="Times New Roman" w:hAnsi="Times New Roman"/>
          <w:color w:val="000000" w:themeColor="text1"/>
          <w:sz w:val="16"/>
          <w:szCs w:val="16"/>
        </w:rPr>
        <w:softHyphen/>
        <w:t>вала как 100-мм пушке Д-10С, так и 85-мм пушке Д-5С. Единственным отличием интерьера нового самохода, по</w:t>
      </w:r>
      <w:r w:rsidRPr="00070ADE">
        <w:rPr>
          <w:rFonts w:ascii="Times New Roman" w:hAnsi="Times New Roman"/>
          <w:color w:val="000000" w:themeColor="text1"/>
          <w:sz w:val="16"/>
          <w:szCs w:val="16"/>
        </w:rPr>
        <w:softHyphen/>
        <w:t>лучившего индекс СУ-122П, было крепление боекомп</w:t>
      </w:r>
      <w:r w:rsidRPr="00070ADE">
        <w:rPr>
          <w:rFonts w:ascii="Times New Roman" w:hAnsi="Times New Roman"/>
          <w:color w:val="000000" w:themeColor="text1"/>
          <w:sz w:val="16"/>
          <w:szCs w:val="16"/>
        </w:rPr>
        <w:softHyphen/>
        <w:t>лекта. Потому проектные работы были завершены в ко</w:t>
      </w:r>
      <w:r w:rsidRPr="00070ADE">
        <w:rPr>
          <w:rFonts w:ascii="Times New Roman" w:hAnsi="Times New Roman"/>
          <w:color w:val="000000" w:themeColor="text1"/>
          <w:sz w:val="16"/>
          <w:szCs w:val="16"/>
        </w:rPr>
        <w:softHyphen/>
        <w:t>роткий срок. Данные по бронепробиванию 122-мм пушки Д-25С были практически идентичны Д-10С (таблично Д-25 проигрывала в бронепробиваемости Д-10 в среднем 4—5 мм), а осколочно-фугасное действие превышало поч</w:t>
      </w:r>
      <w:r w:rsidRPr="00070ADE">
        <w:rPr>
          <w:rFonts w:ascii="Times New Roman" w:hAnsi="Times New Roman"/>
          <w:color w:val="000000" w:themeColor="text1"/>
          <w:sz w:val="16"/>
          <w:szCs w:val="16"/>
        </w:rPr>
        <w:softHyphen/>
        <w:t>ти вдвое. По массе, подвижности и проходимости СУ-12211 практически не отличалась от СУ-100, и лишь малая скорострельность портила впечатление о машине (11417).</w:t>
      </w:r>
    </w:p>
    <w:p w14:paraId="787E34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60B0F0"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г. Постановление ГКО СССР 1В 5690 «Об усилении бронирования башни Т—34—85»</w:t>
      </w:r>
    </w:p>
    <w:p w14:paraId="3870AD3F"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РГАСПИ. Ф. 644. Оп. 2. Д. 320. Л. 109. Подлинник. Машинописный текст. Подписи — автографы И.В. Сталина, Л.П. Берии, В.А. Малышева и Я.Я. Федоренко.</w:t>
      </w:r>
    </w:p>
    <w:p w14:paraId="55B31D5B"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Москва, Кремль</w:t>
      </w:r>
    </w:p>
    <w:p w14:paraId="537A133C"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увеличения бронестойкости башни танка Т—34—85 Государственный Комитет Обороны ПОСТАНОВЛЯЕТ:</w:t>
      </w:r>
    </w:p>
    <w:p w14:paraId="0D40C336"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Обязать Наркомтанкопром (т. Малышева) выпускать танки Т—34—85 с увеличенной до 90-75 мм толщиной лобовых и боковых стенок башни:</w:t>
      </w:r>
    </w:p>
    <w:p w14:paraId="088D9D00"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 заводе № 183 с I апреля 1944 г.</w:t>
      </w:r>
    </w:p>
    <w:p w14:paraId="3BCCCD2F"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 заводе № 112 с I июля 1944 г.</w:t>
      </w:r>
    </w:p>
    <w:p w14:paraId="3AE86927"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 заводе № 174 с I октября 1944 г.</w:t>
      </w:r>
    </w:p>
    <w:p w14:paraId="0116D849"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Обязать ГУГМР при Совнаркоме СССР (т. Данченко) разбронировать и выдать Наркомтанкопрому до 25 апреля 1944 г. никеля 100 тонн.</w:t>
      </w:r>
    </w:p>
    <w:p w14:paraId="64741733"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Госплану СССР предусмотреть в III квартале 1944 года возмещение ГУГМР указанного количества никеля</w:t>
      </w:r>
    </w:p>
    <w:p w14:paraId="54AADF96"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Государственного Комитета Обороны И. Сталин</w:t>
      </w:r>
    </w:p>
    <w:p w14:paraId="3A505D8D"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Подписи об ознакомлении: Л. Берия, Малышев, Федоренко.</w:t>
      </w:r>
    </w:p>
    <w:p w14:paraId="3821BED1"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[Выписки]: Срочно. Молотову, Берия, Малышеву, Федоренко, Вознесенскому, Чадаеву — все, Данченко – 2 (23997).</w:t>
      </w:r>
    </w:p>
    <w:p w14:paraId="01A2348B" w14:textId="77777777" w:rsidR="00351460" w:rsidRPr="00070ADE" w:rsidRDefault="00351460" w:rsidP="00B56F90">
      <w:pPr>
        <w:spacing w:after="0" w:line="240" w:lineRule="auto"/>
        <w:jc w:val="both"/>
        <w:rPr>
          <w:rFonts w:ascii="Times New Roman" w:hAnsi="Times New Roman"/>
          <w:color w:val="000000" w:themeColor="text1"/>
          <w:sz w:val="16"/>
          <w:szCs w:val="16"/>
        </w:rPr>
      </w:pPr>
    </w:p>
    <w:p w14:paraId="1CBE0682"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г. из ПРОЕКТА ПОСТАНОВЛЕНИЯ СНК СССР «О ПРОИЗВОДСТВЕ ЗАПАСНЫХ ЧАСТЕЙ К ТРАКТОРАМ, АВТОМАШИНАМ, СЕЛЬХОЗМАШИНАМ НА ПРЕДПРИЯТИЯХ СОЮЗНОЙ И МЕСТНОЙ ПРОМЫШЛЕННОСТИ НОВОСИБИРСКОЙ ОБЛАСТИ»</w:t>
      </w:r>
    </w:p>
    <w:p w14:paraId="410C5A01"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Совнарком СССР отмечает, что большинство предприятий Новосибирской области успешно справились с заданием по изготовлению запасных частей к тракторам и сельскохозяйственным машинам. В первом квартале 1944 года освоено и сдано в МТС и совхозы много новых деталей, в том числе особо сложные и дефицитные, как коленчатый вал, головки блока, шестерни коробки передач, цилиндр ЧТЗ, звенья гусениц, цепи Эварта и другие, тем самым созданы необходимые условия для доброкачественной подготовки тракторного парка и сельхозмашин к весенне-полевым работам.</w:t>
      </w:r>
    </w:p>
    <w:p w14:paraId="11E5BBB9"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дальнейшего улучшения снабжения МТС и совхозов запасными частями к тракторам, автомашинам и сельхозмашинам Совнарком СССР ПОСТАНОВЛЯЕТ:</w:t>
      </w:r>
    </w:p>
    <w:p w14:paraId="355F5624"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Утвердить представленный Новосибирским обкомом ВКП(б) и облисполкомом план производства запасных частей к тракторам, автомашинам и сельхозмашинам на предприятиях союзной и местной промышленности Новосибирской области на второй квартал 1944 года в сумме 4 769 тысяч рублей с размещением заданий по предприятиям, согласно приложению № 1.</w:t>
      </w:r>
    </w:p>
    <w:p w14:paraId="257863D1"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Обязать народного комиссара авиационной промышленности тов. ШАХУРИНА и директоров заводов: № 153 т. Лисицына — изготовить запасных частей во втором квартале 1944 года на сумму 208,2 тысячи рублей; № 296 т. Бермана - изготовить запасных частей в тот же срок на сумму 70,6 тысячи рублей; 7-й строительный трест — т. Капустина — изготовить запасных частей во втором квартале 1944 года на сумму 29,6 тысячи рублей.</w:t>
      </w:r>
    </w:p>
    <w:p w14:paraId="169A205F"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Народного комиссара цветной металлургии т. Ломако и директора завода «Труд» т. Гришина - за тот же срок изготовить запасных частей на сумму 148,1 тысячи рублей.</w:t>
      </w:r>
    </w:p>
    <w:p w14:paraId="31D88F04"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Народного комиссара боеприпасов т. Ванникова и директоров заводов: комбината № 179 т. Саханицкого — изготовить во втором квартале 1944 года запасных частей к тракторам на сумму 283,9 тысячи рублей; № 65 т. Шнейдера — изготовить в тот же срок запасных частей на сумму 14,6 тысячи рублей; № 635 т. Тименджиева -изготовить в тот же срок запасных частей на сумму 5,0 тысячи рублей; № 386 т. Барского - изготовить во втором квартале запасных частей на сумму 5,5 тысячи рублей; «Большевик» тов. Часницкого-изготовить в тот же срок запчастей на сумму 48,0 тысячи рублей; № 325 т. Лукашина - изготовить во втором квартале запчастей на сумму 22,2 тыс. рублей; № 556 т. Домрачева - изготовить запчастей во втором квартале на сумму 69,0 тысячи рублей; № 564 т. Радионова—в тот же срок изготовить запчастей на сумму 41,4 тысячи рублей; № 677 т. Брука — в тот же срок изготовить запчастей на сумму 123,3 тысячи рублей.</w:t>
      </w:r>
    </w:p>
    <w:p w14:paraId="5BF35043"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Народного комиссара строительства т. Гинзбурга и директора завода № 10 т. Алексеева - изготовить запасные части во втором квартале на сумму 17,2 тысячи рублей; управляющего ДСМЧ Южэлектромон-таж т. Лунева — изготовить заправочного инвентаря во втором квартале на сумму 750 рублей.</w:t>
      </w:r>
    </w:p>
    <w:p w14:paraId="205B02F1"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Народного комиссара вооружения т. Устинова и директоров заводов: № 69 т. КОТЛЯРА — произвести запасных частей во втором квартале 1944 года на сумму 164,7 тыс. рублей; № 188 т. БЕЛЯНСКОГО - в тот же срок изготовить запасные части на сумму 102,8 тыс. рублей; № 350 т. СТУПЕЛЬМАНА - в тот же срок изготовить запасные части на сумму 72,1 тыс. рублей.</w:t>
      </w:r>
    </w:p>
    <w:p w14:paraId="5E8CA0E7"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Народного Комиссара Станкостроения т. ЕФРЕМОВА и директоров заводов: № 230 т. СЛИОЗБЕРДА - произвести запасных частей во втором квартале на сумму 24,2 тыс. рублей; имени Воскова т. ГОМАН(А) - изготовить инструмента и запчастей к тракторам и автомашинам во втором квартале на сумму 140,5 тыс. рублей ... завод «Тяжгидропресс» - т. ПОЛЯКОВА - в тот же срок изготовить запасные части на сумму 59,8 тыс. рублей.</w:t>
      </w:r>
    </w:p>
    <w:p w14:paraId="5405B773" w14:textId="77777777" w:rsidR="00137373" w:rsidRPr="00070ADE" w:rsidRDefault="001373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Народного комиссара электропромышленности тов. КАБАНОВА и директоров заводов: № 208 тов. ГУДАНИСА - изготовить во втором квартале запасных частей на сумму 20,4 тыс. рублей ... № 590 тов. ГРИГОРЬЕВА - изготовить запчасти во втором квартале на сумму 70,4 тыс. рублей; № 617 тов. ЖУКА - в тот же срок изготовить запасные части на сумму 20,4 тыс. рублей; № 644 тов. ЭСТРИНА — изготовить запасные части во втором квартале на сумму 84,7 тыс. рублей (12194).</w:t>
      </w:r>
    </w:p>
    <w:p w14:paraId="7A5BA871" w14:textId="77777777" w:rsidR="00137373" w:rsidRPr="00070ADE" w:rsidRDefault="00137373" w:rsidP="00B56F90">
      <w:pPr>
        <w:spacing w:after="0" w:line="240" w:lineRule="auto"/>
        <w:jc w:val="both"/>
        <w:rPr>
          <w:rFonts w:ascii="Times New Roman" w:hAnsi="Times New Roman"/>
          <w:color w:val="000000" w:themeColor="text1"/>
          <w:sz w:val="16"/>
          <w:szCs w:val="16"/>
        </w:rPr>
      </w:pPr>
    </w:p>
    <w:p w14:paraId="2959E5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вышло Постановление ГКО № 5687 О плане ремонта и производства военно-технического имущества на предприятиях Наркомата обороны СССР во II квартале 1944 г. РГАНИР, Фонд ГКО, д. 241, лл. 49-52,53-102 (11012).</w:t>
      </w:r>
    </w:p>
    <w:p w14:paraId="78D7482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5F81F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вышло Распоряжение ГКО № 5688. О мерах по предотвращению срыва работ на важнейших стройках тяжелой и оборонной промышленности, осуществляемых НКстроем. РГАНИР, Фонд ГКО, д. 241, лл. 103-104,105-107 (11012).</w:t>
      </w:r>
    </w:p>
    <w:p w14:paraId="4AD079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AC5BB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вышло Постановление ГКО № 5689 О недостатках в работе командования 2-го Прибалтийского фронта. РГАНИР, Фонд ГКО, д. 241, лл. 108-110,111 (11012).</w:t>
      </w:r>
    </w:p>
    <w:p w14:paraId="4EB0EC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46BA4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вышло Постановление ГКО № 5690 Об усилении бронирования башни Т-34-85. РГАНИР, Фонд ГКО, д. 241, лл. 112 (11012).</w:t>
      </w:r>
    </w:p>
    <w:p w14:paraId="60877A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8711E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вышло Распоряжение ГКО № 5691. О мобилизации 700 чел. на торфопредприятия НКПП СССР в Белоруссии. РГАНИР, Фонд ГКО, д. 241, лл. 113 (11012).</w:t>
      </w:r>
    </w:p>
    <w:p w14:paraId="369FE8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FB331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вышло Постановление ГКО № 5692 Об установке кислородных колонок на заводе № 200 НКТП. РГАНИР, Фонд ГКО, д. 241, лл. 114 (11012).</w:t>
      </w:r>
    </w:p>
    <w:p w14:paraId="086EAA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5AE5183" w14:textId="77777777" w:rsidR="00A02E4F" w:rsidRPr="00C94B78" w:rsidRDefault="00A02E4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20 апреля 1944 года в Мурманске состоялась передача ВМФ СССР американского крейсера «Милуоки», криррый сопровождал в СССР конвой JW-58. Он был передан вместо итальянского крейсера «Duca d’Aosta». Корабль переименовали в «Мурманск». Американский экипаж на кораблях обратного конвоя вернулся в Америку. Крейсер был построен в г. Такома, в Соединенных Штатах и спущен на воду 29 июня 1922 года, а через год вошел в состав американского флота.</w:t>
      </w:r>
    </w:p>
    <w:p w14:paraId="5B79B8B3" w14:textId="77777777" w:rsidR="00A02E4F" w:rsidRPr="00C94B78" w:rsidRDefault="00A02E4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Стоит отметить, что из всех кораблей, полученных от союзников согласно договору, «Милуоки» стал единственным кораблем, переданным согласно букве договора, то есть, в советском порту.</w:t>
      </w:r>
    </w:p>
    <w:p w14:paraId="67AF8803" w14:textId="77777777" w:rsidR="00A02E4F" w:rsidRPr="00C94B78" w:rsidRDefault="00A02E4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лету крейсер был полностью освоен советской командой и начал осуществлять совместные плавания с другими кораблями флота (25418).</w:t>
      </w:r>
    </w:p>
    <w:p w14:paraId="5401C4E3" w14:textId="77777777" w:rsidR="00A02E4F" w:rsidRPr="00C94B78" w:rsidRDefault="00A02E4F" w:rsidP="00B56F90">
      <w:pPr>
        <w:spacing w:after="0" w:line="240" w:lineRule="auto"/>
        <w:jc w:val="both"/>
        <w:rPr>
          <w:rFonts w:ascii="Times New Roman" w:hAnsi="Times New Roman"/>
          <w:color w:val="0070C0"/>
          <w:sz w:val="16"/>
          <w:szCs w:val="16"/>
        </w:rPr>
      </w:pPr>
    </w:p>
    <w:p w14:paraId="18A2031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A5CC9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BCEF4E"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в 1944 году оперативная сводка Совинформбюро:</w:t>
      </w:r>
    </w:p>
    <w:p w14:paraId="0F3576BB"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20 апреля на плацдарме юго-западнее города Нарва наши войска успешно отбили атаки крупных сил пехоты и танков противника. В боях уничтожено до 2.000 немецких солдат и офицеров.</w:t>
      </w:r>
    </w:p>
    <w:p w14:paraId="11188CEC"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Тарнополь наши войска вели наступательные бои местного значения, в ходе которых выбили противника из нескольких населённых пунктов и значительно улучшили свои позиции.</w:t>
      </w:r>
    </w:p>
    <w:p w14:paraId="75E2FAEB"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востоку и югу от города Станислав наши войска отбивали атаки крупных сил пехоты и танков противника.</w:t>
      </w:r>
    </w:p>
    <w:p w14:paraId="1FC10AA0"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поиски разведчиков.</w:t>
      </w:r>
    </w:p>
    <w:p w14:paraId="4BC15C57"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19 апреля наши войска на всех фронтах подбили и уничтожили 29 немецких танков. В воздушных боях и огнём зенитной артиллерии сбито 65 самолётов противника.».</w:t>
      </w:r>
    </w:p>
    <w:p w14:paraId="540042A1"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Налёт нашей авиации на железнодорожные узлы Резекне, Гулбене и сланцеперегоночный завод на станции Кивиыли.</w:t>
      </w:r>
    </w:p>
    <w:p w14:paraId="29091034"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20 апреля наша авиация дальнего действия произвела налёт на железнодорожный узел Резекне и железнодорожный узел Гулбене (Латвийская ССР) и подвергла бомбардировке скопления воинских эшелонов противника. В результате бомбардировки возникло много пожаров, сопровождавшихся сильными взрывами.</w:t>
      </w:r>
    </w:p>
    <w:p w14:paraId="5BBF5C14"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ту же ночь наши самолёты бомбардировали сланцеперегоночный завод на железнодорожной станции Кивиыли (Эстонская ССР). Возникло пять больших очагов пожара, которые охватили почти всю территорию завода.</w:t>
      </w:r>
    </w:p>
    <w:p w14:paraId="573C4627"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наши самолётывернулись на свои аэродромы.».</w:t>
      </w:r>
    </w:p>
    <w:p w14:paraId="3E5C2CAC"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Удары авиации Черноморского флота по кораблям противника.</w:t>
      </w:r>
    </w:p>
    <w:p w14:paraId="712A888A"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Черноморского флота наносит непрерывные удары по кораблям противника на коммуникациях между Севастополем и портами Румынии.</w:t>
      </w:r>
    </w:p>
    <w:p w14:paraId="07C50FF8"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18 апреля советские бомбардировщики и торпедоносцы атаковали два каравана судов противникаи потопили транспорт водоизмещением в 3.000 тонн и транспорт водоизмещением в 2.000 тонн.</w:t>
      </w:r>
    </w:p>
    <w:p w14:paraId="2E025E0F"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Днём 18 апреля наши лётчики обнаружили в море и атаковали ещё два каравана вражеских судов. Из состава одного каравана потоплен транспорт водоизмещением в 5.000 тонн. По другому каравану судов противника советские лётчики нанесли четыре следовавших один за другим удара. В результате прямого попадания бомбы загорелся и лишился хода транспорт водоизмещением в 5.000 тонн. Последующими ударами этот транспорт был потоплен. Потоплен также один миноносец, нанесены серьёзные повреждения трём транспортам и другим мелким судам противника.».</w:t>
      </w:r>
    </w:p>
    <w:p w14:paraId="2BDF2B6F"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«Юго-западнее города Нарва немцы атаковали наши войска, занимающие плацдарм назападном берегу реки Нарва. Атакам предшествовала сильная артиллерийская подготовка. Полтора часа десятки артиллерийских батарей противника вели обстрел советских позиций. Затем крупные силы немецкой пехоты при поддержке танков </w:t>
      </w:r>
      <w:r w:rsidRPr="00070ADE">
        <w:rPr>
          <w:rFonts w:ascii="Times New Roman" w:hAnsi="Times New Roman"/>
          <w:color w:val="000000" w:themeColor="text1"/>
          <w:sz w:val="16"/>
          <w:szCs w:val="16"/>
        </w:rPr>
        <w:lastRenderedPageBreak/>
        <w:t>и самоходных орудий двинулись в атаку. Гитлеровцы, по-видимому, рассчитывали одним ударом смять нашу оборону, но просчитались. Советские бойцы встретили атакующие колонны немцев метким ружейно-пулемётным и артиллерийско-миномётным огнём и вынудили противника отступить. В течение дня наши части на различных участках отбили многочисленные вражеские атаки и прочно удерживают свои позиции. Противник понес тяжёлые потери в живой силе и технике.</w:t>
      </w:r>
    </w:p>
    <w:p w14:paraId="2B920DD4"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зенитчики, отражая атаки немецкой авиации, уничтожили 10 пикирующих бомбардировщиков противника.</w:t>
      </w:r>
    </w:p>
    <w:p w14:paraId="1D2942F4"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истребители под командованием капитана Чубукова, прикрывая наземныевойска, встретили в воздухе группу бомбардировщиков и истребителей противника. Советские лётчики завязали воздушный бой и сбили 8 немецких самолётов.</w:t>
      </w:r>
    </w:p>
    <w:p w14:paraId="52FA4250"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Тарнополь части Н-ского соединения выбили противника из нескольких населённых пунктов. Наши бойцы захватили 15 орудий, 82 пулемёта, 800 винтовок и автоматов, много снарядов и патронов. Взяты пленные. В ходе боя уничтожено свыше батальона немецкой пехоты.</w:t>
      </w:r>
    </w:p>
    <w:p w14:paraId="65CECF53"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Восточнее и южнее города Станислав наши войска отбивали атаки крупных сил противника. Танки и пехота немцев с двух направлений непрерывно наседали на нашипозиции. В течение всего дня шли ожесточённые бои. Советские пехотинцы, танкисты и артиллеристы отбрасывали гитлеровцев, производя опустошение в их рядах. Только на одном участке бойцы Н-ской части истребили до 1.500 немецких солдат и офицеров, сожгли и подбили 10 танков и самоходных орудий. В другом районе батальон гитлеровцев, прорвавшийся в расположение наших войск, окружён и полностью уничтожен.</w:t>
      </w:r>
    </w:p>
    <w:p w14:paraId="49F4A24E"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Группа лётчиков-штурмовиков под командованием гвардии майора Михайленко атаковала железнодорожную станцию, на которой находились два эшелона с немецкими войсками, много вагонов и большие штабели боеприпасов. Зайдя со стороны солнца, наши лётчики внезапно для противника вышли к цели. Немцы, застигнутые врасплох, не успели открыть зенитного огня. В результате бомбометания и пушечно-пулемётного обстрела загорелось много вагонов и начали взрываться штабели боеприпасов. Вскоре вся железнодорожная станция была объята огнём. Наши самолёты без потерь вернулись на свой аэродром.</w:t>
      </w:r>
    </w:p>
    <w:p w14:paraId="49036D8A"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украинских партизанских отрядов, действующих в Львовской области, за три дня пустили под откос 7 немецких воинских эшелонов и разрушили 600 метровжелезнодорожного пути. Восстановительные команды противника извлекли из-под обломков вагонов свыше 200 трупов гитлеровцев.</w:t>
      </w:r>
    </w:p>
    <w:p w14:paraId="238E33DB"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публикуется акт о зверствах немецко-фашистских мерзавцев в деревне Подлесцы, Каменец-Подольской области. «За время немецкой оккупации жители деревни подвергались гонениям и неслыханным издевательствам. Гитлеровцы не оставили в покое ни одной семьи, ни одного человека. Они разрушили все жилые и хозяйственные постройки, всё разбили и разорили. Перед отступлением немцы угнали жителей села на станцию Четырбоки для отправки на каторгу в Германию. На сборы давалось лишь 15-20 минут. При обходе домов гитлеровцы расстреливали больных колхозников и стариков. На станцию немцы привели под конвоем много тысяч советских граждан из всей округи и загнали их в вагоны. Когда советские войска стали приближаться к станции, немцы учинили над мирными жителями чудовищную расправу. Два эшелона с советскими людьми гитлеровцы пустили под откос, а два железнодорожных состава облили бензином и подожгли. Остальные эшелоны немцам уничтожить не удалось. Бойцы Красной Армии захватили 90 вагонов, набитых до отказа советскими гражданами. Тысячи колхозников получили свободу и вернулись в родные сёла».</w:t>
      </w:r>
    </w:p>
    <w:p w14:paraId="2168218A"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учителя: Андрей Сташенин, Мефодий Зюбатюк, Анна Козачук и Григорий Тихолюк.» (15105).</w:t>
      </w:r>
    </w:p>
    <w:p w14:paraId="32DB81D3" w14:textId="77777777" w:rsidR="000F02F6" w:rsidRPr="00070ADE" w:rsidRDefault="000F02F6" w:rsidP="00B56F90">
      <w:pPr>
        <w:spacing w:after="0" w:line="240" w:lineRule="auto"/>
        <w:jc w:val="both"/>
        <w:rPr>
          <w:rFonts w:ascii="Times New Roman" w:hAnsi="Times New Roman"/>
          <w:color w:val="000000" w:themeColor="text1"/>
          <w:sz w:val="16"/>
          <w:szCs w:val="16"/>
        </w:rPr>
      </w:pPr>
    </w:p>
    <w:p w14:paraId="2A105B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года группа старшего лейтенанта Мельника из 64-го полка на Як-3 встретила 26 FW190D, которые эшелонировались по шесть-восемь самолетов. Истребители противника, видя свое численное превосходство, двумя группами по шесть-восемь машин на встречных курсах и третьей группой из шести FW190D, похоже, надеясь на неожиданный удар, атаковали снизу сзади группу Мельника.</w:t>
      </w:r>
    </w:p>
    <w:p w14:paraId="509569F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неравного боя лейтенант Родионов после лобовой атаки вышел правым боевым разворотом и с дистанции 30 - 50 метров пулеметно-пушечной очередью сбил FW190D ведомого.</w:t>
      </w:r>
    </w:p>
    <w:p w14:paraId="0F0F33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Ведущего пары атаковал младший лейтенант Морозов и с дистанции 50 метров также сбил его. Мы потерь не имели. Правда, младший лейтенант Дрозденко, дважды уходя от атак четверки FW190D в облачность, потерял ориентировку и совершил вынужденную посадку.</w:t>
      </w:r>
    </w:p>
    <w:p w14:paraId="5548B7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были одни из первых, если не первые, бои наших летчиков на Як-3.</w:t>
      </w:r>
    </w:p>
    <w:p w14:paraId="61B3F17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Если учесть, что первый серийный Як-3 взлетел в начале марта, то похоже, что пионерами в освоении машины стал личный состав 64, 65 и 66-го гвардейских иап 4-й гвардейской иад (12047).</w:t>
      </w:r>
    </w:p>
    <w:p w14:paraId="4F42CE1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0E88E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г. вышел ПРИКАЗ № 096 О КАТАСТРОФАХ САМОЛЕТОВ ПРИ ПЕРЕГОНКЕ НА ТРАССЕ СВЕРДЛОВСК—КАЗАНЬ</w:t>
      </w:r>
    </w:p>
    <w:p w14:paraId="049EC9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февраля 1944 года при перелете с Кольцовского аэродрома (Свердловск) в Казань 20 самолетов “Аэрокобра” и 1 самолет “Бостон” в 50—60 километрах от Казани попали в устойчивый до земли туман. Летчики, не обученные слепым полетам, потеряли ориентировку и не сумели выбраться из тумана. В результате этого 12 самолетов “Аэрокобра” и 1 самолет “Бостон” потерпели катастрофы — погибло 16 человек летного состава.</w:t>
      </w:r>
    </w:p>
    <w:p w14:paraId="5AA58E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Эти катастрофы произошли, прежде всего, в силу преступной халатности непосредственного организатора перелетов начальника отдела перелетов штаба ВВС УрВО — полковника Коробко А. Е., который, имея предупреждение о плохой погоде, при отсутствии разрешения отдела перелетов ВВС Красной Армии на вылет, выпустил самолеты на Казань; из-за преступного отношения к своим обязанностям ответственного дежурного по перелетам того же штаба лейтенанта Абаимова А. С., который, получив телеграмму из Казани о запрещении вылетов самолетов, не доложил об этом старшим начальникам.</w:t>
      </w:r>
    </w:p>
    <w:p w14:paraId="1C5095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ВВС УрВО генерал-майор авиации Емельянов Ф. Е. и начальник штаба ВВС округа полковник Лозовой-Шевченко В. М. фактически самоустранились от руководства по организации перелетов и, хотя перелеты эти производились в сложных метеорологических условиях и после почти 3-месячного перерыва полетов, — никто из них лично на аэродроме не присутствовал, передоверив все дело полковнику Коробко.</w:t>
      </w:r>
    </w:p>
    <w:p w14:paraId="5A8C1F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Происшедший 11 февраля с. г. случай при перелетах не является единственным, так, например:</w:t>
      </w:r>
    </w:p>
    <w:p w14:paraId="4C8EA3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января с. г. при аналогичных условиях и также по причинам преступной организации перелета по вине командира 639 шап подполковника Цуркан и начальника отдела перелетов штаба ВВС ПриВО полковника Рябченко произошли аварии и катастрофы с самолетами Ил-2 в ПриВО в районе Тамбов-Моршанск, когда 10 самолетов потерпели катастрофы, 12 — сделали вынужденные посадки и 1 самолет не был найден, при этом погибло 17 человек летно-технического состава. Подполковник Цуркан и полковник Рябченко преданы суду военного трибунала. 3 февраля с. г. с аэродромов Казани и Алатырь, без предварительной разведки погоды, вылетело 22 самолета У-2. Встретив в пути туман, 3 самолета вернулись обратно, а 19 по вине командира эскадрильи майора Богатырева вошли в туман и в результате все 19 самолетов произвели вынужденные посадки, при этом 9 самолетов получили различные повреждения, а один летчик тжело ранен.</w:t>
      </w:r>
    </w:p>
    <w:p w14:paraId="171A0D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эти факты многочисленных катастроф и аварий свидетельствуют о плохой организации перелетов, недисциплинированности и разболтанности среди личного состава воздушных сил Красной Армии. Командиры всех степеней ВВС Красной Армии вели недостаточно решительную борьбу с отрицательными явлениями в частях ВВС и не добились твердого воинского порядка при производстве перелетов.</w:t>
      </w:r>
    </w:p>
    <w:p w14:paraId="5D8EFC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Приказываю:</w:t>
      </w:r>
    </w:p>
    <w:p w14:paraId="517ACF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Начальника отдела перелетов штаба ВВС УрВО полковника Коробко А. Е. и ответственного дежурного по перелетам штаба УрВО лейтенанта Абаимова А. С. за преступную халатность предать суду военного трибунала.</w:t>
      </w:r>
    </w:p>
    <w:p w14:paraId="6F799F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Начальника штаба ВВС УрВО полковника Лозового-Шевченко за самоустранение от руководства перелетами, плохой порядок в штабе ВВС округа, что привело к столь тяжелым последствиям, — понизить в звании до подполковника, снять с занимаемой должности и назначить с понижением на другую работу.</w:t>
      </w:r>
    </w:p>
    <w:p w14:paraId="27DD6A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Командующему ВВС УрВО генерал-майору авиации Емельянову Ф. Е. за упущения по службе объявить выговор.</w:t>
      </w:r>
    </w:p>
    <w:p w14:paraId="74401E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Командующему ВВС Красной Армии Главному маршалу авиации Новикову:</w:t>
      </w:r>
    </w:p>
    <w:p w14:paraId="5AD8B4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принять все меры укрепления дисциплины и наведения порядка при организации перелетов на трассах, улучшить средства связи, укрепить отделы перелетов опытными командирами;</w:t>
      </w:r>
    </w:p>
    <w:p w14:paraId="4681B1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для улучшения перелетов между Свердловском и Казанью оборудовать промежуточный аэродром — Янаул, сформировать для него комендатуру по штату № 29/351 и обеспечить его всем необходимым для посадки самолетов.</w:t>
      </w:r>
    </w:p>
    <w:p w14:paraId="7873BE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Маршалу войск связи Красной Армии Пересыпкину обеспечить ВВС Красной Армии прямую связь для служебных переговоров, связанных с перелетами Москва—Казань, Казань—Свердловск.</w:t>
      </w:r>
    </w:p>
    <w:p w14:paraId="0B57C4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С целью сохранения моторесурса и экономии расходов высокосортного горючего разрешить ВВС Красной Армии отправку самолетов “Аэрокобра” по железной дороге из Красноярска до базовых аэродромов фронтов из расчета 150—200 самолетов в месяц.</w:t>
      </w:r>
    </w:p>
    <w:p w14:paraId="41267F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Главному военному прокурору Красной Армии генерал-лейтенанту юстиции Носову всемерно усилить борьбу за укрепление дисциплины в ВВС и особенно с нарушениями, обуславливающими всякого рода летные происшествия.</w:t>
      </w:r>
    </w:p>
    <w:p w14:paraId="7CE63D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Cs/>
          <w:color w:val="000000" w:themeColor="text1"/>
          <w:sz w:val="16"/>
          <w:szCs w:val="16"/>
        </w:rPr>
        <w:t>Народный комиссар обороны</w:t>
      </w:r>
    </w:p>
    <w:p w14:paraId="27DE58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 xml:space="preserve">Маршал Советского Союза И. СТАЛИН </w:t>
      </w:r>
      <w:r w:rsidRPr="00070ADE">
        <w:rPr>
          <w:rFonts w:ascii="Times New Roman" w:hAnsi="Times New Roman"/>
          <w:color w:val="000000" w:themeColor="text1"/>
          <w:sz w:val="16"/>
          <w:szCs w:val="16"/>
        </w:rPr>
        <w:t>(9844).</w:t>
      </w:r>
    </w:p>
    <w:p w14:paraId="17E52F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52E1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20 апреля 1944 была попытка атаковать высотными торпедами суда на таллиннском рейде. Один из двух вылетевших «Илов» повернул с полдороги в базу из-за неисправности мотора, второй сбросил торпеду с высоты 400 м, но не заметил после этого никакого видимого эффекта (9965).</w:t>
      </w:r>
    </w:p>
    <w:p w14:paraId="5CAE363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263B3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период с 20 апреля по 10 мая 1944 года ИС-2 получили боевое крещение на завершающем этапе по освобождению правобережной Украины. Необходимо подчеркнуть, что ИС-122 впервые были применены не в ходе Корсунь-Шевченковской, а в следующих за ней - Проскуровско-Черновицкой и Уманско-Ботошанской </w:t>
      </w:r>
      <w:r w:rsidRPr="00070ADE">
        <w:rPr>
          <w:rFonts w:ascii="Times New Roman" w:hAnsi="Times New Roman"/>
          <w:color w:val="000000" w:themeColor="text1"/>
          <w:sz w:val="16"/>
          <w:szCs w:val="16"/>
        </w:rPr>
        <w:lastRenderedPageBreak/>
        <w:t>операциях. Из двух полков (71-й и 72-й ОГвТТП), оснащенными этими танками более успешно действовал 72 ОГвТТП..</w:t>
      </w:r>
    </w:p>
    <w:p w14:paraId="65DCB5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этот период полк в составе 1 ГвТА вел боевые действия в районе г. Обертин (Ивано-Франковская обл.). За двадцать суток непрерывных боев личный состав полка уничтожил 41 танк "Тигр" и САУ "Фердинанд"("Элефант"), 3 БТР с боеприпасами и 10 противотанковых орудий, безвозвратно потеряв при этом лишь 8 танков ИС-122. Красноречивее всего о высокой живучести ИС-122 говорят сухие строки отчета о боевых повреждениях танков полка за этот период:..</w:t>
      </w:r>
    </w:p>
    <w:p w14:paraId="5F33D9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№40247 20 апреля в районе сев.зап. Герасиму в попал под артиллерийский обстрел САУ "Фердинанд" с дистанции 1500-1200 метров. Экипаж танка смог произвести лишь один выстрел, так как отказал спусковой механизм пушки. Уходя из под огня САУ, танк ИС-2 получил 5, не причинивших вреда, попаданий в лобовую часть корпуса. За это время другая САУ "Фердинанд" незаметно приблизилась с фланга на расстояние 600-700 метров и бронебойным снарядом пробила правый борт танка в районе двигателя. Экипаж покинул остановившийся танк, который вскоре загорелся..</w:t>
      </w:r>
    </w:p>
    <w:p w14:paraId="631C16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№40255 с расстояния 1000-1100 метров получил прямое попадание 88-мм снаряда танка "Тигр" в нижний наклонный броневой лист. В результате чего был пробит левый топливный бак, механик водитель был ранен осколками брони, а остальные члены экипажа получили легкие ожоги. Танк сгорел..</w:t>
      </w:r>
    </w:p>
    <w:p w14:paraId="478E9F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№4032 после того, как выдержал три попадания в лобовую проекцию корпуса 88-мм снарядов из танка "Тигр" на дистанции 1500-1000 метров, был уничтожен огнем с 500-400 метров другого "Тигра". 88мм бронебойный снаряд пробил с правой стороны нижний лобовой лист, произошло воспламенение пороха гильзы, а затем и топлива. Экипаж танка, покинув машину эвакуировал раненного механика водителя в тыл..</w:t>
      </w:r>
    </w:p>
    <w:p w14:paraId="459223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№4033 после получения пробоины от 88-мм снаряда танка "Тигр" с дистанции 400 метров в нижнем наклонном броневом листе корпуса, был отбуксирован на СППМ для проведения капитального ремонта..</w:t>
      </w:r>
    </w:p>
    <w:p w14:paraId="125933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№40260 сгорел от попадания с фланга в левый борт 88-мм снаряда танка "Тигр" с дистанции 500 метров. Снаряд разбил двигатель и танк загорелся. Командир танка и наводчик получили ранения..</w:t>
      </w:r>
    </w:p>
    <w:p w14:paraId="032BB2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№40244 получил прямое попадание 88-мм бронебойным снарядом танка "Тигр" с дистанции 800-1000 метров в правый борт корпуса. Механик водитель был убит и произошло возгорание дизельного топлива вылившегося из разрушенного правого топливного бака. Танк был эвакуирован и затем взорван саперами..</w:t>
      </w:r>
    </w:p>
    <w:p w14:paraId="3E713F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№40263 сгорел от попадания двух снарядов в борт. Танк № 40273 действовал в отрыве от полка и 30 апреля в районе с. Игжиска получил два прямых попадания: первое в башню, а второе сразу же в бортовой лист моторного отделения. Боевой расчет в башне тут же погиб, а механик водитель был ранен. Танк остался на территории противника. Во время боя экипаж танка участвовал в отражении атаки 50 танков Т-111, T-IV, T-VI, поддерживаемых авиацией и артиллерией..</w:t>
      </w:r>
    </w:p>
    <w:p w14:paraId="19AF4F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№40254 был подбит огнем из САУ "Фердинанд", находящимся в засаде с дистанции 800-1000 метров. Первый снаряд подбашенную коробку не пробил, а вот вторым снарядом был пробит борт корпуса танка и выведен из строя двигатель. Экипаж машины был эвакуирован, а танк сгорел на поле боя..</w:t>
      </w:r>
    </w:p>
    <w:p w14:paraId="758CCC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№40261 получил прямое попадание в ствол пушки. После боя ствол был заменен на новый.".</w:t>
      </w:r>
    </w:p>
    <w:p w14:paraId="35973E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один танк был эвакуирован и сдан в капитальный ремонт, а остальные 5 подбитых танка в ходе боевых действий были восстановлены ремонтными органами полка. (3862).</w:t>
      </w:r>
    </w:p>
    <w:p w14:paraId="064C99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9AC9B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24389B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1077CE" w14:textId="77777777" w:rsidR="002867AB" w:rsidRPr="00070ADE" w:rsidRDefault="002867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немецкий RLM отменяет все дальнейшие инженерные разработки так и не завершившегося конкурента Heinkel с обозначением 8-277 для конкурса на разработку трансатлантического стратегического бомбардировщика Amerika Bomber. Законченными частяи планера передаются на металлолом, несмотря на более ранний запрос конца весны 1943 года от RLM на три прототипа и десять служебных испытательных самолетов от Heinkel для конкурса (20373).</w:t>
      </w:r>
    </w:p>
    <w:p w14:paraId="4BD0D3FB" w14:textId="77777777" w:rsidR="002867AB" w:rsidRPr="00070ADE" w:rsidRDefault="002867AB" w:rsidP="00B56F90">
      <w:pPr>
        <w:spacing w:after="0" w:line="240" w:lineRule="auto"/>
        <w:jc w:val="both"/>
        <w:rPr>
          <w:rFonts w:ascii="Times New Roman" w:hAnsi="Times New Roman"/>
          <w:color w:val="000000" w:themeColor="text1"/>
          <w:sz w:val="16"/>
          <w:szCs w:val="16"/>
        </w:rPr>
      </w:pPr>
    </w:p>
    <w:p w14:paraId="25611C3A" w14:textId="77777777" w:rsidR="002867AB" w:rsidRPr="00070ADE" w:rsidRDefault="002867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20–21 апреля (ночь) 1944 379 британских бомбардировщиков атаковали Кельн, Германия, потеряв четыре самолета - все «Ланкастеры». В результате рейда повреждено 192 промышленных здания, 725 коммерческих зданий с пристройками, семь железнодорожных вокзалов и депо (20373).</w:t>
      </w:r>
    </w:p>
    <w:p w14:paraId="1984A0F5" w14:textId="77777777" w:rsidR="002867AB" w:rsidRPr="00070ADE" w:rsidRDefault="002867AB" w:rsidP="00B56F90">
      <w:pPr>
        <w:spacing w:after="0" w:line="240" w:lineRule="auto"/>
        <w:jc w:val="both"/>
        <w:rPr>
          <w:rFonts w:ascii="Times New Roman" w:hAnsi="Times New Roman"/>
          <w:color w:val="000000" w:themeColor="text1"/>
          <w:sz w:val="16"/>
          <w:szCs w:val="16"/>
        </w:rPr>
      </w:pPr>
    </w:p>
    <w:p w14:paraId="101FA036" w14:textId="77777777" w:rsidR="002867AB" w:rsidRPr="00070ADE" w:rsidRDefault="002867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20–21 апреля (ночь) 1944 654 британских бомбардировщика совершили налет на железнодорожные станции в Оттиньи, Бельгия, и Шамбли, Ла Шапель и Ланс, Франция, в основном с успехом. Потеряно восемь бомбардировщиков (20373).</w:t>
      </w:r>
    </w:p>
    <w:p w14:paraId="2851FCDA" w14:textId="77777777" w:rsidR="002867AB" w:rsidRPr="00070ADE" w:rsidRDefault="002867AB" w:rsidP="00B56F90">
      <w:pPr>
        <w:spacing w:after="0" w:line="240" w:lineRule="auto"/>
        <w:jc w:val="both"/>
        <w:rPr>
          <w:rFonts w:ascii="Times New Roman" w:hAnsi="Times New Roman"/>
          <w:color w:val="000000" w:themeColor="text1"/>
          <w:sz w:val="16"/>
          <w:szCs w:val="16"/>
        </w:rPr>
      </w:pPr>
    </w:p>
    <w:p w14:paraId="2AB3C9D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Турция прекратила поставки хрома в Германию (4962).</w:t>
      </w:r>
    </w:p>
    <w:p w14:paraId="4E53D6C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62C88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апреля 1944 около 40 немецких человекоуправляемых торпед Неггер были использованы для атаки английских судов. В воду смогли спустить только 17, но встретили охотников. Союзники указыват, что атака не удалась. Одну торпеду захватили (3961, 75).</w:t>
      </w:r>
    </w:p>
    <w:p w14:paraId="45B322F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51C56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00F24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F2C7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апреля 1944 вышло постановление ГОКО N 5699 О самолете Москито (2659,179).</w:t>
      </w:r>
    </w:p>
    <w:p w14:paraId="4FE5BA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32E7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апреля 1944 вышло Постановление ГКО № 5699 О самолете "Москито". РГАНИР, Фонд ГКО, д. 241, лл. 194 (11012).</w:t>
      </w:r>
    </w:p>
    <w:p w14:paraId="2AEAD4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DDDCA5C" w14:textId="77777777" w:rsidR="009C0B20" w:rsidRPr="00070ADE" w:rsidRDefault="009C0B2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апреля 1944 вышло Постановление ГКО № 5699 О самолете "Москито"</w:t>
      </w:r>
    </w:p>
    <w:p w14:paraId="10A8F1DC" w14:textId="77777777" w:rsidR="009C0B20" w:rsidRPr="00070ADE" w:rsidRDefault="009C0B2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Поручить Комиссии в составе г т.т. Каленков(пред</w:t>
      </w:r>
      <w:r w:rsidRPr="00070ADE">
        <w:rPr>
          <w:rFonts w:ascii="Times New Roman" w:hAnsi="Times New Roman"/>
          <w:color w:val="000000" w:themeColor="text1"/>
          <w:sz w:val="16"/>
          <w:szCs w:val="16"/>
        </w:rPr>
        <w:softHyphen/>
        <w:t>седатель), Шахурин, Яковлев, Мясищев, Лавочкин, Илью</w:t>
      </w:r>
      <w:r w:rsidRPr="00070ADE">
        <w:rPr>
          <w:rFonts w:ascii="Times New Roman" w:hAnsi="Times New Roman"/>
          <w:color w:val="000000" w:themeColor="text1"/>
          <w:sz w:val="16"/>
          <w:szCs w:val="16"/>
        </w:rPr>
        <w:softHyphen/>
        <w:t>шин, Климов, Репин, Лосюков, Кабанов, Седровк и Че</w:t>
      </w:r>
      <w:r w:rsidRPr="00070ADE">
        <w:rPr>
          <w:rFonts w:ascii="Times New Roman" w:hAnsi="Times New Roman"/>
          <w:color w:val="000000" w:themeColor="text1"/>
          <w:sz w:val="16"/>
          <w:szCs w:val="16"/>
        </w:rPr>
        <w:softHyphen/>
        <w:t>са лоз, - изучить самолет "Москито", дать производст</w:t>
      </w:r>
      <w:r w:rsidRPr="00070ADE">
        <w:rPr>
          <w:rFonts w:ascii="Times New Roman" w:hAnsi="Times New Roman"/>
          <w:color w:val="000000" w:themeColor="text1"/>
          <w:sz w:val="16"/>
          <w:szCs w:val="16"/>
        </w:rPr>
        <w:softHyphen/>
        <w:t>венно-техническую и летную оценку этого самолета к представить в ГОКО свои предложения об использовании конструктивных а технологических особенностей "Моски</w:t>
      </w:r>
      <w:r w:rsidRPr="00070ADE">
        <w:rPr>
          <w:rFonts w:ascii="Times New Roman" w:hAnsi="Times New Roman"/>
          <w:color w:val="000000" w:themeColor="text1"/>
          <w:sz w:val="16"/>
          <w:szCs w:val="16"/>
        </w:rPr>
        <w:softHyphen/>
        <w:t>то'</w:t>
      </w:r>
      <w:r w:rsidRPr="00070ADE">
        <w:rPr>
          <w:rFonts w:ascii="Times New Roman" w:hAnsi="Times New Roman"/>
          <w:color w:val="000000" w:themeColor="text1"/>
          <w:sz w:val="16"/>
          <w:szCs w:val="16"/>
          <w:vertAlign w:val="superscript"/>
        </w:rPr>
        <w:t>1</w:t>
      </w:r>
      <w:r w:rsidRPr="00070ADE">
        <w:rPr>
          <w:rFonts w:ascii="Times New Roman" w:hAnsi="Times New Roman"/>
          <w:color w:val="000000" w:themeColor="text1"/>
          <w:sz w:val="16"/>
          <w:szCs w:val="16"/>
        </w:rPr>
        <w:t xml:space="preserve"> в нашем самолетостроении (19483).</w:t>
      </w:r>
    </w:p>
    <w:p w14:paraId="3C532E82" w14:textId="77777777" w:rsidR="009C0B20" w:rsidRPr="00070ADE" w:rsidRDefault="009C0B20" w:rsidP="00B56F90">
      <w:pPr>
        <w:autoSpaceDE w:val="0"/>
        <w:autoSpaceDN w:val="0"/>
        <w:adjustRightInd w:val="0"/>
        <w:spacing w:after="0" w:line="240" w:lineRule="auto"/>
        <w:jc w:val="both"/>
        <w:rPr>
          <w:rFonts w:ascii="Times New Roman" w:hAnsi="Times New Roman"/>
          <w:color w:val="000000" w:themeColor="text1"/>
          <w:sz w:val="16"/>
          <w:szCs w:val="16"/>
        </w:rPr>
      </w:pPr>
    </w:p>
    <w:p w14:paraId="5E2C03CC" w14:textId="77777777" w:rsidR="00783151" w:rsidRPr="00070ADE" w:rsidRDefault="0078315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апреля 1944 вышло Постановление ГКО № 5699 О самолете "Москито"</w:t>
      </w:r>
    </w:p>
    <w:p w14:paraId="599A8964" w14:textId="77777777" w:rsidR="00783151" w:rsidRPr="00070ADE" w:rsidRDefault="0078315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Поручить Комиссии в составе г т.т. Каленков(пред</w:t>
      </w:r>
      <w:r w:rsidRPr="00070ADE">
        <w:rPr>
          <w:rFonts w:ascii="Times New Roman" w:hAnsi="Times New Roman"/>
          <w:color w:val="000000" w:themeColor="text1"/>
          <w:sz w:val="16"/>
          <w:szCs w:val="16"/>
        </w:rPr>
        <w:softHyphen/>
        <w:t>седатель), Шахурин, Яковлев, Мясищев, Лавочкин, Илью</w:t>
      </w:r>
      <w:r w:rsidRPr="00070ADE">
        <w:rPr>
          <w:rFonts w:ascii="Times New Roman" w:hAnsi="Times New Roman"/>
          <w:color w:val="000000" w:themeColor="text1"/>
          <w:sz w:val="16"/>
          <w:szCs w:val="16"/>
        </w:rPr>
        <w:softHyphen/>
        <w:t>шин, Климов, Репин, Лосюков, Кабанов, Седровк и Че</w:t>
      </w:r>
      <w:r w:rsidRPr="00070ADE">
        <w:rPr>
          <w:rFonts w:ascii="Times New Roman" w:hAnsi="Times New Roman"/>
          <w:color w:val="000000" w:themeColor="text1"/>
          <w:sz w:val="16"/>
          <w:szCs w:val="16"/>
        </w:rPr>
        <w:softHyphen/>
        <w:t>са лоз, - изучить самолет "Москито", дать производст</w:t>
      </w:r>
      <w:r w:rsidRPr="00070ADE">
        <w:rPr>
          <w:rFonts w:ascii="Times New Roman" w:hAnsi="Times New Roman"/>
          <w:color w:val="000000" w:themeColor="text1"/>
          <w:sz w:val="16"/>
          <w:szCs w:val="16"/>
        </w:rPr>
        <w:softHyphen/>
        <w:t>венно-техническую и летную оценку этого самолета к представить в ГОКО свои предложения об использовании конструктивных а технологических особенностей "Моски</w:t>
      </w:r>
      <w:r w:rsidRPr="00070ADE">
        <w:rPr>
          <w:rFonts w:ascii="Times New Roman" w:hAnsi="Times New Roman"/>
          <w:color w:val="000000" w:themeColor="text1"/>
          <w:sz w:val="16"/>
          <w:szCs w:val="16"/>
        </w:rPr>
        <w:softHyphen/>
        <w:t>то'</w:t>
      </w:r>
      <w:r w:rsidRPr="00070ADE">
        <w:rPr>
          <w:rFonts w:ascii="Times New Roman" w:hAnsi="Times New Roman"/>
          <w:color w:val="000000" w:themeColor="text1"/>
          <w:sz w:val="16"/>
          <w:szCs w:val="16"/>
          <w:vertAlign w:val="superscript"/>
        </w:rPr>
        <w:t>1</w:t>
      </w:r>
      <w:r w:rsidRPr="00070ADE">
        <w:rPr>
          <w:rFonts w:ascii="Times New Roman" w:hAnsi="Times New Roman"/>
          <w:color w:val="000000" w:themeColor="text1"/>
          <w:sz w:val="16"/>
          <w:szCs w:val="16"/>
        </w:rPr>
        <w:t xml:space="preserve"> в нашем самолетостроении (19483).</w:t>
      </w:r>
    </w:p>
    <w:p w14:paraId="1895AAD4" w14:textId="77777777" w:rsidR="00783151" w:rsidRPr="00070ADE" w:rsidRDefault="00783151"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C75744" w14:textId="77777777" w:rsidR="00783151" w:rsidRPr="00070ADE" w:rsidRDefault="0078315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апреля 1944 г., практически сразу после прибы</w:t>
      </w:r>
      <w:r w:rsidRPr="00070ADE">
        <w:rPr>
          <w:rFonts w:ascii="Times New Roman" w:hAnsi="Times New Roman"/>
          <w:color w:val="000000" w:themeColor="text1"/>
          <w:sz w:val="16"/>
          <w:szCs w:val="16"/>
        </w:rPr>
        <w:softHyphen/>
        <w:t>тия машины на заседании ГКО поднимался вопрос о лицензионной постройке Москитов в СССР. По своим летным данным английский бомбардировщик несколько превосходил отечественные Пе-2 и Ту-2, особенно на больших высотах. Его пла</w:t>
      </w:r>
      <w:r w:rsidRPr="00070ADE">
        <w:rPr>
          <w:rFonts w:ascii="Times New Roman" w:hAnsi="Times New Roman"/>
          <w:color w:val="000000" w:themeColor="text1"/>
          <w:sz w:val="16"/>
          <w:szCs w:val="16"/>
        </w:rPr>
        <w:softHyphen/>
        <w:t>нер изготавливался целиком из дерева, как у многих советских самолетов, а технология производства деревянных конструкций на советских предприя</w:t>
      </w:r>
      <w:r w:rsidRPr="00070ADE">
        <w:rPr>
          <w:rFonts w:ascii="Times New Roman" w:hAnsi="Times New Roman"/>
          <w:color w:val="000000" w:themeColor="text1"/>
          <w:sz w:val="16"/>
          <w:szCs w:val="16"/>
        </w:rPr>
        <w:softHyphen/>
        <w:t>тиях была хорошо отлажена.</w:t>
      </w:r>
    </w:p>
    <w:p w14:paraId="3A6B93C9" w14:textId="77777777" w:rsidR="00783151" w:rsidRPr="00070ADE" w:rsidRDefault="0078315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по заключению специали</w:t>
      </w:r>
      <w:r w:rsidRPr="00070ADE">
        <w:rPr>
          <w:rFonts w:ascii="Times New Roman" w:hAnsi="Times New Roman"/>
          <w:color w:val="000000" w:themeColor="text1"/>
          <w:sz w:val="16"/>
          <w:szCs w:val="16"/>
        </w:rPr>
        <w:softHyphen/>
        <w:t>стов ЦАГИ, сама конструкция и аэроди</w:t>
      </w:r>
      <w:r w:rsidRPr="00070ADE">
        <w:rPr>
          <w:rFonts w:ascii="Times New Roman" w:hAnsi="Times New Roman"/>
          <w:color w:val="000000" w:themeColor="text1"/>
          <w:sz w:val="16"/>
          <w:szCs w:val="16"/>
        </w:rPr>
        <w:softHyphen/>
        <w:t>намика самолета не демонстрировали ничего принципиально нового. Все это было уже известно. Высокие данные обеспечивались в первую очередь тщательным изготовлением (включая полировку поверхностей), применением в обшивке легкой и прочной трехслой</w:t>
      </w:r>
      <w:r w:rsidRPr="00070ADE">
        <w:rPr>
          <w:rFonts w:ascii="Times New Roman" w:hAnsi="Times New Roman"/>
          <w:color w:val="000000" w:themeColor="text1"/>
          <w:sz w:val="16"/>
          <w:szCs w:val="16"/>
        </w:rPr>
        <w:softHyphen/>
        <w:t>ной конструкции типа «сэндвич» с вну</w:t>
      </w:r>
      <w:r w:rsidRPr="00070ADE">
        <w:rPr>
          <w:rFonts w:ascii="Times New Roman" w:hAnsi="Times New Roman"/>
          <w:color w:val="000000" w:themeColor="text1"/>
          <w:sz w:val="16"/>
          <w:szCs w:val="16"/>
        </w:rPr>
        <w:softHyphen/>
        <w:t>тренним слоем из бальсы и отличными моторами «Мерлин». Два последних об</w:t>
      </w:r>
      <w:r w:rsidRPr="00070ADE">
        <w:rPr>
          <w:rFonts w:ascii="Times New Roman" w:hAnsi="Times New Roman"/>
          <w:color w:val="000000" w:themeColor="text1"/>
          <w:sz w:val="16"/>
          <w:szCs w:val="16"/>
        </w:rPr>
        <w:softHyphen/>
        <w:t>стоятельства напрочь хоронили затею с производством «Москито» в СССР (19655).</w:t>
      </w:r>
    </w:p>
    <w:p w14:paraId="4C1155D1" w14:textId="77777777" w:rsidR="00783151" w:rsidRPr="00070ADE" w:rsidRDefault="00783151" w:rsidP="00B56F90">
      <w:pPr>
        <w:spacing w:after="0" w:line="240" w:lineRule="auto"/>
        <w:jc w:val="both"/>
        <w:rPr>
          <w:rFonts w:ascii="Times New Roman" w:hAnsi="Times New Roman"/>
          <w:color w:val="000000" w:themeColor="text1"/>
          <w:sz w:val="16"/>
          <w:szCs w:val="16"/>
        </w:rPr>
      </w:pPr>
    </w:p>
    <w:p w14:paraId="50161D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апреля 1944 л А.Г.Кочетков, который вместе с Ф.П.Супруном прибыли в Буффало испытывать Р-63, выполнил первые три полета из 61 планировавшихся (172,168).</w:t>
      </w:r>
    </w:p>
    <w:p w14:paraId="7B86CF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C9FF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с 21 апреля по 27 мая 1944 г. в ГК НИИ ВВС проходил государственные испытания самолет B-25-DP, характерной особенностью которого были двигатели Райт-Циклон R-2600 двадцать девятой серии с флюгерными ВИШ &lt;Гидроматик&gt; фирмы &lt;Гамильтон Стандарт&gt; (на B-25-S стояли аналогичные двигатели 13-й серии) со взлетной мощностью 1700 л.с., а также измененная схема стрелкового вооружения и наличие подкрыльевых бомбодержателей, обеспечивающих подвеску восьми американских бомб калибром до 300 фунтов. Претерпела изменения и топливная система. В консолях крыла были установлены дополнительные бензобаки емкостью 1140 литров (302 американских галлона). За счет уменьшения объема внутрифюзеляжного бензобака более чем вдвое увеличили бомбоотсек, в котором одновременно могло подвешиваться по паре бомб ФАБ-250 и ФАБ-500. Имелись и другие малозначительные отличия.</w:t>
      </w:r>
    </w:p>
    <w:p w14:paraId="49645A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время государственных испытаний ведущими по машине стали инженер В.Я.Магон, летчик Г.А.Ашитков и штурман Филиппов. Самолет облетали также летчики М.А.Нюхтиков, А.М.Хрипков и В.М.Шульгин, штурманы Литвинчук и Цветков. В отчетах Ашитков писал, что &lt;... поведение самолета и техника пилотирования... в сравнении с самолетом Б-25-С имеет незначительные особенности, объясняющиеся, главным образом, увеличенной удельной нагрузкой самолета Б-25-ДП.</w:t>
      </w:r>
    </w:p>
    <w:p w14:paraId="29DDFE0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рулит спокойно, устойчиво с различными направлениями ветра.</w:t>
      </w:r>
    </w:p>
    <w:p w14:paraId="446743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взлетах без закрылков и с выпущенными закрылками на 15 и 23 градуса самолет устойчив и хорошо управляем, а с закрылками, выпущенными на 30°, устойчивость и управляемость ухудшаются.</w:t>
      </w:r>
    </w:p>
    <w:p w14:paraId="489C75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Взлет с закрылками, выпущенными на 45°, практически невозможен, так как скорость на разбеге нарастает медленно, и при поднятии переднего колеса самолет теряет скорость. Отрыв самолета в этом случае происходит с трех точек с подрывом на малой скорости, при этом самолет в поперечном отношении неустойчив и плохо </w:t>
      </w:r>
      <w:r w:rsidRPr="00070ADE">
        <w:rPr>
          <w:rFonts w:ascii="Times New Roman" w:hAnsi="Times New Roman"/>
          <w:color w:val="000000" w:themeColor="text1"/>
          <w:sz w:val="16"/>
          <w:szCs w:val="16"/>
        </w:rPr>
        <w:lastRenderedPageBreak/>
        <w:t>управляем и на выдерживании скорость набирает слишком медленно.</w:t>
      </w:r>
    </w:p>
    <w:p w14:paraId="354363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Горизонтальный полете весом 14650 кг допускается на скоростях от 170-180 миль/ч по прибору до максимальной. При скоростях 140-150 миль/ч по прибору элероны оказываются малоэффективными и управляемость самолета ухудшается, а на скорости 135 миль/ч самолет становится неуправляемым.</w:t>
      </w:r>
    </w:p>
    <w:p w14:paraId="755918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хорошо балансируется триммерами по всем диапазонам скоростей и идет с брошенным управлением....</w:t>
      </w:r>
    </w:p>
    <w:p w14:paraId="76109C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Позволяет делать виражи с креном до 55-60 градусов. Нагрузки на рули большие. Время минимального виража с креном 55-60° при работе моторов на первой скорости нагнетателя на высоте 2700 метров - 1 минута 30 секунд, на второй скорости нагнетателя на высоте 4650 метров - 55 секунд.</w:t>
      </w:r>
    </w:p>
    <w:p w14:paraId="764F4B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Горизонтальный полет с нормальным полетным весом на одном моторе, работающем в режиме номинальной мощности с винтом во флюгерном положении - невозможен (... с полетным весом 14150 кг и скорости 160-175 миль/ч полет возможен с высоты 1700 метров и ниже).</w:t>
      </w:r>
    </w:p>
    <w:p w14:paraId="5B1B2D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отказе одного из моторов самолет резко забрасывает в сторону отказавшего мотора, нагрузка на ногу при этом очень большая и удержать самолет в прямолинейном направлении почти невозможно. В этом случае...целесообразно немного прикрыть газ работающему мотору, после чего нагрузки на ногу снять триммером руля поворота.</w:t>
      </w:r>
    </w:p>
    <w:p w14:paraId="3CB3D6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наличии хорошей устойчивости и имеющегося оборудования самолета полеты на дальность трудностей не представляют и особо не утомляют летчиков.</w:t>
      </w:r>
    </w:p>
    <w:p w14:paraId="5A2F73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Автопилот очень чувствителен и требует очень точной регулировки, особенно на высоте. В &lt;болтанку&gt; автопилот режим полета точно не выдерживает и требует периодической поправки.</w:t>
      </w:r>
    </w:p>
    <w:p w14:paraId="696901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Самолетное переговорное устройство работает неудовлетворительно. При наличии сплошной трассы прицельную стрельбу (вперед по курсу) как днем, так и ночью вести невозможно - трасса закрывает цель и шкалу прицела.</w:t>
      </w:r>
    </w:p>
    <w:p w14:paraId="7C6053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Благодаря хорошему обзору вперед и влево летчик может при бомбометании самостоятельно выводить самолет на цель...&gt;.</w:t>
      </w:r>
    </w:p>
    <w:p w14:paraId="166987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Другие летчики облета в целом согласились со своим коллегой. Наиболее кратко и емко высказался Нюхтиков: &lt;Самолет Б-25-ДП, несмотря на большой полетный вес (13700 кг), имеет несложные по технике пилотирования взлет и посадку, сравнительно легко ходит на одном моторе, имеет хорошую продольную и вполне удовлетворительную боковую устойчивость. Последнее могло быть и хорошим, если бы у самолета был бы немного увеличен запас путевой устойчивости относительно поперечной и уменьшена нагрузка на ноги&gt;.</w:t>
      </w:r>
    </w:p>
    <w:p w14:paraId="698A6A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то, что самолет имел две кабины - бомбардира и навигатора, это не обеспечивало нормальной работы штурмана по самолетовождению. Ему мешали два неподвижных пулемета, ящики которых загромождали кабину бомбардира. В связи с этим представляет интерес мнение Литвинчука: &lt;Штурман не имеет места, на котором он мог бы сосредоточенно работать, видеть все приборы, пользоваться ими и наблюдать за землей. Для работы с радиокомпасом и навигационным визиром надо слезать с сиденья. В кабине нет указателя скорости, часов и высотомера. Эти приборы находятся на доске летчика, и штурман их с сиденья не видит. Обзор из кабины не позволяет вести детальную ориентировку. Общую ориентировку вести затруднительно... Наиболее подходящим местом для работы штурмана является кабина бомбардира, обзор из которой хороший и вполне обеспечивает ведение общей и детальной ориентировки...&gt;.</w:t>
      </w:r>
    </w:p>
    <w:p w14:paraId="7E2C68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Исследователями отмечалась неудовлетворительная работа пулеметных установок из-за их частых самопроизвольных отказов, связанных, главным образом, с выпадением и перекашиванием патронных лент.</w:t>
      </w:r>
    </w:p>
    <w:p w14:paraId="08C288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результатам испытаний были сделаны, в частности, следующие выводы:</w:t>
      </w:r>
    </w:p>
    <w:p w14:paraId="29EBD0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&lt;Нормальный полетный вес самолета Б-25-ДП, равный 14650 кг, больше на 1750 кг или на 13,55% нормального полетного веса самолета Б-25-С вследствие:</w:t>
      </w:r>
    </w:p>
    <w:p w14:paraId="56AB42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увеличения веса пустого самолета на 75 кг;</w:t>
      </w:r>
    </w:p>
    <w:p w14:paraId="03344C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увеличения веса полезной нагрузки на 1675 кг;</w:t>
      </w:r>
    </w:p>
    <w:p w14:paraId="08733D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Предельно-эксплуатационные центровки самолета - передняя 21,7%САХ и задняя 33,5% САХ - находятся в диапазоне допускаемых американской фирмой центровок (20-33,5% САХ).</w:t>
      </w:r>
    </w:p>
    <w:p w14:paraId="48008B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Уменьшение максимальных скоростей по высотам самолета Б-25-ДП в сравнении с самолетом Б-25-С произошло вследствие:</w:t>
      </w:r>
    </w:p>
    <w:p w14:paraId="57E160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ухудшения аэродинамики самолета из-за установки дополнительных стрелковых точек;</w:t>
      </w:r>
    </w:p>
    <w:p w14:paraId="7C5017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увеличения нормального полетного веса на 1750 кг. На всех полетных режимах в диапазоне полетных скоростей от минимально допустимой до максимальной самолет Б-25-ДП с нормальным полетным весом 14650 кг (центровка 31,0% САХ) имеет хорошую управляемость и вполне удовлетворительную устойчивость как в продольном, так и в боковом отношениях.</w:t>
      </w:r>
    </w:p>
    <w:p w14:paraId="27ADD3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пилотировании на минимально допустимой скорости допускаются развороты с креном не более 15-20 градусов.</w:t>
      </w:r>
    </w:p>
    <w:p w14:paraId="529ED40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сравнении с самолетом Б-25-С техника пилотирования на самолете Б-25-ДП несколько сложнее вследствие больших удельных нагрузок. По технике пилотирования самолет доступен летчикам средней квалификации.</w:t>
      </w:r>
    </w:p>
    <w:p w14:paraId="323959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Винтомоторная группа на всех режимах полета самолета до практического потолка работает безотказно.</w:t>
      </w:r>
    </w:p>
    <w:p w14:paraId="5D3CA2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Стрелковая установка не обеспечивает безотказной работы пулеметов и требует частой перезагрузки вследствие больших изгибов рукавов питания и торможения в них патронной ленты. Условия работы стрелков хвостовой установки неудовлетворительные.</w:t>
      </w:r>
    </w:p>
    <w:p w14:paraId="7A3AD5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Бомбардировочные установки работают безотказно. Подкрыльные американские бомбодержатели подвеску отечественных бомб не обеспечивают. Для увеличения бомбовой нагрузки и расширения возможных вариантов подвески отечественных бомб необходима заводская переделка подкрыльных держателей под бомбы ФАБ-250 и ФАБ-500.</w:t>
      </w:r>
    </w:p>
    <w:p w14:paraId="3E0ADD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Американский бомбардировочный прицел Д-8 не обеспечивает удобства работы сними точности бомбометания и значительно уступает нашим отечественным прицелам типа НКПБ-7&gt;.</w:t>
      </w:r>
    </w:p>
    <w:p w14:paraId="41DDC3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отличие от отечественных бомбардировщиков, кабина членов экипажа B-25-S была комфортабельной. Имелись даже обогреватели.</w:t>
      </w:r>
    </w:p>
    <w:p w14:paraId="7396F1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Радиостанция обеспечивала очень хорошую связь, в том числе и при полете на предельную дальность. Проверку произвели на маршруте Чкаловская-Харабали (Астраханская область) общей протяженностью 2340 километров.</w:t>
      </w:r>
    </w:p>
    <w:p w14:paraId="00B39B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заключении Акта по результатам гос. испытаний рекомендовалось переделать американские под крыльевые бомбодержатели под отечественные бомбы ФАБ-100 и ФАБ-250 и заменить американский прицел Д-8 на отечественный НКПБ-7; снять носовые неподвижные пулеметы и установить сидение в передней кабине бомбардира; перекомпоновать имеющееся и установить дополнительное оборудование и приборы в кабине штурмана (3198).</w:t>
      </w:r>
    </w:p>
    <w:p w14:paraId="0568C0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A32C44"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апреля в 1944 году в ГК HИИ ВВС начались государственные испытания (по 27 мая 1944 года) самолета «B-25-DP», характерной особенностью которого были двигатели «Райт-Циклон» «R-2600» двадцать девятой серии с флюгерными ВИШ "Гидроматик" фирмы "Гамильтон Стандарт" (на «B-25-S» стояли аналогичные двигатели 13-й серии) со взлетной мощностью 1700л. с. , а также измененная схема стрелкового вооружения и наличие подкрыльевых бомбодержателей, обеспечивающих подвеску восьми американских бомб калибром до 300 фунтов. Претерпела изменения и топливная система. В консолях крыла были установлены дополнительные бензобаки емкостью 1 140 литров (302 американских галлона). За счет уменьшения объема внутрифюзеляжного бензобака более чем вдвое увеличили бомбоотсек, в котором одновременно могло подвешиваться по паре бомб. «ФАБ-250» и «ФАБ-500». Имелись и другие малозначительные отличия (15106).</w:t>
      </w:r>
    </w:p>
    <w:p w14:paraId="74E5FEB4" w14:textId="77777777" w:rsidR="000F02F6" w:rsidRPr="00070ADE" w:rsidRDefault="000F02F6" w:rsidP="00B56F90">
      <w:pPr>
        <w:spacing w:after="0" w:line="240" w:lineRule="auto"/>
        <w:jc w:val="both"/>
        <w:rPr>
          <w:rFonts w:ascii="Times New Roman" w:hAnsi="Times New Roman"/>
          <w:color w:val="000000" w:themeColor="text1"/>
          <w:sz w:val="16"/>
          <w:szCs w:val="16"/>
        </w:rPr>
      </w:pPr>
    </w:p>
    <w:p w14:paraId="366943A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F5624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D1AE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апреля 1944 г. наркомом танковой промышленности и командую</w:t>
      </w:r>
      <w:r w:rsidRPr="00070ADE">
        <w:rPr>
          <w:rFonts w:ascii="Times New Roman" w:hAnsi="Times New Roman"/>
          <w:color w:val="000000" w:themeColor="text1"/>
          <w:sz w:val="16"/>
          <w:szCs w:val="16"/>
        </w:rPr>
        <w:softHyphen/>
        <w:t>щим БТ и МВ был издан совместный приказ по усилению броневой за</w:t>
      </w:r>
      <w:r w:rsidRPr="00070ADE">
        <w:rPr>
          <w:rFonts w:ascii="Times New Roman" w:hAnsi="Times New Roman"/>
          <w:color w:val="000000" w:themeColor="text1"/>
          <w:sz w:val="16"/>
          <w:szCs w:val="16"/>
        </w:rPr>
        <w:softHyphen/>
        <w:t>щиты танка ИС-2. Согласно этому приказу УЗТМ надлежало выпускать бронекорпус со сварным спрямленным носом и углом наклона верхнего лобового ли</w:t>
      </w:r>
      <w:r w:rsidRPr="00070ADE">
        <w:rPr>
          <w:rFonts w:ascii="Times New Roman" w:hAnsi="Times New Roman"/>
          <w:color w:val="000000" w:themeColor="text1"/>
          <w:sz w:val="16"/>
          <w:szCs w:val="16"/>
        </w:rPr>
        <w:softHyphen/>
        <w:t>ста 60° из катаного броневого листа средней твердости и усиленной ли</w:t>
      </w:r>
      <w:r w:rsidRPr="00070ADE">
        <w:rPr>
          <w:rFonts w:ascii="Times New Roman" w:hAnsi="Times New Roman"/>
          <w:color w:val="000000" w:themeColor="text1"/>
          <w:sz w:val="16"/>
          <w:szCs w:val="16"/>
        </w:rPr>
        <w:softHyphen/>
        <w:t>той подбашенной коробкой из брони высокой твердости (10703).</w:t>
      </w:r>
    </w:p>
    <w:p w14:paraId="551481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B8DE6D" w14:textId="77777777" w:rsidR="00301BB3" w:rsidRPr="00070ADE" w:rsidRDefault="00301BB3"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апреля 1944 вышел приказ по НКТП № 224с/061с, соглас</w:t>
      </w:r>
      <w:r w:rsidRPr="00070ADE">
        <w:rPr>
          <w:rFonts w:ascii="Times New Roman" w:hAnsi="Times New Roman"/>
          <w:color w:val="000000" w:themeColor="text1"/>
          <w:sz w:val="16"/>
          <w:szCs w:val="16"/>
        </w:rPr>
        <w:softHyphen/>
        <w:t>но которому завод № 200 вместо сварной но</w:t>
      </w:r>
      <w:r w:rsidRPr="00070ADE">
        <w:rPr>
          <w:rFonts w:ascii="Times New Roman" w:hAnsi="Times New Roman"/>
          <w:color w:val="000000" w:themeColor="text1"/>
          <w:sz w:val="16"/>
          <w:szCs w:val="16"/>
        </w:rPr>
        <w:softHyphen/>
        <w:t>совой части делал литую. Правда, первона</w:t>
      </w:r>
      <w:r w:rsidRPr="00070ADE">
        <w:rPr>
          <w:rFonts w:ascii="Times New Roman" w:hAnsi="Times New Roman"/>
          <w:color w:val="000000" w:themeColor="text1"/>
          <w:sz w:val="16"/>
          <w:szCs w:val="16"/>
        </w:rPr>
        <w:softHyphen/>
        <w:t>чально толщина стенок была иной. Согласно приказу, нижняя носовая часть изготовля</w:t>
      </w:r>
      <w:r w:rsidRPr="00070ADE">
        <w:rPr>
          <w:rFonts w:ascii="Times New Roman" w:hAnsi="Times New Roman"/>
          <w:color w:val="000000" w:themeColor="text1"/>
          <w:sz w:val="16"/>
          <w:szCs w:val="16"/>
        </w:rPr>
        <w:softHyphen/>
        <w:t>лась толщиной 90 мм, такую же толщину пла</w:t>
      </w:r>
      <w:r w:rsidRPr="00070ADE">
        <w:rPr>
          <w:rFonts w:ascii="Times New Roman" w:hAnsi="Times New Roman"/>
          <w:color w:val="000000" w:themeColor="text1"/>
          <w:sz w:val="16"/>
          <w:szCs w:val="16"/>
        </w:rPr>
        <w:softHyphen/>
        <w:t>нировали и для боковых стенок. 24 апреля ОГК-ТП ЧКЗ был подготовлен чертеж корпуса с литой носовой деталью (240-50-141). К ней приваривались смотровой прибор и его от</w:t>
      </w:r>
      <w:r w:rsidRPr="00070ADE">
        <w:rPr>
          <w:rFonts w:ascii="Times New Roman" w:hAnsi="Times New Roman"/>
          <w:color w:val="000000" w:themeColor="text1"/>
          <w:sz w:val="16"/>
          <w:szCs w:val="16"/>
        </w:rPr>
        <w:softHyphen/>
        <w:t>бойник. В то время как толщина верхней части лба корпуса составляла 100 мм, ниж</w:t>
      </w:r>
      <w:r w:rsidRPr="00070ADE">
        <w:rPr>
          <w:rFonts w:ascii="Times New Roman" w:hAnsi="Times New Roman"/>
          <w:color w:val="000000" w:themeColor="text1"/>
          <w:sz w:val="16"/>
          <w:szCs w:val="16"/>
        </w:rPr>
        <w:softHyphen/>
        <w:t>нюю часть усилили до 130 мм. Из-за передел</w:t>
      </w:r>
      <w:r w:rsidRPr="00070ADE">
        <w:rPr>
          <w:rFonts w:ascii="Times New Roman" w:hAnsi="Times New Roman"/>
          <w:color w:val="000000" w:themeColor="text1"/>
          <w:sz w:val="16"/>
          <w:szCs w:val="16"/>
        </w:rPr>
        <w:softHyphen/>
        <w:t>ки лобовой части пришлось менять и другие детали, например подбашенную коробку. Новый узел (240-50-Сб166) в месте стыка с литой носовой деталью получился более узким. Конечно, такое отступление от требо</w:t>
      </w:r>
      <w:r w:rsidRPr="00070ADE">
        <w:rPr>
          <w:rFonts w:ascii="Times New Roman" w:hAnsi="Times New Roman"/>
          <w:color w:val="000000" w:themeColor="text1"/>
          <w:sz w:val="16"/>
          <w:szCs w:val="16"/>
        </w:rPr>
        <w:softHyphen/>
        <w:t>ваний увеличило массу детали, но, как пока</w:t>
      </w:r>
      <w:r w:rsidRPr="00070ADE">
        <w:rPr>
          <w:rFonts w:ascii="Times New Roman" w:hAnsi="Times New Roman"/>
          <w:color w:val="000000" w:themeColor="text1"/>
          <w:sz w:val="16"/>
          <w:szCs w:val="16"/>
        </w:rPr>
        <w:softHyphen/>
        <w:t>зали дальнейшие события, увеличение тол</w:t>
      </w:r>
      <w:r w:rsidRPr="00070ADE">
        <w:rPr>
          <w:rFonts w:ascii="Times New Roman" w:hAnsi="Times New Roman"/>
          <w:color w:val="000000" w:themeColor="text1"/>
          <w:sz w:val="16"/>
          <w:szCs w:val="16"/>
        </w:rPr>
        <w:softHyphen/>
        <w:t>щины нижней части до 130 мм было оправ</w:t>
      </w:r>
      <w:r w:rsidRPr="00070ADE">
        <w:rPr>
          <w:rFonts w:ascii="Times New Roman" w:hAnsi="Times New Roman"/>
          <w:color w:val="000000" w:themeColor="text1"/>
          <w:sz w:val="16"/>
          <w:szCs w:val="16"/>
        </w:rPr>
        <w:softHyphen/>
        <w:t>данно (19880).</w:t>
      </w:r>
    </w:p>
    <w:p w14:paraId="7539D775" w14:textId="77777777" w:rsidR="00301BB3" w:rsidRPr="00070ADE" w:rsidRDefault="00301BB3" w:rsidP="00B56F90">
      <w:pPr>
        <w:shd w:val="clear" w:color="auto" w:fill="FFFFFF"/>
        <w:spacing w:after="0" w:line="240" w:lineRule="auto"/>
        <w:jc w:val="both"/>
        <w:rPr>
          <w:rFonts w:ascii="Times New Roman" w:hAnsi="Times New Roman"/>
          <w:color w:val="000000" w:themeColor="text1"/>
          <w:sz w:val="16"/>
          <w:szCs w:val="16"/>
        </w:rPr>
      </w:pPr>
    </w:p>
    <w:p w14:paraId="0EC1233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апреля 1944 вышло Постановление ГКО № 5693 Об организации опытного комплексного производства запальных свечей с высокоглиноземистыми изоляторами. (7219, 115-117,118-121).</w:t>
      </w:r>
    </w:p>
    <w:p w14:paraId="2271F29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7468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апреля 1944 вышло Постановление ГКО № 5694 О мероприятиях по восстановлению Крюковского вагоностроительного завода Наркомсредмаша в г. Крюкове на Днепре. РГАНИР, Фонд ГКО, д. 241, лл. 122-128,129-135 (11012).</w:t>
      </w:r>
    </w:p>
    <w:p w14:paraId="74D4AB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DD74B4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21 апреля 1944 вышло Распоряжение ГКО № 5695. О поставках материалов аккумуляторным заводам НКСМ во II кв. 1944 г. РГАНИР, Фонд ГКО, д. 241, лл. 136 (11012).</w:t>
      </w:r>
    </w:p>
    <w:p w14:paraId="676F9D2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FED1AD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апреля 1944 вышло Постановление ГКО № 5696 О первоочередных мероприятиях по восстановлению заводов № 444 и 445 Наркомсудпрома в г. Николаеве. РГАНИР, Фонд ГКО, д. 241, лл. 137-144,145-151 (11012).</w:t>
      </w:r>
    </w:p>
    <w:p w14:paraId="062B87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F0CE59A" w14:textId="0524E710"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апреля 1944 г. в соответствии с пост. ГКО № 5696 начато восстановление производства на месте эвакуированного завода № 198 НКСН. Во время оккупации завод был полностью разрушен (сохранились только здания заводской лаборатории и бытового корпуса). Новый завод получил название завод № 444 им. А. Марти (Завод № 444 ИМ. А. Марти, ИМ. И.И. Носенко МСП, Завод им. И.И. Носенко, п/я 6, Завод им. А. Марти, Черноморский судостроительный завод (ЧСЗ) МСП, ПО, ГХК «ЧСЗ» /Украина</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Николаев/). 13.01.1945 г. вышло постановление ГКО № 7320 о мероприятиях по оказанию помощи заводу. 11.03.1945 г. вышло постановление ГКО № 7784 о ходе восстановительных работ на заводе, 13.03.1945 г. - распоряжение ГКО № 7795 о поставке на завод стройматериалов; 23.03.1945 г. - новое распоряжение ГКО № 7915 о мерах неотложной помощи заводу. Пост. ГКО № 7960 от 31.03.1945 г. утвержден план восстановления и строительства завода в 1945 г. В том же году он вступил в строй. С 1945 г. - производство понтонов, барж, пассажирских катеров. Позднее - строительство военных кораблей.</w:t>
      </w:r>
      <w:r w:rsidRPr="00070ADE">
        <w:rPr>
          <w:rFonts w:ascii="Times New Roman" w:hAnsi="Times New Roman"/>
          <w:color w:val="000000" w:themeColor="text1"/>
          <w:sz w:val="16"/>
          <w:szCs w:val="16"/>
          <w:vertAlign w:val="superscript"/>
        </w:rPr>
        <w:t>61</w:t>
      </w:r>
      <w:r w:rsidRPr="00070ADE">
        <w:rPr>
          <w:rFonts w:ascii="Times New Roman" w:hAnsi="Times New Roman"/>
          <w:color w:val="000000" w:themeColor="text1"/>
          <w:sz w:val="16"/>
          <w:szCs w:val="16"/>
        </w:rPr>
        <w:t xml:space="preserve"> До 1953 г. завод № 444 носил имя А. Марти</w:t>
      </w:r>
      <w:r w:rsidRPr="00070ADE">
        <w:rPr>
          <w:rFonts w:ascii="Times New Roman" w:hAnsi="Times New Roman"/>
          <w:iCs/>
          <w:color w:val="000000" w:themeColor="text1"/>
          <w:sz w:val="16"/>
          <w:szCs w:val="16"/>
        </w:rPr>
        <w:t xml:space="preserve"> (в 01.1953 г. А. Марти исключен из компартии Франции за критику ВКП (б) и Сталина).</w:t>
      </w:r>
      <w:r w:rsidRPr="00070ADE">
        <w:rPr>
          <w:rFonts w:ascii="Times New Roman" w:hAnsi="Times New Roman"/>
          <w:color w:val="000000" w:themeColor="text1"/>
          <w:sz w:val="16"/>
          <w:szCs w:val="16"/>
        </w:rPr>
        <w:t xml:space="preserve"> 5.08.1956 г. заводу № 444 присвоено имя И.И. Носенко. Имел наименование «п/я 6» (1953-56 г.). 13.09.1968 г. завод № 444 переименован в ЧСЗ, лишен имени Носенко (</w:t>
      </w:r>
      <w:r w:rsidRPr="00070ADE">
        <w:rPr>
          <w:rFonts w:ascii="Times New Roman" w:hAnsi="Times New Roman"/>
          <w:iCs/>
          <w:color w:val="000000" w:themeColor="text1"/>
          <w:sz w:val="16"/>
          <w:szCs w:val="16"/>
        </w:rPr>
        <w:t>из-за того, что его сын Ю.И. Носенко, офицер КГБ, перебежал на Запад).</w:t>
      </w:r>
      <w:r w:rsidRPr="00070ADE">
        <w:rPr>
          <w:rFonts w:ascii="Times New Roman" w:hAnsi="Times New Roman"/>
          <w:iCs/>
          <w:color w:val="000000" w:themeColor="text1"/>
          <w:sz w:val="16"/>
          <w:szCs w:val="16"/>
          <w:vertAlign w:val="superscript"/>
        </w:rPr>
        <w:t>142</w:t>
      </w:r>
      <w:r w:rsidRPr="00070ADE">
        <w:rPr>
          <w:rFonts w:ascii="Times New Roman" w:hAnsi="Times New Roman"/>
          <w:color w:val="000000" w:themeColor="text1"/>
          <w:sz w:val="16"/>
          <w:szCs w:val="16"/>
        </w:rPr>
        <w:t xml:space="preserve"> В 1980-е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ЧСЗ - в ведении 2ГУ МСП. В 2005 г. - ГХК «Черноморский судостроительный завод».</w:t>
      </w:r>
    </w:p>
    <w:p w14:paraId="3CD125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1948-53 г. для подготовки к строительству тяжелого крейсера «Сталинград» завод был реконструирован. В 1952 г. для правки броневых листов с Ижорского завода переданы мощные правильные вальцы. Пост, правительства от 25.03.1950 г. предусматривалась закладка крейсера во втором квартале 1951 г. со сдачей в 1954 г.</w:t>
      </w:r>
    </w:p>
    <w:p w14:paraId="3EAACA4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Крейсер пр. 82 «Сталинград» был заложен 31.12.1951 г., по пр. МТиТМ № 00112 от 18.04.1953 г. его строительство прекращено.</w:t>
      </w:r>
    </w:p>
    <w:p w14:paraId="391ED332" w14:textId="4F191931"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на заводе изготовлены опытные образцы подъемно-стыковочного агрегата ПС-31 для БР Р-13.</w:t>
      </w:r>
    </w:p>
    <w:p w14:paraId="6E98F0FD" w14:textId="3B0A4651"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построено 72 ГШ пр. 613.</w:t>
      </w:r>
    </w:p>
    <w:p w14:paraId="7C6213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1960 г. начата новая реконструкция завода, в связи с развертыванием крупносерийной постройки поточно- позиционным методом больших морозильных рыболовных траулеров (БМРТ). Под судостроительный комплекс был переоборудован башенный цех. Блок поточной сборки траулеров создан на месте строительства ПЛ пр. 613. В качестве передаточного использовался плавучий док, построенный в 1914 г. В год завод строил 24 траулера, всего их на заводе построено более 500.</w:t>
      </w:r>
    </w:p>
    <w:p w14:paraId="598828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 правительства от 11.1963 г. заводу задана постройка двух кораблей ПЛО пр. 1123.</w:t>
      </w:r>
    </w:p>
    <w:p w14:paraId="577A48A6" w14:textId="54E21114"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1977 г. завод принимал участие в строительстве испытательного комплекса НИТКА, в связи с этим была организована производственная база 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Саки.</w:t>
      </w:r>
    </w:p>
    <w:p w14:paraId="0941DD4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ПСМ от 30.04.1976 г. заводу поручено строительство двух авианесущих кораблей пр. 1153 со сдачей к 1985 г. В связи с этим начата реконструкция большого наклонного стапеля «0», завершенная в 1982 г. На нем установлены два козловых крана финской фирмы KONE грузоподъемностью по 900 т с шириной пролета 140 м. Освоена крупно-блочная технология формирования корпусов авианосцев, это позволяло подавать на стапель готовые блоки массой по 1500-1700 т.</w:t>
      </w:r>
    </w:p>
    <w:p w14:paraId="3ED29F8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10.1978 г. вышло постановление правительства о продолжении строительства ТАКР пр. 1143, но пост, от 03.1980 г. в план завода на 1981-90 г. включена постройка двух ПЛ вертолетоносцев пр. 10200. Затем пр. 10200 был отклонен, и в 05.1982 г. вышло постановление правительства о строительстве крейсера пр. 1143.5.</w:t>
      </w:r>
    </w:p>
    <w:p w14:paraId="313E8A08" w14:textId="07AFED7B"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1980-е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установленные в отделе АСУП завода ЭВМ были соединены в единую сеть с машинами Невского ПКБ, что позволило при строительстве ТАКР «Адмирал Кузнецов» отказаться от плазовой разметки, а резать металл по программам ЭВМ. К 1986 г. была проведена подготовка производства к строительству атомного крейсера пр. 1143.7 «Ульяновск»: спроектирован и построен плавучий цех для сборки атомной СУ (после прекращения строительства авианосцев в нем велась сборка главных дизелей для танкеров); созданы отделы радиационной и ядерной безопасности, спецэнергетики; организованы участки: изготовления баков металловодной защиты, изготовления пластмассовой защиты, по заливке свинца в корпусные конструкции, воды высокой чистоты. С завода «Залив» был передан плавучий контрольно-дозиметрический пункт. Начато строительство новой достроечной набережной с комплексом новых монтажно-достроечных цехов. Велась подготовка к строительству второго корабля пр. 11437 (заказ № 108). Распоряжением правительства Украины от 4.02.1992 г. прекращено строительство «Ульяновска», «Варяга» и 4-й плавбазы пр. 2020; ликвидирован заказ № 108. Работы по дальнейшей реконструкции завода остановлены, цеха не достроены.</w:t>
      </w:r>
    </w:p>
    <w:p w14:paraId="474231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составе завода: цеха: монтажа систем вооружений № 8, сборочно-сварочный № 11 (1958-80-е), корпусо- стапельный № 16, турбинный № 26, № 34, № 41, № 49, агрегатно-модульных сборок, станков с ЧПУ; участок термообработки (обработка деталей массой до 30 т); стапели «0», «1»; Северная и Западная достроечные набережные; 332 крана и более 2100 грузоподъемных устройств.</w:t>
      </w:r>
    </w:p>
    <w:p w14:paraId="516422E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1999 г. был подписан контракт на строительство двух суперяхт компании "Sparkman &amp; Stephens" для Израиля, реализован не был.</w:t>
      </w:r>
    </w:p>
    <w:p w14:paraId="099C80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Площадь: территории (1980-е)- 247 га (плюс 47 га акватории).</w:t>
      </w:r>
    </w:p>
    <w:p w14:paraId="53F463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(1967 г.)- около 25 тыс. чел.</w:t>
      </w:r>
    </w:p>
    <w:p w14:paraId="61A63D7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(12.08.1949-8.07.1952 г.)- В.Ф. Ивочкин, (8.07.1952-05.1954 г.)- В.М. Орешкин {1909-54}, (1954-56 г.)- И.С. Прибыльский (затем- председатель Херсонского СНХ), (12.1956-04.1959 г.)- З. Г. Згибнев, (1959-79 г.)- А.Б. Ганькевич {1912-86}, (09.1979-94 г.)- Ю.И. Макаров {1934-2002}. Гендиректор (1994 г.-)- И.Н. Овдиенко.</w:t>
      </w:r>
    </w:p>
    <w:p w14:paraId="418FDCD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директора, гендиректора: по траулерам (1974-76 г.)- Ю.И. Макаров; по машиностроению</w:t>
      </w:r>
    </w:p>
    <w:p w14:paraId="4717CDD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(1978-91 г.-&gt; И.И. Винник; по капстроительству (1980-е)- А.Н. Бормосов.</w:t>
      </w:r>
    </w:p>
    <w:p w14:paraId="7740919C" w14:textId="52EFE0E9"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(1950-59 г.)- Е.М. Горбенко, (1961-76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Г.М. Балабаев, (09.1976-79 г.)- Ю.И. Макаров, (05.1983- 86 г.)- И.Н. Овдиенко.</w:t>
      </w:r>
    </w:p>
    <w:p w14:paraId="031F0C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(1948 г.)- Я.Е. Евграфов, (-1967-73 г.)- Л.С. Елеонский, (1973-74 г.)- Ю.И. Макаров, (1974-87 г.)- В.С. Тюрин, (1987-96 г.)- О.И. Хотлубей, (1996-2006 г.-)- С.М. Хальнов.</w:t>
      </w:r>
    </w:p>
    <w:p w14:paraId="591F1F3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конструктора: по верфи (1974-87 г.)- О.И. Хотлубей, (1987-96 г.)- С.М. Хальнов; по траулерам (1967- 69 г.)- Ю.И. Макаров.</w:t>
      </w:r>
    </w:p>
    <w:p w14:paraId="19FDC440" w14:textId="69FAC9B4"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технолог (1980-е)-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Г. Меньков; по авианесущим кораблям (1980-е)- И.В. Рыбаченко; по пр. 2020 (1980- е)- С.П. Вороненко. Гл. сварщик (-1974 г.)- B.C. Тюрин.</w:t>
      </w:r>
    </w:p>
    <w:p w14:paraId="375E7D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технолога- Л.А. Плясков.</w:t>
      </w:r>
    </w:p>
    <w:p w14:paraId="3EEE5A38" w14:textId="35B33B0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цехов: № 16-</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Г. Меньков, М. Г. Рыльский, (1976-90 г.)- Л.П. Трищенко; № 49 (1986 г.)- И.М. Патрик; котельного- С.Н. Астремский.</w:t>
      </w:r>
    </w:p>
    <w:p w14:paraId="5907DB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отделов: ОГК (1973-74 г.)- Ю.И. Макаров; гл. строителя (1976 г.)- И.И. Винник; АСУП</w:t>
      </w:r>
    </w:p>
    <w:p w14:paraId="1D79D0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(1980-е)- М. Г. Рыльский; ВЭС (03.1992-93 г.)- В.В. Бабич.</w:t>
      </w:r>
    </w:p>
    <w:p w14:paraId="6543410F" w14:textId="003B4649"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строитель (-1970-78 г.)- И.И. Винник («Киев», «Минск», «Новороссийск»), (1978-83 г.)- И.Н. Овдиенко («Новороссийск», «Баку», «Адмирал Кузнецов»), (1983-87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Г.И. Журенко («Баку», военные заказы), (-1991- 2000 г.-)- Е.М. Ентис («Адмирал Кузнецов», «Варяг»),</w:t>
      </w:r>
    </w:p>
    <w:p w14:paraId="6023DC5A" w14:textId="2207C03B"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зам. гл. строителя (1982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Г.И. Журенко. Зам. гл. строителя: по вооружению (1978 г.)- И.С. Мельницкий.</w:t>
      </w:r>
    </w:p>
    <w:p w14:paraId="5AC944DB" w14:textId="274EF2F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Старшие строители: (1960-е-72 г.-)- С.Н. Астремский («Ленинград», «Минек», «Адмирал Кузнецов»), (1988- 92 г.)- П.С. Герасимов (пр. 11437), (1975-82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Г.И. Журенко (пр. 11433), В.Н. Ковалев (авиационные комплексы «Минска», «Баку»), (-1967-76 г.-)- В.Н. Корчагин («Москва», «Ленинград», «Киев», «Баку»), (1962 г.-)- Ю.И. Макаров (траулеры), (1970 г.)- И.Н. Овдиенко («Академик Сергей Королев»), (-1973-81 г.-)- А.И. Середин (авиационный комплекс «Киева», НИТКА). Строители кораблей: Ю.Л. Бобков, (1978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Г.Н. Дмитриев (РК «Базальт» ТАКР «Минск»), (1973 г.)- В.Н. Ковалев (авиационный комплекс «Киева»), (1976 г.)- Л. Полевой, (1972 г.)- А.И. Середин (пр. 1143), (-1972-73 г.-)- М.С. Фещенко (авиационное вооружение пр. 1143), (1991 г.)- А. Школенко.</w:t>
      </w:r>
    </w:p>
    <w:p w14:paraId="76636F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Ответственные сдатчики: по корпусу (1980-е)- В.Н. Серебряный («Новороссийск»); комплекса авиационного вооружения (1970-е)- А.И. Середин («Киев»). Руководитель гарантийной команды (1983 г.)- А.Н. Панченко, (1988 г.)- В.Ф. Бабак.</w:t>
      </w:r>
    </w:p>
    <w:p w14:paraId="5FB6C2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бюро: отдела АСУП (1971 г.-)- М.М. Райхман; технологической подготовки цеха № 16</w:t>
      </w:r>
    </w:p>
    <w:p w14:paraId="013F46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(1980-е)- Л.Н. Шалыгина. Руководители групп: вооружения (1967 г.)- Н.П. Татаринов; конструкторской по вооружению (1977 г.-)- В.В. Бабич.</w:t>
      </w:r>
    </w:p>
    <w:p w14:paraId="7382D3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Капитан (1980-е)- Н.А. Деркач.</w:t>
      </w:r>
      <w:r w:rsidRPr="00070ADE">
        <w:rPr>
          <w:rFonts w:ascii="Times New Roman" w:hAnsi="Times New Roman"/>
          <w:color w:val="000000" w:themeColor="text1"/>
          <w:sz w:val="16"/>
          <w:szCs w:val="16"/>
          <w:vertAlign w:val="superscript"/>
        </w:rPr>
        <w:t>142</w:t>
      </w:r>
    </w:p>
    <w:p w14:paraId="7D0B43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 ПЛ:</w:t>
      </w:r>
      <w:r w:rsidRPr="00070ADE">
        <w:rPr>
          <w:rFonts w:ascii="Times New Roman" w:hAnsi="Times New Roman"/>
          <w:color w:val="000000" w:themeColor="text1"/>
          <w:sz w:val="16"/>
          <w:szCs w:val="16"/>
        </w:rPr>
        <w:t xml:space="preserve"> достройка серии ТХбис (1948)- 1; пр. 613 С-61, -62, -63, -64, -65, -66, -67, -68, -69, -70, -71, -72, -73, -74, -75, -76, -77, -78, -79, -86, -87, -88, -89, -90, -91, -95, -96, -97, -98, -217, -218, -219, -220, -221, -222, - 223, -224, -225, -226, -227, -228, -229, -230, -231, -232, -233, -234, -235, -236, -237, -238, -239, -240, -241, -242, -243, - 244, -245, -246, -250, -374, -375, -376, -377, -378, -379, -380, -381, -382, -383, -384 (1952-57)- 72;</w:t>
      </w:r>
      <w:r w:rsidRPr="00070ADE">
        <w:rPr>
          <w:rFonts w:ascii="Times New Roman" w:hAnsi="Times New Roman"/>
          <w:iCs/>
          <w:color w:val="000000" w:themeColor="text1"/>
          <w:sz w:val="16"/>
          <w:szCs w:val="16"/>
        </w:rPr>
        <w:t xml:space="preserve"> крейсеры: </w:t>
      </w:r>
      <w:r w:rsidRPr="00070ADE">
        <w:rPr>
          <w:rFonts w:ascii="Times New Roman" w:hAnsi="Times New Roman"/>
          <w:color w:val="000000" w:themeColor="text1"/>
          <w:sz w:val="16"/>
          <w:szCs w:val="16"/>
        </w:rPr>
        <w:t>достройка пр. 68К «Фрунзе», «Куйбышев» (1947-), rip. 68бис «Дзержинский» (зак. № 374, 12.1948-08.1950, 08.1952), «Адмирал Нахимов» (зак. № 375, 06.1950-06.1951, 03.1953), «Михаил Кутузов» (зак. № 385, 02.1951- 11.1952, 12.1954), пр. 68бис-ЗИФ «Адмирал Корнилов» (зак. № 395, 11.1951-03.1954), зак. 366 (1952- не достроен); пр. 82 «Сталинград» (зак. № 400, 12.1951-53-, не достроен); противолодочные пр. 1123 «Кондор» «Москва» (зак. 701, 12.1962-01.1965), «Ленинград» (зак. 702, 01.1965-07.1967); ТАКР пр. 1143 «Кречет» «Киев» (зак. 101, 07.1970-12.1972), «Минск» (зак. 102, 12.1972-09.1975), пр. 1143.3 «Новороссийск» (зак. 103, 09.1975- 12.1978), пр. 1143.4 «Баку» (зак. 104, «Адмирал Горшков») (12.1978-03.1982), пр. 1143.5 «Рига» (зак. 105, «Леонид Брежнев», «Тбилиси», «Адмирал Кузнецов») (09.1982-12.1985), «Рига» (зак. 106, «Варяг») (12.1985- 11.1988), пр. 1143.7 «Ульяновск» (зак. 107, 11.1988-92, не достроен);</w:t>
      </w:r>
      <w:r w:rsidRPr="00070ADE">
        <w:rPr>
          <w:rFonts w:ascii="Times New Roman" w:hAnsi="Times New Roman"/>
          <w:iCs/>
          <w:color w:val="000000" w:themeColor="text1"/>
          <w:sz w:val="16"/>
          <w:szCs w:val="16"/>
        </w:rPr>
        <w:t xml:space="preserve"> плавбазы ПЛ:</w:t>
      </w:r>
      <w:r w:rsidRPr="00070ADE">
        <w:rPr>
          <w:rFonts w:ascii="Times New Roman" w:hAnsi="Times New Roman"/>
          <w:color w:val="000000" w:themeColor="text1"/>
          <w:sz w:val="16"/>
          <w:szCs w:val="16"/>
        </w:rPr>
        <w:t xml:space="preserve"> пр. 310 (1958-60)- 6, пр. 1886 (1963-72)- 6, пр. 1886М (1972)- 1, учебный корабль пр. 1886У (1970-71)- 2;</w:t>
      </w:r>
      <w:r w:rsidRPr="00070ADE">
        <w:rPr>
          <w:rFonts w:ascii="Times New Roman" w:hAnsi="Times New Roman"/>
          <w:iCs/>
          <w:color w:val="000000" w:themeColor="text1"/>
          <w:sz w:val="16"/>
          <w:szCs w:val="16"/>
        </w:rPr>
        <w:t xml:space="preserve"> плавучие техбазы:</w:t>
      </w:r>
      <w:r w:rsidRPr="00070ADE">
        <w:rPr>
          <w:rFonts w:ascii="Times New Roman" w:hAnsi="Times New Roman"/>
          <w:color w:val="000000" w:themeColor="text1"/>
          <w:sz w:val="16"/>
          <w:szCs w:val="16"/>
        </w:rPr>
        <w:t xml:space="preserve"> несамоходные пр. 323, пр. 323А (1962-65)- всего 3, пр. 323Б (1970), пр. 323В (1978); ракетно-техническая пр. 2001 (1971); перезарядки реакторов ЯЭУ пр. 2020 (1984-90)- 3, зак. 698 (-1992, не достроена); плавмастерские пр. 725 (1960- 62)- 3, пр. 725А (1964-66)- 2; малые плавдоки пр. 28 (1953-56);</w:t>
      </w:r>
      <w:r w:rsidRPr="00070ADE">
        <w:rPr>
          <w:rFonts w:ascii="Times New Roman" w:hAnsi="Times New Roman"/>
          <w:iCs/>
          <w:color w:val="000000" w:themeColor="text1"/>
          <w:sz w:val="16"/>
          <w:szCs w:val="16"/>
        </w:rPr>
        <w:t xml:space="preserve"> танкеры:</w:t>
      </w:r>
      <w:r w:rsidRPr="00070ADE">
        <w:rPr>
          <w:rFonts w:ascii="Times New Roman" w:hAnsi="Times New Roman"/>
          <w:color w:val="000000" w:themeColor="text1"/>
          <w:sz w:val="16"/>
          <w:szCs w:val="16"/>
        </w:rPr>
        <w:t xml:space="preserve"> пр. 563 «Казбек» (09.1950-09.1951); «панамаксы»: зак. 201, 202 для Норвегии (03.1992-93, не построены), для Греции (1990-е);</w:t>
      </w:r>
      <w:r w:rsidRPr="00070ADE">
        <w:rPr>
          <w:rFonts w:ascii="Times New Roman" w:hAnsi="Times New Roman"/>
          <w:iCs/>
          <w:color w:val="000000" w:themeColor="text1"/>
          <w:sz w:val="16"/>
          <w:szCs w:val="16"/>
        </w:rPr>
        <w:t xml:space="preserve"> сухогрузы:</w:t>
      </w:r>
      <w:r w:rsidRPr="00070ADE">
        <w:rPr>
          <w:rFonts w:ascii="Times New Roman" w:hAnsi="Times New Roman"/>
          <w:color w:val="000000" w:themeColor="text1"/>
          <w:sz w:val="16"/>
          <w:szCs w:val="16"/>
        </w:rPr>
        <w:t xml:space="preserve"> пр. 567 «Ленинский комсомол»</w:t>
      </w:r>
    </w:p>
    <w:p w14:paraId="343A28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(1959-)- 25 (вместе с заводом 873); пр. 594 типа «Полтава» (1962-)- 1, пр. 595 типа «Бежица» (1962-)- 1, пр. 1568 «Капитан Кушнаренко» (1967-75)- 21; контейнеровозы пр. 1609 «Капитан Смирнов» (1978-), «Капитан Мезенцев», «Инженер Ермошкин», «Владимир Васляев»; БМРТ пр. 394 «Маяковский» (1956-03.1958), (1958-78)- всего более 380 (вместе с заводом «Балтия»); пр. 394А «Пионер Латвии» (1969-), пр. 394АМ «Кронштадт» (1971- )- всего около 150; пр. 1288 «Пулковский меридиан» (1974-90)- более 80;</w:t>
      </w:r>
      <w:r w:rsidRPr="00070ADE">
        <w:rPr>
          <w:rFonts w:ascii="Times New Roman" w:hAnsi="Times New Roman"/>
          <w:iCs/>
          <w:color w:val="000000" w:themeColor="text1"/>
          <w:sz w:val="16"/>
          <w:szCs w:val="16"/>
        </w:rPr>
        <w:t xml:space="preserve"> суда cnetfназначения для ВМФ:</w:t>
      </w:r>
      <w:r w:rsidRPr="00070ADE">
        <w:rPr>
          <w:rFonts w:ascii="Times New Roman" w:hAnsi="Times New Roman"/>
          <w:color w:val="000000" w:themeColor="text1"/>
          <w:sz w:val="16"/>
          <w:szCs w:val="16"/>
        </w:rPr>
        <w:t xml:space="preserve"> больше разведывательные корабли пр. 394Б, пр. 994 (1969-72)- всего 6; пр. 10221 (1986)- 1, пр. 12884 (1992)- 1; китобойные базы пр. 392 «Советская Украина» (1959), «Советская Россия» (1961); научно-промысловое судно «Академик Книпович» (1964); плавучий измерительный пункт пр. 1908 «Академик Сергей Королев» (1969- 12.1970); буксир-спасатель пр. 1454 «Пурга», «Напористый» (1974-);</w:t>
      </w:r>
      <w:r w:rsidRPr="00070ADE">
        <w:rPr>
          <w:rFonts w:ascii="Times New Roman" w:hAnsi="Times New Roman"/>
          <w:color w:val="000000" w:themeColor="text1"/>
          <w:sz w:val="16"/>
          <w:szCs w:val="16"/>
          <w:vertAlign w:val="superscript"/>
        </w:rPr>
        <w:t>116</w:t>
      </w:r>
      <w:r w:rsidRPr="00070ADE">
        <w:rPr>
          <w:rFonts w:ascii="Times New Roman" w:hAnsi="Times New Roman"/>
          <w:color w:val="000000" w:themeColor="text1"/>
          <w:sz w:val="16"/>
          <w:szCs w:val="16"/>
        </w:rPr>
        <w:t xml:space="preserve"> паровые котлы: КВН 98/64 для ТАКР «Баку», КВГ-2-1 для НИТКА (1970-е); взлетно-посадочные блоки испытательного комплекса НИТКА (1970-е); моторная лодка «Южанка» (1950-е); </w:t>
      </w:r>
      <w:r w:rsidRPr="00070ADE">
        <w:rPr>
          <w:rFonts w:ascii="Times New Roman" w:hAnsi="Times New Roman"/>
          <w:iCs/>
          <w:color w:val="000000" w:themeColor="text1"/>
          <w:sz w:val="16"/>
          <w:szCs w:val="16"/>
        </w:rPr>
        <w:t>переоборудование:</w:t>
      </w:r>
      <w:r w:rsidRPr="00070ADE">
        <w:rPr>
          <w:rFonts w:ascii="Times New Roman" w:hAnsi="Times New Roman"/>
          <w:color w:val="000000" w:themeColor="text1"/>
          <w:sz w:val="16"/>
          <w:szCs w:val="16"/>
        </w:rPr>
        <w:t xml:space="preserve"> ПЛ: пр. 613 по пр. В613 с БР (1957); С-229 пр. 613 по пр. 613АД с КР П-70 «Аметист» (1963-64); С-65 пр. 613 по пр. 613РВ (04-06.1965); крейсера пр. 68бис-ЗИФ «Адмирал Нахимов» по пр. 67ЭП (1955).</w:t>
      </w:r>
    </w:p>
    <w:p w14:paraId="361E664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Специальное технологическое бюро № 82 (СТБ-82)</w:t>
      </w:r>
    </w:p>
    <w:p w14:paraId="4747053E" w14:textId="1366E3BC"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на заводе № 444 в 1950-е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для сопровождения строительства головного тяжелого крейсера пр. 82 и разработки технологической документации по нему для других заводов.</w:t>
      </w:r>
      <w:r w:rsidRPr="00070ADE">
        <w:rPr>
          <w:rFonts w:ascii="Times New Roman" w:hAnsi="Times New Roman"/>
          <w:color w:val="000000" w:themeColor="text1"/>
          <w:sz w:val="16"/>
          <w:szCs w:val="16"/>
          <w:vertAlign w:val="superscript"/>
        </w:rPr>
        <w:t>142</w:t>
      </w:r>
    </w:p>
    <w:p w14:paraId="0AA0E5A2" w14:textId="1BC415D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КБ-444 завода № 444 МСП, ЦКБ-21 МСП, ЦКБ «Черноморсудопроект» (ЧСП), ОАО «ЧСП» /Украина 54010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Николаев ул. Бузника, 5/</w:t>
      </w:r>
    </w:p>
    <w:p w14:paraId="59961D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ЦКБ-21 было образовано на базе КБ Черноморского судостроительного завода (КБ-444) приказом МСП № 383 от 22.12.1955 г. для создания морских транспортных судов. 30.08.1957 г. был утверждён первый технический проект ЦКБ - сухогруза пр. 567, переданный сюда из ЦКБ-32.</w:t>
      </w:r>
    </w:p>
    <w:p w14:paraId="6EFAFEDA" w14:textId="6463D86A"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1960-х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сюда из ЦКБ-17 переданы работы по проектированию плавмастерской для АПЛ пр. 725А.</w:t>
      </w:r>
    </w:p>
    <w:p w14:paraId="2E0FE3D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1966 г. ЦКБ-21 переименовано в ЦКБ «Черноморсудопроект». В 1968 г. ЦКБ присвоено звание «Конструкторское бюро I категории». В 1990 г. изменена организационная структура ЧСП: образованы укрупнённые самостоятельные подразделения КБ-1, КБ-2, КБ-3. Образована дочерняя фирма «Юг-СП».</w:t>
      </w:r>
    </w:p>
    <w:p w14:paraId="32A45F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ПСМ № 706-264 от 3.09.1968 г. начато проектирование плавучего КИК «Академик Сергей Королев» для обеспечения полета комплекса Н1-ЛЗ.</w:t>
      </w:r>
    </w:p>
    <w:p w14:paraId="66E845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1978 г. ВМФ выдано задание на проектирование ПЛ вертолетоносца пр. 10200 на базе ролкера «Капитан Смирнов», в 1980 г. министром обороны работы прекращены.</w:t>
      </w:r>
    </w:p>
    <w:p w14:paraId="77BEC1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Здесь созданы: первый отечественный (и в мире) сухогруз с максимальным раскрытием парных палубных люков- пр. 594; первый отечественный корабль комплексного снабжения кораблей ВМФ с устройствами передачи боезапаса, грузов и топлива на ходу «Березина»; уникальное судно снабжения Арктики с грузообработкой вертолётами собственного базирования пр. 10620 «Витус Беринг»; в конце 1970-х - первый отечественный лихтеровоз пр. 17502.</w:t>
      </w:r>
    </w:p>
    <w:p w14:paraId="6C18C7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(1956-1965 г.)- А.Р. Золотухин, (1970 г.)- С.М. Козлов, (-1995 г.)- Ю. Т. Каменецкий. Гендиректор (2007 г.)- В.Н. Пикинер.</w:t>
      </w:r>
    </w:p>
    <w:p w14:paraId="0DADB9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Технический директор (2007 г.)- В.В. Панков.</w:t>
      </w:r>
    </w:p>
    <w:p w14:paraId="5CA325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(1948 г.)- М.И. Жулай (пр. 48к), (-1957-62 г.-)- Б.К. Сидоров (пр. 567, 594).</w:t>
      </w:r>
    </w:p>
    <w:p w14:paraId="79D491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К.Ф Иваницкий, (1971-78 г.-)- Ю.Т. Каменецкий, М. Г. Черноморенко.</w:t>
      </w:r>
    </w:p>
    <w:p w14:paraId="6AECEFE6" w14:textId="6CD5A365"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конструкторы: (1970-е-87 г.-)- В.К. Ивженко (пр. 1609, 16091), (-1978-80 г.-&gt; Ю.Т. Каменецкий (пр. 10200), А.П. Клименко (пр. 15941), (1980-е)- Н.Т. Кныш пр. 13476), (1970 г.)- С.М. Козлов (пр. 1908), (1960-е)- Л.Р. Козырчук (пр. 1361, 1376), А.В. Корженовский, (1983 г.)- С.Б. Косовский (пр. 10620), О. Г. Кочерга, В.В. Криницкий, К.К. Леснов, (-1967-87 г.-)- В.А. Панков (пр. 1563, 1592, 1597, 10621, 17502), А. Г. Пляка, (1960-е-70 г.- )- Ф. В. Сибирь (пр. 567, 1347, 1568, 1584), (1971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Г.М. Филатов (пр. 1585), (-1966-70-е)- А.Ф. Цыбенко (пр. 1573, 1574, 1593), (1960-е-70-е)- Д.С. Шаманов (пр. 725А, 925, 1833), В.Т. Щербинин, (1950-е)- Э. Г. Юсупов (пр. 582).</w:t>
      </w:r>
    </w:p>
    <w:p w14:paraId="1EBC4D4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конструкторов: (1970 г.)- Ю.Т. Каменецкий, (1978 г.)- М. Г. Черноморенко (пр. 10200).</w:t>
      </w:r>
    </w:p>
    <w:p w14:paraId="38EE81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w:t>
      </w:r>
      <w:r w:rsidRPr="00070ADE">
        <w:rPr>
          <w:rFonts w:ascii="Times New Roman" w:hAnsi="Times New Roman"/>
          <w:color w:val="000000" w:themeColor="text1"/>
          <w:sz w:val="16"/>
          <w:szCs w:val="16"/>
        </w:rPr>
        <w:t xml:space="preserve"> лидер пр. 48к (1949); противолодочный вертолетоносец пр. 10200 «Халзан» (1978-80, не реализован); большие разведывательные корабли пр. 394Б, пр. 994 (1960-е); эксплуатационное судно «Воейков» (1961); пр. 224 переоборудования траулера пр. 394 в экспедиционное гидрометеорологическое судно (1958); плавмастерские: пр. 725А (1964), пр. 925 (1970-е, не реализован);</w:t>
      </w:r>
      <w:r w:rsidRPr="00070ADE">
        <w:rPr>
          <w:rFonts w:ascii="Times New Roman" w:hAnsi="Times New Roman"/>
          <w:iCs/>
          <w:color w:val="000000" w:themeColor="text1"/>
          <w:sz w:val="16"/>
          <w:szCs w:val="16"/>
        </w:rPr>
        <w:t xml:space="preserve"> сухогрузы:</w:t>
      </w:r>
      <w:r w:rsidRPr="00070ADE">
        <w:rPr>
          <w:rFonts w:ascii="Times New Roman" w:hAnsi="Times New Roman"/>
          <w:color w:val="000000" w:themeColor="text1"/>
          <w:sz w:val="16"/>
          <w:szCs w:val="16"/>
        </w:rPr>
        <w:t xml:space="preserve"> пр. 567 (1957), пр. 594 типа «Полтава» (1962), пр. 595 типа «Бежйца» (1962), пр. 1563 типа «Славянск» (1967), пр. 1568 «Капитан Кушнаренко» (1966), быстроходный пр. 1584 типа «Котлин» (1970, не реализован), универсальный пр. 1585 типа «Герои-панфиловцы» (1971), экспортный пр. 1585Э (1974); с горизонтальной грузообработкой (ролкер) пр. 1609 типа «Капитан Смирнов» (1977), пр. 16091 (1987, не реализован); типа «Иргиз», «Парижская коммуна»; большой морозильный рыболовный траулер (БМРТ) пр. 1376 «Алтай» (1969), пр. 1386 типа «Горизонт» (1974); плавучий КИК пр. 1908 «Канопус» «Академик Сергей Королёв» на базе пр. 1568 (1970); контейнеровоз пр. 1597 типа «Александр Фадеев» (1972);</w:t>
      </w:r>
      <w:r w:rsidRPr="00070ADE">
        <w:rPr>
          <w:rFonts w:ascii="Times New Roman" w:hAnsi="Times New Roman"/>
          <w:iCs/>
          <w:color w:val="000000" w:themeColor="text1"/>
          <w:sz w:val="16"/>
          <w:szCs w:val="16"/>
        </w:rPr>
        <w:t xml:space="preserve"> рефрижераторы:</w:t>
      </w:r>
      <w:r w:rsidRPr="00070ADE">
        <w:rPr>
          <w:rFonts w:ascii="Times New Roman" w:hAnsi="Times New Roman"/>
          <w:color w:val="000000" w:themeColor="text1"/>
          <w:sz w:val="16"/>
          <w:szCs w:val="16"/>
        </w:rPr>
        <w:t xml:space="preserve"> пр. 582 типа «Таврия» (1958), пр. 1347 типа «50 лет СССР», транспортный пр. 13476 типа «Бухта Русская» (1984); морозильное судно пр. 1361 типа «Зеленодольск» (1962); </w:t>
      </w:r>
      <w:r w:rsidRPr="00070ADE">
        <w:rPr>
          <w:rFonts w:ascii="Times New Roman" w:hAnsi="Times New Roman"/>
          <w:iCs/>
          <w:color w:val="000000" w:themeColor="text1"/>
          <w:sz w:val="16"/>
          <w:szCs w:val="16"/>
        </w:rPr>
        <w:t>рудовозы:</w:t>
      </w:r>
      <w:r w:rsidRPr="00070ADE">
        <w:rPr>
          <w:rFonts w:ascii="Times New Roman" w:hAnsi="Times New Roman"/>
          <w:color w:val="000000" w:themeColor="text1"/>
          <w:sz w:val="16"/>
          <w:szCs w:val="16"/>
        </w:rPr>
        <w:t xml:space="preserve"> пр. 1573 типа «Риголетто» (1966), пр. 1574 типа «Зоя Космодемьянская» (1972), пр. 1592 типа «Капитан Панфилов» (1974), нефтерудовозы пр. 1593 типа «Борис Бутома» (1975), пр. 15941 типа «Харитон Греку»; корабль комплексного снабжения пр. 1833 «Пегас» (1976); лихтеровоз пр. 17502 типа «Алексей Косыгин» (1980); научно-исследовательские суда: пр. 1924С и пр. 1924У (1984, совместно с ЦКБ «Балтсудопроект»), «Академик Николай Андреев»; суда снабжения пр. 10620 «Витус Беринг» (1983), пр. 10621 типа «Иван Папанин» (1987); лесовоз-пакетовоз «RAMON ABOITIZ», балкер «Киев», многоцелевой буксир «Гайдамака» (11982).</w:t>
      </w:r>
    </w:p>
    <w:p w14:paraId="30F7695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E91522D" w14:textId="67432914"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апреля 1944 г. в соответствии с пост. ГКО № 5696 на месте довоенного завода № 200 был организован Завод № 445 НКСП , Завод им. 61-го коммунара, Николаевский судостроительный завод им. 61-го коммунара /Украина 54014</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Николаев ул. Адмиральская, 38/. После оккупации завод был полностью разрушен (сохранилось только здание столовой и два котла из 4 заводской котельной). В 09.1944 г. была восстановлена электростанция. 13.01.1945 г. вышло постановление ГКО № 7320 о мероприятиях по оказанию помощи заводу. 11.03.1945 г. вышло постановление ГКО № 7784 о ходе восстановительных работ на заводе; 13.03.1945 г. - распоряжение ГКО № 7795 о поставке на завод стройматериалов; 23.03.1945 г. - новое распоряжение ГКО № 7915 о мерах неотложной помощи заводу. Пост. ГКО № 7960 от 31.03.1945 г. утвержден план восстановления и строительства завода в 1945 г. С 1945 г. начато производство понтонов, барж, пассажирских катеров. Позднее - строительство военных кораблей.</w:t>
      </w:r>
      <w:r w:rsidRPr="00070ADE">
        <w:rPr>
          <w:rFonts w:ascii="Times New Roman" w:hAnsi="Times New Roman"/>
          <w:color w:val="000000" w:themeColor="text1"/>
          <w:sz w:val="16"/>
          <w:szCs w:val="16"/>
          <w:vertAlign w:val="superscript"/>
        </w:rPr>
        <w:t>61</w:t>
      </w:r>
    </w:p>
    <w:p w14:paraId="480A4F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1953-55 г. построен по пр. 56ЭМ эсминец «Бедовый», ставший первым в мире ракетоносцем - носителем ПКР «КСЩ».</w:t>
      </w:r>
    </w:p>
    <w:p w14:paraId="4EA55C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1959-63 г. на заводе создана первая в стране система автоматизации плазовых работ «Авангард».</w:t>
      </w:r>
    </w:p>
    <w:p w14:paraId="38E5BD5A" w14:textId="0FBA41EA"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1960-е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на заводе действовал цех № 2 электромонтажного предприятия «Эра».</w:t>
      </w:r>
    </w:p>
    <w:p w14:paraId="609DE4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1970 г. на правом берегу р. Ингул начато строительство нового судостроительного комплекса: были построены механо-сборочный и монтажно-достроечный цехи. В 1973 г. введен в эксплуатацию новый продольный наклонный стапель длиной 300 м. В 1986 г. построена достроечная набережная; проведена реконструкция стапеля № 3, его размеры доведены до 218х 42 м и позволяют строить суда массой корпуса до 28 тыс. т. В 1987 г. построены: стоянка плавдока;- энергетические сети и сооружения; начато строительство двух открытых стапелей размером по 220х 26 м. В 1988 г. построен крупнейший цех по производству изделий машиностроения. В связи с развалом СССР работы не завершены.</w:t>
      </w:r>
    </w:p>
    <w:p w14:paraId="2461AA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(1999 г.): достройка ракетного крейсера пр. 1164 «Украина»; (2000-е): строительство судов малого и среднего тоннажа.</w:t>
      </w:r>
    </w:p>
    <w:p w14:paraId="51D613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Производственные мощности завода размещены (2000-е) в 286 промышленных зданиях и 165 сооружениях.</w:t>
      </w:r>
    </w:p>
    <w:p w14:paraId="1CB1B9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Площадь: территории (2003 г.)-1414 тыс. 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 производственная (2003 г.)- 476, 5 тыс. 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w:t>
      </w:r>
    </w:p>
    <w:p w14:paraId="69168D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(2003 г.)- 32.500 чел.</w:t>
      </w:r>
    </w:p>
    <w:p w14:paraId="21331825" w14:textId="6FD0E0ED"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(1944-50 г.)- И.С. Прибыльский, (1950-59 г.)- А.Б. Ганькевич, (1965-76 г.)- В.Н. Андрианов, (1976- 86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Г.М. Балабаев, (04.1986 г.-)- И.Н. Овдиенко. Гендиректор (2000-06 г.)- В. Агафонов, (2006 г.-)- И. Козырев.</w:t>
      </w:r>
    </w:p>
    <w:p w14:paraId="403215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гендиректора (2001 г.)- А. Михельсон.</w:t>
      </w:r>
    </w:p>
    <w:p w14:paraId="5C74F2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цехов: достроечного (-1950 г.)- А.Б. Ганькевич.</w:t>
      </w:r>
    </w:p>
    <w:p w14:paraId="0D7581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 эсминцы:</w:t>
      </w:r>
      <w:r w:rsidRPr="00070ADE">
        <w:rPr>
          <w:rFonts w:ascii="Times New Roman" w:hAnsi="Times New Roman"/>
          <w:color w:val="000000" w:themeColor="text1"/>
          <w:sz w:val="16"/>
          <w:szCs w:val="16"/>
        </w:rPr>
        <w:t xml:space="preserve"> пр. 30К (1949)- 1, пр. ЗОбис (1949-52)- 18; пр. 56 (1955-57)- 8; пр. 56Э «Бедовый» (12.1953-07.1955), достройка по пр. 56ЭМ (-07.1958), пр. 56М «Прозорливый» (09.1956-58), «Проворный» (- 12.1958); пр. 57бис «Гневный», «Упорный», «Бойкий» (1960-61);</w:t>
      </w:r>
      <w:r w:rsidRPr="00070ADE">
        <w:rPr>
          <w:rFonts w:ascii="Times New Roman" w:hAnsi="Times New Roman"/>
          <w:iCs/>
          <w:color w:val="000000" w:themeColor="text1"/>
          <w:sz w:val="16"/>
          <w:szCs w:val="16"/>
        </w:rPr>
        <w:t xml:space="preserve"> крейсеры</w:t>
      </w:r>
      <w:r w:rsidRPr="00070ADE">
        <w:rPr>
          <w:rFonts w:ascii="Times New Roman" w:hAnsi="Times New Roman"/>
          <w:color w:val="000000" w:themeColor="text1"/>
          <w:sz w:val="16"/>
          <w:szCs w:val="16"/>
        </w:rPr>
        <w:t>: пр. 68К «Фрунзе», «Куйбышев» (достройка заложенных перед войной, -1950); ракетные пр. 1164 «Атлант» «Слава» (11.1976-12.1982), «Маршал Устинов» (-09.1986), «Червона Украина» («Варяг») (-12.1989), «Адмирал Флота Лобов» («Украина») (-08.1990), «Россия» («Октябрьская революция») (1990, не достроен), «Адмирал Флота Советского Союза Горшков» (1990, не достроен);</w:t>
      </w:r>
      <w:r w:rsidRPr="00070ADE">
        <w:rPr>
          <w:rFonts w:ascii="Times New Roman" w:hAnsi="Times New Roman"/>
          <w:iCs/>
          <w:color w:val="000000" w:themeColor="text1"/>
          <w:sz w:val="16"/>
          <w:szCs w:val="16"/>
        </w:rPr>
        <w:t xml:space="preserve"> сторожевики:</w:t>
      </w:r>
      <w:r w:rsidRPr="00070ADE">
        <w:rPr>
          <w:rFonts w:ascii="Times New Roman" w:hAnsi="Times New Roman"/>
          <w:color w:val="000000" w:themeColor="text1"/>
          <w:sz w:val="16"/>
          <w:szCs w:val="16"/>
        </w:rPr>
        <w:t xml:space="preserve"> пр. 50 «Горностай» (1954-56)- 20;</w:t>
      </w:r>
      <w:r w:rsidRPr="00070ADE">
        <w:rPr>
          <w:rFonts w:ascii="Times New Roman" w:hAnsi="Times New Roman"/>
          <w:iCs/>
          <w:color w:val="000000" w:themeColor="text1"/>
          <w:sz w:val="16"/>
          <w:szCs w:val="16"/>
        </w:rPr>
        <w:t xml:space="preserve"> БПЛК:</w:t>
      </w:r>
      <w:r w:rsidRPr="00070ADE">
        <w:rPr>
          <w:rFonts w:ascii="Times New Roman" w:hAnsi="Times New Roman"/>
          <w:color w:val="000000" w:themeColor="text1"/>
          <w:sz w:val="16"/>
          <w:szCs w:val="16"/>
        </w:rPr>
        <w:t xml:space="preserve"> ракетные пр. 61 «Комсомолец Украины» (09.1959-12.1960), «Сообразительный» (-1963), «Проворный» (-1964), «Отважный» (-1965), «Стройный» (-1966), «Красный Кавказ» (-1967), «Решительный» (-1967), «Смышленый» (-1967), «Строгий» (-1968), «Сметливый» (- 1969), «Смелый» (-1969), «Красный Крым» (-1970), «Способный» (-1971), «Скорый» (-1972), пр. 61М «Сдержанный» (-1972), пр. 61МЭ для Индии "Rajput"(-1979), "Rana" (-1981), "Ranjit" (-1983), "Ranvir" (-1985), "Ranjivey" (-1987); пр. 1134Б «Николаев» (06.1968-12.1971), «Очаков» (-1973), «Керчь» (-1974), «Петропавловск» (-1976), «Ташкент» (-1977), «Таллинн» («Владивосток») (-12.1979), пр. 1134БФ «Азов» (-12.1975); речной бронекатер пр. 1204 (1967-72)- 118 (вместе с заводом «Залив»);</w:t>
      </w:r>
      <w:r w:rsidRPr="00070ADE">
        <w:rPr>
          <w:rFonts w:ascii="Times New Roman" w:hAnsi="Times New Roman"/>
          <w:iCs/>
          <w:color w:val="000000" w:themeColor="text1"/>
          <w:sz w:val="16"/>
          <w:szCs w:val="16"/>
        </w:rPr>
        <w:t xml:space="preserve"> спасательные суда:</w:t>
      </w:r>
      <w:r w:rsidRPr="00070ADE">
        <w:rPr>
          <w:rFonts w:ascii="Times New Roman" w:hAnsi="Times New Roman"/>
          <w:color w:val="000000" w:themeColor="text1"/>
          <w:sz w:val="16"/>
          <w:szCs w:val="16"/>
        </w:rPr>
        <w:t xml:space="preserve"> пр. 527 (1959-65)- 8, пр. 527П (1965)- 1, пр. 537 «Осьминог» (1980-88)- 2, пр. 05430 «Гиндукуш» (1986-, не достроен); судоподъемный корабль пр. 530 «Карпаты» (1967);</w:t>
      </w:r>
      <w:r w:rsidRPr="00070ADE">
        <w:rPr>
          <w:rFonts w:ascii="Times New Roman" w:hAnsi="Times New Roman"/>
          <w:iCs/>
          <w:color w:val="000000" w:themeColor="text1"/>
          <w:sz w:val="16"/>
          <w:szCs w:val="16"/>
        </w:rPr>
        <w:t xml:space="preserve"> рефрижераторы:</w:t>
      </w:r>
      <w:r w:rsidRPr="00070ADE">
        <w:rPr>
          <w:rFonts w:ascii="Times New Roman" w:hAnsi="Times New Roman"/>
          <w:color w:val="000000" w:themeColor="text1"/>
          <w:sz w:val="16"/>
          <w:szCs w:val="16"/>
        </w:rPr>
        <w:t xml:space="preserve"> пр. 569А «Сибирь» (1962-); пр. 582 «Таврия» (1959), (1960-е-)- 90; пр. 1347 «50 лет СССР» (1974-)- 18, транспортный пр. 13476 «Бухта Русская» (1985-90)- 8; китобойное судно пр. 393 «Мирный» (1960-е)- более 90; судно снабжения пр. 1833 «Пегас» «Березина» (1977); понтоны пр. К-4183 (1950-е);</w:t>
      </w:r>
    </w:p>
    <w:p w14:paraId="6FF819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lastRenderedPageBreak/>
        <w:t>переоборудование:</w:t>
      </w:r>
      <w:r w:rsidRPr="00070ADE">
        <w:rPr>
          <w:rFonts w:ascii="Times New Roman" w:hAnsi="Times New Roman"/>
          <w:color w:val="000000" w:themeColor="text1"/>
          <w:sz w:val="16"/>
          <w:szCs w:val="16"/>
        </w:rPr>
        <w:t xml:space="preserve"> эсминцев: пр. 56 «Бравый» по пр. 56К (1959-60), пр. 57Б по пр. 57А (1968-73)- 8 (вместе с заводами 190 и 202); БПЖ пр. 61 по пр. 61МП (1971-81)- 5 (вместе с заводами 190 и 497); модернизация судов пр. 527 по пр. 527М (1970-е);</w:t>
      </w:r>
      <w:r w:rsidRPr="00070ADE">
        <w:rPr>
          <w:rFonts w:ascii="Times New Roman" w:hAnsi="Times New Roman"/>
          <w:color w:val="000000" w:themeColor="text1"/>
          <w:sz w:val="16"/>
          <w:szCs w:val="16"/>
          <w:vertAlign w:val="superscript"/>
        </w:rPr>
        <w:t>116</w:t>
      </w:r>
      <w:r w:rsidRPr="00070ADE">
        <w:rPr>
          <w:rFonts w:ascii="Times New Roman" w:hAnsi="Times New Roman"/>
          <w:color w:val="000000" w:themeColor="text1"/>
          <w:sz w:val="16"/>
          <w:szCs w:val="16"/>
        </w:rPr>
        <w:t xml:space="preserve"> капремонт: ракетный крейсер «Москва» (-07.1999) (11982).</w:t>
      </w:r>
    </w:p>
    <w:p w14:paraId="1BF05ED8" w14:textId="77777777" w:rsidR="000F02F6" w:rsidRPr="00070ADE" w:rsidRDefault="000F02F6" w:rsidP="00B56F90">
      <w:pPr>
        <w:autoSpaceDE w:val="0"/>
        <w:autoSpaceDN w:val="0"/>
        <w:adjustRightInd w:val="0"/>
        <w:spacing w:after="0" w:line="240" w:lineRule="auto"/>
        <w:jc w:val="both"/>
        <w:rPr>
          <w:rFonts w:ascii="Times New Roman" w:hAnsi="Times New Roman"/>
          <w:color w:val="000000" w:themeColor="text1"/>
          <w:sz w:val="16"/>
          <w:szCs w:val="16"/>
        </w:rPr>
      </w:pPr>
    </w:p>
    <w:p w14:paraId="6F73484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апреля 1944 вышло Постановление ГКО № 5697 О плане и материально-техническом обеспечении производства запасных частей к тракторам и сельскохозяйственным машинам на II квартал 1944 г. по заводам Наркомсредмаша. РГАНИР, Фонд ГКО, д. 241, лл. 152-163,164-190 (11012).</w:t>
      </w:r>
    </w:p>
    <w:p w14:paraId="34A8B46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71D50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апреля 1944 вышло Распоряжение ГКО № 5698. О мерах по обеспечению увеличения производства взрывателей для артиллерийских снарядов на заводах № 260 и 564 НКБ. РГАНИР, Фонд ГКО, д. 241, лл. 191-192,193 (11012).</w:t>
      </w:r>
    </w:p>
    <w:p w14:paraId="4A94AF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51EBFB6" w14:textId="77777777" w:rsidR="000F02F6"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7AD71A6" w14:textId="77777777" w:rsidR="000F02F6" w:rsidRPr="00070ADE" w:rsidRDefault="000F02F6"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EDC08C"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апреля в 1944 году оперативная сводка Совинформбюро:</w:t>
      </w:r>
    </w:p>
    <w:p w14:paraId="3300B37F"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21 апреля юго-восточнее города Станислав наши войска отбивали атаки крупных сил пехоты и танков противника. Огнём наших частей уничтожено 68 немецких танков. Противник потерял только убитыми более 1.500 солдат и офицеров.</w:t>
      </w:r>
    </w:p>
    <w:p w14:paraId="3CF2D38C"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поиски разведчиков.</w:t>
      </w:r>
    </w:p>
    <w:p w14:paraId="4AAA757B"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20 апреля наши войска на всех фронтах подбили и уничтожили 59 немецких танков. В воздушных боях и огнём зенитной артиллерии сбито 69 самолётов противника.</w:t>
      </w:r>
    </w:p>
    <w:p w14:paraId="0869BE70"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Бомбардировка нашей авиацией сланцеперегоночных заводов в Эстонии.</w:t>
      </w:r>
    </w:p>
    <w:p w14:paraId="5BBB7E7E"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21 апреля наша авиация дальнего действия подвергла бомбардировке сланцеперегоночные заводы у железнодорожной станции Кохтла и у посёлка Куртна-Лагерь (Эстонская ССР). В результате бомбардировки на территории заводоввозникли многочисленные пожары, сопровождавшиеся взрывами.</w:t>
      </w:r>
    </w:p>
    <w:p w14:paraId="42F07D44"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Особенно сильные взрывы происходили на сланцеперегоночном заводе у посёлка Куртна-Лагерь. Пожары наблюдались нашими лётчиками с расстояния в 80 километров.</w:t>
      </w:r>
    </w:p>
    <w:p w14:paraId="1F027D36"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наши самолёты вернулись на свои аэродромы.</w:t>
      </w:r>
    </w:p>
    <w:p w14:paraId="3D8A3C7C"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юго-востоку от города Станислав наши войска отбивали атаки противника. Под покровом ночной темноты немцы пытались выйти в тыл нашим войскам, но были отброшены с большими для них потерями. Утром противник, получив подкрепления, бросил в наступление крупные силы пехоты, танков и самоходных орудий. Завязались ожесточённые бои, неоднократно переходившие в рукопашные схватки. На одном участке советские пехотинцы и артиллеристы отразили семь вражеских контратак, уничтожив при этом до батальона гитлеровцев, 16 танков и самоходных орудий, 4 бронемашины и 5 бронетранспортёров. В другом районе героически дрались бойцы и офицеры нашей противотанковой артиллерии. Они обрушили шквал огня на скопления войск противника. Отбивая атаки гитлеровцев, советские артиллеристы подбили и сожгли 52 немецких танка. Тем самым попытки противника крупными силами танков прорвать нашу оборону были сорваны. Немецкая пехота, следовавшая за танками, была прижата к земле, понесла большие потери и отошла на исходные позиции.</w:t>
      </w:r>
    </w:p>
    <w:p w14:paraId="7B3F3FE7"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Лётчики-штурмовики под командованием гвардии подполковника Ковшикова, действуя отдельными парами, в сложных метеорологических условиях, наносили удары по железнодорожным коммуникациям и войскам противника. Советские лётчики уничтожили несколько немецких танков, 20 автомашин, 2 паровоза, 25 вагонов и взорвали два склада боеприпасов.</w:t>
      </w:r>
    </w:p>
    <w:p w14:paraId="44837F79"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Северного флота нанесла бомбовый удар по каравану судов противника и потопила транспорт водоизмещением в 2.000 тонн, два мотобота и один сторожевой катер.</w:t>
      </w:r>
    </w:p>
    <w:p w14:paraId="03BE16DC"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Лётчиками Краснознамённого Балтийского флота потоплены в Финском заливе тральщик и сторожевой катер противника.</w:t>
      </w:r>
    </w:p>
    <w:p w14:paraId="2E7F977E"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Львовской области, в течение одного дня пустил под откос три немецких воинских эшелона, следовавших к линии фронта. В результате крушений уничтожены 2 танка, 2 орудия и убито свыше 100 гитлеровцев. Группа молдавских партизан взорвала большой мост на важном участке шоссейной дороги. Около взорванного моста скопилось много автомашин противника. Партизаны огнём из противотанковых ружей вывели из строя несколько легковых и грузовых автомашин.</w:t>
      </w:r>
    </w:p>
    <w:p w14:paraId="6FE37EA2"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Тарнополе взят в плен немецкий подполковник Генрих Кайенбург — адъютант начальника тарнопольского гарнизона генерал-майора Нейдорфа. Пленный подполковник заявил: «Генерал Нейдорф прибыл в Тарнополь в середине марта и сменил бывшего коменданта крепости генерала Киттеля. Нейдорф получил от Гитлера категорический приказ удержать город любой ценой. Из окружённого русскими войсками Тарнополя мы неоднократно посылали Гитлеру радиограммы, в которых настойчиво просили прислать подкрепления. В одной радиограмме Нейдорф сообщил о тяжёлых потерях, понесённых в боях, и охарактеризовал положение немецкого гарнизона, как совершенно безнадёжное. В ответной радиограмме Гитлер снова потребовал, не считаясь ни с чем, удерживать Тарнополь и сражаться до последнего солдата. В то же время он заверил Нейдорфа, что на помощь идут крупные силы танков. Через несколько дней Гитлер наградил Нейдорфа. Генерал ждал обещанных танков и солдат, а ему вместо этого прислали на самолёте рыцарский крест. К этому времени гарнизон Тарнополя был уже деморализован, а управление войсками потеряно. 15-го апреля Нейдорф был убит. В тот же день остатки гарнизона сложили оружие. В боях за Тарнополь убито много тысяч немецких солдат и офицеров. Вина за их гибель целиком и полностью падает на Гитлера. Он нас подло обманул».</w:t>
      </w:r>
    </w:p>
    <w:p w14:paraId="057E0018"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первых же дней оккупации местечка Чарторийск, Волынской области, немцы начали производить повальные грабежи и массовые убийства. Расстрелы мирных советских граждан происходили в овраге за кладбищем, близ урочища Котелец. Особенно жестоко расправлялись немцы с интеллигенцией. Они расстреляли учителя Гордия Свенты вместе с четырнадцатилетним сыном, зверски замучили и убили учителя Григория Чеба. В конце января текущего года в местечко прибыл отряд эсэсовцев, который согнал жителей на строительство оборонительных сооружений. Когда работы были закончены, немецко-фашистские изверги расстреляли свыше 400мирных советских граждан, работавших на строительстве укреплений.» (15106).</w:t>
      </w:r>
    </w:p>
    <w:p w14:paraId="4DD65A48" w14:textId="77777777" w:rsidR="000F02F6" w:rsidRPr="00070ADE" w:rsidRDefault="000F02F6" w:rsidP="00B56F90">
      <w:pPr>
        <w:spacing w:after="0" w:line="240" w:lineRule="auto"/>
        <w:jc w:val="both"/>
        <w:rPr>
          <w:rFonts w:ascii="Times New Roman" w:hAnsi="Times New Roman"/>
          <w:color w:val="000000" w:themeColor="text1"/>
          <w:sz w:val="16"/>
          <w:szCs w:val="16"/>
        </w:rPr>
      </w:pPr>
    </w:p>
    <w:p w14:paraId="3352538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785B0D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45F417" w14:textId="77777777" w:rsidR="002867AB" w:rsidRPr="00070ADE" w:rsidRDefault="002867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апреля 1944 немецкий генерал Ханс-Валентин Хубе погибает в результате крушения Heinkel He 111 в Айнринге, Германия.</w:t>
      </w:r>
    </w:p>
    <w:p w14:paraId="30B1F9C9" w14:textId="77777777" w:rsidR="002867AB" w:rsidRPr="00070ADE" w:rsidRDefault="002867AB" w:rsidP="00B56F90">
      <w:pPr>
        <w:spacing w:after="0" w:line="240" w:lineRule="auto"/>
        <w:jc w:val="both"/>
        <w:rPr>
          <w:rFonts w:ascii="Times New Roman" w:hAnsi="Times New Roman"/>
          <w:color w:val="000000" w:themeColor="text1"/>
          <w:sz w:val="16"/>
          <w:szCs w:val="16"/>
        </w:rPr>
      </w:pPr>
    </w:p>
    <w:p w14:paraId="36C86F48" w14:textId="77777777" w:rsidR="002867AB" w:rsidRPr="00070ADE" w:rsidRDefault="002867A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21-24 апреля 1944 целевая группа 58 самолетов Забастовка Wakde Аэродром , Савар Аэродром и Sarmi , чтобы нейтрализовать опасность воздушного нападения на битве Холландия , а также прямые нападения на вражеские силы вокруг Холландия , потеряв 21 самолетов. С конца марта в результате воздушных атак США на Голландию было уничтожено 340 японских самолетов на земле в этом районе и было сбито еще около 50, причем удары Пятых ВВС в конце марта и апреле наверняка составили почти все потери Японии (20373).</w:t>
      </w:r>
    </w:p>
    <w:p w14:paraId="42620023" w14:textId="77777777" w:rsidR="002867AB" w:rsidRPr="00070ADE" w:rsidRDefault="002867AB" w:rsidP="00B56F90">
      <w:pPr>
        <w:spacing w:after="0" w:line="240" w:lineRule="auto"/>
        <w:jc w:val="both"/>
        <w:rPr>
          <w:rFonts w:ascii="Times New Roman" w:hAnsi="Times New Roman"/>
          <w:color w:val="000000" w:themeColor="text1"/>
          <w:sz w:val="16"/>
          <w:szCs w:val="16"/>
        </w:rPr>
      </w:pPr>
    </w:p>
    <w:p w14:paraId="5824AE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April 21-24 1944 Landings at Hollandia 1944 Task Force 58 (Vice Admiral M. A. Mitscher) supported the landings of Southwest Pacific Forces in the Hollandia-Aitape section of the north New Guinea coast. The force of five heavy and seven light carriers organized in three groups, launched preliminary strikes on airfields around Hollandia and at Wakde and Sawar (21 April), covered the landings (22 April) at Aitape, Tanahmerah Bay, and Humboldt Bay, and supported troop movements ashore (23-24 April). Eight escort carriers of Task Force 78 (Rear Admiral R. E. Davison) flew cover and antisubmarine patrols over ships of the Attack Group during the approach and provided support for the amphibious assault at Aitape. Carrier aircraft accounted for the destruction of 30 enemy aircraft in the air and 103 on the ground (1090).</w:t>
      </w:r>
    </w:p>
    <w:p w14:paraId="124ECA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3CA59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21 по 24 апреля 1944 состоялась битва за Голландию, Голландская Новая Гвинея (1090).</w:t>
      </w:r>
    </w:p>
    <w:p w14:paraId="34E036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8AD921" w14:textId="77777777" w:rsidR="000F02F6" w:rsidRPr="00070ADE" w:rsidRDefault="000F02F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апреля в 1944 году женщины во Франции получили избирательное право (15106)</w:t>
      </w:r>
    </w:p>
    <w:p w14:paraId="21B881BC" w14:textId="77777777" w:rsidR="000F02F6" w:rsidRPr="00070ADE" w:rsidRDefault="000F02F6" w:rsidP="00B56F90">
      <w:pPr>
        <w:spacing w:after="0" w:line="240" w:lineRule="auto"/>
        <w:jc w:val="both"/>
        <w:rPr>
          <w:rFonts w:ascii="Times New Roman" w:hAnsi="Times New Roman"/>
          <w:color w:val="000000" w:themeColor="text1"/>
          <w:sz w:val="16"/>
          <w:szCs w:val="16"/>
        </w:rPr>
      </w:pPr>
    </w:p>
    <w:p w14:paraId="3E55CC5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C8DAE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73FB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апреля 1944 Летчик-испытатель завода № 30 подполковник Б.И. Мак</w:t>
      </w:r>
      <w:r w:rsidRPr="00070ADE">
        <w:rPr>
          <w:rFonts w:ascii="Times New Roman" w:hAnsi="Times New Roman"/>
          <w:color w:val="000000" w:themeColor="text1"/>
          <w:sz w:val="16"/>
          <w:szCs w:val="16"/>
        </w:rPr>
        <w:softHyphen/>
        <w:t>симов в отчете отмечал, что «прием на самолете проходит чисто, без заметного треска и шума, имевших место на серийных самолетах».</w:t>
      </w:r>
    </w:p>
    <w:p w14:paraId="1687C5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апрелю 1944 разобрались и с радиосвязью на самолете Ил-2. Для повышения коэффициента полезного действия антенного контура передатчика РСИ-3 в цепь антенны включили удли</w:t>
      </w:r>
      <w:r w:rsidRPr="00070ADE">
        <w:rPr>
          <w:rFonts w:ascii="Times New Roman" w:hAnsi="Times New Roman"/>
          <w:color w:val="000000" w:themeColor="text1"/>
          <w:sz w:val="16"/>
          <w:szCs w:val="16"/>
        </w:rPr>
        <w:softHyphen/>
        <w:t>нительную катушку конструкции НИСО НКАП и переделали антенну по образцу, предложенному НИИ СС КА. Уменьше</w:t>
      </w:r>
      <w:r w:rsidRPr="00070ADE">
        <w:rPr>
          <w:rFonts w:ascii="Times New Roman" w:hAnsi="Times New Roman"/>
          <w:color w:val="000000" w:themeColor="text1"/>
          <w:sz w:val="16"/>
          <w:szCs w:val="16"/>
        </w:rPr>
        <w:softHyphen/>
        <w:t>ние помех от системы зажигания мотора и других источников помех на самолете обеспечили заменой серийного антенного ввода антенным вводом, разработанным в НИСО.</w:t>
      </w:r>
    </w:p>
    <w:p w14:paraId="71B8F2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установили фильтр, настроенный на опреде</w:t>
      </w:r>
      <w:r w:rsidRPr="00070ADE">
        <w:rPr>
          <w:rFonts w:ascii="Times New Roman" w:hAnsi="Times New Roman"/>
          <w:color w:val="000000" w:themeColor="text1"/>
          <w:sz w:val="16"/>
          <w:szCs w:val="16"/>
        </w:rPr>
        <w:softHyphen/>
        <w:t>ленную полосу частот, который полностью устранил падение чувствительности приемника РСИ-4 при работе на одну ан</w:t>
      </w:r>
      <w:r w:rsidRPr="00070ADE">
        <w:rPr>
          <w:rFonts w:ascii="Times New Roman" w:hAnsi="Times New Roman"/>
          <w:color w:val="000000" w:themeColor="text1"/>
          <w:sz w:val="16"/>
          <w:szCs w:val="16"/>
        </w:rPr>
        <w:softHyphen/>
        <w:t>тенну с РПК. Ранее из-за взаимного влияния друг на друга вы</w:t>
      </w:r>
      <w:r w:rsidRPr="00070ADE">
        <w:rPr>
          <w:rFonts w:ascii="Times New Roman" w:hAnsi="Times New Roman"/>
          <w:color w:val="000000" w:themeColor="text1"/>
          <w:sz w:val="16"/>
          <w:szCs w:val="16"/>
        </w:rPr>
        <w:softHyphen/>
        <w:t>ходных цепей приемников входной сигнал для РСИ-4 ослаб</w:t>
      </w:r>
      <w:r w:rsidRPr="00070ADE">
        <w:rPr>
          <w:rFonts w:ascii="Times New Roman" w:hAnsi="Times New Roman"/>
          <w:color w:val="000000" w:themeColor="text1"/>
          <w:sz w:val="16"/>
          <w:szCs w:val="16"/>
        </w:rPr>
        <w:softHyphen/>
        <w:t>лялся в 2—2,5 раза, а для РПК-10 — на 25—30%.</w:t>
      </w:r>
    </w:p>
    <w:p w14:paraId="5F4DE6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Предложенные доработки радикально изменили картину. При полетах доработанного соответствующим образом серий</w:t>
      </w:r>
      <w:r w:rsidRPr="00070ADE">
        <w:rPr>
          <w:rFonts w:ascii="Times New Roman" w:hAnsi="Times New Roman"/>
          <w:color w:val="000000" w:themeColor="text1"/>
          <w:sz w:val="16"/>
          <w:szCs w:val="16"/>
        </w:rPr>
        <w:softHyphen/>
        <w:t>ного самолета Ил-2 зав. № 304054 дальность уверенной радио</w:t>
      </w:r>
      <w:r w:rsidRPr="00070ADE">
        <w:rPr>
          <w:rFonts w:ascii="Times New Roman" w:hAnsi="Times New Roman"/>
          <w:color w:val="000000" w:themeColor="text1"/>
          <w:sz w:val="16"/>
          <w:szCs w:val="16"/>
        </w:rPr>
        <w:softHyphen/>
        <w:t>связи с наземной радиостанцией РСБ-Ф возросла: на прием — до 75 км, на передачу с самолета на землю при хорошей слы</w:t>
      </w:r>
      <w:r w:rsidRPr="00070ADE">
        <w:rPr>
          <w:rFonts w:ascii="Times New Roman" w:hAnsi="Times New Roman"/>
          <w:color w:val="000000" w:themeColor="text1"/>
          <w:sz w:val="16"/>
          <w:szCs w:val="16"/>
        </w:rPr>
        <w:softHyphen/>
        <w:t>шимости — до 100—110 км. (11474,379).</w:t>
      </w:r>
    </w:p>
    <w:p w14:paraId="4A99C7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99FAE6" w14:textId="28361192" w:rsidR="00547738" w:rsidRPr="00070ADE" w:rsidRDefault="0054773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апреля 1944 главный инженер ВВС КА генерал-полковник 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Репин обратился к наркому 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Шахурину с просьбой «для проведения войсковых испытаний/…/срочно изготовить: 30 самолетов Ил с АМ-42 в варианте штурмовика-бомбардировщика и 10 самолетов Ил с АМ-42 в варианте разведчика-корректировщика».</w:t>
      </w:r>
    </w:p>
    <w:p w14:paraId="163AEFB2" w14:textId="77777777" w:rsidR="00547738" w:rsidRPr="00070ADE" w:rsidRDefault="0054773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Письмо Репина с резолюцией Шахурина возвратилось в ГУ ИАС ВВС через 10 дней: «т. Репин. По установленному порядку нужно доложить в ГОКО результаты испытаний и проект постановления о запуске самолета в серию. Без оснастки и подготовки производства, как Вам известно, самолетов в количестве 40–50 штук выпускать нельзя. Нужно мнение ВВС о желательности запуска самолета в серию».</w:t>
      </w:r>
    </w:p>
    <w:p w14:paraId="6E0A4498" w14:textId="2C0561A7" w:rsidR="00547738" w:rsidRPr="00070ADE" w:rsidRDefault="0054773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Известна реакция генерала Репина: «Срочно.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т. Гребеневу (генерал-майор, начальник 1-го отдела ГУ ИАС ВВС.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Прим. авт.). Подготовьте письмо (17490).</w:t>
      </w:r>
    </w:p>
    <w:p w14:paraId="1AF67F9F" w14:textId="77777777" w:rsidR="00547738" w:rsidRPr="00070ADE" w:rsidRDefault="00547738" w:rsidP="00B56F90">
      <w:pPr>
        <w:spacing w:after="0" w:line="240" w:lineRule="auto"/>
        <w:jc w:val="both"/>
        <w:rPr>
          <w:rFonts w:ascii="Times New Roman" w:hAnsi="Times New Roman"/>
          <w:color w:val="000000" w:themeColor="text1"/>
          <w:sz w:val="16"/>
          <w:szCs w:val="16"/>
        </w:rPr>
      </w:pPr>
    </w:p>
    <w:p w14:paraId="6A0619C1" w14:textId="77777777" w:rsidR="00301BB3" w:rsidRPr="00070ADE" w:rsidRDefault="00301BB3" w:rsidP="00B56F90">
      <w:pPr>
        <w:pStyle w:val="121"/>
        <w:shd w:val="clear" w:color="auto" w:fill="auto"/>
        <w:spacing w:line="240" w:lineRule="auto"/>
        <w:jc w:val="both"/>
        <w:rPr>
          <w:rFonts w:ascii="Times New Roman" w:hAnsi="Times New Roman" w:cs="Times New Roman"/>
          <w:b w:val="0"/>
          <w:bCs w:val="0"/>
          <w:color w:val="000000" w:themeColor="text1"/>
          <w:sz w:val="16"/>
          <w:szCs w:val="16"/>
        </w:rPr>
      </w:pPr>
      <w:r w:rsidRPr="00070ADE">
        <w:rPr>
          <w:rStyle w:val="128pt100"/>
          <w:rFonts w:ascii="Times New Roman" w:hAnsi="Times New Roman" w:cs="Times New Roman"/>
          <w:b w:val="0"/>
          <w:bCs w:val="0"/>
          <w:i w:val="0"/>
          <w:iCs w:val="0"/>
          <w:color w:val="000000" w:themeColor="text1"/>
        </w:rPr>
        <w:t>22 апреля 1944 главный инженер ВВС КА генерал-полковник Репин обратился к на</w:t>
      </w:r>
      <w:r w:rsidRPr="00070ADE">
        <w:rPr>
          <w:rStyle w:val="128pt100"/>
          <w:rFonts w:ascii="Times New Roman" w:hAnsi="Times New Roman" w:cs="Times New Roman"/>
          <w:b w:val="0"/>
          <w:bCs w:val="0"/>
          <w:i w:val="0"/>
          <w:iCs w:val="0"/>
          <w:color w:val="000000" w:themeColor="text1"/>
        </w:rPr>
        <w:softHyphen/>
        <w:t>ркому Шахурину с просьбой</w:t>
      </w:r>
      <w:r w:rsidRPr="00070ADE">
        <w:rPr>
          <w:rFonts w:ascii="Times New Roman" w:hAnsi="Times New Roman" w:cs="Times New Roman"/>
          <w:b w:val="0"/>
          <w:bCs w:val="0"/>
          <w:color w:val="000000" w:themeColor="text1"/>
          <w:sz w:val="16"/>
          <w:szCs w:val="16"/>
        </w:rPr>
        <w:t xml:space="preserve"> «для проведе</w:t>
      </w:r>
      <w:r w:rsidRPr="00070ADE">
        <w:rPr>
          <w:rFonts w:ascii="Times New Roman" w:hAnsi="Times New Roman" w:cs="Times New Roman"/>
          <w:b w:val="0"/>
          <w:bCs w:val="0"/>
          <w:color w:val="000000" w:themeColor="text1"/>
          <w:sz w:val="16"/>
          <w:szCs w:val="16"/>
        </w:rPr>
        <w:softHyphen/>
        <w:t>ния войсковых испытаний /.../ срочно из</w:t>
      </w:r>
      <w:r w:rsidRPr="00070ADE">
        <w:rPr>
          <w:rFonts w:ascii="Times New Roman" w:hAnsi="Times New Roman" w:cs="Times New Roman"/>
          <w:b w:val="0"/>
          <w:bCs w:val="0"/>
          <w:color w:val="000000" w:themeColor="text1"/>
          <w:sz w:val="16"/>
          <w:szCs w:val="16"/>
        </w:rPr>
        <w:softHyphen/>
        <w:t>готовить: 30 самолетов Ил с АМ-42 в ва</w:t>
      </w:r>
      <w:r w:rsidRPr="00070ADE">
        <w:rPr>
          <w:rFonts w:ascii="Times New Roman" w:hAnsi="Times New Roman" w:cs="Times New Roman"/>
          <w:b w:val="0"/>
          <w:bCs w:val="0"/>
          <w:color w:val="000000" w:themeColor="text1"/>
          <w:sz w:val="16"/>
          <w:szCs w:val="16"/>
        </w:rPr>
        <w:softHyphen/>
        <w:t>рианте штурмовика-бомбардировщика и 10 самолетов Ил с АМ-42 в варианте раз</w:t>
      </w:r>
      <w:r w:rsidRPr="00070ADE">
        <w:rPr>
          <w:rFonts w:ascii="Times New Roman" w:hAnsi="Times New Roman" w:cs="Times New Roman"/>
          <w:b w:val="0"/>
          <w:bCs w:val="0"/>
          <w:color w:val="000000" w:themeColor="text1"/>
          <w:sz w:val="16"/>
          <w:szCs w:val="16"/>
        </w:rPr>
        <w:softHyphen/>
        <w:t>ведчика-корректировщика».</w:t>
      </w:r>
    </w:p>
    <w:p w14:paraId="0716E66C" w14:textId="77777777" w:rsidR="00301BB3" w:rsidRPr="00070ADE" w:rsidRDefault="00301BB3" w:rsidP="00B56F90">
      <w:pPr>
        <w:pStyle w:val="121"/>
        <w:shd w:val="clear" w:color="auto" w:fill="auto"/>
        <w:spacing w:line="240" w:lineRule="auto"/>
        <w:jc w:val="both"/>
        <w:rPr>
          <w:rFonts w:ascii="Times New Roman" w:hAnsi="Times New Roman" w:cs="Times New Roman"/>
          <w:b w:val="0"/>
          <w:bCs w:val="0"/>
          <w:color w:val="000000" w:themeColor="text1"/>
          <w:sz w:val="16"/>
          <w:szCs w:val="16"/>
        </w:rPr>
      </w:pPr>
      <w:r w:rsidRPr="00070ADE">
        <w:rPr>
          <w:rStyle w:val="128pt100"/>
          <w:rFonts w:ascii="Times New Roman" w:hAnsi="Times New Roman" w:cs="Times New Roman"/>
          <w:b w:val="0"/>
          <w:bCs w:val="0"/>
          <w:i w:val="0"/>
          <w:iCs w:val="0"/>
          <w:color w:val="000000" w:themeColor="text1"/>
        </w:rPr>
        <w:t>Письмо Репина с резолюцией Шахурина возвратилось в ГУ ИАС ВВС че</w:t>
      </w:r>
      <w:r w:rsidRPr="00070ADE">
        <w:rPr>
          <w:rStyle w:val="128pt100"/>
          <w:rFonts w:ascii="Times New Roman" w:hAnsi="Times New Roman" w:cs="Times New Roman"/>
          <w:b w:val="0"/>
          <w:bCs w:val="0"/>
          <w:i w:val="0"/>
          <w:iCs w:val="0"/>
          <w:color w:val="000000" w:themeColor="text1"/>
        </w:rPr>
        <w:softHyphen/>
        <w:t>рез 10 дней: «т.</w:t>
      </w:r>
      <w:r w:rsidRPr="00070ADE">
        <w:rPr>
          <w:rFonts w:ascii="Times New Roman" w:hAnsi="Times New Roman" w:cs="Times New Roman"/>
          <w:b w:val="0"/>
          <w:bCs w:val="0"/>
          <w:color w:val="000000" w:themeColor="text1"/>
          <w:sz w:val="16"/>
          <w:szCs w:val="16"/>
        </w:rPr>
        <w:t xml:space="preserve"> Репин. По установлен</w:t>
      </w:r>
      <w:r w:rsidRPr="00070ADE">
        <w:rPr>
          <w:rFonts w:ascii="Times New Roman" w:hAnsi="Times New Roman" w:cs="Times New Roman"/>
          <w:b w:val="0"/>
          <w:bCs w:val="0"/>
          <w:color w:val="000000" w:themeColor="text1"/>
          <w:sz w:val="16"/>
          <w:szCs w:val="16"/>
        </w:rPr>
        <w:softHyphen/>
        <w:t>ному порядку нужно доложить в ГОКО ре</w:t>
      </w:r>
      <w:r w:rsidRPr="00070ADE">
        <w:rPr>
          <w:rFonts w:ascii="Times New Roman" w:hAnsi="Times New Roman" w:cs="Times New Roman"/>
          <w:b w:val="0"/>
          <w:bCs w:val="0"/>
          <w:color w:val="000000" w:themeColor="text1"/>
          <w:sz w:val="16"/>
          <w:szCs w:val="16"/>
        </w:rPr>
        <w:softHyphen/>
        <w:t>зультаты испытаний и проект поста</w:t>
      </w:r>
      <w:r w:rsidRPr="00070ADE">
        <w:rPr>
          <w:rFonts w:ascii="Times New Roman" w:hAnsi="Times New Roman" w:cs="Times New Roman"/>
          <w:b w:val="0"/>
          <w:bCs w:val="0"/>
          <w:color w:val="000000" w:themeColor="text1"/>
          <w:sz w:val="16"/>
          <w:szCs w:val="16"/>
        </w:rPr>
        <w:softHyphen/>
        <w:t>новления о запуске самолета в серию. Без оснастки и подготовки производства, как Вам известно, самолетов в количестве 40-50 штук выпускать нельзя. Нужно мнение ВВС о желательности запуска са</w:t>
      </w:r>
      <w:r w:rsidRPr="00070ADE">
        <w:rPr>
          <w:rFonts w:ascii="Times New Roman" w:hAnsi="Times New Roman" w:cs="Times New Roman"/>
          <w:b w:val="0"/>
          <w:bCs w:val="0"/>
          <w:color w:val="000000" w:themeColor="text1"/>
          <w:sz w:val="16"/>
          <w:szCs w:val="16"/>
        </w:rPr>
        <w:softHyphen/>
        <w:t>молета в серию».</w:t>
      </w:r>
    </w:p>
    <w:p w14:paraId="14926087" w14:textId="77777777" w:rsidR="00301BB3" w:rsidRPr="00070ADE" w:rsidRDefault="00301B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Известна реакция генерала Репина: </w:t>
      </w:r>
      <w:r w:rsidRPr="00070ADE">
        <w:rPr>
          <w:rStyle w:val="9pt80"/>
          <w:rFonts w:ascii="Times New Roman" w:hAnsi="Times New Roman" w:cs="Times New Roman"/>
          <w:i w:val="0"/>
          <w:iCs w:val="0"/>
          <w:color w:val="000000" w:themeColor="text1"/>
          <w:w w:val="100"/>
          <w:sz w:val="16"/>
          <w:szCs w:val="16"/>
        </w:rPr>
        <w:t>«Срочно, т. Гребеневу</w:t>
      </w:r>
      <w:r w:rsidRPr="00070ADE">
        <w:rPr>
          <w:rFonts w:ascii="Times New Roman" w:hAnsi="Times New Roman"/>
          <w:color w:val="000000" w:themeColor="text1"/>
          <w:sz w:val="16"/>
          <w:szCs w:val="16"/>
        </w:rPr>
        <w:t xml:space="preserve"> (генерал-майор, на</w:t>
      </w:r>
      <w:r w:rsidRPr="00070ADE">
        <w:rPr>
          <w:rFonts w:ascii="Times New Roman" w:hAnsi="Times New Roman"/>
          <w:color w:val="000000" w:themeColor="text1"/>
          <w:sz w:val="16"/>
          <w:szCs w:val="16"/>
        </w:rPr>
        <w:softHyphen/>
        <w:t>чальник 1-го отдела ГУ ИАС ВВС).</w:t>
      </w:r>
      <w:r w:rsidRPr="00070ADE">
        <w:rPr>
          <w:rStyle w:val="9pt80"/>
          <w:rFonts w:ascii="Times New Roman" w:hAnsi="Times New Roman" w:cs="Times New Roman"/>
          <w:i w:val="0"/>
          <w:iCs w:val="0"/>
          <w:color w:val="000000" w:themeColor="text1"/>
          <w:w w:val="100"/>
          <w:sz w:val="16"/>
          <w:szCs w:val="16"/>
        </w:rPr>
        <w:t xml:space="preserve"> Подготовьте письмо и проект ГОКО </w:t>
      </w:r>
      <w:r w:rsidRPr="00070ADE">
        <w:rPr>
          <w:rFonts w:ascii="Times New Roman" w:hAnsi="Times New Roman"/>
          <w:color w:val="000000" w:themeColor="text1"/>
          <w:sz w:val="16"/>
          <w:szCs w:val="16"/>
        </w:rPr>
        <w:t>(фразу «и проект ГОКО» Репин зачерк</w:t>
      </w:r>
      <w:r w:rsidRPr="00070ADE">
        <w:rPr>
          <w:rFonts w:ascii="Times New Roman" w:hAnsi="Times New Roman"/>
          <w:color w:val="000000" w:themeColor="text1"/>
          <w:sz w:val="16"/>
          <w:szCs w:val="16"/>
        </w:rPr>
        <w:softHyphen/>
        <w:t>нул.).</w:t>
      </w:r>
      <w:r w:rsidRPr="00070ADE">
        <w:rPr>
          <w:rStyle w:val="9pt80"/>
          <w:rFonts w:ascii="Times New Roman" w:hAnsi="Times New Roman" w:cs="Times New Roman"/>
          <w:i w:val="0"/>
          <w:iCs w:val="0"/>
          <w:color w:val="000000" w:themeColor="text1"/>
          <w:w w:val="100"/>
          <w:sz w:val="16"/>
          <w:szCs w:val="16"/>
        </w:rPr>
        <w:t xml:space="preserve"> Репин, 5.5.44 (19853).</w:t>
      </w:r>
    </w:p>
    <w:p w14:paraId="4E8DE3B9" w14:textId="77777777" w:rsidR="00301BB3" w:rsidRPr="00070ADE" w:rsidRDefault="00301BB3" w:rsidP="00B56F90">
      <w:pPr>
        <w:spacing w:after="0" w:line="240" w:lineRule="auto"/>
        <w:jc w:val="both"/>
        <w:rPr>
          <w:rFonts w:ascii="Times New Roman" w:hAnsi="Times New Roman"/>
          <w:color w:val="000000" w:themeColor="text1"/>
          <w:sz w:val="16"/>
          <w:szCs w:val="16"/>
        </w:rPr>
      </w:pPr>
    </w:p>
    <w:p w14:paraId="34661164" w14:textId="77777777" w:rsidR="00301BB3" w:rsidRPr="00070ADE" w:rsidRDefault="00301BB3" w:rsidP="00B56F90">
      <w:pPr>
        <w:pStyle w:val="121"/>
        <w:shd w:val="clear" w:color="auto" w:fill="auto"/>
        <w:spacing w:line="240" w:lineRule="auto"/>
        <w:jc w:val="both"/>
        <w:rPr>
          <w:rFonts w:ascii="Times New Roman" w:hAnsi="Times New Roman" w:cs="Times New Roman"/>
          <w:b w:val="0"/>
          <w:bCs w:val="0"/>
          <w:color w:val="000000" w:themeColor="text1"/>
          <w:sz w:val="16"/>
          <w:szCs w:val="16"/>
        </w:rPr>
      </w:pPr>
      <w:r w:rsidRPr="00070ADE">
        <w:rPr>
          <w:rStyle w:val="128pt100"/>
          <w:rFonts w:ascii="Times New Roman" w:hAnsi="Times New Roman" w:cs="Times New Roman"/>
          <w:b w:val="0"/>
          <w:bCs w:val="0"/>
          <w:i w:val="0"/>
          <w:iCs w:val="0"/>
          <w:color w:val="000000" w:themeColor="text1"/>
        </w:rPr>
        <w:t>22 апреля 1944 главный инженер ВВС КА генерал-полковник Репин обратился к на</w:t>
      </w:r>
      <w:r w:rsidRPr="00070ADE">
        <w:rPr>
          <w:rStyle w:val="128pt100"/>
          <w:rFonts w:ascii="Times New Roman" w:hAnsi="Times New Roman" w:cs="Times New Roman"/>
          <w:b w:val="0"/>
          <w:bCs w:val="0"/>
          <w:i w:val="0"/>
          <w:iCs w:val="0"/>
          <w:color w:val="000000" w:themeColor="text1"/>
        </w:rPr>
        <w:softHyphen/>
        <w:t>ркому Шахурину с просьбой</w:t>
      </w:r>
      <w:r w:rsidRPr="00070ADE">
        <w:rPr>
          <w:rFonts w:ascii="Times New Roman" w:hAnsi="Times New Roman" w:cs="Times New Roman"/>
          <w:b w:val="0"/>
          <w:bCs w:val="0"/>
          <w:color w:val="000000" w:themeColor="text1"/>
          <w:sz w:val="16"/>
          <w:szCs w:val="16"/>
        </w:rPr>
        <w:t xml:space="preserve"> «для проведе</w:t>
      </w:r>
      <w:r w:rsidRPr="00070ADE">
        <w:rPr>
          <w:rFonts w:ascii="Times New Roman" w:hAnsi="Times New Roman" w:cs="Times New Roman"/>
          <w:b w:val="0"/>
          <w:bCs w:val="0"/>
          <w:color w:val="000000" w:themeColor="text1"/>
          <w:sz w:val="16"/>
          <w:szCs w:val="16"/>
        </w:rPr>
        <w:softHyphen/>
        <w:t>ния войсковых испытаний /.../ срочно из</w:t>
      </w:r>
      <w:r w:rsidRPr="00070ADE">
        <w:rPr>
          <w:rFonts w:ascii="Times New Roman" w:hAnsi="Times New Roman" w:cs="Times New Roman"/>
          <w:b w:val="0"/>
          <w:bCs w:val="0"/>
          <w:color w:val="000000" w:themeColor="text1"/>
          <w:sz w:val="16"/>
          <w:szCs w:val="16"/>
        </w:rPr>
        <w:softHyphen/>
        <w:t>готовить: 30 самолетов Ил с АМ-42 в ва</w:t>
      </w:r>
      <w:r w:rsidRPr="00070ADE">
        <w:rPr>
          <w:rFonts w:ascii="Times New Roman" w:hAnsi="Times New Roman" w:cs="Times New Roman"/>
          <w:b w:val="0"/>
          <w:bCs w:val="0"/>
          <w:color w:val="000000" w:themeColor="text1"/>
          <w:sz w:val="16"/>
          <w:szCs w:val="16"/>
        </w:rPr>
        <w:softHyphen/>
        <w:t>рианте штурмовика-бомбардировщика и 10 самолетов Ил с АМ-42 в варианте раз</w:t>
      </w:r>
      <w:r w:rsidRPr="00070ADE">
        <w:rPr>
          <w:rFonts w:ascii="Times New Roman" w:hAnsi="Times New Roman" w:cs="Times New Roman"/>
          <w:b w:val="0"/>
          <w:bCs w:val="0"/>
          <w:color w:val="000000" w:themeColor="text1"/>
          <w:sz w:val="16"/>
          <w:szCs w:val="16"/>
        </w:rPr>
        <w:softHyphen/>
        <w:t>ведчика-корректировщика».</w:t>
      </w:r>
    </w:p>
    <w:p w14:paraId="4AB5F35B" w14:textId="77777777" w:rsidR="00301BB3" w:rsidRPr="00070ADE" w:rsidRDefault="00301BB3" w:rsidP="00B56F90">
      <w:pPr>
        <w:pStyle w:val="121"/>
        <w:shd w:val="clear" w:color="auto" w:fill="auto"/>
        <w:spacing w:line="240" w:lineRule="auto"/>
        <w:jc w:val="both"/>
        <w:rPr>
          <w:rFonts w:ascii="Times New Roman" w:hAnsi="Times New Roman" w:cs="Times New Roman"/>
          <w:b w:val="0"/>
          <w:bCs w:val="0"/>
          <w:color w:val="000000" w:themeColor="text1"/>
          <w:sz w:val="16"/>
          <w:szCs w:val="16"/>
        </w:rPr>
      </w:pPr>
      <w:r w:rsidRPr="00070ADE">
        <w:rPr>
          <w:rStyle w:val="128pt100"/>
          <w:rFonts w:ascii="Times New Roman" w:hAnsi="Times New Roman" w:cs="Times New Roman"/>
          <w:b w:val="0"/>
          <w:bCs w:val="0"/>
          <w:i w:val="0"/>
          <w:iCs w:val="0"/>
          <w:color w:val="000000" w:themeColor="text1"/>
        </w:rPr>
        <w:t>2 мая 1944 Письмо Репина от 22 апреля возвратилось в ГУ ИАС ВВС с резолюцией Шахурина: «т.</w:t>
      </w:r>
      <w:r w:rsidRPr="00070ADE">
        <w:rPr>
          <w:rFonts w:ascii="Times New Roman" w:hAnsi="Times New Roman" w:cs="Times New Roman"/>
          <w:b w:val="0"/>
          <w:bCs w:val="0"/>
          <w:color w:val="000000" w:themeColor="text1"/>
          <w:sz w:val="16"/>
          <w:szCs w:val="16"/>
        </w:rPr>
        <w:t xml:space="preserve"> Репин. По установлен</w:t>
      </w:r>
      <w:r w:rsidRPr="00070ADE">
        <w:rPr>
          <w:rFonts w:ascii="Times New Roman" w:hAnsi="Times New Roman" w:cs="Times New Roman"/>
          <w:b w:val="0"/>
          <w:bCs w:val="0"/>
          <w:color w:val="000000" w:themeColor="text1"/>
          <w:sz w:val="16"/>
          <w:szCs w:val="16"/>
        </w:rPr>
        <w:softHyphen/>
        <w:t>ному порядку нужно доложить в ГОКО ре</w:t>
      </w:r>
      <w:r w:rsidRPr="00070ADE">
        <w:rPr>
          <w:rFonts w:ascii="Times New Roman" w:hAnsi="Times New Roman" w:cs="Times New Roman"/>
          <w:b w:val="0"/>
          <w:bCs w:val="0"/>
          <w:color w:val="000000" w:themeColor="text1"/>
          <w:sz w:val="16"/>
          <w:szCs w:val="16"/>
        </w:rPr>
        <w:softHyphen/>
        <w:t>зультаты испытаний и проект поста</w:t>
      </w:r>
      <w:r w:rsidRPr="00070ADE">
        <w:rPr>
          <w:rFonts w:ascii="Times New Roman" w:hAnsi="Times New Roman" w:cs="Times New Roman"/>
          <w:b w:val="0"/>
          <w:bCs w:val="0"/>
          <w:color w:val="000000" w:themeColor="text1"/>
          <w:sz w:val="16"/>
          <w:szCs w:val="16"/>
        </w:rPr>
        <w:softHyphen/>
        <w:t>новления о запуске самолета в серию. Без оснастки и подготовки производства, как Вам известно, самолетов в количестве 40-50 штук выпускать нельзя. Нужно мнение ВВС о желательности запуска са</w:t>
      </w:r>
      <w:r w:rsidRPr="00070ADE">
        <w:rPr>
          <w:rFonts w:ascii="Times New Roman" w:hAnsi="Times New Roman" w:cs="Times New Roman"/>
          <w:b w:val="0"/>
          <w:bCs w:val="0"/>
          <w:color w:val="000000" w:themeColor="text1"/>
          <w:sz w:val="16"/>
          <w:szCs w:val="16"/>
        </w:rPr>
        <w:softHyphen/>
        <w:t>молета в серию».</w:t>
      </w:r>
    </w:p>
    <w:p w14:paraId="4145D595" w14:textId="77777777" w:rsidR="00301BB3" w:rsidRPr="00070ADE" w:rsidRDefault="00301B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Известна реакция генерала Репина: </w:t>
      </w:r>
      <w:r w:rsidRPr="00070ADE">
        <w:rPr>
          <w:rStyle w:val="9pt80"/>
          <w:rFonts w:ascii="Times New Roman" w:hAnsi="Times New Roman" w:cs="Times New Roman"/>
          <w:i w:val="0"/>
          <w:iCs w:val="0"/>
          <w:color w:val="000000" w:themeColor="text1"/>
          <w:w w:val="100"/>
          <w:sz w:val="16"/>
          <w:szCs w:val="16"/>
        </w:rPr>
        <w:t>«Срочно, т. Гребеневу</w:t>
      </w:r>
      <w:r w:rsidRPr="00070ADE">
        <w:rPr>
          <w:rFonts w:ascii="Times New Roman" w:hAnsi="Times New Roman"/>
          <w:color w:val="000000" w:themeColor="text1"/>
          <w:sz w:val="16"/>
          <w:szCs w:val="16"/>
        </w:rPr>
        <w:t xml:space="preserve"> (генерал-майор, на</w:t>
      </w:r>
      <w:r w:rsidRPr="00070ADE">
        <w:rPr>
          <w:rFonts w:ascii="Times New Roman" w:hAnsi="Times New Roman"/>
          <w:color w:val="000000" w:themeColor="text1"/>
          <w:sz w:val="16"/>
          <w:szCs w:val="16"/>
        </w:rPr>
        <w:softHyphen/>
        <w:t>чальник 1-го отдела ГУ ИАС ВВС).</w:t>
      </w:r>
      <w:r w:rsidRPr="00070ADE">
        <w:rPr>
          <w:rStyle w:val="9pt80"/>
          <w:rFonts w:ascii="Times New Roman" w:hAnsi="Times New Roman" w:cs="Times New Roman"/>
          <w:i w:val="0"/>
          <w:iCs w:val="0"/>
          <w:color w:val="000000" w:themeColor="text1"/>
          <w:w w:val="100"/>
          <w:sz w:val="16"/>
          <w:szCs w:val="16"/>
        </w:rPr>
        <w:t xml:space="preserve"> Подготовьте письмо и проект ГОКО </w:t>
      </w:r>
      <w:r w:rsidRPr="00070ADE">
        <w:rPr>
          <w:rFonts w:ascii="Times New Roman" w:hAnsi="Times New Roman"/>
          <w:color w:val="000000" w:themeColor="text1"/>
          <w:sz w:val="16"/>
          <w:szCs w:val="16"/>
        </w:rPr>
        <w:t>(фразу «и проект ГОКО» Репин зачерк</w:t>
      </w:r>
      <w:r w:rsidRPr="00070ADE">
        <w:rPr>
          <w:rFonts w:ascii="Times New Roman" w:hAnsi="Times New Roman"/>
          <w:color w:val="000000" w:themeColor="text1"/>
          <w:sz w:val="16"/>
          <w:szCs w:val="16"/>
        </w:rPr>
        <w:softHyphen/>
        <w:t>нул.).</w:t>
      </w:r>
      <w:r w:rsidRPr="00070ADE">
        <w:rPr>
          <w:rStyle w:val="9pt80"/>
          <w:rFonts w:ascii="Times New Roman" w:hAnsi="Times New Roman" w:cs="Times New Roman"/>
          <w:i w:val="0"/>
          <w:iCs w:val="0"/>
          <w:color w:val="000000" w:themeColor="text1"/>
          <w:w w:val="100"/>
          <w:sz w:val="16"/>
          <w:szCs w:val="16"/>
        </w:rPr>
        <w:t xml:space="preserve"> Репин, 5.5.44 (19853).</w:t>
      </w:r>
    </w:p>
    <w:p w14:paraId="2F1F81B5" w14:textId="77777777" w:rsidR="00301BB3" w:rsidRPr="00070ADE" w:rsidRDefault="00301BB3" w:rsidP="00B56F90">
      <w:pPr>
        <w:spacing w:after="0" w:line="240" w:lineRule="auto"/>
        <w:jc w:val="both"/>
        <w:rPr>
          <w:rFonts w:ascii="Times New Roman" w:hAnsi="Times New Roman"/>
          <w:color w:val="000000" w:themeColor="text1"/>
          <w:sz w:val="16"/>
          <w:szCs w:val="16"/>
        </w:rPr>
      </w:pPr>
    </w:p>
    <w:p w14:paraId="7D8AA8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апреля 1944 г. главным инженером ВВС КА были утверждены тактико-технические требования (ТТТ) к проектируемому са</w:t>
      </w:r>
      <w:r w:rsidRPr="00070ADE">
        <w:rPr>
          <w:rFonts w:ascii="Times New Roman" w:hAnsi="Times New Roman"/>
          <w:color w:val="000000" w:themeColor="text1"/>
          <w:sz w:val="16"/>
          <w:szCs w:val="16"/>
        </w:rPr>
        <w:softHyphen/>
        <w:t>молету Су-6 с РД, согласно которым он предназ</w:t>
      </w:r>
      <w:r w:rsidRPr="00070ADE">
        <w:rPr>
          <w:rFonts w:ascii="Times New Roman" w:hAnsi="Times New Roman"/>
          <w:color w:val="000000" w:themeColor="text1"/>
          <w:sz w:val="16"/>
          <w:szCs w:val="16"/>
        </w:rPr>
        <w:softHyphen/>
        <w:t>начался для перехвата и уничтожения самолетов противника и ведения ак</w:t>
      </w:r>
      <w:r w:rsidRPr="00070ADE">
        <w:rPr>
          <w:rFonts w:ascii="Times New Roman" w:hAnsi="Times New Roman"/>
          <w:color w:val="000000" w:themeColor="text1"/>
          <w:sz w:val="16"/>
          <w:szCs w:val="16"/>
        </w:rPr>
        <w:softHyphen/>
        <w:t>тивного воздушного боя, главным обра</w:t>
      </w:r>
      <w:r w:rsidRPr="00070ADE">
        <w:rPr>
          <w:rFonts w:ascii="Times New Roman" w:hAnsi="Times New Roman"/>
          <w:color w:val="000000" w:themeColor="text1"/>
          <w:sz w:val="16"/>
          <w:szCs w:val="16"/>
        </w:rPr>
        <w:softHyphen/>
        <w:t>зом на больших высотах во фронто</w:t>
      </w:r>
      <w:r w:rsidRPr="00070ADE">
        <w:rPr>
          <w:rFonts w:ascii="Times New Roman" w:hAnsi="Times New Roman"/>
          <w:color w:val="000000" w:themeColor="text1"/>
          <w:sz w:val="16"/>
          <w:szCs w:val="16"/>
        </w:rPr>
        <w:softHyphen/>
        <w:t>вой зоне и в системе ПВО (10668).</w:t>
      </w:r>
    </w:p>
    <w:p w14:paraId="4B783A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65FA1A" w14:textId="77777777" w:rsidR="00783151" w:rsidRPr="00070ADE" w:rsidRDefault="00783151"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22 апреля 1944 г. были Утверждены тактико-технические требования к проектируемому самолету Су-6 с М-82 ФН 2ТК- и РД-1. Этот самолет предназначался для перехвата и уничтожения самолетов противника и ведения активного воз душного боя, главным образом на больших высотах во фрон товой зоне и в системе ПВО.</w:t>
      </w:r>
    </w:p>
    <w:p w14:paraId="0938B27B" w14:textId="77777777" w:rsidR="00783151" w:rsidRPr="00070ADE" w:rsidRDefault="00783151"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Эскизное и рабочее проектирование, а также производство проводились параллельно. Задачу облегчало то, что за основу нового самолета был принят один из двух построенных экзем пляров опытного одноместного бронированного штурмовика Су-6. В связи с этим отпала необходимость в изготовлении ма кета и постройке экземпляра для статических испытаний. За держка окончания постройки самолета произошла из-за не своевременной подачи заводу № 289 турбокомпрессоров, при вода к насосному агрегату ЖРД и самого двигателя РД-1 (19586).</w:t>
      </w:r>
    </w:p>
    <w:p w14:paraId="5F23D5E6" w14:textId="77777777" w:rsidR="00783151" w:rsidRPr="00070ADE" w:rsidRDefault="00783151"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D20D3EB"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22 апреля 1944 г. в КБ П.О.С. приступили к работе над эскизным проектом Су-6 под мотор АШ-82ФН 2ТК-3 или М-83 с установкой двигателя РД-1 В.П. Глушко в окончательном вари</w:t>
      </w:r>
      <w:r w:rsidRPr="00C94B78">
        <w:rPr>
          <w:rFonts w:ascii="Times New Roman" w:hAnsi="Times New Roman"/>
          <w:color w:val="0070C0"/>
          <w:sz w:val="16"/>
          <w:szCs w:val="16"/>
        </w:rPr>
        <w:softHyphen/>
        <w:t>анте. Были утверждены тактико-технические требования к проектируемому самолету. Этот самолет предназначался для перехвата и уничтожения самолетов противника и ведения активного воз</w:t>
      </w:r>
      <w:r w:rsidRPr="00C94B78">
        <w:rPr>
          <w:rFonts w:ascii="Times New Roman" w:hAnsi="Times New Roman"/>
          <w:color w:val="0070C0"/>
          <w:sz w:val="16"/>
          <w:szCs w:val="16"/>
        </w:rPr>
        <w:softHyphen/>
        <w:t>душного боя, главным образом на больших высотах во фрон</w:t>
      </w:r>
      <w:r w:rsidRPr="00C94B78">
        <w:rPr>
          <w:rFonts w:ascii="Times New Roman" w:hAnsi="Times New Roman"/>
          <w:color w:val="0070C0"/>
          <w:sz w:val="16"/>
          <w:szCs w:val="16"/>
        </w:rPr>
        <w:softHyphen/>
        <w:t>товой зоне и в системе ПВО.</w:t>
      </w:r>
    </w:p>
    <w:p w14:paraId="3F6E97D7"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Эскизное и рабочее проектирование, а также производство проводились параллельно. Задачу облегчало то, что за основу нового самолета был принят один из двух построенных экзем</w:t>
      </w:r>
      <w:r w:rsidRPr="00C94B78">
        <w:rPr>
          <w:rFonts w:ascii="Times New Roman" w:hAnsi="Times New Roman"/>
          <w:color w:val="0070C0"/>
          <w:sz w:val="16"/>
          <w:szCs w:val="16"/>
        </w:rPr>
        <w:softHyphen/>
        <w:t>пляров опытного одноместного бронированного штурмовика Су-6. В связи с этим отпала необходимость в изготовлении ма</w:t>
      </w:r>
      <w:r w:rsidRPr="00C94B78">
        <w:rPr>
          <w:rFonts w:ascii="Times New Roman" w:hAnsi="Times New Roman"/>
          <w:color w:val="0070C0"/>
          <w:sz w:val="16"/>
          <w:szCs w:val="16"/>
        </w:rPr>
        <w:softHyphen/>
        <w:t>кета и постройке экземпляра для статических испытаний. За</w:t>
      </w:r>
      <w:r w:rsidRPr="00C94B78">
        <w:rPr>
          <w:rFonts w:ascii="Times New Roman" w:hAnsi="Times New Roman"/>
          <w:color w:val="0070C0"/>
          <w:sz w:val="16"/>
          <w:szCs w:val="16"/>
        </w:rPr>
        <w:softHyphen/>
        <w:t>держка окончания постройки самолета произошла из-за не</w:t>
      </w:r>
      <w:r w:rsidRPr="00C94B78">
        <w:rPr>
          <w:rFonts w:ascii="Times New Roman" w:hAnsi="Times New Roman"/>
          <w:color w:val="0070C0"/>
          <w:sz w:val="16"/>
          <w:szCs w:val="16"/>
        </w:rPr>
        <w:softHyphen/>
        <w:t>своевременной подачи заводу № 289 турбокомпрессоров, при</w:t>
      </w:r>
      <w:r w:rsidRPr="00C94B78">
        <w:rPr>
          <w:rFonts w:ascii="Times New Roman" w:hAnsi="Times New Roman"/>
          <w:color w:val="0070C0"/>
          <w:sz w:val="16"/>
          <w:szCs w:val="16"/>
        </w:rPr>
        <w:softHyphen/>
        <w:t>вода к насосному агрегату ЖРД и самого двигателя РД-1 (24920).</w:t>
      </w:r>
    </w:p>
    <w:p w14:paraId="10C3F929" w14:textId="77777777" w:rsidR="00F24AC9" w:rsidRPr="00C94B78" w:rsidRDefault="00F24AC9" w:rsidP="00B56F90">
      <w:pPr>
        <w:spacing w:after="0" w:line="240" w:lineRule="auto"/>
        <w:jc w:val="both"/>
        <w:rPr>
          <w:rFonts w:ascii="Times New Roman" w:hAnsi="Times New Roman"/>
          <w:color w:val="0070C0"/>
          <w:sz w:val="16"/>
          <w:szCs w:val="16"/>
        </w:rPr>
      </w:pPr>
    </w:p>
    <w:p w14:paraId="7CD1C1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апреля 1944 г. на заводе № 22 закончили проектирование "ДИСа" В.М.М. Двухместный ДИС базировался на Пе-2И (N 12) и, возможно, был его переделкой. Помимо ДИС был разработан дневной бомбардировщик "ДБ" и высотный бомбардировщик "ВБ". Там же самолет построили, но отработку и монтаж вооружения заканчивали на заводе № 482. Отличительной особенностью истребителя сопровождения была возможность установки на него двигателей ВК-108 и мощного артиллерийского вооружения состоявшего из двух пушек калибра 20 мм и двух - калибра 45 мм. Для защиты задней полусферы предусматривалась установка одной пушки калибра 20 мм, но в этом случае исключалась подвеска дополнительных бензобаков и дальность полета снижалась с 4100 км до 3600 км. В связи с установкой на самолете мягких бензобаков, электрифицированной стрелковой установки ВЭУ-1, новых, с увеличенными габаритами, маслорадиаторов и проведения других доработок положение центра тяжести сместилось, и это повлекло за собой изменение стреловидности консолей крыла (3337).</w:t>
      </w:r>
    </w:p>
    <w:p w14:paraId="1602E3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EBFA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апреля 1944 года на заводе № 22 закончили проектирование «ДИСа». Двухместный «ДИС» представлял собой переделку первого экземпляра Пе-2И.. Там же самолет построили, но отработку и монтаж воору</w:t>
      </w:r>
      <w:r w:rsidRPr="00070ADE">
        <w:rPr>
          <w:rFonts w:ascii="Times New Roman" w:hAnsi="Times New Roman"/>
          <w:color w:val="000000" w:themeColor="text1"/>
          <w:sz w:val="16"/>
          <w:szCs w:val="16"/>
        </w:rPr>
        <w:softHyphen/>
        <w:t>жения заканчивали в Москве на заводе № 482, куда Пе-2М передали 20 июля. Отличительной особенностью истребителя сопровождения была возможность уста</w:t>
      </w:r>
      <w:r w:rsidRPr="00070ADE">
        <w:rPr>
          <w:rFonts w:ascii="Times New Roman" w:hAnsi="Times New Roman"/>
          <w:color w:val="000000" w:themeColor="text1"/>
          <w:sz w:val="16"/>
          <w:szCs w:val="16"/>
        </w:rPr>
        <w:softHyphen/>
        <w:t>новки на него двигателей ВК-108 и мощного артилле</w:t>
      </w:r>
      <w:r w:rsidRPr="00070ADE">
        <w:rPr>
          <w:rFonts w:ascii="Times New Roman" w:hAnsi="Times New Roman"/>
          <w:color w:val="000000" w:themeColor="text1"/>
          <w:sz w:val="16"/>
          <w:szCs w:val="16"/>
        </w:rPr>
        <w:softHyphen/>
        <w:t>рийского вооружения, состоявшего из двух 20-милли</w:t>
      </w:r>
      <w:r w:rsidRPr="00070ADE">
        <w:rPr>
          <w:rFonts w:ascii="Times New Roman" w:hAnsi="Times New Roman"/>
          <w:color w:val="000000" w:themeColor="text1"/>
          <w:sz w:val="16"/>
          <w:szCs w:val="16"/>
        </w:rPr>
        <w:softHyphen/>
        <w:t>метровых пушек и двух — калибра 45 мм. Для защиты задней полусферы предусматривалась установка од</w:t>
      </w:r>
      <w:r w:rsidRPr="00070ADE">
        <w:rPr>
          <w:rFonts w:ascii="Times New Roman" w:hAnsi="Times New Roman"/>
          <w:color w:val="000000" w:themeColor="text1"/>
          <w:sz w:val="16"/>
          <w:szCs w:val="16"/>
        </w:rPr>
        <w:softHyphen/>
        <w:t>ной пушки калибра 20 мм, но в этом случае исключалась подвеска дополнительных бензобаков и даль</w:t>
      </w:r>
      <w:r w:rsidRPr="00070ADE">
        <w:rPr>
          <w:rFonts w:ascii="Times New Roman" w:hAnsi="Times New Roman"/>
          <w:color w:val="000000" w:themeColor="text1"/>
          <w:sz w:val="16"/>
          <w:szCs w:val="16"/>
        </w:rPr>
        <w:softHyphen/>
        <w:t>ность полета снижалась с 4100 км до 3600 км.</w:t>
      </w:r>
    </w:p>
    <w:p w14:paraId="0302B9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установкой на самолете мягких бензоба</w:t>
      </w:r>
      <w:r w:rsidRPr="00070ADE">
        <w:rPr>
          <w:rFonts w:ascii="Times New Roman" w:hAnsi="Times New Roman"/>
          <w:color w:val="000000" w:themeColor="text1"/>
          <w:sz w:val="16"/>
          <w:szCs w:val="16"/>
        </w:rPr>
        <w:softHyphen/>
        <w:t>ков, электрифицированной стрелковой установки ВЭУ-1, новых, с увеличенными габаритами маслорадиаторов и проведения других доработок положение центра тя</w:t>
      </w:r>
      <w:r w:rsidRPr="00070ADE">
        <w:rPr>
          <w:rFonts w:ascii="Times New Roman" w:hAnsi="Times New Roman"/>
          <w:color w:val="000000" w:themeColor="text1"/>
          <w:sz w:val="16"/>
          <w:szCs w:val="16"/>
        </w:rPr>
        <w:softHyphen/>
        <w:t>жести сместилось, и это повлекло за собой изменение стреловидности консолей крыла (11446).</w:t>
      </w:r>
    </w:p>
    <w:p w14:paraId="1A8076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562C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апреля 1944 ГИ ВВС г-п А.К.Репин утвердил ТТТ на новую машину - будущий И-250. Единственное замечание - в разделе бронирования - надпись “Нужно бы еще посмотреть. Для высотного и-перехватчика бронирование как на Ил-2 - несерьезно”. Поэтому оставили тлолько бронеспинку, заголовник и козырек (6471, 4).</w:t>
      </w:r>
    </w:p>
    <w:p w14:paraId="7DF752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172F22"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в 1944 году закончили в производстве истребитель, получивший обозначение «И-222» и шифр "3А". По конструкции самолет в целом повторял «И-221», но имел герметическую кабину и улучшенный обзор задней полусферы. На машине был установлен опытный мотор «АМ-39Б» №01. Кроме того, в системе охлаждения воздуха, поступающего в карбюратор двигателя, установили воздухо-воздушный радиатор взамен водо-воздушного, что позволило, несмотря на установку гермокабины, не допустить возрастания полетной массы самолета. Оболочку гермокабины сделали из алюминиевого сплава АМЦ. В ходе изготовления механическую систему герметизации фонаря заменили пневматической. Максимальная расчетная скорость должна была составить 689 км/ч на высоте 12500 м, а практический потолок 13000-14000 м. Вооружение включало две синхронные 20-мм пушки «СШ-20» с боезапасом по 100 патронов (15108).</w:t>
      </w:r>
    </w:p>
    <w:p w14:paraId="5877EF29" w14:textId="77777777" w:rsidR="00F054E0" w:rsidRPr="00070ADE" w:rsidRDefault="00F054E0" w:rsidP="00B56F90">
      <w:pPr>
        <w:spacing w:after="0" w:line="240" w:lineRule="auto"/>
        <w:jc w:val="both"/>
        <w:rPr>
          <w:rFonts w:ascii="Times New Roman" w:hAnsi="Times New Roman"/>
          <w:color w:val="000000" w:themeColor="text1"/>
          <w:sz w:val="16"/>
          <w:szCs w:val="16"/>
        </w:rPr>
      </w:pPr>
    </w:p>
    <w:p w14:paraId="0C1EE0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апреля 1944 ГИ ПГУ НКХП Зорин писал письмо № 1211/75 Зам. Нач. 12 ГУ НКАП т. И.А.Соколову</w:t>
      </w:r>
    </w:p>
    <w:p w14:paraId="179731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Ваш № Д-2/1249 от 9/У-44:</w:t>
      </w:r>
    </w:p>
    <w:p w14:paraId="1E5281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Сообщаю, что из-за отбраковки большого количества рамок, из числа доставленных на завод № 148, излишнено количества рамок на заводе № 148 не имеется, поэтому таковые заводу К-4 отгружены быть не могут.</w:t>
      </w:r>
    </w:p>
    <w:p w14:paraId="5E4FEC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избежание срыва поставок бронестекол, прошу Ваших самых срочных указаний заводу № 469 НКАП об отгрузке 450 металлических рамок заводу К-4.</w:t>
      </w:r>
    </w:p>
    <w:p w14:paraId="3B25E8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прошу Вас выслать 1-му Главному Управле</w:t>
      </w:r>
      <w:r w:rsidRPr="00070ADE">
        <w:rPr>
          <w:rFonts w:ascii="Times New Roman" w:hAnsi="Times New Roman"/>
          <w:color w:val="000000" w:themeColor="text1"/>
          <w:sz w:val="16"/>
          <w:szCs w:val="16"/>
        </w:rPr>
        <w:softHyphen/>
        <w:t>нию НКХП чертежи бронестекол ЯК-3 № 0500-170; 0500-180 и 0500-183А в 2-х экземплярах, так как высланные с В/отношением № Д-2/912 от 3/1У-44 г. 2 экземпляра черте</w:t>
      </w:r>
      <w:r w:rsidRPr="00070ADE">
        <w:rPr>
          <w:rFonts w:ascii="Times New Roman" w:hAnsi="Times New Roman"/>
          <w:color w:val="000000" w:themeColor="text1"/>
          <w:sz w:val="16"/>
          <w:szCs w:val="16"/>
        </w:rPr>
        <w:softHyphen/>
        <w:t>жей отосланы нами на завод К 148 и К-4 (10532,15).</w:t>
      </w:r>
    </w:p>
    <w:p w14:paraId="3863AC9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2E22208" w14:textId="77777777" w:rsidR="00F054E0" w:rsidRPr="00070ADE" w:rsidRDefault="00F054E0"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апреля 1944 года вышел приказ по заводу в соответствии с Постановлением ГКО от 12.04.</w:t>
      </w:r>
      <w:smartTag w:uri="urn:schemas-microsoft-com:office:smarttags" w:element="metricconverter">
        <w:smartTagPr>
          <w:attr w:name="ProductID" w:val="1945 г"/>
        </w:smartTagPr>
        <w:r w:rsidRPr="00070ADE">
          <w:rPr>
            <w:rFonts w:ascii="Times New Roman" w:hAnsi="Times New Roman"/>
            <w:color w:val="000000" w:themeColor="text1"/>
            <w:sz w:val="16"/>
            <w:szCs w:val="16"/>
          </w:rPr>
          <w:t>1944 г</w:t>
        </w:r>
      </w:smartTag>
      <w:r w:rsidRPr="00070ADE">
        <w:rPr>
          <w:rFonts w:ascii="Times New Roman" w:hAnsi="Times New Roman"/>
          <w:color w:val="000000" w:themeColor="text1"/>
          <w:sz w:val="16"/>
          <w:szCs w:val="16"/>
        </w:rPr>
        <w:t>. №5604 об организации изготовления штампованных металлических звеньев для взлетно-посадочных полос полевых аэродромов по американским образцам и техническим условиям НКСМ с началом их массового производства в прессовом и кузовном цехах с 1 июня 1944 года (15218).</w:t>
      </w:r>
    </w:p>
    <w:p w14:paraId="184077AF" w14:textId="77777777" w:rsidR="00F054E0" w:rsidRPr="00070ADE" w:rsidRDefault="00F054E0" w:rsidP="00B56F90">
      <w:pPr>
        <w:widowControl w:val="0"/>
        <w:spacing w:after="0" w:line="240" w:lineRule="auto"/>
        <w:jc w:val="both"/>
        <w:rPr>
          <w:rFonts w:ascii="Times New Roman" w:hAnsi="Times New Roman"/>
          <w:color w:val="000000" w:themeColor="text1"/>
          <w:sz w:val="16"/>
          <w:szCs w:val="16"/>
        </w:rPr>
      </w:pPr>
    </w:p>
    <w:p w14:paraId="7C3C21D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lastRenderedPageBreak/>
        <w:t>Другие оборонные отрасли:</w:t>
      </w:r>
    </w:p>
    <w:p w14:paraId="29EAB7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44A836"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22 апре</w:t>
      </w:r>
      <w:r w:rsidRPr="00C94B78">
        <w:rPr>
          <w:rFonts w:ascii="Times New Roman" w:hAnsi="Times New Roman"/>
          <w:color w:val="0070C0"/>
          <w:sz w:val="16"/>
          <w:szCs w:val="16"/>
        </w:rPr>
        <w:softHyphen/>
        <w:t>ля 1944 года руководство ГБТУ КА направило наркому танковой промышленности В. Малышеву письмо, в котором просило «дать распоряжение Ки</w:t>
      </w:r>
      <w:r w:rsidRPr="00C94B78">
        <w:rPr>
          <w:rFonts w:ascii="Times New Roman" w:hAnsi="Times New Roman"/>
          <w:color w:val="0070C0"/>
          <w:sz w:val="16"/>
          <w:szCs w:val="16"/>
        </w:rPr>
        <w:softHyphen/>
        <w:t>ровскому заводу о срочном изготовлении и отправке моторов и торсионов для тан</w:t>
      </w:r>
      <w:r w:rsidRPr="00C94B78">
        <w:rPr>
          <w:rFonts w:ascii="Times New Roman" w:hAnsi="Times New Roman"/>
          <w:color w:val="0070C0"/>
          <w:sz w:val="16"/>
          <w:szCs w:val="16"/>
        </w:rPr>
        <w:softHyphen/>
        <w:t>ков Т-44». Кстати, этот факт демонстри</w:t>
      </w:r>
      <w:r w:rsidRPr="00C94B78">
        <w:rPr>
          <w:rFonts w:ascii="Times New Roman" w:hAnsi="Times New Roman"/>
          <w:color w:val="0070C0"/>
          <w:sz w:val="16"/>
          <w:szCs w:val="16"/>
        </w:rPr>
        <w:softHyphen/>
        <w:t>рует, с каким напряжением и трудностями работали танковые заводы в СССР в годы войны. Казалось бы, что за проблема из</w:t>
      </w:r>
      <w:r w:rsidRPr="00C94B78">
        <w:rPr>
          <w:rFonts w:ascii="Times New Roman" w:hAnsi="Times New Roman"/>
          <w:color w:val="0070C0"/>
          <w:sz w:val="16"/>
          <w:szCs w:val="16"/>
        </w:rPr>
        <w:softHyphen/>
        <w:t>готовить два десятка торсионных валов (тем более что их производство для ИСов было налажено) и пару двигателей В-2 с не</w:t>
      </w:r>
      <w:r w:rsidRPr="00C94B78">
        <w:rPr>
          <w:rFonts w:ascii="Times New Roman" w:hAnsi="Times New Roman"/>
          <w:color w:val="0070C0"/>
          <w:sz w:val="16"/>
          <w:szCs w:val="16"/>
        </w:rPr>
        <w:softHyphen/>
        <w:t>большими переделками? Но на деле все оказывалось значительно сложнее. Любые изменения в конструкции требовали раз</w:t>
      </w:r>
      <w:r w:rsidRPr="00C94B78">
        <w:rPr>
          <w:rFonts w:ascii="Times New Roman" w:hAnsi="Times New Roman"/>
          <w:color w:val="0070C0"/>
          <w:sz w:val="16"/>
          <w:szCs w:val="16"/>
        </w:rPr>
        <w:softHyphen/>
        <w:t>работки приспособлений и инструмента, переналадки имеющихся станков или ис</w:t>
      </w:r>
      <w:r w:rsidRPr="00C94B78">
        <w:rPr>
          <w:rFonts w:ascii="Times New Roman" w:hAnsi="Times New Roman"/>
          <w:color w:val="0070C0"/>
          <w:sz w:val="16"/>
          <w:szCs w:val="16"/>
        </w:rPr>
        <w:softHyphen/>
        <w:t>пользования новых. А все это могло приве</w:t>
      </w:r>
      <w:r w:rsidRPr="00C94B78">
        <w:rPr>
          <w:rFonts w:ascii="Times New Roman" w:hAnsi="Times New Roman"/>
          <w:color w:val="0070C0"/>
          <w:sz w:val="16"/>
          <w:szCs w:val="16"/>
        </w:rPr>
        <w:softHyphen/>
        <w:t>сти к уменьшению выпуска серийной про</w:t>
      </w:r>
      <w:r w:rsidRPr="00C94B78">
        <w:rPr>
          <w:rFonts w:ascii="Times New Roman" w:hAnsi="Times New Roman"/>
          <w:color w:val="0070C0"/>
          <w:sz w:val="16"/>
          <w:szCs w:val="16"/>
        </w:rPr>
        <w:softHyphen/>
        <w:t>дукции (за что с руководства предприя</w:t>
      </w:r>
      <w:r w:rsidRPr="00C94B78">
        <w:rPr>
          <w:rFonts w:ascii="Times New Roman" w:hAnsi="Times New Roman"/>
          <w:color w:val="0070C0"/>
          <w:sz w:val="16"/>
          <w:szCs w:val="16"/>
        </w:rPr>
        <w:softHyphen/>
        <w:t>тия и военной приемки на заводе серьезно спросят вышестоящие инстанции). Кроме того, часто не хватало станков, материалов, квалифицированных рабочих... Выпуск се</w:t>
      </w:r>
      <w:r w:rsidRPr="00C94B78">
        <w:rPr>
          <w:rFonts w:ascii="Times New Roman" w:hAnsi="Times New Roman"/>
          <w:color w:val="0070C0"/>
          <w:sz w:val="16"/>
          <w:szCs w:val="16"/>
        </w:rPr>
        <w:softHyphen/>
        <w:t>рийных танков и создание опытных образ</w:t>
      </w:r>
      <w:r w:rsidRPr="00C94B78">
        <w:rPr>
          <w:rFonts w:ascii="Times New Roman" w:hAnsi="Times New Roman"/>
          <w:color w:val="0070C0"/>
          <w:sz w:val="16"/>
          <w:szCs w:val="16"/>
        </w:rPr>
        <w:softHyphen/>
        <w:t>цов машин давались нашей воюющей стра</w:t>
      </w:r>
      <w:r w:rsidRPr="00C94B78">
        <w:rPr>
          <w:rFonts w:ascii="Times New Roman" w:hAnsi="Times New Roman"/>
          <w:color w:val="0070C0"/>
          <w:sz w:val="16"/>
          <w:szCs w:val="16"/>
        </w:rPr>
        <w:softHyphen/>
        <w:t>не очень и очень нелегко (25012).</w:t>
      </w:r>
    </w:p>
    <w:p w14:paraId="34F5D15F" w14:textId="77777777" w:rsidR="00F24AC9" w:rsidRPr="00C94B78" w:rsidRDefault="00F24AC9" w:rsidP="00B56F90">
      <w:pPr>
        <w:spacing w:after="0" w:line="240" w:lineRule="auto"/>
        <w:jc w:val="both"/>
        <w:rPr>
          <w:rFonts w:ascii="Times New Roman" w:hAnsi="Times New Roman"/>
          <w:color w:val="0070C0"/>
          <w:sz w:val="16"/>
          <w:szCs w:val="16"/>
        </w:rPr>
      </w:pPr>
    </w:p>
    <w:p w14:paraId="2C8043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апреля 1944 г. было утверждено ЗАКЛЮЧЕНИЕ УСА ГБТУ КА ПО ОПЫТНОЙ КОМАНДИРСКОЙ БАШЕНКЕ ТАНКА Т-34 КОНСТРУКЦИИ ЗАВОДА №183</w:t>
      </w:r>
    </w:p>
    <w:p w14:paraId="4FA00A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«Утверждаю»</w:t>
      </w:r>
    </w:p>
    <w:p w14:paraId="49CED2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УСА ГБТУ КА</w:t>
      </w:r>
    </w:p>
    <w:p w14:paraId="1E7134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генерал-майор инженерно-танковой службы Алымов</w:t>
      </w:r>
    </w:p>
    <w:p w14:paraId="77E50C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«Утверждаю» Начальник ТУ ГБТУ КА</w:t>
      </w:r>
    </w:p>
    <w:p w14:paraId="290CAB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генерал-майор инженерно-танковой службы Афонин</w:t>
      </w:r>
    </w:p>
    <w:p w14:paraId="66262B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Конструкция опытной командирской башенки танка Т-34 выполнена заводом №183 обтекаемой формы и свободно вращающейся на шариковой опоре крышей. Одна часть крыши башенки благо</w:t>
      </w:r>
      <w:r w:rsidRPr="00070ADE">
        <w:rPr>
          <w:rFonts w:ascii="Times New Roman" w:hAnsi="Times New Roman"/>
          <w:color w:val="000000" w:themeColor="text1"/>
          <w:sz w:val="16"/>
          <w:szCs w:val="16"/>
        </w:rPr>
        <w:softHyphen/>
        <w:t>даря шарнирному соединению и наличию торсионов может легко открываться, во второй же не открывающейся части крыши установлен смотровой прибор МК-4.</w:t>
      </w:r>
    </w:p>
    <w:p w14:paraId="6166BC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открывании крышки люка происходит автоматическое стопорение последней при помощи собачки и зуба, что позволяет удерживать крышку в открытом положении.</w:t>
      </w:r>
    </w:p>
    <w:p w14:paraId="3D4FED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Запирание крышки люка производится посредством замка. При повороте специальной рукоят</w:t>
      </w:r>
      <w:r w:rsidRPr="00070ADE">
        <w:rPr>
          <w:rFonts w:ascii="Times New Roman" w:hAnsi="Times New Roman"/>
          <w:color w:val="000000" w:themeColor="text1"/>
          <w:sz w:val="16"/>
          <w:szCs w:val="16"/>
        </w:rPr>
        <w:softHyphen/>
        <w:t>ки защелка замка полностью заходит в уступ на погоне башенки.</w:t>
      </w:r>
    </w:p>
    <w:p w14:paraId="3E4D13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Стопорение крыши башенки в определенном положении (смотровой прибор МК-4 находится по ходу танка) производится посредством стопора, который под действием пружины заходит в свое гнездо на кольце погона.</w:t>
      </w:r>
    </w:p>
    <w:p w14:paraId="2DFC92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Расстопоривание крыши производится натяжением на себя за кольцо стопора.</w:t>
      </w:r>
    </w:p>
    <w:p w14:paraId="4D82D2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Обзор из командирской башенки осуществляется через пять смотровых щелей с призмами многократного отражения и перископический смотровой прибор типа МК-4. Смотровой прибор МК-4 может свободно вращаться вокруг своей вертикальной оси на 360° и качаться относительно горизонтальной оси на ±15°.</w:t>
      </w:r>
    </w:p>
    <w:p w14:paraId="2ED535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Призмы многократного преломления вставляются в гнезда (смотровые щели) и удерживаются от продольного перемещения пластинчатыми пружинами.</w:t>
      </w:r>
    </w:p>
    <w:p w14:paraId="4480E8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Между сегментами крыши и крышкой люка имеется уплотнительная резина, предохраняющая от проникновения воды внутрь танка.</w:t>
      </w:r>
    </w:p>
    <w:p w14:paraId="207103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опытная командирская башенка отличается от серийной в основном следующим:</w:t>
      </w:r>
    </w:p>
    <w:p w14:paraId="2A8E00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 опытной башенке смотровой прибор МК-4 установлен в не открывающейся части крыши (сегменте), в отличие от серийной, где он расположен в открывающейся части крыши башенки, что приводит к частым его поломкам.</w:t>
      </w:r>
    </w:p>
    <w:p w14:paraId="24BA04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 опытной башенке имеются торсионы, облегчающие командиру открывание крышки люка. У серийной — торсионов нет.</w:t>
      </w:r>
    </w:p>
    <w:p w14:paraId="0F53A2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Средствами наблюдения опытной башенки служат призмы многократного отражения, вставлен</w:t>
      </w:r>
      <w:r w:rsidRPr="00070ADE">
        <w:rPr>
          <w:rFonts w:ascii="Times New Roman" w:hAnsi="Times New Roman"/>
          <w:color w:val="000000" w:themeColor="text1"/>
          <w:sz w:val="16"/>
          <w:szCs w:val="16"/>
        </w:rPr>
        <w:softHyphen/>
        <w:t>ные в смотровые щели, у серийной башенки для этой цели служат щели, защищенные триплексами.</w:t>
      </w:r>
    </w:p>
    <w:p w14:paraId="167F37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Обзорность у опытной башенки гораздо больше, чем у серийной, за счет наличия призм мно</w:t>
      </w:r>
      <w:r w:rsidRPr="00070ADE">
        <w:rPr>
          <w:rFonts w:ascii="Times New Roman" w:hAnsi="Times New Roman"/>
          <w:color w:val="000000" w:themeColor="text1"/>
          <w:sz w:val="16"/>
          <w:szCs w:val="16"/>
        </w:rPr>
        <w:softHyphen/>
        <w:t>гократного отражения, обеспечивающих значительно большее поле зрения.</w:t>
      </w:r>
    </w:p>
    <w:p w14:paraId="2976C6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Внутренний диаметр опытной башенки больше, чем серийной на 10 мм.</w:t>
      </w:r>
    </w:p>
    <w:p w14:paraId="4CACBD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Толщина крыши опытной башенки меньше, чем у серийной на 6 мм (14 мм у опытной против 20 мм у серийной).</w:t>
      </w:r>
    </w:p>
    <w:p w14:paraId="19F6AD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Толщина основной литой брони опытной башенки больше, чем у серийной на 40 мм (90 мм у опытной против 50 мм у серийной).</w:t>
      </w:r>
    </w:p>
    <w:p w14:paraId="276940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Диаметр шариков опоры вращающейся крыши опытной башенки больше шариков серийной башенки (16 мм у опытной против 12 мм у серийной). Выводы.</w:t>
      </w:r>
    </w:p>
    <w:p w14:paraId="0BCE68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Размер люка для посадки в танк командира недостаточный и составляет в диаметре 575 мм, по ширине — 340 мм, средняя ширина человека в зимней одежде 600-630 мм, это затруднит посадку командира в зимней одежде с личным оружием.</w:t>
      </w:r>
    </w:p>
    <w:p w14:paraId="088695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Вероятность установки на крыше командирской башенки зенитного пулемета вызовет повы</w:t>
      </w:r>
      <w:r w:rsidRPr="00070ADE">
        <w:rPr>
          <w:rFonts w:ascii="Times New Roman" w:hAnsi="Times New Roman"/>
          <w:color w:val="000000" w:themeColor="text1"/>
          <w:sz w:val="16"/>
          <w:szCs w:val="16"/>
        </w:rPr>
        <w:softHyphen/>
        <w:t>шенный износ и разбалтывание шариковой опоры в целом.</w:t>
      </w:r>
    </w:p>
    <w:p w14:paraId="2E3431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представленном проекте беговая дорожка для шариков, выполненная непосредственно в кор</w:t>
      </w:r>
      <w:r w:rsidRPr="00070ADE">
        <w:rPr>
          <w:rFonts w:ascii="Times New Roman" w:hAnsi="Times New Roman"/>
          <w:color w:val="000000" w:themeColor="text1"/>
          <w:sz w:val="16"/>
          <w:szCs w:val="16"/>
        </w:rPr>
        <w:softHyphen/>
        <w:t>пусе башенки, усложнит реставрацию дорожки по мере ее износа.</w:t>
      </w:r>
    </w:p>
    <w:p w14:paraId="235401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Расстояние от оси смотровой щели до крыши башенки недостаточное и составляет 130 мм, средний же размер по высоте головы человека (выше глаза) с надетым танковым шлемом составляет около 150 мм.</w:t>
      </w:r>
    </w:p>
    <w:p w14:paraId="68BD3F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создает ненормальное положение глаза наблюдающего относительно смотровой щели. Голова наблюдающего в этом случае постоянно упирается в крышу башенки.</w:t>
      </w:r>
    </w:p>
    <w:p w14:paraId="3F395D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Этот же недостаток отмечался у серийных командирских башенок.</w:t>
      </w:r>
    </w:p>
    <w:p w14:paraId="16CD6E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Отсутствие козырьков над смотровыми щелями и слабая герметизация призм не обеспечива</w:t>
      </w:r>
      <w:r w:rsidRPr="00070ADE">
        <w:rPr>
          <w:rFonts w:ascii="Times New Roman" w:hAnsi="Times New Roman"/>
          <w:color w:val="000000" w:themeColor="text1"/>
          <w:sz w:val="16"/>
          <w:szCs w:val="16"/>
        </w:rPr>
        <w:softHyphen/>
        <w:t>ет от проникновения внутрь машины воды и грязи.</w:t>
      </w:r>
    </w:p>
    <w:p w14:paraId="621CC9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Выступающие концы торсионов затрудняют посадку командира через люк башенки. Однако предложенная конструкция смотровой башенки в сравнении со штатной имеет следую</w:t>
      </w:r>
      <w:r w:rsidRPr="00070ADE">
        <w:rPr>
          <w:rFonts w:ascii="Times New Roman" w:hAnsi="Times New Roman"/>
          <w:color w:val="000000" w:themeColor="text1"/>
          <w:sz w:val="16"/>
          <w:szCs w:val="16"/>
        </w:rPr>
        <w:softHyphen/>
        <w:t>щие положительные стороны, подлежащие реализации:</w:t>
      </w:r>
    </w:p>
    <w:p w14:paraId="0577AD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расположение прибора МК-4 в неподвижном сегменте крыши башенки исключает частый выход прибора из строя, имеющий место в штатных башенках;</w:t>
      </w:r>
    </w:p>
    <w:p w14:paraId="5B376A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наличие торсиона на открывающейся части крыши башенки облегчает открывание крышки люка;</w:t>
      </w:r>
    </w:p>
    <w:p w14:paraId="77F6C3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наличие призм многократного отражения несколько повышает и улучшает обзорность из башен</w:t>
      </w:r>
      <w:r w:rsidRPr="00070ADE">
        <w:rPr>
          <w:rFonts w:ascii="Times New Roman" w:hAnsi="Times New Roman"/>
          <w:color w:val="000000" w:themeColor="text1"/>
          <w:sz w:val="16"/>
          <w:szCs w:val="16"/>
        </w:rPr>
        <w:softHyphen/>
        <w:t>ки, но требует наличия призм изготовленных из высококачественного стекла и точной обработки.</w:t>
      </w:r>
    </w:p>
    <w:p w14:paraId="50B20F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w:t>
      </w:r>
    </w:p>
    <w:p w14:paraId="5A15AB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Заводу №183 необходимо пересмотреть чертежи опытной смотровой башенки танка Т-34 в направлении:</w:t>
      </w:r>
    </w:p>
    <w:p w14:paraId="0C7280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Увеличить диаметр командирской башенки на 25-30 мм, обеспечив посадку и выход команди</w:t>
      </w:r>
      <w:r w:rsidRPr="00070ADE">
        <w:rPr>
          <w:rFonts w:ascii="Times New Roman" w:hAnsi="Times New Roman"/>
          <w:color w:val="000000" w:themeColor="text1"/>
          <w:sz w:val="16"/>
          <w:szCs w:val="16"/>
        </w:rPr>
        <w:softHyphen/>
        <w:t>ра в зимней одежде.</w:t>
      </w:r>
    </w:p>
    <w:p w14:paraId="1FA9B5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Разработать и изготовить два опытных образца башен, из которых: один со смотровыми щеля</w:t>
      </w:r>
      <w:r w:rsidRPr="00070ADE">
        <w:rPr>
          <w:rFonts w:ascii="Times New Roman" w:hAnsi="Times New Roman"/>
          <w:color w:val="000000" w:themeColor="text1"/>
          <w:sz w:val="16"/>
          <w:szCs w:val="16"/>
        </w:rPr>
        <w:softHyphen/>
        <w:t>ми, прикрытыми серийными триплексами и прибором МК-4 в крыше, и второй без боковых щелей с прибором МК-4 в крыше.</w:t>
      </w:r>
    </w:p>
    <w:p w14:paraId="4CA599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Первый образец должен иметь размер от оси щели до крыши башенки не менее 150 мм.</w:t>
      </w:r>
    </w:p>
    <w:p w14:paraId="07EFD9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Второй образец башенки может иметь меньшую высоту, чем первый, необходимую для разме</w:t>
      </w:r>
      <w:r w:rsidRPr="00070ADE">
        <w:rPr>
          <w:rFonts w:ascii="Times New Roman" w:hAnsi="Times New Roman"/>
          <w:color w:val="000000" w:themeColor="text1"/>
          <w:sz w:val="16"/>
          <w:szCs w:val="16"/>
        </w:rPr>
        <w:softHyphen/>
        <w:t>щения прибора МК-4 или нового оптического прибора командира с обеспечением минимального мертвого пространства при наблюдении.</w:t>
      </w:r>
    </w:p>
    <w:p w14:paraId="177DDF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Обеспечить смотровые приборы от загрязнений снаружи и от протекания воды через их гнез</w:t>
      </w:r>
      <w:r w:rsidRPr="00070ADE">
        <w:rPr>
          <w:rFonts w:ascii="Times New Roman" w:hAnsi="Times New Roman"/>
          <w:color w:val="000000" w:themeColor="text1"/>
          <w:sz w:val="16"/>
          <w:szCs w:val="16"/>
        </w:rPr>
        <w:softHyphen/>
        <w:t>да внутрь танка.</w:t>
      </w:r>
    </w:p>
    <w:p w14:paraId="5306E4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Устранить возможность задевания одеждой за концы торсионов при пользовании командир</w:t>
      </w:r>
      <w:r w:rsidRPr="00070ADE">
        <w:rPr>
          <w:rFonts w:ascii="Times New Roman" w:hAnsi="Times New Roman"/>
          <w:color w:val="000000" w:themeColor="text1"/>
          <w:sz w:val="16"/>
          <w:szCs w:val="16"/>
        </w:rPr>
        <w:softHyphen/>
        <w:t>ским люком.</w:t>
      </w:r>
    </w:p>
    <w:p w14:paraId="4A7B91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Ввиду того, что сейчас промышленность не может обеспечить танки качественными при</w:t>
      </w:r>
      <w:r w:rsidRPr="00070ADE">
        <w:rPr>
          <w:rFonts w:ascii="Times New Roman" w:hAnsi="Times New Roman"/>
          <w:color w:val="000000" w:themeColor="text1"/>
          <w:sz w:val="16"/>
          <w:szCs w:val="16"/>
        </w:rPr>
        <w:softHyphen/>
        <w:t>змами многократного преломления, рекомендовать заводу №183 разработку смотровых башенок с указанными призмами временно прекратить.</w:t>
      </w:r>
    </w:p>
    <w:p w14:paraId="019AFA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Обеспечить в первую очередь изготовление смотровых башенок танка Т-34 с учетом указанных выше замечаний.</w:t>
      </w:r>
    </w:p>
    <w:p w14:paraId="3179CE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3 отдела УСА ГБТУ КА инженер-подполковник Ковалев</w:t>
      </w:r>
    </w:p>
    <w:p w14:paraId="28E2A6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Помощник начальника ТУ ГБТУ КА гвардии полковник Кульчицкий</w:t>
      </w:r>
    </w:p>
    <w:p w14:paraId="1A1305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11369. Д. 483. Л. 82-84. Копия (11403).</w:t>
      </w:r>
    </w:p>
    <w:p w14:paraId="66B46A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26B10C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апреля 1944 года вышел приказ № 195с НКБ</w:t>
      </w:r>
    </w:p>
    <w:p w14:paraId="506F1DC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исполнение распоряжения СНК за № 8381рс от 14 апреля 1944 года “О выделении из завода № 80 химических производств в самостоятельный завод с собственной энергетической и ремонтно-механической базами” (6014, 45).</w:t>
      </w:r>
    </w:p>
    <w:p w14:paraId="51D6F8D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1559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апреля 1944 года в соответствии с приказом наркома боеприпасов за № 195-с завод № 80 разделен на два самостоятельных завода:</w:t>
      </w:r>
    </w:p>
    <w:p w14:paraId="310CC8FC" w14:textId="77777777" w:rsidR="00595BFB" w:rsidRPr="00070ADE" w:rsidRDefault="00595BFB" w:rsidP="00B56F9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Снаряжательный завод.</w:t>
      </w:r>
    </w:p>
    <w:p w14:paraId="528726E4" w14:textId="77777777" w:rsidR="00595BFB" w:rsidRPr="00070ADE" w:rsidRDefault="00595BFB" w:rsidP="00B56F9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Химический завод (производство взрывчатых веществ и кислот) (10213).</w:t>
      </w:r>
    </w:p>
    <w:p w14:paraId="25EBCD46" w14:textId="77777777" w:rsidR="00595BFB" w:rsidRPr="00070ADE" w:rsidRDefault="00595BFB" w:rsidP="00B56F9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22EC5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апреля 1944 вышло Распоряжение ГКО № 5700. О мобилизации в Татарской АССР 120 сельских жителей на торфопредприятие при заводе № 237 НКВ. РГАНИР, Фонд ГКО, д. 241, лл. 195 (11012).</w:t>
      </w:r>
    </w:p>
    <w:p w14:paraId="374C6C0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9D862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апреля 1944 вышло Постановление ГКО № 5701 О плане распределения острого пара, отпускаемого электростанциями Наркомата электростанций для технологических нужд промышленных предприятий на II квартал 1944 года. РГАНИР, Фонд ГКО, д. 241, лл. 196,197-198 (11012).</w:t>
      </w:r>
    </w:p>
    <w:p w14:paraId="4D4186B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5DAC00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апреля 1944 вышло Постановление ГКО № 5702 Об экскаваторах для водного хозяйства Казахской ССР. (7219, 199).</w:t>
      </w:r>
    </w:p>
    <w:p w14:paraId="14067FD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6297F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96CE8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2137F1"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апреля в 1944 году оперативная сводка Совинформбюро:</w:t>
      </w:r>
    </w:p>
    <w:p w14:paraId="0F6BFB89"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22 апреля на фронтах существенных изменений не произошло.</w:t>
      </w:r>
    </w:p>
    <w:p w14:paraId="3C9D6839"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21 апреля наши войска на всех фронтах подбили и уничтожили 87 немецких танков. В воздушных боях и огнём зенитной артиллерии сбито 54 самолета противника.».</w:t>
      </w:r>
    </w:p>
    <w:p w14:paraId="7DB4280C"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Бомбардировка нашей авиацией сланцеперегоночных заводов в Эстонии</w:t>
      </w:r>
    </w:p>
    <w:p w14:paraId="0371504B"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22 апреля наша авиация дальнего действия бомбардироваласланцеперегоночные заводы в районе посёлков Кохтла-Ярве и Силламяэ (ЭстонскаяССР). Прямыми попаданиями бомб вызваны пожары, сопровождавшиеся несколькимивзрывами. Большая часть территории сланцеперегоночных заводов была охвачена огнём.</w:t>
      </w:r>
    </w:p>
    <w:p w14:paraId="2D221182"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Один наш самолёт не вернулся на свой аэродром.».</w:t>
      </w:r>
    </w:p>
    <w:p w14:paraId="0F066DEA"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Нарва немцы дважды пытались атаковать наши позиции. Танки и пехота противника были встречены артиллерийским и миномётным огнём. Не достигнув переднего края, немцы были вынуждены отойти, потеряв убитыми до 300 своих солдат и офицеров. Перед нашими позициями осталось 7 сгоревших танков и 3 бронетранспортера противника.</w:t>
      </w:r>
    </w:p>
    <w:p w14:paraId="04B35AA4"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лётчики в воздушных боях в течение дня сбили 25 немецких самолётов, из них 18 бомбардировщиков. Кроме того, огнём зенитной артиллерии уничтожено 3 самолёта противника.</w:t>
      </w:r>
    </w:p>
    <w:p w14:paraId="6FA8F4A1"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юго-востоку от города Станислав батальон немецкой пехоты пытался занять одну высоту. Советские бойцы контратакой отбросили противника, уничтожив при этом свыше 200 гитлеровцев. Захвачено 2 противотанковых орудия, 160 винтовок и автоматов. Взяты пленные. В другом районе артиллеристы-гвардейцы части, которой командует Герой Советского Союза полковник Петрунин, отражая атаку противника, подбили 2 танка типа «Тигр» и 4 средних немецких танка.</w:t>
      </w:r>
    </w:p>
    <w:p w14:paraId="3FBDC763"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3-м Украинском фронте гвардии красноармейцы тт. Калиновский, Зверев иШнурков во главе с гвардии лейтенантом Тырко пробрались в село, занятое противником. Наши бойцы внезапно напали на врага и в короткой схватке убили 30 гитлеровцев. Оставшиеся в живых немцы бросились бежать и нарвались на находившуюся в засаде группу разведчиков. Встретив противника метким огнём, советские разведчики истребили 68 немецких солдат и офицеров. Захвачен в плен командир немецкого батальона.</w:t>
      </w:r>
    </w:p>
    <w:p w14:paraId="6E970764"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Авиацией Черноморского флота потоплены быстроходная десантная баржа, сторожевой катер и транспорт противника водоизмещением в 2.000 тонн.</w:t>
      </w:r>
    </w:p>
    <w:p w14:paraId="33036CC8"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Лётчики Краснознамённого Балтийского флота потопили одну быстроходную десантную баржу и повредили тральщик противника.</w:t>
      </w:r>
    </w:p>
    <w:p w14:paraId="25710C66"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Немецкое командование направило против партизан, действующих в одном районе Минской области, крупную карательную экспедицию. Советские патриоты устроили засады у дороги, по которой двигались гитлеровцы, и внезапно напали на карателей. В ожесточённом бою партизаны истребили до роты немецкой пехоты.</w:t>
      </w:r>
    </w:p>
    <w:p w14:paraId="7CF5736D"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Взятый в плен в Крыму в районе Карасубазар командир боевой группы 3 румынской горно-стрелковой дивизии подполковник Димитриу рассказал: «В мою боевую группу входили три батальона. Группа была подчинена 98 немецкой пехотной дивизии. Я получил из штаба дивизии приказ прикрывать отход немцев на новый оборонительныйрубеж. Немцы не сумели закрепиться на новых позициях, и румынские батальоны отходили очень поспешно, а русские преследовали нас по пятам. В воздухе непрерывно висели советские самолёты. Это был ад кромешный. Утром 11 апреля началась дикая паника. Солдаты, обезумевшие от страха, побросали военное имущество, вооружение и бежали группами и в одиночку. Русские самолётыо бстреливали нас с высоты 30-40 метров. Солдаты и офицеры забирались в укрытия, дожидались прихода русских и сдавались в плен. За два дня я растерял всех моих солдат и офицеров. В каком-то селе около Карасубазара русские танкисты настигли нас и захватили в плен. По дороге в лагерь для военнопленных я встретил более500 солдат моих батальонов и многих офицеров. Операция по разгрому немецко-румынской группировки в Крыму была организована и проведена русскими блестяще. Разумеется, мы, офицеры, знали, что крымская группировка немецко-румынских войск обречена, и были готовы ко всему. Однако действительность превзошла все наши предположения».</w:t>
      </w:r>
    </w:p>
    <w:p w14:paraId="6F5A1CA6"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председателя Симферопольского городского совета т. Качка, жители города Симферополь тт. Лаврентьева, Зеленицкая, Чурилова и Шабания сообщили: «Немецко-фашистские мерзавцы превратили совхоз «Красный», расположенный в пяти километрах от Симферополя, в концлагерь для мирных советских граждан. Начальник концлагеря Шпекман, комендант Краузе и гестаповец Аппель творили зверскую расправу над женщинами, стариками и детьми. За два с лишним года гитлеровцы замучили и расстреляли много тысяч советских людей. Массовые казни происходили на пятой ферме совхоза «Красный» и в балке Дубки. Так, в октябре прошлого года гитлеровские изверги расстреляли в совхозе 300 мирных жителей Симферополя. Фашистские палачи свезли трупы расстрелянных в поле, сложили в штабеля, облили бензином и сожгли. В последнее время в фашистском застенке томилось 400 советских граждан. Перед отступлением немецкая охрана лагеря расстреляла всех заключённых. Чтобы замести следы своих зверств, фашистские дикари сожгли лагерь. Однако остались живые свидетели, осталась балка Дубки, где похоронены жертвы фашистского террора» (15107).</w:t>
      </w:r>
    </w:p>
    <w:p w14:paraId="6F09F67A" w14:textId="77777777" w:rsidR="00F054E0" w:rsidRPr="00070ADE" w:rsidRDefault="00F054E0" w:rsidP="00B56F90">
      <w:pPr>
        <w:spacing w:after="0" w:line="240" w:lineRule="auto"/>
        <w:jc w:val="both"/>
        <w:rPr>
          <w:rFonts w:ascii="Times New Roman" w:hAnsi="Times New Roman"/>
          <w:color w:val="000000" w:themeColor="text1"/>
          <w:sz w:val="16"/>
          <w:szCs w:val="16"/>
        </w:rPr>
      </w:pPr>
    </w:p>
    <w:p w14:paraId="6C418EFE" w14:textId="77777777" w:rsidR="004543A8" w:rsidRPr="00070ADE" w:rsidRDefault="004543A8" w:rsidP="00B56F90">
      <w:pPr>
        <w:pStyle w:val="ae"/>
        <w:spacing w:before="0" w:after="0"/>
        <w:jc w:val="both"/>
        <w:textAlignment w:val="baseline"/>
        <w:rPr>
          <w:color w:val="000000" w:themeColor="text1"/>
          <w:sz w:val="16"/>
          <w:szCs w:val="16"/>
        </w:rPr>
      </w:pPr>
      <w:r w:rsidRPr="00070ADE">
        <w:rPr>
          <w:color w:val="000000" w:themeColor="text1"/>
          <w:sz w:val="16"/>
          <w:szCs w:val="16"/>
        </w:rPr>
        <w:t>22 апреля 1944 24 Ил-2 из 47-го шап и 23 Ила из 8-го гв. шап участвовали в массированной атаке немецко-румынского конвоя, шедшего в Севастополь. В результате был поврежден танкер «Оссаг» тоннажем 2800 брт. Затем 10 мая «горбатые» атаковали суда, завершавшие эвакуацию немецких и румынских войск из Севастополя. Совместно с бомбардировщиками они тогда сумели потопить крупные транспорты «Тейя» и «Тотила» (19522).</w:t>
      </w:r>
    </w:p>
    <w:p w14:paraId="2A179D09" w14:textId="77777777" w:rsidR="004543A8" w:rsidRPr="00070ADE" w:rsidRDefault="004543A8" w:rsidP="00B56F90">
      <w:pPr>
        <w:pStyle w:val="ae"/>
        <w:spacing w:before="0" w:after="0"/>
        <w:jc w:val="both"/>
        <w:textAlignment w:val="baseline"/>
        <w:rPr>
          <w:color w:val="000000" w:themeColor="text1"/>
          <w:sz w:val="16"/>
          <w:szCs w:val="16"/>
        </w:rPr>
      </w:pPr>
    </w:p>
    <w:p w14:paraId="66F038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апреля 1944 был первый случай применения Ил-2 топмачтовиков на ЧФ при ударе по конвою в 35 км на юг от Балаклавы. Топмачтовики потопили 3 из 3 (1085,181).</w:t>
      </w:r>
    </w:p>
    <w:p w14:paraId="28AF16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F7BC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апреля 1944 на ЧФ наносился удар Ил-2 по конвою из трех транспортов, трех торпедных и одного сторожевого катера. Первая группа из 13 Ил-2, в т.ч. 9 Ил-2 пикировщиков и 4 топмачтовика. Во второй группе - 18 - 12 и 6. Для обеспечения был привлечен 21 Ил-2 или 70% всего наряда сил. Потопили 2 транспорта и один катер. В тот же день по другому конвою действовало 12 А-20, в т.ч. 3 топмачтовика. Потопили три транспорта (4414,10).</w:t>
      </w:r>
    </w:p>
    <w:p w14:paraId="3E009E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BA95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апреля 1944 "Бостоны" потопили транспорт "Оссаг" и тральщик КТ-26, через два дня- лихтер "Лео" (3457,106).</w:t>
      </w:r>
    </w:p>
    <w:p w14:paraId="68F719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9E1F4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4F21F9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6F502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апреля 1944 Финляндия прервала переговоры с СССР о перемирии, назвав советские условия неприемлемыми (4962).</w:t>
      </w:r>
    </w:p>
    <w:p w14:paraId="7A625E9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D32404"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апреля в 1944 году заявление правительства СССР о советско-финских отношениях (15107).</w:t>
      </w:r>
    </w:p>
    <w:p w14:paraId="0119759D" w14:textId="77777777" w:rsidR="00F054E0" w:rsidRPr="00070ADE" w:rsidRDefault="00F054E0" w:rsidP="00B56F90">
      <w:pPr>
        <w:spacing w:after="0" w:line="240" w:lineRule="auto"/>
        <w:jc w:val="both"/>
        <w:rPr>
          <w:rFonts w:ascii="Times New Roman" w:hAnsi="Times New Roman"/>
          <w:color w:val="000000" w:themeColor="text1"/>
          <w:sz w:val="16"/>
          <w:szCs w:val="16"/>
        </w:rPr>
      </w:pPr>
    </w:p>
    <w:p w14:paraId="48C1B87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4ACD87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D693AD"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апреля в 1944 году немецкий лётчик истребитель Гейнц Бэр (Heinz Baer), сбив «В-26» «Marauder», добился своей 200-й победы. Всего совершил около 1000 боевых вылетов, побед всего – 220, из них: 79 - Восточный фронт, 45 - Северная Африка и Средиземноморье, 4 - Франция, 13 - "Битва за Англию" и 83 - Западный фронт (в том числе 21 сбитый моторный 4-х моторный бомбардировщик «B-17» и «B-24», 16 побед на «Me.262»). Награжден «Рыцарским Крестом с дубовыми листьями и мечами» («Ritterkreuz des Eisernen Kreuzes mit detn Eichenlaub mit Schwertern»)</w:t>
      </w:r>
    </w:p>
    <w:p w14:paraId="47EC310F" w14:textId="77777777" w:rsidR="00F054E0" w:rsidRPr="00070ADE" w:rsidRDefault="00F054E0" w:rsidP="00B56F90">
      <w:pPr>
        <w:spacing w:after="0" w:line="240" w:lineRule="auto"/>
        <w:jc w:val="both"/>
        <w:rPr>
          <w:rFonts w:ascii="Times New Roman" w:hAnsi="Times New Roman"/>
          <w:color w:val="000000" w:themeColor="text1"/>
          <w:sz w:val="16"/>
          <w:szCs w:val="16"/>
        </w:rPr>
      </w:pPr>
    </w:p>
    <w:p w14:paraId="1BA4A9D4" w14:textId="77777777" w:rsidR="00301BB3" w:rsidRPr="00070ADE" w:rsidRDefault="00301B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22–23 апреля (ночь) 1944 596 британских бомбардировщиков атаковали Дюссельдорф, Германия, сбросив 2185 метрических тонн бомб и нанеся большой урон северной части города. Немецкие ночные истребители перехватывают их, и 29 бомбардировщиков (4,9% сил) потеряны (20373).</w:t>
      </w:r>
    </w:p>
    <w:p w14:paraId="1713E523" w14:textId="77777777" w:rsidR="00301BB3" w:rsidRPr="00070ADE" w:rsidRDefault="00301BB3" w:rsidP="00B56F90">
      <w:pPr>
        <w:spacing w:after="0" w:line="240" w:lineRule="auto"/>
        <w:jc w:val="both"/>
        <w:rPr>
          <w:rFonts w:ascii="Times New Roman" w:hAnsi="Times New Roman"/>
          <w:color w:val="000000" w:themeColor="text1"/>
          <w:sz w:val="16"/>
          <w:szCs w:val="16"/>
        </w:rPr>
      </w:pPr>
    </w:p>
    <w:p w14:paraId="714A2F40" w14:textId="77777777" w:rsidR="00301BB3" w:rsidRPr="00070ADE" w:rsidRDefault="00301B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22–23 апреля (ночь) 1944 265 британских бомбардировщиков атакуют Брауншвег, Германия. Впервые низкоуровневое целеуказание используется против крупного немецкого города, но налет не имеет успеха, потому что низкие облака закрывают видимость для целеуказателей, и только некоторые бомбардировщики попадают в центр города. Немногочисленные немецкие ночные истребители перехватывают налет, но только четыре бомбардировщика (1,5 процента сил) потеряны (20373).</w:t>
      </w:r>
    </w:p>
    <w:p w14:paraId="4603ABA7" w14:textId="77777777" w:rsidR="00301BB3" w:rsidRPr="00070ADE" w:rsidRDefault="00301BB3" w:rsidP="00B56F90">
      <w:pPr>
        <w:spacing w:after="0" w:line="240" w:lineRule="auto"/>
        <w:jc w:val="both"/>
        <w:rPr>
          <w:rFonts w:ascii="Times New Roman" w:hAnsi="Times New Roman"/>
          <w:color w:val="000000" w:themeColor="text1"/>
          <w:sz w:val="16"/>
          <w:szCs w:val="16"/>
        </w:rPr>
      </w:pPr>
    </w:p>
    <w:p w14:paraId="15DCF3D2" w14:textId="77777777" w:rsidR="00301BB3" w:rsidRPr="00070ADE" w:rsidRDefault="00301B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22–23 апреля (ночь) 1944 181 британский бомбардировщик атаковал железнодорожные станции в Лаоне, Франция, нанеся серьезные повреждения. Девять бомбардировщиков (5 процентов сил) потеряны (20373).</w:t>
      </w:r>
    </w:p>
    <w:p w14:paraId="58828412" w14:textId="77777777" w:rsidR="00301BB3" w:rsidRPr="00070ADE" w:rsidRDefault="00301BB3" w:rsidP="00B56F90">
      <w:pPr>
        <w:spacing w:after="0" w:line="240" w:lineRule="auto"/>
        <w:jc w:val="both"/>
        <w:rPr>
          <w:rFonts w:ascii="Times New Roman" w:hAnsi="Times New Roman"/>
          <w:color w:val="000000" w:themeColor="text1"/>
          <w:sz w:val="16"/>
          <w:szCs w:val="16"/>
        </w:rPr>
      </w:pPr>
    </w:p>
    <w:p w14:paraId="4B22E4CA" w14:textId="77777777" w:rsidR="00F054E0" w:rsidRPr="00070ADE" w:rsidRDefault="00F054E0"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апреля 1944 года в Бирме произошло первое применение вертолёта американскими ВВС в боевых условиях. Вертолёт Sikorsky YR-4B под управлением лейтенанта Картера Хартмана принял участие в поисково-спасательной операции. Днём ранее японцы сбили спасательный самолёт Stinson L-1 Vigilant с американским пилотом и тремя ранеными британскими солдатами на борту, и Хартман эвакуировал всех их. Из-за небольшого размера кабины вертолёта спасённых военнослужащих пришлось перевозить в безопасное место по одному.</w:t>
      </w:r>
    </w:p>
    <w:p w14:paraId="14AFF925" w14:textId="77777777" w:rsidR="00F054E0" w:rsidRPr="00070ADE" w:rsidRDefault="00F054E0"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Вертолёт YR-4B был одной из модификаций первого в мире серийного вертолёта Sikorsky R-4. Эти машины использовались вооружёнными силами США и Великобритании. Всего был построен 131 вертолёт R-4 в различных версиях. Вертолёт полной массой около 1,2 тонн оснащался двигателем мощностью 165–200 л.с., имел дальность полёта около 200 км и максимальную скорость до 120 км/ч (15109).</w:t>
      </w:r>
    </w:p>
    <w:p w14:paraId="3DF5B92A" w14:textId="77777777" w:rsidR="00F054E0" w:rsidRPr="00070ADE" w:rsidRDefault="00F054E0" w:rsidP="00B56F90">
      <w:pPr>
        <w:pStyle w:val="ae"/>
        <w:shd w:val="clear" w:color="auto" w:fill="FFFFFF"/>
        <w:spacing w:before="0" w:after="0"/>
        <w:jc w:val="both"/>
        <w:rPr>
          <w:iCs/>
          <w:color w:val="000000" w:themeColor="text1"/>
          <w:sz w:val="16"/>
          <w:szCs w:val="16"/>
        </w:rPr>
      </w:pPr>
    </w:p>
    <w:p w14:paraId="33E683D9" w14:textId="77777777" w:rsidR="00301BB3" w:rsidRPr="00070ADE" w:rsidRDefault="00301B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22–23 апреля 1944 самолеты восьми авианосцев сопровождения ВМС США поддерживают высадку десанта в Голландии (20373).</w:t>
      </w:r>
    </w:p>
    <w:p w14:paraId="2D5CE124" w14:textId="77777777" w:rsidR="00301BB3" w:rsidRPr="00070ADE" w:rsidRDefault="00301BB3" w:rsidP="00B56F90">
      <w:pPr>
        <w:spacing w:after="0" w:line="240" w:lineRule="auto"/>
        <w:jc w:val="both"/>
        <w:rPr>
          <w:rFonts w:ascii="Times New Roman" w:hAnsi="Times New Roman"/>
          <w:color w:val="000000" w:themeColor="text1"/>
          <w:sz w:val="16"/>
          <w:szCs w:val="16"/>
        </w:rPr>
      </w:pPr>
    </w:p>
    <w:p w14:paraId="16CD46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апреля 1944 в юго-западной части ТО американские войска высадились в районах Эйтапе и Голландия, а также на Новой Гвинее. Полностью освободили 5 мая (3907,248).</w:t>
      </w:r>
    </w:p>
    <w:p w14:paraId="5C2943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18456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C2AA2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A465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была подготовлена Справка о работах, представленных НКАП на соискание Сталинских премий за 1943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1701"/>
        <w:gridCol w:w="1364"/>
        <w:gridCol w:w="1364"/>
      </w:tblGrid>
      <w:tr w:rsidR="004D4663" w:rsidRPr="00070ADE" w14:paraId="08C47DA8" w14:textId="77777777">
        <w:tc>
          <w:tcPr>
            <w:tcW w:w="3085" w:type="dxa"/>
          </w:tcPr>
          <w:p w14:paraId="3FC415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Фамилии, представленных</w:t>
            </w:r>
          </w:p>
        </w:tc>
        <w:tc>
          <w:tcPr>
            <w:tcW w:w="1701" w:type="dxa"/>
          </w:tcPr>
          <w:p w14:paraId="6066BD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какую работу</w:t>
            </w:r>
          </w:p>
        </w:tc>
        <w:tc>
          <w:tcPr>
            <w:tcW w:w="1364" w:type="dxa"/>
          </w:tcPr>
          <w:p w14:paraId="607909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Решение</w:t>
            </w:r>
          </w:p>
        </w:tc>
        <w:tc>
          <w:tcPr>
            <w:tcW w:w="1364" w:type="dxa"/>
          </w:tcPr>
          <w:p w14:paraId="1E5D9F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w:t>
            </w:r>
          </w:p>
        </w:tc>
      </w:tr>
      <w:tr w:rsidR="004D4663" w:rsidRPr="00070ADE" w14:paraId="1C090E35" w14:textId="77777777">
        <w:tc>
          <w:tcPr>
            <w:tcW w:w="3085" w:type="dxa"/>
          </w:tcPr>
          <w:p w14:paraId="751551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работников</w:t>
            </w:r>
          </w:p>
        </w:tc>
        <w:tc>
          <w:tcPr>
            <w:tcW w:w="1701" w:type="dxa"/>
          </w:tcPr>
          <w:p w14:paraId="4DE564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представлены</w:t>
            </w:r>
          </w:p>
        </w:tc>
        <w:tc>
          <w:tcPr>
            <w:tcW w:w="1364" w:type="dxa"/>
          </w:tcPr>
          <w:p w14:paraId="743C80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комитета</w:t>
            </w:r>
          </w:p>
        </w:tc>
        <w:tc>
          <w:tcPr>
            <w:tcW w:w="1364" w:type="dxa"/>
          </w:tcPr>
          <w:p w14:paraId="5013A0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12C8CF3" w14:textId="77777777">
        <w:tc>
          <w:tcPr>
            <w:tcW w:w="3085" w:type="dxa"/>
          </w:tcPr>
          <w:p w14:paraId="2272C1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1-я премия по изобретательству</w:t>
            </w:r>
          </w:p>
        </w:tc>
        <w:tc>
          <w:tcPr>
            <w:tcW w:w="1701" w:type="dxa"/>
          </w:tcPr>
          <w:p w14:paraId="2777FD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4151DC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7C8E7B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FE7663D" w14:textId="77777777">
        <w:tc>
          <w:tcPr>
            <w:tcW w:w="3085" w:type="dxa"/>
          </w:tcPr>
          <w:p w14:paraId="2527F0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Яковлев А.С.</w:t>
            </w:r>
          </w:p>
        </w:tc>
        <w:tc>
          <w:tcPr>
            <w:tcW w:w="1701" w:type="dxa"/>
          </w:tcPr>
          <w:p w14:paraId="084C42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с-ты: Як-3 с</w:t>
            </w:r>
          </w:p>
        </w:tc>
        <w:tc>
          <w:tcPr>
            <w:tcW w:w="1364" w:type="dxa"/>
          </w:tcPr>
          <w:p w14:paraId="70988B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271A88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B0A5804" w14:textId="77777777">
        <w:tc>
          <w:tcPr>
            <w:tcW w:w="3085" w:type="dxa"/>
          </w:tcPr>
          <w:p w14:paraId="2B4A12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3C681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М-105ПФ и Як-9У</w:t>
            </w:r>
          </w:p>
        </w:tc>
        <w:tc>
          <w:tcPr>
            <w:tcW w:w="1364" w:type="dxa"/>
          </w:tcPr>
          <w:p w14:paraId="016870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1EB89A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58D6716" w14:textId="77777777">
        <w:tc>
          <w:tcPr>
            <w:tcW w:w="3085" w:type="dxa"/>
          </w:tcPr>
          <w:p w14:paraId="46DF6A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4113E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М-107А</w:t>
            </w:r>
          </w:p>
        </w:tc>
        <w:tc>
          <w:tcPr>
            <w:tcW w:w="1364" w:type="dxa"/>
          </w:tcPr>
          <w:p w14:paraId="24A179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w:t>
            </w:r>
          </w:p>
        </w:tc>
        <w:tc>
          <w:tcPr>
            <w:tcW w:w="1364" w:type="dxa"/>
          </w:tcPr>
          <w:p w14:paraId="61BC72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6566C7A" w14:textId="77777777">
        <w:tc>
          <w:tcPr>
            <w:tcW w:w="3085" w:type="dxa"/>
          </w:tcPr>
          <w:p w14:paraId="6CB882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Лавочкин С.А.</w:t>
            </w:r>
          </w:p>
        </w:tc>
        <w:tc>
          <w:tcPr>
            <w:tcW w:w="1701" w:type="dxa"/>
          </w:tcPr>
          <w:p w14:paraId="7D7125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с-ты: Ла-5 с</w:t>
            </w:r>
          </w:p>
        </w:tc>
        <w:tc>
          <w:tcPr>
            <w:tcW w:w="1364" w:type="dxa"/>
          </w:tcPr>
          <w:p w14:paraId="78C71A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094710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4E38650" w14:textId="77777777">
        <w:tc>
          <w:tcPr>
            <w:tcW w:w="3085" w:type="dxa"/>
          </w:tcPr>
          <w:p w14:paraId="3C8C32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97388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М-82ФН, Ла-5 с</w:t>
            </w:r>
          </w:p>
        </w:tc>
        <w:tc>
          <w:tcPr>
            <w:tcW w:w="1364" w:type="dxa"/>
          </w:tcPr>
          <w:p w14:paraId="103DC60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2CE2D3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0D04473" w14:textId="77777777">
        <w:tc>
          <w:tcPr>
            <w:tcW w:w="3085" w:type="dxa"/>
          </w:tcPr>
          <w:p w14:paraId="77A458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6EB6F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М-71 и Ла-5 УТИ</w:t>
            </w:r>
          </w:p>
        </w:tc>
        <w:tc>
          <w:tcPr>
            <w:tcW w:w="1364" w:type="dxa"/>
          </w:tcPr>
          <w:p w14:paraId="413065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w:t>
            </w:r>
          </w:p>
        </w:tc>
        <w:tc>
          <w:tcPr>
            <w:tcW w:w="1364" w:type="dxa"/>
          </w:tcPr>
          <w:p w14:paraId="78BC74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премию</w:t>
            </w:r>
          </w:p>
        </w:tc>
      </w:tr>
      <w:tr w:rsidR="004D4663" w:rsidRPr="00070ADE" w14:paraId="0354081B" w14:textId="77777777">
        <w:tc>
          <w:tcPr>
            <w:tcW w:w="3085" w:type="dxa"/>
          </w:tcPr>
          <w:p w14:paraId="00DEDA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Ермолаев В.Г.</w:t>
            </w:r>
          </w:p>
        </w:tc>
        <w:tc>
          <w:tcPr>
            <w:tcW w:w="1701" w:type="dxa"/>
          </w:tcPr>
          <w:p w14:paraId="0061E7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с-т: Ер-2 с</w:t>
            </w:r>
          </w:p>
        </w:tc>
        <w:tc>
          <w:tcPr>
            <w:tcW w:w="1364" w:type="dxa"/>
          </w:tcPr>
          <w:p w14:paraId="47025F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411FFD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6483CF9" w14:textId="77777777">
        <w:tc>
          <w:tcPr>
            <w:tcW w:w="3085" w:type="dxa"/>
          </w:tcPr>
          <w:p w14:paraId="49C7AC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C1E85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моторами М-30Б</w:t>
            </w:r>
          </w:p>
        </w:tc>
        <w:tc>
          <w:tcPr>
            <w:tcW w:w="1364" w:type="dxa"/>
          </w:tcPr>
          <w:p w14:paraId="09E2F0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w:t>
            </w:r>
          </w:p>
        </w:tc>
        <w:tc>
          <w:tcPr>
            <w:tcW w:w="1364" w:type="dxa"/>
          </w:tcPr>
          <w:p w14:paraId="6229BD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EB50CA9" w14:textId="77777777">
        <w:tc>
          <w:tcPr>
            <w:tcW w:w="3085" w:type="dxa"/>
          </w:tcPr>
          <w:p w14:paraId="4C5814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Швецов А.Д.</w:t>
            </w:r>
          </w:p>
        </w:tc>
        <w:tc>
          <w:tcPr>
            <w:tcW w:w="1701" w:type="dxa"/>
          </w:tcPr>
          <w:p w14:paraId="6A283E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мотор М-82ФН</w:t>
            </w:r>
          </w:p>
        </w:tc>
        <w:tc>
          <w:tcPr>
            <w:tcW w:w="1364" w:type="dxa"/>
          </w:tcPr>
          <w:p w14:paraId="24EE37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Исключить</w:t>
            </w:r>
          </w:p>
        </w:tc>
        <w:tc>
          <w:tcPr>
            <w:tcW w:w="1364" w:type="dxa"/>
          </w:tcPr>
          <w:p w14:paraId="61E08E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A7B2EBB" w14:textId="77777777">
        <w:tc>
          <w:tcPr>
            <w:tcW w:w="3085" w:type="dxa"/>
          </w:tcPr>
          <w:p w14:paraId="02B3AE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Климов В.Я.</w:t>
            </w:r>
          </w:p>
        </w:tc>
        <w:tc>
          <w:tcPr>
            <w:tcW w:w="1701" w:type="dxa"/>
          </w:tcPr>
          <w:p w14:paraId="422AD4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мотор М-107А</w:t>
            </w:r>
          </w:p>
        </w:tc>
        <w:tc>
          <w:tcPr>
            <w:tcW w:w="1364" w:type="dxa"/>
          </w:tcPr>
          <w:p w14:paraId="0036FB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w:t>
            </w:r>
          </w:p>
        </w:tc>
        <w:tc>
          <w:tcPr>
            <w:tcW w:w="1364" w:type="dxa"/>
          </w:tcPr>
          <w:p w14:paraId="584A6E6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D25CCF0" w14:textId="77777777">
        <w:tc>
          <w:tcPr>
            <w:tcW w:w="3085" w:type="dxa"/>
          </w:tcPr>
          <w:p w14:paraId="22BC89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Куприянов Б.В. и</w:t>
            </w:r>
          </w:p>
        </w:tc>
        <w:tc>
          <w:tcPr>
            <w:tcW w:w="1701" w:type="dxa"/>
          </w:tcPr>
          <w:p w14:paraId="35FBD36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внедрение</w:t>
            </w:r>
          </w:p>
        </w:tc>
        <w:tc>
          <w:tcPr>
            <w:tcW w:w="1364" w:type="dxa"/>
          </w:tcPr>
          <w:p w14:paraId="18EABA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001267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22B5297" w14:textId="77777777">
        <w:tc>
          <w:tcPr>
            <w:tcW w:w="3085" w:type="dxa"/>
          </w:tcPr>
          <w:p w14:paraId="0E33F1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др. (всего 4 чел.)</w:t>
            </w:r>
          </w:p>
        </w:tc>
        <w:tc>
          <w:tcPr>
            <w:tcW w:w="1701" w:type="dxa"/>
          </w:tcPr>
          <w:p w14:paraId="79BFBD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конвейерной</w:t>
            </w:r>
          </w:p>
        </w:tc>
        <w:tc>
          <w:tcPr>
            <w:tcW w:w="1364" w:type="dxa"/>
          </w:tcPr>
          <w:p w14:paraId="4BCFF8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047CC8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2AEAC06" w14:textId="77777777">
        <w:tc>
          <w:tcPr>
            <w:tcW w:w="3085" w:type="dxa"/>
          </w:tcPr>
          <w:p w14:paraId="130C38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6D148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сборки самолетов</w:t>
            </w:r>
          </w:p>
        </w:tc>
        <w:tc>
          <w:tcPr>
            <w:tcW w:w="1364" w:type="dxa"/>
          </w:tcPr>
          <w:p w14:paraId="35C669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w:t>
            </w:r>
          </w:p>
        </w:tc>
        <w:tc>
          <w:tcPr>
            <w:tcW w:w="1364" w:type="dxa"/>
          </w:tcPr>
          <w:p w14:paraId="17B701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премию</w:t>
            </w:r>
          </w:p>
        </w:tc>
      </w:tr>
      <w:tr w:rsidR="004D4663" w:rsidRPr="00070ADE" w14:paraId="56CD5FB8" w14:textId="77777777">
        <w:tc>
          <w:tcPr>
            <w:tcW w:w="3085" w:type="dxa"/>
          </w:tcPr>
          <w:p w14:paraId="620A5D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2-я премия по изобретательству</w:t>
            </w:r>
          </w:p>
        </w:tc>
        <w:tc>
          <w:tcPr>
            <w:tcW w:w="1701" w:type="dxa"/>
          </w:tcPr>
          <w:p w14:paraId="42B243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4BDB42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35A35A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281A3C6" w14:textId="77777777">
        <w:tc>
          <w:tcPr>
            <w:tcW w:w="3085" w:type="dxa"/>
          </w:tcPr>
          <w:p w14:paraId="1FDE04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Деренковский А.С.</w:t>
            </w:r>
          </w:p>
        </w:tc>
        <w:tc>
          <w:tcPr>
            <w:tcW w:w="1701" w:type="dxa"/>
          </w:tcPr>
          <w:p w14:paraId="236B79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бомбардировочн.</w:t>
            </w:r>
          </w:p>
        </w:tc>
        <w:tc>
          <w:tcPr>
            <w:tcW w:w="1364" w:type="dxa"/>
          </w:tcPr>
          <w:p w14:paraId="6D2B95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3C10FB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05C134E" w14:textId="77777777">
        <w:tc>
          <w:tcPr>
            <w:tcW w:w="3085" w:type="dxa"/>
          </w:tcPr>
          <w:p w14:paraId="7274D1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3 чел.)</w:t>
            </w:r>
          </w:p>
        </w:tc>
        <w:tc>
          <w:tcPr>
            <w:tcW w:w="1701" w:type="dxa"/>
          </w:tcPr>
          <w:p w14:paraId="06911F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прицел</w:t>
            </w:r>
          </w:p>
        </w:tc>
        <w:tc>
          <w:tcPr>
            <w:tcW w:w="1364" w:type="dxa"/>
          </w:tcPr>
          <w:p w14:paraId="087EB4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w:t>
            </w:r>
          </w:p>
        </w:tc>
        <w:tc>
          <w:tcPr>
            <w:tcW w:w="1364" w:type="dxa"/>
          </w:tcPr>
          <w:p w14:paraId="7FD7AE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5F16F7E" w14:textId="77777777">
        <w:tc>
          <w:tcPr>
            <w:tcW w:w="3085" w:type="dxa"/>
          </w:tcPr>
          <w:p w14:paraId="375D41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Мясищев В.М.</w:t>
            </w:r>
          </w:p>
        </w:tc>
        <w:tc>
          <w:tcPr>
            <w:tcW w:w="1701" w:type="dxa"/>
          </w:tcPr>
          <w:p w14:paraId="0FAD2F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с-т "102"</w:t>
            </w:r>
          </w:p>
        </w:tc>
        <w:tc>
          <w:tcPr>
            <w:tcW w:w="1364" w:type="dxa"/>
          </w:tcPr>
          <w:p w14:paraId="01F163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Исключить</w:t>
            </w:r>
          </w:p>
        </w:tc>
        <w:tc>
          <w:tcPr>
            <w:tcW w:w="1364" w:type="dxa"/>
          </w:tcPr>
          <w:p w14:paraId="2483F8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D7680BA" w14:textId="77777777">
        <w:tc>
          <w:tcPr>
            <w:tcW w:w="3085" w:type="dxa"/>
          </w:tcPr>
          <w:p w14:paraId="4A4F2B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Микоян А.И. и</w:t>
            </w:r>
          </w:p>
        </w:tc>
        <w:tc>
          <w:tcPr>
            <w:tcW w:w="1701" w:type="dxa"/>
          </w:tcPr>
          <w:p w14:paraId="5A573C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с-т МИГ с</w:t>
            </w:r>
          </w:p>
        </w:tc>
        <w:tc>
          <w:tcPr>
            <w:tcW w:w="1364" w:type="dxa"/>
          </w:tcPr>
          <w:p w14:paraId="5FA8F4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6FAB660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3D2AF7E" w14:textId="77777777">
        <w:tc>
          <w:tcPr>
            <w:tcW w:w="3085" w:type="dxa"/>
          </w:tcPr>
          <w:p w14:paraId="663513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Гуревич М.И.</w:t>
            </w:r>
          </w:p>
        </w:tc>
        <w:tc>
          <w:tcPr>
            <w:tcW w:w="1701" w:type="dxa"/>
          </w:tcPr>
          <w:p w14:paraId="1D2885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мотором АМ-38</w:t>
            </w:r>
          </w:p>
        </w:tc>
        <w:tc>
          <w:tcPr>
            <w:tcW w:w="1364" w:type="dxa"/>
          </w:tcPr>
          <w:p w14:paraId="36845D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Исключить</w:t>
            </w:r>
          </w:p>
        </w:tc>
        <w:tc>
          <w:tcPr>
            <w:tcW w:w="1364" w:type="dxa"/>
          </w:tcPr>
          <w:p w14:paraId="0EFBFA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4BACBD5" w14:textId="77777777">
        <w:tc>
          <w:tcPr>
            <w:tcW w:w="3085" w:type="dxa"/>
          </w:tcPr>
          <w:p w14:paraId="74A367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Ильюшин С.В.</w:t>
            </w:r>
          </w:p>
        </w:tc>
        <w:tc>
          <w:tcPr>
            <w:tcW w:w="1701" w:type="dxa"/>
          </w:tcPr>
          <w:p w14:paraId="3BB7A4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модификацию</w:t>
            </w:r>
          </w:p>
        </w:tc>
        <w:tc>
          <w:tcPr>
            <w:tcW w:w="1364" w:type="dxa"/>
          </w:tcPr>
          <w:p w14:paraId="0F3131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6D3992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43485B0" w14:textId="77777777">
        <w:tc>
          <w:tcPr>
            <w:tcW w:w="3085" w:type="dxa"/>
          </w:tcPr>
          <w:p w14:paraId="1D2A7D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227F5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 с АМ-42</w:t>
            </w:r>
          </w:p>
        </w:tc>
        <w:tc>
          <w:tcPr>
            <w:tcW w:w="1364" w:type="dxa"/>
          </w:tcPr>
          <w:p w14:paraId="51F422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Исключить</w:t>
            </w:r>
          </w:p>
        </w:tc>
        <w:tc>
          <w:tcPr>
            <w:tcW w:w="1364" w:type="dxa"/>
          </w:tcPr>
          <w:p w14:paraId="1DD29F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195AF69" w14:textId="77777777">
        <w:tc>
          <w:tcPr>
            <w:tcW w:w="3085" w:type="dxa"/>
          </w:tcPr>
          <w:p w14:paraId="5DF97B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Христианович С.А.</w:t>
            </w:r>
          </w:p>
        </w:tc>
        <w:tc>
          <w:tcPr>
            <w:tcW w:w="1701" w:type="dxa"/>
          </w:tcPr>
          <w:p w14:paraId="46F7E0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реактивные</w:t>
            </w:r>
          </w:p>
        </w:tc>
        <w:tc>
          <w:tcPr>
            <w:tcW w:w="1364" w:type="dxa"/>
          </w:tcPr>
          <w:p w14:paraId="2E7A64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287C3F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3941CF5" w14:textId="77777777">
        <w:tc>
          <w:tcPr>
            <w:tcW w:w="3085" w:type="dxa"/>
          </w:tcPr>
          <w:p w14:paraId="267736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7 чел.)</w:t>
            </w:r>
          </w:p>
        </w:tc>
        <w:tc>
          <w:tcPr>
            <w:tcW w:w="1701" w:type="dxa"/>
          </w:tcPr>
          <w:p w14:paraId="467A25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снаряды улучшен.</w:t>
            </w:r>
          </w:p>
        </w:tc>
        <w:tc>
          <w:tcPr>
            <w:tcW w:w="1364" w:type="dxa"/>
          </w:tcPr>
          <w:p w14:paraId="56FF78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21C73D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7E272EC" w14:textId="77777777">
        <w:tc>
          <w:tcPr>
            <w:tcW w:w="3085" w:type="dxa"/>
          </w:tcPr>
          <w:p w14:paraId="1427CA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58425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Кучности</w:t>
            </w:r>
          </w:p>
        </w:tc>
        <w:tc>
          <w:tcPr>
            <w:tcW w:w="1364" w:type="dxa"/>
          </w:tcPr>
          <w:p w14:paraId="4993CA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Исключить</w:t>
            </w:r>
          </w:p>
        </w:tc>
        <w:tc>
          <w:tcPr>
            <w:tcW w:w="1364" w:type="dxa"/>
          </w:tcPr>
          <w:p w14:paraId="45DAD9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F6B2CD7" w14:textId="77777777">
        <w:tc>
          <w:tcPr>
            <w:tcW w:w="3085" w:type="dxa"/>
          </w:tcPr>
          <w:p w14:paraId="455FC5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Жданов К.И.</w:t>
            </w:r>
          </w:p>
        </w:tc>
        <w:tc>
          <w:tcPr>
            <w:tcW w:w="1701" w:type="dxa"/>
          </w:tcPr>
          <w:p w14:paraId="062FD7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винты АВ-5</w:t>
            </w:r>
          </w:p>
        </w:tc>
        <w:tc>
          <w:tcPr>
            <w:tcW w:w="1364" w:type="dxa"/>
          </w:tcPr>
          <w:p w14:paraId="74772F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Исключить</w:t>
            </w:r>
          </w:p>
        </w:tc>
        <w:tc>
          <w:tcPr>
            <w:tcW w:w="1364" w:type="dxa"/>
          </w:tcPr>
          <w:p w14:paraId="1B64A7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B8347B7" w14:textId="77777777">
        <w:tc>
          <w:tcPr>
            <w:tcW w:w="3085" w:type="dxa"/>
          </w:tcPr>
          <w:p w14:paraId="4DA42E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Бас-Дубов С.Ш.</w:t>
            </w:r>
          </w:p>
        </w:tc>
        <w:tc>
          <w:tcPr>
            <w:tcW w:w="1701" w:type="dxa"/>
          </w:tcPr>
          <w:p w14:paraId="2E8EB6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340F30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45C46C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030C036" w14:textId="77777777">
        <w:tc>
          <w:tcPr>
            <w:tcW w:w="3085" w:type="dxa"/>
          </w:tcPr>
          <w:p w14:paraId="1662E9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3 чел.</w:t>
            </w:r>
          </w:p>
        </w:tc>
        <w:tc>
          <w:tcPr>
            <w:tcW w:w="1701" w:type="dxa"/>
          </w:tcPr>
          <w:p w14:paraId="6BA30D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6940A2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6FA3F6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7EE97D5" w14:textId="77777777">
        <w:tc>
          <w:tcPr>
            <w:tcW w:w="3085" w:type="dxa"/>
          </w:tcPr>
          <w:p w14:paraId="694A95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701" w:type="dxa"/>
          </w:tcPr>
          <w:p w14:paraId="6D5957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винты ВИШ-105</w:t>
            </w:r>
          </w:p>
        </w:tc>
        <w:tc>
          <w:tcPr>
            <w:tcW w:w="1364" w:type="dxa"/>
          </w:tcPr>
          <w:p w14:paraId="177671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Исключить</w:t>
            </w:r>
          </w:p>
        </w:tc>
        <w:tc>
          <w:tcPr>
            <w:tcW w:w="1364" w:type="dxa"/>
          </w:tcPr>
          <w:p w14:paraId="35F876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12CC357" w14:textId="77777777">
        <w:tc>
          <w:tcPr>
            <w:tcW w:w="3085" w:type="dxa"/>
          </w:tcPr>
          <w:p w14:paraId="374381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Поликовский В.И.</w:t>
            </w:r>
          </w:p>
        </w:tc>
        <w:tc>
          <w:tcPr>
            <w:tcW w:w="1701" w:type="dxa"/>
          </w:tcPr>
          <w:p w14:paraId="33DD0A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разработку</w:t>
            </w:r>
          </w:p>
        </w:tc>
        <w:tc>
          <w:tcPr>
            <w:tcW w:w="1364" w:type="dxa"/>
          </w:tcPr>
          <w:p w14:paraId="41DF95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39648A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ECE1FF4" w14:textId="77777777">
        <w:tc>
          <w:tcPr>
            <w:tcW w:w="3085" w:type="dxa"/>
          </w:tcPr>
          <w:p w14:paraId="0D4ED2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др. (всего 8 чел.)</w:t>
            </w:r>
          </w:p>
        </w:tc>
        <w:tc>
          <w:tcPr>
            <w:tcW w:w="1701" w:type="dxa"/>
          </w:tcPr>
          <w:p w14:paraId="23F3EF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моторных высотн.</w:t>
            </w:r>
          </w:p>
        </w:tc>
        <w:tc>
          <w:tcPr>
            <w:tcW w:w="1364" w:type="dxa"/>
          </w:tcPr>
          <w:p w14:paraId="6030B5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479F21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4FEEBD7" w14:textId="77777777">
        <w:tc>
          <w:tcPr>
            <w:tcW w:w="3085" w:type="dxa"/>
          </w:tcPr>
          <w:p w14:paraId="04ACB3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0684F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Агрегатов</w:t>
            </w:r>
          </w:p>
        </w:tc>
        <w:tc>
          <w:tcPr>
            <w:tcW w:w="1364" w:type="dxa"/>
          </w:tcPr>
          <w:p w14:paraId="6CB5D4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Исключить</w:t>
            </w:r>
          </w:p>
        </w:tc>
        <w:tc>
          <w:tcPr>
            <w:tcW w:w="1364" w:type="dxa"/>
          </w:tcPr>
          <w:p w14:paraId="16B626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5F3BED8" w14:textId="77777777">
        <w:tc>
          <w:tcPr>
            <w:tcW w:w="3085" w:type="dxa"/>
          </w:tcPr>
          <w:p w14:paraId="22AA90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Тер-Маркерян А.Н.</w:t>
            </w:r>
          </w:p>
          <w:p w14:paraId="04702F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Поплавко М.В.</w:t>
            </w:r>
          </w:p>
        </w:tc>
        <w:tc>
          <w:tcPr>
            <w:tcW w:w="1701" w:type="dxa"/>
          </w:tcPr>
          <w:p w14:paraId="5ED735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поточную сварку самолетных конструкций</w:t>
            </w:r>
          </w:p>
        </w:tc>
        <w:tc>
          <w:tcPr>
            <w:tcW w:w="1364" w:type="dxa"/>
          </w:tcPr>
          <w:p w14:paraId="011BC5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w:t>
            </w:r>
          </w:p>
        </w:tc>
        <w:tc>
          <w:tcPr>
            <w:tcW w:w="1364" w:type="dxa"/>
          </w:tcPr>
          <w:p w14:paraId="216C61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FB97501" w14:textId="77777777">
        <w:tc>
          <w:tcPr>
            <w:tcW w:w="3085" w:type="dxa"/>
          </w:tcPr>
          <w:p w14:paraId="02ED3C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Троицкий С.С. и др. (всего 7 чел.)</w:t>
            </w:r>
          </w:p>
        </w:tc>
        <w:tc>
          <w:tcPr>
            <w:tcW w:w="1701" w:type="dxa"/>
          </w:tcPr>
          <w:p w14:paraId="622762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спец. станки для производства моторов</w:t>
            </w:r>
          </w:p>
        </w:tc>
        <w:tc>
          <w:tcPr>
            <w:tcW w:w="1364" w:type="dxa"/>
          </w:tcPr>
          <w:p w14:paraId="1BED28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Исключить</w:t>
            </w:r>
          </w:p>
        </w:tc>
        <w:tc>
          <w:tcPr>
            <w:tcW w:w="1364" w:type="dxa"/>
          </w:tcPr>
          <w:p w14:paraId="742BCF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1BB447C" w14:textId="77777777">
        <w:tc>
          <w:tcPr>
            <w:tcW w:w="3085" w:type="dxa"/>
          </w:tcPr>
          <w:p w14:paraId="18CA83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Федоров П.С. и др. (4 чел.)</w:t>
            </w:r>
          </w:p>
        </w:tc>
        <w:tc>
          <w:tcPr>
            <w:tcW w:w="1701" w:type="dxa"/>
          </w:tcPr>
          <w:p w14:paraId="2C1BF5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конструкцию машины кокильного алюминиевого литья</w:t>
            </w:r>
          </w:p>
        </w:tc>
        <w:tc>
          <w:tcPr>
            <w:tcW w:w="1364" w:type="dxa"/>
          </w:tcPr>
          <w:p w14:paraId="47B6F7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Исключить</w:t>
            </w:r>
          </w:p>
        </w:tc>
        <w:tc>
          <w:tcPr>
            <w:tcW w:w="1364" w:type="dxa"/>
          </w:tcPr>
          <w:p w14:paraId="514727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8431244" w14:textId="77777777">
        <w:tc>
          <w:tcPr>
            <w:tcW w:w="3085" w:type="dxa"/>
          </w:tcPr>
          <w:p w14:paraId="783F13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Брусникин Г.Д. и др. (7 чел.)</w:t>
            </w:r>
          </w:p>
        </w:tc>
        <w:tc>
          <w:tcPr>
            <w:tcW w:w="1701" w:type="dxa"/>
          </w:tcPr>
          <w:p w14:paraId="26DCEA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внедрение поточных методов производства агрегатов</w:t>
            </w:r>
          </w:p>
        </w:tc>
        <w:tc>
          <w:tcPr>
            <w:tcW w:w="1364" w:type="dxa"/>
          </w:tcPr>
          <w:p w14:paraId="0422BC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Исключить</w:t>
            </w:r>
          </w:p>
        </w:tc>
        <w:tc>
          <w:tcPr>
            <w:tcW w:w="1364" w:type="dxa"/>
          </w:tcPr>
          <w:p w14:paraId="43A9E8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8FD7EDF" w14:textId="77777777">
        <w:tc>
          <w:tcPr>
            <w:tcW w:w="3085" w:type="dxa"/>
          </w:tcPr>
          <w:p w14:paraId="7020B1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Воронков С.М. и др. (4 чел.)</w:t>
            </w:r>
          </w:p>
        </w:tc>
        <w:tc>
          <w:tcPr>
            <w:tcW w:w="1701" w:type="dxa"/>
          </w:tcPr>
          <w:p w14:paraId="3147D8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Внедрение газовых плавильных тиглей</w:t>
            </w:r>
          </w:p>
        </w:tc>
        <w:tc>
          <w:tcPr>
            <w:tcW w:w="1364" w:type="dxa"/>
          </w:tcPr>
          <w:p w14:paraId="2C3AE0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Исключить</w:t>
            </w:r>
          </w:p>
        </w:tc>
        <w:tc>
          <w:tcPr>
            <w:tcW w:w="1364" w:type="dxa"/>
          </w:tcPr>
          <w:p w14:paraId="69CDD8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3C82D75" w14:textId="77777777">
        <w:tc>
          <w:tcPr>
            <w:tcW w:w="3085" w:type="dxa"/>
          </w:tcPr>
          <w:p w14:paraId="4FF902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Белов А.Ф. и др. (6 чел.)</w:t>
            </w:r>
          </w:p>
        </w:tc>
        <w:tc>
          <w:tcPr>
            <w:tcW w:w="1701" w:type="dxa"/>
          </w:tcPr>
          <w:p w14:paraId="1EE8CC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разработку технологии отливки плоских слитков из аллюминиевых сплавов весом 1 тонну</w:t>
            </w:r>
          </w:p>
        </w:tc>
        <w:tc>
          <w:tcPr>
            <w:tcW w:w="1364" w:type="dxa"/>
          </w:tcPr>
          <w:p w14:paraId="640BED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w:t>
            </w:r>
          </w:p>
        </w:tc>
        <w:tc>
          <w:tcPr>
            <w:tcW w:w="1364" w:type="dxa"/>
          </w:tcPr>
          <w:p w14:paraId="38B49B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972014C" w14:textId="77777777">
        <w:tc>
          <w:tcPr>
            <w:tcW w:w="3085" w:type="dxa"/>
          </w:tcPr>
          <w:p w14:paraId="31849C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Соркин В.М. и др. (8 чел.)</w:t>
            </w:r>
          </w:p>
        </w:tc>
        <w:tc>
          <w:tcPr>
            <w:tcW w:w="1701" w:type="dxa"/>
          </w:tcPr>
          <w:p w14:paraId="476266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разработку автомата курса АК-1</w:t>
            </w:r>
          </w:p>
        </w:tc>
        <w:tc>
          <w:tcPr>
            <w:tcW w:w="1364" w:type="dxa"/>
          </w:tcPr>
          <w:p w14:paraId="250AB6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Исключить</w:t>
            </w:r>
          </w:p>
        </w:tc>
        <w:tc>
          <w:tcPr>
            <w:tcW w:w="1364" w:type="dxa"/>
          </w:tcPr>
          <w:p w14:paraId="270EAF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50E2FEC" w14:textId="77777777">
        <w:tc>
          <w:tcPr>
            <w:tcW w:w="3085" w:type="dxa"/>
          </w:tcPr>
          <w:p w14:paraId="25A8C6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Шенфер К.И. акажемик и др. (7 чел.)</w:t>
            </w:r>
          </w:p>
        </w:tc>
        <w:tc>
          <w:tcPr>
            <w:tcW w:w="1701" w:type="dxa"/>
          </w:tcPr>
          <w:p w14:paraId="56D713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разработку установки по использованию мощности авиамоторов при испытании</w:t>
            </w:r>
          </w:p>
        </w:tc>
        <w:tc>
          <w:tcPr>
            <w:tcW w:w="1364" w:type="dxa"/>
          </w:tcPr>
          <w:p w14:paraId="140B59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Исключить</w:t>
            </w:r>
          </w:p>
        </w:tc>
        <w:tc>
          <w:tcPr>
            <w:tcW w:w="1364" w:type="dxa"/>
          </w:tcPr>
          <w:p w14:paraId="127F9F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20C7AD8" w14:textId="77777777">
        <w:tc>
          <w:tcPr>
            <w:tcW w:w="3085" w:type="dxa"/>
          </w:tcPr>
          <w:p w14:paraId="4C5155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3-я премия по изобретательству</w:t>
            </w:r>
          </w:p>
        </w:tc>
        <w:tc>
          <w:tcPr>
            <w:tcW w:w="1701" w:type="dxa"/>
          </w:tcPr>
          <w:p w14:paraId="6744A8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4FFF31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0C1CA5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D9174CE" w14:textId="77777777">
        <w:tc>
          <w:tcPr>
            <w:tcW w:w="3085" w:type="dxa"/>
          </w:tcPr>
          <w:p w14:paraId="73D195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Незваль И.Ф.</w:t>
            </w:r>
          </w:p>
        </w:tc>
        <w:tc>
          <w:tcPr>
            <w:tcW w:w="1701" w:type="dxa"/>
          </w:tcPr>
          <w:p w14:paraId="4A65D6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с-т Пе-8 с</w:t>
            </w:r>
          </w:p>
        </w:tc>
        <w:tc>
          <w:tcPr>
            <w:tcW w:w="1364" w:type="dxa"/>
          </w:tcPr>
          <w:p w14:paraId="3FEFED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7275D5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188E554" w14:textId="77777777">
        <w:tc>
          <w:tcPr>
            <w:tcW w:w="3085" w:type="dxa"/>
          </w:tcPr>
          <w:p w14:paraId="403ACB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A95C8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М-30Б и М-82</w:t>
            </w:r>
          </w:p>
        </w:tc>
        <w:tc>
          <w:tcPr>
            <w:tcW w:w="1364" w:type="dxa"/>
          </w:tcPr>
          <w:p w14:paraId="4F3A93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Исключить</w:t>
            </w:r>
          </w:p>
        </w:tc>
        <w:tc>
          <w:tcPr>
            <w:tcW w:w="1364" w:type="dxa"/>
          </w:tcPr>
          <w:p w14:paraId="152903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0E07EDB" w14:textId="77777777">
        <w:tc>
          <w:tcPr>
            <w:tcW w:w="3085" w:type="dxa"/>
          </w:tcPr>
          <w:p w14:paraId="5BD2AA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Братухин И.П.</w:t>
            </w:r>
          </w:p>
        </w:tc>
        <w:tc>
          <w:tcPr>
            <w:tcW w:w="1701" w:type="dxa"/>
          </w:tcPr>
          <w:p w14:paraId="3BF201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геликоптер</w:t>
            </w:r>
          </w:p>
        </w:tc>
        <w:tc>
          <w:tcPr>
            <w:tcW w:w="1364" w:type="dxa"/>
          </w:tcPr>
          <w:p w14:paraId="4E28F4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143644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C0DDFC1" w14:textId="77777777">
        <w:tc>
          <w:tcPr>
            <w:tcW w:w="3085" w:type="dxa"/>
          </w:tcPr>
          <w:p w14:paraId="3F6F5B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E110D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"Омега"</w:t>
            </w:r>
          </w:p>
        </w:tc>
        <w:tc>
          <w:tcPr>
            <w:tcW w:w="1364" w:type="dxa"/>
          </w:tcPr>
          <w:p w14:paraId="5F4953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Исключить</w:t>
            </w:r>
          </w:p>
        </w:tc>
        <w:tc>
          <w:tcPr>
            <w:tcW w:w="1364" w:type="dxa"/>
          </w:tcPr>
          <w:p w14:paraId="1B17D3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5FD1926" w14:textId="77777777">
        <w:tc>
          <w:tcPr>
            <w:tcW w:w="3085" w:type="dxa"/>
          </w:tcPr>
          <w:p w14:paraId="3B4DF0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Неусыпин А.М.</w:t>
            </w:r>
          </w:p>
        </w:tc>
        <w:tc>
          <w:tcPr>
            <w:tcW w:w="1701" w:type="dxa"/>
          </w:tcPr>
          <w:p w14:paraId="382205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новый летно</w:t>
            </w:r>
          </w:p>
        </w:tc>
        <w:tc>
          <w:tcPr>
            <w:tcW w:w="1364" w:type="dxa"/>
          </w:tcPr>
          <w:p w14:paraId="0C3339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24427E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4BFBF7B" w14:textId="77777777">
        <w:tc>
          <w:tcPr>
            <w:tcW w:w="3085" w:type="dxa"/>
          </w:tcPr>
          <w:p w14:paraId="79BA96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5 чел.)</w:t>
            </w:r>
          </w:p>
        </w:tc>
        <w:tc>
          <w:tcPr>
            <w:tcW w:w="1701" w:type="dxa"/>
          </w:tcPr>
          <w:p w14:paraId="0624FD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испытат. Прибор</w:t>
            </w:r>
          </w:p>
        </w:tc>
        <w:tc>
          <w:tcPr>
            <w:tcW w:w="1364" w:type="dxa"/>
          </w:tcPr>
          <w:p w14:paraId="541C6A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Исключить</w:t>
            </w:r>
          </w:p>
        </w:tc>
        <w:tc>
          <w:tcPr>
            <w:tcW w:w="1364" w:type="dxa"/>
          </w:tcPr>
          <w:p w14:paraId="612F0A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8FB83A3" w14:textId="77777777">
        <w:tc>
          <w:tcPr>
            <w:tcW w:w="3085" w:type="dxa"/>
          </w:tcPr>
          <w:p w14:paraId="2B21C8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Шульгин А.И.</w:t>
            </w:r>
          </w:p>
        </w:tc>
        <w:tc>
          <w:tcPr>
            <w:tcW w:w="1701" w:type="dxa"/>
          </w:tcPr>
          <w:p w14:paraId="4A1C33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новую торпедн.</w:t>
            </w:r>
          </w:p>
        </w:tc>
        <w:tc>
          <w:tcPr>
            <w:tcW w:w="1364" w:type="dxa"/>
          </w:tcPr>
          <w:p w14:paraId="36DF0E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263E24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1A65A0B" w14:textId="77777777">
        <w:tc>
          <w:tcPr>
            <w:tcW w:w="3085" w:type="dxa"/>
          </w:tcPr>
          <w:p w14:paraId="23F5D2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5 чел.)</w:t>
            </w:r>
          </w:p>
        </w:tc>
        <w:tc>
          <w:tcPr>
            <w:tcW w:w="1701" w:type="dxa"/>
          </w:tcPr>
          <w:p w14:paraId="289FA4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установку</w:t>
            </w:r>
          </w:p>
        </w:tc>
        <w:tc>
          <w:tcPr>
            <w:tcW w:w="1364" w:type="dxa"/>
          </w:tcPr>
          <w:p w14:paraId="0F735C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Исключить</w:t>
            </w:r>
          </w:p>
        </w:tc>
        <w:tc>
          <w:tcPr>
            <w:tcW w:w="1364" w:type="dxa"/>
          </w:tcPr>
          <w:p w14:paraId="57AFE3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19CA940" w14:textId="77777777">
        <w:tc>
          <w:tcPr>
            <w:tcW w:w="3085" w:type="dxa"/>
          </w:tcPr>
          <w:p w14:paraId="35D916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Воронин Г.И.</w:t>
            </w:r>
          </w:p>
        </w:tc>
        <w:tc>
          <w:tcPr>
            <w:tcW w:w="1701" w:type="dxa"/>
          </w:tcPr>
          <w:p w14:paraId="643500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авиационные</w:t>
            </w:r>
          </w:p>
        </w:tc>
        <w:tc>
          <w:tcPr>
            <w:tcW w:w="1364" w:type="dxa"/>
          </w:tcPr>
          <w:p w14:paraId="60530A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6CBCC9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6E4AD7A" w14:textId="77777777">
        <w:tc>
          <w:tcPr>
            <w:tcW w:w="3085" w:type="dxa"/>
          </w:tcPr>
          <w:p w14:paraId="1215CF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9D18C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радиаторы</w:t>
            </w:r>
          </w:p>
        </w:tc>
        <w:tc>
          <w:tcPr>
            <w:tcW w:w="1364" w:type="dxa"/>
          </w:tcPr>
          <w:p w14:paraId="2716E1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Исключить</w:t>
            </w:r>
          </w:p>
        </w:tc>
        <w:tc>
          <w:tcPr>
            <w:tcW w:w="1364" w:type="dxa"/>
          </w:tcPr>
          <w:p w14:paraId="33C711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F9C0E61" w14:textId="77777777">
        <w:tc>
          <w:tcPr>
            <w:tcW w:w="3085" w:type="dxa"/>
          </w:tcPr>
          <w:p w14:paraId="3DE018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Петров Н.И. и др.</w:t>
            </w:r>
          </w:p>
        </w:tc>
        <w:tc>
          <w:tcPr>
            <w:tcW w:w="1701" w:type="dxa"/>
          </w:tcPr>
          <w:p w14:paraId="590B93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улучшение</w:t>
            </w:r>
          </w:p>
        </w:tc>
        <w:tc>
          <w:tcPr>
            <w:tcW w:w="1364" w:type="dxa"/>
          </w:tcPr>
          <w:p w14:paraId="2C2CD8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64" w:type="dxa"/>
          </w:tcPr>
          <w:p w14:paraId="4F7A3D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2221726" w14:textId="77777777">
        <w:tc>
          <w:tcPr>
            <w:tcW w:w="3085" w:type="dxa"/>
          </w:tcPr>
          <w:p w14:paraId="40E069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C3BE0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радиосвязи на с-тах</w:t>
            </w:r>
          </w:p>
        </w:tc>
        <w:tc>
          <w:tcPr>
            <w:tcW w:w="1364" w:type="dxa"/>
          </w:tcPr>
          <w:p w14:paraId="202D58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Исключить</w:t>
            </w:r>
          </w:p>
        </w:tc>
        <w:tc>
          <w:tcPr>
            <w:tcW w:w="1364" w:type="dxa"/>
          </w:tcPr>
          <w:p w14:paraId="06A20E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070ADE" w14:paraId="72F7F0B5" w14:textId="77777777">
        <w:tc>
          <w:tcPr>
            <w:tcW w:w="3085" w:type="dxa"/>
          </w:tcPr>
          <w:p w14:paraId="40DEC9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Архангельский В.Н.</w:t>
            </w:r>
          </w:p>
        </w:tc>
        <w:tc>
          <w:tcPr>
            <w:tcW w:w="1701" w:type="dxa"/>
          </w:tcPr>
          <w:p w14:paraId="3DF34B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новые аэростаты</w:t>
            </w:r>
          </w:p>
        </w:tc>
        <w:tc>
          <w:tcPr>
            <w:tcW w:w="1364" w:type="dxa"/>
          </w:tcPr>
          <w:p w14:paraId="399B9F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Исключить (1825,61)</w:t>
            </w:r>
          </w:p>
        </w:tc>
        <w:tc>
          <w:tcPr>
            <w:tcW w:w="1364" w:type="dxa"/>
          </w:tcPr>
          <w:p w14:paraId="223F56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2CDA4B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9663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был выпущен И-222 (3А) с АМ-39Б-1 (1084,46).</w:t>
      </w:r>
    </w:p>
    <w:p w14:paraId="1D6861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662B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23 по 24 апреля 1944 был произведен отстрел универсальных пушек Б.Г.Шпитального на И-222 АМ-39Б 2ТК-2Б. Не получилось (991,13).</w:t>
      </w:r>
    </w:p>
    <w:p w14:paraId="12A3D5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32AF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г. истребитель, получивший обозначение И-222 и шифр "3А", закончили в производстве. Разработка и постройка на базе самолета И-221 истребителя с герметической кабиной со сроком предъявления на испытания 15 марта 1944 г. была определена планом работ ОКЮ на 1943. По конструкции самолет в целом повторял И-221, но имел герметическую кабину и улучшенный обзор задней полусферы. На машине был установлен опытный мотор АМ-39Б №01. Кроме того, в системе охлаждения воздуха, поступающего в карбюратор двигателя, установили воздухо-воздушный радиатор взамен водо-ВОЗДУШНОГО, что позволило, несмотря на установку гермокабины. не допустить возрастания полетной массы самолета. Оболочку гермокабины сделали из алюминиевого сплава AMЦ. В ходе изготовления механическую систему герметизации фонаря заменили пневматической. Максимальная расчетная скорость должна была составить 689 км/ч на высоте 12500 м, а практический потолок 13000-14000 м. Вооружение включало две синхронные 20мм пушки СШ-20 с боезапасом по 100 патронов (5852,38).</w:t>
      </w:r>
    </w:p>
    <w:p w14:paraId="5D92A42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B157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23 апреля 1944 г. закончили в производстве машину, получившую обозначение </w:t>
      </w:r>
      <w:r w:rsidRPr="00070ADE">
        <w:rPr>
          <w:rFonts w:ascii="Times New Roman" w:hAnsi="Times New Roman"/>
          <w:iCs/>
          <w:color w:val="000000" w:themeColor="text1"/>
          <w:sz w:val="16"/>
          <w:szCs w:val="16"/>
        </w:rPr>
        <w:t xml:space="preserve">И—222 </w:t>
      </w:r>
      <w:r w:rsidRPr="00070ADE">
        <w:rPr>
          <w:rFonts w:ascii="Times New Roman" w:hAnsi="Times New Roman"/>
          <w:color w:val="000000" w:themeColor="text1"/>
          <w:sz w:val="16"/>
          <w:szCs w:val="16"/>
        </w:rPr>
        <w:t>и шифр «ЗА». По конструкции самолет в целом повторял И—221. Его оснастили опытным мотором АМ—39Б, отличав</w:t>
      </w:r>
      <w:r w:rsidRPr="00070ADE">
        <w:rPr>
          <w:rFonts w:ascii="Times New Roman" w:hAnsi="Times New Roman"/>
          <w:color w:val="000000" w:themeColor="text1"/>
          <w:sz w:val="16"/>
          <w:szCs w:val="16"/>
        </w:rPr>
        <w:softHyphen/>
        <w:t>шимся от прототипа «перевернутым» нагнетателем, обеспечивавшим более удобное подключение турбо</w:t>
      </w:r>
      <w:r w:rsidRPr="00070ADE">
        <w:rPr>
          <w:rFonts w:ascii="Times New Roman" w:hAnsi="Times New Roman"/>
          <w:color w:val="000000" w:themeColor="text1"/>
          <w:sz w:val="16"/>
          <w:szCs w:val="16"/>
        </w:rPr>
        <w:softHyphen/>
        <w:t>компрессоров ТК—2Б, а также измененной маслоси-стемой. Кроме того, в системе охлаждения воздуха, подаваемого в карбюратор двигателя, применили воздухо-воздушный радиатор взамен водо-воздуш-ного. Оболочку гермокабины изготовили из алюми</w:t>
      </w:r>
      <w:r w:rsidRPr="00070ADE">
        <w:rPr>
          <w:rFonts w:ascii="Times New Roman" w:hAnsi="Times New Roman"/>
          <w:color w:val="000000" w:themeColor="text1"/>
          <w:sz w:val="16"/>
          <w:szCs w:val="16"/>
        </w:rPr>
        <w:softHyphen/>
        <w:t>ниевого сплава АМЦ. Максимальная расчетная ско</w:t>
      </w:r>
      <w:r w:rsidRPr="00070ADE">
        <w:rPr>
          <w:rFonts w:ascii="Times New Roman" w:hAnsi="Times New Roman"/>
          <w:color w:val="000000" w:themeColor="text1"/>
          <w:sz w:val="16"/>
          <w:szCs w:val="16"/>
        </w:rPr>
        <w:softHyphen/>
        <w:t>рость должна была составить 689 км/ч на высоте 12500 м, а практический потолок — 13000—14000 м. Вооружение включало две синхронные 20-мм пушки СШ—20 с боезапасом по 100 патронов (9984).</w:t>
      </w:r>
    </w:p>
    <w:p w14:paraId="776AF4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114622"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г. завершили окончательную сборку и регулировку самолёта «3А» и всех его систем и в тот же день его передали на заводские испытания (23471).</w:t>
      </w:r>
    </w:p>
    <w:p w14:paraId="0DBC3CE7" w14:textId="77777777" w:rsidR="00351460" w:rsidRPr="00070ADE" w:rsidRDefault="00351460" w:rsidP="00B56F90">
      <w:pPr>
        <w:spacing w:after="0" w:line="240" w:lineRule="auto"/>
        <w:jc w:val="both"/>
        <w:rPr>
          <w:rFonts w:ascii="Times New Roman" w:hAnsi="Times New Roman"/>
          <w:color w:val="000000" w:themeColor="text1"/>
          <w:sz w:val="16"/>
          <w:szCs w:val="16"/>
        </w:rPr>
      </w:pPr>
    </w:p>
    <w:p w14:paraId="5D411B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23-24 апреля 1944 согласно журнала наблюдения за проектированием, постройкой и испытаниями высотного истребителя МиГ-1 за 1 мая 1944 на И-222 АМ-39Б 2ТК-2Б производили отстрел ШВАК. Отказал левый синхронизатор. Отстрел не закончен. Затруднен запуск мотора “холодным запуском” системы ЦИАМ. В программу испытаний включена только доводка ВМГ. Полеты на отработку гермокабины не включены. Всего намечен 21 полет. С целью облегчения сняты крыльевые б/баки и система нейтрального газа (991,13).</w:t>
      </w:r>
    </w:p>
    <w:p w14:paraId="25D46D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16677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г. машину, получившую обозначение И-222 и шифр "ЗА", закончили в производстве Этот вариант высотного истребителя отличался от предшественника наличием герметической кабины. Самолет оснастили опытным мотором АМ-39Б, отличавшимся от прототипа иным способом подключения турбокомпрессоров ТК-2Б, а также измененной маслосистемой. Кроме того, в системе охлаждения воздуха, подаваемого в карбюратор двигателя, применили воздухо-воздушный радиатор вместо водо- воздушного. Максимальная расчетная скорость должна была составить 689 км/ч на высоте 12 500 м, а практический потолок - 13 000-14 000 м. Вооружение включало две синхронные 20-мм пушки СШ-20 с боезапасом по 100 патронов (12045).</w:t>
      </w:r>
    </w:p>
    <w:p w14:paraId="33058B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BA8D041"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xml:space="preserve">23 апреля 1944 г. на заводе № 155 закончили в производстве истребитель, получивший обозначение И-222 и шифр «ЗА». </w:t>
      </w:r>
    </w:p>
    <w:p w14:paraId="464A4307"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целях обеспечения наилучших условий для летчика при выполнении боевых полетов на максимальной высоте, в соответствии с утвержденным НКАП планом работ на 1943 г. ОКБ-155 была поручена разработка и постройка на базе самолета И-221 истребителя с герметической кабиной со сроком предъявления на испытания 15 марта 1944 г.</w:t>
      </w:r>
    </w:p>
    <w:p w14:paraId="29FA2F4C"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 конструкции самолет в целом повторял И-221, но имел герметическую кабину и улучшенный обзор задней полусферы. На машине был установлен опытный мотор АМ-39Б №01. Кроме того, в системе охлаждения воздуха, поступающего в карбюратор двигателя, установили воздухо-воздушный радиатор взамен водо-воздушного, что позволило, несмотря на установку гермокабины, не допустить возрастания полетной массы самолета. Оболочку гермокабины сделали из алюминиевого сплава АМЦ. В ходе изготовления механическую систему герметизации фонаря заменили пневматической. Максимальная расчетная скорость должна была составить 689 км/ч на высоте 12500 м, а практический потолок 13000-14000 м. Вооружение включало две синхронные 20-мм пушки СШ-20 с боезапасом по 100 патронов (25230).</w:t>
      </w:r>
    </w:p>
    <w:p w14:paraId="7DF54295" w14:textId="77777777" w:rsidR="00F24AC9" w:rsidRPr="00C94B78" w:rsidRDefault="00F24AC9" w:rsidP="00B56F90">
      <w:pPr>
        <w:spacing w:after="0" w:line="240" w:lineRule="auto"/>
        <w:jc w:val="both"/>
        <w:rPr>
          <w:rFonts w:ascii="Times New Roman" w:hAnsi="Times New Roman"/>
          <w:color w:val="0070C0"/>
          <w:sz w:val="16"/>
          <w:szCs w:val="16"/>
        </w:rPr>
      </w:pPr>
    </w:p>
    <w:p w14:paraId="76CA81C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1E22E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21918B" w14:textId="77777777" w:rsidR="00783151" w:rsidRPr="00070ADE" w:rsidRDefault="0078315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Представитель ЦАКБ гвардии капитан Боглевский, прибывший на УЗТМ, сообщил, что с января никакой деятельности на УТЗМ по теме САУ с С-34 не велось (18252).</w:t>
      </w:r>
    </w:p>
    <w:p w14:paraId="3BD98106" w14:textId="77777777" w:rsidR="00783151" w:rsidRPr="00070ADE" w:rsidRDefault="00783151" w:rsidP="00B56F90">
      <w:pPr>
        <w:spacing w:after="0" w:line="240" w:lineRule="auto"/>
        <w:jc w:val="both"/>
        <w:rPr>
          <w:rFonts w:ascii="Times New Roman" w:hAnsi="Times New Roman"/>
          <w:color w:val="000000" w:themeColor="text1"/>
          <w:sz w:val="16"/>
          <w:szCs w:val="16"/>
        </w:rPr>
      </w:pPr>
    </w:p>
    <w:p w14:paraId="2237A30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вышло Распоряжение ГКО № 5703 [О поставках бандажей НКТП и НКСМ для НКРП для обрезинки катков танков и арттягачей.] (7220, 1).</w:t>
      </w:r>
    </w:p>
    <w:p w14:paraId="4B75902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279E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вышло Постановление ГКО № 5704 О мероприятиях по обеспечению Наркомцветмета оборудованием и запасными частями в 1944, 1945 и 1946 годах. РГАНИР, Фонд ГКО, д. 242, лл. 2-9,10-22 (11012).</w:t>
      </w:r>
    </w:p>
    <w:p w14:paraId="22E744E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D4BD04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вышло Постановление ГКО № 5705 О мероприятиях по обеспечению работы Челябинской ТЭЦ на полную мощность в 250 мгвт. (7220, 23-24,25-43).</w:t>
      </w:r>
    </w:p>
    <w:p w14:paraId="0082E72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EA7A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вышло Постановление ГКО № 5706 Об обеспечении производства 85 мм гильз к пушкам самоходной артиллерии. РГАНИР, Фонд ГКО, д. 242, лл. 44-47,48-52 (11012).</w:t>
      </w:r>
    </w:p>
    <w:p w14:paraId="165AA3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E4597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вышло Постановление ГКО № 5707 О неотложных мерах по быстрейшему восстановлению таганрогского завода "Красный котельщик" Наркомтяжмаша. РГАНИР, Фонд ГКО, д. 242, лл. 53-55,56 (11012).</w:t>
      </w:r>
    </w:p>
    <w:p w14:paraId="3EDFAA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5978AA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вышло Распоряжение ГКО № 5708. Об организации восстановления Криворожского железорудного бассейна. РГАНИР, Фонд ГКО, д. 242, лл. 57-59 (11012).</w:t>
      </w:r>
    </w:p>
    <w:p w14:paraId="41AEEC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EB2ECE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вышло Постановление ГКО № 5709 О плане ремонта автомобилей и автомобильных моторов для Красной Армии и Военно-Морского Флота на II квартал 1944 г. (7220, 60-67,68-165).</w:t>
      </w:r>
    </w:p>
    <w:p w14:paraId="6137E31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0FBC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вышло Распоряжение ГКО № 5710. О продлении до 1 июня 1944 г. срока работы на дровозаготовках для Москвы мобилизованных москвичей. РГАНИР, Фонд ГКО, д. 242, лл. 166 (11012).</w:t>
      </w:r>
    </w:p>
    <w:p w14:paraId="4EC332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16A52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23 апреля 1944 вышло Постановление ГКО № 5711 Об обеспечении перевалки импортных наливных грузов через Владивостокский порт и о реконструкции нефтебазы в бухте Находка. РГАНИР, Фонд ГКО, д. 242, лл. 167-172,173-192 (11012).</w:t>
      </w:r>
    </w:p>
    <w:p w14:paraId="56F589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4B1C0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вышло Распоряжение ГКО № 5712. О мобилизации в Горьком и области 1,7 тыс. чел. на лесосплав и выгрузку древесины для НКПС. РГАНИР, Фонд ГКО, д. 242, лл. 193 (11012).</w:t>
      </w:r>
    </w:p>
    <w:p w14:paraId="522162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5CDAA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вышло Постановление ГКО № 5713 О восстановлении кадров постоянных рабочих и транспорта на лесозаготовках Наркомлеса СССР. РГАНИР, Фонд ГКО, д. 242, лл. 194-199,200-201 (11012).</w:t>
      </w:r>
    </w:p>
    <w:p w14:paraId="1E142D4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719B8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вышло Постановление ГКО № 5714 О производстве запасных частей к тракторам и сельскохозяйственным машинам на II кв. 1944 г. РГАНИР, Фонд ГКО, д. 242, лл. 202-210,211-250 (11012).</w:t>
      </w:r>
    </w:p>
    <w:p w14:paraId="00CE0A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B6C37C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вышло Распоряжение ГКО № 5715 [О проекте постановления ГКО об изменении порядка бронирования рабочих, служащих и ИТР особых строительно-монтажных частей.] (7220, 251,252-256).</w:t>
      </w:r>
    </w:p>
    <w:p w14:paraId="01A5ABA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B73EE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FF4C2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D61EE8"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в 1944 году оперативная сводка Совинформбюро:</w:t>
      </w:r>
    </w:p>
    <w:p w14:paraId="606CA0E4"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23 апреля на фронтах существенных изменений не произошло.</w:t>
      </w:r>
    </w:p>
    <w:p w14:paraId="42653959"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22 апреля наши войска на всех фронтах подбили и уничтожили 26 немецких танков. В воздушных боях и огнём зенитной артиллерии уничтожено 52 самолёта противника.</w:t>
      </w:r>
    </w:p>
    <w:p w14:paraId="4055E219"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Нарва противник рано утром перешёл в контратаку и вклинился в передний край нашей обороны. Фланговыми ударами советские бойцы окружили гитлеровцев. Уничтожено свыше батальона немецкой пехоты, 9 танков и 6 бронетранспортёров.</w:t>
      </w:r>
    </w:p>
    <w:p w14:paraId="39CFBFF6"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на одном участке танки и пехота противника несколько раз пытались атаковать наши позиции. Умело маневрируя, танкисты Н-ского соединения сожгли и подбили 12 немецких танков. Пехота противника, лишившись танкового прикрытия, отошла, оставив на поле боя много убитых и раненых своих солдат и офицеров.</w:t>
      </w:r>
    </w:p>
    <w:p w14:paraId="720402E7"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Бомбардировщики авиачасти тов. Архангельского нанесли массированный удар по скоплению немецких войск. Уничтожены 4 танка и 60 автомашин с пехотой и боеприпасами. Штурмовики Н-ской авиачасти провели несколько успешных налетов на воинские эшелоны противника в пути и на железнодорожных станциях. Разбиты 5 паровозов и 80 вагонов. Немецкая авиация пыталась противодействовать нашим бомбардировщикам и штурмовикам. В воздушных боях советские лётчики сбили 11 самолётов противника.</w:t>
      </w:r>
    </w:p>
    <w:p w14:paraId="1EF03D26"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одном районе два немецких истребителя «Мессершмитт-109» появились около нашего аэродрома. Зенитчики немедленно открыли огонь и подбили один вражеский самолёт. Другой самолет противника пошёл на посадку и приземлился. Немецкий лётчик заявил: «Я уже давно собирался перелететь на сторону Красной Армии. Сегодня мне представился благоприятный случай, и я сдаюсь в плен».</w:t>
      </w:r>
    </w:p>
    <w:p w14:paraId="01669D92"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4-го Украинского фронта совершила несколько успешных налётов на аэродромы противника в районе Севастополя. Штурмовики под командованием старшего лейтенанта Веселова, старшего лейтенанта Бутова, капитана Некрасова и лейтенанта Антонова прорвались к аэродрому и сожгли 10 немецких самолётов. Всего в течение дня наши лётчики в воздушных боях сбили 8 и уничтожили на аэродромах 19 самолётов противника. Кроме того, 8 немецких самолётов сбиты огнём зенитной артиллерии.</w:t>
      </w:r>
    </w:p>
    <w:p w14:paraId="58B79772"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Волынской области, с 8 по 11 апреля из засад уничтожил до роты гитлеровцев и подорвал на минах несколько автомашин с пехотой противника. Немцы предприняли против партизан карательный поход. Советские патриоты организовали круговую оборону и встретили гитлеровцев огнём из миномётов, пулемётов и автоматов. Ночью партизаны нанесли врагу контрудар ио братили его в бегство. В этом бою партизаны уничтожили 70 немецких солдат и четырёх офицеров. Захвачены у немцев 2 орудия, 7 пулемётов, 46 винтовок и много патронов.</w:t>
      </w:r>
    </w:p>
    <w:p w14:paraId="1639CD1B"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солдат 19 мотополка 9 немецкой танковой дивизии СС «Гогенштауфен» Иоганн Штегер рассказал: «Наша дивизия находилась во Франции, сначала в районе города Абвиль, а затем в Марселе. В середине марта дивизия была спешно переброшена на Восточный фронт. Мы ехали по маршруту:Марсель-Мюлуз-Страсбург-Дрезден-Краков-Львов. Мне известно, что, кроме нашей дивизии, из Франции на Восток за последнее время переброшены и другие соединения, в том числе 10 танковая дивизия СС «Генрих Гиммлер». Командование поставило перед нашей дивизией и другими соединениями задачу во что бы то ни стало прорваться к Тарнополю и освободить окружённый там немецкий гарнизон. Наши подразделения истекали кровью, мы потеряли много танков и орудий, но пробиться к городу не могли. Я не могу знать в точности, какие потери понесли войска, шедшие на помощь гарнизону Тарнополя, но убеждён, что эта провалившаяся операция обошлась немецкой армии очень и очень дорого».</w:t>
      </w:r>
    </w:p>
    <w:p w14:paraId="427E37D6"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Жители села Лозовая, Каменец-Подольской области, составили акт о зверствах немецко-фашистских мерзавцев. В акте говорится: «Ворвавшись 5 июля 1941 года в наше село, немецко-фашистские бандиты тотчас же начали грабить и убивать мирных граждан. Немцы издевались над советскими людьми, унижали их, насиловали женщин и девушек. Фашистские оккупанты насильно угнали более 70 юношей и девушек на каторжные работы в Германию. Многие из них не выдержали ужасных условий и погибли в немецкой неволе. Так умерли Феофан Бабий - 25. лет, Василий Грабовский— 19 лет и другие. Колхозница Мария Лупий — 30 лет вернулась из Германии инвалидом. В селе было 318 домов. При отступлении немцы в яростной злобе сожгли более 160 дворов. Многие из оставшихся домов разрушены и непригодны для жилья. Но самое страшное преступление немецкие палачи совершили 9 марта 1944 года. Отступая из села, гитлеровцы врывались в дома и зверски расстреливали жителей. Немецкие изверги убивали женщин и детей. В этот день от рук фашистских палачей погибло много ни в чём не повинных жителей нашего села».</w:t>
      </w:r>
    </w:p>
    <w:p w14:paraId="7F30DAF7"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Барановский, Сидорук, Обух, Шабельская, Кришталюк и Горбатюк.» (15108).</w:t>
      </w:r>
    </w:p>
    <w:p w14:paraId="104D27D9" w14:textId="77777777" w:rsidR="00F054E0" w:rsidRPr="00070ADE" w:rsidRDefault="00F054E0" w:rsidP="00B56F90">
      <w:pPr>
        <w:spacing w:after="0" w:line="240" w:lineRule="auto"/>
        <w:jc w:val="both"/>
        <w:rPr>
          <w:rFonts w:ascii="Times New Roman" w:hAnsi="Times New Roman"/>
          <w:color w:val="000000" w:themeColor="text1"/>
          <w:sz w:val="16"/>
          <w:szCs w:val="16"/>
        </w:rPr>
      </w:pPr>
    </w:p>
    <w:p w14:paraId="7AFE7BE2" w14:textId="77777777" w:rsidR="004543A8" w:rsidRPr="00070ADE" w:rsidRDefault="004543A8" w:rsidP="00B56F90">
      <w:pPr>
        <w:pStyle w:val="ae"/>
        <w:spacing w:before="0" w:after="0"/>
        <w:jc w:val="both"/>
        <w:textAlignment w:val="baseline"/>
        <w:rPr>
          <w:color w:val="000000" w:themeColor="text1"/>
          <w:sz w:val="16"/>
          <w:szCs w:val="16"/>
        </w:rPr>
      </w:pPr>
      <w:r w:rsidRPr="00070ADE">
        <w:rPr>
          <w:color w:val="000000" w:themeColor="text1"/>
          <w:sz w:val="16"/>
          <w:szCs w:val="16"/>
        </w:rPr>
        <w:t>23 апреля 1944 советский разведчик засек в Варангер-фьорде большую группу немецких кораблей. Это был вышедший из Киркенеса конвой West-117, в состав которого входили 14 транспортов и 16 кораблей охранения. Для удара по нему, согласно уже устоявшейся практике, выслали торпедоносцы A-20J, штурмовики Ил-2 и истребители Р-40, действовавшие в качестве пикировщиков. Они появились над конвоем, когда тот находился восточнее островка Варде, уже на выходе из Варангер-фьорда. Единственным успехом массированной атаки стало повреждение сторожевика V-16109 «Нордвинд». В него попала торпеда, сброшенная с одного из «Бостонов». При взрыве у корабля оторвало носовую часть, но он все же остался на плаву.</w:t>
      </w:r>
    </w:p>
    <w:p w14:paraId="0FE374F5" w14:textId="77777777" w:rsidR="004543A8" w:rsidRPr="00070ADE" w:rsidRDefault="004543A8" w:rsidP="00B56F90">
      <w:pPr>
        <w:pStyle w:val="ae"/>
        <w:spacing w:before="0" w:after="0"/>
        <w:jc w:val="both"/>
        <w:textAlignment w:val="baseline"/>
        <w:rPr>
          <w:color w:val="000000" w:themeColor="text1"/>
          <w:sz w:val="16"/>
          <w:szCs w:val="16"/>
        </w:rPr>
      </w:pPr>
      <w:r w:rsidRPr="00070ADE">
        <w:rPr>
          <w:color w:val="000000" w:themeColor="text1"/>
          <w:sz w:val="16"/>
          <w:szCs w:val="16"/>
        </w:rPr>
        <w:t>Через два с половиной часа командование ВВС Северного флота предприняло повторную атаку конвоя. И на этот раз пилоты «Киттихауков» из 27-го иап все же смогли добить «Нордвинд», которого кормой вперед буксировал сторожевик V-6110. После четырех прямых попаданий авиабомб он затонул в проливе Буссезунд.</w:t>
      </w:r>
    </w:p>
    <w:p w14:paraId="240A8531" w14:textId="6FA63279" w:rsidR="004543A8" w:rsidRPr="00070ADE" w:rsidRDefault="004543A8" w:rsidP="00B56F90">
      <w:pPr>
        <w:pStyle w:val="ae"/>
        <w:spacing w:before="0" w:after="0"/>
        <w:jc w:val="both"/>
        <w:textAlignment w:val="baseline"/>
        <w:rPr>
          <w:color w:val="000000" w:themeColor="text1"/>
          <w:sz w:val="16"/>
          <w:szCs w:val="16"/>
        </w:rPr>
      </w:pPr>
      <w:r w:rsidRPr="00070ADE">
        <w:rPr>
          <w:color w:val="000000" w:themeColor="text1"/>
          <w:sz w:val="16"/>
          <w:szCs w:val="16"/>
        </w:rPr>
        <w:t>В этом ударе участвовала и восьмерка Ил-2 из 46-го шап. Корабельными зенитками был подбит самолет заместителя командира эскадрильи капитана Ильи Катунина. Согласно советским данным, 25-летний летчик направил горящий штурмовик на один из транспортов, который в результате тарана затонул. Уже спустя неделю — 31 мая 1944</w:t>
      </w:r>
      <w:r w:rsidR="00B643A8" w:rsidRPr="00070ADE">
        <w:rPr>
          <w:color w:val="000000" w:themeColor="text1"/>
          <w:sz w:val="16"/>
          <w:szCs w:val="16"/>
        </w:rPr>
        <w:t xml:space="preserve"> </w:t>
      </w:r>
      <w:r w:rsidRPr="00070ADE">
        <w:rPr>
          <w:color w:val="000000" w:themeColor="text1"/>
          <w:sz w:val="16"/>
          <w:szCs w:val="16"/>
        </w:rPr>
        <w:t>г.</w:t>
      </w:r>
      <w:r w:rsidR="00B643A8" w:rsidRPr="00070ADE">
        <w:rPr>
          <w:color w:val="000000" w:themeColor="text1"/>
          <w:sz w:val="16"/>
          <w:szCs w:val="16"/>
        </w:rPr>
        <w:t xml:space="preserve"> </w:t>
      </w:r>
      <w:r w:rsidRPr="00070ADE">
        <w:rPr>
          <w:color w:val="000000" w:themeColor="text1"/>
          <w:sz w:val="16"/>
          <w:szCs w:val="16"/>
        </w:rPr>
        <w:t>— Катунину и его заднему стрелку Андрею Маркину посмертно присвоили звания Героев Советского Союза.</w:t>
      </w:r>
    </w:p>
    <w:p w14:paraId="42A46664" w14:textId="77777777" w:rsidR="004543A8" w:rsidRPr="00070ADE" w:rsidRDefault="004543A8" w:rsidP="00B56F90">
      <w:pPr>
        <w:pStyle w:val="ae"/>
        <w:spacing w:before="0" w:after="0"/>
        <w:jc w:val="both"/>
        <w:textAlignment w:val="baseline"/>
        <w:rPr>
          <w:color w:val="000000" w:themeColor="text1"/>
          <w:sz w:val="16"/>
          <w:szCs w:val="16"/>
        </w:rPr>
      </w:pPr>
      <w:r w:rsidRPr="00070ADE">
        <w:rPr>
          <w:color w:val="000000" w:themeColor="text1"/>
          <w:sz w:val="16"/>
          <w:szCs w:val="16"/>
        </w:rPr>
        <w:t>В отчете командира конвоя West-117 действительно говорится, что сосредоточенным зенитным огнем со сторожевого корабля V-6110 и охотника за подводными лодками Uj-1220 был сбит один «цементбомбер». Однако при этом он никого не протаранил, а рухнул в море в 150 метрах от плавбазы «Везер». Всего же ВВС Северного флота потеряли в ходе атак этого конвоя семь самолетов, по три Ил-2 и Р-40 и один A-20J (19522).</w:t>
      </w:r>
    </w:p>
    <w:p w14:paraId="37F8F002" w14:textId="77777777" w:rsidR="004543A8" w:rsidRPr="00070ADE" w:rsidRDefault="004543A8" w:rsidP="00B56F90">
      <w:pPr>
        <w:pStyle w:val="ae"/>
        <w:spacing w:before="0" w:after="0"/>
        <w:jc w:val="both"/>
        <w:textAlignment w:val="baseline"/>
        <w:rPr>
          <w:color w:val="000000" w:themeColor="text1"/>
          <w:sz w:val="16"/>
          <w:szCs w:val="16"/>
        </w:rPr>
      </w:pPr>
    </w:p>
    <w:p w14:paraId="641C42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л 46 шап ВВС СФ к И.Б.Катунин во время штурмовки судов был подбит и направил горящую машину в транспорт, потопив его и погиб со стрелком А.М.Маркиным. Стал ГСС (438,902).</w:t>
      </w:r>
    </w:p>
    <w:p w14:paraId="2B3DCC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D5C8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г., когда в ходе атаки немецкого конвоя в Варангер-фьорде восьмерки штурмовиков Ил-2 из 46-го штурмового авиаполка, заместитель командира эскадрильи капитан И.Б.Катунин на подбитой машине таранил и потопил транспорт из состава конвоя. Летчику и его воздушному стрелку сержанту А.М.Маркину посмертно присвоено звание Героя Советского Союза. В наградном листе подчеркивалось, что всего за 13 боевых вылетов экипаж успел потопить два транспорта, шхуну и мотобот. Согласно немецким документам в тот день большой немецкий конвой “Вест-117”, состоящий из 14 транспортов и 16 кораблей охранения, вышел из Киркинеса в западном направлении. Восточнее Варде он подвергся массированным атакам советской авиации, но единственной жертвой атаки стал сторожевой корабль V-6109 “Нордвинд”. В 11.18 при попадании авиаторпеды с “Бостона" у него оторвало носовую часть, но корабль остался на плаву. Во время буксировки его за корму другим сторожевиком V-6110 он подвергся повторной атаке штурмовиков Ил-2 и после четырех прямых попаданий авиабомб затонул в 14.45 в проливе Буссезунд. Поданным немецких документов, в том числе - отчета командира конвоя, один из советских штурмовиков был сбит зенитным огнем с V-6110 и охотника за подлодками Uj-1220 и упал в море в 150 метрах от борта плавбазы “Везер”. Общие потери ВВС СФ в ходе этих атак составили семь самолетов (один А-20, три Ил-2 и три Р-40). Причем, добили сторожевик не Ил-2, а восемь “Киттихауков” из состава 27-го ИАП, которые действовали в топмач-товом варианте (8942).</w:t>
      </w:r>
    </w:p>
    <w:p w14:paraId="3078CF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AE10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г. вышел ПРИКАЗ № 098 ЗАМЕСТИТЕЛЯ НАРОДНОГО КОМИССАРА ОБОРОНЫ ОБ УПОРЯДОЧЕНИИ ЭВАКУАЦИИ ВОЕННОПЛЕННЫХ ИЗ ВОЙСКОВЫХ РАЙОНОВ</w:t>
      </w:r>
    </w:p>
    <w:p w14:paraId="21ACB8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действующих войсках до сих пор имеют место серьезные недостатки в эвакуации военнопленных из частей и соединений в армейские приемные пункты НКВД.</w:t>
      </w:r>
    </w:p>
    <w:p w14:paraId="7A374D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Войсковые командиры не всегда развертывают полковые и дивизионные пункты сбора пленных и не требуют ответственности со своих подчиненных за прием, охрану, дальнейшую отправку пленных и обеспечение их питанием в пути. Вследствие этого нередко наблюдаются случаи, когда недостаточно охраняемые группы пленных расходятся по населенным пунктам и часть из них скрывается в прифронтовой полосе. Пленные иногда длительное время не обеспечиваются питанием и доставляются на армейские приемные пункты истощенными, а зачастую раздетыми и разутыми.</w:t>
      </w:r>
    </w:p>
    <w:p w14:paraId="36ABAF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Приемные, сборные пункты и фронтовые приемно-пересыльные лагери военнопленных все еще удалены от действующих частей на большие расстояния.</w:t>
      </w:r>
    </w:p>
    <w:p w14:paraId="738150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устранения отмеченных недостатков приказываю:</w:t>
      </w:r>
    </w:p>
    <w:p w14:paraId="42F2A3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Командующим фронтов принять необходимые меры для выполнения требований приказа НКО № 001 1943 г.* о порядке обслуживания, снабжения и эвакуации военнопленных во всех звеньях, начиная от действующей части до фронтового приемно-пересыльного лагеря военнопленных включительно.</w:t>
      </w:r>
    </w:p>
    <w:p w14:paraId="716792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Фронтовой приемно-пересыльный лагерь военнопленных располагать не далее 100—120 км от передовых частей. Сборные пункты военнопленных размещать в 50—70 км и армейские приемные пункты военнопленных — в 25—30 км от линии фронта. При продвижении войск своевременно перемещать лагерь, сборные и приемные пункты военнопленных, не допуская большого удаления их от передовых частей.</w:t>
      </w:r>
    </w:p>
    <w:p w14:paraId="2D76CB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При проведении наступательных операций каждой дивизии иметь в своем тыловом районе пункт сбора военнопленных и размещать его на удалении 10—12 км от передовой линии.</w:t>
      </w:r>
    </w:p>
    <w:p w14:paraId="417A82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Для обслуживания дивизионных пунктов сбора и конвоирования пленных на армейский приемный пункт каждой армии на период наступательных операций выделять из состава запасного полка роту с количеством взводов по числу действующих дивизий. Состав взводов уменьшенный — 15 человек.</w:t>
      </w:r>
    </w:p>
    <w:p w14:paraId="13EEC5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В полках иметь пункт сбора пленных. Личный состав для обслуживания полкового пункта сбора пленных командирам полков выделять из числа ограниченно годных для несения боевой службы.</w:t>
      </w:r>
    </w:p>
    <w:p w14:paraId="4A1B59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Начальникам тыла дивизий своевременно оповещать командиров полков о точном расположении дивизионного пункта сбора пленных, а начальникам штабов полков — командиров батальонов о расположении полкового пункта сбора пленных.</w:t>
      </w:r>
    </w:p>
    <w:p w14:paraId="16341F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перемещении пункты сбора пленных располагать, не допуская отрыва от боевых частей.</w:t>
      </w:r>
    </w:p>
    <w:p w14:paraId="689F46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Обеспечивать питанием военнопленных в частях и в пути следования их по этапу до передачи в армейские приемные пункты НКВД по нормам, утвержденным Постановлением СНК СССР № 18747874с.**</w:t>
      </w:r>
    </w:p>
    <w:p w14:paraId="417364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Не допускать случаев самочинного изъятия у военнопленных личных ценных вещей, одежды и обуви.</w:t>
      </w:r>
    </w:p>
    <w:p w14:paraId="02DCAD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Отдельных пленных по требованию начальников разведывательных и политических отделов доставлять для допроса в сопровождении конвоя, выделяемого в порядке, указанном в пункте 4.</w:t>
      </w:r>
    </w:p>
    <w:p w14:paraId="66EA90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При отправке пленных сдавать их конвою по этапным спискам, по которым и принимать пленных от конвоя в дивизионном пункте сбора пленных и армейском приемном пункте НКВД.</w:t>
      </w:r>
    </w:p>
    <w:p w14:paraId="4FC2AD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Заместитель Народного комиссара обороны Маршал Советского Союза ВАСИЛЕВСКИЙ</w:t>
      </w:r>
      <w:r w:rsidRPr="00070ADE">
        <w:rPr>
          <w:rFonts w:ascii="Times New Roman" w:hAnsi="Times New Roman"/>
          <w:color w:val="000000" w:themeColor="text1"/>
          <w:sz w:val="16"/>
          <w:szCs w:val="16"/>
        </w:rPr>
        <w:t xml:space="preserve"> (9844).</w:t>
      </w:r>
    </w:p>
    <w:p w14:paraId="7A7C21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1EE5E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476688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96A38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советское правительство установило дипломатические отношения с “Борющейся Данией” (4962).</w:t>
      </w:r>
    </w:p>
    <w:p w14:paraId="050B3DF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56009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4D6211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38CCA6"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в 1944 году начало стендовых испытаний двигателя TG-180 фирмы «Дженерал электрик» (15108).</w:t>
      </w:r>
    </w:p>
    <w:p w14:paraId="0C0FE116" w14:textId="77777777" w:rsidR="00F054E0" w:rsidRPr="00070ADE" w:rsidRDefault="00F054E0" w:rsidP="00B56F90">
      <w:pPr>
        <w:spacing w:after="0" w:line="240" w:lineRule="auto"/>
        <w:jc w:val="both"/>
        <w:rPr>
          <w:rFonts w:ascii="Times New Roman" w:hAnsi="Times New Roman"/>
          <w:color w:val="000000" w:themeColor="text1"/>
          <w:sz w:val="16"/>
          <w:szCs w:val="16"/>
        </w:rPr>
      </w:pPr>
    </w:p>
    <w:p w14:paraId="583AC83B"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в 1944 году 498-я эскадрилья применила в бою новые «В-25», вооруженные 75-мм пушкой. Пушечные "стрейферы" прошлись над береговой линией от залива Ханса до мыса Круазиль, обстреливая из пушек здания и мосты. 498-я эскадрилья была выбрана для испытания в боевой обстановке самолетов «В-25Н-1», вооруженных 75-мм пушками. В течение апреля эскадрилья сдала все, кроме одного, свои «В-25С» и «D», получив взамен 21 новую машину. Кроме 75-мм пушки самолеты «В-25Н-1» несли четыре 12,7-мм пулемета, установленные в лобовом обтекателе. Экипажи прошли недельный курс подготовки. Вместо второго пилота экипаж самолета включал заряжающего. 75-мм пушка имела эффективную дальность огня 3700 м. За время боевого захода опытный заряжающий мог обеспечить четыре выстрела. Пилотирование пушечного самолета имело свои особенности. Нос самолета был перегружен, а в момент выстрела самолет терял несколько километров в час скорости. Кроме того, при стрельбе часто расходились швы обшивки, что было причиной постоянной головной боли для техников (15108).</w:t>
      </w:r>
    </w:p>
    <w:p w14:paraId="622064F6" w14:textId="77777777" w:rsidR="00F054E0" w:rsidRPr="00070ADE" w:rsidRDefault="00F054E0" w:rsidP="00B56F90">
      <w:pPr>
        <w:spacing w:after="0" w:line="240" w:lineRule="auto"/>
        <w:jc w:val="both"/>
        <w:rPr>
          <w:rFonts w:ascii="Times New Roman" w:hAnsi="Times New Roman"/>
          <w:color w:val="000000" w:themeColor="text1"/>
          <w:sz w:val="16"/>
          <w:szCs w:val="16"/>
        </w:rPr>
      </w:pPr>
    </w:p>
    <w:p w14:paraId="0FCE0FEE" w14:textId="77777777" w:rsidR="00F054E0" w:rsidRPr="00070ADE" w:rsidRDefault="00F05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в 1944 году в ночь на 23 апреля из 577 бомбардировщиков, участвовавших в налете на Дюссельдорф, англичане потеряли 29 (15108).</w:t>
      </w:r>
    </w:p>
    <w:p w14:paraId="6F45D9C7" w14:textId="77777777" w:rsidR="00F054E0" w:rsidRPr="00070ADE" w:rsidRDefault="00F054E0" w:rsidP="00B56F90">
      <w:pPr>
        <w:spacing w:after="0" w:line="240" w:lineRule="auto"/>
        <w:jc w:val="both"/>
        <w:rPr>
          <w:rFonts w:ascii="Times New Roman" w:hAnsi="Times New Roman"/>
          <w:color w:val="000000" w:themeColor="text1"/>
          <w:sz w:val="16"/>
          <w:szCs w:val="16"/>
        </w:rPr>
      </w:pPr>
    </w:p>
    <w:p w14:paraId="5E029066" w14:textId="77777777" w:rsidR="00301BB3" w:rsidRPr="00070ADE" w:rsidRDefault="00301B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Squadron 3 (VR-3) выполняет запланированный больничный рейс через континентальную часть Соединенных Штатов между Вашингтоном, округ Колумбия и Калифорнией (20373).</w:t>
      </w:r>
    </w:p>
    <w:p w14:paraId="236A9104" w14:textId="77777777" w:rsidR="00301BB3" w:rsidRPr="00070ADE" w:rsidRDefault="00301BB3" w:rsidP="00B56F90">
      <w:pPr>
        <w:spacing w:after="0" w:line="240" w:lineRule="auto"/>
        <w:jc w:val="both"/>
        <w:rPr>
          <w:rFonts w:ascii="Times New Roman" w:hAnsi="Times New Roman"/>
          <w:color w:val="000000" w:themeColor="text1"/>
          <w:sz w:val="16"/>
          <w:szCs w:val="16"/>
        </w:rPr>
      </w:pPr>
    </w:p>
    <w:p w14:paraId="65C0899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апреля 1944 в Александрии подавлено восстание экипажей трех греческих кораблей, около 50 человек погибли (4962).</w:t>
      </w:r>
    </w:p>
    <w:p w14:paraId="266B986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748C8B" w14:textId="470915BB" w:rsidR="00351460" w:rsidRPr="00070ADE" w:rsidRDefault="00351460"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7F3E354" w14:textId="77777777" w:rsidR="00351460" w:rsidRPr="00070ADE" w:rsidRDefault="00351460"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264F2E5"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апреля 1944 г. начался и в тот же день закончился первый этап заводских испытаний машины «3А» МиГ. Первым этапом их стали гонка мотора и отстрел «универсальных пушек Шпитального» (предположительно, СШ</w:t>
      </w:r>
      <w:r w:rsidRPr="00070ADE">
        <w:rPr>
          <w:rFonts w:ascii="Times New Roman" w:hAnsi="Times New Roman"/>
          <w:color w:val="000000" w:themeColor="text1"/>
          <w:sz w:val="16"/>
          <w:szCs w:val="16"/>
        </w:rPr>
        <w:noBreakHyphen/>
        <w:t>20) при его работе. Испытания показали их полную неработоспособность.</w:t>
      </w:r>
    </w:p>
    <w:p w14:paraId="35C70BD1"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Помимо недостатка надежности, пушки серии Ш</w:t>
      </w:r>
      <w:r w:rsidRPr="00070ADE">
        <w:rPr>
          <w:rFonts w:ascii="Times New Roman" w:hAnsi="Times New Roman"/>
          <w:color w:val="000000" w:themeColor="text1"/>
          <w:sz w:val="16"/>
          <w:szCs w:val="16"/>
        </w:rPr>
        <w:noBreakHyphen/>
        <w:t>20 проигрывали создававшимся одновременно легким орудиям Б</w:t>
      </w:r>
      <w:r w:rsidRPr="00070ADE">
        <w:rPr>
          <w:rFonts w:ascii="Times New Roman" w:hAnsi="Times New Roman"/>
          <w:color w:val="000000" w:themeColor="text1"/>
          <w:sz w:val="16"/>
          <w:szCs w:val="16"/>
        </w:rPr>
        <w:noBreakHyphen/>
        <w:t>20 системы Березина по начальной скорости снаряда (у серийной пушки ШВАК она также была больше), будучи тяжелее. Однако и Б</w:t>
      </w:r>
      <w:r w:rsidRPr="00070ADE">
        <w:rPr>
          <w:rFonts w:ascii="Times New Roman" w:hAnsi="Times New Roman"/>
          <w:color w:val="000000" w:themeColor="text1"/>
          <w:sz w:val="16"/>
          <w:szCs w:val="16"/>
        </w:rPr>
        <w:noBreakHyphen/>
        <w:t>20 тоже ещё нуждались в доведении до кондиции и «на самолёт ей было ещё рановато». Вероятно, как раз в это время вооружение и заменили, поставив проверенные и не сулящие неприятностей серийные СП</w:t>
      </w:r>
      <w:r w:rsidRPr="00070ADE">
        <w:rPr>
          <w:rFonts w:ascii="Times New Roman" w:hAnsi="Times New Roman"/>
          <w:color w:val="000000" w:themeColor="text1"/>
          <w:sz w:val="16"/>
          <w:szCs w:val="16"/>
        </w:rPr>
        <w:noBreakHyphen/>
        <w:t>20, которые имели те же габариты, что и СШ</w:t>
      </w:r>
      <w:r w:rsidRPr="00070ADE">
        <w:rPr>
          <w:rFonts w:ascii="Times New Roman" w:hAnsi="Times New Roman"/>
          <w:color w:val="000000" w:themeColor="text1"/>
          <w:sz w:val="16"/>
          <w:szCs w:val="16"/>
        </w:rPr>
        <w:noBreakHyphen/>
        <w:t>20, использовали те же патроны, но все же по конструкции несколько отличались. По</w:t>
      </w:r>
      <w:r w:rsidRPr="00070ADE">
        <w:rPr>
          <w:rFonts w:ascii="Times New Roman" w:hAnsi="Times New Roman"/>
          <w:color w:val="000000" w:themeColor="text1"/>
          <w:sz w:val="16"/>
          <w:szCs w:val="16"/>
        </w:rPr>
        <w:noBreakHyphen/>
        <w:t>видимому, это вызвало дополнительную задержку с летными испытаниями более чем на декаду (по крайней мере, найти свидетельства о других проблемах с самолётом «3А» в эти дни не удалось) (23471).</w:t>
      </w:r>
    </w:p>
    <w:p w14:paraId="301D157D" w14:textId="77777777" w:rsidR="00351460" w:rsidRPr="00070ADE" w:rsidRDefault="00351460" w:rsidP="00B56F90">
      <w:pPr>
        <w:spacing w:after="0" w:line="240" w:lineRule="auto"/>
        <w:jc w:val="both"/>
        <w:rPr>
          <w:rFonts w:ascii="Times New Roman" w:hAnsi="Times New Roman"/>
          <w:color w:val="000000" w:themeColor="text1"/>
          <w:sz w:val="16"/>
          <w:szCs w:val="16"/>
        </w:rPr>
      </w:pPr>
    </w:p>
    <w:p w14:paraId="70F9C73A"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24 апреля 1944 г. прове</w:t>
      </w:r>
      <w:r w:rsidRPr="00C94B78">
        <w:rPr>
          <w:rStyle w:val="aff1"/>
          <w:rFonts w:ascii="Times New Roman" w:hAnsi="Times New Roman" w:cs="Times New Roman"/>
          <w:color w:val="0070C0"/>
          <w:spacing w:val="0"/>
          <w:sz w:val="16"/>
          <w:szCs w:val="16"/>
        </w:rPr>
        <w:softHyphen/>
        <w:t>ли первую стрельбу из 37‑мм пушки Н‑37 ОКБ‑16. В течение мая автоматику пушки полностью отработали. С 10 по 20 июня она успешно прошла заводские испытания в ГК НИИ ВВС, а с 1 по 25 августа – государ</w:t>
      </w:r>
      <w:r w:rsidRPr="00C94B78">
        <w:rPr>
          <w:rStyle w:val="aff1"/>
          <w:rFonts w:ascii="Times New Roman" w:hAnsi="Times New Roman" w:cs="Times New Roman"/>
          <w:color w:val="0070C0"/>
          <w:spacing w:val="0"/>
          <w:sz w:val="16"/>
          <w:szCs w:val="16"/>
        </w:rPr>
        <w:softHyphen/>
        <w:t>ственные наземные испытания. Одновременно испытывались патроны.</w:t>
      </w:r>
    </w:p>
    <w:p w14:paraId="395D00D8"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Патрон пониженной баллистики к Н‑37 со</w:t>
      </w:r>
      <w:r w:rsidRPr="00C94B78">
        <w:rPr>
          <w:rStyle w:val="aff1"/>
          <w:rFonts w:ascii="Times New Roman" w:hAnsi="Times New Roman" w:cs="Times New Roman"/>
          <w:color w:val="0070C0"/>
          <w:spacing w:val="0"/>
          <w:sz w:val="16"/>
          <w:szCs w:val="16"/>
        </w:rPr>
        <w:softHyphen/>
        <w:t>стоял из осколочно‑зажигательно‑трассирую</w:t>
      </w:r>
      <w:r w:rsidRPr="00C94B78">
        <w:rPr>
          <w:rStyle w:val="aff1"/>
          <w:rFonts w:ascii="Times New Roman" w:hAnsi="Times New Roman" w:cs="Times New Roman"/>
          <w:color w:val="0070C0"/>
          <w:spacing w:val="0"/>
          <w:sz w:val="16"/>
          <w:szCs w:val="16"/>
        </w:rPr>
        <w:softHyphen/>
        <w:t>щего снаряда (с взрывателем МГ‑8) или бро</w:t>
      </w:r>
      <w:r w:rsidRPr="00C94B78">
        <w:rPr>
          <w:rStyle w:val="aff1"/>
          <w:rFonts w:ascii="Times New Roman" w:hAnsi="Times New Roman" w:cs="Times New Roman"/>
          <w:color w:val="0070C0"/>
          <w:spacing w:val="0"/>
          <w:sz w:val="16"/>
          <w:szCs w:val="16"/>
        </w:rPr>
        <w:softHyphen/>
        <w:t>небойно‑зажигательно‑трассирующего снаря</w:t>
      </w:r>
      <w:r w:rsidRPr="00C94B78">
        <w:rPr>
          <w:rStyle w:val="aff1"/>
          <w:rFonts w:ascii="Times New Roman" w:hAnsi="Times New Roman" w:cs="Times New Roman"/>
          <w:color w:val="0070C0"/>
          <w:spacing w:val="0"/>
          <w:sz w:val="16"/>
          <w:szCs w:val="16"/>
        </w:rPr>
        <w:softHyphen/>
        <w:t>да к пушке 11П, латунной гильзы (изготавлива</w:t>
      </w:r>
      <w:r w:rsidRPr="00C94B78">
        <w:rPr>
          <w:rStyle w:val="aff1"/>
          <w:rFonts w:ascii="Times New Roman" w:hAnsi="Times New Roman" w:cs="Times New Roman"/>
          <w:color w:val="0070C0"/>
          <w:spacing w:val="0"/>
          <w:sz w:val="16"/>
          <w:szCs w:val="16"/>
        </w:rPr>
        <w:softHyphen/>
        <w:t>лась из заготовки валовой гильзы к зенитной пушке 61К путем ее укорочения, переобжатия и переделки закраины) и серийной капсюль</w:t>
      </w:r>
      <w:r w:rsidRPr="00C94B78">
        <w:rPr>
          <w:rStyle w:val="aff1"/>
          <w:rFonts w:ascii="Times New Roman" w:hAnsi="Times New Roman" w:cs="Times New Roman"/>
          <w:color w:val="0070C0"/>
          <w:spacing w:val="0"/>
          <w:sz w:val="16"/>
          <w:szCs w:val="16"/>
        </w:rPr>
        <w:softHyphen/>
        <w:t>ной втулки КВ‑2. Звенья использовались штат</w:t>
      </w:r>
      <w:r w:rsidRPr="00C94B78">
        <w:rPr>
          <w:rStyle w:val="aff1"/>
          <w:rFonts w:ascii="Times New Roman" w:hAnsi="Times New Roman" w:cs="Times New Roman"/>
          <w:color w:val="0070C0"/>
          <w:spacing w:val="0"/>
          <w:sz w:val="16"/>
          <w:szCs w:val="16"/>
        </w:rPr>
        <w:softHyphen/>
        <w:t>ные – от 11П.</w:t>
      </w:r>
    </w:p>
    <w:p w14:paraId="3FF63337"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По сравнению с патроном к 11П объем камеры гильзы патрона к Н‑37 уменьшился</w:t>
      </w:r>
    </w:p>
    <w:p w14:paraId="6317892A"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до 162 см</w:t>
      </w:r>
      <w:r w:rsidRPr="00C94B78">
        <w:rPr>
          <w:rStyle w:val="aff1"/>
          <w:rFonts w:ascii="Times New Roman" w:hAnsi="Times New Roman" w:cs="Times New Roman"/>
          <w:color w:val="0070C0"/>
          <w:spacing w:val="0"/>
          <w:sz w:val="16"/>
          <w:szCs w:val="16"/>
          <w:vertAlign w:val="superscript"/>
        </w:rPr>
        <w:t>3</w:t>
      </w:r>
      <w:r w:rsidRPr="00C94B78">
        <w:rPr>
          <w:rStyle w:val="aff1"/>
          <w:rFonts w:ascii="Times New Roman" w:hAnsi="Times New Roman" w:cs="Times New Roman"/>
          <w:color w:val="0070C0"/>
          <w:spacing w:val="0"/>
          <w:sz w:val="16"/>
          <w:szCs w:val="16"/>
        </w:rPr>
        <w:t xml:space="preserve"> (вместо 607 см</w:t>
      </w:r>
      <w:r w:rsidRPr="00C94B78">
        <w:rPr>
          <w:rStyle w:val="aff1"/>
          <w:rFonts w:ascii="Times New Roman" w:hAnsi="Times New Roman" w:cs="Times New Roman"/>
          <w:color w:val="0070C0"/>
          <w:spacing w:val="0"/>
          <w:sz w:val="16"/>
          <w:szCs w:val="16"/>
          <w:vertAlign w:val="superscript"/>
        </w:rPr>
        <w:t>3</w:t>
      </w:r>
      <w:r w:rsidRPr="00C94B78">
        <w:rPr>
          <w:rStyle w:val="aff1"/>
          <w:rFonts w:ascii="Times New Roman" w:hAnsi="Times New Roman" w:cs="Times New Roman"/>
          <w:color w:val="0070C0"/>
          <w:spacing w:val="0"/>
          <w:sz w:val="16"/>
          <w:szCs w:val="16"/>
        </w:rPr>
        <w:t>), а вес порохово</w:t>
      </w:r>
      <w:r w:rsidRPr="00C94B78">
        <w:rPr>
          <w:rStyle w:val="aff1"/>
          <w:rFonts w:ascii="Times New Roman" w:hAnsi="Times New Roman" w:cs="Times New Roman"/>
          <w:color w:val="0070C0"/>
          <w:spacing w:val="0"/>
          <w:sz w:val="16"/>
          <w:szCs w:val="16"/>
        </w:rPr>
        <w:softHyphen/>
        <w:t>го заряда – до 122,3 г (вместо 212 г). Соответ</w:t>
      </w:r>
      <w:r w:rsidRPr="00C94B78">
        <w:rPr>
          <w:rStyle w:val="aff1"/>
          <w:rFonts w:ascii="Times New Roman" w:hAnsi="Times New Roman" w:cs="Times New Roman"/>
          <w:color w:val="0070C0"/>
          <w:spacing w:val="0"/>
          <w:sz w:val="16"/>
          <w:szCs w:val="16"/>
        </w:rPr>
        <w:softHyphen/>
        <w:t>ственно, начальная скорость снаряда Н‑37 со</w:t>
      </w:r>
      <w:r w:rsidRPr="00C94B78">
        <w:rPr>
          <w:rStyle w:val="aff1"/>
          <w:rFonts w:ascii="Times New Roman" w:hAnsi="Times New Roman" w:cs="Times New Roman"/>
          <w:color w:val="0070C0"/>
          <w:spacing w:val="0"/>
          <w:sz w:val="16"/>
          <w:szCs w:val="16"/>
        </w:rPr>
        <w:softHyphen/>
        <w:t>ставила около 700 м/с (вместо 900 м/с), темп стрельбы вырос до 320 выстр./мин (вместо 250 выстр./мин), а усилие отдачи при стрель</w:t>
      </w:r>
      <w:r w:rsidRPr="00C94B78">
        <w:rPr>
          <w:rStyle w:val="aff1"/>
          <w:rFonts w:ascii="Times New Roman" w:hAnsi="Times New Roman" w:cs="Times New Roman"/>
          <w:color w:val="0070C0"/>
          <w:spacing w:val="0"/>
          <w:sz w:val="16"/>
          <w:szCs w:val="16"/>
        </w:rPr>
        <w:softHyphen/>
        <w:t>бе снизилось до 2180 кг (вместо 5500 кг). При этом вес и габариты пушки уменьшились до 96 кг (вместо 152,25 кг) и 2485 мм (вместо 3140 мм) соответственно.</w:t>
      </w:r>
    </w:p>
    <w:p w14:paraId="18F5F557"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Одним из следствий применения патрона уменьшенной баллистики стала повышенная живучесть ствола. Ствол Н‑37 №1 не исчерпал своей живучести после 3500 выстрелов, тогда как живучесть ствола серийной 11П не превы</w:t>
      </w:r>
      <w:r w:rsidRPr="00C94B78">
        <w:rPr>
          <w:rStyle w:val="aff1"/>
          <w:rFonts w:ascii="Times New Roman" w:hAnsi="Times New Roman" w:cs="Times New Roman"/>
          <w:color w:val="0070C0"/>
          <w:spacing w:val="0"/>
          <w:sz w:val="16"/>
          <w:szCs w:val="16"/>
        </w:rPr>
        <w:softHyphen/>
        <w:t>шала 1500–2000 выстрелов.</w:t>
      </w:r>
    </w:p>
    <w:p w14:paraId="2ED1BF5B"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Для снижения силы отдачи при стрель</w:t>
      </w:r>
      <w:r w:rsidRPr="00C94B78">
        <w:rPr>
          <w:rStyle w:val="aff1"/>
          <w:rFonts w:ascii="Times New Roman" w:hAnsi="Times New Roman" w:cs="Times New Roman"/>
          <w:color w:val="0070C0"/>
          <w:spacing w:val="0"/>
          <w:sz w:val="16"/>
          <w:szCs w:val="16"/>
        </w:rPr>
        <w:softHyphen/>
        <w:t>бе в пушке применили мощный дульный тор</w:t>
      </w:r>
      <w:r w:rsidRPr="00C94B78">
        <w:rPr>
          <w:rStyle w:val="aff1"/>
          <w:rFonts w:ascii="Times New Roman" w:hAnsi="Times New Roman" w:cs="Times New Roman"/>
          <w:color w:val="0070C0"/>
          <w:spacing w:val="0"/>
          <w:sz w:val="16"/>
          <w:szCs w:val="16"/>
        </w:rPr>
        <w:softHyphen/>
        <w:t>моз и регулируемый гидротормоз, амортизи</w:t>
      </w:r>
      <w:r w:rsidRPr="00C94B78">
        <w:rPr>
          <w:rStyle w:val="aff1"/>
          <w:rFonts w:ascii="Times New Roman" w:hAnsi="Times New Roman" w:cs="Times New Roman"/>
          <w:color w:val="0070C0"/>
          <w:spacing w:val="0"/>
          <w:sz w:val="16"/>
          <w:szCs w:val="16"/>
        </w:rPr>
        <w:softHyphen/>
        <w:t>ровавший откат и накат ствола. Регулировка гидротормоза позволяла «очень просто от</w:t>
      </w:r>
      <w:r w:rsidRPr="00C94B78">
        <w:rPr>
          <w:rStyle w:val="aff1"/>
          <w:rFonts w:ascii="Times New Roman" w:hAnsi="Times New Roman" w:cs="Times New Roman"/>
          <w:color w:val="0070C0"/>
          <w:spacing w:val="0"/>
          <w:sz w:val="16"/>
          <w:szCs w:val="16"/>
        </w:rPr>
        <w:softHyphen/>
        <w:t>лаживать пушки на заводе и эксплуатировать в частях».</w:t>
      </w:r>
    </w:p>
    <w:p w14:paraId="3FA6DB1A"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Поскольку Н‑37 создавалась на основе се</w:t>
      </w:r>
      <w:r w:rsidRPr="00C94B78">
        <w:rPr>
          <w:rStyle w:val="aff1"/>
          <w:rFonts w:ascii="Times New Roman" w:hAnsi="Times New Roman" w:cs="Times New Roman"/>
          <w:color w:val="0070C0"/>
          <w:spacing w:val="0"/>
          <w:sz w:val="16"/>
          <w:szCs w:val="16"/>
        </w:rPr>
        <w:softHyphen/>
        <w:t>рийной 11П, то сохранялась технологическая преемственность. Это улучшало условия вне</w:t>
      </w:r>
      <w:r w:rsidRPr="00C94B78">
        <w:rPr>
          <w:rStyle w:val="aff1"/>
          <w:rFonts w:ascii="Times New Roman" w:hAnsi="Times New Roman" w:cs="Times New Roman"/>
          <w:color w:val="0070C0"/>
          <w:spacing w:val="0"/>
          <w:sz w:val="16"/>
          <w:szCs w:val="16"/>
        </w:rPr>
        <w:softHyphen/>
        <w:t>дрения пушки в массовое производство и ее освоение в войсках (25101).</w:t>
      </w:r>
    </w:p>
    <w:p w14:paraId="7F305480" w14:textId="77777777" w:rsidR="00F24AC9" w:rsidRPr="00C94B78" w:rsidRDefault="00F24AC9" w:rsidP="00B56F90">
      <w:pPr>
        <w:spacing w:after="0" w:line="240" w:lineRule="auto"/>
        <w:jc w:val="both"/>
        <w:rPr>
          <w:rFonts w:ascii="Times New Roman" w:hAnsi="Times New Roman"/>
          <w:color w:val="0070C0"/>
          <w:sz w:val="16"/>
          <w:szCs w:val="16"/>
        </w:rPr>
      </w:pPr>
    </w:p>
    <w:p w14:paraId="08C2C838" w14:textId="3A408325"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3387B82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B17A2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апреля 1944 года вышел приказ № 210с НКБ</w:t>
      </w:r>
    </w:p>
    <w:p w14:paraId="4BA801E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Во исполнение постановления Правительства об освобождении производственных площадей завода № 357 НКВ, ныне занятых заводом № 323.</w:t>
      </w:r>
    </w:p>
    <w:p w14:paraId="075E161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Директору завода № 323 передать заводу № 4 НКБ оборудование, материалы, инвентарь и незавершенное производство ………………………….</w:t>
      </w:r>
    </w:p>
    <w:p w14:paraId="3F82776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Директору завода № 323 оставшееся оборудование разместить на площадях ранее принадлежавших ЦКБ-22 НКБ.</w:t>
      </w:r>
    </w:p>
    <w:p w14:paraId="0B2A83D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Производственные здания завода № 357 НКБ и принадлежащий этому заводу хозяйственный инвентарь передать НКВ (6018, 91).</w:t>
      </w:r>
    </w:p>
    <w:p w14:paraId="7911243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A6A8D9" w14:textId="77777777" w:rsidR="00783151" w:rsidRPr="00070ADE" w:rsidRDefault="0078315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апреля 1944 года:</w:t>
      </w:r>
    </w:p>
    <w:p w14:paraId="11A84B1A" w14:textId="77777777" w:rsidR="00783151" w:rsidRPr="00070ADE" w:rsidRDefault="0078315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личных переговоров Начальника Главного Артиллерийского Управления Красной Армии Маршала Артиллерии т. Яковлева и Народного Комиссара Среднего Машиностроения СССР т. Акопова, Горьковскому Автомобильному Заводу дано задание по разработке проекта и изготовлению опытного образца 57-мм противотанковой самоходной пушки, представляющей собой установку вращающейся части 57-мм противотанковой пушки обр.1943 г. на шасси самоходной установки СУ-76М.</w:t>
      </w:r>
    </w:p>
    <w:p w14:paraId="0055D5C1" w14:textId="77777777" w:rsidR="00783151" w:rsidRPr="00070ADE" w:rsidRDefault="0078315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как настоящее задание является чрезвычайно спешным, то прошу Вас распоряжения об изготовлении опытного образца к 1 мая сего года и немедленной подаче его на Артиллерийский Научно-Исследовательский опытный полигон для полигонных испытаний.</w:t>
      </w:r>
    </w:p>
    <w:p w14:paraId="77F5EE27" w14:textId="77777777" w:rsidR="00783151" w:rsidRPr="00070ADE" w:rsidRDefault="0078315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АНИОП-у ГАУ дано указание о проведении испытаний в трёхдневный срок» (18098).</w:t>
      </w:r>
    </w:p>
    <w:p w14:paraId="30BE5258" w14:textId="77777777" w:rsidR="00783151" w:rsidRPr="00070ADE" w:rsidRDefault="00783151" w:rsidP="00B56F90">
      <w:pPr>
        <w:spacing w:after="0" w:line="240" w:lineRule="auto"/>
        <w:jc w:val="both"/>
        <w:rPr>
          <w:rFonts w:ascii="Times New Roman" w:hAnsi="Times New Roman"/>
          <w:color w:val="000000" w:themeColor="text1"/>
          <w:sz w:val="16"/>
          <w:szCs w:val="16"/>
        </w:rPr>
      </w:pPr>
    </w:p>
    <w:p w14:paraId="40838F66" w14:textId="77777777" w:rsidR="00301BB3" w:rsidRPr="00070ADE" w:rsidRDefault="00301BB3"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апреля 1944 ОГК-ТП ЧКЗ был подготовлен чертеж корпуса с литой носовой деталью (240-50-141). К ней приваривались смотровой прибор и его от</w:t>
      </w:r>
      <w:r w:rsidRPr="00070ADE">
        <w:rPr>
          <w:rFonts w:ascii="Times New Roman" w:hAnsi="Times New Roman"/>
          <w:color w:val="000000" w:themeColor="text1"/>
          <w:sz w:val="16"/>
          <w:szCs w:val="16"/>
        </w:rPr>
        <w:softHyphen/>
        <w:t>бойник. В то время как толщина верхней части лба корпуса составляла 100 мм, ниж</w:t>
      </w:r>
      <w:r w:rsidRPr="00070ADE">
        <w:rPr>
          <w:rFonts w:ascii="Times New Roman" w:hAnsi="Times New Roman"/>
          <w:color w:val="000000" w:themeColor="text1"/>
          <w:sz w:val="16"/>
          <w:szCs w:val="16"/>
        </w:rPr>
        <w:softHyphen/>
        <w:t>нюю часть усилили до 130 мм. Из-за передел</w:t>
      </w:r>
      <w:r w:rsidRPr="00070ADE">
        <w:rPr>
          <w:rFonts w:ascii="Times New Roman" w:hAnsi="Times New Roman"/>
          <w:color w:val="000000" w:themeColor="text1"/>
          <w:sz w:val="16"/>
          <w:szCs w:val="16"/>
        </w:rPr>
        <w:softHyphen/>
        <w:t>ки лобовой части пришлось менять и другие детали, например подбашенную коробку. Новый узел (240-50-Сб166) в месте стыка с литой носовой деталью получился более узким. Конечно, такое отступление от требо</w:t>
      </w:r>
      <w:r w:rsidRPr="00070ADE">
        <w:rPr>
          <w:rFonts w:ascii="Times New Roman" w:hAnsi="Times New Roman"/>
          <w:color w:val="000000" w:themeColor="text1"/>
          <w:sz w:val="16"/>
          <w:szCs w:val="16"/>
        </w:rPr>
        <w:softHyphen/>
        <w:t>ваний увеличило массу детали, но, как пока</w:t>
      </w:r>
      <w:r w:rsidRPr="00070ADE">
        <w:rPr>
          <w:rFonts w:ascii="Times New Roman" w:hAnsi="Times New Roman"/>
          <w:color w:val="000000" w:themeColor="text1"/>
          <w:sz w:val="16"/>
          <w:szCs w:val="16"/>
        </w:rPr>
        <w:softHyphen/>
        <w:t>зали дальнейшие события, увеличение тол</w:t>
      </w:r>
      <w:r w:rsidRPr="00070ADE">
        <w:rPr>
          <w:rFonts w:ascii="Times New Roman" w:hAnsi="Times New Roman"/>
          <w:color w:val="000000" w:themeColor="text1"/>
          <w:sz w:val="16"/>
          <w:szCs w:val="16"/>
        </w:rPr>
        <w:softHyphen/>
        <w:t>щины нижней части до 130 мм было оправ</w:t>
      </w:r>
      <w:r w:rsidRPr="00070ADE">
        <w:rPr>
          <w:rFonts w:ascii="Times New Roman" w:hAnsi="Times New Roman"/>
          <w:color w:val="000000" w:themeColor="text1"/>
          <w:sz w:val="16"/>
          <w:szCs w:val="16"/>
        </w:rPr>
        <w:softHyphen/>
        <w:t>данно (19880).</w:t>
      </w:r>
    </w:p>
    <w:p w14:paraId="12210EB4" w14:textId="77777777" w:rsidR="00301BB3" w:rsidRPr="00070ADE" w:rsidRDefault="00301BB3" w:rsidP="00B56F90">
      <w:pPr>
        <w:shd w:val="clear" w:color="auto" w:fill="FFFFFF"/>
        <w:spacing w:after="0" w:line="240" w:lineRule="auto"/>
        <w:jc w:val="both"/>
        <w:rPr>
          <w:rFonts w:ascii="Times New Roman" w:hAnsi="Times New Roman"/>
          <w:color w:val="000000" w:themeColor="text1"/>
          <w:sz w:val="16"/>
          <w:szCs w:val="16"/>
        </w:rPr>
      </w:pPr>
    </w:p>
    <w:p w14:paraId="1069CB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апреля 1944 г. была подготовлена ДОКЛАДНАЯ ЗАПИСКА ПОМОЩНИКА НАЧАЛЬНИКА ТУ ГБТУ КА НАЧАЛЬНИКУ ГУРТ КА ПО РЕЗУЛЬТАТАМ РАССЛЕДОВАНИЯ ПРИЧИН ВЫХОДА ИЗ СТРОЯ ТАНКОВ М4-А2 №521905</w:t>
      </w:r>
    </w:p>
    <w:p w14:paraId="45B90B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Расследованием причин выхода из строя четырех танков М4-А2 в 3-м Сталинградском гвардей</w:t>
      </w:r>
      <w:r w:rsidRPr="00070ADE">
        <w:rPr>
          <w:rFonts w:ascii="Times New Roman" w:hAnsi="Times New Roman"/>
          <w:color w:val="000000" w:themeColor="text1"/>
          <w:sz w:val="16"/>
          <w:szCs w:val="16"/>
        </w:rPr>
        <w:softHyphen/>
        <w:t>ском мехкорпусе установлено:</w:t>
      </w:r>
    </w:p>
    <w:p w14:paraId="670801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На трех танках разрушены главные фрикционы вследствии их недостаточной прочности.</w:t>
      </w:r>
    </w:p>
    <w:p w14:paraId="392340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 одном танке вышел из строя двигатель из-за технической неграмотности механика-води</w:t>
      </w:r>
      <w:r w:rsidRPr="00070ADE">
        <w:rPr>
          <w:rFonts w:ascii="Times New Roman" w:hAnsi="Times New Roman"/>
          <w:color w:val="000000" w:themeColor="text1"/>
          <w:sz w:val="16"/>
          <w:szCs w:val="16"/>
        </w:rPr>
        <w:softHyphen/>
        <w:t>теля, который неправильно производил прогрев двигателя после заводки и не умел пользоваться прибором подогрева воздуха.</w:t>
      </w:r>
    </w:p>
    <w:p w14:paraId="1877A7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Меры для наказания виновников приняты.</w:t>
      </w:r>
    </w:p>
    <w:p w14:paraId="416ED5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Танки могут быть восстановлены силами 3-го Сталинградского гвардейского мехкорпуса.</w:t>
      </w:r>
    </w:p>
    <w:p w14:paraId="540AD6C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Вашего распоряжения о срочной выдаче 3-му Сталинградскому гвардейскому мехкорпу-су следующих агрегатов и запчастей:</w:t>
      </w:r>
    </w:p>
    <w:p w14:paraId="3EDE7A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Для восстановления выше указанных танков:</w:t>
      </w:r>
    </w:p>
    <w:p w14:paraId="7815AF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Главный фрикцион в сборе</w:t>
      </w:r>
    </w:p>
    <w:p w14:paraId="72F865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Ведомый диск гл. фрикциона</w:t>
      </w:r>
    </w:p>
    <w:p w14:paraId="3E571B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Нажимной диск гл. фрикциона</w:t>
      </w:r>
    </w:p>
    <w:p w14:paraId="2EBC4E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Опорный диск гл. фрикциона</w:t>
      </w:r>
    </w:p>
    <w:p w14:paraId="0928A4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Картер маховика левый в сборе</w:t>
      </w:r>
    </w:p>
    <w:p w14:paraId="7739F1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Картер гл. фрикциона в сборе</w:t>
      </w:r>
    </w:p>
    <w:p w14:paraId="0505A72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Спаренная установка дизелей СМС</w:t>
      </w:r>
    </w:p>
    <w:p w14:paraId="44E9F2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-2шт.</w:t>
      </w:r>
    </w:p>
    <w:p w14:paraId="5E019F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 шт.</w:t>
      </w:r>
    </w:p>
    <w:p w14:paraId="7F5309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 шт.</w:t>
      </w:r>
    </w:p>
    <w:p w14:paraId="2F927B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 шт.</w:t>
      </w:r>
    </w:p>
    <w:p w14:paraId="21A80D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- 2 шт.</w:t>
      </w:r>
    </w:p>
    <w:p w14:paraId="47295D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- 2 шт.</w:t>
      </w:r>
    </w:p>
    <w:p w14:paraId="18E4E1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 комплект</w:t>
      </w:r>
    </w:p>
    <w:p w14:paraId="1FAB8A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 запас:</w:t>
      </w:r>
    </w:p>
    <w:p w14:paraId="12DCB2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Спаренных установок дизелей СМС-6046</w:t>
      </w:r>
    </w:p>
    <w:p w14:paraId="37BB89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Распылителей для инжекторов серии «М»</w:t>
      </w:r>
    </w:p>
    <w:p w14:paraId="309D3D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Главных фрикционов в сборе</w:t>
      </w:r>
    </w:p>
    <w:p w14:paraId="1B5CF6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Ведомых дисков гл. фрикциона</w:t>
      </w:r>
    </w:p>
    <w:p w14:paraId="5876CF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Нажимных дисков гл. фрикциона</w:t>
      </w:r>
    </w:p>
    <w:p w14:paraId="610543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Опорных дисков гл. фрикциона</w:t>
      </w:r>
    </w:p>
    <w:p w14:paraId="21FDE8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Картеров маховика</w:t>
      </w:r>
    </w:p>
    <w:p w14:paraId="24C83E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Картеров гл. фрикционов</w:t>
      </w:r>
    </w:p>
    <w:p w14:paraId="31018C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- 2 шт.</w:t>
      </w:r>
    </w:p>
    <w:p w14:paraId="2368CC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- 20 шт.</w:t>
      </w:r>
    </w:p>
    <w:p w14:paraId="06805B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- 5 шт.</w:t>
      </w:r>
    </w:p>
    <w:p w14:paraId="0554F4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- 6 шт.</w:t>
      </w:r>
    </w:p>
    <w:p w14:paraId="2726C1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- 5 шт.</w:t>
      </w:r>
    </w:p>
    <w:p w14:paraId="14DFDC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- 5 шт.</w:t>
      </w:r>
    </w:p>
    <w:p w14:paraId="6B198E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- 5 шт.</w:t>
      </w:r>
    </w:p>
    <w:p w14:paraId="4E8D28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- 5 шт.</w:t>
      </w:r>
    </w:p>
    <w:p w14:paraId="184A95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 начальника ТУ ГБТУ Красной Армии гвардии полковник Кульчинский</w:t>
      </w:r>
    </w:p>
    <w:p w14:paraId="005E92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5 отдела ТУ ГБТУ Красной Армии подполковник административной службы Сафир</w:t>
      </w:r>
    </w:p>
    <w:p w14:paraId="4717DC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2181. Л. 48. Подлинник (11403).</w:t>
      </w:r>
    </w:p>
    <w:p w14:paraId="797765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48A42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апреля 1944 вышло Постановление ГКО № 5717 О балансах и планах распределения проката черных металлов, металлокерамических твердых сплавов, труб, метизов, чугуна, ферросплавов, доменного угля и металлургического кокса на II квартал 1944 года. РГАНИР, Фонд ГКО, д. 243, лл. 2-4,5-109 (11012).</w:t>
      </w:r>
    </w:p>
    <w:p w14:paraId="7720ED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5475A7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D65C8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BEC90A"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апреля в 1944 году оперативная сводка Совинформбюро:</w:t>
      </w:r>
    </w:p>
    <w:p w14:paraId="46333D0E"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24 апреля на фронтах существенных изменений непроизошло.</w:t>
      </w:r>
    </w:p>
    <w:p w14:paraId="36BA134F"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23 апреля нашими войсками подбито и уничтожено 16 немецких танков. Ввоздушных боях и огнём зенитной артиллерии уничтожен 51 самолёт противника.».</w:t>
      </w:r>
    </w:p>
    <w:p w14:paraId="1B8393A5"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Налёт нашей авиации на железнодорожный узел Львов</w:t>
      </w:r>
    </w:p>
    <w:p w14:paraId="21C3E188"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24 апреля наша авиация дальнего действия бомбардировала скопление немецких воинских эшелонов на железнодорожном узле Львов. В результате бомбардировки возникли многочисленные пожары, сопровождавшиеся взрывами.</w:t>
      </w:r>
    </w:p>
    <w:p w14:paraId="72AFE7E8"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наши самолёты вернулись на свои аэродромы.».</w:t>
      </w:r>
    </w:p>
    <w:p w14:paraId="6160B6C0"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Удары по судам противника на коммуникациях Севастополь—порты Румынии.</w:t>
      </w:r>
    </w:p>
    <w:p w14:paraId="564FCD2C"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Черноморского флота наносила удары по судам противника на коммуникациях Севастополь—порты Румынии. Прямыми попаданиями бомб потоплены 7 транспортов противника с войсками, которые немцы пытались эвакуировать из Севастополя. Общее водоизмещение потопленных транспортов составляет 16 тысяч тонн. Кроме того, потоплены быстроходная десантная баржа, торпедный катер и 3 сторожевых корабля противника. Нескольким вражеским судам нанесены серьёзные повреждения.».</w:t>
      </w:r>
    </w:p>
    <w:p w14:paraId="4E7F00A1"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Дубно пехота и танки противника предприняли атаку. Вначале немцам удалось потеснить наши передовые подразделения и захватить два населённых пункта. Затем советские части нанесли контрудар, выбили гитлеровцев из обоих населённых пунктов и восстановили положение. В этом бою наши артиллеристы подбили 12 немецких танков и 5 бронетранспортёров. На поле боя осталось свыше 400 убитых вражеских солдат и офицеров.</w:t>
      </w:r>
    </w:p>
    <w:p w14:paraId="7947ECB0"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Юго-восточнее города Станислав батальон немецкой пехоты ночью переправился через водный рубеж. Утром советские бойцы атаковали гитлеровцев и разгромили их. Истреблено свыше 200 солдат и офицеров противника. Много немцев утонуло в реке. Наши подразделения захватили всё вооружение ликвидированного немецкого батальона.</w:t>
      </w:r>
    </w:p>
    <w:p w14:paraId="575011B9"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4-го Украинского фронта наносила массированные бомбардировочные и штурмовые удары по немецким и румынским войскам в районе города Севастополь.Противник понёс большие потери в живой силе и технике. В Южной бухте Севастопольского порта потоплены два транспорта и одна самоходная баржа. Наши лётчики совершили успешный налёт на немецкий аэродром и уничтожили 14 самолётов, в том числе 5 трехмоторный транспортных самолётов «Юнкерс-52». В воздушных бояхи огнём зенитной артиллерии сбито 22 самолёта противника. Таким образом, всего в течение дня в районе Севастополя уничтожено 36 немецких самолётов.</w:t>
      </w:r>
    </w:p>
    <w:p w14:paraId="35C4D4BA"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партизанских отрядов, действующих в Калининской области, с 1 по 6апреля пустили под откос три немецких воинских эшелона. На шоссейных и грунтовых дорогах калининские партизаны уничтожили 15 автомашин и 7 повозок с грузами. Убито 76 немецких солдат и офицеров. Взято 11 пленных. Кроме того, 24 солдата противника добровольно перешли на сторону партизан.</w:t>
      </w:r>
    </w:p>
    <w:p w14:paraId="5B21BA56"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Крымским партизанам сдался в плен в полном составе 4 артдивизион 2 румынской горно-стрелковой дивизии. Пленный капитан Теодор Велсану рассказал: «Наш дивизион охранял побережье Чёрного моря в районе Ускута. Мы позже других узналио том, что русские прорвали немецкую оборону. Весть о безостановочном и молниеносном продвижении русских деморализовала немецкие и румынские части. Все растерялись. О нас совсем забыли, и мы не знали, что делать. С большим трудом я отыскал немецкий штаб. Старший офицер очень торопился и волновался. Он заявил,что наш артдивизион должен сопротивляться до последнего человека, но не мог толком сказать, где наш участок обороны. Мы обращались и к другим немецким офицерам, но они нас даже не удостоили ответом. Всем стало ясно, что немцыбросили нас на верную гибель. Дивизион под командованием майора Ангелеску направился в район, где, по нашим сведениям, действовали партизаны. Подойдя кплато в горах, мы укрылись в лощинах и выслали к партизанам парламентёра с белым флагом. Вскоре пришла группа партизан, которой майор Ангелеску передал весь личный состав дивизиона, орудия и боеприпасы».</w:t>
      </w:r>
    </w:p>
    <w:p w14:paraId="37F65C1F"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Немецко-фашистские мерзавцы залили кровью улицы города Феодосии. Немцы особенно жестоко расправлялись с советской интеллигенцией, отказавшейся работатьна оккупантов. Немецкие палачи повесили и расстреляли многих специалистов. Зверски замучены известный хирург Дашевский, врачи Баранов и Вассерман. Старого терапевта Фиделева гитлеровцы повесили на центральной улице города. Жители освобождённого города раскапывают десятки ям и отыскивают во рвах, глухих балках и лиманах в окрестностях Феодосии родных и близких им людей, павших от рук фашистских убийц. Немецко-румынские варвары произвели в городе большие разрушения. Проспект Ленина с его чудесными санаториями, домами отдыха, и лечебницами превращён в развалины. Картинная галерея и домик знаменитого русского художника Айвазовского разграблены и разрушены. Лучшие картины немцы украли и вывезли в Германию. В галерее и в домике видны следы страшного погрома. Окна и рамы выбиты, мебель и вся утварь переломаны. На полу валяются изорванныев клочья книги из личной библиотеки Айвазовского. Сторож Фома Иванович Дарменко, охранявший галерею в течение долгих лет и работавший при покойном Айвазовском, рассказывает: «Немцы — это настоящие дикари. Когда они громили галерею, я плакал, умолял немецкого офицера пощадить творения русского художника, но он только посмеивался и продолжал свое гнусное дело». Немцы разрушили порт, взорвали много домов в городе, сожгли табачную фабрику, 11 школ, почту, телеграф и другие здания. Гитлеровцы заминировали сотни других домов, но не успели их взорвать. Стремительное наступление Красной Армии спасло Феодосию от полного разрушения.» (15109).</w:t>
      </w:r>
    </w:p>
    <w:p w14:paraId="0138D3CD" w14:textId="77777777" w:rsidR="00C77478" w:rsidRPr="00070ADE" w:rsidRDefault="00C77478" w:rsidP="00B56F90">
      <w:pPr>
        <w:spacing w:after="0" w:line="240" w:lineRule="auto"/>
        <w:jc w:val="both"/>
        <w:rPr>
          <w:rFonts w:ascii="Times New Roman" w:hAnsi="Times New Roman"/>
          <w:color w:val="000000" w:themeColor="text1"/>
          <w:sz w:val="16"/>
          <w:szCs w:val="16"/>
        </w:rPr>
      </w:pPr>
    </w:p>
    <w:p w14:paraId="7C221E5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апреля 1944 в СССР Западный фронт разделен на 2-й и 3-й Белорусские фронты (4962).</w:t>
      </w:r>
    </w:p>
    <w:p w14:paraId="43F2B24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AEBF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апреля 1944 согласно сообщению Совинформбюро а 4УФ наносила массированные б и ш удары по войскам противника в районе Севастополя, потопила 2 транспорта, уничтожила 14 с на аэродроме и 22 в воздухе. Авиация ЧМФ потопила 7 транспортов (438,903).</w:t>
      </w:r>
    </w:p>
    <w:p w14:paraId="5AF8BD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811F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апреля 1944 г. на Черном море, удар по конвою на</w:t>
      </w:r>
      <w:r w:rsidRPr="00070ADE">
        <w:rPr>
          <w:rFonts w:ascii="Times New Roman" w:hAnsi="Times New Roman"/>
          <w:color w:val="000000" w:themeColor="text1"/>
          <w:sz w:val="16"/>
          <w:szCs w:val="16"/>
        </w:rPr>
        <w:softHyphen/>
        <w:t>несли 11 Ил-4 с торпедами, 10 «Босто</w:t>
      </w:r>
      <w:r w:rsidRPr="00070ADE">
        <w:rPr>
          <w:rFonts w:ascii="Times New Roman" w:hAnsi="Times New Roman"/>
          <w:color w:val="000000" w:themeColor="text1"/>
          <w:sz w:val="16"/>
          <w:szCs w:val="16"/>
        </w:rPr>
        <w:softHyphen/>
        <w:t>нов» (А-20), 12 Ил-2, три Пе-2 и 12 ис</w:t>
      </w:r>
      <w:r w:rsidRPr="00070ADE">
        <w:rPr>
          <w:rFonts w:ascii="Times New Roman" w:hAnsi="Times New Roman"/>
          <w:color w:val="000000" w:themeColor="text1"/>
          <w:sz w:val="16"/>
          <w:szCs w:val="16"/>
        </w:rPr>
        <w:softHyphen/>
        <w:t>требителей. Летчики потопили лихтер «Лео», повредили транспорт «Дануби-це» водоизмещением 2000 т (10734,85).</w:t>
      </w:r>
    </w:p>
    <w:p w14:paraId="5B9BEC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DEF8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апреля 1944 воздушная разведка обнаружила конвой в составе 12 единиц: 2 транспорта, 4 быстроходных баржи, 5 сторожевых катеров и 1 тральщик. Задачу поставили 13 ап. Выделили группу в составе 8 бомбардировщиков-топмачтовиков, 3 ш, одного фоторазведчика и 8 и. Для атаки за 7-8 км снизились до 600 м Вперед вышло 2 ш, с 1.5-2 км открыли пулеметно-пушечный огонь. С 1000-1200 м огонь открыли топмачтовики, сблизились и сбросили бомбы с 250-300 м, а затем уходили на высоте 10-30 м со скоростью 450-470 км/час (4365).</w:t>
      </w:r>
    </w:p>
    <w:p w14:paraId="0FE7A4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94C0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апреля 1944 г. на Черном море удар по конвою нанесли 11 Ил-4 с торпедами, 10 "Бостонов" (А-20), 12 Ил-2, три Пе-2 и 12 истребителей. Летчики потопили лихтер "Лео", повредили транспорт "Данубице" водоизмещением 2000 т (12021).</w:t>
      </w:r>
    </w:p>
    <w:p w14:paraId="19A24B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240CF4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0B5DB2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A56AB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апреля 1944 вышло Распоряжение ГКО № 5716 [О выделении ВАО "Интурист" 3 импортных грузовых машин.] (7221, 1).</w:t>
      </w:r>
    </w:p>
    <w:p w14:paraId="78FCBA2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7F460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37AE252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CC9CB7" w14:textId="77777777" w:rsidR="00F24AC9" w:rsidRPr="00C94B78" w:rsidRDefault="00F24AC9"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24 апреля 1944 г. первые серийные самолеты Ме-262, которые находи</w:t>
      </w:r>
      <w:r w:rsidRPr="00C94B78">
        <w:rPr>
          <w:rStyle w:val="aff1"/>
          <w:rFonts w:ascii="Times New Roman" w:hAnsi="Times New Roman" w:cs="Times New Roman"/>
          <w:color w:val="0070C0"/>
          <w:spacing w:val="0"/>
          <w:sz w:val="16"/>
          <w:szCs w:val="16"/>
        </w:rPr>
        <w:softHyphen/>
        <w:t>лись в ц</w:t>
      </w:r>
      <w:r w:rsidRPr="00C94B78">
        <w:rPr>
          <w:rStyle w:val="aff1"/>
          <w:rFonts w:ascii="Times New Roman" w:hAnsi="Times New Roman" w:cs="Times New Roman"/>
          <w:color w:val="0070C0"/>
          <w:spacing w:val="0"/>
          <w:sz w:val="16"/>
          <w:szCs w:val="16"/>
          <w:lang w:val="en-US"/>
        </w:rPr>
        <w:t>exe</w:t>
      </w:r>
      <w:r w:rsidRPr="00C94B78">
        <w:rPr>
          <w:rStyle w:val="aff1"/>
          <w:rFonts w:ascii="Times New Roman" w:hAnsi="Times New Roman" w:cs="Times New Roman"/>
          <w:color w:val="0070C0"/>
          <w:spacing w:val="0"/>
          <w:sz w:val="16"/>
          <w:szCs w:val="16"/>
        </w:rPr>
        <w:t xml:space="preserve"> окончательной сборки в Лейпхейме, были разрушены мощным дневным налетом американских бомбардировщиков...</w:t>
      </w:r>
    </w:p>
    <w:p w14:paraId="5BA4CB5B"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 февраля 1944 года налеты авиации союзников на предприя</w:t>
      </w:r>
      <w:r w:rsidRPr="00C94B78">
        <w:rPr>
          <w:rStyle w:val="aff1"/>
          <w:rFonts w:ascii="Times New Roman" w:hAnsi="Times New Roman" w:cs="Times New Roman"/>
          <w:color w:val="0070C0"/>
          <w:spacing w:val="0"/>
          <w:sz w:val="16"/>
          <w:szCs w:val="16"/>
        </w:rPr>
        <w:softHyphen/>
        <w:t>тия авиационной промышленности Герма</w:t>
      </w:r>
      <w:r w:rsidRPr="00C94B78">
        <w:rPr>
          <w:rStyle w:val="aff1"/>
          <w:rFonts w:ascii="Times New Roman" w:hAnsi="Times New Roman" w:cs="Times New Roman"/>
          <w:color w:val="0070C0"/>
          <w:spacing w:val="0"/>
          <w:sz w:val="16"/>
          <w:szCs w:val="16"/>
        </w:rPr>
        <w:softHyphen/>
        <w:t>нии, проходившие под названием «Большая неделя», причинили большой ущерб производству Ме-262. В ре</w:t>
      </w:r>
      <w:r w:rsidRPr="00C94B78">
        <w:rPr>
          <w:rStyle w:val="aff1"/>
          <w:rFonts w:ascii="Times New Roman" w:hAnsi="Times New Roman" w:cs="Times New Roman"/>
          <w:color w:val="0070C0"/>
          <w:spacing w:val="0"/>
          <w:sz w:val="16"/>
          <w:szCs w:val="16"/>
        </w:rPr>
        <w:softHyphen/>
        <w:t>зультате на заводах в Аугсбурге и Регенсбур</w:t>
      </w:r>
      <w:r w:rsidRPr="00C94B78">
        <w:rPr>
          <w:rStyle w:val="aff1"/>
          <w:rFonts w:ascii="Times New Roman" w:hAnsi="Times New Roman" w:cs="Times New Roman"/>
          <w:color w:val="0070C0"/>
          <w:spacing w:val="0"/>
          <w:sz w:val="16"/>
          <w:szCs w:val="16"/>
        </w:rPr>
        <w:softHyphen/>
        <w:t>ге 100 самолетов, к строительству которых приступили с опозданием, так и не выпусти</w:t>
      </w:r>
      <w:r w:rsidRPr="00C94B78">
        <w:rPr>
          <w:rStyle w:val="aff1"/>
          <w:rFonts w:ascii="Times New Roman" w:hAnsi="Times New Roman" w:cs="Times New Roman"/>
          <w:color w:val="0070C0"/>
          <w:spacing w:val="0"/>
          <w:sz w:val="16"/>
          <w:szCs w:val="16"/>
        </w:rPr>
        <w:softHyphen/>
        <w:t>ли. Острая нехватка кадров и материалов от</w:t>
      </w:r>
      <w:r w:rsidRPr="00C94B78">
        <w:rPr>
          <w:rStyle w:val="aff1"/>
          <w:rFonts w:ascii="Times New Roman" w:hAnsi="Times New Roman" w:cs="Times New Roman"/>
          <w:color w:val="0070C0"/>
          <w:spacing w:val="0"/>
          <w:sz w:val="16"/>
          <w:szCs w:val="16"/>
        </w:rPr>
        <w:softHyphen/>
        <w:t>тянула начало серийного производства до конца марта 1944 г. (25113).</w:t>
      </w:r>
    </w:p>
    <w:p w14:paraId="5C1A48B5" w14:textId="77777777" w:rsidR="00F24AC9" w:rsidRPr="00C94B78" w:rsidRDefault="00F24AC9" w:rsidP="00B56F90">
      <w:pPr>
        <w:spacing w:after="0" w:line="240" w:lineRule="auto"/>
        <w:jc w:val="both"/>
        <w:rPr>
          <w:rFonts w:ascii="Times New Roman" w:hAnsi="Times New Roman"/>
          <w:color w:val="0070C0"/>
          <w:sz w:val="16"/>
          <w:szCs w:val="16"/>
        </w:rPr>
      </w:pPr>
    </w:p>
    <w:p w14:paraId="2ED516C0"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апреля в 1944 году пробный полет «NA-98X» совершали майор Перри Ричи и 1-й лейтенант Уинтон Уи. Во время пролета на полной скорости над ангарами Инглвуда на высоте 62 м, у самолета отломились обе консоли крыльев и ударили в хвостовое оперение. Самолет рухнул вниз и разбился вместе с экипажем. Причиной аварии признали превышение пилотом предельного режима эксплуатации самолета. После аварии дальнейшие работы над «NA-98X» прекратили (15109).</w:t>
      </w:r>
    </w:p>
    <w:p w14:paraId="3FD690B4" w14:textId="77777777" w:rsidR="00C77478" w:rsidRPr="00070ADE" w:rsidRDefault="00C77478" w:rsidP="00B56F90">
      <w:pPr>
        <w:spacing w:after="0" w:line="240" w:lineRule="auto"/>
        <w:jc w:val="both"/>
        <w:rPr>
          <w:rFonts w:ascii="Times New Roman" w:hAnsi="Times New Roman"/>
          <w:color w:val="000000" w:themeColor="text1"/>
          <w:sz w:val="16"/>
          <w:szCs w:val="16"/>
        </w:rPr>
      </w:pPr>
    </w:p>
    <w:p w14:paraId="257A11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апреля 1944 в Китай прибыли первые В-29 (2100).</w:t>
      </w:r>
    </w:p>
    <w:p w14:paraId="57089E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2E7656" w14:textId="77777777" w:rsidR="00301BB3" w:rsidRPr="00070ADE" w:rsidRDefault="00301B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апреля 1944 первый B-29 Superfortress прибыл в Китай (20373).</w:t>
      </w:r>
    </w:p>
    <w:p w14:paraId="6F7EBFDE" w14:textId="77777777" w:rsidR="00301BB3" w:rsidRPr="00070ADE" w:rsidRDefault="00301BB3" w:rsidP="00B56F90">
      <w:pPr>
        <w:spacing w:after="0" w:line="240" w:lineRule="auto"/>
        <w:jc w:val="both"/>
        <w:rPr>
          <w:rFonts w:ascii="Times New Roman" w:hAnsi="Times New Roman"/>
          <w:color w:val="000000" w:themeColor="text1"/>
          <w:sz w:val="16"/>
          <w:szCs w:val="16"/>
        </w:rPr>
      </w:pPr>
    </w:p>
    <w:p w14:paraId="6C93A6F3" w14:textId="77777777" w:rsidR="00301BB3" w:rsidRPr="00070ADE" w:rsidRDefault="00301B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24-25 апреля (ночь) 1944 637 британских бомбардировщиков атаковали Карлсруэ, Германия, потеряв 19 самолетов (3 процента сил). Облачность над целью и ветры, сносящие многие самолеты на север, приводят к тому, что многие бомбы падают за пределами города, и только его северная часть повреждаются. Сотня бомбардировщиков по ошибке бомбила Мангейм в 30 милях (48 км) к северу, а сброшенные по неверному направлению бомбы также приземляются в Дармштадте, Людвигсхафене и Гейдельберге (20373).</w:t>
      </w:r>
    </w:p>
    <w:p w14:paraId="7778A97E" w14:textId="77777777" w:rsidR="00301BB3" w:rsidRPr="00070ADE" w:rsidRDefault="00301BB3" w:rsidP="00B56F90">
      <w:pPr>
        <w:spacing w:after="0" w:line="240" w:lineRule="auto"/>
        <w:jc w:val="both"/>
        <w:rPr>
          <w:rFonts w:ascii="Times New Roman" w:hAnsi="Times New Roman"/>
          <w:color w:val="000000" w:themeColor="text1"/>
          <w:sz w:val="16"/>
          <w:szCs w:val="16"/>
        </w:rPr>
      </w:pPr>
    </w:p>
    <w:p w14:paraId="6B0B324B" w14:textId="77777777" w:rsidR="00301BB3" w:rsidRPr="00070ADE" w:rsidRDefault="00301B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24-25 апреля (ночь) 1944 260 британских бомбардировщиков ударили по Мюнхену, Германия, попали в центр города и нанесли большой ущерб. Девять бомбардировщиков потеряны (20373).</w:t>
      </w:r>
    </w:p>
    <w:p w14:paraId="27955A43" w14:textId="77777777" w:rsidR="00301BB3" w:rsidRPr="00070ADE" w:rsidRDefault="00301BB3" w:rsidP="00B56F90">
      <w:pPr>
        <w:spacing w:after="0" w:line="240" w:lineRule="auto"/>
        <w:jc w:val="both"/>
        <w:rPr>
          <w:rFonts w:ascii="Times New Roman" w:hAnsi="Times New Roman"/>
          <w:color w:val="000000" w:themeColor="text1"/>
          <w:sz w:val="16"/>
          <w:szCs w:val="16"/>
        </w:rPr>
      </w:pPr>
    </w:p>
    <w:p w14:paraId="00AB64A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A4204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B3C9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на МиГ поставили высотный АМ-39Б с ТК-2Б (1824).</w:t>
      </w:r>
    </w:p>
    <w:p w14:paraId="49550C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DC513B"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25 апреля в 1944 году в летно-испытательном институте (ЛИИ) НКАП начались испытания (по 15 мая) "Москито" B.Mk.IV. Англичане передали Советскому Союзу самолет (заводской номер «DK296») с моторами "Мерлин" 21, построенный летом 1942 года, т.е. довольно потрепанный. Внутри бомбоотсека имелись два топливных бака емкостью 550 л, а управление створками люка было демонтировано. Оборонительное вооружение отсутствовало, как и на всех бомбардировщиках "Москито". Не было ни радиолокатора, ни фотоаппарата. В Советском Союзе на DK296 летали ведущий летчик Н.С.Рыбко, генералы П.Я.Федрови и А.И.Кабанов, ведущим инженером был В.С.Панкратов. В ходе испытаний заявленные фирмой тактико-технические данные в основном подтвердились. У земли машина с взлетной массой 8850 кг показала максимальную скорость 467 км/ч (при работе двигателей на пятиминутном военном режиме - 503 км/ч), на первой границе высотности - 538 (557) </w:t>
      </w:r>
      <w:r w:rsidRPr="00070ADE">
        <w:rPr>
          <w:rFonts w:ascii="Times New Roman" w:hAnsi="Times New Roman"/>
          <w:color w:val="000000" w:themeColor="text1"/>
          <w:sz w:val="16"/>
          <w:szCs w:val="16"/>
        </w:rPr>
        <w:lastRenderedPageBreak/>
        <w:t>км/ч, а на второй - 565 (580) км/ч. Испытатели ЛИИ считали, что за счет длительной эксплуатации скорость «DK296» уменьшилась примерно на 10 км/ч. В "Заключении по испытаниям" было записано: "По комплексу летно-технических характеристик при работе моторов на номинальном режиме представленный вариант "Москито" примерно равен советскому «Ту-2» с той разницей, что последний имеет мощное оборонительное вооружение и обладает способностью нести втрое больший бомбовый груз". Такая оценка не совсем справедлива. К 1944 г. современные варианты бомбардировщика "Москито" летали гораздо быстрее серийных «Ту-2», к тому же на больших высотах, а нормальная бомбовая нагрузка этих двух машин была примерно одинаковой. Не исключалась возможность поставок по ленд-лизу, хотя английское Министерство авиации уверяло, что, мол, "Мосси" им самим не хватает</w:t>
      </w:r>
    </w:p>
    <w:p w14:paraId="45252C6F" w14:textId="77777777" w:rsidR="00C77478" w:rsidRPr="00070ADE" w:rsidRDefault="00C77478" w:rsidP="00B56F90">
      <w:pPr>
        <w:spacing w:after="0" w:line="240" w:lineRule="auto"/>
        <w:jc w:val="both"/>
        <w:rPr>
          <w:rFonts w:ascii="Times New Roman" w:hAnsi="Times New Roman"/>
          <w:color w:val="000000" w:themeColor="text1"/>
          <w:sz w:val="16"/>
          <w:szCs w:val="16"/>
        </w:rPr>
      </w:pPr>
    </w:p>
    <w:p w14:paraId="3E267CA9" w14:textId="77777777" w:rsidR="00783151" w:rsidRPr="00070ADE" w:rsidRDefault="0078315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25 апреля 1944 Москито уже находился в ЛИИ, где на</w:t>
      </w:r>
      <w:r w:rsidRPr="00070ADE">
        <w:rPr>
          <w:rFonts w:ascii="Times New Roman" w:hAnsi="Times New Roman"/>
          <w:color w:val="000000" w:themeColor="text1"/>
          <w:sz w:val="16"/>
          <w:szCs w:val="16"/>
        </w:rPr>
        <w:softHyphen/>
        <w:t>чались летные испытания. Ведущим ин</w:t>
      </w:r>
      <w:r w:rsidRPr="00070ADE">
        <w:rPr>
          <w:rFonts w:ascii="Times New Roman" w:hAnsi="Times New Roman"/>
          <w:color w:val="000000" w:themeColor="text1"/>
          <w:sz w:val="16"/>
          <w:szCs w:val="16"/>
        </w:rPr>
        <w:softHyphen/>
        <w:t>женером на них являлся B.C. Панкратов, а пилотировал бомбардировщик Н.С. Рыбко. В ходе испытаний заявленные фир</w:t>
      </w:r>
      <w:r w:rsidRPr="00070ADE">
        <w:rPr>
          <w:rFonts w:ascii="Times New Roman" w:hAnsi="Times New Roman"/>
          <w:color w:val="000000" w:themeColor="text1"/>
          <w:sz w:val="16"/>
          <w:szCs w:val="16"/>
        </w:rPr>
        <w:softHyphen/>
        <w:t>мой данные в основном подтвердились. При взлетном весе 8850 кг достигли максимальной скорости 580 км/ч (на пятиминутном режиме работы двигате</w:t>
      </w:r>
      <w:r w:rsidRPr="00070ADE">
        <w:rPr>
          <w:rFonts w:ascii="Times New Roman" w:hAnsi="Times New Roman"/>
          <w:color w:val="000000" w:themeColor="text1"/>
          <w:sz w:val="16"/>
          <w:szCs w:val="16"/>
        </w:rPr>
        <w:softHyphen/>
        <w:t>лей). По оценке советских специалистов, за счет износа машины этот показатель ухудшился примерно на 10 км/ч. Правда, отечественные опытные бомбардиров</w:t>
      </w:r>
      <w:r w:rsidRPr="00070ADE">
        <w:rPr>
          <w:rFonts w:ascii="Times New Roman" w:hAnsi="Times New Roman"/>
          <w:color w:val="000000" w:themeColor="text1"/>
          <w:sz w:val="16"/>
          <w:szCs w:val="16"/>
        </w:rPr>
        <w:softHyphen/>
        <w:t>щики в это время уже перевалили за 600 км/ч: туполевский СДБ на испытаниях показал 633 км/ч, а Пе-2И - 644 км/ч. Но переданный «Москито» был не самой последней модификации. В Англии тогда уже строили машины с моторами «Мер</w:t>
      </w:r>
      <w:r w:rsidRPr="00070ADE">
        <w:rPr>
          <w:rFonts w:ascii="Times New Roman" w:hAnsi="Times New Roman"/>
          <w:color w:val="000000" w:themeColor="text1"/>
          <w:sz w:val="16"/>
          <w:szCs w:val="16"/>
        </w:rPr>
        <w:softHyphen/>
        <w:t>лин», оснащенными двухступенчатыми нагнетателями. У них характеристики на больших высотах были гораздо лучше.</w:t>
      </w:r>
    </w:p>
    <w:p w14:paraId="65892D2B" w14:textId="77777777" w:rsidR="00783151" w:rsidRPr="00070ADE" w:rsidRDefault="0078315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Управляемость английского само</w:t>
      </w:r>
      <w:r w:rsidRPr="00070ADE">
        <w:rPr>
          <w:rFonts w:ascii="Times New Roman" w:hAnsi="Times New Roman"/>
          <w:color w:val="000000" w:themeColor="text1"/>
          <w:sz w:val="16"/>
          <w:szCs w:val="16"/>
        </w:rPr>
        <w:softHyphen/>
        <w:t>лета получила высокую оценку. В частности, «Москито» очень легко летал на одном моторе, выполняя, в том числе, глубокие развороты с креном в сторону выключенного двигателя. А вот устойчивость сочли недостаточной во всех отношениях. Машина требовала от пилота достаточно высокой квалификации. Особо следует указать на то, что при общей несложности посадки, на пробеге «Москито» демонстрировал упорную склонность к развороту влево. Это отмечали все пилоты, участвовавшие в испытаниях (а кроме Рыбко, к полетам привлекались генерал-майоры П.Я. Федрови и А.И. Кабанов, откомандированные</w:t>
      </w:r>
      <w:r w:rsidRPr="00070ADE">
        <w:rPr>
          <w:rFonts w:ascii="Times New Roman" w:hAnsi="Times New Roman"/>
          <w:color w:val="000000" w:themeColor="text1"/>
          <w:sz w:val="16"/>
          <w:szCs w:val="16"/>
        </w:rPr>
        <w:tab/>
        <w:t>т из НИИ ВВС). Правда, М.Л. Галлай в свое время высказывал мнение, что эта тенденция не присуща данному типу самолета, а являлась следствием некачественного ремонта стойки хвостового колеса, установленной с перекосом. Рыбко в своем отзыве написал: «По управляемости самолет «Москито» IV сильно напоминает Пе-2, однако</w:t>
      </w:r>
      <w:r w:rsidRPr="00070ADE">
        <w:rPr>
          <w:rFonts w:ascii="Times New Roman" w:hAnsi="Times New Roman"/>
          <w:color w:val="000000" w:themeColor="text1"/>
          <w:sz w:val="16"/>
          <w:szCs w:val="16"/>
        </w:rPr>
        <w:tab/>
        <w:t>с продольная неустойчивость, меньшие нагрузки от рулей и большая склонность к левому развороту на посадке предъявляют более высокие требования к летчику, чем Пе-2». Штурманская кабина английского самолета оснащалась всеми необходимыми приборами, весьма удобно расположенными, хотя саму кабину сочли несколько тесноватой. Подвергся критике и ограниченный по сравнению с Пе-2 и Ту-2 обзор вниз.</w:t>
      </w:r>
    </w:p>
    <w:p w14:paraId="5A96B94A" w14:textId="77777777" w:rsidR="00783151" w:rsidRPr="00070ADE" w:rsidRDefault="0078315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«Москито» тщательно изучался специалистами ЛИИ, НИИ ВВС, ЦАГИ и авиазаводов. Очень заинтересовали флюгируемые винты, тогда еще отсутствовавшие на серийных советских бомбардировщиках, отдельные агрегаты мотоустановки, устройство обогрева кабины, современные компактные приборы, пламегасители на выхлопных патрубках двигателей. В отличие от отечественных самолетов все деревянные части изнутри обрабатывались антисептиком от гниения.</w:t>
      </w:r>
    </w:p>
    <w:p w14:paraId="634F3096" w14:textId="77777777" w:rsidR="00783151" w:rsidRPr="00070ADE" w:rsidRDefault="0078315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точки зрения удобства эксплуатации «Москито» оказался выше всяких похвал. Исписали немало бумаги, рассказывая о прекрасной взаимозаменяемости деталей и узлов, удобном доступе ко всем основным агрегатам, быстроте их замены в случае необходимости.</w:t>
      </w:r>
    </w:p>
    <w:p w14:paraId="7007C920" w14:textId="77777777" w:rsidR="00783151" w:rsidRPr="00070ADE" w:rsidRDefault="0078315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Множество автоматических устройств облегчало</w:t>
      </w:r>
    </w:p>
    <w:p w14:paraId="75BBBA45" w14:textId="77777777" w:rsidR="00783151" w:rsidRPr="00070ADE" w:rsidRDefault="00783151" w:rsidP="00B56F90">
      <w:pPr>
        <w:spacing w:after="0" w:line="240" w:lineRule="auto"/>
        <w:jc w:val="both"/>
        <w:rPr>
          <w:rFonts w:ascii="Times New Roman" w:hAnsi="Times New Roman"/>
          <w:color w:val="000000" w:themeColor="text1"/>
          <w:sz w:val="16"/>
          <w:szCs w:val="16"/>
        </w:rPr>
      </w:pPr>
    </w:p>
    <w:p w14:paraId="7E22064D" w14:textId="312996A1" w:rsidR="00301BB3" w:rsidRPr="00070ADE" w:rsidRDefault="00301B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25 апреля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(по 15 мая) 1944 года,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 летно-испытательном институте (ЛИИ) НКАП начались испытания "Москито" B.Mk.IV. Англичане передали Советскому Союзу самолет (заводской номер DK296) с моторами "Мерлин" 21, построенный летом 1942 года, т.е. довольно потрепанный. Внутри бомбоотсека имелись два топливных бака емкостью 550 л, а управление створками люка было демонтировано. Оборонительное вооружение отсутствовало, как и на всех бомбардировщиках "Москито". Не было ни радиолокатора, ни фотоаппарата. В Советском Союзе на DK296 летали ведущий летчик Н.С.Рыбко, генералы П.Я.Федрови и А.И.Кабанов, ведущим инженером был В.С.Панкратов. В ходе испытаний заявленные фирмой тактико-технические данные в основном подтвердились. У земли машина с взлетной массой 8850 кг показала максимальную скорость 467 км/ч (при работе двигателей на пятиминутном военном режиме - 503 км/ч), на первой границе высотности - 538 (557) км/ч, а на второй - 565 (580) км/ч. Испытатели ЛИИ считали, что за счет длительной эксплуатации скорость DK296 уменьшилась примерно на 10 км/ч. В "Заключении по испытаниям" было записано: "По комплексу летно-технических характеристик при работе моторов на номинальном режиме представленный вариант "Москито" примерно равен советскому Ту-2 с той разницей, что последний имеет мощное оборонительное вооружение и обладает способностью нести втрое больший бомбовый груз". Такая оценка не совсем справедлива. К 1944 г. современные варианты бомбардировщика "Москито" летали гораздо быстрее серийных Ту-2, к тому же на больших высотах, а нормальная бомбовая нагрузка этих двух машин была примерно одинаковой. Не исключалась возможность поставок по ленд-лизу, хотя английское Министерство авиации уверяло, что, мол, "Мосси" им самим не хватает (22524).</w:t>
      </w:r>
    </w:p>
    <w:p w14:paraId="7A58BA45" w14:textId="77777777" w:rsidR="00301BB3" w:rsidRPr="00070ADE" w:rsidRDefault="00301BB3" w:rsidP="00B56F90">
      <w:pPr>
        <w:spacing w:after="0" w:line="240" w:lineRule="auto"/>
        <w:jc w:val="both"/>
        <w:rPr>
          <w:rFonts w:ascii="Times New Roman" w:hAnsi="Times New Roman"/>
          <w:color w:val="000000" w:themeColor="text1"/>
          <w:sz w:val="16"/>
          <w:szCs w:val="16"/>
        </w:rPr>
      </w:pPr>
    </w:p>
    <w:p w14:paraId="04B81FFC"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25 апреля 1944 Москито уже находился в ЛИИ, где начались лет</w:t>
      </w:r>
      <w:r w:rsidRPr="00070ADE">
        <w:rPr>
          <w:rFonts w:ascii="Times New Roman" w:hAnsi="Times New Roman"/>
          <w:color w:val="000000" w:themeColor="text1"/>
          <w:sz w:val="16"/>
          <w:szCs w:val="16"/>
        </w:rPr>
        <w:softHyphen/>
        <w:t>ные испытания. Ведущим инженером на них являлся В.С. Панкратов, а пилотиро</w:t>
      </w:r>
      <w:r w:rsidRPr="00070ADE">
        <w:rPr>
          <w:rFonts w:ascii="Times New Roman" w:hAnsi="Times New Roman"/>
          <w:color w:val="000000" w:themeColor="text1"/>
          <w:sz w:val="16"/>
          <w:szCs w:val="16"/>
        </w:rPr>
        <w:softHyphen/>
        <w:t>вал бомбардировщик Н.С. Рыбко.</w:t>
      </w:r>
    </w:p>
    <w:p w14:paraId="26AFBC1F"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испытаний заявленные фирмой данные в основном подтвердились. При взлетном весе 8850 кг достигли макси</w:t>
      </w:r>
      <w:r w:rsidRPr="00070ADE">
        <w:rPr>
          <w:rFonts w:ascii="Times New Roman" w:hAnsi="Times New Roman"/>
          <w:color w:val="000000" w:themeColor="text1"/>
          <w:sz w:val="16"/>
          <w:szCs w:val="16"/>
        </w:rPr>
        <w:softHyphen/>
        <w:t>мальной скорости 580 км/ч (на пятими</w:t>
      </w:r>
      <w:r w:rsidRPr="00070ADE">
        <w:rPr>
          <w:rFonts w:ascii="Times New Roman" w:hAnsi="Times New Roman"/>
          <w:color w:val="000000" w:themeColor="text1"/>
          <w:sz w:val="16"/>
          <w:szCs w:val="16"/>
        </w:rPr>
        <w:softHyphen/>
        <w:t>нутном режиме работы двигателей). По оценке советских специалистов за счет износа машины этот показатель ухудшил</w:t>
      </w:r>
      <w:r w:rsidRPr="00070ADE">
        <w:rPr>
          <w:rFonts w:ascii="Times New Roman" w:hAnsi="Times New Roman"/>
          <w:color w:val="000000" w:themeColor="text1"/>
          <w:sz w:val="16"/>
          <w:szCs w:val="16"/>
        </w:rPr>
        <w:softHyphen/>
        <w:t>ся примерно на 10 км/ч. Правда, наши опытные бомбардировщики в это время уже перевалили за 600 км/ч: туполевский СДБ на испытаниях показал 633 км/ч, а Пе-2И — 644 км/ч. Но «Москито», пере</w:t>
      </w:r>
      <w:r w:rsidRPr="00070ADE">
        <w:rPr>
          <w:rFonts w:ascii="Times New Roman" w:hAnsi="Times New Roman"/>
          <w:color w:val="000000" w:themeColor="text1"/>
          <w:sz w:val="16"/>
          <w:szCs w:val="16"/>
        </w:rPr>
        <w:softHyphen/>
        <w:t>данный нам, был не самой последней мо</w:t>
      </w:r>
      <w:r w:rsidRPr="00070ADE">
        <w:rPr>
          <w:rFonts w:ascii="Times New Roman" w:hAnsi="Times New Roman"/>
          <w:color w:val="000000" w:themeColor="text1"/>
          <w:sz w:val="16"/>
          <w:szCs w:val="16"/>
        </w:rPr>
        <w:softHyphen/>
        <w:t>дификации. В Англии тогда уже строили машины с моторами «Мерлин», оснащен</w:t>
      </w:r>
      <w:r w:rsidRPr="00070ADE">
        <w:rPr>
          <w:rFonts w:ascii="Times New Roman" w:hAnsi="Times New Roman"/>
          <w:color w:val="000000" w:themeColor="text1"/>
          <w:sz w:val="16"/>
          <w:szCs w:val="16"/>
        </w:rPr>
        <w:softHyphen/>
        <w:t>ными двухступенчатыми нагнетателями. У них характеристики на больших высо</w:t>
      </w:r>
      <w:r w:rsidRPr="00070ADE">
        <w:rPr>
          <w:rFonts w:ascii="Times New Roman" w:hAnsi="Times New Roman"/>
          <w:color w:val="000000" w:themeColor="text1"/>
          <w:sz w:val="16"/>
          <w:szCs w:val="16"/>
        </w:rPr>
        <w:softHyphen/>
        <w:t>тах были гораздо лучше.</w:t>
      </w:r>
    </w:p>
    <w:p w14:paraId="3ED0C63B"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Управляемость английского самолета получила высокую оценку. В частности, «Москито» очень легко летал на одном мо</w:t>
      </w:r>
      <w:r w:rsidRPr="00070ADE">
        <w:rPr>
          <w:rFonts w:ascii="Times New Roman" w:hAnsi="Times New Roman"/>
          <w:color w:val="000000" w:themeColor="text1"/>
          <w:sz w:val="16"/>
          <w:szCs w:val="16"/>
        </w:rPr>
        <w:softHyphen/>
        <w:t>торе, выполняя в том числе глубокие раз</w:t>
      </w:r>
      <w:r w:rsidRPr="00070ADE">
        <w:rPr>
          <w:rFonts w:ascii="Times New Roman" w:hAnsi="Times New Roman"/>
          <w:color w:val="000000" w:themeColor="text1"/>
          <w:sz w:val="16"/>
          <w:szCs w:val="16"/>
        </w:rPr>
        <w:softHyphen/>
        <w:t>вороты с креном в сторону выключенного двигателя.</w:t>
      </w:r>
    </w:p>
    <w:p w14:paraId="6A519E85"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вот устойчивость сочли недостаточ</w:t>
      </w:r>
      <w:r w:rsidRPr="00070ADE">
        <w:rPr>
          <w:rFonts w:ascii="Times New Roman" w:hAnsi="Times New Roman"/>
          <w:color w:val="000000" w:themeColor="text1"/>
          <w:sz w:val="16"/>
          <w:szCs w:val="16"/>
        </w:rPr>
        <w:softHyphen/>
        <w:t>ной во всех отношениях. Машина требо</w:t>
      </w:r>
      <w:r w:rsidRPr="00070ADE">
        <w:rPr>
          <w:rFonts w:ascii="Times New Roman" w:hAnsi="Times New Roman"/>
          <w:color w:val="000000" w:themeColor="text1"/>
          <w:sz w:val="16"/>
          <w:szCs w:val="16"/>
        </w:rPr>
        <w:softHyphen/>
        <w:t>вала от пилота достаточно высокой ква</w:t>
      </w:r>
      <w:r w:rsidRPr="00070ADE">
        <w:rPr>
          <w:rFonts w:ascii="Times New Roman" w:hAnsi="Times New Roman"/>
          <w:color w:val="000000" w:themeColor="text1"/>
          <w:sz w:val="16"/>
          <w:szCs w:val="16"/>
        </w:rPr>
        <w:softHyphen/>
        <w:t>лификации. Особо следует указать на то, что при общей несложности посадки, на пробеге «Москито» демонстрировал упор</w:t>
      </w:r>
      <w:r w:rsidRPr="00070ADE">
        <w:rPr>
          <w:rFonts w:ascii="Times New Roman" w:hAnsi="Times New Roman"/>
          <w:color w:val="000000" w:themeColor="text1"/>
          <w:sz w:val="16"/>
          <w:szCs w:val="16"/>
        </w:rPr>
        <w:softHyphen/>
        <w:t>ную склонность к развороту влево. Это отмечали все пилоты, участвовавшие в ис</w:t>
      </w:r>
      <w:r w:rsidRPr="00070ADE">
        <w:rPr>
          <w:rFonts w:ascii="Times New Roman" w:hAnsi="Times New Roman"/>
          <w:color w:val="000000" w:themeColor="text1"/>
          <w:sz w:val="16"/>
          <w:szCs w:val="16"/>
        </w:rPr>
        <w:softHyphen/>
        <w:t>пытаниях (а кроме Рыбко, к полетам при</w:t>
      </w:r>
      <w:r w:rsidRPr="00070ADE">
        <w:rPr>
          <w:rFonts w:ascii="Times New Roman" w:hAnsi="Times New Roman"/>
          <w:color w:val="000000" w:themeColor="text1"/>
          <w:sz w:val="16"/>
          <w:szCs w:val="16"/>
        </w:rPr>
        <w:softHyphen/>
        <w:t>влекались генерал-майоры П.Я. Федрови и А.И. Кабанов, откомандированные из НИИ ВВС). Правда, М.Л. Галлай в свое время высказывал мнение, что эта тенден</w:t>
      </w:r>
      <w:r w:rsidRPr="00070ADE">
        <w:rPr>
          <w:rFonts w:ascii="Times New Roman" w:hAnsi="Times New Roman"/>
          <w:color w:val="000000" w:themeColor="text1"/>
          <w:sz w:val="16"/>
          <w:szCs w:val="16"/>
        </w:rPr>
        <w:softHyphen/>
        <w:t>ция не присуща данному типу самолета, а являлась следствием некачественного ремонта стойки хвостового колеса, уста</w:t>
      </w:r>
      <w:r w:rsidRPr="00070ADE">
        <w:rPr>
          <w:rFonts w:ascii="Times New Roman" w:hAnsi="Times New Roman"/>
          <w:color w:val="000000" w:themeColor="text1"/>
          <w:sz w:val="16"/>
          <w:szCs w:val="16"/>
        </w:rPr>
        <w:softHyphen/>
        <w:t>новленной с перекосом.</w:t>
      </w:r>
    </w:p>
    <w:p w14:paraId="583B5365"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Рыбко в своем отзыве написал: «По управляемости самолет “Москито” IV сильно напоминает Пе-2, однако продоль</w:t>
      </w:r>
      <w:r w:rsidRPr="00070ADE">
        <w:rPr>
          <w:rFonts w:ascii="Times New Roman" w:hAnsi="Times New Roman"/>
          <w:color w:val="000000" w:themeColor="text1"/>
          <w:sz w:val="16"/>
          <w:szCs w:val="16"/>
        </w:rPr>
        <w:softHyphen/>
        <w:t>ная неустойчивость, меньшие нагрузки от рулей и большая склонность к левому развороту на посадке предъявляют более высокие требования к летчику, чем Пе-2».</w:t>
      </w:r>
    </w:p>
    <w:p w14:paraId="76FB25ED"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Штурманская кабина английского са</w:t>
      </w:r>
      <w:r w:rsidRPr="00070ADE">
        <w:rPr>
          <w:rFonts w:ascii="Times New Roman" w:hAnsi="Times New Roman"/>
          <w:color w:val="000000" w:themeColor="text1"/>
          <w:sz w:val="16"/>
          <w:szCs w:val="16"/>
        </w:rPr>
        <w:softHyphen/>
        <w:t>молета оснащалась всеми необходимыми приборами, весьма удобно расположен</w:t>
      </w:r>
      <w:r w:rsidRPr="00070ADE">
        <w:rPr>
          <w:rFonts w:ascii="Times New Roman" w:hAnsi="Times New Roman"/>
          <w:color w:val="000000" w:themeColor="text1"/>
          <w:sz w:val="16"/>
          <w:szCs w:val="16"/>
        </w:rPr>
        <w:softHyphen/>
        <w:t>ными, хотя саму кабину сочли несколько тесноватой. Подвергся критике и ограни</w:t>
      </w:r>
      <w:r w:rsidRPr="00070ADE">
        <w:rPr>
          <w:rFonts w:ascii="Times New Roman" w:hAnsi="Times New Roman"/>
          <w:color w:val="000000" w:themeColor="text1"/>
          <w:sz w:val="16"/>
          <w:szCs w:val="16"/>
        </w:rPr>
        <w:softHyphen/>
        <w:t>ченный по сравнению с Пе-2 и Ту-2 обзор вниз.</w:t>
      </w:r>
    </w:p>
    <w:p w14:paraId="1BEAE5F1"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«Москито» тщательно изучался специ</w:t>
      </w:r>
      <w:r w:rsidRPr="00070ADE">
        <w:rPr>
          <w:rFonts w:ascii="Times New Roman" w:hAnsi="Times New Roman"/>
          <w:color w:val="000000" w:themeColor="text1"/>
          <w:sz w:val="16"/>
          <w:szCs w:val="16"/>
        </w:rPr>
        <w:softHyphen/>
        <w:t>алистами ЛИИ, НИИ ВВС, ЦАГИ и авиа</w:t>
      </w:r>
      <w:r w:rsidRPr="00070ADE">
        <w:rPr>
          <w:rFonts w:ascii="Times New Roman" w:hAnsi="Times New Roman"/>
          <w:color w:val="000000" w:themeColor="text1"/>
          <w:sz w:val="16"/>
          <w:szCs w:val="16"/>
        </w:rPr>
        <w:softHyphen/>
        <w:t>заводов. Очень заинтересовали флюгиру- емые винты, тогда еще отсутствовавшие на серийных советских бомбардировщи</w:t>
      </w:r>
      <w:r w:rsidRPr="00070ADE">
        <w:rPr>
          <w:rFonts w:ascii="Times New Roman" w:hAnsi="Times New Roman"/>
          <w:color w:val="000000" w:themeColor="text1"/>
          <w:sz w:val="16"/>
          <w:szCs w:val="16"/>
        </w:rPr>
        <w:softHyphen/>
        <w:t>ках, отдельные агрегаты мотоустановки, устройство обогрева кабины (у нас их тоже не было, зимой в кабинах Пе-2 и Ил-4 бывало и 30 градусов мороза), современ</w:t>
      </w:r>
      <w:r w:rsidRPr="00070ADE">
        <w:rPr>
          <w:rFonts w:ascii="Times New Roman" w:hAnsi="Times New Roman"/>
          <w:color w:val="000000" w:themeColor="text1"/>
          <w:sz w:val="16"/>
          <w:szCs w:val="16"/>
        </w:rPr>
        <w:softHyphen/>
        <w:t>ные компактные приборы, пламегасители на выхлопных патрубках двигателей. В от</w:t>
      </w:r>
      <w:r w:rsidRPr="00070ADE">
        <w:rPr>
          <w:rFonts w:ascii="Times New Roman" w:hAnsi="Times New Roman"/>
          <w:color w:val="000000" w:themeColor="text1"/>
          <w:sz w:val="16"/>
          <w:szCs w:val="16"/>
        </w:rPr>
        <w:softHyphen/>
        <w:t>личие от советских самолетов все деревян</w:t>
      </w:r>
      <w:r w:rsidRPr="00070ADE">
        <w:rPr>
          <w:rFonts w:ascii="Times New Roman" w:hAnsi="Times New Roman"/>
          <w:color w:val="000000" w:themeColor="text1"/>
          <w:sz w:val="16"/>
          <w:szCs w:val="16"/>
        </w:rPr>
        <w:softHyphen/>
        <w:t>ные части изнутри обрабатывались анти</w:t>
      </w:r>
      <w:r w:rsidRPr="00070ADE">
        <w:rPr>
          <w:rFonts w:ascii="Times New Roman" w:hAnsi="Times New Roman"/>
          <w:color w:val="000000" w:themeColor="text1"/>
          <w:sz w:val="16"/>
          <w:szCs w:val="16"/>
        </w:rPr>
        <w:softHyphen/>
        <w:t>септиком от гниения.</w:t>
      </w:r>
    </w:p>
    <w:p w14:paraId="1D84174F"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точки зрения удобства эксплуатации «Москито» оказался выше всяких похвал. У нас исписали немало бумаги, рассказы</w:t>
      </w:r>
      <w:r w:rsidRPr="00070ADE">
        <w:rPr>
          <w:rFonts w:ascii="Times New Roman" w:hAnsi="Times New Roman"/>
          <w:color w:val="000000" w:themeColor="text1"/>
          <w:sz w:val="16"/>
          <w:szCs w:val="16"/>
        </w:rPr>
        <w:softHyphen/>
        <w:t>вая о прекрасной взаимозаменяемости деталей и узлов, удобном доступе ко всем основным агрегатам, быстроте их замены в случае необходимости. Множество ав</w:t>
      </w:r>
      <w:r w:rsidRPr="00070ADE">
        <w:rPr>
          <w:rFonts w:ascii="Times New Roman" w:hAnsi="Times New Roman"/>
          <w:color w:val="000000" w:themeColor="text1"/>
          <w:sz w:val="16"/>
          <w:szCs w:val="16"/>
        </w:rPr>
        <w:softHyphen/>
        <w:t>томатических устройств облегчало работу экипажа в полете (23513).</w:t>
      </w:r>
    </w:p>
    <w:p w14:paraId="6F7EF37C" w14:textId="77777777" w:rsidR="00351460" w:rsidRPr="00070ADE" w:rsidRDefault="00351460" w:rsidP="00B56F90">
      <w:pPr>
        <w:spacing w:after="0" w:line="240" w:lineRule="auto"/>
        <w:jc w:val="both"/>
        <w:rPr>
          <w:rFonts w:ascii="Times New Roman" w:hAnsi="Times New Roman"/>
          <w:color w:val="000000" w:themeColor="text1"/>
          <w:sz w:val="16"/>
          <w:szCs w:val="16"/>
        </w:rPr>
      </w:pPr>
    </w:p>
    <w:p w14:paraId="4DF9240B"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25 апреля по 15 мая 1944 г. в Летно-исследовательском институте (ЛИИ) проводились испытания «Москито» IV DK 296. Летали испытатели Н.С.Рыбко, П.Я.Федрови и А.И.Кабанов. Ведущим инженером был назначен В.С.Панкратов. В ходе испытаний оценивались конструктивные особенности, летные и пилотажные качества, данные оборудования.</w:t>
      </w:r>
    </w:p>
    <w:p w14:paraId="69E8A597"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«Москито» IV вызвал большой интерес советских специалистов, о чем свидетельствуют материалы отчета по испытаниям самолета, где, в частности, отмечалось, что он «…по своей конструктивной разработке, применению новой технологии изготовления фюзеляжа (склеенного из двух половин с применением бальзы), внедрению быстросъемных мотоустановок и взаимозаменяемых агрегатов (шасси, моторамы, рули) и агрегатов, облегчающих работу экипажа в полете, представляет интерес для советской авиапромышленности и подлежит детальному изучению».</w:t>
      </w:r>
    </w:p>
    <w:p w14:paraId="1D258BC4"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агрегатам, облегчавшим работу экипажа, в первую очередь относились флюгерные винты, которые значительно улучшают характеристики полета с одним отказавшим двигателем и тем самым повышают безопасность. Ни на одном отечественном серийном самолете флюгерных винтов тогда еще не было, проводились только опытные работы.</w:t>
      </w:r>
    </w:p>
    <w:p w14:paraId="446FA5FC"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Внимание привлекли и такие агрегаты оборудования, как автоматы регулировки качества смеси и переключения скоростей нагнетателя, обогрев кабины, малогабаритные приборы прямоугольной формы, окрашенные в условные цвета, пламегасители выхлопа оригинальной конструкции и многие другие детали, отличавшие «Москито» от большинства советских самолетов того периода.</w:t>
      </w:r>
    </w:p>
    <w:p w14:paraId="0A3F8ED7"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Специалисты отметили, что внутри обшивка фюзеляжа и крыла покрыта антисептиком (для предохранения дерева от загнивания), а снаружи тщательно отполирована. Последнее, хотя и трудоемкое в производстве, способствует заметному снижению аэродинамического сопротивления самолета. Как тут не вспомнить опытный образец целыюдеревянного истребителя ЛаГГ-3 (И-301), который вышел на испытания в 1940 году и тоже имел полированную поверхность. Но в то время от такого способа снижения аэродинамического сопротивления отказались в пользу упрощения и удешевления серийного производства.</w:t>
      </w:r>
    </w:p>
    <w:p w14:paraId="43577CDC"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Что касается пилотажных качеств «Москито» IV, то интересно хотя бы частично воспроизвести отзыв о нем летчика-испытателя 1-го класса Рыбко: «…По управлению самолет «Москито» IV сильно напоминает Пе-2», однако продольная неустойчивость, меньше нагрузки от рулей и большая склонность к левому развороту на пробеге предъявляют более высокие требования к летчику, чем Пе-2.</w:t>
      </w:r>
    </w:p>
    <w:p w14:paraId="0E5DEAF4"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Летчики-испытатели отметили хорошую управляемость и маневренность «Москито» IV, но в то же время сочли, что путевая и продольная устойчивости недостаточны. Потому пилотирование в сложных метеоусловиях или ночью по приборам требовало большого напряжения и являлось очень утомительным.</w:t>
      </w:r>
    </w:p>
    <w:p w14:paraId="440B3CC0"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Работа штурмана вполне обеспечивалась эффективным комплексом навигационного оборудования и удобным расположением приборов, что в какой-то степени даже компенсировало малые габариты кабины. Он мог выполнять все задачи по самолетовождению и прицельному бомбометанию с горизонтального полета. Правда, испытатели отметили, что условия его работы затрудняются из-за ограниченного обзора вниз. В этом отношении отечественные Пе-2 и Ту-2 имели очевидное преимущество.</w:t>
      </w:r>
    </w:p>
    <w:p w14:paraId="7E266EBC"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Испытания «Москито» IV в СССР закончились довольно неожиданно. 15 мая 1944-го летчик А.И.Кабанов со штурманом П.И.Переваловым в 16 часов вылетели с аэродрома ЛИИ на подмосковный аэродром НИИ ВВС.</w:t>
      </w:r>
    </w:p>
    <w:p w14:paraId="23730C19"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Перелет занял всего полчаса. После нормального приземления «Москито» пробежал 100 — 150 м и начал уклоняться влево. Буквально на мгновение летчик запоздал в парировании разворота, который тут же перешел в неуправляемый. Машина выкатилась с бетонной полосы на грунт, от чрезмерной боковой нагрузки сломалось шасси, после чего до полной остановки проползла на фюзеляже и мотогондолах. С экипажем ничего не случилось, но самолет получил значительные повреждения.</w:t>
      </w:r>
    </w:p>
    <w:p w14:paraId="0FA3E0D8"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Авария отчетливо показала наиболее существенный недостаток «Москито» IV, отмечавшийся летчиками. Любопытно, что исправить его не составляло особого труда. Следовало только снабдить свободноориентирующееся хвостовое колесо стопором, фиксирующим хвостовую опору на посадке.</w:t>
      </w:r>
    </w:p>
    <w:p w14:paraId="1CF57611"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Это и было отмечено членами аварийной комиссии (25355).</w:t>
      </w:r>
    </w:p>
    <w:p w14:paraId="0FBF3B7A" w14:textId="77777777" w:rsidR="00F24AC9" w:rsidRPr="00C94B78" w:rsidRDefault="00F24AC9" w:rsidP="00B56F90">
      <w:pPr>
        <w:spacing w:after="0" w:line="240" w:lineRule="auto"/>
        <w:jc w:val="both"/>
        <w:rPr>
          <w:rFonts w:ascii="Times New Roman" w:hAnsi="Times New Roman"/>
          <w:color w:val="0070C0"/>
          <w:sz w:val="16"/>
          <w:szCs w:val="16"/>
        </w:rPr>
      </w:pPr>
    </w:p>
    <w:p w14:paraId="3DE5ED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года вышел приказ НКАП</w:t>
      </w:r>
    </w:p>
    <w:p w14:paraId="38DF46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 директором завода № 282 Романова Н.А. (8925)</w:t>
      </w:r>
    </w:p>
    <w:p w14:paraId="688F56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F0E8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года Л.П. Берия согласовал с Наркомом авиапрома А.И.Шахуриным вопрос о досрочном освобождении В.П.Глушко и других заключенных специалистов 4 Спецотдела НКВД завода № 16 в Казани (всего 35 специалистов, в том числе С.П.Королев). Результатом обращения Л.П.Берии к И.В. Сталину явилось решение Президиума Верховного Совета СССР от 27 июля 1944 г. о досрочном освобождении перечисленных в его письме специалистов со снятием с них судимости. Под номером «18» значилась фамилия С.П.Королева (11331).</w:t>
      </w:r>
    </w:p>
    <w:p w14:paraId="7E014D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3021BA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2EB2C3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97223F"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25 апреля 1944 года В.А. Малышев, нарком танковой промышленности, отправил письмо Л.П. Берии с обоснованием замены Д-25Т на Д-10Т. 29 апреля 1944 года состоялись совместные испытания Д-10Т и Д-25Т. Насколько важными были эти испытания, говорит то, из кого состояла комиссия. В Кубинку прибыли Малышев, Я.Н. Федоренко, Б.Г. Вершинин, Д.Ф. Устинов, нарком боеприпасов Б.Л. Ванников, начальник ГАУ КА маршал Н.Д. Яковлев, командующий артиллерией КА маршал Н.Н. Воронов. Причиной визита на столь высоком уровне являлся выбор между двумя системами как вооружения тяжелого танка. Как уже говорилось выше, согласно табличным данным, на дистанции 500 метров бронебойный снаряд Д-10 пробивал лист толщиной 162 мм, установленный под углом 90 градусов. На дистанции 1000 метров пробитие составляло 149 мм, на дистанции 1500 метров пробивалась броня толщиной 137 мм, а с 2000 метров – 125 мм. У Д-25 те ж показатели составляли 157, 147, 138 и 129 мм соответственно (25648).</w:t>
      </w:r>
    </w:p>
    <w:p w14:paraId="3709ABC5" w14:textId="77777777" w:rsidR="00F24AC9" w:rsidRPr="00C94B78" w:rsidRDefault="00F24AC9" w:rsidP="00B56F90">
      <w:pPr>
        <w:spacing w:after="0" w:line="240" w:lineRule="auto"/>
        <w:jc w:val="both"/>
        <w:rPr>
          <w:rFonts w:ascii="Times New Roman" w:hAnsi="Times New Roman"/>
          <w:color w:val="0070C0"/>
          <w:sz w:val="16"/>
          <w:szCs w:val="16"/>
        </w:rPr>
      </w:pPr>
    </w:p>
    <w:p w14:paraId="230CC27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года вышел приказ № 206 НКБ</w:t>
      </w:r>
    </w:p>
    <w:p w14:paraId="3B8DA38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исполнение распоряжения СНК за № 8590рс от 20 апреля 1944 года:</w:t>
      </w:r>
    </w:p>
    <w:p w14:paraId="43C655E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комбинат № 259 им. Ленина разделить на два самостоятельных завода:</w:t>
      </w:r>
    </w:p>
    <w:p w14:paraId="2AD9F75A" w14:textId="77777777" w:rsidR="00595BFB" w:rsidRPr="00070ADE" w:rsidRDefault="00595BFB" w:rsidP="00B56F90">
      <w:pPr>
        <w:widowControl w:val="0"/>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391 по производству стали, проката, шанцевого и столярного инструмента и холодного оружия;</w:t>
      </w:r>
    </w:p>
    <w:p w14:paraId="06F3044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259 им. Ленина снарядного производства, прессостроения, режущего и мерительного инструмента (6018, 72).</w:t>
      </w:r>
    </w:p>
    <w:p w14:paraId="33F7BD5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273F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Постановление ГКО № 5718 О восстановлении трубного производства на Мариупольском заводе им. Ильича НКТП. РГАНИР, Фонд ГКО, д. 243, лл. 110-112,113-115 (11012).</w:t>
      </w:r>
    </w:p>
    <w:p w14:paraId="76C727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13ED6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Постановление ГКО № 5719 О мероприятиях по развитию добычи природного газа и производства искусственного жидкого топлива во II квартале 1944 года. РГАНИР, Фонд ГКО, д. 243, лл. 116-123,124-137 (11012).</w:t>
      </w:r>
    </w:p>
    <w:p w14:paraId="72AD8A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6A8F3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Постановление ГКО № 5720 О плане добычи угля на II квартал и апрель 1944 г. по Наркомуглю и мерах по материально-техническому обеспечению угольной промышленности. РГАНИР, Фонд ГКО, д. 243, лл. 138-172,173-212 (11012).</w:t>
      </w:r>
    </w:p>
    <w:p w14:paraId="1A8029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1B8E18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Постановление ГКО № 5721 О мерах неотложной помощи по увеличению добычи угля и дальнейшему развитию Кизеловского каменноугольного бассейна. (7221, 213-227,228-252).</w:t>
      </w:r>
    </w:p>
    <w:p w14:paraId="6CB05EF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37232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Постановление ГКО № 5722 О производстве на заводах Наркомтяжмаша подъемных машин для восстановления шахт Наркомугля в Донбассе и Наркомчермета в Кривом Роге. (7222, 1-7,8-26).</w:t>
      </w:r>
    </w:p>
    <w:p w14:paraId="6F4CAD0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974DF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Постановление ГКО № 5723 О мероприятиях по восстановлению шоссейных дорог и организации эксплуатационно-дорожной службы на территории, освобожденной от противника. (7222, 27-34,35-48).</w:t>
      </w:r>
    </w:p>
    <w:p w14:paraId="26970E5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0D10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Распоряжение ГКО № 5724. О возвращении НКзему СССР 3 дизельных экскаваторов от НКУП для ирригационных работ в Казахской ССР. РГАНИР, Фонд ГКО, д. 244, лл. 49 (11012).</w:t>
      </w:r>
    </w:p>
    <w:p w14:paraId="6C416E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526FD3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Распоряжение ГКО № 5725. О поставках горючего и масел сельскому хозяйству. РГАНИР, Фонд ГКО, д. 244, лл. 50 (11012).</w:t>
      </w:r>
    </w:p>
    <w:p w14:paraId="63CC74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5A5FBC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Постановление ГКО № 5726 О мероприятиях по увеличению пропускной способности Владивостокского порта по переправке сухогрузов. (7222, 51-54,55-68).</w:t>
      </w:r>
    </w:p>
    <w:p w14:paraId="3BB9BC3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76748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Постановление ГКО № 5727 О мероприятиях по обеспечению работы конструкторских бюро Наркомсудпрома. (7222, 68-69).</w:t>
      </w:r>
    </w:p>
    <w:p w14:paraId="5E61441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7F34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Постановление ГКО № 5728 О восстановлении Мелитопольского дизелестроительного завода им. Микояна Наркомтяжмаша. РГАНИР, Фонд ГКО, д. 244, лл. 70-75,76-79 (11012).</w:t>
      </w:r>
    </w:p>
    <w:p w14:paraId="2F091BE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B80E66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Постановление ГКО № 5729 О мерах неотложной помощи слюдяной промышленности Наркомстройматериалов СССР. (7222, 80-84,85-86).</w:t>
      </w:r>
    </w:p>
    <w:p w14:paraId="6B14DE8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AACA3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Постановление ГКО № 5730 Об окончании монтажных работ на ТЭЦ завода № 129 Наркомбоеприпасов. РГАНИР, Фонд ГКО, д. 244, лл. 87-89,90-93 (11012).</w:t>
      </w:r>
    </w:p>
    <w:p w14:paraId="251BCD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6A6E8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Распоряжение ГКО № 5731. Об изменении плана заготовки и вывозки авиасосны. РГАНИР, Фонд ГКО, д. 244, лл. 94-95 (11012).</w:t>
      </w:r>
    </w:p>
    <w:p w14:paraId="3C2EE0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D5D1A5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Распоряжение ГКО № 5732 [О мобилизации в Вологодской обл. 100 лошадей с погонщиками для буксировки судов и плотов по Мариинской системе в навигацию 1944 г.] (7222, 96).</w:t>
      </w:r>
    </w:p>
    <w:p w14:paraId="27C84C7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29D7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Распоряжение ГКО № 5733. О демонтаже паровой турбины Ново-Лялинского целлюлозно-бумажного комбината и установке ее на восстанавливаемой Каменской бумажной фабрике. РГАНИР, Фонд ГКО, д. 244, лл. 97 (11012).</w:t>
      </w:r>
    </w:p>
    <w:p w14:paraId="42440A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74EC8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Распоряжение ГКО № 5734. О закреплении до 1 января 1946 г. 18 тыс. колхозников на строительстве гидроэлектростанций Узбекской ССР. РГАНИР, Фонд ГКО, д. 244, лл. 98 (11012).</w:t>
      </w:r>
    </w:p>
    <w:p w14:paraId="346A4AB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CC042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Распоряжение ГКО № 5735. О передаче деталей турбины с Новороссийской ГРЭС № 2 на Киевскую ГЭС № 2. РГАНИР, Фонд ГКО, д. 244, лл. 99 (11012).</w:t>
      </w:r>
    </w:p>
    <w:p w14:paraId="26B630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6790F4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Распоряжение ГКО № 5736 [О мерах по обеспечению плана производства и поставки махорки Красной Армии.] (7222, 100-101,102).</w:t>
      </w:r>
    </w:p>
    <w:p w14:paraId="5D4C660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F39D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Постановление ГКО № 5737 О мерах по развитию работ по системе "Ведущий кабель" и внедрению этой системы на флотах НКВМФ и НКМФ. РГАНИР, Фонд ГКО, д. 244, лл. 103-105,106 (11012).</w:t>
      </w:r>
    </w:p>
    <w:p w14:paraId="5AFC40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A4C6C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Распоряжение ГКО № 5738. О материально-техническом обеспечении геолого-разведочных партий Узбекистана и выделении им 200 военнообязанных местных национальностей, не годных к строевой службе. РГАНИР, Фонд ГКО, д. 244, лл. 107-108 (11012).</w:t>
      </w:r>
    </w:p>
    <w:p w14:paraId="00EB3C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B703D5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Постановление ГКО № 5739 О мероприятиях по увеличению выпуска кислотоупорной керамики заводами Наркомстройматериалов СССР. (7222, 109-114,115-117).</w:t>
      </w:r>
    </w:p>
    <w:p w14:paraId="7BEF5A1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606EA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Постановление ГКО № 5740 О реконструкции слипа при заводе им. III Интернационала Наркомречфлота в г. Астрахани. (7222, 118-122,123-127).</w:t>
      </w:r>
    </w:p>
    <w:p w14:paraId="168233B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06EA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Постановление ГКО № 5741 О плане ремонта боевых кораблей, вспомогательных судов и оборудования береговых установок Военно-Морского Флота на II квартал 1944 г. РГАНИР, Фонд ГКО, д. 244, лл. 128-133,134-153 (11012).</w:t>
      </w:r>
    </w:p>
    <w:p w14:paraId="504C82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247B8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вышло Постановление ГКО № 5742 О Всесоюзном социалистическом соревновании колхозов, МТС, районов, областей, краев и республик за высокий урожай и подъем колхозного животноводства в 1944 году. РГАНИР, Фонд ГКО, д. 244, лл. 154-157 (11012).</w:t>
      </w:r>
    </w:p>
    <w:p w14:paraId="34794B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C6022F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В Ленинграде достраивались три ПЛ и четыре буксирных катера "Ижорец"; спущен на воду 11-й МБК (10671).</w:t>
      </w:r>
    </w:p>
    <w:p w14:paraId="7F2A5B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6F5306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74F08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0CE191"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в 1944 году оперативная сводка Совинформбюро:</w:t>
      </w:r>
    </w:p>
    <w:p w14:paraId="1F362FCD"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25 апреля на фронтах существенных изменений не произошло.</w:t>
      </w:r>
    </w:p>
    <w:p w14:paraId="7CD480D1"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24 апреля наши войска на всех фронтах подбили и уничтожили 14 немецких танков. В воздушных боях и огнём зенитной артиллерии сбито 50 самолётов противника.».</w:t>
      </w:r>
    </w:p>
    <w:p w14:paraId="7F5EDEB6"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Бомбардировка нашей авиацией железнодорожных узлов Резекне и Гулбене.</w:t>
      </w:r>
    </w:p>
    <w:p w14:paraId="7592F801"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25 апреля наша авиация дальнего действия подвергла бомбардировке скопления воинских эшелонов противника на железнодорожных узлах Резекне иГулбене (Латвийская ССР). В результате бомбардировки возникли пожары: горели вагоны, платформы и цистерны. На том и на другом железнодорожном узле пожары сопровождались сильными взрывами.</w:t>
      </w:r>
    </w:p>
    <w:p w14:paraId="2241435D"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наши самолёты вернулись на свои аэродромы.».</w:t>
      </w:r>
    </w:p>
    <w:p w14:paraId="3CC20A25"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юго-востоку от города Станислав советские танкисты и пехотинцы внезапно атаковали противника. Наши подразделения нанесли немцам сильный фланговый удар и вынудили их отступить. На поле боя осталось несколько сот вражеских трупов. Захвачены 2 исправных и 5 подбитых немецких танков. Взяты в плен 160 солдат и офицеров противника. На другом участке наши подразделения отбили танковую атаку противника. Красноармеец Али Алафердиев меткими бросками гранат подорвал два немецких танка. Несколько танков было подбито и сожжено огнём советской артиллерии. Уцелевшие танки противника быстро повернули обратно. На поле боя осталось более 200 трупов немецких солдат и офицеров.</w:t>
      </w:r>
    </w:p>
    <w:p w14:paraId="7B0C1297"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одном участке 2-го Украинского фронта лётчики-истребители во главе с Героем Советского Союза капитаном Гулаевым, прикрывая боевые порядки наземныхвойск, встретили большую группу немецких самолётов. В ожесточённом воздушном бою наши лётчики уничтожили 11 самолётов противника, из них 5 самолётов сбил лично капитан Гулаев.</w:t>
      </w:r>
    </w:p>
    <w:p w14:paraId="1932334D"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районе Севастополя советские лётчики в течение дня уничтожили на аэродромах 15 немецких самолётов. В воздушных боях сбито 12 самолётов противника.</w:t>
      </w:r>
    </w:p>
    <w:p w14:paraId="35E6E1F9"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Пользуясь плохой видимостью, противник пытался вывести транспорт из порта Петсамо. Транспорт шёл под охраной 8 сторожевых катеров и сторожевого корабля. Наша разведка своевременно обнаружила эти суда. Два катера лейтенантов Лихоманова и Шлёнского настигли врага и атаковали его. Несмотря на сильный артиллерийский и пулемётный огонь, наши торпедные катеры потопили сторожевой корабль и сильно повредили транспорт противника.</w:t>
      </w:r>
    </w:p>
    <w:p w14:paraId="7577CE7E"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Краснознамённого Балтийского флота нанесла ряд ударов по немецким кораблям в Нарвском заливе. Потоплены два сторожевых корабля, быстроходная десантная баржа и сторожевой катер.</w:t>
      </w:r>
    </w:p>
    <w:p w14:paraId="1039AB17"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Черноморского флота продолжала наносить удары по судам противника на коммуникациях Севастополь—порты Румынии. Бомбами и пушечно-пулемётным огнём наши лётчики потопили два транспорта общим водоизмещением в 3 тысячи тонн, канонерскую лодку и сторожевой корабль противника. Многие другие вражеские суда серьёзно повреждены.</w:t>
      </w:r>
    </w:p>
    <w:p w14:paraId="0F6559D0"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Четыре партизанских отряда, действующих в Брестской области, за три недели пустили под откос 26 немецких воинских эшелонов и один бронепоезд. Кроме того, советские патриоты взорвали два железнодорожных моста и вырезали 120 километров телеграфно-телефонной линии связи. Отряд барановичских партизан в двухчасовом бою истребил до роты гитлеровцев и взял в плен 112 немцев. Захвачены 14 пулемётов, 30 автоматов, 150 винтовок и большое количество боеприпасов.</w:t>
      </w:r>
    </w:p>
    <w:p w14:paraId="3E334CD7"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1-ом Украинском фронте в одном районе на сторону Красной Армии перешли 80 солдат и несколько офицеров 1-го венгерского горного корпуса. Младший лейтенант Бэла Майтэньи заявил: «Я всей душой ненавижу немцев, но ещё больше презираю Хорти и его сообщников за то, что они предали родину. С самого начала войны гитлеровцы вели себя в нашей стране как завоеватели. В марте этого года немцы окончательно оккупировали Венгрию и лишили её даже призрачной независимости. Я не мог сражаться бок о бок с немцами, которые оккупировали мою страну и нагло хозяйничают в ней. Поэтому я при первой же возможности перешёл на сторону русских». Кандидат в офицеры Иозеф Ляутвер сообщил: «Немцы запугивают венгров и силой оружия заставляют их воевать. Они обращаются с нами не как с союзниками, а как с подневольными рабами. Мы поэтому прекратили сопротивление и сдались в плен».</w:t>
      </w:r>
    </w:p>
    <w:p w14:paraId="5117AA7F"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публикуется акт о зверствах немецко-фашистских мерзавцев в городе Порхов, Ленинградской области. «За время оккупации нашего города гитлеровцы расстреляли сотни мирных жителей. От рук фашистских убийц погибли учительницы П.Иванова и А.Тухватулина, преподаватель техникума В.Егорова, инспектор районного отдела народного образования Семёнова, агроном Антонина Тимофеева. Немецкие палачи повесили учащихся Порховской средней школы сестёр Егоровых, замучили и убили многих других советских граждан. Часть жителей города фашистские работорговцы угнали на каторгу в Германию.</w:t>
      </w:r>
    </w:p>
    <w:p w14:paraId="13F4B48A"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Отступая под ударамиКрасной Армии, немцы взорвали и сожгли три школы, театр, музей краеведения, городскую библиотеку, больницу на 500 коек, льнозавод, мебельную фабрику, известковый завод, две электростанции, вокзал, две церкви и много жилых домов. Главными виновниками всех этих злодеяний мы считаем гестаповца Фогеля, капитана фон Нассау, капитана Егерса, немецкого коменданта майора Тиля, его заместителя —капитана Фолькта, капитана Эйзенбарда, лейтенанта Кальтебаха, капитана Бертельса, следователя майора Реммера».</w:t>
      </w:r>
    </w:p>
    <w:p w14:paraId="2DBEC2EA" w14:textId="77777777" w:rsidR="00C77478" w:rsidRPr="00070ADE" w:rsidRDefault="00C7747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председатель Порховского городского совета депутатов трудящихся Н.Иванов, агроном А.Прохоров, преподаватель средней школы Я.Фёдоров, рабочий льнозавода Ф.Алексеев, командир партизанского полка Г.Волостнов, священник Геннадий Собственников и другие.» (15110).</w:t>
      </w:r>
    </w:p>
    <w:p w14:paraId="0A484801" w14:textId="77777777" w:rsidR="00C77478" w:rsidRPr="00070ADE" w:rsidRDefault="00C77478" w:rsidP="00B56F90">
      <w:pPr>
        <w:spacing w:after="0" w:line="240" w:lineRule="auto"/>
        <w:jc w:val="both"/>
        <w:rPr>
          <w:rFonts w:ascii="Times New Roman" w:hAnsi="Times New Roman"/>
          <w:color w:val="000000" w:themeColor="text1"/>
          <w:sz w:val="16"/>
          <w:szCs w:val="16"/>
        </w:rPr>
      </w:pPr>
    </w:p>
    <w:p w14:paraId="11FEFC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Ил-2-топмачтовики добились первого подтвержденного противни</w:t>
      </w:r>
      <w:r w:rsidRPr="00070ADE">
        <w:rPr>
          <w:rFonts w:ascii="Times New Roman" w:hAnsi="Times New Roman"/>
          <w:color w:val="000000" w:themeColor="text1"/>
          <w:sz w:val="16"/>
          <w:szCs w:val="16"/>
        </w:rPr>
        <w:softHyphen/>
        <w:t xml:space="preserve">ком успеха, когда две шестерки Ил-2 47-го </w:t>
      </w:r>
      <w:r w:rsidRPr="00070ADE">
        <w:rPr>
          <w:rFonts w:ascii="Times New Roman" w:hAnsi="Times New Roman"/>
          <w:iCs/>
          <w:color w:val="000000" w:themeColor="text1"/>
          <w:sz w:val="16"/>
          <w:szCs w:val="16"/>
        </w:rPr>
        <w:t>шап</w:t>
      </w:r>
      <w:r w:rsidRPr="00070ADE">
        <w:rPr>
          <w:rFonts w:ascii="Times New Roman" w:hAnsi="Times New Roman"/>
          <w:color w:val="000000" w:themeColor="text1"/>
          <w:sz w:val="16"/>
          <w:szCs w:val="16"/>
        </w:rPr>
        <w:t xml:space="preserve"> ВВС Черноморского флота в 85 милях от Севастополя (координаты 43</w:t>
      </w:r>
      <w:r w:rsidRPr="00070ADE">
        <w:rPr>
          <w:rFonts w:ascii="Times New Roman" w:hAnsi="Times New Roman"/>
          <w:color w:val="000000" w:themeColor="text1"/>
          <w:sz w:val="16"/>
          <w:szCs w:val="16"/>
          <w:vertAlign w:val="superscript"/>
        </w:rPr>
        <w:t>в</w:t>
      </w:r>
      <w:r w:rsidRPr="00070ADE">
        <w:rPr>
          <w:rFonts w:ascii="Times New Roman" w:hAnsi="Times New Roman"/>
          <w:color w:val="000000" w:themeColor="text1"/>
          <w:sz w:val="16"/>
          <w:szCs w:val="16"/>
        </w:rPr>
        <w:t>55</w:t>
      </w:r>
      <w:r w:rsidRPr="00070ADE">
        <w:rPr>
          <w:rFonts w:ascii="Times New Roman" w:hAnsi="Times New Roman"/>
          <w:color w:val="000000" w:themeColor="text1"/>
          <w:sz w:val="16"/>
          <w:szCs w:val="16"/>
          <w:vertAlign w:val="superscript"/>
        </w:rPr>
        <w:t>”</w:t>
      </w:r>
      <w:r w:rsidRPr="00070ADE">
        <w:rPr>
          <w:rFonts w:ascii="Times New Roman" w:hAnsi="Times New Roman"/>
          <w:color w:val="000000" w:themeColor="text1"/>
          <w:sz w:val="16"/>
          <w:szCs w:val="16"/>
        </w:rPr>
        <w:t xml:space="preserve"> с.ш. и 32°07' в.д.) атаковали вы</w:t>
      </w:r>
      <w:r w:rsidRPr="00070ADE">
        <w:rPr>
          <w:rFonts w:ascii="Times New Roman" w:hAnsi="Times New Roman"/>
          <w:color w:val="000000" w:themeColor="text1"/>
          <w:sz w:val="16"/>
          <w:szCs w:val="16"/>
        </w:rPr>
        <w:softHyphen/>
        <w:t>шедший в Сулину конвой "Zentra-3" в составе БДБ F333, F567, буксира "Kreuzenstein" с лихтером "Leo" в охра</w:t>
      </w:r>
      <w:r w:rsidRPr="00070ADE">
        <w:rPr>
          <w:rFonts w:ascii="Times New Roman" w:hAnsi="Times New Roman"/>
          <w:color w:val="000000" w:themeColor="text1"/>
          <w:sz w:val="16"/>
          <w:szCs w:val="16"/>
        </w:rPr>
        <w:softHyphen/>
        <w:t>нении охотников UJ2304, UJ2306 и UJ2308. 8 Ил-2 действовали с пологого пла</w:t>
      </w:r>
      <w:r w:rsidRPr="00070ADE">
        <w:rPr>
          <w:rFonts w:ascii="Times New Roman" w:hAnsi="Times New Roman"/>
          <w:color w:val="000000" w:themeColor="text1"/>
          <w:sz w:val="16"/>
          <w:szCs w:val="16"/>
        </w:rPr>
        <w:softHyphen/>
        <w:t>нирования с высоты 1200 м с выходом в горизонтальный полет на высоте 100 м, а 4 экипажа - методом топмачтового бомбометания. В результате удара лих</w:t>
      </w:r>
      <w:r w:rsidRPr="00070ADE">
        <w:rPr>
          <w:rFonts w:ascii="Times New Roman" w:hAnsi="Times New Roman"/>
          <w:color w:val="000000" w:themeColor="text1"/>
          <w:sz w:val="16"/>
          <w:szCs w:val="16"/>
        </w:rPr>
        <w:softHyphen/>
        <w:t>тер "Leo" пошел ко дну, унося с собой около 500 солдат. Зенитным огнем ПВО ордера 2 штурмовика были сильно по</w:t>
      </w:r>
      <w:r w:rsidRPr="00070ADE">
        <w:rPr>
          <w:rFonts w:ascii="Times New Roman" w:hAnsi="Times New Roman"/>
          <w:color w:val="000000" w:themeColor="text1"/>
          <w:sz w:val="16"/>
          <w:szCs w:val="16"/>
        </w:rPr>
        <w:softHyphen/>
        <w:t>вреждены и один Ил-2 сбит (6467).</w:t>
      </w:r>
    </w:p>
    <w:p w14:paraId="7E21B0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771D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Н.Гулаев, третий по числу побед, на Аэрокобре в одном бою сбил 4 FW-190 (4237,56).</w:t>
      </w:r>
    </w:p>
    <w:p w14:paraId="0DBE0D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26EE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25 апреля 1944 “огненный таран” совершил экипаж “Хэмпдена” под командованием капитана В.Н.Киселева, потопив немецкий транспортный пароход “Леезее”. По другим данным, транспорт было потоплен попаданием авиаторпеды (8942).</w:t>
      </w:r>
    </w:p>
    <w:p w14:paraId="23A67F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7F14E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3751D8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E401E0" w14:textId="77777777" w:rsidR="00D60BAA" w:rsidRPr="00070ADE" w:rsidRDefault="00D60BA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в 1944 году поднялся в воздух истребитель «ХР-55» «Асендер» (набирающий высоту). ВВС довольно высоко оценили летные данные "Асендера", но отметили слишком большую взлетную дистанцию, высокую скорость сваливания и недостаточную устойчивость (дело в том, что ПГО не демпфирует возмущения по тангажу, как это делает хвостовое оперение самолета нормальной схемы, а наоборот усиливает его. Эту проблему смогли решить лишь в 1970-х годах, когда появились надежные электронные системы дистанционного управления). Кроме того, отмечалось плохое охлаждение мотора Аллисон и его недостаточная мощность. После чего программа была закрыта (15110).</w:t>
      </w:r>
    </w:p>
    <w:p w14:paraId="1B28CA8A" w14:textId="77777777" w:rsidR="00D60BAA" w:rsidRPr="00070ADE" w:rsidRDefault="00D60BAA" w:rsidP="00B56F90">
      <w:pPr>
        <w:spacing w:after="0" w:line="240" w:lineRule="auto"/>
        <w:jc w:val="both"/>
        <w:rPr>
          <w:rFonts w:ascii="Times New Roman" w:hAnsi="Times New Roman"/>
          <w:color w:val="000000" w:themeColor="text1"/>
          <w:sz w:val="16"/>
          <w:szCs w:val="16"/>
        </w:rPr>
      </w:pPr>
    </w:p>
    <w:p w14:paraId="7DA94025" w14:textId="2A5CB375" w:rsidR="005D204B" w:rsidRPr="00070ADE" w:rsidRDefault="005D20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Первое применение вертолета в боевых действиях. Вертолёт Sikorsky YR-4B под управлением лейтенанта ВВС США Картера Хартмана принял участие в поисково-спасательной операции. Днём ранее японцы сбили спасательный самолёт Stinson L-1 Vigilant с американским пилотом и тремя ранеными британскими солдатами на борту, и Хартман эвакуировал всех их. Из-за небольшого размера кабины вертолёта спасённых военнослужащих пришлось перевозить в безопасное место по одному. Вертолёт YR-4B был одной из модификаций первого в мире серийного вертолёта Sikorsky R-4. Эти машины использовались вооружёнными силами США и Великобритании. Всего был построен 131 вертолёт R-4 в различных версиях. Вертолёт полной массой около 1,2 тонн оснащался двигателем мощностью 165–200 л.с., имел дальность полёта около 200 км и максимальную скорость до 120 км/ч (22524).</w:t>
      </w:r>
    </w:p>
    <w:p w14:paraId="610ED2E9" w14:textId="77777777" w:rsidR="005D204B" w:rsidRPr="00070ADE" w:rsidRDefault="005D204B" w:rsidP="00B56F90">
      <w:pPr>
        <w:spacing w:after="0" w:line="240" w:lineRule="auto"/>
        <w:jc w:val="both"/>
        <w:rPr>
          <w:rFonts w:ascii="Times New Roman" w:hAnsi="Times New Roman"/>
          <w:color w:val="000000" w:themeColor="text1"/>
          <w:sz w:val="16"/>
          <w:szCs w:val="16"/>
        </w:rPr>
      </w:pPr>
    </w:p>
    <w:p w14:paraId="06EED3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рассчитывая сломить югославское сопротивление немецкие войска попытались захватить главнокомандующего НОА Югославии Иосифа Броз Тито в операции, названной Ход конем (3186).</w:t>
      </w:r>
    </w:p>
    <w:p w14:paraId="133A2D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F6D2F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американский генерал Дж. Паттон заявил, что судьба Англии и США - “править миром” (4962).</w:t>
      </w:r>
    </w:p>
    <w:p w14:paraId="4D07F90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E9CE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апреля 1944 японцы начали наступление в провинции Хонан в Китае (2247,3).</w:t>
      </w:r>
    </w:p>
    <w:p w14:paraId="35918A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77838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22FDEA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2382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апреля 1944 Перв. зам. нач. ЦИАМ Владимиров и др. подготовили справку N 764:</w:t>
      </w:r>
    </w:p>
    <w:p w14:paraId="274965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Справка по выполнению приказа наркома по самолету Ил-4 с М-88Б с ТК-М</w:t>
      </w:r>
    </w:p>
    <w:p w14:paraId="45CB01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...высотные полеты самолета Ил-4 N 2 с 1 1-м экз. ТК-М, установленными взамен ТК-М - не проводились по причине резкого ухудшения летных данных самолета из-за неудовлетворительной компоновки (перетяжеления) самолета и неудовлетворительной компоновки установки ТК на самолете.</w:t>
      </w:r>
    </w:p>
    <w:p w14:paraId="17F77D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ТК-М была выполнена аналогично установке ТК-3 на самолете N 1, по которой имеется следующее заключение ЛИИ: "Компоновка ТК-3 на самолете Ил-4 N 302316 выполнена неудовлетворительно и как эталонная установка рекомендована быть не может. Самолет Ил-4 N 302316 с М-88Б и ТК-3 для эксплуатации не пригоден" (см. отчет ЛИИ "Об испытании ТК-3 на самолете Ил-4 N 302316 с М-88Б).</w:t>
      </w:r>
    </w:p>
    <w:p w14:paraId="0CA1CC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ТК-М взамен ТК-3 должна была полностью обеспечить заданную высотность (см. отчет ЦИАМ N 1160, отчеты по испытаниям нагнетателя ТК-М и об испытании турбинных лопаток N 889).</w:t>
      </w:r>
    </w:p>
    <w:p w14:paraId="361D2F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по самолетам Ил-4 с ТК были прекращены ГК С.В.И." (1824,27).</w:t>
      </w:r>
    </w:p>
    <w:p w14:paraId="18ADED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45EBCB"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апре</w:t>
      </w:r>
      <w:r w:rsidRPr="00070ADE">
        <w:rPr>
          <w:rFonts w:ascii="Times New Roman" w:hAnsi="Times New Roman"/>
          <w:color w:val="000000" w:themeColor="text1"/>
          <w:sz w:val="16"/>
          <w:szCs w:val="16"/>
        </w:rPr>
        <w:softHyphen/>
        <w:t>ля 1944 г. самолёт И-225 № 02 потерпел аварию при перелёте с места вынужденной посадки. После заме</w:t>
      </w:r>
      <w:r w:rsidRPr="00070ADE">
        <w:rPr>
          <w:rFonts w:ascii="Times New Roman" w:hAnsi="Times New Roman"/>
          <w:color w:val="000000" w:themeColor="text1"/>
          <w:sz w:val="16"/>
          <w:szCs w:val="16"/>
        </w:rPr>
        <w:softHyphen/>
        <w:t>ны разрушенного фюзеляжа новым в июне истребитель покинул сборочный цех. На за</w:t>
      </w:r>
      <w:r w:rsidRPr="00070ADE">
        <w:rPr>
          <w:rFonts w:ascii="Times New Roman" w:hAnsi="Times New Roman"/>
          <w:color w:val="000000" w:themeColor="text1"/>
          <w:sz w:val="16"/>
          <w:szCs w:val="16"/>
        </w:rPr>
        <w:softHyphen/>
        <w:t>водских испытаниях второй И-225 развил максимальную скорость 560 км/ч у земли и 726 км/ч на высоте 10000 м, которую самолёт наби</w:t>
      </w:r>
      <w:r w:rsidRPr="00070ADE">
        <w:rPr>
          <w:rFonts w:ascii="Times New Roman" w:hAnsi="Times New Roman"/>
          <w:color w:val="000000" w:themeColor="text1"/>
          <w:sz w:val="16"/>
          <w:szCs w:val="16"/>
        </w:rPr>
        <w:softHyphen/>
        <w:t>рал за 8,8 минуты.</w:t>
      </w:r>
    </w:p>
    <w:p w14:paraId="3873C4CE"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сожалению, многообещающие характеристики были дискредитированы крайне ненадёжной рабо</w:t>
      </w:r>
      <w:r w:rsidRPr="00070ADE">
        <w:rPr>
          <w:rFonts w:ascii="Times New Roman" w:hAnsi="Times New Roman"/>
          <w:color w:val="000000" w:themeColor="text1"/>
          <w:sz w:val="16"/>
          <w:szCs w:val="16"/>
        </w:rPr>
        <w:softHyphen/>
        <w:t>той силовой установки, из-за чего И-225 больше стоял в ангаре, чем летал, а его государственные испытания так и не начались. Не помог и мотор АМ-44 с непо</w:t>
      </w:r>
      <w:r w:rsidRPr="00070ADE">
        <w:rPr>
          <w:rFonts w:ascii="Times New Roman" w:hAnsi="Times New Roman"/>
          <w:color w:val="000000" w:themeColor="text1"/>
          <w:sz w:val="16"/>
          <w:szCs w:val="16"/>
        </w:rPr>
        <w:softHyphen/>
        <w:t>средственным впрыском, который поставили на ма</w:t>
      </w:r>
      <w:r w:rsidRPr="00070ADE">
        <w:rPr>
          <w:rFonts w:ascii="Times New Roman" w:hAnsi="Times New Roman"/>
          <w:color w:val="000000" w:themeColor="text1"/>
          <w:sz w:val="16"/>
          <w:szCs w:val="16"/>
        </w:rPr>
        <w:softHyphen/>
        <w:t>шину в 1946 году. Испытания И-225 № 02 официально прекратили лишь весной 1947 года, когда реактивные самолёты уже не выглядели как экзотика. Достигнув предела совершенства, поршневые истребители долж</w:t>
      </w:r>
      <w:r w:rsidRPr="00070ADE">
        <w:rPr>
          <w:rFonts w:ascii="Times New Roman" w:hAnsi="Times New Roman"/>
          <w:color w:val="000000" w:themeColor="text1"/>
          <w:sz w:val="16"/>
          <w:szCs w:val="16"/>
        </w:rPr>
        <w:softHyphen/>
        <w:t>ны были уступить дорогу новым концепциям, новым силовым установкам, новой аэродинамике (23379).</w:t>
      </w:r>
    </w:p>
    <w:p w14:paraId="4C51E8A1" w14:textId="77777777" w:rsidR="00351460" w:rsidRPr="00070ADE" w:rsidRDefault="00351460" w:rsidP="00B56F90">
      <w:pPr>
        <w:spacing w:after="0" w:line="240" w:lineRule="auto"/>
        <w:jc w:val="both"/>
        <w:rPr>
          <w:rFonts w:ascii="Times New Roman" w:hAnsi="Times New Roman"/>
          <w:color w:val="000000" w:themeColor="text1"/>
          <w:sz w:val="16"/>
          <w:szCs w:val="16"/>
        </w:rPr>
      </w:pPr>
    </w:p>
    <w:p w14:paraId="6383F4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апреля 1944 Перв. зам. нач. ЦИАМ Владимиров и др. подготовили справку по выполнению приказов НКАП по МиГ с АМ-39А с ТК-2Б (1824,24).</w:t>
      </w:r>
    </w:p>
    <w:p w14:paraId="583CD1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3174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апреля 1944 Перв. зам. нач. ЦИАМ Владимиров и др. подготовили справку по выполнению приказов НКАП по Пе-2 с 2М-105ПД (1824).</w:t>
      </w:r>
    </w:p>
    <w:p w14:paraId="743FF1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2440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апреля 1944 Перв. зам. нач. ЦИАМ Владимиров и др. подготовили справку по выполнению приказов НКАП по 102 с АШ-71 с ТК-3 (1824).</w:t>
      </w:r>
    </w:p>
    <w:p w14:paraId="0DCAE7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1B6A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апреля 1944 Перв. зам. нач. ЦИАМ Владимиров и др. подготовили справку по выполнению приказов НКАП по Ла-5 с М-82ФН и 2ТК-3 (1824,25).</w:t>
      </w:r>
    </w:p>
    <w:p w14:paraId="02D655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A136E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апреля 1944 г. по приказу № 284с площадка бывшего завода № 457 со всеми сооружениями возвращена Днепрострою (11982).</w:t>
      </w:r>
    </w:p>
    <w:p w14:paraId="0AC4BF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8E9B79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935F9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A4DF7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апреля 1944 года вышел приказ № 199с НКВ</w:t>
      </w:r>
    </w:p>
    <w:p w14:paraId="1E1E4B1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распоряжением СНК от 20 апреля 1944 года за № 8562рс:</w:t>
      </w:r>
    </w:p>
    <w:p w14:paraId="0B32E62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Организовать в Ленинграде на старой базе НИИ-13 филиал НИИ-13 (6420, 28).</w:t>
      </w:r>
    </w:p>
    <w:p w14:paraId="3AB34BB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6D84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апреля 1944 вышло Постановление ГКО № 5743 Об организации работ по составлению предварительного технического проекта орудия и снаряда, предложенного т. Дудаковым. РГАНИР, Фонд ГКО, д. 244, лл. 158 (11012).</w:t>
      </w:r>
    </w:p>
    <w:p w14:paraId="036DD4E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78CB69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апреля 1944 вышло Постановление ГКО № 5744 О восстановлении главной военно-морской базы Черноморского флота в г. Севастополе. РГАНИР, Фонд ГКО, д. 244, лл. 159-173,174-187 (11012).</w:t>
      </w:r>
    </w:p>
    <w:p w14:paraId="5C46C7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25CABD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839F0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DBFA41" w14:textId="77777777" w:rsidR="00D60BAA" w:rsidRPr="00070ADE" w:rsidRDefault="00D60BA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апреля в 1944 году оперативная сводка Совинформбюро:</w:t>
      </w:r>
    </w:p>
    <w:p w14:paraId="2F1C60C3" w14:textId="77777777" w:rsidR="00D60BAA" w:rsidRPr="00070ADE" w:rsidRDefault="00D60BA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26 апреля на фронтах существенных изменений не произошло.</w:t>
      </w:r>
    </w:p>
    <w:p w14:paraId="6EB8E7D0" w14:textId="77777777" w:rsidR="00D60BAA" w:rsidRPr="00070ADE" w:rsidRDefault="00D60BA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25 апреля наши войска на всех фронтах подбили и уничтожили 52 немецких танка. В воздушных боях и огнём зенитной артиллерии сбито 79 самолётов противника и, кроме того, 33 самолёта уничтожены на аэродромах.</w:t>
      </w:r>
    </w:p>
    <w:p w14:paraId="46A201A3" w14:textId="77777777" w:rsidR="00D60BAA" w:rsidRPr="00070ADE" w:rsidRDefault="00D60BA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Удары по судам противника в порту Севастополь и в открытом море</w:t>
      </w:r>
    </w:p>
    <w:p w14:paraId="5025936B" w14:textId="77777777" w:rsidR="00D60BAA" w:rsidRPr="00070ADE" w:rsidRDefault="00D60BA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25 апреля и в ночь на 26 апреля наша авиация бомбардировала суда и военные склады противника в порту Севастополь. Отмечено несколько прямыхпопаданий бомб в транспорты и баржи, находившиеся в Южной бухте, а также в транспорт противника в бухте Казачья. В разных частях порта возникли пожары ипроизошли многочисленные взрывы, в числе которых два взрыва огромной силы.</w:t>
      </w:r>
    </w:p>
    <w:p w14:paraId="4C955B78" w14:textId="77777777" w:rsidR="00D60BAA" w:rsidRPr="00070ADE" w:rsidRDefault="00D60BA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коммуникациях противника в открытом море наши лётчики продолжали наносить удары по вражеским транспортам. В результате активных действий авиации и кораблей Черноморского флота за истекшие сутки потоплены 5 транспортов противника общим водоизмещением до 13.000 тонн, десантная баржа и два сторожевых корабля. Два других транспорта сильно повреждены близко разорвавшимися бомбами и пушечно-пулемётным огнём наших самолётов.».</w:t>
      </w:r>
    </w:p>
    <w:p w14:paraId="18E2DE24" w14:textId="77777777" w:rsidR="00D60BAA" w:rsidRPr="00070ADE" w:rsidRDefault="00D60BA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Разгром нашей авиацией конвоя противника в Баренцевом море:</w:t>
      </w:r>
    </w:p>
    <w:p w14:paraId="5270D2DC" w14:textId="77777777" w:rsidR="00D60BAA" w:rsidRPr="00070ADE" w:rsidRDefault="00D60BA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 днях наша воздушная разведка обнаружила в Баренцовом море большую группу немецких транспортов, следовавших под охраной боевых кораблей, катеров и истребителей. Наша авиация нанесла пять последовательных бомбово-штурмовых и торпедных ударов по судам противника. Несмотря на низкую облачность и сильный зенитный огонь, советские лётчики прорвались к вражеским кораблям. Смелыми ударами наши лётчики потопили четыре немецких транспорта общим </w:t>
      </w:r>
      <w:r w:rsidRPr="00070ADE">
        <w:rPr>
          <w:rFonts w:ascii="Times New Roman" w:hAnsi="Times New Roman"/>
          <w:color w:val="000000" w:themeColor="text1"/>
          <w:sz w:val="16"/>
          <w:szCs w:val="16"/>
        </w:rPr>
        <w:lastRenderedPageBreak/>
        <w:t>водоизмещением до 20.000 тонн. Потоплены также два сторожевых корабля и один сторожевой катер. Нанесены тяжёлые повреждения двум транспортам, сторожевому кораблю и миноносцу противника.</w:t>
      </w:r>
    </w:p>
    <w:p w14:paraId="4D561C36" w14:textId="77777777" w:rsidR="00D60BAA" w:rsidRPr="00070ADE" w:rsidRDefault="00D60BA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воздушных боях в районе атаки конвоя сбито 10 немецких самолётов. Наши потери — 6 самолётов.».</w:t>
      </w:r>
    </w:p>
    <w:p w14:paraId="7B8518BB" w14:textId="77777777" w:rsidR="00D60BAA" w:rsidRPr="00070ADE" w:rsidRDefault="00D60BA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танкисты Н-ской части под командованием капитана Бочковского стремительно атаковали противника. Уничтожив до роты гитлеровцев, танкисты захватили высоту, имеющую важное значение. В другом районе пять разведчиков во главе с красноармейцем Андреевым при выполнении боевого задания встретились с 25 немцами. Наши бойцы атаковали противника и уничтожили пять солдат и одного немецкого офицера. Остальные гитлеровцы бежали.</w:t>
      </w:r>
    </w:p>
    <w:p w14:paraId="3C12CB53" w14:textId="77777777" w:rsidR="00D60BAA" w:rsidRPr="00070ADE" w:rsidRDefault="00D60BA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одном участке 2-го Украинского фронта полк пехоты и танки противника предприняли атаку. Немцы не знали, что в этом районе у нас было сосредоточено много артиллерии и других огневых средств. Гитлеровцы попали в огневой мешок и в беспорядке отступили. На поле боя осталось свыше 800 убитых и до 300 раненых солдат и офицеров противника. Сожжено и подбито 20 немецких танков и самоходных орудий. На другом участке бойцы Н-ской части отбили три атаки противника и истребили до батальона гитлеровцев. На сторону Красной Армии перешла рота румынских солдат.</w:t>
      </w:r>
    </w:p>
    <w:p w14:paraId="380EFFB3" w14:textId="77777777" w:rsidR="00D60BAA" w:rsidRPr="00070ADE" w:rsidRDefault="00D60BA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днях наша авиация разгромила конвой противника в Баренцовом море. В этом бою геройски погиб лётчик капитан Катунин, самолёт которого был подбит огнём зенитной артиллерии. Тов. Катунин направил горевший самолёт на немецкий транспорт и таранил его.</w:t>
      </w:r>
    </w:p>
    <w:p w14:paraId="327459FC" w14:textId="77777777" w:rsidR="00D60BAA" w:rsidRPr="00070ADE" w:rsidRDefault="00D60BA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Могилёвской области, в ночь на 10 апреля внезапно напал на опорный пункт противника. Стремительной атакой партизаны сломили сопротивление врага и овладели опорным пунктом. На поле боя осталось более 100 трупов гитлеровцев. Советские патриоты разрушили казармы, уничтожили 4 орудия, 8 танков, 33 автомашины и взорвали несколько складов противника. Партизанский отряд «Боевой», действующий в Белостокской области, за две недели пустил под откос 7 немецких воинских эшелонов. Разбиты 7 паровозов, 9 платформ с танками и несколько десятков вагонов с различными военными грузами.</w:t>
      </w:r>
    </w:p>
    <w:p w14:paraId="34ACD7DD" w14:textId="77777777" w:rsidR="00D60BAA" w:rsidRPr="00070ADE" w:rsidRDefault="00D60BA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1-м Украинском фронте захвачены в плен солдаты и офицеры немецких дивизий, недавно переброшенных на советско-германский фронт из Дании и Албании. Пленный штабс-ефрейтор 2 роты 361 резервного батальона 361 немецкой пехотной дивизии Андреас Дрейфс рассказал: «Наша дивизия сформирована в ноябре-декабре 1943 года в Дании, в городе Эсбьерг. В феврале 1944 года, после манёвров, дивизия несла охрану датского побережья Северного моря. Солдаты полагали, что им удастся отсидеться на побережье до конца войны. Однако поражения немецких войск в России разрушили эти надежды. В середине марта совершенно неожиданно дивизия выехала из Дании. Только дорогой мы догадались, что едем на Восточный фронт. Отвечая на наши расспросы, командир роты сказал, что русские прорвали немецкий фронт на очень важном участке и этим вызвана наша срочная переброска».</w:t>
      </w:r>
    </w:p>
    <w:p w14:paraId="65E1FF6B" w14:textId="77777777" w:rsidR="00D60BAA" w:rsidRPr="00070ADE" w:rsidRDefault="00D60BA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унтер-офицер 14 роты 227 полка 100 немецкой лёгкопехотной дивизии Рудольф Фендрих рассказал: «Наша дивизия находилась в Албании. В марте нас перебросили на Восточный фронт. В первых числах апреля мы были уже во Львове. Командование поставило перед дивизией следующую задачу — вместе с другими соединениями пробиться к Тарнополю и освободить окружённый немецкий гарнизон. Несмотря на все усилия, нам так и не удалось прорваться к городу. Русские отбили наши атаки. В этих боях дивизия понесла тяжёлые потери».</w:t>
      </w:r>
    </w:p>
    <w:p w14:paraId="2A108650" w14:textId="77777777" w:rsidR="00D60BAA" w:rsidRPr="00070ADE" w:rsidRDefault="00D60BA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публикуется акт о зверствах немецко-фашистских мерзавцев в селе Малый Браталов, Житомирской области: «Фашистские бандиты превратили наше село в пустырь. Все дома сожжены или разрушены. Немцы не только сожгли жилые дома, но и вырубили фруктовые деревья в садах. Они разграбили колхозное добро и личное имущество колхозников. Поджоги и грабежи сопровождались массовыми убийствами. Только в январе, феврале и в начале марта 1944 года немецкие изверги расстреляли более ста человек. От рук фашистских убийц погибли тракторист В.Деменик, комбайнер Т.Тупальский, бригадир М.Стрига и другие колхозники. До немецкой оккупации в селе было 1.200 жителей, а сейчас осталось всего лишь несколько человек. Часть жителей гитлеровцы угнали на каторгу в Германию, многих замучили и расстреляли. Остальное население, состоявшее в большинстве из женщин и детей, немцы угнали неизвестно куда».</w:t>
      </w:r>
    </w:p>
    <w:p w14:paraId="56FD67C1" w14:textId="77777777" w:rsidR="00D60BAA" w:rsidRPr="00070ADE" w:rsidRDefault="00D60BA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полковник Кузнецов, подполковник Мутицин, майор Авраменко, майор Дубинов, колхозники села Малый Браталов: И.Юрчик, И. Демусь, И.Останчук, И.Шастун.» (15111).</w:t>
      </w:r>
    </w:p>
    <w:p w14:paraId="528235E6" w14:textId="77777777" w:rsidR="00D60BAA" w:rsidRPr="00070ADE" w:rsidRDefault="00D60BAA" w:rsidP="00B56F90">
      <w:pPr>
        <w:spacing w:after="0" w:line="240" w:lineRule="auto"/>
        <w:jc w:val="both"/>
        <w:rPr>
          <w:rFonts w:ascii="Times New Roman" w:hAnsi="Times New Roman"/>
          <w:color w:val="000000" w:themeColor="text1"/>
          <w:sz w:val="16"/>
          <w:szCs w:val="16"/>
        </w:rPr>
      </w:pPr>
    </w:p>
    <w:p w14:paraId="685A89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апреля 1944 согласно сообщению Совинформбюро авиация СФ разгромила в Баренцевом море караван противника, нанеся пять последовательных ударов. потопили 4 транспорта общим водоизмещением до 20700 т, два сторожевых катера и нанесли поврежденья двум транспортам и миноносцу. В воздухе сбили 10, потеряли 6 (438,903).</w:t>
      </w:r>
    </w:p>
    <w:p w14:paraId="74646D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BF7D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 30 апреля 1943 (по одному боевому выле</w:t>
      </w:r>
      <w:r w:rsidRPr="00070ADE">
        <w:rPr>
          <w:rFonts w:ascii="Times New Roman" w:hAnsi="Times New Roman"/>
          <w:color w:val="000000" w:themeColor="text1"/>
          <w:sz w:val="16"/>
          <w:szCs w:val="16"/>
        </w:rPr>
        <w:softHyphen/>
        <w:t>ту, 4, 10 и 11 мая - по два удара и 12 мая - один боевой вылет) топмачтовый спо</w:t>
      </w:r>
      <w:r w:rsidRPr="00070ADE">
        <w:rPr>
          <w:rFonts w:ascii="Times New Roman" w:hAnsi="Times New Roman"/>
          <w:color w:val="000000" w:themeColor="text1"/>
          <w:sz w:val="16"/>
          <w:szCs w:val="16"/>
        </w:rPr>
        <w:softHyphen/>
        <w:t>соб бомбометания применялся летчика</w:t>
      </w:r>
      <w:r w:rsidRPr="00070ADE">
        <w:rPr>
          <w:rFonts w:ascii="Times New Roman" w:hAnsi="Times New Roman"/>
          <w:color w:val="000000" w:themeColor="text1"/>
          <w:sz w:val="16"/>
          <w:szCs w:val="16"/>
        </w:rPr>
        <w:softHyphen/>
        <w:t>ми ЧФ с не меньшим успехом (6467).</w:t>
      </w:r>
    </w:p>
    <w:p w14:paraId="0C47F8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117676" w14:textId="77777777" w:rsidR="00D60BAA"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78FA6E0C" w14:textId="77777777" w:rsidR="00D60BAA" w:rsidRPr="00070ADE" w:rsidRDefault="00D60BAA"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5CB2C1"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апреля в 1944 году глава американской военной миссии в СССР Д.Дин рекомендовал президенту США удовлетворить просьбу Советского правительства о поставках тяжелых бомбардировщиков дальнего действия при условии предоставления баз для американских ВВС на советском Дальнем Востоке. Но Рузвельт не пошел на такой шаг (15111).</w:t>
      </w:r>
    </w:p>
    <w:p w14:paraId="11425B46" w14:textId="77777777" w:rsidR="00476D5F" w:rsidRPr="00070ADE" w:rsidRDefault="00476D5F" w:rsidP="00B56F90">
      <w:pPr>
        <w:spacing w:after="0" w:line="240" w:lineRule="auto"/>
        <w:jc w:val="both"/>
        <w:rPr>
          <w:rFonts w:ascii="Times New Roman" w:hAnsi="Times New Roman"/>
          <w:color w:val="000000" w:themeColor="text1"/>
          <w:sz w:val="16"/>
          <w:szCs w:val="16"/>
        </w:rPr>
      </w:pPr>
    </w:p>
    <w:p w14:paraId="39B4590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56C76D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C59367" w14:textId="77777777" w:rsidR="00D60BAA" w:rsidRPr="00070ADE" w:rsidRDefault="00D60BA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апреля в 1944 году поднялся в воздух один из прототипов шведского транспортного планера «AB Flygindustri» «Fi-3», предназначенного для перевозки 10 солдат и двух пилотов. Он поднялся на высоту 1500 метров, буксируемый самолетом «В5». Планеры получили военное обозначение «LG5» и нумерацию от 9001 до 9005. По окончанию войны все работы над планером были остановлены. Было изготовлено всего 5 прототипов под номерами 2 - 6 (номер 1 был предназначен для статических испытаний) (15111).</w:t>
      </w:r>
    </w:p>
    <w:p w14:paraId="25B4AF0F" w14:textId="77777777" w:rsidR="00D60BAA" w:rsidRPr="00070ADE" w:rsidRDefault="00D60BAA" w:rsidP="00B56F90">
      <w:pPr>
        <w:spacing w:after="0" w:line="240" w:lineRule="auto"/>
        <w:jc w:val="both"/>
        <w:rPr>
          <w:rFonts w:ascii="Times New Roman" w:hAnsi="Times New Roman"/>
          <w:color w:val="000000" w:themeColor="text1"/>
          <w:sz w:val="16"/>
          <w:szCs w:val="16"/>
        </w:rPr>
      </w:pPr>
    </w:p>
    <w:p w14:paraId="36BB8EAF" w14:textId="77777777" w:rsidR="00185B57" w:rsidRPr="00070ADE" w:rsidRDefault="00185B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26–27 апреля (ночь) 1944 493 британских бомбардировщика совершили точную атаку на Эссен в Германии, потеряв семь из своего числа (1,4 процента своих сил) (20373).</w:t>
      </w:r>
    </w:p>
    <w:p w14:paraId="545D96E8" w14:textId="77777777" w:rsidR="00185B57" w:rsidRPr="00070ADE" w:rsidRDefault="00185B57" w:rsidP="00B56F90">
      <w:pPr>
        <w:spacing w:after="0" w:line="240" w:lineRule="auto"/>
        <w:jc w:val="both"/>
        <w:rPr>
          <w:rFonts w:ascii="Times New Roman" w:hAnsi="Times New Roman"/>
          <w:color w:val="000000" w:themeColor="text1"/>
          <w:sz w:val="16"/>
          <w:szCs w:val="16"/>
        </w:rPr>
      </w:pPr>
    </w:p>
    <w:p w14:paraId="25731920" w14:textId="77777777" w:rsidR="00185B57" w:rsidRPr="00070ADE" w:rsidRDefault="00185B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26–27 апреля (ночь) 1944 226 британских бомбардировщиков совершили налет на Швайнфурт, Германия. Ветер заставляет многие бомбы упасть за пределами города, и немецкие ночные истребители сильно атакуют бомбардировщики; 21 бомбардировщик (9,3 процента сил) потеряно. Сержант Норман Джексон, удерживаемый на месте другими членами экипажа за парашютную сумку, вылезает из люка с огнетушителем, чтобы попытаться потушить пожар в топливном баке крыла своего Ланкастера, но его сдувает с крыла и он спускается на парашюте и, поскольку спасает остальной экипаж, его награждают Крестом Виктории (20373).</w:t>
      </w:r>
    </w:p>
    <w:p w14:paraId="4B97A81B" w14:textId="77777777" w:rsidR="00185B57" w:rsidRPr="00070ADE" w:rsidRDefault="00185B57" w:rsidP="00B56F90">
      <w:pPr>
        <w:spacing w:after="0" w:line="240" w:lineRule="auto"/>
        <w:jc w:val="both"/>
        <w:rPr>
          <w:rFonts w:ascii="Times New Roman" w:hAnsi="Times New Roman"/>
          <w:color w:val="000000" w:themeColor="text1"/>
          <w:sz w:val="16"/>
          <w:szCs w:val="16"/>
        </w:rPr>
      </w:pPr>
    </w:p>
    <w:p w14:paraId="1418F897" w14:textId="77777777" w:rsidR="00185B57" w:rsidRPr="00070ADE" w:rsidRDefault="00185B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26–27 апреля (ночь) 1944 227 британских бомбардировщиков атакуют железнодорожные станции в Вильнёв-Сен-Жорж, Франция, потеряв один самолет (20373).</w:t>
      </w:r>
    </w:p>
    <w:p w14:paraId="1D057819" w14:textId="77777777" w:rsidR="00185B57" w:rsidRPr="00070ADE" w:rsidRDefault="00185B57" w:rsidP="00B56F90">
      <w:pPr>
        <w:spacing w:after="0" w:line="240" w:lineRule="auto"/>
        <w:jc w:val="both"/>
        <w:rPr>
          <w:rFonts w:ascii="Times New Roman" w:hAnsi="Times New Roman"/>
          <w:color w:val="000000" w:themeColor="text1"/>
          <w:sz w:val="16"/>
          <w:szCs w:val="16"/>
        </w:rPr>
      </w:pPr>
    </w:p>
    <w:p w14:paraId="1FACA7B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апреля 1944 англичанами похищен командующий немецкими войсками на Крите генерал Хейнрих Крейпе (4962).</w:t>
      </w:r>
    </w:p>
    <w:p w14:paraId="3DAB0C7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0939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апреля 1944 японцы впервые атаковали В-29 и один истребитель был сбит (2100).</w:t>
      </w:r>
    </w:p>
    <w:p w14:paraId="0AF54C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8B6B9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22ABDC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6FB130" w14:textId="77777777" w:rsidR="00185B57" w:rsidRPr="00070ADE" w:rsidRDefault="00185B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1944 отремонтированный Су-6 АМ-42 официально поступил в ГК НИИ ВВС. Ответственным исполнителем по ис</w:t>
      </w:r>
      <w:r w:rsidRPr="00070ADE">
        <w:rPr>
          <w:rFonts w:ascii="Times New Roman" w:hAnsi="Times New Roman"/>
          <w:color w:val="000000" w:themeColor="text1"/>
          <w:sz w:val="16"/>
          <w:szCs w:val="16"/>
        </w:rPr>
        <w:softHyphen/>
        <w:t>пытаниям был назначен помощник веду</w:t>
      </w:r>
      <w:r w:rsidRPr="00070ADE">
        <w:rPr>
          <w:rFonts w:ascii="Times New Roman" w:hAnsi="Times New Roman"/>
          <w:color w:val="000000" w:themeColor="text1"/>
          <w:sz w:val="16"/>
          <w:szCs w:val="16"/>
        </w:rPr>
        <w:softHyphen/>
        <w:t>щего инженера старший техник-лейтенант Марьин, ведущим летчиком - заместитель начальника института по летной части ге- нерал-майор Кабанов, вторым ведущим летчиком - инженер-майор Синельников. Самолет облетал заместитель начальника 5-го отдела 1-го Управления института по летной части подполковник Долгов (19852).</w:t>
      </w:r>
    </w:p>
    <w:p w14:paraId="25ED361C" w14:textId="77777777" w:rsidR="00185B57" w:rsidRPr="00070ADE" w:rsidRDefault="00185B57" w:rsidP="00B56F90">
      <w:pPr>
        <w:spacing w:after="0" w:line="240" w:lineRule="auto"/>
        <w:jc w:val="both"/>
        <w:rPr>
          <w:rFonts w:ascii="Times New Roman" w:hAnsi="Times New Roman"/>
          <w:color w:val="000000" w:themeColor="text1"/>
          <w:sz w:val="16"/>
          <w:szCs w:val="16"/>
        </w:rPr>
      </w:pPr>
    </w:p>
    <w:p w14:paraId="362C32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1944 года завершились Государственные испытания Як-9У с М-107А и показали, что самолет не пригоден для принятия на вооружение. Тем не менее, в августе 1944 года ВВС НК.АП заключили договор о поставках Як-9У с ВК-107А. Видимо, это произошло в надежде, что промышленность устранит дефекты, выявленные не только в НИИ ВВС, но и в эксплуатации. Однако проведенные впоследствии три государственных испытания машины прогресса в улучшении летных и эксплуатационных данных истребителя не выявили.</w:t>
      </w:r>
    </w:p>
    <w:p w14:paraId="588BD1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поступил на испытания 18 января с винтом обратной схемы АВ-10П-20, замененным впоследствии ВИШ-107Л5. Ведущими по машине были инженер А.Т. Степанец и летчик А.Г. Прошаков. Самолет облетали Ю.А. Антипов и А.Г. Кубышкин.</w:t>
      </w:r>
    </w:p>
    <w:p w14:paraId="06DF37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плане НКАП на 1943 год числился Як-9 с двигателем М-107А со следующими данными: максимальная скорость у земли - 580 км/ч, а на высоте 5900 м - 590 км/ч, при посадочной - 147 км/ч; время виража на высоте 1000 м - 18 секунд и практический потолок - 11 500 м. Его вооружение ограничивалось 20-миллиметровой пушкой с боезапасом 120 патронов и пулеметом калибром 12,7 мм с 200 патронами. На государственные испытания машину предписывалось передать к 15 июня 1943 г. Однако из-за трудностей с доводкой двигателя создание этого истребителя затянулось.</w:t>
      </w:r>
    </w:p>
    <w:p w14:paraId="3C54FC0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 с мотором ВК-107А построили в соответствие декабрьским 1943 года постановлением ГКО на базе пушечного Як-9Т. При этом заимствовали ряд технических решений с истребителя Як-3 с двигателем ВК-105ПФ.</w:t>
      </w:r>
    </w:p>
    <w:p w14:paraId="2354D5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тому времени ВК-107А прошел 100-часовые стендовые испытания и развивал мощность 1650 л.с. на первой границе высотности (1800 м) и 1500 л.с. на 4500 м (вторая граница высотности). Новый двигатель потребовал изменения конструкции подмо- торной рамы и фермы крепления оружия из-за установки второго пулемета (на Як-9Т устанавливали 37-миллиметровую пушку и пулемет БС). Вооружение Як-9У с двигателем ВК-107А состояло из мотор-пушки МП-20 и двух синхронных пулеметов УБС.</w:t>
      </w:r>
    </w:p>
    <w:p w14:paraId="08833A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предшественником, на новой машине установили маслорадиатор с большей теплоотдачей и перенесли его в центроплан крыла по типу Як-3. При этом укоротили трубки водорадиатора и улучшили внешние и внутренние обводы его тоннеля.</w:t>
      </w:r>
    </w:p>
    <w:p w14:paraId="2D6BE7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Тогда же доработали нижнюю панель фюзеляжа между вторым и четвертым шпангоутами из-за размещения нового водорадиатора и вала ручного управления машиной, смонтированного на каркасе фюзеляжа.</w:t>
      </w:r>
    </w:p>
    <w:p w14:paraId="1F91BE1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фонаре кабины пилота появился механизм аварийного сброса его сдвижной части, а с козырька сняли лобовое бронестекло, сделав его более обтекаемым из гнутого плексигласа. Но, как выяснилось позже, снижение аэродинамического сопротивления фонаря сильно исказило изображение передней полусферы.</w:t>
      </w:r>
    </w:p>
    <w:p w14:paraId="35371A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Убрали подлокотники для летчика, оказавшиеся лишними в непродолжительном полете и утяжелявшие истребитель. От Як-3 так же заимствовали бронеспинку, заголовник из прозрачной брони, надголовник и полуавтоматический стопор костыльной опоры.</w:t>
      </w:r>
    </w:p>
    <w:p w14:paraId="1E0280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семилитровых воздушных баллона заменили одним - объемом восемь литров. Сняли грузы весовой компенсации элеронов и на 200 мм увеличили размах аэродинамического компенсатора руля высоты.</w:t>
      </w:r>
    </w:p>
    <w:p w14:paraId="60F60F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известно различные щели в планере приводят не только к задуванию кабины, но и к увеличению аэродинамического сопротивления. В связи с этим, заделали щели (герметизировали) в противопожарной перегородке, крыле, кабине, хвостовой части фюзеляжа, отсеках бензобаков и в тоннеле маслорадиатора.</w:t>
      </w:r>
    </w:p>
    <w:p w14:paraId="5AC7A4C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Полотняными перегородками закрыли щели между крылом и элеронами, что исключило перетекание воздуха и, как следствие, улучшило аэродинамику машины. Также отполировали передние кромки крыла, оперения и носовой части капота мотора.</w:t>
      </w:r>
    </w:p>
    <w:p w14:paraId="380920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своих выводах специалисты института отмечали, в частности, что опытный Як-9У с ВК-107А по максимальной скорости горизонтального полета, скороподъемности и вертикальной маневренности в диапазоне высот до 6000 м является лучшим из известных отечественных и иностранных истребителей.</w:t>
      </w:r>
    </w:p>
    <w:p w14:paraId="5125A1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горизонтального полета на боевом режиме составляла: у земли (на высоте 5000 м) 600 км/ч (690 км/ч), что больше, чем у трехточечного Me-109G-2 на 76 км/ч (80 км/ч), у FW-190A-4 - на 90 км/ч (102 км/ч), Як-9Т - на 67 км/ч (105 км/ч), Як-9У эталона 1944 года - на 42 км/ч (75 км/ч), Як-3 "Дублера" - на 30 км/ч (42 км/ч) и Ла-7 эталона 1944 года - на 29 км/ч.</w:t>
      </w:r>
    </w:p>
    <w:p w14:paraId="2BA2CC2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 м на боевом режиме не превышало 4,1 минуты, что было почти как у Як-3 "Дублер" и меньше на 0,3 минуты, по сравнению с трехточечным Ме- 109G-2. Дольше набирали эту высоту FW190A-4 - на 2,7 минуты, Як-9Т - на 1,4 минуты, Як-9У с мотором М-105ПФ - на 0,7 минуты и Ла-7 - на 0,35 минуты. Последние две машины стали эталонами 1944 г.</w:t>
      </w:r>
    </w:p>
    <w:p w14:paraId="1F7E95E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двигателя ВК-107А не усложнила технику пилотирования. Самолет оставался простым в управлении и доступным для летчиков средней квалификации.</w:t>
      </w:r>
    </w:p>
    <w:p w14:paraId="5648F5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Заказчик посчитал бронезашиту летчика недостаточной и не отвечавшей, предъявлявшимся к ней требованиям. Военные испытатели отметили и отсутствие зеркала, что затрудняло обзор задней полусферы.</w:t>
      </w:r>
    </w:p>
    <w:p w14:paraId="47F5F6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заключение "Акта по результатам государственных испытаний..." отмечалось: "Для быстрейшей доводки и ввода в строй Як-9У необходимо срочно провести войсковые и эксплуатационные испытания самолета..." (12046).</w:t>
      </w:r>
    </w:p>
    <w:p w14:paraId="41F829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данные унифицированных истребителей Як-9У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4D4663" w:rsidRPr="00070ADE" w14:paraId="3326460F" w14:textId="77777777">
        <w:tc>
          <w:tcPr>
            <w:tcW w:w="1868" w:type="dxa"/>
            <w:tcBorders>
              <w:top w:val="single" w:sz="12" w:space="0" w:color="auto"/>
            </w:tcBorders>
          </w:tcPr>
          <w:p w14:paraId="68672C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w:t>
            </w:r>
          </w:p>
        </w:tc>
        <w:tc>
          <w:tcPr>
            <w:tcW w:w="1868" w:type="dxa"/>
            <w:tcBorders>
              <w:top w:val="single" w:sz="12" w:space="0" w:color="auto"/>
            </w:tcBorders>
          </w:tcPr>
          <w:p w14:paraId="593463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49EA92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w:t>
            </w:r>
          </w:p>
        </w:tc>
        <w:tc>
          <w:tcPr>
            <w:tcW w:w="1868" w:type="dxa"/>
            <w:tcBorders>
              <w:top w:val="single" w:sz="12" w:space="0" w:color="auto"/>
            </w:tcBorders>
          </w:tcPr>
          <w:p w14:paraId="470CC2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4F81AD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ЯК-9УТ</w:t>
            </w:r>
          </w:p>
        </w:tc>
        <w:tc>
          <w:tcPr>
            <w:tcW w:w="1868" w:type="dxa"/>
            <w:tcBorders>
              <w:top w:val="single" w:sz="12" w:space="0" w:color="auto"/>
            </w:tcBorders>
          </w:tcPr>
          <w:p w14:paraId="3CDADB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ЯК-9УВ</w:t>
            </w:r>
          </w:p>
        </w:tc>
      </w:tr>
      <w:tr w:rsidR="004D4663" w:rsidRPr="00070ADE" w14:paraId="624138C8" w14:textId="77777777">
        <w:tc>
          <w:tcPr>
            <w:tcW w:w="1868" w:type="dxa"/>
          </w:tcPr>
          <w:p w14:paraId="5E5A75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F4793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7E37AA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 г.</w:t>
            </w:r>
          </w:p>
        </w:tc>
        <w:tc>
          <w:tcPr>
            <w:tcW w:w="1868" w:type="dxa"/>
          </w:tcPr>
          <w:p w14:paraId="3CE53E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19E42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40-022</w:t>
            </w:r>
          </w:p>
        </w:tc>
        <w:tc>
          <w:tcPr>
            <w:tcW w:w="1868" w:type="dxa"/>
          </w:tcPr>
          <w:p w14:paraId="6F59C7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9E4EACC" w14:textId="77777777">
        <w:tc>
          <w:tcPr>
            <w:tcW w:w="1868" w:type="dxa"/>
          </w:tcPr>
          <w:p w14:paraId="7B2C4B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w:t>
            </w:r>
          </w:p>
        </w:tc>
        <w:tc>
          <w:tcPr>
            <w:tcW w:w="1868" w:type="dxa"/>
          </w:tcPr>
          <w:p w14:paraId="6D52232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31BD9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М-105ПФ21</w:t>
            </w:r>
          </w:p>
        </w:tc>
        <w:tc>
          <w:tcPr>
            <w:tcW w:w="1868" w:type="dxa"/>
          </w:tcPr>
          <w:p w14:paraId="5E7B80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ВК-107А</w:t>
            </w:r>
          </w:p>
        </w:tc>
        <w:tc>
          <w:tcPr>
            <w:tcW w:w="1868" w:type="dxa"/>
          </w:tcPr>
          <w:p w14:paraId="430F74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ВК-107А</w:t>
            </w:r>
          </w:p>
        </w:tc>
        <w:tc>
          <w:tcPr>
            <w:tcW w:w="1868" w:type="dxa"/>
          </w:tcPr>
          <w:p w14:paraId="43038A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92D3691" w14:textId="77777777">
        <w:tc>
          <w:tcPr>
            <w:tcW w:w="1868" w:type="dxa"/>
          </w:tcPr>
          <w:p w14:paraId="5E108A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Размах крыла, м</w:t>
            </w:r>
          </w:p>
        </w:tc>
        <w:tc>
          <w:tcPr>
            <w:tcW w:w="1868" w:type="dxa"/>
          </w:tcPr>
          <w:p w14:paraId="3BAF43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DAC1B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c>
          <w:tcPr>
            <w:tcW w:w="1868" w:type="dxa"/>
          </w:tcPr>
          <w:p w14:paraId="5E984B9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3990B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c>
          <w:tcPr>
            <w:tcW w:w="1868" w:type="dxa"/>
          </w:tcPr>
          <w:p w14:paraId="715306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r>
      <w:tr w:rsidR="004D4663" w:rsidRPr="00070ADE" w14:paraId="5D84B15B" w14:textId="77777777">
        <w:tc>
          <w:tcPr>
            <w:tcW w:w="1868" w:type="dxa"/>
          </w:tcPr>
          <w:p w14:paraId="769319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м</w:t>
            </w:r>
          </w:p>
        </w:tc>
        <w:tc>
          <w:tcPr>
            <w:tcW w:w="1868" w:type="dxa"/>
          </w:tcPr>
          <w:p w14:paraId="04346F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AAA07D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w:t>
            </w:r>
          </w:p>
        </w:tc>
        <w:tc>
          <w:tcPr>
            <w:tcW w:w="1868" w:type="dxa"/>
          </w:tcPr>
          <w:p w14:paraId="17FB92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94272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8,55</w:t>
            </w:r>
          </w:p>
        </w:tc>
        <w:tc>
          <w:tcPr>
            <w:tcW w:w="1868" w:type="dxa"/>
          </w:tcPr>
          <w:p w14:paraId="753A6D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8,55</w:t>
            </w:r>
          </w:p>
        </w:tc>
      </w:tr>
      <w:tr w:rsidR="004D4663" w:rsidRPr="00070ADE" w14:paraId="53E7E26E" w14:textId="77777777">
        <w:tc>
          <w:tcPr>
            <w:tcW w:w="1868" w:type="dxa"/>
          </w:tcPr>
          <w:p w14:paraId="4694EA4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Площадь крыла, мг</w:t>
            </w:r>
          </w:p>
        </w:tc>
        <w:tc>
          <w:tcPr>
            <w:tcW w:w="1868" w:type="dxa"/>
          </w:tcPr>
          <w:p w14:paraId="59EC165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12291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c>
          <w:tcPr>
            <w:tcW w:w="1868" w:type="dxa"/>
          </w:tcPr>
          <w:p w14:paraId="362A34B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C341CE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c>
          <w:tcPr>
            <w:tcW w:w="1868" w:type="dxa"/>
          </w:tcPr>
          <w:p w14:paraId="4644AE8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r>
      <w:tr w:rsidR="004D4663" w:rsidRPr="00070ADE" w14:paraId="4D818D86" w14:textId="77777777">
        <w:tc>
          <w:tcPr>
            <w:tcW w:w="1868" w:type="dxa"/>
          </w:tcPr>
          <w:p w14:paraId="01E6860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Взлетный вес, кг</w:t>
            </w:r>
          </w:p>
        </w:tc>
        <w:tc>
          <w:tcPr>
            <w:tcW w:w="1868" w:type="dxa"/>
          </w:tcPr>
          <w:p w14:paraId="03B196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EF0875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C85B5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09D08F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36CBC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DEF88EE" w14:textId="77777777">
        <w:tc>
          <w:tcPr>
            <w:tcW w:w="1868" w:type="dxa"/>
          </w:tcPr>
          <w:p w14:paraId="7E1F31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w:t>
            </w:r>
          </w:p>
        </w:tc>
        <w:tc>
          <w:tcPr>
            <w:tcW w:w="1868" w:type="dxa"/>
          </w:tcPr>
          <w:p w14:paraId="0DBD19A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A8E32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2900</w:t>
            </w:r>
          </w:p>
        </w:tc>
        <w:tc>
          <w:tcPr>
            <w:tcW w:w="1868" w:type="dxa"/>
          </w:tcPr>
          <w:p w14:paraId="2C39E4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3FAD0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3260</w:t>
            </w:r>
          </w:p>
        </w:tc>
        <w:tc>
          <w:tcPr>
            <w:tcW w:w="1868" w:type="dxa"/>
          </w:tcPr>
          <w:p w14:paraId="08263C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3128</w:t>
            </w:r>
          </w:p>
        </w:tc>
      </w:tr>
      <w:tr w:rsidR="004D4663" w:rsidRPr="00070ADE" w14:paraId="40C971EC" w14:textId="77777777">
        <w:tc>
          <w:tcPr>
            <w:tcW w:w="1868" w:type="dxa"/>
          </w:tcPr>
          <w:p w14:paraId="2964FA0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кг</w:t>
            </w:r>
          </w:p>
        </w:tc>
        <w:tc>
          <w:tcPr>
            <w:tcW w:w="1868" w:type="dxa"/>
          </w:tcPr>
          <w:p w14:paraId="21D81F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B4FA0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2244</w:t>
            </w:r>
          </w:p>
        </w:tc>
        <w:tc>
          <w:tcPr>
            <w:tcW w:w="1868" w:type="dxa"/>
          </w:tcPr>
          <w:p w14:paraId="38C656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BE629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2467</w:t>
            </w:r>
          </w:p>
        </w:tc>
        <w:tc>
          <w:tcPr>
            <w:tcW w:w="1868" w:type="dxa"/>
          </w:tcPr>
          <w:p w14:paraId="37C5F80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2505</w:t>
            </w:r>
          </w:p>
        </w:tc>
      </w:tr>
      <w:tr w:rsidR="004D4663" w:rsidRPr="00070ADE" w14:paraId="3458E0DF" w14:textId="77777777">
        <w:tc>
          <w:tcPr>
            <w:tcW w:w="1868" w:type="dxa"/>
          </w:tcPr>
          <w:p w14:paraId="0B243F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топлива, кг</w:t>
            </w:r>
          </w:p>
        </w:tc>
        <w:tc>
          <w:tcPr>
            <w:tcW w:w="1868" w:type="dxa"/>
          </w:tcPr>
          <w:p w14:paraId="08B275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147DC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318</w:t>
            </w:r>
          </w:p>
        </w:tc>
        <w:tc>
          <w:tcPr>
            <w:tcW w:w="1868" w:type="dxa"/>
          </w:tcPr>
          <w:p w14:paraId="7CD6ADB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2D26F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380</w:t>
            </w:r>
          </w:p>
        </w:tc>
        <w:tc>
          <w:tcPr>
            <w:tcW w:w="1868" w:type="dxa"/>
          </w:tcPr>
          <w:p w14:paraId="6E0AED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346</w:t>
            </w:r>
          </w:p>
        </w:tc>
      </w:tr>
      <w:tr w:rsidR="004D4663" w:rsidRPr="00070ADE" w14:paraId="47E13063" w14:textId="77777777">
        <w:tc>
          <w:tcPr>
            <w:tcW w:w="1868" w:type="dxa"/>
          </w:tcPr>
          <w:p w14:paraId="50B79C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км/ч</w:t>
            </w:r>
          </w:p>
        </w:tc>
        <w:tc>
          <w:tcPr>
            <w:tcW w:w="1868" w:type="dxa"/>
          </w:tcPr>
          <w:p w14:paraId="2EFA1F5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C919A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8D8AD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B7761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DDE65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35BA62B" w14:textId="77777777">
        <w:tc>
          <w:tcPr>
            <w:tcW w:w="1868" w:type="dxa"/>
          </w:tcPr>
          <w:p w14:paraId="250A11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w:t>
            </w:r>
          </w:p>
        </w:tc>
        <w:tc>
          <w:tcPr>
            <w:tcW w:w="1868" w:type="dxa"/>
          </w:tcPr>
          <w:p w14:paraId="0E53AB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AF86E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558</w:t>
            </w:r>
          </w:p>
        </w:tc>
        <w:tc>
          <w:tcPr>
            <w:tcW w:w="1868" w:type="dxa"/>
          </w:tcPr>
          <w:p w14:paraId="67AB94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C6527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578</w:t>
            </w:r>
          </w:p>
        </w:tc>
        <w:tc>
          <w:tcPr>
            <w:tcW w:w="1868" w:type="dxa"/>
          </w:tcPr>
          <w:p w14:paraId="0F9B49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564</w:t>
            </w:r>
          </w:p>
        </w:tc>
      </w:tr>
      <w:tr w:rsidR="004D4663" w:rsidRPr="00070ADE" w14:paraId="679DC3B2" w14:textId="77777777">
        <w:tc>
          <w:tcPr>
            <w:tcW w:w="1868" w:type="dxa"/>
          </w:tcPr>
          <w:p w14:paraId="7E02B0D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1-й гр. высотности, м</w:t>
            </w:r>
          </w:p>
        </w:tc>
        <w:tc>
          <w:tcPr>
            <w:tcW w:w="1868" w:type="dxa"/>
          </w:tcPr>
          <w:p w14:paraId="4846ED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40636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600/1800</w:t>
            </w:r>
          </w:p>
        </w:tc>
        <w:tc>
          <w:tcPr>
            <w:tcW w:w="1868" w:type="dxa"/>
          </w:tcPr>
          <w:p w14:paraId="5D67E9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625/2200</w:t>
            </w:r>
          </w:p>
        </w:tc>
        <w:tc>
          <w:tcPr>
            <w:tcW w:w="1868" w:type="dxa"/>
          </w:tcPr>
          <w:p w14:paraId="768560F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75E4DA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86F0821" w14:textId="77777777">
        <w:tc>
          <w:tcPr>
            <w:tcW w:w="1868" w:type="dxa"/>
          </w:tcPr>
          <w:p w14:paraId="2A6973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2-й гр. высотности, м</w:t>
            </w:r>
          </w:p>
        </w:tc>
        <w:tc>
          <w:tcPr>
            <w:tcW w:w="1868" w:type="dxa"/>
          </w:tcPr>
          <w:p w14:paraId="2A9348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F5A4B5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620/3850</w:t>
            </w:r>
          </w:p>
        </w:tc>
        <w:tc>
          <w:tcPr>
            <w:tcW w:w="1868" w:type="dxa"/>
          </w:tcPr>
          <w:p w14:paraId="7609D3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671/4900</w:t>
            </w:r>
          </w:p>
        </w:tc>
        <w:tc>
          <w:tcPr>
            <w:tcW w:w="1868" w:type="dxa"/>
          </w:tcPr>
          <w:p w14:paraId="7214EE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623/4100</w:t>
            </w:r>
          </w:p>
        </w:tc>
        <w:tc>
          <w:tcPr>
            <w:tcW w:w="1868" w:type="dxa"/>
          </w:tcPr>
          <w:p w14:paraId="2816A97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95BDBDE" w14:textId="77777777">
        <w:tc>
          <w:tcPr>
            <w:tcW w:w="1868" w:type="dxa"/>
          </w:tcPr>
          <w:p w14:paraId="269796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w:t>
            </w:r>
          </w:p>
        </w:tc>
        <w:tc>
          <w:tcPr>
            <w:tcW w:w="1868" w:type="dxa"/>
          </w:tcPr>
          <w:p w14:paraId="207C6F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0E15A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0677F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DA128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A9175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3873A5F" w14:textId="77777777">
        <w:tc>
          <w:tcPr>
            <w:tcW w:w="1868" w:type="dxa"/>
          </w:tcPr>
          <w:p w14:paraId="240E96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высоты 5000 м, мин</w:t>
            </w:r>
          </w:p>
        </w:tc>
        <w:tc>
          <w:tcPr>
            <w:tcW w:w="1868" w:type="dxa"/>
          </w:tcPr>
          <w:p w14:paraId="5EB88D6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9154E4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w:t>
            </w:r>
          </w:p>
        </w:tc>
        <w:tc>
          <w:tcPr>
            <w:tcW w:w="1868" w:type="dxa"/>
          </w:tcPr>
          <w:p w14:paraId="716809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F3D7C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w:t>
            </w:r>
          </w:p>
        </w:tc>
        <w:tc>
          <w:tcPr>
            <w:tcW w:w="1868" w:type="dxa"/>
          </w:tcPr>
          <w:p w14:paraId="34E0EA3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tc>
      </w:tr>
      <w:tr w:rsidR="004D4663" w:rsidRPr="00070ADE" w14:paraId="25B66081" w14:textId="77777777">
        <w:tc>
          <w:tcPr>
            <w:tcW w:w="1868" w:type="dxa"/>
          </w:tcPr>
          <w:p w14:paraId="65D70CE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м</w:t>
            </w:r>
          </w:p>
        </w:tc>
        <w:tc>
          <w:tcPr>
            <w:tcW w:w="1868" w:type="dxa"/>
          </w:tcPr>
          <w:p w14:paraId="0617C5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90849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10400</w:t>
            </w:r>
          </w:p>
        </w:tc>
        <w:tc>
          <w:tcPr>
            <w:tcW w:w="1868" w:type="dxa"/>
          </w:tcPr>
          <w:p w14:paraId="2DFAAB2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4848D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10700</w:t>
            </w:r>
          </w:p>
        </w:tc>
        <w:tc>
          <w:tcPr>
            <w:tcW w:w="1868" w:type="dxa"/>
          </w:tcPr>
          <w:p w14:paraId="6C26C0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11300</w:t>
            </w:r>
          </w:p>
        </w:tc>
      </w:tr>
      <w:tr w:rsidR="004D4663" w:rsidRPr="00070ADE" w14:paraId="00DAAC17" w14:textId="77777777">
        <w:tc>
          <w:tcPr>
            <w:tcW w:w="1868" w:type="dxa"/>
          </w:tcPr>
          <w:p w14:paraId="60A1090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виража</w:t>
            </w:r>
          </w:p>
        </w:tc>
        <w:tc>
          <w:tcPr>
            <w:tcW w:w="1868" w:type="dxa"/>
          </w:tcPr>
          <w:p w14:paraId="1CE36A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B888C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08355B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97BCB9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D3EE4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A534944" w14:textId="77777777">
        <w:tc>
          <w:tcPr>
            <w:tcW w:w="1868" w:type="dxa"/>
          </w:tcPr>
          <w:p w14:paraId="6008980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 1000 м,</w:t>
            </w:r>
          </w:p>
        </w:tc>
        <w:tc>
          <w:tcPr>
            <w:tcW w:w="1868" w:type="dxa"/>
          </w:tcPr>
          <w:p w14:paraId="44BCAA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4F8B9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19,5</w:t>
            </w:r>
          </w:p>
        </w:tc>
        <w:tc>
          <w:tcPr>
            <w:tcW w:w="1868" w:type="dxa"/>
          </w:tcPr>
          <w:p w14:paraId="25008E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16434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1C3FE5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r>
      <w:tr w:rsidR="004D4663" w:rsidRPr="00070ADE" w14:paraId="5920E6CF" w14:textId="77777777">
        <w:tc>
          <w:tcPr>
            <w:tcW w:w="1868" w:type="dxa"/>
          </w:tcPr>
          <w:p w14:paraId="482EAE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макс, км</w:t>
            </w:r>
          </w:p>
        </w:tc>
        <w:tc>
          <w:tcPr>
            <w:tcW w:w="1868" w:type="dxa"/>
          </w:tcPr>
          <w:p w14:paraId="41EE83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63788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850</w:t>
            </w:r>
          </w:p>
        </w:tc>
        <w:tc>
          <w:tcPr>
            <w:tcW w:w="1868" w:type="dxa"/>
          </w:tcPr>
          <w:p w14:paraId="4B81A5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7B58E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690</w:t>
            </w:r>
          </w:p>
        </w:tc>
        <w:tc>
          <w:tcPr>
            <w:tcW w:w="1868" w:type="dxa"/>
          </w:tcPr>
          <w:p w14:paraId="1B2442B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tc>
      </w:tr>
      <w:tr w:rsidR="004D4663" w:rsidRPr="00070ADE" w14:paraId="6A7DAD44" w14:textId="77777777">
        <w:tc>
          <w:tcPr>
            <w:tcW w:w="1868" w:type="dxa"/>
            <w:tcBorders>
              <w:bottom w:val="single" w:sz="12" w:space="0" w:color="auto"/>
            </w:tcBorders>
          </w:tcPr>
          <w:p w14:paraId="5E437C1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Разбег/пробег, м</w:t>
            </w:r>
          </w:p>
        </w:tc>
        <w:tc>
          <w:tcPr>
            <w:tcW w:w="1868" w:type="dxa"/>
            <w:tcBorders>
              <w:bottom w:val="single" w:sz="12" w:space="0" w:color="auto"/>
            </w:tcBorders>
          </w:tcPr>
          <w:p w14:paraId="5DFCB04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4204AF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320/575</w:t>
            </w:r>
          </w:p>
        </w:tc>
        <w:tc>
          <w:tcPr>
            <w:tcW w:w="1868" w:type="dxa"/>
            <w:tcBorders>
              <w:bottom w:val="single" w:sz="12" w:space="0" w:color="auto"/>
            </w:tcBorders>
          </w:tcPr>
          <w:p w14:paraId="48D7258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00C873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Borders>
              <w:bottom w:val="single" w:sz="12" w:space="0" w:color="auto"/>
            </w:tcBorders>
          </w:tcPr>
          <w:p w14:paraId="24F1C7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390/560</w:t>
            </w:r>
          </w:p>
        </w:tc>
      </w:tr>
    </w:tbl>
    <w:p w14:paraId="726D064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Наддув двигателя 1100 мм рт. ст. (12046).</w:t>
      </w:r>
    </w:p>
    <w:p w14:paraId="5B9671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данные истребителей Як-9У с двигателями М-107А (ВК-107А)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4D4663" w:rsidRPr="00070ADE" w14:paraId="36900C99" w14:textId="77777777">
        <w:tc>
          <w:tcPr>
            <w:tcW w:w="1868" w:type="dxa"/>
            <w:tcBorders>
              <w:top w:val="single" w:sz="12" w:space="0" w:color="auto"/>
            </w:tcBorders>
          </w:tcPr>
          <w:p w14:paraId="3583FC4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w:t>
            </w:r>
          </w:p>
        </w:tc>
        <w:tc>
          <w:tcPr>
            <w:tcW w:w="1868" w:type="dxa"/>
            <w:tcBorders>
              <w:top w:val="single" w:sz="12" w:space="0" w:color="auto"/>
            </w:tcBorders>
          </w:tcPr>
          <w:p w14:paraId="2371B03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w:t>
            </w:r>
          </w:p>
        </w:tc>
        <w:tc>
          <w:tcPr>
            <w:tcW w:w="1868" w:type="dxa"/>
            <w:tcBorders>
              <w:top w:val="single" w:sz="12" w:space="0" w:color="auto"/>
            </w:tcBorders>
          </w:tcPr>
          <w:p w14:paraId="5B8317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w:t>
            </w:r>
          </w:p>
        </w:tc>
        <w:tc>
          <w:tcPr>
            <w:tcW w:w="1868" w:type="dxa"/>
            <w:tcBorders>
              <w:top w:val="single" w:sz="12" w:space="0" w:color="auto"/>
            </w:tcBorders>
          </w:tcPr>
          <w:p w14:paraId="4F353F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Як-9У2</w:t>
            </w:r>
          </w:p>
        </w:tc>
        <w:tc>
          <w:tcPr>
            <w:tcW w:w="1868" w:type="dxa"/>
            <w:tcBorders>
              <w:top w:val="single" w:sz="12" w:space="0" w:color="auto"/>
            </w:tcBorders>
          </w:tcPr>
          <w:p w14:paraId="48D239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w:t>
            </w:r>
          </w:p>
        </w:tc>
        <w:tc>
          <w:tcPr>
            <w:tcW w:w="1868" w:type="dxa"/>
            <w:tcBorders>
              <w:top w:val="single" w:sz="12" w:space="0" w:color="auto"/>
            </w:tcBorders>
          </w:tcPr>
          <w:p w14:paraId="4402B2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w:t>
            </w:r>
          </w:p>
        </w:tc>
      </w:tr>
      <w:tr w:rsidR="004D4663" w:rsidRPr="00070ADE" w14:paraId="2923F877" w14:textId="77777777">
        <w:tc>
          <w:tcPr>
            <w:tcW w:w="1868" w:type="dxa"/>
          </w:tcPr>
          <w:p w14:paraId="4F4020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w:t>
            </w:r>
          </w:p>
        </w:tc>
        <w:tc>
          <w:tcPr>
            <w:tcW w:w="1868" w:type="dxa"/>
          </w:tcPr>
          <w:p w14:paraId="6A371C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115</w:t>
            </w:r>
          </w:p>
        </w:tc>
        <w:tc>
          <w:tcPr>
            <w:tcW w:w="1868" w:type="dxa"/>
          </w:tcPr>
          <w:p w14:paraId="5F4A9E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166</w:t>
            </w:r>
          </w:p>
        </w:tc>
        <w:tc>
          <w:tcPr>
            <w:tcW w:w="1868" w:type="dxa"/>
          </w:tcPr>
          <w:p w14:paraId="4CAF55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166 и 115</w:t>
            </w:r>
          </w:p>
        </w:tc>
        <w:tc>
          <w:tcPr>
            <w:tcW w:w="1868" w:type="dxa"/>
          </w:tcPr>
          <w:p w14:paraId="7D743B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166</w:t>
            </w:r>
          </w:p>
        </w:tc>
        <w:tc>
          <w:tcPr>
            <w:tcW w:w="1868" w:type="dxa"/>
          </w:tcPr>
          <w:p w14:paraId="6F2CEA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w:t>
            </w:r>
          </w:p>
        </w:tc>
      </w:tr>
      <w:tr w:rsidR="004D4663" w:rsidRPr="00070ADE" w14:paraId="48EFD2B8" w14:textId="77777777">
        <w:tc>
          <w:tcPr>
            <w:tcW w:w="1868" w:type="dxa"/>
          </w:tcPr>
          <w:p w14:paraId="63FFA4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Серийный №</w:t>
            </w:r>
          </w:p>
        </w:tc>
        <w:tc>
          <w:tcPr>
            <w:tcW w:w="1868" w:type="dxa"/>
          </w:tcPr>
          <w:p w14:paraId="61660A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опытный</w:t>
            </w:r>
          </w:p>
        </w:tc>
        <w:tc>
          <w:tcPr>
            <w:tcW w:w="1868" w:type="dxa"/>
          </w:tcPr>
          <w:p w14:paraId="22A185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39-083</w:t>
            </w:r>
          </w:p>
        </w:tc>
        <w:tc>
          <w:tcPr>
            <w:tcW w:w="1868" w:type="dxa"/>
          </w:tcPr>
          <w:p w14:paraId="299952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41-038</w:t>
            </w:r>
          </w:p>
        </w:tc>
        <w:tc>
          <w:tcPr>
            <w:tcW w:w="1868" w:type="dxa"/>
          </w:tcPr>
          <w:p w14:paraId="79FE72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52-082</w:t>
            </w:r>
          </w:p>
        </w:tc>
        <w:tc>
          <w:tcPr>
            <w:tcW w:w="1868" w:type="dxa"/>
          </w:tcPr>
          <w:p w14:paraId="316D4B5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10-10</w:t>
            </w:r>
          </w:p>
        </w:tc>
      </w:tr>
      <w:tr w:rsidR="004D4663" w:rsidRPr="00070ADE" w14:paraId="72233850" w14:textId="77777777">
        <w:tc>
          <w:tcPr>
            <w:tcW w:w="1868" w:type="dxa"/>
          </w:tcPr>
          <w:p w14:paraId="3373CAB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Мощность, л.с.</w:t>
            </w:r>
          </w:p>
        </w:tc>
        <w:tc>
          <w:tcPr>
            <w:tcW w:w="1868" w:type="dxa"/>
          </w:tcPr>
          <w:p w14:paraId="7C33A6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48FA0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4FD2B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F6D7C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63E61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0FE6683" w14:textId="77777777">
        <w:tc>
          <w:tcPr>
            <w:tcW w:w="1868" w:type="dxa"/>
          </w:tcPr>
          <w:p w14:paraId="4C34590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взлетная</w:t>
            </w:r>
          </w:p>
        </w:tc>
        <w:tc>
          <w:tcPr>
            <w:tcW w:w="1868" w:type="dxa"/>
          </w:tcPr>
          <w:p w14:paraId="0F479C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495E41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w:t>
            </w:r>
          </w:p>
        </w:tc>
        <w:tc>
          <w:tcPr>
            <w:tcW w:w="1868" w:type="dxa"/>
          </w:tcPr>
          <w:p w14:paraId="400A19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1650</w:t>
            </w:r>
          </w:p>
        </w:tc>
        <w:tc>
          <w:tcPr>
            <w:tcW w:w="1868" w:type="dxa"/>
          </w:tcPr>
          <w:p w14:paraId="5E92A7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1650</w:t>
            </w:r>
          </w:p>
        </w:tc>
        <w:tc>
          <w:tcPr>
            <w:tcW w:w="1868" w:type="dxa"/>
          </w:tcPr>
          <w:p w14:paraId="3B3EBD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w:t>
            </w:r>
          </w:p>
        </w:tc>
      </w:tr>
      <w:tr w:rsidR="004D4663" w:rsidRPr="00070ADE" w14:paraId="1FA7034B" w14:textId="77777777">
        <w:tc>
          <w:tcPr>
            <w:tcW w:w="1868" w:type="dxa"/>
          </w:tcPr>
          <w:p w14:paraId="6AAFAE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w:t>
            </w:r>
          </w:p>
        </w:tc>
        <w:tc>
          <w:tcPr>
            <w:tcW w:w="1868" w:type="dxa"/>
          </w:tcPr>
          <w:p w14:paraId="70BE53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1600/1800</w:t>
            </w:r>
          </w:p>
        </w:tc>
        <w:tc>
          <w:tcPr>
            <w:tcW w:w="1868" w:type="dxa"/>
          </w:tcPr>
          <w:p w14:paraId="50860C5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1550/1200</w:t>
            </w:r>
          </w:p>
        </w:tc>
        <w:tc>
          <w:tcPr>
            <w:tcW w:w="1868" w:type="dxa"/>
          </w:tcPr>
          <w:p w14:paraId="4193688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1600/1800</w:t>
            </w:r>
          </w:p>
        </w:tc>
        <w:tc>
          <w:tcPr>
            <w:tcW w:w="1868" w:type="dxa"/>
          </w:tcPr>
          <w:p w14:paraId="4F1EBC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1600/1800'</w:t>
            </w:r>
          </w:p>
        </w:tc>
        <w:tc>
          <w:tcPr>
            <w:tcW w:w="1868" w:type="dxa"/>
          </w:tcPr>
          <w:p w14:paraId="694538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550/1200</w:t>
            </w:r>
          </w:p>
        </w:tc>
      </w:tr>
      <w:tr w:rsidR="004D4663" w:rsidRPr="00070ADE" w14:paraId="791960FA" w14:textId="77777777">
        <w:tc>
          <w:tcPr>
            <w:tcW w:w="1868" w:type="dxa"/>
          </w:tcPr>
          <w:p w14:paraId="65362A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A08D9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1500/4500</w:t>
            </w:r>
          </w:p>
        </w:tc>
        <w:tc>
          <w:tcPr>
            <w:tcW w:w="1868" w:type="dxa"/>
          </w:tcPr>
          <w:p w14:paraId="709B1F6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1450/3800</w:t>
            </w:r>
          </w:p>
        </w:tc>
        <w:tc>
          <w:tcPr>
            <w:tcW w:w="1868" w:type="dxa"/>
          </w:tcPr>
          <w:p w14:paraId="0A1048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1500/4500</w:t>
            </w:r>
          </w:p>
        </w:tc>
        <w:tc>
          <w:tcPr>
            <w:tcW w:w="1868" w:type="dxa"/>
          </w:tcPr>
          <w:p w14:paraId="2DB266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1500/3800'</w:t>
            </w:r>
          </w:p>
        </w:tc>
        <w:tc>
          <w:tcPr>
            <w:tcW w:w="1868" w:type="dxa"/>
          </w:tcPr>
          <w:p w14:paraId="30243B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450/3800</w:t>
            </w:r>
          </w:p>
        </w:tc>
      </w:tr>
      <w:tr w:rsidR="004D4663" w:rsidRPr="00070ADE" w14:paraId="3319893A" w14:textId="77777777">
        <w:tc>
          <w:tcPr>
            <w:tcW w:w="1868" w:type="dxa"/>
          </w:tcPr>
          <w:p w14:paraId="5DAA52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Размах крыла,м</w:t>
            </w:r>
          </w:p>
        </w:tc>
        <w:tc>
          <w:tcPr>
            <w:tcW w:w="1868" w:type="dxa"/>
          </w:tcPr>
          <w:p w14:paraId="6A3B39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c>
          <w:tcPr>
            <w:tcW w:w="1868" w:type="dxa"/>
          </w:tcPr>
          <w:p w14:paraId="7D2B8E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c>
          <w:tcPr>
            <w:tcW w:w="1868" w:type="dxa"/>
          </w:tcPr>
          <w:p w14:paraId="0B0A63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c>
          <w:tcPr>
            <w:tcW w:w="1868" w:type="dxa"/>
          </w:tcPr>
          <w:p w14:paraId="289A7F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c>
          <w:tcPr>
            <w:tcW w:w="1868" w:type="dxa"/>
          </w:tcPr>
          <w:p w14:paraId="4A156D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9,74</w:t>
            </w:r>
          </w:p>
        </w:tc>
      </w:tr>
      <w:tr w:rsidR="004D4663" w:rsidRPr="00070ADE" w14:paraId="1FA3265B" w14:textId="77777777">
        <w:tc>
          <w:tcPr>
            <w:tcW w:w="1868" w:type="dxa"/>
          </w:tcPr>
          <w:p w14:paraId="75B254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м</w:t>
            </w:r>
          </w:p>
        </w:tc>
        <w:tc>
          <w:tcPr>
            <w:tcW w:w="1868" w:type="dxa"/>
          </w:tcPr>
          <w:p w14:paraId="555A07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8,55</w:t>
            </w:r>
          </w:p>
        </w:tc>
        <w:tc>
          <w:tcPr>
            <w:tcW w:w="1868" w:type="dxa"/>
          </w:tcPr>
          <w:p w14:paraId="79E5B77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8,55</w:t>
            </w:r>
          </w:p>
        </w:tc>
        <w:tc>
          <w:tcPr>
            <w:tcW w:w="1868" w:type="dxa"/>
          </w:tcPr>
          <w:p w14:paraId="7CBB2E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8,55</w:t>
            </w:r>
          </w:p>
        </w:tc>
        <w:tc>
          <w:tcPr>
            <w:tcW w:w="1868" w:type="dxa"/>
          </w:tcPr>
          <w:p w14:paraId="340657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8,55</w:t>
            </w:r>
          </w:p>
        </w:tc>
        <w:tc>
          <w:tcPr>
            <w:tcW w:w="1868" w:type="dxa"/>
          </w:tcPr>
          <w:p w14:paraId="725AC7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8,55</w:t>
            </w:r>
          </w:p>
        </w:tc>
      </w:tr>
      <w:tr w:rsidR="004D4663" w:rsidRPr="00070ADE" w14:paraId="4FE93E04" w14:textId="77777777">
        <w:tc>
          <w:tcPr>
            <w:tcW w:w="1868" w:type="dxa"/>
          </w:tcPr>
          <w:p w14:paraId="510329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Площадь крыла, мг</w:t>
            </w:r>
          </w:p>
        </w:tc>
        <w:tc>
          <w:tcPr>
            <w:tcW w:w="1868" w:type="dxa"/>
          </w:tcPr>
          <w:p w14:paraId="016C64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c>
          <w:tcPr>
            <w:tcW w:w="1868" w:type="dxa"/>
          </w:tcPr>
          <w:p w14:paraId="364A29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c>
          <w:tcPr>
            <w:tcW w:w="1868" w:type="dxa"/>
          </w:tcPr>
          <w:p w14:paraId="562988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c>
          <w:tcPr>
            <w:tcW w:w="1868" w:type="dxa"/>
          </w:tcPr>
          <w:p w14:paraId="1274DF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c>
          <w:tcPr>
            <w:tcW w:w="1868" w:type="dxa"/>
          </w:tcPr>
          <w:p w14:paraId="28B2015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r>
      <w:tr w:rsidR="004D4663" w:rsidRPr="00070ADE" w14:paraId="4366BCC1" w14:textId="77777777">
        <w:tc>
          <w:tcPr>
            <w:tcW w:w="1868" w:type="dxa"/>
          </w:tcPr>
          <w:p w14:paraId="41FD05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Взлетный вес, кг</w:t>
            </w:r>
          </w:p>
        </w:tc>
        <w:tc>
          <w:tcPr>
            <w:tcW w:w="1868" w:type="dxa"/>
          </w:tcPr>
          <w:p w14:paraId="22BAAF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3204</w:t>
            </w:r>
          </w:p>
        </w:tc>
        <w:tc>
          <w:tcPr>
            <w:tcW w:w="1868" w:type="dxa"/>
          </w:tcPr>
          <w:p w14:paraId="6EEB02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3204</w:t>
            </w:r>
          </w:p>
        </w:tc>
        <w:tc>
          <w:tcPr>
            <w:tcW w:w="1868" w:type="dxa"/>
          </w:tcPr>
          <w:p w14:paraId="48CB32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3145</w:t>
            </w:r>
          </w:p>
        </w:tc>
        <w:tc>
          <w:tcPr>
            <w:tcW w:w="1868" w:type="dxa"/>
          </w:tcPr>
          <w:p w14:paraId="364DEE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3268</w:t>
            </w:r>
          </w:p>
        </w:tc>
        <w:tc>
          <w:tcPr>
            <w:tcW w:w="1868" w:type="dxa"/>
          </w:tcPr>
          <w:p w14:paraId="66BEDE6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3197</w:t>
            </w:r>
          </w:p>
        </w:tc>
      </w:tr>
      <w:tr w:rsidR="004D4663" w:rsidRPr="00070ADE" w14:paraId="38F1E5A6" w14:textId="77777777">
        <w:tc>
          <w:tcPr>
            <w:tcW w:w="1868" w:type="dxa"/>
          </w:tcPr>
          <w:p w14:paraId="57641FD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кг</w:t>
            </w:r>
          </w:p>
        </w:tc>
        <w:tc>
          <w:tcPr>
            <w:tcW w:w="1868" w:type="dxa"/>
          </w:tcPr>
          <w:p w14:paraId="372557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2E964F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2512</w:t>
            </w:r>
          </w:p>
        </w:tc>
        <w:tc>
          <w:tcPr>
            <w:tcW w:w="1868" w:type="dxa"/>
          </w:tcPr>
          <w:p w14:paraId="576A2A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2498</w:t>
            </w:r>
          </w:p>
        </w:tc>
        <w:tc>
          <w:tcPr>
            <w:tcW w:w="1868" w:type="dxa"/>
          </w:tcPr>
          <w:p w14:paraId="1EFBC6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2596</w:t>
            </w:r>
          </w:p>
        </w:tc>
        <w:tc>
          <w:tcPr>
            <w:tcW w:w="1868" w:type="dxa"/>
          </w:tcPr>
          <w:p w14:paraId="3BEE1D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2529</w:t>
            </w:r>
          </w:p>
        </w:tc>
      </w:tr>
      <w:tr w:rsidR="004D4663" w:rsidRPr="00070ADE" w14:paraId="7C608AD7" w14:textId="77777777">
        <w:tc>
          <w:tcPr>
            <w:tcW w:w="1868" w:type="dxa"/>
          </w:tcPr>
          <w:p w14:paraId="3303E9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топлива, кг</w:t>
            </w:r>
          </w:p>
        </w:tc>
        <w:tc>
          <w:tcPr>
            <w:tcW w:w="1868" w:type="dxa"/>
          </w:tcPr>
          <w:p w14:paraId="3815FF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355</w:t>
            </w:r>
          </w:p>
        </w:tc>
        <w:tc>
          <w:tcPr>
            <w:tcW w:w="1868" w:type="dxa"/>
          </w:tcPr>
          <w:p w14:paraId="3EF6BC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380</w:t>
            </w:r>
          </w:p>
        </w:tc>
        <w:tc>
          <w:tcPr>
            <w:tcW w:w="1868" w:type="dxa"/>
          </w:tcPr>
          <w:p w14:paraId="1AB4960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351</w:t>
            </w:r>
          </w:p>
        </w:tc>
        <w:tc>
          <w:tcPr>
            <w:tcW w:w="1868" w:type="dxa"/>
          </w:tcPr>
          <w:p w14:paraId="1CED4B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360</w:t>
            </w:r>
          </w:p>
        </w:tc>
        <w:tc>
          <w:tcPr>
            <w:tcW w:w="1868" w:type="dxa"/>
          </w:tcPr>
          <w:p w14:paraId="566F06B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81D0951" w14:textId="77777777">
        <w:tc>
          <w:tcPr>
            <w:tcW w:w="1868" w:type="dxa"/>
          </w:tcPr>
          <w:p w14:paraId="1EBB52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км/ч</w:t>
            </w:r>
          </w:p>
        </w:tc>
        <w:tc>
          <w:tcPr>
            <w:tcW w:w="1868" w:type="dxa"/>
          </w:tcPr>
          <w:p w14:paraId="135688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9B019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3C0A5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09F1C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325B1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B5F7F4E" w14:textId="77777777">
        <w:tc>
          <w:tcPr>
            <w:tcW w:w="1868" w:type="dxa"/>
          </w:tcPr>
          <w:p w14:paraId="1CFB44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w:t>
            </w:r>
          </w:p>
        </w:tc>
        <w:tc>
          <w:tcPr>
            <w:tcW w:w="1868" w:type="dxa"/>
          </w:tcPr>
          <w:p w14:paraId="6E7A78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tc>
        <w:tc>
          <w:tcPr>
            <w:tcW w:w="1868" w:type="dxa"/>
          </w:tcPr>
          <w:p w14:paraId="6B775D3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575</w:t>
            </w:r>
          </w:p>
        </w:tc>
        <w:tc>
          <w:tcPr>
            <w:tcW w:w="1868" w:type="dxa"/>
          </w:tcPr>
          <w:p w14:paraId="5D3F6C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577</w:t>
            </w:r>
          </w:p>
        </w:tc>
        <w:tc>
          <w:tcPr>
            <w:tcW w:w="1868" w:type="dxa"/>
          </w:tcPr>
          <w:p w14:paraId="653932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572</w:t>
            </w:r>
          </w:p>
        </w:tc>
        <w:tc>
          <w:tcPr>
            <w:tcW w:w="1868" w:type="dxa"/>
          </w:tcPr>
          <w:p w14:paraId="5E52D91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564</w:t>
            </w:r>
          </w:p>
        </w:tc>
      </w:tr>
      <w:tr w:rsidR="004D4663" w:rsidRPr="00070ADE" w14:paraId="23E4BBED" w14:textId="77777777">
        <w:tc>
          <w:tcPr>
            <w:tcW w:w="1868" w:type="dxa"/>
          </w:tcPr>
          <w:p w14:paraId="09A3AA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1-й гр. высотности, м</w:t>
            </w:r>
          </w:p>
        </w:tc>
        <w:tc>
          <w:tcPr>
            <w:tcW w:w="1868" w:type="dxa"/>
          </w:tcPr>
          <w:p w14:paraId="66CD0D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676/3000</w:t>
            </w:r>
          </w:p>
        </w:tc>
        <w:tc>
          <w:tcPr>
            <w:tcW w:w="1868" w:type="dxa"/>
          </w:tcPr>
          <w:p w14:paraId="639770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636/2500</w:t>
            </w:r>
          </w:p>
        </w:tc>
        <w:tc>
          <w:tcPr>
            <w:tcW w:w="1868" w:type="dxa"/>
          </w:tcPr>
          <w:p w14:paraId="43BA2D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641/2950</w:t>
            </w:r>
          </w:p>
        </w:tc>
        <w:tc>
          <w:tcPr>
            <w:tcW w:w="1868" w:type="dxa"/>
          </w:tcPr>
          <w:p w14:paraId="5882AA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648/3300</w:t>
            </w:r>
          </w:p>
        </w:tc>
        <w:tc>
          <w:tcPr>
            <w:tcW w:w="1868" w:type="dxa"/>
          </w:tcPr>
          <w:p w14:paraId="27DEA8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632/2700</w:t>
            </w:r>
          </w:p>
        </w:tc>
      </w:tr>
      <w:tr w:rsidR="004D4663" w:rsidRPr="00070ADE" w14:paraId="3E8B8ACA" w14:textId="77777777">
        <w:tc>
          <w:tcPr>
            <w:tcW w:w="1868" w:type="dxa"/>
          </w:tcPr>
          <w:p w14:paraId="190A46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2-й гр. высотности, м</w:t>
            </w:r>
          </w:p>
        </w:tc>
        <w:tc>
          <w:tcPr>
            <w:tcW w:w="1868" w:type="dxa"/>
          </w:tcPr>
          <w:p w14:paraId="3A506F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700/5500</w:t>
            </w:r>
          </w:p>
        </w:tc>
        <w:tc>
          <w:tcPr>
            <w:tcW w:w="1868" w:type="dxa"/>
          </w:tcPr>
          <w:p w14:paraId="3AC70E0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672/5000</w:t>
            </w:r>
          </w:p>
        </w:tc>
        <w:tc>
          <w:tcPr>
            <w:tcW w:w="1868" w:type="dxa"/>
          </w:tcPr>
          <w:p w14:paraId="01732C1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676/5900</w:t>
            </w:r>
          </w:p>
        </w:tc>
        <w:tc>
          <w:tcPr>
            <w:tcW w:w="1868" w:type="dxa"/>
          </w:tcPr>
          <w:p w14:paraId="3A6E61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680/5850</w:t>
            </w:r>
          </w:p>
        </w:tc>
        <w:tc>
          <w:tcPr>
            <w:tcW w:w="1868" w:type="dxa"/>
          </w:tcPr>
          <w:p w14:paraId="379086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668/5300</w:t>
            </w:r>
          </w:p>
        </w:tc>
      </w:tr>
      <w:tr w:rsidR="004D4663" w:rsidRPr="00070ADE" w14:paraId="0EBFA45D" w14:textId="77777777">
        <w:tc>
          <w:tcPr>
            <w:tcW w:w="1868" w:type="dxa"/>
          </w:tcPr>
          <w:p w14:paraId="0A584F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w:t>
            </w:r>
          </w:p>
        </w:tc>
        <w:tc>
          <w:tcPr>
            <w:tcW w:w="1868" w:type="dxa"/>
          </w:tcPr>
          <w:p w14:paraId="78ED20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C106E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D7990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BA235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8E044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C8F0A45" w14:textId="77777777">
        <w:tc>
          <w:tcPr>
            <w:tcW w:w="1868" w:type="dxa"/>
          </w:tcPr>
          <w:p w14:paraId="69114CD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высоты 5000 м, мин</w:t>
            </w:r>
          </w:p>
        </w:tc>
        <w:tc>
          <w:tcPr>
            <w:tcW w:w="1868" w:type="dxa"/>
          </w:tcPr>
          <w:p w14:paraId="57BDB1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w:t>
            </w:r>
          </w:p>
        </w:tc>
        <w:tc>
          <w:tcPr>
            <w:tcW w:w="1868" w:type="dxa"/>
          </w:tcPr>
          <w:p w14:paraId="235987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1868" w:type="dxa"/>
          </w:tcPr>
          <w:p w14:paraId="3CC2E2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w:t>
            </w:r>
          </w:p>
        </w:tc>
        <w:tc>
          <w:tcPr>
            <w:tcW w:w="1868" w:type="dxa"/>
          </w:tcPr>
          <w:p w14:paraId="1B70AB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5,4/4,4</w:t>
            </w:r>
          </w:p>
        </w:tc>
        <w:tc>
          <w:tcPr>
            <w:tcW w:w="1868" w:type="dxa"/>
          </w:tcPr>
          <w:p w14:paraId="4C7697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w:t>
            </w:r>
          </w:p>
        </w:tc>
      </w:tr>
      <w:tr w:rsidR="004D4663" w:rsidRPr="00070ADE" w14:paraId="2C241644" w14:textId="77777777">
        <w:tc>
          <w:tcPr>
            <w:tcW w:w="1868" w:type="dxa"/>
          </w:tcPr>
          <w:p w14:paraId="1689EC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Практический потолок, м</w:t>
            </w:r>
          </w:p>
        </w:tc>
        <w:tc>
          <w:tcPr>
            <w:tcW w:w="1868" w:type="dxa"/>
          </w:tcPr>
          <w:p w14:paraId="444C93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48BD214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10650</w:t>
            </w:r>
          </w:p>
        </w:tc>
        <w:tc>
          <w:tcPr>
            <w:tcW w:w="1868" w:type="dxa"/>
          </w:tcPr>
          <w:p w14:paraId="1AB3B0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10850</w:t>
            </w:r>
          </w:p>
        </w:tc>
        <w:tc>
          <w:tcPr>
            <w:tcW w:w="1868" w:type="dxa"/>
          </w:tcPr>
          <w:p w14:paraId="7A7714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4556C0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481CCF1" w14:textId="77777777">
        <w:tc>
          <w:tcPr>
            <w:tcW w:w="1868" w:type="dxa"/>
          </w:tcPr>
          <w:p w14:paraId="7F76FCC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виража</w:t>
            </w:r>
          </w:p>
        </w:tc>
        <w:tc>
          <w:tcPr>
            <w:tcW w:w="1868" w:type="dxa"/>
          </w:tcPr>
          <w:p w14:paraId="12CC42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11EF0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AF3AE5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1748A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EE4399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8B67C84" w14:textId="77777777">
        <w:tc>
          <w:tcPr>
            <w:tcW w:w="1868" w:type="dxa"/>
          </w:tcPr>
          <w:p w14:paraId="529FFB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 1000 м,</w:t>
            </w:r>
          </w:p>
        </w:tc>
        <w:tc>
          <w:tcPr>
            <w:tcW w:w="1868" w:type="dxa"/>
          </w:tcPr>
          <w:p w14:paraId="5E8E1D9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w:t>
            </w:r>
          </w:p>
        </w:tc>
        <w:tc>
          <w:tcPr>
            <w:tcW w:w="1868" w:type="dxa"/>
          </w:tcPr>
          <w:p w14:paraId="0D12B8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22455CE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5A0935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Pr>
          <w:p w14:paraId="2E5547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1EFE09A" w14:textId="77777777">
        <w:tc>
          <w:tcPr>
            <w:tcW w:w="1868" w:type="dxa"/>
            <w:tcBorders>
              <w:bottom w:val="single" w:sz="12" w:space="0" w:color="auto"/>
            </w:tcBorders>
          </w:tcPr>
          <w:p w14:paraId="2BD386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макс, км</w:t>
            </w:r>
          </w:p>
        </w:tc>
        <w:tc>
          <w:tcPr>
            <w:tcW w:w="1868" w:type="dxa"/>
            <w:tcBorders>
              <w:bottom w:val="single" w:sz="12" w:space="0" w:color="auto"/>
            </w:tcBorders>
          </w:tcPr>
          <w:p w14:paraId="6CE579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884</w:t>
            </w:r>
          </w:p>
        </w:tc>
        <w:tc>
          <w:tcPr>
            <w:tcW w:w="1868" w:type="dxa"/>
            <w:tcBorders>
              <w:bottom w:val="single" w:sz="12" w:space="0" w:color="auto"/>
            </w:tcBorders>
          </w:tcPr>
          <w:p w14:paraId="3A7E5F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tc>
        <w:tc>
          <w:tcPr>
            <w:tcW w:w="1868" w:type="dxa"/>
            <w:tcBorders>
              <w:bottom w:val="single" w:sz="12" w:space="0" w:color="auto"/>
            </w:tcBorders>
          </w:tcPr>
          <w:p w14:paraId="1D17FEE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10603)</w:t>
            </w:r>
          </w:p>
        </w:tc>
        <w:tc>
          <w:tcPr>
            <w:tcW w:w="1868" w:type="dxa"/>
            <w:tcBorders>
              <w:bottom w:val="single" w:sz="12" w:space="0" w:color="auto"/>
            </w:tcBorders>
          </w:tcPr>
          <w:p w14:paraId="3C9B8F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68" w:type="dxa"/>
            <w:tcBorders>
              <w:bottom w:val="single" w:sz="12" w:space="0" w:color="auto"/>
            </w:tcBorders>
          </w:tcPr>
          <w:p w14:paraId="36D0C3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7855</w:t>
            </w:r>
          </w:p>
        </w:tc>
      </w:tr>
    </w:tbl>
    <w:p w14:paraId="6A8827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 результатам испытаний в январе 1941 г.</w:t>
      </w:r>
    </w:p>
    <w:p w14:paraId="0451AC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Эталон 1945 г.</w:t>
      </w:r>
    </w:p>
    <w:p w14:paraId="4C50AC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 наивыгоднейшем режиме (скорость 314 км/ч и высота 1000 м), продолжительность полета 3 часа 23 минуты. На режиме скоростной дальности (0,9 от максимальной) - 640 км и продолжительность 1 час 18 минут).</w:t>
      </w:r>
    </w:p>
    <w:p w14:paraId="4DE798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На скорости 508 км/ч и высоте 5070 м, продолжительность полета 1 час 21 минута.</w:t>
      </w:r>
    </w:p>
    <w:p w14:paraId="48C690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На скорости 509 км/ч и высоте 5040 м, продолжительность полета 1 час 33 минуты) (12046).</w:t>
      </w:r>
    </w:p>
    <w:p w14:paraId="04AEE6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4D1E7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1944 после доводок Як-9 М-105ПД были начаты испытания. После того, как 16 октября 1943 года на самолете Як-9 М-105ПД была достигнута предельная высота 13000 м на самолете произведены переделки, в основном в части облегчения самолета и усовершенствования системы охлаждения воды и масла. В результате проведенных работ полетный вес самолета уменьшился с 2745 кг до 2650 кг. На самолете установлены: диффузор и сепаратор в водяной системе, впрыск воды в цилиндры мотора, облегченный водорадиатор и новые туннели с облагороженным входом. В новых полетах обнаружены высокие температуры воды и масла (1825).</w:t>
      </w:r>
    </w:p>
    <w:p w14:paraId="43A945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E987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C 27 по 30 апреля 1944 проходили заводские испытания Як-9ПД с М-106ПВ и облегченным винтом ВИШ-105Т и пушкой ША-20М с боекомплектом в 60 снарядов вел В.И.Юганов. Достигли 13500 м, но потом, а в тот раз было только три полета продолжительностью 1:20. Потом на 301 заводе переделали 30 серийных Як-9ПД с М-105ПД под М-106ПД и всего было сделано 35 Як-9ПД (65,127). По другим данным эти испытания так и не были закончены в марте 1945 (2592,223).</w:t>
      </w:r>
    </w:p>
    <w:p w14:paraId="4D02E1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A12A0C"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в 1944 году катастрофа самолёта «P-39Q-10», лётчик-испытатель прдполковник Овчинников К.И. Лётчик погиб при выполнении испытательного полета (15112).</w:t>
      </w:r>
    </w:p>
    <w:p w14:paraId="7BD6BAA4" w14:textId="77777777" w:rsidR="00476D5F" w:rsidRPr="00070ADE" w:rsidRDefault="00476D5F" w:rsidP="00B56F90">
      <w:pPr>
        <w:spacing w:after="0" w:line="240" w:lineRule="auto"/>
        <w:jc w:val="both"/>
        <w:rPr>
          <w:rFonts w:ascii="Times New Roman" w:hAnsi="Times New Roman"/>
          <w:color w:val="000000" w:themeColor="text1"/>
          <w:sz w:val="16"/>
          <w:szCs w:val="16"/>
        </w:rPr>
      </w:pPr>
    </w:p>
    <w:p w14:paraId="77C30C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1944 года вышло распоряжение Совнаркома № 9191-р об организации самостоятельного ОКБ № 3 НКАП. Начальник ОКБ –3 – Братухин. Выделено из состава МАИ (8946).</w:t>
      </w:r>
    </w:p>
    <w:p w14:paraId="10D01D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00DD44" w14:textId="77777777" w:rsidR="00185B57" w:rsidRPr="00070ADE" w:rsidRDefault="00185B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27 апреля по 21 мая 1944 года в НИИ ВВС прошли испытания В-25ДП. Ведущий летчик Г.А. Ашитков отмечал, что по технике пилотирования и летным данным самолет от предыдущих модификаций отличается мало, а его вооружение стало значительно лучше. Отказы в работе новых пулеметных установок удалось устранить доработкой патронных коробок и рукавов подачи лент. Новый автопилот С-1 с электрическими рулевыми машинами хотя и был сложен в настройке и более чувствителен к болтанке, чем старый, вызвал острый интерес наших КБ, разрабатывавших аналогичное оборудование.</w:t>
      </w:r>
    </w:p>
    <w:p w14:paraId="0F355E90" w14:textId="77777777" w:rsidR="00185B57" w:rsidRPr="00070ADE" w:rsidRDefault="00185B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Поставки самолетов B-25D-30-NC (у нас — В-25ДП) начались с 1943 года. На них нижней башни уже не было, зато в бортах появились два удобных шкворня с одним М-2 в каждом, а в хвосте вместо плексигласового кока — электрически управляемая турель еще с двумя такими же пулеметами. Самолет имел ряд других усовершенствований. Появились моторы R-2600-29 с флюгируемыми воздушными винтами, что облегчило длительный полет при отказе одного двигателя. За счет перекомпоновки баков удалось вдвое увеличить бомбоотсек, и реальная бомбовая нагрузка достигла трех тонн.</w:t>
      </w:r>
    </w:p>
    <w:p w14:paraId="0D79713D" w14:textId="77777777" w:rsidR="00185B57" w:rsidRPr="00070ADE" w:rsidRDefault="00185B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Летчик облета Нюхтиков записал в Акте по результатам испытаний: «Самолет Б-25-ДП, несмотря на большой полетный вес (13700 кг), имеет несложные по технике пилотирования взлет и посадку, сравнительно легко ходит на одном моторе, имеет хорошую продольную и вполне удовлетворительную боковую устойчивость. Последнее могло быть и хорошим, если бы у самолета был бы немного увеличен запас путевой устойчивости относительно поперечной и уменьшена нагрузка на ноги». Больше претензий высказали штурманы Филлипов, Литвинчук и Цветков в отношении задней кабины навигатора: «Штурман не имеет места, на котором он мог бы сосредоточенно работать, видеть все приборы, пользоваться ими и наблюдать за землей. Для работы с радиокомпасом и навигационным визиром надо слезать с сиденья. В кабине нет указателя скорости, часов и высотомера. Эти приборы находятся на доске летчика, и штурман их с сиденья не видит. Обзор из кабины не позволяет вести детальную ориентировку. Общую ориентировку вести затруднительно... Наиболее подходящим местом для работы штурмана является кабина бомбардира, обзор из которой хороший и вполне обеспечивает ведение общей и детальной ориентировки».</w:t>
      </w:r>
    </w:p>
    <w:p w14:paraId="06F9EA1C" w14:textId="77777777" w:rsidR="00185B57" w:rsidRPr="00070ADE" w:rsidRDefault="00185B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Особый восторг вызвала радиостанция — предельную дальность связи с землей так и не смогли определить. Самолет, взлетевший в Подмосковье, прошел 2340 км до Харабали в Астраханской области, а качественная двусторонняя связь с землей все еще была! (22858).</w:t>
      </w:r>
    </w:p>
    <w:p w14:paraId="3C96E972" w14:textId="77777777" w:rsidR="00185B57" w:rsidRPr="00070ADE" w:rsidRDefault="00185B57" w:rsidP="00B56F90">
      <w:pPr>
        <w:spacing w:after="0" w:line="240" w:lineRule="auto"/>
        <w:jc w:val="both"/>
        <w:rPr>
          <w:rFonts w:ascii="Times New Roman" w:hAnsi="Times New Roman"/>
          <w:color w:val="000000" w:themeColor="text1"/>
          <w:sz w:val="16"/>
          <w:szCs w:val="16"/>
        </w:rPr>
      </w:pPr>
    </w:p>
    <w:p w14:paraId="1B0779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1944 года вышел приказ НКАП</w:t>
      </w:r>
    </w:p>
    <w:p w14:paraId="08CF2B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 директором завода № 261 Анфимова В.Ф., освободить Явица Н.Ш. (8925)</w:t>
      </w:r>
    </w:p>
    <w:p w14:paraId="0EB861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 директором завода № 284 Чистякова И.И., освободить Петрова И.Л. (8925)</w:t>
      </w:r>
    </w:p>
    <w:p w14:paraId="527F35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 директором завода № 47 Евтеева А.А., освободить Котова В.С. (8925)</w:t>
      </w:r>
    </w:p>
    <w:p w14:paraId="75279B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9481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27 апреля 1944 г. приказом Наркомата авиационной промышленности СССР Трест организации авиационной промышленности «Оргавиапром», созданный 24 ноября 1940 г. был преименован приказом наркомата в Научно-исследовательский институт по организации авиационной промышленности «Оргавиапром» (НИИ «Оргавиапром») и приказом Министерства авиационной промышленности СССР от 26 мая 1947 г. в Научно-исследовательский институт технологии и организации производства (НИАТ) (12101). </w:t>
      </w:r>
    </w:p>
    <w:p w14:paraId="5B4828FF" w14:textId="77777777" w:rsidR="00476D5F" w:rsidRPr="00070ADE" w:rsidRDefault="00476D5F"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59B3A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E4EC3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9D7D0D" w14:textId="77777777" w:rsidR="00783151" w:rsidRPr="00070ADE" w:rsidRDefault="0078315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1944 подписали программу испытаний СУ-57, а испытания на Гороховецком АНИОП прошли с 1 по 4 мая</w:t>
      </w:r>
    </w:p>
    <w:p w14:paraId="4AD31F75" w14:textId="77777777" w:rsidR="00783151" w:rsidRPr="00070ADE" w:rsidRDefault="0078315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постройки опытного образца машины была взята серийная СУ-76М с серийным номером 404855, выпущенная в апреле 1944 года. Первые её испытания стрельбой прошли на заводе 30 апреля. Всего произвели 25 выстрелов, из них 20 усиленным зарядом. На АНИОП произвели ещё 270 выстрелов, из них 107 на усиленном заряде. Кучность осколочно-фугасного снаряда признали удовлетворительной, а кучность бронебойно-трассирующего снаряда — неудовлетворительной. Это была проблема не САУ, а её пушки: похожие проблемы АНИОП отмечал и при испытании ЗИС-2 осенью 1943 года. Лучше оказались результаты стрельбой подкалиберным снарядом.</w:t>
      </w:r>
    </w:p>
    <w:p w14:paraId="206AAD23" w14:textId="77777777" w:rsidR="00783151" w:rsidRPr="00070ADE" w:rsidRDefault="0078315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Прицельная скорострельность достигла 10 выстрелов в минуту, а максимальная — до 15. Испытателям не понравились прицельные приспособления. СУ-76М получила не ЗИС-2, а ствол от неё: панорамный прицел от ЗИС-3, плохо подходивший для стрельбы по движущимся целям, остался на месте. Также не понравилось боевое отделение, частично открытое сзади и с боков.</w:t>
      </w:r>
    </w:p>
    <w:p w14:paraId="3780E531" w14:textId="77777777" w:rsidR="00783151" w:rsidRPr="00070ADE" w:rsidRDefault="0078315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Опытную САУ признали выдержавшей испытания, но требующей ряда переделок. Вместо панорамного прицела следовало поставить телескопический прицел 10-Т. Также нужно было установить электроспуск с кнопкой в рукоятке маховика подъёмного механизма и сделать боевое отделение полностью закрытым. Крышу требовалось изготовить из листов толщиной 5–8 мм, а борта и корму — 15 мм. В корме предусматривался двухстворчатый люк.</w:t>
      </w:r>
    </w:p>
    <w:p w14:paraId="66E55B98" w14:textId="77777777" w:rsidR="00783151" w:rsidRPr="00070ADE" w:rsidRDefault="0078315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учётом этих требований КБ ГАЗ им. Молотова разработало второй вариант САУ. Вместо изготовления новой машины в июне 1944 года был переделан уже имеющийся образец. Наибольшие изменения претерпело боевое отделение, которое стало полностью закрытым. Боевая масса этой машины указывается такой же, как и СУ-76М, что выглядит сомнительно. Вероятнее всего, она выросла примерно на полтонны. Для улучшения обзорности в крыше появились перископические приборы наблюдения MK-IV. Переделка вооружения выполнялась в соответствии с полученным заданием (18098).</w:t>
      </w:r>
    </w:p>
    <w:p w14:paraId="07F7CB69" w14:textId="77777777" w:rsidR="00783151" w:rsidRPr="00070ADE" w:rsidRDefault="00783151" w:rsidP="00B56F90">
      <w:pPr>
        <w:spacing w:after="0" w:line="240" w:lineRule="auto"/>
        <w:jc w:val="both"/>
        <w:rPr>
          <w:rFonts w:ascii="Times New Roman" w:hAnsi="Times New Roman"/>
          <w:color w:val="000000" w:themeColor="text1"/>
          <w:sz w:val="16"/>
          <w:szCs w:val="16"/>
        </w:rPr>
      </w:pPr>
    </w:p>
    <w:p w14:paraId="484331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1944 г. вышел ПРИКАЗ НАЧАЛЬНИКА ГАВТУ КА О ПРОВЕДЕНИИ СРАВНИТЕЛЬНЫХ ИСПЫТАНИЙ АВТОМОБИЛЕЙ ГАЗ-63 И ШЕВРОЛЕ (4X4) №40</w:t>
      </w:r>
    </w:p>
    <w:p w14:paraId="54DED5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03BABD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определения возможности использования в Красной Армии нового грузового автомобиля ГАЗ-63 с двумя ведущими осями, изготовленного Горьковским автозаводом им. Молотова, провести в Научно-испытательном батальоне ГАВТУ КА сравнительные испытания автомобилей ГАЗ-63 и Шевроле С-7107 (4x4).</w:t>
      </w:r>
    </w:p>
    <w:p w14:paraId="2E1425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55F45B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проведения испытаний назначить комиссию под председательством заместителя начальни</w:t>
      </w:r>
      <w:r w:rsidRPr="00070ADE">
        <w:rPr>
          <w:rFonts w:ascii="Times New Roman" w:hAnsi="Times New Roman"/>
          <w:color w:val="000000" w:themeColor="text1"/>
          <w:sz w:val="16"/>
          <w:szCs w:val="16"/>
        </w:rPr>
        <w:softHyphen/>
        <w:t>ка автомобильно-технического комитета ГАВТУ КА инженер-полковника т. Лаврова Н.А. в составе:</w:t>
      </w:r>
    </w:p>
    <w:p w14:paraId="1A7062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старшего помощника начальника 2 отдела УС ГАВТУ КА инженер-майора т. Давидович;</w:t>
      </w:r>
    </w:p>
    <w:p w14:paraId="646FCC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помощника командира научно-испытательного батальона ГАВТУ КА по технической части инженер-капитана т. Генкина;</w:t>
      </w:r>
    </w:p>
    <w:p w14:paraId="3007CA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 начальника автолаборатории научно-испытательного батальона ГАВТУ КА инженер-майора т. Седова;</w:t>
      </w:r>
    </w:p>
    <w:p w14:paraId="35DFBD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представителя АРТКОМа ГАУ КА — по указанию начальника АРТКОМА;</w:t>
      </w:r>
    </w:p>
    <w:p w14:paraId="6376A5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представителя НКСМ;</w:t>
      </w:r>
    </w:p>
    <w:p w14:paraId="59ADA3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представителя ГАЗ.</w:t>
      </w:r>
    </w:p>
    <w:p w14:paraId="755F67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680A6E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Комиссии провести испытания обоих машин в соответствии с утвержденной мною программой испытаний автомобля ГАЗ-63.</w:t>
      </w:r>
    </w:p>
    <w:p w14:paraId="733679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0BEE9A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Комиссии приступить к испытаниям 26 апреля 1944 г. Закончить испытания 20 июня 1944 г.</w:t>
      </w:r>
    </w:p>
    <w:p w14:paraId="5BB8AA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567353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Предварительное заключение по лабораторно-дорожным испытаниям автомашин доложить мне к 10 июня 1944 г.</w:t>
      </w:r>
    </w:p>
    <w:p w14:paraId="214B37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Полный отчет о проведенных испытаниях представить к 25 июня 1944 г.</w:t>
      </w:r>
    </w:p>
    <w:p w14:paraId="5D9256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Главного автомобильного управления КА генерал-лейтенант технических войск Тягунов</w:t>
      </w:r>
    </w:p>
    <w:p w14:paraId="521DBE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41. Оп. 11579. Д. 21. Л. 4-6. Копия (11403).</w:t>
      </w:r>
    </w:p>
    <w:p w14:paraId="5A1E5C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9CA7204"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в 1944 году приказом ГКО организован Центральный научно-исследовательский институт черной металлургии, с 1960 г. имени И.П.Бардина (ныне ФГУП) (15112).</w:t>
      </w:r>
    </w:p>
    <w:p w14:paraId="4684E48F" w14:textId="77777777" w:rsidR="00476D5F" w:rsidRPr="00070ADE" w:rsidRDefault="00476D5F" w:rsidP="00B56F90">
      <w:pPr>
        <w:spacing w:after="0" w:line="240" w:lineRule="auto"/>
        <w:jc w:val="both"/>
        <w:rPr>
          <w:rFonts w:ascii="Times New Roman" w:hAnsi="Times New Roman"/>
          <w:color w:val="000000" w:themeColor="text1"/>
          <w:sz w:val="16"/>
          <w:szCs w:val="16"/>
        </w:rPr>
      </w:pPr>
    </w:p>
    <w:p w14:paraId="73412B5F"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в 1944 году вступил в строй Омский сажевый завод (или завод технического углерода). Ныне ОАО «Омсктехуглерод» – одно из крупнейших по мощности предприятий химической отрасли России. За качество технического углерода получил 24 международные премии (15112).</w:t>
      </w:r>
    </w:p>
    <w:p w14:paraId="2629CB28" w14:textId="77777777" w:rsidR="00476D5F" w:rsidRPr="00070ADE" w:rsidRDefault="00476D5F" w:rsidP="00B56F90">
      <w:pPr>
        <w:spacing w:after="0" w:line="240" w:lineRule="auto"/>
        <w:jc w:val="both"/>
        <w:rPr>
          <w:rFonts w:ascii="Times New Roman" w:hAnsi="Times New Roman"/>
          <w:color w:val="000000" w:themeColor="text1"/>
          <w:sz w:val="16"/>
          <w:szCs w:val="16"/>
        </w:rPr>
      </w:pPr>
    </w:p>
    <w:p w14:paraId="2C6389E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1944 вышло Постановление ГКО № 5745 О мероприятиях по обеспечению бесперебойной работы предприятий Наркомата черной металлургии во II квартале 1944 г. РГАНИР, Фонд ГКО, д. 245, лл. 1-4,5-233 (11012).</w:t>
      </w:r>
    </w:p>
    <w:p w14:paraId="01AD80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826152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1944 вышло Постановление ГКО № 5746 О восстановительных работах I очереди на важнейших железнодорожных направлениях. (7223, 234-244,245-249).</w:t>
      </w:r>
    </w:p>
    <w:p w14:paraId="680603F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D2C4E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1944 вышло Постановление ГКО № 5747 О материально-техническом обеспечении нефтяной промышленности во II квартале 1944 г. РГАНИР, Фонд ГКО, д. 245, лл. 250-257,258-273 (11012).</w:t>
      </w:r>
    </w:p>
    <w:p w14:paraId="35D928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7054B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1944 вышло Постановление ГКО № 5748 О разработке проектов первоочередных типов судов морского, речного и промыслового флотов. РГАНИР, Фонд ГКО, д. 246, лл. 1-3,4-9 (11012).</w:t>
      </w:r>
    </w:p>
    <w:p w14:paraId="511CD1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99DA9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1944 вышло Постановление ГКО № 5750 О сборе, ремонте и хранении теплых вещей и лыжного имущества, находившихся на снабжении Красной Армии, войск НКВД СССР и Наркомвоенморфлота зимой 1943-44 гг. РГАНИР, Фонд ГКО, д. 246, лл. 94-99,100-133 (11012).</w:t>
      </w:r>
    </w:p>
    <w:p w14:paraId="10715FA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870284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1944 Адмиралтейцы спустили на воду очередной МБК,</w:t>
      </w:r>
    </w:p>
    <w:p w14:paraId="31C5B0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08DCD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70C71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6F10D1"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в 1944 году оперативная сводка Совинформбюро:</w:t>
      </w:r>
    </w:p>
    <w:p w14:paraId="26E4DCAC"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27 апреля на фронтах существенных изменений не произошло.</w:t>
      </w:r>
    </w:p>
    <w:p w14:paraId="34F2758C"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26 апреля наши войска на всех фронтах подбили и уничтожили 65 немецких танков. В воздушных боях и огнём зенитной артиллерии сбито 22 самолёта противника.</w:t>
      </w:r>
    </w:p>
    <w:p w14:paraId="54944523"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пехота и танки противника на различных участках предприняли атаки. Немцы безуспешно пытались нащупать слабое звено в советской обороне. Всюду наши бойцы огнём и контрударами отбросили противника на исходные рубежи. Части Н-ского соединения, отражая вражескую атаку, истребили до 400 немецких солдат и офицеров, сожгли и подбили 15 танков, 4 бронетранспортёра и 20 автомашин. Захвачены трофеи. В другом районе находившийся в засаде отряд советских танков нанёс внезапный удар противнику, перешедшему в атаку. Наши танкисты обратили гитлеровцев в бегство. Пулемётно-пушечным огнём уничтожено более роты немецкой пехоты.</w:t>
      </w:r>
    </w:p>
    <w:p w14:paraId="572D4247"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одном участке 2-го Украинского фронта наша разведка установила, что крупные силы противника накапливаются для атаки. Советские артиллеристы и миномётчики упредили немцев. Сосредоточенным огнём они накрыли скопление немецкой пехоты и произвели опустошение в её рядах. Уничтожено до полка гитлеровцев, подбито и сожжено свыше 20 немецких танков и самоходных орудий. Воспользовавшись возникшей среди немцев паникой, наши бойцы овладели сильно укреплёнными позициями. Захвачены у противника 27 орудий разных калибров, склад боеприпасов и большое число пленных.</w:t>
      </w:r>
    </w:p>
    <w:p w14:paraId="7E549394"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подходах к Севастополю группа торпедных катеров Черноморского флота атаковала две быстроходные десантные баржи. В результате атаки потоплена одна десантная баржа противника.</w:t>
      </w:r>
    </w:p>
    <w:p w14:paraId="0DAE834A"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продолжала бомбардировать вражеские суда в порту Севастополь и в открытом море. В Южной бухте прямым попаданием бомб потоплены три баржи. В открытом море советские лётчики потопили два торпедных катера и сторожевой корабль. Одна баржа противника подожжена.</w:t>
      </w:r>
    </w:p>
    <w:p w14:paraId="7AEF5E5C"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воздушных боях в течение дня сбито 9 немецких самолётов.</w:t>
      </w:r>
    </w:p>
    <w:p w14:paraId="4C03DD44"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Украинский партизанский отряд имени 26-й годовщины Красной Армии 14 апреля пустил под откос немецкий воинский эшелон, следовавший к линии фронта. Разбит паровоз и 15 вагонов. Во время крушения погибло много гитлеровцев. Партизаны другого отряда расставили мины на двух смежных одно с другим шоссе. На минах взорвались 8 немецких автомашин и 2 повозки с боеприпасами.</w:t>
      </w:r>
    </w:p>
    <w:p w14:paraId="4B4C5EA2"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лейтенант разведроты 5 батальона 3 румынской горно-стрелковой дивизии Буня Кристя рассказал: «После того, как русские заняли Одессу, настроение румынских офицеров в Крыму резко ухудшилось. Раньше многие ещё верили, что нам удастся как-либо проложить себе путь с Крымского полуострова. С падением Одессы мы поняли, что из крымской ловушки вам уже не выбраться. Многие офицеры всеми правдами и неправдами стали добиваться разрешения на отъезд в Румынию. С помощью подкупа, взяток и шантажа они вымогали у врачей свидетельства о болезни. Так поступили начальник штаба 6 румынской кавалерийской дивизии подполковник Славеску, начальник штаба 9 румынской кавалерийской дивизия и другие. Незадолго до начала русского наступления командир 3 горно-стрелковой дивизии генерал Мочульский информировал офицеров о положении на фронтах. Капитан Хиня задал генералу вопрос: «Удержим ли мы Крым или его придется оставить?» Капитан Янку спросил: «Удастся ли вывести немецко-румынские войска из Крыма, если русские прорвутся?» Генерал раздражённо ответил: «Подобные вопросы свидетельствуют о трусости. Немецкое командование будет защищать Крым всеми силами. Вам известно, что только в феврале сюда прибыли две немецкие дивизии». Это заявление не внесло успокоения в ряды офицеров. Все знают, что Мочульский — бездарный генерал и пресмыкается перед немцами. Наша дивизия была разгромлена русскими и перестала существовать».</w:t>
      </w:r>
    </w:p>
    <w:p w14:paraId="4BD73A07"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Жители села Белгородка, Каменец-Подольской области, составили акт о зверствах немецко-фашистских мерзавцев. В акте говорится: «23 февраля этого года в наше село прибыл отряд немцев. Гитлеровцы приказали всем жителям в течение десяти минут собраться в дорогу. Солдаты ходили из дома в дом и насильно выгоняли взрослых и детей на улицу, а сами забирали себе наиболее ценные вещи. Всех, кто отказался эвакуироваться, а также стариков, детей и больных, которые не могли передвигаться, фашистские изверги расстреляли. Колхозница Гриньчук заявила, что её восьмилетний сын Андрей болен и она не может оставить его. Немцы на её глазах застрелили мальчика, лежавшего в постели. Учительница Валентина Милевская отказалась покинуть свою больную мать. Фашистские бандиты убили двух детей Милевской и её старуху мать. После этого один гитлеровец из автомата расстрелял и учительницу Милевскую. Угнав жителей на железнодорожную станцию, немцы заперли их в сараи. Несколько дней заключённые оставались. в сараях без пищи и воды. Многие дети умерли от голода. Быстро наступающие части Красной Армии спасли остальных жителей от мучительной смерти».</w:t>
      </w:r>
    </w:p>
    <w:p w14:paraId="1AD9FBD5"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жители села Белгородка: М.Семченко, Н.Наконечная, О.Яремчук, П.Воливач, Т.Ратковский, И.Крачковский.» (15112).</w:t>
      </w:r>
    </w:p>
    <w:p w14:paraId="379ED353" w14:textId="77777777" w:rsidR="00476D5F" w:rsidRPr="00070ADE" w:rsidRDefault="00476D5F" w:rsidP="00B56F90">
      <w:pPr>
        <w:spacing w:after="0" w:line="240" w:lineRule="auto"/>
        <w:jc w:val="both"/>
        <w:rPr>
          <w:rFonts w:ascii="Times New Roman" w:hAnsi="Times New Roman"/>
          <w:color w:val="000000" w:themeColor="text1"/>
          <w:sz w:val="16"/>
          <w:szCs w:val="16"/>
        </w:rPr>
      </w:pPr>
    </w:p>
    <w:p w14:paraId="631DF2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1944 г. при взлете на боевое задание младший лейтенант Онищенко из 949-го шап потерял направление и задел за верхушки деревьев. В результате на Ил-2 зав. № 301767 была полностью разрушена левая половина стабилизатора и руля высоты и сильно повреждена правая половина стабилизатора. Имея такие повреждения, летчик сделал два круга над аэродромом и нормально посадил самолет с бомбами (300 кг), 4-мя РС-82 и боекомплектом к пушкам и пулеметам (11921).</w:t>
      </w:r>
    </w:p>
    <w:p w14:paraId="0EF80E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D5E37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1944 г. мл. лейтенант Онищенко из 949-го шап при взлете на боевое задание потерял направление и задел за верхушки деревьев. В результате на Ил-2 зав. №301767 была полностью разрушена левая половина стабилизатора и руля высоты и сильно повреждена правая половина стабилизатора. Имея такие повреждения, летчик сделал два круга над аэродромом и нормально посадил самолет с бомбами 300 кг, 4 РС-82 и боекомплектом к пушкам и пулеметам (12020).</w:t>
      </w:r>
    </w:p>
    <w:p w14:paraId="028AE5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59070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1944 в 19:00 ТК-343, 344 и 332 вышли из Ялты и в 21:15 обнаружили конвой. По оценке командиров катеров он состоял из двух транспортов, тральщика и четырех СКА. Реально в конвои входили три транспорта с охранением из румынской канлод-ки, двух моторных тральщиков и такого же количества больших охотников за подводными лодками “U-104” и “U-115”. Цель для торпед была заманчивая, к тому же черноморцам помогал самолет, сбросивший осветительные бомбы. В 21:18 первым вышел в атаку ТК-344, через две минуты - ТК-343. Их командиры старшие лейтенанты Петров и Кананадзе доложили о потоплении каждым из них по одному транспорту. Судьба 332-го оказалась несчастливой - его атака в 21:25 была безрезультатной, а сам катер, оторвавшийся от двух других, в базу не вернулся. Вероятнее всего, причиной его гибели стал артогонь кораблей охранения. В результате быстротечной схватки был торпедирован и потерял носовую часть “Uj-104” (бывший военный транспорт “КТ-17”, 834 брт). Оставшийся “обрубок” отбуксировали в Севастополь, где его окончательно добили наши летчики в начале мая (6002).</w:t>
      </w:r>
    </w:p>
    <w:p w14:paraId="3148DD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760B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1944 в 04:00 утра л 1-го ГМТАП А.З.Большаков обнаружил два вражеских тральщика в районе маяка Поркаллан-Каллбода и торпедировал один из них (9965).</w:t>
      </w:r>
    </w:p>
    <w:p w14:paraId="72AE02B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8AA2BC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535D2A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349B30"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в 1944 году во избежание путаницы, самолеты «ХР-61С» с двигателями «Пратт &amp; Уитни» «R-2800-14W» и четырьмя подкрыльевыми пилонами назвали «XP-61D», чтобы не путать их с серийными машинами модели «С» (15112).</w:t>
      </w:r>
    </w:p>
    <w:p w14:paraId="553251BC" w14:textId="77777777" w:rsidR="00476D5F" w:rsidRPr="00070ADE" w:rsidRDefault="00476D5F" w:rsidP="00B56F90">
      <w:pPr>
        <w:spacing w:after="0" w:line="240" w:lineRule="auto"/>
        <w:jc w:val="both"/>
        <w:rPr>
          <w:rFonts w:ascii="Times New Roman" w:hAnsi="Times New Roman"/>
          <w:color w:val="000000" w:themeColor="text1"/>
          <w:sz w:val="16"/>
          <w:szCs w:val="16"/>
        </w:rPr>
      </w:pPr>
    </w:p>
    <w:p w14:paraId="2F2505DB" w14:textId="77777777" w:rsidR="00185B57" w:rsidRPr="00070ADE" w:rsidRDefault="00185B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27–28 апреля (ночь) 1944 323 британских бомбардировщика наносят удары по Фридрихсхафен, Германия, при ярком лунном свете, чтобы повысить свои шансы поразить фабрики в городе, немецкие ночные истребители не смогли перехватить их, пока они не достигнут цели. Они сбрасывают 1254 метрических тонны бомб и разрушают 99 акров (40 гектаров) города (две трети его площади), серьезно повреждая несколько заводов. После Второй мировой войны немцы говорят, что это был самый разрушительный налет на их производство танков за всю войну. Восемнадцать бомбардировщиков (5,6% сил) не возвращаются (20373).</w:t>
      </w:r>
    </w:p>
    <w:p w14:paraId="3A5E81B8" w14:textId="77777777" w:rsidR="00185B57" w:rsidRPr="00070ADE" w:rsidRDefault="00185B57" w:rsidP="00B56F90">
      <w:pPr>
        <w:spacing w:after="0" w:line="240" w:lineRule="auto"/>
        <w:jc w:val="both"/>
        <w:rPr>
          <w:rFonts w:ascii="Times New Roman" w:hAnsi="Times New Roman"/>
          <w:color w:val="000000" w:themeColor="text1"/>
          <w:sz w:val="16"/>
          <w:szCs w:val="16"/>
        </w:rPr>
      </w:pPr>
    </w:p>
    <w:p w14:paraId="56A33D8B" w14:textId="77777777" w:rsidR="00185B57" w:rsidRPr="00070ADE" w:rsidRDefault="00185B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27–28 апреля (ночь) 1944 223 британских бомбардировщика атаковали железнодорожные станции в Аульном, Франция, причинив большой ущерб. Один бомбардировщик потерян (20373).</w:t>
      </w:r>
    </w:p>
    <w:p w14:paraId="4F7CE532" w14:textId="77777777" w:rsidR="00185B57" w:rsidRPr="00070ADE" w:rsidRDefault="00185B57" w:rsidP="00B56F90">
      <w:pPr>
        <w:spacing w:after="0" w:line="240" w:lineRule="auto"/>
        <w:jc w:val="both"/>
        <w:rPr>
          <w:rFonts w:ascii="Times New Roman" w:hAnsi="Times New Roman"/>
          <w:color w:val="000000" w:themeColor="text1"/>
          <w:sz w:val="16"/>
          <w:szCs w:val="16"/>
        </w:rPr>
      </w:pPr>
    </w:p>
    <w:p w14:paraId="057197FE" w14:textId="77777777" w:rsidR="00185B57" w:rsidRPr="00070ADE" w:rsidRDefault="00185B57" w:rsidP="00B56F90">
      <w:pPr>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rPr>
        <w:t>27–28 апреля (ночь) 1944 144 британских бомбардировщика атаковали железнодорожные станции в Монцене, Бельгия, повредив их лишь частично. Немецкие</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ночные</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истребители</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перехватывают</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их</w:t>
      </w:r>
      <w:r w:rsidRPr="00070ADE">
        <w:rPr>
          <w:rFonts w:ascii="Times New Roman" w:hAnsi="Times New Roman"/>
          <w:color w:val="000000" w:themeColor="text1"/>
          <w:sz w:val="16"/>
          <w:szCs w:val="16"/>
          <w:lang w:val="en-US"/>
        </w:rPr>
        <w:t xml:space="preserve">, 15 </w:t>
      </w:r>
      <w:r w:rsidRPr="00070ADE">
        <w:rPr>
          <w:rFonts w:ascii="Times New Roman" w:hAnsi="Times New Roman"/>
          <w:color w:val="000000" w:themeColor="text1"/>
          <w:sz w:val="16"/>
          <w:szCs w:val="16"/>
        </w:rPr>
        <w:t>бомбардировщиков</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потеряны</w:t>
      </w:r>
      <w:r w:rsidRPr="00070ADE">
        <w:rPr>
          <w:rFonts w:ascii="Times New Roman" w:hAnsi="Times New Roman"/>
          <w:color w:val="000000" w:themeColor="text1"/>
          <w:sz w:val="16"/>
          <w:szCs w:val="16"/>
          <w:lang w:val="en-US"/>
        </w:rPr>
        <w:t xml:space="preserve"> (20373).</w:t>
      </w:r>
    </w:p>
    <w:p w14:paraId="71E0A32B" w14:textId="77777777" w:rsidR="00185B57" w:rsidRPr="00070ADE" w:rsidRDefault="00185B57" w:rsidP="00B56F90">
      <w:pPr>
        <w:spacing w:after="0" w:line="240" w:lineRule="auto"/>
        <w:jc w:val="both"/>
        <w:rPr>
          <w:rFonts w:ascii="Times New Roman" w:hAnsi="Times New Roman"/>
          <w:color w:val="000000" w:themeColor="text1"/>
          <w:sz w:val="16"/>
          <w:szCs w:val="16"/>
          <w:lang w:val="en-US"/>
        </w:rPr>
      </w:pPr>
    </w:p>
    <w:p w14:paraId="06767636" w14:textId="77777777" w:rsidR="00476D5F" w:rsidRPr="00070ADE" w:rsidRDefault="00476D5F"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April 27th, 1944: German planes spot an Allied convoy west of Start Point along the Channel Coast. The convoy is actually making a practice run for the planned invasion of Normandy on a stretch of coast very much alike to that found in the Normandy region of France. The 5.Schnellbootflottille and 9.Schnellbootflottille are directed to attack at night, which they do with the following boats: S100, S130, S138, S138, S140, S142, S143, S145, S150. They engaged the convoy, consisting of 8 landing craft (LSTs or Landing Ship Tank), and protected only by the English Korvette Azeala, at Lyme Bay. The result: LST 507, on fire, had to be given up, LST 531 was sunk, and LST 289 received a torpedo hit which killed many soldiers. Total Allied losses were 197 seaman and 441 soldiers lost. The event was largely covered up by the Allies during and after WWII and is not well known (3819).</w:t>
      </w:r>
    </w:p>
    <w:p w14:paraId="09A1B217" w14:textId="77777777" w:rsidR="00476D5F" w:rsidRPr="00070ADE" w:rsidRDefault="00476D5F"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B39BFE0" w14:textId="77777777" w:rsidR="00476D5F" w:rsidRPr="00070ADE" w:rsidRDefault="00476D5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1944 немецкие самолеты выполнили налет на конвой из 8 десантных судов под защитой корвета в районе Старт Пойнта, который тренировался в подготовке к высадке в Нормандии. На конвой были нацелены 5 и 9 флотилии торпедных катеров. Разгромили и были большие потери (3819).</w:t>
      </w:r>
    </w:p>
    <w:p w14:paraId="1182AB9A" w14:textId="77777777" w:rsidR="00476D5F" w:rsidRPr="00070ADE" w:rsidRDefault="00476D5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FDE16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1944 в ходе подготовки к вторжению в Нормандию в Англии запрещены все поездки за границу (4962).</w:t>
      </w:r>
    </w:p>
    <w:p w14:paraId="12BCF79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727CFE"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в 1944 году в ходе подготовки к вторжению в Нормандию в Англии запрещаются все поездки за границу (15112).</w:t>
      </w:r>
    </w:p>
    <w:p w14:paraId="21321E20" w14:textId="77777777" w:rsidR="00476D5F" w:rsidRPr="00070ADE" w:rsidRDefault="00476D5F" w:rsidP="00B56F90">
      <w:pPr>
        <w:spacing w:after="0" w:line="240" w:lineRule="auto"/>
        <w:jc w:val="both"/>
        <w:rPr>
          <w:rFonts w:ascii="Times New Roman" w:hAnsi="Times New Roman"/>
          <w:color w:val="000000" w:themeColor="text1"/>
          <w:sz w:val="16"/>
          <w:szCs w:val="16"/>
        </w:rPr>
      </w:pPr>
    </w:p>
    <w:p w14:paraId="3A7807BD" w14:textId="77777777" w:rsidR="00185B57" w:rsidRPr="00070ADE" w:rsidRDefault="00185B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апреля 1044 единственной реакцией японской авиации на высадку в США в Голландии стал ночной налет трех самолетов - торпедоносцев и повреждение грузового корабля (20373).</w:t>
      </w:r>
    </w:p>
    <w:p w14:paraId="29CD9EED" w14:textId="77777777" w:rsidR="00185B57" w:rsidRPr="00070ADE" w:rsidRDefault="00185B57" w:rsidP="00B56F90">
      <w:pPr>
        <w:spacing w:after="0" w:line="240" w:lineRule="auto"/>
        <w:jc w:val="both"/>
        <w:rPr>
          <w:rFonts w:ascii="Times New Roman" w:hAnsi="Times New Roman"/>
          <w:color w:val="000000" w:themeColor="text1"/>
          <w:sz w:val="16"/>
          <w:szCs w:val="16"/>
        </w:rPr>
      </w:pPr>
    </w:p>
    <w:p w14:paraId="1ABA833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048F4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CA68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1944 г. Су-6 АМ-42 с пушками ВЯ-23 поступил на государственные испытания, которые уже 15 мая были приостановлены вледствие совершенно ненормальной работы мотора (9649).</w:t>
      </w:r>
    </w:p>
    <w:p w14:paraId="351176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008F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1944 г. Су-6 АМ-42 с пушками ВЯ-23 вновь поступил на госиспытания, которые уже 15 мая пришлось приоста</w:t>
      </w:r>
      <w:r w:rsidRPr="00070ADE">
        <w:rPr>
          <w:rFonts w:ascii="Times New Roman" w:hAnsi="Times New Roman"/>
          <w:color w:val="000000" w:themeColor="text1"/>
          <w:sz w:val="16"/>
          <w:szCs w:val="16"/>
        </w:rPr>
        <w:softHyphen/>
        <w:t>новить вследствие плохой работы мото</w:t>
      </w:r>
      <w:r w:rsidRPr="00070ADE">
        <w:rPr>
          <w:rFonts w:ascii="Times New Roman" w:hAnsi="Times New Roman"/>
          <w:color w:val="000000" w:themeColor="text1"/>
          <w:sz w:val="16"/>
          <w:szCs w:val="16"/>
        </w:rPr>
        <w:softHyphen/>
        <w:t>ра. Двигатель заменили, и полеты про</w:t>
      </w:r>
      <w:r w:rsidRPr="00070ADE">
        <w:rPr>
          <w:rFonts w:ascii="Times New Roman" w:hAnsi="Times New Roman"/>
          <w:color w:val="000000" w:themeColor="text1"/>
          <w:sz w:val="16"/>
          <w:szCs w:val="16"/>
        </w:rPr>
        <w:softHyphen/>
        <w:t>должились до 2 июля. Данные немного улучшились. При по</w:t>
      </w:r>
      <w:r w:rsidRPr="00070ADE">
        <w:rPr>
          <w:rFonts w:ascii="Times New Roman" w:hAnsi="Times New Roman"/>
          <w:color w:val="000000" w:themeColor="text1"/>
          <w:sz w:val="16"/>
          <w:szCs w:val="16"/>
        </w:rPr>
        <w:softHyphen/>
        <w:t>летном весе 6200 кг скорость штурмови</w:t>
      </w:r>
      <w:r w:rsidRPr="00070ADE">
        <w:rPr>
          <w:rFonts w:ascii="Times New Roman" w:hAnsi="Times New Roman"/>
          <w:color w:val="000000" w:themeColor="text1"/>
          <w:sz w:val="16"/>
          <w:szCs w:val="16"/>
        </w:rPr>
        <w:softHyphen/>
        <w:t>ка у земли составила 492 км/ч, а на вы</w:t>
      </w:r>
      <w:r w:rsidRPr="00070ADE">
        <w:rPr>
          <w:rFonts w:ascii="Times New Roman" w:hAnsi="Times New Roman"/>
          <w:color w:val="000000" w:themeColor="text1"/>
          <w:sz w:val="16"/>
          <w:szCs w:val="16"/>
        </w:rPr>
        <w:softHyphen/>
        <w:t>соте 1860 м — 521 км/ч. Скороподъем</w:t>
      </w:r>
      <w:r w:rsidRPr="00070ADE">
        <w:rPr>
          <w:rFonts w:ascii="Times New Roman" w:hAnsi="Times New Roman"/>
          <w:color w:val="000000" w:themeColor="text1"/>
          <w:sz w:val="16"/>
          <w:szCs w:val="16"/>
        </w:rPr>
        <w:softHyphen/>
        <w:t>ность не изменилась. Максимальная дальность полета на высоте 500 м при скорости 340 км/ч равнялась 790 км; разбег — 540 м; пробег — 660 м (10680).</w:t>
      </w:r>
    </w:p>
    <w:p w14:paraId="029341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4ABFBE"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в 1944 году начались Государственные испытания опытного двухместного бронированного штурмовика «Су-6» с мотором «АМ-42» и пушками ВЯ-23, ведущий летчик А.И.Кабанов. Всего в период с 28 апреля по 2 июля 1944 г. на «Су-6» «АМ-42» с пушками «ВЯ-23» было выполнено 24 полета с суммарным налетом 10 часов 25 мин. При полетном весе 6200 кг (600 кг бомб, боекомплект к пушкам и пулеметам) скорость штурмовика у земли составила 492 км/ч, а на высоте I860 м - 521 км/ч. Время подъема на высоту 1000 м равнялось двум мин., на высоту 5000 м - 11 мин. Максимальная дальность полета -790 км. В мае 1944 г. успешно завершил госиспытания штурмовик «Ил-10» «АМ-42», показавшего высокие летные данные.Сравнение летно-боевых свойств суховского штурмовика с «Ил-10» было не в пользу первого. «Су-6» «АМ-42» уступал ильюшинской машине по большинству определяющих характеристик. В итоге был сделан вывод о нецелесообразности запуска «Су-6» «АМ-42» в серийное производство. За создание двухместного штурмовика «Су-6» «М-71Ф» Главный конструктор самолета П.О.Сухой в 1943 г. был удостоен Государственной премии 1-й степени, которую он передал в Фонд обороны (15113).</w:t>
      </w:r>
    </w:p>
    <w:p w14:paraId="5CAAC393" w14:textId="77777777" w:rsidR="00476D5F" w:rsidRPr="00070ADE" w:rsidRDefault="00476D5F" w:rsidP="00B56F90">
      <w:pPr>
        <w:spacing w:after="0" w:line="240" w:lineRule="auto"/>
        <w:jc w:val="both"/>
        <w:rPr>
          <w:rFonts w:ascii="Times New Roman" w:hAnsi="Times New Roman"/>
          <w:color w:val="000000" w:themeColor="text1"/>
          <w:sz w:val="16"/>
          <w:szCs w:val="16"/>
        </w:rPr>
      </w:pPr>
    </w:p>
    <w:p w14:paraId="28857F47" w14:textId="77777777" w:rsidR="00185B57" w:rsidRPr="00070ADE" w:rsidRDefault="00185B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1944 начались испытания Су-6 АМ-42, но уже 15 мая были приоста</w:t>
      </w:r>
      <w:r w:rsidRPr="00070ADE">
        <w:rPr>
          <w:rFonts w:ascii="Times New Roman" w:hAnsi="Times New Roman"/>
          <w:color w:val="000000" w:themeColor="text1"/>
          <w:sz w:val="16"/>
          <w:szCs w:val="16"/>
        </w:rPr>
        <w:softHyphen/>
        <w:t>новлены вследствие совершенно ненор</w:t>
      </w:r>
      <w:r w:rsidRPr="00070ADE">
        <w:rPr>
          <w:rFonts w:ascii="Times New Roman" w:hAnsi="Times New Roman"/>
          <w:color w:val="000000" w:themeColor="text1"/>
          <w:sz w:val="16"/>
          <w:szCs w:val="16"/>
        </w:rPr>
        <w:softHyphen/>
        <w:t>мальной работы мотора. Ни в одном из полетов мотор зав. №4252 нормально не работал. Всего за это время удалось вы</w:t>
      </w:r>
      <w:r w:rsidRPr="00070ADE">
        <w:rPr>
          <w:rFonts w:ascii="Times New Roman" w:hAnsi="Times New Roman"/>
          <w:color w:val="000000" w:themeColor="text1"/>
          <w:sz w:val="16"/>
          <w:szCs w:val="16"/>
        </w:rPr>
        <w:softHyphen/>
        <w:t>полнить 18 полетов с общим налетом 6 ч 30 мин. Наработка мотора составила 27 ч 55 мин при установленном ресурсе 50 ч.</w:t>
      </w:r>
    </w:p>
    <w:p w14:paraId="24708476" w14:textId="77777777" w:rsidR="00185B57" w:rsidRPr="00070ADE" w:rsidRDefault="00185B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Ответственным исполнителем по ис</w:t>
      </w:r>
      <w:r w:rsidRPr="00070ADE">
        <w:rPr>
          <w:rFonts w:ascii="Times New Roman" w:hAnsi="Times New Roman"/>
          <w:color w:val="000000" w:themeColor="text1"/>
          <w:sz w:val="16"/>
          <w:szCs w:val="16"/>
        </w:rPr>
        <w:softHyphen/>
        <w:t>пытаниям был назначен помощник веду</w:t>
      </w:r>
      <w:r w:rsidRPr="00070ADE">
        <w:rPr>
          <w:rFonts w:ascii="Times New Roman" w:hAnsi="Times New Roman"/>
          <w:color w:val="000000" w:themeColor="text1"/>
          <w:sz w:val="16"/>
          <w:szCs w:val="16"/>
        </w:rPr>
        <w:softHyphen/>
        <w:t>щего инженера старший техник-лейтенант Марьин, ведущим летчиком - заместитель начальника института по летной части генерал-майор Кабанов, вторым ведущим летчиком - инженер-майор Синельников. Самолет облетал заместитель начальника 5-го отдела 1-го Управления института по летной части подполковник Долгов</w:t>
      </w:r>
    </w:p>
    <w:p w14:paraId="0B966927" w14:textId="77777777" w:rsidR="00185B57" w:rsidRPr="00070ADE" w:rsidRDefault="00185B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ряду конструктивных и производст</w:t>
      </w:r>
      <w:r w:rsidRPr="00070ADE">
        <w:rPr>
          <w:rFonts w:ascii="Times New Roman" w:hAnsi="Times New Roman"/>
          <w:color w:val="000000" w:themeColor="text1"/>
          <w:sz w:val="16"/>
          <w:szCs w:val="16"/>
        </w:rPr>
        <w:softHyphen/>
        <w:t>венных дефектов мотора отмечались сле</w:t>
      </w:r>
      <w:r w:rsidRPr="00070ADE">
        <w:rPr>
          <w:rFonts w:ascii="Times New Roman" w:hAnsi="Times New Roman"/>
          <w:color w:val="000000" w:themeColor="text1"/>
          <w:sz w:val="16"/>
          <w:szCs w:val="16"/>
        </w:rPr>
        <w:softHyphen/>
        <w:t>дующие:</w:t>
      </w:r>
    </w:p>
    <w:p w14:paraId="244CBF2F" w14:textId="77777777" w:rsidR="00185B57" w:rsidRPr="00070ADE" w:rsidRDefault="00185B57" w:rsidP="00B56F90">
      <w:pPr>
        <w:tabs>
          <w:tab w:val="left" w:pos="39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опасное загорание смеси во всасы</w:t>
      </w:r>
      <w:r w:rsidRPr="00070ADE">
        <w:rPr>
          <w:rFonts w:ascii="Times New Roman" w:hAnsi="Times New Roman"/>
          <w:color w:val="000000" w:themeColor="text1"/>
          <w:sz w:val="16"/>
          <w:szCs w:val="16"/>
        </w:rPr>
        <w:softHyphen/>
        <w:t>вающих патрубках на земле при запуске мотора (4 случая);</w:t>
      </w:r>
    </w:p>
    <w:p w14:paraId="2F4F2286" w14:textId="40C0A63F" w:rsidR="00185B57" w:rsidRPr="00070ADE" w:rsidRDefault="00185B57" w:rsidP="00B56F90">
      <w:pPr>
        <w:pStyle w:val="121"/>
        <w:shd w:val="clear" w:color="auto" w:fill="auto"/>
        <w:tabs>
          <w:tab w:val="left" w:pos="409"/>
        </w:tabs>
        <w:spacing w:line="240" w:lineRule="auto"/>
        <w:jc w:val="both"/>
        <w:rPr>
          <w:rFonts w:ascii="Times New Roman" w:hAnsi="Times New Roman" w:cs="Times New Roman"/>
          <w:b w:val="0"/>
          <w:bCs w:val="0"/>
          <w:color w:val="000000" w:themeColor="text1"/>
          <w:sz w:val="16"/>
          <w:szCs w:val="16"/>
        </w:rPr>
      </w:pPr>
      <w:r w:rsidRPr="00070ADE">
        <w:rPr>
          <w:rStyle w:val="128pt100"/>
          <w:rFonts w:ascii="Times New Roman" w:hAnsi="Times New Roman" w:cs="Times New Roman"/>
          <w:b w:val="0"/>
          <w:bCs w:val="0"/>
          <w:color w:val="000000" w:themeColor="text1"/>
        </w:rPr>
        <w:t xml:space="preserve">- </w:t>
      </w:r>
      <w:r w:rsidRPr="00070ADE">
        <w:rPr>
          <w:rStyle w:val="128pt100"/>
          <w:rFonts w:ascii="Times New Roman" w:hAnsi="Times New Roman" w:cs="Times New Roman"/>
          <w:b w:val="0"/>
          <w:bCs w:val="0"/>
          <w:i w:val="0"/>
          <w:iCs w:val="0"/>
          <w:color w:val="000000" w:themeColor="text1"/>
        </w:rPr>
        <w:t>недопустимо большой расход ма</w:t>
      </w:r>
      <w:r w:rsidRPr="00070ADE">
        <w:rPr>
          <w:rStyle w:val="128pt100"/>
          <w:rFonts w:ascii="Times New Roman" w:hAnsi="Times New Roman" w:cs="Times New Roman"/>
          <w:b w:val="0"/>
          <w:bCs w:val="0"/>
          <w:i w:val="0"/>
          <w:iCs w:val="0"/>
          <w:color w:val="000000" w:themeColor="text1"/>
        </w:rPr>
        <w:softHyphen/>
        <w:t>сла</w:t>
      </w:r>
      <w:r w:rsidRPr="00070ADE">
        <w:rPr>
          <w:rFonts w:ascii="Times New Roman" w:hAnsi="Times New Roman" w:cs="Times New Roman"/>
          <w:b w:val="0"/>
          <w:bCs w:val="0"/>
          <w:color w:val="000000" w:themeColor="text1"/>
          <w:sz w:val="16"/>
          <w:szCs w:val="16"/>
        </w:rPr>
        <w:t xml:space="preserve"> («за один полет продолжительностью 50 минут расход масла достигал 43 ли</w:t>
      </w:r>
      <w:r w:rsidRPr="00070ADE">
        <w:rPr>
          <w:rFonts w:ascii="Times New Roman" w:hAnsi="Times New Roman" w:cs="Times New Roman"/>
          <w:b w:val="0"/>
          <w:bCs w:val="0"/>
          <w:color w:val="000000" w:themeColor="text1"/>
          <w:sz w:val="16"/>
          <w:szCs w:val="16"/>
        </w:rPr>
        <w:softHyphen/>
        <w:t>тров»)</w:t>
      </w:r>
      <w:r w:rsidR="009127A0" w:rsidRPr="00070ADE">
        <w:rPr>
          <w:rFonts w:ascii="Times New Roman" w:hAnsi="Times New Roman" w:cs="Times New Roman"/>
          <w:b w:val="0"/>
          <w:bCs w:val="0"/>
          <w:color w:val="000000" w:themeColor="text1"/>
          <w:sz w:val="16"/>
          <w:szCs w:val="16"/>
        </w:rPr>
        <w:t>;</w:t>
      </w:r>
    </w:p>
    <w:p w14:paraId="09EC4E38" w14:textId="77777777" w:rsidR="00185B57" w:rsidRPr="00070ADE" w:rsidRDefault="00185B57" w:rsidP="00B56F90">
      <w:pPr>
        <w:tabs>
          <w:tab w:val="left" w:pos="39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сильное дымление мотора на всех режимах работы;</w:t>
      </w:r>
    </w:p>
    <w:p w14:paraId="49815E29" w14:textId="77777777" w:rsidR="00185B57" w:rsidRPr="00070ADE" w:rsidRDefault="00185B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тряска мотора при давлении наддува 800-1000 мм. рт. ст., на форсаже и номи</w:t>
      </w:r>
      <w:r w:rsidRPr="00070ADE">
        <w:rPr>
          <w:rFonts w:ascii="Times New Roman" w:hAnsi="Times New Roman"/>
          <w:color w:val="000000" w:themeColor="text1"/>
          <w:sz w:val="16"/>
          <w:szCs w:val="16"/>
        </w:rPr>
        <w:softHyphen/>
        <w:t>нальном режиме в течение 1-1,5 мин по</w:t>
      </w:r>
      <w:r w:rsidRPr="00070ADE">
        <w:rPr>
          <w:rFonts w:ascii="Times New Roman" w:hAnsi="Times New Roman"/>
          <w:color w:val="000000" w:themeColor="text1"/>
          <w:sz w:val="16"/>
          <w:szCs w:val="16"/>
        </w:rPr>
        <w:softHyphen/>
        <w:t>сле дачи газа.</w:t>
      </w:r>
    </w:p>
    <w:p w14:paraId="03061DFE" w14:textId="77777777" w:rsidR="00185B57" w:rsidRPr="00070ADE" w:rsidRDefault="00185B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Изменение регулировки карбюрато</w:t>
      </w:r>
      <w:r w:rsidRPr="00070ADE">
        <w:rPr>
          <w:rFonts w:ascii="Times New Roman" w:hAnsi="Times New Roman"/>
          <w:color w:val="000000" w:themeColor="text1"/>
          <w:sz w:val="16"/>
          <w:szCs w:val="16"/>
        </w:rPr>
        <w:softHyphen/>
        <w:t>ров положительных результатов не дало.</w:t>
      </w:r>
    </w:p>
    <w:p w14:paraId="1CB95D9C" w14:textId="77777777" w:rsidR="00185B57" w:rsidRPr="00070ADE" w:rsidRDefault="00185B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этим причинам летные харак</w:t>
      </w:r>
      <w:r w:rsidRPr="00070ADE">
        <w:rPr>
          <w:rFonts w:ascii="Times New Roman" w:hAnsi="Times New Roman"/>
          <w:color w:val="000000" w:themeColor="text1"/>
          <w:sz w:val="16"/>
          <w:szCs w:val="16"/>
        </w:rPr>
        <w:softHyphen/>
        <w:t>теристики Су-6 АМ-42 в полном объ</w:t>
      </w:r>
      <w:r w:rsidRPr="00070ADE">
        <w:rPr>
          <w:rFonts w:ascii="Times New Roman" w:hAnsi="Times New Roman"/>
          <w:color w:val="000000" w:themeColor="text1"/>
          <w:sz w:val="16"/>
          <w:szCs w:val="16"/>
        </w:rPr>
        <w:softHyphen/>
        <w:t>еме снять не удалось. При полетном весе 6200 кг (400 кг бомб, пушки 11П и пуле</w:t>
      </w:r>
      <w:r w:rsidRPr="00070ADE">
        <w:rPr>
          <w:rFonts w:ascii="Times New Roman" w:hAnsi="Times New Roman"/>
          <w:color w:val="000000" w:themeColor="text1"/>
          <w:sz w:val="16"/>
          <w:szCs w:val="16"/>
        </w:rPr>
        <w:softHyphen/>
        <w:t>меты ШКАС с боекомплектом) максималь</w:t>
      </w:r>
      <w:r w:rsidRPr="00070ADE">
        <w:rPr>
          <w:rFonts w:ascii="Times New Roman" w:hAnsi="Times New Roman"/>
          <w:color w:val="000000" w:themeColor="text1"/>
          <w:sz w:val="16"/>
          <w:szCs w:val="16"/>
        </w:rPr>
        <w:softHyphen/>
        <w:t>ная скорость полета достигала 482 км/ч - у земли, и 523 км/ч - на высоте 2800 м. Дальность полета на высоте 1000 м и ско</w:t>
      </w:r>
      <w:r w:rsidRPr="00070ADE">
        <w:rPr>
          <w:rFonts w:ascii="Times New Roman" w:hAnsi="Times New Roman"/>
          <w:color w:val="000000" w:themeColor="text1"/>
          <w:sz w:val="16"/>
          <w:szCs w:val="16"/>
        </w:rPr>
        <w:softHyphen/>
        <w:t>рости 340 км/ч - 850 км. Разбег (с откло</w:t>
      </w:r>
      <w:r w:rsidRPr="00070ADE">
        <w:rPr>
          <w:rFonts w:ascii="Times New Roman" w:hAnsi="Times New Roman"/>
          <w:color w:val="000000" w:themeColor="text1"/>
          <w:sz w:val="16"/>
          <w:szCs w:val="16"/>
        </w:rPr>
        <w:softHyphen/>
        <w:t>ненными на 20° щитками и форсажем по оборотам) - 540 м. На высоту 1000 м са</w:t>
      </w:r>
      <w:r w:rsidRPr="00070ADE">
        <w:rPr>
          <w:rFonts w:ascii="Times New Roman" w:hAnsi="Times New Roman"/>
          <w:color w:val="000000" w:themeColor="text1"/>
          <w:sz w:val="16"/>
          <w:szCs w:val="16"/>
        </w:rPr>
        <w:softHyphen/>
        <w:t>молет забирался за 2 мин. Вертикаль</w:t>
      </w:r>
      <w:r w:rsidRPr="00070ADE">
        <w:rPr>
          <w:rFonts w:ascii="Times New Roman" w:hAnsi="Times New Roman"/>
          <w:color w:val="000000" w:themeColor="text1"/>
          <w:sz w:val="16"/>
          <w:szCs w:val="16"/>
        </w:rPr>
        <w:softHyphen/>
        <w:t>ная скорость у земли получилась равной 7,6 м/с, на высоте 1000 м - 8,3 м/с.</w:t>
      </w:r>
    </w:p>
    <w:p w14:paraId="0E48F654" w14:textId="77777777" w:rsidR="00185B57" w:rsidRPr="00070ADE" w:rsidRDefault="00185B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Отметим, что «взлетные свойства са</w:t>
      </w:r>
      <w:r w:rsidRPr="00070ADE">
        <w:rPr>
          <w:rFonts w:ascii="Times New Roman" w:hAnsi="Times New Roman"/>
          <w:color w:val="000000" w:themeColor="text1"/>
          <w:sz w:val="16"/>
          <w:szCs w:val="16"/>
        </w:rPr>
        <w:softHyphen/>
        <w:t>молета определялись на номинальном наддуве 1330 мм. рт. ст. и форсированных оборотах 2500 об/мин, так как на форси</w:t>
      </w:r>
      <w:r w:rsidRPr="00070ADE">
        <w:rPr>
          <w:rFonts w:ascii="Times New Roman" w:hAnsi="Times New Roman"/>
          <w:color w:val="000000" w:themeColor="text1"/>
          <w:sz w:val="16"/>
          <w:szCs w:val="16"/>
        </w:rPr>
        <w:softHyphen/>
        <w:t>рованном наддуве мотор работал ненор</w:t>
      </w:r>
      <w:r w:rsidRPr="00070ADE">
        <w:rPr>
          <w:rFonts w:ascii="Times New Roman" w:hAnsi="Times New Roman"/>
          <w:color w:val="000000" w:themeColor="text1"/>
          <w:sz w:val="16"/>
          <w:szCs w:val="16"/>
        </w:rPr>
        <w:softHyphen/>
        <w:t>мально».</w:t>
      </w:r>
    </w:p>
    <w:p w14:paraId="201EB807" w14:textId="77777777" w:rsidR="00185B57" w:rsidRPr="00070ADE" w:rsidRDefault="00185B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получения с завода №24 дру</w:t>
      </w:r>
      <w:r w:rsidRPr="00070ADE">
        <w:rPr>
          <w:rFonts w:ascii="Times New Roman" w:hAnsi="Times New Roman"/>
          <w:color w:val="000000" w:themeColor="text1"/>
          <w:sz w:val="16"/>
          <w:szCs w:val="16"/>
        </w:rPr>
        <w:softHyphen/>
        <w:t>гого экземпляра мотора АМ-42 испытания самолета предполагалось продолжить (19853).</w:t>
      </w:r>
    </w:p>
    <w:p w14:paraId="5586B145" w14:textId="77777777" w:rsidR="00185B57" w:rsidRPr="00070ADE" w:rsidRDefault="00185B57" w:rsidP="00B56F90">
      <w:pPr>
        <w:spacing w:after="0" w:line="240" w:lineRule="auto"/>
        <w:jc w:val="both"/>
        <w:rPr>
          <w:rFonts w:ascii="Times New Roman" w:hAnsi="Times New Roman"/>
          <w:color w:val="000000" w:themeColor="text1"/>
          <w:sz w:val="16"/>
          <w:szCs w:val="16"/>
        </w:rPr>
      </w:pPr>
    </w:p>
    <w:p w14:paraId="1E1DD04C"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28 апреля в 1944 году начались Государственные испытания опытного двухместного бронированного штурмовика Су-6 с мотором АМ-42, ведущий летчик А.И.Кабанов (15113).</w:t>
      </w:r>
    </w:p>
    <w:p w14:paraId="78CCAAAE" w14:textId="77777777" w:rsidR="00476D5F" w:rsidRPr="00070ADE" w:rsidRDefault="00476D5F" w:rsidP="00B56F90">
      <w:pPr>
        <w:spacing w:after="0" w:line="240" w:lineRule="auto"/>
        <w:jc w:val="both"/>
        <w:rPr>
          <w:rFonts w:ascii="Times New Roman" w:hAnsi="Times New Roman"/>
          <w:color w:val="000000" w:themeColor="text1"/>
          <w:sz w:val="16"/>
          <w:szCs w:val="16"/>
        </w:rPr>
      </w:pPr>
    </w:p>
    <w:p w14:paraId="5EBCC2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w:t>
      </w:r>
      <w:r w:rsidRPr="00070ADE">
        <w:rPr>
          <w:rFonts w:ascii="Times New Roman" w:hAnsi="Times New Roman"/>
          <w:color w:val="000000" w:themeColor="text1"/>
          <w:sz w:val="16"/>
          <w:szCs w:val="16"/>
        </w:rPr>
        <w:softHyphen/>
        <w:t>реля 1944 начались государственные испытания Су-6 АМ-42 с пушками ВЯ-23 начались, но уже 16 мая были приостановлены вследствие совер</w:t>
      </w:r>
      <w:r w:rsidRPr="00070ADE">
        <w:rPr>
          <w:rFonts w:ascii="Times New Roman" w:hAnsi="Times New Roman"/>
          <w:color w:val="000000" w:themeColor="text1"/>
          <w:sz w:val="16"/>
          <w:szCs w:val="16"/>
        </w:rPr>
        <w:softHyphen/>
        <w:t>шенно ненормальной работы мотора. Всего за это время уда</w:t>
      </w:r>
      <w:r w:rsidRPr="00070ADE">
        <w:rPr>
          <w:rFonts w:ascii="Times New Roman" w:hAnsi="Times New Roman"/>
          <w:color w:val="000000" w:themeColor="text1"/>
          <w:sz w:val="16"/>
          <w:szCs w:val="16"/>
        </w:rPr>
        <w:softHyphen/>
        <w:t>лось выполнить 17 полетов с общим налетом 6 ч 5 мин. После получения с завода № 24 другого экземпляра мотора АМ-42 испытания самолета предполагалось продолжить (11474,433).</w:t>
      </w:r>
    </w:p>
    <w:p w14:paraId="0A7CD6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2C78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с 28 апреля по 2 июля 1944 г. самолет Су-6 АМ-42 прошел в НИИ ВВС государ</w:t>
      </w:r>
      <w:r w:rsidRPr="00070ADE">
        <w:rPr>
          <w:rFonts w:ascii="Times New Roman" w:hAnsi="Times New Roman"/>
          <w:color w:val="000000" w:themeColor="text1"/>
          <w:sz w:val="16"/>
          <w:szCs w:val="16"/>
        </w:rPr>
        <w:softHyphen/>
        <w:t>ственные испытания. За это время про</w:t>
      </w:r>
      <w:r w:rsidRPr="00070ADE">
        <w:rPr>
          <w:rFonts w:ascii="Times New Roman" w:hAnsi="Times New Roman"/>
          <w:color w:val="000000" w:themeColor="text1"/>
          <w:sz w:val="16"/>
          <w:szCs w:val="16"/>
        </w:rPr>
        <w:softHyphen/>
        <w:t>изведено 24 полета с общим налетом 10 часов 25 минут. Ведущим летчиком был генерал-майор авиации А.И. Кабанов, вторым ведущим летчиком - инженер-майор Синельников. В облетах участвовали подполковник Долгов, штурманы-испытатели капитан Ковынев и старший лейтенант Филиппов. При испытаниях были определены только основные летные данные самоле</w:t>
      </w:r>
      <w:r w:rsidRPr="00070ADE">
        <w:rPr>
          <w:rFonts w:ascii="Times New Roman" w:hAnsi="Times New Roman"/>
          <w:color w:val="000000" w:themeColor="text1"/>
          <w:sz w:val="16"/>
          <w:szCs w:val="16"/>
        </w:rPr>
        <w:softHyphen/>
        <w:t>та, причем пушки ОКБ-16 заменили пуш</w:t>
      </w:r>
      <w:r w:rsidRPr="00070ADE">
        <w:rPr>
          <w:rFonts w:ascii="Times New Roman" w:hAnsi="Times New Roman"/>
          <w:color w:val="000000" w:themeColor="text1"/>
          <w:sz w:val="16"/>
          <w:szCs w:val="16"/>
        </w:rPr>
        <w:softHyphen/>
        <w:t>ками «ВЯ», а в установку БЛУМ внесли некоторые улучшения. Проверка бомбардировочных устано</w:t>
      </w:r>
      <w:r w:rsidRPr="00070ADE">
        <w:rPr>
          <w:rFonts w:ascii="Times New Roman" w:hAnsi="Times New Roman"/>
          <w:color w:val="000000" w:themeColor="text1"/>
          <w:sz w:val="16"/>
          <w:szCs w:val="16"/>
        </w:rPr>
        <w:softHyphen/>
        <w:t>вок производилась отработкой на земле, растрясочными полетами и бомбомета</w:t>
      </w:r>
      <w:r w:rsidRPr="00070ADE">
        <w:rPr>
          <w:rFonts w:ascii="Times New Roman" w:hAnsi="Times New Roman"/>
          <w:color w:val="000000" w:themeColor="text1"/>
          <w:sz w:val="16"/>
          <w:szCs w:val="16"/>
        </w:rPr>
        <w:softHyphen/>
        <w:t>нием с горизонтального полета. Отказав в их работе не зафиксировано. В целом, по технике пилотирования са</w:t>
      </w:r>
      <w:r w:rsidRPr="00070ADE">
        <w:rPr>
          <w:rFonts w:ascii="Times New Roman" w:hAnsi="Times New Roman"/>
          <w:color w:val="000000" w:themeColor="text1"/>
          <w:sz w:val="16"/>
          <w:szCs w:val="16"/>
        </w:rPr>
        <w:softHyphen/>
        <w:t>молет был доступен летчикам средней квалификации. В просторную кабину пилота посадку сделали удобной. Размещение оборудо</w:t>
      </w:r>
      <w:r w:rsidRPr="00070ADE">
        <w:rPr>
          <w:rFonts w:ascii="Times New Roman" w:hAnsi="Times New Roman"/>
          <w:color w:val="000000" w:themeColor="text1"/>
          <w:sz w:val="16"/>
          <w:szCs w:val="16"/>
        </w:rPr>
        <w:softHyphen/>
        <w:t>вания и приборов на приборной доске выполнили соответственно стандартной кабине для штурмовика. Кабина стрелка, по своим габаритам, бронированию и по удобству работы в ней, являлась лучшей среди имевшихся штурмовиков. Углы об</w:t>
      </w:r>
      <w:r w:rsidRPr="00070ADE">
        <w:rPr>
          <w:rFonts w:ascii="Times New Roman" w:hAnsi="Times New Roman"/>
          <w:color w:val="000000" w:themeColor="text1"/>
          <w:sz w:val="16"/>
          <w:szCs w:val="16"/>
        </w:rPr>
        <w:softHyphen/>
        <w:t>стрела из стрелковой установки БЛУБ и запас патронов для ее пулемета призна</w:t>
      </w:r>
      <w:r w:rsidRPr="00070ADE">
        <w:rPr>
          <w:rFonts w:ascii="Times New Roman" w:hAnsi="Times New Roman"/>
          <w:color w:val="000000" w:themeColor="text1"/>
          <w:sz w:val="16"/>
          <w:szCs w:val="16"/>
        </w:rPr>
        <w:softHyphen/>
        <w:t>ны достаточными. Капотаж мотора с точки зрения удоб</w:t>
      </w:r>
      <w:r w:rsidRPr="00070ADE">
        <w:rPr>
          <w:rFonts w:ascii="Times New Roman" w:hAnsi="Times New Roman"/>
          <w:color w:val="000000" w:themeColor="text1"/>
          <w:sz w:val="16"/>
          <w:szCs w:val="16"/>
        </w:rPr>
        <w:softHyphen/>
        <w:t>ства съемки и постановки капотов был сделан лучше, чем на существовавших самолетах с моторами водяного охлаж</w:t>
      </w:r>
      <w:r w:rsidRPr="00070ADE">
        <w:rPr>
          <w:rFonts w:ascii="Times New Roman" w:hAnsi="Times New Roman"/>
          <w:color w:val="000000" w:themeColor="text1"/>
          <w:sz w:val="16"/>
          <w:szCs w:val="16"/>
        </w:rPr>
        <w:softHyphen/>
        <w:t>дения. В целом эксплуатация самолета Су-6 с АМ-42 не вызывала никаких за</w:t>
      </w:r>
      <w:r w:rsidRPr="00070ADE">
        <w:rPr>
          <w:rFonts w:ascii="Times New Roman" w:hAnsi="Times New Roman"/>
          <w:color w:val="000000" w:themeColor="text1"/>
          <w:sz w:val="16"/>
          <w:szCs w:val="16"/>
        </w:rPr>
        <w:softHyphen/>
        <w:t>труднений, по сравнению с однотипными самолетами Ил-8 и Ил-10. Замена мотора не сказалась на пове</w:t>
      </w:r>
      <w:r w:rsidRPr="00070ADE">
        <w:rPr>
          <w:rFonts w:ascii="Times New Roman" w:hAnsi="Times New Roman"/>
          <w:color w:val="000000" w:themeColor="text1"/>
          <w:sz w:val="16"/>
          <w:szCs w:val="16"/>
        </w:rPr>
        <w:softHyphen/>
        <w:t>дении самолета в воздухе. По сравнению с однотипным самолетом Ил-10, в лет</w:t>
      </w:r>
      <w:r w:rsidRPr="00070ADE">
        <w:rPr>
          <w:rFonts w:ascii="Times New Roman" w:hAnsi="Times New Roman"/>
          <w:color w:val="000000" w:themeColor="text1"/>
          <w:sz w:val="16"/>
          <w:szCs w:val="16"/>
        </w:rPr>
        <w:softHyphen/>
        <w:t>ном отношении Су-6 преимуществ не имел. Увеличение площади крыла и снятие предкрылков значительно упростили тех</w:t>
      </w:r>
      <w:r w:rsidRPr="00070ADE">
        <w:rPr>
          <w:rFonts w:ascii="Times New Roman" w:hAnsi="Times New Roman"/>
          <w:color w:val="000000" w:themeColor="text1"/>
          <w:sz w:val="16"/>
          <w:szCs w:val="16"/>
        </w:rPr>
        <w:softHyphen/>
        <w:t>нику пилотирования самолета на взлете и посадке - по сравнению с самолетом Су-6 М-71Ф. К недостаткам можно отне</w:t>
      </w:r>
      <w:r w:rsidRPr="00070ADE">
        <w:rPr>
          <w:rFonts w:ascii="Times New Roman" w:hAnsi="Times New Roman"/>
          <w:color w:val="000000" w:themeColor="text1"/>
          <w:sz w:val="16"/>
          <w:szCs w:val="16"/>
        </w:rPr>
        <w:softHyphen/>
        <w:t>сти большую (по сравнению с аналогич</w:t>
      </w:r>
      <w:r w:rsidRPr="00070ADE">
        <w:rPr>
          <w:rFonts w:ascii="Times New Roman" w:hAnsi="Times New Roman"/>
          <w:color w:val="000000" w:themeColor="text1"/>
          <w:sz w:val="16"/>
          <w:szCs w:val="16"/>
        </w:rPr>
        <w:softHyphen/>
        <w:t>ными типами самолетов) длину разбега и взлетной дистанции, большие нагрузки на элероны, руль высоты, крутую глисса</w:t>
      </w:r>
      <w:r w:rsidRPr="00070ADE">
        <w:rPr>
          <w:rFonts w:ascii="Times New Roman" w:hAnsi="Times New Roman"/>
          <w:color w:val="000000" w:themeColor="text1"/>
          <w:sz w:val="16"/>
          <w:szCs w:val="16"/>
        </w:rPr>
        <w:softHyphen/>
        <w:t>ду планирования (10718).</w:t>
      </w:r>
    </w:p>
    <w:p w14:paraId="2F17C7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3FF8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28 апреля по 2 июля 1944 А.И.Кабановым, А.К.Долговым и Синельниковым испытывали Су-6 М-42. Выяснили, что он не имел преимуществ перед Ил-10 и работы свернули (200,38). Испытания прекратили до срока из-за поломки двигателя (1454,63) 16 мая 1944 года были временно прекращены государственные испытания опытного самолета Су-6 с мотором АМ-42, конструкции Сухого - по причине ненормальной работы мотора, расход масла которого превышает допустимый предел (1821).</w:t>
      </w:r>
    </w:p>
    <w:p w14:paraId="3727CF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4D08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1944 начались испытания Су-6 АМ-42 с пушка</w:t>
      </w:r>
      <w:r w:rsidRPr="00070ADE">
        <w:rPr>
          <w:rFonts w:ascii="Times New Roman" w:hAnsi="Times New Roman"/>
          <w:color w:val="000000" w:themeColor="text1"/>
          <w:sz w:val="16"/>
          <w:szCs w:val="16"/>
        </w:rPr>
        <w:softHyphen/>
        <w:t>ми ВЯ-23, но уже примерно через две недели были приостановлены вследствие совер</w:t>
      </w:r>
      <w:r w:rsidRPr="00070ADE">
        <w:rPr>
          <w:rFonts w:ascii="Times New Roman" w:hAnsi="Times New Roman"/>
          <w:color w:val="000000" w:themeColor="text1"/>
          <w:sz w:val="16"/>
          <w:szCs w:val="16"/>
        </w:rPr>
        <w:softHyphen/>
        <w:t>шенно ненормальной работы мото</w:t>
      </w:r>
      <w:r w:rsidRPr="00070ADE">
        <w:rPr>
          <w:rFonts w:ascii="Times New Roman" w:hAnsi="Times New Roman"/>
          <w:color w:val="000000" w:themeColor="text1"/>
          <w:sz w:val="16"/>
          <w:szCs w:val="16"/>
        </w:rPr>
        <w:softHyphen/>
        <w:t>ра. Всего удалось выполнить 17 по</w:t>
      </w:r>
      <w:r w:rsidRPr="00070ADE">
        <w:rPr>
          <w:rFonts w:ascii="Times New Roman" w:hAnsi="Times New Roman"/>
          <w:color w:val="000000" w:themeColor="text1"/>
          <w:sz w:val="16"/>
          <w:szCs w:val="16"/>
        </w:rPr>
        <w:softHyphen/>
        <w:t>летов с общим налетом 6 ч 5 мин. После получения с завода № 24 другого экземпляра мотора АМ-42 испытания самолета предполагалось продолжить.</w:t>
      </w:r>
    </w:p>
    <w:p w14:paraId="5F4150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Надо сказать, к этому времени сложилась весьма непростая ситуа</w:t>
      </w:r>
      <w:r w:rsidRPr="00070ADE">
        <w:rPr>
          <w:rFonts w:ascii="Times New Roman" w:hAnsi="Times New Roman"/>
          <w:color w:val="000000" w:themeColor="text1"/>
          <w:sz w:val="16"/>
          <w:szCs w:val="16"/>
        </w:rPr>
        <w:softHyphen/>
        <w:t>ция. Очевидно, что результаты испы</w:t>
      </w:r>
      <w:r w:rsidRPr="00070ADE">
        <w:rPr>
          <w:rFonts w:ascii="Times New Roman" w:hAnsi="Times New Roman"/>
          <w:color w:val="000000" w:themeColor="text1"/>
          <w:sz w:val="16"/>
          <w:szCs w:val="16"/>
        </w:rPr>
        <w:softHyphen/>
        <w:t>таний Ил-8 и Су-6 не могли удовлет</w:t>
      </w:r>
      <w:r w:rsidRPr="00070ADE">
        <w:rPr>
          <w:rFonts w:ascii="Times New Roman" w:hAnsi="Times New Roman"/>
          <w:color w:val="000000" w:themeColor="text1"/>
          <w:sz w:val="16"/>
          <w:szCs w:val="16"/>
        </w:rPr>
        <w:softHyphen/>
        <w:t>ворить военных в полном объеме. При этом если "сухой" по летно-бо-евым качествам в целом устраивал ВВС, но мотор на самолете рабо</w:t>
      </w:r>
      <w:r w:rsidRPr="00070ADE">
        <w:rPr>
          <w:rFonts w:ascii="Times New Roman" w:hAnsi="Times New Roman"/>
          <w:color w:val="000000" w:themeColor="text1"/>
          <w:sz w:val="16"/>
          <w:szCs w:val="16"/>
        </w:rPr>
        <w:softHyphen/>
        <w:t>тал плохо, то ильюшинская "восьмер</w:t>
      </w:r>
      <w:r w:rsidRPr="00070ADE">
        <w:rPr>
          <w:rFonts w:ascii="Times New Roman" w:hAnsi="Times New Roman"/>
          <w:color w:val="000000" w:themeColor="text1"/>
          <w:sz w:val="16"/>
          <w:szCs w:val="16"/>
        </w:rPr>
        <w:softHyphen/>
        <w:t>ка" не вполне устраивала военных -ни как штурмовик, ни как бомбарди</w:t>
      </w:r>
      <w:r w:rsidRPr="00070ADE">
        <w:rPr>
          <w:rFonts w:ascii="Times New Roman" w:hAnsi="Times New Roman"/>
          <w:color w:val="000000" w:themeColor="text1"/>
          <w:sz w:val="16"/>
          <w:szCs w:val="16"/>
        </w:rPr>
        <w:softHyphen/>
        <w:t>ровщик, однако мотор работал луч</w:t>
      </w:r>
      <w:r w:rsidRPr="00070ADE">
        <w:rPr>
          <w:rFonts w:ascii="Times New Roman" w:hAnsi="Times New Roman"/>
          <w:color w:val="000000" w:themeColor="text1"/>
          <w:sz w:val="16"/>
          <w:szCs w:val="16"/>
        </w:rPr>
        <w:softHyphen/>
        <w:t>ше. В тоже время перспектива быст</w:t>
      </w:r>
      <w:r w:rsidRPr="00070ADE">
        <w:rPr>
          <w:rFonts w:ascii="Times New Roman" w:hAnsi="Times New Roman"/>
          <w:color w:val="000000" w:themeColor="text1"/>
          <w:sz w:val="16"/>
          <w:szCs w:val="16"/>
        </w:rPr>
        <w:softHyphen/>
        <w:t>рой доводки мотора АМ-42 до тре</w:t>
      </w:r>
      <w:r w:rsidRPr="00070ADE">
        <w:rPr>
          <w:rFonts w:ascii="Times New Roman" w:hAnsi="Times New Roman"/>
          <w:color w:val="000000" w:themeColor="text1"/>
          <w:sz w:val="16"/>
          <w:szCs w:val="16"/>
        </w:rPr>
        <w:softHyphen/>
        <w:t>буемого уровня надежности выгляде</w:t>
      </w:r>
      <w:r w:rsidRPr="00070ADE">
        <w:rPr>
          <w:rFonts w:ascii="Times New Roman" w:hAnsi="Times New Roman"/>
          <w:color w:val="000000" w:themeColor="text1"/>
          <w:sz w:val="16"/>
          <w:szCs w:val="16"/>
        </w:rPr>
        <w:softHyphen/>
        <w:t>ла весьма туманной. Было ясно, что решение предстоит непростое, а са</w:t>
      </w:r>
      <w:r w:rsidRPr="00070ADE">
        <w:rPr>
          <w:rFonts w:ascii="Times New Roman" w:hAnsi="Times New Roman"/>
          <w:color w:val="000000" w:themeColor="text1"/>
          <w:sz w:val="16"/>
          <w:szCs w:val="16"/>
        </w:rPr>
        <w:softHyphen/>
        <w:t>мое главное, не скорое.</w:t>
      </w:r>
    </w:p>
    <w:p w14:paraId="67A982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сложившейся обстановке ВВС сделали попытку вернуться к перво</w:t>
      </w:r>
      <w:r w:rsidRPr="00070ADE">
        <w:rPr>
          <w:rFonts w:ascii="Times New Roman" w:hAnsi="Times New Roman"/>
          <w:color w:val="000000" w:themeColor="text1"/>
          <w:sz w:val="16"/>
          <w:szCs w:val="16"/>
        </w:rPr>
        <w:softHyphen/>
        <w:t>начальной цельнометаллической кон</w:t>
      </w:r>
      <w:r w:rsidRPr="00070ADE">
        <w:rPr>
          <w:rFonts w:ascii="Times New Roman" w:hAnsi="Times New Roman"/>
          <w:color w:val="000000" w:themeColor="text1"/>
          <w:sz w:val="16"/>
          <w:szCs w:val="16"/>
        </w:rPr>
        <w:softHyphen/>
        <w:t>струкции Ил-2. Это позволяло улуч</w:t>
      </w:r>
      <w:r w:rsidRPr="00070ADE">
        <w:rPr>
          <w:rFonts w:ascii="Times New Roman" w:hAnsi="Times New Roman"/>
          <w:color w:val="000000" w:themeColor="text1"/>
          <w:sz w:val="16"/>
          <w:szCs w:val="16"/>
        </w:rPr>
        <w:softHyphen/>
        <w:t>шить боевые и эксплуатационные качества самолета и несколько раз</w:t>
      </w:r>
      <w:r w:rsidRPr="00070ADE">
        <w:rPr>
          <w:rFonts w:ascii="Times New Roman" w:hAnsi="Times New Roman"/>
          <w:color w:val="000000" w:themeColor="text1"/>
          <w:sz w:val="16"/>
          <w:szCs w:val="16"/>
        </w:rPr>
        <w:softHyphen/>
        <w:t>рядить напряженность в вопросе постановки на вооружение штурмо</w:t>
      </w:r>
      <w:r w:rsidRPr="00070ADE">
        <w:rPr>
          <w:rFonts w:ascii="Times New Roman" w:hAnsi="Times New Roman"/>
          <w:color w:val="000000" w:themeColor="text1"/>
          <w:sz w:val="16"/>
          <w:szCs w:val="16"/>
        </w:rPr>
        <w:softHyphen/>
        <w:t>вика, отвечающего современным тре</w:t>
      </w:r>
      <w:r w:rsidRPr="00070ADE">
        <w:rPr>
          <w:rFonts w:ascii="Times New Roman" w:hAnsi="Times New Roman"/>
          <w:color w:val="000000" w:themeColor="text1"/>
          <w:sz w:val="16"/>
          <w:szCs w:val="16"/>
        </w:rPr>
        <w:softHyphen/>
        <w:t>бованиям (11427).</w:t>
      </w:r>
    </w:p>
    <w:p w14:paraId="6CFE73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A7D3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28 апреля по 2 июля 1944 в общей слож</w:t>
      </w:r>
      <w:r w:rsidRPr="00070ADE">
        <w:rPr>
          <w:rFonts w:ascii="Times New Roman" w:hAnsi="Times New Roman"/>
          <w:color w:val="000000" w:themeColor="text1"/>
          <w:sz w:val="16"/>
          <w:szCs w:val="16"/>
        </w:rPr>
        <w:softHyphen/>
        <w:t>ности на Су-6 удалось выполнить 24 полета с на</w:t>
      </w:r>
      <w:r w:rsidRPr="00070ADE">
        <w:rPr>
          <w:rFonts w:ascii="Times New Roman" w:hAnsi="Times New Roman"/>
          <w:color w:val="000000" w:themeColor="text1"/>
          <w:sz w:val="16"/>
          <w:szCs w:val="16"/>
        </w:rPr>
        <w:softHyphen/>
        <w:t>летом 10 ч 25 мин. (11428)</w:t>
      </w:r>
    </w:p>
    <w:p w14:paraId="5977AB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F7CB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1944 года начались государственные испытания са</w:t>
      </w:r>
      <w:r w:rsidRPr="00070ADE">
        <w:rPr>
          <w:rFonts w:ascii="Times New Roman" w:hAnsi="Times New Roman"/>
          <w:color w:val="000000" w:themeColor="text1"/>
          <w:sz w:val="16"/>
          <w:szCs w:val="16"/>
        </w:rPr>
        <w:softHyphen/>
        <w:t>молета Су-6 АМ-42. До середины мая летчики-испытатели НИИ ВВС КА генерал-майор авиации А.И.Каба</w:t>
      </w:r>
      <w:r w:rsidRPr="00070ADE">
        <w:rPr>
          <w:rFonts w:ascii="Times New Roman" w:hAnsi="Times New Roman"/>
          <w:color w:val="000000" w:themeColor="text1"/>
          <w:sz w:val="16"/>
          <w:szCs w:val="16"/>
        </w:rPr>
        <w:softHyphen/>
        <w:t>нов и инженер-майор А.В.Синель</w:t>
      </w:r>
      <w:r w:rsidRPr="00070ADE">
        <w:rPr>
          <w:rFonts w:ascii="Times New Roman" w:hAnsi="Times New Roman"/>
          <w:color w:val="000000" w:themeColor="text1"/>
          <w:sz w:val="16"/>
          <w:szCs w:val="16"/>
        </w:rPr>
        <w:softHyphen/>
        <w:t>ников выполнили по программе 12 полетов. 15 мая из-за ненормаль</w:t>
      </w:r>
      <w:r w:rsidRPr="00070ADE">
        <w:rPr>
          <w:rFonts w:ascii="Times New Roman" w:hAnsi="Times New Roman"/>
          <w:color w:val="000000" w:themeColor="text1"/>
          <w:sz w:val="16"/>
          <w:szCs w:val="16"/>
        </w:rPr>
        <w:softHyphen/>
        <w:t>ной работы мотора испытания были приостановлены (11845).</w:t>
      </w:r>
    </w:p>
    <w:p w14:paraId="6339D2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5E225F" w14:textId="37968708" w:rsidR="00E07A00" w:rsidRPr="00070ADE" w:rsidRDefault="00E07A0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1944 начались испытания Су-6 с ВЯ, но уже 16 мая были приостановлены. После получения с завода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24 другого экземпляра мотора АМ-42 испытания самолета предполагалось продолжить (17490).</w:t>
      </w:r>
    </w:p>
    <w:p w14:paraId="0259608C" w14:textId="77777777" w:rsidR="00E07A00" w:rsidRPr="00070ADE" w:rsidRDefault="00E07A00" w:rsidP="00B56F90">
      <w:pPr>
        <w:spacing w:after="0" w:line="240" w:lineRule="auto"/>
        <w:jc w:val="both"/>
        <w:rPr>
          <w:rFonts w:ascii="Times New Roman" w:eastAsia="Times New Roman" w:hAnsi="Times New Roman"/>
          <w:color w:val="000000" w:themeColor="text1"/>
          <w:sz w:val="16"/>
          <w:szCs w:val="16"/>
          <w:lang w:eastAsia="ru-RU"/>
        </w:rPr>
      </w:pPr>
    </w:p>
    <w:p w14:paraId="39D979A8" w14:textId="77777777" w:rsidR="00E07A00" w:rsidRPr="00070ADE" w:rsidRDefault="00E07A00"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28 апреля 1944 начались испытания Су-6 АМ-42 с пушками ВЯ, но уже 16 мая были приостановлены вследствие совершенно ненормальной работы мо</w:t>
      </w:r>
      <w:r w:rsidRPr="00070ADE">
        <w:rPr>
          <w:color w:val="000000" w:themeColor="text1"/>
          <w:sz w:val="16"/>
          <w:szCs w:val="16"/>
        </w:rPr>
        <w:softHyphen/>
        <w:t>тора. Всего за это время удалось выполнить 17 по</w:t>
      </w:r>
      <w:r w:rsidRPr="00070ADE">
        <w:rPr>
          <w:color w:val="000000" w:themeColor="text1"/>
          <w:sz w:val="16"/>
          <w:szCs w:val="16"/>
        </w:rPr>
        <w:softHyphen/>
        <w:t>летов с общим налетом 6 ч 5 мин (17500).</w:t>
      </w:r>
    </w:p>
    <w:p w14:paraId="671CEE9C" w14:textId="77777777" w:rsidR="00E07A00" w:rsidRPr="00070ADE" w:rsidRDefault="00E07A00" w:rsidP="00B56F90">
      <w:pPr>
        <w:spacing w:after="0" w:line="240" w:lineRule="auto"/>
        <w:jc w:val="both"/>
        <w:rPr>
          <w:rFonts w:ascii="Times New Roman" w:hAnsi="Times New Roman"/>
          <w:color w:val="000000" w:themeColor="text1"/>
          <w:sz w:val="16"/>
          <w:szCs w:val="16"/>
        </w:rPr>
      </w:pPr>
    </w:p>
    <w:p w14:paraId="5BFAB993" w14:textId="77777777" w:rsidR="00B240EB" w:rsidRPr="00070ADE" w:rsidRDefault="00B240EB"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28 апреля 1944 г. Су-6 АМ-42 с пушками ВЯ-23 поступил на государственные испытания, которые уже 15 мая были приостановлены вследствие совершенно ненормальной работы мотора.</w:t>
      </w:r>
    </w:p>
    <w:p w14:paraId="3CAE339D" w14:textId="77777777" w:rsidR="00B240EB" w:rsidRPr="00070ADE" w:rsidRDefault="00B240EB"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К этому времени закончились госиспытания тяжелого штурмовика Ил-8 АМ-42 и решался вопрос о его запуске в серию (19188).</w:t>
      </w:r>
    </w:p>
    <w:p w14:paraId="01FEE781" w14:textId="77777777" w:rsidR="00B240EB" w:rsidRPr="00070ADE" w:rsidRDefault="00B240EB" w:rsidP="00B56F90">
      <w:pPr>
        <w:pStyle w:val="ae"/>
        <w:shd w:val="clear" w:color="auto" w:fill="FFFFFF"/>
        <w:spacing w:before="0" w:after="0"/>
        <w:jc w:val="both"/>
        <w:textAlignment w:val="baseline"/>
        <w:rPr>
          <w:color w:val="000000" w:themeColor="text1"/>
          <w:sz w:val="16"/>
          <w:szCs w:val="16"/>
        </w:rPr>
      </w:pPr>
    </w:p>
    <w:p w14:paraId="2C1BA74B"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28 апреля 1944 г. Су-6 АМ-42 с пушками ВЯ-23 поступил на государственные испытания, которые уже 15 мая были приостановлены вследствие совершенно ненормальной работы мотора.</w:t>
      </w:r>
    </w:p>
    <w:p w14:paraId="3BEDC2AF"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этому времени закончились госиспытания тяжелого штурмовика Ил-8 АМ-42 и решался вопрос о его запуске в серию (25288).</w:t>
      </w:r>
    </w:p>
    <w:p w14:paraId="2B5296A2" w14:textId="77777777" w:rsidR="00F24AC9" w:rsidRPr="00C94B78" w:rsidRDefault="00F24AC9" w:rsidP="00B56F90">
      <w:pPr>
        <w:spacing w:after="0" w:line="240" w:lineRule="auto"/>
        <w:jc w:val="both"/>
        <w:rPr>
          <w:rFonts w:ascii="Times New Roman" w:hAnsi="Times New Roman"/>
          <w:color w:val="0070C0"/>
          <w:sz w:val="16"/>
          <w:szCs w:val="16"/>
        </w:rPr>
      </w:pPr>
    </w:p>
    <w:p w14:paraId="2B03EE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1944 г. истребитель И-222 передали на ЛЭС завода №155 (5852,38).</w:t>
      </w:r>
    </w:p>
    <w:p w14:paraId="50E8EA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7148F8"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в 1944 году высотный истребитель-перехватчик с гермокабиной, двигателем «АМ-39Б» и двумя турбокомпрессорами «ТК-2Б» «И-222» передан на ЛЭС завода №155 на заводские испытания (15113).</w:t>
      </w:r>
    </w:p>
    <w:p w14:paraId="1F090007" w14:textId="77777777" w:rsidR="00476D5F" w:rsidRPr="00070ADE" w:rsidRDefault="00476D5F" w:rsidP="00B56F90">
      <w:pPr>
        <w:spacing w:after="0" w:line="240" w:lineRule="auto"/>
        <w:jc w:val="both"/>
        <w:rPr>
          <w:rFonts w:ascii="Times New Roman" w:hAnsi="Times New Roman"/>
          <w:color w:val="000000" w:themeColor="text1"/>
          <w:sz w:val="16"/>
          <w:szCs w:val="16"/>
        </w:rPr>
      </w:pPr>
    </w:p>
    <w:p w14:paraId="3752CD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1944 согласно журнала наблюдения за проектированием, постройкой и испытаниями высотного истребителя МиГ-1 за 1 мая 1944 И-222 АМ-39Б 2ТК-2Б передан на ЛЭС завода.</w:t>
      </w:r>
    </w:p>
    <w:p w14:paraId="7E9A1A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И-224 с АМ-39Б ТК-300Б - центроплан находится в стапеле. Хвостовая часть и крылья - в сборке.</w:t>
      </w:r>
    </w:p>
    <w:p w14:paraId="78FB38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макетной гермокабине удалось создать давление 60 мм рс вместо намеченных 200. Герметичность проверялась с помощью дымовых шашек (991,13).</w:t>
      </w:r>
    </w:p>
    <w:p w14:paraId="58B157B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0BE97F2"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1944 года истребитель И-222 передали на лётную станцию завода № 155, и 7 мая лётчик-испытатель ЛИИ А.П. Якимов выполнил на нём первый полёт. В ходе испытаний на самолёте установили четырёхлопастный винт АВ-9Л-230, а в период с 26 июля по 9 августа выполнили продувку машины в натур</w:t>
      </w:r>
      <w:r w:rsidRPr="00070ADE">
        <w:rPr>
          <w:rFonts w:ascii="Times New Roman" w:hAnsi="Times New Roman"/>
          <w:color w:val="000000" w:themeColor="text1"/>
          <w:sz w:val="16"/>
          <w:szCs w:val="16"/>
        </w:rPr>
        <w:softHyphen/>
        <w:t>ной аэродинамической трубе ЦАГИ Т-101.</w:t>
      </w:r>
    </w:p>
    <w:p w14:paraId="1AD7DAEF"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расчётам, максимальная скорость И-222 должна была составить 689 км/ч на высоте 12 500 м, а практи</w:t>
      </w:r>
      <w:r w:rsidRPr="00070ADE">
        <w:rPr>
          <w:rFonts w:ascii="Times New Roman" w:hAnsi="Times New Roman"/>
          <w:color w:val="000000" w:themeColor="text1"/>
          <w:sz w:val="16"/>
          <w:szCs w:val="16"/>
        </w:rPr>
        <w:softHyphen/>
        <w:t>ческий потолок — 13 000—14 000 м. Но из-за постоян</w:t>
      </w:r>
      <w:r w:rsidRPr="00070ADE">
        <w:rPr>
          <w:rFonts w:ascii="Times New Roman" w:hAnsi="Times New Roman"/>
          <w:color w:val="000000" w:themeColor="text1"/>
          <w:sz w:val="16"/>
          <w:szCs w:val="16"/>
        </w:rPr>
        <w:softHyphen/>
        <w:t>ных отказов мотора АМ-39Б испытания И-222 шли вяло и в конце концов все работы были прекращены. Неустой</w:t>
      </w:r>
      <w:r w:rsidRPr="00070ADE">
        <w:rPr>
          <w:rFonts w:ascii="Times New Roman" w:hAnsi="Times New Roman"/>
          <w:color w:val="000000" w:themeColor="text1"/>
          <w:sz w:val="16"/>
          <w:szCs w:val="16"/>
        </w:rPr>
        <w:softHyphen/>
        <w:t>чивая работа ВМГ и падение давления масла и бензина не позволили самолёту набрать высоту более 12 000 м (23379).</w:t>
      </w:r>
    </w:p>
    <w:p w14:paraId="65F6C941" w14:textId="77777777" w:rsidR="00351460" w:rsidRPr="00070ADE" w:rsidRDefault="00351460" w:rsidP="00B56F90">
      <w:pPr>
        <w:spacing w:after="0" w:line="240" w:lineRule="auto"/>
        <w:jc w:val="both"/>
        <w:rPr>
          <w:rFonts w:ascii="Times New Roman" w:hAnsi="Times New Roman"/>
          <w:color w:val="000000" w:themeColor="text1"/>
          <w:sz w:val="16"/>
          <w:szCs w:val="16"/>
        </w:rPr>
      </w:pPr>
    </w:p>
    <w:p w14:paraId="4793B8ED"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1944 г. машину «3А» МиГ снова передали на летно</w:t>
      </w:r>
      <w:r w:rsidRPr="00070ADE">
        <w:rPr>
          <w:rFonts w:ascii="Times New Roman" w:hAnsi="Times New Roman"/>
          <w:color w:val="000000" w:themeColor="text1"/>
          <w:sz w:val="16"/>
          <w:szCs w:val="16"/>
        </w:rPr>
        <w:noBreakHyphen/>
        <w:t>испытательную станцию завода №155 на Центральном аэродроме им. М.В. Фрунзе в Москве на Ходынке, где провели взвешивание. Вес пустого самолёта оказался на 12 кг меньше, чем у И</w:t>
      </w:r>
      <w:r w:rsidRPr="00070ADE">
        <w:rPr>
          <w:rFonts w:ascii="Times New Roman" w:hAnsi="Times New Roman"/>
          <w:color w:val="000000" w:themeColor="text1"/>
          <w:sz w:val="16"/>
          <w:szCs w:val="16"/>
        </w:rPr>
        <w:noBreakHyphen/>
        <w:t>221 – лишь на 0,4%, что намного меньше технического допуска на эту величину, а взлётный сократился на 98 кг или на 2,5% – тоже ненамного и в основном благодаря ограничению запаса топлива и боекомплекта (23471).</w:t>
      </w:r>
    </w:p>
    <w:p w14:paraId="092A2EAC" w14:textId="77777777" w:rsidR="00351460" w:rsidRPr="00070ADE" w:rsidRDefault="00351460" w:rsidP="00B56F90">
      <w:pPr>
        <w:spacing w:after="0" w:line="240" w:lineRule="auto"/>
        <w:jc w:val="both"/>
        <w:rPr>
          <w:rFonts w:ascii="Times New Roman" w:hAnsi="Times New Roman"/>
          <w:color w:val="000000" w:themeColor="text1"/>
          <w:sz w:val="16"/>
          <w:szCs w:val="16"/>
        </w:rPr>
      </w:pPr>
    </w:p>
    <w:p w14:paraId="7016C50A"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28 апреля 1944 г. истребитель И-222 передали на ЛЭС завода №155, а 7 мая на нем выполнили первый вылет. Для проведения заводских испытаний самолета в соответствии с приказом НКАП №372 от 1 июня 1944 г. были утверждены ведущий инженер К.П.Ковалевский и летчик-испытатель А.П.Якимов (25230).</w:t>
      </w:r>
    </w:p>
    <w:p w14:paraId="34921063" w14:textId="77777777" w:rsidR="00F24AC9" w:rsidRPr="00C94B78" w:rsidRDefault="00F24AC9" w:rsidP="00B56F90">
      <w:pPr>
        <w:spacing w:after="0" w:line="240" w:lineRule="auto"/>
        <w:jc w:val="both"/>
        <w:rPr>
          <w:rFonts w:ascii="Times New Roman" w:hAnsi="Times New Roman"/>
          <w:color w:val="0070C0"/>
          <w:sz w:val="16"/>
          <w:szCs w:val="16"/>
        </w:rPr>
      </w:pPr>
    </w:p>
    <w:p w14:paraId="267FBDE9" w14:textId="77777777" w:rsidR="00B240EB" w:rsidRPr="00070ADE" w:rsidRDefault="00B240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1944 вышло Распоряжение ГКО № 5752</w:t>
      </w:r>
    </w:p>
    <w:p w14:paraId="0DA55BBB" w14:textId="77777777" w:rsidR="00B240EB" w:rsidRPr="00070ADE" w:rsidRDefault="00B240E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Возложить на Наркомат Боеприпасов техническое руководство вопросами проектирования, изготовления опыт</w:t>
      </w:r>
      <w:r w:rsidRPr="00070ADE">
        <w:rPr>
          <w:rFonts w:ascii="Times New Roman" w:hAnsi="Times New Roman"/>
          <w:color w:val="000000" w:themeColor="text1"/>
          <w:sz w:val="16"/>
          <w:szCs w:val="16"/>
        </w:rPr>
        <w:softHyphen/>
        <w:t>ных образцов и обеспечения промышленности чертежами и техническими условиями на все элементы авиабомб.</w:t>
      </w:r>
    </w:p>
    <w:p w14:paraId="1BBCBE5F" w14:textId="77777777" w:rsidR="00B240EB" w:rsidRPr="00070ADE" w:rsidRDefault="00B240EB" w:rsidP="00B56F90">
      <w:pPr>
        <w:spacing w:after="0" w:line="240" w:lineRule="auto"/>
        <w:jc w:val="both"/>
        <w:rPr>
          <w:rFonts w:ascii="Times New Roman" w:hAnsi="Times New Roman"/>
          <w:color w:val="000000" w:themeColor="text1"/>
          <w:sz w:val="16"/>
          <w:szCs w:val="16"/>
        </w:rPr>
      </w:pPr>
      <w:r w:rsidRPr="00070ADE">
        <w:rPr>
          <w:rStyle w:val="Consolas9pt"/>
          <w:rFonts w:ascii="Times New Roman" w:eastAsiaTheme="minorHAnsi" w:hAnsi="Times New Roman" w:cs="Times New Roman"/>
          <w:i w:val="0"/>
          <w:color w:val="000000" w:themeColor="text1"/>
          <w:sz w:val="16"/>
          <w:szCs w:val="16"/>
        </w:rPr>
        <w:lastRenderedPageBreak/>
        <w:t>2.</w:t>
      </w:r>
      <w:r w:rsidRPr="00070ADE">
        <w:rPr>
          <w:rFonts w:ascii="Times New Roman" w:hAnsi="Times New Roman"/>
          <w:color w:val="000000" w:themeColor="text1"/>
          <w:sz w:val="16"/>
          <w:szCs w:val="16"/>
        </w:rPr>
        <w:t xml:space="preserve"> Обязать Наркомминвоорукения т.Паршина возвратить Наркомату боеприпасов Конструкторские бюро ГСКБ-47, КБ-35 и завод № 67 со всем имеющимся оборудованием, кадрами, транспортом, жилыми и производственными помещениями, инвентарем и фондами на материальное обеспече</w:t>
      </w:r>
      <w:r w:rsidRPr="00070ADE">
        <w:rPr>
          <w:rFonts w:ascii="Times New Roman" w:hAnsi="Times New Roman"/>
          <w:color w:val="000000" w:themeColor="text1"/>
          <w:sz w:val="16"/>
          <w:szCs w:val="16"/>
        </w:rPr>
        <w:softHyphen/>
        <w:t>ние, выделенными на II квартал 1944 года (19484).</w:t>
      </w:r>
    </w:p>
    <w:p w14:paraId="32E00726" w14:textId="77777777" w:rsidR="00B240EB" w:rsidRPr="00070ADE" w:rsidRDefault="00B240EB" w:rsidP="00B56F90">
      <w:pPr>
        <w:spacing w:after="0" w:line="240" w:lineRule="auto"/>
        <w:jc w:val="both"/>
        <w:rPr>
          <w:rFonts w:ascii="Times New Roman" w:hAnsi="Times New Roman"/>
          <w:color w:val="000000" w:themeColor="text1"/>
          <w:sz w:val="16"/>
          <w:szCs w:val="16"/>
        </w:rPr>
      </w:pPr>
    </w:p>
    <w:p w14:paraId="577EFEF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3E0832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856FF9" w14:textId="77777777" w:rsidR="00B240EB" w:rsidRPr="00070ADE" w:rsidRDefault="00B240EB" w:rsidP="00B56F90">
      <w:pPr>
        <w:pStyle w:val="ae"/>
        <w:spacing w:before="0" w:after="0"/>
        <w:jc w:val="both"/>
        <w:textAlignment w:val="baseline"/>
        <w:rPr>
          <w:color w:val="000000" w:themeColor="text1"/>
          <w:sz w:val="16"/>
          <w:szCs w:val="16"/>
        </w:rPr>
      </w:pPr>
      <w:r w:rsidRPr="00070ADE">
        <w:rPr>
          <w:color w:val="000000" w:themeColor="text1"/>
          <w:sz w:val="16"/>
          <w:szCs w:val="16"/>
        </w:rPr>
        <w:t>28 апреля 1944 в ГБТУ КА пришли краткие ТТХ улучшенной машины Т-44, также со стороны завода прозвучало обещание сдать два танка к 5 мая. При этом машины были разными: первый образец имел толщину борта 60 мм, а второй — 75 мм (18950).</w:t>
      </w:r>
    </w:p>
    <w:p w14:paraId="292594C0" w14:textId="77777777" w:rsidR="00B240EB" w:rsidRPr="00070ADE" w:rsidRDefault="00B240EB" w:rsidP="00B56F90">
      <w:pPr>
        <w:pStyle w:val="ae"/>
        <w:spacing w:before="0" w:after="0"/>
        <w:jc w:val="both"/>
        <w:textAlignment w:val="baseline"/>
        <w:rPr>
          <w:color w:val="000000" w:themeColor="text1"/>
          <w:sz w:val="16"/>
          <w:szCs w:val="16"/>
        </w:rPr>
      </w:pPr>
    </w:p>
    <w:p w14:paraId="21C855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1944 г. были подготовлены ТАКТИКО-ТЕХНИЧЕСКИЕ ХАРАКТЕРИСТИКИ САМОХОДНЫХ АРТИЛЛЕРИЙСКИХ УСТАНОВОК И ИХ СИСТЕМ</w:t>
      </w:r>
    </w:p>
    <w:tbl>
      <w:tblPr>
        <w:tblW w:w="0" w:type="auto"/>
        <w:tblInd w:w="40" w:type="dxa"/>
        <w:tblLayout w:type="fixed"/>
        <w:tblCellMar>
          <w:left w:w="40" w:type="dxa"/>
          <w:right w:w="40" w:type="dxa"/>
        </w:tblCellMar>
        <w:tblLook w:val="0000" w:firstRow="0" w:lastRow="0" w:firstColumn="0" w:lastColumn="0" w:noHBand="0" w:noVBand="0"/>
      </w:tblPr>
      <w:tblGrid>
        <w:gridCol w:w="3072"/>
        <w:gridCol w:w="701"/>
        <w:gridCol w:w="701"/>
        <w:gridCol w:w="691"/>
        <w:gridCol w:w="701"/>
        <w:gridCol w:w="701"/>
        <w:gridCol w:w="701"/>
        <w:gridCol w:w="691"/>
        <w:gridCol w:w="701"/>
        <w:gridCol w:w="950"/>
      </w:tblGrid>
      <w:tr w:rsidR="004D4663" w:rsidRPr="00070ADE" w14:paraId="0073466A" w14:textId="77777777">
        <w:trPr>
          <w:trHeight w:val="221"/>
        </w:trPr>
        <w:tc>
          <w:tcPr>
            <w:tcW w:w="3072" w:type="dxa"/>
            <w:tcBorders>
              <w:top w:val="single" w:sz="6" w:space="0" w:color="auto"/>
              <w:left w:val="single" w:sz="6" w:space="0" w:color="auto"/>
              <w:bottom w:val="nil"/>
              <w:right w:val="single" w:sz="6" w:space="0" w:color="auto"/>
            </w:tcBorders>
          </w:tcPr>
          <w:p w14:paraId="1D9081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Параметры</w:t>
            </w:r>
          </w:p>
          <w:p w14:paraId="4BBE1D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94" w:type="dxa"/>
            <w:gridSpan w:val="4"/>
            <w:tcBorders>
              <w:top w:val="single" w:sz="6" w:space="0" w:color="auto"/>
              <w:left w:val="single" w:sz="6" w:space="0" w:color="auto"/>
              <w:bottom w:val="single" w:sz="6" w:space="0" w:color="auto"/>
              <w:right w:val="single" w:sz="6" w:space="0" w:color="auto"/>
            </w:tcBorders>
          </w:tcPr>
          <w:p w14:paraId="578080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Опытные</w:t>
            </w:r>
          </w:p>
          <w:p w14:paraId="77C492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94" w:type="dxa"/>
            <w:gridSpan w:val="4"/>
            <w:tcBorders>
              <w:top w:val="single" w:sz="6" w:space="0" w:color="auto"/>
              <w:left w:val="single" w:sz="6" w:space="0" w:color="auto"/>
              <w:bottom w:val="single" w:sz="6" w:space="0" w:color="auto"/>
              <w:right w:val="single" w:sz="6" w:space="0" w:color="auto"/>
            </w:tcBorders>
          </w:tcPr>
          <w:p w14:paraId="4B24F5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Серийные</w:t>
            </w:r>
          </w:p>
          <w:p w14:paraId="63D855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D5D67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Немецкие</w:t>
            </w:r>
          </w:p>
          <w:p w14:paraId="035F77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B815908" w14:textId="77777777">
        <w:trPr>
          <w:trHeight w:val="374"/>
        </w:trPr>
        <w:tc>
          <w:tcPr>
            <w:tcW w:w="3072" w:type="dxa"/>
            <w:tcBorders>
              <w:top w:val="nil"/>
              <w:left w:val="single" w:sz="6" w:space="0" w:color="auto"/>
              <w:bottom w:val="single" w:sz="6" w:space="0" w:color="auto"/>
              <w:right w:val="single" w:sz="6" w:space="0" w:color="auto"/>
            </w:tcBorders>
          </w:tcPr>
          <w:p w14:paraId="61610E3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36C7A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3A470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СУ-85 ГАЗа</w:t>
            </w:r>
          </w:p>
          <w:p w14:paraId="6671E7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ACB7E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СУ-100 УЗТМ</w:t>
            </w:r>
          </w:p>
          <w:p w14:paraId="2BB772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7B0B8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СУ-122 БМ</w:t>
            </w:r>
          </w:p>
          <w:p w14:paraId="11A1CC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724B7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СУ-152 БМ</w:t>
            </w:r>
          </w:p>
          <w:p w14:paraId="26ADAD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FD61A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СУ-76</w:t>
            </w:r>
          </w:p>
          <w:p w14:paraId="03B453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80673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СУ-85</w:t>
            </w:r>
          </w:p>
          <w:p w14:paraId="6A8867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DF01B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ИСУ-122</w:t>
            </w:r>
          </w:p>
          <w:p w14:paraId="4F630E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631E2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ИСУ-152</w:t>
            </w:r>
          </w:p>
          <w:p w14:paraId="62B835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FF0FF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Фердинанд</w:t>
            </w:r>
          </w:p>
          <w:p w14:paraId="6B7751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9485132" w14:textId="77777777">
        <w:trPr>
          <w:trHeight w:val="326"/>
        </w:trPr>
        <w:tc>
          <w:tcPr>
            <w:tcW w:w="3072" w:type="dxa"/>
            <w:tcBorders>
              <w:top w:val="single" w:sz="6" w:space="0" w:color="auto"/>
              <w:left w:val="single" w:sz="6" w:space="0" w:color="auto"/>
              <w:bottom w:val="single" w:sz="6" w:space="0" w:color="auto"/>
              <w:right w:val="single" w:sz="6" w:space="0" w:color="auto"/>
            </w:tcBorders>
          </w:tcPr>
          <w:p w14:paraId="0C415F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Боевой вес в тоннах</w:t>
            </w:r>
          </w:p>
          <w:p w14:paraId="42FF31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321B9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w:t>
            </w:r>
          </w:p>
          <w:p w14:paraId="4FE596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5D166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31,6</w:t>
            </w:r>
          </w:p>
          <w:p w14:paraId="3D4E65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396BF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94039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FE043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47,0</w:t>
            </w:r>
          </w:p>
          <w:p w14:paraId="197F19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C06F3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w:t>
            </w:r>
          </w:p>
          <w:p w14:paraId="71A54C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D643F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29,6</w:t>
            </w:r>
          </w:p>
          <w:p w14:paraId="39D7BB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4477C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45,7</w:t>
            </w:r>
          </w:p>
          <w:p w14:paraId="658954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08AC7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45,7</w:t>
            </w:r>
          </w:p>
          <w:p w14:paraId="47072D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97A12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67-70</w:t>
            </w:r>
          </w:p>
          <w:p w14:paraId="5B35C8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108D409" w14:textId="77777777">
        <w:trPr>
          <w:trHeight w:val="317"/>
        </w:trPr>
        <w:tc>
          <w:tcPr>
            <w:tcW w:w="3072" w:type="dxa"/>
            <w:tcBorders>
              <w:top w:val="single" w:sz="6" w:space="0" w:color="auto"/>
              <w:left w:val="single" w:sz="6" w:space="0" w:color="auto"/>
              <w:bottom w:val="single" w:sz="6" w:space="0" w:color="auto"/>
              <w:right w:val="single" w:sz="6" w:space="0" w:color="auto"/>
            </w:tcBorders>
          </w:tcPr>
          <w:p w14:paraId="265FC7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w:t>
            </w:r>
          </w:p>
          <w:p w14:paraId="436325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DA422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2CD452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85E42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032921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BF359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1BDE2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CA3D5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044627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25E6A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4B35D1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AABB2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57F224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F68C5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716978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63FB0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046599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8B2EA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p w14:paraId="12C816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8A7767C" w14:textId="77777777">
        <w:trPr>
          <w:trHeight w:val="432"/>
        </w:trPr>
        <w:tc>
          <w:tcPr>
            <w:tcW w:w="3072" w:type="dxa"/>
            <w:tcBorders>
              <w:top w:val="single" w:sz="6" w:space="0" w:color="auto"/>
              <w:left w:val="single" w:sz="6" w:space="0" w:color="auto"/>
              <w:bottom w:val="single" w:sz="6" w:space="0" w:color="auto"/>
              <w:right w:val="single" w:sz="6" w:space="0" w:color="auto"/>
            </w:tcBorders>
          </w:tcPr>
          <w:p w14:paraId="6ABB1C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Наибольшая толщина брони в мм / угол наклона в градусах</w:t>
            </w:r>
          </w:p>
          <w:p w14:paraId="27418C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8C1A6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 23е</w:t>
            </w:r>
          </w:p>
          <w:p w14:paraId="5823F7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6CDE8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55е</w:t>
            </w:r>
          </w:p>
          <w:p w14:paraId="545FC2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8A7B3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4936A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677CC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 ЗОе</w:t>
            </w:r>
          </w:p>
          <w:p w14:paraId="2CFA60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C55B7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60е</w:t>
            </w:r>
          </w:p>
          <w:p w14:paraId="1F657E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3A2AA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55е</w:t>
            </w:r>
          </w:p>
          <w:p w14:paraId="62680D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CD49F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 ЗОе</w:t>
            </w:r>
          </w:p>
          <w:p w14:paraId="1406CD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3F893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 ЗОе</w:t>
            </w:r>
          </w:p>
          <w:p w14:paraId="5239C3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D0098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 20е</w:t>
            </w:r>
          </w:p>
          <w:p w14:paraId="6AF088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DED7167" w14:textId="77777777">
        <w:trPr>
          <w:trHeight w:val="326"/>
        </w:trPr>
        <w:tc>
          <w:tcPr>
            <w:tcW w:w="3072" w:type="dxa"/>
            <w:tcBorders>
              <w:top w:val="single" w:sz="6" w:space="0" w:color="auto"/>
              <w:left w:val="single" w:sz="6" w:space="0" w:color="auto"/>
              <w:bottom w:val="single" w:sz="6" w:space="0" w:color="auto"/>
              <w:right w:val="single" w:sz="6" w:space="0" w:color="auto"/>
            </w:tcBorders>
          </w:tcPr>
          <w:p w14:paraId="3B7943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Боекомплект пушки</w:t>
            </w:r>
          </w:p>
          <w:p w14:paraId="361782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EFD90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w:t>
            </w:r>
          </w:p>
          <w:p w14:paraId="208DFA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1BFB9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w:t>
            </w:r>
          </w:p>
          <w:p w14:paraId="334763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4B2E6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E4729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B1E39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w:t>
            </w:r>
          </w:p>
          <w:p w14:paraId="118B67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C04BA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p w14:paraId="4C660A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1B1F5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w:t>
            </w:r>
          </w:p>
          <w:p w14:paraId="232294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09C24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012A4C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ECCA8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p w14:paraId="1C755E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DA647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w:t>
            </w:r>
          </w:p>
          <w:p w14:paraId="4F215C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332B851" w14:textId="77777777">
        <w:trPr>
          <w:trHeight w:val="326"/>
        </w:trPr>
        <w:tc>
          <w:tcPr>
            <w:tcW w:w="3072" w:type="dxa"/>
            <w:tcBorders>
              <w:top w:val="single" w:sz="6" w:space="0" w:color="auto"/>
              <w:left w:val="single" w:sz="6" w:space="0" w:color="auto"/>
              <w:bottom w:val="single" w:sz="6" w:space="0" w:color="auto"/>
              <w:right w:val="single" w:sz="6" w:space="0" w:color="auto"/>
            </w:tcBorders>
          </w:tcPr>
          <w:p w14:paraId="29244F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w:t>
            </w:r>
          </w:p>
          <w:p w14:paraId="71057F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AFAF2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3FA8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D28C2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BD86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4DCC0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D4A1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F4618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2D94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29812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1221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5A238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6E78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80314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3856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15BD2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9458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80906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4C4C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6B9D187" w14:textId="77777777">
        <w:trPr>
          <w:trHeight w:val="624"/>
        </w:trPr>
        <w:tc>
          <w:tcPr>
            <w:tcW w:w="3072" w:type="dxa"/>
            <w:tcBorders>
              <w:top w:val="single" w:sz="6" w:space="0" w:color="auto"/>
              <w:left w:val="single" w:sz="6" w:space="0" w:color="auto"/>
              <w:bottom w:val="single" w:sz="6" w:space="0" w:color="auto"/>
              <w:right w:val="single" w:sz="6" w:space="0" w:color="auto"/>
            </w:tcBorders>
          </w:tcPr>
          <w:p w14:paraId="6BD5C1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Пушка</w:t>
            </w:r>
          </w:p>
          <w:p w14:paraId="027245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4D7D3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85-мм Д-5С-85</w:t>
            </w:r>
          </w:p>
          <w:p w14:paraId="16E970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49973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100-мм Д-10С</w:t>
            </w:r>
          </w:p>
          <w:p w14:paraId="5DF533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2CAD9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122-мм ОБМ-50</w:t>
            </w:r>
          </w:p>
          <w:p w14:paraId="5B102C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68B32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152-мм ОБМ-53</w:t>
            </w:r>
          </w:p>
          <w:p w14:paraId="752911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39167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76-мм ЗИС-3</w:t>
            </w:r>
          </w:p>
          <w:p w14:paraId="3C43C5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EFA7F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85-мм Д-5С-85</w:t>
            </w:r>
          </w:p>
          <w:p w14:paraId="3AFD30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E3883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122-мм А-19</w:t>
            </w:r>
          </w:p>
          <w:p w14:paraId="7928B3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96998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152-мм МЛ-20</w:t>
            </w:r>
          </w:p>
          <w:p w14:paraId="530A13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48E5C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88-мм ЮЛ/К-43</w:t>
            </w:r>
          </w:p>
          <w:p w14:paraId="249081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45DADB1" w14:textId="77777777">
        <w:trPr>
          <w:trHeight w:val="634"/>
        </w:trPr>
        <w:tc>
          <w:tcPr>
            <w:tcW w:w="3072" w:type="dxa"/>
            <w:tcBorders>
              <w:top w:val="single" w:sz="6" w:space="0" w:color="auto"/>
              <w:left w:val="single" w:sz="6" w:space="0" w:color="auto"/>
              <w:bottom w:val="single" w:sz="6" w:space="0" w:color="auto"/>
              <w:right w:val="single" w:sz="6" w:space="0" w:color="auto"/>
            </w:tcBorders>
          </w:tcPr>
          <w:p w14:paraId="31A80A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ППШ</w:t>
            </w:r>
          </w:p>
          <w:p w14:paraId="16B5FD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EC184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40F96D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BE4BA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50D308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AE6E9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17A621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B685B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4D8349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0974F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07C8DD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FD678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21E221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B3E6C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24DC28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D0B8A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2EC57B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92CFF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7,92-мм пулемет МГ-42-1</w:t>
            </w:r>
          </w:p>
          <w:p w14:paraId="7E5029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564E4F8" w14:textId="77777777">
        <w:trPr>
          <w:trHeight w:val="432"/>
        </w:trPr>
        <w:tc>
          <w:tcPr>
            <w:tcW w:w="3072" w:type="dxa"/>
            <w:tcBorders>
              <w:top w:val="single" w:sz="6" w:space="0" w:color="auto"/>
              <w:left w:val="single" w:sz="6" w:space="0" w:color="auto"/>
              <w:bottom w:val="single" w:sz="6" w:space="0" w:color="auto"/>
              <w:right w:val="single" w:sz="6" w:space="0" w:color="auto"/>
            </w:tcBorders>
          </w:tcPr>
          <w:p w14:paraId="78DD59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Начальная скорость бронеб. снаряда в м/с</w:t>
            </w:r>
          </w:p>
          <w:p w14:paraId="5EBFB3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B64AF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785</w:t>
            </w:r>
          </w:p>
          <w:p w14:paraId="609C90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165B4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p w14:paraId="65C793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461A2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2096AE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FA1DF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p w14:paraId="100A28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0C813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662</w:t>
            </w:r>
          </w:p>
          <w:p w14:paraId="46B033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0A9F5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785</w:t>
            </w:r>
          </w:p>
          <w:p w14:paraId="43399A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3E773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790</w:t>
            </w:r>
          </w:p>
          <w:p w14:paraId="31474F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7CED0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p w14:paraId="7420F5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F7D8C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7E7263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FE02827" w14:textId="77777777">
        <w:trPr>
          <w:trHeight w:val="317"/>
        </w:trPr>
        <w:tc>
          <w:tcPr>
            <w:tcW w:w="3072" w:type="dxa"/>
            <w:tcBorders>
              <w:top w:val="single" w:sz="6" w:space="0" w:color="auto"/>
              <w:left w:val="single" w:sz="6" w:space="0" w:color="auto"/>
              <w:bottom w:val="single" w:sz="6" w:space="0" w:color="auto"/>
              <w:right w:val="single" w:sz="6" w:space="0" w:color="auto"/>
            </w:tcBorders>
          </w:tcPr>
          <w:p w14:paraId="0AB0AA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ствола в калибрах</w:t>
            </w:r>
          </w:p>
          <w:p w14:paraId="36908B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248B4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p w14:paraId="1A43F0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B799E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w:t>
            </w:r>
          </w:p>
          <w:p w14:paraId="43D385C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4BFF1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59,8</w:t>
            </w:r>
          </w:p>
          <w:p w14:paraId="7298A7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55D0B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52,5</w:t>
            </w:r>
          </w:p>
          <w:p w14:paraId="3D9C3D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DE899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41,6</w:t>
            </w:r>
          </w:p>
          <w:p w14:paraId="4F4364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76618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p w14:paraId="52C18C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64015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46,3</w:t>
            </w:r>
          </w:p>
          <w:p w14:paraId="438BAB5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03821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32,5</w:t>
            </w:r>
          </w:p>
          <w:p w14:paraId="647304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B9124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w:t>
            </w:r>
          </w:p>
          <w:p w14:paraId="7A29C7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78B7131" w14:textId="77777777">
        <w:trPr>
          <w:trHeight w:val="326"/>
        </w:trPr>
        <w:tc>
          <w:tcPr>
            <w:tcW w:w="3072" w:type="dxa"/>
            <w:tcBorders>
              <w:top w:val="single" w:sz="6" w:space="0" w:color="auto"/>
              <w:left w:val="single" w:sz="6" w:space="0" w:color="auto"/>
              <w:bottom w:val="single" w:sz="6" w:space="0" w:color="auto"/>
              <w:right w:val="single" w:sz="6" w:space="0" w:color="auto"/>
            </w:tcBorders>
          </w:tcPr>
          <w:p w14:paraId="4571242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бронебойного снаряда в кг</w:t>
            </w:r>
          </w:p>
          <w:p w14:paraId="2083D6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CBBCA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w:t>
            </w:r>
          </w:p>
          <w:p w14:paraId="4B4F72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1E5D0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15,8</w:t>
            </w:r>
          </w:p>
          <w:p w14:paraId="287FD0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A6225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w:t>
            </w:r>
          </w:p>
          <w:p w14:paraId="323F50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1EDD2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48,8</w:t>
            </w:r>
          </w:p>
          <w:p w14:paraId="5BB99C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AC275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w:t>
            </w:r>
          </w:p>
          <w:p w14:paraId="11307B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BEB6F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w:t>
            </w:r>
          </w:p>
          <w:p w14:paraId="62109E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2946E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w:t>
            </w:r>
          </w:p>
          <w:p w14:paraId="03581A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5EC20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48,8</w:t>
            </w:r>
          </w:p>
          <w:p w14:paraId="2E9FA0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CD2E0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w:t>
            </w:r>
          </w:p>
          <w:p w14:paraId="00EC62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27EA5D0" w14:textId="77777777">
        <w:trPr>
          <w:trHeight w:val="432"/>
        </w:trPr>
        <w:tc>
          <w:tcPr>
            <w:tcW w:w="3072" w:type="dxa"/>
            <w:tcBorders>
              <w:top w:val="single" w:sz="6" w:space="0" w:color="auto"/>
              <w:left w:val="single" w:sz="6" w:space="0" w:color="auto"/>
              <w:bottom w:val="single" w:sz="6" w:space="0" w:color="auto"/>
              <w:right w:val="single" w:sz="6" w:space="0" w:color="auto"/>
            </w:tcBorders>
          </w:tcPr>
          <w:p w14:paraId="0B820A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унитарного патрона в мм</w:t>
            </w:r>
          </w:p>
          <w:p w14:paraId="16CAF1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29C16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945</w:t>
            </w:r>
          </w:p>
          <w:p w14:paraId="391574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731C8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1050</w:t>
            </w:r>
          </w:p>
          <w:p w14:paraId="1BD467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E9460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427</w:t>
            </w:r>
            <w:r w:rsidRPr="00070ADE">
              <w:rPr>
                <w:rFonts w:ascii="Times New Roman" w:hAnsi="Times New Roman"/>
                <w:color w:val="000000" w:themeColor="text1"/>
                <w:sz w:val="16"/>
                <w:szCs w:val="16"/>
                <w:vertAlign w:val="superscript"/>
              </w:rPr>
              <w:t>Х</w:t>
            </w:r>
            <w:r w:rsidRPr="00070ADE">
              <w:rPr>
                <w:rFonts w:ascii="Times New Roman" w:hAnsi="Times New Roman"/>
                <w:color w:val="000000" w:themeColor="text1"/>
                <w:sz w:val="16"/>
                <w:szCs w:val="16"/>
              </w:rPr>
              <w:t>&gt; 535</w:t>
            </w:r>
          </w:p>
          <w:p w14:paraId="5D4668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1357F2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578</w:t>
            </w:r>
            <w:r w:rsidRPr="00070ADE">
              <w:rPr>
                <w:rFonts w:ascii="Times New Roman" w:hAnsi="Times New Roman"/>
                <w:color w:val="000000" w:themeColor="text1"/>
                <w:sz w:val="16"/>
                <w:szCs w:val="16"/>
                <w:vertAlign w:val="superscript"/>
              </w:rPr>
              <w:t>Х</w:t>
            </w:r>
            <w:r w:rsidRPr="00070ADE">
              <w:rPr>
                <w:rFonts w:ascii="Times New Roman" w:hAnsi="Times New Roman"/>
                <w:color w:val="000000" w:themeColor="text1"/>
                <w:sz w:val="16"/>
                <w:szCs w:val="16"/>
              </w:rPr>
              <w:t>&gt; 535</w:t>
            </w:r>
          </w:p>
          <w:p w14:paraId="2C5B06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B0424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670</w:t>
            </w:r>
          </w:p>
          <w:p w14:paraId="28FFAF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3F50E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945</w:t>
            </w:r>
          </w:p>
          <w:p w14:paraId="1B39B2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F7C9B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427</w:t>
            </w:r>
            <w:r w:rsidRPr="00070ADE">
              <w:rPr>
                <w:rFonts w:ascii="Times New Roman" w:hAnsi="Times New Roman"/>
                <w:color w:val="000000" w:themeColor="text1"/>
                <w:sz w:val="16"/>
                <w:szCs w:val="16"/>
                <w:vertAlign w:val="superscript"/>
              </w:rPr>
              <w:t>х</w:t>
            </w:r>
            <w:r w:rsidRPr="00070ADE">
              <w:rPr>
                <w:rFonts w:ascii="Times New Roman" w:hAnsi="Times New Roman"/>
                <w:color w:val="000000" w:themeColor="text1"/>
                <w:sz w:val="16"/>
                <w:szCs w:val="16"/>
              </w:rPr>
              <w:t>' 780</w:t>
            </w:r>
          </w:p>
          <w:p w14:paraId="3A714D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7B62A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578</w:t>
            </w:r>
            <w:r w:rsidRPr="00070ADE">
              <w:rPr>
                <w:rFonts w:ascii="Times New Roman" w:hAnsi="Times New Roman"/>
                <w:color w:val="000000" w:themeColor="text1"/>
                <w:sz w:val="16"/>
                <w:szCs w:val="16"/>
                <w:vertAlign w:val="superscript"/>
              </w:rPr>
              <w:t>Х</w:t>
            </w:r>
            <w:r w:rsidRPr="00070ADE">
              <w:rPr>
                <w:rFonts w:ascii="Times New Roman" w:hAnsi="Times New Roman"/>
                <w:color w:val="000000" w:themeColor="text1"/>
                <w:sz w:val="16"/>
                <w:szCs w:val="16"/>
              </w:rPr>
              <w:t>&gt; 535</w:t>
            </w:r>
          </w:p>
          <w:p w14:paraId="12986A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C3702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1110</w:t>
            </w:r>
          </w:p>
          <w:p w14:paraId="655895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AF9B519" w14:textId="77777777">
        <w:trPr>
          <w:trHeight w:val="317"/>
        </w:trPr>
        <w:tc>
          <w:tcPr>
            <w:tcW w:w="3072" w:type="dxa"/>
            <w:tcBorders>
              <w:top w:val="single" w:sz="6" w:space="0" w:color="auto"/>
              <w:left w:val="single" w:sz="6" w:space="0" w:color="auto"/>
              <w:bottom w:val="single" w:sz="6" w:space="0" w:color="auto"/>
              <w:right w:val="single" w:sz="6" w:space="0" w:color="auto"/>
            </w:tcBorders>
          </w:tcPr>
          <w:p w14:paraId="1FABD8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выстрела в кг</w:t>
            </w:r>
          </w:p>
          <w:p w14:paraId="1E8C73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D3689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w:t>
            </w:r>
          </w:p>
          <w:p w14:paraId="0033A1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7C731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30,3</w:t>
            </w:r>
          </w:p>
          <w:p w14:paraId="0FBCDD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B80D8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 47,0</w:t>
            </w:r>
          </w:p>
          <w:p w14:paraId="78F082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DBE82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63,6</w:t>
            </w:r>
          </w:p>
          <w:p w14:paraId="509177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7A297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w:t>
            </w:r>
          </w:p>
          <w:p w14:paraId="338EC1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6A482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w:t>
            </w:r>
          </w:p>
          <w:p w14:paraId="703EF7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A9919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40,6</w:t>
            </w:r>
          </w:p>
          <w:p w14:paraId="1E74F5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7ECEF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55,4</w:t>
            </w:r>
          </w:p>
          <w:p w14:paraId="27B916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2990E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22,65</w:t>
            </w:r>
          </w:p>
          <w:p w14:paraId="44C52A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C5917F4" w14:textId="77777777">
        <w:trPr>
          <w:trHeight w:val="326"/>
        </w:trPr>
        <w:tc>
          <w:tcPr>
            <w:tcW w:w="3072" w:type="dxa"/>
            <w:tcBorders>
              <w:top w:val="single" w:sz="6" w:space="0" w:color="auto"/>
              <w:left w:val="single" w:sz="6" w:space="0" w:color="auto"/>
              <w:bottom w:val="single" w:sz="6" w:space="0" w:color="auto"/>
              <w:right w:val="single" w:sz="6" w:space="0" w:color="auto"/>
            </w:tcBorders>
          </w:tcPr>
          <w:p w14:paraId="38A569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Дульная энергия в т.м.</w:t>
            </w:r>
          </w:p>
          <w:p w14:paraId="3CD049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D9BD6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p w14:paraId="7E79D7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35080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639</w:t>
            </w:r>
          </w:p>
          <w:p w14:paraId="625E23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09570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1285</w:t>
            </w:r>
          </w:p>
          <w:p w14:paraId="100C8E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CCB0D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1795</w:t>
            </w:r>
          </w:p>
          <w:p w14:paraId="24D54C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5DBDA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w:t>
            </w:r>
          </w:p>
          <w:p w14:paraId="7E6A39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C3710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p w14:paraId="778412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0B542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w:t>
            </w:r>
          </w:p>
          <w:p w14:paraId="64B5E7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17CA7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930</w:t>
            </w:r>
          </w:p>
          <w:p w14:paraId="1633B8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946DE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516</w:t>
            </w:r>
          </w:p>
          <w:p w14:paraId="0EE32D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DED7D94" w14:textId="77777777">
        <w:trPr>
          <w:trHeight w:val="432"/>
        </w:trPr>
        <w:tc>
          <w:tcPr>
            <w:tcW w:w="3072" w:type="dxa"/>
            <w:tcBorders>
              <w:top w:val="single" w:sz="6" w:space="0" w:color="auto"/>
              <w:left w:val="single" w:sz="6" w:space="0" w:color="auto"/>
              <w:bottom w:val="single" w:sz="6" w:space="0" w:color="auto"/>
              <w:right w:val="single" w:sz="6" w:space="0" w:color="auto"/>
            </w:tcBorders>
          </w:tcPr>
          <w:p w14:paraId="40F8CF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качающейся части с бронировкой в кг</w:t>
            </w:r>
          </w:p>
          <w:p w14:paraId="243E00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993D6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 1500</w:t>
            </w:r>
          </w:p>
          <w:p w14:paraId="37A42A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FF2C0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2260</w:t>
            </w:r>
          </w:p>
          <w:p w14:paraId="0ED7E1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AE2A9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4700</w:t>
            </w:r>
          </w:p>
          <w:p w14:paraId="349679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BC3B6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4920</w:t>
            </w:r>
          </w:p>
          <w:p w14:paraId="6E3A57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F3222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515F39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D3029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 1500</w:t>
            </w:r>
          </w:p>
          <w:p w14:paraId="4BAA36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BF472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3300</w:t>
            </w:r>
          </w:p>
          <w:p w14:paraId="4BDEC3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C09D7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3200</w:t>
            </w:r>
          </w:p>
          <w:p w14:paraId="609A4F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AE9F3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31CF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E0DD289" w14:textId="77777777">
        <w:trPr>
          <w:trHeight w:val="432"/>
        </w:trPr>
        <w:tc>
          <w:tcPr>
            <w:tcW w:w="3072" w:type="dxa"/>
            <w:tcBorders>
              <w:top w:val="single" w:sz="6" w:space="0" w:color="auto"/>
              <w:left w:val="single" w:sz="6" w:space="0" w:color="auto"/>
              <w:bottom w:val="single" w:sz="6" w:space="0" w:color="auto"/>
              <w:right w:val="single" w:sz="6" w:space="0" w:color="auto"/>
            </w:tcBorders>
          </w:tcPr>
          <w:p w14:paraId="5AF759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Наибольшее сопротивление откату в тоннах</w:t>
            </w:r>
          </w:p>
          <w:p w14:paraId="5E26E4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51257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17,5</w:t>
            </w:r>
          </w:p>
          <w:p w14:paraId="7BBAC7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77F1F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 24,0</w:t>
            </w:r>
          </w:p>
          <w:p w14:paraId="72D97D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CBAA7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39,1</w:t>
            </w:r>
          </w:p>
          <w:p w14:paraId="3FA7E9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7A85C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31,0</w:t>
            </w:r>
            <w:r w:rsidRPr="00070ADE">
              <w:rPr>
                <w:rFonts w:ascii="Times New Roman" w:hAnsi="Times New Roman"/>
                <w:color w:val="000000" w:themeColor="text1"/>
                <w:sz w:val="16"/>
                <w:szCs w:val="16"/>
                <w:vertAlign w:val="superscript"/>
              </w:rPr>
              <w:t>ХХ</w:t>
            </w:r>
            <w:r w:rsidRPr="00070ADE">
              <w:rPr>
                <w:rFonts w:ascii="Times New Roman" w:hAnsi="Times New Roman"/>
                <w:color w:val="000000" w:themeColor="text1"/>
                <w:sz w:val="16"/>
                <w:szCs w:val="16"/>
              </w:rPr>
              <w:t>&gt;</w:t>
            </w:r>
          </w:p>
          <w:p w14:paraId="0101CF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D7604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 2,7</w:t>
            </w:r>
          </w:p>
          <w:p w14:paraId="73A33E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8A7A6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17,5</w:t>
            </w:r>
          </w:p>
          <w:p w14:paraId="32BC6B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17E9C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39,0</w:t>
            </w:r>
          </w:p>
          <w:p w14:paraId="7151A4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41D1E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p w14:paraId="4C22F9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4D61E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6711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D12A4FA" w14:textId="77777777">
        <w:trPr>
          <w:trHeight w:val="326"/>
        </w:trPr>
        <w:tc>
          <w:tcPr>
            <w:tcW w:w="3072" w:type="dxa"/>
            <w:tcBorders>
              <w:top w:val="single" w:sz="6" w:space="0" w:color="auto"/>
              <w:left w:val="single" w:sz="6" w:space="0" w:color="auto"/>
              <w:bottom w:val="single" w:sz="6" w:space="0" w:color="auto"/>
              <w:right w:val="single" w:sz="6" w:space="0" w:color="auto"/>
            </w:tcBorders>
          </w:tcPr>
          <w:p w14:paraId="2352CF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отката в мм</w:t>
            </w:r>
          </w:p>
          <w:p w14:paraId="3AEF33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59957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p w14:paraId="66C75A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8E9C7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550</w:t>
            </w:r>
          </w:p>
          <w:p w14:paraId="0B8C43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F009A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850</w:t>
            </w:r>
          </w:p>
          <w:p w14:paraId="752B73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F01A4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850</w:t>
            </w:r>
          </w:p>
          <w:p w14:paraId="1D1223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BDBE4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w:t>
            </w:r>
          </w:p>
          <w:p w14:paraId="1DE20D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43B62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p w14:paraId="754F17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641CD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850</w:t>
            </w:r>
          </w:p>
          <w:p w14:paraId="557722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674E8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850</w:t>
            </w:r>
          </w:p>
          <w:p w14:paraId="5DFF54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7508D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предп. 530</w:t>
            </w:r>
          </w:p>
          <w:p w14:paraId="58457E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768960A" w14:textId="77777777">
        <w:trPr>
          <w:trHeight w:val="643"/>
        </w:trPr>
        <w:tc>
          <w:tcPr>
            <w:tcW w:w="3072" w:type="dxa"/>
            <w:tcBorders>
              <w:top w:val="single" w:sz="6" w:space="0" w:color="auto"/>
              <w:left w:val="single" w:sz="6" w:space="0" w:color="auto"/>
              <w:bottom w:val="single" w:sz="6" w:space="0" w:color="auto"/>
              <w:right w:val="single" w:sz="6" w:space="0" w:color="auto"/>
            </w:tcBorders>
          </w:tcPr>
          <w:p w14:paraId="4F4FF8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Бронепробиваемость в мм с дистан</w:t>
            </w:r>
            <w:r w:rsidRPr="00070ADE">
              <w:rPr>
                <w:rFonts w:ascii="Times New Roman" w:hAnsi="Times New Roman"/>
                <w:color w:val="000000" w:themeColor="text1"/>
                <w:sz w:val="16"/>
                <w:szCs w:val="16"/>
              </w:rPr>
              <w:softHyphen/>
              <w:t>ции 1000 м при углах встречи снаряда с броней 60°/90°</w:t>
            </w:r>
          </w:p>
          <w:p w14:paraId="4A0376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1ED0B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82 102</w:t>
            </w:r>
          </w:p>
          <w:p w14:paraId="7DD034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7873B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121 149</w:t>
            </w:r>
          </w:p>
          <w:p w14:paraId="5A064F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F1CF3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170 209</w:t>
            </w:r>
          </w:p>
          <w:p w14:paraId="54C857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4CCAF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120 209</w:t>
            </w:r>
          </w:p>
          <w:p w14:paraId="5B637F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31A6B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49 61</w:t>
            </w:r>
          </w:p>
          <w:p w14:paraId="77AB4C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1923A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w:t>
            </w:r>
          </w:p>
          <w:p w14:paraId="61E423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w:t>
            </w:r>
          </w:p>
          <w:p w14:paraId="082835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98F9A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120 147</w:t>
            </w:r>
          </w:p>
          <w:p w14:paraId="652C36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C33E4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101 124</w:t>
            </w:r>
          </w:p>
          <w:p w14:paraId="1DC49E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B04A2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121 148</w:t>
            </w:r>
          </w:p>
          <w:p w14:paraId="1BC9CA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250C5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Примечание: </w:t>
      </w:r>
      <w:r w:rsidRPr="00070ADE">
        <w:rPr>
          <w:rFonts w:ascii="Times New Roman" w:hAnsi="Times New Roman"/>
          <w:color w:val="000000" w:themeColor="text1"/>
          <w:sz w:val="16"/>
          <w:szCs w:val="16"/>
          <w:vertAlign w:val="superscript"/>
        </w:rPr>
        <w:t>х</w:t>
      </w:r>
      <w:r w:rsidRPr="00070ADE">
        <w:rPr>
          <w:rFonts w:ascii="Times New Roman" w:hAnsi="Times New Roman"/>
          <w:color w:val="000000" w:themeColor="text1"/>
          <w:sz w:val="16"/>
          <w:szCs w:val="16"/>
        </w:rPr>
        <w:t>' Снаряд / гильза</w:t>
      </w:r>
    </w:p>
    <w:p w14:paraId="1FB80D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Предполагается, что дульный тормоз этой пушки будет поглощать до 70% энергии отката.</w:t>
      </w:r>
    </w:p>
    <w:p w14:paraId="72EC34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УСА ГБТУ КА генерал-майор инженерно-танковой службы Алымов</w:t>
      </w:r>
    </w:p>
    <w:p w14:paraId="6A96F8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3 отдела УСА ГБТУ КА инженер-полковник Ковалев</w:t>
      </w:r>
    </w:p>
    <w:p w14:paraId="3CC340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11369. Д. 490. Л. 80. Подлинник (11403).</w:t>
      </w:r>
    </w:p>
    <w:p w14:paraId="2987E55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D75A9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1944 г. были подготовлены ТАКТИКО-ТЕХНИЧЕСКИЕ ХАРАКТЕРИСТИКИ ОПЫТНЫХ И СЕРИЙНЫХ ТАНКОВЫХ ПУШЕК КРАСНОЙ АРМИИ</w:t>
      </w:r>
    </w:p>
    <w:p w14:paraId="05ECA4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Тактико-технические характеристики танковых пушек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470"/>
        <w:gridCol w:w="4099"/>
        <w:gridCol w:w="1594"/>
        <w:gridCol w:w="1622"/>
        <w:gridCol w:w="1718"/>
      </w:tblGrid>
      <w:tr w:rsidR="004D4663" w:rsidRPr="00070ADE" w14:paraId="04B892CA" w14:textId="77777777">
        <w:trPr>
          <w:trHeight w:val="346"/>
        </w:trPr>
        <w:tc>
          <w:tcPr>
            <w:tcW w:w="470" w:type="dxa"/>
            <w:tcBorders>
              <w:top w:val="single" w:sz="6" w:space="0" w:color="auto"/>
              <w:left w:val="single" w:sz="6" w:space="0" w:color="auto"/>
              <w:bottom w:val="single" w:sz="6" w:space="0" w:color="auto"/>
              <w:right w:val="single" w:sz="6" w:space="0" w:color="auto"/>
            </w:tcBorders>
          </w:tcPr>
          <w:p w14:paraId="625D44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п/п</w:t>
            </w:r>
          </w:p>
          <w:p w14:paraId="2F22AF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99" w:type="dxa"/>
            <w:tcBorders>
              <w:top w:val="single" w:sz="6" w:space="0" w:color="auto"/>
              <w:left w:val="single" w:sz="6" w:space="0" w:color="auto"/>
              <w:bottom w:val="single" w:sz="6" w:space="0" w:color="auto"/>
              <w:right w:val="single" w:sz="6" w:space="0" w:color="auto"/>
            </w:tcBorders>
          </w:tcPr>
          <w:p w14:paraId="60C1D4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Параметры</w:t>
            </w:r>
          </w:p>
          <w:p w14:paraId="06F2DE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2E484A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85-мм пушка ЗИС-С53 на Т-34</w:t>
            </w:r>
          </w:p>
          <w:p w14:paraId="265F18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9442D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122-мм пушка Д-25 на ИС-2</w:t>
            </w:r>
          </w:p>
          <w:p w14:paraId="3787D0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7056B4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100-мм пушка Д-1 ОТ (опытн. обр.) на ИС-2</w:t>
            </w:r>
          </w:p>
          <w:p w14:paraId="496362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24E0765" w14:textId="77777777">
        <w:trPr>
          <w:trHeight w:val="202"/>
        </w:trPr>
        <w:tc>
          <w:tcPr>
            <w:tcW w:w="470" w:type="dxa"/>
            <w:tcBorders>
              <w:top w:val="single" w:sz="6" w:space="0" w:color="auto"/>
              <w:left w:val="single" w:sz="6" w:space="0" w:color="auto"/>
              <w:bottom w:val="single" w:sz="6" w:space="0" w:color="auto"/>
              <w:right w:val="single" w:sz="6" w:space="0" w:color="auto"/>
            </w:tcBorders>
          </w:tcPr>
          <w:p w14:paraId="37E3FA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3FFE32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99" w:type="dxa"/>
            <w:tcBorders>
              <w:top w:val="single" w:sz="6" w:space="0" w:color="auto"/>
              <w:left w:val="single" w:sz="6" w:space="0" w:color="auto"/>
              <w:bottom w:val="single" w:sz="6" w:space="0" w:color="auto"/>
              <w:right w:val="single" w:sz="6" w:space="0" w:color="auto"/>
            </w:tcBorders>
          </w:tcPr>
          <w:p w14:paraId="15ECD2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Начальная скорость бронеб. снаряда в м/с</w:t>
            </w:r>
          </w:p>
          <w:p w14:paraId="395082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609EBA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785</w:t>
            </w:r>
          </w:p>
          <w:p w14:paraId="445796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F3A3D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790</w:t>
            </w:r>
          </w:p>
          <w:p w14:paraId="285C45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76E12A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p w14:paraId="3728C6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4A88D59"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767E76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6CA6FA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99" w:type="dxa"/>
            <w:tcBorders>
              <w:top w:val="single" w:sz="6" w:space="0" w:color="auto"/>
              <w:left w:val="single" w:sz="6" w:space="0" w:color="auto"/>
              <w:bottom w:val="single" w:sz="6" w:space="0" w:color="auto"/>
              <w:right w:val="single" w:sz="6" w:space="0" w:color="auto"/>
            </w:tcBorders>
          </w:tcPr>
          <w:p w14:paraId="5CEAF4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ствола в калибрах</w:t>
            </w:r>
          </w:p>
          <w:p w14:paraId="3CC1C4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709809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p w14:paraId="13C245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EF80A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48,8</w:t>
            </w:r>
          </w:p>
          <w:p w14:paraId="2CA5F5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75CFCC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w:t>
            </w:r>
          </w:p>
          <w:p w14:paraId="3FE87A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854C33F" w14:textId="77777777">
        <w:trPr>
          <w:trHeight w:val="211"/>
        </w:trPr>
        <w:tc>
          <w:tcPr>
            <w:tcW w:w="470" w:type="dxa"/>
            <w:tcBorders>
              <w:top w:val="single" w:sz="6" w:space="0" w:color="auto"/>
              <w:left w:val="single" w:sz="6" w:space="0" w:color="auto"/>
              <w:bottom w:val="single" w:sz="6" w:space="0" w:color="auto"/>
              <w:right w:val="single" w:sz="6" w:space="0" w:color="auto"/>
            </w:tcBorders>
          </w:tcPr>
          <w:p w14:paraId="614384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762E80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99" w:type="dxa"/>
            <w:tcBorders>
              <w:top w:val="single" w:sz="6" w:space="0" w:color="auto"/>
              <w:left w:val="single" w:sz="6" w:space="0" w:color="auto"/>
              <w:bottom w:val="single" w:sz="6" w:space="0" w:color="auto"/>
              <w:right w:val="single" w:sz="6" w:space="0" w:color="auto"/>
            </w:tcBorders>
          </w:tcPr>
          <w:p w14:paraId="70FA1B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бронебойного снаряда в кг</w:t>
            </w:r>
          </w:p>
          <w:p w14:paraId="45F122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4EBBE5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w:t>
            </w:r>
          </w:p>
          <w:p w14:paraId="195356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D17EE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w:t>
            </w:r>
          </w:p>
          <w:p w14:paraId="0A3431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0F6021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15,8</w:t>
            </w:r>
          </w:p>
          <w:p w14:paraId="7600D0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63181B8" w14:textId="77777777">
        <w:trPr>
          <w:trHeight w:val="384"/>
        </w:trPr>
        <w:tc>
          <w:tcPr>
            <w:tcW w:w="470" w:type="dxa"/>
            <w:tcBorders>
              <w:top w:val="single" w:sz="6" w:space="0" w:color="auto"/>
              <w:left w:val="single" w:sz="6" w:space="0" w:color="auto"/>
              <w:bottom w:val="single" w:sz="6" w:space="0" w:color="auto"/>
              <w:right w:val="single" w:sz="6" w:space="0" w:color="auto"/>
            </w:tcBorders>
          </w:tcPr>
          <w:p w14:paraId="06D300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67CB27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99" w:type="dxa"/>
            <w:tcBorders>
              <w:top w:val="single" w:sz="6" w:space="0" w:color="auto"/>
              <w:left w:val="single" w:sz="6" w:space="0" w:color="auto"/>
              <w:bottom w:val="single" w:sz="6" w:space="0" w:color="auto"/>
              <w:right w:val="single" w:sz="6" w:space="0" w:color="auto"/>
            </w:tcBorders>
          </w:tcPr>
          <w:p w14:paraId="77B386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унитарного патрона в мм</w:t>
            </w:r>
          </w:p>
          <w:p w14:paraId="3D31BA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37D0D4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945</w:t>
            </w:r>
          </w:p>
          <w:p w14:paraId="617901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A3382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Раздельн. заряж. 427 / 780 *)</w:t>
            </w:r>
          </w:p>
          <w:p w14:paraId="253268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19CED6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1050</w:t>
            </w:r>
          </w:p>
          <w:p w14:paraId="2F07B8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2FC881E" w14:textId="77777777">
        <w:trPr>
          <w:trHeight w:val="230"/>
        </w:trPr>
        <w:tc>
          <w:tcPr>
            <w:tcW w:w="470" w:type="dxa"/>
            <w:tcBorders>
              <w:top w:val="single" w:sz="6" w:space="0" w:color="auto"/>
              <w:left w:val="single" w:sz="6" w:space="0" w:color="auto"/>
              <w:bottom w:val="single" w:sz="6" w:space="0" w:color="auto"/>
              <w:right w:val="single" w:sz="6" w:space="0" w:color="auto"/>
            </w:tcBorders>
          </w:tcPr>
          <w:p w14:paraId="444A54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72A5DC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99" w:type="dxa"/>
            <w:tcBorders>
              <w:top w:val="single" w:sz="6" w:space="0" w:color="auto"/>
              <w:left w:val="single" w:sz="6" w:space="0" w:color="auto"/>
              <w:bottom w:val="single" w:sz="6" w:space="0" w:color="auto"/>
              <w:right w:val="single" w:sz="6" w:space="0" w:color="auto"/>
            </w:tcBorders>
          </w:tcPr>
          <w:p w14:paraId="601B3B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выстрела в кг</w:t>
            </w:r>
          </w:p>
          <w:p w14:paraId="0FD912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15A2F9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p w14:paraId="284274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889E1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40,6</w:t>
            </w:r>
          </w:p>
          <w:p w14:paraId="7CA68E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1CA409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30,3</w:t>
            </w:r>
          </w:p>
          <w:p w14:paraId="5C00BA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112F340" w14:textId="77777777">
        <w:trPr>
          <w:trHeight w:val="269"/>
        </w:trPr>
        <w:tc>
          <w:tcPr>
            <w:tcW w:w="470" w:type="dxa"/>
            <w:tcBorders>
              <w:top w:val="single" w:sz="6" w:space="0" w:color="auto"/>
              <w:left w:val="single" w:sz="6" w:space="0" w:color="auto"/>
              <w:bottom w:val="single" w:sz="6" w:space="0" w:color="auto"/>
              <w:right w:val="single" w:sz="6" w:space="0" w:color="auto"/>
            </w:tcBorders>
          </w:tcPr>
          <w:p w14:paraId="4CFEBA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p w14:paraId="633DAF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99" w:type="dxa"/>
            <w:tcBorders>
              <w:top w:val="single" w:sz="6" w:space="0" w:color="auto"/>
              <w:left w:val="single" w:sz="6" w:space="0" w:color="auto"/>
              <w:bottom w:val="single" w:sz="6" w:space="0" w:color="auto"/>
              <w:right w:val="single" w:sz="6" w:space="0" w:color="auto"/>
            </w:tcBorders>
          </w:tcPr>
          <w:p w14:paraId="5080D7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Дульная энергия в т.м</w:t>
            </w:r>
          </w:p>
          <w:p w14:paraId="79DEB5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6FF35A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p w14:paraId="65DAB6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288BD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w:t>
            </w:r>
          </w:p>
          <w:p w14:paraId="22D582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73F3FA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639</w:t>
            </w:r>
          </w:p>
          <w:p w14:paraId="71E81F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E10E169" w14:textId="77777777">
        <w:trPr>
          <w:trHeight w:val="307"/>
        </w:trPr>
        <w:tc>
          <w:tcPr>
            <w:tcW w:w="470" w:type="dxa"/>
            <w:tcBorders>
              <w:top w:val="single" w:sz="6" w:space="0" w:color="auto"/>
              <w:left w:val="single" w:sz="6" w:space="0" w:color="auto"/>
              <w:bottom w:val="single" w:sz="6" w:space="0" w:color="auto"/>
              <w:right w:val="single" w:sz="6" w:space="0" w:color="auto"/>
            </w:tcBorders>
          </w:tcPr>
          <w:p w14:paraId="7F0AD7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7</w:t>
            </w:r>
          </w:p>
          <w:p w14:paraId="5DF0E6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99" w:type="dxa"/>
            <w:tcBorders>
              <w:top w:val="single" w:sz="6" w:space="0" w:color="auto"/>
              <w:left w:val="single" w:sz="6" w:space="0" w:color="auto"/>
              <w:bottom w:val="single" w:sz="6" w:space="0" w:color="auto"/>
              <w:right w:val="single" w:sz="6" w:space="0" w:color="auto"/>
            </w:tcBorders>
          </w:tcPr>
          <w:p w14:paraId="7DC004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качающейся части с бронировкой в кг</w:t>
            </w:r>
          </w:p>
          <w:p w14:paraId="4A756A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15768E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 1350</w:t>
            </w:r>
          </w:p>
          <w:p w14:paraId="003AE6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EB0E0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2880</w:t>
            </w:r>
          </w:p>
          <w:p w14:paraId="12AD03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127688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 2260</w:t>
            </w:r>
          </w:p>
          <w:p w14:paraId="687225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57180DE" w14:textId="77777777">
        <w:trPr>
          <w:trHeight w:val="269"/>
        </w:trPr>
        <w:tc>
          <w:tcPr>
            <w:tcW w:w="470" w:type="dxa"/>
            <w:tcBorders>
              <w:top w:val="single" w:sz="6" w:space="0" w:color="auto"/>
              <w:left w:val="single" w:sz="6" w:space="0" w:color="auto"/>
              <w:bottom w:val="single" w:sz="6" w:space="0" w:color="auto"/>
              <w:right w:val="single" w:sz="6" w:space="0" w:color="auto"/>
            </w:tcBorders>
          </w:tcPr>
          <w:p w14:paraId="68A47D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p w14:paraId="097F75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99" w:type="dxa"/>
            <w:tcBorders>
              <w:top w:val="single" w:sz="6" w:space="0" w:color="auto"/>
              <w:left w:val="single" w:sz="6" w:space="0" w:color="auto"/>
              <w:bottom w:val="single" w:sz="6" w:space="0" w:color="auto"/>
              <w:right w:val="single" w:sz="6" w:space="0" w:color="auto"/>
            </w:tcBorders>
          </w:tcPr>
          <w:p w14:paraId="79BCC4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Наибольшее сопротивление откату в тоннах</w:t>
            </w:r>
          </w:p>
          <w:p w14:paraId="59BB3E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7F6180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23,9</w:t>
            </w:r>
          </w:p>
          <w:p w14:paraId="5A9C79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3FF065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39,0</w:t>
            </w:r>
          </w:p>
          <w:p w14:paraId="04691D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4F92C6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 24,0</w:t>
            </w:r>
          </w:p>
          <w:p w14:paraId="4CD369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F31AFFE"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4E69B5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p w14:paraId="48646B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99" w:type="dxa"/>
            <w:tcBorders>
              <w:top w:val="single" w:sz="6" w:space="0" w:color="auto"/>
              <w:left w:val="single" w:sz="6" w:space="0" w:color="auto"/>
              <w:bottom w:val="single" w:sz="6" w:space="0" w:color="auto"/>
              <w:right w:val="single" w:sz="6" w:space="0" w:color="auto"/>
            </w:tcBorders>
          </w:tcPr>
          <w:p w14:paraId="4F7842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отката в мм</w:t>
            </w:r>
          </w:p>
          <w:p w14:paraId="539A2A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5C5544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p w14:paraId="4E1FB7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31BC81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550</w:t>
            </w:r>
          </w:p>
          <w:p w14:paraId="27CF20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500D7C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550</w:t>
            </w:r>
          </w:p>
          <w:p w14:paraId="308025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E1599C2" w14:textId="77777777">
        <w:trPr>
          <w:trHeight w:val="413"/>
        </w:trPr>
        <w:tc>
          <w:tcPr>
            <w:tcW w:w="470" w:type="dxa"/>
            <w:tcBorders>
              <w:top w:val="single" w:sz="6" w:space="0" w:color="auto"/>
              <w:left w:val="single" w:sz="6" w:space="0" w:color="auto"/>
              <w:bottom w:val="single" w:sz="6" w:space="0" w:color="auto"/>
              <w:right w:val="single" w:sz="6" w:space="0" w:color="auto"/>
            </w:tcBorders>
          </w:tcPr>
          <w:p w14:paraId="703976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67901E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99" w:type="dxa"/>
            <w:tcBorders>
              <w:top w:val="single" w:sz="6" w:space="0" w:color="auto"/>
              <w:left w:val="single" w:sz="6" w:space="0" w:color="auto"/>
              <w:bottom w:val="single" w:sz="6" w:space="0" w:color="auto"/>
              <w:right w:val="single" w:sz="6" w:space="0" w:color="auto"/>
            </w:tcBorders>
          </w:tcPr>
          <w:p w14:paraId="1EDE72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Толщина брони в мм пробиваемая с дистанции 1000 м при углах встречи снаряда с броней 60°/90°</w:t>
            </w:r>
          </w:p>
          <w:p w14:paraId="56EDC3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7A8047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83/102</w:t>
            </w:r>
          </w:p>
          <w:p w14:paraId="2636C1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D9B71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120/147</w:t>
            </w:r>
          </w:p>
          <w:p w14:paraId="6F6B2C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7D8604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121/149</w:t>
            </w:r>
          </w:p>
          <w:p w14:paraId="1978E5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DB873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Примечание: </w:t>
      </w:r>
      <w:r w:rsidRPr="00070ADE">
        <w:rPr>
          <w:rFonts w:ascii="Times New Roman" w:hAnsi="Times New Roman"/>
          <w:color w:val="000000" w:themeColor="text1"/>
          <w:sz w:val="16"/>
          <w:szCs w:val="16"/>
          <w:vertAlign w:val="superscript"/>
        </w:rPr>
        <w:t>х)</w:t>
      </w:r>
      <w:r w:rsidRPr="00070ADE">
        <w:rPr>
          <w:rFonts w:ascii="Times New Roman" w:hAnsi="Times New Roman"/>
          <w:color w:val="000000" w:themeColor="text1"/>
          <w:sz w:val="16"/>
          <w:szCs w:val="16"/>
        </w:rPr>
        <w:t xml:space="preserve"> длина снаряда / длина гильзы</w:t>
      </w:r>
    </w:p>
    <w:p w14:paraId="1837C9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УСА ГБТУ КА генерал-майор инженерно-танковой службы Алымов</w:t>
      </w:r>
    </w:p>
    <w:p w14:paraId="2F4430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3 отдела УСА ГБТУ КА инженер-полковник Ковалев</w:t>
      </w:r>
    </w:p>
    <w:p w14:paraId="6604B5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Тактико-технические характеристики опытных образцов 100, 122 и 130-мм пушек</w:t>
      </w:r>
    </w:p>
    <w:p w14:paraId="5DA384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конструкции ЦАКБ</w:t>
      </w:r>
    </w:p>
    <w:tbl>
      <w:tblPr>
        <w:tblW w:w="0" w:type="auto"/>
        <w:tblInd w:w="40" w:type="dxa"/>
        <w:tblLayout w:type="fixed"/>
        <w:tblCellMar>
          <w:left w:w="40" w:type="dxa"/>
          <w:right w:w="40" w:type="dxa"/>
        </w:tblCellMar>
        <w:tblLook w:val="0000" w:firstRow="0" w:lastRow="0" w:firstColumn="0" w:lastColumn="0" w:noHBand="0" w:noVBand="0"/>
      </w:tblPr>
      <w:tblGrid>
        <w:gridCol w:w="470"/>
        <w:gridCol w:w="4080"/>
        <w:gridCol w:w="1738"/>
        <w:gridCol w:w="1747"/>
        <w:gridCol w:w="1584"/>
      </w:tblGrid>
      <w:tr w:rsidR="004D4663" w:rsidRPr="00070ADE" w14:paraId="76BB7C2E" w14:textId="77777777">
        <w:trPr>
          <w:trHeight w:val="355"/>
        </w:trPr>
        <w:tc>
          <w:tcPr>
            <w:tcW w:w="470" w:type="dxa"/>
            <w:tcBorders>
              <w:top w:val="single" w:sz="6" w:space="0" w:color="auto"/>
              <w:left w:val="single" w:sz="6" w:space="0" w:color="auto"/>
              <w:bottom w:val="single" w:sz="6" w:space="0" w:color="auto"/>
              <w:right w:val="single" w:sz="6" w:space="0" w:color="auto"/>
            </w:tcBorders>
          </w:tcPr>
          <w:p w14:paraId="651755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п/п</w:t>
            </w:r>
          </w:p>
          <w:p w14:paraId="4B291C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80" w:type="dxa"/>
            <w:tcBorders>
              <w:top w:val="single" w:sz="6" w:space="0" w:color="auto"/>
              <w:left w:val="single" w:sz="6" w:space="0" w:color="auto"/>
              <w:bottom w:val="single" w:sz="6" w:space="0" w:color="auto"/>
              <w:right w:val="single" w:sz="6" w:space="0" w:color="auto"/>
            </w:tcBorders>
          </w:tcPr>
          <w:p w14:paraId="03462B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Параметры</w:t>
            </w:r>
          </w:p>
          <w:p w14:paraId="35F12B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01966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00 мм пушка С-34 (в танке)</w:t>
            </w:r>
          </w:p>
          <w:p w14:paraId="6973AE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160B0E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122 мм пушка С-26-1 (в СУ)</w:t>
            </w:r>
          </w:p>
          <w:p w14:paraId="41304A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749F84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 мм пушка С-26 (в СУ)</w:t>
            </w:r>
          </w:p>
          <w:p w14:paraId="26A082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F4AE135"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1197F1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0D1631E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80" w:type="dxa"/>
            <w:tcBorders>
              <w:top w:val="single" w:sz="6" w:space="0" w:color="auto"/>
              <w:left w:val="single" w:sz="6" w:space="0" w:color="auto"/>
              <w:bottom w:val="single" w:sz="6" w:space="0" w:color="auto"/>
              <w:right w:val="single" w:sz="6" w:space="0" w:color="auto"/>
            </w:tcBorders>
          </w:tcPr>
          <w:p w14:paraId="27861B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Начальная скорость бронебойного снаряда в м/с</w:t>
            </w:r>
          </w:p>
          <w:p w14:paraId="5EDCC5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68CA7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p w14:paraId="6D0B58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675775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215661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09E819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p w14:paraId="28311D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1E2BF4D"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76AEBD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289AF6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80" w:type="dxa"/>
            <w:tcBorders>
              <w:top w:val="single" w:sz="6" w:space="0" w:color="auto"/>
              <w:left w:val="single" w:sz="6" w:space="0" w:color="auto"/>
              <w:bottom w:val="single" w:sz="6" w:space="0" w:color="auto"/>
              <w:right w:val="single" w:sz="6" w:space="0" w:color="auto"/>
            </w:tcBorders>
          </w:tcPr>
          <w:p w14:paraId="5BFEDA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ствола в калибрах</w:t>
            </w:r>
          </w:p>
          <w:p w14:paraId="5B07BD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2F96D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w:t>
            </w:r>
          </w:p>
          <w:p w14:paraId="45EFC4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1A545A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w:t>
            </w:r>
          </w:p>
          <w:p w14:paraId="3115FF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340A91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53,9</w:t>
            </w:r>
          </w:p>
          <w:p w14:paraId="147B1B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5EF15AF" w14:textId="77777777">
        <w:trPr>
          <w:trHeight w:val="202"/>
        </w:trPr>
        <w:tc>
          <w:tcPr>
            <w:tcW w:w="470" w:type="dxa"/>
            <w:tcBorders>
              <w:top w:val="single" w:sz="6" w:space="0" w:color="auto"/>
              <w:left w:val="single" w:sz="6" w:space="0" w:color="auto"/>
              <w:bottom w:val="single" w:sz="6" w:space="0" w:color="auto"/>
              <w:right w:val="single" w:sz="6" w:space="0" w:color="auto"/>
            </w:tcBorders>
          </w:tcPr>
          <w:p w14:paraId="02D1D0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4648F9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80" w:type="dxa"/>
            <w:tcBorders>
              <w:top w:val="single" w:sz="6" w:space="0" w:color="auto"/>
              <w:left w:val="single" w:sz="6" w:space="0" w:color="auto"/>
              <w:bottom w:val="single" w:sz="6" w:space="0" w:color="auto"/>
              <w:right w:val="single" w:sz="6" w:space="0" w:color="auto"/>
            </w:tcBorders>
          </w:tcPr>
          <w:p w14:paraId="78A30D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бронебойного снаряда в кг</w:t>
            </w:r>
          </w:p>
          <w:p w14:paraId="224700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8D959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15,8</w:t>
            </w:r>
          </w:p>
          <w:p w14:paraId="6555C8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26EAC9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w:t>
            </w:r>
          </w:p>
          <w:p w14:paraId="183EC3C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3AE966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33,5</w:t>
            </w:r>
          </w:p>
          <w:p w14:paraId="271FB1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3D55298"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401F8F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15BEB8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80" w:type="dxa"/>
            <w:tcBorders>
              <w:top w:val="single" w:sz="6" w:space="0" w:color="auto"/>
              <w:left w:val="single" w:sz="6" w:space="0" w:color="auto"/>
              <w:bottom w:val="single" w:sz="6" w:space="0" w:color="auto"/>
              <w:right w:val="single" w:sz="6" w:space="0" w:color="auto"/>
            </w:tcBorders>
          </w:tcPr>
          <w:p w14:paraId="50C10E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унитарного патрона в мм</w:t>
            </w:r>
          </w:p>
          <w:p w14:paraId="195C3C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28972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1050</w:t>
            </w:r>
          </w:p>
          <w:p w14:paraId="6DEB68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7B2139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Разд. </w:t>
            </w:r>
            <w:r w:rsidRPr="00070ADE">
              <w:rPr>
                <w:rFonts w:ascii="Times New Roman" w:hAnsi="Times New Roman"/>
                <w:color w:val="000000" w:themeColor="text1"/>
                <w:sz w:val="16"/>
                <w:szCs w:val="16"/>
                <w:vertAlign w:val="superscript"/>
              </w:rPr>
              <w:t>х</w:t>
            </w:r>
            <w:r w:rsidRPr="00070ADE">
              <w:rPr>
                <w:rFonts w:ascii="Times New Roman" w:hAnsi="Times New Roman"/>
                <w:color w:val="000000" w:themeColor="text1"/>
                <w:sz w:val="16"/>
                <w:szCs w:val="16"/>
              </w:rPr>
              <w:t>&gt;</w:t>
            </w:r>
          </w:p>
          <w:p w14:paraId="44A8B6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177016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Разд. </w:t>
            </w:r>
            <w:r w:rsidRPr="00070ADE">
              <w:rPr>
                <w:rFonts w:ascii="Times New Roman" w:hAnsi="Times New Roman"/>
                <w:color w:val="000000" w:themeColor="text1"/>
                <w:sz w:val="16"/>
                <w:szCs w:val="16"/>
                <w:vertAlign w:val="superscript"/>
              </w:rPr>
              <w:t>х</w:t>
            </w:r>
            <w:r w:rsidRPr="00070ADE">
              <w:rPr>
                <w:rFonts w:ascii="Times New Roman" w:hAnsi="Times New Roman"/>
                <w:color w:val="000000" w:themeColor="text1"/>
                <w:sz w:val="16"/>
                <w:szCs w:val="16"/>
              </w:rPr>
              <w:t>&gt;</w:t>
            </w:r>
          </w:p>
          <w:p w14:paraId="421111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7A17DE0" w14:textId="77777777">
        <w:trPr>
          <w:trHeight w:val="202"/>
        </w:trPr>
        <w:tc>
          <w:tcPr>
            <w:tcW w:w="470" w:type="dxa"/>
            <w:tcBorders>
              <w:top w:val="single" w:sz="6" w:space="0" w:color="auto"/>
              <w:left w:val="single" w:sz="6" w:space="0" w:color="auto"/>
              <w:bottom w:val="single" w:sz="6" w:space="0" w:color="auto"/>
              <w:right w:val="single" w:sz="6" w:space="0" w:color="auto"/>
            </w:tcBorders>
          </w:tcPr>
          <w:p w14:paraId="49CE51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0B0E3C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80" w:type="dxa"/>
            <w:tcBorders>
              <w:top w:val="single" w:sz="6" w:space="0" w:color="auto"/>
              <w:left w:val="single" w:sz="6" w:space="0" w:color="auto"/>
              <w:bottom w:val="single" w:sz="6" w:space="0" w:color="auto"/>
              <w:right w:val="single" w:sz="6" w:space="0" w:color="auto"/>
            </w:tcBorders>
          </w:tcPr>
          <w:p w14:paraId="3C3CFA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выстрела в кг</w:t>
            </w:r>
          </w:p>
          <w:p w14:paraId="0A5DF4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18A80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30,3</w:t>
            </w:r>
          </w:p>
          <w:p w14:paraId="4975EB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4BCBB7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 47,0</w:t>
            </w:r>
          </w:p>
          <w:p w14:paraId="61488C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373610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 57,0</w:t>
            </w:r>
          </w:p>
          <w:p w14:paraId="3027F2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9BAB959"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5966A3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p w14:paraId="518A68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80" w:type="dxa"/>
            <w:tcBorders>
              <w:top w:val="single" w:sz="6" w:space="0" w:color="auto"/>
              <w:left w:val="single" w:sz="6" w:space="0" w:color="auto"/>
              <w:bottom w:val="single" w:sz="6" w:space="0" w:color="auto"/>
              <w:right w:val="single" w:sz="6" w:space="0" w:color="auto"/>
            </w:tcBorders>
          </w:tcPr>
          <w:p w14:paraId="45D76E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Дульная энергия в т.м</w:t>
            </w:r>
          </w:p>
          <w:p w14:paraId="74C1D3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AE1CE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639</w:t>
            </w:r>
          </w:p>
          <w:p w14:paraId="53BD5D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22B3EC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1285</w:t>
            </w:r>
          </w:p>
          <w:p w14:paraId="6B77DB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702317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1385</w:t>
            </w:r>
          </w:p>
          <w:p w14:paraId="0D567B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F281929" w14:textId="77777777">
        <w:trPr>
          <w:trHeight w:val="202"/>
        </w:trPr>
        <w:tc>
          <w:tcPr>
            <w:tcW w:w="470" w:type="dxa"/>
            <w:tcBorders>
              <w:top w:val="single" w:sz="6" w:space="0" w:color="auto"/>
              <w:left w:val="single" w:sz="6" w:space="0" w:color="auto"/>
              <w:bottom w:val="single" w:sz="6" w:space="0" w:color="auto"/>
              <w:right w:val="single" w:sz="6" w:space="0" w:color="auto"/>
            </w:tcBorders>
          </w:tcPr>
          <w:p w14:paraId="1B6564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p w14:paraId="1BC1BC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80" w:type="dxa"/>
            <w:tcBorders>
              <w:top w:val="single" w:sz="6" w:space="0" w:color="auto"/>
              <w:left w:val="single" w:sz="6" w:space="0" w:color="auto"/>
              <w:bottom w:val="single" w:sz="6" w:space="0" w:color="auto"/>
              <w:right w:val="single" w:sz="6" w:space="0" w:color="auto"/>
            </w:tcBorders>
          </w:tcPr>
          <w:p w14:paraId="726317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качающейся части в кг</w:t>
            </w:r>
          </w:p>
          <w:p w14:paraId="5E9682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F25AB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2450</w:t>
            </w:r>
          </w:p>
          <w:p w14:paraId="734068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090251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4900</w:t>
            </w:r>
          </w:p>
          <w:p w14:paraId="38FA96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006490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4900</w:t>
            </w:r>
          </w:p>
          <w:p w14:paraId="2D1A25C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B4C5D9B"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205A28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p w14:paraId="3DC781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80" w:type="dxa"/>
            <w:tcBorders>
              <w:top w:val="single" w:sz="6" w:space="0" w:color="auto"/>
              <w:left w:val="single" w:sz="6" w:space="0" w:color="auto"/>
              <w:bottom w:val="single" w:sz="6" w:space="0" w:color="auto"/>
              <w:right w:val="single" w:sz="6" w:space="0" w:color="auto"/>
            </w:tcBorders>
          </w:tcPr>
          <w:p w14:paraId="29C12D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Наибольшее сопротивление откату в тоннах</w:t>
            </w:r>
          </w:p>
          <w:p w14:paraId="72FC55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57592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32,37</w:t>
            </w:r>
          </w:p>
          <w:p w14:paraId="1A79E6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518C3F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62,0</w:t>
            </w:r>
          </w:p>
          <w:p w14:paraId="0C784E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7E6E12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62,0</w:t>
            </w:r>
          </w:p>
          <w:p w14:paraId="5FC749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7FF2E06" w14:textId="77777777">
        <w:trPr>
          <w:trHeight w:val="202"/>
        </w:trPr>
        <w:tc>
          <w:tcPr>
            <w:tcW w:w="470" w:type="dxa"/>
            <w:tcBorders>
              <w:top w:val="single" w:sz="6" w:space="0" w:color="auto"/>
              <w:left w:val="single" w:sz="6" w:space="0" w:color="auto"/>
              <w:bottom w:val="single" w:sz="6" w:space="0" w:color="auto"/>
              <w:right w:val="single" w:sz="6" w:space="0" w:color="auto"/>
            </w:tcBorders>
          </w:tcPr>
          <w:p w14:paraId="3BB00A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p w14:paraId="6B8EDE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80" w:type="dxa"/>
            <w:tcBorders>
              <w:top w:val="single" w:sz="6" w:space="0" w:color="auto"/>
              <w:left w:val="single" w:sz="6" w:space="0" w:color="auto"/>
              <w:bottom w:val="single" w:sz="6" w:space="0" w:color="auto"/>
              <w:right w:val="single" w:sz="6" w:space="0" w:color="auto"/>
            </w:tcBorders>
          </w:tcPr>
          <w:p w14:paraId="62F07D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отката в мм</w:t>
            </w:r>
          </w:p>
          <w:p w14:paraId="3F0DC8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EC4DE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p w14:paraId="31A08B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770F3E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550</w:t>
            </w:r>
          </w:p>
          <w:p w14:paraId="1EE964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7ACA82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550</w:t>
            </w:r>
          </w:p>
          <w:p w14:paraId="460C7C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93EDA0F" w14:textId="77777777">
        <w:trPr>
          <w:trHeight w:val="403"/>
        </w:trPr>
        <w:tc>
          <w:tcPr>
            <w:tcW w:w="470" w:type="dxa"/>
            <w:tcBorders>
              <w:top w:val="single" w:sz="6" w:space="0" w:color="auto"/>
              <w:left w:val="single" w:sz="6" w:space="0" w:color="auto"/>
              <w:bottom w:val="single" w:sz="6" w:space="0" w:color="auto"/>
              <w:right w:val="single" w:sz="6" w:space="0" w:color="auto"/>
            </w:tcBorders>
          </w:tcPr>
          <w:p w14:paraId="439584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5A0276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80" w:type="dxa"/>
            <w:tcBorders>
              <w:top w:val="single" w:sz="6" w:space="0" w:color="auto"/>
              <w:left w:val="single" w:sz="6" w:space="0" w:color="auto"/>
              <w:bottom w:val="single" w:sz="6" w:space="0" w:color="auto"/>
              <w:right w:val="single" w:sz="6" w:space="0" w:color="auto"/>
            </w:tcBorders>
          </w:tcPr>
          <w:p w14:paraId="2B93E8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Толщина пробиваемой брони в мм с дистанции 1000 м, при углах встречи снаряда с броней 60°/90°</w:t>
            </w:r>
          </w:p>
          <w:p w14:paraId="645B48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CF65B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121/149</w:t>
            </w:r>
          </w:p>
          <w:p w14:paraId="3217CE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5663FC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170/209</w:t>
            </w:r>
          </w:p>
          <w:p w14:paraId="54D06B2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5AAAA8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157/196</w:t>
            </w:r>
          </w:p>
          <w:p w14:paraId="60207B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B405C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Примечание: </w:t>
      </w:r>
      <w:r w:rsidRPr="00070ADE">
        <w:rPr>
          <w:rFonts w:ascii="Times New Roman" w:hAnsi="Times New Roman"/>
          <w:color w:val="000000" w:themeColor="text1"/>
          <w:sz w:val="16"/>
          <w:szCs w:val="16"/>
          <w:vertAlign w:val="superscript"/>
        </w:rPr>
        <w:t>х)</w:t>
      </w:r>
      <w:r w:rsidRPr="00070ADE">
        <w:rPr>
          <w:rFonts w:ascii="Times New Roman" w:hAnsi="Times New Roman"/>
          <w:color w:val="000000" w:themeColor="text1"/>
          <w:sz w:val="16"/>
          <w:szCs w:val="16"/>
        </w:rPr>
        <w:t xml:space="preserve"> Новая гильза, размеры неизвестны.</w:t>
      </w:r>
    </w:p>
    <w:p w14:paraId="4F3009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УСА ГБТУ КА генерал-майор инженерно-танковой службы Алымов</w:t>
      </w:r>
    </w:p>
    <w:p w14:paraId="00EB42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3 отдела УСА ГБТУ КА инженер-полковник Ковалев</w:t>
      </w:r>
    </w:p>
    <w:p w14:paraId="5C6733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11369. Д. 490. Л. 77. Подлинник (11403).</w:t>
      </w:r>
    </w:p>
    <w:p w14:paraId="7E1FB9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224AE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1944 вышло Постановление ГКО № 5751 О материально-техническом обеспечении подшипниковых заводов Наркомсредмаша во II квартале 1944 г. РГАНИР, Фонд ГКО, д. 246, лл. 134-139,140-165 (11012).</w:t>
      </w:r>
    </w:p>
    <w:p w14:paraId="743E72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ABF0F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1944 вышло Распоряжение ГКО № 5752. О передаче НКБ технического руководства проектирование, изготовлением опытных образцов и обеспечением промышленности чертежами и техническими условиями на все элементы авиабомб. РГАНИР, Фонд ГКО, д. 246, лл. 166 (11012).</w:t>
      </w:r>
    </w:p>
    <w:p w14:paraId="2ECD2820" w14:textId="77777777" w:rsidR="009C4CA4" w:rsidRPr="00070ADE" w:rsidRDefault="009C4CA4" w:rsidP="00B56F90">
      <w:pPr>
        <w:autoSpaceDE w:val="0"/>
        <w:autoSpaceDN w:val="0"/>
        <w:adjustRightInd w:val="0"/>
        <w:spacing w:after="0" w:line="240" w:lineRule="auto"/>
        <w:jc w:val="both"/>
        <w:rPr>
          <w:rFonts w:ascii="Times New Roman" w:hAnsi="Times New Roman"/>
          <w:color w:val="000000" w:themeColor="text1"/>
          <w:sz w:val="16"/>
          <w:szCs w:val="16"/>
        </w:rPr>
      </w:pPr>
    </w:p>
    <w:p w14:paraId="0F891D82" w14:textId="77777777" w:rsidR="000E2A81" w:rsidRPr="00070ADE" w:rsidRDefault="000E2A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1944 вышло Распоряжение ГКО № 5752</w:t>
      </w:r>
    </w:p>
    <w:p w14:paraId="1A3DBB74" w14:textId="77777777" w:rsidR="000E2A81" w:rsidRPr="00070ADE" w:rsidRDefault="000E2A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Возложить на Наркомат Боеприпасов техническое руководство вопросами проектирования, изготовления опыт</w:t>
      </w:r>
      <w:r w:rsidRPr="00070ADE">
        <w:rPr>
          <w:rFonts w:ascii="Times New Roman" w:hAnsi="Times New Roman"/>
          <w:color w:val="000000" w:themeColor="text1"/>
          <w:sz w:val="16"/>
          <w:szCs w:val="16"/>
        </w:rPr>
        <w:softHyphen/>
        <w:t>ных образцов и обеспечения промышленности чертежами и техническими условиями на все элементы авиабомб.</w:t>
      </w:r>
    </w:p>
    <w:p w14:paraId="4D4CFF98" w14:textId="77777777" w:rsidR="000E2A81" w:rsidRPr="00070ADE" w:rsidRDefault="000E2A81" w:rsidP="00B56F90">
      <w:pPr>
        <w:spacing w:after="0" w:line="240" w:lineRule="auto"/>
        <w:jc w:val="both"/>
        <w:rPr>
          <w:rFonts w:ascii="Times New Roman" w:hAnsi="Times New Roman"/>
          <w:color w:val="000000" w:themeColor="text1"/>
          <w:sz w:val="16"/>
          <w:szCs w:val="16"/>
        </w:rPr>
      </w:pPr>
      <w:r w:rsidRPr="00070ADE">
        <w:rPr>
          <w:rStyle w:val="Consolas9pt"/>
          <w:rFonts w:ascii="Times New Roman" w:hAnsi="Times New Roman" w:cs="Times New Roman"/>
          <w:color w:val="000000" w:themeColor="text1"/>
          <w:sz w:val="16"/>
          <w:szCs w:val="16"/>
        </w:rPr>
        <w:t>2.</w:t>
      </w:r>
      <w:r w:rsidRPr="00070ADE">
        <w:rPr>
          <w:rFonts w:ascii="Times New Roman" w:hAnsi="Times New Roman"/>
          <w:color w:val="000000" w:themeColor="text1"/>
          <w:sz w:val="16"/>
          <w:szCs w:val="16"/>
        </w:rPr>
        <w:t xml:space="preserve"> Обязать Наркомминвоорукения т.Паршина возвратить Наркомату боеприпасов Конструкторские бюро ГСКБ-47, КБ-35 и завод № 67 со всем имеющимся оборудованием, кадрами, транспортом, жилыми и производственными помещениями, инвентарем и фондами на материальное обеспече</w:t>
      </w:r>
      <w:r w:rsidRPr="00070ADE">
        <w:rPr>
          <w:rFonts w:ascii="Times New Roman" w:hAnsi="Times New Roman"/>
          <w:color w:val="000000" w:themeColor="text1"/>
          <w:sz w:val="16"/>
          <w:szCs w:val="16"/>
        </w:rPr>
        <w:softHyphen/>
        <w:t>ние, выделенными на II квартал 1944 года (19484).</w:t>
      </w:r>
    </w:p>
    <w:p w14:paraId="1DF65B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F2A1C4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D8AC5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B847F8"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в 1944 году оперативная сводка Совинформбюро:</w:t>
      </w:r>
    </w:p>
    <w:p w14:paraId="4BADC08C"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28 апреля на фронтах существенных изменений не произошло.</w:t>
      </w:r>
    </w:p>
    <w:p w14:paraId="63C09153"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27 апреля наши войска на всех фронтах подбили и уничтожили 22 немецких танка. В воздушных боях и огнём зенитной артиллерии сбито 29 самолётов противника.».</w:t>
      </w:r>
    </w:p>
    <w:p w14:paraId="6D940E84"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Массированный налёт нашей авиации на железнодорожный узел Львов.</w:t>
      </w:r>
    </w:p>
    <w:p w14:paraId="63FDD756"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28 апреля наша авиация дальнего действия произвела массированный налёт на железнодорожный узел Львов и бомбардировала скопление воинских эшелонов противника. В результате бомбардировки на железнодорожном узле возникли многочисленные пожары, которые сопровождались сильными взрывами. Одновременно наши лётчики блокировали аэродром противника в районе города Львов. Пулемётно-пушечным огнём обстреляны колонны немецких автомашин на дорогах, идущих к Львову.».</w:t>
      </w:r>
    </w:p>
    <w:p w14:paraId="1C3AE1F9"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Бомбардировка аэродрома противника в районе города Орша.</w:t>
      </w:r>
    </w:p>
    <w:p w14:paraId="19FBDE3B"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28 апреля наша авиация бомбардировала аэродром противника, расположенный в районе города Орша. В момент налёта на аэродроме находилось много немецких самолётов. Бомбардировкой создано 15 крупных очагов пожаров.</w:t>
      </w:r>
    </w:p>
    <w:p w14:paraId="6E894FED"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Горели самолёты противника, склады горючего и боеприпасов, при этом произошло несколько сильных взрывов.</w:t>
      </w:r>
    </w:p>
    <w:p w14:paraId="24CC36C7"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лётчики, уходя от цели, наблюдали пожары с расстояния более 100 километров.».</w:t>
      </w:r>
    </w:p>
    <w:p w14:paraId="495E378D"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немецко-венгерские войска предпринялинесколько атак. Наши части встретили противника артиллерийским и миномётным огнём. Гитлеровцы понесли большие потери и отступили. На поле боя осталось свыше 800 вражеских трупов и 10 подбитых танков и самоходных орудий. На другом участке наши подразделения под командованием тов. Бойцова в результате умелого обходного манёвра разгромили гарнизон опорного пункта противника. Уничтожено две роты гитлеровцев. Захвачены 12 полевых и 2 самоходных орудия, 40 автомашин с боеприпасами и военным имуществом. Взято в плен 400 венгерских солдат. Захваченные в плен венгерские солдаты сообщили, что на-днях они отказались идти в атаку. Тогда позади венгерских частей были выставлены специальные отряды немецких пулемётчиков и автоматчиков.</w:t>
      </w:r>
    </w:p>
    <w:p w14:paraId="3E85EC19"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1-м Украинском фронте наша авиация продолжала наносить удары по железнодорожным эшелонам противника. В течение дня советские лётчики разбили 3 паровоза и 50 вагонов, а также сожгли три эшелона с горючим. Сгорело около 90 бензоцистерн.</w:t>
      </w:r>
    </w:p>
    <w:p w14:paraId="32BF46B0"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Авиацией Краснознамённого Балтийского флота потоплены в Финском заливе танкер водоизмещением в 6 тысяч тонн и тральщик противника.</w:t>
      </w:r>
    </w:p>
    <w:p w14:paraId="6F078BFA"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Черноморского флота на подходах к Севастополю потопила транспорт водоизмещением в тысячу тонн и быстроходную десантную баржу. Двум другим транспортам противника нанесены серьёзные повреждения.</w:t>
      </w:r>
    </w:p>
    <w:p w14:paraId="0F91DEF3"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Группа Львовских партизан ночью напала на немецких солдат, охранявших военные склады. Советские патриоты в короткой схватке истребили 20 гитлеровцев, а затем подожгли два крупных склада противника. Другая группа львовских партизан за три дня пустила под откос два железнодорожных эшелона немцев. Под обломками вагонов погибло до 200 гитлеровцев. Движение поездов на этом участке было прервано в течение двух дней.</w:t>
      </w:r>
    </w:p>
    <w:p w14:paraId="6A22BDC2"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Крыму захвачена в плен большая группа солдат и офицеров 98 немецкой пехотной дивизии. Пленный командир 3 роты 198 сапёрного батальона капитан Вальтер Штраус сообщил: «Я со своей ротой находился в резерве. Неожиданно мы были атакованы русскими танками. За несколько минут наша рота была разгромлена». Пленный лейтенант 1 роты того же батальона Бош рассказал: «Наш батальон отступал очень поспешно, но русские танки нас всё-таки догнали. В этоже время на нас с тыла напали партизаны. Оказавшись в кольце, мы сложили оружие. Вместе с нами сдались в плен подразделения 282 и 290 полков 98 дивизии и разрозненные группы солдат 73 немецкой пехотной дивизии». Пленный лейтенант из 198 немецкого артиллерийского полка Курт Харлондер заявил: «Русская артиллерия уничтожила командные пункты полка и подавила наши батареи. Всякая связь между штабами была нарушена. Каждый старался спастись бегством. Все знали, что нам будет невероятно трудно выбраться из Крыма, но такого разгрома никто не ожидал. Катастрофа в Крыму обнаружила полный провал стратегии немецкого командования».</w:t>
      </w:r>
    </w:p>
    <w:p w14:paraId="51D69F21"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публикуется акт о зверствах немецко-фашистских мерзавцев в местечке Горы, Могилёвской области: «Гитлеровцы сожгли в местечке Горы 243 жилых дома, среднюю школу, Дом культуры и библиотеку. За время оккупации немецкие разбойники убили несколько сот мирных жителей. Только за один день фашистские палачи расстреляли в районе льнозавода до 200 советских граждан. Немцы подводили ни вчём не повинных и беззащитных людей к огромной яме, заставляли ложиться лицом вниз и расстреливали их из пулемётов. Комиссия в составе: судебно-медицинскогоэксперта капитана медицинской службы Макарова, старшего лейтенанта Чумакова и врачей Дендиберова и Кобзевой вскрыла одну массовую могилу. В этой могиле обнаружено около 150 трупов расстрелянных немецкими извергами стариков, женщин и детей». Акт подписали: командир партизанского отряда Н.Кохов, заместительпредседателя Горецкого райисполкома Г.Тарасенко, учительницы А.Эренбург, М.Дыленок и Е.Павлючкова.» (15113).</w:t>
      </w:r>
    </w:p>
    <w:p w14:paraId="31A3A528" w14:textId="77777777" w:rsidR="00476D5F" w:rsidRPr="00070ADE" w:rsidRDefault="00476D5F" w:rsidP="00B56F90">
      <w:pPr>
        <w:spacing w:after="0" w:line="240" w:lineRule="auto"/>
        <w:jc w:val="both"/>
        <w:rPr>
          <w:rFonts w:ascii="Times New Roman" w:hAnsi="Times New Roman"/>
          <w:color w:val="000000" w:themeColor="text1"/>
          <w:sz w:val="16"/>
          <w:szCs w:val="16"/>
        </w:rPr>
      </w:pPr>
    </w:p>
    <w:p w14:paraId="6E03C6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1944 г. в 683-м шап 335-й шад самолет Ил-2 получил всего лишь одну пробоину сбоку, но воздушный стрелок был убит. Однако усилить защиту стрелка без кардинальной переделки бронекорпуса было нельзя, так как центровка самолета становилась опасной для полетов (11921).</w:t>
      </w:r>
    </w:p>
    <w:p w14:paraId="21D578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58602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1944, согласно докладу Л.П.Б. И.В.С от 18 мая, на аэродроме Полтава обнаружили оставленные немцами в подвалах аэродромных зданий радиофугасы весом 4 т и приемник.</w:t>
      </w:r>
    </w:p>
    <w:p w14:paraId="5110C9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132B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1944 УПВИ НКВД г-л Петров издал распоряжение О сборе и заготовке в 1944 дикорастущей зелени, грибов, ягод и пр. для питания военнопленных и 11 мая отправили телеграмму, настаивающую на решении этой задачи (3428).</w:t>
      </w:r>
    </w:p>
    <w:p w14:paraId="5670392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4E7340" w14:textId="77777777" w:rsidR="00476D5F" w:rsidRPr="00070ADE" w:rsidRDefault="00476D5F" w:rsidP="00B56F90">
      <w:pPr>
        <w:pStyle w:val="book"/>
        <w:ind w:firstLine="0"/>
        <w:jc w:val="both"/>
        <w:rPr>
          <w:color w:val="000000" w:themeColor="text1"/>
          <w:sz w:val="16"/>
          <w:szCs w:val="16"/>
        </w:rPr>
      </w:pPr>
      <w:r w:rsidRPr="00070ADE">
        <w:rPr>
          <w:color w:val="000000" w:themeColor="text1"/>
          <w:sz w:val="16"/>
          <w:szCs w:val="16"/>
        </w:rPr>
        <w:t>28 апреля 1944 г. председателем Трофейного комитета ГКО было утверждено новое «Положение о трофейных органах, частях и учреждениях Красной армии». В этом положении давалась формулировка задач трофейной службы: «Трофейные органы, части и учреждения Красной армии обеспечивают сбор, охрану, учет, вывоз и сдачу трофейного вооружения, боеприпасов, боевой техники, продфуража, горючего и других военных и народнохозяйственных ценностей, захваченных Красной армией у противника».</w:t>
      </w:r>
    </w:p>
    <w:p w14:paraId="1EA83A6A" w14:textId="77777777" w:rsidR="00476D5F" w:rsidRPr="00070ADE" w:rsidRDefault="00476D5F" w:rsidP="00B56F90">
      <w:pPr>
        <w:pStyle w:val="book"/>
        <w:ind w:firstLine="0"/>
        <w:jc w:val="both"/>
        <w:rPr>
          <w:color w:val="000000" w:themeColor="text1"/>
          <w:sz w:val="16"/>
          <w:szCs w:val="16"/>
        </w:rPr>
      </w:pPr>
      <w:r w:rsidRPr="00070ADE">
        <w:rPr>
          <w:color w:val="000000" w:themeColor="text1"/>
          <w:sz w:val="16"/>
          <w:szCs w:val="16"/>
        </w:rPr>
        <w:t>Положение определяло трофейные органы в Красной армии: Главное управление трофейного вооружения Красной армии при Трофейном комитете ГКО; во фронтах — Управления трофейного вооружения фронтов; в армиях — отделы трофейного вооружения армий; в войсках — соединения действующей армии — трофейные отделения корпуса, дивизии, бригады. В трофейных бригадах были свои отделы контрразведки «СМЕРШ», которые следили за тем, чтобы трофеи не разворовывались.</w:t>
      </w:r>
    </w:p>
    <w:p w14:paraId="36D5B805" w14:textId="77777777" w:rsidR="00476D5F" w:rsidRPr="00070ADE" w:rsidRDefault="00476D5F" w:rsidP="00B56F90">
      <w:pPr>
        <w:pStyle w:val="book"/>
        <w:ind w:firstLine="0"/>
        <w:jc w:val="both"/>
        <w:rPr>
          <w:color w:val="000000" w:themeColor="text1"/>
          <w:sz w:val="16"/>
          <w:szCs w:val="16"/>
        </w:rPr>
      </w:pPr>
      <w:r w:rsidRPr="00070ADE">
        <w:rPr>
          <w:color w:val="000000" w:themeColor="text1"/>
          <w:sz w:val="16"/>
          <w:szCs w:val="16"/>
        </w:rPr>
        <w:t>Трофейные команды собрали 24 615 немецких танков и самоходных артиллерийских установок, свыше 68 тыс. орудий и 30 тыс. минометов, более 114 млн. снарядов, 16 млн. мин, 257 тыс. пулеметов, 3 млн. винтовок, около 2 млрд. винтовочных патронов и 50 тыс. автомобилей. Для правильного применения трофейной техники ГБТУ и ГАУ в 1941—1944 гг. издали на русском языке многочисленные наставления службы по трофейной технике. Так, в моем архиве есть оригиналы и копии наставлений на танк T-V «Пантера», 6-ствольный 15-см реактивный химический миномет, 2,0/2,8-см противотанковую пушку обр. 41 с коническим стволом, 15-см тяжелую полевую гаубицу обр. 18 и т.д (15225).</w:t>
      </w:r>
    </w:p>
    <w:p w14:paraId="4001648B" w14:textId="77777777" w:rsidR="00476D5F" w:rsidRPr="00070ADE" w:rsidRDefault="00476D5F" w:rsidP="00B56F90">
      <w:pPr>
        <w:pStyle w:val="book"/>
        <w:ind w:firstLine="0"/>
        <w:jc w:val="both"/>
        <w:rPr>
          <w:color w:val="000000" w:themeColor="text1"/>
          <w:sz w:val="16"/>
          <w:szCs w:val="16"/>
        </w:rPr>
      </w:pPr>
    </w:p>
    <w:p w14:paraId="107B0257" w14:textId="77777777" w:rsidR="00476D5F"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5A156EEA" w14:textId="77777777" w:rsidR="00476D5F" w:rsidRPr="00070ADE" w:rsidRDefault="00476D5F"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4CE067"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в 1944 году разбился при проведении испытаний двигателя «Centaurus» IV, специально для этого построенный, английский самолет «Fo.108» (43/37). Это был первый самолет, сконструированный специально для летных испытаний двигателей. Большой одномоторный моноплан с низкорасположенным крылом и неубирающимся шасси, самолет Folland 43/37 был столь же большим, как и самолет Bristol "Beaufort", и значительно выше его. Напоминая собой увеличенную копию самолета «Hurricane», он вмещал пилота и двух наблюдателей в большой кабине, оборудованной приборами для полного контроля за характеристиками двигателя в полете. Конструкция самолета была смешанной, полумонококовый фюзеляж был обшит аллюминием, а крылья и хвост - клееной фанерой. На самолете устанавливались секционированные закрылки и автоматически регулируемые щели на концах крыла (15113).</w:t>
      </w:r>
    </w:p>
    <w:p w14:paraId="37497748" w14:textId="77777777" w:rsidR="00476D5F" w:rsidRPr="00070ADE" w:rsidRDefault="00476D5F" w:rsidP="00B56F90">
      <w:pPr>
        <w:spacing w:after="0" w:line="240" w:lineRule="auto"/>
        <w:jc w:val="both"/>
        <w:rPr>
          <w:rFonts w:ascii="Times New Roman" w:hAnsi="Times New Roman"/>
          <w:color w:val="000000" w:themeColor="text1"/>
          <w:sz w:val="16"/>
          <w:szCs w:val="16"/>
        </w:rPr>
      </w:pPr>
    </w:p>
    <w:p w14:paraId="69AC2BD5" w14:textId="7CCFDE20" w:rsidR="009127A0" w:rsidRPr="00070ADE" w:rsidRDefault="009127A0"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70ADE">
        <w:rPr>
          <w:rFonts w:ascii="Times New Roman" w:hAnsi="Times New Roman"/>
          <w:i/>
          <w:iCs/>
          <w:color w:val="000000" w:themeColor="text1"/>
          <w:sz w:val="16"/>
          <w:szCs w:val="16"/>
        </w:rPr>
        <w:t>За рубежом:</w:t>
      </w:r>
    </w:p>
    <w:p w14:paraId="4E4EC748" w14:textId="77777777" w:rsidR="009127A0" w:rsidRPr="00070ADE" w:rsidRDefault="009127A0"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D895F18" w14:textId="77777777" w:rsidR="009127A0" w:rsidRPr="00070ADE" w:rsidRDefault="009127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28-29 апреля 1944 бомбардировщики пятой армии ВВС США проводят удары против японских войск в Биак, Wakde, Савар и Sarmi, Западнная Новая Гвинея (20373).</w:t>
      </w:r>
    </w:p>
    <w:p w14:paraId="2A120418" w14:textId="77777777" w:rsidR="009127A0" w:rsidRPr="00070ADE" w:rsidRDefault="009127A0" w:rsidP="00B56F90">
      <w:pPr>
        <w:spacing w:after="0" w:line="240" w:lineRule="auto"/>
        <w:jc w:val="both"/>
        <w:rPr>
          <w:rFonts w:ascii="Times New Roman" w:hAnsi="Times New Roman"/>
          <w:color w:val="000000" w:themeColor="text1"/>
          <w:sz w:val="16"/>
          <w:szCs w:val="16"/>
        </w:rPr>
      </w:pPr>
    </w:p>
    <w:p w14:paraId="1033E789" w14:textId="77777777" w:rsidR="009127A0" w:rsidRPr="00070ADE" w:rsidRDefault="009127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апреля - 6 мая 1944 арктический конвой RA 59 идет от Кольского залива в Советском Союзе до озера Лох-Эве, Шотландия. Самолеты сопровождения британских авианосцев HMS Activity и HMS Fencer потопили три немецкие подводные лодки, атаковали еще восемь и сбили немецкую летающую лодку BV 138C за время рейса (20373).</w:t>
      </w:r>
    </w:p>
    <w:p w14:paraId="32462BF1" w14:textId="77777777" w:rsidR="009127A0" w:rsidRPr="00070ADE" w:rsidRDefault="009127A0" w:rsidP="00B56F90">
      <w:pPr>
        <w:spacing w:after="0" w:line="240" w:lineRule="auto"/>
        <w:jc w:val="both"/>
        <w:rPr>
          <w:rFonts w:ascii="Times New Roman" w:hAnsi="Times New Roman"/>
          <w:color w:val="000000" w:themeColor="text1"/>
          <w:sz w:val="16"/>
          <w:szCs w:val="16"/>
        </w:rPr>
      </w:pPr>
    </w:p>
    <w:p w14:paraId="491086BB" w14:textId="77777777" w:rsidR="009127A0" w:rsidRPr="00070ADE" w:rsidRDefault="009127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28–29 апреля (ночь) 1944 92 британских бомбардировщика без потерь совершили налет на фабрику взрывчатых веществ в Сен-Медар-ан-Жалль, Франция, но безуспешно из-за дыма и тумана над целью (20373).</w:t>
      </w:r>
    </w:p>
    <w:p w14:paraId="1A0D8708" w14:textId="77777777" w:rsidR="009127A0" w:rsidRPr="00070ADE" w:rsidRDefault="009127A0" w:rsidP="00B56F90">
      <w:pPr>
        <w:spacing w:after="0" w:line="240" w:lineRule="auto"/>
        <w:jc w:val="both"/>
        <w:rPr>
          <w:rFonts w:ascii="Times New Roman" w:hAnsi="Times New Roman"/>
          <w:color w:val="000000" w:themeColor="text1"/>
          <w:sz w:val="16"/>
          <w:szCs w:val="16"/>
        </w:rPr>
      </w:pPr>
    </w:p>
    <w:p w14:paraId="1402023E" w14:textId="77777777" w:rsidR="009127A0" w:rsidRPr="00070ADE" w:rsidRDefault="009127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28–29 апреля (ночь) 1944 55 британских бомбардировщиков без потерь совершают точную атаку на завод планеров в Осло, Норвегия (20373).</w:t>
      </w:r>
    </w:p>
    <w:p w14:paraId="2C1CD12D" w14:textId="77777777" w:rsidR="009127A0" w:rsidRPr="00070ADE" w:rsidRDefault="009127A0" w:rsidP="00B56F90">
      <w:pPr>
        <w:spacing w:after="0" w:line="240" w:lineRule="auto"/>
        <w:jc w:val="both"/>
        <w:rPr>
          <w:rFonts w:ascii="Times New Roman" w:hAnsi="Times New Roman"/>
          <w:color w:val="000000" w:themeColor="text1"/>
          <w:sz w:val="16"/>
          <w:szCs w:val="16"/>
        </w:rPr>
      </w:pPr>
    </w:p>
    <w:p w14:paraId="1871D0EA" w14:textId="0D1A8AE2"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1685D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DC9A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апреля 1944 Нач. ЛИИ А.В.Чесалов и Зам. Нач. НИИ ВВС Федоров утвердили Отчет по результатам гос. испытаний и доводки системы НГ 1-й зоны от выхлопа мотора на самолете Ил-2 N 1873370 с АМ-38Ф (испытания проведены в ЛИИ совместно с НИИ ВВС КА (2492).</w:t>
      </w:r>
    </w:p>
    <w:p w14:paraId="5930E4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 исполнители:</w:t>
      </w:r>
    </w:p>
    <w:p w14:paraId="43C9FA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 Лаб. 3 ЛИИ ст. и В.В.Косточкин</w:t>
      </w:r>
    </w:p>
    <w:p w14:paraId="36A8AE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 8 отд. НИИ ВВС и-м С.А.Обыденников</w:t>
      </w:r>
    </w:p>
    <w:p w14:paraId="004788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лаб. 3 ЛИИ В.Ф.Московский</w:t>
      </w:r>
    </w:p>
    <w:p w14:paraId="5343EB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Цель испытаний:</w:t>
      </w:r>
    </w:p>
    <w:p w14:paraId="6FAA9F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Проверить основные характеристики опытной системы НГ, изготовленной заводом 18 НКАП и отработать систему НГ, как эталон для внедрения в серию на Ил-2 с АМ-38Ф</w:t>
      </w:r>
    </w:p>
    <w:p w14:paraId="7FB85B0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Объект испытаний:</w:t>
      </w:r>
    </w:p>
    <w:p w14:paraId="5E894E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Опытная система НГ 1-й зоны от выхлопа мотора, разработана заводом 18 НКАП и установлена на серийном Ил-2 N 1873370 с АМ-38Ф взамен углекислотной установки.</w:t>
      </w:r>
    </w:p>
    <w:p w14:paraId="549CE8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22847E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результатов сравнительных летных испытаний системы НГ 1-й зоны по схеме завода 18 и по схеме, отработанной в ЛИИ, проведенных на Ил-2 N 1873370 с АМ-38Ф можно считать установленным:</w:t>
      </w:r>
    </w:p>
    <w:p w14:paraId="4FF072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Система НГ 1-й зоны в предъявленном заводом 18 виде работает неудовлетворительно и не м.б. рекомендована для внедрения в серию...</w:t>
      </w:r>
    </w:p>
    <w:p w14:paraId="565631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Система, отработанная ЛИИ, работает удовлетворительно, соответствует ТТТ и м.б. рекомендована в качестве эталона для Ил-2 с АМ-38Ф...(2492).</w:t>
      </w:r>
    </w:p>
    <w:p w14:paraId="43BF78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8199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апреля 1944 года начальник НИИ ВВС генерал-лейтенант инженерной службы Лосюков и начальник 3-го отдела НИИ ВВС инженер-полковник Сафронов писали письмо N 3/0515 гл. инженеру ВВС генерал-полковнику Репину А.К., Шахурину, управление кадров ЦК ВКП(б) генерал лейтенанту авиации Шиманову Н.С.</w:t>
      </w:r>
    </w:p>
    <w:p w14:paraId="3DF778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Докладываю, что на самолете Як-3 с мотором ВК-107А 27 апреля 1944 года после испытательного полета обнаружено:</w:t>
      </w:r>
    </w:p>
    <w:p w14:paraId="59E772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течь воды через верхнее уплотнение цилиндра мотора) необходима замена левого блока);</w:t>
      </w:r>
    </w:p>
    <w:p w14:paraId="1F3352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течь спиртоглицериновой смеси из левой амортстойки шасси (требуется переборка амортстойки).</w:t>
      </w:r>
    </w:p>
    <w:p w14:paraId="0EDE31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этим испытания самолета Як-3 ВК-107А временно приостановлены (1821).</w:t>
      </w:r>
    </w:p>
    <w:p w14:paraId="7D2A6B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72C2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апреля 1944 вышел приказ НКАП N 298с/107с в исполнение распоряжения ГКО N 5684с от 19 апреля 1944 о передаче завода 486 (б. Промпаровоз N 452 в Днепропетровске) Наркомцветмету (1647,52).</w:t>
      </w:r>
    </w:p>
    <w:p w14:paraId="509C17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2CCE7A" w14:textId="503A2983"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апреля 1944 г. приказом НКАП/НКЦМ № 298с/107с завод Завод № 486 НКАП, НКЦМ /Украина</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Днепропетровск/, созданный в 1943 г. на площадке завода № 452 («Промпаровоз») в Днепропетровске, был переведен в ведение НКЦМ со всем оборудованием и личным составом.</w:t>
      </w:r>
    </w:p>
    <w:p w14:paraId="44F9CA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(04.1944 г.)- В.В. Ошко, Иванов (11982).</w:t>
      </w:r>
    </w:p>
    <w:p w14:paraId="3DE41CF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33700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апреля 1944 года вышел приказ НКАП</w:t>
      </w:r>
    </w:p>
    <w:p w14:paraId="201441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 директором завода № 86 Федоренко П.М. (8925)</w:t>
      </w:r>
    </w:p>
    <w:p w14:paraId="442295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D62D6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апреля 1944 А.Г.Кочетков разбил Кингкобру в штопоре. Вручили Золотую гусеницу от парашютной фирмы Ирвинг (172,170).</w:t>
      </w:r>
    </w:p>
    <w:p w14:paraId="1C988A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0378DA"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апреля 1944 г. Кочетков, получив от американцев новенький истребитель Р-63А-6, «загнал» его в плоский штопор, из которого не смог выйти. «Отмотав» некоторое количество витков, после тщетных попыток вывести истребитель в прямолинейный полёт на высоте 900 м Кочетков сбросил дверь и выпрыгнул с парашютом. К месту его приземления прикатило всё руководство фирмы во главе с вицепрезидентом компании Джонсоном. Все вместе отправились осматривать обломки «Кингкобры». Вместо ожидаемого нагоняя советский лётчик получил благодарность за выявленный дефект и предложение отметить событие в ресторане. Так Кочеткову удалось доказать американцам необходимость улучшения противоштопорных свойств истребителя - наследственной беды потомка «Аэрокобры».</w:t>
      </w:r>
    </w:p>
    <w:p w14:paraId="57400355"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память все присутствовавшие прямо у обломков истребителя оставили свои автографы на единственном нашедшемся листочке бумаге - долларовой банкноте, извлечённой кем-то из бумажника. Этот «счастливый доллар» Кочетков потом долго носил с собой. Позже лётчику вручили памятный знак фирмы «Ирвин», поставлявшей парашюты, - значок в виде золотой гусеницы. Такой выдавали каждому, кто спасся на парашюте её изготовления.</w:t>
      </w:r>
    </w:p>
    <w:p w14:paraId="4DCCC04D"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Кочетков также провёл учебные воздушные бои с истребителями Р-39 и Р-51. Результаты определялись по кадрам фо- токинопулемёта. «Аэрокобра» проиграла без всяких сомнений, бой с «Мустангом», по общей оценке, окончился вничью.</w:t>
      </w:r>
    </w:p>
    <w:p w14:paraId="42FA1D71"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этого Кочетков вывел из строя ещё одну «Кингкобру», прокрутив на ней высший пилотаж с большими перегрузками. У самолёта выявили выпучивание и вмятины обшивки на крыле и в хвостовой части фюзеляжа. Фирма внесла изменения в конструкцию, частично устранившие недостатки, но не сразу и не в полной мере.</w:t>
      </w:r>
    </w:p>
    <w:p w14:paraId="10485F3B"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 же должно было произойти с Р-63. К этому времени в США уже наладили массовый выпуск усовершенствованных модификаций истребителя Р-51 «Мустанг», превосходившего «Кингкобру» по скорости и дальности. А Р-63 предложили Советскому Союзу.</w:t>
      </w:r>
    </w:p>
    <w:p w14:paraId="437A127B"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модификации А-7 фирма «Белл» учла опыт испытаний и ввела утолщённую обшивку крыла и усилила его набор. Чтобы парировать недостаточную устойчивость истребителя на выходе из пикирования и на вводе в вертикальные фигуры высшего пилотажа, смонтировали контрбалансир в системе управления рулём высоты. Для уменьшения нагрузки на крыло использование 284-литровых баков запретили, заменив их на меньшие, по 242 п. Пропеллер ставили того же типа, что и ранее, но чуть меньшего диаметра. Р-63А-7 изготовили в 150 экземплярах.</w:t>
      </w:r>
    </w:p>
    <w:p w14:paraId="3D23CD6E"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Следующей модификацией стала Р-63А-8. На ней ещё раз усилили бронеза- щиту, вес которой дошёл до 85,7 (по другим данным - 85,5) кг. Установка усовершенствованного винта «Аэропродактс» А6425-03 позволила, несмотря на рост взлётного веса, поднять максимальную скорость на высоте с 652 км/ч у Р-63А-5 до 671 км/ч (по другим данным - до 667 км/ч). Таких истребителей изготовили 490.</w:t>
      </w:r>
    </w:p>
    <w:p w14:paraId="218CB926"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типе А-9 добавили ещё 5 кг брони. Постоянное усиление бронезащиты американскими конструкторами можно объяснить тем, что они рассматривали «Кингкобру» в качестве многоцелевого самолёта, не столько предназначенного для воздушного боя, сколько для поддержки войск на передовой, то есть как истребитель-бомбардировщик и штурмовик. Одновременно 37-мм пушку М4 заменили на М10 того же калибра, сдвинув еёчуть вперёд. Это благоприятно сказалось на центровке истребителя. М10 тоже питалась из подковообразного магазина, установленного над казённой частью орудия, но боезапас составлял 58, а не 30 патронов, как ранее. Р-63А-9 выпустили в количестве 450 экземпляров.</w:t>
      </w:r>
    </w:p>
    <w:p w14:paraId="2EA7A585"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Последним вариантом типа А стала модификация Р-63А-10. Брони на ней стало уже 107 кг. На машине предусмотрели подвеску под каждым крылом связки МХ-241 из трёх пусковых труб для неуправляемых ракет (у нас их тогда именовали реактивными снарядами). Они крепились под консолями снаружи от крыльевых пулемётов. Внешне истребители А-10 отличались тем, что большое отверстие, через которое на взлёте подавался воздух для двигателя (оттуда он шёл через фильтр), перенесли с правого борта на верхнюю панель капота слева.</w:t>
      </w:r>
    </w:p>
    <w:p w14:paraId="7085BA6D"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Модификация Р-63В существовала только в проекте. Это был тот же тип А, но с мотором \/-1650-5 номинальной мощностью 1400 л.с. (американский вариант известного английского двигателя «Мерлин» с двухступенчатым двухскоростным нагнетателем, отличавшегося высокой экономичностью и хорошими высотными характеристиками). В США их изготовляла фирма «Паккард». С этим мотором лётные данные «Кингкобры», безусловно, улучшились бы. Но «Мерлины» были дефицитны - их ставили на «Мустанги». Поэтому решили, что на экспорт Р-63 сойдёт и с «Аллисоном». Даже опытный образец модификации В строить не стали, хотя первоначально планировали доработать в ХР-63В имевшийся ХР-63А.</w:t>
      </w:r>
    </w:p>
    <w:p w14:paraId="554DE301"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Следующим серийным вариантом стал Р-63С. На нём внедрили мотор \/-1710-117. Номинальная мощность у него осталась прежней, но конструкторы предусмотрели чрезвычайный боевой режим, на котором обороты повышались, обеспечивая 1500 л.с. в течение 5 мин. Это можно было использовать, догоняя противника или, наоборот, отрываясь от него. Если удерживать газ в таком положении дольше, то перегретые подшипники коленчатого вала заклинивали мотор. Чтобы пилот не мог выйти на чрезвычайный режим случайно, на сектор газа надевалась защёлка. Только откинув её, лётчик мог двинуть ручку за обычную максимальную отметку.</w:t>
      </w:r>
    </w:p>
    <w:p w14:paraId="280A7D80"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Внутренний запас топлива немного увеличили - с 379 л до 405 л. Бронезащиту, наоборот, частично сняли. Её суммарный вес снизился до 91,4 кг. Но все эти изменения внешне оставались незаметны. Если хорошо приглядеться, то можно было уловить некоторое уменьшение колеи основных колёс шасси. Несколько отличались очертания воздухозаборника двигателя над фюзеляжем - его приподняли вверх, чтобы избавиться от подсоса возмущённого пограничного слоя. Главной же особенностью Р-63С стал под- фюзеляжный гребень в хвостовой части фюзеляжа, улучшивший положение с устойчивостью. Но не всякая «Кингкобра» с гребнем - Р-63С, поскольку их стали «задним числом» ставить и на машины модификации Р-63А (12265).</w:t>
      </w:r>
    </w:p>
    <w:p w14:paraId="357D4CB3" w14:textId="77777777" w:rsidR="00552857" w:rsidRPr="00070ADE" w:rsidRDefault="00552857" w:rsidP="00B56F90">
      <w:pPr>
        <w:spacing w:after="0" w:line="240" w:lineRule="auto"/>
        <w:jc w:val="both"/>
        <w:rPr>
          <w:rFonts w:ascii="Times New Roman" w:hAnsi="Times New Roman"/>
          <w:color w:val="000000" w:themeColor="text1"/>
          <w:sz w:val="16"/>
          <w:szCs w:val="16"/>
        </w:rPr>
      </w:pPr>
    </w:p>
    <w:p w14:paraId="3CFB7F50"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апреля 1944 г. Кочетков, получив новенький истребитель Р-63А-6, «загнал» его в плоский штопор, из кото</w:t>
      </w:r>
      <w:r w:rsidRPr="00070ADE">
        <w:rPr>
          <w:rFonts w:ascii="Times New Roman" w:hAnsi="Times New Roman"/>
          <w:color w:val="000000" w:themeColor="text1"/>
          <w:sz w:val="16"/>
          <w:szCs w:val="16"/>
        </w:rPr>
        <w:softHyphen/>
        <w:t>рого не смог выйти. «Отмотав» некоторое количество витков, после тщетных по</w:t>
      </w:r>
      <w:r w:rsidRPr="00070ADE">
        <w:rPr>
          <w:rFonts w:ascii="Times New Roman" w:hAnsi="Times New Roman"/>
          <w:color w:val="000000" w:themeColor="text1"/>
          <w:sz w:val="16"/>
          <w:szCs w:val="16"/>
        </w:rPr>
        <w:softHyphen/>
        <w:t>пыток вывести истребитель в прямоли</w:t>
      </w:r>
      <w:r w:rsidRPr="00070ADE">
        <w:rPr>
          <w:rFonts w:ascii="Times New Roman" w:hAnsi="Times New Roman"/>
          <w:color w:val="000000" w:themeColor="text1"/>
          <w:sz w:val="16"/>
          <w:szCs w:val="16"/>
        </w:rPr>
        <w:softHyphen/>
        <w:t>нейный полет на высоте 900 м Кочетков сбросил дверь и выпрыгнул с парашю</w:t>
      </w:r>
      <w:r w:rsidRPr="00070ADE">
        <w:rPr>
          <w:rFonts w:ascii="Times New Roman" w:hAnsi="Times New Roman"/>
          <w:color w:val="000000" w:themeColor="text1"/>
          <w:sz w:val="16"/>
          <w:szCs w:val="16"/>
        </w:rPr>
        <w:softHyphen/>
        <w:t>том. К месту его приземления прикатило все руководство «Белл» во главе с вице- президентом компании Джонсоном. Все вместе отправились осматривать обломки «Кингкобры». Вместо ожидаемого наго</w:t>
      </w:r>
      <w:r w:rsidRPr="00070ADE">
        <w:rPr>
          <w:rFonts w:ascii="Times New Roman" w:hAnsi="Times New Roman"/>
          <w:color w:val="000000" w:themeColor="text1"/>
          <w:sz w:val="16"/>
          <w:szCs w:val="16"/>
        </w:rPr>
        <w:softHyphen/>
        <w:t>няя советский летчик получил благодар</w:t>
      </w:r>
      <w:r w:rsidRPr="00070ADE">
        <w:rPr>
          <w:rFonts w:ascii="Times New Roman" w:hAnsi="Times New Roman"/>
          <w:color w:val="000000" w:themeColor="text1"/>
          <w:sz w:val="16"/>
          <w:szCs w:val="16"/>
        </w:rPr>
        <w:softHyphen/>
        <w:t>ность за выявленный дефект и предложе</w:t>
      </w:r>
      <w:r w:rsidRPr="00070ADE">
        <w:rPr>
          <w:rFonts w:ascii="Times New Roman" w:hAnsi="Times New Roman"/>
          <w:color w:val="000000" w:themeColor="text1"/>
          <w:sz w:val="16"/>
          <w:szCs w:val="16"/>
        </w:rPr>
        <w:softHyphen/>
        <w:t>ние отметить событие в ресторане. Так Кочеткову удалось доказать американцам необходимость улучшения противоштопорных свойств истребителя — наследст</w:t>
      </w:r>
      <w:r w:rsidRPr="00070ADE">
        <w:rPr>
          <w:rFonts w:ascii="Times New Roman" w:hAnsi="Times New Roman"/>
          <w:color w:val="000000" w:themeColor="text1"/>
          <w:sz w:val="16"/>
          <w:szCs w:val="16"/>
        </w:rPr>
        <w:softHyphen/>
        <w:t>венной беды потомка «Аэрокобры».</w:t>
      </w:r>
    </w:p>
    <w:p w14:paraId="174FFC4D"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память все присутствовавшие пря</w:t>
      </w:r>
      <w:r w:rsidRPr="00070ADE">
        <w:rPr>
          <w:rFonts w:ascii="Times New Roman" w:hAnsi="Times New Roman"/>
          <w:color w:val="000000" w:themeColor="text1"/>
          <w:sz w:val="16"/>
          <w:szCs w:val="16"/>
        </w:rPr>
        <w:softHyphen/>
        <w:t>мо у обломков истребителя оставили свои автографы на единственном нашедшемся листочке бумаги — долларовой банкноте, извлеченной кем-то из бумажника. Этот «счастливый доллар» Кочетков потом дол</w:t>
      </w:r>
      <w:r w:rsidRPr="00070ADE">
        <w:rPr>
          <w:rFonts w:ascii="Times New Roman" w:hAnsi="Times New Roman"/>
          <w:color w:val="000000" w:themeColor="text1"/>
          <w:sz w:val="16"/>
          <w:szCs w:val="16"/>
        </w:rPr>
        <w:softHyphen/>
        <w:t>го носил с собой. Позже летчику вручили памятный знак фирмы «Ирвин», постав</w:t>
      </w:r>
      <w:r w:rsidRPr="00070ADE">
        <w:rPr>
          <w:rFonts w:ascii="Times New Roman" w:hAnsi="Times New Roman"/>
          <w:color w:val="000000" w:themeColor="text1"/>
          <w:sz w:val="16"/>
          <w:szCs w:val="16"/>
        </w:rPr>
        <w:softHyphen/>
        <w:t>лявшей парашюты — значок в виде золо</w:t>
      </w:r>
      <w:r w:rsidRPr="00070ADE">
        <w:rPr>
          <w:rFonts w:ascii="Times New Roman" w:hAnsi="Times New Roman"/>
          <w:color w:val="000000" w:themeColor="text1"/>
          <w:sz w:val="16"/>
          <w:szCs w:val="16"/>
        </w:rPr>
        <w:softHyphen/>
        <w:t>той гусеницы. Такой выдавали каждому, кто спасся на парашюте ее изготовления.</w:t>
      </w:r>
    </w:p>
    <w:p w14:paraId="728EE073"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Кочетков также провел учебные воз</w:t>
      </w:r>
      <w:r w:rsidRPr="00070ADE">
        <w:rPr>
          <w:rFonts w:ascii="Times New Roman" w:hAnsi="Times New Roman"/>
          <w:color w:val="000000" w:themeColor="text1"/>
          <w:sz w:val="16"/>
          <w:szCs w:val="16"/>
        </w:rPr>
        <w:softHyphen/>
        <w:t>душные бои Р-63А-6 с истребителями Р-39 и Р-51. Результаты определялись по кадрам фото</w:t>
      </w:r>
      <w:r w:rsidRPr="00070ADE">
        <w:rPr>
          <w:rFonts w:ascii="Times New Roman" w:hAnsi="Times New Roman"/>
          <w:color w:val="000000" w:themeColor="text1"/>
          <w:sz w:val="16"/>
          <w:szCs w:val="16"/>
        </w:rPr>
        <w:softHyphen/>
        <w:t>кинопулемета. «Аэрокобра» проиграла без всяких соменений, бой с «Мустангом», по общей оценке, окончился вничью.</w:t>
      </w:r>
    </w:p>
    <w:p w14:paraId="6E458ABE"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этого Кочетков вывел из строя еще одну «Кингкобру», прокрутив на ней высший пилотаж с большими перегруз</w:t>
      </w:r>
      <w:r w:rsidRPr="00070ADE">
        <w:rPr>
          <w:rFonts w:ascii="Times New Roman" w:hAnsi="Times New Roman"/>
          <w:color w:val="000000" w:themeColor="text1"/>
          <w:sz w:val="16"/>
          <w:szCs w:val="16"/>
        </w:rPr>
        <w:softHyphen/>
        <w:t>ками. У самолета выявили выпучивание и вмятины обшивки на крыле и в хвосто</w:t>
      </w:r>
      <w:r w:rsidRPr="00070ADE">
        <w:rPr>
          <w:rFonts w:ascii="Times New Roman" w:hAnsi="Times New Roman"/>
          <w:color w:val="000000" w:themeColor="text1"/>
          <w:sz w:val="16"/>
          <w:szCs w:val="16"/>
        </w:rPr>
        <w:softHyphen/>
        <w:t>вой части фюзеляжа. Фирма внесла изме</w:t>
      </w:r>
      <w:r w:rsidRPr="00070ADE">
        <w:rPr>
          <w:rFonts w:ascii="Times New Roman" w:hAnsi="Times New Roman"/>
          <w:color w:val="000000" w:themeColor="text1"/>
          <w:sz w:val="16"/>
          <w:szCs w:val="16"/>
        </w:rPr>
        <w:softHyphen/>
        <w:t>нения в конструкцию, частично устранив</w:t>
      </w:r>
      <w:r w:rsidRPr="00070ADE">
        <w:rPr>
          <w:rFonts w:ascii="Times New Roman" w:hAnsi="Times New Roman"/>
          <w:color w:val="000000" w:themeColor="text1"/>
          <w:sz w:val="16"/>
          <w:szCs w:val="16"/>
        </w:rPr>
        <w:softHyphen/>
        <w:t>шие недостатки, но не сразу и не в полной мере.</w:t>
      </w:r>
    </w:p>
    <w:p w14:paraId="7CE89BAC" w14:textId="4D2F4CBA"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Отправка Р-63 в СССР планирова</w:t>
      </w:r>
      <w:r w:rsidRPr="00070ADE">
        <w:rPr>
          <w:rFonts w:ascii="Times New Roman" w:hAnsi="Times New Roman"/>
          <w:color w:val="000000" w:themeColor="text1"/>
          <w:sz w:val="16"/>
          <w:szCs w:val="16"/>
        </w:rPr>
        <w:softHyphen/>
        <w:t>лась III протоколом о союзных поставках на первую половину 1944 г. Три самолета числятся перевезенными морем в наши северные порты, все остальные были пе</w:t>
      </w:r>
      <w:r w:rsidRPr="00070ADE">
        <w:rPr>
          <w:rFonts w:ascii="Times New Roman" w:hAnsi="Times New Roman"/>
          <w:color w:val="000000" w:themeColor="text1"/>
          <w:sz w:val="16"/>
          <w:szCs w:val="16"/>
        </w:rPr>
        <w:softHyphen/>
        <w:t>регнаны по воздуху через Берингов про</w:t>
      </w:r>
      <w:r w:rsidRPr="00070ADE">
        <w:rPr>
          <w:rFonts w:ascii="Times New Roman" w:hAnsi="Times New Roman"/>
          <w:color w:val="000000" w:themeColor="text1"/>
          <w:sz w:val="16"/>
          <w:szCs w:val="16"/>
        </w:rPr>
        <w:softHyphen/>
        <w:t>лив.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(23513).</w:t>
      </w:r>
    </w:p>
    <w:p w14:paraId="02A9110C" w14:textId="77777777" w:rsidR="00351460" w:rsidRPr="00070ADE" w:rsidRDefault="00351460" w:rsidP="00B56F90">
      <w:pPr>
        <w:spacing w:after="0" w:line="240" w:lineRule="auto"/>
        <w:jc w:val="both"/>
        <w:rPr>
          <w:rFonts w:ascii="Times New Roman" w:hAnsi="Times New Roman"/>
          <w:color w:val="000000" w:themeColor="text1"/>
          <w:sz w:val="16"/>
          <w:szCs w:val="16"/>
        </w:rPr>
      </w:pPr>
    </w:p>
    <w:p w14:paraId="22F44785"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апреля в 1944 году на «Як-3» и «Ла-7» началась установка двигателей «РД-1X3» разработанных в ОКБ-СД завода № 16. Это был вариант двигателя РД-1 с химическим зажиганием взамен электрического. В качестве пусковых компонентов топлива использовались: горючее Б23-75 (раствор полупродукта синтетического каучука в бензине Б-70) и окислитель (азотная кислота) (15114).</w:t>
      </w:r>
    </w:p>
    <w:p w14:paraId="106880A7" w14:textId="77777777" w:rsidR="00476D5F" w:rsidRPr="00070ADE" w:rsidRDefault="00476D5F" w:rsidP="00B56F90">
      <w:pPr>
        <w:spacing w:after="0" w:line="240" w:lineRule="auto"/>
        <w:jc w:val="both"/>
        <w:rPr>
          <w:rFonts w:ascii="Times New Roman" w:hAnsi="Times New Roman"/>
          <w:color w:val="000000" w:themeColor="text1"/>
          <w:sz w:val="16"/>
          <w:szCs w:val="16"/>
        </w:rPr>
      </w:pPr>
    </w:p>
    <w:p w14:paraId="141C3726" w14:textId="77777777" w:rsidR="009C4CA4" w:rsidRPr="00070ADE" w:rsidRDefault="009C4CA4"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97C744A" w14:textId="77777777" w:rsidR="009C4CA4" w:rsidRPr="00070ADE" w:rsidRDefault="009C4CA4"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6DFE6F"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29 апреля 1944 года состоялись совместные испытания 100 мм танковых пушек Д-10Т и Д-25Т. Насколько важными были эти испытания, говорит то, из кого состояла комиссия. В Кубинку прибыли Малышев, Я.Н. Федоренко, Б.Г. Вершинин, Д.Ф. Устинов, нарком боеприпасов Б.Л. Ванников, начальник ГАУ КА маршал Н.Д. Яковлев, командующий артиллерией КА маршал Н.Н. Воронов. Причиной визита на столь высоком уровне являлся выбор между двумя системами как вооружения тяжелого танка. Как уже говорилось выше, согласно табличным данным, на дистанции 500 метров бронебойный снаряд Д-10 пробивал лист толщиной 162 мм, установленный под углом 90 градусов. На дистанции 1000 метров пробитие составляло 149 мм, на дистанции 1500 метров пробивалась броня толщиной 137 мм, а с 2000 метров – 125 мм. У Д-25 те ж показатели составляли 157, 147, 138 и 129 мм соответственно.</w:t>
      </w:r>
    </w:p>
    <w:p w14:paraId="14C6B847"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качестве объекта, на котором испытывались орудия, выступал немецкий средний танк Pz.Kpfw.Panther Ausf.A. Выбор «Пантеры», точнее, верхнего лобового листа корпуса, как испытательный стенд, был наиболее верным решением. Эти машины с лета 1943 года все чаще являлись противниками советских танков, включая и ИС. Всего из Д-10Т было произведено 18 выстрелов. При стрельбе по нижней лобовой детали «Пантеры» выяснилось, что она пробивается на дистанции и 1200, и 1500 метров.</w:t>
      </w:r>
    </w:p>
    <w:p w14:paraId="26982801"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Иной результат оказался получен при стрельбе по верхней лобовой детали. На дистанции 1500 метров снаряд, попав в лист, срикошетировал, оставив вмятину шириной 110 мм и глубиной 70 мм. С внутренней стороны образовалась выпучина высотой 20 мм, а также трещина длиной 115 мм. Сквозного пробития удалось достичь при стрельбе на дистанции 1200 метров. По мнению комиссии, это был не предел пробития, теоретически верхняя лобовая деталь пробивалась и на дистанции 1300-1400 метров. Таким образом, с табличными данными получилась нестыковка.</w:t>
      </w:r>
    </w:p>
    <w:p w14:paraId="36436849"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Далее обстрел велся Д-25Т. Из нее произвели 25 выстрелов, и они наглядно доказали, что теория с практикой далеко не всегда одно и то же. На дистанции 1500 метров бронебойный снаряд не просто пробил верхний лобовой лист, а еще и повредил сварные швы. Не стало проблемой для Д-25 и пробитие на дистанции 2000 метров, при этом в месте пробития образовалось две трещины. По мнению комиссии, эта дистанция для Д-25Т не являлась предельной. В чем Д-10Т явно превосходила Д-25Т, так это в скорострельности. Для орудия калибра 122 мм практическая скорострельность составила 2,5 выстрела в минуту, а для Д-10Т тот же показатель составил 7,5 выстрелов в минуту.</w:t>
      </w:r>
    </w:p>
    <w:p w14:paraId="53047BA8"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Согласно заключению комиссии, разница в пробитии связана скорее в плохом качестве бронебойных снарядов для Д-10Т. По этой причине заключение выглядело неоднозначным:</w:t>
      </w:r>
    </w:p>
    <w:p w14:paraId="6E08AC47"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 Танковые пушки Д-10 (калибра 100 мм) и Д-25 (калибра 122 мм) являются действительным средством борьбы с немецкими тяжелыми танками «Пантера» с дистанции:</w:t>
      </w:r>
    </w:p>
    <w:p w14:paraId="5DC60E3C"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Д-25 2000 м</w:t>
      </w:r>
    </w:p>
    <w:p w14:paraId="121D0A1D"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Д-10 1200-1400 м.</w:t>
      </w:r>
    </w:p>
    <w:p w14:paraId="7F19A6BD"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 Малая маневренность огня пушки Д-25, практическая прицельная скорострельность 2,5 выстрела в минуту, снижает ее качества, как танковой пушки, в борьбе с тяжелыми танками и самоходными установками противника.</w:t>
      </w:r>
    </w:p>
    <w:p w14:paraId="161EA74F"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3. Увеличение начальной скорости бронебойного снаряда пушки Д-10 и улучшение его качества, при наличии унитарного патрона, обеспечивающего практическую скорострельность до 7,5 выстрела в минуту, сделают пушку Д-10 самой мощной танковой пушкой».</w:t>
      </w:r>
    </w:p>
    <w:p w14:paraId="310544E9"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Работы по 100-мм танковым орудия продолжились (25648).</w:t>
      </w:r>
    </w:p>
    <w:p w14:paraId="323175DD" w14:textId="77777777" w:rsidR="00F24AC9" w:rsidRPr="00C94B78" w:rsidRDefault="00F24AC9" w:rsidP="00B56F90">
      <w:pPr>
        <w:spacing w:after="0" w:line="240" w:lineRule="auto"/>
        <w:jc w:val="both"/>
        <w:rPr>
          <w:rFonts w:ascii="Times New Roman" w:hAnsi="Times New Roman"/>
          <w:color w:val="0070C0"/>
          <w:sz w:val="16"/>
          <w:szCs w:val="16"/>
        </w:rPr>
      </w:pPr>
    </w:p>
    <w:p w14:paraId="5685F94C" w14:textId="77777777" w:rsidR="009C4CA4" w:rsidRPr="00070ADE" w:rsidRDefault="009C4CA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апреля 1944 вышло Постановление ГКО № 5753 О плане производства проката черных металлов во II квартале 1944 г. на основных заводах Наркомчермета. РГАНИР, Фонд ГКО, д. 246, лл. 167,168 (11012).</w:t>
      </w:r>
    </w:p>
    <w:p w14:paraId="6CB9BE36" w14:textId="77777777" w:rsidR="009C4CA4" w:rsidRPr="00070ADE" w:rsidRDefault="009C4CA4" w:rsidP="00B56F90">
      <w:pPr>
        <w:autoSpaceDE w:val="0"/>
        <w:autoSpaceDN w:val="0"/>
        <w:adjustRightInd w:val="0"/>
        <w:spacing w:after="0" w:line="240" w:lineRule="auto"/>
        <w:jc w:val="both"/>
        <w:rPr>
          <w:rFonts w:ascii="Times New Roman" w:hAnsi="Times New Roman"/>
          <w:color w:val="000000" w:themeColor="text1"/>
          <w:sz w:val="16"/>
          <w:szCs w:val="16"/>
        </w:rPr>
      </w:pPr>
    </w:p>
    <w:p w14:paraId="2CC30326" w14:textId="77777777" w:rsidR="009C4CA4" w:rsidRPr="00070ADE" w:rsidRDefault="009C4CA4"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апреля 1944 вышло Распоряжение ГКО № 5754 [О выделении вагонов для перевозки леса и стройматериалов для восстановления Ленинграда.] (7224, 169).</w:t>
      </w:r>
    </w:p>
    <w:p w14:paraId="505C8113" w14:textId="77777777" w:rsidR="009C4CA4" w:rsidRPr="00070ADE" w:rsidRDefault="009C4CA4"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D09F8E" w14:textId="77777777" w:rsidR="009C4CA4" w:rsidRPr="00070ADE" w:rsidRDefault="009C4CA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апреля 1944 вышло Постановление ГКО № 5755 Об отпуске продовольственных, госпитальных и фуражных пайков для Красной Армии, Военно-Морского флота и войск НКВД в мае 1944 года. РГАНИР, Фонд ГКО, д. 246, лл. 170-172,173 (11012).</w:t>
      </w:r>
    </w:p>
    <w:p w14:paraId="6985C268" w14:textId="77777777" w:rsidR="009C4CA4" w:rsidRPr="00070ADE" w:rsidRDefault="009C4CA4" w:rsidP="00B56F90">
      <w:pPr>
        <w:autoSpaceDE w:val="0"/>
        <w:autoSpaceDN w:val="0"/>
        <w:adjustRightInd w:val="0"/>
        <w:spacing w:after="0" w:line="240" w:lineRule="auto"/>
        <w:jc w:val="both"/>
        <w:rPr>
          <w:rFonts w:ascii="Times New Roman" w:hAnsi="Times New Roman"/>
          <w:color w:val="000000" w:themeColor="text1"/>
          <w:sz w:val="16"/>
          <w:szCs w:val="16"/>
        </w:rPr>
      </w:pPr>
    </w:p>
    <w:p w14:paraId="4B7FF5FC" w14:textId="77777777" w:rsidR="009C4CA4" w:rsidRPr="00070ADE" w:rsidRDefault="009C4CA4"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апреля 1944 Закончен ремонт БМО с бортовым номером 506 (начат 12.ХП 1943 г.) (10671).</w:t>
      </w:r>
    </w:p>
    <w:p w14:paraId="070C9519" w14:textId="77777777" w:rsidR="009C4CA4" w:rsidRPr="00070ADE" w:rsidRDefault="009C4CA4" w:rsidP="00B56F90">
      <w:pPr>
        <w:autoSpaceDE w:val="0"/>
        <w:autoSpaceDN w:val="0"/>
        <w:adjustRightInd w:val="0"/>
        <w:spacing w:after="0" w:line="240" w:lineRule="auto"/>
        <w:jc w:val="both"/>
        <w:rPr>
          <w:rFonts w:ascii="Times New Roman" w:hAnsi="Times New Roman"/>
          <w:color w:val="000000" w:themeColor="text1"/>
          <w:sz w:val="16"/>
          <w:szCs w:val="16"/>
        </w:rPr>
      </w:pPr>
    </w:p>
    <w:p w14:paraId="08C09DAD" w14:textId="77777777" w:rsidR="00476D5F"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06DB529" w14:textId="77777777" w:rsidR="00476D5F" w:rsidRPr="00070ADE" w:rsidRDefault="00476D5F"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CBD263"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апреля в 1944 году оперативная сводка Совинформбюро:</w:t>
      </w:r>
    </w:p>
    <w:p w14:paraId="055320C5"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29 апреля на фронтах существенных изменений не произошло.</w:t>
      </w:r>
    </w:p>
    <w:p w14:paraId="611CE255"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28 апреля наши войска на всех фронтах подбили и уничтожили 28 немецких танков. В воздушных боях и огнём зенитной артиллерии сбит 71 самолёт противника.».</w:t>
      </w:r>
    </w:p>
    <w:p w14:paraId="2C23BCA2"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Удары кораблей Черноморского флота по судам противника в районеСевастополя.</w:t>
      </w:r>
    </w:p>
    <w:p w14:paraId="72085FF3"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«Корабли Черноморского флота ночью обнаружили две группы судов противника врайоне Севастополя. Один транспорт был атакован нашими кораблями при выходе из бухты Казачья. Другой конвой в составе двух транспортов, тральщика и сторожевых катеров был обнаружен в районе Херсонесского маяка и следовал на запад. В результате ударов наших кораблей потоплены три транспорта противника общим водоизмещением до 11.000 тонн. Кроме того, потоплен один сторожевой катер и нанесены повреждения другим судам охранения.».</w:t>
      </w:r>
    </w:p>
    <w:p w14:paraId="4655E9F5"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части Н-ского соединения отбили несколько атак танков и пехоты противника. В этом бою уничтожено до батальона гитлеровцев и 6 немецких танков. Бронебойщик Кайгель Аухадиев в течение дня подбил два немецких танка. Пулемётный расчёт гвардейца Ивана Фирсова под огнём противника зашёл во фланг немцам. В то время, когда гитлеровцы пошли в атаку, наши пулеметчики ударили им в тыл. Атака была сорвана. На поле боя осталось 120 вражеских трупов.</w:t>
      </w:r>
    </w:p>
    <w:p w14:paraId="68FD3F6E"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лётчики подразделения гвардии майора Катнова бомбили скопления вражеских танков и автомашин. Зайдя со стороны солнца, наши бомбардировщики внезапно появились над целью и нанесли тяжёлые потери противнику. В течение дня нашей авиацией уничтожено несколько немецких танков, 5 самоходных орудий и свыше 100 автомашин с грузами. В воздушных боях сбито 13 немецких самолётов.</w:t>
      </w:r>
    </w:p>
    <w:p w14:paraId="56776096"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2-м Прибалтийском фронте наши штурмовики и истребители под командованием старших лейтенантов Грехникова, Савченко и лейтенанта Орден совершили налёт на аэродром противника. По данным разведки, на аэродроме находилось 60 самолётов разных типов. В результате внезапной и стремительной атаки советские лётчики уничтожили на земле 11 немецких самолётов. Кроме того, в воздушных боях над аэродромом сбито 10 самолётов противника.</w:t>
      </w:r>
    </w:p>
    <w:p w14:paraId="3CC13D79"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29 апреля в Баренцовом море были обнаружены две самоходные баржи противника, шедшие в охранении четырёх сторожевых катеров. Отряд наших торпедных катеров под командованием капитан-лейтенанта Лозовского атаковал противника. В результате атаки обе баржи потоплены. Артиллерийским огнём повреждён один сторожевой немецкий катер.</w:t>
      </w:r>
    </w:p>
    <w:p w14:paraId="5C6022C6"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партизанских отрядов Могилёвской области за месяц пустили под откос свыше двадцати немецких воинских эшелонов. Разбито много паровозов и до 300 вагонов с войсками и грузами. Кроме того, огнём из противотанковых ружей советские патриоты вывели из строя 12 паровозов. В боях с противником партизаны истребили более 200 гитлеровцев.</w:t>
      </w:r>
    </w:p>
    <w:p w14:paraId="6F22DB45"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днях в районе города Станислав на сторону Красной Армии перешла большая группа венгерских солдат. Пленные рассказали: «Мы получили приказ атаковать советские позиции. На высоте, позади нас, расположились немцы. Русские вели огонь из всех видов оружия. Атака захлебнулась, и мы залегли. Немцы, занимавшие высоту, тотчас же начали нас обстреливать. Таким образом, мы очутились между двух огней. Короткими перебежками солдаты укрылись в противотанковом рву и решили перейти на сторону русских. Мы послали 8 человек без оружия для переговоров. Вскоре наши парламентёры вернулись в сопровождении советского офицера. Мы сдали ему оружие и мелкими группами перешли в расположение русских».</w:t>
      </w:r>
    </w:p>
    <w:p w14:paraId="2742E200"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другом участке на сторону Красной Армии перешёл солдат пулемётной роты 19 венгерского полка. Он приехал на повозке и привез два исправных станковых пулемёта и 5 тысяч патронов. Перебежчик заявил: «Меня призвали в армию 13 марта 1944 года. Немцы безудержно грабят и опустошают Венгрию. Я не хотел проливать свою кровь за Гитлера. Если уж воевать, так я бы воевал не заодно с немцами, а против них. Я всей душой ненавижу немцев, превративших Венгрию в свою колонию».</w:t>
      </w:r>
    </w:p>
    <w:p w14:paraId="4BE4DE42"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Жители города Гайсин, Винницкой области, составили акт о зверствах немецко-фашистских мерзавцев. В акте говорится: «За время оккупации немецкие изверги расстреляли и замучили свыше 10 тысяч мирных жителей города Гайсин и Гайсинского района. Казни происходили в урочище Белендинка, на гайсинских хуторах и в лесу. Массовые убийства мирных жителей продолжались до самого последнего дня хозяйничанья немецких оккупантов. Гитлеровцы подвергали свои жертвы самым зверским и жестоким пыткам. Тимофея Панчука и Петра Бобура немцы сожгли живьём. Инженера Фадея Шерба гитлеровцы так изуродовали, что семья опознала его только по сохранившимся клочьям нательного белья. На гайсинских хуторах немецко-фашистские разбойники 14 февраля 1944 года бросали взрослых и детей в колодцы. В тот день погибли в колодцах Степан Тарлецкий, Ольга Лиханова и её трое детей, колхозник Яков Юркевич, его жена, трехмесячная дочь Галя, пятилетний сын Жорж и другие. По неполным данным, немцы угнали на каторгу в Германию 3.200 жителей Гайсинского района. Главными виновниками всех этихч удовищных преступлений мы считаем немецкого гебитскомиссара Бехера, его заместителя Ротенбахера и сельскохозяйственного коменданта Гинзеля».</w:t>
      </w:r>
    </w:p>
    <w:p w14:paraId="262F7606"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доктор А.Оржеховский, священник К.Зарасинский, жители города — Д.Галузинский, Л.Шварнштейн, А.Глазацкий.» (15114).</w:t>
      </w:r>
    </w:p>
    <w:p w14:paraId="05CF9B2D" w14:textId="77777777" w:rsidR="00476D5F" w:rsidRPr="00070ADE" w:rsidRDefault="00476D5F" w:rsidP="00B56F90">
      <w:pPr>
        <w:spacing w:after="0" w:line="240" w:lineRule="auto"/>
        <w:jc w:val="both"/>
        <w:rPr>
          <w:rFonts w:ascii="Times New Roman" w:hAnsi="Times New Roman"/>
          <w:color w:val="000000" w:themeColor="text1"/>
          <w:sz w:val="16"/>
          <w:szCs w:val="16"/>
        </w:rPr>
      </w:pPr>
    </w:p>
    <w:p w14:paraId="0880BC6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4DC897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E08C6A" w14:textId="77777777" w:rsidR="009127A0" w:rsidRPr="00070ADE" w:rsidRDefault="009127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29–30 апреля 1944 самолет оперативной группы авианосцев 58 атакует атолл Трук, сбив 59 японских самолетов, уничтожив 34 самолета на земле, потопив более 20 малых кораблей и судов в гавани, и способствуя потоплению подводной лодки в обмен на потерю 35 самолетов, из них 26 боевых. Поскольку осталось всего 12 исправных самолетов, Truk больше никогда не представляет угрозы для союзных войск (20373).</w:t>
      </w:r>
    </w:p>
    <w:p w14:paraId="6A7794E6" w14:textId="77777777" w:rsidR="009127A0" w:rsidRPr="00070ADE" w:rsidRDefault="009127A0" w:rsidP="00B56F90">
      <w:pPr>
        <w:spacing w:after="0" w:line="240" w:lineRule="auto"/>
        <w:jc w:val="both"/>
        <w:rPr>
          <w:rFonts w:ascii="Times New Roman" w:hAnsi="Times New Roman"/>
          <w:color w:val="000000" w:themeColor="text1"/>
          <w:sz w:val="16"/>
          <w:szCs w:val="16"/>
        </w:rPr>
      </w:pPr>
    </w:p>
    <w:p w14:paraId="089825F5" w14:textId="77777777" w:rsidR="009127A0" w:rsidRPr="00070ADE" w:rsidRDefault="009127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29–30 апреля 1944 132 британских бомбардировщика без ущерба для себя совершают точные атаки на завод по производству взрывчатых веществ в Сен-Медар-ан-Жаль, Франция и шинный завод Michelin в Клермон-Ферране, Франция (20373).</w:t>
      </w:r>
    </w:p>
    <w:p w14:paraId="4FF4D8C8" w14:textId="77777777" w:rsidR="009127A0" w:rsidRPr="00070ADE" w:rsidRDefault="009127A0" w:rsidP="00B56F90">
      <w:pPr>
        <w:spacing w:after="0" w:line="240" w:lineRule="auto"/>
        <w:jc w:val="both"/>
        <w:rPr>
          <w:rFonts w:ascii="Times New Roman" w:hAnsi="Times New Roman"/>
          <w:color w:val="000000" w:themeColor="text1"/>
          <w:sz w:val="16"/>
          <w:szCs w:val="16"/>
        </w:rPr>
      </w:pPr>
    </w:p>
    <w:p w14:paraId="7F2D5402" w14:textId="77777777" w:rsidR="009127A0" w:rsidRPr="00070ADE" w:rsidRDefault="009127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апреля 1944 первый полет Чемпион Aeronca (20373).</w:t>
      </w:r>
    </w:p>
    <w:p w14:paraId="08FCCB63" w14:textId="77777777" w:rsidR="009127A0" w:rsidRPr="00070ADE" w:rsidRDefault="009127A0" w:rsidP="00B56F90">
      <w:pPr>
        <w:spacing w:after="0" w:line="240" w:lineRule="auto"/>
        <w:jc w:val="both"/>
        <w:rPr>
          <w:rFonts w:ascii="Times New Roman" w:hAnsi="Times New Roman"/>
          <w:color w:val="000000" w:themeColor="text1"/>
          <w:sz w:val="16"/>
          <w:szCs w:val="16"/>
        </w:rPr>
      </w:pPr>
    </w:p>
    <w:p w14:paraId="237A51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29 April - l May 1944 Second Carrier Strike on Truk 1944 Task Force 58 (Vice Admiral M. A. Mitscher), returning to Majuro from the Hollandia operation, launched a 2-day attack on enemy installations and supply dumps at Truk. In addition to damage ashore, three small ships were sunk and 145 enemy aircraft destroyed. Task Group 58.1 (Rear Admiral J. J. Clark), detached from the main force on the second day, flew protective cover for a cruiser bombardment of Satawan, and on 1 May supported bombardment of Ponape with air cover and bombing and strafing attacks (1090).</w:t>
      </w:r>
    </w:p>
    <w:p w14:paraId="26A85B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3D4FD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29 апреля по 1 мая 1944 состоялся удар по Турку (1090).</w:t>
      </w:r>
    </w:p>
    <w:p w14:paraId="3D0200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83EBBF" w14:textId="77777777" w:rsidR="00351460" w:rsidRPr="00070ADE" w:rsidRDefault="00351460"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3F7F90C" w14:textId="77777777" w:rsidR="00351460" w:rsidRPr="00070ADE" w:rsidRDefault="00351460"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9FD6AE" w14:textId="77777777" w:rsidR="00351460" w:rsidRPr="00070ADE" w:rsidRDefault="003514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двадцатых числах апреля 1944 г. три самолета в числе 10 получили летчики 21-го ап КБФ в подарок от комсомольцев и молодежи г. Краснодона. На своих бортах машины несли красные над</w:t>
      </w:r>
      <w:r w:rsidRPr="00070ADE">
        <w:rPr>
          <w:rFonts w:ascii="Times New Roman" w:hAnsi="Times New Roman"/>
          <w:color w:val="000000" w:themeColor="text1"/>
          <w:sz w:val="16"/>
          <w:szCs w:val="16"/>
        </w:rPr>
        <w:softHyphen/>
        <w:t>писи с именами комсомольцев-партизан - героев Красно</w:t>
      </w:r>
      <w:r w:rsidRPr="00070ADE">
        <w:rPr>
          <w:rFonts w:ascii="Times New Roman" w:hAnsi="Times New Roman"/>
          <w:color w:val="000000" w:themeColor="text1"/>
          <w:sz w:val="16"/>
          <w:szCs w:val="16"/>
        </w:rPr>
        <w:softHyphen/>
        <w:t>донского подполья. По решению Военного совета КБФ са</w:t>
      </w:r>
      <w:r w:rsidRPr="00070ADE">
        <w:rPr>
          <w:rFonts w:ascii="Times New Roman" w:hAnsi="Times New Roman"/>
          <w:color w:val="000000" w:themeColor="text1"/>
          <w:sz w:val="16"/>
          <w:szCs w:val="16"/>
        </w:rPr>
        <w:softHyphen/>
        <w:t>молеты получили: «Олег Кошевой» - Д.А. Кудымов (3+5), «Сергей Тюленин» - М.Н. Алексеев и «Ульяна Громова» - Е.К. Лосинский. О результатах боевой работы летчики ра</w:t>
      </w:r>
      <w:r w:rsidRPr="00070ADE">
        <w:rPr>
          <w:rFonts w:ascii="Times New Roman" w:hAnsi="Times New Roman"/>
          <w:color w:val="000000" w:themeColor="text1"/>
          <w:sz w:val="16"/>
          <w:szCs w:val="16"/>
        </w:rPr>
        <w:softHyphen/>
        <w:t>портовали своим дарителям (23381).</w:t>
      </w:r>
    </w:p>
    <w:p w14:paraId="44FB99F7" w14:textId="77777777" w:rsidR="00351460" w:rsidRPr="00070ADE" w:rsidRDefault="00351460" w:rsidP="00B56F90">
      <w:pPr>
        <w:spacing w:after="0" w:line="240" w:lineRule="auto"/>
        <w:jc w:val="both"/>
        <w:rPr>
          <w:rFonts w:ascii="Times New Roman" w:hAnsi="Times New Roman"/>
          <w:color w:val="000000" w:themeColor="text1"/>
          <w:sz w:val="16"/>
          <w:szCs w:val="16"/>
        </w:rPr>
      </w:pPr>
    </w:p>
    <w:p w14:paraId="10E803BE" w14:textId="5BE158BA"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2FE441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A81B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закончились заводские испытания Як-9ПД с М-106ПВ, которые начались 27 апреля 1944 и их вел В.И.Юганов. Машину передали в 12 гв. иап Москвы. Потом переделали 30 серийных Як-9ПД с М-105ПД и всего было сделано 35 Як-9ПД (65,127).</w:t>
      </w:r>
    </w:p>
    <w:p w14:paraId="6622A3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ED2704" w14:textId="77777777" w:rsidR="00630135" w:rsidRPr="00070ADE" w:rsidRDefault="006301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в 1944 году завершены (проводились с 27 апреля) заводские испытания истребителя «Як-9ПД» с двигателем «М-106ПВ». В.И.Югановым, выполнено три полета общей продолжительностью 1 ч 30 мин. После этого самолет передали в 12 гвардейский истребительный авиационный полк ПВО Москвы, где он успешно эксплуатировался до конца войны (15115).</w:t>
      </w:r>
    </w:p>
    <w:p w14:paraId="79FEAD20" w14:textId="77777777" w:rsidR="00630135" w:rsidRPr="00070ADE" w:rsidRDefault="00630135" w:rsidP="00B56F90">
      <w:pPr>
        <w:spacing w:after="0" w:line="240" w:lineRule="auto"/>
        <w:jc w:val="both"/>
        <w:rPr>
          <w:rFonts w:ascii="Times New Roman" w:hAnsi="Times New Roman"/>
          <w:color w:val="000000" w:themeColor="text1"/>
          <w:sz w:val="16"/>
          <w:szCs w:val="16"/>
        </w:rPr>
      </w:pPr>
    </w:p>
    <w:p w14:paraId="3A449B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г. была построена вторая машина Пе-2И В.М.М., на которой были устранены многие из выявленных в ходе испытаний первой машины дефектов. После окончания заводских испытаний дублер своим ходом отправили из Казани в НИИ ВВС. Однако во время перелета он потерпел аварию, что задержало начало гос. испытаний до 12 августа (3337).</w:t>
      </w:r>
    </w:p>
    <w:p w14:paraId="75071B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A7F3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w:t>
      </w:r>
      <w:r w:rsidRPr="00070ADE">
        <w:rPr>
          <w:rFonts w:ascii="Times New Roman" w:hAnsi="Times New Roman"/>
          <w:color w:val="000000" w:themeColor="text1"/>
          <w:sz w:val="16"/>
          <w:szCs w:val="16"/>
        </w:rPr>
        <w:softHyphen/>
        <w:t>реля 1944 года был построен второй Пе-2И, на котором были устранены многие из выявленных в ходе испытаний дефектов. После окончания заводских испыта</w:t>
      </w:r>
      <w:r w:rsidRPr="00070ADE">
        <w:rPr>
          <w:rFonts w:ascii="Times New Roman" w:hAnsi="Times New Roman"/>
          <w:color w:val="000000" w:themeColor="text1"/>
          <w:sz w:val="16"/>
          <w:szCs w:val="16"/>
        </w:rPr>
        <w:softHyphen/>
        <w:t>ний дублер своим ходом отправили из Казани в НИИ ВВС. Однако во время перелета он потерпел аварию, что задержало начало государственных испытаний до 12 августа.</w:t>
      </w:r>
    </w:p>
    <w:p w14:paraId="422A4A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дублере Пе-2И носовой пулемет УБК перенесли на левый борт под сиденье пилота, предусмотрев на его месте установку облегченной 20-мм пушки УБ-20. Допускалась наружная подвеска двух бомб калибра 250 или 500 кг, что позволило увеличить максималь</w:t>
      </w:r>
      <w:r w:rsidRPr="00070ADE">
        <w:rPr>
          <w:rFonts w:ascii="Times New Roman" w:hAnsi="Times New Roman"/>
          <w:color w:val="000000" w:themeColor="text1"/>
          <w:sz w:val="16"/>
          <w:szCs w:val="16"/>
        </w:rPr>
        <w:softHyphen/>
        <w:t>ную бомбовую нагрузку до 2000 кг. В систему управле</w:t>
      </w:r>
      <w:r w:rsidRPr="00070ADE">
        <w:rPr>
          <w:rFonts w:ascii="Times New Roman" w:hAnsi="Times New Roman"/>
          <w:color w:val="000000" w:themeColor="text1"/>
          <w:sz w:val="16"/>
          <w:szCs w:val="16"/>
        </w:rPr>
        <w:softHyphen/>
        <w:t>ния рулем высоты ввели весовой балансир и пружину, что, однако, не привело к снижению усилий на штурва</w:t>
      </w:r>
      <w:r w:rsidRPr="00070ADE">
        <w:rPr>
          <w:rFonts w:ascii="Times New Roman" w:hAnsi="Times New Roman"/>
          <w:color w:val="000000" w:themeColor="text1"/>
          <w:sz w:val="16"/>
          <w:szCs w:val="16"/>
        </w:rPr>
        <w:softHyphen/>
        <w:t>ле и не улучшило управляемость. На воздушных вин</w:t>
      </w:r>
      <w:r w:rsidRPr="00070ADE">
        <w:rPr>
          <w:rFonts w:ascii="Times New Roman" w:hAnsi="Times New Roman"/>
          <w:color w:val="000000" w:themeColor="text1"/>
          <w:sz w:val="16"/>
          <w:szCs w:val="16"/>
        </w:rPr>
        <w:softHyphen/>
        <w:t>тах установили антиобледенительные устройства. Из</w:t>
      </w:r>
      <w:r w:rsidRPr="00070ADE">
        <w:rPr>
          <w:rFonts w:ascii="Times New Roman" w:hAnsi="Times New Roman"/>
          <w:color w:val="000000" w:themeColor="text1"/>
          <w:sz w:val="16"/>
          <w:szCs w:val="16"/>
        </w:rPr>
        <w:softHyphen/>
        <w:t>менили нижнее остекление и расположение приборов у летчика. Уменьшили на 50 литров емкость бензоба</w:t>
      </w:r>
      <w:r w:rsidRPr="00070ADE">
        <w:rPr>
          <w:rFonts w:ascii="Times New Roman" w:hAnsi="Times New Roman"/>
          <w:color w:val="000000" w:themeColor="text1"/>
          <w:sz w:val="16"/>
          <w:szCs w:val="16"/>
        </w:rPr>
        <w:softHyphen/>
        <w:t>ков. Установили кассеты авиационных гранат ДАГ-10 для защиты задней полусферы. Радиостанцию пере</w:t>
      </w:r>
      <w:r w:rsidRPr="00070ADE">
        <w:rPr>
          <w:rFonts w:ascii="Times New Roman" w:hAnsi="Times New Roman"/>
          <w:color w:val="000000" w:themeColor="text1"/>
          <w:sz w:val="16"/>
          <w:szCs w:val="16"/>
        </w:rPr>
        <w:softHyphen/>
        <w:t>несли из хвостового отсека к штурману и сняли один аккумулятор, заменив электрогенераторы более мощ</w:t>
      </w:r>
      <w:r w:rsidRPr="00070ADE">
        <w:rPr>
          <w:rFonts w:ascii="Times New Roman" w:hAnsi="Times New Roman"/>
          <w:color w:val="000000" w:themeColor="text1"/>
          <w:sz w:val="16"/>
          <w:szCs w:val="16"/>
        </w:rPr>
        <w:softHyphen/>
        <w:t>ными. В таком виде вторая машина поступила в НИИ ВВС.</w:t>
      </w:r>
    </w:p>
    <w:p w14:paraId="6B6B13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июля 1944 года оба Пе-2И начали второй этап государственных испытаний. Почти за три месяца бы</w:t>
      </w:r>
      <w:r w:rsidRPr="00070ADE">
        <w:rPr>
          <w:rFonts w:ascii="Times New Roman" w:hAnsi="Times New Roman"/>
          <w:color w:val="000000" w:themeColor="text1"/>
          <w:sz w:val="16"/>
          <w:szCs w:val="16"/>
        </w:rPr>
        <w:softHyphen/>
        <w:t>ло выполнено 49 полетов. Ведущими по испытаниям были инженер Г.В. Грибакин и летчик А.М. Хрипков. В облетах машины принимали участие штурманы Ро-машко и Филиппов.</w:t>
      </w:r>
    </w:p>
    <w:p w14:paraId="05DDDF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акте по результатам второго этапа государствен</w:t>
      </w:r>
      <w:r w:rsidRPr="00070ADE">
        <w:rPr>
          <w:rFonts w:ascii="Times New Roman" w:hAnsi="Times New Roman"/>
          <w:color w:val="000000" w:themeColor="text1"/>
          <w:sz w:val="16"/>
          <w:szCs w:val="16"/>
        </w:rPr>
        <w:softHyphen/>
        <w:t>ных испытаний, утвержденном 21 ноября 1944 года, отмечалось, что «самолет пикирует устойчиво под угла</w:t>
      </w:r>
      <w:r w:rsidRPr="00070ADE">
        <w:rPr>
          <w:rFonts w:ascii="Times New Roman" w:hAnsi="Times New Roman"/>
          <w:color w:val="000000" w:themeColor="text1"/>
          <w:sz w:val="16"/>
          <w:szCs w:val="16"/>
        </w:rPr>
        <w:softHyphen/>
        <w:t>ми до 70 град. На виражах поведение самолета устойчи</w:t>
      </w:r>
      <w:r w:rsidRPr="00070ADE">
        <w:rPr>
          <w:rFonts w:ascii="Times New Roman" w:hAnsi="Times New Roman"/>
          <w:color w:val="000000" w:themeColor="text1"/>
          <w:sz w:val="16"/>
          <w:szCs w:val="16"/>
        </w:rPr>
        <w:softHyphen/>
        <w:t>во... При выполнении глубоких виражей (60—65 град.) на штурвале возникают ощутительные нагрузки. Выполне</w:t>
      </w:r>
      <w:r w:rsidRPr="00070ADE">
        <w:rPr>
          <w:rFonts w:ascii="Times New Roman" w:hAnsi="Times New Roman"/>
          <w:color w:val="000000" w:themeColor="text1"/>
          <w:sz w:val="16"/>
          <w:szCs w:val="16"/>
        </w:rPr>
        <w:softHyphen/>
        <w:t>ние предельного виража является трудным и требует для сохранения высоты и выдерживания скорости навыка и тренировки...</w:t>
      </w:r>
    </w:p>
    <w:p w14:paraId="2BE4AD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пилотируется на одном моторе с полетным весом около 9000 кг на высотах до 5000 метров с затяже-ленным винтом неработающего мотора. С незатяжелен-ным винтом при этом же весе самолет пилотируется на одном моторе на высотах до 2000 метров... При полете на одном моторе нагрузки полностью снимаются триммером руля поворота».</w:t>
      </w:r>
    </w:p>
    <w:p w14:paraId="7EECE4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Особое место в ходе испытаний занимал воздуш</w:t>
      </w:r>
      <w:r w:rsidRPr="00070ADE">
        <w:rPr>
          <w:rFonts w:ascii="Times New Roman" w:hAnsi="Times New Roman"/>
          <w:color w:val="000000" w:themeColor="text1"/>
          <w:sz w:val="16"/>
          <w:szCs w:val="16"/>
        </w:rPr>
        <w:softHyphen/>
        <w:t>ный бой Пе-2И с немецким трофейным истребителем ВИ09С-4 с мотором ОВ-601, который пилотировал летчик-испытатель Поминальный. Он производился на высотах до 7000 м и продолжался 50 минут.</w:t>
      </w:r>
    </w:p>
    <w:p w14:paraId="60FA3D2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Штурман-испытатель Ромашко в своем донесении отмечал:</w:t>
      </w:r>
    </w:p>
    <w:p w14:paraId="7B0810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наборе высоты 3000 м и на боевом курсе при ско</w:t>
      </w:r>
      <w:r w:rsidRPr="00070ADE">
        <w:rPr>
          <w:rFonts w:ascii="Times New Roman" w:hAnsi="Times New Roman"/>
          <w:color w:val="000000" w:themeColor="text1"/>
          <w:sz w:val="16"/>
          <w:szCs w:val="16"/>
        </w:rPr>
        <w:softHyphen/>
        <w:t>рости самолета Пе-2И, равной 0.8 \/тах, истребитель не сделал ни одной атаки. При разворотах для повторного захода на бомбометание истребителю удавалось, срезая круг, производить одну кратковременную атаку сбоку. При попытке повторить атаку истребитель оказался в хво</w:t>
      </w:r>
      <w:r w:rsidRPr="00070ADE">
        <w:rPr>
          <w:rFonts w:ascii="Times New Roman" w:hAnsi="Times New Roman"/>
          <w:color w:val="000000" w:themeColor="text1"/>
          <w:sz w:val="16"/>
          <w:szCs w:val="16"/>
        </w:rPr>
        <w:softHyphen/>
        <w:t>сте, в конусе обстрела задней пулеметной установки. При наборе высоты 7000 м и снижении с газом, Ме-109Г-4 имеет преимущество в вертикальной скорости и может делать даже повторные атаки с хвоста, под углами, не</w:t>
      </w:r>
      <w:r w:rsidRPr="00070ADE">
        <w:rPr>
          <w:rFonts w:ascii="Times New Roman" w:hAnsi="Times New Roman"/>
          <w:color w:val="000000" w:themeColor="text1"/>
          <w:sz w:val="16"/>
          <w:szCs w:val="16"/>
        </w:rPr>
        <w:softHyphen/>
        <w:t>много превышающими углы обстрела задней стрелковой установки самолета Пе-2И.</w:t>
      </w:r>
    </w:p>
    <w:p w14:paraId="7F6A0B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горизонтальном полете на максимальной скорости до высоты 7000 м Ме-109Г-4 отстает от самолета Пе-2И.</w:t>
      </w:r>
    </w:p>
    <w:p w14:paraId="223883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Уход от истребителя и отражение атак при снижении с газом невозможны, так как Ме-109Г-4 может произвести и повторные атаки, не подставляя себя под огонь заднего пулемета...».</w:t>
      </w:r>
    </w:p>
    <w:p w14:paraId="6D0FAE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своих выводах летчик Поминальный отмечал: «Самолет истребитель Ме- 109Г-4 имеет преимущество над самолетом Пе-2И по вертикальным скоростям и может атаковать последний только при наборе вы</w:t>
      </w:r>
      <w:r w:rsidRPr="00070ADE">
        <w:rPr>
          <w:rFonts w:ascii="Times New Roman" w:hAnsi="Times New Roman"/>
          <w:color w:val="000000" w:themeColor="text1"/>
          <w:sz w:val="16"/>
          <w:szCs w:val="16"/>
        </w:rPr>
        <w:softHyphen/>
        <w:t>соты или снижении.</w:t>
      </w:r>
    </w:p>
    <w:p w14:paraId="0D99C7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горизонтальном полете самолет Пе-2И на всех вы</w:t>
      </w:r>
      <w:r w:rsidRPr="00070ADE">
        <w:rPr>
          <w:rFonts w:ascii="Times New Roman" w:hAnsi="Times New Roman"/>
          <w:color w:val="000000" w:themeColor="text1"/>
          <w:sz w:val="16"/>
          <w:szCs w:val="16"/>
        </w:rPr>
        <w:softHyphen/>
        <w:t>сотах до 7000 м имеет преимущество в максимальной скорости над истребителем и последний не может атако</w:t>
      </w:r>
      <w:r w:rsidRPr="00070ADE">
        <w:rPr>
          <w:rFonts w:ascii="Times New Roman" w:hAnsi="Times New Roman"/>
          <w:color w:val="000000" w:themeColor="text1"/>
          <w:sz w:val="16"/>
          <w:szCs w:val="16"/>
        </w:rPr>
        <w:softHyphen/>
        <w:t>вать его, если будет своевременно замечен экипажем са</w:t>
      </w:r>
      <w:r w:rsidRPr="00070ADE">
        <w:rPr>
          <w:rFonts w:ascii="Times New Roman" w:hAnsi="Times New Roman"/>
          <w:color w:val="000000" w:themeColor="text1"/>
          <w:sz w:val="16"/>
          <w:szCs w:val="16"/>
        </w:rPr>
        <w:softHyphen/>
        <w:t>молета Пе-2И».</w:t>
      </w:r>
    </w:p>
    <w:p w14:paraId="5F7C85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заключении «Акта по результатам государствен</w:t>
      </w:r>
      <w:r w:rsidRPr="00070ADE">
        <w:rPr>
          <w:rFonts w:ascii="Times New Roman" w:hAnsi="Times New Roman"/>
          <w:color w:val="000000" w:themeColor="text1"/>
          <w:sz w:val="16"/>
          <w:szCs w:val="16"/>
        </w:rPr>
        <w:softHyphen/>
        <w:t>ных испытаний...» говорилось, что необходимо «... ус</w:t>
      </w:r>
      <w:r w:rsidRPr="00070ADE">
        <w:rPr>
          <w:rFonts w:ascii="Times New Roman" w:hAnsi="Times New Roman"/>
          <w:color w:val="000000" w:themeColor="text1"/>
          <w:sz w:val="16"/>
          <w:szCs w:val="16"/>
        </w:rPr>
        <w:softHyphen/>
        <w:t>корить выпуск пяти головных самолетов Пе-2Идля прове</w:t>
      </w:r>
      <w:r w:rsidRPr="00070ADE">
        <w:rPr>
          <w:rFonts w:ascii="Times New Roman" w:hAnsi="Times New Roman"/>
          <w:color w:val="000000" w:themeColor="text1"/>
          <w:sz w:val="16"/>
          <w:szCs w:val="16"/>
        </w:rPr>
        <w:softHyphen/>
        <w:t>дения войсковых испытаний. Считать целесообразным, учитывая возможность улучшения в дальнейшем скорост</w:t>
      </w:r>
      <w:r w:rsidRPr="00070ADE">
        <w:rPr>
          <w:rFonts w:ascii="Times New Roman" w:hAnsi="Times New Roman"/>
          <w:color w:val="000000" w:themeColor="text1"/>
          <w:sz w:val="16"/>
          <w:szCs w:val="16"/>
        </w:rPr>
        <w:softHyphen/>
        <w:t>ных данных истребителей противника, отработать на са</w:t>
      </w:r>
      <w:r w:rsidRPr="00070ADE">
        <w:rPr>
          <w:rFonts w:ascii="Times New Roman" w:hAnsi="Times New Roman"/>
          <w:color w:val="000000" w:themeColor="text1"/>
          <w:sz w:val="16"/>
          <w:szCs w:val="16"/>
        </w:rPr>
        <w:softHyphen/>
        <w:t>молете Пе-2И вариант усиления оборонительного стрел</w:t>
      </w:r>
      <w:r w:rsidRPr="00070ADE">
        <w:rPr>
          <w:rFonts w:ascii="Times New Roman" w:hAnsi="Times New Roman"/>
          <w:color w:val="000000" w:themeColor="text1"/>
          <w:sz w:val="16"/>
          <w:szCs w:val="16"/>
        </w:rPr>
        <w:softHyphen/>
        <w:t>кового вооружения...».</w:t>
      </w:r>
    </w:p>
    <w:p w14:paraId="471228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Данную рекомендацию реализовали в 1945 году на самолете Пе-2М, переделанном из второго экземпляра Пе-2И. На бомбардировщике пулеметное вооружение тремя пушками Б-20. Установили новый измененный фонарь летчика и штурмана, а в задней части фюзеля</w:t>
      </w:r>
      <w:r w:rsidRPr="00070ADE">
        <w:rPr>
          <w:rFonts w:ascii="Times New Roman" w:hAnsi="Times New Roman"/>
          <w:color w:val="000000" w:themeColor="text1"/>
          <w:sz w:val="16"/>
          <w:szCs w:val="16"/>
        </w:rPr>
        <w:softHyphen/>
        <w:t>жа появилась кабина стрелка-радиста с бронезащи-той и улучшенным обзором. Для сохранения требуемых запасов продольной устойчивости увеличили стрело</w:t>
      </w:r>
      <w:r w:rsidRPr="00070ADE">
        <w:rPr>
          <w:rFonts w:ascii="Times New Roman" w:hAnsi="Times New Roman"/>
          <w:color w:val="000000" w:themeColor="text1"/>
          <w:sz w:val="16"/>
          <w:szCs w:val="16"/>
        </w:rPr>
        <w:softHyphen/>
        <w:t>видность передних кромок крыла и площадь его кон</w:t>
      </w:r>
      <w:r w:rsidRPr="00070ADE">
        <w:rPr>
          <w:rFonts w:ascii="Times New Roman" w:hAnsi="Times New Roman"/>
          <w:color w:val="000000" w:themeColor="text1"/>
          <w:sz w:val="16"/>
          <w:szCs w:val="16"/>
        </w:rPr>
        <w:softHyphen/>
        <w:t>цевых обтекателей. Шасси получили новые амортиза</w:t>
      </w:r>
      <w:r w:rsidRPr="00070ADE">
        <w:rPr>
          <w:rFonts w:ascii="Times New Roman" w:hAnsi="Times New Roman"/>
          <w:color w:val="000000" w:themeColor="text1"/>
          <w:sz w:val="16"/>
          <w:szCs w:val="16"/>
        </w:rPr>
        <w:softHyphen/>
        <w:t>торы с увеличенным ходом, попутно устранили ряд де</w:t>
      </w:r>
      <w:r w:rsidRPr="00070ADE">
        <w:rPr>
          <w:rFonts w:ascii="Times New Roman" w:hAnsi="Times New Roman"/>
          <w:color w:val="000000" w:themeColor="text1"/>
          <w:sz w:val="16"/>
          <w:szCs w:val="16"/>
        </w:rPr>
        <w:softHyphen/>
        <w:t>фектов, выявленных в ходе государственных испыта</w:t>
      </w:r>
      <w:r w:rsidRPr="00070ADE">
        <w:rPr>
          <w:rFonts w:ascii="Times New Roman" w:hAnsi="Times New Roman"/>
          <w:color w:val="000000" w:themeColor="text1"/>
          <w:sz w:val="16"/>
          <w:szCs w:val="16"/>
        </w:rPr>
        <w:softHyphen/>
        <w:t>ний Пе-2И (11446).</w:t>
      </w:r>
    </w:p>
    <w:p w14:paraId="1EA773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93B5CA"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1945 г. ИЗ ПИСЬМА СЕКРЕТАРЯ НОВОСИБИРСКОГО ОБКОМА ВКП(б) М.В. КУЛАГИНА СЕКРЕТАРЮ ЦК ВКП(б) Г.М. МАЛЕНКОВУ</w:t>
      </w:r>
    </w:p>
    <w:p w14:paraId="37B1E1B9"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Секретарю ЦК ВКП(б) тов. Маленкову Г.М.</w:t>
      </w:r>
    </w:p>
    <w:p w14:paraId="3E2D39CB"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153 НКАП за годы Великой Отечественной войны развился в крупнейший самолетостроительный завод страны. Еще в июне месяце 1944 года он достиг рекордной цифры выпуска самолетов — 20 единиц в сутки и удерживает эту производительность по настоящее время.</w:t>
      </w:r>
    </w:p>
    <w:p w14:paraId="680EF470"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20 месяцев подряд ему присуждается знамя ГКО. Основной тип машины ЯК-9 с ВК-105ПФ, вооруженный пушкой МП-20, вытесняется постепенно машиной ЯК-9 с ВК-107А.</w:t>
      </w:r>
    </w:p>
    <w:p w14:paraId="20C468C5"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Наряду с этим, завод выпускает следующие модификации самолета ЯК-9 с ВК-105ПФ: истребитель с пушкой 37 мм, истребитель дальнего сопровождения, истребитель ПВО, истребитель с пушкой 45 мм. Кроме того, в стадии освоения находится истребитель, вооруженный тремя пушками. Каждая из этих модификаций существенно отличается от основной машины (с МП-20).</w:t>
      </w:r>
    </w:p>
    <w:p w14:paraId="29F41F9D"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при общем количестве наименований деталей, входящих в машину с пушкой МП-20 (без нормалей),- 7 883 в модификации входят следующие количества наименований отличных деталей: в истребитель с пушкой 37 мм — 789 наименований, истребитель дальнего сопровождения - 1 278 наименований, истребитель ПВО - 419 наименований, истребитель с пушкой 45 мм — 799 наименований, истребитель с мотором ВК-107А — 5 005 наименований.</w:t>
      </w:r>
    </w:p>
    <w:p w14:paraId="156D9FE8"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этого на заводе выпускается: фюзеляжей — три типа, крыльев — четыре типа, пушечных установок — пять типов, пулеметных установок — три типа, бензобаков — три типа, радиоустановок — три типа, пультов управления — три типа и т.д.</w:t>
      </w:r>
    </w:p>
    <w:p w14:paraId="299C40E7"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Только крупносерийный характер производства на заводе, основанный на принципах потока, может обеспечить сохранение достигнутого уровня выпуска. Многочисленность же типажа (6 типов), включенного в программу завода, превращает его в завод малых серий и дезорганизует ход производства. В силу этого, а также потому, что каждая из модификаций, выпускаемых заводом, превышает по трудоемкости на 15—40% основной тип — завод испытывает серьезные трудности, могущие привести к срыву графика.</w:t>
      </w:r>
    </w:p>
    <w:p w14:paraId="6A72AB8B"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Поэтому Новосибирский обком ВКП(б) просит Вас рассмотреть вопрос о максимальном сокращении типажа машин, выпускаемых заводом № 153.</w:t>
      </w:r>
    </w:p>
    <w:p w14:paraId="4C2BD43A"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Секретарь Новосибирского обкома ВКП(б)</w:t>
      </w:r>
      <w:r w:rsidRPr="00070ADE">
        <w:rPr>
          <w:rFonts w:ascii="Times New Roman" w:hAnsi="Times New Roman"/>
          <w:color w:val="000000" w:themeColor="text1"/>
          <w:sz w:val="16"/>
          <w:szCs w:val="16"/>
        </w:rPr>
        <w:tab/>
        <w:t>М. Кулагин</w:t>
      </w:r>
    </w:p>
    <w:p w14:paraId="4879A204"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ГАНО. Ф. П—4. Оп. 9. Д. 12. Л. 14-15. Подлинник.</w:t>
      </w:r>
    </w:p>
    <w:p w14:paraId="7D495156"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Документ - один из экземпляров машинописной закладки, составлен на бланке Новосибирского </w:t>
      </w:r>
    </w:p>
    <w:p w14:paraId="00C240F0"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областного комитета ВКП(б), имеется квадратный делопроизводственный</w:t>
      </w:r>
    </w:p>
    <w:p w14:paraId="3741F1DB"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штамп с номером 532 и датой поступления: «13.V.1945 г.». В верхнем правом углу помета</w:t>
      </w:r>
    </w:p>
    <w:p w14:paraId="77E84103"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Кулагина: «т. Замчевский. Переговорите со мной. 30.IV» (23845).</w:t>
      </w:r>
    </w:p>
    <w:p w14:paraId="24130F52" w14:textId="77777777" w:rsidR="007F6E7B" w:rsidRPr="00070ADE" w:rsidRDefault="007F6E7B" w:rsidP="00B56F90">
      <w:pPr>
        <w:spacing w:after="0" w:line="240" w:lineRule="auto"/>
        <w:jc w:val="both"/>
        <w:rPr>
          <w:rFonts w:ascii="Times New Roman" w:hAnsi="Times New Roman"/>
          <w:color w:val="000000" w:themeColor="text1"/>
          <w:sz w:val="16"/>
          <w:szCs w:val="16"/>
        </w:rPr>
      </w:pPr>
    </w:p>
    <w:p w14:paraId="190556F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CE677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91E262" w14:textId="77777777" w:rsidR="005B7AF8" w:rsidRPr="00070ADE" w:rsidRDefault="005B7AF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г. С.И.Ветошкин и Дубовицкий (начальники 3-го главка НКВ и УЗПСВ ГАУ РККА, соответственно) направили на завод № 60 НКВ телеграмму, разрешавшую предприятию работать первые три дня в мае в счет выполнения апрельской программы. Когда Ветошкин и Дубовицкий давали КПК объяснения по этому поводу, выяснилось, что случай завода № 60 не единственный. Дубовицкий прямо заявил, что во избежании срыва плана и для обеспечения потребности войск УЗПСВ ГАУ совместно с 3-м главком НКВ давало согласие и для других заводов (18627).</w:t>
      </w:r>
    </w:p>
    <w:p w14:paraId="67A695F4" w14:textId="77777777" w:rsidR="005B7AF8" w:rsidRPr="00070ADE" w:rsidRDefault="005B7AF8" w:rsidP="00B56F90">
      <w:pPr>
        <w:spacing w:after="0" w:line="240" w:lineRule="auto"/>
        <w:jc w:val="both"/>
        <w:rPr>
          <w:rFonts w:ascii="Times New Roman" w:hAnsi="Times New Roman"/>
          <w:color w:val="000000" w:themeColor="text1"/>
          <w:sz w:val="16"/>
          <w:szCs w:val="16"/>
        </w:rPr>
      </w:pPr>
    </w:p>
    <w:p w14:paraId="7CD38E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г. был издан приказ НКТП об изго</w:t>
      </w:r>
      <w:r w:rsidRPr="00070ADE">
        <w:rPr>
          <w:rFonts w:ascii="Times New Roman" w:hAnsi="Times New Roman"/>
          <w:color w:val="000000" w:themeColor="text1"/>
          <w:sz w:val="16"/>
          <w:szCs w:val="16"/>
        </w:rPr>
        <w:softHyphen/>
        <w:t>товлении к 8 мая 1944 г. опытного образца самоходной установки с пуш</w:t>
      </w:r>
      <w:r w:rsidRPr="00070ADE">
        <w:rPr>
          <w:rFonts w:ascii="Times New Roman" w:hAnsi="Times New Roman"/>
          <w:color w:val="000000" w:themeColor="text1"/>
          <w:sz w:val="16"/>
          <w:szCs w:val="16"/>
        </w:rPr>
        <w:softHyphen/>
        <w:t>кой С-34 и проведении сравнительных испытаний самоходных устано</w:t>
      </w:r>
      <w:r w:rsidRPr="00070ADE">
        <w:rPr>
          <w:rFonts w:ascii="Times New Roman" w:hAnsi="Times New Roman"/>
          <w:color w:val="000000" w:themeColor="text1"/>
          <w:sz w:val="16"/>
          <w:szCs w:val="16"/>
        </w:rPr>
        <w:softHyphen/>
        <w:t>вок СУ-100, вооруженных 100-мм пушками Д-10С и С-34. Так как кон</w:t>
      </w:r>
      <w:r w:rsidRPr="00070ADE">
        <w:rPr>
          <w:rFonts w:ascii="Times New Roman" w:hAnsi="Times New Roman"/>
          <w:color w:val="000000" w:themeColor="text1"/>
          <w:sz w:val="16"/>
          <w:szCs w:val="16"/>
        </w:rPr>
        <w:softHyphen/>
        <w:t>струкция пушки С-34 не позволяла установить ее в корпус СУ-85 без су</w:t>
      </w:r>
      <w:r w:rsidRPr="00070ADE">
        <w:rPr>
          <w:rFonts w:ascii="Times New Roman" w:hAnsi="Times New Roman"/>
          <w:color w:val="000000" w:themeColor="text1"/>
          <w:sz w:val="16"/>
          <w:szCs w:val="16"/>
        </w:rPr>
        <w:softHyphen/>
        <w:t>щественных изменений последней, то по распоряжению НКВ и ГАУ РККА завод № 9 произвел частичные переделки пушки С-34 ЦАКБ. Эти изменения позволили осуществить ее монтаж в броневую рубку са</w:t>
      </w:r>
      <w:r w:rsidRPr="00070ADE">
        <w:rPr>
          <w:rFonts w:ascii="Times New Roman" w:hAnsi="Times New Roman"/>
          <w:color w:val="000000" w:themeColor="text1"/>
          <w:sz w:val="16"/>
          <w:szCs w:val="16"/>
        </w:rPr>
        <w:softHyphen/>
        <w:t>моходной установки СУ-85. Это были минимальные переделки, при ко</w:t>
      </w:r>
      <w:r w:rsidRPr="00070ADE">
        <w:rPr>
          <w:rFonts w:ascii="Times New Roman" w:hAnsi="Times New Roman"/>
          <w:color w:val="000000" w:themeColor="text1"/>
          <w:sz w:val="16"/>
          <w:szCs w:val="16"/>
        </w:rPr>
        <w:softHyphen/>
        <w:t>торых могла быть выполнена установка пушки с меньшими дефектами, чем без переделок. Полное устранение дефектов по существу приводило к изготовлению артиллерийского орудия, аналогичного орудию, специ</w:t>
      </w:r>
      <w:r w:rsidRPr="00070ADE">
        <w:rPr>
          <w:rFonts w:ascii="Times New Roman" w:hAnsi="Times New Roman"/>
          <w:color w:val="000000" w:themeColor="text1"/>
          <w:sz w:val="16"/>
          <w:szCs w:val="16"/>
        </w:rPr>
        <w:softHyphen/>
        <w:t>ально сконструированному заводом № 9 для этой самоходной установ</w:t>
      </w:r>
      <w:r w:rsidRPr="00070ADE">
        <w:rPr>
          <w:rFonts w:ascii="Times New Roman" w:hAnsi="Times New Roman"/>
          <w:color w:val="000000" w:themeColor="text1"/>
          <w:sz w:val="16"/>
          <w:szCs w:val="16"/>
        </w:rPr>
        <w:softHyphen/>
        <w:t>ки — пушке Д-10С. Новая САУ получила заводской индекс СУ-100-2 (10703).</w:t>
      </w:r>
    </w:p>
    <w:p w14:paraId="5B21D9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9950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г. было подготовлено ЗАКЛЮЧЕНИЕ КОМАНДУЮЩЕГО АРТИЛЛЕРИЕЙ КА КОМАНДУЮЩЕМУ БТ и МВ КА ПО РЕЗУЛЬТАТАМ СТРЕЛЬБ ИЗ 122-мм ТАНКОВОЙ ПУШКИ Д-25 И 100-мм ТАНКОВОЙ ПУШКИ Д-10 №620516</w:t>
      </w:r>
    </w:p>
    <w:p w14:paraId="60ADA6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Рассмотрев результаты сравнительных стрельб из 122-мм танковой пушки Д-25 и 100-мм тан</w:t>
      </w:r>
      <w:r w:rsidRPr="00070ADE">
        <w:rPr>
          <w:rFonts w:ascii="Times New Roman" w:hAnsi="Times New Roman"/>
          <w:color w:val="000000" w:themeColor="text1"/>
          <w:sz w:val="16"/>
          <w:szCs w:val="16"/>
        </w:rPr>
        <w:softHyphen/>
        <w:t>ковой пушки Д-10, ГАУ Красной Армии приходит к следующему заключению:</w:t>
      </w:r>
    </w:p>
    <w:p w14:paraId="00D59F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Скорострельность пушки Д-10 в три раза больше скорострельности пушки Д-25, что являет</w:t>
      </w:r>
      <w:r w:rsidRPr="00070ADE">
        <w:rPr>
          <w:rFonts w:ascii="Times New Roman" w:hAnsi="Times New Roman"/>
          <w:color w:val="000000" w:themeColor="text1"/>
          <w:sz w:val="16"/>
          <w:szCs w:val="16"/>
        </w:rPr>
        <w:softHyphen/>
        <w:t>ся значительным преимуществом пушки Д-10.</w:t>
      </w:r>
    </w:p>
    <w:p w14:paraId="1E4F02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100-мм пушка Д-10 имеет в настоящее время бронебойный снаряд недостаточной прочности, и поэтому не обеспечивает надежного пробития брони танка «Пантера» на дальности свыше 1200м.</w:t>
      </w:r>
    </w:p>
    <w:p w14:paraId="5826B5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Решение о введении на вооружение танка ИС 100-мм пушки Д-10 взамен 122-мм пушки Д-25 сле</w:t>
      </w:r>
      <w:r w:rsidRPr="00070ADE">
        <w:rPr>
          <w:rFonts w:ascii="Times New Roman" w:hAnsi="Times New Roman"/>
          <w:color w:val="000000" w:themeColor="text1"/>
          <w:sz w:val="16"/>
          <w:szCs w:val="16"/>
        </w:rPr>
        <w:softHyphen/>
        <w:t>дует отложить до надлежащей отработки 100-мм бронебойного снаряда и полуавтоматики пушки Д-10.</w:t>
      </w:r>
    </w:p>
    <w:p w14:paraId="601CA1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Вследствие того, что 100-мм пушка Д-10 и ее боеприпасы в уже существующем виде значитель</w:t>
      </w:r>
      <w:r w:rsidRPr="00070ADE">
        <w:rPr>
          <w:rFonts w:ascii="Times New Roman" w:hAnsi="Times New Roman"/>
          <w:color w:val="000000" w:themeColor="text1"/>
          <w:sz w:val="16"/>
          <w:szCs w:val="16"/>
        </w:rPr>
        <w:softHyphen/>
        <w:t>но мощнее 85-мм пушки Д-5, необходимо осуществить перевооружение артсамохода СУ-85 100-мм пушкой Д-10, для чего следует заказать установочную серию артсамоходов с пушкой Д-10, при из</w:t>
      </w:r>
      <w:r w:rsidRPr="00070ADE">
        <w:rPr>
          <w:rFonts w:ascii="Times New Roman" w:hAnsi="Times New Roman"/>
          <w:color w:val="000000" w:themeColor="text1"/>
          <w:sz w:val="16"/>
          <w:szCs w:val="16"/>
        </w:rPr>
        <w:softHyphen/>
        <w:t>готовлении которой исправить недостатки самохода и орудия, выявленные на испытаниях.</w:t>
      </w:r>
    </w:p>
    <w:p w14:paraId="456471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122-мм пушка Д-25 обеспечивает надежное пробитие лобовой брони танка «Пантера» на дальности несколько более 2000 м.</w:t>
      </w:r>
    </w:p>
    <w:p w14:paraId="3964BD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Бронебойный снаряд пушки обладает необходимой прочностью, а осколочно-фугасная грана</w:t>
      </w:r>
      <w:r w:rsidRPr="00070ADE">
        <w:rPr>
          <w:rFonts w:ascii="Times New Roman" w:hAnsi="Times New Roman"/>
          <w:color w:val="000000" w:themeColor="text1"/>
          <w:sz w:val="16"/>
          <w:szCs w:val="16"/>
        </w:rPr>
        <w:softHyphen/>
        <w:t>та большим эффектом осколочного и фугасного действия.</w:t>
      </w:r>
    </w:p>
    <w:p w14:paraId="68BE60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Впредь до отработки боеприпасов и материальной части пушки Д-10 необходимо 122-мм танко</w:t>
      </w:r>
      <w:r w:rsidRPr="00070ADE">
        <w:rPr>
          <w:rFonts w:ascii="Times New Roman" w:hAnsi="Times New Roman"/>
          <w:color w:val="000000" w:themeColor="text1"/>
          <w:sz w:val="16"/>
          <w:szCs w:val="16"/>
        </w:rPr>
        <w:softHyphen/>
        <w:t>вую пушку Д-25 иметь основным вооружением танка ИС.</w:t>
      </w:r>
    </w:p>
    <w:p w14:paraId="6A8AE2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Проведение опытных работ по созданию 122-мм унитарного патрона целесообразно, при этом нужно учесть, что для введения унитарного патрона к пушке Д-25 потребуется изменение каморы орудия, запасной части снаряда и гильзы.</w:t>
      </w:r>
    </w:p>
    <w:p w14:paraId="6D2239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и габариты унитарного 122-мм патрона будут затруднять работу заряжающего, что, безус</w:t>
      </w:r>
      <w:r w:rsidRPr="00070ADE">
        <w:rPr>
          <w:rFonts w:ascii="Times New Roman" w:hAnsi="Times New Roman"/>
          <w:color w:val="000000" w:themeColor="text1"/>
          <w:sz w:val="16"/>
          <w:szCs w:val="16"/>
        </w:rPr>
        <w:softHyphen/>
        <w:t>ловно, не позволит довести скорострельность пушки Д-25 до уровня 100-мм пушки Д-10.</w:t>
      </w:r>
    </w:p>
    <w:p w14:paraId="5506B9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Вне зависимости от результатов сравнительных стрельб из пушек Д-10 и Д-25, монтаж 100-мм пушек С-34 на танке и самоходе продолжать с последующим их испытанием.</w:t>
      </w:r>
    </w:p>
    <w:p w14:paraId="7E0757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артиллерией КА Главный маршал артиллерии Н. Воронов</w:t>
      </w:r>
    </w:p>
    <w:p w14:paraId="7AAB97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11359. Д. 490. Л. 37 - 38. Подлинник (11420).</w:t>
      </w:r>
    </w:p>
    <w:p w14:paraId="23E10F5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C16CC89" w14:textId="77777777" w:rsidR="005B7AF8" w:rsidRPr="00070ADE" w:rsidRDefault="005B7AF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на ГАЗ прошли первые испытания стрельбой СУ-57. Для постройки опытного образца машины была взята серийная СУ-76М с серийным номером 404855, выпущенная в апреле 1944 года. Всего произвели 25 выстрелов, из них 20 усиленным зарядом. На АНИОП с 1 по 4 мая произвели ещё 270 выстрелов, из них 107 на усиленном заряде. Кучность осколочно-фугасного снаряда признали удовлетворительной, а кучность бронебойно-трассирующего снаряда — неудовлетворительной. Это была проблема не САУ, а её пушки: похожие проблемы АНИОП отмечал и при испытании ЗИС-2 осенью 1943 года. Лучше оказались результаты стрельбой подкалиберным снарядом.</w:t>
      </w:r>
    </w:p>
    <w:p w14:paraId="61B15944" w14:textId="77777777" w:rsidR="005B7AF8" w:rsidRPr="00070ADE" w:rsidRDefault="005B7AF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Прицельная скорострельность достигла 10 выстрелов в минуту, а максимальная — до 15. Испытателям не понравились прицельные приспособления. СУ-76М получила не ЗИС-2, а ствол от неё: панорамный прицел от ЗИС-3, плохо подходивший для стрельбы по движущимся целям, остался на месте. Также не понравилось боевое отделение, частично открытое сзади и с боков.</w:t>
      </w:r>
    </w:p>
    <w:p w14:paraId="6BBA7A10" w14:textId="77777777" w:rsidR="005B7AF8" w:rsidRPr="00070ADE" w:rsidRDefault="005B7AF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Опытную САУ признали выдержавшей испытания, но требующей ряда переделок. Вместо панорамного прицела следовало поставить телескопический прицел 10-Т. Также нужно было установить электроспуск с кнопкой в рукоятке маховика подъёмного механизма и сделать боевое отделение полностью закрытым. Крышу требовалось изготовить из листов толщиной 5–8 мм, а борта и корму — 15 мм. В корме предусматривался двухстворчатый люк.</w:t>
      </w:r>
    </w:p>
    <w:p w14:paraId="6BE9BB62" w14:textId="77777777" w:rsidR="005B7AF8" w:rsidRPr="00070ADE" w:rsidRDefault="005B7AF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учётом этих требований КБ ГАЗ им. Молотова разработало второй вариант САУ. Вместо изготовления новой машины в июне 1944 года был переделан уже имеющийся образец. Наибольшие изменения претерпело боевое отделение, которое стало полностью закрытым. Боевая масса этой машины указывается такой же, как и СУ-76М, что выглядит сомнительно. Вероятнее всего, она выросла примерно на полтонны. Для улучшения обзорности в крыше появились перископические приборы наблюдения MK-IV. Переделка вооружения выполнялась в соответствии с полученным заданием (18098).</w:t>
      </w:r>
    </w:p>
    <w:p w14:paraId="00C69D4F" w14:textId="77777777" w:rsidR="005B7AF8" w:rsidRPr="00070ADE" w:rsidRDefault="005B7AF8" w:rsidP="00B56F90">
      <w:pPr>
        <w:spacing w:after="0" w:line="240" w:lineRule="auto"/>
        <w:jc w:val="both"/>
        <w:rPr>
          <w:rFonts w:ascii="Times New Roman" w:hAnsi="Times New Roman"/>
          <w:color w:val="000000" w:themeColor="text1"/>
          <w:sz w:val="16"/>
          <w:szCs w:val="16"/>
        </w:rPr>
      </w:pPr>
    </w:p>
    <w:p w14:paraId="203734AE"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апреля1944 г. прошли заводские испытания СУ-57 (24276).</w:t>
      </w:r>
    </w:p>
    <w:p w14:paraId="00ECC956" w14:textId="77777777" w:rsidR="007F6E7B" w:rsidRPr="00070ADE" w:rsidRDefault="007F6E7B" w:rsidP="00B56F90">
      <w:pPr>
        <w:spacing w:after="0" w:line="240" w:lineRule="auto"/>
        <w:jc w:val="both"/>
        <w:rPr>
          <w:rFonts w:ascii="Times New Roman" w:hAnsi="Times New Roman"/>
          <w:color w:val="000000" w:themeColor="text1"/>
          <w:sz w:val="16"/>
          <w:szCs w:val="16"/>
        </w:rPr>
      </w:pPr>
    </w:p>
    <w:p w14:paraId="5E8D992B" w14:textId="77777777" w:rsidR="00630135" w:rsidRPr="00070ADE" w:rsidRDefault="00630135"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30 апреля 1944 г. Постановлением ГОКО за N 5773 и приказом НКТП от 4 мая 1944 г. за № 289 заводу N 75 было предложено спроекти</w:t>
      </w:r>
      <w:r w:rsidRPr="00070ADE">
        <w:rPr>
          <w:rFonts w:ascii="Times New Roman" w:cs="Times New Roman"/>
          <w:color w:val="000000" w:themeColor="text1"/>
          <w:spacing w:val="0"/>
        </w:rPr>
        <w:softHyphen/>
        <w:t>ровать и изготовить опытные образцы быстро</w:t>
      </w:r>
      <w:r w:rsidRPr="00070ADE">
        <w:rPr>
          <w:rFonts w:ascii="Times New Roman" w:cs="Times New Roman"/>
          <w:color w:val="000000" w:themeColor="text1"/>
          <w:spacing w:val="0"/>
        </w:rPr>
        <w:softHyphen/>
        <w:t>ходного тягача средней массы для корпусной артиллерии. В соответствии с этим постанов</w:t>
      </w:r>
      <w:r w:rsidRPr="00070ADE">
        <w:rPr>
          <w:rFonts w:ascii="Times New Roman" w:cs="Times New Roman"/>
          <w:color w:val="000000" w:themeColor="text1"/>
          <w:spacing w:val="0"/>
        </w:rPr>
        <w:softHyphen/>
        <w:t>лением отделом главного конструктора заво</w:t>
      </w:r>
      <w:r w:rsidRPr="00070ADE">
        <w:rPr>
          <w:rFonts w:ascii="Times New Roman" w:cs="Times New Roman"/>
          <w:color w:val="000000" w:themeColor="text1"/>
          <w:spacing w:val="0"/>
        </w:rPr>
        <w:softHyphen/>
        <w:t>да был разработан технический проект тягача АТ-К («Артиллерийский тягач, корпусной») по тактико-техническим требованиям ГАУ КА. На тягаче АТ-К предполагалось установить двигатель мощностью 200 л.с., однако такие моторы в нашей стране тогда серийно не вы</w:t>
      </w:r>
      <w:r w:rsidRPr="00070ADE">
        <w:rPr>
          <w:rFonts w:ascii="Times New Roman" w:cs="Times New Roman"/>
          <w:color w:val="000000" w:themeColor="text1"/>
          <w:spacing w:val="0"/>
        </w:rPr>
        <w:softHyphen/>
        <w:t>пускались (15765).</w:t>
      </w:r>
    </w:p>
    <w:p w14:paraId="7939ECAC" w14:textId="77777777" w:rsidR="00630135" w:rsidRPr="00070ADE" w:rsidRDefault="00630135" w:rsidP="00B56F90">
      <w:pPr>
        <w:pStyle w:val="27"/>
        <w:shd w:val="clear" w:color="auto" w:fill="auto"/>
        <w:spacing w:after="0" w:line="240" w:lineRule="auto"/>
        <w:ind w:firstLine="0"/>
        <w:rPr>
          <w:rFonts w:ascii="Times New Roman" w:cs="Times New Roman"/>
          <w:color w:val="000000" w:themeColor="text1"/>
          <w:spacing w:val="0"/>
        </w:rPr>
      </w:pPr>
    </w:p>
    <w:p w14:paraId="3E3976EC" w14:textId="77777777" w:rsidR="00630135" w:rsidRPr="00070ADE" w:rsidRDefault="006301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в 1944 году распоряжением СНК СССР был организован Научно-исследовательский институт прикладной геофизики по разработке вопросов теории, техники и методики геофизической разведки нефтяных месторождений (ныне Всероссийский НИИ геофизических методов разведки – ВНИИГеофизика, город Москва). Было положено начало подготовке специалистов по геофизическим методам разведки полезных ископаемых в крупнейших государственных университетах страны (15115).</w:t>
      </w:r>
    </w:p>
    <w:p w14:paraId="3D942010" w14:textId="77777777" w:rsidR="00630135" w:rsidRPr="00070ADE" w:rsidRDefault="00630135" w:rsidP="00B56F90">
      <w:pPr>
        <w:spacing w:after="0" w:line="240" w:lineRule="auto"/>
        <w:jc w:val="both"/>
        <w:rPr>
          <w:rFonts w:ascii="Times New Roman" w:hAnsi="Times New Roman"/>
          <w:color w:val="000000" w:themeColor="text1"/>
          <w:sz w:val="16"/>
          <w:szCs w:val="16"/>
        </w:rPr>
      </w:pPr>
    </w:p>
    <w:p w14:paraId="769EE7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Распоряжение ГКО № 5756. О неотложном ремонте основного оборудования электростанций в дни 1 и 2 мая 1944 г. РГАНИР, Фонд ГКО, д. 246, лл. 174-175 (11012).</w:t>
      </w:r>
    </w:p>
    <w:p w14:paraId="4935EC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4D15B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5757 О восстановлении доменной печи № 2 Ново-Тагильского металлургического завода Наркомчермета. РГАНИР, Фонд ГКО, д. 246, лл. 176-180,181-183 (11012).</w:t>
      </w:r>
    </w:p>
    <w:p w14:paraId="5EC0B83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268E2E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5758 Об обеспечении водородом частей аэростатного заграждения г. Ленинграда. (7224, 184-186,187-188).</w:t>
      </w:r>
    </w:p>
    <w:p w14:paraId="2CD4F96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71B81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Распоряжение ГКО № 5760. О дополнительных поставках дизельного топлива для восстановления Криворожского бассейна. РГАНИР, Фонд ГКО, д. 246, лл. 191 (11012).</w:t>
      </w:r>
    </w:p>
    <w:p w14:paraId="02AF4C7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A15B8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Распоряжение ГКО № 5761. О материально-техническом обеспечении Красноусольского стекольного завода. РГАНИР, Фонд ГКО, д. 246, лл. 192 (11012).</w:t>
      </w:r>
    </w:p>
    <w:p w14:paraId="4E4712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79A2D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Распоряжение ГКО № 5762. О передаче выпарной установки с Докшукинского ацетонового завода НКПП на Балахнинский экстрактовый завод "Дубитель" НКЛП. РГАНИР, Фонд ГКО, д. 246, лл. 193 (11012).</w:t>
      </w:r>
    </w:p>
    <w:p w14:paraId="10E1F0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6C36A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Распоряжение ГКО № 5763. О передаче заводу № 125 НКАП 100 заключенных Подольского лагеря № 174 НКВРГАНИР, Фонд ГКО, д. РГАНИР, Фонд ГКО, д. 246, лл. 194 (11012).</w:t>
      </w:r>
    </w:p>
    <w:p w14:paraId="51D5F4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80D8DA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Распоряжение ГКО № 5764. О направлении 200 военнообязанных, не годных к строевой службе, в т.ч. 5 электросварщиков и 40 слесарей, на ТЭЦ Ново-Тагильского металлургического завода. РГАНИР, Фонд ГКО, д. 246, лл. 195 (11012).</w:t>
      </w:r>
    </w:p>
    <w:p w14:paraId="5AFFF3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833C3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Распоряжение ГКО № 5765. О строительстве линии электропередачи для обеспечения электроэнергией Калязина и Кашина Калининской обл. РГАНИР, Фонд ГКО, д. 246, лл. 196-197 (11012).</w:t>
      </w:r>
    </w:p>
    <w:p w14:paraId="64D4AB2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DB714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Распоряжение ГКО № 5766. О выделении 1 тыс. военнообязанных на постоянную работу на Сегежский целлюлозно-бумажный комбинат. РГАНИР, Фонд ГКО, д. 246, лл. 198 (11012).</w:t>
      </w:r>
    </w:p>
    <w:p w14:paraId="03A396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5D10E9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30 апреля 1944 вышло Распоряжение ГКО № 5767. О производстве и поставках оборудования Гомельской электростанции. РГАНИР, Фонд ГКО, д. 246, лл. 199 (11012). </w:t>
      </w:r>
    </w:p>
    <w:p w14:paraId="302A17F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9E544E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5768 О развитии добычи торфа в Удмуртской АССР для заводов Наркомвооружения. (7224, 200-201).</w:t>
      </w:r>
    </w:p>
    <w:p w14:paraId="4B912F4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CF9D1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5769 О сохранении весовых характеристик бронекатеров ВМФ в связи с вооружением их 85 мм пушкой. РГАНИР, Фонд ГКО, д. 246, лл. 202 (11012).</w:t>
      </w:r>
    </w:p>
    <w:p w14:paraId="06C9930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E1B5FE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5770 О строительстве нового газопровода Курдюм-Елшанка и о подаче газа с Курдюмского месторождения в гор. Саратов. РГАНИР, Фонд ГКО, д. 246, лл. 203 (11012).</w:t>
      </w:r>
    </w:p>
    <w:p w14:paraId="7B3BA0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986385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5771 О выделении 30 тыс. военнослужащих ДВФ на период сенокошения и уборки урожая. РГАНИР, Фонд ГКО, д. 246, лл. 204 (11012).</w:t>
      </w:r>
    </w:p>
    <w:p w14:paraId="6D2CF54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0CA155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Распоряжение ГКО № 5772. О комиссии по разработке предложений о дополнительном производстве 700-1000 моторов к комбайнам до 15 августа 1944 г. РГАНИР, Фонд ГКО, д. 246, лл. 205 (11012).</w:t>
      </w:r>
    </w:p>
    <w:p w14:paraId="13A234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0C02B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5773 Об изготовлении образцов артиллерийских тягачей. РГАНИР, Фонд ГКО, д. 246, лл. 206-207 (11012).</w:t>
      </w:r>
    </w:p>
    <w:p w14:paraId="7751CB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7F9E7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5774 О неотложных мерах по обеспечению восстановления заводов № 9 и 53 Наркомбоеприпасов в гор. Шостка (УССР). РГАНИР, Фонд ГКО, д. 246, лл. 208-216,217-232 (11012).</w:t>
      </w:r>
    </w:p>
    <w:p w14:paraId="693EF4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F34AA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5775 О восстановлении Винницкого и Одесского суперфосфатных заводов Наркомхимпрома. РГАНИР, Фонд ГКО, д. 247, лл. 1-4 (11012).</w:t>
      </w:r>
    </w:p>
    <w:p w14:paraId="126EAE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B3650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5776 О строительстве в 1944 году хранилищ для свежих овощей и картофеля и дошников для квашения овощей. РГАНИР, Фонд ГКО, д. 247, лл. 5-7 (11012).</w:t>
      </w:r>
    </w:p>
    <w:p w14:paraId="2DBD71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7C0454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5777 О ремонте танков и танковых моторов на ленинградских заводах во II квартале 1944 года. РГАНИР, Фонд ГКО, д. 247, лл. 8-11,12-15 (11012).</w:t>
      </w:r>
    </w:p>
    <w:p w14:paraId="062FBA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01828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Распоряжение ГКО № 5778. Об изменении плана производства запасных частей на ХТЗ и заводе "XX лет Октября" НКСМ. РГАНИР, Фонд ГКО, д. 247, лл. 16,17 (11012).</w:t>
      </w:r>
    </w:p>
    <w:p w14:paraId="69DE56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1A100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Распоряжение ГКО № 5779. О мерах помощи по восстановлению торфопредприятий местной топливной промышленности УССР и обеспечению их работы в торфяном сезоне 1944 г. РГАНИР, Фонд ГКО, д. 247, лл. 18-19,20 (11012).</w:t>
      </w:r>
    </w:p>
    <w:p w14:paraId="68A550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905D8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5780 О создании собственной продовольственной базы Челябинской ТЭЦ НКЭС. РГАНИР, Фонд ГКО, д. 247, лл. 21,22-23 (11012).</w:t>
      </w:r>
    </w:p>
    <w:p w14:paraId="604650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49356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5781 № 5781 О неотложных мерах помощи строительству ТЭЦ Березниковского магниевого завода Наркомцветмета. РГАНИР, Фонд ГКО, д. 247, лл. 24-31,32-35 (11012).</w:t>
      </w:r>
    </w:p>
    <w:p w14:paraId="235D99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8DF09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Распоряжение ГКО № 5782. Об обеспечении асбоцементными трубами нефтяной и газодобывающей промышленности в 1944 г. РГАНИР, Фонд ГКО, д. 247, лл. 36-38,39-43 (11012).</w:t>
      </w:r>
    </w:p>
    <w:p w14:paraId="7F7B5A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A5716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5783 О плане производства продукции по Уралмашзаводу Наркомтанкопрома на II квартал 1944 г. РГАНИР, Фонд ГКО, д. 247, лл. 44-46,47-50 (11012).</w:t>
      </w:r>
    </w:p>
    <w:p w14:paraId="3A1691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ECC75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5784 Об обеспечении Вишерского целлюлозно-бумажного комбината Наркомбумпрома химикатами, производственными материалами, горючим, промышленными и продовольственными товарами. РГАНИР, Фонд ГКО, д. 247, лл. 51-55,56-58 (11012).</w:t>
      </w:r>
    </w:p>
    <w:p w14:paraId="54D0A0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29DC2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5785 Об обеспечении работы правительственной ВЧ связи НКВД СССР. РГАНИР, Фонд ГКО, д. 247, лл. 59-61,62-67 (11012).</w:t>
      </w:r>
    </w:p>
    <w:p w14:paraId="593F69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0B1195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30 апреля 1944 вышло Постановление ГКО № 5786 О перебазировании опытно-экспериментального завода ВНИИПТМаша Наркомтяжмаша и передаче его помещений Управлению оборонительного строительства КА. (7225, 68-70).</w:t>
      </w:r>
    </w:p>
    <w:p w14:paraId="5526E0B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87EE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5787 Об увеличении производства нормальных осветительных электрических ламп на заводах Наркомата электропромышленности. РГАНИР, Фонд ГКО, д. 247, лл. 71-78 (11012).</w:t>
      </w:r>
    </w:p>
    <w:p w14:paraId="2CCBED4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65BC4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5788 О расширении производства тяжелых понтонно-переправочных средств для Красной Армии на заводе № 342 НКСП. РГАНИР, Фонд ГКО, д. 247, лл. 79-83,84-90 (11012).</w:t>
      </w:r>
    </w:p>
    <w:p w14:paraId="29864D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065B7E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5789 Об общем плане перевозок грузов по железнодорожному и водному транспорту на май 1944 г. (7225, 91).</w:t>
      </w:r>
    </w:p>
    <w:p w14:paraId="794C0D1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9F7A8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5790 О плане перевозок народнохозяйственных грузов по железнодорожному и водному транспорту на май 1944 г. (7226, 1-6,7-203).</w:t>
      </w:r>
    </w:p>
    <w:p w14:paraId="022C966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922B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5791 О подготовке комбайнов и других уборочных машин в МТС, совхозах и колхозах к уборке урожая 1944 года и о материально-техническом обеспечении сельского хозяйства во II квартале 1944 года. РГАНИР, Фонд ГКО, д. 249, лл. 1-17,18-39 (11012).</w:t>
      </w:r>
    </w:p>
    <w:p w14:paraId="19A94C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EF6EF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5792 О мероприятиях по обеспечению строительства и ввода в действие Ферганского гидролизного завода Главлесоспирта. РГАНИР, Фонд ГКО, д. 249, лл. 40-45,46-68 (11012).</w:t>
      </w:r>
    </w:p>
    <w:p w14:paraId="324D07A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02C417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5793 Об организации производства металлорежущих станков, прессов и электросварочного оборудования на заводах Наркомминвооружения. (7227, 69-73,74-85).</w:t>
      </w:r>
    </w:p>
    <w:p w14:paraId="4CD84A9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B312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Постановление ГКО № 5794 О материально-техническом обеспечении предприятий Наркомата электропромышленности во II квартале 1944 года. РГАНИР, Фонд ГКО, д. 249, лл. 86-92,93-134 (11012).</w:t>
      </w:r>
    </w:p>
    <w:p w14:paraId="10E110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53777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года вышло постановление Правительства об организации ЦКБ по станкостроению НКМВ для разработки новых конструкций специальных операционных, агрегатных, а также универсальных станков, не производимых НК станкостроения (8661).</w:t>
      </w:r>
    </w:p>
    <w:p w14:paraId="5BDF17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9915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года Приказом НКБ № 448 на базе Ленинградского филиала ЦКБ № 22 был организован завод № 323 (10118).</w:t>
      </w:r>
    </w:p>
    <w:p w14:paraId="43D351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EBECCF" w14:textId="00F019B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30 апреля 1944 «Совет по радиолокации при ГКО писал за №№</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0448, 0449, 0450, 0451, 0452, 0453, 0454, 0455</w:t>
      </w:r>
    </w:p>
    <w:p w14:paraId="21E8743A"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Народному комиссару электропромышленности КАБАНОВУ</w:t>
      </w:r>
    </w:p>
    <w:p w14:paraId="6DBFA34B"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Направляется:</w:t>
      </w:r>
    </w:p>
    <w:p w14:paraId="6BE8665C" w14:textId="12D052C2"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а)</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Докладная записка о пребывании м-ра Эллиса.</w:t>
      </w:r>
    </w:p>
    <w:p w14:paraId="4DABC9D6" w14:textId="6EA62F00"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б)</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Докладная записка о посещении м-ром Эллисом НИИ-10 в Москве.</w:t>
      </w:r>
    </w:p>
    <w:p w14:paraId="526AFEAB" w14:textId="4A555B16"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в)</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Краткое содержание сообщения м-ра Эллиса по радиолокационной аппаратуре во время переговоров на заводе №</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339.</w:t>
      </w:r>
    </w:p>
    <w:p w14:paraId="6DB8BD7C" w14:textId="19BED7F2"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г)</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Краткое содержание доклада на тему «История развития и современного военные приложения радиолокации».</w:t>
      </w:r>
    </w:p>
    <w:p w14:paraId="634A364E" w14:textId="452437DF"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д)</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Краткое содержание доклада на тему «Радиопромышленность США, ее история и состояние в мирное и военное время».</w:t>
      </w:r>
    </w:p>
    <w:p w14:paraId="31123CB5" w14:textId="676F07C1"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е)</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Краткое содержание доклада на тему «Обзор общего размаха военного производства в США».</w:t>
      </w:r>
    </w:p>
    <w:p w14:paraId="23AFB496" w14:textId="27C93889"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ж)</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Отчет о посещении м-ром Эллисом завода №</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617.</w:t>
      </w:r>
    </w:p>
    <w:p w14:paraId="26AFA740" w14:textId="68281911"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г)</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Протокол совещания на заводе №</w:t>
      </w:r>
      <w:r w:rsidR="00B643A8" w:rsidRPr="00070ADE">
        <w:rPr>
          <w:rFonts w:ascii="Times New Roman" w:hAnsi="Times New Roman"/>
          <w:iCs/>
          <w:color w:val="000000" w:themeColor="text1"/>
          <w:sz w:val="16"/>
          <w:szCs w:val="16"/>
        </w:rPr>
        <w:t xml:space="preserve"> </w:t>
      </w:r>
      <w:r w:rsidRPr="00070ADE">
        <w:rPr>
          <w:rFonts w:ascii="Times New Roman" w:hAnsi="Times New Roman"/>
          <w:iCs/>
          <w:color w:val="000000" w:themeColor="text1"/>
          <w:sz w:val="16"/>
          <w:szCs w:val="16"/>
        </w:rPr>
        <w:t>208 с м-ром Эллисом.</w:t>
      </w:r>
    </w:p>
    <w:p w14:paraId="3BB0040A" w14:textId="77777777"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Заместитель председателя Совета инженер-вице-адмирал БЕРГ».</w:t>
      </w:r>
    </w:p>
    <w:p w14:paraId="6A97B98A" w14:textId="42219578" w:rsidR="00476D5F" w:rsidRPr="00070ADE" w:rsidRDefault="00476D5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Делегацию сопровождал И.С. Джигит, и перечисленные в письме документы составлены им. В НИИ-10. Были продемонстрированы образцы отечественных магнетронов, на заводе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339 НКАП – производство радиолокационных станций «Пегматит» (15736).</w:t>
      </w:r>
    </w:p>
    <w:p w14:paraId="59B5CF07" w14:textId="77777777" w:rsidR="00476D5F" w:rsidRPr="00070ADE" w:rsidRDefault="00476D5F" w:rsidP="00B56F90">
      <w:pPr>
        <w:spacing w:after="0" w:line="240" w:lineRule="auto"/>
        <w:jc w:val="both"/>
        <w:rPr>
          <w:rFonts w:ascii="Times New Roman" w:hAnsi="Times New Roman"/>
          <w:color w:val="000000" w:themeColor="text1"/>
          <w:sz w:val="16"/>
          <w:szCs w:val="16"/>
        </w:rPr>
      </w:pPr>
    </w:p>
    <w:p w14:paraId="2ED42E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Балтийцы заложили на стапеле первые два ТЩ типа МТ-2. Завершен ремонт БМО с бортовым номером 504 (начат 12.ХП 1943 г.) (10671).</w:t>
      </w:r>
    </w:p>
    <w:p w14:paraId="1D1A71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A6EF55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DC684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E5BFFA" w14:textId="77777777" w:rsidR="00630135" w:rsidRPr="00070ADE" w:rsidRDefault="006301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в 1944 году оперативная сводка Совинформбюро:</w:t>
      </w:r>
    </w:p>
    <w:p w14:paraId="1002B1CA" w14:textId="77777777" w:rsidR="00630135" w:rsidRPr="00070ADE" w:rsidRDefault="006301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30 апреля на фронтах существенных изменений не произошло.</w:t>
      </w:r>
    </w:p>
    <w:p w14:paraId="526B4F4C" w14:textId="77777777" w:rsidR="00630135" w:rsidRPr="00070ADE" w:rsidRDefault="006301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29 апреля наши войска на всех фронтах подбили и уничтожили 37 немецких танков. В воздушных боях и огнём зенитной артиллерии сбито 50 самолётов противника.».</w:t>
      </w:r>
    </w:p>
    <w:p w14:paraId="79CE0A4C" w14:textId="77777777" w:rsidR="00630135" w:rsidRPr="00070ADE" w:rsidRDefault="006301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Бомбардировка нашей авиацией железнодорожного узла Идрица и аэродрома противника:</w:t>
      </w:r>
    </w:p>
    <w:p w14:paraId="706DF0D4" w14:textId="77777777" w:rsidR="00630135" w:rsidRPr="00070ADE" w:rsidRDefault="006301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30 апреля наша авиация дальнего действия бомбардировала железнодорожный узел Идрица и аэродром противника, находящийся в этом же районе. В момент налёта советских самолётов на железнодорожном узле было несколько воинских эшелонов противника, а на аэродроме — много немецких самолётов. В результате бомбардировки возникли большие пожары, сопровождавшиеся взрывами. Особенно крупный пожар и сильные взрывы наблюдением были отмечены в районеа эродрома.».</w:t>
      </w:r>
    </w:p>
    <w:p w14:paraId="44BCF285" w14:textId="77777777" w:rsidR="00630135" w:rsidRPr="00070ADE" w:rsidRDefault="006301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части Н-ского соединения, отбивая атаки противника местного значения, уничтожили 8 немецких танков и 2 самоходных орудия. На подступах к нашим позициям осталось до 300 вражеских трупов. В другом районе наши подразделения умелым манёвром обошли противника и заняли два населённых пункта. Взято в плен 150 венгерских солдат и офицеров.</w:t>
      </w:r>
    </w:p>
    <w:p w14:paraId="1FB0BBC0" w14:textId="77777777" w:rsidR="00630135" w:rsidRPr="00070ADE" w:rsidRDefault="006301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города Яссы противник атаковал наши позиции. Советские артиллеристы и миномётчики встретили немцев сосредоточенным огнём. Все атаки противника отбиты с большими для него потерями. На других участках наши части вели боевую разведку.</w:t>
      </w:r>
    </w:p>
    <w:p w14:paraId="5A1F69A6" w14:textId="77777777" w:rsidR="00630135" w:rsidRPr="00070ADE" w:rsidRDefault="006301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лётчики активными действиями подавляли огневые средства противникаи уничтожали его живую силу. В течение дня в воздушных боях сбито 33 немецких самолёта.</w:t>
      </w:r>
    </w:p>
    <w:p w14:paraId="0224E84A" w14:textId="77777777" w:rsidR="00630135" w:rsidRPr="00070ADE" w:rsidRDefault="006301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3-м Украинском фронте подразделение автоматчиков гвардии старшего лейтенанта Седченко прикрывало подступы к переправе через Днестр. Немцы напрягали все усилия, чтобы овладеть этой переправой. В течение дня они семь раз бросались в атаки. Наши автоматчики успешно отбили все атаки противника и истребили до 400 гитлеровцев.</w:t>
      </w:r>
    </w:p>
    <w:p w14:paraId="5CF01056" w14:textId="77777777" w:rsidR="00630135" w:rsidRPr="00070ADE" w:rsidRDefault="006301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Севастополя в отрытом море был обнаружен конвой противника в составе трёх транспортов, эсминца и торпедных катеров. Корабли Черноморского флота атаковали вражеские суда и потопили два транспорта противника.</w:t>
      </w:r>
    </w:p>
    <w:p w14:paraId="00AF8898" w14:textId="77777777" w:rsidR="00630135" w:rsidRPr="00070ADE" w:rsidRDefault="006301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Партизаны отрядов имени Суворова и имени Щорса, действующих в Львовской области, за семь дней пустили под откос 5 немецких воинских эшелонов. В результате крушений разбиты 5 паровозов и 38 вагонов. Убито и ранено до 400 немецких солдат и офицеров. 20 апреля группа партизан отряда имени Суворова заминировала железнодорожные пути. На мины наскочил бронепоезд противника. Паровоз, 8 бронеплатформ и броневагон слетели под откос.</w:t>
      </w:r>
    </w:p>
    <w:p w14:paraId="6917CF10" w14:textId="77777777" w:rsidR="00630135" w:rsidRPr="00070ADE" w:rsidRDefault="006301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Гитлеровцы и их румынские холопы всеми силами и средствами пытались восстановить мирное население румынских прифронтовых районов против Красной Армии. Немецко-румынские военные власти обязали мирных жителей эвакуироваться в тыл и уничтожить ценное имущество. Немцы и их агенты распространяли самую гнусную клевету, стараясь очернить Красную Армию в глазах румынского населения. Все дикие зверства, на которых немецко-фашистские мерзавцы набили себе руку, они пытались приписать советским войскам. На первых порах фашистская пропаганда имела некоторый успех среди части румын. Однако это продолжалось весьма недолго. Заявление Советского Правительства о том, что оно не преследует цели приобретения какой-либо части румынской территории или изменения существующего общественного строя Румынии, разоблачило фашистскую ложь. Жители румынских районов, занятых Красной Армией, воочию убедились, что немецкие провокаторы их нагло и подло обманули.</w:t>
      </w:r>
    </w:p>
    <w:p w14:paraId="516F7A38" w14:textId="77777777" w:rsidR="00630135" w:rsidRPr="00070ADE" w:rsidRDefault="006301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 сходке жителей деревни Фетешти крестьянин Василе Унгуряну заявил: «В первой мировой войне я, как и многие мои земляки, вместе срусскими сражался против немцев. Румынские крестьяне не хотели и не хотят воевать против России. Перед приходом Красной Армии немцы нас всячески запугивали и приказывали бежать в тыл. Теперь мы очень довольны, что остались на месте. От души благодарим Красную Армию за то, что она избавила нас от немецких грабителей и разбойников». В село Скобинции вернулись многие семьи, скрывавшиеся первое время в лесу. Крестьянин Трофим Думитру говорит: «Признаться, я со страхом ждал прихода русских. </w:t>
      </w:r>
      <w:r w:rsidRPr="00070ADE">
        <w:rPr>
          <w:rFonts w:ascii="Times New Roman" w:hAnsi="Times New Roman"/>
          <w:color w:val="000000" w:themeColor="text1"/>
          <w:sz w:val="16"/>
          <w:szCs w:val="16"/>
        </w:rPr>
        <w:lastRenderedPageBreak/>
        <w:t>Но все мои опасения рассеялись в первый же день. Русские солдаты и офицеры образцовым поведением завоевали всеобщее доверие и уважение». Жители деревни Берза рассказывают: «Перед отступлением немецкие и румынские военные власти нам говорили, что русские убивают стариков и женщин и варят из них мыло, бросают в огонь детей. Этому не особенно верили, но всё же мы со страхом ждали будущего. Теперь мы убедились, что немцы нас обманывали. Русские офицеры и красноармейцы относятся к нам очень хорошо». Крестьяне этой деревни Чертошин и Мартынюхи заявили: «Преступная война, начатая Гитлером, принесла румынскому народу страшные бедствия. Хорошо, что она приближается к концу. Мы знаем, что Германия будет разбита, и хотим, чтобы это произошло как можно скорее». Жители села Щербауцы во главе со священником Петро Попеску заявили о своей готовности оказывать Красной Армии посильную помощь в разгроме гитлеровской Германии.</w:t>
      </w:r>
    </w:p>
    <w:p w14:paraId="3CB0A0BE" w14:textId="77777777" w:rsidR="00630135" w:rsidRPr="00070ADE" w:rsidRDefault="006301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всех занятых советскими войсками румынских городах и сёлах жизнь вошла в свою обычную колею. Крестьяне уверенно обрабатывают своя поля. В городах идёт оживлённая торговля. Предприятия продолжают работу. В городе Ботошани и в других населённых пунктах священники отправляют церковную службу. Румынское население, особенно интеллигенция, проявляет большой интерес к советским кинокартинам и радиопередачам на румынском языке.» (15115).</w:t>
      </w:r>
    </w:p>
    <w:p w14:paraId="5F13702A" w14:textId="77777777" w:rsidR="00630135" w:rsidRPr="00070ADE" w:rsidRDefault="00630135" w:rsidP="00B56F90">
      <w:pPr>
        <w:spacing w:after="0" w:line="240" w:lineRule="auto"/>
        <w:jc w:val="both"/>
        <w:rPr>
          <w:rFonts w:ascii="Times New Roman" w:hAnsi="Times New Roman"/>
          <w:color w:val="000000" w:themeColor="text1"/>
          <w:sz w:val="16"/>
          <w:szCs w:val="16"/>
        </w:rPr>
      </w:pPr>
    </w:p>
    <w:p w14:paraId="07C2DE9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вышло Распоряжение ГКО № 5759 [О переводе из Миасса Челябинской обл. в Москву Первого гвардейского минометно-артиллерийского училища им. Красина.] (7224, 189-190).</w:t>
      </w:r>
    </w:p>
    <w:p w14:paraId="59E3015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B6DA9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25EDB6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8C2F0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 Ленинграде в Соляном городке открылась выставка Героическая оборона Ленинграда, преобразованная впоследствии в музей. Там был Ил-2 (3960, 169).</w:t>
      </w:r>
    </w:p>
    <w:p w14:paraId="3BF5AA2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8CE5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 Соляном городке открыта выставка "Героическая оборона Ленинграда", созданная по решению Военного совета Ленинградского фронта и горкома партии. Представлено около 10 тысяч экспонатов. Впоследствии выставка преобразована в Музей обороны Ленинграда. Однако история Музея Обороны Ленинграда оказалась крайне трагической: уже в 1948 году музей был разгромлен в угоду кремлевскому грузину. Сталину показалось, что Ленинград затмил своей героической славой столицу, а популярность руководителей Ленинграда угрожает самодержавной власти самого Сталина (10739).</w:t>
      </w:r>
    </w:p>
    <w:p w14:paraId="6A4178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CC7B8D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в СССР принято постановление о создании школ рабочей молодежи (4962).</w:t>
      </w:r>
    </w:p>
    <w:p w14:paraId="450AED2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39552D" w14:textId="77777777" w:rsidR="00630135"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5856EEB" w14:textId="77777777" w:rsidR="00630135" w:rsidRPr="00070ADE" w:rsidRDefault="00630135"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FD29D4" w14:textId="77777777" w:rsidR="00630135" w:rsidRPr="00070ADE" w:rsidRDefault="006301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в 1944 году французский опытный разведчик-бомбардировщик «Latecoere» «299A» сгорел в ангаре в результате налета союзной авиации, оставив Вернисса без испытательного стенда. Вот так прозаически закончилась жизнь «Latecoere 299», который вполне мог бы стать одним из массовых морских самолётов Франции (15115).</w:t>
      </w:r>
    </w:p>
    <w:p w14:paraId="6D3A788A" w14:textId="77777777" w:rsidR="00630135" w:rsidRPr="00070ADE" w:rsidRDefault="00630135" w:rsidP="00B56F90">
      <w:pPr>
        <w:spacing w:after="0" w:line="240" w:lineRule="auto"/>
        <w:jc w:val="both"/>
        <w:rPr>
          <w:rFonts w:ascii="Times New Roman" w:hAnsi="Times New Roman"/>
          <w:color w:val="000000" w:themeColor="text1"/>
          <w:sz w:val="16"/>
          <w:szCs w:val="16"/>
        </w:rPr>
      </w:pPr>
    </w:p>
    <w:p w14:paraId="772F2DC1" w14:textId="77777777" w:rsidR="00630135" w:rsidRPr="00070ADE" w:rsidRDefault="006301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в 1944 году передан на испытания прототип транспортного планера «XCG-10A» «Trojan Horse» (разработчик: «Laister-Kauffman», США). Испытания в полете закончились с положительными результатами и было решено начать серийное производство. Было начато строительство 10 предсерийных экземпляров планера под обозначением «YCG-10», из которых 6 было построено. Перед окончанием войны предполагалось построить 1000 штук планеров, которые должны были применяться против Японии (15115).</w:t>
      </w:r>
    </w:p>
    <w:p w14:paraId="67FB4D68" w14:textId="77777777" w:rsidR="00630135" w:rsidRPr="00070ADE" w:rsidRDefault="00630135" w:rsidP="00B56F90">
      <w:pPr>
        <w:spacing w:after="0" w:line="240" w:lineRule="auto"/>
        <w:jc w:val="both"/>
        <w:rPr>
          <w:rFonts w:ascii="Times New Roman" w:hAnsi="Times New Roman"/>
          <w:color w:val="000000" w:themeColor="text1"/>
          <w:sz w:val="16"/>
          <w:szCs w:val="16"/>
        </w:rPr>
      </w:pPr>
    </w:p>
    <w:p w14:paraId="78B386C5" w14:textId="77777777" w:rsidR="009127A0" w:rsidRPr="00070ADE" w:rsidRDefault="009127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1944, управляя OS2U-3 Kingfisher с линкора USS North Carolina (BB-55), лейтенант ВМС США Джон А. Бернс спасает 10 сбитых летчиков в лагуне Трук за один день, погрузив их на крылья своего гидросамолета и вырулив в сторону подводной лодки USS Tang (SS-306), которая берет их на борт (20373).</w:t>
      </w:r>
    </w:p>
    <w:p w14:paraId="1A4639FE" w14:textId="77777777" w:rsidR="009127A0" w:rsidRPr="00070ADE" w:rsidRDefault="009127A0" w:rsidP="00B56F90">
      <w:pPr>
        <w:spacing w:after="0" w:line="240" w:lineRule="auto"/>
        <w:jc w:val="both"/>
        <w:rPr>
          <w:rFonts w:ascii="Times New Roman" w:hAnsi="Times New Roman"/>
          <w:color w:val="000000" w:themeColor="text1"/>
          <w:sz w:val="16"/>
          <w:szCs w:val="16"/>
        </w:rPr>
      </w:pPr>
    </w:p>
    <w:p w14:paraId="132B73A8" w14:textId="77777777" w:rsidR="009127A0" w:rsidRPr="00070ADE" w:rsidRDefault="009127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апреля - 1 мая (ночь) 1944 399 британских бомбардировщиков нанесли удар по железнодорожным станциям в Сомене и Ашере, Франция, и складу боеприпасов Люфтваффе в Ментеноне, Франция, с потерей только одного самолета. Рейд на Somain не достигает цели, но два других удара успешны (20373).</w:t>
      </w:r>
    </w:p>
    <w:p w14:paraId="0500B838" w14:textId="77777777" w:rsidR="009127A0" w:rsidRPr="00070ADE" w:rsidRDefault="009127A0" w:rsidP="00B56F90">
      <w:pPr>
        <w:spacing w:after="0" w:line="240" w:lineRule="auto"/>
        <w:jc w:val="both"/>
        <w:rPr>
          <w:rFonts w:ascii="Times New Roman" w:hAnsi="Times New Roman"/>
          <w:color w:val="000000" w:themeColor="text1"/>
          <w:sz w:val="16"/>
          <w:szCs w:val="16"/>
        </w:rPr>
      </w:pPr>
    </w:p>
    <w:p w14:paraId="2ED5783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E7152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781D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апреля 1944 самолет Су-8 был перевезен на завод № 289 для ус</w:t>
      </w:r>
      <w:r w:rsidRPr="00070ADE">
        <w:rPr>
          <w:rFonts w:ascii="Times New Roman" w:hAnsi="Times New Roman"/>
          <w:color w:val="000000" w:themeColor="text1"/>
          <w:sz w:val="16"/>
          <w:szCs w:val="16"/>
        </w:rPr>
        <w:softHyphen/>
        <w:t>тановки вооружения. Первоначаль</w:t>
      </w:r>
      <w:r w:rsidRPr="00070ADE">
        <w:rPr>
          <w:rFonts w:ascii="Times New Roman" w:hAnsi="Times New Roman"/>
          <w:color w:val="000000" w:themeColor="text1"/>
          <w:sz w:val="16"/>
          <w:szCs w:val="16"/>
        </w:rPr>
        <w:softHyphen/>
        <w:t>но подфюзеляжную батарею ос</w:t>
      </w:r>
      <w:r w:rsidRPr="00070ADE">
        <w:rPr>
          <w:rFonts w:ascii="Times New Roman" w:hAnsi="Times New Roman"/>
          <w:color w:val="000000" w:themeColor="text1"/>
          <w:sz w:val="16"/>
          <w:szCs w:val="16"/>
        </w:rPr>
        <w:softHyphen/>
        <w:t>настили четырьмя пушками калибра 37 мм, которые затем в течение июня-июля заменили пушками калибра 45 мм. В августе в Ногинском филиале НИП АВ ВВС КА провели испыта</w:t>
      </w:r>
      <w:r w:rsidRPr="00070ADE">
        <w:rPr>
          <w:rFonts w:ascii="Times New Roman" w:hAnsi="Times New Roman"/>
          <w:color w:val="000000" w:themeColor="text1"/>
          <w:sz w:val="16"/>
          <w:szCs w:val="16"/>
        </w:rPr>
        <w:softHyphen/>
        <w:t>ние вооружения самолета. При отстреле подфюзеляжной батареи произошла деформация обшивки внутренних сторон мотогондол, что потребовало их усиления. Заводские летные испытания самолета Су-8, небольшими пере</w:t>
      </w:r>
      <w:r w:rsidRPr="00070ADE">
        <w:rPr>
          <w:rFonts w:ascii="Times New Roman" w:hAnsi="Times New Roman"/>
          <w:color w:val="000000" w:themeColor="text1"/>
          <w:sz w:val="16"/>
          <w:szCs w:val="16"/>
        </w:rPr>
        <w:softHyphen/>
        <w:t>рывами для доработок и устране</w:t>
      </w:r>
      <w:r w:rsidRPr="00070ADE">
        <w:rPr>
          <w:rFonts w:ascii="Times New Roman" w:hAnsi="Times New Roman"/>
          <w:color w:val="000000" w:themeColor="text1"/>
          <w:sz w:val="16"/>
          <w:szCs w:val="16"/>
        </w:rPr>
        <w:softHyphen/>
        <w:t>ния неисправностей, продолжались до весны 1945 года. На государ</w:t>
      </w:r>
      <w:r w:rsidRPr="00070ADE">
        <w:rPr>
          <w:rFonts w:ascii="Times New Roman" w:hAnsi="Times New Roman"/>
          <w:color w:val="000000" w:themeColor="text1"/>
          <w:sz w:val="16"/>
          <w:szCs w:val="16"/>
        </w:rPr>
        <w:softHyphen/>
        <w:t>ственные испытания самолет не передавался. После окончания войны интерес к штурмовику Су-8 пропал.</w:t>
      </w:r>
    </w:p>
    <w:p w14:paraId="5722A8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Бронированный штурмовик Су-8 с двумя двигателями М-71Ф, пред</w:t>
      </w:r>
      <w:r w:rsidRPr="00070ADE">
        <w:rPr>
          <w:rFonts w:ascii="Times New Roman" w:hAnsi="Times New Roman"/>
          <w:color w:val="000000" w:themeColor="text1"/>
          <w:sz w:val="16"/>
          <w:szCs w:val="16"/>
        </w:rPr>
        <w:softHyphen/>
        <w:t>назначенный «для действий по мо-томехчастям и живой силе против</w:t>
      </w:r>
      <w:r w:rsidRPr="00070ADE">
        <w:rPr>
          <w:rFonts w:ascii="Times New Roman" w:hAnsi="Times New Roman"/>
          <w:color w:val="000000" w:themeColor="text1"/>
          <w:sz w:val="16"/>
          <w:szCs w:val="16"/>
        </w:rPr>
        <w:softHyphen/>
        <w:t>ника», представлял собой моноплан смешанной конструкции со средне-расположенным крылом, двухкиле-вым разнесенным хвостовым опе</w:t>
      </w:r>
      <w:r w:rsidRPr="00070ADE">
        <w:rPr>
          <w:rFonts w:ascii="Times New Roman" w:hAnsi="Times New Roman"/>
          <w:color w:val="000000" w:themeColor="text1"/>
          <w:sz w:val="16"/>
          <w:szCs w:val="16"/>
        </w:rPr>
        <w:softHyphen/>
        <w:t>рением и трехколесным убираю</w:t>
      </w:r>
      <w:r w:rsidRPr="00070ADE">
        <w:rPr>
          <w:rFonts w:ascii="Times New Roman" w:hAnsi="Times New Roman"/>
          <w:color w:val="000000" w:themeColor="text1"/>
          <w:sz w:val="16"/>
          <w:szCs w:val="16"/>
        </w:rPr>
        <w:softHyphen/>
        <w:t>щимся шасси.</w:t>
      </w:r>
    </w:p>
    <w:p w14:paraId="67B5AE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Фюзеляж овального сечения тех</w:t>
      </w:r>
      <w:r w:rsidRPr="00070ADE">
        <w:rPr>
          <w:rFonts w:ascii="Times New Roman" w:hAnsi="Times New Roman"/>
          <w:color w:val="000000" w:themeColor="text1"/>
          <w:sz w:val="16"/>
          <w:szCs w:val="16"/>
        </w:rPr>
        <w:softHyphen/>
        <w:t>нологически делился на три части: носовая часть была выполнена це</w:t>
      </w:r>
      <w:r w:rsidRPr="00070ADE">
        <w:rPr>
          <w:rFonts w:ascii="Times New Roman" w:hAnsi="Times New Roman"/>
          <w:color w:val="000000" w:themeColor="text1"/>
          <w:sz w:val="16"/>
          <w:szCs w:val="16"/>
        </w:rPr>
        <w:softHyphen/>
        <w:t>ликом из броневой стали, средняя часть была дюралевой, а хвостовая - полумонокок с деревянным набором и фанерной обшивкой.</w:t>
      </w:r>
    </w:p>
    <w:p w14:paraId="3FEAF0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Крыло - свободнонесущее тра</w:t>
      </w:r>
      <w:r w:rsidRPr="00070ADE">
        <w:rPr>
          <w:rFonts w:ascii="Times New Roman" w:hAnsi="Times New Roman"/>
          <w:color w:val="000000" w:themeColor="text1"/>
          <w:sz w:val="16"/>
          <w:szCs w:val="16"/>
        </w:rPr>
        <w:softHyphen/>
        <w:t>пециевидной формы в плане, состо</w:t>
      </w:r>
      <w:r w:rsidRPr="00070ADE">
        <w:rPr>
          <w:rFonts w:ascii="Times New Roman" w:hAnsi="Times New Roman"/>
          <w:color w:val="000000" w:themeColor="text1"/>
          <w:sz w:val="16"/>
          <w:szCs w:val="16"/>
        </w:rPr>
        <w:softHyphen/>
        <w:t>яло из центроплана и двух отъем</w:t>
      </w:r>
      <w:r w:rsidRPr="00070ADE">
        <w:rPr>
          <w:rFonts w:ascii="Times New Roman" w:hAnsi="Times New Roman"/>
          <w:color w:val="000000" w:themeColor="text1"/>
          <w:sz w:val="16"/>
          <w:szCs w:val="16"/>
        </w:rPr>
        <w:softHyphen/>
        <w:t>ных консолей. Центроплан - цель</w:t>
      </w:r>
      <w:r w:rsidRPr="00070ADE">
        <w:rPr>
          <w:rFonts w:ascii="Times New Roman" w:hAnsi="Times New Roman"/>
          <w:color w:val="000000" w:themeColor="text1"/>
          <w:sz w:val="16"/>
          <w:szCs w:val="16"/>
        </w:rPr>
        <w:softHyphen/>
        <w:t>нометаллический, консоли однолон-жеронной конструкции с дополни</w:t>
      </w:r>
      <w:r w:rsidRPr="00070ADE">
        <w:rPr>
          <w:rFonts w:ascii="Times New Roman" w:hAnsi="Times New Roman"/>
          <w:color w:val="000000" w:themeColor="text1"/>
          <w:sz w:val="16"/>
          <w:szCs w:val="16"/>
        </w:rPr>
        <w:softHyphen/>
        <w:t>тельной стенкой. Лонжерон и стен</w:t>
      </w:r>
      <w:r w:rsidRPr="00070ADE">
        <w:rPr>
          <w:rFonts w:ascii="Times New Roman" w:hAnsi="Times New Roman"/>
          <w:color w:val="000000" w:themeColor="text1"/>
          <w:sz w:val="16"/>
          <w:szCs w:val="16"/>
        </w:rPr>
        <w:softHyphen/>
        <w:t>ка - цельнометаллические, нервю</w:t>
      </w:r>
      <w:r w:rsidRPr="00070ADE">
        <w:rPr>
          <w:rFonts w:ascii="Times New Roman" w:hAnsi="Times New Roman"/>
          <w:color w:val="000000" w:themeColor="text1"/>
          <w:sz w:val="16"/>
          <w:szCs w:val="16"/>
        </w:rPr>
        <w:softHyphen/>
        <w:t>ры деревянные, обшивка фанерная. Профили крыла МАСА-230 большой относительной толщины. Механиза</w:t>
      </w:r>
      <w:r w:rsidRPr="00070ADE">
        <w:rPr>
          <w:rFonts w:ascii="Times New Roman" w:hAnsi="Times New Roman"/>
          <w:color w:val="000000" w:themeColor="text1"/>
          <w:sz w:val="16"/>
          <w:szCs w:val="16"/>
        </w:rPr>
        <w:softHyphen/>
        <w:t>ция крыла состояла из автомати</w:t>
      </w:r>
      <w:r w:rsidRPr="00070ADE">
        <w:rPr>
          <w:rFonts w:ascii="Times New Roman" w:hAnsi="Times New Roman"/>
          <w:color w:val="000000" w:themeColor="text1"/>
          <w:sz w:val="16"/>
          <w:szCs w:val="16"/>
        </w:rPr>
        <w:softHyphen/>
        <w:t>ческих предкрылков, элеронов и посадочных щитков.</w:t>
      </w:r>
    </w:p>
    <w:p w14:paraId="33228F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Хвостовое оперение - цельно</w:t>
      </w:r>
      <w:r w:rsidRPr="00070ADE">
        <w:rPr>
          <w:rFonts w:ascii="Times New Roman" w:hAnsi="Times New Roman"/>
          <w:color w:val="000000" w:themeColor="text1"/>
          <w:sz w:val="16"/>
          <w:szCs w:val="16"/>
        </w:rPr>
        <w:softHyphen/>
        <w:t>металлическое, рули обтянуты по</w:t>
      </w:r>
      <w:r w:rsidRPr="00070ADE">
        <w:rPr>
          <w:rFonts w:ascii="Times New Roman" w:hAnsi="Times New Roman"/>
          <w:color w:val="000000" w:themeColor="text1"/>
          <w:sz w:val="16"/>
          <w:szCs w:val="16"/>
        </w:rPr>
        <w:softHyphen/>
        <w:t>лотном.</w:t>
      </w:r>
    </w:p>
    <w:p w14:paraId="4FF753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Шасси - трехопорное с хвосто</w:t>
      </w:r>
      <w:r w:rsidRPr="00070ADE">
        <w:rPr>
          <w:rFonts w:ascii="Times New Roman" w:hAnsi="Times New Roman"/>
          <w:color w:val="000000" w:themeColor="text1"/>
          <w:sz w:val="16"/>
          <w:szCs w:val="16"/>
        </w:rPr>
        <w:softHyphen/>
        <w:t>вым колесом. Основные опоры с колесами 1200x450 убирались в мотогондолы по потоку. Хвостовая опора с колесом 600x250 убира</w:t>
      </w:r>
      <w:r w:rsidRPr="00070ADE">
        <w:rPr>
          <w:rFonts w:ascii="Times New Roman" w:hAnsi="Times New Roman"/>
          <w:color w:val="000000" w:themeColor="text1"/>
          <w:sz w:val="16"/>
          <w:szCs w:val="16"/>
        </w:rPr>
        <w:softHyphen/>
        <w:t>лась в фюзеляж по потоку. Система уборки и выпуска шасси — гидрав</w:t>
      </w:r>
      <w:r w:rsidRPr="00070ADE">
        <w:rPr>
          <w:rFonts w:ascii="Times New Roman" w:hAnsi="Times New Roman"/>
          <w:color w:val="000000" w:themeColor="text1"/>
          <w:sz w:val="16"/>
          <w:szCs w:val="16"/>
        </w:rPr>
        <w:softHyphen/>
        <w:t>лическая.</w:t>
      </w:r>
    </w:p>
    <w:p w14:paraId="5E496E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Система управления самолетом смешанного типа.</w:t>
      </w:r>
    </w:p>
    <w:p w14:paraId="421BF5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Силовая установка состояла из двух двигателей воздушного охлаж-</w:t>
      </w:r>
    </w:p>
    <w:p w14:paraId="459A72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дения М-71Ф, размещенных в мо</w:t>
      </w:r>
      <w:r w:rsidRPr="00070ADE">
        <w:rPr>
          <w:rFonts w:ascii="Times New Roman" w:hAnsi="Times New Roman"/>
          <w:color w:val="000000" w:themeColor="text1"/>
          <w:sz w:val="16"/>
          <w:szCs w:val="16"/>
        </w:rPr>
        <w:softHyphen/>
        <w:t>тогондолах. Топливные баки распо</w:t>
      </w:r>
      <w:r w:rsidRPr="00070ADE">
        <w:rPr>
          <w:rFonts w:ascii="Times New Roman" w:hAnsi="Times New Roman"/>
          <w:color w:val="000000" w:themeColor="text1"/>
          <w:sz w:val="16"/>
          <w:szCs w:val="16"/>
        </w:rPr>
        <w:softHyphen/>
        <w:t>лагались в мотогондолах и консо</w:t>
      </w:r>
      <w:r w:rsidRPr="00070ADE">
        <w:rPr>
          <w:rFonts w:ascii="Times New Roman" w:hAnsi="Times New Roman"/>
          <w:color w:val="000000" w:themeColor="text1"/>
          <w:sz w:val="16"/>
          <w:szCs w:val="16"/>
        </w:rPr>
        <w:softHyphen/>
        <w:t>лях крыла.</w:t>
      </w:r>
    </w:p>
    <w:p w14:paraId="5120E1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Пушечное вооружение включа</w:t>
      </w:r>
      <w:r w:rsidRPr="00070ADE">
        <w:rPr>
          <w:rFonts w:ascii="Times New Roman" w:hAnsi="Times New Roman"/>
          <w:color w:val="000000" w:themeColor="text1"/>
          <w:sz w:val="16"/>
          <w:szCs w:val="16"/>
        </w:rPr>
        <w:softHyphen/>
        <w:t>ло подфюзеляжную батарею из четырех пушек калибра 45 мм с сум</w:t>
      </w:r>
      <w:r w:rsidRPr="00070ADE">
        <w:rPr>
          <w:rFonts w:ascii="Times New Roman" w:hAnsi="Times New Roman"/>
          <w:color w:val="000000" w:themeColor="text1"/>
          <w:sz w:val="16"/>
          <w:szCs w:val="16"/>
        </w:rPr>
        <w:softHyphen/>
        <w:t>марным боекомплектом 200 патронов.</w:t>
      </w:r>
    </w:p>
    <w:p w14:paraId="7570FA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Стрелковое вооружение состо</w:t>
      </w:r>
      <w:r w:rsidRPr="00070ADE">
        <w:rPr>
          <w:rFonts w:ascii="Times New Roman" w:hAnsi="Times New Roman"/>
          <w:color w:val="000000" w:themeColor="text1"/>
          <w:sz w:val="16"/>
          <w:szCs w:val="16"/>
        </w:rPr>
        <w:softHyphen/>
        <w:t>яло из восьми пулеметов ШКАС (по четыре в каждой консоли крыла) с суммарным боекомплектом 4800 патронов, а также двух подвижных пулеметов в кабине стрелка-ради</w:t>
      </w:r>
      <w:r w:rsidRPr="00070ADE">
        <w:rPr>
          <w:rFonts w:ascii="Times New Roman" w:hAnsi="Times New Roman"/>
          <w:color w:val="000000" w:themeColor="text1"/>
          <w:sz w:val="16"/>
          <w:szCs w:val="16"/>
        </w:rPr>
        <w:softHyphen/>
        <w:t>ста. УБТ - на верхней турели УТК-1 с боекомплектом 200 патронов и пулемета ШКАС на нижней люко</w:t>
      </w:r>
      <w:r w:rsidRPr="00070ADE">
        <w:rPr>
          <w:rFonts w:ascii="Times New Roman" w:hAnsi="Times New Roman"/>
          <w:color w:val="000000" w:themeColor="text1"/>
          <w:sz w:val="16"/>
          <w:szCs w:val="16"/>
        </w:rPr>
        <w:softHyphen/>
        <w:t>вой турели ЛУ-100 с боекомплек</w:t>
      </w:r>
      <w:r w:rsidRPr="00070ADE">
        <w:rPr>
          <w:rFonts w:ascii="Times New Roman" w:hAnsi="Times New Roman"/>
          <w:color w:val="000000" w:themeColor="text1"/>
          <w:sz w:val="16"/>
          <w:szCs w:val="16"/>
        </w:rPr>
        <w:softHyphen/>
        <w:t>том 700 патронов.</w:t>
      </w:r>
    </w:p>
    <w:p w14:paraId="0A4EA5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Бомбы размещались в шести бомбоотсеках центроплана. Каждый отсек вмещал одну бомбу калибра 100 кг или несколько авиабомб меньшего калибра. Под фюзеляжем предусматривалась подвеска трех бомб калибра 250 кг, либо двух бомб калибра 500 кг. Нормальная бомбовая нагрузка 1000 кг, в пере</w:t>
      </w:r>
      <w:r w:rsidRPr="00070ADE">
        <w:rPr>
          <w:rFonts w:ascii="Times New Roman" w:hAnsi="Times New Roman"/>
          <w:color w:val="000000" w:themeColor="text1"/>
          <w:sz w:val="16"/>
          <w:szCs w:val="16"/>
        </w:rPr>
        <w:softHyphen/>
        <w:t>грузочном варианте - 1400 кг.</w:t>
      </w:r>
    </w:p>
    <w:p w14:paraId="0622BA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Бронирование, общей массой 1680 кг, обеспечивало защиту пи</w:t>
      </w:r>
      <w:r w:rsidRPr="00070ADE">
        <w:rPr>
          <w:rFonts w:ascii="Times New Roman" w:hAnsi="Times New Roman"/>
          <w:color w:val="000000" w:themeColor="text1"/>
          <w:sz w:val="16"/>
          <w:szCs w:val="16"/>
        </w:rPr>
        <w:softHyphen/>
        <w:t>лота, стрелка-радиста, моторов, крыльевых бензобаков, маслобаков, маслорадиаторов и втулок воздуш</w:t>
      </w:r>
      <w:r w:rsidRPr="00070ADE">
        <w:rPr>
          <w:rFonts w:ascii="Times New Roman" w:hAnsi="Times New Roman"/>
          <w:color w:val="000000" w:themeColor="text1"/>
          <w:sz w:val="16"/>
          <w:szCs w:val="16"/>
        </w:rPr>
        <w:softHyphen/>
        <w:t>ных винтов (11853).</w:t>
      </w:r>
    </w:p>
    <w:p w14:paraId="7D552D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7AE1155" w14:textId="77777777" w:rsidR="00E07A00" w:rsidRPr="00070ADE" w:rsidRDefault="00E07A00"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конце апреля 1944 самолет Су-8 был перевезен на завод № 289, где в ходе доработок самолета в течение июня — июля 37-мм пушки 11П заменили пушками 111П (НС-45 в серии) калибра 45 мм конструкции ОКБ-16 с боекомплектом 200 снарядов.</w:t>
      </w:r>
    </w:p>
    <w:p w14:paraId="7BDBB9F9" w14:textId="77777777" w:rsidR="00E07A00" w:rsidRPr="00070ADE" w:rsidRDefault="00E07A00"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Стрелковое вооружение осталось прежним. Ра</w:t>
      </w:r>
      <w:r w:rsidRPr="00070ADE">
        <w:rPr>
          <w:color w:val="000000" w:themeColor="text1"/>
          <w:sz w:val="16"/>
          <w:szCs w:val="16"/>
        </w:rPr>
        <w:softHyphen/>
        <w:t>кетное вооружение включало 6 ракетных орудий РО-82 или РО-132. В перегрузку допускалась уста</w:t>
      </w:r>
      <w:r w:rsidRPr="00070ADE">
        <w:rPr>
          <w:color w:val="000000" w:themeColor="text1"/>
          <w:sz w:val="16"/>
          <w:szCs w:val="16"/>
        </w:rPr>
        <w:softHyphen/>
        <w:t>новка 10 ракетных орудий.</w:t>
      </w:r>
    </w:p>
    <w:p w14:paraId="377A8C54" w14:textId="77777777" w:rsidR="00E07A00" w:rsidRPr="00070ADE" w:rsidRDefault="00E07A00"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Бомбы размещались в 6 бомбоотсеках, распо</w:t>
      </w:r>
      <w:r w:rsidRPr="00070ADE">
        <w:rPr>
          <w:color w:val="000000" w:themeColor="text1"/>
          <w:sz w:val="16"/>
          <w:szCs w:val="16"/>
        </w:rPr>
        <w:softHyphen/>
        <w:t>ложенных в центроплане. Каждый отсек вмещал в себя 1 бомбу весом в 100 кг (всего 600 кг) или не</w:t>
      </w:r>
      <w:r w:rsidRPr="00070ADE">
        <w:rPr>
          <w:color w:val="000000" w:themeColor="text1"/>
          <w:sz w:val="16"/>
          <w:szCs w:val="16"/>
        </w:rPr>
        <w:softHyphen/>
        <w:t>сколько авиабомб меньшего калибра от 1 до 25 кг (всего 900 кг).</w:t>
      </w:r>
    </w:p>
    <w:p w14:paraId="73664A8E" w14:textId="77777777" w:rsidR="00E07A00" w:rsidRPr="00070ADE" w:rsidRDefault="00E07A00"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Под фюзеляжем предусматривалась возмож</w:t>
      </w:r>
      <w:r w:rsidRPr="00070ADE">
        <w:rPr>
          <w:color w:val="000000" w:themeColor="text1"/>
          <w:sz w:val="16"/>
          <w:szCs w:val="16"/>
        </w:rPr>
        <w:softHyphen/>
        <w:t>ность подвески 3 бомб калибра 100 или 250 кг либо 2 бомб калибра 500 кг или 2 ВАП-500.</w:t>
      </w:r>
    </w:p>
    <w:p w14:paraId="364713D6" w14:textId="77777777" w:rsidR="00E07A00" w:rsidRPr="00070ADE" w:rsidRDefault="00E07A00"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Предельный вес бомбовой нагрузки составлял 1400 кг. В этом случае полетный вес самолета до</w:t>
      </w:r>
      <w:r w:rsidRPr="00070ADE">
        <w:rPr>
          <w:color w:val="000000" w:themeColor="text1"/>
          <w:sz w:val="16"/>
          <w:szCs w:val="16"/>
        </w:rPr>
        <w:softHyphen/>
        <w:t>стигал 13 381 кг (17500).</w:t>
      </w:r>
    </w:p>
    <w:p w14:paraId="5FD0C218" w14:textId="77777777" w:rsidR="00E07A00" w:rsidRPr="00070ADE" w:rsidRDefault="00E07A00" w:rsidP="00B56F90">
      <w:pPr>
        <w:pStyle w:val="123"/>
        <w:shd w:val="clear" w:color="auto" w:fill="auto"/>
        <w:spacing w:after="0" w:line="240" w:lineRule="auto"/>
        <w:jc w:val="both"/>
        <w:rPr>
          <w:color w:val="000000" w:themeColor="text1"/>
          <w:sz w:val="16"/>
          <w:szCs w:val="16"/>
        </w:rPr>
      </w:pPr>
    </w:p>
    <w:p w14:paraId="66B30C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апреля 1944 в г. Куйбышеве на заводе 24 прошел удовлетворительно 100 час. гос. испытания мотор АМ-42 (1817,30).</w:t>
      </w:r>
    </w:p>
    <w:p w14:paraId="7DE9E4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FFD3E8" w14:textId="77777777" w:rsidR="00630135" w:rsidRPr="00070ADE" w:rsidRDefault="00630135"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конце апреля 1944 завод № 39 стал получать доработанные двигатели, но и они часто давали сбои при испытаниях. Самолеты приходилось поднимать на одних и тех же двигателях, переставляя их с машины на машину. Для установления причин отказов двигателей при летных испытаниях и на сданных по боеготовности самолетах, в начале июня на заводе собираются представители завода № 134, завода № 500 и одного из авиаполков ВВС. Для проведения специальных летных испытаний выделяются самолеты Ер-2 №№ 703904, 703907, 703916 с двигателями АЧ-30Б, доработанными по предложению прибывших специалистов. Кроме того, экипажи самолетов должны дать оценку новому остеклению фонаря пилотов, изготовленному по чертежам ОКБ. В ходе летных испытаний двигателей был также выполнен большой объем работ по уменьшению силы трения рулей высоты, поворота и элеронов. Удовлетворительные результаты проведенных испытаний Ер-2 с доработанными двигателями и другими конструктивными изменениями утверждаются главным конструктором В.Г. Ермолаевым. В аэродромном цехе завода № 39 организуется техническая учеба мотористов и летчиков-испытателей по изучению двигателя АЧ-30Б и особенностей его эксплуатации. Занятия проводит заместитель Главного конструктора завода № 500 Тулупов (15223).</w:t>
      </w:r>
    </w:p>
    <w:p w14:paraId="4171182A" w14:textId="77777777" w:rsidR="00630135" w:rsidRPr="00070ADE" w:rsidRDefault="00630135" w:rsidP="00B56F90">
      <w:pPr>
        <w:shd w:val="clear" w:color="auto" w:fill="FFFFFF"/>
        <w:spacing w:after="0" w:line="240" w:lineRule="auto"/>
        <w:jc w:val="both"/>
        <w:rPr>
          <w:rFonts w:ascii="Times New Roman" w:hAnsi="Times New Roman"/>
          <w:color w:val="000000" w:themeColor="text1"/>
          <w:sz w:val="16"/>
          <w:szCs w:val="16"/>
        </w:rPr>
      </w:pPr>
    </w:p>
    <w:p w14:paraId="2AB8D588" w14:textId="77777777" w:rsidR="00630135" w:rsidRPr="00070ADE" w:rsidRDefault="006301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апреля 1944 г. Лётчик-испытатель В.Н. Юганов в рамках заво</w:t>
      </w:r>
      <w:r w:rsidRPr="00070ADE">
        <w:rPr>
          <w:rFonts w:ascii="Times New Roman" w:hAnsi="Times New Roman"/>
          <w:color w:val="000000" w:themeColor="text1"/>
          <w:sz w:val="16"/>
          <w:szCs w:val="16"/>
        </w:rPr>
        <w:softHyphen/>
        <w:t>дских испытаний выполнил на новом высотном Як-9 три полёта.</w:t>
      </w:r>
    </w:p>
    <w:p w14:paraId="0FE486D2" w14:textId="77777777" w:rsidR="00630135" w:rsidRPr="00070ADE" w:rsidRDefault="006301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серийный Як-9У с ВК-107А, выпуска завода № 166, установили мотор М-106ПВ с высотностью 9500 м и ещё некоторые системы и агрегаты. Его, также как и высотный Ла-5, оборудовали системой впрыска смеси (50% спирта и 50% воды). Самолёт облегчили настолько, на</w:t>
      </w:r>
      <w:r w:rsidRPr="00070ADE">
        <w:rPr>
          <w:rFonts w:ascii="Times New Roman" w:hAnsi="Times New Roman"/>
          <w:color w:val="000000" w:themeColor="text1"/>
          <w:sz w:val="16"/>
          <w:szCs w:val="16"/>
        </w:rPr>
        <w:softHyphen/>
        <w:t>сколько это было возможно. Место пушки ШВАК заняла более лёгкая пушка того же Шпитального — ША-20М, её боекомплект уменьшили до 60 снарядов (т.е. соответст</w:t>
      </w:r>
      <w:r w:rsidRPr="00070ADE">
        <w:rPr>
          <w:rFonts w:ascii="Times New Roman" w:hAnsi="Times New Roman"/>
          <w:color w:val="000000" w:themeColor="text1"/>
          <w:sz w:val="16"/>
          <w:szCs w:val="16"/>
        </w:rPr>
        <w:softHyphen/>
        <w:t>вовал минимальным требованиям по вооружению, указанным в проекте Постановле</w:t>
      </w:r>
      <w:r w:rsidRPr="00070ADE">
        <w:rPr>
          <w:rFonts w:ascii="Times New Roman" w:hAnsi="Times New Roman"/>
          <w:color w:val="000000" w:themeColor="text1"/>
          <w:sz w:val="16"/>
          <w:szCs w:val="16"/>
        </w:rPr>
        <w:softHyphen/>
        <w:t>ния), винт заменили на специальный высотный облегченный винт ВИШ-105ТЛ диаметром 2,8 м с широкими лопастями. С элеронов и руля высоты сняли весовую ба</w:t>
      </w:r>
      <w:r w:rsidRPr="00070ADE">
        <w:rPr>
          <w:rFonts w:ascii="Times New Roman" w:hAnsi="Times New Roman"/>
          <w:color w:val="000000" w:themeColor="text1"/>
          <w:sz w:val="16"/>
          <w:szCs w:val="16"/>
        </w:rPr>
        <w:softHyphen/>
        <w:t>лансировку, запас бензина уменьшили с 420 до 240 кг, а масла — с 48 до 30 кг. Бла</w:t>
      </w:r>
      <w:r w:rsidRPr="00070ADE">
        <w:rPr>
          <w:rFonts w:ascii="Times New Roman" w:hAnsi="Times New Roman"/>
          <w:color w:val="000000" w:themeColor="text1"/>
          <w:sz w:val="16"/>
          <w:szCs w:val="16"/>
        </w:rPr>
        <w:softHyphen/>
        <w:t xml:space="preserve">годаря этим и некоторым другим мероприятиям по облегчению Яка, его вес составил всего 2500 кг. </w:t>
      </w:r>
    </w:p>
    <w:p w14:paraId="4D14D38C" w14:textId="77777777" w:rsidR="00630135" w:rsidRPr="00070ADE" w:rsidRDefault="006301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дос</w:t>
      </w:r>
      <w:r w:rsidRPr="00070ADE">
        <w:rPr>
          <w:rFonts w:ascii="Times New Roman" w:hAnsi="Times New Roman"/>
          <w:color w:val="000000" w:themeColor="text1"/>
          <w:sz w:val="16"/>
          <w:szCs w:val="16"/>
        </w:rPr>
        <w:softHyphen/>
        <w:t>тигнутая высота составила— 12800-13100 м и являлась потолком самолёта (14830).</w:t>
      </w:r>
    </w:p>
    <w:p w14:paraId="3304709C" w14:textId="77777777" w:rsidR="00630135" w:rsidRPr="00070ADE" w:rsidRDefault="00630135" w:rsidP="00B56F90">
      <w:pPr>
        <w:spacing w:after="0" w:line="240" w:lineRule="auto"/>
        <w:jc w:val="both"/>
        <w:rPr>
          <w:rFonts w:ascii="Times New Roman" w:hAnsi="Times New Roman"/>
          <w:color w:val="000000" w:themeColor="text1"/>
          <w:sz w:val="16"/>
          <w:szCs w:val="16"/>
        </w:rPr>
      </w:pPr>
    </w:p>
    <w:p w14:paraId="4C60E6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апреля 1944 был выпущен И-222 (3А) МиГ (4,251).</w:t>
      </w:r>
    </w:p>
    <w:p w14:paraId="3C849B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522016" w14:textId="77777777" w:rsidR="00B240EB" w:rsidRPr="00070ADE" w:rsidRDefault="00B240E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7A5CE39" w14:textId="77777777" w:rsidR="00B240EB" w:rsidRPr="00070ADE" w:rsidRDefault="00B240E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E53F92" w14:textId="77777777" w:rsidR="00B240EB" w:rsidRPr="00070ADE" w:rsidRDefault="00B240EB" w:rsidP="00B56F90">
      <w:pPr>
        <w:pStyle w:val="ae"/>
        <w:spacing w:before="0" w:after="0"/>
        <w:jc w:val="both"/>
        <w:textAlignment w:val="baseline"/>
        <w:rPr>
          <w:color w:val="000000" w:themeColor="text1"/>
          <w:sz w:val="16"/>
          <w:szCs w:val="16"/>
        </w:rPr>
      </w:pPr>
      <w:r w:rsidRPr="00070ADE">
        <w:rPr>
          <w:color w:val="000000" w:themeColor="text1"/>
          <w:sz w:val="16"/>
          <w:szCs w:val="16"/>
        </w:rPr>
        <w:t>К концу апреля 1944 года стал формироваться облик модернизированного Т-44 по результатам испытаний (18950).</w:t>
      </w:r>
    </w:p>
    <w:p w14:paraId="0BC475DF" w14:textId="77777777" w:rsidR="00B240EB" w:rsidRPr="00070ADE" w:rsidRDefault="00B240EB" w:rsidP="00B56F90">
      <w:pPr>
        <w:pStyle w:val="ae"/>
        <w:spacing w:before="0" w:after="0"/>
        <w:jc w:val="both"/>
        <w:textAlignment w:val="baseline"/>
        <w:rPr>
          <w:color w:val="000000" w:themeColor="text1"/>
          <w:sz w:val="16"/>
          <w:szCs w:val="16"/>
        </w:rPr>
      </w:pPr>
    </w:p>
    <w:p w14:paraId="0AEA9779" w14:textId="6C0009FA" w:rsidR="00CF740B" w:rsidRPr="00070ADE" w:rsidRDefault="00CF740B"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К концу апреля 1944 года ОКБ завода №100 проработало техническую документацию по проекту модернизации ИС-2, изготовило несколько деревянных моделей, и… на этом всё закончилось. Несмотря на то что в НКТП и ГБТУ КА шла переписка по утверждению окончательного облика ИС-2 большой модернизации, активность завода №100 по данному вопросу прекратилась. Нет, полного игнорирования работ по модернизации не было, завод занимался изготовлением элементов, которые разрабатывало СКБ-2 ЧКЗ. Тем не менее собственный проект модернизации ИС-2 на заводе №100 забросили. Во второй половине апреля 1944 года ОКБ завода №100 активно работало над созданием уже нового танка. Первым признаком того, что ОКБ завода №100 занимается далеко не одной модернизацией ИС-2, стала жалоба нового военного представителя на заводе гвардии инженер-полковника А. Вовка. 18 апреля 1944 года он направил письмо, в котором сообщал о странных активностях на заводе. На заводе он обнаружил комнату, у входа которой была выставлена охрана. Нового военного представителя туда не пустили, мотивируя это тем, что внутрь можно попасть только с личного разрешения</w:t>
      </w:r>
      <w:r w:rsidR="00B643A8" w:rsidRPr="00070ADE">
        <w:rPr>
          <w:color w:val="000000" w:themeColor="text1"/>
          <w:sz w:val="16"/>
          <w:szCs w:val="16"/>
        </w:rPr>
        <w:t xml:space="preserve"> </w:t>
      </w:r>
      <w:hyperlink r:id="rId108" w:history="1">
        <w:r w:rsidRPr="00070ADE">
          <w:rPr>
            <w:rStyle w:val="a5"/>
            <w:bCs/>
            <w:iCs/>
            <w:color w:val="000000" w:themeColor="text1"/>
            <w:sz w:val="16"/>
            <w:szCs w:val="16"/>
            <w:bdr w:val="none" w:sz="0" w:space="0" w:color="auto" w:frame="1"/>
          </w:rPr>
          <w:t>Ж.Я. Котина</w:t>
        </w:r>
      </w:hyperlink>
      <w:r w:rsidRPr="00070ADE">
        <w:rPr>
          <w:color w:val="000000" w:themeColor="text1"/>
          <w:sz w:val="16"/>
          <w:szCs w:val="16"/>
        </w:rPr>
        <w:t>. На вопрос, что это за помещение, Котин ответил, что это его личная рабочая комната.</w:t>
      </w:r>
    </w:p>
    <w:p w14:paraId="64C1BDEB" w14:textId="7FDC3069" w:rsidR="00CF740B" w:rsidRPr="00070ADE" w:rsidRDefault="00CF740B"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На самом деле в «личной комнате Котина» работали Н.Ф. Шашмурин, А.С. Шнейдман, Г.А. Турчанинов и другие конструкторы. У них имелась своя версия:</w:t>
      </w:r>
      <w:r w:rsidR="00B643A8" w:rsidRPr="00070ADE">
        <w:rPr>
          <w:color w:val="000000" w:themeColor="text1"/>
          <w:sz w:val="16"/>
          <w:szCs w:val="16"/>
        </w:rPr>
        <w:t xml:space="preserve"> </w:t>
      </w:r>
      <w:r w:rsidRPr="00070ADE">
        <w:rPr>
          <w:iCs/>
          <w:color w:val="000000" w:themeColor="text1"/>
          <w:sz w:val="16"/>
          <w:szCs w:val="16"/>
          <w:bdr w:val="none" w:sz="0" w:space="0" w:color="auto" w:frame="1"/>
        </w:rPr>
        <w:t>«Это курительная комната»</w:t>
      </w:r>
      <w:r w:rsidRPr="00070ADE">
        <w:rPr>
          <w:color w:val="000000" w:themeColor="text1"/>
          <w:sz w:val="16"/>
          <w:szCs w:val="16"/>
        </w:rPr>
        <w:t>. Разразился скандал, по этому поводу шла бурная переписка с указанием привести работу по текущим проектам и взаимоотношения с военной приёмкой в нормальное русло. Тем не менее активность по «посторонним» темам отнюдь не прекратилась. Тайная комната была местом, где велись работы по тяжёлому танку, который должен был стать конкурентом Объекту 701. Поскольку за такую работу со стороны НКТП могли последовать серьёзные проблемы, работы проходили в режиме секретности. Понятно и покровительство всему этому со стороны Котина: его явно не устраивал тот факт, что опытный завод №100 из центра разработки новых образцов бронетанковой техники превратился в структуру, которая должна работать на подхвате. В свою очередь, ЧКЗ, который должен был выпускать разработки завода №100, обзавёлся собственным КБ, которое и занималось Объектом 701. Отношения между заводом №100 и ЧКЗ особенно обострились в конце 1943 — начале 1944 года. На этом фоне появление конкурента Объекта 701 выглядело вполне ожидаемым (19150).</w:t>
      </w:r>
    </w:p>
    <w:p w14:paraId="779FCCB7" w14:textId="77777777" w:rsidR="00CF740B" w:rsidRPr="00070ADE" w:rsidRDefault="00CF740B" w:rsidP="00B56F90">
      <w:pPr>
        <w:pStyle w:val="ae"/>
        <w:shd w:val="clear" w:color="auto" w:fill="FFFFFF"/>
        <w:spacing w:before="0" w:after="0"/>
        <w:jc w:val="both"/>
        <w:textAlignment w:val="baseline"/>
        <w:rPr>
          <w:color w:val="000000" w:themeColor="text1"/>
          <w:sz w:val="16"/>
          <w:szCs w:val="16"/>
        </w:rPr>
      </w:pPr>
    </w:p>
    <w:p w14:paraId="42D3B7E1"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концу апреля 1944 года в рамках проекта «большой модернизации» ИС-2 была проработана техническая документация, изготовлено несколько деревянных моделей, и… И на этом всё закончилось. Как отрезали.</w:t>
      </w:r>
    </w:p>
    <w:p w14:paraId="4F420AEE" w14:textId="77777777" w:rsidR="00F24AC9" w:rsidRPr="00C94B78" w:rsidRDefault="00F24AC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Под соусом большой модернизации на самом деле создается новый танк. 18 апреля 1944 года гвардии инженер-полковник Ф.Ф. Вовк, новый военный представитель на заводе №100, написал жалобу о странных порядках. Он обнаружил комнату, у входа которой была выставлена охрана. Нового военного представителя туда не пустили, мотивируя это тем, что внутрь можно было попасть только с личного разрешения Ж.Я. Котина. На вопрос, что это за комната, Котин ответил, что это его личная рабочая комната. В реальности там работали Н.Ф. Шашмурин, А.С. Шнейдман, Г.А. Турчанинов и другие конструкторы. Они указывали, что это "курительная комната". Учитывая тот факт, что дело происходило в разгар разработки большой модернизации ИС-2, вполне понятно, что там выкуривали (25682).</w:t>
      </w:r>
    </w:p>
    <w:p w14:paraId="33AA1E49" w14:textId="77777777" w:rsidR="00F24AC9" w:rsidRPr="00C94B78" w:rsidRDefault="00F24AC9" w:rsidP="00B56F90">
      <w:pPr>
        <w:spacing w:after="0" w:line="240" w:lineRule="auto"/>
        <w:jc w:val="both"/>
        <w:rPr>
          <w:rFonts w:ascii="Times New Roman" w:hAnsi="Times New Roman"/>
          <w:color w:val="0070C0"/>
          <w:sz w:val="16"/>
          <w:szCs w:val="16"/>
        </w:rPr>
      </w:pPr>
    </w:p>
    <w:p w14:paraId="517CD5AF" w14:textId="77777777" w:rsidR="00284391" w:rsidRPr="00070ADE" w:rsidRDefault="00284391"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D1E686D" w14:textId="77777777" w:rsidR="00284391" w:rsidRPr="00070ADE" w:rsidRDefault="00284391"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2F11A6" w14:textId="77777777" w:rsidR="00284391" w:rsidRPr="00070ADE" w:rsidRDefault="002843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второй половине апреля 1944 Сергей Владимирович Ильюшин завершил «операцию прикрытия». Двухместный вариант самолета Ил-1 после выполнения комплекса доработок на заводе № 240 получил (сначала полуофициально) новое наименование – Ил-10. События стали развиваться в ускоренном темпе. 18 апреля Владимир Константинович Коккинаки выполнил на новой машине первый вылет, а уже 27 мая с положительной оценкой завершились государственные испытания в НИИ ВВС. За следующие два месяца была проделана огромная работа по организации, планированиюи подготовке производстваИл-10 (21005)</w:t>
      </w:r>
    </w:p>
    <w:p w14:paraId="73C4EE56" w14:textId="77777777" w:rsidR="00284391" w:rsidRPr="00070ADE" w:rsidRDefault="00284391" w:rsidP="00B56F90">
      <w:pPr>
        <w:spacing w:after="0" w:line="240" w:lineRule="auto"/>
        <w:jc w:val="both"/>
        <w:rPr>
          <w:rFonts w:ascii="Times New Roman" w:hAnsi="Times New Roman"/>
          <w:color w:val="000000" w:themeColor="text1"/>
          <w:sz w:val="16"/>
          <w:szCs w:val="16"/>
        </w:rPr>
      </w:pPr>
    </w:p>
    <w:p w14:paraId="487D7B5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0F1CA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EC50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в ЛИИ НКАП проходил совместные с НИИ ВВС государственные летные испытания Ил-2 зав. № 1873370 с мотором АМ-38ф, оборудованный опытной системой заполне</w:t>
      </w:r>
      <w:r w:rsidRPr="00070ADE">
        <w:rPr>
          <w:rFonts w:ascii="Times New Roman" w:hAnsi="Times New Roman"/>
          <w:color w:val="000000" w:themeColor="text1"/>
          <w:sz w:val="16"/>
          <w:szCs w:val="16"/>
        </w:rPr>
        <w:softHyphen/>
        <w:t>ния бензобаков выхлопными газами мотора — система НГ 1-й зоны. В ходе испытаний были испытаны две схемы «нейтраль</w:t>
      </w:r>
      <w:r w:rsidRPr="00070ADE">
        <w:rPr>
          <w:rFonts w:ascii="Times New Roman" w:hAnsi="Times New Roman"/>
          <w:color w:val="000000" w:themeColor="text1"/>
          <w:sz w:val="16"/>
          <w:szCs w:val="16"/>
        </w:rPr>
        <w:softHyphen/>
        <w:t>ного газа»: СКО завода № 18 и ЛИИ НКАП.</w:t>
      </w:r>
    </w:p>
    <w:p w14:paraId="52DD44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Напомним, что бензобаки на серийных самолетах Ил-2 за</w:t>
      </w:r>
      <w:r w:rsidRPr="00070ADE">
        <w:rPr>
          <w:rFonts w:ascii="Times New Roman" w:hAnsi="Times New Roman"/>
          <w:color w:val="000000" w:themeColor="text1"/>
          <w:sz w:val="16"/>
          <w:szCs w:val="16"/>
        </w:rPr>
        <w:softHyphen/>
        <w:t>полнялись углекислотой от специального баллона. Это созда</w:t>
      </w:r>
      <w:r w:rsidRPr="00070ADE">
        <w:rPr>
          <w:rFonts w:ascii="Times New Roman" w:hAnsi="Times New Roman"/>
          <w:color w:val="000000" w:themeColor="text1"/>
          <w:sz w:val="16"/>
          <w:szCs w:val="16"/>
        </w:rPr>
        <w:softHyphen/>
        <w:t>вало определенные затруднения при эксплуатации самолета в условиях фронта — в БАО не всегда имелось специальное обо</w:t>
      </w:r>
      <w:r w:rsidRPr="00070ADE">
        <w:rPr>
          <w:rFonts w:ascii="Times New Roman" w:hAnsi="Times New Roman"/>
          <w:color w:val="000000" w:themeColor="text1"/>
          <w:sz w:val="16"/>
          <w:szCs w:val="16"/>
        </w:rPr>
        <w:softHyphen/>
        <w:t>рудование для заполнения баллонов углекислотой и, кроме то</w:t>
      </w:r>
      <w:r w:rsidRPr="00070ADE">
        <w:rPr>
          <w:rFonts w:ascii="Times New Roman" w:hAnsi="Times New Roman"/>
          <w:color w:val="000000" w:themeColor="text1"/>
          <w:sz w:val="16"/>
          <w:szCs w:val="16"/>
        </w:rPr>
        <w:softHyphen/>
        <w:t>го, предъявлялись довольно жесткие условия по хранению за</w:t>
      </w:r>
      <w:r w:rsidRPr="00070ADE">
        <w:rPr>
          <w:rFonts w:ascii="Times New Roman" w:hAnsi="Times New Roman"/>
          <w:color w:val="000000" w:themeColor="text1"/>
          <w:sz w:val="16"/>
          <w:szCs w:val="16"/>
        </w:rPr>
        <w:softHyphen/>
        <w:t>правленных баллонов на аэродроме.</w:t>
      </w:r>
    </w:p>
    <w:p w14:paraId="0DA5DF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Забор газов для заполнения бензобаков производился от 5-го выхлопного патрубка левого блока мотора при помощи специального газозаборника, вваренного в патрубок навстречу потоку газов. Газозаборник выполнялся из жароупорной сталь</w:t>
      </w:r>
      <w:r w:rsidRPr="00070ADE">
        <w:rPr>
          <w:rFonts w:ascii="Times New Roman" w:hAnsi="Times New Roman"/>
          <w:color w:val="000000" w:themeColor="text1"/>
          <w:sz w:val="16"/>
          <w:szCs w:val="16"/>
        </w:rPr>
        <w:softHyphen/>
        <w:t>ной трубы, участок от газозаборника до входа в крыло — из стальной трубки, а остальная часть — из дюралевых труб. Вклю</w:t>
      </w:r>
      <w:r w:rsidRPr="00070ADE">
        <w:rPr>
          <w:rFonts w:ascii="Times New Roman" w:hAnsi="Times New Roman"/>
          <w:color w:val="000000" w:themeColor="text1"/>
          <w:sz w:val="16"/>
          <w:szCs w:val="16"/>
        </w:rPr>
        <w:softHyphen/>
        <w:t>чение и отключение подачи выхлопных газов в бензобаки осу</w:t>
      </w:r>
      <w:r w:rsidRPr="00070ADE">
        <w:rPr>
          <w:rFonts w:ascii="Times New Roman" w:hAnsi="Times New Roman"/>
          <w:color w:val="000000" w:themeColor="text1"/>
          <w:sz w:val="16"/>
          <w:szCs w:val="16"/>
        </w:rPr>
        <w:softHyphen/>
        <w:t>ществлялось летчиком при помощи крана пробкового типа.</w:t>
      </w:r>
    </w:p>
    <w:p w14:paraId="2F6C55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показали, что в системе завода № 18, наряду с достаточной концентрацией СО, и О, в газовой среде бензобаков, выхлопные газы, заполняющие бензобаки, содержат зна</w:t>
      </w:r>
      <w:r w:rsidRPr="00070ADE">
        <w:rPr>
          <w:rFonts w:ascii="Times New Roman" w:hAnsi="Times New Roman"/>
          <w:color w:val="000000" w:themeColor="text1"/>
          <w:sz w:val="16"/>
          <w:szCs w:val="16"/>
        </w:rPr>
        <w:softHyphen/>
        <w:t>чительное количество воды, скапливающейся в газопроводе, в бензобаках и в фильтре бензосистемы. Неудовлетворительное обезвоживание выхлопных газов обуславливалось высокой тем</w:t>
      </w:r>
      <w:r w:rsidRPr="00070ADE">
        <w:rPr>
          <w:rFonts w:ascii="Times New Roman" w:hAnsi="Times New Roman"/>
          <w:color w:val="000000" w:themeColor="text1"/>
          <w:sz w:val="16"/>
          <w:szCs w:val="16"/>
        </w:rPr>
        <w:softHyphen/>
        <w:t>пературой выхлопных газов, достигающей в районе фильтра-от стойника 40—74°С, вместо максимально допустимой температу</w:t>
      </w:r>
      <w:r w:rsidRPr="00070ADE">
        <w:rPr>
          <w:rFonts w:ascii="Times New Roman" w:hAnsi="Times New Roman"/>
          <w:color w:val="000000" w:themeColor="text1"/>
          <w:sz w:val="16"/>
          <w:szCs w:val="16"/>
        </w:rPr>
        <w:softHyphen/>
        <w:t>ры 30°С.</w:t>
      </w:r>
    </w:p>
    <w:p w14:paraId="6A0738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понижения температуры газа и улучшения конденсации водяных паров, содержащихся в выхлопных газах, система ней</w:t>
      </w:r>
      <w:r w:rsidRPr="00070ADE">
        <w:rPr>
          <w:rFonts w:ascii="Times New Roman" w:hAnsi="Times New Roman"/>
          <w:color w:val="000000" w:themeColor="text1"/>
          <w:sz w:val="16"/>
          <w:szCs w:val="16"/>
        </w:rPr>
        <w:softHyphen/>
        <w:t>трального газа ЛИИ НКАП включала специальные конденсато</w:t>
      </w:r>
      <w:r w:rsidRPr="00070ADE">
        <w:rPr>
          <w:rFonts w:ascii="Times New Roman" w:hAnsi="Times New Roman"/>
          <w:color w:val="000000" w:themeColor="text1"/>
          <w:sz w:val="16"/>
          <w:szCs w:val="16"/>
        </w:rPr>
        <w:softHyphen/>
        <w:t>ры, выполненные из трубы с внутренними перегородками. Эта схема показала хорошие результаты. Обеспечивалось вполне достаточное обезвоживание выхлопных газов даже при наличии негерметичности системы (искусственное отверстие диаметром 4 мм). Конденсат в фильтре-отстойнике за 1 час полета в сред</w:t>
      </w:r>
      <w:r w:rsidRPr="00070ADE">
        <w:rPr>
          <w:rFonts w:ascii="Times New Roman" w:hAnsi="Times New Roman"/>
          <w:color w:val="000000" w:themeColor="text1"/>
          <w:sz w:val="16"/>
          <w:szCs w:val="16"/>
        </w:rPr>
        <w:softHyphen/>
        <w:t>нем не превышал 60 см</w:t>
      </w:r>
      <w:r w:rsidRPr="00070ADE">
        <w:rPr>
          <w:rFonts w:ascii="Times New Roman" w:hAnsi="Times New Roman"/>
          <w:color w:val="000000" w:themeColor="text1"/>
          <w:sz w:val="16"/>
          <w:szCs w:val="16"/>
          <w:vertAlign w:val="superscript"/>
        </w:rPr>
        <w:t>3</w:t>
      </w:r>
      <w:r w:rsidRPr="00070ADE">
        <w:rPr>
          <w:rFonts w:ascii="Times New Roman" w:hAnsi="Times New Roman"/>
          <w:color w:val="000000" w:themeColor="text1"/>
          <w:sz w:val="16"/>
          <w:szCs w:val="16"/>
        </w:rPr>
        <w:t>. При этом концентрация в бензобаках СО, и О, достигала 2—4% и 8—12%, соответственно.</w:t>
      </w:r>
    </w:p>
    <w:p w14:paraId="3218E8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система НГ 1-й зоны ЛИИ НКАП и была ре</w:t>
      </w:r>
      <w:r w:rsidRPr="00070ADE">
        <w:rPr>
          <w:rFonts w:ascii="Times New Roman" w:hAnsi="Times New Roman"/>
          <w:color w:val="000000" w:themeColor="text1"/>
          <w:sz w:val="16"/>
          <w:szCs w:val="16"/>
        </w:rPr>
        <w:softHyphen/>
        <w:t>комендована в качестве эталона для внедрения в серию на всех самолетах Ил-2 с АМ-38ф взамен стандартной углекислотной установки.</w:t>
      </w:r>
    </w:p>
    <w:p w14:paraId="00A047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Кроме этого, в отчете по испытаниям от 4 мая эта система рекомендовалась для установки «на модификации самолетов Ил-2 с новым типом мотора (самолеты Ил-2 с мотором АМ-42. — </w:t>
      </w:r>
      <w:r w:rsidRPr="00070ADE">
        <w:rPr>
          <w:rFonts w:ascii="Times New Roman" w:hAnsi="Times New Roman"/>
          <w:iCs/>
          <w:color w:val="000000" w:themeColor="text1"/>
          <w:sz w:val="16"/>
          <w:szCs w:val="16"/>
        </w:rPr>
        <w:t xml:space="preserve">Авт.) </w:t>
      </w:r>
      <w:r w:rsidRPr="00070ADE">
        <w:rPr>
          <w:rFonts w:ascii="Times New Roman" w:hAnsi="Times New Roman"/>
          <w:color w:val="000000" w:themeColor="text1"/>
          <w:sz w:val="16"/>
          <w:szCs w:val="16"/>
        </w:rPr>
        <w:t>с последующей проверкой ее характеристики летными испытаниями» (11474,378).</w:t>
      </w:r>
    </w:p>
    <w:p w14:paraId="1FDFB3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EE60FF" w14:textId="77777777" w:rsidR="00040C50" w:rsidRPr="00070ADE" w:rsidRDefault="00040C50"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апреле 1944 в ЦАГИ совместно с ЛИИ НКАП было проведено исследование проч</w:t>
      </w:r>
      <w:r w:rsidRPr="00070ADE">
        <w:rPr>
          <w:color w:val="000000" w:themeColor="text1"/>
          <w:sz w:val="16"/>
          <w:szCs w:val="16"/>
        </w:rPr>
        <w:softHyphen/>
        <w:t>ности крыла (динамической и статической) самоле</w:t>
      </w:r>
      <w:r w:rsidRPr="00070ADE">
        <w:rPr>
          <w:color w:val="000000" w:themeColor="text1"/>
          <w:sz w:val="16"/>
          <w:szCs w:val="16"/>
        </w:rPr>
        <w:softHyphen/>
        <w:t>та Ил-2 с 11П после 3000 выстрелов из пушки.</w:t>
      </w:r>
    </w:p>
    <w:p w14:paraId="4B0BFBAD" w14:textId="77777777" w:rsidR="00040C50" w:rsidRPr="00070ADE" w:rsidRDefault="00040C50"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По приказанию начальника ЦАГИ профессора С. Н. Шишкина этой темой занимались начальник отдела вибропрочности И. И. Марин и начальник отдела статической прочности 3-й лаборатории Ф. М. Кондаков.</w:t>
      </w:r>
    </w:p>
    <w:p w14:paraId="25C306B3" w14:textId="77777777" w:rsidR="00040C50" w:rsidRPr="00070ADE" w:rsidRDefault="00040C50" w:rsidP="00B56F90">
      <w:pPr>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hAnsi="Times New Roman"/>
          <w:color w:val="000000" w:themeColor="text1"/>
          <w:sz w:val="16"/>
          <w:szCs w:val="16"/>
        </w:rPr>
        <w:lastRenderedPageBreak/>
        <w:t>Как следует из документов, отъемная часть кры</w:t>
      </w:r>
      <w:r w:rsidRPr="00070ADE">
        <w:rPr>
          <w:rFonts w:ascii="Times New Roman" w:hAnsi="Times New Roman"/>
          <w:color w:val="000000" w:themeColor="text1"/>
          <w:sz w:val="16"/>
          <w:szCs w:val="16"/>
        </w:rPr>
        <w:softHyphen/>
        <w:t>ла производства завода № 30 с настрелом 3000 вы</w:t>
      </w:r>
      <w:r w:rsidRPr="00070ADE">
        <w:rPr>
          <w:rFonts w:ascii="Times New Roman" w:hAnsi="Times New Roman"/>
          <w:color w:val="000000" w:themeColor="text1"/>
          <w:sz w:val="16"/>
          <w:szCs w:val="16"/>
        </w:rPr>
        <w:softHyphen/>
        <w:t>стрелов выдержала нагрузку в 110% от расчетного значения на случай А</w:t>
      </w:r>
      <w:r w:rsidRPr="00070ADE">
        <w:rPr>
          <w:rFonts w:ascii="Times New Roman" w:hAnsi="Times New Roman"/>
          <w:color w:val="000000" w:themeColor="text1"/>
          <w:sz w:val="16"/>
          <w:szCs w:val="16"/>
          <w:vertAlign w:val="subscript"/>
        </w:rPr>
        <w:t>к</w:t>
      </w:r>
      <w:r w:rsidRPr="00070ADE">
        <w:rPr>
          <w:rFonts w:ascii="Times New Roman" w:hAnsi="Times New Roman"/>
          <w:color w:val="000000" w:themeColor="text1"/>
          <w:sz w:val="16"/>
          <w:szCs w:val="16"/>
        </w:rPr>
        <w:t>, тогда как крыло без настрела — 120% (17500).</w:t>
      </w:r>
    </w:p>
    <w:p w14:paraId="45E4B541" w14:textId="77777777" w:rsidR="00040C50" w:rsidRPr="00070ADE" w:rsidRDefault="00040C50" w:rsidP="00B56F90">
      <w:pPr>
        <w:spacing w:after="0" w:line="240" w:lineRule="auto"/>
        <w:jc w:val="both"/>
        <w:rPr>
          <w:rFonts w:ascii="Times New Roman" w:eastAsia="Times New Roman" w:hAnsi="Times New Roman"/>
          <w:color w:val="000000" w:themeColor="text1"/>
          <w:sz w:val="16"/>
          <w:szCs w:val="16"/>
          <w:lang w:eastAsia="ru-RU"/>
        </w:rPr>
      </w:pPr>
    </w:p>
    <w:p w14:paraId="720A493D" w14:textId="77777777" w:rsidR="00040C50" w:rsidRPr="00070ADE" w:rsidRDefault="00040C50"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В апреле 1944 г. в НИИ ВВС для прохождения совместных государственных испытаний поступил самолет Ил-2 (зав. №1873370) с мотором АМ-38ф, оборудованный системой заполнения бензобаков выхлопными газами мотора - система НГ 1-й зоны. На нем испытывались две системы «нейтрального газа»: СКО завода №18 и ЛИИ НКАП.</w:t>
      </w:r>
    </w:p>
    <w:p w14:paraId="0FA8A612" w14:textId="77777777" w:rsidR="00040C50" w:rsidRPr="00070ADE" w:rsidRDefault="00040C50"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Испытания показали, что в системе завода №18, наряду с достаточной концентрацией С0</w:t>
      </w:r>
      <w:r w:rsidRPr="00070ADE">
        <w:rPr>
          <w:rFonts w:ascii="Times New Roman" w:eastAsia="Times New Roman" w:hAnsi="Times New Roman"/>
          <w:color w:val="000000" w:themeColor="text1"/>
          <w:sz w:val="16"/>
          <w:szCs w:val="16"/>
          <w:shd w:val="clear" w:color="auto" w:fill="FFFFFF"/>
          <w:vertAlign w:val="subscript"/>
          <w:lang w:eastAsia="ru-RU"/>
        </w:rPr>
        <w:t>2</w:t>
      </w:r>
      <w:r w:rsidRPr="00070ADE">
        <w:rPr>
          <w:rFonts w:ascii="Times New Roman" w:eastAsia="Times New Roman" w:hAnsi="Times New Roman"/>
          <w:color w:val="000000" w:themeColor="text1"/>
          <w:sz w:val="16"/>
          <w:szCs w:val="16"/>
          <w:lang w:eastAsia="ru-RU"/>
        </w:rPr>
        <w:t xml:space="preserve"> и 0</w:t>
      </w:r>
      <w:r w:rsidRPr="00070ADE">
        <w:rPr>
          <w:rFonts w:ascii="Times New Roman" w:eastAsia="Times New Roman" w:hAnsi="Times New Roman"/>
          <w:color w:val="000000" w:themeColor="text1"/>
          <w:sz w:val="16"/>
          <w:szCs w:val="16"/>
          <w:shd w:val="clear" w:color="auto" w:fill="FFFFFF"/>
          <w:vertAlign w:val="subscript"/>
          <w:lang w:eastAsia="ru-RU"/>
        </w:rPr>
        <w:t>2</w:t>
      </w:r>
      <w:r w:rsidRPr="00070ADE">
        <w:rPr>
          <w:rFonts w:ascii="Times New Roman" w:eastAsia="Times New Roman" w:hAnsi="Times New Roman"/>
          <w:color w:val="000000" w:themeColor="text1"/>
          <w:sz w:val="16"/>
          <w:szCs w:val="16"/>
          <w:lang w:eastAsia="ru-RU"/>
        </w:rPr>
        <w:t xml:space="preserve"> в газовой среде бензобаков, выхлопные газы, заполняющие бензобаки, содержат значительное количество воды, скапливающейся в газопроводе, в бензобаках и в фильтре бензосистемы. Неудовлетворительное обезвоживание выхлопных газов обуславливалось высокой температурой выхлопных газов, достигающей в районе фильтра-отстойника 40-74°С вместо максимально допустимой температуры 30°С.</w:t>
      </w:r>
    </w:p>
    <w:p w14:paraId="53F7AC39" w14:textId="77777777" w:rsidR="00040C50" w:rsidRPr="00070ADE" w:rsidRDefault="00040C50"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Для снижения температуры газа и улучшения конденсации водяных паров, содержащихся в выхлопных газах, система нейтрального газа ЛИИ НКАП включала специальные конденсаторы, выполненные из трубы с внутренними перегородками. Эта схема показала хорошие результаты. Обеспечивалось вполне достаточное обезвоживание выхлопных газов даже при наличии негерметичности системы (искусственное отверстие диаметром 4 мм). Конденсат в фильтре-отстойнике за 1 ч полета в среднем не превышал 60 см</w:t>
      </w:r>
      <w:r w:rsidRPr="00070ADE">
        <w:rPr>
          <w:rFonts w:ascii="Times New Roman" w:eastAsia="Times New Roman" w:hAnsi="Times New Roman"/>
          <w:color w:val="000000" w:themeColor="text1"/>
          <w:sz w:val="16"/>
          <w:szCs w:val="16"/>
          <w:shd w:val="clear" w:color="auto" w:fill="FFFFFF"/>
          <w:vertAlign w:val="superscript"/>
          <w:lang w:eastAsia="ru-RU"/>
        </w:rPr>
        <w:t>3</w:t>
      </w:r>
      <w:r w:rsidRPr="00070ADE">
        <w:rPr>
          <w:rFonts w:ascii="Times New Roman" w:eastAsia="Times New Roman" w:hAnsi="Times New Roman"/>
          <w:color w:val="000000" w:themeColor="text1"/>
          <w:sz w:val="16"/>
          <w:szCs w:val="16"/>
          <w:lang w:eastAsia="ru-RU"/>
        </w:rPr>
        <w:t>. При этом концентрация е бензобаках С0</w:t>
      </w:r>
      <w:r w:rsidRPr="00070ADE">
        <w:rPr>
          <w:rFonts w:ascii="Times New Roman" w:eastAsia="Times New Roman" w:hAnsi="Times New Roman"/>
          <w:color w:val="000000" w:themeColor="text1"/>
          <w:sz w:val="16"/>
          <w:szCs w:val="16"/>
          <w:shd w:val="clear" w:color="auto" w:fill="FFFFFF"/>
          <w:vertAlign w:val="subscript"/>
          <w:lang w:eastAsia="ru-RU"/>
        </w:rPr>
        <w:t>2</w:t>
      </w:r>
      <w:r w:rsidRPr="00070ADE">
        <w:rPr>
          <w:rFonts w:ascii="Times New Roman" w:eastAsia="Times New Roman" w:hAnsi="Times New Roman"/>
          <w:color w:val="000000" w:themeColor="text1"/>
          <w:sz w:val="16"/>
          <w:szCs w:val="16"/>
          <w:lang w:eastAsia="ru-RU"/>
        </w:rPr>
        <w:t xml:space="preserve"> и 0</w:t>
      </w:r>
      <w:r w:rsidRPr="00070ADE">
        <w:rPr>
          <w:rFonts w:ascii="Times New Roman" w:eastAsia="Times New Roman" w:hAnsi="Times New Roman"/>
          <w:color w:val="000000" w:themeColor="text1"/>
          <w:sz w:val="16"/>
          <w:szCs w:val="16"/>
          <w:shd w:val="clear" w:color="auto" w:fill="FFFFFF"/>
          <w:vertAlign w:val="subscript"/>
          <w:lang w:eastAsia="ru-RU"/>
        </w:rPr>
        <w:t>2</w:t>
      </w:r>
      <w:r w:rsidRPr="00070ADE">
        <w:rPr>
          <w:rFonts w:ascii="Times New Roman" w:eastAsia="Times New Roman" w:hAnsi="Times New Roman"/>
          <w:color w:val="000000" w:themeColor="text1"/>
          <w:sz w:val="16"/>
          <w:szCs w:val="16"/>
          <w:lang w:eastAsia="ru-RU"/>
        </w:rPr>
        <w:t xml:space="preserve"> достигала 2-4% и 8-12% соответственно.</w:t>
      </w:r>
    </w:p>
    <w:p w14:paraId="5F96DC93" w14:textId="77777777" w:rsidR="00040C50" w:rsidRPr="00070ADE" w:rsidRDefault="00040C50"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В итоге система НГ 1-й зоны конструкции ЛИИ НКАП была рекомендована в качестве эталона для внедрения в серию на всех самолетах Ил-2 с АМ-38ф вместо стандартной углекислотной установки. Кроме этого, в отчете пс испытаниям от 4 мая эта система рекомендовалась для установки «на модификации самолетов Ил-2 с новым типом мотора (самолеты Ил-2 с мотором АМ-42. - Прим, авт.) с последующей проверкой ее характеристики летными испытаниями».</w:t>
      </w:r>
    </w:p>
    <w:p w14:paraId="3998D363" w14:textId="77777777" w:rsidR="00040C50" w:rsidRPr="00070ADE" w:rsidRDefault="00040C50"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Как известно, до самого окончания войны штурмовики Ил-2 летали с системой НГ-1-й зоны от баллона углекислоты под давлением. Надо сказать, ОКБ С.В. Ильюшина так и не смогло отладить систему НГ-1 от выхлопа мотора и на других штурмовиках. На опытном Ил-8 такая система имелась, но на государственные испытания она не предъявлялась, так как не была «доведена до ума». На серийном штурмовике Ил-10 поначалу система нейтральных газов вообще не предусматривалась. Самолет был принят на вооружение без НГ-1 хотя без нее боевой самолет в то время уже не мыслился. Такую систему внедрили уже в ходе серийного производства (17733).</w:t>
      </w:r>
    </w:p>
    <w:p w14:paraId="36F24A97" w14:textId="77777777" w:rsidR="00040C50" w:rsidRPr="00070ADE" w:rsidRDefault="00040C50"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82463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апрелю 1944 разобрались и с радиосвязью на самолете Ил-2. Для повышения коэффициента полезного действия антенного контура передатчика РСИ-3 в цепь антенны включили удли</w:t>
      </w:r>
      <w:r w:rsidRPr="00070ADE">
        <w:rPr>
          <w:rFonts w:ascii="Times New Roman" w:hAnsi="Times New Roman"/>
          <w:color w:val="000000" w:themeColor="text1"/>
          <w:sz w:val="16"/>
          <w:szCs w:val="16"/>
        </w:rPr>
        <w:softHyphen/>
        <w:t>нительную катушку конструкции НИСО НКАП и переделали антенну по образцу, предложенному НИИ СС КА. Уменьше</w:t>
      </w:r>
      <w:r w:rsidRPr="00070ADE">
        <w:rPr>
          <w:rFonts w:ascii="Times New Roman" w:hAnsi="Times New Roman"/>
          <w:color w:val="000000" w:themeColor="text1"/>
          <w:sz w:val="16"/>
          <w:szCs w:val="16"/>
        </w:rPr>
        <w:softHyphen/>
        <w:t>ние помех от системы зажигания мотора и других источников помех на самолете обеспечили заменой серийного антенного ввода антенным вводом, разработанным в НИСО.</w:t>
      </w:r>
    </w:p>
    <w:p w14:paraId="770D5E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установили фильтр, настроенный на опреде</w:t>
      </w:r>
      <w:r w:rsidRPr="00070ADE">
        <w:rPr>
          <w:rFonts w:ascii="Times New Roman" w:hAnsi="Times New Roman"/>
          <w:color w:val="000000" w:themeColor="text1"/>
          <w:sz w:val="16"/>
          <w:szCs w:val="16"/>
        </w:rPr>
        <w:softHyphen/>
        <w:t>ленную полосу частот, который полностью устранил падение чувствительности приемника РСИ-4 при работе на одну ан</w:t>
      </w:r>
      <w:r w:rsidRPr="00070ADE">
        <w:rPr>
          <w:rFonts w:ascii="Times New Roman" w:hAnsi="Times New Roman"/>
          <w:color w:val="000000" w:themeColor="text1"/>
          <w:sz w:val="16"/>
          <w:szCs w:val="16"/>
        </w:rPr>
        <w:softHyphen/>
        <w:t>тенну с РПК. Ранее из-за взаимного влияния друг на друга вы</w:t>
      </w:r>
      <w:r w:rsidRPr="00070ADE">
        <w:rPr>
          <w:rFonts w:ascii="Times New Roman" w:hAnsi="Times New Roman"/>
          <w:color w:val="000000" w:themeColor="text1"/>
          <w:sz w:val="16"/>
          <w:szCs w:val="16"/>
        </w:rPr>
        <w:softHyphen/>
        <w:t>ходных цепей приемников входной сигнал для РСИ-4 ослаб</w:t>
      </w:r>
      <w:r w:rsidRPr="00070ADE">
        <w:rPr>
          <w:rFonts w:ascii="Times New Roman" w:hAnsi="Times New Roman"/>
          <w:color w:val="000000" w:themeColor="text1"/>
          <w:sz w:val="16"/>
          <w:szCs w:val="16"/>
        </w:rPr>
        <w:softHyphen/>
        <w:t>лялся в 2—2,5 раза, а для РПК-10 — на 25—30%.</w:t>
      </w:r>
    </w:p>
    <w:p w14:paraId="56ECCC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Предложенные доработки радикально изменили картину. При полетах доработанного соответствующим образом серий</w:t>
      </w:r>
      <w:r w:rsidRPr="00070ADE">
        <w:rPr>
          <w:rFonts w:ascii="Times New Roman" w:hAnsi="Times New Roman"/>
          <w:color w:val="000000" w:themeColor="text1"/>
          <w:sz w:val="16"/>
          <w:szCs w:val="16"/>
        </w:rPr>
        <w:softHyphen/>
        <w:t>ного самолета Ил-2 зав. № 304054 дальность уверенной радио</w:t>
      </w:r>
      <w:r w:rsidRPr="00070ADE">
        <w:rPr>
          <w:rFonts w:ascii="Times New Roman" w:hAnsi="Times New Roman"/>
          <w:color w:val="000000" w:themeColor="text1"/>
          <w:sz w:val="16"/>
          <w:szCs w:val="16"/>
        </w:rPr>
        <w:softHyphen/>
        <w:t>связи с наземной радиостанцией РСБ-Ф возросла: на прием — до 75 км, на передачу с самолета на землю при хорошей слы</w:t>
      </w:r>
      <w:r w:rsidRPr="00070ADE">
        <w:rPr>
          <w:rFonts w:ascii="Times New Roman" w:hAnsi="Times New Roman"/>
          <w:color w:val="000000" w:themeColor="text1"/>
          <w:sz w:val="16"/>
          <w:szCs w:val="16"/>
        </w:rPr>
        <w:softHyphen/>
        <w:t>шимости — до 100—110 км.</w:t>
      </w:r>
    </w:p>
    <w:p w14:paraId="5570ED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Летчик-испытатель завода № 30 подполковник Б.И. Мак</w:t>
      </w:r>
      <w:r w:rsidRPr="00070ADE">
        <w:rPr>
          <w:rFonts w:ascii="Times New Roman" w:hAnsi="Times New Roman"/>
          <w:color w:val="000000" w:themeColor="text1"/>
          <w:sz w:val="16"/>
          <w:szCs w:val="16"/>
        </w:rPr>
        <w:softHyphen/>
        <w:t>симов в отчете от 22 апреля отмечал, что «прием на самолете проходит чисто, без заметного треска и шума, имевших место на серийных самолетах» (11474,379).</w:t>
      </w:r>
    </w:p>
    <w:p w14:paraId="685FDF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1AF3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в НИИ ВВС для произ</w:t>
      </w:r>
      <w:r w:rsidRPr="00070ADE">
        <w:rPr>
          <w:rFonts w:ascii="Times New Roman" w:hAnsi="Times New Roman"/>
          <w:color w:val="000000" w:themeColor="text1"/>
          <w:sz w:val="16"/>
          <w:szCs w:val="16"/>
        </w:rPr>
        <w:softHyphen/>
        <w:t>водства государственных испытаний был передан конкурент Ил-АМ-42 — опытный штурмовик Су-6 АМ-42. На самолете устанавливался четырехло-пастный винт АВ-9л-172 диаметром 3,4 м.</w:t>
      </w:r>
    </w:p>
    <w:p w14:paraId="41EC14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самолета включало две пушки 11 П (90 снарядов), два пу</w:t>
      </w:r>
      <w:r w:rsidRPr="00070ADE">
        <w:rPr>
          <w:rFonts w:ascii="Times New Roman" w:hAnsi="Times New Roman"/>
          <w:color w:val="000000" w:themeColor="text1"/>
          <w:sz w:val="16"/>
          <w:szCs w:val="16"/>
        </w:rPr>
        <w:softHyphen/>
        <w:t>лемета ШКАС (1400 патронов), обо</w:t>
      </w:r>
      <w:r w:rsidRPr="00070ADE">
        <w:rPr>
          <w:rFonts w:ascii="Times New Roman" w:hAnsi="Times New Roman"/>
          <w:color w:val="000000" w:themeColor="text1"/>
          <w:sz w:val="16"/>
          <w:szCs w:val="16"/>
        </w:rPr>
        <w:softHyphen/>
        <w:t>ронительный пулемет УБТ (150 пат</w:t>
      </w:r>
      <w:r w:rsidRPr="00070ADE">
        <w:rPr>
          <w:rFonts w:ascii="Times New Roman" w:hAnsi="Times New Roman"/>
          <w:color w:val="000000" w:themeColor="text1"/>
          <w:sz w:val="16"/>
          <w:szCs w:val="16"/>
        </w:rPr>
        <w:softHyphen/>
        <w:t>ронов), 6 ракетных орудий РО-82 или РО-132 и 400 кг бомб.</w:t>
      </w:r>
    </w:p>
    <w:p w14:paraId="18C9B2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Летные характеристики Су-6 АМ-42 в полном объеме снять не удалось по причине серьезных конструктив</w:t>
      </w:r>
      <w:r w:rsidRPr="00070ADE">
        <w:rPr>
          <w:rFonts w:ascii="Times New Roman" w:hAnsi="Times New Roman"/>
          <w:color w:val="000000" w:themeColor="text1"/>
          <w:sz w:val="16"/>
          <w:szCs w:val="16"/>
        </w:rPr>
        <w:softHyphen/>
        <w:t>ных и производственных дефектов ус</w:t>
      </w:r>
      <w:r w:rsidRPr="00070ADE">
        <w:rPr>
          <w:rFonts w:ascii="Times New Roman" w:hAnsi="Times New Roman"/>
          <w:color w:val="000000" w:themeColor="text1"/>
          <w:sz w:val="16"/>
          <w:szCs w:val="16"/>
        </w:rPr>
        <w:softHyphen/>
        <w:t>тановленного на самолете экземп</w:t>
      </w:r>
      <w:r w:rsidRPr="00070ADE">
        <w:rPr>
          <w:rFonts w:ascii="Times New Roman" w:hAnsi="Times New Roman"/>
          <w:color w:val="000000" w:themeColor="text1"/>
          <w:sz w:val="16"/>
          <w:szCs w:val="16"/>
        </w:rPr>
        <w:softHyphen/>
        <w:t>ляра мотора АМ-42 (возгорание сме</w:t>
      </w:r>
      <w:r w:rsidRPr="00070ADE">
        <w:rPr>
          <w:rFonts w:ascii="Times New Roman" w:hAnsi="Times New Roman"/>
          <w:color w:val="000000" w:themeColor="text1"/>
          <w:sz w:val="16"/>
          <w:szCs w:val="16"/>
        </w:rPr>
        <w:softHyphen/>
        <w:t>си во всасывающих патрубках, по</w:t>
      </w:r>
      <w:r w:rsidRPr="00070ADE">
        <w:rPr>
          <w:rFonts w:ascii="Times New Roman" w:hAnsi="Times New Roman"/>
          <w:color w:val="000000" w:themeColor="text1"/>
          <w:sz w:val="16"/>
          <w:szCs w:val="16"/>
        </w:rPr>
        <w:softHyphen/>
        <w:t>вышенный в 4-5 раз против нормы расход масла). Ни в одном из поле</w:t>
      </w:r>
      <w:r w:rsidRPr="00070ADE">
        <w:rPr>
          <w:rFonts w:ascii="Times New Roman" w:hAnsi="Times New Roman"/>
          <w:color w:val="000000" w:themeColor="text1"/>
          <w:sz w:val="16"/>
          <w:szCs w:val="16"/>
        </w:rPr>
        <w:softHyphen/>
        <w:t>тов мотор нормально не работал.</w:t>
      </w:r>
    </w:p>
    <w:p w14:paraId="0CCA18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предъяв</w:t>
      </w:r>
      <w:r w:rsidRPr="00070ADE">
        <w:rPr>
          <w:rFonts w:ascii="Times New Roman" w:hAnsi="Times New Roman"/>
          <w:color w:val="000000" w:themeColor="text1"/>
          <w:sz w:val="16"/>
          <w:szCs w:val="16"/>
        </w:rPr>
        <w:softHyphen/>
        <w:t>ленного на испытания Су-6 АМ-42 при полетном весе 6200 кг на высо</w:t>
      </w:r>
      <w:r w:rsidRPr="00070ADE">
        <w:rPr>
          <w:rFonts w:ascii="Times New Roman" w:hAnsi="Times New Roman"/>
          <w:color w:val="000000" w:themeColor="text1"/>
          <w:sz w:val="16"/>
          <w:szCs w:val="16"/>
        </w:rPr>
        <w:softHyphen/>
        <w:t>те 1000 м составила 508 км/ч, на высоте 2000 м - 519 км/ч. На высо</w:t>
      </w:r>
      <w:r w:rsidRPr="00070ADE">
        <w:rPr>
          <w:rFonts w:ascii="Times New Roman" w:hAnsi="Times New Roman"/>
          <w:color w:val="000000" w:themeColor="text1"/>
          <w:sz w:val="16"/>
          <w:szCs w:val="16"/>
        </w:rPr>
        <w:softHyphen/>
        <w:t>ту 1000 м самолет забирался за 2 минуты.</w:t>
      </w:r>
    </w:p>
    <w:p w14:paraId="402183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испытаний крупнокалибер</w:t>
      </w:r>
      <w:r w:rsidRPr="00070ADE">
        <w:rPr>
          <w:rFonts w:ascii="Times New Roman" w:hAnsi="Times New Roman"/>
          <w:color w:val="000000" w:themeColor="text1"/>
          <w:sz w:val="16"/>
          <w:szCs w:val="16"/>
        </w:rPr>
        <w:softHyphen/>
        <w:t>ные пушки 11 П были заменены стан</w:t>
      </w:r>
      <w:r w:rsidRPr="00070ADE">
        <w:rPr>
          <w:rFonts w:ascii="Times New Roman" w:hAnsi="Times New Roman"/>
          <w:color w:val="000000" w:themeColor="text1"/>
          <w:sz w:val="16"/>
          <w:szCs w:val="16"/>
        </w:rPr>
        <w:softHyphen/>
        <w:t>дартными пушками штурмовой авиа</w:t>
      </w:r>
      <w:r w:rsidRPr="00070ADE">
        <w:rPr>
          <w:rFonts w:ascii="Times New Roman" w:hAnsi="Times New Roman"/>
          <w:color w:val="000000" w:themeColor="text1"/>
          <w:sz w:val="16"/>
          <w:szCs w:val="16"/>
        </w:rPr>
        <w:softHyphen/>
        <w:t>ции Красной Армии — ВЯ-23 (240 сна</w:t>
      </w:r>
      <w:r w:rsidRPr="00070ADE">
        <w:rPr>
          <w:rFonts w:ascii="Times New Roman" w:hAnsi="Times New Roman"/>
          <w:color w:val="000000" w:themeColor="text1"/>
          <w:sz w:val="16"/>
          <w:szCs w:val="16"/>
        </w:rPr>
        <w:softHyphen/>
        <w:t>рядов). Вес бомбовой нагрузки вы</w:t>
      </w:r>
      <w:r w:rsidRPr="00070ADE">
        <w:rPr>
          <w:rFonts w:ascii="Times New Roman" w:hAnsi="Times New Roman"/>
          <w:color w:val="000000" w:themeColor="text1"/>
          <w:sz w:val="16"/>
          <w:szCs w:val="16"/>
        </w:rPr>
        <w:softHyphen/>
        <w:t>рос до 600 кг, то есть сравнялся с бомбовой нагрузкой Ил-АМ-42 (11428).</w:t>
      </w:r>
    </w:p>
    <w:p w14:paraId="60BDEF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936E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апреля 1944 г. ОКБ серийного завода № 24, которое было филиалом микулинского завода завода, получило полную самостоятельность в своей работе. Основной задачей, которую решало это ОКБ, первоначально была доводка мотора АМ-42, включая работы по созданию высотной модификации мотора АМ-42 с аппаратурой непосредственного впрыска топлива АМ-42НВ. В связи с получением самостоятельности главный конструктор Позже ОКБ поручили АМ-43. М.Р. Флиский добился изменения наименования мотора на АМ-43 на М-43НВ (9030).</w:t>
      </w:r>
    </w:p>
    <w:p w14:paraId="3FF242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550D86" w14:textId="77777777" w:rsidR="000656CD" w:rsidRPr="00070ADE" w:rsidRDefault="000656CD"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при начале гос. испытаний серийного Ер-2 М-30Б N 7013901 в НИИ ВВС начались проблемы (3322,41).</w:t>
      </w:r>
    </w:p>
    <w:p w14:paraId="6CF49396" w14:textId="77777777" w:rsidR="000656CD" w:rsidRPr="00070ADE" w:rsidRDefault="000656CD"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CECD63" w14:textId="77777777" w:rsidR="000656CD" w:rsidRPr="00070ADE" w:rsidRDefault="000656CD" w:rsidP="00B56F90">
      <w:pPr>
        <w:pStyle w:val="a3"/>
        <w:rPr>
          <w:color w:val="000000" w:themeColor="text1"/>
          <w:lang w:val="ru-RU"/>
        </w:rPr>
      </w:pPr>
      <w:r w:rsidRPr="00070ADE">
        <w:rPr>
          <w:color w:val="000000" w:themeColor="text1"/>
          <w:lang w:val="ru-RU"/>
        </w:rPr>
        <w:t>С апреля 1944 г. серийные самолёты Ер-2 стали поступать на вооружение строевых частей АДД (с декабря 1944 г. — 18-й Воздушной Армии). В процессе экс</w:t>
      </w:r>
      <w:r w:rsidRPr="00070ADE">
        <w:rPr>
          <w:color w:val="000000" w:themeColor="text1"/>
          <w:lang w:val="ru-RU"/>
        </w:rPr>
        <w:softHyphen/>
        <w:t>плуатации в войсках подтвердились все дефекты, выявленные при госиспытаниях и, кроме того, обнаружились новые, обусловленные недостаточной прочностью отдельных элементов конструкции самолёта (15810).</w:t>
      </w:r>
    </w:p>
    <w:p w14:paraId="01AA3E63" w14:textId="77777777" w:rsidR="000656CD" w:rsidRPr="00070ADE" w:rsidRDefault="000656CD" w:rsidP="00B56F90">
      <w:pPr>
        <w:pStyle w:val="a3"/>
        <w:rPr>
          <w:color w:val="000000" w:themeColor="text1"/>
          <w:lang w:val="ru-RU"/>
        </w:rPr>
      </w:pPr>
    </w:p>
    <w:p w14:paraId="7B281355" w14:textId="77777777" w:rsidR="000656CD" w:rsidRPr="00070ADE" w:rsidRDefault="000656CD"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ОКБ А.Н.Т. проводило исследовательские работы в ходе испытаний машины N 716 по определению максимальной и критической скоростей планирования. Вывод: "Самолет Ту-2 АШ-82ФН N 716 с увеличенным вертикальным оперением имеет хорошую управляемость в полете на минимальных скоростях и нормальное поведение на штопоре (1835,32).</w:t>
      </w:r>
    </w:p>
    <w:p w14:paraId="4B7AAD00" w14:textId="77777777" w:rsidR="000656CD" w:rsidRPr="00070ADE" w:rsidRDefault="000656CD"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B7DC85" w14:textId="77777777" w:rsidR="00284391" w:rsidRPr="00070ADE" w:rsidRDefault="002843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на специальном техническом совещании в ЦИАМе с участием представителей НАТИ, ЦАГИ и НИИ ГВФ рассматривались предложения Прокофьева и Бабулина и заключения экспертной комиссии НКАП по предложению, подготовленное в 1943 году.</w:t>
      </w:r>
    </w:p>
    <w:p w14:paraId="3E9382EE" w14:textId="77777777" w:rsidR="00284391" w:rsidRPr="00070ADE" w:rsidRDefault="002843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Начальником 7 Главного управления НКАП С.Шишкин представил 29 сентября 1944 г.заключение по предложению Прокофьева и Бабулина [РГАЭ Ф. 8044 оп. 1 д. 1196 лл. 162-163].</w:t>
      </w:r>
    </w:p>
    <w:p w14:paraId="3C12A92C" w14:textId="77777777" w:rsidR="00284391" w:rsidRPr="00070ADE" w:rsidRDefault="002843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 экспертной комиссии и технического совещания совпадают и указывают на нецелесообразность реализации предложенного проекта из-за следующих недостатков:</w:t>
      </w:r>
    </w:p>
    <w:p w14:paraId="32F0C61E" w14:textId="77777777" w:rsidR="00284391" w:rsidRPr="00070ADE" w:rsidRDefault="002843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мощность мотора при переводе его на низкокалорийное топливо падает на 30-35%.</w:t>
      </w:r>
    </w:p>
    <w:p w14:paraId="59ED2B2A" w14:textId="77777777" w:rsidR="00284391" w:rsidRPr="00070ADE" w:rsidRDefault="002843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удельный и абсолютный вес газогенераторной установки значительно выше, чем у бензинового двигателя.</w:t>
      </w:r>
    </w:p>
    <w:p w14:paraId="7A9DC1EC" w14:textId="77777777" w:rsidR="00284391" w:rsidRPr="00070ADE" w:rsidRDefault="002843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аэродинамические качества самолёта ухудшаются.</w:t>
      </w:r>
    </w:p>
    <w:p w14:paraId="11256882" w14:textId="77777777" w:rsidR="00284391" w:rsidRPr="00070ADE" w:rsidRDefault="002843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установка газогенератора на самолёте деревянной конструкции недопустима вследствие увеличения пожарной опасности (взрывы в бункерах и т.п.)</w:t>
      </w:r>
    </w:p>
    <w:p w14:paraId="6326FABF" w14:textId="77777777" w:rsidR="00284391" w:rsidRPr="00070ADE" w:rsidRDefault="002843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условия эксплуатации самолёта усложняются, а надёжность работы двигателя понижается весьма сильно.</w:t>
      </w:r>
    </w:p>
    <w:p w14:paraId="696E6214" w14:textId="77777777" w:rsidR="00284391" w:rsidRPr="00070ADE" w:rsidRDefault="002843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необходимость создания специальных заводов для изготовления брикетированного угля.</w:t>
      </w:r>
    </w:p>
    <w:p w14:paraId="4AB57A4C" w14:textId="77777777" w:rsidR="00284391" w:rsidRPr="00070ADE" w:rsidRDefault="002843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Указанные в заключении экспертной комиссии НКАП и технического совещания в ЦИАМ недостатки приводят к ухудшению лётных данных самолёта и уменьшению полезной нагрузки: </w:t>
      </w:r>
    </w:p>
    <w:p w14:paraId="2F219811" w14:textId="77777777" w:rsidR="00284391" w:rsidRPr="00070ADE" w:rsidRDefault="002843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 Продолжительность полёта, если исходить из принятого авторами удельного веса газогенераторной установки = 0,78 кг/л.с. при сохранении полезной нагрузки, падает почти в 3 раза. Если же исходить из удельных весов газогенераторной установки, которые дают специалисты НАТИ и ЦИАМ – от 2 до 2,5 кг/л.с., то при тех же условиях продолжительность полёта будет практически близка к нулю. </w:t>
      </w:r>
    </w:p>
    <w:p w14:paraId="36D39194" w14:textId="77777777" w:rsidR="00284391" w:rsidRPr="00070ADE" w:rsidRDefault="002843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 Максимальная скорость горизонтального полёта уменьшается на 10-12%. </w:t>
      </w:r>
    </w:p>
    <w:p w14:paraId="6D84A697" w14:textId="77777777" w:rsidR="00284391" w:rsidRPr="00070ADE" w:rsidRDefault="002843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Длина разбега возрастает на 30-35%.</w:t>
      </w:r>
    </w:p>
    <w:p w14:paraId="14F7E82B" w14:textId="77777777" w:rsidR="00284391" w:rsidRPr="00070ADE" w:rsidRDefault="002843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Установка газогенератора потребует коренной перекомпоновки самолёта, из-за увеличения веса, габаритов силовой установки, малого удельного веса топлива и нарушения, в связи с этим, центровки самолёта.</w:t>
      </w:r>
    </w:p>
    <w:p w14:paraId="05927019" w14:textId="77777777" w:rsidR="00284391" w:rsidRPr="00070ADE" w:rsidRDefault="002843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Из изложенного следует, что предложенный Прокофьевым и Бабулиным проект газогенераторного самолёта не имеет серьёзного практического значения и реализация его нецелесообразна». Приведенное выше заключение призвано было дать основание для принятия практического решения. Предложение о таком решении было изложено Начальником 7-го ГУ НКАП Шишкиным в его письме на имя наркома Шахурина от 13 июня 1944 г. [РГАЭ Ф. 8044 оп. 1 д. 1196 лл. 164-1652] Практически </w:t>
      </w:r>
      <w:r w:rsidRPr="00070ADE">
        <w:rPr>
          <w:rFonts w:ascii="Times New Roman" w:hAnsi="Times New Roman"/>
          <w:color w:val="000000" w:themeColor="text1"/>
          <w:sz w:val="16"/>
          <w:szCs w:val="16"/>
        </w:rPr>
        <w:lastRenderedPageBreak/>
        <w:t>дословно пересказав содержание Заключения, Шишкин заканчивал своё письмо словами: «Из вышеизложенного следует, что предложенный т.т ПРОКОФЬЕВЫМ и БАБУЛИНЫМ проект газогенераторного самолёта не имеет серьёзного практического значения и реализация его нецелесообразна». Он добавлял к этому: «Для экономии бензина, на данном этапе видимо было бы целесообразнее перевести на газогенераторное топливо весь автотранспорт». Как следует понимать, нарком с такой позицией согласился. Основания для отклонения проекта выглядели достаточно серьёзно, однако авторы идеи попытались оспорить полученный отказ. (23190).</w:t>
      </w:r>
    </w:p>
    <w:p w14:paraId="5DE32494" w14:textId="77777777" w:rsidR="00284391" w:rsidRPr="00070ADE" w:rsidRDefault="00284391" w:rsidP="00B56F90">
      <w:pPr>
        <w:spacing w:after="0" w:line="240" w:lineRule="auto"/>
        <w:jc w:val="both"/>
        <w:rPr>
          <w:rFonts w:ascii="Times New Roman" w:hAnsi="Times New Roman"/>
          <w:color w:val="000000" w:themeColor="text1"/>
          <w:sz w:val="16"/>
          <w:szCs w:val="16"/>
        </w:rPr>
      </w:pPr>
    </w:p>
    <w:p w14:paraId="786964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был изготовлен первый экземпляр пушки Н-37, а в августе 1944 г. завершились наземные заводские испытания па</w:t>
      </w:r>
      <w:r w:rsidRPr="00070ADE">
        <w:rPr>
          <w:rFonts w:ascii="Times New Roman" w:hAnsi="Times New Roman"/>
          <w:color w:val="000000" w:themeColor="text1"/>
          <w:sz w:val="16"/>
          <w:szCs w:val="16"/>
        </w:rPr>
        <w:softHyphen/>
        <w:t>трона и пушки. Разработка 37-мм пушки Н-37 имела цель получить пушку с меньшим весом и большим темпом стрельбы, чем у 37-мм пушки НС-37. Для этого пришлось уменьшить начальную скорость снаря</w:t>
      </w:r>
      <w:r w:rsidRPr="00070ADE">
        <w:rPr>
          <w:rFonts w:ascii="Times New Roman" w:hAnsi="Times New Roman"/>
          <w:color w:val="000000" w:themeColor="text1"/>
          <w:sz w:val="16"/>
          <w:szCs w:val="16"/>
        </w:rPr>
        <w:softHyphen/>
        <w:t>да по сравнению с НС-37. Гильза была переделана из гильзы 37-мм патрона зенитной пушки 70К. Гильзу укоротили, переобжали и переделали закраину. Вес нового патрона снизился почти в 1,5 раза, чем у НС-37. Работа автоматики Н-37 основана на принципе использования энергии отдачи при коротком ходе ствола. Основная часть энергии отдачи использовалась на перемещение подвижных частей, преодо</w:t>
      </w:r>
      <w:r w:rsidRPr="00070ADE">
        <w:rPr>
          <w:rFonts w:ascii="Times New Roman" w:hAnsi="Times New Roman"/>
          <w:color w:val="000000" w:themeColor="text1"/>
          <w:sz w:val="16"/>
          <w:szCs w:val="16"/>
        </w:rPr>
        <w:softHyphen/>
        <w:t>ление сил трения и на сжатие пружин, а оставшаяся энергия погло</w:t>
      </w:r>
      <w:r w:rsidRPr="00070ADE">
        <w:rPr>
          <w:rFonts w:ascii="Times New Roman" w:hAnsi="Times New Roman"/>
          <w:color w:val="000000" w:themeColor="text1"/>
          <w:sz w:val="16"/>
          <w:szCs w:val="16"/>
        </w:rPr>
        <w:softHyphen/>
        <w:t>щалась гидравлическим и дульным тормозами. Канал ствола запи</w:t>
      </w:r>
      <w:r w:rsidRPr="00070ADE">
        <w:rPr>
          <w:rFonts w:ascii="Times New Roman" w:hAnsi="Times New Roman"/>
          <w:color w:val="000000" w:themeColor="text1"/>
          <w:sz w:val="16"/>
          <w:szCs w:val="16"/>
        </w:rPr>
        <w:softHyphen/>
        <w:t>рался затвором поршневого типа. Перезаряжание пневматическое. Пушка имела ускоритель, сообщавший запирающему агрегату Щувеличенную скорость относительно движущейся назад силовой коробки. Питание пушки прямое. Патрон подавался подаватель-ными рейками в затвор, а затвором — непосредственно в патрон</w:t>
      </w:r>
      <w:r w:rsidRPr="00070ADE">
        <w:rPr>
          <w:rFonts w:ascii="Times New Roman" w:hAnsi="Times New Roman"/>
          <w:color w:val="000000" w:themeColor="text1"/>
          <w:sz w:val="16"/>
          <w:szCs w:val="16"/>
        </w:rPr>
        <w:softHyphen/>
        <w:t>ник ствола (10695).</w:t>
      </w:r>
    </w:p>
    <w:p w14:paraId="7E34CF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F79191" w14:textId="7C793C01" w:rsidR="0092480E" w:rsidRPr="00070ADE" w:rsidRDefault="0092480E" w:rsidP="00B56F90">
      <w:pPr>
        <w:pStyle w:val="rtejustify"/>
        <w:shd w:val="clear" w:color="auto" w:fill="FFFFFF"/>
        <w:spacing w:before="0" w:after="0"/>
        <w:rPr>
          <w:color w:val="000000" w:themeColor="text1"/>
          <w:sz w:val="16"/>
          <w:szCs w:val="16"/>
        </w:rPr>
      </w:pPr>
      <w:r w:rsidRPr="00070ADE">
        <w:rPr>
          <w:color w:val="000000" w:themeColor="text1"/>
          <w:sz w:val="16"/>
          <w:szCs w:val="16"/>
        </w:rPr>
        <w:t>В апреле 1944 г. был изготовлен первый экземпляр пушки ОКБ-16 120-П, а в августе 1944 г. были завершены наземные государственные испытания патрона и пушки, после чего пушка получила наименование Н-37. После завершения наземных испытаний, не дожидаясь завершения лётных испытаний, по инициативе наркома Д. Ф. Устинова было решено начать серийное производство пушки Н-37 на заводе № 74.</w:t>
      </w:r>
      <w:r w:rsidR="00B643A8" w:rsidRPr="00070ADE">
        <w:rPr>
          <w:color w:val="000000" w:themeColor="text1"/>
          <w:sz w:val="16"/>
          <w:szCs w:val="16"/>
        </w:rPr>
        <w:t xml:space="preserve"> </w:t>
      </w:r>
    </w:p>
    <w:p w14:paraId="169846EA" w14:textId="77777777" w:rsidR="0092480E" w:rsidRPr="00070ADE" w:rsidRDefault="0092480E" w:rsidP="00B56F90">
      <w:pPr>
        <w:pStyle w:val="rtejustify"/>
        <w:shd w:val="clear" w:color="auto" w:fill="FFFFFF"/>
        <w:spacing w:before="0" w:after="0"/>
        <w:rPr>
          <w:color w:val="000000" w:themeColor="text1"/>
          <w:sz w:val="16"/>
          <w:szCs w:val="16"/>
        </w:rPr>
      </w:pPr>
      <w:r w:rsidRPr="00070ADE">
        <w:rPr>
          <w:color w:val="000000" w:themeColor="text1"/>
          <w:sz w:val="16"/>
          <w:szCs w:val="16"/>
        </w:rPr>
        <w:t>Первые летные испытания проводились на Як-9Т и Як-9УТ в марте 1945 г. Пушка была установлена в моторе. В дальнейшем летные испытания проводились на МиГ-9. В МиГ-9 пушка была установлена так, что ствол оказался в центре воздухозаборника двигателя. Из-за этого при стрельбе на высоте 7000- 8000 м происходила остановка двигателя. Для устранения этого явления было создано специальное дульное устройство – локализатор. Тем не менее, применение локализатора не предотвратило остановки двигателя при высотных стрельбах. Вскоре применение МиГ-9 с пушкой Н-37 в войсках было ограничено на высоте 3000 м, поскольку до этой высоты стрельба не влияла на работу двигателя (19170).</w:t>
      </w:r>
    </w:p>
    <w:p w14:paraId="6AE52D50" w14:textId="77777777" w:rsidR="0092480E" w:rsidRPr="00070ADE" w:rsidRDefault="0092480E" w:rsidP="00B56F90">
      <w:pPr>
        <w:spacing w:after="0" w:line="240" w:lineRule="auto"/>
        <w:jc w:val="both"/>
        <w:rPr>
          <w:rFonts w:ascii="Times New Roman" w:hAnsi="Times New Roman"/>
          <w:color w:val="000000" w:themeColor="text1"/>
          <w:sz w:val="16"/>
          <w:szCs w:val="16"/>
        </w:rPr>
      </w:pPr>
    </w:p>
    <w:p w14:paraId="750839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изготовили первый экз. Н-37 (3996, 128).</w:t>
      </w:r>
    </w:p>
    <w:p w14:paraId="579831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BD59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был изготовлен первый образец пушки Н-37 (263,96).</w:t>
      </w:r>
    </w:p>
    <w:p w14:paraId="6F31A73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E973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командование ВВС утвердило для ОКБ—155 А.И.Микояна тактико-технические требования к одноместному высотному истребителю с мотором АМ—43, оснащенным турбокомпрессором, с высот</w:t>
      </w:r>
      <w:r w:rsidRPr="00070ADE">
        <w:rPr>
          <w:rFonts w:ascii="Times New Roman" w:hAnsi="Times New Roman"/>
          <w:color w:val="000000" w:themeColor="text1"/>
          <w:sz w:val="16"/>
          <w:szCs w:val="16"/>
        </w:rPr>
        <w:softHyphen/>
        <w:t>ностью 12000 м и максимальной скоростью 700 км/ч на высоте 8000 м. Двигатель, представлявший собой дальнейшее развитие мотора АМ—42, был спроек</w:t>
      </w:r>
      <w:r w:rsidRPr="00070ADE">
        <w:rPr>
          <w:rFonts w:ascii="Times New Roman" w:hAnsi="Times New Roman"/>
          <w:color w:val="000000" w:themeColor="text1"/>
          <w:sz w:val="16"/>
          <w:szCs w:val="16"/>
        </w:rPr>
        <w:softHyphen/>
        <w:t>тирован и построен на заводе № 300 в одном эк</w:t>
      </w:r>
      <w:r w:rsidRPr="00070ADE">
        <w:rPr>
          <w:rFonts w:ascii="Times New Roman" w:hAnsi="Times New Roman"/>
          <w:color w:val="000000" w:themeColor="text1"/>
          <w:sz w:val="16"/>
          <w:szCs w:val="16"/>
        </w:rPr>
        <w:softHyphen/>
        <w:t>земпляре. Он имел непосредственный впрыск топ</w:t>
      </w:r>
      <w:r w:rsidRPr="00070ADE">
        <w:rPr>
          <w:rFonts w:ascii="Times New Roman" w:hAnsi="Times New Roman"/>
          <w:color w:val="000000" w:themeColor="text1"/>
          <w:sz w:val="16"/>
          <w:szCs w:val="16"/>
        </w:rPr>
        <w:softHyphen/>
        <w:t>лива в цилиндры. Мотор имел взлетную мощность 2300 л.с. и номинальную — 2000 л.с. на расчетной высоте 2300 м. Увеличение мощности достигалось благодаря применению нового всасывающего тру</w:t>
      </w:r>
      <w:r w:rsidRPr="00070ADE">
        <w:rPr>
          <w:rFonts w:ascii="Times New Roman" w:hAnsi="Times New Roman"/>
          <w:color w:val="000000" w:themeColor="text1"/>
          <w:sz w:val="16"/>
          <w:szCs w:val="16"/>
        </w:rPr>
        <w:softHyphen/>
        <w:t>бопровода, увеличенному проходному сечению вы</w:t>
      </w:r>
      <w:r w:rsidRPr="00070ADE">
        <w:rPr>
          <w:rFonts w:ascii="Times New Roman" w:hAnsi="Times New Roman"/>
          <w:color w:val="000000" w:themeColor="text1"/>
          <w:sz w:val="16"/>
          <w:szCs w:val="16"/>
        </w:rPr>
        <w:softHyphen/>
        <w:t>пускных клапанов и постановке нового кулачкового валика с расширенными фазами газораспределе</w:t>
      </w:r>
      <w:r w:rsidRPr="00070ADE">
        <w:rPr>
          <w:rFonts w:ascii="Times New Roman" w:hAnsi="Times New Roman"/>
          <w:color w:val="000000" w:themeColor="text1"/>
          <w:sz w:val="16"/>
          <w:szCs w:val="16"/>
        </w:rPr>
        <w:softHyphen/>
        <w:t>ния. Решением ГОКО в 1944 г. доводка мотора АМ—43 была поручена главному конструктору М.Р.Флискому и заводу № 24. Заметим, что двига</w:t>
      </w:r>
      <w:r w:rsidRPr="00070ADE">
        <w:rPr>
          <w:rFonts w:ascii="Times New Roman" w:hAnsi="Times New Roman"/>
          <w:color w:val="000000" w:themeColor="text1"/>
          <w:sz w:val="16"/>
          <w:szCs w:val="16"/>
        </w:rPr>
        <w:softHyphen/>
        <w:t>тель АМ—43 в отличие от предшественников отно</w:t>
      </w:r>
      <w:r w:rsidRPr="00070ADE">
        <w:rPr>
          <w:rFonts w:ascii="Times New Roman" w:hAnsi="Times New Roman"/>
          <w:color w:val="000000" w:themeColor="text1"/>
          <w:sz w:val="16"/>
          <w:szCs w:val="16"/>
        </w:rPr>
        <w:softHyphen/>
        <w:t>сился к типу «пушечных», то есть позволял разме</w:t>
      </w:r>
      <w:r w:rsidRPr="00070ADE">
        <w:rPr>
          <w:rFonts w:ascii="Times New Roman" w:hAnsi="Times New Roman"/>
          <w:color w:val="000000" w:themeColor="text1"/>
          <w:sz w:val="16"/>
          <w:szCs w:val="16"/>
        </w:rPr>
        <w:softHyphen/>
        <w:t>щать авиационную артсистему между блоками мотора. Поэтому вооружение самолета стало замет</w:t>
      </w:r>
      <w:r w:rsidRPr="00070ADE">
        <w:rPr>
          <w:rFonts w:ascii="Times New Roman" w:hAnsi="Times New Roman"/>
          <w:color w:val="000000" w:themeColor="text1"/>
          <w:sz w:val="16"/>
          <w:szCs w:val="16"/>
        </w:rPr>
        <w:softHyphen/>
        <w:t>но мощнее: одна пушка калибра 37 мм и две пушки калибра 20 мм (в крыле) (9984).</w:t>
      </w:r>
    </w:p>
    <w:p w14:paraId="3CFB13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21F4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харьковский завод начал налаживать выпуск запасных частей для Як-1 и крыльев для Як-3 (10674).</w:t>
      </w:r>
    </w:p>
    <w:p w14:paraId="3C9BA1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9883B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в ОКБ был готов Як-9ДД ВК-105ПФ и его стали делать с мая 1944, изготовив к сентябрю 1945 399 (65,138).</w:t>
      </w:r>
    </w:p>
    <w:p w14:paraId="3A6720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515D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в ОКБ А.С.Я. был подготовлен эскизный проект высотного истребителя-перехватчика с большой вертикальной и горизонтальной маневренностью и отличающийся от Як-3 двигателем ВК-105ПД с двухступенчатым нагнетателем и изменениями в ВМГ. Стал Як-3ПД (65,174).</w:t>
      </w:r>
    </w:p>
    <w:p w14:paraId="497F25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D303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года подготовили технические предложения по созданию высотного истребителя-перехватчика Як-ЗПД с двигателем ВК-105ПД, оснащенным двухступенчатым нагнетателем. Тогда самолет предлагалось вооружить тремя 20-мм пушками Березина с боекомплектом по 150 патронов на ствол. Но какое крыло запланировали на этой машине, документ умалчивает.</w:t>
      </w:r>
    </w:p>
    <w:p w14:paraId="132ADB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тому времени было ясно, что с двигателем ВК-105ПД нужных результатов не добиться, но другого не было, а Як-3 получался почти на 200 кг легче, чем Як-9. Расчеты показали, что при полетном весе 2650 кг практический потолок Як-ЗПД достигнет 12 900 метров. Но этого было недостаточно, поскольку еще постановлением ГКО от 12 июня 1943 года предписывалось промышленности создать самолет, способный подниматься на 13 000 - 14 000 метров. Что касается других параметров перехватчика, то максимальная скорость у земли оценивалась в 540 км/ч, на 5000 метрах - 656 км/ч, а на 10 800 метрах - 715 км/ч. Время набора высоты 10 000 метров - 10,8 минуты.</w:t>
      </w:r>
    </w:p>
    <w:p w14:paraId="6E2377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Рабочее проектирование самолета началось осенью 1944 года. В отличие от технического предложения, сделанного весной, на самолете увеличили на 0,5 м2 площадь крыла и изменили вооружение, оставив в его арсенале лишь одну пушку НС-23 с 60 патронами. В итоге машина должна была полегчать до 2580 кг, но расчетный потолок почему-то получился ниже - 12 500 метров, хотя максимальная скорость на высоте 10 800 метров осталась неизменной. В вариант Як-ЗПД доработали серийный самолет №3620, на котором установили двигатель ВК-105ПД с двухступенчатым нагнетателем Э100 разработки ЦИАМ. При этом машина потяжелела до 2616 кг (запас горючего - 270 кг). Заводские испытания самолета начал летчик М.И. Иванов 5 февраля 1945 года. В тот день он проверил работу силовой установки с серийным винтом ВИШ-105СВ-02. Всасывающий патрубок двигателя находился под фюзеляжем перед туннелем водорадиатора (как на Як-9ПД), а двигатель для уменьшения температуры воздуха за нагнетателем был оборудован системой впрыска 50%-ной спирто-вод- ной смеси, располагавшейся между ступенями нагнетателя.</w:t>
      </w:r>
    </w:p>
    <w:p w14:paraId="61BC2A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Спустя две недели, 18 февраля, машину опробовали с винтом ВИШ-105ТЛ-2, при этом была достигнута высота 9000 метров, но из-за падения давления бензина до нуля полет пришлось прекратить.</w:t>
      </w:r>
    </w:p>
    <w:p w14:paraId="0AAB80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следующий день М.И. Иванов перегнал самолет в Летно-исследовательский институт для дальнейших испытаний и доводки, которая затянулась до 5 мая 1945 года.</w:t>
      </w:r>
    </w:p>
    <w:p w14:paraId="705D56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отчета ЛИИ, на самолете (ведущий инженер Е.Ф.Шварцбург) с опытным винтом ВИШ-105ТЛ-2 диаметром 3 метра с отшлифованными лопастями с 23 февраля по 3 мая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47D716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Як-ЗПД практический потолок достиг 13 ООО метров. Но на номинальном режиме работы двигателя при полностью открытых заслонках водо- и маслорадиаторов высота полета не превышала 10 ООО метров.</w:t>
      </w:r>
    </w:p>
    <w:p w14:paraId="21869F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Пока шли рдботы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 Як-ЗРД пытателем И.И. Шунейко, что исключило с дополнительным помпажные явления в компрессоре, и для двигателем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44A33A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7Ю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451040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1B7B7D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6B7B3E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21823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закончились гос. испытания Як-3Т - переделки серийного Як-3 с двумя синхронными п Б-20С с боезапасом по 100 снарядов и одной центральной Н-37 с 25 снарядами, которые шли с февраля 1944. Машину предельно облегчили сняв все лишнее. Линия прицеливания не сбивалась после 3-4 выстрелов как у Як-9Т, но военные не могли согласиться с предельно облегченной машиной даже без бронирования. Система охлаждения также работала неудовлетворительно (1728,33).</w:t>
      </w:r>
    </w:p>
    <w:p w14:paraId="232682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7B88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завод № 292 отправил на фронт первые Як-3. В мае их выпуск составил 21,6% от общего выпуска машин заводом, в июне - 52,7%, в июле - 98,1 %. 5 декабря завод выполнил план 1944 года на 108,5%, окончательно перейдя на изготовление Як-3.</w:t>
      </w:r>
    </w:p>
    <w:p w14:paraId="793E4A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Первые машины, укомплектованные одной пушкой МП-20 и пулеметом БС, стали покидать сборочный цех в марте 1944 года. В таком виде было выпущено 12 серий самолетов. Затем истребители начали комплектоваться орудием МП-20 и двумя БСами.</w:t>
      </w:r>
    </w:p>
    <w:p w14:paraId="65B043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Благодаря хорошему контролю вес самолета изменялся незначительно. Так, по имеющейся статистике, разница в весе пустых самолетов, выпушенных с ноября 1944-го по май 1945 года изменялась в пределах 5-6 кг (12047).</w:t>
      </w:r>
    </w:p>
    <w:p w14:paraId="360E74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38930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апреля 1944 года завод № 31 приступил к серийному выпуску самолета Як-3 М-107.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211D93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06B42F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498555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1B2D48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3341F5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0484E9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завода Хведелиани</w:t>
      </w:r>
    </w:p>
    <w:p w14:paraId="7A0F1E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Тбилиси, п/я 51. С июля 1956 года завод приступил к освоению нового самолета МИГ-21 (9821).</w:t>
      </w:r>
    </w:p>
    <w:p w14:paraId="312392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3AAE4C"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апреле 1944 года появилась модификация Яе-3ПД. Это был высотный истребитель, оснащенный двигателем ВК</w:t>
      </w:r>
      <w:r w:rsidRPr="00C94B78">
        <w:rPr>
          <w:rFonts w:ascii="Times New Roman" w:hAnsi="Times New Roman"/>
          <w:color w:val="0070C0"/>
          <w:sz w:val="16"/>
          <w:szCs w:val="16"/>
        </w:rPr>
        <w:noBreakHyphen/>
        <w:t>105ПД с двухступенчатым наддувом. Расчеты показали возможность достигнуть потолка 12900 метров. На высоте 5000 метров максимальная скорость составляла бы 656 км/ч, высоту 10000 метров самолет набирал бы за 10,8 минут. Практические характеристики оказались немного хуже расчетных. В январе высотный двигатель установили на планере Як</w:t>
      </w:r>
      <w:r w:rsidRPr="00C94B78">
        <w:rPr>
          <w:rFonts w:ascii="Times New Roman" w:hAnsi="Times New Roman"/>
          <w:color w:val="0070C0"/>
          <w:sz w:val="16"/>
          <w:szCs w:val="16"/>
        </w:rPr>
        <w:noBreakHyphen/>
        <w:t>3 (36–20). В феврале провели два пробных полета. Удалось достичь высоты лишь 9000 метров, после чего давление топлива упало до нуля. 19 февраля 1945 года самолет передали в ЛИИ. Тут он получил новый двигатель с наддувом Э</w:t>
      </w:r>
      <w:r w:rsidRPr="00C94B78">
        <w:rPr>
          <w:rFonts w:ascii="Times New Roman" w:hAnsi="Times New Roman"/>
          <w:color w:val="0070C0"/>
          <w:sz w:val="16"/>
          <w:szCs w:val="16"/>
        </w:rPr>
        <w:noBreakHyphen/>
        <w:t>100, а испытания продолжались до 5 мая 1945 года. Кроме того, самолет получил новое вооружение, состоявшее из пушки НС</w:t>
      </w:r>
      <w:r w:rsidRPr="00C94B78">
        <w:rPr>
          <w:rFonts w:ascii="Times New Roman" w:hAnsi="Times New Roman"/>
          <w:color w:val="0070C0"/>
          <w:sz w:val="16"/>
          <w:szCs w:val="16"/>
        </w:rPr>
        <w:noBreakHyphen/>
        <w:t>23 (60 выстрелов). Размах крыльев увеличили на 60 см. двигатель вращал винт ВИШ</w:t>
      </w:r>
      <w:r w:rsidRPr="00C94B78">
        <w:rPr>
          <w:rFonts w:ascii="Times New Roman" w:hAnsi="Times New Roman"/>
          <w:color w:val="0070C0"/>
          <w:sz w:val="16"/>
          <w:szCs w:val="16"/>
        </w:rPr>
        <w:noBreakHyphen/>
        <w:t>105Л</w:t>
      </w:r>
      <w:r w:rsidRPr="00C94B78">
        <w:rPr>
          <w:rFonts w:ascii="Times New Roman" w:hAnsi="Times New Roman"/>
          <w:color w:val="0070C0"/>
          <w:sz w:val="16"/>
          <w:szCs w:val="16"/>
        </w:rPr>
        <w:noBreakHyphen/>
        <w:t>2 диаметром 3 метра. Хотя самолет имел потолок 11500 метров, на практике лететь горизонтально на высотах более 10000 метров истребитель не мог из</w:t>
      </w:r>
      <w:r w:rsidRPr="00C94B78">
        <w:rPr>
          <w:rFonts w:ascii="Times New Roman" w:hAnsi="Times New Roman"/>
          <w:color w:val="0070C0"/>
          <w:sz w:val="16"/>
          <w:szCs w:val="16"/>
        </w:rPr>
        <w:noBreakHyphen/>
        <w:t>за перегрева двигателя.</w:t>
      </w:r>
    </w:p>
    <w:p w14:paraId="093DA7E7"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Работы по созданию высотной модификации Яка</w:t>
      </w:r>
      <w:r w:rsidRPr="00C94B78">
        <w:rPr>
          <w:rFonts w:ascii="Times New Roman" w:hAnsi="Times New Roman"/>
          <w:color w:val="0070C0"/>
          <w:sz w:val="16"/>
          <w:szCs w:val="16"/>
        </w:rPr>
        <w:noBreakHyphen/>
        <w:t>3 велись и на базе машины 44–19, выпущенной на заводе № 292. Истребитель оснастили двигателем М</w:t>
      </w:r>
      <w:r w:rsidRPr="00C94B78">
        <w:rPr>
          <w:rFonts w:ascii="Times New Roman" w:hAnsi="Times New Roman"/>
          <w:color w:val="0070C0"/>
          <w:sz w:val="16"/>
          <w:szCs w:val="16"/>
        </w:rPr>
        <w:noBreakHyphen/>
        <w:t>105ПВ и винтом ВИШ</w:t>
      </w:r>
      <w:r w:rsidRPr="00C94B78">
        <w:rPr>
          <w:rFonts w:ascii="Times New Roman" w:hAnsi="Times New Roman"/>
          <w:color w:val="0070C0"/>
          <w:sz w:val="16"/>
          <w:szCs w:val="16"/>
        </w:rPr>
        <w:noBreakHyphen/>
        <w:t>105ТЛ</w:t>
      </w:r>
      <w:r w:rsidRPr="00C94B78">
        <w:rPr>
          <w:rFonts w:ascii="Times New Roman" w:hAnsi="Times New Roman"/>
          <w:color w:val="0070C0"/>
          <w:sz w:val="16"/>
          <w:szCs w:val="16"/>
        </w:rPr>
        <w:noBreakHyphen/>
        <w:t>2, в конструкцию самолета внесли ряд других изменений. Заводские испытания продолжались с 29 сентября по 7 октября 1944 года. На них не ставилось целью достичь максимального потолка, а шло исследование работы двигателя и измерение скорости полета на разных высотах. Кроме того, аналогичные испытания проводились со стандартным винтом ВИШ</w:t>
      </w:r>
      <w:r w:rsidRPr="00C94B78">
        <w:rPr>
          <w:rFonts w:ascii="Times New Roman" w:hAnsi="Times New Roman"/>
          <w:color w:val="0070C0"/>
          <w:sz w:val="16"/>
          <w:szCs w:val="16"/>
        </w:rPr>
        <w:noBreakHyphen/>
        <w:t>105СВ</w:t>
      </w:r>
      <w:r w:rsidRPr="00C94B78">
        <w:rPr>
          <w:rFonts w:ascii="Times New Roman" w:hAnsi="Times New Roman"/>
          <w:color w:val="0070C0"/>
          <w:sz w:val="16"/>
          <w:szCs w:val="16"/>
        </w:rPr>
        <w:noBreakHyphen/>
        <w:t>01. Двигатель работал неустойчиво, поэтому и эту машину отправили в ЛИИ.</w:t>
      </w:r>
    </w:p>
    <w:p w14:paraId="1D5EFA00"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Тут на машину установили новый двигатель ВК</w:t>
      </w:r>
      <w:r w:rsidRPr="00C94B78">
        <w:rPr>
          <w:rFonts w:ascii="Times New Roman" w:hAnsi="Times New Roman"/>
          <w:color w:val="0070C0"/>
          <w:sz w:val="16"/>
          <w:szCs w:val="16"/>
        </w:rPr>
        <w:noBreakHyphen/>
        <w:t>105ПВ с наддувом Э</w:t>
      </w:r>
      <w:r w:rsidRPr="00C94B78">
        <w:rPr>
          <w:rFonts w:ascii="Times New Roman" w:hAnsi="Times New Roman"/>
          <w:color w:val="0070C0"/>
          <w:sz w:val="16"/>
          <w:szCs w:val="16"/>
        </w:rPr>
        <w:noBreakHyphen/>
        <w:t>100, а также внесли в конструкцию машины ряд других изменений. В результате самолет смог подняться на высоту 13300 метров. Возросла и скорость самолета – на 11000 метрах истребитель развил 710 км/ч. Вооружение состояло из пушки НС</w:t>
      </w:r>
      <w:r w:rsidRPr="00C94B78">
        <w:rPr>
          <w:rFonts w:ascii="Times New Roman" w:hAnsi="Times New Roman"/>
          <w:color w:val="0070C0"/>
          <w:sz w:val="16"/>
          <w:szCs w:val="16"/>
        </w:rPr>
        <w:noBreakHyphen/>
        <w:t>23 (60 выстрелов), взлетная масса 2625 кг.</w:t>
      </w:r>
    </w:p>
    <w:p w14:paraId="5FA98480"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Несмотря на обнадеживающие результаты Як</w:t>
      </w:r>
      <w:r w:rsidRPr="00C94B78">
        <w:rPr>
          <w:rFonts w:ascii="Times New Roman" w:hAnsi="Times New Roman"/>
          <w:color w:val="0070C0"/>
          <w:sz w:val="16"/>
          <w:szCs w:val="16"/>
        </w:rPr>
        <w:noBreakHyphen/>
        <w:t>3ПД с двигателем ВК</w:t>
      </w:r>
      <w:r w:rsidRPr="00C94B78">
        <w:rPr>
          <w:rFonts w:ascii="Times New Roman" w:hAnsi="Times New Roman"/>
          <w:color w:val="0070C0"/>
          <w:sz w:val="16"/>
          <w:szCs w:val="16"/>
        </w:rPr>
        <w:noBreakHyphen/>
        <w:t>105ПВ в серию не пошел, хотя испытания его продолжались до 1947 года (25075).</w:t>
      </w:r>
    </w:p>
    <w:p w14:paraId="054D0CAD" w14:textId="77777777" w:rsidR="007114F1" w:rsidRPr="00C94B78" w:rsidRDefault="007114F1" w:rsidP="00B56F90">
      <w:pPr>
        <w:spacing w:after="0" w:line="240" w:lineRule="auto"/>
        <w:jc w:val="both"/>
        <w:rPr>
          <w:rFonts w:ascii="Times New Roman" w:hAnsi="Times New Roman"/>
          <w:color w:val="0070C0"/>
          <w:sz w:val="16"/>
          <w:szCs w:val="16"/>
        </w:rPr>
      </w:pPr>
    </w:p>
    <w:p w14:paraId="77EC0B15" w14:textId="77777777" w:rsidR="007114F1" w:rsidRPr="00C94B78" w:rsidRDefault="007114F1" w:rsidP="00B56F90">
      <w:pPr>
        <w:spacing w:after="0" w:line="240" w:lineRule="auto"/>
        <w:jc w:val="both"/>
        <w:rPr>
          <w:rStyle w:val="35"/>
          <w:rFonts w:ascii="Times New Roman" w:cs="Times New Roman"/>
          <w:color w:val="0070C0"/>
          <w:spacing w:val="0"/>
          <w:sz w:val="16"/>
          <w:szCs w:val="16"/>
        </w:rPr>
      </w:pPr>
      <w:r w:rsidRPr="00C94B78">
        <w:rPr>
          <w:rStyle w:val="35"/>
          <w:rFonts w:ascii="Times New Roman" w:cs="Times New Roman"/>
          <w:color w:val="0070C0"/>
          <w:spacing w:val="0"/>
          <w:sz w:val="16"/>
          <w:szCs w:val="16"/>
        </w:rPr>
        <w:t>В апреле 1944 г., на испытания вышла новая версия Як-9ПД на базе Як-9У и с двигателем М-106ПВ. По итогам её испытаний была построена малая серия из 30 таких перехватчиков, но летом 1944 г. немцы над Москвой уже не летали.</w:t>
      </w:r>
    </w:p>
    <w:p w14:paraId="35721459"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Style w:val="35"/>
          <w:rFonts w:ascii="Times New Roman" w:cs="Times New Roman"/>
          <w:color w:val="0070C0"/>
          <w:spacing w:val="0"/>
          <w:sz w:val="16"/>
          <w:szCs w:val="16"/>
        </w:rPr>
        <w:t>Первая версия (весна 1943 г.), отличав</w:t>
      </w:r>
      <w:r w:rsidRPr="00C94B78">
        <w:rPr>
          <w:rStyle w:val="35"/>
          <w:rFonts w:ascii="Times New Roman" w:cs="Times New Roman"/>
          <w:color w:val="0070C0"/>
          <w:spacing w:val="0"/>
          <w:sz w:val="16"/>
          <w:szCs w:val="16"/>
        </w:rPr>
        <w:softHyphen/>
        <w:t>шаяся от Як-9 «без буквы» лишь двигателем М-105ПД и сокращённым до одной пушки ШВАК вооружением, оказалась неудовлетворительной; вторая (лето 1943 г.) с двигателем М-106ПД и новым крылом большей площади достигла требуемой высоты 13000 м (25428).</w:t>
      </w:r>
    </w:p>
    <w:p w14:paraId="74836D93" w14:textId="77777777" w:rsidR="007114F1" w:rsidRPr="00C94B78" w:rsidRDefault="007114F1" w:rsidP="00B56F90">
      <w:pPr>
        <w:spacing w:after="0" w:line="240" w:lineRule="auto"/>
        <w:jc w:val="both"/>
        <w:rPr>
          <w:rFonts w:ascii="Times New Roman" w:hAnsi="Times New Roman"/>
          <w:color w:val="0070C0"/>
          <w:sz w:val="16"/>
          <w:szCs w:val="16"/>
        </w:rPr>
      </w:pPr>
    </w:p>
    <w:p w14:paraId="710F9909"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апреле 1944 был готов для проведения испытаний Як-9ДД - истребитель «дальнего действия».</w:t>
      </w:r>
    </w:p>
    <w:p w14:paraId="7E6ED930"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восемь баков можно было залить 845 л, кроме того, имелся еще расходный бачок. Наученные горьким опытом конструкторы снабдили каждый бак своей заливочной горловиной, и заправка занимала всего 20 мин. Кроме двух внешних крыльевых баков остальные были протекторированные – выложенные изнутри материалом, полностью затягивающим пробоины от попаданий 7,62 мм пуль, но при пробоинах большего размера течь все</w:t>
      </w:r>
      <w:r w:rsidRPr="00C94B78">
        <w:rPr>
          <w:rFonts w:ascii="Times New Roman" w:hAnsi="Times New Roman"/>
          <w:color w:val="0070C0"/>
          <w:sz w:val="16"/>
          <w:szCs w:val="16"/>
        </w:rPr>
        <w:noBreakHyphen/>
        <w:t>таки открывалась.</w:t>
      </w:r>
    </w:p>
    <w:p w14:paraId="7D8F0E6E"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Существенные изменения произошли в радиооборудовании. Большая дальность самолета требовала более мощной радиостанции. Здесь конструкторы могли рассчитывать только на технику союзников. Американская радиостанция типа SCR</w:t>
      </w:r>
      <w:r w:rsidRPr="00C94B78">
        <w:rPr>
          <w:rFonts w:ascii="Times New Roman" w:hAnsi="Times New Roman"/>
          <w:color w:val="0070C0"/>
          <w:sz w:val="16"/>
          <w:szCs w:val="16"/>
        </w:rPr>
        <w:noBreakHyphen/>
        <w:t>274N обеспечивала связь на дальности 100 км, когда Як</w:t>
      </w:r>
      <w:r w:rsidRPr="00C94B78">
        <w:rPr>
          <w:rFonts w:ascii="Times New Roman" w:hAnsi="Times New Roman"/>
          <w:color w:val="0070C0"/>
          <w:sz w:val="16"/>
          <w:szCs w:val="16"/>
        </w:rPr>
        <w:noBreakHyphen/>
        <w:t>9ДД летел на высоте 1000 м и 300 км при высоте полета 7000 м.</w:t>
      </w:r>
    </w:p>
    <w:p w14:paraId="742985DF"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Навигационные приборы были дополнены радиополукомпасом РНК</w:t>
      </w:r>
      <w:r w:rsidRPr="00C94B78">
        <w:rPr>
          <w:rFonts w:ascii="Times New Roman" w:hAnsi="Times New Roman"/>
          <w:color w:val="0070C0"/>
          <w:sz w:val="16"/>
          <w:szCs w:val="16"/>
        </w:rPr>
        <w:noBreakHyphen/>
        <w:t>10М и авиагоризонтом АГ</w:t>
      </w:r>
      <w:r w:rsidRPr="00C94B78">
        <w:rPr>
          <w:rFonts w:ascii="Times New Roman" w:hAnsi="Times New Roman"/>
          <w:color w:val="0070C0"/>
          <w:sz w:val="16"/>
          <w:szCs w:val="16"/>
        </w:rPr>
        <w:noBreakHyphen/>
        <w:t>2.</w:t>
      </w:r>
    </w:p>
    <w:p w14:paraId="7801BC36"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Пулемет был снят (модификация «ДД» имела только пушку ШВАК с запасом снарядов в 120 штук), но масса самолета все равно существенно возросла. Притом, что собственная масса Як</w:t>
      </w:r>
      <w:r w:rsidRPr="00C94B78">
        <w:rPr>
          <w:rFonts w:ascii="Times New Roman" w:hAnsi="Times New Roman"/>
          <w:color w:val="0070C0"/>
          <w:sz w:val="16"/>
          <w:szCs w:val="16"/>
        </w:rPr>
        <w:noBreakHyphen/>
        <w:t>9ДД не значительно отличалась от массы Як</w:t>
      </w:r>
      <w:r w:rsidRPr="00C94B78">
        <w:rPr>
          <w:rFonts w:ascii="Times New Roman" w:hAnsi="Times New Roman"/>
          <w:color w:val="0070C0"/>
          <w:sz w:val="16"/>
          <w:szCs w:val="16"/>
        </w:rPr>
        <w:noBreakHyphen/>
        <w:t>9Т и была идентична Як</w:t>
      </w:r>
      <w:r w:rsidRPr="00C94B78">
        <w:rPr>
          <w:rFonts w:ascii="Times New Roman" w:hAnsi="Times New Roman"/>
          <w:color w:val="0070C0"/>
          <w:sz w:val="16"/>
          <w:szCs w:val="16"/>
        </w:rPr>
        <w:noBreakHyphen/>
        <w:t>9Д, но во время старта полностью заправленный «ДД» был на 362 кг тяжелее чем «Т».</w:t>
      </w:r>
    </w:p>
    <w:p w14:paraId="759E5BB9"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полета Як</w:t>
      </w:r>
      <w:r w:rsidRPr="00C94B78">
        <w:rPr>
          <w:rFonts w:ascii="Times New Roman" w:hAnsi="Times New Roman"/>
          <w:color w:val="0070C0"/>
          <w:sz w:val="16"/>
          <w:szCs w:val="16"/>
        </w:rPr>
        <w:noBreakHyphen/>
        <w:t>9ДД со всех точек зрения был хуже своих предшественников. После выработки половины топлива, имел такие же характеристики и несколько худшую маневренность, чем модификация «Д» сразу после старта.</w:t>
      </w:r>
    </w:p>
    <w:p w14:paraId="5731CF00"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Дальность была несравнимой с другими истребителями. Когда новый самолет летел со скоростью равной 90 % от максимальной, то мог пролететь 1325 км. При крейсерской скорости дальность составляла уже 2285 км (6 часов 31 минуту полета).</w:t>
      </w:r>
    </w:p>
    <w:p w14:paraId="2CDF2A83"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Государственные испытания длились с 24 июля по 2 августа 1944 года (только неделю!) после чего самолет был направлен в серийное производство. В период с мая 1944 года по сентябрь 1945 года было построено 399 Як</w:t>
      </w:r>
      <w:r w:rsidRPr="00C94B78">
        <w:rPr>
          <w:rFonts w:ascii="Times New Roman" w:hAnsi="Times New Roman"/>
          <w:color w:val="0070C0"/>
          <w:sz w:val="16"/>
          <w:szCs w:val="16"/>
        </w:rPr>
        <w:noBreakHyphen/>
        <w:t>9ДД (это дает средний темп производства – 25 самолетов в день).</w:t>
      </w:r>
    </w:p>
    <w:p w14:paraId="086EB291"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Войсковые испытания, для оценки боевой ценности Як</w:t>
      </w:r>
      <w:r w:rsidRPr="00C94B78">
        <w:rPr>
          <w:rFonts w:ascii="Times New Roman" w:hAnsi="Times New Roman"/>
          <w:color w:val="0070C0"/>
          <w:sz w:val="16"/>
          <w:szCs w:val="16"/>
        </w:rPr>
        <w:noBreakHyphen/>
        <w:t>9ДД, были проведены с 9 марта по 25 апреля 1945 года. На новых машинах летали пилоты из 368 ИАП, 334 НАД и 6 БАК (Бомбардировочный авиационный корпус), который имел на вооружении Ту</w:t>
      </w:r>
      <w:r w:rsidRPr="00C94B78">
        <w:rPr>
          <w:rFonts w:ascii="Times New Roman" w:hAnsi="Times New Roman"/>
          <w:color w:val="0070C0"/>
          <w:sz w:val="16"/>
          <w:szCs w:val="16"/>
        </w:rPr>
        <w:noBreakHyphen/>
        <w:t>2. В испытаниях приняло участие 40 Як</w:t>
      </w:r>
      <w:r w:rsidRPr="00C94B78">
        <w:rPr>
          <w:rFonts w:ascii="Times New Roman" w:hAnsi="Times New Roman"/>
          <w:color w:val="0070C0"/>
          <w:sz w:val="16"/>
          <w:szCs w:val="16"/>
        </w:rPr>
        <w:noBreakHyphen/>
        <w:t>9ДД из 1</w:t>
      </w:r>
      <w:r w:rsidRPr="00C94B78">
        <w:rPr>
          <w:rFonts w:ascii="Times New Roman" w:hAnsi="Times New Roman"/>
          <w:color w:val="0070C0"/>
          <w:sz w:val="16"/>
          <w:szCs w:val="16"/>
        </w:rPr>
        <w:noBreakHyphen/>
        <w:t>й и 2</w:t>
      </w:r>
      <w:r w:rsidRPr="00C94B78">
        <w:rPr>
          <w:rFonts w:ascii="Times New Roman" w:hAnsi="Times New Roman"/>
          <w:color w:val="0070C0"/>
          <w:sz w:val="16"/>
          <w:szCs w:val="16"/>
        </w:rPr>
        <w:noBreakHyphen/>
        <w:t>й производственных серий, которые были изготовлены между маем и августом 1944 года (25077).</w:t>
      </w:r>
    </w:p>
    <w:p w14:paraId="19C52963" w14:textId="77777777" w:rsidR="007114F1" w:rsidRPr="00C94B78" w:rsidRDefault="007114F1" w:rsidP="00B56F90">
      <w:pPr>
        <w:spacing w:after="0" w:line="240" w:lineRule="auto"/>
        <w:jc w:val="both"/>
        <w:rPr>
          <w:rFonts w:ascii="Times New Roman" w:hAnsi="Times New Roman"/>
          <w:color w:val="0070C0"/>
          <w:sz w:val="16"/>
          <w:szCs w:val="16"/>
        </w:rPr>
      </w:pPr>
    </w:p>
    <w:p w14:paraId="3CB7BE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начались государственные испытания опытным Як-9У, выпущенного ОКБ-115 в декабре 1943 (4842).</w:t>
      </w:r>
    </w:p>
    <w:p w14:paraId="7010F6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BEE8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в Омске построили очередной Як-9У (зав. №25-021), который по железной дороге отправили в Москву и собрали в следующем месяце на заводе №301. Этой машине была уготована особая судьба - она становилась головной серийной и предназначалась для всесторонних испытаний з НИИ ВВС. Инженер-майор А.Т.Степанец и подполковник В.И.Хомяков должны были ответить на вопрос: в какой степени Як-9У пригоден для передачи в части ВВС? (4842).</w:t>
      </w:r>
    </w:p>
    <w:p w14:paraId="17EFAC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B0EB52" w14:textId="77777777" w:rsidR="00D70979" w:rsidRPr="00070ADE" w:rsidRDefault="00D70979"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В апреле 1944 г. первый прототип Як-9У раз</w:t>
      </w:r>
      <w:r w:rsidRPr="00070ADE">
        <w:rPr>
          <w:rFonts w:ascii="Times New Roman" w:cs="Times New Roman"/>
          <w:color w:val="000000" w:themeColor="text1"/>
          <w:spacing w:val="0"/>
        </w:rPr>
        <w:softHyphen/>
        <w:t>бился из-за пожара двигателя, при этом погиб летчик-испы- татель А. Кокин. На втором прототипе Як-9У в феврале 1944 г., после всего 9 часов работы разрушились подшип</w:t>
      </w:r>
      <w:r w:rsidRPr="00070ADE">
        <w:rPr>
          <w:rFonts w:ascii="Times New Roman" w:cs="Times New Roman"/>
          <w:color w:val="000000" w:themeColor="text1"/>
          <w:spacing w:val="0"/>
        </w:rPr>
        <w:softHyphen/>
        <w:t>ники нагнетателя, и двигатель заклинило. Летчик-испытатель А. Прошаков с боль</w:t>
      </w:r>
      <w:r w:rsidRPr="00070ADE">
        <w:rPr>
          <w:rFonts w:ascii="Times New Roman" w:cs="Times New Roman"/>
          <w:color w:val="000000" w:themeColor="text1"/>
          <w:spacing w:val="0"/>
        </w:rPr>
        <w:softHyphen/>
        <w:t>шим трудом посадил аварийную машину. В отчете о дальнейших испытаниях акку</w:t>
      </w:r>
      <w:r w:rsidRPr="00070ADE">
        <w:rPr>
          <w:rFonts w:ascii="Times New Roman" w:cs="Times New Roman"/>
          <w:color w:val="000000" w:themeColor="text1"/>
          <w:spacing w:val="0"/>
        </w:rPr>
        <w:softHyphen/>
        <w:t>ратно говорилось о том, что, хотя Як-9У, по идее, должен превосходить основные немецкие истребители (была достигнута максимальная скорость 700 км/ч), все же «большое количество серьезных дефек</w:t>
      </w:r>
      <w:r w:rsidRPr="00070ADE">
        <w:rPr>
          <w:rFonts w:ascii="Times New Roman" w:cs="Times New Roman"/>
          <w:color w:val="000000" w:themeColor="text1"/>
          <w:spacing w:val="0"/>
        </w:rPr>
        <w:softHyphen/>
        <w:t>тов, особенно по винтомоторной группе, не позволяет нормально эксплуатировать этот самолет на всем диапазоне высот».</w:t>
      </w:r>
    </w:p>
    <w:p w14:paraId="7E408639" w14:textId="77777777" w:rsidR="00D70979" w:rsidRPr="00070ADE" w:rsidRDefault="00D70979"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Однако ожидаемые боевые возможно</w:t>
      </w:r>
      <w:r w:rsidRPr="00070ADE">
        <w:rPr>
          <w:rFonts w:ascii="Times New Roman" w:cs="Times New Roman"/>
          <w:color w:val="000000" w:themeColor="text1"/>
          <w:spacing w:val="0"/>
        </w:rPr>
        <w:softHyphen/>
        <w:t>сти самолета были столь высоки, что уже в мае 1944 г. его запустили в массовое про</w:t>
      </w:r>
      <w:r w:rsidRPr="00070ADE">
        <w:rPr>
          <w:rFonts w:ascii="Times New Roman" w:cs="Times New Roman"/>
          <w:color w:val="000000" w:themeColor="text1"/>
          <w:spacing w:val="0"/>
        </w:rPr>
        <w:softHyphen/>
        <w:t>изводство (12741).</w:t>
      </w:r>
    </w:p>
    <w:p w14:paraId="0C6A25F5" w14:textId="77777777" w:rsidR="00D70979" w:rsidRPr="00070ADE" w:rsidRDefault="00D70979" w:rsidP="00B56F90">
      <w:pPr>
        <w:pStyle w:val="27"/>
        <w:shd w:val="clear" w:color="auto" w:fill="auto"/>
        <w:spacing w:after="0" w:line="240" w:lineRule="auto"/>
        <w:ind w:firstLine="0"/>
        <w:rPr>
          <w:rFonts w:ascii="Times New Roman" w:cs="Times New Roman"/>
          <w:color w:val="000000" w:themeColor="text1"/>
          <w:spacing w:val="0"/>
        </w:rPr>
      </w:pPr>
    </w:p>
    <w:p w14:paraId="5F3ED5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апреле 1944 г., когда М-106ПВ оборудовали системой впрыска водно-спиртовой смеси, охлаждавшей за счет интенсив</w:t>
      </w:r>
      <w:r w:rsidRPr="00070ADE">
        <w:rPr>
          <w:rFonts w:ascii="Times New Roman" w:hAnsi="Times New Roman"/>
          <w:color w:val="000000" w:themeColor="text1"/>
          <w:sz w:val="16"/>
          <w:szCs w:val="16"/>
        </w:rPr>
        <w:softHyphen/>
        <w:t>ного испарения сильно нагретый в нагнетателе воздух, удалось получить приемлемую надеж</w:t>
      </w:r>
      <w:r w:rsidRPr="00070ADE">
        <w:rPr>
          <w:rFonts w:ascii="Times New Roman" w:hAnsi="Times New Roman"/>
          <w:color w:val="000000" w:themeColor="text1"/>
          <w:sz w:val="16"/>
          <w:szCs w:val="16"/>
        </w:rPr>
        <w:softHyphen/>
        <w:t>ность работы двигателя а Як-9ПД. До сих пор остается не</w:t>
      </w:r>
      <w:r w:rsidRPr="00070ADE">
        <w:rPr>
          <w:rFonts w:ascii="Times New Roman" w:hAnsi="Times New Roman"/>
          <w:color w:val="000000" w:themeColor="text1"/>
          <w:sz w:val="16"/>
          <w:szCs w:val="16"/>
        </w:rPr>
        <w:softHyphen/>
        <w:t>ясным, почему сразу не стали использовать во</w:t>
      </w:r>
      <w:r w:rsidRPr="00070ADE">
        <w:rPr>
          <w:rFonts w:ascii="Times New Roman" w:hAnsi="Times New Roman"/>
          <w:color w:val="000000" w:themeColor="text1"/>
          <w:sz w:val="16"/>
          <w:szCs w:val="16"/>
        </w:rPr>
        <w:softHyphen/>
        <w:t>дно-спиртовую смесь, ведь было известно, что на немецких моторах BMW605 такую сис</w:t>
      </w:r>
      <w:r w:rsidRPr="00070ADE">
        <w:rPr>
          <w:rFonts w:ascii="Times New Roman" w:hAnsi="Times New Roman"/>
          <w:color w:val="000000" w:themeColor="text1"/>
          <w:sz w:val="16"/>
          <w:szCs w:val="16"/>
        </w:rPr>
        <w:softHyphen/>
        <w:t>тему применяли, а на английских высотных вари</w:t>
      </w:r>
      <w:r w:rsidRPr="00070ADE">
        <w:rPr>
          <w:rFonts w:ascii="Times New Roman" w:hAnsi="Times New Roman"/>
          <w:color w:val="000000" w:themeColor="text1"/>
          <w:sz w:val="16"/>
          <w:szCs w:val="16"/>
        </w:rPr>
        <w:softHyphen/>
        <w:t>антах мотора «Мерлин» с той же целью устанавли</w:t>
      </w:r>
      <w:r w:rsidRPr="00070ADE">
        <w:rPr>
          <w:rFonts w:ascii="Times New Roman" w:hAnsi="Times New Roman"/>
          <w:color w:val="000000" w:themeColor="text1"/>
          <w:sz w:val="16"/>
          <w:szCs w:val="16"/>
        </w:rPr>
        <w:softHyphen/>
        <w:t>вали дополнительный радиатор (10712).</w:t>
      </w:r>
    </w:p>
    <w:p w14:paraId="08855A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E2F0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вышел на испытания Як-9ДД. В 1944 г. на фронт стали поступать бомбардировщики Ту-2, максимальная дальность полета которых более чем в 2 раза превышала дальность самого рас</w:t>
      </w:r>
      <w:r w:rsidRPr="00070ADE">
        <w:rPr>
          <w:rFonts w:ascii="Times New Roman" w:hAnsi="Times New Roman"/>
          <w:color w:val="000000" w:themeColor="text1"/>
          <w:sz w:val="16"/>
          <w:szCs w:val="16"/>
        </w:rPr>
        <w:softHyphen/>
        <w:t>пространенного на Восточном фронте бомбардировщика Пе-2. С появлением Ту-2 советская фронтовая авиация получи</w:t>
      </w:r>
      <w:r w:rsidRPr="00070ADE">
        <w:rPr>
          <w:rFonts w:ascii="Times New Roman" w:hAnsi="Times New Roman"/>
          <w:color w:val="000000" w:themeColor="text1"/>
          <w:sz w:val="16"/>
          <w:szCs w:val="16"/>
        </w:rPr>
        <w:softHyphen/>
        <w:t>ла возможность наносить удары по целям, находящимся сравнительно далеко от мест базирования. Естественно, для обес</w:t>
      </w:r>
      <w:r w:rsidRPr="00070ADE">
        <w:rPr>
          <w:rFonts w:ascii="Times New Roman" w:hAnsi="Times New Roman"/>
          <w:color w:val="000000" w:themeColor="text1"/>
          <w:sz w:val="16"/>
          <w:szCs w:val="16"/>
        </w:rPr>
        <w:softHyphen/>
        <w:t>печения таких рейдов был необходим специальный истребитель сопровождения, поскольку дальности даже четырехбачного Як-9Д уже не хватало. Такая машина тре</w:t>
      </w:r>
      <w:r w:rsidRPr="00070ADE">
        <w:rPr>
          <w:rFonts w:ascii="Times New Roman" w:hAnsi="Times New Roman"/>
          <w:color w:val="000000" w:themeColor="text1"/>
          <w:sz w:val="16"/>
          <w:szCs w:val="16"/>
        </w:rPr>
        <w:softHyphen/>
        <w:t>бовалась и для проведения воздушных операций совместно с авиацией стран ан</w:t>
      </w:r>
      <w:r w:rsidRPr="00070ADE">
        <w:rPr>
          <w:rFonts w:ascii="Times New Roman" w:hAnsi="Times New Roman"/>
          <w:color w:val="000000" w:themeColor="text1"/>
          <w:sz w:val="16"/>
          <w:szCs w:val="16"/>
        </w:rPr>
        <w:softHyphen/>
        <w:t>тигитлеровской коалиции. Для решения комплекса новых задач в КБ Яковлева мо</w:t>
      </w:r>
      <w:r w:rsidRPr="00070ADE">
        <w:rPr>
          <w:rFonts w:ascii="Times New Roman" w:hAnsi="Times New Roman"/>
          <w:color w:val="000000" w:themeColor="text1"/>
          <w:sz w:val="16"/>
          <w:szCs w:val="16"/>
        </w:rPr>
        <w:softHyphen/>
        <w:t>дернизировали Як-9Д. Создатели самоле</w:t>
      </w:r>
      <w:r w:rsidRPr="00070ADE">
        <w:rPr>
          <w:rFonts w:ascii="Times New Roman" w:hAnsi="Times New Roman"/>
          <w:color w:val="000000" w:themeColor="text1"/>
          <w:sz w:val="16"/>
          <w:szCs w:val="16"/>
        </w:rPr>
        <w:softHyphen/>
        <w:t>та остались верны идее размещения топ</w:t>
      </w:r>
      <w:r w:rsidRPr="00070ADE">
        <w:rPr>
          <w:rFonts w:ascii="Times New Roman" w:hAnsi="Times New Roman"/>
          <w:color w:val="000000" w:themeColor="text1"/>
          <w:sz w:val="16"/>
          <w:szCs w:val="16"/>
        </w:rPr>
        <w:softHyphen/>
        <w:t>лива не в подвесных баках, а во внутренних объемах. Продемонстрировав буквально чудеса конструкторского мастерства, они смогли почти на треть увеличить запас топ</w:t>
      </w:r>
      <w:r w:rsidRPr="00070ADE">
        <w:rPr>
          <w:rFonts w:ascii="Times New Roman" w:hAnsi="Times New Roman"/>
          <w:color w:val="000000" w:themeColor="text1"/>
          <w:sz w:val="16"/>
          <w:szCs w:val="16"/>
        </w:rPr>
        <w:softHyphen/>
        <w:t>лива на борту: 630 кг бензина заливали в восемь крыльевых баков, в то время как че</w:t>
      </w:r>
      <w:r w:rsidRPr="00070ADE">
        <w:rPr>
          <w:rFonts w:ascii="Times New Roman" w:hAnsi="Times New Roman"/>
          <w:color w:val="000000" w:themeColor="text1"/>
          <w:sz w:val="16"/>
          <w:szCs w:val="16"/>
        </w:rPr>
        <w:softHyphen/>
        <w:t>тыре бака Як-9Д вмещали 480 кг, а два ба</w:t>
      </w:r>
      <w:r w:rsidRPr="00070ADE">
        <w:rPr>
          <w:rFonts w:ascii="Times New Roman" w:hAnsi="Times New Roman"/>
          <w:color w:val="000000" w:themeColor="text1"/>
          <w:sz w:val="16"/>
          <w:szCs w:val="16"/>
        </w:rPr>
        <w:softHyphen/>
        <w:t>ка Як-9 — 320 кг. Помимо измененной топливной систе</w:t>
      </w:r>
      <w:r w:rsidRPr="00070ADE">
        <w:rPr>
          <w:rFonts w:ascii="Times New Roman" w:hAnsi="Times New Roman"/>
          <w:color w:val="000000" w:themeColor="text1"/>
          <w:sz w:val="16"/>
          <w:szCs w:val="16"/>
        </w:rPr>
        <w:softHyphen/>
        <w:t>мы и доработанного крыла, новый сверх</w:t>
      </w:r>
      <w:r w:rsidRPr="00070ADE">
        <w:rPr>
          <w:rFonts w:ascii="Times New Roman" w:hAnsi="Times New Roman"/>
          <w:color w:val="000000" w:themeColor="text1"/>
          <w:sz w:val="16"/>
          <w:szCs w:val="16"/>
        </w:rPr>
        <w:softHyphen/>
        <w:t>дальний истребитель, получивший обо</w:t>
      </w:r>
      <w:r w:rsidRPr="00070ADE">
        <w:rPr>
          <w:rFonts w:ascii="Times New Roman" w:hAnsi="Times New Roman"/>
          <w:color w:val="000000" w:themeColor="text1"/>
          <w:sz w:val="16"/>
          <w:szCs w:val="16"/>
        </w:rPr>
        <w:softHyphen/>
        <w:t>значение Як-9ДД, отличался усовершенс</w:t>
      </w:r>
      <w:r w:rsidRPr="00070ADE">
        <w:rPr>
          <w:rFonts w:ascii="Times New Roman" w:hAnsi="Times New Roman"/>
          <w:color w:val="000000" w:themeColor="text1"/>
          <w:sz w:val="16"/>
          <w:szCs w:val="16"/>
        </w:rPr>
        <w:softHyphen/>
        <w:t>твованным приборным и радиосвязным оборудованием, обеспечивавшим прове</w:t>
      </w:r>
      <w:r w:rsidRPr="00070ADE">
        <w:rPr>
          <w:rFonts w:ascii="Times New Roman" w:hAnsi="Times New Roman"/>
          <w:color w:val="000000" w:themeColor="text1"/>
          <w:sz w:val="16"/>
          <w:szCs w:val="16"/>
        </w:rPr>
        <w:softHyphen/>
        <w:t>дение боевых операций на большом уда</w:t>
      </w:r>
      <w:r w:rsidRPr="00070ADE">
        <w:rPr>
          <w:rFonts w:ascii="Times New Roman" w:hAnsi="Times New Roman"/>
          <w:color w:val="000000" w:themeColor="text1"/>
          <w:sz w:val="16"/>
          <w:szCs w:val="16"/>
        </w:rPr>
        <w:softHyphen/>
        <w:t>лении от баз и в плохих метеоусловиях. Вооружение Як-9ДД осталось стандар</w:t>
      </w:r>
      <w:r w:rsidRPr="00070ADE">
        <w:rPr>
          <w:rFonts w:ascii="Times New Roman" w:hAnsi="Times New Roman"/>
          <w:color w:val="000000" w:themeColor="text1"/>
          <w:sz w:val="16"/>
          <w:szCs w:val="16"/>
        </w:rPr>
        <w:softHyphen/>
        <w:t>тным — 20-мм пушка и 12,7-мм пулемет, однако кабина летчика, как и у Як-9Т, была сдвинута назад на 0,4 м. Ввиду очень большого запаса топ</w:t>
      </w:r>
      <w:r w:rsidRPr="00070ADE">
        <w:rPr>
          <w:rFonts w:ascii="Times New Roman" w:hAnsi="Times New Roman"/>
          <w:color w:val="000000" w:themeColor="text1"/>
          <w:sz w:val="16"/>
          <w:szCs w:val="16"/>
        </w:rPr>
        <w:softHyphen/>
        <w:t>лива взлетная масса машины оказалась рекордной для самолетов этого типа — 3390 кг, однако и максимальная дальность полета достигла 1800 км (у Як-9Д — 1400 км, у Як-9 — 910 км). В мае самолет запустили в серийное производство на за</w:t>
      </w:r>
      <w:r w:rsidRPr="00070ADE">
        <w:rPr>
          <w:rFonts w:ascii="Times New Roman" w:hAnsi="Times New Roman"/>
          <w:color w:val="000000" w:themeColor="text1"/>
          <w:sz w:val="16"/>
          <w:szCs w:val="16"/>
        </w:rPr>
        <w:softHyphen/>
        <w:t>воде № 153. Темп его выпуска был невы</w:t>
      </w:r>
      <w:r w:rsidRPr="00070ADE">
        <w:rPr>
          <w:rFonts w:ascii="Times New Roman" w:hAnsi="Times New Roman"/>
          <w:color w:val="000000" w:themeColor="text1"/>
          <w:sz w:val="16"/>
          <w:szCs w:val="16"/>
        </w:rPr>
        <w:softHyphen/>
        <w:t>сок: все понимали, что назначение истре</w:t>
      </w:r>
      <w:r w:rsidRPr="00070ADE">
        <w:rPr>
          <w:rFonts w:ascii="Times New Roman" w:hAnsi="Times New Roman"/>
          <w:color w:val="000000" w:themeColor="text1"/>
          <w:sz w:val="16"/>
          <w:szCs w:val="16"/>
        </w:rPr>
        <w:softHyphen/>
        <w:t>бителя узко специализированное и при</w:t>
      </w:r>
      <w:r w:rsidRPr="00070ADE">
        <w:rPr>
          <w:rFonts w:ascii="Times New Roman" w:hAnsi="Times New Roman"/>
          <w:color w:val="000000" w:themeColor="text1"/>
          <w:sz w:val="16"/>
          <w:szCs w:val="16"/>
        </w:rPr>
        <w:softHyphen/>
        <w:t>менять его следует только в особых случаях. Всего до сентября 1945 г. изгото</w:t>
      </w:r>
      <w:r w:rsidRPr="00070ADE">
        <w:rPr>
          <w:rFonts w:ascii="Times New Roman" w:hAnsi="Times New Roman"/>
          <w:color w:val="000000" w:themeColor="text1"/>
          <w:sz w:val="16"/>
          <w:szCs w:val="16"/>
        </w:rPr>
        <w:softHyphen/>
        <w:t>вили 399 таких машин. Поначалу летчики сдержанно отнес</w:t>
      </w:r>
      <w:r w:rsidRPr="00070ADE">
        <w:rPr>
          <w:rFonts w:ascii="Times New Roman" w:hAnsi="Times New Roman"/>
          <w:color w:val="000000" w:themeColor="text1"/>
          <w:sz w:val="16"/>
          <w:szCs w:val="16"/>
        </w:rPr>
        <w:softHyphen/>
        <w:t>лись к новому истребителю, называя его между собой «летающая цистерна». Но привыкли к самолету быстро, ведь он мог взлетать с тех же аэродромов, что и Як-9Д, а по технике пилотирования эти истреби</w:t>
      </w:r>
      <w:r w:rsidRPr="00070ADE">
        <w:rPr>
          <w:rFonts w:ascii="Times New Roman" w:hAnsi="Times New Roman"/>
          <w:color w:val="000000" w:themeColor="text1"/>
          <w:sz w:val="16"/>
          <w:szCs w:val="16"/>
        </w:rPr>
        <w:softHyphen/>
        <w:t>тели оказались близки. Як-9ДД применял</w:t>
      </w:r>
      <w:r w:rsidRPr="00070ADE">
        <w:rPr>
          <w:rFonts w:ascii="Times New Roman" w:hAnsi="Times New Roman"/>
          <w:color w:val="000000" w:themeColor="text1"/>
          <w:sz w:val="16"/>
          <w:szCs w:val="16"/>
        </w:rPr>
        <w:softHyphen/>
        <w:t>ся на разных участках фронта, но наиболее интересным эпизодом его биографии ста</w:t>
      </w:r>
      <w:r w:rsidRPr="00070ADE">
        <w:rPr>
          <w:rFonts w:ascii="Times New Roman" w:hAnsi="Times New Roman"/>
          <w:color w:val="000000" w:themeColor="text1"/>
          <w:sz w:val="16"/>
          <w:szCs w:val="16"/>
        </w:rPr>
        <w:softHyphen/>
        <w:t>ла боевая работа группы из 12 истребите</w:t>
      </w:r>
      <w:r w:rsidRPr="00070ADE">
        <w:rPr>
          <w:rFonts w:ascii="Times New Roman" w:hAnsi="Times New Roman"/>
          <w:color w:val="000000" w:themeColor="text1"/>
          <w:sz w:val="16"/>
          <w:szCs w:val="16"/>
        </w:rPr>
        <w:softHyphen/>
        <w:t>лей, которая в августе 1944 г. по заданию советского правительства была направле</w:t>
      </w:r>
      <w:r w:rsidRPr="00070ADE">
        <w:rPr>
          <w:rFonts w:ascii="Times New Roman" w:hAnsi="Times New Roman"/>
          <w:color w:val="000000" w:themeColor="text1"/>
          <w:sz w:val="16"/>
          <w:szCs w:val="16"/>
        </w:rPr>
        <w:softHyphen/>
        <w:t>на на авиабазу союзников около итальян</w:t>
      </w:r>
      <w:r w:rsidRPr="00070ADE">
        <w:rPr>
          <w:rFonts w:ascii="Times New Roman" w:hAnsi="Times New Roman"/>
          <w:color w:val="000000" w:themeColor="text1"/>
          <w:sz w:val="16"/>
          <w:szCs w:val="16"/>
        </w:rPr>
        <w:softHyphen/>
        <w:t>ского города Бари для сопровождения транспортных С-47, доставлявших грузы югославским партизанам. При перебази</w:t>
      </w:r>
      <w:r w:rsidRPr="00070ADE">
        <w:rPr>
          <w:rFonts w:ascii="Times New Roman" w:hAnsi="Times New Roman"/>
          <w:color w:val="000000" w:themeColor="text1"/>
          <w:sz w:val="16"/>
          <w:szCs w:val="16"/>
        </w:rPr>
        <w:softHyphen/>
        <w:t>ровании пришлось выполнить беспосадоч</w:t>
      </w:r>
      <w:r w:rsidRPr="00070ADE">
        <w:rPr>
          <w:rFonts w:ascii="Times New Roman" w:hAnsi="Times New Roman"/>
          <w:color w:val="000000" w:themeColor="text1"/>
          <w:sz w:val="16"/>
          <w:szCs w:val="16"/>
        </w:rPr>
        <w:softHyphen/>
        <w:t>ный перелет Бельцы-Бари протяженнос</w:t>
      </w:r>
      <w:r w:rsidRPr="00070ADE">
        <w:rPr>
          <w:rFonts w:ascii="Times New Roman" w:hAnsi="Times New Roman"/>
          <w:color w:val="000000" w:themeColor="text1"/>
          <w:sz w:val="16"/>
          <w:szCs w:val="16"/>
        </w:rPr>
        <w:softHyphen/>
        <w:t>тью примерно 1300 км, который почти пол</w:t>
      </w:r>
      <w:r w:rsidRPr="00070ADE">
        <w:rPr>
          <w:rFonts w:ascii="Times New Roman" w:hAnsi="Times New Roman"/>
          <w:color w:val="000000" w:themeColor="text1"/>
          <w:sz w:val="16"/>
          <w:szCs w:val="16"/>
        </w:rPr>
        <w:softHyphen/>
        <w:t>ностью прошел над территорией, занятой противником. За время пребывания в Ита</w:t>
      </w:r>
      <w:r w:rsidRPr="00070ADE">
        <w:rPr>
          <w:rFonts w:ascii="Times New Roman" w:hAnsi="Times New Roman"/>
          <w:color w:val="000000" w:themeColor="text1"/>
          <w:sz w:val="16"/>
          <w:szCs w:val="16"/>
        </w:rPr>
        <w:softHyphen/>
        <w:t>лии группа Як-9ДД выполнила 155 боевых вылетов. Хотя встреч в воздухе с враже</w:t>
      </w:r>
      <w:r w:rsidRPr="00070ADE">
        <w:rPr>
          <w:rFonts w:ascii="Times New Roman" w:hAnsi="Times New Roman"/>
          <w:color w:val="000000" w:themeColor="text1"/>
          <w:sz w:val="16"/>
          <w:szCs w:val="16"/>
        </w:rPr>
        <w:softHyphen/>
        <w:t>скими самолетами не произошло, работа советских истребителей оказалась отнюдь не простой. Как правило, партизанские ба</w:t>
      </w:r>
      <w:r w:rsidRPr="00070ADE">
        <w:rPr>
          <w:rFonts w:ascii="Times New Roman" w:hAnsi="Times New Roman"/>
          <w:color w:val="000000" w:themeColor="text1"/>
          <w:sz w:val="16"/>
          <w:szCs w:val="16"/>
        </w:rPr>
        <w:softHyphen/>
        <w:t>зы находились в труднодоступной горной местности. После посадки С-47 группа сопровождавших истребителей остава</w:t>
      </w:r>
      <w:r w:rsidRPr="00070ADE">
        <w:rPr>
          <w:rFonts w:ascii="Times New Roman" w:hAnsi="Times New Roman"/>
          <w:color w:val="000000" w:themeColor="text1"/>
          <w:sz w:val="16"/>
          <w:szCs w:val="16"/>
        </w:rPr>
        <w:softHyphen/>
        <w:t>лась в воздухе и прикрывала базу, пока транспортный самолет не разгрузится, а затем сопровождала его на обратном пути. Иногда Як-9ДЦ приходилось приземляться на маленькие партизанские аэродромы, зачастую при сильном боковом, а то и по</w:t>
      </w:r>
      <w:r w:rsidRPr="00070ADE">
        <w:rPr>
          <w:rFonts w:ascii="Times New Roman" w:hAnsi="Times New Roman"/>
          <w:color w:val="000000" w:themeColor="text1"/>
          <w:sz w:val="16"/>
          <w:szCs w:val="16"/>
        </w:rPr>
        <w:softHyphen/>
        <w:t>путном ветре. В тех условиях в случае ава</w:t>
      </w:r>
      <w:r w:rsidRPr="00070ADE">
        <w:rPr>
          <w:rFonts w:ascii="Times New Roman" w:hAnsi="Times New Roman"/>
          <w:color w:val="000000" w:themeColor="text1"/>
          <w:sz w:val="16"/>
          <w:szCs w:val="16"/>
        </w:rPr>
        <w:softHyphen/>
        <w:t>рии ни о каком ремонте не могло быть и ре</w:t>
      </w:r>
      <w:r w:rsidRPr="00070ADE">
        <w:rPr>
          <w:rFonts w:ascii="Times New Roman" w:hAnsi="Times New Roman"/>
          <w:color w:val="000000" w:themeColor="text1"/>
          <w:sz w:val="16"/>
          <w:szCs w:val="16"/>
        </w:rPr>
        <w:softHyphen/>
        <w:t>чи. Однако Як-9ДД продемонстрировали свои лучшие качества — в работе их сис</w:t>
      </w:r>
      <w:r w:rsidRPr="00070ADE">
        <w:rPr>
          <w:rFonts w:ascii="Times New Roman" w:hAnsi="Times New Roman"/>
          <w:color w:val="000000" w:themeColor="text1"/>
          <w:sz w:val="16"/>
          <w:szCs w:val="16"/>
        </w:rPr>
        <w:softHyphen/>
        <w:t>тем и агрегатов не было зафиксировано ни одной поломки (10712).</w:t>
      </w:r>
    </w:p>
    <w:p w14:paraId="63364B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0D50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появились первые серийные машины Як-9У. Освоение Як-9У в войсках шло непрос</w:t>
      </w:r>
      <w:r w:rsidRPr="00070ADE">
        <w:rPr>
          <w:rFonts w:ascii="Times New Roman" w:hAnsi="Times New Roman"/>
          <w:color w:val="000000" w:themeColor="text1"/>
          <w:sz w:val="16"/>
          <w:szCs w:val="16"/>
        </w:rPr>
        <w:softHyphen/>
        <w:t>то. Давали о себе знать недоведенность винто-моторной группы и систем охлаж</w:t>
      </w:r>
      <w:r w:rsidRPr="00070ADE">
        <w:rPr>
          <w:rFonts w:ascii="Times New Roman" w:hAnsi="Times New Roman"/>
          <w:color w:val="000000" w:themeColor="text1"/>
          <w:sz w:val="16"/>
          <w:szCs w:val="16"/>
        </w:rPr>
        <w:softHyphen/>
        <w:t>дения. Пришлось пойти на ограничение снимаемой мощности (запрет на исполь</w:t>
      </w:r>
      <w:r w:rsidRPr="00070ADE">
        <w:rPr>
          <w:rFonts w:ascii="Times New Roman" w:hAnsi="Times New Roman"/>
          <w:color w:val="000000" w:themeColor="text1"/>
          <w:sz w:val="16"/>
          <w:szCs w:val="16"/>
        </w:rPr>
        <w:softHyphen/>
        <w:t>зование боевого режима работы), а зна</w:t>
      </w:r>
      <w:r w:rsidRPr="00070ADE">
        <w:rPr>
          <w:rFonts w:ascii="Times New Roman" w:hAnsi="Times New Roman"/>
          <w:color w:val="000000" w:themeColor="text1"/>
          <w:sz w:val="16"/>
          <w:szCs w:val="16"/>
        </w:rPr>
        <w:softHyphen/>
        <w:t>чит, и на снижение летных данных. Но и при этом превосходство Як-9У над само</w:t>
      </w:r>
      <w:r w:rsidRPr="00070ADE">
        <w:rPr>
          <w:rFonts w:ascii="Times New Roman" w:hAnsi="Times New Roman"/>
          <w:color w:val="000000" w:themeColor="text1"/>
          <w:sz w:val="16"/>
          <w:szCs w:val="16"/>
        </w:rPr>
        <w:softHyphen/>
        <w:t>летами противника оказалось внушитель</w:t>
      </w:r>
      <w:r w:rsidRPr="00070ADE">
        <w:rPr>
          <w:rFonts w:ascii="Times New Roman" w:hAnsi="Times New Roman"/>
          <w:color w:val="000000" w:themeColor="text1"/>
          <w:sz w:val="16"/>
          <w:szCs w:val="16"/>
        </w:rPr>
        <w:softHyphen/>
        <w:t>ным. За два месяца войсковых испыта</w:t>
      </w:r>
      <w:r w:rsidRPr="00070ADE">
        <w:rPr>
          <w:rFonts w:ascii="Times New Roman" w:hAnsi="Times New Roman"/>
          <w:color w:val="000000" w:themeColor="text1"/>
          <w:sz w:val="16"/>
          <w:szCs w:val="16"/>
        </w:rPr>
        <w:softHyphen/>
        <w:t>ний — с октября по декабрь 1944 г. — лет</w:t>
      </w:r>
      <w:r w:rsidRPr="00070ADE">
        <w:rPr>
          <w:rFonts w:ascii="Times New Roman" w:hAnsi="Times New Roman"/>
          <w:color w:val="000000" w:themeColor="text1"/>
          <w:sz w:val="16"/>
          <w:szCs w:val="16"/>
        </w:rPr>
        <w:softHyphen/>
        <w:t>чики 163-го Краснознаменного ИАП на тридцати двух Як-9У провели 398 само</w:t>
      </w:r>
      <w:r w:rsidRPr="00070ADE">
        <w:rPr>
          <w:rFonts w:ascii="Times New Roman" w:hAnsi="Times New Roman"/>
          <w:color w:val="000000" w:themeColor="text1"/>
          <w:sz w:val="16"/>
          <w:szCs w:val="16"/>
        </w:rPr>
        <w:softHyphen/>
        <w:t>лето-вылетов и в 18 воздушных боях Сбили 27 FW190А и 1 Bf109О. Свои по</w:t>
      </w:r>
      <w:r w:rsidRPr="00070ADE">
        <w:rPr>
          <w:rFonts w:ascii="Times New Roman" w:hAnsi="Times New Roman"/>
          <w:color w:val="000000" w:themeColor="text1"/>
          <w:sz w:val="16"/>
          <w:szCs w:val="16"/>
        </w:rPr>
        <w:softHyphen/>
        <w:t>тери составили два Як-ЭУ. Счет 28:2 говорит сам за себя. Преимущества Як-9У в глазах летчиков полностью компенсирова</w:t>
      </w:r>
      <w:r w:rsidRPr="00070ADE">
        <w:rPr>
          <w:rFonts w:ascii="Times New Roman" w:hAnsi="Times New Roman"/>
          <w:color w:val="000000" w:themeColor="text1"/>
          <w:sz w:val="16"/>
          <w:szCs w:val="16"/>
        </w:rPr>
        <w:softHyphen/>
        <w:t>ли его недостатки. К тому же, в конце 1944 г. на Як-9У стали ставить новые ради</w:t>
      </w:r>
      <w:r w:rsidRPr="00070ADE">
        <w:rPr>
          <w:rFonts w:ascii="Times New Roman" w:hAnsi="Times New Roman"/>
          <w:color w:val="000000" w:themeColor="text1"/>
          <w:sz w:val="16"/>
          <w:szCs w:val="16"/>
        </w:rPr>
        <w:softHyphen/>
        <w:t>аторы и улучшили каналы охлаждающих устройств. После этого температурные ре</w:t>
      </w:r>
      <w:r w:rsidRPr="00070ADE">
        <w:rPr>
          <w:rFonts w:ascii="Times New Roman" w:hAnsi="Times New Roman"/>
          <w:color w:val="000000" w:themeColor="text1"/>
          <w:sz w:val="16"/>
          <w:szCs w:val="16"/>
        </w:rPr>
        <w:softHyphen/>
        <w:t>жимы мотора вошли, в основном, в норму. К концу войны большинство немецких истребителей на советско-германском фронте составляли FW190 в разных моди</w:t>
      </w:r>
      <w:r w:rsidRPr="00070ADE">
        <w:rPr>
          <w:rFonts w:ascii="Times New Roman" w:hAnsi="Times New Roman"/>
          <w:color w:val="000000" w:themeColor="text1"/>
          <w:sz w:val="16"/>
          <w:szCs w:val="16"/>
        </w:rPr>
        <w:softHyphen/>
        <w:t>фикациях. Не вдаваясь в подробности, объясняющие этот факт, отметим только, что в воздушных боях с ними Як-9У имел превосходство благодаря солидному пре</w:t>
      </w:r>
      <w:r w:rsidRPr="00070ADE">
        <w:rPr>
          <w:rFonts w:ascii="Times New Roman" w:hAnsi="Times New Roman"/>
          <w:color w:val="000000" w:themeColor="text1"/>
          <w:sz w:val="16"/>
          <w:szCs w:val="16"/>
        </w:rPr>
        <w:softHyphen/>
        <w:t>имуществу по определяющим летным по</w:t>
      </w:r>
      <w:r w:rsidRPr="00070ADE">
        <w:rPr>
          <w:rFonts w:ascii="Times New Roman" w:hAnsi="Times New Roman"/>
          <w:color w:val="000000" w:themeColor="text1"/>
          <w:sz w:val="16"/>
          <w:szCs w:val="16"/>
        </w:rPr>
        <w:softHyphen/>
        <w:t>казателям, таким, как скорость, скоропо</w:t>
      </w:r>
      <w:r w:rsidRPr="00070ADE">
        <w:rPr>
          <w:rFonts w:ascii="Times New Roman" w:hAnsi="Times New Roman"/>
          <w:color w:val="000000" w:themeColor="text1"/>
          <w:sz w:val="16"/>
          <w:szCs w:val="16"/>
        </w:rPr>
        <w:softHyphen/>
        <w:t>дъемность и маневренность. Это и понят</w:t>
      </w:r>
      <w:r w:rsidRPr="00070ADE">
        <w:rPr>
          <w:rFonts w:ascii="Times New Roman" w:hAnsi="Times New Roman"/>
          <w:color w:val="000000" w:themeColor="text1"/>
          <w:sz w:val="16"/>
          <w:szCs w:val="16"/>
        </w:rPr>
        <w:softHyphen/>
        <w:t>но. Более тяжелый FW190 являлся все-таки многоцелевым истребителем, в то время как Як-9У оптимизировался для воздушного боя. По единодушному мне</w:t>
      </w:r>
      <w:r w:rsidRPr="00070ADE">
        <w:rPr>
          <w:rFonts w:ascii="Times New Roman" w:hAnsi="Times New Roman"/>
          <w:color w:val="000000" w:themeColor="text1"/>
          <w:sz w:val="16"/>
          <w:szCs w:val="16"/>
        </w:rPr>
        <w:softHyphen/>
        <w:t>нию советских фронтовых летчиков и лет</w:t>
      </w:r>
      <w:r w:rsidRPr="00070ADE">
        <w:rPr>
          <w:rFonts w:ascii="Times New Roman" w:hAnsi="Times New Roman"/>
          <w:color w:val="000000" w:themeColor="text1"/>
          <w:sz w:val="16"/>
          <w:szCs w:val="16"/>
        </w:rPr>
        <w:softHyphen/>
        <w:t>чиков-испытателей, в воздушном бою наи</w:t>
      </w:r>
      <w:r w:rsidRPr="00070ADE">
        <w:rPr>
          <w:rFonts w:ascii="Times New Roman" w:hAnsi="Times New Roman"/>
          <w:color w:val="000000" w:themeColor="text1"/>
          <w:sz w:val="16"/>
          <w:szCs w:val="16"/>
        </w:rPr>
        <w:softHyphen/>
        <w:t>более сильной машиной люфтваффе был Вf109. Поэтому Як-9У лучше сравнить с истребителем Мессершмитта. Вот мнение немецкого летчика Вальтера Вольфрума, который летал почти на всех основных мо</w:t>
      </w:r>
      <w:r w:rsidRPr="00070ADE">
        <w:rPr>
          <w:rFonts w:ascii="Times New Roman" w:hAnsi="Times New Roman"/>
          <w:color w:val="000000" w:themeColor="text1"/>
          <w:sz w:val="16"/>
          <w:szCs w:val="16"/>
        </w:rPr>
        <w:softHyphen/>
        <w:t>дификациях Вf109, среди которых В, О, Е, Р-2, Р-4, С-2, С-4, С-6, С-10, 0-14 и, нако</w:t>
      </w:r>
      <w:r w:rsidRPr="00070ADE">
        <w:rPr>
          <w:rFonts w:ascii="Times New Roman" w:hAnsi="Times New Roman"/>
          <w:color w:val="000000" w:themeColor="text1"/>
          <w:sz w:val="16"/>
          <w:szCs w:val="16"/>
        </w:rPr>
        <w:softHyphen/>
        <w:t xml:space="preserve">нец, К-4. </w:t>
      </w:r>
      <w:r w:rsidRPr="00070ADE">
        <w:rPr>
          <w:rFonts w:ascii="Times New Roman" w:hAnsi="Times New Roman"/>
          <w:iCs/>
          <w:color w:val="000000" w:themeColor="text1"/>
          <w:sz w:val="16"/>
          <w:szCs w:val="16"/>
        </w:rPr>
        <w:t>«Наилучшими истребителями, с которыми я встречался в бою, были Норт-Америкен «Mustang» Р-51 и русские Як-9У. Оба истребителя имели явное преиму</w:t>
      </w:r>
      <w:r w:rsidRPr="00070ADE">
        <w:rPr>
          <w:rFonts w:ascii="Times New Roman" w:hAnsi="Times New Roman"/>
          <w:iCs/>
          <w:color w:val="000000" w:themeColor="text1"/>
          <w:sz w:val="16"/>
          <w:szCs w:val="16"/>
        </w:rPr>
        <w:softHyphen/>
        <w:t>щество в характеристиках над Ме-109 не</w:t>
      </w:r>
      <w:r w:rsidRPr="00070ADE">
        <w:rPr>
          <w:rFonts w:ascii="Times New Roman" w:hAnsi="Times New Roman"/>
          <w:iCs/>
          <w:color w:val="000000" w:themeColor="text1"/>
          <w:sz w:val="16"/>
          <w:szCs w:val="16"/>
        </w:rPr>
        <w:softHyphen/>
        <w:t>зависимо от модификации, включая Ме-109К-4» (10712).</w:t>
      </w:r>
    </w:p>
    <w:p w14:paraId="5AC785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C11CD9" w14:textId="77777777" w:rsidR="000656CD" w:rsidRPr="00C94B78" w:rsidRDefault="000656C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апреле 1944 г. проведенные испытания истребителя Як-9У с М-107 подтвердили его полное превосходство над образцом с двигателем М- 105ПФ-2, и новый самолет и двигатель были приняты в серийное производство. Еще более выдающимися данные показал истребителе Як-3 с двигателем ВК-107А. Однако большая частота вращения была и слабым местом конструкции. Даже в 1945 г. в инструкции по эксплуатации двигателя ВК-107А было указание, что после первых 5 ч работы заменить масло в баке и картере, проверив отсутствие в масле следов разрушения вкладышей [7]. Данное предупреждение о возможности разрушения вкладышей говорит о недостаточной надежности двигателя ВК-107А в эксплуатации.</w:t>
      </w:r>
    </w:p>
    <w:p w14:paraId="077C86B4" w14:textId="77777777" w:rsidR="000656CD" w:rsidRPr="00C94B78" w:rsidRDefault="000656C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Освоение высоких оборотов коленчатого вала у двигателя ВК- 107А создавало возможность его дальнейшего Форсирования по увеличению среднего эффективного давления на поршень (у двигателя ВК-107А было всего 12,25 кг/см2, у АМ-42 - 15,4 кг/см2 и 16,1 кг/см2 - у АШ-82ФН) путем увеличения наддува. Проводились дальнейшие опытные работы по совершенствованию и увеличению мощности двигателя ВК-107А, была разработана и поставлена на летные испытания модификация ВК-107У с взлетной мощностью 1875 л.с., полученной за счет увеличения наддува. Столь сильное форсирование двигателя увеличило теплоотдачу в воду и масло и потребовало переделки самолетных радиаторов. Летные испытания самолета Як-9У с двигателем ВК-107У показали недостаточную надежность работы двигателя.</w:t>
      </w:r>
    </w:p>
    <w:p w14:paraId="4F486103" w14:textId="77777777" w:rsidR="000656CD" w:rsidRPr="00C94B78" w:rsidRDefault="000656C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Развитием двигателей ВК-107А и ВК-107У был новый ВК-108 (25039).</w:t>
      </w:r>
    </w:p>
    <w:p w14:paraId="26BE7DB8" w14:textId="77777777" w:rsidR="000656CD" w:rsidRPr="00C94B78" w:rsidRDefault="000656CD" w:rsidP="00B56F90">
      <w:pPr>
        <w:spacing w:after="0" w:line="240" w:lineRule="auto"/>
        <w:jc w:val="both"/>
        <w:rPr>
          <w:rFonts w:ascii="Times New Roman" w:hAnsi="Times New Roman"/>
          <w:color w:val="0070C0"/>
          <w:sz w:val="16"/>
          <w:szCs w:val="16"/>
        </w:rPr>
      </w:pPr>
    </w:p>
    <w:p w14:paraId="129E5983"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апреле 1944 г. на машине Ла-5Ф № 3811507 небольшой коллектив серийного КБ завода № 381 предложил карбюраторный двигатель АШ-82Ф заменить на АШ-82ФН с непосредственным впрыском топлива и установить на се</w:t>
      </w:r>
      <w:r w:rsidRPr="00C94B78">
        <w:rPr>
          <w:rStyle w:val="aff1"/>
          <w:rFonts w:ascii="Times New Roman" w:hAnsi="Times New Roman" w:cs="Times New Roman"/>
          <w:color w:val="0070C0"/>
          <w:spacing w:val="0"/>
          <w:sz w:val="16"/>
          <w:szCs w:val="16"/>
        </w:rPr>
        <w:softHyphen/>
        <w:t>рийный Ла-5Ф силовую установку с моторамой от Ла-7. При этом сохранили выхлопные кол</w:t>
      </w:r>
      <w:r w:rsidRPr="00C94B78">
        <w:rPr>
          <w:rStyle w:val="aff1"/>
          <w:rFonts w:ascii="Times New Roman" w:hAnsi="Times New Roman" w:cs="Times New Roman"/>
          <w:color w:val="0070C0"/>
          <w:spacing w:val="0"/>
          <w:sz w:val="16"/>
          <w:szCs w:val="16"/>
        </w:rPr>
        <w:softHyphen/>
        <w:t>лекторы от предшественника и доработали боковые створ</w:t>
      </w:r>
      <w:r w:rsidRPr="00C94B78">
        <w:rPr>
          <w:rStyle w:val="aff1"/>
          <w:rFonts w:ascii="Times New Roman" w:hAnsi="Times New Roman" w:cs="Times New Roman"/>
          <w:color w:val="0070C0"/>
          <w:spacing w:val="0"/>
          <w:sz w:val="16"/>
          <w:szCs w:val="16"/>
        </w:rPr>
        <w:softHyphen/>
        <w:t>ки. Самолет, получивший официальное название «Гиб</w:t>
      </w:r>
      <w:r w:rsidRPr="00C94B78">
        <w:rPr>
          <w:rStyle w:val="aff1"/>
          <w:rFonts w:ascii="Times New Roman" w:hAnsi="Times New Roman" w:cs="Times New Roman"/>
          <w:color w:val="0070C0"/>
          <w:spacing w:val="0"/>
          <w:sz w:val="16"/>
          <w:szCs w:val="16"/>
        </w:rPr>
        <w:softHyphen/>
        <w:t>рид», проходил испытания в НИИ ВВС в мае 1944 года. Ве</w:t>
      </w:r>
      <w:r w:rsidRPr="00C94B78">
        <w:rPr>
          <w:rStyle w:val="aff1"/>
          <w:rFonts w:ascii="Times New Roman" w:hAnsi="Times New Roman" w:cs="Times New Roman"/>
          <w:color w:val="0070C0"/>
          <w:spacing w:val="0"/>
          <w:sz w:val="16"/>
          <w:szCs w:val="16"/>
        </w:rPr>
        <w:softHyphen/>
        <w:t>дущими по машине были инженер В.И. Алексеенко и летчик А.Г. Кубышкин. По сравнению с «Дублером» Ла- 5ФН завода № 21 он имел значительно худшие летные дан</w:t>
      </w:r>
      <w:r w:rsidRPr="00C94B78">
        <w:rPr>
          <w:rStyle w:val="aff1"/>
          <w:rFonts w:ascii="Times New Roman" w:hAnsi="Times New Roman" w:cs="Times New Roman"/>
          <w:color w:val="0070C0"/>
          <w:spacing w:val="0"/>
          <w:sz w:val="16"/>
          <w:szCs w:val="16"/>
        </w:rPr>
        <w:softHyphen/>
        <w:t>ные. Например, его максимальная скорость оказалась на 68 км/ч ниже, что, видимо, связано с утяжелением маши</w:t>
      </w:r>
      <w:r w:rsidRPr="00C94B78">
        <w:rPr>
          <w:rStyle w:val="aff1"/>
          <w:rFonts w:ascii="Times New Roman" w:hAnsi="Times New Roman" w:cs="Times New Roman"/>
          <w:color w:val="0070C0"/>
          <w:spacing w:val="0"/>
          <w:sz w:val="16"/>
          <w:szCs w:val="16"/>
        </w:rPr>
        <w:softHyphen/>
        <w:t>ны и худшей отделкой его внешней поверхности.</w:t>
      </w:r>
    </w:p>
    <w:p w14:paraId="5FDCA33F"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Самолет испытания не выдержал. НИИ ВВС рекомен</w:t>
      </w:r>
      <w:r w:rsidRPr="00C94B78">
        <w:rPr>
          <w:rStyle w:val="aff1"/>
          <w:rFonts w:ascii="Times New Roman" w:hAnsi="Times New Roman" w:cs="Times New Roman"/>
          <w:color w:val="0070C0"/>
          <w:spacing w:val="0"/>
          <w:sz w:val="16"/>
          <w:szCs w:val="16"/>
        </w:rPr>
        <w:softHyphen/>
        <w:t>довал использовать установку двигателей АШ-82ФН при ремонте Ла-5Ф в полевых условиях лишь в крайнем случае (25252).</w:t>
      </w:r>
    </w:p>
    <w:p w14:paraId="2E6F8B9E" w14:textId="77777777" w:rsidR="007114F1" w:rsidRPr="00C94B78" w:rsidRDefault="007114F1" w:rsidP="00B56F90">
      <w:pPr>
        <w:spacing w:after="0" w:line="240" w:lineRule="auto"/>
        <w:jc w:val="both"/>
        <w:rPr>
          <w:rFonts w:ascii="Times New Roman" w:hAnsi="Times New Roman"/>
          <w:color w:val="0070C0"/>
          <w:sz w:val="16"/>
          <w:szCs w:val="16"/>
        </w:rPr>
      </w:pPr>
    </w:p>
    <w:p w14:paraId="084BFD2D"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мае 1944 года самолет Ла-5Ф № 3811507 с карбюраторным двигателем АШ-82Ф, замененным на АШ-82ФН, получивший официальное название «Гиб</w:t>
      </w:r>
      <w:r w:rsidRPr="00C94B78">
        <w:rPr>
          <w:rStyle w:val="aff1"/>
          <w:rFonts w:ascii="Times New Roman" w:hAnsi="Times New Roman" w:cs="Times New Roman"/>
          <w:color w:val="0070C0"/>
          <w:spacing w:val="0"/>
          <w:sz w:val="16"/>
          <w:szCs w:val="16"/>
        </w:rPr>
        <w:softHyphen/>
        <w:t>рид», проходил испытания в НИИ ВВС. Ве</w:t>
      </w:r>
      <w:r w:rsidRPr="00C94B78">
        <w:rPr>
          <w:rStyle w:val="aff1"/>
          <w:rFonts w:ascii="Times New Roman" w:hAnsi="Times New Roman" w:cs="Times New Roman"/>
          <w:color w:val="0070C0"/>
          <w:spacing w:val="0"/>
          <w:sz w:val="16"/>
          <w:szCs w:val="16"/>
        </w:rPr>
        <w:softHyphen/>
        <w:t>дущими по машине были инженер В.И. Алексеенко и летчик А.Г. Кубышкин. По сравнению с «Дублером» Ла- 5ФН завода № 21 он имел значительно худшие летные дан</w:t>
      </w:r>
      <w:r w:rsidRPr="00C94B78">
        <w:rPr>
          <w:rStyle w:val="aff1"/>
          <w:rFonts w:ascii="Times New Roman" w:hAnsi="Times New Roman" w:cs="Times New Roman"/>
          <w:color w:val="0070C0"/>
          <w:spacing w:val="0"/>
          <w:sz w:val="16"/>
          <w:szCs w:val="16"/>
        </w:rPr>
        <w:softHyphen/>
        <w:t>ные. Например, его максимальная скорость оказалась на 68 км/ч ниже, что, видимо, связано с утяжелением маши</w:t>
      </w:r>
      <w:r w:rsidRPr="00C94B78">
        <w:rPr>
          <w:rStyle w:val="aff1"/>
          <w:rFonts w:ascii="Times New Roman" w:hAnsi="Times New Roman" w:cs="Times New Roman"/>
          <w:color w:val="0070C0"/>
          <w:spacing w:val="0"/>
          <w:sz w:val="16"/>
          <w:szCs w:val="16"/>
        </w:rPr>
        <w:softHyphen/>
        <w:t>ны и худшей отделкой его внешней поверхности.</w:t>
      </w:r>
    </w:p>
    <w:p w14:paraId="663C537A"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Самолет испытания не выдержал. НИИ ВВС рекомен</w:t>
      </w:r>
      <w:r w:rsidRPr="00C94B78">
        <w:rPr>
          <w:rStyle w:val="aff1"/>
          <w:rFonts w:ascii="Times New Roman" w:hAnsi="Times New Roman" w:cs="Times New Roman"/>
          <w:color w:val="0070C0"/>
          <w:spacing w:val="0"/>
          <w:sz w:val="16"/>
          <w:szCs w:val="16"/>
        </w:rPr>
        <w:softHyphen/>
        <w:t>довал использовать установку двигателей АШ-82ФН при ремонте Ла-5Ф в полевых условиях лишь в крайнем случае (25252).</w:t>
      </w:r>
    </w:p>
    <w:p w14:paraId="335B6F00" w14:textId="77777777" w:rsidR="007114F1" w:rsidRPr="00C94B78" w:rsidRDefault="007114F1" w:rsidP="00B56F90">
      <w:pPr>
        <w:spacing w:after="0" w:line="240" w:lineRule="auto"/>
        <w:jc w:val="both"/>
        <w:rPr>
          <w:rFonts w:ascii="Times New Roman" w:hAnsi="Times New Roman"/>
          <w:color w:val="0070C0"/>
          <w:sz w:val="16"/>
          <w:szCs w:val="16"/>
        </w:rPr>
      </w:pPr>
    </w:p>
    <w:p w14:paraId="55BE1A41"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апреле 1944 г. завершили проект Ла-5Б. Этот самолет рассматривался как истребитель танков. Во внутреннем отсеке у него должны были размещать</w:t>
      </w:r>
      <w:r w:rsidRPr="00C94B78">
        <w:rPr>
          <w:rFonts w:ascii="Times New Roman" w:hAnsi="Times New Roman"/>
          <w:color w:val="0070C0"/>
          <w:sz w:val="16"/>
          <w:szCs w:val="16"/>
        </w:rPr>
        <w:softHyphen/>
        <w:t>ся 40 мелких кумулятивных противо</w:t>
      </w:r>
      <w:r w:rsidRPr="00C94B78">
        <w:rPr>
          <w:rFonts w:ascii="Times New Roman" w:hAnsi="Times New Roman"/>
          <w:color w:val="0070C0"/>
          <w:sz w:val="16"/>
          <w:szCs w:val="16"/>
        </w:rPr>
        <w:softHyphen/>
        <w:t>танковых бомб ПТАБ-2,5. Но решили, что Ла-5Б не сможет конкурировать со штурмовиком Ил-2 и работу прекра</w:t>
      </w:r>
      <w:r w:rsidRPr="00C94B78">
        <w:rPr>
          <w:rFonts w:ascii="Times New Roman" w:hAnsi="Times New Roman"/>
          <w:color w:val="0070C0"/>
          <w:sz w:val="16"/>
          <w:szCs w:val="16"/>
        </w:rPr>
        <w:softHyphen/>
        <w:t>тили (24930).</w:t>
      </w:r>
    </w:p>
    <w:p w14:paraId="790225D9" w14:textId="77777777" w:rsidR="007114F1" w:rsidRPr="00C94B78" w:rsidRDefault="007114F1" w:rsidP="00B56F90">
      <w:pPr>
        <w:spacing w:after="0" w:line="240" w:lineRule="auto"/>
        <w:jc w:val="both"/>
        <w:rPr>
          <w:rFonts w:ascii="Times New Roman" w:hAnsi="Times New Roman"/>
          <w:color w:val="0070C0"/>
          <w:sz w:val="16"/>
          <w:szCs w:val="16"/>
        </w:rPr>
      </w:pPr>
    </w:p>
    <w:p w14:paraId="6272E7CC"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апреля 1944 г. выпуск Ла</w:t>
      </w:r>
      <w:r w:rsidRPr="00C94B78">
        <w:rPr>
          <w:rFonts w:ascii="Times New Roman" w:hAnsi="Times New Roman"/>
          <w:color w:val="0070C0"/>
          <w:sz w:val="16"/>
          <w:szCs w:val="16"/>
        </w:rPr>
        <w:noBreakHyphen/>
        <w:t>5 постепенно снижался по мере роста производства Ла</w:t>
      </w:r>
      <w:r w:rsidRPr="00C94B78">
        <w:rPr>
          <w:rFonts w:ascii="Times New Roman" w:hAnsi="Times New Roman"/>
          <w:color w:val="0070C0"/>
          <w:sz w:val="16"/>
          <w:szCs w:val="16"/>
        </w:rPr>
        <w:noBreakHyphen/>
        <w:t>7. Ла</w:t>
      </w:r>
      <w:r w:rsidRPr="00C94B78">
        <w:rPr>
          <w:rFonts w:ascii="Times New Roman" w:hAnsi="Times New Roman"/>
          <w:color w:val="0070C0"/>
          <w:sz w:val="16"/>
          <w:szCs w:val="16"/>
        </w:rPr>
        <w:noBreakHyphen/>
        <w:t>5ФН и Ла</w:t>
      </w:r>
      <w:r w:rsidRPr="00C94B78">
        <w:rPr>
          <w:rFonts w:ascii="Times New Roman" w:hAnsi="Times New Roman"/>
          <w:color w:val="0070C0"/>
          <w:sz w:val="16"/>
          <w:szCs w:val="16"/>
        </w:rPr>
        <w:noBreakHyphen/>
        <w:t>7 строились параллельно до ноября 1944 г., когда промышленность полностью перешла на производство Ла</w:t>
      </w:r>
      <w:r w:rsidRPr="00C94B78">
        <w:rPr>
          <w:rFonts w:ascii="Times New Roman" w:hAnsi="Times New Roman"/>
          <w:color w:val="0070C0"/>
          <w:sz w:val="16"/>
          <w:szCs w:val="16"/>
        </w:rPr>
        <w:noBreakHyphen/>
        <w:t>7. Всего было построено 9920 истребителей Ла</w:t>
      </w:r>
      <w:r w:rsidRPr="00C94B78">
        <w:rPr>
          <w:rFonts w:ascii="Times New Roman" w:hAnsi="Times New Roman"/>
          <w:color w:val="0070C0"/>
          <w:sz w:val="16"/>
          <w:szCs w:val="16"/>
        </w:rPr>
        <w:noBreakHyphen/>
        <w:t>5 всех модификаций (25068).</w:t>
      </w:r>
    </w:p>
    <w:p w14:paraId="6D336196" w14:textId="77777777" w:rsidR="007114F1" w:rsidRPr="00C94B78" w:rsidRDefault="007114F1" w:rsidP="00B56F90">
      <w:pPr>
        <w:spacing w:after="0" w:line="240" w:lineRule="auto"/>
        <w:jc w:val="both"/>
        <w:rPr>
          <w:rFonts w:ascii="Times New Roman" w:hAnsi="Times New Roman"/>
          <w:color w:val="0070C0"/>
          <w:sz w:val="16"/>
          <w:szCs w:val="16"/>
        </w:rPr>
      </w:pPr>
    </w:p>
    <w:p w14:paraId="120A2D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года А.И.Покрышкин посетил Горький, где встретился с С.А. Лавоч</w:t>
      </w:r>
      <w:r w:rsidRPr="00070ADE">
        <w:rPr>
          <w:rFonts w:ascii="Times New Roman" w:hAnsi="Times New Roman"/>
          <w:color w:val="000000" w:themeColor="text1"/>
          <w:sz w:val="16"/>
          <w:szCs w:val="16"/>
        </w:rPr>
        <w:softHyphen/>
        <w:t>киным и руководством завода №21 (10714).</w:t>
      </w:r>
    </w:p>
    <w:p w14:paraId="2B8A6F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EFDCC4" w14:textId="77777777" w:rsidR="009E6775" w:rsidRPr="00070ADE" w:rsidRDefault="009E677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А.И. Покрышкин посетил Горький, где встретился с С.А. Лавочкиным и руководством завода № 21. Ле</w:t>
      </w:r>
      <w:r w:rsidRPr="00070ADE">
        <w:rPr>
          <w:rFonts w:ascii="Times New Roman" w:hAnsi="Times New Roman"/>
          <w:color w:val="000000" w:themeColor="text1"/>
          <w:sz w:val="16"/>
          <w:szCs w:val="16"/>
        </w:rPr>
        <w:softHyphen/>
        <w:t>том он сам и группа его лётчиков прошла переподготовку на Ла-7 при Высшей офицер</w:t>
      </w:r>
      <w:r w:rsidRPr="00070ADE">
        <w:rPr>
          <w:rFonts w:ascii="Times New Roman" w:hAnsi="Times New Roman"/>
          <w:color w:val="000000" w:themeColor="text1"/>
          <w:sz w:val="16"/>
          <w:szCs w:val="16"/>
        </w:rPr>
        <w:softHyphen/>
        <w:t>ской школе воздушного боя, но по какой-то причине самолётов Лавочкина 9-я ГИАД, командиром которой был назначен гвардии полковник Покрышкин, так и не получила, и оканчивать войну ей пришлось на всё тех же американских «Аэрокобрах» (15829).</w:t>
      </w:r>
    </w:p>
    <w:p w14:paraId="24F54E7B" w14:textId="77777777" w:rsidR="009E6775" w:rsidRPr="00070ADE" w:rsidRDefault="009E6775" w:rsidP="00B56F90">
      <w:pPr>
        <w:spacing w:after="0" w:line="240" w:lineRule="auto"/>
        <w:jc w:val="both"/>
        <w:rPr>
          <w:rFonts w:ascii="Times New Roman" w:hAnsi="Times New Roman"/>
          <w:color w:val="000000" w:themeColor="text1"/>
          <w:sz w:val="16"/>
          <w:szCs w:val="16"/>
        </w:rPr>
      </w:pPr>
    </w:p>
    <w:p w14:paraId="71D081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проходил гос. испытания "82-ВГ" на Ла-5 с М-82 N 39211616 21 завода и прошел удовлетворительно (744,2).</w:t>
      </w:r>
    </w:p>
    <w:p w14:paraId="66F77F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D1CD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на машине Ла-5 № 3811507 карбюраторный двигатель АШ-82Ф заменили на АШ-82ФН с непосредственным впрыском топлива. При этом сохранили выхлопные коллекторы от предшественника и доработали боковые створки. Самолет, получивший официальное название "Гибрид", проходил испытания в НИИ ВВС в мае 1944 г. Ведущими по машине были инженер В.И. Алексеенко и летчик А.Г. Кубышкин. По сравнению с "Дублером" Ла-5ФН завода № 21 он имел значительно худшие летные данные. Например, его максимальная скорость оказалась на 68 км/ч ниже, что, видимо, связано с утяжелением машины и худшей отделкой его внешней поверхности.</w:t>
      </w:r>
    </w:p>
    <w:p w14:paraId="6EB5F4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испытания не выдержал. НИИ ВВС рекомендовал использовать установку двигателей АШ-82ФН при ремонте Ла-5Ф в полевых условиях лишь в крайнем случае (12032).</w:t>
      </w:r>
    </w:p>
    <w:p w14:paraId="5570AF3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FF4C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проходил гос. испытания дублер ЛаГГ-3 с ВК-105ПФ2 облегченного, который построила группа Горбунова в Тбилиси и назвала машина 105 и построили еще весной 1943. Вооружение и силовую установку так и не довели. Производство ЛаГГ-3, модифицированного согласно рекомендаций НИИ ВВС и ЦАГИ вели до середины 1944 (3241,3).</w:t>
      </w:r>
    </w:p>
    <w:p w14:paraId="031BB5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F5F123" w14:textId="77777777" w:rsidR="000656CD" w:rsidRPr="00070ADE" w:rsidRDefault="000656CD"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ВВС были утверждены технические требования к одноместному высотному истребителю с мотором АМ-43 с турбо</w:t>
      </w:r>
      <w:r w:rsidRPr="00070ADE">
        <w:rPr>
          <w:rFonts w:ascii="Times New Roman" w:hAnsi="Times New Roman"/>
          <w:color w:val="000000" w:themeColor="text1"/>
          <w:sz w:val="16"/>
          <w:szCs w:val="16"/>
        </w:rPr>
        <w:softHyphen/>
        <w:t>компрессором для ОКБ А.И. Микояна. Планировалось получить потолок 12 000 м и максимальную скорость 700 км/ч на высоте 8000 м. В 1944 г. ОКБ Микояна разрабатывало истребитель-пере</w:t>
      </w:r>
      <w:r w:rsidRPr="00070ADE">
        <w:rPr>
          <w:rFonts w:ascii="Times New Roman" w:hAnsi="Times New Roman"/>
          <w:color w:val="000000" w:themeColor="text1"/>
          <w:sz w:val="16"/>
          <w:szCs w:val="16"/>
        </w:rPr>
        <w:softHyphen/>
        <w:t>хватчик И-240 с такой силовой установкой и расчетной максималь</w:t>
      </w:r>
      <w:r w:rsidRPr="00070ADE">
        <w:rPr>
          <w:rFonts w:ascii="Times New Roman" w:hAnsi="Times New Roman"/>
          <w:color w:val="000000" w:themeColor="text1"/>
          <w:sz w:val="16"/>
          <w:szCs w:val="16"/>
        </w:rPr>
        <w:softHyphen/>
        <w:t>ной скоростью 700-750 км/ч, но с измененным вооружением, состоявшим из пушки калибра 45 мм и двух пушек калибра 20 мм (10781).</w:t>
      </w:r>
    </w:p>
    <w:p w14:paraId="6F30B044" w14:textId="77777777" w:rsidR="000656CD" w:rsidRPr="00070ADE" w:rsidRDefault="000656CD"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E717C4" w14:textId="77777777" w:rsidR="000656CD" w:rsidRPr="00070ADE" w:rsidRDefault="000656CD"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ВВС были утверждены технические требования к одноместному высотному истребителю с мотором АМ-43 с турбокомпрессором для ОКБ А.И. Микояна. Планировалось получить потолок 12000 м и максимальную скорость 700 км/ч на высоте 8000 м. В 1944 г. ОКБ Микояна разрабатывало истребитель-перехватчик И-240 с такой силовой установкой и расчетной максимальной скоростью 700...750 км/ч, но с измененным вооружением, состоявшим из пушки калибра 45 мм и двух пушек калибра 20 мм (9032).</w:t>
      </w:r>
    </w:p>
    <w:p w14:paraId="718785CE" w14:textId="77777777" w:rsidR="000656CD" w:rsidRPr="00070ADE" w:rsidRDefault="000656CD"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2E4805"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года закончили в производстве истребитель, получивший название И-222 и завод</w:t>
      </w:r>
      <w:r w:rsidRPr="00070ADE">
        <w:rPr>
          <w:rFonts w:ascii="Times New Roman" w:hAnsi="Times New Roman"/>
          <w:color w:val="000000" w:themeColor="text1"/>
          <w:sz w:val="16"/>
          <w:szCs w:val="16"/>
        </w:rPr>
        <w:softHyphen/>
        <w:t>ской шифр «ЗА». В плане опытных работ на 1943 год он шел со сроком предъявления на испытания 15 марта. По своей конструкции он в целом повторял И-221 и, помимо герметической кабины, имел улуч</w:t>
      </w:r>
      <w:r w:rsidRPr="00070ADE">
        <w:rPr>
          <w:rFonts w:ascii="Times New Roman" w:hAnsi="Times New Roman"/>
          <w:color w:val="000000" w:themeColor="text1"/>
          <w:sz w:val="16"/>
          <w:szCs w:val="16"/>
        </w:rPr>
        <w:softHyphen/>
        <w:t>шенный обзор назад за счёт пониженного гаргрота.</w:t>
      </w:r>
    </w:p>
    <w:p w14:paraId="488DC062"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машине установили опытный мотор АМ-39Б, трёх</w:t>
      </w:r>
      <w:r w:rsidRPr="00070ADE">
        <w:rPr>
          <w:rFonts w:ascii="Times New Roman" w:hAnsi="Times New Roman"/>
          <w:color w:val="000000" w:themeColor="text1"/>
          <w:sz w:val="16"/>
          <w:szCs w:val="16"/>
        </w:rPr>
        <w:softHyphen/>
        <w:t>лопастный винт серии АВ-5Л, а в системе охлаждения поступающего в карбюратор воздуха — воздухо-воз</w:t>
      </w:r>
      <w:r w:rsidRPr="00070ADE">
        <w:rPr>
          <w:rFonts w:ascii="Times New Roman" w:hAnsi="Times New Roman"/>
          <w:color w:val="000000" w:themeColor="text1"/>
          <w:sz w:val="16"/>
          <w:szCs w:val="16"/>
        </w:rPr>
        <w:softHyphen/>
        <w:t>душный радиатор взамен водо-воздушного, что позво</w:t>
      </w:r>
      <w:r w:rsidRPr="00070ADE">
        <w:rPr>
          <w:rFonts w:ascii="Times New Roman" w:hAnsi="Times New Roman"/>
          <w:color w:val="000000" w:themeColor="text1"/>
          <w:sz w:val="16"/>
          <w:szCs w:val="16"/>
        </w:rPr>
        <w:softHyphen/>
        <w:t>лило несмотря на установку гермокабины не допу</w:t>
      </w:r>
      <w:r w:rsidRPr="00070ADE">
        <w:rPr>
          <w:rFonts w:ascii="Times New Roman" w:hAnsi="Times New Roman"/>
          <w:color w:val="000000" w:themeColor="text1"/>
          <w:sz w:val="16"/>
          <w:szCs w:val="16"/>
        </w:rPr>
        <w:softHyphen/>
        <w:t>стить возрастания полётной массы.</w:t>
      </w:r>
    </w:p>
    <w:p w14:paraId="011A3DE8"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Корпус гермокабины сделали из алюминиевого сплава, а герметизация фонаря впервые была вы</w:t>
      </w:r>
      <w:r w:rsidRPr="00070ADE">
        <w:rPr>
          <w:rFonts w:ascii="Times New Roman" w:hAnsi="Times New Roman"/>
          <w:color w:val="000000" w:themeColor="text1"/>
          <w:sz w:val="16"/>
          <w:szCs w:val="16"/>
        </w:rPr>
        <w:softHyphen/>
        <w:t>полнена не жёстким стягиванием по уплотнителю, а гораздо более «нежным» способом — под каркасом сдвижной части проходил шланг, надувавшийся воз</w:t>
      </w:r>
      <w:r w:rsidRPr="00070ADE">
        <w:rPr>
          <w:rFonts w:ascii="Times New Roman" w:hAnsi="Times New Roman"/>
          <w:color w:val="000000" w:themeColor="text1"/>
          <w:sz w:val="16"/>
          <w:szCs w:val="16"/>
        </w:rPr>
        <w:softHyphen/>
        <w:t>духом и прекрасно заполнявший все щели. Такая схе</w:t>
      </w:r>
      <w:r w:rsidRPr="00070ADE">
        <w:rPr>
          <w:rFonts w:ascii="Times New Roman" w:hAnsi="Times New Roman"/>
          <w:color w:val="000000" w:themeColor="text1"/>
          <w:sz w:val="16"/>
          <w:szCs w:val="16"/>
        </w:rPr>
        <w:softHyphen/>
        <w:t>ма герметизации применяется и по сей день на мно</w:t>
      </w:r>
      <w:r w:rsidRPr="00070ADE">
        <w:rPr>
          <w:rFonts w:ascii="Times New Roman" w:hAnsi="Times New Roman"/>
          <w:color w:val="000000" w:themeColor="text1"/>
          <w:sz w:val="16"/>
          <w:szCs w:val="16"/>
        </w:rPr>
        <w:softHyphen/>
        <w:t>жестве самолётов.</w:t>
      </w:r>
    </w:p>
    <w:p w14:paraId="66C599A3"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Пилотские фонари, как силовые конструкции, спо</w:t>
      </w:r>
      <w:r w:rsidRPr="00070ADE">
        <w:rPr>
          <w:rFonts w:ascii="Times New Roman" w:hAnsi="Times New Roman"/>
          <w:color w:val="000000" w:themeColor="text1"/>
          <w:sz w:val="16"/>
          <w:szCs w:val="16"/>
        </w:rPr>
        <w:softHyphen/>
        <w:t>собные воспринять большую нагрузку, тогда ещё ни</w:t>
      </w:r>
      <w:r w:rsidRPr="00070ADE">
        <w:rPr>
          <w:rFonts w:ascii="Times New Roman" w:hAnsi="Times New Roman"/>
          <w:color w:val="000000" w:themeColor="text1"/>
          <w:sz w:val="16"/>
          <w:szCs w:val="16"/>
        </w:rPr>
        <w:softHyphen/>
        <w:t>кто не проектировал, а герметическая кабина само</w:t>
      </w:r>
      <w:r w:rsidRPr="00070ADE">
        <w:rPr>
          <w:rFonts w:ascii="Times New Roman" w:hAnsi="Times New Roman"/>
          <w:color w:val="000000" w:themeColor="text1"/>
          <w:sz w:val="16"/>
          <w:szCs w:val="16"/>
        </w:rPr>
        <w:softHyphen/>
        <w:t>лёта требовала прочности. На большой высоте, где воздух сильно разрежён, внутреннее давление распи</w:t>
      </w:r>
      <w:r w:rsidRPr="00070ADE">
        <w:rPr>
          <w:rFonts w:ascii="Times New Roman" w:hAnsi="Times New Roman"/>
          <w:color w:val="000000" w:themeColor="text1"/>
          <w:sz w:val="16"/>
          <w:szCs w:val="16"/>
        </w:rPr>
        <w:softHyphen/>
        <w:t>рало кабину с огромной силой.</w:t>
      </w:r>
    </w:p>
    <w:p w14:paraId="45A3F06F"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Чтобы разобраться в поведении конструкции под нагрузкой, варианты будущих кабин изучали в баро</w:t>
      </w:r>
      <w:r w:rsidRPr="00070ADE">
        <w:rPr>
          <w:rFonts w:ascii="Times New Roman" w:hAnsi="Times New Roman"/>
          <w:color w:val="000000" w:themeColor="text1"/>
          <w:sz w:val="16"/>
          <w:szCs w:val="16"/>
        </w:rPr>
        <w:softHyphen/>
        <w:t>камерах. Как-то раз стёкла одной из них с грохотом разлетелись на глазах у главного конструктора. Пре</w:t>
      </w:r>
      <w:r w:rsidRPr="00070ADE">
        <w:rPr>
          <w:rFonts w:ascii="Times New Roman" w:hAnsi="Times New Roman"/>
          <w:color w:val="000000" w:themeColor="text1"/>
          <w:sz w:val="16"/>
          <w:szCs w:val="16"/>
        </w:rPr>
        <w:softHyphen/>
        <w:t>красно понимая, как нужна его сотрудникам в этот момент моральная поддержка, А.И. Микоян широко улыбнулся, хотя уж тут было не до улыбок, и спросил:</w:t>
      </w:r>
    </w:p>
    <w:p w14:paraId="3D4BBF0C"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Ну что у вас, всё лопнуло?..</w:t>
      </w:r>
    </w:p>
    <w:p w14:paraId="1DECF858"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Потом стёкла перестали лопаться, но на каких-то ре</w:t>
      </w:r>
      <w:r w:rsidRPr="00070ADE">
        <w:rPr>
          <w:rFonts w:ascii="Times New Roman" w:hAnsi="Times New Roman"/>
          <w:color w:val="000000" w:themeColor="text1"/>
          <w:sz w:val="16"/>
          <w:szCs w:val="16"/>
        </w:rPr>
        <w:softHyphen/>
        <w:t>жимах запотевал фонарь. При неблагоприятных метео</w:t>
      </w:r>
      <w:r w:rsidRPr="00070ADE">
        <w:rPr>
          <w:rFonts w:ascii="Times New Roman" w:hAnsi="Times New Roman"/>
          <w:color w:val="000000" w:themeColor="text1"/>
          <w:sz w:val="16"/>
          <w:szCs w:val="16"/>
        </w:rPr>
        <w:softHyphen/>
        <w:t>рологических условиях влага, попадая с воздухом в ка</w:t>
      </w:r>
      <w:r w:rsidRPr="00070ADE">
        <w:rPr>
          <w:rFonts w:ascii="Times New Roman" w:hAnsi="Times New Roman"/>
          <w:color w:val="000000" w:themeColor="text1"/>
          <w:sz w:val="16"/>
          <w:szCs w:val="16"/>
        </w:rPr>
        <w:softHyphen/>
        <w:t>бину, конденсировалась на стёклах, ухудшая видимость и тем самым затрудняя действия лётчика. Проектировщики изрядно повозились, прежде чем придумали коллекторы, исклю</w:t>
      </w:r>
      <w:r w:rsidRPr="00070ADE">
        <w:rPr>
          <w:rFonts w:ascii="Times New Roman" w:hAnsi="Times New Roman"/>
          <w:color w:val="000000" w:themeColor="text1"/>
          <w:sz w:val="16"/>
          <w:szCs w:val="16"/>
        </w:rPr>
        <w:softHyphen/>
        <w:t>чавшие опасные сквозняки. Но из</w:t>
      </w:r>
      <w:r w:rsidRPr="00070ADE">
        <w:rPr>
          <w:rFonts w:ascii="Times New Roman" w:hAnsi="Times New Roman"/>
          <w:color w:val="000000" w:themeColor="text1"/>
          <w:sz w:val="16"/>
          <w:szCs w:val="16"/>
        </w:rPr>
        <w:softHyphen/>
        <w:t>бавившись от одной проблемы, они тут же получили новую. Органичес</w:t>
      </w:r>
      <w:r w:rsidRPr="00070ADE">
        <w:rPr>
          <w:rFonts w:ascii="Times New Roman" w:hAnsi="Times New Roman"/>
          <w:color w:val="000000" w:themeColor="text1"/>
          <w:sz w:val="16"/>
          <w:szCs w:val="16"/>
        </w:rPr>
        <w:softHyphen/>
        <w:t>кое стекло под воздействием струй горячего воздуха, бившего из кол</w:t>
      </w:r>
      <w:r w:rsidRPr="00070ADE">
        <w:rPr>
          <w:rFonts w:ascii="Times New Roman" w:hAnsi="Times New Roman"/>
          <w:color w:val="000000" w:themeColor="text1"/>
          <w:sz w:val="16"/>
          <w:szCs w:val="16"/>
        </w:rPr>
        <w:softHyphen/>
        <w:t>лекторов, теряло прочность. А по</w:t>
      </w:r>
      <w:r w:rsidRPr="00070ADE">
        <w:rPr>
          <w:rFonts w:ascii="Times New Roman" w:hAnsi="Times New Roman"/>
          <w:color w:val="000000" w:themeColor="text1"/>
          <w:sz w:val="16"/>
          <w:szCs w:val="16"/>
        </w:rPr>
        <w:softHyphen/>
        <w:t>теря прочности угрожала взрывом кабины. Одним словом, получался замкнутый круг. Однако двойное остекление, более точное распреде</w:t>
      </w:r>
      <w:r w:rsidRPr="00070ADE">
        <w:rPr>
          <w:rFonts w:ascii="Times New Roman" w:hAnsi="Times New Roman"/>
          <w:color w:val="000000" w:themeColor="text1"/>
          <w:sz w:val="16"/>
          <w:szCs w:val="16"/>
        </w:rPr>
        <w:softHyphen/>
        <w:t>ление горячих воздушных потоков, селикагелевые патроны, поглощав</w:t>
      </w:r>
      <w:r w:rsidRPr="00070ADE">
        <w:rPr>
          <w:rFonts w:ascii="Times New Roman" w:hAnsi="Times New Roman"/>
          <w:color w:val="000000" w:themeColor="text1"/>
          <w:sz w:val="16"/>
          <w:szCs w:val="16"/>
        </w:rPr>
        <w:softHyphen/>
        <w:t>шие влагу, позволили конструкторам решить проблему и довести дело до конца (23379).</w:t>
      </w:r>
    </w:p>
    <w:p w14:paraId="26FFF84D" w14:textId="77777777" w:rsidR="007F6E7B" w:rsidRPr="00070ADE" w:rsidRDefault="007F6E7B" w:rsidP="00B56F90">
      <w:pPr>
        <w:spacing w:after="0" w:line="240" w:lineRule="auto"/>
        <w:jc w:val="both"/>
        <w:rPr>
          <w:rFonts w:ascii="Times New Roman" w:hAnsi="Times New Roman"/>
          <w:color w:val="000000" w:themeColor="text1"/>
          <w:sz w:val="16"/>
          <w:szCs w:val="16"/>
        </w:rPr>
      </w:pPr>
    </w:p>
    <w:p w14:paraId="4DE4F1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самолет У-2ШС (штабной, санитарный) или У2-ШС выкатили из сборочного цеха. Испыта</w:t>
      </w:r>
      <w:r w:rsidRPr="00070ADE">
        <w:rPr>
          <w:rFonts w:ascii="Times New Roman" w:hAnsi="Times New Roman"/>
          <w:color w:val="000000" w:themeColor="text1"/>
          <w:sz w:val="16"/>
          <w:szCs w:val="16"/>
        </w:rPr>
        <w:softHyphen/>
        <w:t>ния прошли очень быстро. Улучшенная аэродинамика и повышенная мощность двигателя привели к увеличе</w:t>
      </w:r>
      <w:r w:rsidRPr="00070ADE">
        <w:rPr>
          <w:rFonts w:ascii="Times New Roman" w:hAnsi="Times New Roman"/>
          <w:color w:val="000000" w:themeColor="text1"/>
          <w:sz w:val="16"/>
          <w:szCs w:val="16"/>
        </w:rPr>
        <w:softHyphen/>
        <w:t>нию максимальной скорости полета у земли до 169 км/ч. Разбег и пробег немного возросли. В остальном самолет сохранил свои летные качества. Сразу же приняли реше</w:t>
      </w:r>
      <w:r w:rsidRPr="00070ADE">
        <w:rPr>
          <w:rFonts w:ascii="Times New Roman" w:hAnsi="Times New Roman"/>
          <w:color w:val="000000" w:themeColor="text1"/>
          <w:sz w:val="16"/>
          <w:szCs w:val="16"/>
        </w:rPr>
        <w:softHyphen/>
        <w:t>ние о запуске в серию. Так как основные авиационные заводы занимались выпуском другой продукции, для организации серийной постройки У-2ШС выделялись бывшие деревообрабатывающие комбинаты — заводы № 494 в Козловке на Волге и № 471 в Шумерле, куда из ОКБ направили группы конструкторов и технологов для оказания помощи в освоении самолета. После смер</w:t>
      </w:r>
      <w:r w:rsidRPr="00070ADE">
        <w:rPr>
          <w:rFonts w:ascii="Times New Roman" w:hAnsi="Times New Roman"/>
          <w:color w:val="000000" w:themeColor="text1"/>
          <w:sz w:val="16"/>
          <w:szCs w:val="16"/>
        </w:rPr>
        <w:softHyphen/>
        <w:t>ти Н.Н.Поликарпова дело заглохло, внедрение в серию У-2ШС прекратилось, во многом по субъективным при</w:t>
      </w:r>
      <w:r w:rsidRPr="00070ADE">
        <w:rPr>
          <w:rFonts w:ascii="Times New Roman" w:hAnsi="Times New Roman"/>
          <w:color w:val="000000" w:themeColor="text1"/>
          <w:sz w:val="16"/>
          <w:szCs w:val="16"/>
        </w:rPr>
        <w:softHyphen/>
        <w:t>чинам. Главный конструктор авиационной и ракетной техники Д.Л.Томашевич, бывший заместитель Поли</w:t>
      </w:r>
      <w:r w:rsidRPr="00070ADE">
        <w:rPr>
          <w:rFonts w:ascii="Times New Roman" w:hAnsi="Times New Roman"/>
          <w:color w:val="000000" w:themeColor="text1"/>
          <w:sz w:val="16"/>
          <w:szCs w:val="16"/>
        </w:rPr>
        <w:softHyphen/>
        <w:t>карпова, вспоминал:</w:t>
      </w:r>
    </w:p>
    <w:p w14:paraId="62FFF5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«Позже, уже после войны, я сам убедился, как не дава</w:t>
      </w:r>
      <w:r w:rsidRPr="00070ADE">
        <w:rPr>
          <w:rFonts w:ascii="Times New Roman" w:hAnsi="Times New Roman"/>
          <w:color w:val="000000" w:themeColor="text1"/>
          <w:sz w:val="16"/>
          <w:szCs w:val="16"/>
        </w:rPr>
        <w:softHyphen/>
        <w:t>ли хода пятиместному пассажирскому самолету «По-2», хотя многие организации нуждались в таком самолете и, отчаявшись его получить, требовали от завода чертежи, чтобы самостоятельно переделать учебный самолет «По-2» в пассажирский» (10667).</w:t>
      </w:r>
    </w:p>
    <w:p w14:paraId="1072A8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9A4BD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прошли государственные испытания У-2ШС, которые велись воен</w:t>
      </w:r>
      <w:r w:rsidRPr="00070ADE">
        <w:rPr>
          <w:rFonts w:ascii="Times New Roman" w:hAnsi="Times New Roman"/>
          <w:color w:val="000000" w:themeColor="text1"/>
          <w:sz w:val="16"/>
          <w:szCs w:val="16"/>
        </w:rPr>
        <w:softHyphen/>
        <w:t>ными испытателями и их оценки ока</w:t>
      </w:r>
      <w:r w:rsidRPr="00070ADE">
        <w:rPr>
          <w:rFonts w:ascii="Times New Roman" w:hAnsi="Times New Roman"/>
          <w:color w:val="000000" w:themeColor="text1"/>
          <w:sz w:val="16"/>
          <w:szCs w:val="16"/>
        </w:rPr>
        <w:softHyphen/>
        <w:t>зались более жесткими и беспристрастны</w:t>
      </w:r>
      <w:r w:rsidRPr="00070ADE">
        <w:rPr>
          <w:rFonts w:ascii="Times New Roman" w:hAnsi="Times New Roman"/>
          <w:color w:val="000000" w:themeColor="text1"/>
          <w:sz w:val="16"/>
          <w:szCs w:val="16"/>
        </w:rPr>
        <w:softHyphen/>
        <w:t>ми. Они сообщали о недостаточном обзоре, тесной пилотской кабине при наличии в ней второго человека, значительной на</w:t>
      </w:r>
      <w:r w:rsidRPr="00070ADE">
        <w:rPr>
          <w:rFonts w:ascii="Times New Roman" w:hAnsi="Times New Roman"/>
          <w:color w:val="000000" w:themeColor="text1"/>
          <w:sz w:val="16"/>
          <w:szCs w:val="16"/>
        </w:rPr>
        <w:softHyphen/>
        <w:t>грузке на ручке управления от элеронов и рулей высоты, недостаточной путевой ус</w:t>
      </w:r>
      <w:r w:rsidRPr="00070ADE">
        <w:rPr>
          <w:rFonts w:ascii="Times New Roman" w:hAnsi="Times New Roman"/>
          <w:color w:val="000000" w:themeColor="text1"/>
          <w:sz w:val="16"/>
          <w:szCs w:val="16"/>
        </w:rPr>
        <w:softHyphen/>
        <w:t>тойчивости. Вместе с тем общая оценка бы</w:t>
      </w:r>
      <w:r w:rsidRPr="00070ADE">
        <w:rPr>
          <w:rFonts w:ascii="Times New Roman" w:hAnsi="Times New Roman"/>
          <w:color w:val="000000" w:themeColor="text1"/>
          <w:sz w:val="16"/>
          <w:szCs w:val="16"/>
        </w:rPr>
        <w:softHyphen/>
        <w:t>ла положительной; отмечалось, что У-2ШС удачно решает вопрос применения У-2 в качестве пассажирского самолета. В транспортном варианте на нем можно было перевозить 2 бочки с горючим, кислород</w:t>
      </w:r>
      <w:r w:rsidRPr="00070ADE">
        <w:rPr>
          <w:rFonts w:ascii="Times New Roman" w:hAnsi="Times New Roman"/>
          <w:color w:val="000000" w:themeColor="text1"/>
          <w:sz w:val="16"/>
          <w:szCs w:val="16"/>
        </w:rPr>
        <w:softHyphen/>
        <w:t>ные и воздушные баллоны, а также профи</w:t>
      </w:r>
      <w:r w:rsidRPr="00070ADE">
        <w:rPr>
          <w:rFonts w:ascii="Times New Roman" w:hAnsi="Times New Roman"/>
          <w:color w:val="000000" w:themeColor="text1"/>
          <w:sz w:val="16"/>
          <w:szCs w:val="16"/>
        </w:rPr>
        <w:softHyphen/>
        <w:t>ли или трубы длиной до 4 метров. В сани</w:t>
      </w:r>
      <w:r w:rsidRPr="00070ADE">
        <w:rPr>
          <w:rFonts w:ascii="Times New Roman" w:hAnsi="Times New Roman"/>
          <w:color w:val="000000" w:themeColor="text1"/>
          <w:sz w:val="16"/>
          <w:szCs w:val="16"/>
        </w:rPr>
        <w:softHyphen/>
        <w:t>тарном варианте ШС не имел преимуществ перед обычным С-2, так как позволял пере</w:t>
      </w:r>
      <w:r w:rsidRPr="00070ADE">
        <w:rPr>
          <w:rFonts w:ascii="Times New Roman" w:hAnsi="Times New Roman"/>
          <w:color w:val="000000" w:themeColor="text1"/>
          <w:sz w:val="16"/>
          <w:szCs w:val="16"/>
        </w:rPr>
        <w:softHyphen/>
        <w:t>возить только одного лежачего больного. Для установки двух стандартных носилок предлагалось расширить фюзеляж еще на 100 мм. Посадочная фара оказалась не вполне удачной: ее прозрачный обтекатель забрызгивало маслом, поэтому предлага</w:t>
      </w:r>
      <w:r w:rsidRPr="00070ADE">
        <w:rPr>
          <w:rFonts w:ascii="Times New Roman" w:hAnsi="Times New Roman"/>
          <w:color w:val="000000" w:themeColor="text1"/>
          <w:sz w:val="16"/>
          <w:szCs w:val="16"/>
        </w:rPr>
        <w:softHyphen/>
        <w:t>лось перенести ее под левое крыло.</w:t>
      </w:r>
    </w:p>
    <w:p w14:paraId="5FFC4C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прочего, предлагалось оборудо</w:t>
      </w:r>
      <w:r w:rsidRPr="00070ADE">
        <w:rPr>
          <w:rFonts w:ascii="Times New Roman" w:hAnsi="Times New Roman"/>
          <w:color w:val="000000" w:themeColor="text1"/>
          <w:sz w:val="16"/>
          <w:szCs w:val="16"/>
        </w:rPr>
        <w:softHyphen/>
        <w:t>вать «лимузин» тормозными колесами и нормальным хвостовым колесом, двига</w:t>
      </w:r>
      <w:r w:rsidRPr="00070ADE">
        <w:rPr>
          <w:rFonts w:ascii="Times New Roman" w:hAnsi="Times New Roman"/>
          <w:color w:val="000000" w:themeColor="text1"/>
          <w:sz w:val="16"/>
          <w:szCs w:val="16"/>
        </w:rPr>
        <w:softHyphen/>
        <w:t>тель оснастить винтом изменяемого шага. Весьма интересным представляется мне</w:t>
      </w:r>
      <w:r w:rsidRPr="00070ADE">
        <w:rPr>
          <w:rFonts w:ascii="Times New Roman" w:hAnsi="Times New Roman"/>
          <w:color w:val="000000" w:themeColor="text1"/>
          <w:sz w:val="16"/>
          <w:szCs w:val="16"/>
        </w:rPr>
        <w:softHyphen/>
        <w:t>ние о наличии радиостанции на самолете. Казалось бы, война должна изменить преж</w:t>
      </w:r>
      <w:r w:rsidRPr="00070ADE">
        <w:rPr>
          <w:rFonts w:ascii="Times New Roman" w:hAnsi="Times New Roman"/>
          <w:color w:val="000000" w:themeColor="text1"/>
          <w:sz w:val="16"/>
          <w:szCs w:val="16"/>
        </w:rPr>
        <w:softHyphen/>
        <w:t>нее отношение к радиосвязи, доказав ее не</w:t>
      </w:r>
      <w:r w:rsidRPr="00070ADE">
        <w:rPr>
          <w:rFonts w:ascii="Times New Roman" w:hAnsi="Times New Roman"/>
          <w:color w:val="000000" w:themeColor="text1"/>
          <w:sz w:val="16"/>
          <w:szCs w:val="16"/>
        </w:rPr>
        <w:softHyphen/>
        <w:t>обходимость. Ничего подобного: военные испытатели указывали, что использование радиостанции на всех У-2ШС нецелесооб</w:t>
      </w:r>
      <w:r w:rsidRPr="00070ADE">
        <w:rPr>
          <w:rFonts w:ascii="Times New Roman" w:hAnsi="Times New Roman"/>
          <w:color w:val="000000" w:themeColor="text1"/>
          <w:sz w:val="16"/>
          <w:szCs w:val="16"/>
        </w:rPr>
        <w:softHyphen/>
        <w:t>разно, а ставить ее нужно только на штаб</w:t>
      </w:r>
      <w:r w:rsidRPr="00070ADE">
        <w:rPr>
          <w:rFonts w:ascii="Times New Roman" w:hAnsi="Times New Roman"/>
          <w:color w:val="000000" w:themeColor="text1"/>
          <w:sz w:val="16"/>
          <w:szCs w:val="16"/>
        </w:rPr>
        <w:softHyphen/>
        <w:t>ных машинах для руководящего состава. В целом самолет испытания выдержал и при внесении изменений рекомендовался к массовому выпуску. Предлагалось в корот</w:t>
      </w:r>
      <w:r w:rsidRPr="00070ADE">
        <w:rPr>
          <w:rFonts w:ascii="Times New Roman" w:hAnsi="Times New Roman"/>
          <w:color w:val="000000" w:themeColor="text1"/>
          <w:sz w:val="16"/>
          <w:szCs w:val="16"/>
        </w:rPr>
        <w:softHyphen/>
        <w:t>кий срок построить эталон для серийного производства.</w:t>
      </w:r>
    </w:p>
    <w:p w14:paraId="6D00B9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1944-м все дела</w:t>
      </w:r>
      <w:r w:rsidRPr="00070ADE">
        <w:rPr>
          <w:rFonts w:ascii="Times New Roman" w:hAnsi="Times New Roman"/>
          <w:color w:val="000000" w:themeColor="text1"/>
          <w:sz w:val="16"/>
          <w:szCs w:val="16"/>
        </w:rPr>
        <w:softHyphen/>
        <w:t>лось довольно оперативно. Еще не закончи</w:t>
      </w:r>
      <w:r w:rsidRPr="00070ADE">
        <w:rPr>
          <w:rFonts w:ascii="Times New Roman" w:hAnsi="Times New Roman"/>
          <w:color w:val="000000" w:themeColor="text1"/>
          <w:sz w:val="16"/>
          <w:szCs w:val="16"/>
        </w:rPr>
        <w:softHyphen/>
        <w:t>лись госиспытания, а уже 28 марта все необ</w:t>
      </w:r>
      <w:r w:rsidRPr="00070ADE">
        <w:rPr>
          <w:rFonts w:ascii="Times New Roman" w:hAnsi="Times New Roman"/>
          <w:color w:val="000000" w:themeColor="text1"/>
          <w:sz w:val="16"/>
          <w:szCs w:val="16"/>
        </w:rPr>
        <w:softHyphen/>
        <w:t>ходимые изменения согласно рекомендаци</w:t>
      </w:r>
      <w:r w:rsidRPr="00070ADE">
        <w:rPr>
          <w:rFonts w:ascii="Times New Roman" w:hAnsi="Times New Roman"/>
          <w:color w:val="000000" w:themeColor="text1"/>
          <w:sz w:val="16"/>
          <w:szCs w:val="16"/>
        </w:rPr>
        <w:softHyphen/>
        <w:t>ям военных испытателей осуществили на специальном макете. Подготовили новый вариант расширенного на 100 мм фюзеляжа, гаргрот в месте размещения раненых подня</w:t>
      </w:r>
      <w:r w:rsidRPr="00070ADE">
        <w:rPr>
          <w:rFonts w:ascii="Times New Roman" w:hAnsi="Times New Roman"/>
          <w:color w:val="000000" w:themeColor="text1"/>
          <w:sz w:val="16"/>
          <w:szCs w:val="16"/>
        </w:rPr>
        <w:softHyphen/>
        <w:t>ли на 50 мм, фонарь пассажирской кабины сделали съемным. Посадочный трап на ниж</w:t>
      </w:r>
      <w:r w:rsidRPr="00070ADE">
        <w:rPr>
          <w:rFonts w:ascii="Times New Roman" w:hAnsi="Times New Roman"/>
          <w:color w:val="000000" w:themeColor="text1"/>
          <w:sz w:val="16"/>
          <w:szCs w:val="16"/>
        </w:rPr>
        <w:softHyphen/>
        <w:t>нем крыле расширили на 150 мм. Так как разговор шел уже о серийном производстве, все изменения реализовали в У-2ШС № 9440101 войсковой серии, изготовленном в августе 1944 г. на заводе № 494. Самолет ос</w:t>
      </w:r>
      <w:r w:rsidRPr="00070ADE">
        <w:rPr>
          <w:rFonts w:ascii="Times New Roman" w:hAnsi="Times New Roman"/>
          <w:color w:val="000000" w:themeColor="text1"/>
          <w:sz w:val="16"/>
          <w:szCs w:val="16"/>
        </w:rPr>
        <w:softHyphen/>
        <w:t>настили распространенным двигателем М-11Д мощностью 115 л.с. Кроме уже перечис</w:t>
      </w:r>
      <w:r w:rsidRPr="00070ADE">
        <w:rPr>
          <w:rFonts w:ascii="Times New Roman" w:hAnsi="Times New Roman"/>
          <w:color w:val="000000" w:themeColor="text1"/>
          <w:sz w:val="16"/>
          <w:szCs w:val="16"/>
        </w:rPr>
        <w:softHyphen/>
        <w:t>ленного, для более эффективной баланси</w:t>
      </w:r>
      <w:r w:rsidRPr="00070ADE">
        <w:rPr>
          <w:rFonts w:ascii="Times New Roman" w:hAnsi="Times New Roman"/>
          <w:color w:val="000000" w:themeColor="text1"/>
          <w:sz w:val="16"/>
          <w:szCs w:val="16"/>
        </w:rPr>
        <w:softHyphen/>
        <w:t>ровки самолета триммером изменили угол установки стабилизатора, увеличили ком</w:t>
      </w:r>
      <w:r w:rsidRPr="00070ADE">
        <w:rPr>
          <w:rFonts w:ascii="Times New Roman" w:hAnsi="Times New Roman"/>
          <w:color w:val="000000" w:themeColor="text1"/>
          <w:sz w:val="16"/>
          <w:szCs w:val="16"/>
        </w:rPr>
        <w:softHyphen/>
        <w:t>пенсацию элеронов (25% вместо 19%), верх</w:t>
      </w:r>
      <w:r w:rsidRPr="00070ADE">
        <w:rPr>
          <w:rFonts w:ascii="Times New Roman" w:hAnsi="Times New Roman"/>
          <w:color w:val="000000" w:themeColor="text1"/>
          <w:sz w:val="16"/>
          <w:szCs w:val="16"/>
        </w:rPr>
        <w:softHyphen/>
        <w:t>нее крыло подняли на 90 мм, увеличили площадь киля. Заднее пассажирское кресло опустили на 50 мм (ранее пассажир упирал</w:t>
      </w:r>
      <w:r w:rsidRPr="00070ADE">
        <w:rPr>
          <w:rFonts w:ascii="Times New Roman" w:hAnsi="Times New Roman"/>
          <w:color w:val="000000" w:themeColor="text1"/>
          <w:sz w:val="16"/>
          <w:szCs w:val="16"/>
        </w:rPr>
        <w:softHyphen/>
        <w:t>ся в переплет фонаря), посадочную фару пе</w:t>
      </w:r>
      <w:r w:rsidRPr="00070ADE">
        <w:rPr>
          <w:rFonts w:ascii="Times New Roman" w:hAnsi="Times New Roman"/>
          <w:color w:val="000000" w:themeColor="text1"/>
          <w:sz w:val="16"/>
          <w:szCs w:val="16"/>
        </w:rPr>
        <w:softHyphen/>
        <w:t>ренесли под левое крыло, приборную доску пилота отодвинули вперед на 80 мм. Радио</w:t>
      </w:r>
      <w:r w:rsidRPr="00070ADE">
        <w:rPr>
          <w:rFonts w:ascii="Times New Roman" w:hAnsi="Times New Roman"/>
          <w:color w:val="000000" w:themeColor="text1"/>
          <w:sz w:val="16"/>
          <w:szCs w:val="16"/>
        </w:rPr>
        <w:softHyphen/>
        <w:t>станцию и генератор сняли (11085).</w:t>
      </w:r>
    </w:p>
    <w:p w14:paraId="4FDAEE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F0FE63"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апреле 1944 года на аэродром в Чкаловской вывели серийный У-2, заводской №5986, доработан</w:t>
      </w:r>
      <w:r w:rsidRPr="00C94B78">
        <w:rPr>
          <w:rFonts w:ascii="Times New Roman" w:hAnsi="Times New Roman"/>
          <w:color w:val="0070C0"/>
          <w:sz w:val="16"/>
          <w:szCs w:val="16"/>
        </w:rPr>
        <w:softHyphen/>
        <w:t>ный на заводе №51. На этом самолете испыта</w:t>
      </w:r>
      <w:r w:rsidRPr="00C94B78">
        <w:rPr>
          <w:rFonts w:ascii="Times New Roman" w:hAnsi="Times New Roman"/>
          <w:color w:val="0070C0"/>
          <w:sz w:val="16"/>
          <w:szCs w:val="16"/>
        </w:rPr>
        <w:softHyphen/>
        <w:t>ли новый фюзеляжный бак емкостью 200 л вместо двух (фюзеляжного и центропланного общей емкостью 195 л) и опытный коллима</w:t>
      </w:r>
      <w:r w:rsidRPr="00C94B78">
        <w:rPr>
          <w:rFonts w:ascii="Times New Roman" w:hAnsi="Times New Roman"/>
          <w:color w:val="0070C0"/>
          <w:sz w:val="16"/>
          <w:szCs w:val="16"/>
        </w:rPr>
        <w:softHyphen/>
        <w:t>торный прицел НП-У-2 (чуть позднее назы</w:t>
      </w:r>
      <w:r w:rsidRPr="00C94B78">
        <w:rPr>
          <w:rFonts w:ascii="Times New Roman" w:hAnsi="Times New Roman"/>
          <w:color w:val="0070C0"/>
          <w:sz w:val="16"/>
          <w:szCs w:val="16"/>
        </w:rPr>
        <w:softHyphen/>
        <w:t>вался НП-По-2). Использование нового бака сместило центровку вперед — 32,1% вместо 37,3% — что расценивалось как положитель</w:t>
      </w:r>
      <w:r w:rsidRPr="00C94B78">
        <w:rPr>
          <w:rFonts w:ascii="Times New Roman" w:hAnsi="Times New Roman"/>
          <w:color w:val="0070C0"/>
          <w:sz w:val="16"/>
          <w:szCs w:val="16"/>
        </w:rPr>
        <w:softHyphen/>
        <w:t>ный фактор увеличения устойчивости полно</w:t>
      </w:r>
      <w:r w:rsidRPr="00C94B78">
        <w:rPr>
          <w:rFonts w:ascii="Times New Roman" w:hAnsi="Times New Roman"/>
          <w:color w:val="0070C0"/>
          <w:sz w:val="16"/>
          <w:szCs w:val="16"/>
        </w:rPr>
        <w:softHyphen/>
        <w:t>стью нагруженного самолета (24969).</w:t>
      </w:r>
    </w:p>
    <w:p w14:paraId="215C0F95" w14:textId="77777777" w:rsidR="007114F1" w:rsidRPr="00C94B78" w:rsidRDefault="007114F1" w:rsidP="00B56F90">
      <w:pPr>
        <w:spacing w:after="0" w:line="240" w:lineRule="auto"/>
        <w:jc w:val="both"/>
        <w:rPr>
          <w:rFonts w:ascii="Times New Roman" w:hAnsi="Times New Roman"/>
          <w:color w:val="0070C0"/>
          <w:sz w:val="16"/>
          <w:szCs w:val="16"/>
        </w:rPr>
      </w:pPr>
    </w:p>
    <w:p w14:paraId="63CE8518"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xml:space="preserve">В апреле 1944 г. самолет У-2ШС (штабной, санитарный), или У2-ШС выкатили из сборочного цеха. Его полетный вес достигал 1350 кг при весе пустой машины в 822 к г. Испытания прошли очень быстро. Улучшенная аэродинамика и повышенная мощность двигателя привели к увеличению максимальной скорости полета у земли до 169 км/ч (не предельная). Разбег и пробег немного возросли. В остальном самолет сохранил свои летные качества. Сразу же было принято решение о запуске в серию. Так как основные авиационные заводы занимались выпуском другой продукции, для организации серийной постройки У-2ШС выделялись бывшие </w:t>
      </w:r>
      <w:r w:rsidRPr="00C94B78">
        <w:rPr>
          <w:rFonts w:ascii="Times New Roman" w:hAnsi="Times New Roman"/>
          <w:color w:val="0070C0"/>
          <w:sz w:val="16"/>
          <w:szCs w:val="16"/>
        </w:rPr>
        <w:lastRenderedPageBreak/>
        <w:t>деревообрабатывающие комбинаты — заводы № 494 в Козловке, на Волге, и № 471 в Шумерле, куда из ОКБ были своевременно направлены группы конструкторов и технологов для оказания помощи заводам в освоении самолета.</w:t>
      </w:r>
    </w:p>
    <w:p w14:paraId="04D4CBE1"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Головной самолет войсковой серии № 440101 с мотором М-11Д (вместо М-11Ф) был выпущен в августе 1944 г. и именовался как По-2ШС. На нем использовалось хвостовое колесо 15Ох6О. Из-за производственных дефектов самолет не прошел с первого раза госиспытания. Например, носилки для раненых не помещались в кабине, кок винта часто срывался. Машину для доработки направили на завод № 51. После чего По-2ШС вновь испытали (летчик Гаврилов) и собирались выпускать серийно. Смерть Н. Н. Поликарпова, последовавшая 30 июля 1944 г., несомненно, сказалась на темпах внедрения машины. Развертыванию производства помешали субъективные причины, связанные с личными амбициями некоторых руководителей Наркомата (25035).</w:t>
      </w:r>
    </w:p>
    <w:p w14:paraId="729E2843" w14:textId="77777777" w:rsidR="007114F1" w:rsidRPr="00C94B78" w:rsidRDefault="007114F1" w:rsidP="00B56F90">
      <w:pPr>
        <w:spacing w:after="0" w:line="240" w:lineRule="auto"/>
        <w:jc w:val="both"/>
        <w:rPr>
          <w:rFonts w:ascii="Times New Roman" w:hAnsi="Times New Roman"/>
          <w:color w:val="0070C0"/>
          <w:sz w:val="16"/>
          <w:szCs w:val="16"/>
        </w:rPr>
      </w:pPr>
    </w:p>
    <w:p w14:paraId="387B9504"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ап</w:t>
      </w:r>
      <w:r w:rsidRPr="00C94B78">
        <w:rPr>
          <w:rFonts w:ascii="Times New Roman" w:hAnsi="Times New Roman"/>
          <w:color w:val="0070C0"/>
          <w:sz w:val="16"/>
          <w:szCs w:val="16"/>
        </w:rPr>
        <w:softHyphen/>
        <w:t>реле 1944 года военные испытате</w:t>
      </w:r>
      <w:r w:rsidRPr="00C94B78">
        <w:rPr>
          <w:rFonts w:ascii="Times New Roman" w:hAnsi="Times New Roman"/>
          <w:color w:val="0070C0"/>
          <w:sz w:val="16"/>
          <w:szCs w:val="16"/>
        </w:rPr>
        <w:softHyphen/>
        <w:t xml:space="preserve">ли провели в НИИ ВВС государственные испытания </w:t>
      </w:r>
      <w:bookmarkStart w:id="45" w:name="_Hlk176190321"/>
      <w:r w:rsidRPr="00C94B78">
        <w:rPr>
          <w:rFonts w:ascii="Times New Roman" w:hAnsi="Times New Roman"/>
          <w:color w:val="0070C0"/>
          <w:sz w:val="16"/>
          <w:szCs w:val="16"/>
        </w:rPr>
        <w:t>У-2ШС</w:t>
      </w:r>
      <w:bookmarkEnd w:id="45"/>
      <w:r w:rsidRPr="00C94B78">
        <w:rPr>
          <w:rFonts w:ascii="Times New Roman" w:hAnsi="Times New Roman"/>
          <w:color w:val="0070C0"/>
          <w:sz w:val="16"/>
          <w:szCs w:val="16"/>
        </w:rPr>
        <w:t>. Их оценки самолета оказались жестче и беспристрастнее. Они сообщали о недоста</w:t>
      </w:r>
      <w:r w:rsidRPr="00C94B78">
        <w:rPr>
          <w:rFonts w:ascii="Times New Roman" w:hAnsi="Times New Roman"/>
          <w:color w:val="0070C0"/>
          <w:sz w:val="16"/>
          <w:szCs w:val="16"/>
        </w:rPr>
        <w:softHyphen/>
        <w:t>точном обзоре, тесноте в пилотской кабине при наличии в ней второго человека, значи</w:t>
      </w:r>
      <w:r w:rsidRPr="00C94B78">
        <w:rPr>
          <w:rFonts w:ascii="Times New Roman" w:hAnsi="Times New Roman"/>
          <w:color w:val="0070C0"/>
          <w:sz w:val="16"/>
          <w:szCs w:val="16"/>
        </w:rPr>
        <w:softHyphen/>
        <w:t>тельной нагрузке на ручке управления от элеронов и рулей высоты, недостаточной пу</w:t>
      </w:r>
      <w:r w:rsidRPr="00C94B78">
        <w:rPr>
          <w:rFonts w:ascii="Times New Roman" w:hAnsi="Times New Roman"/>
          <w:color w:val="0070C0"/>
          <w:sz w:val="16"/>
          <w:szCs w:val="16"/>
        </w:rPr>
        <w:softHyphen/>
        <w:t>тевой устойчивости. В то же время, общая оценка была дана положительная, говори</w:t>
      </w:r>
      <w:r w:rsidRPr="00C94B78">
        <w:rPr>
          <w:rFonts w:ascii="Times New Roman" w:hAnsi="Times New Roman"/>
          <w:color w:val="0070C0"/>
          <w:sz w:val="16"/>
          <w:szCs w:val="16"/>
        </w:rPr>
        <w:softHyphen/>
        <w:t>лось, что У-2ШС удачно решает вопрос о применении У-2 как пассажирского само</w:t>
      </w:r>
      <w:r w:rsidRPr="00C94B78">
        <w:rPr>
          <w:rFonts w:ascii="Times New Roman" w:hAnsi="Times New Roman"/>
          <w:color w:val="0070C0"/>
          <w:sz w:val="16"/>
          <w:szCs w:val="16"/>
        </w:rPr>
        <w:softHyphen/>
        <w:t>лета. В транспортном варианте на нем мож</w:t>
      </w:r>
      <w:r w:rsidRPr="00C94B78">
        <w:rPr>
          <w:rFonts w:ascii="Times New Roman" w:hAnsi="Times New Roman"/>
          <w:color w:val="0070C0"/>
          <w:sz w:val="16"/>
          <w:szCs w:val="16"/>
        </w:rPr>
        <w:softHyphen/>
        <w:t>но было перевозить две бочки с горючим, ки</w:t>
      </w:r>
      <w:r w:rsidRPr="00C94B78">
        <w:rPr>
          <w:rFonts w:ascii="Times New Roman" w:hAnsi="Times New Roman"/>
          <w:color w:val="0070C0"/>
          <w:sz w:val="16"/>
          <w:szCs w:val="16"/>
        </w:rPr>
        <w:softHyphen/>
        <w:t>слородные и воздушные баллоны, а также профили или трубы длиной до четырех мет</w:t>
      </w:r>
      <w:r w:rsidRPr="00C94B78">
        <w:rPr>
          <w:rFonts w:ascii="Times New Roman" w:hAnsi="Times New Roman"/>
          <w:color w:val="0070C0"/>
          <w:sz w:val="16"/>
          <w:szCs w:val="16"/>
        </w:rPr>
        <w:softHyphen/>
        <w:t>ров. В санитарном варианте ШС не имел пре</w:t>
      </w:r>
      <w:r w:rsidRPr="00C94B78">
        <w:rPr>
          <w:rFonts w:ascii="Times New Roman" w:hAnsi="Times New Roman"/>
          <w:color w:val="0070C0"/>
          <w:sz w:val="16"/>
          <w:szCs w:val="16"/>
        </w:rPr>
        <w:softHyphen/>
        <w:t>имуществ перед обычным С-2, так как на практике позволял перевозить только одного лежачего больного. Для установки двух стан</w:t>
      </w:r>
      <w:r w:rsidRPr="00C94B78">
        <w:rPr>
          <w:rFonts w:ascii="Times New Roman" w:hAnsi="Times New Roman"/>
          <w:color w:val="0070C0"/>
          <w:sz w:val="16"/>
          <w:szCs w:val="16"/>
        </w:rPr>
        <w:softHyphen/>
        <w:t>дартных носилок предлагалось расширить фюзеляж еще на 100 мм. Размещение поса</w:t>
      </w:r>
      <w:r w:rsidRPr="00C94B78">
        <w:rPr>
          <w:rFonts w:ascii="Times New Roman" w:hAnsi="Times New Roman"/>
          <w:color w:val="0070C0"/>
          <w:sz w:val="16"/>
          <w:szCs w:val="16"/>
        </w:rPr>
        <w:softHyphen/>
        <w:t>дочной фары оказалось не вполне удачным, ее прозрачный обтекатель забрызгивало маслом, поэтому рекомендовалось перене</w:t>
      </w:r>
      <w:r w:rsidRPr="00C94B78">
        <w:rPr>
          <w:rFonts w:ascii="Times New Roman" w:hAnsi="Times New Roman"/>
          <w:color w:val="0070C0"/>
          <w:sz w:val="16"/>
          <w:szCs w:val="16"/>
        </w:rPr>
        <w:softHyphen/>
        <w:t>сти фару под левое крыло.</w:t>
      </w:r>
    </w:p>
    <w:p w14:paraId="78108BE6"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Дополнительно предлагалось оборудовать «лимузин» колесами с тормозами и нормаль</w:t>
      </w:r>
      <w:r w:rsidRPr="00C94B78">
        <w:rPr>
          <w:rFonts w:ascii="Times New Roman" w:hAnsi="Times New Roman"/>
          <w:color w:val="0070C0"/>
          <w:sz w:val="16"/>
          <w:szCs w:val="16"/>
        </w:rPr>
        <w:softHyphen/>
        <w:t>ным хвостовым колесом, двигатель оснастить винтом изменяемого шага. Весьма интерес</w:t>
      </w:r>
      <w:r w:rsidRPr="00C94B78">
        <w:rPr>
          <w:rFonts w:ascii="Times New Roman" w:hAnsi="Times New Roman"/>
          <w:color w:val="0070C0"/>
          <w:sz w:val="16"/>
          <w:szCs w:val="16"/>
        </w:rPr>
        <w:softHyphen/>
        <w:t>ными оказались рассуждения о наличии ра</w:t>
      </w:r>
      <w:r w:rsidRPr="00C94B78">
        <w:rPr>
          <w:rFonts w:ascii="Times New Roman" w:hAnsi="Times New Roman"/>
          <w:color w:val="0070C0"/>
          <w:sz w:val="16"/>
          <w:szCs w:val="16"/>
        </w:rPr>
        <w:softHyphen/>
        <w:t>диостанции на самолете. Казалось, война из</w:t>
      </w:r>
      <w:r w:rsidRPr="00C94B78">
        <w:rPr>
          <w:rFonts w:ascii="Times New Roman" w:hAnsi="Times New Roman"/>
          <w:color w:val="0070C0"/>
          <w:sz w:val="16"/>
          <w:szCs w:val="16"/>
        </w:rPr>
        <w:softHyphen/>
        <w:t>менила прежнее отношение к радиосвязи в пользу ее абсолютной необходимости. Как выяснилось, такого мнения придерживались далеко не все. Военные испытатели указыва</w:t>
      </w:r>
      <w:r w:rsidRPr="00C94B78">
        <w:rPr>
          <w:rFonts w:ascii="Times New Roman" w:hAnsi="Times New Roman"/>
          <w:color w:val="0070C0"/>
          <w:sz w:val="16"/>
          <w:szCs w:val="16"/>
        </w:rPr>
        <w:softHyphen/>
        <w:t>ли, что использование радиостанции на всех У-2ШС нецелесообразно, а ставить ее нужно только на штабных машинах для руководяще</w:t>
      </w:r>
      <w:r w:rsidRPr="00C94B78">
        <w:rPr>
          <w:rFonts w:ascii="Times New Roman" w:hAnsi="Times New Roman"/>
          <w:color w:val="0070C0"/>
          <w:sz w:val="16"/>
          <w:szCs w:val="16"/>
        </w:rPr>
        <w:softHyphen/>
        <w:t>го состава.</w:t>
      </w:r>
    </w:p>
    <w:p w14:paraId="2DD3E167" w14:textId="77777777" w:rsidR="007114F1" w:rsidRPr="00C94B78" w:rsidRDefault="007114F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целом самолет испытания выдержал и при внесении доработок рекомендовался к запуску в серию. Предлагалось в короткий срок построить эталон для серийного произ</w:t>
      </w:r>
      <w:r w:rsidRPr="00C94B78">
        <w:rPr>
          <w:rFonts w:ascii="Times New Roman" w:hAnsi="Times New Roman"/>
          <w:color w:val="0070C0"/>
          <w:sz w:val="16"/>
          <w:szCs w:val="16"/>
        </w:rPr>
        <w:softHyphen/>
        <w:t>водства (24969).</w:t>
      </w:r>
    </w:p>
    <w:p w14:paraId="347B0728" w14:textId="77777777" w:rsidR="007114F1" w:rsidRPr="00C94B78" w:rsidRDefault="007114F1" w:rsidP="00B56F90">
      <w:pPr>
        <w:spacing w:after="0" w:line="240" w:lineRule="auto"/>
        <w:jc w:val="both"/>
        <w:rPr>
          <w:rFonts w:ascii="Times New Roman" w:hAnsi="Times New Roman"/>
          <w:color w:val="0070C0"/>
          <w:sz w:val="16"/>
          <w:szCs w:val="16"/>
        </w:rPr>
      </w:pPr>
    </w:p>
    <w:p w14:paraId="1CFC78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был готов проект планера Г-31 В.К.Грибовского. Г-11 с овальным фюзеляжем, двухместной кабиной, откидывающейся на бок. Был одобрен экспертной комиссией НКАП, но аналогичную машину поручили спроектировать С.А.Москалеву (9080).</w:t>
      </w:r>
    </w:p>
    <w:p w14:paraId="1CAD2B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5B8A7E" w14:textId="77777777" w:rsidR="00552857" w:rsidRPr="00070ADE" w:rsidRDefault="00552857"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проект новой машины – планера Грибовского, получившей обозначение Г-31, был готов.</w:t>
      </w:r>
    </w:p>
    <w:p w14:paraId="64DCDBE3" w14:textId="77777777" w:rsidR="00552857" w:rsidRPr="00070ADE" w:rsidRDefault="00552857"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 внешним отличием от Г-11 стал фюзеляж, имеющий в сечении овальную форму. В носовой части размещалась двухместная кабина пилотов, которая могла откидываться набок для загрузки крупногабаритных предметов и боевой техники. Крыло состояло из двух половин, крепящихся непосредственно на центроплане с использованием поддерживающих подкосов. По требованиям ВДВ предусматривалась возможность установки одного-двух двигателей М-11.</w:t>
      </w:r>
    </w:p>
    <w:p w14:paraId="07EC84AF" w14:textId="77777777" w:rsidR="00552857" w:rsidRPr="00070ADE" w:rsidRDefault="00552857"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Хотя проект Г-31 являлся более совершенным, чем Г-11, и при рассмотрении был одобрен Экспертной Комиссией НКАП, реализовывать его не стали. Дело в том, что чуть ранее аналогичный планер поручили спроектировать конструктору С.А.Москалеву, т.е. задание уже находилось в стадии разработки.</w:t>
      </w:r>
    </w:p>
    <w:p w14:paraId="17AAF2A9" w14:textId="77777777" w:rsidR="00552857" w:rsidRPr="00070ADE" w:rsidRDefault="00552857"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1946 г. Грибовский сделал несколько проработок десантных планеров грузоподъемностью 3 и 6 тонн, но поддержки не нашел. Вместо этого ему дали задание спроектировать двухместный планер для обучения и тренировки. Планер получил наименование Г-31 (использовалось обозначение нереализованного транспортного аппарата), его построили в двух экземплярах.</w:t>
      </w:r>
    </w:p>
    <w:p w14:paraId="142C0302" w14:textId="77777777" w:rsidR="00552857" w:rsidRPr="00070ADE" w:rsidRDefault="00552857"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Пилоты находились в просторной, двухместной застекленной кабине друг за другом. Оба Г-31 начали летать весной 1948 г. Этот период совпал со значительными сокращениями ассигнований на опытные и изыскательские работы в области авиастроения. Ряд конструкторских бюро, в число которых попало и КБ Грибовского, были ликвидированы. На этом закончилась история планера Г-31 (12682).</w:t>
      </w:r>
    </w:p>
    <w:p w14:paraId="777C0D62" w14:textId="77777777" w:rsidR="00552857" w:rsidRPr="00070ADE" w:rsidRDefault="00552857" w:rsidP="00B56F90">
      <w:pPr>
        <w:shd w:val="clear" w:color="auto" w:fill="FFFFFF"/>
        <w:spacing w:after="0" w:line="240" w:lineRule="auto"/>
        <w:jc w:val="both"/>
        <w:rPr>
          <w:rFonts w:ascii="Times New Roman" w:hAnsi="Times New Roman"/>
          <w:color w:val="000000" w:themeColor="text1"/>
          <w:sz w:val="16"/>
          <w:szCs w:val="16"/>
        </w:rPr>
      </w:pPr>
    </w:p>
    <w:p w14:paraId="6D1A68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на планере А-7 в последний раз летали к партизанам в Белоруссию (94,76).</w:t>
      </w:r>
    </w:p>
    <w:p w14:paraId="2927F9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8C24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10 АМ-39 изготовили на заводе № 45, в мае — июне того же года 22 экз. переделали на заводе № 300 из АМ-38Ф с исполь</w:t>
      </w:r>
      <w:r w:rsidRPr="00070ADE">
        <w:rPr>
          <w:rFonts w:ascii="Times New Roman" w:hAnsi="Times New Roman"/>
          <w:color w:val="000000" w:themeColor="text1"/>
          <w:sz w:val="16"/>
          <w:szCs w:val="16"/>
        </w:rPr>
        <w:softHyphen/>
        <w:t>зованием узлов, изготовленных заводом № 45.</w:t>
      </w:r>
    </w:p>
    <w:p w14:paraId="047440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Характеристики:</w:t>
      </w:r>
    </w:p>
    <w:p w14:paraId="7ADE1D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12-цилиндровый рядный У-образный, четырехтактный, водяного охлаждения, редукторный, с двухскоростным ПЦН и интеркулером;</w:t>
      </w:r>
    </w:p>
    <w:p w14:paraId="36241F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диаметр цилиндра/ход поршня 160/190 мм (в цилиндрах с прицепными шатунами 196,8 мм);</w:t>
      </w:r>
    </w:p>
    <w:p w14:paraId="22D591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объем 46,66 л;</w:t>
      </w:r>
    </w:p>
    <w:p w14:paraId="764D07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мощность и вес в зависимости от модификации;</w:t>
      </w:r>
    </w:p>
    <w:p w14:paraId="0431D6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запуск сжатым воздухом;</w:t>
      </w:r>
    </w:p>
    <w:p w14:paraId="06FA58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возможна установка синхронизатора. Известны модификации:</w:t>
      </w:r>
    </w:p>
    <w:p w14:paraId="4D1D2E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АМ-39 на базе АМ-38, 1500/1800 л.с., карбюраторный.</w:t>
      </w:r>
    </w:p>
    <w:p w14:paraId="738D8C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АМ-39А на базе АМ-38Ф, 1500/1800 л.с. (по заданию 1700/1800 л.с.), карбюраторный, с нагнетателем от АМ-38Ф, но с двухскоростной передачей, водо-воздушным интеркулером. Проходил госиспытания в марте 1944 г., в июле — летные испытания.</w:t>
      </w:r>
    </w:p>
    <w:p w14:paraId="1862B6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АМ-39А-ТК с турбонагнетателями ТК-Б. Испытывался на самолете И-224 в феврале 1944 г.</w:t>
      </w:r>
    </w:p>
    <w:p w14:paraId="1E053A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АМ-39Б (АМ-39Б-ТК), 1580/1890 л.с., вариант предыдущего типа с двумя турбонагнетателями ТК-ЗООБ и воздухо-воздушным интеркуле</w:t>
      </w:r>
      <w:r w:rsidRPr="00070ADE">
        <w:rPr>
          <w:rFonts w:ascii="Times New Roman" w:hAnsi="Times New Roman"/>
          <w:color w:val="000000" w:themeColor="text1"/>
          <w:sz w:val="16"/>
          <w:szCs w:val="16"/>
        </w:rPr>
        <w:softHyphen/>
        <w:t>ром. Испытывался в июне 1944 г. на И-224.</w:t>
      </w:r>
    </w:p>
    <w:p w14:paraId="49A1E5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АМ-39В с одним турбонагнетателем АМТК-1, установленным только на одном блоке двигателя (асимметрично); с другой стороны — вы</w:t>
      </w:r>
      <w:r w:rsidRPr="00070ADE">
        <w:rPr>
          <w:rFonts w:ascii="Times New Roman" w:hAnsi="Times New Roman"/>
          <w:color w:val="000000" w:themeColor="text1"/>
          <w:sz w:val="16"/>
          <w:szCs w:val="16"/>
        </w:rPr>
        <w:softHyphen/>
        <w:t>хлопные патрубки.</w:t>
      </w:r>
    </w:p>
    <w:p w14:paraId="62E348F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АМ-39 с турбонагнетателем АМТК</w:t>
      </w:r>
    </w:p>
    <w:p w14:paraId="447331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АМ-39Ф с новым односкоростным ПЦН, форсирован по оборотам и наддуву, мощность 1800/1800 л.с. В ноябре 1944 г. прошел заводские испытания, затем летные на самолете «63».</w:t>
      </w:r>
    </w:p>
    <w:p w14:paraId="124697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АМ-39Ф — вариант предыдущего с впрыском воды на режиме фор</w:t>
      </w:r>
      <w:r w:rsidRPr="00070ADE">
        <w:rPr>
          <w:rFonts w:ascii="Times New Roman" w:hAnsi="Times New Roman"/>
          <w:color w:val="000000" w:themeColor="text1"/>
          <w:sz w:val="16"/>
          <w:szCs w:val="16"/>
        </w:rPr>
        <w:softHyphen/>
        <w:t>сажа.</w:t>
      </w:r>
    </w:p>
    <w:p w14:paraId="393058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АМ-39ФК с форкамерным зажиганием, 1600/1850 л.с. В начале 1946 г. изготовили два опытных экземпляра и начали заводские испытания. В 1947 г. выпустили еще семь двигателей. На государственные ис</w:t>
      </w:r>
      <w:r w:rsidRPr="00070ADE">
        <w:rPr>
          <w:rFonts w:ascii="Times New Roman" w:hAnsi="Times New Roman"/>
          <w:color w:val="000000" w:themeColor="text1"/>
          <w:sz w:val="16"/>
          <w:szCs w:val="16"/>
        </w:rPr>
        <w:softHyphen/>
        <w:t>пытания АМ-39ФК не предъявлялся.</w:t>
      </w:r>
    </w:p>
    <w:p w14:paraId="0EB0EE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АМ-39ФН (ФНВ), форсированный, с непосредственным впрыском, на базе АМ-38Ф. Разрабатывался в ОКБ-300 с середины 1944 г. От</w:t>
      </w:r>
      <w:r w:rsidRPr="00070ADE">
        <w:rPr>
          <w:rFonts w:ascii="Times New Roman" w:hAnsi="Times New Roman"/>
          <w:color w:val="000000" w:themeColor="text1"/>
          <w:sz w:val="16"/>
          <w:szCs w:val="16"/>
        </w:rPr>
        <w:softHyphen/>
        <w:t>личался улучшенной гидравликой ПЦН, увеличенным диаметром его крыльчатки, увеличенным диаметром клапанов, всасывающими па</w:t>
      </w:r>
      <w:r w:rsidRPr="00070ADE">
        <w:rPr>
          <w:rFonts w:ascii="Times New Roman" w:hAnsi="Times New Roman"/>
          <w:color w:val="000000" w:themeColor="text1"/>
          <w:sz w:val="16"/>
          <w:szCs w:val="16"/>
        </w:rPr>
        <w:softHyphen/>
        <w:t>трубками по типу мотора Аллисон У-1710. Мощность первоначально 1600/1850 л.с., затем 1730/2130 л.с., вес 970 кг. Испытания велись с августа 1944 г., официальные заводские испытания проходили в январе 1945 г. Летом того же года моторы испытывались на бомбардиров</w:t>
      </w:r>
      <w:r w:rsidRPr="00070ADE">
        <w:rPr>
          <w:rFonts w:ascii="Times New Roman" w:hAnsi="Times New Roman"/>
          <w:color w:val="000000" w:themeColor="text1"/>
          <w:sz w:val="16"/>
          <w:szCs w:val="16"/>
        </w:rPr>
        <w:softHyphen/>
        <w:t>щике Ту-2. Работы прекращены в сентябре 1945 г.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w:t>
      </w:r>
    </w:p>
    <w:p w14:paraId="34C91D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070ADE">
        <w:rPr>
          <w:rFonts w:ascii="Times New Roman" w:hAnsi="Times New Roman"/>
          <w:color w:val="000000" w:themeColor="text1"/>
          <w:sz w:val="16"/>
          <w:szCs w:val="16"/>
        </w:rPr>
        <w:softHyphen/>
        <w:t>сматривалось проектом самолета СПС (11852).</w:t>
      </w:r>
    </w:p>
    <w:p w14:paraId="227345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2D4E7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десять АМ-39 изготовили на заводе № 45, в мае- июне того же года 22 экземпляра переделали на опытном заводе № 300 из АМ-38Ф с использованием узлов, изготовленных заводом № 45. Но в эту партию входили моторы разных модификаций. Большая часть представляло собой АМ-39 максимальной мощностью 1800 л.с., однако, несколько штук относились к типу АМ-39А с нагнетателем от АМ-38Ф, но с двухскоростной передачей. Интеркулер оставался водо-воздушным. АМ-39А проходил государственные испытания в марте 1944 г., а в июле - летные испытания. По крайней мере один мотор был типа АМ-39А-ТК с турбонагнетателями ТК-Б. Он испытывался на самолете И-224 в феврале 1944 г. Существовал и АМ-39Б (АМ- 39Б-ТК), 1580/1890 л.с., вариант предыдущего типа с двумя турбонагнетателями ТК-300Б и воздухо- воздушным интеркулером. Мощность равнялась 1580/1890 л.с. Этот мотор испытывался в июне 1944 г. на опытном высотном перехватчике И-224. Третьей модификацией с турбонаддувом являлся АМ-39В с одним турбонагнетателем АМТК-1, установленным на одном блоке двигателя (асимметрично); с другой стороны монтировались обычные выхлопные патрубки.</w:t>
      </w:r>
    </w:p>
    <w:p w14:paraId="54288C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АМ-39Ф оснащался новым од- носкоростным ПЦН, был форсирован по оборотам и наддуву, расчетная номинальная мощность у него должна была дойти до 1800 л.с. В ноябре 1944 г. мотор прошел заводские испытания, а затем летные на самолете "63". Интеркулер на нем не устанавливался, а чтобы справиться с перегревом на форсированных режимах, предусмотрели впрыск воды.</w:t>
      </w:r>
    </w:p>
    <w:p w14:paraId="32932C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АМ-39ФК экспериментировали с форкамерным зажиганием. Получили максимальную мощность 1850 л.с. В начале 1946 г. изготовили два опытных экземпляра и начали заводские испытания, в следующем году выпустили еще семь двигателей. Но на государственные испытания АМ-39ФК не предъявлялся.</w:t>
      </w:r>
    </w:p>
    <w:p w14:paraId="531230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АМ-39ФН (он же ФНВ) - форсированный вариант с непосредственным впрыском, разрабатывался в ОКБ-ЗОО с середины 1944 г. Он отличался улучшенной гидравликой ПЦН, увеличенным диаметром его крыльчатки, увеличенным диаметром клапанов, всасывающими патрубками по типу американского мотора Аллисон V-1710. Испытания велись с августа 1944 г., официальные заводские испытания проходили в январе 1945 г. Максимальная мощность сначала была 1850 л.с., позже ее довели до 2130 л.с. Летом 1945 г. моторы испытывались на бомбардировщике Ту-2. Работы по АМ-39ФН были прекращены в сентябре 1945 г. по распоряжению Микулина в связи с успехом следующей модификации, АМ-39ФН2. Это был аналог АМ-39ФН на базе нового двигателя для штурмовиков, АМ-42. Он имел максимальную мощность 1850 л.с. и вес 1080 кг. В 1-м квартале 1946 г. изготовили пять экземпляров, на которых вели государственные испытания.</w:t>
      </w:r>
    </w:p>
    <w:p w14:paraId="7BEDF25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Позже АМ-39ФН2 переименовали в АМ-40. В 1946-48 годах заводом No 24 были изготовлены 34 экземпляра. Эти моторы испытывались в 1947 г. на одной из модификаций Ту-2.</w:t>
      </w:r>
    </w:p>
    <w:p w14:paraId="7276AF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Ранее уже говорилось, что Микулин работал над двигателем с удлиненным валом и вынесенным редуктором на базе АМ-37. Хотя задание выдали еще в 1940 г. фактически проектирование начали только в 1942 г. и вскоре за основу вместо АМ-37 взяли АМ-39. Максимальная мощность была меньше, чем даже у ранних АМ-39, и ограничивалась 1600 л.с. Возможно, это ограничение шло от трансмиссии, которую исходно делали под АМ-37. Мотор назывался АМ-39УВ, а позже АМ-41. Изготовили три опытных экземпляра. Доводку одного из них закончили к лету 1943 г. и поставили его на истребитель Гу-1, который в ходе летных испытаний потерпел катастрофу 14 июня того ственных испытаний он не проходил (11934).</w:t>
      </w:r>
    </w:p>
    <w:p w14:paraId="4E30D42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95EE5E5" w14:textId="77777777" w:rsidR="007874A2" w:rsidRPr="00070ADE" w:rsidRDefault="007874A2" w:rsidP="00B56F90">
      <w:pPr>
        <w:spacing w:after="0" w:line="240" w:lineRule="auto"/>
        <w:jc w:val="both"/>
        <w:rPr>
          <w:rStyle w:val="841"/>
          <w:rFonts w:ascii="Times New Roman" w:hAnsi="Times New Roman" w:cs="Times New Roman"/>
          <w:color w:val="000000" w:themeColor="text1"/>
          <w:sz w:val="16"/>
          <w:szCs w:val="16"/>
        </w:rPr>
      </w:pPr>
      <w:r w:rsidRPr="00070ADE">
        <w:rPr>
          <w:rStyle w:val="841"/>
          <w:rFonts w:ascii="Times New Roman" w:hAnsi="Times New Roman" w:cs="Times New Roman"/>
          <w:color w:val="000000" w:themeColor="text1"/>
          <w:sz w:val="16"/>
          <w:szCs w:val="16"/>
        </w:rPr>
        <w:t>В апреле 1944 года Михаил Романович Флисский сменил Александра Александровича Микулина. Тогда возникли серьезные проблемы с доводкой запускаемого в серию АМ-42, и по предложению наркома авиапромышленно</w:t>
      </w:r>
      <w:r w:rsidRPr="00070ADE">
        <w:rPr>
          <w:rStyle w:val="841"/>
          <w:rFonts w:ascii="Times New Roman" w:hAnsi="Times New Roman" w:cs="Times New Roman"/>
          <w:color w:val="000000" w:themeColor="text1"/>
          <w:sz w:val="16"/>
          <w:szCs w:val="16"/>
        </w:rPr>
        <w:softHyphen/>
        <w:t>сти А.И. Шахурина, И.В. Сталин постановле</w:t>
      </w:r>
      <w:r w:rsidRPr="00070ADE">
        <w:rPr>
          <w:rStyle w:val="841"/>
          <w:rFonts w:ascii="Times New Roman" w:hAnsi="Times New Roman" w:cs="Times New Roman"/>
          <w:color w:val="000000" w:themeColor="text1"/>
          <w:sz w:val="16"/>
          <w:szCs w:val="16"/>
        </w:rPr>
        <w:softHyphen/>
        <w:t>нием ГОКО № 5525с от 3 апреля освободил Александра Александровича от обязанно</w:t>
      </w:r>
      <w:r w:rsidRPr="00070ADE">
        <w:rPr>
          <w:rStyle w:val="841"/>
          <w:rFonts w:ascii="Times New Roman" w:hAnsi="Times New Roman" w:cs="Times New Roman"/>
          <w:color w:val="000000" w:themeColor="text1"/>
          <w:sz w:val="16"/>
          <w:szCs w:val="16"/>
        </w:rPr>
        <w:softHyphen/>
        <w:t>стей Главного конструктора завода № 24 в Куйбышеве (Самара), при этом он оставался Главным конструктором московских заводов №№ 45 и 300. Помимо доводки АМ-42, на основе этого мотора под руководством М.Р. Флисского был разработан ряд новых двига</w:t>
      </w:r>
      <w:r w:rsidRPr="00070ADE">
        <w:rPr>
          <w:rStyle w:val="841"/>
          <w:rFonts w:ascii="Times New Roman" w:hAnsi="Times New Roman" w:cs="Times New Roman"/>
          <w:color w:val="000000" w:themeColor="text1"/>
          <w:sz w:val="16"/>
          <w:szCs w:val="16"/>
        </w:rPr>
        <w:softHyphen/>
        <w:t>телей и их модификаций: М-43, М-44, М-45, М- 46 и М-47, которые во многих документах обозначались еще «МФ», что вероятнее всего значит «мотор Флисского» (19912).</w:t>
      </w:r>
    </w:p>
    <w:p w14:paraId="38A63D63" w14:textId="77777777" w:rsidR="007874A2" w:rsidRPr="00070ADE" w:rsidRDefault="007874A2" w:rsidP="00B56F90">
      <w:pPr>
        <w:spacing w:after="0" w:line="240" w:lineRule="auto"/>
        <w:jc w:val="both"/>
        <w:rPr>
          <w:rFonts w:ascii="Times New Roman" w:hAnsi="Times New Roman"/>
          <w:color w:val="000000" w:themeColor="text1"/>
          <w:sz w:val="16"/>
          <w:szCs w:val="16"/>
        </w:rPr>
      </w:pPr>
    </w:p>
    <w:p w14:paraId="399AEB04" w14:textId="77777777" w:rsidR="000656CD" w:rsidRPr="00C94B78" w:rsidRDefault="000656C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 апреля 1944 г. НКАП подключил к выпуску авиадизелей серийный завод № 45, считавшийся одним из передовых в отрасли (25145).</w:t>
      </w:r>
    </w:p>
    <w:p w14:paraId="0736C017" w14:textId="77777777" w:rsidR="000656CD" w:rsidRPr="00C94B78" w:rsidRDefault="000656CD" w:rsidP="00B56F90">
      <w:pPr>
        <w:spacing w:after="0" w:line="240" w:lineRule="auto"/>
        <w:jc w:val="both"/>
        <w:rPr>
          <w:rFonts w:ascii="Times New Roman" w:hAnsi="Times New Roman"/>
          <w:color w:val="0070C0"/>
          <w:sz w:val="16"/>
          <w:szCs w:val="16"/>
        </w:rPr>
      </w:pPr>
    </w:p>
    <w:p w14:paraId="42479D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модернизированный М-106ПВ испытывал</w:t>
      </w:r>
      <w:r w:rsidRPr="00070ADE">
        <w:rPr>
          <w:rFonts w:ascii="Times New Roman" w:hAnsi="Times New Roman"/>
          <w:color w:val="000000" w:themeColor="text1"/>
          <w:sz w:val="16"/>
          <w:szCs w:val="16"/>
        </w:rPr>
        <w:softHyphen/>
        <w:t>ся на Як-9ПД. Было выпущено более 50 модерни</w:t>
      </w:r>
      <w:r w:rsidRPr="00070ADE">
        <w:rPr>
          <w:rFonts w:ascii="Times New Roman" w:hAnsi="Times New Roman"/>
          <w:color w:val="000000" w:themeColor="text1"/>
          <w:sz w:val="16"/>
          <w:szCs w:val="16"/>
        </w:rPr>
        <w:softHyphen/>
        <w:t>зированных М-106ПВ. На этом типе двигателя устанавливалась об</w:t>
      </w:r>
      <w:r w:rsidRPr="00070ADE">
        <w:rPr>
          <w:rFonts w:ascii="Times New Roman" w:hAnsi="Times New Roman"/>
          <w:color w:val="000000" w:themeColor="text1"/>
          <w:sz w:val="16"/>
          <w:szCs w:val="16"/>
        </w:rPr>
        <w:softHyphen/>
        <w:t>легченная пушка ША-20М (20 мм) (11852).</w:t>
      </w:r>
    </w:p>
    <w:p w14:paraId="5069A7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3B6E88" w14:textId="3EF83F2B"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апреля 1944 г. на заводе № 45 (ГС Завод № 45 НКАП, МАП, ММЗ, МНПО «Салют», п/я 229, Г-4988, ГУП ФНПЦ, ФГУП «Московское машиностроительное производственное предприятие (ММПП) «Салют» /г. Москва Мейеровский пр., 14 (1942 г.)/ /105118</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Москва пр. Будённого, 16 тел. 369-80-01/) работает В.М. Яковлев, назначенный зам. гл. конструктора завода № 500 по внедрению в производство мотора АЧ-30Б.</w:t>
      </w:r>
    </w:p>
    <w:p w14:paraId="030BF6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 261сс от 21.06.1945 г. при заводе организовано ОКБ для работ по авиационным дизелям.</w:t>
      </w:r>
    </w:p>
    <w:p w14:paraId="7D0514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Разрабатывались дизели М-51 и М-52 для дальних бомбардировщиков.</w:t>
      </w:r>
    </w:p>
    <w:p w14:paraId="46F2BC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07.1946 г. ОКБ переведено на завод № 500 МАП (Тушино) в 1946 г. и влито в ОКБ-500 МАП. Часть мощностей и коллектива ОКБ переданы для формирования филиала завода № 165 ив распоряжение гл. конструктора В.Я. Климова.</w:t>
      </w:r>
    </w:p>
    <w:p w14:paraId="69272F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(06.1945-07.1946 г.)- В.М. Яковлев (11982).</w:t>
      </w:r>
    </w:p>
    <w:p w14:paraId="1F5DC2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AF5550D" w14:textId="77777777" w:rsidR="009E6775" w:rsidRPr="00070ADE" w:rsidRDefault="009E677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апреля 1944 г. производство карбюраторных моторов М-82, нако</w:t>
      </w:r>
      <w:r w:rsidRPr="00070ADE">
        <w:rPr>
          <w:rFonts w:ascii="Times New Roman" w:hAnsi="Times New Roman"/>
          <w:color w:val="000000" w:themeColor="text1"/>
          <w:sz w:val="16"/>
          <w:szCs w:val="16"/>
        </w:rPr>
        <w:softHyphen/>
        <w:t>нец-то, прекратили, и завод полностью перешел на выпуск М-82ФН (15929).</w:t>
      </w:r>
    </w:p>
    <w:p w14:paraId="60CCBE92" w14:textId="77777777" w:rsidR="009E6775" w:rsidRPr="00070ADE" w:rsidRDefault="009E6775" w:rsidP="00B56F90">
      <w:pPr>
        <w:spacing w:after="0" w:line="240" w:lineRule="auto"/>
        <w:jc w:val="both"/>
        <w:rPr>
          <w:rFonts w:ascii="Times New Roman" w:hAnsi="Times New Roman"/>
          <w:color w:val="000000" w:themeColor="text1"/>
          <w:sz w:val="16"/>
          <w:szCs w:val="16"/>
        </w:rPr>
      </w:pPr>
    </w:p>
    <w:p w14:paraId="08899001" w14:textId="77777777" w:rsidR="000656CD" w:rsidRPr="00070ADE" w:rsidRDefault="000656CD"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апреля 1944 года производство карбюратор</w:t>
      </w:r>
      <w:r w:rsidRPr="00070ADE">
        <w:rPr>
          <w:rFonts w:ascii="Times New Roman" w:hAnsi="Times New Roman"/>
          <w:color w:val="000000" w:themeColor="text1"/>
          <w:sz w:val="16"/>
          <w:szCs w:val="16"/>
        </w:rPr>
        <w:softHyphen/>
        <w:t>ных моторов М-82 было прекращено и завод полностью перешел на вы</w:t>
      </w:r>
      <w:r w:rsidRPr="00070ADE">
        <w:rPr>
          <w:rFonts w:ascii="Times New Roman" w:hAnsi="Times New Roman"/>
          <w:color w:val="000000" w:themeColor="text1"/>
          <w:sz w:val="16"/>
          <w:szCs w:val="16"/>
        </w:rPr>
        <w:softHyphen/>
        <w:t>пуск М-82ФН (10714).</w:t>
      </w:r>
    </w:p>
    <w:p w14:paraId="20662E0A" w14:textId="77777777" w:rsidR="000656CD" w:rsidRPr="00070ADE" w:rsidRDefault="000656CD"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00F30A" w14:textId="77777777" w:rsidR="000656CD" w:rsidRPr="00C94B78" w:rsidRDefault="000656C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апреля 1944 г. выпуск моторов М-82 с кар</w:t>
      </w:r>
      <w:r w:rsidRPr="00C94B78">
        <w:rPr>
          <w:rFonts w:ascii="Times New Roman" w:hAnsi="Times New Roman"/>
          <w:color w:val="0070C0"/>
          <w:sz w:val="16"/>
          <w:szCs w:val="16"/>
        </w:rPr>
        <w:softHyphen/>
        <w:t>бюраторами прекратили, в производстве и в Молотове, и в Омске остались только М-82ФН. Соответственно, перестали и собирать самолеты «типа 37» (24930).</w:t>
      </w:r>
    </w:p>
    <w:p w14:paraId="3E7887B5" w14:textId="77777777" w:rsidR="000656CD" w:rsidRPr="00C94B78" w:rsidRDefault="000656CD" w:rsidP="00B56F90">
      <w:pPr>
        <w:spacing w:after="0" w:line="240" w:lineRule="auto"/>
        <w:jc w:val="both"/>
        <w:rPr>
          <w:rFonts w:ascii="Times New Roman" w:hAnsi="Times New Roman"/>
          <w:color w:val="0070C0"/>
          <w:sz w:val="16"/>
          <w:szCs w:val="16"/>
        </w:rPr>
      </w:pPr>
    </w:p>
    <w:p w14:paraId="29B7C1C7" w14:textId="77777777" w:rsidR="009E6775" w:rsidRPr="00070ADE" w:rsidRDefault="009E6775" w:rsidP="00B56F90">
      <w:pPr>
        <w:shd w:val="clear" w:color="auto" w:fill="FFFFFF"/>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В апреле 1944 г. был изготовлен первый опытный образец пушки Н-37, а в августе успешно завершились государственные наземные испытания пушки и нового патрона.</w:t>
      </w:r>
    </w:p>
    <w:p w14:paraId="0991C7DD" w14:textId="06A0D731" w:rsidR="009E6775" w:rsidRPr="00070ADE" w:rsidRDefault="009E6775" w:rsidP="00B56F90">
      <w:pPr>
        <w:shd w:val="clear" w:color="auto" w:fill="FFFFFF"/>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Работы по созданию легкой крупнокалиберной пушки Н-37 под облегченный патрон НС-37 велись одновременно с разработкой пушки НС-23С. Разработку нового патрона проводил Грибков П.П., конструкторами пушки и звена были</w:t>
      </w:r>
      <w:r w:rsidR="00C63BA9">
        <w:rPr>
          <w:rFonts w:ascii="Times New Roman" w:eastAsia="Times New Roman" w:hAnsi="Times New Roman"/>
          <w:color w:val="000000" w:themeColor="text1"/>
          <w:sz w:val="16"/>
          <w:szCs w:val="16"/>
        </w:rPr>
        <w:t xml:space="preserve"> </w:t>
      </w:r>
      <w:r w:rsidRPr="00070ADE">
        <w:rPr>
          <w:rFonts w:ascii="Times New Roman" w:eastAsia="Times New Roman" w:hAnsi="Times New Roman"/>
          <w:color w:val="000000" w:themeColor="text1"/>
          <w:sz w:val="16"/>
          <w:szCs w:val="16"/>
        </w:rPr>
        <w:t>Неменов В.Я. и Лунин С.Г.</w:t>
      </w:r>
    </w:p>
    <w:p w14:paraId="38AD1139" w14:textId="77777777" w:rsidR="009E6775" w:rsidRPr="00070ADE" w:rsidRDefault="009E6775" w:rsidP="00B56F90">
      <w:pPr>
        <w:shd w:val="clear" w:color="auto" w:fill="FFFFFF"/>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Новая пушка Н-37 выгодно отличалась от НС-37. Масса патрона и масса пушки снизились в полтора раза, а ее скорострельность возросла вдвое. Значительно снизилось силовое воздействие выстрела на самолет.</w:t>
      </w:r>
    </w:p>
    <w:p w14:paraId="627A8A6D" w14:textId="77777777" w:rsidR="009E6775" w:rsidRPr="00070ADE" w:rsidRDefault="009E6775" w:rsidP="00B56F90">
      <w:pPr>
        <w:shd w:val="clear" w:color="auto" w:fill="FFFFFF"/>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При разработке этой пушки был учтен опыт конструирования и технологической отработки пушки НС-37. Запуск ее в производство планировался на том же машиностроительном заводе, где ранее изготавливалась пушка НС-37. Поэтому конструирование деталей, механизмов и всей пушки в целом проводилось с учетом уже известного станочного парка завода, используемых там технологических приемов. Это позволило сократить время освоения новой пушки в серийном производстве.</w:t>
      </w:r>
    </w:p>
    <w:p w14:paraId="121D65D2" w14:textId="77777777" w:rsidR="009E6775" w:rsidRPr="00070ADE" w:rsidRDefault="009E6775" w:rsidP="00B56F90">
      <w:pPr>
        <w:shd w:val="clear" w:color="auto" w:fill="FFFFFF"/>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Летные испытания и стрельбы из пушки Н-37 проводились на самолете Як-9. По инициативе Наркома вооружения Д.Ф. Устинова еще до завершения летных испытаний было решено начать серийное производство пушки Н-37.</w:t>
      </w:r>
    </w:p>
    <w:p w14:paraId="0CD7E430" w14:textId="444AC2E4" w:rsidR="009E6775" w:rsidRPr="00070ADE" w:rsidRDefault="009E6775" w:rsidP="00B56F90">
      <w:pPr>
        <w:shd w:val="clear" w:color="auto" w:fill="FFFFFF"/>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После войны пушка Н-37 успешно эксплуатировалась на реактивных самолетах</w:t>
      </w:r>
      <w:r w:rsidR="00C63BA9">
        <w:rPr>
          <w:rFonts w:ascii="Times New Roman" w:eastAsia="Times New Roman" w:hAnsi="Times New Roman"/>
          <w:color w:val="000000" w:themeColor="text1"/>
          <w:sz w:val="16"/>
          <w:szCs w:val="16"/>
        </w:rPr>
        <w:t xml:space="preserve"> </w:t>
      </w:r>
      <w:r w:rsidRPr="00070ADE">
        <w:rPr>
          <w:rFonts w:ascii="Times New Roman" w:eastAsia="Times New Roman" w:hAnsi="Times New Roman"/>
          <w:color w:val="000000" w:themeColor="text1"/>
          <w:sz w:val="16"/>
          <w:szCs w:val="16"/>
        </w:rPr>
        <w:t>МиГ-9, МиГ-15, МиГ-15бис (1пушка Н-37 и 2 пушки НР-23. прошли боевую проверку во время войны в Корее), МиГ-17 и Як-25 (15979).</w:t>
      </w:r>
    </w:p>
    <w:p w14:paraId="5159B012" w14:textId="77777777" w:rsidR="009E6775" w:rsidRPr="00070ADE" w:rsidRDefault="009E6775" w:rsidP="00B56F90">
      <w:pPr>
        <w:shd w:val="clear" w:color="auto" w:fill="FFFFFF"/>
        <w:spacing w:after="0" w:line="240" w:lineRule="auto"/>
        <w:jc w:val="both"/>
        <w:rPr>
          <w:rFonts w:ascii="Times New Roman" w:eastAsia="Times New Roman" w:hAnsi="Times New Roman"/>
          <w:color w:val="000000" w:themeColor="text1"/>
          <w:sz w:val="16"/>
          <w:szCs w:val="16"/>
        </w:rPr>
      </w:pPr>
    </w:p>
    <w:p w14:paraId="78C489F0" w14:textId="77777777" w:rsidR="002F70F0" w:rsidRPr="00070ADE" w:rsidRDefault="002F70F0" w:rsidP="00B56F90">
      <w:pPr>
        <w:pStyle w:val="rtejustify"/>
        <w:shd w:val="clear" w:color="auto" w:fill="FFFFFF"/>
        <w:spacing w:before="0" w:after="0"/>
        <w:rPr>
          <w:color w:val="000000" w:themeColor="text1"/>
          <w:sz w:val="16"/>
          <w:szCs w:val="16"/>
        </w:rPr>
      </w:pPr>
      <w:r w:rsidRPr="00070ADE">
        <w:rPr>
          <w:color w:val="000000" w:themeColor="text1"/>
          <w:sz w:val="16"/>
          <w:szCs w:val="16"/>
        </w:rPr>
        <w:t>В апреле 1944 г. был изготовлен первый экземпляр пушки 120-П, а в августе 1944 г. были завершены наземные государственные испытания патрона и пушки, после чего пушка получила наименование Н-37. После завершения наземных испытаний, не дожидаясь завершения лётных испытаний, по инициативе наркома Д. Ф. Устинова было решено начать серийное производство пушки Н-37 на заводе № 74 (19170).</w:t>
      </w:r>
    </w:p>
    <w:p w14:paraId="26ECAF81" w14:textId="77777777" w:rsidR="002F70F0" w:rsidRPr="00070ADE" w:rsidRDefault="002F70F0" w:rsidP="00B56F90">
      <w:pPr>
        <w:pStyle w:val="rtejustify"/>
        <w:shd w:val="clear" w:color="auto" w:fill="FFFFFF"/>
        <w:spacing w:before="0" w:after="0"/>
        <w:rPr>
          <w:color w:val="000000" w:themeColor="text1"/>
          <w:sz w:val="16"/>
          <w:szCs w:val="16"/>
        </w:rPr>
      </w:pPr>
    </w:p>
    <w:p w14:paraId="4BF78082" w14:textId="77777777" w:rsidR="000656CD" w:rsidRPr="00C94B78" w:rsidRDefault="000656C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апреле 1944 г. был изготовлен первый экземпляр пушки 120-П ОКБ-26, а в августе 1944 г. были завершены наземные государственные испытания патрона и пушки, после чего пушка получила наименование Н-37. После завершения наземных испытаний, не дожидаясь завершения лётных испытаний, по инициативе наркома Д. Ф. Устинова было решено начать серийное производство пушки Н-37 на заводе № 74.</w:t>
      </w:r>
    </w:p>
    <w:p w14:paraId="7109C661" w14:textId="77777777" w:rsidR="000656CD" w:rsidRPr="00C94B78" w:rsidRDefault="000656C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пушке 120-П Нудельману длинна ствола была уменьшена на метр, соответственно почти на 70 кг снизилась масса и введен гидравлический буфер. Кроме того, по сравнению с НС-37 в новой пушке был переработан узел отката ствола. Возвратная пружина из казенной части ствольной коробки была перемещена вперед, и расположена открыто вокруг ствола, что также способствовало уменьшению габаритов и массы системы, а также способствовало повышению темпа стрельбы, который довели до 400 выстр/мин.</w:t>
      </w:r>
    </w:p>
    <w:p w14:paraId="1F0C5833" w14:textId="77777777" w:rsidR="000656CD" w:rsidRPr="00C94B78" w:rsidRDefault="000656C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патроном было сложнее. При неизменном снаряде патрона 37х198 была разработана новая гильза длиной 155 мм. Отдельные источники утверждают, что гильза была укороченной и переобжатой вариацией от зенитного снаряда 37x252SR, но это мнение представляется сомнительным, гильзы сильно отличались размерами и конфигурацией и вероятнее всего патрон 37х155 для пушки 120-П был новой разработкой (25267). </w:t>
      </w:r>
    </w:p>
    <w:p w14:paraId="37A051CD" w14:textId="77777777" w:rsidR="000656CD" w:rsidRPr="00C94B78" w:rsidRDefault="000656CD" w:rsidP="00B56F90">
      <w:pPr>
        <w:spacing w:after="0" w:line="240" w:lineRule="auto"/>
        <w:jc w:val="both"/>
        <w:rPr>
          <w:rFonts w:ascii="Times New Roman" w:hAnsi="Times New Roman"/>
          <w:color w:val="0070C0"/>
          <w:sz w:val="16"/>
          <w:szCs w:val="16"/>
        </w:rPr>
      </w:pPr>
    </w:p>
    <w:p w14:paraId="6115B051" w14:textId="77777777" w:rsidR="002F70F0" w:rsidRPr="00070ADE" w:rsidRDefault="002F70F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Люльку переводят в НИИ-1 и назначают начальником отдела № 21 по турборе</w:t>
      </w:r>
      <w:r w:rsidRPr="00070ADE">
        <w:rPr>
          <w:rFonts w:ascii="Times New Roman" w:hAnsi="Times New Roman"/>
          <w:color w:val="000000" w:themeColor="text1"/>
          <w:sz w:val="16"/>
          <w:szCs w:val="16"/>
        </w:rPr>
        <w:softHyphen/>
        <w:t>активным двигателям. Вместе с Люлькой в НИИ-1 перешла и группа его конструкторов. Уже в авгу</w:t>
      </w:r>
      <w:r w:rsidRPr="00070ADE">
        <w:rPr>
          <w:rFonts w:ascii="Times New Roman" w:hAnsi="Times New Roman"/>
          <w:color w:val="000000" w:themeColor="text1"/>
          <w:sz w:val="16"/>
          <w:szCs w:val="16"/>
        </w:rPr>
        <w:softHyphen/>
        <w:t>сте 1944 г. первый комплект узлов и агрегатов двигателя С-18 был изготовлен, на заводе № 165 произведена сборка, а в начале сентября 1944 г. двигатель установили на стенд в НИИ-1. Дово</w:t>
      </w:r>
      <w:r w:rsidRPr="00070ADE">
        <w:rPr>
          <w:rFonts w:ascii="Times New Roman" w:hAnsi="Times New Roman"/>
          <w:color w:val="000000" w:themeColor="text1"/>
          <w:sz w:val="16"/>
          <w:szCs w:val="16"/>
        </w:rPr>
        <w:softHyphen/>
        <w:t>дочные работы продолжались до конца ноября 1945 г. и завершились успешным испытанием на ресурс 20 часов. Двигатель подтвердил парамет</w:t>
      </w:r>
      <w:r w:rsidRPr="00070ADE">
        <w:rPr>
          <w:rFonts w:ascii="Times New Roman" w:hAnsi="Times New Roman"/>
          <w:color w:val="000000" w:themeColor="text1"/>
          <w:sz w:val="16"/>
          <w:szCs w:val="16"/>
        </w:rPr>
        <w:softHyphen/>
        <w:t>ры, заложенные в расчётах (19701).</w:t>
      </w:r>
    </w:p>
    <w:p w14:paraId="181A0612" w14:textId="77777777" w:rsidR="002F70F0" w:rsidRPr="00070ADE" w:rsidRDefault="002F70F0" w:rsidP="00B56F90">
      <w:pPr>
        <w:spacing w:after="0" w:line="240" w:lineRule="auto"/>
        <w:jc w:val="both"/>
        <w:rPr>
          <w:rFonts w:ascii="Times New Roman" w:hAnsi="Times New Roman"/>
          <w:color w:val="000000" w:themeColor="text1"/>
          <w:sz w:val="16"/>
          <w:szCs w:val="16"/>
        </w:rPr>
      </w:pPr>
    </w:p>
    <w:p w14:paraId="396790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РНИИ начал разработку ракеты, заказанной в 1943 ФИАН для подъема приборов на высоту до 40 км, которая потом стала 210 (1232).</w:t>
      </w:r>
    </w:p>
    <w:p w14:paraId="5521F5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90156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сдали на испытания ФАБ-100сч з-да № 460, снаряженную сплавом аммотола при горячей заливке. Бомбили с Ил-4 на 300 км/час с2000 м. Прошли несмотря на некоторые недостатки и с 1944 были в серии (7453, 275).</w:t>
      </w:r>
    </w:p>
    <w:p w14:paraId="1D91E52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11407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на софринском КИАП провели контрольные испытания ФОТАБ-50-35 выпусков 1941-44 с применением более точных измерительных приборов и выяснили, что максимальная светосила достиганется через 0.3 сек и составляет 700 млн. свечей, хотя ТУ требовали только 250 (7453, 577).</w:t>
      </w:r>
    </w:p>
    <w:p w14:paraId="0DE2142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2B11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апреле 1944 г. на софринском КИАП провели контрольные испытания авиабомб ФОТАБ-50-35 выпусков 1941-1944 гг. с применением более точных измерительных </w:t>
      </w:r>
      <w:r w:rsidRPr="00070ADE">
        <w:rPr>
          <w:rFonts w:ascii="Times New Roman" w:hAnsi="Times New Roman"/>
          <w:color w:val="000000" w:themeColor="text1"/>
          <w:sz w:val="16"/>
          <w:szCs w:val="16"/>
        </w:rPr>
        <w:lastRenderedPageBreak/>
        <w:t>приборов. В результате выяснилось, что светотехнические характеристики серийных боеприпасов соответствуют требованиям ВВС, своего максимума вспышка достигает через 0,03 с. Но, пожалуй, что самое главное - их максимальная светосила составляла более 700 млн. свечей, что значительно превышало необходимые по техническим условиям 250 млн. свечей (7453).</w:t>
      </w:r>
    </w:p>
    <w:p w14:paraId="503BF2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E5C2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года директором завода № 213 был назначен Гоцеридзе М.С. С января 1945 года – директор Кочеров П.П.</w:t>
      </w:r>
    </w:p>
    <w:p w14:paraId="5767FC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Решением Правительства в мае 1943 года было переведено в Москву манометрическое производство на ныне действующий завод № 133. В августе 1944 года Постановлением Правительства было выделено КБ во главе с конструктором Антиповым Е.Ф. и перебазировано в Москву на территорию завода № 122, а также частично переброшено производство гироскопических приборов.</w:t>
      </w:r>
    </w:p>
    <w:p w14:paraId="4B497B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освобождения промплощадки Мясокомбинату распоряжением СНК от 3 декабря 1945 года за № 1737рс и последующим приказом НКАП от 28 января 1946 года за № 21с, завод № 213 из Энгельса подлежал перебазировке в Саратов на промплощадку бывш. деревообделочного завода № 167 НКАП. 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5D09AB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213 должен был специализироваться на выпуске авиационных приборов, согласно проектного задания, гироскопических и манометрических приборов.</w:t>
      </w:r>
    </w:p>
    <w:p w14:paraId="57138C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24062D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 4 сентября 1951 года директором завода был назначен Смирнов Е.М.</w:t>
      </w:r>
    </w:p>
    <w:p w14:paraId="1C0CE9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 Смирнов</w:t>
      </w:r>
    </w:p>
    <w:p w14:paraId="3668ED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Саратов 5, п/я 176, Б. Садовая, д. 239</w:t>
      </w:r>
    </w:p>
    <w:p w14:paraId="725F32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Производственный профиль – авиаприборостроение, гироскопическое-ракетное (9837).</w:t>
      </w:r>
    </w:p>
    <w:p w14:paraId="491DAA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333C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апреля 1944 года завод № 65 приступил к выпуску продукции гильз для авиамоторных заводов.</w:t>
      </w:r>
    </w:p>
    <w:p w14:paraId="52ACDA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удовлетворения самолетных и моторных заводов трубами, профилями и прутками из алюминиевых сплавов приказом НКАП за № 595 от 5 сентября 1945 года заводу № 65 было поручено организовать производство этих полуфабрикатов.</w:t>
      </w:r>
    </w:p>
    <w:p w14:paraId="4C3BA6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приказа МАП № 289 от 13 мая 1946 года завод приступил к восстановлению прокатного производства.</w:t>
      </w:r>
    </w:p>
    <w:p w14:paraId="2768A9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МАП за 3 96 от 21 февраля 1955 года при заводе № 65 организовано ОКБ-65 на которое возложена разработка новых технологических процессов производства деталей и полуфабрикатов и создание новой техники для заводов авиапромышленности. 11 августа 1961 года ЦК КПСС и СМ вынесли постановление за № 728-304 об организации ВНИИ технологии легких и специальных сплавов (ВНИИТЛиСС) с опытным заводом на базе ОКБ-65 и завода № 65.</w:t>
      </w:r>
    </w:p>
    <w:p w14:paraId="752DFF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Начальником филиала завода № 95 с января по 23 декабря 1942 года был И.В. Селихов 23 декабря 1942 года приказом НКАП за № 134-ок директором филиала завода № 95 был назначен Румянцев Б.Ф.</w:t>
      </w:r>
    </w:p>
    <w:p w14:paraId="00A922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реорганизации филиала в самостоятельный завод № 65 директором завода № 95 был назначен Румянцев Б.Ф.</w:t>
      </w:r>
    </w:p>
    <w:p w14:paraId="739462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НКАП № 254/к от 22 марта 1944 года на должность директора завода назначен Коваль Б.А.</w:t>
      </w:r>
    </w:p>
    <w:p w14:paraId="1E85FE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1579EC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01616F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120F18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Москва, Кунцево, ул. Горбунова, д. 20 (9894).</w:t>
      </w:r>
    </w:p>
    <w:p w14:paraId="682CFF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625F35" w14:textId="77777777" w:rsidR="00AC118E" w:rsidRPr="00070ADE" w:rsidRDefault="00AC118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армии был передан снаряд М-13 с кучностью, почти в два раза лучшей, чем кучность снаряда M-13. Улучшение было достигнуто без ужесточения требований к ракетному заряду и без какого-либо его изменения, только за счет введения в конструкцию двигателя 12 косорасположенных периферийных отверстий, обеспечивавших проворот снаряда на траектории и тем самым резко уменьшавших отрицательное влияние на кучность эксцентриситета снаряда. Этот снаряд стал называться М-13УК (улучшенной кучности). В октябре 1944 г. на базе ракетного заряда для М-13 был сдан на вооружение снаряд, у которого дальность стрельбы составила около 11,8 км, т.е. почти в 1,5 раза больше, чем у снаряда М-13. Увеличение дальности было достигнуто за счет применения двух двигателей M-13, работавших одновременно. Снаряд получил название М-13ДД (дальнего действия) (18646).</w:t>
      </w:r>
    </w:p>
    <w:p w14:paraId="55EB300C" w14:textId="77777777" w:rsidR="00AC118E" w:rsidRPr="00070ADE" w:rsidRDefault="00AC118E" w:rsidP="00B56F90">
      <w:pPr>
        <w:spacing w:after="0" w:line="240" w:lineRule="auto"/>
        <w:jc w:val="both"/>
        <w:rPr>
          <w:rFonts w:ascii="Times New Roman" w:hAnsi="Times New Roman"/>
          <w:color w:val="000000" w:themeColor="text1"/>
          <w:sz w:val="16"/>
          <w:szCs w:val="16"/>
        </w:rPr>
      </w:pPr>
    </w:p>
    <w:p w14:paraId="4D392F6A" w14:textId="77777777" w:rsidR="000656CD" w:rsidRPr="00C94B78" w:rsidRDefault="000656C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апреле 1944 г. завод № 740 изготовил два опытных образца катерной установки 24-М-8. В июле 1944 г. установки 24-М-8 успешно прошли корабельные испытания на Чёрном море. 19 сентября 1944 г. установка 24-М-8 была принята на вооружение ВМФ (25435).</w:t>
      </w:r>
    </w:p>
    <w:p w14:paraId="25DCC4B5" w14:textId="77777777" w:rsidR="000656CD" w:rsidRPr="00C94B78" w:rsidRDefault="000656CD" w:rsidP="00B56F90">
      <w:pPr>
        <w:spacing w:after="0" w:line="240" w:lineRule="auto"/>
        <w:jc w:val="both"/>
        <w:rPr>
          <w:rFonts w:ascii="Times New Roman" w:hAnsi="Times New Roman"/>
          <w:color w:val="0070C0"/>
          <w:sz w:val="16"/>
          <w:szCs w:val="16"/>
        </w:rPr>
      </w:pPr>
    </w:p>
    <w:p w14:paraId="5E326410" w14:textId="77777777" w:rsidR="000656CD" w:rsidRPr="00070ADE" w:rsidRDefault="000656C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армии был передан снаряд с кучностью, почти в два раза лучшей, чем кучность снаряда M-15. Улучшение было достигнуто без ужесточения требований к ракетному заряду и без какого-либо его изменения, только за счет введения в конструкцию двигателя 12 косорасположенных периферийных отверстий, обеспечивавших проворот снаряда на траектории и тем самым резко уменьшавших отрицательное влияние на кучность эксцентриситета снаряда. Этот снаряд стал называться М-13УК (улучшенной кучности) (11209).</w:t>
      </w:r>
    </w:p>
    <w:p w14:paraId="4E35B572" w14:textId="77777777" w:rsidR="000656CD" w:rsidRPr="00070ADE" w:rsidRDefault="000656CD" w:rsidP="00B56F90">
      <w:pPr>
        <w:autoSpaceDE w:val="0"/>
        <w:autoSpaceDN w:val="0"/>
        <w:adjustRightInd w:val="0"/>
        <w:spacing w:after="0" w:line="240" w:lineRule="auto"/>
        <w:jc w:val="both"/>
        <w:rPr>
          <w:rFonts w:ascii="Times New Roman" w:hAnsi="Times New Roman"/>
          <w:color w:val="000000" w:themeColor="text1"/>
          <w:sz w:val="16"/>
          <w:szCs w:val="16"/>
        </w:rPr>
      </w:pPr>
    </w:p>
    <w:p w14:paraId="7D7EA503" w14:textId="77777777" w:rsidR="000656CD" w:rsidRPr="00070ADE" w:rsidRDefault="000656C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w:t>
      </w:r>
      <w:r>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поступил на вооружение снаряд М-31УК. С целью повышения кучности этого снаряда несколько позднее его ракетный двигатель был снабжен четырьмя штуцерами с Г-образными отверстиями, обеспечивающими проворот снаряда (11209).</w:t>
      </w:r>
    </w:p>
    <w:p w14:paraId="7E8D52AE" w14:textId="77777777" w:rsidR="000656CD" w:rsidRPr="00070ADE" w:rsidRDefault="000656CD" w:rsidP="00B56F90">
      <w:pPr>
        <w:autoSpaceDE w:val="0"/>
        <w:autoSpaceDN w:val="0"/>
        <w:adjustRightInd w:val="0"/>
        <w:spacing w:after="0" w:line="240" w:lineRule="auto"/>
        <w:jc w:val="both"/>
        <w:rPr>
          <w:rFonts w:ascii="Times New Roman" w:hAnsi="Times New Roman"/>
          <w:color w:val="000000" w:themeColor="text1"/>
          <w:sz w:val="16"/>
          <w:szCs w:val="16"/>
        </w:rPr>
      </w:pPr>
    </w:p>
    <w:p w14:paraId="0EA9E150" w14:textId="77777777" w:rsidR="000656CD" w:rsidRPr="00C94B78" w:rsidRDefault="000656C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апреле 1944 г. реактивные снаряды М-31УК были приняты на вооружение взамен М-31. Улучшенная кучность достигалась за счёт медленного проворота снаряда, компенсировавшего неравномерность работы двигателя. Для вращения снарядов М-31УК на его ракетной камере около центра тяжести было ввёрнуто четыре штуцера с Г-образными каналами. Благодаря вращению рассеивание снарядов существенно уменьшилось.</w:t>
      </w:r>
    </w:p>
    <w:p w14:paraId="26357688" w14:textId="77777777" w:rsidR="000656CD" w:rsidRPr="00C94B78" w:rsidRDefault="000656C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Снаряды М-31 запускались с рамных пусковых установок, а также пусковых установок БМ-31-12 на шасси автомобиля «Студебеккер» (25435).</w:t>
      </w:r>
    </w:p>
    <w:p w14:paraId="6C110948" w14:textId="77777777" w:rsidR="000656CD" w:rsidRPr="00C94B78" w:rsidRDefault="000656CD" w:rsidP="00B56F90">
      <w:pPr>
        <w:spacing w:after="0" w:line="240" w:lineRule="auto"/>
        <w:jc w:val="both"/>
        <w:rPr>
          <w:rFonts w:ascii="Times New Roman" w:hAnsi="Times New Roman"/>
          <w:color w:val="0070C0"/>
          <w:sz w:val="16"/>
          <w:szCs w:val="16"/>
        </w:rPr>
      </w:pPr>
    </w:p>
    <w:p w14:paraId="3A9F144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3D8B7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06E0C3"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Апрель 1944 г. ИЗ СПРАВКИ ИНСТРУКТОРА ОТДЕЛА БОЕПРИПАСОВ ОБКОМА ВКП(б) А.А. ШАРОВА «ПРОМЫШЛЕННОСТЬ БОЕПРИПАСОВ ЗА 1941 - ПЕРВЫЙ КВАРТАЛ 1944 г.»</w:t>
      </w:r>
    </w:p>
    <w:p w14:paraId="1EE95D54"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Промышленность боеприпасов к началу Великой Отечественной войны была представлена в области всего лишь двумя предприятиями - комбинатом № 179, в то время находящимся в стадии строительства, и тарным заводом «Большевик». Весь товарный выпуск оборонной продукции в июне месяце 1941 года составлял лишь 2 млн. рублей и состоял всего из одной номенклатуры боевых изделий - корпусов 76 мм снарядов. По ведомственному подчинению 10 заводов входят в систему Наркомата боеприпасов (№№65, 136, 325, 386, 556, 564, 635, 677, «Большевик» и комбинат № 179), два завода входят в систему НКПС (завод «МетростроЙ» № 2 и литейно-механические мастерские Мичуринского ПРЗ), один в систему НКСтроя - завод № 10 и один в систему НКВД - ИТК № 5 (завод «Чекист»). В результате восстановления и ввода в строй эвакуированных с запада предприятий, освоения мощностей крупнейшего в области комбината № 179, строительства и пуска ряда новых заводов промышленность боеприпасов области уже с начала 1942 года становится крупнейшей, ведущей отраслью промышленности в области и сейчас по товарному выпуску продукции составляет 42% всей промышленной продукции области. К концу 1943 года месячный выпуск товарной продукции промышленности боеприпасов достигает 140 млн. рублей, а номенклатура насчитывает свыше 40 боевых изделий, причем многие виды боеприпасов производятся в совершенно законченном виде. Наращивание мощностей: За годы Отечественной войны промышленность боеприпасов области выросла более чем в 9 раз. Особенно большой рост мощностей относится к периодам IV квартала 1941 года и первого полугодия 1943 года. В этот период в течение 7—8 месяцев все эвакуированные заводы были пущены в эксплуатацию, и уже к июлю 1942 года мощность промышленности боеприпасов достигает 140 млн. рублей против 21 млн. рублей в июле 1941 года. Освоение и улучшение технологии производства боеприпасов, а также ввод в эксплуатацию новых цехов способствовали дальнейшему наращиванию мощностей, и к декабрю 1943 года промышленность боеприпасов достигла мощности в 186,5 млн. рублей, а к концу первого квартала 1944 года - 196,3 млн. рублей в неизменных ценах. Снаряжательный завод № 635 НКБ прибыл в область в ноябре 1941 года, к марту 1942 года его мощность определилась в 3,6 млн. рублей, к июлю 1942 года - 6,0 млн. рублей, а к марту 1944 года уже превысила 10 млн. рублей. Комбинат № 179, выпускающий 60% всех корпусов снарядов и мин по области, в декабре 1941 </w:t>
      </w:r>
      <w:r w:rsidRPr="00070ADE">
        <w:rPr>
          <w:rFonts w:ascii="Times New Roman" w:hAnsi="Times New Roman"/>
          <w:color w:val="000000" w:themeColor="text1"/>
          <w:sz w:val="16"/>
          <w:szCs w:val="16"/>
        </w:rPr>
        <w:lastRenderedPageBreak/>
        <w:t>года имел мощности 45 млн. рублей, а к марту 1944 года достиг 60 млн. рублей. Рост на 25%. Наращивание мощностей в промышленности боеприпасов обеспечило рост валовой продукции. Однако промышленность боеприпасов области имеет еще огромные неиспользованные резервы мощностей. Это видно хотя бы из того, что среднемесячная валовая продукция в первом квартале 1944 года составила только 151 млн. рублей, тогда как достигнутая мощность в марте 1944 года равна 163,3 млн. рублей. Выпуск товарной продукции за период Отечественной войны вырос в 8,2 раза. Рост выпуска основных видов боеприпасов в натуральном выражении. Начиная с третьего квартала 1943 года, обеспечено у себя в области снаряжение 100% своего выпуска 76 мм снарядов, 100% выпуска 122 мм снарядов, 60% выпуска 152 мм снарядов, а по снаряжению 82 и 120 мм мин дополнительно обслуживаются корпусные заводы, расположенные в других областях Союза. Кроме того, на заводах области производится снаряжение целого ряда новых изделий, в частности снаряжение 57 мм ОФ снарядов, ФАБ-50, сухопутных мин ЯМ-5, а также снаряжение химических шашек ЯФУ и ЯМ-21, корпуса которых производятся также на заводах области. Увеличение выпуска продукции боеприпасов сопровождалось значительным ростом производительности труда на заводах боеприпасов. Об этом свидетельствует тот факт, что выпуск продукции промышленности боеприпасов в области уже в первом полугодии 1942 года по сравнению со вторым полугодием 1941 года увеличился в 6,3 раза, при увеличении численности рабочих за этот же период только в 3,4 раза. Во втором полугодии 1941 года выработка на одного рабочего составляла 10,9 тыс. рублей, во втором полугодии 1943 года она достигает 20,5 тыс. рублей, или увеличивается на 88%. В первом квартале 1944 года производительность труда продолжает расти, и в апреле 1944 года выработка на одного рабочего достигает 4,2 тыс. рублей против среднемесячной выработки на одного рабочего во втором полугодии 1943 года 3,4 тыс. рублей, что составляет рост на 20%. Росту производительности труда в промышленности боеприпасов способствовало быстрое освоение новыми рабочими норм выработки. Так, если число рабочих, не выполняющих нормы выработки, во втором полугодии 1941 года составляло 4 376 человек или 38,5% к общей численности рабочих, то во втором полугодии 1943 года не выполняющих норм - 3 210 человек, или 8,4% к общей численности рабочих, а в первом квартале 1944 года снижено до 5,2%, причем в основной своей массе это ученики, недавно пришедшие на заводы. Особенно значительный рост производительности труда имеют такие предприятия, как завод № 635. Выработка на одного рабочего в первом полугодии 1943 года по этому заводу выросла по сравнению с первым полугодием 1942 года на 156%, а в III квартале 1943 года - на 274%. На комбинате № 179 выработка на одного рабочего во втором полугодии 1943 года достигает 21,1 тыс. рублей, или на 119% выше второго полугодия 1941 года. Ведущее место в промышленности боеприпасов занимает комбинат № 179, выпуск продукции которого составляет около 30% всего выпуска боеприпасов всеми заводами области. В данное время комбинат полностью закончен строительством и работает на полную мощность. В 1943 году за успешное выполнение программы производства боеприпасов комбинат № 179 награжден орденом Ленина. Значительный прирост выпуска продукции дают заводы: №№ 635, 386, 7, «Большевик», ИТК № 5. Однако ряд предприятий боеприпасов работают неудовлетворительно и плохо справляются с выполнением программы. Начиная с января 1944 года, заводы промышленности боеприпасов значительно улучшили свои показатели в деле выполнения установленных им государственных планов. Комбинат № 179 и заводы № 635 и N° 564 в течение двух месяцев подряд удерживали переходящие Красные знамена ЦК ВКП(б); заводы № 677 и № 325 занимают вторые и третьи места во Всесоюзном социалистическом соревновании. Орденом Трудового Красного Знамени награжден снаряжательный завод № 635. В Первомайском рапорте товарищу СТАЛИНУ промышленность боеприпасов области взяла на себя обязательство увеличить выпуск продукции в октябре по сравнению с мартом 1944 года на 36,2 млн. рублей, повысить выработку на одного рабочего на 15%. Следует признать, что обком ВКП(б) многое не доделал по этой отрасли промышленности и не добился до сих пор такого положения, когда установленное задание выполнялось бы всеми заводами и в каждом месяце без исключения. Завод Н° 677 на всем протяжении своей деятельности до января месяца 1944 года систематически срывал выполнение программы. Такое положение на заводе создавалось потому, что Наркомат боеприпасов невнимательно отнесся к нуждам завода, как в момент выделения его из комбината № 179, так и в последующей его работе. Инструментальный и ремонтный цехи создавались в недостроенном и неотапливаемом помещении, рабочей силы и материалов для достройки не выделялось. В первом квартале 1944 года завод выполнял план, однако в апреле и мае месяцах продолжает отставать в силу недостатка в снабжении металлами и еще недостаточно развитой инструментальной базы. Завод № 564 до сих пор не достроен. Несмотря на то, что за последнее время было пять постановлений СНК Союза о достройке завода. Однако строительство его как промышленное, так и жилищное, по существу, законсервировано. Инструментальное и ремонтное производства размещены на площадках валовых цехов, и для расширения возможности не представляется, вследствие чего потребность в инструменте удовлетворяется слабо. Снаряжательные цеха не достроены и снаряжения взрывателей КТМ-1 не производится. Из-за отсутствия жилплощади более 300 рабочих живут в производственных помещениях завода. Вместе с тем в завершении строительства завода кроются еще большие неиспользованные мощности, позволяющие заводу в 1,5 раза увеличить выпуск продукции на том же оборудовании. Завод № 65, начав работать с апреля 1942 года после эвакуации и восстановления, три раза полностью переоснащал производство в связи с изменением номенклатуры изделий. По этой причине завод систематически не выполнял программы. За последнее время завод № 65 улучшил свою работу, однако из-за ряда трудностей в работе плана не выполняет. На заводе имеет место низкий съем с единицы оборудования в силу его изношенности, слабо развитое энергетическое хозяйство (газ и сжатый воздух), не обеспечивающее его потребности, несоответствие между существующим грузопотоком и подъездными железнодорожными путями, ставящее его в постоянную зависимость от комбината № 179, из-за чего систематически срывается нормальное питание полуфабрикатом основных цехов производства. Завод испытывает систематический недостаток в рабочей силе. В мае заводу не хватает до планового количества 1 126 рабочих.</w:t>
      </w:r>
    </w:p>
    <w:p w14:paraId="79AE13BD"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Инструктор отдела промышленности боеприпасов обкома ВКП(б) Шаров</w:t>
      </w:r>
    </w:p>
    <w:p w14:paraId="26382AA7"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ГАНО. Ф. П-4. Оп. 8. Д. 491. Л. 19-30. Незаверенная копия (12160).</w:t>
      </w:r>
    </w:p>
    <w:p w14:paraId="53C91F36" w14:textId="77777777" w:rsidR="00552857" w:rsidRPr="00070ADE" w:rsidRDefault="00552857" w:rsidP="00B56F90">
      <w:pPr>
        <w:spacing w:after="0" w:line="240" w:lineRule="auto"/>
        <w:jc w:val="both"/>
        <w:rPr>
          <w:rFonts w:ascii="Times New Roman" w:hAnsi="Times New Roman"/>
          <w:color w:val="000000" w:themeColor="text1"/>
          <w:sz w:val="16"/>
          <w:szCs w:val="16"/>
        </w:rPr>
      </w:pPr>
    </w:p>
    <w:p w14:paraId="65BF2C96" w14:textId="77777777" w:rsidR="00697996" w:rsidRPr="00070ADE" w:rsidRDefault="00697996"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апреле 1944 года на ЧКЗ продолжалась реорганизация производства. На конвейер встала ещё одна машина — ИСУ-122. Имелись проблемы с подачей деталей цехом МХ-3, критичной была ситуация с катками, траками, кривошипами и некоторыми другими деталями. Попытка перейти на литой трак окончилась неудачей, он не выдержал испытаний. Ощущался острый недостаток в людях, особенно в механических и сборочных цехах.</w:t>
      </w:r>
    </w:p>
    <w:p w14:paraId="721E6BC1" w14:textId="77777777" w:rsidR="00697996" w:rsidRPr="00070ADE" w:rsidRDefault="00697996" w:rsidP="00B56F90">
      <w:pPr>
        <w:pStyle w:val="ae"/>
        <w:shd w:val="clear" w:color="auto" w:fill="FFFFFF"/>
        <w:spacing w:before="0" w:after="0"/>
        <w:jc w:val="both"/>
        <w:rPr>
          <w:color w:val="000000" w:themeColor="text1"/>
          <w:sz w:val="16"/>
          <w:szCs w:val="16"/>
        </w:rPr>
      </w:pPr>
      <w:r w:rsidRPr="00070ADE">
        <w:rPr>
          <w:color w:val="000000" w:themeColor="text1"/>
          <w:sz w:val="16"/>
          <w:szCs w:val="16"/>
        </w:rPr>
        <w:t>Тем не менее оптимизация корпусного производства и другие мероприятия позволили заводу справиться с резко увеличившимся планом. В апреле ЧКЗ сдал 150 ИС-2 и 200 ИСУ (в том числе 70 ИСУ-122). За этот месяц было внедрено 11 различных улучшений конструкции танка. В частности, были усилены буксирные крюки, изменились снарядные укладки.</w:t>
      </w:r>
    </w:p>
    <w:p w14:paraId="1418AF38" w14:textId="77777777" w:rsidR="00697996" w:rsidRPr="00070ADE" w:rsidRDefault="00697996" w:rsidP="00B56F90">
      <w:pPr>
        <w:pStyle w:val="ae"/>
        <w:shd w:val="clear" w:color="auto" w:fill="FFFFFF"/>
        <w:spacing w:before="0" w:after="0"/>
        <w:jc w:val="both"/>
        <w:rPr>
          <w:color w:val="000000" w:themeColor="text1"/>
          <w:sz w:val="16"/>
          <w:szCs w:val="16"/>
        </w:rPr>
      </w:pPr>
      <w:r w:rsidRPr="00070ADE">
        <w:rPr>
          <w:color w:val="000000" w:themeColor="text1"/>
          <w:sz w:val="16"/>
          <w:szCs w:val="16"/>
        </w:rPr>
        <w:t>Работы по монтажу оборудования в механических цехах закончились только 20 мая. Существенным образом на работу в мае повлияло отсутствие задела по деталям. 2/3 месяца завод работал не в полную силу, зато оставшуюся декаду выполнял план в авральном режиме. Для помощи в сборке в цеха было направлено много рабочих с других заводов Челябинска. Разумеется, это повлияло на качество. За май ЧКЗ должен был выпустить 175 ИС-2, 135 ИСУ-152 и 90 ИС-2, последние танки из этого плана были сданы к 4 июня (17721).</w:t>
      </w:r>
    </w:p>
    <w:p w14:paraId="1206C499" w14:textId="77777777" w:rsidR="00697996" w:rsidRPr="00070ADE" w:rsidRDefault="00697996" w:rsidP="00B56F90">
      <w:pPr>
        <w:spacing w:after="0" w:line="240" w:lineRule="auto"/>
        <w:jc w:val="both"/>
        <w:rPr>
          <w:rFonts w:ascii="Times New Roman" w:eastAsia="Times New Roman" w:hAnsi="Times New Roman"/>
          <w:color w:val="000000" w:themeColor="text1"/>
          <w:sz w:val="16"/>
          <w:szCs w:val="16"/>
          <w:lang w:eastAsia="ru-RU"/>
        </w:rPr>
      </w:pPr>
    </w:p>
    <w:p w14:paraId="2DD1D057" w14:textId="77777777" w:rsidR="001C36F9" w:rsidRPr="00C94B78" w:rsidRDefault="001C36F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апреле 1944 года на ЧКЗ продолжалась реорганизация производства, кроме того, на конвейер встала еще одна машина - ИСУ-122. Имелись проблемы с подачей деталей цехом МХ-3, особенно критичной ситуация была с катками, траками, кривошипами и другими деталями. Попытка перейти на литой трак окончилась неудачей, поскольку данная конструкция не выдерживала испытаний. Ощущался острый недостаток в людях, особенно это касалось механических и сборочных цехов. Тем не менее, перенастройка корпусного производства и другие мероприятия стали причиной того, что с резко увеличившейся программой завод справился. За апрель ЧКЗ сдал 150 ИС-2 и 200 ИСУ, из них 70 ИСУ-122. Кроме того, продолжались работы по улучшению конструкции танка. Усилили буксирные крюки, была улучшена конструкция снарядных укладок, всего за апрель внедрили 11 различных улучшений.</w:t>
      </w:r>
    </w:p>
    <w:p w14:paraId="653266A1" w14:textId="77777777" w:rsidR="001C36F9" w:rsidRPr="00C94B78" w:rsidRDefault="001C36F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Параллельно с увеличением объема производства шли работы по улучшению конструкции танка. Всего за апрель ввели 11 различных изменений. Усилили конструкцию буксирных крюков и их защелок, для обеспечения монтажа водяного и масляного насоса ввели новый люк в днище, изменили горловины топливных баков. Улучшению подверглись вентилятор, ввели амортизацию щитка контрольных приборов, улучшили конструкцию замков снарядных укладок. Изменения ввели и в ходовую часть. В связи с частыми случаями набегания гусениц на ведущие колеса поддерживающие катки КВ-34-80, которые ставились еще на КВ-1 выпуска ЧКЗ, заменили на катки по чертежу 237-34-3. Кроме того, на 5 апрельских ИС-2 установили цельноштампованный кривошип ленивца. Также отмечалось, что, несмотря на все трудности, качество отдельных узлов выросло, это касалось, например, КПП и главного фрикциона (25541).</w:t>
      </w:r>
    </w:p>
    <w:p w14:paraId="59982433" w14:textId="77777777" w:rsidR="001C36F9" w:rsidRPr="00C94B78" w:rsidRDefault="001C36F9" w:rsidP="00B56F90">
      <w:pPr>
        <w:spacing w:after="0" w:line="240" w:lineRule="auto"/>
        <w:jc w:val="both"/>
        <w:rPr>
          <w:rFonts w:ascii="Times New Roman" w:hAnsi="Times New Roman"/>
          <w:color w:val="0070C0"/>
          <w:sz w:val="16"/>
          <w:szCs w:val="16"/>
        </w:rPr>
      </w:pPr>
    </w:p>
    <w:p w14:paraId="3CB1A014" w14:textId="77777777" w:rsidR="001C36F9" w:rsidRPr="00C94B78" w:rsidRDefault="001C36F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апреле 1944 года ЧКЗ для ИС и ИСУ суммарно требовалось 370 корпусов, в мае 420, в июне 480, а в июле и августе по 550 штук. При этом на УЗТМ приходилась большая половина из них – 1460 штук за указанный период. Для оптимизации работы на плечи УЗТМ полностью возлагалось обеспечение корпусного производства по ИСУ, тем не менее, и по ИС-122 более чем хватало работы (25541).</w:t>
      </w:r>
    </w:p>
    <w:p w14:paraId="0556FA28" w14:textId="77777777" w:rsidR="001C36F9" w:rsidRPr="00C94B78" w:rsidRDefault="001C36F9" w:rsidP="00B56F90">
      <w:pPr>
        <w:spacing w:after="0" w:line="240" w:lineRule="auto"/>
        <w:jc w:val="both"/>
        <w:rPr>
          <w:rFonts w:ascii="Times New Roman" w:hAnsi="Times New Roman"/>
          <w:color w:val="0070C0"/>
          <w:sz w:val="16"/>
          <w:szCs w:val="16"/>
        </w:rPr>
      </w:pPr>
    </w:p>
    <w:p w14:paraId="28B0DF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был изготовлен первый опытный образец танка "Объект 701" № 0 и прошел длительные заводские испытания, которые вы</w:t>
      </w:r>
      <w:r w:rsidRPr="00070ADE">
        <w:rPr>
          <w:rFonts w:ascii="Times New Roman" w:hAnsi="Times New Roman"/>
          <w:color w:val="000000" w:themeColor="text1"/>
          <w:sz w:val="16"/>
          <w:szCs w:val="16"/>
        </w:rPr>
        <w:softHyphen/>
        <w:t>явили ряд недостатков в конструкции новой машины. В мае - июне 1944 г. завод изготовил еще два опытных танка: № 1 и № 2. После поли</w:t>
      </w:r>
      <w:r w:rsidRPr="00070ADE">
        <w:rPr>
          <w:rFonts w:ascii="Times New Roman" w:hAnsi="Times New Roman"/>
          <w:color w:val="000000" w:themeColor="text1"/>
          <w:sz w:val="16"/>
          <w:szCs w:val="16"/>
        </w:rPr>
        <w:softHyphen/>
        <w:t>гонных испытаний, проведенных Государственной комиссией в Челя</w:t>
      </w:r>
      <w:r w:rsidRPr="00070ADE">
        <w:rPr>
          <w:rFonts w:ascii="Times New Roman" w:hAnsi="Times New Roman"/>
          <w:color w:val="000000" w:themeColor="text1"/>
          <w:sz w:val="16"/>
          <w:szCs w:val="16"/>
        </w:rPr>
        <w:softHyphen/>
        <w:t>бинске, оба танка были демонтированы. С учетом замечаний Государст</w:t>
      </w:r>
      <w:r w:rsidRPr="00070ADE">
        <w:rPr>
          <w:rFonts w:ascii="Times New Roman" w:hAnsi="Times New Roman"/>
          <w:color w:val="000000" w:themeColor="text1"/>
          <w:sz w:val="16"/>
          <w:szCs w:val="16"/>
        </w:rPr>
        <w:softHyphen/>
        <w:t>венной комиссии в сентябре был изготовлен еще один опытный образец танка (№ 4), который после испытаний также был демонтирован. В но</w:t>
      </w:r>
      <w:r w:rsidRPr="00070ADE">
        <w:rPr>
          <w:rFonts w:ascii="Times New Roman" w:hAnsi="Times New Roman"/>
          <w:color w:val="000000" w:themeColor="text1"/>
          <w:sz w:val="16"/>
          <w:szCs w:val="16"/>
        </w:rPr>
        <w:softHyphen/>
        <w:t>ябре 1944 г. завод выпустил два новых опытных образца (№ 5 и 6), ко</w:t>
      </w:r>
      <w:r w:rsidRPr="00070ADE">
        <w:rPr>
          <w:rFonts w:ascii="Times New Roman" w:hAnsi="Times New Roman"/>
          <w:color w:val="000000" w:themeColor="text1"/>
          <w:sz w:val="16"/>
          <w:szCs w:val="16"/>
        </w:rPr>
        <w:softHyphen/>
        <w:t>торые успешно прошли полигонные испытания в декабре 1944 - янва</w:t>
      </w:r>
      <w:r w:rsidRPr="00070ADE">
        <w:rPr>
          <w:rFonts w:ascii="Times New Roman" w:hAnsi="Times New Roman"/>
          <w:color w:val="000000" w:themeColor="text1"/>
          <w:sz w:val="16"/>
          <w:szCs w:val="16"/>
        </w:rPr>
        <w:softHyphen/>
        <w:t>ре 1945 гг. и были рекомендованы к серийному производству (10703).</w:t>
      </w:r>
    </w:p>
    <w:p w14:paraId="247A00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646773" w14:textId="77777777" w:rsidR="00A06A1F" w:rsidRPr="00070ADE" w:rsidRDefault="00A06A1F" w:rsidP="00B56F90">
      <w:pPr>
        <w:shd w:val="clear" w:color="auto" w:fill="FFFFFF"/>
        <w:spacing w:after="0" w:line="240" w:lineRule="auto"/>
        <w:jc w:val="both"/>
        <w:textAlignment w:val="baseline"/>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апреле 1944 года ОКБ завода №100 был разработан проект модернизации ИС-2. Он лёг в основу проекта нового танка, который в апреле 1944 года начали разрабатывать на опытном заводе. Основной движущей силой при разработке модернизированного ИС-2 стало ОКБ опытного завода №100, которым руководил А.С. Ермолаев. При этом работы по модернизации начались ещё раньше, поскольку первые наработки появились до постановления ГКО №5583сс. Более того, поначалу на заводе №100 работали не совсем по модернизации обычного ИС-2. Проект, разработанный под руководством Н.Ф. Шашмурина, создавался по тактико-техническим </w:t>
      </w:r>
      <w:r w:rsidRPr="00070ADE">
        <w:rPr>
          <w:rFonts w:ascii="Times New Roman" w:hAnsi="Times New Roman"/>
          <w:color w:val="000000" w:themeColor="text1"/>
          <w:sz w:val="16"/>
          <w:szCs w:val="16"/>
        </w:rPr>
        <w:lastRenderedPageBreak/>
        <w:t>требованиям на тяжёлый танк с боевой массой 55-56 т — он был скорее не модернизацией ИС-2, а конкурентом более тяжёлого и защищённого Объекта 701. К слову, эти требования подразумевали экипаж из 5 человек — как раз таким он был у проекта модернизации ИС-2 Шашмурина. На основе наработок по данному проекту и создали более известную конструкцию с боевой массой 46 т. У предыдущей разработки позаимствовали корпус с рациональными углами наклона броневых листов, ходовую часть с опорными катками большого диаметра, башню с выемкой орудия через люк в крыше и многое другое (19150).</w:t>
      </w:r>
    </w:p>
    <w:p w14:paraId="61E1A913" w14:textId="77777777" w:rsidR="00A06A1F" w:rsidRPr="00070ADE" w:rsidRDefault="00A06A1F" w:rsidP="00B56F90">
      <w:pPr>
        <w:shd w:val="clear" w:color="auto" w:fill="FFFFFF"/>
        <w:spacing w:after="0" w:line="240" w:lineRule="auto"/>
        <w:jc w:val="both"/>
        <w:textAlignment w:val="baseline"/>
        <w:rPr>
          <w:rFonts w:ascii="Times New Roman" w:hAnsi="Times New Roman"/>
          <w:color w:val="000000" w:themeColor="text1"/>
          <w:sz w:val="16"/>
          <w:szCs w:val="16"/>
        </w:rPr>
      </w:pPr>
    </w:p>
    <w:p w14:paraId="2B720C02" w14:textId="77777777" w:rsidR="007874A2" w:rsidRPr="00070ADE" w:rsidRDefault="007874A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после переустановки башни на корпус прото</w:t>
      </w:r>
      <w:r w:rsidRPr="00070ADE">
        <w:rPr>
          <w:rFonts w:ascii="Times New Roman" w:hAnsi="Times New Roman"/>
          <w:color w:val="000000" w:themeColor="text1"/>
          <w:sz w:val="16"/>
          <w:szCs w:val="16"/>
        </w:rPr>
        <w:softHyphen/>
        <w:t>типа №3, испытания возобновились. Выясни</w:t>
      </w:r>
      <w:r w:rsidRPr="00070ADE">
        <w:rPr>
          <w:rFonts w:ascii="Times New Roman" w:hAnsi="Times New Roman"/>
          <w:color w:val="000000" w:themeColor="text1"/>
          <w:sz w:val="16"/>
          <w:szCs w:val="16"/>
        </w:rPr>
        <w:softHyphen/>
        <w:t>лось, что существенного повышения скоро</w:t>
      </w:r>
      <w:r w:rsidRPr="00070ADE">
        <w:rPr>
          <w:rFonts w:ascii="Times New Roman" w:hAnsi="Times New Roman"/>
          <w:color w:val="000000" w:themeColor="text1"/>
          <w:sz w:val="16"/>
          <w:szCs w:val="16"/>
        </w:rPr>
        <w:softHyphen/>
        <w:t>стрельности за счет унитарного заряжания добиться не удается. Скорострельность составила всего 2-3 выстр./мин. (при раз</w:t>
      </w:r>
      <w:r w:rsidRPr="00070ADE">
        <w:rPr>
          <w:rFonts w:ascii="Times New Roman" w:hAnsi="Times New Roman"/>
          <w:color w:val="000000" w:themeColor="text1"/>
          <w:sz w:val="16"/>
          <w:szCs w:val="16"/>
        </w:rPr>
        <w:softHyphen/>
        <w:t>дельном заряжании - 1 выстр./мин). Боль</w:t>
      </w:r>
      <w:r w:rsidRPr="00070ADE">
        <w:rPr>
          <w:rFonts w:ascii="Times New Roman" w:hAnsi="Times New Roman"/>
          <w:color w:val="000000" w:themeColor="text1"/>
          <w:sz w:val="16"/>
          <w:szCs w:val="16"/>
        </w:rPr>
        <w:softHyphen/>
        <w:t>шая масса и размер унитарного выстрела сильно осложняли работу экипажа. Заряжать пушку из-за ее низкой посадки и недостаточ</w:t>
      </w:r>
      <w:r w:rsidRPr="00070ADE">
        <w:rPr>
          <w:rFonts w:ascii="Times New Roman" w:hAnsi="Times New Roman"/>
          <w:color w:val="000000" w:themeColor="text1"/>
          <w:sz w:val="16"/>
          <w:szCs w:val="16"/>
        </w:rPr>
        <w:softHyphen/>
        <w:t>ного «заднего отрезка» даже в башне с пого</w:t>
      </w:r>
      <w:r w:rsidRPr="00070ADE">
        <w:rPr>
          <w:rFonts w:ascii="Times New Roman" w:hAnsi="Times New Roman"/>
          <w:color w:val="000000" w:themeColor="text1"/>
          <w:sz w:val="16"/>
          <w:szCs w:val="16"/>
        </w:rPr>
        <w:softHyphen/>
        <w:t>ном в 1800 мм было очень сложно. К тому же, боекомплект, составлявший всего 24 выстре</w:t>
      </w:r>
      <w:r w:rsidRPr="00070ADE">
        <w:rPr>
          <w:rFonts w:ascii="Times New Roman" w:hAnsi="Times New Roman"/>
          <w:color w:val="000000" w:themeColor="text1"/>
          <w:sz w:val="16"/>
          <w:szCs w:val="16"/>
        </w:rPr>
        <w:softHyphen/>
        <w:t>ла, сочли явно недостаточным (19935).</w:t>
      </w:r>
    </w:p>
    <w:p w14:paraId="514366EB" w14:textId="77777777" w:rsidR="007874A2" w:rsidRPr="00070ADE" w:rsidRDefault="007874A2" w:rsidP="00B56F90">
      <w:pPr>
        <w:spacing w:after="0" w:line="240" w:lineRule="auto"/>
        <w:jc w:val="both"/>
        <w:rPr>
          <w:rFonts w:ascii="Times New Roman" w:hAnsi="Times New Roman"/>
          <w:color w:val="000000" w:themeColor="text1"/>
          <w:sz w:val="16"/>
          <w:szCs w:val="16"/>
        </w:rPr>
      </w:pPr>
    </w:p>
    <w:p w14:paraId="21D01612" w14:textId="77777777" w:rsidR="007874A2" w:rsidRPr="00070ADE" w:rsidRDefault="007874A2" w:rsidP="00B56F90">
      <w:pPr>
        <w:shd w:val="clear" w:color="auto" w:fill="FFFFFF"/>
        <w:spacing w:after="0" w:line="240" w:lineRule="auto"/>
        <w:jc w:val="both"/>
        <w:rPr>
          <w:rStyle w:val="723"/>
          <w:rFonts w:ascii="Times New Roman" w:hAnsi="Times New Roman" w:cs="Times New Roman"/>
          <w:color w:val="000000" w:themeColor="text1"/>
          <w:sz w:val="16"/>
          <w:szCs w:val="16"/>
        </w:rPr>
      </w:pPr>
      <w:r w:rsidRPr="00070ADE">
        <w:rPr>
          <w:rStyle w:val="712"/>
          <w:rFonts w:ascii="Times New Roman" w:hAnsi="Times New Roman" w:cs="Times New Roman"/>
          <w:color w:val="000000" w:themeColor="text1"/>
          <w:sz w:val="16"/>
          <w:szCs w:val="16"/>
        </w:rPr>
        <w:t>С апреля 1944 года на ИС-2 ставили уже башни четырех заводов, при этом имелись и другие изменения. За апрель было введено 11 различных изменений. Усилили конструкцию буксирных крюков и их защелок, для обес</w:t>
      </w:r>
      <w:r w:rsidRPr="00070ADE">
        <w:rPr>
          <w:rStyle w:val="712"/>
          <w:rFonts w:ascii="Times New Roman" w:hAnsi="Times New Roman" w:cs="Times New Roman"/>
          <w:color w:val="000000" w:themeColor="text1"/>
          <w:sz w:val="16"/>
          <w:szCs w:val="16"/>
        </w:rPr>
        <w:softHyphen/>
        <w:t>печения монтажа водяного и масляного насо</w:t>
      </w:r>
      <w:r w:rsidRPr="00070ADE">
        <w:rPr>
          <w:rStyle w:val="712"/>
          <w:rFonts w:ascii="Times New Roman" w:hAnsi="Times New Roman" w:cs="Times New Roman"/>
          <w:color w:val="000000" w:themeColor="text1"/>
          <w:sz w:val="16"/>
          <w:szCs w:val="16"/>
        </w:rPr>
        <w:softHyphen/>
        <w:t>са ввели новый люк в днище, изменили горло</w:t>
      </w:r>
      <w:r w:rsidRPr="00070ADE">
        <w:rPr>
          <w:rStyle w:val="712"/>
          <w:rFonts w:ascii="Times New Roman" w:hAnsi="Times New Roman" w:cs="Times New Roman"/>
          <w:color w:val="000000" w:themeColor="text1"/>
          <w:sz w:val="16"/>
          <w:szCs w:val="16"/>
        </w:rPr>
        <w:softHyphen/>
        <w:t>вины топливных баков. Улучшению подвер</w:t>
      </w:r>
      <w:r w:rsidRPr="00070ADE">
        <w:rPr>
          <w:rStyle w:val="712"/>
          <w:rFonts w:ascii="Times New Roman" w:hAnsi="Times New Roman" w:cs="Times New Roman"/>
          <w:color w:val="000000" w:themeColor="text1"/>
          <w:sz w:val="16"/>
          <w:szCs w:val="16"/>
        </w:rPr>
        <w:softHyphen/>
        <w:t>глись вентилятор, ввели амортизацию щитка контрольных приборов, улучшили конструк</w:t>
      </w:r>
      <w:r w:rsidRPr="00070ADE">
        <w:rPr>
          <w:rStyle w:val="712"/>
          <w:rFonts w:ascii="Times New Roman" w:hAnsi="Times New Roman" w:cs="Times New Roman"/>
          <w:color w:val="000000" w:themeColor="text1"/>
          <w:sz w:val="16"/>
          <w:szCs w:val="16"/>
        </w:rPr>
        <w:softHyphen/>
        <w:t>цию замков снарядных укладок. В связи с ча</w:t>
      </w:r>
      <w:r w:rsidRPr="00070ADE">
        <w:rPr>
          <w:rStyle w:val="712"/>
          <w:rFonts w:ascii="Times New Roman" w:hAnsi="Times New Roman" w:cs="Times New Roman"/>
          <w:color w:val="000000" w:themeColor="text1"/>
          <w:sz w:val="16"/>
          <w:szCs w:val="16"/>
        </w:rPr>
        <w:softHyphen/>
        <w:t>стыми случаями набегания гусениц на веду</w:t>
      </w:r>
      <w:r w:rsidRPr="00070ADE">
        <w:rPr>
          <w:rStyle w:val="712"/>
          <w:rFonts w:ascii="Times New Roman" w:hAnsi="Times New Roman" w:cs="Times New Roman"/>
          <w:color w:val="000000" w:themeColor="text1"/>
          <w:sz w:val="16"/>
          <w:szCs w:val="16"/>
        </w:rPr>
        <w:softHyphen/>
        <w:t xml:space="preserve">щие колеса, поддерживающие катки КВ-34- 80, которые ставились еще на КВ-1 выпуска ЧКЗ, заменили катками по чертежу 237-34-3. Кроме того, на 5 апрельских ИС-2 установили </w:t>
      </w:r>
      <w:r w:rsidRPr="00070ADE">
        <w:rPr>
          <w:rStyle w:val="723"/>
          <w:rFonts w:ascii="Times New Roman" w:hAnsi="Times New Roman" w:cs="Times New Roman"/>
          <w:color w:val="000000" w:themeColor="text1"/>
          <w:sz w:val="16"/>
          <w:szCs w:val="16"/>
        </w:rPr>
        <w:t>цельноштампованный кривошип ленивца. При этом, несмотря на огромные проблемы, связанные с ростом объема выпуска, завод боролся за повышение качества продукции (19874).</w:t>
      </w:r>
    </w:p>
    <w:p w14:paraId="46EB7C11" w14:textId="77777777" w:rsidR="007874A2" w:rsidRPr="00070ADE" w:rsidRDefault="007874A2" w:rsidP="00B56F90">
      <w:pPr>
        <w:shd w:val="clear" w:color="auto" w:fill="FFFFFF"/>
        <w:spacing w:after="0" w:line="240" w:lineRule="auto"/>
        <w:jc w:val="both"/>
        <w:rPr>
          <w:rFonts w:ascii="Times New Roman" w:hAnsi="Times New Roman"/>
          <w:color w:val="000000" w:themeColor="text1"/>
          <w:sz w:val="16"/>
          <w:szCs w:val="16"/>
        </w:rPr>
      </w:pPr>
    </w:p>
    <w:p w14:paraId="5303759C" w14:textId="77777777" w:rsidR="007874A2" w:rsidRPr="00070ADE" w:rsidRDefault="007874A2" w:rsidP="00B56F90">
      <w:pPr>
        <w:pStyle w:val="1131"/>
        <w:shd w:val="clear" w:color="auto" w:fill="auto"/>
        <w:spacing w:line="240" w:lineRule="auto"/>
        <w:ind w:firstLine="0"/>
        <w:rPr>
          <w:rFonts w:ascii="Times New Roman" w:hAnsi="Times New Roman" w:cs="Times New Roman"/>
          <w:color w:val="000000" w:themeColor="text1"/>
          <w:sz w:val="16"/>
          <w:szCs w:val="16"/>
          <w:lang w:val="ru-RU"/>
        </w:rPr>
      </w:pPr>
      <w:r w:rsidRPr="00070ADE">
        <w:rPr>
          <w:rStyle w:val="600"/>
          <w:rFonts w:ascii="Times New Roman" w:hAnsi="Times New Roman" w:cs="Times New Roman"/>
          <w:color w:val="000000" w:themeColor="text1"/>
          <w:sz w:val="16"/>
          <w:szCs w:val="16"/>
        </w:rPr>
        <w:t>В апреле 1944 года ОКБ завода № 100</w:t>
      </w:r>
      <w:r w:rsidRPr="00070ADE">
        <w:rPr>
          <w:rStyle w:val="600"/>
          <w:rFonts w:ascii="Times New Roman" w:hAnsi="Times New Roman" w:cs="Times New Roman"/>
          <w:color w:val="000000" w:themeColor="text1"/>
          <w:sz w:val="16"/>
          <w:szCs w:val="16"/>
          <w:lang w:val="ru-RU"/>
        </w:rPr>
        <w:t xml:space="preserve"> </w:t>
      </w:r>
      <w:r w:rsidRPr="00070ADE">
        <w:rPr>
          <w:rStyle w:val="600"/>
          <w:rFonts w:ascii="Times New Roman" w:hAnsi="Times New Roman" w:cs="Times New Roman"/>
          <w:color w:val="000000" w:themeColor="text1"/>
          <w:sz w:val="16"/>
          <w:szCs w:val="16"/>
        </w:rPr>
        <w:t>были подготовлены чертежи новой башни, у кото</w:t>
      </w:r>
      <w:r w:rsidRPr="00070ADE">
        <w:rPr>
          <w:rStyle w:val="600"/>
          <w:rFonts w:ascii="Times New Roman" w:hAnsi="Times New Roman" w:cs="Times New Roman"/>
          <w:color w:val="000000" w:themeColor="text1"/>
          <w:sz w:val="16"/>
          <w:szCs w:val="16"/>
        </w:rPr>
        <w:softHyphen/>
        <w:t>рой орудие вынималось через верхний люк, а толщина брони увеличилась. Также к 18 апреля на заводе № 100 подготовили доку</w:t>
      </w:r>
      <w:r w:rsidRPr="00070ADE">
        <w:rPr>
          <w:rStyle w:val="600"/>
          <w:rFonts w:ascii="Times New Roman" w:hAnsi="Times New Roman" w:cs="Times New Roman"/>
          <w:color w:val="000000" w:themeColor="text1"/>
          <w:sz w:val="16"/>
          <w:szCs w:val="16"/>
        </w:rPr>
        <w:softHyphen/>
        <w:t>ментацию по танку большой модернизации, имевшему массу отличий от ИС-2. Модерни</w:t>
      </w:r>
      <w:r w:rsidRPr="00070ADE">
        <w:rPr>
          <w:rStyle w:val="600"/>
          <w:rFonts w:ascii="Times New Roman" w:hAnsi="Times New Roman" w:cs="Times New Roman"/>
          <w:color w:val="000000" w:themeColor="text1"/>
          <w:sz w:val="16"/>
          <w:szCs w:val="16"/>
        </w:rPr>
        <w:softHyphen/>
        <w:t>зированная версия танка должна была иметь боевую массу 46-47 тонн. Полностью перепроектировали корпус: его форма стала больше напоминать летающую тарел</w:t>
      </w:r>
      <w:r w:rsidRPr="00070ADE">
        <w:rPr>
          <w:rStyle w:val="600"/>
          <w:rFonts w:ascii="Times New Roman" w:hAnsi="Times New Roman" w:cs="Times New Roman"/>
          <w:color w:val="000000" w:themeColor="text1"/>
          <w:sz w:val="16"/>
          <w:szCs w:val="16"/>
        </w:rPr>
        <w:softHyphen/>
        <w:t>ку, при этом убирался смотровой лючок в ло</w:t>
      </w:r>
      <w:r w:rsidRPr="00070ADE">
        <w:rPr>
          <w:rStyle w:val="600"/>
          <w:rFonts w:ascii="Times New Roman" w:hAnsi="Times New Roman" w:cs="Times New Roman"/>
          <w:color w:val="000000" w:themeColor="text1"/>
          <w:sz w:val="16"/>
          <w:szCs w:val="16"/>
        </w:rPr>
        <w:softHyphen/>
        <w:t>бовом листе корпуса. Толщина лобового листа достигала 120 мм, такая же толщина была и у бортов. Существенно переделыва</w:t>
      </w:r>
      <w:r w:rsidRPr="00070ADE">
        <w:rPr>
          <w:rStyle w:val="600"/>
          <w:rFonts w:ascii="Times New Roman" w:hAnsi="Times New Roman" w:cs="Times New Roman"/>
          <w:color w:val="000000" w:themeColor="text1"/>
          <w:sz w:val="16"/>
          <w:szCs w:val="16"/>
        </w:rPr>
        <w:softHyphen/>
        <w:t>лась и башня, лоб и борта которой усилива</w:t>
      </w:r>
      <w:r w:rsidRPr="00070ADE">
        <w:rPr>
          <w:rStyle w:val="600"/>
          <w:rFonts w:ascii="Times New Roman" w:hAnsi="Times New Roman" w:cs="Times New Roman"/>
          <w:color w:val="000000" w:themeColor="text1"/>
          <w:sz w:val="16"/>
          <w:szCs w:val="16"/>
        </w:rPr>
        <w:softHyphen/>
        <w:t>лись до 150 мм. Но...</w:t>
      </w:r>
      <w:r w:rsidRPr="00070ADE">
        <w:rPr>
          <w:rStyle w:val="612"/>
          <w:rFonts w:ascii="Times New Roman" w:hAnsi="Times New Roman" w:cs="Times New Roman"/>
          <w:color w:val="000000" w:themeColor="text1"/>
          <w:sz w:val="16"/>
          <w:szCs w:val="16"/>
        </w:rPr>
        <w:t xml:space="preserve"> </w:t>
      </w:r>
      <w:r w:rsidRPr="00070ADE">
        <w:rPr>
          <w:rStyle w:val="600"/>
          <w:rFonts w:ascii="Times New Roman" w:hAnsi="Times New Roman" w:cs="Times New Roman"/>
          <w:color w:val="000000" w:themeColor="text1"/>
          <w:sz w:val="16"/>
          <w:szCs w:val="16"/>
        </w:rPr>
        <w:t>во все том же апреле завод № 100 начал тайно, с санкции Ж.Я. Ко</w:t>
      </w:r>
      <w:r w:rsidRPr="00070ADE">
        <w:rPr>
          <w:rStyle w:val="600"/>
          <w:rFonts w:ascii="Times New Roman" w:hAnsi="Times New Roman" w:cs="Times New Roman"/>
          <w:color w:val="000000" w:themeColor="text1"/>
          <w:sz w:val="16"/>
          <w:szCs w:val="16"/>
        </w:rPr>
        <w:softHyphen/>
        <w:t>тина, разрабатывать конкурента «Объекта 701» - позже эту машину «легализовали» под обозначением ИС-6. Что же касается «большой модернизации» ИС-2, то она по</w:t>
      </w:r>
      <w:r w:rsidRPr="00070ADE">
        <w:rPr>
          <w:rStyle w:val="600"/>
          <w:rFonts w:ascii="Times New Roman" w:hAnsi="Times New Roman" w:cs="Times New Roman"/>
          <w:color w:val="000000" w:themeColor="text1"/>
          <w:sz w:val="16"/>
          <w:szCs w:val="16"/>
        </w:rPr>
        <w:softHyphen/>
        <w:t>просту заглохла</w:t>
      </w:r>
      <w:r w:rsidRPr="00070ADE">
        <w:rPr>
          <w:rStyle w:val="600"/>
          <w:rFonts w:ascii="Times New Roman" w:hAnsi="Times New Roman" w:cs="Times New Roman"/>
          <w:color w:val="000000" w:themeColor="text1"/>
          <w:sz w:val="16"/>
          <w:szCs w:val="16"/>
          <w:lang w:val="ru-RU"/>
        </w:rPr>
        <w:t>.</w:t>
      </w:r>
    </w:p>
    <w:p w14:paraId="46C3CEEB" w14:textId="77777777" w:rsidR="007874A2" w:rsidRPr="00070ADE" w:rsidRDefault="007874A2" w:rsidP="00B56F90">
      <w:pPr>
        <w:pStyle w:val="113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Несмотря на столь странные действия опытного завода № 100, модернизация ИС-2 все же состоялась, но совсем в другом объеме. Да и занималось ей ОГК-ТП ЧКЗ, где работа над модернизированным корпусом серийного ИС-2 закипела сразу после появления приказа по НКТП № 226. (ЧКЗ - Челябинский Киров</w:t>
      </w:r>
      <w:r w:rsidRPr="00070ADE">
        <w:rPr>
          <w:rFonts w:ascii="Times New Roman" w:hAnsi="Times New Roman" w:cs="Times New Roman"/>
          <w:color w:val="000000" w:themeColor="text1"/>
          <w:sz w:val="16"/>
          <w:szCs w:val="16"/>
        </w:rPr>
        <w:softHyphen/>
        <w:t>ский завод или полностью: «Кировский завод Наркомата танковой промышленности в горо</w:t>
      </w:r>
      <w:r w:rsidRPr="00070ADE">
        <w:rPr>
          <w:rFonts w:ascii="Times New Roman" w:hAnsi="Times New Roman" w:cs="Times New Roman"/>
          <w:color w:val="000000" w:themeColor="text1"/>
          <w:sz w:val="16"/>
          <w:szCs w:val="16"/>
        </w:rPr>
        <w:softHyphen/>
        <w:t>де Челябинске». Такое название носил трак</w:t>
      </w:r>
      <w:r w:rsidRPr="00070ADE">
        <w:rPr>
          <w:rFonts w:ascii="Times New Roman" w:hAnsi="Times New Roman" w:cs="Times New Roman"/>
          <w:color w:val="000000" w:themeColor="text1"/>
          <w:sz w:val="16"/>
          <w:szCs w:val="16"/>
        </w:rPr>
        <w:softHyphen/>
        <w:t>торный завод ЧТЗ с 6 октября 1941 года после эвакуации на его площади харьковского ди</w:t>
      </w:r>
      <w:r w:rsidRPr="00070ADE">
        <w:rPr>
          <w:rFonts w:ascii="Times New Roman" w:hAnsi="Times New Roman" w:cs="Times New Roman"/>
          <w:color w:val="000000" w:themeColor="text1"/>
          <w:sz w:val="16"/>
          <w:szCs w:val="16"/>
        </w:rPr>
        <w:softHyphen/>
        <w:t>зель-моторного и ленинградского Кировского заводов). ИС-2 здесь занялись в первую оче</w:t>
      </w:r>
      <w:r w:rsidRPr="00070ADE">
        <w:rPr>
          <w:rFonts w:ascii="Times New Roman" w:hAnsi="Times New Roman" w:cs="Times New Roman"/>
          <w:color w:val="000000" w:themeColor="text1"/>
          <w:sz w:val="16"/>
          <w:szCs w:val="16"/>
        </w:rPr>
        <w:softHyphen/>
        <w:t>редь: согласно утвержденному ГБТУ КА «Пе</w:t>
      </w:r>
      <w:r w:rsidRPr="00070ADE">
        <w:rPr>
          <w:rFonts w:ascii="Times New Roman" w:hAnsi="Times New Roman" w:cs="Times New Roman"/>
          <w:color w:val="000000" w:themeColor="text1"/>
          <w:sz w:val="16"/>
          <w:szCs w:val="16"/>
        </w:rPr>
        <w:softHyphen/>
        <w:t>речню мероприятий по улучшению качества танка ИС», литую конструкцию носовой части требовалось заменить сварной</w:t>
      </w:r>
      <w:r w:rsidRPr="00070ADE">
        <w:rPr>
          <w:rFonts w:ascii="Times New Roman" w:hAnsi="Times New Roman" w:cs="Times New Roman"/>
          <w:color w:val="000000" w:themeColor="text1"/>
          <w:sz w:val="16"/>
          <w:szCs w:val="16"/>
          <w:lang w:val="ru-RU"/>
        </w:rPr>
        <w:t xml:space="preserve"> (19880)</w:t>
      </w:r>
      <w:r w:rsidRPr="00070ADE">
        <w:rPr>
          <w:rFonts w:ascii="Times New Roman" w:hAnsi="Times New Roman" w:cs="Times New Roman"/>
          <w:color w:val="000000" w:themeColor="text1"/>
          <w:sz w:val="16"/>
          <w:szCs w:val="16"/>
        </w:rPr>
        <w:t xml:space="preserve">. </w:t>
      </w:r>
    </w:p>
    <w:p w14:paraId="60E5E0C4" w14:textId="77777777" w:rsidR="007874A2" w:rsidRPr="00070ADE" w:rsidRDefault="007874A2" w:rsidP="00B56F90">
      <w:pPr>
        <w:pStyle w:val="1131"/>
        <w:shd w:val="clear" w:color="auto" w:fill="auto"/>
        <w:spacing w:line="240" w:lineRule="auto"/>
        <w:ind w:firstLine="0"/>
        <w:rPr>
          <w:rFonts w:ascii="Times New Roman" w:hAnsi="Times New Roman" w:cs="Times New Roman"/>
          <w:color w:val="000000" w:themeColor="text1"/>
          <w:sz w:val="16"/>
          <w:szCs w:val="16"/>
        </w:rPr>
      </w:pPr>
    </w:p>
    <w:p w14:paraId="33D4CC95" w14:textId="77777777" w:rsidR="001C36F9" w:rsidRPr="00C94B78" w:rsidRDefault="001C36F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апреле 1944 года сформировался проект "большой модернизации ИС-2", разработанный под руководством А.С. Ермолаева,. Если посмотреть на данный проект внимательно, возникает закономерный вопрос - а что там вообще осталось от ИС-2. На практике получился новый танк, пересекавшийся с ИС-2 только по орудию, моторно-трансмиссионной группе и отчасти по подвеске. Появившийся под конец 1944 года «Кировец-1» в этом смысле был гораздо ближе к ИС-2. Тут же даже ходовая часть несколько отличалась. Вполне возможно, что именно это далее дало основание ОКБ завода №100 начать работу над новым танком. А вот с "большой модернизацией" ИС-2 история оказалась крайне занятной. К концу апреля 1944 года была проработана техническая документация, изготовлено несколько деревянных моделей, и… И на этом всё закончилось. Как отрезали (25682).</w:t>
      </w:r>
    </w:p>
    <w:p w14:paraId="05B9469A" w14:textId="77777777" w:rsidR="001C36F9" w:rsidRPr="00C94B78" w:rsidRDefault="001C36F9" w:rsidP="00B56F90">
      <w:pPr>
        <w:spacing w:after="0" w:line="240" w:lineRule="auto"/>
        <w:jc w:val="both"/>
        <w:rPr>
          <w:rFonts w:ascii="Times New Roman" w:hAnsi="Times New Roman"/>
          <w:color w:val="0070C0"/>
          <w:sz w:val="16"/>
          <w:szCs w:val="16"/>
        </w:rPr>
      </w:pPr>
    </w:p>
    <w:p w14:paraId="2FD62696" w14:textId="77777777" w:rsidR="001C36F9" w:rsidRPr="00C94B78" w:rsidRDefault="001C36F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апреле 1944 года на заводе № 100 начались активные работы по ИС-6, а уже в начале июня он был представлен в НКТП. Подход Котина оказался верным: к тому моменту эскизный проект танка был достаточно серьёзно проработан. Изменилось и вооружение: предусматривалась более мощная орудийная система. Как и Д-25Т, она имела калибр 122 мм, но должна была иметь начальную скорость 850-900 м/с. Правда, на тот момент таких орудий в наличии еще не было, тем не менее, в планах повышение начальной скорости 122-мм орудий вполне имелось. 6 июня 1944 года Малышев подписал приказ по НКТП №379сс, в котором он впервые официально именовался как ИС-6. По планам, 1 июля ожидалось изготовление рабочей документации по корпусам и башням танка с механической трансмиссии, а к 15 числу – чертежи оставшихся агрегатов. Корпусным производством занимался УЗТМ, который к 25 июля 1944 года подавал два корпуса и две башни. Сроком изготовления танков указывалось 25 августа 1944 года (25682).</w:t>
      </w:r>
    </w:p>
    <w:p w14:paraId="45931B83" w14:textId="77777777" w:rsidR="001C36F9" w:rsidRPr="00C94B78" w:rsidRDefault="001C36F9" w:rsidP="00B56F90">
      <w:pPr>
        <w:spacing w:after="0" w:line="240" w:lineRule="auto"/>
        <w:jc w:val="both"/>
        <w:rPr>
          <w:rFonts w:ascii="Times New Roman" w:hAnsi="Times New Roman"/>
          <w:color w:val="0070C0"/>
          <w:sz w:val="16"/>
          <w:szCs w:val="16"/>
        </w:rPr>
      </w:pPr>
    </w:p>
    <w:p w14:paraId="29203950" w14:textId="77777777" w:rsidR="00D4630C" w:rsidRPr="00070ADE" w:rsidRDefault="00D4630C" w:rsidP="00B56F90">
      <w:pPr>
        <w:pStyle w:val="ae"/>
        <w:shd w:val="clear" w:color="auto" w:fill="FFFFFF"/>
        <w:spacing w:before="0" w:after="0"/>
        <w:jc w:val="both"/>
        <w:rPr>
          <w:iCs/>
          <w:color w:val="000000" w:themeColor="text1"/>
          <w:sz w:val="16"/>
          <w:szCs w:val="16"/>
        </w:rPr>
      </w:pPr>
      <w:r w:rsidRPr="00070ADE">
        <w:rPr>
          <w:iCs/>
          <w:color w:val="000000" w:themeColor="text1"/>
          <w:sz w:val="16"/>
          <w:szCs w:val="16"/>
        </w:rPr>
        <w:t>В апреле 1944 года, вступив в обязанности старшего военпреда ТУ ГБТУ КА на заводе №100, Вовк докладывал, что его работа на заводе затруднена тем обстоятельством, что руководство завода все время скрывает от него все те опытные работы, которые вновь прорабатываются на заводе. На первых порах моей работы эта скрытность была выражена в форме организации особой комнаты, куда вход был разрешен т. Котиным по особому списку, куда я включен не был (в то время от меня скрывалось проектирование танка ИС-6) (17209).</w:t>
      </w:r>
    </w:p>
    <w:p w14:paraId="54436BC2" w14:textId="77777777" w:rsidR="00D4630C" w:rsidRPr="00070ADE" w:rsidRDefault="00D4630C" w:rsidP="00B56F90">
      <w:pPr>
        <w:pStyle w:val="ae"/>
        <w:shd w:val="clear" w:color="auto" w:fill="FFFFFF"/>
        <w:spacing w:before="0" w:after="0"/>
        <w:jc w:val="both"/>
        <w:rPr>
          <w:color w:val="000000" w:themeColor="text1"/>
          <w:sz w:val="16"/>
          <w:szCs w:val="16"/>
        </w:rPr>
      </w:pPr>
    </w:p>
    <w:p w14:paraId="3989C6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w:t>
      </w:r>
      <w:r w:rsidRPr="00070ADE">
        <w:rPr>
          <w:rFonts w:ascii="Times New Roman" w:hAnsi="Times New Roman"/>
          <w:color w:val="000000" w:themeColor="text1"/>
          <w:sz w:val="16"/>
          <w:szCs w:val="16"/>
        </w:rPr>
        <w:softHyphen/>
        <w:t>ле 1944 г. был изготовлен первый образец нового танка (№ 0), названного по номеру заказа, "Объект 701" с пушкой Д-25 и двигателем В-12 и до 15 июня 1944 г. был подвергнут длительным заводским испытаниям. В апреле - мае 1944 г. ЧКЗ изготовил два новых образца танка (№ 1 и 2) и к 1 июля предъявил их на полигонные испытания, ко</w:t>
      </w:r>
      <w:r w:rsidRPr="00070ADE">
        <w:rPr>
          <w:rFonts w:ascii="Times New Roman" w:hAnsi="Times New Roman"/>
          <w:color w:val="000000" w:themeColor="text1"/>
          <w:sz w:val="16"/>
          <w:szCs w:val="16"/>
        </w:rPr>
        <w:softHyphen/>
        <w:t>торые проходили в районе Челябинска с 1 июля по 15 августа 1944 г. под председательством начальника ГБТУ генерал-лейтенанта танковых войск Б.Г. Вершинина (10703).</w:t>
      </w:r>
    </w:p>
    <w:p w14:paraId="75807D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4E08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ЧКЗ, также как и завод № 183, получил новые зубодолбежные и агрегатные станки, а в мае - груп</w:t>
      </w:r>
      <w:r w:rsidRPr="00070ADE">
        <w:rPr>
          <w:rFonts w:ascii="Times New Roman" w:hAnsi="Times New Roman"/>
          <w:color w:val="000000" w:themeColor="text1"/>
          <w:sz w:val="16"/>
          <w:szCs w:val="16"/>
        </w:rPr>
        <w:softHyphen/>
        <w:t>пу технологов - выпускников МВТУ им. Баумана и не</w:t>
      </w:r>
      <w:r w:rsidRPr="00070ADE">
        <w:rPr>
          <w:rFonts w:ascii="Times New Roman" w:hAnsi="Times New Roman"/>
          <w:color w:val="000000" w:themeColor="text1"/>
          <w:sz w:val="16"/>
          <w:szCs w:val="16"/>
        </w:rPr>
        <w:softHyphen/>
        <w:t>сколько выходцев бронетанковой академии.</w:t>
      </w:r>
    </w:p>
    <w:p w14:paraId="159A8E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в первом квартале 1944 г. заводом было предъявле</w:t>
      </w:r>
      <w:r w:rsidRPr="00070ADE">
        <w:rPr>
          <w:rFonts w:ascii="Times New Roman" w:hAnsi="Times New Roman"/>
          <w:color w:val="000000" w:themeColor="text1"/>
          <w:sz w:val="16"/>
          <w:szCs w:val="16"/>
        </w:rPr>
        <w:softHyphen/>
        <w:t>но НИБТ полигону 6 танков ИС-122, но испытаний они не выдержали. Правда, к лету стало очевидно, что качество се</w:t>
      </w:r>
      <w:r w:rsidRPr="00070ADE">
        <w:rPr>
          <w:rFonts w:ascii="Times New Roman" w:hAnsi="Times New Roman"/>
          <w:color w:val="000000" w:themeColor="text1"/>
          <w:sz w:val="16"/>
          <w:szCs w:val="16"/>
        </w:rPr>
        <w:softHyphen/>
        <w:t>рийно выпускаемых танков пусть медленно, но неуклонно повышается, но лишь в августе все смогли перевести дух — первый танк прошел гарантийные испытания без дефектов. За полгода технологам и конструкторам ЧКЗ удалось значи</w:t>
      </w:r>
      <w:r w:rsidRPr="00070ADE">
        <w:rPr>
          <w:rFonts w:ascii="Times New Roman" w:hAnsi="Times New Roman"/>
          <w:color w:val="000000" w:themeColor="text1"/>
          <w:sz w:val="16"/>
          <w:szCs w:val="16"/>
        </w:rPr>
        <w:softHyphen/>
        <w:t>тельно повысить качество и надежность механизмов ИС-122, а двигателисты наконец преодолели порог работоспособнос</w:t>
      </w:r>
      <w:r w:rsidRPr="00070ADE">
        <w:rPr>
          <w:rFonts w:ascii="Times New Roman" w:hAnsi="Times New Roman"/>
          <w:color w:val="000000" w:themeColor="text1"/>
          <w:sz w:val="16"/>
          <w:szCs w:val="16"/>
        </w:rPr>
        <w:softHyphen/>
        <w:t>ти серийного двигателя В-2-ИС в 200 моточасов.</w:t>
      </w:r>
    </w:p>
    <w:p w14:paraId="6548DE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наведение порядка с механизмами и вооружением еще не сделало танк ИС-2 тем танком Победы, который с любовью вспоминали ветераны (11135).</w:t>
      </w:r>
    </w:p>
    <w:p w14:paraId="379AC9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2E78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эскизный проект машины, первоначально названной ЭСУ-100, был одобрен к исполнению на пленуме НКТП. Он разрабатывался с середины марта 1944 г. В те</w:t>
      </w:r>
      <w:r w:rsidRPr="00070ADE">
        <w:rPr>
          <w:rFonts w:ascii="Times New Roman" w:hAnsi="Times New Roman"/>
          <w:color w:val="000000" w:themeColor="text1"/>
          <w:sz w:val="16"/>
          <w:szCs w:val="16"/>
        </w:rPr>
        <w:softHyphen/>
        <w:t>чение месяца были спроектированы ее основные узлы: бронекорпус, подвеска на торсионных валах с использованием опорных катков Т-34, электротрансмиссия, боевое отделение под 85-мм орудие большой мощности и 100-мм орудие Д-10 (11417)</w:t>
      </w:r>
    </w:p>
    <w:p w14:paraId="39D368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E6867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апреля 1944 г. Т-34 вооружались 76,2-мм танковой пушкой Ф-34. До появления у противника тяжелых танков Т-VI "Тигр I" и Т-У "Пантера" с мощной броневой защитой пуш</w:t>
      </w:r>
      <w:r w:rsidRPr="00070ADE">
        <w:rPr>
          <w:rFonts w:ascii="Times New Roman" w:hAnsi="Times New Roman"/>
          <w:color w:val="000000" w:themeColor="text1"/>
          <w:sz w:val="16"/>
          <w:szCs w:val="16"/>
        </w:rPr>
        <w:softHyphen/>
        <w:t>ка Ф-34 надежно решала возложенные на нее задачи (10703). Пушка состояла из ствола, затвора с полуавтоматикой, люльки, про</w:t>
      </w:r>
      <w:r w:rsidRPr="00070ADE">
        <w:rPr>
          <w:rFonts w:ascii="Times New Roman" w:hAnsi="Times New Roman"/>
          <w:color w:val="000000" w:themeColor="text1"/>
          <w:sz w:val="16"/>
          <w:szCs w:val="16"/>
        </w:rPr>
        <w:softHyphen/>
        <w:t>тивооткатных устройств, спусковых механизмов, гильзоулавливателя, подъемного механизма, стопора крепления пушки по-походному, при</w:t>
      </w:r>
      <w:r w:rsidRPr="00070ADE">
        <w:rPr>
          <w:rFonts w:ascii="Times New Roman" w:hAnsi="Times New Roman"/>
          <w:color w:val="000000" w:themeColor="text1"/>
          <w:sz w:val="16"/>
          <w:szCs w:val="16"/>
        </w:rPr>
        <w:softHyphen/>
        <w:t>вода к перископическому прицелу и уравновешивающего груза, наде</w:t>
      </w:r>
      <w:r w:rsidRPr="00070ADE">
        <w:rPr>
          <w:rFonts w:ascii="Times New Roman" w:hAnsi="Times New Roman"/>
          <w:color w:val="000000" w:themeColor="text1"/>
          <w:sz w:val="16"/>
          <w:szCs w:val="16"/>
        </w:rPr>
        <w:softHyphen/>
        <w:t>вавшегося на кронштейн гильзоулавливателя. Масса качающейся части пушки была около 1155 кг. Полная длина ствола составляла 41,5 калиб</w:t>
      </w:r>
      <w:r w:rsidRPr="00070ADE">
        <w:rPr>
          <w:rFonts w:ascii="Times New Roman" w:hAnsi="Times New Roman"/>
          <w:color w:val="000000" w:themeColor="text1"/>
          <w:sz w:val="16"/>
          <w:szCs w:val="16"/>
        </w:rPr>
        <w:softHyphen/>
        <w:t>ра, а длина нарезной части - 33,6 калибра. Наибольшее давление поро</w:t>
      </w:r>
      <w:r w:rsidRPr="00070ADE">
        <w:rPr>
          <w:rFonts w:ascii="Times New Roman" w:hAnsi="Times New Roman"/>
          <w:color w:val="000000" w:themeColor="text1"/>
          <w:sz w:val="16"/>
          <w:szCs w:val="16"/>
        </w:rPr>
        <w:softHyphen/>
        <w:t>ховых газов в канале ствола достигало 2314 кгс/см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 Затвор с опускавшимся вниз клином имел полуавтоматику механи</w:t>
      </w:r>
      <w:r w:rsidRPr="00070ADE">
        <w:rPr>
          <w:rFonts w:ascii="Times New Roman" w:hAnsi="Times New Roman"/>
          <w:color w:val="000000" w:themeColor="text1"/>
          <w:sz w:val="16"/>
          <w:szCs w:val="16"/>
        </w:rPr>
        <w:softHyphen/>
        <w:t>ческого копирного типа. Клин затвора был выполнен в виде четырех</w:t>
      </w:r>
      <w:r w:rsidRPr="00070ADE">
        <w:rPr>
          <w:rFonts w:ascii="Times New Roman" w:hAnsi="Times New Roman"/>
          <w:color w:val="000000" w:themeColor="text1"/>
          <w:sz w:val="16"/>
          <w:szCs w:val="16"/>
        </w:rPr>
        <w:softHyphen/>
        <w:t>гранной призмы с углублением (лотком) сверху для направления выст</w:t>
      </w:r>
      <w:r w:rsidRPr="00070ADE">
        <w:rPr>
          <w:rFonts w:ascii="Times New Roman" w:hAnsi="Times New Roman"/>
          <w:color w:val="000000" w:themeColor="text1"/>
          <w:sz w:val="16"/>
          <w:szCs w:val="16"/>
        </w:rPr>
        <w:softHyphen/>
        <w:t>рела при заряжании. В центральном гнезде клина размещался ударный механизм, предназначавшийся для производства выстрела при воздей</w:t>
      </w:r>
      <w:r w:rsidRPr="00070ADE">
        <w:rPr>
          <w:rFonts w:ascii="Times New Roman" w:hAnsi="Times New Roman"/>
          <w:color w:val="000000" w:themeColor="text1"/>
          <w:sz w:val="16"/>
          <w:szCs w:val="16"/>
        </w:rPr>
        <w:softHyphen/>
        <w:t>ствии на ручной или ножной спусковые механизмы. Ручной спуск пуш</w:t>
      </w:r>
      <w:r w:rsidRPr="00070ADE">
        <w:rPr>
          <w:rFonts w:ascii="Times New Roman" w:hAnsi="Times New Roman"/>
          <w:color w:val="000000" w:themeColor="text1"/>
          <w:sz w:val="16"/>
          <w:szCs w:val="16"/>
        </w:rPr>
        <w:softHyphen/>
        <w:t>ки был смонтирован на щитке ограждения, привернутом винтами к ле</w:t>
      </w:r>
      <w:r w:rsidRPr="00070ADE">
        <w:rPr>
          <w:rFonts w:ascii="Times New Roman" w:hAnsi="Times New Roman"/>
          <w:color w:val="000000" w:themeColor="text1"/>
          <w:sz w:val="16"/>
          <w:szCs w:val="16"/>
        </w:rPr>
        <w:softHyphen/>
        <w:t>вой стороне люльки. Спуск ударника происходил при нажатии рукой на лопатку рычага ручного спуска. Ножной спуск пушки располагался на штанге и состоял из педали, троса в гибкой оболочке и стержня с гай</w:t>
      </w:r>
      <w:r w:rsidRPr="00070ADE">
        <w:rPr>
          <w:rFonts w:ascii="Times New Roman" w:hAnsi="Times New Roman"/>
          <w:color w:val="000000" w:themeColor="text1"/>
          <w:sz w:val="16"/>
          <w:szCs w:val="16"/>
        </w:rPr>
        <w:softHyphen/>
        <w:t>кой. При нажатии на левую педаль, трос перемещался вниз и тянул гай</w:t>
      </w:r>
      <w:r w:rsidRPr="00070ADE">
        <w:rPr>
          <w:rFonts w:ascii="Times New Roman" w:hAnsi="Times New Roman"/>
          <w:color w:val="000000" w:themeColor="text1"/>
          <w:sz w:val="16"/>
          <w:szCs w:val="16"/>
        </w:rPr>
        <w:softHyphen/>
        <w:t>ку, навинченную на стержень, который в свою очередь воздействовал на спуск ударника. Основанием качающейся части пушки являлась люлька, короб кото</w:t>
      </w:r>
      <w:r w:rsidRPr="00070ADE">
        <w:rPr>
          <w:rFonts w:ascii="Times New Roman" w:hAnsi="Times New Roman"/>
          <w:color w:val="000000" w:themeColor="text1"/>
          <w:sz w:val="16"/>
          <w:szCs w:val="16"/>
        </w:rPr>
        <w:softHyphen/>
        <w:t>рой представлял собой корыто с полозками на верхней части боковых стенок. В средней части люльки имелись приливы, в которые были за</w:t>
      </w:r>
      <w:r w:rsidRPr="00070ADE">
        <w:rPr>
          <w:rFonts w:ascii="Times New Roman" w:hAnsi="Times New Roman"/>
          <w:color w:val="000000" w:themeColor="text1"/>
          <w:sz w:val="16"/>
          <w:szCs w:val="16"/>
        </w:rPr>
        <w:softHyphen/>
        <w:t>прессованы втулки; во втулках размещались цапфы, которые крепились болтами к щекам башни. Противооткатные устройства состояли из цилиндра гидравлическо</w:t>
      </w:r>
      <w:r w:rsidRPr="00070ADE">
        <w:rPr>
          <w:rFonts w:ascii="Times New Roman" w:hAnsi="Times New Roman"/>
          <w:color w:val="000000" w:themeColor="text1"/>
          <w:sz w:val="16"/>
          <w:szCs w:val="16"/>
        </w:rPr>
        <w:softHyphen/>
        <w:t>го тормоза отката, заполненного глицериновой жидкостью Стеол в ко</w:t>
      </w:r>
      <w:r w:rsidRPr="00070ADE">
        <w:rPr>
          <w:rFonts w:ascii="Times New Roman" w:hAnsi="Times New Roman"/>
          <w:color w:val="000000" w:themeColor="text1"/>
          <w:sz w:val="16"/>
          <w:szCs w:val="16"/>
        </w:rPr>
        <w:softHyphen/>
        <w:t>личестве 3,7 л, и цилиндра гидравлического накатника, заполненного также жидкостью Стеол в количестве 3,7 л и воздухом, сжатым до дав</w:t>
      </w:r>
      <w:r w:rsidRPr="00070ADE">
        <w:rPr>
          <w:rFonts w:ascii="Times New Roman" w:hAnsi="Times New Roman"/>
          <w:color w:val="000000" w:themeColor="text1"/>
          <w:sz w:val="16"/>
          <w:szCs w:val="16"/>
        </w:rPr>
        <w:softHyphen/>
        <w:t>ления 20 кгс/см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 Цилиндры тормоза и накатника были закреплены в обоймах ствола и при выстреле откатывались вместе со стволом. Што</w:t>
      </w:r>
      <w:r w:rsidRPr="00070ADE">
        <w:rPr>
          <w:rFonts w:ascii="Times New Roman" w:hAnsi="Times New Roman"/>
          <w:color w:val="000000" w:themeColor="text1"/>
          <w:sz w:val="16"/>
          <w:szCs w:val="16"/>
        </w:rPr>
        <w:softHyphen/>
        <w:t>ки тормоза и накатника были закреплены в крышке люльки и при отка</w:t>
      </w:r>
      <w:r w:rsidRPr="00070ADE">
        <w:rPr>
          <w:rFonts w:ascii="Times New Roman" w:hAnsi="Times New Roman"/>
          <w:color w:val="000000" w:themeColor="text1"/>
          <w:sz w:val="16"/>
          <w:szCs w:val="16"/>
        </w:rPr>
        <w:softHyphen/>
        <w:t>те оставались на месте. Нормальная длина отката 320 - 370 мм, а пре</w:t>
      </w:r>
      <w:r w:rsidRPr="00070ADE">
        <w:rPr>
          <w:rFonts w:ascii="Times New Roman" w:hAnsi="Times New Roman"/>
          <w:color w:val="000000" w:themeColor="text1"/>
          <w:sz w:val="16"/>
          <w:szCs w:val="16"/>
        </w:rPr>
        <w:softHyphen/>
        <w:t>дельная - 390 мм. При первой модернизации были изменены: затвор и полуавтомати</w:t>
      </w:r>
      <w:r w:rsidRPr="00070ADE">
        <w:rPr>
          <w:rFonts w:ascii="Times New Roman" w:hAnsi="Times New Roman"/>
          <w:color w:val="000000" w:themeColor="text1"/>
          <w:sz w:val="16"/>
          <w:szCs w:val="16"/>
        </w:rPr>
        <w:softHyphen/>
        <w:t>ка с копирным устройством; предохранитель для запирания затвора по-походному; спусковые механизмы. В тормозе отката был упразднен компенсатор, из-за чего в нем было увеличено до 5 л количество жидко</w:t>
      </w:r>
      <w:r w:rsidRPr="00070ADE">
        <w:rPr>
          <w:rFonts w:ascii="Times New Roman" w:hAnsi="Times New Roman"/>
          <w:color w:val="000000" w:themeColor="text1"/>
          <w:sz w:val="16"/>
          <w:szCs w:val="16"/>
        </w:rPr>
        <w:softHyphen/>
        <w:t>сти Стеол. В ноябре 1941 г. во время второй модернизации пушки Ф-34 в целях уп</w:t>
      </w:r>
      <w:r w:rsidRPr="00070ADE">
        <w:rPr>
          <w:rFonts w:ascii="Times New Roman" w:hAnsi="Times New Roman"/>
          <w:color w:val="000000" w:themeColor="text1"/>
          <w:sz w:val="16"/>
          <w:szCs w:val="16"/>
        </w:rPr>
        <w:softHyphen/>
        <w:t>рощения технологии производства вместо ствола со свободной трубой стал изготавливаться ствол-моноблок с казенником, соединявшимся с трубой с помощью муфты. Для стрельбы из 76,2-мм танковой пушки Ф-</w:t>
      </w:r>
      <w:r w:rsidRPr="00070ADE">
        <w:rPr>
          <w:rFonts w:ascii="Times New Roman" w:hAnsi="Times New Roman"/>
          <w:color w:val="000000" w:themeColor="text1"/>
          <w:sz w:val="16"/>
          <w:szCs w:val="16"/>
        </w:rPr>
        <w:lastRenderedPageBreak/>
        <w:t>34 применялись уни</w:t>
      </w:r>
      <w:r w:rsidRPr="00070ADE">
        <w:rPr>
          <w:rFonts w:ascii="Times New Roman" w:hAnsi="Times New Roman"/>
          <w:color w:val="000000" w:themeColor="text1"/>
          <w:sz w:val="16"/>
          <w:szCs w:val="16"/>
        </w:rPr>
        <w:softHyphen/>
        <w:t>тарные выстрелы от дивизионных пушек обр. 1902/30 г. и обр. 1939 г. с осколочно-фугасными дальнобойными фанатами (стальной ОФ-350 и сталистого чугуна ОФ-350А) с взрывателем КТМ-1; с фугасной грана</w:t>
      </w:r>
      <w:r w:rsidRPr="00070ADE">
        <w:rPr>
          <w:rFonts w:ascii="Times New Roman" w:hAnsi="Times New Roman"/>
          <w:color w:val="000000" w:themeColor="text1"/>
          <w:sz w:val="16"/>
          <w:szCs w:val="16"/>
        </w:rPr>
        <w:softHyphen/>
        <w:t>той старого русского образца Ф-354 с взрывателями КТ-3, КТМ-3 или ЗГТ; с бронебойно-трассирующими снарядами БР-350А, БР-350Б, БР-350СП с взрывателем МД-5. Бронебойные снаряды, имевшие массу 6,5 кг и начальную скорость 680 м/с, на дистанции 1000 м пробивали вертикально расположенную 61-мм броневую плиту. Пушка аналогичного калибра в 1941 - 1942 гг. устанавливалась и на тяжелых танках КВ-1 и КВ-1С. Особенностью развития основного ору</w:t>
      </w:r>
      <w:r w:rsidRPr="00070ADE">
        <w:rPr>
          <w:rFonts w:ascii="Times New Roman" w:hAnsi="Times New Roman"/>
          <w:color w:val="000000" w:themeColor="text1"/>
          <w:sz w:val="16"/>
          <w:szCs w:val="16"/>
        </w:rPr>
        <w:softHyphen/>
        <w:t>жия тяжелых танков в годы Великой Отечественной войны явился от</w:t>
      </w:r>
      <w:r w:rsidRPr="00070ADE">
        <w:rPr>
          <w:rFonts w:ascii="Times New Roman" w:hAnsi="Times New Roman"/>
          <w:color w:val="000000" w:themeColor="text1"/>
          <w:sz w:val="16"/>
          <w:szCs w:val="16"/>
        </w:rPr>
        <w:softHyphen/>
        <w:t>каз от применения гаубиц на серийных машинах и усиление пушечного вооружения. В июне 1941 г. выпуск тяжелых танков КВ-2, вооруженных 152-мм танковой гаубицей М-10, предназначавшейся для разрушения мощных оборонительных сооружений противника, был прекращен в связи со сложившейся обстановкой на фронте, требовавшей для веде</w:t>
      </w:r>
      <w:r w:rsidRPr="00070ADE">
        <w:rPr>
          <w:rFonts w:ascii="Times New Roman" w:hAnsi="Times New Roman"/>
          <w:color w:val="000000" w:themeColor="text1"/>
          <w:sz w:val="16"/>
          <w:szCs w:val="16"/>
        </w:rPr>
        <w:softHyphen/>
        <w:t>ния оборонительных боев и проведения контрударов увеличения про</w:t>
      </w:r>
      <w:r w:rsidRPr="00070ADE">
        <w:rPr>
          <w:rFonts w:ascii="Times New Roman" w:hAnsi="Times New Roman"/>
          <w:color w:val="000000" w:themeColor="text1"/>
          <w:sz w:val="16"/>
          <w:szCs w:val="16"/>
        </w:rPr>
        <w:softHyphen/>
        <w:t>изводства танков КВ-1 с 76,2-мм пушкой Ф-32 (10703).</w:t>
      </w:r>
    </w:p>
    <w:p w14:paraId="06548A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42E8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завод № 183 предоставил на испытания два ва</w:t>
      </w:r>
      <w:r w:rsidRPr="00070ADE">
        <w:rPr>
          <w:rFonts w:ascii="Times New Roman" w:hAnsi="Times New Roman"/>
          <w:color w:val="000000" w:themeColor="text1"/>
          <w:sz w:val="16"/>
          <w:szCs w:val="16"/>
        </w:rPr>
        <w:softHyphen/>
        <w:t>рианта танка Т-34-85М. Главной целью модернизации было усиление лобовой брони танка с целью доведения ее до уровня немецкого танка «Пантера». При этом толщина ло</w:t>
      </w:r>
      <w:r w:rsidRPr="00070ADE">
        <w:rPr>
          <w:rFonts w:ascii="Times New Roman" w:hAnsi="Times New Roman"/>
          <w:color w:val="000000" w:themeColor="text1"/>
          <w:sz w:val="16"/>
          <w:szCs w:val="16"/>
        </w:rPr>
        <w:softHyphen/>
        <w:t>бового листа обоих танков была доведена до 75 мм, толщина люка механика-водителя достигла 100 мм, бронировки кур</w:t>
      </w:r>
      <w:r w:rsidRPr="00070ADE">
        <w:rPr>
          <w:rFonts w:ascii="Times New Roman" w:hAnsi="Times New Roman"/>
          <w:color w:val="000000" w:themeColor="text1"/>
          <w:sz w:val="16"/>
          <w:szCs w:val="16"/>
        </w:rPr>
        <w:softHyphen/>
        <w:t>сового пулемета — до 90 мм. Чтобы скомпенсировать неиз</w:t>
      </w:r>
      <w:r w:rsidRPr="00070ADE">
        <w:rPr>
          <w:rFonts w:ascii="Times New Roman" w:hAnsi="Times New Roman"/>
          <w:color w:val="000000" w:themeColor="text1"/>
          <w:sz w:val="16"/>
          <w:szCs w:val="16"/>
        </w:rPr>
        <w:softHyphen/>
        <w:t>бежное утяжеление танка, был предпринят ряд специальных мер. Во-первых, толщина броневых листов, наименее под</w:t>
      </w:r>
      <w:r w:rsidRPr="00070ADE">
        <w:rPr>
          <w:rFonts w:ascii="Times New Roman" w:hAnsi="Times New Roman"/>
          <w:color w:val="000000" w:themeColor="text1"/>
          <w:sz w:val="16"/>
          <w:szCs w:val="16"/>
        </w:rPr>
        <w:softHyphen/>
        <w:t>верженных обстрелу (крыша над моторным отделением, днище подкрылков, нижний кормовой лист, задняя часть днища), были изготовлены из броневых листов толщиной 15 мм, в ходовой части использованы облегченные баланси</w:t>
      </w:r>
      <w:r w:rsidRPr="00070ADE">
        <w:rPr>
          <w:rFonts w:ascii="Times New Roman" w:hAnsi="Times New Roman"/>
          <w:color w:val="000000" w:themeColor="text1"/>
          <w:sz w:val="16"/>
          <w:szCs w:val="16"/>
        </w:rPr>
        <w:softHyphen/>
        <w:t>ры и опорные катки. Далее, в конструкции четырехступен</w:t>
      </w:r>
      <w:r w:rsidRPr="00070ADE">
        <w:rPr>
          <w:rFonts w:ascii="Times New Roman" w:hAnsi="Times New Roman"/>
          <w:color w:val="000000" w:themeColor="text1"/>
          <w:sz w:val="16"/>
          <w:szCs w:val="16"/>
        </w:rPr>
        <w:softHyphen/>
        <w:t>чатой коробки передач было уменьшено передаточное отношение конической пары шестерен, введены ведущие колеса с уменьшенным диаметром и пятью ведущими роликами вместо шести. В танке второго варианта попытались изба</w:t>
      </w:r>
      <w:r w:rsidRPr="00070ADE">
        <w:rPr>
          <w:rFonts w:ascii="Times New Roman" w:hAnsi="Times New Roman"/>
          <w:color w:val="000000" w:themeColor="text1"/>
          <w:sz w:val="16"/>
          <w:szCs w:val="16"/>
        </w:rPr>
        <w:softHyphen/>
        <w:t>виться от хронического недостатка— расположения топлив</w:t>
      </w:r>
      <w:r w:rsidRPr="00070ADE">
        <w:rPr>
          <w:rFonts w:ascii="Times New Roman" w:hAnsi="Times New Roman"/>
          <w:color w:val="000000" w:themeColor="text1"/>
          <w:sz w:val="16"/>
          <w:szCs w:val="16"/>
        </w:rPr>
        <w:softHyphen/>
        <w:t>ных баков в боевом отделении. Вместо шести топливных ба</w:t>
      </w:r>
      <w:r w:rsidRPr="00070ADE">
        <w:rPr>
          <w:rFonts w:ascii="Times New Roman" w:hAnsi="Times New Roman"/>
          <w:color w:val="000000" w:themeColor="text1"/>
          <w:sz w:val="16"/>
          <w:szCs w:val="16"/>
        </w:rPr>
        <w:softHyphen/>
        <w:t>ков, располагавшихся в боевом и моторном отделениях се</w:t>
      </w:r>
      <w:r w:rsidRPr="00070ADE">
        <w:rPr>
          <w:rFonts w:ascii="Times New Roman" w:hAnsi="Times New Roman"/>
          <w:color w:val="000000" w:themeColor="text1"/>
          <w:sz w:val="16"/>
          <w:szCs w:val="16"/>
        </w:rPr>
        <w:softHyphen/>
        <w:t>рийного танка Т-34-85, в кормовой части корпуса машины, за коробкой передач были установлены два топливных бака емкостью по 190 л каждый, что вызвало необходимость пе</w:t>
      </w:r>
      <w:r w:rsidRPr="00070ADE">
        <w:rPr>
          <w:rFonts w:ascii="Times New Roman" w:hAnsi="Times New Roman"/>
          <w:color w:val="000000" w:themeColor="text1"/>
          <w:sz w:val="16"/>
          <w:szCs w:val="16"/>
        </w:rPr>
        <w:softHyphen/>
        <w:t>реконструирования кормовой части танка.</w:t>
      </w:r>
    </w:p>
    <w:p w14:paraId="45E332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полигонных испытаний выяснилось, что усиле</w:t>
      </w:r>
      <w:r w:rsidRPr="00070ADE">
        <w:rPr>
          <w:rFonts w:ascii="Times New Roman" w:hAnsi="Times New Roman"/>
          <w:color w:val="000000" w:themeColor="text1"/>
          <w:sz w:val="16"/>
          <w:szCs w:val="16"/>
        </w:rPr>
        <w:softHyphen/>
        <w:t>ние бронирования лобовой части танка оправданно, но остальные изменения улучшения характеристик машине не дали. Так, применение 15-мм броневого листа для изго</w:t>
      </w:r>
      <w:r w:rsidRPr="00070ADE">
        <w:rPr>
          <w:rFonts w:ascii="Times New Roman" w:hAnsi="Times New Roman"/>
          <w:color w:val="000000" w:themeColor="text1"/>
          <w:sz w:val="16"/>
          <w:szCs w:val="16"/>
        </w:rPr>
        <w:softHyphen/>
        <w:t>товления кормовой части днища танка приводило к воз</w:t>
      </w:r>
      <w:r w:rsidRPr="00070ADE">
        <w:rPr>
          <w:rFonts w:ascii="Times New Roman" w:hAnsi="Times New Roman"/>
          <w:color w:val="000000" w:themeColor="text1"/>
          <w:sz w:val="16"/>
          <w:szCs w:val="16"/>
        </w:rPr>
        <w:softHyphen/>
        <w:t>можности поражения МТО танка при подрыве на штатной противотанковой мине.</w:t>
      </w:r>
    </w:p>
    <w:p w14:paraId="3815DD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с указанным усилением бронирования мог быть принят на вооружение только при условии радикальной пе</w:t>
      </w:r>
      <w:r w:rsidRPr="00070ADE">
        <w:rPr>
          <w:rFonts w:ascii="Times New Roman" w:hAnsi="Times New Roman"/>
          <w:color w:val="000000" w:themeColor="text1"/>
          <w:sz w:val="16"/>
          <w:szCs w:val="16"/>
        </w:rPr>
        <w:softHyphen/>
        <w:t>реработки трансмиссии. Кроме того, испытания указанного танка обстрелом из 88-мм танковой пушки обр. 1943 г. пока</w:t>
      </w:r>
      <w:r w:rsidRPr="00070ADE">
        <w:rPr>
          <w:rFonts w:ascii="Times New Roman" w:hAnsi="Times New Roman"/>
          <w:color w:val="000000" w:themeColor="text1"/>
          <w:sz w:val="16"/>
          <w:szCs w:val="16"/>
        </w:rPr>
        <w:softHyphen/>
        <w:t>зали, что даже 75-мм лобовая броня Т-34 пробивается из указанной пушки с дистанции около 2000 м, тогда как лоб Т-44 только с дальности 600 м. Таким образом, в условиях ориен</w:t>
      </w:r>
      <w:r w:rsidRPr="00070ADE">
        <w:rPr>
          <w:rFonts w:ascii="Times New Roman" w:hAnsi="Times New Roman"/>
          <w:color w:val="000000" w:themeColor="text1"/>
          <w:sz w:val="16"/>
          <w:szCs w:val="16"/>
        </w:rPr>
        <w:softHyphen/>
        <w:t>тации на Т-44 было принято решение не тратить усилия на усиление бронирования корпуса Т-34-85 (11135).</w:t>
      </w:r>
    </w:p>
    <w:p w14:paraId="39DE5D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C50C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испытания Т-44-2 возобновились, однако никаких преимуществ в скорострельности унитарное заряжание не дало. Наоборот, большая масса и размер патрона сильно мешали заряжающему, стесненному ограниченным объемом боевого отделения Т-44. Кроме того, боекомплект из 24 122-мм выстрелов был совершенно недостаточным для среднего танка и задач, которые перед ним ставились. Кроме того, Д-24-44Т имела меньшую массу откатных частей и уменьшенную на 2-4% мощность выстрела (3862).</w:t>
      </w:r>
    </w:p>
    <w:p w14:paraId="7C7BBE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44E783" w14:textId="3D2C04E9" w:rsidR="00A06A1F" w:rsidRPr="00070ADE" w:rsidRDefault="00A06A1F" w:rsidP="00B56F90">
      <w:pPr>
        <w:pStyle w:val="ae"/>
        <w:spacing w:before="0" w:after="0"/>
        <w:jc w:val="both"/>
        <w:textAlignment w:val="baseline"/>
        <w:rPr>
          <w:color w:val="000000" w:themeColor="text1"/>
          <w:sz w:val="16"/>
          <w:szCs w:val="16"/>
        </w:rPr>
      </w:pPr>
      <w:r w:rsidRPr="00070ADE">
        <w:rPr>
          <w:color w:val="000000" w:themeColor="text1"/>
          <w:sz w:val="16"/>
          <w:szCs w:val="16"/>
        </w:rPr>
        <w:t>В апреле 1944 года снова был поднят вопрос о выпуске Т-44. На сей раз завод №183 уже не упоминался. В НКТП разумно предположили, что загружать основного производителя Т-34-85 ещё и новым танком является рискованной идеей. Т-34-85 были нужны как воздух, а Т-44 следовало ещё доводить до кондиции. По этой причине Малышев представил 8 апреля 1944 года два варианта проекта постановления ГКО. Варианты отличались местом выпуска танков. Первый вариант предполагал, что на Коломенском заводе НКТМ будет создана новая производственная площадка. В Коломне организовывалось производство бронекорпусов, ходовой части, а также непосредственная сборка. Проблема состояла в том, что ради выпуска танков в Коломне требовалось пожертвовать сразу двумя заводами, выпускавшими лёгкие самоходные артиллерийские установки</w:t>
      </w:r>
      <w:r w:rsidR="00B643A8" w:rsidRPr="00070ADE">
        <w:rPr>
          <w:color w:val="000000" w:themeColor="text1"/>
          <w:sz w:val="16"/>
          <w:szCs w:val="16"/>
        </w:rPr>
        <w:t xml:space="preserve"> </w:t>
      </w:r>
      <w:hyperlink r:id="rId109" w:history="1">
        <w:r w:rsidRPr="00070ADE">
          <w:rPr>
            <w:rStyle w:val="a5"/>
            <w:bCs/>
            <w:iCs/>
            <w:color w:val="000000" w:themeColor="text1"/>
            <w:sz w:val="16"/>
            <w:szCs w:val="16"/>
            <w:bdr w:val="none" w:sz="0" w:space="0" w:color="auto" w:frame="1"/>
          </w:rPr>
          <w:t>СУ-76М</w:t>
        </w:r>
      </w:hyperlink>
      <w:r w:rsidRPr="00070ADE">
        <w:rPr>
          <w:color w:val="000000" w:themeColor="text1"/>
          <w:sz w:val="16"/>
          <w:szCs w:val="16"/>
        </w:rPr>
        <w:t>. Во-первых, в Коломну из Кирова возвращался завод №38, чьи производственные возможности позволяли сравнительно быстро довести выпуск Т-44 до 300 штук в месяц. Во-вторых, на заводе №40 в Мытищах планировалось организовать выпуск элементов трансмиссии Т-44.</w:t>
      </w:r>
    </w:p>
    <w:p w14:paraId="187261F0" w14:textId="136871FE" w:rsidR="00A06A1F" w:rsidRPr="00070ADE" w:rsidRDefault="00A06A1F" w:rsidP="00B56F90">
      <w:pPr>
        <w:pStyle w:val="ae"/>
        <w:spacing w:before="0" w:after="0"/>
        <w:jc w:val="both"/>
        <w:textAlignment w:val="baseline"/>
        <w:rPr>
          <w:color w:val="000000" w:themeColor="text1"/>
          <w:sz w:val="16"/>
          <w:szCs w:val="16"/>
        </w:rPr>
      </w:pPr>
      <w:r w:rsidRPr="00070ADE">
        <w:rPr>
          <w:color w:val="000000" w:themeColor="text1"/>
          <w:sz w:val="16"/>
          <w:szCs w:val="16"/>
        </w:rPr>
        <w:t>Альтернативным вариантом являлось возрождение танкового производства на Сталинградском тракторном заводе. Сильно разрушенное предприятие требовалось ещё восстановить, так что больше 175 танков за 1944 год СТЗ сдать не мог. К тому же, на СТЗ планировалось восстанавливать выпуск тракторов, который в случае с запуском производства Т-44 переносился на конец 1945 года. Смежником по выпуску корпусов становился завод №264, где также было необходимо восстанавливать корпусное производство. Впрочем, завод №264 вскоре всё равно привлекли к производству рубок по</w:t>
      </w:r>
      <w:r w:rsidR="00B643A8" w:rsidRPr="00070ADE">
        <w:rPr>
          <w:color w:val="000000" w:themeColor="text1"/>
          <w:sz w:val="16"/>
          <w:szCs w:val="16"/>
        </w:rPr>
        <w:t xml:space="preserve"> </w:t>
      </w:r>
      <w:hyperlink r:id="rId110" w:history="1">
        <w:r w:rsidRPr="00070ADE">
          <w:rPr>
            <w:rStyle w:val="a5"/>
            <w:bCs/>
            <w:iCs/>
            <w:color w:val="000000" w:themeColor="text1"/>
            <w:sz w:val="16"/>
            <w:szCs w:val="16"/>
            <w:bdr w:val="none" w:sz="0" w:space="0" w:color="auto" w:frame="1"/>
          </w:rPr>
          <w:t>ИСУ-152</w:t>
        </w:r>
      </w:hyperlink>
      <w:r w:rsidRPr="00070ADE">
        <w:rPr>
          <w:color w:val="000000" w:themeColor="text1"/>
          <w:sz w:val="16"/>
          <w:szCs w:val="16"/>
        </w:rPr>
        <w:t>, так что отчасти данный вопрос отпал. В целом же Малышев выступал за организацию выпуска Т-44 в Коломне. Первые 25 танков там планировалось сдать в июле 1944 года, постепенно, к декабрю 1944 года, доведя ежемесячный выпуск до 300 штук. Впрочем, и этот вариант также не устроил руководство. Выбирать приходилось из плохого и ещё худшего вариантов: в одном случае весь выпуск лёгких САУ ложился на ГАЗ, а с учётом торпедирования заводским руководством новых разработок после войны СССР остался бы вовсе без разработчиков лёгких самоходок. В случае же с СТЗ требовалось возродить танковый завод почти с нуля (19047).</w:t>
      </w:r>
    </w:p>
    <w:p w14:paraId="7723E364" w14:textId="77777777" w:rsidR="00A06A1F" w:rsidRPr="00070ADE" w:rsidRDefault="00A06A1F" w:rsidP="00B56F90">
      <w:pPr>
        <w:spacing w:after="0" w:line="240" w:lineRule="auto"/>
        <w:jc w:val="both"/>
        <w:textAlignment w:val="baseline"/>
        <w:rPr>
          <w:rFonts w:ascii="Times New Roman" w:hAnsi="Times New Roman"/>
          <w:color w:val="000000" w:themeColor="text1"/>
          <w:sz w:val="16"/>
          <w:szCs w:val="16"/>
        </w:rPr>
      </w:pPr>
    </w:p>
    <w:p w14:paraId="36D75D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в КБ завода № 100 под руководством Ж.Я. Котина была создана самоходная установка ИСУ-122С (ИСУ-122-2) ("Объект 249") и представляла собой модернизированный вариант самоходной установки ИСУ-122. В июне того же года установка прошла ходовые и артиллерийские испытания на Гороховецком АНИОПе. На вооружение была принята 22 августа 1944 г. Серийное производство началось в ав</w:t>
      </w:r>
      <w:r w:rsidRPr="00070ADE">
        <w:rPr>
          <w:rFonts w:ascii="Times New Roman" w:hAnsi="Times New Roman"/>
          <w:color w:val="000000" w:themeColor="text1"/>
          <w:sz w:val="16"/>
          <w:szCs w:val="16"/>
        </w:rPr>
        <w:softHyphen/>
        <w:t>густе 1944 г. на ЧКЗ. С августа 1944 г. до сентября 1945 г. был организо</w:t>
      </w:r>
      <w:r w:rsidRPr="00070ADE">
        <w:rPr>
          <w:rFonts w:ascii="Times New Roman" w:hAnsi="Times New Roman"/>
          <w:color w:val="000000" w:themeColor="text1"/>
          <w:sz w:val="16"/>
          <w:szCs w:val="16"/>
        </w:rPr>
        <w:softHyphen/>
        <w:t>ван параллельный выпуск ИСУ-122 с пушкой А-19 и модернизирован</w:t>
      </w:r>
      <w:r w:rsidRPr="00070ADE">
        <w:rPr>
          <w:rFonts w:ascii="Times New Roman" w:hAnsi="Times New Roman"/>
          <w:color w:val="000000" w:themeColor="text1"/>
          <w:sz w:val="16"/>
          <w:szCs w:val="16"/>
        </w:rPr>
        <w:softHyphen/>
        <w:t>ной ИСУ-122С с пушкой Д-25С, так как производство ИСУ-122С не было полностью обеспечено поставкой 122-мм пушек Д-25С. До 1 июня 1945 г. было выпущено 475 самоходных установок ИСУ-122С, которые использовались в боях в завершающем периоде Великой Отечествен</w:t>
      </w:r>
      <w:r w:rsidRPr="00070ADE">
        <w:rPr>
          <w:rFonts w:ascii="Times New Roman" w:hAnsi="Times New Roman"/>
          <w:color w:val="000000" w:themeColor="text1"/>
          <w:sz w:val="16"/>
          <w:szCs w:val="16"/>
        </w:rPr>
        <w:softHyphen/>
        <w:t>ной войны. Всего за время серийного производства было изготовлено 675 машин (10703).</w:t>
      </w:r>
    </w:p>
    <w:p w14:paraId="7F365F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00963B" w14:textId="3C6C6E09" w:rsidR="00A06A1F" w:rsidRPr="00070ADE" w:rsidRDefault="00A06A1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года впервые была поднята тема ИСУ-122 с версией Д-25 для установки в самоходку. На заводе №100 данную машину обозначили как Объект 249. По состоянию на первую половину апреля шасси находилось на сборке, но отсутствовало самое главное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—орудие. Его прибытие ожидалось 8 апреля, но на практике система Д-25С поступила только в начале мая, а установили её ещё позже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ближе к концу мая. Чтобы не тратить время впустую, Объект 249 начали испытывать без орудия. Данная машина была построена не только для проверки установки орудия, на ней также испытывали опытный образец планетарного механизма поворота. Всего до установки орудия машина прошла 508 км. Также проверялись различные способы очистки радиаторов от пыли. Как показали результаты, лучше всего их получалось чистить при помощи металлической щётки.</w:t>
      </w:r>
    </w:p>
    <w:p w14:paraId="05904C59" w14:textId="77777777" w:rsidR="00A06A1F" w:rsidRPr="00070ADE" w:rsidRDefault="00A06A1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отличие от ИСУ-122, для Объекта 249 орудийную установку пришлось делать заново. Это позволило сделать её более компактной (что не менее важно) и одновременно усилить защиту. Подвижная часть бронировки стала иметь толщину от 80 до 95 мм, а неподвижная — до 100 мм. Меньшие габариты бронировки улучшили обзорность с места механика-водителя. Также снизу появилась защита подвижной бронировки от попадания снарядов и их осколков снизу.</w:t>
      </w:r>
    </w:p>
    <w:p w14:paraId="0BCDAFED" w14:textId="77777777" w:rsidR="00A06A1F" w:rsidRPr="00070ADE" w:rsidRDefault="00A06A1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 же касается самой орудийной системы, то она максимально повторяла Д-25Т. Разница заключалась в том, что систему установили на рамку для обеспечения горизонтальных углов наводки. По сравнению с МЛ-20с масса качающейся части Д-25С оказалась меньше на 1700 кг, кроме того, система комплектовалась прицелом ТШ-17. Это привело к тому, что работы по Объекту 249 (или, как её ещё называли на заводе №100, ИСУ-122-2) задержались. К тому же опытную машину всё равно укомплектовали прицелом 10-Т. Кроме того, на самоходную установку поставили переработанную зенитную турель с пулемётом ДШК. С 27 по 29 мая 1944 года установку испытывали на полигоне 13-го учебного танкового полка в Челябинске. Установка успешно прошла испытания, её приняли на вооружение бронетанковые и механизированные войска РККА (18335).</w:t>
      </w:r>
    </w:p>
    <w:p w14:paraId="6CE2D669" w14:textId="77777777" w:rsidR="00A06A1F" w:rsidRPr="00070ADE" w:rsidRDefault="00A06A1F" w:rsidP="00B56F90">
      <w:pPr>
        <w:spacing w:after="0" w:line="240" w:lineRule="auto"/>
        <w:jc w:val="both"/>
        <w:rPr>
          <w:rFonts w:ascii="Times New Roman" w:hAnsi="Times New Roman"/>
          <w:color w:val="000000" w:themeColor="text1"/>
          <w:sz w:val="16"/>
          <w:szCs w:val="16"/>
        </w:rPr>
      </w:pPr>
    </w:p>
    <w:p w14:paraId="554866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в КБ завода № 100 под руководством Я. Котина в инициативном порядке была разработана самоходная установка ИСУ-152БМ (ИСУ-152-1) ("Объект 246"). Изготовленный опытный образец установки в июле того же года прошел ходовые и артиллерийские испытания на ленинградском АНИОПе, в ходе которых были выявле-аы крупные недостатки в конструкции пушки. На вооружение машина не принималась и в серийном производстве не состояла. Инициатором этой работы выступило ОКБ-172 НКВ под руковод</w:t>
      </w:r>
      <w:r w:rsidRPr="00070ADE">
        <w:rPr>
          <w:rFonts w:ascii="Times New Roman" w:hAnsi="Times New Roman"/>
          <w:color w:val="000000" w:themeColor="text1"/>
          <w:sz w:val="16"/>
          <w:szCs w:val="16"/>
        </w:rPr>
        <w:softHyphen/>
        <w:t>ством И.И. Иванова, предложившее разместить в установке ИСУ-152 разработанную у них 152,4-мм пушку БЛ-7, имевшую баллистику 152,4-мм пушки Бр-2. Модификация пушки для монтажа в самоходную установку получила наименование БЛ-8, а сама машина - индекс "Объ</w:t>
      </w:r>
      <w:r w:rsidRPr="00070ADE">
        <w:rPr>
          <w:rFonts w:ascii="Times New Roman" w:hAnsi="Times New Roman"/>
          <w:color w:val="000000" w:themeColor="text1"/>
          <w:sz w:val="16"/>
          <w:szCs w:val="16"/>
        </w:rPr>
        <w:softHyphen/>
        <w:t>ект 246" (10703).</w:t>
      </w:r>
    </w:p>
    <w:p w14:paraId="55967C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2088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Уралмашзавод получил распоряжение о немедленной подготовке к серийному производству Су-100 (4406).</w:t>
      </w:r>
    </w:p>
    <w:p w14:paraId="4021C2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1CBE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бронетанковое управление 4-й гв. танковой армии уже настойчиво просило вышестоящие организации отыскать хотя бы 20 СУ-122, так как СУ-85 были непригодны для борьбы с укрепленными пулеметными точками (4017).</w:t>
      </w:r>
    </w:p>
    <w:p w14:paraId="6BBDD9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3AE2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апреля 1944 г. началось и продолжалось до сентября 1945 г. серийное производство машины ИСУ-122 на ЧКЗ. До 1 июня 1945 г. завод выпустил 1435 самоходных установок ИСУ-122, кото</w:t>
      </w:r>
      <w:r w:rsidRPr="00070ADE">
        <w:rPr>
          <w:rFonts w:ascii="Times New Roman" w:hAnsi="Times New Roman"/>
          <w:color w:val="000000" w:themeColor="text1"/>
          <w:sz w:val="16"/>
          <w:szCs w:val="16"/>
        </w:rPr>
        <w:softHyphen/>
        <w:t xml:space="preserve">рые широко использовались в боях на завершающем этапе Великой Отечественной войны. Всего за время серийного производства было </w:t>
      </w:r>
      <w:r w:rsidRPr="00070ADE">
        <w:rPr>
          <w:rFonts w:ascii="Times New Roman" w:hAnsi="Times New Roman"/>
          <w:color w:val="000000" w:themeColor="text1"/>
          <w:sz w:val="16"/>
          <w:szCs w:val="16"/>
        </w:rPr>
        <w:lastRenderedPageBreak/>
        <w:t>выпущено 1735 машин. Самоходная установка ИСУ-122 относилась к типу пол</w:t>
      </w:r>
      <w:r w:rsidRPr="00070ADE">
        <w:rPr>
          <w:rFonts w:ascii="Times New Roman" w:hAnsi="Times New Roman"/>
          <w:color w:val="000000" w:themeColor="text1"/>
          <w:sz w:val="16"/>
          <w:szCs w:val="16"/>
        </w:rPr>
        <w:softHyphen/>
        <w:t>ностью бронированных самоходных установок с передним расположением броневой рубки. Она была выполнена на ба</w:t>
      </w:r>
      <w:r w:rsidRPr="00070ADE">
        <w:rPr>
          <w:rFonts w:ascii="Times New Roman" w:hAnsi="Times New Roman"/>
          <w:color w:val="000000" w:themeColor="text1"/>
          <w:sz w:val="16"/>
          <w:szCs w:val="16"/>
        </w:rPr>
        <w:softHyphen/>
        <w:t>зе самоходной установки ИСУ-152 путем замены гаубицы-пушки МЛ-20С обр. 1937/43 гг. на 122-мм полевую пушку А-19 обр. 1931/37 гг. (устанавливалась до мая 1944 г.) (10703).</w:t>
      </w:r>
    </w:p>
    <w:p w14:paraId="070907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6179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апреле 1944 года в КБ завода № 100, по инициативе ОКБ-172, предложившего разместить в установке СУ-152 разработанную у них 152-мм пушку БЛ-7, имевшую баллистику пушки Бр-2 была создана самоходная установка ИСУ-152-1 (ИСУ-152БМ). Модификация пушки для монтажа в САУ получила индекс БЛ-8 (ОБМ-43). Она имела поршневой затвор, дульный тормоз оригинальной конструкции и систему продувки канала ствола сжатым воздухом из баллонов. Углы вертикального наведения составляли от -3°10'до+17°45', горизонтального — в секторе 8°30' (вправо — 6°30', влево — 2°). Высота линии огня — 1655 мм. При стрельбе использовались телескопический прицел СТ-10 и панорама Герца. Дальность стрельбы равнялась 18 500 м. Приводы наведения остались неизменными, по сравнению с установкой ИСУ-122. Боекомплект включал 21 выстрел раздельно-гильзового заряжания. Начальная скорость бронебойного снаряда достигала 850 м/с. В связи с монтажом новой пушки конструкцию броневой маски орудия несколько изменили. </w:t>
      </w:r>
    </w:p>
    <w:p w14:paraId="367A8C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 проведении испытаний пушки БЛ-8 были выявлены «неудовлетворительные показатели по действию снарядов», ненадежность работы дульного тормоза и поршневого затвора, а также плохие условия работы расчета. Большой вылет ствола (общая длина установки составляла 12,05 м) ограничивал маневренность машины. По результатам испытаний БЛ-8 заменили пушкой БЛ-10 с клиновым полуавтоматическим затвором. </w:t>
      </w:r>
    </w:p>
    <w:p w14:paraId="16768E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декабре 1944 года самоходная установка ИСУ-152-2 с пушкой БЛ-10 проходила испытания на Ленинградском АНИОПе. Она их не выдержала из-за неудовлетворительной живучести ствола пушки и малого угла горизонтального наведения. Пушку отправили на доработку на завод № 172, однако до окончания войны ее доводка не была завершена (11638).</w:t>
      </w:r>
    </w:p>
    <w:p w14:paraId="5D33501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494B9B5" w14:textId="77777777" w:rsidR="00697996" w:rsidRPr="00070ADE" w:rsidRDefault="00697996" w:rsidP="00B56F90">
      <w:pPr>
        <w:pStyle w:val="ae"/>
        <w:shd w:val="clear" w:color="auto" w:fill="FFFFFF"/>
        <w:spacing w:before="0" w:after="0"/>
        <w:jc w:val="both"/>
        <w:rPr>
          <w:color w:val="000000" w:themeColor="text1"/>
          <w:sz w:val="16"/>
          <w:szCs w:val="16"/>
        </w:rPr>
      </w:pPr>
      <w:r w:rsidRPr="00070ADE">
        <w:rPr>
          <w:color w:val="000000" w:themeColor="text1"/>
          <w:sz w:val="16"/>
          <w:szCs w:val="16"/>
        </w:rPr>
        <w:t xml:space="preserve">За апрель 1944 года завод №38, завод №40 и ГАЗ сдали 176, 87 и 365 машин соответственно. В мае заводы сдали такое же количество машин, а в июне — 175, 90 и 370 соответственно. В июле было принято решение перевести завод №38 в Харьков для комплектации завода №75. Первоначально предполагалось организовать на новом месте выпуск </w:t>
      </w:r>
      <w:hyperlink r:id="rId111" w:history="1">
        <w:r w:rsidRPr="00070ADE">
          <w:rPr>
            <w:rStyle w:val="a5"/>
            <w:color w:val="000000" w:themeColor="text1"/>
            <w:sz w:val="16"/>
            <w:szCs w:val="16"/>
            <w:u w:val="none"/>
          </w:rPr>
          <w:t>тягачей</w:t>
        </w:r>
      </w:hyperlink>
      <w:r w:rsidRPr="00070ADE">
        <w:rPr>
          <w:color w:val="000000" w:themeColor="text1"/>
          <w:sz w:val="16"/>
          <w:szCs w:val="16"/>
        </w:rPr>
        <w:t xml:space="preserve"> АТ-45, затем вместо них было решено организовать производство новых средних танков Т-44. Тем не менее за июль завод №38 смог сдать 141 СУ-76М. Теперь роль ведущего разработчика СУ-76М перешла к заводу №40 (17728).</w:t>
      </w:r>
    </w:p>
    <w:p w14:paraId="28A51A70" w14:textId="77777777" w:rsidR="00697996" w:rsidRPr="00070ADE" w:rsidRDefault="00697996" w:rsidP="00B56F90">
      <w:pPr>
        <w:spacing w:after="0" w:line="240" w:lineRule="auto"/>
        <w:jc w:val="both"/>
        <w:rPr>
          <w:rFonts w:ascii="Times New Roman" w:eastAsia="Times New Roman" w:hAnsi="Times New Roman"/>
          <w:color w:val="000000" w:themeColor="text1"/>
          <w:sz w:val="16"/>
          <w:szCs w:val="16"/>
          <w:lang w:eastAsia="ru-RU"/>
        </w:rPr>
      </w:pPr>
    </w:p>
    <w:p w14:paraId="60F411AD" w14:textId="77777777" w:rsidR="00A06A1F" w:rsidRPr="00070ADE" w:rsidRDefault="00A06A1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года конструкторское бюро (КБ) ГАЗ им. Молотова разработало самоходную установку, получившую обозначение «57-мм самоходная противотанковая пушка». Часто встречающийся индекс СУ-57 появился заметно позже — в сентябре 1944 года. Велосипед на ГАЗ изобретать не стали: конструкция СУ-76М осталась прежней, а у системы ЗИС-3 заменили ствол. С учётом взаимозаменяемости деталей ЗИС-2 и ЗИС-3 эта операция не доставила проблем (18098).</w:t>
      </w:r>
    </w:p>
    <w:p w14:paraId="0E5715A2" w14:textId="77777777" w:rsidR="00A06A1F" w:rsidRPr="00070ADE" w:rsidRDefault="00A06A1F" w:rsidP="00B56F90">
      <w:pPr>
        <w:spacing w:after="0" w:line="240" w:lineRule="auto"/>
        <w:jc w:val="both"/>
        <w:rPr>
          <w:rFonts w:ascii="Times New Roman" w:hAnsi="Times New Roman"/>
          <w:color w:val="000000" w:themeColor="text1"/>
          <w:sz w:val="16"/>
          <w:szCs w:val="16"/>
        </w:rPr>
      </w:pPr>
    </w:p>
    <w:p w14:paraId="61F79EE8"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года у него состоялся разговор с С.А. Акоповым, наркомом среднего машиностроения. По результатам устных договоренностей ГАЗ им. Молотова получил срочное задание на разработку машины, которая получила обозначение СУ-57.</w:t>
      </w:r>
    </w:p>
    <w:p w14:paraId="73981D98"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Сроки изготовления СУ-57 оказались крайне сжатыми. Уже к 1 мая 1944 года опытный образец машины ожидали на Гороховецком АНИОП. Объяснялось это тем, что переделка базовой машины оказывалась минимальной. Программу испытаний подписали 27 апреля, а уже 1 мая в Мулино начались тесты. Исходя из этих дат, а также того, что разговор между Акоповым и Яковлевым состоялся где-то в начале 20-х чисел апреля, все работы по СУ-57 заняли где-то неделю. На заводе взяли СУ-76М валового выпуска (серийный номер 404855, выпущена в апреле 1944 года), которую минимально доработали. Стоит обратить внимание, что на машине стояла не ЗИС-2, а ЗИС-3, в которую воткнули ствол ЗИС-2. Такая конверсия делалась элементарно. Прицельные приспособления остались от ЗИС-3. Перед отправкой на полигон прошли заводские испытания, состоялись они 30 апреля (24276).</w:t>
      </w:r>
    </w:p>
    <w:p w14:paraId="2DB43EF7" w14:textId="77777777" w:rsidR="007F6E7B" w:rsidRPr="00070ADE" w:rsidRDefault="007F6E7B" w:rsidP="00B56F90">
      <w:pPr>
        <w:spacing w:after="0" w:line="240" w:lineRule="auto"/>
        <w:jc w:val="both"/>
        <w:rPr>
          <w:rFonts w:ascii="Times New Roman" w:hAnsi="Times New Roman"/>
          <w:color w:val="000000" w:themeColor="text1"/>
          <w:sz w:val="16"/>
          <w:szCs w:val="16"/>
        </w:rPr>
      </w:pPr>
    </w:p>
    <w:p w14:paraId="4D88B218" w14:textId="77777777" w:rsidR="000656CD" w:rsidRPr="00C94B78" w:rsidRDefault="000656C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апреле 1944 года ГАЗ им. Молотова получил срочное задание на разработку СУ-57, ту же СУ-76М, но с 57-мм пушкой ЗИС-2. Таким образом предполагалось "утилизировать" скопившийся запас 57-мм танковых пушек ЗИС-4, который образовался в 1943 году. Разработали САУ быстро, но очень быстро возникла идея более глубокой модернизации машины. Опыт ГАЗ-75 показывал, что 85-мм орудие вполне вписывается в боевое отделение небольших объемов. По большому счету, история совершила движение по спирали: еще в 1942 году предлагалась установка танковой системы, более компактной, чем буксируемая. Тогда речь шла о 76-мм танковом орудии ЗИС-5, теперь же речь шла о 85-мм орудии Д-5С-85А.</w:t>
      </w:r>
    </w:p>
    <w:p w14:paraId="10252840" w14:textId="77777777" w:rsidR="000656CD" w:rsidRPr="00C94B78" w:rsidRDefault="000656C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Инициатором работ по САУ, получившей обозначение СУ-85ГАЗ (СУ-15А), стала военная приёмка ГАЗ им. Молотова. Учитывая, что этот тот самый Окунев, который летом 1941 года стал одним из инициаторов создания </w:t>
      </w:r>
      <w:hyperlink r:id="rId112" w:tgtFrame="_blank" w:history="1">
        <w:r w:rsidRPr="00C94B78">
          <w:rPr>
            <w:rStyle w:val="a5"/>
            <w:rFonts w:ascii="Times New Roman" w:hAnsi="Times New Roman"/>
            <w:color w:val="0070C0"/>
            <w:sz w:val="16"/>
            <w:szCs w:val="16"/>
          </w:rPr>
          <w:t>Т-30</w:t>
        </w:r>
      </w:hyperlink>
      <w:r w:rsidRPr="00C94B78">
        <w:rPr>
          <w:rFonts w:ascii="Times New Roman" w:hAnsi="Times New Roman"/>
          <w:color w:val="0070C0"/>
          <w:sz w:val="16"/>
          <w:szCs w:val="16"/>
        </w:rPr>
        <w:t>, неудивительно. Как и в случае с ГАЗ-75, работы возглавил Астров, а ведущим инженером машины выступил Гавалов. Для начала, орудие установили в серийную СУ-76М, чтобы проверить принципиальную возможность такой переделки. Испытания показали, что САУ вполне устойчива при стрельбе. Переделанную СУ-76М показали маршалу Я.Н. Федоренко, который идею одобрил. Это дало основание для дальнейших работ по машине.</w:t>
      </w:r>
    </w:p>
    <w:p w14:paraId="7C85D771" w14:textId="77777777" w:rsidR="000656CD" w:rsidRPr="00C94B78" w:rsidRDefault="000656C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тому моменту КЭО ГАЗ им. Молотова уже подготовило предварительный проект САУ. Опробовав несколько вариантов решения, выбрали самый простой. Нижний кормовой лист корпуса делался вертикальным, тем самым решался вопрос установки новых снарядных укладок. Также понадобилось усиление ходовой части, поскольку предварительный подсчет дал боевую массу 12 тонн. Балансиры первого и последнего опорного катка получили дополнительное подрессоривание (установили листовые четверть-эллиптические рессоры). Вместо поддерживающих катков поставили полозья. В связи с ростом массы также предполагалось использовать форсированные двигатели, которые уже отрабатывались в ходе создания легкого танка Т-80 (24906).</w:t>
      </w:r>
    </w:p>
    <w:p w14:paraId="35A71318" w14:textId="77777777" w:rsidR="000656CD" w:rsidRPr="00C94B78" w:rsidRDefault="000656CD" w:rsidP="00B56F90">
      <w:pPr>
        <w:spacing w:after="0" w:line="240" w:lineRule="auto"/>
        <w:jc w:val="both"/>
        <w:rPr>
          <w:rFonts w:ascii="Times New Roman" w:hAnsi="Times New Roman"/>
          <w:color w:val="0070C0"/>
          <w:sz w:val="16"/>
          <w:szCs w:val="16"/>
        </w:rPr>
      </w:pPr>
    </w:p>
    <w:p w14:paraId="3DE59E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в Мытищах был изготовлен новый опытный образец самоходной зенитной установки, отличавшийся от исходного сниженной массой, измененной конструк</w:t>
      </w:r>
      <w:r w:rsidRPr="00070ADE">
        <w:rPr>
          <w:rFonts w:ascii="Times New Roman" w:hAnsi="Times New Roman"/>
          <w:color w:val="000000" w:themeColor="text1"/>
          <w:sz w:val="16"/>
          <w:szCs w:val="16"/>
        </w:rPr>
        <w:softHyphen/>
        <w:t>цией орудийной башни, а также карбюраторным двигате</w:t>
      </w:r>
      <w:r w:rsidRPr="00070ADE">
        <w:rPr>
          <w:rFonts w:ascii="Times New Roman" w:hAnsi="Times New Roman"/>
          <w:color w:val="000000" w:themeColor="text1"/>
          <w:sz w:val="16"/>
          <w:szCs w:val="16"/>
        </w:rPr>
        <w:softHyphen/>
        <w:t>лем ЗИС-80МФ (ЗИС-МФ) мощностью 99 л.с. Несмотря на то, что масса САУ снизилась почти на 1,2 тонны, мощ</w:t>
      </w:r>
      <w:r w:rsidRPr="00070ADE">
        <w:rPr>
          <w:rFonts w:ascii="Times New Roman" w:hAnsi="Times New Roman"/>
          <w:color w:val="000000" w:themeColor="text1"/>
          <w:sz w:val="16"/>
          <w:szCs w:val="16"/>
        </w:rPr>
        <w:softHyphen/>
        <w:t>ности двигателя с имеющейся КПП оказалось недоста</w:t>
      </w:r>
      <w:r w:rsidRPr="00070ADE">
        <w:rPr>
          <w:rFonts w:ascii="Times New Roman" w:hAnsi="Times New Roman"/>
          <w:color w:val="000000" w:themeColor="text1"/>
          <w:sz w:val="16"/>
          <w:szCs w:val="16"/>
        </w:rPr>
        <w:softHyphen/>
        <w:t>точно для проявления необходимой подвижности и про</w:t>
      </w:r>
      <w:r w:rsidRPr="00070ADE">
        <w:rPr>
          <w:rFonts w:ascii="Times New Roman" w:hAnsi="Times New Roman"/>
          <w:color w:val="000000" w:themeColor="text1"/>
          <w:sz w:val="16"/>
          <w:szCs w:val="16"/>
        </w:rPr>
        <w:softHyphen/>
        <w:t>ходимости. Поэтому испытания, проведенные в июле ме</w:t>
      </w:r>
      <w:r w:rsidRPr="00070ADE">
        <w:rPr>
          <w:rFonts w:ascii="Times New Roman" w:hAnsi="Times New Roman"/>
          <w:color w:val="000000" w:themeColor="text1"/>
          <w:sz w:val="16"/>
          <w:szCs w:val="16"/>
        </w:rPr>
        <w:softHyphen/>
        <w:t>сяце, были признаны неудавшимися и КБ вернулось к си</w:t>
      </w:r>
      <w:r w:rsidRPr="00070ADE">
        <w:rPr>
          <w:rFonts w:ascii="Times New Roman" w:hAnsi="Times New Roman"/>
          <w:color w:val="000000" w:themeColor="text1"/>
          <w:sz w:val="16"/>
          <w:szCs w:val="16"/>
        </w:rPr>
        <w:softHyphen/>
        <w:t>ловой установке СУ-76 — сдвоенному моторному агрегату типа ГАЗ-203, который к началу 1945 г. был форсирован до 160 л.с. Прочие отличия, введенные в конструкции второ</w:t>
      </w:r>
      <w:r w:rsidRPr="00070ADE">
        <w:rPr>
          <w:rFonts w:ascii="Times New Roman" w:hAnsi="Times New Roman"/>
          <w:color w:val="000000" w:themeColor="text1"/>
          <w:sz w:val="16"/>
          <w:szCs w:val="16"/>
        </w:rPr>
        <w:softHyphen/>
        <w:t>го опытного образца, были в целом сохранены в третьем, так как в основном отвечали поставленной цели.</w:t>
      </w:r>
    </w:p>
    <w:p w14:paraId="2CEC32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инспекции группы зенитного вооружения тан</w:t>
      </w:r>
      <w:r w:rsidRPr="00070ADE">
        <w:rPr>
          <w:rFonts w:ascii="Times New Roman" w:hAnsi="Times New Roman"/>
          <w:color w:val="000000" w:themeColor="text1"/>
          <w:sz w:val="16"/>
          <w:szCs w:val="16"/>
        </w:rPr>
        <w:softHyphen/>
        <w:t>ков третий образец в октябре поступил на испытания сна</w:t>
      </w:r>
      <w:r w:rsidRPr="00070ADE">
        <w:rPr>
          <w:rFonts w:ascii="Times New Roman" w:hAnsi="Times New Roman"/>
          <w:color w:val="000000" w:themeColor="text1"/>
          <w:sz w:val="16"/>
          <w:szCs w:val="16"/>
        </w:rPr>
        <w:softHyphen/>
        <w:t>чала в НИБТполигон, затем на Научно-испытательный зе</w:t>
      </w:r>
      <w:r w:rsidRPr="00070ADE">
        <w:rPr>
          <w:rFonts w:ascii="Times New Roman" w:hAnsi="Times New Roman"/>
          <w:color w:val="000000" w:themeColor="text1"/>
          <w:sz w:val="16"/>
          <w:szCs w:val="16"/>
        </w:rPr>
        <w:softHyphen/>
        <w:t>нитный полигон и по их завершении, в ноябре 1944 г. был рекомендован для принятия на вооружение с минималь</w:t>
      </w:r>
      <w:r w:rsidRPr="00070ADE">
        <w:rPr>
          <w:rFonts w:ascii="Times New Roman" w:hAnsi="Times New Roman"/>
          <w:color w:val="000000" w:themeColor="text1"/>
          <w:sz w:val="16"/>
          <w:szCs w:val="16"/>
        </w:rPr>
        <w:softHyphen/>
        <w:t>ным перечнем требуемых доработок (11417).</w:t>
      </w:r>
    </w:p>
    <w:p w14:paraId="7C5B69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FA2B8A" w14:textId="77777777" w:rsidR="00697996" w:rsidRPr="00070ADE" w:rsidRDefault="00697996" w:rsidP="00B56F90">
      <w:pPr>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С апреля 1944 года СКБ-75 фактически забросило работы по двигателю В-20. ГАБТУ КА пыталось найти возможность возобновить работы в другом месте, но безуспешно. Ничем на тот момент закончилась и попытка возобновить производство В-4 (17639).</w:t>
      </w:r>
    </w:p>
    <w:p w14:paraId="6D65338F" w14:textId="77777777" w:rsidR="00697996" w:rsidRPr="00070ADE" w:rsidRDefault="00697996" w:rsidP="00B56F90">
      <w:pPr>
        <w:spacing w:after="0" w:line="240" w:lineRule="auto"/>
        <w:jc w:val="both"/>
        <w:rPr>
          <w:rFonts w:ascii="Times New Roman" w:eastAsia="Times New Roman" w:hAnsi="Times New Roman"/>
          <w:color w:val="000000" w:themeColor="text1"/>
          <w:sz w:val="16"/>
          <w:szCs w:val="16"/>
          <w:lang w:eastAsia="ru-RU"/>
        </w:rPr>
      </w:pPr>
    </w:p>
    <w:p w14:paraId="5E77DA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года в НИИБТ прошли испытания БА-64Д, вооруженной пулеметом СГ-34 Горюнова, которые оказались неудачными. Отсутствие плечевого упора у СГ-43 делало стрельбу в движении крайне малоэффективной. Стрельба с места также не обладала большой меткостью. Было отмечено неудобство зарядки ленты в пулемет. По результатам испытаний, новая модернизация БА-64 не была рекомендована к принятию на вооружение и дальнейшие работы были прекращены (3862).</w:t>
      </w:r>
    </w:p>
    <w:p w14:paraId="370279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EEE8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года опытный образец бронеав</w:t>
      </w:r>
      <w:r w:rsidRPr="00070ADE">
        <w:rPr>
          <w:rFonts w:ascii="Times New Roman" w:hAnsi="Times New Roman"/>
          <w:color w:val="000000" w:themeColor="text1"/>
          <w:sz w:val="16"/>
          <w:szCs w:val="16"/>
        </w:rPr>
        <w:softHyphen/>
        <w:t>томобиля БА-64Б с 7,62-мм пулеметом СГ-43 прошел испытания на НИ ВТ полигоне. На вооружение не принимался и и серийном производстве не состоял (10703).</w:t>
      </w:r>
    </w:p>
    <w:p w14:paraId="0C5178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926E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года на Кольском перешейке началась боевая деятельность двухорудийной батареи №343 на полевом транспортере береговой артиллерии - ПТБАРах. Во время наступления наших войск на Выборг батарея следовала за наступающими частями, вела огонь по наземным целям в интересах сухопутных войск, а также обеспечивала действия кораблей в прибрежном районе Выборгского залива. 130-мм пушка Б-13 на ПТБАР была "суррогатным" орудием военного времени. Она не имела приборов управления стрельбой, транспортеры не обеспечивали достаточной устойчивости приведении огня. Это вызывало большой расход снарядов. На крутых подъемах и спусках одну установку волокли 23 трактора ЧТЗ. Великая Отечественная война еще раз показала, что береговой обороне требуются специальные подвижные установки (3861).</w:t>
      </w:r>
    </w:p>
    <w:p w14:paraId="089DCF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1FA19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апреля 1944 года после освобождения города Николаева начал восстанавливаться Завод “Дормашина”2 Главного управления Наркомата минометного вооружения, Николаев (6841).</w:t>
      </w:r>
    </w:p>
    <w:p w14:paraId="3D87FD9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1795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ВМФ вы</w:t>
      </w:r>
      <w:r w:rsidRPr="00070ADE">
        <w:rPr>
          <w:rFonts w:ascii="Times New Roman" w:hAnsi="Times New Roman"/>
          <w:color w:val="000000" w:themeColor="text1"/>
          <w:sz w:val="16"/>
          <w:szCs w:val="16"/>
        </w:rPr>
        <w:softHyphen/>
        <w:t>дал новые задания на проектирование бронекатера. Для большого бронекатера, проект которого получил номер 190, заданием оговаривалось водоизмещение не более 75 т, скоро</w:t>
      </w:r>
      <w:r w:rsidRPr="00070ADE">
        <w:rPr>
          <w:rFonts w:ascii="Times New Roman" w:hAnsi="Times New Roman"/>
          <w:color w:val="000000" w:themeColor="text1"/>
          <w:sz w:val="16"/>
          <w:szCs w:val="16"/>
        </w:rPr>
        <w:softHyphen/>
        <w:t>сть 17,5 уз, дальность плавания 600 км при 10-узловой скорости. По малому бронекатеру (пр. 191) требовалось уложиться в водоиз</w:t>
      </w:r>
      <w:r w:rsidRPr="00070ADE">
        <w:rPr>
          <w:rFonts w:ascii="Times New Roman" w:hAnsi="Times New Roman"/>
          <w:color w:val="000000" w:themeColor="text1"/>
          <w:sz w:val="16"/>
          <w:szCs w:val="16"/>
        </w:rPr>
        <w:softHyphen/>
        <w:t>мещение 40 т, иметь скорость 15 уз и дальность плавания 300 км. Требования по вооружению оставались прежними, однако на ма</w:t>
      </w:r>
      <w:r w:rsidRPr="00070ADE">
        <w:rPr>
          <w:rFonts w:ascii="Times New Roman" w:hAnsi="Times New Roman"/>
          <w:color w:val="000000" w:themeColor="text1"/>
          <w:sz w:val="16"/>
          <w:szCs w:val="16"/>
        </w:rPr>
        <w:softHyphen/>
        <w:t>лом катере допускалась установка только одной пулеметной башни (3898).</w:t>
      </w:r>
    </w:p>
    <w:p w14:paraId="14C919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E416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в Ленинграде велась достройка 3 ПЛ, строилось 11 БМО, заложены 2 БМО; проводился аварийно-боевой ремонт на 6 БМО и ПЛ М-102. Закончен ремонт 10 ТК типа Д-3, 30 кате-ров типа КМ-4, 20 катеров типа КМ-5, 2 МО, кроме того, 6 МО переоборудовались в дымзавесчики. Начата установка двух РЛС на крейсере "Максим Горький". Ждановцы вели достройку 8 стотонников (10671).</w:t>
      </w:r>
    </w:p>
    <w:p w14:paraId="26496FA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A4D6AC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37074B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E6B38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данным по апрель 1944 г. с декабря 1942 г. анализ боевых повреждений Ил-2 из состава 1, 2 и 3-го шак, 211, 230 и 335-й шад, а также 6-го гшап, показывает, что: 27% всех повреждений Ил-2 приходилось на консоли и центроплан (обшивка, нервюры, лонжероны), 25% - на хвостовое оперение и управление рулями, 20% - на фюзеляж (обшивка, стрингера, шпангоуты), 10% - на элементы конструкции шасси (пирамида, подкосы, цилиндры выпуска), 8% повреждений составляли пробоины лопастей и цилиндра перестановки шага винта, 4% повреждений - на мотор и капоты, 3% - на радиаторы, 3% - на кабину и задний бензобак.</w:t>
      </w:r>
    </w:p>
    <w:p w14:paraId="0682FF3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Около 10% поврежденных самолетов Ил-2 отправлялись в ремонтные органы или списывались ввиду невозможности ремонта. Остальные 90% восстанавливались силами техсостава и полевых авиаремонтных мастерских.</w:t>
      </w:r>
    </w:p>
    <w:p w14:paraId="6A85B66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этом боевые повреждения составили 22,2% от общего количества самолето-вылетов, то есть примерно в каждом четвертом- пятом вылете Ил-2 получал повреждение.</w:t>
      </w:r>
    </w:p>
    <w:p w14:paraId="26B343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Установлено, что 6% повреждений приводили к вынужденным посадкам на своей территории или аварии и поломке при посадке на свой аэродром после возвращения с боевого задания. Как правило, это пулевые, снарядные и осколочные повреждения мас- лорадиатора, мотора, водосистемы, пневма- тиков колес, системы шасси, бензобаков, тяг и тросов системы управления. Остальные 94% боевых повреждений Ил-2 приводили к благополучной посадке на свой аэродром. В этих случаях самолеты ремонтировались в полевых условиях. </w:t>
      </w:r>
    </w:p>
    <w:p w14:paraId="4634DE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общего количества вынужденных посадок на своей территории, только 6% посадок были связаны с ранением летчика или нарушением работы мотора.</w:t>
      </w:r>
    </w:p>
    <w:p w14:paraId="753D75B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Наиболее частые серьезные повреждения Ил-2 от атак истребителей приходятся на задний верхний бензобак, расширительный бачок, лопасти винта, кабину пилота и воздушного стрелка, а от огня зенитной артиллерии - на маслорадиатор, задний верхний и нижний бензобаки, кабину воздушного стрелка, шасси, органы управления самолета, картер и блоки мотора (12020).</w:t>
      </w:r>
    </w:p>
    <w:p w14:paraId="51DAAF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D86B5F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апрель 1944 г. за период с декабря 1942 г. средний налет Ил-2, приходящийся на одну боевую безвозвратную потерю штурмовика, в дивизиях 1-го штурмового авиакорпуса составил 106 самолето-вылетов. Если учесть вместе возвратные (севшие на вынужденные посадки и возвращенные в строй) и безвозвратные потери (все списанные самолеты), то средний налет понижается до 40-45 самолето-вылетов на одну потерю Ил-2.</w:t>
      </w:r>
    </w:p>
    <w:p w14:paraId="43FE9DA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Естественно, в периоды некоторых операций потери штурмовиков и экипажей, отнесенные к налету, могли превышать указанные выше цифры.</w:t>
      </w:r>
    </w:p>
    <w:p w14:paraId="19F274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Важно учитывать, что в ВВС КА в оперативных сводках, донесениях и отчетах обычно указывались как возвратные, так и безвозвратные потери, отнесенные к выбранному периоду. Тогда как часть самолетов, севших на вынужденные посадки, через какое-то время восстанавливались и возвращались в строй (12020).</w:t>
      </w:r>
    </w:p>
    <w:p w14:paraId="055F7C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B351D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на БФ началась подготовка Ил-2 топмачтовиков в 6 шад и в Финском заливе сделали специальный полигон с мишенью шириной 50 м и высотой 1 м. Каждый экипаж сделал 50 заходов на прицеливание и 5-7 со сбросом бомб без взрывателей (1085,181).</w:t>
      </w:r>
    </w:p>
    <w:p w14:paraId="7FACBD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F2CB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перед штурмом Севастопольского УР 8-я ВА из 1023 боевых самолетов всех типов насчитывала 261 Ил-2. что составляло 24.6%. В Выборгской операции, в июне этого же года, группировка штурмовой авиации 13-и ВА и ВВС КБФ составила уже 35,7% (298 Ил-2) (от обшей численности авиационных сил, сосредоточенных для удара). Наивысших значений этот коэффициент достиг в 1-й и 2-й Восточно-Прусских операциях - 38,8%, 36.4%, соответственно. Для обеспечения прорыва немецкой обороны в этих операциях выделялось свыше 500 Ил-2.</w:t>
      </w:r>
    </w:p>
    <w:p w14:paraId="1D8852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несмотря на почти 3-5 кратное увеличение численности группировок Ил-2. задействованных в наступательных операциях 1943-45 гг., выделяемый ресурс на день операции по сравнению с первым периодом войны увеличился всего в 1.5-2 раза и составил 2-3 самолето-вылета на каждый исправный штурмовик.</w:t>
      </w:r>
    </w:p>
    <w:p w14:paraId="11E2E3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объясняется, прежде всего, тем, что коэффициент использования штурмовой авиации на фронте (отношение количества дней, когда летчики выполняли боевые вылеты, к общему количеству дней их пребывания на фронте) в среднем остался примерно на том же уровне, что и в первый период войны и равнялся 30-35%. То есть, что летчики-ШТУРМОВИКИ в среднем "были на войне" один из трех дней своего пребывания на фронте. И только в четырех операциях штурмовики летали в два раза чаще: в оборонительной операции под Курском, а также в Орловской, Белгородско-Харьковской и Берлинской наступательных операциях коэффициент загрузки штурмовых авиаполков составлял 60-63%.</w:t>
      </w:r>
    </w:p>
    <w:p w14:paraId="484F0F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Плотность Ил-2 в наступательных операциях 1943-45 гг. была увеличена в 6-7 раз по сравнению с таковой в первый период войны и в среднем равнялась 32-35 самолетам на 1 км фронта (8687).</w:t>
      </w:r>
    </w:p>
    <w:p w14:paraId="1C0DE7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8990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Апрельским 1944 года постановлением ГКО предписывалось перевооружить шесть авиадивизий на истребители Як-9Т и одну - на Як-9К. Но в массовое производство самолет не пошел из-за недостаточной надежности 45-мм орудия, хотя промышленность сдала заказчику 53 машины, большая часть из которых проходила войсковые испытания в 274-м иап 278-й иад и в 812-м иап 65-й иад (12046).</w:t>
      </w:r>
    </w:p>
    <w:p w14:paraId="246742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86CEA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года на ЧМФ 36-й полк минировал Дунайское устье, подходы к Констанце и Сулину (3457,109).</w:t>
      </w:r>
    </w:p>
    <w:p w14:paraId="756B32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724C29" w14:textId="77777777" w:rsidR="002F70F0" w:rsidRPr="00070ADE" w:rsidRDefault="002F70F0" w:rsidP="00B56F90">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070ADE">
        <w:rPr>
          <w:rFonts w:ascii="Times New Roman" w:hAnsi="Times New Roman" w:cs="Times New Roman"/>
          <w:color w:val="000000" w:themeColor="text1"/>
          <w:spacing w:val="0"/>
          <w:sz w:val="16"/>
          <w:szCs w:val="16"/>
        </w:rPr>
        <w:t>В апреле 1944 г. (то есть, когда Красная Армия освободила Крым) англо</w:t>
      </w:r>
      <w:r w:rsidRPr="00070ADE">
        <w:rPr>
          <w:rFonts w:ascii="Times New Roman" w:hAnsi="Times New Roman" w:cs="Times New Roman"/>
          <w:color w:val="000000" w:themeColor="text1"/>
          <w:spacing w:val="0"/>
          <w:sz w:val="16"/>
          <w:szCs w:val="16"/>
        </w:rPr>
        <w:softHyphen/>
        <w:t>американская авиация приступила к минированию Дуная. С апреля по сентябрь 1944 г. англо-аме- риканская авиация производила минные постановки на всем протяжении Нижнего и Среднего Дуная:</w:t>
      </w:r>
    </w:p>
    <w:p w14:paraId="37E09531" w14:textId="77777777" w:rsidR="002F70F0" w:rsidRPr="00070ADE" w:rsidRDefault="002F70F0" w:rsidP="00B56F90">
      <w:pPr>
        <w:pStyle w:val="101"/>
        <w:numPr>
          <w:ilvl w:val="0"/>
          <w:numId w:val="2"/>
        </w:numPr>
        <w:shd w:val="clear" w:color="auto" w:fill="auto"/>
        <w:tabs>
          <w:tab w:val="left" w:pos="200"/>
        </w:tabs>
        <w:spacing w:after="0" w:line="240" w:lineRule="auto"/>
        <w:ind w:left="720"/>
        <w:jc w:val="both"/>
        <w:rPr>
          <w:rFonts w:ascii="Times New Roman" w:hAnsi="Times New Roman" w:cs="Times New Roman"/>
          <w:color w:val="000000" w:themeColor="text1"/>
          <w:spacing w:val="0"/>
          <w:sz w:val="16"/>
          <w:szCs w:val="16"/>
        </w:rPr>
      </w:pPr>
      <w:r w:rsidRPr="00070ADE">
        <w:rPr>
          <w:rFonts w:ascii="Times New Roman" w:hAnsi="Times New Roman" w:cs="Times New Roman"/>
          <w:color w:val="000000" w:themeColor="text1"/>
          <w:spacing w:val="0"/>
          <w:sz w:val="16"/>
          <w:szCs w:val="16"/>
        </w:rPr>
        <w:t>в районе Никополь - Орехово с 13 июля по 10 августа выставлено 175 мин;</w:t>
      </w:r>
    </w:p>
    <w:p w14:paraId="3DC8398A" w14:textId="77777777" w:rsidR="002F70F0" w:rsidRPr="00070ADE" w:rsidRDefault="002F70F0" w:rsidP="00B56F90">
      <w:pPr>
        <w:pStyle w:val="101"/>
        <w:numPr>
          <w:ilvl w:val="0"/>
          <w:numId w:val="2"/>
        </w:numPr>
        <w:shd w:val="clear" w:color="auto" w:fill="auto"/>
        <w:tabs>
          <w:tab w:val="left" w:pos="200"/>
        </w:tabs>
        <w:spacing w:after="0" w:line="240" w:lineRule="auto"/>
        <w:ind w:left="720"/>
        <w:jc w:val="both"/>
        <w:rPr>
          <w:rFonts w:ascii="Times New Roman" w:hAnsi="Times New Roman" w:cs="Times New Roman"/>
          <w:color w:val="000000" w:themeColor="text1"/>
          <w:spacing w:val="0"/>
          <w:sz w:val="16"/>
          <w:szCs w:val="16"/>
        </w:rPr>
      </w:pPr>
      <w:r w:rsidRPr="00070ADE">
        <w:rPr>
          <w:rFonts w:ascii="Times New Roman" w:hAnsi="Times New Roman" w:cs="Times New Roman"/>
          <w:color w:val="000000" w:themeColor="text1"/>
          <w:spacing w:val="0"/>
          <w:sz w:val="16"/>
          <w:szCs w:val="16"/>
        </w:rPr>
        <w:t>в районе Лом - Видин - Ново-Село в это же время выставлено 175 мин;</w:t>
      </w:r>
    </w:p>
    <w:p w14:paraId="45543A93" w14:textId="77777777" w:rsidR="002F70F0" w:rsidRPr="00070ADE" w:rsidRDefault="002F70F0" w:rsidP="00B56F90">
      <w:pPr>
        <w:pStyle w:val="101"/>
        <w:numPr>
          <w:ilvl w:val="0"/>
          <w:numId w:val="2"/>
        </w:numPr>
        <w:shd w:val="clear" w:color="auto" w:fill="auto"/>
        <w:tabs>
          <w:tab w:val="left" w:pos="196"/>
        </w:tabs>
        <w:spacing w:after="0" w:line="240" w:lineRule="auto"/>
        <w:ind w:left="720"/>
        <w:jc w:val="both"/>
        <w:rPr>
          <w:rFonts w:ascii="Times New Roman" w:hAnsi="Times New Roman" w:cs="Times New Roman"/>
          <w:color w:val="000000" w:themeColor="text1"/>
          <w:spacing w:val="0"/>
          <w:sz w:val="16"/>
          <w:szCs w:val="16"/>
        </w:rPr>
      </w:pPr>
      <w:r w:rsidRPr="00070ADE">
        <w:rPr>
          <w:rFonts w:ascii="Times New Roman" w:hAnsi="Times New Roman" w:cs="Times New Roman"/>
          <w:color w:val="000000" w:themeColor="text1"/>
          <w:spacing w:val="0"/>
          <w:sz w:val="16"/>
          <w:szCs w:val="16"/>
        </w:rPr>
        <w:t>в районе Железных ворот выставлено 150 мин.</w:t>
      </w:r>
    </w:p>
    <w:p w14:paraId="4B57F244" w14:textId="77777777" w:rsidR="002F70F0" w:rsidRPr="00070ADE" w:rsidRDefault="002F70F0" w:rsidP="00B56F90">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070ADE">
        <w:rPr>
          <w:rFonts w:ascii="Times New Roman" w:hAnsi="Times New Roman" w:cs="Times New Roman"/>
          <w:color w:val="000000" w:themeColor="text1"/>
          <w:spacing w:val="0"/>
          <w:sz w:val="16"/>
          <w:szCs w:val="16"/>
        </w:rPr>
        <w:t>Наиболее ранние по времени и интенсивные по количеству минные постановки производились на участке реки ниже Белграда - с 8 апреля по 27 августа выставлено 476 мин. В рай</w:t>
      </w:r>
      <w:r w:rsidRPr="00070ADE">
        <w:rPr>
          <w:rFonts w:ascii="Times New Roman" w:hAnsi="Times New Roman" w:cs="Times New Roman"/>
          <w:color w:val="000000" w:themeColor="text1"/>
          <w:spacing w:val="0"/>
          <w:sz w:val="16"/>
          <w:szCs w:val="16"/>
        </w:rPr>
        <w:softHyphen/>
        <w:t>оне впадения в Дунай реки Тиса 4 и 5 сентября выставлено 102 мины. На участке реки от Мохача до порта Илок с 8 апреля по 6 сентября выставлено 285 мин. На участке реки выше Мо</w:t>
      </w:r>
      <w:r w:rsidRPr="00070ADE">
        <w:rPr>
          <w:rFonts w:ascii="Times New Roman" w:hAnsi="Times New Roman" w:cs="Times New Roman"/>
          <w:color w:val="000000" w:themeColor="text1"/>
          <w:spacing w:val="0"/>
          <w:sz w:val="16"/>
          <w:szCs w:val="16"/>
        </w:rPr>
        <w:softHyphen/>
        <w:t>хача до Дунапентеле со 2 августа по 5 сентября было выставлено 718 мин. Всего англо-американской авиацией с апреля по сентябрь 1944 г. на Дунае было вы</w:t>
      </w:r>
      <w:r w:rsidRPr="00070ADE">
        <w:rPr>
          <w:rFonts w:ascii="Times New Roman" w:hAnsi="Times New Roman" w:cs="Times New Roman"/>
          <w:color w:val="000000" w:themeColor="text1"/>
          <w:spacing w:val="0"/>
          <w:sz w:val="16"/>
          <w:szCs w:val="16"/>
        </w:rPr>
        <w:softHyphen/>
        <w:t>ставлено 2445 мин. (18980).</w:t>
      </w:r>
    </w:p>
    <w:p w14:paraId="07F604E1" w14:textId="77777777" w:rsidR="002F70F0" w:rsidRPr="00070ADE" w:rsidRDefault="002F70F0" w:rsidP="00B56F90">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070ADE">
        <w:rPr>
          <w:rFonts w:ascii="Times New Roman" w:hAnsi="Times New Roman" w:cs="Times New Roman"/>
          <w:color w:val="000000" w:themeColor="text1"/>
          <w:spacing w:val="0"/>
          <w:sz w:val="16"/>
          <w:szCs w:val="16"/>
        </w:rPr>
        <w:t>Спору нет, минирование Дуная на</w:t>
      </w:r>
      <w:r w:rsidRPr="00070ADE">
        <w:rPr>
          <w:rFonts w:ascii="Times New Roman" w:hAnsi="Times New Roman" w:cs="Times New Roman"/>
          <w:color w:val="000000" w:themeColor="text1"/>
          <w:spacing w:val="0"/>
          <w:sz w:val="16"/>
          <w:szCs w:val="16"/>
        </w:rPr>
        <w:softHyphen/>
        <w:t>несло определенный ущерб Германии и ее союзникам. От англо-американских донных мин погибло до 40 германских, венгерских и румынских судов. В то же время союзные мины создали большие проблемы для советской Дунайской флотилии и затруднили движение Крас</w:t>
      </w:r>
      <w:r w:rsidRPr="00070ADE">
        <w:rPr>
          <w:rFonts w:ascii="Times New Roman" w:hAnsi="Times New Roman" w:cs="Times New Roman"/>
          <w:color w:val="000000" w:themeColor="text1"/>
          <w:spacing w:val="0"/>
          <w:sz w:val="16"/>
          <w:szCs w:val="16"/>
        </w:rPr>
        <w:softHyphen/>
        <w:t>ной Армии. Ни советские, ни западные историки так и не удосужились посчи</w:t>
      </w:r>
      <w:r w:rsidRPr="00070ADE">
        <w:rPr>
          <w:rFonts w:ascii="Times New Roman" w:hAnsi="Times New Roman" w:cs="Times New Roman"/>
          <w:color w:val="000000" w:themeColor="text1"/>
          <w:spacing w:val="0"/>
          <w:sz w:val="16"/>
          <w:szCs w:val="16"/>
        </w:rPr>
        <w:softHyphen/>
        <w:t>тать, кому больший вред нанесло мини</w:t>
      </w:r>
      <w:r w:rsidRPr="00070ADE">
        <w:rPr>
          <w:rFonts w:ascii="Times New Roman" w:hAnsi="Times New Roman" w:cs="Times New Roman"/>
          <w:color w:val="000000" w:themeColor="text1"/>
          <w:spacing w:val="0"/>
          <w:sz w:val="16"/>
          <w:szCs w:val="16"/>
        </w:rPr>
        <w:softHyphen/>
        <w:t>рование Дуная англо-американской ави</w:t>
      </w:r>
      <w:r w:rsidRPr="00070ADE">
        <w:rPr>
          <w:rFonts w:ascii="Times New Roman" w:hAnsi="Times New Roman" w:cs="Times New Roman"/>
          <w:color w:val="000000" w:themeColor="text1"/>
          <w:spacing w:val="0"/>
          <w:sz w:val="16"/>
          <w:szCs w:val="16"/>
        </w:rPr>
        <w:softHyphen/>
        <w:t>ацией - вермахту или Красной Армии? На мой взгляд, гораздо больший ущерб нанесен нашей армии и Дунайской фло</w:t>
      </w:r>
      <w:r w:rsidRPr="00070ADE">
        <w:rPr>
          <w:rFonts w:ascii="Times New Roman" w:hAnsi="Times New Roman" w:cs="Times New Roman"/>
          <w:color w:val="000000" w:themeColor="text1"/>
          <w:spacing w:val="0"/>
          <w:sz w:val="16"/>
          <w:szCs w:val="16"/>
        </w:rPr>
        <w:softHyphen/>
        <w:t>тилии. И почему минные постановки начались в 1944 г., а не в 1941 г.?</w:t>
      </w:r>
    </w:p>
    <w:p w14:paraId="0425EDFB" w14:textId="77777777" w:rsidR="002F70F0" w:rsidRPr="00070ADE" w:rsidRDefault="002F70F0" w:rsidP="00B56F90">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070ADE">
        <w:rPr>
          <w:rFonts w:ascii="Times New Roman" w:hAnsi="Times New Roman" w:cs="Times New Roman"/>
          <w:color w:val="000000" w:themeColor="text1"/>
          <w:spacing w:val="0"/>
          <w:sz w:val="16"/>
          <w:szCs w:val="16"/>
        </w:rPr>
        <w:t>А теперь перейдем к весьма деликат</w:t>
      </w:r>
      <w:r w:rsidRPr="00070ADE">
        <w:rPr>
          <w:rFonts w:ascii="Times New Roman" w:hAnsi="Times New Roman" w:cs="Times New Roman"/>
          <w:color w:val="000000" w:themeColor="text1"/>
          <w:spacing w:val="0"/>
          <w:sz w:val="16"/>
          <w:szCs w:val="16"/>
        </w:rPr>
        <w:softHyphen/>
        <w:t>ной теме - влиянию союзных бомбардиро</w:t>
      </w:r>
      <w:r w:rsidRPr="00070ADE">
        <w:rPr>
          <w:rFonts w:ascii="Times New Roman" w:hAnsi="Times New Roman" w:cs="Times New Roman"/>
          <w:color w:val="000000" w:themeColor="text1"/>
          <w:spacing w:val="0"/>
          <w:sz w:val="16"/>
          <w:szCs w:val="16"/>
        </w:rPr>
        <w:softHyphen/>
        <w:t>вок на производство и экспорт румынской нефти.</w:t>
      </w:r>
    </w:p>
    <w:p w14:paraId="3E27592D" w14:textId="77777777" w:rsidR="002F70F0" w:rsidRPr="00070ADE" w:rsidRDefault="002F70F0" w:rsidP="00B56F90">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070ADE">
        <w:rPr>
          <w:rFonts w:ascii="Times New Roman" w:hAnsi="Times New Roman" w:cs="Times New Roman"/>
          <w:color w:val="000000" w:themeColor="text1"/>
          <w:spacing w:val="0"/>
          <w:sz w:val="16"/>
          <w:szCs w:val="16"/>
        </w:rPr>
        <w:t>Англоязычные авторы пишут о много</w:t>
      </w:r>
      <w:r w:rsidRPr="00070ADE">
        <w:rPr>
          <w:rFonts w:ascii="Times New Roman" w:hAnsi="Times New Roman" w:cs="Times New Roman"/>
          <w:color w:val="000000" w:themeColor="text1"/>
          <w:spacing w:val="0"/>
          <w:sz w:val="16"/>
          <w:szCs w:val="16"/>
        </w:rPr>
        <w:softHyphen/>
        <w:t>численных разрушениях и даже уничтоже</w:t>
      </w:r>
      <w:r w:rsidRPr="00070ADE">
        <w:rPr>
          <w:rFonts w:ascii="Times New Roman" w:hAnsi="Times New Roman" w:cs="Times New Roman"/>
          <w:color w:val="000000" w:themeColor="text1"/>
          <w:spacing w:val="0"/>
          <w:sz w:val="16"/>
          <w:szCs w:val="16"/>
        </w:rPr>
        <w:softHyphen/>
        <w:t>нии многих румынских нефтеперерабаты</w:t>
      </w:r>
      <w:r w:rsidRPr="00070ADE">
        <w:rPr>
          <w:rFonts w:ascii="Times New Roman" w:hAnsi="Times New Roman" w:cs="Times New Roman"/>
          <w:color w:val="000000" w:themeColor="text1"/>
          <w:spacing w:val="0"/>
          <w:sz w:val="16"/>
          <w:szCs w:val="16"/>
        </w:rPr>
        <w:softHyphen/>
        <w:t>вающих заводов. Ну а наши «любители» старательно переписывают оные данные, без всяких комментариев.</w:t>
      </w:r>
    </w:p>
    <w:p w14:paraId="0694E686" w14:textId="77777777" w:rsidR="002F70F0" w:rsidRPr="00070ADE" w:rsidRDefault="002F70F0" w:rsidP="00B56F90">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070ADE">
        <w:rPr>
          <w:rFonts w:ascii="Times New Roman" w:hAnsi="Times New Roman" w:cs="Times New Roman"/>
          <w:color w:val="000000" w:themeColor="text1"/>
          <w:spacing w:val="0"/>
          <w:sz w:val="16"/>
          <w:szCs w:val="16"/>
        </w:rPr>
        <w:t>Я, естественно, не буду спорить по каждому конкретному объекту, а лишь при</w:t>
      </w:r>
      <w:r w:rsidRPr="00070ADE">
        <w:rPr>
          <w:rFonts w:ascii="Times New Roman" w:hAnsi="Times New Roman" w:cs="Times New Roman"/>
          <w:color w:val="000000" w:themeColor="text1"/>
          <w:spacing w:val="0"/>
          <w:sz w:val="16"/>
          <w:szCs w:val="16"/>
        </w:rPr>
        <w:softHyphen/>
        <w:t>веду известные данные по производству и экспорту румынской нефти.</w:t>
      </w:r>
    </w:p>
    <w:p w14:paraId="195C479F" w14:textId="77777777" w:rsidR="002F70F0" w:rsidRPr="00070ADE" w:rsidRDefault="002F70F0" w:rsidP="00B56F90">
      <w:pPr>
        <w:spacing w:after="0" w:line="240" w:lineRule="auto"/>
        <w:jc w:val="both"/>
        <w:rPr>
          <w:rFonts w:ascii="Times New Roman" w:hAnsi="Times New Roman"/>
          <w:color w:val="000000" w:themeColor="text1"/>
          <w:sz w:val="16"/>
          <w:szCs w:val="16"/>
        </w:rPr>
      </w:pPr>
    </w:p>
    <w:p w14:paraId="043467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года полк 112-й (впоследствии 26-й гвардейский) ночных охотников-блокировщиков дальнего действия, входившие в корпуса АДД, на Бостонах A-20G участвовал в налете на Констанцу: его самолеты атаковали близлежащие румынские аэродромы и подавляли средства ПВО. В распоряжении летчиков 112-го полка были не только пушки и пулеметы, по и реактивные снаряды PC-82, подвешенные под крыльями. Чаще всего их выпускали по самолетам на стоянках, но в том же апреле 1944 года ими штурмовали по ночам немецкие суда, вывозившие войска из Севастополя. В 48-м гвардейском дальнеразведывательном полку PC-82 использовали не только для нападения, но и для обороны. В придачу к подвеске под крыльями там монтировали две пусковые балки под задней частью фюзеляжа. Ракеты с них выпускались назад, поражая противника в "мертвой зоне" за хвостом (3457,110).</w:t>
      </w:r>
    </w:p>
    <w:p w14:paraId="696B7B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6D63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года смесью Б-3 н А-20С вооружили еще один полк, 13-й бомбардировочный (3457,106).</w:t>
      </w:r>
    </w:p>
    <w:p w14:paraId="0E7D87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CE64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332-й ал ДЦ начал формироваться в составе 3-й гвардейской авиадивизии ДД. Основные руководящие кадры были взяты из 10-го и 20-го гв. ап ДЦ, а командиром части стал гвардии подполковник А.П.Митянин (3322,48).</w:t>
      </w:r>
    </w:p>
    <w:p w14:paraId="08E654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388B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началось формирование 328-го ап ДД на Ер-2 на аэродроме Попельня (Киевская обл.) в составе 7-й гвардейской авиадивизии ДД (3-й гв. ак ДД). Командный состав полка был взят из 9-го и 21-го ап ДД (командиры эскадрилий и выше), остальной личный состав - из школ и училищ АДД. Командиром полка назначили гвардии майора И.М.Табибишева, но 27 июля в одном из тренировочных полетов в Астафьево он погиб в авиакатастрофе. Его место занял гвардии майор Г.Е.Подоба. В августе 1944 г. полк перебазировался в Белую Церковь (3322,47).</w:t>
      </w:r>
    </w:p>
    <w:p w14:paraId="1F509A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3C6E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руководящий состав инженерно-технической службы вновь сформированных полков Ер-2 проходил сборы при заводе N 500 в Тушино, где изучал конструкцию и правила эксплуатации дизелей. На сборы привлекались заместители командиров полков по ИАС и инженеры эскадрилий (3322,46).</w:t>
      </w:r>
    </w:p>
    <w:p w14:paraId="1359A4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FFB6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при управлении 1-го гвардейского авиакорпуса ДД началось формирование 326-го авиаполка ДД на самолетах Ер-2. По штату N 015/419 каждый полк должен был иметь 208 офицеров, 233 сержанта и старшины, 32 самолета Ер-2 и один У-2. Командиром 326-го полка назначили бывшего заместителя командира 17 гв. ап ДД подполковника П.П.Маркова. Комплектование производилось преимущественно за счет 1-й и 6-й гвардейских авиадивизий ДД. Правые летчики поступали из школ АДД, младший техсостав - из Челябинского военного авиационного училища, 27-й заб и Ижевской авиашколы (3322,46).</w:t>
      </w:r>
    </w:p>
    <w:p w14:paraId="1D1562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67AB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из трех первых переданных в АДД машин Ер-2 М-30Б две получил НИИ ВВС, а третью оставили в 73-й вад для подготовки и переучивания ее летчиков на новую матчасть. 73-я вспомогательная авиадивизия - вад, специально была развернута в составе АДД для перегонки самолетов по сибирской трассе (3322,43).</w:t>
      </w:r>
    </w:p>
    <w:p w14:paraId="1C342D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CC128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П-5 младшего лейтенанта Новоселова трижды за одну ночь попадал под огонь истребителей. Пули и снаряды перебили лонжероны фюзеляжа и один из лонжеронов нижней плоскости. Но самолет сел у партизан. На другой машине на место доставили техника Седунина, который за два дня более-менее привел биплан в порядок. Новоселов полетел обратно, но над линией фронта рядом разорвался зенитный снаряд. Это оказалось чересчур даже для живучего П-5. При вынужденной посадке он был разбит и списан. Но экипаж остался жив и продолжал воевать (12034).</w:t>
      </w:r>
    </w:p>
    <w:p w14:paraId="67EF1D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B56549A"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Последний полёт на планёре к пар</w:t>
      </w:r>
      <w:r w:rsidRPr="00070ADE">
        <w:rPr>
          <w:rFonts w:ascii="Times New Roman" w:hAnsi="Times New Roman"/>
          <w:color w:val="000000" w:themeColor="text1"/>
          <w:sz w:val="16"/>
          <w:szCs w:val="16"/>
        </w:rPr>
        <w:softHyphen/>
        <w:t>тизанам Белоруссии в район Ушачи совершил А. Синицын. На этом боевые планёрные операции в Великой Отечественной войне закон</w:t>
      </w:r>
      <w:r w:rsidRPr="00070ADE">
        <w:rPr>
          <w:rFonts w:ascii="Times New Roman" w:hAnsi="Times New Roman"/>
          <w:color w:val="000000" w:themeColor="text1"/>
          <w:sz w:val="16"/>
          <w:szCs w:val="16"/>
        </w:rPr>
        <w:softHyphen/>
        <w:t>чились (12266).</w:t>
      </w:r>
    </w:p>
    <w:p w14:paraId="19F874B6" w14:textId="77777777" w:rsidR="00552857" w:rsidRPr="00070ADE" w:rsidRDefault="00552857" w:rsidP="00B56F90">
      <w:pPr>
        <w:spacing w:after="0" w:line="240" w:lineRule="auto"/>
        <w:jc w:val="both"/>
        <w:rPr>
          <w:rFonts w:ascii="Times New Roman" w:hAnsi="Times New Roman"/>
          <w:color w:val="000000" w:themeColor="text1"/>
          <w:sz w:val="16"/>
          <w:szCs w:val="16"/>
        </w:rPr>
      </w:pPr>
    </w:p>
    <w:p w14:paraId="6BA218A5" w14:textId="77777777" w:rsidR="00552857" w:rsidRPr="00070ADE" w:rsidRDefault="00552857" w:rsidP="00B56F90">
      <w:pPr>
        <w:pStyle w:val="a3"/>
        <w:rPr>
          <w:color w:val="000000" w:themeColor="text1"/>
          <w:lang w:val="ru-RU"/>
        </w:rPr>
      </w:pPr>
      <w:r w:rsidRPr="00070ADE">
        <w:rPr>
          <w:color w:val="000000" w:themeColor="text1"/>
          <w:lang w:val="ru-RU"/>
        </w:rPr>
        <w:t>В апреле 1944 года в ходе боёв на Правобережной Украине танк ИС-2 получил боевое крещение. После того, как поршневой затвор А-19 был заменён на клиновый полуавтоматический, пушка стала называться Д-25Т (опытный образец изготовлен и испытан в январе 1944 года). Скорострельность пушки с новым затвором была значительно выше, но экипаж не мог пользоваться новыми техническими возможностями в полной мере. При высоких темпах стрельбы система вентиляции танка переставала справляться со своими обязанностями, и воздух в боевом отделении слишком сильно загрязнялся пороховыми газами.</w:t>
      </w:r>
    </w:p>
    <w:p w14:paraId="44986A6D" w14:textId="77777777" w:rsidR="00552857" w:rsidRPr="00070ADE" w:rsidRDefault="00552857" w:rsidP="00B56F90">
      <w:pPr>
        <w:pStyle w:val="a3"/>
        <w:rPr>
          <w:color w:val="000000" w:themeColor="text1"/>
          <w:lang w:val="ru-RU"/>
        </w:rPr>
      </w:pPr>
      <w:r w:rsidRPr="00070ADE">
        <w:rPr>
          <w:color w:val="000000" w:themeColor="text1"/>
          <w:lang w:val="ru-RU"/>
        </w:rPr>
        <w:t>Окончательно формирование облика танка ИС завершилось после изменения формы лобового листа корпуса. Дело в том, что лобовой лист корпуса первых ИСов был ломаной формы, которая была традиционной скорее для немецкого, чем для советского танкостроения. Такая форма создавала удобные условия для работы механика-водителя, но ослабляла защищённость танка. Поэтому в 1944 году танкостроители перешли к «спрямлённому носу», что к тому же облегчило производство корпуса.</w:t>
      </w:r>
    </w:p>
    <w:p w14:paraId="2637B470" w14:textId="77777777" w:rsidR="00552857" w:rsidRPr="00070ADE" w:rsidRDefault="00552857" w:rsidP="00B56F90">
      <w:pPr>
        <w:pStyle w:val="a3"/>
        <w:rPr>
          <w:color w:val="000000" w:themeColor="text1"/>
          <w:lang w:val="ru-RU"/>
        </w:rPr>
      </w:pPr>
      <w:r w:rsidRPr="00070ADE">
        <w:rPr>
          <w:color w:val="000000" w:themeColor="text1"/>
          <w:lang w:val="ru-RU"/>
        </w:rPr>
        <w:t>Создание танка ИС было самой радикальной мерой советского танкостроения, предпринятой с целью добиться качественного превосходства над противником. Танк ИС вобрал в себя лучшие достижения конструкторской мысли советских танкостроителей, сочетая в себе высокую приспособленность к массовому производству, мощное вооружение, способное бороться с любыми танками противника, сильную бронезащиту лобовой проекции, неуязвимую для большинства пушек противника, разделение обязанностей наводчика и командира между разными членами экипажа и внимание к таким «мелочам», которые ранее считались третьестепенными, как, например, качественный воздухоочиститель для двигателя, или система подогрева для зимних условий. Танк имел совершенную систему охлаждения, позволявшую использовать двигатель на полную мощность, двойной воздухоочиститель с грубой и тонкой очисткой воздуха, специальную аппаратуру подогрева воздуха, поступающего в двигатель, и много других усовершенствований, повышающих надежность (М. Барятинский. Тяжелый танк ИС//Бронеколлекция. 1998. № 3. С. 13-14). ИС обладал уникальной для тяжелых танков подвижностью, сближавшей его со средними танками. Его средняя скорость движения по дороге на испытаниях превзошла среднюю скорость танка Т-34 (РГАЭ. Ф. 8798. Оп. 4. Д. 5. Л. 220 - 221). Эти великолепные результаты были достигнуты благодаря хорошей подвеске и трансмиссии, в том числе планетарному механизму поворота. Фактически ИС относился к промежуточному классу между средними и тяжелыми танками, так же, как, например, немецкая «Пантера». Сам ИС можно считать одним из непосредственных предшественников будущих основных боевых танков. Броня лобовой проекции танка ИС гарантировала ему безопасность от снарядов практически любых немецких танковых и противотанковых орудий (кроме длинноствольных 88-миллиметровых пушек КЖК 43). Единственным недостатком ИС-2 была низкая скорострельность (из-за раздельного заряжания заряжающему приходилось делать двойную работу) и маленький боекомплект орудия. Правда, оно сочетало в себе высокую бронепробиваемость, дававшую танку возможность поражать сильнобронированные места любых немецких танков и САУ, кроме «Королевского Тигра» и «Фердинанда», мощное заброневое действие, гарантированно выводящее противника из строя, и большую мощность фугасного снаряда, который превосходно разрушал укрепления. На танке были установлены новые, более совершенные прицелы и приборы наблюдения, в том числе, скопированный английский танковый перископ МК-4 (12290).</w:t>
      </w:r>
    </w:p>
    <w:p w14:paraId="4211E230" w14:textId="77777777" w:rsidR="00552857" w:rsidRPr="00070ADE" w:rsidRDefault="00552857" w:rsidP="00B56F90">
      <w:pPr>
        <w:spacing w:after="0" w:line="240" w:lineRule="auto"/>
        <w:jc w:val="both"/>
        <w:rPr>
          <w:rFonts w:ascii="Times New Roman" w:hAnsi="Times New Roman"/>
          <w:color w:val="000000" w:themeColor="text1"/>
          <w:sz w:val="16"/>
          <w:szCs w:val="16"/>
        </w:rPr>
      </w:pPr>
    </w:p>
    <w:p w14:paraId="431F19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ввиду практической бесполезности ПТР в борьбе с немецкими средними и тяжелыми танками рота противотанковых ружей мотострелкового батальона была обращена на доукомплектование экипажей новых тан</w:t>
      </w:r>
      <w:r w:rsidRPr="00070ADE">
        <w:rPr>
          <w:rFonts w:ascii="Times New Roman" w:hAnsi="Times New Roman"/>
          <w:color w:val="000000" w:themeColor="text1"/>
          <w:sz w:val="16"/>
          <w:szCs w:val="16"/>
        </w:rPr>
        <w:softHyphen/>
        <w:t>ков. На этот штат прежде других переводились танковые бригады, входившие в состав танковых и механизированных корпусов. В дальнейшем, вплоть до конца войны, организа</w:t>
      </w:r>
      <w:r w:rsidRPr="00070ADE">
        <w:rPr>
          <w:rFonts w:ascii="Times New Roman" w:hAnsi="Times New Roman"/>
          <w:color w:val="000000" w:themeColor="text1"/>
          <w:sz w:val="16"/>
          <w:szCs w:val="16"/>
        </w:rPr>
        <w:softHyphen/>
        <w:t>ция танковой бригады уже практически не менялась (11135).</w:t>
      </w:r>
    </w:p>
    <w:p w14:paraId="1B1FBA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51E1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с выходом Красной Армии к Днестру ДуВФ была создана вновь для содействия войскам в наступательных операциях по освобождению Придунайских государств. В нее вошли 50 бронекатеров, 18 минометных катеров, 22 тральщика, 16 полуглиссеров, отдельный батальон морской пехоты, зенитно-артиллерийский дивизион, 4 артиллерийские батареи. В ходе боевых действий силы флотилии были увеличены (около 60 БКА, 38 ТЩ, артиллерийские средства).</w:t>
      </w:r>
    </w:p>
    <w:p w14:paraId="7F53ED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ДФ успешно взаимодействовала с сухопутными войсками в Ясско-Кишиневской, Белградской, Будапештской и Венской наступательных операциях, при форсировании Днестровского лимана; высадила 20 тактических десантов, поддерживала огнем артиллерии десанты и приречные фланги частей, перевозила войска и воинские грузы в оперативных масштабах. Всего было переправлено более 900 тыс. человек, свыше 1,5 тыс. танков и САУ, 7 тыс. орудий и минометов, 450 тыс. т военных грузов. Корабли флотилии прошли с боями по Дунаю более 2 тыс. км, уничтожили до 600 мин. </w:t>
      </w:r>
    </w:p>
    <w:p w14:paraId="51DC625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За боевые заслуги флотилия награждена орденами Красного Знамени, Нахимова I степени, Кутузова II степени. Ее соединениям и частям присвоены почетные наименования Сулинских, Тульчинских, Белградских, Братиславских, Венских. </w:t>
      </w:r>
    </w:p>
    <w:p w14:paraId="0EB6509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Флотилией командовали: Н. О. Абрамов (июнь 1940 — сентябрь 1941), А. С.Фролов (сентябрь — ноябрь 1941), С. Г. Горшков (апрель — декабрь 1944), Г. Н. Холостяков (декабрь 1944 — май 1945) (11712).</w:t>
      </w:r>
    </w:p>
    <w:p w14:paraId="033EA3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88E73E8" w14:textId="77777777" w:rsidR="000656CD" w:rsidRPr="00C94B78" w:rsidRDefault="000656C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апреле 1944 г. по соглашению с правительством Чехословакии, нахо</w:t>
      </w:r>
      <w:r w:rsidRPr="00C94B78">
        <w:rPr>
          <w:rFonts w:ascii="Times New Roman" w:hAnsi="Times New Roman"/>
          <w:color w:val="0070C0"/>
          <w:sz w:val="16"/>
          <w:szCs w:val="16"/>
        </w:rPr>
        <w:softHyphen/>
        <w:t>дившемся тогда в Лондоне, на терри</w:t>
      </w:r>
      <w:r w:rsidRPr="00C94B78">
        <w:rPr>
          <w:rFonts w:ascii="Times New Roman" w:hAnsi="Times New Roman"/>
          <w:color w:val="0070C0"/>
          <w:sz w:val="16"/>
          <w:szCs w:val="16"/>
        </w:rPr>
        <w:softHyphen/>
        <w:t>тории СССР начала формироваться отдельная чехословацкая истребитель</w:t>
      </w:r>
      <w:r w:rsidRPr="00C94B78">
        <w:rPr>
          <w:rFonts w:ascii="Times New Roman" w:hAnsi="Times New Roman"/>
          <w:color w:val="0070C0"/>
          <w:sz w:val="16"/>
          <w:szCs w:val="16"/>
        </w:rPr>
        <w:softHyphen/>
        <w:t>ная эскадрилья Костяк летного состава составили опытные пилоты, сражавши</w:t>
      </w:r>
      <w:r w:rsidRPr="00C94B78">
        <w:rPr>
          <w:rFonts w:ascii="Times New Roman" w:hAnsi="Times New Roman"/>
          <w:color w:val="0070C0"/>
          <w:sz w:val="16"/>
          <w:szCs w:val="16"/>
        </w:rPr>
        <w:softHyphen/>
        <w:t>еся с гитлеровцами в рядах британс</w:t>
      </w:r>
      <w:r w:rsidRPr="00C94B78">
        <w:rPr>
          <w:rFonts w:ascii="Times New Roman" w:hAnsi="Times New Roman"/>
          <w:color w:val="0070C0"/>
          <w:sz w:val="16"/>
          <w:szCs w:val="16"/>
        </w:rPr>
        <w:softHyphen/>
        <w:t>ких ВВС Их перебросили в Советский Союз морем через Мурманск.</w:t>
      </w:r>
    </w:p>
    <w:p w14:paraId="7C016185" w14:textId="77777777" w:rsidR="000656CD" w:rsidRPr="00C94B78" w:rsidRDefault="000656C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Первоначально эта часть именова</w:t>
      </w:r>
      <w:r w:rsidRPr="00C94B78">
        <w:rPr>
          <w:rFonts w:ascii="Times New Roman" w:hAnsi="Times New Roman"/>
          <w:color w:val="0070C0"/>
          <w:sz w:val="16"/>
          <w:szCs w:val="16"/>
        </w:rPr>
        <w:softHyphen/>
        <w:t>лась просто «Русской эскадрильей ка</w:t>
      </w:r>
      <w:r w:rsidRPr="00C94B78">
        <w:rPr>
          <w:rFonts w:ascii="Times New Roman" w:hAnsi="Times New Roman"/>
          <w:color w:val="0070C0"/>
          <w:sz w:val="16"/>
          <w:szCs w:val="16"/>
        </w:rPr>
        <w:softHyphen/>
        <w:t>питана Файтла» - по фамилии коман</w:t>
      </w:r>
      <w:r w:rsidRPr="00C94B78">
        <w:rPr>
          <w:rFonts w:ascii="Times New Roman" w:hAnsi="Times New Roman"/>
          <w:color w:val="0070C0"/>
          <w:sz w:val="16"/>
          <w:szCs w:val="16"/>
        </w:rPr>
        <w:softHyphen/>
        <w:t>дира 14 апреля 1944 г чехословацкие летчики прибыли в расположение 6-й заб в Иваново После прохождения краткого теоретического курса с 20 ап</w:t>
      </w:r>
      <w:r w:rsidRPr="00C94B78">
        <w:rPr>
          <w:rFonts w:ascii="Times New Roman" w:hAnsi="Times New Roman"/>
          <w:color w:val="0070C0"/>
          <w:sz w:val="16"/>
          <w:szCs w:val="16"/>
        </w:rPr>
        <w:softHyphen/>
        <w:t>реля они приступили к освоению по</w:t>
      </w:r>
      <w:r w:rsidRPr="00C94B78">
        <w:rPr>
          <w:rFonts w:ascii="Times New Roman" w:hAnsi="Times New Roman"/>
          <w:color w:val="0070C0"/>
          <w:sz w:val="16"/>
          <w:szCs w:val="16"/>
        </w:rPr>
        <w:softHyphen/>
        <w:t>летов на истребителях Ла-5ФН 3 мая группа Файтла стала именоваться 128-й отдельной эскадрильей, немного позже ее развернули в полк двухэскадриль</w:t>
      </w:r>
      <w:r w:rsidRPr="00C94B78">
        <w:rPr>
          <w:rFonts w:ascii="Times New Roman" w:hAnsi="Times New Roman"/>
          <w:color w:val="0070C0"/>
          <w:sz w:val="16"/>
          <w:szCs w:val="16"/>
        </w:rPr>
        <w:softHyphen/>
        <w:t>ного состава, названный 1-м чехосло</w:t>
      </w:r>
      <w:r w:rsidRPr="00C94B78">
        <w:rPr>
          <w:rFonts w:ascii="Times New Roman" w:hAnsi="Times New Roman"/>
          <w:color w:val="0070C0"/>
          <w:sz w:val="16"/>
          <w:szCs w:val="16"/>
        </w:rPr>
        <w:softHyphen/>
        <w:t>вацким иап</w:t>
      </w:r>
    </w:p>
    <w:p w14:paraId="5C072E24" w14:textId="77777777" w:rsidR="000656CD" w:rsidRPr="00C94B78" w:rsidRDefault="000656C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shd w:val="clear" w:color="auto" w:fill="FFFFFF"/>
        </w:rPr>
        <w:t>В конце июля 1944 г. его переброси</w:t>
      </w:r>
      <w:r w:rsidRPr="00C94B78">
        <w:rPr>
          <w:rFonts w:ascii="Times New Roman" w:hAnsi="Times New Roman"/>
          <w:color w:val="0070C0"/>
          <w:sz w:val="16"/>
          <w:szCs w:val="16"/>
          <w:shd w:val="clear" w:color="auto" w:fill="FFFFFF"/>
        </w:rPr>
        <w:softHyphen/>
        <w:t xml:space="preserve">ли на 1-й Украинский фронт, в состав </w:t>
      </w:r>
      <w:bookmarkStart w:id="46" w:name="bookmark36"/>
      <w:bookmarkEnd w:id="46"/>
      <w:r w:rsidRPr="00C94B78">
        <w:rPr>
          <w:rFonts w:ascii="Times New Roman" w:hAnsi="Times New Roman"/>
          <w:color w:val="0070C0"/>
          <w:sz w:val="16"/>
          <w:szCs w:val="16"/>
          <w:shd w:val="clear" w:color="auto" w:fill="FFFFFF"/>
        </w:rPr>
        <w:t>2-</w:t>
      </w:r>
      <w:r w:rsidRPr="00C94B78">
        <w:rPr>
          <w:rFonts w:ascii="Times New Roman" w:hAnsi="Times New Roman"/>
          <w:color w:val="0070C0"/>
          <w:sz w:val="16"/>
          <w:szCs w:val="16"/>
        </w:rPr>
        <w:t>й воздушной армии В наличии име</w:t>
      </w:r>
      <w:r w:rsidRPr="00C94B78">
        <w:rPr>
          <w:rFonts w:ascii="Times New Roman" w:hAnsi="Times New Roman"/>
          <w:color w:val="0070C0"/>
          <w:sz w:val="16"/>
          <w:szCs w:val="16"/>
        </w:rPr>
        <w:softHyphen/>
        <w:t>лось 22 самолета, командовал полком капитан Ф Файтл Истребители несли советские красные звезды, с которыми не расставались до конца войны (24931).</w:t>
      </w:r>
    </w:p>
    <w:p w14:paraId="1A81FA9D" w14:textId="77777777" w:rsidR="000656CD" w:rsidRPr="00C94B78" w:rsidRDefault="000656CD" w:rsidP="00B56F90">
      <w:pPr>
        <w:spacing w:after="0" w:line="240" w:lineRule="auto"/>
        <w:jc w:val="both"/>
        <w:rPr>
          <w:rFonts w:ascii="Times New Roman" w:hAnsi="Times New Roman"/>
          <w:color w:val="0070C0"/>
          <w:sz w:val="16"/>
          <w:szCs w:val="16"/>
        </w:rPr>
      </w:pPr>
    </w:p>
    <w:p w14:paraId="1518D546" w14:textId="77777777" w:rsidR="009E6775" w:rsidRPr="00070ADE" w:rsidRDefault="009E6775" w:rsidP="00B56F90">
      <w:pPr>
        <w:pStyle w:val="book"/>
        <w:ind w:firstLine="0"/>
        <w:jc w:val="both"/>
        <w:rPr>
          <w:color w:val="000000" w:themeColor="text1"/>
          <w:sz w:val="16"/>
          <w:szCs w:val="16"/>
        </w:rPr>
      </w:pPr>
      <w:r w:rsidRPr="00070ADE">
        <w:rPr>
          <w:color w:val="000000" w:themeColor="text1"/>
          <w:sz w:val="16"/>
          <w:szCs w:val="16"/>
        </w:rPr>
        <w:t>В апреле 1944 г. немцы применяли SD-1400X на Восточном фронте для разрушения мостов и переправ через реку Одер (15225).</w:t>
      </w:r>
    </w:p>
    <w:p w14:paraId="74BA9A39" w14:textId="77777777" w:rsidR="009E6775" w:rsidRPr="00070ADE" w:rsidRDefault="009E6775" w:rsidP="00B56F90">
      <w:pPr>
        <w:pStyle w:val="book"/>
        <w:ind w:firstLine="0"/>
        <w:jc w:val="both"/>
        <w:rPr>
          <w:color w:val="000000" w:themeColor="text1"/>
          <w:sz w:val="16"/>
          <w:szCs w:val="16"/>
        </w:rPr>
      </w:pPr>
    </w:p>
    <w:p w14:paraId="35BB6B9A" w14:textId="77777777" w:rsidR="00C140B0" w:rsidRPr="00070ADE" w:rsidRDefault="00C140B0"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721BC630" w14:textId="77777777" w:rsidR="00C140B0" w:rsidRPr="00070ADE" w:rsidRDefault="00C140B0"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8F1813" w14:textId="77777777" w:rsidR="00C140B0" w:rsidRPr="00070ADE" w:rsidRDefault="00C140B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Апрель 1944. Открылись двадцать ночных ресторанов в Москве. Они работали до 5 часовутра, и в них играл оркестр, и выступали артиста (18692).</w:t>
      </w:r>
    </w:p>
    <w:p w14:paraId="429B5576" w14:textId="77777777" w:rsidR="00C140B0" w:rsidRPr="00070ADE" w:rsidRDefault="00C140B0" w:rsidP="00B56F90">
      <w:pPr>
        <w:spacing w:after="0" w:line="240" w:lineRule="auto"/>
        <w:jc w:val="both"/>
        <w:rPr>
          <w:rFonts w:ascii="Times New Roman" w:hAnsi="Times New Roman"/>
          <w:color w:val="000000" w:themeColor="text1"/>
          <w:sz w:val="16"/>
          <w:szCs w:val="16"/>
        </w:rPr>
      </w:pPr>
    </w:p>
    <w:p w14:paraId="5C2A716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634E29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8BC7BA" w14:textId="77777777" w:rsidR="009E6775" w:rsidRPr="00070ADE" w:rsidRDefault="009E6775"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lastRenderedPageBreak/>
        <w:t>В апреле 1944 г. осна</w:t>
      </w:r>
      <w:r w:rsidRPr="00070ADE">
        <w:rPr>
          <w:rFonts w:ascii="Times New Roman" w:cs="Times New Roman"/>
          <w:color w:val="000000" w:themeColor="text1"/>
          <w:spacing w:val="0"/>
          <w:sz w:val="16"/>
          <w:szCs w:val="16"/>
        </w:rPr>
        <w:softHyphen/>
        <w:t>стили новым крылом и мотогондола</w:t>
      </w:r>
      <w:r w:rsidRPr="00070ADE">
        <w:rPr>
          <w:rFonts w:ascii="Times New Roman" w:cs="Times New Roman"/>
          <w:color w:val="000000" w:themeColor="text1"/>
          <w:spacing w:val="0"/>
          <w:sz w:val="16"/>
          <w:szCs w:val="16"/>
        </w:rPr>
        <w:softHyphen/>
        <w:t>ми уже существующий фюзеляж от Не-177АЗ, хвостовое оперение взя</w:t>
      </w:r>
      <w:r w:rsidRPr="00070ADE">
        <w:rPr>
          <w:rFonts w:ascii="Times New Roman" w:cs="Times New Roman"/>
          <w:color w:val="000000" w:themeColor="text1"/>
          <w:spacing w:val="0"/>
          <w:sz w:val="16"/>
          <w:szCs w:val="16"/>
        </w:rPr>
        <w:softHyphen/>
        <w:t xml:space="preserve">ли от </w:t>
      </w:r>
      <w:r w:rsidRPr="00070ADE">
        <w:rPr>
          <w:rFonts w:ascii="Times New Roman" w:cs="Times New Roman"/>
          <w:color w:val="000000" w:themeColor="text1"/>
          <w:spacing w:val="0"/>
          <w:sz w:val="16"/>
          <w:szCs w:val="16"/>
          <w:lang w:val="en-US"/>
        </w:rPr>
        <w:t>Ju</w:t>
      </w:r>
      <w:r w:rsidRPr="00070ADE">
        <w:rPr>
          <w:rFonts w:ascii="Times New Roman" w:cs="Times New Roman"/>
          <w:color w:val="000000" w:themeColor="text1"/>
          <w:spacing w:val="0"/>
          <w:sz w:val="16"/>
          <w:szCs w:val="16"/>
        </w:rPr>
        <w:t>-188. Так как шасси убрать в крыло, требующее высокой жёстко</w:t>
      </w:r>
      <w:r w:rsidRPr="00070ADE">
        <w:rPr>
          <w:rFonts w:ascii="Times New Roman" w:cs="Times New Roman"/>
          <w:color w:val="000000" w:themeColor="text1"/>
          <w:spacing w:val="0"/>
          <w:sz w:val="16"/>
          <w:szCs w:val="16"/>
        </w:rPr>
        <w:softHyphen/>
        <w:t>сти конструкции, не представлялось возможным, решили использовать неубираемые стойки. Носовую двух</w:t>
      </w:r>
      <w:r w:rsidRPr="00070ADE">
        <w:rPr>
          <w:rFonts w:ascii="Times New Roman" w:cs="Times New Roman"/>
          <w:color w:val="000000" w:themeColor="text1"/>
          <w:spacing w:val="0"/>
          <w:sz w:val="16"/>
          <w:szCs w:val="16"/>
        </w:rPr>
        <w:softHyphen/>
        <w:t>колесную стойку взяли от трофейно</w:t>
      </w:r>
      <w:r w:rsidRPr="00070ADE">
        <w:rPr>
          <w:rFonts w:ascii="Times New Roman" w:cs="Times New Roman"/>
          <w:color w:val="000000" w:themeColor="text1"/>
          <w:spacing w:val="0"/>
          <w:sz w:val="16"/>
          <w:szCs w:val="16"/>
        </w:rPr>
        <w:softHyphen/>
        <w:t>го В-24, а основные стойки с подко</w:t>
      </w:r>
      <w:r w:rsidRPr="00070ADE">
        <w:rPr>
          <w:rFonts w:ascii="Times New Roman" w:cs="Times New Roman"/>
          <w:color w:val="000000" w:themeColor="text1"/>
          <w:spacing w:val="0"/>
          <w:sz w:val="16"/>
          <w:szCs w:val="16"/>
        </w:rPr>
        <w:softHyphen/>
        <w:t xml:space="preserve">сом к переднему лонжерону крыла имели колёса от </w:t>
      </w:r>
      <w:r w:rsidRPr="00070ADE">
        <w:rPr>
          <w:rFonts w:ascii="Times New Roman" w:cs="Times New Roman"/>
          <w:color w:val="000000" w:themeColor="text1"/>
          <w:spacing w:val="0"/>
          <w:sz w:val="16"/>
          <w:szCs w:val="16"/>
          <w:lang w:val="en-US"/>
        </w:rPr>
        <w:t>Ju</w:t>
      </w:r>
      <w:r w:rsidRPr="00070ADE">
        <w:rPr>
          <w:rFonts w:ascii="Times New Roman" w:cs="Times New Roman"/>
          <w:color w:val="000000" w:themeColor="text1"/>
          <w:spacing w:val="0"/>
          <w:sz w:val="16"/>
          <w:szCs w:val="16"/>
        </w:rPr>
        <w:t>-352, закрытые большими обтекателями. Характер</w:t>
      </w:r>
      <w:r w:rsidRPr="00070ADE">
        <w:rPr>
          <w:rFonts w:ascii="Times New Roman" w:cs="Times New Roman"/>
          <w:color w:val="000000" w:themeColor="text1"/>
          <w:spacing w:val="0"/>
          <w:sz w:val="16"/>
          <w:szCs w:val="16"/>
        </w:rPr>
        <w:softHyphen/>
        <w:t>ной особенностью обтекания КОС на малых скоростях является возникно</w:t>
      </w:r>
      <w:r w:rsidRPr="00070ADE">
        <w:rPr>
          <w:rFonts w:ascii="Times New Roman" w:cs="Times New Roman"/>
          <w:color w:val="000000" w:themeColor="text1"/>
          <w:spacing w:val="0"/>
          <w:sz w:val="16"/>
          <w:szCs w:val="16"/>
        </w:rPr>
        <w:softHyphen/>
        <w:t>вение срыва потока в корневой час</w:t>
      </w:r>
      <w:r w:rsidRPr="00070ADE">
        <w:rPr>
          <w:rFonts w:ascii="Times New Roman" w:cs="Times New Roman"/>
          <w:color w:val="000000" w:themeColor="text1"/>
          <w:spacing w:val="0"/>
          <w:sz w:val="16"/>
          <w:szCs w:val="16"/>
        </w:rPr>
        <w:softHyphen/>
        <w:t>ти при сравнительно небольших уг</w:t>
      </w:r>
      <w:r w:rsidRPr="00070ADE">
        <w:rPr>
          <w:rFonts w:ascii="Times New Roman" w:cs="Times New Roman"/>
          <w:color w:val="000000" w:themeColor="text1"/>
          <w:spacing w:val="0"/>
          <w:sz w:val="16"/>
          <w:szCs w:val="16"/>
        </w:rPr>
        <w:softHyphen/>
        <w:t>лах атаки и практически безотрывное обтекание концевых частей крыла. Последнее обеспечивает сохранение эффективно</w:t>
      </w:r>
      <w:r w:rsidRPr="00070ADE">
        <w:rPr>
          <w:rFonts w:ascii="Times New Roman" w:cs="Times New Roman"/>
          <w:color w:val="000000" w:themeColor="text1"/>
          <w:spacing w:val="0"/>
          <w:sz w:val="16"/>
          <w:szCs w:val="16"/>
        </w:rPr>
        <w:softHyphen/>
        <w:t>сти элеронов до больших углов атаки. Испытания выявили недос</w:t>
      </w:r>
      <w:r w:rsidRPr="00070ADE">
        <w:rPr>
          <w:rFonts w:ascii="Times New Roman" w:cs="Times New Roman"/>
          <w:color w:val="000000" w:themeColor="text1"/>
          <w:spacing w:val="0"/>
          <w:sz w:val="16"/>
          <w:szCs w:val="16"/>
        </w:rPr>
        <w:softHyphen/>
        <w:t>таток размещения двигателей в передней части фюзеляжа — трудность балансировки. В результате расположейие двигателей и их число (тяги явно не хватало) на втором опыт</w:t>
      </w:r>
      <w:r w:rsidRPr="00070ADE">
        <w:rPr>
          <w:rFonts w:ascii="Times New Roman" w:cs="Times New Roman"/>
          <w:color w:val="000000" w:themeColor="text1"/>
          <w:spacing w:val="0"/>
          <w:sz w:val="16"/>
          <w:szCs w:val="16"/>
        </w:rPr>
        <w:softHyphen/>
        <w:t xml:space="preserve">ном </w:t>
      </w:r>
      <w:r w:rsidRPr="00070ADE">
        <w:rPr>
          <w:rFonts w:ascii="Times New Roman" w:cs="Times New Roman"/>
          <w:color w:val="000000" w:themeColor="text1"/>
          <w:spacing w:val="0"/>
          <w:sz w:val="16"/>
          <w:szCs w:val="16"/>
          <w:lang w:val="en-US"/>
        </w:rPr>
        <w:t>Ju</w:t>
      </w:r>
      <w:r w:rsidRPr="00070ADE">
        <w:rPr>
          <w:rFonts w:ascii="Times New Roman" w:cs="Times New Roman"/>
          <w:color w:val="000000" w:themeColor="text1"/>
          <w:spacing w:val="0"/>
          <w:sz w:val="16"/>
          <w:szCs w:val="16"/>
        </w:rPr>
        <w:t>-287</w:t>
      </w:r>
      <w:r w:rsidRPr="00070ADE">
        <w:rPr>
          <w:rFonts w:ascii="Times New Roman" w:cs="Times New Roman"/>
          <w:color w:val="000000" w:themeColor="text1"/>
          <w:spacing w:val="0"/>
          <w:sz w:val="16"/>
          <w:szCs w:val="16"/>
          <w:lang w:val="en-US"/>
        </w:rPr>
        <w:t>V</w:t>
      </w:r>
      <w:r w:rsidRPr="00070ADE">
        <w:rPr>
          <w:rFonts w:ascii="Times New Roman" w:cs="Times New Roman"/>
          <w:color w:val="000000" w:themeColor="text1"/>
          <w:spacing w:val="0"/>
          <w:sz w:val="16"/>
          <w:szCs w:val="16"/>
        </w:rPr>
        <w:t>2 решили изменить. Крыло для второй машины изготовили к 3 июля 1944 г. (15791).</w:t>
      </w:r>
    </w:p>
    <w:p w14:paraId="3579F905" w14:textId="77777777" w:rsidR="009E6775" w:rsidRPr="00070ADE" w:rsidRDefault="009E6775" w:rsidP="00B56F90">
      <w:pPr>
        <w:spacing w:after="0" w:line="240" w:lineRule="auto"/>
        <w:jc w:val="both"/>
        <w:rPr>
          <w:rFonts w:ascii="Times New Roman" w:hAnsi="Times New Roman"/>
          <w:color w:val="000000" w:themeColor="text1"/>
          <w:sz w:val="16"/>
          <w:szCs w:val="16"/>
        </w:rPr>
      </w:pPr>
    </w:p>
    <w:p w14:paraId="235315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И.В.С. запросил у Рузвельта 500 четырехмоторных бомбардировщиков В-24 и В-17</w:t>
      </w:r>
    </w:p>
    <w:p w14:paraId="456BA8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3CBA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экипажи монгольских Р-5, И-15 и У-2 совершили около 60 боевых вылетов при поддержке своих войск, вытеснявших с территории страны чанкайшистских солдат, которые вторглись в Монголию, преследуя повстанцев-казахов. В ходе операций против японцев монголь</w:t>
      </w:r>
      <w:r w:rsidRPr="00070ADE">
        <w:rPr>
          <w:rFonts w:ascii="Times New Roman" w:hAnsi="Times New Roman"/>
          <w:color w:val="000000" w:themeColor="text1"/>
          <w:sz w:val="16"/>
          <w:szCs w:val="16"/>
        </w:rPr>
        <w:softHyphen/>
        <w:t>ские Р-5 действовали как штурмовики под Ондорханом, поддерживая продвижение со</w:t>
      </w:r>
      <w:r w:rsidRPr="00070ADE">
        <w:rPr>
          <w:rFonts w:ascii="Times New Roman" w:hAnsi="Times New Roman"/>
          <w:color w:val="000000" w:themeColor="text1"/>
          <w:sz w:val="16"/>
          <w:szCs w:val="16"/>
        </w:rPr>
        <w:softHyphen/>
        <w:t>ветских и монгольских войск на Калган и Жехе. Это, правда, происходило при практи</w:t>
      </w:r>
      <w:r w:rsidRPr="00070ADE">
        <w:rPr>
          <w:rFonts w:ascii="Times New Roman" w:hAnsi="Times New Roman"/>
          <w:color w:val="000000" w:themeColor="text1"/>
          <w:sz w:val="16"/>
          <w:szCs w:val="16"/>
        </w:rPr>
        <w:softHyphen/>
        <w:t>чески полном отсутствии в воздухе самоле</w:t>
      </w:r>
      <w:r w:rsidRPr="00070ADE">
        <w:rPr>
          <w:rFonts w:ascii="Times New Roman" w:hAnsi="Times New Roman"/>
          <w:color w:val="000000" w:themeColor="text1"/>
          <w:sz w:val="16"/>
          <w:szCs w:val="16"/>
        </w:rPr>
        <w:softHyphen/>
        <w:t>тов противника. Напоследок Р-5 внесли свой вклад в ско</w:t>
      </w:r>
      <w:r w:rsidRPr="00070ADE">
        <w:rPr>
          <w:rFonts w:ascii="Times New Roman" w:hAnsi="Times New Roman"/>
          <w:color w:val="000000" w:themeColor="text1"/>
          <w:sz w:val="16"/>
          <w:szCs w:val="16"/>
        </w:rPr>
        <w:softHyphen/>
        <w:t>ротечную кампанию против Японии. Так, в 17-й воздушной армии имелось звено, кото</w:t>
      </w:r>
      <w:r w:rsidRPr="00070ADE">
        <w:rPr>
          <w:rFonts w:ascii="Times New Roman" w:hAnsi="Times New Roman"/>
          <w:color w:val="000000" w:themeColor="text1"/>
          <w:sz w:val="16"/>
          <w:szCs w:val="16"/>
        </w:rPr>
        <w:softHyphen/>
        <w:t>рое обеспечивало связь с передовыми ча</w:t>
      </w:r>
      <w:r w:rsidRPr="00070ADE">
        <w:rPr>
          <w:rFonts w:ascii="Times New Roman" w:hAnsi="Times New Roman"/>
          <w:color w:val="000000" w:themeColor="text1"/>
          <w:sz w:val="16"/>
          <w:szCs w:val="16"/>
        </w:rPr>
        <w:softHyphen/>
        <w:t>стями Забайкальского фронта. Несколько машин входило также в авиацию Амурской военной флотилии. К операциям привлека</w:t>
      </w:r>
      <w:r w:rsidRPr="00070ADE">
        <w:rPr>
          <w:rFonts w:ascii="Times New Roman" w:hAnsi="Times New Roman"/>
          <w:color w:val="000000" w:themeColor="text1"/>
          <w:sz w:val="16"/>
          <w:szCs w:val="16"/>
        </w:rPr>
        <w:softHyphen/>
        <w:t>лись и самолеты погранохраны. В Маньч</w:t>
      </w:r>
      <w:r w:rsidRPr="00070ADE">
        <w:rPr>
          <w:rFonts w:ascii="Times New Roman" w:hAnsi="Times New Roman"/>
          <w:color w:val="000000" w:themeColor="text1"/>
          <w:sz w:val="16"/>
          <w:szCs w:val="16"/>
        </w:rPr>
        <w:softHyphen/>
        <w:t>журии действовал 3-й ЛБАП НКВД на У-2, Р-5 и СБ. На его счету бомбежка г. Джурганхе, уничтожение переправ на р. Ган, налеты на позиции японцев в районе Драгоценки. Восемь Р-5 имел Тихоокеанский флот, но в боях они не участвовали (11936).</w:t>
      </w:r>
    </w:p>
    <w:p w14:paraId="0AD847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6356C6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два смешанных подразделения (укомплектованных Р-5, И-15 и вооруженными У-2) привлекли к поддержке монгольских войск, вытеснявших с территории страны чанкайшистских солдат. Последние вторглись в Монголию, преследуя повстанцев-казахов, возглавляемых Осман-Баатаром. Против китайцев монгольские летчики совершили около 60 боевых вылетов.В ходе операций против японцев монгольские Р-5 не ограничивались вс по м о гател ьн ы м и функциями. Они как штурмовики действовали под Ондорханом, поддерживая продвижение советских и монгольских войск на Калган и Жехе. Это, правда, происходило при практически полном отсутствии в воздухе японских самолетов (12034).</w:t>
      </w:r>
    </w:p>
    <w:p w14:paraId="6A8DAF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88044B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4BD8B1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126B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г. немцами были закончены испытания боевых Мистелей, которые шли с ноября 1943, в том числе и учебно-боевая атака по списанному французскому кораблю «Oran» (Ненахов Ю.Ю. Чудо-оружие Третьего рейха. Минск: ХАРВЕСТ, 1999.). Результаты атаки были признаны вполне обнадеживающими. В апреле 1944 г. была сформирована авиационная часть, вооруженная сцепками. Ее командиром был назначен капитан Хорст Рудет.</w:t>
      </w:r>
    </w:p>
    <w:p w14:paraId="04B9EB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Боевое применение Мистелей планировалось следующим образом. Взлет и полет сцепки до цели происходил при работе двигателей беспилотного ударного самолета. Управлял самолетом летчик из кабины носителя. Горючее для работы двигателей поступало из баков ударного самолета. Горючее самолета-носителя (самолета управления) использовалось при его обратном полете.</w:t>
      </w:r>
    </w:p>
    <w:p w14:paraId="6B9E69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приближении к цели, примерно на высоте 600 м, пилот самолета управления производил отделение ударного самолета.</w:t>
      </w:r>
    </w:p>
    <w:p w14:paraId="373A91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Беспилотный ударный самолет под управлением автопилота летел по заданному курсу, а затем переходил в пологое пикирование под углом 15–20о со скоростью 250 км/ч. Для поражения цели на ударном самолете было до 2 т взрывчатки.</w:t>
      </w:r>
    </w:p>
    <w:p w14:paraId="5CECD6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Поскольку началось широкомасштабное вторжение англо-американских войск в Европу, немецко-фашистское командование отказалось от планов использования Мистелей против советского Балтийского флота. В ночь с 24 на 25 июня 1944 г. все имевшиеся на то время пять сцепок атаковали крупное скопление англо-американских судов в устье Сены. Четыре беспилотных ударных элемента сцепки Мистель были благополучно сброшены и поразили несколько целей. Пятая сцепка из-за технической неисправности вернулась на базу. Ударный элемент Юнкерс перед посадкой был сброшен в безлюдном районе, так как посадка всей сцепки была невозможна.</w:t>
      </w:r>
    </w:p>
    <w:p w14:paraId="04E663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дальнейшем Мистели продолжали ночные атаки на десантные конвои союзников в Ла-Манше. В октябре 1944 г. пять Мистелей нанесли удар по главной базе британского флота Скап-Флоу.</w:t>
      </w:r>
    </w:p>
    <w:p w14:paraId="157F29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1944 г. группировка Мистелей насчитывала 60 единиц.</w:t>
      </w:r>
    </w:p>
    <w:p w14:paraId="4A57978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1945 г. подразделение Мистелей начало подготовку к удару по крупнейшим военным объектам Советского Союза с целью срыва зимне-весеннего наступления Красной Армии. Операция получила кодовое название «Eisenhammer» (Ненахов Ю.Ю. Чудо-оружие Третьего рейха. Минск: ХАРВЕСТ, 1999.). К марту около 100 Мистелей было переброшено в Восточную Пруссию.</w:t>
      </w:r>
    </w:p>
    <w:p w14:paraId="1D5C86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Быстрое приближение линии фронта к району базирования сцепок сорвало планы немецко-фашистского командования.</w:t>
      </w:r>
    </w:p>
    <w:p w14:paraId="0190B9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этим Мистели передислоцировали для выполнения несвойственных им тактических задач – нанесения ударов по переправам через Вислу, Одер, Нейсе и Рейн, крупным железнодорожным узлам и скоплениям советских войск. В районе переправ через Одер, обороняемых частями 5-го корпуса ПВО Советской Армии, в апреле 1945 г. было отмечено 12 случаев применения ударных авиасцепок Мистель. Однако точность поражения целей такими системами была незначительной. Кроме того, Мистели оказались беззащитными перед фронтовой и противовоздушной авиацией и несли огромные потери. Последний боевой вылет сцепки был зарегистрирован 16 апреля 1945 г.</w:t>
      </w:r>
    </w:p>
    <w:p w14:paraId="2824B1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1945 г. знаменитый советский летчик Е.Я. Савицкий (1910–1990), будущий заместитель главнокомандующего Войсками ПВО, заметил над переправой через Одер «летающую геометрическую трапецию». Это была сцепка из самолетов Fw190 и Ju88. Внезапно истребитель Fw190 отделился от бомбардировщика, выполнил горку и ушел в сторону. Самолет Ju88 направился к окопам советских войск на передовой. Не долетев до окопов, он ударился о землю и разнес все в радиусе 200 м. Это был один из первых случаев применения Мистелей против советских войск.</w:t>
      </w:r>
    </w:p>
    <w:p w14:paraId="22C21C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Ветеран Великой Отечественной войны В. Чечель вспоминал о применении Мистелей против наших войск в период боев за Берлин: «Помню попытку разрушить самолетами-снарядами переправу через Одер, по которой двигались наши танки, артиллерия, автомобили с боеприпасами, шли войска. Самолетснаряд начинялся взрывчаткой и направлялся в цель другим самолетом, в котором был пилот. Так вот, на ту переправу ни один из тех трех снарядов не упал: как только наши зенитки открыли по ним огонь, немецкие летчики, быстро отделавшись от опасного груза, убрались восвояси, а снаряды упали далеко от переправы. Но взрывы были такие сильные, что наши окопы на плацдарме наполнились водой от сотрясения почвы. Попади хоть один такой снаряд в цель – от нашей переправы не осталось бы и следа» (Чечель В. Не забывается такое никогда. Северный Курьер. 2000, 1 апреля.).</w:t>
      </w:r>
    </w:p>
    <w:p w14:paraId="0BD43AB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Совершенствование сцепок проходило по различным направлениям. Так, поскольку конструкторы не смогли решить задачу синхронизации и единого управления разных по типу и мощности двигателей Bf109 и Ju88G1, то в сцепке Мессершмитт был заменен истребителем Fw190A6. Сцепка получила название Mistel2. Из-за превышенного взлетного веса (14 т), во время разбега у шасси Юнкерса рвались пневматики, что вело к авариям. Из-за этого шасси Юнкерса было заменено сбрасывающейся после взлета тележкой. Доработанная система получила название Mistel3.</w:t>
      </w:r>
    </w:p>
    <w:p w14:paraId="67DC35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1945 г. завод Юнкерса в Бернбурге наладил выпуск новой модификации сцепки на базе бомбардировщика Ju88G10, у которого фюзеляж был удлинен почти на три метра. Такая система снабжалась дополнительным топливным баком. Кроме того, под крыльями Юнкерса подвешивались еще два топливных бака. Все это увеличивало радиус действия сцепки до 4100 км.</w:t>
      </w:r>
    </w:p>
    <w:p w14:paraId="05FCB9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возрос взлетный вес Mistel3 – 23,6 т, а скорость полета снизилась до 340 км/ч. При этом скорость пикирования сцепки при угле 15о составляла почти 600 км/ч. Система получила название Mistel3С.</w:t>
      </w:r>
    </w:p>
    <w:p w14:paraId="4B62E8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1945 г. появился Mistel3В – на базе Ju88Н4. Впервые ударный самолет был сделан пилотируемым – с экипажем из трех человек. Задняя полусфера прикрывалась 13-мм пулеметом, летающая пилотируемая бомба оборудовалась поисковой РЛС. Экипаж бомбы должен был помогать летчику истребителя пилотировать сцепку, ориентируясь по данным РЛС, и отгонять воздушного противника. Перед боевым применением экипаж на парашютах покидал летающую бомбу. Однако в боевой практике такая сцепка не применялась.</w:t>
      </w:r>
    </w:p>
    <w:p w14:paraId="2C856A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Германии в последние месяцы войны были разработаны проекты Мистелей с ударным элементом в виде опытной крылатой ракеты класса «воздух–поверхность» Е377. В таких сцепках самолетом наведения служили реактивный бомбардировщик Ar234 и реактивный истребитель He162A. С реактивным истребителем Хейнкель скорость сцепки могла бы достигать 650 км/ч, а радиус действия – до 2000 км/ч. Кроме того, проектировались Мистели на базе реактивных самолетов.</w:t>
      </w:r>
    </w:p>
    <w:p w14:paraId="154429D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 касается планирующей бомбы Е377, то она была разработана в RLM в конце 1944 г. По существу это был безмоторный вариант одного из проектов самолета фирмы Арадо. Планирующая бомба по первоначальной версии должна была буксироваться на тросе за самолетом Ar234C2 или истребителем He162.</w:t>
      </w:r>
    </w:p>
    <w:p w14:paraId="7305A7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 Е377 предназначалась для поражения наземных и морских целей. Управление осуществлялось дистанционно или посредством устройства сопровождения цели. Конструкция КР была деревянной и выполнена в виде тела вращения. При полете к объекту поражения ракета Е377 служила для носителя дополнительным топливным баком (в безмоторном варианте). Крылья КР также представляли собой топливные баки. Крыльевые и фюзеляжные топливные баки КР были заполнены инертным газом. Вес боевой части Е377 составлял 2 т.</w:t>
      </w:r>
    </w:p>
    <w:p w14:paraId="3AFE3C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Германские ударные управляемые средства...</w:t>
      </w:r>
    </w:p>
    <w:p w14:paraId="46607A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Был разработан вариант КР с двигателем и без двигателя. Боевая часть бездвигательного варианта Е377 состояла из кумулятивного заряда. Она оказалась весьма эффективной против надводных целей. Для поражения крупных целей предусматривалось создание боевой части, близкой по своим характеристикам к тонкостенной мине (Хервиг Д., Роде Г. Секретные проекты бомбардировщиков люфтваффе. Смоленск: Русич, 2001.).</w:t>
      </w:r>
    </w:p>
    <w:p w14:paraId="7E4AA7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Вместо боевой части на планирующей бомбе была предусмотрена возможность монтировать обычную бомбу SC 1800 без оперения. Предусматривалась также возможность создания пилотируемого варианта бомбы Арадо Е377 специально для летчиков-«камикадзе»183. Окончание войны не дало немецким «сверхчеловекам» возможности наладить массовое производство и применение планирующей бомбы Арадо Е377.</w:t>
      </w:r>
    </w:p>
    <w:p w14:paraId="111433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 разработан проект ракетной сцепки Мистеля. Этот проект сложнейшей сцепки разработала фирма «Blohm und Voss» в конце войны. Сцепка состояла из бомбардировщиков Do217 или He177, реактивного самолета-носителя и ударной крылатой ракеты Хеншель.</w:t>
      </w:r>
    </w:p>
    <w:p w14:paraId="4F16C8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Принцип боевого применения этого Мистеля состоял в следующем. Вся сцепка поднималась в воздух и следовала в район цели.</w:t>
      </w:r>
    </w:p>
    <w:p w14:paraId="380782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Носитель приближался к объекту поражения на расстояние 290 км и отстыковывался. Реактивный носитель поднимался на огромную по тем временам высоту – 15000 м. На этой высоте пилот реактивного истребителя входил в пике, ракета отделялась, запускался ее двигатель, пилот ракеты наводил ракету по радару по баллистической траектории и отделялся от нее для возвращения на базу. Так как в полете перегрузки достигали 20 g, то пилот располагался лежа на амортизирующем лежаке.</w:t>
      </w:r>
    </w:p>
    <w:p w14:paraId="131FDE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Ракета предназначалась для ударов по наземным и морским целям. Тактико-технические характеристики ракетного носителя были следующими: размах крыла – 6 м, длина – 8 м, максимальная скорость – 1000 км/ч.</w:t>
      </w:r>
    </w:p>
    <w:p w14:paraId="48A7DC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Помимо самолетов-сцепок с боевыми элементами, в Германии в 1942 г. на фирме «Юнкерс» был разработан проект сцепки EF 101, состоящей из самолета-носителя и высотного разведчика Ме 109Н184. Высотный разведчик размещался под нижней частью фюзеляжа в полуутопленном положении. Крылья разведчика полностью располагались под нижней частью крыла самолета-носителя.</w:t>
      </w:r>
    </w:p>
    <w:p w14:paraId="6ACB613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Самолет-носитель, рассчитанный на дальность полета в 17 000 км, достигал района разведки. После этого разведчик отцеплялся, выполнял боевую задачу и снова подцеплялся к авиаматке. Механизм захвата был разработан в DFS и испытан на самолете He177. Одна из модификаций Юнкерса EF101 предполагала подвешивать к носителю не самолет-разведчик, а мощную управляемую авиабомбу (11686).</w:t>
      </w:r>
    </w:p>
    <w:p w14:paraId="175DB4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394D56F"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апреля 1944 г. на двух сборочных лини</w:t>
      </w:r>
      <w:r w:rsidRPr="00070ADE">
        <w:rPr>
          <w:rFonts w:ascii="Times New Roman" w:hAnsi="Times New Roman"/>
          <w:color w:val="000000" w:themeColor="text1"/>
          <w:sz w:val="16"/>
          <w:szCs w:val="16"/>
        </w:rPr>
        <w:softHyphen/>
        <w:t>ях на смену Me 410А пришел вариант Me 410В. Его главным отличием стало приме</w:t>
      </w:r>
      <w:r w:rsidRPr="00070ADE">
        <w:rPr>
          <w:rFonts w:ascii="Times New Roman" w:hAnsi="Times New Roman"/>
          <w:color w:val="000000" w:themeColor="text1"/>
          <w:sz w:val="16"/>
          <w:szCs w:val="16"/>
        </w:rPr>
        <w:softHyphen/>
        <w:t>нение двигателей DB 603G с увеличенным наддувом и степенью сжатия, развивав</w:t>
      </w:r>
      <w:r w:rsidRPr="00070ADE">
        <w:rPr>
          <w:rFonts w:ascii="Times New Roman" w:hAnsi="Times New Roman"/>
          <w:color w:val="000000" w:themeColor="text1"/>
          <w:sz w:val="16"/>
          <w:szCs w:val="16"/>
        </w:rPr>
        <w:softHyphen/>
        <w:t>ших на взлете 1900 л.с. при 2700 об/мин. К другим изменениям относилась замена бесполезных против современных само</w:t>
      </w:r>
      <w:r w:rsidRPr="00070ADE">
        <w:rPr>
          <w:rFonts w:ascii="Times New Roman" w:hAnsi="Times New Roman"/>
          <w:color w:val="000000" w:themeColor="text1"/>
          <w:sz w:val="16"/>
          <w:szCs w:val="16"/>
        </w:rPr>
        <w:softHyphen/>
        <w:t>летов 7,92-мм пулеметов MG 17, установ</w:t>
      </w:r>
      <w:r w:rsidRPr="00070ADE">
        <w:rPr>
          <w:rFonts w:ascii="Times New Roman" w:hAnsi="Times New Roman"/>
          <w:color w:val="000000" w:themeColor="text1"/>
          <w:sz w:val="16"/>
          <w:szCs w:val="16"/>
        </w:rPr>
        <w:softHyphen/>
        <w:t>ленных в носовой части, более мощными 13,2-мм пулеметами MG 131. Также само</w:t>
      </w:r>
      <w:r w:rsidRPr="00070ADE">
        <w:rPr>
          <w:rFonts w:ascii="Times New Roman" w:hAnsi="Times New Roman"/>
          <w:color w:val="000000" w:themeColor="text1"/>
          <w:sz w:val="16"/>
          <w:szCs w:val="16"/>
        </w:rPr>
        <w:softHyphen/>
        <w:t>леты получили возможность подвески под крылом двух 300-л дополнительных топ</w:t>
      </w:r>
      <w:r w:rsidRPr="00070ADE">
        <w:rPr>
          <w:rFonts w:ascii="Times New Roman" w:hAnsi="Times New Roman"/>
          <w:color w:val="000000" w:themeColor="text1"/>
          <w:sz w:val="16"/>
          <w:szCs w:val="16"/>
        </w:rPr>
        <w:softHyphen/>
        <w:t>ливных баков, а основные стойки шасси были удлинены.</w:t>
      </w:r>
    </w:p>
    <w:p w14:paraId="0FCCEE2D"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серии строились две основные моди</w:t>
      </w:r>
      <w:r w:rsidRPr="00070ADE">
        <w:rPr>
          <w:rFonts w:ascii="Times New Roman" w:hAnsi="Times New Roman"/>
          <w:color w:val="000000" w:themeColor="text1"/>
          <w:sz w:val="16"/>
          <w:szCs w:val="16"/>
        </w:rPr>
        <w:softHyphen/>
        <w:t>фикации, идентичные по предназначению соответствующим модификациям Me 410А — «шнелльбомбер» Me 410В-1 и «церштерер» Me 410В-2. На самолетах применялось большое количество разно</w:t>
      </w:r>
      <w:r w:rsidRPr="00070ADE">
        <w:rPr>
          <w:rFonts w:ascii="Times New Roman" w:hAnsi="Times New Roman"/>
          <w:color w:val="000000" w:themeColor="text1"/>
          <w:sz w:val="16"/>
          <w:szCs w:val="16"/>
        </w:rPr>
        <w:softHyphen/>
        <w:t>образных модификационных комплектов. Так, Me 410B-1/U2 и Me 410B-1/U4 несли наборы вооружения, соответствующие та</w:t>
      </w:r>
      <w:r w:rsidRPr="00070ADE">
        <w:rPr>
          <w:rFonts w:ascii="Times New Roman" w:hAnsi="Times New Roman"/>
          <w:color w:val="000000" w:themeColor="text1"/>
          <w:sz w:val="16"/>
          <w:szCs w:val="16"/>
        </w:rPr>
        <w:softHyphen/>
        <w:t>ким же вариантам модификации А-1 (пара 20-мм пушек для U2 либо 50-мм пушка для U4). Вариант Me 410B-2/U2 также включал контейнер WB 151 с двумя 20-мм пушками, a Me 410B-2/U4, кроме установ</w:t>
      </w:r>
      <w:r w:rsidRPr="00070ADE">
        <w:rPr>
          <w:rFonts w:ascii="Times New Roman" w:hAnsi="Times New Roman"/>
          <w:color w:val="000000" w:themeColor="text1"/>
          <w:sz w:val="16"/>
          <w:szCs w:val="16"/>
        </w:rPr>
        <w:softHyphen/>
        <w:t>ки в бомбоотсеке 50-мм пушки, отличался заменой наступательного вооружения па</w:t>
      </w:r>
      <w:r w:rsidRPr="00070ADE">
        <w:rPr>
          <w:rFonts w:ascii="Times New Roman" w:hAnsi="Times New Roman"/>
          <w:color w:val="000000" w:themeColor="text1"/>
          <w:sz w:val="16"/>
          <w:szCs w:val="16"/>
        </w:rPr>
        <w:softHyphen/>
        <w:t>рой 30-мм пушек МК 103. В части люфт</w:t>
      </w:r>
      <w:r w:rsidRPr="00070ADE">
        <w:rPr>
          <w:rFonts w:ascii="Times New Roman" w:hAnsi="Times New Roman"/>
          <w:color w:val="000000" w:themeColor="text1"/>
          <w:sz w:val="16"/>
          <w:szCs w:val="16"/>
        </w:rPr>
        <w:softHyphen/>
        <w:t>ваффе было поставлено около сотни мо</w:t>
      </w:r>
      <w:r w:rsidRPr="00070ADE">
        <w:rPr>
          <w:rFonts w:ascii="Times New Roman" w:hAnsi="Times New Roman"/>
          <w:color w:val="000000" w:themeColor="text1"/>
          <w:sz w:val="16"/>
          <w:szCs w:val="16"/>
        </w:rPr>
        <w:softHyphen/>
        <w:t>дификационных комплектов с одной 50- мм и двумя 30-мм пушками.</w:t>
      </w:r>
    </w:p>
    <w:p w14:paraId="43D9E893" w14:textId="77777777" w:rsidR="007F6E7B" w:rsidRPr="00070ADE" w:rsidRDefault="007F6E7B" w:rsidP="00B56F90">
      <w:pPr>
        <w:spacing w:after="0" w:line="240" w:lineRule="auto"/>
        <w:jc w:val="both"/>
        <w:rPr>
          <w:rFonts w:ascii="Times New Roman" w:hAnsi="Times New Roman"/>
          <w:color w:val="000000" w:themeColor="text1"/>
          <w:sz w:val="16"/>
          <w:szCs w:val="16"/>
        </w:rPr>
      </w:pPr>
      <w:bookmarkStart w:id="47" w:name="bookmark72"/>
      <w:r w:rsidRPr="00070ADE">
        <w:rPr>
          <w:rFonts w:ascii="Times New Roman" w:hAnsi="Times New Roman"/>
          <w:color w:val="000000" w:themeColor="text1"/>
          <w:sz w:val="16"/>
          <w:szCs w:val="16"/>
        </w:rPr>
        <w:t>Основные летно-тактические характеристики самолетов Me 210 и Me 410</w:t>
      </w:r>
      <w:bookmarkEnd w:id="47"/>
    </w:p>
    <w:tbl>
      <w:tblPr>
        <w:tblOverlap w:val="never"/>
        <w:tblW w:w="0" w:type="auto"/>
        <w:tblLayout w:type="fixed"/>
        <w:tblCellMar>
          <w:left w:w="10" w:type="dxa"/>
          <w:right w:w="10" w:type="dxa"/>
        </w:tblCellMar>
        <w:tblLook w:val="04A0" w:firstRow="1" w:lastRow="0" w:firstColumn="1" w:lastColumn="0" w:noHBand="0" w:noVBand="1"/>
      </w:tblPr>
      <w:tblGrid>
        <w:gridCol w:w="2650"/>
        <w:gridCol w:w="1450"/>
        <w:gridCol w:w="1306"/>
        <w:gridCol w:w="1373"/>
        <w:gridCol w:w="1258"/>
        <w:gridCol w:w="1656"/>
      </w:tblGrid>
      <w:tr w:rsidR="007F6E7B" w:rsidRPr="00070ADE" w14:paraId="3ABD79D6" w14:textId="77777777" w:rsidTr="004C5D62">
        <w:trPr>
          <w:trHeight w:val="245"/>
        </w:trPr>
        <w:tc>
          <w:tcPr>
            <w:tcW w:w="2650" w:type="dxa"/>
            <w:tcBorders>
              <w:top w:val="single" w:sz="4" w:space="0" w:color="auto"/>
              <w:left w:val="single" w:sz="4" w:space="0" w:color="auto"/>
            </w:tcBorders>
          </w:tcPr>
          <w:p w14:paraId="19BC1A09" w14:textId="77777777" w:rsidR="007F6E7B" w:rsidRPr="00070ADE" w:rsidRDefault="007F6E7B" w:rsidP="00B56F90">
            <w:pPr>
              <w:spacing w:after="0" w:line="240" w:lineRule="auto"/>
              <w:jc w:val="both"/>
              <w:rPr>
                <w:rFonts w:ascii="Times New Roman" w:hAnsi="Times New Roman"/>
                <w:color w:val="000000" w:themeColor="text1"/>
                <w:sz w:val="16"/>
                <w:szCs w:val="16"/>
              </w:rPr>
            </w:pPr>
          </w:p>
        </w:tc>
        <w:tc>
          <w:tcPr>
            <w:tcW w:w="1450" w:type="dxa"/>
            <w:tcBorders>
              <w:top w:val="single" w:sz="4" w:space="0" w:color="auto"/>
            </w:tcBorders>
          </w:tcPr>
          <w:p w14:paraId="603F7B72"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Me 210А-0</w:t>
            </w:r>
          </w:p>
        </w:tc>
        <w:tc>
          <w:tcPr>
            <w:tcW w:w="1306" w:type="dxa"/>
            <w:tcBorders>
              <w:top w:val="single" w:sz="4" w:space="0" w:color="auto"/>
            </w:tcBorders>
          </w:tcPr>
          <w:p w14:paraId="7E6FBCBF"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Me 210А-1</w:t>
            </w:r>
          </w:p>
        </w:tc>
        <w:tc>
          <w:tcPr>
            <w:tcW w:w="1373" w:type="dxa"/>
            <w:tcBorders>
              <w:top w:val="single" w:sz="4" w:space="0" w:color="auto"/>
            </w:tcBorders>
          </w:tcPr>
          <w:p w14:paraId="1FA8E0A7"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Me 210Ca-1</w:t>
            </w:r>
          </w:p>
        </w:tc>
        <w:tc>
          <w:tcPr>
            <w:tcW w:w="1258" w:type="dxa"/>
            <w:tcBorders>
              <w:top w:val="single" w:sz="4" w:space="0" w:color="auto"/>
            </w:tcBorders>
          </w:tcPr>
          <w:p w14:paraId="2CBF247C"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Me 410A-1</w:t>
            </w:r>
          </w:p>
        </w:tc>
        <w:tc>
          <w:tcPr>
            <w:tcW w:w="1656" w:type="dxa"/>
            <w:tcBorders>
              <w:top w:val="single" w:sz="4" w:space="0" w:color="auto"/>
              <w:right w:val="single" w:sz="4" w:space="0" w:color="auto"/>
            </w:tcBorders>
          </w:tcPr>
          <w:p w14:paraId="3BE77D44"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Me 410B-1</w:t>
            </w:r>
          </w:p>
        </w:tc>
      </w:tr>
      <w:tr w:rsidR="007F6E7B" w:rsidRPr="00070ADE" w14:paraId="4BC74A6C" w14:textId="77777777" w:rsidTr="004C5D62">
        <w:trPr>
          <w:trHeight w:val="206"/>
        </w:trPr>
        <w:tc>
          <w:tcPr>
            <w:tcW w:w="2650" w:type="dxa"/>
            <w:tcBorders>
              <w:top w:val="single" w:sz="4" w:space="0" w:color="auto"/>
              <w:left w:val="single" w:sz="4" w:space="0" w:color="auto"/>
            </w:tcBorders>
            <w:vAlign w:val="bottom"/>
          </w:tcPr>
          <w:p w14:paraId="11F7E24F"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Размах крыла, м</w:t>
            </w:r>
          </w:p>
        </w:tc>
        <w:tc>
          <w:tcPr>
            <w:tcW w:w="1450" w:type="dxa"/>
            <w:tcBorders>
              <w:top w:val="single" w:sz="4" w:space="0" w:color="auto"/>
            </w:tcBorders>
            <w:vAlign w:val="bottom"/>
          </w:tcPr>
          <w:p w14:paraId="6DB1A2D3"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16,3</w:t>
            </w:r>
          </w:p>
        </w:tc>
        <w:tc>
          <w:tcPr>
            <w:tcW w:w="1306" w:type="dxa"/>
            <w:tcBorders>
              <w:top w:val="single" w:sz="4" w:space="0" w:color="auto"/>
            </w:tcBorders>
            <w:vAlign w:val="bottom"/>
          </w:tcPr>
          <w:p w14:paraId="52C06659"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16,3</w:t>
            </w:r>
          </w:p>
        </w:tc>
        <w:tc>
          <w:tcPr>
            <w:tcW w:w="1373" w:type="dxa"/>
            <w:tcBorders>
              <w:top w:val="single" w:sz="4" w:space="0" w:color="auto"/>
            </w:tcBorders>
            <w:vAlign w:val="bottom"/>
          </w:tcPr>
          <w:p w14:paraId="3A233B2D"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16,3</w:t>
            </w:r>
          </w:p>
        </w:tc>
        <w:tc>
          <w:tcPr>
            <w:tcW w:w="1258" w:type="dxa"/>
            <w:tcBorders>
              <w:top w:val="single" w:sz="4" w:space="0" w:color="auto"/>
            </w:tcBorders>
            <w:vAlign w:val="bottom"/>
          </w:tcPr>
          <w:p w14:paraId="74A1F4D4"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16,38</w:t>
            </w:r>
          </w:p>
        </w:tc>
        <w:tc>
          <w:tcPr>
            <w:tcW w:w="1656" w:type="dxa"/>
            <w:tcBorders>
              <w:top w:val="single" w:sz="4" w:space="0" w:color="auto"/>
              <w:right w:val="single" w:sz="4" w:space="0" w:color="auto"/>
            </w:tcBorders>
            <w:vAlign w:val="bottom"/>
          </w:tcPr>
          <w:p w14:paraId="043A4DCC"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16,38</w:t>
            </w:r>
          </w:p>
        </w:tc>
      </w:tr>
      <w:tr w:rsidR="007F6E7B" w:rsidRPr="00070ADE" w14:paraId="32455390" w14:textId="77777777" w:rsidTr="004C5D62">
        <w:trPr>
          <w:trHeight w:val="178"/>
        </w:trPr>
        <w:tc>
          <w:tcPr>
            <w:tcW w:w="2650" w:type="dxa"/>
            <w:tcBorders>
              <w:left w:val="single" w:sz="4" w:space="0" w:color="auto"/>
            </w:tcBorders>
            <w:vAlign w:val="bottom"/>
          </w:tcPr>
          <w:p w14:paraId="377EFDBB"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самолета, м</w:t>
            </w:r>
          </w:p>
        </w:tc>
        <w:tc>
          <w:tcPr>
            <w:tcW w:w="1450" w:type="dxa"/>
            <w:vAlign w:val="bottom"/>
          </w:tcPr>
          <w:p w14:paraId="1DD8C960"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tc>
        <w:tc>
          <w:tcPr>
            <w:tcW w:w="1306" w:type="dxa"/>
            <w:vAlign w:val="bottom"/>
          </w:tcPr>
          <w:p w14:paraId="20B22492"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tc>
        <w:tc>
          <w:tcPr>
            <w:tcW w:w="1373" w:type="dxa"/>
            <w:vAlign w:val="bottom"/>
          </w:tcPr>
          <w:p w14:paraId="6D31AD75"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12,15</w:t>
            </w:r>
          </w:p>
        </w:tc>
        <w:tc>
          <w:tcPr>
            <w:tcW w:w="1258" w:type="dxa"/>
            <w:vAlign w:val="bottom"/>
          </w:tcPr>
          <w:p w14:paraId="25D85917"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w:t>
            </w:r>
          </w:p>
        </w:tc>
        <w:tc>
          <w:tcPr>
            <w:tcW w:w="1656" w:type="dxa"/>
            <w:tcBorders>
              <w:right w:val="single" w:sz="4" w:space="0" w:color="auto"/>
            </w:tcBorders>
            <w:vAlign w:val="bottom"/>
          </w:tcPr>
          <w:p w14:paraId="77DE9D4C"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w:t>
            </w:r>
          </w:p>
        </w:tc>
      </w:tr>
      <w:tr w:rsidR="007F6E7B" w:rsidRPr="00070ADE" w14:paraId="482F9FFD" w14:textId="77777777" w:rsidTr="004C5D62">
        <w:trPr>
          <w:trHeight w:val="173"/>
        </w:trPr>
        <w:tc>
          <w:tcPr>
            <w:tcW w:w="2650" w:type="dxa"/>
            <w:tcBorders>
              <w:left w:val="single" w:sz="4" w:space="0" w:color="auto"/>
            </w:tcBorders>
            <w:vAlign w:val="bottom"/>
          </w:tcPr>
          <w:p w14:paraId="28A384F8"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 самолета, м</w:t>
            </w:r>
          </w:p>
        </w:tc>
        <w:tc>
          <w:tcPr>
            <w:tcW w:w="1450" w:type="dxa"/>
            <w:vAlign w:val="bottom"/>
          </w:tcPr>
          <w:p w14:paraId="2430E6C7"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w:t>
            </w:r>
          </w:p>
        </w:tc>
        <w:tc>
          <w:tcPr>
            <w:tcW w:w="1306" w:type="dxa"/>
            <w:vAlign w:val="bottom"/>
          </w:tcPr>
          <w:p w14:paraId="03121B1E"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w:t>
            </w:r>
          </w:p>
        </w:tc>
        <w:tc>
          <w:tcPr>
            <w:tcW w:w="1373" w:type="dxa"/>
            <w:vAlign w:val="bottom"/>
          </w:tcPr>
          <w:p w14:paraId="68A6F190"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w:t>
            </w:r>
          </w:p>
        </w:tc>
        <w:tc>
          <w:tcPr>
            <w:tcW w:w="1258" w:type="dxa"/>
            <w:vAlign w:val="bottom"/>
          </w:tcPr>
          <w:p w14:paraId="678E0CD6"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w:t>
            </w:r>
          </w:p>
        </w:tc>
        <w:tc>
          <w:tcPr>
            <w:tcW w:w="1656" w:type="dxa"/>
            <w:tcBorders>
              <w:right w:val="single" w:sz="4" w:space="0" w:color="auto"/>
            </w:tcBorders>
            <w:vAlign w:val="bottom"/>
          </w:tcPr>
          <w:p w14:paraId="4F8F5152"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w:t>
            </w:r>
          </w:p>
        </w:tc>
      </w:tr>
      <w:tr w:rsidR="007F6E7B" w:rsidRPr="00070ADE" w14:paraId="2BD2830E" w14:textId="77777777" w:rsidTr="004C5D62">
        <w:trPr>
          <w:trHeight w:val="187"/>
        </w:trPr>
        <w:tc>
          <w:tcPr>
            <w:tcW w:w="2650" w:type="dxa"/>
            <w:tcBorders>
              <w:left w:val="single" w:sz="4" w:space="0" w:color="auto"/>
            </w:tcBorders>
            <w:vAlign w:val="bottom"/>
          </w:tcPr>
          <w:p w14:paraId="661987A5"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Площадь крыла, кв. м</w:t>
            </w:r>
          </w:p>
        </w:tc>
        <w:tc>
          <w:tcPr>
            <w:tcW w:w="1450" w:type="dxa"/>
            <w:vAlign w:val="bottom"/>
          </w:tcPr>
          <w:p w14:paraId="7C75C3DE"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36,25</w:t>
            </w:r>
          </w:p>
        </w:tc>
        <w:tc>
          <w:tcPr>
            <w:tcW w:w="1306" w:type="dxa"/>
            <w:vAlign w:val="bottom"/>
          </w:tcPr>
          <w:p w14:paraId="4CE81050"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36,25</w:t>
            </w:r>
          </w:p>
        </w:tc>
        <w:tc>
          <w:tcPr>
            <w:tcW w:w="1373" w:type="dxa"/>
            <w:vAlign w:val="bottom"/>
          </w:tcPr>
          <w:p w14:paraId="7DC69FDB"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36,25</w:t>
            </w:r>
          </w:p>
        </w:tc>
        <w:tc>
          <w:tcPr>
            <w:tcW w:w="1258" w:type="dxa"/>
            <w:vAlign w:val="bottom"/>
          </w:tcPr>
          <w:p w14:paraId="47EF89BF"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36.2</w:t>
            </w:r>
          </w:p>
        </w:tc>
        <w:tc>
          <w:tcPr>
            <w:tcW w:w="1656" w:type="dxa"/>
            <w:tcBorders>
              <w:right w:val="single" w:sz="4" w:space="0" w:color="auto"/>
            </w:tcBorders>
            <w:vAlign w:val="bottom"/>
          </w:tcPr>
          <w:p w14:paraId="4B844186"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36,2</w:t>
            </w:r>
          </w:p>
        </w:tc>
      </w:tr>
      <w:tr w:rsidR="007F6E7B" w:rsidRPr="00070ADE" w14:paraId="356529CA" w14:textId="77777777" w:rsidTr="004C5D62">
        <w:trPr>
          <w:trHeight w:val="178"/>
        </w:trPr>
        <w:tc>
          <w:tcPr>
            <w:tcW w:w="2650" w:type="dxa"/>
            <w:tcBorders>
              <w:left w:val="single" w:sz="4" w:space="0" w:color="auto"/>
            </w:tcBorders>
          </w:tcPr>
          <w:p w14:paraId="45FA6D9A"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двигателей</w:t>
            </w:r>
          </w:p>
        </w:tc>
        <w:tc>
          <w:tcPr>
            <w:tcW w:w="1450" w:type="dxa"/>
          </w:tcPr>
          <w:p w14:paraId="334B8BA8"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DB 601F</w:t>
            </w:r>
          </w:p>
        </w:tc>
        <w:tc>
          <w:tcPr>
            <w:tcW w:w="1306" w:type="dxa"/>
          </w:tcPr>
          <w:p w14:paraId="74397648"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DB 601F</w:t>
            </w:r>
          </w:p>
        </w:tc>
        <w:tc>
          <w:tcPr>
            <w:tcW w:w="1373" w:type="dxa"/>
          </w:tcPr>
          <w:p w14:paraId="5B7BA895"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DB 605B</w:t>
            </w:r>
          </w:p>
        </w:tc>
        <w:tc>
          <w:tcPr>
            <w:tcW w:w="1258" w:type="dxa"/>
          </w:tcPr>
          <w:p w14:paraId="31FF42DB"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DB 603A</w:t>
            </w:r>
          </w:p>
        </w:tc>
        <w:tc>
          <w:tcPr>
            <w:tcW w:w="1656" w:type="dxa"/>
            <w:tcBorders>
              <w:right w:val="single" w:sz="4" w:space="0" w:color="auto"/>
            </w:tcBorders>
          </w:tcPr>
          <w:p w14:paraId="28B4A686"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DB 603G</w:t>
            </w:r>
          </w:p>
        </w:tc>
      </w:tr>
      <w:tr w:rsidR="007F6E7B" w:rsidRPr="00070ADE" w14:paraId="3B1C508A" w14:textId="77777777" w:rsidTr="004C5D62">
        <w:trPr>
          <w:trHeight w:val="360"/>
        </w:trPr>
        <w:tc>
          <w:tcPr>
            <w:tcW w:w="2650" w:type="dxa"/>
            <w:tcBorders>
              <w:left w:val="single" w:sz="4" w:space="0" w:color="auto"/>
            </w:tcBorders>
            <w:vAlign w:val="bottom"/>
          </w:tcPr>
          <w:p w14:paraId="0500EC53"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Мощность двигателя, л.с. Масса, кг:</w:t>
            </w:r>
          </w:p>
        </w:tc>
        <w:tc>
          <w:tcPr>
            <w:tcW w:w="1450" w:type="dxa"/>
          </w:tcPr>
          <w:p w14:paraId="0F76D9A3"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1350</w:t>
            </w:r>
          </w:p>
        </w:tc>
        <w:tc>
          <w:tcPr>
            <w:tcW w:w="1306" w:type="dxa"/>
          </w:tcPr>
          <w:p w14:paraId="5D87FF81"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1350</w:t>
            </w:r>
          </w:p>
        </w:tc>
        <w:tc>
          <w:tcPr>
            <w:tcW w:w="1373" w:type="dxa"/>
          </w:tcPr>
          <w:p w14:paraId="4561E808"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1450</w:t>
            </w:r>
          </w:p>
        </w:tc>
        <w:tc>
          <w:tcPr>
            <w:tcW w:w="1258" w:type="dxa"/>
          </w:tcPr>
          <w:p w14:paraId="580F5186"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1750</w:t>
            </w:r>
          </w:p>
        </w:tc>
        <w:tc>
          <w:tcPr>
            <w:tcW w:w="1656" w:type="dxa"/>
            <w:tcBorders>
              <w:right w:val="single" w:sz="4" w:space="0" w:color="auto"/>
            </w:tcBorders>
          </w:tcPr>
          <w:p w14:paraId="5EB75A9E"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1900</w:t>
            </w:r>
          </w:p>
        </w:tc>
      </w:tr>
      <w:tr w:rsidR="007F6E7B" w:rsidRPr="00070ADE" w14:paraId="7FC215B2" w14:textId="77777777" w:rsidTr="004C5D62">
        <w:trPr>
          <w:trHeight w:val="178"/>
        </w:trPr>
        <w:tc>
          <w:tcPr>
            <w:tcW w:w="2650" w:type="dxa"/>
            <w:tcBorders>
              <w:left w:val="single" w:sz="4" w:space="0" w:color="auto"/>
            </w:tcBorders>
            <w:vAlign w:val="bottom"/>
          </w:tcPr>
          <w:p w14:paraId="484AA29D"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пустого самолета</w:t>
            </w:r>
          </w:p>
        </w:tc>
        <w:tc>
          <w:tcPr>
            <w:tcW w:w="1450" w:type="dxa"/>
            <w:vAlign w:val="bottom"/>
          </w:tcPr>
          <w:p w14:paraId="724D2AC3"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7070</w:t>
            </w:r>
          </w:p>
        </w:tc>
        <w:tc>
          <w:tcPr>
            <w:tcW w:w="1306" w:type="dxa"/>
            <w:vAlign w:val="bottom"/>
          </w:tcPr>
          <w:p w14:paraId="156E70DB"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7080</w:t>
            </w:r>
          </w:p>
        </w:tc>
        <w:tc>
          <w:tcPr>
            <w:tcW w:w="1373" w:type="dxa"/>
            <w:vAlign w:val="bottom"/>
          </w:tcPr>
          <w:p w14:paraId="48EC3855"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7300</w:t>
            </w:r>
          </w:p>
        </w:tc>
        <w:tc>
          <w:tcPr>
            <w:tcW w:w="1258" w:type="dxa"/>
            <w:vAlign w:val="bottom"/>
          </w:tcPr>
          <w:p w14:paraId="2939E641"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7525</w:t>
            </w:r>
          </w:p>
        </w:tc>
        <w:tc>
          <w:tcPr>
            <w:tcW w:w="1656" w:type="dxa"/>
            <w:tcBorders>
              <w:right w:val="single" w:sz="4" w:space="0" w:color="auto"/>
            </w:tcBorders>
            <w:vAlign w:val="bottom"/>
          </w:tcPr>
          <w:p w14:paraId="2D430922"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7990</w:t>
            </w:r>
          </w:p>
        </w:tc>
      </w:tr>
      <w:tr w:rsidR="007F6E7B" w:rsidRPr="00070ADE" w14:paraId="6D6E25B4" w14:textId="77777777" w:rsidTr="004C5D62">
        <w:trPr>
          <w:trHeight w:val="182"/>
        </w:trPr>
        <w:tc>
          <w:tcPr>
            <w:tcW w:w="2650" w:type="dxa"/>
            <w:tcBorders>
              <w:left w:val="single" w:sz="4" w:space="0" w:color="auto"/>
            </w:tcBorders>
            <w:vAlign w:val="bottom"/>
          </w:tcPr>
          <w:p w14:paraId="53C73E48"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взлетная</w:t>
            </w:r>
          </w:p>
        </w:tc>
        <w:tc>
          <w:tcPr>
            <w:tcW w:w="1450" w:type="dxa"/>
            <w:vAlign w:val="bottom"/>
          </w:tcPr>
          <w:p w14:paraId="1DAD2A4C"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9705</w:t>
            </w:r>
          </w:p>
        </w:tc>
        <w:tc>
          <w:tcPr>
            <w:tcW w:w="1306" w:type="dxa"/>
            <w:vAlign w:val="bottom"/>
          </w:tcPr>
          <w:p w14:paraId="173C6CCB"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9715</w:t>
            </w:r>
          </w:p>
        </w:tc>
        <w:tc>
          <w:tcPr>
            <w:tcW w:w="1373" w:type="dxa"/>
            <w:vAlign w:val="bottom"/>
          </w:tcPr>
          <w:p w14:paraId="042670A8"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10715</w:t>
            </w:r>
          </w:p>
        </w:tc>
        <w:tc>
          <w:tcPr>
            <w:tcW w:w="1258" w:type="dxa"/>
            <w:vAlign w:val="bottom"/>
          </w:tcPr>
          <w:p w14:paraId="51BC8664"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9660</w:t>
            </w:r>
          </w:p>
        </w:tc>
        <w:tc>
          <w:tcPr>
            <w:tcW w:w="1656" w:type="dxa"/>
            <w:tcBorders>
              <w:right w:val="single" w:sz="4" w:space="0" w:color="auto"/>
            </w:tcBorders>
            <w:vAlign w:val="bottom"/>
          </w:tcPr>
          <w:p w14:paraId="487C8E5B"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11250</w:t>
            </w:r>
          </w:p>
        </w:tc>
      </w:tr>
      <w:tr w:rsidR="007F6E7B" w:rsidRPr="00070ADE" w14:paraId="759182E0" w14:textId="77777777" w:rsidTr="004C5D62">
        <w:trPr>
          <w:trHeight w:val="187"/>
        </w:trPr>
        <w:tc>
          <w:tcPr>
            <w:tcW w:w="2650" w:type="dxa"/>
            <w:tcBorders>
              <w:left w:val="single" w:sz="4" w:space="0" w:color="auto"/>
            </w:tcBorders>
            <w:vAlign w:val="bottom"/>
          </w:tcPr>
          <w:p w14:paraId="35A952C4"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w:t>
            </w:r>
          </w:p>
        </w:tc>
        <w:tc>
          <w:tcPr>
            <w:tcW w:w="1450" w:type="dxa"/>
            <w:vAlign w:val="bottom"/>
          </w:tcPr>
          <w:p w14:paraId="3BD90417"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463/0</w:t>
            </w:r>
          </w:p>
        </w:tc>
        <w:tc>
          <w:tcPr>
            <w:tcW w:w="1306" w:type="dxa"/>
            <w:vAlign w:val="bottom"/>
          </w:tcPr>
          <w:p w14:paraId="0F7ECCDC"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460/0</w:t>
            </w:r>
          </w:p>
        </w:tc>
        <w:tc>
          <w:tcPr>
            <w:tcW w:w="1373" w:type="dxa"/>
            <w:vAlign w:val="bottom"/>
          </w:tcPr>
          <w:p w14:paraId="0E85D9FC"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475/0</w:t>
            </w:r>
          </w:p>
        </w:tc>
        <w:tc>
          <w:tcPr>
            <w:tcW w:w="1258" w:type="dxa"/>
            <w:vAlign w:val="bottom"/>
          </w:tcPr>
          <w:p w14:paraId="400845A7"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505/0</w:t>
            </w:r>
          </w:p>
        </w:tc>
        <w:tc>
          <w:tcPr>
            <w:tcW w:w="1656" w:type="dxa"/>
            <w:tcBorders>
              <w:right w:val="single" w:sz="4" w:space="0" w:color="auto"/>
            </w:tcBorders>
            <w:vAlign w:val="bottom"/>
          </w:tcPr>
          <w:p w14:paraId="1864FED9"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580/4000</w:t>
            </w:r>
          </w:p>
        </w:tc>
      </w:tr>
      <w:tr w:rsidR="007F6E7B" w:rsidRPr="00070ADE" w14:paraId="5E7C791A" w14:textId="77777777" w:rsidTr="004C5D62">
        <w:trPr>
          <w:trHeight w:val="178"/>
        </w:trPr>
        <w:tc>
          <w:tcPr>
            <w:tcW w:w="2650" w:type="dxa"/>
            <w:tcBorders>
              <w:left w:val="single" w:sz="4" w:space="0" w:color="auto"/>
            </w:tcBorders>
            <w:vAlign w:val="bottom"/>
          </w:tcPr>
          <w:p w14:paraId="6A56C67B"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км/ч / на высоте, м</w:t>
            </w:r>
          </w:p>
        </w:tc>
        <w:tc>
          <w:tcPr>
            <w:tcW w:w="1450" w:type="dxa"/>
          </w:tcPr>
          <w:p w14:paraId="1E09474F" w14:textId="77777777" w:rsidR="007F6E7B" w:rsidRPr="00070ADE" w:rsidRDefault="007F6E7B" w:rsidP="00B56F90">
            <w:pPr>
              <w:spacing w:after="0" w:line="240" w:lineRule="auto"/>
              <w:jc w:val="both"/>
              <w:rPr>
                <w:rFonts w:ascii="Times New Roman" w:hAnsi="Times New Roman"/>
                <w:color w:val="000000" w:themeColor="text1"/>
                <w:sz w:val="16"/>
                <w:szCs w:val="16"/>
              </w:rPr>
            </w:pPr>
          </w:p>
        </w:tc>
        <w:tc>
          <w:tcPr>
            <w:tcW w:w="1306" w:type="dxa"/>
            <w:vAlign w:val="bottom"/>
          </w:tcPr>
          <w:p w14:paraId="65016761"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560/5400</w:t>
            </w:r>
          </w:p>
        </w:tc>
        <w:tc>
          <w:tcPr>
            <w:tcW w:w="1373" w:type="dxa"/>
            <w:vAlign w:val="bottom"/>
          </w:tcPr>
          <w:p w14:paraId="01E7F199"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575/6500</w:t>
            </w:r>
          </w:p>
        </w:tc>
        <w:tc>
          <w:tcPr>
            <w:tcW w:w="1258" w:type="dxa"/>
            <w:vAlign w:val="bottom"/>
          </w:tcPr>
          <w:p w14:paraId="3A2C29A3"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620/6700</w:t>
            </w:r>
          </w:p>
        </w:tc>
        <w:tc>
          <w:tcPr>
            <w:tcW w:w="1656" w:type="dxa"/>
            <w:tcBorders>
              <w:right w:val="single" w:sz="4" w:space="0" w:color="auto"/>
            </w:tcBorders>
            <w:vAlign w:val="bottom"/>
          </w:tcPr>
          <w:p w14:paraId="4B462EC1"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600/6000</w:t>
            </w:r>
          </w:p>
        </w:tc>
      </w:tr>
      <w:tr w:rsidR="007F6E7B" w:rsidRPr="00070ADE" w14:paraId="6E12F957" w14:textId="77777777" w:rsidTr="004C5D62">
        <w:trPr>
          <w:trHeight w:val="182"/>
        </w:trPr>
        <w:tc>
          <w:tcPr>
            <w:tcW w:w="2650" w:type="dxa"/>
            <w:tcBorders>
              <w:left w:val="single" w:sz="4" w:space="0" w:color="auto"/>
            </w:tcBorders>
          </w:tcPr>
          <w:p w14:paraId="683ED63A" w14:textId="77777777" w:rsidR="007F6E7B" w:rsidRPr="00070ADE" w:rsidRDefault="007F6E7B" w:rsidP="00B56F90">
            <w:pPr>
              <w:spacing w:after="0" w:line="240" w:lineRule="auto"/>
              <w:jc w:val="both"/>
              <w:rPr>
                <w:rFonts w:ascii="Times New Roman" w:hAnsi="Times New Roman"/>
                <w:color w:val="000000" w:themeColor="text1"/>
                <w:sz w:val="16"/>
                <w:szCs w:val="16"/>
              </w:rPr>
            </w:pPr>
          </w:p>
        </w:tc>
        <w:tc>
          <w:tcPr>
            <w:tcW w:w="1450" w:type="dxa"/>
          </w:tcPr>
          <w:p w14:paraId="4DAD4B9B" w14:textId="77777777" w:rsidR="007F6E7B" w:rsidRPr="00070ADE" w:rsidRDefault="007F6E7B" w:rsidP="00B56F90">
            <w:pPr>
              <w:spacing w:after="0" w:line="240" w:lineRule="auto"/>
              <w:jc w:val="both"/>
              <w:rPr>
                <w:rFonts w:ascii="Times New Roman" w:hAnsi="Times New Roman"/>
                <w:color w:val="000000" w:themeColor="text1"/>
                <w:sz w:val="16"/>
                <w:szCs w:val="16"/>
              </w:rPr>
            </w:pPr>
          </w:p>
        </w:tc>
        <w:tc>
          <w:tcPr>
            <w:tcW w:w="1306" w:type="dxa"/>
          </w:tcPr>
          <w:p w14:paraId="0C3A5FAA" w14:textId="77777777" w:rsidR="007F6E7B" w:rsidRPr="00070ADE" w:rsidRDefault="007F6E7B" w:rsidP="00B56F90">
            <w:pPr>
              <w:spacing w:after="0" w:line="240" w:lineRule="auto"/>
              <w:jc w:val="both"/>
              <w:rPr>
                <w:rFonts w:ascii="Times New Roman" w:hAnsi="Times New Roman"/>
                <w:color w:val="000000" w:themeColor="text1"/>
                <w:sz w:val="16"/>
                <w:szCs w:val="16"/>
              </w:rPr>
            </w:pPr>
          </w:p>
        </w:tc>
        <w:tc>
          <w:tcPr>
            <w:tcW w:w="1373" w:type="dxa"/>
          </w:tcPr>
          <w:p w14:paraId="3674B4E1" w14:textId="77777777" w:rsidR="007F6E7B" w:rsidRPr="00070ADE" w:rsidRDefault="007F6E7B" w:rsidP="00B56F90">
            <w:pPr>
              <w:spacing w:after="0" w:line="240" w:lineRule="auto"/>
              <w:jc w:val="both"/>
              <w:rPr>
                <w:rFonts w:ascii="Times New Roman" w:hAnsi="Times New Roman"/>
                <w:color w:val="000000" w:themeColor="text1"/>
                <w:sz w:val="16"/>
                <w:szCs w:val="16"/>
              </w:rPr>
            </w:pPr>
          </w:p>
        </w:tc>
        <w:tc>
          <w:tcPr>
            <w:tcW w:w="1258" w:type="dxa"/>
            <w:vAlign w:val="bottom"/>
          </w:tcPr>
          <w:p w14:paraId="364BF774"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595/8000</w:t>
            </w:r>
          </w:p>
        </w:tc>
        <w:tc>
          <w:tcPr>
            <w:tcW w:w="1656" w:type="dxa"/>
            <w:tcBorders>
              <w:right w:val="single" w:sz="4" w:space="0" w:color="auto"/>
            </w:tcBorders>
            <w:vAlign w:val="bottom"/>
          </w:tcPr>
          <w:p w14:paraId="1B60DD35"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625/8100</w:t>
            </w:r>
          </w:p>
        </w:tc>
      </w:tr>
      <w:tr w:rsidR="007F6E7B" w:rsidRPr="00070ADE" w14:paraId="3284C2A0" w14:textId="77777777" w:rsidTr="004C5D62">
        <w:trPr>
          <w:trHeight w:val="542"/>
        </w:trPr>
        <w:tc>
          <w:tcPr>
            <w:tcW w:w="2650" w:type="dxa"/>
            <w:tcBorders>
              <w:left w:val="single" w:sz="4" w:space="0" w:color="auto"/>
            </w:tcBorders>
          </w:tcPr>
          <w:p w14:paraId="68F47C8F"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 высоты м / мин</w:t>
            </w:r>
          </w:p>
        </w:tc>
        <w:tc>
          <w:tcPr>
            <w:tcW w:w="1450" w:type="dxa"/>
          </w:tcPr>
          <w:p w14:paraId="065B60D4" w14:textId="77777777" w:rsidR="007F6E7B" w:rsidRPr="00070ADE" w:rsidRDefault="007F6E7B" w:rsidP="00B56F90">
            <w:pPr>
              <w:spacing w:after="0" w:line="240" w:lineRule="auto"/>
              <w:jc w:val="both"/>
              <w:rPr>
                <w:rFonts w:ascii="Times New Roman" w:hAnsi="Times New Roman"/>
                <w:color w:val="000000" w:themeColor="text1"/>
                <w:sz w:val="16"/>
                <w:szCs w:val="16"/>
              </w:rPr>
            </w:pPr>
          </w:p>
        </w:tc>
        <w:tc>
          <w:tcPr>
            <w:tcW w:w="1306" w:type="dxa"/>
          </w:tcPr>
          <w:p w14:paraId="7A9E678C"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4000/7,5 6000/12,4 8000/22</w:t>
            </w:r>
          </w:p>
        </w:tc>
        <w:tc>
          <w:tcPr>
            <w:tcW w:w="1373" w:type="dxa"/>
          </w:tcPr>
          <w:p w14:paraId="29F77174" w14:textId="77777777" w:rsidR="007F6E7B" w:rsidRPr="00070ADE" w:rsidRDefault="007F6E7B" w:rsidP="00B56F90">
            <w:pPr>
              <w:spacing w:after="0" w:line="240" w:lineRule="auto"/>
              <w:jc w:val="both"/>
              <w:rPr>
                <w:rFonts w:ascii="Times New Roman" w:hAnsi="Times New Roman"/>
                <w:color w:val="000000" w:themeColor="text1"/>
                <w:sz w:val="16"/>
                <w:szCs w:val="16"/>
              </w:rPr>
            </w:pPr>
          </w:p>
        </w:tc>
        <w:tc>
          <w:tcPr>
            <w:tcW w:w="1258" w:type="dxa"/>
          </w:tcPr>
          <w:p w14:paraId="14C831E8" w14:textId="77777777" w:rsidR="007F6E7B" w:rsidRPr="00070ADE" w:rsidRDefault="007F6E7B" w:rsidP="00B56F90">
            <w:pPr>
              <w:spacing w:after="0" w:line="240" w:lineRule="auto"/>
              <w:jc w:val="both"/>
              <w:rPr>
                <w:rFonts w:ascii="Times New Roman" w:hAnsi="Times New Roman"/>
                <w:color w:val="000000" w:themeColor="text1"/>
                <w:sz w:val="16"/>
                <w:szCs w:val="16"/>
              </w:rPr>
            </w:pPr>
          </w:p>
        </w:tc>
        <w:tc>
          <w:tcPr>
            <w:tcW w:w="1656" w:type="dxa"/>
            <w:tcBorders>
              <w:right w:val="single" w:sz="4" w:space="0" w:color="auto"/>
            </w:tcBorders>
          </w:tcPr>
          <w:p w14:paraId="5F2F3EB0"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8000/22,5</w:t>
            </w:r>
          </w:p>
        </w:tc>
      </w:tr>
      <w:tr w:rsidR="007F6E7B" w:rsidRPr="00070ADE" w14:paraId="4B1C66B3" w14:textId="77777777" w:rsidTr="004C5D62">
        <w:trPr>
          <w:trHeight w:val="168"/>
        </w:trPr>
        <w:tc>
          <w:tcPr>
            <w:tcW w:w="2650" w:type="dxa"/>
            <w:tcBorders>
              <w:left w:val="single" w:sz="4" w:space="0" w:color="auto"/>
            </w:tcBorders>
          </w:tcPr>
          <w:p w14:paraId="2A2B420D"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полета, км</w:t>
            </w:r>
          </w:p>
        </w:tc>
        <w:tc>
          <w:tcPr>
            <w:tcW w:w="1450" w:type="dxa"/>
          </w:tcPr>
          <w:p w14:paraId="5891C2F7"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1800</w:t>
            </w:r>
          </w:p>
        </w:tc>
        <w:tc>
          <w:tcPr>
            <w:tcW w:w="1306" w:type="dxa"/>
          </w:tcPr>
          <w:p w14:paraId="6AF15A31"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1800</w:t>
            </w:r>
          </w:p>
        </w:tc>
        <w:tc>
          <w:tcPr>
            <w:tcW w:w="1373" w:type="dxa"/>
          </w:tcPr>
          <w:p w14:paraId="481DE92F"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1720</w:t>
            </w:r>
          </w:p>
        </w:tc>
        <w:tc>
          <w:tcPr>
            <w:tcW w:w="1258" w:type="dxa"/>
          </w:tcPr>
          <w:p w14:paraId="3E8792C1"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1700</w:t>
            </w:r>
          </w:p>
        </w:tc>
        <w:tc>
          <w:tcPr>
            <w:tcW w:w="1656" w:type="dxa"/>
            <w:tcBorders>
              <w:right w:val="single" w:sz="4" w:space="0" w:color="auto"/>
            </w:tcBorders>
          </w:tcPr>
          <w:p w14:paraId="7215D86B" w14:textId="77777777" w:rsidR="007F6E7B" w:rsidRPr="00070ADE" w:rsidRDefault="007F6E7B" w:rsidP="00B56F90">
            <w:pPr>
              <w:spacing w:after="0" w:line="240" w:lineRule="auto"/>
              <w:jc w:val="both"/>
              <w:rPr>
                <w:rFonts w:ascii="Times New Roman" w:hAnsi="Times New Roman"/>
                <w:color w:val="000000" w:themeColor="text1"/>
                <w:sz w:val="16"/>
                <w:szCs w:val="16"/>
              </w:rPr>
            </w:pPr>
          </w:p>
        </w:tc>
      </w:tr>
      <w:tr w:rsidR="007F6E7B" w:rsidRPr="00070ADE" w14:paraId="29229C30" w14:textId="77777777" w:rsidTr="004C5D62">
        <w:trPr>
          <w:trHeight w:val="216"/>
        </w:trPr>
        <w:tc>
          <w:tcPr>
            <w:tcW w:w="2650" w:type="dxa"/>
            <w:tcBorders>
              <w:left w:val="single" w:sz="4" w:space="0" w:color="auto"/>
              <w:bottom w:val="single" w:sz="4" w:space="0" w:color="auto"/>
            </w:tcBorders>
          </w:tcPr>
          <w:p w14:paraId="1B9CB52D"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м</w:t>
            </w:r>
          </w:p>
        </w:tc>
        <w:tc>
          <w:tcPr>
            <w:tcW w:w="1450" w:type="dxa"/>
            <w:tcBorders>
              <w:bottom w:val="single" w:sz="4" w:space="0" w:color="auto"/>
            </w:tcBorders>
          </w:tcPr>
          <w:p w14:paraId="65DF3226"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8900</w:t>
            </w:r>
          </w:p>
        </w:tc>
        <w:tc>
          <w:tcPr>
            <w:tcW w:w="1306" w:type="dxa"/>
            <w:tcBorders>
              <w:bottom w:val="single" w:sz="4" w:space="0" w:color="auto"/>
            </w:tcBorders>
          </w:tcPr>
          <w:p w14:paraId="3E93BB7D"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8900</w:t>
            </w:r>
          </w:p>
        </w:tc>
        <w:tc>
          <w:tcPr>
            <w:tcW w:w="1373" w:type="dxa"/>
            <w:tcBorders>
              <w:bottom w:val="single" w:sz="4" w:space="0" w:color="auto"/>
            </w:tcBorders>
          </w:tcPr>
          <w:p w14:paraId="448C8287"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8900</w:t>
            </w:r>
          </w:p>
        </w:tc>
        <w:tc>
          <w:tcPr>
            <w:tcW w:w="1258" w:type="dxa"/>
            <w:tcBorders>
              <w:bottom w:val="single" w:sz="4" w:space="0" w:color="auto"/>
            </w:tcBorders>
          </w:tcPr>
          <w:p w14:paraId="5D783FE5"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10000</w:t>
            </w:r>
          </w:p>
        </w:tc>
        <w:tc>
          <w:tcPr>
            <w:tcW w:w="1656" w:type="dxa"/>
            <w:tcBorders>
              <w:bottom w:val="single" w:sz="4" w:space="0" w:color="auto"/>
              <w:right w:val="single" w:sz="4" w:space="0" w:color="auto"/>
            </w:tcBorders>
          </w:tcPr>
          <w:p w14:paraId="69381FA3" w14:textId="77777777" w:rsidR="007F6E7B" w:rsidRPr="00070ADE" w:rsidRDefault="007F6E7B" w:rsidP="00B56F90">
            <w:pPr>
              <w:spacing w:after="0" w:line="240" w:lineRule="auto"/>
              <w:jc w:val="both"/>
              <w:rPr>
                <w:rFonts w:ascii="Times New Roman" w:hAnsi="Times New Roman"/>
                <w:color w:val="000000" w:themeColor="text1"/>
                <w:sz w:val="16"/>
                <w:szCs w:val="16"/>
              </w:rPr>
            </w:pPr>
          </w:p>
        </w:tc>
      </w:tr>
    </w:tbl>
    <w:p w14:paraId="2FCEAD76"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(24191).</w:t>
      </w:r>
    </w:p>
    <w:p w14:paraId="26E16169" w14:textId="77777777" w:rsidR="007F6E7B" w:rsidRPr="00070ADE" w:rsidRDefault="007F6E7B" w:rsidP="00B56F90">
      <w:pPr>
        <w:spacing w:after="0" w:line="240" w:lineRule="auto"/>
        <w:jc w:val="both"/>
        <w:rPr>
          <w:rFonts w:ascii="Times New Roman" w:hAnsi="Times New Roman"/>
          <w:color w:val="000000" w:themeColor="text1"/>
          <w:sz w:val="16"/>
          <w:szCs w:val="16"/>
        </w:rPr>
      </w:pPr>
    </w:p>
    <w:p w14:paraId="10EC762B" w14:textId="77777777" w:rsidR="007874A2" w:rsidRPr="00070ADE" w:rsidRDefault="007874A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апреля 1944 г. вертолеты R-4 из 1-й воздушной группы специального назначения Армии США (US Army’s First Air Commando Group) приняли участие в боевых операциях в Бирме и Индии. Они использовались для обеспечения действий коммандос, в том числе эвакуации раненых. Так, благодаря 2-му лейтенанту ВВС Армии США Картеру Харману (Carter Harmon) были эвакуированы три раненых британских солдата и пилот санитарного самолета, сбитого японцами над оккупированной территорией Бирмы (22830).</w:t>
      </w:r>
    </w:p>
    <w:p w14:paraId="5A7E074B" w14:textId="77777777" w:rsidR="007874A2" w:rsidRPr="00070ADE" w:rsidRDefault="007874A2" w:rsidP="00B56F90">
      <w:pPr>
        <w:spacing w:after="0" w:line="240" w:lineRule="auto"/>
        <w:jc w:val="both"/>
        <w:rPr>
          <w:rFonts w:ascii="Times New Roman" w:hAnsi="Times New Roman"/>
          <w:color w:val="000000" w:themeColor="text1"/>
          <w:sz w:val="16"/>
          <w:szCs w:val="16"/>
        </w:rPr>
      </w:pPr>
    </w:p>
    <w:p w14:paraId="7CA741F7" w14:textId="77777777" w:rsidR="007874A2" w:rsidRPr="00070ADE" w:rsidRDefault="007874A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Береговая охрана США начинает экспериментировать с погружаемым в воду гидролокатором чтобы разработать вертолет в качестве противолодочной платформы (20373).</w:t>
      </w:r>
    </w:p>
    <w:p w14:paraId="379A96BE" w14:textId="77777777" w:rsidR="007874A2" w:rsidRPr="00070ADE" w:rsidRDefault="007874A2" w:rsidP="00B56F90">
      <w:pPr>
        <w:spacing w:after="0" w:line="240" w:lineRule="auto"/>
        <w:jc w:val="both"/>
        <w:rPr>
          <w:rFonts w:ascii="Times New Roman" w:hAnsi="Times New Roman"/>
          <w:color w:val="000000" w:themeColor="text1"/>
          <w:sz w:val="16"/>
          <w:szCs w:val="16"/>
        </w:rPr>
      </w:pPr>
    </w:p>
    <w:p w14:paraId="4095D429" w14:textId="77777777" w:rsidR="007874A2" w:rsidRPr="00070ADE" w:rsidRDefault="007874A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немецкие люфтваффе продолжают использовать бомбы с радиоуправлением против кораблей союзников, действующих у плацдарма Анцио, но они становятся менее эффективными по мере того, как улучшается защита от них эсминцами союзников (20373).</w:t>
      </w:r>
    </w:p>
    <w:p w14:paraId="4EF8FA44" w14:textId="77777777" w:rsidR="007874A2" w:rsidRPr="00070ADE" w:rsidRDefault="007874A2" w:rsidP="00B56F90">
      <w:pPr>
        <w:spacing w:after="0" w:line="240" w:lineRule="auto"/>
        <w:jc w:val="both"/>
        <w:rPr>
          <w:rFonts w:ascii="Times New Roman" w:hAnsi="Times New Roman"/>
          <w:color w:val="000000" w:themeColor="text1"/>
          <w:sz w:val="16"/>
          <w:szCs w:val="16"/>
        </w:rPr>
      </w:pPr>
    </w:p>
    <w:p w14:paraId="40A5E695" w14:textId="77777777" w:rsidR="007874A2" w:rsidRPr="00070ADE" w:rsidRDefault="007874A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первый полет Blohm &amp; Voss BV 238 (20373).</w:t>
      </w:r>
    </w:p>
    <w:p w14:paraId="378BC0D7" w14:textId="77777777" w:rsidR="007874A2" w:rsidRPr="00070ADE" w:rsidRDefault="007874A2" w:rsidP="00B56F90">
      <w:pPr>
        <w:spacing w:after="0" w:line="240" w:lineRule="auto"/>
        <w:jc w:val="both"/>
        <w:rPr>
          <w:rFonts w:ascii="Times New Roman" w:hAnsi="Times New Roman"/>
          <w:color w:val="000000" w:themeColor="text1"/>
          <w:sz w:val="16"/>
          <w:szCs w:val="16"/>
        </w:rPr>
      </w:pPr>
    </w:p>
    <w:p w14:paraId="00E288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с полигона Близна в Польше был осуществлен запуск А-4. ракета упала в болото в нескольких км от старта, не взорвалась и была захвачена партизанами, которые передали ее англичанам (2990).</w:t>
      </w:r>
    </w:p>
    <w:p w14:paraId="0DA766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0606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15 ВА США (Италия) разбомбила нефтепромыслы в Плоешти (1261,32).</w:t>
      </w:r>
    </w:p>
    <w:p w14:paraId="043969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9EAF0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7AE84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730A22" w14:textId="77777777" w:rsidR="001C36F9" w:rsidRPr="00C94B78" w:rsidRDefault="001C36F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апреле-июле 1944 г. испытывался Су-6, переделали под V-образный двигатель АМ-42 (2000 л.с.) с четырёхлопастным винтом АВ-9Л-172. Но на вооружение уже начал поступать Ил-10, и Су-6, имевший более низкие ЛТХ, в серию не пошёл (25146).</w:t>
      </w:r>
    </w:p>
    <w:p w14:paraId="475887FA" w14:textId="77777777" w:rsidR="001C36F9" w:rsidRPr="00C94B78" w:rsidRDefault="001C36F9" w:rsidP="00B56F90">
      <w:pPr>
        <w:spacing w:after="0" w:line="240" w:lineRule="auto"/>
        <w:jc w:val="both"/>
        <w:rPr>
          <w:rFonts w:ascii="Times New Roman" w:hAnsi="Times New Roman"/>
          <w:color w:val="0070C0"/>
          <w:sz w:val="16"/>
          <w:szCs w:val="16"/>
        </w:rPr>
      </w:pPr>
    </w:p>
    <w:p w14:paraId="0D1569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апреле-мае 1944 г. на самолете Ил-6 было сделано еще несколько полетов, в которых оценивались характеристики его устойчивости и управляемости. Летали В.К.Коккинаки, К.К.Коккинаки, летчики ЛИИ А.Н.Гринчик и Н.С.Рыбко. По оценке испытателей самолет имел значительные трудности в пилотировании, которые делали дальнейшие полеты опасными. Было принято решение о его доработке (9528).</w:t>
      </w:r>
    </w:p>
    <w:p w14:paraId="098193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FF1C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мае 1944 г. на самолете Ил-6 было сделано еще несколько полетов, в которых оценивались характеристики его устойчивости и управляемости. Летали В.К. Коккинаки, К.К. Коккинаки, летчики ЛИИ А.Н. Гринчик и Н.С. Рыбко. По оценке испытателей самолет, имеет значительные трудности в пилотировании, которые делают дальнейшие полеты опасными. Испытания были завершены 10 октября 1944 г. после 16 полетов.</w:t>
      </w:r>
    </w:p>
    <w:p w14:paraId="37FF7E1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Странно, что безусловно грамотный и талантливый конструктор как С.В. Илыошин допустил в проектировании машины такой очевидный промах, исправить который традиционными доводками было невозможно - изменение компоновки крыла привело бы к переделке всего самолста. А ведь специалисты ЦАГИ предупреждали </w:t>
      </w:r>
      <w:r w:rsidRPr="00070ADE">
        <w:rPr>
          <w:rFonts w:ascii="Times New Roman" w:hAnsi="Times New Roman"/>
          <w:color w:val="000000" w:themeColor="text1"/>
          <w:sz w:val="16"/>
          <w:szCs w:val="16"/>
        </w:rPr>
        <w:lastRenderedPageBreak/>
        <w:t>главного конструктора о порочности выбранных решений. Ведущий инженер В. Горский в своем отчете по результатам испытаний модели Ил-6 в аэродинамической трубе Т-5 писал, что "...на концах крыла при посадочных углах атаки развивается отрыв потока, захватывающий элероны. Это делает самолет неустойчивым по крену...".</w:t>
      </w:r>
    </w:p>
    <w:p w14:paraId="5F943D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наглядности на модели Ил-6 (еще с моторами М-71, т.е. задолго до летных испытаний) провели визуализацию потока. Фотографии были направлены главному конструктору, но тот опять не обратил на них внимания. Воплощенная в металле компоновка повела себя в воздухе так, как и предупреждали аэродинамики. Смертельный удар Ил-6 нанесли не двигателисты, а свои же собственные создатели.</w:t>
      </w:r>
    </w:p>
    <w:p w14:paraId="550728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прекращения работ по Ил-6 командование АДД не имело других альтернатив, кроме возобновления серийного производства Ер-2.</w:t>
      </w:r>
    </w:p>
    <w:p w14:paraId="0EBC70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Авиацией дальнего действия маршал А.Е. Голованов, ознакомившись с результатами испытаний, решительно выступил в пользу Ер-2 и инициировал выход постановления Государственного комитета обороны, на которое НКАП отреагировал приказом о возобновлении выпуска Ер-2 (12037).</w:t>
      </w:r>
    </w:p>
    <w:p w14:paraId="6E3636E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EF15061" w14:textId="77777777" w:rsidR="001C36F9" w:rsidRPr="00C94B78" w:rsidRDefault="001C36F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апреле-мае 1944 г. на самолете Ил-6 было сделано еще несколько полетов, в которых оценивались характеристики его устойчивости и управляемости. Летали В.К.Коккинаки, К.К.Коккинаки, летчики ЛИИ А.Н.Гринчик и Н.С.Рыбко. По оценке испытателей самолет имел значительные трудности в пилотировании, которые делали дальнейшие полеты опасными. Было принято решение о его доработке (25301).</w:t>
      </w:r>
    </w:p>
    <w:p w14:paraId="6AA588BB" w14:textId="77777777" w:rsidR="001C36F9" w:rsidRPr="00C94B78" w:rsidRDefault="001C36F9" w:rsidP="00B56F90">
      <w:pPr>
        <w:spacing w:after="0" w:line="240" w:lineRule="auto"/>
        <w:jc w:val="both"/>
        <w:rPr>
          <w:rFonts w:ascii="Times New Roman" w:hAnsi="Times New Roman"/>
          <w:color w:val="0070C0"/>
          <w:sz w:val="16"/>
          <w:szCs w:val="16"/>
        </w:rPr>
      </w:pPr>
    </w:p>
    <w:p w14:paraId="30E5DE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апреле-мае 1944 г. мотор АМ-42 прошел государственные испытания, по результатам которых и был рекомендован к запуску в серийное производство (9649).</w:t>
      </w:r>
    </w:p>
    <w:p w14:paraId="7DA689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отчете о государственных испытаниях указывалось, что мотор АМ-42 имеет степень сжатия 5,5, редуктор с параллельными осями при передаточном числе 1=0,6. Нагнетатель приводной, центробежный, невыключающийся с передаточным числом 11,5.</w:t>
      </w:r>
    </w:p>
    <w:p w14:paraId="790578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взлетном режиме мотор развивал мощность в 2000 л. с. при числе оборотов 2500 об/мин, давлении за нагнетателем 1720 мм. рт. ст. и давлении смеси на всасывании 1565 мм. рт. ст. При этом средний удельный расход топлива составлял 330-345 г/л. с. час.</w:t>
      </w:r>
    </w:p>
    <w:p w14:paraId="61F168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непрерывной работы мотора на взлетном режиме ограничивалось 5 минутами, а общая наработка мотора на этом режиме - не более 5% от общего срока службы мотора.</w:t>
      </w:r>
    </w:p>
    <w:p w14:paraId="0554B9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номинальном режиме на расчетной высоте (1600 м) мотор развивал мощность 1770 л. с., а на земле -1750 л. с. При этом давление воздуха за нагнетателем равнялось 1450 мм. рт. ст., а давление смеси на всасывании - 1335 мм. рт. ст. Удельный расход топлива на этом режиме не превышал 305-315 гр/л. с. час.</w:t>
      </w:r>
    </w:p>
    <w:p w14:paraId="1E6301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показали, что максимально допустимое число оборотов мотора на режиме пикирования составляло 2550 об/мин (не более 30 с), а минимальное число оборотов, при котором мотор все еще работал устойчиво равнялось 500 об/мин.</w:t>
      </w:r>
    </w:p>
    <w:p w14:paraId="572C31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Приемистость мотора была не хуже 2-3 с. Вес пустого мотора 1030 кг при габаритах 2295х1185х875мм. Срок до первой переборки был определен в 100 часов.</w:t>
      </w:r>
    </w:p>
    <w:p w14:paraId="55687D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целью уменьшения барботажа масла в картере, улучшения откачки масла из картера, устранения выброса масла через суфлер и уменьшения теплоотдачи в АМ-42 был введен поддон с клапанами и козырьками.</w:t>
      </w:r>
    </w:p>
    <w:p w14:paraId="24AEAF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Поддон вместе с поперечными стенками образовывали шесть изолированных друг от друга кривошипно-шатунных камер. Это устраняло возможность появления продольных воздушных вихрей.</w:t>
      </w:r>
    </w:p>
    <w:p w14:paraId="5C9A80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Повышение давления в отдельных кривошипно-шатунных камерах при нижнем положении поршней вызывало открытие клапанов поддона и удаление из-под козырька собранного масла в нижнюю полость поддона, общую для всего мотора.</w:t>
      </w:r>
    </w:p>
    <w:p w14:paraId="2E30FC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Затем масло собиралось в переднем и заднем отстойниках, из которых оно откачивалось отдельными секциями масляного насоса.</w:t>
      </w:r>
    </w:p>
    <w:p w14:paraId="2862D7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улучшения очистки масла в нагнетающей масляной магистрали устанавливались два фильтра НФМ-25.</w:t>
      </w:r>
    </w:p>
    <w:p w14:paraId="72FCA7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Редуктор мотора выполнялся жестким без амортизирующих промежуточных элементов в соединении большой шестерни редуктора с валом. Это увеличило собственную частоту колебаний системы коленвал-редуктор и устранило возможность резонанса на рабочих режимах двигателя.</w:t>
      </w:r>
    </w:p>
    <w:p w14:paraId="61A1EC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 коленвал мотора выполнялся более жестким и прочным. На продолжении 1,3, б, 7,10 и 12-й щек устанавливались противовесы, которые частично разгрузили коленчатый вал от действия инерциальных сил, уменьшили нагрузку на коренные опоры и позволили повысить обороты мотора без увеличения размеров опор.</w:t>
      </w:r>
    </w:p>
    <w:p w14:paraId="1BF5F7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Механизм газораспределения с непосредственным действием кулачков на тарелки клапанов был заменен механизмом с одним кулачковым валиком на блок и передачей движения на клапаны через рычажный механизм. Это уменьшило износ направляющих и повысило надежность клапанов.</w:t>
      </w:r>
    </w:p>
    <w:p w14:paraId="462558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Каждый кулачок кулачкового валика воздействовал на один выпускной и один всасывающий клапан. Сам же кулачковый валик получал вращение от коленчатого вала через две конические передачи и наклонный валик.</w:t>
      </w:r>
    </w:p>
    <w:p w14:paraId="21B651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сожалению, ряд недостатков мотора АМ-42, выявленных на испытаниях, так и не были изжиты до момента запуска последнего, в июне 1944 г., в серийное производство на заводе № 24 (9649).</w:t>
      </w:r>
    </w:p>
    <w:p w14:paraId="6A5A0B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8887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 мае 1944 года мотор АМ-42 удовлетво</w:t>
      </w:r>
      <w:r w:rsidRPr="00070ADE">
        <w:rPr>
          <w:rFonts w:ascii="Times New Roman" w:hAnsi="Times New Roman"/>
          <w:color w:val="000000" w:themeColor="text1"/>
          <w:sz w:val="16"/>
          <w:szCs w:val="16"/>
        </w:rPr>
        <w:softHyphen/>
        <w:t>рительно выдержал государственные испытания и в июне был запущен в мас</w:t>
      </w:r>
      <w:r w:rsidRPr="00070ADE">
        <w:rPr>
          <w:rFonts w:ascii="Times New Roman" w:hAnsi="Times New Roman"/>
          <w:color w:val="000000" w:themeColor="text1"/>
          <w:sz w:val="16"/>
          <w:szCs w:val="16"/>
        </w:rPr>
        <w:softHyphen/>
        <w:t>совое производство на заводе № 24 (се</w:t>
      </w:r>
      <w:r w:rsidRPr="00070ADE">
        <w:rPr>
          <w:rFonts w:ascii="Times New Roman" w:hAnsi="Times New Roman"/>
          <w:color w:val="000000" w:themeColor="text1"/>
          <w:sz w:val="16"/>
          <w:szCs w:val="16"/>
        </w:rPr>
        <w:softHyphen/>
        <w:t>рийное производство фактически раз</w:t>
      </w:r>
      <w:r w:rsidRPr="00070ADE">
        <w:rPr>
          <w:rFonts w:ascii="Times New Roman" w:hAnsi="Times New Roman"/>
          <w:color w:val="000000" w:themeColor="text1"/>
          <w:sz w:val="16"/>
          <w:szCs w:val="16"/>
        </w:rPr>
        <w:softHyphen/>
        <w:t>вертывали уже с начала года). Мощность серийного двигателя на взлетном режиме составляла 2000 л.с. На расчетной высоте 1600 м он разви</w:t>
      </w:r>
      <w:r w:rsidRPr="00070ADE">
        <w:rPr>
          <w:rFonts w:ascii="Times New Roman" w:hAnsi="Times New Roman"/>
          <w:color w:val="000000" w:themeColor="text1"/>
          <w:sz w:val="16"/>
          <w:szCs w:val="16"/>
        </w:rPr>
        <w:softHyphen/>
        <w:t>вал 1770 л.с. Моторы 1-й и 2-й серий имели 100-часовой ресурс, у моторов 3-й серии его довели до 150 ч, а в даль</w:t>
      </w:r>
      <w:r w:rsidRPr="00070ADE">
        <w:rPr>
          <w:rFonts w:ascii="Times New Roman" w:hAnsi="Times New Roman"/>
          <w:color w:val="000000" w:themeColor="text1"/>
          <w:sz w:val="16"/>
          <w:szCs w:val="16"/>
        </w:rPr>
        <w:softHyphen/>
        <w:t>нейшем — до 200 ч. АМ-42 в больших количествах выпус</w:t>
      </w:r>
      <w:r w:rsidRPr="00070ADE">
        <w:rPr>
          <w:rFonts w:ascii="Times New Roman" w:hAnsi="Times New Roman"/>
          <w:color w:val="000000" w:themeColor="text1"/>
          <w:sz w:val="16"/>
          <w:szCs w:val="16"/>
        </w:rPr>
        <w:softHyphen/>
        <w:t>кался в Куйбышеве до 1948 г., затем был вытеснен реактивными двигателями. Однако в начале 1951 г. производство поршневых моторов восстановили и со</w:t>
      </w:r>
      <w:r w:rsidRPr="00070ADE">
        <w:rPr>
          <w:rFonts w:ascii="Times New Roman" w:hAnsi="Times New Roman"/>
          <w:color w:val="000000" w:themeColor="text1"/>
          <w:sz w:val="16"/>
          <w:szCs w:val="16"/>
        </w:rPr>
        <w:softHyphen/>
        <w:t>храняли его до 1954 г. Усовершенство</w:t>
      </w:r>
      <w:r w:rsidRPr="00070ADE">
        <w:rPr>
          <w:rFonts w:ascii="Times New Roman" w:hAnsi="Times New Roman"/>
          <w:color w:val="000000" w:themeColor="text1"/>
          <w:sz w:val="16"/>
          <w:szCs w:val="16"/>
        </w:rPr>
        <w:softHyphen/>
        <w:t>ванные АМ-42 выпуска 1950-х гг. имели ресурс 400 ч (10680).</w:t>
      </w:r>
    </w:p>
    <w:p w14:paraId="5FB76B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B3FF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 мае 1944 г. успешно прошел госиспытания АМ-42. Еще раньше, с начала 1944 г., двигатель запустили в серию на заводе № 24. АМ-42 изготовлялся в больших количествах до 1948 г., затем его сняли с производства. В начале 1951 г. выпуск мотора восстановили в усовершенствованном варианте с ресурсом 400 ч., но снова прекратили в 1954 г. Всего на заводе № 24 было изготовлено 10 232 экз. С весны 1952 г. АМ-42 изготовлялся по лицензии в Чехословакии на заводе им. Димитрова как М-42. Количество моторов, выпущенных там, неизвестно.</w:t>
      </w:r>
    </w:p>
    <w:p w14:paraId="06633E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АМ-42 экспортировался в Польшу, Венгрию, Румынию, Чехословакию, Китай, Северную Корею. </w:t>
      </w:r>
    </w:p>
    <w:p w14:paraId="28673A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Характеристики:</w:t>
      </w:r>
    </w:p>
    <w:p w14:paraId="1B45A6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12-цилиндровый рядный У-образный, четырехтактный, водяного охлаждения, редукторный, с односкоростным ПЦН;</w:t>
      </w:r>
    </w:p>
    <w:p w14:paraId="5A0E72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диаметр цилиндра/ход поршня 160/190 мм (в цилиндрах с прицепными шатунами 196,8 мм);</w:t>
      </w:r>
    </w:p>
    <w:p w14:paraId="7756D5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объем 46,66 л;</w:t>
      </w:r>
    </w:p>
    <w:p w14:paraId="5951FD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степень сжатия 5,5; </w:t>
      </w:r>
      <w:r w:rsidRPr="00070ADE">
        <w:rPr>
          <w:rFonts w:ascii="Times New Roman" w:hAnsi="Times New Roman"/>
          <w:color w:val="000000" w:themeColor="text1"/>
          <w:sz w:val="16"/>
          <w:szCs w:val="16"/>
          <w:vertAlign w:val="subscript"/>
        </w:rPr>
        <w:t>4</w:t>
      </w:r>
    </w:p>
    <w:p w14:paraId="3970B2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мощность и вес в зависимости от модификации;</w:t>
      </w:r>
    </w:p>
    <w:p w14:paraId="336C30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запуск сжатым воздухом. Известны модификации:</w:t>
      </w:r>
    </w:p>
    <w:p w14:paraId="5891A2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АМ-42, единственный вариант, находившийся в массовом производ</w:t>
      </w:r>
      <w:r w:rsidRPr="00070ADE">
        <w:rPr>
          <w:rFonts w:ascii="Times New Roman" w:hAnsi="Times New Roman"/>
          <w:color w:val="000000" w:themeColor="text1"/>
          <w:sz w:val="16"/>
          <w:szCs w:val="16"/>
        </w:rPr>
        <w:softHyphen/>
        <w:t>стве, 1750/2000 л.с., вес 980 кг (поздние серии 996 кг).</w:t>
      </w:r>
    </w:p>
    <w:p w14:paraId="662202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АМ-42 с форкамерным зажиганием и степенью сжатия 7,0. Опытный образец испытывался на стенде в 1944 г.</w:t>
      </w:r>
    </w:p>
    <w:p w14:paraId="41C4F3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АМ-42Б (АМ-42ТК, АМ-42Б-ТК), вариант 1943 г. с переделанным ПЦН, новыми всасывающими патрубками и воздухо-воздушным интеркулером. Комплектовался турбонагнетателями ТК-ЗООБ. Мощность 1750/2000 л.с. Был изготовлен в марте 1943 г. Испытывался на опыт</w:t>
      </w:r>
      <w:r w:rsidRPr="00070ADE">
        <w:rPr>
          <w:rFonts w:ascii="Times New Roman" w:hAnsi="Times New Roman"/>
          <w:color w:val="000000" w:themeColor="text1"/>
          <w:sz w:val="16"/>
          <w:szCs w:val="16"/>
        </w:rPr>
        <w:softHyphen/>
        <w:t>ном истребителе «5А» конструкции А.И. Микояна. АМ-42ФНВ с непосредственным впрыском топлива, 1650/2000 л.с., вес 1000 кг. Испытания опытного образца на стенде завершены 22 августа 1945 г.</w:t>
      </w:r>
    </w:p>
    <w:p w14:paraId="3BCCF3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АМ-42ФБ-ТК с двумя турбонагнетателями ТК-1А. Двигатели АМ-42 устанавливались на серийных штурмовиках Ил-10 и Ил-ЮМ. Чехословацкие М-42 монтировались на самолетах В-33 (мест</w:t>
      </w:r>
      <w:r w:rsidRPr="00070ADE">
        <w:rPr>
          <w:rFonts w:ascii="Times New Roman" w:hAnsi="Times New Roman"/>
          <w:color w:val="000000" w:themeColor="text1"/>
          <w:sz w:val="16"/>
          <w:szCs w:val="16"/>
        </w:rPr>
        <w:softHyphen/>
        <w:t>ный вариант Ил-10). АМ-42 устанавливались также на опытные машины Ил-8, Ил-16, И-225 (5А), Су-6. Применение их предусматривалось про</w:t>
      </w:r>
      <w:r w:rsidRPr="00070ADE">
        <w:rPr>
          <w:rFonts w:ascii="Times New Roman" w:hAnsi="Times New Roman"/>
          <w:color w:val="000000" w:themeColor="text1"/>
          <w:sz w:val="16"/>
          <w:szCs w:val="16"/>
        </w:rPr>
        <w:softHyphen/>
        <w:t>ектом Ту-8Б (11852).</w:t>
      </w:r>
    </w:p>
    <w:p w14:paraId="40A5690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01A99AC" w14:textId="77777777" w:rsidR="001C36F9" w:rsidRPr="00C94B78" w:rsidRDefault="001C36F9"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В апреле–мае 1944 г. мотор АМ-42 успешно прошел госиспытания только во второй раз (25145).</w:t>
      </w:r>
    </w:p>
    <w:p w14:paraId="1785F929" w14:textId="77777777" w:rsidR="001C36F9" w:rsidRPr="00C94B78" w:rsidRDefault="001C36F9" w:rsidP="00B56F90">
      <w:pPr>
        <w:spacing w:after="0" w:line="240" w:lineRule="auto"/>
        <w:jc w:val="both"/>
        <w:rPr>
          <w:rFonts w:ascii="Times New Roman" w:hAnsi="Times New Roman"/>
          <w:color w:val="0070C0"/>
          <w:sz w:val="16"/>
          <w:szCs w:val="16"/>
        </w:rPr>
      </w:pPr>
    </w:p>
    <w:p w14:paraId="24BA5B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апреле-июне 1944 этого года в НИИ ВВС прошли контрольные испытания самолетов № 12/307, 1/338 и 1/333, которые показали максимальные скорости полета 496-515 км/ч. Причиной явилось снижение качества изготовления самолетов и изменение условий испытаний. ВНИИ ВВС перестали специально готовить самолеты к испытаниям на максимальную скорость (раньше перед их проведением упоры и ухваты бомбодержателей убирали, отверстия для них и лючки заклеивали полотном, бортовые пулеметы снимали, а верхнюю и люковую установки убирали в походное положение). Теперь при испытаниях самолет летал в боевой конфигурации с оружием, подготовленным к отражению атаки истребителей. Кроме того, при обработке итогов испытаний стали учитывать явление сжимаемости воздуха.</w:t>
      </w:r>
    </w:p>
    <w:p w14:paraId="1C618F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массовом серийном производстве нередкими были случаи, аналогичные произошедшему в августе 1944 г., когда два очень похожих друг на друга самолета из одной серии - зав. № 12/373 и 17/373 - показали максимальные скорости, отличающиеся на 10-12 км/ч. Внимательное обследование машин натолкнуло на мысль, что все дело в моторах. Оказалось, что на более быстроходном самолете № 12/373 стояли моторы завода № 26, а на самолете № 17/373 - моторного завода № 16. Поменяв местами моторы, убедились в верности предположения. Самолеты с моторами завода № 26 действительно летали со скоростями, в среднем на 10 км/ч большими, чем с моторами завода № 16. НКАП срочно принял меры по улучшению качества двигателей, и к концу года положение нормализовалось (12042).</w:t>
      </w:r>
    </w:p>
    <w:p w14:paraId="65C2B0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90CF9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апреле-июне 1944 г. построили серию Як-9К из 53 самолетов, ко</w:t>
      </w:r>
      <w:r w:rsidRPr="00070ADE">
        <w:rPr>
          <w:rFonts w:ascii="Times New Roman" w:hAnsi="Times New Roman"/>
          <w:color w:val="000000" w:themeColor="text1"/>
          <w:sz w:val="16"/>
          <w:szCs w:val="16"/>
        </w:rPr>
        <w:softHyphen/>
        <w:t>торые хорошо проявили себя на фронте. За время войсковых испытаний этих истребителей состоялся 51 воздушный бой, в ходе которых против</w:t>
      </w:r>
      <w:r w:rsidRPr="00070ADE">
        <w:rPr>
          <w:rFonts w:ascii="Times New Roman" w:hAnsi="Times New Roman"/>
          <w:color w:val="000000" w:themeColor="text1"/>
          <w:sz w:val="16"/>
          <w:szCs w:val="16"/>
        </w:rPr>
        <w:softHyphen/>
        <w:t>ник потерял 8 FW 190А-8 и 4 Bf 109(3 (встреч с бомбардировщиками не было). Свои потери составили один Як-9К. Средний расход боеприпа</w:t>
      </w:r>
      <w:r w:rsidRPr="00070ADE">
        <w:rPr>
          <w:rFonts w:ascii="Times New Roman" w:hAnsi="Times New Roman"/>
          <w:color w:val="000000" w:themeColor="text1"/>
          <w:sz w:val="16"/>
          <w:szCs w:val="16"/>
        </w:rPr>
        <w:softHyphen/>
        <w:t>сов на один сбитый самолет насчитывал 10 снарядов. Во время боевых действий Як-9К применяли совместно с более легкими Як-1 или Як-3. Возглавляли пары летчики Як-9К, основной целью которых была атака самолетов противника или наземных целей, а задача ведомых — при</w:t>
      </w:r>
      <w:r w:rsidRPr="00070ADE">
        <w:rPr>
          <w:rFonts w:ascii="Times New Roman" w:hAnsi="Times New Roman"/>
          <w:color w:val="000000" w:themeColor="text1"/>
          <w:sz w:val="16"/>
          <w:szCs w:val="16"/>
        </w:rPr>
        <w:softHyphen/>
        <w:t>крытие ведущих от атак истребителей врага. Несмотря на положительные результаты испытаний, выпускать Як-9К большой серией не стали из-за выявившейся ненадежности пуш</w:t>
      </w:r>
      <w:r w:rsidRPr="00070ADE">
        <w:rPr>
          <w:rFonts w:ascii="Times New Roman" w:hAnsi="Times New Roman"/>
          <w:color w:val="000000" w:themeColor="text1"/>
          <w:sz w:val="16"/>
          <w:szCs w:val="16"/>
        </w:rPr>
        <w:softHyphen/>
        <w:t>ки НС-45. Хотя ее дефекты проявлялись редко, мириться с ними было нельзя, поскольку они приводили к серьезным повреждениям, а то и к гибели самолета. КБ Яковлева создало еще несколько опытных Як-9, на которых отра</w:t>
      </w:r>
      <w:r w:rsidRPr="00070ADE">
        <w:rPr>
          <w:rFonts w:ascii="Times New Roman" w:hAnsi="Times New Roman"/>
          <w:color w:val="000000" w:themeColor="text1"/>
          <w:sz w:val="16"/>
          <w:szCs w:val="16"/>
        </w:rPr>
        <w:softHyphen/>
        <w:t>батывались новые варианты пушечного вооружения. Среди них: Як-9П (март 1943 г.), на котором вместо пулемета УБ поставили синхронную пушку ШВАК; Як-9ТК (вторая половина 1943 г.), имевший усиленную конструкцию отдельных узлов и унифицированную систему монтажа цен</w:t>
      </w:r>
      <w:r w:rsidRPr="00070ADE">
        <w:rPr>
          <w:rFonts w:ascii="Times New Roman" w:hAnsi="Times New Roman"/>
          <w:color w:val="000000" w:themeColor="text1"/>
          <w:sz w:val="16"/>
          <w:szCs w:val="16"/>
        </w:rPr>
        <w:softHyphen/>
        <w:t>тральной пушки, которая позволяла в полевых условиях в зависимости от боевых задач ставить пушку ШВАК либо ВЯ-23 калибром 23 мм, либо НС-37, либо НС-45 (10712).</w:t>
      </w:r>
    </w:p>
    <w:p w14:paraId="01C9E6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8F1C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апреле-мае 1944 проходили гос. испытания Як-9Д N 0715306 с ВК-105ПФ N 335-1896. Летал Ф.Ф.Демида (809,11).</w:t>
      </w:r>
    </w:p>
    <w:p w14:paraId="42561A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53CA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апреле-июне 1944 была построена серия из 53 Як-9К с 45-мм пушкой НС-45 (4237,23).</w:t>
      </w:r>
    </w:p>
    <w:p w14:paraId="3590E5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AFA227" w14:textId="77777777" w:rsidR="00697996" w:rsidRPr="00070ADE" w:rsidRDefault="0069799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апреле — мае 1944 г. в ГК НИИ ВВС были про</w:t>
      </w:r>
      <w:r w:rsidRPr="00070ADE">
        <w:rPr>
          <w:color w:val="000000" w:themeColor="text1"/>
          <w:sz w:val="16"/>
          <w:szCs w:val="16"/>
        </w:rPr>
        <w:softHyphen/>
        <w:t>ведены испытания Як-9т (зав. № 01-21) с пушкой МП-45 на отработку боевого при</w:t>
      </w:r>
      <w:r w:rsidRPr="00070ADE">
        <w:rPr>
          <w:color w:val="000000" w:themeColor="text1"/>
          <w:sz w:val="16"/>
          <w:szCs w:val="16"/>
        </w:rPr>
        <w:softHyphen/>
        <w:t>менения и воздушный бой с тро</w:t>
      </w:r>
      <w:r w:rsidRPr="00070ADE">
        <w:rPr>
          <w:color w:val="000000" w:themeColor="text1"/>
          <w:sz w:val="16"/>
          <w:szCs w:val="16"/>
        </w:rPr>
        <w:softHyphen/>
        <w:t xml:space="preserve">фейным немецким истребителем </w:t>
      </w:r>
      <w:r w:rsidRPr="00070ADE">
        <w:rPr>
          <w:color w:val="000000" w:themeColor="text1"/>
          <w:sz w:val="16"/>
          <w:szCs w:val="16"/>
          <w:lang w:val="en-US"/>
        </w:rPr>
        <w:t>Bf</w:t>
      </w:r>
      <w:r w:rsidRPr="00070ADE">
        <w:rPr>
          <w:color w:val="000000" w:themeColor="text1"/>
          <w:sz w:val="16"/>
          <w:szCs w:val="16"/>
        </w:rPr>
        <w:t>109</w:t>
      </w:r>
      <w:r w:rsidRPr="00070ADE">
        <w:rPr>
          <w:color w:val="000000" w:themeColor="text1"/>
          <w:sz w:val="16"/>
          <w:szCs w:val="16"/>
          <w:lang w:val="en-US"/>
        </w:rPr>
        <w:t>G</w:t>
      </w:r>
      <w:r w:rsidRPr="00070ADE">
        <w:rPr>
          <w:color w:val="000000" w:themeColor="text1"/>
          <w:sz w:val="16"/>
          <w:szCs w:val="16"/>
        </w:rPr>
        <w:t>-2. Отчет по результатам ис</w:t>
      </w:r>
      <w:r w:rsidRPr="00070ADE">
        <w:rPr>
          <w:color w:val="000000" w:themeColor="text1"/>
          <w:sz w:val="16"/>
          <w:szCs w:val="16"/>
        </w:rPr>
        <w:softHyphen/>
        <w:t>пытаний начальник института гене</w:t>
      </w:r>
      <w:r w:rsidRPr="00070ADE">
        <w:rPr>
          <w:color w:val="000000" w:themeColor="text1"/>
          <w:sz w:val="16"/>
          <w:szCs w:val="16"/>
        </w:rPr>
        <w:softHyphen/>
        <w:t>рал-лейтенант Лосюков утвердил 31 мая.</w:t>
      </w:r>
    </w:p>
    <w:p w14:paraId="76EC6CC2" w14:textId="77777777" w:rsidR="00697996" w:rsidRPr="00070ADE" w:rsidRDefault="0069799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Всего по программе испытаний было выполнено 12 полетов с сум</w:t>
      </w:r>
      <w:r w:rsidRPr="00070ADE">
        <w:rPr>
          <w:color w:val="000000" w:themeColor="text1"/>
          <w:sz w:val="16"/>
          <w:szCs w:val="16"/>
        </w:rPr>
        <w:softHyphen/>
        <w:t>марным налетом 6 ч 25 мин. Про</w:t>
      </w:r>
      <w:r w:rsidRPr="00070ADE">
        <w:rPr>
          <w:color w:val="000000" w:themeColor="text1"/>
          <w:sz w:val="16"/>
          <w:szCs w:val="16"/>
        </w:rPr>
        <w:softHyphen/>
        <w:t xml:space="preserve">ведено 4 воздушных боя с </w:t>
      </w:r>
      <w:r w:rsidRPr="00070ADE">
        <w:rPr>
          <w:color w:val="000000" w:themeColor="text1"/>
          <w:sz w:val="16"/>
          <w:szCs w:val="16"/>
          <w:lang w:val="en-US"/>
        </w:rPr>
        <w:t>Bf</w:t>
      </w:r>
      <w:r w:rsidRPr="00070ADE">
        <w:rPr>
          <w:color w:val="000000" w:themeColor="text1"/>
          <w:sz w:val="16"/>
          <w:szCs w:val="16"/>
        </w:rPr>
        <w:t>109</w:t>
      </w:r>
      <w:r w:rsidRPr="00070ADE">
        <w:rPr>
          <w:color w:val="000000" w:themeColor="text1"/>
          <w:sz w:val="16"/>
          <w:szCs w:val="16"/>
          <w:lang w:val="en-US"/>
        </w:rPr>
        <w:t>G</w:t>
      </w:r>
      <w:r w:rsidRPr="00070ADE">
        <w:rPr>
          <w:color w:val="000000" w:themeColor="text1"/>
          <w:sz w:val="16"/>
          <w:szCs w:val="16"/>
        </w:rPr>
        <w:t>-2 (трехточечный), 1 воздушный бой с бомбардировщиком Пе-2 и 4 поле</w:t>
      </w:r>
      <w:r w:rsidRPr="00070ADE">
        <w:rPr>
          <w:color w:val="000000" w:themeColor="text1"/>
          <w:sz w:val="16"/>
          <w:szCs w:val="16"/>
        </w:rPr>
        <w:softHyphen/>
        <w:t>та на отработку атаки по наземным целям. Летали капитаны Терентьев и Мамотенко.</w:t>
      </w:r>
    </w:p>
    <w:p w14:paraId="67155053" w14:textId="77777777" w:rsidR="00697996" w:rsidRPr="00070ADE" w:rsidRDefault="0069799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Установлено, что «крупнокалиберный» Як-9т мо</w:t>
      </w:r>
      <w:r w:rsidRPr="00070ADE">
        <w:rPr>
          <w:color w:val="000000" w:themeColor="text1"/>
          <w:sz w:val="16"/>
          <w:szCs w:val="16"/>
        </w:rPr>
        <w:softHyphen/>
        <w:t xml:space="preserve">жет успешно вести воздушный бой с </w:t>
      </w:r>
      <w:r w:rsidRPr="00070ADE">
        <w:rPr>
          <w:color w:val="000000" w:themeColor="text1"/>
          <w:sz w:val="16"/>
          <w:szCs w:val="16"/>
          <w:lang w:val="en-US"/>
        </w:rPr>
        <w:t>Bf</w:t>
      </w:r>
      <w:r w:rsidRPr="00070ADE">
        <w:rPr>
          <w:color w:val="000000" w:themeColor="text1"/>
          <w:sz w:val="16"/>
          <w:szCs w:val="16"/>
        </w:rPr>
        <w:t>109</w:t>
      </w:r>
      <w:r w:rsidRPr="00070ADE">
        <w:rPr>
          <w:color w:val="000000" w:themeColor="text1"/>
          <w:sz w:val="16"/>
          <w:szCs w:val="16"/>
          <w:lang w:val="en-US"/>
        </w:rPr>
        <w:t>G</w:t>
      </w:r>
      <w:r w:rsidRPr="00070ADE">
        <w:rPr>
          <w:color w:val="000000" w:themeColor="text1"/>
          <w:sz w:val="16"/>
          <w:szCs w:val="16"/>
        </w:rPr>
        <w:t>-2, как в горизонтальном, так и в вертикальном маневре на высоте до 3000 м. Выше этой высоты общее пре</w:t>
      </w:r>
      <w:r w:rsidRPr="00070ADE">
        <w:rPr>
          <w:color w:val="000000" w:themeColor="text1"/>
          <w:sz w:val="16"/>
          <w:szCs w:val="16"/>
        </w:rPr>
        <w:softHyphen/>
        <w:t>имущество переходит к немецкому самолету. От</w:t>
      </w:r>
      <w:r w:rsidRPr="00070ADE">
        <w:rPr>
          <w:color w:val="000000" w:themeColor="text1"/>
          <w:sz w:val="16"/>
          <w:szCs w:val="16"/>
        </w:rPr>
        <w:softHyphen/>
        <w:t>мечалось лишь весьма небольшое превосходство «яка» в боевом развороте (на 50—70 м) на высотах 3000—4000 и 4500—5500 м при включении 2-й ско</w:t>
      </w:r>
      <w:r w:rsidRPr="00070ADE">
        <w:rPr>
          <w:color w:val="000000" w:themeColor="text1"/>
          <w:sz w:val="16"/>
          <w:szCs w:val="16"/>
        </w:rPr>
        <w:softHyphen/>
        <w:t>рости нагнетателя. Однако, как следует из материа</w:t>
      </w:r>
      <w:r w:rsidRPr="00070ADE">
        <w:rPr>
          <w:color w:val="000000" w:themeColor="text1"/>
          <w:sz w:val="16"/>
          <w:szCs w:val="16"/>
        </w:rPr>
        <w:softHyphen/>
        <w:t>лов отчета, мотор у институтского «Мессершмитта» был порядком изношен и не выдавал положенной мощности.</w:t>
      </w:r>
    </w:p>
    <w:p w14:paraId="37B7781D" w14:textId="77777777" w:rsidR="00697996" w:rsidRPr="00070ADE" w:rsidRDefault="0069799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По результатам воздушного боя с Пе-2 рекомен</w:t>
      </w:r>
      <w:r w:rsidRPr="00070ADE">
        <w:rPr>
          <w:color w:val="000000" w:themeColor="text1"/>
          <w:sz w:val="16"/>
          <w:szCs w:val="16"/>
        </w:rPr>
        <w:softHyphen/>
        <w:t>довалось атаковать бомбардировщики сзади под ракурсом 0/4. Учитывая, что дальность прицельной стрельбы ограничивалась 600 м, огонь следова</w:t>
      </w:r>
      <w:r w:rsidRPr="00070ADE">
        <w:rPr>
          <w:color w:val="000000" w:themeColor="text1"/>
          <w:sz w:val="16"/>
          <w:szCs w:val="16"/>
        </w:rPr>
        <w:softHyphen/>
        <w:t>ло открывать на дальности 200— 400 м, а при выполнении лобовых атак — с 500—600 м. Стрельба ве</w:t>
      </w:r>
      <w:r w:rsidRPr="00070ADE">
        <w:rPr>
          <w:color w:val="000000" w:themeColor="text1"/>
          <w:sz w:val="16"/>
          <w:szCs w:val="16"/>
        </w:rPr>
        <w:softHyphen/>
        <w:t>лась только короткими очередями по 1—2 выстрела. С целью наруше</w:t>
      </w:r>
      <w:r w:rsidRPr="00070ADE">
        <w:rPr>
          <w:color w:val="000000" w:themeColor="text1"/>
          <w:sz w:val="16"/>
          <w:szCs w:val="16"/>
        </w:rPr>
        <w:softHyphen/>
        <w:t>ния строя бомбардировщиков и по</w:t>
      </w:r>
      <w:r w:rsidRPr="00070ADE">
        <w:rPr>
          <w:color w:val="000000" w:themeColor="text1"/>
          <w:sz w:val="16"/>
          <w:szCs w:val="16"/>
        </w:rPr>
        <w:softHyphen/>
        <w:t>давления огня воздушных стрелков путем морального воздействия на противника допускалась не</w:t>
      </w:r>
      <w:r w:rsidRPr="00070ADE">
        <w:rPr>
          <w:color w:val="000000" w:themeColor="text1"/>
          <w:sz w:val="16"/>
          <w:szCs w:val="16"/>
        </w:rPr>
        <w:softHyphen/>
        <w:t>прицельная стрельба на дально</w:t>
      </w:r>
      <w:r w:rsidRPr="00070ADE">
        <w:rPr>
          <w:color w:val="000000" w:themeColor="text1"/>
          <w:sz w:val="16"/>
          <w:szCs w:val="16"/>
        </w:rPr>
        <w:softHyphen/>
        <w:t>сти 1000—1200 м с последующим переходом к прицельной стрельбе по достижении дальности действи</w:t>
      </w:r>
      <w:r w:rsidRPr="00070ADE">
        <w:rPr>
          <w:color w:val="000000" w:themeColor="text1"/>
          <w:sz w:val="16"/>
          <w:szCs w:val="16"/>
        </w:rPr>
        <w:softHyphen/>
        <w:t>тельного огня.</w:t>
      </w:r>
    </w:p>
    <w:p w14:paraId="1487C2F6" w14:textId="77777777" w:rsidR="00697996" w:rsidRPr="00070ADE" w:rsidRDefault="0069799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Атаку наземных целей рекомен</w:t>
      </w:r>
      <w:r w:rsidRPr="00070ADE">
        <w:rPr>
          <w:color w:val="000000" w:themeColor="text1"/>
          <w:sz w:val="16"/>
          <w:szCs w:val="16"/>
        </w:rPr>
        <w:softHyphen/>
        <w:t>довалось производить с высоты 800—1000 м с пикирования под углом 35—45°, что позволяло выполнить 2—3 прицельные очереди по 2—3 снаряда в каждой при ведении огня на даль</w:t>
      </w:r>
      <w:r w:rsidRPr="00070ADE">
        <w:rPr>
          <w:color w:val="000000" w:themeColor="text1"/>
          <w:sz w:val="16"/>
          <w:szCs w:val="16"/>
        </w:rPr>
        <w:softHyphen/>
        <w:t>ности 900—300 м. Заход на цель следовало делать на скорости 300—320 км/ч с разворотом на 40—45° в сторону цели. Прицеливание осуществлялось по меткам на фонаре кабины летчика и передней кромке крыла. Вывод из пикирования — на высоте 300—200 м с перегрузкой около 3,0 единицы.</w:t>
      </w:r>
    </w:p>
    <w:p w14:paraId="374F035A" w14:textId="77777777" w:rsidR="00697996" w:rsidRPr="00070ADE" w:rsidRDefault="0069799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заключении отчета делался вывод, что Як-9т с пушкой МП-45 может быть использован для борь</w:t>
      </w:r>
      <w:r w:rsidRPr="00070ADE">
        <w:rPr>
          <w:color w:val="000000" w:themeColor="text1"/>
          <w:sz w:val="16"/>
          <w:szCs w:val="16"/>
        </w:rPr>
        <w:softHyphen/>
        <w:t>бы с танками, бронетранспортерами, с самолетами бомбардировочной и разведывательной авиации (в первую очередь), истребителями, а также само</w:t>
      </w:r>
      <w:r w:rsidRPr="00070ADE">
        <w:rPr>
          <w:color w:val="000000" w:themeColor="text1"/>
          <w:sz w:val="16"/>
          <w:szCs w:val="16"/>
        </w:rPr>
        <w:softHyphen/>
        <w:t>летами на аэродроме (17500).</w:t>
      </w:r>
    </w:p>
    <w:p w14:paraId="6D405F12" w14:textId="77777777" w:rsidR="00697996" w:rsidRPr="00070ADE" w:rsidRDefault="00697996" w:rsidP="00B56F90">
      <w:pPr>
        <w:spacing w:after="0" w:line="240" w:lineRule="auto"/>
        <w:jc w:val="both"/>
        <w:rPr>
          <w:rFonts w:ascii="Times New Roman" w:eastAsia="Times New Roman" w:hAnsi="Times New Roman"/>
          <w:color w:val="000000" w:themeColor="text1"/>
          <w:sz w:val="16"/>
          <w:szCs w:val="16"/>
          <w:lang w:eastAsia="ru-RU"/>
        </w:rPr>
      </w:pPr>
    </w:p>
    <w:p w14:paraId="598C2B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апреле-июле 1944 была построена войсковая серия Як-9К с ВК-105ПФ и ВИШ-62П диаметром 3.0 м и с НС-45. Прицельная стрельба была возможна на скорости, больше 350 км/час очередями по 2-3 выстрела (65,131).</w:t>
      </w:r>
    </w:p>
    <w:p w14:paraId="7169DD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67D004" w14:textId="77777777" w:rsidR="00697996" w:rsidRPr="00070ADE" w:rsidRDefault="0069799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апреле — июне 1944 г. с пушками МП-45 бы</w:t>
      </w:r>
      <w:r w:rsidRPr="00070ADE">
        <w:rPr>
          <w:color w:val="000000" w:themeColor="text1"/>
          <w:sz w:val="16"/>
          <w:szCs w:val="16"/>
        </w:rPr>
        <w:softHyphen/>
        <w:t>ла построена лишь войсковая серия истребителей Як-9к в количестве 53 единиц. Из этого числа 44 самолета официально участвовали в войсковых ис</w:t>
      </w:r>
      <w:r w:rsidRPr="00070ADE">
        <w:rPr>
          <w:color w:val="000000" w:themeColor="text1"/>
          <w:sz w:val="16"/>
          <w:szCs w:val="16"/>
        </w:rPr>
        <w:softHyphen/>
        <w:t>пытаниях с 13 августа по 18 сентября 1944 г. на 3-м Белорусском фронте и с 15 января по 15 февраля 1945 г. на 2-м Белорусском фронте.</w:t>
      </w:r>
    </w:p>
    <w:p w14:paraId="7AA3E637" w14:textId="77777777" w:rsidR="00697996" w:rsidRPr="00070ADE" w:rsidRDefault="0069799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Испытания проходили в 274-м иап 278-й иад и в 812-м иап 65-й иад 3-го иак. До начала войсковых испытаний с самолетов были сняты консольные бензобаки.</w:t>
      </w:r>
    </w:p>
    <w:p w14:paraId="7CC3D818" w14:textId="77777777" w:rsidR="00697996" w:rsidRPr="00070ADE" w:rsidRDefault="0069799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Подавляющее большинство вылетов Як-9к пришлось на сопровождение штурмовиков Ил-2 и бомбардировщиков Пе-2 — 81,9%. На перехват самолетов противника — 4,7%, на разведку — 9,9%, на свободную «охоту» и прикрытие своих войск — по 1,8% всех вылетов. Во всех случаях боевые вылеты выполнялись с попутной атакой наземных целей. Всего было выполнено 340 само</w:t>
      </w:r>
      <w:r w:rsidRPr="00070ADE">
        <w:rPr>
          <w:rFonts w:ascii="Times New Roman" w:hAnsi="Times New Roman"/>
          <w:color w:val="000000" w:themeColor="text1"/>
          <w:sz w:val="16"/>
          <w:szCs w:val="16"/>
        </w:rPr>
        <w:softHyphen/>
        <w:t>лето-вылетов (402 ч 03 мин) и проведен 51 воз</w:t>
      </w:r>
      <w:r w:rsidRPr="00070ADE">
        <w:rPr>
          <w:rFonts w:ascii="Times New Roman" w:hAnsi="Times New Roman"/>
          <w:color w:val="000000" w:themeColor="text1"/>
          <w:sz w:val="16"/>
          <w:szCs w:val="16"/>
        </w:rPr>
        <w:softHyphen/>
        <w:t>душный бой. Наибольшая продолжительность полета — 1 ч 10 мин, средняя — 45 мин. Встреч с немецкими бомбардировщиками не было. Сби</w:t>
      </w:r>
      <w:r w:rsidRPr="00070ADE">
        <w:rPr>
          <w:rFonts w:ascii="Times New Roman" w:hAnsi="Times New Roman"/>
          <w:color w:val="000000" w:themeColor="text1"/>
          <w:sz w:val="16"/>
          <w:szCs w:val="16"/>
        </w:rPr>
        <w:softHyphen/>
        <w:t>то 12 истребителей противника (</w:t>
      </w:r>
      <w:r w:rsidRPr="00070ADE">
        <w:rPr>
          <w:rFonts w:ascii="Times New Roman" w:hAnsi="Times New Roman"/>
          <w:color w:val="000000" w:themeColor="text1"/>
          <w:sz w:val="16"/>
          <w:szCs w:val="16"/>
          <w:lang w:val="en-US"/>
        </w:rPr>
        <w:t>Fw</w:t>
      </w:r>
      <w:r w:rsidRPr="00070ADE">
        <w:rPr>
          <w:rFonts w:ascii="Times New Roman" w:hAnsi="Times New Roman"/>
          <w:color w:val="000000" w:themeColor="text1"/>
          <w:sz w:val="16"/>
          <w:szCs w:val="16"/>
        </w:rPr>
        <w:t>190</w:t>
      </w:r>
      <w:r w:rsidRPr="00070ADE">
        <w:rPr>
          <w:rFonts w:ascii="Times New Roman" w:hAnsi="Times New Roman"/>
          <w:color w:val="000000" w:themeColor="text1"/>
          <w:sz w:val="16"/>
          <w:szCs w:val="16"/>
          <w:lang w:val="en-US"/>
        </w:rPr>
        <w:t>A</w:t>
      </w:r>
      <w:r w:rsidRPr="00070ADE">
        <w:rPr>
          <w:rFonts w:ascii="Times New Roman" w:hAnsi="Times New Roman"/>
          <w:color w:val="000000" w:themeColor="text1"/>
          <w:sz w:val="16"/>
          <w:szCs w:val="16"/>
        </w:rPr>
        <w:t xml:space="preserve">-8 — 8, </w:t>
      </w:r>
      <w:r w:rsidRPr="00070ADE">
        <w:rPr>
          <w:rFonts w:ascii="Times New Roman" w:hAnsi="Times New Roman"/>
          <w:color w:val="000000" w:themeColor="text1"/>
          <w:sz w:val="16"/>
          <w:szCs w:val="16"/>
          <w:lang w:val="en-US"/>
        </w:rPr>
        <w:t>Bf</w:t>
      </w:r>
      <w:r w:rsidRPr="00070ADE">
        <w:rPr>
          <w:rFonts w:ascii="Times New Roman" w:hAnsi="Times New Roman"/>
          <w:color w:val="000000" w:themeColor="text1"/>
          <w:sz w:val="16"/>
          <w:szCs w:val="16"/>
        </w:rPr>
        <w:t>109</w:t>
      </w:r>
      <w:r w:rsidRPr="00070ADE">
        <w:rPr>
          <w:rFonts w:ascii="Times New Roman" w:hAnsi="Times New Roman"/>
          <w:color w:val="000000" w:themeColor="text1"/>
          <w:sz w:val="16"/>
          <w:szCs w:val="16"/>
          <w:lang w:val="en-US"/>
        </w:rPr>
        <w:t>G</w:t>
      </w:r>
      <w:r w:rsidRPr="00070ADE">
        <w:rPr>
          <w:rFonts w:ascii="Times New Roman" w:hAnsi="Times New Roman"/>
          <w:color w:val="000000" w:themeColor="text1"/>
          <w:sz w:val="16"/>
          <w:szCs w:val="16"/>
        </w:rPr>
        <w:t>-6 — 4) при своих потерях 1 Як-9к. Воздуш</w:t>
      </w:r>
      <w:r w:rsidRPr="00070ADE">
        <w:rPr>
          <w:rFonts w:ascii="Times New Roman" w:hAnsi="Times New Roman"/>
          <w:color w:val="000000" w:themeColor="text1"/>
          <w:sz w:val="16"/>
          <w:szCs w:val="16"/>
        </w:rPr>
        <w:softHyphen/>
        <w:t>ные бои проходили на высотах от 100 до 6000 м. Средний расход боекомплекта к пушке МП-45 на один самолето-бой составил 11 снарядов, а на один сбитый самолет противника — 10 снаря</w:t>
      </w:r>
      <w:r w:rsidRPr="00070ADE">
        <w:rPr>
          <w:rFonts w:ascii="Times New Roman" w:hAnsi="Times New Roman"/>
          <w:color w:val="000000" w:themeColor="text1"/>
          <w:sz w:val="16"/>
          <w:szCs w:val="16"/>
        </w:rPr>
        <w:softHyphen/>
        <w:t>дов. Атаки выполнялись с ракурсов 0/4, 1/4 и 2/4. Стрельба велась с дистанции 100—400 м. Попа</w:t>
      </w:r>
      <w:r w:rsidRPr="00070ADE">
        <w:rPr>
          <w:rFonts w:ascii="Times New Roman" w:hAnsi="Times New Roman"/>
          <w:color w:val="000000" w:themeColor="text1"/>
          <w:sz w:val="16"/>
          <w:szCs w:val="16"/>
        </w:rPr>
        <w:softHyphen/>
        <w:t>дание одного снаряда в самолет приводило к его уничтожению. При атаках наземных целей попада</w:t>
      </w:r>
      <w:r w:rsidRPr="00070ADE">
        <w:rPr>
          <w:rFonts w:ascii="Times New Roman" w:hAnsi="Times New Roman"/>
          <w:color w:val="000000" w:themeColor="text1"/>
          <w:sz w:val="16"/>
          <w:szCs w:val="16"/>
        </w:rPr>
        <w:softHyphen/>
        <w:t>ние одного снаряда разрушало и поджигало авто</w:t>
      </w:r>
      <w:r w:rsidRPr="00070ADE">
        <w:rPr>
          <w:rFonts w:ascii="Times New Roman" w:hAnsi="Times New Roman"/>
          <w:color w:val="000000" w:themeColor="text1"/>
          <w:sz w:val="16"/>
          <w:szCs w:val="16"/>
        </w:rPr>
        <w:softHyphen/>
        <w:t>машину, деревянные строения и т.д. Из-за сильной отдачи пушки МП-45 прицельным получался толь</w:t>
      </w:r>
      <w:r w:rsidRPr="00070ADE">
        <w:rPr>
          <w:rFonts w:ascii="Times New Roman" w:hAnsi="Times New Roman"/>
          <w:color w:val="000000" w:themeColor="text1"/>
          <w:sz w:val="16"/>
          <w:szCs w:val="16"/>
        </w:rPr>
        <w:softHyphen/>
        <w:t>ко первый выстрел. При очереди в 3—4 снаряда самолет терял в скорости и раскачивался. Поэтому огонь рекомендовалось вести только очередями по 1—2 выстрела, что накладывало высокие требо</w:t>
      </w:r>
      <w:r w:rsidRPr="00070ADE">
        <w:rPr>
          <w:rFonts w:ascii="Times New Roman" w:hAnsi="Times New Roman"/>
          <w:color w:val="000000" w:themeColor="text1"/>
          <w:sz w:val="16"/>
          <w:szCs w:val="16"/>
        </w:rPr>
        <w:softHyphen/>
        <w:t>вания к летной и стрелковой подготовке летчиков. Имели место 6 случаев отказа 45-мм пушек ОКБ-16 на 54 боевых вылетов в самом начале войсковых испытаний.</w:t>
      </w:r>
    </w:p>
    <w:p w14:paraId="00460456" w14:textId="77777777" w:rsidR="00697996" w:rsidRPr="00070ADE" w:rsidRDefault="0069799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большинстве случаев Як-9к были ведущими пар, а ведомыми — более легкие Як-1, Як-3 или Як-9. Основной задачей ведущих была атака само</w:t>
      </w:r>
      <w:r w:rsidRPr="00070ADE">
        <w:rPr>
          <w:color w:val="000000" w:themeColor="text1"/>
          <w:sz w:val="16"/>
          <w:szCs w:val="16"/>
        </w:rPr>
        <w:softHyphen/>
        <w:t>летов противника, а ведомых — прикрытие ведущего от атак про</w:t>
      </w:r>
      <w:r w:rsidRPr="00070ADE">
        <w:rPr>
          <w:color w:val="000000" w:themeColor="text1"/>
          <w:sz w:val="16"/>
          <w:szCs w:val="16"/>
        </w:rPr>
        <w:softHyphen/>
        <w:t>тивника. Практиковались вылеты двумя парами: одна пара ударная на Як-9к, вторая — прикрытия или сковывающая пара на обычных «яках». При этом второй вариант предлагалось «считать более пра</w:t>
      </w:r>
      <w:r w:rsidRPr="00070ADE">
        <w:rPr>
          <w:color w:val="000000" w:themeColor="text1"/>
          <w:sz w:val="16"/>
          <w:szCs w:val="16"/>
        </w:rPr>
        <w:softHyphen/>
        <w:t>вильным».</w:t>
      </w:r>
    </w:p>
    <w:p w14:paraId="19211536" w14:textId="77777777" w:rsidR="00697996" w:rsidRPr="00070ADE" w:rsidRDefault="0069799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Основные выводы по результа</w:t>
      </w:r>
      <w:r w:rsidRPr="00070ADE">
        <w:rPr>
          <w:color w:val="000000" w:themeColor="text1"/>
          <w:sz w:val="16"/>
          <w:szCs w:val="16"/>
        </w:rPr>
        <w:softHyphen/>
        <w:t>там войсковых испытаний своди</w:t>
      </w:r>
      <w:r w:rsidRPr="00070ADE">
        <w:rPr>
          <w:color w:val="000000" w:themeColor="text1"/>
          <w:sz w:val="16"/>
          <w:szCs w:val="16"/>
        </w:rPr>
        <w:softHyphen/>
        <w:t>лись к следующему. Самолет Як-9к предназначен для борьбы с бом</w:t>
      </w:r>
      <w:r w:rsidRPr="00070ADE">
        <w:rPr>
          <w:color w:val="000000" w:themeColor="text1"/>
          <w:sz w:val="16"/>
          <w:szCs w:val="16"/>
        </w:rPr>
        <w:softHyphen/>
        <w:t>бардировщиками, блокировки аэ</w:t>
      </w:r>
      <w:r w:rsidRPr="00070ADE">
        <w:rPr>
          <w:color w:val="000000" w:themeColor="text1"/>
          <w:sz w:val="16"/>
          <w:szCs w:val="16"/>
        </w:rPr>
        <w:softHyphen/>
        <w:t>родромов и штурмовых действий, то есть для активных наступательных действий, но по условиям боев применяется главным обра</w:t>
      </w:r>
      <w:r w:rsidRPr="00070ADE">
        <w:rPr>
          <w:color w:val="000000" w:themeColor="text1"/>
          <w:sz w:val="16"/>
          <w:szCs w:val="16"/>
        </w:rPr>
        <w:softHyphen/>
        <w:t>зом для сопровождения — как оборонительное средство. С задачей сопровождения Як-9к в целом справляется, но для воздушного боя с истребителя</w:t>
      </w:r>
      <w:r w:rsidRPr="00070ADE">
        <w:rPr>
          <w:color w:val="000000" w:themeColor="text1"/>
          <w:sz w:val="16"/>
          <w:szCs w:val="16"/>
        </w:rPr>
        <w:softHyphen/>
        <w:t>ми был малопригоден по причине недостаточного темпа стрельбы пушки МП-45, ограниченного бое</w:t>
      </w:r>
      <w:r w:rsidRPr="00070ADE">
        <w:rPr>
          <w:color w:val="000000" w:themeColor="text1"/>
          <w:sz w:val="16"/>
          <w:szCs w:val="16"/>
        </w:rPr>
        <w:softHyphen/>
        <w:t xml:space="preserve">комплекта (28 патрон) и невысоких летных данных. Летчики на Як-9к вполне успешно вели воздушные бои с </w:t>
      </w:r>
      <w:r w:rsidRPr="00070ADE">
        <w:rPr>
          <w:color w:val="000000" w:themeColor="text1"/>
          <w:sz w:val="16"/>
          <w:szCs w:val="16"/>
          <w:lang w:val="en-US"/>
        </w:rPr>
        <w:t>Fw</w:t>
      </w:r>
      <w:r w:rsidRPr="00070ADE">
        <w:rPr>
          <w:color w:val="000000" w:themeColor="text1"/>
          <w:sz w:val="16"/>
          <w:szCs w:val="16"/>
        </w:rPr>
        <w:t>190</w:t>
      </w:r>
      <w:r w:rsidRPr="00070ADE">
        <w:rPr>
          <w:color w:val="000000" w:themeColor="text1"/>
          <w:sz w:val="16"/>
          <w:szCs w:val="16"/>
          <w:lang w:val="en-US"/>
        </w:rPr>
        <w:t>A</w:t>
      </w:r>
      <w:r w:rsidRPr="00070ADE">
        <w:rPr>
          <w:color w:val="000000" w:themeColor="text1"/>
          <w:sz w:val="16"/>
          <w:szCs w:val="16"/>
        </w:rPr>
        <w:t xml:space="preserve">-8 на всех высотах, а с </w:t>
      </w:r>
      <w:r w:rsidRPr="00070ADE">
        <w:rPr>
          <w:color w:val="000000" w:themeColor="text1"/>
          <w:sz w:val="16"/>
          <w:szCs w:val="16"/>
          <w:lang w:val="en-US"/>
        </w:rPr>
        <w:t>Bf</w:t>
      </w:r>
      <w:r w:rsidRPr="00070ADE">
        <w:rPr>
          <w:color w:val="000000" w:themeColor="text1"/>
          <w:sz w:val="16"/>
          <w:szCs w:val="16"/>
        </w:rPr>
        <w:t>109</w:t>
      </w:r>
      <w:r w:rsidRPr="00070ADE">
        <w:rPr>
          <w:color w:val="000000" w:themeColor="text1"/>
          <w:sz w:val="16"/>
          <w:szCs w:val="16"/>
          <w:lang w:val="en-US"/>
        </w:rPr>
        <w:t>G</w:t>
      </w:r>
      <w:r w:rsidRPr="00070ADE">
        <w:rPr>
          <w:color w:val="000000" w:themeColor="text1"/>
          <w:sz w:val="16"/>
          <w:szCs w:val="16"/>
        </w:rPr>
        <w:t>-6 — только до высоты 3000 м, на большей высоте Як-9к «отстает в вертикальном маневре». В условиях мас</w:t>
      </w:r>
      <w:r w:rsidRPr="00070ADE">
        <w:rPr>
          <w:color w:val="000000" w:themeColor="text1"/>
          <w:sz w:val="16"/>
          <w:szCs w:val="16"/>
        </w:rPr>
        <w:softHyphen/>
        <w:t>штабных наступательных действий требовалось увеличить дальность полета (запас топлива 305 кг был мал).</w:t>
      </w:r>
    </w:p>
    <w:p w14:paraId="2537746A" w14:textId="77777777" w:rsidR="00697996" w:rsidRPr="00070ADE" w:rsidRDefault="0069799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Считалось целесообразным иметь в истреби</w:t>
      </w:r>
      <w:r w:rsidRPr="00070ADE">
        <w:rPr>
          <w:color w:val="000000" w:themeColor="text1"/>
          <w:sz w:val="16"/>
          <w:szCs w:val="16"/>
        </w:rPr>
        <w:softHyphen/>
        <w:t>тельных авиадивизиях 50% Як-3 и 50% Як-9к в двух полках и один полк на Як-3 целиком. Предлага</w:t>
      </w:r>
      <w:r w:rsidRPr="00070ADE">
        <w:rPr>
          <w:color w:val="000000" w:themeColor="text1"/>
          <w:sz w:val="16"/>
          <w:szCs w:val="16"/>
        </w:rPr>
        <w:softHyphen/>
        <w:t>лось установить пушку МП-45 на истребитель Як-9у с М-107А с лучшими летными данными, чем Як-9к с М-105пф2. Самолет Як-9к рекомендовался для принятия в серийное производство.</w:t>
      </w:r>
    </w:p>
    <w:p w14:paraId="5B79C667" w14:textId="77777777" w:rsidR="00697996" w:rsidRPr="00070ADE" w:rsidRDefault="0069799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в крупную серию Як-9к не запускался, а вместо него решили строить Як-9У с пушкой Н-45 калибра 45 мм с уменьшенной баллистикой кон</w:t>
      </w:r>
      <w:r w:rsidRPr="00070ADE">
        <w:rPr>
          <w:rFonts w:ascii="Times New Roman" w:hAnsi="Times New Roman"/>
          <w:color w:val="000000" w:themeColor="text1"/>
          <w:sz w:val="16"/>
          <w:szCs w:val="16"/>
        </w:rPr>
        <w:softHyphen/>
        <w:t>струкции ОКБ-16 (17500)</w:t>
      </w:r>
    </w:p>
    <w:p w14:paraId="69BD3CCD" w14:textId="77777777" w:rsidR="00697996" w:rsidRPr="00070ADE" w:rsidRDefault="00697996" w:rsidP="00B56F90">
      <w:pPr>
        <w:spacing w:after="0" w:line="240" w:lineRule="auto"/>
        <w:jc w:val="both"/>
        <w:rPr>
          <w:rFonts w:ascii="Times New Roman" w:hAnsi="Times New Roman"/>
          <w:color w:val="000000" w:themeColor="text1"/>
          <w:sz w:val="16"/>
          <w:szCs w:val="16"/>
        </w:rPr>
      </w:pPr>
    </w:p>
    <w:p w14:paraId="08A5A6D3" w14:textId="77777777" w:rsidR="000656CD" w:rsidRPr="00C94B78" w:rsidRDefault="000656C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 апреля 1944 г. по август 1945 г. серийно строился Як-9У с мотором ВК-107А (всего 3921 самолет). Вооружение истребителя по сравнению с обычным Як-9 усилили, вернувшись к схеме – одна пушка ШВАК (120 патронов) и два пуле</w:t>
      </w:r>
      <w:r w:rsidRPr="00C94B78">
        <w:rPr>
          <w:rStyle w:val="aff1"/>
          <w:rFonts w:ascii="Times New Roman" w:hAnsi="Times New Roman" w:cs="Times New Roman"/>
          <w:color w:val="0070C0"/>
          <w:spacing w:val="0"/>
          <w:sz w:val="16"/>
          <w:szCs w:val="16"/>
        </w:rPr>
        <w:softHyphen/>
        <w:t>мета УБС (340 патронов суммарно). С учетом высокой максимальной скорости (672 км/ч на высоте 5000 м у серийной машины) и высокой скороподъемности это был один из сильнейших истребительных самолетов Второй мировой войны. В период с февраля по май 1945 г. на основе Як-9У было построено 282 самолета, названных Як-9УТ и получивших мощнейшее по тог</w:t>
      </w:r>
      <w:r w:rsidRPr="00C94B78">
        <w:rPr>
          <w:rStyle w:val="aff1"/>
          <w:rFonts w:ascii="Times New Roman" w:hAnsi="Times New Roman" w:cs="Times New Roman"/>
          <w:color w:val="0070C0"/>
          <w:spacing w:val="0"/>
          <w:sz w:val="16"/>
          <w:szCs w:val="16"/>
        </w:rPr>
        <w:softHyphen/>
        <w:t>дашним меркам вооружение: одну мотор-пушку НС-23 (калибр 23 мм) и две синхронные пушки Б-20С (20 мм), при этом масса секундного залпа составляла 4,23 кг (25141).</w:t>
      </w:r>
    </w:p>
    <w:p w14:paraId="55FDA812" w14:textId="77777777" w:rsidR="000656CD" w:rsidRPr="00C94B78" w:rsidRDefault="000656CD" w:rsidP="00B56F90">
      <w:pPr>
        <w:spacing w:after="0" w:line="240" w:lineRule="auto"/>
        <w:jc w:val="both"/>
        <w:rPr>
          <w:rFonts w:ascii="Times New Roman" w:hAnsi="Times New Roman"/>
          <w:color w:val="0070C0"/>
          <w:sz w:val="16"/>
          <w:szCs w:val="16"/>
        </w:rPr>
      </w:pPr>
    </w:p>
    <w:p w14:paraId="0CF802BD" w14:textId="77777777" w:rsidR="001C36F9" w:rsidRPr="00C94B78" w:rsidRDefault="001C36F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апреле-июле 1944 г. построили малой серией – всего 53 самолета - Як-9К с мотор-пушкой НС-45 (калибр 45 мм, боекомплект 20 снарядов, масса секундного залпа с учетом пулемета УБС – 5,53 кг). Пушка НС-45 имела силу отдачи порядка 7 тс, поэтому ее снабдили мощным дульным тормозом, поглощавшим 85% энер</w:t>
      </w:r>
      <w:r w:rsidRPr="00C94B78">
        <w:rPr>
          <w:rStyle w:val="aff1"/>
          <w:rFonts w:ascii="Times New Roman" w:hAnsi="Times New Roman" w:cs="Times New Roman"/>
          <w:color w:val="0070C0"/>
          <w:spacing w:val="0"/>
          <w:sz w:val="16"/>
          <w:szCs w:val="16"/>
        </w:rPr>
        <w:softHyphen/>
        <w:t>гии отката. И все же эксплуатация Як-9К была связана с большим техническим риском: зазор между поверх</w:t>
      </w:r>
      <w:r w:rsidRPr="00C94B78">
        <w:rPr>
          <w:rStyle w:val="aff1"/>
          <w:rFonts w:ascii="Times New Roman" w:hAnsi="Times New Roman" w:cs="Times New Roman"/>
          <w:color w:val="0070C0"/>
          <w:spacing w:val="0"/>
          <w:sz w:val="16"/>
          <w:szCs w:val="16"/>
        </w:rPr>
        <w:softHyphen/>
        <w:t>ностью ствола пушки и внутренней поверхностью вала редуктора составлял всего 0,75 мм, а толщину стенок ствола на его конечном участке пришлось уменьшить до 3,75 мм (почти вдвое против нормы). Сильная отдача пушки исключала возможность прицельной стрельбы очередями (25141).</w:t>
      </w:r>
    </w:p>
    <w:p w14:paraId="218DB8CC" w14:textId="77777777" w:rsidR="001C36F9" w:rsidRPr="00C94B78" w:rsidRDefault="001C36F9" w:rsidP="00B56F90">
      <w:pPr>
        <w:spacing w:after="0" w:line="240" w:lineRule="auto"/>
        <w:jc w:val="both"/>
        <w:rPr>
          <w:rFonts w:ascii="Times New Roman" w:hAnsi="Times New Roman"/>
          <w:color w:val="0070C0"/>
          <w:sz w:val="16"/>
          <w:szCs w:val="16"/>
        </w:rPr>
      </w:pPr>
    </w:p>
    <w:p w14:paraId="54F71D0F" w14:textId="77777777" w:rsidR="001C36F9" w:rsidRPr="00C94B78" w:rsidRDefault="001C36F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апреле-мае 1944 г. в НИИ ВВС на отработку боевого применения и воз</w:t>
      </w:r>
      <w:r w:rsidRPr="00C94B78">
        <w:rPr>
          <w:rFonts w:ascii="Times New Roman" w:hAnsi="Times New Roman"/>
          <w:color w:val="0070C0"/>
          <w:sz w:val="16"/>
          <w:szCs w:val="16"/>
        </w:rPr>
        <w:softHyphen/>
        <w:t>душный бой с трофейным немецким истре</w:t>
      </w:r>
      <w:r w:rsidRPr="00C94B78">
        <w:rPr>
          <w:rFonts w:ascii="Times New Roman" w:hAnsi="Times New Roman"/>
          <w:color w:val="0070C0"/>
          <w:sz w:val="16"/>
          <w:szCs w:val="16"/>
        </w:rPr>
        <w:softHyphen/>
        <w:t>бителем Bf109G-2 был испытан Як-9Т зав. №01-21 с пушкой МП-45. Отчет по резуль</w:t>
      </w:r>
      <w:r w:rsidRPr="00C94B78">
        <w:rPr>
          <w:rFonts w:ascii="Times New Roman" w:hAnsi="Times New Roman"/>
          <w:color w:val="0070C0"/>
          <w:sz w:val="16"/>
          <w:szCs w:val="16"/>
        </w:rPr>
        <w:softHyphen/>
        <w:t>татам испытаний начальник института гене</w:t>
      </w:r>
      <w:r w:rsidRPr="00C94B78">
        <w:rPr>
          <w:rFonts w:ascii="Times New Roman" w:hAnsi="Times New Roman"/>
          <w:color w:val="0070C0"/>
          <w:sz w:val="16"/>
          <w:szCs w:val="16"/>
        </w:rPr>
        <w:softHyphen/>
        <w:t>рал-лейтенант Лосюков утвердил 31 мая.</w:t>
      </w:r>
    </w:p>
    <w:p w14:paraId="2722B612" w14:textId="77777777" w:rsidR="001C36F9" w:rsidRPr="00C94B78" w:rsidRDefault="001C36F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Всего по программе испытаний провели четыре воздушных боя с Bf109G-2 (трехточеч</w:t>
      </w:r>
      <w:r w:rsidRPr="00C94B78">
        <w:rPr>
          <w:rFonts w:ascii="Times New Roman" w:hAnsi="Times New Roman"/>
          <w:color w:val="0070C0"/>
          <w:sz w:val="16"/>
          <w:szCs w:val="16"/>
        </w:rPr>
        <w:softHyphen/>
        <w:t>ный), один воздушный бой с бомбардировщи</w:t>
      </w:r>
      <w:r w:rsidRPr="00C94B78">
        <w:rPr>
          <w:rFonts w:ascii="Times New Roman" w:hAnsi="Times New Roman"/>
          <w:color w:val="0070C0"/>
          <w:sz w:val="16"/>
          <w:szCs w:val="16"/>
        </w:rPr>
        <w:softHyphen/>
        <w:t>ком Пе-2 и четыре полета на отработку атаки по наземным целям.</w:t>
      </w:r>
    </w:p>
    <w:p w14:paraId="79AFA069" w14:textId="77777777" w:rsidR="001C36F9" w:rsidRPr="00C94B78" w:rsidRDefault="001C36F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Установили, что «крупнокалиберный» Як-9Т может успешно вести воздушный бой с Bf109G-2 в горизонтальном и вертикаль</w:t>
      </w:r>
      <w:r w:rsidRPr="00C94B78">
        <w:rPr>
          <w:rFonts w:ascii="Times New Roman" w:hAnsi="Times New Roman"/>
          <w:color w:val="0070C0"/>
          <w:sz w:val="16"/>
          <w:szCs w:val="16"/>
        </w:rPr>
        <w:softHyphen/>
        <w:t>ном маневре на высотах до 3000 м. Выше этой высоты общее преимущество перехо</w:t>
      </w:r>
      <w:r w:rsidRPr="00C94B78">
        <w:rPr>
          <w:rFonts w:ascii="Times New Roman" w:hAnsi="Times New Roman"/>
          <w:color w:val="0070C0"/>
          <w:sz w:val="16"/>
          <w:szCs w:val="16"/>
        </w:rPr>
        <w:softHyphen/>
        <w:t>дит к немецкому самолету. Отмечалось лишь весьма небольшое превосходство «яка» в бо</w:t>
      </w:r>
      <w:r w:rsidRPr="00C94B78">
        <w:rPr>
          <w:rFonts w:ascii="Times New Roman" w:hAnsi="Times New Roman"/>
          <w:color w:val="0070C0"/>
          <w:sz w:val="16"/>
          <w:szCs w:val="16"/>
        </w:rPr>
        <w:softHyphen/>
        <w:t>евом развороте (на 50-75 м) на высотах 3000-4000 м и 4500-5500 м при включении 2-й скорости нагнетателя. Однако, как следу-</w:t>
      </w:r>
    </w:p>
    <w:p w14:paraId="61A9CE1C" w14:textId="77777777" w:rsidR="001C36F9" w:rsidRPr="00C94B78" w:rsidRDefault="001C36F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ет из материалов отчета, мотор у институтско</w:t>
      </w:r>
      <w:r w:rsidRPr="00C94B78">
        <w:rPr>
          <w:rFonts w:ascii="Times New Roman" w:hAnsi="Times New Roman"/>
          <w:color w:val="0070C0"/>
          <w:sz w:val="16"/>
          <w:szCs w:val="16"/>
        </w:rPr>
        <w:softHyphen/>
        <w:t>го «мессершмитта» был порядком изношен и не выдавал положенной мощности.</w:t>
      </w:r>
    </w:p>
    <w:p w14:paraId="4A54ECA7" w14:textId="77777777" w:rsidR="001C36F9" w:rsidRPr="00C94B78" w:rsidRDefault="001C36F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По результатам воздушного боя с Пе-2 рекомендовалось атаковать бомбардиров</w:t>
      </w:r>
      <w:r w:rsidRPr="00C94B78">
        <w:rPr>
          <w:rFonts w:ascii="Times New Roman" w:hAnsi="Times New Roman"/>
          <w:color w:val="0070C0"/>
          <w:sz w:val="16"/>
          <w:szCs w:val="16"/>
        </w:rPr>
        <w:softHyphen/>
        <w:t>щики сзади под ракурсом 0/4. Учитывая, что дальность прицельной стрельбы ограни</w:t>
      </w:r>
      <w:r w:rsidRPr="00C94B78">
        <w:rPr>
          <w:rFonts w:ascii="Times New Roman" w:hAnsi="Times New Roman"/>
          <w:color w:val="0070C0"/>
          <w:sz w:val="16"/>
          <w:szCs w:val="16"/>
        </w:rPr>
        <w:softHyphen/>
        <w:t>чивалась 600 м, огонь следовало открывать на дальности 400-200 м, а при выполнении лобовых атак - с 500-600 м. Стрельба велась только короткими очередями по 1-2 выстре</w:t>
      </w:r>
      <w:r w:rsidRPr="00C94B78">
        <w:rPr>
          <w:rFonts w:ascii="Times New Roman" w:hAnsi="Times New Roman"/>
          <w:color w:val="0070C0"/>
          <w:sz w:val="16"/>
          <w:szCs w:val="16"/>
        </w:rPr>
        <w:softHyphen/>
        <w:t>ла. С целью нарушения строя бомбардиров</w:t>
      </w:r>
      <w:r w:rsidRPr="00C94B78">
        <w:rPr>
          <w:rFonts w:ascii="Times New Roman" w:hAnsi="Times New Roman"/>
          <w:color w:val="0070C0"/>
          <w:sz w:val="16"/>
          <w:szCs w:val="16"/>
        </w:rPr>
        <w:softHyphen/>
        <w:t>щиков и подавления огня воздушных стрел</w:t>
      </w:r>
      <w:r w:rsidRPr="00C94B78">
        <w:rPr>
          <w:rFonts w:ascii="Times New Roman" w:hAnsi="Times New Roman"/>
          <w:color w:val="0070C0"/>
          <w:sz w:val="16"/>
          <w:szCs w:val="16"/>
        </w:rPr>
        <w:softHyphen/>
        <w:t>ков путем морального воздействия на про</w:t>
      </w:r>
      <w:r w:rsidRPr="00C94B78">
        <w:rPr>
          <w:rFonts w:ascii="Times New Roman" w:hAnsi="Times New Roman"/>
          <w:color w:val="0070C0"/>
          <w:sz w:val="16"/>
          <w:szCs w:val="16"/>
        </w:rPr>
        <w:softHyphen/>
        <w:t>тивника допускалась неприцельная стрель</w:t>
      </w:r>
      <w:r w:rsidRPr="00C94B78">
        <w:rPr>
          <w:rFonts w:ascii="Times New Roman" w:hAnsi="Times New Roman"/>
          <w:color w:val="0070C0"/>
          <w:sz w:val="16"/>
          <w:szCs w:val="16"/>
        </w:rPr>
        <w:softHyphen/>
        <w:t>ба на дальности 1000-1200 м с последующим переходом к прицельной стрельбе по дости</w:t>
      </w:r>
      <w:r w:rsidRPr="00C94B78">
        <w:rPr>
          <w:rFonts w:ascii="Times New Roman" w:hAnsi="Times New Roman"/>
          <w:color w:val="0070C0"/>
          <w:sz w:val="16"/>
          <w:szCs w:val="16"/>
        </w:rPr>
        <w:softHyphen/>
        <w:t>жении дальности действительного огня.</w:t>
      </w:r>
    </w:p>
    <w:p w14:paraId="37078C66" w14:textId="77777777" w:rsidR="001C36F9" w:rsidRPr="00C94B78" w:rsidRDefault="001C36F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Атаку наземных целей рекомендовалось производить с высоты 800-1000 м с пикиро</w:t>
      </w:r>
      <w:r w:rsidRPr="00C94B78">
        <w:rPr>
          <w:rFonts w:ascii="Times New Roman" w:hAnsi="Times New Roman"/>
          <w:color w:val="0070C0"/>
          <w:sz w:val="16"/>
          <w:szCs w:val="16"/>
        </w:rPr>
        <w:softHyphen/>
        <w:t>вания под углом 35-45°, что позволяло сде</w:t>
      </w:r>
      <w:r w:rsidRPr="00C94B78">
        <w:rPr>
          <w:rFonts w:ascii="Times New Roman" w:hAnsi="Times New Roman"/>
          <w:color w:val="0070C0"/>
          <w:sz w:val="16"/>
          <w:szCs w:val="16"/>
        </w:rPr>
        <w:softHyphen/>
        <w:t>лать 2-3 прицельные очереди по 2-3 снаря</w:t>
      </w:r>
      <w:r w:rsidRPr="00C94B78">
        <w:rPr>
          <w:rFonts w:ascii="Times New Roman" w:hAnsi="Times New Roman"/>
          <w:color w:val="0070C0"/>
          <w:sz w:val="16"/>
          <w:szCs w:val="16"/>
        </w:rPr>
        <w:softHyphen/>
        <w:t>да в каждой при ведении огня на дальности 900-300 м. Заход на цель следовало выпол</w:t>
      </w:r>
      <w:r w:rsidRPr="00C94B78">
        <w:rPr>
          <w:rFonts w:ascii="Times New Roman" w:hAnsi="Times New Roman"/>
          <w:color w:val="0070C0"/>
          <w:sz w:val="16"/>
          <w:szCs w:val="16"/>
        </w:rPr>
        <w:softHyphen/>
        <w:t>нять на скорости 300-320 км/ч с разворо</w:t>
      </w:r>
      <w:r w:rsidRPr="00C94B78">
        <w:rPr>
          <w:rFonts w:ascii="Times New Roman" w:hAnsi="Times New Roman"/>
          <w:color w:val="0070C0"/>
          <w:sz w:val="16"/>
          <w:szCs w:val="16"/>
        </w:rPr>
        <w:softHyphen/>
        <w:t>том на 40-45° в сторону цели. Прицеливание осуществлялось по меткам на фонаре каби</w:t>
      </w:r>
      <w:r w:rsidRPr="00C94B78">
        <w:rPr>
          <w:rFonts w:ascii="Times New Roman" w:hAnsi="Times New Roman"/>
          <w:color w:val="0070C0"/>
          <w:sz w:val="16"/>
          <w:szCs w:val="16"/>
        </w:rPr>
        <w:softHyphen/>
        <w:t>ны летчика и передней кромке крыла. Вывод из пикирования - на высоте 300-200 м с пе</w:t>
      </w:r>
      <w:r w:rsidRPr="00C94B78">
        <w:rPr>
          <w:rFonts w:ascii="Times New Roman" w:hAnsi="Times New Roman"/>
          <w:color w:val="0070C0"/>
          <w:sz w:val="16"/>
          <w:szCs w:val="16"/>
        </w:rPr>
        <w:softHyphen/>
        <w:t>регрузкой около 3,0 единиц.</w:t>
      </w:r>
    </w:p>
    <w:p w14:paraId="37A1F4B4" w14:textId="77777777" w:rsidR="001C36F9" w:rsidRPr="00C94B78" w:rsidRDefault="001C36F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заключении отчета был сделан вы</w:t>
      </w:r>
      <w:r w:rsidRPr="00C94B78">
        <w:rPr>
          <w:rFonts w:ascii="Times New Roman" w:hAnsi="Times New Roman"/>
          <w:color w:val="0070C0"/>
          <w:sz w:val="16"/>
          <w:szCs w:val="16"/>
        </w:rPr>
        <w:softHyphen/>
        <w:t>вод, что Як-9Т с пушкой МП-45 может быть использован для борьбы с танками, броне</w:t>
      </w:r>
      <w:r w:rsidRPr="00C94B78">
        <w:rPr>
          <w:rFonts w:ascii="Times New Roman" w:hAnsi="Times New Roman"/>
          <w:color w:val="0070C0"/>
          <w:sz w:val="16"/>
          <w:szCs w:val="16"/>
        </w:rPr>
        <w:softHyphen/>
        <w:t>транспортерами, самолетами бомбардировоч</w:t>
      </w:r>
      <w:r w:rsidRPr="00C94B78">
        <w:rPr>
          <w:rFonts w:ascii="Times New Roman" w:hAnsi="Times New Roman"/>
          <w:color w:val="0070C0"/>
          <w:sz w:val="16"/>
          <w:szCs w:val="16"/>
        </w:rPr>
        <w:softHyphen/>
        <w:t>ной и разведывательной авиации (в первую очередь), истребителями, а также самолетами на аэродроме (24971).</w:t>
      </w:r>
    </w:p>
    <w:p w14:paraId="5B357A73" w14:textId="77777777" w:rsidR="001C36F9" w:rsidRPr="00C94B78" w:rsidRDefault="001C36F9" w:rsidP="00B56F90">
      <w:pPr>
        <w:spacing w:after="0" w:line="240" w:lineRule="auto"/>
        <w:jc w:val="both"/>
        <w:rPr>
          <w:rFonts w:ascii="Times New Roman" w:hAnsi="Times New Roman"/>
          <w:color w:val="0070C0"/>
          <w:sz w:val="16"/>
          <w:szCs w:val="16"/>
        </w:rPr>
      </w:pPr>
    </w:p>
    <w:p w14:paraId="2DA77E8C" w14:textId="77777777" w:rsidR="001C36F9" w:rsidRPr="00C94B78" w:rsidRDefault="001C36F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апреле-июне 1944 г., как следует из документов, с пушкой МП-45</w:t>
      </w:r>
      <w:r>
        <w:rPr>
          <w:rFonts w:ascii="Times New Roman" w:hAnsi="Times New Roman"/>
          <w:color w:val="0070C0"/>
          <w:sz w:val="16"/>
          <w:szCs w:val="16"/>
        </w:rPr>
        <w:t xml:space="preserve"> </w:t>
      </w:r>
      <w:r w:rsidRPr="00C94B78">
        <w:rPr>
          <w:rFonts w:ascii="Times New Roman" w:hAnsi="Times New Roman"/>
          <w:color w:val="0070C0"/>
          <w:sz w:val="16"/>
          <w:szCs w:val="16"/>
        </w:rPr>
        <w:t>выпустили не</w:t>
      </w:r>
      <w:r w:rsidRPr="00C94B78">
        <w:rPr>
          <w:rFonts w:ascii="Times New Roman" w:hAnsi="Times New Roman"/>
          <w:color w:val="0070C0"/>
          <w:sz w:val="16"/>
          <w:szCs w:val="16"/>
        </w:rPr>
        <w:softHyphen/>
        <w:t>большую серию истребителей Як-9Т (Як-9К) в количестве 53 ед. для проведения войсковых испытаний. Из этого числа 44 самолета офи</w:t>
      </w:r>
      <w:r w:rsidRPr="00C94B78">
        <w:rPr>
          <w:rFonts w:ascii="Times New Roman" w:hAnsi="Times New Roman"/>
          <w:color w:val="0070C0"/>
          <w:sz w:val="16"/>
          <w:szCs w:val="16"/>
        </w:rPr>
        <w:softHyphen/>
        <w:t>циально участвовали в войсковых испытани</w:t>
      </w:r>
      <w:r w:rsidRPr="00C94B78">
        <w:rPr>
          <w:rFonts w:ascii="Times New Roman" w:hAnsi="Times New Roman"/>
          <w:color w:val="0070C0"/>
          <w:sz w:val="16"/>
          <w:szCs w:val="16"/>
        </w:rPr>
        <w:softHyphen/>
        <w:t>ях с 13 августа по 18 сентября 1944 г. на 3-м Белорусском фронте (1-й этап) и с 15 янва</w:t>
      </w:r>
      <w:r w:rsidRPr="00C94B78">
        <w:rPr>
          <w:rFonts w:ascii="Times New Roman" w:hAnsi="Times New Roman"/>
          <w:color w:val="0070C0"/>
          <w:sz w:val="16"/>
          <w:szCs w:val="16"/>
        </w:rPr>
        <w:softHyphen/>
        <w:t>ря по 15 февраля 1945 г. на 2-м Белорусском фронте (2-й этап). Испытания проходили в 15, 43, 274 и 812 иап 3-го иак.</w:t>
      </w:r>
    </w:p>
    <w:p w14:paraId="0DAE8280" w14:textId="77777777" w:rsidR="001C36F9" w:rsidRPr="00C94B78" w:rsidRDefault="001C36F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Серийные Як-9К отличались от самолета Як-9К зав. №01-02, проходившего контроль</w:t>
      </w:r>
      <w:r w:rsidRPr="00C94B78">
        <w:rPr>
          <w:rFonts w:ascii="Times New Roman" w:hAnsi="Times New Roman"/>
          <w:color w:val="0070C0"/>
          <w:sz w:val="16"/>
          <w:szCs w:val="16"/>
        </w:rPr>
        <w:softHyphen/>
        <w:t>ные испытания в ГК НИИ ВВС в июле 1944 г., только тем, что на них отсутствовали два кон</w:t>
      </w:r>
      <w:r w:rsidRPr="00C94B78">
        <w:rPr>
          <w:rFonts w:ascii="Times New Roman" w:hAnsi="Times New Roman"/>
          <w:color w:val="0070C0"/>
          <w:sz w:val="16"/>
          <w:szCs w:val="16"/>
        </w:rPr>
        <w:softHyphen/>
        <w:t>сольных бензобака (24971).</w:t>
      </w:r>
    </w:p>
    <w:p w14:paraId="7AD12078" w14:textId="77777777" w:rsidR="001C36F9" w:rsidRPr="00C94B78" w:rsidRDefault="001C36F9" w:rsidP="00B56F90">
      <w:pPr>
        <w:spacing w:after="0" w:line="240" w:lineRule="auto"/>
        <w:jc w:val="both"/>
        <w:rPr>
          <w:rFonts w:ascii="Times New Roman" w:hAnsi="Times New Roman"/>
          <w:color w:val="0070C0"/>
          <w:sz w:val="16"/>
          <w:szCs w:val="16"/>
        </w:rPr>
      </w:pPr>
    </w:p>
    <w:p w14:paraId="1BD267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апреля по декабрь 1944 испытывали Як-7 с ПВРД ВИ-4с И.А.Меркулова. Прирост скорости составил 53 км/ч (173,430).</w:t>
      </w:r>
    </w:p>
    <w:p w14:paraId="71C945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800E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апреля-мая 1944 были запущены в серийное производство и начали выпускаться истребители:</w:t>
      </w:r>
    </w:p>
    <w:p w14:paraId="38C83B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Ла-7 - модификация Ла-5 с М-82ФН со значительным улучшением аэродинамики по рекомендациям ЦАГИ и с меньшим полетным весом (массой), но с серийным мотором АШ-82ФН (4109);</w:t>
      </w:r>
    </w:p>
    <w:p w14:paraId="748DAB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Як-3 - модификация Як-1 с М-105ПФ с меньшими габаритами крыла и меньшим полетным весом (массой), с мотором ВК-105ПФ2 (дополнительно форсированным);</w:t>
      </w:r>
    </w:p>
    <w:p w14:paraId="7A096C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 - модификация Як-9 с М-105ПФ с более мощным мотором новой модификации ВК-107А (3573).</w:t>
      </w:r>
    </w:p>
    <w:p w14:paraId="56A3B0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ВВС наконец получили самолеты-истребители, которые по своим летно-тактическим данным не только достигли, но и превзошли все новые типы немецких истребителей. Однако на высотах более 5300-5500 м они уступали немецким (4098; 4099; 4100; 4101; 4102; 4079) (3573).</w:t>
      </w:r>
    </w:p>
    <w:p w14:paraId="60BB30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466A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апреле-мае 1944 проходили летные испытания скоростного нагнетателя "Э-67" на Ла-5 с М-82ФН N 1618 21 завода (744,3).</w:t>
      </w:r>
    </w:p>
    <w:p w14:paraId="10768F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7618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апреле-мае 1944 в НИИ ВВС был испытан Р-47D и их было поставлено в СССР около 200 (173,264).</w:t>
      </w:r>
    </w:p>
    <w:p w14:paraId="60A1B4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12353A"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апреле-июне 1944 г. два P-47D-10 проходили летные испытания практически параллель</w:t>
      </w:r>
      <w:r w:rsidRPr="00070ADE">
        <w:rPr>
          <w:rFonts w:ascii="Times New Roman" w:hAnsi="Times New Roman"/>
          <w:color w:val="000000" w:themeColor="text1"/>
          <w:sz w:val="16"/>
          <w:szCs w:val="16"/>
        </w:rPr>
        <w:softHyphen/>
        <w:t>но - один из них летал в ЛИИ (в апреле — мае), дру</w:t>
      </w:r>
      <w:r w:rsidRPr="00070ADE">
        <w:rPr>
          <w:rFonts w:ascii="Times New Roman" w:hAnsi="Times New Roman"/>
          <w:color w:val="000000" w:themeColor="text1"/>
          <w:sz w:val="16"/>
          <w:szCs w:val="16"/>
        </w:rPr>
        <w:softHyphen/>
        <w:t>гой — в НИИ ВВС (в апреле — июне). Полученные на них результаты оказались несколько ниже данных, заявленных фир</w:t>
      </w:r>
      <w:r w:rsidRPr="00070ADE">
        <w:rPr>
          <w:rFonts w:ascii="Times New Roman" w:hAnsi="Times New Roman"/>
          <w:color w:val="000000" w:themeColor="text1"/>
          <w:sz w:val="16"/>
          <w:szCs w:val="16"/>
        </w:rPr>
        <w:softHyphen/>
        <w:t>мой «Рипаблик». Так, в НИИ ВВС получи</w:t>
      </w:r>
      <w:r w:rsidRPr="00070ADE">
        <w:rPr>
          <w:rFonts w:ascii="Times New Roman" w:hAnsi="Times New Roman"/>
          <w:color w:val="000000" w:themeColor="text1"/>
          <w:sz w:val="16"/>
          <w:szCs w:val="16"/>
        </w:rPr>
        <w:softHyphen/>
        <w:t>ли максимальную скорость 661 км/ч и по</w:t>
      </w:r>
      <w:r w:rsidRPr="00070ADE">
        <w:rPr>
          <w:rFonts w:ascii="Times New Roman" w:hAnsi="Times New Roman"/>
          <w:color w:val="000000" w:themeColor="text1"/>
          <w:sz w:val="16"/>
          <w:szCs w:val="16"/>
        </w:rPr>
        <w:softHyphen/>
        <w:t>толок 11800 м.</w:t>
      </w:r>
    </w:p>
    <w:p w14:paraId="4990AD7D"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Р-47 оказался устойчив, хорошо вел себя на критических углах атаки, не про</w:t>
      </w:r>
      <w:r w:rsidRPr="00070ADE">
        <w:rPr>
          <w:rFonts w:ascii="Times New Roman" w:hAnsi="Times New Roman"/>
          <w:color w:val="000000" w:themeColor="text1"/>
          <w:sz w:val="16"/>
          <w:szCs w:val="16"/>
        </w:rPr>
        <w:softHyphen/>
        <w:t>являл большой склонности к срыву в што</w:t>
      </w:r>
      <w:r w:rsidRPr="00070ADE">
        <w:rPr>
          <w:rFonts w:ascii="Times New Roman" w:hAnsi="Times New Roman"/>
          <w:color w:val="000000" w:themeColor="text1"/>
          <w:sz w:val="16"/>
          <w:szCs w:val="16"/>
        </w:rPr>
        <w:softHyphen/>
        <w:t>пор. Немалым плюсом стала простота пилотирования — он был вполне досту</w:t>
      </w:r>
      <w:r w:rsidRPr="00070ADE">
        <w:rPr>
          <w:rFonts w:ascii="Times New Roman" w:hAnsi="Times New Roman"/>
          <w:color w:val="000000" w:themeColor="text1"/>
          <w:sz w:val="16"/>
          <w:szCs w:val="16"/>
        </w:rPr>
        <w:softHyphen/>
        <w:t>пен среднему летчику военного времени. Кабина истребителя оказалась простой и удобной. Американские конструкторы весьма рационально скомпоновали при</w:t>
      </w:r>
      <w:r w:rsidRPr="00070ADE">
        <w:rPr>
          <w:rFonts w:ascii="Times New Roman" w:hAnsi="Times New Roman"/>
          <w:color w:val="000000" w:themeColor="text1"/>
          <w:sz w:val="16"/>
          <w:szCs w:val="16"/>
        </w:rPr>
        <w:softHyphen/>
        <w:t>боры, оборудование, органы управления. Самолет оснащался отличной радиостан</w:t>
      </w:r>
      <w:r w:rsidRPr="00070ADE">
        <w:rPr>
          <w:rFonts w:ascii="Times New Roman" w:hAnsi="Times New Roman"/>
          <w:color w:val="000000" w:themeColor="text1"/>
          <w:sz w:val="16"/>
          <w:szCs w:val="16"/>
        </w:rPr>
        <w:softHyphen/>
        <w:t>цией. И, наконец, он располагал мощным вооружением — восемь стволов калибра 12,7 мм, а его бомбовая нагрузка достигала 1135 кг — больше, чем у советского двух</w:t>
      </w:r>
      <w:r w:rsidRPr="00070ADE">
        <w:rPr>
          <w:rFonts w:ascii="Times New Roman" w:hAnsi="Times New Roman"/>
          <w:color w:val="000000" w:themeColor="text1"/>
          <w:sz w:val="16"/>
          <w:szCs w:val="16"/>
        </w:rPr>
        <w:softHyphen/>
        <w:t>моторного бомбардировщика Пе-2.</w:t>
      </w:r>
    </w:p>
    <w:p w14:paraId="4E5C6FD2"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 же время «Тандерболт» оказал</w:t>
      </w:r>
      <w:r w:rsidRPr="00070ADE">
        <w:rPr>
          <w:rFonts w:ascii="Times New Roman" w:hAnsi="Times New Roman"/>
          <w:color w:val="000000" w:themeColor="text1"/>
          <w:sz w:val="16"/>
          <w:szCs w:val="16"/>
        </w:rPr>
        <w:softHyphen/>
        <w:t>ся довольно неуклюж, намного уступая другим истребителям в показателях го</w:t>
      </w:r>
      <w:r w:rsidRPr="00070ADE">
        <w:rPr>
          <w:rFonts w:ascii="Times New Roman" w:hAnsi="Times New Roman"/>
          <w:color w:val="000000" w:themeColor="text1"/>
          <w:sz w:val="16"/>
          <w:szCs w:val="16"/>
        </w:rPr>
        <w:softHyphen/>
        <w:t>ризонтального и вертикального маневра. Машина вяло реагировала на работу руля</w:t>
      </w:r>
      <w:r w:rsidRPr="00070ADE">
        <w:rPr>
          <w:rFonts w:ascii="Times New Roman" w:hAnsi="Times New Roman"/>
          <w:color w:val="000000" w:themeColor="text1"/>
          <w:sz w:val="16"/>
          <w:szCs w:val="16"/>
        </w:rPr>
        <w:softHyphen/>
        <w:t>ми — сказывались большие размеры и вес. Из-за этого же Р-47 медленно разгонялся, демонстрируя непривычную инертность. Эти его особенности очень своеобразно прокомментировал в своих мемуарах из</w:t>
      </w:r>
      <w:r w:rsidRPr="00070ADE">
        <w:rPr>
          <w:rFonts w:ascii="Times New Roman" w:hAnsi="Times New Roman"/>
          <w:color w:val="000000" w:themeColor="text1"/>
          <w:sz w:val="16"/>
          <w:szCs w:val="16"/>
        </w:rPr>
        <w:softHyphen/>
        <w:t>вестный испытатель М.Л. Галлай, летав</w:t>
      </w:r>
      <w:r w:rsidRPr="00070ADE">
        <w:rPr>
          <w:rFonts w:ascii="Times New Roman" w:hAnsi="Times New Roman"/>
          <w:color w:val="000000" w:themeColor="text1"/>
          <w:sz w:val="16"/>
          <w:szCs w:val="16"/>
        </w:rPr>
        <w:softHyphen/>
        <w:t>ший на «Тандерболте» в ЛИИ: «Это — не истребитель! Устойчивый, удобный, с раз</w:t>
      </w:r>
      <w:r w:rsidRPr="00070ADE">
        <w:rPr>
          <w:rFonts w:ascii="Times New Roman" w:hAnsi="Times New Roman"/>
          <w:color w:val="000000" w:themeColor="text1"/>
          <w:sz w:val="16"/>
          <w:szCs w:val="16"/>
        </w:rPr>
        <w:softHyphen/>
        <w:t>умно скомпонованной, просторной каби</w:t>
      </w:r>
      <w:r w:rsidRPr="00070ADE">
        <w:rPr>
          <w:rFonts w:ascii="Times New Roman" w:hAnsi="Times New Roman"/>
          <w:color w:val="000000" w:themeColor="text1"/>
          <w:sz w:val="16"/>
          <w:szCs w:val="16"/>
        </w:rPr>
        <w:softHyphen/>
        <w:t>ной, но — не истребитель».</w:t>
      </w:r>
    </w:p>
    <w:p w14:paraId="4B3ABC35"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Уже после завершения основной про</w:t>
      </w:r>
      <w:r w:rsidRPr="00070ADE">
        <w:rPr>
          <w:rFonts w:ascii="Times New Roman" w:hAnsi="Times New Roman"/>
          <w:color w:val="000000" w:themeColor="text1"/>
          <w:sz w:val="16"/>
          <w:szCs w:val="16"/>
        </w:rPr>
        <w:softHyphen/>
        <w:t>граммы испытаний, 17 августа 1944 г., нахо</w:t>
      </w:r>
      <w:r w:rsidRPr="00070ADE">
        <w:rPr>
          <w:rFonts w:ascii="Times New Roman" w:hAnsi="Times New Roman"/>
          <w:color w:val="000000" w:themeColor="text1"/>
          <w:sz w:val="16"/>
          <w:szCs w:val="16"/>
        </w:rPr>
        <w:softHyphen/>
        <w:t>дившийся в ЛИИ самолет потерпел аварию возле станции Дивово в Подмосковье. В ка</w:t>
      </w:r>
      <w:r w:rsidRPr="00070ADE">
        <w:rPr>
          <w:rFonts w:ascii="Times New Roman" w:hAnsi="Times New Roman"/>
          <w:color w:val="000000" w:themeColor="text1"/>
          <w:sz w:val="16"/>
          <w:szCs w:val="16"/>
        </w:rPr>
        <w:softHyphen/>
        <w:t>бине находился летчик С.Ф. Машковский. В полете он вдруг услышал хлопок, затем двигатель затрясся, а в кабину начал по</w:t>
      </w:r>
      <w:r w:rsidRPr="00070ADE">
        <w:rPr>
          <w:rFonts w:ascii="Times New Roman" w:hAnsi="Times New Roman"/>
          <w:color w:val="000000" w:themeColor="text1"/>
          <w:sz w:val="16"/>
          <w:szCs w:val="16"/>
        </w:rPr>
        <w:softHyphen/>
        <w:t>ступать дым. Истребитель приземлился с убранным шасси на вспаханное поле. В конце пробега машину развернуло по</w:t>
      </w:r>
      <w:r w:rsidRPr="00070ADE">
        <w:rPr>
          <w:rFonts w:ascii="Times New Roman" w:hAnsi="Times New Roman"/>
          <w:color w:val="000000" w:themeColor="text1"/>
          <w:sz w:val="16"/>
          <w:szCs w:val="16"/>
        </w:rPr>
        <w:softHyphen/>
        <w:t>перек и перевернуло. Летчик не получил существенных травм, а вот «Тандерболт» изрядно покорежило. Осмотр машины аварийной комиссией позволил сделать вывод о разрушении клапанного механиз</w:t>
      </w:r>
      <w:r w:rsidRPr="00070ADE">
        <w:rPr>
          <w:rFonts w:ascii="Times New Roman" w:hAnsi="Times New Roman"/>
          <w:color w:val="000000" w:themeColor="text1"/>
          <w:sz w:val="16"/>
          <w:szCs w:val="16"/>
        </w:rPr>
        <w:softHyphen/>
        <w:t>ма одного из цилиндров.</w:t>
      </w:r>
    </w:p>
    <w:p w14:paraId="27530CD4"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Третий P-47D-10 использовали для из</w:t>
      </w:r>
      <w:r w:rsidRPr="00070ADE">
        <w:rPr>
          <w:rFonts w:ascii="Times New Roman" w:hAnsi="Times New Roman"/>
          <w:color w:val="000000" w:themeColor="text1"/>
          <w:sz w:val="16"/>
          <w:szCs w:val="16"/>
        </w:rPr>
        <w:softHyphen/>
        <w:t>учения конструкции в Бюро новой тех</w:t>
      </w:r>
      <w:r w:rsidRPr="00070ADE">
        <w:rPr>
          <w:rFonts w:ascii="Times New Roman" w:hAnsi="Times New Roman"/>
          <w:color w:val="000000" w:themeColor="text1"/>
          <w:sz w:val="16"/>
          <w:szCs w:val="16"/>
        </w:rPr>
        <w:softHyphen/>
        <w:t>ники НКАП и ЦАГИ. Советским специа</w:t>
      </w:r>
      <w:r w:rsidRPr="00070ADE">
        <w:rPr>
          <w:rFonts w:ascii="Times New Roman" w:hAnsi="Times New Roman"/>
          <w:color w:val="000000" w:themeColor="text1"/>
          <w:sz w:val="16"/>
          <w:szCs w:val="16"/>
        </w:rPr>
        <w:softHyphen/>
        <w:t>листам понравились некоторые решения в конструкции американского самолета. Отмечалась технологичная конструкция крыла с широким применением открытых профилей, удобство обслуживания узлов и агрегатов через рационально размещен</w:t>
      </w:r>
      <w:r w:rsidRPr="00070ADE">
        <w:rPr>
          <w:rFonts w:ascii="Times New Roman" w:hAnsi="Times New Roman"/>
          <w:color w:val="000000" w:themeColor="text1"/>
          <w:sz w:val="16"/>
          <w:szCs w:val="16"/>
        </w:rPr>
        <w:softHyphen/>
        <w:t>ные лючки, оригинальное приспособление в виде сварной рамы, упрятанной под об</w:t>
      </w:r>
      <w:r w:rsidRPr="00070ADE">
        <w:rPr>
          <w:rFonts w:ascii="Times New Roman" w:hAnsi="Times New Roman"/>
          <w:color w:val="000000" w:themeColor="text1"/>
          <w:sz w:val="16"/>
          <w:szCs w:val="16"/>
        </w:rPr>
        <w:softHyphen/>
        <w:t>шивкой в нижней части машины, предо</w:t>
      </w:r>
      <w:r w:rsidRPr="00070ADE">
        <w:rPr>
          <w:rFonts w:ascii="Times New Roman" w:hAnsi="Times New Roman"/>
          <w:color w:val="000000" w:themeColor="text1"/>
          <w:sz w:val="16"/>
          <w:szCs w:val="16"/>
        </w:rPr>
        <w:softHyphen/>
        <w:t>храняющее фюзеляж от повреждений при посадке на «брюхо».</w:t>
      </w:r>
    </w:p>
    <w:p w14:paraId="381FF71C" w14:textId="77777777" w:rsidR="007F6E7B" w:rsidRPr="00070ADE" w:rsidRDefault="007F6E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Особое внимание советские инженеры уделили системе турбонаддува, существен</w:t>
      </w:r>
      <w:r w:rsidRPr="00070ADE">
        <w:rPr>
          <w:rFonts w:ascii="Times New Roman" w:hAnsi="Times New Roman"/>
          <w:color w:val="000000" w:themeColor="text1"/>
          <w:sz w:val="16"/>
          <w:szCs w:val="16"/>
        </w:rPr>
        <w:softHyphen/>
        <w:t>но отличавшейся от советских образцов и обладавшей куда большей надежностью (23513).</w:t>
      </w:r>
    </w:p>
    <w:p w14:paraId="3D57BBB2" w14:textId="77777777" w:rsidR="007F6E7B" w:rsidRPr="00070ADE" w:rsidRDefault="007F6E7B" w:rsidP="00B56F90">
      <w:pPr>
        <w:spacing w:after="0" w:line="240" w:lineRule="auto"/>
        <w:jc w:val="both"/>
        <w:rPr>
          <w:rFonts w:ascii="Times New Roman" w:hAnsi="Times New Roman"/>
          <w:color w:val="000000" w:themeColor="text1"/>
          <w:sz w:val="16"/>
          <w:szCs w:val="16"/>
        </w:rPr>
      </w:pPr>
    </w:p>
    <w:p w14:paraId="36A5F2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апреле-мае 1944 года два самолета из трех полученных из США Р-47D прошли полный комплекс испытаний в НПП ВВС и ЛИП НКАП, а третий попал па изучение в ЦАГИ. Р-47 оказался устойчив, хорошо вел себя на критических углах атаки, не проявляя большой склонности к срыву в штопор. Немалым плюсом стала простота пилотирования - он был вполне доступен среднему летчику военного времени. Кабина истребителя оказалась простой и удобной. Американские конструкторы весьма рационально скомпоновали приборы, оборудование, органы управления. Приборная доска выглядела куда богаче, чем на советских истребителях того времени. Самолет оснастили отличной радиостанцией. И, наконец, он располагал очень мощным вооружением (восемь стволов калибра 12,7 мм), а его бомбовая нагрузка.достигала 1135 кг - больше, чем у нашего двухмоторного Пе-2. В то же время "Тандерболт" оказался довольно неуклюж, намного уступая другим истребителям в показателях горизонтального и особенно вертикального маневра. Машина вяло реагировала на работу рулями - сказывались большие размеры и вес. Из-за этого же Р-47 медленно разгонялся, демонстрируя непривычную инертность. Эти его особенности очень своеобразно прокомментировал в своих воспоминаниях М.Л.Галлай, летавший на "Тандерболте" в ЛИИ: "Это - не истребитель! Устойчивый, удобный, с разумно скомпонованной, просторной кабиной, но - не истребитель". Специалистам понравились некоторые технические решения в конструкции американского самолета. Отмечалась технологичная конструкция крыла с широким применением открытых профилей, удобство обслуживания узлов и агрегатов через рационально размещенные лючки, оригинальное приспособление в виде сварной рамы, упрятанной под обшивкой в нижней части машины, предохраняющее фюзеляж от повреждений при посадке на "брюхо". Особое внимание наши инженеры уделили системе турбонаддува, существенно отличавшейся от советских образцов и обладавшей куда большей надежностью (3457,85).</w:t>
      </w:r>
    </w:p>
    <w:p w14:paraId="17592B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EE7A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C апреля по июль 1944 в НИИ ВВС испытывали Тандерболт H-47D-10 RE (173,260).</w:t>
      </w:r>
    </w:p>
    <w:p w14:paraId="21EBA4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860279" w14:textId="77777777" w:rsidR="000656CD" w:rsidRPr="00C94B78" w:rsidRDefault="000656CD"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апреле 1944 г. десять АМ-39 изготовили на заводе № 45, в мае-июне того же года 22 экземпляра переделали на опытном заводе № 300 из АМ-38Ф с использованием новых узлов, изготовленных заводом № 45. Большая часть представляла собой базовый АМ-39, обладавший максимальной мощностью 1800 л.с., однако несколько экземпляров относились к типу АМ-39А. Эти двигатели получили нагнетатель от АМ-38Ф, но с двухскоростной передачей, что позволило довести вторую границу высотности до 6800 м. Мотор АМ-39А проходил государственные испытания в марте 1944 г., а летом был передан на летные испытания. Двигатели этого типа установили на опытный микояновский высотный истребитель И-220, который в одном из полетов на высоте 7200 м сумел развить скорость 690 км/ч (25145).</w:t>
      </w:r>
    </w:p>
    <w:p w14:paraId="7619CD3F" w14:textId="77777777" w:rsidR="000656CD" w:rsidRPr="00C94B78" w:rsidRDefault="000656CD" w:rsidP="00B56F90">
      <w:pPr>
        <w:spacing w:after="0" w:line="240" w:lineRule="auto"/>
        <w:jc w:val="both"/>
        <w:rPr>
          <w:rFonts w:ascii="Times New Roman" w:hAnsi="Times New Roman"/>
          <w:color w:val="0070C0"/>
          <w:sz w:val="16"/>
          <w:szCs w:val="16"/>
        </w:rPr>
      </w:pPr>
    </w:p>
    <w:p w14:paraId="4D15A27B" w14:textId="77777777" w:rsidR="001C36F9" w:rsidRPr="00C94B78" w:rsidRDefault="001C36F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апреле-мае 1944 года прошли испытания новой боевой машины - двенадцатизарядной реактивной установки М-31 (БМ-31) на шасси автомашины «Студебекер» и показали её высокие тактико-технические характеристики. Её отличительной особенностью был пуск реактивных снарядов не из транспортной укупорки, а из специально разработанного сварного пакета — так называемых «сотовых» направляющих. При этом, за исключением моноблока направляющих и электрооборудования, узлы установки были унифицированы с «нормализованной» М-13Н (25403). </w:t>
      </w:r>
    </w:p>
    <w:p w14:paraId="520717BB" w14:textId="77777777" w:rsidR="001C36F9" w:rsidRPr="00C94B78" w:rsidRDefault="001C36F9" w:rsidP="00B56F90">
      <w:pPr>
        <w:spacing w:after="0" w:line="240" w:lineRule="auto"/>
        <w:jc w:val="both"/>
        <w:rPr>
          <w:rFonts w:ascii="Times New Roman" w:hAnsi="Times New Roman"/>
          <w:color w:val="0070C0"/>
          <w:sz w:val="16"/>
          <w:szCs w:val="16"/>
        </w:rPr>
      </w:pPr>
    </w:p>
    <w:p w14:paraId="752652F9" w14:textId="77777777" w:rsidR="001C36F9" w:rsidRPr="00C94B78" w:rsidRDefault="001C36F9"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апреле-мае 1944 года проводились испытания пусковой установки БМ-31-12 с сотовыми направ</w:t>
      </w:r>
      <w:r w:rsidRPr="00C94B78">
        <w:rPr>
          <w:rStyle w:val="aff1"/>
          <w:rFonts w:ascii="Times New Roman" w:hAnsi="Times New Roman" w:cs="Times New Roman"/>
          <w:color w:val="0070C0"/>
          <w:spacing w:val="0"/>
          <w:sz w:val="16"/>
          <w:szCs w:val="16"/>
        </w:rPr>
        <w:softHyphen/>
        <w:t>ляющими. Целью испытаний было определение боевой эффективности, прочности, устойчи</w:t>
      </w:r>
      <w:r w:rsidRPr="00C94B78">
        <w:rPr>
          <w:rStyle w:val="aff1"/>
          <w:rFonts w:ascii="Times New Roman" w:hAnsi="Times New Roman" w:cs="Times New Roman"/>
          <w:color w:val="0070C0"/>
          <w:spacing w:val="0"/>
          <w:sz w:val="16"/>
          <w:szCs w:val="16"/>
        </w:rPr>
        <w:softHyphen/>
        <w:t>вости при стрельбе и в походном положении, удобства заряжания и обслуживания, правильности размещения отдельных узлов и ме</w:t>
      </w:r>
      <w:r w:rsidRPr="00C94B78">
        <w:rPr>
          <w:rStyle w:val="aff1"/>
          <w:rFonts w:ascii="Times New Roman" w:hAnsi="Times New Roman" w:cs="Times New Roman"/>
          <w:color w:val="0070C0"/>
          <w:spacing w:val="0"/>
          <w:sz w:val="16"/>
          <w:szCs w:val="16"/>
        </w:rPr>
        <w:softHyphen/>
        <w:t>ханизмов установки. Испытания показали высокие тактико-тех</w:t>
      </w:r>
      <w:r w:rsidRPr="00C94B78">
        <w:rPr>
          <w:rStyle w:val="aff1"/>
          <w:rFonts w:ascii="Times New Roman" w:hAnsi="Times New Roman" w:cs="Times New Roman"/>
          <w:color w:val="0070C0"/>
          <w:spacing w:val="0"/>
          <w:sz w:val="16"/>
          <w:szCs w:val="16"/>
        </w:rPr>
        <w:softHyphen/>
        <w:t>нические характеристики пусковой установки БМ-31-12. В отчете полигона отмечалось, что стрельба из БМ-13-12 снарядами М-31 возможна и безопасна при нахождении стреляющего как в каби</w:t>
      </w:r>
      <w:r w:rsidRPr="00C94B78">
        <w:rPr>
          <w:rStyle w:val="aff1"/>
          <w:rFonts w:ascii="Times New Roman" w:hAnsi="Times New Roman" w:cs="Times New Roman"/>
          <w:color w:val="0070C0"/>
          <w:spacing w:val="0"/>
          <w:sz w:val="16"/>
          <w:szCs w:val="16"/>
        </w:rPr>
        <w:softHyphen/>
        <w:t>не, так и вне ее. Установка БМ-31-12 устойчива не только при опу</w:t>
      </w:r>
      <w:r w:rsidRPr="00C94B78">
        <w:rPr>
          <w:rStyle w:val="aff1"/>
          <w:rFonts w:ascii="Times New Roman" w:hAnsi="Times New Roman" w:cs="Times New Roman"/>
          <w:color w:val="0070C0"/>
          <w:spacing w:val="0"/>
          <w:sz w:val="16"/>
          <w:szCs w:val="16"/>
        </w:rPr>
        <w:softHyphen/>
        <w:t>щенных домкратах, но и при поднятых (25439).</w:t>
      </w:r>
    </w:p>
    <w:p w14:paraId="5A4A05D4" w14:textId="77777777" w:rsidR="001C36F9" w:rsidRPr="00C94B78" w:rsidRDefault="001C36F9" w:rsidP="00B56F90">
      <w:pPr>
        <w:spacing w:after="0" w:line="240" w:lineRule="auto"/>
        <w:jc w:val="both"/>
        <w:rPr>
          <w:rFonts w:ascii="Times New Roman" w:hAnsi="Times New Roman"/>
          <w:color w:val="0070C0"/>
          <w:sz w:val="16"/>
          <w:szCs w:val="16"/>
        </w:rPr>
      </w:pPr>
    </w:p>
    <w:p w14:paraId="68085D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апреле—мае 1944 г. испытывались черноморские катера с М-8-М в боевых действиях против немецких кораблей охранения. Моральный эф</w:t>
      </w:r>
      <w:r w:rsidRPr="00070ADE">
        <w:rPr>
          <w:rFonts w:ascii="Times New Roman" w:hAnsi="Times New Roman"/>
          <w:color w:val="000000" w:themeColor="text1"/>
          <w:sz w:val="16"/>
          <w:szCs w:val="16"/>
        </w:rPr>
        <w:softHyphen/>
        <w:t>фект стрельбы реактивными снарядами оказался большим, но ве</w:t>
      </w:r>
      <w:r w:rsidRPr="00070ADE">
        <w:rPr>
          <w:rFonts w:ascii="Times New Roman" w:hAnsi="Times New Roman"/>
          <w:color w:val="000000" w:themeColor="text1"/>
          <w:sz w:val="16"/>
          <w:szCs w:val="16"/>
        </w:rPr>
        <w:softHyphen/>
        <w:t>роятность попадания в цель на качке невелика (3898).</w:t>
      </w:r>
    </w:p>
    <w:p w14:paraId="23FC96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160D4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50917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E571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 мае 1944 г. ЧКЗ изготовил два новых образца танка (№ 1 и 2) танка Объект-701 и к 1 июля предъявил их на полигонные испытания, ко</w:t>
      </w:r>
      <w:r w:rsidRPr="00070ADE">
        <w:rPr>
          <w:rFonts w:ascii="Times New Roman" w:hAnsi="Times New Roman"/>
          <w:color w:val="000000" w:themeColor="text1"/>
          <w:sz w:val="16"/>
          <w:szCs w:val="16"/>
        </w:rPr>
        <w:softHyphen/>
        <w:t>торые проходили в районе Челябинска с 1 июля по 15 августа 1944 г. под председательством начальника ГБТУ генерал-лейтенанта танковых войск Б.Г. Вершинина (10703).</w:t>
      </w:r>
    </w:p>
    <w:p w14:paraId="054A6F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A09E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апреля по август 1944 все Т-44 были отремонтированы и проходили «огонь, воду и медные трубы» на полигонах. Производители и конструкторы внимательно изучали их, пытаясь еще более удешевить конструкцию и улучшить на</w:t>
      </w:r>
      <w:r w:rsidRPr="00070ADE">
        <w:rPr>
          <w:rFonts w:ascii="Times New Roman" w:hAnsi="Times New Roman"/>
          <w:color w:val="000000" w:themeColor="text1"/>
          <w:sz w:val="16"/>
          <w:szCs w:val="16"/>
        </w:rPr>
        <w:softHyphen/>
        <w:t>дежность работы агрегатов. Запланированные на май 1944 г. изготовление и испытание «улучшенного» танка Т-44А с пушкой С-53 и Т-44-100 с пушкой Д-10 не состоялись по причине отсутствия затребованных у Кировского завода ди</w:t>
      </w:r>
      <w:r w:rsidRPr="00070ADE">
        <w:rPr>
          <w:rFonts w:ascii="Times New Roman" w:hAnsi="Times New Roman"/>
          <w:color w:val="000000" w:themeColor="text1"/>
          <w:sz w:val="16"/>
          <w:szCs w:val="16"/>
        </w:rPr>
        <w:softHyphen/>
        <w:t>зелей и работ по постановке на УВЗ валового выпуска Т-34-85. В июне 1944 г. были изготовлены два эталонных экземпляра Т-44 с двигателем В-2-34М и пушками С-53, но эти танки в основном повторяли конструкцию февральской машины, отличаясь от нее в некоторых деталях (11135).</w:t>
      </w:r>
    </w:p>
    <w:p w14:paraId="13E4FE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F721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 августе 1944 г. по заданию УСА Госу</w:t>
      </w:r>
      <w:r w:rsidRPr="00070ADE">
        <w:rPr>
          <w:rFonts w:ascii="Times New Roman" w:hAnsi="Times New Roman"/>
          <w:color w:val="000000" w:themeColor="text1"/>
          <w:sz w:val="16"/>
          <w:szCs w:val="16"/>
        </w:rPr>
        <w:softHyphen/>
        <w:t>дарственным оптическим институтом и заводом № 355 был спроектирован и изготовлен командир</w:t>
      </w:r>
      <w:r w:rsidRPr="00070ADE">
        <w:rPr>
          <w:rFonts w:ascii="Times New Roman" w:hAnsi="Times New Roman"/>
          <w:color w:val="000000" w:themeColor="text1"/>
          <w:sz w:val="16"/>
          <w:szCs w:val="16"/>
        </w:rPr>
        <w:softHyphen/>
        <w:t>ский смотровой прибор-перископ корректировщик. Этот прибор сочетал в себе качества прибора МК-4 и полевого бинокля 6</w:t>
      </w:r>
      <w:r w:rsidRPr="00070ADE">
        <w:rPr>
          <w:rFonts w:ascii="Times New Roman" w:hAnsi="Times New Roman"/>
          <w:color w:val="000000" w:themeColor="text1"/>
          <w:sz w:val="16"/>
          <w:szCs w:val="16"/>
          <w:vertAlign w:val="superscript"/>
        </w:rPr>
        <w:t>х</w:t>
      </w:r>
      <w:r w:rsidRPr="00070ADE">
        <w:rPr>
          <w:rFonts w:ascii="Times New Roman" w:hAnsi="Times New Roman"/>
          <w:color w:val="000000" w:themeColor="text1"/>
          <w:sz w:val="16"/>
          <w:szCs w:val="16"/>
        </w:rPr>
        <w:t xml:space="preserve"> увеличения с наличием сетки для корректировки огня и обеспечивал наблюдение за местностью до 3 км. В период Великой Отечест</w:t>
      </w:r>
      <w:r w:rsidRPr="00070ADE">
        <w:rPr>
          <w:rFonts w:ascii="Times New Roman" w:hAnsi="Times New Roman"/>
          <w:color w:val="000000" w:themeColor="text1"/>
          <w:sz w:val="16"/>
          <w:szCs w:val="16"/>
        </w:rPr>
        <w:softHyphen/>
        <w:t>венной войны была изготовлена опытная партия, которая выдержала полигонные испытания. В ходе войсковых испытаний была выявлена недостаточ</w:t>
      </w:r>
      <w:r w:rsidRPr="00070ADE">
        <w:rPr>
          <w:rFonts w:ascii="Times New Roman" w:hAnsi="Times New Roman"/>
          <w:color w:val="000000" w:themeColor="text1"/>
          <w:sz w:val="16"/>
          <w:szCs w:val="16"/>
        </w:rPr>
        <w:softHyphen/>
        <w:t>ная герметичность прибора. Доработкой командир</w:t>
      </w:r>
      <w:r w:rsidRPr="00070ADE">
        <w:rPr>
          <w:rFonts w:ascii="Times New Roman" w:hAnsi="Times New Roman"/>
          <w:color w:val="000000" w:themeColor="text1"/>
          <w:sz w:val="16"/>
          <w:szCs w:val="16"/>
        </w:rPr>
        <w:softHyphen/>
        <w:t>ского смотрового прибора-перископа корректировщика после войны занимался коллектив завода № 393 (10703).</w:t>
      </w:r>
    </w:p>
    <w:p w14:paraId="6DD64E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8925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 мае 1944 г. американские специалисты посетили Куйбышев, Орск и Гурьев, где в это время монти­ровалось американское оборудование на строившихся НПЗ. Первое, что они были вынуждены признать, это некомплектность поставок оборудования, что замедляло темпы работ. Часть материалов не была вовремя получена из США, некоторые другие — советской стороной ошибочно направлены не на те заводы, для которых они предназначались. 8 июля 1944 г. руководитель группы американских инженеров компании «Баджер» в СССР Р. Мак-Карди в своем отчете отмечал: «Как и прежде, работа на всех заводах, независимо от состояния готовности, тормозится отсутствием оборудования, не пришедше­го прошлой зимой». Возникали различ­ные накладки и недоразумения, что вполне естественно при таком объеме работ и атмосфере «гонки». В конце 1944 г. американская фирма «Буффало Газолин Мотор Ко» ошибочно поставила трансформаторы к выпрямителям на водозаборные станции мощностью 250 ватт, вместо необходи­мых в 500 ватт. В ответ на запрос советской стороны американская фирма посетовала, что именно такие трансформаторы были ошибочно порекомендованы компанией «Дженерал Моторс» (11475).</w:t>
      </w:r>
    </w:p>
    <w:p w14:paraId="157224B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6F7EE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 мае 1944 года в Баренцевом и Белом морях при волнении от 1 до 8 баллов на эсминце "Громкий" был испытан опытный образец корабельной станции "Гюйс-1" НИИ-20. В 1943 году перед НИИ-20 была поставлена задача в кратчайший срок разработать корабельную радиолокационную станцию обнаружения надводных и воздушных целей, пригодную для вооружения кораблей ВМФ всех классов. Отечественных радиолокаторов такого типа в ВМФ (кроме "Редут-К") тогда не было. Второй этап разработки — создание опытного образца корабельной РЛС "Гюйс-1М" в полутораметровом диапазоне волн завершился ее успешным испытанием с 1 по 20 октября 1944 года на эсминце "Полухин" в Балтийском море. Станция "Гюйс-lM" обеспечивала обнаружение целей на тех же дальностях, что и английская станция типа 291. "Гюйс-1М" показала себя надежной, устойчивой и удобной в эксплуатации. В последующем эти станции применялись при конвоировании караванов судов. Станция серийно выпускалась заводом № 703. Модернизация этой станции позволила создать корабельную РЛС "Гюйс-1Б", по своим характеристикам превосходящую английскую РЛС 291. Промышленное производство РЛС "Гюйс-1Б" было организовано на том же заводе № 703. Разработка станций "Гюйс-1М" и "Гюйс-1Б" велась под руководством К.В.Голева при участии Н.А.Викторова, Ю.А.Мантейфеля, А.И.Узкова, а также Ю.А.Зонненштраля, Б.П.Лебедева, Э.М.Манукяна, И.К.Мельникова, П.В.Подгорнова, В.В.Самарина, Н.В.Сорокина (10737).</w:t>
      </w:r>
    </w:p>
    <w:p w14:paraId="00896D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33B96E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01810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3CFC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апреле-мае 1944 на территории СССР был сфор</w:t>
      </w:r>
      <w:r w:rsidRPr="00070ADE">
        <w:rPr>
          <w:rFonts w:ascii="Times New Roman" w:hAnsi="Times New Roman"/>
          <w:color w:val="000000" w:themeColor="text1"/>
          <w:sz w:val="16"/>
          <w:szCs w:val="16"/>
        </w:rPr>
        <w:softHyphen/>
        <w:t>мирован 1-й чехословацкий ИАП, который получил 24 Ла-5ФН. В конце августа словацкие партизаны и подразделения национальной армии подняли восстание против фашистов, и 17 сентября этот полк был переброшен на словацкую авиабазу Жолна, а оттуда — на аэродром Три Дуба. Перед летчиками поставили задачу уничтожить немного</w:t>
      </w:r>
      <w:r w:rsidRPr="00070ADE">
        <w:rPr>
          <w:rFonts w:ascii="Times New Roman" w:hAnsi="Times New Roman"/>
          <w:color w:val="000000" w:themeColor="text1"/>
          <w:sz w:val="16"/>
          <w:szCs w:val="16"/>
        </w:rPr>
        <w:softHyphen/>
        <w:t>численную авиацию противника на аэродромах. 18 сентября полк выполнил свой первый боевой вылет. На земле, по докладам пилотов, было сож</w:t>
      </w:r>
      <w:r w:rsidRPr="00070ADE">
        <w:rPr>
          <w:rFonts w:ascii="Times New Roman" w:hAnsi="Times New Roman"/>
          <w:color w:val="000000" w:themeColor="text1"/>
          <w:sz w:val="16"/>
          <w:szCs w:val="16"/>
        </w:rPr>
        <w:softHyphen/>
        <w:t>жено 10 и повреждено 15 вражеских самолетов. Далее 1-й ИАП стал привлекаться для обеспече</w:t>
      </w:r>
      <w:r w:rsidRPr="00070ADE">
        <w:rPr>
          <w:rFonts w:ascii="Times New Roman" w:hAnsi="Times New Roman"/>
          <w:color w:val="000000" w:themeColor="text1"/>
          <w:sz w:val="16"/>
          <w:szCs w:val="16"/>
        </w:rPr>
        <w:softHyphen/>
        <w:t>ния действий тяжелых бомбардировщиков В-24 из 15-й ВА США, бомбивших части вермахта и про</w:t>
      </w:r>
      <w:r w:rsidRPr="00070ADE">
        <w:rPr>
          <w:rFonts w:ascii="Times New Roman" w:hAnsi="Times New Roman"/>
          <w:color w:val="000000" w:themeColor="text1"/>
          <w:sz w:val="16"/>
          <w:szCs w:val="16"/>
        </w:rPr>
        <w:softHyphen/>
        <w:t>мышленные объекты в Словакии (11123). Противник обнаружил появление в своем тылу полка современных истребителей и перебросил в Словакию эскадрильи из лучших соединений люфтваффе — истребительной ЛЗ 52 и штурмовой иС 77. Но хуже было другое — плохо вооруженные повстанческие части не могли противостоять ре</w:t>
      </w:r>
      <w:r w:rsidRPr="00070ADE">
        <w:rPr>
          <w:rFonts w:ascii="Times New Roman" w:hAnsi="Times New Roman"/>
          <w:color w:val="000000" w:themeColor="text1"/>
          <w:sz w:val="16"/>
          <w:szCs w:val="16"/>
        </w:rPr>
        <w:softHyphen/>
        <w:t>гулярным войскам, и крах был неизбежен. 29 ок</w:t>
      </w:r>
      <w:r w:rsidRPr="00070ADE">
        <w:rPr>
          <w:rFonts w:ascii="Times New Roman" w:hAnsi="Times New Roman"/>
          <w:color w:val="000000" w:themeColor="text1"/>
          <w:sz w:val="16"/>
          <w:szCs w:val="16"/>
        </w:rPr>
        <w:softHyphen/>
        <w:t>тября оставшиеся Ла-5 полка перелетели на заня</w:t>
      </w:r>
      <w:r w:rsidRPr="00070ADE">
        <w:rPr>
          <w:rFonts w:ascii="Times New Roman" w:hAnsi="Times New Roman"/>
          <w:color w:val="000000" w:themeColor="text1"/>
          <w:sz w:val="16"/>
          <w:szCs w:val="16"/>
        </w:rPr>
        <w:softHyphen/>
        <w:t>тую советскими войсками территорию. Летчики 1 -го чешского ИАП совершили 573 боевых вылета, в основном, на штурмовку и разведку. Им также удалось сбить 7 истребителей, 2 бомбардировщика, 2 разведчика ГЛЛ/189 и 2 связных самолета. 10 Ла-5ФН были по</w:t>
      </w:r>
      <w:r w:rsidRPr="00070ADE">
        <w:rPr>
          <w:rFonts w:ascii="Times New Roman" w:hAnsi="Times New Roman"/>
          <w:color w:val="000000" w:themeColor="text1"/>
          <w:sz w:val="16"/>
          <w:szCs w:val="16"/>
        </w:rPr>
        <w:softHyphen/>
        <w:t>теряны от огня зениток, в летных происшествиях или оставлены не</w:t>
      </w:r>
      <w:r w:rsidRPr="00070ADE">
        <w:rPr>
          <w:rFonts w:ascii="Times New Roman" w:hAnsi="Times New Roman"/>
          <w:color w:val="000000" w:themeColor="text1"/>
          <w:sz w:val="16"/>
          <w:szCs w:val="16"/>
        </w:rPr>
        <w:softHyphen/>
        <w:t>исправными на аэродроме Три Дуба, где их позднее уничтожила немецкая авиация. Полку присвоили почетное наименование «Зво-ленский» в честь городка, который стал центром Словацкого наци</w:t>
      </w:r>
      <w:r w:rsidRPr="00070ADE">
        <w:rPr>
          <w:rFonts w:ascii="Times New Roman" w:hAnsi="Times New Roman"/>
          <w:color w:val="000000" w:themeColor="text1"/>
          <w:sz w:val="16"/>
          <w:szCs w:val="16"/>
        </w:rPr>
        <w:softHyphen/>
        <w:t>онального восстания (11123).</w:t>
      </w:r>
    </w:p>
    <w:p w14:paraId="6CAB3E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996A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 июне 1944 восемь дивизионов тральщиков Волжской военной флотилии провели контрольное траление фарватера реки от Астрахани до Саратова, а также повторное траление минных банок. В результате мин на фарватерах обнаружено не было. После этого приказом наркома ВМФ от 30 июня Волжская военная флотилия была расформирована. Ее корабли и части были переданы другим, действующим флотам и флотилиям. Мобилизованные суда были разоружены и возвращены организациям транспортного и промыслового флота Волжского бассейна (11742).</w:t>
      </w:r>
    </w:p>
    <w:p w14:paraId="1889C2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E8C6F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8262E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C4D7B2" w14:textId="77777777" w:rsidR="00D92086" w:rsidRPr="00070ADE" w:rsidRDefault="00D92086"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маю 1944 завершились госу</w:t>
      </w:r>
      <w:r w:rsidRPr="00070ADE">
        <w:rPr>
          <w:rFonts w:ascii="Times New Roman" w:hAnsi="Times New Roman"/>
          <w:color w:val="000000" w:themeColor="text1"/>
          <w:sz w:val="16"/>
          <w:szCs w:val="16"/>
        </w:rPr>
        <w:softHyphen/>
        <w:t>дарственные испытания тяжелого штурмовика Ил-8 (модерни</w:t>
      </w:r>
      <w:r w:rsidRPr="00070ADE">
        <w:rPr>
          <w:rFonts w:ascii="Times New Roman" w:hAnsi="Times New Roman"/>
          <w:color w:val="000000" w:themeColor="text1"/>
          <w:sz w:val="16"/>
          <w:szCs w:val="16"/>
        </w:rPr>
        <w:softHyphen/>
        <w:t>зированного Ил-АМ-42) и были получе</w:t>
      </w:r>
      <w:r w:rsidRPr="00070ADE">
        <w:rPr>
          <w:rFonts w:ascii="Times New Roman" w:hAnsi="Times New Roman"/>
          <w:color w:val="000000" w:themeColor="text1"/>
          <w:sz w:val="16"/>
          <w:szCs w:val="16"/>
        </w:rPr>
        <w:softHyphen/>
        <w:t>ны основные летные данные опытного образца Су-6 с АМ-42. Характеристики нового варианта Су-6 в полном объеме снять не удалось по причине серьезных конструктивных и производственных дефектов установ</w:t>
      </w:r>
      <w:r w:rsidRPr="00070ADE">
        <w:rPr>
          <w:rFonts w:ascii="Times New Roman" w:hAnsi="Times New Roman"/>
          <w:color w:val="000000" w:themeColor="text1"/>
          <w:sz w:val="16"/>
          <w:szCs w:val="16"/>
        </w:rPr>
        <w:softHyphen/>
        <w:t>ленного на этом самолете экземпляра двигателя АМ-42, который страдал воз</w:t>
      </w:r>
      <w:r w:rsidRPr="00070ADE">
        <w:rPr>
          <w:rFonts w:ascii="Times New Roman" w:hAnsi="Times New Roman"/>
          <w:color w:val="000000" w:themeColor="text1"/>
          <w:sz w:val="16"/>
          <w:szCs w:val="16"/>
        </w:rPr>
        <w:softHyphen/>
        <w:t>горанием смеси во всасывающих патруб</w:t>
      </w:r>
      <w:r w:rsidRPr="00070ADE">
        <w:rPr>
          <w:rFonts w:ascii="Times New Roman" w:hAnsi="Times New Roman"/>
          <w:color w:val="000000" w:themeColor="text1"/>
          <w:sz w:val="16"/>
          <w:szCs w:val="16"/>
        </w:rPr>
        <w:softHyphen/>
        <w:t>ках и повышенным в 4 — 5 раз расходом масла. Ни в одном из полетов мотор нор</w:t>
      </w:r>
      <w:r w:rsidRPr="00070ADE">
        <w:rPr>
          <w:rFonts w:ascii="Times New Roman" w:hAnsi="Times New Roman"/>
          <w:color w:val="000000" w:themeColor="text1"/>
          <w:sz w:val="16"/>
          <w:szCs w:val="16"/>
        </w:rPr>
        <w:softHyphen/>
        <w:t>мально не работал. Максимальная ско</w:t>
      </w:r>
      <w:r w:rsidRPr="00070ADE">
        <w:rPr>
          <w:rFonts w:ascii="Times New Roman" w:hAnsi="Times New Roman"/>
          <w:color w:val="000000" w:themeColor="text1"/>
          <w:sz w:val="16"/>
          <w:szCs w:val="16"/>
        </w:rPr>
        <w:softHyphen/>
        <w:t>рость с 400 кг бомб, двумя пушками НС-37 и двумя пулеметами ШКАС с боеком</w:t>
      </w:r>
      <w:r w:rsidRPr="00070ADE">
        <w:rPr>
          <w:rFonts w:ascii="Times New Roman" w:hAnsi="Times New Roman"/>
          <w:color w:val="000000" w:themeColor="text1"/>
          <w:sz w:val="16"/>
          <w:szCs w:val="16"/>
        </w:rPr>
        <w:softHyphen/>
        <w:t>плектом при полетном весе 6200 кг на высоте 1000 м составляла 508 км/ч, на высоте 2000 м — 519 км/ч (примерно на 30 км/ч меньше, чем у Ил-10). На высо</w:t>
      </w:r>
      <w:r w:rsidRPr="00070ADE">
        <w:rPr>
          <w:rFonts w:ascii="Times New Roman" w:hAnsi="Times New Roman"/>
          <w:color w:val="000000" w:themeColor="text1"/>
          <w:sz w:val="16"/>
          <w:szCs w:val="16"/>
        </w:rPr>
        <w:softHyphen/>
        <w:t>ту 1000 м самолет поднимался за 2 мин, а на 3000 м — за 6 мин. Вскоре крупнокалиберные пушки НС-37 были заменены на стандартные ВЯ-23(с запасом 240 снарядов). Зато макси</w:t>
      </w:r>
      <w:r w:rsidRPr="00070ADE">
        <w:rPr>
          <w:rFonts w:ascii="Times New Roman" w:hAnsi="Times New Roman"/>
          <w:color w:val="000000" w:themeColor="text1"/>
          <w:sz w:val="16"/>
          <w:szCs w:val="16"/>
        </w:rPr>
        <w:softHyphen/>
        <w:t>мальный вес бомбовой нагрузки вырос до 600 кг. Вес пустого самолета стал 4366 кг. Тяжелый бронированный штурмовик-бомбардировщик Ил-8 при том же воо</w:t>
      </w:r>
      <w:r w:rsidRPr="00070ADE">
        <w:rPr>
          <w:rFonts w:ascii="Times New Roman" w:hAnsi="Times New Roman"/>
          <w:color w:val="000000" w:themeColor="text1"/>
          <w:sz w:val="16"/>
          <w:szCs w:val="16"/>
        </w:rPr>
        <w:softHyphen/>
        <w:t>ружении имел нормальный полетный вес 7126 кг и показал максимальную ско</w:t>
      </w:r>
      <w:r w:rsidRPr="00070ADE">
        <w:rPr>
          <w:rFonts w:ascii="Times New Roman" w:hAnsi="Times New Roman"/>
          <w:color w:val="000000" w:themeColor="text1"/>
          <w:sz w:val="16"/>
          <w:szCs w:val="16"/>
        </w:rPr>
        <w:softHyphen/>
        <w:t>рость у земли 428 км/ч и на высоте 1500 м — 472 км/ч; время подъема на высоту 1000 м — 2,35 мин, а на 3000 м — 7,5 мин; дальность полета — 990 км; раз</w:t>
      </w:r>
      <w:r w:rsidRPr="00070ADE">
        <w:rPr>
          <w:rFonts w:ascii="Times New Roman" w:hAnsi="Times New Roman"/>
          <w:color w:val="000000" w:themeColor="text1"/>
          <w:sz w:val="16"/>
          <w:szCs w:val="16"/>
        </w:rPr>
        <w:softHyphen/>
        <w:t>бег— 435 м; пробег — 465 м. При сравнении Ил-8 с самолетами Ил-10 и Су-6 отмечалось, что «восьмерка» при худших скоростных данных, манев</w:t>
      </w:r>
      <w:r w:rsidRPr="00070ADE">
        <w:rPr>
          <w:rFonts w:ascii="Times New Roman" w:hAnsi="Times New Roman"/>
          <w:color w:val="000000" w:themeColor="text1"/>
          <w:sz w:val="16"/>
          <w:szCs w:val="16"/>
        </w:rPr>
        <w:softHyphen/>
        <w:t>ренности и скороподъемности имеет су</w:t>
      </w:r>
      <w:r w:rsidRPr="00070ADE">
        <w:rPr>
          <w:rFonts w:ascii="Times New Roman" w:hAnsi="Times New Roman"/>
          <w:color w:val="000000" w:themeColor="text1"/>
          <w:sz w:val="16"/>
          <w:szCs w:val="16"/>
        </w:rPr>
        <w:softHyphen/>
        <w:t>щественное преимущество при исполь</w:t>
      </w:r>
      <w:r w:rsidRPr="00070ADE">
        <w:rPr>
          <w:rFonts w:ascii="Times New Roman" w:hAnsi="Times New Roman"/>
          <w:color w:val="000000" w:themeColor="text1"/>
          <w:sz w:val="16"/>
          <w:szCs w:val="16"/>
        </w:rPr>
        <w:softHyphen/>
        <w:t>зовании ее в качестве бронированного бомбардировщика. Максимальная бом</w:t>
      </w:r>
      <w:r w:rsidRPr="00070ADE">
        <w:rPr>
          <w:rFonts w:ascii="Times New Roman" w:hAnsi="Times New Roman"/>
          <w:color w:val="000000" w:themeColor="text1"/>
          <w:sz w:val="16"/>
          <w:szCs w:val="16"/>
        </w:rPr>
        <w:softHyphen/>
        <w:t>бовая нагрузка у этого самолета дости</w:t>
      </w:r>
      <w:r w:rsidRPr="00070ADE">
        <w:rPr>
          <w:rFonts w:ascii="Times New Roman" w:hAnsi="Times New Roman"/>
          <w:color w:val="000000" w:themeColor="text1"/>
          <w:sz w:val="16"/>
          <w:szCs w:val="16"/>
        </w:rPr>
        <w:softHyphen/>
        <w:t>гала 1000 кг (при подвеске под крылья</w:t>
      </w:r>
      <w:r w:rsidRPr="00070ADE">
        <w:rPr>
          <w:rFonts w:ascii="Times New Roman" w:hAnsi="Times New Roman"/>
          <w:color w:val="000000" w:themeColor="text1"/>
          <w:sz w:val="16"/>
          <w:szCs w:val="16"/>
        </w:rPr>
        <w:softHyphen/>
        <w:t>ми двух бомб ФАБ-500). В то же время ограниченный обзор из второй кабины почти полностью исключал точное бом</w:t>
      </w:r>
      <w:r w:rsidRPr="00070ADE">
        <w:rPr>
          <w:rFonts w:ascii="Times New Roman" w:hAnsi="Times New Roman"/>
          <w:color w:val="000000" w:themeColor="text1"/>
          <w:sz w:val="16"/>
          <w:szCs w:val="16"/>
        </w:rPr>
        <w:softHyphen/>
        <w:t>бометание штурманом-стрелком, тогда как летчик «вследствие неудовлетвори</w:t>
      </w:r>
      <w:r w:rsidRPr="00070ADE">
        <w:rPr>
          <w:rFonts w:ascii="Times New Roman" w:hAnsi="Times New Roman"/>
          <w:color w:val="000000" w:themeColor="text1"/>
          <w:sz w:val="16"/>
          <w:szCs w:val="16"/>
        </w:rPr>
        <w:softHyphen/>
        <w:t>тельного качества прицельных уст</w:t>
      </w:r>
      <w:r w:rsidRPr="00070ADE">
        <w:rPr>
          <w:rFonts w:ascii="Times New Roman" w:hAnsi="Times New Roman"/>
          <w:color w:val="000000" w:themeColor="text1"/>
          <w:sz w:val="16"/>
          <w:szCs w:val="16"/>
        </w:rPr>
        <w:softHyphen/>
        <w:t>ройств» мог бомбить лишь по наитию. К достоинствам машины было отнесено применение пневмоэлектрической сис</w:t>
      </w:r>
      <w:r w:rsidRPr="00070ADE">
        <w:rPr>
          <w:rFonts w:ascii="Times New Roman" w:hAnsi="Times New Roman"/>
          <w:color w:val="000000" w:themeColor="text1"/>
          <w:sz w:val="16"/>
          <w:szCs w:val="16"/>
        </w:rPr>
        <w:softHyphen/>
        <w:t>темы управления огнем и перезарядки стрелково-пушечного вооружения. По технике пилотирования Ил-8 усту</w:t>
      </w:r>
      <w:r w:rsidRPr="00070ADE">
        <w:rPr>
          <w:rFonts w:ascii="Times New Roman" w:hAnsi="Times New Roman"/>
          <w:color w:val="000000" w:themeColor="text1"/>
          <w:sz w:val="16"/>
          <w:szCs w:val="16"/>
        </w:rPr>
        <w:softHyphen/>
        <w:t>пал своим конкурентам, но незначитель</w:t>
      </w:r>
      <w:r w:rsidRPr="00070ADE">
        <w:rPr>
          <w:rFonts w:ascii="Times New Roman" w:hAnsi="Times New Roman"/>
          <w:color w:val="000000" w:themeColor="text1"/>
          <w:sz w:val="16"/>
          <w:szCs w:val="16"/>
        </w:rPr>
        <w:softHyphen/>
        <w:t>но. Летчики НИИ ВВС в отчете по испы</w:t>
      </w:r>
      <w:r w:rsidRPr="00070ADE">
        <w:rPr>
          <w:rFonts w:ascii="Times New Roman" w:hAnsi="Times New Roman"/>
          <w:color w:val="000000" w:themeColor="text1"/>
          <w:sz w:val="16"/>
          <w:szCs w:val="16"/>
        </w:rPr>
        <w:softHyphen/>
        <w:t>таниям отмечали, что самолет обладает хорошей продольной устойчивостью и управляемостью, а это, в свою очередь, упростило технику пилотирования, осо</w:t>
      </w:r>
      <w:r w:rsidRPr="00070ADE">
        <w:rPr>
          <w:rFonts w:ascii="Times New Roman" w:hAnsi="Times New Roman"/>
          <w:color w:val="000000" w:themeColor="text1"/>
          <w:sz w:val="16"/>
          <w:szCs w:val="16"/>
        </w:rPr>
        <w:softHyphen/>
        <w:t>бенно на виражах и в бреющем полете. Но в целом маневренность в вертикаль</w:t>
      </w:r>
      <w:r w:rsidRPr="00070ADE">
        <w:rPr>
          <w:rFonts w:ascii="Times New Roman" w:hAnsi="Times New Roman"/>
          <w:color w:val="000000" w:themeColor="text1"/>
          <w:sz w:val="16"/>
          <w:szCs w:val="16"/>
        </w:rPr>
        <w:softHyphen/>
        <w:t>ной и горизонтальной плоскостях была признана недостаточной для успешных боевых действий в условиях насыщения переднего края обороны противника вой</w:t>
      </w:r>
      <w:r w:rsidRPr="00070ADE">
        <w:rPr>
          <w:rFonts w:ascii="Times New Roman" w:hAnsi="Times New Roman"/>
          <w:color w:val="000000" w:themeColor="text1"/>
          <w:sz w:val="16"/>
          <w:szCs w:val="16"/>
        </w:rPr>
        <w:softHyphen/>
        <w:t>сковыми средствами ПВО. При одинако-вой боевой нагрузке 600 кг взлетный вес Ил-8 получился на 1000 кг больше, чем у Су-6 с АМ-42, то есть весовая отдача самолета была существенно ниже. Су-6 же по этому показателю превосходил и Ил-10, взлетный вес которого с 600 кг бомб составлял 6500 кг, на 300 кг пре</w:t>
      </w:r>
      <w:r w:rsidRPr="00070ADE">
        <w:rPr>
          <w:rFonts w:ascii="Times New Roman" w:hAnsi="Times New Roman"/>
          <w:color w:val="000000" w:themeColor="text1"/>
          <w:sz w:val="16"/>
          <w:szCs w:val="16"/>
        </w:rPr>
        <w:softHyphen/>
        <w:t>вышая вес машины Сухого. Дальность полета на высоте 1000 м при скорости 308 км/ч у Ил-8 составля</w:t>
      </w:r>
      <w:r w:rsidRPr="00070ADE">
        <w:rPr>
          <w:rFonts w:ascii="Times New Roman" w:hAnsi="Times New Roman"/>
          <w:color w:val="000000" w:themeColor="text1"/>
          <w:sz w:val="16"/>
          <w:szCs w:val="16"/>
        </w:rPr>
        <w:softHyphen/>
        <w:t>ла 990 км, у Су-6 (при 340 км/ч) —850 км, а у Ил-10 (при 330 км/ч) —790 км. Обратите внимание на то, что скорость полета у Су-6 при определении дально</w:t>
      </w:r>
      <w:r w:rsidRPr="00070ADE">
        <w:rPr>
          <w:rFonts w:ascii="Times New Roman" w:hAnsi="Times New Roman"/>
          <w:color w:val="000000" w:themeColor="text1"/>
          <w:sz w:val="16"/>
          <w:szCs w:val="16"/>
        </w:rPr>
        <w:softHyphen/>
        <w:t>сти была несколько выше, чем у его конкурентов. Это означало, что характе</w:t>
      </w:r>
      <w:r w:rsidRPr="00070ADE">
        <w:rPr>
          <w:rFonts w:ascii="Times New Roman" w:hAnsi="Times New Roman"/>
          <w:color w:val="000000" w:themeColor="text1"/>
          <w:sz w:val="16"/>
          <w:szCs w:val="16"/>
        </w:rPr>
        <w:softHyphen/>
        <w:t>ристики дальности снимали не на наи</w:t>
      </w:r>
      <w:r w:rsidRPr="00070ADE">
        <w:rPr>
          <w:rFonts w:ascii="Times New Roman" w:hAnsi="Times New Roman"/>
          <w:color w:val="000000" w:themeColor="text1"/>
          <w:sz w:val="16"/>
          <w:szCs w:val="16"/>
        </w:rPr>
        <w:softHyphen/>
        <w:t>более экономичном режиме работы мо</w:t>
      </w:r>
      <w:r w:rsidRPr="00070ADE">
        <w:rPr>
          <w:rFonts w:ascii="Times New Roman" w:hAnsi="Times New Roman"/>
          <w:color w:val="000000" w:themeColor="text1"/>
          <w:sz w:val="16"/>
          <w:szCs w:val="16"/>
        </w:rPr>
        <w:softHyphen/>
        <w:t>тора. Кроме того, установленный на Су-6 двигатель имел невыгодную регулировку с точки зрения расхода топ</w:t>
      </w:r>
      <w:r w:rsidRPr="00070ADE">
        <w:rPr>
          <w:rFonts w:ascii="Times New Roman" w:hAnsi="Times New Roman"/>
          <w:color w:val="000000" w:themeColor="text1"/>
          <w:sz w:val="16"/>
          <w:szCs w:val="16"/>
        </w:rPr>
        <w:softHyphen/>
        <w:t>лива: топливная смесь была переобога</w:t>
      </w:r>
      <w:r w:rsidRPr="00070ADE">
        <w:rPr>
          <w:rFonts w:ascii="Times New Roman" w:hAnsi="Times New Roman"/>
          <w:color w:val="000000" w:themeColor="text1"/>
          <w:sz w:val="16"/>
          <w:szCs w:val="16"/>
        </w:rPr>
        <w:softHyphen/>
        <w:t>щенной. С «нормальным» мотором результаты по дальности полета получи</w:t>
      </w:r>
      <w:r w:rsidRPr="00070ADE">
        <w:rPr>
          <w:rFonts w:ascii="Times New Roman" w:hAnsi="Times New Roman"/>
          <w:color w:val="000000" w:themeColor="text1"/>
          <w:sz w:val="16"/>
          <w:szCs w:val="16"/>
        </w:rPr>
        <w:softHyphen/>
        <w:t>лись бы выше — практически одинако</w:t>
      </w:r>
      <w:r w:rsidRPr="00070ADE">
        <w:rPr>
          <w:rFonts w:ascii="Times New Roman" w:hAnsi="Times New Roman"/>
          <w:color w:val="000000" w:themeColor="text1"/>
          <w:sz w:val="16"/>
          <w:szCs w:val="16"/>
        </w:rPr>
        <w:softHyphen/>
        <w:t xml:space="preserve">выми с Ил-8, но несколько ниже, чем у Ил-10. </w:t>
      </w:r>
      <w:r w:rsidRPr="00070ADE">
        <w:rPr>
          <w:rFonts w:ascii="Times New Roman" w:hAnsi="Times New Roman"/>
          <w:color w:val="000000" w:themeColor="text1"/>
          <w:sz w:val="16"/>
          <w:szCs w:val="16"/>
        </w:rPr>
        <w:lastRenderedPageBreak/>
        <w:t>Сравнение летных свойств Су-6 и Ил-10 оказалось не в пользу первого. По большинству определяющих харак</w:t>
      </w:r>
      <w:r w:rsidRPr="00070ADE">
        <w:rPr>
          <w:rFonts w:ascii="Times New Roman" w:hAnsi="Times New Roman"/>
          <w:color w:val="000000" w:themeColor="text1"/>
          <w:sz w:val="16"/>
          <w:szCs w:val="16"/>
        </w:rPr>
        <w:softHyphen/>
        <w:t>теристик «сухой» уступал «десятке». При полетном весе 6300 кг Ил-10 превос</w:t>
      </w:r>
      <w:r w:rsidRPr="00070ADE">
        <w:rPr>
          <w:rFonts w:ascii="Times New Roman" w:hAnsi="Times New Roman"/>
          <w:color w:val="000000" w:themeColor="text1"/>
          <w:sz w:val="16"/>
          <w:szCs w:val="16"/>
        </w:rPr>
        <w:softHyphen/>
        <w:t>ходил Су-6 с полетным весом 6200 кг по горизонтальной скорости почти на всех высотах боевого применения на 10 — 20 км/ч (в зависимости от типа вооружения Су-6 — пушками НС-37 или ВЯ-23). По скороподъемности на «рабочих» высотах Су-6 также проиг</w:t>
      </w:r>
      <w:r w:rsidRPr="00070ADE">
        <w:rPr>
          <w:rFonts w:ascii="Times New Roman" w:hAnsi="Times New Roman"/>
          <w:color w:val="000000" w:themeColor="text1"/>
          <w:sz w:val="16"/>
          <w:szCs w:val="16"/>
        </w:rPr>
        <w:softHyphen/>
        <w:t>рывал «десятке», хотя и незначитель</w:t>
      </w:r>
      <w:r w:rsidRPr="00070ADE">
        <w:rPr>
          <w:rFonts w:ascii="Times New Roman" w:hAnsi="Times New Roman"/>
          <w:color w:val="000000" w:themeColor="text1"/>
          <w:sz w:val="16"/>
          <w:szCs w:val="16"/>
        </w:rPr>
        <w:softHyphen/>
        <w:t>но. Маневренность самолетов в гори</w:t>
      </w:r>
      <w:r w:rsidRPr="00070ADE">
        <w:rPr>
          <w:rFonts w:ascii="Times New Roman" w:hAnsi="Times New Roman"/>
          <w:color w:val="000000" w:themeColor="text1"/>
          <w:sz w:val="16"/>
          <w:szCs w:val="16"/>
        </w:rPr>
        <w:softHyphen/>
        <w:t>зонтальной плоскости оценивалась примерно равной, но Ил-10 имел не</w:t>
      </w:r>
      <w:r w:rsidRPr="00070ADE">
        <w:rPr>
          <w:rFonts w:ascii="Times New Roman" w:hAnsi="Times New Roman"/>
          <w:color w:val="000000" w:themeColor="text1"/>
          <w:sz w:val="16"/>
          <w:szCs w:val="16"/>
        </w:rPr>
        <w:softHyphen/>
        <w:t>большое преимущество из-за несколь</w:t>
      </w:r>
      <w:r w:rsidRPr="00070ADE">
        <w:rPr>
          <w:rFonts w:ascii="Times New Roman" w:hAnsi="Times New Roman"/>
          <w:color w:val="000000" w:themeColor="text1"/>
          <w:sz w:val="16"/>
          <w:szCs w:val="16"/>
        </w:rPr>
        <w:softHyphen/>
        <w:t>ко меньшей нагрузки на крыло. Испытатель А.И. Кабанов отмечал, что Ил-10 более приятен и прост в технике пилотирования, чем «сухой», а главное — проще в управлении на взлете и посад</w:t>
      </w:r>
      <w:r w:rsidRPr="00070ADE">
        <w:rPr>
          <w:rFonts w:ascii="Times New Roman" w:hAnsi="Times New Roman"/>
          <w:color w:val="000000" w:themeColor="text1"/>
          <w:sz w:val="16"/>
          <w:szCs w:val="16"/>
        </w:rPr>
        <w:softHyphen/>
        <w:t>ке. По мнению летчика А.В. Синельни</w:t>
      </w:r>
      <w:r w:rsidRPr="00070ADE">
        <w:rPr>
          <w:rFonts w:ascii="Times New Roman" w:hAnsi="Times New Roman"/>
          <w:color w:val="000000" w:themeColor="text1"/>
          <w:sz w:val="16"/>
          <w:szCs w:val="16"/>
        </w:rPr>
        <w:softHyphen/>
        <w:t>кова, Су-6 по сравнению с Ил-10 имел худшую управляемость и обладал более низкими летными данными. Штурман А.К. Долгов указывал, что кабина стрел</w:t>
      </w:r>
      <w:r w:rsidRPr="00070ADE">
        <w:rPr>
          <w:rFonts w:ascii="Times New Roman" w:hAnsi="Times New Roman"/>
          <w:color w:val="000000" w:themeColor="text1"/>
          <w:sz w:val="16"/>
          <w:szCs w:val="16"/>
        </w:rPr>
        <w:softHyphen/>
        <w:t>ка на Су-6 — лучшая из всех сравнивае</w:t>
      </w:r>
      <w:r w:rsidRPr="00070ADE">
        <w:rPr>
          <w:rFonts w:ascii="Times New Roman" w:hAnsi="Times New Roman"/>
          <w:color w:val="000000" w:themeColor="text1"/>
          <w:sz w:val="16"/>
          <w:szCs w:val="16"/>
        </w:rPr>
        <w:softHyphen/>
        <w:t>мых самолетов, однако строить штурмо</w:t>
      </w:r>
      <w:r w:rsidRPr="00070ADE">
        <w:rPr>
          <w:rFonts w:ascii="Times New Roman" w:hAnsi="Times New Roman"/>
          <w:color w:val="000000" w:themeColor="text1"/>
          <w:sz w:val="16"/>
          <w:szCs w:val="16"/>
        </w:rPr>
        <w:softHyphen/>
        <w:t>вик Сухого считал нецелесообразным. В заключении отчета был сделан вы</w:t>
      </w:r>
      <w:r w:rsidRPr="00070ADE">
        <w:rPr>
          <w:rFonts w:ascii="Times New Roman" w:hAnsi="Times New Roman"/>
          <w:color w:val="000000" w:themeColor="text1"/>
          <w:sz w:val="16"/>
          <w:szCs w:val="16"/>
        </w:rPr>
        <w:softHyphen/>
        <w:t>вод, что по своим летным данным, тех</w:t>
      </w:r>
      <w:r w:rsidRPr="00070ADE">
        <w:rPr>
          <w:rFonts w:ascii="Times New Roman" w:hAnsi="Times New Roman"/>
          <w:color w:val="000000" w:themeColor="text1"/>
          <w:sz w:val="16"/>
          <w:szCs w:val="16"/>
        </w:rPr>
        <w:softHyphen/>
        <w:t>нике пилотирования и управляемости Су-6 уступает Ил-10, в связи с чем за</w:t>
      </w:r>
      <w:r w:rsidRPr="00070ADE">
        <w:rPr>
          <w:rFonts w:ascii="Times New Roman" w:hAnsi="Times New Roman"/>
          <w:color w:val="000000" w:themeColor="text1"/>
          <w:sz w:val="16"/>
          <w:szCs w:val="16"/>
        </w:rPr>
        <w:softHyphen/>
        <w:t>пуск «сухого» в серийное производство сочли ненужным. В отличие от Су-6 с мо</w:t>
      </w:r>
      <w:r w:rsidRPr="00070ADE">
        <w:rPr>
          <w:rFonts w:ascii="Times New Roman" w:hAnsi="Times New Roman"/>
          <w:color w:val="000000" w:themeColor="text1"/>
          <w:sz w:val="16"/>
          <w:szCs w:val="16"/>
        </w:rPr>
        <w:softHyphen/>
        <w:t>тором М-71Ф на машине с АМ-42 отсут</w:t>
      </w:r>
      <w:r w:rsidRPr="00070ADE">
        <w:rPr>
          <w:rFonts w:ascii="Times New Roman" w:hAnsi="Times New Roman"/>
          <w:color w:val="000000" w:themeColor="text1"/>
          <w:sz w:val="16"/>
          <w:szCs w:val="16"/>
        </w:rPr>
        <w:softHyphen/>
        <w:t>ствовали автоматические предкрылки. Видимо, для упрощения производства и экономии времени, а также веса конст</w:t>
      </w:r>
      <w:r w:rsidRPr="00070ADE">
        <w:rPr>
          <w:rFonts w:ascii="Times New Roman" w:hAnsi="Times New Roman"/>
          <w:color w:val="000000" w:themeColor="text1"/>
          <w:sz w:val="16"/>
          <w:szCs w:val="16"/>
        </w:rPr>
        <w:softHyphen/>
        <w:t>рукции крыла, решили ограничиться ус</w:t>
      </w:r>
      <w:r w:rsidRPr="00070ADE">
        <w:rPr>
          <w:rFonts w:ascii="Times New Roman" w:hAnsi="Times New Roman"/>
          <w:color w:val="000000" w:themeColor="text1"/>
          <w:sz w:val="16"/>
          <w:szCs w:val="16"/>
        </w:rPr>
        <w:softHyphen/>
        <w:t>тановкой на нем только щитков Шренка. Учитывая, что ни Ил-8, ни Ил-10 авто-матическими предкрылками не оснаща</w:t>
      </w:r>
      <w:r w:rsidRPr="00070ADE">
        <w:rPr>
          <w:rFonts w:ascii="Times New Roman" w:hAnsi="Times New Roman"/>
          <w:color w:val="000000" w:themeColor="text1"/>
          <w:sz w:val="16"/>
          <w:szCs w:val="16"/>
        </w:rPr>
        <w:softHyphen/>
        <w:t>лись, это был явный «шаг назад», так как серьезно уменьшал главное преимуще</w:t>
      </w:r>
      <w:r w:rsidRPr="00070ADE">
        <w:rPr>
          <w:rFonts w:ascii="Times New Roman" w:hAnsi="Times New Roman"/>
          <w:color w:val="000000" w:themeColor="text1"/>
          <w:sz w:val="16"/>
          <w:szCs w:val="16"/>
        </w:rPr>
        <w:softHyphen/>
        <w:t>ство Су-6 — отличные маневренность и управляемость на больших углах атаки. Это и произошло. При сопоставимых в целом летных данных преимущество Су-6 в управляемости и устойчивости было утеряно. Стоит указать и на некоторую не</w:t>
      </w:r>
      <w:r w:rsidRPr="00070ADE">
        <w:rPr>
          <w:rFonts w:ascii="Times New Roman" w:hAnsi="Times New Roman"/>
          <w:color w:val="000000" w:themeColor="text1"/>
          <w:sz w:val="16"/>
          <w:szCs w:val="16"/>
        </w:rPr>
        <w:softHyphen/>
        <w:t>корректность проведенного в НИИ ВВС сравнения летных данных. Ведь факти</w:t>
      </w:r>
      <w:r w:rsidRPr="00070ADE">
        <w:rPr>
          <w:rFonts w:ascii="Times New Roman" w:hAnsi="Times New Roman"/>
          <w:color w:val="000000" w:themeColor="text1"/>
          <w:sz w:val="16"/>
          <w:szCs w:val="16"/>
        </w:rPr>
        <w:softHyphen/>
        <w:t>чески рассматривались машины разно</w:t>
      </w:r>
      <w:r w:rsidRPr="00070ADE">
        <w:rPr>
          <w:rFonts w:ascii="Times New Roman" w:hAnsi="Times New Roman"/>
          <w:color w:val="000000" w:themeColor="text1"/>
          <w:sz w:val="16"/>
          <w:szCs w:val="16"/>
        </w:rPr>
        <w:softHyphen/>
        <w:t>го класса: сильно бронированный мно</w:t>
      </w:r>
      <w:r w:rsidRPr="00070ADE">
        <w:rPr>
          <w:rFonts w:ascii="Times New Roman" w:hAnsi="Times New Roman"/>
          <w:color w:val="000000" w:themeColor="text1"/>
          <w:sz w:val="16"/>
          <w:szCs w:val="16"/>
        </w:rPr>
        <w:softHyphen/>
        <w:t>гоцелевой штурмовик-бомбардировщик и легкий самолет-штурмовик. При этом в отношении Су-6 была сделана попыт</w:t>
      </w:r>
      <w:r w:rsidRPr="00070ADE">
        <w:rPr>
          <w:rFonts w:ascii="Times New Roman" w:hAnsi="Times New Roman"/>
          <w:color w:val="000000" w:themeColor="text1"/>
          <w:sz w:val="16"/>
          <w:szCs w:val="16"/>
        </w:rPr>
        <w:softHyphen/>
        <w:t>ка подтянуть его вооружение до уровня, сопоставимого с Ил-8. На протяжении всего периода испытаний «сухой» летал с максимальной бомбовой нагрузкой — 600 кг (вариант с ВЯ-23) и 400 кг (вари</w:t>
      </w:r>
      <w:r w:rsidRPr="00070ADE">
        <w:rPr>
          <w:rFonts w:ascii="Times New Roman" w:hAnsi="Times New Roman"/>
          <w:color w:val="000000" w:themeColor="text1"/>
          <w:sz w:val="16"/>
          <w:szCs w:val="16"/>
        </w:rPr>
        <w:softHyphen/>
        <w:t>ант с НС-37). Ил-8 и Ил-10 испытывались в нормальном варианте загрузки — 600 кг и 400 кг бомб соответственно. При этом удельные показатели Су-6, главным образом нагрузка на крыло и нагрузка на мощность, были ниже расчетных значе</w:t>
      </w:r>
      <w:r w:rsidRPr="00070ADE">
        <w:rPr>
          <w:rFonts w:ascii="Times New Roman" w:hAnsi="Times New Roman"/>
          <w:color w:val="000000" w:themeColor="text1"/>
          <w:sz w:val="16"/>
          <w:szCs w:val="16"/>
        </w:rPr>
        <w:softHyphen/>
        <w:t>ний, поэтому фактически полученные летные характеристики (скорость, управ</w:t>
      </w:r>
      <w:r w:rsidRPr="00070ADE">
        <w:rPr>
          <w:rFonts w:ascii="Times New Roman" w:hAnsi="Times New Roman"/>
          <w:color w:val="000000" w:themeColor="text1"/>
          <w:sz w:val="16"/>
          <w:szCs w:val="16"/>
        </w:rPr>
        <w:softHyphen/>
        <w:t>ляемость, горизонтальная и вертикаль</w:t>
      </w:r>
      <w:r w:rsidRPr="00070ADE">
        <w:rPr>
          <w:rFonts w:ascii="Times New Roman" w:hAnsi="Times New Roman"/>
          <w:color w:val="000000" w:themeColor="text1"/>
          <w:sz w:val="16"/>
          <w:szCs w:val="16"/>
        </w:rPr>
        <w:softHyphen/>
        <w:t>ная маневренность) были хуже расчет</w:t>
      </w:r>
      <w:r w:rsidRPr="00070ADE">
        <w:rPr>
          <w:rFonts w:ascii="Times New Roman" w:hAnsi="Times New Roman"/>
          <w:color w:val="000000" w:themeColor="text1"/>
          <w:sz w:val="16"/>
          <w:szCs w:val="16"/>
        </w:rPr>
        <w:softHyphen/>
        <w:t>ных. У его конкурентов удельные пока</w:t>
      </w:r>
      <w:r w:rsidRPr="00070ADE">
        <w:rPr>
          <w:rFonts w:ascii="Times New Roman" w:hAnsi="Times New Roman"/>
          <w:color w:val="000000" w:themeColor="text1"/>
          <w:sz w:val="16"/>
          <w:szCs w:val="16"/>
        </w:rPr>
        <w:softHyphen/>
        <w:t>затели соответствовали расчетным значениям, и на испытаниях они могли продемонстрировать все, на что были способны. При нормальной бомбовой нагрузке характеристики Су-6 заметно повыша</w:t>
      </w:r>
      <w:r w:rsidRPr="00070ADE">
        <w:rPr>
          <w:rFonts w:ascii="Times New Roman" w:hAnsi="Times New Roman"/>
          <w:color w:val="000000" w:themeColor="text1"/>
          <w:sz w:val="16"/>
          <w:szCs w:val="16"/>
        </w:rPr>
        <w:softHyphen/>
        <w:t>лись: нагрузка на крыло — 209,8 кг/м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 на мощность — 3,0 кг/л.с. При этом улучша</w:t>
      </w:r>
      <w:r w:rsidRPr="00070ADE">
        <w:rPr>
          <w:rFonts w:ascii="Times New Roman" w:hAnsi="Times New Roman"/>
          <w:color w:val="000000" w:themeColor="text1"/>
          <w:sz w:val="16"/>
          <w:szCs w:val="16"/>
        </w:rPr>
        <w:softHyphen/>
        <w:t>лась управляемость на всех режимах полета (взлет, посадка, боевое маневри</w:t>
      </w:r>
      <w:r w:rsidRPr="00070ADE">
        <w:rPr>
          <w:rFonts w:ascii="Times New Roman" w:hAnsi="Times New Roman"/>
          <w:color w:val="000000" w:themeColor="text1"/>
          <w:sz w:val="16"/>
          <w:szCs w:val="16"/>
        </w:rPr>
        <w:softHyphen/>
        <w:t>рование). А если «нагрузить» Ил-10 до отказа (600 кг), то сравнение с Су-6 шло уже не в пользу первого — вертикальная и горизонтальная маневренность стано</w:t>
      </w:r>
      <w:r w:rsidRPr="00070ADE">
        <w:rPr>
          <w:rFonts w:ascii="Times New Roman" w:hAnsi="Times New Roman"/>
          <w:color w:val="000000" w:themeColor="text1"/>
          <w:sz w:val="16"/>
          <w:szCs w:val="16"/>
        </w:rPr>
        <w:softHyphen/>
        <w:t>вилась хуже, равно как и управляемость. Усложнялась техника пилотирования, особенно на больших углах атаки. В дальнейшем при принятии решения о постановке самолета Ил-10 на вооруже</w:t>
      </w:r>
      <w:r w:rsidRPr="00070ADE">
        <w:rPr>
          <w:rFonts w:ascii="Times New Roman" w:hAnsi="Times New Roman"/>
          <w:color w:val="000000" w:themeColor="text1"/>
          <w:sz w:val="16"/>
          <w:szCs w:val="16"/>
        </w:rPr>
        <w:softHyphen/>
        <w:t>ние было особо оговорено ограничение взлетного веса, который не должен был превышать 6300 кг. Остается только догадывать</w:t>
      </w:r>
      <w:r w:rsidRPr="00070ADE">
        <w:rPr>
          <w:rFonts w:ascii="Times New Roman" w:hAnsi="Times New Roman"/>
          <w:color w:val="000000" w:themeColor="text1"/>
          <w:sz w:val="16"/>
          <w:szCs w:val="16"/>
        </w:rPr>
        <w:softHyphen/>
        <w:t>ся, по каким причинам Су-6 с мотором АМ-42 предъявили на государственные испытания в варианте с максимальной бомбовой нагрузкой. Была ли это ошиб</w:t>
      </w:r>
      <w:r w:rsidRPr="00070ADE">
        <w:rPr>
          <w:rFonts w:ascii="Times New Roman" w:hAnsi="Times New Roman"/>
          <w:color w:val="000000" w:themeColor="text1"/>
          <w:sz w:val="16"/>
          <w:szCs w:val="16"/>
        </w:rPr>
        <w:softHyphen/>
        <w:t>ка Сухого, пожелавшего посоревновать</w:t>
      </w:r>
      <w:r w:rsidRPr="00070ADE">
        <w:rPr>
          <w:rFonts w:ascii="Times New Roman" w:hAnsi="Times New Roman"/>
          <w:color w:val="000000" w:themeColor="text1"/>
          <w:sz w:val="16"/>
          <w:szCs w:val="16"/>
        </w:rPr>
        <w:softHyphen/>
        <w:t>ся слетающим «броненосцем» Ильюши</w:t>
      </w:r>
      <w:r w:rsidRPr="00070ADE">
        <w:rPr>
          <w:rFonts w:ascii="Times New Roman" w:hAnsi="Times New Roman"/>
          <w:color w:val="000000" w:themeColor="text1"/>
          <w:sz w:val="16"/>
          <w:szCs w:val="16"/>
        </w:rPr>
        <w:softHyphen/>
        <w:t>на, или же поступила соответствующая директива наркомата... Удивляет другое, почему специалисты НИИ ВВС не обра</w:t>
      </w:r>
      <w:r w:rsidRPr="00070ADE">
        <w:rPr>
          <w:rFonts w:ascii="Times New Roman" w:hAnsi="Times New Roman"/>
          <w:color w:val="000000" w:themeColor="text1"/>
          <w:sz w:val="16"/>
          <w:szCs w:val="16"/>
        </w:rPr>
        <w:softHyphen/>
        <w:t>тили внимания на разницу боевых нагру</w:t>
      </w:r>
      <w:r w:rsidRPr="00070ADE">
        <w:rPr>
          <w:rFonts w:ascii="Times New Roman" w:hAnsi="Times New Roman"/>
          <w:color w:val="000000" w:themeColor="text1"/>
          <w:sz w:val="16"/>
          <w:szCs w:val="16"/>
        </w:rPr>
        <w:softHyphen/>
        <w:t>зок и не провели дополнительные испы</w:t>
      </w:r>
      <w:r w:rsidRPr="00070ADE">
        <w:rPr>
          <w:rFonts w:ascii="Times New Roman" w:hAnsi="Times New Roman"/>
          <w:color w:val="000000" w:themeColor="text1"/>
          <w:sz w:val="16"/>
          <w:szCs w:val="16"/>
        </w:rPr>
        <w:softHyphen/>
        <w:t>тания Су-6. Возможно, выводы отлича</w:t>
      </w:r>
      <w:r w:rsidRPr="00070ADE">
        <w:rPr>
          <w:rFonts w:ascii="Times New Roman" w:hAnsi="Times New Roman"/>
          <w:color w:val="000000" w:themeColor="text1"/>
          <w:sz w:val="16"/>
          <w:szCs w:val="16"/>
        </w:rPr>
        <w:softHyphen/>
        <w:t>лись бы от тех, что появились в итоговом заключении. Не обратили внимание военные и на имеющийся у Су-6 очевидный резерв повышения летных и маневренных ка</w:t>
      </w:r>
      <w:r w:rsidRPr="00070ADE">
        <w:rPr>
          <w:rFonts w:ascii="Times New Roman" w:hAnsi="Times New Roman"/>
          <w:color w:val="000000" w:themeColor="text1"/>
          <w:sz w:val="16"/>
          <w:szCs w:val="16"/>
        </w:rPr>
        <w:softHyphen/>
        <w:t>честв. Распределение толщины брони бронекорпуса «сухого» было выбрано далеко не самым оптимальным образом. Нет в документе и серьезного анализа боевых свойств Ил-10 и Су-6 и их воору</w:t>
      </w:r>
      <w:r w:rsidRPr="00070ADE">
        <w:rPr>
          <w:rFonts w:ascii="Times New Roman" w:hAnsi="Times New Roman"/>
          <w:color w:val="000000" w:themeColor="text1"/>
          <w:sz w:val="16"/>
          <w:szCs w:val="16"/>
        </w:rPr>
        <w:softHyphen/>
        <w:t>жения. Если его провести задним чис</w:t>
      </w:r>
      <w:r w:rsidRPr="00070ADE">
        <w:rPr>
          <w:rFonts w:ascii="Times New Roman" w:hAnsi="Times New Roman"/>
          <w:color w:val="000000" w:themeColor="text1"/>
          <w:sz w:val="16"/>
          <w:szCs w:val="16"/>
        </w:rPr>
        <w:softHyphen/>
        <w:t>лом, то оказывается, что вооружение Су-6 в большей степени соответствовало задачам непосредственной поддержки войск и распределению типовых назем</w:t>
      </w:r>
      <w:r w:rsidRPr="00070ADE">
        <w:rPr>
          <w:rFonts w:ascii="Times New Roman" w:hAnsi="Times New Roman"/>
          <w:color w:val="000000" w:themeColor="text1"/>
          <w:sz w:val="16"/>
          <w:szCs w:val="16"/>
        </w:rPr>
        <w:softHyphen/>
        <w:t>ных целей, против которых приходилось действовать штурмовой авиации в ходе войны. Единственным достоинством опытно</w:t>
      </w:r>
      <w:r w:rsidRPr="00070ADE">
        <w:rPr>
          <w:rFonts w:ascii="Times New Roman" w:hAnsi="Times New Roman"/>
          <w:color w:val="000000" w:themeColor="text1"/>
          <w:sz w:val="16"/>
          <w:szCs w:val="16"/>
        </w:rPr>
        <w:softHyphen/>
        <w:t>го образца Ил-10 в этом отношении яв</w:t>
      </w:r>
      <w:r w:rsidRPr="00070ADE">
        <w:rPr>
          <w:rFonts w:ascii="Times New Roman" w:hAnsi="Times New Roman"/>
          <w:color w:val="000000" w:themeColor="text1"/>
          <w:sz w:val="16"/>
          <w:szCs w:val="16"/>
        </w:rPr>
        <w:softHyphen/>
        <w:t>ляется наличие у него оборонительной стрелковой установки ВУ-7 с 20-мм пуш</w:t>
      </w:r>
      <w:r w:rsidRPr="00070ADE">
        <w:rPr>
          <w:rFonts w:ascii="Times New Roman" w:hAnsi="Times New Roman"/>
          <w:color w:val="000000" w:themeColor="text1"/>
          <w:sz w:val="16"/>
          <w:szCs w:val="16"/>
        </w:rPr>
        <w:softHyphen/>
        <w:t>кой Ш-20, обеспечивавшей значительно большую эффективность при отражении атак истребителей противника, чем ус</w:t>
      </w:r>
      <w:r w:rsidRPr="00070ADE">
        <w:rPr>
          <w:rFonts w:ascii="Times New Roman" w:hAnsi="Times New Roman"/>
          <w:color w:val="000000" w:themeColor="text1"/>
          <w:sz w:val="16"/>
          <w:szCs w:val="16"/>
        </w:rPr>
        <w:softHyphen/>
        <w:t>тановки БЛУБ на Су-6 или ВУБ-3 на Ил-2 (с пулеметами УБТ), за счет более ши</w:t>
      </w:r>
      <w:r w:rsidRPr="00070ADE">
        <w:rPr>
          <w:rFonts w:ascii="Times New Roman" w:hAnsi="Times New Roman"/>
          <w:color w:val="000000" w:themeColor="text1"/>
          <w:sz w:val="16"/>
          <w:szCs w:val="16"/>
        </w:rPr>
        <w:softHyphen/>
        <w:t>рокого сектора стрельбы и большей мощности огня. Стрелково-пушечное вооружение «десятки» было таким же, как и у Ил-2 последних серий и Су-6 с пушками ВЯ-23, но уступало тому же Су-6 с НС-37. Бомбовое вооружение Ил-10 по сво</w:t>
      </w:r>
      <w:r w:rsidRPr="00070ADE">
        <w:rPr>
          <w:rFonts w:ascii="Times New Roman" w:hAnsi="Times New Roman"/>
          <w:color w:val="000000" w:themeColor="text1"/>
          <w:sz w:val="16"/>
          <w:szCs w:val="16"/>
        </w:rPr>
        <w:softHyphen/>
        <w:t>им возможностям уступало и Ил-2, и Су-6 с мотором АМ-42. Опыт войны пока</w:t>
      </w:r>
      <w:r w:rsidRPr="00070ADE">
        <w:rPr>
          <w:rFonts w:ascii="Times New Roman" w:hAnsi="Times New Roman"/>
          <w:color w:val="000000" w:themeColor="text1"/>
          <w:sz w:val="16"/>
          <w:szCs w:val="16"/>
        </w:rPr>
        <w:softHyphen/>
        <w:t>зал, что для поражения наиболее рас</w:t>
      </w:r>
      <w:r w:rsidRPr="00070ADE">
        <w:rPr>
          <w:rFonts w:ascii="Times New Roman" w:hAnsi="Times New Roman"/>
          <w:color w:val="000000" w:themeColor="text1"/>
          <w:sz w:val="16"/>
          <w:szCs w:val="16"/>
        </w:rPr>
        <w:softHyphen/>
        <w:t>пространенных целей (мотомехколонны, артиллерийские и минометные батареи на позициях, пехота, огневые точки, транспортные средства и легкоброниро</w:t>
      </w:r>
      <w:r w:rsidRPr="00070ADE">
        <w:rPr>
          <w:rFonts w:ascii="Times New Roman" w:hAnsi="Times New Roman"/>
          <w:color w:val="000000" w:themeColor="text1"/>
          <w:sz w:val="16"/>
          <w:szCs w:val="16"/>
        </w:rPr>
        <w:softHyphen/>
        <w:t>ванная техника) основными типами бомб являлись осколочные калибра 25 и 50 кг и фугасные калибра 50 кг, а также мелкие осколочные бомбы (в основном 2,5-кг). Для советских штурмовиков наи</w:t>
      </w:r>
      <w:r w:rsidRPr="00070ADE">
        <w:rPr>
          <w:rFonts w:ascii="Times New Roman" w:hAnsi="Times New Roman"/>
          <w:color w:val="000000" w:themeColor="text1"/>
          <w:sz w:val="16"/>
          <w:szCs w:val="16"/>
        </w:rPr>
        <w:softHyphen/>
        <w:t>более «ходовыми» были АО-2,5сч, АО-25сч, АО-25м, АО-50-100, ФАБ-50 и ФАБ-50м. Чтобы достичь большой веро</w:t>
      </w:r>
      <w:r w:rsidRPr="00070ADE">
        <w:rPr>
          <w:rFonts w:ascii="Times New Roman" w:hAnsi="Times New Roman"/>
          <w:color w:val="000000" w:themeColor="text1"/>
          <w:sz w:val="16"/>
          <w:szCs w:val="16"/>
        </w:rPr>
        <w:softHyphen/>
        <w:t>ятности попадания, самолет должен нести максимально большое количество бомб именно таких типов, сравнительно небольшого размера. А в «десятку» мелких бомб загружа</w:t>
      </w:r>
      <w:r w:rsidRPr="00070ADE">
        <w:rPr>
          <w:rFonts w:ascii="Times New Roman" w:hAnsi="Times New Roman"/>
          <w:color w:val="000000" w:themeColor="text1"/>
          <w:sz w:val="16"/>
          <w:szCs w:val="16"/>
        </w:rPr>
        <w:softHyphen/>
        <w:t>лось значительно меньше, чем в Су-6 или Ил-2. Последние несли больше АО-2,5сч —на 12%, ПТАБ-2,5-1,5 — на 50%, ПТАБ-10-2,5 — на 58%, АО-25сч — на 50%, ФАБ-50 — на 33%. Получалось, что для размещения полной бомбовой нагрузки в новом штурмовике Ильюши</w:t>
      </w:r>
      <w:r w:rsidRPr="00070ADE">
        <w:rPr>
          <w:rFonts w:ascii="Times New Roman" w:hAnsi="Times New Roman"/>
          <w:color w:val="000000" w:themeColor="text1"/>
          <w:sz w:val="16"/>
          <w:szCs w:val="16"/>
        </w:rPr>
        <w:softHyphen/>
        <w:t>на просто не хватало места. При снаря</w:t>
      </w:r>
      <w:r w:rsidRPr="00070ADE">
        <w:rPr>
          <w:rFonts w:ascii="Times New Roman" w:hAnsi="Times New Roman"/>
          <w:color w:val="000000" w:themeColor="text1"/>
          <w:sz w:val="16"/>
          <w:szCs w:val="16"/>
        </w:rPr>
        <w:softHyphen/>
        <w:t>жении самолета бомбами АО-25сч и ФАБ-50 недогруз от нормы доходил до 22% и 50% соответственно, а от макси</w:t>
      </w:r>
      <w:r w:rsidRPr="00070ADE">
        <w:rPr>
          <w:rFonts w:ascii="Times New Roman" w:hAnsi="Times New Roman"/>
          <w:color w:val="000000" w:themeColor="text1"/>
          <w:sz w:val="16"/>
          <w:szCs w:val="16"/>
        </w:rPr>
        <w:softHyphen/>
        <w:t>мального варианта—до 48% и 77%. В то же время, недогруз «сухого» от мак</w:t>
      </w:r>
      <w:r w:rsidRPr="00070ADE">
        <w:rPr>
          <w:rFonts w:ascii="Times New Roman" w:hAnsi="Times New Roman"/>
          <w:color w:val="000000" w:themeColor="text1"/>
          <w:sz w:val="16"/>
          <w:szCs w:val="16"/>
        </w:rPr>
        <w:softHyphen/>
        <w:t>симального варианта составлял для АО-25сч всего 23%, а для ФАБ-50 — 50%. При загрузке Ил-2 бомбами АО-25сч нор</w:t>
      </w:r>
      <w:r w:rsidRPr="00070ADE">
        <w:rPr>
          <w:rFonts w:ascii="Times New Roman" w:hAnsi="Times New Roman"/>
          <w:color w:val="000000" w:themeColor="text1"/>
          <w:sz w:val="16"/>
          <w:szCs w:val="16"/>
        </w:rPr>
        <w:softHyphen/>
        <w:t>мальная грузоподъемность использова</w:t>
      </w:r>
      <w:r w:rsidRPr="00070ADE">
        <w:rPr>
          <w:rFonts w:ascii="Times New Roman" w:hAnsi="Times New Roman"/>
          <w:color w:val="000000" w:themeColor="text1"/>
          <w:sz w:val="16"/>
          <w:szCs w:val="16"/>
        </w:rPr>
        <w:softHyphen/>
        <w:t>лась полностью, а при использовании ФАБ-50 — на 75%. Ил-10 мог взять 440 — 520 кг бомб АО-2,5сч, Су-6 — 520 — 590 кг, и даже уже устаревающий Ил-2—до 475 кг. Нормальная бомбовая нагрузка в 400 кг на Ил-10 обеспечивалась лишь при подвеске четырех бомб ФАБ-100. При использовании меньших калибров «десятка» оказывалась недогруженной даже до нормы варианта. При том, что Су-6 и Ил-2 поднимали по шесть «соток», доводя бомбовую нагрузку до макси</w:t>
      </w:r>
      <w:r w:rsidRPr="00070ADE">
        <w:rPr>
          <w:rFonts w:ascii="Times New Roman" w:hAnsi="Times New Roman"/>
          <w:color w:val="000000" w:themeColor="text1"/>
          <w:sz w:val="16"/>
          <w:szCs w:val="16"/>
        </w:rPr>
        <w:softHyphen/>
        <w:t>мально допустимой. Если к этому добавить, что на Ил-10 не предусматривалось ракетное воору</w:t>
      </w:r>
      <w:r w:rsidRPr="00070ADE">
        <w:rPr>
          <w:rFonts w:ascii="Times New Roman" w:hAnsi="Times New Roman"/>
          <w:color w:val="000000" w:themeColor="text1"/>
          <w:sz w:val="16"/>
          <w:szCs w:val="16"/>
        </w:rPr>
        <w:softHyphen/>
        <w:t>жение, то можно утверждать, что эффек</w:t>
      </w:r>
      <w:r w:rsidRPr="00070ADE">
        <w:rPr>
          <w:rFonts w:ascii="Times New Roman" w:hAnsi="Times New Roman"/>
          <w:color w:val="000000" w:themeColor="text1"/>
          <w:sz w:val="16"/>
          <w:szCs w:val="16"/>
        </w:rPr>
        <w:softHyphen/>
        <w:t>тивность «десятки» по поражению типо</w:t>
      </w:r>
      <w:r w:rsidRPr="00070ADE">
        <w:rPr>
          <w:rFonts w:ascii="Times New Roman" w:hAnsi="Times New Roman"/>
          <w:color w:val="000000" w:themeColor="text1"/>
          <w:sz w:val="16"/>
          <w:szCs w:val="16"/>
        </w:rPr>
        <w:softHyphen/>
        <w:t>вых наземных целей была даже ниже, чем у старого Ил-2 с мотором АМ-38Ф, имевшего четыре ракетных орудия РО-82, не говоря уже о Су-6 с АМ-42, на котором устанавливались шесть РО-132 или РО-82. Справедливости ради надо сказать, что в то время среди строевых летчиков и командного состава ВВС существовали прямо противоположные точки зрения на оснащение штурмовика ракетным вооружением. Одни считали, что реак</w:t>
      </w:r>
      <w:r w:rsidRPr="00070ADE">
        <w:rPr>
          <w:rFonts w:ascii="Times New Roman" w:hAnsi="Times New Roman"/>
          <w:color w:val="000000" w:themeColor="text1"/>
          <w:sz w:val="16"/>
          <w:szCs w:val="16"/>
        </w:rPr>
        <w:softHyphen/>
        <w:t>тивные снаряды всех типов неэффектив</w:t>
      </w:r>
      <w:r w:rsidRPr="00070ADE">
        <w:rPr>
          <w:rFonts w:ascii="Times New Roman" w:hAnsi="Times New Roman"/>
          <w:color w:val="000000" w:themeColor="text1"/>
          <w:sz w:val="16"/>
          <w:szCs w:val="16"/>
        </w:rPr>
        <w:softHyphen/>
        <w:t>ны в бою вследствие их большого рас</w:t>
      </w:r>
      <w:r w:rsidRPr="00070ADE">
        <w:rPr>
          <w:rFonts w:ascii="Times New Roman" w:hAnsi="Times New Roman"/>
          <w:color w:val="000000" w:themeColor="text1"/>
          <w:sz w:val="16"/>
          <w:szCs w:val="16"/>
        </w:rPr>
        <w:softHyphen/>
        <w:t>сеивания. В частности, командующий 3-й воздушной армией генерал-лейтенант Н.В. Папивин в своем докладе отмечал, что «установка РО-82 на Ил-2 нецелесо</w:t>
      </w:r>
      <w:r w:rsidRPr="00070ADE">
        <w:rPr>
          <w:rFonts w:ascii="Times New Roman" w:hAnsi="Times New Roman"/>
          <w:color w:val="000000" w:themeColor="text1"/>
          <w:sz w:val="16"/>
          <w:szCs w:val="16"/>
        </w:rPr>
        <w:softHyphen/>
        <w:t>образна и они могут быть сняты: незна</w:t>
      </w:r>
      <w:r w:rsidRPr="00070ADE">
        <w:rPr>
          <w:rFonts w:ascii="Times New Roman" w:hAnsi="Times New Roman"/>
          <w:color w:val="000000" w:themeColor="text1"/>
          <w:sz w:val="16"/>
          <w:szCs w:val="16"/>
        </w:rPr>
        <w:softHyphen/>
        <w:t>чительный вес боевой части РС-82, не</w:t>
      </w:r>
      <w:r w:rsidRPr="00070ADE">
        <w:rPr>
          <w:rFonts w:ascii="Times New Roman" w:hAnsi="Times New Roman"/>
          <w:color w:val="000000" w:themeColor="text1"/>
          <w:sz w:val="16"/>
          <w:szCs w:val="16"/>
        </w:rPr>
        <w:softHyphen/>
        <w:t>рациональное использование осколков, мала точность стрельбы, снижается ско</w:t>
      </w:r>
      <w:r w:rsidRPr="00070ADE">
        <w:rPr>
          <w:rFonts w:ascii="Times New Roman" w:hAnsi="Times New Roman"/>
          <w:color w:val="000000" w:themeColor="text1"/>
          <w:sz w:val="16"/>
          <w:szCs w:val="16"/>
        </w:rPr>
        <w:softHyphen/>
        <w:t>рость полета...». Другие, немало пост</w:t>
      </w:r>
      <w:r w:rsidRPr="00070ADE">
        <w:rPr>
          <w:rFonts w:ascii="Times New Roman" w:hAnsi="Times New Roman"/>
          <w:color w:val="000000" w:themeColor="text1"/>
          <w:sz w:val="16"/>
          <w:szCs w:val="16"/>
        </w:rPr>
        <w:softHyphen/>
        <w:t>реляв ракетами на фронте, наоборот, по</w:t>
      </w:r>
      <w:r w:rsidRPr="00070ADE">
        <w:rPr>
          <w:rFonts w:ascii="Times New Roman" w:hAnsi="Times New Roman"/>
          <w:color w:val="000000" w:themeColor="text1"/>
          <w:sz w:val="16"/>
          <w:szCs w:val="16"/>
        </w:rPr>
        <w:softHyphen/>
        <w:t>лагали, что реактивные снаряды весьма эффективны, и в этой связи настаивали на увеличении числа ракетных орудий РО-132 или РО-82 до 10 — 12 на каждом самолете. Сомнения в отношении эффективно</w:t>
      </w:r>
      <w:r w:rsidRPr="00070ADE">
        <w:rPr>
          <w:rFonts w:ascii="Times New Roman" w:hAnsi="Times New Roman"/>
          <w:color w:val="000000" w:themeColor="text1"/>
          <w:sz w:val="16"/>
          <w:szCs w:val="16"/>
        </w:rPr>
        <w:softHyphen/>
        <w:t>сти боевого применения реактивных сна</w:t>
      </w:r>
      <w:r w:rsidRPr="00070ADE">
        <w:rPr>
          <w:rFonts w:ascii="Times New Roman" w:hAnsi="Times New Roman"/>
          <w:color w:val="000000" w:themeColor="text1"/>
          <w:sz w:val="16"/>
          <w:szCs w:val="16"/>
        </w:rPr>
        <w:softHyphen/>
        <w:t>рядов на фронте часто объясняют не всегда грамотным их использованием. Стреляли с больших дистанций (600 — 700 м) и несколькими снарядами. Если же летчики действовали правильно, то есть залпом с предельно допустимых по условиям безопасности дистанций (300 — 400 м), результаты стрельб были на порядок лучше. Особенно интересным (применитель</w:t>
      </w:r>
      <w:r w:rsidRPr="00070ADE">
        <w:rPr>
          <w:rFonts w:ascii="Times New Roman" w:hAnsi="Times New Roman"/>
          <w:color w:val="000000" w:themeColor="text1"/>
          <w:sz w:val="16"/>
          <w:szCs w:val="16"/>
        </w:rPr>
        <w:softHyphen/>
        <w:t>но к условиям наземных боев в 1944 — 1945 гг.) представляется применение на штурмовиках ракетных снарядов с бро</w:t>
      </w:r>
      <w:r w:rsidRPr="00070ADE">
        <w:rPr>
          <w:rFonts w:ascii="Times New Roman" w:hAnsi="Times New Roman"/>
          <w:color w:val="000000" w:themeColor="text1"/>
          <w:sz w:val="16"/>
          <w:szCs w:val="16"/>
        </w:rPr>
        <w:softHyphen/>
        <w:t>небойной и осколочно-фугасной боевой частью типа РБС-82, РБС-132 и РОФС-132, которые имели существенно лучшие показатели рассеивания при стрельбе в воздухе и значительно превосходили снаряды с осколочной боевой частью по бронепробиваемости. РБС-82 и РБС-132 обеспечивали пробивание 50-мм и 75-мм танковой брони соответственно, а оскол</w:t>
      </w:r>
      <w:r w:rsidRPr="00070ADE">
        <w:rPr>
          <w:rFonts w:ascii="Times New Roman" w:hAnsi="Times New Roman"/>
          <w:color w:val="000000" w:themeColor="text1"/>
          <w:sz w:val="16"/>
          <w:szCs w:val="16"/>
        </w:rPr>
        <w:softHyphen/>
        <w:t>ки РОФС-132 при разрыве снаряда вбли</w:t>
      </w:r>
      <w:r w:rsidRPr="00070ADE">
        <w:rPr>
          <w:rFonts w:ascii="Times New Roman" w:hAnsi="Times New Roman"/>
          <w:color w:val="000000" w:themeColor="text1"/>
          <w:sz w:val="16"/>
          <w:szCs w:val="16"/>
        </w:rPr>
        <w:softHyphen/>
        <w:t>зи танка на расстоянии 1 м от него под углом 30° пронизывали сталь толщиной до 15 мм. Надо полагать, что отсутствие ракет</w:t>
      </w:r>
      <w:r w:rsidRPr="00070ADE">
        <w:rPr>
          <w:rFonts w:ascii="Times New Roman" w:hAnsi="Times New Roman"/>
          <w:color w:val="000000" w:themeColor="text1"/>
          <w:sz w:val="16"/>
          <w:szCs w:val="16"/>
        </w:rPr>
        <w:softHyphen/>
        <w:t>ных орудий на Ил-10 явилось все же следствием не столько определенных «настроений» среди военных, сколько желанием ОКБ получить максимальные летные характеристики самолета, безус</w:t>
      </w:r>
      <w:r w:rsidRPr="00070ADE">
        <w:rPr>
          <w:rFonts w:ascii="Times New Roman" w:hAnsi="Times New Roman"/>
          <w:color w:val="000000" w:themeColor="text1"/>
          <w:sz w:val="16"/>
          <w:szCs w:val="16"/>
        </w:rPr>
        <w:softHyphen/>
        <w:t>ловно улучшившиеся без подвески ре</w:t>
      </w:r>
      <w:r w:rsidRPr="00070ADE">
        <w:rPr>
          <w:rFonts w:ascii="Times New Roman" w:hAnsi="Times New Roman"/>
          <w:color w:val="000000" w:themeColor="text1"/>
          <w:sz w:val="16"/>
          <w:szCs w:val="16"/>
        </w:rPr>
        <w:softHyphen/>
        <w:t>активных снарядов. Основное преимущество «десятки» перед Ил-2 в бою заключалось в более высокой подвижности и лучшей защищен</w:t>
      </w:r>
      <w:r w:rsidRPr="00070ADE">
        <w:rPr>
          <w:rFonts w:ascii="Times New Roman" w:hAnsi="Times New Roman"/>
          <w:color w:val="000000" w:themeColor="text1"/>
          <w:sz w:val="16"/>
          <w:szCs w:val="16"/>
        </w:rPr>
        <w:softHyphen/>
        <w:t>ности от поражения малокалиберной зе</w:t>
      </w:r>
      <w:r w:rsidRPr="00070ADE">
        <w:rPr>
          <w:rFonts w:ascii="Times New Roman" w:hAnsi="Times New Roman"/>
          <w:color w:val="000000" w:themeColor="text1"/>
          <w:sz w:val="16"/>
          <w:szCs w:val="16"/>
        </w:rPr>
        <w:softHyphen/>
        <w:t>нитной артиллерией и истребителями про</w:t>
      </w:r>
      <w:r w:rsidRPr="00070ADE">
        <w:rPr>
          <w:rFonts w:ascii="Times New Roman" w:hAnsi="Times New Roman"/>
          <w:color w:val="000000" w:themeColor="text1"/>
          <w:sz w:val="16"/>
          <w:szCs w:val="16"/>
        </w:rPr>
        <w:softHyphen/>
        <w:t>тивника. Су-6 с мотором АМ-42, пушками ВЯ-23 и нормальной бомбовой нагрузкой при сопоставимой с Ил-10 подвижности мог эффективнее поражать наземные цели бомбами и реактивными снарядами. К сожалению, в то время задача дос</w:t>
      </w:r>
      <w:r w:rsidRPr="00070ADE">
        <w:rPr>
          <w:rFonts w:ascii="Times New Roman" w:hAnsi="Times New Roman"/>
          <w:color w:val="000000" w:themeColor="text1"/>
          <w:sz w:val="16"/>
          <w:szCs w:val="16"/>
        </w:rPr>
        <w:softHyphen/>
        <w:t>тижения конкретных показателей боевой эффективности в требованиях к перспек</w:t>
      </w:r>
      <w:r w:rsidRPr="00070ADE">
        <w:rPr>
          <w:rFonts w:ascii="Times New Roman" w:hAnsi="Times New Roman"/>
          <w:color w:val="000000" w:themeColor="text1"/>
          <w:sz w:val="16"/>
          <w:szCs w:val="16"/>
        </w:rPr>
        <w:softHyphen/>
        <w:t>тивным самолетам не ставилась, поскольку представление о них у большин</w:t>
      </w:r>
      <w:r w:rsidRPr="00070ADE">
        <w:rPr>
          <w:rFonts w:ascii="Times New Roman" w:hAnsi="Times New Roman"/>
          <w:color w:val="000000" w:themeColor="text1"/>
          <w:sz w:val="16"/>
          <w:szCs w:val="16"/>
        </w:rPr>
        <w:softHyphen/>
        <w:t>ства специалистов ВВС, НКАП и авиа</w:t>
      </w:r>
      <w:r w:rsidRPr="00070ADE">
        <w:rPr>
          <w:rFonts w:ascii="Times New Roman" w:hAnsi="Times New Roman"/>
          <w:color w:val="000000" w:themeColor="text1"/>
          <w:sz w:val="16"/>
          <w:szCs w:val="16"/>
        </w:rPr>
        <w:softHyphen/>
        <w:t>ционных НИИ было весьма смутным. Если оценивать конкурировавшие маши</w:t>
      </w:r>
      <w:r w:rsidRPr="00070ADE">
        <w:rPr>
          <w:rFonts w:ascii="Times New Roman" w:hAnsi="Times New Roman"/>
          <w:color w:val="000000" w:themeColor="text1"/>
          <w:sz w:val="16"/>
          <w:szCs w:val="16"/>
        </w:rPr>
        <w:softHyphen/>
        <w:t>ны по современным методикам, то мож</w:t>
      </w:r>
      <w:r w:rsidRPr="00070ADE">
        <w:rPr>
          <w:rFonts w:ascii="Times New Roman" w:hAnsi="Times New Roman"/>
          <w:color w:val="000000" w:themeColor="text1"/>
          <w:sz w:val="16"/>
          <w:szCs w:val="16"/>
        </w:rPr>
        <w:softHyphen/>
        <w:t>но сделать неутешительный вывод: на вооружение ВВС приняли далеко не са</w:t>
      </w:r>
      <w:r w:rsidRPr="00070ADE">
        <w:rPr>
          <w:rFonts w:ascii="Times New Roman" w:hAnsi="Times New Roman"/>
          <w:color w:val="000000" w:themeColor="text1"/>
          <w:sz w:val="16"/>
          <w:szCs w:val="16"/>
        </w:rPr>
        <w:softHyphen/>
        <w:t>мую удачную из них. Лучшим по боевой эффективности из числа самолетов поля боя, прошедших испытания весной — летом 1944 г., обладал штурмовик Су-6 с мотором АМ-42 и пушками НС-37. При сопоставимых с Ил-10 летных и манев</w:t>
      </w:r>
      <w:r w:rsidRPr="00070ADE">
        <w:rPr>
          <w:rFonts w:ascii="Times New Roman" w:hAnsi="Times New Roman"/>
          <w:color w:val="000000" w:themeColor="text1"/>
          <w:sz w:val="16"/>
          <w:szCs w:val="16"/>
        </w:rPr>
        <w:softHyphen/>
        <w:t>ренных данных «сухой» имел преимуще</w:t>
      </w:r>
      <w:r w:rsidRPr="00070ADE">
        <w:rPr>
          <w:rFonts w:ascii="Times New Roman" w:hAnsi="Times New Roman"/>
          <w:color w:val="000000" w:themeColor="text1"/>
          <w:sz w:val="16"/>
          <w:szCs w:val="16"/>
        </w:rPr>
        <w:softHyphen/>
        <w:t>ства по своему вооружению. Но важным плюсом Ил-10 перед ма</w:t>
      </w:r>
      <w:r w:rsidRPr="00070ADE">
        <w:rPr>
          <w:rFonts w:ascii="Times New Roman" w:hAnsi="Times New Roman"/>
          <w:color w:val="000000" w:themeColor="text1"/>
          <w:sz w:val="16"/>
          <w:szCs w:val="16"/>
        </w:rPr>
        <w:softHyphen/>
        <w:t>шиной Сухого стало то, что было проще наладить его массовое производство — сказалась преемственность по техноло</w:t>
      </w:r>
      <w:r w:rsidRPr="00070ADE">
        <w:rPr>
          <w:rFonts w:ascii="Times New Roman" w:hAnsi="Times New Roman"/>
          <w:color w:val="000000" w:themeColor="text1"/>
          <w:sz w:val="16"/>
          <w:szCs w:val="16"/>
        </w:rPr>
        <w:softHyphen/>
        <w:t>гии и многим принципиальным решени</w:t>
      </w:r>
      <w:r w:rsidRPr="00070ADE">
        <w:rPr>
          <w:rFonts w:ascii="Times New Roman" w:hAnsi="Times New Roman"/>
          <w:color w:val="000000" w:themeColor="text1"/>
          <w:sz w:val="16"/>
          <w:szCs w:val="16"/>
        </w:rPr>
        <w:softHyphen/>
        <w:t>ям с Ил-2. Скорее всего, это и оказалось решающим фактором. В ходе доводки на И л-10 подвижную установку ВУ-7 с пушкой Ш-20 заменили на ВУ-8 с пулеметом УБК. ВУ-8 обеспе</w:t>
      </w:r>
      <w:r w:rsidRPr="00070ADE">
        <w:rPr>
          <w:rFonts w:ascii="Times New Roman" w:hAnsi="Times New Roman"/>
          <w:color w:val="000000" w:themeColor="text1"/>
          <w:sz w:val="16"/>
          <w:szCs w:val="16"/>
        </w:rPr>
        <w:softHyphen/>
        <w:t>чивала стрельбу в задней полусфере в секторах: вверх — 48° (от нейтрального положения, параллельного оси самоле</w:t>
      </w:r>
      <w:r w:rsidRPr="00070ADE">
        <w:rPr>
          <w:rFonts w:ascii="Times New Roman" w:hAnsi="Times New Roman"/>
          <w:color w:val="000000" w:themeColor="text1"/>
          <w:sz w:val="16"/>
          <w:szCs w:val="16"/>
        </w:rPr>
        <w:softHyphen/>
        <w:t>та), вниз — 12° (с поворотом пулемета к борту), вправо — 30°, влево — 45°. Ра</w:t>
      </w:r>
      <w:r w:rsidRPr="00070ADE">
        <w:rPr>
          <w:rFonts w:ascii="Times New Roman" w:hAnsi="Times New Roman"/>
          <w:color w:val="000000" w:themeColor="text1"/>
          <w:sz w:val="16"/>
          <w:szCs w:val="16"/>
        </w:rPr>
        <w:softHyphen/>
        <w:t>кетное вооружение по-прежнему отсут</w:t>
      </w:r>
      <w:r w:rsidRPr="00070ADE">
        <w:rPr>
          <w:rFonts w:ascii="Times New Roman" w:hAnsi="Times New Roman"/>
          <w:color w:val="000000" w:themeColor="text1"/>
          <w:sz w:val="16"/>
          <w:szCs w:val="16"/>
        </w:rPr>
        <w:softHyphen/>
        <w:t>ствовало.(10680).</w:t>
      </w:r>
    </w:p>
    <w:p w14:paraId="39939F7B" w14:textId="77777777" w:rsidR="00D92086" w:rsidRPr="00070ADE" w:rsidRDefault="00D92086"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5A07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маю 1944 г. (по сути дела, к концу выпуска Як-1) был разработан, испытан и рекомендован к использованию в ВВС КА воздушный фильтр конструкции ВВС СФ с измененной кинематикой управления заслонкой, предложенной опытным заводом НИИ ВВС КА. Этот фильтр не снижал максимальную скорость полета в отличие от других пылефильтров (12048).</w:t>
      </w:r>
    </w:p>
    <w:p w14:paraId="6BCC6D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A49A76F" w14:textId="77777777" w:rsidR="00F76620" w:rsidRPr="00070ADE" w:rsidRDefault="00F7662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маю 1944 г. (по сути дела, к концу выпуска Як-1) был разработан, испытан и рекомендован к использованию в ВВС КА воздушный фильтр конструкции ВВС СФ с измененной кинематикой управления заслонкой, предложенной опытным заводом НИИ ВВС КА. Этот фильтр не снижал максимальную скорость полета в отличие от других пылефильтров (23451).</w:t>
      </w:r>
    </w:p>
    <w:p w14:paraId="66A90CA3" w14:textId="77777777" w:rsidR="00F76620" w:rsidRPr="00070ADE" w:rsidRDefault="00F76620" w:rsidP="00B56F90">
      <w:pPr>
        <w:spacing w:after="0" w:line="240" w:lineRule="auto"/>
        <w:jc w:val="both"/>
        <w:rPr>
          <w:rFonts w:ascii="Times New Roman" w:hAnsi="Times New Roman"/>
          <w:color w:val="000000" w:themeColor="text1"/>
          <w:sz w:val="16"/>
          <w:szCs w:val="16"/>
        </w:rPr>
      </w:pPr>
    </w:p>
    <w:p w14:paraId="1C82B5CC"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маю 1944 изготовили более десятка Г-11. За образец взяли аппа</w:t>
      </w:r>
      <w:r w:rsidRPr="00070ADE">
        <w:rPr>
          <w:rFonts w:ascii="Times New Roman" w:hAnsi="Times New Roman"/>
          <w:color w:val="000000" w:themeColor="text1"/>
          <w:sz w:val="16"/>
          <w:szCs w:val="16"/>
        </w:rPr>
        <w:softHyphen/>
        <w:t>раты последних серий завода № 471. В мае головной образец облетал стар</w:t>
      </w:r>
      <w:r w:rsidRPr="00070ADE">
        <w:rPr>
          <w:rFonts w:ascii="Times New Roman" w:hAnsi="Times New Roman"/>
          <w:color w:val="000000" w:themeColor="text1"/>
          <w:sz w:val="16"/>
          <w:szCs w:val="16"/>
        </w:rPr>
        <w:softHyphen/>
        <w:t>ший лейтенант В. Чубуков с Опытноис-пытательного полигона Воздушно-де- сантных войск. Взвешивание показало, что Г-11 № 63001 рязанского изготов</w:t>
      </w:r>
      <w:r w:rsidRPr="00070ADE">
        <w:rPr>
          <w:rFonts w:ascii="Times New Roman" w:hAnsi="Times New Roman"/>
          <w:color w:val="000000" w:themeColor="text1"/>
          <w:sz w:val="16"/>
          <w:szCs w:val="16"/>
        </w:rPr>
        <w:softHyphen/>
        <w:t xml:space="preserve">ления на 64 кг тяжелее сделанного в </w:t>
      </w:r>
      <w:r w:rsidRPr="00070ADE">
        <w:rPr>
          <w:rFonts w:ascii="Times New Roman" w:hAnsi="Times New Roman"/>
          <w:color w:val="000000" w:themeColor="text1"/>
          <w:sz w:val="16"/>
          <w:szCs w:val="16"/>
        </w:rPr>
        <w:lastRenderedPageBreak/>
        <w:t>Шумерли. По своей центровке, лётным данным и характеристикам пилотиро</w:t>
      </w:r>
      <w:r w:rsidRPr="00070ADE">
        <w:rPr>
          <w:rFonts w:ascii="Times New Roman" w:hAnsi="Times New Roman"/>
          <w:color w:val="000000" w:themeColor="text1"/>
          <w:sz w:val="16"/>
          <w:szCs w:val="16"/>
        </w:rPr>
        <w:softHyphen/>
        <w:t>вания они не различались. Планёр показал себя устойчивым в полёте, отличался хорошей управляемостью. На нём даже выполняли штопор, пере</w:t>
      </w:r>
      <w:r w:rsidRPr="00070ADE">
        <w:rPr>
          <w:rFonts w:ascii="Times New Roman" w:hAnsi="Times New Roman"/>
          <w:color w:val="000000" w:themeColor="text1"/>
          <w:sz w:val="16"/>
          <w:szCs w:val="16"/>
        </w:rPr>
        <w:softHyphen/>
        <w:t>ворот и бочку. При этом пилотирование Г-11 было проще, чем А-7.</w:t>
      </w:r>
    </w:p>
    <w:p w14:paraId="5D8518DE"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Начиная с 21-го экземпляра рязанс</w:t>
      </w:r>
      <w:r w:rsidRPr="00070ADE">
        <w:rPr>
          <w:rFonts w:ascii="Times New Roman" w:hAnsi="Times New Roman"/>
          <w:color w:val="000000" w:themeColor="text1"/>
          <w:sz w:val="16"/>
          <w:szCs w:val="16"/>
        </w:rPr>
        <w:softHyphen/>
        <w:t>кой сборки ввели грузовой люк вместо двери на правом борту. Он закрывался двумя створками. На крыле появились интерцепторы. Позже предусмотрели резиновые пластинчатые амортизато</w:t>
      </w:r>
      <w:r w:rsidRPr="00070ADE">
        <w:rPr>
          <w:rFonts w:ascii="Times New Roman" w:hAnsi="Times New Roman"/>
          <w:color w:val="000000" w:themeColor="text1"/>
          <w:sz w:val="16"/>
          <w:szCs w:val="16"/>
        </w:rPr>
        <w:softHyphen/>
        <w:t>ры для посадочной лыжи и установили небольшой форкиль (12266).</w:t>
      </w:r>
    </w:p>
    <w:p w14:paraId="5617DA9C" w14:textId="77777777" w:rsidR="00552857" w:rsidRPr="00070ADE" w:rsidRDefault="00552857" w:rsidP="00B56F90">
      <w:pPr>
        <w:spacing w:after="0" w:line="240" w:lineRule="auto"/>
        <w:jc w:val="both"/>
        <w:rPr>
          <w:rFonts w:ascii="Times New Roman" w:hAnsi="Times New Roman"/>
          <w:color w:val="000000" w:themeColor="text1"/>
          <w:sz w:val="16"/>
          <w:szCs w:val="16"/>
        </w:rPr>
      </w:pPr>
    </w:p>
    <w:p w14:paraId="6C2A63F7" w14:textId="77777777" w:rsidR="00C140B0" w:rsidRPr="00070ADE" w:rsidRDefault="00C140B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маю 1944 в Рязани изготовили более десятка Г-11. За образец взяли аппараты последних серий завода № 471 (19014).</w:t>
      </w:r>
    </w:p>
    <w:p w14:paraId="3149FE02" w14:textId="77777777" w:rsidR="00C140B0" w:rsidRPr="00070ADE" w:rsidRDefault="00C140B0" w:rsidP="00B56F90">
      <w:pPr>
        <w:spacing w:after="0" w:line="240" w:lineRule="auto"/>
        <w:jc w:val="both"/>
        <w:rPr>
          <w:rFonts w:ascii="Times New Roman" w:hAnsi="Times New Roman"/>
          <w:color w:val="000000" w:themeColor="text1"/>
          <w:sz w:val="16"/>
          <w:szCs w:val="16"/>
        </w:rPr>
      </w:pPr>
    </w:p>
    <w:p w14:paraId="7EA24F3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33C4FB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DFB2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маю 1944 г. первый образец, «Объект 70 Г» № 0 (со 122-мм пушкой Д-25Т) был готов и в течении последующих полутора месяцев проходил завод</w:t>
      </w:r>
      <w:r w:rsidRPr="00070ADE">
        <w:rPr>
          <w:rFonts w:ascii="Times New Roman" w:hAnsi="Times New Roman"/>
          <w:color w:val="000000" w:themeColor="text1"/>
          <w:sz w:val="16"/>
          <w:szCs w:val="16"/>
        </w:rPr>
        <w:softHyphen/>
        <w:t>ские испытания в объеме 1230 км. После внесения в конст</w:t>
      </w:r>
      <w:r w:rsidRPr="00070ADE">
        <w:rPr>
          <w:rFonts w:ascii="Times New Roman" w:hAnsi="Times New Roman"/>
          <w:color w:val="000000" w:themeColor="text1"/>
          <w:sz w:val="16"/>
          <w:szCs w:val="16"/>
        </w:rPr>
        <w:softHyphen/>
        <w:t>рукцию необходимых изменений, ЧКЗ изготовил две других машины - «Объект 701» № 1 (со 122-мм пушкой С-34-П) и «Объект 701» № 3 (со 100-мм пушкой С-34-1) (11135). В течении месяца комиссия под председательством на</w:t>
      </w:r>
      <w:r w:rsidRPr="00070ADE">
        <w:rPr>
          <w:rFonts w:ascii="Times New Roman" w:hAnsi="Times New Roman"/>
          <w:color w:val="000000" w:themeColor="text1"/>
          <w:sz w:val="16"/>
          <w:szCs w:val="16"/>
        </w:rPr>
        <w:softHyphen/>
        <w:t>чальника ГБТУ КА генерал-лейтенанта танковых войск В. Вершинина проводила испытания этих машин. В выво</w:t>
      </w:r>
      <w:r w:rsidRPr="00070ADE">
        <w:rPr>
          <w:rFonts w:ascii="Times New Roman" w:hAnsi="Times New Roman"/>
          <w:color w:val="000000" w:themeColor="text1"/>
          <w:sz w:val="16"/>
          <w:szCs w:val="16"/>
        </w:rPr>
        <w:softHyphen/>
        <w:t>дах она дала высокую оценку нового танка: «Опытный танк 701 по своим основным боевым качествам является наиболее современным тяжелым танком, превосходящим по броне все существующие отечественные танки, а танки противника, кроме того, по вооружению и маневренности. Повышенные боевые качества достигнуты: применением броневых листов толщиной 160мм, удачно выполненной кон</w:t>
      </w:r>
      <w:r w:rsidRPr="00070ADE">
        <w:rPr>
          <w:rFonts w:ascii="Times New Roman" w:hAnsi="Times New Roman"/>
          <w:color w:val="000000" w:themeColor="text1"/>
          <w:sz w:val="16"/>
          <w:szCs w:val="16"/>
        </w:rPr>
        <w:softHyphen/>
        <w:t>струкцией корпуса и башни, установкой дизеля В-12 мощ</w:t>
      </w:r>
      <w:r w:rsidRPr="00070ADE">
        <w:rPr>
          <w:rFonts w:ascii="Times New Roman" w:hAnsi="Times New Roman"/>
          <w:color w:val="000000" w:themeColor="text1"/>
          <w:sz w:val="16"/>
          <w:szCs w:val="16"/>
        </w:rPr>
        <w:softHyphen/>
        <w:t>ностью 750 л.с., установкой оригинальной планетарной трансмиссии с селекторным механизмом управления». Вместе с тем отмечалась ненадежная работа бортовых редукто</w:t>
      </w:r>
      <w:r w:rsidRPr="00070ADE">
        <w:rPr>
          <w:rFonts w:ascii="Times New Roman" w:hAnsi="Times New Roman"/>
          <w:color w:val="000000" w:themeColor="text1"/>
          <w:sz w:val="16"/>
          <w:szCs w:val="16"/>
        </w:rPr>
        <w:softHyphen/>
        <w:t>ров и планетарной трансмиссии. Заводу было предложено устранить недостатки, изготовить два образца танка и предъявить их на повторные полигонные испытания (11135).</w:t>
      </w:r>
    </w:p>
    <w:p w14:paraId="6ED892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805337" w14:textId="77777777" w:rsidR="00C140B0" w:rsidRPr="00070ADE" w:rsidRDefault="00C140B0"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Ближе к маю 1944 года проектирование танка, которому предстояло стать прямым конкурентом Объекта 701, перешло в практическую фазу. Несмотря на то что новый проект имел прямое отношение к вариантам «большой модернизации» ИС-2, ОКБ завода №100 лишь отчасти использовало наработки по этой теме. Дело в том, что сама по себе модернизация несколько связывала руки, поскольку предстояло использовать ряд элементов ИС-2. Между тем требования на новый тяжёлый танк подразумевали увеличение боевой массы, броневой защиты, а также усиление вооружения.</w:t>
      </w:r>
    </w:p>
    <w:p w14:paraId="27052067" w14:textId="77777777" w:rsidR="00C140B0" w:rsidRPr="00070ADE" w:rsidRDefault="00C140B0"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Увеличение массы означало, что потребуется более мощный двигатель. Кандидатур было две — В-11 либо В-12, последний предназначался для тяжёлого танка Объект 701. Благодаря наличию нагнетателя воздуха АМ-38 максимальная мощность оценивалась в 800 л.с. На практике такая мощность могла держаться не более 10 минут, поэтому позже максимальную мощность снизили до 750 л.с. Впрочем, поначалу ОКБ завода №100 рассчитывало на более скромный мотор В-11 с расчётной мощностью 620 л.с. (с учётом того, что боевая масса предполагалась на уровне 50 т, этого должно было хватить). Более интересным фактом было то, что изначально на новый танк предполагалось установить электромеханическую трансмиссию. Данный тип трансмиссии отрабатывался группой конструкторов ВАММ во главе с Н.И. Груздевым совместно с заводами «Динамо» и №627 (кстати, известный писатель-фантаст А.П. Казанцев, занимавший один из руководящих постов на заводе №627, имел к этим работам прямое отношение). В 1944 году затянувшиеся работы привели к созданию опытного танка ЭКВ, построенного на базе КВ-1с. Электромеханическая трансмиссия для нового танка разработки завода №100 базировалась как раз на наработках по ЭКВ. Уже позже, в качестве запасного варианта, подразумевалось использование механической трансмиссии, при этом боевая масса снижалась до 48 т.</w:t>
      </w:r>
    </w:p>
    <w:p w14:paraId="0AB8C479" w14:textId="77777777" w:rsidR="00C140B0" w:rsidRPr="00070ADE" w:rsidRDefault="00C140B0"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Для обеспечения равной или близкой к Объекту 701 броневой защиты ОКБ завода №100 тесно сотрудничало с размещавшимся в Свердловске НИИ-48. Специалисты института, возглавляемого А.С. Завьяловым, к тому моменту имели существенный опыт как в разработке новых типов брони, так и повышении её стойкости. Вероятнее всего, сотрудничество с НИИ-48 шло ещё во время проектирования новых корпусов и башен для ИС-2 большой модернизации. Там пришли к выводу, что стойкость броневых листов, схожую с Объектом 701, можно получить за счёт более рациональных углов наклона. Также предусматривалась более мощная орудийная система. Как и Д-25Т, она имела калибр 122 мм, но должна была иметь начальную скорость 850-900 м/с. Правда, на тот момент таких орудий в наличии ещё не было.</w:t>
      </w:r>
    </w:p>
    <w:p w14:paraId="6D55FA25" w14:textId="77777777" w:rsidR="00C140B0" w:rsidRPr="00070ADE" w:rsidRDefault="00C140B0"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Старшим инженером нового танка был назначен Г.Н. Москвин, имевший большой опыт разработки танков и САУ. Уже упоминавшийся Шнейдман отвечал за установку вооружения. Ермолаев отвечал за работы как главный конструктор, а общее руководство осуществлял Котин. В НКТП проект нового тяжёлого танка был прислан в начале июня 1944 года. Благодаря довольно высокой степени проработки Малышев дал зелёный свет дальнейшим работам (19150).</w:t>
      </w:r>
    </w:p>
    <w:p w14:paraId="166A5362" w14:textId="77777777" w:rsidR="00C140B0" w:rsidRPr="00070ADE" w:rsidRDefault="00C140B0" w:rsidP="00B56F90">
      <w:pPr>
        <w:pStyle w:val="ae"/>
        <w:shd w:val="clear" w:color="auto" w:fill="FFFFFF"/>
        <w:spacing w:before="0" w:after="0"/>
        <w:jc w:val="both"/>
        <w:textAlignment w:val="baseline"/>
        <w:rPr>
          <w:color w:val="000000" w:themeColor="text1"/>
          <w:sz w:val="16"/>
          <w:szCs w:val="16"/>
        </w:rPr>
      </w:pPr>
    </w:p>
    <w:p w14:paraId="080D867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9ECF9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1EDF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 мая 1944 на гос. испытания в НИИ спецслужб ВВС был представлен Як-7Б с М-105ПФ и гермокабиной А.Я.Щербакова. Кабина оказалась неудачной, так как не было принудительной вентиляции (65,124).</w:t>
      </w:r>
    </w:p>
    <w:p w14:paraId="327D84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331D37" w14:textId="77777777" w:rsidR="00812457" w:rsidRPr="00070ADE" w:rsidRDefault="008124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 мая 1944 г. совместными усилиями доработанный вариант гермо</w:t>
      </w:r>
      <w:r w:rsidRPr="00070ADE">
        <w:rPr>
          <w:rFonts w:ascii="Times New Roman" w:hAnsi="Times New Roman"/>
          <w:color w:val="000000" w:themeColor="text1"/>
          <w:sz w:val="16"/>
          <w:szCs w:val="16"/>
        </w:rPr>
        <w:softHyphen/>
        <w:t>кабины вентиляционного типа на истребителе Як-7Б уда</w:t>
      </w:r>
      <w:r w:rsidRPr="00070ADE">
        <w:rPr>
          <w:rFonts w:ascii="Times New Roman" w:hAnsi="Times New Roman"/>
          <w:color w:val="000000" w:themeColor="text1"/>
          <w:sz w:val="16"/>
          <w:szCs w:val="16"/>
        </w:rPr>
        <w:softHyphen/>
        <w:t>лось представить на государственные испытания в НИИ специальных служб ВВС КА. Из-за от</w:t>
      </w:r>
      <w:r w:rsidRPr="00070ADE">
        <w:rPr>
          <w:rFonts w:ascii="Times New Roman" w:hAnsi="Times New Roman"/>
          <w:color w:val="000000" w:themeColor="text1"/>
          <w:sz w:val="16"/>
          <w:szCs w:val="16"/>
        </w:rPr>
        <w:softHyphen/>
        <w:t>сутствия регулировки вентиляции кабины и недостаточно отработанной автоматики (клапанов, регулятора давле</w:t>
      </w:r>
      <w:r w:rsidRPr="00070ADE">
        <w:rPr>
          <w:rFonts w:ascii="Times New Roman" w:hAnsi="Times New Roman"/>
          <w:color w:val="000000" w:themeColor="text1"/>
          <w:sz w:val="16"/>
          <w:szCs w:val="16"/>
        </w:rPr>
        <w:softHyphen/>
        <w:t>ния и т.д.) самолет испытаний не выдержал. Дальнейшие работы по установке герметических кабин на истребите</w:t>
      </w:r>
      <w:r w:rsidRPr="00070ADE">
        <w:rPr>
          <w:rFonts w:ascii="Times New Roman" w:hAnsi="Times New Roman"/>
          <w:color w:val="000000" w:themeColor="text1"/>
          <w:sz w:val="16"/>
          <w:szCs w:val="16"/>
        </w:rPr>
        <w:softHyphen/>
        <w:t>лях Як с поршневыми моторами прекратили (23381).</w:t>
      </w:r>
    </w:p>
    <w:p w14:paraId="2EF4B307" w14:textId="77777777" w:rsidR="00812457" w:rsidRPr="00070ADE" w:rsidRDefault="00812457" w:rsidP="00B56F90">
      <w:pPr>
        <w:spacing w:after="0" w:line="240" w:lineRule="auto"/>
        <w:jc w:val="both"/>
        <w:rPr>
          <w:rFonts w:ascii="Times New Roman" w:hAnsi="Times New Roman"/>
          <w:color w:val="000000" w:themeColor="text1"/>
          <w:sz w:val="16"/>
          <w:szCs w:val="16"/>
        </w:rPr>
      </w:pPr>
    </w:p>
    <w:p w14:paraId="1447B351"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мая</w:t>
      </w:r>
      <w:r w:rsidRPr="00070ADE">
        <w:rPr>
          <w:rFonts w:ascii="Times New Roman" w:hAnsi="Times New Roman"/>
          <w:color w:val="000000" w:themeColor="text1"/>
          <w:sz w:val="16"/>
          <w:szCs w:val="16"/>
        </w:rPr>
        <w:t xml:space="preserve"> в 1944 году был предъявлен на госиспытания в НИИ спецслужб ВВС самолет </w:t>
      </w:r>
      <w:hyperlink r:id="rId113" w:tgtFrame="_blank" w:history="1">
        <w:r w:rsidRPr="00070ADE">
          <w:rPr>
            <w:rFonts w:ascii="Times New Roman" w:hAnsi="Times New Roman"/>
            <w:color w:val="000000" w:themeColor="text1"/>
            <w:sz w:val="16"/>
            <w:szCs w:val="16"/>
          </w:rPr>
          <w:t xml:space="preserve">«Як-7Г». </w:t>
        </w:r>
      </w:hyperlink>
      <w:r w:rsidRPr="00070ADE">
        <w:rPr>
          <w:rFonts w:ascii="Times New Roman" w:hAnsi="Times New Roman"/>
          <w:color w:val="000000" w:themeColor="text1"/>
          <w:sz w:val="16"/>
          <w:szCs w:val="16"/>
        </w:rPr>
        <w:t>В 1943 году два истребителя «Як-7Б» «М-105ПФ» были переоборудованы в истребители перехватчики с герметическими кабинами. Первый самолет (08-05) получил экспериментальный образец гермокабины конструкции А.Я.Щербакова. Кабина оказалась неудачной и не применялась на находившихся на вооружении самолетах. Хотя это была гермокабина вентиляционного типа, в ней отсутствовали элементы, обеспечивающие вентиляцию. Вентиляция осуществлялась естественным путем - через щели и неплотности в соединениях кабины. Недостаточно отработанной оказалась и автоматика - клапаны, регуляторы давления и др. С тем же результатом окончилась переделка второго самолет под кабину другого образца, где герметизация осуществлялась при помощи компрессора (14878).</w:t>
      </w:r>
    </w:p>
    <w:p w14:paraId="1DB6EE03" w14:textId="77777777" w:rsidR="001F4816" w:rsidRPr="00070ADE" w:rsidRDefault="001F4816" w:rsidP="00B56F90">
      <w:pPr>
        <w:spacing w:after="0" w:line="240" w:lineRule="auto"/>
        <w:jc w:val="both"/>
        <w:rPr>
          <w:rFonts w:ascii="Times New Roman" w:hAnsi="Times New Roman"/>
          <w:color w:val="000000" w:themeColor="text1"/>
          <w:sz w:val="16"/>
          <w:szCs w:val="16"/>
        </w:rPr>
      </w:pPr>
    </w:p>
    <w:p w14:paraId="0DD5BC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мая 1944 состояние опытного строительства на 21 заводе было следующим:</w:t>
      </w:r>
    </w:p>
    <w:p w14:paraId="5BB840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Изготовлен первый комплект консолей и цп с ламинарным профилем по рекомендациям ЦАГИ. Второй к-т собирался на з-де № 381 для ОКБ-21. На з-де № 381 будект собран с-т для проведения летных испытаний.</w:t>
      </w:r>
    </w:p>
    <w:p w14:paraId="469864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доводке с-тов:</w:t>
      </w:r>
    </w:p>
    <w:p w14:paraId="5F5C49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Изготовлены чертежи на элероны с дополнительными нервюрами в целях устраниея силовой деформации обшивки на больших скоростях.</w:t>
      </w:r>
    </w:p>
    <w:p w14:paraId="728138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Запущены в серию на с-ты 39 и 41 типа противокапотажной рамы (738,23).</w:t>
      </w:r>
    </w:p>
    <w:p w14:paraId="626AC5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14E4D3" w14:textId="77777777" w:rsidR="00D635A9" w:rsidRPr="00070ADE" w:rsidRDefault="00D635A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 мая 1944 г. завод №21, в полном соответствии с планом, построил еще один Ла-5 с М-82ФН и ТК-3. Однако в ходе первых экспериментальных полётов стало яс</w:t>
      </w:r>
      <w:r w:rsidRPr="00070ADE">
        <w:rPr>
          <w:rFonts w:ascii="Times New Roman" w:hAnsi="Times New Roman"/>
          <w:color w:val="000000" w:themeColor="text1"/>
          <w:sz w:val="16"/>
          <w:szCs w:val="16"/>
        </w:rPr>
        <w:softHyphen/>
        <w:t>но, что установка турбокомпрессоров нуждается в конструктивной переработке. По распоряжению С.А. Лавочкина самолёт переделали по типу Ла-7, в результате его строительство затянулось до июля 1944 г.</w:t>
      </w:r>
    </w:p>
    <w:p w14:paraId="7D9B393B" w14:textId="77777777" w:rsidR="00D635A9" w:rsidRPr="00070ADE" w:rsidRDefault="00D635A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Компоновка, по которой производилась установка турбокомпрессоров, осталась пре</w:t>
      </w:r>
      <w:r w:rsidRPr="00070ADE">
        <w:rPr>
          <w:rFonts w:ascii="Times New Roman" w:hAnsi="Times New Roman"/>
          <w:color w:val="000000" w:themeColor="text1"/>
          <w:sz w:val="16"/>
          <w:szCs w:val="16"/>
        </w:rPr>
        <w:softHyphen/>
        <w:t>жней. Вместе с тем удалось найти достаточно надёжную схему охлаждения мотора и ресивера турбокомпрессора. Для регулирования охлаждения мотора использовали две боковые створки несколько большей протяжённости, чем на серийной машине. Ресивер охлаждался воздухом, который подводился по специальному каналу из замоторного про</w:t>
      </w:r>
      <w:r w:rsidRPr="00070ADE">
        <w:rPr>
          <w:rFonts w:ascii="Times New Roman" w:hAnsi="Times New Roman"/>
          <w:color w:val="000000" w:themeColor="text1"/>
          <w:sz w:val="16"/>
          <w:szCs w:val="16"/>
        </w:rPr>
        <w:softHyphen/>
        <w:t>странства и выходил через постоянную щель, находившуюся за турбокомпрессором. С целью предупреждения повышения температуры головок цилиндров, на высотном Ла-7 снова разместили систему впрыска воды во всасывающие трубы цилиндров.</w:t>
      </w:r>
    </w:p>
    <w:p w14:paraId="46EF90AF" w14:textId="77777777" w:rsidR="00D635A9" w:rsidRPr="00070ADE" w:rsidRDefault="00D635A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конструкцию самолёта внесли некоторые изменения. Так, масляный радиатор, ус</w:t>
      </w:r>
      <w:r w:rsidRPr="00070ADE">
        <w:rPr>
          <w:rFonts w:ascii="Times New Roman" w:hAnsi="Times New Roman"/>
          <w:color w:val="000000" w:themeColor="text1"/>
          <w:sz w:val="16"/>
          <w:szCs w:val="16"/>
        </w:rPr>
        <w:softHyphen/>
        <w:t>тановленный на том же месте, что и на серийной машине, имел бо'льшую охлаждаю</w:t>
      </w:r>
      <w:r w:rsidRPr="00070ADE">
        <w:rPr>
          <w:rFonts w:ascii="Times New Roman" w:hAnsi="Times New Roman"/>
          <w:color w:val="000000" w:themeColor="text1"/>
          <w:sz w:val="16"/>
          <w:szCs w:val="16"/>
        </w:rPr>
        <w:softHyphen/>
        <w:t>щую поверхность. Его тоннель сделали заново, он имел увеличенные обводы. Для лучшей капотировки турбокомпрессоров на высотном самолёте зализ между крылом и фюзеляжем очертили полнее, чем на серийном. Кроме того, с фонаря Ла-7 сняли зад</w:t>
      </w:r>
      <w:r w:rsidRPr="00070ADE">
        <w:rPr>
          <w:rFonts w:ascii="Times New Roman" w:hAnsi="Times New Roman"/>
          <w:color w:val="000000" w:themeColor="text1"/>
          <w:sz w:val="16"/>
          <w:szCs w:val="16"/>
        </w:rPr>
        <w:softHyphen/>
        <w:t>нее бронестекло и заменили его плексигласом, также убрали и противокапотажное кре</w:t>
      </w:r>
      <w:r w:rsidRPr="00070ADE">
        <w:rPr>
          <w:rFonts w:ascii="Times New Roman" w:hAnsi="Times New Roman"/>
          <w:color w:val="000000" w:themeColor="text1"/>
          <w:sz w:val="16"/>
          <w:szCs w:val="16"/>
        </w:rPr>
        <w:softHyphen/>
        <w:t>пление фонаря. Из вооружения оставили только левую пушку ШВАК с боекомплектом 150 снарядов, правую и все связанные с её установкой агрегаты сняли. Оборудование осталось в основном серийное, исключение составляли лишь изменения, внесенные в связи с размещением турбокомпрессоров. При проектировании и постройке Ла-7 с двумя ТК-3 особое внимание уделили аэродинамике самолёта и винтомоторной груп</w:t>
      </w:r>
      <w:r w:rsidRPr="00070ADE">
        <w:rPr>
          <w:rFonts w:ascii="Times New Roman" w:hAnsi="Times New Roman"/>
          <w:color w:val="000000" w:themeColor="text1"/>
          <w:sz w:val="16"/>
          <w:szCs w:val="16"/>
        </w:rPr>
        <w:softHyphen/>
        <w:t>пы — требовалось чтобы аэродинамика Ла-7 с турбокомпрессорами не отличалось от его аэродинамики без них. Внешним отличием опытного самолёта от серийной маши</w:t>
      </w:r>
      <w:r w:rsidRPr="00070ADE">
        <w:rPr>
          <w:rFonts w:ascii="Times New Roman" w:hAnsi="Times New Roman"/>
          <w:color w:val="000000" w:themeColor="text1"/>
          <w:sz w:val="16"/>
          <w:szCs w:val="16"/>
        </w:rPr>
        <w:softHyphen/>
        <w:t>ны являлся только почти не выступающий за мидель капота колпак закрытого выхлопа. Для защиты самолёта от обгорания под действием горячих струй выхлопных газов часть ложной обшивки фюзеляжа и центроплана, ранее делавшуюся из дюралюминия, выпол</w:t>
      </w:r>
      <w:r w:rsidRPr="00070ADE">
        <w:rPr>
          <w:rFonts w:ascii="Times New Roman" w:hAnsi="Times New Roman"/>
          <w:color w:val="000000" w:themeColor="text1"/>
          <w:sz w:val="16"/>
          <w:szCs w:val="16"/>
        </w:rPr>
        <w:softHyphen/>
        <w:t>нили из стальных листов толщиной 1 мм. У Ла-7 с ТК-3 также увеличили сечение вса</w:t>
      </w:r>
      <w:r w:rsidRPr="00070ADE">
        <w:rPr>
          <w:rFonts w:ascii="Times New Roman" w:hAnsi="Times New Roman"/>
          <w:color w:val="000000" w:themeColor="text1"/>
          <w:sz w:val="16"/>
          <w:szCs w:val="16"/>
        </w:rPr>
        <w:softHyphen/>
        <w:t>сывающих патрубков в зализе центроплана.</w:t>
      </w:r>
    </w:p>
    <w:p w14:paraId="6F8E53FA" w14:textId="77777777" w:rsidR="00D635A9" w:rsidRPr="00070ADE" w:rsidRDefault="00D635A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Постройка Ла-7 с 2ТК-3 завершилась 20 июля 1944 г., и его передали на аэродром ЛЭС завода № 21. В период с 24 июля по 11 августа провели лётные испытания, их главной задачей стало определение потолка, расчётной высоты мотора и максимальных скоростей самолёта по высотам, при работе мотора на первой скорости ПЦН </w:t>
      </w:r>
      <w:r w:rsidRPr="00070ADE">
        <w:rPr>
          <w:rFonts w:ascii="Times New Roman" w:hAnsi="Times New Roman"/>
          <w:color w:val="000000" w:themeColor="text1"/>
          <w:sz w:val="16"/>
          <w:szCs w:val="16"/>
        </w:rPr>
        <w:lastRenderedPageBreak/>
        <w:t>с турбо</w:t>
      </w:r>
      <w:r w:rsidRPr="00070ADE">
        <w:rPr>
          <w:rFonts w:ascii="Times New Roman" w:hAnsi="Times New Roman"/>
          <w:color w:val="000000" w:themeColor="text1"/>
          <w:sz w:val="16"/>
          <w:szCs w:val="16"/>
        </w:rPr>
        <w:softHyphen/>
        <w:t>компрессором, работающем на номинальном режиме. Из шести выполненных полётов два были пробные, один производился для тарировки указателя скорости и ещё три — для снятия максимальных скоростей и скороподъёмности по высотам. Если в первом по</w:t>
      </w:r>
      <w:r w:rsidRPr="00070ADE">
        <w:rPr>
          <w:rFonts w:ascii="Times New Roman" w:hAnsi="Times New Roman"/>
          <w:color w:val="000000" w:themeColor="text1"/>
          <w:sz w:val="16"/>
          <w:szCs w:val="16"/>
        </w:rPr>
        <w:softHyphen/>
        <w:t>лёте, 25 июля, винтомоторная группа работала нормально, то во втором — перебои в ра</w:t>
      </w:r>
      <w:r w:rsidRPr="00070ADE">
        <w:rPr>
          <w:rFonts w:ascii="Times New Roman" w:hAnsi="Times New Roman"/>
          <w:color w:val="000000" w:themeColor="text1"/>
          <w:sz w:val="16"/>
          <w:szCs w:val="16"/>
        </w:rPr>
        <w:softHyphen/>
        <w:t>боте мотора вынудили Шиянова прекратить полёт. При последующем осмотре мотора обнаружили заброс масла через нагнетатель во всасывающие трубы. Представитель се</w:t>
      </w:r>
      <w:r w:rsidRPr="00070ADE">
        <w:rPr>
          <w:rFonts w:ascii="Times New Roman" w:hAnsi="Times New Roman"/>
          <w:color w:val="000000" w:themeColor="text1"/>
          <w:sz w:val="16"/>
          <w:szCs w:val="16"/>
        </w:rPr>
        <w:softHyphen/>
        <w:t>рийного завода № 19 единолично сделал заключение о необходимости замены мотора на новый. Мотор сняли с серийного самолёта и оборудовали высотными агрегатами. По завершении его установки, 7 августа 1944 г., машину вновь подготовили к продол</w:t>
      </w:r>
      <w:r w:rsidRPr="00070ADE">
        <w:rPr>
          <w:rFonts w:ascii="Times New Roman" w:hAnsi="Times New Roman"/>
          <w:color w:val="000000" w:themeColor="text1"/>
          <w:sz w:val="16"/>
          <w:szCs w:val="16"/>
        </w:rPr>
        <w:softHyphen/>
        <w:t>жению лётных испытаний. В четырёх последующих полетах сняли максимальные скоро</w:t>
      </w:r>
      <w:r w:rsidRPr="00070ADE">
        <w:rPr>
          <w:rFonts w:ascii="Times New Roman" w:hAnsi="Times New Roman"/>
          <w:color w:val="000000" w:themeColor="text1"/>
          <w:sz w:val="16"/>
          <w:szCs w:val="16"/>
        </w:rPr>
        <w:softHyphen/>
        <w:t>сти по площадкам до 8000 м, произвели километраж у земли.</w:t>
      </w:r>
    </w:p>
    <w:p w14:paraId="423885D2" w14:textId="77777777" w:rsidR="00D635A9" w:rsidRPr="00070ADE" w:rsidRDefault="00D635A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Удалось определить основные параметры совместной работы мотора и турбокомпрес</w:t>
      </w:r>
      <w:r w:rsidRPr="00070ADE">
        <w:rPr>
          <w:rFonts w:ascii="Times New Roman" w:hAnsi="Times New Roman"/>
          <w:color w:val="000000" w:themeColor="text1"/>
          <w:sz w:val="16"/>
          <w:szCs w:val="16"/>
        </w:rPr>
        <w:softHyphen/>
        <w:t>соров на установившемся режиме в горизонтальном полёте на различных высотах. Вместе с тем в полётах наблюдалось факеление на выхлопе из-за перегрева выхлопной систе</w:t>
      </w:r>
      <w:r w:rsidRPr="00070ADE">
        <w:rPr>
          <w:rFonts w:ascii="Times New Roman" w:hAnsi="Times New Roman"/>
          <w:color w:val="000000" w:themeColor="text1"/>
          <w:sz w:val="16"/>
          <w:szCs w:val="16"/>
        </w:rPr>
        <w:softHyphen/>
        <w:t>мы, и неравномерного состава смеси по цилиндрам. По мере подъёма на высоту факел увеличивался по длине от 30-40 см у земли до 1,5 м на высоте 8500 м, и начи</w:t>
      </w:r>
      <w:r w:rsidRPr="00070ADE">
        <w:rPr>
          <w:rFonts w:ascii="Times New Roman" w:hAnsi="Times New Roman"/>
          <w:color w:val="000000" w:themeColor="text1"/>
          <w:sz w:val="16"/>
          <w:szCs w:val="16"/>
        </w:rPr>
        <w:softHyphen/>
        <w:t>нал приближаться к концу зализа крыла, где зазор между ложной металлической</w:t>
      </w:r>
    </w:p>
    <w:p w14:paraId="0D72A7A1" w14:textId="77777777" w:rsidR="00D635A9" w:rsidRPr="00070ADE" w:rsidRDefault="00D635A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обшивкой и обшивкой центроплана приближался к нулю. «Благодаря» сильному факеле- нию подняться до границы высотности мотора на первой скорости ПЦН с турбокомпрес</w:t>
      </w:r>
      <w:r w:rsidRPr="00070ADE">
        <w:rPr>
          <w:rFonts w:ascii="Times New Roman" w:hAnsi="Times New Roman"/>
          <w:color w:val="000000" w:themeColor="text1"/>
          <w:sz w:val="16"/>
          <w:szCs w:val="16"/>
        </w:rPr>
        <w:softHyphen/>
        <w:t>сором так и не удалось. Имели место и некоторые другие неполадки: тряска мотора в полёте, небольшая тряска хвостового оперения и высокая температура в кабине. Без подвода инертных газов в бензобак на высоте 8750 м давление бензина падало до нуля.</w:t>
      </w:r>
    </w:p>
    <w:p w14:paraId="029572E8" w14:textId="77777777" w:rsidR="00D635A9" w:rsidRPr="00070ADE" w:rsidRDefault="00D635A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результатов лётных испытаний самолётов Ла-5 и Ла-7 с турбокомпрес</w:t>
      </w:r>
      <w:r w:rsidRPr="00070ADE">
        <w:rPr>
          <w:rFonts w:ascii="Times New Roman" w:hAnsi="Times New Roman"/>
          <w:color w:val="000000" w:themeColor="text1"/>
          <w:sz w:val="16"/>
          <w:szCs w:val="16"/>
        </w:rPr>
        <w:softHyphen/>
        <w:t>сорами ТК-3 и пересчёта высотных характеристик мотора АШ-82ФН с ТК-3 установили, что граница высотности мотора при работе на номинальном режиме, на первой скоро</w:t>
      </w:r>
      <w:r w:rsidRPr="00070ADE">
        <w:rPr>
          <w:rFonts w:ascii="Times New Roman" w:hAnsi="Times New Roman"/>
          <w:color w:val="000000" w:themeColor="text1"/>
          <w:sz w:val="16"/>
          <w:szCs w:val="16"/>
        </w:rPr>
        <w:softHyphen/>
        <w:t>сти с турбокомпрессором равна 9500-10000 м, с учётом скоростного напора, при номи</w:t>
      </w:r>
      <w:r w:rsidRPr="00070ADE">
        <w:rPr>
          <w:rFonts w:ascii="Times New Roman" w:hAnsi="Times New Roman"/>
          <w:color w:val="000000" w:themeColor="text1"/>
          <w:sz w:val="16"/>
          <w:szCs w:val="16"/>
        </w:rPr>
        <w:softHyphen/>
        <w:t>нальном числе оборотов турбокомпрессора (23000 оборотов в минуту), и на 2000-2500 м выше границы, заявленной по характеристике ЦИАМ, без учёта скоростного напора.</w:t>
      </w:r>
    </w:p>
    <w:p w14:paraId="3A65D039" w14:textId="77777777" w:rsidR="00D635A9" w:rsidRPr="00070ADE" w:rsidRDefault="00D635A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12-13 августа Семен Алексеевич дал указание о перегонке самолёта в Москву, и с этой целью 20 августа Шиянов вылетел в Горький. Затем Ла-7 поступил в ЦАГИ, где его продули в аэродинамической трубе.</w:t>
      </w:r>
    </w:p>
    <w:p w14:paraId="6EF1FF69" w14:textId="77777777" w:rsidR="00D635A9" w:rsidRPr="00070ADE" w:rsidRDefault="00D635A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распоряжению Наркома 15 сентября 1944 г. высотный Ла-7 передали на завод № 81 для конструктивной переделки. На самолёте улучшили аэродинамику, усовер</w:t>
      </w:r>
      <w:r w:rsidRPr="00070ADE">
        <w:rPr>
          <w:rFonts w:ascii="Times New Roman" w:hAnsi="Times New Roman"/>
          <w:color w:val="000000" w:themeColor="text1"/>
          <w:sz w:val="16"/>
          <w:szCs w:val="16"/>
        </w:rPr>
        <w:softHyphen/>
        <w:t>шенствовали установку турбокомпрессоров, а также уменьшили вес за счёт некоторых элементов конструкции. Работы удалось закончить лишь к 20-м числам декабря. Во второй половине 1944 г. на заводе № 381 начался выпуск опытной серии из 10 высот</w:t>
      </w:r>
      <w:r w:rsidRPr="00070ADE">
        <w:rPr>
          <w:rFonts w:ascii="Times New Roman" w:hAnsi="Times New Roman"/>
          <w:color w:val="000000" w:themeColor="text1"/>
          <w:sz w:val="16"/>
          <w:szCs w:val="16"/>
        </w:rPr>
        <w:softHyphen/>
        <w:t>ных Ла-7. Модификация Ла-7 с ТК получила заводской индекс «116» по классифика</w:t>
      </w:r>
      <w:r w:rsidRPr="00070ADE">
        <w:rPr>
          <w:rFonts w:ascii="Times New Roman" w:hAnsi="Times New Roman"/>
          <w:color w:val="000000" w:themeColor="text1"/>
          <w:sz w:val="16"/>
          <w:szCs w:val="16"/>
        </w:rPr>
        <w:softHyphen/>
        <w:t>ции ОКБ С.А. Лавочкина, которую вели ещё с завода № 21.</w:t>
      </w:r>
    </w:p>
    <w:p w14:paraId="54E054C8" w14:textId="77777777" w:rsidR="00D635A9" w:rsidRPr="00070ADE" w:rsidRDefault="00D635A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как при лётных испытаниях теоретических расчётных значений высоты и скоростей полёта получить не удалось, а причины расхождения пока оставались неясными, Ла-7 с 2ТК-3 отправили для исследования в ЦАГИ. На основании продувок в аэродинамической трубе Т-101 совместно с институтом выработали рекомендации по улучшению аэроди</w:t>
      </w:r>
      <w:r w:rsidRPr="00070ADE">
        <w:rPr>
          <w:rFonts w:ascii="Times New Roman" w:hAnsi="Times New Roman"/>
          <w:color w:val="000000" w:themeColor="text1"/>
          <w:sz w:val="16"/>
          <w:szCs w:val="16"/>
        </w:rPr>
        <w:softHyphen/>
        <w:t>намики машины и выхлопной системы турбокомпрессора. После их выполнения, 12 ян</w:t>
      </w:r>
      <w:r w:rsidRPr="00070ADE">
        <w:rPr>
          <w:rFonts w:ascii="Times New Roman" w:hAnsi="Times New Roman"/>
          <w:color w:val="000000" w:themeColor="text1"/>
          <w:sz w:val="16"/>
          <w:szCs w:val="16"/>
        </w:rPr>
        <w:softHyphen/>
        <w:t>варя 1945 г. состоялся контрольный полёт, однако его пришлось прекратить из-за сильного факеления из турбокомпрессора. После изменения кинематики управления мо</w:t>
      </w:r>
      <w:r w:rsidRPr="00070ADE">
        <w:rPr>
          <w:rFonts w:ascii="Times New Roman" w:hAnsi="Times New Roman"/>
          <w:color w:val="000000" w:themeColor="text1"/>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070ADE">
        <w:rPr>
          <w:rFonts w:ascii="Times New Roman" w:hAnsi="Times New Roman"/>
          <w:color w:val="000000" w:themeColor="text1"/>
          <w:sz w:val="16"/>
          <w:szCs w:val="16"/>
        </w:rPr>
        <w:softHyphen/>
        <w:t xml:space="preserve">грамме, но из-за того, что Г.М. Шиянов занимался испытаниями Ла-7 с </w:t>
      </w:r>
      <w:r w:rsidRPr="00070ADE">
        <w:rPr>
          <w:rFonts w:ascii="Times New Roman" w:hAnsi="Times New Roman"/>
          <w:color w:val="000000" w:themeColor="text1"/>
          <w:sz w:val="16"/>
          <w:szCs w:val="16"/>
          <w:lang w:val="en-US"/>
        </w:rPr>
        <w:t>ALU</w:t>
      </w:r>
      <w:r w:rsidRPr="00070ADE">
        <w:rPr>
          <w:rFonts w:ascii="Times New Roman" w:hAnsi="Times New Roman"/>
          <w:color w:val="000000" w:themeColor="text1"/>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070ADE">
        <w:rPr>
          <w:rFonts w:ascii="Times New Roman" w:hAnsi="Times New Roman"/>
          <w:color w:val="000000" w:themeColor="text1"/>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070ADE">
        <w:rPr>
          <w:rFonts w:ascii="Times New Roman" w:hAnsi="Times New Roman"/>
          <w:color w:val="000000" w:themeColor="text1"/>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070ADE">
        <w:rPr>
          <w:rFonts w:ascii="Times New Roman" w:hAnsi="Times New Roman"/>
          <w:color w:val="000000" w:themeColor="text1"/>
          <w:sz w:val="16"/>
          <w:szCs w:val="16"/>
        </w:rPr>
        <w:softHyphen/>
        <w:t>готовить новое управление.</w:t>
      </w:r>
    </w:p>
    <w:p w14:paraId="3D215D64" w14:textId="77777777" w:rsidR="00D635A9" w:rsidRPr="00070ADE" w:rsidRDefault="00D635A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Назад из ЦИАМ агрегаты получили лишь в мае. На</w:t>
      </w:r>
      <w:r w:rsidRPr="00070ADE">
        <w:rPr>
          <w:rFonts w:ascii="Times New Roman" w:hAnsi="Times New Roman"/>
          <w:color w:val="000000" w:themeColor="text1"/>
          <w:sz w:val="16"/>
          <w:szCs w:val="16"/>
        </w:rPr>
        <w:softHyphen/>
        <w:t>конец, 14 июня состоялся контрольный полёт до вы</w:t>
      </w:r>
      <w:r w:rsidRPr="00070ADE">
        <w:rPr>
          <w:rFonts w:ascii="Times New Roman" w:hAnsi="Times New Roman"/>
          <w:color w:val="000000" w:themeColor="text1"/>
          <w:sz w:val="16"/>
          <w:szCs w:val="16"/>
        </w:rPr>
        <w:softHyphen/>
        <w:t>соты 1000 м без включения турбокомпрессора, факел образовался только при посадке, для его устране</w:t>
      </w:r>
      <w:r w:rsidRPr="00070ADE">
        <w:rPr>
          <w:rFonts w:ascii="Times New Roman" w:hAnsi="Times New Roman"/>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070ADE">
        <w:rPr>
          <w:rFonts w:ascii="Times New Roman" w:hAnsi="Times New Roman"/>
          <w:color w:val="000000" w:themeColor="text1"/>
          <w:sz w:val="16"/>
          <w:szCs w:val="16"/>
        </w:rPr>
        <w:softHyphen/>
        <w:t>явился факел, его длина достигала 2 м, тогда как в предыдущий раз — 80 см. Снова про</w:t>
      </w:r>
      <w:r w:rsidRPr="00070ADE">
        <w:rPr>
          <w:rFonts w:ascii="Times New Roman" w:hAnsi="Times New Roman"/>
          <w:color w:val="000000" w:themeColor="text1"/>
          <w:sz w:val="16"/>
          <w:szCs w:val="16"/>
        </w:rPr>
        <w:softHyphen/>
        <w:t xml:space="preserve">извели регулировку мотора. После нескольких дней нелётной погоды для высотных </w:t>
      </w:r>
      <w:r w:rsidRPr="00070ADE">
        <w:rPr>
          <w:rStyle w:val="aff7"/>
          <w:rFonts w:ascii="Times New Roman" w:eastAsia="Arial Unicode MS" w:hAnsi="Times New Roman" w:cs="Times New Roman"/>
          <w:i w:val="0"/>
          <w:color w:val="000000" w:themeColor="text1"/>
        </w:rPr>
        <w:t>полётов,</w:t>
      </w:r>
      <w:r w:rsidRPr="00070ADE">
        <w:rPr>
          <w:rFonts w:ascii="Times New Roman" w:hAnsi="Times New Roman"/>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070ADE">
        <w:rPr>
          <w:rFonts w:ascii="Times New Roman" w:hAnsi="Times New Roman"/>
          <w:color w:val="000000" w:themeColor="text1"/>
          <w:sz w:val="16"/>
          <w:szCs w:val="16"/>
        </w:rPr>
        <w:softHyphen/>
        <w:t>вом полёте задание выполнить не удалось. В повторном полёте, после устранения это</w:t>
      </w:r>
      <w:r w:rsidRPr="00070ADE">
        <w:rPr>
          <w:rFonts w:ascii="Times New Roman" w:hAnsi="Times New Roman"/>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070ADE">
        <w:rPr>
          <w:rFonts w:ascii="Times New Roman" w:hAnsi="Times New Roman"/>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Окорокова. Комиссия, по итогам работы, высказала предположение, что причиной катаст</w:t>
      </w:r>
      <w:r w:rsidRPr="00070ADE">
        <w:rPr>
          <w:rFonts w:ascii="Times New Roman" w:hAnsi="Times New Roman"/>
          <w:color w:val="000000" w:themeColor="text1"/>
          <w:sz w:val="16"/>
          <w:szCs w:val="16"/>
        </w:rPr>
        <w:softHyphen/>
        <w:t>рофы послужила потеря лётчиком сознания на высоте.</w:t>
      </w:r>
    </w:p>
    <w:p w14:paraId="44088BE9" w14:textId="77777777" w:rsidR="00D635A9" w:rsidRPr="00070ADE" w:rsidRDefault="00D635A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070ADE">
        <w:rPr>
          <w:rFonts w:ascii="Times New Roman" w:hAnsi="Times New Roman"/>
          <w:color w:val="000000" w:themeColor="text1"/>
          <w:sz w:val="16"/>
          <w:szCs w:val="16"/>
        </w:rPr>
        <w:softHyphen/>
        <w:t>требителям. На этом закончилось развитие опытных самолётов С.А. Лавочкина с ТК (15830).</w:t>
      </w:r>
    </w:p>
    <w:p w14:paraId="16EC4788" w14:textId="77777777" w:rsidR="00D635A9" w:rsidRPr="00070ADE" w:rsidRDefault="00D635A9" w:rsidP="00B56F90">
      <w:pPr>
        <w:spacing w:after="0" w:line="240" w:lineRule="auto"/>
        <w:jc w:val="both"/>
        <w:rPr>
          <w:rFonts w:ascii="Times New Roman" w:hAnsi="Times New Roman"/>
          <w:color w:val="000000" w:themeColor="text1"/>
          <w:sz w:val="16"/>
          <w:szCs w:val="16"/>
        </w:rPr>
      </w:pPr>
    </w:p>
    <w:p w14:paraId="0180F6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мая 1944 г. И—222в первый раз поднялся в небо. Заводские испытания проводили ведущий инженер К.П.Ковалевский и летчик-испытатель А.П.Якимов. В период с 26 июля по 9 августа 1944 г. была выполне</w:t>
      </w:r>
      <w:r w:rsidRPr="00070ADE">
        <w:rPr>
          <w:rFonts w:ascii="Times New Roman" w:hAnsi="Times New Roman"/>
          <w:color w:val="000000" w:themeColor="text1"/>
          <w:sz w:val="16"/>
          <w:szCs w:val="16"/>
        </w:rPr>
        <w:softHyphen/>
        <w:t>на продувка машины в натурной аэродинамической трубе ЦАГИ. После этого произвели доработку само</w:t>
      </w:r>
      <w:r w:rsidRPr="00070ADE">
        <w:rPr>
          <w:rFonts w:ascii="Times New Roman" w:hAnsi="Times New Roman"/>
          <w:color w:val="000000" w:themeColor="text1"/>
          <w:sz w:val="16"/>
          <w:szCs w:val="16"/>
        </w:rPr>
        <w:softHyphen/>
        <w:t>лета: установили новые предкрылки и увеличенный воздухо-воздушный радиатор, борта фюзеляжа об</w:t>
      </w:r>
      <w:r w:rsidRPr="00070ADE">
        <w:rPr>
          <w:rFonts w:ascii="Times New Roman" w:hAnsi="Times New Roman"/>
          <w:color w:val="000000" w:themeColor="text1"/>
          <w:sz w:val="16"/>
          <w:szCs w:val="16"/>
        </w:rPr>
        <w:softHyphen/>
        <w:t>шили металлическими листами (защита от факела пламени, истекающего из турбокомпрессора). 1 сен</w:t>
      </w:r>
      <w:r w:rsidRPr="00070ADE">
        <w:rPr>
          <w:rFonts w:ascii="Times New Roman" w:hAnsi="Times New Roman"/>
          <w:color w:val="000000" w:themeColor="text1"/>
          <w:sz w:val="16"/>
          <w:szCs w:val="16"/>
        </w:rPr>
        <w:softHyphen/>
        <w:t>тября 1944 г. в контрольный полет на И-222 отпра</w:t>
      </w:r>
      <w:r w:rsidRPr="00070ADE">
        <w:rPr>
          <w:rFonts w:ascii="Times New Roman" w:hAnsi="Times New Roman"/>
          <w:color w:val="000000" w:themeColor="text1"/>
          <w:sz w:val="16"/>
          <w:szCs w:val="16"/>
        </w:rPr>
        <w:softHyphen/>
        <w:t>вился летчик-испытатель И.И.Шелест, поскольку Якимов находился в госпитале. 4 сентября испыта</w:t>
      </w:r>
      <w:r w:rsidRPr="00070ADE">
        <w:rPr>
          <w:rFonts w:ascii="Times New Roman" w:hAnsi="Times New Roman"/>
          <w:color w:val="000000" w:themeColor="text1"/>
          <w:sz w:val="16"/>
          <w:szCs w:val="16"/>
        </w:rPr>
        <w:softHyphen/>
        <w:t>ния самолета продолжил ГМ.Шиянов, так как 3 сен</w:t>
      </w:r>
      <w:r w:rsidRPr="00070ADE">
        <w:rPr>
          <w:rFonts w:ascii="Times New Roman" w:hAnsi="Times New Roman"/>
          <w:color w:val="000000" w:themeColor="text1"/>
          <w:sz w:val="16"/>
          <w:szCs w:val="16"/>
        </w:rPr>
        <w:softHyphen/>
        <w:t>тября Шелест потерпел аварию на другом самолете и тоже попал в госпиталь. В ходе заводских летных испытаний было выпол</w:t>
      </w:r>
      <w:r w:rsidRPr="00070ADE">
        <w:rPr>
          <w:rFonts w:ascii="Times New Roman" w:hAnsi="Times New Roman"/>
          <w:color w:val="000000" w:themeColor="text1"/>
          <w:sz w:val="16"/>
          <w:szCs w:val="16"/>
        </w:rPr>
        <w:softHyphen/>
        <w:t>нено 39 полетов. Потолок истребителя составил все</w:t>
      </w:r>
      <w:r w:rsidRPr="00070ADE">
        <w:rPr>
          <w:rFonts w:ascii="Times New Roman" w:hAnsi="Times New Roman"/>
          <w:color w:val="000000" w:themeColor="text1"/>
          <w:sz w:val="16"/>
          <w:szCs w:val="16"/>
        </w:rPr>
        <w:softHyphen/>
        <w:t xml:space="preserve">го 12000 м. Заданной высоты </w:t>
      </w:r>
      <w:r w:rsidRPr="00070ADE">
        <w:rPr>
          <w:rFonts w:ascii="Times New Roman" w:hAnsi="Times New Roman"/>
          <w:iCs/>
          <w:color w:val="000000" w:themeColor="text1"/>
          <w:sz w:val="16"/>
          <w:szCs w:val="16"/>
        </w:rPr>
        <w:t xml:space="preserve">И-222 </w:t>
      </w:r>
      <w:r w:rsidRPr="00070ADE">
        <w:rPr>
          <w:rFonts w:ascii="Times New Roman" w:hAnsi="Times New Roman"/>
          <w:color w:val="000000" w:themeColor="text1"/>
          <w:sz w:val="16"/>
          <w:szCs w:val="16"/>
        </w:rPr>
        <w:t>не смог достичь из-за падения давления масла и бензина, а также не</w:t>
      </w:r>
      <w:r w:rsidRPr="00070ADE">
        <w:rPr>
          <w:rFonts w:ascii="Times New Roman" w:hAnsi="Times New Roman"/>
          <w:color w:val="000000" w:themeColor="text1"/>
          <w:sz w:val="16"/>
          <w:szCs w:val="16"/>
        </w:rPr>
        <w:softHyphen/>
        <w:t>устойчивой работы винтомоторной группы. В соот</w:t>
      </w:r>
      <w:r w:rsidRPr="00070ADE">
        <w:rPr>
          <w:rFonts w:ascii="Times New Roman" w:hAnsi="Times New Roman"/>
          <w:color w:val="000000" w:themeColor="text1"/>
          <w:sz w:val="16"/>
          <w:szCs w:val="16"/>
        </w:rPr>
        <w:softHyphen/>
        <w:t xml:space="preserve">ветствии с приказом наркома от 19 октября 1944 г. истребитель </w:t>
      </w:r>
      <w:r w:rsidRPr="00070ADE">
        <w:rPr>
          <w:rFonts w:ascii="Times New Roman" w:hAnsi="Times New Roman"/>
          <w:iCs/>
          <w:color w:val="000000" w:themeColor="text1"/>
          <w:sz w:val="16"/>
          <w:szCs w:val="16"/>
        </w:rPr>
        <w:t xml:space="preserve">И-222 </w:t>
      </w:r>
      <w:r w:rsidRPr="00070ADE">
        <w:rPr>
          <w:rFonts w:ascii="Times New Roman" w:hAnsi="Times New Roman"/>
          <w:color w:val="000000" w:themeColor="text1"/>
          <w:sz w:val="16"/>
          <w:szCs w:val="16"/>
        </w:rPr>
        <w:t>передали в ЛИИ для продолже</w:t>
      </w:r>
      <w:r w:rsidRPr="00070ADE">
        <w:rPr>
          <w:rFonts w:ascii="Times New Roman" w:hAnsi="Times New Roman"/>
          <w:color w:val="000000" w:themeColor="text1"/>
          <w:sz w:val="16"/>
          <w:szCs w:val="16"/>
        </w:rPr>
        <w:softHyphen/>
        <w:t>ния испытаний. Там он совершил всего три полета; 26 января 1945 г. с машины сняли мотор и отправили на завод № 300 для переборки. Однако после ремон</w:t>
      </w:r>
      <w:r w:rsidRPr="00070ADE">
        <w:rPr>
          <w:rFonts w:ascii="Times New Roman" w:hAnsi="Times New Roman"/>
          <w:color w:val="000000" w:themeColor="text1"/>
          <w:sz w:val="16"/>
          <w:szCs w:val="16"/>
        </w:rPr>
        <w:softHyphen/>
        <w:t>та опытный мотор АМ-39Б стал работать еще хуже: отмечалось падение давления масла, поэтому после пяти полетов двигатель вновь пришлось снять и от</w:t>
      </w:r>
      <w:r w:rsidRPr="00070ADE">
        <w:rPr>
          <w:rFonts w:ascii="Times New Roman" w:hAnsi="Times New Roman"/>
          <w:color w:val="000000" w:themeColor="text1"/>
          <w:sz w:val="16"/>
          <w:szCs w:val="16"/>
        </w:rPr>
        <w:softHyphen/>
        <w:t xml:space="preserve">править на моторный завод. Больше </w:t>
      </w:r>
      <w:r w:rsidRPr="00070ADE">
        <w:rPr>
          <w:rFonts w:ascii="Times New Roman" w:hAnsi="Times New Roman"/>
          <w:iCs/>
          <w:color w:val="000000" w:themeColor="text1"/>
          <w:sz w:val="16"/>
          <w:szCs w:val="16"/>
        </w:rPr>
        <w:t xml:space="preserve">И—222 </w:t>
      </w:r>
      <w:r w:rsidRPr="00070ADE">
        <w:rPr>
          <w:rFonts w:ascii="Times New Roman" w:hAnsi="Times New Roman"/>
          <w:color w:val="000000" w:themeColor="text1"/>
          <w:sz w:val="16"/>
          <w:szCs w:val="16"/>
        </w:rPr>
        <w:t>не летал. В отчете завода № 300 о работе в 1944 г. со ссылкой на акты аварийных комиссий отмечалось, что одной из основных причин выхода из строя моторов АМ-39 на самолетах ОКБ Микояна было разрушение тру</w:t>
      </w:r>
      <w:r w:rsidRPr="00070ADE">
        <w:rPr>
          <w:rFonts w:ascii="Times New Roman" w:hAnsi="Times New Roman"/>
          <w:color w:val="000000" w:themeColor="text1"/>
          <w:sz w:val="16"/>
          <w:szCs w:val="16"/>
        </w:rPr>
        <w:softHyphen/>
        <w:t>щихся поверхностей в узлах мотора из-за дефектов маслосистем самолетов (9984).</w:t>
      </w:r>
    </w:p>
    <w:p w14:paraId="4B866B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D057F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мая 1944 вышло Постановление ГКО № 5795 О Государственном научно-испытательном институте ВВС Красной Армии. (7227, 135-136).</w:t>
      </w:r>
    </w:p>
    <w:p w14:paraId="19CBC45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37681D" w14:textId="77777777" w:rsidR="0090533F" w:rsidRPr="00070ADE" w:rsidRDefault="0090533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мая 1944 вышло Постановление ГКО № 5795 О Государственном научно-испытательном институте ВВС Красной Армии</w:t>
      </w:r>
    </w:p>
    <w:p w14:paraId="1DA1F0B6" w14:textId="77777777" w:rsidR="0090533F" w:rsidRPr="00070ADE" w:rsidRDefault="0090533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повышения ответственности за государственные испытания самолетов и всей авиационной техники Государ</w:t>
      </w:r>
      <w:r w:rsidRPr="00070ADE">
        <w:rPr>
          <w:rFonts w:ascii="Times New Roman" w:hAnsi="Times New Roman"/>
          <w:color w:val="000000" w:themeColor="text1"/>
          <w:sz w:val="16"/>
          <w:szCs w:val="16"/>
        </w:rPr>
        <w:softHyphen/>
        <w:t>ственный Комитет Обороны постановляет:</w:t>
      </w:r>
    </w:p>
    <w:p w14:paraId="689C373A" w14:textId="77777777" w:rsidR="0090533F" w:rsidRPr="00070ADE" w:rsidRDefault="0090533F" w:rsidP="00B56F90">
      <w:pPr>
        <w:tabs>
          <w:tab w:val="left" w:pos="144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Об"единить ныне существующие в системе ВВС КА три научно-испытательных института - НИИ ВВС КА, НИИ авиационного вооружения и НИИ специальных служб в еди</w:t>
      </w:r>
      <w:r w:rsidRPr="00070ADE">
        <w:rPr>
          <w:rFonts w:ascii="Times New Roman" w:hAnsi="Times New Roman"/>
          <w:color w:val="000000" w:themeColor="text1"/>
          <w:sz w:val="16"/>
          <w:szCs w:val="16"/>
        </w:rPr>
        <w:softHyphen/>
        <w:t>ный институт, присвоив ему наименование "Государственный научно-испытательный институт Военно-воздушных сил Красной Армии";</w:t>
      </w:r>
    </w:p>
    <w:p w14:paraId="4BFFA65A" w14:textId="77777777" w:rsidR="0090533F" w:rsidRPr="00070ADE" w:rsidRDefault="0090533F" w:rsidP="00B56F90">
      <w:pPr>
        <w:tabs>
          <w:tab w:val="left" w:pos="144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Начальником института назначить главного инжене</w:t>
      </w:r>
      <w:r w:rsidRPr="00070ADE">
        <w:rPr>
          <w:rFonts w:ascii="Times New Roman" w:hAnsi="Times New Roman"/>
          <w:color w:val="000000" w:themeColor="text1"/>
          <w:sz w:val="16"/>
          <w:szCs w:val="16"/>
        </w:rPr>
        <w:softHyphen/>
        <w:t>ра ВВС КА генерал-полковника инженерно-авиационной служ</w:t>
      </w:r>
      <w:r w:rsidRPr="00070ADE">
        <w:rPr>
          <w:rFonts w:ascii="Times New Roman" w:hAnsi="Times New Roman"/>
          <w:color w:val="000000" w:themeColor="text1"/>
          <w:sz w:val="16"/>
          <w:szCs w:val="16"/>
        </w:rPr>
        <w:softHyphen/>
        <w:t>бы тов.Репина А,К. с оставлением его заместителем коман</w:t>
      </w:r>
      <w:r w:rsidRPr="00070ADE">
        <w:rPr>
          <w:rFonts w:ascii="Times New Roman" w:hAnsi="Times New Roman"/>
          <w:color w:val="000000" w:themeColor="text1"/>
          <w:sz w:val="16"/>
          <w:szCs w:val="16"/>
        </w:rPr>
        <w:softHyphen/>
        <w:t>дующего по инженерно-авиационной службе и членом Военно</w:t>
      </w:r>
      <w:r w:rsidRPr="00070ADE">
        <w:rPr>
          <w:rFonts w:ascii="Times New Roman" w:hAnsi="Times New Roman"/>
          <w:color w:val="000000" w:themeColor="text1"/>
          <w:sz w:val="16"/>
          <w:szCs w:val="16"/>
        </w:rPr>
        <w:softHyphen/>
        <w:t>го Совета ВВС Красной Армии.</w:t>
      </w:r>
    </w:p>
    <w:p w14:paraId="299DB552" w14:textId="77777777" w:rsidR="0090533F" w:rsidRPr="00070ADE" w:rsidRDefault="0090533F" w:rsidP="00B56F90">
      <w:pPr>
        <w:tabs>
          <w:tab w:val="left" w:pos="145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Утвердить первым заместителем начальника институ</w:t>
      </w:r>
      <w:r w:rsidRPr="00070ADE">
        <w:rPr>
          <w:rFonts w:ascii="Times New Roman" w:hAnsi="Times New Roman"/>
          <w:color w:val="000000" w:themeColor="text1"/>
          <w:sz w:val="16"/>
          <w:szCs w:val="16"/>
        </w:rPr>
        <w:softHyphen/>
        <w:t>та генерал-лейтенанта инженерно-авиационной службы т.Лосюкова П.А., заместителем по специальным службам генерал- лейтенанта инженерно-авиационной службы т.Данилина С.А. и заместителем по авиационному вооружению генерал-майора инженерно-авиационной службы т.Гуревпча М.В.</w:t>
      </w:r>
    </w:p>
    <w:p w14:paraId="2241D079" w14:textId="77777777" w:rsidR="0090533F" w:rsidRPr="00070ADE" w:rsidRDefault="0090533F" w:rsidP="00B56F90">
      <w:pPr>
        <w:tabs>
          <w:tab w:val="left" w:pos="146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Командующему ВВС КА тов.Новикову:</w:t>
      </w:r>
    </w:p>
    <w:p w14:paraId="51E788F3" w14:textId="77777777" w:rsidR="0090533F" w:rsidRPr="00070ADE" w:rsidRDefault="0090533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представить к 15 мая с.г. на утверждение ГОКО положение об институте и положение о порядке пред"явления и прохождения испытаний самолетов и всех объектов авиа</w:t>
      </w:r>
      <w:r w:rsidRPr="00070ADE">
        <w:rPr>
          <w:rFonts w:ascii="Times New Roman" w:hAnsi="Times New Roman"/>
          <w:color w:val="000000" w:themeColor="text1"/>
          <w:sz w:val="16"/>
          <w:szCs w:val="16"/>
        </w:rPr>
        <w:softHyphen/>
        <w:t>ционной техники;</w:t>
      </w:r>
    </w:p>
    <w:p w14:paraId="3A7DA7B2" w14:textId="77777777" w:rsidR="0090533F" w:rsidRPr="00070ADE" w:rsidRDefault="0090533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разработать я представить к 15 мая с.г. на утверждение НКО штат института;</w:t>
      </w:r>
    </w:p>
    <w:p w14:paraId="01973434" w14:textId="77777777" w:rsidR="0090533F" w:rsidRPr="00070ADE" w:rsidRDefault="0090533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представить к 1 июня с.г. на утверждение ГОКО мероприятия по усилению научно-испытательной базы института (19485).</w:t>
      </w:r>
    </w:p>
    <w:p w14:paraId="20BA6EE2" w14:textId="77777777" w:rsidR="0090533F" w:rsidRPr="00070ADE" w:rsidRDefault="0090533F"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3C8C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ГКО от 1 мая 1944 НИИ ВВС стал Государственным НИИ ВВС (173,325).</w:t>
      </w:r>
    </w:p>
    <w:p w14:paraId="4CDC4D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A625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мая 1944 года Постановлением государственного комитета обороны СССР на основе объединения НИИ ВВС, НИИ СС ВВС и НИИ АВ ВВС был создан такой единый центр, получивший наименование Государственный Научно-испытательный Институт ВВС КА ( ГосНИИ ВВС КА ).</w:t>
      </w:r>
    </w:p>
    <w:p w14:paraId="12F76C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новой штатной структуре в состав ГосНИИ ВВС КА входили:</w:t>
      </w:r>
    </w:p>
    <w:p w14:paraId="39033A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Командование, штаб, политотдел, Дом Красной Армии,. отдел кадров, финансово –плановый отдел, летно-эксплуатационная служба, испытательные управления и отделы, служба тыла. Кроме того для обеспечения Института материальными и техническими средствами и всеми видами довольствия при ГосНИИ ВВС КА была сформирована авиабаза, непосредственно подчиненная заместителю начальника ГосНИИ ВВС по службе тыла.</w:t>
      </w:r>
    </w:p>
    <w:p w14:paraId="4BE6B5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Общая численность личного состава ГосНИИ ВВС, (без учета авиабазы) составляла 2524 военнослужащих (в том числе 105 человек летно-штурманского и 939 человек инженерно-технического состава) и 1050 человек вольнонаемных (11017).</w:t>
      </w:r>
    </w:p>
    <w:p w14:paraId="6CC655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FCB7D2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C8DE1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021776" w14:textId="77777777" w:rsidR="009B7CB6" w:rsidRPr="00070ADE" w:rsidRDefault="009B7C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 по 4 мая 1944 на Гороховецком АНИОП прошли испытаний СУ-57</w:t>
      </w:r>
    </w:p>
    <w:p w14:paraId="7D4AE25B" w14:textId="77777777" w:rsidR="009B7CB6" w:rsidRPr="00070ADE" w:rsidRDefault="009B7C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постройки опытного образца машины была взята серийная СУ-76М с серийным номером 404855, выпущенная в апреле 1944 года. Первые её испытания стрельбой прошли на заводе 30 апреля. Всего произвели 25 выстрелов, из них 20 усиленным зарядом. На АНИОП произвели ещё 270 выстрелов, из них 107 на усиленном заряде. Кучность осколочно-фугасного снаряда признали удовлетворительной, а кучность бронебойно-трассирующего снаряда — неудовлетворительной. Это была проблема не САУ, а её пушки: похожие проблемы АНИОП отмечал и при испытании ЗИС-2 осенью 1943 года. Лучше оказались результаты стрельбой подкалиберным снарядом.</w:t>
      </w:r>
    </w:p>
    <w:p w14:paraId="3CDAAAC1" w14:textId="77777777" w:rsidR="009B7CB6" w:rsidRPr="00070ADE" w:rsidRDefault="009B7C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Прицельная скорострельность достигла 10 выстрелов в минуту, а максимальная — до 15. Испытателям не понравились прицельные приспособления. СУ-76М получила не ЗИС-2, а ствол от неё: панорамный прицел от ЗИС-3, плохо подходивший для стрельбы по движущимся целям, остался на месте. Также не понравилось боевое отделение, частично открытое сзади и с боков.</w:t>
      </w:r>
    </w:p>
    <w:p w14:paraId="2BD584F5" w14:textId="77777777" w:rsidR="009B7CB6" w:rsidRPr="00070ADE" w:rsidRDefault="009B7C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Опытную САУ признали выдержавшей испытания, но требующей ряда переделок. Вместо панорамного прицела следовало поставить телескопический прицел 10-Т. Также нужно было установить электроспуск с кнопкой в рукоятке маховика подъёмного механизма и сделать боевое отделение полностью закрытым. Крышу требовалось изготовить из листов толщиной 5–8 мм, а борта и корму — 15 мм. В корме предусматривался двухстворчатый люк.</w:t>
      </w:r>
    </w:p>
    <w:p w14:paraId="395A727C" w14:textId="77777777" w:rsidR="009B7CB6" w:rsidRPr="00070ADE" w:rsidRDefault="009B7C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учётом этих требований КБ ГАЗ им. Молотова разработало второй вариант САУ. Вместо изготовления новой машины в июне 1944 года был переделан уже имеющийся образец. Наибольшие изменения претерпело боевое отделение, которое стало полностью закрытым. Боевая масса этой машины указывается такой же, как и СУ-76М, что выглядит сомнительно. Вероятнее всего, она выросла примерно на полтонны. Для улучшения обзорности в крыше появились перископические приборы наблюдения MK-IV. Переделка вооружения выполнялась в соответствии с полученным заданием (18098).</w:t>
      </w:r>
    </w:p>
    <w:p w14:paraId="5DE6E3D3" w14:textId="77777777" w:rsidR="009B7CB6" w:rsidRPr="00070ADE" w:rsidRDefault="009B7CB6" w:rsidP="00B56F90">
      <w:pPr>
        <w:spacing w:after="0" w:line="240" w:lineRule="auto"/>
        <w:jc w:val="both"/>
        <w:rPr>
          <w:rFonts w:ascii="Times New Roman" w:hAnsi="Times New Roman"/>
          <w:color w:val="000000" w:themeColor="text1"/>
          <w:sz w:val="16"/>
          <w:szCs w:val="16"/>
        </w:rPr>
      </w:pPr>
    </w:p>
    <w:p w14:paraId="1AFE142B" w14:textId="77777777" w:rsidR="00CD5E5B" w:rsidRPr="00070ADE" w:rsidRDefault="00CD5E5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мая 1944 г. в Мулино начались тесты СУ-57. Исходя из этих дат, а также того, что разговор между Акоповым и Яковлевым состоялся где-то в начале 20-х чисел апреля, все работы по СУ-57 заняли где-то неделю. На заводе взяли СУ-76М валового выпуска (серийный номер 404855, выпущена в апреле 1944 года), которую минимально доработали. Стоит обратить внимание, что на машине стояла не ЗИС-2, а ЗИС-3, в которую воткнули ствол ЗИС-2. Такая конверсия делалась элементарно. Прицельные приспособления остались от ЗИС-3. Перед отправкой на полигон прошли заводские испытания, состоялись они 30 апреля.</w:t>
      </w:r>
    </w:p>
    <w:p w14:paraId="205876E3" w14:textId="77777777" w:rsidR="00CD5E5B" w:rsidRPr="00070ADE" w:rsidRDefault="00CD5E5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оказались кратковременными, они носили проверочный характер - как поведет себя ЗИС-2 на шасси СУ-76. В период с 1 по 4 мая 1944 года было произведено 270 выстрелов, из них 107 на усиленном заряде. Прочность системы признали удовлетворительной, как и кучность осколочно-фугасных снарядов. Проблемы оказались с кучностью бронебойных снарядов, но это не являлось проблемой САУ. То же самое было и на испытаниях 1943 года, то есть дело было в орудии. По итогам испытаний Гороховецкий АНИОП признал конверсию равнозначной по удобству работы обычной СУ-76М. Но при этом появилась оговорка: для лучшей защиты расчета предлагалось полностью закрыть боевое отделение.</w:t>
      </w:r>
    </w:p>
    <w:p w14:paraId="7CD59DF4" w14:textId="77777777" w:rsidR="00CD5E5B" w:rsidRPr="00070ADE" w:rsidRDefault="00CD5E5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Боевоме отделение СУ-57 испытатели подвергли критике. Для противотанковой пушки панорамный прицел подходил не лучшим образом, требовалось поставить телескопический прицел. Что же касается закрытого боевого отделения, то это требование появилось у Гороховецкого АНИОП не случайно. С фронта шли жалобы на открытое боевое отделение СУ-76М, которое пришлось сделать таким по причине перегрузки шасси. Для проверки уровня концентрации пороховых газов была проведена стрельба с закрытым тентом боевым отделением. Выяснилось, что понадобится либо вытяжной вентилятор, либо открытые при стрельбе люки (24276).</w:t>
      </w:r>
    </w:p>
    <w:p w14:paraId="2A19A263" w14:textId="77777777" w:rsidR="00CD5E5B" w:rsidRPr="00070ADE" w:rsidRDefault="00CD5E5B" w:rsidP="00B56F90">
      <w:pPr>
        <w:spacing w:after="0" w:line="240" w:lineRule="auto"/>
        <w:jc w:val="both"/>
        <w:rPr>
          <w:rFonts w:ascii="Times New Roman" w:hAnsi="Times New Roman"/>
          <w:color w:val="000000" w:themeColor="text1"/>
          <w:sz w:val="16"/>
          <w:szCs w:val="16"/>
        </w:rPr>
      </w:pPr>
    </w:p>
    <w:p w14:paraId="7DBEFB4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мая 1944 вышло Постановление ГКО № 5796 [О выдаче 10 легковых автомашин "Виллис" Главвоенпромстрою при СНК СССР.] (7227, 137).</w:t>
      </w:r>
    </w:p>
    <w:p w14:paraId="22B9D22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BF8D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 мая 1944 г. ульяновцы собрали первый образец ЗИС-253 (12098).</w:t>
      </w:r>
    </w:p>
    <w:p w14:paraId="48AC68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8A7D1FB" w14:textId="77777777" w:rsidR="007874A2" w:rsidRPr="00070ADE" w:rsidRDefault="007874A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 мая 1944 в Ульяновске собрали первый авто</w:t>
      </w:r>
      <w:r w:rsidRPr="00070ADE">
        <w:rPr>
          <w:rFonts w:ascii="Times New Roman" w:hAnsi="Times New Roman"/>
          <w:color w:val="000000" w:themeColor="text1"/>
          <w:sz w:val="16"/>
          <w:szCs w:val="16"/>
        </w:rPr>
        <w:softHyphen/>
        <w:t>мобиль ЗИС-253. По внешнему виду он слегка отли</w:t>
      </w:r>
      <w:r w:rsidRPr="00070ADE">
        <w:rPr>
          <w:rFonts w:ascii="Times New Roman" w:hAnsi="Times New Roman"/>
          <w:color w:val="000000" w:themeColor="text1"/>
          <w:sz w:val="16"/>
          <w:szCs w:val="16"/>
        </w:rPr>
        <w:softHyphen/>
        <w:t>чался от своего прототипа УльЗИС-НАТИ (22518).</w:t>
      </w:r>
    </w:p>
    <w:p w14:paraId="592F8E48" w14:textId="77777777" w:rsidR="007874A2" w:rsidRPr="00070ADE" w:rsidRDefault="007874A2" w:rsidP="00B56F90">
      <w:pPr>
        <w:spacing w:after="0" w:line="240" w:lineRule="auto"/>
        <w:jc w:val="both"/>
        <w:rPr>
          <w:rFonts w:ascii="Times New Roman" w:hAnsi="Times New Roman"/>
          <w:color w:val="000000" w:themeColor="text1"/>
          <w:sz w:val="16"/>
          <w:szCs w:val="16"/>
        </w:rPr>
      </w:pPr>
    </w:p>
    <w:p w14:paraId="2C5CD4FA" w14:textId="77777777" w:rsidR="001C36F9" w:rsidRPr="00C94B78" w:rsidRDefault="001C36F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 мая 1944 года, в День международной солидарности трудящихся, опытный образец машины УльЗИС-253, по традиции, выехал из заводских ворот после торжественного митинга и проехал по улицам города. УльЗИС-НАТИ-253 грузоподъемностью 3,5 тыл разработан в НАТИ (бывшем и будущем НАМИ), с двухтактным трехцилиндровым дизельным двигателем GMC-3-71 (Ne=76 л.с. при 2000 об/мин; Vh=3490 см3), еще не выпускаемым в СССР. Несмотря на наличие ходового образца грузовика, собранного на ЗОК НАТИ, заводчане решили продемонстрировать свой потенциал и изготовить собственный опытный автомобиль (предположительно, с помощью инженеров НАТИ и с использованием шасси с московского ЗИС) (25592).</w:t>
      </w:r>
    </w:p>
    <w:p w14:paraId="006342E8" w14:textId="77777777" w:rsidR="001C36F9" w:rsidRPr="00C94B78" w:rsidRDefault="001C36F9" w:rsidP="00B56F90">
      <w:pPr>
        <w:spacing w:after="0" w:line="240" w:lineRule="auto"/>
        <w:jc w:val="both"/>
        <w:rPr>
          <w:rFonts w:ascii="Times New Roman" w:hAnsi="Times New Roman"/>
          <w:color w:val="0070C0"/>
          <w:sz w:val="16"/>
          <w:szCs w:val="16"/>
        </w:rPr>
      </w:pPr>
    </w:p>
    <w:p w14:paraId="193C056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EA78D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DF7B2B"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мая</w:t>
      </w:r>
      <w:r w:rsidRPr="00070ADE">
        <w:rPr>
          <w:rFonts w:ascii="Times New Roman" w:hAnsi="Times New Roman"/>
          <w:color w:val="000000" w:themeColor="text1"/>
          <w:sz w:val="16"/>
          <w:szCs w:val="16"/>
        </w:rPr>
        <w:t xml:space="preserve"> в 1944 году оперативная сводка Совинформбюро:</w:t>
      </w:r>
    </w:p>
    <w:p w14:paraId="54850493"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 мая на фронтах существенных изменений не произошло. За 30 апреля наши войска на всех фронтах подбили и уничтожили 24 немецких танка. В воздушных боях и огнём зенитной артиллерии сбито 43 самолёта противника.</w:t>
      </w:r>
    </w:p>
    <w:p w14:paraId="0E0D613C"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Массированный налёт нашей авиации на железнодорожный узел Брест:</w:t>
      </w:r>
    </w:p>
    <w:p w14:paraId="3257E881"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1-е мая наша авиация дальнего действия произвела массированный налёт на железнодорожный узел Брест. В результате бомбардировки на железнодорожном узле возникло 17 очагов пожара, из них 4 пожара особенно больших размеров. Горели эшелоны противника с войсками, боеприпасами и боевой техникой. Пожары сопровождались взрывами.</w:t>
      </w:r>
    </w:p>
    <w:p w14:paraId="717F6F0F"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Один наш самолёт не вернулся на свой аэродром.»</w:t>
      </w:r>
    </w:p>
    <w:p w14:paraId="40D47641"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группа танков и пехота немцев атаковала наши позиции. В результате боёв, продолжавшихся в течение всего дня, противник был отброшен на исходные рубежи. Уничтожено до батальона гитлеровцев, сожжено и подбито 4 немецких танка и 3 самоходных орудия. На другом участке немецкие пулемётчики, засевшие в дзоте, вели обстрел перешедших в атаку советских подразделений. Сержант Ястребцов подобрался к вражескому дзоту на 10-15 метров и бросил в его амбразуру гранату. Однако пулемёт продолжал вести огонь. Тогда товарищ Ястребцов быстро подбежал к дзоту и закрыл амбразуру, своей грудью. Наши подразделения, видя геройскую смерть своего товарища, двинулись вперед и разгромили немцев.</w:t>
      </w:r>
    </w:p>
    <w:p w14:paraId="31C9735B"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лётчики наносили удары по коммуникациям противника. В результате действий нашей авиации взорвано два железнодорожных эшелона, несколько складов с боеприпасами и склад с горючим. В воздушных боях наши лётчики сбили 18 немецких самолётов.</w:t>
      </w:r>
    </w:p>
    <w:p w14:paraId="185B3870"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города Яссы немцы дважды пытались захватить выгодные позиции. Советские бойцы артиллерийско-миномётным и ружейно-пулемётным огнём отбили атаки противника. В ходе боя уничтожено до 600 гитлеровцев, сожжено и подбито несколько немецких танков и самоходных орудий.</w:t>
      </w:r>
    </w:p>
    <w:p w14:paraId="7E90D403"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Тирасполь советские разведчики ночью проникли в район артиллерийских позиций противника. Одна группа разведчиков открыла огонь из автоматов. В это время наши бойцы, пользуясь возникшей среди немцев паникой, уничтожили 3 орудия, трактор и несколько автомашин. Захватив 7 ручных пулемётов, разведчики вернулись в свою часть.</w:t>
      </w:r>
    </w:p>
    <w:p w14:paraId="15226131"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Партизанские отряды, действующие в южных районах Молдавской ССР, дезорганизуют тылы немецко-румынских войск. Партизаны минируют дороги и из засад уничтожают вражеские обозы и живую силу. Только за 9 и 10 апреля советские патриоты подорвали 2 танка, 16 автомашин и несколько десятков повозок. Группа партизан 14-го апреля напала на большой обоз противника, следовавший к линии фронта. В результате короткой схватки обоз был разгромлен. Убито 60 гитлеровцев. Захвачено много боеприпасов.</w:t>
      </w:r>
    </w:p>
    <w:p w14:paraId="62F75011"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величайшей радостью встретил советский народ первомайский приказ Верховного Главнокомандующего Маршала Советского Союза товарища Сталина. Рабочие, колхозники, интеллигенция, воодушевлённые высокой оценкой, которую дал товарищ Сталин советскому тылу, на митингах и собраниях единодушно заявляют, что они и в дальнейшем не останутся в долгу перед героической Красной Армией.</w:t>
      </w:r>
    </w:p>
    <w:p w14:paraId="44C79004"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 мая после передачи по радио первомайского приказа товарища Сталина на московском заводе «Красный пролетарий» состоялись митинги. Старший мастер сборочного цеха т. Грингауз выступил с взволнованной речью: «Мы горды тем, что успехи Красной Армии неразрывно связаны с самоотверженным трудом рабочих, колхозников и интеллигенции. Наш завод выполнил четырёхмесячную программу текущего года к 25 апреля. Но мы должны работать ещё лучше и помочь Красной Армии скорее прикончить раненого фашистского зверя». В ответ на приказ товарища Сталина краснопролетарцы обязались освоить три типа новых станков и выпустить в мае 10, а во втором квартале 50 станков сверх государственного задания.</w:t>
      </w:r>
    </w:p>
    <w:p w14:paraId="36ECBC40"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Ленинграде на митинге в литейном цехе завода, где директором тов. Калиновский, выступила начальник цеха тов. Ковалёва. Она заявила: «С гордостью слушала я сталинские слова о заслугах советских женщин, самоотверженно работающих для фронта. В ответ на приказ вождя литейщики цеха обязуются восстановить и пустить в ход плавильную печь и освоить фасонное стальное литьё. Пусть ещё крепче будут наши удары по врагу. Пусть скорее найдёт он смерть в своём зверином логове».</w:t>
      </w:r>
    </w:p>
    <w:p w14:paraId="32FEB213"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ночь на первое мая на митинге рабочих и служащих Киевской электростанции кочегар тов. Кусков сказал: «Наш родной Киев, Советскую Украину освободила доблестная Красная Армия. Слава героям! Слава великому Сталину! Не пожалеем же своих сил и с ещё большей энергией будем восстанавливать разрушенное немцами советское хозяйство».</w:t>
      </w:r>
    </w:p>
    <w:p w14:paraId="70026009"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митинге в Железнодорожном районе города Ростова-на-Дону выступил начальник восстановительного поезда т. Герасименко. «Первомайский приказ товарища Сталина,— сказал он, — подвёл итоги всемирно-историческим победам Красной Армии, которая со времени разгрома немцев под Сталинградом ведёт почти непрерывное наступление.Сегодня трудящиеся нашего района закончили восстановление моста. Обещаем родному товарищу Сталину в самый короткий срок восстановить все разрушенные немецкими оккупантами сооружения железнодорожного транспорта. Мы не пожалеем сил для того, чтобы помочь Красной Армии и армиям наших союзников полностью сокрушить гитлеровскую Германию» (14878).</w:t>
      </w:r>
    </w:p>
    <w:p w14:paraId="262B3102" w14:textId="77777777" w:rsidR="001F4816" w:rsidRPr="00070ADE" w:rsidRDefault="001F4816" w:rsidP="00B56F90">
      <w:pPr>
        <w:spacing w:after="0" w:line="240" w:lineRule="auto"/>
        <w:jc w:val="both"/>
        <w:rPr>
          <w:rFonts w:ascii="Times New Roman" w:hAnsi="Times New Roman"/>
          <w:color w:val="000000" w:themeColor="text1"/>
          <w:sz w:val="16"/>
          <w:szCs w:val="16"/>
        </w:rPr>
      </w:pPr>
    </w:p>
    <w:p w14:paraId="6203D764"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мая</w:t>
      </w:r>
      <w:r w:rsidRPr="00070ADE">
        <w:rPr>
          <w:rFonts w:ascii="Times New Roman" w:hAnsi="Times New Roman"/>
          <w:color w:val="000000" w:themeColor="text1"/>
          <w:sz w:val="16"/>
          <w:szCs w:val="16"/>
        </w:rPr>
        <w:t xml:space="preserve"> в 1944 году И.В.Сталин издал приказ, в котором была впервые записана фраза "Вечная слава героям, павшим в боях за свободу и независимость нашей Родины!" (14878).</w:t>
      </w:r>
    </w:p>
    <w:p w14:paraId="486B03F9" w14:textId="77777777" w:rsidR="001F4816" w:rsidRPr="00070ADE" w:rsidRDefault="001F4816" w:rsidP="00B56F90">
      <w:pPr>
        <w:spacing w:after="0" w:line="240" w:lineRule="auto"/>
        <w:jc w:val="both"/>
        <w:rPr>
          <w:rFonts w:ascii="Times New Roman" w:hAnsi="Times New Roman"/>
          <w:color w:val="000000" w:themeColor="text1"/>
          <w:sz w:val="16"/>
          <w:szCs w:val="16"/>
        </w:rPr>
      </w:pPr>
    </w:p>
    <w:p w14:paraId="4C844FD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мая 1944 Л. Брежнев получил медаль “За оборону Кавказа” (4962).</w:t>
      </w:r>
    </w:p>
    <w:p w14:paraId="0AF7793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F12C5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093EA96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F6675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мая 1944 вышло Распоряжение ГКО № 5797 [О мобилизации в Орловской обл. 400 возчиков с лошадьми для восстановительных работ.] (7227, 138).</w:t>
      </w:r>
    </w:p>
    <w:p w14:paraId="5EE6EC3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00C6A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мая 1944 Сталин издал приказ, в котором была впервые записана фраза “Вечная слава героям, павшим в боях за свободу и независимость нашей Родины ” (4962).</w:t>
      </w:r>
    </w:p>
    <w:p w14:paraId="24D107B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221A0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714C4B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E6AA34"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мая</w:t>
      </w:r>
      <w:r w:rsidRPr="00070ADE">
        <w:rPr>
          <w:rFonts w:ascii="Times New Roman" w:hAnsi="Times New Roman"/>
          <w:color w:val="000000" w:themeColor="text1"/>
          <w:sz w:val="16"/>
          <w:szCs w:val="16"/>
        </w:rPr>
        <w:t xml:space="preserve"> в 1944 году потерпел аварию первый прототип палубного истребителя </w:t>
      </w:r>
      <w:hyperlink r:id="rId114" w:tgtFrame="_blank" w:history="1">
        <w:r w:rsidRPr="00070ADE">
          <w:rPr>
            <w:rFonts w:ascii="Times New Roman" w:hAnsi="Times New Roman"/>
            <w:color w:val="000000" w:themeColor="text1"/>
            <w:sz w:val="16"/>
            <w:szCs w:val="16"/>
          </w:rPr>
          <w:t xml:space="preserve">«F7F-1» «Тайгеркэт» </w:t>
        </w:r>
      </w:hyperlink>
      <w:r w:rsidRPr="00070ADE">
        <w:rPr>
          <w:rFonts w:ascii="Times New Roman" w:hAnsi="Times New Roman"/>
          <w:color w:val="000000" w:themeColor="text1"/>
          <w:sz w:val="16"/>
          <w:szCs w:val="16"/>
        </w:rPr>
        <w:t>(камышовый кот) (14878).</w:t>
      </w:r>
    </w:p>
    <w:p w14:paraId="2A1C5DE4" w14:textId="77777777" w:rsidR="001F4816" w:rsidRPr="00070ADE" w:rsidRDefault="001F4816" w:rsidP="00B56F90">
      <w:pPr>
        <w:spacing w:after="0" w:line="240" w:lineRule="auto"/>
        <w:jc w:val="both"/>
        <w:rPr>
          <w:rFonts w:ascii="Times New Roman" w:hAnsi="Times New Roman"/>
          <w:color w:val="000000" w:themeColor="text1"/>
          <w:sz w:val="16"/>
          <w:szCs w:val="16"/>
        </w:rPr>
      </w:pPr>
    </w:p>
    <w:p w14:paraId="45B03529" w14:textId="77777777" w:rsidR="007874A2" w:rsidRPr="00070ADE" w:rsidRDefault="007874A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(ночь) 1944 653 британских бомбардировщика атаковали железнодорожные объекты в Майлине и Сен-Гислене, Бельгия, и Шамбли, Франция, и промышленные цели в Лионе, Тулузе и Туре, Франция, с потерей восьми самолетов. Бомбы сброшены не точно в Малине, но другие удары точны, и после 500 попаданий бомб железнодорожное депо в Чамбли не работает 10 дней (20373).</w:t>
      </w:r>
    </w:p>
    <w:p w14:paraId="13F446DB" w14:textId="77777777" w:rsidR="007874A2" w:rsidRPr="00070ADE" w:rsidRDefault="007874A2" w:rsidP="00B56F90">
      <w:pPr>
        <w:spacing w:after="0" w:line="240" w:lineRule="auto"/>
        <w:jc w:val="both"/>
        <w:rPr>
          <w:rFonts w:ascii="Times New Roman" w:hAnsi="Times New Roman"/>
          <w:color w:val="000000" w:themeColor="text1"/>
          <w:sz w:val="16"/>
          <w:szCs w:val="16"/>
        </w:rPr>
      </w:pPr>
    </w:p>
    <w:p w14:paraId="1D4AB4DE" w14:textId="77777777" w:rsidR="001F4816" w:rsidRPr="00070ADE" w:rsidRDefault="001F4816"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мая 1944 в Лондоне прошла конференция премьер-министров британских доминионов (3907,248).</w:t>
      </w:r>
    </w:p>
    <w:p w14:paraId="56097599" w14:textId="77777777" w:rsidR="001F4816" w:rsidRPr="00070ADE" w:rsidRDefault="001F4816"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F15D53"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мая</w:t>
      </w:r>
      <w:r w:rsidRPr="00070ADE">
        <w:rPr>
          <w:rFonts w:ascii="Times New Roman" w:hAnsi="Times New Roman"/>
          <w:color w:val="000000" w:themeColor="text1"/>
          <w:sz w:val="16"/>
          <w:szCs w:val="16"/>
        </w:rPr>
        <w:t xml:space="preserve"> в 1944 году конференция премьер-министров британских доминионов в Лондоне (до 16 мая) (14878).</w:t>
      </w:r>
    </w:p>
    <w:p w14:paraId="1D9624D4" w14:textId="77777777" w:rsidR="001F4816" w:rsidRPr="00070ADE" w:rsidRDefault="001F4816" w:rsidP="00B56F90">
      <w:pPr>
        <w:spacing w:after="0" w:line="240" w:lineRule="auto"/>
        <w:jc w:val="both"/>
        <w:rPr>
          <w:rFonts w:ascii="Times New Roman" w:hAnsi="Times New Roman"/>
          <w:color w:val="000000" w:themeColor="text1"/>
          <w:sz w:val="16"/>
          <w:szCs w:val="16"/>
        </w:rPr>
      </w:pPr>
    </w:p>
    <w:p w14:paraId="240F8D2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мая 1944 на этот день была назначена операция по высадки союзных войск в Нормандию (она была перенесена на июнь) (4962).</w:t>
      </w:r>
    </w:p>
    <w:p w14:paraId="03A76E4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3E9A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мая 1944 Великобритания заключила с Испанией договор о сокращении экспорта вольфрамовой руды в Германию (3907,248).</w:t>
      </w:r>
    </w:p>
    <w:p w14:paraId="01C63B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F445E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229E7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AEF8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мая 1944 г. директор НИИ-48 Завьялов в письме на имя Главного инженера ВСС генерала А.И.Репина докладывал, что результаты командировки специалистов достигнуты и получен "вполне удобный материал о действительно необходимом перераспределении броневой защиты." Именно результаты этих работ и были положены в основу схемы бронирования скоростного штурмовика Ил-10 (7442).</w:t>
      </w:r>
    </w:p>
    <w:p w14:paraId="2F9122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Форма бронекорпуса Ил-10 без излишнего усложнения технологии изготовления, была значительно улучшена за счет новой компоновки водо- и мас-лорадиаторов систем охлаждения и смазки мотора, которые теперь полностью размещались в бронекорпусе за передним лонжероном центроплана под полом кабины пилота (7442).</w:t>
      </w:r>
    </w:p>
    <w:p w14:paraId="6DDF80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Охлаждение радиаторов осуществлялось наружным воздухом, поступавшим по двум туннелям: справа и слева от мотора. Вход в туннель был образован вырезом в носке центроплана и углублением в боковине капота. Правый туннель подводил воздух только к во-дорадиатору (фронтовая поверхность радиатора 8ф=33,5 дм2), а левый, имевший два рукава, - к водо- и маслора-диаторам (фронтовая поверхность мас-лорадиатора $ф=12 дм2) (7442).</w:t>
      </w:r>
    </w:p>
    <w:p w14:paraId="32491C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Температура воды и масла регулировалась открытием бронезаслонок на выходе туннеля. Бронезаслонки (толщина брони 5 и 6 мм) управлялись с помощью механизмов УР-6 и УР-2 из кабины пилота (7442).</w:t>
      </w:r>
    </w:p>
    <w:p w14:paraId="39DFEC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Туннели изготавливались из материала АМЦН толщиной 1,5 мм. Входные туннели несъемные - крепились заклепками к капоту, к носку и к профилям центроплана. Выходные туннели водо- и маслорадиаторов съемные - крепились на винтах. Вырез в переднем лонжероне для прохода туннелей тщательно герметизировался чехлом из прорезиненной ткани. Снизу туннели прикрывались 6-мм броней, а с боков -4-мм броневым корпусом. Со стороны заднего лонжерона туннели прикрывались броней толщиной 8 мм (7442).</w:t>
      </w:r>
    </w:p>
    <w:p w14:paraId="5E6DB3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Благодаря такому компоновочному решению обводы бронекорпуса удалось сделать более плавными, чем у Ил-2, а более выгодная в аэродинамическом отношении схема продува радиаторов позволила уменьшить их размеры и сопротивление (7442).</w:t>
      </w:r>
    </w:p>
    <w:p w14:paraId="318997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Броневые листы соединялись при помощи толстых дюралюминовых лент на стальных заклепках и частично на анкерных гайках и болтах (7442).</w:t>
      </w:r>
    </w:p>
    <w:p w14:paraId="068D50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Общий вес брони серийного самолета Ил-10 (без крепления) равнялся 914 кг (7442).</w:t>
      </w:r>
    </w:p>
    <w:p w14:paraId="7655E0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Отметим, что на опытном Ил-10, проходившем государственные испытания, толщина брони наиболее поражаемых участков бронекорпуса (нижние боковые и боковые стенки капота мотора) была 4 мм, бронирование стрелка и пилота было несколько сильнее -боковые бронелисты обеих кабин имели толщину 6 мм, нижний боковой бро-нелист кабины пилота имел толщину 5 мм, а сверху пилот прикрывался 8-мм бронеплитой, установленной на фонаре. Туннели водо- и маслорадиаторов со стороны заднего лонжерона прикрывались броней толщиной 10 мм. Общий вес бронедеталей на опытной машине (без узлов крепления) составлял 930 кг (7442).</w:t>
      </w:r>
    </w:p>
    <w:p w14:paraId="57A172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C4CD3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40296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677572"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мая в 1944 году оперативная сводка Совинформбюро:</w:t>
      </w:r>
    </w:p>
    <w:p w14:paraId="06119B31"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 мая на фронтах существенных изменений не произошло.</w:t>
      </w:r>
    </w:p>
    <w:p w14:paraId="6C7B552E"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1 мая наши войска на всех фронтах подбили и уничтожили 20 немецких танков. В воздушныхбоях и огнём зенитной артиллерии сбито 36 самолётов противника.»</w:t>
      </w:r>
    </w:p>
    <w:p w14:paraId="527FB042"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Массированный налёт нашей авиации на железнодорожный узел Львов:</w:t>
      </w:r>
    </w:p>
    <w:p w14:paraId="0799B935"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2 мая авиация дальнего действия произвела массированный налёт на железнодорожный узел Львов и подвергла бомбардировке скопление воинских эшелонов противника. В результате бомбардировки на железнодорожном узле возникло до 30 очагов пожаров, из них 7 особенно больших размеров. Дым пожаров поднимался на высоту 2.000 метров. Горело не менее 6 железнодорожных эшелонов с войсками и боеприпасами и военные склады противника. Среди пожаров наблюдением отмечено 12 взрывов большой силы.</w:t>
      </w:r>
    </w:p>
    <w:p w14:paraId="2F62E8F1"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наши самолёты вернулись на свои аэродромы.»</w:t>
      </w:r>
    </w:p>
    <w:p w14:paraId="008F325B"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противник на отдельных участках предпринимал атаки, пытаясь нащупать слабое место в советской обороне. Все атаки немцев отбиты. В районе одного населённого пункта бойцы Н-ской части уничтожили две роты гитлеровцев.</w:t>
      </w:r>
    </w:p>
    <w:p w14:paraId="108B8782"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лётчики наносили удары по скоплениям живой силы и техники противника. В течение дня уничтожено 15 немецких танков и самоходных орудий, 160 автомашин с войсками и грузами, 6 бензоцистерн и сожжён железнодорожный эшелон в составе 50 вагонов. В воздушных боях сбито 13 немецких самолётов.</w:t>
      </w:r>
    </w:p>
    <w:p w14:paraId="53DA2D6A"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Тирасполь подразделения Н-ской части вели боевую разведку и выбили немцев из окопов передней линии обороны. Попытки противника восстановить положение успеха не имели. Наши бойцы отразили вражескую атаку и уничтожали до 400 немецких солдат и офицеров.</w:t>
      </w:r>
    </w:p>
    <w:p w14:paraId="740D20C5"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одном участке 3-го Украинского фронта на сторону Красной Армии перешла вполном составе 4 гаубичная батарея 1 словацкой мотодивизии. Командир батареи передал Н-ской советской части четыре гаубицы, боеприпасы, карабины ипистолеты.</w:t>
      </w:r>
    </w:p>
    <w:p w14:paraId="36AF253F"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Воздушная разведка Черноморского флота обнаружила несколько судов противника, следовавших из Севастополя к берегам Румынии. Наши лётчики нанесли бомбово-штурмовой удар по вражеским судам и потопили буксир, две десантные баржии два сторожевых катера. Прямым попаданием бомб серьёзно повреждён транспорт противника водоизмещением в 800 тонн.</w:t>
      </w:r>
    </w:p>
    <w:p w14:paraId="7834A924"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Несколько вилейских партизанских отрядов в апреле месяце пустили под откос 11 воинских эшелонов и один бронепоезд противника. Кроме того, советские патриоты взорвали 18 мостов на шоссейных дорогах и вырезали 60 километров телеграфно-телефонной линии связи. Партизанский отряд, действующий в Минской области, </w:t>
      </w:r>
      <w:r w:rsidRPr="00070ADE">
        <w:rPr>
          <w:rFonts w:ascii="Times New Roman" w:hAnsi="Times New Roman"/>
          <w:color w:val="000000" w:themeColor="text1"/>
          <w:sz w:val="16"/>
          <w:szCs w:val="16"/>
        </w:rPr>
        <w:lastRenderedPageBreak/>
        <w:t>напал на немецкий конвой, угонявший мирных жителей на каторгу в Германию. Партизаны перебили гитлеровцев и освободили от немецкого рабства более 200 советских граждан.</w:t>
      </w:r>
    </w:p>
    <w:p w14:paraId="1749C051"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Первомайский приказ Верховного Главнокомандующего Маршала Советского Союзатоварища Сталина вызвал огромное воодушевление в городах и сёлах нашей великой Родины. На собраниях и митингах рабочие, колхозники и представители советской интеллигенции единодушно заявляют о своей непреклонной решимости героическим трудом помочь Красной Армии полностью сокрушить гитлеровскую Германию.</w:t>
      </w:r>
    </w:p>
    <w:p w14:paraId="0363AF2F"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Москве на заводе, где директором тов. Гонобоблев, на собрании рабочих выступила начальник ночной смены Мария Жгулова. Она сказала: «Товарищ Сталин дал высокую оценку работе советского тыла. В трудных условиях военного времени наш народ обеспечил Красную Армию вооружением, боеприпасами, обмундированием и продовольствием. Мы утроим наши усилия и поможем нашим славным советским воинам очистить от немецких захватчиков всю нашу землю и окончательно добить фашистскую гадину».</w:t>
      </w:r>
    </w:p>
    <w:p w14:paraId="224443B1"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городе Баку на митинге рабочих промысла треста «Кагановичнефть» взволнованную речь произнёс знатный мастер тов. Гусейнов: «Дорогие товарищи! —сказал он, — все мы слушали приказ любимого вождя. Каждое его слово запало в наши сердца. Товарищ Сталин призывает Красную Армию преследовать раненого фашистского зверя по пятам и добить его в его собственной берлоге. Для советских людей нет сейчас более почётной и благородной задачи. Наш промысел перевыполнил свои предмайские обязательства и добыл свыше 10 тысяч тонн нефти сверх плана. В ответ на приказ товарища Сталина мы будем работать ещё лучше». Коллектив промысла обязался досрочно выполнить полугодовое задание и к первому июля дать 15.500 тонн нефти сверх плана.</w:t>
      </w:r>
    </w:p>
    <w:p w14:paraId="2FE597D2"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сельскохозяйственной артели «Голубое Озеро», Исаклинского района, Куйбышевской области, состоялось собрание колхозников. Бригадир тов. Ингерясов сказал: «В прошлом году наш колхоз хорошо поработал и полностью выполнил обязательства перед государством по всем видам поставок. Мы, колхозники, заверяем товарища Сталина, что в этом году дадим фронту и стране ещё больше продовольствия».</w:t>
      </w:r>
    </w:p>
    <w:p w14:paraId="15FE27D0"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исключительным подъёмом трудились первого мая колхозники Октябрьского района, Калининской области. За день они засеяли овсом и льном более ста гектаров. Колхоз «Красный Пахарь» завершил посев льна. Успешно идёт весенний сев в Зубцовском и других районах Калининской области, освобождённых от немецко-фашистских захватчиков.»</w:t>
      </w:r>
    </w:p>
    <w:p w14:paraId="524A05D7" w14:textId="77777777" w:rsidR="001F4816" w:rsidRPr="00070ADE" w:rsidRDefault="001F4816" w:rsidP="00B56F90">
      <w:pPr>
        <w:spacing w:after="0" w:line="240" w:lineRule="auto"/>
        <w:jc w:val="both"/>
        <w:rPr>
          <w:rFonts w:ascii="Times New Roman" w:hAnsi="Times New Roman"/>
          <w:color w:val="000000" w:themeColor="text1"/>
          <w:sz w:val="16"/>
          <w:szCs w:val="16"/>
        </w:rPr>
      </w:pPr>
    </w:p>
    <w:p w14:paraId="7CCEFA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мая 1944 согласно Совинформбюро а нанесла массированные удары по аэродромам в районах Станислава, Львова и Романа (Румыния) и уничтожила до 90 самолетов (438,903).</w:t>
      </w:r>
    </w:p>
    <w:p w14:paraId="2B6EA6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03B28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мая 1944 года 24 Ла-5ФН 113-го гвардейского иап под командованием подполковника С.И. Черткова поднялись с аэродрома Черновцы и взяли курс на Станислав. Ударная группа из 12 Ла-5, ведомая помощником командира полка капитаном А.Н. Григоренко, проштур- мовала аэродром противника и поднялась на 2000 м, ожидая подхода Ил-2 под прикрытием еще 12 истребителей. В это время в воздухе появились восемь Bf 109, а через некоторое время еще 16. Подполковник С.И. Чертков, направив свою группу в атаку, расстроил боевой порядок противника, недосчитавшегося шести машин. Две из них уничтожил командир (12032).</w:t>
      </w:r>
    </w:p>
    <w:p w14:paraId="5BE44A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FFA5F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мая 1944 авиация ЧМФ, совершив 172 самолетовылета, нанесла 5 последовательных ударов по конвою западнее Херсонеса, потопив 4 транспорта, 2 больших десантных и одну сухогрузную баржи и сторожевой катер. Сбили 5 самолетов, потеряв 1. П/л М-62 (Н.И.Малышев) там же потопила транспорт 3000 т из другого конвоя (3398,168).</w:t>
      </w:r>
    </w:p>
    <w:p w14:paraId="232A6A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4F19E7" w14:textId="77777777" w:rsidR="00962976" w:rsidRPr="00070ADE" w:rsidRDefault="00962976" w:rsidP="00B56F90">
      <w:pPr>
        <w:pStyle w:val="ae"/>
        <w:shd w:val="clear" w:color="auto" w:fill="FFFFFF"/>
        <w:spacing w:before="0" w:after="0"/>
        <w:jc w:val="both"/>
        <w:rPr>
          <w:color w:val="000000" w:themeColor="text1"/>
          <w:sz w:val="16"/>
          <w:szCs w:val="16"/>
        </w:rPr>
      </w:pPr>
      <w:r w:rsidRPr="00070ADE">
        <w:rPr>
          <w:color w:val="000000" w:themeColor="text1"/>
          <w:sz w:val="16"/>
          <w:szCs w:val="16"/>
        </w:rPr>
        <w:t>До 2 мая 1944 года Шамин находился при 13-м гв. ттп на ИС-1, после чего отбыл на НИБТ Полигон.</w:t>
      </w:r>
    </w:p>
    <w:p w14:paraId="4EA182F1" w14:textId="77777777" w:rsidR="00962976" w:rsidRPr="00070ADE" w:rsidRDefault="00962976" w:rsidP="00B56F90">
      <w:pPr>
        <w:pStyle w:val="ae"/>
        <w:shd w:val="clear" w:color="auto" w:fill="FFFFFF"/>
        <w:spacing w:before="0" w:after="0"/>
        <w:jc w:val="both"/>
        <w:rPr>
          <w:color w:val="000000" w:themeColor="text1"/>
          <w:sz w:val="16"/>
          <w:szCs w:val="16"/>
        </w:rPr>
      </w:pPr>
      <w:r w:rsidRPr="00070ADE">
        <w:rPr>
          <w:color w:val="000000" w:themeColor="text1"/>
          <w:sz w:val="16"/>
          <w:szCs w:val="16"/>
        </w:rPr>
        <w:t xml:space="preserve">Безвозвратные потери 13-го ГвТТП составили 2 танка. Остальные были либо подбиты, либо потеряны в результате неисправностей. Один танк утонул при переезде через мост в районе села Полковничье, его экипаж погиб, а машину позже эвакуировали. </w:t>
      </w:r>
    </w:p>
    <w:p w14:paraId="25293118" w14:textId="77777777" w:rsidR="00962976" w:rsidRPr="00070ADE" w:rsidRDefault="00962976" w:rsidP="00B56F90">
      <w:pPr>
        <w:pStyle w:val="ae"/>
        <w:shd w:val="clear" w:color="auto" w:fill="FFFFFF"/>
        <w:spacing w:before="0" w:after="0"/>
        <w:jc w:val="both"/>
        <w:rPr>
          <w:color w:val="000000" w:themeColor="text1"/>
          <w:sz w:val="16"/>
          <w:szCs w:val="16"/>
        </w:rPr>
      </w:pPr>
      <w:r w:rsidRPr="00070ADE">
        <w:rPr>
          <w:color w:val="000000" w:themeColor="text1"/>
          <w:sz w:val="16"/>
          <w:szCs w:val="16"/>
        </w:rPr>
        <w:t>Инженер-майор составил подробный доклад, причём заключение оказалось отнюдь не положительным:</w:t>
      </w:r>
    </w:p>
    <w:p w14:paraId="384D1B85" w14:textId="77777777" w:rsidR="00962976" w:rsidRPr="00070ADE" w:rsidRDefault="00962976" w:rsidP="00B56F90">
      <w:pPr>
        <w:pStyle w:val="ae"/>
        <w:shd w:val="clear" w:color="auto" w:fill="FFFFFF"/>
        <w:spacing w:before="0" w:after="0"/>
        <w:jc w:val="both"/>
        <w:rPr>
          <w:color w:val="000000" w:themeColor="text1"/>
          <w:sz w:val="16"/>
          <w:szCs w:val="16"/>
        </w:rPr>
      </w:pPr>
      <w:r w:rsidRPr="00070ADE">
        <w:rPr>
          <w:iCs/>
          <w:color w:val="000000" w:themeColor="text1"/>
          <w:sz w:val="16"/>
          <w:szCs w:val="16"/>
        </w:rPr>
        <w:t>«1. Тяжёлый танк ИС-85 на современном этапе войны не имеет достаточных преимуществ в борьбе с тяжёлыми танками противника.</w:t>
      </w:r>
    </w:p>
    <w:p w14:paraId="012580D5" w14:textId="77777777" w:rsidR="00962976" w:rsidRPr="00070ADE" w:rsidRDefault="00962976" w:rsidP="00B56F90">
      <w:pPr>
        <w:pStyle w:val="ae"/>
        <w:shd w:val="clear" w:color="auto" w:fill="FFFFFF"/>
        <w:spacing w:before="0" w:after="0"/>
        <w:jc w:val="both"/>
        <w:rPr>
          <w:color w:val="000000" w:themeColor="text1"/>
          <w:sz w:val="16"/>
          <w:szCs w:val="16"/>
        </w:rPr>
      </w:pPr>
      <w:r w:rsidRPr="00070ADE">
        <w:rPr>
          <w:iCs/>
          <w:color w:val="000000" w:themeColor="text1"/>
          <w:sz w:val="16"/>
          <w:szCs w:val="16"/>
        </w:rPr>
        <w:t>Боевые качества танка ИС-85 значительно снижены рядом существенных конструктивных и производственных недостатков:</w:t>
      </w:r>
    </w:p>
    <w:p w14:paraId="16CC11BF" w14:textId="77777777" w:rsidR="00962976" w:rsidRPr="00070ADE" w:rsidRDefault="00962976" w:rsidP="00B56F90">
      <w:pPr>
        <w:pStyle w:val="ae"/>
        <w:shd w:val="clear" w:color="auto" w:fill="FFFFFF"/>
        <w:spacing w:before="0" w:after="0"/>
        <w:jc w:val="both"/>
        <w:rPr>
          <w:color w:val="000000" w:themeColor="text1"/>
          <w:sz w:val="16"/>
          <w:szCs w:val="16"/>
        </w:rPr>
      </w:pPr>
      <w:r w:rsidRPr="00070ADE">
        <w:rPr>
          <w:iCs/>
          <w:color w:val="000000" w:themeColor="text1"/>
          <w:sz w:val="16"/>
          <w:szCs w:val="16"/>
        </w:rPr>
        <w:t>а) несоответствие вооружения ИС-85 тяжёлым танкам, применяемым противником;</w:t>
      </w:r>
    </w:p>
    <w:p w14:paraId="2DD17FDD" w14:textId="77777777" w:rsidR="00962976" w:rsidRPr="00070ADE" w:rsidRDefault="00962976" w:rsidP="00B56F90">
      <w:pPr>
        <w:pStyle w:val="ae"/>
        <w:shd w:val="clear" w:color="auto" w:fill="FFFFFF"/>
        <w:spacing w:before="0" w:after="0"/>
        <w:jc w:val="both"/>
        <w:rPr>
          <w:color w:val="000000" w:themeColor="text1"/>
          <w:sz w:val="16"/>
          <w:szCs w:val="16"/>
        </w:rPr>
      </w:pPr>
      <w:r w:rsidRPr="00070ADE">
        <w:rPr>
          <w:iCs/>
          <w:color w:val="000000" w:themeColor="text1"/>
          <w:sz w:val="16"/>
          <w:szCs w:val="16"/>
        </w:rPr>
        <w:t>б) недостаточная броневая защита передней части корпуса и башни танка;</w:t>
      </w:r>
    </w:p>
    <w:p w14:paraId="59231E75" w14:textId="77777777" w:rsidR="00962976" w:rsidRPr="00070ADE" w:rsidRDefault="00962976" w:rsidP="00B56F90">
      <w:pPr>
        <w:pStyle w:val="ae"/>
        <w:shd w:val="clear" w:color="auto" w:fill="FFFFFF"/>
        <w:spacing w:before="0" w:after="0"/>
        <w:jc w:val="both"/>
        <w:rPr>
          <w:color w:val="000000" w:themeColor="text1"/>
          <w:sz w:val="16"/>
          <w:szCs w:val="16"/>
        </w:rPr>
      </w:pPr>
      <w:r w:rsidRPr="00070ADE">
        <w:rPr>
          <w:iCs/>
          <w:color w:val="000000" w:themeColor="text1"/>
          <w:sz w:val="16"/>
          <w:szCs w:val="16"/>
        </w:rPr>
        <w:t>в) отсутствие быстродействующих средств запуска двигателя и ненадежность электроинерционного стартера;</w:t>
      </w:r>
    </w:p>
    <w:p w14:paraId="3354568B" w14:textId="77777777" w:rsidR="00962976" w:rsidRPr="00070ADE" w:rsidRDefault="00962976" w:rsidP="00B56F90">
      <w:pPr>
        <w:pStyle w:val="ae"/>
        <w:shd w:val="clear" w:color="auto" w:fill="FFFFFF"/>
        <w:spacing w:before="0" w:after="0"/>
        <w:jc w:val="both"/>
        <w:rPr>
          <w:color w:val="000000" w:themeColor="text1"/>
          <w:sz w:val="16"/>
          <w:szCs w:val="16"/>
        </w:rPr>
      </w:pPr>
      <w:r w:rsidRPr="00070ADE">
        <w:rPr>
          <w:iCs/>
          <w:color w:val="000000" w:themeColor="text1"/>
          <w:sz w:val="16"/>
          <w:szCs w:val="16"/>
        </w:rPr>
        <w:t>г) недостаточная надёжность механизма переключения передач, ходовой части и подшипников ведущего вала бортовых передач;</w:t>
      </w:r>
    </w:p>
    <w:p w14:paraId="4588E12C" w14:textId="77777777" w:rsidR="00962976" w:rsidRPr="00070ADE" w:rsidRDefault="00962976" w:rsidP="00B56F90">
      <w:pPr>
        <w:pStyle w:val="ae"/>
        <w:shd w:val="clear" w:color="auto" w:fill="FFFFFF"/>
        <w:spacing w:before="0" w:after="0"/>
        <w:jc w:val="both"/>
        <w:rPr>
          <w:color w:val="000000" w:themeColor="text1"/>
          <w:sz w:val="16"/>
          <w:szCs w:val="16"/>
        </w:rPr>
      </w:pPr>
      <w:r w:rsidRPr="00070ADE">
        <w:rPr>
          <w:iCs/>
          <w:color w:val="000000" w:themeColor="text1"/>
          <w:sz w:val="16"/>
          <w:szCs w:val="16"/>
        </w:rPr>
        <w:t>д) неудовлетворительное качество сварных соединений;</w:t>
      </w:r>
    </w:p>
    <w:p w14:paraId="2F33242F" w14:textId="77777777" w:rsidR="00962976" w:rsidRPr="00070ADE" w:rsidRDefault="00962976" w:rsidP="00B56F90">
      <w:pPr>
        <w:pStyle w:val="ae"/>
        <w:shd w:val="clear" w:color="auto" w:fill="FFFFFF"/>
        <w:spacing w:before="0" w:after="0"/>
        <w:jc w:val="both"/>
        <w:rPr>
          <w:color w:val="000000" w:themeColor="text1"/>
          <w:sz w:val="16"/>
          <w:szCs w:val="16"/>
        </w:rPr>
      </w:pPr>
      <w:r w:rsidRPr="00070ADE">
        <w:rPr>
          <w:iCs/>
          <w:color w:val="000000" w:themeColor="text1"/>
          <w:sz w:val="16"/>
          <w:szCs w:val="16"/>
        </w:rPr>
        <w:t>е) малый запас хода танка по просёлку и целине;</w:t>
      </w:r>
    </w:p>
    <w:p w14:paraId="57FFF8B0" w14:textId="77777777" w:rsidR="00962976" w:rsidRPr="00070ADE" w:rsidRDefault="00962976" w:rsidP="00B56F90">
      <w:pPr>
        <w:pStyle w:val="ae"/>
        <w:shd w:val="clear" w:color="auto" w:fill="FFFFFF"/>
        <w:spacing w:before="0" w:after="0"/>
        <w:jc w:val="both"/>
        <w:rPr>
          <w:color w:val="000000" w:themeColor="text1"/>
          <w:sz w:val="16"/>
          <w:szCs w:val="16"/>
        </w:rPr>
      </w:pPr>
      <w:r w:rsidRPr="00070ADE">
        <w:rPr>
          <w:iCs/>
          <w:color w:val="000000" w:themeColor="text1"/>
          <w:sz w:val="16"/>
          <w:szCs w:val="16"/>
        </w:rPr>
        <w:t>ж) ненадёжность средств обогрева двигателя;</w:t>
      </w:r>
    </w:p>
    <w:p w14:paraId="11F45B12" w14:textId="77777777" w:rsidR="00962976" w:rsidRPr="00070ADE" w:rsidRDefault="00962976" w:rsidP="00B56F90">
      <w:pPr>
        <w:pStyle w:val="ae"/>
        <w:shd w:val="clear" w:color="auto" w:fill="FFFFFF"/>
        <w:spacing w:before="0" w:after="0"/>
        <w:jc w:val="both"/>
        <w:rPr>
          <w:color w:val="000000" w:themeColor="text1"/>
          <w:sz w:val="16"/>
          <w:szCs w:val="16"/>
        </w:rPr>
      </w:pPr>
      <w:r w:rsidRPr="00070ADE">
        <w:rPr>
          <w:iCs/>
          <w:color w:val="000000" w:themeColor="text1"/>
          <w:sz w:val="16"/>
          <w:szCs w:val="16"/>
        </w:rPr>
        <w:t>з) недостаточный запас хода танка по топливу.</w:t>
      </w:r>
    </w:p>
    <w:p w14:paraId="665680ED" w14:textId="77777777" w:rsidR="00962976" w:rsidRPr="00070ADE" w:rsidRDefault="00962976" w:rsidP="00B56F90">
      <w:pPr>
        <w:pStyle w:val="ae"/>
        <w:shd w:val="clear" w:color="auto" w:fill="FFFFFF"/>
        <w:spacing w:before="0" w:after="0"/>
        <w:jc w:val="both"/>
        <w:rPr>
          <w:color w:val="000000" w:themeColor="text1"/>
          <w:sz w:val="16"/>
          <w:szCs w:val="16"/>
        </w:rPr>
      </w:pPr>
      <w:r w:rsidRPr="00070ADE">
        <w:rPr>
          <w:iCs/>
          <w:color w:val="000000" w:themeColor="text1"/>
          <w:sz w:val="16"/>
          <w:szCs w:val="16"/>
        </w:rPr>
        <w:t>2. В целях повышения боевых качеств тяжёлого танка ИС-85 необходимо:</w:t>
      </w:r>
    </w:p>
    <w:p w14:paraId="1F9CF791" w14:textId="77777777" w:rsidR="00962976" w:rsidRPr="00070ADE" w:rsidRDefault="00962976" w:rsidP="00B56F90">
      <w:pPr>
        <w:pStyle w:val="ae"/>
        <w:shd w:val="clear" w:color="auto" w:fill="FFFFFF"/>
        <w:spacing w:before="0" w:after="0"/>
        <w:jc w:val="both"/>
        <w:rPr>
          <w:color w:val="000000" w:themeColor="text1"/>
          <w:sz w:val="16"/>
          <w:szCs w:val="16"/>
        </w:rPr>
      </w:pPr>
      <w:r w:rsidRPr="00070ADE">
        <w:rPr>
          <w:iCs/>
          <w:color w:val="000000" w:themeColor="text1"/>
          <w:sz w:val="16"/>
          <w:szCs w:val="16"/>
        </w:rPr>
        <w:t>а) установить на танк, вместо пушки Д5-Т-85, более мощную артсистему;</w:t>
      </w:r>
    </w:p>
    <w:p w14:paraId="63D225A1" w14:textId="77777777" w:rsidR="00962976" w:rsidRPr="00070ADE" w:rsidRDefault="00962976" w:rsidP="00B56F90">
      <w:pPr>
        <w:pStyle w:val="ae"/>
        <w:shd w:val="clear" w:color="auto" w:fill="FFFFFF"/>
        <w:spacing w:before="0" w:after="0"/>
        <w:jc w:val="both"/>
        <w:rPr>
          <w:color w:val="000000" w:themeColor="text1"/>
          <w:sz w:val="16"/>
          <w:szCs w:val="16"/>
        </w:rPr>
      </w:pPr>
      <w:r w:rsidRPr="00070ADE">
        <w:rPr>
          <w:iCs/>
          <w:color w:val="000000" w:themeColor="text1"/>
          <w:sz w:val="16"/>
          <w:szCs w:val="16"/>
        </w:rPr>
        <w:t>б) усилить броневую защиту передней части корпуса и башни за счёт применения большего угла наклона брони и брони высокого качества;</w:t>
      </w:r>
    </w:p>
    <w:p w14:paraId="0FFA74EC" w14:textId="77777777" w:rsidR="00962976" w:rsidRPr="00070ADE" w:rsidRDefault="00962976" w:rsidP="00B56F90">
      <w:pPr>
        <w:pStyle w:val="ae"/>
        <w:shd w:val="clear" w:color="auto" w:fill="FFFFFF"/>
        <w:spacing w:before="0" w:after="0"/>
        <w:jc w:val="both"/>
        <w:rPr>
          <w:color w:val="000000" w:themeColor="text1"/>
          <w:sz w:val="16"/>
          <w:szCs w:val="16"/>
        </w:rPr>
      </w:pPr>
      <w:r w:rsidRPr="00070ADE">
        <w:rPr>
          <w:iCs/>
          <w:color w:val="000000" w:themeColor="text1"/>
          <w:sz w:val="16"/>
          <w:szCs w:val="16"/>
        </w:rPr>
        <w:t>в) повысить надёжность работы механизмов и агрегатов танка путём устранения конструктивных и производственных недостатков, отмеченных в отчёте;</w:t>
      </w:r>
    </w:p>
    <w:p w14:paraId="166436A3" w14:textId="77777777" w:rsidR="00962976" w:rsidRPr="00070ADE" w:rsidRDefault="00962976" w:rsidP="00B56F90">
      <w:pPr>
        <w:pStyle w:val="ae"/>
        <w:shd w:val="clear" w:color="auto" w:fill="FFFFFF"/>
        <w:spacing w:before="0" w:after="0"/>
        <w:jc w:val="both"/>
        <w:rPr>
          <w:iCs/>
          <w:color w:val="000000" w:themeColor="text1"/>
          <w:sz w:val="16"/>
          <w:szCs w:val="16"/>
        </w:rPr>
      </w:pPr>
      <w:r w:rsidRPr="00070ADE">
        <w:rPr>
          <w:iCs/>
          <w:color w:val="000000" w:themeColor="text1"/>
          <w:sz w:val="16"/>
          <w:szCs w:val="16"/>
        </w:rPr>
        <w:t>г) улучшить практическую подготовку экипажей».</w:t>
      </w:r>
    </w:p>
    <w:p w14:paraId="1D90C7D6" w14:textId="044651B8" w:rsidR="00962976" w:rsidRPr="00070ADE" w:rsidRDefault="00962976" w:rsidP="00B56F90">
      <w:pPr>
        <w:pStyle w:val="ae"/>
        <w:shd w:val="clear" w:color="auto" w:fill="FFFFFF"/>
        <w:spacing w:before="0" w:after="0"/>
        <w:jc w:val="both"/>
        <w:rPr>
          <w:color w:val="000000" w:themeColor="text1"/>
          <w:sz w:val="16"/>
          <w:szCs w:val="16"/>
        </w:rPr>
      </w:pPr>
      <w:r w:rsidRPr="00070ADE">
        <w:rPr>
          <w:color w:val="000000" w:themeColor="text1"/>
          <w:sz w:val="16"/>
          <w:szCs w:val="16"/>
        </w:rPr>
        <w:t>Отчёт немного запоздал. Дело в том, что 10 марта 1944 года, меньше чем через месяц после первого применения ИС-1, состоялся боевой дебют ИС-2. Он оказался куда более успешным. Тем не менее составленный Шаминым отчёт серьёзно повлиял на дальнейшее развитие танков семейства ИС. Характер поражений носовой части корпуса однозначно указывал на необходимость её переделки. Ещё до возвращения Шамина из командировки об этом писали и другие специалисты НИБТ Полигона</w:t>
      </w:r>
      <w:r w:rsidR="00C63BA9">
        <w:rPr>
          <w:color w:val="000000" w:themeColor="text1"/>
          <w:sz w:val="16"/>
          <w:szCs w:val="16"/>
        </w:rPr>
        <w:t xml:space="preserve"> </w:t>
      </w:r>
      <w:r w:rsidRPr="00070ADE">
        <w:rPr>
          <w:iCs/>
          <w:color w:val="000000" w:themeColor="text1"/>
          <w:sz w:val="16"/>
          <w:szCs w:val="16"/>
        </w:rPr>
        <w:t>(17715).</w:t>
      </w:r>
    </w:p>
    <w:p w14:paraId="564F0E32" w14:textId="77777777" w:rsidR="00962976" w:rsidRPr="00070ADE" w:rsidRDefault="00962976" w:rsidP="00B56F90">
      <w:pPr>
        <w:pStyle w:val="123"/>
        <w:shd w:val="clear" w:color="auto" w:fill="auto"/>
        <w:spacing w:after="0" w:line="240" w:lineRule="auto"/>
        <w:jc w:val="both"/>
        <w:rPr>
          <w:color w:val="000000" w:themeColor="text1"/>
          <w:sz w:val="16"/>
          <w:szCs w:val="16"/>
        </w:rPr>
      </w:pPr>
    </w:p>
    <w:p w14:paraId="31E0698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093C75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7FD73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мая 1944 в английской газете “Дейли телеграф” в кроссворде были загаданы названия двух кораблей, готовящихся к вторжению в Нормандию (что было большой военной тайной) (4962).</w:t>
      </w:r>
    </w:p>
    <w:p w14:paraId="16705D7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BE0A5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8A0D9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C68D3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мая 1944 вышло Постановление ГКО № 5798 О выделении самолетов У-2 Главному управлению Гражданского воздушного флота. (7227, 139).</w:t>
      </w:r>
    </w:p>
    <w:p w14:paraId="4524BAD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20C31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CEA16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790266" w14:textId="54E6A119"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мая 1944 г. по приказу № 305с/0350с площадка № 3 бывшего завода № 234 (ГС Завод № 234 НКОП, НКАП, Электромеханический завод «В. Савельев и К°», Товарищество «БИП и Савельев», АО Соединенных электромеханических заводов, Государственный электромеханический завод «Красный октябрь», Ленинградский государственный машиностроительный завод «Красный Октябрь» НКТП, НКОП, НКСМ, Государственный электромеханический и подъемных сооружений завод «Красный Октябрь» /г. Петербург,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Петроград,</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Ленинград/) передана в НКВМФ, где образован завод № 55.</w:t>
      </w:r>
    </w:p>
    <w:p w14:paraId="0C5DD3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двух площадках завода № 234 НКАП в соответствии с приказом НКАП № 584с от 22.09.1944 г. образован Завод № 274 НКАП.</w:t>
      </w:r>
    </w:p>
    <w:p w14:paraId="068E7EC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площадке на Обводном канале после эвакуации завода действовала авторемонтная база Военведа по ремонту танков. В соответствии с пост. ГКО № 6639с от 1.10.1944 г. и приказом № 605с от 23.10.1944 г. здесь организован Завод № 283 НКАП (11982).</w:t>
      </w:r>
    </w:p>
    <w:p w14:paraId="23A22D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FA9EB2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4AE4E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FD7B84"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мая в 1944 году оперативная сводка Совинформбюро:</w:t>
      </w:r>
    </w:p>
    <w:p w14:paraId="4078579C"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3 мая на фронтах существенных изменений не произошло.</w:t>
      </w:r>
    </w:p>
    <w:p w14:paraId="63C5E1A6"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2 мая наши войска на всех фронтах подбили и уничтожили 58 немецких танков. В воздушных боях и огнём зенитной артиллерии сбито 38 самолётов противника.»</w:t>
      </w:r>
    </w:p>
    <w:p w14:paraId="396E7F50"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Бомбардировка нашей авиацией железнодорожных узлов Львов и Самбор:</w:t>
      </w:r>
    </w:p>
    <w:p w14:paraId="5F16EA04"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3 мая наша авиация дальнего действия подвергла бомбардировке скопления немецких воинских эшелонов на железнодорожных узлах Львов иСамбор.</w:t>
      </w:r>
    </w:p>
    <w:p w14:paraId="0D1C8003"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железнодорожном узле Львов бомбардировкой создано до 20 очагов пожаров, в том числе 5 особенно больших размеров. Пожары сопровождались взрывами. Взрыв огромной силы произошёл в центральной части железнодорожного узла.</w:t>
      </w:r>
    </w:p>
    <w:p w14:paraId="19679D6D"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 железнодорожном узле Самбор в результате бомбардировки также возникли крупные пожары. Горели вагоны и платформы на путях, а также только что прибывший железнодорожный эшелон. Пожар эшелона сопровождался взрывами яркого пламени.»</w:t>
      </w:r>
    </w:p>
    <w:p w14:paraId="370F2A20"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Удары нашей авиации по аэродромам противника в районах Станислав, Львов, Роман:</w:t>
      </w:r>
    </w:p>
    <w:p w14:paraId="5BCFEB0F"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мая крупные соединения нашей авиации нанесли массированный удар по аэродромам противника в районах Станислав, Львов, Роман (Румыния). В момент налёта на этих аэродромах находилось много немецких самолётов. В результате бомбово-штурмовых ударов уничтожено более 90 самолётов противника.»</w:t>
      </w:r>
    </w:p>
    <w:p w14:paraId="52798BB2"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бойцы Н-ского соединения, отражая атаки противника, сожгли и подбили 8 танков, 2 самоходных орудия и уничтожили до 400 немецких солдат и офицеров. На другом участке наши разведчики проникли в тыл противника и ворвались в его траншеи. В короткой рукопашной схватке уничтожено несколько десятков гитлеровцев. Захватив пленных, разведчики вернулись в свою часть.</w:t>
      </w:r>
    </w:p>
    <w:p w14:paraId="1BF0FF10"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Тирасполь противник предпринял атаку, стремясь вернуть потерянные им позиции. Советские бойцы встретили немцев метким огнём и вынудили их поспешно отступить. На поле боя осталось более 200 вражеских трупов. Зенитчики Н-ской части, охраняя переправу через реку Днестр, за три дня сбили 11 немецких самолётов.</w:t>
      </w:r>
    </w:p>
    <w:p w14:paraId="0775C2A9"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2 Украинского фронта бомбардировала скопления войск и техники противника. В результате боевых действий наши лётчики уничтожили большое число танков и автомашин, подавили огонь 16 артиллерийских и миномётных батарей и взорвали несколько складов боеприпасов. В воздушных боях сбито 24 немецких самолёта.</w:t>
      </w:r>
    </w:p>
    <w:p w14:paraId="4BB98990"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Четыре партизанских отряда, действующих в Барановичской области, за месяц пустили под откос 14 эшелонов противника. Разбито 180 вагонов и платформ свойсками и грузами. Группа барановичских партизан внезапно напала на немецкий гарнизон в одном населённом пункте. Советские патриоты уничтожили до роты гитлеровцев. Захваченное у немцев продовольствие партизаны роздали местным жителям.</w:t>
      </w:r>
    </w:p>
    <w:p w14:paraId="27DF2DAF"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Первомайский приказ Верховного Главнокомандующего Маршала Советского Союза товарища Сталина вызвал новый могучий патриотический подъём в частях КраснойАрмии и Военно-Морского Флота. В тыловых и прифронтовых гарнизонах, а также на тех участках фронта, где это позволяла военная обстановка, состоялись массовые митинги бойцов и офицеров Красной Армии.</w:t>
      </w:r>
    </w:p>
    <w:p w14:paraId="37E85A48"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Ленинградском фронте на митинге в Н-ском полку выступил майор т. Филичкин, награждённый орденом Красного Знамени и орденом Суворова 3-й степени. «КраснаяАрмия, — заявил т. Филичкин, — нанесла немцам тяжёлые поражения. Под ударами советских войск трещит и разваливается блок фашистских государств. Красная Армия и армии наших союзников совместными усилиями окончательно сокрушат гитлеровскую Германию».</w:t>
      </w:r>
    </w:p>
    <w:p w14:paraId="67DC4F79"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митинге в другом полку с речью выступил рядовой т. Юсупов. «У меня девять братьев, — сказал т. Юсупов, — и семь из них сражаются на фронтах. Все вместе мы истребили уже много немцев. Я клянусь товарищу Сталину, что буду в впредь беспощадно уничтожать гитлеровскую нечисть».</w:t>
      </w:r>
    </w:p>
    <w:p w14:paraId="09E1D490"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2-м Прибалтийском фронте на митинге в Н-ской гвардейской части кавалер ордена Славы третьей степени гвардии ефрейтор т. Галимов заявил: «Товарищ Сталин приказал очистить от фашистских захватчиков всю нашу землю и восстановить государственные границы Советского Союза по всей линии, от Чёрного моря до Баренцова моря. Наша святая обязанность состоит в том, чтобы не дать врагу передышки, не дать раненому фашистскому зверю залечить кровоточащие раны. Мы вышвырнем фашистскую гадину за пределы нашей Родины, загоним врага в его собственную берлогу и там, действуя совместно с войсками наших союзников, прикончим его».</w:t>
      </w:r>
    </w:p>
    <w:p w14:paraId="37A4589A"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4-м Украинском фронте на митинге Н-ской гвардейской части рядовой пулемётчик Березин сказал: «В успехах Красной Армии, о которых говорится в первомайском приказе товарища Сталина, есть и наша доля. Мы гордимся тем, чт онам выпала честь участвовать в прорыве вражеской обороны на Перекопском перешейке. Войска нашего фронта нанесли немецко-румынским войскам в Крыму тяжёлое поражение. Приказ товарища Сталина зовёт нас к новым решающим боям. Поклянёмся же, друзья гвардейцы, что мы не уроним своей славы, пронесённой от великой русской реки Волги до седого Днепра и цветущего Крыма. С именем товарища Сталина на устах пойдём вперёд и добьём немецко-фашистских оккупантов».</w:t>
      </w:r>
    </w:p>
    <w:p w14:paraId="36E7DFF1"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Сибирском военном округе на митинге Н-ской части выступил младший сержант т. Жуков. Он сказал: «Я сын машиниста. Немцы убили моего отца. Я хочу как можно быстрее поехать на фронт. Клянусь, что буду беспощадно мстить фашистским мерзавцам за их злодеяния. Приказ товарища Сталина — для нас высший закон, и мы его выполним с честью» (14880).</w:t>
      </w:r>
    </w:p>
    <w:p w14:paraId="7886EBC7" w14:textId="77777777" w:rsidR="001F4816" w:rsidRPr="00070ADE" w:rsidRDefault="001F4816" w:rsidP="00B56F90">
      <w:pPr>
        <w:spacing w:after="0" w:line="240" w:lineRule="auto"/>
        <w:jc w:val="both"/>
        <w:rPr>
          <w:rFonts w:ascii="Times New Roman" w:hAnsi="Times New Roman"/>
          <w:color w:val="000000" w:themeColor="text1"/>
          <w:sz w:val="16"/>
          <w:szCs w:val="16"/>
        </w:rPr>
      </w:pPr>
    </w:p>
    <w:p w14:paraId="2E7D780E" w14:textId="77777777" w:rsidR="001C36F9" w:rsidRPr="00C94B78" w:rsidRDefault="001C36F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3 мая 1944 г. чехословацкие пилоты начали проходить курс переучивания на Ла-5. Каждый пилот выполнил по пять 30</w:t>
      </w:r>
      <w:r w:rsidRPr="00C94B78">
        <w:rPr>
          <w:rFonts w:ascii="Times New Roman" w:hAnsi="Times New Roman"/>
          <w:color w:val="0070C0"/>
          <w:sz w:val="16"/>
          <w:szCs w:val="16"/>
        </w:rPr>
        <w:noBreakHyphen/>
        <w:t>минутных полетов на Ла</w:t>
      </w:r>
      <w:r w:rsidRPr="00C94B78">
        <w:rPr>
          <w:rFonts w:ascii="Times New Roman" w:hAnsi="Times New Roman"/>
          <w:color w:val="0070C0"/>
          <w:sz w:val="16"/>
          <w:szCs w:val="16"/>
        </w:rPr>
        <w:noBreakHyphen/>
        <w:t>5УТИ, после чего получил допуск к самостоятельному вылету на Ла</w:t>
      </w:r>
      <w:r w:rsidRPr="00C94B78">
        <w:rPr>
          <w:rFonts w:ascii="Times New Roman" w:hAnsi="Times New Roman"/>
          <w:color w:val="0070C0"/>
          <w:sz w:val="16"/>
          <w:szCs w:val="16"/>
        </w:rPr>
        <w:noBreakHyphen/>
        <w:t>5ФН. В ходе переподготовки к двадцати летчиками присоединилось два словацких пилота – мастер сержант Антон Матушек и первый сержант Людовит Доброводский, 9 сентября 1943 г. они перелетели на своих Bf 109G</w:t>
      </w:r>
      <w:r w:rsidRPr="00C94B78">
        <w:rPr>
          <w:rFonts w:ascii="Times New Roman" w:hAnsi="Times New Roman"/>
          <w:color w:val="0070C0"/>
          <w:sz w:val="16"/>
          <w:szCs w:val="16"/>
        </w:rPr>
        <w:noBreakHyphen/>
        <w:t>4 на территорию, контролировавшуюся Красной Армией.</w:t>
      </w:r>
    </w:p>
    <w:p w14:paraId="1E738DB3" w14:textId="77777777" w:rsidR="001C36F9" w:rsidRPr="00C94B78" w:rsidRDefault="001C36F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Чехословаков 18 мая перебросили в подмосковную Кубинку, где они завершили переподготовку. После налета каждым пилотом 12 часов на Ла</w:t>
      </w:r>
      <w:r w:rsidRPr="00C94B78">
        <w:rPr>
          <w:rFonts w:ascii="Times New Roman" w:hAnsi="Times New Roman"/>
          <w:color w:val="0070C0"/>
          <w:sz w:val="16"/>
          <w:szCs w:val="16"/>
        </w:rPr>
        <w:noBreakHyphen/>
        <w:t>5ФН 1</w:t>
      </w:r>
      <w:r w:rsidRPr="00C94B78">
        <w:rPr>
          <w:rFonts w:ascii="Times New Roman" w:hAnsi="Times New Roman"/>
          <w:color w:val="0070C0"/>
          <w:sz w:val="16"/>
          <w:szCs w:val="16"/>
        </w:rPr>
        <w:noBreakHyphen/>
        <w:t>й чехословацкий истребительный авиаполк был готов к боевым действиям (25068).</w:t>
      </w:r>
    </w:p>
    <w:p w14:paraId="520FD2FC" w14:textId="77777777" w:rsidR="001C36F9" w:rsidRPr="00C94B78" w:rsidRDefault="001C36F9" w:rsidP="00B56F90">
      <w:pPr>
        <w:spacing w:after="0" w:line="240" w:lineRule="auto"/>
        <w:jc w:val="both"/>
        <w:rPr>
          <w:rFonts w:ascii="Times New Roman" w:hAnsi="Times New Roman"/>
          <w:color w:val="0070C0"/>
          <w:sz w:val="16"/>
          <w:szCs w:val="16"/>
        </w:rPr>
      </w:pPr>
    </w:p>
    <w:p w14:paraId="6B101937" w14:textId="77777777" w:rsidR="001F4816" w:rsidRPr="00070ADE" w:rsidRDefault="001F481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мая в 1944 году подготовлен акт Ворошиловградской областной чрезвычайной государственной комиссии по установлению злодеяний немецко-фашистских захватчиков и их сообщников и причиненного ими ущерба, констатирующий, что в области расстреляно оккупантами 15490 человек, замучено 366 человек, погибло от бомбежек 3517 человек, подверглись пыткам и издевательствам 7784 человека, угнано на принудительные работы в Германию девушек 41045, мужчин 17986. Общий ущерб народному хозяйству области составил 17 420 260 900 рублей (14880).</w:t>
      </w:r>
    </w:p>
    <w:p w14:paraId="63A450C9" w14:textId="77777777" w:rsidR="001F4816" w:rsidRPr="00070ADE" w:rsidRDefault="001F4816" w:rsidP="00B56F90">
      <w:pPr>
        <w:spacing w:after="0" w:line="240" w:lineRule="auto"/>
        <w:jc w:val="both"/>
        <w:rPr>
          <w:rFonts w:ascii="Times New Roman" w:hAnsi="Times New Roman"/>
          <w:color w:val="000000" w:themeColor="text1"/>
          <w:sz w:val="16"/>
          <w:szCs w:val="16"/>
        </w:rPr>
      </w:pPr>
    </w:p>
    <w:p w14:paraId="31BC07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3 мая 1944 на перевозки югославским партизанам переключили практически всю 15 гад - 44 экипажа. Эти полеты продолжались до освобождения Югославии. В одном из таких полетов летчик А.Каракозов атаковал над побережьем Черного моря и сбил немецкий бомбардировщик, а затем повредил второй (3457,94).</w:t>
      </w:r>
    </w:p>
    <w:p w14:paraId="158A33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D8F6E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2B8585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5DF5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мая 1944 года</w:t>
      </w:r>
    </w:p>
    <w:p w14:paraId="7BAE95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ЛИЧНО И СЕКРЕТНО ПОСЛАНИЕ ОТ г-на ЧЕРЧИЛЛЯ МАРШАЛУ СТАЛИНУ</w:t>
      </w:r>
    </w:p>
    <w:p w14:paraId="73B5A3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Осенью прошлого года я дал указание об отправке в Ваши северные порты цикла конвоев , состоящего из четырех конвоев, в каждый из которых войдет 35 британских и американских судов, причем позднее я смог добавить к первоначальной программе еще два дополнительных полуконвоя в составе 20 судов каждый, доведя таким образом общее количество отправляемых судов до 180 единиц, которые, как предполагалось, должны были перевезти 1 миллион дедвейтных тонн груза. Отправка конвоев этого цикла теперь завершена, и я имею удовольствие сообщить Вам о результатах приложенных нами усилий.</w:t>
      </w:r>
    </w:p>
    <w:p w14:paraId="1A5CB0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За исключением спасательных судов, Королевский Военно-Морской Флот конвоировал в Ваши северные порты 191 судно, в числе которых были 49 британских и 118 судов Соединенных Штатов с сухими грузами, одно судно — кран для помощи в разгрузке, 5 судов с военными грузами Соединенных Штатов и 18 танкеров. Перевезенные грузы в дедвейтных тоннах состояли из:</w:t>
      </w:r>
    </w:p>
    <w:tbl>
      <w:tblPr>
        <w:tblW w:w="0" w:type="auto"/>
        <w:tblLayout w:type="fixed"/>
        <w:tblCellMar>
          <w:left w:w="105" w:type="dxa"/>
          <w:right w:w="105" w:type="dxa"/>
        </w:tblCellMar>
        <w:tblLook w:val="0000" w:firstRow="0" w:lastRow="0" w:firstColumn="0" w:lastColumn="0" w:noHBand="0" w:noVBand="0"/>
      </w:tblPr>
      <w:tblGrid>
        <w:gridCol w:w="5939"/>
        <w:gridCol w:w="1980"/>
      </w:tblGrid>
      <w:tr w:rsidR="004D4663" w:rsidRPr="00070ADE" w14:paraId="60F64F17" w14:textId="77777777" w:rsidTr="001F4816">
        <w:tc>
          <w:tcPr>
            <w:tcW w:w="5939" w:type="dxa"/>
            <w:tcBorders>
              <w:top w:val="single" w:sz="6" w:space="0" w:color="auto"/>
              <w:left w:val="single" w:sz="6" w:space="0" w:color="auto"/>
              <w:bottom w:val="single" w:sz="6" w:space="0" w:color="auto"/>
              <w:right w:val="single" w:sz="6" w:space="0" w:color="auto"/>
            </w:tcBorders>
          </w:tcPr>
          <w:p w14:paraId="70EA11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0" w:type="dxa"/>
            <w:tcBorders>
              <w:top w:val="single" w:sz="6" w:space="0" w:color="auto"/>
              <w:left w:val="single" w:sz="6" w:space="0" w:color="auto"/>
              <w:bottom w:val="single" w:sz="6" w:space="0" w:color="auto"/>
              <w:right w:val="single" w:sz="6" w:space="0" w:color="auto"/>
            </w:tcBorders>
          </w:tcPr>
          <w:p w14:paraId="5EA0FC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Тонны</w:t>
            </w:r>
          </w:p>
        </w:tc>
      </w:tr>
      <w:tr w:rsidR="004D4663" w:rsidRPr="00070ADE" w14:paraId="3F0B6FDF" w14:textId="77777777" w:rsidTr="001F4816">
        <w:tc>
          <w:tcPr>
            <w:tcW w:w="5939" w:type="dxa"/>
            <w:tcBorders>
              <w:top w:val="single" w:sz="6" w:space="0" w:color="auto"/>
              <w:left w:val="single" w:sz="6" w:space="0" w:color="auto"/>
              <w:bottom w:val="single" w:sz="6" w:space="0" w:color="auto"/>
              <w:right w:val="single" w:sz="6" w:space="0" w:color="auto"/>
            </w:tcBorders>
          </w:tcPr>
          <w:p w14:paraId="644506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Британских грузов </w:t>
            </w:r>
          </w:p>
        </w:tc>
        <w:tc>
          <w:tcPr>
            <w:tcW w:w="1980" w:type="dxa"/>
            <w:tcBorders>
              <w:top w:val="single" w:sz="6" w:space="0" w:color="auto"/>
              <w:left w:val="single" w:sz="6" w:space="0" w:color="auto"/>
              <w:bottom w:val="single" w:sz="6" w:space="0" w:color="auto"/>
              <w:right w:val="single" w:sz="6" w:space="0" w:color="auto"/>
            </w:tcBorders>
          </w:tcPr>
          <w:p w14:paraId="472705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232 600</w:t>
            </w:r>
          </w:p>
        </w:tc>
      </w:tr>
      <w:tr w:rsidR="004D4663" w:rsidRPr="00070ADE" w14:paraId="23C5D9A9" w14:textId="77777777" w:rsidTr="001F4816">
        <w:tc>
          <w:tcPr>
            <w:tcW w:w="5939" w:type="dxa"/>
            <w:tcBorders>
              <w:top w:val="single" w:sz="6" w:space="0" w:color="auto"/>
              <w:left w:val="single" w:sz="6" w:space="0" w:color="auto"/>
              <w:bottom w:val="single" w:sz="6" w:space="0" w:color="auto"/>
              <w:right w:val="single" w:sz="6" w:space="0" w:color="auto"/>
            </w:tcBorders>
          </w:tcPr>
          <w:p w14:paraId="34CF8C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Американских грузов </w:t>
            </w:r>
          </w:p>
        </w:tc>
        <w:tc>
          <w:tcPr>
            <w:tcW w:w="1980" w:type="dxa"/>
            <w:tcBorders>
              <w:top w:val="single" w:sz="6" w:space="0" w:color="auto"/>
              <w:left w:val="single" w:sz="6" w:space="0" w:color="auto"/>
              <w:bottom w:val="single" w:sz="6" w:space="0" w:color="auto"/>
              <w:right w:val="single" w:sz="6" w:space="0" w:color="auto"/>
            </w:tcBorders>
          </w:tcPr>
          <w:p w14:paraId="194C6B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830 500</w:t>
            </w:r>
          </w:p>
        </w:tc>
      </w:tr>
      <w:tr w:rsidR="004D4663" w:rsidRPr="00070ADE" w14:paraId="4883E81F" w14:textId="77777777" w:rsidTr="001F4816">
        <w:tc>
          <w:tcPr>
            <w:tcW w:w="5939" w:type="dxa"/>
            <w:tcBorders>
              <w:top w:val="single" w:sz="6" w:space="0" w:color="auto"/>
              <w:left w:val="single" w:sz="6" w:space="0" w:color="auto"/>
              <w:bottom w:val="single" w:sz="6" w:space="0" w:color="auto"/>
              <w:right w:val="single" w:sz="6" w:space="0" w:color="auto"/>
            </w:tcBorders>
          </w:tcPr>
          <w:p w14:paraId="783BE4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Авиационного бензина, спирта и тяжелого нефтяного топлива </w:t>
            </w:r>
          </w:p>
        </w:tc>
        <w:tc>
          <w:tcPr>
            <w:tcW w:w="1980" w:type="dxa"/>
            <w:tcBorders>
              <w:top w:val="single" w:sz="6" w:space="0" w:color="auto"/>
              <w:left w:val="single" w:sz="6" w:space="0" w:color="auto"/>
              <w:bottom w:val="single" w:sz="6" w:space="0" w:color="auto"/>
              <w:right w:val="single" w:sz="6" w:space="0" w:color="auto"/>
            </w:tcBorders>
          </w:tcPr>
          <w:p w14:paraId="2CA81D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171 500</w:t>
            </w:r>
          </w:p>
        </w:tc>
      </w:tr>
      <w:tr w:rsidR="004D4663" w:rsidRPr="00070ADE" w14:paraId="09A71376" w14:textId="77777777" w:rsidTr="001F4816">
        <w:tc>
          <w:tcPr>
            <w:tcW w:w="5939" w:type="dxa"/>
            <w:tcBorders>
              <w:top w:val="single" w:sz="6" w:space="0" w:color="auto"/>
              <w:left w:val="single" w:sz="6" w:space="0" w:color="auto"/>
              <w:bottom w:val="single" w:sz="6" w:space="0" w:color="auto"/>
              <w:right w:val="single" w:sz="6" w:space="0" w:color="auto"/>
            </w:tcBorders>
          </w:tcPr>
          <w:p w14:paraId="076CC4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Военных грузов Соединенных Штатов </w:t>
            </w:r>
          </w:p>
        </w:tc>
        <w:tc>
          <w:tcPr>
            <w:tcW w:w="1980" w:type="dxa"/>
            <w:tcBorders>
              <w:top w:val="single" w:sz="6" w:space="0" w:color="auto"/>
              <w:left w:val="single" w:sz="6" w:space="0" w:color="auto"/>
              <w:bottom w:val="single" w:sz="6" w:space="0" w:color="auto"/>
              <w:right w:val="single" w:sz="6" w:space="0" w:color="auto"/>
            </w:tcBorders>
          </w:tcPr>
          <w:p w14:paraId="72CBA5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25 000</w:t>
            </w:r>
          </w:p>
        </w:tc>
      </w:tr>
      <w:tr w:rsidR="004D4663" w:rsidRPr="00070ADE" w14:paraId="595DCBC9" w14:textId="77777777" w:rsidTr="001F4816">
        <w:tc>
          <w:tcPr>
            <w:tcW w:w="5939" w:type="dxa"/>
            <w:tcBorders>
              <w:top w:val="single" w:sz="6" w:space="0" w:color="auto"/>
              <w:left w:val="single" w:sz="6" w:space="0" w:color="auto"/>
              <w:bottom w:val="single" w:sz="6" w:space="0" w:color="auto"/>
              <w:right w:val="single" w:sz="6" w:space="0" w:color="auto"/>
            </w:tcBorders>
          </w:tcPr>
          <w:p w14:paraId="69A259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Итого </w:t>
            </w:r>
          </w:p>
        </w:tc>
        <w:tc>
          <w:tcPr>
            <w:tcW w:w="1980" w:type="dxa"/>
            <w:tcBorders>
              <w:top w:val="single" w:sz="6" w:space="0" w:color="auto"/>
              <w:left w:val="single" w:sz="6" w:space="0" w:color="auto"/>
              <w:bottom w:val="single" w:sz="6" w:space="0" w:color="auto"/>
              <w:right w:val="single" w:sz="6" w:space="0" w:color="auto"/>
            </w:tcBorders>
          </w:tcPr>
          <w:p w14:paraId="1445EB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1 259 600</w:t>
            </w:r>
          </w:p>
        </w:tc>
      </w:tr>
    </w:tbl>
    <w:p w14:paraId="7E5FD5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Несмотря на ожесточенные атаки, предпринятые бдительным врагом, Королевскому Военно-Морскому Флоту удалось благополучно провести в Ваши порты все отправленные суда, за исключением трех. При этом я рад сообщить Вам, что наши потери составили лишь два потопленных эсминца и один сбитый самолет-истребитель, хорошей компенсацией за которые явилась потеря противником “Шарнгорста”, восьми подводных лодок и пяти самолетов. Мы также серьезно повредили в этом районе “Тирпиц”.</w:t>
      </w:r>
    </w:p>
    <w:p w14:paraId="3D86F1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Все это было большим успехом, и мое сердце радует то, что это оружие поступило в Ваши доблестные армии в то время, когда они одерживают великие победы. Как только критический период “Оверлорда” будет нами пройден, я буду работать над составлением планов дальнейших поставок Вам. Я уже дал указание изучить это дело с тем, чтобы договориться с Вами об отправке еще одного конвоя, если позволит ход боев. Я ожидаю действительно серьезных морских потерь в этой битве “Оверлорд”, где военные суда будут вести длительные бои с береговыми батареями и все корабли будут находиться в большой опасности вследствие наличия мин. Мы полагаем, что мы одолели подводные лодки и авиацию противника довольно успешно, но небольшие торпедные катера типа “Е” при их большой скорости будут представлять собой опасность ночью. Я считал своим долгом по отношению к г-ну Литтлтону, Министру Производства, который главным образом руководил этими поставками через Арктику, ознакомить Вас с тем фактом, что наши успехи превзошли наши ожидания.</w:t>
      </w:r>
    </w:p>
    <w:p w14:paraId="7CF5E3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Шлю добрые пожелания (7430).</w:t>
      </w:r>
    </w:p>
    <w:p w14:paraId="002DB2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23F75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22D581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C1E7BA" w14:textId="77777777" w:rsidR="007874A2" w:rsidRPr="00070ADE" w:rsidRDefault="007874A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 мая (ночь) 1944 360 британских бомбардировщиков атакуют немецкий военный лагерь недалеко от Майи, Франция. Их перехватывают немецкие ночные истребители и сбивают 42 бомбардировщика (11,6%). Бомбардировщики очень точно сбросили 1524 метрических тонны бомб, поразив 114 строений казарм, 47 транспортных навесов и некоторые здания с боеприпасами, а также уничтожив 37 танков и 65 других транспортных средств (20373).</w:t>
      </w:r>
    </w:p>
    <w:p w14:paraId="0DE397D3" w14:textId="77777777" w:rsidR="007874A2" w:rsidRPr="00070ADE" w:rsidRDefault="007874A2" w:rsidP="00B56F90">
      <w:pPr>
        <w:spacing w:after="0" w:line="240" w:lineRule="auto"/>
        <w:jc w:val="both"/>
        <w:rPr>
          <w:rFonts w:ascii="Times New Roman" w:hAnsi="Times New Roman"/>
          <w:color w:val="000000" w:themeColor="text1"/>
          <w:sz w:val="16"/>
          <w:szCs w:val="16"/>
        </w:rPr>
      </w:pPr>
    </w:p>
    <w:p w14:paraId="6F44378A" w14:textId="77777777" w:rsidR="007874A2" w:rsidRPr="00070ADE" w:rsidRDefault="007874A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 мая (ночь) 1944 92 британских бомбардировщика нанесли удар по аэродрому Люфтваффе в Мондидье, Франция, в результате чего было потеряно четыре самолета, в результате чего был нанесен большой ущерб северной части аэродрома (20373).</w:t>
      </w:r>
    </w:p>
    <w:p w14:paraId="2713AAB0" w14:textId="77777777" w:rsidR="007874A2" w:rsidRPr="00070ADE" w:rsidRDefault="007874A2" w:rsidP="00B56F90">
      <w:pPr>
        <w:spacing w:after="0" w:line="240" w:lineRule="auto"/>
        <w:jc w:val="both"/>
        <w:rPr>
          <w:rFonts w:ascii="Times New Roman" w:hAnsi="Times New Roman"/>
          <w:color w:val="000000" w:themeColor="text1"/>
          <w:sz w:val="16"/>
          <w:szCs w:val="16"/>
        </w:rPr>
      </w:pPr>
    </w:p>
    <w:p w14:paraId="73E372F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мая 1944 Испания согласилась прекратить поставки вольфрама в Германию в обмен на поставки в Испанию американских нефтепродуктов (4962).</w:t>
      </w:r>
    </w:p>
    <w:p w14:paraId="77BE67B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9DA63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0FEFB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09F8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опытная система заполне</w:t>
      </w:r>
      <w:r w:rsidRPr="00070ADE">
        <w:rPr>
          <w:rFonts w:ascii="Times New Roman" w:hAnsi="Times New Roman"/>
          <w:color w:val="000000" w:themeColor="text1"/>
          <w:sz w:val="16"/>
          <w:szCs w:val="16"/>
        </w:rPr>
        <w:softHyphen/>
        <w:t xml:space="preserve">ния бензобаков выхлопными газами мотора — система НГ 1-й зоны была рекомендовалась для установки «на модификации самолетов Ил-2 с новым типом мотора (самолеты Ил-2 с мотором АМ-42. — </w:t>
      </w:r>
      <w:r w:rsidRPr="00070ADE">
        <w:rPr>
          <w:rFonts w:ascii="Times New Roman" w:hAnsi="Times New Roman"/>
          <w:iCs/>
          <w:color w:val="000000" w:themeColor="text1"/>
          <w:sz w:val="16"/>
          <w:szCs w:val="16"/>
        </w:rPr>
        <w:t xml:space="preserve">Авт.) </w:t>
      </w:r>
      <w:r w:rsidRPr="00070ADE">
        <w:rPr>
          <w:rFonts w:ascii="Times New Roman" w:hAnsi="Times New Roman"/>
          <w:color w:val="000000" w:themeColor="text1"/>
          <w:sz w:val="16"/>
          <w:szCs w:val="16"/>
        </w:rPr>
        <w:t>с последующей проверкой ее характеристики летными испытаниями»</w:t>
      </w:r>
    </w:p>
    <w:p w14:paraId="6687CE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1944 в ЛИИ НКАП проходил совместные с НИИ ВВС государственные летные испытания Ил-2 зав. № 1873370 с мотором АМ-38ф, оборудованный опытной системой заполне</w:t>
      </w:r>
      <w:r w:rsidRPr="00070ADE">
        <w:rPr>
          <w:rFonts w:ascii="Times New Roman" w:hAnsi="Times New Roman"/>
          <w:color w:val="000000" w:themeColor="text1"/>
          <w:sz w:val="16"/>
          <w:szCs w:val="16"/>
        </w:rPr>
        <w:softHyphen/>
        <w:t>ния бензобаков выхлопными газами мотора — система НГ 1-й зоны. В ходе испытаний были испытаны две схемы «нейтраль</w:t>
      </w:r>
      <w:r w:rsidRPr="00070ADE">
        <w:rPr>
          <w:rFonts w:ascii="Times New Roman" w:hAnsi="Times New Roman"/>
          <w:color w:val="000000" w:themeColor="text1"/>
          <w:sz w:val="16"/>
          <w:szCs w:val="16"/>
        </w:rPr>
        <w:softHyphen/>
        <w:t>ного газа»: СКО завода № 18 и ЛИИ НКАП.</w:t>
      </w:r>
    </w:p>
    <w:p w14:paraId="02F9DE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Напомним, что бензобаки на серийных самолетах Ил-2 за</w:t>
      </w:r>
      <w:r w:rsidRPr="00070ADE">
        <w:rPr>
          <w:rFonts w:ascii="Times New Roman" w:hAnsi="Times New Roman"/>
          <w:color w:val="000000" w:themeColor="text1"/>
          <w:sz w:val="16"/>
          <w:szCs w:val="16"/>
        </w:rPr>
        <w:softHyphen/>
        <w:t>полнялись углекислотой от специального баллона. Это созда</w:t>
      </w:r>
      <w:r w:rsidRPr="00070ADE">
        <w:rPr>
          <w:rFonts w:ascii="Times New Roman" w:hAnsi="Times New Roman"/>
          <w:color w:val="000000" w:themeColor="text1"/>
          <w:sz w:val="16"/>
          <w:szCs w:val="16"/>
        </w:rPr>
        <w:softHyphen/>
        <w:t>вало определенные затруднения при эксплуатации самолета в условиях фронта — в БАО не всегда имелось специальное обо</w:t>
      </w:r>
      <w:r w:rsidRPr="00070ADE">
        <w:rPr>
          <w:rFonts w:ascii="Times New Roman" w:hAnsi="Times New Roman"/>
          <w:color w:val="000000" w:themeColor="text1"/>
          <w:sz w:val="16"/>
          <w:szCs w:val="16"/>
        </w:rPr>
        <w:softHyphen/>
        <w:t>рудование для заполнения баллонов углекислотой и, кроме то</w:t>
      </w:r>
      <w:r w:rsidRPr="00070ADE">
        <w:rPr>
          <w:rFonts w:ascii="Times New Roman" w:hAnsi="Times New Roman"/>
          <w:color w:val="000000" w:themeColor="text1"/>
          <w:sz w:val="16"/>
          <w:szCs w:val="16"/>
        </w:rPr>
        <w:softHyphen/>
        <w:t>го, предъявлялись довольно жесткие условия по хранению за</w:t>
      </w:r>
      <w:r w:rsidRPr="00070ADE">
        <w:rPr>
          <w:rFonts w:ascii="Times New Roman" w:hAnsi="Times New Roman"/>
          <w:color w:val="000000" w:themeColor="text1"/>
          <w:sz w:val="16"/>
          <w:szCs w:val="16"/>
        </w:rPr>
        <w:softHyphen/>
        <w:t>правленных баллонов на аэродроме.</w:t>
      </w:r>
    </w:p>
    <w:p w14:paraId="46CF7F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Забор газов для заполнения бензобаков производился от 5-го выхлопного патрубка левого блока мотора при помощи специального газозаборника, вваренного в патрубок навстречу потоку газов. Газозаборник выполнялся из жароупорной сталь</w:t>
      </w:r>
      <w:r w:rsidRPr="00070ADE">
        <w:rPr>
          <w:rFonts w:ascii="Times New Roman" w:hAnsi="Times New Roman"/>
          <w:color w:val="000000" w:themeColor="text1"/>
          <w:sz w:val="16"/>
          <w:szCs w:val="16"/>
        </w:rPr>
        <w:softHyphen/>
        <w:t>ной трубы, участок от газозаборника до входа в крыло — из стальной трубки, а остальная часть — из дюралевых труб. Вклю</w:t>
      </w:r>
      <w:r w:rsidRPr="00070ADE">
        <w:rPr>
          <w:rFonts w:ascii="Times New Roman" w:hAnsi="Times New Roman"/>
          <w:color w:val="000000" w:themeColor="text1"/>
          <w:sz w:val="16"/>
          <w:szCs w:val="16"/>
        </w:rPr>
        <w:softHyphen/>
        <w:t>чение и отключение подачи выхлопных газов в бензобаки осу</w:t>
      </w:r>
      <w:r w:rsidRPr="00070ADE">
        <w:rPr>
          <w:rFonts w:ascii="Times New Roman" w:hAnsi="Times New Roman"/>
          <w:color w:val="000000" w:themeColor="text1"/>
          <w:sz w:val="16"/>
          <w:szCs w:val="16"/>
        </w:rPr>
        <w:softHyphen/>
        <w:t>ществлялось летчиком при помощи крана пробкового типа.</w:t>
      </w:r>
    </w:p>
    <w:p w14:paraId="214D25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показали, что в системе завода № 18, наряду с достаточной концентрацией СО, и О, в газовой среде бензобаков, выхлопные газы, заполняющие бензобаки, содержат зна</w:t>
      </w:r>
      <w:r w:rsidRPr="00070ADE">
        <w:rPr>
          <w:rFonts w:ascii="Times New Roman" w:hAnsi="Times New Roman"/>
          <w:color w:val="000000" w:themeColor="text1"/>
          <w:sz w:val="16"/>
          <w:szCs w:val="16"/>
        </w:rPr>
        <w:softHyphen/>
        <w:t>чительное количество воды, скапливающейся в газопроводе, в бензобаках и в фильтре бензосистемы. Неудовлетворительное обезвоживание выхлопных газов обуславливалось высокой тем</w:t>
      </w:r>
      <w:r w:rsidRPr="00070ADE">
        <w:rPr>
          <w:rFonts w:ascii="Times New Roman" w:hAnsi="Times New Roman"/>
          <w:color w:val="000000" w:themeColor="text1"/>
          <w:sz w:val="16"/>
          <w:szCs w:val="16"/>
        </w:rPr>
        <w:softHyphen/>
        <w:t>пературой выхлопных газов, достигающей в районе фильтра-от стойника 40—74°С, вместо максимально допустимой температу</w:t>
      </w:r>
      <w:r w:rsidRPr="00070ADE">
        <w:rPr>
          <w:rFonts w:ascii="Times New Roman" w:hAnsi="Times New Roman"/>
          <w:color w:val="000000" w:themeColor="text1"/>
          <w:sz w:val="16"/>
          <w:szCs w:val="16"/>
        </w:rPr>
        <w:softHyphen/>
        <w:t>ры 30°С.</w:t>
      </w:r>
    </w:p>
    <w:p w14:paraId="279CE5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понижения температуры газа и улучшения конденсации водяных паров, содержащихся в выхлопных газах, система ней</w:t>
      </w:r>
      <w:r w:rsidRPr="00070ADE">
        <w:rPr>
          <w:rFonts w:ascii="Times New Roman" w:hAnsi="Times New Roman"/>
          <w:color w:val="000000" w:themeColor="text1"/>
          <w:sz w:val="16"/>
          <w:szCs w:val="16"/>
        </w:rPr>
        <w:softHyphen/>
        <w:t>трального газа ЛИИ НКАП включала специальные конденсато</w:t>
      </w:r>
      <w:r w:rsidRPr="00070ADE">
        <w:rPr>
          <w:rFonts w:ascii="Times New Roman" w:hAnsi="Times New Roman"/>
          <w:color w:val="000000" w:themeColor="text1"/>
          <w:sz w:val="16"/>
          <w:szCs w:val="16"/>
        </w:rPr>
        <w:softHyphen/>
        <w:t>ры, выполненные из трубы с внутренними перегородками. Эта схема показала хорошие результаты. Обеспечивалось вполне достаточное обезвоживание выхлопных газов даже при наличии негерметичности системы (искусственное отверстие диаметром 4 мм). Конденсат в фильтре-отстойнике за 1 час полета в сред</w:t>
      </w:r>
      <w:r w:rsidRPr="00070ADE">
        <w:rPr>
          <w:rFonts w:ascii="Times New Roman" w:hAnsi="Times New Roman"/>
          <w:color w:val="000000" w:themeColor="text1"/>
          <w:sz w:val="16"/>
          <w:szCs w:val="16"/>
        </w:rPr>
        <w:softHyphen/>
        <w:t>нем не превышал 60 см</w:t>
      </w:r>
      <w:r w:rsidRPr="00070ADE">
        <w:rPr>
          <w:rFonts w:ascii="Times New Roman" w:hAnsi="Times New Roman"/>
          <w:color w:val="000000" w:themeColor="text1"/>
          <w:sz w:val="16"/>
          <w:szCs w:val="16"/>
          <w:vertAlign w:val="superscript"/>
        </w:rPr>
        <w:t>3</w:t>
      </w:r>
      <w:r w:rsidRPr="00070ADE">
        <w:rPr>
          <w:rFonts w:ascii="Times New Roman" w:hAnsi="Times New Roman"/>
          <w:color w:val="000000" w:themeColor="text1"/>
          <w:sz w:val="16"/>
          <w:szCs w:val="16"/>
        </w:rPr>
        <w:t>. При этом концентрация в бензобаках СО, и О, достигала 2—4% и 8—12%, соответственно.</w:t>
      </w:r>
    </w:p>
    <w:p w14:paraId="4923C4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система НГ 1-й зоны ЛИИ НКАП и была ре</w:t>
      </w:r>
      <w:r w:rsidRPr="00070ADE">
        <w:rPr>
          <w:rFonts w:ascii="Times New Roman" w:hAnsi="Times New Roman"/>
          <w:color w:val="000000" w:themeColor="text1"/>
          <w:sz w:val="16"/>
          <w:szCs w:val="16"/>
        </w:rPr>
        <w:softHyphen/>
        <w:t>комендована в качестве эталона для внедрения в серию на всех самолетах Ил-2 с АМ-38ф взамен стандартной углекислотной установки (11474,378).</w:t>
      </w:r>
    </w:p>
    <w:p w14:paraId="7C2845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026149" w14:textId="77777777" w:rsidR="00962976" w:rsidRPr="00070ADE" w:rsidRDefault="00962976"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4 мая 1944 в отчете пс испытаниям от система НГ 1-й зоны конструкции ЛИИ НКАП рекомендовалась для установки «на модификации самолетов Ил-2 с новым типом мотора (самолеты Ил-2 с мотором АМ-42) с последующей проверкой ее характеристики летными испытаниями».</w:t>
      </w:r>
    </w:p>
    <w:p w14:paraId="665B069B" w14:textId="77777777" w:rsidR="00962976" w:rsidRPr="00070ADE" w:rsidRDefault="00962976"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Как известно, до самого окончания войны штурмовики Ил-2 летали с системой НГ-1-й зоны от баллона углекислоты под давлением. Надо сказать, ОКБ С.В. Ильюшина так и не смогло отладить систему НГ-1 от выхлопа мотора и на других штурмовиках. На опытном Ил-8 такая система имелась, но на государственные испытания она не предъявлялась, так как не была «доведена до ума». На серийном штурмовике Ил-10 поначалу система нейтральных газов вообще не предусматривалась. Самолет был принят на вооружение без НГ-1 хотя без нее боевой самолет в то время уже не мыслился. Такую систему внедрили уже в ходе серийного производства (17733).</w:t>
      </w:r>
    </w:p>
    <w:p w14:paraId="4D196763" w14:textId="77777777" w:rsidR="00962976" w:rsidRPr="00070ADE" w:rsidRDefault="00962976"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2A01D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года самолет Пе-2И был принят на испытания в НИИ ВВС. С 4 по 13 мая произведено 4 полета, общей продолжительностью 3 часа 45 минут, из них: первый полет ознакомительный, второй - километраж, третий - определение тепловых режимов винто-моторной группы и четвертый - для определения скоростей по высотам. Третий и четвертый полеты производились до 6500 м. Летные данные самолета в этих полетах еще не были определены (1821).</w:t>
      </w:r>
    </w:p>
    <w:p w14:paraId="338D1E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82E570"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г. на основании постановления ГКО № ГОКО-5801сс и по НКАП № 317сс от 11 мая 1944 г. ОКО-22 был обязан разработать КД и внедрить установку электропуска конструкции Китаенко на носовом и нижнем пулеметах УБ-12,7 самолета Пе-2 выпуска завода № 22 и до 15 июня 1944 г. сдать ВВС для проведения войсковых испытаний 100 самолетов с электроспуском Китаенко на носовой установке (23565);</w:t>
      </w:r>
    </w:p>
    <w:p w14:paraId="1DA8CC7C" w14:textId="77777777" w:rsidR="001D733C" w:rsidRPr="00070ADE" w:rsidRDefault="001D733C" w:rsidP="00B56F90">
      <w:pPr>
        <w:spacing w:after="0" w:line="240" w:lineRule="auto"/>
        <w:jc w:val="both"/>
        <w:rPr>
          <w:rFonts w:ascii="Times New Roman" w:hAnsi="Times New Roman"/>
          <w:color w:val="000000" w:themeColor="text1"/>
          <w:sz w:val="16"/>
          <w:szCs w:val="16"/>
        </w:rPr>
      </w:pPr>
    </w:p>
    <w:p w14:paraId="47D2EB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постановление ГКО N 5800сс по организации на заводе 86 кап. ремонта самолетов всех типов, в т.ч. самолетов Ер-2 и к началу 1945 началу на этом заводе выпуска самолетов Ер-2 (1602,35).</w:t>
      </w:r>
    </w:p>
    <w:p w14:paraId="0192B8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ADFEAF" w14:textId="77777777" w:rsidR="001F4816" w:rsidRPr="00070ADE" w:rsidRDefault="001F4816"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4-го мая 1944 года вышло Постановление Государственного Комитета Обороны № 5800сс, в соответствии с которым, наряду с серийным выпуском бомбардировщиков Ер-2, заводу № 39 поручается изготовить и отправить авиационному заводу № 86 в Таганроге комплект оснастки и приспособлений для производства Ер-2, а также 25 этих машин в агрегатах и деталях. Началом поставки был назван ноябрь 1944 года. Постановление ГКО было выполнено в соответствии с графиком поставки. В начале 1945 года в Таганрог было отправлено еще пять бомбардировщиков в деталях и агрегатах (15223).</w:t>
      </w:r>
    </w:p>
    <w:p w14:paraId="52106AB9" w14:textId="77777777" w:rsidR="001F4816" w:rsidRPr="00070ADE" w:rsidRDefault="001F4816" w:rsidP="00B56F90">
      <w:pPr>
        <w:shd w:val="clear" w:color="auto" w:fill="FFFFFF"/>
        <w:spacing w:after="0" w:line="240" w:lineRule="auto"/>
        <w:jc w:val="both"/>
        <w:rPr>
          <w:rFonts w:ascii="Times New Roman" w:hAnsi="Times New Roman"/>
          <w:color w:val="000000" w:themeColor="text1"/>
          <w:sz w:val="16"/>
          <w:szCs w:val="16"/>
        </w:rPr>
      </w:pPr>
    </w:p>
    <w:p w14:paraId="5ADB16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 НИИ ВВС для госиспытаний поступил модифицированный ЛаГГ-3 дублер с ВК-105ПФ-2 с винтом ВИШ-105СВ (N 105-2 производства 31 завода (февраль), ГК В.П.Горбунов с ВЯ-23 - 85 патр. И испытания начались 10 мая и были остановлены 12 мая для смены двигателя и продолжены с 1 июня по 12 июня 1944</w:t>
      </w:r>
    </w:p>
    <w:p w14:paraId="22083B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А.E.Репин утвердил акт по гос. испытаниям модифицированного ЛаГГ-3 дублера с ВК-105ПФ-2 с винтом ВИШ-105СВ (N 105-2 производства 31 завода (февраль), ГК В.П.Горбунов с ВЯ-23</w:t>
      </w:r>
    </w:p>
    <w:p w14:paraId="30EFDC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 исполнитель вед. инж. З-да ви п/п Ф.М.Шишкин</w:t>
      </w:r>
    </w:p>
    <w:p w14:paraId="7CF189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 л 3 отд. НИИ ВВС гсс гм Дзюба</w:t>
      </w:r>
    </w:p>
    <w:p w14:paraId="593C82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 Шишкин</w:t>
      </w:r>
    </w:p>
    <w:p w14:paraId="016186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Цель испытаний:</w:t>
      </w:r>
    </w:p>
    <w:p w14:paraId="1582B9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Определить ЛТД с-та</w:t>
      </w:r>
    </w:p>
    <w:p w14:paraId="53263B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Дать оценку эксплуатационным свойствам с-та, ВМГ, вооружения и спецоборудования</w:t>
      </w:r>
    </w:p>
    <w:p w14:paraId="7CC307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Оценить производственное и конструктивное выполнение с-та</w:t>
      </w:r>
    </w:p>
    <w:p w14:paraId="610FFA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Объект испытаний: предъявленная на госиспытания машина завода № 31 выпуска февраля 1944</w:t>
      </w:r>
    </w:p>
    <w:p w14:paraId="3D06FA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ранее испытывавшимся ЛаГГ-3 с мотором ВК-105ПФ (первый экз. С-та № 105-1)с-т дублер № 105-2 имеет следующие отличия:</w:t>
      </w:r>
    </w:p>
    <w:p w14:paraId="4FBB03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планеру - изменена конструкция 4 и 5 шпангоутов фюзеляжа. В нижней ферме 4-го шпангоута произведено два круглых отверстия под тоннуль маслорадиатора, в шп. 5 изменен нижний ... под установку фермы для крепления сидения пилота и качалки управления РВ</w:t>
      </w:r>
    </w:p>
    <w:p w14:paraId="548CA8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 нижней части фюзеляжа перед тоннелем водорадиатора установлено два заборника воздуха для охлаждения маслорадиатора</w:t>
      </w:r>
    </w:p>
    <w:p w14:paraId="3321AF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увеличено плечо качалки управления элеронами для уменьшения давления на ручку управления с-том</w:t>
      </w:r>
    </w:p>
    <w:p w14:paraId="2E4FC7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изменены форма и конструкция ручки управления с-том по типу ручки стандартной кабины</w:t>
      </w:r>
    </w:p>
    <w:p w14:paraId="45AD72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установлен дополнительный кронштейн для крепления лафета пушки ВЯ-23</w:t>
      </w:r>
    </w:p>
    <w:p w14:paraId="2A151D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ВМГ: установлен мотор ВК-105ПФ-2, установлен винт типа ВИШ-105СВ с профилированной комлевой частью лопастей, маслорадиатор типа ОП-352 заменен двумя последовательно соединенными рядами типа ВМС-8 с трубкой К-4, толщиной 0,1 мм</w:t>
      </w:r>
    </w:p>
    <w:p w14:paraId="071402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 туннель маслорадиатора, который установлен в фюзеляже</w:t>
      </w:r>
    </w:p>
    <w:p w14:paraId="25C2FF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изменена конструкция и перекомпоновыны ряд коробов и крышек капота мотора и управление заслонками маслорадиатора</w:t>
      </w:r>
    </w:p>
    <w:p w14:paraId="44C7DA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общая емкость б/б уменьшена на 28 л с 405 до 377 л</w:t>
      </w:r>
    </w:p>
    <w:p w14:paraId="421ED1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на носок вала редуктора установлен центробежный маслоотражатель типа ЛИИ НКАП</w:t>
      </w:r>
    </w:p>
    <w:p w14:paraId="334BDA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 дренаж трубки суфлера бака</w:t>
      </w:r>
    </w:p>
    <w:p w14:paraId="7FFA21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выхлопные патрубки изготовлены по типу с-та Як-3 (рекомендация ЦАГИ)</w:t>
      </w:r>
    </w:p>
    <w:p w14:paraId="39E735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По вооружению: установлена пушка ВЯ-23 с боезапасом 85 патронов вместо пушки МП-20 с б/з 160 патронов, пулемет УБС с б/з 185 патронов вместо 200 патронов</w:t>
      </w:r>
    </w:p>
    <w:p w14:paraId="76034B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установкой пушки ВЯ-23 изменено крепление пушки, форма и конструкция патронных коробок и гильзоотвода</w:t>
      </w:r>
    </w:p>
    <w:p w14:paraId="777147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установлен звеньесборник для пушки ВЯ-23</w:t>
      </w:r>
    </w:p>
    <w:p w14:paraId="4FD873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механизм управления оружием переведен на пневматику</w:t>
      </w:r>
    </w:p>
    <w:p w14:paraId="3DCED9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Спецприборы с-та 105-2 дублер такие же, как на с-те 105-1</w:t>
      </w:r>
    </w:p>
    <w:p w14:paraId="436D9E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улучшения ЛТД проведены следующие мероприятия:</w:t>
      </w:r>
    </w:p>
    <w:p w14:paraId="5F6AA0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улучшена внешняя отделка и введена полировка передней кромки крыла</w:t>
      </w:r>
    </w:p>
    <w:p w14:paraId="18A253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козырьку кабины пилота придана сферическая форма</w:t>
      </w:r>
    </w:p>
    <w:p w14:paraId="26571E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улучшена герметизация противопожарной перегородки, крыла, кабины пилота и хвостовой части фюзеляжа</w:t>
      </w:r>
    </w:p>
    <w:p w14:paraId="773A56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данным завода прочность с-та 105-2 и его основных агрегатов: фюзеляжа, крыла, центроплана, шасси удовлетворяет действующим нормам прочности.</w:t>
      </w:r>
    </w:p>
    <w:p w14:paraId="1417BD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Расчет завода по флаттеру крыла серийного с-та ЛаГГ-3 в облегченном варианте произведен в ЦАГИ и получено разрешение на эксплуатацию на скорости до 700 км/час по прибору</w:t>
      </w:r>
    </w:p>
    <w:p w14:paraId="6DC948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испытаний:</w:t>
      </w:r>
    </w:p>
    <w:p w14:paraId="5DE285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пибыл в НИИ 4 мая. Испытания начаты 10 мая, приостановлены по просьбе ГК с-та В.П.Горбунова для осмотра с-та и мотора и доводки тепловых режимов ВМГ 12 мая. Возобновлены 1 июня и закончены 12 июня. Выполнено 15 полетов с налетом 8:40</w:t>
      </w:r>
    </w:p>
    <w:p w14:paraId="561D88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2285 22,5% САХ, угол капотирования 26:40</w:t>
      </w:r>
    </w:p>
    <w:p w14:paraId="46195A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полетный 2875 22.2% САХ, угол капотирования 28:40</w:t>
      </w:r>
    </w:p>
    <w:p w14:paraId="55B5EC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Нормальная нагрузка:</w:t>
      </w:r>
    </w:p>
    <w:p w14:paraId="3F506E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- 90</w:t>
      </w:r>
    </w:p>
    <w:p w14:paraId="0BAB72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горючее (074 г,см3) - 280</w:t>
      </w:r>
    </w:p>
    <w:p w14:paraId="4B4413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масло - 27</w:t>
      </w:r>
    </w:p>
    <w:p w14:paraId="0DA826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 пушка ВЯ-23 - 73, УБС - 21,5, б/з пушки (85) - 47, б/з пулемета (185) - 31,0</w:t>
      </w:r>
    </w:p>
    <w:p w14:paraId="06E7AF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связное оборудование - 20,5</w:t>
      </w:r>
    </w:p>
    <w:p w14:paraId="014D11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- 590</w:t>
      </w:r>
    </w:p>
    <w:p w14:paraId="04B70E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 изменения веса 105-2 по сравнению с 105-1, проходившим испытания в НИИ в октябре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708"/>
        <w:gridCol w:w="709"/>
        <w:gridCol w:w="709"/>
      </w:tblGrid>
      <w:tr w:rsidR="004D4663" w:rsidRPr="00070ADE" w14:paraId="6A4BA939" w14:textId="77777777">
        <w:tc>
          <w:tcPr>
            <w:tcW w:w="2802" w:type="dxa"/>
            <w:tcBorders>
              <w:top w:val="single" w:sz="12" w:space="0" w:color="auto"/>
            </w:tcBorders>
          </w:tcPr>
          <w:p w14:paraId="7DBB6D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w:t>
            </w:r>
          </w:p>
        </w:tc>
        <w:tc>
          <w:tcPr>
            <w:tcW w:w="708" w:type="dxa"/>
            <w:tcBorders>
              <w:top w:val="single" w:sz="12" w:space="0" w:color="auto"/>
            </w:tcBorders>
          </w:tcPr>
          <w:p w14:paraId="1A686E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105-2 дублер</w:t>
            </w:r>
          </w:p>
        </w:tc>
        <w:tc>
          <w:tcPr>
            <w:tcW w:w="709" w:type="dxa"/>
            <w:tcBorders>
              <w:top w:val="single" w:sz="12" w:space="0" w:color="auto"/>
            </w:tcBorders>
          </w:tcPr>
          <w:p w14:paraId="3376C9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105-1 первый</w:t>
            </w:r>
          </w:p>
        </w:tc>
        <w:tc>
          <w:tcPr>
            <w:tcW w:w="709" w:type="dxa"/>
            <w:tcBorders>
              <w:top w:val="single" w:sz="12" w:space="0" w:color="auto"/>
            </w:tcBorders>
          </w:tcPr>
          <w:p w14:paraId="6F27F0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Разница</w:t>
            </w:r>
          </w:p>
        </w:tc>
      </w:tr>
      <w:tr w:rsidR="004D4663" w:rsidRPr="00070ADE" w14:paraId="7847E2D9" w14:textId="77777777">
        <w:tc>
          <w:tcPr>
            <w:tcW w:w="2802" w:type="dxa"/>
          </w:tcPr>
          <w:p w14:paraId="73A7E7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 полетный вес</w:t>
            </w:r>
          </w:p>
        </w:tc>
        <w:tc>
          <w:tcPr>
            <w:tcW w:w="708" w:type="dxa"/>
          </w:tcPr>
          <w:p w14:paraId="0B751D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2875</w:t>
            </w:r>
          </w:p>
        </w:tc>
        <w:tc>
          <w:tcPr>
            <w:tcW w:w="709" w:type="dxa"/>
          </w:tcPr>
          <w:p w14:paraId="26F143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2818</w:t>
            </w:r>
          </w:p>
        </w:tc>
        <w:tc>
          <w:tcPr>
            <w:tcW w:w="709" w:type="dxa"/>
          </w:tcPr>
          <w:p w14:paraId="10C1DC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w:t>
            </w:r>
          </w:p>
        </w:tc>
      </w:tr>
      <w:tr w:rsidR="004D4663" w:rsidRPr="00070ADE" w14:paraId="5FFF51D6" w14:textId="77777777">
        <w:tc>
          <w:tcPr>
            <w:tcW w:w="2802" w:type="dxa"/>
          </w:tcPr>
          <w:p w14:paraId="78D692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w:t>
            </w:r>
          </w:p>
        </w:tc>
        <w:tc>
          <w:tcPr>
            <w:tcW w:w="708" w:type="dxa"/>
          </w:tcPr>
          <w:p w14:paraId="5AB464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2285</w:t>
            </w:r>
          </w:p>
        </w:tc>
        <w:tc>
          <w:tcPr>
            <w:tcW w:w="709" w:type="dxa"/>
          </w:tcPr>
          <w:p w14:paraId="556F54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2234</w:t>
            </w:r>
          </w:p>
        </w:tc>
        <w:tc>
          <w:tcPr>
            <w:tcW w:w="709" w:type="dxa"/>
          </w:tcPr>
          <w:p w14:paraId="2B11AB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w:t>
            </w:r>
          </w:p>
        </w:tc>
      </w:tr>
      <w:tr w:rsidR="004D4663" w:rsidRPr="00070ADE" w14:paraId="11BE2B71" w14:textId="77777777">
        <w:tc>
          <w:tcPr>
            <w:tcW w:w="2802" w:type="dxa"/>
          </w:tcPr>
          <w:p w14:paraId="60F36B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нагрузки</w:t>
            </w:r>
          </w:p>
        </w:tc>
        <w:tc>
          <w:tcPr>
            <w:tcW w:w="708" w:type="dxa"/>
          </w:tcPr>
          <w:p w14:paraId="75715D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590</w:t>
            </w:r>
          </w:p>
        </w:tc>
        <w:tc>
          <w:tcPr>
            <w:tcW w:w="709" w:type="dxa"/>
          </w:tcPr>
          <w:p w14:paraId="190CC1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584</w:t>
            </w:r>
          </w:p>
        </w:tc>
        <w:tc>
          <w:tcPr>
            <w:tcW w:w="709" w:type="dxa"/>
          </w:tcPr>
          <w:p w14:paraId="195CA1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r>
      <w:tr w:rsidR="004D4663" w:rsidRPr="00070ADE" w14:paraId="5312A204" w14:textId="77777777">
        <w:tc>
          <w:tcPr>
            <w:tcW w:w="2802" w:type="dxa"/>
          </w:tcPr>
          <w:p w14:paraId="479556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Центровка при нормальном полетном весе</w:t>
            </w:r>
          </w:p>
        </w:tc>
        <w:tc>
          <w:tcPr>
            <w:tcW w:w="708" w:type="dxa"/>
          </w:tcPr>
          <w:p w14:paraId="471346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w:t>
            </w:r>
          </w:p>
        </w:tc>
        <w:tc>
          <w:tcPr>
            <w:tcW w:w="709" w:type="dxa"/>
          </w:tcPr>
          <w:p w14:paraId="497C00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23,7</w:t>
            </w:r>
          </w:p>
        </w:tc>
        <w:tc>
          <w:tcPr>
            <w:tcW w:w="709" w:type="dxa"/>
          </w:tcPr>
          <w:p w14:paraId="353BD2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r>
      <w:tr w:rsidR="004D4663" w:rsidRPr="00070ADE" w14:paraId="273555DC" w14:textId="77777777">
        <w:tc>
          <w:tcPr>
            <w:tcW w:w="2802" w:type="dxa"/>
          </w:tcPr>
          <w:p w14:paraId="0CDE5F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Предельная передняя эксплуатационная центровка</w:t>
            </w:r>
          </w:p>
        </w:tc>
        <w:tc>
          <w:tcPr>
            <w:tcW w:w="708" w:type="dxa"/>
          </w:tcPr>
          <w:p w14:paraId="49FCC8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23,9</w:t>
            </w:r>
          </w:p>
        </w:tc>
        <w:tc>
          <w:tcPr>
            <w:tcW w:w="709" w:type="dxa"/>
          </w:tcPr>
          <w:p w14:paraId="01AE4B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22,3</w:t>
            </w:r>
          </w:p>
        </w:tc>
        <w:tc>
          <w:tcPr>
            <w:tcW w:w="709" w:type="dxa"/>
          </w:tcPr>
          <w:p w14:paraId="168FD6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r>
      <w:tr w:rsidR="004D4663" w:rsidRPr="00070ADE" w14:paraId="26D55F28" w14:textId="77777777">
        <w:tc>
          <w:tcPr>
            <w:tcW w:w="2802" w:type="dxa"/>
            <w:tcBorders>
              <w:bottom w:val="single" w:sz="12" w:space="0" w:color="auto"/>
            </w:tcBorders>
          </w:tcPr>
          <w:p w14:paraId="442BAA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Запас горючего 4Б-78</w:t>
            </w:r>
          </w:p>
        </w:tc>
        <w:tc>
          <w:tcPr>
            <w:tcW w:w="708" w:type="dxa"/>
            <w:tcBorders>
              <w:bottom w:val="single" w:sz="12" w:space="0" w:color="auto"/>
            </w:tcBorders>
          </w:tcPr>
          <w:p w14:paraId="5A47E2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w:t>
            </w:r>
          </w:p>
        </w:tc>
        <w:tc>
          <w:tcPr>
            <w:tcW w:w="709" w:type="dxa"/>
            <w:tcBorders>
              <w:bottom w:val="single" w:sz="12" w:space="0" w:color="auto"/>
            </w:tcBorders>
          </w:tcPr>
          <w:p w14:paraId="12B970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tc>
        <w:tc>
          <w:tcPr>
            <w:tcW w:w="709" w:type="dxa"/>
            <w:tcBorders>
              <w:bottom w:val="single" w:sz="12" w:space="0" w:color="auto"/>
            </w:tcBorders>
          </w:tcPr>
          <w:p w14:paraId="6F1C2C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r>
    </w:tbl>
    <w:p w14:paraId="62B036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причины, вызвавшие увеличение веса - установка пушки ВЯ-23, усиления и конструкционные изменения</w:t>
      </w:r>
    </w:p>
    <w:p w14:paraId="1D27DC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ЛД</w:t>
      </w:r>
    </w:p>
    <w:p w14:paraId="1D4EEB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у земли - 554</w:t>
      </w:r>
    </w:p>
    <w:p w14:paraId="77A418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1-й гр. высотности (1400) - 590</w:t>
      </w:r>
    </w:p>
    <w:p w14:paraId="6D5436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2-й гр. высотности (3400) - 618</w:t>
      </w:r>
    </w:p>
    <w:p w14:paraId="52C3BA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5000 - 593</w:t>
      </w:r>
    </w:p>
    <w:p w14:paraId="39C5B8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6000 - 578</w:t>
      </w:r>
    </w:p>
    <w:p w14:paraId="7142F0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5000 м - 4,8</w:t>
      </w:r>
    </w:p>
    <w:p w14:paraId="301C78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Потолок 10750</w:t>
      </w:r>
    </w:p>
    <w:p w14:paraId="4F5087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Граница переключения нагнетателя - 2000 на скорости 542</w:t>
      </w:r>
    </w:p>
    <w:p w14:paraId="5F76DC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Скорости вертикальные</w:t>
      </w:r>
    </w:p>
    <w:p w14:paraId="6E0649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 - 18,1</w:t>
      </w:r>
    </w:p>
    <w:p w14:paraId="024F4D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гр. 650 - 18,9</w:t>
      </w:r>
    </w:p>
    <w:p w14:paraId="376ACA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перекл. - 17,0</w:t>
      </w:r>
    </w:p>
    <w:p w14:paraId="16E5ED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 гр. (2500) - 19,2</w:t>
      </w:r>
    </w:p>
    <w:p w14:paraId="0DC326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5000 - 13,6</w:t>
      </w:r>
    </w:p>
    <w:p w14:paraId="12A5C0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6000 - 11,3</w:t>
      </w:r>
    </w:p>
    <w:p w14:paraId="7BE5EB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ВК-105ПФ-2 наработал с начала испытаний 44:02 и был снят из-за течи воды из блока через уплотнение гильзы</w:t>
      </w:r>
    </w:p>
    <w:p w14:paraId="3E9602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Производилось сравнение с 105-1, Як-3 дублер, Ла-7 (испытанном в апреле 1944), с Ме-109G (январь 1943) и ФВ-190 А-4 (июль 1943).</w:t>
      </w:r>
    </w:p>
    <w:p w14:paraId="1BDD8B0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1D2B64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ВМГ работает неудовлетворительно</w:t>
      </w:r>
    </w:p>
    <w:p w14:paraId="24C9132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наборе высоты с полностью отурытым туннелем водорадиатора температура воды 116 гр, в горизонтальном полете - 115 (макс. допустимо - 110)</w:t>
      </w:r>
    </w:p>
    <w:p w14:paraId="50F19B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Установленное пулеметно-пушечное вооружение не доведено.</w:t>
      </w:r>
    </w:p>
    <w:p w14:paraId="5FEA95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Искажение видимости предметов через сферическую часть козырька кабины пилота</w:t>
      </w:r>
    </w:p>
    <w:p w14:paraId="45669E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с-те отсутствует аварийный сброс фонаря</w:t>
      </w:r>
    </w:p>
    <w:p w14:paraId="0CCCF4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w:t>
      </w:r>
    </w:p>
    <w:p w14:paraId="2DC84D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Модифицированный с-т 1-5-2 дублер конструкции т. Горбунова постройки ОКБ завода № 31 госиспытания не выдержал по причине:</w:t>
      </w:r>
    </w:p>
    <w:p w14:paraId="785B01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низкие ЛТД для с-та большой модификации</w:t>
      </w:r>
    </w:p>
    <w:p w14:paraId="5667EE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неудовлетворительная работа ВМГ и вооружения</w:t>
      </w:r>
    </w:p>
    <w:p w14:paraId="6C346E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Считать нецелесообразной продолжение работы по дальнейшей модификации с-та ЛаГГ-3 с мотором ВК-105ПФ-2</w:t>
      </w:r>
    </w:p>
    <w:p w14:paraId="327476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дублер подлежит сдаче на завод № 31</w:t>
      </w:r>
    </w:p>
    <w:p w14:paraId="3905A7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Подписали с 20 по 24 июня (764,2).</w:t>
      </w:r>
    </w:p>
    <w:p w14:paraId="28F58A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A8B986" w14:textId="77777777" w:rsidR="00804810" w:rsidRPr="00070ADE" w:rsidRDefault="008048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самолет 105-2, который был построен 31-м заводом в феврале 1944 года, после непродолжительных заводских испытаний поступил в НИИ ВВС.</w:t>
      </w:r>
    </w:p>
    <w:p w14:paraId="0BE22C70" w14:textId="77777777" w:rsidR="00804810" w:rsidRPr="00070ADE" w:rsidRDefault="008048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 105-2 – так на заводе стали называть второй прототип, а первый при этом получил обозначение 105-1, – было решено установить мотор-пушку Волкова-Ярцева калибром 23 мм. В связи с установкой новой пушки переделали лафет и установили дополнительный кронштейн для его крепления, изменили форму и конструкцию патронных коробок и гильзоотвода, установили звеньесборник для пушки ВЯ-23, а механическое управление стрельбой перевели на пневматику. При этом боекомплект пушки ВЯ-23 составил 85 патронов вместо 160 у пушки МП-20, а у пулемета УБС он сократился до 185 патронов вместо прежних 200.</w:t>
      </w:r>
    </w:p>
    <w:p w14:paraId="7ECF8798" w14:textId="77777777" w:rsidR="00804810" w:rsidRPr="00070ADE" w:rsidRDefault="008048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Кардинальной переделке подверглась ВМГ. На самолет поставили мотор М-105ПФ2 и винт типа ВИШ-105СВ с профилированной комлевой частью лопастей. На носок вала редуктора был установлен центробежный маслоотражатель типа ЛИИ НКАП. Серьезно переделали каркас капота и схему капотирования мотора. По рекомендации ЦАГИ выхлопные патрубки изготовили по типу Як-3. Маслорадиатор ОП-352 был заменен двумя последовательно соединенными радиаторами типа ВМС-8 с трубкой К-4, толщиной 0,1 мм, которые переместили в фюзеляж, что придало носовой части самолета более обтекаемые формы.</w:t>
      </w:r>
    </w:p>
    <w:p w14:paraId="7A91DA49" w14:textId="77777777" w:rsidR="00804810" w:rsidRPr="00070ADE" w:rsidRDefault="008048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Тбилисские конструкторы не стали копировать яковлевский вариант c совмещенными воздухозаборниками маслорадиаторов и нагнетателя в корне крыла. В нижней части фюзеляжа перед тоннелем водорадиатора разместили два заборника для охлаждения маслорадиаторов, которые установили под поликом кабины пилота, а воздухозаборники нагнетателя оставили в корне центроплана. Такое решение могло несколько поднять границы высотности мотора. Патрубки сброса воздуха разместили по бортам кабины ниже фонаря кабины пилота. Модернизация маслосистемы повлекла за собой ряд доработок планера. Из-за прокладки тоннелей маслорадиаторов общая емкость топливных баков уменьшилась на 28 литров – с 405 до 377. Бензобаки для самолета 105-2 изготовили при этом заново. Была изменена конструкция 4-го и 5-го шпангоутов фюзеляжа. В нижней ферме 4-го шпангоута прорезали два круглых отверстия под тоннель маслорадиатора, а нижнюю часть </w:t>
      </w:r>
      <w:r w:rsidRPr="00070ADE">
        <w:rPr>
          <w:rFonts w:ascii="Times New Roman" w:hAnsi="Times New Roman"/>
          <w:color w:val="000000" w:themeColor="text1"/>
          <w:sz w:val="16"/>
          <w:szCs w:val="16"/>
        </w:rPr>
        <w:lastRenderedPageBreak/>
        <w:t>шпангоута № 5 изменили под установку фермы для крепления сидения пилота и качалки управления РВ. Помимо этого, было увеличено плечо качалки управления элеронами для уменьшения нагрузки на ручку управления, а ее саму изготовили по типу ручки стандартной кабины. Также было изменено управление заслонками маслорадиатора и дренажная трубка суфлерного бачка. Выпуск и уборка шасси теперь осуществлялся от пневмосистемы.</w:t>
      </w:r>
    </w:p>
    <w:p w14:paraId="48701D54" w14:textId="77777777" w:rsidR="00804810" w:rsidRPr="00070ADE" w:rsidRDefault="008048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повышения летных характеристик была улучшена внешняя отделка и отполирована передняя кромка крыла самолета 105-2, козырьку кабины пилота придана сферическая форма, улучшена герметизация противопожарной перегородки, крыла, кабины пилота и хвостовой части фюзеляжа, облагорожены обводы тоннеля водорадиатора. Однако по непонятным причинам щитки колес шасси на 105-2 ставить не стали, хотя по данным ЛИИ их применение на первых сериях «облегченных» ЛаГГ-3 увеличивало максимальную скорость на 5-7 км/ч.</w:t>
      </w:r>
    </w:p>
    <w:p w14:paraId="1021EE45" w14:textId="77777777" w:rsidR="00804810" w:rsidRPr="00070ADE" w:rsidRDefault="008048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Ведущим летчиком назначили ГСС майора Дзюбу, ведущим инженером – инженера-подполковника Шишкина. «Дублер» оказался тяжелее самолета 105. Пустой он весил 2285 кг, то есть больше на 51 кг, а полетный вес составлял 2875 кг – «привес» в 57 кг. Рост массы самолета в основном был вызван установкой более тяжелой пушки (23197).</w:t>
      </w:r>
    </w:p>
    <w:p w14:paraId="00BE7CE0" w14:textId="77777777" w:rsidR="00804810" w:rsidRPr="00070ADE" w:rsidRDefault="00804810" w:rsidP="00B56F90">
      <w:pPr>
        <w:spacing w:after="0" w:line="240" w:lineRule="auto"/>
        <w:jc w:val="both"/>
        <w:rPr>
          <w:rFonts w:ascii="Times New Roman" w:hAnsi="Times New Roman"/>
          <w:color w:val="000000" w:themeColor="text1"/>
          <w:sz w:val="16"/>
          <w:szCs w:val="16"/>
        </w:rPr>
      </w:pPr>
    </w:p>
    <w:p w14:paraId="6ED2BC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закончились государственные наземные, а 7 июня - летные испытания пушки НС-23 (263,83).</w:t>
      </w:r>
    </w:p>
    <w:p w14:paraId="258F33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C18C7F" w14:textId="77777777" w:rsidR="001F4816" w:rsidRPr="00070ADE" w:rsidRDefault="001F4816" w:rsidP="00B56F90">
      <w:pPr>
        <w:shd w:val="clear" w:color="auto" w:fill="FFFFFF"/>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4 мая 1944 закончили наземные государственные испытания НС-23, а 7 июня 1944 г. были завершены летные испытания пушки НС-23 на истребителе Як-9. Пушка НС-23 с новым патроном получила поддержку командования ВВС (15979).</w:t>
      </w:r>
    </w:p>
    <w:p w14:paraId="793790A4" w14:textId="77777777" w:rsidR="001F4816" w:rsidRPr="00070ADE" w:rsidRDefault="001F4816" w:rsidP="00B56F90">
      <w:pPr>
        <w:shd w:val="clear" w:color="auto" w:fill="FFFFFF"/>
        <w:spacing w:after="0" w:line="240" w:lineRule="auto"/>
        <w:jc w:val="both"/>
        <w:rPr>
          <w:rFonts w:ascii="Times New Roman" w:eastAsia="Times New Roman" w:hAnsi="Times New Roman"/>
          <w:color w:val="000000" w:themeColor="text1"/>
          <w:sz w:val="16"/>
          <w:szCs w:val="16"/>
        </w:rPr>
      </w:pPr>
    </w:p>
    <w:p w14:paraId="63B4DFBC"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4 мая в 1944 году завершился комплекс наземных испытаний пушки конструкции А.Нудельмана и А.Суранова </w:t>
      </w:r>
      <w:hyperlink r:id="rId115" w:tgtFrame="_blank" w:history="1">
        <w:r w:rsidRPr="00070ADE">
          <w:rPr>
            <w:rFonts w:ascii="Times New Roman" w:hAnsi="Times New Roman"/>
            <w:color w:val="000000" w:themeColor="text1"/>
            <w:sz w:val="16"/>
            <w:szCs w:val="16"/>
          </w:rPr>
          <w:t xml:space="preserve">«НС-23» </w:t>
        </w:r>
      </w:hyperlink>
      <w:r w:rsidRPr="00070ADE">
        <w:rPr>
          <w:rFonts w:ascii="Times New Roman" w:hAnsi="Times New Roman"/>
          <w:color w:val="000000" w:themeColor="text1"/>
          <w:sz w:val="16"/>
          <w:szCs w:val="16"/>
        </w:rPr>
        <w:t>калибра 23 мм с боезапасом 300 снарядов на истребителе «Як-9», а к 7 мая 1944 года - и летных государственных испытаний (14881).</w:t>
      </w:r>
    </w:p>
    <w:p w14:paraId="2CF81F51" w14:textId="77777777" w:rsidR="008B289D" w:rsidRPr="00070ADE" w:rsidRDefault="008B289D" w:rsidP="00B56F90">
      <w:pPr>
        <w:spacing w:after="0" w:line="240" w:lineRule="auto"/>
        <w:jc w:val="both"/>
        <w:rPr>
          <w:rFonts w:ascii="Times New Roman" w:hAnsi="Times New Roman"/>
          <w:color w:val="000000" w:themeColor="text1"/>
          <w:sz w:val="16"/>
          <w:szCs w:val="16"/>
        </w:rPr>
      </w:pPr>
    </w:p>
    <w:p w14:paraId="45D62F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постановление N ГОКО-5801сс об оснащении электропусками конструкции ...пулеметов ШКАС калибра 7.62 мм и, Березина 12.7 мм и на пушках ВЯ 23 мм и НС-37 (1583).</w:t>
      </w:r>
    </w:p>
    <w:p w14:paraId="44D9FF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НКВ Д.Ф.Устинова и ГК Шпитального, Березина, Волкова, Ярцева, Нудельмана, Суранова внести необходимые изменения в выпускаемые серийно авиапулеметы и пушки для установки электропусков Китаенко.</w:t>
      </w:r>
    </w:p>
    <w:p w14:paraId="7A3E7D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A59DE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г. закончились наземные государственные испытания НС-23, а 7 июня 1944 г. были завершены и летные испытания на Як-9 (10695).</w:t>
      </w:r>
    </w:p>
    <w:p w14:paraId="74B97A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2B6B2A0" w14:textId="77777777" w:rsidR="00CE7D55" w:rsidRPr="00C94B78" w:rsidRDefault="00CE7D5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4 мая 1944 года завершились наземные испытания пушки НС-23, а 7 июня 1944 года были завершены и летные испытания пушки, установленной в моторном исполнении на истребителе Як-9УТ. После чего 10 октября 1944 года решением Государственного Комитета Обороны НС-23 и патрон к ней были приняты на вооружение с организацией производства на заводе №2 в Коврове.</w:t>
      </w:r>
    </w:p>
    <w:p w14:paraId="35EF45EB" w14:textId="77777777" w:rsidR="00CE7D55" w:rsidRPr="00C94B78" w:rsidRDefault="00CE7D5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До конца 1944 года было выпущено около 300 пушек, в 1945-м еще 600 штук. Первоначальная версия пушки предполагала лишь крыльевое и моторное исполнение. Под обозначением НС-23КМ ее «примеряли» для вооружения штурмовиков Ил-8 и Ил-10 (25272).</w:t>
      </w:r>
    </w:p>
    <w:p w14:paraId="375A1F24" w14:textId="77777777" w:rsidR="00CE7D55" w:rsidRPr="00C94B78" w:rsidRDefault="00CE7D55" w:rsidP="00B56F90">
      <w:pPr>
        <w:spacing w:after="0" w:line="240" w:lineRule="auto"/>
        <w:jc w:val="both"/>
        <w:rPr>
          <w:rFonts w:ascii="Times New Roman" w:hAnsi="Times New Roman"/>
          <w:color w:val="0070C0"/>
          <w:sz w:val="16"/>
          <w:szCs w:val="16"/>
        </w:rPr>
      </w:pPr>
    </w:p>
    <w:p w14:paraId="0AA86A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года начальник лаборатории N 2 С. Христианович писал письмо Шахурину.</w:t>
      </w:r>
    </w:p>
    <w:p w14:paraId="7A0115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Постановлением ГКО от 19 апреля 1944 года, разработанные в ЦАГИ реактивные снаряды М-13 и М-31 повышенной кучности приняты на вооружение КА.</w:t>
      </w:r>
    </w:p>
    <w:p w14:paraId="16A4CF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постановлении ГКО в качестве авторов предложения указаны Шор Я.Б. и Христианович С.А.</w:t>
      </w:r>
    </w:p>
    <w:p w14:paraId="4BBAAA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избежание недоразумений, могущих иметь место в дальнейшем в вопросах, в которых авторство может иметь значение, считаю своим долгом сообщить Вам, что основными авторами данного конкретного предложения, послужившего основой разработки снарядов повышенной кучности М-13 и М-31 являются работники ЦАГИ Гантмахер Ф.Р., Левин Л.М., Слезингер И.И. Вся основная часть работы, в том числе и подавляющее большинство производственных работ проводилось в ЦАГИ.</w:t>
      </w:r>
    </w:p>
    <w:p w14:paraId="5336D0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управление вооружения Гвардейских минометных частей всячески содействовало проведению данной работы и в лице Шор Я.Б. внесло много ценных предложений в ходе разработки окончательных вариантов снарядов7</w:t>
      </w:r>
    </w:p>
    <w:p w14:paraId="78D8D6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тому же надо отметить, что хотя идея улучшения кучности реактивных снарядов путем придания или вращения была известна уже давно, однако опыты ГУВГМЧ со снарядами, снабженными косопоставленным оперением, послужили толчком для предложения, выдвинутого ЦАГИ. Снаряды, снабженные косопоставленным оперением, не дают значительного увеличения кучности и поэтому не были приняты на вооружение, но сравнение проведенных с ними опытов с расчетами по теории, разработанной в ЦАГИ, явилось ступенью к предложению выдвинутому ЦАГИ.</w:t>
      </w:r>
    </w:p>
    <w:p w14:paraId="31BCBE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Принимая все это во внимание, упомянутая группа работников ЦАГИ сочла возможным включить в число авторов предложения об улучшении кучности снарядов М-13 и М-31 работников ГУВГМЧ Шора Я.Б., Пена С.И. и Семенова А.И., считая, что основную роль со стороны ГУВГМЧ в проведении данной работы играл Шор Я.Б. (1821).</w:t>
      </w:r>
    </w:p>
    <w:p w14:paraId="30EB6B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7F75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Постановление ГКО № 5800 О Таганрогском самолетостроительном заводе. РГАНИР, Фонд ГКО, д. 249, лл. 146-149,150-153 (11012).</w:t>
      </w:r>
    </w:p>
    <w:p w14:paraId="7ED479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83A7371" w14:textId="77777777" w:rsidR="0090533F" w:rsidRPr="00070ADE" w:rsidRDefault="0090533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Постановление ГКО № 5800 О Таганрогском самолетостроительном заводе</w:t>
      </w:r>
    </w:p>
    <w:p w14:paraId="356B8EB1" w14:textId="77777777" w:rsidR="0090533F" w:rsidRPr="00070ADE" w:rsidRDefault="0090533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Государственный Комитет Обороны постановляет:</w:t>
      </w:r>
    </w:p>
    <w:p w14:paraId="7A4DF191" w14:textId="77777777" w:rsidR="0090533F" w:rsidRPr="00070ADE" w:rsidRDefault="0090533F" w:rsidP="00B56F90">
      <w:pPr>
        <w:tabs>
          <w:tab w:val="left" w:pos="149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Обязать Наркомавиапром - т.Шахурина организо</w:t>
      </w:r>
      <w:r w:rsidRPr="00070ADE">
        <w:rPr>
          <w:rFonts w:ascii="Times New Roman" w:hAnsi="Times New Roman"/>
          <w:color w:val="000000" w:themeColor="text1"/>
          <w:sz w:val="16"/>
          <w:szCs w:val="16"/>
        </w:rPr>
        <w:softHyphen/>
        <w:t xml:space="preserve">вать на Таганрогской самолетостроительном заводе № 86 капитальный ремонт самолетов всех типов, в том числе самолетов ЕР-2, и к началу </w:t>
      </w:r>
      <w:r w:rsidRPr="00070ADE">
        <w:rPr>
          <w:rFonts w:ascii="Times New Roman" w:hAnsi="Times New Roman"/>
          <w:color w:val="000000" w:themeColor="text1"/>
          <w:sz w:val="16"/>
          <w:szCs w:val="16"/>
          <w:lang w:val="en-US"/>
        </w:rPr>
        <w:t>i</w:t>
      </w:r>
      <w:r w:rsidRPr="00070ADE">
        <w:rPr>
          <w:rFonts w:ascii="Times New Roman" w:hAnsi="Times New Roman"/>
          <w:color w:val="000000" w:themeColor="text1"/>
          <w:sz w:val="16"/>
          <w:szCs w:val="16"/>
        </w:rPr>
        <w:t>945 года начать на этом заводе выпуск само лотов ЕР-2.</w:t>
      </w:r>
    </w:p>
    <w:p w14:paraId="1B393CA4" w14:textId="77777777" w:rsidR="0090533F" w:rsidRPr="00070ADE" w:rsidRDefault="0090533F" w:rsidP="00B56F90">
      <w:pPr>
        <w:tabs>
          <w:tab w:val="left" w:pos="1487"/>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Установить заводу № 86 НКАП следующую произ</w:t>
      </w:r>
      <w:r w:rsidRPr="00070ADE">
        <w:rPr>
          <w:rFonts w:ascii="Times New Roman" w:hAnsi="Times New Roman"/>
          <w:color w:val="000000" w:themeColor="text1"/>
          <w:sz w:val="16"/>
          <w:szCs w:val="16"/>
        </w:rPr>
        <w:softHyphen/>
        <w:t>водственную программу:</w:t>
      </w:r>
    </w:p>
    <w:p w14:paraId="7DD827E1" w14:textId="77777777" w:rsidR="0090533F" w:rsidRPr="00070ADE" w:rsidRDefault="0090533F" w:rsidP="00B56F90">
      <w:pPr>
        <w:tabs>
          <w:tab w:val="left" w:pos="150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 капитальному ремонту самолетов в 1944 году: ЕР-2 в количестве 30 самолетов, Ил-2 - 110 самолетов и У-2 - 120 самолетов, в том числе во втором квартале с.г. 10 самолетов Ил-2 и 65 самолетов У-2.</w:t>
      </w:r>
    </w:p>
    <w:p w14:paraId="687EEDCE" w14:textId="77777777" w:rsidR="0090533F" w:rsidRPr="00070ADE" w:rsidRDefault="0090533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 ремонту самолетов Ер-2 приступить с августа </w:t>
      </w:r>
      <w:r w:rsidRPr="00070ADE">
        <w:rPr>
          <w:rStyle w:val="1pt"/>
          <w:rFonts w:ascii="Times New Roman" w:hAnsi="Times New Roman" w:cs="Times New Roman"/>
          <w:color w:val="000000" w:themeColor="text1"/>
          <w:spacing w:val="0"/>
          <w:sz w:val="16"/>
          <w:szCs w:val="16"/>
        </w:rPr>
        <w:t>с.г.</w:t>
      </w:r>
    </w:p>
    <w:p w14:paraId="6875D678" w14:textId="77777777" w:rsidR="0090533F" w:rsidRPr="00070ADE" w:rsidRDefault="0090533F" w:rsidP="00B56F90">
      <w:pPr>
        <w:tabs>
          <w:tab w:val="left" w:pos="150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 выпуску новых самолетов Ер-2 из агрегатов завода № 39 НКАП в следующих количествах: в январе 1945 года 5 самолета; в феврале 1945 года 5 самолетов и в марте 1945 года 10 самолетов;</w:t>
      </w:r>
    </w:p>
    <w:p w14:paraId="0BB1A33F" w14:textId="77777777" w:rsidR="0090533F" w:rsidRPr="00070ADE" w:rsidRDefault="0090533F" w:rsidP="00B56F90">
      <w:pPr>
        <w:tabs>
          <w:tab w:val="left" w:pos="149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 выпуску самолетов Ер-2 из агрегатов собственного производства в следующих количествах: в апреле 1945 г. один самолет, в мае 1945 года 3 самолета, в июне 1945 года 10 самолетов, в июле 1945 года 20 самоле</w:t>
      </w:r>
      <w:r w:rsidRPr="00070ADE">
        <w:rPr>
          <w:rFonts w:ascii="Times New Roman" w:hAnsi="Times New Roman"/>
          <w:color w:val="000000" w:themeColor="text1"/>
          <w:sz w:val="16"/>
          <w:szCs w:val="16"/>
        </w:rPr>
        <w:softHyphen/>
        <w:t>тов и с августа 1945 года выпускать по одному самолету Ер-2 в сутки.</w:t>
      </w:r>
    </w:p>
    <w:p w14:paraId="38D05FB6" w14:textId="77777777" w:rsidR="0090533F" w:rsidRPr="00070ADE" w:rsidRDefault="0090533F" w:rsidP="00B56F90">
      <w:pPr>
        <w:tabs>
          <w:tab w:val="left" w:pos="147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Обязать Наркомавиапром - т.Шахурина:</w:t>
      </w:r>
    </w:p>
    <w:p w14:paraId="2CF488F5" w14:textId="77777777" w:rsidR="0090533F" w:rsidRPr="00070ADE" w:rsidRDefault="0090533F" w:rsidP="00B56F90">
      <w:pPr>
        <w:tabs>
          <w:tab w:val="left" w:pos="85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наряду о производством ремонта самолетов произвести на заводе № 86 в г.Таганроге строительно-вос</w:t>
      </w:r>
      <w:r w:rsidRPr="00070ADE">
        <w:rPr>
          <w:rFonts w:ascii="Times New Roman" w:hAnsi="Times New Roman"/>
          <w:color w:val="000000" w:themeColor="text1"/>
          <w:sz w:val="16"/>
          <w:szCs w:val="16"/>
        </w:rPr>
        <w:softHyphen/>
        <w:t>становительные работы и ввести в зксплоатацию 40900 кв.метров производственных площадей завода, в том числе:</w:t>
      </w:r>
    </w:p>
    <w:p w14:paraId="3C36EF8D" w14:textId="77777777" w:rsidR="0090533F" w:rsidRPr="00070ADE" w:rsidRDefault="0090533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дюралево-заготовительяне и агрегатные цехи площадью 23600 кв.метров к 1 декабря 1944 года;</w:t>
      </w:r>
    </w:p>
    <w:p w14:paraId="2290D82E" w14:textId="77777777" w:rsidR="0090533F" w:rsidRPr="00070ADE" w:rsidRDefault="0090533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сборочный цех площадью 7200 кв.метров к 15 де</w:t>
      </w:r>
      <w:r w:rsidRPr="00070ADE">
        <w:rPr>
          <w:rFonts w:ascii="Times New Roman" w:hAnsi="Times New Roman"/>
          <w:color w:val="000000" w:themeColor="text1"/>
          <w:sz w:val="16"/>
          <w:szCs w:val="16"/>
        </w:rPr>
        <w:softHyphen/>
        <w:t>кабря 1944 года;</w:t>
      </w:r>
    </w:p>
    <w:p w14:paraId="29C21C07" w14:textId="77777777" w:rsidR="0090533F" w:rsidRPr="00070ADE" w:rsidRDefault="0090533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инструментальный цех площадью 1700 кв.метров к 15 июля 1944 года;</w:t>
      </w:r>
    </w:p>
    <w:p w14:paraId="16B9FEAE" w14:textId="77777777" w:rsidR="0090533F" w:rsidRPr="00070ADE" w:rsidRDefault="0090533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вспомогательные эдания общей площадью 8400 кв. метров в первом квартале 1945 года;</w:t>
      </w:r>
    </w:p>
    <w:p w14:paraId="786C0D48" w14:textId="77777777" w:rsidR="0090533F" w:rsidRPr="00070ADE" w:rsidRDefault="0090533F" w:rsidP="00B56F90">
      <w:pPr>
        <w:tabs>
          <w:tab w:val="left" w:pos="84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для выполнения строительно-восстановительных работ на заводе № 86 НКАП организовать строительно- монтажное управление № 17;</w:t>
      </w:r>
    </w:p>
    <w:p w14:paraId="64468C93" w14:textId="77777777" w:rsidR="0090533F" w:rsidRPr="00070ADE" w:rsidRDefault="0090533F" w:rsidP="00B56F90">
      <w:pPr>
        <w:tabs>
          <w:tab w:val="left" w:pos="85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выделить заводу № 86 в июне-июле </w:t>
      </w:r>
      <w:r w:rsidRPr="00070ADE">
        <w:rPr>
          <w:rFonts w:ascii="Times New Roman" w:hAnsi="Times New Roman"/>
          <w:color w:val="000000" w:themeColor="text1"/>
          <w:sz w:val="16"/>
          <w:szCs w:val="16"/>
          <w:lang w:val="en-US"/>
        </w:rPr>
        <w:t>c</w:t>
      </w:r>
      <w:r w:rsidRPr="00070ADE">
        <w:rPr>
          <w:rFonts w:ascii="Times New Roman" w:hAnsi="Times New Roman"/>
          <w:color w:val="000000" w:themeColor="text1"/>
          <w:sz w:val="16"/>
          <w:szCs w:val="16"/>
        </w:rPr>
        <w:t>.</w:t>
      </w:r>
      <w:r w:rsidRPr="00070ADE">
        <w:rPr>
          <w:rFonts w:ascii="Times New Roman" w:hAnsi="Times New Roman"/>
          <w:color w:val="000000" w:themeColor="text1"/>
          <w:sz w:val="16"/>
          <w:szCs w:val="16"/>
          <w:lang w:val="en-US"/>
        </w:rPr>
        <w:t>r</w:t>
      </w:r>
      <w:r w:rsidRPr="00070ADE">
        <w:rPr>
          <w:rFonts w:ascii="Times New Roman" w:hAnsi="Times New Roman"/>
          <w:color w:val="000000" w:themeColor="text1"/>
          <w:sz w:val="16"/>
          <w:szCs w:val="16"/>
        </w:rPr>
        <w:t>. 15С единиц оборудования за счет пероброски с других заво</w:t>
      </w:r>
      <w:r w:rsidRPr="00070ADE">
        <w:rPr>
          <w:rFonts w:ascii="Times New Roman" w:hAnsi="Times New Roman"/>
          <w:color w:val="000000" w:themeColor="text1"/>
          <w:sz w:val="16"/>
          <w:szCs w:val="16"/>
        </w:rPr>
        <w:softHyphen/>
        <w:t>дов НКАП.</w:t>
      </w:r>
    </w:p>
    <w:p w14:paraId="018BC257" w14:textId="77777777" w:rsidR="0090533F" w:rsidRPr="00070ADE" w:rsidRDefault="0090533F" w:rsidP="00B56F90">
      <w:pPr>
        <w:tabs>
          <w:tab w:val="left" w:pos="84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Обязать Наркомавиапром т.Шахурина и директора завода № 39 т.Абрамова:</w:t>
      </w:r>
    </w:p>
    <w:p w14:paraId="69AB3C66" w14:textId="77777777" w:rsidR="0090533F" w:rsidRPr="00070ADE" w:rsidRDefault="0090533F" w:rsidP="00B56F90">
      <w:pPr>
        <w:tabs>
          <w:tab w:val="left" w:pos="88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изготовить и сдать заводу № 86 к 1 июля 1944 года один комплект оснастки и приспособлений для производства самолетов Е</w:t>
      </w:r>
      <w:r w:rsidRPr="00070ADE">
        <w:rPr>
          <w:rFonts w:ascii="Times New Roman" w:hAnsi="Times New Roman"/>
          <w:color w:val="000000" w:themeColor="text1"/>
          <w:sz w:val="16"/>
          <w:szCs w:val="16"/>
          <w:lang w:val="en-US"/>
        </w:rPr>
        <w:t>p</w:t>
      </w:r>
      <w:r w:rsidRPr="00070ADE">
        <w:rPr>
          <w:rFonts w:ascii="Times New Roman" w:hAnsi="Times New Roman"/>
          <w:color w:val="000000" w:themeColor="text1"/>
          <w:sz w:val="16"/>
          <w:szCs w:val="16"/>
        </w:rPr>
        <w:t>-2</w:t>
      </w:r>
    </w:p>
    <w:p w14:paraId="6939091E" w14:textId="77777777" w:rsidR="0090533F" w:rsidRPr="00070ADE" w:rsidRDefault="0090533F" w:rsidP="00B56F90">
      <w:pPr>
        <w:tabs>
          <w:tab w:val="left" w:pos="190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 поставить заводу 86 НКАП с завода № 39 НКАП 25 самолетов Ер-2 в агрегатах и деталях, в том числе: в ноябре </w:t>
      </w:r>
      <w:r w:rsidRPr="00070ADE">
        <w:rPr>
          <w:rStyle w:val="0pt"/>
          <w:rFonts w:ascii="Times New Roman" w:hAnsi="Times New Roman" w:cs="Times New Roman"/>
          <w:color w:val="000000" w:themeColor="text1"/>
          <w:spacing w:val="0"/>
          <w:sz w:val="16"/>
          <w:szCs w:val="16"/>
        </w:rPr>
        <w:t>с.г.</w:t>
      </w:r>
      <w:r w:rsidRPr="00070ADE">
        <w:rPr>
          <w:rFonts w:ascii="Times New Roman" w:hAnsi="Times New Roman"/>
          <w:color w:val="000000" w:themeColor="text1"/>
          <w:sz w:val="16"/>
          <w:szCs w:val="16"/>
        </w:rPr>
        <w:t xml:space="preserve"> на 5 самолетов, в декабре </w:t>
      </w:r>
      <w:r w:rsidRPr="00070ADE">
        <w:rPr>
          <w:rStyle w:val="0pt"/>
          <w:rFonts w:ascii="Times New Roman" w:hAnsi="Times New Roman" w:cs="Times New Roman"/>
          <w:color w:val="000000" w:themeColor="text1"/>
          <w:spacing w:val="0"/>
          <w:sz w:val="16"/>
          <w:szCs w:val="16"/>
        </w:rPr>
        <w:t>с.г.</w:t>
      </w:r>
      <w:r w:rsidRPr="00070ADE">
        <w:rPr>
          <w:rFonts w:ascii="Times New Roman" w:hAnsi="Times New Roman"/>
          <w:color w:val="000000" w:themeColor="text1"/>
          <w:sz w:val="16"/>
          <w:szCs w:val="16"/>
        </w:rPr>
        <w:t xml:space="preserve"> на 10 самолетов и в январе 1945 г. на 10 самоле</w:t>
      </w:r>
      <w:r w:rsidRPr="00070ADE">
        <w:rPr>
          <w:rFonts w:ascii="Times New Roman" w:hAnsi="Times New Roman"/>
          <w:color w:val="000000" w:themeColor="text1"/>
          <w:sz w:val="16"/>
          <w:szCs w:val="16"/>
        </w:rPr>
        <w:softHyphen/>
        <w:t>тов.</w:t>
      </w:r>
    </w:p>
    <w:p w14:paraId="4C1FB710" w14:textId="77777777" w:rsidR="0090533F" w:rsidRPr="00070ADE" w:rsidRDefault="0090533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5. Обязать Наркомвнешторг - т.Микояна поставить Наркомавиапрому из поступлений по импорту целевым назначением для Таганрогского самолетостроительного завода № 86 НКАП 850 единиц импортного оборудования, в том числе: </w:t>
      </w:r>
      <w:r w:rsidRPr="00070ADE">
        <w:rPr>
          <w:rStyle w:val="0pt"/>
          <w:rFonts w:ascii="Times New Roman" w:hAnsi="Times New Roman" w:cs="Times New Roman"/>
          <w:color w:val="000000" w:themeColor="text1"/>
          <w:spacing w:val="0"/>
          <w:sz w:val="16"/>
          <w:szCs w:val="16"/>
        </w:rPr>
        <w:t>350</w:t>
      </w:r>
      <w:r w:rsidRPr="00070ADE">
        <w:rPr>
          <w:rFonts w:ascii="Times New Roman" w:hAnsi="Times New Roman"/>
          <w:color w:val="000000" w:themeColor="text1"/>
          <w:sz w:val="16"/>
          <w:szCs w:val="16"/>
        </w:rPr>
        <w:t xml:space="preserve"> единиц во П полугодии </w:t>
      </w:r>
      <w:r w:rsidRPr="00070ADE">
        <w:rPr>
          <w:rStyle w:val="0pt"/>
          <w:rFonts w:ascii="Times New Roman" w:hAnsi="Times New Roman" w:cs="Times New Roman"/>
          <w:color w:val="000000" w:themeColor="text1"/>
          <w:spacing w:val="0"/>
          <w:sz w:val="16"/>
          <w:szCs w:val="16"/>
        </w:rPr>
        <w:t>1944</w:t>
      </w:r>
      <w:r w:rsidRPr="00070ADE">
        <w:rPr>
          <w:rFonts w:ascii="Times New Roman" w:hAnsi="Times New Roman"/>
          <w:color w:val="000000" w:themeColor="text1"/>
          <w:sz w:val="16"/>
          <w:szCs w:val="16"/>
        </w:rPr>
        <w:t xml:space="preserve"> года и 500 единиц в 1 полугодии </w:t>
      </w:r>
      <w:r w:rsidRPr="00070ADE">
        <w:rPr>
          <w:rStyle w:val="0pt"/>
          <w:rFonts w:ascii="Times New Roman" w:hAnsi="Times New Roman" w:cs="Times New Roman"/>
          <w:color w:val="000000" w:themeColor="text1"/>
          <w:spacing w:val="0"/>
          <w:sz w:val="16"/>
          <w:szCs w:val="16"/>
        </w:rPr>
        <w:t>1945</w:t>
      </w:r>
      <w:r w:rsidRPr="00070ADE">
        <w:rPr>
          <w:rFonts w:ascii="Times New Roman" w:hAnsi="Times New Roman"/>
          <w:color w:val="000000" w:themeColor="text1"/>
          <w:sz w:val="16"/>
          <w:szCs w:val="16"/>
        </w:rPr>
        <w:t xml:space="preserve"> года, согласно приложе</w:t>
      </w:r>
      <w:r w:rsidRPr="00070ADE">
        <w:rPr>
          <w:rFonts w:ascii="Times New Roman" w:hAnsi="Times New Roman"/>
          <w:color w:val="000000" w:themeColor="text1"/>
          <w:sz w:val="16"/>
          <w:szCs w:val="16"/>
        </w:rPr>
        <w:softHyphen/>
        <w:t>нию № 1.</w:t>
      </w:r>
    </w:p>
    <w:p w14:paraId="77BEC19E" w14:textId="77777777" w:rsidR="0090533F" w:rsidRPr="00070ADE" w:rsidRDefault="0090533F" w:rsidP="00B56F90">
      <w:pPr>
        <w:tabs>
          <w:tab w:val="left" w:pos="99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Обязать Наркомстанкостроения - т.Ефремова поста</w:t>
      </w:r>
      <w:r w:rsidRPr="00070ADE">
        <w:rPr>
          <w:rFonts w:ascii="Times New Roman" w:hAnsi="Times New Roman"/>
          <w:color w:val="000000" w:themeColor="text1"/>
          <w:sz w:val="16"/>
          <w:szCs w:val="16"/>
        </w:rPr>
        <w:softHyphen/>
        <w:t xml:space="preserve">вить в Ш квартале </w:t>
      </w:r>
      <w:r w:rsidRPr="00070ADE">
        <w:rPr>
          <w:rStyle w:val="16"/>
          <w:rFonts w:ascii="Times New Roman" w:hAnsi="Times New Roman" w:cs="Times New Roman"/>
          <w:color w:val="000000" w:themeColor="text1"/>
          <w:spacing w:val="0"/>
          <w:u w:val="none"/>
        </w:rPr>
        <w:t>с.г.</w:t>
      </w:r>
      <w:r w:rsidRPr="00070ADE">
        <w:rPr>
          <w:rFonts w:ascii="Times New Roman" w:hAnsi="Times New Roman"/>
          <w:color w:val="000000" w:themeColor="text1"/>
          <w:sz w:val="16"/>
          <w:szCs w:val="16"/>
        </w:rPr>
        <w:t xml:space="preserve"> Таганрогскому заводу № 86 НКАП </w:t>
      </w:r>
      <w:r w:rsidRPr="00070ADE">
        <w:rPr>
          <w:rStyle w:val="0pt"/>
          <w:rFonts w:ascii="Times New Roman" w:hAnsi="Times New Roman" w:cs="Times New Roman"/>
          <w:color w:val="000000" w:themeColor="text1"/>
          <w:spacing w:val="0"/>
          <w:sz w:val="16"/>
          <w:szCs w:val="16"/>
        </w:rPr>
        <w:t>100</w:t>
      </w:r>
      <w:r w:rsidRPr="00070ADE">
        <w:rPr>
          <w:rFonts w:ascii="Times New Roman" w:hAnsi="Times New Roman"/>
          <w:color w:val="000000" w:themeColor="text1"/>
          <w:sz w:val="16"/>
          <w:szCs w:val="16"/>
        </w:rPr>
        <w:t xml:space="preserve"> единиц металлорежущего оборудования, согласно при</w:t>
      </w:r>
      <w:r w:rsidRPr="00070ADE">
        <w:rPr>
          <w:rFonts w:ascii="Times New Roman" w:hAnsi="Times New Roman"/>
          <w:color w:val="000000" w:themeColor="text1"/>
          <w:sz w:val="16"/>
          <w:szCs w:val="16"/>
        </w:rPr>
        <w:softHyphen/>
        <w:t>ложению</w:t>
      </w:r>
      <w:r w:rsidRPr="00070ADE">
        <w:rPr>
          <w:rStyle w:val="8pt1pt"/>
          <w:rFonts w:ascii="Times New Roman" w:hAnsi="Times New Roman" w:cs="Times New Roman"/>
          <w:color w:val="000000" w:themeColor="text1"/>
          <w:spacing w:val="0"/>
        </w:rPr>
        <w:t xml:space="preserve"> № 2</w:t>
      </w:r>
    </w:p>
    <w:p w14:paraId="6C16BE4F" w14:textId="77777777" w:rsidR="0090533F" w:rsidRPr="00070ADE" w:rsidRDefault="0090533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Госплану СССР предусмотрев в плане распределения оборудования на Ш квартал </w:t>
      </w:r>
      <w:r w:rsidRPr="00070ADE">
        <w:rPr>
          <w:rStyle w:val="16"/>
          <w:rFonts w:ascii="Times New Roman" w:hAnsi="Times New Roman" w:cs="Times New Roman"/>
          <w:color w:val="000000" w:themeColor="text1"/>
          <w:spacing w:val="0"/>
          <w:u w:val="none"/>
        </w:rPr>
        <w:t>с.г.</w:t>
      </w:r>
      <w:r w:rsidRPr="00070ADE">
        <w:rPr>
          <w:rFonts w:ascii="Times New Roman" w:hAnsi="Times New Roman"/>
          <w:color w:val="000000" w:themeColor="text1"/>
          <w:sz w:val="16"/>
          <w:szCs w:val="16"/>
        </w:rPr>
        <w:t xml:space="preserve"> выделение заводу 86 НКАП указанного оборудования целевым назначением.</w:t>
      </w:r>
    </w:p>
    <w:p w14:paraId="3F8FDCE7" w14:textId="77777777" w:rsidR="0090533F" w:rsidRPr="00070ADE" w:rsidRDefault="0090533F" w:rsidP="00B56F90">
      <w:pPr>
        <w:tabs>
          <w:tab w:val="left" w:pos="101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Обязать Наркомсредмаш - т.Акопова, директора 3И</w:t>
      </w:r>
      <w:r w:rsidRPr="00070ADE">
        <w:rPr>
          <w:rFonts w:ascii="Times New Roman" w:hAnsi="Times New Roman"/>
          <w:color w:val="000000" w:themeColor="text1"/>
          <w:sz w:val="16"/>
          <w:szCs w:val="16"/>
          <w:lang w:val="en-US"/>
        </w:rPr>
        <w:t>C</w:t>
      </w:r>
      <w:r w:rsidRPr="00070ADE">
        <w:rPr>
          <w:rFonts w:ascii="Times New Roman" w:hAnsi="Times New Roman"/>
          <w:color w:val="000000" w:themeColor="text1"/>
          <w:sz w:val="16"/>
          <w:szCs w:val="16"/>
        </w:rPr>
        <w:t xml:space="preserve"> - т.Лихачева и директора Алтайского тракторного завода - т.Парфенова в десятидневный срок отгрузить Таганрогскому заводу № 86 НКАП </w:t>
      </w:r>
      <w:r w:rsidRPr="00070ADE">
        <w:rPr>
          <w:rStyle w:val="0pt"/>
          <w:rFonts w:ascii="Times New Roman" w:hAnsi="Times New Roman" w:cs="Times New Roman"/>
          <w:color w:val="000000" w:themeColor="text1"/>
          <w:spacing w:val="0"/>
          <w:sz w:val="16"/>
          <w:szCs w:val="16"/>
        </w:rPr>
        <w:t>30</w:t>
      </w:r>
      <w:r w:rsidRPr="00070ADE">
        <w:rPr>
          <w:rFonts w:ascii="Times New Roman" w:hAnsi="Times New Roman"/>
          <w:color w:val="000000" w:themeColor="text1"/>
          <w:sz w:val="16"/>
          <w:szCs w:val="16"/>
        </w:rPr>
        <w:t xml:space="preserve"> штук грузовых авто</w:t>
      </w:r>
      <w:r w:rsidRPr="00070ADE">
        <w:rPr>
          <w:rFonts w:ascii="Times New Roman" w:hAnsi="Times New Roman"/>
          <w:color w:val="000000" w:themeColor="text1"/>
          <w:sz w:val="16"/>
          <w:szCs w:val="16"/>
        </w:rPr>
        <w:softHyphen/>
        <w:t>машин и</w:t>
      </w:r>
      <w:r w:rsidRPr="00070ADE">
        <w:rPr>
          <w:rStyle w:val="TimesNewRoman11pt0pt"/>
          <w:rFonts w:eastAsia="Calibri"/>
          <w:color w:val="000000" w:themeColor="text1"/>
          <w:sz w:val="16"/>
          <w:szCs w:val="16"/>
        </w:rPr>
        <w:t xml:space="preserve"> 2</w:t>
      </w:r>
      <w:r w:rsidRPr="00070ADE">
        <w:rPr>
          <w:rFonts w:ascii="Times New Roman" w:hAnsi="Times New Roman"/>
          <w:color w:val="000000" w:themeColor="text1"/>
          <w:sz w:val="16"/>
          <w:szCs w:val="16"/>
        </w:rPr>
        <w:t xml:space="preserve"> трактора за счет поставок НКО.</w:t>
      </w:r>
    </w:p>
    <w:p w14:paraId="0D1A5BAB" w14:textId="77777777" w:rsidR="0090533F" w:rsidRPr="00070ADE" w:rsidRDefault="0090533F" w:rsidP="00B56F90">
      <w:pPr>
        <w:tabs>
          <w:tab w:val="left" w:pos="99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Обязать Комитет по учету и распределению рабо</w:t>
      </w:r>
      <w:r w:rsidRPr="00070ADE">
        <w:rPr>
          <w:rFonts w:ascii="Times New Roman" w:hAnsi="Times New Roman"/>
          <w:color w:val="000000" w:themeColor="text1"/>
          <w:sz w:val="16"/>
          <w:szCs w:val="16"/>
        </w:rPr>
        <w:softHyphen/>
        <w:t>чей силы при СНК СССР - т.Шверника и председателя Ростов</w:t>
      </w:r>
      <w:r w:rsidRPr="00070ADE">
        <w:rPr>
          <w:rFonts w:ascii="Times New Roman" w:hAnsi="Times New Roman"/>
          <w:color w:val="000000" w:themeColor="text1"/>
          <w:sz w:val="16"/>
          <w:szCs w:val="16"/>
        </w:rPr>
        <w:softHyphen/>
        <w:t xml:space="preserve">ского облисполкома - т.Кипаренко мобилизовать в мае- июне </w:t>
      </w:r>
      <w:r w:rsidRPr="00070ADE">
        <w:rPr>
          <w:rStyle w:val="16"/>
          <w:rFonts w:ascii="Times New Roman" w:hAnsi="Times New Roman" w:cs="Times New Roman"/>
          <w:color w:val="000000" w:themeColor="text1"/>
          <w:spacing w:val="0"/>
          <w:u w:val="none"/>
        </w:rPr>
        <w:t>с.г.</w:t>
      </w:r>
      <w:r w:rsidRPr="00070ADE">
        <w:rPr>
          <w:rFonts w:ascii="Times New Roman" w:hAnsi="Times New Roman"/>
          <w:color w:val="000000" w:themeColor="text1"/>
          <w:sz w:val="16"/>
          <w:szCs w:val="16"/>
        </w:rPr>
        <w:t xml:space="preserve"> для работы на Таганрогском заводе № 86 НКАП </w:t>
      </w:r>
      <w:r w:rsidRPr="00070ADE">
        <w:rPr>
          <w:rStyle w:val="0pt"/>
          <w:rFonts w:ascii="Times New Roman" w:hAnsi="Times New Roman" w:cs="Times New Roman"/>
          <w:color w:val="000000" w:themeColor="text1"/>
          <w:spacing w:val="0"/>
          <w:sz w:val="16"/>
          <w:szCs w:val="16"/>
        </w:rPr>
        <w:t>1500</w:t>
      </w:r>
      <w:r w:rsidRPr="00070ADE">
        <w:rPr>
          <w:rFonts w:ascii="Times New Roman" w:hAnsi="Times New Roman"/>
          <w:color w:val="000000" w:themeColor="text1"/>
          <w:sz w:val="16"/>
          <w:szCs w:val="16"/>
        </w:rPr>
        <w:t xml:space="preserve"> человек рабочих из числа трудоспособного населения Ростовской области.</w:t>
      </w:r>
    </w:p>
    <w:p w14:paraId="473B691E" w14:textId="77777777" w:rsidR="0090533F" w:rsidRPr="00070ADE" w:rsidRDefault="0090533F" w:rsidP="00B56F90">
      <w:pPr>
        <w:tabs>
          <w:tab w:val="left" w:pos="99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 xml:space="preserve">9. Обязать Главное Управление трудовых резервов при СНК СССР (т.Москатова) выделить заводу № 86 НКАП в течение </w:t>
      </w:r>
      <w:r w:rsidRPr="00070ADE">
        <w:rPr>
          <w:rStyle w:val="0pt"/>
          <w:rFonts w:ascii="Times New Roman" w:hAnsi="Times New Roman" w:cs="Times New Roman"/>
          <w:color w:val="000000" w:themeColor="text1"/>
          <w:spacing w:val="0"/>
          <w:sz w:val="16"/>
          <w:szCs w:val="16"/>
        </w:rPr>
        <w:t>1944</w:t>
      </w:r>
      <w:r w:rsidRPr="00070ADE">
        <w:rPr>
          <w:rFonts w:ascii="Times New Roman" w:hAnsi="Times New Roman"/>
          <w:color w:val="000000" w:themeColor="text1"/>
          <w:sz w:val="16"/>
          <w:szCs w:val="16"/>
        </w:rPr>
        <w:t xml:space="preserve"> года 5000 человек молодых рабочих из числа оканчивающих школы ФЗО и ремесленные училища, из них 1000 человек</w:t>
      </w:r>
      <w:r w:rsidRPr="00070ADE">
        <w:rPr>
          <w:rStyle w:val="TimesNewRoman85pt1pt"/>
          <w:rFonts w:eastAsia="Calibri"/>
          <w:color w:val="000000" w:themeColor="text1"/>
          <w:spacing w:val="0"/>
          <w:sz w:val="16"/>
          <w:szCs w:val="16"/>
        </w:rPr>
        <w:t xml:space="preserve"> </w:t>
      </w:r>
      <w:r w:rsidRPr="00070ADE">
        <w:rPr>
          <w:rStyle w:val="TimesNewRoman85pt1pt"/>
          <w:rFonts w:eastAsia="Gungsuh"/>
          <w:color w:val="000000" w:themeColor="text1"/>
          <w:spacing w:val="0"/>
          <w:sz w:val="16"/>
          <w:szCs w:val="16"/>
        </w:rPr>
        <w:t>в</w:t>
      </w:r>
      <w:r w:rsidRPr="00070ADE">
        <w:rPr>
          <w:rStyle w:val="TimesNewRoman85pt1pt"/>
          <w:rFonts w:eastAsia="Calibri"/>
          <w:color w:val="000000" w:themeColor="text1"/>
          <w:spacing w:val="0"/>
          <w:sz w:val="16"/>
          <w:szCs w:val="16"/>
        </w:rPr>
        <w:t>о</w:t>
      </w:r>
      <w:r w:rsidRPr="00070ADE">
        <w:rPr>
          <w:rFonts w:ascii="Times New Roman" w:hAnsi="Times New Roman"/>
          <w:color w:val="000000" w:themeColor="text1"/>
          <w:sz w:val="16"/>
          <w:szCs w:val="16"/>
        </w:rPr>
        <w:t xml:space="preserve"> П квартале </w:t>
      </w:r>
      <w:r w:rsidRPr="00070ADE">
        <w:rPr>
          <w:rStyle w:val="16"/>
          <w:rFonts w:ascii="Times New Roman" w:hAnsi="Times New Roman" w:cs="Times New Roman"/>
          <w:color w:val="000000" w:themeColor="text1"/>
          <w:spacing w:val="0"/>
          <w:u w:val="none"/>
        </w:rPr>
        <w:t>с.г.</w:t>
      </w:r>
    </w:p>
    <w:p w14:paraId="4D3C6E01" w14:textId="77777777" w:rsidR="0090533F" w:rsidRPr="00070ADE" w:rsidRDefault="0090533F" w:rsidP="00B56F90">
      <w:pPr>
        <w:tabs>
          <w:tab w:val="left" w:pos="122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10. Обязать председателя Ростовского облисполкома - т.Кипаренко выделить во П квартале </w:t>
      </w:r>
      <w:r w:rsidRPr="00070ADE">
        <w:rPr>
          <w:rStyle w:val="16"/>
          <w:rFonts w:ascii="Times New Roman" w:hAnsi="Times New Roman" w:cs="Times New Roman"/>
          <w:color w:val="000000" w:themeColor="text1"/>
          <w:spacing w:val="0"/>
          <w:u w:val="none"/>
        </w:rPr>
        <w:t>с.г.</w:t>
      </w:r>
      <w:r w:rsidRPr="00070ADE">
        <w:rPr>
          <w:rFonts w:ascii="Times New Roman" w:hAnsi="Times New Roman"/>
          <w:color w:val="000000" w:themeColor="text1"/>
          <w:sz w:val="16"/>
          <w:szCs w:val="16"/>
        </w:rPr>
        <w:t xml:space="preserve"> для восстанов</w:t>
      </w:r>
      <w:r w:rsidRPr="00070ADE">
        <w:rPr>
          <w:rFonts w:ascii="Times New Roman" w:hAnsi="Times New Roman"/>
          <w:color w:val="000000" w:themeColor="text1"/>
          <w:sz w:val="16"/>
          <w:szCs w:val="16"/>
        </w:rPr>
        <w:softHyphen/>
        <w:t>ления Таганрогского завода № 86 НКАП З00 тонн извести и 1 миллион штук кирпича и обеспечить</w:t>
      </w:r>
      <w:r w:rsidRPr="00070ADE">
        <w:rPr>
          <w:rStyle w:val="TimesNewRoman85pt1pt"/>
          <w:rFonts w:eastAsia="Calibri"/>
          <w:color w:val="000000" w:themeColor="text1"/>
          <w:spacing w:val="0"/>
          <w:sz w:val="16"/>
          <w:szCs w:val="16"/>
        </w:rPr>
        <w:t xml:space="preserve"> </w:t>
      </w:r>
      <w:r w:rsidRPr="00070ADE">
        <w:rPr>
          <w:rStyle w:val="TimesNewRoman85pt1pt"/>
          <w:rFonts w:eastAsia="Gungsuh"/>
          <w:color w:val="000000" w:themeColor="text1"/>
          <w:spacing w:val="0"/>
          <w:sz w:val="16"/>
          <w:szCs w:val="16"/>
        </w:rPr>
        <w:t>в</w:t>
      </w:r>
      <w:r w:rsidRPr="00070ADE">
        <w:rPr>
          <w:rFonts w:ascii="Times New Roman" w:hAnsi="Times New Roman"/>
          <w:color w:val="000000" w:themeColor="text1"/>
          <w:sz w:val="16"/>
          <w:szCs w:val="16"/>
        </w:rPr>
        <w:t xml:space="preserve"> дальнейшем стро</w:t>
      </w:r>
      <w:r w:rsidRPr="00070ADE">
        <w:rPr>
          <w:rFonts w:ascii="Times New Roman" w:hAnsi="Times New Roman"/>
          <w:color w:val="000000" w:themeColor="text1"/>
          <w:sz w:val="16"/>
          <w:szCs w:val="16"/>
        </w:rPr>
        <w:softHyphen/>
        <w:t>ительно-восстановительные работы на этом заводе мест</w:t>
      </w:r>
      <w:r w:rsidRPr="00070ADE">
        <w:rPr>
          <w:rFonts w:ascii="Times New Roman" w:hAnsi="Times New Roman"/>
          <w:color w:val="000000" w:themeColor="text1"/>
          <w:sz w:val="16"/>
          <w:szCs w:val="16"/>
        </w:rPr>
        <w:softHyphen/>
        <w:t>ными строительными материалами.</w:t>
      </w:r>
    </w:p>
    <w:p w14:paraId="2254E87E" w14:textId="77777777" w:rsidR="0090533F" w:rsidRPr="00070ADE" w:rsidRDefault="0090533F" w:rsidP="00B56F90">
      <w:pPr>
        <w:tabs>
          <w:tab w:val="left" w:pos="897"/>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Обязать Наркомзаг - т.Субботина и Наркомрыбпром СССР - т.Ишкова выделить Таганрогскому загоду № 86 НКАП по одному району</w:t>
      </w:r>
      <w:r w:rsidRPr="00070ADE">
        <w:rPr>
          <w:rStyle w:val="ArialUnicodeMS75pt"/>
          <w:rFonts w:ascii="Times New Roman" w:hAnsi="Times New Roman" w:cs="Times New Roman"/>
          <w:color w:val="000000" w:themeColor="text1"/>
          <w:sz w:val="16"/>
          <w:szCs w:val="16"/>
        </w:rPr>
        <w:t xml:space="preserve"> в</w:t>
      </w:r>
      <w:r w:rsidRPr="00070ADE">
        <w:rPr>
          <w:rFonts w:ascii="Times New Roman" w:hAnsi="Times New Roman"/>
          <w:color w:val="000000" w:themeColor="text1"/>
          <w:sz w:val="16"/>
          <w:szCs w:val="16"/>
        </w:rPr>
        <w:t xml:space="preserve"> Ростовской области и Краснодарском крае для проведения децзаготозок всех незерновых и сель</w:t>
      </w:r>
      <w:r w:rsidRPr="00070ADE">
        <w:rPr>
          <w:rFonts w:ascii="Times New Roman" w:hAnsi="Times New Roman"/>
          <w:color w:val="000000" w:themeColor="text1"/>
          <w:sz w:val="16"/>
          <w:szCs w:val="16"/>
        </w:rPr>
        <w:softHyphen/>
        <w:t xml:space="preserve">скохозяйственных продуктов и участки для ловли рыбы, кроме того отпустить во П и Ш кварталах </w:t>
      </w:r>
      <w:r w:rsidRPr="00070ADE">
        <w:rPr>
          <w:rStyle w:val="1pt"/>
          <w:rFonts w:ascii="Times New Roman" w:hAnsi="Times New Roman" w:cs="Times New Roman"/>
          <w:color w:val="000000" w:themeColor="text1"/>
          <w:spacing w:val="0"/>
          <w:sz w:val="16"/>
          <w:szCs w:val="16"/>
        </w:rPr>
        <w:t>с.г,</w:t>
      </w:r>
      <w:r w:rsidRPr="00070ADE">
        <w:rPr>
          <w:rFonts w:ascii="Times New Roman" w:hAnsi="Times New Roman"/>
          <w:color w:val="000000" w:themeColor="text1"/>
          <w:sz w:val="16"/>
          <w:szCs w:val="16"/>
        </w:rPr>
        <w:t xml:space="preserve"> 60 тонн рыбы для продажи рабочий и служащим этого завода.</w:t>
      </w:r>
    </w:p>
    <w:p w14:paraId="2E67F23B" w14:textId="77777777" w:rsidR="0090533F" w:rsidRPr="00070ADE" w:rsidRDefault="0090533F" w:rsidP="00B56F90">
      <w:pPr>
        <w:tabs>
          <w:tab w:val="left" w:pos="88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12. Обязать Наркомторг СССР - т.Любимова обеспечить с мая </w:t>
      </w:r>
      <w:r w:rsidRPr="00070ADE">
        <w:rPr>
          <w:rStyle w:val="1pt"/>
          <w:rFonts w:ascii="Times New Roman" w:hAnsi="Times New Roman" w:cs="Times New Roman"/>
          <w:color w:val="000000" w:themeColor="text1"/>
          <w:spacing w:val="0"/>
          <w:sz w:val="16"/>
          <w:szCs w:val="16"/>
        </w:rPr>
        <w:t>с.г.</w:t>
      </w:r>
      <w:r w:rsidRPr="00070ADE">
        <w:rPr>
          <w:rFonts w:ascii="Times New Roman" w:hAnsi="Times New Roman"/>
          <w:color w:val="000000" w:themeColor="text1"/>
          <w:sz w:val="16"/>
          <w:szCs w:val="16"/>
        </w:rPr>
        <w:t xml:space="preserve"> снабжение рабочих, И</w:t>
      </w:r>
      <w:r w:rsidRPr="00070ADE">
        <w:rPr>
          <w:rFonts w:ascii="Times New Roman" w:hAnsi="Times New Roman"/>
          <w:color w:val="000000" w:themeColor="text1"/>
          <w:sz w:val="16"/>
          <w:szCs w:val="16"/>
          <w:lang w:val="en-US"/>
        </w:rPr>
        <w:t>TP</w:t>
      </w:r>
      <w:r w:rsidRPr="00070ADE">
        <w:rPr>
          <w:rFonts w:ascii="Times New Roman" w:hAnsi="Times New Roman"/>
          <w:color w:val="000000" w:themeColor="text1"/>
          <w:sz w:val="16"/>
          <w:szCs w:val="16"/>
        </w:rPr>
        <w:t xml:space="preserve"> и служащих завода № 86 Наркомавиапрома и привлекаемых им субподрядных орга</w:t>
      </w:r>
      <w:r w:rsidRPr="00070ADE">
        <w:rPr>
          <w:rFonts w:ascii="Times New Roman" w:hAnsi="Times New Roman"/>
          <w:color w:val="000000" w:themeColor="text1"/>
          <w:sz w:val="16"/>
          <w:szCs w:val="16"/>
        </w:rPr>
        <w:softHyphen/>
        <w:t>низаций, а также и членов их семей продовольственными то</w:t>
      </w:r>
      <w:r w:rsidRPr="00070ADE">
        <w:rPr>
          <w:rFonts w:ascii="Times New Roman" w:hAnsi="Times New Roman"/>
          <w:color w:val="000000" w:themeColor="text1"/>
          <w:sz w:val="16"/>
          <w:szCs w:val="16"/>
        </w:rPr>
        <w:softHyphen/>
        <w:t>варами и хлебом наравне с работниками других предприятий Наркомавиапрома.</w:t>
      </w:r>
    </w:p>
    <w:p w14:paraId="64C48DB5" w14:textId="77777777" w:rsidR="0090533F" w:rsidRPr="00070ADE" w:rsidRDefault="0090533F" w:rsidP="00B56F90">
      <w:pPr>
        <w:tabs>
          <w:tab w:val="left" w:pos="89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Обязать Наркомфин СССР - т. Зверева выделить в 1944 году заводу № 86 НКАП из резервного фонда СНК СССР 12 млн.рублей на организацию ремонта саполетов и постановку производства самолетов Ер-2, в том числе 7 млн.рублей на дополнительный фонд заработной платы.</w:t>
      </w:r>
    </w:p>
    <w:p w14:paraId="637D5582" w14:textId="77777777" w:rsidR="0090533F" w:rsidRPr="00070ADE" w:rsidRDefault="0090533F" w:rsidP="00B56F90">
      <w:pPr>
        <w:tabs>
          <w:tab w:val="left" w:pos="89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Обяэать Нарком электростанций - т.Жимерина обеспе</w:t>
      </w:r>
      <w:r w:rsidRPr="00070ADE">
        <w:rPr>
          <w:rFonts w:ascii="Times New Roman" w:hAnsi="Times New Roman"/>
          <w:color w:val="000000" w:themeColor="text1"/>
          <w:sz w:val="16"/>
          <w:szCs w:val="16"/>
        </w:rPr>
        <w:softHyphen/>
        <w:t>чить бесперебойное снабжение электроэнергией Таганрогского вавода № 86 НКАП</w:t>
      </w:r>
    </w:p>
    <w:p w14:paraId="5A4646A0" w14:textId="77777777" w:rsidR="0090533F" w:rsidRPr="00070ADE" w:rsidRDefault="0090533F" w:rsidP="00B56F90">
      <w:pPr>
        <w:tabs>
          <w:tab w:val="left" w:pos="89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Обязать сеокретаря Ростовского обкома ВКП(б) - т.Двинского оказать необходимую помощь Наркомавиапрому (19486).</w:t>
      </w:r>
    </w:p>
    <w:p w14:paraId="55103F44" w14:textId="77777777" w:rsidR="0090533F" w:rsidRPr="00070ADE" w:rsidRDefault="0090533F" w:rsidP="00B56F90">
      <w:pPr>
        <w:autoSpaceDE w:val="0"/>
        <w:autoSpaceDN w:val="0"/>
        <w:adjustRightInd w:val="0"/>
        <w:spacing w:after="0" w:line="240" w:lineRule="auto"/>
        <w:jc w:val="both"/>
        <w:rPr>
          <w:rFonts w:ascii="Times New Roman" w:hAnsi="Times New Roman"/>
          <w:color w:val="000000" w:themeColor="text1"/>
          <w:sz w:val="16"/>
          <w:szCs w:val="16"/>
        </w:rPr>
      </w:pPr>
    </w:p>
    <w:p w14:paraId="6B57F70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Постановление ГКО № 5801 О производстве авиационных пулеметов и пушек с электроспусками конструкции тов. Китенко. РГАНИР, Фонд ГКО, д. 249, лл. 154-155 (11012).</w:t>
      </w:r>
    </w:p>
    <w:p w14:paraId="28ADCE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EE13633" w14:textId="77777777" w:rsidR="0090533F" w:rsidRPr="00070ADE" w:rsidRDefault="0090533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Постановление ГКО № 5801 О производстве авиационных пулеметов и пушек с электроспусками конструкции тов. Китенко</w:t>
      </w:r>
    </w:p>
    <w:p w14:paraId="10E920F1" w14:textId="77777777" w:rsidR="0090533F" w:rsidRPr="00070ADE" w:rsidRDefault="0090533F"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целях повышения меткости прицельной стрельбы из пулеметов и пушек, установленных па истребителях, штур</w:t>
      </w:r>
      <w:r w:rsidRPr="00070ADE">
        <w:rPr>
          <w:rFonts w:ascii="Times New Roman" w:hAnsi="Times New Roman" w:cs="Times New Roman"/>
          <w:color w:val="000000" w:themeColor="text1"/>
          <w:sz w:val="16"/>
          <w:szCs w:val="16"/>
        </w:rPr>
        <w:softHyphen/>
        <w:t>мовиках и бомбардировщиках, Государственный Комитет Оборони постановляет:,</w:t>
      </w:r>
    </w:p>
    <w:p w14:paraId="5AA16BEE" w14:textId="77777777" w:rsidR="0090533F" w:rsidRPr="00070ADE" w:rsidRDefault="0090533F" w:rsidP="00B56F90">
      <w:pPr>
        <w:pStyle w:val="47"/>
        <w:shd w:val="clear" w:color="auto" w:fill="auto"/>
        <w:tabs>
          <w:tab w:val="left" w:pos="1478"/>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1. Принять к сведению заявление ВВС К</w:t>
      </w:r>
      <w:r w:rsidRPr="00070ADE">
        <w:rPr>
          <w:rFonts w:ascii="Times New Roman" w:hAnsi="Times New Roman" w:cs="Times New Roman"/>
          <w:color w:val="000000" w:themeColor="text1"/>
          <w:sz w:val="16"/>
          <w:szCs w:val="16"/>
          <w:lang w:val="en-US"/>
        </w:rPr>
        <w:t>A</w:t>
      </w:r>
      <w:r w:rsidRPr="00070ADE">
        <w:rPr>
          <w:rFonts w:ascii="Times New Roman" w:hAnsi="Times New Roman" w:cs="Times New Roman"/>
          <w:color w:val="000000" w:themeColor="text1"/>
          <w:sz w:val="16"/>
          <w:szCs w:val="16"/>
        </w:rPr>
        <w:t xml:space="preserve"> т.т..Новикова и Репина, что электроспуски конструкции т.Китенко успеш</w:t>
      </w:r>
      <w:r w:rsidRPr="00070ADE">
        <w:rPr>
          <w:rFonts w:ascii="Times New Roman" w:hAnsi="Times New Roman" w:cs="Times New Roman"/>
          <w:color w:val="000000" w:themeColor="text1"/>
          <w:sz w:val="16"/>
          <w:szCs w:val="16"/>
        </w:rPr>
        <w:softHyphen/>
        <w:t>но прошли государственные испытания на пулемётах Шкас калибра 7,62 мы, Березина калибра 12,7 мм и на пушках Волкова-Ярцева калибра 23 мм, Нудельмана-Суранова калиб</w:t>
      </w:r>
      <w:r w:rsidRPr="00070ADE">
        <w:rPr>
          <w:rFonts w:ascii="Times New Roman" w:hAnsi="Times New Roman" w:cs="Times New Roman"/>
          <w:color w:val="000000" w:themeColor="text1"/>
          <w:sz w:val="16"/>
          <w:szCs w:val="16"/>
        </w:rPr>
        <w:softHyphen/>
        <w:t>ра 37 мм.</w:t>
      </w:r>
    </w:p>
    <w:p w14:paraId="7DB67401" w14:textId="77777777" w:rsidR="0090533F" w:rsidRPr="00070ADE" w:rsidRDefault="0090533F" w:rsidP="00B56F90">
      <w:pPr>
        <w:pStyle w:val="47"/>
        <w:shd w:val="clear" w:color="auto" w:fill="auto"/>
        <w:tabs>
          <w:tab w:val="left" w:pos="1478"/>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2. Обязать Наркомвооружения т.Устинова и главных конструкторов т.т. Шпитальпого, Березина, Волкова,Ярцева, Нудельмана и Суранова внести пеобходимые изменения в выпускаемые серийные авиационные пулеметы и пушки для уста</w:t>
      </w:r>
      <w:r w:rsidRPr="00070ADE">
        <w:rPr>
          <w:rFonts w:ascii="Times New Roman" w:hAnsi="Times New Roman" w:cs="Times New Roman"/>
          <w:color w:val="000000" w:themeColor="text1"/>
          <w:sz w:val="16"/>
          <w:szCs w:val="16"/>
        </w:rPr>
        <w:softHyphen/>
        <w:t>новки электроспусков оистемн тов.Китенко.</w:t>
      </w:r>
    </w:p>
    <w:p w14:paraId="5B8D55CE" w14:textId="77777777" w:rsidR="0090533F" w:rsidRPr="00070ADE" w:rsidRDefault="0090533F" w:rsidP="00B56F90">
      <w:pPr>
        <w:pStyle w:val="47"/>
        <w:shd w:val="clear" w:color="auto" w:fill="auto"/>
        <w:tabs>
          <w:tab w:val="left" w:pos="1485"/>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3. Обязать Наркомвооружения т.Устинова к 1 июля с.г. изготовить и поставить Наркомавкапрому в счет его заказов на пулеметы и пушки:.</w:t>
      </w:r>
    </w:p>
    <w:p w14:paraId="58219B06" w14:textId="77777777" w:rsidR="0090533F" w:rsidRPr="00070ADE" w:rsidRDefault="0090533F" w:rsidP="00B56F90">
      <w:pPr>
        <w:pStyle w:val="47"/>
        <w:shd w:val="clear" w:color="auto" w:fill="auto"/>
        <w:tabs>
          <w:tab w:val="left" w:pos="1478"/>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а) авиапулеметов с электроспускамн системы т.Китенко Шкас (крыльевых) - 7,62. мм- 250 штук, Березина (кры</w:t>
      </w:r>
      <w:r w:rsidRPr="00070ADE">
        <w:rPr>
          <w:rFonts w:ascii="Times New Roman" w:hAnsi="Times New Roman" w:cs="Times New Roman"/>
          <w:color w:val="000000" w:themeColor="text1"/>
          <w:sz w:val="16"/>
          <w:szCs w:val="16"/>
        </w:rPr>
        <w:softHyphen/>
        <w:t>льевых) 12,7 мм - 250 штук;</w:t>
      </w:r>
    </w:p>
    <w:p w14:paraId="1C451132" w14:textId="77777777" w:rsidR="0090533F" w:rsidRPr="00070ADE" w:rsidRDefault="0090533F" w:rsidP="00B56F90">
      <w:pPr>
        <w:pStyle w:val="47"/>
        <w:shd w:val="clear" w:color="auto" w:fill="auto"/>
        <w:tabs>
          <w:tab w:val="left" w:pos="1478"/>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б) авиапушек с электоспусковой системы т.Китенко Волкова-Ярцева 23 мм - 250 штук, Нудельмана-Суранова (в моторном варианте) 37 мм - 70 штук.</w:t>
      </w:r>
    </w:p>
    <w:p w14:paraId="20B160BD" w14:textId="77777777" w:rsidR="0090533F" w:rsidRPr="00070ADE" w:rsidRDefault="0090533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Обязать Наркомавиапрои т.Шахурина:</w:t>
      </w:r>
    </w:p>
    <w:p w14:paraId="4FD907A1" w14:textId="77777777" w:rsidR="0090533F" w:rsidRPr="00070ADE" w:rsidRDefault="0090533F" w:rsidP="00B56F90">
      <w:pPr>
        <w:tabs>
          <w:tab w:val="left" w:pos="93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до 15 поля с.г. сдать ВВС КА для проведения войс</w:t>
      </w:r>
      <w:r w:rsidRPr="00070ADE">
        <w:rPr>
          <w:rFonts w:ascii="Times New Roman" w:hAnsi="Times New Roman"/>
          <w:color w:val="000000" w:themeColor="text1"/>
          <w:sz w:val="16"/>
          <w:szCs w:val="16"/>
        </w:rPr>
        <w:softHyphen/>
        <w:t>ковых испытаний следующее количество самолетов, вооружен</w:t>
      </w:r>
      <w:r w:rsidRPr="00070ADE">
        <w:rPr>
          <w:rFonts w:ascii="Times New Roman" w:hAnsi="Times New Roman"/>
          <w:color w:val="000000" w:themeColor="text1"/>
          <w:sz w:val="16"/>
          <w:szCs w:val="16"/>
        </w:rPr>
        <w:softHyphen/>
        <w:t>ных пуле кетами и пушками с электроспуском системы т.Китенко: 100 самолетов Ил-2, вооруженных крыльевыми пулеме</w:t>
      </w:r>
      <w:r w:rsidRPr="00070ADE">
        <w:rPr>
          <w:rFonts w:ascii="Times New Roman" w:hAnsi="Times New Roman"/>
          <w:color w:val="000000" w:themeColor="text1"/>
          <w:sz w:val="16"/>
          <w:szCs w:val="16"/>
        </w:rPr>
        <w:softHyphen/>
        <w:t>тами Шкас 7,62 мк и пушками ВЯ - 23 мы, 100 самолетов Пе-2 с носовой неподвижной установкой и люковой подвижной установкой, вооруженных пулеметами УБК - 12,7 мм, 10 са</w:t>
      </w:r>
      <w:r w:rsidRPr="00070ADE">
        <w:rPr>
          <w:rFonts w:ascii="Times New Roman" w:hAnsi="Times New Roman"/>
          <w:color w:val="000000" w:themeColor="text1"/>
          <w:sz w:val="16"/>
          <w:szCs w:val="16"/>
        </w:rPr>
        <w:softHyphen/>
        <w:t>молетов Ту-2 с люковой подвижной установкой, вооруженных пулеметами УБК - 12,7 мм и 60 самолетов Як-9, вооружен</w:t>
      </w:r>
      <w:r w:rsidRPr="00070ADE">
        <w:rPr>
          <w:rFonts w:ascii="Times New Roman" w:hAnsi="Times New Roman"/>
          <w:color w:val="000000" w:themeColor="text1"/>
          <w:sz w:val="16"/>
          <w:szCs w:val="16"/>
        </w:rPr>
        <w:softHyphen/>
        <w:t>ных пушками НС - 37 мм;</w:t>
      </w:r>
    </w:p>
    <w:p w14:paraId="54068494" w14:textId="77777777" w:rsidR="0090533F" w:rsidRPr="00070ADE" w:rsidRDefault="0090533F" w:rsidP="00B56F90">
      <w:pPr>
        <w:tabs>
          <w:tab w:val="left" w:pos="94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изготовить и поставить Наркомвосружения необходи</w:t>
      </w:r>
      <w:r w:rsidRPr="00070ADE">
        <w:rPr>
          <w:rFonts w:ascii="Times New Roman" w:hAnsi="Times New Roman"/>
          <w:color w:val="000000" w:themeColor="text1"/>
          <w:sz w:val="16"/>
          <w:szCs w:val="16"/>
        </w:rPr>
        <w:softHyphen/>
        <w:t>мое количество катушек электромагнитов для комплектации электроспусков;</w:t>
      </w:r>
    </w:p>
    <w:p w14:paraId="1918FA7C" w14:textId="77777777" w:rsidR="0090533F" w:rsidRPr="00070ADE" w:rsidRDefault="0090533F" w:rsidP="00B56F90">
      <w:pPr>
        <w:tabs>
          <w:tab w:val="left" w:pos="94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оказать Наркомвооружения необходимую техническую помощь в организации производства элeктpичecкой части электроспусков системы т.Китенко.</w:t>
      </w:r>
    </w:p>
    <w:p w14:paraId="6E4E1CEB" w14:textId="77777777" w:rsidR="0090533F" w:rsidRPr="00070ADE" w:rsidRDefault="0090533F" w:rsidP="00B56F90">
      <w:pPr>
        <w:tabs>
          <w:tab w:val="left" w:pos="115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Обязать ВВС КА - т.Новикова провести в Ш</w:t>
      </w:r>
      <w:r w:rsidRPr="00070ADE">
        <w:rPr>
          <w:rFonts w:ascii="Times New Roman" w:hAnsi="Times New Roman"/>
          <w:color w:val="000000" w:themeColor="text1"/>
          <w:sz w:val="16"/>
          <w:szCs w:val="16"/>
          <w:lang w:val="en-US"/>
        </w:rPr>
        <w:t>n</w:t>
      </w:r>
      <w:r w:rsidRPr="00070ADE">
        <w:rPr>
          <w:rFonts w:ascii="Times New Roman" w:hAnsi="Times New Roman"/>
          <w:color w:val="000000" w:themeColor="text1"/>
          <w:sz w:val="16"/>
          <w:szCs w:val="16"/>
        </w:rPr>
        <w:t xml:space="preserve"> квар</w:t>
      </w:r>
      <w:r w:rsidRPr="00070ADE">
        <w:rPr>
          <w:rFonts w:ascii="Times New Roman" w:hAnsi="Times New Roman"/>
          <w:color w:val="000000" w:themeColor="text1"/>
          <w:sz w:val="16"/>
          <w:szCs w:val="16"/>
        </w:rPr>
        <w:softHyphen/>
        <w:t>тале с.г. войсковые испытания</w:t>
      </w:r>
      <w:r w:rsidRPr="00070ADE">
        <w:rPr>
          <w:rStyle w:val="Consolas"/>
          <w:rFonts w:ascii="Times New Roman" w:hAnsi="Times New Roman" w:cs="Times New Roman"/>
          <w:color w:val="000000" w:themeColor="text1"/>
          <w:sz w:val="16"/>
          <w:szCs w:val="16"/>
        </w:rPr>
        <w:t xml:space="preserve"> самолетов,</w:t>
      </w:r>
      <w:r w:rsidRPr="00070ADE">
        <w:rPr>
          <w:rFonts w:ascii="Times New Roman" w:hAnsi="Times New Roman"/>
          <w:color w:val="000000" w:themeColor="text1"/>
          <w:sz w:val="16"/>
          <w:szCs w:val="16"/>
        </w:rPr>
        <w:t>вооруженных авиа</w:t>
      </w:r>
      <w:r w:rsidRPr="00070ADE">
        <w:rPr>
          <w:rFonts w:ascii="Times New Roman" w:hAnsi="Times New Roman"/>
          <w:color w:val="000000" w:themeColor="text1"/>
          <w:sz w:val="16"/>
          <w:szCs w:val="16"/>
        </w:rPr>
        <w:softHyphen/>
        <w:t>ционными пулеметами и пушками с электроспусками системы т.Китенко.</w:t>
      </w:r>
    </w:p>
    <w:p w14:paraId="45B85437" w14:textId="77777777" w:rsidR="0090533F" w:rsidRPr="00070ADE" w:rsidRDefault="0090533F" w:rsidP="00B56F90">
      <w:pPr>
        <w:tabs>
          <w:tab w:val="left" w:pos="116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6ю Поручить </w:t>
      </w:r>
      <w:r w:rsidRPr="00070ADE">
        <w:rPr>
          <w:rStyle w:val="-1pt"/>
          <w:rFonts w:ascii="Times New Roman" w:hAnsi="Times New Roman" w:cs="Times New Roman"/>
          <w:color w:val="000000" w:themeColor="text1"/>
          <w:spacing w:val="0"/>
          <w:sz w:val="16"/>
          <w:szCs w:val="16"/>
        </w:rPr>
        <w:t>ВВС</w:t>
      </w:r>
      <w:r w:rsidRPr="00070ADE">
        <w:rPr>
          <w:rFonts w:ascii="Times New Roman" w:hAnsi="Times New Roman"/>
          <w:color w:val="000000" w:themeColor="text1"/>
          <w:sz w:val="16"/>
          <w:szCs w:val="16"/>
        </w:rPr>
        <w:t xml:space="preserve"> </w:t>
      </w:r>
      <w:r w:rsidRPr="00070ADE">
        <w:rPr>
          <w:rStyle w:val="-1pt"/>
          <w:rFonts w:ascii="Times New Roman" w:hAnsi="Times New Roman" w:cs="Times New Roman"/>
          <w:color w:val="000000" w:themeColor="text1"/>
          <w:spacing w:val="0"/>
          <w:sz w:val="16"/>
          <w:szCs w:val="16"/>
        </w:rPr>
        <w:t>КА -</w:t>
      </w:r>
      <w:r w:rsidRPr="00070ADE">
        <w:rPr>
          <w:rFonts w:ascii="Times New Roman" w:hAnsi="Times New Roman"/>
          <w:color w:val="000000" w:themeColor="text1"/>
          <w:sz w:val="16"/>
          <w:szCs w:val="16"/>
        </w:rPr>
        <w:t xml:space="preserve"> т.Новикову, Наркомавиапрому- т.Шахурину, Наркомвооружения - т.Устинову доложить о результатах войсковых испытаний (19487).</w:t>
      </w:r>
    </w:p>
    <w:p w14:paraId="4B838ABC" w14:textId="77777777" w:rsidR="0090533F" w:rsidRPr="00070ADE" w:rsidRDefault="0090533F" w:rsidP="00B56F90">
      <w:pPr>
        <w:autoSpaceDE w:val="0"/>
        <w:autoSpaceDN w:val="0"/>
        <w:adjustRightInd w:val="0"/>
        <w:spacing w:after="0" w:line="240" w:lineRule="auto"/>
        <w:jc w:val="both"/>
        <w:rPr>
          <w:rFonts w:ascii="Times New Roman" w:hAnsi="Times New Roman"/>
          <w:color w:val="000000" w:themeColor="text1"/>
          <w:sz w:val="16"/>
          <w:szCs w:val="16"/>
        </w:rPr>
      </w:pPr>
    </w:p>
    <w:p w14:paraId="106E3673" w14:textId="77777777" w:rsidR="009B7CB6" w:rsidRPr="00070ADE" w:rsidRDefault="009B7CB6"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Распоряжение ГКО № 5817. Об изготовлении и поставках для НКО опытных образцов аэростатов заграждения, воздухоплавательного имущества и специального аэростатного оборудования. РГАНИР, Фонд ГКО, д. 250, лл. 1,2 (11012).</w:t>
      </w:r>
    </w:p>
    <w:p w14:paraId="6F2B9FAF" w14:textId="77777777" w:rsidR="009B7CB6" w:rsidRPr="00070ADE" w:rsidRDefault="009B7CB6" w:rsidP="00B56F90">
      <w:pPr>
        <w:autoSpaceDE w:val="0"/>
        <w:autoSpaceDN w:val="0"/>
        <w:adjustRightInd w:val="0"/>
        <w:spacing w:after="0" w:line="240" w:lineRule="auto"/>
        <w:jc w:val="both"/>
        <w:rPr>
          <w:rFonts w:ascii="Times New Roman" w:hAnsi="Times New Roman"/>
          <w:color w:val="000000" w:themeColor="text1"/>
          <w:sz w:val="16"/>
          <w:szCs w:val="16"/>
        </w:rPr>
      </w:pPr>
    </w:p>
    <w:p w14:paraId="7799E878" w14:textId="77777777" w:rsidR="009B7CB6" w:rsidRPr="00070ADE" w:rsidRDefault="009B7CB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Распоряжение ГКО № 5817. Об изготовлении и поставках для НКО опытных образцов аэростатов заграждения, воздухоплавательного имущества и специального аэростатного оборудования</w:t>
      </w:r>
    </w:p>
    <w:p w14:paraId="66783303" w14:textId="77777777" w:rsidR="009B7CB6" w:rsidRPr="00070ADE" w:rsidRDefault="009B7CB6" w:rsidP="00B56F90">
      <w:pPr>
        <w:spacing w:after="0" w:line="240" w:lineRule="auto"/>
        <w:jc w:val="both"/>
        <w:rPr>
          <w:rFonts w:ascii="Times New Roman" w:hAnsi="Times New Roman"/>
          <w:color w:val="000000" w:themeColor="text1"/>
          <w:sz w:val="16"/>
          <w:szCs w:val="16"/>
        </w:rPr>
      </w:pPr>
      <w:r w:rsidRPr="00070ADE">
        <w:rPr>
          <w:rStyle w:val="TimesNewRoman95pt"/>
          <w:rFonts w:eastAsia="Calibri"/>
          <w:b w:val="0"/>
          <w:color w:val="000000" w:themeColor="text1"/>
          <w:sz w:val="16"/>
          <w:szCs w:val="16"/>
        </w:rPr>
        <w:t>Обязать</w:t>
      </w:r>
      <w:r w:rsidRPr="00070ADE">
        <w:rPr>
          <w:rFonts w:ascii="Times New Roman" w:hAnsi="Times New Roman"/>
          <w:color w:val="000000" w:themeColor="text1"/>
          <w:sz w:val="16"/>
          <w:szCs w:val="16"/>
        </w:rPr>
        <w:t xml:space="preserve"> Наркомрезинпром (т.Митрохина), Наркомавиапром (т.Шахурина), Наркомтекстиль СССР (т.Акимоэа), Главное Управление трудовых</w:t>
      </w:r>
      <w:r w:rsidRPr="00070ADE">
        <w:rPr>
          <w:rStyle w:val="TimesNewRoman95pt"/>
          <w:rFonts w:eastAsia="Calibri"/>
          <w:color w:val="000000" w:themeColor="text1"/>
          <w:sz w:val="16"/>
          <w:szCs w:val="16"/>
        </w:rPr>
        <w:t xml:space="preserve"> </w:t>
      </w:r>
      <w:r w:rsidRPr="00070ADE">
        <w:rPr>
          <w:rStyle w:val="TimesNewRoman95pt"/>
          <w:rFonts w:eastAsia="Calibri"/>
          <w:b w:val="0"/>
          <w:color w:val="000000" w:themeColor="text1"/>
          <w:sz w:val="16"/>
          <w:szCs w:val="16"/>
        </w:rPr>
        <w:t>резервов</w:t>
      </w:r>
      <w:r w:rsidRPr="00070ADE">
        <w:rPr>
          <w:rFonts w:ascii="Times New Roman" w:hAnsi="Times New Roman"/>
          <w:color w:val="000000" w:themeColor="text1"/>
          <w:sz w:val="16"/>
          <w:szCs w:val="16"/>
        </w:rPr>
        <w:t xml:space="preserve"> при Совнаркоме СССР (т.Москатова) и Главгазтоппром при Совнаркоме СССР (т .Матвеева) изготовить и поставить НКО СССР (ГАУ Крас</w:t>
      </w:r>
      <w:r w:rsidRPr="00070ADE">
        <w:rPr>
          <w:rFonts w:ascii="Times New Roman" w:hAnsi="Times New Roman"/>
          <w:color w:val="000000" w:themeColor="text1"/>
          <w:sz w:val="16"/>
          <w:szCs w:val="16"/>
        </w:rPr>
        <w:softHyphen/>
        <w:t>ной Армии) опытные образцы аэростатов заграждения, воз</w:t>
      </w:r>
      <w:r w:rsidRPr="00070ADE">
        <w:rPr>
          <w:rFonts w:ascii="Times New Roman" w:hAnsi="Times New Roman"/>
          <w:color w:val="000000" w:themeColor="text1"/>
          <w:sz w:val="16"/>
          <w:szCs w:val="16"/>
        </w:rPr>
        <w:softHyphen/>
        <w:t>духоплавательного имущества и специального аэростатного оборудоваения ( вооружения), согласно приложению (19388).</w:t>
      </w:r>
    </w:p>
    <w:p w14:paraId="2C49D7D4" w14:textId="77777777" w:rsidR="009B7CB6" w:rsidRPr="00070ADE" w:rsidRDefault="009B7CB6" w:rsidP="00B56F90">
      <w:pPr>
        <w:autoSpaceDE w:val="0"/>
        <w:autoSpaceDN w:val="0"/>
        <w:adjustRightInd w:val="0"/>
        <w:spacing w:after="0" w:line="240" w:lineRule="auto"/>
        <w:jc w:val="both"/>
        <w:rPr>
          <w:rFonts w:ascii="Times New Roman" w:hAnsi="Times New Roman"/>
          <w:color w:val="000000" w:themeColor="text1"/>
          <w:sz w:val="16"/>
          <w:szCs w:val="16"/>
        </w:rPr>
      </w:pPr>
    </w:p>
    <w:p w14:paraId="27E99C6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8222B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DA99C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НКБ представил данные по бронепробиваемости пушек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4D4663" w:rsidRPr="00070ADE" w14:paraId="501FC352" w14:textId="77777777">
        <w:tc>
          <w:tcPr>
            <w:tcW w:w="1610" w:type="dxa"/>
          </w:tcPr>
          <w:p w14:paraId="1A4AD53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43E1877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 мм пушка Д-10</w:t>
            </w:r>
          </w:p>
        </w:tc>
        <w:tc>
          <w:tcPr>
            <w:tcW w:w="1610" w:type="dxa"/>
          </w:tcPr>
          <w:p w14:paraId="3E17228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189421E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5E68A9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122 мм пушка Д-25</w:t>
            </w:r>
          </w:p>
        </w:tc>
        <w:tc>
          <w:tcPr>
            <w:tcW w:w="1610" w:type="dxa"/>
          </w:tcPr>
          <w:p w14:paraId="785FA89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8D435C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EEEF699" w14:textId="77777777">
        <w:tc>
          <w:tcPr>
            <w:tcW w:w="1610" w:type="dxa"/>
          </w:tcPr>
          <w:p w14:paraId="6D950B2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снаряда (кг)</w:t>
            </w:r>
          </w:p>
        </w:tc>
        <w:tc>
          <w:tcPr>
            <w:tcW w:w="1610" w:type="dxa"/>
          </w:tcPr>
          <w:p w14:paraId="09DB079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15.6</w:t>
            </w:r>
          </w:p>
        </w:tc>
        <w:tc>
          <w:tcPr>
            <w:tcW w:w="1610" w:type="dxa"/>
          </w:tcPr>
          <w:p w14:paraId="32BE9C3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57B056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6B8C099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1610" w:type="dxa"/>
          </w:tcPr>
          <w:p w14:paraId="76584A9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34320B7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CB5DA59" w14:textId="77777777">
        <w:tc>
          <w:tcPr>
            <w:tcW w:w="1610" w:type="dxa"/>
          </w:tcPr>
          <w:p w14:paraId="30773D0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Скорость (м/с)</w:t>
            </w:r>
          </w:p>
        </w:tc>
        <w:tc>
          <w:tcPr>
            <w:tcW w:w="1610" w:type="dxa"/>
          </w:tcPr>
          <w:p w14:paraId="696CE95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890</w:t>
            </w:r>
          </w:p>
        </w:tc>
        <w:tc>
          <w:tcPr>
            <w:tcW w:w="1610" w:type="dxa"/>
          </w:tcPr>
          <w:p w14:paraId="123FB5F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3134DA5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3A9F18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w:t>
            </w:r>
          </w:p>
        </w:tc>
        <w:tc>
          <w:tcPr>
            <w:tcW w:w="1610" w:type="dxa"/>
          </w:tcPr>
          <w:p w14:paraId="39A2EC4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3A4E664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16A4F84" w14:textId="77777777">
        <w:tc>
          <w:tcPr>
            <w:tcW w:w="1610" w:type="dxa"/>
          </w:tcPr>
          <w:p w14:paraId="1786898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Угол встречи</w:t>
            </w:r>
          </w:p>
        </w:tc>
        <w:tc>
          <w:tcPr>
            <w:tcW w:w="1610" w:type="dxa"/>
          </w:tcPr>
          <w:p w14:paraId="1F561FC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tc>
        <w:tc>
          <w:tcPr>
            <w:tcW w:w="1610" w:type="dxa"/>
          </w:tcPr>
          <w:p w14:paraId="460D460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tc>
        <w:tc>
          <w:tcPr>
            <w:tcW w:w="1610" w:type="dxa"/>
          </w:tcPr>
          <w:p w14:paraId="064400E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tc>
        <w:tc>
          <w:tcPr>
            <w:tcW w:w="1610" w:type="dxa"/>
          </w:tcPr>
          <w:p w14:paraId="79E3D55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tc>
        <w:tc>
          <w:tcPr>
            <w:tcW w:w="1610" w:type="dxa"/>
          </w:tcPr>
          <w:p w14:paraId="347C5D9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tc>
        <w:tc>
          <w:tcPr>
            <w:tcW w:w="1610" w:type="dxa"/>
          </w:tcPr>
          <w:p w14:paraId="22206FB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tc>
      </w:tr>
      <w:tr w:rsidR="004D4663" w:rsidRPr="00070ADE" w14:paraId="7FCD7BE4" w14:textId="77777777">
        <w:tc>
          <w:tcPr>
            <w:tcW w:w="1610" w:type="dxa"/>
          </w:tcPr>
          <w:p w14:paraId="76794FD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 м</w:t>
            </w:r>
          </w:p>
        </w:tc>
        <w:tc>
          <w:tcPr>
            <w:tcW w:w="1610" w:type="dxa"/>
          </w:tcPr>
          <w:p w14:paraId="26F909F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164</w:t>
            </w:r>
          </w:p>
        </w:tc>
        <w:tc>
          <w:tcPr>
            <w:tcW w:w="1610" w:type="dxa"/>
          </w:tcPr>
          <w:p w14:paraId="3AFFB27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136</w:t>
            </w:r>
          </w:p>
        </w:tc>
        <w:tc>
          <w:tcPr>
            <w:tcW w:w="1610" w:type="dxa"/>
          </w:tcPr>
          <w:p w14:paraId="7E6ECE2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w:t>
            </w:r>
          </w:p>
        </w:tc>
        <w:tc>
          <w:tcPr>
            <w:tcW w:w="1610" w:type="dxa"/>
          </w:tcPr>
          <w:p w14:paraId="7BE8AF1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w:t>
            </w:r>
          </w:p>
        </w:tc>
        <w:tc>
          <w:tcPr>
            <w:tcW w:w="1610" w:type="dxa"/>
          </w:tcPr>
          <w:p w14:paraId="2891493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w:t>
            </w:r>
          </w:p>
        </w:tc>
        <w:tc>
          <w:tcPr>
            <w:tcW w:w="1610" w:type="dxa"/>
          </w:tcPr>
          <w:p w14:paraId="68B195D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w:t>
            </w:r>
          </w:p>
        </w:tc>
      </w:tr>
      <w:tr w:rsidR="004D4663" w:rsidRPr="00070ADE" w14:paraId="4A66CAD4" w14:textId="77777777">
        <w:tc>
          <w:tcPr>
            <w:tcW w:w="1610" w:type="dxa"/>
          </w:tcPr>
          <w:p w14:paraId="0916DB8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 м</w:t>
            </w:r>
          </w:p>
        </w:tc>
        <w:tc>
          <w:tcPr>
            <w:tcW w:w="1610" w:type="dxa"/>
          </w:tcPr>
          <w:p w14:paraId="4CF0B41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159</w:t>
            </w:r>
          </w:p>
        </w:tc>
        <w:tc>
          <w:tcPr>
            <w:tcW w:w="1610" w:type="dxa"/>
          </w:tcPr>
          <w:p w14:paraId="4938CAD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132</w:t>
            </w:r>
          </w:p>
        </w:tc>
        <w:tc>
          <w:tcPr>
            <w:tcW w:w="1610" w:type="dxa"/>
          </w:tcPr>
          <w:p w14:paraId="22CA6BB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w:t>
            </w:r>
          </w:p>
        </w:tc>
        <w:tc>
          <w:tcPr>
            <w:tcW w:w="1610" w:type="dxa"/>
          </w:tcPr>
          <w:p w14:paraId="4A92AAD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155</w:t>
            </w:r>
          </w:p>
        </w:tc>
        <w:tc>
          <w:tcPr>
            <w:tcW w:w="1610" w:type="dxa"/>
          </w:tcPr>
          <w:p w14:paraId="77AFBFE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127</w:t>
            </w:r>
          </w:p>
        </w:tc>
        <w:tc>
          <w:tcPr>
            <w:tcW w:w="1610" w:type="dxa"/>
          </w:tcPr>
          <w:p w14:paraId="2C62190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w:t>
            </w:r>
          </w:p>
        </w:tc>
      </w:tr>
      <w:tr w:rsidR="004D4663" w:rsidRPr="00070ADE" w14:paraId="34D5E011" w14:textId="77777777">
        <w:tc>
          <w:tcPr>
            <w:tcW w:w="1610" w:type="dxa"/>
          </w:tcPr>
          <w:p w14:paraId="6480041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 м</w:t>
            </w:r>
          </w:p>
        </w:tc>
        <w:tc>
          <w:tcPr>
            <w:tcW w:w="1610" w:type="dxa"/>
          </w:tcPr>
          <w:p w14:paraId="1E293DA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149</w:t>
            </w:r>
          </w:p>
        </w:tc>
        <w:tc>
          <w:tcPr>
            <w:tcW w:w="1610" w:type="dxa"/>
          </w:tcPr>
          <w:p w14:paraId="2F2FB11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122</w:t>
            </w:r>
          </w:p>
        </w:tc>
        <w:tc>
          <w:tcPr>
            <w:tcW w:w="1610" w:type="dxa"/>
          </w:tcPr>
          <w:p w14:paraId="53AAD09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w:t>
            </w:r>
          </w:p>
        </w:tc>
        <w:tc>
          <w:tcPr>
            <w:tcW w:w="1610" w:type="dxa"/>
          </w:tcPr>
          <w:p w14:paraId="5B114B5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144</w:t>
            </w:r>
          </w:p>
        </w:tc>
        <w:tc>
          <w:tcPr>
            <w:tcW w:w="1610" w:type="dxa"/>
          </w:tcPr>
          <w:p w14:paraId="4184D0B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117</w:t>
            </w:r>
          </w:p>
        </w:tc>
        <w:tc>
          <w:tcPr>
            <w:tcW w:w="1610" w:type="dxa"/>
          </w:tcPr>
          <w:p w14:paraId="1F48544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w:t>
            </w:r>
          </w:p>
        </w:tc>
      </w:tr>
      <w:tr w:rsidR="004D4663" w:rsidRPr="00070ADE" w14:paraId="23520989" w14:textId="77777777">
        <w:tc>
          <w:tcPr>
            <w:tcW w:w="1610" w:type="dxa"/>
          </w:tcPr>
          <w:p w14:paraId="0C01AF7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 м</w:t>
            </w:r>
          </w:p>
        </w:tc>
        <w:tc>
          <w:tcPr>
            <w:tcW w:w="1610" w:type="dxa"/>
          </w:tcPr>
          <w:p w14:paraId="37B5200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138</w:t>
            </w:r>
          </w:p>
        </w:tc>
        <w:tc>
          <w:tcPr>
            <w:tcW w:w="1610" w:type="dxa"/>
          </w:tcPr>
          <w:p w14:paraId="3A9B78E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w:t>
            </w:r>
          </w:p>
        </w:tc>
        <w:tc>
          <w:tcPr>
            <w:tcW w:w="1610" w:type="dxa"/>
          </w:tcPr>
          <w:p w14:paraId="797AECA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w:t>
            </w:r>
          </w:p>
        </w:tc>
        <w:tc>
          <w:tcPr>
            <w:tcW w:w="1610" w:type="dxa"/>
          </w:tcPr>
          <w:p w14:paraId="7BD559E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133</w:t>
            </w:r>
          </w:p>
        </w:tc>
        <w:tc>
          <w:tcPr>
            <w:tcW w:w="1610" w:type="dxa"/>
          </w:tcPr>
          <w:p w14:paraId="42E68C0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w:t>
            </w:r>
          </w:p>
        </w:tc>
        <w:tc>
          <w:tcPr>
            <w:tcW w:w="1610" w:type="dxa"/>
          </w:tcPr>
          <w:p w14:paraId="21966FF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tc>
      </w:tr>
      <w:tr w:rsidR="004D4663" w:rsidRPr="00070ADE" w14:paraId="7968D3A6" w14:textId="77777777">
        <w:tc>
          <w:tcPr>
            <w:tcW w:w="1610" w:type="dxa"/>
          </w:tcPr>
          <w:p w14:paraId="1D44861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2000 м</w:t>
            </w:r>
          </w:p>
        </w:tc>
        <w:tc>
          <w:tcPr>
            <w:tcW w:w="1610" w:type="dxa"/>
          </w:tcPr>
          <w:p w14:paraId="68D8F87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127</w:t>
            </w:r>
          </w:p>
        </w:tc>
        <w:tc>
          <w:tcPr>
            <w:tcW w:w="1610" w:type="dxa"/>
          </w:tcPr>
          <w:p w14:paraId="66C104C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w:t>
            </w:r>
          </w:p>
        </w:tc>
        <w:tc>
          <w:tcPr>
            <w:tcW w:w="1610" w:type="dxa"/>
          </w:tcPr>
          <w:p w14:paraId="15E264A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w:t>
            </w:r>
          </w:p>
        </w:tc>
        <w:tc>
          <w:tcPr>
            <w:tcW w:w="1610" w:type="dxa"/>
          </w:tcPr>
          <w:p w14:paraId="293BF9E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122</w:t>
            </w:r>
          </w:p>
        </w:tc>
        <w:tc>
          <w:tcPr>
            <w:tcW w:w="1610" w:type="dxa"/>
          </w:tcPr>
          <w:p w14:paraId="7CEF560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w:t>
            </w:r>
          </w:p>
        </w:tc>
        <w:tc>
          <w:tcPr>
            <w:tcW w:w="1610" w:type="dxa"/>
          </w:tcPr>
          <w:p w14:paraId="04C44A7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tc>
      </w:tr>
      <w:tr w:rsidR="005106D0" w:rsidRPr="00070ADE" w14:paraId="59E47024" w14:textId="77777777">
        <w:tc>
          <w:tcPr>
            <w:tcW w:w="1610" w:type="dxa"/>
          </w:tcPr>
          <w:p w14:paraId="458C782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(7381, 35)</w:t>
            </w:r>
          </w:p>
        </w:tc>
        <w:tc>
          <w:tcPr>
            <w:tcW w:w="1610" w:type="dxa"/>
          </w:tcPr>
          <w:p w14:paraId="38EA129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6D6E01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7C600B5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BA0679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3B2FB4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45E8A1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2BAF02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FEBD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г. на ЧКЗ состоялось совещание по вопросу модерниза</w:t>
      </w:r>
      <w:r w:rsidRPr="00070ADE">
        <w:rPr>
          <w:rFonts w:ascii="Times New Roman" w:hAnsi="Times New Roman"/>
          <w:color w:val="000000" w:themeColor="text1"/>
          <w:sz w:val="16"/>
          <w:szCs w:val="16"/>
        </w:rPr>
        <w:softHyphen/>
        <w:t>ции машины ИС. В проекте модернизации танка ИС-2 предусматрива</w:t>
      </w:r>
      <w:r w:rsidRPr="00070ADE">
        <w:rPr>
          <w:rFonts w:ascii="Times New Roman" w:hAnsi="Times New Roman"/>
          <w:color w:val="000000" w:themeColor="text1"/>
          <w:sz w:val="16"/>
          <w:szCs w:val="16"/>
        </w:rPr>
        <w:softHyphen/>
        <w:t>лось: усилить броневую защиту корпуса и башни; повысить надежность работы системы охлаждения; снизить пожароопасность танка за счет выноса топливных баков в моторное отделение; улучшить условия ра</w:t>
      </w:r>
      <w:r w:rsidRPr="00070ADE">
        <w:rPr>
          <w:rFonts w:ascii="Times New Roman" w:hAnsi="Times New Roman"/>
          <w:color w:val="000000" w:themeColor="text1"/>
          <w:sz w:val="16"/>
          <w:szCs w:val="16"/>
        </w:rPr>
        <w:softHyphen/>
        <w:t>боты механика-водителя; повысить скорострельность и меткость огня за счет нового механизма поворота башни; усилить вооружение за счет установки ЗПУ и увеличения боекомплекта; повысить надежность пус</w:t>
      </w:r>
      <w:r w:rsidRPr="00070ADE">
        <w:rPr>
          <w:rFonts w:ascii="Times New Roman" w:hAnsi="Times New Roman"/>
          <w:color w:val="000000" w:themeColor="text1"/>
          <w:sz w:val="16"/>
          <w:szCs w:val="16"/>
        </w:rPr>
        <w:softHyphen/>
        <w:t>ка двигателя за счет установки стартера СТ-700 в дополнение к инерци</w:t>
      </w:r>
      <w:r w:rsidRPr="00070ADE">
        <w:rPr>
          <w:rFonts w:ascii="Times New Roman" w:hAnsi="Times New Roman"/>
          <w:color w:val="000000" w:themeColor="text1"/>
          <w:sz w:val="16"/>
          <w:szCs w:val="16"/>
        </w:rPr>
        <w:softHyphen/>
        <w:t>онному стартеру ИС-9 (10703).</w:t>
      </w:r>
    </w:p>
    <w:p w14:paraId="0EB097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BE434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Постановление ГКО № 5799 О пуске металлургического завода № 268 Наркомавиапрома в гор. Каменск-Уральском. (7227, 140-142,143-145).</w:t>
      </w:r>
    </w:p>
    <w:p w14:paraId="49273C9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4CC2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Постановление ГКО № 5802 Об увеличении производства и поставки НКО СССР и НКВМФ сигнальных, осветительных патронов и о восстановлении производства сигнальных и осветительных гранат. РГАНИР, Фонд ГКО, д. 249, лл. 156-164,165-166 (11012).</w:t>
      </w:r>
    </w:p>
    <w:p w14:paraId="78DED5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7C1475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Постановление ГКО № 5803 Об обеспечении рабочей силой промышленности и строительства во II квартале 1944 года. РГАНИР, Фонд ГКО, д. 249, лл. 167-168,169-175 (11012).</w:t>
      </w:r>
    </w:p>
    <w:p w14:paraId="6CDB28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EBC09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Распоряжение ГКО № 5804. О выделении 300 военнообязанных Узбекской ССР и Кара-Калпакской АССР, не годных к строевой службе, в Распоряжение Кара-Калпакской экспедиции НКММП СССР по перегону скота. РГАНИР, Фонд ГКО, д. 249, лл. 176 (11012).</w:t>
      </w:r>
    </w:p>
    <w:p w14:paraId="7ECF8F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BC99F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Распоряжение ГКО № 5805. О выделении 10 трофейных грузовых машин и 3 тракторов на восстановление Винницкого и Одесского суперфосфатных заводов НКХП. РГАНИР, Фонд ГКО, д. 249, лл. 177 (11012).</w:t>
      </w:r>
    </w:p>
    <w:p w14:paraId="00EB40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C23F9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Распоряжение ГКО № 5806. О поставках всего вырабатываемого тунгового масла HКХП для производства авиационных лаков и красок и о выделении предприятиям Грузинской ССР пресса системы "Экспеллер" и 6 грузовых машин. РГАНИР, Фонд ГКО, д. 249, лл. 178 (11012).</w:t>
      </w:r>
    </w:p>
    <w:p w14:paraId="6B26E1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DA27C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4 мая 1944 вышло Распоряжение ГКО № 5807. О передаче на Средне-Уральскую ГРЭС углеразмольной мельницы типа Ш-16. РГАНИР, Фонд ГКО, д. 249, лл. 179 (11012).</w:t>
      </w:r>
    </w:p>
    <w:p w14:paraId="6D9D371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356B95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Распоряжение ГКО № 5808. О реэвакуации Златоустовского насосного завода и восстановлении производства паровых насосов и химического оборудования на Свесском насосном заводе НКМВ. РГАНИР, Фонд ГКО, д. 249, лл. 180 (11012).</w:t>
      </w:r>
    </w:p>
    <w:p w14:paraId="7111AF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E9219D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Распоряжение ГКО № 5809 [О выделении НКлесу КФССР оборудования и подвижного состава узкой колеи.] (7227, 181).</w:t>
      </w:r>
    </w:p>
    <w:p w14:paraId="55F673A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C05F2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Постановление ГКО № 5810 Об организации конструкторского бюро по проектированию главных турбозубчатых агрегатов для кораблей Военно-Морского Флота при Харьковском турбогенераторном заводе им. Кирова Наркомтяжмаша. (7227, 182-183,184-187).</w:t>
      </w:r>
    </w:p>
    <w:p w14:paraId="710F5AE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1FDDF5" w14:textId="18CF0888"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г. в соответствии с пост. ГКО № 5810 при заводе (Русско-Балтийский электротехнический завод, Российская электрическая компания "Union", Российское АО «Всеобщая компания электричества "Union"», «Электросила-1», Харьковский электромеханический завод (ХЭМЗ) им. Сталина ВСНХ, НКТП, НКЭП, МЭТП, Харьковский электро-турбогенераторный завод (ХЭТЗ) НКМ, НПО «Электромеханический завод», ОАО «ХЭМЗ» /г. Рига;</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Харьков Чугуевское ш. (1935 г.); пр. Сталина, 199 (1939 г.)/ /Украина 310037</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Харьков Московский пр., 199/) было организовано КБ по проектированию главных турбозубчатых агрегатов (ГТЗА) для кораблей ВМФ.</w:t>
      </w:r>
    </w:p>
    <w:p w14:paraId="6292F2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(-01.1936 г.)- Шибакин (снят), (01.1936 г.-)- Ицхакин.</w:t>
      </w:r>
    </w:p>
    <w:p w14:paraId="3A5F5B5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директора (1936 г.-)- Девьятков (репрессирован), (1936 г.-)- Флаум.</w:t>
      </w:r>
    </w:p>
    <w:p w14:paraId="773EF3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Технический директор (-1937 г.)- Зак.</w:t>
      </w:r>
      <w:r w:rsidRPr="00070ADE">
        <w:rPr>
          <w:rFonts w:ascii="Times New Roman" w:hAnsi="Times New Roman"/>
          <w:color w:val="000000" w:themeColor="text1"/>
          <w:sz w:val="16"/>
          <w:szCs w:val="16"/>
          <w:vertAlign w:val="superscript"/>
        </w:rPr>
        <w:t>139</w:t>
      </w:r>
    </w:p>
    <w:p w14:paraId="452028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ГТЗА: для эсминцев пр. 7 (1930-е), для крейсеров пр. 26 «Ворошилов» (1936), пр. 26бис (1937) для линкоров пр. 23 (1938-40-) (11982).</w:t>
      </w:r>
    </w:p>
    <w:p w14:paraId="7DBAF3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82AA6E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Распоряжение ГКО № 5811 О финансировании восстановительных работ второй очереди на железнодорожном транспорте. (7227, 188-189,190-192).</w:t>
      </w:r>
    </w:p>
    <w:p w14:paraId="6751AD2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6D9F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Распоряжение ГКО № 5812. О мерах по обеспечению выполнения аварийно-восстановительных работ на комбинате "Южуралникель" НКЦМ. РГАНИР, Фонд ГКО, д. 249, лл. 193-194,195-196 (11012).</w:t>
      </w:r>
    </w:p>
    <w:p w14:paraId="5F8F600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A64E5E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Постановление ГКО № 5813 О выработке и поставке Наркомвнешторгу в 1944 г. лесоматериалов на экспорт. РГАНИР, Фонд ГКО, д. 249, лл. 197-199 (11012).</w:t>
      </w:r>
    </w:p>
    <w:p w14:paraId="2BD3DF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A20C84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Распоряжение ГКО № 5814. О вывозке трестом "Краснодарлес" НКлеса РСФСР древесины в 1944 г. и создании условий для удвоения плана в 1945 г. РГАНИР, Фонд ГКО, д. 249, лл. 200-201 (11012).</w:t>
      </w:r>
    </w:p>
    <w:p w14:paraId="56B0C5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696B5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Постановление ГКО № 5815 О мероприятиях по освоению древесины в районе реки Водлы и Онежского озера. РГАНИР, Фонд ГКО, д. 249, лл. 202-207 (11012).</w:t>
      </w:r>
    </w:p>
    <w:p w14:paraId="6EC245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DF5825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Постановление ГКО № 5815 О мероприятиях по освоению древесины в районе реки Водлы и Онежского озера. (7227, 202-207).</w:t>
      </w:r>
    </w:p>
    <w:p w14:paraId="3E96D3A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4335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Постановление ГКО № 5816 О неотложных мерах по восстановлению завода сельскохозяйственного машиностроения "Красная звезда" Наркомминвооружения в г. Кировограде. РГАНИР, Фонд ГКО, д. 249, лл. 208,209-214 (11012).</w:t>
      </w:r>
    </w:p>
    <w:p w14:paraId="1C6ACB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80CCBF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Постановление ГКО № 5818 О плане ремонта автомобилей народного хозяйства на 1944 г. (7228, 3-10,11-55).</w:t>
      </w:r>
    </w:p>
    <w:p w14:paraId="2DF9382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EC8C0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вышло Постановление ГКО № 5819 О передаче из КА в кожевенную промышленность НКЛП 254 автомашин с шоферами-женщинами. РГАНИР, Фонд ГКО, д. 250, лл. 56 (11012).</w:t>
      </w:r>
    </w:p>
    <w:p w14:paraId="29C400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F418AB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70748D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62E98A"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в 1944 году оперативная сводка Совинформбюро:</w:t>
      </w:r>
    </w:p>
    <w:p w14:paraId="67A623AE"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4 мая на фронтах существенных изменений не произошло.</w:t>
      </w:r>
    </w:p>
    <w:p w14:paraId="6BB3AE2A"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3 мая нашими войсками на всех фронтах подбито и уничтожено 47 немецких танков. В воздушных боях и огнём зенитной артиллерии сбито 24 самолёта противника.»</w:t>
      </w:r>
    </w:p>
    <w:p w14:paraId="672D66EF"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Удары нашей авиации по войскам и технике противника в районе Севастополя:</w:t>
      </w:r>
    </w:p>
    <w:p w14:paraId="53D2CB65"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4 мая крупные силы нашей авиации дальнего действия бомбардировали немецко-румынские войска, артиллерийские позиции и военные склады противника в районе Севастополя. Бомбоштурмовыми ударами нанесены тяжёлые потери живой силе противника. Севернее города подавлен огонь многих артиллерийских батарей. В районе военных складов и на железнодорожном узле возникло 10 очагов пожаров. Наблюдением отмечены многочисленные взрывы, из них два взрыва большой силы.</w:t>
      </w:r>
    </w:p>
    <w:p w14:paraId="58D1C319"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наши самолёты вернулись на свои аэродромы.»</w:t>
      </w:r>
    </w:p>
    <w:p w14:paraId="02367505"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утром группы пехоты противника на ряде участков пытались боем разведать позиции советских войск. Всюду немцы были встречены артиллерийско-миномётным и пулемётным огнём и рассеяны, не достигнув переднего края нашей обороны. Уничтожено две роты гитлеровцев. Во второй половине дня пехота и танки противника атаковали позиции Н-ской части. В результате упорной схватки немцы были отброшены на исходные позиции. На поле боя осталось до 400 вражеских трупов. Уничтожено 12 танков, 2 бронетранспортёра и 20 автомашин.</w:t>
      </w:r>
    </w:p>
    <w:p w14:paraId="7E33F99C"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лётчики бомбардировали скопления войск и боевой техники противника. В воздушных боях советские истребители сбили 13 немецких самолётов.</w:t>
      </w:r>
    </w:p>
    <w:p w14:paraId="2AFBC9BD"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Тирасполь разведывательный отряд противника пытался ночьюпроникнуть в расположение Н-ской части. Подразделение капитана Фоменко вовремя обнаружило вражеских разведчиков. Советские бойцы подпустили немцев на близкое расстояние, а затем открыли огонь из пулемётов и автоматов. Потеряв до 60 солдат убитыми и ранеными, противник поспешно отступил.</w:t>
      </w:r>
    </w:p>
    <w:p w14:paraId="18773001"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групп партизан, действующих в Львовской области, с 10 по 20 апреля пустили под откос 12 немецких воинских эшелонов. Кроме того, партизаны подорвали два поезда, которые немцы выслали для восстановления разрушенных путей. Под обломками вагонов погибло не менее 200 гитлеровцев. 22 апреля львовские партизаны заминировали железнодорожный мост. В результате взрыва мост рухнул вместе с проходившим по нему воинским эшелоном. Движение поездов на этом участке было прервано на пять суток.</w:t>
      </w:r>
    </w:p>
    <w:p w14:paraId="2F794FC2"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Одессы наши бойцы подобрали раненого командира 1 батальона 717 полка 153 немецкой резервной пехотной дивизии капитана Вилли Шульца. Пленный рассказал: «Вечером русские атаковали наши позиции. Атака была так стремительна,что мои подразделения не выдержали натиска и в замешательстве отступили. Впереди солдат бежали офицеры — командир 2 роты обер-лейтенант Грюн, командир 3 роты капитан Кротэ, командир 4 роты капитал Хемпель. Я был ранен в плечо и не мог подняться. Солдаты и офицеры видели, как я упал, но никто из них не оказал мне помощи. Каждый думал только о себе и спасался, как мог. Я прослужил 25 лет в немецкой армии, но никогда ещё не видел, чтобы офицеры и солдаты вели себя так трусливо. Они теперь, как огня, боятся окружения русских».</w:t>
      </w:r>
    </w:p>
    <w:p w14:paraId="5BF5A48F"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публикуется акт о зверствах немецко-фашистских мерзавцев в сёлах Туровецкого сельсовета, Коростышевского района, Житомирской области: «Захватив деревни Туровецкого сельсовета, немцы грабили мирных жителей и всячески издевались над ними. Немецкие власти установили чудовищные денежные и натуральные налоги. Каждый владелец коровы должен был сдавать всё полученное им молоко. У кого сохранилась курица, тот был обязан сдавать 200 яиц. Каждый фашистский сатрап грабил колхозников. Отступая, немцы сожгли сотни жилых домов, разрушили молочно-товарные фермы, ферму племенных тонкорунных овец, колхозные пасеки, поломали весь сельскохозяйственный инвентарь. Фашистские изверги расстреляли колхозника А.А.Канарского и его четырёх детей, учителя Богдана Войцеховского, Любу Стахивскую и других жителей. Много молодёжи гитлеровцы угнали на каторгу в Германию.</w:t>
      </w:r>
    </w:p>
    <w:p w14:paraId="79B6EF0B"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Освобождённые родной Красной Армией, советские люди сейчас вздохнули полной грудью. Они восстанавливают разрушенное немцами колхозное хозяйство и горят желанием помочь Красной Армии скорее добить немецко-фашистских мерзавцев».</w:t>
      </w:r>
    </w:p>
    <w:p w14:paraId="79FD64D1"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майор Монастырёв, председатель Туровецкого сельсовета Ратвинский, председатель колхоза Кушнар.» (14881).</w:t>
      </w:r>
    </w:p>
    <w:p w14:paraId="09118E74" w14:textId="77777777" w:rsidR="008B289D" w:rsidRPr="00070ADE" w:rsidRDefault="008B289D" w:rsidP="00B56F90">
      <w:pPr>
        <w:spacing w:after="0" w:line="240" w:lineRule="auto"/>
        <w:jc w:val="both"/>
        <w:rPr>
          <w:rFonts w:ascii="Times New Roman" w:hAnsi="Times New Roman"/>
          <w:color w:val="000000" w:themeColor="text1"/>
          <w:sz w:val="16"/>
          <w:szCs w:val="16"/>
        </w:rPr>
      </w:pPr>
    </w:p>
    <w:p w14:paraId="0192BA9B"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4 мая в 1944 году в ЦК ВКП(б) проходит совещание членов Военных советов фронтов, рассматривающее вопросы политического руководства войсками в связи с перенесением военных действий за рубежи СССР. Начальство обеспокоено тем, что "европейский капиталистический образ жизни может нарушить идеологическую девственность советского солдата" (14881).</w:t>
      </w:r>
    </w:p>
    <w:p w14:paraId="750D8434" w14:textId="77777777" w:rsidR="008B289D" w:rsidRPr="00070ADE" w:rsidRDefault="008B289D" w:rsidP="00B56F90">
      <w:pPr>
        <w:spacing w:after="0" w:line="240" w:lineRule="auto"/>
        <w:jc w:val="both"/>
        <w:rPr>
          <w:rFonts w:ascii="Times New Roman" w:hAnsi="Times New Roman"/>
          <w:color w:val="000000" w:themeColor="text1"/>
          <w:sz w:val="16"/>
          <w:szCs w:val="16"/>
        </w:rPr>
      </w:pPr>
    </w:p>
    <w:p w14:paraId="2295AC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приказом НКВД У войск по охране тыла стало У войск НКВД (И.М.Горбатюк) (3398,169).</w:t>
      </w:r>
    </w:p>
    <w:p w14:paraId="62F6B9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44CA7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201740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16D8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rPr>
        <w:t>4 мая 1944 г. Черчиль адресовал Идену вопрос, - может ли Великобритания мириться с "коммунизацией" Балкан и, возможно, даже Италии? Нет</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отвечалсамсебеЧерчиль</w:t>
      </w:r>
      <w:r w:rsidRPr="00070ADE">
        <w:rPr>
          <w:rFonts w:ascii="Times New Roman" w:hAnsi="Times New Roman"/>
          <w:color w:val="000000" w:themeColor="text1"/>
          <w:sz w:val="16"/>
          <w:szCs w:val="16"/>
          <w:lang w:val="en-US"/>
        </w:rPr>
        <w:t xml:space="preserve"> (3871).</w:t>
      </w:r>
    </w:p>
    <w:p w14:paraId="028F82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6820C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4th, 1944: The RAF carries out a night raid against Budapest (3819).</w:t>
      </w:r>
    </w:p>
    <w:p w14:paraId="563407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51DFB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Королевские ВВС совершили ночной налет на Будапешт (3819).</w:t>
      </w:r>
    </w:p>
    <w:p w14:paraId="0A579D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45EE3E"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в 1944 году правительство Великобритании предоставило заем гоминьдановскому правительству Китая на сумму 50 миллионов фунтов стерлингов (14881).</w:t>
      </w:r>
    </w:p>
    <w:p w14:paraId="3BD19D6F" w14:textId="77777777" w:rsidR="008B289D" w:rsidRPr="00070ADE" w:rsidRDefault="008B289D" w:rsidP="00B56F90">
      <w:pPr>
        <w:spacing w:after="0" w:line="240" w:lineRule="auto"/>
        <w:jc w:val="both"/>
        <w:rPr>
          <w:rFonts w:ascii="Times New Roman" w:hAnsi="Times New Roman"/>
          <w:color w:val="000000" w:themeColor="text1"/>
          <w:sz w:val="16"/>
          <w:szCs w:val="16"/>
        </w:rPr>
      </w:pPr>
    </w:p>
    <w:p w14:paraId="73918E2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мая 1944 в США отменены ограничения на торговлю мясом (4962).</w:t>
      </w:r>
    </w:p>
    <w:p w14:paraId="32075E6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BDBFE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D76FD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E7B4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1944 года А. Нудельман писал письмо</w:t>
      </w:r>
    </w:p>
    <w:p w14:paraId="5BF312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инженеру ВВС генерал-полковнику ИАС Репину А.К., Шахурину, УК ЦК ВКП(б) генерал-полковнику авиации Шиманову Н.С.</w:t>
      </w:r>
    </w:p>
    <w:p w14:paraId="1708EA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ОКБ-16 закончена работа по уменьшению усилия отдачи 37 мм авиапушки Нудельмана-Суранова. Усилие отдачи снижено почти вдвое, что дает возможность вести прицельный огонь из одной крыльевой пушки на самолете ИЛ-2, а также увеличивает число прицельных выстрелов в очереди при автоматической стрельбе.</w:t>
      </w:r>
    </w:p>
    <w:p w14:paraId="4C1DA4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Проведенная нами работа значительно расширяет область применения 37 мм пушки в авиации и ликвидирует недостатки отмеченные в отчете по войсковым испытаниям на самолете ИЛ-2.</w:t>
      </w:r>
    </w:p>
    <w:p w14:paraId="283A2B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дает возможность полностью восстановить производство самолетов ИЛ-2 с 37 мм авиапушками, а также увеличить выпуск самолетов ЯК-9Т (1821).</w:t>
      </w:r>
    </w:p>
    <w:p w14:paraId="5AB27D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0199F0" w14:textId="77777777" w:rsidR="0059136E" w:rsidRPr="00070ADE" w:rsidRDefault="0059136E" w:rsidP="00B56F90">
      <w:pPr>
        <w:pStyle w:val="121"/>
        <w:shd w:val="clear" w:color="auto" w:fill="auto"/>
        <w:spacing w:line="240" w:lineRule="auto"/>
        <w:jc w:val="both"/>
        <w:rPr>
          <w:rFonts w:ascii="Times New Roman" w:hAnsi="Times New Roman" w:cs="Times New Roman"/>
          <w:b w:val="0"/>
          <w:bCs w:val="0"/>
          <w:color w:val="000000" w:themeColor="text1"/>
          <w:sz w:val="16"/>
          <w:szCs w:val="16"/>
        </w:rPr>
      </w:pPr>
      <w:r w:rsidRPr="00070ADE">
        <w:rPr>
          <w:rStyle w:val="128pt100"/>
          <w:rFonts w:ascii="Times New Roman" w:hAnsi="Times New Roman" w:cs="Times New Roman"/>
          <w:b w:val="0"/>
          <w:bCs w:val="0"/>
          <w:i w:val="0"/>
          <w:iCs w:val="0"/>
          <w:color w:val="000000" w:themeColor="text1"/>
        </w:rPr>
        <w:t>5 мая 1944 на имя секре</w:t>
      </w:r>
      <w:r w:rsidRPr="00070ADE">
        <w:rPr>
          <w:rStyle w:val="128pt100"/>
          <w:rFonts w:ascii="Times New Roman" w:hAnsi="Times New Roman" w:cs="Times New Roman"/>
          <w:b w:val="0"/>
          <w:bCs w:val="0"/>
          <w:i w:val="0"/>
          <w:iCs w:val="0"/>
          <w:color w:val="000000" w:themeColor="text1"/>
        </w:rPr>
        <w:softHyphen/>
        <w:t>таря ЦК ВКП(б)</w:t>
      </w:r>
      <w:r w:rsidRPr="00070ADE">
        <w:rPr>
          <w:rFonts w:ascii="Times New Roman" w:hAnsi="Times New Roman" w:cs="Times New Roman"/>
          <w:b w:val="0"/>
          <w:bCs w:val="0"/>
          <w:color w:val="000000" w:themeColor="text1"/>
          <w:sz w:val="16"/>
          <w:szCs w:val="16"/>
        </w:rPr>
        <w:t xml:space="preserve"> «товарища Маленкова Г.М.»</w:t>
      </w:r>
      <w:r w:rsidRPr="00070ADE">
        <w:rPr>
          <w:rStyle w:val="128pt100"/>
          <w:rFonts w:ascii="Times New Roman" w:hAnsi="Times New Roman" w:cs="Times New Roman"/>
          <w:b w:val="0"/>
          <w:bCs w:val="0"/>
          <w:i w:val="0"/>
          <w:iCs w:val="0"/>
          <w:color w:val="000000" w:themeColor="text1"/>
        </w:rPr>
        <w:t xml:space="preserve"> (копия</w:t>
      </w:r>
      <w:r w:rsidRPr="00070ADE">
        <w:rPr>
          <w:rFonts w:ascii="Times New Roman" w:hAnsi="Times New Roman" w:cs="Times New Roman"/>
          <w:b w:val="0"/>
          <w:bCs w:val="0"/>
          <w:color w:val="000000" w:themeColor="text1"/>
          <w:sz w:val="16"/>
          <w:szCs w:val="16"/>
        </w:rPr>
        <w:t xml:space="preserve"> «товарищу ШахуринуА.И.») </w:t>
      </w:r>
      <w:r w:rsidRPr="00070ADE">
        <w:rPr>
          <w:rStyle w:val="128pt100"/>
          <w:rFonts w:ascii="Times New Roman" w:hAnsi="Times New Roman" w:cs="Times New Roman"/>
          <w:b w:val="0"/>
          <w:bCs w:val="0"/>
          <w:i w:val="0"/>
          <w:iCs w:val="0"/>
          <w:color w:val="000000" w:themeColor="text1"/>
        </w:rPr>
        <w:t>ушло письмо за подписью генерал-полковника Репина следующего содержа</w:t>
      </w:r>
      <w:r w:rsidRPr="00070ADE">
        <w:rPr>
          <w:rStyle w:val="128pt100"/>
          <w:rFonts w:ascii="Times New Roman" w:hAnsi="Times New Roman" w:cs="Times New Roman"/>
          <w:b w:val="0"/>
          <w:bCs w:val="0"/>
          <w:i w:val="0"/>
          <w:iCs w:val="0"/>
          <w:color w:val="000000" w:themeColor="text1"/>
        </w:rPr>
        <w:softHyphen/>
        <w:t>ния:</w:t>
      </w:r>
      <w:r w:rsidRPr="00070ADE">
        <w:rPr>
          <w:rFonts w:ascii="Times New Roman" w:hAnsi="Times New Roman" w:cs="Times New Roman"/>
          <w:b w:val="0"/>
          <w:bCs w:val="0"/>
          <w:color w:val="000000" w:themeColor="text1"/>
          <w:sz w:val="16"/>
          <w:szCs w:val="16"/>
        </w:rPr>
        <w:t xml:space="preserve"> «В НИИ ВВС Красной Армии выдержал государственные испытания двухмест</w:t>
      </w:r>
      <w:r w:rsidRPr="00070ADE">
        <w:rPr>
          <w:rFonts w:ascii="Times New Roman" w:hAnsi="Times New Roman" w:cs="Times New Roman"/>
          <w:b w:val="0"/>
          <w:bCs w:val="0"/>
          <w:color w:val="000000" w:themeColor="text1"/>
          <w:sz w:val="16"/>
          <w:szCs w:val="16"/>
        </w:rPr>
        <w:softHyphen/>
        <w:t>ный самолет Ил с мотором АМ-42, предъ</w:t>
      </w:r>
      <w:r w:rsidRPr="00070ADE">
        <w:rPr>
          <w:rFonts w:ascii="Times New Roman" w:hAnsi="Times New Roman" w:cs="Times New Roman"/>
          <w:b w:val="0"/>
          <w:bCs w:val="0"/>
          <w:color w:val="000000" w:themeColor="text1"/>
          <w:sz w:val="16"/>
          <w:szCs w:val="16"/>
        </w:rPr>
        <w:softHyphen/>
        <w:t>явленный Главным конструктором тов. Ильюшиным в вариантах бронированного штурмовика-бомбардировщика и развед</w:t>
      </w:r>
      <w:r w:rsidRPr="00070ADE">
        <w:rPr>
          <w:rFonts w:ascii="Times New Roman" w:hAnsi="Times New Roman" w:cs="Times New Roman"/>
          <w:b w:val="0"/>
          <w:bCs w:val="0"/>
          <w:color w:val="000000" w:themeColor="text1"/>
          <w:sz w:val="16"/>
          <w:szCs w:val="16"/>
        </w:rPr>
        <w:softHyphen/>
        <w:t>чика-корректировщика артиллерийского огня./.../Так как самолет Ил с АМ-42 по полученным летно-тактическим данным имеет явные преимущества, в сравне</w:t>
      </w:r>
      <w:r w:rsidRPr="00070ADE">
        <w:rPr>
          <w:rFonts w:ascii="Times New Roman" w:hAnsi="Times New Roman" w:cs="Times New Roman"/>
          <w:b w:val="0"/>
          <w:bCs w:val="0"/>
          <w:color w:val="000000" w:themeColor="text1"/>
          <w:sz w:val="16"/>
          <w:szCs w:val="16"/>
        </w:rPr>
        <w:softHyphen/>
        <w:t>нии с серийным самолетом Ил-2 с АМ-38ф, прошу Вас рассмотреть вопрос о немед</w:t>
      </w:r>
      <w:r w:rsidRPr="00070ADE">
        <w:rPr>
          <w:rFonts w:ascii="Times New Roman" w:hAnsi="Times New Roman" w:cs="Times New Roman"/>
          <w:b w:val="0"/>
          <w:bCs w:val="0"/>
          <w:color w:val="000000" w:themeColor="text1"/>
          <w:sz w:val="16"/>
          <w:szCs w:val="16"/>
        </w:rPr>
        <w:softHyphen/>
        <w:t>ленном запуске этого самолета в серий</w:t>
      </w:r>
      <w:r w:rsidRPr="00070ADE">
        <w:rPr>
          <w:rFonts w:ascii="Times New Roman" w:hAnsi="Times New Roman" w:cs="Times New Roman"/>
          <w:b w:val="0"/>
          <w:bCs w:val="0"/>
          <w:color w:val="000000" w:themeColor="text1"/>
          <w:sz w:val="16"/>
          <w:szCs w:val="16"/>
        </w:rPr>
        <w:softHyphen/>
        <w:t>ное производство на заводах №№1,18 и 30 и об изготовлении к 15 июля 30 само</w:t>
      </w:r>
      <w:r w:rsidRPr="00070ADE">
        <w:rPr>
          <w:rFonts w:ascii="Times New Roman" w:hAnsi="Times New Roman" w:cs="Times New Roman"/>
          <w:b w:val="0"/>
          <w:bCs w:val="0"/>
          <w:color w:val="000000" w:themeColor="text1"/>
          <w:sz w:val="16"/>
          <w:szCs w:val="16"/>
        </w:rPr>
        <w:softHyphen/>
        <w:t>летов в варианте штурмовика-бомбарди</w:t>
      </w:r>
      <w:r w:rsidRPr="00070ADE">
        <w:rPr>
          <w:rFonts w:ascii="Times New Roman" w:hAnsi="Times New Roman" w:cs="Times New Roman"/>
          <w:b w:val="0"/>
          <w:bCs w:val="0"/>
          <w:color w:val="000000" w:themeColor="text1"/>
          <w:sz w:val="16"/>
          <w:szCs w:val="16"/>
        </w:rPr>
        <w:softHyphen/>
        <w:t>ровщика и 10 самолетов в варианте раз</w:t>
      </w:r>
      <w:r w:rsidRPr="00070ADE">
        <w:rPr>
          <w:rFonts w:ascii="Times New Roman" w:hAnsi="Times New Roman" w:cs="Times New Roman"/>
          <w:b w:val="0"/>
          <w:bCs w:val="0"/>
          <w:color w:val="000000" w:themeColor="text1"/>
          <w:sz w:val="16"/>
          <w:szCs w:val="16"/>
        </w:rPr>
        <w:softHyphen/>
        <w:t>ведчика-корректировщика».</w:t>
      </w:r>
    </w:p>
    <w:p w14:paraId="0F7B4643" w14:textId="77777777" w:rsidR="0059136E" w:rsidRPr="00070ADE" w:rsidRDefault="005913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Реакции Маленкова на это обращение не последовало, но зато отреагировал ко</w:t>
      </w:r>
      <w:r w:rsidRPr="00070ADE">
        <w:rPr>
          <w:rFonts w:ascii="Times New Roman" w:hAnsi="Times New Roman"/>
          <w:color w:val="000000" w:themeColor="text1"/>
          <w:sz w:val="16"/>
          <w:szCs w:val="16"/>
        </w:rPr>
        <w:softHyphen/>
        <w:t>мандующий ВВС КА главный маршал ави</w:t>
      </w:r>
      <w:r w:rsidRPr="00070ADE">
        <w:rPr>
          <w:rFonts w:ascii="Times New Roman" w:hAnsi="Times New Roman"/>
          <w:color w:val="000000" w:themeColor="text1"/>
          <w:sz w:val="16"/>
          <w:szCs w:val="16"/>
        </w:rPr>
        <w:softHyphen/>
        <w:t>ации Новиков. Он «довел до сведения» генерала Репина, что прежде, чем ставить самолет в серийное производство необ</w:t>
      </w:r>
      <w:r w:rsidRPr="00070ADE">
        <w:rPr>
          <w:rFonts w:ascii="Times New Roman" w:hAnsi="Times New Roman"/>
          <w:color w:val="000000" w:themeColor="text1"/>
          <w:sz w:val="16"/>
          <w:szCs w:val="16"/>
        </w:rPr>
        <w:softHyphen/>
        <w:t>ходимо принять его на вооружение ВВС (19853).</w:t>
      </w:r>
    </w:p>
    <w:p w14:paraId="0743230E" w14:textId="77777777" w:rsidR="0059136E" w:rsidRPr="00070ADE" w:rsidRDefault="0059136E" w:rsidP="00B56F90">
      <w:pPr>
        <w:spacing w:after="0" w:line="240" w:lineRule="auto"/>
        <w:jc w:val="both"/>
        <w:rPr>
          <w:rFonts w:ascii="Times New Roman" w:hAnsi="Times New Roman"/>
          <w:color w:val="000000" w:themeColor="text1"/>
          <w:sz w:val="16"/>
          <w:szCs w:val="16"/>
          <w:lang w:val="ru"/>
        </w:rPr>
      </w:pPr>
    </w:p>
    <w:p w14:paraId="0C754B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1944 ГИ ВВС КА Репин писал письмо N 921546с (входящий 5992 от 8 мая) Г.М.М. и А.И.Ш.:</w:t>
      </w:r>
    </w:p>
    <w:p w14:paraId="0ADA47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НИИ ВВС КА выдержал гос. испытания двухместный самолет Ил с мотором АМ-42, предъявленный ГК С.В.И. в вариантах бронированного штурмовика-бомбардировщика и разведчика-корректировщика артиллерийского огня.</w:t>
      </w:r>
    </w:p>
    <w:p w14:paraId="72F3AD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имеет вооружение: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7053"/>
      </w:tblGrid>
      <w:tr w:rsidR="004D4663" w:rsidRPr="00070ADE" w14:paraId="5D586466" w14:textId="77777777">
        <w:tc>
          <w:tcPr>
            <w:tcW w:w="4219" w:type="dxa"/>
          </w:tcPr>
          <w:p w14:paraId="09547746" w14:textId="77777777" w:rsidR="00595BFB" w:rsidRPr="00070ADE" w:rsidRDefault="008B289D"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r w:rsidR="00595BFB" w:rsidRPr="00070ADE">
              <w:rPr>
                <w:rFonts w:ascii="Times New Roman" w:hAnsi="Times New Roman"/>
                <w:color w:val="000000" w:themeColor="text1"/>
                <w:sz w:val="16"/>
                <w:szCs w:val="16"/>
              </w:rPr>
              <w:t>перед</w:t>
            </w:r>
          </w:p>
        </w:tc>
        <w:tc>
          <w:tcPr>
            <w:tcW w:w="7053" w:type="dxa"/>
          </w:tcPr>
          <w:p w14:paraId="087075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крыльевых пушки ВЯ с боезапасом 300 патронов</w:t>
            </w:r>
          </w:p>
        </w:tc>
      </w:tr>
      <w:tr w:rsidR="004D4663" w:rsidRPr="00070ADE" w14:paraId="40F26E56" w14:textId="77777777">
        <w:tc>
          <w:tcPr>
            <w:tcW w:w="4219" w:type="dxa"/>
          </w:tcPr>
          <w:p w14:paraId="231080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53" w:type="dxa"/>
          </w:tcPr>
          <w:p w14:paraId="4B0CB1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крыльевых пулемета ШКАС с боезапасом 1500 патронов</w:t>
            </w:r>
          </w:p>
        </w:tc>
      </w:tr>
      <w:tr w:rsidR="004D4663" w:rsidRPr="00070ADE" w14:paraId="604C1598" w14:textId="77777777">
        <w:tc>
          <w:tcPr>
            <w:tcW w:w="4219" w:type="dxa"/>
          </w:tcPr>
          <w:p w14:paraId="2F7FAE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назад</w:t>
            </w:r>
          </w:p>
        </w:tc>
        <w:tc>
          <w:tcPr>
            <w:tcW w:w="7053" w:type="dxa"/>
          </w:tcPr>
          <w:p w14:paraId="506225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подвижной установке 1 пулемет калибра 12.7 мм с боезапасом 150 патронов.</w:t>
            </w:r>
          </w:p>
        </w:tc>
      </w:tr>
    </w:tbl>
    <w:p w14:paraId="61E547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Бомбовая нагрузка нормально 600 кг и при перегрузке 1000 кг.</w:t>
      </w:r>
    </w:p>
    <w:p w14:paraId="33F301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испытаниях самолета получено: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58AFD883" w14:textId="77777777">
        <w:tc>
          <w:tcPr>
            <w:tcW w:w="5636" w:type="dxa"/>
          </w:tcPr>
          <w:p w14:paraId="0C9945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 полетный вес</w:t>
            </w:r>
          </w:p>
        </w:tc>
        <w:tc>
          <w:tcPr>
            <w:tcW w:w="5636" w:type="dxa"/>
          </w:tcPr>
          <w:p w14:paraId="6F16CC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7260 кг</w:t>
            </w:r>
          </w:p>
        </w:tc>
      </w:tr>
      <w:tr w:rsidR="004D4663" w:rsidRPr="00070ADE" w14:paraId="1A504625" w14:textId="77777777">
        <w:tc>
          <w:tcPr>
            <w:tcW w:w="5636" w:type="dxa"/>
          </w:tcPr>
          <w:p w14:paraId="6D11F2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Запас горючего</w:t>
            </w:r>
          </w:p>
        </w:tc>
        <w:tc>
          <w:tcPr>
            <w:tcW w:w="5636" w:type="dxa"/>
          </w:tcPr>
          <w:p w14:paraId="648696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670 кг</w:t>
            </w:r>
          </w:p>
        </w:tc>
      </w:tr>
      <w:tr w:rsidR="004D4663" w:rsidRPr="00070ADE" w14:paraId="68B78BBE" w14:textId="77777777">
        <w:tc>
          <w:tcPr>
            <w:tcW w:w="5636" w:type="dxa"/>
          </w:tcPr>
          <w:p w14:paraId="149FA9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у земли</w:t>
            </w:r>
          </w:p>
        </w:tc>
        <w:tc>
          <w:tcPr>
            <w:tcW w:w="5636" w:type="dxa"/>
          </w:tcPr>
          <w:p w14:paraId="4C2CAB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428 км/час</w:t>
            </w:r>
          </w:p>
        </w:tc>
      </w:tr>
      <w:tr w:rsidR="004D4663" w:rsidRPr="00070ADE" w14:paraId="0F52D027" w14:textId="77777777">
        <w:tc>
          <w:tcPr>
            <w:tcW w:w="5636" w:type="dxa"/>
          </w:tcPr>
          <w:p w14:paraId="6478DA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гр. высотности</w:t>
            </w:r>
          </w:p>
        </w:tc>
        <w:tc>
          <w:tcPr>
            <w:tcW w:w="5636" w:type="dxa"/>
          </w:tcPr>
          <w:p w14:paraId="0B59CE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472 км/час</w:t>
            </w:r>
          </w:p>
        </w:tc>
      </w:tr>
      <w:tr w:rsidR="004D4663" w:rsidRPr="00070ADE" w14:paraId="0947D034" w14:textId="77777777">
        <w:tc>
          <w:tcPr>
            <w:tcW w:w="5636" w:type="dxa"/>
          </w:tcPr>
          <w:p w14:paraId="770813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1000 м</w:t>
            </w:r>
          </w:p>
        </w:tc>
        <w:tc>
          <w:tcPr>
            <w:tcW w:w="5636" w:type="dxa"/>
          </w:tcPr>
          <w:p w14:paraId="0BE5C8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2:35</w:t>
            </w:r>
          </w:p>
        </w:tc>
      </w:tr>
      <w:tr w:rsidR="004D4663" w:rsidRPr="00070ADE" w14:paraId="73DF11F8" w14:textId="77777777">
        <w:tc>
          <w:tcPr>
            <w:tcW w:w="5636" w:type="dxa"/>
          </w:tcPr>
          <w:p w14:paraId="230B08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w:t>
            </w:r>
          </w:p>
        </w:tc>
        <w:tc>
          <w:tcPr>
            <w:tcW w:w="5636" w:type="dxa"/>
          </w:tcPr>
          <w:p w14:paraId="793EA8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6400 м</w:t>
            </w:r>
          </w:p>
        </w:tc>
      </w:tr>
      <w:tr w:rsidR="004D4663" w:rsidRPr="00070ADE" w14:paraId="0517F2DB" w14:textId="77777777">
        <w:tc>
          <w:tcPr>
            <w:tcW w:w="5636" w:type="dxa"/>
          </w:tcPr>
          <w:p w14:paraId="4FC152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Длинна разбега с форсажем</w:t>
            </w:r>
          </w:p>
        </w:tc>
        <w:tc>
          <w:tcPr>
            <w:tcW w:w="5636" w:type="dxa"/>
          </w:tcPr>
          <w:p w14:paraId="467B59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435 м</w:t>
            </w:r>
          </w:p>
        </w:tc>
      </w:tr>
      <w:tr w:rsidR="004D4663" w:rsidRPr="00070ADE" w14:paraId="1C94A81A" w14:textId="77777777">
        <w:tc>
          <w:tcPr>
            <w:tcW w:w="5636" w:type="dxa"/>
          </w:tcPr>
          <w:p w14:paraId="02CC6C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Длинна взлетной дистанции до 25 м</w:t>
            </w:r>
          </w:p>
        </w:tc>
        <w:tc>
          <w:tcPr>
            <w:tcW w:w="5636" w:type="dxa"/>
          </w:tcPr>
          <w:p w14:paraId="775F42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1040 м</w:t>
            </w:r>
          </w:p>
        </w:tc>
      </w:tr>
      <w:tr w:rsidR="004D4663" w:rsidRPr="00070ADE" w14:paraId="568A6A53" w14:textId="77777777">
        <w:tc>
          <w:tcPr>
            <w:tcW w:w="5636" w:type="dxa"/>
          </w:tcPr>
          <w:p w14:paraId="0E019E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Посадочная скорость</w:t>
            </w:r>
          </w:p>
        </w:tc>
        <w:tc>
          <w:tcPr>
            <w:tcW w:w="5636" w:type="dxa"/>
          </w:tcPr>
          <w:p w14:paraId="6F1A14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136 км/час</w:t>
            </w:r>
          </w:p>
        </w:tc>
      </w:tr>
      <w:tr w:rsidR="004D4663" w:rsidRPr="00070ADE" w14:paraId="028BBAF0" w14:textId="77777777">
        <w:tc>
          <w:tcPr>
            <w:tcW w:w="5636" w:type="dxa"/>
          </w:tcPr>
          <w:p w14:paraId="171DD8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тех. дальность на 200 м</w:t>
            </w:r>
          </w:p>
        </w:tc>
        <w:tc>
          <w:tcPr>
            <w:tcW w:w="5636" w:type="dxa"/>
          </w:tcPr>
          <w:p w14:paraId="6F0A8B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BC6C054" w14:textId="77777777">
        <w:tc>
          <w:tcPr>
            <w:tcW w:w="5636" w:type="dxa"/>
          </w:tcPr>
          <w:p w14:paraId="458F49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скорости 290 км/час</w:t>
            </w:r>
          </w:p>
        </w:tc>
        <w:tc>
          <w:tcPr>
            <w:tcW w:w="5636" w:type="dxa"/>
          </w:tcPr>
          <w:p w14:paraId="250B40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835 км</w:t>
            </w:r>
          </w:p>
        </w:tc>
      </w:tr>
    </w:tbl>
    <w:p w14:paraId="52CD36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данном самолете, в отличие от серийных самолетов, стрелок имеет полную броневую защиту снизу, с боков, сзади, а водо и маслорадиаторы помещены в общем туннеле, заключенном в бронекорпус.</w:t>
      </w:r>
    </w:p>
    <w:p w14:paraId="25B09A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 это 2 экз. Ил-8</w:t>
      </w:r>
    </w:p>
    <w:p w14:paraId="03159E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Установленная на самолете новая подвижная установка стрелка ВУ-8 имеет, в сравнении с серийной установкой ВУБ-3, увеличенные углы обстрела, улучшает условия работы стрелка и обеспечивает более надежную работу пулемета.</w:t>
      </w:r>
    </w:p>
    <w:p w14:paraId="6F68F6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Улучшение продольной устойчивости самолета и управляемости позволяет допускать л с серийных самолетов Ил-2 с АМ-38Ф к полетам на самолете Ил с АМ-42 без дополнительной летной тренировки.</w:t>
      </w:r>
    </w:p>
    <w:p w14:paraId="28B262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Предъявленный на самолете объем специального оборудования соответствует его назначению, как корректировщика-разведчика и ш-б.</w:t>
      </w:r>
    </w:p>
    <w:p w14:paraId="5E7012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апреля 1944 в г. Куйбышеве на заводе 24 прошел удовлетворительно 100 час. гос. испытания мотор АМ-42.</w:t>
      </w:r>
    </w:p>
    <w:p w14:paraId="0C85B6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как самолет Ил с АМ-42 по полученным ЛТД имеет явные преимущества, в сравнении с серийным самолетом Ил-2 с АМ-38Ф, прошу Вас рассмотреть вопрос о немедленном запуске этого самолета в серийное производство на заводах 1, 18, 30 и об изготовлении к 15 июля 30 самолетов в варианте ш-б и 10 самолетов в варианте р-к." (1817,30).</w:t>
      </w:r>
    </w:p>
    <w:p w14:paraId="00A79A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CBBF54" w14:textId="6631EFB2"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1944 на имя секретаря ЦК ВКП (б) «товарища Маленкова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(и «товарищу Шахурину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 ушло письмо за подписью генерал-полковника 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Репина следующего содержания: «В НИИ ВВС Красной Армии выдержал государственные испытания двухместный самолет Ил с мотором АМ-42, предъявленный Главным конструктором тов. Ильюшиным в вариантах бронированного штурмовика-бомбардировщика и разведчика-корректировщика артиллерийского огня./…/Так как самолет Ил с АМ-42 по полученным летно-тактическим данным имеет явные преимущества, в сравнении с серийным самолетом Ил-2 с АМ-38ф, прошу Вас рассмотреть вопрос о немедленном запуске этого самолета в серийное производство на заводах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18 и 30 и об изготовлении к 15 июля 30 самолетов в варианте штурмовика-бомбардировщика и 10 самолетов в варианте разведчика-корректировщика».</w:t>
      </w:r>
    </w:p>
    <w:p w14:paraId="7B77BE5F" w14:textId="1EC64861"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Реакции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Маленкова на это обращение не последовало, но зато отреагировал командующий ВВС КА главный маршал авиации 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Новиков. Он объяснил генералу Репину, что прежде, чем ставить самолет в серийное производство, необходимо принять его на вооружение ВВС (17490).</w:t>
      </w:r>
    </w:p>
    <w:p w14:paraId="3BCF4B68" w14:textId="77777777" w:rsidR="00962976" w:rsidRPr="00070ADE" w:rsidRDefault="00962976" w:rsidP="00B56F90">
      <w:pPr>
        <w:spacing w:after="0" w:line="240" w:lineRule="auto"/>
        <w:jc w:val="both"/>
        <w:rPr>
          <w:rFonts w:ascii="Times New Roman" w:eastAsia="Times New Roman" w:hAnsi="Times New Roman"/>
          <w:color w:val="000000" w:themeColor="text1"/>
          <w:sz w:val="16"/>
          <w:szCs w:val="16"/>
          <w:lang w:eastAsia="ru-RU"/>
        </w:rPr>
      </w:pPr>
    </w:p>
    <w:p w14:paraId="1A8CA9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1944 С.П.К. завершил подготовку «Предварительного аэродинамического расчета высотного истребителя "Ла-5" с реактивной установкой с РД-1. Часть II. Определение летных характеристик при полетах выше винтомоторного потолка» (ААН, р. 4, оп. 17, № 111) (10676).</w:t>
      </w:r>
    </w:p>
    <w:p w14:paraId="2144E4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B0842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 5 мая по 5 сентября 1944 года опытные анероиды автомата сме</w:t>
      </w:r>
      <w:r w:rsidRPr="00070ADE">
        <w:rPr>
          <w:rFonts w:ascii="Times New Roman" w:hAnsi="Times New Roman"/>
          <w:color w:val="000000" w:themeColor="text1"/>
          <w:sz w:val="16"/>
          <w:szCs w:val="16"/>
        </w:rPr>
        <w:softHyphen/>
        <w:t>си РС-2 (малогабаритные и равновысотные), которые были установлены вместо се</w:t>
      </w:r>
      <w:r w:rsidRPr="00070ADE">
        <w:rPr>
          <w:rFonts w:ascii="Times New Roman" w:hAnsi="Times New Roman"/>
          <w:color w:val="000000" w:themeColor="text1"/>
          <w:sz w:val="16"/>
          <w:szCs w:val="16"/>
        </w:rPr>
        <w:softHyphen/>
        <w:t>рийных на самолетах Ла-5 с АШ-82ФН, прошли войсковые испыта</w:t>
      </w:r>
      <w:r w:rsidRPr="00070ADE">
        <w:rPr>
          <w:rFonts w:ascii="Times New Roman" w:hAnsi="Times New Roman"/>
          <w:color w:val="000000" w:themeColor="text1"/>
          <w:sz w:val="16"/>
          <w:szCs w:val="16"/>
        </w:rPr>
        <w:softHyphen/>
        <w:t>ния в условиях учебно-боевой и бо</w:t>
      </w:r>
      <w:r w:rsidRPr="00070ADE">
        <w:rPr>
          <w:rFonts w:ascii="Times New Roman" w:hAnsi="Times New Roman"/>
          <w:color w:val="000000" w:themeColor="text1"/>
          <w:sz w:val="16"/>
          <w:szCs w:val="16"/>
        </w:rPr>
        <w:softHyphen/>
        <w:t>евой работы 161 и 609 ИАП 330 Островской ИАД 14 ВА на 3-м При</w:t>
      </w:r>
      <w:r w:rsidRPr="00070ADE">
        <w:rPr>
          <w:rFonts w:ascii="Times New Roman" w:hAnsi="Times New Roman"/>
          <w:color w:val="000000" w:themeColor="text1"/>
          <w:sz w:val="16"/>
          <w:szCs w:val="16"/>
        </w:rPr>
        <w:softHyphen/>
        <w:t>балтийском фронте. В процессе испытаний моторы ра</w:t>
      </w:r>
      <w:r w:rsidRPr="00070ADE">
        <w:rPr>
          <w:rFonts w:ascii="Times New Roman" w:hAnsi="Times New Roman"/>
          <w:color w:val="000000" w:themeColor="text1"/>
          <w:sz w:val="16"/>
          <w:szCs w:val="16"/>
        </w:rPr>
        <w:softHyphen/>
        <w:t>ботали на всех режимах от крейсер</w:t>
      </w:r>
      <w:r w:rsidRPr="00070ADE">
        <w:rPr>
          <w:rFonts w:ascii="Times New Roman" w:hAnsi="Times New Roman"/>
          <w:color w:val="000000" w:themeColor="text1"/>
          <w:sz w:val="16"/>
          <w:szCs w:val="16"/>
        </w:rPr>
        <w:softHyphen/>
        <w:t>ских до форсажа включительно на 1-й скорости нагнетателя. Всего за вре</w:t>
      </w:r>
      <w:r w:rsidRPr="00070ADE">
        <w:rPr>
          <w:rFonts w:ascii="Times New Roman" w:hAnsi="Times New Roman"/>
          <w:color w:val="000000" w:themeColor="text1"/>
          <w:sz w:val="16"/>
          <w:szCs w:val="16"/>
        </w:rPr>
        <w:softHyphen/>
        <w:t>мя испытаний самолеты, оборудован</w:t>
      </w:r>
      <w:r w:rsidRPr="00070ADE">
        <w:rPr>
          <w:rFonts w:ascii="Times New Roman" w:hAnsi="Times New Roman"/>
          <w:color w:val="000000" w:themeColor="text1"/>
          <w:sz w:val="16"/>
          <w:szCs w:val="16"/>
        </w:rPr>
        <w:softHyphen/>
        <w:t>ные опытными анероидами автомата РС-2, совершили 1620 полетов, из них с малогабаритными анероидами -772, с равновысотными анероидами - 848 полетов. Малогабаритные анероиды из бериллиевой бронзы в процессе испы</w:t>
      </w:r>
      <w:r w:rsidRPr="00070ADE">
        <w:rPr>
          <w:rFonts w:ascii="Times New Roman" w:hAnsi="Times New Roman"/>
          <w:color w:val="000000" w:themeColor="text1"/>
          <w:sz w:val="16"/>
          <w:szCs w:val="16"/>
        </w:rPr>
        <w:softHyphen/>
        <w:t>таний обеспечивали стабильный рас</w:t>
      </w:r>
      <w:r w:rsidRPr="00070ADE">
        <w:rPr>
          <w:rFonts w:ascii="Times New Roman" w:hAnsi="Times New Roman"/>
          <w:color w:val="000000" w:themeColor="text1"/>
          <w:sz w:val="16"/>
          <w:szCs w:val="16"/>
        </w:rPr>
        <w:softHyphen/>
        <w:t>ход топлива и признаков усадки не имели. В конце испытаний на 11-ти самолетах были сняты комплекты ане</w:t>
      </w:r>
      <w:r w:rsidRPr="00070ADE">
        <w:rPr>
          <w:rFonts w:ascii="Times New Roman" w:hAnsi="Times New Roman"/>
          <w:color w:val="000000" w:themeColor="text1"/>
          <w:sz w:val="16"/>
          <w:szCs w:val="16"/>
        </w:rPr>
        <w:softHyphen/>
        <w:t>роидов для осмотра их и обмера после испытаний. Высота каждого из трех газонаполненных анероидов после 37-70 часов работы осталась практи</w:t>
      </w:r>
      <w:r w:rsidRPr="00070ADE">
        <w:rPr>
          <w:rFonts w:ascii="Times New Roman" w:hAnsi="Times New Roman"/>
          <w:color w:val="000000" w:themeColor="text1"/>
          <w:sz w:val="16"/>
          <w:szCs w:val="16"/>
        </w:rPr>
        <w:softHyphen/>
        <w:t>чески без изменения (отклонения в пределах 0,05 мм - в пределах точ</w:t>
      </w:r>
      <w:r w:rsidRPr="00070ADE">
        <w:rPr>
          <w:rFonts w:ascii="Times New Roman" w:hAnsi="Times New Roman"/>
          <w:color w:val="000000" w:themeColor="text1"/>
          <w:sz w:val="16"/>
          <w:szCs w:val="16"/>
        </w:rPr>
        <w:softHyphen/>
        <w:t>ности). Незначительная подрегулиров</w:t>
      </w:r>
      <w:r w:rsidRPr="00070ADE">
        <w:rPr>
          <w:rFonts w:ascii="Times New Roman" w:hAnsi="Times New Roman"/>
          <w:color w:val="000000" w:themeColor="text1"/>
          <w:sz w:val="16"/>
          <w:szCs w:val="16"/>
        </w:rPr>
        <w:softHyphen/>
        <w:t>ка состава смеси, имевшая место в процессе испытаний малогабаритных анероидов, была вызвана в основном неточной первоначальной регулиров</w:t>
      </w:r>
      <w:r w:rsidRPr="00070ADE">
        <w:rPr>
          <w:rFonts w:ascii="Times New Roman" w:hAnsi="Times New Roman"/>
          <w:color w:val="000000" w:themeColor="text1"/>
          <w:sz w:val="16"/>
          <w:szCs w:val="16"/>
        </w:rPr>
        <w:softHyphen/>
        <w:t>кой. Малогабаритные анероиды обес</w:t>
      </w:r>
      <w:r w:rsidRPr="00070ADE">
        <w:rPr>
          <w:rFonts w:ascii="Times New Roman" w:hAnsi="Times New Roman"/>
          <w:color w:val="000000" w:themeColor="text1"/>
          <w:sz w:val="16"/>
          <w:szCs w:val="16"/>
        </w:rPr>
        <w:softHyphen/>
        <w:t>печили нормальную работу моторов АШ-82ФН на 1-й скорости нагнета</w:t>
      </w:r>
      <w:r w:rsidRPr="00070ADE">
        <w:rPr>
          <w:rFonts w:ascii="Times New Roman" w:hAnsi="Times New Roman"/>
          <w:color w:val="000000" w:themeColor="text1"/>
          <w:sz w:val="16"/>
          <w:szCs w:val="16"/>
        </w:rPr>
        <w:softHyphen/>
        <w:t>теля на всех режимах от малого газа до форсажа включительно как на земле, так и в воздухе при горизонтальном полете и при различных эволюциях самолета (виражи, боевые развороты, пикирование, планирование и т.п.). Во время учебно-боевой подготовки было произведено до 15 полетов на 2-й скорости нагнетателя до высоты 6000-7000 м. По заявлению летчиков, от</w:t>
      </w:r>
      <w:r w:rsidRPr="00070ADE">
        <w:rPr>
          <w:rFonts w:ascii="Times New Roman" w:hAnsi="Times New Roman"/>
          <w:color w:val="000000" w:themeColor="text1"/>
          <w:sz w:val="16"/>
          <w:szCs w:val="16"/>
        </w:rPr>
        <w:softHyphen/>
        <w:t>клонений от нормальной работы мо</w:t>
      </w:r>
      <w:r w:rsidRPr="00070ADE">
        <w:rPr>
          <w:rFonts w:ascii="Times New Roman" w:hAnsi="Times New Roman"/>
          <w:color w:val="000000" w:themeColor="text1"/>
          <w:sz w:val="16"/>
          <w:szCs w:val="16"/>
        </w:rPr>
        <w:softHyphen/>
        <w:t>торов как в момент переключения скоростей, так и при работе на 2-й скорости нагнетателя с малогабарит</w:t>
      </w:r>
      <w:r w:rsidRPr="00070ADE">
        <w:rPr>
          <w:rFonts w:ascii="Times New Roman" w:hAnsi="Times New Roman"/>
          <w:color w:val="000000" w:themeColor="text1"/>
          <w:sz w:val="16"/>
          <w:szCs w:val="16"/>
        </w:rPr>
        <w:softHyphen/>
        <w:t>ными анероидами не наблюдалось. Равновысотные анероиды из фос</w:t>
      </w:r>
      <w:r w:rsidRPr="00070ADE">
        <w:rPr>
          <w:rFonts w:ascii="Times New Roman" w:hAnsi="Times New Roman"/>
          <w:color w:val="000000" w:themeColor="text1"/>
          <w:sz w:val="16"/>
          <w:szCs w:val="16"/>
        </w:rPr>
        <w:softHyphen/>
        <w:t>фористой бронзы в процессе испы</w:t>
      </w:r>
      <w:r w:rsidRPr="00070ADE">
        <w:rPr>
          <w:rFonts w:ascii="Times New Roman" w:hAnsi="Times New Roman"/>
          <w:color w:val="000000" w:themeColor="text1"/>
          <w:sz w:val="16"/>
          <w:szCs w:val="16"/>
        </w:rPr>
        <w:softHyphen/>
        <w:t>таний не обеспечивали стабильного расхода топлива. 6 комплектов рав-новысотных анероидов были сняты с испытаний из-за резкого забогаще-ния смеси после 5 ч 20 мин - 52 ч 20 мин работы. Обмер высоты и про</w:t>
      </w:r>
      <w:r w:rsidRPr="00070ADE">
        <w:rPr>
          <w:rFonts w:ascii="Times New Roman" w:hAnsi="Times New Roman"/>
          <w:color w:val="000000" w:themeColor="text1"/>
          <w:sz w:val="16"/>
          <w:szCs w:val="16"/>
        </w:rPr>
        <w:softHyphen/>
        <w:t>верка усадки снятых анероидов на заводе №133 показали, что все они имеют усадку от 0,43 до 1,5 мм на комплект. Таким образом, малогабаритные анероиды решили проблему неста</w:t>
      </w:r>
      <w:r w:rsidRPr="00070ADE">
        <w:rPr>
          <w:rFonts w:ascii="Times New Roman" w:hAnsi="Times New Roman"/>
          <w:color w:val="000000" w:themeColor="text1"/>
          <w:sz w:val="16"/>
          <w:szCs w:val="16"/>
        </w:rPr>
        <w:softHyphen/>
        <w:t>бильной работы регулятора РС-2. Кроме того, завод №296 переконст</w:t>
      </w:r>
      <w:r w:rsidRPr="00070ADE">
        <w:rPr>
          <w:rFonts w:ascii="Times New Roman" w:hAnsi="Times New Roman"/>
          <w:color w:val="000000" w:themeColor="text1"/>
          <w:sz w:val="16"/>
          <w:szCs w:val="16"/>
        </w:rPr>
        <w:softHyphen/>
        <w:t>руировал установку РС-2 на насосе, выпустив его улучшенный вариант НБ-ЗФА. Вибрационные нагрузки на ане</w:t>
      </w:r>
      <w:r w:rsidRPr="00070ADE">
        <w:rPr>
          <w:rFonts w:ascii="Times New Roman" w:hAnsi="Times New Roman"/>
          <w:color w:val="000000" w:themeColor="text1"/>
          <w:sz w:val="16"/>
          <w:szCs w:val="16"/>
        </w:rPr>
        <w:softHyphen/>
        <w:t>роиды были существенно снижены (10714).</w:t>
      </w:r>
    </w:p>
    <w:p w14:paraId="36EF4E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9444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5 мая по 14 июня 1944 проводились гос. испытания Ла-5 в двухместном варианте УТИ с АШ-82Ф и винтом ВИШ-105В (серийного N 37210813 21 завода, модифицированного ПАМ-30 1-й ВА. Выполнили 17 полетов и налетали 3 час. 50 минут. Не выдержал (763,2).</w:t>
      </w:r>
    </w:p>
    <w:p w14:paraId="742590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71EE38"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5 по 14 мая 1944 года в НИИ ВВС прошли государственные испытания Ла-5УТИ, переделанного из Ла-5Ф с/н 37210813. Все работы по переоборудованию были выполнены 30-й авиаремонтной мастерской 1-ой Воздушной Армии. Правда, их результаты тоже признали неудовлетворительными. Таким образом, двухместные учебные Ла-5 не получили широкого распространения и использовались прежде всего в запасных полках, занимавшихся переучиванием пилотов. Основные центры подготовки располагались в Моршанске, Арзамасе и Сеймеуда, куда новые Ла-5 перегонялись заводскими пилотами. Среди боевых подразделений наибольшим количеством Ла-5УТИ, по-видимому, располагала 1-я чехословацкая смешанная авиадивизия, имевшая четыре таких самолета (то есть 14 % от числа построенных), которые использовались для обучения пилотов (23547).</w:t>
      </w:r>
    </w:p>
    <w:p w14:paraId="63CCB2AF" w14:textId="77777777" w:rsidR="001D733C" w:rsidRPr="00070ADE" w:rsidRDefault="001D733C" w:rsidP="00B56F90">
      <w:pPr>
        <w:spacing w:after="0" w:line="240" w:lineRule="auto"/>
        <w:jc w:val="both"/>
        <w:rPr>
          <w:rFonts w:ascii="Times New Roman" w:hAnsi="Times New Roman"/>
          <w:color w:val="000000" w:themeColor="text1"/>
          <w:sz w:val="16"/>
          <w:szCs w:val="16"/>
        </w:rPr>
      </w:pPr>
    </w:p>
    <w:p w14:paraId="60363AA6" w14:textId="77777777" w:rsidR="00DF7C94" w:rsidRPr="00070ADE" w:rsidRDefault="00DF7C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5 мая в 1944 году проведен первый полет опытного стратосферного перехватчика </w:t>
      </w:r>
      <w:hyperlink r:id="rId116" w:tgtFrame="_blank" w:history="1">
        <w:r w:rsidRPr="00070ADE">
          <w:rPr>
            <w:rFonts w:ascii="Times New Roman" w:hAnsi="Times New Roman"/>
            <w:color w:val="000000" w:themeColor="text1"/>
            <w:sz w:val="16"/>
            <w:szCs w:val="16"/>
          </w:rPr>
          <w:t xml:space="preserve">«И-222», </w:t>
        </w:r>
      </w:hyperlink>
      <w:r w:rsidRPr="00070ADE">
        <w:rPr>
          <w:rFonts w:ascii="Times New Roman" w:hAnsi="Times New Roman"/>
          <w:color w:val="000000" w:themeColor="text1"/>
          <w:sz w:val="16"/>
          <w:szCs w:val="16"/>
        </w:rPr>
        <w:t>созданного в ОКБ «МиГ», самолет пилотировал летчик-испытатель А.И.Жуков (14882).</w:t>
      </w:r>
    </w:p>
    <w:p w14:paraId="1B74EF10" w14:textId="77777777" w:rsidR="00DF7C94" w:rsidRPr="00070ADE" w:rsidRDefault="00DF7C94" w:rsidP="00B56F90">
      <w:pPr>
        <w:spacing w:after="0" w:line="240" w:lineRule="auto"/>
        <w:jc w:val="both"/>
        <w:rPr>
          <w:rFonts w:ascii="Times New Roman" w:hAnsi="Times New Roman"/>
          <w:color w:val="000000" w:themeColor="text1"/>
          <w:sz w:val="16"/>
          <w:szCs w:val="16"/>
        </w:rPr>
      </w:pPr>
    </w:p>
    <w:p w14:paraId="7003FC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1944 г. «провалил» контрольные ис</w:t>
      </w:r>
      <w:r w:rsidRPr="00070ADE">
        <w:rPr>
          <w:rFonts w:ascii="Times New Roman" w:hAnsi="Times New Roman"/>
          <w:color w:val="000000" w:themeColor="text1"/>
          <w:sz w:val="16"/>
          <w:szCs w:val="16"/>
        </w:rPr>
        <w:softHyphen/>
        <w:t>пытания Ла-5УТИ, переделанный из серийного № 37210813 в 30-х полевых авиаремонтных мастер</w:t>
      </w:r>
      <w:r w:rsidRPr="00070ADE">
        <w:rPr>
          <w:rFonts w:ascii="Times New Roman" w:hAnsi="Times New Roman"/>
          <w:color w:val="000000" w:themeColor="text1"/>
          <w:sz w:val="16"/>
          <w:szCs w:val="16"/>
        </w:rPr>
        <w:softHyphen/>
        <w:t>ских 1-й воздушной армии. Лишь установка центро</w:t>
      </w:r>
      <w:r w:rsidRPr="00070ADE">
        <w:rPr>
          <w:rFonts w:ascii="Times New Roman" w:hAnsi="Times New Roman"/>
          <w:color w:val="000000" w:themeColor="text1"/>
          <w:sz w:val="16"/>
          <w:szCs w:val="16"/>
        </w:rPr>
        <w:softHyphen/>
        <w:t>вочных грузов и контрбалансира (пружины, создавав</w:t>
      </w:r>
      <w:r w:rsidRPr="00070ADE">
        <w:rPr>
          <w:rFonts w:ascii="Times New Roman" w:hAnsi="Times New Roman"/>
          <w:color w:val="000000" w:themeColor="text1"/>
          <w:sz w:val="16"/>
          <w:szCs w:val="16"/>
        </w:rPr>
        <w:softHyphen/>
        <w:t>шей дополнительную нагрузку на ручку управления) позволила обеспечить безопасную эксплуатацию это</w:t>
      </w:r>
      <w:r w:rsidRPr="00070ADE">
        <w:rPr>
          <w:rFonts w:ascii="Times New Roman" w:hAnsi="Times New Roman"/>
          <w:color w:val="000000" w:themeColor="text1"/>
          <w:sz w:val="16"/>
          <w:szCs w:val="16"/>
        </w:rPr>
        <w:softHyphen/>
        <w:t>го необходимого для ВВС самолета. Что же касается эффективности вертикального оперения, то и Ла-5 не был идеально устойчивым по курсу... В целом, Ла-5УТИ сдали мало, в основном переделывали при</w:t>
      </w:r>
      <w:r w:rsidRPr="00070ADE">
        <w:rPr>
          <w:rFonts w:ascii="Times New Roman" w:hAnsi="Times New Roman"/>
          <w:color w:val="000000" w:themeColor="text1"/>
          <w:sz w:val="16"/>
          <w:szCs w:val="16"/>
        </w:rPr>
        <w:softHyphen/>
        <w:t>ходившие на ремонт самолеты всех основных моди</w:t>
      </w:r>
      <w:r w:rsidRPr="00070ADE">
        <w:rPr>
          <w:rFonts w:ascii="Times New Roman" w:hAnsi="Times New Roman"/>
          <w:color w:val="000000" w:themeColor="text1"/>
          <w:sz w:val="16"/>
          <w:szCs w:val="16"/>
        </w:rPr>
        <w:softHyphen/>
        <w:t>фикаций, выбирая самые изношенные (11123).</w:t>
      </w:r>
    </w:p>
    <w:p w14:paraId="6407E7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5B1E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1944 года Шахурину была подготовлена Докладная записка по вопросу высотности моторов и самолетов.</w:t>
      </w:r>
    </w:p>
    <w:p w14:paraId="28BCC5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Проверкой выполнения Ваших приказов по увеличению высотности моторов и моторных агрегатов для высотных самолетов специального назначения Ла-5, Як-9 м Миг установлено следующее:</w:t>
      </w:r>
    </w:p>
    <w:p w14:paraId="6CFA53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 самолету Як-9 с мотором М-105ПД.</w:t>
      </w:r>
    </w:p>
    <w:p w14:paraId="5A64200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ЦИАМ"е были изготовлены досрочно 7 моторов М-105 ПД с высотностью 6100 м для ПВО Москвы. Никаких претензий к работе моторов со стороны командования 12 ГАП ПВО, эксплуатирующих эти моторы, не предъявлялось.</w:t>
      </w:r>
    </w:p>
    <w:p w14:paraId="4E2DF4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завод N 115 были поданы два мотора М-105ПД с высотностью в 9500 м с водо-воздушными радиаторами, которые заводом N 115, из-за отсутствия самолетов, не были использованы и возвращены в ЦИАМ в апреле 1944 года.</w:t>
      </w:r>
    </w:p>
    <w:p w14:paraId="541BF0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для предварительной летной отработки заводу N 115 был подан мотор М-105ПД с высотностью в 9500 м без водо-воздушных радиаторов, который на самолете Як-9 N 29 проходил летные испытания в ЛИИ НКАП.</w:t>
      </w:r>
    </w:p>
    <w:p w14:paraId="4EE1F0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отчету ЛИИ НКАП (N 647с от Х.43 г.), самолет с этим мотором достиг высоты 13000 м. Никаких дефектов по мотору М-105 ПД отмечено не было, помимо рекомендаций по проверке впрыска воды для охлаждения воздуха на всасывании, что и было проведено ЦИАМ"ом в январе 1944 года.</w:t>
      </w:r>
    </w:p>
    <w:p w14:paraId="4CD1D6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сравнении с иностранными высотными моторами подобного класса: "Мерлин" 61, 63, 73, 76 и др. имеющих высотность не выше 7800 м и "Аллисон Е-11", имеющего высотность 6850 м - мотор М-105ПД имеет преимущество по достигнутой высоте.</w:t>
      </w:r>
    </w:p>
    <w:p w14:paraId="292A2F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несмотря на это, самолет Як-9 с мотором М-105 ПД значительно уступает высотному истребителю "Спитфайр" с мотором Мерлин-61, имеющему высотность 15000 м.</w:t>
      </w:r>
    </w:p>
    <w:p w14:paraId="526717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нашему мнению, дальнейшее увеличение высотности, самолета Як-9 не может быть получено только за счет мотора, вследствие больших удельных нагрузок на м кв. несущей поверхности крыльев (160 кг/м кв.), как на истребителе "Спитфайр" эта нагрузка не превышает 132 кг/м кв., и отсутствием специального высотного винта.</w:t>
      </w:r>
    </w:p>
    <w:p w14:paraId="5802AB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Этим объясняется то обстоятельство, что несмотря на увеличение высотности мотора М-105ПД с 6100 м до 9500 м - на 3400 м, высотность самолета Як-9 поднялась с 11800 м до 13000 м, т.е. всего на 1200 м.</w:t>
      </w:r>
    </w:p>
    <w:p w14:paraId="798573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 самолету Ла-5 с моторами АШ-82ФН с ТК-3.</w:t>
      </w:r>
    </w:p>
    <w:p w14:paraId="0FBDE5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соответствие с Вашим приказом N 523с от 31/VIII-43 года на завод N 21 ЦИАМ"ом были поданы три комплекта ТК-3 раньше установленных Вами сроков.</w:t>
      </w:r>
    </w:p>
    <w:p w14:paraId="032010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были отработаны высотные агрегаты питания и зажигания мотора АШ-82ФН.</w:t>
      </w:r>
    </w:p>
    <w:p w14:paraId="001E7B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обеспечения летных испытаний на завод N 21 с января 1943 года была прикомандирована бригада ЦИАМ.</w:t>
      </w:r>
    </w:p>
    <w:p w14:paraId="2C86A7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Начиная с 9 июля 1943 года по 26 ноября 1943 года самолет Ла-5 совершил всего 33 полета из которых 18 полетов на высоту свыше 9000 м, установив боевую высоту в 12500 м.</w:t>
      </w:r>
    </w:p>
    <w:p w14:paraId="44DC36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 стороны заводу N 21 никаких претензий по ТК и системе ТК к 8 Главку и ЦИАМ предъявлено не было.</w:t>
      </w:r>
    </w:p>
    <w:p w14:paraId="4F32B3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значительное увеличение высотности мотора АШ-82ФН с ТК-3 с 5300 м до 11000 м т.е. на 5200 м высотность самолета Ла-5 поднялась с 10750 м до 12750 м т.е. всего на 2000 м.</w:t>
      </w:r>
    </w:p>
    <w:p w14:paraId="6720EE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Такое незначительное увеличение высотности самолета Ла-5, по нашему мнению, объясняется теми же причинами, что и для самолета Як-9 - чрезмерной нагрузкой на крыло (186 кг/м кв.) и отсутствием высотного винта.</w:t>
      </w:r>
    </w:p>
    <w:p w14:paraId="756CFF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Второй самолет Ла-5 с ТК, с несколько увеличенной несущей поверхностью был оборудован заводом N 21 в январе 1944 года, но в течение зимы полетов не было.</w:t>
      </w:r>
    </w:p>
    <w:p w14:paraId="718FCE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 самолету Миг с мотором АМ-39 с 2 ТК-Б.</w:t>
      </w:r>
    </w:p>
    <w:p w14:paraId="34FC0A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Вашему приказу N 523с заводом N 300 был подан на завод N 155 один мотор (высотный вариант) АМ-39А с водо-воздушным радиатором в срок т.е. 8 сентября 1943 года.</w:t>
      </w:r>
    </w:p>
    <w:p w14:paraId="4438F1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летных испытаниях самолет Миг с этим мотором потерпел аварию.</w:t>
      </w:r>
    </w:p>
    <w:p w14:paraId="57A831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Подача второго мотора АМ-39Б с воздухо-воздушным радиатором, по требованию Микояна, задержалась вследствие встретившихся трудностей при перекомпоновке этого мотора под воздухо-воздушный радиатор, в связи с чем на завод N 155 мотор был подан только 15 апреля 1944 года и второй мотор - 26 апреля с.г.</w:t>
      </w:r>
    </w:p>
    <w:p w14:paraId="6A7FFD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Ваши приказы по увеличению высотности моторов и поставки их самолетным заводам - выполнены в установленные сроки за исключением поставки второго мотора Ам-39Б заводу N 155 которая задержалась по указанным выше причинам.</w:t>
      </w:r>
    </w:p>
    <w:p w14:paraId="4B2737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Мы весьма обеспокоены тем обстоятельством, что 7-е Гл. управление и самолетчики-конструкторы не достаточно серьезно работают над проблемой высотности самолетов, возлагая свои надежды, в этом отношении, только на мотор, что является крайним заблуждением.</w:t>
      </w:r>
    </w:p>
    <w:p w14:paraId="3A7E2A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вышеизложенного просим Ваших указаний 7-му Гл. управлению и самолетчикам конструкторам об усилении работ по поднятию высотности истребителей до желательных высот, в направлении улучшения самолетов, на базе существующих и уже зарекомендовавших себя в полете высотных моторов (1824).</w:t>
      </w:r>
    </w:p>
    <w:p w14:paraId="153CAA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68BAC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3D1EA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064834"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1944 г. Докладная записка Л.П. Берии, Е. А. Вознесенского, Д.Ф» Устинова и Е.Д. Яковлева И.В. Сталину об организации производства 100—мм полевой пушки образца 1944 г. и мероприятиях по восстановлению завода Ш 232 Наркомата вооружения («Большевик», г. Ленинград).</w:t>
      </w:r>
    </w:p>
    <w:p w14:paraId="050CDA98"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(Утверждено постановлением ГКО СССР US 5822 от 7 мая 1944 г.)</w:t>
      </w:r>
    </w:p>
    <w:p w14:paraId="592ABBAE"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РГАСПИ» Ф» 644. Оп» 2« Д» 330* Л. 168—169. Подлинник» Машинописный текст» Подписи — автографы Л.П» Берии, Е.А. Вознесенского, Д»Ф» Устинова и И.В. Сталина»</w:t>
      </w:r>
    </w:p>
    <w:p w14:paraId="576EE078"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секретно</w:t>
      </w:r>
    </w:p>
    <w:p w14:paraId="53A648C3"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ПРЕДСЕДАТЕЛЮ ГОСУДАРСТВЕННОГО КОМИТЕТА ОБОРОНЫ -</w:t>
      </w:r>
    </w:p>
    <w:p w14:paraId="2D4253A2"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товарищу СТАЛИНУ И.В.</w:t>
      </w:r>
    </w:p>
    <w:p w14:paraId="648F2BD1"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этом представляем проект постановления ГОКО «Об организации производства 100 мм полевой пушки образца 1944 года и мероприятиях по восстановлению завода Н2 232 ( Большевик”) НКВ в городе Ленинграде».</w:t>
      </w:r>
    </w:p>
    <w:p w14:paraId="6390D314"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Спроектированная и изготовленная, в опытном образце, в соответствии с постановлением ГОКО NS 3290сс от 5 мая 1943 года, 100 мм полевая пушка, полигонные испытания выдержала, показав удовлетворительные результаты по работе основных деталей и агрегатов»</w:t>
      </w:r>
    </w:p>
    <w:p w14:paraId="45FEA485"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Выявленные на испытаниях конструктивные недостатки пушки могут быть устранены»…</w:t>
      </w:r>
    </w:p>
    <w:p w14:paraId="54FA5EA1"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Представляемый проект постановления ГОКО согласован с Ленинградскими партийными организациями и со всеми заинтересованными организациями»</w:t>
      </w:r>
    </w:p>
    <w:p w14:paraId="240D17F0"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Просим Вашего решения.</w:t>
      </w:r>
    </w:p>
    <w:p w14:paraId="255C16AD"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 Берия</w:t>
      </w:r>
    </w:p>
    <w:p w14:paraId="58DE9F12"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 Вознесенский</w:t>
      </w:r>
    </w:p>
    <w:p w14:paraId="6F896687"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Уст инов</w:t>
      </w:r>
    </w:p>
    <w:p w14:paraId="052F45F4"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 Яковлев</w:t>
      </w:r>
    </w:p>
    <w:p w14:paraId="019B4D54"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5/V.44 г.</w:t>
      </w:r>
    </w:p>
    <w:p w14:paraId="3DF23F05"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Подпись о согласии: И. Сталин (23769).</w:t>
      </w:r>
    </w:p>
    <w:p w14:paraId="116882CE" w14:textId="77777777" w:rsidR="001D733C" w:rsidRPr="00070ADE" w:rsidRDefault="001D733C" w:rsidP="00B56F90">
      <w:pPr>
        <w:spacing w:after="0" w:line="240" w:lineRule="auto"/>
        <w:jc w:val="both"/>
        <w:rPr>
          <w:rFonts w:ascii="Times New Roman" w:hAnsi="Times New Roman"/>
          <w:color w:val="000000" w:themeColor="text1"/>
          <w:sz w:val="16"/>
          <w:szCs w:val="16"/>
        </w:rPr>
      </w:pPr>
    </w:p>
    <w:p w14:paraId="5721603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1944 года вышел приказ № 226с/165с НКБ и НКМВ</w:t>
      </w:r>
    </w:p>
    <w:p w14:paraId="36753B8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распоряжением ГОКО от 28 апреля 1944 года № 5752:</w:t>
      </w:r>
    </w:p>
    <w:p w14:paraId="4A7A900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Возвратить из системы НКМВ в систему НКБ:</w:t>
      </w:r>
    </w:p>
    <w:p w14:paraId="5AF517E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КБ ГСКБ-47, КБ-35 и завод № 67 (6017, 93).</w:t>
      </w:r>
    </w:p>
    <w:p w14:paraId="07A35A0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C0A4B8"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в 1944 году в газете «Правда» был опубликован рапорт об окончании строительства и введении в эксплуатацию первой очереди Каменск-Уральского металлургического завода. Каменск-Уральский металлургический завод (ныне ОАО «КУМЗ», Свердловская область) – многопрофильное предприятие по производству алюминиевого проката, выпускающее более 70 тысяч наименований изделий, около 80 марок алюминия и алюминиевых сплавов. Один из основных поставщиков полуфабрикатов из легких сплавов для авиакосмического комплекса, судостроения и автомобилестроения России. История КУМЗа начинается с выхода Постановления Экономсовета СССР № 513-99С от 3 июня 1939 года о строительстве в районе Каменска-Уральского завода № 268 как базы по производству магниевых сплавов. В мае 1940 года начинаются строительные работы. Но начавшаяся Великая Отечественная война меняет планы: строящийся завод приготавливается принять литейное и прокатное производства, эвакуируемого из-под Москвы Ступинского металлургического завода (завода № 150). Спешно монтируется оборудование и уже в феврале 1942 года в литейном цехе получена первая плавка. В это же время в связи с победами в боях под Москвой и смещением линии фронта на безопасное расстояние принимается решение о реэвакуации завода № 150, а новое оборудование для КУМЗа заказывается в США. Первое документальное понимание предназначения завода было обозначено следующим образом: «Завод № 268 является металлургическим заводом, предназначенным для производства основных материалов и заготовок для самолётостроения и частично для моторных заводов. На заводе предусмотрена организация трёх основных производств: прокатного — для изготовления алюминиевых листов, прессового — для изготовления прессованных профилей, кузнечно-прессового — для производства поковок и штамповок из цветных и чёрных металлов». 6 февраля 1942 года была сдана в эксплуатацию первая электрическая печь литейного цеха. Первая плавка металла была отлита 14 февраля. В апреле 1942 года с завода в Верхнюю Салду отправляется первый вагон с первой продукцией — слитками. Осенью 1943 года первую продукцию выдали кузнечный и профильно-прессовый цехи. А в декабре завод стал самостоятельной хозяйственной единицей. В 1945 году запускается новое оборудование прокатного производства, а в 1946 году на завод поступает первая партия машин и прессов по репарациям из Германии. В 1949 году КУМЗ впервые начинает выпуск алюминиевой посуды. В 1960-е годы наращиваются объёмы производства, расширяется номенклатура продукции. Вводятся в эксплуатацию новые корпуса цехов, при сохранении старых: в 1951 — кузнечно-прессового, в 1958 — литейного, в 1959 — прессового. В 1958 году КУМЗ впервые поставил продукцию (2952 тонны алюминиевого проката) на экспорт. В этом же году впервые было выпущено 585 тонн магниевого проката. 25 апреля 1964 года заводу присвоено звание «Коллектив коммунистического труда». В марте 1966 года начала работу механизированная линия по производству испарителей к бытовым холодильникам. В мае плавильно-литейные агрегаты переводятся с мазута на природный газ. В 1972 году на КУМЗе появляется новый корпус и новый цех, предназначенный для выпуска легкосплавных бурильных труб. Первая бурильная труба была отпрессована 28 апреля. В 1975 году внедряется Автоматизированная система управления предприятием. Указом Президиума Верховного Совета СССР 8 июня 1978 года КУМЗ награждён орденом Трудового Красного Знамени. В 1982 году благодаря новой линии «Ферро» выпускаемая на заводе алюминиевая посуда получает покрытие силикатными эмалями и внутренне противопригарное покрытие. В 1991 году активно осваиваются алюминиево-литиевые сплавы. Впервые для России из этих сплавов изготавливаются плакированные листы (14882).</w:t>
      </w:r>
    </w:p>
    <w:p w14:paraId="197BDDD8" w14:textId="77777777" w:rsidR="008B289D" w:rsidRPr="00070ADE" w:rsidRDefault="008B289D" w:rsidP="00B56F90">
      <w:pPr>
        <w:spacing w:after="0" w:line="240" w:lineRule="auto"/>
        <w:jc w:val="both"/>
        <w:rPr>
          <w:rFonts w:ascii="Times New Roman" w:hAnsi="Times New Roman"/>
          <w:color w:val="000000" w:themeColor="text1"/>
          <w:sz w:val="16"/>
          <w:szCs w:val="16"/>
        </w:rPr>
      </w:pPr>
    </w:p>
    <w:p w14:paraId="3FFA67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5 мая 1944 г. ГС завод № 627 переименован в ГС НИИ-627. Создание источников электропитания для радиостанций, передвижных электростанций. </w:t>
      </w:r>
    </w:p>
    <w:p w14:paraId="045CF2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1946-48 г. группой Н.Н. Шереметьевского воссоздана американская амплидинно-сельсинная следящая система для пушечного вооружения Ту-4.</w:t>
      </w:r>
    </w:p>
    <w:p w14:paraId="7CC148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конце 1940-х г.- разработка и выпуск бортоборудования для МБР (Р-7). </w:t>
      </w:r>
    </w:p>
    <w:p w14:paraId="1E1013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1953 г. в отделе Б.М. Кагана начались работы по вычислительной технике (с 1966 г. начальник- В.М. Долкарт). В 1957 г. вступила в эксплуатацию ЭВМ М-3. В 1962 г. создана управляющая вычислительная машина «ВНИИЭМ-1». В 1965 г.- УВМ «ВНИИЭМ-3», на ее базе созданы: УВМ В-3М, система обработки телеметрической информации с ИСЗ, «Скала» для энергоблоков АЭС, информационно-управляющая система для химпроизводства в Ангарске, управляющие вычислительные комплексы для испытаний КА. В 1979 г.- комплексы функционально-модульных микросредств управляющей ВТ МСУВТ В7. ВК повышенной надежности В6 для КА «Электро» (1994 г.). Для испытаний КА «Электро» была создана испытательная система на микросредствах МСУВТ В7/В9.</w:t>
      </w:r>
    </w:p>
    <w:p w14:paraId="69DB93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постановлением правительства от 30.10.1963 г.- головная организация по производству метеорологического КА «Метеор» (с 1969 г.- в эксплуатации), системы «Метеор» (2) (испытания- с 1975 г.).</w:t>
      </w:r>
    </w:p>
    <w:p w14:paraId="27BD01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Следящие системы ( и для ППВ), электродвигатели, реле рулевых машинок. Источники питания для ЗУР Р-101 (1948 г.). 1960-е г.: бортовое электрооборудование КА (приводы системы ориентации солнечных батарей, построители местной вертикали, двигатели, преобразователи, силовой гироскоп- «гиродин» для управления орбитальными станциями, шаровой двигатель-маховик для станции «Алмаз», бесщеточные двигатели постоянного тока систем жизнеобеспечения КА).</w:t>
      </w:r>
    </w:p>
    <w:p w14:paraId="18E5F7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1959 г. организован филиал в г. Истра для сборки и испытаний КА, с 1992 г.- самостоятельный НИИЭМ. </w:t>
      </w:r>
    </w:p>
    <w:p w14:paraId="494D12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Решением ВПК от 4.06.1970 г. начата разработка Единой космической системы гидрометеорологического обеспечения (ГМКС). Затем, по Решению ВПК от 16.12.1972 г. начаты работы по ГМКС 3-го поколения «Планета-С» на базе КА «Метеор» (3).</w:t>
      </w:r>
    </w:p>
    <w:p w14:paraId="2CDAD7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постановлением СМ СССР от 12.1971 г. началось создание КА для получения информации о природных ресурсах Земли (ИПРЗ) «Метеор-Природа» (запуски 9.07.1974 г., 15.05.1976 г., 29.06.1977 г.).</w:t>
      </w:r>
    </w:p>
    <w:p w14:paraId="629589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1957 г. назывался НИИ электротехнической промышленности № 627. В 1959 г. НИИ-627 переименован во ВНИИЭМ. В 1990 г. ВНИИЭМ- в ведении Минэлектротехпрома. По Указу Президента РФ № 1009 от 4.08.2004 г. вошел в число стратегических оборонных предприятий.</w:t>
      </w:r>
    </w:p>
    <w:p w14:paraId="1DCB85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Разработка и производство бортовых преобразователей тока (умформеров) для РКТ. </w:t>
      </w:r>
    </w:p>
    <w:p w14:paraId="23CA62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2002 г.: электрооборудование, прецизионные электроприводы для РКТ, электромагнитные подшипники; электрооборудование, системы управления и защиты, информационно-диагностические системы для АЭС.</w:t>
      </w:r>
    </w:p>
    <w:p w14:paraId="263EAD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состав ВНИИЭМ входят (2004 г.): отделы: электрооборудования атомных станций (начальник- С.Д. Джумаев), электрооборудования систем управления и защиты атомных станций (начальник- В.А. Соколов), комплексных систем автоматизации (начальник- А.В. Петров), управляющих вычислительных средств (начальник- С.Я. Куцаков), систем управления перегрузочными машинами АЭС и специальных электроприводов (начальник- Ю.Т. Портной), локальных систем автоматизации и испытательных систем (начальник- Л.М. Лукьянов); испытательный центр (начальник- Ю.Ф. Пчеляков).www.vniiem.orc.ru </w:t>
      </w:r>
    </w:p>
    <w:p w14:paraId="4D90B2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(1941-1970-е г.)- А.Г. Иосифьян.60 Ген. конструктор (1981 г.)- академик Н.Н. Шереметьевский.</w:t>
      </w:r>
    </w:p>
    <w:p w14:paraId="43097DB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(-1945-59 г.-)- А.Г. Иосифьян. Ген. директор (-2002-04 г.-)- С.А. Стома.</w:t>
      </w:r>
    </w:p>
    <w:p w14:paraId="5E27EB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1-й зам. Гендиректора (2004 г.)- Г.А. Жемчугов. Зам. Гендиректора: по науке (2002 г.)- А.П. Сарычев; по ВЭС (2002 г.)- В.А. Круглин.69 </w:t>
      </w:r>
    </w:p>
    <w:p w14:paraId="3C7DE0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конструкторы: (1981 г.)- Ю.В. Трифонов («Планета»).</w:t>
      </w:r>
    </w:p>
    <w:p w14:paraId="442016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Работали: (1945 г.)- Н.Н. Шереметьевский; (1962 г.)- А.И. Воителев, В.Н. Степанов; (-1962-79 г.-)- В.М. Долкарт; (-1962-94 г.-)- М.М. Каневский, Л.М. Лукьянов, Г.Х. Новик; (1965 г.)- В.И. Адасько, А.Д. Воробьев, Б.М. Каган, М.Я. Танаев; (1979 г.)- В.В. Тащиян; (-1979-94 г.-)- И.Р. Крамфус; (1994 г.)- И.А. Жигунов, Ю.А. Кащавцев, И.С. Колтыпин.82 </w:t>
      </w:r>
    </w:p>
    <w:p w14:paraId="1DFF75F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 xml:space="preserve">ГС Завод № 627, ГС НИИ-627 Минэлектротехпрома, ГКЭТ, НИИ электротехнической промышленности № 627, ВНИИЭМ (электромеханики) Минэлектротехпрома, ФГУП «НПП ВНИИЭМ с заводом им. А.Г. Иосифьяна» </w:t>
      </w:r>
    </w:p>
    <w:p w14:paraId="6C5D78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Москва Хоромный туп., 4 101000 а/я 496 www.vniiem.ru</w:t>
      </w:r>
    </w:p>
    <w:p w14:paraId="58ED0B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Истринский филиал ВНИИЭМ, ФГУП «НИИЭМ (электромеханики)» РАКА, ФКА</w:t>
      </w:r>
    </w:p>
    <w:p w14:paraId="18E1F3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143500 г. Истра Московской обл. ул. Панфилова, 1 тел. 994-51-42</w:t>
      </w:r>
    </w:p>
    <w:p w14:paraId="2F445B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Основан в 1959 г. как Истринский филиал ВНИИ электромеханики. В 1992 г. реорганизован в самостоятельное предприятие- НИИЭМ. По Указу Президента РФ № 1009 от 4.08.2004 г. вошел в число стратегических оборонных предприятий. В 10.2004 г. вошел в ОАО «ВПК «НПО машиностроения». </w:t>
      </w:r>
    </w:p>
    <w:p w14:paraId="6C6747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Созданы и испытаны метеорологические КА «Метеор-2» (в 1975-89 г. 18 запусков), «Метеор-3» (запущено 33 аппарата).</w:t>
      </w:r>
    </w:p>
    <w:p w14:paraId="513140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Работы на 2004 г.: разработка и изготовление бортовых систем для КА: систем ориентации и стабилизации, сброса кинетических моментов, коррекции орбиты радиационных холодильников и тепловых труб, бортовых комплексов управления и автоматизированных испытательных комплексов, информационно-навигационных систем; проектирование и изготовление: источников питания на основе электромашинных генераторов для морского флота, РКТ, прецизионных электроприводов для КА и станков с ЧПУ; разработка передвижных дизельных и газотурбинных электростанций мощностью до 300 кВт; разработка полупроводниковых преобразователей частоты, систем гарантированного питания, сложных электротехнических комплексов, частотно-регулируемых электроприводов. </w:t>
      </w:r>
    </w:p>
    <w:p w14:paraId="698CB1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Национальные программы: "Метеор", "Ресурс", "Электро". Участие в разработке метеорологических и природоресурсных космических систем нового поколения "Метеор-ЗМ" и "МКА-Метео".</w:t>
      </w:r>
    </w:p>
    <w:p w14:paraId="558CFE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Международные программы: "Интеркосмос-Болгария 1300", "Метеор-Томе", "Миссия к планете Земля", "СКАРАБ", "Спектр-Рентген-Гамма", запуск малых спутников "Тубсат" и "Темисат" совместно с Германией.</w:t>
      </w:r>
    </w:p>
    <w:p w14:paraId="1D0A75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реализуются международные проекты: попутный запуск микроспутников BADR-B (Пакистан), Maroc/Tubsat (Марокко), установка на борту "Метеор-ЗМ" № 1 спектрометра Sage-3 (США, НАСА).</w:t>
      </w:r>
    </w:p>
    <w:p w14:paraId="3557A0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Перспективные программы: создание космической системы оперативного краткосрочного прогноза землетрясений "Вулкан".</w:t>
      </w:r>
    </w:p>
    <w:p w14:paraId="7DC0E7A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Научно-производственная база НИИЭМ (2004 г.):</w:t>
      </w:r>
    </w:p>
    <w:p w14:paraId="6C841CA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монтажно-испытательный комплекс для КА с центром приема спутниковой телеметрической информации;</w:t>
      </w:r>
    </w:p>
    <w:p w14:paraId="234C1F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комплексный стенд механических и климатических испытаний;</w:t>
      </w:r>
    </w:p>
    <w:p w14:paraId="3A74075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комплексный стенд электрических испытаний;</w:t>
      </w:r>
    </w:p>
    <w:p w14:paraId="104AC4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автоматизированное производство сложных многослойных печатных плат;</w:t>
      </w:r>
    </w:p>
    <w:p w14:paraId="1F5CE8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специализированное производство медицинской рентгеновской техники;</w:t>
      </w:r>
    </w:p>
    <w:p w14:paraId="4A59DE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опытный завод НИИЭМ (ЗАО "Новатор"), расположенный на территории института. </w:t>
      </w:r>
    </w:p>
    <w:p w14:paraId="74CBCC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Гендиректор (-2002-03 г.-)- А.Э. Хохлович. И.О. гендиректора (2004 г.)- А.Э. Хохлович.</w:t>
      </w:r>
    </w:p>
    <w:p w14:paraId="496D4C0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(1983 г.)- В.И. Адасько, (-2002-03 г.-)- А.Э. Хохлович.</w:t>
      </w:r>
    </w:p>
    <w:p w14:paraId="0109B2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зам. Гендиректора (2002 г.)- Е.Ф. Апанасенко. Зам. Гендиректора/ гл. конструктор по космической технике (2002 г.)- Р.С. Салихов.</w:t>
      </w:r>
    </w:p>
    <w:p w14:paraId="6C0D22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Гл. инженер (2002 г.)- Ю.Ф. Помосов.69, www.tsenki.com </w:t>
      </w:r>
    </w:p>
    <w:p w14:paraId="4EE905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Работали: (1985 г.)- Э.Г. Кнеллер, Н. Надольский, В. Пац, Э.М. Пройдаков.</w:t>
      </w:r>
    </w:p>
    <w:p w14:paraId="5C7EB03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Создано: ПЭВМ «Истра-4816» (1985). </w:t>
      </w:r>
    </w:p>
    <w:p w14:paraId="033C525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КА «Метеор-2» (1978-).</w:t>
      </w:r>
    </w:p>
    <w:p w14:paraId="3C2F3A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Опытный завод ВНИИЭМ, ЗАО «Новатор»</w:t>
      </w:r>
    </w:p>
    <w:p w14:paraId="7AE446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143500 г. Истра Московской обл. ул. Панфилова, 1 тел. 560-33-04</w:t>
      </w:r>
    </w:p>
    <w:p w14:paraId="227078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Опытное производство ВНИИЭМ создано в 1965 г. С 1988 г.- Опытный завод ВНИИЭМ, с 1992 г. – ЗАО «Новатор». По решению правительства № 22-р от 9.01.2004 г. вошло в перечень стратегических предприятий.</w:t>
      </w:r>
    </w:p>
    <w:p w14:paraId="4FBC90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Гендиректор (2002 г.)- Н.Д. Федченко.</w:t>
      </w:r>
    </w:p>
    <w:p w14:paraId="0FF5FA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зам. Гендиректора (2002 г.)- Г.И. Терещенко (10776).</w:t>
      </w:r>
    </w:p>
    <w:p w14:paraId="6AA757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0C512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1944 г. приказом наркомата электропромышленности СССР Государственный союзный завод N 627 переименован в Государственный союзный научно-исследовательский институт (НИИ-627), приказом Госкомитета Совета Министров СССР по автоматизации и машиностроению от 29 сентября 1959 г. - во Всесоюзный научно-исследовательский институт электромеханики (ВНИИЭМ). Указом Президиума Верховного Совета СССР в июне 1961 г. награжден орденом Трудового Красного Знамени (12102).</w:t>
      </w:r>
    </w:p>
    <w:p w14:paraId="135550BC" w14:textId="77777777" w:rsidR="008B289D" w:rsidRPr="00070ADE" w:rsidRDefault="008B289D" w:rsidP="00B56F90">
      <w:pPr>
        <w:autoSpaceDE w:val="0"/>
        <w:autoSpaceDN w:val="0"/>
        <w:adjustRightInd w:val="0"/>
        <w:spacing w:after="0" w:line="240" w:lineRule="auto"/>
        <w:jc w:val="both"/>
        <w:rPr>
          <w:rFonts w:ascii="Times New Roman" w:hAnsi="Times New Roman"/>
          <w:color w:val="000000" w:themeColor="text1"/>
          <w:sz w:val="16"/>
          <w:szCs w:val="16"/>
        </w:rPr>
      </w:pPr>
    </w:p>
    <w:p w14:paraId="4B07007B" w14:textId="2E29B30A"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1944 г. ГС завод № 627 (ГС Завод № 627 НКЭП, ГС НИИ-627 Минэлектротехпрома, ГКЭТ, НИИ электротехнической промышленности № 627, ВНИИ электромеханики (ВНИИЭМ) МЭТП, ФГУП «НПП ВНИИЭМ с заводом им. А. Г. Иосифьяна» ФКА /101000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Москва Хоромный туп., 4 а/я 496 и ул. Вольная, 30 тел. 208-84-67, 365-25-70/) был переименован в ГС НИИ-627.</w:t>
      </w:r>
    </w:p>
    <w:p w14:paraId="66AA53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Создание источников электропитания для радиостанций, передвижных электростанций.</w:t>
      </w:r>
    </w:p>
    <w:p w14:paraId="2F5C3A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ГКО № 3774 от 20.07.1943 г. на заводе организован выпуск электротрансмиссий для танка KB, в связи с этим заводу поставлены станки и инструмент.</w:t>
      </w:r>
    </w:p>
    <w:p w14:paraId="004E77B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1945 г. на базе лабораторий и цехов НИИ-627 создано самостоятельное СКБ-627.</w:t>
      </w:r>
    </w:p>
    <w:p w14:paraId="5D5254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1946-48 г. группой Н.Н. Шереметьевского воссоздана американская амплидинно-сельсинная следящая система для пушечного вооружения Ту-4. В 1946 г. создан электромагнитный трал для самолета-тральщика Ли- 2МТ (А. Г. Иосифьян).</w:t>
      </w:r>
    </w:p>
    <w:p w14:paraId="3A859F73" w14:textId="208D6BE3"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1940-х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 разработка и выпуск бортоборудования для МБР (Р-7).</w:t>
      </w:r>
    </w:p>
    <w:p w14:paraId="3342C3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1953 г. в отделе Б.М. Кагана начались работы по вычислительной технике. В 1957 г. вступила в эксплуатацию ЭВМ М-3. В 1962 г. создана управляющая вычислительная машина «ВНИИЭМ-1». В 1965 г.- УВМ «ВНИИЭМ-3», на ее базе созданы: УВМ В-ЗМ, система обработки телеметрической информации с ИСЗ, «Скала» для энергоблоков АЭС, информационно-управляющая система для химпроизводства в Ангарске, управляющие вычислительные комплексы для испытаний КА. В 1979 г.- комплексы функционально-модульных микросредств управляющей ВТ МСУВТ В7. ВК повышенной надежности В6 для КА «Электро» (1994 г.). Для испытаний КА «Электро» была создана испытательная система на микросредствах МСУВТ В7/В9.</w:t>
      </w:r>
    </w:p>
    <w:p w14:paraId="234F7B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 правительства в 08.1962 г. институту из ОКБ-586 переданы работы по созданию метеорологического КА «Метеор». Пост, от 30.10.1963 г. НИИ-627 определен головным по производству КА «Метеор»; системы «Метеор» (2) (испытания- с 1975 г.). В соответствии с ПСМ № 29-7 от 16.01.1967 г. КА «Метеор» в 1969 г. введен в эксплуатацию; 10.10.1969 г. вышло ПСМ № 810-282 о метеорологической космической системе «Метеор».</w:t>
      </w:r>
    </w:p>
    <w:p w14:paraId="3B4837DF" w14:textId="3A7A5DC3"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Следящие системы ( и для ППВ), электродвигатели, реле рулевых машинок. Источники питания для ЗУР Р- 101 (1948 г.). 1960-е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бортовое электрооборудование КА (приводы системы ориентации солнечных батарей, построители местной вертикали, двигатели, преобразователи, силовой гироскоп- «гиродин» для управления орбитальными станциями, шаровой двигатель-маховик для станции «Алмаз», бесщеточные двигатели постоянного тока систем жизнеобеспечения КА).</w:t>
      </w:r>
    </w:p>
    <w:p w14:paraId="5C943D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1951 г. создан Томский филиал (затем- НПЦ «Полюс»),</w:t>
      </w:r>
    </w:p>
    <w:p w14:paraId="3E00A44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Действовал филиал при заводе «Электросила». Распоряжением правительства № 2748-рс от 30.09.1959 г. Отдел электроники и борьбы с радиопомехами филиала передан в ведение Минсвязи. В 10.1962 г. Ленинградский филиал вошел в состав образованного ЛПЭО «Электросила».</w:t>
      </w:r>
    </w:p>
    <w:p w14:paraId="39AA90C2" w14:textId="59595098"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1959 г. организован филиал 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Истра для сборки и испытаний КА, с 1992 г.- самостоятельный НИИЭМ.</w:t>
      </w:r>
    </w:p>
    <w:p w14:paraId="5F8023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12.1967 г. в Мирном создан филиал опытного завода ВНИИЭМ, в 11.1971 г. на нем создан НИИ «Новатор» как филиал ВНИИЭМ.</w:t>
      </w:r>
    </w:p>
    <w:p w14:paraId="51F08B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Решением ВПК от 4.06.1970 г. начата разработка Единой космической системы гидрометеорологического обеспечения (ГМКС). Затем, по Решению ВПК от 16.12.1972 г. начаты работы по ГМКС 3-го поколения «Планета- С» на базе КА «Метеор» (3).</w:t>
      </w:r>
    </w:p>
    <w:p w14:paraId="1416470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СМ СССР от 12.1971 г. началось создание КА для получения информации о природных ресурсах Земли (ИПРЗ) «Метеор-Природа» (запуски 9.07.1974 г., 15.05.1976 г., 29.06.1977 г.).</w:t>
      </w:r>
    </w:p>
    <w:p w14:paraId="35AEDF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1957 г. назывался НИИ электротехнической промышленности № 627. В 1959 г. НИИ-627 переименован во ВНИИЭМ (по другой информации- в 1953 г.).</w:t>
      </w:r>
      <w:r w:rsidRPr="00070ADE">
        <w:rPr>
          <w:rFonts w:ascii="Times New Roman" w:hAnsi="Times New Roman"/>
          <w:color w:val="000000" w:themeColor="text1"/>
          <w:sz w:val="16"/>
          <w:szCs w:val="16"/>
          <w:vertAlign w:val="superscript"/>
        </w:rPr>
        <w:t>103</w:t>
      </w:r>
      <w:r w:rsidRPr="00070ADE">
        <w:rPr>
          <w:rFonts w:ascii="Times New Roman" w:hAnsi="Times New Roman"/>
          <w:color w:val="000000" w:themeColor="text1"/>
          <w:sz w:val="16"/>
          <w:szCs w:val="16"/>
        </w:rPr>
        <w:t xml:space="preserve"> В 1962 г. - в веднии ГК по автоматизации и машиностроению, затем - ГКЭТ. В 1990 г. ВНИИЭМ - в ведении Минэлектротехпрома.</w:t>
      </w:r>
      <w:r w:rsidRPr="00070ADE">
        <w:rPr>
          <w:rFonts w:ascii="Times New Roman" w:hAnsi="Times New Roman"/>
          <w:color w:val="000000" w:themeColor="text1"/>
          <w:sz w:val="16"/>
          <w:szCs w:val="16"/>
          <w:vertAlign w:val="superscript"/>
        </w:rPr>
        <w:t>77</w:t>
      </w:r>
      <w:r w:rsidRPr="00070ADE">
        <w:rPr>
          <w:rFonts w:ascii="Times New Roman" w:hAnsi="Times New Roman"/>
          <w:color w:val="000000" w:themeColor="text1"/>
          <w:sz w:val="16"/>
          <w:szCs w:val="16"/>
        </w:rPr>
        <w:t xml:space="preserve"> С 2002 г. - ФГУП «НПП ВНИИЭМ». По Указу Президента РФ № 1009 от 4.08.2004 г. вошел в число стратегических оборонных предприятий. В 2009 г. - в ведении ФКА.</w:t>
      </w:r>
    </w:p>
    <w:p w14:paraId="10B8B8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Разработка и производство бортовых преобразователей тока (умформеров) для РКТ.</w:t>
      </w:r>
    </w:p>
    <w:p w14:paraId="199A5767" w14:textId="0724E8FD"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принимал участие в разработке аппаратуры контроля ядерного реактора ВВЭР-440 для Кольской АЭС.</w:t>
      </w:r>
    </w:p>
    <w:p w14:paraId="5117C9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Принимал участие в программах: «Алмаз», «Мир», МКС.</w:t>
      </w:r>
    </w:p>
    <w:p w14:paraId="18AB97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Работы (2002 г.): электрооборудование, прецизионные электроприводы для РКТ и судостроения, электромагнитные подшипники; электрооборудование, системы управления и защиты, информационно- диагностические системы для АЭС; (2005 г.): разработка КА «Метеор-М» для комплекса «Метеор-ЗМ»; малые КА ДЗЗ; разработка медтехники.</w:t>
      </w:r>
    </w:p>
    <w:p w14:paraId="09CE4F1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состав ВНИИЭМ входили (2004 г.): отделы: электрооборудования АЭС, электрооборудования систем управления и защиты (СУЗ) АЭС, комплексных систем автоматизации, управляющих вычислительных средств, систем управления перегрузочными машинами АЭС и специальных электроприводов, локальных систем автоматизации и испытательных систем; испытательный центр.</w:t>
      </w:r>
      <w:r w:rsidRPr="00070ADE">
        <w:rPr>
          <w:rFonts w:ascii="Times New Roman" w:hAnsi="Times New Roman"/>
          <w:color w:val="000000" w:themeColor="text1"/>
          <w:sz w:val="16"/>
          <w:szCs w:val="16"/>
          <w:vertAlign w:val="superscript"/>
        </w:rPr>
        <w:t>1</w:t>
      </w:r>
      <w:r w:rsidRPr="00070ADE">
        <w:rPr>
          <w:rFonts w:ascii="Times New Roman" w:hAnsi="Times New Roman"/>
          <w:color w:val="000000" w:themeColor="text1"/>
          <w:sz w:val="16"/>
          <w:szCs w:val="16"/>
        </w:rPr>
        <w:t>™™'™"™</w:t>
      </w:r>
      <w:r w:rsidRPr="00070ADE">
        <w:rPr>
          <w:rFonts w:ascii="Times New Roman" w:hAnsi="Times New Roman"/>
          <w:color w:val="000000" w:themeColor="text1"/>
          <w:sz w:val="16"/>
          <w:szCs w:val="16"/>
          <w:vertAlign w:val="superscript"/>
        </w:rPr>
        <w:t>огсш</w:t>
      </w:r>
    </w:p>
    <w:p w14:paraId="4ABC49B8" w14:textId="732017DC"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(1941-1970-е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А. Г. Иосифьян.</w:t>
      </w:r>
      <w:r w:rsidRPr="00070ADE">
        <w:rPr>
          <w:rFonts w:ascii="Times New Roman" w:hAnsi="Times New Roman"/>
          <w:color w:val="000000" w:themeColor="text1"/>
          <w:sz w:val="16"/>
          <w:szCs w:val="16"/>
          <w:vertAlign w:val="superscript"/>
        </w:rPr>
        <w:t>60</w:t>
      </w:r>
      <w:r w:rsidRPr="00070ADE">
        <w:rPr>
          <w:rFonts w:ascii="Times New Roman" w:hAnsi="Times New Roman"/>
          <w:color w:val="000000" w:themeColor="text1"/>
          <w:sz w:val="16"/>
          <w:szCs w:val="16"/>
        </w:rPr>
        <w:t xml:space="preserve"> Ген. конструктор (1981 г.)- академик Н.Н. Шереметьевский.</w:t>
      </w:r>
    </w:p>
    <w:p w14:paraId="3464EC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конструктора по ИСЗ (1962 г.)- Геворкян.</w:t>
      </w:r>
    </w:p>
    <w:p w14:paraId="1EC101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(08.1941-59 г.-)- А. Г. Иосифьян. Гендиректор (-2000-04 г.-)- С.А. Стома.</w:t>
      </w:r>
    </w:p>
    <w:p w14:paraId="6D747C79" w14:textId="07FBEFD4"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зам. Гендиректора (2004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Г.А. Жемчугов. Зам. Гендиректора: по науке (2002 г.)- А.П. Сарычев; по ВЭС (2002 г.)- В.А. Круглин.</w:t>
      </w:r>
      <w:r w:rsidRPr="00070ADE">
        <w:rPr>
          <w:rFonts w:ascii="Times New Roman" w:hAnsi="Times New Roman"/>
          <w:color w:val="000000" w:themeColor="text1"/>
          <w:sz w:val="16"/>
          <w:szCs w:val="16"/>
          <w:vertAlign w:val="superscript"/>
        </w:rPr>
        <w:t>69</w:t>
      </w:r>
    </w:p>
    <w:p w14:paraId="28D82CD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конструкторы: (1981 г.)- Ю.В. Трифонов («Планета»), (2009 г.)- Р. Салихов («Коронас-Фотон»),</w:t>
      </w:r>
    </w:p>
    <w:p w14:paraId="083BEE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отделов: (1953 г.)- Б.М. Каган, (1966 г.-)- В.М. Долкарт; электрооборудования: АЭС (2004 г.)- С.Д. Джумаев; СУЗ АЭС (2004 г.)- В.А. Соколов; комплексных систем автоматизации (2004 г.)- А.В. Петров; управляющих вычислительных средств (2004 г.)- С.Я. Куцаков; систем управления перегрузочными машинами АЭС и специальных электроприводов (2004 г.)- Ю.Т. Портной; локальных систем автоматизации и испытательных систем (2004 г.)- Л.М. Лукьянов; испытательного центра (2004 г.)- Ю.Ф. Пчеляков.</w:t>
      </w:r>
    </w:p>
    <w:p w14:paraId="7E4B7D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КА: «Омега-1» (1963), «Метеор», «Метеор-2», «Радио-1, -2» (1978), «Ресурс-01» (1994), солнечная обсерватория «Коронас-Фотон» (30.01.2009 г.).</w:t>
      </w:r>
    </w:p>
    <w:p w14:paraId="3129F0A5" w14:textId="2ADD00FD"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СКБ-627, СКБ ПМ, КБСМ, «Спецмагнит», ФГУП «Спецмагнит» /127238</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Москва Дмитровское ш., 58 тел. 482-00-08/</w:t>
      </w:r>
    </w:p>
    <w:p w14:paraId="3101A8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Самостоятельное СКБ-627 создано в 1945 г. на базе лабораторий и цехов НИИ-627 для разработки постоянных магнитов. Далее называлось СКБ ПМ, КБСМ, «Спецмагнит». С 2001 г.- ФГУП «Спецмагнит».</w:t>
      </w:r>
    </w:p>
    <w:p w14:paraId="27B5CFE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годы войны изготавливались постоянные магниты на основе безкобальтовых литых сплавов на заводе НИИ- 627. В 1973 г. при КБСМ создан свой завод для серийного выпуска литых и самарий-кобальтовых магнитов.</w:t>
      </w:r>
    </w:p>
    <w:p w14:paraId="04F50445" w14:textId="016EC191"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1960-е-70-е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создано более 20 новых сплавов с уникальными свойствами (в т.ч. деформируемые на основе железо-хром-кобальт, 30Х23КА, ЮНДК25БА, ЮНДК35Т5БА). В 1960-х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создан сверхсильный магнит на основе самариевого сплава. Разработан новый техпроцесс внепечной направленной кристаллизации, создан первый отечественный плавильно-кристаллизационный комплекс. В 1970-х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разработан и внедрен новый высокоэнергетический сплав на основе редкоземельных элементов для миниатюрных магнитов.</w:t>
      </w:r>
    </w:p>
    <w:p w14:paraId="46B185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235BC0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Единственное предприятие в стране (2005 г.) по разработке и производству энергоемких постоянных магнитов и систем на их основе. К 2005 г. разработано более 1000 наименований магнитов, более 550 магнитных систем, в т.ч. более 400- для оборонной промышленности.</w:t>
      </w:r>
    </w:p>
    <w:p w14:paraId="11E6FE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(2005 г.): разработка принципиально новых магнитных систем МПФС для приборов СВЧ.</w:t>
      </w:r>
    </w:p>
    <w:p w14:paraId="65CB6F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(-1986-2000 Г.-)- В.П. Збойков.</w:t>
      </w:r>
    </w:p>
    <w:p w14:paraId="4874C8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(1960-е-70-е)- Ю.С. Сакатунов.</w:t>
      </w:r>
    </w:p>
    <w:p w14:paraId="433C7DFD" w14:textId="77CB1849"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Истринский филиал (ИФ) ВНИИЭМ, ФГУП «НИИЭМ (электромеханики)» РАКА, ФКА /143500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Исгра Московской обл. ул. Панфилова, 1 тел. 994-51-10/</w:t>
      </w:r>
    </w:p>
    <w:p w14:paraId="02BA22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Основан в 1959(60) г. как Истринский филиал ВНИИ электромеханики. В 1992 г. реорганизован в самостоятельное предприятие- НИИЭМ. По Указу Президента РФ № 1009 от 4.08.2004 г. вошел в число стратегических оборонных предприятий. В 10.2004 г. вошел в ОАО «ВПК «НПО машиностроения».</w:t>
      </w:r>
    </w:p>
    <w:p w14:paraId="39BE45A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Созданы и испытаны метеорологические КА «Метеор-2» (в 1975-89 г. 18 запусков), «Метеор-3» (запущено 33 аппарата).</w:t>
      </w:r>
    </w:p>
    <w:p w14:paraId="53831D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(2004-05 г.): разработка и изготовление бортовых систем для КА: систем ориентации и стабилизации, сброса кинетических моментов, коррекции орбиты радиационных холодильников и тепловых труб, бортовых комплексов управления и автоматизированных испытательных комплексов, информационно-навигационных систем; проектирование и изготовление: источников питания на основе электромашинных генераторов для морского флота, РКТ, прецизионных электроприводов для КА и станков с ЧПУ; разработка передвижных дизельных и газотурбинных электростанций мощностью до 300 кВт; разработка полупроводниковых преобразователей частоты, систем гарантированного питания, сложных электротехнических комплексов, частотно-регулируемых электроприводов.</w:t>
      </w:r>
    </w:p>
    <w:p w14:paraId="67FE05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Национальные программы: «Метеор», «Ресурс», «Электро». Участие в разработке метеорологических и природоресурсных космических систем нового поколения «Метеор-ЗМ» и «МКА-Метео». Международные программы: «Интеркосмос-Болгария 1300», «Метеор-Томе», «Миссия к планете Земля», «СКАРАБ», «Спектр-Рентген-Гамма», запуск малых спутников «Тубсат» и «Темисат» совместно с Германией; попутный запуск микроспутников BADR-B (Пакистан), Maroc/Tubsat (Марокко), установка на борту «Метеор- ЗМ» № 1 спектрометра Sage-З (США, НАСА).</w:t>
      </w:r>
    </w:p>
    <w:p w14:paraId="172FF0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Перспективные программы: создание космической системы оперативного краткосрочного прогноза землетрясений «Вулкан»; КА «Коронас-Фотон» для исследования солнечно-земных связей.</w:t>
      </w:r>
      <w:r w:rsidRPr="00070ADE">
        <w:rPr>
          <w:rFonts w:ascii="Times New Roman" w:hAnsi="Times New Roman"/>
          <w:color w:val="000000" w:themeColor="text1"/>
          <w:sz w:val="16"/>
          <w:szCs w:val="16"/>
          <w:vertAlign w:val="superscript"/>
        </w:rPr>
        <w:t>101</w:t>
      </w:r>
    </w:p>
    <w:p w14:paraId="253285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Научно-производственная база НИИЭМ (2004 г.): монтажно-испытательный комплекс для КА с центром приема спутниковой телеметрической информации; - комплексный стенд механических и климатических испытаний; комплексный стенд электрических испытаний; автоматизированное производство сложных многослойных печатных плат; специализированное производство медицинской рентгеновской техники; опытный завод НИИЭМ (ЗАО «Новатор»), расположенный на территории института.</w:t>
      </w:r>
    </w:p>
    <w:p w14:paraId="1E33BF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Гендиректор (-2002-03 г.-)- А.Э. Хохлович. И.О. гендиректора (2004 г.)- А.Э. Хохлович. Гл. конструктор (1983 г.)- В.И. Адасько, (-2002-03 г.-)- А.Э. Хохлович.</w:t>
      </w:r>
    </w:p>
    <w:p w14:paraId="424521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зам. Гендиректора (2002 г.)- Е.Ф. Апанасенко. Зам. Гендиректора/ гл. конструктор по космической технике (2002 г.)- Р.С. Салихов.</w:t>
      </w:r>
    </w:p>
    <w:p w14:paraId="711A93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(2002 г.)- Ю.Ф. Помосов.</w:t>
      </w:r>
      <w:r w:rsidRPr="00070ADE">
        <w:rPr>
          <w:rFonts w:ascii="Times New Roman" w:hAnsi="Times New Roman"/>
          <w:color w:val="000000" w:themeColor="text1"/>
          <w:sz w:val="16"/>
          <w:szCs w:val="16"/>
          <w:vertAlign w:val="superscript"/>
        </w:rPr>
        <w:t>69</w:t>
      </w:r>
      <w:r w:rsidRPr="00070ADE">
        <w:rPr>
          <w:rFonts w:ascii="Times New Roman" w:hAnsi="Times New Roman"/>
          <w:color w:val="000000" w:themeColor="text1"/>
          <w:sz w:val="16"/>
          <w:szCs w:val="16"/>
        </w:rPr>
        <w:t>'</w:t>
      </w:r>
      <w:r w:rsidRPr="00070ADE">
        <w:rPr>
          <w:rFonts w:ascii="Times New Roman" w:hAnsi="Times New Roman"/>
          <w:color w:val="000000" w:themeColor="text1"/>
          <w:sz w:val="16"/>
          <w:szCs w:val="16"/>
          <w:vertAlign w:val="superscript"/>
        </w:rPr>
        <w:t xml:space="preserve">www,senki cora </w:t>
      </w:r>
      <w:r w:rsidRPr="00070ADE">
        <w:rPr>
          <w:rFonts w:ascii="Times New Roman" w:hAnsi="Times New Roman"/>
          <w:color w:val="000000" w:themeColor="text1"/>
          <w:sz w:val="16"/>
          <w:szCs w:val="16"/>
        </w:rPr>
        <w:t>Начальники бюро: М.А. Липатов. Создано: ПЭВМ «Истра-4816» (1985).</w:t>
      </w:r>
      <w:r w:rsidRPr="00070ADE">
        <w:rPr>
          <w:rFonts w:ascii="Times New Roman" w:hAnsi="Times New Roman"/>
          <w:color w:val="000000" w:themeColor="text1"/>
          <w:sz w:val="16"/>
          <w:szCs w:val="16"/>
          <w:vertAlign w:val="superscript"/>
        </w:rPr>
        <w:t xml:space="preserve">82 </w:t>
      </w:r>
      <w:r w:rsidRPr="00070ADE">
        <w:rPr>
          <w:rFonts w:ascii="Times New Roman" w:hAnsi="Times New Roman"/>
          <w:color w:val="000000" w:themeColor="text1"/>
          <w:sz w:val="16"/>
          <w:szCs w:val="16"/>
        </w:rPr>
        <w:t>Производство: КА «Метеор-2» (1978-), «Метеор-3» (1984).</w:t>
      </w:r>
      <w:r w:rsidRPr="00070ADE">
        <w:rPr>
          <w:rFonts w:ascii="Times New Roman" w:hAnsi="Times New Roman"/>
          <w:color w:val="000000" w:themeColor="text1"/>
          <w:sz w:val="16"/>
          <w:szCs w:val="16"/>
          <w:vertAlign w:val="superscript"/>
        </w:rPr>
        <w:t>77</w:t>
      </w:r>
    </w:p>
    <w:p w14:paraId="23AAFED0" w14:textId="6500C193"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Опытный завод ВНИИЭМ, ЗАО «Новатор» /143500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Истра Московской обл. ул. Панфилова, 1 тел. 994-53-04/</w:t>
      </w:r>
    </w:p>
    <w:p w14:paraId="71FE3F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Опытное производство ВНИИЭМ создано в 1965 г. С 1988 г.- Опытный завод ВНИИЭМ, с 1992 г. - ЗАО «Новатор».</w:t>
      </w:r>
    </w:p>
    <w:p w14:paraId="41C8154D" w14:textId="03109619"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12.1967 г. 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Мирном создан филиал опытного завода ВНИИЭМ.</w:t>
      </w:r>
    </w:p>
    <w:p w14:paraId="33E5F5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Принимало участие в программах: «Метеор», «Ресурс», «Электро», «Радиационный баланс», «Спектр- Рентген-Гамма», «Вулкан».</w:t>
      </w:r>
    </w:p>
    <w:p w14:paraId="18148B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решению правительства № 22-р от 9.01.2004 г. вошло в перечень стратегических предприятий. Гендиректор (2002 г.)- Н.Д. Федченко.</w:t>
      </w:r>
    </w:p>
    <w:p w14:paraId="67292A0D" w14:textId="22C073E0"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зам. Гендиректора (2002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Г.И. Терещенко. Зам. гендиректора по ВЭД (2002 г.)- Ю.А. Панько. Зам. гл. конструктора (2002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Г.И. Терещенко (КК «Метеор-ЗМ»),</w:t>
      </w:r>
    </w:p>
    <w:p w14:paraId="313F2B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(2002 г.): служебные системы, блоки для КА «Ресурс», «Метеор»; системы управления КА; прецизионные приводы КА ССП-1, ССП-2; наземные испытательные комплексы КА 11Н6392, 17Н321, 17Н35, 17Н41; испытательная станция для климатических и вибрационных испытаний КА; сухие пленочные фоторезисторы.</w:t>
      </w:r>
      <w:r w:rsidRPr="00070ADE">
        <w:rPr>
          <w:rFonts w:ascii="Times New Roman" w:hAnsi="Times New Roman"/>
          <w:color w:val="000000" w:themeColor="text1"/>
          <w:sz w:val="16"/>
          <w:szCs w:val="16"/>
          <w:vertAlign w:val="superscript"/>
        </w:rPr>
        <w:t>69</w:t>
      </w:r>
    </w:p>
    <w:p w14:paraId="5F65AAB6" w14:textId="044EF949"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НИИ «Новатор»-филиал ВНИИЭМ, ФГУП «НИИ «Новатор» с опытным заводом» /164170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Мирный Архангельской обл. ул. Неделина, 35 тел. 53-030/</w:t>
      </w:r>
    </w:p>
    <w:p w14:paraId="5A52E44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12.1967 г. в Мирном создан филиал опытного завода ВНИИЭМ, в 11.1971 г. на нем создан НИИ «Новатор» как филиал ВНИИЭМ с целью приближения базы ВНИИЭМ к космодрому Плесецк.</w:t>
      </w:r>
    </w:p>
    <w:p w14:paraId="390C61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1998 г. на космодроме создано дочернее предприятие НИИ- ГУП «Технический центр «Новатор». Принимал участие в программах: «Салют», «Мир», «Метеор», «Болгария-1300», «Ангара». Работы (2002 г.): эксплуатация наземных вычислительных комплексов на космодроме Плесецк; разработка и изготовление узлов и блоков для наземных испытательных комплексов; изготовление бортовых устройств КА; производство помехозащитных устройств, трансфильтров, преобразователей напряжения, источников вторичного питания, электродвигателей, трансформаторов, электровентиляторов, узлов и блоков для систем контроля АЭС. Гендиректор (2002 г.)- A.M. Погорелый. Гл. инженер (2002 г.)- В.П. Лыкова.</w:t>
      </w:r>
      <w:r w:rsidRPr="00070ADE">
        <w:rPr>
          <w:rFonts w:ascii="Times New Roman" w:hAnsi="Times New Roman"/>
          <w:color w:val="000000" w:themeColor="text1"/>
          <w:sz w:val="16"/>
          <w:szCs w:val="16"/>
          <w:vertAlign w:val="superscript"/>
        </w:rPr>
        <w:t>69</w:t>
      </w:r>
    </w:p>
    <w:p w14:paraId="2B0BA9D9" w14:textId="6AE60AE9"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Томский филиал ВНИИЭМ, НПА «Полюс», ФГУП «Научно-производственный центр (НПЦ) «Полюс» /634050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Томск пл. Кирова, 2 тел. 55-77-66/</w:t>
      </w:r>
    </w:p>
    <w:p w14:paraId="797FC3AB" w14:textId="5126400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Томский филиал ВНИИЭМ создан в 1951 г. Разработка электромашинных преобразователей напряжения для бронетанковой, ракетной и торпедной техники. С 1960-х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разработка полупроводниковых статических преобразователей для систем питания и синхронизации бортовой и наземной аппаратуры РКТ.</w:t>
      </w:r>
    </w:p>
    <w:p w14:paraId="35826F2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Принимало участие в программах: «Мир», «Бион», «Фотон», «Сесат», МКС, «Спектр», «Электро», «Экспресс- К2», «Гироскоп-Полюс», «Экспресс-1000», «Гонец», «Руслан-ММ», «Фобос-Грунт».</w:t>
      </w:r>
    </w:p>
    <w:p w14:paraId="67EF2B1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Разработка и производство (2002 г.): бортовое и наземное электротехническое оборудование (электроэнергетические и электромеханические системы, приборы, электромашины), системы точной механики, лазерные гироскопы.</w:t>
      </w:r>
    </w:p>
    <w:p w14:paraId="5D542D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3.03.2008 г. НПЦ «Полюс» вошло в состав ОАО «ИСС им. академика М.Ф. Решетнева». Гендиректор (2002 г.)- А.И. Чернышев. Ген. Конструктор (2002 г.)- А.И. Чернышев.</w:t>
      </w:r>
    </w:p>
    <w:p w14:paraId="016A15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гендиректора по экономической работе (2002 г.)- В.Н. Гладущенко.</w:t>
      </w:r>
    </w:p>
    <w:p w14:paraId="5DD70B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системы точной механики для РН «Союз-ТМ», «Протресс-ТМ», КА «Молния», «Экран-М», «Галс», «Экспресс», «Метеор», «Фобос», «Марс» (11982).</w:t>
      </w:r>
    </w:p>
    <w:p w14:paraId="1DE692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199DF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 xml:space="preserve">5 мая 1944 г. приказом Наркомата минометного вооружения СССР создано Центральное конструкторское бюро по станкостроению (ЦКБ по станкостроению). Приказом Министерства машиностроения и приборостроения СССР от 15 апреля 1948 г. бюро реорганизовано в Проектно-технологический и экспериментальный институт "Оргмашприбор" (12102). </w:t>
      </w:r>
    </w:p>
    <w:p w14:paraId="772B401D" w14:textId="77777777" w:rsidR="008B289D" w:rsidRPr="00070ADE" w:rsidRDefault="008B289D" w:rsidP="00B56F90">
      <w:pPr>
        <w:autoSpaceDE w:val="0"/>
        <w:autoSpaceDN w:val="0"/>
        <w:adjustRightInd w:val="0"/>
        <w:spacing w:after="0" w:line="240" w:lineRule="auto"/>
        <w:jc w:val="both"/>
        <w:rPr>
          <w:rFonts w:ascii="Times New Roman" w:hAnsi="Times New Roman"/>
          <w:color w:val="000000" w:themeColor="text1"/>
          <w:sz w:val="16"/>
          <w:szCs w:val="16"/>
        </w:rPr>
      </w:pPr>
    </w:p>
    <w:p w14:paraId="5147A2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1944 вышло Постановление ГКО № 5821 О плане снабжения горюче-смазочными материалами и каменноугольным топливом Красной Армии и Военно-Морского флота на май 1944 года. РГАНИР, Фонд ГКО, д. 250, лл. 58-59,60-100 (11012).</w:t>
      </w:r>
    </w:p>
    <w:p w14:paraId="443C8B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1B04F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1944 года вышел объединенный приказ наркома минометного вооружения и Комитета по делам искусств при СНК за № 216/239 о передаче Дома звукозаписи, Апрелевского завода грампластинок и Ташкентского завода грампластинок Комитету по делам искусств при СНК (8660,1).</w:t>
      </w:r>
    </w:p>
    <w:p w14:paraId="43E644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D917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1944 года вышел приказ НКМВ № 242 в соответствии с постановлением Правительства от 30 апреля 1944 года об организации ЦКБ по станкостроению НКМВ для разработки новых конструкций специальных операционных, агрегатных, а также универсальных станков, не производимых НК станкостроения (8661).</w:t>
      </w:r>
    </w:p>
    <w:p w14:paraId="6A6D04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5E5A6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5BE2B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9CAB02"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в 1944 году оперативная сводка Совинформбюро:</w:t>
      </w:r>
    </w:p>
    <w:p w14:paraId="74595EAA"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5 мая на фронтах существенных изменений непроизошло.</w:t>
      </w:r>
    </w:p>
    <w:p w14:paraId="2391922D"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4 мая нашими войсками на всех фронтах подбито и уничтожено 35 немецких танков. В воздушных боях и огнём зенитной артиллерии сбито 74 самолёта противника.</w:t>
      </w:r>
    </w:p>
    <w:p w14:paraId="22A189E9"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Удары кораблей и авиации Черноморского флота по судам противника</w:t>
      </w:r>
    </w:p>
    <w:p w14:paraId="2A348703"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Днём 3-го и в ночь на 4-е мая нашей воздушной разведкой было обнаружено в открытом море несколько групп транспортов противника.</w:t>
      </w:r>
    </w:p>
    <w:p w14:paraId="3C2C4FFD"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Корабли Черноморского флота западнее Херсонесского маяка нанесли два удара посудам противника. Торпедами потоплены две баржи и транспорт водоизмещением в 3.000 тонн.</w:t>
      </w:r>
    </w:p>
    <w:p w14:paraId="0B0564D8"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флота даём и ночью наносила последовательные удары по обнаруженным транспортам и другим плавсредствам противника. Прямыми попаданиями бомб потоплены 4 транспорта общим водоизмещением до 10.000 тонн, две быстроходные десантные баржи, одна сухогрузная баржа и сторожевой катер. Многие другие суда противника повреждены.</w:t>
      </w:r>
    </w:p>
    <w:p w14:paraId="68FA7454"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пехота противника пыталась атаковать наши позиции. В результате двухчасового боя немцы отступили, оставив на поле боя до 300 трупов своих солдат и офицеров. На другом участке разведотряды Н-ской части внезапным ударом захватили несколько вражеских дзотов.</w:t>
      </w:r>
    </w:p>
    <w:p w14:paraId="6B4DADC1"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Тирасполь подразделения Н-ской части предприняли разведку боем. Советские бойцы ворвались в траншеи противника и истребили до роты гитлеровцев. Захвачены у немцев 8 пулемётов, 3 противотанковых ружья, 60 винтовок и автоматов.</w:t>
      </w:r>
    </w:p>
    <w:p w14:paraId="1E0FACE4"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Лётчики под командованием старшего лейтенанта Голчина, возвращаясь с боевого задания, встретили группу немецких самолётов. Советские штурмовики атаковали противника и в завязавшемся воздушном бою сбили 6 немецких бомбардировщиков «Юнкерс-87». Все наши самолёты вернулись на свой аэродром.</w:t>
      </w:r>
    </w:p>
    <w:p w14:paraId="5A687055"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 Украинском фронте наша авиация наносила удары по скоплениям немецких войск. Бомбово-штурмовыми ударами нанесен тяжёлый урон противнику в живой силе и технике. В воздушных боях и огнём зенитной артиллерии сбито 34 немецких самолёта.</w:t>
      </w:r>
    </w:p>
    <w:p w14:paraId="73AA4DFC"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партизанских отрядов, действующих в оккупированных немцами районах Калининской области, с 6 по 19 апреля пустили под откос 8 немецких воинских эшелонов. Из засад на шоссейных и грунтовых дорогах партизаны уничтожили 40 грузовых автомашин и истребили до роты гитлеровцев. Взято 19 пленных. В одном районе на сторону партизан перешло 40 немецких солдат.</w:t>
      </w:r>
    </w:p>
    <w:p w14:paraId="677EA5F8"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1-м Украинском фронте за последние десять дней добровольно сдались в плен 600 венгерских солдат и офицеров из 16, 18, 21, 24, 201 лёгкопехотных дивизий, 1 горнострелковой бригады и 2 танковой дивизии. Пленные заявляют, что многие венгерские солдаты и офицеры враждебно настроены против немцев. Все перебежчики считают регента Хорти предателем венгерского народа. Пленные рассказали, что немцы создали специальные заградительные отряды, которым вменено в обязанность следить за поведением венгров в бою и расстреливать их, если они будут отступать. Многие из сдавшихся в плен венгерских солдат заявляют, что они ненавидят немцев и будут бороться против них за освобождение своей родины.</w:t>
      </w:r>
    </w:p>
    <w:p w14:paraId="00B20AD1"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публикуется акт о зверствах немецко-фашистских мерзавцев в селе Клембовка, Каменец-Подольской области. «С первых дней оккупации нашего села фашистские бандиты чинили произвол, грабили и убивали мирных жителей. В декабре прошлого года немцы почти ежедневно устраивали обыски, забирали всё ценное, что еще осталось у крестьян. Гитлеровцы насильно угнали на каторгу всю молодёжь. У колхозницы Устиньи Низовец немцы угнали на каторгу в Германию двух сыновей и дочь, у колхозника Ефима Самчука — сына и двух дочерей, у колхозника Петра Мазура — двух сыновей и дочь. И так почти в каждой семье. Фашистской неволи избежали только те, кто скрылся из села. Незадолго до отступления гитлеровцы сожгли свыше 400 жилых домов. Стариков, больных, а также тех, кто отказывался эвакуироваться, немцы расстреляли. В посёлке при станции Клембовка немецкие изверги согнали мирных жителей в один дом и учинили над ними дикую расправу. После долгих издевательств немцы сожгли дом вместе с находившимися в нём стариками, женщинами и детьми. В огне сгорело 76 человек».</w:t>
      </w:r>
    </w:p>
    <w:p w14:paraId="4955A0BC" w14:textId="77777777" w:rsidR="008B289D" w:rsidRPr="00070ADE" w:rsidRDefault="008B28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колхозник Иван Дукач, рабочий сахарного завода Иван Бондарчук, колхозницы Ольга Разумная и Александра Низовец, учительница Зинаида Кирпа,председатель колхоза Антон Скрипнюк.» (14882).</w:t>
      </w:r>
    </w:p>
    <w:p w14:paraId="75041799" w14:textId="77777777" w:rsidR="008B289D" w:rsidRPr="00070ADE" w:rsidRDefault="008B289D" w:rsidP="00B56F90">
      <w:pPr>
        <w:spacing w:after="0" w:line="240" w:lineRule="auto"/>
        <w:jc w:val="both"/>
        <w:rPr>
          <w:rFonts w:ascii="Times New Roman" w:hAnsi="Times New Roman"/>
          <w:color w:val="000000" w:themeColor="text1"/>
          <w:sz w:val="16"/>
          <w:szCs w:val="16"/>
        </w:rPr>
      </w:pPr>
    </w:p>
    <w:p w14:paraId="390A42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1944 на территории СССР был создан Польский партизанский штаб (А.Завадский) и ему передали в подчинение все польские партизанские формирования в СССР (13 отрядов и 3 батальона) (3398,172).</w:t>
      </w:r>
    </w:p>
    <w:p w14:paraId="59B6E2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29B41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1944 вышло Распоряжение ГКО № 5820 [О выделении 5 тыс. военнослужащих, не годных к строевой службе, для укомплектования конвойных войск НКВД.] (7228, 57).</w:t>
      </w:r>
    </w:p>
    <w:p w14:paraId="52EEA99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ED4B3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326B67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782A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1944 был объявлен новый займ на 25 млрд. руб. (1348,202).</w:t>
      </w:r>
    </w:p>
    <w:p w14:paraId="660C3D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8ECB86" w14:textId="77777777" w:rsidR="00DF7C94" w:rsidRPr="00070ADE" w:rsidRDefault="00DF7C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в 1944 году объявлен Третий государственный военный заем в СССР. Общая сумма подписки составила 28 963 млн. рублей (14882).</w:t>
      </w:r>
    </w:p>
    <w:p w14:paraId="4722CF89" w14:textId="77777777" w:rsidR="00DF7C94" w:rsidRPr="00070ADE" w:rsidRDefault="00DF7C94" w:rsidP="00B56F90">
      <w:pPr>
        <w:spacing w:after="0" w:line="240" w:lineRule="auto"/>
        <w:jc w:val="both"/>
        <w:rPr>
          <w:rFonts w:ascii="Times New Roman" w:hAnsi="Times New Roman"/>
          <w:color w:val="000000" w:themeColor="text1"/>
          <w:sz w:val="16"/>
          <w:szCs w:val="16"/>
        </w:rPr>
      </w:pPr>
    </w:p>
    <w:p w14:paraId="1D809E5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6A47A5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A62D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1944 Иден запросил советского посла Гусева, согласен ли СССР поддержать британскую политику в Греции в обмен на свободу рук в Румынии? Гусев передал ответ Москвы, что в принципе она согласна, но что думает по этому поводу в США?</w:t>
      </w:r>
    </w:p>
    <w:p w14:paraId="571EBD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45C40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7C7E13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B5DF90" w14:textId="77777777" w:rsidR="00DF7C94" w:rsidRPr="00070ADE" w:rsidRDefault="00DF7C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5 мая в 1944 году впервые взлетел </w:t>
      </w:r>
      <w:hyperlink r:id="rId117" w:tgtFrame="_blank" w:history="1">
        <w:r w:rsidRPr="00070ADE">
          <w:rPr>
            <w:rFonts w:ascii="Times New Roman" w:hAnsi="Times New Roman"/>
            <w:color w:val="000000" w:themeColor="text1"/>
            <w:sz w:val="16"/>
            <w:szCs w:val="16"/>
          </w:rPr>
          <w:t xml:space="preserve">«Ar 234V11» </w:t>
        </w:r>
      </w:hyperlink>
      <w:r w:rsidRPr="00070ADE">
        <w:rPr>
          <w:rFonts w:ascii="Times New Roman" w:hAnsi="Times New Roman"/>
          <w:color w:val="000000" w:themeColor="text1"/>
          <w:sz w:val="16"/>
          <w:szCs w:val="16"/>
        </w:rPr>
        <w:t>(PH+SS), который был близок по конфигypации к «V9» и был оснащен герметичной кабиной. Напомню, «Ar 234V9» — прототип серии В. Кабина самолета была герметизирована с помощью полос синтетической резины (впервые эта мера применена на опытном образце V3) и оборудована катапультируемым сиденьем. Высокая скорость «Аr 234» должна была сделать самолет неуязвимым для противника. По этой причине конструкторы ограничились установкой небольшой 15,5-мм бронеспинки, защищавшей голову пилота (14882).</w:t>
      </w:r>
    </w:p>
    <w:p w14:paraId="5B4E5248" w14:textId="77777777" w:rsidR="00DF7C94" w:rsidRPr="00070ADE" w:rsidRDefault="00DF7C94" w:rsidP="00B56F90">
      <w:pPr>
        <w:spacing w:after="0" w:line="240" w:lineRule="auto"/>
        <w:jc w:val="both"/>
        <w:rPr>
          <w:rFonts w:ascii="Times New Roman" w:hAnsi="Times New Roman"/>
          <w:color w:val="000000" w:themeColor="text1"/>
          <w:sz w:val="16"/>
          <w:szCs w:val="16"/>
        </w:rPr>
      </w:pPr>
    </w:p>
    <w:p w14:paraId="66B76C1F" w14:textId="77777777" w:rsidR="00DF7C94" w:rsidRPr="00070ADE" w:rsidRDefault="00DF7C94"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1944 Верн Кастерн совершил первый полет американский Бичкрафт (Beechcraft) ХА-38 Grizzly - штурмовик, заказанный в 1943. Бронирование двухмоторной машины было не существенным, но вооружена она была 75 мм пушкой (2873,46).</w:t>
      </w:r>
    </w:p>
    <w:p w14:paraId="25BBC48B" w14:textId="77777777" w:rsidR="00DF7C94" w:rsidRPr="00070ADE" w:rsidRDefault="00DF7C94"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6FD5D3" w14:textId="77777777" w:rsidR="00DF7C94" w:rsidRPr="00070ADE" w:rsidRDefault="00DF7C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5 мая в 1944 году поднялся в воздух первый прототип </w:t>
      </w:r>
      <w:hyperlink r:id="rId118" w:tgtFrame="_blank" w:history="1">
        <w:r w:rsidRPr="00070ADE">
          <w:rPr>
            <w:rFonts w:ascii="Times New Roman" w:hAnsi="Times New Roman"/>
            <w:color w:val="000000" w:themeColor="text1"/>
            <w:sz w:val="16"/>
            <w:szCs w:val="16"/>
          </w:rPr>
          <w:t xml:space="preserve">«ХА-38», </w:t>
        </w:r>
      </w:hyperlink>
      <w:r w:rsidRPr="00070ADE">
        <w:rPr>
          <w:rFonts w:ascii="Times New Roman" w:hAnsi="Times New Roman"/>
          <w:color w:val="000000" w:themeColor="text1"/>
          <w:sz w:val="16"/>
          <w:szCs w:val="16"/>
        </w:rPr>
        <w:t>под управлением летчика-испытателя фирмы «Бичкрафт» Верна Карстена. Вместо верхней и нижней турелей временно установили их деревянные макеты. Стрельбу в воздухе из мощной пушки 75-мм калибра опробовали в июле. Заводские испытания проходили вполне успешно, и машину передали военно-воздушным силам за день до капитуляции Японии - 14 августа 1945 г. Второй прототип приступил к полетам 22 сентября, когда война уже закончилась (14882).</w:t>
      </w:r>
    </w:p>
    <w:p w14:paraId="706AC482" w14:textId="77777777" w:rsidR="00DF7C94" w:rsidRPr="00070ADE" w:rsidRDefault="00DF7C94" w:rsidP="00B56F90">
      <w:pPr>
        <w:spacing w:after="0" w:line="240" w:lineRule="auto"/>
        <w:jc w:val="both"/>
        <w:rPr>
          <w:rFonts w:ascii="Times New Roman" w:hAnsi="Times New Roman"/>
          <w:color w:val="000000" w:themeColor="text1"/>
          <w:sz w:val="16"/>
          <w:szCs w:val="16"/>
        </w:rPr>
      </w:pPr>
    </w:p>
    <w:p w14:paraId="4B01ACA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1944 немецкая разведка перехватила телефонный разговор Черчилля и Рузвельта (4962).</w:t>
      </w:r>
    </w:p>
    <w:p w14:paraId="1A49859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95F20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5 мая 1944 югославские партизаны-антифашисты захватили в Загребе большой арсенал с оружием (4962).</w:t>
      </w:r>
    </w:p>
    <w:p w14:paraId="4072D50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6349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1944 М.Ганди был освобожден из Тюрьмы (2247,3).</w:t>
      </w:r>
    </w:p>
    <w:p w14:paraId="4BFE290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794A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1944 был убит командующий японским флотом а Кога (2247,3).</w:t>
      </w:r>
    </w:p>
    <w:p w14:paraId="781C05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0F0C0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A4C6B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BEAE71" w14:textId="77777777" w:rsidR="00962976" w:rsidRPr="00070ADE" w:rsidRDefault="00962976"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мая 1944 г. вышел ПРИКАЗ НАЧАЛЬНИКА ГБТУ КА О ПРОВЕДЕНИИ ОПЫТНОЙ РАБОТЫ ПО ОПРЕДЕЛЕНИЮ ПЛАВНОСТИ ХОДА И ПОВОРОТЛИВОСТИ ТАНКОВ №028</w:t>
      </w:r>
    </w:p>
    <w:p w14:paraId="7E36E39D" w14:textId="77777777" w:rsidR="00962976" w:rsidRPr="00070ADE" w:rsidRDefault="00962976"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определения плавности хода и поворотливости танков: Т-34, КВ-1с, Т-70, СУ-76, МК-2, МК-4, М4-А2, М5-А1, Т-70 (США), Т-2, Т-3, Т-4, Т-5, Т-6, «Фердинанд», «Самуа», М2-А, «Фиат-Ан-сальдо», СПА ПРИКАЗЫВАЮ:</w:t>
      </w:r>
    </w:p>
    <w:p w14:paraId="1AC6F194" w14:textId="77777777" w:rsidR="00962976" w:rsidRPr="00070ADE" w:rsidRDefault="00962976"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Работу провести под руководством генерал-майора инженерно-танковой службы т. Груздева, силами кафедры танков Военной академии БТ и МВ Красной Армии им. Сталина согласно плану.</w:t>
      </w:r>
    </w:p>
    <w:p w14:paraId="5D2E71D6" w14:textId="77777777" w:rsidR="00962976" w:rsidRPr="00070ADE" w:rsidRDefault="00962976"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Генерал-майору инженерно-танковой службы т. Груздеву обеспечить проведение работы не</w:t>
      </w:r>
      <w:r w:rsidRPr="00070ADE">
        <w:rPr>
          <w:rFonts w:ascii="Times New Roman" w:hAnsi="Times New Roman"/>
          <w:color w:val="000000" w:themeColor="text1"/>
          <w:sz w:val="16"/>
          <w:szCs w:val="16"/>
        </w:rPr>
        <w:softHyphen/>
        <w:t>обходимыми приборами и оборудованием.</w:t>
      </w:r>
    </w:p>
    <w:p w14:paraId="59D20BFD" w14:textId="77777777" w:rsidR="00962976" w:rsidRPr="00070ADE" w:rsidRDefault="00962976"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Начальнику НИБТ полигона ГБТУ КА генерал-майору танковых войск т. Романову выделить необходимую материальную часть, обеспечив ее горюче-смазочными материалами и обслуживаю</w:t>
      </w:r>
      <w:r w:rsidRPr="00070ADE">
        <w:rPr>
          <w:rFonts w:ascii="Times New Roman" w:hAnsi="Times New Roman"/>
          <w:color w:val="000000" w:themeColor="text1"/>
          <w:sz w:val="16"/>
          <w:szCs w:val="16"/>
        </w:rPr>
        <w:softHyphen/>
        <w:t>щим персоналом.</w:t>
      </w:r>
    </w:p>
    <w:p w14:paraId="6A22BC4E" w14:textId="77777777" w:rsidR="00962976" w:rsidRPr="00070ADE" w:rsidRDefault="00962976"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Представителей академии, участвующих в работе, обеспечить необходимой жилплощадью и пи</w:t>
      </w:r>
      <w:r w:rsidRPr="00070ADE">
        <w:rPr>
          <w:rFonts w:ascii="Times New Roman" w:hAnsi="Times New Roman"/>
          <w:color w:val="000000" w:themeColor="text1"/>
          <w:sz w:val="16"/>
          <w:szCs w:val="16"/>
        </w:rPr>
        <w:softHyphen/>
        <w:t>танием, для чего получить продовольственные пайки по количеству представителей от академии.</w:t>
      </w:r>
    </w:p>
    <w:p w14:paraId="519EDC8B" w14:textId="77777777" w:rsidR="00962976" w:rsidRPr="00070ADE" w:rsidRDefault="00962976"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Генерал-майору инженерно-танковой службы т. Груздеву к работе приступить 10.05.1944 го</w:t>
      </w:r>
      <w:r w:rsidRPr="00070ADE">
        <w:rPr>
          <w:rFonts w:ascii="Times New Roman" w:hAnsi="Times New Roman"/>
          <w:color w:val="000000" w:themeColor="text1"/>
          <w:sz w:val="16"/>
          <w:szCs w:val="16"/>
        </w:rPr>
        <w:softHyphen/>
        <w:t>да и закончить 10.07.1944 года.</w:t>
      </w:r>
    </w:p>
    <w:p w14:paraId="567FA307" w14:textId="77777777" w:rsidR="00962976" w:rsidRPr="00070ADE" w:rsidRDefault="00962976"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Отчет о работе представить в ГБТУ КА 25.07.1944 г.</w:t>
      </w:r>
    </w:p>
    <w:p w14:paraId="799E17E9" w14:textId="77777777" w:rsidR="00962976" w:rsidRPr="00070ADE" w:rsidRDefault="00962976"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Место проведения работ — НИБТ полигон ГБТУ КА.</w:t>
      </w:r>
    </w:p>
    <w:p w14:paraId="410833B7" w14:textId="77777777" w:rsidR="00962976" w:rsidRPr="00070ADE" w:rsidRDefault="00962976"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ГБТУ КА генерал-лейтенант танковых войск Вершинин</w:t>
      </w:r>
    </w:p>
    <w:p w14:paraId="72B4C6DF" w14:textId="77777777" w:rsidR="00962976" w:rsidRPr="00070ADE" w:rsidRDefault="00962976"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11377. Д. 117. Л. 56. Подлинник (11420).</w:t>
      </w:r>
    </w:p>
    <w:p w14:paraId="1C3E5F96" w14:textId="77777777" w:rsidR="00962976" w:rsidRPr="00070ADE" w:rsidRDefault="00962976" w:rsidP="00B56F90">
      <w:pPr>
        <w:autoSpaceDE w:val="0"/>
        <w:autoSpaceDN w:val="0"/>
        <w:adjustRightInd w:val="0"/>
        <w:spacing w:after="0" w:line="240" w:lineRule="auto"/>
        <w:jc w:val="both"/>
        <w:rPr>
          <w:rFonts w:ascii="Times New Roman" w:hAnsi="Times New Roman"/>
          <w:color w:val="000000" w:themeColor="text1"/>
          <w:sz w:val="16"/>
          <w:szCs w:val="16"/>
        </w:rPr>
      </w:pPr>
    </w:p>
    <w:p w14:paraId="1FE5B9A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6/12 мая 1944 года вышел приказ № 248с/325с НКБ</w:t>
      </w:r>
    </w:p>
    <w:p w14:paraId="4B105CC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постановлением ГОКО № 5588сс от 9 апреля 1944 года:</w:t>
      </w:r>
    </w:p>
    <w:p w14:paraId="4DC392E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Начальнику Гл. управления оборудования НКАП передать, а начальнику 7 Гл. управления НКБ принять бывший завод № 8 Оргавиапрома НКАП в Днепропетровске (6016, 29).</w:t>
      </w:r>
    </w:p>
    <w:p w14:paraId="62E7C7F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EF27F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мая 1944 года вышел приказ № 229с НКБ</w:t>
      </w:r>
    </w:p>
    <w:p w14:paraId="21DD3BB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исполнение постановления Правительства № 5774сс от 30 апреля 1944 года “о неотложных мерах по обеспечению восстановления заводов №№ 9 и 53 НКБ в г. Шостка (УССР)” (6017, 36).</w:t>
      </w:r>
    </w:p>
    <w:p w14:paraId="3F49E28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84549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мая 1944 года вышел приказ № 231с НКБ</w:t>
      </w:r>
    </w:p>
    <w:p w14:paraId="3FAD44B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исполнение распоряжения СНК за № 9619рс от 1 мая 1944 года:</w:t>
      </w:r>
    </w:p>
    <w:p w14:paraId="7532455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Ликвидировать завод № 549, передав с 1 июня 1944 года программу по выпуску корпусов 45 мм фугасных снарядов на завод № 599 (6017, 84).</w:t>
      </w:r>
    </w:p>
    <w:p w14:paraId="249A4C0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62ADE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3AB5AA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4933E5"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мая в 1944 году оперативная сводка Совинформбюро:</w:t>
      </w:r>
    </w:p>
    <w:p w14:paraId="2158D879"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6 мая на фронтах существенных изменений не произошло.</w:t>
      </w:r>
    </w:p>
    <w:p w14:paraId="68754C3B"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5 мая в воздушных боях и огнём зенитной артиллерии сбито 62 самолёта противника.»</w:t>
      </w:r>
    </w:p>
    <w:p w14:paraId="76FA6F10"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Удары авиации и кораблей Черноморского флота по судам противника:</w:t>
      </w:r>
    </w:p>
    <w:p w14:paraId="0083ADC8"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«Днём 4 и в ночь на 5 мая наша авиация продолжала наносить удары по судам противника в Чёрном море. В результате действий авиации потоплены транспорт водоизмещением в 3.000 тонн и два сторожевых катера. Двум другим транспортам противника нанесены серьёзные повреждения.</w:t>
      </w:r>
    </w:p>
    <w:p w14:paraId="56AE7399"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районе западнее Севастополя торпедными катерами Черноморского флота разгромлен конвой противника. Прямыми попаданиями торпед потоплены три транспорта общим водоизмещением до 7 тысяч тонн и две быстроходные десантные баржи.»</w:t>
      </w:r>
    </w:p>
    <w:p w14:paraId="7D959949"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противник, пытаясь улучшить свои позиции, предпринял несколько атак. Части Н-ского соединения отбросили немцев на исходные рубежи. При отражении вражеских атак сожжено 3 самоходных орудия и убито более 200 гитлеровцев.</w:t>
      </w:r>
    </w:p>
    <w:p w14:paraId="6F266F9E"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лётчики произвели налёт на аэродром противника в районе Станислава. В результате бомбардировки уничтожено на земле 8 немецких самолётов. Кроме того, в воздушных боях над аэродромом сбито 4 самолёта противника.</w:t>
      </w:r>
    </w:p>
    <w:p w14:paraId="3094E208"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Тирасполь шесть разведчиков во главе с гвардии старшим лейтенантом т. Герасимовым ворвались в траншею противника и в рукопашном бою уничтожили 10 немцев. Вскоре гитлеровцы перешли в контратаку. Советские воины в течение двух часов вели бой с численно превосходящими силами противника. Разведчики удерживали траншею до тех пор, пока им на помощь не подошли наши подразделения.</w:t>
      </w:r>
    </w:p>
    <w:p w14:paraId="5AB01A75"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мая наш самолёт-торпедоносец обнаружил в Финском заливе немецкий транспорт. Лётчик лейтенант т. Клевцов и штурман лейтенант т. Герахин торпедой потопили транспорт противника водоизмещением в 3 тысячи тонн.</w:t>
      </w:r>
    </w:p>
    <w:p w14:paraId="30F3D445"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Литовские партизанские отряды «Освободитель» и «Борьба» пустили под откос пять немецких воинских эшелонов, следовавших к линии фронта. В результате крушений разбиты 4 паровоза и 28 вагонов и платформ. Партизаны отрядов «Мститель», «За победу», «Жальгирис» и имени Адама Мицкевича взорвали свыше 700 рельсов. Движение поездов на этом участке железной дороги прервано на несколько дней.</w:t>
      </w:r>
    </w:p>
    <w:p w14:paraId="152325C6"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Захваченные в плен, а также перешедшие на сторону Красной Армии румынские солдаты и офицеры рассказывают, что отношения между румынами и немцами резко обострились. За последнее время на ряде участков произошли вооружённые стычки между немецкими и румынскими подразделениями. Пленный сублокотенент (соответствует чину лейтенанта) 6 полка 6 румынской кавалерийской дивизии Ион Джорджеску заявил: «У Германии в этой войне не было и нет союзников в обычном смысле слова. Немцы подмяли и поработили Румынию, Венгрию и другие страны. Многие румынские офицеры поняли, что румынская армия нужна немцам только как пушечное мясо. Судьба Румынии немцам глубоко безразлична. Они готовы превратить все города и сёла нашей страны в руины и пепел, лишь бы только отсрочить приближение военных действий к границам Германии. Поэтому немцы расстреливают румынских солдат и офицеров, когда те под натиском русских войск вынуждены отступать. Некоторые румынские офицеры открыто говорят, что мы только выиграем, если Красная Армия изгонит немцев из Румынии и тем самым перенесёт военные действия за пределы нашей страны».</w:t>
      </w:r>
    </w:p>
    <w:p w14:paraId="006CD415"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старший сержант 6 егерского полка 14 румынской пехотной дивизии Ион Селеман рассказал: «Большая группа солдат и офицеров нашего полка решила сдаться в плен. При приближении русских мы все вместе с полковником Гросулеску подняли руки вверх. Немцы, находившиеся позади, открыли огонь и убили многих румынских солдат и офицеров».</w:t>
      </w:r>
    </w:p>
    <w:p w14:paraId="6A10D11D"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солдат 2 роты 25 полка 15 румынской дивизии Костель Раймон заявил: «Румынские солдаты открыто ругают немцев и называют их виновниками войны. Во время переправы через Днестр у моста скопились остатки многих разбитых немецкихи румынских частей. Немцы хотели во что бы то ни стало первыми переправиться через реку. Они наезжали на румын, избивали их, топтали и давили. Командир 25 полка полковник Константинеску приказал одной роте занять позицию у моста и открыть стрельбу по немцам. Немцы также прибегли к оружию. Произошёл настоящий бой. Подошедшие танки помогли немцам одолеть нас. С обеих сторон было много жертв».</w:t>
      </w:r>
    </w:p>
    <w:p w14:paraId="22333B2D"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Жители села Миньковцы, Каменец-Подольской области, составили акт о зверствах немецко-фашистских мерзавцев. В акте говорится: «Гитлеровские разбойники истребили в нашем селе более двух тысяч жителей. Массовые убийства советских людей происходили на Глубочанской горе, в двух километрах от села. Вещи и имущество расстрелянных немцы разграбили. Группу наших односельчан фашистские изверги угнали в Дунаевцы, бросили их в Демьянковскую фосфоритную шахту и живьём засыпали землей. Главными виновниками этих массовых убийств являются начальник немецкой жандармерии Шрамм, немецкие коменданты Симон, Брандт и Кран».</w:t>
      </w:r>
    </w:p>
    <w:p w14:paraId="2271F308"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В.Пионтковский, П.Пидгурский, Е.Шинков, П.Дерешок и другие жители села.» (14883).</w:t>
      </w:r>
    </w:p>
    <w:p w14:paraId="088550E7" w14:textId="77777777" w:rsidR="00417DE1" w:rsidRPr="00070ADE" w:rsidRDefault="00417DE1" w:rsidP="00B56F90">
      <w:pPr>
        <w:spacing w:after="0" w:line="240" w:lineRule="auto"/>
        <w:jc w:val="both"/>
        <w:rPr>
          <w:rFonts w:ascii="Times New Roman" w:hAnsi="Times New Roman"/>
          <w:color w:val="000000" w:themeColor="text1"/>
          <w:sz w:val="16"/>
          <w:szCs w:val="16"/>
        </w:rPr>
      </w:pPr>
    </w:p>
    <w:p w14:paraId="7D7D5C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мая 1944 2 и 3УФ перешли к обороне (340,165).</w:t>
      </w:r>
    </w:p>
    <w:p w14:paraId="4D6498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4E2E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6 мая 1944 в Полтаву из Ирана прибыл первый эшелон с постоянным американским составом авиабазы из 390 чел. До этого 5 судов доставили в Мурманск оборудование и в т.ч. 12393 т металлопокрытия для аэродромов (1261,34).</w:t>
      </w:r>
    </w:p>
    <w:p w14:paraId="7D626E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353C4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495630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88093D"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6 мая в 1944 году совершил первый полет бомбардировщик-штурмовик </w:t>
      </w:r>
      <w:hyperlink r:id="rId119" w:tgtFrame="_blank" w:history="1">
        <w:r w:rsidRPr="00070ADE">
          <w:rPr>
            <w:rFonts w:ascii="Times New Roman" w:hAnsi="Times New Roman"/>
            <w:color w:val="000000" w:themeColor="text1"/>
            <w:sz w:val="16"/>
            <w:szCs w:val="16"/>
          </w:rPr>
          <w:t>«Douglas» «ХА-42» «Mixmaster».</w:t>
        </w:r>
      </w:hyperlink>
    </w:p>
    <w:p w14:paraId="1FD72807" w14:textId="77777777" w:rsidR="00417DE1" w:rsidRPr="00070ADE" w:rsidRDefault="00417DE1" w:rsidP="00B56F90">
      <w:pPr>
        <w:spacing w:after="0" w:line="240" w:lineRule="auto"/>
        <w:jc w:val="both"/>
        <w:rPr>
          <w:rFonts w:ascii="Times New Roman" w:hAnsi="Times New Roman"/>
          <w:color w:val="000000" w:themeColor="text1"/>
          <w:sz w:val="16"/>
          <w:szCs w:val="16"/>
        </w:rPr>
      </w:pPr>
    </w:p>
    <w:p w14:paraId="1C27573B"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6 мая в 1944 году первый полет совершил палубный истребитель </w:t>
      </w:r>
      <w:hyperlink r:id="rId120" w:tgtFrame="_blank" w:history="1">
        <w:r w:rsidRPr="00070ADE">
          <w:rPr>
            <w:rFonts w:ascii="Times New Roman" w:hAnsi="Times New Roman"/>
            <w:color w:val="000000" w:themeColor="text1"/>
            <w:sz w:val="16"/>
            <w:szCs w:val="16"/>
          </w:rPr>
          <w:t xml:space="preserve">«Мицубиси» «А7М1» «Реппу» </w:t>
        </w:r>
      </w:hyperlink>
      <w:r w:rsidRPr="00070ADE">
        <w:rPr>
          <w:rFonts w:ascii="Times New Roman" w:hAnsi="Times New Roman"/>
          <w:color w:val="000000" w:themeColor="text1"/>
          <w:sz w:val="16"/>
          <w:szCs w:val="16"/>
        </w:rPr>
        <w:t>под управлением Ейсаку Сибаяма (14883).</w:t>
      </w:r>
    </w:p>
    <w:p w14:paraId="2C4A3F3D" w14:textId="77777777" w:rsidR="00417DE1" w:rsidRPr="00070ADE" w:rsidRDefault="00417DE1" w:rsidP="00B56F90">
      <w:pPr>
        <w:spacing w:after="0" w:line="240" w:lineRule="auto"/>
        <w:jc w:val="both"/>
        <w:rPr>
          <w:rFonts w:ascii="Times New Roman" w:hAnsi="Times New Roman"/>
          <w:color w:val="000000" w:themeColor="text1"/>
          <w:sz w:val="16"/>
          <w:szCs w:val="16"/>
        </w:rPr>
      </w:pPr>
    </w:p>
    <w:p w14:paraId="3768C19B"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6 мая в 1944 году в пятом вылете над районом Гослара ночной истребитель </w:t>
      </w:r>
      <w:hyperlink r:id="rId121" w:tgtFrame="_blank" w:history="1">
        <w:r w:rsidRPr="00070ADE">
          <w:rPr>
            <w:rFonts w:ascii="Times New Roman" w:hAnsi="Times New Roman"/>
            <w:color w:val="000000" w:themeColor="text1"/>
            <w:sz w:val="16"/>
            <w:szCs w:val="16"/>
          </w:rPr>
          <w:t xml:space="preserve">«Ta-154V-8» </w:t>
        </w:r>
      </w:hyperlink>
      <w:r w:rsidRPr="00070ADE">
        <w:rPr>
          <w:rFonts w:ascii="Times New Roman" w:hAnsi="Times New Roman"/>
          <w:color w:val="000000" w:themeColor="text1"/>
          <w:sz w:val="16"/>
          <w:szCs w:val="16"/>
        </w:rPr>
        <w:t>(сер.№0008, код TE+FL) был атакован американским двухмоторным истребителем «Р-38» "Лайтнинг". На "Фокке-Вульфе" сразу вспыхнул правый двигатель, а деревянная конструкция и бензин способствовали стремительному распространению огня. Пытаясь посадить горящий самолет, обер-фельдфебель Отто Литпольд не справился с управлением из-за поломки шасси и погиб, сгорев в обломках. В целом на конструкцию машины во многом оказал влияние деревянный английский «DH 98» «Mosquito», и не случайно рабочее название «Ta 154» в КБ было таким же – «Moskito». «Ta-154V-8» (сер.№0008, код TE+FL), получил непосредственно перед полетом долгожданные «Jumo213A». Новые "движки" развивали на взлетном режиме 1776 л.с. и вращали пропеллеры «VS111». По существу "восьмерка" стала летающей лабораторией для новой силовой установки, которая весила на 270 кг больше, чем «Jumo211», что и предопределило отсутствие оружия и РЛС. Как видим, жизнь этого прототипа оказалась короткой, самолет провел в воздухе всего три часа и одиннадцать минут (14883).</w:t>
      </w:r>
    </w:p>
    <w:p w14:paraId="48D824DC" w14:textId="77777777" w:rsidR="00417DE1" w:rsidRPr="00070ADE" w:rsidRDefault="00417DE1" w:rsidP="00B56F90">
      <w:pPr>
        <w:spacing w:after="0" w:line="240" w:lineRule="auto"/>
        <w:jc w:val="both"/>
        <w:rPr>
          <w:rFonts w:ascii="Times New Roman" w:hAnsi="Times New Roman"/>
          <w:color w:val="000000" w:themeColor="text1"/>
          <w:sz w:val="16"/>
          <w:szCs w:val="16"/>
        </w:rPr>
      </w:pPr>
    </w:p>
    <w:p w14:paraId="776FC7E6" w14:textId="77777777" w:rsidR="0059136E" w:rsidRPr="00070ADE" w:rsidRDefault="005913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мая 1944 первый полет Blohm &amp; Voss BV 40 (20373).</w:t>
      </w:r>
    </w:p>
    <w:p w14:paraId="1654B5DF" w14:textId="77777777" w:rsidR="0059136E" w:rsidRPr="00070ADE" w:rsidRDefault="0059136E" w:rsidP="00B56F90">
      <w:pPr>
        <w:spacing w:after="0" w:line="240" w:lineRule="auto"/>
        <w:jc w:val="both"/>
        <w:rPr>
          <w:rFonts w:ascii="Times New Roman" w:hAnsi="Times New Roman"/>
          <w:color w:val="000000" w:themeColor="text1"/>
          <w:sz w:val="16"/>
          <w:szCs w:val="16"/>
        </w:rPr>
      </w:pPr>
    </w:p>
    <w:p w14:paraId="52E32067" w14:textId="44610B6D" w:rsidR="0059136E" w:rsidRPr="00070ADE" w:rsidRDefault="005913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Совершил первый полет опытный бомбардировщик-штурмовик Douglas ХА-42 Mixmaster (22511).</w:t>
      </w:r>
    </w:p>
    <w:p w14:paraId="6E5EF9E3" w14:textId="77777777" w:rsidR="0059136E" w:rsidRPr="00070ADE" w:rsidRDefault="0059136E" w:rsidP="00B56F90">
      <w:pPr>
        <w:spacing w:after="0" w:line="240" w:lineRule="auto"/>
        <w:jc w:val="both"/>
        <w:rPr>
          <w:rFonts w:ascii="Times New Roman" w:hAnsi="Times New Roman"/>
          <w:color w:val="000000" w:themeColor="text1"/>
          <w:sz w:val="16"/>
          <w:szCs w:val="16"/>
        </w:rPr>
      </w:pPr>
    </w:p>
    <w:p w14:paraId="4CA57DF0" w14:textId="77777777" w:rsidR="0059136E" w:rsidRPr="00070ADE" w:rsidRDefault="005913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мая 1944 года был облетан первый опытный ХВ-42. «Дуглас» решил воспользоваться большим интересом, который ВВС США проявляли к английскому скоростному дальнему бомбардировщику «Москито» (НиТ №7 2009 г.) и провел сравнительные испытания с модификацией B Mk.XVI этого самолета. Внимание военных акцентировали на превосходстве в вооружении и колоссальной перегоночной дальности: 8690 км, это было бы важно при развертывании машины на Тихоокеанском театре военных действий. С максимальной бомбовой нагрузкой 3600 кг, сброшенной на половине маршрута, при крейсерской скорости 500 км/ч самолет ХВ-42 мог пролететь 2895 км, что тоже было неплохо. Но вместе с тем были вскрыты и крупные недостатки. Усилия в каналах управления не соответствовали нормам и были негармоничны, что делало пилотирование некомфортным. Был затруднен прямой контакт пилотов в раздельных кабинах. Сильные вибрации винтов и перегрев силовой установки из-за «запирания» длинных изогнутых каналов, подающих воздух в радиаторы, делали всю силовую установку ненадежной. Реальные сектора обстрела крыльевых пулеметных установок оказались меньше предусмотренных в проекте и без того ограниченных зон, управлять ими 2-му пилоту было неудобно, особенно левой башней. Самолет на большой скорости имел тенденцию к непроизвольному рысканию, при открытии бомбоотсека курсовая устойчивость еще более ухудшалась.</w:t>
      </w:r>
    </w:p>
    <w:p w14:paraId="03DD3F6D" w14:textId="77777777" w:rsidR="0059136E" w:rsidRPr="00070ADE" w:rsidRDefault="005913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Последнее удалось устранить. На 2-м экземпляре ХВ-42, который был облетан 1 августа 1944 года, сделали общую кабину, при этом скорость не уменьшилась, хотя этого фирма опасалась. Этот самолет совершил беспосадочный перелет из Лонг Бич в Калифорнии в столицу Соединенных Штатов Вашингтон. На одном из участков трассы летчики попутно побили мировой рекорд скорости для самолетов этого класса, разогнавшись до 698 км/ч. Но 16 декабря в районе аэродрома Буллинг в округе Колумбия у самолета не вышло шасси. Топлива было мало, и командир экипажа прика - зал экипажу прыгать, считая посадку на фюзеляж на самолете с торчащим под фюзеляжем килем делом опасным. Машина была разбита, зато убедились, что из самолета с толкающим винтом можно выпрыгнуть и не попасть в «мясорубку» (22854).</w:t>
      </w:r>
    </w:p>
    <w:p w14:paraId="59D6E6E7" w14:textId="77777777" w:rsidR="0059136E" w:rsidRPr="00070ADE" w:rsidRDefault="0059136E" w:rsidP="00B56F90">
      <w:pPr>
        <w:spacing w:after="0" w:line="240" w:lineRule="auto"/>
        <w:jc w:val="both"/>
        <w:rPr>
          <w:rFonts w:ascii="Times New Roman" w:hAnsi="Times New Roman"/>
          <w:color w:val="000000" w:themeColor="text1"/>
          <w:sz w:val="16"/>
          <w:szCs w:val="16"/>
        </w:rPr>
      </w:pPr>
    </w:p>
    <w:p w14:paraId="24650F80" w14:textId="565275B8" w:rsidR="0059136E" w:rsidRPr="00070ADE" w:rsidRDefault="005913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Первый полет совершил палубный истребитель Мицубиси А7М1 "Реппу" под управлением Ейсаку Сибаяма (22511).</w:t>
      </w:r>
    </w:p>
    <w:p w14:paraId="54106456" w14:textId="77777777" w:rsidR="0059136E" w:rsidRPr="00070ADE" w:rsidRDefault="0059136E" w:rsidP="00B56F90">
      <w:pPr>
        <w:spacing w:after="0" w:line="240" w:lineRule="auto"/>
        <w:jc w:val="both"/>
        <w:rPr>
          <w:rFonts w:ascii="Times New Roman" w:hAnsi="Times New Roman"/>
          <w:color w:val="000000" w:themeColor="text1"/>
          <w:sz w:val="16"/>
          <w:szCs w:val="16"/>
        </w:rPr>
      </w:pPr>
    </w:p>
    <w:p w14:paraId="64B4AC24" w14:textId="77777777" w:rsidR="0059136E" w:rsidRPr="00070ADE" w:rsidRDefault="0059136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 мая (ночь) 1944 269 британских бомбардировщиков совершают налеты на железнодорожные объекты в Мант-ла-Жоли, Франция и склады боеприпасов в Сабле-сюр-Сарт и Обинье, Франция. Последние два рейда успешны, но в Мант-ла-Жоли больше всего бомб попадает в город и жилые районы, а не на железнодорожную станцию. Коммодор авиации Рональд Ивелу-Чепмен - второй пилот на борту единственного бомбардировщика, потерянного во время налета на Обинье; попадает в плен к немцам, которые никогда не осознают его старшинство и какие сведения они могли бы получить от него (20373).</w:t>
      </w:r>
    </w:p>
    <w:p w14:paraId="023CBE38" w14:textId="77777777" w:rsidR="0059136E" w:rsidRPr="00070ADE" w:rsidRDefault="0059136E" w:rsidP="00B56F90">
      <w:pPr>
        <w:spacing w:after="0" w:line="240" w:lineRule="auto"/>
        <w:jc w:val="both"/>
        <w:rPr>
          <w:rFonts w:ascii="Times New Roman" w:hAnsi="Times New Roman"/>
          <w:color w:val="000000" w:themeColor="text1"/>
          <w:sz w:val="16"/>
          <w:szCs w:val="16"/>
        </w:rPr>
      </w:pPr>
    </w:p>
    <w:p w14:paraId="270AE5B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мая 1944 англичанами выпущен из тюрьмы Махатма Ганди (4962).</w:t>
      </w:r>
    </w:p>
    <w:p w14:paraId="681A5BA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3A801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D50C0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3CDFF2" w14:textId="77777777" w:rsidR="00CE7D55" w:rsidRPr="00C94B78" w:rsidRDefault="00CE7D55"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В начале мая 1944 г. главный инженер ВВС КА генерал-полковник А.К. Репин обратился к секретарю ЦК ВКП(б) Г.М. Маленкову и наркому авиапромышленности А.И. Шахурину с предложением «рассмотреть вопрос о немедленном запуске этого самолета (Ил-8) в серийное производство… и об изготовлении к 15 июля 30 самолетов в варианте штурмовика-бомбардировщика и 10 самолетов в варианте разведчика-корректировщика».</w:t>
      </w:r>
    </w:p>
    <w:p w14:paraId="6168307C" w14:textId="77777777" w:rsidR="00CE7D55" w:rsidRPr="00C94B78" w:rsidRDefault="00CE7D55"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Ил-2М позицио</w:t>
      </w:r>
      <w:r w:rsidRPr="00C94B78">
        <w:rPr>
          <w:rStyle w:val="aff1"/>
          <w:rFonts w:ascii="Times New Roman" w:hAnsi="Times New Roman" w:cs="Times New Roman"/>
          <w:color w:val="0070C0"/>
          <w:spacing w:val="0"/>
          <w:sz w:val="16"/>
          <w:szCs w:val="16"/>
        </w:rPr>
        <w:softHyphen/>
        <w:t>нировали как «усиленный» Ил-2 как в части боевой нагрузки (максимально 1000 кг бомб, нормально 600 кг), так и в части бронирования (16-милли</w:t>
      </w:r>
      <w:r w:rsidRPr="00C94B78">
        <w:rPr>
          <w:rStyle w:val="aff1"/>
          <w:rFonts w:ascii="Times New Roman" w:hAnsi="Times New Roman" w:cs="Times New Roman"/>
          <w:color w:val="0070C0"/>
          <w:spacing w:val="0"/>
          <w:sz w:val="16"/>
          <w:szCs w:val="16"/>
        </w:rPr>
        <w:softHyphen/>
        <w:t>метровая бронестенка позади стрелка, сбоку его кабина также бронировалась, в отличие от Ил-2 с АМ-38). Впоследствии мотор решили установить на бронированный истребитель Ил-1, а затем – на опытный самолет Ил-АМ-42, который позициониро</w:t>
      </w:r>
      <w:r w:rsidRPr="00C94B78">
        <w:rPr>
          <w:rStyle w:val="aff1"/>
          <w:rFonts w:ascii="Times New Roman" w:hAnsi="Times New Roman" w:cs="Times New Roman"/>
          <w:color w:val="0070C0"/>
          <w:spacing w:val="0"/>
          <w:sz w:val="16"/>
          <w:szCs w:val="16"/>
        </w:rPr>
        <w:softHyphen/>
        <w:t>вался как штурмовик и разведчик-корректировщик. Нормальная полетная масса машины составляла 7260 кг, а перегрузочная – 7660 кг. Максимальная скорость полета получилась равной 472 км/ч на высоте 2500 м. В апреле 1944 г. этот самолет получил новое наименование Ил-8.</w:t>
      </w:r>
    </w:p>
    <w:p w14:paraId="751902A0" w14:textId="77777777" w:rsidR="00CE7D55" w:rsidRPr="00C94B78" w:rsidRDefault="00CE7D55"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Однако судьба распорядилась так, что в серийное производство был передан другой ильюшинский штурмовик с мотором АМ-42, получивший наимено</w:t>
      </w:r>
      <w:r w:rsidRPr="00C94B78">
        <w:rPr>
          <w:rStyle w:val="aff1"/>
          <w:rFonts w:ascii="Times New Roman" w:hAnsi="Times New Roman" w:cs="Times New Roman"/>
          <w:color w:val="0070C0"/>
          <w:spacing w:val="0"/>
          <w:sz w:val="16"/>
          <w:szCs w:val="16"/>
        </w:rPr>
        <w:softHyphen/>
        <w:t>вание Ил-10. Он был разработан в ОКБ-240 на базе ранее созданного бронированного истребителя Ил-1 и отличался гораздо меньшей нормальной полетной массой (6300 кг) при бомбовой нагрузке 400 кг. Главным же его достоинством считалась серьезно возросшая скорость 555 км/ч на высоте 2800 м и 512 км/ч у земли, почти на 150 км/ч превосхо</w:t>
      </w:r>
      <w:r w:rsidRPr="00C94B78">
        <w:rPr>
          <w:rFonts w:ascii="Times New Roman" w:hAnsi="Times New Roman"/>
          <w:noProof/>
          <w:color w:val="0070C0"/>
          <w:sz w:val="16"/>
          <w:szCs w:val="16"/>
        </w:rPr>
        <mc:AlternateContent>
          <mc:Choice Requires="wps">
            <w:drawing>
              <wp:anchor distT="381000" distB="254000" distL="114300" distR="114300" simplePos="0" relativeHeight="251661312" behindDoc="0" locked="0" layoutInCell="1" allowOverlap="1" wp14:anchorId="56797206" wp14:editId="0C183EA1">
                <wp:simplePos x="0" y="0"/>
                <wp:positionH relativeFrom="page">
                  <wp:posOffset>3088640</wp:posOffset>
                </wp:positionH>
                <wp:positionV relativeFrom="margin">
                  <wp:posOffset>9860280</wp:posOffset>
                </wp:positionV>
                <wp:extent cx="2892425" cy="204470"/>
                <wp:effectExtent l="0" t="0" r="0" b="0"/>
                <wp:wrapTopAndBottom/>
                <wp:docPr id="962" name="Shape 962"/>
                <wp:cNvGraphicFramePr/>
                <a:graphic xmlns:a="http://schemas.openxmlformats.org/drawingml/2006/main">
                  <a:graphicData uri="http://schemas.microsoft.com/office/word/2010/wordprocessingShape">
                    <wps:wsp>
                      <wps:cNvSpPr txBox="1"/>
                      <wps:spPr>
                        <a:xfrm>
                          <a:off x="0" y="0"/>
                          <a:ext cx="2892425" cy="204470"/>
                        </a:xfrm>
                        <a:prstGeom prst="rect">
                          <a:avLst/>
                        </a:prstGeom>
                        <a:noFill/>
                      </wps:spPr>
                      <wps:txbx>
                        <w:txbxContent>
                          <w:p w14:paraId="26A88D17" w14:textId="77777777" w:rsidR="00CE7D55" w:rsidRDefault="00CE7D55" w:rsidP="00CE7D55"/>
                        </w:txbxContent>
                      </wps:txbx>
                      <wps:bodyPr wrap="none" lIns="0" tIns="0" rIns="0" bIns="0"/>
                    </wps:wsp>
                  </a:graphicData>
                </a:graphic>
              </wp:anchor>
            </w:drawing>
          </mc:Choice>
          <mc:Fallback>
            <w:pict>
              <v:shapetype w14:anchorId="56797206" id="_x0000_t202" coordsize="21600,21600" o:spt="202" path="m,l,21600r21600,l21600,xe">
                <v:stroke joinstyle="miter"/>
                <v:path gradientshapeok="t" o:connecttype="rect"/>
              </v:shapetype>
              <v:shape id="Shape 962" o:spid="_x0000_s1026" type="#_x0000_t202" style="position:absolute;left:0;text-align:left;margin-left:243.2pt;margin-top:776.4pt;width:227.75pt;height:16.1pt;z-index:251661312;visibility:visible;mso-wrap-style:none;mso-wrap-distance-left:9pt;mso-wrap-distance-top:30pt;mso-wrap-distance-right:9pt;mso-wrap-distance-bottom:20pt;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" filled="f" stroked="f">
                <v:textbox inset="0,0,0,0">
                  <w:txbxContent>
                    <w:p w14:paraId="26A88D17" w14:textId="77777777" w:rsidR="00CE7D55" w:rsidRDefault="00CE7D55" w:rsidP="00CE7D55"/>
                  </w:txbxContent>
                </v:textbox>
                <w10:wrap type="topAndBottom" anchorx="page" anchory="margin"/>
              </v:shape>
            </w:pict>
          </mc:Fallback>
        </mc:AlternateContent>
      </w:r>
      <w:r w:rsidRPr="00C94B78">
        <w:rPr>
          <w:rStyle w:val="aff1"/>
          <w:rFonts w:ascii="Times New Roman" w:hAnsi="Times New Roman" w:cs="Times New Roman"/>
          <w:color w:val="0070C0"/>
          <w:spacing w:val="0"/>
          <w:sz w:val="16"/>
          <w:szCs w:val="16"/>
        </w:rPr>
        <w:t>дившая соответствующие показатели серийного Ил-2. В итоге именно Ил-10, прошедший в июле–августе 1944 г. (25145).</w:t>
      </w:r>
    </w:p>
    <w:p w14:paraId="5B869E72" w14:textId="77777777" w:rsidR="00CE7D55" w:rsidRPr="00C94B78" w:rsidRDefault="00CE7D55" w:rsidP="00B56F90">
      <w:pPr>
        <w:spacing w:after="0" w:line="240" w:lineRule="auto"/>
        <w:jc w:val="both"/>
        <w:rPr>
          <w:rFonts w:ascii="Times New Roman" w:hAnsi="Times New Roman"/>
          <w:color w:val="0070C0"/>
          <w:sz w:val="16"/>
          <w:szCs w:val="16"/>
        </w:rPr>
      </w:pPr>
    </w:p>
    <w:p w14:paraId="3DEA80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мая 1944 эталон Ла-5 на 1944 г. был запущен в серийное производство под обозначением Ла-7, а с ноября 1944 г. Ла-7 полностью вытеснил Ла-5ФН, производство которых прекратилось (кстати, на последних сериях Ла-5ФН внедрены некоторые нововведения "эталона", в частности, на Ла-5ФН 39-й и 41-й серий металлические лонжероны крыла). Большинство серийных Ла-7 выпущено с двумя пушками ШВАК, а не с тремя УБ-20. Пушка УБ-20 представляла собой переделанный под калибр 20 мм пулемет УБ, и поначалу отличалась низкой надежностью; до конца войны изготовили только 368 трехпушечных Ла-7, их строили с марта 1945 г. на заводе № 381 (4707).</w:t>
      </w:r>
    </w:p>
    <w:p w14:paraId="68519B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3DF8E0" w14:textId="77777777" w:rsidR="00CE7D55" w:rsidRPr="00C94B78" w:rsidRDefault="00CE7D5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мая 1944 г. Ла-5 эталон 1944 г. был запущен в серийное производство под обозначением Ла-7, а с ноября 1944 г. Ла-7 полностью вытеснил Ла-5ФН, производство которых прекратилось (кстати, на последних сериях Ла-5ФН внедрены некоторые нововведения «эталона», в частности, на Ла-5ФН 39-й и 41-й серий металлические лонжероны крыла) (25058).</w:t>
      </w:r>
    </w:p>
    <w:p w14:paraId="74819797" w14:textId="77777777" w:rsidR="00CE7D55" w:rsidRPr="00C94B78" w:rsidRDefault="00CE7D55" w:rsidP="00B56F90">
      <w:pPr>
        <w:spacing w:after="0" w:line="240" w:lineRule="auto"/>
        <w:jc w:val="both"/>
        <w:rPr>
          <w:rFonts w:ascii="Times New Roman" w:hAnsi="Times New Roman"/>
          <w:color w:val="0070C0"/>
          <w:sz w:val="16"/>
          <w:szCs w:val="16"/>
        </w:rPr>
      </w:pPr>
    </w:p>
    <w:p w14:paraId="1DCC2823"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мая 1944 г. на имя А.И. Шахурина его за</w:t>
      </w:r>
      <w:r w:rsidRPr="00070ADE">
        <w:rPr>
          <w:rFonts w:ascii="Times New Roman" w:hAnsi="Times New Roman"/>
          <w:color w:val="000000" w:themeColor="text1"/>
          <w:sz w:val="16"/>
          <w:szCs w:val="16"/>
        </w:rPr>
        <w:softHyphen/>
        <w:t>меститель по опытному моторостроению В.П. Кузнецов направил Докладную записку по вопросу высотности моторов и самолётов, где всё выглядело с точностью до наобо</w:t>
      </w:r>
      <w:r w:rsidRPr="00070ADE">
        <w:rPr>
          <w:rFonts w:ascii="Times New Roman" w:hAnsi="Times New Roman"/>
          <w:color w:val="000000" w:themeColor="text1"/>
          <w:sz w:val="16"/>
          <w:szCs w:val="16"/>
        </w:rPr>
        <w:softHyphen/>
        <w:t>рот и заканчивалось очень примечательной фразой (орфография и пунктуация сохра</w:t>
      </w:r>
      <w:r w:rsidRPr="00070ADE">
        <w:rPr>
          <w:rFonts w:ascii="Times New Roman" w:hAnsi="Times New Roman"/>
          <w:color w:val="000000" w:themeColor="text1"/>
          <w:sz w:val="16"/>
          <w:szCs w:val="16"/>
        </w:rPr>
        <w:softHyphen/>
        <w:t>нены):</w:t>
      </w:r>
    </w:p>
    <w:p w14:paraId="3C2C867B"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«Мы весьма обеспокоены тем обстоятельством, что 7-е Главное Управление и самолётчики-конструктора не достаточно серьёзно работают над проб</w:t>
      </w:r>
      <w:r w:rsidRPr="00070ADE">
        <w:rPr>
          <w:rFonts w:ascii="Times New Roman" w:hAnsi="Times New Roman"/>
          <w:color w:val="000000" w:themeColor="text1"/>
          <w:sz w:val="16"/>
          <w:szCs w:val="16"/>
        </w:rPr>
        <w:softHyphen/>
        <w:t>лемой высотности самолётов, возлагая свои надежды, в этом отношении, только на мотор, что является крайним заблуждением. На основании вышеизложенного просим Ваших указаний 7-му Главному Управлению и самолётчикам-конструкторам об усиле</w:t>
      </w:r>
      <w:r w:rsidRPr="00070ADE">
        <w:rPr>
          <w:rFonts w:ascii="Times New Roman" w:hAnsi="Times New Roman"/>
          <w:color w:val="000000" w:themeColor="text1"/>
          <w:sz w:val="16"/>
          <w:szCs w:val="16"/>
        </w:rPr>
        <w:softHyphen/>
        <w:t>нии работ по поднятию высотности истребителей до желаемых высот, в направлении улучшения самолётов, на базе существующих и уже зарекомендовавших себя в полё</w:t>
      </w:r>
      <w:r w:rsidRPr="00070ADE">
        <w:rPr>
          <w:rFonts w:ascii="Times New Roman" w:hAnsi="Times New Roman"/>
          <w:color w:val="000000" w:themeColor="text1"/>
          <w:sz w:val="16"/>
          <w:szCs w:val="16"/>
        </w:rPr>
        <w:softHyphen/>
        <w:t>те высотных моторов». Аргументов в свою защиту у мотористов было более чем дос</w:t>
      </w:r>
      <w:r w:rsidRPr="00070ADE">
        <w:rPr>
          <w:rFonts w:ascii="Times New Roman" w:hAnsi="Times New Roman"/>
          <w:color w:val="000000" w:themeColor="text1"/>
          <w:sz w:val="16"/>
          <w:szCs w:val="16"/>
        </w:rPr>
        <w:softHyphen/>
        <w:t>таточно, хотя в своей основе они повторяли то, что уже говорили прежде:</w:t>
      </w:r>
    </w:p>
    <w:p w14:paraId="132FE644" w14:textId="77777777" w:rsidR="00417DE1" w:rsidRPr="00070ADE" w:rsidRDefault="00417DE1" w:rsidP="00B56F90">
      <w:pPr>
        <w:spacing w:after="0" w:line="240" w:lineRule="auto"/>
        <w:jc w:val="both"/>
        <w:rPr>
          <w:rStyle w:val="59"/>
          <w:rFonts w:ascii="Times New Roman" w:hAnsi="Times New Roman" w:cs="Times New Roman"/>
          <w:color w:val="000000" w:themeColor="text1"/>
          <w:sz w:val="16"/>
          <w:szCs w:val="16"/>
        </w:rPr>
      </w:pPr>
      <w:r w:rsidRPr="00070ADE">
        <w:rPr>
          <w:rStyle w:val="59"/>
          <w:rFonts w:ascii="Times New Roman" w:hAnsi="Times New Roman" w:cs="Times New Roman"/>
          <w:color w:val="000000" w:themeColor="text1"/>
          <w:sz w:val="16"/>
          <w:szCs w:val="16"/>
        </w:rPr>
        <w:t>«1. По самолету Як-9 с мотором М-105ПД.</w:t>
      </w:r>
    </w:p>
    <w:p w14:paraId="2FA1806B"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 завод № 115 были поданы два мотора М-105ПД с высотностью в 9500 мт с водо-воздушными радиаторами, которые заводом № 115, из-за отсутствия самолётов, не были использованы и возвращены в ЦИАМ в апреле 1944 года.</w:t>
      </w:r>
    </w:p>
    <w:p w14:paraId="61C847CF"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для предварительной лётной отработки заводу № 115 был подан мотор М-105ПД с высотностью в 9500 мт без водо-воздушных радиаторов, который на само</w:t>
      </w:r>
      <w:r w:rsidRPr="00070ADE">
        <w:rPr>
          <w:rFonts w:ascii="Times New Roman" w:hAnsi="Times New Roman"/>
          <w:color w:val="000000" w:themeColor="text1"/>
          <w:sz w:val="16"/>
          <w:szCs w:val="16"/>
        </w:rPr>
        <w:softHyphen/>
        <w:t>лёте Як-9 № 29 проходил лётные испытания в ЛИИ НКАП.</w:t>
      </w:r>
    </w:p>
    <w:p w14:paraId="5B77C037"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отчёту ЛИИ НКАП &lt;N9 647 от Х.43 г.), самолёт с этим мотором достиг высо</w:t>
      </w:r>
      <w:r w:rsidRPr="00070ADE">
        <w:rPr>
          <w:rFonts w:ascii="Times New Roman" w:hAnsi="Times New Roman"/>
          <w:color w:val="000000" w:themeColor="text1"/>
          <w:sz w:val="16"/>
          <w:szCs w:val="16"/>
        </w:rPr>
        <w:softHyphen/>
        <w:t>ты 13000 мт. Никаких дефектов по мотору М-105ПД отмечено не было, помимо реко</w:t>
      </w:r>
      <w:r w:rsidRPr="00070ADE">
        <w:rPr>
          <w:rFonts w:ascii="Times New Roman" w:hAnsi="Times New Roman"/>
          <w:color w:val="000000" w:themeColor="text1"/>
          <w:sz w:val="16"/>
          <w:szCs w:val="16"/>
        </w:rPr>
        <w:softHyphen/>
        <w:t>мендаций по проверке впрыска воды для охлаждения воздуха на всасывании, что и было проведено ЦИАМ'ом в январе 1944 года.</w:t>
      </w:r>
    </w:p>
    <w:p w14:paraId="1C15ED07"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сравнении с иностранными высотными моторами подобного класса: «Мерлин» 61, 63, 73, 76 и др., имеющими высотность не выше 7800 мт и «Аллисон Е-11», имеющего высотность 6850 мт — мотор М-105ПД имеет преимущество по достигнутой высоте.</w:t>
      </w:r>
    </w:p>
    <w:p w14:paraId="1032E05D"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несмотря на это, Як-9 с мотором М-105ПД значительно уступает высотному истребителю «Спитфайр» с мотором Мерлин-61, имеющему высотность 15000 мт.</w:t>
      </w:r>
    </w:p>
    <w:p w14:paraId="0AD619D1"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нашему мнению, дальнейшее увеличение высотности Як-9 не может быть полу</w:t>
      </w:r>
      <w:r w:rsidRPr="00070ADE">
        <w:rPr>
          <w:rFonts w:ascii="Times New Roman" w:hAnsi="Times New Roman"/>
          <w:color w:val="000000" w:themeColor="text1"/>
          <w:sz w:val="16"/>
          <w:szCs w:val="16"/>
        </w:rPr>
        <w:softHyphen/>
        <w:t>чено только за счёт мотора, вследствие больших удельных нагрузок на квадратный метр несущей поверхности крыльев (160 кг/м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 [в то время] как на истребителе «Спитфайр» эта нагрузка не превышает 132 кг/м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 и отсутствием специального высотного винта.</w:t>
      </w:r>
    </w:p>
    <w:p w14:paraId="52A92C15"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Этим и объясняется то обстоятельство, что несмотря на увеличение высотности мо</w:t>
      </w:r>
      <w:r w:rsidRPr="00070ADE">
        <w:rPr>
          <w:rFonts w:ascii="Times New Roman" w:hAnsi="Times New Roman"/>
          <w:color w:val="000000" w:themeColor="text1"/>
          <w:sz w:val="16"/>
          <w:szCs w:val="16"/>
        </w:rPr>
        <w:softHyphen/>
        <w:t>тора М-105ПД с 6100 м. до 9500 м. — на 3400 м., высотность самолёта Як-9 подня</w:t>
      </w:r>
      <w:r w:rsidRPr="00070ADE">
        <w:rPr>
          <w:rFonts w:ascii="Times New Roman" w:hAnsi="Times New Roman"/>
          <w:color w:val="000000" w:themeColor="text1"/>
          <w:sz w:val="16"/>
          <w:szCs w:val="16"/>
        </w:rPr>
        <w:softHyphen/>
        <w:t>лась с 11800 м. до 13000 м., т.е. всего на 1200 м.</w:t>
      </w:r>
    </w:p>
    <w:p w14:paraId="3F0D1492" w14:textId="77777777" w:rsidR="00417DE1" w:rsidRPr="00070ADE" w:rsidRDefault="00417DE1" w:rsidP="00B56F90">
      <w:pPr>
        <w:tabs>
          <w:tab w:val="left" w:pos="440"/>
        </w:tabs>
        <w:spacing w:after="0" w:line="240" w:lineRule="auto"/>
        <w:jc w:val="both"/>
        <w:rPr>
          <w:rFonts w:ascii="Times New Roman" w:hAnsi="Times New Roman"/>
          <w:color w:val="000000" w:themeColor="text1"/>
          <w:sz w:val="16"/>
          <w:szCs w:val="16"/>
        </w:rPr>
      </w:pPr>
      <w:r w:rsidRPr="00070ADE">
        <w:rPr>
          <w:rStyle w:val="66"/>
          <w:rFonts w:ascii="Times New Roman" w:hAnsi="Times New Roman" w:cs="Times New Roman"/>
          <w:color w:val="000000" w:themeColor="text1"/>
          <w:sz w:val="16"/>
          <w:szCs w:val="16"/>
        </w:rPr>
        <w:t>2. По самолёту Ла-5 с моторами АШ-82ФН с ТК-3</w:t>
      </w:r>
    </w:p>
    <w:p w14:paraId="73DAF0F0"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 стороны завода № 21 никаких претензий по ТК и системе ТК к 8 Главку и ЦИАМ предъявлено не было. Незначительное увеличение высотности Ла-5, по нашему мне</w:t>
      </w:r>
      <w:r w:rsidRPr="00070ADE">
        <w:rPr>
          <w:rFonts w:ascii="Times New Roman" w:hAnsi="Times New Roman"/>
          <w:color w:val="000000" w:themeColor="text1"/>
          <w:sz w:val="16"/>
          <w:szCs w:val="16"/>
        </w:rPr>
        <w:softHyphen/>
        <w:t>нию, объясняется теми же причинами, что и для Як-9 — чрезмерной нагрузкой на кры</w:t>
      </w:r>
      <w:r w:rsidRPr="00070ADE">
        <w:rPr>
          <w:rFonts w:ascii="Times New Roman" w:hAnsi="Times New Roman"/>
          <w:color w:val="000000" w:themeColor="text1"/>
          <w:sz w:val="16"/>
          <w:szCs w:val="16"/>
        </w:rPr>
        <w:softHyphen/>
        <w:t>ло (186 кг/м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 и отсутствием высотного винта...</w:t>
      </w:r>
    </w:p>
    <w:p w14:paraId="315A2777" w14:textId="77777777" w:rsidR="00417DE1" w:rsidRPr="00070ADE" w:rsidRDefault="00417DE1" w:rsidP="00B56F90">
      <w:pPr>
        <w:tabs>
          <w:tab w:val="left" w:pos="445"/>
        </w:tabs>
        <w:spacing w:after="0" w:line="240" w:lineRule="auto"/>
        <w:jc w:val="both"/>
        <w:rPr>
          <w:rFonts w:ascii="Times New Roman" w:hAnsi="Times New Roman"/>
          <w:color w:val="000000" w:themeColor="text1"/>
          <w:sz w:val="16"/>
          <w:szCs w:val="16"/>
        </w:rPr>
      </w:pPr>
      <w:r w:rsidRPr="00070ADE">
        <w:rPr>
          <w:rStyle w:val="66"/>
          <w:rFonts w:ascii="Times New Roman" w:hAnsi="Times New Roman" w:cs="Times New Roman"/>
          <w:color w:val="000000" w:themeColor="text1"/>
          <w:sz w:val="16"/>
          <w:szCs w:val="16"/>
        </w:rPr>
        <w:t>3. По самолёту Миг с мотором АМ-39 с 2 ТК-Б.</w:t>
      </w:r>
    </w:p>
    <w:p w14:paraId="6AA8D8DE"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лётных испытаниях самолёт Миг с этим мотором потерпел аварию».</w:t>
      </w:r>
    </w:p>
    <w:p w14:paraId="6A94B847"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Докладную записку по честности и объективности можно считать «достойным» отве</w:t>
      </w:r>
      <w:r w:rsidRPr="00070ADE">
        <w:rPr>
          <w:rFonts w:ascii="Times New Roman" w:hAnsi="Times New Roman"/>
          <w:color w:val="000000" w:themeColor="text1"/>
          <w:sz w:val="16"/>
          <w:szCs w:val="16"/>
        </w:rPr>
        <w:softHyphen/>
        <w:t>том конструкторов-мотористов, 8-го Главка и ЦИАМ на выпад А.С. Яковлева. Читая её, кажется, что наши высотные моторы, включая М-105ПД, у которого никаких дефе</w:t>
      </w:r>
      <w:r w:rsidRPr="00070ADE">
        <w:rPr>
          <w:rFonts w:ascii="Times New Roman" w:hAnsi="Times New Roman"/>
          <w:color w:val="000000" w:themeColor="text1"/>
          <w:sz w:val="16"/>
          <w:szCs w:val="16"/>
        </w:rPr>
        <w:softHyphen/>
        <w:t>ктов «отмечено не было», просто замечательные. О недостатках М-105ПД уже много говорилось выше, тем более что 13000 м Як-9 достиг с мотором М-106ПВ, а не с М-105ПД. Иностранные моторы хоть и имели меньшую высотность, но оборудованные ими самолёты в 1944 г. уже выпускались серийно (15830).</w:t>
      </w:r>
    </w:p>
    <w:p w14:paraId="666E70C1" w14:textId="77777777" w:rsidR="00417DE1" w:rsidRPr="00070ADE" w:rsidRDefault="00417DE1" w:rsidP="00B56F90">
      <w:pPr>
        <w:spacing w:after="0" w:line="240" w:lineRule="auto"/>
        <w:jc w:val="both"/>
        <w:rPr>
          <w:rFonts w:ascii="Times New Roman" w:hAnsi="Times New Roman"/>
          <w:color w:val="000000" w:themeColor="text1"/>
          <w:sz w:val="16"/>
          <w:szCs w:val="16"/>
        </w:rPr>
      </w:pPr>
    </w:p>
    <w:p w14:paraId="36D01A32" w14:textId="77777777" w:rsidR="00CE7D55" w:rsidRPr="00C94B78" w:rsidRDefault="00CE7D5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мая 1944 г был построен опытный образец И-225 (5А) МиГ и его передали для прохождения начальных испытаний. Построили его используя второй образец самолета И-220. Свой первый полет истребитель осуществил 21-ого июля 1944-ого года. НКАП утвердил проведение заводских испытаний. На их проведение был назначен ведущий инженер А. Г. Брунов и летчик-испытатель А. П. Якимов. Началась череда вылетов, проверок, доводок и определение летных параметров на различных режимах. Так продолжалось до 9-ого августа, когда во время очередного вылета самолет на потерпел аварию (25214).</w:t>
      </w:r>
    </w:p>
    <w:p w14:paraId="6889CFEC" w14:textId="77777777" w:rsidR="00CE7D55" w:rsidRPr="00C94B78" w:rsidRDefault="00CE7D55" w:rsidP="00B56F90">
      <w:pPr>
        <w:spacing w:after="0" w:line="240" w:lineRule="auto"/>
        <w:jc w:val="both"/>
        <w:rPr>
          <w:rFonts w:ascii="Times New Roman" w:hAnsi="Times New Roman"/>
          <w:color w:val="0070C0"/>
          <w:sz w:val="16"/>
          <w:szCs w:val="16"/>
        </w:rPr>
      </w:pPr>
    </w:p>
    <w:p w14:paraId="7E87761D" w14:textId="1A0B1300" w:rsidR="001D733C" w:rsidRPr="00070ADE" w:rsidRDefault="001D733C"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9951018" w14:textId="77777777" w:rsidR="001D733C" w:rsidRPr="00070ADE" w:rsidRDefault="001D733C"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69762DB" w14:textId="2CB4F581"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мая 1944 г. нарком В.А. Малышев своим приказом утвердил условия хранения и транспортировки двигателей В-2. С июня и впоследствии дизельные заводы (Кировский, № 76 и № 77) должны были обеспечивать горячую консервацию моторов и упаковывать их в специальную деревянную тару. Танкосборочные заводы (№ 112, 174 и 183) обязались хранить В-2 в упакованном виде и без специального разрешения не распаковывать. Отдельно Кировскому заводу впредь запрещалось отправлять моторы на открытых платформах, а использовать только крытые вагоны. Главснаб НКТП обеспечивал дизельные производства тарным лесом. Интересно, что свердловский и барнаульский заводы обязывались изготавливать тару сами, для Кировского завода ее должен был делать УЗТМ (23536).</w:t>
      </w:r>
    </w:p>
    <w:p w14:paraId="48B821E2" w14:textId="77777777" w:rsidR="001D733C" w:rsidRPr="00070ADE" w:rsidRDefault="001D733C" w:rsidP="00B56F90">
      <w:pPr>
        <w:spacing w:after="0" w:line="240" w:lineRule="auto"/>
        <w:jc w:val="both"/>
        <w:rPr>
          <w:rFonts w:ascii="Times New Roman" w:hAnsi="Times New Roman"/>
          <w:color w:val="000000" w:themeColor="text1"/>
          <w:sz w:val="16"/>
          <w:szCs w:val="16"/>
        </w:rPr>
      </w:pPr>
    </w:p>
    <w:p w14:paraId="35E88AB5" w14:textId="2DCB414E"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351E1F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AAE1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мая 1944 г. все три полка (12-й и 132-й 454-й) свели в 132-ю бомбардировочную авиадивизию (бад), командиром которой стал полковник И.П. Скок и соединение достигло стадии боеготовности. В том же месяце дивизию перебросили на Ленинградский фронт, где готовился прорыв укрепленной "линии Маннергейма". Так, 12-й бап, имевший 30 машин, расположился на аэродроме Углово. К началу июня в дивизии насчитывалось 87 Ту-2, в том числе 74 исправных. Соединение вошло в состав 13-й воздушной армии. Первоначально факт наличия в составе советских ВВС целого соединения новых бомбардировщиков хотели сохранить в тайне до начала наступления в Белоруссии, но перевесила необходимость разрушения мощных оборонительных сооружений на финской границе. Только Ту-2 могли летать днем с бомбами ФАБ-1000. Кроме того, его большая дальность облегчала обеспечение операции: машины могли наносить удары с аэродромов в районе Ленинграда. При этом, правда, Сталин приказал военным беречь дивизию "как зеницу ока".</w:t>
      </w:r>
    </w:p>
    <w:p w14:paraId="398CF1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Действия авиации в Карелии начались с 8 июня 1944 г. Самолеты нанесли удары по железнодорожным узлам, мостам, штабам и скоплениям войск противника. Летали группами по семь-девять машин. Прикрытие истребителями осуществлялось только у передовой. На маршруте защиту должны были обеспечить скорость и мощное оборонительное вооружение. Затем Ту-2 также начали работать по оборонительным сооружениям, включая бетонные форты. Летчик 12-го бап И.И. Ширкин вспоминал: "Бомбили скопления войск противника, танковые группировки, железнодорожные узлы, совершая в день по два, а то и по три вылета". Против укреплений использовали фугасные бомбы крупного калибра, а также специальные бетонобойные бомбы серии ДС с ракетными ускорителями, поступившие на вооружение перед самой войной. Их из-за большой длины (более 2 м) размещали на наружной подвеске; при этом еще четыре ФАБ-250 грузили в бомбоотсек. Такие боеприпасы, в частности, применяли в районе Лодейного Поля.</w:t>
      </w:r>
    </w:p>
    <w:p w14:paraId="6F1AD0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ВВС маршал Новиков докладывал Сталину о первых днях боев: "334 БАД потерь не имела, летала днем и работала отлично". Ту-2 действовали днем, крупными группами. Так, в налете на железнодорожный узел в Выборге 15 июня участвовали 23 самолета, 17 июня - 59. Кроме бомбардировки сил противника, Ту-2 использовали и как разведчики. Советские ВВС достигли превосходства в воздухе, поэтому потери в этой операции были небольшими. Например, 12-й бап лишился всего одного самолета - командира 2-й эскадрильи А.А. Шумейко.</w:t>
      </w:r>
    </w:p>
    <w:p w14:paraId="72AEBC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Наступление было успешным. 21 июня советские войска взяли Выборг.</w:t>
      </w:r>
    </w:p>
    <w:p w14:paraId="3494B7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Пребывание 334-й дивизии на Ленинградском фронте было кратковременным. В конце июня соединение перебросили на 3-й Белорусский фронт, в 4-ю воздушную армию, где оно приняло участие в операции "Багратион" по освобождению Белоруссии. Ту-2 использовались с большой интенсивностью, совершая до двух вылетов день. Они наносили удары по войскам на передовой и в ближнем тылу противника, по железнодорожным узлам и складам. Летая "на коротком плече", командир 12-го бап М.П. Васякин довел бомбовую нагрузку своего самолета до предела - 3000 кг. Он же применил групповой взлет - Ту-2 стартовали с аэродрома Улла звеньями, сокращая время на сбор группы в воздухе.</w:t>
      </w:r>
    </w:p>
    <w:p w14:paraId="486122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июле 334-я дивизия опять сменила место. По приказу командования она перешла в подчинение 3-й воздушной армии на 1-м Прибалтийском фронте. Ту-2 летали на бомбежку немецких войск в районах Митавы, Шяуляя, Тильзита, атаковали порты в Либаве и Клайпеде, вели воздушную разведку.</w:t>
      </w:r>
    </w:p>
    <w:p w14:paraId="5164C2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Ту-2 применяли против наиболее важных узлов сопротивления немцев. Бомбили их днем, с горизонтального полета, действуя крупными группами до полка, а несколько вылетов совершили полным составом дивизии (около 100 самолетов). Летали с плотным прикрытием истребителями Як-9 и Р-39. Наиболее удаленные цели располагались в 300 - 500 км от аэродромов базирования, средняя бомбовая нагрузка составляла 1350 кг.</w:t>
      </w:r>
    </w:p>
    <w:p w14:paraId="218BC6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участие в прорыве обороны противника на р. Западная Двина юго-восточнее Риги 132-й полк был удостоен ордена Кутузова 3-й степени. Но сопротивление немцев было упорным; дивизия понесла потери и от истребителей, и от зенитной артиллерии. За три месяца боев в Прибалтике только истребители сбили 10 и повредили еще 16 бомбардировщиков.</w:t>
      </w:r>
    </w:p>
    <w:p w14:paraId="0A4EBE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июля в районе Тукумса в Латвии был сбит и погиб Васякин, который вел свой полк на бомбежку позиций немцев. Как правило, истребители противника атаковали ведомых, пользуясь фактором неожиданности. Еще семь Ту-2 уничтожили немецкие зенитчики.</w:t>
      </w:r>
    </w:p>
    <w:p w14:paraId="09E312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Сменивший Васякина майор И.С. Полевой погиб 20 августа. Он повел 27 самолетов бомбить железнодорожный узел. Бомбардировщики столкнулись с сильным огнем зенитной артиллерии. Ту-2 Полевого был подбит, сам пилот - ранен. Но экипаж сбросил бомбы на цель. На обратном пути бомбардировщик совершил вынужденную посадку на лес. Стрелок вытащил командира из кабины, но тот вскоре скончался.</w:t>
      </w:r>
    </w:p>
    <w:p w14:paraId="67541F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Дивизия воевала в Прибалтике до конца 1944 г. В целом Ту-2 показал себя очень неплохо. Командир 132-го бап подполковник Бугай писал в своем рапорте: "Летный состав полка высоко ценит самолет Ту-2 и успешно ведет работу на этой новой материальной части". В среднем, на один утраченный бомбардировщик приходилось 465 самолето-вылетов. За 1944 г. советские ВВС лишились 77 самолетов этого типа; при этом около 60% машин - непосредственно боевые потери. Доля техники, потерянной в авариях и катастрофах, оказалась меньше, чем у всех других типов фронтовых бомбардировщиков (11988).</w:t>
      </w:r>
    </w:p>
    <w:p w14:paraId="2157CE6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0974E0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799CE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8251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7 мая 1944 состоялся первый полет И-222 МиГ (А3) (4,251) или Миг с АМ-39Б и 2ТК-2Б (2592,223), выпущенного 23 апреля 1944 (с АМ-39Б-1). Летал А.И.Жуков. Не </w:t>
      </w:r>
      <w:r w:rsidRPr="00070ADE">
        <w:rPr>
          <w:rFonts w:ascii="Times New Roman" w:hAnsi="Times New Roman"/>
          <w:color w:val="000000" w:themeColor="text1"/>
          <w:sz w:val="16"/>
          <w:szCs w:val="16"/>
        </w:rPr>
        <w:lastRenderedPageBreak/>
        <w:t>понадобился, так как немецкие разведчики прекратили полеты (1084,46).</w:t>
      </w:r>
    </w:p>
    <w:p w14:paraId="4C8B6B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9F03B2"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7 мая в 1944 году состоялся первый полет опытного cтратосферного истребителя-перехватчика </w:t>
      </w:r>
      <w:hyperlink r:id="rId122" w:tgtFrame="_blank" w:history="1">
        <w:r w:rsidRPr="00070ADE">
          <w:rPr>
            <w:rFonts w:ascii="Times New Roman" w:hAnsi="Times New Roman"/>
            <w:color w:val="000000" w:themeColor="text1"/>
            <w:sz w:val="16"/>
            <w:szCs w:val="16"/>
          </w:rPr>
          <w:t xml:space="preserve">«И-222» («3А») </w:t>
        </w:r>
      </w:hyperlink>
      <w:r w:rsidRPr="00070ADE">
        <w:rPr>
          <w:rFonts w:ascii="Times New Roman" w:hAnsi="Times New Roman"/>
          <w:color w:val="000000" w:themeColor="text1"/>
          <w:sz w:val="16"/>
          <w:szCs w:val="16"/>
        </w:rPr>
        <w:t>ОКБ МиГ, пилот А.И.Жуков (14884).</w:t>
      </w:r>
    </w:p>
    <w:p w14:paraId="3E5D7E09" w14:textId="77777777" w:rsidR="00417DE1" w:rsidRPr="00070ADE" w:rsidRDefault="00417DE1" w:rsidP="00B56F90">
      <w:pPr>
        <w:spacing w:after="0" w:line="240" w:lineRule="auto"/>
        <w:jc w:val="both"/>
        <w:rPr>
          <w:rFonts w:ascii="Times New Roman" w:hAnsi="Times New Roman"/>
          <w:color w:val="000000" w:themeColor="text1"/>
          <w:sz w:val="16"/>
          <w:szCs w:val="16"/>
        </w:rPr>
      </w:pPr>
    </w:p>
    <w:p w14:paraId="23B8E5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7 мая 1944 начались испытания высотного истребителя МИГ с мотором АМ-39Б и 2ТК-2Б. Испытания проводил летчик-испытатель ЛИИ Якимов А.П. (1825).</w:t>
      </w:r>
    </w:p>
    <w:p w14:paraId="0756BA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2D81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на И-222 выполнили первый вылет. Первоначально на И-222 стоял трехлопастный винт серии АВ-5Л, который в дальнейшем заменили на четырехлопастный АВ-9Л-230. Для проведения заводских испытаний самолета в соответствии с приказом НКАП №372 от 1 июня 1944 г. были утверждены ведущий инженер К.П.Ковалевский и летчик-испытатель А.П.Якимов (5852,38).</w:t>
      </w:r>
    </w:p>
    <w:p w14:paraId="5DDF75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99BCB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г. состоялся первый полет опытного стратосферного перехватчика И-222 ОКБ МиГ (6395).</w:t>
      </w:r>
    </w:p>
    <w:p w14:paraId="04E9F8F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0134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7 мая 1944 г. И-222 в первый раз поднялся в небо. Заводские испытания проводили ведущий инженер К.П. Ковалевский и летчик-испытатель А.П. Якимов. В период с 26 июля по 9 августа 1944 г. машину продули в аэродинамической трубе ЦАГИ. После этого произвели доработку самолета: установили новые предкрылки и увеличенный воздухо-воздушный радиатор, борта фюзеляжа обшили металлическими листами (защита от факела пламени, истекающего из турбокомпрессоров). </w:t>
      </w:r>
    </w:p>
    <w:p w14:paraId="0C3FA7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заводских летных испытаний было выполнено 39 полетов. Однако заданных тактико-технических характеристик получить не удалось, в основном из-за неустойчивой работы винтомоторной группы. Гермокабина самолета не доводилась. 19 октября 1944 г. истребитель И-222 передали в ЛИИ для продолжения испытаний. Там он совершил всего три полета. В отчете опытного авиамоторного завода № 300 отмечалось, что одной из основных причин выхода из строя двигателей АМ-39 на машинах ОКБ Микояна являлись неустраненные дефекты маслосистем самолетов (12045).</w:t>
      </w:r>
    </w:p>
    <w:p w14:paraId="01085C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FBB6837" w14:textId="358B58A4"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г. лётчик-испытатель ЛИИ А.П. Якимов выполнил на И-222</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первый полёт. В ходе испытаний на самолёте установили четырёхлопастный винт АВ-9Л-230, а в период с 26 июля по 9 августа выполнили продувку машины в натур</w:t>
      </w:r>
      <w:r w:rsidRPr="00070ADE">
        <w:rPr>
          <w:rFonts w:ascii="Times New Roman" w:hAnsi="Times New Roman"/>
          <w:color w:val="000000" w:themeColor="text1"/>
          <w:sz w:val="16"/>
          <w:szCs w:val="16"/>
        </w:rPr>
        <w:softHyphen/>
        <w:t>ной аэродинамической трубе ЦАГИ Т-101.</w:t>
      </w:r>
    </w:p>
    <w:p w14:paraId="0399FBD9"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расчётам, максимальная скорость И-222 должна была составить 689 км/ч на высоте 12 500 м, а практи</w:t>
      </w:r>
      <w:r w:rsidRPr="00070ADE">
        <w:rPr>
          <w:rFonts w:ascii="Times New Roman" w:hAnsi="Times New Roman"/>
          <w:color w:val="000000" w:themeColor="text1"/>
          <w:sz w:val="16"/>
          <w:szCs w:val="16"/>
        </w:rPr>
        <w:softHyphen/>
        <w:t>ческий потолок — 13 000—14 000 м. Но из-за постоян</w:t>
      </w:r>
      <w:r w:rsidRPr="00070ADE">
        <w:rPr>
          <w:rFonts w:ascii="Times New Roman" w:hAnsi="Times New Roman"/>
          <w:color w:val="000000" w:themeColor="text1"/>
          <w:sz w:val="16"/>
          <w:szCs w:val="16"/>
        </w:rPr>
        <w:softHyphen/>
        <w:t>ных отказов мотора АМ-39Б испытания И-222 шли вяло и в конце концов все работы были прекращены. Неустой</w:t>
      </w:r>
      <w:r w:rsidRPr="00070ADE">
        <w:rPr>
          <w:rFonts w:ascii="Times New Roman" w:hAnsi="Times New Roman"/>
          <w:color w:val="000000" w:themeColor="text1"/>
          <w:sz w:val="16"/>
          <w:szCs w:val="16"/>
        </w:rPr>
        <w:softHyphen/>
        <w:t>чивая работа ВМГ и падение давления масла и бензина не позволили самолёту набрать высоту более 12 000 м (23379).</w:t>
      </w:r>
    </w:p>
    <w:p w14:paraId="455F5CAB" w14:textId="77777777" w:rsidR="001D733C" w:rsidRPr="00070ADE" w:rsidRDefault="001D733C" w:rsidP="00B56F90">
      <w:pPr>
        <w:spacing w:after="0" w:line="240" w:lineRule="auto"/>
        <w:jc w:val="both"/>
        <w:rPr>
          <w:rFonts w:ascii="Times New Roman" w:hAnsi="Times New Roman"/>
          <w:color w:val="000000" w:themeColor="text1"/>
          <w:sz w:val="16"/>
          <w:szCs w:val="16"/>
        </w:rPr>
      </w:pPr>
    </w:p>
    <w:p w14:paraId="7672E5BB"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г. новый высотный перехватчик И</w:t>
      </w:r>
      <w:r w:rsidRPr="00070ADE">
        <w:rPr>
          <w:rFonts w:ascii="Times New Roman" w:hAnsi="Times New Roman"/>
          <w:color w:val="000000" w:themeColor="text1"/>
          <w:sz w:val="16"/>
          <w:szCs w:val="16"/>
        </w:rPr>
        <w:noBreakHyphen/>
        <w:t>222 впервые оторвался от взлётной полосы Центрального аэродрома. Пилотировал его, по</w:t>
      </w:r>
      <w:r w:rsidRPr="00070ADE">
        <w:rPr>
          <w:rFonts w:ascii="Times New Roman" w:hAnsi="Times New Roman"/>
          <w:color w:val="000000" w:themeColor="text1"/>
          <w:sz w:val="16"/>
          <w:szCs w:val="16"/>
        </w:rPr>
        <w:noBreakHyphen/>
        <w:t>видимому, откомандированный из Летно</w:t>
      </w:r>
      <w:r w:rsidRPr="00070ADE">
        <w:rPr>
          <w:rFonts w:ascii="Times New Roman" w:hAnsi="Times New Roman"/>
          <w:color w:val="000000" w:themeColor="text1"/>
          <w:sz w:val="16"/>
          <w:szCs w:val="16"/>
        </w:rPr>
        <w:noBreakHyphen/>
        <w:t>испытательного института А.П. Якимов.</w:t>
      </w:r>
    </w:p>
    <w:p w14:paraId="30E4406E"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ходу испытаний, которые шли не проще предыдущих с многочисленными остановками на доработки систем, на самолёт всё же поставили предусмотренный проектом четырёхлопастный воздушный винт АВ</w:t>
      </w:r>
      <w:r w:rsidRPr="00070ADE">
        <w:rPr>
          <w:rFonts w:ascii="Times New Roman" w:hAnsi="Times New Roman"/>
          <w:color w:val="000000" w:themeColor="text1"/>
          <w:sz w:val="16"/>
          <w:szCs w:val="16"/>
        </w:rPr>
        <w:noBreakHyphen/>
        <w:t>9Л</w:t>
      </w:r>
      <w:r w:rsidRPr="00070ADE">
        <w:rPr>
          <w:rFonts w:ascii="Times New Roman" w:hAnsi="Times New Roman"/>
          <w:color w:val="000000" w:themeColor="text1"/>
          <w:sz w:val="16"/>
          <w:szCs w:val="16"/>
        </w:rPr>
        <w:noBreakHyphen/>
        <w:t>230, что подтверждается фотоснимками машины. Из главных неприятностей была отмечена ненадежная работа системы наддува с новым турбокомпрессором ТК</w:t>
      </w:r>
      <w:r w:rsidRPr="00070ADE">
        <w:rPr>
          <w:rFonts w:ascii="Times New Roman" w:hAnsi="Times New Roman"/>
          <w:color w:val="000000" w:themeColor="text1"/>
          <w:sz w:val="16"/>
          <w:szCs w:val="16"/>
        </w:rPr>
        <w:noBreakHyphen/>
        <w:t>300Б, из</w:t>
      </w:r>
      <w:r w:rsidRPr="00070ADE">
        <w:rPr>
          <w:rFonts w:ascii="Times New Roman" w:hAnsi="Times New Roman"/>
          <w:color w:val="000000" w:themeColor="text1"/>
          <w:sz w:val="16"/>
          <w:szCs w:val="16"/>
        </w:rPr>
        <w:noBreakHyphen/>
        <w:t>за чего наблюдался недобор мощности. В это время, по</w:t>
      </w:r>
      <w:r w:rsidRPr="00070ADE">
        <w:rPr>
          <w:rFonts w:ascii="Times New Roman" w:hAnsi="Times New Roman"/>
          <w:color w:val="000000" w:themeColor="text1"/>
          <w:sz w:val="16"/>
          <w:szCs w:val="16"/>
        </w:rPr>
        <w:noBreakHyphen/>
        <w:t>видимому, компрессор ТК</w:t>
      </w:r>
      <w:r w:rsidRPr="00070ADE">
        <w:rPr>
          <w:rFonts w:ascii="Times New Roman" w:hAnsi="Times New Roman"/>
          <w:color w:val="000000" w:themeColor="text1"/>
          <w:sz w:val="16"/>
          <w:szCs w:val="16"/>
        </w:rPr>
        <w:noBreakHyphen/>
        <w:t>300Б был заменен на два ТК</w:t>
      </w:r>
      <w:r w:rsidRPr="00070ADE">
        <w:rPr>
          <w:rFonts w:ascii="Times New Roman" w:hAnsi="Times New Roman"/>
          <w:color w:val="000000" w:themeColor="text1"/>
          <w:sz w:val="16"/>
          <w:szCs w:val="16"/>
        </w:rPr>
        <w:noBreakHyphen/>
        <w:t>2Б – тех же, что и на самолёте И</w:t>
      </w:r>
      <w:r w:rsidRPr="00070ADE">
        <w:rPr>
          <w:rFonts w:ascii="Times New Roman" w:hAnsi="Times New Roman"/>
          <w:color w:val="000000" w:themeColor="text1"/>
          <w:sz w:val="16"/>
          <w:szCs w:val="16"/>
        </w:rPr>
        <w:noBreakHyphen/>
        <w:t>221 с такой же установкой (23471).</w:t>
      </w:r>
    </w:p>
    <w:p w14:paraId="3F887B6D" w14:textId="77777777" w:rsidR="001D733C" w:rsidRPr="00070ADE" w:rsidRDefault="001D733C" w:rsidP="00B56F90">
      <w:pPr>
        <w:spacing w:after="0" w:line="240" w:lineRule="auto"/>
        <w:jc w:val="both"/>
        <w:rPr>
          <w:rFonts w:ascii="Times New Roman" w:hAnsi="Times New Roman"/>
          <w:color w:val="000000" w:themeColor="text1"/>
          <w:sz w:val="16"/>
          <w:szCs w:val="16"/>
        </w:rPr>
      </w:pPr>
    </w:p>
    <w:p w14:paraId="6F94C9DE" w14:textId="77777777" w:rsidR="00CE7D55" w:rsidRPr="00C94B78" w:rsidRDefault="00CE7D5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7 мая 1944 года А.И. Жуков поднял в воз</w:t>
      </w:r>
      <w:r w:rsidRPr="00C94B78">
        <w:rPr>
          <w:rFonts w:ascii="Times New Roman" w:hAnsi="Times New Roman"/>
          <w:color w:val="0070C0"/>
          <w:sz w:val="16"/>
          <w:szCs w:val="16"/>
        </w:rPr>
        <w:softHyphen/>
        <w:t>дух еще одну машину - «3А» (И-222), оснащенную двигате</w:t>
      </w:r>
      <w:r w:rsidRPr="00C94B78">
        <w:rPr>
          <w:rFonts w:ascii="Times New Roman" w:hAnsi="Times New Roman"/>
          <w:color w:val="0070C0"/>
          <w:sz w:val="16"/>
          <w:szCs w:val="16"/>
        </w:rPr>
        <w:softHyphen/>
        <w:t>лем АМ-39Б-1, доработанным под установку турбоком</w:t>
      </w:r>
      <w:r w:rsidRPr="00C94B78">
        <w:rPr>
          <w:rFonts w:ascii="Times New Roman" w:hAnsi="Times New Roman"/>
          <w:color w:val="0070C0"/>
          <w:sz w:val="16"/>
          <w:szCs w:val="16"/>
        </w:rPr>
        <w:softHyphen/>
        <w:t>прессоров ТК-300Б. В ходе заводских испытаний удалось достигнуть высоты 14 500 метров и скорости 691 км/ч. Не</w:t>
      </w:r>
      <w:r w:rsidRPr="00C94B78">
        <w:rPr>
          <w:rFonts w:ascii="Times New Roman" w:hAnsi="Times New Roman"/>
          <w:color w:val="0070C0"/>
          <w:sz w:val="16"/>
          <w:szCs w:val="16"/>
        </w:rPr>
        <w:softHyphen/>
        <w:t>смотря на высокие достижения, И-222 на государственные испытания не передавали. Якубович не успел найти в архиве документы, раскрывающие причины прекращения работ по И-222. Правда, как следует из юбилейного издания «ОКБ А.И.Микояна — 60 лет», причиной тому стало то, что к тому времени фронт значительно отодвинулся от Москвы и необходимость в высотном перехватчике от</w:t>
      </w:r>
      <w:r w:rsidRPr="00C94B78">
        <w:rPr>
          <w:rFonts w:ascii="Times New Roman" w:hAnsi="Times New Roman"/>
          <w:color w:val="0070C0"/>
          <w:sz w:val="16"/>
          <w:szCs w:val="16"/>
        </w:rPr>
        <w:softHyphen/>
        <w:t>пала (25030).</w:t>
      </w:r>
    </w:p>
    <w:p w14:paraId="3A1133F7" w14:textId="77777777" w:rsidR="00CE7D55" w:rsidRPr="00C94B78" w:rsidRDefault="00CE7D55" w:rsidP="00B56F90">
      <w:pPr>
        <w:spacing w:after="0" w:line="240" w:lineRule="auto"/>
        <w:jc w:val="both"/>
        <w:rPr>
          <w:rFonts w:ascii="Times New Roman" w:hAnsi="Times New Roman"/>
          <w:color w:val="0070C0"/>
          <w:sz w:val="16"/>
          <w:szCs w:val="16"/>
        </w:rPr>
      </w:pPr>
    </w:p>
    <w:p w14:paraId="41036E29" w14:textId="77777777" w:rsidR="00CE7D55" w:rsidRPr="00C94B78" w:rsidRDefault="00CE7D5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7 мая 1944 г. на истребителе И-222</w:t>
      </w:r>
      <w:r>
        <w:rPr>
          <w:rFonts w:ascii="Times New Roman" w:hAnsi="Times New Roman"/>
          <w:color w:val="0070C0"/>
          <w:sz w:val="16"/>
          <w:szCs w:val="16"/>
        </w:rPr>
        <w:t xml:space="preserve"> </w:t>
      </w:r>
      <w:r w:rsidRPr="00C94B78">
        <w:rPr>
          <w:rFonts w:ascii="Times New Roman" w:hAnsi="Times New Roman"/>
          <w:color w:val="0070C0"/>
          <w:sz w:val="16"/>
          <w:szCs w:val="16"/>
        </w:rPr>
        <w:t>выполнили первый вылет. Для проведения заводских испытаний самолета в соответствии с приказом НКАП №372 от 1 июня 1944 г. были утверждены ведущий инженер К.П.Ковалевский и летчик-испытатель А.П.Якимов.</w:t>
      </w:r>
    </w:p>
    <w:p w14:paraId="3BA5F628" w14:textId="77777777" w:rsidR="00CE7D55" w:rsidRPr="00C94B78" w:rsidRDefault="00CE7D5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Первоначально на И-222 стоял трехлопастный винт серии АВ-5Л, который в дальнейшем заменили на четырехлопастный АВ-9Л-230 (25230).</w:t>
      </w:r>
    </w:p>
    <w:p w14:paraId="68E13F82" w14:textId="77777777" w:rsidR="00CE7D55" w:rsidRPr="00C94B78" w:rsidRDefault="00CE7D55" w:rsidP="00B56F90">
      <w:pPr>
        <w:spacing w:after="0" w:line="240" w:lineRule="auto"/>
        <w:jc w:val="both"/>
        <w:rPr>
          <w:rFonts w:ascii="Times New Roman" w:hAnsi="Times New Roman"/>
          <w:color w:val="0070C0"/>
          <w:sz w:val="16"/>
          <w:szCs w:val="16"/>
        </w:rPr>
      </w:pPr>
    </w:p>
    <w:p w14:paraId="38E4512B"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7 мая в 1944 году, завершились летные государственные испытания пушки конструкции А.Нудельмана и А.Суранова </w:t>
      </w:r>
      <w:hyperlink r:id="rId123" w:tgtFrame="_blank" w:history="1">
        <w:r w:rsidRPr="00070ADE">
          <w:rPr>
            <w:rFonts w:ascii="Times New Roman" w:hAnsi="Times New Roman"/>
            <w:color w:val="000000" w:themeColor="text1"/>
            <w:sz w:val="16"/>
            <w:szCs w:val="16"/>
          </w:rPr>
          <w:t xml:space="preserve">«НС-23» </w:t>
        </w:r>
      </w:hyperlink>
      <w:r w:rsidRPr="00070ADE">
        <w:rPr>
          <w:rFonts w:ascii="Times New Roman" w:hAnsi="Times New Roman"/>
          <w:color w:val="000000" w:themeColor="text1"/>
          <w:sz w:val="16"/>
          <w:szCs w:val="16"/>
        </w:rPr>
        <w:t>калибра 23 мм на истребителе «Як-9» (14884).</w:t>
      </w:r>
    </w:p>
    <w:p w14:paraId="2A0AB0BF" w14:textId="77777777" w:rsidR="00417DE1" w:rsidRPr="00070ADE" w:rsidRDefault="00417DE1" w:rsidP="00B56F90">
      <w:pPr>
        <w:spacing w:after="0" w:line="240" w:lineRule="auto"/>
        <w:jc w:val="both"/>
        <w:rPr>
          <w:rFonts w:ascii="Times New Roman" w:hAnsi="Times New Roman"/>
          <w:color w:val="000000" w:themeColor="text1"/>
          <w:sz w:val="16"/>
          <w:szCs w:val="16"/>
        </w:rPr>
      </w:pPr>
    </w:p>
    <w:p w14:paraId="772B515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3DBB0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220A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ГКО свои постановлением принял на вооружение 100-мм полевую пушку БС-3 (1073,76).</w:t>
      </w:r>
    </w:p>
    <w:p w14:paraId="6AF488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3598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Постановление ГКО № 5822 Об организации производства 100 мм полевой пушки образца 1944 года и мероприятиях по восстановлению завода № 232 НКВ ("Большевик" г. Ленинград). РГАНИР, Фонд ГКО, д. 250, лл. 101-112,113-130 (11012).</w:t>
      </w:r>
    </w:p>
    <w:p w14:paraId="1D1DE8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F79B4E1"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в 1944 году постановлением ГКО на вооружение принята 100-мм полевая пушка образца 1944 г. БС-3, прозванная в армии «Зверобоем» (14884).</w:t>
      </w:r>
    </w:p>
    <w:p w14:paraId="1B1CE77E" w14:textId="77777777" w:rsidR="00417DE1" w:rsidRPr="00070ADE" w:rsidRDefault="00417DE1" w:rsidP="00B56F90">
      <w:pPr>
        <w:spacing w:after="0" w:line="240" w:lineRule="auto"/>
        <w:jc w:val="both"/>
        <w:rPr>
          <w:rFonts w:ascii="Times New Roman" w:hAnsi="Times New Roman"/>
          <w:color w:val="000000" w:themeColor="text1"/>
          <w:sz w:val="16"/>
          <w:szCs w:val="16"/>
        </w:rPr>
      </w:pPr>
    </w:p>
    <w:p w14:paraId="3EE998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Постановление ГКО № 5823 О плане производства танков, самоходных артиллерийских установок, дизелей, запасных частей к ним и ремонте танков, артсамоходов и дизелей на май 1944 года. РГАНИР, Фонд ГКО, д. 250, лл. 131-136,137-146 (11012).</w:t>
      </w:r>
    </w:p>
    <w:p w14:paraId="2295DE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A8AC1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Постановление ГКО № 5824 О поставке НКО и НКВМФ боеприпасов в мае 1944 г. РГАНИР, Фонд ГКО, д. 250, лл. 147-152,153-203 (11012).</w:t>
      </w:r>
    </w:p>
    <w:p w14:paraId="68292F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F02DC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Постановление ГКО № 5825 О плане добычи угля по Наркомуглю на май 1944 г. РГАНИР, Фонд ГКО, д. 251, лл. 1-7,8-9 (11012).</w:t>
      </w:r>
    </w:p>
    <w:p w14:paraId="7BD626A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19601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Постановление ГКО № 5826 О плане производства и поставок НКО и НКВМФ артиллерийского, минометного и стрелкового вооружения и военных приборов на май 1944 г. РГАНИР, Фонд ГКО, д. 251, лл. 10-26,27-35 (11012).</w:t>
      </w:r>
    </w:p>
    <w:p w14:paraId="52B154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803F4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Постановление ГКО № 5827 О плане производства и поставок патронов Наркоматом вооружения в мае 1944 года. РГАНИР, Фонд ГКО, д. 251, лл. 36-41,42-49 (11012).</w:t>
      </w:r>
    </w:p>
    <w:p w14:paraId="4ACA23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7BC56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Постановление ГКО № 5828 О плане производства и поставок пистолетов-пулеметов Шпагина и ПП-43 в мае месяце 1944 г. РГАНИР, Фонд ГКО, д. 251, лл. 50-55,56-60 (11012).</w:t>
      </w:r>
    </w:p>
    <w:p w14:paraId="1F429B3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94986E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Распоряжение ГКО № 5829 [О мобилизации в Горьком и области на дровозаготовки 9650 пеших рабочих и 3450 возчиков с лошадьми.] (7229, 61).</w:t>
      </w:r>
    </w:p>
    <w:p w14:paraId="74C8A09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C65A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Распоряжение ГКО № 5830. О сохранении в распоряжении НКАТ РСФСР 86 военнослужащих для работы на авторемонтных заводах. РГАНИР, Фонд ГКО, д. 251, лл. 62 (11012).</w:t>
      </w:r>
    </w:p>
    <w:p w14:paraId="079C64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5CAAFF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Распоряжение ГКО № 5831 [О выделении из запасных частей КА 4365 военнослужащих на сплавные и разгрузочные работы в навигацию 1944 г.] (7229, 63).</w:t>
      </w:r>
    </w:p>
    <w:p w14:paraId="1BCCA34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A0451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Распоряжение ГКО № 5832 [О выделении 10,3 тыс.т трофейного цемента в Николаеве и Херсоне Наркомстрою, НКСП, НКМФ и Главвоенпромстрою при СНК СССР.] (7229, 64).</w:t>
      </w:r>
    </w:p>
    <w:p w14:paraId="63865D1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AE12D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Распоряжение ГКО № 5833 [О мобилизации в Кабардинской АССР 70 возчиков с лошадьми на восстановление Нальчика.] (7229, 65).</w:t>
      </w:r>
    </w:p>
    <w:p w14:paraId="1516D4D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F0488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7 мая 1944 вышло Распоряжение ГКО № 5834 [О мобилизации в Башкирской и Чувашской АССР 330 пеших рабочих и 105 возчиков с лошадьми на заготовку мочала.] </w:t>
      </w:r>
      <w:r w:rsidRPr="00070ADE">
        <w:rPr>
          <w:rFonts w:ascii="Times New Roman" w:hAnsi="Times New Roman"/>
          <w:color w:val="000000" w:themeColor="text1"/>
          <w:sz w:val="16"/>
          <w:szCs w:val="16"/>
        </w:rPr>
        <w:lastRenderedPageBreak/>
        <w:t>(7229, 66).</w:t>
      </w:r>
    </w:p>
    <w:p w14:paraId="481AFF4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C0A61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Распоряжение ГКО № 5835 [Об уменьшении на 22,52 млн. руб. плана капитальных работ хозяйствам Мосгорисполкома.] (7229, 67,68-69).</w:t>
      </w:r>
    </w:p>
    <w:p w14:paraId="4FB0323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8275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Распоряжение ГКО № 5836. Об обеспечении выполнения плана производства поташа Армавирским поташным заводом НКМП РСФСР. РГАНИР, Фонд ГКО, д. 251, лл. 70 (11012).</w:t>
      </w:r>
    </w:p>
    <w:p w14:paraId="68DC67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A8A752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Постановление ГКО № 5837 О строительстве высоководного автогужевого моста через р. Днепр в г. Днепропетровске. (7229, 71-73).</w:t>
      </w:r>
    </w:p>
    <w:p w14:paraId="5CBC9B5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A0AB2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Распоряжение ГКО № 5838 [О создании в Николаеве (УССР) электромеханического завода и организации на нем производства электрооборудования для строящихся кораблей.] (7229, 74-75).</w:t>
      </w:r>
    </w:p>
    <w:p w14:paraId="10D2E0B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04B03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Распоряжение ГКО № 5839 [О мерах по обеспечению НКПС рабочей силой и материалами для строительства объекта №16 НКВД.] (7229, 76-77,78-82).</w:t>
      </w:r>
    </w:p>
    <w:p w14:paraId="1FE9FE7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D4AB3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Распоряжение ГКО № 5840. О поставке НКСП изделий и материалов, необходимых для производства и комплектации штурманских и артиллерийских приборов. РГАНИР, Фонд ГКО, д. 251, лл. 83,84-89 (11012).</w:t>
      </w:r>
    </w:p>
    <w:p w14:paraId="6FB96A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743CE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Постановление ГКО № 5841 О плане производства Наркомсредмаша и его обеспечении металлом во II квартале 1944 года. РГАНИР, Фонд ГКО, д. 251, лл. 90-91 (11012).</w:t>
      </w:r>
    </w:p>
    <w:p w14:paraId="3F4D91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DE014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Постановление ГКО № 5842 О перевозке хлопка-волокна на предприятия текстильной промышленности. РГАНИР, Фонд ГКО, д. 251, лл. 92-94,95 (11012).</w:t>
      </w:r>
    </w:p>
    <w:p w14:paraId="387322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3F8761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Постановление ГКО № 5843 О мероприятиях по обеспечению выполнения программы Наркомстроя на II квартал 1944 г. (7229, 96-108,109-125).</w:t>
      </w:r>
    </w:p>
    <w:p w14:paraId="5DD6083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06465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Постановление ГКО № 5844 Об увеличении производства коллоксилина на Краснокамском целлюлозно-бумажном комбинате Наркомбумпрома. (7229, 126-130,131-137).</w:t>
      </w:r>
    </w:p>
    <w:p w14:paraId="46C4D34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E9ADF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Постановление ГКО № 5845 О развитии производства абразивных изделий на предприятиях Наркомстанкостроения. (7229, 138-146,147-150).</w:t>
      </w:r>
    </w:p>
    <w:p w14:paraId="2AC2F96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E5B7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вышло Постановление ГКО № 5846 О мероприятиях по восстановлению Ленинградского гидролизного завода Главлесоспирта. РГАНИР, Фонд ГКО, д. 251, лл. 151-156,157-170 (11012).</w:t>
      </w:r>
    </w:p>
    <w:p w14:paraId="4BB441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D44CC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г. из дока вывели крейсер Лазарь Каганович и с осени 1944 года он проходил государственные испытания, но окончатель</w:t>
      </w:r>
      <w:r w:rsidRPr="00070ADE">
        <w:rPr>
          <w:rFonts w:ascii="Times New Roman" w:hAnsi="Times New Roman"/>
          <w:color w:val="000000" w:themeColor="text1"/>
          <w:sz w:val="16"/>
          <w:szCs w:val="16"/>
        </w:rPr>
        <w:softHyphen/>
        <w:t>но был принят только в 1947 г. (3898).</w:t>
      </w:r>
    </w:p>
    <w:p w14:paraId="3364DB2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39476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37536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B89E8D"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в 1944 году оперативная сводка Совинформбюро:</w:t>
      </w:r>
    </w:p>
    <w:p w14:paraId="4FA736BA"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7 мая на фронтах существенных изменений непроизошло.</w:t>
      </w:r>
    </w:p>
    <w:p w14:paraId="5CEB5D8D"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6 мая наши войска подбили и уничтожили 14 немецких танков. В воздушных боях и огнём зенитной артиллерии сбит 41 самолёт противника.»</w:t>
      </w:r>
    </w:p>
    <w:p w14:paraId="4C70DE36"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Удары нашей авиации по войскам и технике противника в районе Севастополя:</w:t>
      </w:r>
    </w:p>
    <w:p w14:paraId="21099E5A"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«Днём 6 и в ночь на 7 мая крупные соединения нашей авиации наносили бомбово-штурмовые удары по войскам и технике противника в районе Севастополя. Бомбардировке были подвергнуты скопления немецко-румынских войск, огневые средства, оборонительные сооружения, склады, аэродром и суда противника,находившиеся в порту Севастополь. В результате налётов нашей авиации противник понёс тяжёлые потери. Подавлен огонь многих артиллерийских батарей, взорвано 4 склада боеприпасов и повреждено несколько судов. В воздушных боях и на аэродроме уничтожено 22 немецких самолёта.»</w:t>
      </w:r>
    </w:p>
    <w:p w14:paraId="090CA948"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действия противника ограничивались разведывательными операциями. На одном участке немцы пытались приблизиться к расположению советских войск. Миномётным и ружейно-пулемётным огнём гитлеровцы были рассеяны. На другом участке два взвода немцев, близко подошедших к нашему переднему краю, окружены и ликвидированы.</w:t>
      </w:r>
    </w:p>
    <w:p w14:paraId="45C6E6AE"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западу от города Яссы противник силами пехоты и танков неоднократно атаковал наши позиции. Немцы пытались овладеть высотой, имеющей важное значение. Бойцы Н-ского соединения успешно отбили все атаки противника и нанесли ему большое поражение. На подступах к высоте осталось 11 подбитых немецких танков и 6 самоходных орудий.</w:t>
      </w:r>
    </w:p>
    <w:p w14:paraId="7A8C6B89"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Тирасполь рано утром батальон немцев предпринял атаку и вклинился в передний край нашей обороны. Во второй половине дня наши подразделения контрударом отбросили противника и восстановили положение. На поле боя осталось до 200 вражеских трупов. Захвачены трофеи и пленные.</w:t>
      </w:r>
    </w:p>
    <w:p w14:paraId="78066E29"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Украинский партизанский отряд, действующий в Волынской области, пустил под откос немецкий воинский эшелон. В результате крушения погибло много гитлеровцев. Движение поездов на этом участке железной дороги было прервано на двое суток. Немецкое командование направило против партизан карательный отряд эсэсовцев. Советские патриоты, умело маневрируя, отбили несколько атак противника и уничтожили 70 гитлеровцев. Не добившись успеха, немцы отступили. Через три дня партизаны взорвали еще один эшелон противника, следовавший к линии фронта.</w:t>
      </w:r>
    </w:p>
    <w:p w14:paraId="29BD23CA"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1-м Украинском фронте на сторону Красной Армии перешло несколько групп венгерских солдат и офицеров. Добровольно сдался в плен в полном составе 3 взвод 6 роты 24 полка 24 венгерской пехотной дивизии. Одновременно сложили оружие и сдались в плен 18 венгров из других подразделений того же полка.</w:t>
      </w:r>
    </w:p>
    <w:p w14:paraId="5812D0D3"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Перебежчик Бела Н. рассказал: «Лейтенант Текзо собрал 40 солдат и предложил нам организованно сдаться в плен. Когда мы уже подходили к русским позициям, немцы открыли по нас огонь из пулемётов. Мы залегли. Выждав, пока стрельба немного утихла, мы благополучно дошли до русских окопов и сдались в плен».</w:t>
      </w:r>
    </w:p>
    <w:p w14:paraId="64E223B0"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Сдавшийся в плен ефрейтор 12 батальона 2 венгерской горнострелковой бригады Иштван X. заявил: «Германия оккупировала Венгрию и растоптала ее независимость. Гитлер превратил Венгрию в немецкую колонию. Теперь он хочет горами трупов венгерских солдат преградить советским войскам путь в Германию. Венгерское правительство предало нашу страну. Вместо того, чтобы прогнать немецких оккупантов из Венгрии, правительство приказывает нам воевать против русских. Я не хотел служить правительству изменников и предателей и при первой же возможности сдался в плен».</w:t>
      </w:r>
    </w:p>
    <w:p w14:paraId="52800C80"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публикуется акт о зверствах немецко-фашистских мерзавцев в селе Китай-город, Винницкой области: «Два с лишним года изнывали мы под немецким игом. За время своего хозяйничанья немцы угнали на каторгу свыше 200 жителей нашего села. Многие колхозники всячески уклонялись от поездки в Германию, прятались и скрывались. Восемнадцатого января 1944 года фашистские бандиты поймали Сергея Тодоровского, Харитона Судома и Даниила Тодоровского и сожгли их живьем только за то, что они отказались поехать в Германию. Несколько дней спустя немецкие изверги расстреляли колхозниц Ксению Орёл, Анастасию Перевертеньи многих других за то, что их родственники скрывались от угона в немецкое рабство».</w:t>
      </w:r>
    </w:p>
    <w:p w14:paraId="156C641E" w14:textId="77777777" w:rsidR="00417DE1" w:rsidRPr="00070ADE" w:rsidRDefault="00417DE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Петр Перевертень, Иван Симчук, Григорий Лазарчук, Фёдор Тимошенко, Петр Юрченко.» (14884).</w:t>
      </w:r>
    </w:p>
    <w:p w14:paraId="7A498FA9" w14:textId="77777777" w:rsidR="00417DE1" w:rsidRPr="00070ADE" w:rsidRDefault="00417DE1" w:rsidP="00B56F90">
      <w:pPr>
        <w:spacing w:after="0" w:line="240" w:lineRule="auto"/>
        <w:jc w:val="both"/>
        <w:rPr>
          <w:rFonts w:ascii="Times New Roman" w:hAnsi="Times New Roman"/>
          <w:color w:val="000000" w:themeColor="text1"/>
          <w:sz w:val="16"/>
          <w:szCs w:val="16"/>
        </w:rPr>
      </w:pPr>
    </w:p>
    <w:p w14:paraId="7319528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в ходе кровавых боев за Севастополь советские войска взяли Сапун-гору (4962).</w:t>
      </w:r>
    </w:p>
    <w:p w14:paraId="2D7F38D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B474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May 1944 Russians capture Sevastopol (270).</w:t>
      </w:r>
    </w:p>
    <w:p w14:paraId="19E3A8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C34E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советские войска освободили Севастополь (270).</w:t>
      </w:r>
    </w:p>
    <w:p w14:paraId="58AA39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74F2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г. во время прорыва Севастопольского УР был зарегистрирован лишь единственный случай, когда 3 девятки Пе-2 с ФАБ-500 и 250 нанесли удар и разрушили небольшой по своим размерам и прочности ДОТ в районе колхоза "Большевик"...</w:t>
      </w:r>
    </w:p>
    <w:p w14:paraId="429858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 есть, несмотря на повышенные точности бомбометания с пикирования, оно все же не обеспечивало требуемого уровня подавления обороны противника главным образом из-за отсутствия массированности его применения. Оставалось только одно - массированно бить "с горизонта" по площадям, применяя авиабомбы крупного калибра.</w:t>
      </w:r>
    </w:p>
    <w:p w14:paraId="699916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Опыт боевых действий и полигонные испытания показали, что ФАБ-250 и 500 при сбрасывании их с пикирования (высота ввода в пикирование самолета 2000-3000 м) не пробивали железобетонные перекрытия немецких ДОТ толщиной более 70 см, а ФАБ-1000 - перекрытий толщиной более 1-1,5 м. Железобетонные ДОТ с толщиной перекрытий более 1,5 м в этих условиях вообще не разрушались авиабомбами, стоявшими в это время на вооружении ВВС КА.</w:t>
      </w:r>
    </w:p>
    <w:p w14:paraId="31011D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Небольшие железобетонные ДОТ с толщиной перекрытий около 50 см уверенно разрушались ФАБами калибров 250, 500, 1000 и 2000 кг при удалении точки подрыва в 1,5-2 м, 3-4 м, 6-8 м и 10-12 м, соответственно.</w:t>
      </w:r>
    </w:p>
    <w:p w14:paraId="12D541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Учитывая, что Ил-2 могли брать только две ФАБ-250, эффективность ударов штурмовиков по железобетонным ДОТ не могла быть высокой ни при каком раскладе. В ряде случаев в штурмовых авиаполках местные умельцы обеспечивали подвеску на Ил-2 одной ФАБ-500. В частности, такие бомбы сбрасывали с Ил-2 во время штурма Кенигсберга 6-9 апреля 1945 г.</w:t>
      </w:r>
    </w:p>
    <w:p w14:paraId="1A3792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Применение ПТАБ-2.5-1,5 по железобетонным ЛОТ было малоэффективно. Последние были покрыты земляной обсыпкой, растительностью и т.д. Вследствие этого подрыв ПТАБ происходил на значительном удалении от бетонной поверхности и кумулятивная струя не наносила перекрытию каких-либо значительных повреждений.</w:t>
      </w:r>
    </w:p>
    <w:p w14:paraId="60F821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 эффективности стрелково-пушечного и ракетного вооружения Ил-2 по ДОТам говорить и вовсе не приходится.</w:t>
      </w:r>
    </w:p>
    <w:p w14:paraId="2A3B71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Боевой опыт показал, что главным средством разрушения УР с железобетонными ЛОТ являлась тяжелая артиллерия, главным образом гаубичные орудия калибра 152, 203 и 305 мм. В то же время разрушение опорных пунктов УР с сооружениями преимущественно полевой фортификации уже вполне было под СИЛУ авиации. Например, для разрушения ЛЗОТ или бронедеревяннои огневой точки необходимо было прямое попадание ФАБ-100 или подрыв ФАБ-250 на удалении 1.5-2 м (8687).</w:t>
      </w:r>
    </w:p>
    <w:p w14:paraId="458779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5246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ш активно действовали в поддержке советского наступления. Пехотинцы наводили ш п С.Д.Пруткова буквально на каждое орудие (430,200).</w:t>
      </w:r>
    </w:p>
    <w:p w14:paraId="646644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6988B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5AFC3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69D180" w14:textId="77777777" w:rsidR="00257F65" w:rsidRPr="00070ADE" w:rsidRDefault="00257F6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первый полет Beechcraft XA-38 Grizzly (20373).</w:t>
      </w:r>
    </w:p>
    <w:p w14:paraId="7096F5DC" w14:textId="77777777" w:rsidR="00257F65" w:rsidRPr="00070ADE" w:rsidRDefault="00257F65" w:rsidP="00B56F90">
      <w:pPr>
        <w:spacing w:after="0" w:line="240" w:lineRule="auto"/>
        <w:jc w:val="both"/>
        <w:rPr>
          <w:rFonts w:ascii="Times New Roman" w:hAnsi="Times New Roman"/>
          <w:color w:val="000000" w:themeColor="text1"/>
          <w:sz w:val="16"/>
          <w:szCs w:val="16"/>
        </w:rPr>
      </w:pPr>
    </w:p>
    <w:p w14:paraId="6A62FB5F" w14:textId="6A2E2D8E" w:rsidR="00257F65" w:rsidRPr="00070ADE" w:rsidRDefault="00257F6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Первый полет самолета Beechcraft XA-38 Grizzly.</w:t>
      </w:r>
    </w:p>
    <w:p w14:paraId="72524E7D" w14:textId="77777777" w:rsidR="00257F65" w:rsidRPr="00070ADE" w:rsidRDefault="00257F6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декабре 1942 года ВВС США заключили с компанией «Beechcraft» контракт на два прототипа самолёта модели 28. Первоначально модель 28 должен был стать фронтовым бомбардировщиком, но по ходу разработки было принято решение проектировать штурмовик на замену Douglas A-20 Havoc.</w:t>
      </w:r>
    </w:p>
    <w:p w14:paraId="5A9A0F97" w14:textId="77777777" w:rsidR="00257F65" w:rsidRPr="00070ADE" w:rsidRDefault="00257F6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Штурмовик должен был поражать бронированные и укреплённые цели, такие как танки и бункеры. Для этого штурмовик оснастили 75-мм пушкой с 20 снарядами, установленной в фиксированном положении на носу, а также двумя пулемётами калибра 0,50 (12,7 мм) M2 Browning, стреляющих вперед.</w:t>
      </w:r>
    </w:p>
    <w:p w14:paraId="6354E932" w14:textId="77777777" w:rsidR="00257F65" w:rsidRPr="00070ADE" w:rsidRDefault="00257F6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Оборонительное вооружение состояло из дистанционно управляемых верхних и нижних турелей, каждая из которых была вооружена спаренными пулемётами калибра 0,50 (12,7 мм).</w:t>
      </w:r>
    </w:p>
    <w:p w14:paraId="4B831F18" w14:textId="77777777" w:rsidR="00257F65" w:rsidRPr="00070ADE" w:rsidRDefault="00257F6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года штурмовик «Grizzly» совершил первый полёт. Самолёт показал себя удовлетворительно по всем параметрам и по некоторым параметрам превзошёл ожидания, включая максимальную скорость. Вооружение оказалось вполне эффективным.</w:t>
      </w:r>
    </w:p>
    <w:p w14:paraId="004CC632" w14:textId="77777777" w:rsidR="00257F65" w:rsidRPr="00070ADE" w:rsidRDefault="00257F6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показали, что данный штурмовик не будет готов к предполагаемому вторжению в Японию. К тому же он оснащался двигателями Wright R-3350, уже использовавшимися бомбардировщиками «Boeing B-29 Superfortress». Руководство ВВС США отдало эти двигатели именно B-29, как более приоритетному самолёту. Поэтому проект Beechcraft XA-38 Grizzly был закрыт. Произведено было 2 прототипа (22510).</w:t>
      </w:r>
    </w:p>
    <w:p w14:paraId="1C5C23EA" w14:textId="77777777" w:rsidR="00257F65" w:rsidRPr="00070ADE" w:rsidRDefault="00257F65" w:rsidP="00B56F90">
      <w:pPr>
        <w:spacing w:after="0" w:line="240" w:lineRule="auto"/>
        <w:jc w:val="both"/>
        <w:rPr>
          <w:rFonts w:ascii="Times New Roman" w:hAnsi="Times New Roman"/>
          <w:color w:val="000000" w:themeColor="text1"/>
          <w:sz w:val="16"/>
          <w:szCs w:val="16"/>
        </w:rPr>
      </w:pPr>
    </w:p>
    <w:p w14:paraId="22FC52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7th, 1944: The US 8th Air Force (Doolittle) launches a 1,500-bomber raid against Berlin. In the East, the Red Army recaptures Sevastopol in the Crimea (3819).</w:t>
      </w:r>
    </w:p>
    <w:p w14:paraId="44EE7A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BD172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мая 1944 8ВА США (Дулитл) силами 1500 бомбардировщиков выполнили налет на Берлин (3819).</w:t>
      </w:r>
    </w:p>
    <w:p w14:paraId="7D2093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D1DF48" w14:textId="77777777" w:rsidR="00D4630C" w:rsidRPr="00070ADE" w:rsidRDefault="00D4630C" w:rsidP="00B56F90">
      <w:pPr>
        <w:pStyle w:val="ae"/>
        <w:shd w:val="clear" w:color="auto" w:fill="FFFFFF"/>
        <w:spacing w:before="0" w:after="0"/>
        <w:jc w:val="both"/>
        <w:rPr>
          <w:color w:val="000000" w:themeColor="text1"/>
          <w:sz w:val="16"/>
          <w:szCs w:val="16"/>
        </w:rPr>
      </w:pPr>
      <w:r w:rsidRPr="00070ADE">
        <w:rPr>
          <w:rStyle w:val="a7"/>
          <w:b w:val="0"/>
          <w:color w:val="000000" w:themeColor="text1"/>
          <w:sz w:val="16"/>
          <w:szCs w:val="16"/>
        </w:rPr>
        <w:t>7 мая 1944 года</w:t>
      </w:r>
      <w:r w:rsidRPr="00070ADE">
        <w:rPr>
          <w:color w:val="000000" w:themeColor="text1"/>
          <w:sz w:val="16"/>
          <w:szCs w:val="16"/>
        </w:rPr>
        <w:t xml:space="preserve"> 600 самоле</w:t>
      </w:r>
      <w:r w:rsidRPr="00070ADE">
        <w:rPr>
          <w:color w:val="000000" w:themeColor="text1"/>
          <w:sz w:val="16"/>
          <w:szCs w:val="16"/>
        </w:rPr>
        <w:softHyphen/>
        <w:t xml:space="preserve">тов сбросили 1246 тонн бомб на центр Берлина, потеряв 6 машин. </w:t>
      </w:r>
      <w:r w:rsidRPr="00070ADE">
        <w:rPr>
          <w:rStyle w:val="a7"/>
          <w:b w:val="0"/>
          <w:color w:val="000000" w:themeColor="text1"/>
          <w:sz w:val="16"/>
          <w:szCs w:val="16"/>
        </w:rPr>
        <w:t>8 мая</w:t>
      </w:r>
      <w:r w:rsidRPr="00070ADE">
        <w:rPr>
          <w:color w:val="000000" w:themeColor="text1"/>
          <w:sz w:val="16"/>
          <w:szCs w:val="16"/>
        </w:rPr>
        <w:t xml:space="preserve"> 386 самолетов (25 сбито), а </w:t>
      </w:r>
      <w:r w:rsidRPr="00070ADE">
        <w:rPr>
          <w:rStyle w:val="a7"/>
          <w:b w:val="0"/>
          <w:color w:val="000000" w:themeColor="text1"/>
          <w:sz w:val="16"/>
          <w:szCs w:val="16"/>
        </w:rPr>
        <w:t>19 мая</w:t>
      </w:r>
      <w:r w:rsidRPr="00070ADE">
        <w:rPr>
          <w:color w:val="000000" w:themeColor="text1"/>
          <w:sz w:val="16"/>
          <w:szCs w:val="16"/>
        </w:rPr>
        <w:t xml:space="preserve"> 465 самолетов продолжили бомбардировку жилых районов. Всего до </w:t>
      </w:r>
      <w:r w:rsidRPr="00070ADE">
        <w:rPr>
          <w:rStyle w:val="a7"/>
          <w:b w:val="0"/>
          <w:color w:val="000000" w:themeColor="text1"/>
          <w:sz w:val="16"/>
          <w:szCs w:val="16"/>
        </w:rPr>
        <w:t>21 июня 1944 года</w:t>
      </w:r>
      <w:r w:rsidRPr="00070ADE">
        <w:rPr>
          <w:color w:val="000000" w:themeColor="text1"/>
          <w:sz w:val="16"/>
          <w:szCs w:val="16"/>
        </w:rPr>
        <w:t xml:space="preserve"> они потеряли 113 бомбардировщиков, из них 44 машины были уничтожены на земле, на дозаправке.</w:t>
      </w:r>
    </w:p>
    <w:p w14:paraId="3F6FAA98" w14:textId="77777777" w:rsidR="00D4630C" w:rsidRPr="00070ADE" w:rsidRDefault="00D4630C" w:rsidP="00B56F90">
      <w:pPr>
        <w:pStyle w:val="ae"/>
        <w:shd w:val="clear" w:color="auto" w:fill="FFFFFF"/>
        <w:spacing w:before="0" w:after="0"/>
        <w:jc w:val="both"/>
        <w:rPr>
          <w:color w:val="000000" w:themeColor="text1"/>
          <w:sz w:val="16"/>
          <w:szCs w:val="16"/>
        </w:rPr>
      </w:pPr>
      <w:r w:rsidRPr="00070ADE">
        <w:rPr>
          <w:color w:val="000000" w:themeColor="text1"/>
          <w:sz w:val="16"/>
          <w:szCs w:val="16"/>
        </w:rPr>
        <w:t>До самой осени продолжалось относительное затишье, вызванное высадкой союзных войск в Нормандии, куда была отвлечена значительная часть бомбардировочной авиации. Немецкая столица все же была атакована (17416).</w:t>
      </w:r>
    </w:p>
    <w:p w14:paraId="39F0501A" w14:textId="77777777" w:rsidR="00D4630C" w:rsidRPr="00070ADE" w:rsidRDefault="00D4630C" w:rsidP="00B56F90">
      <w:pPr>
        <w:pStyle w:val="ae"/>
        <w:shd w:val="clear" w:color="auto" w:fill="FFFFFF"/>
        <w:spacing w:before="0" w:after="0"/>
        <w:jc w:val="both"/>
        <w:rPr>
          <w:color w:val="000000" w:themeColor="text1"/>
          <w:sz w:val="16"/>
          <w:szCs w:val="16"/>
        </w:rPr>
      </w:pPr>
    </w:p>
    <w:p w14:paraId="533DC8D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44EC0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349F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8 мая 1944 в ЛИИ НКАП были завершены специальные летные испытания серий</w:t>
      </w:r>
      <w:r w:rsidRPr="00070ADE">
        <w:rPr>
          <w:rFonts w:ascii="Times New Roman" w:hAnsi="Times New Roman"/>
          <w:color w:val="000000" w:themeColor="text1"/>
          <w:sz w:val="16"/>
          <w:szCs w:val="16"/>
        </w:rPr>
        <w:softHyphen/>
        <w:t>ного самолета производства завода № 30 (зав. № 303316) со «стрельчатым крылом» деревянной конструкции на ус</w:t>
      </w:r>
      <w:r w:rsidRPr="00070ADE">
        <w:rPr>
          <w:rFonts w:ascii="Times New Roman" w:hAnsi="Times New Roman"/>
          <w:color w:val="000000" w:themeColor="text1"/>
          <w:sz w:val="16"/>
          <w:szCs w:val="16"/>
        </w:rPr>
        <w:softHyphen/>
        <w:t>тойчивость, управляемость и флаттер с разбалансированным рулем высоты и направ</w:t>
      </w:r>
      <w:r w:rsidRPr="00070ADE">
        <w:rPr>
          <w:rFonts w:ascii="Times New Roman" w:hAnsi="Times New Roman"/>
          <w:color w:val="000000" w:themeColor="text1"/>
          <w:sz w:val="16"/>
          <w:szCs w:val="16"/>
        </w:rPr>
        <w:softHyphen/>
        <w:t>ления. Элероны имели аэродинамическую ком</w:t>
      </w:r>
      <w:r w:rsidRPr="00070ADE">
        <w:rPr>
          <w:rFonts w:ascii="Times New Roman" w:hAnsi="Times New Roman"/>
          <w:color w:val="000000" w:themeColor="text1"/>
          <w:sz w:val="16"/>
          <w:szCs w:val="16"/>
        </w:rPr>
        <w:softHyphen/>
        <w:t>пенсацию 27% вместо 22,5% у серийных само</w:t>
      </w:r>
      <w:r w:rsidRPr="00070ADE">
        <w:rPr>
          <w:rFonts w:ascii="Times New Roman" w:hAnsi="Times New Roman"/>
          <w:color w:val="000000" w:themeColor="text1"/>
          <w:sz w:val="16"/>
          <w:szCs w:val="16"/>
        </w:rPr>
        <w:softHyphen/>
        <w:t>летов. Испытания про</w:t>
      </w:r>
      <w:r w:rsidRPr="00070ADE">
        <w:rPr>
          <w:rFonts w:ascii="Times New Roman" w:hAnsi="Times New Roman"/>
          <w:color w:val="000000" w:themeColor="text1"/>
          <w:sz w:val="16"/>
          <w:szCs w:val="16"/>
        </w:rPr>
        <w:softHyphen/>
        <w:t>водили летчики-испыта</w:t>
      </w:r>
      <w:r w:rsidRPr="00070ADE">
        <w:rPr>
          <w:rFonts w:ascii="Times New Roman" w:hAnsi="Times New Roman"/>
          <w:color w:val="000000" w:themeColor="text1"/>
          <w:sz w:val="16"/>
          <w:szCs w:val="16"/>
        </w:rPr>
        <w:softHyphen/>
        <w:t>тели Л. И.Тарощин,А. Н. Гринчик и Н. С. Рыбко.</w:t>
      </w:r>
    </w:p>
    <w:p w14:paraId="69DB5E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Оказалось, что сня</w:t>
      </w:r>
      <w:r w:rsidRPr="00070ADE">
        <w:rPr>
          <w:rFonts w:ascii="Times New Roman" w:hAnsi="Times New Roman"/>
          <w:color w:val="000000" w:themeColor="text1"/>
          <w:sz w:val="16"/>
          <w:szCs w:val="16"/>
        </w:rPr>
        <w:softHyphen/>
        <w:t>тие балансиров общим весом 14,1 кг смещает центровку самолета впе</w:t>
      </w:r>
      <w:r w:rsidRPr="00070ADE">
        <w:rPr>
          <w:rFonts w:ascii="Times New Roman" w:hAnsi="Times New Roman"/>
          <w:color w:val="000000" w:themeColor="text1"/>
          <w:sz w:val="16"/>
          <w:szCs w:val="16"/>
        </w:rPr>
        <w:softHyphen/>
        <w:t>ред на 0,5% САХ и улуч-шаетего продольную устойчивость со свободным управлением. Кроме этого, снятие балансира руля высоты уменьшило шар</w:t>
      </w:r>
      <w:r w:rsidRPr="00070ADE">
        <w:rPr>
          <w:rFonts w:ascii="Times New Roman" w:hAnsi="Times New Roman"/>
          <w:color w:val="000000" w:themeColor="text1"/>
          <w:sz w:val="16"/>
          <w:szCs w:val="16"/>
        </w:rPr>
        <w:softHyphen/>
        <w:t>нирный момент, вследствие чего усилие на ручке управления изменилось с+1 кг (на себя) на -6 кг (от себя).</w:t>
      </w:r>
    </w:p>
    <w:p w14:paraId="1FC88E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процессе пикирований скорость самолета достигала скорости 468 км/ ч (по прибору), но никаких трясок и вибраций не наблюдалось. При осмот</w:t>
      </w:r>
      <w:r w:rsidRPr="00070ADE">
        <w:rPr>
          <w:rFonts w:ascii="Times New Roman" w:hAnsi="Times New Roman"/>
          <w:color w:val="000000" w:themeColor="text1"/>
          <w:sz w:val="16"/>
          <w:szCs w:val="16"/>
        </w:rPr>
        <w:softHyphen/>
        <w:t>ре самолета после полетов остаточных деформаций не обнаружено.</w:t>
      </w:r>
    </w:p>
    <w:p w14:paraId="6C11FD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Летчики отмечали, что на больших скоростях полета устойчивость само</w:t>
      </w:r>
      <w:r w:rsidRPr="00070ADE">
        <w:rPr>
          <w:rFonts w:ascii="Times New Roman" w:hAnsi="Times New Roman"/>
          <w:color w:val="000000" w:themeColor="text1"/>
          <w:sz w:val="16"/>
          <w:szCs w:val="16"/>
        </w:rPr>
        <w:softHyphen/>
        <w:t>лета с брошенным управлением близ</w:t>
      </w:r>
      <w:r w:rsidRPr="00070ADE">
        <w:rPr>
          <w:rFonts w:ascii="Times New Roman" w:hAnsi="Times New Roman"/>
          <w:color w:val="000000" w:themeColor="text1"/>
          <w:sz w:val="16"/>
          <w:szCs w:val="16"/>
        </w:rPr>
        <w:softHyphen/>
        <w:t xml:space="preserve">ка к нейтральной, затем </w:t>
      </w:r>
      <w:r w:rsidRPr="00070ADE">
        <w:rPr>
          <w:rFonts w:ascii="Times New Roman" w:hAnsi="Times New Roman"/>
          <w:iCs/>
          <w:color w:val="000000" w:themeColor="text1"/>
          <w:sz w:val="16"/>
          <w:szCs w:val="16"/>
        </w:rPr>
        <w:t xml:space="preserve">с </w:t>
      </w:r>
      <w:r w:rsidRPr="00070ADE">
        <w:rPr>
          <w:rFonts w:ascii="Times New Roman" w:hAnsi="Times New Roman"/>
          <w:color w:val="000000" w:themeColor="text1"/>
          <w:sz w:val="16"/>
          <w:szCs w:val="16"/>
        </w:rPr>
        <w:t>уменьшени</w:t>
      </w:r>
      <w:r w:rsidRPr="00070ADE">
        <w:rPr>
          <w:rFonts w:ascii="Times New Roman" w:hAnsi="Times New Roman"/>
          <w:color w:val="000000" w:themeColor="text1"/>
          <w:sz w:val="16"/>
          <w:szCs w:val="16"/>
        </w:rPr>
        <w:softHyphen/>
        <w:t>ем скорости плавно появляется незна</w:t>
      </w:r>
      <w:r w:rsidRPr="00070ADE">
        <w:rPr>
          <w:rFonts w:ascii="Times New Roman" w:hAnsi="Times New Roman"/>
          <w:color w:val="000000" w:themeColor="text1"/>
          <w:sz w:val="16"/>
          <w:szCs w:val="16"/>
        </w:rPr>
        <w:softHyphen/>
        <w:t>чительная неустойчивость.</w:t>
      </w:r>
    </w:p>
    <w:p w14:paraId="093C09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планировании запас устойчиво</w:t>
      </w:r>
      <w:r w:rsidRPr="00070ADE">
        <w:rPr>
          <w:rFonts w:ascii="Times New Roman" w:hAnsi="Times New Roman"/>
          <w:color w:val="000000" w:themeColor="text1"/>
          <w:sz w:val="16"/>
          <w:szCs w:val="16"/>
        </w:rPr>
        <w:softHyphen/>
        <w:t>сти достаточный, с постепенным умень</w:t>
      </w:r>
      <w:r w:rsidRPr="00070ADE">
        <w:rPr>
          <w:rFonts w:ascii="Times New Roman" w:hAnsi="Times New Roman"/>
          <w:color w:val="000000" w:themeColor="text1"/>
          <w:sz w:val="16"/>
          <w:szCs w:val="16"/>
        </w:rPr>
        <w:softHyphen/>
        <w:t>шением запаса при полете на малых скоростях. Нагрузки на ручку управле</w:t>
      </w:r>
      <w:r w:rsidRPr="00070ADE">
        <w:rPr>
          <w:rFonts w:ascii="Times New Roman" w:hAnsi="Times New Roman"/>
          <w:color w:val="000000" w:themeColor="text1"/>
          <w:sz w:val="16"/>
          <w:szCs w:val="16"/>
        </w:rPr>
        <w:softHyphen/>
        <w:t>ния, легко снимаются триммерами.</w:t>
      </w:r>
    </w:p>
    <w:p w14:paraId="5F359E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Выполнение виражей, боевых раз</w:t>
      </w:r>
      <w:r w:rsidRPr="00070ADE">
        <w:rPr>
          <w:rFonts w:ascii="Times New Roman" w:hAnsi="Times New Roman"/>
          <w:color w:val="000000" w:themeColor="text1"/>
          <w:sz w:val="16"/>
          <w:szCs w:val="16"/>
        </w:rPr>
        <w:softHyphen/>
        <w:t>воротов и выходов из пикирования со</w:t>
      </w:r>
      <w:r w:rsidRPr="00070ADE">
        <w:rPr>
          <w:rFonts w:ascii="Times New Roman" w:hAnsi="Times New Roman"/>
          <w:color w:val="000000" w:themeColor="text1"/>
          <w:sz w:val="16"/>
          <w:szCs w:val="16"/>
        </w:rPr>
        <w:softHyphen/>
        <w:t xml:space="preserve">провождается возникновением </w:t>
      </w:r>
      <w:r w:rsidRPr="00070ADE">
        <w:rPr>
          <w:rFonts w:ascii="Times New Roman" w:hAnsi="Times New Roman"/>
          <w:iCs/>
          <w:color w:val="000000" w:themeColor="text1"/>
          <w:sz w:val="16"/>
          <w:szCs w:val="16"/>
        </w:rPr>
        <w:t>«прямых по направлению, но по величине несколь</w:t>
      </w:r>
      <w:r w:rsidRPr="00070ADE">
        <w:rPr>
          <w:rFonts w:ascii="Times New Roman" w:hAnsi="Times New Roman"/>
          <w:iCs/>
          <w:color w:val="000000" w:themeColor="text1"/>
          <w:sz w:val="16"/>
          <w:szCs w:val="16"/>
        </w:rPr>
        <w:softHyphen/>
        <w:t xml:space="preserve">ко больших нормы», </w:t>
      </w:r>
      <w:r w:rsidRPr="00070ADE">
        <w:rPr>
          <w:rFonts w:ascii="Times New Roman" w:hAnsi="Times New Roman"/>
          <w:color w:val="000000" w:themeColor="text1"/>
          <w:sz w:val="16"/>
          <w:szCs w:val="16"/>
        </w:rPr>
        <w:t>усилий на ручке уп</w:t>
      </w:r>
      <w:r w:rsidRPr="00070ADE">
        <w:rPr>
          <w:rFonts w:ascii="Times New Roman" w:hAnsi="Times New Roman"/>
          <w:color w:val="000000" w:themeColor="text1"/>
          <w:sz w:val="16"/>
          <w:szCs w:val="16"/>
        </w:rPr>
        <w:softHyphen/>
        <w:t>равления. При этом возможность срыва в штопор от перетягивания ручки на ви</w:t>
      </w:r>
      <w:r w:rsidRPr="00070ADE">
        <w:rPr>
          <w:rFonts w:ascii="Times New Roman" w:hAnsi="Times New Roman"/>
          <w:color w:val="000000" w:themeColor="text1"/>
          <w:sz w:val="16"/>
          <w:szCs w:val="16"/>
        </w:rPr>
        <w:softHyphen/>
        <w:t>раже почти исключалась.</w:t>
      </w:r>
    </w:p>
    <w:p w14:paraId="26FE66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взлете усилия на ручку управ</w:t>
      </w:r>
      <w:r w:rsidRPr="00070ADE">
        <w:rPr>
          <w:rFonts w:ascii="Times New Roman" w:hAnsi="Times New Roman"/>
          <w:color w:val="000000" w:themeColor="text1"/>
          <w:sz w:val="16"/>
          <w:szCs w:val="16"/>
        </w:rPr>
        <w:softHyphen/>
        <w:t>ления были несколько меньше, чем у серийного самолета. Величина усилий от руля высоты при посадке оценива</w:t>
      </w:r>
      <w:r w:rsidRPr="00070ADE">
        <w:rPr>
          <w:rFonts w:ascii="Times New Roman" w:hAnsi="Times New Roman"/>
          <w:color w:val="000000" w:themeColor="text1"/>
          <w:sz w:val="16"/>
          <w:szCs w:val="16"/>
        </w:rPr>
        <w:softHyphen/>
        <w:t>лась нормальной.</w:t>
      </w:r>
    </w:p>
    <w:p w14:paraId="08B29C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проверки полученных результатов дополнительны</w:t>
      </w:r>
      <w:r w:rsidRPr="00070ADE">
        <w:rPr>
          <w:rFonts w:ascii="Times New Roman" w:hAnsi="Times New Roman"/>
          <w:color w:val="000000" w:themeColor="text1"/>
          <w:sz w:val="16"/>
          <w:szCs w:val="16"/>
        </w:rPr>
        <w:softHyphen/>
        <w:t>ми испытаниями еще двух серийных штурмовиков выпуска за</w:t>
      </w:r>
      <w:r w:rsidRPr="00070ADE">
        <w:rPr>
          <w:rFonts w:ascii="Times New Roman" w:hAnsi="Times New Roman"/>
          <w:color w:val="000000" w:themeColor="text1"/>
          <w:sz w:val="16"/>
          <w:szCs w:val="16"/>
        </w:rPr>
        <w:softHyphen/>
        <w:t>вода № 30 (зав. № 304230) и завода № 1 (зав. № 10565) специа</w:t>
      </w:r>
      <w:r w:rsidRPr="00070ADE">
        <w:rPr>
          <w:rFonts w:ascii="Times New Roman" w:hAnsi="Times New Roman"/>
          <w:color w:val="000000" w:themeColor="text1"/>
          <w:sz w:val="16"/>
          <w:szCs w:val="16"/>
        </w:rPr>
        <w:softHyphen/>
        <w:t>листы института рекомендовали проведение полной весовой разбалансировки на всех самолетах Ил-2.</w:t>
      </w:r>
    </w:p>
    <w:p w14:paraId="472404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Военные летчики из НИИ ВВС с мнением ЛИИ НКАП не согласились. Входе специальных испытаний в период с 5 по 10 июля 1944 г. серийного Ил-2 «крыло со стрелкой» завода № 30 (зав. № 304783) с разбалансированными рулями высоты и направления был сде</w:t>
      </w:r>
      <w:r w:rsidRPr="00070ADE">
        <w:rPr>
          <w:rFonts w:ascii="Times New Roman" w:hAnsi="Times New Roman"/>
          <w:color w:val="000000" w:themeColor="text1"/>
          <w:sz w:val="16"/>
          <w:szCs w:val="16"/>
        </w:rPr>
        <w:softHyphen/>
        <w:t>лан вывод, что одновременно с увели</w:t>
      </w:r>
      <w:r w:rsidRPr="00070ADE">
        <w:rPr>
          <w:rFonts w:ascii="Times New Roman" w:hAnsi="Times New Roman"/>
          <w:color w:val="000000" w:themeColor="text1"/>
          <w:sz w:val="16"/>
          <w:szCs w:val="16"/>
        </w:rPr>
        <w:softHyphen/>
        <w:t>чением продольной устойчивости уп</w:t>
      </w:r>
      <w:r w:rsidRPr="00070ADE">
        <w:rPr>
          <w:rFonts w:ascii="Times New Roman" w:hAnsi="Times New Roman"/>
          <w:color w:val="000000" w:themeColor="text1"/>
          <w:sz w:val="16"/>
          <w:szCs w:val="16"/>
        </w:rPr>
        <w:softHyphen/>
        <w:t>равляемость самолета значительно ухудшилась. Нагрузки на ручке управ</w:t>
      </w:r>
      <w:r w:rsidRPr="00070ADE">
        <w:rPr>
          <w:rFonts w:ascii="Times New Roman" w:hAnsi="Times New Roman"/>
          <w:color w:val="000000" w:themeColor="text1"/>
          <w:sz w:val="16"/>
          <w:szCs w:val="16"/>
        </w:rPr>
        <w:softHyphen/>
        <w:t>ления рулем высоты при выполнении боевого разворота, виража, горки и на выводе из пикирования высоты замет</w:t>
      </w:r>
      <w:r w:rsidRPr="00070ADE">
        <w:rPr>
          <w:rFonts w:ascii="Times New Roman" w:hAnsi="Times New Roman"/>
          <w:color w:val="000000" w:themeColor="text1"/>
          <w:sz w:val="16"/>
          <w:szCs w:val="16"/>
        </w:rPr>
        <w:softHyphen/>
        <w:t>но увеличились. Усложнилась техника выполнения посадки. При отрегулиро</w:t>
      </w:r>
      <w:r w:rsidRPr="00070ADE">
        <w:rPr>
          <w:rFonts w:ascii="Times New Roman" w:hAnsi="Times New Roman"/>
          <w:color w:val="000000" w:themeColor="text1"/>
          <w:sz w:val="16"/>
          <w:szCs w:val="16"/>
        </w:rPr>
        <w:softHyphen/>
        <w:t>ванном на планировании триммере ручка управления с трудом добиралась «на себя», а после посадки на пробеге она с силой уходила «от себя» и удер</w:t>
      </w:r>
      <w:r w:rsidRPr="00070ADE">
        <w:rPr>
          <w:rFonts w:ascii="Times New Roman" w:hAnsi="Times New Roman"/>
          <w:color w:val="000000" w:themeColor="text1"/>
          <w:sz w:val="16"/>
          <w:szCs w:val="16"/>
        </w:rPr>
        <w:softHyphen/>
        <w:t>жать ее трудно.</w:t>
      </w:r>
    </w:p>
    <w:p w14:paraId="4BCBA9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Кроме этого, обнаружилась </w:t>
      </w:r>
      <w:r w:rsidRPr="00070ADE">
        <w:rPr>
          <w:rFonts w:ascii="Times New Roman" w:hAnsi="Times New Roman"/>
          <w:iCs/>
          <w:color w:val="000000" w:themeColor="text1"/>
          <w:sz w:val="16"/>
          <w:szCs w:val="16"/>
        </w:rPr>
        <w:t>«тряс</w:t>
      </w:r>
      <w:r w:rsidRPr="00070ADE">
        <w:rPr>
          <w:rFonts w:ascii="Times New Roman" w:hAnsi="Times New Roman"/>
          <w:iCs/>
          <w:color w:val="000000" w:themeColor="text1"/>
          <w:sz w:val="16"/>
          <w:szCs w:val="16"/>
        </w:rPr>
        <w:softHyphen/>
        <w:t>ка рулей и их систем управления, ощу</w:t>
      </w:r>
      <w:r w:rsidRPr="00070ADE">
        <w:rPr>
          <w:rFonts w:ascii="Times New Roman" w:hAnsi="Times New Roman"/>
          <w:iCs/>
          <w:color w:val="000000" w:themeColor="text1"/>
          <w:sz w:val="16"/>
          <w:szCs w:val="16"/>
        </w:rPr>
        <w:softHyphen/>
        <w:t>щаемая летчиком в форме непрекраща</w:t>
      </w:r>
      <w:r w:rsidRPr="00070ADE">
        <w:rPr>
          <w:rFonts w:ascii="Times New Roman" w:hAnsi="Times New Roman"/>
          <w:iCs/>
          <w:color w:val="000000" w:themeColor="text1"/>
          <w:sz w:val="16"/>
          <w:szCs w:val="16"/>
        </w:rPr>
        <w:softHyphen/>
        <w:t>ющегося - постоянного дрожания руч</w:t>
      </w:r>
      <w:r w:rsidRPr="00070ADE">
        <w:rPr>
          <w:rFonts w:ascii="Times New Roman" w:hAnsi="Times New Roman"/>
          <w:iCs/>
          <w:color w:val="000000" w:themeColor="text1"/>
          <w:sz w:val="16"/>
          <w:szCs w:val="16"/>
        </w:rPr>
        <w:softHyphen/>
        <w:t>ки и педалей в течение всего полета от старта до посадки, т.е. на всех ре</w:t>
      </w:r>
      <w:r w:rsidRPr="00070ADE">
        <w:rPr>
          <w:rFonts w:ascii="Times New Roman" w:hAnsi="Times New Roman"/>
          <w:iCs/>
          <w:color w:val="000000" w:themeColor="text1"/>
          <w:sz w:val="16"/>
          <w:szCs w:val="16"/>
        </w:rPr>
        <w:softHyphen/>
        <w:t>жимах и скоростях, причем с увеличе</w:t>
      </w:r>
      <w:r w:rsidRPr="00070ADE">
        <w:rPr>
          <w:rFonts w:ascii="Times New Roman" w:hAnsi="Times New Roman"/>
          <w:iCs/>
          <w:color w:val="000000" w:themeColor="text1"/>
          <w:sz w:val="16"/>
          <w:szCs w:val="16"/>
        </w:rPr>
        <w:softHyphen/>
        <w:t xml:space="preserve">нием скорости тряска увеличивается». </w:t>
      </w:r>
      <w:r w:rsidRPr="00070ADE">
        <w:rPr>
          <w:rFonts w:ascii="Times New Roman" w:hAnsi="Times New Roman"/>
          <w:color w:val="000000" w:themeColor="text1"/>
          <w:sz w:val="16"/>
          <w:szCs w:val="16"/>
        </w:rPr>
        <w:t>При этом колебания имели вид биений. Наличие биений указывало на бли</w:t>
      </w:r>
      <w:r w:rsidRPr="00070ADE">
        <w:rPr>
          <w:rFonts w:ascii="Times New Roman" w:hAnsi="Times New Roman"/>
          <w:color w:val="000000" w:themeColor="text1"/>
          <w:sz w:val="16"/>
          <w:szCs w:val="16"/>
        </w:rPr>
        <w:softHyphen/>
        <w:t>зость резонанса собственных колеба</w:t>
      </w:r>
      <w:r w:rsidRPr="00070ADE">
        <w:rPr>
          <w:rFonts w:ascii="Times New Roman" w:hAnsi="Times New Roman"/>
          <w:color w:val="000000" w:themeColor="text1"/>
          <w:sz w:val="16"/>
          <w:szCs w:val="16"/>
        </w:rPr>
        <w:softHyphen/>
        <w:t>ний руля высоты с пульсацией аэро</w:t>
      </w:r>
      <w:r w:rsidRPr="00070ADE">
        <w:rPr>
          <w:rFonts w:ascii="Times New Roman" w:hAnsi="Times New Roman"/>
          <w:color w:val="000000" w:themeColor="text1"/>
          <w:sz w:val="16"/>
          <w:szCs w:val="16"/>
        </w:rPr>
        <w:softHyphen/>
        <w:t>динамического потока. Это обстоя</w:t>
      </w:r>
      <w:r w:rsidRPr="00070ADE">
        <w:rPr>
          <w:rFonts w:ascii="Times New Roman" w:hAnsi="Times New Roman"/>
          <w:color w:val="000000" w:themeColor="text1"/>
          <w:sz w:val="16"/>
          <w:szCs w:val="16"/>
        </w:rPr>
        <w:softHyphen/>
        <w:t>тельство сочли весьма опасным для прочности самолета.</w:t>
      </w:r>
    </w:p>
    <w:p w14:paraId="5F450C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Ведущий летчик-испытатель заме</w:t>
      </w:r>
      <w:r w:rsidRPr="00070ADE">
        <w:rPr>
          <w:rFonts w:ascii="Times New Roman" w:hAnsi="Times New Roman"/>
          <w:color w:val="000000" w:themeColor="text1"/>
          <w:sz w:val="16"/>
          <w:szCs w:val="16"/>
        </w:rPr>
        <w:softHyphen/>
        <w:t>ститель начальника 4-го отдела управ</w:t>
      </w:r>
      <w:r w:rsidRPr="00070ADE">
        <w:rPr>
          <w:rFonts w:ascii="Times New Roman" w:hAnsi="Times New Roman"/>
          <w:color w:val="000000" w:themeColor="text1"/>
          <w:sz w:val="16"/>
          <w:szCs w:val="16"/>
        </w:rPr>
        <w:softHyphen/>
        <w:t>ления испытаний самолетов инженер-майор А. В. Синельников отмечал, что разбалансировка рулей привела к по</w:t>
      </w:r>
      <w:r w:rsidRPr="00070ADE">
        <w:rPr>
          <w:rFonts w:ascii="Times New Roman" w:hAnsi="Times New Roman"/>
          <w:color w:val="000000" w:themeColor="text1"/>
          <w:sz w:val="16"/>
          <w:szCs w:val="16"/>
        </w:rPr>
        <w:softHyphen/>
        <w:t>явлению у самолета серьезных недо</w:t>
      </w:r>
      <w:r w:rsidRPr="00070ADE">
        <w:rPr>
          <w:rFonts w:ascii="Times New Roman" w:hAnsi="Times New Roman"/>
          <w:color w:val="000000" w:themeColor="text1"/>
          <w:sz w:val="16"/>
          <w:szCs w:val="16"/>
        </w:rPr>
        <w:softHyphen/>
        <w:t>статков, усложняющих технику пилотирования, которые никак не могут быть компенсированы некоторым уве</w:t>
      </w:r>
      <w:r w:rsidRPr="00070ADE">
        <w:rPr>
          <w:rFonts w:ascii="Times New Roman" w:hAnsi="Times New Roman"/>
          <w:color w:val="000000" w:themeColor="text1"/>
          <w:sz w:val="16"/>
          <w:szCs w:val="16"/>
        </w:rPr>
        <w:softHyphen/>
        <w:t>личением продольной устойчивости.</w:t>
      </w:r>
    </w:p>
    <w:p w14:paraId="76F1F0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Такого же мнения придерживались и летчики облета, в том числе замести</w:t>
      </w:r>
      <w:r w:rsidRPr="00070ADE">
        <w:rPr>
          <w:rFonts w:ascii="Times New Roman" w:hAnsi="Times New Roman"/>
          <w:color w:val="000000" w:themeColor="text1"/>
          <w:sz w:val="16"/>
          <w:szCs w:val="16"/>
        </w:rPr>
        <w:softHyphen/>
        <w:t>тель начальника управления испыта</w:t>
      </w:r>
      <w:r w:rsidRPr="00070ADE">
        <w:rPr>
          <w:rFonts w:ascii="Times New Roman" w:hAnsi="Times New Roman"/>
          <w:color w:val="000000" w:themeColor="text1"/>
          <w:sz w:val="16"/>
          <w:szCs w:val="16"/>
        </w:rPr>
        <w:softHyphen/>
        <w:t>ний самолетов по летной части гене</w:t>
      </w:r>
      <w:r w:rsidRPr="00070ADE">
        <w:rPr>
          <w:rFonts w:ascii="Times New Roman" w:hAnsi="Times New Roman"/>
          <w:color w:val="000000" w:themeColor="text1"/>
          <w:sz w:val="16"/>
          <w:szCs w:val="16"/>
        </w:rPr>
        <w:softHyphen/>
        <w:t xml:space="preserve">рал-майор Стефановский. При этом Стефановский </w:t>
      </w:r>
      <w:r w:rsidRPr="00070ADE">
        <w:rPr>
          <w:rFonts w:ascii="Times New Roman" w:hAnsi="Times New Roman"/>
          <w:iCs/>
          <w:color w:val="000000" w:themeColor="text1"/>
          <w:sz w:val="16"/>
          <w:szCs w:val="16"/>
        </w:rPr>
        <w:t xml:space="preserve">в </w:t>
      </w:r>
      <w:r w:rsidRPr="00070ADE">
        <w:rPr>
          <w:rFonts w:ascii="Times New Roman" w:hAnsi="Times New Roman"/>
          <w:color w:val="000000" w:themeColor="text1"/>
          <w:sz w:val="16"/>
          <w:szCs w:val="16"/>
        </w:rPr>
        <w:t>донесении об облете самолета потребовал запретить снятие на Ил-2 весовых балансиров (11215).</w:t>
      </w:r>
    </w:p>
    <w:p w14:paraId="6809AA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CF4B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8 мая 1944 в ЛИИ НКАП были завершены специальные летные испытания серийного самолета производства завода № 30 (зав. № 303316) со "стрельчатым крылом" деревянной конструкции на устойчивость, управляемость и флаттер с разбалансирован- ным рулем высоты и направления. Элероны имели аэродинамическую компенсацию 27% вместо 22,5% у серийных самолетов. Испытания проводили летчики-испытатели Л. И. Тарощин, А. Н. Гринчик и Н. С. Рыбко. Результаты обработки показаний установленных на самолете приборов-самописцев типа ЛИИ подтвердили отзывы летчиков.</w:t>
      </w:r>
    </w:p>
    <w:p w14:paraId="0C9E1B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Оказалось, что разбалансировка смещает центровку самолета вперед на 0,5% САХ и улучшает его продольную устойчивость со свободным управлением. Кроме этого, снятие балансира руля высоты весом (с трубой) 12,3 кг уменьшило шарнирный момент, вследствие чего усилие на ручке управления изменилось с +1 кг (на себя) на -6 кг (от себя).</w:t>
      </w:r>
    </w:p>
    <w:p w14:paraId="288E082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процессе пикирований скорость самолета достигала 468 км/ч (по прибору), но никаких трясок и вибраций не наблюдалось. При осмотре самолета после полетов остаточных деформаций не обнаружено.</w:t>
      </w:r>
    </w:p>
    <w:p w14:paraId="6BDB69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Летчики отмечали, что на больших скоростях полета устойчивость самолета с брошенным управлением близка к нейтральной, затем с уменьшением скорости плавно появляется незначительная неустойчивость.</w:t>
      </w:r>
    </w:p>
    <w:p w14:paraId="5B69643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планировании запас устойчивости достаточный, с постепенным уменьшением при полете на малых скоростях. Нагрузки на ручку управления, легко снимаются триммерами.</w:t>
      </w:r>
    </w:p>
    <w:p w14:paraId="7535E9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Выполнение виражей, боевых разворотов и выходов из пикирования сопровождается возникновением "прямых по направлению, но по величине несколько больших нормы", усилий на ручке управления. При этом возможность срыва в штопор от перетягивания ручки на вираже почти исключалась.</w:t>
      </w:r>
    </w:p>
    <w:p w14:paraId="304989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взлете усилия на ручку управления были несколько меньше, чем у серийного самолета. Величина усилий от руля высоты при посадке оценивалась нормальной.</w:t>
      </w:r>
    </w:p>
    <w:p w14:paraId="103F852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Обратной стороной "изъятия" балансиров в системе управления являлись "неприятные подергивания ручки при рулении", из-за несбалансированности руля высоты, но это считалось вполне приемлемым.</w:t>
      </w:r>
    </w:p>
    <w:p w14:paraId="6FE405A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проверки полученных результатов дополнительными испытаниями еще двух серийных штурмовиков выпуска завода № 30 (зав. №304230) и завода № 1 (зав. №10565) специалисты института рекомендовали проведение полной весовой разба- лансировки на всех самолетах Ил-2 (12020).</w:t>
      </w:r>
    </w:p>
    <w:p w14:paraId="19B8D0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231DD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мая 1944 года Шахурин писал письмо N Н-7/2339 начальнику 7 гл. управления Шишкину С.Н., начальнику Московского филиала ЦАГИ Балыкову Г.Н.</w:t>
      </w:r>
    </w:p>
    <w:p w14:paraId="2E12B1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исполнение распоряжения ГКО от 4 мая 1944 года, N 5817с, предлагаю изготовить и поставить НКО (ГАУ КА) опытные образцы аэростатов заграждения: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4D4663" w:rsidRPr="00070ADE" w14:paraId="431CF1C9" w14:textId="77777777">
        <w:tc>
          <w:tcPr>
            <w:tcW w:w="3757" w:type="dxa"/>
          </w:tcPr>
          <w:p w14:paraId="1E346D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опытный аэростат заграждения системы</w:t>
            </w:r>
          </w:p>
        </w:tc>
        <w:tc>
          <w:tcPr>
            <w:tcW w:w="3757" w:type="dxa"/>
          </w:tcPr>
          <w:p w14:paraId="5C4BAB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E0A10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102F339" w14:textId="77777777">
        <w:tc>
          <w:tcPr>
            <w:tcW w:w="3757" w:type="dxa"/>
          </w:tcPr>
          <w:p w14:paraId="487483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"Тандем" с потолком 700 м и допустимой</w:t>
            </w:r>
          </w:p>
        </w:tc>
        <w:tc>
          <w:tcPr>
            <w:tcW w:w="3757" w:type="dxa"/>
          </w:tcPr>
          <w:p w14:paraId="38EF9E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B957D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51722AF" w14:textId="77777777">
        <w:tc>
          <w:tcPr>
            <w:tcW w:w="3757" w:type="dxa"/>
          </w:tcPr>
          <w:p w14:paraId="39398C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скоростью ветра 20 м/сек.</w:t>
            </w:r>
          </w:p>
        </w:tc>
        <w:tc>
          <w:tcPr>
            <w:tcW w:w="3757" w:type="dxa"/>
          </w:tcPr>
          <w:p w14:paraId="6FE220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шт.</w:t>
            </w:r>
          </w:p>
        </w:tc>
        <w:tc>
          <w:tcPr>
            <w:tcW w:w="3757" w:type="dxa"/>
          </w:tcPr>
          <w:p w14:paraId="50FDD6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августа 1944 г.</w:t>
            </w:r>
          </w:p>
        </w:tc>
      </w:tr>
      <w:tr w:rsidR="004D4663" w:rsidRPr="00070ADE" w14:paraId="6F40B2A1" w14:textId="77777777">
        <w:tc>
          <w:tcPr>
            <w:tcW w:w="3757" w:type="dxa"/>
          </w:tcPr>
          <w:p w14:paraId="539A51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опытный одиночный аэростат заграждения</w:t>
            </w:r>
          </w:p>
        </w:tc>
        <w:tc>
          <w:tcPr>
            <w:tcW w:w="3757" w:type="dxa"/>
          </w:tcPr>
          <w:p w14:paraId="622E5D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27CC9A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8688EF1" w14:textId="77777777">
        <w:tc>
          <w:tcPr>
            <w:tcW w:w="3757" w:type="dxa"/>
          </w:tcPr>
          <w:p w14:paraId="2011CC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потолком 2500 м и допустимой скоростью</w:t>
            </w:r>
          </w:p>
        </w:tc>
        <w:tc>
          <w:tcPr>
            <w:tcW w:w="3757" w:type="dxa"/>
          </w:tcPr>
          <w:p w14:paraId="65ED16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37A5D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B3BE391" w14:textId="77777777">
        <w:tc>
          <w:tcPr>
            <w:tcW w:w="3757" w:type="dxa"/>
          </w:tcPr>
          <w:p w14:paraId="7E4065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ветра 30 м/сек.</w:t>
            </w:r>
          </w:p>
        </w:tc>
        <w:tc>
          <w:tcPr>
            <w:tcW w:w="3757" w:type="dxa"/>
          </w:tcPr>
          <w:p w14:paraId="07922B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шт.</w:t>
            </w:r>
          </w:p>
        </w:tc>
        <w:tc>
          <w:tcPr>
            <w:tcW w:w="3757" w:type="dxa"/>
          </w:tcPr>
          <w:p w14:paraId="0D8E68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августа 1944 г.</w:t>
            </w:r>
          </w:p>
        </w:tc>
      </w:tr>
      <w:tr w:rsidR="004D4663" w:rsidRPr="00070ADE" w14:paraId="19FEEB0B" w14:textId="77777777">
        <w:tc>
          <w:tcPr>
            <w:tcW w:w="3757" w:type="dxa"/>
          </w:tcPr>
          <w:p w14:paraId="339607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Специальное оборудование (вооружение) к</w:t>
            </w:r>
          </w:p>
        </w:tc>
        <w:tc>
          <w:tcPr>
            <w:tcW w:w="3757" w:type="dxa"/>
          </w:tcPr>
          <w:p w14:paraId="1DB4DF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3EDF5C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FBD1515" w14:textId="77777777">
        <w:tc>
          <w:tcPr>
            <w:tcW w:w="3757" w:type="dxa"/>
          </w:tcPr>
          <w:p w14:paraId="638BC1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аэростатам заграждения для поражения</w:t>
            </w:r>
          </w:p>
        </w:tc>
        <w:tc>
          <w:tcPr>
            <w:tcW w:w="3757" w:type="dxa"/>
          </w:tcPr>
          <w:p w14:paraId="03787C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405BE0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CCEA7A4" w14:textId="77777777">
        <w:tc>
          <w:tcPr>
            <w:tcW w:w="3757" w:type="dxa"/>
          </w:tcPr>
          <w:p w14:paraId="33DE80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самолетов противника со скоростью полета</w:t>
            </w:r>
          </w:p>
        </w:tc>
        <w:tc>
          <w:tcPr>
            <w:tcW w:w="3757" w:type="dxa"/>
          </w:tcPr>
          <w:p w14:paraId="79F664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7C74ED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5106D0" w:rsidRPr="00070ADE" w14:paraId="648FC594" w14:textId="77777777">
        <w:tc>
          <w:tcPr>
            <w:tcW w:w="3757" w:type="dxa"/>
          </w:tcPr>
          <w:p w14:paraId="0F0215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600 км/час</w:t>
            </w:r>
          </w:p>
        </w:tc>
        <w:tc>
          <w:tcPr>
            <w:tcW w:w="3757" w:type="dxa"/>
          </w:tcPr>
          <w:p w14:paraId="5DFC97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3E552C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сентября 1944 г. (1825,35)</w:t>
            </w:r>
          </w:p>
        </w:tc>
      </w:tr>
    </w:tbl>
    <w:p w14:paraId="7A9BA4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FAAF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мая 1944 вышло Постановление ГКО № 5848 Об организации производства моторов М-88Б для бомбардировщиков Ил-4 на заводе № 478 Наркомавиапрома в г.Запорожье. РГАНИР, Фонд ГКО, д. 251, лл. 173-176,177-182 (11012).</w:t>
      </w:r>
    </w:p>
    <w:p w14:paraId="0F3754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8B7EE00" w14:textId="77777777" w:rsidR="003A33F9" w:rsidRPr="00070ADE" w:rsidRDefault="003A33F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мая 1944 вышло Постановление ГКО № 5848 Об организации производства моторов М-88Б для бомбардировщиков Ил-4 на заводе № 478 Наркомавиапрома в г.Запорожье</w:t>
      </w:r>
    </w:p>
    <w:p w14:paraId="23325396" w14:textId="77777777" w:rsidR="003A33F9" w:rsidRPr="00070ADE" w:rsidRDefault="003A33F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Государствонный Комитет Оборсны постановляет:</w:t>
      </w:r>
    </w:p>
    <w:p w14:paraId="5CBD764F" w14:textId="77777777" w:rsidR="003A33F9" w:rsidRPr="00070ADE" w:rsidRDefault="003A33F9" w:rsidP="00B56F90">
      <w:pPr>
        <w:tabs>
          <w:tab w:val="left" w:pos="171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Обязать Наркомавиапром - т.Шахурина восстано</w:t>
      </w:r>
      <w:r w:rsidRPr="00070ADE">
        <w:rPr>
          <w:rFonts w:ascii="Times New Roman" w:hAnsi="Times New Roman"/>
          <w:color w:val="000000" w:themeColor="text1"/>
          <w:sz w:val="16"/>
          <w:szCs w:val="16"/>
        </w:rPr>
        <w:softHyphen/>
        <w:t>вить разрушенные и поврежденные промышленные об"екты бывшего завода № 29 в г.Запорожье (в настоящее время завод № 478 НКАП) и организовать выпуск моторов М-88Б на этом заводе, с постепенным переводом производства моторов М-88Б с завода № 29 (г.Омск) на завод № 478,</w:t>
      </w:r>
    </w:p>
    <w:p w14:paraId="6B70A637" w14:textId="195A5F00" w:rsidR="003A33F9" w:rsidRPr="00070ADE" w:rsidRDefault="003A33F9" w:rsidP="00B56F90">
      <w:pPr>
        <w:tabs>
          <w:tab w:val="left" w:pos="173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Установить Наркомавиапрому следующую</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програм</w:t>
      </w:r>
      <w:r w:rsidRPr="00070ADE">
        <w:rPr>
          <w:rFonts w:ascii="Times New Roman" w:hAnsi="Times New Roman"/>
          <w:color w:val="000000" w:themeColor="text1"/>
          <w:sz w:val="16"/>
          <w:szCs w:val="16"/>
        </w:rPr>
        <w:softHyphen/>
        <w:t>му выпуска моторов М-88Б на заводе № 478:</w:t>
      </w:r>
    </w:p>
    <w:p w14:paraId="5BA56CF0" w14:textId="77777777" w:rsidR="003A33F9" w:rsidRPr="00070ADE" w:rsidRDefault="003A33F9" w:rsidP="00B56F90">
      <w:pPr>
        <w:tabs>
          <w:tab w:val="left" w:pos="172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 выпуску ремонтных моторов М-88Б: в июне - 15, в июле - 25 и в августе - 40 моторов, с выходом к 1 сентября с.г. на выпуск двух ремонтных моторов в сутки;</w:t>
      </w:r>
    </w:p>
    <w:p w14:paraId="74510ED2" w14:textId="77777777" w:rsidR="003A33F9" w:rsidRPr="00070ADE" w:rsidRDefault="003A33F9" w:rsidP="00B56F90">
      <w:pPr>
        <w:tabs>
          <w:tab w:val="left" w:pos="173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 выпуску моторов М-88Б из деталей производ</w:t>
      </w:r>
      <w:r w:rsidRPr="00070ADE">
        <w:rPr>
          <w:rFonts w:ascii="Times New Roman" w:hAnsi="Times New Roman"/>
          <w:color w:val="000000" w:themeColor="text1"/>
          <w:sz w:val="16"/>
          <w:szCs w:val="16"/>
        </w:rPr>
        <w:softHyphen/>
        <w:t>ства завода № 29: в августе - 10 моторов, в сентябре - 25, в октябре - 50, ноябре - 75 и с декабря 1944 года - по 100 моторов в месяц;</w:t>
      </w:r>
    </w:p>
    <w:p w14:paraId="64B2941C" w14:textId="77777777" w:rsidR="003A33F9" w:rsidRPr="00070ADE" w:rsidRDefault="003A33F9" w:rsidP="00B56F90">
      <w:pPr>
        <w:tabs>
          <w:tab w:val="left" w:pos="173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 выпуску моторов М-88Б из деталей собствен</w:t>
      </w:r>
      <w:r w:rsidRPr="00070ADE">
        <w:rPr>
          <w:rFonts w:ascii="Times New Roman" w:hAnsi="Times New Roman"/>
          <w:color w:val="000000" w:themeColor="text1"/>
          <w:sz w:val="16"/>
          <w:szCs w:val="16"/>
        </w:rPr>
        <w:softHyphen/>
        <w:t>ного производства: в мае 1945 года - 10 моторов, в ию</w:t>
      </w:r>
      <w:r w:rsidRPr="00070ADE">
        <w:rPr>
          <w:rFonts w:ascii="Times New Roman" w:hAnsi="Times New Roman"/>
          <w:color w:val="000000" w:themeColor="text1"/>
          <w:sz w:val="16"/>
          <w:szCs w:val="16"/>
        </w:rPr>
        <w:softHyphen/>
        <w:t>не - 15 моторов и г. июле 1945 года обеспечить выпуск по одному мотору в сутки.</w:t>
      </w:r>
    </w:p>
    <w:p w14:paraId="31E8DFE6" w14:textId="77777777" w:rsidR="003A33F9" w:rsidRPr="00070ADE" w:rsidRDefault="003A33F9" w:rsidP="00B56F90">
      <w:pPr>
        <w:tabs>
          <w:tab w:val="left" w:pos="95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Обязать Наркомавиапром - т.Шахурина и директо</w:t>
      </w:r>
      <w:r w:rsidRPr="00070ADE">
        <w:rPr>
          <w:rFonts w:ascii="Times New Roman" w:hAnsi="Times New Roman"/>
          <w:color w:val="000000" w:themeColor="text1"/>
          <w:sz w:val="16"/>
          <w:szCs w:val="16"/>
        </w:rPr>
        <w:softHyphen/>
        <w:t>ра завода № 29 - т.Борисова:</w:t>
      </w:r>
    </w:p>
    <w:p w14:paraId="4DE23958" w14:textId="77777777" w:rsidR="003A33F9" w:rsidRPr="00070ADE" w:rsidRDefault="003A33F9" w:rsidP="00B56F90">
      <w:pPr>
        <w:tabs>
          <w:tab w:val="left" w:pos="96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обеспечить равномерную подачу заводу № 478 полного комплекта деталей мотора М-88Б в количествах: в июле на 10 моторов, в августе - 25, в сентябре - 50, в октябре - 75 и с ноября 1944 года по 100 моторов еже</w:t>
      </w:r>
      <w:r w:rsidRPr="00070ADE">
        <w:rPr>
          <w:rFonts w:ascii="Times New Roman" w:hAnsi="Times New Roman"/>
          <w:color w:val="000000" w:themeColor="text1"/>
          <w:sz w:val="16"/>
          <w:szCs w:val="16"/>
        </w:rPr>
        <w:softHyphen/>
        <w:t>месячно, в счет заданной заводу программы по моторам М-88Б.</w:t>
      </w:r>
    </w:p>
    <w:p w14:paraId="7ABEC70C" w14:textId="77777777" w:rsidR="003A33F9" w:rsidRPr="00070ADE" w:rsidRDefault="003A33F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Сохранить в 1945 году на заводе № 29 производство моторов М-88Б в количестве 100 моторов ежемесячно, до освоения заводом № 478 выпуска этих моторов из деталей собственного производства;</w:t>
      </w:r>
    </w:p>
    <w:p w14:paraId="03E70EA6" w14:textId="77777777" w:rsidR="003A33F9" w:rsidRPr="00070ADE" w:rsidRDefault="003A33F9" w:rsidP="00B56F90">
      <w:pPr>
        <w:tabs>
          <w:tab w:val="left" w:pos="95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передать заводу № 478 техническую документацию по мотору М-88Б, дублеры действующей оснастки и специ</w:t>
      </w:r>
      <w:r w:rsidRPr="00070ADE">
        <w:rPr>
          <w:rFonts w:ascii="Times New Roman" w:hAnsi="Times New Roman"/>
          <w:color w:val="000000" w:themeColor="text1"/>
          <w:sz w:val="16"/>
          <w:szCs w:val="16"/>
        </w:rPr>
        <w:softHyphen/>
        <w:t>ального оборудования, а также два комплекта монтажного, мерительного и режущего инструмента, необходимые для организации выпуска моторов М-88Б.</w:t>
      </w:r>
    </w:p>
    <w:p w14:paraId="5229B060" w14:textId="77777777" w:rsidR="003A33F9" w:rsidRPr="00070ADE" w:rsidRDefault="003A33F9" w:rsidP="00B56F90">
      <w:pPr>
        <w:tabs>
          <w:tab w:val="left" w:pos="95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Возложить на Стройтрест № 4 НКАП выполнение ра</w:t>
      </w:r>
      <w:r w:rsidRPr="00070ADE">
        <w:rPr>
          <w:rFonts w:ascii="Times New Roman" w:hAnsi="Times New Roman"/>
          <w:color w:val="000000" w:themeColor="text1"/>
          <w:sz w:val="16"/>
          <w:szCs w:val="16"/>
        </w:rPr>
        <w:softHyphen/>
        <w:t>бот по восстановлению Запорожского авиамоторного заво</w:t>
      </w:r>
      <w:r w:rsidRPr="00070ADE">
        <w:rPr>
          <w:rFonts w:ascii="Times New Roman" w:hAnsi="Times New Roman"/>
          <w:color w:val="000000" w:themeColor="text1"/>
          <w:sz w:val="16"/>
          <w:szCs w:val="16"/>
        </w:rPr>
        <w:softHyphen/>
        <w:t>да 478.</w:t>
      </w:r>
    </w:p>
    <w:p w14:paraId="246023F3" w14:textId="77777777" w:rsidR="003A33F9" w:rsidRPr="00070ADE" w:rsidRDefault="003A33F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Обязать Наркомавиапром - т.Шахурина и управляюще</w:t>
      </w:r>
      <w:r w:rsidRPr="00070ADE">
        <w:rPr>
          <w:rFonts w:ascii="Times New Roman" w:hAnsi="Times New Roman"/>
          <w:color w:val="000000" w:themeColor="text1"/>
          <w:sz w:val="16"/>
          <w:szCs w:val="16"/>
        </w:rPr>
        <w:softHyphen/>
        <w:t>го Стройтрестом № 4 НКАП - т.Павлова организовать в Запорожье Строительно-монтажное управление (</w:t>
      </w:r>
      <w:r w:rsidRPr="00070ADE">
        <w:rPr>
          <w:rFonts w:ascii="Times New Roman" w:hAnsi="Times New Roman"/>
          <w:color w:val="000000" w:themeColor="text1"/>
          <w:sz w:val="16"/>
          <w:szCs w:val="16"/>
          <w:lang w:val="en-US"/>
        </w:rPr>
        <w:t>C</w:t>
      </w:r>
      <w:r w:rsidRPr="00070ADE">
        <w:rPr>
          <w:rFonts w:ascii="Times New Roman" w:hAnsi="Times New Roman"/>
          <w:color w:val="000000" w:themeColor="text1"/>
          <w:sz w:val="16"/>
          <w:szCs w:val="16"/>
        </w:rPr>
        <w:t>МУ-21) и по мере окончания работ по восстановлению завода "Крас</w:t>
      </w:r>
      <w:r w:rsidRPr="00070ADE">
        <w:rPr>
          <w:rFonts w:ascii="Times New Roman" w:hAnsi="Times New Roman"/>
          <w:color w:val="000000" w:themeColor="text1"/>
          <w:sz w:val="16"/>
          <w:szCs w:val="16"/>
        </w:rPr>
        <w:softHyphen/>
        <w:t>ный Октябрь" НКЧМ перебрасывать на Запорожский завод рабочих, ИТР, служащих, оборудование и материалы.</w:t>
      </w:r>
    </w:p>
    <w:p w14:paraId="174FE949" w14:textId="77777777" w:rsidR="003A33F9" w:rsidRPr="00070ADE" w:rsidRDefault="003A33F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 сроки восстановления основных об"ектов завода № 478 НКАП, согласно приложению № 1.</w:t>
      </w:r>
    </w:p>
    <w:p w14:paraId="6FB55E59" w14:textId="77777777" w:rsidR="003A33F9" w:rsidRPr="00070ADE" w:rsidRDefault="003A33F9" w:rsidP="00B56F90">
      <w:pPr>
        <w:tabs>
          <w:tab w:val="left" w:pos="94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Обязать Наркомстанкостроения - т.Ефремова поста</w:t>
      </w:r>
      <w:r w:rsidRPr="00070ADE">
        <w:rPr>
          <w:rFonts w:ascii="Times New Roman" w:hAnsi="Times New Roman"/>
          <w:color w:val="000000" w:themeColor="text1"/>
          <w:sz w:val="16"/>
          <w:szCs w:val="16"/>
        </w:rPr>
        <w:softHyphen/>
        <w:t>вить во втором-третьем кварталах с.г. заводу № 478 НКАП 50 металлорежущих станков, а также инструмент на сумму 300 тыс.рублей, по спецификации Наркомавиапрсма и в счет его фондов,'</w:t>
      </w:r>
    </w:p>
    <w:p w14:paraId="1BF16B74" w14:textId="77777777" w:rsidR="003A33F9" w:rsidRPr="00070ADE" w:rsidRDefault="003A33F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Обязать Наркомвнешторг - т.Микояна, в целях укомплектования производства авиамоторов М-88Б на з</w:t>
      </w:r>
      <w:r w:rsidRPr="00070ADE">
        <w:rPr>
          <w:rFonts w:ascii="Times New Roman" w:hAnsi="Times New Roman"/>
          <w:color w:val="000000" w:themeColor="text1"/>
          <w:sz w:val="16"/>
          <w:szCs w:val="16"/>
          <w:lang w:val="en-US"/>
        </w:rPr>
        <w:t>a</w:t>
      </w:r>
      <w:r w:rsidRPr="00070ADE">
        <w:rPr>
          <w:rFonts w:ascii="Times New Roman" w:hAnsi="Times New Roman"/>
          <w:color w:val="000000" w:themeColor="text1"/>
          <w:sz w:val="16"/>
          <w:szCs w:val="16"/>
        </w:rPr>
        <w:t>воде № 478 оборудованием, поставить во втором полуго</w:t>
      </w:r>
      <w:r w:rsidRPr="00070ADE">
        <w:rPr>
          <w:rFonts w:ascii="Times New Roman" w:hAnsi="Times New Roman"/>
          <w:color w:val="000000" w:themeColor="text1"/>
          <w:sz w:val="16"/>
          <w:szCs w:val="16"/>
        </w:rPr>
        <w:softHyphen/>
        <w:t>дии с.г. и в первом квартале 1945 года заводу № 470 НКАП из импортных поступлений и дополнительной закуп</w:t>
      </w:r>
      <w:r w:rsidRPr="00070ADE">
        <w:rPr>
          <w:rFonts w:ascii="Times New Roman" w:hAnsi="Times New Roman"/>
          <w:color w:val="000000" w:themeColor="text1"/>
          <w:sz w:val="16"/>
          <w:szCs w:val="16"/>
        </w:rPr>
        <w:softHyphen/>
        <w:t>ки: металлорежущего оборудования 1200 единиц (в том число для опытного производства - 100 единиц), куэнечно-прессового - 26 единиц, литейного и термического - 50 единиц, под"емно-транспортного - 45 единиц, комп</w:t>
      </w:r>
      <w:r w:rsidRPr="00070ADE">
        <w:rPr>
          <w:rFonts w:ascii="Times New Roman" w:hAnsi="Times New Roman"/>
          <w:color w:val="000000" w:themeColor="text1"/>
          <w:sz w:val="16"/>
          <w:szCs w:val="16"/>
        </w:rPr>
        <w:softHyphen/>
        <w:t>рессорного - 8 единиц, кислородную установку - 1, лабораторного оборудования на сумму 1,0 млн.рублей, а также в третьем-четвертой кварталах с.г. - абразивов, ревущего и мерительного инструмента на сумму 2,0 млн. рублей по спецификации Наркомавиапрома.</w:t>
      </w:r>
    </w:p>
    <w:p w14:paraId="17B40301" w14:textId="77777777" w:rsidR="003A33F9" w:rsidRPr="00070ADE" w:rsidRDefault="003A33F9" w:rsidP="00B56F90">
      <w:pPr>
        <w:tabs>
          <w:tab w:val="left" w:pos="92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7. Обязать Госплан СССР - т.Вознесенского для обеспечения восстановительных работ на авиамоторном заводе № 478 НКАП предусмотреть в плаке распределения строительных материалов на третий квартал </w:t>
      </w:r>
      <w:r w:rsidRPr="00070ADE">
        <w:rPr>
          <w:rStyle w:val="1pt"/>
          <w:rFonts w:ascii="Times New Roman" w:hAnsi="Times New Roman" w:cs="Times New Roman"/>
          <w:color w:val="000000" w:themeColor="text1"/>
          <w:spacing w:val="0"/>
          <w:sz w:val="16"/>
          <w:szCs w:val="16"/>
        </w:rPr>
        <w:t>с.г.</w:t>
      </w:r>
      <w:r w:rsidRPr="00070ADE">
        <w:rPr>
          <w:rFonts w:ascii="Times New Roman" w:hAnsi="Times New Roman"/>
          <w:color w:val="000000" w:themeColor="text1"/>
          <w:sz w:val="16"/>
          <w:szCs w:val="16"/>
        </w:rPr>
        <w:t xml:space="preserve"> выделе</w:t>
      </w:r>
      <w:r w:rsidRPr="00070ADE">
        <w:rPr>
          <w:rFonts w:ascii="Times New Roman" w:hAnsi="Times New Roman"/>
          <w:color w:val="000000" w:themeColor="text1"/>
          <w:sz w:val="16"/>
          <w:szCs w:val="16"/>
        </w:rPr>
        <w:softHyphen/>
        <w:t>ние для завода № 478 целевых фондов на лес круглый - 12 тыс.кбм,, лес пиленый - 6 тыс.кбм., цемент - 1500 тонн, стекло - 25 тыс.квм, металла для строительства - 700 тонн, трубы газовые и цельнотянутые - 160 тонн и мягкие кровельные материалы - 2700 рулонов.</w:t>
      </w:r>
    </w:p>
    <w:p w14:paraId="6FE40A3D" w14:textId="77777777" w:rsidR="003A33F9" w:rsidRPr="00070ADE" w:rsidRDefault="003A33F9" w:rsidP="00B56F90">
      <w:pPr>
        <w:tabs>
          <w:tab w:val="left" w:pos="92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Перевести с предприятий, а также из сельских районов Запорожской области на завод № 478 НКАП всех рабочих, ранее работавших на заводе № 29 НКАП.</w:t>
      </w:r>
    </w:p>
    <w:p w14:paraId="1A69ADF0" w14:textId="77777777" w:rsidR="003A33F9" w:rsidRPr="00070ADE" w:rsidRDefault="003A33F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Обязать секретаря Запорожского обкома КП(б)У - т.Матюшина обеспечить выполнение этого мероприятия.</w:t>
      </w:r>
    </w:p>
    <w:p w14:paraId="634299B1" w14:textId="77777777" w:rsidR="003A33F9" w:rsidRPr="00070ADE" w:rsidRDefault="003A33F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Обязать Совнарком Украинской ССР и Комитет по учету и распределению рабочей силы при СНК СССР мобили</w:t>
      </w:r>
      <w:r w:rsidRPr="00070ADE">
        <w:rPr>
          <w:rFonts w:ascii="Times New Roman" w:hAnsi="Times New Roman"/>
          <w:color w:val="000000" w:themeColor="text1"/>
          <w:sz w:val="16"/>
          <w:szCs w:val="16"/>
        </w:rPr>
        <w:softHyphen/>
        <w:t>зовать на территории УССР во втором и третьем кварталах с.г. из числа неработающего населения 5.000 чело</w:t>
      </w:r>
      <w:r w:rsidRPr="00070ADE">
        <w:rPr>
          <w:rFonts w:ascii="Times New Roman" w:hAnsi="Times New Roman"/>
          <w:color w:val="000000" w:themeColor="text1"/>
          <w:sz w:val="16"/>
          <w:szCs w:val="16"/>
        </w:rPr>
        <w:softHyphen/>
        <w:t>век для работы на производстве и восстановлении авиа</w:t>
      </w:r>
      <w:r w:rsidRPr="00070ADE">
        <w:rPr>
          <w:rFonts w:ascii="Times New Roman" w:hAnsi="Times New Roman"/>
          <w:color w:val="000000" w:themeColor="text1"/>
          <w:sz w:val="16"/>
          <w:szCs w:val="16"/>
        </w:rPr>
        <w:softHyphen/>
        <w:t>моторного завода № 478 НКАП в г.Запорожье.</w:t>
      </w:r>
    </w:p>
    <w:p w14:paraId="0D0EFC69" w14:textId="77777777" w:rsidR="003A33F9" w:rsidRPr="00070ADE" w:rsidRDefault="003A33F9" w:rsidP="00B56F90">
      <w:pPr>
        <w:tabs>
          <w:tab w:val="left" w:pos="104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Обязать НКО СССР - т.Смороданова мобилизовать на территории Украинской ССР во втором квартале с.г. из числа военнообязанных, не годных к строевой службе в Красной Армии, но годных к физическому труду - 1000 человек для работы на производстве и восстановлении авиамоторного завода № 478 НКАП в г.Запорожье.</w:t>
      </w:r>
    </w:p>
    <w:p w14:paraId="12F60B35" w14:textId="77777777" w:rsidR="003A33F9" w:rsidRPr="00070ADE" w:rsidRDefault="003A33F9" w:rsidP="00B56F90">
      <w:pPr>
        <w:tabs>
          <w:tab w:val="left" w:pos="104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Утвердить мероприятия по обеспечению восста</w:t>
      </w:r>
      <w:r w:rsidRPr="00070ADE">
        <w:rPr>
          <w:rFonts w:ascii="Times New Roman" w:hAnsi="Times New Roman"/>
          <w:color w:val="000000" w:themeColor="text1"/>
          <w:sz w:val="16"/>
          <w:szCs w:val="16"/>
        </w:rPr>
        <w:softHyphen/>
        <w:t>новления и работы завода № 478 Наркомавиапрома (см.приложение №2).</w:t>
      </w:r>
    </w:p>
    <w:p w14:paraId="0418B98A" w14:textId="77777777" w:rsidR="003A33F9" w:rsidRPr="00070ADE" w:rsidRDefault="003A33F9" w:rsidP="00B56F90">
      <w:pPr>
        <w:tabs>
          <w:tab w:val="left" w:pos="104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Обязать Наркомфин СССР - т.Зверева выделить Наркомавиапрому из резервного фонда Совнаркома СССР 10 млн.рублей на постановку производства моторов М-88Е на заводе № 478, в том числе 1,5 млн.рублей на преми</w:t>
      </w:r>
      <w:r w:rsidRPr="00070ADE">
        <w:rPr>
          <w:rFonts w:ascii="Times New Roman" w:hAnsi="Times New Roman"/>
          <w:color w:val="000000" w:themeColor="text1"/>
          <w:sz w:val="16"/>
          <w:szCs w:val="16"/>
        </w:rPr>
        <w:softHyphen/>
        <w:t>рование рабочих, ИТР и служащих, отличившихся на рабо</w:t>
      </w:r>
      <w:r w:rsidRPr="00070ADE">
        <w:rPr>
          <w:rFonts w:ascii="Times New Roman" w:hAnsi="Times New Roman"/>
          <w:color w:val="000000" w:themeColor="text1"/>
          <w:sz w:val="16"/>
          <w:szCs w:val="16"/>
        </w:rPr>
        <w:softHyphen/>
        <w:t>те по восстановлению этого завода, и организации произ</w:t>
      </w:r>
      <w:r w:rsidRPr="00070ADE">
        <w:rPr>
          <w:rFonts w:ascii="Times New Roman" w:hAnsi="Times New Roman"/>
          <w:color w:val="000000" w:themeColor="text1"/>
          <w:sz w:val="16"/>
          <w:szCs w:val="16"/>
        </w:rPr>
        <w:softHyphen/>
        <w:t>водства моторов М-88Б (19489).</w:t>
      </w:r>
    </w:p>
    <w:p w14:paraId="439288F9" w14:textId="77777777" w:rsidR="00B21653" w:rsidRPr="00070ADE" w:rsidRDefault="00B21653" w:rsidP="00B56F90">
      <w:pPr>
        <w:autoSpaceDE w:val="0"/>
        <w:autoSpaceDN w:val="0"/>
        <w:adjustRightInd w:val="0"/>
        <w:spacing w:after="0" w:line="240" w:lineRule="auto"/>
        <w:jc w:val="both"/>
        <w:rPr>
          <w:rFonts w:ascii="Times New Roman" w:hAnsi="Times New Roman"/>
          <w:color w:val="000000" w:themeColor="text1"/>
          <w:sz w:val="16"/>
          <w:szCs w:val="16"/>
        </w:rPr>
      </w:pPr>
    </w:p>
    <w:p w14:paraId="679D87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мая 1944 был подготовлен проект приказа НКАП</w:t>
      </w:r>
    </w:p>
    <w:p w14:paraId="2172B1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быстрейшего ремонта моторных рам самолетов Пе-2, находящихся на зксплоатации, ПРИКАЗЫВАЮ:</w:t>
      </w:r>
    </w:p>
    <w:p w14:paraId="480707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Директору завода № 22 тов.Окулову:</w:t>
      </w:r>
    </w:p>
    <w:p w14:paraId="50C0EA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Изготовить в строки по прилагаемому графику 770 комплектов стальных накладок и крепежных деталей для усиления мо</w:t>
      </w:r>
      <w:r w:rsidRPr="00070ADE">
        <w:rPr>
          <w:rFonts w:ascii="Times New Roman" w:hAnsi="Times New Roman"/>
          <w:color w:val="000000" w:themeColor="text1"/>
          <w:sz w:val="16"/>
          <w:szCs w:val="16"/>
        </w:rPr>
        <w:softHyphen/>
        <w:t>торных рам и обеспечить отправку их по разнарядке ВВС в воинские части.</w:t>
      </w:r>
    </w:p>
    <w:p w14:paraId="140062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Укомплектовать не менее 20 бригад и организовать ра</w:t>
      </w:r>
      <w:r w:rsidRPr="00070ADE">
        <w:rPr>
          <w:rFonts w:ascii="Times New Roman" w:hAnsi="Times New Roman"/>
          <w:color w:val="000000" w:themeColor="text1"/>
          <w:sz w:val="16"/>
          <w:szCs w:val="16"/>
        </w:rPr>
        <w:softHyphen/>
        <w:t>боты по ремонту в воинских частях. Обеспечить бригады необ</w:t>
      </w:r>
      <w:r w:rsidRPr="00070ADE">
        <w:rPr>
          <w:rFonts w:ascii="Times New Roman" w:hAnsi="Times New Roman"/>
          <w:color w:val="000000" w:themeColor="text1"/>
          <w:sz w:val="16"/>
          <w:szCs w:val="16"/>
        </w:rPr>
        <w:softHyphen/>
        <w:t>ходимыми инструкциями л специальным инструментом.</w:t>
      </w:r>
    </w:p>
    <w:p w14:paraId="6DCDE1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Работу по восстановлению моторных рам, требующих ре</w:t>
      </w:r>
      <w:r w:rsidRPr="00070ADE">
        <w:rPr>
          <w:rFonts w:ascii="Times New Roman" w:hAnsi="Times New Roman"/>
          <w:color w:val="000000" w:themeColor="text1"/>
          <w:sz w:val="16"/>
          <w:szCs w:val="16"/>
        </w:rPr>
        <w:softHyphen/>
        <w:t>монта по состоянию на 1.У.с.г.в количестве 400 стук закон</w:t>
      </w:r>
      <w:r w:rsidRPr="00070ADE">
        <w:rPr>
          <w:rFonts w:ascii="Times New Roman" w:hAnsi="Times New Roman"/>
          <w:color w:val="000000" w:themeColor="text1"/>
          <w:sz w:val="16"/>
          <w:szCs w:val="16"/>
        </w:rPr>
        <w:softHyphen/>
        <w:t>чить не позднее 1.У1.с.г.</w:t>
      </w:r>
    </w:p>
    <w:p w14:paraId="0E4BBC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4. Для замены окончательно забракованных моторных рам изготовить в течение мая месяца необходимое количество новвых моторных рам.</w:t>
      </w:r>
    </w:p>
    <w:p w14:paraId="0A7FBD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Работу по ремонту и замене моторных рам в воинских частях считать важнейией задачей завода и обеспечить:</w:t>
      </w:r>
    </w:p>
    <w:p w14:paraId="6194E0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ежедневный контроль за изготовлением и отправкой комплектов деталей для ремонта моторных рам;</w:t>
      </w:r>
    </w:p>
    <w:p w14:paraId="2764B1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организацию отправки деталей и бригад в воинские части самолетами.</w:t>
      </w:r>
    </w:p>
    <w:p w14:paraId="5CF9BC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Установить связь с воинскими частями и о ходе ремонта докладывать ежедневно (1823).</w:t>
      </w:r>
    </w:p>
    <w:p w14:paraId="73C3A3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28EADA"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8 по 25 мая 1944 г. в 15-х стационарных авиамастерских ВВС СФ под руководством начальника мастерских техника-лейтенанта А.Л. Леви разработали дополнительный топливный бак.</w:t>
      </w:r>
    </w:p>
    <w:p w14:paraId="56C6A501"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дополнительного фюзеляжного 100 л про</w:t>
      </w:r>
      <w:r w:rsidRPr="00070ADE">
        <w:rPr>
          <w:rFonts w:ascii="Times New Roman" w:hAnsi="Times New Roman"/>
          <w:color w:val="000000" w:themeColor="text1"/>
          <w:sz w:val="16"/>
          <w:szCs w:val="16"/>
        </w:rPr>
        <w:softHyphen/>
        <w:t>тезированного бензобака, выполнявшаяся на серийных Як-7Б с 24-го по 29-ю серию, вызывала крайне негатив</w:t>
      </w:r>
      <w:r w:rsidRPr="00070ADE">
        <w:rPr>
          <w:rFonts w:ascii="Times New Roman" w:hAnsi="Times New Roman"/>
          <w:color w:val="000000" w:themeColor="text1"/>
          <w:sz w:val="16"/>
          <w:szCs w:val="16"/>
        </w:rPr>
        <w:softHyphen/>
        <w:t>ную оценку у летного состава ВВС КА. В отличие от ар</w:t>
      </w:r>
      <w:r w:rsidRPr="00070ADE">
        <w:rPr>
          <w:rFonts w:ascii="Times New Roman" w:hAnsi="Times New Roman"/>
          <w:color w:val="000000" w:themeColor="text1"/>
          <w:sz w:val="16"/>
          <w:szCs w:val="16"/>
        </w:rPr>
        <w:softHyphen/>
        <w:t>мейских пилотов летчикам морской авиации ВВС Север</w:t>
      </w:r>
      <w:r w:rsidRPr="00070ADE">
        <w:rPr>
          <w:rFonts w:ascii="Times New Roman" w:hAnsi="Times New Roman"/>
          <w:color w:val="000000" w:themeColor="text1"/>
          <w:sz w:val="16"/>
          <w:szCs w:val="16"/>
        </w:rPr>
        <w:softHyphen/>
        <w:t>ного флота (СФ) дополнительное горючее требовалось для решения задач по сопровождению торпедоносцев, штурмовиков и бомбардировщиков на больших удале</w:t>
      </w:r>
      <w:r w:rsidRPr="00070ADE">
        <w:rPr>
          <w:rFonts w:ascii="Times New Roman" w:hAnsi="Times New Roman"/>
          <w:color w:val="000000" w:themeColor="text1"/>
          <w:sz w:val="16"/>
          <w:szCs w:val="16"/>
        </w:rPr>
        <w:softHyphen/>
        <w:t xml:space="preserve">ниях от своих аэродромов базирования. </w:t>
      </w:r>
    </w:p>
    <w:p w14:paraId="1DB50237"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Модификация 15-х стационарных авиамастерских ВВС СФ предусматривала размещение на истребителе Як-7Б дополнительного протектированного фюзеляжного бензобака емкостью 150л. Таким образом, увеличение полной заправки топливом на 112 кг (до 374 кг) реализовывалось в дополнительные 260 км дальности и 33 минуты продолжительности полета на режиме ско</w:t>
      </w:r>
      <w:r w:rsidRPr="00070ADE">
        <w:rPr>
          <w:rFonts w:ascii="Times New Roman" w:hAnsi="Times New Roman"/>
          <w:color w:val="000000" w:themeColor="text1"/>
          <w:sz w:val="16"/>
          <w:szCs w:val="16"/>
        </w:rPr>
        <w:softHyphen/>
        <w:t>ростной дальности (высота 3000 м, обороты мотора 2300 об/мин, приборная скорость 400 км/ч). До переоборудо</w:t>
      </w:r>
      <w:r w:rsidRPr="00070ADE">
        <w:rPr>
          <w:rFonts w:ascii="Times New Roman" w:hAnsi="Times New Roman"/>
          <w:color w:val="000000" w:themeColor="text1"/>
          <w:sz w:val="16"/>
          <w:szCs w:val="16"/>
        </w:rPr>
        <w:softHyphen/>
        <w:t>вания дальность полета составляла 880 км, а время поле</w:t>
      </w:r>
      <w:r w:rsidRPr="00070ADE">
        <w:rPr>
          <w:rFonts w:ascii="Times New Roman" w:hAnsi="Times New Roman"/>
          <w:color w:val="000000" w:themeColor="text1"/>
          <w:sz w:val="16"/>
          <w:szCs w:val="16"/>
        </w:rPr>
        <w:softHyphen/>
        <w:t>та - 1 час 48 минут.</w:t>
      </w:r>
    </w:p>
    <w:p w14:paraId="4422AC35"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Дюралевый бензобак, весивший вместе с протекто</w:t>
      </w:r>
      <w:r w:rsidRPr="00070ADE">
        <w:rPr>
          <w:rFonts w:ascii="Times New Roman" w:hAnsi="Times New Roman"/>
          <w:color w:val="000000" w:themeColor="text1"/>
          <w:sz w:val="16"/>
          <w:szCs w:val="16"/>
        </w:rPr>
        <w:softHyphen/>
        <w:t>ром 20 кг, подвешивался на лентах в закабинном (грузо</w:t>
      </w:r>
      <w:r w:rsidRPr="00070ADE">
        <w:rPr>
          <w:rFonts w:ascii="Times New Roman" w:hAnsi="Times New Roman"/>
          <w:color w:val="000000" w:themeColor="text1"/>
          <w:sz w:val="16"/>
          <w:szCs w:val="16"/>
        </w:rPr>
        <w:softHyphen/>
        <w:t>вом) отсеке фюзеляжа между рамами с максимальным приближением к бронеспинке. Заправка бака осуществ</w:t>
      </w:r>
      <w:r w:rsidRPr="00070ADE">
        <w:rPr>
          <w:rFonts w:ascii="Times New Roman" w:hAnsi="Times New Roman"/>
          <w:color w:val="000000" w:themeColor="text1"/>
          <w:sz w:val="16"/>
          <w:szCs w:val="16"/>
        </w:rPr>
        <w:softHyphen/>
        <w:t>лялась через его горловину при открытом люке грузо</w:t>
      </w:r>
      <w:r w:rsidRPr="00070ADE">
        <w:rPr>
          <w:rFonts w:ascii="Times New Roman" w:hAnsi="Times New Roman"/>
          <w:color w:val="000000" w:themeColor="text1"/>
          <w:sz w:val="16"/>
          <w:szCs w:val="16"/>
        </w:rPr>
        <w:softHyphen/>
        <w:t>вой кабины. Для включения бака в работу на левом пуль</w:t>
      </w:r>
      <w:r w:rsidRPr="00070ADE">
        <w:rPr>
          <w:rFonts w:ascii="Times New Roman" w:hAnsi="Times New Roman"/>
          <w:color w:val="000000" w:themeColor="text1"/>
          <w:sz w:val="16"/>
          <w:szCs w:val="16"/>
        </w:rPr>
        <w:softHyphen/>
        <w:t>те монтировался специальный бензокран. Индикатор количества горючего в дополнительном баке устанав</w:t>
      </w:r>
      <w:r w:rsidRPr="00070ADE">
        <w:rPr>
          <w:rFonts w:ascii="Times New Roman" w:hAnsi="Times New Roman"/>
          <w:color w:val="000000" w:themeColor="text1"/>
          <w:sz w:val="16"/>
          <w:szCs w:val="16"/>
        </w:rPr>
        <w:softHyphen/>
        <w:t>ливался на приборной доске вместо часов, а часы подвешивались на дополнительном щитке под левой сто</w:t>
      </w:r>
      <w:r w:rsidRPr="00070ADE">
        <w:rPr>
          <w:rFonts w:ascii="Times New Roman" w:hAnsi="Times New Roman"/>
          <w:color w:val="000000" w:themeColor="text1"/>
          <w:sz w:val="16"/>
          <w:szCs w:val="16"/>
        </w:rPr>
        <w:softHyphen/>
        <w:t>роной центральной панели приборной доски. В связи с установкой бака кислородный баллон перенесли назад и на правый борт.</w:t>
      </w:r>
    </w:p>
    <w:p w14:paraId="013537E3" w14:textId="77777777" w:rsidR="001D733C" w:rsidRPr="00070ADE" w:rsidRDefault="001D73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мая 1944 г. работы по оборудованию Як-7Б допол</w:t>
      </w:r>
      <w:r w:rsidRPr="00070ADE">
        <w:rPr>
          <w:rFonts w:ascii="Times New Roman" w:hAnsi="Times New Roman"/>
          <w:color w:val="000000" w:themeColor="text1"/>
          <w:sz w:val="16"/>
          <w:szCs w:val="16"/>
        </w:rPr>
        <w:softHyphen/>
        <w:t>нительным бензобаком завершились. Проведенные лет</w:t>
      </w:r>
      <w:r w:rsidRPr="00070ADE">
        <w:rPr>
          <w:rFonts w:ascii="Times New Roman" w:hAnsi="Times New Roman"/>
          <w:color w:val="000000" w:themeColor="text1"/>
          <w:sz w:val="16"/>
          <w:szCs w:val="16"/>
        </w:rPr>
        <w:softHyphen/>
        <w:t>ные испытания показали, что при новой центровке 22,4% САХ (вместо 19% до модификации) никаких ненормаль</w:t>
      </w:r>
      <w:r w:rsidRPr="00070ADE">
        <w:rPr>
          <w:rFonts w:ascii="Times New Roman" w:hAnsi="Times New Roman"/>
          <w:color w:val="000000" w:themeColor="text1"/>
          <w:sz w:val="16"/>
          <w:szCs w:val="16"/>
        </w:rPr>
        <w:softHyphen/>
        <w:t>ных явлений и усложнения управления самолетом не об</w:t>
      </w:r>
      <w:r w:rsidRPr="00070ADE">
        <w:rPr>
          <w:rFonts w:ascii="Times New Roman" w:hAnsi="Times New Roman"/>
          <w:color w:val="000000" w:themeColor="text1"/>
          <w:sz w:val="16"/>
          <w:szCs w:val="16"/>
        </w:rPr>
        <w:softHyphen/>
        <w:t>наружено. При испытаниях система исправно работа</w:t>
      </w:r>
      <w:r w:rsidRPr="00070ADE">
        <w:rPr>
          <w:rFonts w:ascii="Times New Roman" w:hAnsi="Times New Roman"/>
          <w:color w:val="000000" w:themeColor="text1"/>
          <w:sz w:val="16"/>
          <w:szCs w:val="16"/>
        </w:rPr>
        <w:softHyphen/>
        <w:t>ла при всех эволюциях самолета. Количество самолетов оборудованных дополнительным 150-л бензобаком уста</w:t>
      </w:r>
      <w:r w:rsidRPr="00070ADE">
        <w:rPr>
          <w:rFonts w:ascii="Times New Roman" w:hAnsi="Times New Roman"/>
          <w:color w:val="000000" w:themeColor="text1"/>
          <w:sz w:val="16"/>
          <w:szCs w:val="16"/>
        </w:rPr>
        <w:softHyphen/>
        <w:t>новить пока не удалось (23381).</w:t>
      </w:r>
    </w:p>
    <w:p w14:paraId="71ADAFA4" w14:textId="77777777" w:rsidR="001D733C" w:rsidRPr="00070ADE" w:rsidRDefault="001D733C" w:rsidP="00B56F90">
      <w:pPr>
        <w:spacing w:after="0" w:line="240" w:lineRule="auto"/>
        <w:jc w:val="both"/>
        <w:rPr>
          <w:rFonts w:ascii="Times New Roman" w:hAnsi="Times New Roman"/>
          <w:color w:val="000000" w:themeColor="text1"/>
          <w:sz w:val="16"/>
          <w:szCs w:val="16"/>
        </w:rPr>
      </w:pPr>
    </w:p>
    <w:p w14:paraId="3AD6534C" w14:textId="77777777" w:rsidR="00D82A10" w:rsidRPr="00070ADE" w:rsidRDefault="00D82A10"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8 мая 1944 года ГБТУ и УВВС Курбале направилось письмо, в котором подробно объяснялось, почему его аэромобиль делать не будут. Поскольку это было совместное решение ГБТУ КА и ГУ ВВС, спорить с ним не представлялось чем-то перспективным. Впрочем, это не помешало Курбале и дальше работать над необычными машинами (20335).</w:t>
      </w:r>
    </w:p>
    <w:p w14:paraId="4B465E9B" w14:textId="77777777" w:rsidR="00D82A10" w:rsidRPr="00070ADE" w:rsidRDefault="00D82A10" w:rsidP="00B56F90">
      <w:pPr>
        <w:shd w:val="clear" w:color="auto" w:fill="FFFFFF"/>
        <w:spacing w:after="0" w:line="240" w:lineRule="auto"/>
        <w:jc w:val="both"/>
        <w:rPr>
          <w:rFonts w:ascii="Times New Roman" w:hAnsi="Times New Roman"/>
          <w:color w:val="000000" w:themeColor="text1"/>
          <w:sz w:val="16"/>
          <w:szCs w:val="16"/>
        </w:rPr>
      </w:pPr>
    </w:p>
    <w:p w14:paraId="3376621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F9F11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5C5A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мая 1944 г. ДИРЕКТИВА ЗАМЕСТИТЕЛЯ НАЧАЛЬНИКА ГШ КА О СФОРМИРОВАНИИ АРТИЛЛЕРИЙСКИХ СКЛАДОВ № 308340</w:t>
      </w:r>
    </w:p>
    <w:p w14:paraId="15F8C8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К 1 июня 1944 г. сформировать артиллерийские склады:</w:t>
      </w:r>
    </w:p>
    <w:p w14:paraId="042133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При Кировском, ГАЗ им. Молотова и 183-м заводах по штату №010/133, численностью 25 че</w:t>
      </w:r>
      <w:r w:rsidRPr="00070ADE">
        <w:rPr>
          <w:rFonts w:ascii="Times New Roman" w:hAnsi="Times New Roman"/>
          <w:color w:val="000000" w:themeColor="text1"/>
          <w:sz w:val="16"/>
          <w:szCs w:val="16"/>
        </w:rPr>
        <w:softHyphen/>
        <w:t>ловек военнослужащих и одного вольнонаемного в каждом.</w:t>
      </w:r>
    </w:p>
    <w:p w14:paraId="08B946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При Уралмаш, 38, 40, 112 и 174-м заводах по штату №010/134, численностью 19 человек во</w:t>
      </w:r>
      <w:r w:rsidRPr="00070ADE">
        <w:rPr>
          <w:rFonts w:ascii="Times New Roman" w:hAnsi="Times New Roman"/>
          <w:color w:val="000000" w:themeColor="text1"/>
          <w:sz w:val="16"/>
          <w:szCs w:val="16"/>
        </w:rPr>
        <w:softHyphen/>
        <w:t>еннослужащих и одного вольнонаемного в каждом.</w:t>
      </w:r>
    </w:p>
    <w:p w14:paraId="46E37A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Сформированным артиллерийским складам присвоить следующую нумерацию:</w:t>
      </w:r>
    </w:p>
    <w:p w14:paraId="1FCEDB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При Кировском заводе — артиллерийский склад №3409;</w:t>
      </w:r>
    </w:p>
    <w:p w14:paraId="5DC026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При ГАЗ им. Молотова заводе — артиллерийский склад №3410;</w:t>
      </w:r>
    </w:p>
    <w:p w14:paraId="2F86CE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При заводе №183 — артиллерийский склад №3411;</w:t>
      </w:r>
    </w:p>
    <w:p w14:paraId="61AD83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При Уралмаш заводе — артиллерийский склад №3412;</w:t>
      </w:r>
    </w:p>
    <w:p w14:paraId="588E64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При заводе №38 — артиллерийский склад №3413;</w:t>
      </w:r>
    </w:p>
    <w:p w14:paraId="69BC59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При заводе №40 — артиллерийский склад №3414;</w:t>
      </w:r>
    </w:p>
    <w:p w14:paraId="79C7C9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При заводе №112 — артиллерийский склад №3415;</w:t>
      </w:r>
    </w:p>
    <w:p w14:paraId="0085A8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При заводе №174 — артиллерийский склад №3416.</w:t>
      </w:r>
    </w:p>
    <w:p w14:paraId="229EA9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Сформированные артиллерийские склады именовать: «Артиллерийский склад ГБТУ КА при танковом заводе» и подчинить начальнику ГБТУ КА через военпредов заводов.</w:t>
      </w:r>
    </w:p>
    <w:p w14:paraId="3BE4A2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Командующим войсками военных округов зачислить формируемые артсклады на все виды до</w:t>
      </w:r>
      <w:r w:rsidRPr="00070ADE">
        <w:rPr>
          <w:rFonts w:ascii="Times New Roman" w:hAnsi="Times New Roman"/>
          <w:color w:val="000000" w:themeColor="text1"/>
          <w:sz w:val="16"/>
          <w:szCs w:val="16"/>
        </w:rPr>
        <w:softHyphen/>
        <w:t>вольствия, возложив разгрузку транспортов с боеприпасами и охрану артскладов на местные гарнизоны.</w:t>
      </w:r>
    </w:p>
    <w:p w14:paraId="4D37C7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Начальникам главных управлений НКО укомплектовать формируемые артсклады личным составом и обеспечить автотранспортом, вооружением и всеми видами имущества согласно штатам и табелям.</w:t>
      </w:r>
    </w:p>
    <w:p w14:paraId="6FF760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Исполнение прошу донести к 1.06.1944 г.</w:t>
      </w:r>
    </w:p>
    <w:p w14:paraId="004788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начальника ГШ КА генерал-лейтенант Карпоносов</w:t>
      </w:r>
    </w:p>
    <w:p w14:paraId="534F86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оргучетного управления генерал-лейтенант Четвериков</w:t>
      </w:r>
    </w:p>
    <w:p w14:paraId="2CD7B8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11369. Д. 261. Л. 16. Копия (11420).</w:t>
      </w:r>
    </w:p>
    <w:p w14:paraId="6AC1C22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64265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мая 1944 вышло Постановление ГКО № 5847 О мероприятиях по оказанию помощи НОАЮ. РГАНИР, Фонд ГКО, д. 251, лл. 171-172 (11012).</w:t>
      </w:r>
    </w:p>
    <w:p w14:paraId="5C4196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Государственный Комитет Обороны постановляет:</w:t>
      </w:r>
    </w:p>
    <w:p w14:paraId="5B48AA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Обязать маршала авиации тов. Голованова выделить 30 экипажей из состава 5 гвардейской А.Д. для доставки в Югославию воздушным путем оружия, боеприпасов, медикаментов, продовольствия и др. снаряжения со специальной базы.</w:t>
      </w:r>
    </w:p>
    <w:p w14:paraId="0DBC93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Поручить Начальнику Тыла Красной Армии тов. Хрулеву организовать в Калиновке (место дислокации 5 А.Д.) перевалочную базу для концентрации, сортировки, упаковки и подготовки для транспортирования грузов, предназначенных для Народно-Освободительной армии Югославии. На базе сконцентрировать все грузы, подлежащие транспортировке и необходимое количество грузовых парашютов для этого груза. Организовать радиосвязь базы с Москвой. Н-ком базы утвердить полковника Прянишникова В.Я.</w:t>
      </w:r>
    </w:p>
    <w:p w14:paraId="1675FD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Поручить тов. Голованову организовать в Бари (Южная Италия) авиабазу, которую временно использовать как запасную для посадки самолетов, осуществляющих снабжение НОАЮ из СССР в случае неблагоприятной обстановки на обратный рейс.</w:t>
      </w:r>
    </w:p>
    <w:p w14:paraId="477B25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Возложить на военную миссию СССР при Верховном штабе НОАЮ (тов. Корнеева) ответственность за организацию аэродромной службы (радиосвязь, метеообслуживание и сигнализация) по приему самолетов на территории НОАЮ.</w:t>
      </w:r>
    </w:p>
    <w:p w14:paraId="5A6A2B3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Разрешить НКО отпуск необходимого для НОАЮ:</w:t>
      </w:r>
    </w:p>
    <w:p w14:paraId="3608D97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вооружения: винтовок, ручных и станковых пулеметов, противотанковых ружей, автоматов, ручных и противотанковых гранат, зенитных пулеметов, мелкокалиберных зенитных и противотанковых пушек, минометов, а также боеприпасов к ним из числа имеющегося немецкого трофейного вооружения и советских образцов</w:t>
      </w:r>
    </w:p>
    <w:p w14:paraId="0C8A6C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медикаментов</w:t>
      </w:r>
    </w:p>
    <w:p w14:paraId="35663B3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продовольствия ( соль, крупа, концентраты)</w:t>
      </w:r>
    </w:p>
    <w:p w14:paraId="2DFB9B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форменной одежды</w:t>
      </w:r>
    </w:p>
    <w:p w14:paraId="2884BA9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Отпуск оружия, медикаментов и продовольствия производить с санкции тов. Молотова.</w:t>
      </w:r>
    </w:p>
    <w:p w14:paraId="06F82C3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Составление планов снабжения НОАЮ и согласование этих планов с ее миссией в СССР возложить на тов. Жукова.</w:t>
      </w:r>
    </w:p>
    <w:p w14:paraId="79C44A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Грузы, предназначенные к транспортировке в Югославию, отправлять по заявкам тов. Жукова. обязать т.т. Яковлева, Хрулева, Смирнова, Пересыпкина, Хотенко удовлетворять заявки тов. Жукова, связанные со снабжением НОАЮ оружием, боеприпасами, продовольствием и медикаментами.</w:t>
      </w:r>
    </w:p>
    <w:p w14:paraId="7A5C0D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Обязать НКФ СССР (тов. Зверева) вместе с представителями военной миссии НОАЮ в СССР выработать условия военного займа Национально-Освободительному Комитету Югославии и представить правительству проект решения по этому вопросу.</w:t>
      </w:r>
    </w:p>
    <w:p w14:paraId="386FA53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Обязать тов. Хрулева обеспечить изготовление в течение мая-июня мес. с.г. 55.000 комплектов формы по образцам, представленным военной миссией НОАЮ.</w:t>
      </w:r>
    </w:p>
    <w:p w14:paraId="2E230C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Поручить Госзнаку (тов. Андреев) в двухмесячный срок изготовить для НОАЮ по образцам, представленным военной миссией НОАЮ, орденов и медалей Тов. Хрулеву в этот же срок организовать изготовление нагрудных знаков и кокард ля НОАЮ также по образцам, представленным военной миссией НОАЮ в СССР.</w:t>
      </w:r>
    </w:p>
    <w:p w14:paraId="11A9F1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Военную миссию НОАЮ в СССР содержать на дополнительной смете НКО. Тов. Хрулеву организовать питание и обслуживание военной миссии НОАЮ.</w:t>
      </w:r>
    </w:p>
    <w:p w14:paraId="3FA1009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Поручить ВВС КА (тов. Новикову) организовать подготовку в военных школа ВВС КА 300 чел. летчиков из числа югославов (истребителей и бомбардировщиков).</w:t>
      </w:r>
    </w:p>
    <w:p w14:paraId="1E9FF6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12. Поручить НКИД через посольство в Иране организовать доставку в СССР 200 чел. югославов, находящихся в Иране для вступления их в югославскую часть на территории СССР.</w:t>
      </w:r>
    </w:p>
    <w:p w14:paraId="79CF93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В связи с наличием призывного контингента югославских национальностей в лагерях НКВД для военнопленных приступить с 15/У-1944 года к формированию:</w:t>
      </w:r>
    </w:p>
    <w:p w14:paraId="2B66B6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второго югославского батальона в СССР на основаниях, предусмотренных постановлением ГОКО № 4598сс от 17/Х1-1943 года</w:t>
      </w:r>
    </w:p>
    <w:p w14:paraId="1E859C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отдельной радиороты</w:t>
      </w:r>
    </w:p>
    <w:p w14:paraId="06D405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отдельной танковой роты Т-34</w:t>
      </w:r>
    </w:p>
    <w:p w14:paraId="0EEB5F2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Государственного</w:t>
      </w:r>
    </w:p>
    <w:p w14:paraId="76ADF4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Комитета Обороны</w:t>
      </w:r>
    </w:p>
    <w:p w14:paraId="0A83AF0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Сталин</w:t>
      </w:r>
    </w:p>
    <w:p w14:paraId="78DDAD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РГАСПИ Ф. 644. Оп. 1. Д.251 Лл. 171-172 (12013).</w:t>
      </w:r>
    </w:p>
    <w:p w14:paraId="6B64558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331C5E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мая 1944 вышло Постановление ГКО № 5849 Об изменении постановления Государственного Комитета Обороны № 46 от 8 июля 1941 г. в части освобождения от мобилизации личного состава особых строительно-монтажных частей. (7229, 183-184,185-189).</w:t>
      </w:r>
    </w:p>
    <w:p w14:paraId="2783039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2E9B2A" w14:textId="77777777" w:rsidR="00AE2F39" w:rsidRPr="00070ADE" w:rsidRDefault="00AE2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мая в 1944 году отчет Горьковского НИИ гигиены труда и профзаболеваний о профессиональной заболеваемости за годы Отечественной войны на заводе N 96 (город Дзержинск) при производстве иприта и люизита. Количества официально зафиксированных поражений, полученных работниками при выпуске иприта: 2-е полугодие 1941 г. - 765 человек, 1942 г. - 2397, 1943 г. - 494, 1-е полугодие 1944 г. - 134. В качестве причин поражений названы: загрязнение ипритом атмосферы вокруг цехов и попадание его в производственные помещения через приточную вентиляцию; негерметичность аппаратуры и коммуникаций; неэффективная работа вентиляции; неудовлетворительная дегазация помещений, оборудования, одежды и территории вокруг цехов; плохая работа санпропускников; неудовлетворительный контроль загрязненности производственных помещений (14885).</w:t>
      </w:r>
    </w:p>
    <w:p w14:paraId="5F039823" w14:textId="77777777" w:rsidR="00AE2F39" w:rsidRPr="00070ADE" w:rsidRDefault="00AE2F39" w:rsidP="00B56F90">
      <w:pPr>
        <w:spacing w:after="0" w:line="240" w:lineRule="auto"/>
        <w:jc w:val="both"/>
        <w:rPr>
          <w:rFonts w:ascii="Times New Roman" w:hAnsi="Times New Roman"/>
          <w:color w:val="000000" w:themeColor="text1"/>
          <w:sz w:val="16"/>
          <w:szCs w:val="16"/>
        </w:rPr>
      </w:pPr>
    </w:p>
    <w:p w14:paraId="27F0568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A351E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EFB99E" w14:textId="77777777" w:rsidR="00AE2F39" w:rsidRPr="00070ADE" w:rsidRDefault="00AE2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мая в 1944 году оперативная сводка Совинформбюро:</w:t>
      </w:r>
    </w:p>
    <w:p w14:paraId="71B0CE98" w14:textId="77777777" w:rsidR="00AE2F39" w:rsidRPr="00070ADE" w:rsidRDefault="00AE2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Крыму наши войска при поддержке массированных ударов авиации и мощного огня артиллерии вчера, 7 мая, начали штурм сильно укреплённых позиций немецко-фашистских войск, обороняющих Севастополь. За два дня ожесточённых боёвнаши войска сломили сопротивление противника и на всём протяжении прорвали основную полосу Севастопольского укреплённого района с сильно развитой системой железобетонных сооружений. Наши войска, продвинувшись вперёд до 6 километров, заняли высоты и мощные узлы обороны противника, господствующие над районом Севастополя: Любимовку, железнодорожную станцию Мекензиевы Горы, маяк Восточный Инкерманский, маяк Западный Инкерман, гору Сахарная Головка, Гайтани, Инкерман, Сапун-Гора, колхоз Большевик, Совхоз № 10, Карань, гору Каябаш и завязали бои на ближайших подступах к городу Севастополь.</w:t>
      </w:r>
    </w:p>
    <w:p w14:paraId="26F28226" w14:textId="77777777" w:rsidR="00AE2F39" w:rsidRPr="00070ADE" w:rsidRDefault="00AE2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без существенных изменений.</w:t>
      </w:r>
    </w:p>
    <w:p w14:paraId="4077B90E" w14:textId="77777777" w:rsidR="00AE2F39" w:rsidRPr="00070ADE" w:rsidRDefault="00AE2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7 мая наши войска подбили и уничтожили 52 немецких танка. В воздушных боях и огнём зенитной артиллерии сбит 41 самолёт противника и, кроме того, 15 самолётов уничтожено на аэродромах.»</w:t>
      </w:r>
    </w:p>
    <w:p w14:paraId="4C033257" w14:textId="77777777" w:rsidR="00AE2F39" w:rsidRPr="00070ADE" w:rsidRDefault="00AE2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Удары авиации Черноморского флота по судам противника:</w:t>
      </w:r>
    </w:p>
    <w:p w14:paraId="31AF0ECB" w14:textId="77777777" w:rsidR="00AE2F39" w:rsidRPr="00070ADE" w:rsidRDefault="00AE2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«Днем 6 мая нашей воздушной разведкой в открытом море западнее Севастополябыли обнаружены транспорты противника, следовавшие в охранении боевых кораблей. Авиация Черноморского флота нанесла ряд последовательных ударов по конвоям противника. Прямыми попаданиями бомб потоплены четыре транспорта общим водоизмещением до-10 тысяч тонн, сторожевой катер и семь быстроходных десантных барж. Другим судам противника нанесены серьёзные повреждения.»</w:t>
      </w:r>
    </w:p>
    <w:p w14:paraId="23D75DC3" w14:textId="77777777" w:rsidR="00AE2F39" w:rsidRPr="00070ADE" w:rsidRDefault="00AE2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Крыму наши войска 7 мая начали штурм Севастопольского укреплённого района. Утром советская артиллерия открыла ураганный огонь по позициям противника. Над укреплениями немецко-фашистских войск появились крупные соединения наших бомбардировщиков и штурмовиков, обрушивших на врага тысячи бомб. После артиллерийской и авиационной подготовки наши войска начали штурм мощных узлов немецкой обороны. Бойцы Н-ского соединения стремительным ударом заняли железнодорожную станцию Мекензиевы горы. Другие наши части овладели важнейшим узлом обороны немцев Сапун-Гора. В результате ожесточённых боёв на всем протяжении прорвана главная полоса Севастопольского укреплённого района противника, имевшая многочисленные железобетонные доты и дзоты, построенные на холмах и высотах. Все эти первоклассные оборонительные сооружения были прикрыты широко развитой сетью траншей, проволочных заграждений и минных полей. Противник предпринимал буквально все меры, чтобы спасти положение. Немцы бросали в контратаки пехоту, танки и самоходные орудия. Против наших наступающих войск они использовали все свои огневые средства. Однако удар советских войск был настолько ошеломляющим, что противник понёс тяжёлые потери и оставлял одну позицию за другой. Только в районе Сапун-Гора истреблено свыше 4 тысяч гитлеровцев, взорвано 36 дотов и 27 дзотов. Захвачено много пленных и трофеев. Развивая успех, советские бойцы выбили немцев из ряда высот и опорных пунктов и завязали бои на ближайших подступах к Севастополю.</w:t>
      </w:r>
    </w:p>
    <w:p w14:paraId="1834B76B" w14:textId="77777777" w:rsidR="00AE2F39" w:rsidRPr="00070ADE" w:rsidRDefault="00AE2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батальон пехоты противника атаковал наши подразделения, укрепившиеся в одном населённом пункте. В результате рукопашной схватки немцы были отброшены. На поле боя осталось до 300 убитых и раненых гитлеровцев.</w:t>
      </w:r>
    </w:p>
    <w:p w14:paraId="396D327A" w14:textId="77777777" w:rsidR="00AE2F39" w:rsidRPr="00070ADE" w:rsidRDefault="00AE2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западу от города Яссы пехота и танки противника утром возобновили атаки. Бой принял ожесточённый характер. Отдельные участки неоднократно переходили из рук в руки. К исходу дня наши части нанесли немецко-румынским войскам решительный удар и отбросили их в исходное положение. В этом бою огнём нашей артиллерии подбито и сожжено до 40 немецких танков. Противник понёс большие потери в живой силе.</w:t>
      </w:r>
    </w:p>
    <w:p w14:paraId="2D364B69" w14:textId="77777777" w:rsidR="00AE2F39" w:rsidRPr="00070ADE" w:rsidRDefault="00AE2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лётчики в воздушных боях в течение дня сбили 15 немецких самолётов.</w:t>
      </w:r>
    </w:p>
    <w:p w14:paraId="16F7D3DD" w14:textId="77777777" w:rsidR="00AE2F39" w:rsidRPr="00070ADE" w:rsidRDefault="00AE2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Финском заливе нашим самолётом-торпедоносцем потоплен немецкий транспорт водоизмещением в 5 тысяч тонн.</w:t>
      </w:r>
    </w:p>
    <w:p w14:paraId="3C877B29" w14:textId="77777777" w:rsidR="00AE2F39" w:rsidRPr="00070ADE" w:rsidRDefault="00AE2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Корабли Северного флота потопили мотобот противника водоизмещением в 150 тонн. Команда мотобота взята в плен.</w:t>
      </w:r>
    </w:p>
    <w:p w14:paraId="348C9E60" w14:textId="77777777" w:rsidR="00AE2F39" w:rsidRPr="00070ADE" w:rsidRDefault="00AE2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с 10 по 15 апреля минские партизанские отряды пустили под откос 6 немецких воинских эшелонов. В результате крушений разбито несколько десятков вагонов с войсками и грузами. В одном районе советские патриоты напали на вражеский гарнизон и истребили до 60 гитлеровцев. Освобождены 38 семейств советских граждан, приговорённых немцами к смертной казни.</w:t>
      </w:r>
    </w:p>
    <w:p w14:paraId="11A4917C" w14:textId="77777777" w:rsidR="00AE2F39" w:rsidRPr="00070ADE" w:rsidRDefault="00AE2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румынских районах, занятых Красной Армией, налаживается нормальная жизнь. Почти во всех сёлах крестьяне завершили весенний сев. Приступили к работе местные органы власти — префектуры и примарии. Население восстанавливает телефонную связь, ремонтирует мосты и дороги. В ряде сёл жители выражают горячее желание помочь Красной Армии быстрее изгнать немцев из Румынии.</w:t>
      </w:r>
    </w:p>
    <w:p w14:paraId="716DF5E5" w14:textId="77777777" w:rsidR="00AE2F39" w:rsidRPr="00070ADE" w:rsidRDefault="00AE2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Димитру Солонка — крестьянин деревни Фетештий, заявил: «Немцы грабили нас. При отступлении они угнали много лошадей и волов. С приходом советских войск в сёлах царит полный порядок. Крестьяне хотят, чтобы русские скорее победили немцев».</w:t>
      </w:r>
    </w:p>
    <w:p w14:paraId="227F46B5" w14:textId="77777777" w:rsidR="00AE2F39" w:rsidRPr="00070ADE" w:rsidRDefault="00AE2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Жители деревни Лункушоара помогали Н-ской части Красной Армии переправиться через реку. Румыны сами пригнали лодки и перевезли бойцов.</w:t>
      </w:r>
    </w:p>
    <w:p w14:paraId="07C8529E" w14:textId="77777777" w:rsidR="00AE2F39" w:rsidRPr="00070ADE" w:rsidRDefault="00AE2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селении Рэдений благочинный Николай Добря в проповеди заявил прихожанам, что русские войска и армии союзников победят Германию. Он призвал жителей оказывать Красной Армии помощь и тем самым ускорить окончание войны.» (14885).</w:t>
      </w:r>
    </w:p>
    <w:p w14:paraId="2B16281A" w14:textId="77777777" w:rsidR="00AE2F39" w:rsidRPr="00070ADE" w:rsidRDefault="00AE2F39" w:rsidP="00B56F90">
      <w:pPr>
        <w:spacing w:after="0" w:line="240" w:lineRule="auto"/>
        <w:jc w:val="both"/>
        <w:rPr>
          <w:rFonts w:ascii="Times New Roman" w:hAnsi="Times New Roman"/>
          <w:color w:val="000000" w:themeColor="text1"/>
          <w:sz w:val="16"/>
          <w:szCs w:val="16"/>
        </w:rPr>
      </w:pPr>
    </w:p>
    <w:p w14:paraId="0C0D49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8-12 мая 1944 за последние 4 дня крымской операции на ЧМ был пик применения топмачтовиков по эвакуирующим войска конвоям. Часть машин базировалась в Саках, которые были в непосредственной близости от коммуникаций. 8 мая 1944 13 Ил-2 в сопровождении 6 Як-9 атаковали конвой в 45 км западнее Балаклавы и 6 в варианте топмачтовиков потопили три плавединицы (4414,11).</w:t>
      </w:r>
    </w:p>
    <w:p w14:paraId="74D648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B37A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мая 1944 в устье Финского залива торпедоносец Ил-4, пилотируемый капитаном Досовым, атаковал одиночный танкер. Впервые на Балтике для стрельбы по одиночной движущей цели применялась циркулирующая высотная торпеда 45-36АВА. Несмотря на крайне малую вероятность достижения успеха, Досов доложил о том, что наблюдал приводнение торпеды, последующее попадание и погружение судна. По всей вероятности, применение высотной торпеды в столь неподходящих условиях объяснялось дефицитом «низких» торпед, поступление которых от промышленности в течение первых трех лет войны практически не было (9965).</w:t>
      </w:r>
    </w:p>
    <w:p w14:paraId="0F6E4F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5D95AB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4E79DC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0523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мая 1944 года</w:t>
      </w:r>
    </w:p>
    <w:p w14:paraId="443C5C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СЕКРЕТНО И ЛИЧНО ОТ ПРЕМЬЕРА И. В. СТАЛИНА ПРЕМЬЕР-МИНИСТРУ г-ну У. ЧЕРЧИЛЛЮ</w:t>
      </w:r>
    </w:p>
    <w:p w14:paraId="5AA7F9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Ваше послание от 3 мая получил. Организация конвоев, доставлявших грузы в советские северные порты, действительно, заслуживает признания и одобрения. Благодарю Вас за проявленное в этом деле исключительное внимание. Встретятся ли с Вашей стороны возражения, если Советское Правительство представит к награде советским орденом столь много сделавшего г-на Литтлтона? Мы бы охотно представили к награждению также и других лиц, отличившихся в организации и проводке конвоев.</w:t>
      </w:r>
    </w:p>
    <w:p w14:paraId="791663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Я с удовлетворением узнал из Вашего сообщения, что Вы поручили изучить вопрос о дальнейших конвоях, нужда в которых у нас все еще весьма велика.</w:t>
      </w:r>
    </w:p>
    <w:p w14:paraId="6AF951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Я понимаю, насколько Ваше внимание приковано сейчас к “Оверлорду”, который, конечно, потребует громадного напряжения сил, но и обещает громадные положительные результаты для всего хода войны.</w:t>
      </w:r>
    </w:p>
    <w:p w14:paraId="79C82E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наилучшими пожеланиями (7430).</w:t>
      </w:r>
    </w:p>
    <w:p w14:paraId="0FAC38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12478D" w14:textId="77777777" w:rsidR="00AE2F39" w:rsidRPr="00070ADE" w:rsidRDefault="00AE2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мая в 1944 году подписание советско-чехословацкого Соглашения об отношениях между советским главнокомандующим и чехословацкой администрацией после вступления советских войск на территорию Чехословакии (14885).</w:t>
      </w:r>
    </w:p>
    <w:p w14:paraId="214FD4AD" w14:textId="77777777" w:rsidR="00AE2F39" w:rsidRPr="00070ADE" w:rsidRDefault="00AE2F39" w:rsidP="00B56F90">
      <w:pPr>
        <w:spacing w:after="0" w:line="240" w:lineRule="auto"/>
        <w:jc w:val="both"/>
        <w:rPr>
          <w:rFonts w:ascii="Times New Roman" w:hAnsi="Times New Roman"/>
          <w:color w:val="000000" w:themeColor="text1"/>
          <w:sz w:val="16"/>
          <w:szCs w:val="16"/>
        </w:rPr>
      </w:pPr>
    </w:p>
    <w:p w14:paraId="0E9EAC4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784388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C9B174" w14:textId="77777777" w:rsidR="00AE2F39" w:rsidRPr="00070ADE" w:rsidRDefault="00AE2F3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мая в 1944 году вышел приказ верховного командования люфтваффе о переоборудовании всех бомбардировщиков «Me 410A-1» и «В-1» в истребители «A-1/U2» и 2B-1/U2», которые имели бы поисковый локатор «Хохентвиль» «FuG 200» и «WB 103», а 7,9-мм пулеметы были заменены на 13-мм «MG 131» (14885).</w:t>
      </w:r>
    </w:p>
    <w:p w14:paraId="41A97ECA" w14:textId="77777777" w:rsidR="00AE2F39" w:rsidRPr="00070ADE" w:rsidRDefault="00AE2F39" w:rsidP="00B56F90">
      <w:pPr>
        <w:spacing w:after="0" w:line="240" w:lineRule="auto"/>
        <w:jc w:val="both"/>
        <w:rPr>
          <w:rFonts w:ascii="Times New Roman" w:hAnsi="Times New Roman"/>
          <w:color w:val="000000" w:themeColor="text1"/>
          <w:sz w:val="16"/>
          <w:szCs w:val="16"/>
        </w:rPr>
      </w:pPr>
    </w:p>
    <w:p w14:paraId="2952C496" w14:textId="77777777" w:rsidR="00D82A10" w:rsidRPr="00070ADE" w:rsidRDefault="00D82A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8–9 мая (ночь) 1944 303 британских бомбардировщика нанесли удар по пяти целям во Франции, при этом потеряно 11 самолетов. Они повреждают железнодорожные станции и локомотивы в Haine Saint Pierre, аэродром и базу гидросамолетов в Lanveoc Poulmic, а также позицию береговой артиллерии в Morsalines, но наносят только одно попадание по береговой артиллерийской позиции в Berneval-le-Grand и пропускают еще одну береговую орудийную позиция целиком у Кап-Гри-Нез (20373).</w:t>
      </w:r>
    </w:p>
    <w:p w14:paraId="674C6F27" w14:textId="77777777" w:rsidR="00D82A10" w:rsidRPr="00070ADE" w:rsidRDefault="00D82A10" w:rsidP="00B56F90">
      <w:pPr>
        <w:spacing w:after="0" w:line="240" w:lineRule="auto"/>
        <w:jc w:val="both"/>
        <w:rPr>
          <w:rFonts w:ascii="Times New Roman" w:hAnsi="Times New Roman"/>
          <w:color w:val="000000" w:themeColor="text1"/>
          <w:sz w:val="16"/>
          <w:szCs w:val="16"/>
        </w:rPr>
      </w:pPr>
    </w:p>
    <w:p w14:paraId="1E71E87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мая 1944 шеф еврейского отдела гестапо А. Эйхман предложил союзникам обменять венгерских евреев на 10 тыс. тяжелых грузовиков (4962).</w:t>
      </w:r>
    </w:p>
    <w:p w14:paraId="12EF27D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D764E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мая 1944 Эйзенхауэр назначил на 5 июня высадку союзников в Нормандии (4962).</w:t>
      </w:r>
    </w:p>
    <w:p w14:paraId="1147B67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2E8E2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мая 1944 после того, как 15 марта в монастырь Монте-Кассино ворвались англо-индийские и новозеландские войска и 2 мая 1944 польский корпус обошел Монте-Кассино, немецкое сопротивление было окончательно сломлено (2438,294).</w:t>
      </w:r>
    </w:p>
    <w:p w14:paraId="201123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906B5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B72ED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2075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мая 1944 г. истребитель И-225 был выпущен из производства и передан на ЛЭС завода №155 (5852,40).</w:t>
      </w:r>
    </w:p>
    <w:p w14:paraId="6F59B4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C71B50" w14:textId="77777777" w:rsidR="00CE7D55" w:rsidRPr="00C94B78" w:rsidRDefault="00CE7D5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9 мая 1944 г. был выпущен из производства истребитель И-225 и передан на ЛЭС завода №155. Первый полет на самолете выполнили 21 июля 1944 г. Для проведения заводских испытаний в соответствии с приказом НКАП №447 от 24 июля 1944 г. утвердили ведущего инженера А.Г.Брунова и летчика-испытателя А.П.Якимова. На испытаниях И-225 достиг на номинальном режиме скорости 580 км/ч у земли и 721 км/ч на высоте 8850 м. Высоту 5000 м самолет набирал за 4,5 мин., а 8000 м — за 7,9 мин. На максимальных и боевых режимах скорость и скороподъемность не определялись. Однако в самом конце заводских испытаний самолет И-225 потерпел аварию. 9 августа 1944 г. во время определения границы высотности на номинальном и максимальном режимах работы двигателя на высоте 7000-7500 м начался пожар из-за обрыва главного шатуна второго цилиндра мотора АМ-42Б №02. На высоте 2000-1500 м летчик А.П.Якимов покинул горящую машину, получив при этом ожоги (25230).</w:t>
      </w:r>
    </w:p>
    <w:p w14:paraId="766FB961" w14:textId="77777777" w:rsidR="00CE7D55" w:rsidRPr="00C94B78" w:rsidRDefault="00CE7D55" w:rsidP="00B56F90">
      <w:pPr>
        <w:spacing w:after="0" w:line="240" w:lineRule="auto"/>
        <w:jc w:val="both"/>
        <w:rPr>
          <w:rFonts w:ascii="Times New Roman" w:hAnsi="Times New Roman"/>
          <w:color w:val="0070C0"/>
          <w:sz w:val="16"/>
          <w:szCs w:val="16"/>
        </w:rPr>
      </w:pPr>
    </w:p>
    <w:p w14:paraId="5F7C1D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мая 1944 г. закончили переоборудова</w:t>
      </w:r>
      <w:r w:rsidRPr="00070ADE">
        <w:rPr>
          <w:rFonts w:ascii="Times New Roman" w:hAnsi="Times New Roman"/>
          <w:color w:val="000000" w:themeColor="text1"/>
          <w:sz w:val="16"/>
          <w:szCs w:val="16"/>
        </w:rPr>
        <w:softHyphen/>
        <w:t>ние И—220 зав. № 02 в И—225 (шифр «5А»), после чего машину пере</w:t>
      </w:r>
      <w:r w:rsidRPr="00070ADE">
        <w:rPr>
          <w:rFonts w:ascii="Times New Roman" w:hAnsi="Times New Roman"/>
          <w:color w:val="000000" w:themeColor="text1"/>
          <w:sz w:val="16"/>
          <w:szCs w:val="16"/>
        </w:rPr>
        <w:softHyphen/>
        <w:t>дали на заводские испытания, которые провели веду</w:t>
      </w:r>
      <w:r w:rsidRPr="00070ADE">
        <w:rPr>
          <w:rFonts w:ascii="Times New Roman" w:hAnsi="Times New Roman"/>
          <w:color w:val="000000" w:themeColor="text1"/>
          <w:sz w:val="16"/>
          <w:szCs w:val="16"/>
        </w:rPr>
        <w:softHyphen/>
        <w:t>щий инженер А.Г.Брунов и летчик-испытатель А.П.Якимов. Форси</w:t>
      </w:r>
      <w:r w:rsidRPr="00070ADE">
        <w:rPr>
          <w:rFonts w:ascii="Times New Roman" w:hAnsi="Times New Roman"/>
          <w:color w:val="000000" w:themeColor="text1"/>
          <w:sz w:val="16"/>
          <w:szCs w:val="16"/>
        </w:rPr>
        <w:softHyphen/>
        <w:t>рованный вариант мотора АМ—42 (буква Ф в названии) был дополнен односкоростным привод</w:t>
      </w:r>
      <w:r w:rsidRPr="00070ADE">
        <w:rPr>
          <w:rFonts w:ascii="Times New Roman" w:hAnsi="Times New Roman"/>
          <w:color w:val="000000" w:themeColor="text1"/>
          <w:sz w:val="16"/>
          <w:szCs w:val="16"/>
        </w:rPr>
        <w:softHyphen/>
        <w:t>ным центробежным нагнетателем (буква Б), сопря</w:t>
      </w:r>
      <w:r w:rsidRPr="00070ADE">
        <w:rPr>
          <w:rFonts w:ascii="Times New Roman" w:hAnsi="Times New Roman"/>
          <w:color w:val="000000" w:themeColor="text1"/>
          <w:sz w:val="16"/>
          <w:szCs w:val="16"/>
        </w:rPr>
        <w:softHyphen/>
        <w:t>женным с турбокомпрессором. В основу конструк</w:t>
      </w:r>
      <w:r w:rsidRPr="00070ADE">
        <w:rPr>
          <w:rFonts w:ascii="Times New Roman" w:hAnsi="Times New Roman"/>
          <w:color w:val="000000" w:themeColor="text1"/>
          <w:sz w:val="16"/>
          <w:szCs w:val="16"/>
        </w:rPr>
        <w:softHyphen/>
        <w:t>ции турбокомпрессора легли два изобретения Микулина:</w:t>
      </w:r>
    </w:p>
    <w:p w14:paraId="3789B5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постановка турбокомпрессора на один блок мо</w:t>
      </w:r>
      <w:r w:rsidRPr="00070ADE">
        <w:rPr>
          <w:rFonts w:ascii="Times New Roman" w:hAnsi="Times New Roman"/>
          <w:color w:val="000000" w:themeColor="text1"/>
          <w:sz w:val="16"/>
          <w:szCs w:val="16"/>
        </w:rPr>
        <w:softHyphen/>
        <w:t>тора при сохранении реактивного выхлопа с другого блока, что позволяло увеличить скорость самолета и отказаться от ручной регулировки, увеличивало по</w:t>
      </w:r>
      <w:r w:rsidRPr="00070ADE">
        <w:rPr>
          <w:rFonts w:ascii="Times New Roman" w:hAnsi="Times New Roman"/>
          <w:color w:val="000000" w:themeColor="text1"/>
          <w:sz w:val="16"/>
          <w:szCs w:val="16"/>
        </w:rPr>
        <w:softHyphen/>
        <w:t>лезную мощность мотора и заметно снижало темпе</w:t>
      </w:r>
      <w:r w:rsidRPr="00070ADE">
        <w:rPr>
          <w:rFonts w:ascii="Times New Roman" w:hAnsi="Times New Roman"/>
          <w:color w:val="000000" w:themeColor="text1"/>
          <w:sz w:val="16"/>
          <w:szCs w:val="16"/>
        </w:rPr>
        <w:softHyphen/>
        <w:t>ратуру газа на лопатках турбины;</w:t>
      </w:r>
    </w:p>
    <w:p w14:paraId="38FA69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применение широкохордных лопаток турбины, изготовленных методом фрезерования с приданием эллиптической формы поверхностям, что позволило уменьшить стоимость изготовления и повысило прочность лопаток (9984).</w:t>
      </w:r>
    </w:p>
    <w:p w14:paraId="799D29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3B13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мая 1944 вышло Постановление ГКО № 5850 О строительстве взлетно-посадочной полосы на заводе № 82 Наркомавиапрома. РГАНИР, Фонд ГКО, д. 251, лл. 190-192,193 (11012).</w:t>
      </w:r>
    </w:p>
    <w:p w14:paraId="7E5F9E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544093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E21D6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251E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мая 1944 г. вышла ДИРЕКТИВА ЗАМЕСТИТЕЛЯ КОМАНДУЮЩЕГО БТ и МВ КА О ВЫХОДЕ ИЗ СТРОЯ МАТЧАСТИ АРТИЛЛЕРИИ И МИНОМЕТОВ ПО ПРИЧИНАМ ПРОИЗВОДСТВЕННЫХ ДЕФЕКТОВ СИСТЕМ И БОЕПРИПАСОВ №483681</w:t>
      </w:r>
    </w:p>
    <w:p w14:paraId="0205942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Случаи выхода из строя матчасти артиллерии и минометов, происходящие по различным причинам производственных дефектов систем или боеприпасов, таким, как преждевременный разрыв снаряда в канале ствола и т.п., войсками не считаются чрезвычайными происшествиями и об этих случаях своевременно не доносится, а ряд случаев вообще остается неизвестным, отче</w:t>
      </w:r>
      <w:r w:rsidRPr="00070ADE">
        <w:rPr>
          <w:rFonts w:ascii="Times New Roman" w:hAnsi="Times New Roman"/>
          <w:color w:val="000000" w:themeColor="text1"/>
          <w:sz w:val="16"/>
          <w:szCs w:val="16"/>
        </w:rPr>
        <w:softHyphen/>
        <w:t>го устранение причин ГАУ не производится.</w:t>
      </w:r>
    </w:p>
    <w:p w14:paraId="2B106F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Каждый случай выхода из строя матчасти по причине производственных дефектов орудий, ми</w:t>
      </w:r>
      <w:r w:rsidRPr="00070ADE">
        <w:rPr>
          <w:rFonts w:ascii="Times New Roman" w:hAnsi="Times New Roman"/>
          <w:color w:val="000000" w:themeColor="text1"/>
          <w:sz w:val="16"/>
          <w:szCs w:val="16"/>
        </w:rPr>
        <w:softHyphen/>
        <w:t>нометов и боеприпасов к ним надлежит рассматривать как чрезвычайное происшествие н о нем не</w:t>
      </w:r>
      <w:r w:rsidRPr="00070ADE">
        <w:rPr>
          <w:rFonts w:ascii="Times New Roman" w:hAnsi="Times New Roman"/>
          <w:color w:val="000000" w:themeColor="text1"/>
          <w:sz w:val="16"/>
          <w:szCs w:val="16"/>
        </w:rPr>
        <w:softHyphen/>
        <w:t>медленно доносить по команде в ГАУ с кратким изложением характера и причин происшествия, с последующей высылкой ГАУ акта комиссии, назначаемой распоряжением командира части для расследования происшествия.</w:t>
      </w:r>
    </w:p>
    <w:p w14:paraId="3093A1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Одновременно с актом отсылать и донесение по форме №29 АРТ или 30 ЛРТ, установленным табелем срочных донесений по директиве ГШ КА №807203с от 29.06.1943 года.</w:t>
      </w:r>
    </w:p>
    <w:p w14:paraId="2AA4CE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командующего БТ и МВ КА генерал-полковник бронетанковых войск Коробков</w:t>
      </w:r>
    </w:p>
    <w:p w14:paraId="0F911B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 военного совета генерал-полковник танковых войск Бирюков</w:t>
      </w:r>
    </w:p>
    <w:p w14:paraId="4CDE6B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ЦЛМО. Ф. 38. Он. 11353. Д. 199. Л. 147. Подлинник (11420).</w:t>
      </w:r>
    </w:p>
    <w:p w14:paraId="0BC255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6417A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мая 1944 вышло Постановление ГКО № 5851 О вывозке хлеба из глубинных пунктов в мае и июне 1944 г. (7229, 194-195,196).</w:t>
      </w:r>
    </w:p>
    <w:p w14:paraId="4FEC803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FFA54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мая 1944 вышло Распоряжение ГКО № 5852 [Об освобождении от призыва в КА студентов вузов и техникумов НКЛП СССР.] (7229, 197).</w:t>
      </w:r>
    </w:p>
    <w:p w14:paraId="70758DA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C93F1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B85A7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6F0D6F"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мая в 1944 году оперативная сводка Совинформбюро:</w:t>
      </w:r>
    </w:p>
    <w:p w14:paraId="3C632F78"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9 мая в КРыму войска 4-го Украинского фронта при поддержкемассированных ударов авиации и артиллерии продолжали наступательные бои противнемецко-фашистских войск в районе Севастополя.</w:t>
      </w:r>
    </w:p>
    <w:p w14:paraId="4420E7C2"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Сломив упорное сопротивление противника, наши войска ночью, несколько часов тому назад, штурмом овладели крепостью и важнейшей военно-морской базой на Чёрном море — городом Севастополь. Тем самым ликвидирован последний очаг сопротивления немцев в Крыму, и Крым полностью очищен от немецко-фашистских захватчиков.</w:t>
      </w:r>
    </w:p>
    <w:p w14:paraId="3D67DD29"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без существенных изменений.</w:t>
      </w:r>
    </w:p>
    <w:p w14:paraId="549C4602"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8 мая в воздушных боях и огнём зенитной артиллерии уничтожено 48 самолётов противника.»</w:t>
      </w:r>
    </w:p>
    <w:p w14:paraId="0A36ABF2"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Удары нашей авиации и торпедных катеров по судам противника в районе Севастополя:</w:t>
      </w:r>
    </w:p>
    <w:p w14:paraId="6E6F27FF"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9 мая крупные силы нашей авиации наносили удары по судам противникав районе Севастополя. Бомбардировке были подвергнуты транспорты и другиеплавучие средства противника, находившиеся в бухтах Казачья, Стрелецкая иКамышёвая. В результате бомбардировки возникло свыше 30 пожаров. Горелитранспорты, причалы и военные склады. Несколько объятых пламенем судоввзорвалось. Взрывы большой силы наблюдались также на причалах и в районескладов.</w:t>
      </w:r>
    </w:p>
    <w:p w14:paraId="395E4D9C"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открытом море нашими торпедными катерами потоплены два транспортапротивника общим водоизмещением в 7.000 тонн.»</w:t>
      </w:r>
    </w:p>
    <w:p w14:paraId="71D429C4"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Бомбардировка нашей авиацией железнодорожного узла Тапа:</w:t>
      </w:r>
    </w:p>
    <w:p w14:paraId="73534B12"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ночь на 9 мая наша авиация дальнего действия бомбардировала скоплениявоинских эшелонов противника на железнодорожном узле Тапа (Эстония). Врезультате бомбардировки произошло 4 сильных взрыва. Возникшими пожарами былаохвачена значительная часть железнодорожного узла. Горели вагоны и платформы своенным имуществом и техникой противника.»</w:t>
      </w:r>
    </w:p>
    <w:p w14:paraId="5D73EFF1"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Налёт нашей авиации на финский порт Котка:</w:t>
      </w:r>
    </w:p>
    <w:p w14:paraId="43C8DAE0"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мая авиация Краснознамённого Балтийского флота произвела налёт на финскийпорт Котка и бомбардировала корабли противника. В результате бомбардировкипотоплен транспорт водоизмещением в 2.000 тонн и три морских катера.</w:t>
      </w:r>
    </w:p>
    <w:p w14:paraId="0B81938D"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Повреждён другой стоявший в порту транспорт и причалы. Кроме того, в Финскомзаливе прямыми попаданиями бомб потоплены тральщик и сторожевой корабльпротивника.»</w:t>
      </w:r>
    </w:p>
    <w:p w14:paraId="05064957"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4-го Украинского фронта штурмом овладели крепостью и важнейшей военно-морской базой на Чёрном море городом Севастополь. Ночью части Н-скогогвардейского соединения в ходе упорных боёв сломили сопротивление противника и полностью очистили от немцев северное побережье Северной бухты. Советские артиллеристы выдвинули на побережье до 60 орудий и прямой наводкой уничтожали вражеские суда, находившиеся в Северной и Южной бухтах. Тем временем наши войска нанесли противнику мощный удар. Советские пехотинцы и танкисты при поддержке массированных ударов авиации и артиллерии пошли на штурм внутреннегосевастопольского обвода — последнего железобетонного оборонительного рубежанемцев на ближних подступах к Севастополю. Этот рубеж состоял из долговременных железобетонных сооружений, большого числа дзотов, блиндажей, противотанковых рвов, минных полей и проволочных заграждений. Советские части разбили немецко-фашистские войска, оборонявшие внутренний обвод, заняли Малахов курган, Слободу Корабельную, Слободу Рудольфову и ворвались в центр города. Южнее Севастополя бойцы Н-ского соединения овладели хутором Отрадный, посёлком 6-я Верста, Джаншиев. В ожесточённых боях наши войска разгромили противника и полностью освободили от немецко-фашистских захватчиков город русской славы —Севастополь. Разгромлена крымская группировка немцев, и Крым полностью очищен от немецких мерзавцев. Противник понёс огромные потери в живой силе и технике.</w:t>
      </w:r>
    </w:p>
    <w:p w14:paraId="5D383C29"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1941 и 1942 годах советские войска в невиданно тяжёлых условиях 250 дней обороняли Севастополь. В течение многих месяцев они отбивали бешеный натиск немецко-фашистских войск и наносили им тягчайшие потери. В 1942 году только за последние 25 дней штурма Севастополя немцы потеряли до 150 тысяч солдат и офицеров, из них не менее 60 тысяч убитыми. В 1944 году советские войска за три дня штурма прорвали сильно укреплённую долговременную оборону немцев, состоявшуюиз трёх полос железобетонных оборонительных сооружений, и разгромили немецко-фашистские войска, оборонявшие Севастополь.</w:t>
      </w:r>
    </w:p>
    <w:p w14:paraId="5168DB84"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Длительной и героической обороной Севастополя в 1941-1942 годах Красная Армия показала непревзойдённый пример мужества и храбрости. В мае 1944 года КраснаяАрмия, в три дня овладев крепостью и военно-морской базой Севастополь, одержала ещё одну славную победу.</w:t>
      </w:r>
    </w:p>
    <w:p w14:paraId="3EBA4300"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танки и пехота противника предприняли атаку. Гвардейцы танкового подразделения дважды Героя Советского Союза Бойко стремительным ударом с фланга рассеяли немцев. Подбито 3 танка и уничтожено свыше двух рот гитлеровцев.</w:t>
      </w:r>
    </w:p>
    <w:p w14:paraId="0AA92DFF"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Украинские партизанские отряды имени Ворошилова и имени 26-й годовщины Красной Армии с 19 по 24 апреля пустили под откос 4 воинских эшелона противника. На шоссейных и грунтовых дорогах советские патриоты взорвали шесть грузовых автомашин, бронемашину и несколько повозок. Убито 42 гитлеровца.</w:t>
      </w:r>
    </w:p>
    <w:p w14:paraId="17563EB2"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районе города Яссы наши подразделения разгромили 1 батальон 1 полка 3 румынской пехотной дивизии. Остатки батальона и его командир майор Ион Марин сложили оружие и сдались в плен. Пленный майор Ион Марин рассказал: «По дороге на передовые позиции я слышал от офицеров о разгроме многих румынских частей. Мне казалось, что это сильно преувеличено. Я видел, что офицеры, возвращавшиеся с передовой, ещё находятся во власти паники и не пришли в себя. Оттого я снекоторым недоверием относился к их сообщениям о тяжёлых потерях румынской армии. Теперь, на основании горького опыта, я убедился, что офицеры говорили мне правду. Прибыв на фронт, я получил приказ атаковать русских и занять их позиции. Русские танки нас буквально смяли. Из 800 человек, приведённых мною ночью на передовую, к часу дня осталось только 30. Все остальные солдаты и офицеры были убиты или ранены. Я вместе с оставшейся группой солдат сдался в плен».</w:t>
      </w:r>
    </w:p>
    <w:p w14:paraId="62AFE8D6"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Документ, разоблачающий профессиональных грабителей из румынских гитлеровцев:</w:t>
      </w:r>
    </w:p>
    <w:p w14:paraId="11844019"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действующие на Юге, захватили секретные документы противника.Среди них было обнаружено «Наставление» румынского генерального штаба «О функциях организаций Z 1, специализированных по военным захватам и военным трофеям» от 25 июня 1942 года за № 346900. «Наставление» имеет следующие приложения: 1. Схема организаций Z 1; 2. Постановление румынского совета министров за № 1403 от 3 декабря 1941 года; 3. Выписка из немецко-румынского договора, подписанного генералами Беккером и Штефля от 30 июня 1942 года; 4. Решение румынского совета министров за № 426 от 14 апреля 1942 года; 5. Инструкция о срочном приведении в порядок трофеев.</w:t>
      </w:r>
    </w:p>
    <w:p w14:paraId="199BB735"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«Наставление» отпечатано в типографии румынского генерального штаба и подписано начальником генерального штаба генералом И.Штефля. На обложке документа и на его первой странице имеются пометки: «Генеральный штаб IV секция V отдел». «Совершенно секретно. Хранить в несгораемом шкафу». «В случае опасности немедленно сжечь».</w:t>
      </w:r>
    </w:p>
    <w:p w14:paraId="05D0219B"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румынского генерального штаба были достаточно веские основания для того, чтобы тщательно скрывать все, что содержится в этом документе. То, что румынский генштаб издал и разослал под большим секретом командирам войсковых соединении, нельзя назвать наставлением для регулярной армии. «Наставление» румынского генштаба — это не инструкция войскам, а «спутник грабителя» — карманное пособиедля громил и мародёров. Приличия ради «Наставление» носит скромное и замысловатое название: «О функциях организаций Z 1, специализированных по военным захватам и военным трофеям». Но в самом документе всякая маскировка отброшена. В нём идёт речь об открытом организованном ограблении и расхищении всех материальных богатств и культурных ценностей советского народа во временно оккупированных районах.</w:t>
      </w:r>
    </w:p>
    <w:p w14:paraId="1CA5F760"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постановления румынского совета министров от 3 декабря 1941 года явствует, что тотчас же после занятия Одессы румынское правительство приступило к осуществлению заранее разработанного плана полного разграбления это го крупног опромышленного и культурного советского города. Статья 1-ая постановления румынского совета министров учреждает «организацию «Одесская служба захватов и сбора трофеев», с подчинением непосредственно главной ставке».</w:t>
      </w:r>
    </w:p>
    <w:p w14:paraId="260FDCF7"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Статья 2-ая этого постановления следующим образом определяет задачи румынской государственной организации по разграблению Одессы: «Руководство этой службой доверяется главной ставкой одному из офицеров высшего звания, который в соответствии с выполнением функций командования будет иметь звание, равное помощнику командира дивизии со следующими полномочиями:</w:t>
      </w:r>
    </w:p>
    <w:p w14:paraId="499CC752"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Составить инвентаризацию всего оборудования предприятий и материалов,находящихся в Одессе, будь то для эвакуации на родину иди для восстановления и использования их на месте, по согласованию с военным комендантом Одессы;</w:t>
      </w:r>
    </w:p>
    <w:p w14:paraId="1E977B98"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Собирать все материалы и оборудование предприятий Одессы, которые подлежат эвакуации в Румынию, и эвакуировать эти материалы на запад от Днестра.</w:t>
      </w:r>
    </w:p>
    <w:p w14:paraId="346D31CA"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Распределение этих материалов и оборудования по министерствам производится генеральным штабом на основании положения, составленного начальником Одесской службы захватов».</w:t>
      </w:r>
    </w:p>
    <w:p w14:paraId="5C1BD55E"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Статья 6 гласит: «Господа министры, заместители министров по министерствам: национальной обороны, финансов, национального хозяйства, здравоохранения, труда и социального обеспечения, внутренних дел, национальной культуры, общественных работ и путей сообщения, сельского хозяйства и имений, обязаны выполнять настоящее решение совета министров».</w:t>
      </w:r>
    </w:p>
    <w:p w14:paraId="32D55FD3"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постановление совета министров подписали министры, правящие Румынией по воле Гитлера: председатель совета министров маршал Ион Антонеску, заместитель председателя совета министров и министр иностранных дел Михаил Антонеску, министр национальной обороны генерал Пантази, министр финансов генерал Стоенеску, министр юстиции Константин Стоическу, министр сельского хозяйства и имений генерал Сикитиу, министр внутренних дел генерал Попеску, министр национальной экономики Маринеску и министр труда и социального обеспечения доктор Томеску.</w:t>
      </w:r>
    </w:p>
    <w:p w14:paraId="3EC9F1FA"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ноября 1941 года и до июля 1942 года, то есть 8 месяцев, румынская государственно-грабительская организация «Службы захватов и сбора трофеев» расхищала и вывозила в Румынию богатства Одессы, опустошала этот, некогда цветущий, советский город. Затем бандитская шайка, именующая себя румынским советом министров, решила придать организованный, государственный характер грабежам и хищениям не только в Одессе, но и во всех оккупированных немецко-румынскими войсками советских районах.</w:t>
      </w:r>
    </w:p>
    <w:p w14:paraId="6454D2DE"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личному заданию председателя совета министров маршала Иона Антонеску начальник румынского генерального штаба Штефля выработал проект создания грабительских шаек под названием «Организации Z 1» и «Наставление» для них. При разработке проекта Штефля руководствовался постановлением румынского совета министров от 3 декабря 1941 г. за № 1403, о котором уже шла речь выше.</w:t>
      </w:r>
    </w:p>
    <w:p w14:paraId="252A80B1"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«Наставлении» говорится: «С 23 июня 1942 года Одесская служба захватов преобразуется в специальную организацию для захватов и военных трофеев под названием «Организация Z 1».</w:t>
      </w:r>
    </w:p>
    <w:p w14:paraId="6A97CB4F"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Румынский генеральный штаб создал пять «Организаций Z 1»: в Одессе — под командованием майора Думитру Котя, в Донецком бассейне — под командованием подполковника Ивана Попа, в Крыму — под командованием подполковника ДарвинаГалина, резервная при командовании и «специальная группа для Москвы». Все «Организации Z 1» находятся под командованием полковника Георгия Кассиана. В состав каждой «Организации» входит несколько батальонов, несколько сапёрных рот, роты шофёров и пожарных, автогенные группы, группы «специалистов» по художественным ценностям.</w:t>
      </w:r>
    </w:p>
    <w:p w14:paraId="5C5F7AB3"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Далее следует подробно разработанная инструкция по ограблению всех средств производства, культурных и иных ценностей в оккупированных советских районах.</w:t>
      </w:r>
    </w:p>
    <w:p w14:paraId="55F31F89"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«Наставление» предписывает вывозить в Румынию советские фабрики, заводы и их оборудование. На этот счет в «Наставлении» указывается, что по вопросу о захвате средств производства «Организации Z 1» получают дополнительные инструкции от полковника Георгия Кассиана.</w:t>
      </w:r>
    </w:p>
    <w:p w14:paraId="6B0DA3EF"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Румынский генштаб организовал массовое разграбление имущества советского государства, варварски расхищал и расхищает собственность советского народа.</w:t>
      </w:r>
    </w:p>
    <w:p w14:paraId="0556E783"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Захвату и вывозу в Румынию художественных ценностей, созданных советским народом, в «Наставлении» посвящён специальный раздел за № 9. С полным знанием дела, изобличающим опытных грабителей, «Наставление» румынского генерального штаба разъясняет технику и приёмы грабежа художественных ценностей: «Все произведения искусства и художественные ценности надо собирать в строжайшей тайне, не привлекая внимания. Желательно, чтобы картины вывозились вместе с рамами. Если это невозможно, следует вырезать их из рам бритвой и свертывать в трубку. Произведения искусства и национальные ценности надо вывозить только в румынских санитарных поездах в пункты по адресу генерального штаба, который направит их к месту назначения по степени их важности».</w:t>
      </w:r>
    </w:p>
    <w:p w14:paraId="71FC3E6A"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Генштаб румынской армии, по поручению румынского совета министров, создал команды взломщиков и грабителей, снабдил их отмычками, бритвами и послал в советские музеи и картинные галереи захватывать и вывозить в Румынию картины, статуи, редчайшие рукописи, книги — всё, чем можно поживиться.</w:t>
      </w:r>
    </w:p>
    <w:p w14:paraId="74F360B1"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«Наставление» предлагает далее всем «Организациям Z 1» в самом срочном порядке изъять в оккупированных районах: «рентгеновскую аппаратуру, зубоврачебные и хирургические инструменты и т. д. ...То, что в хорошем состоянии, передается в полевые госпитали... через полковника Антонеску, а затем через полковника Гырбя. Материалы и инструменты, бывшие в употреблении и неисправные, упаковывать в ящики из-под боеприпасов и отправлять на родину». Предлагается также захватывать «как можно больше фармацевтических материалов, особенно сырья и готовых лекарств».</w:t>
      </w:r>
    </w:p>
    <w:p w14:paraId="37D14DA1"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Румынские громилы врывались в прекрасные клиники, больницы, санатории и другие гражданские лечебные учреждения, построенные советским правительством дл янарода, и расхищали медикаменты, сложное медицинское оборудование и инструменты, складывали их в ящики из-под боеприпасов и, объявляя всё это «военными трофеями», вывозили в Румынию, лишая население оккупированных районов всякой медицинской помощи.</w:t>
      </w:r>
    </w:p>
    <w:p w14:paraId="739BDF8B"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«Наставление» предписывает грабить и вывозить в Румынию решительно всё общественное и личное достояние советских людей, в том числе продовольствие, одежду, скот. По поводу лошадей в «Наставлении» имеется специальное указание: «Лошади на основании приказа переходят в государственную собственность и регистрируются».</w:t>
      </w:r>
    </w:p>
    <w:p w14:paraId="3DDBD154"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«Наставлении» есть специальный раздел «О порядке перевозки трофеев», т. е. имущества, награбленного и наворованного румынскими войсками в оккупированных советских районах: «Самые ценные предметы перевозятся в санитарных румынских поездах».</w:t>
      </w:r>
    </w:p>
    <w:p w14:paraId="34FA6AD8"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Отсюда следует, что санитарная служба румынской армии превращена в средство доставки награбленных ценностей бандитскому притону, именуемому румынским правительством. Давно установлено, что гитлеровское зверьё, нагло попирая основы международного права, обстреливает и бомбит советские санитарные поезда, перевозящие раненых бойцов. Теперь установлено документально, что свои собственные санитарные поезда гитлеровские мерзавцы и их сообщники по бандитизму используют для перевозки украденных у советского народа ценностей.</w:t>
      </w:r>
    </w:p>
    <w:p w14:paraId="05E1A675"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Румынский генеральный штаб требует от своих грабительских организаций проявления широкой инициативы и самодеятельности в деле грабежа. «Работа «Организации Z 1», — говорится в «Наставлении», — должна быть налажена так, чтобы она могла свободно проявлять свою инициативу и действовать без задержек».</w:t>
      </w:r>
    </w:p>
    <w:p w14:paraId="3CBB7CA5"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Спрятанный за семью печатями документ матёрых румынских грабителей ныне извлечён из секретных хранилищ и увидел свет. Этот трофейный документ разоблачает преступные замыслы и чудовищные злодеяния румынских гитлеровцев. Румынская дворня Гитлера, в лице Антонеску и его прихвостней, планомерно расхищала и расхищает достояние советского народа и личное имущество советских людей, временно попавших под фашистское ярмо. Гитлеровские лакеи, в форме румынских майоров, полковников и генералов, захватывали промышленные богатства и культурные ценности советского народа. Банды мародёров, сведенные в «Организации Z 1», вывозили и вывозят в Румынию фабрики, заводы, разрушают и уничтожают всё, что создал советский народ своим многолетним самоотверженным трудом.</w:t>
      </w:r>
    </w:p>
    <w:p w14:paraId="7FA98ADF"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Идея создания специальной государственной бандитской организации для разграбления достояния советского народа, поставленной на широкую государственную ногу, по праву принадлежит Гитлеру и его своре.</w:t>
      </w:r>
    </w:p>
    <w:p w14:paraId="26419169"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ноября 1942 года Советское Информбюро опубликовало заявление пленного оберштурмфюрера 4-й роты батальона особого назначения германского министерства иностранных дел Нормана Ферстера. Непреложными фактами и документами было доказано, что повсеместные грабежи в оккупированных районах СССР производятся по прямому приказу германского правительства и носят организованный государственный характер. Установлено, что германское правительство является организатором и вдохновителем повсеместных грабежей на оккупированной советской территории.</w:t>
      </w:r>
    </w:p>
    <w:p w14:paraId="3C74417C"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Захваченное частями Красной Армии «Наставление» румынского генерального штаба показывает, что румынские лакеи Гитлера следуют по стопам своих берлинских хозяев.</w:t>
      </w:r>
    </w:p>
    <w:p w14:paraId="530111CE"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Бандитское «Наставление» румынского генерального штаба нельзя читать без величайшего чувства негодования и ненависти к его составителям и вдохновителям. Вместе с тем, отдельные места этого документа вызовут у советских читателей смех. Трижды в «Наставлении» упоминается «Специальная Московская группа». Наличие в «Наставлении» раздела о «Московской группе» говорит о многом. Вымогая у Румынии всё новые и новые партии пушечного мяса, Гитлер в своё время посулил своим бухарестским холуям долю при разграблении советской столицы. Румынские убийцы и казнокрады всерьёз поверили матёрому шулеру Гитлеру и поспешили сколотить из уголовного сброда специальную группу для разграбления культурных сокровищ Москвы. Известно, что из этого вышло: немцы и румыны получили по зубам. Румынский министр национальной обороны генерал Пантази, несомненно, в курсе дела. Он мог бы доложить румынскому совету министров о разгроме румынских войскв районе Сталинграда, на Дону, на Кавказе и в Крыму. Он мог бы сообщить, что лишь на подступах к Сталинграду советские войска разгромили 12 пехотных, 3 кавалерийских и 1 танковую румынские дивизии. Он мог бы также сообщить о том, что в Москву, да и в другие места Советского Союза, прибывали и прибывают не одиночные группы, а целые транспорты с румынскими военнослужащими, в числ екоторых находятся видные офицеры и генералы румынской армии. Правда, к советским музеям, к нашим художественным и культурным ценностям они доступа не имеют, так как находятся в Советском Союзе в качестве военнопленных.</w:t>
      </w:r>
    </w:p>
    <w:p w14:paraId="6B14EAEB"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захваченных трофейных секретных румынских документов явствует, что профессиональные грабители из румынских гитлеровцев по заранее разработанному плану грабили советские города и сёла, вывозили промышленные предприятия, культурные, научные, исторические и художественные ценности и другие богатства советского народа, опустошали жилища мирных советских граждан, забирали личные вещи и предметы домашнего обихода. Все эти грабежи проводились и проводятся по прямому заданию румынского совета министров и под непосредственным руководством румынского генерального штаба.</w:t>
      </w:r>
    </w:p>
    <w:p w14:paraId="1C852678"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Красная Армия, очищая советскую землю от немецко-фашистских захватчиков, за последние месяцы изгнала немцев и румын из Николаевской и Одесской областей, из Крыма и многих районов Молдавской ССР. На этой территории во время её оккупации немецко-фашистскими войсками хозяйничали румынские гитлеровцы.</w:t>
      </w:r>
    </w:p>
    <w:p w14:paraId="3B218F0E"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Воины Красной Армии, освобождая от фашистских мерзавцев города и села советского Юга, наблюдали страшные результаты бандитской деятельности румынских грабителей и мародёров на советской земле — на побережье Чёрного моря, в районах между Южным Бугом и Днестром, между Днестром и Прутом. Румынская саранча разграбила советские фабрики и заводы, совхозы и колхозы, научные учреждения, дворцы, музеи, библиотеки, санатории и больницы, обобрала дочиста мирных жителей. Румыны врывались в дома и квартиры, убивали и мучили советских людей, насиловали женщин. Воины Красной Армии воочию убедились, как румынские бандиты ограбили и обездолили советских крестьян. Они отняли у крестьян и увезли в Румынию плуги, бороны, культиваторы, молотилки, веялки, телеги, сбрую, даже мотыги, лопаты, вилы. Румыны забирали у мирных жителей все ценные вещи, обувь, одежду, продовольствие. Румынские бандиты не брезговали домашней утварью, тащили посуду, ложки, ножи — словом, всё, что попадало под руки.</w:t>
      </w:r>
    </w:p>
    <w:p w14:paraId="1179CE2D"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Крупные и мелкие румынские жулики и громилы, поощряемые правящей кликой Румынии, не только действовали согласно грабительскому «Наставлению» румынского генерального штаба, но и проявляли на бандитском поприще широкую инициативу. В Чрезвычайную Государственную Комиссию по установлению и расследованию злодеяний немецко-фашистских захватчиков и их сообщников поступают многочисленные заявления от жителей Одессы, Николаева, других городов и сёл об огромном ущербе, который причинили румынские сподручные немцев гражданам, совхозам, общественным организациям, государственным предприятиям и учреждениям СССР.</w:t>
      </w:r>
    </w:p>
    <w:p w14:paraId="08E74FC5"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Доблестная Красная Армия, развивая успешное наступление, на некоторых участках вступила в пределы Румынии. Советское правительство заявило, что оно не преследует цели приобретения какой-либо части румынской территории или изменения существующего общественного строя Румынии. Советские военные власти обеспечивают безопасность мирного населения занятых румынских районов. Советские воины ведут себя культурно и с достоинством. Красная Армия не мстит мирным жителям Румынии за бесчинства и зверства румынских военных властей в оккупированных советских районах, за разграбление советских городов и сёл. За эти преступления ответит румынская правящая клика, все лица, причастные к мародёрским, грабительским организациям. Все они понесут заслуженную кару. Никто не уйдёт от ответа, не избежит карающей руки советского народа. Час возмездия близок.» (14886).</w:t>
      </w:r>
    </w:p>
    <w:p w14:paraId="2CEBED9E" w14:textId="77777777" w:rsidR="00F31F26" w:rsidRPr="00070ADE" w:rsidRDefault="00F31F26" w:rsidP="00B56F90">
      <w:pPr>
        <w:spacing w:after="0" w:line="240" w:lineRule="auto"/>
        <w:jc w:val="both"/>
        <w:rPr>
          <w:rFonts w:ascii="Times New Roman" w:hAnsi="Times New Roman"/>
          <w:color w:val="000000" w:themeColor="text1"/>
          <w:sz w:val="16"/>
          <w:szCs w:val="16"/>
        </w:rPr>
      </w:pPr>
    </w:p>
    <w:p w14:paraId="720790F3"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мая в 1944 году Советская Армия освободила от гитлеровских захватчиков город Севастополь. Освобождение Крыма и Севастополя весной 1944 года Ставкой Верховного Главнокомандования было возложено на войска 4-го Украинского фронта (2-я гвардейская и 51-я армии) под командованием генерала армии Ф.И.Толбухина и войска Отдельной Приморской армии под командованием генерала армии А.И.Еременко при поддержке сил и средств Черноморского флота во главе с адмиралом Ф.С.Октябрьским и Азовской военной флотилии под командованием контр-адмирала С.Г.Горшкова, авиации дальнего дейсгвия под командованием маршала авиации А.Н.Голованова. Их действия координировали представители Ставки Верховного Главнокомандования Маршалы Советского Союза А.М.Василевский и К.Е.Ворошилов. 5 мая 1944 г. в 12 часов, после мощной двухчасовой артиллерийской и авиационной подготовки, 2-я гвардейская армия под командованием генерал-лейтенанта Г.Ф.Захарова начала наступление с Мекензиевых гор, чтобы освободить Северную сторону и форсировать Северную бухту. 7 мая в 10 часов 30 минут, после полуторачасовой артиллерийской и авиационной подготовки, перешли в наступление войска Приморской и 51-и армий. На главном направлении Сапун-гора - Карань (ныне село Флотское) действовали части Приморской армии под командованием генерал-лейтенанта К.С.Мельника. Восточнее Инкермана и Федюхиных высот на Сапун-гору, являющуюся ключом вражеской обороны, наступала 51-я армия под командованием Героя Советского Союза генерал-</w:t>
      </w:r>
      <w:r w:rsidRPr="00070ADE">
        <w:rPr>
          <w:rFonts w:ascii="Times New Roman" w:hAnsi="Times New Roman"/>
          <w:color w:val="000000" w:themeColor="text1"/>
          <w:sz w:val="16"/>
          <w:szCs w:val="16"/>
        </w:rPr>
        <w:lastRenderedPageBreak/>
        <w:t>лейтенанта Я.Г.Крейзера. Особенно тяжелые бои в районе Сапун-горы шли в полосе наступления 77-й стрелковой дивизии полковника А.П.Родионова и 32-й гвардейской стрелковой дивизии полковника Н.К.Закуренкова. Они первыми вышли на гребень Сапун-горы. Штурмовые красные флаги на вершине водрузили рядовые Г.И.Евглевский, И.К.Яцуненко, ефрейтор В.И.Дробязко, сержант А.А.Курбатов и др. К исходу дня советские войска овладели Сапун-горой и прорвали многоярусную систему укреплений основного рубежа противника почти на всем его протяжении. Большую помощь атакующей пехоте оказали летчики 8-й воздушной армии под командованием генерал-лейтенанта авиации Т.Т.Хрюкина. 9 мая к вечеру был полностью освобожден Севастополь, 10 мая в час ночи Москва 24 залпами из 342 орудий салютовала освободителям города. В этот день газета "Правда" писала: "Здравствуй, родной Севастополь! Любимый город советского народа, город-герой, город-богатырь! Радостно приветствует тебя вся страна!". 12 мая в районе мыса Херсонес были разгромлены остатки фашистских войск в Крыму (14886).</w:t>
      </w:r>
    </w:p>
    <w:p w14:paraId="2750B037" w14:textId="77777777" w:rsidR="00F31F26" w:rsidRPr="00070ADE" w:rsidRDefault="00F31F26" w:rsidP="00B56F90">
      <w:pPr>
        <w:spacing w:after="0" w:line="240" w:lineRule="auto"/>
        <w:jc w:val="both"/>
        <w:rPr>
          <w:rFonts w:ascii="Times New Roman" w:hAnsi="Times New Roman"/>
          <w:color w:val="000000" w:themeColor="text1"/>
          <w:sz w:val="16"/>
          <w:szCs w:val="16"/>
        </w:rPr>
      </w:pPr>
    </w:p>
    <w:p w14:paraId="5D85043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мая 1944 советские войска освободили от фашистов Севастополь (4962).</w:t>
      </w:r>
    </w:p>
    <w:p w14:paraId="52FFDB2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87E0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9 1944 Soviet troops recapture Sevastopol (1050).</w:t>
      </w:r>
    </w:p>
    <w:p w14:paraId="43A968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52CCD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мая 1944 советские войска 1УФ освободили Севастополь (270).</w:t>
      </w:r>
    </w:p>
    <w:p w14:paraId="32D1DE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61645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0B5333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E4C93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мая 1944 немецкий адмирал К. Дениц заявил в Берлине, что в ближайшем будущем высадки союзников во Франции не предвидится (4962).</w:t>
      </w:r>
    </w:p>
    <w:p w14:paraId="11077F6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AF25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9th, 1944: Allied air forces begin a campaign of large scale raids against German airfields and rail communications in France in preparation for D-Day (3819).</w:t>
      </w:r>
    </w:p>
    <w:p w14:paraId="45452B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9A1A1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9 May 1944 Allied bombing of France prepares the ground for D-Day (270).</w:t>
      </w:r>
    </w:p>
    <w:p w14:paraId="18C4C9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081C0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мая 1944 начались бомбардировки Франции с целью подготовки к дню Д (270).</w:t>
      </w:r>
    </w:p>
    <w:p w14:paraId="1CD574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18020A" w14:textId="77777777" w:rsidR="00D82A10" w:rsidRPr="00070ADE" w:rsidRDefault="00D82A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9–10 мая (ночь) 1944 521 британский бомбардировщик совершил налет на цели во Франции с потерей шести самолетов. Поразили четыре из семи намеченных береговых орудийных позиций в Cap Gris Nez и завод по производству шарикоподшипников в Анси, а также атаковали фабрики в Gennevilliers (20373).</w:t>
      </w:r>
    </w:p>
    <w:p w14:paraId="7512FB44" w14:textId="77777777" w:rsidR="00D82A10" w:rsidRPr="00070ADE" w:rsidRDefault="00D82A10" w:rsidP="00B56F90">
      <w:pPr>
        <w:spacing w:after="0" w:line="240" w:lineRule="auto"/>
        <w:jc w:val="both"/>
        <w:rPr>
          <w:rFonts w:ascii="Times New Roman" w:hAnsi="Times New Roman"/>
          <w:color w:val="000000" w:themeColor="text1"/>
          <w:sz w:val="16"/>
          <w:szCs w:val="16"/>
        </w:rPr>
      </w:pPr>
    </w:p>
    <w:p w14:paraId="43D9293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D0E1F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99614F" w14:textId="77777777" w:rsidR="00420314" w:rsidRPr="00070ADE" w:rsidRDefault="00420314"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мая 1944 ги 3ВА гмиас Мартов подписал и 12 мая 1944 Нач. 3ВА Пашевич утвердил Доклад о живучести матчаст, конструктивных и производственных недостатках, установленных б/опытом 3 ВА за 1943-44 гг.</w:t>
      </w:r>
    </w:p>
    <w:p w14:paraId="2036C78D" w14:textId="77777777" w:rsidR="00420314" w:rsidRPr="00070ADE" w:rsidRDefault="00420314"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Ил-2 АМ-38Ф</w:t>
      </w:r>
    </w:p>
    <w:p w14:paraId="70923A5F" w14:textId="77777777" w:rsidR="00420314" w:rsidRPr="00070ADE" w:rsidRDefault="00420314"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среднем за 1943 г. одна боевая потеря пришлась на 26 б/вылетов или 27 часов налета. За январь-апрель 1944 - на 54 самолето/вылета или 55 часов налета. Безвозвратные б/потери в % от общего к-ва б-х повреждений составила за 1943 г 3,9%, за январь-апрель 1944 - 1,9%. Боевые повреждения составили 22,2% от общего к-ва с/вылетов (на 5 с-то вылетов один ст- получал повреждения)</w:t>
      </w:r>
    </w:p>
    <w:p w14:paraId="34D639A9" w14:textId="77777777" w:rsidR="00420314" w:rsidRPr="00070ADE" w:rsidRDefault="00420314"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Пе-2 ПФ (как разведчики только) на высоте 500-7000 м. За 1943 г. на 1 боевую потерю 82,5 с/вылеьтов или 119 часов налета. В бою с 2 и более и противника с-т Пе-2, как правило, сбивали (необходимо улучшить протектирование б/б) (816,2).</w:t>
      </w:r>
    </w:p>
    <w:p w14:paraId="196ED8A5" w14:textId="77777777" w:rsidR="00420314" w:rsidRPr="00070ADE" w:rsidRDefault="00420314"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D1F4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мая 1944 г. начались государственные испытания самолета Пе-2 "И" В.М.М. (заводские проводил летчик А.Г.Васильченко и завершил их 25 марта 1944). В ходе государственных испытаний первого экземпляра Пе-2И, начавшихся при участии ведущего инженера Г.В.Грибакина, летчика-испытателя А.М.Хрипкова и штурмана Ромашко была достигнута максимальная скорость полета 656 км/ч по сравнению с 640 км/ч, заданными постановлением ГОКО. В тоже время дальность полета с 500 кг бомб оказалась на 125 км ниже заданной. Не выполнили требование ГОКО по установке пушки калибра 20 мм для стрельбы вперед (3337).</w:t>
      </w:r>
    </w:p>
    <w:p w14:paraId="0E98F9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заключении ГК НИИ ВВС отмечалось, что "самолет Пе-2И с 2 ВК-107А по своим летно-техническим данным является современным скоростным дневным бомбардировщиком и может быть рекомендован к принятию на вооружение ВВС Красной Армии с обязательным улучшением взлетных свойств и устранением выявленных дефектов..."(3337).</w:t>
      </w:r>
    </w:p>
    <w:p w14:paraId="1D9AB3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Ведущий летчик-испытатель А.М.Хрипков отмечал, что "по технике пилотирования самолет Пе-2И доступен летчикам средней квалификации. В целом по летно-техническим свойствам самолет Пе-2И имеет большое преимущество перед находящимися в настоящее время на вооружении ВВС КА самолетами Пе-2. По технике пилотирования аналогичен скоростному дневному бомбардировщику-самолету "103" с 2 АМ-39 (Ту-2)."</w:t>
      </w:r>
    </w:p>
    <w:p w14:paraId="52F7EF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Облетали новую машину пилоты А.И.Кабанов, П.М.Стефановский, В.И.Жданов и М.А.Нюхтиков, штурманы И.П.Цветков, П. И. Перевалов, Литвинчук и Старых. Довольно подробное заключение по машине сделал В.И.Жданов, отмечавший: "вход в кабину, по сравнению с серийным самолетом Пе-2, свободнее. Рабочее место летчика тесно. Особенно необходимо расширить левую сторону фонаря пилота.</w:t>
      </w:r>
    </w:p>
    <w:p w14:paraId="0CBBB9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Обзор на земле и в полете хороший, но необходимо уменьшить мертвый угол обзора вперед-вниз &lt;...&gt;, ухудшающий условия наводки самолета на цель при бомбометании.</w:t>
      </w:r>
    </w:p>
    <w:p w14:paraId="18BFA76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Амортизация шасси хорошая. Тормоза слабые. Быстро перегреваются и отказывают в работе.</w:t>
      </w:r>
    </w:p>
    <w:p w14:paraId="0B8595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Разбег &lt;...&gt; значительно больше, чем у самолета Пе-2.</w:t>
      </w:r>
    </w:p>
    <w:p w14:paraId="1ED55C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Отрыв происходит плавно. На разбеге и выдерживании самолет устойчив.</w:t>
      </w:r>
    </w:p>
    <w:p w14:paraId="7A494A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Управляемость самолета хорошая. Самолет во всем диапазоне скоростей послушен рулям. Следует отметить большое влияние изменения положения водяных и масляных заслонок на балансировку самолета.</w:t>
      </w:r>
    </w:p>
    <w:p w14:paraId="68B621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Нагрузки на рулях высоты и элеронах велики, особенно при посадке и на виражах.</w:t>
      </w:r>
    </w:p>
    <w:p w14:paraId="2E3419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Общее впечатление об устойчивости самолета приятное. Путевая устойчивость у самолета хорошая, поперечная устойчивость нейтральна, со слабыми признаками спиральной неустойчивости. Продольная устойчивость нейтральна, с тенденцией к неустойчивости.</w:t>
      </w:r>
    </w:p>
    <w:p w14:paraId="1FB362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Виражит самолет устойчиво, лучше, чем самолет Пе-2.</w:t>
      </w:r>
    </w:p>
    <w:p w14:paraId="3FE0EA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 на одном моторе, при полетном весе около 9000 кг, с затяжеленным винтом (в положении большого шага) неработающего мотора возможен. Нагрузки с рулей полностью снимаются триммерами... Тенденций к сваливанию на крыло не имеет. Посадка по сравнению с Пе-2 несколько проще, за счет уменьшения скорости планирования и большей поперечной устойчивости при посадке." (3337).</w:t>
      </w:r>
    </w:p>
    <w:p w14:paraId="328276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15C5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мая 1944 года начались государственные испыта</w:t>
      </w:r>
      <w:r w:rsidRPr="00070ADE">
        <w:rPr>
          <w:rFonts w:ascii="Times New Roman" w:hAnsi="Times New Roman"/>
          <w:color w:val="000000" w:themeColor="text1"/>
          <w:sz w:val="16"/>
          <w:szCs w:val="16"/>
        </w:rPr>
        <w:softHyphen/>
        <w:t>ния первого экземпляра Пе-2И при участии ведущего инженера Г.В. Грибакина, летчика-испытателя А.М. Хрипкова и штурмана Ромашко. Была достигнута максимальная скорость полета 656 км/ч по сравнению с 640 км/ч, заданными постановлением ГКО. В то же время дальность полета с 500 кг бомб оказалась на 125 км ниже заданной. Не выполнили требование ГКО по установке пушки калиб</w:t>
      </w:r>
      <w:r w:rsidRPr="00070ADE">
        <w:rPr>
          <w:rFonts w:ascii="Times New Roman" w:hAnsi="Times New Roman"/>
          <w:color w:val="000000" w:themeColor="text1"/>
          <w:sz w:val="16"/>
          <w:szCs w:val="16"/>
        </w:rPr>
        <w:softHyphen/>
        <w:t>ра 20 мм для стрельбы вперед. В заключении НИИ ВВС отмечалось, что «самолет Пе-2И с 2 ВК-107А по своим летно-техническим данным является современным ско</w:t>
      </w:r>
      <w:r w:rsidRPr="00070ADE">
        <w:rPr>
          <w:rFonts w:ascii="Times New Roman" w:hAnsi="Times New Roman"/>
          <w:color w:val="000000" w:themeColor="text1"/>
          <w:sz w:val="16"/>
          <w:szCs w:val="16"/>
        </w:rPr>
        <w:softHyphen/>
        <w:t>ростным дневным бомбардировщиком и может быть ре</w:t>
      </w:r>
      <w:r w:rsidRPr="00070ADE">
        <w:rPr>
          <w:rFonts w:ascii="Times New Roman" w:hAnsi="Times New Roman"/>
          <w:color w:val="000000" w:themeColor="text1"/>
          <w:sz w:val="16"/>
          <w:szCs w:val="16"/>
        </w:rPr>
        <w:softHyphen/>
        <w:t>комендован к принятию на вооружение ВВС Красной Ар</w:t>
      </w:r>
      <w:r w:rsidRPr="00070ADE">
        <w:rPr>
          <w:rFonts w:ascii="Times New Roman" w:hAnsi="Times New Roman"/>
          <w:color w:val="000000" w:themeColor="text1"/>
          <w:sz w:val="16"/>
          <w:szCs w:val="16"/>
        </w:rPr>
        <w:softHyphen/>
        <w:t>мии с обязательным улучшением взлетных свойств и уст</w:t>
      </w:r>
      <w:r w:rsidRPr="00070ADE">
        <w:rPr>
          <w:rFonts w:ascii="Times New Roman" w:hAnsi="Times New Roman"/>
          <w:color w:val="000000" w:themeColor="text1"/>
          <w:sz w:val="16"/>
          <w:szCs w:val="16"/>
        </w:rPr>
        <w:softHyphen/>
        <w:t>ранением выявленных дефектов...».</w:t>
      </w:r>
    </w:p>
    <w:p w14:paraId="285371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Ведущий летчик-испытатель А.М. Хрипков отме</w:t>
      </w:r>
      <w:r w:rsidRPr="00070ADE">
        <w:rPr>
          <w:rFonts w:ascii="Times New Roman" w:hAnsi="Times New Roman"/>
          <w:color w:val="000000" w:themeColor="text1"/>
          <w:sz w:val="16"/>
          <w:szCs w:val="16"/>
        </w:rPr>
        <w:softHyphen/>
        <w:t>чал, что «по технике пилотирования самолет Пе-2И до</w:t>
      </w:r>
      <w:r w:rsidRPr="00070ADE">
        <w:rPr>
          <w:rFonts w:ascii="Times New Roman" w:hAnsi="Times New Roman"/>
          <w:color w:val="000000" w:themeColor="text1"/>
          <w:sz w:val="16"/>
          <w:szCs w:val="16"/>
        </w:rPr>
        <w:softHyphen/>
        <w:t>ступен летчикам средней квалификации. В целом по лет но-техническим свойствам самолет Пе-2И имеет боль</w:t>
      </w:r>
      <w:r w:rsidRPr="00070ADE">
        <w:rPr>
          <w:rFonts w:ascii="Times New Roman" w:hAnsi="Times New Roman"/>
          <w:color w:val="000000" w:themeColor="text1"/>
          <w:sz w:val="16"/>
          <w:szCs w:val="16"/>
        </w:rPr>
        <w:softHyphen/>
        <w:t>шое преимущество перед находящимися в настоящее время на вооружении ВВС КА самолетами Пе-2. По техни</w:t>
      </w:r>
      <w:r w:rsidRPr="00070ADE">
        <w:rPr>
          <w:rFonts w:ascii="Times New Roman" w:hAnsi="Times New Roman"/>
          <w:color w:val="000000" w:themeColor="text1"/>
          <w:sz w:val="16"/>
          <w:szCs w:val="16"/>
        </w:rPr>
        <w:softHyphen/>
        <w:t>ке пилотирования аналогичен скоростному дневному бомбардировщику-самолету 103с2АМ-39(Ту-2. — Прим, авт.)».</w:t>
      </w:r>
    </w:p>
    <w:p w14:paraId="242D25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Облетали новую машину пилоты А.И. Кабанов, П.М. Стефановский, В.И. Жданов и М.А. Нюхтиков, штурманы Н.П. Цветков, П.И. Перевалов, Литвинчук и Старых. Довольно подробное заключение по маши</w:t>
      </w:r>
      <w:r w:rsidRPr="00070ADE">
        <w:rPr>
          <w:rFonts w:ascii="Times New Roman" w:hAnsi="Times New Roman"/>
          <w:color w:val="000000" w:themeColor="text1"/>
          <w:sz w:val="16"/>
          <w:szCs w:val="16"/>
        </w:rPr>
        <w:softHyphen/>
        <w:t>не сделал В.И. Жданов, отмечавший: «Вход в кабину, по сравнению с серийным самолетом Пе-2, свободнее. Ра</w:t>
      </w:r>
      <w:r w:rsidRPr="00070ADE">
        <w:rPr>
          <w:rFonts w:ascii="Times New Roman" w:hAnsi="Times New Roman"/>
          <w:color w:val="000000" w:themeColor="text1"/>
          <w:sz w:val="16"/>
          <w:szCs w:val="16"/>
        </w:rPr>
        <w:softHyphen/>
        <w:t>бочее место летчика тесно. Особенно необходимо расши</w:t>
      </w:r>
      <w:r w:rsidRPr="00070ADE">
        <w:rPr>
          <w:rFonts w:ascii="Times New Roman" w:hAnsi="Times New Roman"/>
          <w:color w:val="000000" w:themeColor="text1"/>
          <w:sz w:val="16"/>
          <w:szCs w:val="16"/>
        </w:rPr>
        <w:softHyphen/>
        <w:t>рить левую сторону фонаря пилота.</w:t>
      </w:r>
    </w:p>
    <w:p w14:paraId="72FDE9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Обзор на земле и в полете хороший, но необходимо уменьшить мертвый угол обзора вперед-вниз (...), ухуд</w:t>
      </w:r>
      <w:r w:rsidRPr="00070ADE">
        <w:rPr>
          <w:rFonts w:ascii="Times New Roman" w:hAnsi="Times New Roman"/>
          <w:color w:val="000000" w:themeColor="text1"/>
          <w:sz w:val="16"/>
          <w:szCs w:val="16"/>
        </w:rPr>
        <w:softHyphen/>
        <w:t>шающий условия наводки самолета на цель при бомбоме</w:t>
      </w:r>
      <w:r w:rsidRPr="00070ADE">
        <w:rPr>
          <w:rFonts w:ascii="Times New Roman" w:hAnsi="Times New Roman"/>
          <w:color w:val="000000" w:themeColor="text1"/>
          <w:sz w:val="16"/>
          <w:szCs w:val="16"/>
        </w:rPr>
        <w:softHyphen/>
        <w:t>тании.</w:t>
      </w:r>
    </w:p>
    <w:p w14:paraId="11EEC3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Амортизация шасси хорошая. Тормоза слабые. Быст</w:t>
      </w:r>
      <w:r w:rsidRPr="00070ADE">
        <w:rPr>
          <w:rFonts w:ascii="Times New Roman" w:hAnsi="Times New Roman"/>
          <w:color w:val="000000" w:themeColor="text1"/>
          <w:sz w:val="16"/>
          <w:szCs w:val="16"/>
        </w:rPr>
        <w:softHyphen/>
        <w:t>ро перегреваются и отказывают в работе.</w:t>
      </w:r>
    </w:p>
    <w:p w14:paraId="0FDDEE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Разбег(...) значительно больше, чем у самолета Пе-2.</w:t>
      </w:r>
    </w:p>
    <w:p w14:paraId="501B1F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Отрыв происходит плавно. На разбеге и выдержива</w:t>
      </w:r>
      <w:r w:rsidRPr="00070ADE">
        <w:rPr>
          <w:rFonts w:ascii="Times New Roman" w:hAnsi="Times New Roman"/>
          <w:color w:val="000000" w:themeColor="text1"/>
          <w:sz w:val="16"/>
          <w:szCs w:val="16"/>
        </w:rPr>
        <w:softHyphen/>
        <w:t>нии самолет устойчив.</w:t>
      </w:r>
    </w:p>
    <w:p w14:paraId="3BA555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Управляемость самолета хорошая. Самолет во всем диапазоне скоростей послушен рулям. Следует отметить большое влияние изменения положения водяных и масля</w:t>
      </w:r>
      <w:r w:rsidRPr="00070ADE">
        <w:rPr>
          <w:rFonts w:ascii="Times New Roman" w:hAnsi="Times New Roman"/>
          <w:color w:val="000000" w:themeColor="text1"/>
          <w:sz w:val="16"/>
          <w:szCs w:val="16"/>
        </w:rPr>
        <w:softHyphen/>
        <w:t>ных заслонок на балансировку самолета.</w:t>
      </w:r>
    </w:p>
    <w:p w14:paraId="50C8B1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Нагрузки на рулях высоты и элеронах велики, особен</w:t>
      </w:r>
      <w:r w:rsidRPr="00070ADE">
        <w:rPr>
          <w:rFonts w:ascii="Times New Roman" w:hAnsi="Times New Roman"/>
          <w:color w:val="000000" w:themeColor="text1"/>
          <w:sz w:val="16"/>
          <w:szCs w:val="16"/>
        </w:rPr>
        <w:softHyphen/>
        <w:t>но при посадке и на виражах.</w:t>
      </w:r>
    </w:p>
    <w:p w14:paraId="3E4C22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Общее впечатление об устойчивости самолета прият</w:t>
      </w:r>
      <w:r w:rsidRPr="00070ADE">
        <w:rPr>
          <w:rFonts w:ascii="Times New Roman" w:hAnsi="Times New Roman"/>
          <w:color w:val="000000" w:themeColor="text1"/>
          <w:sz w:val="16"/>
          <w:szCs w:val="16"/>
        </w:rPr>
        <w:softHyphen/>
        <w:t>ное. Путевая устойчивость у самолета хорошая, попереч</w:t>
      </w:r>
      <w:r w:rsidRPr="00070ADE">
        <w:rPr>
          <w:rFonts w:ascii="Times New Roman" w:hAnsi="Times New Roman"/>
          <w:color w:val="000000" w:themeColor="text1"/>
          <w:sz w:val="16"/>
          <w:szCs w:val="16"/>
        </w:rPr>
        <w:softHyphen/>
        <w:t>ная устойчивость нейтральна, со слабыми признаками спиральной неустойчивости. Продольная устойчивость нейтральна, с тенденцией к неустойчивости.</w:t>
      </w:r>
    </w:p>
    <w:p w14:paraId="09C248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Виражит самолет устойчиво, лучше, чем самолет Пе-2.</w:t>
      </w:r>
    </w:p>
    <w:p w14:paraId="7D6613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 на одном моторе, при полетном весе около 9000 кг, с за тяжеленным винтом (в положении большого шага. — Прим, авт.) неработающего мотора возможен. Нагрузки с рулей полностью снимаются триммерами... Тенденций к сваливанию на крыло не имеет. Посадка по сравнению с Пе-2 несколько проще, за счет уменьшения скорости планирования и большей поперечной устойчи</w:t>
      </w:r>
      <w:r w:rsidRPr="00070ADE">
        <w:rPr>
          <w:rFonts w:ascii="Times New Roman" w:hAnsi="Times New Roman"/>
          <w:color w:val="000000" w:themeColor="text1"/>
          <w:sz w:val="16"/>
          <w:szCs w:val="16"/>
        </w:rPr>
        <w:softHyphen/>
        <w:t>вости при посадке».</w:t>
      </w:r>
    </w:p>
    <w:p w14:paraId="4FFA89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показали, что Пе-2И имел большую ско</w:t>
      </w:r>
      <w:r w:rsidRPr="00070ADE">
        <w:rPr>
          <w:rFonts w:ascii="Times New Roman" w:hAnsi="Times New Roman"/>
          <w:color w:val="000000" w:themeColor="text1"/>
          <w:sz w:val="16"/>
          <w:szCs w:val="16"/>
        </w:rPr>
        <w:softHyphen/>
        <w:t>рость, по сравнению с истребителями Ме-109(3-2) и ФВ 190 выпуска 1942 года, причем разница достигала 46 км/ч. Отставал от него и английский «Москито» IV (опознавательный знак ОК-296), испытанный в НИИ ВВС. На высоте 6000 м разница между ними достигала 80 км/ч.</w:t>
      </w:r>
    </w:p>
    <w:p w14:paraId="598933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и в случае с ДВБ-102, на советском «Москито» много неприятностей доставляли двигатели. За два месяца испытаний их меняли шесть раз. Главным де</w:t>
      </w:r>
      <w:r w:rsidRPr="00070ADE">
        <w:rPr>
          <w:rFonts w:ascii="Times New Roman" w:hAnsi="Times New Roman"/>
          <w:color w:val="000000" w:themeColor="text1"/>
          <w:sz w:val="16"/>
          <w:szCs w:val="16"/>
        </w:rPr>
        <w:softHyphen/>
        <w:t>фектом ВК-107А был прорыв газов через верхнее уп</w:t>
      </w:r>
      <w:r w:rsidRPr="00070ADE">
        <w:rPr>
          <w:rFonts w:ascii="Times New Roman" w:hAnsi="Times New Roman"/>
          <w:color w:val="000000" w:themeColor="text1"/>
          <w:sz w:val="16"/>
          <w:szCs w:val="16"/>
        </w:rPr>
        <w:softHyphen/>
        <w:t>лотнение цилиндров, по этой причине двигатели не вырабатывали положенного моторесурса 100 часов. В то же время устройство охлаждения мотора нарека</w:t>
      </w:r>
      <w:r w:rsidRPr="00070ADE">
        <w:rPr>
          <w:rFonts w:ascii="Times New Roman" w:hAnsi="Times New Roman"/>
          <w:color w:val="000000" w:themeColor="text1"/>
          <w:sz w:val="16"/>
          <w:szCs w:val="16"/>
        </w:rPr>
        <w:softHyphen/>
        <w:t>ний не вызывало, поскольку температура охлаждаю</w:t>
      </w:r>
      <w:r w:rsidRPr="00070ADE">
        <w:rPr>
          <w:rFonts w:ascii="Times New Roman" w:hAnsi="Times New Roman"/>
          <w:color w:val="000000" w:themeColor="text1"/>
          <w:sz w:val="16"/>
          <w:szCs w:val="16"/>
        </w:rPr>
        <w:softHyphen/>
        <w:t>щей жидкости не превышала допустимых пределов, с чем сталкивались создатели самолетов-истребите</w:t>
      </w:r>
      <w:r w:rsidRPr="00070ADE">
        <w:rPr>
          <w:rFonts w:ascii="Times New Roman" w:hAnsi="Times New Roman"/>
          <w:color w:val="000000" w:themeColor="text1"/>
          <w:sz w:val="16"/>
          <w:szCs w:val="16"/>
        </w:rPr>
        <w:softHyphen/>
        <w:t>лей. Проблемы с мотором начинались при полетах на высоте более 6000 м, когда падало давление масла, что было связано в том числе и с низким качеством уп</w:t>
      </w:r>
      <w:r w:rsidRPr="00070ADE">
        <w:rPr>
          <w:rFonts w:ascii="Times New Roman" w:hAnsi="Times New Roman"/>
          <w:color w:val="000000" w:themeColor="text1"/>
          <w:sz w:val="16"/>
          <w:szCs w:val="16"/>
        </w:rPr>
        <w:softHyphen/>
        <w:t>лотнителей (сальников).</w:t>
      </w:r>
    </w:p>
    <w:p w14:paraId="7F93BF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не позволили сделать окончательное заключение по пулеметной установке «ДЭУ». Причин для этого было несколько, я позволю себе остановиться на трех из них. Это, прежде всего, недостаточная жест</w:t>
      </w:r>
      <w:r w:rsidRPr="00070ADE">
        <w:rPr>
          <w:rFonts w:ascii="Times New Roman" w:hAnsi="Times New Roman"/>
          <w:color w:val="000000" w:themeColor="text1"/>
          <w:sz w:val="16"/>
          <w:szCs w:val="16"/>
        </w:rPr>
        <w:softHyphen/>
        <w:t>кость установки в горизонтальной плоскости, значительные величины динамического рассогласования прицела у штурмана и оружия, а также слабая электри</w:t>
      </w:r>
      <w:r w:rsidRPr="00070ADE">
        <w:rPr>
          <w:rFonts w:ascii="Times New Roman" w:hAnsi="Times New Roman"/>
          <w:color w:val="000000" w:themeColor="text1"/>
          <w:sz w:val="16"/>
          <w:szCs w:val="16"/>
        </w:rPr>
        <w:softHyphen/>
        <w:t>ческая мощность генераторов самолета, недостаточ</w:t>
      </w:r>
      <w:r w:rsidRPr="00070ADE">
        <w:rPr>
          <w:rFonts w:ascii="Times New Roman" w:hAnsi="Times New Roman"/>
          <w:color w:val="000000" w:themeColor="text1"/>
          <w:sz w:val="16"/>
          <w:szCs w:val="16"/>
        </w:rPr>
        <w:softHyphen/>
        <w:t>ная для надежной работы пулеметной установки. Уст</w:t>
      </w:r>
      <w:r w:rsidRPr="00070ADE">
        <w:rPr>
          <w:rFonts w:ascii="Times New Roman" w:hAnsi="Times New Roman"/>
          <w:color w:val="000000" w:themeColor="text1"/>
          <w:sz w:val="16"/>
          <w:szCs w:val="16"/>
        </w:rPr>
        <w:softHyphen/>
        <w:t>ранить рассогласование прицела и оружия так и не удалось, поскольку в составе установки «ДЭУ» отсут</w:t>
      </w:r>
      <w:r w:rsidRPr="00070ADE">
        <w:rPr>
          <w:rFonts w:ascii="Times New Roman" w:hAnsi="Times New Roman"/>
          <w:color w:val="000000" w:themeColor="text1"/>
          <w:sz w:val="16"/>
          <w:szCs w:val="16"/>
        </w:rPr>
        <w:softHyphen/>
        <w:t>ствовал один из важнейших элементов — вычисли</w:t>
      </w:r>
      <w:r w:rsidRPr="00070ADE">
        <w:rPr>
          <w:rFonts w:ascii="Times New Roman" w:hAnsi="Times New Roman"/>
          <w:color w:val="000000" w:themeColor="text1"/>
          <w:sz w:val="16"/>
          <w:szCs w:val="16"/>
        </w:rPr>
        <w:softHyphen/>
        <w:t>тель. Промышленность в те годы создать подобное устройство не смогла. Они появились позже, в про</w:t>
      </w:r>
      <w:r w:rsidRPr="00070ADE">
        <w:rPr>
          <w:rFonts w:ascii="Times New Roman" w:hAnsi="Times New Roman"/>
          <w:color w:val="000000" w:themeColor="text1"/>
          <w:sz w:val="16"/>
          <w:szCs w:val="16"/>
        </w:rPr>
        <w:softHyphen/>
        <w:t>цессе копирования американского бомбардировщика В-29 компании «Боинг» (11446).</w:t>
      </w:r>
    </w:p>
    <w:p w14:paraId="622CD8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7363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мая 1944 года самолет Лагг-3 с мотором ВК-105ПФ2 конструкции Горбунова, производства завода N 31 был принят на испытания в НИИ ВВС. Испытания начаты 10 мая, приостановлены 12 мая, ввиду выхода из строя мотора ВК-105ПФ2 (течь воды через уплотнение рубашки левого блока цилиндров) и возобновлены после установки нового мотора 18 мая). С 10 по 19 мая 1944 года произведено 6 полетов, общей продолжительностью 3 часа 00 минут, из них: два полета контрольных и остальные для определения летных характеристик и температурных режимов винто-моторной группы. 19 мая 1944 года испытания прерваны (1821).</w:t>
      </w:r>
    </w:p>
    <w:p w14:paraId="7EAEE2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37D36B" w14:textId="77777777" w:rsidR="00D82A10" w:rsidRPr="00070ADE" w:rsidRDefault="00D82A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10 мая 1944 начались полеты на самолете 105-2, который был построен 31-м заводом в феврале 1944 года, а 4 мая после непродолжительных заводских испытаний поступил в НИИ ВВС на госиспытания. 12 мая после второго вылета по программе, испытания пришлось прервать. На моторе ВК-105ПФ2 № ПФп-2580, с которым самолет 105-2 проходил заводские испытания, обнаружили течь левого блока цилиндров. Наработка двигателя к этому моменту составила 44 часа 2 минуты. С новым мотором № 402-71 тоже сначала не заладилось. После облета на нем пришлось заменить 1-й и 3-й карбюраторы, а также редукционный клапан основного маслонасоса. Испытания удалось возобновить только 1 июня (23197). </w:t>
      </w:r>
    </w:p>
    <w:p w14:paraId="76B6710E" w14:textId="77777777" w:rsidR="00D82A10" w:rsidRPr="00070ADE" w:rsidRDefault="00D82A10" w:rsidP="00B56F90">
      <w:pPr>
        <w:spacing w:after="0" w:line="240" w:lineRule="auto"/>
        <w:jc w:val="both"/>
        <w:rPr>
          <w:rFonts w:ascii="Times New Roman" w:hAnsi="Times New Roman"/>
          <w:color w:val="000000" w:themeColor="text1"/>
          <w:sz w:val="16"/>
          <w:szCs w:val="16"/>
        </w:rPr>
      </w:pPr>
    </w:p>
    <w:p w14:paraId="163AB9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10 мая (самолет поступил 4) по 12 мая и с 1 июня по 12 июня 1944 проводились гос. испытания модифицированного ЛаГГ-3 дублера с ВК-105ПФ-2 с винтом ВИШ-105СВ (N 105-2 производства 31 завода (февраль), ГК В.П.Горбунов с ВЯ-23 - 85 патр.). Отв. испытатель Ф.М.Шишкин, вед. л Дзюба. 15 полетов продолжительностью 8 час. 40 мин. (764,2).</w:t>
      </w:r>
    </w:p>
    <w:p w14:paraId="65F3D4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А.E.Репин утвердил акт по гос. испытаниям модифицированного ЛаГГ-3 дублера с ВК-105ПФ-2 с винтом ВИШ-105СВ (N 105-2 производства 31 завода (февраль), ГК В.П.Горбунов с ВЯ-23</w:t>
      </w:r>
    </w:p>
    <w:p w14:paraId="563CAF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 исполнитель вед. инж. З-да ви п/п Ф.М.Шишкин</w:t>
      </w:r>
    </w:p>
    <w:p w14:paraId="71309F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 л 3 отд. НИИ ВВС гсс гм Дзюба</w:t>
      </w:r>
    </w:p>
    <w:p w14:paraId="716366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 Шишкин</w:t>
      </w:r>
    </w:p>
    <w:p w14:paraId="0D6827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Цель испытаний:</w:t>
      </w:r>
    </w:p>
    <w:p w14:paraId="6FD1EC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Определить ЛТД с-та</w:t>
      </w:r>
    </w:p>
    <w:p w14:paraId="635B4B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Дать оценку эксплуатационным свойствам с-та, ВМГ, вооружения и спецоборудования</w:t>
      </w:r>
    </w:p>
    <w:p w14:paraId="4079E3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Оценить производственное и конструктивное выполнение с-та</w:t>
      </w:r>
    </w:p>
    <w:p w14:paraId="1F0E29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Объект испытаний: предъявленная на госиспытания машина завода № 31 выпуска февраля 1944</w:t>
      </w:r>
    </w:p>
    <w:p w14:paraId="7D4D2F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ранее испытывавшимся ЛаГГ-3 с мотором ВК-105ПФ (первый экз. С-та № 105-1)с-т дублер № 105-2 имеет следующие отличия:</w:t>
      </w:r>
    </w:p>
    <w:p w14:paraId="15226C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планеру - изменена конструкция 4 и 5 шпангоутов фюзеляжа. В нижней ферме 4-го шпангоута произведено два круглых отверстия под тоннуль маслорадиатора, в шп. 5 изменен нижний ... под установку фермы для крепления сидения пилота и качалки управления РВ</w:t>
      </w:r>
    </w:p>
    <w:p w14:paraId="649AF2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 нижней части фюзеляжа перед тоннелем водорадиатора установлено два заборника воздуха для охлаждения маслорадиатора</w:t>
      </w:r>
    </w:p>
    <w:p w14:paraId="2757C6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увеличено плечо качалки управления элеронами для уменьшения давления на ручку управления с-том</w:t>
      </w:r>
    </w:p>
    <w:p w14:paraId="6D63BD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изменены форма и конструкция ручки управления с-том по типу ручки стандартной кабины</w:t>
      </w:r>
    </w:p>
    <w:p w14:paraId="266509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установлен дополнительный кронштейн для крепления лафета пушки ВЯ-23</w:t>
      </w:r>
    </w:p>
    <w:p w14:paraId="0D1D11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ВМГ: установлен мотор ВК-105ПФ-2, установлен винт типа ВИШ-105СВ с профилированной комлевой частью лопастей, маслорадиатор типа ОП-352 заменен двумя последовательно соединенными рядами типа ВМС-8 с трубкой К-4, толщиной 0,1 мм</w:t>
      </w:r>
    </w:p>
    <w:p w14:paraId="2F47AA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 туннель маслорадиатора, который установлен в фюзеляже</w:t>
      </w:r>
    </w:p>
    <w:p w14:paraId="6B71E0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изменена конструкция и перекомпоновыны ряд коробов и крышек капота мотора и управление заслонками маслорадиатора</w:t>
      </w:r>
    </w:p>
    <w:p w14:paraId="0AAE67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общая емкость б/б уменьшена на 28 л с 405 до 377 л</w:t>
      </w:r>
    </w:p>
    <w:p w14:paraId="5FCAA2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на носок вала редуктора установлен центробежный маслоотражатель типа ЛИИ НКАП</w:t>
      </w:r>
    </w:p>
    <w:p w14:paraId="7BBC30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 дренаж трубки суфлера бака</w:t>
      </w:r>
    </w:p>
    <w:p w14:paraId="7D90FF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выхлопные патрубки изготовлены по типу с-та Як-3 (рекомендация ЦАГИ)</w:t>
      </w:r>
    </w:p>
    <w:p w14:paraId="3E953A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вооружению: установлена пушка ВЯ-23 с боезапасом 85 патронов вместо пушки МП-20 с б/з 160 патронов, пулемет УБС с б/з 185 патронов вместо 200 патронов</w:t>
      </w:r>
    </w:p>
    <w:p w14:paraId="7E03D3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установкой пушки ВЯ-23 изменено крепление пушки, форма и конструкция патронных коробок и гильзоотвода</w:t>
      </w:r>
    </w:p>
    <w:p w14:paraId="73E2F5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установлен звеньесборник для пушки ВЯ-23</w:t>
      </w:r>
    </w:p>
    <w:p w14:paraId="64F364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механизм управления оружием переведен на пневматику</w:t>
      </w:r>
    </w:p>
    <w:p w14:paraId="68750E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Спецприборы с-та 105-2 дублер такие же, как на с-те 105-1</w:t>
      </w:r>
    </w:p>
    <w:p w14:paraId="6DBA3C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улучшения ЛТД проведены следующие мероприятия:</w:t>
      </w:r>
    </w:p>
    <w:p w14:paraId="1CA5AD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улучшена внешняя отделка и введена полировка передней кромки крыла</w:t>
      </w:r>
    </w:p>
    <w:p w14:paraId="1B04A4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козырьку кабины пилота придана сферическая форма</w:t>
      </w:r>
    </w:p>
    <w:p w14:paraId="1C2CAC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улучшена герметизация противопожарной перегородки, крыла, кабины пилота и хвостовой части фюзеляжа</w:t>
      </w:r>
    </w:p>
    <w:p w14:paraId="78D22A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данным завода прочность с-та 105-2 и его основных агрегатов: фюзеляжа, крыла, центроплана, шасси удовлетворяет действующим нормам прочности.</w:t>
      </w:r>
    </w:p>
    <w:p w14:paraId="31C287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Расчет завода по флаттеру крыла серийного с-та ЛаГГ-3 в облегченном варианте произведен в ЦАГИ и получено разрешение на эксплуатацию на скорости до 700 км/час по прибору</w:t>
      </w:r>
    </w:p>
    <w:p w14:paraId="0ED203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испытаний:</w:t>
      </w:r>
    </w:p>
    <w:p w14:paraId="29EC0A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пибыл в НИИ 4 мая. Испытания начаты 10 мая, приостановлены по просьбе ГК с-та В.П.Горбунова для осмотра с-та и мотора и доводки тепловых режимов ВМГ 12 мая. Возобновлены 1 июня и закончены 12 июня. Выполнено 15 полетов с налетом 8:40</w:t>
      </w:r>
    </w:p>
    <w:p w14:paraId="5F5BFE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2285 22,5% САХ, угол капотирования 26:40</w:t>
      </w:r>
    </w:p>
    <w:p w14:paraId="673BCC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полетный 2875 22.2% САХ, угол капотирования 28:40</w:t>
      </w:r>
    </w:p>
    <w:p w14:paraId="7C149F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Нормальная нагрузка:</w:t>
      </w:r>
    </w:p>
    <w:p w14:paraId="3E380A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- 90</w:t>
      </w:r>
    </w:p>
    <w:p w14:paraId="07034C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горючее (074 г,см3) - 280</w:t>
      </w:r>
    </w:p>
    <w:p w14:paraId="24A988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масло - 27</w:t>
      </w:r>
    </w:p>
    <w:p w14:paraId="16DF5B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 пушка ВЯ-23 - 73, УБС - 21,5, б/з пушки (85) - 47, б/з пулемета (185) - 31,0</w:t>
      </w:r>
    </w:p>
    <w:p w14:paraId="11D283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связное оборудование - 20,5</w:t>
      </w:r>
    </w:p>
    <w:p w14:paraId="5412250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- 590</w:t>
      </w:r>
    </w:p>
    <w:p w14:paraId="5723DC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 изменения веса 105-2 по сравнению с 105-1, проходившим испытания в НИИ в октябре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708"/>
        <w:gridCol w:w="709"/>
        <w:gridCol w:w="709"/>
      </w:tblGrid>
      <w:tr w:rsidR="004D4663" w:rsidRPr="00070ADE" w14:paraId="40E5B9AA" w14:textId="77777777">
        <w:tc>
          <w:tcPr>
            <w:tcW w:w="2802" w:type="dxa"/>
            <w:tcBorders>
              <w:top w:val="single" w:sz="12" w:space="0" w:color="auto"/>
            </w:tcBorders>
          </w:tcPr>
          <w:p w14:paraId="15CA56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Наименование</w:t>
            </w:r>
          </w:p>
        </w:tc>
        <w:tc>
          <w:tcPr>
            <w:tcW w:w="708" w:type="dxa"/>
            <w:tcBorders>
              <w:top w:val="single" w:sz="12" w:space="0" w:color="auto"/>
            </w:tcBorders>
          </w:tcPr>
          <w:p w14:paraId="0E6DB6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105-2 дублер</w:t>
            </w:r>
          </w:p>
        </w:tc>
        <w:tc>
          <w:tcPr>
            <w:tcW w:w="709" w:type="dxa"/>
            <w:tcBorders>
              <w:top w:val="single" w:sz="12" w:space="0" w:color="auto"/>
            </w:tcBorders>
          </w:tcPr>
          <w:p w14:paraId="2208986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105-1 первый</w:t>
            </w:r>
          </w:p>
        </w:tc>
        <w:tc>
          <w:tcPr>
            <w:tcW w:w="709" w:type="dxa"/>
            <w:tcBorders>
              <w:top w:val="single" w:sz="12" w:space="0" w:color="auto"/>
            </w:tcBorders>
          </w:tcPr>
          <w:p w14:paraId="3ECC5B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Разница</w:t>
            </w:r>
          </w:p>
        </w:tc>
      </w:tr>
      <w:tr w:rsidR="004D4663" w:rsidRPr="00070ADE" w14:paraId="634A49EE" w14:textId="77777777">
        <w:tc>
          <w:tcPr>
            <w:tcW w:w="2802" w:type="dxa"/>
          </w:tcPr>
          <w:p w14:paraId="481082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 полетный вес</w:t>
            </w:r>
          </w:p>
        </w:tc>
        <w:tc>
          <w:tcPr>
            <w:tcW w:w="708" w:type="dxa"/>
          </w:tcPr>
          <w:p w14:paraId="3C7D90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2875</w:t>
            </w:r>
          </w:p>
        </w:tc>
        <w:tc>
          <w:tcPr>
            <w:tcW w:w="709" w:type="dxa"/>
          </w:tcPr>
          <w:p w14:paraId="382EBC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2818</w:t>
            </w:r>
          </w:p>
        </w:tc>
        <w:tc>
          <w:tcPr>
            <w:tcW w:w="709" w:type="dxa"/>
          </w:tcPr>
          <w:p w14:paraId="73F6EF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w:t>
            </w:r>
          </w:p>
        </w:tc>
      </w:tr>
      <w:tr w:rsidR="004D4663" w:rsidRPr="00070ADE" w14:paraId="103CD79A" w14:textId="77777777">
        <w:tc>
          <w:tcPr>
            <w:tcW w:w="2802" w:type="dxa"/>
          </w:tcPr>
          <w:p w14:paraId="34032C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w:t>
            </w:r>
          </w:p>
        </w:tc>
        <w:tc>
          <w:tcPr>
            <w:tcW w:w="708" w:type="dxa"/>
          </w:tcPr>
          <w:p w14:paraId="78D563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2285</w:t>
            </w:r>
          </w:p>
        </w:tc>
        <w:tc>
          <w:tcPr>
            <w:tcW w:w="709" w:type="dxa"/>
          </w:tcPr>
          <w:p w14:paraId="2D5AEF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2234</w:t>
            </w:r>
          </w:p>
        </w:tc>
        <w:tc>
          <w:tcPr>
            <w:tcW w:w="709" w:type="dxa"/>
          </w:tcPr>
          <w:p w14:paraId="14AB71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w:t>
            </w:r>
          </w:p>
        </w:tc>
      </w:tr>
      <w:tr w:rsidR="004D4663" w:rsidRPr="00070ADE" w14:paraId="7E8457D1" w14:textId="77777777">
        <w:tc>
          <w:tcPr>
            <w:tcW w:w="2802" w:type="dxa"/>
          </w:tcPr>
          <w:p w14:paraId="0927E3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нагрузки</w:t>
            </w:r>
          </w:p>
        </w:tc>
        <w:tc>
          <w:tcPr>
            <w:tcW w:w="708" w:type="dxa"/>
          </w:tcPr>
          <w:p w14:paraId="5A3D19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590</w:t>
            </w:r>
          </w:p>
        </w:tc>
        <w:tc>
          <w:tcPr>
            <w:tcW w:w="709" w:type="dxa"/>
          </w:tcPr>
          <w:p w14:paraId="75165E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584</w:t>
            </w:r>
          </w:p>
        </w:tc>
        <w:tc>
          <w:tcPr>
            <w:tcW w:w="709" w:type="dxa"/>
          </w:tcPr>
          <w:p w14:paraId="763F89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r>
      <w:tr w:rsidR="004D4663" w:rsidRPr="00070ADE" w14:paraId="15778ECA" w14:textId="77777777">
        <w:tc>
          <w:tcPr>
            <w:tcW w:w="2802" w:type="dxa"/>
          </w:tcPr>
          <w:p w14:paraId="3629FA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Центровка при нормальном полетном весе</w:t>
            </w:r>
          </w:p>
        </w:tc>
        <w:tc>
          <w:tcPr>
            <w:tcW w:w="708" w:type="dxa"/>
          </w:tcPr>
          <w:p w14:paraId="0374C5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w:t>
            </w:r>
          </w:p>
        </w:tc>
        <w:tc>
          <w:tcPr>
            <w:tcW w:w="709" w:type="dxa"/>
          </w:tcPr>
          <w:p w14:paraId="31DBC5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23,7</w:t>
            </w:r>
          </w:p>
        </w:tc>
        <w:tc>
          <w:tcPr>
            <w:tcW w:w="709" w:type="dxa"/>
          </w:tcPr>
          <w:p w14:paraId="573132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r>
      <w:tr w:rsidR="004D4663" w:rsidRPr="00070ADE" w14:paraId="270A0F22" w14:textId="77777777">
        <w:tc>
          <w:tcPr>
            <w:tcW w:w="2802" w:type="dxa"/>
          </w:tcPr>
          <w:p w14:paraId="26AD8F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Предельная передняя эксплуатационная центровка</w:t>
            </w:r>
          </w:p>
        </w:tc>
        <w:tc>
          <w:tcPr>
            <w:tcW w:w="708" w:type="dxa"/>
          </w:tcPr>
          <w:p w14:paraId="6B655E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23,9</w:t>
            </w:r>
          </w:p>
        </w:tc>
        <w:tc>
          <w:tcPr>
            <w:tcW w:w="709" w:type="dxa"/>
          </w:tcPr>
          <w:p w14:paraId="2AE972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22,3</w:t>
            </w:r>
          </w:p>
        </w:tc>
        <w:tc>
          <w:tcPr>
            <w:tcW w:w="709" w:type="dxa"/>
          </w:tcPr>
          <w:p w14:paraId="58E367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r>
      <w:tr w:rsidR="004D4663" w:rsidRPr="00070ADE" w14:paraId="7C16DA0D" w14:textId="77777777">
        <w:tc>
          <w:tcPr>
            <w:tcW w:w="2802" w:type="dxa"/>
            <w:tcBorders>
              <w:bottom w:val="single" w:sz="12" w:space="0" w:color="auto"/>
            </w:tcBorders>
          </w:tcPr>
          <w:p w14:paraId="47F347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Запас горючего 4Б-78</w:t>
            </w:r>
          </w:p>
        </w:tc>
        <w:tc>
          <w:tcPr>
            <w:tcW w:w="708" w:type="dxa"/>
            <w:tcBorders>
              <w:bottom w:val="single" w:sz="12" w:space="0" w:color="auto"/>
            </w:tcBorders>
          </w:tcPr>
          <w:p w14:paraId="5B170D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w:t>
            </w:r>
          </w:p>
        </w:tc>
        <w:tc>
          <w:tcPr>
            <w:tcW w:w="709" w:type="dxa"/>
            <w:tcBorders>
              <w:bottom w:val="single" w:sz="12" w:space="0" w:color="auto"/>
            </w:tcBorders>
          </w:tcPr>
          <w:p w14:paraId="1E6108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tc>
        <w:tc>
          <w:tcPr>
            <w:tcW w:w="709" w:type="dxa"/>
            <w:tcBorders>
              <w:bottom w:val="single" w:sz="12" w:space="0" w:color="auto"/>
            </w:tcBorders>
          </w:tcPr>
          <w:p w14:paraId="0B84AE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r>
    </w:tbl>
    <w:p w14:paraId="13B82C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причины, вызвавшие увеличение веса - установка пушки ВЯ-23, усиления и конструкционные изменения</w:t>
      </w:r>
    </w:p>
    <w:p w14:paraId="1B7E7D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ЛД</w:t>
      </w:r>
    </w:p>
    <w:p w14:paraId="5EA68F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у земли - 554</w:t>
      </w:r>
    </w:p>
    <w:p w14:paraId="36D4B3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1-й гр. высотности (1400) - 590</w:t>
      </w:r>
    </w:p>
    <w:p w14:paraId="18EE5B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2-й гр. высотности (3400) - 618</w:t>
      </w:r>
    </w:p>
    <w:p w14:paraId="0B3EB3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5000 - 593</w:t>
      </w:r>
    </w:p>
    <w:p w14:paraId="7F7007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6000 - 578</w:t>
      </w:r>
    </w:p>
    <w:p w14:paraId="07EB03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5000 м - 4,8</w:t>
      </w:r>
    </w:p>
    <w:p w14:paraId="5DFF96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Потолок 10750</w:t>
      </w:r>
    </w:p>
    <w:p w14:paraId="3131A10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Граница переключения нагнетателя - 2000 на скорости 542</w:t>
      </w:r>
    </w:p>
    <w:p w14:paraId="57FB71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Скорости вертикальные</w:t>
      </w:r>
    </w:p>
    <w:p w14:paraId="643CDF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 - 18,1</w:t>
      </w:r>
    </w:p>
    <w:p w14:paraId="0E68B2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гр. 650 - 18,9</w:t>
      </w:r>
    </w:p>
    <w:p w14:paraId="618BA2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перекл. - 17,0</w:t>
      </w:r>
    </w:p>
    <w:p w14:paraId="44EB09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 гр. (2500) - 19,2</w:t>
      </w:r>
    </w:p>
    <w:p w14:paraId="07C811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5000 - 13,6</w:t>
      </w:r>
    </w:p>
    <w:p w14:paraId="214679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6000 - 11,3</w:t>
      </w:r>
    </w:p>
    <w:p w14:paraId="27BD8F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ВК-105ПФ-2 наработал с начала испытаний 44:02 и был снят из-за течи воды из блока через уплотнение гильзы</w:t>
      </w:r>
    </w:p>
    <w:p w14:paraId="2E49B7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Производилось сравнение с 105-1, Як-3 дублер, Ла-7 (испытанном в апреле 1944), с Ме-109G (январь 1943) и ФВ-190 А-4 (июль 1943).</w:t>
      </w:r>
    </w:p>
    <w:p w14:paraId="5D0034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6BFA71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ВМГ работает неудовлетворительно</w:t>
      </w:r>
    </w:p>
    <w:p w14:paraId="01D50E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наборе высоты с полностью отурытым туннелем водорадиатора температура воды 116 гр, в горизонтальном полете - 115 (макс. допустимо - 110)</w:t>
      </w:r>
    </w:p>
    <w:p w14:paraId="658D1E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Установленное пулеметно-пушечное вооружение не доведено.</w:t>
      </w:r>
    </w:p>
    <w:p w14:paraId="71E830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Искажение видимости предметов через сферическую часть козырька кабины пилота</w:t>
      </w:r>
    </w:p>
    <w:p w14:paraId="7394F8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с-те отсутствует аварийный сброс фонаря</w:t>
      </w:r>
    </w:p>
    <w:p w14:paraId="351297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w:t>
      </w:r>
    </w:p>
    <w:p w14:paraId="253D46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Модифицированный с-т 1-5-2 дублер конструкции т. Горбунова постройки ОКБ завода № 31 госиспытания не выдержал по причине:</w:t>
      </w:r>
    </w:p>
    <w:p w14:paraId="3AD4D0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низкие ЛТД для с-та большой модификации</w:t>
      </w:r>
    </w:p>
    <w:p w14:paraId="114D93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неудовлетворительная работа ВМГ и вооружения</w:t>
      </w:r>
    </w:p>
    <w:p w14:paraId="682B4E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Считать нецелесообразной продолжение работы по дальнейшей модификации с-та ЛаГГ-3 с мотором ВК-105ПФ-2</w:t>
      </w:r>
    </w:p>
    <w:p w14:paraId="607CC9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дублер подлежит сдаче на завод № 31</w:t>
      </w:r>
    </w:p>
    <w:p w14:paraId="2E5C57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Подписали с 20 по 24 июня (764,2).</w:t>
      </w:r>
    </w:p>
    <w:p w14:paraId="2792DC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301C8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10 мая по 12 июня 1944 года проходили государственные испытания ЛаГГ-3 «105-2» с двигателем М-105ПФ-2 стартовой мощностью 1290 л.с. и рабочей мощностью 1310 л.с. на высоте 2000 м. Емкость топливных баков сократили с 405 до 377 л, пушку ШВАК заменили пушкой ВЯ-23 с боекомплектом 85 выстрелов. Пулемет БС имел боекомплект 185 выстрелов. Закончились они отрицательно. У самолета отметили недоработки в конструкции винтомоторной группы, слабое вооружение и низкие летные параметры. Самолет «105-2» значительно уступал по возможностям немецким истребителям Bf-109G-6 и Fw-190D-9. В результате в НИИ ВВС признали бесперспективным дальнейшее совершенствование ЛаГГа-3 и подняли вопрос о прекращении его серийного выпуска. Дальнейшие планы тбилисских конструкторов так и не были реализованы. В частности они предполагали оснастить самолет эластичными самогерметизирующимися баками. В отличие от жестких баков с резиновой обшивкой, у мягких баков сами стенки были сделаны из самозатягивающейся резины (11749).</w:t>
      </w:r>
    </w:p>
    <w:p w14:paraId="78C3EFE9" w14:textId="77777777" w:rsidR="00595BFB" w:rsidRPr="00070ADE" w:rsidRDefault="00595BFB" w:rsidP="00B56F90">
      <w:pPr>
        <w:autoSpaceDE w:val="0"/>
        <w:autoSpaceDN w:val="0"/>
        <w:adjustRightInd w:val="0"/>
        <w:spacing w:after="0" w:line="240" w:lineRule="auto"/>
        <w:jc w:val="both"/>
        <w:rPr>
          <w:rFonts w:ascii="Times New Roman" w:hAnsi="Times New Roman"/>
          <w:iCs/>
          <w:color w:val="000000" w:themeColor="text1"/>
          <w:sz w:val="16"/>
          <w:szCs w:val="16"/>
        </w:rPr>
      </w:pPr>
    </w:p>
    <w:p w14:paraId="0FD7C1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10 мая по 12 июня 1944 второй экземпляр, "105-2", с двигателем М-105ПФ-2 взлетной мощностью, возросшей до 1290 л.е., а на первой границе высотности (200 м) - 1310 л.с., находился на государственных испытаниях и их не выдержал. Был построен в феврале 1944 г. По сравнению с предшественником, объем бензобаков уменьшили с 405 до 377 л, а 20-мм пушку ШВАК заменили на 23-мм ВЯ-23 с боезапасом 85 патронов. При этом запас для пулемета БС был равен 185 патронам. Недоведенные винтомоторная группа и вооружение, а также низкие летные данные истребителя сделали свое дело. Самолет "105-2" уступал немецким истребителям по основным параметрам. В итоге, НИИ ВВС счел нецелесообразным продолжение модернизации ЛаГГ-3, и в этом же году его серийное производство было завершено (11983).</w:t>
      </w:r>
    </w:p>
    <w:p w14:paraId="632D990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данные семейства истребителей ЛаГГ-3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4D4663" w:rsidRPr="00070ADE" w14:paraId="141F781C" w14:textId="77777777">
        <w:tc>
          <w:tcPr>
            <w:tcW w:w="1401" w:type="dxa"/>
            <w:tcBorders>
              <w:top w:val="single" w:sz="12" w:space="0" w:color="auto"/>
            </w:tcBorders>
          </w:tcPr>
          <w:p w14:paraId="6755A9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5C5146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И-301</w:t>
            </w:r>
          </w:p>
        </w:tc>
        <w:tc>
          <w:tcPr>
            <w:tcW w:w="1401" w:type="dxa"/>
            <w:tcBorders>
              <w:top w:val="single" w:sz="12" w:space="0" w:color="auto"/>
            </w:tcBorders>
          </w:tcPr>
          <w:p w14:paraId="351C24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ЛаГГ-3 №3121715</w:t>
            </w:r>
          </w:p>
        </w:tc>
        <w:tc>
          <w:tcPr>
            <w:tcW w:w="1401" w:type="dxa"/>
            <w:tcBorders>
              <w:top w:val="single" w:sz="12" w:space="0" w:color="auto"/>
            </w:tcBorders>
          </w:tcPr>
          <w:p w14:paraId="13A115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ЛаГГ-3 №3121855</w:t>
            </w:r>
          </w:p>
        </w:tc>
        <w:tc>
          <w:tcPr>
            <w:tcW w:w="1401" w:type="dxa"/>
            <w:tcBorders>
              <w:top w:val="single" w:sz="12" w:space="0" w:color="auto"/>
            </w:tcBorders>
          </w:tcPr>
          <w:p w14:paraId="25D0B0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ЛаГГ-3 №31212912</w:t>
            </w:r>
          </w:p>
        </w:tc>
        <w:tc>
          <w:tcPr>
            <w:tcW w:w="1401" w:type="dxa"/>
            <w:tcBorders>
              <w:top w:val="single" w:sz="12" w:space="0" w:color="auto"/>
            </w:tcBorders>
          </w:tcPr>
          <w:p w14:paraId="5201AA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ЛаГГ-3 №6011</w:t>
            </w:r>
          </w:p>
        </w:tc>
        <w:tc>
          <w:tcPr>
            <w:tcW w:w="1401" w:type="dxa"/>
            <w:tcBorders>
              <w:top w:val="single" w:sz="12" w:space="0" w:color="auto"/>
            </w:tcBorders>
          </w:tcPr>
          <w:p w14:paraId="24FA636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ЛаГГ-3 №7166</w:t>
            </w:r>
          </w:p>
        </w:tc>
        <w:tc>
          <w:tcPr>
            <w:tcW w:w="1401" w:type="dxa"/>
            <w:tcBorders>
              <w:top w:val="single" w:sz="12" w:space="0" w:color="auto"/>
            </w:tcBorders>
          </w:tcPr>
          <w:p w14:paraId="34C567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"105-2"</w:t>
            </w:r>
          </w:p>
        </w:tc>
      </w:tr>
      <w:tr w:rsidR="004D4663" w:rsidRPr="00070ADE" w14:paraId="6B074B3E" w14:textId="77777777">
        <w:tc>
          <w:tcPr>
            <w:tcW w:w="1401" w:type="dxa"/>
          </w:tcPr>
          <w:p w14:paraId="164F73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w:t>
            </w:r>
          </w:p>
        </w:tc>
        <w:tc>
          <w:tcPr>
            <w:tcW w:w="1401" w:type="dxa"/>
          </w:tcPr>
          <w:p w14:paraId="011E6B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w:t>
            </w:r>
          </w:p>
        </w:tc>
        <w:tc>
          <w:tcPr>
            <w:tcW w:w="1401" w:type="dxa"/>
          </w:tcPr>
          <w:p w14:paraId="0719FC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w:t>
            </w:r>
          </w:p>
        </w:tc>
        <w:tc>
          <w:tcPr>
            <w:tcW w:w="1401" w:type="dxa"/>
          </w:tcPr>
          <w:p w14:paraId="0AF5A5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w:t>
            </w:r>
          </w:p>
        </w:tc>
        <w:tc>
          <w:tcPr>
            <w:tcW w:w="1401" w:type="dxa"/>
          </w:tcPr>
          <w:p w14:paraId="0CDA5A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М-105ПФ</w:t>
            </w:r>
          </w:p>
        </w:tc>
        <w:tc>
          <w:tcPr>
            <w:tcW w:w="1401" w:type="dxa"/>
          </w:tcPr>
          <w:p w14:paraId="2FD871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М-105ПФ</w:t>
            </w:r>
          </w:p>
        </w:tc>
        <w:tc>
          <w:tcPr>
            <w:tcW w:w="1401" w:type="dxa"/>
          </w:tcPr>
          <w:p w14:paraId="1D9A179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М-105ПФ</w:t>
            </w:r>
          </w:p>
        </w:tc>
        <w:tc>
          <w:tcPr>
            <w:tcW w:w="1401" w:type="dxa"/>
          </w:tcPr>
          <w:p w14:paraId="3B87FD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М-105ПФ-2</w:t>
            </w:r>
          </w:p>
        </w:tc>
      </w:tr>
      <w:tr w:rsidR="004D4663" w:rsidRPr="00070ADE" w14:paraId="08CBBED9" w14:textId="77777777">
        <w:tc>
          <w:tcPr>
            <w:tcW w:w="1401" w:type="dxa"/>
          </w:tcPr>
          <w:p w14:paraId="11DE87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Мощность, л.с. взлетная</w:t>
            </w:r>
          </w:p>
        </w:tc>
        <w:tc>
          <w:tcPr>
            <w:tcW w:w="1401" w:type="dxa"/>
          </w:tcPr>
          <w:p w14:paraId="20F1DA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796287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53FE45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5CAF23B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45F9C8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1A87BF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64D98B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AD1AAEA" w14:textId="77777777">
        <w:tc>
          <w:tcPr>
            <w:tcW w:w="1401" w:type="dxa"/>
          </w:tcPr>
          <w:p w14:paraId="0B6552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1-й границе высотности, м на 2-й границе высотности, м</w:t>
            </w:r>
          </w:p>
        </w:tc>
        <w:tc>
          <w:tcPr>
            <w:tcW w:w="1401" w:type="dxa"/>
          </w:tcPr>
          <w:p w14:paraId="4924EB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1020 1100/2000 1050/4000</w:t>
            </w:r>
          </w:p>
        </w:tc>
        <w:tc>
          <w:tcPr>
            <w:tcW w:w="1401" w:type="dxa"/>
          </w:tcPr>
          <w:p w14:paraId="285AB80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1020 1100/2000 1050/4000</w:t>
            </w:r>
          </w:p>
        </w:tc>
        <w:tc>
          <w:tcPr>
            <w:tcW w:w="1401" w:type="dxa"/>
          </w:tcPr>
          <w:p w14:paraId="3B53B2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1020 1100/2000 1050/4000</w:t>
            </w:r>
          </w:p>
        </w:tc>
        <w:tc>
          <w:tcPr>
            <w:tcW w:w="1401" w:type="dxa"/>
          </w:tcPr>
          <w:p w14:paraId="14F3A1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1210 1260/700 1180/2700</w:t>
            </w:r>
          </w:p>
        </w:tc>
        <w:tc>
          <w:tcPr>
            <w:tcW w:w="1401" w:type="dxa"/>
          </w:tcPr>
          <w:p w14:paraId="6198019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1210 1260/700 1180/2700</w:t>
            </w:r>
          </w:p>
        </w:tc>
        <w:tc>
          <w:tcPr>
            <w:tcW w:w="1401" w:type="dxa"/>
          </w:tcPr>
          <w:p w14:paraId="1F8238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1210 1260/700 1180/2700</w:t>
            </w:r>
          </w:p>
        </w:tc>
        <w:tc>
          <w:tcPr>
            <w:tcW w:w="1401" w:type="dxa"/>
          </w:tcPr>
          <w:p w14:paraId="61B012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1290 1310/200 1240/2100</w:t>
            </w:r>
          </w:p>
        </w:tc>
      </w:tr>
      <w:tr w:rsidR="004D4663" w:rsidRPr="00070ADE" w14:paraId="59BBF59A" w14:textId="77777777">
        <w:tc>
          <w:tcPr>
            <w:tcW w:w="1401" w:type="dxa"/>
          </w:tcPr>
          <w:p w14:paraId="1896B70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Взлетный вес, кг</w:t>
            </w:r>
          </w:p>
        </w:tc>
        <w:tc>
          <w:tcPr>
            <w:tcW w:w="1401" w:type="dxa"/>
          </w:tcPr>
          <w:p w14:paraId="68F8C0E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2968</w:t>
            </w:r>
          </w:p>
        </w:tc>
        <w:tc>
          <w:tcPr>
            <w:tcW w:w="1401" w:type="dxa"/>
          </w:tcPr>
          <w:p w14:paraId="2A0DB9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3280</w:t>
            </w:r>
          </w:p>
        </w:tc>
        <w:tc>
          <w:tcPr>
            <w:tcW w:w="1401" w:type="dxa"/>
          </w:tcPr>
          <w:p w14:paraId="6B8DBF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3380</w:t>
            </w:r>
          </w:p>
        </w:tc>
        <w:tc>
          <w:tcPr>
            <w:tcW w:w="1401" w:type="dxa"/>
          </w:tcPr>
          <w:p w14:paraId="37F525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3160</w:t>
            </w:r>
          </w:p>
        </w:tc>
        <w:tc>
          <w:tcPr>
            <w:tcW w:w="1401" w:type="dxa"/>
          </w:tcPr>
          <w:p w14:paraId="529AE1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3006</w:t>
            </w:r>
          </w:p>
        </w:tc>
        <w:tc>
          <w:tcPr>
            <w:tcW w:w="1401" w:type="dxa"/>
          </w:tcPr>
          <w:p w14:paraId="1AC02E5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2983</w:t>
            </w:r>
          </w:p>
        </w:tc>
        <w:tc>
          <w:tcPr>
            <w:tcW w:w="1401" w:type="dxa"/>
          </w:tcPr>
          <w:p w14:paraId="59BD99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2875</w:t>
            </w:r>
          </w:p>
        </w:tc>
      </w:tr>
      <w:tr w:rsidR="004D4663" w:rsidRPr="00070ADE" w14:paraId="46F2295B" w14:textId="77777777">
        <w:tc>
          <w:tcPr>
            <w:tcW w:w="1401" w:type="dxa"/>
          </w:tcPr>
          <w:p w14:paraId="1ACA0AA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кг</w:t>
            </w:r>
          </w:p>
        </w:tc>
        <w:tc>
          <w:tcPr>
            <w:tcW w:w="1401" w:type="dxa"/>
          </w:tcPr>
          <w:p w14:paraId="5407B6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2380</w:t>
            </w:r>
          </w:p>
        </w:tc>
        <w:tc>
          <w:tcPr>
            <w:tcW w:w="1401" w:type="dxa"/>
          </w:tcPr>
          <w:p w14:paraId="46F44D0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2610</w:t>
            </w:r>
          </w:p>
        </w:tc>
        <w:tc>
          <w:tcPr>
            <w:tcW w:w="1401" w:type="dxa"/>
          </w:tcPr>
          <w:p w14:paraId="253B78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759C150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7FE0DA4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7022E37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057DD2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2285</w:t>
            </w:r>
          </w:p>
        </w:tc>
      </w:tr>
      <w:tr w:rsidR="004D4663" w:rsidRPr="00070ADE" w14:paraId="192D10CC" w14:textId="77777777">
        <w:tc>
          <w:tcPr>
            <w:tcW w:w="1401" w:type="dxa"/>
          </w:tcPr>
          <w:p w14:paraId="53294FD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горючего, кг</w:t>
            </w:r>
          </w:p>
        </w:tc>
        <w:tc>
          <w:tcPr>
            <w:tcW w:w="1401" w:type="dxa"/>
          </w:tcPr>
          <w:p w14:paraId="72E8C5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1401" w:type="dxa"/>
          </w:tcPr>
          <w:p w14:paraId="66E988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340</w:t>
            </w:r>
          </w:p>
        </w:tc>
        <w:tc>
          <w:tcPr>
            <w:tcW w:w="1401" w:type="dxa"/>
          </w:tcPr>
          <w:p w14:paraId="283254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2DD605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w:t>
            </w:r>
          </w:p>
        </w:tc>
        <w:tc>
          <w:tcPr>
            <w:tcW w:w="1401" w:type="dxa"/>
          </w:tcPr>
          <w:p w14:paraId="069F82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305D92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10C964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w:t>
            </w:r>
          </w:p>
        </w:tc>
      </w:tr>
      <w:tr w:rsidR="004D4663" w:rsidRPr="00070ADE" w14:paraId="7F0C2B71" w14:textId="77777777">
        <w:tc>
          <w:tcPr>
            <w:tcW w:w="1401" w:type="dxa"/>
          </w:tcPr>
          <w:p w14:paraId="70EA33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км/ч у земли на высоте, м</w:t>
            </w:r>
          </w:p>
        </w:tc>
        <w:tc>
          <w:tcPr>
            <w:tcW w:w="1401" w:type="dxa"/>
          </w:tcPr>
          <w:p w14:paraId="63C2F9B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515 605/4950</w:t>
            </w:r>
          </w:p>
        </w:tc>
        <w:tc>
          <w:tcPr>
            <w:tcW w:w="1401" w:type="dxa"/>
          </w:tcPr>
          <w:p w14:paraId="49F1DE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474 549/5000</w:t>
            </w:r>
          </w:p>
        </w:tc>
        <w:tc>
          <w:tcPr>
            <w:tcW w:w="1401" w:type="dxa"/>
          </w:tcPr>
          <w:p w14:paraId="5EE388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462 554/4850</w:t>
            </w:r>
          </w:p>
        </w:tc>
        <w:tc>
          <w:tcPr>
            <w:tcW w:w="1401" w:type="dxa"/>
          </w:tcPr>
          <w:p w14:paraId="59EE1D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507 566/3850</w:t>
            </w:r>
          </w:p>
        </w:tc>
        <w:tc>
          <w:tcPr>
            <w:tcW w:w="1401" w:type="dxa"/>
          </w:tcPr>
          <w:p w14:paraId="1EDC1D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545 595/3400</w:t>
            </w:r>
          </w:p>
        </w:tc>
        <w:tc>
          <w:tcPr>
            <w:tcW w:w="1401" w:type="dxa"/>
          </w:tcPr>
          <w:p w14:paraId="7D69C1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532 586/3600</w:t>
            </w:r>
          </w:p>
        </w:tc>
        <w:tc>
          <w:tcPr>
            <w:tcW w:w="1401" w:type="dxa"/>
          </w:tcPr>
          <w:p w14:paraId="5D2C14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554 618/3400</w:t>
            </w:r>
          </w:p>
        </w:tc>
      </w:tr>
      <w:tr w:rsidR="004D4663" w:rsidRPr="00070ADE" w14:paraId="5F2B7FBA" w14:textId="77777777">
        <w:tc>
          <w:tcPr>
            <w:tcW w:w="1401" w:type="dxa"/>
          </w:tcPr>
          <w:p w14:paraId="10EB93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Скороподъемность у земли, м/с</w:t>
            </w:r>
          </w:p>
        </w:tc>
        <w:tc>
          <w:tcPr>
            <w:tcW w:w="1401" w:type="dxa"/>
          </w:tcPr>
          <w:p w14:paraId="3894BBB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3CF300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w:t>
            </w:r>
          </w:p>
        </w:tc>
        <w:tc>
          <w:tcPr>
            <w:tcW w:w="1401" w:type="dxa"/>
          </w:tcPr>
          <w:p w14:paraId="51651D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2F3751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784BAB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0A0E8D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tc>
        <w:tc>
          <w:tcPr>
            <w:tcW w:w="1401" w:type="dxa"/>
          </w:tcPr>
          <w:p w14:paraId="6B6A11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w:t>
            </w:r>
          </w:p>
        </w:tc>
      </w:tr>
      <w:tr w:rsidR="004D4663" w:rsidRPr="00070ADE" w14:paraId="4C1ED6BF" w14:textId="77777777">
        <w:tc>
          <w:tcPr>
            <w:tcW w:w="1401" w:type="dxa"/>
          </w:tcPr>
          <w:p w14:paraId="22CFE99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 м, мин</w:t>
            </w:r>
          </w:p>
        </w:tc>
        <w:tc>
          <w:tcPr>
            <w:tcW w:w="1401" w:type="dxa"/>
          </w:tcPr>
          <w:p w14:paraId="1D41630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5,85</w:t>
            </w:r>
          </w:p>
        </w:tc>
        <w:tc>
          <w:tcPr>
            <w:tcW w:w="1401" w:type="dxa"/>
          </w:tcPr>
          <w:p w14:paraId="7081ED1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8,6</w:t>
            </w:r>
          </w:p>
        </w:tc>
        <w:tc>
          <w:tcPr>
            <w:tcW w:w="1401" w:type="dxa"/>
          </w:tcPr>
          <w:p w14:paraId="4370B5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w:t>
            </w:r>
          </w:p>
        </w:tc>
        <w:tc>
          <w:tcPr>
            <w:tcW w:w="1401" w:type="dxa"/>
          </w:tcPr>
          <w:p w14:paraId="55E990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w:t>
            </w:r>
          </w:p>
        </w:tc>
        <w:tc>
          <w:tcPr>
            <w:tcW w:w="1401" w:type="dxa"/>
          </w:tcPr>
          <w:p w14:paraId="7C541D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4205F9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7A488B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13C7693" w14:textId="77777777">
        <w:tc>
          <w:tcPr>
            <w:tcW w:w="1401" w:type="dxa"/>
          </w:tcPr>
          <w:p w14:paraId="562149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м</w:t>
            </w:r>
          </w:p>
        </w:tc>
        <w:tc>
          <w:tcPr>
            <w:tcW w:w="1401" w:type="dxa"/>
          </w:tcPr>
          <w:p w14:paraId="560DDE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9600</w:t>
            </w:r>
          </w:p>
        </w:tc>
        <w:tc>
          <w:tcPr>
            <w:tcW w:w="1401" w:type="dxa"/>
          </w:tcPr>
          <w:p w14:paraId="6D11A8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9300</w:t>
            </w:r>
          </w:p>
        </w:tc>
        <w:tc>
          <w:tcPr>
            <w:tcW w:w="1401" w:type="dxa"/>
          </w:tcPr>
          <w:p w14:paraId="598311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143801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10000</w:t>
            </w:r>
          </w:p>
        </w:tc>
        <w:tc>
          <w:tcPr>
            <w:tcW w:w="1401" w:type="dxa"/>
          </w:tcPr>
          <w:p w14:paraId="438E72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9400</w:t>
            </w:r>
          </w:p>
        </w:tc>
        <w:tc>
          <w:tcPr>
            <w:tcW w:w="1401" w:type="dxa"/>
          </w:tcPr>
          <w:p w14:paraId="4AD9B29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1CA56C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10750</w:t>
            </w:r>
          </w:p>
        </w:tc>
      </w:tr>
      <w:tr w:rsidR="004D4663" w:rsidRPr="00070ADE" w14:paraId="7770A920" w14:textId="77777777">
        <w:tc>
          <w:tcPr>
            <w:tcW w:w="1401" w:type="dxa"/>
          </w:tcPr>
          <w:p w14:paraId="579D9F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Время виража на высоте I ООО м, с</w:t>
            </w:r>
          </w:p>
        </w:tc>
        <w:tc>
          <w:tcPr>
            <w:tcW w:w="1401" w:type="dxa"/>
          </w:tcPr>
          <w:p w14:paraId="550FD5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1401" w:type="dxa"/>
          </w:tcPr>
          <w:p w14:paraId="5B6FFE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20-21</w:t>
            </w:r>
          </w:p>
        </w:tc>
        <w:tc>
          <w:tcPr>
            <w:tcW w:w="1401" w:type="dxa"/>
          </w:tcPr>
          <w:p w14:paraId="7275C34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2AD091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w:t>
            </w:r>
          </w:p>
        </w:tc>
        <w:tc>
          <w:tcPr>
            <w:tcW w:w="1401" w:type="dxa"/>
          </w:tcPr>
          <w:p w14:paraId="1E688D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2C0BD4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5CE926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FA8AD7E" w14:textId="77777777">
        <w:tc>
          <w:tcPr>
            <w:tcW w:w="1401" w:type="dxa"/>
          </w:tcPr>
          <w:p w14:paraId="381522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макс., км</w:t>
            </w:r>
          </w:p>
        </w:tc>
        <w:tc>
          <w:tcPr>
            <w:tcW w:w="1401" w:type="dxa"/>
          </w:tcPr>
          <w:p w14:paraId="1DD71F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556</w:t>
            </w:r>
          </w:p>
        </w:tc>
        <w:tc>
          <w:tcPr>
            <w:tcW w:w="1401" w:type="dxa"/>
          </w:tcPr>
          <w:p w14:paraId="60E3DC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705</w:t>
            </w:r>
          </w:p>
        </w:tc>
        <w:tc>
          <w:tcPr>
            <w:tcW w:w="1401" w:type="dxa"/>
          </w:tcPr>
          <w:p w14:paraId="208312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5F7141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16DC829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537-832</w:t>
            </w:r>
          </w:p>
        </w:tc>
        <w:tc>
          <w:tcPr>
            <w:tcW w:w="1401" w:type="dxa"/>
          </w:tcPr>
          <w:p w14:paraId="248B323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0B11A9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86B25C8" w14:textId="77777777">
        <w:tc>
          <w:tcPr>
            <w:tcW w:w="1401" w:type="dxa"/>
          </w:tcPr>
          <w:p w14:paraId="451496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Разбег, м</w:t>
            </w:r>
          </w:p>
        </w:tc>
        <w:tc>
          <w:tcPr>
            <w:tcW w:w="1401" w:type="dxa"/>
          </w:tcPr>
          <w:p w14:paraId="41E699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355</w:t>
            </w:r>
          </w:p>
        </w:tc>
        <w:tc>
          <w:tcPr>
            <w:tcW w:w="1401" w:type="dxa"/>
          </w:tcPr>
          <w:p w14:paraId="468BBA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480-543</w:t>
            </w:r>
          </w:p>
        </w:tc>
        <w:tc>
          <w:tcPr>
            <w:tcW w:w="1401" w:type="dxa"/>
          </w:tcPr>
          <w:p w14:paraId="796E90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w:t>
            </w:r>
          </w:p>
        </w:tc>
        <w:tc>
          <w:tcPr>
            <w:tcW w:w="1401" w:type="dxa"/>
          </w:tcPr>
          <w:p w14:paraId="21A45C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370</w:t>
            </w:r>
          </w:p>
        </w:tc>
        <w:tc>
          <w:tcPr>
            <w:tcW w:w="1401" w:type="dxa"/>
          </w:tcPr>
          <w:p w14:paraId="397227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6B6DFF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75FA25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466A2CE" w14:textId="77777777">
        <w:tc>
          <w:tcPr>
            <w:tcW w:w="1401" w:type="dxa"/>
          </w:tcPr>
          <w:p w14:paraId="619531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Пробег, м</w:t>
            </w:r>
          </w:p>
        </w:tc>
        <w:tc>
          <w:tcPr>
            <w:tcW w:w="1401" w:type="dxa"/>
          </w:tcPr>
          <w:p w14:paraId="33AA8F1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tc>
        <w:tc>
          <w:tcPr>
            <w:tcW w:w="1401" w:type="dxa"/>
          </w:tcPr>
          <w:p w14:paraId="313F84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450-460</w:t>
            </w:r>
          </w:p>
        </w:tc>
        <w:tc>
          <w:tcPr>
            <w:tcW w:w="1401" w:type="dxa"/>
          </w:tcPr>
          <w:p w14:paraId="6CBE75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61B3A6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43F58D8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3E440B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537541B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0DA2271" w14:textId="77777777">
        <w:tc>
          <w:tcPr>
            <w:tcW w:w="1401" w:type="dxa"/>
            <w:tcBorders>
              <w:bottom w:val="single" w:sz="12" w:space="0" w:color="auto"/>
            </w:tcBorders>
          </w:tcPr>
          <w:p w14:paraId="0080A1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количество х калибр, мм</w:t>
            </w:r>
          </w:p>
        </w:tc>
        <w:tc>
          <w:tcPr>
            <w:tcW w:w="1401" w:type="dxa"/>
            <w:tcBorders>
              <w:bottom w:val="single" w:sz="12" w:space="0" w:color="auto"/>
            </w:tcBorders>
          </w:tcPr>
          <w:p w14:paraId="61CC6E6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1x23 2x12,7</w:t>
            </w:r>
          </w:p>
        </w:tc>
        <w:tc>
          <w:tcPr>
            <w:tcW w:w="1401" w:type="dxa"/>
            <w:tcBorders>
              <w:bottom w:val="single" w:sz="12" w:space="0" w:color="auto"/>
            </w:tcBorders>
          </w:tcPr>
          <w:p w14:paraId="7AB3FD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1x20 1x12,7 2,7,62</w:t>
            </w:r>
          </w:p>
        </w:tc>
        <w:tc>
          <w:tcPr>
            <w:tcW w:w="1401" w:type="dxa"/>
            <w:tcBorders>
              <w:bottom w:val="single" w:sz="12" w:space="0" w:color="auto"/>
            </w:tcBorders>
          </w:tcPr>
          <w:p w14:paraId="661595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1x20 1x12,7 2x7,62 8хРС-82</w:t>
            </w:r>
          </w:p>
        </w:tc>
        <w:tc>
          <w:tcPr>
            <w:tcW w:w="1401" w:type="dxa"/>
            <w:tcBorders>
              <w:bottom w:val="single" w:sz="12" w:space="0" w:color="auto"/>
            </w:tcBorders>
          </w:tcPr>
          <w:p w14:paraId="651165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1x20 1x12,7</w:t>
            </w:r>
          </w:p>
        </w:tc>
        <w:tc>
          <w:tcPr>
            <w:tcW w:w="1401" w:type="dxa"/>
            <w:tcBorders>
              <w:bottom w:val="single" w:sz="12" w:space="0" w:color="auto"/>
            </w:tcBorders>
          </w:tcPr>
          <w:p w14:paraId="6779BF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1x20 1x12,7</w:t>
            </w:r>
          </w:p>
        </w:tc>
        <w:tc>
          <w:tcPr>
            <w:tcW w:w="1401" w:type="dxa"/>
            <w:tcBorders>
              <w:bottom w:val="single" w:sz="12" w:space="0" w:color="auto"/>
            </w:tcBorders>
          </w:tcPr>
          <w:p w14:paraId="44B0E34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1x20 1x12,7</w:t>
            </w:r>
          </w:p>
        </w:tc>
        <w:tc>
          <w:tcPr>
            <w:tcW w:w="1401" w:type="dxa"/>
            <w:tcBorders>
              <w:bottom w:val="single" w:sz="12" w:space="0" w:color="auto"/>
            </w:tcBorders>
          </w:tcPr>
          <w:p w14:paraId="510B12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1x23 1x12,7</w:t>
            </w:r>
          </w:p>
        </w:tc>
      </w:tr>
    </w:tbl>
    <w:p w14:paraId="3B681D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Геометрические характеристики для всех вариантов ЛаГГ-3 одинаковы: размах крыла - 9,8 м, длина самолета - 8,82 м, площадь крыла - 17,62 м2 (11983).</w:t>
      </w:r>
    </w:p>
    <w:p w14:paraId="2448FF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ТЕХНИЧЕСКОЕ ОПИСАНИЕ </w:t>
      </w:r>
    </w:p>
    <w:p w14:paraId="1F7BBB7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 конструкционным материалом цельнодеревянного самолета ЛаГГ-3 была сосна, детали из которой соединялись клеем ВИАМ-Б-3.</w:t>
      </w:r>
    </w:p>
    <w:p w14:paraId="68D26C0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Крыло, набранное из двояковыпуклых несимметричных профилей NACA-23016 (в корне) и NACA-23010 (в консолях) относительной толщиной 16 и 10% соответственно, технологически делилось на центроплан и две двухлонжеронные консоли с работающей фанерной обшивкой. Угол поперечного V крыла - 6,5°. К торцевой металлической нервюре центроплана крепились основные опоры шасси. Между лонжеронами центроплана были выклеены из фанеры кессоны для бензобаков, а в передней части находились купола (ниши) для колес шасси.</w:t>
      </w:r>
    </w:p>
    <w:p w14:paraId="6B887A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консолям крепились посадочные щитки с углами отклонения 15° на взлете и до 50° - на посадке, а также элероны типа "Фрайз" с дюралевым каркасом, обшитым перкалем. На левом элероне имелся триммер.</w:t>
      </w:r>
    </w:p>
    <w:p w14:paraId="6DCBA9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Горизонтальное оперение - свободнонесущее. Стабилизатор - двухлон- жеронный, деревянный, с фанерной работающей обшивкой. Его две половины крепились к хвостовой части фюзеляжа. Руль высоты с триммером имел дюралевый каркас, обшитый полотном, и тоже состоял из двух половин.</w:t>
      </w:r>
    </w:p>
    <w:p w14:paraId="3933E5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Шасси - убирающееся, двухстоеч- ное, с хвостовым колесом. Вскоре после начала войны перешли на упрощенную технологию сборки самолетов с неуби- рающимся костыльным колесом. Основные колеса сначала устанавливались размером 600 х 180 мм, затем их заменили на большие - 650 х 200 мм.</w:t>
      </w:r>
    </w:p>
    <w:p w14:paraId="1708AA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Фюзеляж собирался из металлической передней фермы и деревянного монокока, выполненного зацело с килем. Каркас монокока состоял из четырех лонжеронов и набора шпангоутов. Фюзеляж и центроплан образовывали единое целое. Кабину пилота закрывал сдвижной фонарь, стопорящийся в открытом и закрытом положениях. Летчика прикрывала бронеспинка толщиной 8,6 мм, защищавшая от прямого попадания пуль и осколков зенитных снарядов.</w:t>
      </w:r>
    </w:p>
    <w:p w14:paraId="427C6F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водяного охлаждения М-105П (впоследствии М-105ПА и М-105ПФ) с винтом изменяемого шага ВИШ-61П диаметром 3,0 м. Водяной радиатор монтировался под кабиной пилота и охлаждался воздухом, поступавшим из воздухозаборников, расположенных в передней кромке центроплана и в подфюзеляжном совке. Температура воды в радиаторе регулировалась выходной заслонкой. Масляный радиатор находился под двигателем. Горючее размещалось в центроплане крыла в трех протектированных баках общим объемом 352 л, сваренных из алюминиевого сплава АМц. Допускалась подвеска под крылом (на замках бомбодержателей) двух дополнительных баков по 100 л. Начиная с 11-й серии устанавливалось пять баков (два в консолях) общей емкостью 468 л.</w:t>
      </w:r>
    </w:p>
    <w:p w14:paraId="3ACF5B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Управление самолетом - смешанное: элеронами - с помощью жестких тяг, рулями высоты и поворота - тросовое. Выпуск и уборка щитков-закрылков осуществлялись с помощью гидропривода.</w:t>
      </w:r>
    </w:p>
    <w:p w14:paraId="3FEE30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машин вплоть до 4-й серии включало пулемет БС, стрелявший через втулку винта, два ШКАСа и пару синхронных БС; с 4-й по 11-ю серию - пушку ШВАК, один синхронный пулемет БС и два ШКАСа; с 12-й серии - одну пушку ШВАК и один БС, а также шесть ракетных орудий (пусковых балок) для реактивных снарядов РС-82 и бомбодержатели для пары бомб калибра 50 или 100 кг.</w:t>
      </w:r>
    </w:p>
    <w:p w14:paraId="2FC779B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состав оборудования, кроме стандартного набора пилотажно-навигационных и контролирующих приборов, входили, в частности, радиостанция РСИ-4, посадочная фара и кислородный прибор (11983).</w:t>
      </w:r>
    </w:p>
    <w:p w14:paraId="129430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B0BA1BA" w14:textId="77777777" w:rsidR="00265BE2" w:rsidRPr="00070ADE" w:rsidRDefault="00265B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10 мая по 12 июня 1944 года самолет ЛаГГ-3 «105-2» 31 завода с двигателем М-105ПФ-2 стартовой мощностью 1290 л.с. и рабочей мощностью 1310 л.с. на высоте 2000 м, появившийся в феврале 1944, проходил государственные испытания. Закончились они отрицательно. У самолета отметили недоработки в конструкции винтомоторной группы, слабое вооружение и низкие летные параметры. Самолет «105-2» значительно уступал по возможностям немецким истребителям Bf-109G-6 и FW-190D-9. В результате в НИИ ВВС признали бесперспективным дальнейшее совершенствование ЛаГГа-3 и подняли вопрос о прекращении его серийного выпуска. Дальнейшие планы тбилисских конструкторов так и не были реализованы. В частности, они предполагали оснастить самолет эластичными самогерметизирующимися баками. В отличие от жестких баков с резиновой обшивкой, у мягких баков сами стенки были сделаны из самозатягивающейся резины (23548).</w:t>
      </w:r>
    </w:p>
    <w:p w14:paraId="08485ECD" w14:textId="77777777" w:rsidR="00265BE2" w:rsidRPr="00070ADE" w:rsidRDefault="00265BE2" w:rsidP="00B56F90">
      <w:pPr>
        <w:spacing w:after="0" w:line="240" w:lineRule="auto"/>
        <w:jc w:val="both"/>
        <w:rPr>
          <w:rFonts w:ascii="Times New Roman" w:hAnsi="Times New Roman"/>
          <w:color w:val="000000" w:themeColor="text1"/>
          <w:sz w:val="16"/>
          <w:szCs w:val="16"/>
        </w:rPr>
      </w:pPr>
    </w:p>
    <w:p w14:paraId="21070AC6" w14:textId="77777777" w:rsidR="00420314" w:rsidRPr="00C94B78" w:rsidRDefault="0042031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10 мая по 12 июня 1944 г. в НИИ ВВС государственные испытания про</w:t>
      </w:r>
      <w:r w:rsidRPr="00C94B78">
        <w:rPr>
          <w:rFonts w:ascii="Times New Roman" w:hAnsi="Times New Roman"/>
          <w:color w:val="0070C0"/>
          <w:sz w:val="16"/>
          <w:szCs w:val="16"/>
        </w:rPr>
        <w:softHyphen/>
        <w:t>ходил самолет «105-2» с мотором М-105ПФ2, который построили на заводе №31 в февра</w:t>
      </w:r>
      <w:r w:rsidRPr="00C94B78">
        <w:rPr>
          <w:rFonts w:ascii="Times New Roman" w:hAnsi="Times New Roman"/>
          <w:color w:val="0070C0"/>
          <w:sz w:val="16"/>
          <w:szCs w:val="16"/>
        </w:rPr>
        <w:softHyphen/>
        <w:t>ле. Он представлял собой облегченный с об</w:t>
      </w:r>
      <w:r w:rsidRPr="00C94B78">
        <w:rPr>
          <w:rFonts w:ascii="Times New Roman" w:hAnsi="Times New Roman"/>
          <w:color w:val="0070C0"/>
          <w:sz w:val="16"/>
          <w:szCs w:val="16"/>
        </w:rPr>
        <w:softHyphen/>
        <w:t>лагороженной аэродинамикой серийный ЛаГГ-3. Вооружение включало мотор-пушку ВЯ (85 патронов) и синхронный пулемет УБС (185 патронов).</w:t>
      </w:r>
    </w:p>
    <w:p w14:paraId="26350AC6" w14:textId="77777777" w:rsidR="00420314" w:rsidRPr="00C94B78" w:rsidRDefault="0042031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Испытания «105-2» не выдержал по при</w:t>
      </w:r>
      <w:r w:rsidRPr="00C94B78">
        <w:rPr>
          <w:rFonts w:ascii="Times New Roman" w:hAnsi="Times New Roman"/>
          <w:color w:val="0070C0"/>
          <w:sz w:val="16"/>
          <w:szCs w:val="16"/>
        </w:rPr>
        <w:softHyphen/>
        <w:t>чине недоведенности винтомоторной группы и вооружения. Максимальная скорость поле</w:t>
      </w:r>
      <w:r w:rsidRPr="00C94B78">
        <w:rPr>
          <w:rFonts w:ascii="Times New Roman" w:hAnsi="Times New Roman"/>
          <w:color w:val="0070C0"/>
          <w:sz w:val="16"/>
          <w:szCs w:val="16"/>
        </w:rPr>
        <w:softHyphen/>
        <w:t>та составляла: 554 км/ч - у земли, 618 км/ч - на высоте 3400 м. Время подъема на высоту 5000 м - 4,8 мин.</w:t>
      </w:r>
    </w:p>
    <w:p w14:paraId="5BEB1449" w14:textId="77777777" w:rsidR="00420314" w:rsidRPr="00C94B78" w:rsidRDefault="0042031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Несмотря на в целом неплохие резуль</w:t>
      </w:r>
      <w:r w:rsidRPr="00C94B78">
        <w:rPr>
          <w:rFonts w:ascii="Times New Roman" w:hAnsi="Times New Roman"/>
          <w:color w:val="0070C0"/>
          <w:sz w:val="16"/>
          <w:szCs w:val="16"/>
        </w:rPr>
        <w:softHyphen/>
        <w:t>таты испытаний, специалисты НИИ ВВС со</w:t>
      </w:r>
      <w:r w:rsidRPr="00C94B78">
        <w:rPr>
          <w:rFonts w:ascii="Times New Roman" w:hAnsi="Times New Roman"/>
          <w:color w:val="0070C0"/>
          <w:sz w:val="16"/>
          <w:szCs w:val="16"/>
        </w:rPr>
        <w:softHyphen/>
        <w:t>чли нецелесообразным продолжать рабо</w:t>
      </w:r>
      <w:r w:rsidRPr="00C94B78">
        <w:rPr>
          <w:rFonts w:ascii="Times New Roman" w:hAnsi="Times New Roman"/>
          <w:color w:val="0070C0"/>
          <w:sz w:val="16"/>
          <w:szCs w:val="16"/>
        </w:rPr>
        <w:softHyphen/>
        <w:t>ты по модернизации ЛаГГ-3 и его производ</w:t>
      </w:r>
      <w:r w:rsidRPr="00C94B78">
        <w:rPr>
          <w:rFonts w:ascii="Times New Roman" w:hAnsi="Times New Roman"/>
          <w:color w:val="0070C0"/>
          <w:sz w:val="16"/>
          <w:szCs w:val="16"/>
        </w:rPr>
        <w:softHyphen/>
        <w:t>ство, поскольку в серии уже находился Як-3 с лучшими летными данными и маневренны</w:t>
      </w:r>
      <w:r w:rsidRPr="00C94B78">
        <w:rPr>
          <w:rFonts w:ascii="Times New Roman" w:hAnsi="Times New Roman"/>
          <w:color w:val="0070C0"/>
          <w:sz w:val="16"/>
          <w:szCs w:val="16"/>
        </w:rPr>
        <w:softHyphen/>
        <w:t>ми качествами (24971).</w:t>
      </w:r>
    </w:p>
    <w:p w14:paraId="647623DC" w14:textId="77777777" w:rsidR="00420314" w:rsidRPr="00C94B78" w:rsidRDefault="00420314" w:rsidP="00B56F90">
      <w:pPr>
        <w:spacing w:after="0" w:line="240" w:lineRule="auto"/>
        <w:jc w:val="both"/>
        <w:rPr>
          <w:rFonts w:ascii="Times New Roman" w:hAnsi="Times New Roman"/>
          <w:color w:val="0070C0"/>
          <w:sz w:val="16"/>
          <w:szCs w:val="16"/>
        </w:rPr>
      </w:pPr>
    </w:p>
    <w:p w14:paraId="234AABFB" w14:textId="77777777" w:rsidR="00420314" w:rsidRPr="00C94B78" w:rsidRDefault="00420314"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 10 мая по 12 июня 1944 г. на государственных испытаниях находился второй экземпляр ма</w:t>
      </w:r>
      <w:r w:rsidRPr="00C94B78">
        <w:rPr>
          <w:rStyle w:val="aff1"/>
          <w:rFonts w:ascii="Times New Roman" w:hAnsi="Times New Roman" w:cs="Times New Roman"/>
          <w:color w:val="0070C0"/>
          <w:spacing w:val="0"/>
          <w:sz w:val="16"/>
          <w:szCs w:val="16"/>
        </w:rPr>
        <w:softHyphen/>
        <w:t>шины «105-2», или «Дублер», с двигателем ВК-105ПФ-2 Горбунова, построенный на заводе № 31 в феврале. По сравнению с предшественником объем бензобаков у него уменьшили с 405 до 377 литров, а пушку ШВАК заме</w:t>
      </w:r>
      <w:r w:rsidRPr="00C94B78">
        <w:rPr>
          <w:rStyle w:val="aff1"/>
          <w:rFonts w:ascii="Times New Roman" w:hAnsi="Times New Roman" w:cs="Times New Roman"/>
          <w:color w:val="0070C0"/>
          <w:spacing w:val="0"/>
          <w:sz w:val="16"/>
          <w:szCs w:val="16"/>
        </w:rPr>
        <w:softHyphen/>
        <w:t>нили ВЯ-23 калибра 23 мм. При этом сократился боеком</w:t>
      </w:r>
      <w:r w:rsidRPr="00C94B78">
        <w:rPr>
          <w:rStyle w:val="aff1"/>
          <w:rFonts w:ascii="Times New Roman" w:hAnsi="Times New Roman" w:cs="Times New Roman"/>
          <w:color w:val="0070C0"/>
          <w:spacing w:val="0"/>
          <w:sz w:val="16"/>
          <w:szCs w:val="16"/>
        </w:rPr>
        <w:softHyphen/>
        <w:t>плект как у пушки (до 85 патронов), так и у БС (до 185 па</w:t>
      </w:r>
      <w:r w:rsidRPr="00C94B78">
        <w:rPr>
          <w:rStyle w:val="aff1"/>
          <w:rFonts w:ascii="Times New Roman" w:hAnsi="Times New Roman" w:cs="Times New Roman"/>
          <w:color w:val="0070C0"/>
          <w:spacing w:val="0"/>
          <w:sz w:val="16"/>
          <w:szCs w:val="16"/>
        </w:rPr>
        <w:softHyphen/>
        <w:t>тронов)., их так и не выдержал. Недоведенные винтомоторная группа и вооружение, а также низкие летно-технические данные сделали свое дело. Са</w:t>
      </w:r>
      <w:r w:rsidRPr="00C94B78">
        <w:rPr>
          <w:rStyle w:val="aff1"/>
          <w:rFonts w:ascii="Times New Roman" w:hAnsi="Times New Roman" w:cs="Times New Roman"/>
          <w:color w:val="0070C0"/>
          <w:spacing w:val="0"/>
          <w:sz w:val="16"/>
          <w:szCs w:val="16"/>
        </w:rPr>
        <w:softHyphen/>
        <w:t>молет «105-2» не только уступал немецким истребителям по летным характеристикам, но и имел более слабое воору</w:t>
      </w:r>
      <w:r w:rsidRPr="00C94B78">
        <w:rPr>
          <w:rStyle w:val="aff1"/>
          <w:rFonts w:ascii="Times New Roman" w:hAnsi="Times New Roman" w:cs="Times New Roman"/>
          <w:color w:val="0070C0"/>
          <w:spacing w:val="0"/>
          <w:sz w:val="16"/>
          <w:szCs w:val="16"/>
        </w:rPr>
        <w:softHyphen/>
        <w:t>жение. В итоге НИИ ВВС счел нецелесообразным продол</w:t>
      </w:r>
      <w:r w:rsidRPr="00C94B78">
        <w:rPr>
          <w:rStyle w:val="aff1"/>
          <w:rFonts w:ascii="Times New Roman" w:hAnsi="Times New Roman" w:cs="Times New Roman"/>
          <w:color w:val="0070C0"/>
          <w:spacing w:val="0"/>
          <w:sz w:val="16"/>
          <w:szCs w:val="16"/>
        </w:rPr>
        <w:softHyphen/>
        <w:t>жение работы по дальнейшей модернизации ЛаГГ-3, и в этом же году завершилось его серийное производство (25252).</w:t>
      </w:r>
    </w:p>
    <w:p w14:paraId="02B475BC" w14:textId="77777777" w:rsidR="00420314" w:rsidRPr="00C94B78" w:rsidRDefault="00420314" w:rsidP="00B56F90">
      <w:pPr>
        <w:spacing w:after="0" w:line="240" w:lineRule="auto"/>
        <w:jc w:val="both"/>
        <w:rPr>
          <w:rFonts w:ascii="Times New Roman" w:hAnsi="Times New Roman"/>
          <w:color w:val="0070C0"/>
          <w:sz w:val="16"/>
          <w:szCs w:val="16"/>
        </w:rPr>
      </w:pPr>
    </w:p>
    <w:p w14:paraId="5A26B6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мая 1944 И-220 № 01 с АМ-39 передали для проведения дополнительных заводских испытаний с целью проверки и доводки ВМГ, а также для определения летных данных после установки серийного мотора АМ-39 №45302. Испытания проводили ведущий инженер А.Г.Брунов и летчик-испытатель А.П.Якимов. Максимальная скорость самолета на боевом режиме работы мотора составила 625 км/ч на высоте 2700 м (первая граница высотности) и 695 км/ч на высоте 7500 м (вторая граница высотности). В целом дополнительные испытания, завершившиеся 28 июня 1944 г., подтвердили полученные ранее результаты, что дало основание передать самолет на госиспытания. Стоит отметить, что к этому времени все четыре пушки ШВАК (СП-20) были включены в нормальную полетную массу истребителя И-220, при этом боезапас составлял по 100 патронов на пушку (5669).</w:t>
      </w:r>
    </w:p>
    <w:p w14:paraId="1A2930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июля 1944 л-и А.П.Якимов подписал отчет по результатам заводских летных испытаний с-та И-220 с мотором АМ-39, редукция 0,732 и винтом АВ5Л126А</w:t>
      </w:r>
    </w:p>
    <w:p w14:paraId="3947B3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июля 1944 Зам. ГК Гуревич и ст. в/п на заводе 155 Савин утвердили Акт по результатам заводских летных испытаний с-та И-220 с мотором АМ-39, редукция 0,732 и винтом АВ5Л126А</w:t>
      </w:r>
    </w:p>
    <w:p w14:paraId="0EB8F5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 испытатель ви с-та Брунов</w:t>
      </w:r>
    </w:p>
    <w:p w14:paraId="68BCFB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 Якимов</w:t>
      </w:r>
    </w:p>
    <w:p w14:paraId="350A0E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Цель испытаний: контрольные испытания для проверки лд с серийным мотором АМ-39, проверка и доводка матчасти и ВМГ. На с-те установлено 4хШВАК 20 мм с б/з по 100 патронов на каждую.</w:t>
      </w:r>
    </w:p>
    <w:p w14:paraId="5DCE03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с-та 9,5, размах - 11,0, площадь крыла 20,38, профиль NACA-230, угол установки 1 гр.</w:t>
      </w:r>
    </w:p>
    <w:p w14:paraId="43691F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2 гр в боевом режжииме при 2150 и Рк 1175 на 7000 - 695, на номинальном на 7200 - 690</w:t>
      </w:r>
    </w:p>
    <w:p w14:paraId="32F27D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1 гр. на боевом Рк 1200 на 2700 - 625, на номинальном на 2400 - 624</w:t>
      </w:r>
    </w:p>
    <w:p w14:paraId="1BCA74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пикирования - 685 по рибору.</w:t>
      </w:r>
    </w:p>
    <w:p w14:paraId="40E961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- 2-й</w:t>
      </w:r>
    </w:p>
    <w:p w14:paraId="54471A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первом в консоли крыла были поставлены противофлаттерные грузы общим весом 28 кг</w:t>
      </w:r>
    </w:p>
    <w:p w14:paraId="46D32B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 - 3845, в т.ч.</w:t>
      </w:r>
    </w:p>
    <w:p w14:paraId="2E2888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- 90</w:t>
      </w:r>
    </w:p>
    <w:p w14:paraId="6409F9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горючее - 350</w:t>
      </w:r>
    </w:p>
    <w:p w14:paraId="6DA85F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масло - 45</w:t>
      </w:r>
    </w:p>
    <w:p w14:paraId="6F5648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оружие - 156</w:t>
      </w:r>
    </w:p>
    <w:p w14:paraId="5C2977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б/з - 93</w:t>
      </w:r>
    </w:p>
    <w:p w14:paraId="3DDF16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Съемное оборудование - 16</w:t>
      </w:r>
    </w:p>
    <w:p w14:paraId="326D5E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750</w:t>
      </w:r>
    </w:p>
    <w:p w14:paraId="28CE04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Отзывы л</w:t>
      </w:r>
    </w:p>
    <w:p w14:paraId="029DD2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АМ-39 с беспоплавковым карбюратором на форсаже работает плохо. На номинале - хорошо.</w:t>
      </w:r>
    </w:p>
    <w:p w14:paraId="7BA908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Значительной помехой в полете является обильный выброс масла из носка мотора. Масло нагоняет на козырек и затрудняет полет</w:t>
      </w:r>
    </w:p>
    <w:p w14:paraId="1EAE56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Бензоочистеители козырька не в состоянии справиться с натекающим маслом из носка мотора</w:t>
      </w:r>
    </w:p>
    <w:p w14:paraId="213254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Велики нагрузки на элероны и РВ, особенно на большой скорости</w:t>
      </w:r>
    </w:p>
    <w:p w14:paraId="22EF85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Слабый обзор назад</w:t>
      </w:r>
    </w:p>
    <w:p w14:paraId="59D3BF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Крайне передняя центровка, особенно у машины, заправленной горючим</w:t>
      </w:r>
    </w:p>
    <w:p w14:paraId="2B74A9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устранении недостатков с-т может быть принят на вооружение. Несомненно будет легко освоен л</w:t>
      </w:r>
    </w:p>
    <w:p w14:paraId="358EC5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 А.П.Якимов 5 июля 1944</w:t>
      </w:r>
    </w:p>
    <w:p w14:paraId="413824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подлежит передаче в НИИ ВВС для продолжения испытаний</w:t>
      </w:r>
    </w:p>
    <w:p w14:paraId="21EEC6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Брунов (11472,2).</w:t>
      </w:r>
    </w:p>
    <w:p w14:paraId="604A09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62690D"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10 мая в 1944 году </w:t>
      </w:r>
      <w:hyperlink r:id="rId124" w:tgtFrame="_blank" w:history="1">
        <w:r w:rsidRPr="00070ADE">
          <w:rPr>
            <w:rFonts w:ascii="Times New Roman" w:hAnsi="Times New Roman"/>
            <w:color w:val="000000" w:themeColor="text1"/>
            <w:sz w:val="16"/>
            <w:szCs w:val="16"/>
          </w:rPr>
          <w:t xml:space="preserve">«И-220» </w:t>
        </w:r>
      </w:hyperlink>
      <w:r w:rsidRPr="00070ADE">
        <w:rPr>
          <w:rFonts w:ascii="Times New Roman" w:hAnsi="Times New Roman"/>
          <w:color w:val="000000" w:themeColor="text1"/>
          <w:sz w:val="16"/>
          <w:szCs w:val="16"/>
        </w:rPr>
        <w:t>№01 передали для проведения дополнительных заводских испытаний с целью проверки и доводки ВМГ, а также для определения летных данных после установки серийного мотора «АМ-39» №45302. Испытания проводили ведущий инженер А.Г.Брунов и летчик-испытатель А.П.Якимов. Максимальная скорость самолета на боевом режиме работы мотора составила 625 км/ч на высоте 2700 м (первая граница высотности) и 695 км/ч на высоте 7500 м (вторая граница высотности) . В целом дополнительные испытания, завершившиеся 28 июня 1944 г., подтвердили полученные ранее результаты, что дало основание передать самолет на госиспытания. Стоит отметить, что к этому времени все четыре пушки «ШВАК» («СП-20») были включены в нормальную полетную массу истребителя «И-220», при этом боезапас составлял по 100 патронов на пушку (14887).</w:t>
      </w:r>
    </w:p>
    <w:p w14:paraId="4164CF78" w14:textId="77777777" w:rsidR="00F31F26" w:rsidRPr="00070ADE" w:rsidRDefault="00F31F26" w:rsidP="00B56F90">
      <w:pPr>
        <w:spacing w:after="0" w:line="240" w:lineRule="auto"/>
        <w:jc w:val="both"/>
        <w:rPr>
          <w:rFonts w:ascii="Times New Roman" w:hAnsi="Times New Roman"/>
          <w:color w:val="000000" w:themeColor="text1"/>
          <w:sz w:val="16"/>
          <w:szCs w:val="16"/>
        </w:rPr>
      </w:pPr>
    </w:p>
    <w:p w14:paraId="53780D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мая 1944 г. машину И—220 зав. № 01 вернули разработчику для проведения дополнительных заводских испытаний силовой установки, а также для определения летных данных с серийным мотором АМ—39. В ОКБ—155 ис</w:t>
      </w:r>
      <w:r w:rsidRPr="00070ADE">
        <w:rPr>
          <w:rFonts w:ascii="Times New Roman" w:hAnsi="Times New Roman"/>
          <w:color w:val="000000" w:themeColor="text1"/>
          <w:sz w:val="16"/>
          <w:szCs w:val="16"/>
        </w:rPr>
        <w:softHyphen/>
        <w:t>пытания проводили ведущий инженер А.Г.Брунов и летчик-испытатель А.П.Якимов. Максимальная ско</w:t>
      </w:r>
      <w:r w:rsidRPr="00070ADE">
        <w:rPr>
          <w:rFonts w:ascii="Times New Roman" w:hAnsi="Times New Roman"/>
          <w:color w:val="000000" w:themeColor="text1"/>
          <w:sz w:val="16"/>
          <w:szCs w:val="16"/>
        </w:rPr>
        <w:softHyphen/>
        <w:t>рость самолета на боевом режиме работы мотора, ко</w:t>
      </w:r>
      <w:r w:rsidRPr="00070ADE">
        <w:rPr>
          <w:rFonts w:ascii="Times New Roman" w:hAnsi="Times New Roman"/>
          <w:color w:val="000000" w:themeColor="text1"/>
          <w:sz w:val="16"/>
          <w:szCs w:val="16"/>
        </w:rPr>
        <w:softHyphen/>
        <w:t>торую сумел «выжать» из машины Якимов, состави</w:t>
      </w:r>
      <w:r w:rsidRPr="00070ADE">
        <w:rPr>
          <w:rFonts w:ascii="Times New Roman" w:hAnsi="Times New Roman"/>
          <w:color w:val="000000" w:themeColor="text1"/>
          <w:sz w:val="16"/>
          <w:szCs w:val="16"/>
        </w:rPr>
        <w:softHyphen/>
        <w:t>ла 625 км/ч на высоте 2700 м (первая граница высотности) и 690 км/ч на высоте 7200 м (вторая гра</w:t>
      </w:r>
      <w:r w:rsidRPr="00070ADE">
        <w:rPr>
          <w:rFonts w:ascii="Times New Roman" w:hAnsi="Times New Roman"/>
          <w:color w:val="000000" w:themeColor="text1"/>
          <w:sz w:val="16"/>
          <w:szCs w:val="16"/>
        </w:rPr>
        <w:softHyphen/>
        <w:t>ница высотности). В целом дополнительные испыта</w:t>
      </w:r>
      <w:r w:rsidRPr="00070ADE">
        <w:rPr>
          <w:rFonts w:ascii="Times New Roman" w:hAnsi="Times New Roman"/>
          <w:color w:val="000000" w:themeColor="text1"/>
          <w:sz w:val="16"/>
          <w:szCs w:val="16"/>
        </w:rPr>
        <w:softHyphen/>
        <w:t>ния, завершившиеся 28 июня 1944 г., подтвердили полученные ранее результаты, что дало основание передать самолет на госиспытания [23] (9984).</w:t>
      </w:r>
    </w:p>
    <w:p w14:paraId="3FB752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E17D86" w14:textId="77777777" w:rsidR="00265BE2" w:rsidRPr="00070ADE" w:rsidRDefault="00265B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мая 1944 г. первую машину И-220 с серийным АМ-39 от</w:t>
      </w:r>
      <w:r w:rsidRPr="00070ADE">
        <w:rPr>
          <w:rFonts w:ascii="Times New Roman" w:hAnsi="Times New Roman"/>
          <w:color w:val="000000" w:themeColor="text1"/>
          <w:sz w:val="16"/>
          <w:szCs w:val="16"/>
        </w:rPr>
        <w:softHyphen/>
        <w:t>правили на заводские испы</w:t>
      </w:r>
      <w:r w:rsidRPr="00070ADE">
        <w:rPr>
          <w:rFonts w:ascii="Times New Roman" w:hAnsi="Times New Roman"/>
          <w:color w:val="000000" w:themeColor="text1"/>
          <w:sz w:val="16"/>
          <w:szCs w:val="16"/>
        </w:rPr>
        <w:softHyphen/>
        <w:t>тания для проверки и доводки ВМГ, а также для определения лётных данных с серийным мо</w:t>
      </w:r>
      <w:r w:rsidRPr="00070ADE">
        <w:rPr>
          <w:rFonts w:ascii="Times New Roman" w:hAnsi="Times New Roman"/>
          <w:color w:val="000000" w:themeColor="text1"/>
          <w:sz w:val="16"/>
          <w:szCs w:val="16"/>
        </w:rPr>
        <w:softHyphen/>
        <w:t>тором АМ-39. Их проводил лёт</w:t>
      </w:r>
      <w:r w:rsidRPr="00070ADE">
        <w:rPr>
          <w:rFonts w:ascii="Times New Roman" w:hAnsi="Times New Roman"/>
          <w:color w:val="000000" w:themeColor="text1"/>
          <w:sz w:val="16"/>
          <w:szCs w:val="16"/>
        </w:rPr>
        <w:softHyphen/>
        <w:t>чик-испытатель А.П. Якимов. Максимальная скорость на бое</w:t>
      </w:r>
      <w:r w:rsidRPr="00070ADE">
        <w:rPr>
          <w:rFonts w:ascii="Times New Roman" w:hAnsi="Times New Roman"/>
          <w:color w:val="000000" w:themeColor="text1"/>
          <w:sz w:val="16"/>
          <w:szCs w:val="16"/>
        </w:rPr>
        <w:softHyphen/>
        <w:t>вом режиме составила 625 км/ч на высоте 2700 м и 695 км/ч — на 7500 м. В целом, завершившиеся 28 июня испыта</w:t>
      </w:r>
      <w:r w:rsidRPr="00070ADE">
        <w:rPr>
          <w:rFonts w:ascii="Times New Roman" w:hAnsi="Times New Roman"/>
          <w:color w:val="000000" w:themeColor="text1"/>
          <w:sz w:val="16"/>
          <w:szCs w:val="16"/>
        </w:rPr>
        <w:softHyphen/>
        <w:t>ния подтвердили полученные ранее результаты, что давало основание передать самолёт И-220 на госиспытания. К этому времени все четыре пушки ШВАК были включены в нормальную полётную массу ис</w:t>
      </w:r>
      <w:r w:rsidRPr="00070ADE">
        <w:rPr>
          <w:rFonts w:ascii="Times New Roman" w:hAnsi="Times New Roman"/>
          <w:color w:val="000000" w:themeColor="text1"/>
          <w:sz w:val="16"/>
          <w:szCs w:val="16"/>
        </w:rPr>
        <w:softHyphen/>
        <w:t>требителя, при этом их боезапас составлял по 100 патронов (23379).</w:t>
      </w:r>
    </w:p>
    <w:p w14:paraId="6A996B5F" w14:textId="77777777" w:rsidR="00265BE2" w:rsidRPr="00070ADE" w:rsidRDefault="00265BE2" w:rsidP="00B56F90">
      <w:pPr>
        <w:spacing w:after="0" w:line="240" w:lineRule="auto"/>
        <w:jc w:val="both"/>
        <w:rPr>
          <w:rFonts w:ascii="Times New Roman" w:hAnsi="Times New Roman"/>
          <w:color w:val="000000" w:themeColor="text1"/>
          <w:sz w:val="16"/>
          <w:szCs w:val="16"/>
        </w:rPr>
      </w:pPr>
    </w:p>
    <w:p w14:paraId="76EBE7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мая 1944 согласно журнала наблюдения за проектированием, постройкой и испытаниями МиГ-3 с-т Д2 передан на ЛЭС завода (992,13)..</w:t>
      </w:r>
    </w:p>
    <w:p w14:paraId="530FAC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2D8C37C" w14:textId="77777777" w:rsidR="00420314" w:rsidRPr="00C94B78" w:rsidRDefault="0042031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10 мая 1944 г. И-220 №01 с установленным серийным мотором АМ-39 передали для проведения дополнительных заводских испытаний с целью проверки и доводки ВМГ, а также для определения летных данных после установки серийного мотора АМ-39 №45302.</w:t>
      </w:r>
    </w:p>
    <w:p w14:paraId="30D04942" w14:textId="77777777" w:rsidR="00420314" w:rsidRPr="00C94B78" w:rsidRDefault="0042031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Испытания проводили ведущий инженер А.Г.Брунов и летчик-испытатель А.П.Якимов. Максимальная скорость самолета на боевом режиме работы мотора составила 625 км/ч на высоте 2700 м (первая граница высотности) и 695 км/ч на высоте 7500 м (вторая граница высотности) . В целом дополнительные испытания, завершившиеся 28 июня 1944 г., подтвердили полученные ранее результаты, что дало основание передать самолет на госиспытания. Стоит отметить, что к этому времени все четыре пушки ШВАК (СП-20) были включены в нормальную полетную массу истребителя И-220, при этом боезапас составлял по 100 патронов на пушку (25230).</w:t>
      </w:r>
    </w:p>
    <w:p w14:paraId="41974151" w14:textId="77777777" w:rsidR="00420314" w:rsidRPr="00C94B78" w:rsidRDefault="00420314" w:rsidP="00B56F90">
      <w:pPr>
        <w:spacing w:after="0" w:line="240" w:lineRule="auto"/>
        <w:jc w:val="both"/>
        <w:rPr>
          <w:rFonts w:ascii="Times New Roman" w:hAnsi="Times New Roman"/>
          <w:color w:val="0070C0"/>
          <w:sz w:val="16"/>
          <w:szCs w:val="16"/>
        </w:rPr>
      </w:pPr>
    </w:p>
    <w:p w14:paraId="3192DD1B" w14:textId="77777777" w:rsidR="00F31F26" w:rsidRPr="00070ADE" w:rsidRDefault="00F31F26"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мая 1944 г. состоялось перебазирование 121 АРЗ в п. Кубинка Московской обл. (6395).</w:t>
      </w:r>
    </w:p>
    <w:p w14:paraId="6A3925F4" w14:textId="77777777" w:rsidR="00F31F26" w:rsidRPr="00070ADE" w:rsidRDefault="00F31F26"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71F6F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81CBF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FA7D52"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мая] 1944 г.из «ОСНОВНЫХ ПОКАЗАТЕЛЕЙ ЗАВОДА ЗА ПЕРИОД ВОЙНЫ», СОСТАВЛЕННЫХ ПАРТОРГОМ ЦК ВКП(б) НА ЗАВОДЕ № 350 М.А. КОЛЕСОВЫМ</w:t>
      </w:r>
    </w:p>
    <w:p w14:paraId="11A6976C"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Характеристика изменений в производстве в военный период. Испытывая значительные перебои в снабжении авиабензином для промывки деталей, завод применил для этой цели содово-мыльный раствор, что дало экономии бензина до 30%. Для обеспечения производства рядом необходимых вспомогательных материалов, возможного использования для этой цели заменителей организована при лаборатории специальная мастерская вспомогательных материалов. За I квартал 1944 года завод перевыполнил программу и дал в фонд обороны дополнительную продукцию на 1045,0 тыс. руб., в том числе в марте - на 702,0 тыс. руб. За время войны заводу неоднократно присуждались вторые и третьи места во всесоюзном соревновании заводов НКВ. За время войны орденами и медалями награждены 32 работника (ИТР и рабочих) завода. Показатели на 1 апреля 1944 года: стахановцев - 75,0 %, многосотников - 22,3 %, двадцатников - 31,9 %, лунинцев - 9 человек. Бригада т. ГУЩИНА взяла обязательство выполнить задание на март месяц на 200%. Свое обязательство бригада перевыполнила, дав 230 %. Узловую сборку, предусмотренную графиком к 28 марта, бригада закончила 14 марта, чем обеспечила досрочную сдачу продукции. Все члены бригады являются двадцатниками. Механики тт. МЯСНИКОВА -4-й разряд, ГАСПРАНОВА - 3-й разряд, ДЕДОВ - б-й разряд, ДЕГТЯРЕВ — 4-й разряд на протяжении марта месяца обеспечили ежесуточную сдачу продукции по строго установленному графику при наличии хорошего качества работы. Старый производственник — шлифовщик 8-го разряда МОЛЧАНОВ работает на шлифовке деталей основного производства и сложного инструмента. Путем работы одновременно на двух станках и рационализации технологического процесса добился выполнения норм на 442 %. Старый производственник — резьбошлифовщик 7-го разряда тов. СААР выполняет точную и сложную работу по резьбовым калибрам, одновременно работает на 2 станках. Добился выполнения норм в марте на 335 %. Работница-шлифовщица 5-го разряда ЗОТОВА систематически выполняет норму на 200 % и выше. В предмайском соревновании взяла на себя обязательство выполнить норму не менее чем на 250 %, взятое обязательство выполняет. Работница- пол и ровщица ТИХОНОВА взяла на себя обязательство выполнить нормы не менее чем на 200 %, свои обязательства выполняет, работая одновременно на 3 станках. Поступление рацпредложений за время войны и полученная экономия от внедренных рацпредложений: поступило рацпредложений - 896, внедрено — 352, экономия — 1 135 586 рублей. Организованный поточный метод предварительной и окончательной сборки одного из основных объектов производства позволил осуществить выпуск этого объекта равномерно и строго по графику. Опыт организации поточной сборки в настоящее время распространен и на другие крупносерийные объекты, что дало возможность все основные объекты выпускать равномерно, несмотря на усложнившееся задание. Помимо того, заводом осуществлен ряд работ по созданию замкнутого цикла обработки деталей. Так, например, в настоящее время создан комбинированный участок производства крепежа. За 1943 год завод снизил себестоимость продукции на 23,8 %, сэкономив 7,5 тонн декапированного железа, 15 тонн черного металла и 8,5 тонн цветного. Наряду с этим сэкономлено 238 274 кВт электроэнергии и 474 тонны топлива. В течение I квартала 1944 г. завод даст дальнейшее снижение себестоимости на 8—9 %. Многостаночников 27 человек — обслуживают 62 станка. Количество фронтовых бригад 5, численностью 28 человек. Всего бригад комсомольско-молодежных - 32, численностью 172 человека.</w:t>
      </w:r>
    </w:p>
    <w:p w14:paraId="3F0BBB8A"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завода</w:t>
      </w:r>
    </w:p>
    <w:p w14:paraId="4026648A"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Парторг ЦК ВКП(б) Колесов</w:t>
      </w:r>
    </w:p>
    <w:p w14:paraId="1BEBDFF2"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ГАНО. Ф. П-4. Оп. 8. Д. 499. Л. 73-76. Подлинник.</w:t>
      </w:r>
    </w:p>
    <w:p w14:paraId="42FB0A46"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директора расписался кто-то из руководителей, подпись-росчерк не читается. Подпись-автограф парторга ЦК ВКП(б) Колесова - чернилами. Отправлено 3 экз.. в том числе в обком ВКП(б) и партком завода № 690 10 мая 1944 г (12194).</w:t>
      </w:r>
    </w:p>
    <w:p w14:paraId="33C60495" w14:textId="77777777" w:rsidR="00552857" w:rsidRPr="00070ADE" w:rsidRDefault="00552857" w:rsidP="00B56F90">
      <w:pPr>
        <w:spacing w:after="0" w:line="240" w:lineRule="auto"/>
        <w:jc w:val="both"/>
        <w:rPr>
          <w:rFonts w:ascii="Times New Roman" w:hAnsi="Times New Roman"/>
          <w:color w:val="000000" w:themeColor="text1"/>
          <w:sz w:val="16"/>
          <w:szCs w:val="16"/>
        </w:rPr>
      </w:pPr>
    </w:p>
    <w:p w14:paraId="4EAAAA36" w14:textId="58E5B2C0" w:rsidR="00A5346F" w:rsidRPr="00070ADE" w:rsidRDefault="00A5346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мая 1944 года в адрес УЗТМ и завода №200 поступило распоряжение от</w:t>
      </w:r>
      <w:r w:rsidR="00B643A8" w:rsidRPr="00070ADE">
        <w:rPr>
          <w:rFonts w:ascii="Times New Roman" w:hAnsi="Times New Roman"/>
          <w:color w:val="000000" w:themeColor="text1"/>
          <w:sz w:val="16"/>
          <w:szCs w:val="16"/>
        </w:rPr>
        <w:t xml:space="preserve"> </w:t>
      </w:r>
      <w:hyperlink r:id="rId125" w:history="1">
        <w:r w:rsidRPr="00070ADE">
          <w:rPr>
            <w:rStyle w:val="a5"/>
            <w:rFonts w:ascii="Times New Roman" w:hAnsi="Times New Roman"/>
            <w:color w:val="000000" w:themeColor="text1"/>
            <w:sz w:val="16"/>
            <w:szCs w:val="16"/>
          </w:rPr>
          <w:t>наркома танковой промышленности</w:t>
        </w:r>
      </w:hyperlink>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Малышева о передаче первых корпусов со спрямлённым носом на НИБТ Полигон. Впрочем, в мае работы по этой теме не начались. Фактически производство стартовало в июле, а испытания обстрелом прошли только в сентябре 1944 года. К тому времени модернизированные ИС-2 уже два месяца как производились на ЧКЗ, первые танки с изменённым корпусом попали на фронт. В ходе обстрела выяснилось, что верхняя носовая деталь из катаной брони выдерживает попадания 75-мм бронебойных и подкалиберных снарядов пушки KwK 42 L/70 с любых дистанций. Нижний лист пробивался этой же пушкой с дистанции 1,5 километра. Хуже дела обстояли с 88-мм орудием Pak 43, установленным </w:t>
      </w:r>
      <w:r w:rsidRPr="00070ADE">
        <w:rPr>
          <w:rFonts w:ascii="Times New Roman" w:hAnsi="Times New Roman"/>
          <w:color w:val="000000" w:themeColor="text1"/>
          <w:sz w:val="16"/>
          <w:szCs w:val="16"/>
        </w:rPr>
        <w:lastRenderedPageBreak/>
        <w:t>на САУ Ferdinand. Верхнюю часть лобового листа бронебойный снаряд данного орудия пробивал с дистанции 450 метров, а нижнюю — почти с четырёх километров. Критике подверглась конструкция сварных швов, которые при попадании растрескивались (18099).</w:t>
      </w:r>
    </w:p>
    <w:p w14:paraId="0450AA8B" w14:textId="77777777" w:rsidR="00A5346F" w:rsidRPr="00070ADE" w:rsidRDefault="00A5346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Иная картина наблюдалась с литым носом производства завода №200. Стоит отметить, что завод получал указания перейти на сварную конструкцию, чего так и не сделал. Потому что и не хотел и, что важнее, не мог. Испытания показали, что этого и не следовало делать. Верхняя часть лба в большинстве случаев не пробивалась 8.8 cm Pak 43 L/71 даже в упор (впрочем, при некоторых условиях она всё же пробивалась, но на небольшой дистанции до 255 метров). Нижнюю часть лобовой детали 75-мм пушка «Пантеры» пробила, но на куда меньшей дистанции — 785 метров. Отмечалась лучшая стойкость сварных швов, правда, и к ним тоже были претензии. Уязвимым местом был смотровой прибор в верхней части лобовой детали, но он получился меньшим, чем смотровой лючок, да и отбойник вполне справлялся со своей задачей.</w:t>
      </w:r>
    </w:p>
    <w:p w14:paraId="25AB5091" w14:textId="77777777" w:rsidR="00A5346F" w:rsidRPr="00070ADE" w:rsidRDefault="00A5346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для немецких танков всех типов ИС-2 становился примерно тем же, чем для советских средних танков была «Пантера»: в лобовой проекции пробить его теперь можно было либо в нижний лобовой лист корпуса, либо в лоб башни (18099).</w:t>
      </w:r>
    </w:p>
    <w:p w14:paraId="383E9BC0" w14:textId="77777777" w:rsidR="00A5346F" w:rsidRPr="00070ADE" w:rsidRDefault="00A5346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Существенным минусом новой лобовой детали стало ухудшение обзорности с места механика водителя. Даже при закрытом смотровом лючке у ИС-2 с носовой деталью старой конструкции сектор обзора составлял 9 градусов по вертикали и 40 градусов по горизонтали. А при открытом лючке обзор составлял 27 градусов по вертикали и 75 градусов по горизонтали. Что же касается смотрового прибора ИС-2 со спрямлённой носовой деталью, то там сектор обзора составлял 13 градусов по вертикали и 30 градусов по горизонтали. «Мёртвая зона» перед носом танка была 12 метров. Отчасти это компенсировалось наличием двух смотровых приборов MK-IV, но и у них «мёртвая зона» составляла 10 метров. Одним словом, видеть механик-водитель стал явно хуже. При этом мёртвая зона на танках с носовой деталью производства УЗТМ была меньше, чем у танков с литой деталью конструкции завода №200.</w:t>
      </w:r>
    </w:p>
    <w:p w14:paraId="54E9DCC1" w14:textId="77777777" w:rsidR="00A5346F" w:rsidRPr="00070ADE" w:rsidRDefault="00A5346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Похожая картина с обзорностью была и у Объекта 701. Неудивительно, что с конца 1944 года на новых тяжёлых танках было решено отказаться от подобных смотровых приборов (18099).</w:t>
      </w:r>
    </w:p>
    <w:p w14:paraId="2AC6C74F" w14:textId="77777777" w:rsidR="00A5346F" w:rsidRPr="00070ADE" w:rsidRDefault="00A5346F" w:rsidP="00B56F90">
      <w:pPr>
        <w:spacing w:after="0" w:line="240" w:lineRule="auto"/>
        <w:jc w:val="both"/>
        <w:rPr>
          <w:rFonts w:ascii="Times New Roman" w:hAnsi="Times New Roman"/>
          <w:color w:val="000000" w:themeColor="text1"/>
          <w:sz w:val="16"/>
          <w:szCs w:val="16"/>
        </w:rPr>
      </w:pPr>
    </w:p>
    <w:p w14:paraId="26D8EA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мая 1944 г. было подготовлено СООБЩЕНИЕ ЗАМЕСТИТЕЛЯ НАРОДНОГО КОМИССАРА СРЕДНЕГО МАШИНОСТРОЕНИЯ СССР НАЧАЛЬНИКУ ГБТУ КА ОБ ИЗМЕНЕНИИ ЦЕН НА МОТОЦИКЛЫ М~72</w:t>
      </w:r>
    </w:p>
    <w:p w14:paraId="6AA74C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Действующая отпускная цена на мотоциклы М-72 в 7500 рублей за штуку убыточна для заво</w:t>
      </w:r>
      <w:r w:rsidRPr="00070ADE">
        <w:rPr>
          <w:rFonts w:ascii="Times New Roman" w:hAnsi="Times New Roman"/>
          <w:color w:val="000000" w:themeColor="text1"/>
          <w:sz w:val="16"/>
          <w:szCs w:val="16"/>
        </w:rPr>
        <w:softHyphen/>
        <w:t>дов. Цена эта установлена была в свое время как опытная и па утверждение вышестоящим органи</w:t>
      </w:r>
      <w:r w:rsidRPr="00070ADE">
        <w:rPr>
          <w:rFonts w:ascii="Times New Roman" w:hAnsi="Times New Roman"/>
          <w:color w:val="000000" w:themeColor="text1"/>
          <w:sz w:val="16"/>
          <w:szCs w:val="16"/>
        </w:rPr>
        <w:softHyphen/>
        <w:t>зациям не представлялась.</w:t>
      </w:r>
    </w:p>
    <w:p w14:paraId="2F269F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Отчетные калькуляции за все месяцы 1943 года и 1 квартал 1944 г., приведенные в особой таб</w:t>
      </w:r>
      <w:r w:rsidRPr="00070ADE">
        <w:rPr>
          <w:rFonts w:ascii="Times New Roman" w:hAnsi="Times New Roman"/>
          <w:color w:val="000000" w:themeColor="text1"/>
          <w:sz w:val="16"/>
          <w:szCs w:val="16"/>
        </w:rPr>
        <w:softHyphen/>
        <w:t>лице, показывают, что установившаяся фактическая себестоимость машины составляет сумму, пре</w:t>
      </w:r>
      <w:r w:rsidRPr="00070ADE">
        <w:rPr>
          <w:rFonts w:ascii="Times New Roman" w:hAnsi="Times New Roman"/>
          <w:color w:val="000000" w:themeColor="text1"/>
          <w:sz w:val="16"/>
          <w:szCs w:val="16"/>
        </w:rPr>
        <w:softHyphen/>
        <w:t>вышающую 11000 рублей.</w:t>
      </w:r>
    </w:p>
    <w:p w14:paraId="77B487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необходимостью привести экономику заводов Главка в безубыточное состояние про</w:t>
      </w:r>
      <w:r w:rsidRPr="00070ADE">
        <w:rPr>
          <w:rFonts w:ascii="Times New Roman" w:hAnsi="Times New Roman"/>
          <w:color w:val="000000" w:themeColor="text1"/>
          <w:sz w:val="16"/>
          <w:szCs w:val="16"/>
        </w:rPr>
        <w:softHyphen/>
        <w:t>шу Вашего согласия на установление отпускной цены мотоцикла М-72 в сумме 11000 рублей с вво</w:t>
      </w:r>
      <w:r w:rsidRPr="00070ADE">
        <w:rPr>
          <w:rFonts w:ascii="Times New Roman" w:hAnsi="Times New Roman"/>
          <w:color w:val="000000" w:themeColor="text1"/>
          <w:sz w:val="16"/>
          <w:szCs w:val="16"/>
        </w:rPr>
        <w:softHyphen/>
        <w:t>дом ее в действие с 1 июля с. г.</w:t>
      </w:r>
    </w:p>
    <w:p w14:paraId="63AE60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Справки о динамике себестоимости мотоцикла М-72 по Ирбитскому и Горьковскому мото</w:t>
      </w:r>
      <w:r w:rsidRPr="00070ADE">
        <w:rPr>
          <w:rFonts w:ascii="Times New Roman" w:hAnsi="Times New Roman"/>
          <w:color w:val="000000" w:themeColor="text1"/>
          <w:sz w:val="16"/>
          <w:szCs w:val="16"/>
        </w:rPr>
        <w:softHyphen/>
        <w:t>заводам по месяцам 1943 года и I квартал 1944 г., а также расшифровка разделов материалов основных и полуфабрикатов покупных в отчетной калькуляции Горьковского мотозавода за I квар</w:t>
      </w:r>
      <w:r w:rsidRPr="00070ADE">
        <w:rPr>
          <w:rFonts w:ascii="Times New Roman" w:hAnsi="Times New Roman"/>
          <w:color w:val="000000" w:themeColor="text1"/>
          <w:sz w:val="16"/>
          <w:szCs w:val="16"/>
        </w:rPr>
        <w:softHyphen/>
        <w:t>тал 1944 г. прилагаются.</w:t>
      </w:r>
    </w:p>
    <w:p w14:paraId="33AE95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народного комиссара среднего машиностроения СССР Аравин</w:t>
      </w:r>
    </w:p>
    <w:p w14:paraId="4B9D75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11358. Д. 93а. Л. 152. Подлинник (11420).</w:t>
      </w:r>
    </w:p>
    <w:p w14:paraId="72ACCD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A470C8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мая 1944 вышло Постановление ГКО № 5853 О накоплении запасов угля на железных дорогах к зиме 1944-45 гг. (7231, 1-4).</w:t>
      </w:r>
    </w:p>
    <w:p w14:paraId="42B7D20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0171F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F7D20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45D227"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мая в 1944 году оперативная сводка Совинформбюро:</w:t>
      </w:r>
    </w:p>
    <w:p w14:paraId="279BDEF0"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10 Мая на фронтах существенных изменений непроизошло.</w:t>
      </w:r>
    </w:p>
    <w:p w14:paraId="21C45C94"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9 мая в воздушных боях и огнём зенитной артиллерии сбито 14 самолётов противника.</w:t>
      </w:r>
    </w:p>
    <w:p w14:paraId="052066DF"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Удары авиации Черноморского флота по судам противника</w:t>
      </w:r>
    </w:p>
    <w:p w14:paraId="471728F7"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Утром 9 мая воздушной разведкой Черноморского флота в открытом море были обнаружены транспорты и другие суда противника. В результате ударов авиации флота прямыми попаданиями бомб потоплены два транспорта водоизмещением в 4.000 тонн, сторожевой катер и несколько быстроходных десантных барж. Ряд других судов противника повреждён.</w:t>
      </w:r>
    </w:p>
    <w:p w14:paraId="5E8B6F29"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пехота противника дважды атаковала наши позиции. Части Н-ского соединения контрударом отбросили немцев на исходные рубежи. На поле боя осталось до 600 вражеских трупов. Взято в плен более 100 немецких солдат и офицеров.</w:t>
      </w:r>
    </w:p>
    <w:p w14:paraId="26345329"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наносила удары по коммуникациям и скоплениям войск противника. Звено штурмовиков гвардии старшего лейтенанта Михаленко сожгло железнодорожный эшелон с танками и автомашинами. Группа лётчиков во главе с Героем Советского Союза гвардии капитаном Макаровым разбила 5 немецких танков и самоходных орудий.</w:t>
      </w:r>
    </w:p>
    <w:p w14:paraId="40670883"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Тирасполь отряд наших разведчиков ночью, пробираясь кустарником, вышел в тыл передней линии укреплений противника. Разведчики стремительно ворвались в блиндажи и уничтожили до роты гитлеровцев. Несколько немцев наши бойцы взяли в плен и доставили в свою часть.</w:t>
      </w:r>
    </w:p>
    <w:p w14:paraId="4BBE6168"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Баренцовом море нашими самолётами потоплены три мотобота противника.</w:t>
      </w:r>
    </w:p>
    <w:p w14:paraId="61ABA81F"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Львовской области, напал на гарнизон противника, расположенный в большом селе. В коротком ночном бою советские патриоты уничтожили немцев и заняли село. На продовольственном складе противника партизаны захватили 12 тысяч пудов зерна и роздали его населению. Другой отряд львовских партизан за десять дней пустил под откос 6 немецких воинских эшелонови один бронепоезд. Разбиты 6 паровозов, один из них бронированный, 4 броневагона, 65 вагонов и платформ. Убито до 200 вражеских солдат и офицеров. Движение поездов на этом участке железной дороги было прервано в течение трех суток.</w:t>
      </w:r>
    </w:p>
    <w:p w14:paraId="115DA932"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Жители Дубровки, Песочека, Негодиц и других деревень, Дедовичского района, Ленинградской области составили акт о злодеяниях немецко-фашистских мерзавцев. В акте говорится: «Мы были свидетелями чудовищных преступлений гитлеровцев. Мы не только своими глазами видели, но и сами на себе испытали зверства немецких разбойников. Фашистские палачи замучили и убили сотни и тысячи мирных жителей Дедовичского района только за то, что они были русскими людьми и любили свою родину. Немцы сожгли дотла деревни Загорье, Клинец, Петрово, Б.Молоково, Ямицы и другие. Они насильно угнали многих советских людей на каторгу в Германию. В фашистской неволе томятся жена и сын красноармейца Ильи Баранова, жена и сын красноармейца Ивана Николаева и многие другие. Фашистские изверги убивали ни в чём не повинных людей. В деревне Красная Горка гитлеровцы расстреляли десять женщин с грудными детьми. В деревне Закрючье палачи расстреляли Дмитрия Никитина, его сына и дочь, Михаила Сидорова, Антонину Степанову и других.Неслыханным пыткам подвергли немцы советских граждан Алексея Савицкого иЕкатерину Бойкину. Их буквально резали на куски: отрезали уши, выкололи глаза. После долгих и мучительных пыток палачи расстреляли свои жертвы.</w:t>
      </w:r>
    </w:p>
    <w:p w14:paraId="5130A746"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Мы счастливы, что всем этим ужасам пришёл конец. Доблестная Красная Армия освободила наши сёла от немцев. Сейчас мы вступили в ряды Красной Армии. Родина вручила нам в руки оружие для борьбы с гитлеровскими бандитами. Клянёмся, что мы ничего не простим подлому врагу. Мы отомстим за всё. Наша месть будет беспощадной. Смерть немецким захватчикам!»</w:t>
      </w:r>
    </w:p>
    <w:p w14:paraId="528E068A"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В.Петров, В.Кузьмин, П.Павлов, Ф.Ефимов, Н.Григорьев, А.Коломенский, Н.Топоров, С.Лукин, М.Яковлев, Ф.Егоров, И.Соловьёв, В.Сергеев и другие.</w:t>
      </w:r>
    </w:p>
    <w:p w14:paraId="2D9DBB5E"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10 Мая на фронтах существенных изменений непроизошло.</w:t>
      </w:r>
    </w:p>
    <w:p w14:paraId="1729D9D2"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9 мая в воздушных боях и огнём зенитной артиллерии сбито 14 самолётов противника.»</w:t>
      </w:r>
    </w:p>
    <w:p w14:paraId="3B960A82"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Удары авиации Черноморского флота по судам противника:</w:t>
      </w:r>
    </w:p>
    <w:p w14:paraId="061DE011"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«Утром 9 мая воздушной разведкой Черноморского флота в открытом море былиобнаружены транспорты и другие суда противника. В результате ударов авиациифлота прямыми попаданиями бомб потоплены два транспорта водоизмещением в 4.000тонн, сторожевой катер и несколько быстроходных десантных барж. Ряд других судовпротивника повреждён.»</w:t>
      </w:r>
    </w:p>
    <w:p w14:paraId="4329A08D"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пехота противника дважды атаковала нашипозиции. Части Н-ского соединения контрударом отбросили немцев на исходные рубежи. На поле боя осталось до 600 вражеских трупов. Взято в плен более 100 немецких солдат и офицеров.</w:t>
      </w:r>
    </w:p>
    <w:p w14:paraId="2F0119CA"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наносила удары по коммуникациям и скоплениям войск противника. Звено штурмовиков гвардии старшего лейтенанта Михаленко сожгло железнодорожный эшелон с танками и автомашинами. Группа лётчиков во главе с Героем Советского Союза гвардии капитаном Макаровым разбила 5 немецких танков и самоходных орудий.</w:t>
      </w:r>
    </w:p>
    <w:p w14:paraId="584728AF"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Тирасполь отряд наших разведчиков ночью, пробираясь кустарником, вышел в тыл передней линии укреплений противника. Разведчики стремительно ворвались в блиндажи и уничтожили до роты гитлеровцев. Несколько немцев наши бойцы взяли в плен и доставили в свою часть.</w:t>
      </w:r>
    </w:p>
    <w:p w14:paraId="3CF0944C"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Баренцовом море нашими самолётами потоплены три мотобота противника.</w:t>
      </w:r>
    </w:p>
    <w:p w14:paraId="7475EF76"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Партизанский отряд, действующий в Львовской области, напал на гарнизон противника, расположенный в большом селе. В коротком ночном бою советские патриоты уничтожили немцев и заняли село. На продовольственном складе противника партизаны захватили 12 тысяч пудов зерна и роздали его населению. Другой отряд львовских партизан за десять дней пустил под откос 6 немецких воинских эшелонови один бронепоезд. Разбиты 6 паровозов, один из них бронированный, 4 броневагона, 65 вагонов и платформ. Убито до 200 вражеских солдат и офицеров. Движение поездов на этом участке железной дороги было прервано в течение трех суток.</w:t>
      </w:r>
    </w:p>
    <w:p w14:paraId="6B70897C"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Жители Дубровки, Песочека, Негодиц и других деревень, Дедовичского района, Ленинградской области составили акт о злодеяниях немецко-фашистских мерзавцев. Вакте говорится: «Мы были свидетелями чудовищных преступлений гитлеровцев. Мы не только своими глазами видели, но и сами на себе испытали зверства немецких разбойников. Фашистские палачи замучили и убили сотни и тысячи мирных жителей Дедовичского района только за то, что они были русскими людьми и любили свою родину. Немцы сожгли дотла деревни Загорье, Клинец, Петрово, Б.Молоково, Ямицыи другие. Они насильно угнали многих советских людей на каторгу в Германию. В фашистской неволе томятся жена и сын красноармейца Ильи Баранова, жена и сын красноармейца Ивана Николаева и многие другие. Фашистские изверги убивали ни в чём не повинных людей. В деревне Красная Горка гитлеровцы расстреляли десять женщин с грудными детьми. В деревне Закрючье палачи расстреляли Дмитрия Никитина, его сына и дочь, Михаила Сидорова, Антонину Степанову и других. Неслыханным пыткам подвергли немцы советских граждан Алексея Савицкого и Екатерину Бойкину. Их буквально резали на куски: отрезали уши, выкололи глаза. После долгих и мучительных пыток палачи расстреляли свои жертвы.</w:t>
      </w:r>
    </w:p>
    <w:p w14:paraId="5757518E"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Мы счастливы, что всем этим ужасам пришёл конец. Доблестная Красная Армия освободила наши сёла от немцев. Сейчас мы вступили в ряды Красной Армии. Родина вручила нам в руки оружие для борьбы с гитлеровскими бандитами. Клянёмся, что мы ничего не простим подлому врагу. Мы отомстим за всё. Наша месть будет беспощадной. Смерть немецким захватчикам!»</w:t>
      </w:r>
    </w:p>
    <w:p w14:paraId="4BE0AA00" w14:textId="77777777" w:rsidR="00F31F26" w:rsidRPr="00070ADE" w:rsidRDefault="00F31F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В.Петров, В.Кузьмин, П.Павлов, Ф.Ефимов, Н.Григорьев, А.Коломенский, Н.Топоров, С.Лукин, М.Яковлев, Ф.Егоров, И.Соловьёв, В.Сергеев и другие.» (14887).</w:t>
      </w:r>
    </w:p>
    <w:p w14:paraId="04E68DAE" w14:textId="77777777" w:rsidR="00F31F26" w:rsidRPr="00070ADE" w:rsidRDefault="00F31F26" w:rsidP="00B56F90">
      <w:pPr>
        <w:spacing w:after="0" w:line="240" w:lineRule="auto"/>
        <w:jc w:val="both"/>
        <w:rPr>
          <w:rFonts w:ascii="Times New Roman" w:hAnsi="Times New Roman"/>
          <w:color w:val="000000" w:themeColor="text1"/>
          <w:sz w:val="16"/>
          <w:szCs w:val="16"/>
        </w:rPr>
      </w:pPr>
    </w:p>
    <w:p w14:paraId="1BD61139" w14:textId="77777777" w:rsidR="008B0844" w:rsidRPr="00070ADE" w:rsidRDefault="008B0844" w:rsidP="00B56F90">
      <w:pPr>
        <w:pStyle w:val="ae"/>
        <w:spacing w:before="0" w:after="0"/>
        <w:jc w:val="both"/>
        <w:textAlignment w:val="baseline"/>
        <w:rPr>
          <w:color w:val="000000" w:themeColor="text1"/>
          <w:sz w:val="16"/>
          <w:szCs w:val="16"/>
        </w:rPr>
      </w:pPr>
      <w:r w:rsidRPr="00070ADE">
        <w:rPr>
          <w:color w:val="000000" w:themeColor="text1"/>
          <w:sz w:val="16"/>
          <w:szCs w:val="16"/>
        </w:rPr>
        <w:t>10 мая 1944 «горбатые» атаковали суда, завершавшие эвакуацию немецких и румынских войск из Севастополя. Совместно с бомбардировщиками они тогда сумели потопить крупные транспорты «Тейя» и «Тотила» (19522).</w:t>
      </w:r>
    </w:p>
    <w:p w14:paraId="7E5F7658" w14:textId="77777777" w:rsidR="008B0844" w:rsidRPr="00070ADE" w:rsidRDefault="008B0844" w:rsidP="00B56F90">
      <w:pPr>
        <w:pStyle w:val="ae"/>
        <w:spacing w:before="0" w:after="0"/>
        <w:jc w:val="both"/>
        <w:textAlignment w:val="baseline"/>
        <w:rPr>
          <w:color w:val="000000" w:themeColor="text1"/>
          <w:sz w:val="16"/>
          <w:szCs w:val="16"/>
        </w:rPr>
      </w:pPr>
    </w:p>
    <w:p w14:paraId="2F4C08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мая 1944 в ходе совместного применения с низкими торпедой 45-36 АВА был поражен транспорт в 6000 т и сторожевик. 6 мая такой же случай был на ЧФ и поразили транспорт в 3000 т (651,24).</w:t>
      </w:r>
    </w:p>
    <w:p w14:paraId="12EE09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F199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мая 1944 на ЧФ 17 Ил-2, из которых 11 - топмачтовиков, двумя последовательными ударами разгромили конвой и потопили дизельэлектроходы Тотила и Тея, на борту которых было 5-6 тыс. солдат и офицеров. Всего за крымскую операцию топмачтовики произвели 178 самолето-вылетов и потопили 28 плавединиц (4414.11).</w:t>
      </w:r>
    </w:p>
    <w:p w14:paraId="5F9E7C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2BF4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мая 1944 года две группы "Киттихауков" без потерь отбомбились но аэродромам Хебугтен и Салмиярви. На Северном флоте "Киттихауки" активно использовали как истребители-бомбардировщики. Штатной для Р-40Е считалась подвеска одной ФАБ-250 под фюзеляжем, но реально брали и ФАБ-500, и комбинации из ФАБ-250 и двух ФАБ-100ЦК или ФАБ-250 и двух ЗАБ-100. Очень успешны были налеты иа Киркенес 13-14 мая. Истребители 78-го и 27-го полков действовали вначале как пикирующие бомбардировщики. Одна "сотка" попала в транспорт водоизмещением 6000 т, другой, поменьше, после прямого попадания выбросился па мель. Иа следующий день "Киттихауки" перешли на топмачтовое бомбометание. Бомба сбрасывалась над самой водой и рикошетировала от ее поверхности, пока не поражала борт корабля. Один транспорт загорелся, был поврежден еще одни и небольшое каботажное судно. Интересно, что результаты бомбометания у истребителей оказались лучше, чем у бомбардировщиков Ил-4, несмотря на отсутствие на "Киттихоками" бомбовых прицелов. За два дня североморцы потеряли всего один "Киттихаук" из 78-го полка (3457,66).</w:t>
      </w:r>
    </w:p>
    <w:p w14:paraId="575A5E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DD61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мая 1944 Четвертый Украинский фронт прорвал укрепленную оборону и овладел Севастополем (271,219).</w:t>
      </w:r>
    </w:p>
    <w:p w14:paraId="07FA55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9C42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мая 1944 в посольстве Великобритании в Кремле вручили английские ордена и медали воинам КА и ВМФ (3398,177).</w:t>
      </w:r>
    </w:p>
    <w:p w14:paraId="6AAB91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063EE4" w14:textId="77777777" w:rsidR="00A83B1B" w:rsidRPr="00070ADE" w:rsidRDefault="00A83B1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мая в 1944 году в посольстве Великобритании в Москве состоялась церемония вручения английских орденов и медалей воинам Красной Армии и Флота, отличившимся в боях с немецко-фашистскими захватчиками (14887).</w:t>
      </w:r>
    </w:p>
    <w:p w14:paraId="31A7989B" w14:textId="77777777" w:rsidR="00A83B1B" w:rsidRPr="00070ADE" w:rsidRDefault="00A83B1B" w:rsidP="00B56F90">
      <w:pPr>
        <w:spacing w:after="0" w:line="240" w:lineRule="auto"/>
        <w:jc w:val="both"/>
        <w:rPr>
          <w:rFonts w:ascii="Times New Roman" w:hAnsi="Times New Roman"/>
          <w:color w:val="000000" w:themeColor="text1"/>
          <w:sz w:val="16"/>
          <w:szCs w:val="16"/>
        </w:rPr>
      </w:pPr>
    </w:p>
    <w:p w14:paraId="000E3F93" w14:textId="280862F0" w:rsidR="00D82A10" w:rsidRPr="00070ADE" w:rsidRDefault="00D82A10"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70ADE">
        <w:rPr>
          <w:rFonts w:ascii="Times New Roman" w:hAnsi="Times New Roman"/>
          <w:i/>
          <w:iCs/>
          <w:color w:val="000000" w:themeColor="text1"/>
          <w:sz w:val="16"/>
          <w:szCs w:val="16"/>
        </w:rPr>
        <w:t>За рубежом:</w:t>
      </w:r>
    </w:p>
    <w:p w14:paraId="31005C8F" w14:textId="77777777" w:rsidR="00D82A10" w:rsidRPr="00070ADE" w:rsidRDefault="00D82A10"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64C8675A" w14:textId="77777777" w:rsidR="00D82A10" w:rsidRPr="00070ADE" w:rsidRDefault="00D82A1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10–11 мая (ночь) 1944 506 британских бомбардировщиков совершили налет на железнодорожные станции в Дьепе, Лансе и Лилле, Франция, и в Куртре и Генте, Бельгия, с потерей 12 самолетов. Результаты налетов на Дьепп неизвестны, но остальные удары успешны (20373).</w:t>
      </w:r>
    </w:p>
    <w:p w14:paraId="7731E38C" w14:textId="77777777" w:rsidR="00D82A10" w:rsidRPr="00070ADE" w:rsidRDefault="00D82A10" w:rsidP="00B56F90">
      <w:pPr>
        <w:spacing w:after="0" w:line="240" w:lineRule="auto"/>
        <w:jc w:val="both"/>
        <w:rPr>
          <w:rFonts w:ascii="Times New Roman" w:hAnsi="Times New Roman"/>
          <w:color w:val="000000" w:themeColor="text1"/>
          <w:sz w:val="16"/>
          <w:szCs w:val="16"/>
        </w:rPr>
      </w:pPr>
    </w:p>
    <w:p w14:paraId="05963BBE" w14:textId="3DA9AA8B"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F7E9B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2BCE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11 мая 1944 шеф-пилот ОКБ В.К.Коккинаки сделал на новом штурмовике свыше трех десятков полетов по программе заводских испытаний (7442).</w:t>
      </w:r>
    </w:p>
    <w:p w14:paraId="16A3CC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Состав вооружения опытного Ил-10 АМ-42 включал: две пушки ВЯ-23 (300 снарядов), два пулемета ШКАС (1500 патронов), оборонительную подвижную установку ВУ-7 с пушкой Ш-20 ОКБ-15 НКВ с боезапасом 150 снарядов, 4 РО-82, 10 авиагранат АГ-2 и нормальную бомбовую нагрузку 400 кг (в перегрузку 600 кг) (7442).</w:t>
      </w:r>
    </w:p>
    <w:p w14:paraId="24D945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полетном весе 6300 кг (вес бомб 400 кг, без PC) максимальная скорость нового штурмовика составила у земли 512 км/ч и на высоте 2800 м - 555 км/ч. Время подъема на высоту 1000 м - 1,6 мин, на выстоу 3000 м - 4,9 мин. Дальность полета на высоте 2800 м на скорости 385 км/ч равнялась 850 км (7442).</w:t>
      </w:r>
    </w:p>
    <w:p w14:paraId="3E51F3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F596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В.К.Коккинаки закончил заводские испытания Ил-10 АМ-42, которые начались с первого полета 18 апреля 1944 (3846,19).</w:t>
      </w:r>
    </w:p>
    <w:p w14:paraId="309CE7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5AA8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шеф-пилот ОКБ В.К. Коккинаки сделал на новом штурмовике около трех десятков полетов по программе заводс</w:t>
      </w:r>
      <w:r w:rsidRPr="00070ADE">
        <w:rPr>
          <w:rFonts w:ascii="Times New Roman" w:hAnsi="Times New Roman"/>
          <w:color w:val="000000" w:themeColor="text1"/>
          <w:sz w:val="16"/>
          <w:szCs w:val="16"/>
        </w:rPr>
        <w:softHyphen/>
        <w:t>ких испытаний. Ведущим инженером по испытаниям был В.Н. Бугайский. При полетном весе 6300 кг максималь</w:t>
      </w:r>
      <w:r w:rsidRPr="00070ADE">
        <w:rPr>
          <w:rFonts w:ascii="Times New Roman" w:hAnsi="Times New Roman"/>
          <w:color w:val="000000" w:themeColor="text1"/>
          <w:sz w:val="16"/>
          <w:szCs w:val="16"/>
        </w:rPr>
        <w:softHyphen/>
        <w:t>ная скорость составила у земли 512 км/ч, а на высоте 2800 м — 555 км/ч. Время подъема на высоту 1000 м — 1,6 мин, на высоту 3000 м — 4,9 мин. Дальность поле</w:t>
      </w:r>
      <w:r w:rsidRPr="00070ADE">
        <w:rPr>
          <w:rFonts w:ascii="Times New Roman" w:hAnsi="Times New Roman"/>
          <w:color w:val="000000" w:themeColor="text1"/>
          <w:sz w:val="16"/>
          <w:szCs w:val="16"/>
        </w:rPr>
        <w:softHyphen/>
        <w:t>та на высоте 2800 м при скорости 385 км/ч равнялась 850 км. «...Испытания само</w:t>
      </w:r>
      <w:r w:rsidRPr="00070ADE">
        <w:rPr>
          <w:rFonts w:ascii="Times New Roman" w:hAnsi="Times New Roman"/>
          <w:color w:val="000000" w:themeColor="text1"/>
          <w:sz w:val="16"/>
          <w:szCs w:val="16"/>
        </w:rPr>
        <w:softHyphen/>
        <w:t>лет прошел удовлетворительно и подле</w:t>
      </w:r>
      <w:r w:rsidRPr="00070ADE">
        <w:rPr>
          <w:rFonts w:ascii="Times New Roman" w:hAnsi="Times New Roman"/>
          <w:color w:val="000000" w:themeColor="text1"/>
          <w:sz w:val="16"/>
          <w:szCs w:val="16"/>
        </w:rPr>
        <w:softHyphen/>
        <w:t>жит передаче на государственные испы</w:t>
      </w:r>
      <w:r w:rsidRPr="00070ADE">
        <w:rPr>
          <w:rFonts w:ascii="Times New Roman" w:hAnsi="Times New Roman"/>
          <w:color w:val="000000" w:themeColor="text1"/>
          <w:sz w:val="16"/>
          <w:szCs w:val="16"/>
        </w:rPr>
        <w:softHyphen/>
        <w:t>тания. Самолет обладает запасом устой</w:t>
      </w:r>
      <w:r w:rsidRPr="00070ADE">
        <w:rPr>
          <w:rFonts w:ascii="Times New Roman" w:hAnsi="Times New Roman"/>
          <w:color w:val="000000" w:themeColor="text1"/>
          <w:sz w:val="16"/>
          <w:szCs w:val="16"/>
        </w:rPr>
        <w:softHyphen/>
        <w:t>чивости по всем трем осям», — отмечалось в заключении отчета по за</w:t>
      </w:r>
      <w:r w:rsidRPr="00070ADE">
        <w:rPr>
          <w:rFonts w:ascii="Times New Roman" w:hAnsi="Times New Roman"/>
          <w:color w:val="000000" w:themeColor="text1"/>
          <w:sz w:val="16"/>
          <w:szCs w:val="16"/>
        </w:rPr>
        <w:softHyphen/>
        <w:t>водским испытаниям (10680).</w:t>
      </w:r>
    </w:p>
    <w:p w14:paraId="46FBA7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52CDED"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К 11 мая 1944 шеф -пилот ОКБ генерал-майор В. К. Коккинаки выполнил на новом штурмовике 22 полета (налет 11 ч) по программе заводских испытаний, которые шли с 20 апреля. В состав испытательной бригады входили: ведущий инженер по испытаниям В. Н. Бугайский, инженер-испытатель А. П. Винокуров, инженер по винтомоторной группе В. В. Семенов и бортмеханик И. Б. Кюсс.</w:t>
      </w:r>
    </w:p>
    <w:p w14:paraId="66B2C1F4"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Максимальная скорость полета равнялась 555 км/ч на высоте 2800 м и 512 км/ч - у земли. Время подъема на высоту 1000 м - 1,6 мин, на высоту 3000 м - 4,9 мин. Дальность полета на высоте 2800 м при скорости 385 км/ч достигала 850 км. «Испытания самолет прошел удовлетворительно и подлежит передаче на государственные испытания», - отмечалось в заключении отчета по заводским испытаниям.</w:t>
      </w:r>
    </w:p>
    <w:p w14:paraId="72C7AB11"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13 мая Ил-10 передали в НИИ ВВС для производства государственных испытаний. На самолете устанавливался винт типа АВ-5 л-24 диаметром 3,6 м с редукцией 0,6.</w:t>
      </w:r>
    </w:p>
    <w:p w14:paraId="70FAADEC"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Самолет испытывался бригадой в составе: ведущего инженера 3-го отдела НИИ ВВС инженер-майора П. Т. Аброщенко, его помощника летчика-испытателя 3-го отдела инженер-капитана С. Г. Фролова, ведущего летчика-испытателя помощника начальника 4-го отделения 3-го отдела по летной части подполковника А. К. Долгова и штурмана капитана Т. Ф. Горбунова. Уже через две недели - 27 мая, бригада рапортовала об успешном завершении программы испытаний. Всего было выполнено 43 полета с суммарным налетом 22 ч 37 мин.</w:t>
      </w:r>
    </w:p>
    <w:p w14:paraId="5BEF3596"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Отмечалось, что самолет построен по нормам прочности 1943 года и относится к классу Б ограниченно маневренных самолетов с разрушающей перегрузкой на случай А при полетном весе 6000 кг - 8,3.</w:t>
      </w:r>
    </w:p>
    <w:p w14:paraId="02E7A944"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Вооружение самолета включает две 23-мм пушки ВЯ (300 патронов) и два пулемета ШКАС (1500 патронов) в крыле и пушку калибра 20 мм Ш-20 (150 патронов) на ограниченно подвижной установке ВУ -7 у воздушного стрелка. Прицел у летчика - ПБП-16 на съемном держателе, прицел у стрелка - К8-Т.</w:t>
      </w:r>
    </w:p>
    <w:p w14:paraId="0C554D27"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Управление огнем из пушек ВЯ и пулеметов ШКАС электрическое от кнопки на ручке управления самолетом и двух тумблеров на щитке в кабине летчика. При стрельбе необходимо было предварительно включить тумблер пулеметов или пушек и затем вести стрельбу, нажимая кнопку на ручке управления. При одновременной стрельбе следовало включить оба тумблера.</w:t>
      </w:r>
    </w:p>
    <w:p w14:paraId="3F7D9488"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lastRenderedPageBreak/>
        <w:t>Стрельбой из пушек управляли при помощи пневмоэлектроспуска ПЭС-1, а из пулеметов - электроспуска М-10. На пулеметах дополнительно за крючок спуска закреплялся трос с кольцом для ручного спуска пулемета.</w:t>
      </w:r>
    </w:p>
    <w:p w14:paraId="4FB7FB30"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Перезарядка пулеметов и пушек электропневматическая. Электрокнопки перезарядки размещались на щитке в кабине летчика. Система перезарядки питалась воздухом от системы шасси и запуска мотора.</w:t>
      </w:r>
    </w:p>
    <w:p w14:paraId="602C5087"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Подвижная установка ВУ-7 обеспечивала стрельбу в задней полусфере в секторах: вверх - 40° (от нейтрального положения, параллельного оси самолета), вниз - 15° (с поворотом пулемета к борту), вправо - 55°, влево - 50°. Углы замерялись при работе стрелка в зимнем обмундировании с парашютом.</w:t>
      </w:r>
    </w:p>
    <w:p w14:paraId="1F1A410F"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Обращалось внимание, что «по заявлению Главного конструктора самолета» предусмотрена замена консолей с пушками ВЯ на консоли с пушками 11П калибра 37 мм.</w:t>
      </w:r>
    </w:p>
    <w:p w14:paraId="4D3E9325"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Бомбардировочное вооружение самолета включало два наружных держателя ДЗ-42 и два бомбовых отсека в центроплане для внутренней загрузки. На наружные держатели допускалась подвеска бомб калибром от 50 до 250 кг. Во внутренние отсеки могли загружаться бомбы калибром от 1,5 до 100 кг. Нормальная бомбовая нагрузка составляла 400 кг, в перегрузку - 600 кг.</w:t>
      </w:r>
    </w:p>
    <w:p w14:paraId="749FE335" w14:textId="77777777" w:rsidR="00962976" w:rsidRPr="00070ADE" w:rsidRDefault="00962976" w:rsidP="00B56F90">
      <w:pPr>
        <w:spacing w:after="0" w:line="240" w:lineRule="auto"/>
        <w:jc w:val="both"/>
        <w:rPr>
          <w:rStyle w:val="77"/>
          <w:rFonts w:eastAsiaTheme="minorHAnsi"/>
          <w:color w:val="000000" w:themeColor="text1"/>
          <w:sz w:val="16"/>
          <w:szCs w:val="16"/>
        </w:rPr>
      </w:pPr>
      <w:r w:rsidRPr="00070ADE">
        <w:rPr>
          <w:rStyle w:val="77"/>
          <w:rFonts w:eastAsiaTheme="minorHAnsi"/>
          <w:color w:val="000000" w:themeColor="text1"/>
          <w:sz w:val="16"/>
          <w:szCs w:val="16"/>
        </w:rPr>
        <w:t>На самолет можно было подвесить: снаружи - 2 ФАБ-100, или 2 ФАБ-250, или 2 УХАП-250, внутри - 2 ФАБ-100, или 2 ФАБ-50, или 120 зажигательных бомб ЗАБ-2,5, или 176 осколочных бомб калибра 2,5 кг, или 54 АО-10, или 12 АО-25, или 144 ПТАБ -2,5-1,5 (всего от 200 до 540 кг). Мелкие бомбы укладывались на створки отсеков, а «сотки» и «полтинники» подвешивались на замках Дер -21.</w:t>
      </w:r>
    </w:p>
    <w:p w14:paraId="34DC5041"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Сбрасывание бомб осуществлялось от боевой кнопки, расположенной на ручке управления самолетом, электросбрасывателя ЭСБР-3П и временного механизма штурмовика ВМШ-10. Временной механизм позволял сбрасывать бомбы с горизонтального полета в том случае, когда цель закрывалась капотом мотора. После сбрасывания бомб из бомбоотсеков створки люков закрывались штурвалом при помощи троса. Аварийный сброс бомб мог выполнить воздушный стрелок.</w:t>
      </w:r>
    </w:p>
    <w:p w14:paraId="02FFABF4"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Прицельная система для бомбометания с горизонтального полета и с пикирования ничем принципиально не отличалась от таковой на серийном самолете Ил-2. На капоте имелись визирные штыри и специальная разметка, а на бронестеклах фонаря кабины летчика наносились прицельные линии и метки. Соответственно, методы бомбометания были те же.</w:t>
      </w:r>
    </w:p>
    <w:p w14:paraId="2574570E"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Для отражения атак истребителей противника со стороны задней нижней полусферы предполагались 10 авиационных гранат АГ-2 в дистанционно управляемой кассете ДАГ-10, установленной в фюзеляже за кабиной стрелка. Сброс гранат осуществлялся стрелком при помощи командного прибора.</w:t>
      </w:r>
    </w:p>
    <w:p w14:paraId="7B3C7C64"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Все оружие самолета было проверено в воздухе, для чего выполнили 10 полетов. Стреляли из пушек и пулеметов при горизонтальном полете, на виражах (скорость 480 км/ч) и на пикировании. Бомбометание выполнялось по стандартным методам, принятым для самолета Ил-2. Во всех случаях угол пикирования не превышал 25-30°, высота ввода в пикирование - 500-600 м.</w:t>
      </w:r>
    </w:p>
    <w:p w14:paraId="5A7D0409"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Крыло снабжалось взлетно-посадочными щитками типа Шренк и элеронами типа Фрайз. Питание мотора горючим осуществлялось из двух баков - верхнего емкостью 440 л и нижнего емкостью 290 л. Верхний бак располагался за мотором перед кабиной летчика в верхней части корпуса, а нижний - под полом кабины впереди заднего лонжерона центроплана. Баки имели протектор. Емкость двух маслобаков 94 л.</w:t>
      </w:r>
    </w:p>
    <w:p w14:paraId="0910A2EB"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В ходе испытаний самолет облетали ведущий инженер -летчик 3-го отдела НИИ ВВС инженер-майор А. В. Синельников, летчик-испытатель 3-го отдела старший лейтенант Г. А. Тиняков, летчик-испытатель 4-го отдела майор М П. Субботин и летчик-испытатель майор А. А. Живописцев.</w:t>
      </w:r>
    </w:p>
    <w:p w14:paraId="5E46B616"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Вес пустого самолета Ил-10, представленного на госиспытания, составлял 4680 кг. Нормальный полетный вес - 6335 кг. Центровка самолета - в пределах 24,6 % САХ. Полетный вес в перегрузку - 6575 кг.</w:t>
      </w:r>
    </w:p>
    <w:p w14:paraId="59C443FB"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При нормальном полетном весе максимальная горизонтальная скорость полета достигала 551 км/ч на высоте 2800 м (почти на 150 км/ч больше максимальной скорости Ил-2 с АМ-38ф) и 507 км/ч - у земли. Время набора высоты 1000 м составило 1,6 мин, а высоты 3000 м - 5,0 мин. Вертикальная скорость у земли равнялась 9,8 м/с, на высоте 2400 м - 10,4 м/с. Разбег с отклоненными на 17° щитками и с форсажем мотора - 475 м. Взлетная дистанция - 1220 м.</w:t>
      </w:r>
    </w:p>
    <w:p w14:paraId="5970D3CA"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Дистанция посадки при полетном весе 5380 кг не превышала 1040 м (щитки в посадочном положении - 45°). Посадочная скорость - 148 км/ч.</w:t>
      </w:r>
    </w:p>
    <w:p w14:paraId="5879E3E4"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Дальность полета (720 л топлива) на высоте 500 м и скорости 325 км/ч достигала 800 км (2 ч 28 мин), на 1000 м и 330 км/ч - 790 км (2 ч 23 мин) и на 2000 м и 355 км/ч - 740 км (2 ч 5 мин).</w:t>
      </w:r>
    </w:p>
    <w:p w14:paraId="5728972A"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На режиме максимальной скорости дальность полета на высоте 500 м и скорости 515 км/ч сокращалась до 495 км (57 мин), на 1000 м и 523 км/ч - до 490 км (56 мин), а на 2400 км и 544 км/ч - до 470 км (52 мин).</w:t>
      </w:r>
    </w:p>
    <w:p w14:paraId="4B3C1154"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Скоростная дальность полета на скорости 0,9 максимальной равнялась 650 км (1 ч 23 мин) на высоте 500 м и 600 км (1 ч 14 мин) - на высоте 2000 м.</w:t>
      </w:r>
    </w:p>
    <w:p w14:paraId="5A71B302"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 xml:space="preserve">Необходимо отметить, что установленный на Ил-10 экземпляр мотора АМ-42 (зав. № 4257) оказался вполне кондиционным, так как работал значительно устойчивее, чем моторы на Су-6. Такой опасный дефект, как возгорание топливной смеси во всасывающих патрубках, ни в одном из полетов не наблюдался. Однако и на нем в полетах отмечалось дымление на всех режимах работы мотора, «течь масла из фланцев крепления моторных агрегатов», а также «выброс масла через суфлер мотора при работе на номинальной мощности». Причем по мере выработки моторесурса мотора выброс масла прогрессировал: «За 30-40 мин полета выброс масла достигает 25-30 л. При остатке масла в маслобаках 30-35 л на номинальном режиме происходит пульсация давления масла в пределах от 0 до 7 кг/см </w:t>
      </w:r>
      <w:r w:rsidRPr="00070ADE">
        <w:rPr>
          <w:rStyle w:val="77"/>
          <w:rFonts w:eastAsiaTheme="minorHAnsi"/>
          <w:color w:val="000000" w:themeColor="text1"/>
          <w:sz w:val="16"/>
          <w:szCs w:val="16"/>
          <w:vertAlign w:val="superscript"/>
        </w:rPr>
        <w:t>2</w:t>
      </w:r>
      <w:r w:rsidRPr="00070ADE">
        <w:rPr>
          <w:rStyle w:val="77"/>
          <w:rFonts w:eastAsiaTheme="minorHAnsi"/>
          <w:color w:val="000000" w:themeColor="text1"/>
          <w:sz w:val="16"/>
          <w:szCs w:val="16"/>
        </w:rPr>
        <w:t xml:space="preserve"> При сбавлении газа пульсации прекращаются».</w:t>
      </w:r>
    </w:p>
    <w:p w14:paraId="56ED385B"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Суммарная наработка мотора к концу испытаний составляла 48 ч 30 мин, в том числе 22 ч 37 мин в воздухе и 7 ч 37 мин на земле - при проведении государственных испытаний и 12 ч 06 мин в воздухе и 6 ч 10 мин на земле - при проведении заводских испытаний. Тогда как гарантированный ресурс мотора устанавливался в 50 ч режимной работы.</w:t>
      </w:r>
    </w:p>
    <w:p w14:paraId="6597D2B9"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Новый штурмовик оставил у летчиков НИИ ВВС приятное впечатление по устойчивости, управляемости и летным качествам. Во всем диапазоне скоростей (от минимальной по сваливанию до максимальной) самолет был устойчив по всем трем осям и показал прекрасную маневренность как в горизонтальной плоскости, так и в вертикальной.</w:t>
      </w:r>
    </w:p>
    <w:p w14:paraId="0C7BF0FB"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 xml:space="preserve">Удельные нагрузки на крыло и мощность мотора при нормальном полетном весе, равные 211,2 кг/м </w:t>
      </w:r>
      <w:r w:rsidRPr="00070ADE">
        <w:rPr>
          <w:rStyle w:val="77"/>
          <w:rFonts w:eastAsiaTheme="minorHAnsi"/>
          <w:color w:val="000000" w:themeColor="text1"/>
          <w:sz w:val="16"/>
          <w:szCs w:val="16"/>
          <w:vertAlign w:val="superscript"/>
        </w:rPr>
        <w:t>2</w:t>
      </w:r>
      <w:r w:rsidRPr="00070ADE">
        <w:rPr>
          <w:rStyle w:val="77"/>
          <w:rFonts w:eastAsiaTheme="minorHAnsi"/>
          <w:color w:val="000000" w:themeColor="text1"/>
          <w:sz w:val="16"/>
          <w:szCs w:val="16"/>
        </w:rPr>
        <w:t>и 3,17 кг/л. с. соответственно, полностью укладывались в рамки концепции маневренного скоростного штурмовика.</w:t>
      </w:r>
    </w:p>
    <w:p w14:paraId="09D884A2"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Считалось, что по технике пилотирования самолет относительно простой и вполне доступен летчикам средней квалификации: «По технике пилотирования прост и не требует специального переучивания для перехода на него летчиков, летающих на серийных самолетах Ил-2./.../Устойчивость и управляемость хорошие. Путевая устойчивость несколько велика. Нагрузки от рулей нормальные по величине и направлению. Нагрузки от рулей высоты несколько велики. На рулежке устойчивость самолета недостаточная».</w:t>
      </w:r>
    </w:p>
    <w:p w14:paraId="5264FE36"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Были выявлены и существенные недостатки. В частности, несколько велика была путевая устойчивость самолета. Отсутствовали система нейтрального газа и дублированное управление рулем высоты. Неудовлетворительно работали тормоза колес. Не был предусмотрен аварийный сброс фонарей кабин летчика и стрелка. В случае капота самолета при вынужденной посадке летчик не мог выбраться из самолета. Система вентиляции кабин не обеспечивала гигиенических норм. Экипаж страдал от невыносимой жары - при +12 °</w:t>
      </w:r>
      <w:r w:rsidRPr="00070ADE">
        <w:rPr>
          <w:rStyle w:val="77"/>
          <w:rFonts w:eastAsiaTheme="minorHAnsi"/>
          <w:color w:val="000000" w:themeColor="text1"/>
          <w:sz w:val="16"/>
          <w:szCs w:val="16"/>
          <w:lang w:val="en-US"/>
        </w:rPr>
        <w:t>C</w:t>
      </w:r>
      <w:r w:rsidRPr="00070ADE">
        <w:rPr>
          <w:rStyle w:val="77"/>
          <w:rFonts w:eastAsiaTheme="minorHAnsi"/>
          <w:color w:val="000000" w:themeColor="text1"/>
          <w:sz w:val="16"/>
          <w:szCs w:val="16"/>
        </w:rPr>
        <w:t xml:space="preserve"> за бортом температура в кабинах достигала +41 °</w:t>
      </w:r>
      <w:r w:rsidRPr="00070ADE">
        <w:rPr>
          <w:rStyle w:val="77"/>
          <w:rFonts w:eastAsiaTheme="minorHAnsi"/>
          <w:color w:val="000000" w:themeColor="text1"/>
          <w:sz w:val="16"/>
          <w:szCs w:val="16"/>
          <w:lang w:val="en-US"/>
        </w:rPr>
        <w:t>C</w:t>
      </w:r>
      <w:r w:rsidRPr="00070ADE">
        <w:rPr>
          <w:rStyle w:val="77"/>
          <w:rFonts w:eastAsiaTheme="minorHAnsi"/>
          <w:color w:val="000000" w:themeColor="text1"/>
          <w:sz w:val="16"/>
          <w:szCs w:val="16"/>
        </w:rPr>
        <w:t xml:space="preserve"> и более.</w:t>
      </w:r>
    </w:p>
    <w:p w14:paraId="077942C6"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Серьезные дефекты обнаружились в системе вооружения машины. Вести огонь из крыльевых пушек ВЯ и пулеметов ШКАС оказалось совершенно невозможным. В ходе наземных и летных испытаний ни разу не удалось полностью отстрелять боекомплект к ним.</w:t>
      </w:r>
    </w:p>
    <w:p w14:paraId="520361A6"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Так, после открытия огня из пушек в большинстве случаев происходила произвольная стрельба, прекратить которую можно было толь ко перезарядкой. Виной этому были дефекты пневмоэлектроспусков. Кроме этого, звенья снарядной ленты, собиравшиеся при стрельбе в снарядные ящики, попадали в подвижные части пушек, что приводило к задержкам в стрельбе. В ходе испытаний пришлось установить звеньеотводы для вывода звеньев наружу, как на серийных самолетах Ил-2.</w:t>
      </w:r>
    </w:p>
    <w:p w14:paraId="66C5EE3A"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При стрельбе из пулеметов ШКАС уже «после 350-400 выстрелов звенья накапливаются у звеньеотвода и заклинивают выход звеньев». Как следствие, стрельба прекращалась.</w:t>
      </w:r>
    </w:p>
    <w:p w14:paraId="52510781"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Оборонительная установка ВУ-7 с пушкой Ш-20 оценивалась военными испытателями довольно высоко. По их мнению, установка имела хорошую маневренность и была легкой в управлении. Сама пушка Ш-20 работала «значительно легче, чем пулемет УБТ, а наличие разрывного снаряда калибра 20 мм и непрерывного питания увеличивает защиту самолета».</w:t>
      </w:r>
    </w:p>
    <w:p w14:paraId="0999B0F0"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Однако установку требовалось дорабатывать до необходимого уровня надежности. Дело в том, что в ходе стрельб (выполнено 3690 выстрелов на земле и 1045 - в воздухе) было получено довольно много задержек при автоматической стрельбе: 10 % - при стрельбе в воздухе и 7 % - при стрельбе на земле, в том числе соответственно 4 и 3 % - по вине пушки, остальные - по вине установки.</w:t>
      </w:r>
    </w:p>
    <w:p w14:paraId="6825AF31"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Кроме этого, после 1810 выстрелов деформировалась дуга фонаря установки, произошло расцепление зубчатки механизма стабилизации с зубьями неподвижного полукольца, а в шарнирных и болтовых соединениях механизма стабилизации вектора собственной скорости образовались люфты. После 4365 выстрелов разорвался рукав питания пушки, увеличилась деформация дуги фонаря установки. Отстрел еще 150 патронов привел к разрушению (срез болтов) крепления переднего кронштейна механизма стабилизации. Суммарный настрел пушки Ш-20 на установке ВУ-7 (включая заводскую отладку) составил 5115 выстрелов.</w:t>
      </w:r>
    </w:p>
    <w:p w14:paraId="08BEDA00"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Указывалось, что ВУ-7 после устранения отмеченных недостатков «будет лучше ранее предъявленных установок ВУБ-3, ВУ-8 и УБШ и значительно лучше блистерной БЛУБ (Су-6)». Однако пушка Ш-20 - опытная, поэтому для внедрения ВУ-7 в серию на самолете Ил-10 необходимо решение о постановке Ш-20 на вооружение ВВС КА.</w:t>
      </w:r>
    </w:p>
    <w:p w14:paraId="1CBDD465"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Если недостатки стрелково-пушечного вооружения легко устранялись при переходе к конструктивным решениям, принятым для серийного самолета Ил-2, то с бомбардировочным вооружением Ил-10 дела обстояли гораздо хуже.</w:t>
      </w:r>
    </w:p>
    <w:p w14:paraId="3989E87B"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lastRenderedPageBreak/>
        <w:t>Загрузка бомбоотсеков опытной «десятки» бомбами наиболее «ходовых» калибров (ПТАБ-2,5-1,5, АЖ-2, АО-15, АО-25, ФАБ-50, ФАБ-100) была на 100-300 кг меньше, чем серийной «двойки». На самолете просто не хватало места для размещения большого количества мелких бомб, хотя заявленная грузоподъемность самолета достигала 600 кг бомб (в перегрузку). К тому же подвеска под крылом на внешние держатели бомб калибра 100-250 кг на тросовых поясах была крайне неудобной и сложной в эксплуатации.</w:t>
      </w:r>
    </w:p>
    <w:p w14:paraId="7AA87C97"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По этой причине начальник 4-го отдела института генерал-майор М. В. Шишкин и его заместитель полковник Н. И. Шауров, давая тактическую оценку новому штурмовику, отметили, что «наличие Ил-10 не исключает необходимость иметь на вооружении ВВС самолет Ил-8/./, хотя и уступающего по летным данным».</w:t>
      </w:r>
    </w:p>
    <w:p w14:paraId="2CC098C1" w14:textId="77777777" w:rsidR="00962976" w:rsidRPr="00070ADE" w:rsidRDefault="00962976" w:rsidP="00B56F90">
      <w:pPr>
        <w:spacing w:after="0" w:line="240" w:lineRule="auto"/>
        <w:jc w:val="both"/>
        <w:rPr>
          <w:rStyle w:val="77"/>
          <w:rFonts w:eastAsiaTheme="minorHAnsi"/>
          <w:color w:val="000000" w:themeColor="text1"/>
          <w:sz w:val="16"/>
          <w:szCs w:val="16"/>
        </w:rPr>
      </w:pPr>
      <w:r w:rsidRPr="00070ADE">
        <w:rPr>
          <w:rStyle w:val="77"/>
          <w:rFonts w:eastAsiaTheme="minorHAnsi"/>
          <w:color w:val="000000" w:themeColor="text1"/>
          <w:sz w:val="16"/>
          <w:szCs w:val="16"/>
        </w:rPr>
        <w:t>В выводах акта по результатам испытаний указывалось, что «Ил-10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 на границе высотности на 147 км/ч./. ../Время набора высоты 3000 м меньше на 3 мин./.. ./Дальность горизонтального полета на высоте 500 м возросла на 120 км./.. ./Высокая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 ../Самолет Ил-10 является классическим образцом самолета-штурмовика.»</w:t>
      </w:r>
    </w:p>
    <w:p w14:paraId="73B0ED2A"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При внедрении в серию требовалось обеспечить аварийный сброс фонаря кабины летчика, установить триммер руля поворота, изменить бронирование Ил-10, выполнив его по образцу Ил-8.</w:t>
      </w:r>
    </w:p>
    <w:p w14:paraId="65876848"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В заключении акта самолет Ил-10 рекомендовался в серийное производство при условии устранения выявленных дефектов и недостатков. Вопрос об оборонительном пушечном вооружении предлагалось решить «после испытаний легких пушек калибра 20 мм».</w:t>
      </w:r>
    </w:p>
    <w:p w14:paraId="16B86E19" w14:textId="77777777" w:rsidR="00962976" w:rsidRPr="00070ADE" w:rsidRDefault="00962976" w:rsidP="00B56F90">
      <w:pPr>
        <w:spacing w:after="0" w:line="240" w:lineRule="auto"/>
        <w:jc w:val="both"/>
        <w:rPr>
          <w:rStyle w:val="77"/>
          <w:rFonts w:eastAsiaTheme="minorHAnsi"/>
          <w:color w:val="000000" w:themeColor="text1"/>
          <w:sz w:val="16"/>
          <w:szCs w:val="16"/>
        </w:rPr>
      </w:pPr>
      <w:r w:rsidRPr="00070ADE">
        <w:rPr>
          <w:rStyle w:val="77"/>
          <w:rFonts w:eastAsiaTheme="minorHAnsi"/>
          <w:color w:val="000000" w:themeColor="text1"/>
          <w:sz w:val="16"/>
          <w:szCs w:val="16"/>
        </w:rPr>
        <w:t>Одновременно считалось необходимым: «4. Просить Наркома авиапромышленности т. Шахурина дать задание: а) Главному конструктору т. Ильюшину - до запуска самолета в серию устранить дефекты и выполнить рекомендации. б) Главному конструктору по авиаколесам - модернизировать серийные тормозные колеса 800^260 мм под перегрузочный полетный вес 6550 кг в сроки, обеспечивающие серийный выпуск Ил-10. в) ЦАГИ - один самолет головной серии статически и динамически испытать. г) ЦИАМ - разработать механизм объединенного управления винта и газа для мотора АМ-42. 5. Просить Наркома НКВ - дать задание тов. Китенко - конструктору электроспусков, срочно устранить дефекты электроспусков» (17490).</w:t>
      </w:r>
    </w:p>
    <w:p w14:paraId="3C6463B0" w14:textId="77777777" w:rsidR="00962976" w:rsidRPr="00070ADE" w:rsidRDefault="00962976" w:rsidP="00B56F90">
      <w:pPr>
        <w:spacing w:after="0" w:line="240" w:lineRule="auto"/>
        <w:jc w:val="both"/>
        <w:rPr>
          <w:rFonts w:ascii="Times New Roman" w:hAnsi="Times New Roman"/>
          <w:color w:val="000000" w:themeColor="text1"/>
          <w:sz w:val="16"/>
          <w:szCs w:val="16"/>
        </w:rPr>
      </w:pPr>
    </w:p>
    <w:p w14:paraId="725130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ст. л-т Я.А.Гриднев на Ла-5 № 39211958 сел с деформированным левым лонжероном и оборванной обшивкой. Обшивка правого лонжерона также была частично повреждена. В рез-те деформации с-т не выходил из пикирования и удалось сделать это толлько на высоте 1300 м при скорости 760 км/час. Сел на свой аэродром (755,39).</w:t>
      </w:r>
    </w:p>
    <w:p w14:paraId="2FAC55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4FA138" w14:textId="77777777" w:rsidR="00962976" w:rsidRPr="00070ADE" w:rsidRDefault="00962976"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До 11 мая 1944 г. на закончившемся первом этапе испытаений Як-7Б №0803 - самолет-лаборатория, оборудованный ПВРД Меркулова, самолет-лаборатория был опро</w:t>
      </w:r>
      <w:r w:rsidRPr="00070ADE">
        <w:rPr>
          <w:rFonts w:ascii="Times New Roman" w:hAnsi="Times New Roman" w:cs="Times New Roman"/>
          <w:color w:val="000000" w:themeColor="text1"/>
          <w:sz w:val="16"/>
          <w:szCs w:val="16"/>
        </w:rPr>
        <w:softHyphen/>
        <w:t>бован в воздухе без ПВРД и были сняты его летные данные на режимах, на кото</w:t>
      </w:r>
      <w:r w:rsidRPr="00070ADE">
        <w:rPr>
          <w:rFonts w:ascii="Times New Roman" w:hAnsi="Times New Roman" w:cs="Times New Roman"/>
          <w:color w:val="000000" w:themeColor="text1"/>
          <w:sz w:val="16"/>
          <w:szCs w:val="16"/>
        </w:rPr>
        <w:softHyphen/>
        <w:t>рых предполагалось их включать. В конце дня И мая «дополнительные моторы» поставили, и на следующий день Анохин совершил первый полет II этапа с ними, а 15 мая впервые включил ДМ-4с.</w:t>
      </w:r>
    </w:p>
    <w:p w14:paraId="66E88575" w14:textId="77777777" w:rsidR="00962976" w:rsidRPr="00070ADE" w:rsidRDefault="00962976"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Летные испытания самолета заверши</w:t>
      </w:r>
      <w:r w:rsidRPr="00070ADE">
        <w:rPr>
          <w:rFonts w:ascii="Times New Roman" w:hAnsi="Times New Roman" w:cs="Times New Roman"/>
          <w:color w:val="000000" w:themeColor="text1"/>
          <w:sz w:val="16"/>
          <w:szCs w:val="16"/>
        </w:rPr>
        <w:softHyphen/>
        <w:t>лись 12 декабря 1944 г. как было указано в отчете «с положительными результа</w:t>
      </w:r>
      <w:r w:rsidRPr="00070ADE">
        <w:rPr>
          <w:rFonts w:ascii="Times New Roman" w:hAnsi="Times New Roman" w:cs="Times New Roman"/>
          <w:color w:val="000000" w:themeColor="text1"/>
          <w:sz w:val="16"/>
          <w:szCs w:val="16"/>
        </w:rPr>
        <w:softHyphen/>
        <w:t>тами», хотя на первый взгляд таковыми их назвать было трудно. Неработающие ПВРД дали снижение скорости на высоте 2340 м на 34 км/ч (с 494 до 460 км/ч), а прирост от их включения по сравнению с самоле</w:t>
      </w:r>
      <w:r w:rsidRPr="00070ADE">
        <w:rPr>
          <w:rFonts w:ascii="Times New Roman" w:hAnsi="Times New Roman" w:cs="Times New Roman"/>
          <w:color w:val="000000" w:themeColor="text1"/>
          <w:sz w:val="16"/>
          <w:szCs w:val="16"/>
        </w:rPr>
        <w:softHyphen/>
        <w:t>том без ПВРД был лишь 19 км/ч - с 494 до 513 км/ч. Максимальные скорости этого самолета с неработающими ПВРД оказа</w:t>
      </w:r>
      <w:r w:rsidRPr="00070ADE">
        <w:rPr>
          <w:rFonts w:ascii="Times New Roman" w:hAnsi="Times New Roman" w:cs="Times New Roman"/>
          <w:color w:val="000000" w:themeColor="text1"/>
          <w:sz w:val="16"/>
          <w:szCs w:val="16"/>
        </w:rPr>
        <w:softHyphen/>
        <w:t>лись на 70-80 км/ч ниже, чем у серийного Як-7Б нормального качества изготовления, что объяснялось как недостатками этого конкретного экземпляра машины, так и большими размерами ПВРД - ДМ-4с имел диаметр 500 мм, что увеличивало мидель самолета более чем на 30%.</w:t>
      </w:r>
    </w:p>
    <w:p w14:paraId="0154C87A" w14:textId="77777777" w:rsidR="00962976" w:rsidRPr="00070ADE" w:rsidRDefault="00962976"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Из-за нештатной работы бензонасоса БНК-10Ф расход топлива был 22 кг/мин вместо номинального значения 24 кг/мин, но суммарная тяга двигателей оказалась меньше явно непропорционально этой потере - он+а должна была быть 300 кгс, а получили лишь 158.</w:t>
      </w:r>
    </w:p>
    <w:p w14:paraId="2C9BAFA3" w14:textId="77777777" w:rsidR="00962976" w:rsidRPr="00070ADE" w:rsidRDefault="00962976"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Это могло быть связано как с недостат</w:t>
      </w:r>
      <w:r w:rsidRPr="00070ADE">
        <w:rPr>
          <w:rFonts w:ascii="Times New Roman" w:hAnsi="Times New Roman" w:cs="Times New Roman"/>
          <w:color w:val="000000" w:themeColor="text1"/>
          <w:sz w:val="16"/>
          <w:szCs w:val="16"/>
        </w:rPr>
        <w:softHyphen/>
        <w:t>ками самих двигателей, так и с тем, что их испытания велись на пониженных скоро</w:t>
      </w:r>
      <w:r w:rsidRPr="00070ADE">
        <w:rPr>
          <w:rFonts w:ascii="Times New Roman" w:hAnsi="Times New Roman" w:cs="Times New Roman"/>
          <w:color w:val="000000" w:themeColor="text1"/>
          <w:sz w:val="16"/>
          <w:szCs w:val="16"/>
        </w:rPr>
        <w:softHyphen/>
        <w:t>стях и скоростных напорах. Но выводы все же были оптимистичны.</w:t>
      </w:r>
    </w:p>
    <w:p w14:paraId="6BADC659" w14:textId="77777777" w:rsidR="00962976" w:rsidRPr="00070ADE" w:rsidRDefault="00962976"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Во-первых, в отчете появилась столь желанная для КБ Меркулова фраза, что ПВРД работоспособны и могут быть при</w:t>
      </w:r>
      <w:r w:rsidRPr="00070ADE">
        <w:rPr>
          <w:rFonts w:ascii="Times New Roman" w:hAnsi="Times New Roman" w:cs="Times New Roman"/>
          <w:color w:val="000000" w:themeColor="text1"/>
          <w:sz w:val="16"/>
          <w:szCs w:val="16"/>
        </w:rPr>
        <w:softHyphen/>
        <w:t>менены на самолетах-истребителях в качестве ускорителя, что они просты в изготовлении и обслуживании, поставить их на истребитель можно даже в поле</w:t>
      </w:r>
      <w:r w:rsidRPr="00070ADE">
        <w:rPr>
          <w:rFonts w:ascii="Times New Roman" w:hAnsi="Times New Roman" w:cs="Times New Roman"/>
          <w:color w:val="000000" w:themeColor="text1"/>
          <w:sz w:val="16"/>
          <w:szCs w:val="16"/>
        </w:rPr>
        <w:softHyphen/>
        <w:t>вых условиях. Во-вторых, была выражена надежда на больший прирост скорости и высотности - достаточный для перехвата любого самолета противника. Далее было отмечено, что хотя радиус действия са</w:t>
      </w:r>
      <w:r w:rsidRPr="00070ADE">
        <w:rPr>
          <w:rFonts w:ascii="Times New Roman" w:hAnsi="Times New Roman" w:cs="Times New Roman"/>
          <w:color w:val="000000" w:themeColor="text1"/>
          <w:sz w:val="16"/>
          <w:szCs w:val="16"/>
        </w:rPr>
        <w:softHyphen/>
        <w:t>молета с ПВРД существенно сокращается из-за большого расхода топлива и увели</w:t>
      </w:r>
      <w:r w:rsidRPr="00070ADE">
        <w:rPr>
          <w:rFonts w:ascii="Times New Roman" w:hAnsi="Times New Roman" w:cs="Times New Roman"/>
          <w:color w:val="000000" w:themeColor="text1"/>
          <w:sz w:val="16"/>
          <w:szCs w:val="16"/>
        </w:rPr>
        <w:softHyphen/>
        <w:t>чения аэродинамического сопротивления, но такие самолеты использовать для при</w:t>
      </w:r>
      <w:r w:rsidRPr="00070ADE">
        <w:rPr>
          <w:rFonts w:ascii="Times New Roman" w:hAnsi="Times New Roman" w:cs="Times New Roman"/>
          <w:color w:val="000000" w:themeColor="text1"/>
          <w:sz w:val="16"/>
          <w:szCs w:val="16"/>
        </w:rPr>
        <w:softHyphen/>
        <w:t>крытия важных объектов целесообразно. Однако моделирование возможных такти</w:t>
      </w:r>
      <w:r w:rsidRPr="00070ADE">
        <w:rPr>
          <w:rFonts w:ascii="Times New Roman" w:hAnsi="Times New Roman" w:cs="Times New Roman"/>
          <w:color w:val="000000" w:themeColor="text1"/>
          <w:sz w:val="16"/>
          <w:szCs w:val="16"/>
        </w:rPr>
        <w:softHyphen/>
        <w:t>ческих ситуаций было проведено не для задач ПВО, а исходя из действий авиа</w:t>
      </w:r>
      <w:r w:rsidRPr="00070ADE">
        <w:rPr>
          <w:rFonts w:ascii="Times New Roman" w:hAnsi="Times New Roman" w:cs="Times New Roman"/>
          <w:color w:val="000000" w:themeColor="text1"/>
          <w:sz w:val="16"/>
          <w:szCs w:val="16"/>
        </w:rPr>
        <w:softHyphen/>
        <w:t>ции фронтовой. Было сказано, что с уве</w:t>
      </w:r>
      <w:r w:rsidRPr="00070ADE">
        <w:rPr>
          <w:rFonts w:ascii="Times New Roman" w:hAnsi="Times New Roman" w:cs="Times New Roman"/>
          <w:color w:val="000000" w:themeColor="text1"/>
          <w:sz w:val="16"/>
          <w:szCs w:val="16"/>
        </w:rPr>
        <w:softHyphen/>
        <w:t>личением расхода топлива до 30 кг/мин добавка скорости составит до 130 км/ч и тогда для догона появившегося на пре</w:t>
      </w:r>
      <w:r w:rsidRPr="00070ADE">
        <w:rPr>
          <w:rFonts w:ascii="Times New Roman" w:hAnsi="Times New Roman" w:cs="Times New Roman"/>
          <w:color w:val="000000" w:themeColor="text1"/>
          <w:sz w:val="16"/>
          <w:szCs w:val="16"/>
        </w:rPr>
        <w:softHyphen/>
        <w:t>деле видимости истребителя противника над будет не более 3 мин, а для выхода из зоны действия его эффективного огня на дистанцию свыше 500 м - до 15 с при технической возможности использования ПВРД в течение 5-6 мин.</w:t>
      </w:r>
    </w:p>
    <w:p w14:paraId="049F2A47" w14:textId="77777777" w:rsidR="00962976" w:rsidRPr="00070ADE" w:rsidRDefault="00962976"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Меркулов выразил уверенность, что сможет не только довести тягу своих дви</w:t>
      </w:r>
      <w:r w:rsidRPr="00070ADE">
        <w:rPr>
          <w:rFonts w:ascii="Times New Roman" w:hAnsi="Times New Roman" w:cs="Times New Roman"/>
          <w:color w:val="000000" w:themeColor="text1"/>
          <w:sz w:val="16"/>
          <w:szCs w:val="16"/>
        </w:rPr>
        <w:softHyphen/>
        <w:t>гателей до заданных 150 кгс, но и снизить их массу с 45 до 15-18 кг.</w:t>
      </w:r>
    </w:p>
    <w:p w14:paraId="69258AE1" w14:textId="77777777" w:rsidR="00962976" w:rsidRPr="00070ADE" w:rsidRDefault="00962976"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Специалисты ЛИИ провели оценку возможных выгод от ПВРД, определив, что наилучшие результаты дает установка двух ДМ в хвосте - тогда скорость Як-7 на одном моторе М-105ПФ на границе вы</w:t>
      </w:r>
      <w:r w:rsidRPr="00070ADE">
        <w:rPr>
          <w:rFonts w:ascii="Times New Roman" w:hAnsi="Times New Roman" w:cs="Times New Roman"/>
          <w:color w:val="000000" w:themeColor="text1"/>
          <w:sz w:val="16"/>
          <w:szCs w:val="16"/>
        </w:rPr>
        <w:softHyphen/>
        <w:t>сотности сохранится на уровне 600 км/ч, а после их включения возрастет до 800 км/ч.</w:t>
      </w:r>
    </w:p>
    <w:p w14:paraId="604DD691" w14:textId="77777777" w:rsidR="00962976" w:rsidRPr="00070ADE" w:rsidRDefault="00962976"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Яковлев выполнил проект доработки Як-7 установкой двух ДМ-4с в полевых условиях, что он рассматривал как пер</w:t>
      </w:r>
      <w:r w:rsidRPr="00070ADE">
        <w:rPr>
          <w:rFonts w:ascii="Times New Roman" w:hAnsi="Times New Roman" w:cs="Times New Roman"/>
          <w:color w:val="000000" w:themeColor="text1"/>
          <w:sz w:val="16"/>
          <w:szCs w:val="16"/>
        </w:rPr>
        <w:softHyphen/>
        <w:t>вый ответ на появление у противника большого числа реактивных истребите</w:t>
      </w:r>
      <w:r w:rsidRPr="00070ADE">
        <w:rPr>
          <w:rFonts w:ascii="Times New Roman" w:hAnsi="Times New Roman" w:cs="Times New Roman"/>
          <w:color w:val="000000" w:themeColor="text1"/>
          <w:sz w:val="16"/>
          <w:szCs w:val="16"/>
        </w:rPr>
        <w:softHyphen/>
        <w:t>лей до появления своих таких самолетов в серийном производстве. Но разработку Як-7Р он прекратил (17742).</w:t>
      </w:r>
    </w:p>
    <w:p w14:paraId="252D6A0B" w14:textId="77777777" w:rsidR="00962976" w:rsidRPr="00070ADE" w:rsidRDefault="00962976" w:rsidP="00B56F90">
      <w:pPr>
        <w:spacing w:after="0" w:line="240" w:lineRule="auto"/>
        <w:jc w:val="both"/>
        <w:rPr>
          <w:rFonts w:ascii="Times New Roman" w:hAnsi="Times New Roman"/>
          <w:color w:val="000000" w:themeColor="text1"/>
          <w:sz w:val="16"/>
          <w:szCs w:val="16"/>
        </w:rPr>
      </w:pPr>
    </w:p>
    <w:p w14:paraId="3A81BB60" w14:textId="77777777" w:rsidR="00C62CBE" w:rsidRPr="00070ADE" w:rsidRDefault="00C62CB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11 по 25 мая 1944 г. были проведены «воздушные бои» между Ла-7 и трофейным облегченным FW 190A-8 № 210251. На форсажных режимах превосходство Ла-7 в скорости у земли составляло 75 км/ч, на высоте 1 500 м — 84 км/ч, на 6 000 м — 37 км/ч. Он оставался быстрее «фоккера» на всех высотах, в наборе высоты его преимущество сохранялось до 4 270 м, но дальше оно переходило к противнику, хотя разница цифр здесь была невелика. У земли Ла-7 с показателем вертикальной скорости 22,7 м/с превосходил все серийные истребители СССР, союзников и стран «оси», а выигрыш перед FW 190A-8 достигал почти 6 м/с. Наибольший разрыв в пользу противника был выше 5 500 м и составлял незначительные 0,8 м/с. Невзирая на отмеченные испытателями проблемы с охлаждением мотора, серийный Ла-7 набирал 5 000 м за 4,6 мин, а облегченный FW 190A-8 — лишь за 5,4. Набор высоты за один боевой разворот у Ла-7 был 1 200 м, а FW 190A-8 набирал 1 100 и попадал под удар сверху самой удобной дистанции для стрельбы с ходу. Традиционно сильной стороной советского истребителя оставался вираж, который он выполнял 2–4 секунды быстрее «фоккера А-8». Специальные испытания трофейного FW 190A-8 № 68210 с бомбардировочным вооружением, прошедшие 1–12 мая 1945 г., дали аналогичный результат — Ла-7 и с бомбами был резвее. Параллельно испытали облегченный FW 190A-8 № 580967, который смог «убежать» на форсаже от Як-3 и Як-9У, но не оторвался отЛа-7. Новый «Лавочкин» оказался лучше и по скорости, и по горизонтальной и вертикальной маневренности. В 1945 г. проводились «бои» и с «длинноносым» FW 190D-9 с мотором Jumo 213E, и с английским «Спитфайром» Mk. 9, и с американской «Кингкоброй» Р-63, и с другими новыми зарубежными истребителями — трофейными и поставлявшимися союзниками. И все они показали преимущество Ла-7 в основных режимах воздушных боев, характерных для Восточного фронта (22769).</w:t>
      </w:r>
    </w:p>
    <w:p w14:paraId="1DFE36A8" w14:textId="77777777" w:rsidR="00C62CBE" w:rsidRPr="00070ADE" w:rsidRDefault="00C62CBE" w:rsidP="00B56F90">
      <w:pPr>
        <w:spacing w:after="0" w:line="240" w:lineRule="auto"/>
        <w:jc w:val="both"/>
        <w:rPr>
          <w:rFonts w:ascii="Times New Roman" w:hAnsi="Times New Roman"/>
          <w:color w:val="000000" w:themeColor="text1"/>
          <w:sz w:val="16"/>
          <w:szCs w:val="16"/>
        </w:rPr>
      </w:pPr>
    </w:p>
    <w:p w14:paraId="5A49FB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вышел приказ НКАП N 317сс:</w:t>
      </w:r>
    </w:p>
    <w:p w14:paraId="632FAC2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"ГКО постановлением N ГОКО-5801сс от 4 мая 1944 принял к сведению заявление ВВС Новикова и Репина, что электропуски конструкции Китаенко успешно прошли гос. испытания на пулеметах ШКАС калибра 7.62 мм и, Березина 12.7 мм и на пушках ВЯ 23 мм и НС-37 и обязал:</w:t>
      </w:r>
    </w:p>
    <w:p w14:paraId="36ED57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НКВ Д.Ф.Устинова и ГК Шпитального, Березина, Волкова, Ярцева, Нудельмана, Суранова внести необходимые изменения в выпускаемые серийно авиапулеметы и пушки для установки электропусков Китаенко.</w:t>
      </w:r>
    </w:p>
    <w:p w14:paraId="4A4FF2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ВВС Новикова провести в 3 кв. с.г. войсковые испытания самолетов, вооруженных авиапулеметами и пушками с электропусками Китаенко</w:t>
      </w:r>
    </w:p>
    <w:p w14:paraId="781059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исполнение данного постановления:</w:t>
      </w:r>
    </w:p>
    <w:p w14:paraId="265307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ГК А.С.Я., С.В.И., А.Н.Т. и В.М.М. разработать тех. документацию на установку оружия с электропусками Китаенко и передать к 25 мая с.г.:</w:t>
      </w:r>
    </w:p>
    <w:p w14:paraId="5A58C8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заводу 153 на установку пушки НС-37 на Як-9</w:t>
      </w:r>
    </w:p>
    <w:p w14:paraId="1B03C5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заводу 30 на установку пулемета ШКАС 7.62 мм и пушек ВЯ на самолетах Ил-2</w:t>
      </w:r>
    </w:p>
    <w:p w14:paraId="7AC936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заводу 22 на установку носовой и люковой установки под УБК на самолете Пе-2</w:t>
      </w:r>
    </w:p>
    <w:p w14:paraId="1434EB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заводу 23 на люковую установку под УБК на самолете Ту-2</w:t>
      </w:r>
    </w:p>
    <w:p w14:paraId="4D2C61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Нач. 10 ГУ - зам. наркома А.И.Кузнецову и директорам заводов 30, 22, и 23 до 15 июня с.г. сдать ВВС для проведения войсковых испытаний самолеты, вооруженные пулеметами и пушками с электропусками системы Китаенко:</w:t>
      </w:r>
    </w:p>
    <w:p w14:paraId="3AA234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с завода 30 - 100 самолетов Ил-2, вооруженных крыльевыми ШКАС и пушками ВЯ</w:t>
      </w:r>
    </w:p>
    <w:p w14:paraId="7BBDD7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с завода 22 - 100 самолетов Пе-2 с носовой неподвижной установкой, вооруженной УБК</w:t>
      </w:r>
    </w:p>
    <w:p w14:paraId="3CF690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 завода 23 10 самолетов Ту-2 с люковой установкой, вооруженной УБК</w:t>
      </w:r>
    </w:p>
    <w:p w14:paraId="5A1A31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Нач. ПГУ, зам. наркома П.А.Воронину и директору завода 153 Лисицину до 15 июля с.г. сдать ВВС для проведения войсковых испытаний 60 самолетов Як-9, вооруженные пышками НС-37 мм с электропусками Китаенко (1583,71).</w:t>
      </w:r>
    </w:p>
    <w:p w14:paraId="39F9C6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4AD7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в ЦАГИ была проведена конференция для ознакомления работников КБ и заводов с новыми работами (323,102).</w:t>
      </w:r>
    </w:p>
    <w:p w14:paraId="58446B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DCB3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вышло Постановление ГКО № 5864 О строительстве в 1944 году аэродромов и взлетно-посадочных полос для Военно-воздушных сил Красной Армии и Военно-Морского Флота. РГАНИР, Фонд ГКО, д. 253, лл. 27-34,35-70 (11012).</w:t>
      </w:r>
    </w:p>
    <w:p w14:paraId="54D3204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28A874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774AB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D7A4E8" w14:textId="77777777" w:rsidR="00A83B1B" w:rsidRPr="00070ADE" w:rsidRDefault="00A83B1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11 по 26 мая 1944 г. два изготовленных экспериментальных образца гранатомета МГ-44 Всесоюзного электротехнического института НКЭП прошли официальные испытания на полигоне НИПСМВО ГАУ КА. По заключению НИПСМВО ГАУ КА "технически конструкция основных механизмов гранатомета отработана настолько, что обеспечивает надежное, безотказное и безопасное метание гранат в заданном направлении, что является большим шагом вперед по сравнению с ранее испытывавшимися центробежными пулеметами" и "дальнейшие работы по изысканию более приемлемой с тактической точки зрения конструктивной формы отработанной схемы центробежного механизма целесообразны" (15597).</w:t>
      </w:r>
    </w:p>
    <w:p w14:paraId="38DE1DAA" w14:textId="77777777" w:rsidR="00A83B1B" w:rsidRPr="00070ADE" w:rsidRDefault="00A83B1B" w:rsidP="00B56F90">
      <w:pPr>
        <w:spacing w:after="0" w:line="240" w:lineRule="auto"/>
        <w:jc w:val="both"/>
        <w:rPr>
          <w:rFonts w:ascii="Times New Roman" w:hAnsi="Times New Roman"/>
          <w:color w:val="000000" w:themeColor="text1"/>
          <w:sz w:val="16"/>
          <w:szCs w:val="16"/>
        </w:rPr>
      </w:pPr>
    </w:p>
    <w:p w14:paraId="3C24E43D" w14:textId="77777777" w:rsidR="008B0844" w:rsidRPr="00070ADE" w:rsidRDefault="008B084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года нарком танковой промышленности Малышев подверг С-34 резкой критике. По его словам, системы, предназначенные для установки в ИС-2 и СУ-100, оказались неприспособленными для установки ни в танк, ни в САУ. Разумеется, системы дорабатывались, но время шло, а С-34 всё никак не устанавливалась в САУ. Поскольку особого прогресса с исправлениями не наблюдалось, то и на УЗТМ не особо торопились. Представитель ЦАКБ гвардии капитан Боглевский, прибывший на завод 23 апреля, сообщил, что с января никакой деятельности на УТЗМ по данной теме не велось (18252).</w:t>
      </w:r>
    </w:p>
    <w:p w14:paraId="6E54DE0F" w14:textId="77777777" w:rsidR="008B0844" w:rsidRPr="00070ADE" w:rsidRDefault="008B0844" w:rsidP="00B56F90">
      <w:pPr>
        <w:spacing w:after="0" w:line="240" w:lineRule="auto"/>
        <w:jc w:val="both"/>
        <w:rPr>
          <w:rFonts w:ascii="Times New Roman" w:hAnsi="Times New Roman"/>
          <w:color w:val="000000" w:themeColor="text1"/>
          <w:sz w:val="16"/>
          <w:szCs w:val="16"/>
        </w:rPr>
      </w:pPr>
    </w:p>
    <w:p w14:paraId="6A6B133A" w14:textId="77777777" w:rsidR="00420314" w:rsidRPr="00C94B78" w:rsidRDefault="0042031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11 мая 1944 года свои мысли насчет С-34 высказал В.А. Малышев, нарком танковой промышленности. Он назвал орудие не приспособленным для установки ни в танк, ни в СУ-100. Особенно Вячеслава Александровича возмутила самоходная версия орудия, которая являлась танковой пушкой, которую для установки в САУ не переделывали. Ни рамки, ни установки прицела в ней не предусмотрели. Это не считая вылезших проблем с надежностью орудия. В общем-то, на этом моменте С-34 уже проиграла Д-10с. Дальнейшая активность по данному орудию выглядела скорее для галочки. На этом фоне не стоит удивляться, что УЗТМ темой установки С-34 в СУ-100 почти не занимался.</w:t>
      </w:r>
    </w:p>
    <w:p w14:paraId="28CD7C40" w14:textId="77777777" w:rsidR="00420314" w:rsidRPr="00C94B78" w:rsidRDefault="00420314"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Только после того, как в конструкцию С-34 внесли необходимые изменения, КБ УЗТМ приступило к изготовлению САУ под орудие ЦАКБ и завода №92. С нуля САУ строить не стали: за основу взяли первый опытный образец СУ-100, который, соответствующим образом, переделали. Общая конфигурация рубки осталась прежней, вентилятор тоже остался один. Командирскую башенку сильно сдвинули назад, чтобы было где сидеть командиру. Установка орудия получилась более громоздкой, чем в случае с Д-10с, а места внутри боевого отделения оказалось меньше (24928).</w:t>
      </w:r>
    </w:p>
    <w:p w14:paraId="6E247778" w14:textId="77777777" w:rsidR="00420314" w:rsidRPr="00C94B78" w:rsidRDefault="00420314" w:rsidP="00B56F90">
      <w:pPr>
        <w:spacing w:after="0" w:line="240" w:lineRule="auto"/>
        <w:jc w:val="both"/>
        <w:rPr>
          <w:rFonts w:ascii="Times New Roman" w:hAnsi="Times New Roman"/>
          <w:color w:val="0070C0"/>
          <w:sz w:val="16"/>
          <w:szCs w:val="16"/>
        </w:rPr>
      </w:pPr>
    </w:p>
    <w:p w14:paraId="48D7E6D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вышло Постановление ГКО № 5854 О мероприятиях по увеличению добычи нефти в 1944 году за счет освоения высокодебитных нефтяных месторождений. РГАНИР, Фонд ГКО, д. 252, лл. 5-19,20-24 (11012).</w:t>
      </w:r>
    </w:p>
    <w:p w14:paraId="1DC0075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AE6A61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вышло Постановление ГКО № 5855 О мероприятиях по восстановлению и ремонту бурового оборудования в нефтяной промышленности. РГАНИР, Фонд ГКО, д. 252, лл. 25-30,31-34 (11012).</w:t>
      </w:r>
    </w:p>
    <w:p w14:paraId="2D7F9D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3B6C33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вышло Постановление ГКО № 5856 О восстановлении производства и организации ремонта компрессоров для нужд нефтедобывающей промышленности. РГАНИР, Фонд ГКО, д. 252, лл. 35-38 (11012).</w:t>
      </w:r>
    </w:p>
    <w:p w14:paraId="656C1A5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F3BD4D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вышло Постановление ГКО № 5857 О мероприятиях по усилению ремонта автомашин и тракторов на предприятиях нефтяной промышленности. (7231, 39-42,43-48).</w:t>
      </w:r>
    </w:p>
    <w:p w14:paraId="35606C3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24FBA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вышло Постановление ГКО № 5858 Об обеспечении работы Норильского никелевого комбината и Красноярского аффинажного завода НКВД СССР в 1944 г. (7231, 49-60,61-136).</w:t>
      </w:r>
    </w:p>
    <w:p w14:paraId="58D74F4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08F1D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вышло Постановление ГКО № 5860 О восстановлении производства органических красителей и полупродуктов. РГАНИР, Фонд ГКО, д. 252, лл. 145-152,153-169 (11012).</w:t>
      </w:r>
    </w:p>
    <w:p w14:paraId="0D32B4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D52B5B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вышло Постановление ГКО № 5861 О неотложных мерах по восстановлению и строительству заводов по производству минеральных удобрений, фосфоритных рудников и комбината "Апатит" Наркомхимпрома. РГАНИР, Фонд ГКО, д. 252, лл. 170-185,186-203 (11012).</w:t>
      </w:r>
    </w:p>
    <w:p w14:paraId="191134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42531E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вышло Постановление ГКО № 5862 О восстановлении и строительстве заводов Наркомхимпрома по производству ядохимикатов. РГАНИР, Фонд ГКО, д. 253, лл. 1-6,7-16 (11012).</w:t>
      </w:r>
    </w:p>
    <w:p w14:paraId="61F7AF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6063A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вышло Постановление ГКО № 5863 О добыче нефти и выработке нефтепродуктов Наркоматом нефтяной промышленности в мае 1944 года. РГАНИР, Фонд ГКО, д. 253, лл. 17-22,23-26 (11012).</w:t>
      </w:r>
    </w:p>
    <w:p w14:paraId="67FBBB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F567E7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вышло Распоряжение ГКО № 5865 [О восстановлении движения по Военно-Осетинской дороге.] (7232, 71).</w:t>
      </w:r>
    </w:p>
    <w:p w14:paraId="743E733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D628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вышло Постановление ГКО № 5866 О накоплении во II кв. 1944 г. на электростанциях НКЭС запасов угля. РГАНИР, Фонд ГКО, д. 253, лл. 72-73 (11012).</w:t>
      </w:r>
    </w:p>
    <w:p w14:paraId="24DA6A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A409F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вышло Распоряжение ГКО № 5867. О выделении 35 машин "Виллис" уполномоченным Госплана СССР по определению урожайности. РГАНИР, Фонд ГКО, д. 253, лл. 74 (11012).</w:t>
      </w:r>
    </w:p>
    <w:p w14:paraId="4C3D820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EB356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вышло Постановление ГКО № 5868 О т.т. Аношине И.С. и Шабанове В.РГАНИР, Фонд ГКО, д. РГАНИР, Фонд ГКО, д. 253, лл. 75 (11012).</w:t>
      </w:r>
    </w:p>
    <w:p w14:paraId="70FF2A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80EB5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вышло Постановление ГКО № 5869 О т.т. Булганине Н.А., Телегине К.Ф., Стахурском М.М. РГАНИР, Фонд ГКО, д. 253, лл. 76 (11012).</w:t>
      </w:r>
    </w:p>
    <w:p w14:paraId="3760C3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6482D4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9FD53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8AB812" w14:textId="77777777" w:rsidR="00A83B1B" w:rsidRPr="00070ADE" w:rsidRDefault="00A83B1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в 1944 году оперативная сводка Совинформбюро:</w:t>
      </w:r>
    </w:p>
    <w:p w14:paraId="02C44AC2" w14:textId="77777777" w:rsidR="00A83B1B" w:rsidRPr="00070ADE" w:rsidRDefault="00A83B1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11 мая на плацдарме правого берега реки Днестр, северо-западнее города Тирасполь, наши войска отбивали атаки крупных сил пехоты и танков противника и нанесли ему большие потери в живой силе и технике.</w:t>
      </w:r>
    </w:p>
    <w:p w14:paraId="3F749B24" w14:textId="77777777" w:rsidR="00A83B1B" w:rsidRPr="00070ADE" w:rsidRDefault="00A83B1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без существенных изменений.</w:t>
      </w:r>
    </w:p>
    <w:p w14:paraId="7770836D" w14:textId="77777777" w:rsidR="00A83B1B" w:rsidRPr="00070ADE" w:rsidRDefault="00A83B1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10 мая наши войска на всех фронтах подбили и уничтожили 74 немецких танка. В воздушных боях и огнём зенитной артиллерии сбито 45 самолётов противника.</w:t>
      </w:r>
    </w:p>
    <w:p w14:paraId="326EEB27" w14:textId="77777777" w:rsidR="00A83B1B" w:rsidRPr="00070ADE" w:rsidRDefault="00A83B1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группа наших сапёр, действуя в тылу противника, подорвала 6 немецких танков и 2 самоходных орудия. На другом участке разведчики под командованием тов. Парафина незаметно пробрались в расположение немцев. Огнём из автоматов и гранатами наши бойцы уничтожили 30 гитлеровцев и вернулись в свою часть, добыв ценные сведения об обороне противника.</w:t>
      </w:r>
    </w:p>
    <w:p w14:paraId="64400910" w14:textId="77777777" w:rsidR="00A83B1B" w:rsidRPr="00070ADE" w:rsidRDefault="00A83B1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Тирасполь крупные силы противника после артиллерийской подготовки атаковали наши позиции на правом берегу Днестра. Немцы пытались одним ударом сломить сопротивление советских войск и отбросить их на левый берег реки. Завязались напряжённые бои. Немецкие танки и пехота волнами непрерывно следовали друг за другом. Советские артиллеристы и миномётчики метким огнём произвели опустошения в рядах гитлеровцев. Наши гвардейские части, отражая атаки противника, подбили и сожгли 60 немецких танков. В течение дня уничтожено до полка немецкой пехоты.</w:t>
      </w:r>
    </w:p>
    <w:p w14:paraId="07A8991C" w14:textId="77777777" w:rsidR="00A83B1B" w:rsidRPr="00070ADE" w:rsidRDefault="00A83B1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лётчики в воздушных боях сбили 8 самолётов противника. Кроме того, огнём зенитной артиллерии уничтожено 15 немецких самолётов.</w:t>
      </w:r>
    </w:p>
    <w:p w14:paraId="6A068908" w14:textId="77777777" w:rsidR="00A83B1B" w:rsidRPr="00070ADE" w:rsidRDefault="00A83B1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Советский самолёт-торпедоносец у северного побережья Норвегии обнаружил и атаковал немецкий транспорт водоизмещением в 7 тысяч тонн. В результате прямого попадания торпеды на судне произошёл взрыв и возник пожар.</w:t>
      </w:r>
    </w:p>
    <w:p w14:paraId="17C3EB26" w14:textId="77777777" w:rsidR="00A83B1B" w:rsidRPr="00070ADE" w:rsidRDefault="00A83B1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Авиация флота 9 мая совершила успешный налёт на порт противника. Прямыми попаданиями бомб потоплены находившиеся в порту транспорт водоизмещением в 4 тысячи тонн, мотобот и пять мелких судов. Взорван большой бензобак с горючим.</w:t>
      </w:r>
    </w:p>
    <w:p w14:paraId="5220D237" w14:textId="77777777" w:rsidR="00A83B1B" w:rsidRPr="00070ADE" w:rsidRDefault="00A83B1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10 мая наша авиация наносила удары по аэродромам противника. В результате бомбардировки уничтожено на земле не менее 8 немецких самолётов, взорваны ангар и мастерские.</w:t>
      </w:r>
    </w:p>
    <w:p w14:paraId="502D77C6" w14:textId="77777777" w:rsidR="00A83B1B" w:rsidRPr="00070ADE" w:rsidRDefault="00A83B1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южных районах Молдавской ССР, в одном населённом пункте ночью разгромил штаб немецкой части. Убито 22 немецких офицера. Другой отряд партизан в течение четырёх часов вёл бой с батальоном пехоты противника. Несмотря на численное превосходство, немцы отступили, оставив на поле боя много убитых и раненых своих солдат и офицеров.</w:t>
      </w:r>
    </w:p>
    <w:p w14:paraId="7B58C111" w14:textId="77777777" w:rsidR="00A83B1B" w:rsidRPr="00070ADE" w:rsidRDefault="00A83B1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командир 2 батальона 117 полка 111 немецкой пехотной дивизии капитан Вольф Дитрих Линденау рассказал: «После того как русские ликвидировали никопольский плацдарм, 111 пехотная дивизия, потерявшая всю боевую технику, обозы и более 4 тысяч солдат, была отведена в район Одессы. Вскоре дивизию на самолётах перебросили в Крым, в район Джанкоя, где она получила пополнение. В пути офицеры говорили, что наша «прогулка» в Крым окажется роковой. К нашему удивлению, высшие офицеры штаба 17 немецкой армии, находившейся долгое время в Крыму, не видели никаких оснований для тревоги. Командующий армией генерал инженерных войск Иенеке считал крымские укрепления неприступными. Более того, немецкое командование само помышляло о наступлении. Многие офицеры считали оборону в районе Перекопа и Сиваша неприступной. Однако русские войска её взломали и смяли в несколько дней. Прорыв этой линии вызвал полное замешательство. Всеми звеньями армии, начиная от мелкого подразделения и кончая штабом, овладела паника. Русские, преследуя нас, не давали ни минуты передышки. Около одной деревни они отрезали все пути отступления, и остатки батальона сложили оружие».</w:t>
      </w:r>
    </w:p>
    <w:p w14:paraId="16F396B9" w14:textId="77777777" w:rsidR="00A83B1B" w:rsidRPr="00070ADE" w:rsidRDefault="00A83B1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Жители села Метлинец, Винницкой области, составили акт о зверствах немецко-фашистских мерзавцев. В акте говорится: «Свыше двух лет немецкие оккупанты хозяйничали в нашем селе. Они глумились над мирным населением, грабили и убивали ни в чём не повинных людей. Немецкий участковый комендант Штруц собственноручно истязал стариков, женщин и детей. Немецко-фашистские захватчики угнали на каторжные работы в Германию 270 наших односельчан. В январе этого года немцы сожгли село. Огнём уничтожены 470 жилых домов и все хозяйственные постройки. Перед поджогом гитлеровцы разграбили всё наше личное имущество.</w:t>
      </w:r>
    </w:p>
    <w:p w14:paraId="19EA0044" w14:textId="77777777" w:rsidR="00A83B1B" w:rsidRPr="00070ADE" w:rsidRDefault="00A83B1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Мы сердечно благодарим родную Красную Армию, освободившую нас от немецкого ига, от проклятых фашистских душегубов».</w:t>
      </w:r>
    </w:p>
    <w:p w14:paraId="4118E800" w14:textId="77777777" w:rsidR="00A83B1B" w:rsidRPr="00070ADE" w:rsidRDefault="00A83B1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жители села Метлинец: Б.Майский, К.Семенчук, Р.Гончарук, Т.Докийчук, В.Семенчук.» (14888).</w:t>
      </w:r>
    </w:p>
    <w:p w14:paraId="738923C9" w14:textId="77777777" w:rsidR="00A83B1B" w:rsidRPr="00070ADE" w:rsidRDefault="00A83B1B" w:rsidP="00B56F90">
      <w:pPr>
        <w:spacing w:after="0" w:line="240" w:lineRule="auto"/>
        <w:jc w:val="both"/>
        <w:rPr>
          <w:rFonts w:ascii="Times New Roman" w:hAnsi="Times New Roman"/>
          <w:color w:val="000000" w:themeColor="text1"/>
          <w:sz w:val="16"/>
          <w:szCs w:val="16"/>
        </w:rPr>
      </w:pPr>
    </w:p>
    <w:p w14:paraId="6F2EC36A" w14:textId="77777777" w:rsidR="008B0844" w:rsidRPr="00070ADE" w:rsidRDefault="008B0844" w:rsidP="00B56F90">
      <w:pPr>
        <w:pStyle w:val="ae"/>
        <w:spacing w:before="0" w:after="0"/>
        <w:jc w:val="both"/>
        <w:textAlignment w:val="baseline"/>
        <w:rPr>
          <w:color w:val="000000" w:themeColor="text1"/>
          <w:sz w:val="16"/>
          <w:szCs w:val="16"/>
        </w:rPr>
      </w:pPr>
      <w:r w:rsidRPr="00070ADE">
        <w:rPr>
          <w:color w:val="000000" w:themeColor="text1"/>
          <w:sz w:val="16"/>
          <w:szCs w:val="16"/>
        </w:rPr>
        <w:t>11 мая 1944 экипаж разведчика Пе-3 обнаружил в 00.35 в районе поселка Омганг немецкий конвой из семи транспортов и 21 корабля охранения, следовавший восточным курсом. Первыми его атаковали торпедоносцы Ил-4, потом — истребители Р-40, затем — «Бостоны», и только в 4.02 над конвоем появились шесть Ил-2 из 46-го шап. И уже в который раз все атаки имели нулевой результат.</w:t>
      </w:r>
    </w:p>
    <w:p w14:paraId="700B9AD6" w14:textId="77777777" w:rsidR="008B0844" w:rsidRPr="00070ADE" w:rsidRDefault="008B0844" w:rsidP="00B56F90">
      <w:pPr>
        <w:pStyle w:val="ae"/>
        <w:spacing w:before="0" w:after="0"/>
        <w:jc w:val="both"/>
        <w:textAlignment w:val="baseline"/>
        <w:rPr>
          <w:color w:val="000000" w:themeColor="text1"/>
          <w:sz w:val="16"/>
          <w:szCs w:val="16"/>
        </w:rPr>
      </w:pPr>
      <w:r w:rsidRPr="00070ADE">
        <w:rPr>
          <w:color w:val="000000" w:themeColor="text1"/>
          <w:sz w:val="16"/>
          <w:szCs w:val="16"/>
        </w:rPr>
        <w:t>С 8.32 по 8.40 по конвою, находившемуся около мыса Кибергнес, нанесли последовательные удары три группы «горбатых», состоявшие соответственно из пяти, шести и шести самолетов. Последняя атака «черных смертей» на корабли была зафиксирована в 9.37. Но и после этого конвой еще дважды бомбили «Киттихауки».</w:t>
      </w:r>
    </w:p>
    <w:p w14:paraId="08400226" w14:textId="77777777" w:rsidR="008B0844" w:rsidRPr="00070ADE" w:rsidRDefault="008B0844" w:rsidP="00B56F90">
      <w:pPr>
        <w:pStyle w:val="ae"/>
        <w:spacing w:before="0" w:after="0"/>
        <w:jc w:val="both"/>
        <w:textAlignment w:val="baseline"/>
        <w:rPr>
          <w:color w:val="000000" w:themeColor="text1"/>
          <w:sz w:val="16"/>
          <w:szCs w:val="16"/>
        </w:rPr>
      </w:pPr>
      <w:r w:rsidRPr="00070ADE">
        <w:rPr>
          <w:color w:val="000000" w:themeColor="text1"/>
          <w:sz w:val="16"/>
          <w:szCs w:val="16"/>
        </w:rPr>
        <w:t>Всего же в течение 11 мая ВВС Северного флота произвели против него 207 самолето-вылетов, но их результат оказался очень скромным. Затонул лишь один мобилизованный норвежский рыболовный траулер V-6113 тоннажем 514 брт. Кому именно принадлежит сей скромный трофей, пилотам Ил-2, Р-40 или «Бостонам», неизвестно (19522).</w:t>
      </w:r>
    </w:p>
    <w:p w14:paraId="1A9F2FC4" w14:textId="77777777" w:rsidR="008B0844" w:rsidRPr="00070ADE" w:rsidRDefault="008B0844" w:rsidP="00B56F90">
      <w:pPr>
        <w:pStyle w:val="ae"/>
        <w:spacing w:before="0" w:after="0"/>
        <w:jc w:val="both"/>
        <w:textAlignment w:val="baseline"/>
        <w:rPr>
          <w:color w:val="000000" w:themeColor="text1"/>
          <w:sz w:val="16"/>
          <w:szCs w:val="16"/>
        </w:rPr>
      </w:pPr>
    </w:p>
    <w:p w14:paraId="67F842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немцы оставили Севастополь (3907,249).</w:t>
      </w:r>
    </w:p>
    <w:p w14:paraId="3A1744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A604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6 Ил-4Т 5-й мтап потопили танкер водоизмещением 6000 т и повредили сторожевик у северного побережья Норвегии (2467,5).</w:t>
      </w:r>
    </w:p>
    <w:p w14:paraId="610BE5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764A1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7504B8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1D916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вышло Постановление ГКО № 5859 [О переселении крымских татар на постоянное жительство в качестве спецпереселенцев в Узбекской ССР.] (7231, 137-142,143-144).</w:t>
      </w:r>
    </w:p>
    <w:p w14:paraId="765FAC3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5F136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Государственный Комитет Обороны постановил переселить крымских татар на Восток СССР (4962).</w:t>
      </w:r>
    </w:p>
    <w:p w14:paraId="0D78F4D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56D24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41CE8B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FE4515" w14:textId="77777777" w:rsidR="00C62CBE" w:rsidRPr="00070ADE" w:rsidRDefault="00C62CB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вертолет Focke-Achgelis Fa 223, пилотируемый летчиком-испытателем Карлом Боде и пилотом Люфтваффе Гельмутом Герстенхауэром, начинает операции по восстановлению Dornier Do 217, разбившегося на болоте Венер в Нижней Саксонии, между Оснабрюком и Ольденбургом, Германия, и друго самолета. Fa. 223 был отправлен за Do 217, который разбился поблизости, прежде чем он смог начать операции по восстановлению. Боде и Герстенхауэр используют грузовую сеть для извлечения всех основных компонентов обоих сбитых самолетов, что дает Люфтваффе ценный опыт в возможности использования вертолетов для перевозки в горных районах (20373).</w:t>
      </w:r>
    </w:p>
    <w:p w14:paraId="03AD0934" w14:textId="77777777" w:rsidR="00C62CBE" w:rsidRPr="00070ADE" w:rsidRDefault="00C62CBE" w:rsidP="00B56F90">
      <w:pPr>
        <w:spacing w:after="0" w:line="240" w:lineRule="auto"/>
        <w:jc w:val="both"/>
        <w:rPr>
          <w:rFonts w:ascii="Times New Roman" w:hAnsi="Times New Roman"/>
          <w:color w:val="000000" w:themeColor="text1"/>
          <w:sz w:val="16"/>
          <w:szCs w:val="16"/>
        </w:rPr>
      </w:pPr>
    </w:p>
    <w:p w14:paraId="2046C9D0" w14:textId="77777777" w:rsidR="00C62CBE" w:rsidRPr="00070ADE" w:rsidRDefault="00C62CB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11–12 мая (ночь) 1944 693 британских бомбардировщика нанесли удар по немецкому военному лагерю в Бур-Леопольд, Бельгия; железнодорожным станциям в Хасселте, Бельгия, и Булони, Лувен, и Трувиле, Франция; и артиллерийской позиции в Коллин-Бомон, Франция. Рейды на Бур-Леопольд и Хасселт терпят неудачу из-за тумана над целью, большая часть бомб Булони попадает в жилые дома и убивает 128 французских мирных жителей, а удар по Коллин Бомон дает неясные результаты, но атака на Трувиль успешна, а атака на Лувен – частично успешна (20373).</w:t>
      </w:r>
    </w:p>
    <w:p w14:paraId="56B8F3B2" w14:textId="77777777" w:rsidR="00C62CBE" w:rsidRPr="00070ADE" w:rsidRDefault="00C62CBE" w:rsidP="00B56F90">
      <w:pPr>
        <w:spacing w:after="0" w:line="240" w:lineRule="auto"/>
        <w:jc w:val="both"/>
        <w:rPr>
          <w:rFonts w:ascii="Times New Roman" w:hAnsi="Times New Roman"/>
          <w:color w:val="000000" w:themeColor="text1"/>
          <w:sz w:val="16"/>
          <w:szCs w:val="16"/>
        </w:rPr>
      </w:pPr>
    </w:p>
    <w:p w14:paraId="2BD5D106" w14:textId="77777777" w:rsidR="0094368B" w:rsidRPr="00070ADE" w:rsidRDefault="0094368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11-18 мая 1944 была четвертая атака на Монте Кассино и линия Густава была прорвана (3907,248).</w:t>
      </w:r>
    </w:p>
    <w:p w14:paraId="44C0AAB2" w14:textId="77777777" w:rsidR="0094368B" w:rsidRPr="00070ADE" w:rsidRDefault="0094368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614E8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rPr>
        <w:t>11 мая 1944 2 польские дивизии из состава 5-й американской армии выбили части 1-й немецкой парашютно-десантной дивизии из итальянского города Монте-Кассино. Потериполяковсоставили</w:t>
      </w:r>
      <w:r w:rsidRPr="00070ADE">
        <w:rPr>
          <w:rFonts w:ascii="Times New Roman" w:hAnsi="Times New Roman"/>
          <w:color w:val="000000" w:themeColor="text1"/>
          <w:sz w:val="16"/>
          <w:szCs w:val="16"/>
          <w:lang w:val="en-US"/>
        </w:rPr>
        <w:t xml:space="preserve"> 4199 </w:t>
      </w:r>
      <w:r w:rsidRPr="00070ADE">
        <w:rPr>
          <w:rFonts w:ascii="Times New Roman" w:hAnsi="Times New Roman"/>
          <w:color w:val="000000" w:themeColor="text1"/>
          <w:sz w:val="16"/>
          <w:szCs w:val="16"/>
        </w:rPr>
        <w:t>чел</w:t>
      </w:r>
      <w:r w:rsidRPr="00070ADE">
        <w:rPr>
          <w:rFonts w:ascii="Times New Roman" w:hAnsi="Times New Roman"/>
          <w:color w:val="000000" w:themeColor="text1"/>
          <w:sz w:val="16"/>
          <w:szCs w:val="16"/>
          <w:lang w:val="en-US"/>
        </w:rPr>
        <w:t xml:space="preserve"> (4963 ).</w:t>
      </w:r>
    </w:p>
    <w:p w14:paraId="660D443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25FDCE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11th, 1944: In Italy, the US Fifth (Clark) and the British Eighth Armies begin an offensive against the Gustav Line at Cassino (3819).</w:t>
      </w:r>
    </w:p>
    <w:p w14:paraId="14E47E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CCFB4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11 1944 Allies attack Gustav Line (1050).</w:t>
      </w:r>
    </w:p>
    <w:p w14:paraId="674DB8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BBCF9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1944 союзники атаковали Линию Густава (1050).</w:t>
      </w:r>
    </w:p>
    <w:p w14:paraId="0BB0F8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470562"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в 1944 году в Италии союзные войска предпринимают четвертое наступление на линию Густава у Монте-Кассино и прорывают ее (бои закончатся 18 мая). 18 мая польские части возьмут штурмом монастырь. Поражение немцев не позволит группировке в районе Анцио прорвать окружение (14888).</w:t>
      </w:r>
    </w:p>
    <w:p w14:paraId="02A639B3" w14:textId="77777777" w:rsidR="0094368B" w:rsidRPr="00070ADE" w:rsidRDefault="0094368B" w:rsidP="00B56F90">
      <w:pPr>
        <w:spacing w:after="0" w:line="240" w:lineRule="auto"/>
        <w:jc w:val="both"/>
        <w:rPr>
          <w:rFonts w:ascii="Times New Roman" w:hAnsi="Times New Roman"/>
          <w:color w:val="000000" w:themeColor="text1"/>
          <w:sz w:val="16"/>
          <w:szCs w:val="16"/>
        </w:rPr>
      </w:pPr>
    </w:p>
    <w:p w14:paraId="3E004B3D"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мая в 1944 году в ходе 2-й мировой войны началось крупное наступление союзных войск в Италии (операция "Диадема"). Оборона противника была прорвана, и 4 июня немцы оставили Рим (14888).</w:t>
      </w:r>
    </w:p>
    <w:p w14:paraId="2C533A61" w14:textId="77777777" w:rsidR="0094368B" w:rsidRPr="00070ADE" w:rsidRDefault="0094368B" w:rsidP="00B56F90">
      <w:pPr>
        <w:spacing w:after="0" w:line="240" w:lineRule="auto"/>
        <w:jc w:val="both"/>
        <w:rPr>
          <w:rFonts w:ascii="Times New Roman" w:hAnsi="Times New Roman"/>
          <w:color w:val="000000" w:themeColor="text1"/>
          <w:sz w:val="16"/>
          <w:szCs w:val="16"/>
        </w:rPr>
      </w:pPr>
    </w:p>
    <w:p w14:paraId="0FF3763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A0A70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7771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был утвержден отчет о заводских испытаниях Ил-10 (300,18).</w:t>
      </w:r>
    </w:p>
    <w:p w14:paraId="7A5AD8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1E8E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были утверждены доклады о живучести самолетов ВВС в 3 ВА (816,2).</w:t>
      </w:r>
    </w:p>
    <w:p w14:paraId="514FF4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5AB9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Нач. 3ВА Папивин утвердил, а 10 мая 1944 ги 3ВА гмиас Мартов подписал Доклад о живучести матчаст, конструктивных и производственных недостатках, установленных б/опытом 3 ВА за 1943-44 гг.</w:t>
      </w:r>
    </w:p>
    <w:p w14:paraId="4A81E9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Ил-2 АМ-38Ф</w:t>
      </w:r>
    </w:p>
    <w:p w14:paraId="74EE5D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среднем за 1943 г. одна боевая потеря пришлась на 26 б/вылетов или 27 часов налета. За январь-апрель 1944 - на 54 самолето/вылета или 55 часов налета. Безвозвратные б/потери в % от общего к-ва б-х повреждений составила за 1943 г 3,9%, за январь-апрель 1944 - 1,9%. Боевые повреждения составили 22,2% от общего к-ва с/вылетов (на 5 с-то вылетов один ст- получал повреждения)</w:t>
      </w:r>
    </w:p>
    <w:p w14:paraId="778109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С-т Пе-2 ПФ (как разведчики только) на высоте 500-7000 м.</w:t>
      </w:r>
    </w:p>
    <w:p w14:paraId="2C4F09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1943 г. на 1 боевую потерю 82,5 с/вылеьтов или 119 часов налета. В бою с 2 и более и противника с-т Пе-2, как правило, сбивали (необходимо улучшить протектирование б/б)</w:t>
      </w:r>
    </w:p>
    <w:p w14:paraId="6F19DF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Ла-5 АШ-82 По опыту боевого применения в 1943 одна боевая потеря с-та приходится на 85 самолетовылетов или на 81 час боевого налета. В основном все боевые потери произошли в результате боев с с-тами противника и лишь незначительный процент потерь приходится за чет повреждения от огня ЗА. Как правило, все потеря с-тов связаны с повреждением органов управления, повреждениями б/б и бензосистемы, а также поражением летчика с задней полусферы.</w:t>
      </w:r>
    </w:p>
    <w:p w14:paraId="4E96A3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с-тах, вершувшихся на свои аэродромы,, полученные в боях с с-тами противника и от огня ЗА повреждения по элемкнтам конструкции распределились следующим образом:</w:t>
      </w:r>
    </w:p>
    <w:p w14:paraId="0411B6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повреждения ВМГ - 40%</w:t>
      </w:r>
    </w:p>
    <w:p w14:paraId="368216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повреждения крыла и б/б - 35%</w:t>
      </w:r>
    </w:p>
    <w:p w14:paraId="379C3C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поврежждения хвостового оперения - 17%</w:t>
      </w:r>
    </w:p>
    <w:p w14:paraId="7FCD2E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повреждения фюзеляжа и фонаря кабины и л - 8%</w:t>
      </w:r>
    </w:p>
    <w:p w14:paraId="7D71F6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приводятся примеры боевых повреждений с-тов, характеризующие живучесть с-та Ла-5:</w:t>
      </w:r>
    </w:p>
    <w:p w14:paraId="180F36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С-т Ла-5 № 2018 - в в/бою был полностью разбит руль поворота, перебита тяга левого элерона, сорвана обшивка - до 0,9 м2 сверху и до 1,5 м2 снизу левой консоли крыла. Л-к млл Сидельников произвел нормальную посадку на свой аэродром, пройдя на с-те около 30 км.</w:t>
      </w:r>
    </w:p>
    <w:p w14:paraId="1AA91A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 с-те Ла-5 № 0127 ЗА противника разрушена левая сторона цп и крыда на промежутке от фюзеляжа до элерона по хвостикам нервюр до заднего лонжерона. Разрушенные закрылки удерживались только тягами управления. Управление левым элероном, РН было перебито. Л-к л Листратов произвел нормальную посадку на своем аэродроме пройдя от места боя 25-30 км.</w:t>
      </w:r>
    </w:p>
    <w:p w14:paraId="6472D4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типы Як с ВК-105 ПФ. Одна боевая потеря с-тя Як в 1943 приходилась на 53 с-то вылета или на 51 час боевого налета.</w:t>
      </w:r>
    </w:p>
    <w:p w14:paraId="244063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повреждения крыла и б/б - 42%</w:t>
      </w:r>
    </w:p>
    <w:p w14:paraId="553544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поврежждения хвостового оперения и фюзеляжа - 22%</w:t>
      </w:r>
    </w:p>
    <w:p w14:paraId="7799206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повреждения капотов и ВМГ - 18%</w:t>
      </w:r>
    </w:p>
    <w:p w14:paraId="487DE5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повреждения водо и маслорадиаторов - 8%</w:t>
      </w:r>
    </w:p>
    <w:p w14:paraId="20DBC7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повреждения фонаря кабины и л - 4%</w:t>
      </w:r>
    </w:p>
    <w:p w14:paraId="2A7BE1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прочие - 6% (816,2).</w:t>
      </w:r>
    </w:p>
    <w:p w14:paraId="6D7F08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71876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вышел приказ НКАП N 323сс в исполнение постановления ГКО N 5800сс от 4 мая 1944:</w:t>
      </w:r>
    </w:p>
    <w:p w14:paraId="476407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Нач. 10 ГУ - зам. наркома А.И.Кузнецову и директору завода 86 П.М.Федоренко организовать на заводе 86 кап. ремонт самолетов всех типов, в т.ч. самолетов Ер-2 и к началу 1945 начать на этом заводе выпуск самолетов Ер-2.</w:t>
      </w:r>
    </w:p>
    <w:p w14:paraId="638D3D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3C7F86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 выпуску самолетов Ер-2 из агрегатов завода 39 в след. количествах: в январе 1945 - 3, в феврале - 5, в марте - 10</w:t>
      </w:r>
    </w:p>
    <w:p w14:paraId="034CE2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 выпуску самолетов Ер-2 из агрегатов собственного производства в след. количествах: в апреле - 1, в мае - 3, в июне - 10, в июле - 20 и с августа по 1 в сутки (1602,35).</w:t>
      </w:r>
    </w:p>
    <w:p w14:paraId="37898A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87D9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были приостановлены по просьбе ГК Горбунова гос. испытаниям модифицированного ЛаГГ-3 дублера с ВК-105ПФ-2 с винтом ВИШ-105СВ (N 105-2 производства 31 завода (февраль) и были продолжены с 1 июня по 12 июня 1944</w:t>
      </w:r>
    </w:p>
    <w:p w14:paraId="20B15C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А.E.Репин утвердил акт по гос. испытаниям модифицированного ЛаГГ-3 дублера с ВК-105ПФ-2 с винтом ВИШ-105СВ (N 105-2 производства 31 завода (февраль), ГК В.П.Горбунов с ВЯ-23</w:t>
      </w:r>
    </w:p>
    <w:p w14:paraId="4F28EF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 исполнитель вед. инж. З-да ви п/п Ф.М.Шишкин</w:t>
      </w:r>
    </w:p>
    <w:p w14:paraId="707AD4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 л 3 отд. НИИ ВВС гсс гм Дзюба</w:t>
      </w:r>
    </w:p>
    <w:p w14:paraId="333A22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 Шишкин</w:t>
      </w:r>
    </w:p>
    <w:p w14:paraId="584023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Цель испытаний:</w:t>
      </w:r>
    </w:p>
    <w:p w14:paraId="2FB1E36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Определить ЛТД с-та</w:t>
      </w:r>
    </w:p>
    <w:p w14:paraId="566E94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Дать оценку эксплуатационным свойствам с-та, ВМГ, вооружения и спецоборудования</w:t>
      </w:r>
    </w:p>
    <w:p w14:paraId="6B4D86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Оценить производственное и конструктивное выполнение с-та</w:t>
      </w:r>
    </w:p>
    <w:p w14:paraId="183C4C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Объект испытаний: предъявленная на госиспытания машина завода № 31 выпуска февраля 1944</w:t>
      </w:r>
    </w:p>
    <w:p w14:paraId="5C540C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ранее испытывавшимся ЛаГГ-3 с мотором ВК-105ПФ (первый экз. С-та № 105-1)с-т дублер № 105-2 имеет следующие отличия:</w:t>
      </w:r>
    </w:p>
    <w:p w14:paraId="1F5D94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планеру - изменена конструкция 4 и 5 шпангоутов фюзеляжа. В нижней ферме 4-го шпангоута произведено два круглых отверстия под тоннуль маслорадиатора, в шп. 5 изменен нижний ... под установку фермы для крепления сидения пилота и качалки управления РВ</w:t>
      </w:r>
    </w:p>
    <w:p w14:paraId="642706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 нижней части фюзеляжа перед тоннелем водорадиатора установлено два заборника воздуха для охлаждения маслорадиатора</w:t>
      </w:r>
    </w:p>
    <w:p w14:paraId="483774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увеличено плечо качалки управления элеронами для уменьшения давления на ручку управления с-том</w:t>
      </w:r>
    </w:p>
    <w:p w14:paraId="128DD2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изменены форма и конструкция ручки управления с-том по типу ручки стандартной кабины</w:t>
      </w:r>
    </w:p>
    <w:p w14:paraId="65C25B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установлен дополнительный кронштейн для крепления лафета пушки ВЯ-23</w:t>
      </w:r>
    </w:p>
    <w:p w14:paraId="6C3C59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ВМГ: установлен мотор ВК-105ПФ-2, установлен винт типа ВИШ-105СВ с профилированной комлевой частью лопастей, маслорадиатор типа ОП-352 заменен двумя последовательно соединенными рядами типа ВМС-8 с трубкой К-4, толщиной 0,1 мм</w:t>
      </w:r>
    </w:p>
    <w:p w14:paraId="623B7E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 туннель маслорадиатора, который установлен в фюзеляже</w:t>
      </w:r>
    </w:p>
    <w:p w14:paraId="1F6720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изменена конструкция и перекомпоновыны ряд коробов и крышек капота мотора и управление заслонками маслорадиатора</w:t>
      </w:r>
    </w:p>
    <w:p w14:paraId="525AE5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общая емкость б/б уменьшена на 28 л с 405 до 377 л</w:t>
      </w:r>
    </w:p>
    <w:p w14:paraId="042FB1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на носок вала редуктора установлен центробежный маслоотражатель типа ЛИИ НКАП</w:t>
      </w:r>
    </w:p>
    <w:p w14:paraId="34C24A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 дренаж трубки суфлера бака</w:t>
      </w:r>
    </w:p>
    <w:p w14:paraId="1CA626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выхлопные патрубки изготовлены по типу с-та Як-3 (рекомендация ЦАГИ)</w:t>
      </w:r>
    </w:p>
    <w:p w14:paraId="2D2A71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вооружению: установлена пушка ВЯ-23 с боезапасом 85 патронов вместо пушки МП-20 с б/з 160 патронов, пулемет УБС с б/з 185 патронов вместо 200 патронов</w:t>
      </w:r>
    </w:p>
    <w:p w14:paraId="504BEB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установкой пушки ВЯ-23 изменено крепление пушки, форма и конструкция патронных коробок и гильзоотвода</w:t>
      </w:r>
    </w:p>
    <w:p w14:paraId="0B8926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установлен звеньесборник для пушки ВЯ-23</w:t>
      </w:r>
    </w:p>
    <w:p w14:paraId="279186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механизм управления оружием переведен на пневматику</w:t>
      </w:r>
    </w:p>
    <w:p w14:paraId="14E344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Спецприборы с-та 105-2 дублер такие же, как на с-те 105-1</w:t>
      </w:r>
    </w:p>
    <w:p w14:paraId="6DBF6A6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улучшения ЛТД проведены следующие мероприятия:</w:t>
      </w:r>
    </w:p>
    <w:p w14:paraId="6362C3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улучшена внешняя отделка и введена полировка передней кромки крыла</w:t>
      </w:r>
    </w:p>
    <w:p w14:paraId="5EF2A8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козырьку кабины пилота придана сферическая форма</w:t>
      </w:r>
    </w:p>
    <w:p w14:paraId="1E2B3D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улучшена герметизация противопожарной перегородки, крыла, кабины пилота и хвостовой части фюзеляжа</w:t>
      </w:r>
    </w:p>
    <w:p w14:paraId="7BE1B3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данным завода прочность с-та 105-2 и его основных агрегатов: фюзеляжа, крыла, центроплана, шасси удовлетворяет действующим нормам прочности.</w:t>
      </w:r>
    </w:p>
    <w:p w14:paraId="1CB5FB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Расчет завода по флаттеру крыла серийного с-та ЛаГГ-3 в облегченном варианте произведен в ЦАГИ и получено разрешение на эксплуатацию на скорости до 700 км/час по прибору</w:t>
      </w:r>
    </w:p>
    <w:p w14:paraId="0C6D76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испытаний:</w:t>
      </w:r>
    </w:p>
    <w:p w14:paraId="5E5A41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пибыл в НИИ 4 мая. Испытания начаты 10 мая, приостановлены по просьбе ГК с-та В.П.Горбунова для осмотра с-та и мотора и доводки тепловых режимов ВМГ 12 мая. Возобновлены 1 июня и закончены 12 июня. Выполнено 15 полетов с налетом 8:40</w:t>
      </w:r>
    </w:p>
    <w:p w14:paraId="478C16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2285 22,5% САХ, угол капотирования 26:40</w:t>
      </w:r>
    </w:p>
    <w:p w14:paraId="643731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полетный 2875 22.2% САХ, угол капотирования 28:40</w:t>
      </w:r>
    </w:p>
    <w:p w14:paraId="3464F6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Нормальная нагрузка:</w:t>
      </w:r>
    </w:p>
    <w:p w14:paraId="20622C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- 90</w:t>
      </w:r>
    </w:p>
    <w:p w14:paraId="714895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горючее (074 г,см3) - 280</w:t>
      </w:r>
    </w:p>
    <w:p w14:paraId="08AF56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масло - 27</w:t>
      </w:r>
    </w:p>
    <w:p w14:paraId="499307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 пушка ВЯ-23 - 73, УБС - 21,5, б/з пушки (85) - 47, б/з пулемета (185) - 31,0</w:t>
      </w:r>
    </w:p>
    <w:p w14:paraId="288963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связное оборудование - 20,5</w:t>
      </w:r>
    </w:p>
    <w:p w14:paraId="39C4F6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- 590</w:t>
      </w:r>
    </w:p>
    <w:p w14:paraId="54428A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Таблица изменения веса 105-2 по сравнению с 105-1, проходившим испытания в НИИ в октябре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708"/>
        <w:gridCol w:w="709"/>
        <w:gridCol w:w="709"/>
      </w:tblGrid>
      <w:tr w:rsidR="004D4663" w:rsidRPr="00070ADE" w14:paraId="6510B39F" w14:textId="77777777">
        <w:tc>
          <w:tcPr>
            <w:tcW w:w="2802" w:type="dxa"/>
            <w:tcBorders>
              <w:top w:val="single" w:sz="12" w:space="0" w:color="auto"/>
            </w:tcBorders>
          </w:tcPr>
          <w:p w14:paraId="17BD33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w:t>
            </w:r>
          </w:p>
        </w:tc>
        <w:tc>
          <w:tcPr>
            <w:tcW w:w="708" w:type="dxa"/>
            <w:tcBorders>
              <w:top w:val="single" w:sz="12" w:space="0" w:color="auto"/>
            </w:tcBorders>
          </w:tcPr>
          <w:p w14:paraId="507A09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105-2 дублер</w:t>
            </w:r>
          </w:p>
        </w:tc>
        <w:tc>
          <w:tcPr>
            <w:tcW w:w="709" w:type="dxa"/>
            <w:tcBorders>
              <w:top w:val="single" w:sz="12" w:space="0" w:color="auto"/>
            </w:tcBorders>
          </w:tcPr>
          <w:p w14:paraId="74C3E5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105-1 первый</w:t>
            </w:r>
          </w:p>
        </w:tc>
        <w:tc>
          <w:tcPr>
            <w:tcW w:w="709" w:type="dxa"/>
            <w:tcBorders>
              <w:top w:val="single" w:sz="12" w:space="0" w:color="auto"/>
            </w:tcBorders>
          </w:tcPr>
          <w:p w14:paraId="1A485C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Разница</w:t>
            </w:r>
          </w:p>
        </w:tc>
      </w:tr>
      <w:tr w:rsidR="004D4663" w:rsidRPr="00070ADE" w14:paraId="06AE5A30" w14:textId="77777777">
        <w:tc>
          <w:tcPr>
            <w:tcW w:w="2802" w:type="dxa"/>
          </w:tcPr>
          <w:p w14:paraId="4CC7CB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 полетный вес</w:t>
            </w:r>
          </w:p>
        </w:tc>
        <w:tc>
          <w:tcPr>
            <w:tcW w:w="708" w:type="dxa"/>
          </w:tcPr>
          <w:p w14:paraId="27E641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2875</w:t>
            </w:r>
          </w:p>
        </w:tc>
        <w:tc>
          <w:tcPr>
            <w:tcW w:w="709" w:type="dxa"/>
          </w:tcPr>
          <w:p w14:paraId="4767AF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2818</w:t>
            </w:r>
          </w:p>
        </w:tc>
        <w:tc>
          <w:tcPr>
            <w:tcW w:w="709" w:type="dxa"/>
          </w:tcPr>
          <w:p w14:paraId="6FCF81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w:t>
            </w:r>
          </w:p>
        </w:tc>
      </w:tr>
      <w:tr w:rsidR="004D4663" w:rsidRPr="00070ADE" w14:paraId="5C4218D9" w14:textId="77777777">
        <w:tc>
          <w:tcPr>
            <w:tcW w:w="2802" w:type="dxa"/>
          </w:tcPr>
          <w:p w14:paraId="69C687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w:t>
            </w:r>
          </w:p>
        </w:tc>
        <w:tc>
          <w:tcPr>
            <w:tcW w:w="708" w:type="dxa"/>
          </w:tcPr>
          <w:p w14:paraId="004DFB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2285</w:t>
            </w:r>
          </w:p>
        </w:tc>
        <w:tc>
          <w:tcPr>
            <w:tcW w:w="709" w:type="dxa"/>
          </w:tcPr>
          <w:p w14:paraId="4AA56A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2234</w:t>
            </w:r>
          </w:p>
        </w:tc>
        <w:tc>
          <w:tcPr>
            <w:tcW w:w="709" w:type="dxa"/>
          </w:tcPr>
          <w:p w14:paraId="470314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w:t>
            </w:r>
          </w:p>
        </w:tc>
      </w:tr>
      <w:tr w:rsidR="004D4663" w:rsidRPr="00070ADE" w14:paraId="2B109BE1" w14:textId="77777777">
        <w:tc>
          <w:tcPr>
            <w:tcW w:w="2802" w:type="dxa"/>
          </w:tcPr>
          <w:p w14:paraId="6EC019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нагрузки</w:t>
            </w:r>
          </w:p>
        </w:tc>
        <w:tc>
          <w:tcPr>
            <w:tcW w:w="708" w:type="dxa"/>
          </w:tcPr>
          <w:p w14:paraId="5AAE30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590</w:t>
            </w:r>
          </w:p>
        </w:tc>
        <w:tc>
          <w:tcPr>
            <w:tcW w:w="709" w:type="dxa"/>
          </w:tcPr>
          <w:p w14:paraId="678B1F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584</w:t>
            </w:r>
          </w:p>
        </w:tc>
        <w:tc>
          <w:tcPr>
            <w:tcW w:w="709" w:type="dxa"/>
          </w:tcPr>
          <w:p w14:paraId="5F3C65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r>
      <w:tr w:rsidR="004D4663" w:rsidRPr="00070ADE" w14:paraId="66BE8C19" w14:textId="77777777">
        <w:tc>
          <w:tcPr>
            <w:tcW w:w="2802" w:type="dxa"/>
          </w:tcPr>
          <w:p w14:paraId="3738CF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Центровка при нормальном полетном весе</w:t>
            </w:r>
          </w:p>
        </w:tc>
        <w:tc>
          <w:tcPr>
            <w:tcW w:w="708" w:type="dxa"/>
          </w:tcPr>
          <w:p w14:paraId="197A1D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w:t>
            </w:r>
          </w:p>
        </w:tc>
        <w:tc>
          <w:tcPr>
            <w:tcW w:w="709" w:type="dxa"/>
          </w:tcPr>
          <w:p w14:paraId="7CB96C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23,7</w:t>
            </w:r>
          </w:p>
        </w:tc>
        <w:tc>
          <w:tcPr>
            <w:tcW w:w="709" w:type="dxa"/>
          </w:tcPr>
          <w:p w14:paraId="707580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r>
      <w:tr w:rsidR="004D4663" w:rsidRPr="00070ADE" w14:paraId="2F010E59" w14:textId="77777777">
        <w:tc>
          <w:tcPr>
            <w:tcW w:w="2802" w:type="dxa"/>
          </w:tcPr>
          <w:p w14:paraId="371194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Предельная передняя эксплуатационная центровка</w:t>
            </w:r>
          </w:p>
        </w:tc>
        <w:tc>
          <w:tcPr>
            <w:tcW w:w="708" w:type="dxa"/>
          </w:tcPr>
          <w:p w14:paraId="38769D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23,9</w:t>
            </w:r>
          </w:p>
        </w:tc>
        <w:tc>
          <w:tcPr>
            <w:tcW w:w="709" w:type="dxa"/>
          </w:tcPr>
          <w:p w14:paraId="397550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22,3</w:t>
            </w:r>
          </w:p>
        </w:tc>
        <w:tc>
          <w:tcPr>
            <w:tcW w:w="709" w:type="dxa"/>
          </w:tcPr>
          <w:p w14:paraId="649479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r>
      <w:tr w:rsidR="004D4663" w:rsidRPr="00070ADE" w14:paraId="06D00396" w14:textId="77777777">
        <w:tc>
          <w:tcPr>
            <w:tcW w:w="2802" w:type="dxa"/>
            <w:tcBorders>
              <w:bottom w:val="single" w:sz="12" w:space="0" w:color="auto"/>
            </w:tcBorders>
          </w:tcPr>
          <w:p w14:paraId="569048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Запас горючего 4Б-78</w:t>
            </w:r>
          </w:p>
        </w:tc>
        <w:tc>
          <w:tcPr>
            <w:tcW w:w="708" w:type="dxa"/>
            <w:tcBorders>
              <w:bottom w:val="single" w:sz="12" w:space="0" w:color="auto"/>
            </w:tcBorders>
          </w:tcPr>
          <w:p w14:paraId="782E74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w:t>
            </w:r>
          </w:p>
        </w:tc>
        <w:tc>
          <w:tcPr>
            <w:tcW w:w="709" w:type="dxa"/>
            <w:tcBorders>
              <w:bottom w:val="single" w:sz="12" w:space="0" w:color="auto"/>
            </w:tcBorders>
          </w:tcPr>
          <w:p w14:paraId="292B4C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tc>
        <w:tc>
          <w:tcPr>
            <w:tcW w:w="709" w:type="dxa"/>
            <w:tcBorders>
              <w:bottom w:val="single" w:sz="12" w:space="0" w:color="auto"/>
            </w:tcBorders>
          </w:tcPr>
          <w:p w14:paraId="7D216F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r>
    </w:tbl>
    <w:p w14:paraId="75264A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причины, вызвавшие увеличение веса - установка пушки ВЯ-23, усиления и конструкционные изменения</w:t>
      </w:r>
    </w:p>
    <w:p w14:paraId="58FFA6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ЛД</w:t>
      </w:r>
    </w:p>
    <w:p w14:paraId="62A193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у земли - 554</w:t>
      </w:r>
    </w:p>
    <w:p w14:paraId="6BB2A2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1-й гр. высотности (1400) - 590</w:t>
      </w:r>
    </w:p>
    <w:p w14:paraId="3F1BCB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2-й гр. высотности (3400) - 618</w:t>
      </w:r>
    </w:p>
    <w:p w14:paraId="285B60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5000 - 593</w:t>
      </w:r>
    </w:p>
    <w:p w14:paraId="548BDE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6000 - 578</w:t>
      </w:r>
    </w:p>
    <w:p w14:paraId="14D7EF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5000 м - 4,8</w:t>
      </w:r>
    </w:p>
    <w:p w14:paraId="3B1BD6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Потолок 10750</w:t>
      </w:r>
    </w:p>
    <w:p w14:paraId="35FAF5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Граница переключения нагнетателя - 2000 на скорости 542</w:t>
      </w:r>
    </w:p>
    <w:p w14:paraId="779E13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Скорости вертикальные</w:t>
      </w:r>
    </w:p>
    <w:p w14:paraId="065EEB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 - 18,1</w:t>
      </w:r>
    </w:p>
    <w:p w14:paraId="026FB5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гр. 650 - 18,9</w:t>
      </w:r>
    </w:p>
    <w:p w14:paraId="1296692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перекл. - 17,0</w:t>
      </w:r>
    </w:p>
    <w:p w14:paraId="2F4DBE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 гр. (2500) - 19,2</w:t>
      </w:r>
    </w:p>
    <w:p w14:paraId="549F00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5000 - 13,6</w:t>
      </w:r>
    </w:p>
    <w:p w14:paraId="72DA19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6000 - 11,3</w:t>
      </w:r>
    </w:p>
    <w:p w14:paraId="340F4E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ВК-105ПФ-2 наработал с начала испытаний 44:02 и был снят из-за течи воды из блока через уплотнение гильзы</w:t>
      </w:r>
    </w:p>
    <w:p w14:paraId="4A40C3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Производилось сравнение с 105-1, Як-3 дублер, Ла-7 (испытанном в апреле 1944), с Ме-109G (январь 1943) и ФВ-190 А-4 (июль 1943).</w:t>
      </w:r>
    </w:p>
    <w:p w14:paraId="319240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52C2AB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ВМГ работает неудовлетворительно</w:t>
      </w:r>
    </w:p>
    <w:p w14:paraId="113A1E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наборе высоты с полностью отурытым туннелем водорадиатора температура воды 116 гр, в горизонтальном полете - 115 (макс. допустимо - 110)</w:t>
      </w:r>
    </w:p>
    <w:p w14:paraId="7DA835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Установленное пулеметно-пушечное вооружение не доведено.</w:t>
      </w:r>
    </w:p>
    <w:p w14:paraId="39299E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Искажение видимости предметов через сферическую часть козырька кабины пилота</w:t>
      </w:r>
    </w:p>
    <w:p w14:paraId="0CAF0F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с-те отсутствует аварийный сброс фонаря</w:t>
      </w:r>
    </w:p>
    <w:p w14:paraId="32FCA2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w:t>
      </w:r>
    </w:p>
    <w:p w14:paraId="20E2A4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Модифицированный с-т 1-5-2 дублер конструкции т. Горбунова постройки ОКБ завода № 31 госиспытания не выдержал по причине:</w:t>
      </w:r>
    </w:p>
    <w:p w14:paraId="31DBBD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низкие ЛТД для с-та большой модификации</w:t>
      </w:r>
    </w:p>
    <w:p w14:paraId="55F084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неудовлетворительная работа ВМГ и вооружения</w:t>
      </w:r>
    </w:p>
    <w:p w14:paraId="07254C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Считать нецелесообразной продолжение работы по дальнейшей модификации с-та ЛаГГ-3 с мотором ВК-105ПФ-2</w:t>
      </w:r>
    </w:p>
    <w:p w14:paraId="3CF88C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дублер подлежит сдаче на завод № 31</w:t>
      </w:r>
    </w:p>
    <w:p w14:paraId="2637F0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Подписали с 20 по 24 июня (764,2).</w:t>
      </w:r>
    </w:p>
    <w:p w14:paraId="4B1CD8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ABDC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продолжились гос. испытания Миг-3У (2д или И-231) с АМ-39А и удлиненными консолями, начатые в конце февраля 1944 и прерванные аварией П.М.Стефановского 8 марта 1944. 19 мая при даче форсированного режима из строя вышел мотор. Получение мотора затянулось и испытания не закончили, а работы свернули (5046,34).</w:t>
      </w:r>
    </w:p>
    <w:p w14:paraId="582CA2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6F0E88"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12 мая в 1944 году в НИИ ВВС передан восстановленный после аварии истребитель-перехватчик </w:t>
      </w:r>
      <w:hyperlink r:id="rId126" w:tgtFrame="_blank" w:history="1">
        <w:r w:rsidRPr="00070ADE">
          <w:rPr>
            <w:rFonts w:ascii="Times New Roman" w:hAnsi="Times New Roman"/>
            <w:color w:val="000000" w:themeColor="text1"/>
            <w:sz w:val="16"/>
            <w:szCs w:val="16"/>
          </w:rPr>
          <w:t xml:space="preserve">«И-231», </w:t>
        </w:r>
      </w:hyperlink>
      <w:r w:rsidRPr="00070ADE">
        <w:rPr>
          <w:rFonts w:ascii="Times New Roman" w:hAnsi="Times New Roman"/>
          <w:color w:val="000000" w:themeColor="text1"/>
          <w:sz w:val="16"/>
          <w:szCs w:val="16"/>
        </w:rPr>
        <w:t>ОКБ Микояна, Гуревича. 8 марта на нём при посадке не вышли щитки-закрылки и отказали тормоза, из-за чего в конце пробега самолет выкатился на не укатанную часть аэродрома и скапотировал. Однако 19 мая в полете при даче форсированного режима вышел из строя мотор. Получение нового мотора «АМ-39» затянулось, и вскоре работы по самолету были прекращены (14889).</w:t>
      </w:r>
    </w:p>
    <w:p w14:paraId="168D52BF" w14:textId="77777777" w:rsidR="0094368B" w:rsidRPr="00070ADE" w:rsidRDefault="0094368B" w:rsidP="00B56F90">
      <w:pPr>
        <w:spacing w:after="0" w:line="240" w:lineRule="auto"/>
        <w:jc w:val="both"/>
        <w:rPr>
          <w:rFonts w:ascii="Times New Roman" w:hAnsi="Times New Roman"/>
          <w:color w:val="000000" w:themeColor="text1"/>
          <w:sz w:val="16"/>
          <w:szCs w:val="16"/>
        </w:rPr>
      </w:pPr>
    </w:p>
    <w:p w14:paraId="46AC2C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года самолет МИГ-3 улучшенный с АМ-39 был принят на испытания в НИИ ВВС. С 12 по 19 мая произведено 10 полетов, общей продолжительностью 7 часов 30 минут. Произведены полеты: пробный, на определение наивыгоднейших скоростей набора, на определение температурного режима, на определение максимальных горизонтальных скоростей с винтами АВ-5Л-126А и ВИШ-105Л-10 (1821).</w:t>
      </w:r>
    </w:p>
    <w:p w14:paraId="564620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4C4D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2Д МиГ после ремонта был вновь передан на гос. испытания в НИИ ВВС и выполнил 10 полетов продолжительностью 7 час. 30 мин. пока 19 мая мотор на форсаже не вышел из строя (992,13).</w:t>
      </w:r>
    </w:p>
    <w:p w14:paraId="1954CF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A9AA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согласно журнала наблюдения за проектированием, постройкой и испытаниями МиГ-3 за 20 мая 1944 с-т Д2 передан в НИИ ВВС (992,13)..</w:t>
      </w:r>
    </w:p>
    <w:p w14:paraId="38FD2A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381C67E" w14:textId="77777777" w:rsidR="00265BE2" w:rsidRPr="00070ADE" w:rsidRDefault="00265B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г. конструкцию И-231 исправили и выполнили облет отре</w:t>
      </w:r>
      <w:r w:rsidRPr="00070ADE">
        <w:rPr>
          <w:rFonts w:ascii="Times New Roman" w:hAnsi="Times New Roman"/>
          <w:color w:val="000000" w:themeColor="text1"/>
          <w:sz w:val="16"/>
          <w:szCs w:val="16"/>
        </w:rPr>
        <w:softHyphen/>
        <w:t>монтированного истребителя, который совершил и вслед за этим испы</w:t>
      </w:r>
      <w:r w:rsidRPr="00070ADE">
        <w:rPr>
          <w:rFonts w:ascii="Times New Roman" w:hAnsi="Times New Roman"/>
          <w:color w:val="000000" w:themeColor="text1"/>
          <w:sz w:val="16"/>
          <w:szCs w:val="16"/>
        </w:rPr>
        <w:softHyphen/>
        <w:t>тания продолжил новый ведущий лет</w:t>
      </w:r>
      <w:r w:rsidRPr="00070ADE">
        <w:rPr>
          <w:rFonts w:ascii="Times New Roman" w:hAnsi="Times New Roman"/>
          <w:color w:val="000000" w:themeColor="text1"/>
          <w:sz w:val="16"/>
          <w:szCs w:val="16"/>
        </w:rPr>
        <w:softHyphen/>
        <w:t>чик - Ю.А. Антипов. Поскольку вновь про</w:t>
      </w:r>
      <w:r w:rsidRPr="00070ADE">
        <w:rPr>
          <w:rFonts w:ascii="Times New Roman" w:hAnsi="Times New Roman"/>
          <w:color w:val="000000" w:themeColor="text1"/>
          <w:sz w:val="16"/>
          <w:szCs w:val="16"/>
        </w:rPr>
        <w:softHyphen/>
        <w:t>явились дефекты силовой установки, ему предстояло провести ее углубленные ис</w:t>
      </w:r>
      <w:r w:rsidRPr="00070ADE">
        <w:rPr>
          <w:rFonts w:ascii="Times New Roman" w:hAnsi="Times New Roman"/>
          <w:color w:val="000000" w:themeColor="text1"/>
          <w:sz w:val="16"/>
          <w:szCs w:val="16"/>
        </w:rPr>
        <w:softHyphen/>
        <w:t>пытания, но параллельно надо было про</w:t>
      </w:r>
      <w:r w:rsidRPr="00070ADE">
        <w:rPr>
          <w:rFonts w:ascii="Times New Roman" w:hAnsi="Times New Roman"/>
          <w:color w:val="000000" w:themeColor="text1"/>
          <w:sz w:val="16"/>
          <w:szCs w:val="16"/>
        </w:rPr>
        <w:softHyphen/>
        <w:t>верить и различные варианты воздушных винтов - исходный АВ-5Л-126А и спро</w:t>
      </w:r>
      <w:r w:rsidRPr="00070ADE">
        <w:rPr>
          <w:rFonts w:ascii="Times New Roman" w:hAnsi="Times New Roman"/>
          <w:color w:val="000000" w:themeColor="text1"/>
          <w:sz w:val="16"/>
          <w:szCs w:val="16"/>
        </w:rPr>
        <w:softHyphen/>
        <w:t>ектированный под моторы В.Я. Климова ВИШ-105Л-10 (23398).</w:t>
      </w:r>
    </w:p>
    <w:p w14:paraId="14A89636" w14:textId="77777777" w:rsidR="00265BE2" w:rsidRPr="00070ADE" w:rsidRDefault="00265BE2" w:rsidP="00B56F90">
      <w:pPr>
        <w:spacing w:after="0" w:line="240" w:lineRule="auto"/>
        <w:jc w:val="both"/>
        <w:rPr>
          <w:rFonts w:ascii="Times New Roman" w:hAnsi="Times New Roman"/>
          <w:color w:val="000000" w:themeColor="text1"/>
          <w:sz w:val="16"/>
          <w:szCs w:val="16"/>
        </w:rPr>
      </w:pPr>
    </w:p>
    <w:p w14:paraId="177160E0"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12 мая 1944 г. после ремонта в ОКБ</w:t>
      </w:r>
      <w:r w:rsidRPr="00C94B78">
        <w:rPr>
          <w:rFonts w:ascii="Times New Roman" w:hAnsi="Times New Roman"/>
          <w:color w:val="0070C0"/>
          <w:sz w:val="16"/>
          <w:szCs w:val="16"/>
        </w:rPr>
        <w:noBreakHyphen/>
        <w:t>155 И-231 снова попал в НИИ ВВС, но уже 19 мая случился отказ двигателя, который вышел из строя при попытке резко добавить газу. Другого двигателя АМ</w:t>
      </w:r>
      <w:r w:rsidRPr="00C94B78">
        <w:rPr>
          <w:rFonts w:ascii="Times New Roman" w:hAnsi="Times New Roman"/>
          <w:color w:val="0070C0"/>
          <w:sz w:val="16"/>
          <w:szCs w:val="16"/>
        </w:rPr>
        <w:noBreakHyphen/>
        <w:t>39А в распоряжении конструкторов не было, а ожидать доставки нового было бы слишком долго, поэтому дальнейшие испытания И</w:t>
      </w:r>
      <w:r w:rsidRPr="00C94B78">
        <w:rPr>
          <w:rFonts w:ascii="Times New Roman" w:hAnsi="Times New Roman"/>
          <w:color w:val="0070C0"/>
          <w:sz w:val="16"/>
          <w:szCs w:val="16"/>
        </w:rPr>
        <w:noBreakHyphen/>
        <w:t>231 свернули (25067).</w:t>
      </w:r>
    </w:p>
    <w:p w14:paraId="739E2346" w14:textId="77777777" w:rsidR="00982F71" w:rsidRPr="00C94B78" w:rsidRDefault="00982F71" w:rsidP="00B56F90">
      <w:pPr>
        <w:spacing w:after="0" w:line="240" w:lineRule="auto"/>
        <w:jc w:val="both"/>
        <w:rPr>
          <w:rFonts w:ascii="Times New Roman" w:hAnsi="Times New Roman"/>
          <w:color w:val="0070C0"/>
          <w:sz w:val="16"/>
          <w:szCs w:val="16"/>
        </w:rPr>
      </w:pPr>
    </w:p>
    <w:p w14:paraId="1D539A1D" w14:textId="77777777" w:rsidR="00265BE2" w:rsidRPr="00070ADE" w:rsidRDefault="00265B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г. в ходе совместных испытания самолета Як-7Б №820803 с двумя ДМ-4с (№16 и №17) в ЛИИ НКАП выполнили первый по</w:t>
      </w:r>
      <w:r w:rsidRPr="00070ADE">
        <w:rPr>
          <w:rFonts w:ascii="Times New Roman" w:hAnsi="Times New Roman"/>
          <w:color w:val="000000" w:themeColor="text1"/>
          <w:sz w:val="16"/>
          <w:szCs w:val="16"/>
        </w:rPr>
        <w:softHyphen/>
        <w:t>лет с неработающими ПВРД, а с вклю</w:t>
      </w:r>
      <w:r w:rsidRPr="00070ADE">
        <w:rPr>
          <w:rFonts w:ascii="Times New Roman" w:hAnsi="Times New Roman"/>
          <w:color w:val="000000" w:themeColor="text1"/>
          <w:sz w:val="16"/>
          <w:szCs w:val="16"/>
        </w:rPr>
        <w:softHyphen/>
        <w:t>чением ПВРД - 15 мая 1944 г. Часть полетов выполнялась с одним включенным ДМ, чтобы устранить влияние рабо</w:t>
      </w:r>
      <w:r w:rsidRPr="00070ADE">
        <w:rPr>
          <w:rFonts w:ascii="Times New Roman" w:hAnsi="Times New Roman"/>
          <w:color w:val="000000" w:themeColor="text1"/>
          <w:sz w:val="16"/>
          <w:szCs w:val="16"/>
        </w:rPr>
        <w:softHyphen/>
        <w:t>ты двух двигателей на бензоподачу, осуществлявшуюся от одной бензопомпы. При включении ПВРД за ним появ</w:t>
      </w:r>
      <w:r w:rsidRPr="00070ADE">
        <w:rPr>
          <w:rFonts w:ascii="Times New Roman" w:hAnsi="Times New Roman"/>
          <w:color w:val="000000" w:themeColor="text1"/>
          <w:sz w:val="16"/>
          <w:szCs w:val="16"/>
        </w:rPr>
        <w:softHyphen/>
        <w:t>лялся огненный факел длиной до двух-трех метров, кото</w:t>
      </w:r>
      <w:r w:rsidRPr="00070ADE">
        <w:rPr>
          <w:rFonts w:ascii="Times New Roman" w:hAnsi="Times New Roman"/>
          <w:color w:val="000000" w:themeColor="text1"/>
          <w:sz w:val="16"/>
          <w:szCs w:val="16"/>
        </w:rPr>
        <w:softHyphen/>
        <w:t>рый практически исчезал через 20-30 секунд (после про</w:t>
      </w:r>
      <w:r w:rsidRPr="00070ADE">
        <w:rPr>
          <w:rFonts w:ascii="Times New Roman" w:hAnsi="Times New Roman"/>
          <w:color w:val="000000" w:themeColor="text1"/>
          <w:sz w:val="16"/>
          <w:szCs w:val="16"/>
        </w:rPr>
        <w:softHyphen/>
        <w:t>грева камеры сгорания).</w:t>
      </w:r>
    </w:p>
    <w:p w14:paraId="2B4BFED6" w14:textId="77777777" w:rsidR="00265BE2" w:rsidRPr="00070ADE" w:rsidRDefault="00265B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испытаний по целому ряду причин оказа</w:t>
      </w:r>
      <w:r w:rsidRPr="00070ADE">
        <w:rPr>
          <w:rFonts w:ascii="Times New Roman" w:hAnsi="Times New Roman"/>
          <w:color w:val="000000" w:themeColor="text1"/>
          <w:sz w:val="16"/>
          <w:szCs w:val="16"/>
        </w:rPr>
        <w:softHyphen/>
        <w:t>лись скромными. Максимальные скорости испытуемо</w:t>
      </w:r>
      <w:r w:rsidRPr="00070ADE">
        <w:rPr>
          <w:rFonts w:ascii="Times New Roman" w:hAnsi="Times New Roman"/>
          <w:color w:val="000000" w:themeColor="text1"/>
          <w:sz w:val="16"/>
          <w:szCs w:val="16"/>
        </w:rPr>
        <w:softHyphen/>
        <w:t>го самолета оказались меньше максимальных скоростей новых серийных Як-7Б на 70-80 км/час. Это объяснялось тем, что Як-7Б №820803 до испытаний находился в экс</w:t>
      </w:r>
      <w:r w:rsidRPr="00070ADE">
        <w:rPr>
          <w:rFonts w:ascii="Times New Roman" w:hAnsi="Times New Roman"/>
          <w:color w:val="000000" w:themeColor="text1"/>
          <w:sz w:val="16"/>
          <w:szCs w:val="16"/>
        </w:rPr>
        <w:softHyphen/>
        <w:t>плуатации два г. и подвергался ремонту, что ухудшило его аэродинамические качества. Кроме того, первая граница высотности мотора М-105ПФ, установленного на само</w:t>
      </w:r>
      <w:r w:rsidRPr="00070ADE">
        <w:rPr>
          <w:rFonts w:ascii="Times New Roman" w:hAnsi="Times New Roman"/>
          <w:color w:val="000000" w:themeColor="text1"/>
          <w:sz w:val="16"/>
          <w:szCs w:val="16"/>
        </w:rPr>
        <w:softHyphen/>
        <w:t>лете, оказалась значительно ниже нормальной для моторов этого типа. Вследствие этого мотор не развивал полной мощности за счет понижен</w:t>
      </w:r>
      <w:r w:rsidRPr="00070ADE">
        <w:rPr>
          <w:rFonts w:ascii="Times New Roman" w:hAnsi="Times New Roman"/>
          <w:color w:val="000000" w:themeColor="text1"/>
          <w:sz w:val="16"/>
          <w:szCs w:val="16"/>
        </w:rPr>
        <w:softHyphen/>
        <w:t>ной величины наддува. Снижение максимальной скоро</w:t>
      </w:r>
      <w:r w:rsidRPr="00070ADE">
        <w:rPr>
          <w:rFonts w:ascii="Times New Roman" w:hAnsi="Times New Roman"/>
          <w:color w:val="000000" w:themeColor="text1"/>
          <w:sz w:val="16"/>
          <w:szCs w:val="16"/>
        </w:rPr>
        <w:softHyphen/>
        <w:t>сти самолета сказалось на работе ДМ, так как эффектив</w:t>
      </w:r>
      <w:r w:rsidRPr="00070ADE">
        <w:rPr>
          <w:rFonts w:ascii="Times New Roman" w:hAnsi="Times New Roman"/>
          <w:color w:val="000000" w:themeColor="text1"/>
          <w:sz w:val="16"/>
          <w:szCs w:val="16"/>
        </w:rPr>
        <w:softHyphen/>
        <w:t>ность воздушно-реактивного двигателя падает с умень</w:t>
      </w:r>
      <w:r w:rsidRPr="00070ADE">
        <w:rPr>
          <w:rFonts w:ascii="Times New Roman" w:hAnsi="Times New Roman"/>
          <w:color w:val="000000" w:themeColor="text1"/>
          <w:sz w:val="16"/>
          <w:szCs w:val="16"/>
        </w:rPr>
        <w:softHyphen/>
        <w:t>шением скорости полета. При полетном весе 2978 кг (без вооружения, боекомплекта с экипажем из двух человек) установка дополнительных ПВРД дала прирост скорости на высоте 2340 м по сравнению с самолетом без ПВРД всего на 19 км/ч (с 494 до 513 км/ч). Полет с неработаю</w:t>
      </w:r>
      <w:r w:rsidRPr="00070ADE">
        <w:rPr>
          <w:rFonts w:ascii="Times New Roman" w:hAnsi="Times New Roman"/>
          <w:color w:val="000000" w:themeColor="text1"/>
          <w:sz w:val="16"/>
          <w:szCs w:val="16"/>
        </w:rPr>
        <w:softHyphen/>
        <w:t>щими ДМ снижал максимальную скорость на 34 км/ч (до 460 км/ч). Расход горючего на работу двух ДМ оказался меньше расчетного (22 вместо 24 кг в минуту) из-за зани</w:t>
      </w:r>
      <w:r w:rsidRPr="00070ADE">
        <w:rPr>
          <w:rFonts w:ascii="Times New Roman" w:hAnsi="Times New Roman"/>
          <w:color w:val="000000" w:themeColor="text1"/>
          <w:sz w:val="16"/>
          <w:szCs w:val="16"/>
        </w:rPr>
        <w:softHyphen/>
        <w:t>женной на 10-13% по сравнению с паспортными данны</w:t>
      </w:r>
      <w:r w:rsidRPr="00070ADE">
        <w:rPr>
          <w:rFonts w:ascii="Times New Roman" w:hAnsi="Times New Roman"/>
          <w:color w:val="000000" w:themeColor="text1"/>
          <w:sz w:val="16"/>
          <w:szCs w:val="16"/>
        </w:rPr>
        <w:softHyphen/>
        <w:t>ми производительности бензиновой помпы БНК-10ФН, что также влияло на величину максимальной тяги, разви</w:t>
      </w:r>
      <w:r w:rsidRPr="00070ADE">
        <w:rPr>
          <w:rFonts w:ascii="Times New Roman" w:hAnsi="Times New Roman"/>
          <w:color w:val="000000" w:themeColor="text1"/>
          <w:sz w:val="16"/>
          <w:szCs w:val="16"/>
        </w:rPr>
        <w:softHyphen/>
        <w:t>ваемой ДМ.</w:t>
      </w:r>
    </w:p>
    <w:p w14:paraId="1D7C2957" w14:textId="77777777" w:rsidR="00265BE2" w:rsidRPr="00070ADE" w:rsidRDefault="00265B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Полученные экспериментальные данные позволили сделать вывод, что при сравнительно небольших измене</w:t>
      </w:r>
      <w:r w:rsidRPr="00070ADE">
        <w:rPr>
          <w:rFonts w:ascii="Times New Roman" w:hAnsi="Times New Roman"/>
          <w:color w:val="000000" w:themeColor="text1"/>
          <w:sz w:val="16"/>
          <w:szCs w:val="16"/>
        </w:rPr>
        <w:softHyphen/>
        <w:t>ниях конструкции ДМ и системы их питания горючим мож</w:t>
      </w:r>
      <w:r w:rsidRPr="00070ADE">
        <w:rPr>
          <w:rFonts w:ascii="Times New Roman" w:hAnsi="Times New Roman"/>
          <w:color w:val="000000" w:themeColor="text1"/>
          <w:sz w:val="16"/>
          <w:szCs w:val="16"/>
        </w:rPr>
        <w:softHyphen/>
        <w:t>но будет не только снизить их вес с 90 до 30-35 кг, но и по</w:t>
      </w:r>
      <w:r w:rsidRPr="00070ADE">
        <w:rPr>
          <w:rFonts w:ascii="Times New Roman" w:hAnsi="Times New Roman"/>
          <w:color w:val="000000" w:themeColor="text1"/>
          <w:sz w:val="16"/>
          <w:szCs w:val="16"/>
        </w:rPr>
        <w:softHyphen/>
        <w:t>высить их эффективность и экономичность. В боевых си</w:t>
      </w:r>
      <w:r w:rsidRPr="00070ADE">
        <w:rPr>
          <w:rFonts w:ascii="Times New Roman" w:hAnsi="Times New Roman"/>
          <w:color w:val="000000" w:themeColor="text1"/>
          <w:sz w:val="16"/>
          <w:szCs w:val="16"/>
        </w:rPr>
        <w:softHyphen/>
        <w:t>туациях на истребителе, имеющем скорость порядка 600 км/ч, дополнительные моторы при расходе бензина 30 кг/ мин позволили бы увеличить скорость на 130 км/час. Что</w:t>
      </w:r>
      <w:r w:rsidRPr="00070ADE">
        <w:rPr>
          <w:rFonts w:ascii="Times New Roman" w:hAnsi="Times New Roman"/>
          <w:color w:val="000000" w:themeColor="text1"/>
          <w:sz w:val="16"/>
          <w:szCs w:val="16"/>
        </w:rPr>
        <w:softHyphen/>
        <w:t>бы догнать появившийся в зоне видимости самолет про</w:t>
      </w:r>
      <w:r w:rsidRPr="00070ADE">
        <w:rPr>
          <w:rFonts w:ascii="Times New Roman" w:hAnsi="Times New Roman"/>
          <w:color w:val="000000" w:themeColor="text1"/>
          <w:sz w:val="16"/>
          <w:szCs w:val="16"/>
        </w:rPr>
        <w:softHyphen/>
        <w:t>тивника с одинаковой максимальной скоростью при та</w:t>
      </w:r>
      <w:r w:rsidRPr="00070ADE">
        <w:rPr>
          <w:rFonts w:ascii="Times New Roman" w:hAnsi="Times New Roman"/>
          <w:color w:val="000000" w:themeColor="text1"/>
          <w:sz w:val="16"/>
          <w:szCs w:val="16"/>
        </w:rPr>
        <w:softHyphen/>
        <w:t>ком приросте скорости, следовало включить ДМ-4с на три минуты (запас горючего на Як-7 позволял включать ДМ на 5-6 минут). Чтобы оторваться от противника в воздушном бою и выйти из сферы его прицельного огня (на дистан</w:t>
      </w:r>
      <w:r w:rsidRPr="00070ADE">
        <w:rPr>
          <w:rFonts w:ascii="Times New Roman" w:hAnsi="Times New Roman"/>
          <w:color w:val="000000" w:themeColor="text1"/>
          <w:sz w:val="16"/>
          <w:szCs w:val="16"/>
        </w:rPr>
        <w:softHyphen/>
        <w:t>цию более 500 м) - требовалось запустить ДМ на 15-20 секунд, израсходовав 8-9 кг горючего.</w:t>
      </w:r>
    </w:p>
    <w:p w14:paraId="3F4AC107" w14:textId="77777777" w:rsidR="00265BE2" w:rsidRPr="00070ADE" w:rsidRDefault="00265B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Одним из важных результатов, полученных в процессе испытаний, была величина суммарной тяги двух ПВРД, составившая всего 158 кг. Поэтому, несмотря на несом</w:t>
      </w:r>
      <w:r w:rsidRPr="00070ADE">
        <w:rPr>
          <w:rFonts w:ascii="Times New Roman" w:hAnsi="Times New Roman"/>
          <w:color w:val="000000" w:themeColor="text1"/>
          <w:sz w:val="16"/>
          <w:szCs w:val="16"/>
        </w:rPr>
        <w:softHyphen/>
        <w:t>ненные плюсы конструкции ПВРД (особенно его надеж</w:t>
      </w:r>
      <w:r w:rsidRPr="00070ADE">
        <w:rPr>
          <w:rFonts w:ascii="Times New Roman" w:hAnsi="Times New Roman"/>
          <w:color w:val="000000" w:themeColor="text1"/>
          <w:sz w:val="16"/>
          <w:szCs w:val="16"/>
        </w:rPr>
        <w:softHyphen/>
        <w:t>ность и безопасность), конструкторы перенесли центр своих усилий на применение ЖРД в качестве дополни</w:t>
      </w:r>
      <w:r w:rsidRPr="00070ADE">
        <w:rPr>
          <w:rFonts w:ascii="Times New Roman" w:hAnsi="Times New Roman"/>
          <w:color w:val="000000" w:themeColor="text1"/>
          <w:sz w:val="16"/>
          <w:szCs w:val="16"/>
        </w:rPr>
        <w:softHyphen/>
        <w:t>тельных двигателей для истребителей. Дальнейшую от</w:t>
      </w:r>
      <w:r w:rsidRPr="00070ADE">
        <w:rPr>
          <w:rFonts w:ascii="Times New Roman" w:hAnsi="Times New Roman"/>
          <w:color w:val="000000" w:themeColor="text1"/>
          <w:sz w:val="16"/>
          <w:szCs w:val="16"/>
        </w:rPr>
        <w:softHyphen/>
        <w:t>работку ПВРД решили продолжить на наземном стенде из-за малого времени работы ДМ-4с на Як-7Б, ограни</w:t>
      </w:r>
      <w:r w:rsidRPr="00070ADE">
        <w:rPr>
          <w:rFonts w:ascii="Times New Roman" w:hAnsi="Times New Roman"/>
          <w:color w:val="000000" w:themeColor="text1"/>
          <w:sz w:val="16"/>
          <w:szCs w:val="16"/>
        </w:rPr>
        <w:softHyphen/>
        <w:t>ченного небольшим запасом горючего этого самолета (23381).</w:t>
      </w:r>
    </w:p>
    <w:p w14:paraId="31DBFBE4" w14:textId="77777777" w:rsidR="00265BE2" w:rsidRPr="00070ADE" w:rsidRDefault="00265BE2" w:rsidP="00B56F90">
      <w:pPr>
        <w:spacing w:after="0" w:line="240" w:lineRule="auto"/>
        <w:jc w:val="both"/>
        <w:rPr>
          <w:rFonts w:ascii="Times New Roman" w:hAnsi="Times New Roman"/>
          <w:color w:val="000000" w:themeColor="text1"/>
          <w:sz w:val="16"/>
          <w:szCs w:val="16"/>
        </w:rPr>
      </w:pPr>
    </w:p>
    <w:p w14:paraId="6353CB0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Постановление ГКО № 5888 О материально-техническом обеспечении строительства и эксплуатации воздушной трассы Красноярск - Уэлькаль. (7232, 132-137,138-162).</w:t>
      </w:r>
    </w:p>
    <w:p w14:paraId="20A0F90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7D61F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7235E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68422D"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12 мая 1944 г. АУ ВМФ представило в ЦАКБ тактико</w:t>
      </w:r>
      <w:r w:rsidRPr="00C94B78">
        <w:rPr>
          <w:rStyle w:val="aff1"/>
          <w:rFonts w:ascii="Times New Roman" w:hAnsi="Times New Roman" w:cs="Times New Roman"/>
          <w:color w:val="0070C0"/>
          <w:spacing w:val="0"/>
          <w:sz w:val="16"/>
          <w:szCs w:val="16"/>
        </w:rPr>
        <w:softHyphen/>
        <w:t>технические требования на проектирование 130-мм береговой пушки на механической тяге. Сразу же ЦАКБ приступило к работе над проектом 130</w:t>
      </w:r>
      <w:r w:rsidRPr="00C94B78">
        <w:rPr>
          <w:rStyle w:val="aff1"/>
          <w:rFonts w:ascii="Times New Roman" w:hAnsi="Times New Roman" w:cs="Times New Roman"/>
          <w:color w:val="0070C0"/>
          <w:spacing w:val="0"/>
          <w:sz w:val="16"/>
          <w:szCs w:val="16"/>
        </w:rPr>
        <w:softHyphen/>
        <w:t>мм пушки С-30. 28 ноября 1944 г. ЦАКБ отправило технический проект пушки в Институт № 2 ВМС. 4 марта 1945 г. руководство ВМФ сообщило в ЦАКБ об утверждении проекта и предложило начать изготовление рабочих чертежей. На самом деле рабочие чертежи уже изготавливались в ЦАКБ с декабря 1944 г. Тут возникает довольно щекотливый вопрос: когда работы над С-30 были переданы в МАЦКБ, которое, как уже говорилось, окончательно отделилось от ЦАКБ в марте 1945 г.? По мнению автора, это случилось не ранее апреля 1945 г., когда основная часть рабочих чертежей была изготовлена в ЦАКБ. Позднее даже в секретных документах МАЦКБ были исключены любые упоминания о ЦАКБ и Грабине в связи с созданием 130-мм пушки С-30. Ее переименовали в СМ-4 (СМ — индекс МАЦКБ). В секретном документе «130-мм пушка СМ-4. Материалы к принятию на вооружение» от 1951 г. было написано: «28.11.1944 г. письмом № 343с ЦКБ-34 представило институту № 2 ВМС проект 130-мм пушки СМ-4». Как совести хватило?! Ведь в ноябре 1944 г. МАЦКБ не было как такового, а в ЦКБ-34 его переименовали в 1948 г. (25440).</w:t>
      </w:r>
    </w:p>
    <w:p w14:paraId="20BF8DEB" w14:textId="77777777" w:rsidR="00982F71" w:rsidRPr="00C94B78" w:rsidRDefault="00982F71" w:rsidP="00B56F90">
      <w:pPr>
        <w:spacing w:after="0" w:line="240" w:lineRule="auto"/>
        <w:jc w:val="both"/>
        <w:rPr>
          <w:rFonts w:ascii="Times New Roman" w:hAnsi="Times New Roman"/>
          <w:color w:val="0070C0"/>
          <w:sz w:val="16"/>
          <w:szCs w:val="16"/>
        </w:rPr>
      </w:pPr>
    </w:p>
    <w:p w14:paraId="42F8A8CD" w14:textId="77777777" w:rsidR="008B0844" w:rsidRPr="00070ADE" w:rsidRDefault="008B0844" w:rsidP="00B56F90">
      <w:pPr>
        <w:pStyle w:val="ae"/>
        <w:spacing w:before="0" w:after="0"/>
        <w:jc w:val="both"/>
        <w:textAlignment w:val="baseline"/>
        <w:rPr>
          <w:color w:val="000000" w:themeColor="text1"/>
          <w:sz w:val="16"/>
          <w:szCs w:val="16"/>
        </w:rPr>
      </w:pPr>
      <w:r w:rsidRPr="00070ADE">
        <w:rPr>
          <w:color w:val="000000" w:themeColor="text1"/>
          <w:sz w:val="16"/>
          <w:szCs w:val="16"/>
        </w:rPr>
        <w:t>К 12 мая 1944 был готов только первый образец модернизированного Т-44, имевший борта толщиной 60 мм. Фактически получившаяся машина представляла собой лишь частичную реализацию требований об улучшениях. В случае с лобовой частью корпуса толщина брони так и осталась на прежнем уровне (75 мм). Вместе с тем КБ-520 учло замечания, высказанные по итогам испытаний корпуса первого варианта Т-44. Угол наклона нижнего лобового листа вырос до 45 градусов, что повысило его стойкость. Неудачное крепление кривошипа ленивца, которое разрушилось при обстреле, заменили на более удачную конструкцию. От будки в Нижнем Тагиле не отказались, но она стала ниже, а толщину смотрового лючка увеличили до 100 мм, также его переделав. Кроме того, на корпусе ввели защитную планку против заклинивания башни вражескими снарядами. Ввиду претензий к месту механика-водителя изменили его сиденье. Благодаря переделкам танк стал чуть ниже первого варианта Т-44.</w:t>
      </w:r>
    </w:p>
    <w:p w14:paraId="5870A181" w14:textId="77777777" w:rsidR="008B0844" w:rsidRPr="00070ADE" w:rsidRDefault="008B0844" w:rsidP="00B56F90">
      <w:pPr>
        <w:pStyle w:val="ae"/>
        <w:spacing w:before="0" w:after="0"/>
        <w:jc w:val="both"/>
        <w:textAlignment w:val="baseline"/>
        <w:rPr>
          <w:color w:val="000000" w:themeColor="text1"/>
          <w:sz w:val="16"/>
          <w:szCs w:val="16"/>
        </w:rPr>
      </w:pPr>
      <w:r w:rsidRPr="00070ADE">
        <w:rPr>
          <w:color w:val="000000" w:themeColor="text1"/>
          <w:sz w:val="16"/>
          <w:szCs w:val="16"/>
        </w:rPr>
        <w:t>Хватало изменений как по ходовой части, так и по моторно-трансмиссионной группе. Двигателя В-2-44 от завода №75 так и не дождались, но всё же от выступа в днище удалось избавиться. Дело в том, что в Нижнем Тагиле изготовили «промежуточный» вариант мотора, то есть В-2-ИС, но с перенесённой на левую сторону двигателя масляной помпой и перенесённой на КПП водяной помпой. Естественно, это было временным решением, но иного варианта устранения проблемы с мотором не имелось. Улучшениям подверглись масляная система и система охлаждения, на танк установили два воздухоочистителя «Мультициклон». После больших проблем с нагревом левого борта от выхлопных газов выпускную систему переделали. Теперь выхлопные газы выходили влево через общий патрубок, разместили его на левом крыле. Переделке подверглась и топливная система. Как и на эскизном проекте, впереди появился бак на 110 л, также улучшили конструкцию лючков для заливки топлива. Переделке подверглись коробка передач, бортовые фрикционы и бортовые передачи. Несмотря на требования поставить опорные катки диаметром 830 мм, на второй итерации Т-44 поставили другие катки — диаметром 790 мм. Тем самым создатели машины пытались избежать извечной проблемы с разрушением опорных катков. Одновременно изменилось и расположение опорных катков: первая пара чуть сместилась вперёд, а остальные «уехали» немного назад.</w:t>
      </w:r>
    </w:p>
    <w:p w14:paraId="73F0B451" w14:textId="77777777" w:rsidR="008B0844" w:rsidRPr="00070ADE" w:rsidRDefault="008B0844" w:rsidP="00B56F90">
      <w:pPr>
        <w:spacing w:after="0" w:line="240" w:lineRule="auto"/>
        <w:jc w:val="both"/>
        <w:textAlignment w:val="baseline"/>
        <w:rPr>
          <w:rFonts w:ascii="Times New Roman" w:hAnsi="Times New Roman"/>
          <w:color w:val="000000" w:themeColor="text1"/>
          <w:sz w:val="16"/>
          <w:szCs w:val="16"/>
        </w:rPr>
      </w:pPr>
      <w:r w:rsidRPr="00070ADE">
        <w:rPr>
          <w:rFonts w:ascii="Times New Roman" w:hAnsi="Times New Roman"/>
          <w:color w:val="000000" w:themeColor="text1"/>
          <w:sz w:val="16"/>
          <w:szCs w:val="16"/>
        </w:rPr>
        <w:t>Будку механика-водителя сильно переделали, что увеличило её стойкость к вражескому огню.</w:t>
      </w:r>
    </w:p>
    <w:p w14:paraId="74427B30" w14:textId="77777777" w:rsidR="008B0844" w:rsidRPr="00070ADE" w:rsidRDefault="008B0844" w:rsidP="00B56F90">
      <w:pPr>
        <w:pStyle w:val="ae"/>
        <w:spacing w:before="0" w:after="0"/>
        <w:jc w:val="both"/>
        <w:textAlignment w:val="baseline"/>
        <w:rPr>
          <w:color w:val="000000" w:themeColor="text1"/>
          <w:sz w:val="16"/>
          <w:szCs w:val="16"/>
        </w:rPr>
      </w:pPr>
      <w:r w:rsidRPr="00070ADE">
        <w:rPr>
          <w:color w:val="000000" w:themeColor="text1"/>
          <w:sz w:val="16"/>
          <w:szCs w:val="16"/>
        </w:rPr>
        <w:t>Весьма существенной доработке подверглась башня. Объём изменений оказался столь велик, что правильнее говорить не о переделанной старой башне, а о новой конструкции. В отличие от корпуса, броневую защиту башни увеличили. Толщина лобовой части башни была доведена до 115 мм, толщина бортов составила 90 мм, а кормы — 75 мм. Благодаря снижению будки механика-водителя удалось снизить общую высоту башни на 75 мм. Также несколько изменилась форма башни, переделке подверглись пистолетные порты. В связи с установкой орудия ЗИС-С-53 переделке подверглась и носовая часть башни. Иной стала и конструкция крыши башни, в частности, увеличился объём вварной секции. Вместо перископического прицела наводчик получил смотровой прибор МК-IV, что улучшило ситуацию с обзором из передней смотровой щели командирской башенки.</w:t>
      </w:r>
    </w:p>
    <w:p w14:paraId="357CD2B4" w14:textId="77777777" w:rsidR="008B0844" w:rsidRPr="00070ADE" w:rsidRDefault="008B0844" w:rsidP="00B56F90">
      <w:pPr>
        <w:spacing w:after="0" w:line="240" w:lineRule="auto"/>
        <w:jc w:val="both"/>
        <w:textAlignment w:val="baseline"/>
        <w:rPr>
          <w:rFonts w:ascii="Times New Roman" w:hAnsi="Times New Roman"/>
          <w:color w:val="000000" w:themeColor="text1"/>
          <w:sz w:val="16"/>
          <w:szCs w:val="16"/>
        </w:rPr>
      </w:pPr>
      <w:r w:rsidRPr="00070ADE">
        <w:rPr>
          <w:rFonts w:ascii="Times New Roman" w:hAnsi="Times New Roman"/>
          <w:color w:val="000000" w:themeColor="text1"/>
          <w:sz w:val="16"/>
          <w:szCs w:val="16"/>
        </w:rPr>
        <w:t>Обратной стороной понижения будки механика-водителя стало снижение высоты отделения управления. Даже человеку среднего роста тут было тесно.</w:t>
      </w:r>
    </w:p>
    <w:p w14:paraId="10AC1D62" w14:textId="77777777" w:rsidR="008B0844" w:rsidRPr="00070ADE" w:rsidRDefault="008B0844" w:rsidP="00B56F90">
      <w:pPr>
        <w:pStyle w:val="ae"/>
        <w:spacing w:before="0" w:after="0"/>
        <w:jc w:val="both"/>
        <w:textAlignment w:val="baseline"/>
        <w:rPr>
          <w:color w:val="000000" w:themeColor="text1"/>
          <w:sz w:val="16"/>
          <w:szCs w:val="16"/>
        </w:rPr>
      </w:pPr>
      <w:r w:rsidRPr="00070ADE">
        <w:rPr>
          <w:color w:val="000000" w:themeColor="text1"/>
          <w:sz w:val="16"/>
          <w:szCs w:val="16"/>
        </w:rPr>
        <w:t>Как это часто бывает, за изменения пришлось платить ростом боевой массы. Для танка с толщиной бортов 75 мм она составила 31 300 кг, то есть на 900 кг больше второго опытного образца Т-44. Впрочем, ориентиром выступал Т-34-85, который был тяжелее на те же 900 кг, а его мотор чуть слабее. Немаловажным фактором стали и сравнения по габаритам. Высота Т-44 во второй итерации составила 2290 мм, в то время как общая высота Т-34-85 составляла 2700 мм (18950).</w:t>
      </w:r>
    </w:p>
    <w:p w14:paraId="35EFF1D9" w14:textId="77777777" w:rsidR="008B0844" w:rsidRPr="00070ADE" w:rsidRDefault="008B0844" w:rsidP="00B56F90">
      <w:pPr>
        <w:pStyle w:val="ae"/>
        <w:spacing w:before="0" w:after="0"/>
        <w:jc w:val="both"/>
        <w:textAlignment w:val="baseline"/>
        <w:rPr>
          <w:color w:val="000000" w:themeColor="text1"/>
          <w:sz w:val="16"/>
          <w:szCs w:val="16"/>
        </w:rPr>
      </w:pPr>
    </w:p>
    <w:p w14:paraId="31A2C248"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12 мая 1944 года на заводе № 183 был закончен первый образец Т-44 второй итерации.</w:t>
      </w:r>
    </w:p>
    <w:p w14:paraId="4C040C03"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 этом этапе развития танка броневую защиту корпуса оставили без изменений. Вместе с тем, КБ-520 учло замечания, высказанные по итогам испытаний корпуса первого варианта Т-44. Угол наклона нижнего лобового листа у второго варианта Т-44 вырос до 45 градусов, что повысило его стойкость. Первый образец танка имел толщину бортов 60 мм, а второй – 75 мм. Неудачное крепление кривошипа ленивца, которое разрушилось при обстреле, заменили на более удачную конструкцию. От будки в нижнем Тагиле не отказались, но она стала ниже, а толщину смотрового лючка увеличили до 100 мм, также его переделав. Также на корпусе ввели защитную планку против заклинивания башни вражескими снарядами. В виду претензий к месту механика-водителя изменили его сиденье.</w:t>
      </w:r>
    </w:p>
    <w:p w14:paraId="524DB059"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Ходовая часть, а также моторно-трансмиссионная группа также стали результатом компромисса. Несмотря на требования поставить опорные катки диаметром 830 мм, вторая версия Т-44 получила катки диаметром 790 мм. Тем самым создатели машины пытались избежать извечной проблемы с разрушением опорных катков. Одновременно изменилось и расположение опорных катков: первая пара чуть сместилась вперед, а остальные «уехали» немного назад. Переделке подверглась коробка передач, бортовые фрикционы и бортовые передачи.</w:t>
      </w:r>
    </w:p>
    <w:p w14:paraId="09731755"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Двигатель В-2-44 от завода №75 не дождались, поэтому было решено использовать доработанный В-2-ИС. Масляную помпу перенесли на левую сторону, а на КПП перекочевала водяная помпа. Таким образом, удалось избавиться от выступа в днище. Улучшениям подверглись масляная система и система охлаждения, на танк установили два воздухоочистителя «Мультициклон». После больших проблем с нагревом левого борта от выхлопных газов выпускную систему переделали. Теперь выхлопные газы выходили влево через общий патрубок, разместили его на левом крыле. Переделке подверглась и топливная система. Впереди появился топливный бак на 110 литров, также улучшили конструкцию лючков для заливки топлива.</w:t>
      </w:r>
    </w:p>
    <w:p w14:paraId="1F52D8EB"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отличие от корпуса, броневую защиту башни увеличили. Толщина лобовой части башни была доведена до 115 мм, толщина бортов составила 90 мм, а кормы – 75 мм. Благодаря снижению будки механика-водителя удалось снизить общую высоту башни на 75 мм. Также несколько изменилась форма башни, переделке подверглись пистолетные порты. В связи с установкой орудия ЗИС-С-53 переделке подверглась и носовая часть башни. Иной стала и конструкция крыши башни, в частности, увеличился объем вварной секции. Вместо перископического прицела наводчик получил смотровой прибор МК-IV, что улучшило ситуацию с обзором из передней смотровой щели командирской башенки.</w:t>
      </w:r>
    </w:p>
    <w:p w14:paraId="48587C53"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Доработки привели к тому, что боевая масса поднялась на 900 кг, составив 31300 кг. Следует отметить, что речь идет про второй образец танка, у которого толщина бортов выросла до 75 мм. Тем не менее, такая боевая масса являлась приемлемой. Следует иметь в виду, что ориентиром выступал Т-34-85, который был тяжелее на те же 900 кг, а его мотор слабее. Немаловажным фактором стали и сравнения по габаритам. Высота Т-44 второго варианта составила 2290 мм, в то время как общая высота Т-34-85 составляла 2700 мм (25624).</w:t>
      </w:r>
    </w:p>
    <w:p w14:paraId="05A64489" w14:textId="77777777" w:rsidR="00982F71" w:rsidRPr="00C94B78" w:rsidRDefault="00982F71" w:rsidP="00B56F90">
      <w:pPr>
        <w:spacing w:after="0" w:line="240" w:lineRule="auto"/>
        <w:jc w:val="both"/>
        <w:rPr>
          <w:rFonts w:ascii="Times New Roman" w:hAnsi="Times New Roman"/>
          <w:color w:val="0070C0"/>
          <w:sz w:val="16"/>
          <w:szCs w:val="16"/>
        </w:rPr>
      </w:pPr>
    </w:p>
    <w:p w14:paraId="511DE2F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года вышел приказ № 243с НКБ</w:t>
      </w:r>
    </w:p>
    <w:p w14:paraId="0299862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исполнение распоряжения СНК за № 8381 рс от 14 апреля 1944 года о выделении из завода № 15 химических производств в самостоятельный завод с собственной энергетической и ремонтно-механической базой (6016, 7).</w:t>
      </w:r>
    </w:p>
    <w:p w14:paraId="56BC979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10DE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Постановление ГКО № 5870 О неотложных мерах помощи по восстановлению цехов Ново-Краматорского завода им. Сталина Наркомтяжмаша в г. Электросталь. РГАНИР, Фонд ГКО, д. 253, лл. 77-81,82 (11012).</w:t>
      </w:r>
    </w:p>
    <w:p w14:paraId="4E326A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F259A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Постановление ГКО № 5871 О срочных мерах по ликвидации последствий аварии на заводе № 12 НКБ. РГАНИР, Фонд ГКО, д. 253, лл. 83-89,90-91 (11012).</w:t>
      </w:r>
    </w:p>
    <w:p w14:paraId="60A0B6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08869B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Распоряжение ГКО № 5872. О распространении порядка заработной платы строительных рабочих Наркомстроя на рабочих, занятых на оборонительном и базовом строительстве НКВМФ. РГАНИР, Фонд ГКО, д. 253, лл. 92 (11012).</w:t>
      </w:r>
    </w:p>
    <w:p w14:paraId="5C4B41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E161C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Распоряжение ГКО № 5873. О частичном восстановлении Елецкой городской электростанции Наркомхоза РСФСР. РГАНИР, Фонд ГКО, д. 253, лл. 93-94 (11012).</w:t>
      </w:r>
    </w:p>
    <w:p w14:paraId="415B53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78F6D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Распоряжение ГКО № 5874. О продлении до 1 августа 1944 г. срока работы бригад учащихся РУ и ЖУ в МТС и совхозах на ремонте техники. РГАНИР, Фонд ГКО, д. 253, лл. 95 (11012).</w:t>
      </w:r>
    </w:p>
    <w:p w14:paraId="047420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60221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Распоряжение ГКО № 5875. О выделении для НКсвязи 80 грузовых машин НКО во II кв. 1944 г. РГАНИР, Фонд ГКО, д. 253, лл. 96 (11012).</w:t>
      </w:r>
    </w:p>
    <w:p w14:paraId="4AB8FC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5CDE5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Распоряжение ГКО № 5876. Об освобождении НКХП от строительства хлорного цеха на Челекенском йодо-бромном заводе. РГАНИР, Фонд ГКО, д. 253, лл. 97 (11012).</w:t>
      </w:r>
    </w:p>
    <w:p w14:paraId="36FB81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991DD0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Распоряжение ГКО № 5877 [Об изготовлении на Тавдинском лесокомбинате домиков-теплушек, мастерских и складов для ВВС КА.] (7232, 98-99).</w:t>
      </w:r>
    </w:p>
    <w:p w14:paraId="1BD86C0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B5C5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Распоряжение ГКО № 5878. О возвращении в Ленинград в 1944 г. военно-морских учебных заведений. РГАНИР, Фонд ГКО, д. 253, лл. 100 (11012).</w:t>
      </w:r>
    </w:p>
    <w:p w14:paraId="5063C1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E10F7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Распоряжение ГКО № 5879. Об отгрузке газовых углей марки Г для стекольных заводов НКПСМ СССР. РГАНИР, Фонд ГКО, д. 253, лл. 101 (11012).</w:t>
      </w:r>
    </w:p>
    <w:p w14:paraId="0C0330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17171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Постановление ГКО № 5880 О мерах по оснащению МТС, МТМ и ремзаводов станками и ремонтным оборудованием. РГАНИР, Фонд ГКО, д. 253, лл. 102-104,105-106 (11012).</w:t>
      </w:r>
    </w:p>
    <w:p w14:paraId="2821762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6BE541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Распоряжение ГКО № 5881 [О производстве литья нижних катков для танков ИС на Ворошиловградском заводе им. Октябрьской революции НКТМ.] (7232, 107-108,109-112).</w:t>
      </w:r>
    </w:p>
    <w:p w14:paraId="6EABD5D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382FE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Распоряжение ГКО № 5882 О восстановлении железнодорожной ветки Солонички - Карагандинская ГРЭС. (7232, 113-115).</w:t>
      </w:r>
    </w:p>
    <w:p w14:paraId="7392F98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7A87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Распоряжение ГКО № 5883. О дополнительном производстве 1 тыс. моторов к комбайнам на ГАЗ. РГАНИР, Фонд ГКО, д. 253, лл. 116,117 (11012).</w:t>
      </w:r>
    </w:p>
    <w:p w14:paraId="3F9A13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4EE8D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Постановление ГКО № 5884 Об электроснабжении промышленности и коммунального хозяйства г. Орла. РГАНИР, Фонд ГКО, д. 253, лл. 118-121 (11012).</w:t>
      </w:r>
    </w:p>
    <w:p w14:paraId="1EA710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A2F2A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Распоряжение ГКО № 5885. О снабжении 3-й бригады разграждения НКО, переданной в штат Штеровской ГРЭС НКЭС. РГАНИР, Фонд ГКО, д. 253, лл. 122 (11012).</w:t>
      </w:r>
    </w:p>
    <w:p w14:paraId="4E7799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D47C9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Постановление ГКО № 5886 О строительстве Ивановского завода Наркомзема СССР по производству запасных частей к тракторам и сельскохозяйственным машинам. РГАНИР, Фонд ГКО, д. 253, лл. 123-125,126-127 (11012).</w:t>
      </w:r>
    </w:p>
    <w:p w14:paraId="261071A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FE3CC0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Постановление ГКО № 5887 О мероприятиях по расширению производства гидрографического штурманского вооружения в г. Ленинграде. РГАНИР, Фонд ГКО, д. 253, лл. 128-130,131 (11012).</w:t>
      </w:r>
    </w:p>
    <w:p w14:paraId="411839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96222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Постановление ГКО № 5889 О материально-техническом снабжении предприятий целлюлозно-бумажной промышленности во II квартале 1944 г. РГАНИР, Фонд ГКО, д. 253, лл. 163-165,166-177 (11012).</w:t>
      </w:r>
    </w:p>
    <w:p w14:paraId="24CB2F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1F7A1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Постановление ГКО № 5890 О мероприятиях по восстановлению машиностроительных заводов и ремонтных цехов предприятий Наркомчермета на Юге. РГАНИР, Фонд ГКО, д. 253, лл. 178-182,183-195 (11012).</w:t>
      </w:r>
    </w:p>
    <w:p w14:paraId="33F7B2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09245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Постановление ГКО № 5891 Об окончании строительства ТЭЦ завода "Красный Профинтерн" Наркомтяжмаша в г. Красноярске. РГАНИР, Фонд ГКО, д. 253, лл. 196-199,200-207 (11012).</w:t>
      </w:r>
    </w:p>
    <w:p w14:paraId="467865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3CC36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Постановление ГКО № 5892 Об утверждении плана военного судостроения на II квартал 1944 г. РГАНИР, Фонд ГКО, д. 253, лл. 208-215,216-228 (11012).</w:t>
      </w:r>
    </w:p>
    <w:p w14:paraId="1C46FC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A5704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Постановление ГКО № 5893 О мероприятиях по улучшению городского хозяйства г.г. Архангельска и Молотовска Архангельской области. РГАНИР, Фонд ГКО, д. 253, лл. 229-241,242-256 (11012).</w:t>
      </w:r>
    </w:p>
    <w:p w14:paraId="2751DC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A862E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вышло Распоряжение ГКО № 5894. О мерах по обеспечению неотложных нужд ЧФ. РГАНИР, Фонд ГКО, д. 253, лл. 257-258 (11012).</w:t>
      </w:r>
    </w:p>
    <w:p w14:paraId="58BEC0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8EBA7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года приказом НКБ № 203с завод № 15 разделен на два самостоятельные завода:</w:t>
      </w:r>
    </w:p>
    <w:p w14:paraId="737DDC4F" w14:textId="77777777" w:rsidR="00595BFB" w:rsidRPr="00070ADE" w:rsidRDefault="00595BFB" w:rsidP="00B56F9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Химический завод № 15 (производство взрывчатых веществ и кислот).</w:t>
      </w:r>
    </w:p>
    <w:p w14:paraId="3E79AA67" w14:textId="77777777" w:rsidR="00595BFB" w:rsidRPr="00070ADE" w:rsidRDefault="00595BFB" w:rsidP="00B56F9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Снаряжательный завод.</w:t>
      </w:r>
    </w:p>
    <w:p w14:paraId="5C8AF3E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Снаряжательного завода инженер-полковник Крысин.</w:t>
      </w:r>
    </w:p>
    <w:p w14:paraId="59BADC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химического завода № 15 инженер-майор Быков (10214).</w:t>
      </w:r>
    </w:p>
    <w:p w14:paraId="70BD0F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01444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Завершен аварийно-боевой ремонт БМО с бортовым номером 503 (начат 12.ХП 1943 г.) (10671).</w:t>
      </w:r>
    </w:p>
    <w:p w14:paraId="4499927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2944E4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E8C91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B6B7D1"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в 1944 году оперативная сводка Совинформбюро:</w:t>
      </w:r>
    </w:p>
    <w:p w14:paraId="29B67803"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12 мая на плацдарме правого берега реки Днестр, северо-западнее города Тирасполь, наши войска отбили неоднократные атаки крупных сил пехоты и танков противника, нанеся ему большие потери в живой силе и технике. В результате упорных двухдневных боёв нашими войсками подбито и уничтожено до 100 немецких танков. Противник потерял только убитыми более 4.000 своих солдат и офицеров.</w:t>
      </w:r>
    </w:p>
    <w:p w14:paraId="5826CF93"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Крыму войска 4-го Украинского фронта полностью закончили ликвидацию остатков войск противника в районе мыса Херсонес.</w:t>
      </w:r>
    </w:p>
    <w:p w14:paraId="63F614FD"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без существенных изменений.</w:t>
      </w:r>
    </w:p>
    <w:p w14:paraId="72901EE6"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11 мая наши войска на всех фронтах подбили и уничтожили 45 немецких танков. В воздушных боях и огнём зенитной артиллерии сбито 32 самолёта противника.»</w:t>
      </w:r>
    </w:p>
    <w:p w14:paraId="1DFE5A76"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Массированный налёт нашей авиации на железнодорожный узел Люблин:</w:t>
      </w:r>
    </w:p>
    <w:p w14:paraId="41E132EA"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ночь на 12 мая наша авиация дальнего действия произвела массированный налёт на железнодорожный узел Люблин. Бомбардировке были подвергнуты скопления воинских эшелонов и военные склады противника. На железнодорожном узле возникли большие пожары. В районе складов, находящихся в центральной части узла, произошло несколько сильных взрывов.</w:t>
      </w:r>
    </w:p>
    <w:p w14:paraId="776B10DF"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наших самолёта не вернулись на свои аэродромы.»</w:t>
      </w:r>
    </w:p>
    <w:p w14:paraId="6173415B"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«Некоторое время тому назад Французский Комитет Национального Освобождения обратился к Советскому Правительству с просьбой передать французским военным властям военнопленных германской армии французской национальности, преимущественно эльзасцев и лотарингцев, добровольно перешедших на сторону Красной Армии, и направить их в Северную Африку для включения во французскую армию.</w:t>
      </w:r>
    </w:p>
    <w:p w14:paraId="1D9F3420"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Советское Правительство удовлетворило эту просьбу Французского Комитета Национального Освобождения и дало необходимые указания советским военным властям.</w:t>
      </w:r>
    </w:p>
    <w:p w14:paraId="7F9F70F5"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на одном участке противник силами до батальона пехоты пытался вести разведку. Бойцы Н-ской части нанесли перешедшим в атаку немцам удар с фланга и обратили их в бегство. В этом бою уничтожено две роты гитлеровцев и взяты пленные.</w:t>
      </w:r>
    </w:p>
    <w:p w14:paraId="22BD7632"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Тирасполь противник рано утром вновь начал атаковать наши позиции на правом берегу Днестра. Немцы ввели в бой крупные силы пехоты и танков. Наши пехотинцы, артиллеристы и бронебойщики, при поддержке авиации, отбили атаки противника. Во второй половине дня немцы подтянули дополнительные силы танков и самоходных орудий. Завязался ожесточённый бой. Советские гвардейцы мужественно и стойко сдерживали натиск численно превосходящих сил врага. Противник не добился успеха, хотя и понёс большие потери в живой силе. Сожжено и подбито 40 немецких танков и 11 самоходных орудий.</w:t>
      </w:r>
    </w:p>
    <w:p w14:paraId="596C1422"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лётчики в воздушных боях в течение дня сбили 23 немецких самолёта.</w:t>
      </w:r>
    </w:p>
    <w:p w14:paraId="224D507E"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Береговыми батареями Северного оборонительного района потоплена немецкая самоходная баржа, пытавшаяся прорваться в порт Петсамо.</w:t>
      </w:r>
    </w:p>
    <w:p w14:paraId="0B15BA15"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Отряд латвийских партизан «Смерть фашизму» внезапно напал на гитлеровцев, охранявших лагерь советских военнопленных и мирных жителей. Советские патриоты уничтожили немецкую охрану и освободили заключённых. Немецкие власти направили против партизан карательную экспедицию. Советские патриоты приняли бой, истребили 40 гитлеровцев, а остальных обратили в бегство. На-днях партизаны этого же отряда пустили под откос два немецких воинских эшелона.</w:t>
      </w:r>
    </w:p>
    <w:p w14:paraId="5B9075F8"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ефрейтор 37 венгерского полка Денеш Чупор рассказал: «Когда мы уезжали на фронт, у казарм собралась большая толпа женщин. Они плакали и говорили: «Немцы грабят Венгрию, а вы едете на фронт. Оставайтесь дома, и пусть немцы сами воюют». На фронте нам зачитали приказ, в котором перечисляются наказания за воинские преступления: за невыполнение приказания — расстрел, за бегство с поля боя и дезертирство — расстрел, за потерю оружия — расстрел, за разведение костров — расстрел, за саботаж — расстрел, за оскорбление военнослужащих немецкой армии — расстрел. Всем без исключения солдатам и офицерам было предложено расписаться в том, что им известно содержание этого приказа. Такими крутыми мерами немецкое командование пытается удержать венгерских солдат в повиновении».</w:t>
      </w:r>
    </w:p>
    <w:p w14:paraId="500A89BA"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публикуется акт о зверствах немецко-фашистских мерзавцев в посёлке Кирпичного завода и селе Куяльник, Одесской области: «Отступая под ударами Красной Армии, гитлеровцы вымещали свою злобу на мирных жителях. Девятого апреля немецкие солдаты и офицеры загнали в глиняный карьер женщин, детей и стариков и учинили над ними зверскую расправу. Фашистские палачи расстреливали ни в чём не повинных мирных советских людей из автоматов и пистолетов. Немецкие изверги в течение этого дня убили до 400 жителей. От рук фашистских палачей погибло более 30 малолетних детей».</w:t>
      </w:r>
    </w:p>
    <w:p w14:paraId="3F528E38"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Акт подписали: Андрей Шинкарюк, Григорий Фесенко, Яков Кумпань, Прохор Диденко и другие.»</w:t>
      </w:r>
    </w:p>
    <w:p w14:paraId="5D26D887"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Разгром немецких войск в Крыму. Итоги Крымской кампании:</w:t>
      </w:r>
    </w:p>
    <w:p w14:paraId="364D993F"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«Сегодня, 12 мая, в Крыму закончилась операция по очищению района мыса Херсонес от остатков немецко-фашистских войск, разбитых при овладении нашими войсками городом Севастополь.</w:t>
      </w:r>
    </w:p>
    <w:p w14:paraId="59FCD66F"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боёв по разгрому Севастопольского плацдарма противника и очищению мыса Херсонес нашими войсками за период с 7 по 12 мая уничтожено: танков и самоходных орудий — 49, самолётов — 87, орудий разных — 308, миномётов — 331, пулемётов — 620, автомашин — 564, складов разных — 24.</w:t>
      </w:r>
    </w:p>
    <w:p w14:paraId="53BB4447"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Противник потерял только убитыми более 20.000 солдат и офицеров.</w:t>
      </w:r>
    </w:p>
    <w:p w14:paraId="52373D78"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Захвачено нашими войсками: танков и самоходных орудий — 48, самолётов — 49, орудий разных — 1.228, миномётов — 721, пулемётов — 4.859, винтовок и автоматов — 46.041, автомашин — 4.173, лошадей — 710, складов разных — 123, паровозов — 25, эшелонов с военной техникой — 14 и отдельно вагонов с разным военным имуществом — 540.</w:t>
      </w:r>
    </w:p>
    <w:p w14:paraId="2C3E1117"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Взято в плен 24.361 солдат и офицеров, в том числе командир 5 армейского корпуса генерал-лейтенант Бемэ, командир 111 пехотной дивизии генерал-лейтенант Грюнер и несколько полковников.</w:t>
      </w:r>
    </w:p>
    <w:p w14:paraId="642279CB"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за период Крымской кампании с 8 апреля по 12 мая нашими войсками уничтожено: танков и самоходных орудий — 188, самолётов — 529, орудий разных — 775, миномётов — 946, пулемётов — 1.882, автомашин — 2.227, складов разных — 39.</w:t>
      </w:r>
    </w:p>
    <w:p w14:paraId="19A743CE"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Противник потерял убитыми более 50.000 солдат и офицеров.</w:t>
      </w:r>
    </w:p>
    <w:p w14:paraId="40E0EE42"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Захвачено: танков и самоходных орудий — 111, самолётов — 49, орудий разных — 2.304, миномётов — 1.449, пулемётов — 7.008, винтовок и автоматов — 84.524, автомашин — 4.809, лошадей — 11.684, складов, разных — 188, паровозов — 44, эшелонов с военной техникой — 14 и отдельно вагонов с разным военным имуществом — 2.865.</w:t>
      </w:r>
    </w:p>
    <w:p w14:paraId="10212B34"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Взято в плен 61.587 солдат и офицеров, из них часть раненых.</w:t>
      </w:r>
    </w:p>
    <w:p w14:paraId="63831978"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за всю Крымскую кампанию с 8 апреля по 12 мая противник потерял по главным видам боевой техники и людского состава: пленными и убитыми — 111.587 человек, танков и самоходных орудий — 299, самолётов — 578, орудий разных калибров — 3.079, автомашин — 7.036 и много другой техники.</w:t>
      </w:r>
    </w:p>
    <w:p w14:paraId="3774F78C" w14:textId="77777777" w:rsidR="0094368B" w:rsidRPr="00070ADE" w:rsidRDefault="0094368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нашей авиацией и кораблями Черноморского флота с 8 апреля по 12 мая потоплено с войсками и военными грузами противника: транспортов — 69, быстроходных десантных барж — 56, сторожевых кораблей — 2, канонерских лодок — 2, тральщиков — 3, сторожевых катеров — 27 и других судов — 32. Всего потоплено за это время 191 судно разного тоннажа.» (14889).</w:t>
      </w:r>
    </w:p>
    <w:p w14:paraId="1D497F5E" w14:textId="77777777" w:rsidR="0094368B" w:rsidRPr="00070ADE" w:rsidRDefault="0094368B" w:rsidP="00B56F90">
      <w:pPr>
        <w:spacing w:after="0" w:line="240" w:lineRule="auto"/>
        <w:jc w:val="both"/>
        <w:rPr>
          <w:rFonts w:ascii="Times New Roman" w:hAnsi="Times New Roman"/>
          <w:color w:val="000000" w:themeColor="text1"/>
          <w:sz w:val="16"/>
          <w:szCs w:val="16"/>
        </w:rPr>
      </w:pPr>
    </w:p>
    <w:p w14:paraId="27A7F3E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Крым полностью освобожден от фашистов (4962).</w:t>
      </w:r>
    </w:p>
    <w:p w14:paraId="71445B4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6D95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12 1944 Germans surrender in Crimea (1050).</w:t>
      </w:r>
    </w:p>
    <w:p w14:paraId="151C3E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79837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немецкие войска в Крыму капитулировали (1050).</w:t>
      </w:r>
    </w:p>
    <w:p w14:paraId="25A3B2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1093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п/л Щ-201 (П.И.Парамошкин) у маяка Олинька потопила транспорт Гейзерихс (3500 т), а А-5 (В.И.Матвеев) у маяка Херсонесский - Дуростор (1300 т) и шхуну Сейферд (300 т) (3398,179).</w:t>
      </w:r>
    </w:p>
    <w:p w14:paraId="5AF10A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3397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среднем за 1943 1 боевая потеря приходилась на 26 б/в или 27 час., а за январь-апрель 1944 - 54 вылета и 55 часов. Безвозвратные боевые потери в расчете на все самолеты снизились с 3.9% до 1.9% (816,2).</w:t>
      </w:r>
    </w:p>
    <w:p w14:paraId="123A29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54236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22DFC4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8202F1" w14:textId="77777777" w:rsidR="00B51C29" w:rsidRPr="00070ADE" w:rsidRDefault="00B51C2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12 мая в 1944 году одно из боевых применений 50-мм авиационной пушки </w:t>
      </w:r>
      <w:hyperlink r:id="rId127" w:tgtFrame="_blank" w:history="1">
        <w:r w:rsidRPr="00070ADE">
          <w:rPr>
            <w:rFonts w:ascii="Times New Roman" w:hAnsi="Times New Roman"/>
            <w:color w:val="000000" w:themeColor="text1"/>
            <w:sz w:val="16"/>
            <w:szCs w:val="16"/>
          </w:rPr>
          <w:t xml:space="preserve">«ВК 5» («BordKanone»), </w:t>
        </w:r>
      </w:hyperlink>
    </w:p>
    <w:p w14:paraId="7FB7CA56" w14:textId="77777777" w:rsidR="00B51C29" w:rsidRPr="00070ADE" w:rsidRDefault="00B51C2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созданной на базе танковой 50-мм пушки, закончившейся очередной неудачей. Соединение из 26 «Ме-410» с 50-мм пушками атаковало 50-60 американских бомбардировщиков «В-17», идущих без истребителей сопровождения. На восьми «Ме-410» пушки «ВК5» отказали после первых же выстрелов. Девять «Ме-410» были сбиты оборонительным огнем бомбардировщиков.</w:t>
      </w:r>
    </w:p>
    <w:p w14:paraId="48DA4FEF" w14:textId="77777777" w:rsidR="00B51C29" w:rsidRPr="00070ADE" w:rsidRDefault="00B51C2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Без преувеличения «ВК-5» можно назвать "самоделкой на коленке". В воздушных боях эта пушка часто отказывала и сколько всего было отказов «ВК5» - узнать не удалось, но, по-видимому, пушка отказывала сразу в каждом втором случае. Питание пушки «ВК-5» производилось из круглого магазина емкостью 21 патрон. В этой пушке закрывание и открывание затвора осуществлялось за счет энергии отката как в обычной полевой полуавтоматической пушке, а подача снарядов производилась специальным пневматическим приспособлением. Темп стрельбы «ВК-5» - 40 выстр./мин. Пушка вместе с механизмом перезарядки весила 592 кг. Начальная скорость снаряда 500 м/с. Комбинированный прицел «ZFR-4А» позволял вести прицельный огонь на дистанции до 1200 м. Устанавливалась на истребителях «Ме-210А-0», «Ме-410А-2» и «Ju-88».</w:t>
      </w:r>
    </w:p>
    <w:p w14:paraId="7A39660D" w14:textId="77777777" w:rsidR="00B51C29" w:rsidRPr="00070ADE" w:rsidRDefault="00B51C2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 не менее, несмотря на её ненадёжность по указанию бездарного начальства пушку ВК-5 поставили даже на реактивный Ме-2б2А-1а (боекомплект 30 снарядов) (14889).</w:t>
      </w:r>
    </w:p>
    <w:p w14:paraId="070D05F3" w14:textId="77777777" w:rsidR="00B51C29" w:rsidRPr="00070ADE" w:rsidRDefault="00B51C29" w:rsidP="00B56F90">
      <w:pPr>
        <w:spacing w:after="0" w:line="240" w:lineRule="auto"/>
        <w:jc w:val="both"/>
        <w:rPr>
          <w:rFonts w:ascii="Times New Roman" w:hAnsi="Times New Roman"/>
          <w:color w:val="000000" w:themeColor="text1"/>
          <w:sz w:val="16"/>
          <w:szCs w:val="16"/>
        </w:rPr>
      </w:pPr>
    </w:p>
    <w:p w14:paraId="19A9ED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12 мая 1944 согласно руководителю немецкой военной промышленности Альберту Шпееру противник окончательно одержал победу в сфере военного производства. До этого Германии удавалось, несмотря на значительные потери в вооружении, в общем и целом удовлетворять потребности Вермахта. После налета 935 б 5Ф США на заводы по производству искусственного горючего в центральной и южной Германии начался новый период воздушной войны, положивший начало полному краху </w:t>
      </w:r>
      <w:r w:rsidRPr="00070ADE">
        <w:rPr>
          <w:rFonts w:ascii="Times New Roman" w:hAnsi="Times New Roman"/>
          <w:color w:val="000000" w:themeColor="text1"/>
          <w:sz w:val="16"/>
          <w:szCs w:val="16"/>
        </w:rPr>
        <w:lastRenderedPageBreak/>
        <w:t>военной промышленности. Вообще на Западе немцы потеряли 25% танков и штурмовых орудий, 40% самолетов, 40% военнослужащих (3843).</w:t>
      </w:r>
    </w:p>
    <w:p w14:paraId="26FFB6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043999" w14:textId="77777777" w:rsidR="00B51C29" w:rsidRPr="00070ADE" w:rsidRDefault="00B51C2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rPr>
        <w:t>С 12 мая 1944 8 ВА США (Англия) начала налеты на нефтеперерабатывающие заводы в Германии. Рейды</w:t>
      </w:r>
      <w:r w:rsidRPr="00070ADE">
        <w:rPr>
          <w:rFonts w:ascii="Times New Roman" w:hAnsi="Times New Roman"/>
          <w:color w:val="000000" w:themeColor="text1"/>
          <w:sz w:val="16"/>
          <w:szCs w:val="16"/>
          <w:lang w:val="en-US"/>
        </w:rPr>
        <w:t xml:space="preserve"> 900-1400 </w:t>
      </w:r>
      <w:r w:rsidRPr="00070ADE">
        <w:rPr>
          <w:rFonts w:ascii="Times New Roman" w:hAnsi="Times New Roman"/>
          <w:color w:val="000000" w:themeColor="text1"/>
          <w:sz w:val="16"/>
          <w:szCs w:val="16"/>
        </w:rPr>
        <w:t>бомбардировщиковидо</w:t>
      </w:r>
      <w:r w:rsidRPr="00070ADE">
        <w:rPr>
          <w:rFonts w:ascii="Times New Roman" w:hAnsi="Times New Roman"/>
          <w:color w:val="000000" w:themeColor="text1"/>
          <w:sz w:val="16"/>
          <w:szCs w:val="16"/>
          <w:lang w:val="en-US"/>
        </w:rPr>
        <w:t xml:space="preserve"> 800 </w:t>
      </w:r>
      <w:r w:rsidRPr="00070ADE">
        <w:rPr>
          <w:rFonts w:ascii="Times New Roman" w:hAnsi="Times New Roman"/>
          <w:color w:val="000000" w:themeColor="text1"/>
          <w:sz w:val="16"/>
          <w:szCs w:val="16"/>
        </w:rPr>
        <w:t>истребителей</w:t>
      </w:r>
      <w:r w:rsidRPr="00070ADE">
        <w:rPr>
          <w:rFonts w:ascii="Times New Roman" w:hAnsi="Times New Roman"/>
          <w:color w:val="000000" w:themeColor="text1"/>
          <w:sz w:val="16"/>
          <w:szCs w:val="16"/>
          <w:lang w:val="en-US"/>
        </w:rPr>
        <w:t xml:space="preserve"> (1261,32).</w:t>
      </w:r>
    </w:p>
    <w:p w14:paraId="2C226951" w14:textId="77777777" w:rsidR="00B51C29" w:rsidRPr="00070ADE" w:rsidRDefault="00B51C29"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F2F0D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12th, 1944: In Italy, fierce German counter-attacks along the Gustav Line at Cassino. The US 8th Air Force (800 bombers) carries out attacks against the synthetic fuel plants at Leuna-Merseburg, Lutzkendorf, Zeitz and Brux (3819).</w:t>
      </w:r>
    </w:p>
    <w:p w14:paraId="0B347F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80E26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мая 1944 были немецкие контратаки вдоль линии Густава у Монте Кассино. 8ВА (800 бомбардировщиков) выполнили налет на завод синтетического горючего и Леуна-Мерсебург, Цайтс и Брюкс (3819).</w:t>
      </w:r>
    </w:p>
    <w:p w14:paraId="51D4CF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33CFD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AB987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8C77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мая 1944 три опытных Ил-10 поступили на госиспытания в ГК НИИ ВВС, которые продолжались всего две недели. Летно-тактические данные Ил-10 оказались выдающимися: максимальная горизонтальная скорость полета на высоте 2800 м была равна 551 км/ч - почти на 150 км/ч больше, чем у двухместного Ил-2 (9532,5).</w:t>
      </w:r>
    </w:p>
    <w:p w14:paraId="59BEFD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155B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мая 1944 три опытные Ил-10 поступили на госиспытания в ГК НИИ ВВС (9528).</w:t>
      </w:r>
    </w:p>
    <w:p w14:paraId="4175CE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Они продолжались всего две недели. Испытания проводила бригада во главе с ведущим инженером П.Т.Аброщенко. Оценка ведущего летчика-испытателя А.К.Долгова и летчиков облета была хорошей: “...самолет по технике пилотирования прост и не требует специального переучивания для перехода на него летчиков, летающих на самолетах Ил-2. Устойчивость и управляемость хорошие. Путевая устойчивость несколько велика. Нагрузки от рулей нормальные...”.</w:t>
      </w:r>
    </w:p>
    <w:p w14:paraId="5F9201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Летно-тактические данные Ил-10 оказались выдающимися: при полетном весе 6335 кг на номинальном режиме работы двигателя максимальная скорость на высоте 2800 м оказалась равной 551 км/ч - почти на 150 км/ч больше максимальной скорости двухместного Ил-2. На высотах от земли до 2000 м скорость двухместного бронированного Ил-10 была всего лишь на 10-15 км/ч меньше скорости одноместных истребителей Me-109G-2 и FW-109A-4. Результаты госиспытаний Ил-10 и его показательные воздушные бои с истребителем Ла-5ФН подтвердили правильность основной идеи проектирования Ил-10. Она состояла в том, что оптимальное сочетание мощного вооружения бронированного штурмовика с большой скоростью и отличной маневренностью обеспечивает ему не только эффективное выполнение разнообразных боевых задач по уничтожению наземных целей, но и позволяет самолету вести активный воздушный бой со всеми типами вражеских истребителей.</w:t>
      </w:r>
    </w:p>
    <w:p w14:paraId="7F5BB2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подтверждали выводы акта государственных испытаний Ил-10: “Высокая скорость полета, хорошая устойчивость и управляемость при аналогичным с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 В эксплуатации самолет прост... Самолет Ил-10 является классическим образцом самолета-штурмовика”.</w:t>
      </w:r>
    </w:p>
    <w:p w14:paraId="7BE32A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Отличные летно-тактические данные Ил-10 способствовали тому, что при сравнительной оценке штурмовиков Су-6, Ил-8 и Ил-10 с двигателями АМ-42, практически одновременно проходившими госиспытания, Ил-10 было отдано предпочтение (9528).</w:t>
      </w:r>
    </w:p>
    <w:p w14:paraId="54DCE1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B8D4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мая 1944 (то есть с опозданием на шесть месяцев) Ил-10 АМ-42 был сдан на государственные испытания в ГК НИИ ВВС КА (9649).</w:t>
      </w:r>
    </w:p>
    <w:p w14:paraId="25AC8F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Опытный образец Ил-10 с мотором АМ-42 был представлен на испытания сразу в трех экземплярах, что позволило ведущему инженеру П.Т.Аброщенко (ведущий летчик-испытатель А.К.Долгов, штурман Горбунов) завершить испытания нового штурмовика всего за две недели.</w:t>
      </w:r>
    </w:p>
    <w:p w14:paraId="68008C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выполнив 43 полета по программе испытаний, бригада рапортовала об их успешном завершении. По мнению А. Долгова и летчиков облета ГК НИИ ВВС (А. Синельникова, М. Субботина, А. Живописцева и Г. Тинякова) новый штурмовик Ил-10 “по технике пилотирования прост и не требует специального переучивания для перехода на него летчиков, летающих на серийных самолетах Ил-2...</w:t>
      </w:r>
    </w:p>
    <w:p w14:paraId="782851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Устойчивость и управляемость хорошие. Путевая устойчивость несколько велика. Нагрузки от рулей нормальные по величине и направлению. Нагрузки от рулей высоты несколько велики. На рулежке устойчивость самолета недостаточна...”</w:t>
      </w:r>
    </w:p>
    <w:p w14:paraId="3DD222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выводах акта по результатам госиспытаний Ил-10-го отмечалось, что “...Ил-10,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 на границе высотности на 147 км/ч</w:t>
      </w:r>
    </w:p>
    <w:p w14:paraId="418096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Время набора высоты 3000 м меньше на 3 мин... Дальность горизонтального полета на высоте 500 м возросла на 120 км.</w:t>
      </w:r>
    </w:p>
    <w:p w14:paraId="7D17CF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w:t>
      </w:r>
    </w:p>
    <w:p w14:paraId="157019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эксплуатации самолет прост... его производство может базироваться на технологии серийного производства Ил-2...</w:t>
      </w:r>
    </w:p>
    <w:p w14:paraId="088722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Ил-10 является классическим образцом самолета-штурмовика...”</w:t>
      </w:r>
    </w:p>
    <w:p w14:paraId="434EA9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Машина была рекомендована для постановки серийного производства при условии устранения выявленных дефектов, связанных главным образом с ненадежной работой винтомоторной установки. В этой связи штурмовик был возвращен в ОКБ на завод № 240 для доводки (9649).</w:t>
      </w:r>
    </w:p>
    <w:p w14:paraId="3BD11D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0C3A75" w14:textId="77777777" w:rsidR="00C62CBE" w:rsidRPr="00070ADE" w:rsidRDefault="00C62CB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мая 1944 на государственные испытания поступил опытный штурмовик Ил-10 АМ-42. В то же время вопрос о принятии Ил-8 на воору</w:t>
      </w:r>
      <w:r w:rsidRPr="00070ADE">
        <w:rPr>
          <w:rFonts w:ascii="Times New Roman" w:hAnsi="Times New Roman"/>
          <w:color w:val="000000" w:themeColor="text1"/>
          <w:sz w:val="16"/>
          <w:szCs w:val="16"/>
        </w:rPr>
        <w:softHyphen/>
        <w:t>жение еще только обсуждался. Явно про</w:t>
      </w:r>
      <w:r w:rsidRPr="00070ADE">
        <w:rPr>
          <w:rFonts w:ascii="Times New Roman" w:hAnsi="Times New Roman"/>
          <w:color w:val="000000" w:themeColor="text1"/>
          <w:sz w:val="16"/>
          <w:szCs w:val="16"/>
        </w:rPr>
        <w:softHyphen/>
        <w:t>слеживается желание наркомата поста</w:t>
      </w:r>
      <w:r w:rsidRPr="00070ADE">
        <w:rPr>
          <w:rFonts w:ascii="Times New Roman" w:hAnsi="Times New Roman"/>
          <w:color w:val="000000" w:themeColor="text1"/>
          <w:sz w:val="16"/>
          <w:szCs w:val="16"/>
        </w:rPr>
        <w:softHyphen/>
        <w:t>вить</w:t>
      </w:r>
      <w:r w:rsidRPr="00070ADE">
        <w:rPr>
          <w:rStyle w:val="9pt80"/>
          <w:rFonts w:ascii="Times New Roman" w:hAnsi="Times New Roman" w:cs="Times New Roman"/>
          <w:color w:val="000000" w:themeColor="text1"/>
          <w:w w:val="100"/>
          <w:sz w:val="16"/>
          <w:szCs w:val="16"/>
        </w:rPr>
        <w:t xml:space="preserve"> «на снабжение ВВСКА»</w:t>
      </w:r>
      <w:r w:rsidRPr="00070ADE">
        <w:rPr>
          <w:rFonts w:ascii="Times New Roman" w:hAnsi="Times New Roman"/>
          <w:color w:val="000000" w:themeColor="text1"/>
          <w:sz w:val="16"/>
          <w:szCs w:val="16"/>
        </w:rPr>
        <w:t xml:space="preserve"> именно самолет Ил-8, как более удобный для массо</w:t>
      </w:r>
      <w:r w:rsidRPr="00070ADE">
        <w:rPr>
          <w:rFonts w:ascii="Times New Roman" w:hAnsi="Times New Roman"/>
          <w:color w:val="000000" w:themeColor="text1"/>
          <w:sz w:val="16"/>
          <w:szCs w:val="16"/>
        </w:rPr>
        <w:softHyphen/>
        <w:t>вого производства.</w:t>
      </w:r>
    </w:p>
    <w:p w14:paraId="222B8CEC" w14:textId="77777777" w:rsidR="00C62CBE" w:rsidRPr="00070ADE" w:rsidRDefault="00C62CB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Несомненно, внедрение в серию Су-6 АМ-42 потребовало бы перестройки сбо</w:t>
      </w:r>
      <w:r w:rsidRPr="00070ADE">
        <w:rPr>
          <w:rFonts w:ascii="Times New Roman" w:hAnsi="Times New Roman"/>
          <w:color w:val="000000" w:themeColor="text1"/>
          <w:sz w:val="16"/>
          <w:szCs w:val="16"/>
        </w:rPr>
        <w:softHyphen/>
        <w:t>рочных конвейеров и изготовления но</w:t>
      </w:r>
      <w:r w:rsidRPr="00070ADE">
        <w:rPr>
          <w:rFonts w:ascii="Times New Roman" w:hAnsi="Times New Roman"/>
          <w:color w:val="000000" w:themeColor="text1"/>
          <w:sz w:val="16"/>
          <w:szCs w:val="16"/>
        </w:rPr>
        <w:softHyphen/>
        <w:t>вой оснастки и инструмента, что в усло</w:t>
      </w:r>
      <w:r w:rsidRPr="00070ADE">
        <w:rPr>
          <w:rFonts w:ascii="Times New Roman" w:hAnsi="Times New Roman"/>
          <w:color w:val="000000" w:themeColor="text1"/>
          <w:sz w:val="16"/>
          <w:szCs w:val="16"/>
        </w:rPr>
        <w:softHyphen/>
        <w:t>виях войны, несомненно, являлось опре</w:t>
      </w:r>
      <w:r w:rsidRPr="00070ADE">
        <w:rPr>
          <w:rFonts w:ascii="Times New Roman" w:hAnsi="Times New Roman"/>
          <w:color w:val="000000" w:themeColor="text1"/>
          <w:sz w:val="16"/>
          <w:szCs w:val="16"/>
        </w:rPr>
        <w:softHyphen/>
        <w:t>деленным техническим риском. В то же время Ил-8 АМ-42 имел много общего с Ил-2 АМ-38ф, и в случае организации его серийного выпуска можно было ис</w:t>
      </w:r>
      <w:r w:rsidRPr="00070ADE">
        <w:rPr>
          <w:rFonts w:ascii="Times New Roman" w:hAnsi="Times New Roman"/>
          <w:color w:val="000000" w:themeColor="text1"/>
          <w:sz w:val="16"/>
          <w:szCs w:val="16"/>
        </w:rPr>
        <w:softHyphen/>
        <w:t>пользовать те же конвейеры и большую часть имеющейся оснастки</w:t>
      </w:r>
      <w:r w:rsidRPr="00070ADE">
        <w:rPr>
          <w:rStyle w:val="9pt80"/>
          <w:rFonts w:ascii="Times New Roman" w:hAnsi="Times New Roman" w:cs="Times New Roman"/>
          <w:color w:val="000000" w:themeColor="text1"/>
          <w:w w:val="100"/>
          <w:sz w:val="16"/>
          <w:szCs w:val="16"/>
        </w:rPr>
        <w:t xml:space="preserve"> </w:t>
      </w:r>
      <w:r w:rsidRPr="00070ADE">
        <w:rPr>
          <w:rStyle w:val="9pt80"/>
          <w:rFonts w:ascii="Times New Roman" w:hAnsi="Times New Roman" w:cs="Times New Roman"/>
          <w:i w:val="0"/>
          <w:iCs w:val="0"/>
          <w:color w:val="000000" w:themeColor="text1"/>
          <w:w w:val="100"/>
          <w:sz w:val="16"/>
          <w:szCs w:val="16"/>
        </w:rPr>
        <w:t>(«50% дета</w:t>
      </w:r>
      <w:r w:rsidRPr="00070ADE">
        <w:rPr>
          <w:rStyle w:val="9pt80"/>
          <w:rFonts w:ascii="Times New Roman" w:hAnsi="Times New Roman" w:cs="Times New Roman"/>
          <w:i w:val="0"/>
          <w:iCs w:val="0"/>
          <w:color w:val="000000" w:themeColor="text1"/>
          <w:w w:val="100"/>
          <w:sz w:val="16"/>
          <w:szCs w:val="16"/>
        </w:rPr>
        <w:softHyphen/>
        <w:t>лей и оснастки остается без изменений, а из 50% оснастки, которая подлежит пе</w:t>
      </w:r>
      <w:r w:rsidRPr="00070ADE">
        <w:rPr>
          <w:rStyle w:val="9pt80"/>
          <w:rFonts w:ascii="Times New Roman" w:hAnsi="Times New Roman" w:cs="Times New Roman"/>
          <w:i w:val="0"/>
          <w:iCs w:val="0"/>
          <w:color w:val="000000" w:themeColor="text1"/>
          <w:w w:val="100"/>
          <w:sz w:val="16"/>
          <w:szCs w:val="16"/>
        </w:rPr>
        <w:softHyphen/>
        <w:t>ределке, 25% подвергается только обра</w:t>
      </w:r>
      <w:r w:rsidRPr="00070ADE">
        <w:rPr>
          <w:rStyle w:val="9pt80"/>
          <w:rFonts w:ascii="Times New Roman" w:hAnsi="Times New Roman" w:cs="Times New Roman"/>
          <w:i w:val="0"/>
          <w:iCs w:val="0"/>
          <w:color w:val="000000" w:themeColor="text1"/>
          <w:w w:val="100"/>
          <w:sz w:val="16"/>
          <w:szCs w:val="16"/>
        </w:rPr>
        <w:softHyphen/>
        <w:t>ботке»</w:t>
      </w:r>
      <w:r w:rsidRPr="00070ADE">
        <w:rPr>
          <w:rStyle w:val="9pt80"/>
          <w:rFonts w:ascii="Times New Roman" w:hAnsi="Times New Roman" w:cs="Times New Roman"/>
          <w:color w:val="000000" w:themeColor="text1"/>
          <w:w w:val="100"/>
          <w:sz w:val="16"/>
          <w:szCs w:val="16"/>
        </w:rPr>
        <w:t>),</w:t>
      </w:r>
      <w:r w:rsidRPr="00070ADE">
        <w:rPr>
          <w:rFonts w:ascii="Times New Roman" w:hAnsi="Times New Roman"/>
          <w:color w:val="000000" w:themeColor="text1"/>
          <w:sz w:val="16"/>
          <w:szCs w:val="16"/>
        </w:rPr>
        <w:t xml:space="preserve"> Штурмовик Ил-10 в этом отно</w:t>
      </w:r>
      <w:r w:rsidRPr="00070ADE">
        <w:rPr>
          <w:rFonts w:ascii="Times New Roman" w:hAnsi="Times New Roman"/>
          <w:color w:val="000000" w:themeColor="text1"/>
          <w:sz w:val="16"/>
          <w:szCs w:val="16"/>
        </w:rPr>
        <w:softHyphen/>
        <w:t>шении заметно уступал «восьмерке», что впоследствии стало для НКАП</w:t>
      </w:r>
      <w:r w:rsidRPr="00070ADE">
        <w:rPr>
          <w:rStyle w:val="9pt80"/>
          <w:rFonts w:ascii="Times New Roman" w:hAnsi="Times New Roman" w:cs="Times New Roman"/>
          <w:color w:val="000000" w:themeColor="text1"/>
          <w:w w:val="100"/>
          <w:sz w:val="16"/>
          <w:szCs w:val="16"/>
        </w:rPr>
        <w:t xml:space="preserve"> «неожидан</w:t>
      </w:r>
      <w:r w:rsidRPr="00070ADE">
        <w:rPr>
          <w:rStyle w:val="9pt80"/>
          <w:rFonts w:ascii="Times New Roman" w:hAnsi="Times New Roman" w:cs="Times New Roman"/>
          <w:color w:val="000000" w:themeColor="text1"/>
          <w:w w:val="100"/>
          <w:sz w:val="16"/>
          <w:szCs w:val="16"/>
        </w:rPr>
        <w:softHyphen/>
        <w:t>ным открытием».</w:t>
      </w:r>
    </w:p>
    <w:p w14:paraId="7BC9FB38" w14:textId="77777777" w:rsidR="00C62CBE" w:rsidRPr="00070ADE" w:rsidRDefault="00C62CB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документов, Ша</w:t>
      </w:r>
      <w:r w:rsidRPr="00070ADE">
        <w:rPr>
          <w:rFonts w:ascii="Times New Roman" w:hAnsi="Times New Roman"/>
          <w:color w:val="000000" w:themeColor="text1"/>
          <w:sz w:val="16"/>
          <w:szCs w:val="16"/>
          <w:lang w:val="en-US"/>
        </w:rPr>
        <w:t>xy</w:t>
      </w:r>
      <w:r w:rsidRPr="00070ADE">
        <w:rPr>
          <w:rFonts w:ascii="Times New Roman" w:hAnsi="Times New Roman"/>
          <w:color w:val="000000" w:themeColor="text1"/>
          <w:sz w:val="16"/>
          <w:szCs w:val="16"/>
        </w:rPr>
        <w:t>рин, не дожидаясь окончательного ре</w:t>
      </w:r>
      <w:r w:rsidRPr="00070ADE">
        <w:rPr>
          <w:rFonts w:ascii="Times New Roman" w:hAnsi="Times New Roman"/>
          <w:color w:val="000000" w:themeColor="text1"/>
          <w:sz w:val="16"/>
          <w:szCs w:val="16"/>
        </w:rPr>
        <w:softHyphen/>
        <w:t>шения военных, дал указание о срочном развертывании серийного производства Ил-8 АМ-42 на авиазаводе №18. Тем бо</w:t>
      </w:r>
      <w:r w:rsidRPr="00070ADE">
        <w:rPr>
          <w:rFonts w:ascii="Times New Roman" w:hAnsi="Times New Roman"/>
          <w:color w:val="000000" w:themeColor="text1"/>
          <w:sz w:val="16"/>
          <w:szCs w:val="16"/>
        </w:rPr>
        <w:softHyphen/>
        <w:t>лее что в наркомате имелось письмо главного инженера ВВС КА генерал-полковника Репина.</w:t>
      </w:r>
    </w:p>
    <w:p w14:paraId="0EB78A1C" w14:textId="4B13210E" w:rsidR="00C62CBE" w:rsidRPr="00070ADE" w:rsidRDefault="00C62CB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Остается неизвестным, согласовыва</w:t>
      </w:r>
      <w:r w:rsidRPr="00070ADE">
        <w:rPr>
          <w:rFonts w:ascii="Times New Roman" w:hAnsi="Times New Roman"/>
          <w:color w:val="000000" w:themeColor="text1"/>
          <w:sz w:val="16"/>
          <w:szCs w:val="16"/>
        </w:rPr>
        <w:softHyphen/>
        <w:t>лось ли это решение предварительно с ГКО или нет. Скорее всего, в той или иной мере этот вопрос все же обсуждался. Од</w:t>
      </w:r>
      <w:r w:rsidRPr="00070ADE">
        <w:rPr>
          <w:rFonts w:ascii="Times New Roman" w:hAnsi="Times New Roman"/>
          <w:color w:val="000000" w:themeColor="text1"/>
          <w:sz w:val="16"/>
          <w:szCs w:val="16"/>
        </w:rPr>
        <w:softHyphen/>
        <w:t>нако документального подтверждения обращения НКАП к руководству страны с предложением разрешить серийный вы</w:t>
      </w:r>
      <w:r w:rsidRPr="00070ADE">
        <w:rPr>
          <w:rFonts w:ascii="Times New Roman" w:hAnsi="Times New Roman"/>
          <w:color w:val="000000" w:themeColor="text1"/>
          <w:sz w:val="16"/>
          <w:szCs w:val="16"/>
        </w:rPr>
        <w:softHyphen/>
        <w:t>пуск самолета Ил-8 и получение положи</w:t>
      </w:r>
      <w:r w:rsidRPr="00070ADE">
        <w:rPr>
          <w:rFonts w:ascii="Times New Roman" w:hAnsi="Times New Roman"/>
          <w:color w:val="000000" w:themeColor="text1"/>
          <w:sz w:val="16"/>
          <w:szCs w:val="16"/>
        </w:rPr>
        <w:softHyphen/>
        <w:t>тельного или отрицательного ответа по нему пока не найдено (19853).</w:t>
      </w:r>
    </w:p>
    <w:p w14:paraId="323A03E7" w14:textId="77777777" w:rsidR="00C62CBE" w:rsidRPr="00070ADE" w:rsidRDefault="00C62CBE" w:rsidP="00B56F90">
      <w:pPr>
        <w:spacing w:after="0" w:line="240" w:lineRule="auto"/>
        <w:jc w:val="both"/>
        <w:rPr>
          <w:rFonts w:ascii="Times New Roman" w:hAnsi="Times New Roman"/>
          <w:color w:val="000000" w:themeColor="text1"/>
          <w:sz w:val="16"/>
          <w:szCs w:val="16"/>
        </w:rPr>
      </w:pPr>
    </w:p>
    <w:p w14:paraId="606D6E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мая 1944 (то есть с опозданием на шесть месяцев) в ГосНИИ ВВС (с 1 мая 1944 г. НИИ ВВС стал именоваться Государ</w:t>
      </w:r>
      <w:r w:rsidRPr="00070ADE">
        <w:rPr>
          <w:rFonts w:ascii="Times New Roman" w:hAnsi="Times New Roman"/>
          <w:color w:val="000000" w:themeColor="text1"/>
          <w:sz w:val="16"/>
          <w:szCs w:val="16"/>
        </w:rPr>
        <w:softHyphen/>
        <w:t>ственным научно-испытательным инсти</w:t>
      </w:r>
      <w:r w:rsidRPr="00070ADE">
        <w:rPr>
          <w:rFonts w:ascii="Times New Roman" w:hAnsi="Times New Roman"/>
          <w:color w:val="000000" w:themeColor="text1"/>
          <w:sz w:val="16"/>
          <w:szCs w:val="16"/>
        </w:rPr>
        <w:softHyphen/>
        <w:t>тутом ВВС) опытный образец Ил-10 пе</w:t>
      </w:r>
      <w:r w:rsidRPr="00070ADE">
        <w:rPr>
          <w:rFonts w:ascii="Times New Roman" w:hAnsi="Times New Roman"/>
          <w:color w:val="000000" w:themeColor="text1"/>
          <w:sz w:val="16"/>
          <w:szCs w:val="16"/>
        </w:rPr>
        <w:softHyphen/>
        <w:t>редали для государственных испытаний. На самолете устанавливался винт типа АВ-5Л-24 диаметром 3,6 м. Бригада в составе ведущего инженера майора П.Т. Аброщенко, его помощ</w:t>
      </w:r>
      <w:r w:rsidRPr="00070ADE">
        <w:rPr>
          <w:rFonts w:ascii="Times New Roman" w:hAnsi="Times New Roman"/>
          <w:color w:val="000000" w:themeColor="text1"/>
          <w:sz w:val="16"/>
          <w:szCs w:val="16"/>
        </w:rPr>
        <w:softHyphen/>
        <w:t>ника капитана С.Г. Фролова, ведущего летчика подполковника А.К. Долгова и штурмана Горбунова сумела завершить испытания нового штурмовика всего за две недели. Уже 27 мая, выполнив 43 полета (налет 22 ч 37 мин), бригада ра</w:t>
      </w:r>
      <w:r w:rsidRPr="00070ADE">
        <w:rPr>
          <w:rFonts w:ascii="Times New Roman" w:hAnsi="Times New Roman"/>
          <w:color w:val="000000" w:themeColor="text1"/>
          <w:sz w:val="16"/>
          <w:szCs w:val="16"/>
        </w:rPr>
        <w:softHyphen/>
        <w:t>портовала об их успешном завершении. Вес пустого самолета Ил-10, пред</w:t>
      </w:r>
      <w:r w:rsidRPr="00070ADE">
        <w:rPr>
          <w:rFonts w:ascii="Times New Roman" w:hAnsi="Times New Roman"/>
          <w:color w:val="000000" w:themeColor="text1"/>
          <w:sz w:val="16"/>
          <w:szCs w:val="16"/>
        </w:rPr>
        <w:softHyphen/>
        <w:t>ставленного на госиспытания, составлял 4680 кг; нормальный полетный вес при этом равнялся 6335 кг. В перегрузку можно было взять до 500 кг бомб (две ФАБ-250) на наружной подвеске либо до 600 кг—внутри (мелкие бомбы в отсе</w:t>
      </w:r>
      <w:r w:rsidRPr="00070ADE">
        <w:rPr>
          <w:rFonts w:ascii="Times New Roman" w:hAnsi="Times New Roman"/>
          <w:color w:val="000000" w:themeColor="text1"/>
          <w:sz w:val="16"/>
          <w:szCs w:val="16"/>
        </w:rPr>
        <w:softHyphen/>
        <w:t>ках). Подвижная установка ВУ-7 обеспе</w:t>
      </w:r>
      <w:r w:rsidRPr="00070ADE">
        <w:rPr>
          <w:rFonts w:ascii="Times New Roman" w:hAnsi="Times New Roman"/>
          <w:color w:val="000000" w:themeColor="text1"/>
          <w:sz w:val="16"/>
          <w:szCs w:val="16"/>
        </w:rPr>
        <w:softHyphen/>
        <w:t>чивала стрельбу в задней полусфере в секторах: вверх — 40° (от нейтрального положения, параллельного оси самоле</w:t>
      </w:r>
      <w:r w:rsidRPr="00070ADE">
        <w:rPr>
          <w:rFonts w:ascii="Times New Roman" w:hAnsi="Times New Roman"/>
          <w:color w:val="000000" w:themeColor="text1"/>
          <w:sz w:val="16"/>
          <w:szCs w:val="16"/>
        </w:rPr>
        <w:softHyphen/>
        <w:t>та), вниз— 15° (с поворотом пулемета к борту), вправо — 55°, влево — 50°. В итоге летно-тактические данные штурмовика Ил-10 сочли выдающимися. При нормальном полетном весе на но</w:t>
      </w:r>
      <w:r w:rsidRPr="00070ADE">
        <w:rPr>
          <w:rFonts w:ascii="Times New Roman" w:hAnsi="Times New Roman"/>
          <w:color w:val="000000" w:themeColor="text1"/>
          <w:sz w:val="16"/>
          <w:szCs w:val="16"/>
        </w:rPr>
        <w:softHyphen/>
        <w:t>минальном режиме работы мотора мак</w:t>
      </w:r>
      <w:r w:rsidRPr="00070ADE">
        <w:rPr>
          <w:rFonts w:ascii="Times New Roman" w:hAnsi="Times New Roman"/>
          <w:color w:val="000000" w:themeColor="text1"/>
          <w:sz w:val="16"/>
          <w:szCs w:val="16"/>
        </w:rPr>
        <w:softHyphen/>
        <w:t>симальная горизонтальная скорость по</w:t>
      </w:r>
      <w:r w:rsidRPr="00070ADE">
        <w:rPr>
          <w:rFonts w:ascii="Times New Roman" w:hAnsi="Times New Roman"/>
          <w:color w:val="000000" w:themeColor="text1"/>
          <w:sz w:val="16"/>
          <w:szCs w:val="16"/>
        </w:rPr>
        <w:softHyphen/>
        <w:t>лета на высоте 2800 м оказалась рав</w:t>
      </w:r>
      <w:r w:rsidRPr="00070ADE">
        <w:rPr>
          <w:rFonts w:ascii="Times New Roman" w:hAnsi="Times New Roman"/>
          <w:color w:val="000000" w:themeColor="text1"/>
          <w:sz w:val="16"/>
          <w:szCs w:val="16"/>
        </w:rPr>
        <w:softHyphen/>
        <w:t>ной 551 км/ч — почти на 150 км/ч больше максимальной скорости Ил-2 с АМ-38Ф, а максимальная скорость у земли соста</w:t>
      </w:r>
      <w:r w:rsidRPr="00070ADE">
        <w:rPr>
          <w:rFonts w:ascii="Times New Roman" w:hAnsi="Times New Roman"/>
          <w:color w:val="000000" w:themeColor="text1"/>
          <w:sz w:val="16"/>
          <w:szCs w:val="16"/>
        </w:rPr>
        <w:softHyphen/>
        <w:t>вила 507 км/ч. Время набора высоты 1000 м не превышало 1,6 мин, а высоты 3000 м — 5,0 мин. Вертикальная ско</w:t>
      </w:r>
      <w:r w:rsidRPr="00070ADE">
        <w:rPr>
          <w:rFonts w:ascii="Times New Roman" w:hAnsi="Times New Roman"/>
          <w:color w:val="000000" w:themeColor="text1"/>
          <w:sz w:val="16"/>
          <w:szCs w:val="16"/>
        </w:rPr>
        <w:softHyphen/>
        <w:t>рость у земли равнялась 9,8 м/с. Макси</w:t>
      </w:r>
      <w:r w:rsidRPr="00070ADE">
        <w:rPr>
          <w:rFonts w:ascii="Times New Roman" w:hAnsi="Times New Roman"/>
          <w:color w:val="000000" w:themeColor="text1"/>
          <w:sz w:val="16"/>
          <w:szCs w:val="16"/>
        </w:rPr>
        <w:softHyphen/>
        <w:t>мальная техническая дальность полета составила 800 км (продолжительность полета 2 ч 28 мин). Длина разбега со щитками и с форсажем мотора — 475 м. Посадочная скорость нового штурмови-ка была почти такой же, как у Ил-2. При посадочном весе 5380 кг и с отклонен</w:t>
      </w:r>
      <w:r w:rsidRPr="00070ADE">
        <w:rPr>
          <w:rFonts w:ascii="Times New Roman" w:hAnsi="Times New Roman"/>
          <w:color w:val="000000" w:themeColor="text1"/>
          <w:sz w:val="16"/>
          <w:szCs w:val="16"/>
        </w:rPr>
        <w:softHyphen/>
        <w:t>ными на 45° щитками она равнялась 148 км/ч. Удельные нагрузки на крыло и мощ</w:t>
      </w:r>
      <w:r w:rsidRPr="00070ADE">
        <w:rPr>
          <w:rFonts w:ascii="Times New Roman" w:hAnsi="Times New Roman"/>
          <w:color w:val="000000" w:themeColor="text1"/>
          <w:sz w:val="16"/>
          <w:szCs w:val="16"/>
        </w:rPr>
        <w:softHyphen/>
        <w:t>ность мотора при нормальном полетном весе 6335 кг, равные 211,2 кг/м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 xml:space="preserve"> и 3,17 кг/л.с. соответственно, полностью соответ</w:t>
      </w:r>
      <w:r w:rsidRPr="00070ADE">
        <w:rPr>
          <w:rFonts w:ascii="Times New Roman" w:hAnsi="Times New Roman"/>
          <w:color w:val="000000" w:themeColor="text1"/>
          <w:sz w:val="16"/>
          <w:szCs w:val="16"/>
        </w:rPr>
        <w:softHyphen/>
        <w:t>ствовали концепции маневренного ско</w:t>
      </w:r>
      <w:r w:rsidRPr="00070ADE">
        <w:rPr>
          <w:rFonts w:ascii="Times New Roman" w:hAnsi="Times New Roman"/>
          <w:color w:val="000000" w:themeColor="text1"/>
          <w:sz w:val="16"/>
          <w:szCs w:val="16"/>
        </w:rPr>
        <w:softHyphen/>
        <w:t>ростного штурмовика. На «рабочих» вы</w:t>
      </w:r>
      <w:r w:rsidRPr="00070ADE">
        <w:rPr>
          <w:rFonts w:ascii="Times New Roman" w:hAnsi="Times New Roman"/>
          <w:color w:val="000000" w:themeColor="text1"/>
          <w:sz w:val="16"/>
          <w:szCs w:val="16"/>
        </w:rPr>
        <w:softHyphen/>
        <w:t>сотах (от земли до 1500 м) скорость двух</w:t>
      </w:r>
      <w:r w:rsidRPr="00070ADE">
        <w:rPr>
          <w:rFonts w:ascii="Times New Roman" w:hAnsi="Times New Roman"/>
          <w:color w:val="000000" w:themeColor="text1"/>
          <w:sz w:val="16"/>
          <w:szCs w:val="16"/>
        </w:rPr>
        <w:softHyphen/>
        <w:t>местного бронированного Ил-10 была всего лишь на 10 — 40 км/ч меньше макси</w:t>
      </w:r>
      <w:r w:rsidRPr="00070ADE">
        <w:rPr>
          <w:rFonts w:ascii="Times New Roman" w:hAnsi="Times New Roman"/>
          <w:color w:val="000000" w:themeColor="text1"/>
          <w:sz w:val="16"/>
          <w:szCs w:val="16"/>
        </w:rPr>
        <w:softHyphen/>
        <w:t>мальных скоростей массовых истребите</w:t>
      </w:r>
      <w:r w:rsidRPr="00070ADE">
        <w:rPr>
          <w:rFonts w:ascii="Times New Roman" w:hAnsi="Times New Roman"/>
          <w:color w:val="000000" w:themeColor="text1"/>
          <w:sz w:val="16"/>
          <w:szCs w:val="16"/>
        </w:rPr>
        <w:softHyphen/>
        <w:t>лей Люфтваффе Ме109С-2 и ФВ190А-4. Несмотря на то, что установленный на опытном образце Ил-10 мотор работал с перебоями, дымил и плевался маслом, новый штурмовик оставил у летчиков НИИ ВВС приятное впечатление по ус</w:t>
      </w:r>
      <w:r w:rsidRPr="00070ADE">
        <w:rPr>
          <w:rFonts w:ascii="Times New Roman" w:hAnsi="Times New Roman"/>
          <w:color w:val="000000" w:themeColor="text1"/>
          <w:sz w:val="16"/>
          <w:szCs w:val="16"/>
        </w:rPr>
        <w:softHyphen/>
        <w:t>тойчивости, управляемости и летным качествам. Во всем диапазоне скоростей (от минимальной по сваливанию до мак</w:t>
      </w:r>
      <w:r w:rsidRPr="00070ADE">
        <w:rPr>
          <w:rFonts w:ascii="Times New Roman" w:hAnsi="Times New Roman"/>
          <w:color w:val="000000" w:themeColor="text1"/>
          <w:sz w:val="16"/>
          <w:szCs w:val="16"/>
        </w:rPr>
        <w:softHyphen/>
        <w:t>симальной) самолет был устойчив по всем трем осям и показал прекрасную маневренность, как в горизонтальной плоскости, так и в вертикальной. По мнению ведущего летчика А.К. Долгова и летчиков облета А.В. Си</w:t>
      </w:r>
      <w:r w:rsidRPr="00070ADE">
        <w:rPr>
          <w:rFonts w:ascii="Times New Roman" w:hAnsi="Times New Roman"/>
          <w:color w:val="000000" w:themeColor="text1"/>
          <w:sz w:val="16"/>
          <w:szCs w:val="16"/>
        </w:rPr>
        <w:softHyphen/>
        <w:t>нельникова, М.П. Субботина, А. Живописцева и Г. Тинякова, новый штурмовик «...по технике пилотирования прост и не требует специального переучивания для перехода на него летчиков, летающих на серийных самолетах Ил-2... Устойчи</w:t>
      </w:r>
      <w:r w:rsidRPr="00070ADE">
        <w:rPr>
          <w:rFonts w:ascii="Times New Roman" w:hAnsi="Times New Roman"/>
          <w:color w:val="000000" w:themeColor="text1"/>
          <w:sz w:val="16"/>
          <w:szCs w:val="16"/>
        </w:rPr>
        <w:softHyphen/>
        <w:t>вость и управляемость хорошие. Путе</w:t>
      </w:r>
      <w:r w:rsidRPr="00070ADE">
        <w:rPr>
          <w:rFonts w:ascii="Times New Roman" w:hAnsi="Times New Roman"/>
          <w:color w:val="000000" w:themeColor="text1"/>
          <w:sz w:val="16"/>
          <w:szCs w:val="16"/>
        </w:rPr>
        <w:softHyphen/>
        <w:t>вая устойчивость несколько велика. На</w:t>
      </w:r>
      <w:r w:rsidRPr="00070ADE">
        <w:rPr>
          <w:rFonts w:ascii="Times New Roman" w:hAnsi="Times New Roman"/>
          <w:color w:val="000000" w:themeColor="text1"/>
          <w:sz w:val="16"/>
          <w:szCs w:val="16"/>
        </w:rPr>
        <w:softHyphen/>
        <w:t>грузки от рулей нормальные по величи</w:t>
      </w:r>
      <w:r w:rsidRPr="00070ADE">
        <w:rPr>
          <w:rFonts w:ascii="Times New Roman" w:hAnsi="Times New Roman"/>
          <w:color w:val="000000" w:themeColor="text1"/>
          <w:sz w:val="16"/>
          <w:szCs w:val="16"/>
        </w:rPr>
        <w:softHyphen/>
        <w:t xml:space="preserve">не и направлению. Нагрузки от рулей высоты несколько велики. На рулежке устойчивость самолета </w:t>
      </w:r>
      <w:r w:rsidRPr="00070ADE">
        <w:rPr>
          <w:rFonts w:ascii="Times New Roman" w:hAnsi="Times New Roman"/>
          <w:color w:val="000000" w:themeColor="text1"/>
          <w:sz w:val="16"/>
          <w:szCs w:val="16"/>
        </w:rPr>
        <w:lastRenderedPageBreak/>
        <w:t>недостаточ</w:t>
      </w:r>
      <w:r w:rsidRPr="00070ADE">
        <w:rPr>
          <w:rFonts w:ascii="Times New Roman" w:hAnsi="Times New Roman"/>
          <w:color w:val="000000" w:themeColor="text1"/>
          <w:sz w:val="16"/>
          <w:szCs w:val="16"/>
        </w:rPr>
        <w:softHyphen/>
        <w:t>ная...». Но были выявлены и существенные недостатки: не предусматривался ава</w:t>
      </w:r>
      <w:r w:rsidRPr="00070ADE">
        <w:rPr>
          <w:rFonts w:ascii="Times New Roman" w:hAnsi="Times New Roman"/>
          <w:color w:val="000000" w:themeColor="text1"/>
          <w:sz w:val="16"/>
          <w:szCs w:val="16"/>
        </w:rPr>
        <w:softHyphen/>
        <w:t>рийный сброс фонарей кабин; экипаж страдал от невыносимой жары — через кабину проходила горячая водяная ма</w:t>
      </w:r>
      <w:r w:rsidRPr="00070ADE">
        <w:rPr>
          <w:rFonts w:ascii="Times New Roman" w:hAnsi="Times New Roman"/>
          <w:color w:val="000000" w:themeColor="text1"/>
          <w:sz w:val="16"/>
          <w:szCs w:val="16"/>
        </w:rPr>
        <w:softHyphen/>
        <w:t>гистраль, практически не имевшая теп</w:t>
      </w:r>
      <w:r w:rsidRPr="00070ADE">
        <w:rPr>
          <w:rFonts w:ascii="Times New Roman" w:hAnsi="Times New Roman"/>
          <w:color w:val="000000" w:themeColor="text1"/>
          <w:sz w:val="16"/>
          <w:szCs w:val="16"/>
        </w:rPr>
        <w:softHyphen/>
        <w:t>лоизоляции. Отсутствовала система ней</w:t>
      </w:r>
      <w:r w:rsidRPr="00070ADE">
        <w:rPr>
          <w:rFonts w:ascii="Times New Roman" w:hAnsi="Times New Roman"/>
          <w:color w:val="000000" w:themeColor="text1"/>
          <w:sz w:val="16"/>
          <w:szCs w:val="16"/>
        </w:rPr>
        <w:softHyphen/>
        <w:t>трального газа, уже ставшая нормой для большинства боевых машин. Плохо ра</w:t>
      </w:r>
      <w:r w:rsidRPr="00070ADE">
        <w:rPr>
          <w:rFonts w:ascii="Times New Roman" w:hAnsi="Times New Roman"/>
          <w:color w:val="000000" w:themeColor="text1"/>
          <w:sz w:val="16"/>
          <w:szCs w:val="16"/>
        </w:rPr>
        <w:softHyphen/>
        <w:t>ботали тормоза колес. В выводах акта по результатам испы</w:t>
      </w:r>
      <w:r w:rsidRPr="00070ADE">
        <w:rPr>
          <w:rFonts w:ascii="Times New Roman" w:hAnsi="Times New Roman"/>
          <w:color w:val="000000" w:themeColor="text1"/>
          <w:sz w:val="16"/>
          <w:szCs w:val="16"/>
        </w:rPr>
        <w:softHyphen/>
        <w:t>таний отмечалось: "...Ил-10, по сравне</w:t>
      </w:r>
      <w:r w:rsidRPr="00070ADE">
        <w:rPr>
          <w:rFonts w:ascii="Times New Roman" w:hAnsi="Times New Roman"/>
          <w:color w:val="000000" w:themeColor="text1"/>
          <w:sz w:val="16"/>
          <w:szCs w:val="16"/>
        </w:rPr>
        <w:softHyphen/>
        <w:t>нию с Ил-2, несмотря на ухудшение взлет</w:t>
      </w:r>
      <w:r w:rsidRPr="00070ADE">
        <w:rPr>
          <w:rFonts w:ascii="Times New Roman" w:hAnsi="Times New Roman"/>
          <w:color w:val="000000" w:themeColor="text1"/>
          <w:sz w:val="16"/>
          <w:szCs w:val="16"/>
        </w:rPr>
        <w:softHyphen/>
        <w:t>но-посадочных свойств, имеет явное пре</w:t>
      </w:r>
      <w:r w:rsidRPr="00070ADE">
        <w:rPr>
          <w:rFonts w:ascii="Times New Roman" w:hAnsi="Times New Roman"/>
          <w:color w:val="000000" w:themeColor="text1"/>
          <w:sz w:val="16"/>
          <w:szCs w:val="16"/>
        </w:rPr>
        <w:softHyphen/>
        <w:t>имущество, в частности, максимальная скорость больше: у земли на 123 км/ч, на границе высотности на 147 км/ч... Время набора высоты 3000 м меньше на 3 мин... Дальность горизонтального по</w:t>
      </w:r>
      <w:r w:rsidRPr="00070ADE">
        <w:rPr>
          <w:rFonts w:ascii="Times New Roman" w:hAnsi="Times New Roman"/>
          <w:color w:val="000000" w:themeColor="text1"/>
          <w:sz w:val="16"/>
          <w:szCs w:val="16"/>
        </w:rPr>
        <w:softHyphen/>
        <w:t>лета на высоте 500 м возросла на 120 км... Высокая скорость полета, хо</w:t>
      </w:r>
      <w:r w:rsidRPr="00070ADE">
        <w:rPr>
          <w:rFonts w:ascii="Times New Roman" w:hAnsi="Times New Roman"/>
          <w:color w:val="000000" w:themeColor="text1"/>
          <w:sz w:val="16"/>
          <w:szCs w:val="16"/>
        </w:rPr>
        <w:softHyphen/>
        <w:t>рошая устойчивость и управляемость при аналогичном с самолетом Ил-2 оружии активного нападения позволя</w:t>
      </w:r>
      <w:r w:rsidRPr="00070ADE">
        <w:rPr>
          <w:rFonts w:ascii="Times New Roman" w:hAnsi="Times New Roman"/>
          <w:color w:val="000000" w:themeColor="text1"/>
          <w:sz w:val="16"/>
          <w:szCs w:val="16"/>
        </w:rPr>
        <w:softHyphen/>
        <w:t>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w:t>
      </w:r>
      <w:r w:rsidRPr="00070ADE">
        <w:rPr>
          <w:rFonts w:ascii="Times New Roman" w:hAnsi="Times New Roman"/>
          <w:color w:val="000000" w:themeColor="text1"/>
          <w:sz w:val="16"/>
          <w:szCs w:val="16"/>
        </w:rPr>
        <w:softHyphen/>
        <w:t>ного боя с истребителями противника... В эксплуатации самолет прост... его про</w:t>
      </w:r>
      <w:r w:rsidRPr="00070ADE">
        <w:rPr>
          <w:rFonts w:ascii="Times New Roman" w:hAnsi="Times New Roman"/>
          <w:color w:val="000000" w:themeColor="text1"/>
          <w:sz w:val="16"/>
          <w:szCs w:val="16"/>
        </w:rPr>
        <w:softHyphen/>
        <w:t>изводство может базироваться на техно</w:t>
      </w:r>
      <w:r w:rsidRPr="00070ADE">
        <w:rPr>
          <w:rFonts w:ascii="Times New Roman" w:hAnsi="Times New Roman"/>
          <w:color w:val="000000" w:themeColor="text1"/>
          <w:sz w:val="16"/>
          <w:szCs w:val="16"/>
        </w:rPr>
        <w:softHyphen/>
        <w:t>логии серийного производства Ил-2... Самолет Ил-10 является классическим образцом самолета-штурмовика...». Машина была рекомендована для массового серийного производства в ка</w:t>
      </w:r>
      <w:r w:rsidRPr="00070ADE">
        <w:rPr>
          <w:rFonts w:ascii="Times New Roman" w:hAnsi="Times New Roman"/>
          <w:color w:val="000000" w:themeColor="text1"/>
          <w:sz w:val="16"/>
          <w:szCs w:val="16"/>
        </w:rPr>
        <w:softHyphen/>
        <w:t>честве основного типа штурмовика вза</w:t>
      </w:r>
      <w:r w:rsidRPr="00070ADE">
        <w:rPr>
          <w:rFonts w:ascii="Times New Roman" w:hAnsi="Times New Roman"/>
          <w:color w:val="000000" w:themeColor="text1"/>
          <w:sz w:val="16"/>
          <w:szCs w:val="16"/>
        </w:rPr>
        <w:softHyphen/>
        <w:t>мен Ил-2 при условии обязательного ус</w:t>
      </w:r>
      <w:r w:rsidRPr="00070ADE">
        <w:rPr>
          <w:rFonts w:ascii="Times New Roman" w:hAnsi="Times New Roman"/>
          <w:color w:val="000000" w:themeColor="text1"/>
          <w:sz w:val="16"/>
          <w:szCs w:val="16"/>
        </w:rPr>
        <w:softHyphen/>
        <w:t>транения выявленных дефектов и недо</w:t>
      </w:r>
      <w:r w:rsidRPr="00070ADE">
        <w:rPr>
          <w:rFonts w:ascii="Times New Roman" w:hAnsi="Times New Roman"/>
          <w:color w:val="000000" w:themeColor="text1"/>
          <w:sz w:val="16"/>
          <w:szCs w:val="16"/>
        </w:rPr>
        <w:softHyphen/>
        <w:t>статков. В серии предлагалось изменить бронирование Ил-10, выполнив его по образцу Ил-8 (создававшегося парал</w:t>
      </w:r>
      <w:r w:rsidRPr="00070ADE">
        <w:rPr>
          <w:rFonts w:ascii="Times New Roman" w:hAnsi="Times New Roman"/>
          <w:color w:val="000000" w:themeColor="text1"/>
          <w:sz w:val="16"/>
          <w:szCs w:val="16"/>
        </w:rPr>
        <w:softHyphen/>
        <w:t>лельно тяжелого штурмовика), а вопрос об оборонительном пушечном вооруже</w:t>
      </w:r>
      <w:r w:rsidRPr="00070ADE">
        <w:rPr>
          <w:rFonts w:ascii="Times New Roman" w:hAnsi="Times New Roman"/>
          <w:color w:val="000000" w:themeColor="text1"/>
          <w:sz w:val="16"/>
          <w:szCs w:val="16"/>
        </w:rPr>
        <w:softHyphen/>
        <w:t>нии решить «после испытаний легких пу</w:t>
      </w:r>
      <w:r w:rsidRPr="00070ADE">
        <w:rPr>
          <w:rFonts w:ascii="Times New Roman" w:hAnsi="Times New Roman"/>
          <w:color w:val="000000" w:themeColor="text1"/>
          <w:sz w:val="16"/>
          <w:szCs w:val="16"/>
        </w:rPr>
        <w:softHyphen/>
        <w:t>шек калибра 20 мм». Опытный образец самолета вернули на завод № 240 (10680).</w:t>
      </w:r>
    </w:p>
    <w:p w14:paraId="6143D4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Если недостатки стрелково-пушечного вооружения Ил-10 легко устра</w:t>
      </w:r>
      <w:r w:rsidRPr="00070ADE">
        <w:rPr>
          <w:rFonts w:ascii="Times New Roman" w:hAnsi="Times New Roman"/>
          <w:color w:val="000000" w:themeColor="text1"/>
          <w:sz w:val="16"/>
          <w:szCs w:val="16"/>
        </w:rPr>
        <w:softHyphen/>
        <w:t>нялись при переходе к конструктив</w:t>
      </w:r>
      <w:r w:rsidRPr="00070ADE">
        <w:rPr>
          <w:rFonts w:ascii="Times New Roman" w:hAnsi="Times New Roman"/>
          <w:color w:val="000000" w:themeColor="text1"/>
          <w:sz w:val="16"/>
          <w:szCs w:val="16"/>
        </w:rPr>
        <w:softHyphen/>
        <w:t>ным решениям, принятым для серий</w:t>
      </w:r>
      <w:r w:rsidRPr="00070ADE">
        <w:rPr>
          <w:rFonts w:ascii="Times New Roman" w:hAnsi="Times New Roman"/>
          <w:color w:val="000000" w:themeColor="text1"/>
          <w:sz w:val="16"/>
          <w:szCs w:val="16"/>
        </w:rPr>
        <w:softHyphen/>
        <w:t>ного самолета Ил-2, то с бомбарди</w:t>
      </w:r>
      <w:r w:rsidRPr="00070ADE">
        <w:rPr>
          <w:rFonts w:ascii="Times New Roman" w:hAnsi="Times New Roman"/>
          <w:color w:val="000000" w:themeColor="text1"/>
          <w:sz w:val="16"/>
          <w:szCs w:val="16"/>
        </w:rPr>
        <w:softHyphen/>
        <w:t>ровочным вооружением Ил-10 дела обстояли гораздо хуже. Загрузка бомбоотсеков опытной "десятки" бомбами калибров от 1,5 до 50 кг была на 100-200 кг меньше, чем се</w:t>
      </w:r>
      <w:r w:rsidRPr="00070ADE">
        <w:rPr>
          <w:rFonts w:ascii="Times New Roman" w:hAnsi="Times New Roman"/>
          <w:color w:val="000000" w:themeColor="text1"/>
          <w:sz w:val="16"/>
          <w:szCs w:val="16"/>
        </w:rPr>
        <w:softHyphen/>
        <w:t>рийной "двойки", и никаких других возможностей, кроме как размеще</w:t>
      </w:r>
      <w:r w:rsidRPr="00070ADE">
        <w:rPr>
          <w:rFonts w:ascii="Times New Roman" w:hAnsi="Times New Roman"/>
          <w:color w:val="000000" w:themeColor="text1"/>
          <w:sz w:val="16"/>
          <w:szCs w:val="16"/>
        </w:rPr>
        <w:softHyphen/>
        <w:t>ния дополнительно двух бомб (калиб</w:t>
      </w:r>
      <w:r w:rsidRPr="00070ADE">
        <w:rPr>
          <w:rFonts w:ascii="Times New Roman" w:hAnsi="Times New Roman"/>
          <w:color w:val="000000" w:themeColor="text1"/>
          <w:sz w:val="16"/>
          <w:szCs w:val="16"/>
        </w:rPr>
        <w:softHyphen/>
        <w:t>ров 50-100 кг или 250 кг) на вне</w:t>
      </w:r>
      <w:r w:rsidRPr="00070ADE">
        <w:rPr>
          <w:rFonts w:ascii="Times New Roman" w:hAnsi="Times New Roman"/>
          <w:color w:val="000000" w:themeColor="text1"/>
          <w:sz w:val="16"/>
          <w:szCs w:val="16"/>
        </w:rPr>
        <w:softHyphen/>
        <w:t>шних узлах подвески, на самолете не имелось. По этой причине началь</w:t>
      </w:r>
      <w:r w:rsidRPr="00070ADE">
        <w:rPr>
          <w:rFonts w:ascii="Times New Roman" w:hAnsi="Times New Roman"/>
          <w:color w:val="000000" w:themeColor="text1"/>
          <w:sz w:val="16"/>
          <w:szCs w:val="16"/>
        </w:rPr>
        <w:softHyphen/>
        <w:t>ник 4-го отдела института генерал-майор М. В. Шишкин и его замести</w:t>
      </w:r>
      <w:r w:rsidRPr="00070ADE">
        <w:rPr>
          <w:rFonts w:ascii="Times New Roman" w:hAnsi="Times New Roman"/>
          <w:color w:val="000000" w:themeColor="text1"/>
          <w:sz w:val="16"/>
          <w:szCs w:val="16"/>
        </w:rPr>
        <w:softHyphen/>
        <w:t>тель полковник Н. И. Шауров, давая тактическую оценку новому штурмо</w:t>
      </w:r>
      <w:r w:rsidRPr="00070ADE">
        <w:rPr>
          <w:rFonts w:ascii="Times New Roman" w:hAnsi="Times New Roman"/>
          <w:color w:val="000000" w:themeColor="text1"/>
          <w:sz w:val="16"/>
          <w:szCs w:val="16"/>
        </w:rPr>
        <w:softHyphen/>
        <w:t xml:space="preserve">вику, указывали, что </w:t>
      </w:r>
      <w:r w:rsidRPr="00070ADE">
        <w:rPr>
          <w:rFonts w:ascii="Times New Roman" w:hAnsi="Times New Roman"/>
          <w:iCs/>
          <w:color w:val="000000" w:themeColor="text1"/>
          <w:sz w:val="16"/>
          <w:szCs w:val="16"/>
        </w:rPr>
        <w:t>"наличие Ил-10 не исключает необходимость иметь на вооружении ВВС самолет Ил-8..., хотя и уступающего по летным дан</w:t>
      </w:r>
      <w:r w:rsidRPr="00070ADE">
        <w:rPr>
          <w:rFonts w:ascii="Times New Roman" w:hAnsi="Times New Roman"/>
          <w:iCs/>
          <w:color w:val="000000" w:themeColor="text1"/>
          <w:sz w:val="16"/>
          <w:szCs w:val="16"/>
        </w:rPr>
        <w:softHyphen/>
        <w:t>ным ".</w:t>
      </w:r>
    </w:p>
    <w:p w14:paraId="024B84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заключение отчета Ил-10 был рекомендован в серийное производ</w:t>
      </w:r>
      <w:r w:rsidRPr="00070ADE">
        <w:rPr>
          <w:rFonts w:ascii="Times New Roman" w:hAnsi="Times New Roman"/>
          <w:color w:val="000000" w:themeColor="text1"/>
          <w:sz w:val="16"/>
          <w:szCs w:val="16"/>
        </w:rPr>
        <w:softHyphen/>
        <w:t>ство при условии устранения выяв</w:t>
      </w:r>
      <w:r w:rsidRPr="00070ADE">
        <w:rPr>
          <w:rFonts w:ascii="Times New Roman" w:hAnsi="Times New Roman"/>
          <w:color w:val="000000" w:themeColor="text1"/>
          <w:sz w:val="16"/>
          <w:szCs w:val="16"/>
        </w:rPr>
        <w:softHyphen/>
        <w:t>ленных дефектов и недостатков. Акт по государственным испытаниям са</w:t>
      </w:r>
      <w:r w:rsidRPr="00070ADE">
        <w:rPr>
          <w:rFonts w:ascii="Times New Roman" w:hAnsi="Times New Roman"/>
          <w:color w:val="000000" w:themeColor="text1"/>
          <w:sz w:val="16"/>
          <w:szCs w:val="16"/>
        </w:rPr>
        <w:softHyphen/>
        <w:t>молета утвержден Главным инжене</w:t>
      </w:r>
      <w:r w:rsidRPr="00070ADE">
        <w:rPr>
          <w:rFonts w:ascii="Times New Roman" w:hAnsi="Times New Roman"/>
          <w:color w:val="000000" w:themeColor="text1"/>
          <w:sz w:val="16"/>
          <w:szCs w:val="16"/>
        </w:rPr>
        <w:softHyphen/>
        <w:t>ром ВВС генералом А. К. Репиным 9 июня 1944 г. Самолет был возвра</w:t>
      </w:r>
      <w:r w:rsidRPr="00070ADE">
        <w:rPr>
          <w:rFonts w:ascii="Times New Roman" w:hAnsi="Times New Roman"/>
          <w:color w:val="000000" w:themeColor="text1"/>
          <w:sz w:val="16"/>
          <w:szCs w:val="16"/>
        </w:rPr>
        <w:softHyphen/>
        <w:t>щен на завод № 240 для замены мо</w:t>
      </w:r>
      <w:r w:rsidRPr="00070ADE">
        <w:rPr>
          <w:rFonts w:ascii="Times New Roman" w:hAnsi="Times New Roman"/>
          <w:color w:val="000000" w:themeColor="text1"/>
          <w:sz w:val="16"/>
          <w:szCs w:val="16"/>
        </w:rPr>
        <w:softHyphen/>
        <w:t>тора, выработавшего ресурс, и уст</w:t>
      </w:r>
      <w:r w:rsidRPr="00070ADE">
        <w:rPr>
          <w:rFonts w:ascii="Times New Roman" w:hAnsi="Times New Roman"/>
          <w:color w:val="000000" w:themeColor="text1"/>
          <w:sz w:val="16"/>
          <w:szCs w:val="16"/>
        </w:rPr>
        <w:softHyphen/>
        <w:t>ранения дефектов. После этого пред</w:t>
      </w:r>
      <w:r w:rsidRPr="00070ADE">
        <w:rPr>
          <w:rFonts w:ascii="Times New Roman" w:hAnsi="Times New Roman"/>
          <w:color w:val="000000" w:themeColor="text1"/>
          <w:sz w:val="16"/>
          <w:szCs w:val="16"/>
        </w:rPr>
        <w:softHyphen/>
        <w:t>лагалось вновь предъявить самолет в НИИ ВВС для производства допол</w:t>
      </w:r>
      <w:r w:rsidRPr="00070ADE">
        <w:rPr>
          <w:rFonts w:ascii="Times New Roman" w:hAnsi="Times New Roman"/>
          <w:color w:val="000000" w:themeColor="text1"/>
          <w:sz w:val="16"/>
          <w:szCs w:val="16"/>
        </w:rPr>
        <w:softHyphen/>
        <w:t>нительных испытаний.</w:t>
      </w:r>
    </w:p>
    <w:p w14:paraId="263923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и военным, и НКАП, и руководству страны было из чего выбирать. Поначалу сравне</w:t>
      </w:r>
      <w:r w:rsidRPr="00070ADE">
        <w:rPr>
          <w:rFonts w:ascii="Times New Roman" w:hAnsi="Times New Roman"/>
          <w:color w:val="000000" w:themeColor="text1"/>
          <w:sz w:val="16"/>
          <w:szCs w:val="16"/>
        </w:rPr>
        <w:softHyphen/>
        <w:t>ние опытных боевых самолетов про</w:t>
      </w:r>
      <w:r w:rsidRPr="00070ADE">
        <w:rPr>
          <w:rFonts w:ascii="Times New Roman" w:hAnsi="Times New Roman"/>
          <w:color w:val="000000" w:themeColor="text1"/>
          <w:sz w:val="16"/>
          <w:szCs w:val="16"/>
        </w:rPr>
        <w:softHyphen/>
        <w:t>водилось между Ил-8 и Су-6, затем к ним "присоединили" Ил-10.</w:t>
      </w:r>
    </w:p>
    <w:p w14:paraId="7909D2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обмена мнениями по это</w:t>
      </w:r>
      <w:r w:rsidRPr="00070ADE">
        <w:rPr>
          <w:rFonts w:ascii="Times New Roman" w:hAnsi="Times New Roman"/>
          <w:color w:val="000000" w:themeColor="text1"/>
          <w:sz w:val="16"/>
          <w:szCs w:val="16"/>
        </w:rPr>
        <w:softHyphen/>
        <w:t>му вопросу и, учитывая, что Су-6 к тому времени формально все же не завершил в полном объеме програм</w:t>
      </w:r>
      <w:r w:rsidRPr="00070ADE">
        <w:rPr>
          <w:rFonts w:ascii="Times New Roman" w:hAnsi="Times New Roman"/>
          <w:color w:val="000000" w:themeColor="text1"/>
          <w:sz w:val="16"/>
          <w:szCs w:val="16"/>
        </w:rPr>
        <w:softHyphen/>
        <w:t>му государственных испытаний, вы</w:t>
      </w:r>
      <w:r w:rsidRPr="00070ADE">
        <w:rPr>
          <w:rFonts w:ascii="Times New Roman" w:hAnsi="Times New Roman"/>
          <w:color w:val="000000" w:themeColor="text1"/>
          <w:sz w:val="16"/>
          <w:szCs w:val="16"/>
        </w:rPr>
        <w:softHyphen/>
        <w:t>бор был сделан в пользу самолета Ил-10, который по основным летным данным превосходил своих конкурен</w:t>
      </w:r>
      <w:r w:rsidRPr="00070ADE">
        <w:rPr>
          <w:rFonts w:ascii="Times New Roman" w:hAnsi="Times New Roman"/>
          <w:color w:val="000000" w:themeColor="text1"/>
          <w:sz w:val="16"/>
          <w:szCs w:val="16"/>
        </w:rPr>
        <w:softHyphen/>
        <w:t>тов (11431).</w:t>
      </w:r>
    </w:p>
    <w:p w14:paraId="08E6D6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B958EB"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13 мая 1944 Ил-10 передали в НИИ ВВС для производства государственных испытаний. На самолете устанавливался винт типа АВ-5 л-24 диаметром 3,6 м с редукцией 0,6.</w:t>
      </w:r>
    </w:p>
    <w:p w14:paraId="5394E146"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Самолет испытывался бригадой в составе: ведущего инженера 3-го отдела НИИ ВВС инженер-майора П. Т. Аброщенко, его помощника летчика-испытателя 3-го отдела инженер-капитана С. Г. Фролова, ведущего летчика-испытателя помощника начальника 4-го отделения 3-го отдела по летной части подполковника А. К. Долгова и штурмана капитана Т. Ф. Горбунова. Уже через две недели - 27 мая, бригада рапортовала об успешном завершении программы испытаний. Всего было выполнено 43 полета с суммарным налетом 22 ч 37 мин.</w:t>
      </w:r>
    </w:p>
    <w:p w14:paraId="11931339"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Отмечалось, что самолет построен по нормам прочности 1943 года и относится к классу Б ограниченно маневренных самолетов с разрушающей перегрузкой на случай А при полетном весе 6000 кг - 8,3.</w:t>
      </w:r>
    </w:p>
    <w:p w14:paraId="52552E8C"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Вооружение самолета включает две 23-мм пушки ВЯ (300 патронов) и два пулемета ШКАС (1500 патронов) в крыле и пушку калибра 20 мм Ш-20 (150 патронов) на ограниченно подвижной установке ВУ -7 у воздушного стрелка. Прицел у летчика - ПБП-16 на съемном держателе, прицел у стрелка - К8-Т.</w:t>
      </w:r>
    </w:p>
    <w:p w14:paraId="28E79D95"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Управление огнем из пушек ВЯ и пулеметов ШКАС электрическое от кнопки на ручке управления самолетом и двух тумблеров на щитке в кабине летчика. При стрельбе необходимо было предварительно включить тумблер пулеметов или пушек и затем вести стрельбу, нажимая кнопку на ручке управления. При одновременной стрельбе следовало включить оба тумблера.</w:t>
      </w:r>
    </w:p>
    <w:p w14:paraId="5895261C"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Стрельбой из пушек управляли при помощи пневмоэлектроспуска ПЭС-1, а из пулеметов - электроспуска М-10. На пулеметах дополнительно за крючок спуска закреплялся трос с кольцом для ручного спуска пулемета.</w:t>
      </w:r>
    </w:p>
    <w:p w14:paraId="6CE3D6DD"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Перезарядка пулеметов и пушек электропневматическая. Электрокнопки перезарядки размещались на щитке в кабине летчика. Система перезарядки питалась воздухом от системы шасси и запуска мотора.</w:t>
      </w:r>
    </w:p>
    <w:p w14:paraId="7BB6BC31"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Подвижная установка ВУ-7 обеспечивала стрельбу в задней полусфере в секторах: вверх - 40° (от нейтрального положения, параллельного оси самолета), вниз - 15° (с поворотом пулемета к борту), вправо - 55°, влево - 50°. Углы замерялись при работе стрелка в зимнем обмундировании с парашютом.</w:t>
      </w:r>
    </w:p>
    <w:p w14:paraId="2C5E90D3"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Обращалось внимание, что «по заявлению Главного конструктора самолета» предусмотрена замена консолей с пушками ВЯ на консоли с пушками 11П калибра 37 мм.</w:t>
      </w:r>
    </w:p>
    <w:p w14:paraId="42E6AD38"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Бомбардировочное вооружение самолета включало два наружных держателя ДЗ-42 и два бомбовых отсека в центроплане для внутренней загрузки. На наружные держатели допускалась подвеска бомб калибром от 50 до 250 кг. Во внутренние отсеки могли загружаться бомбы калибром от 1,5 до 100 кг. Нормальная бомбовая нагрузка составляла 400 кг, в перегрузку - 600 кг.</w:t>
      </w:r>
    </w:p>
    <w:p w14:paraId="26900A86" w14:textId="77777777" w:rsidR="00962976" w:rsidRPr="00070ADE" w:rsidRDefault="00962976" w:rsidP="00B56F90">
      <w:pPr>
        <w:spacing w:after="0" w:line="240" w:lineRule="auto"/>
        <w:jc w:val="both"/>
        <w:rPr>
          <w:rStyle w:val="77"/>
          <w:rFonts w:eastAsiaTheme="minorHAnsi"/>
          <w:color w:val="000000" w:themeColor="text1"/>
          <w:sz w:val="16"/>
          <w:szCs w:val="16"/>
        </w:rPr>
      </w:pPr>
      <w:r w:rsidRPr="00070ADE">
        <w:rPr>
          <w:rStyle w:val="77"/>
          <w:rFonts w:eastAsiaTheme="minorHAnsi"/>
          <w:color w:val="000000" w:themeColor="text1"/>
          <w:sz w:val="16"/>
          <w:szCs w:val="16"/>
        </w:rPr>
        <w:t>На самолет можно было подвесить: снаружи - 2 ФАБ-100, или 2 ФАБ-250, или 2 УХАП-250, внутри - 2 ФАБ-100, или 2 ФАБ-50, или 120 зажигательных бомб ЗАБ-2,5, или 176 осколочных бомб калибра 2,5 кг, или 54 АО-10, или 12 АО-25, или 144 ПТАБ -2,5-1,5 (всего от 200 до 540 кг). Мелкие бомбы укладывались на створки отсеков, а «сотки» и «полтинники» подвешивались на замках Дер -21.</w:t>
      </w:r>
    </w:p>
    <w:p w14:paraId="7EF06D99"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Сбрасывание бомб осуществлялось от боевой кнопки, расположенной на ручке управления самолетом, электросбрасывателя ЭСБР-3П и временного механизма штурмовика ВМШ-10. Временной механизм позволял сбрасывать бомбы с горизонтального полета в том случае, когда цель закрывалась капотом мотора. После сбрасывания бомб из бомбоотсеков створки люков закрывались штурвалом при помощи троса. Аварийный сброс бомб мог выполнить воздушный стрелок.</w:t>
      </w:r>
    </w:p>
    <w:p w14:paraId="68A98C40"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Прицельная система для бомбометания с горизонтального полета и с пикирования ничем принципиально не отличалась от таковой на серийном самолете Ил-2. На капоте имелись визирные штыри и специальная разметка, а на бронестеклах фонаря кабины летчика наносились прицельные линии и метки. Соответственно, методы бомбометания были те же.</w:t>
      </w:r>
    </w:p>
    <w:p w14:paraId="4B767540"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Для отражения атак истребителей противника со стороны задней нижней полусферы предполагались 10 авиационных гранат АГ-2 в дистанционно управляемой кассете ДАГ-10, установленной в фюзеляже за кабиной стрелка. Сброс гранат осуществлялся стрелком при помощи командного прибора.</w:t>
      </w:r>
    </w:p>
    <w:p w14:paraId="1A7CF7B6"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Все оружие самолета было проверено в воздухе, для чего выполнили 10 полетов. Стреляли из пушек и пулеметов при горизонтальном полете, на виражах (скорость 480 км/ч) и на пикировании. Бомбометание выполнялось по стандартным методам, принятым для самолета Ил-2. Во всех случаях угол пикирования не превышал 25-30°, высота ввода в пикирование - 500-600 м.</w:t>
      </w:r>
    </w:p>
    <w:p w14:paraId="4737C454"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Крыло снабжалось взлетно-посадочными щитками типа Шренк и элеронами типа Фрайз. Питание мотора горючим осуществлялось из двух баков - верхнего емкостью 440 л и нижнего емкостью 290 л. Верхний бак располагался за мотором перед кабиной летчика в верхней части корпуса, а нижний - под полом кабины впереди заднего лонжерона центроплана. Баки имели протектор. Емкость двух маслобаков 94 л.</w:t>
      </w:r>
    </w:p>
    <w:p w14:paraId="4173A1BB"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В ходе испытаний самолет облетали ведущий инженер -летчик 3-го отдела НИИ ВВС инженер-майор А. В. Синельников, летчик-испытатель 3-го отдела старший лейтенант Г. А. Тиняков, летчик-испытатель 4-го отдела майор М П. Субботин и летчик-испытатель майор А. А. Живописцев.</w:t>
      </w:r>
    </w:p>
    <w:p w14:paraId="0C106D43"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Вес пустого самолета Ил-10, представленного на госиспытания, составлял 4680 кг. Нормальный полетный вес - 6335 кг. Центровка самолета - в пределах 24,6 % САХ. Полетный вес в перегрузку - 6575 кг.</w:t>
      </w:r>
    </w:p>
    <w:p w14:paraId="6D3C4D26"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При нормальном полетном весе максимальная горизонтальная скорость полета достигала 551 км/ч на высоте 2800 м (почти на 150 км/ч больше максимальной скорости Ил-2 с АМ-38ф) и 507 км/ч - у земли. Время набора высоты 1000 м составило 1,6 мин, а высоты 3000 м - 5,0 мин. Вертикальная скорость у земли равнялась 9,8 м/с, на высоте 2400 м - 10,4 м/с. Разбег с отклоненными на 17° щитками и с форсажем мотора - 475 м. Взлетная дистанция - 1220 м.</w:t>
      </w:r>
    </w:p>
    <w:p w14:paraId="3D689248"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Дистанция посадки при полетном весе 5380 кг не превышала 1040 м (щитки в посадочном положении - 45°). Посадочная скорость - 148 км/ч.</w:t>
      </w:r>
    </w:p>
    <w:p w14:paraId="6FC0A826"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Дальность полета (720 л топлива) на высоте 500 м и скорости 325 км/ч достигала 800 км (2 ч 28 мин), на 1000 м и 330 км/ч - 790 км (2 ч 23 мин) и на 2000 м и 355 км/ч - 740 км (2 ч 5 мин).</w:t>
      </w:r>
    </w:p>
    <w:p w14:paraId="4CFFAB65"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На режиме максимальной скорости дальность полета на высоте 500 м и скорости 515 км/ч сокращалась до 495 км (57 мин), на 1000 м и 523 км/ч - до 490 км (56 мин), а на 2400 км и 544 км/ч - до 470 км (52 мин).</w:t>
      </w:r>
    </w:p>
    <w:p w14:paraId="075F299F"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Скоростная дальность полета на скорости 0,9 максимальной равнялась 650 км (1 ч 23 мин) на высоте 500 м и 600 км (1 ч 14 мин) - на высоте 2000 м.</w:t>
      </w:r>
    </w:p>
    <w:p w14:paraId="68CC69C3"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 xml:space="preserve">Необходимо отметить, что установленный на Ил-10 экземпляр мотора АМ-42 (зав. № 4257) оказался вполне кондиционным, так как работал значительно устойчивее, чем моторы на Су-6. Такой опасный дефект, как возгорание топливной смеси во всасывающих патрубках, ни в одном из полетов не наблюдался. Однако и на нем в полетах отмечалось дымление на всех режимах работы мотора, «течь масла из фланцев крепления моторных агрегатов», а также «выброс масла через суфлер мотора при работе на номинальной мощности». Причем по мере выработки моторесурса мотора выброс масла прогрессировал: «За 30-40 мин полета выброс масла достигает </w:t>
      </w:r>
      <w:r w:rsidRPr="00070ADE">
        <w:rPr>
          <w:rStyle w:val="77"/>
          <w:rFonts w:eastAsiaTheme="minorHAnsi"/>
          <w:color w:val="000000" w:themeColor="text1"/>
          <w:sz w:val="16"/>
          <w:szCs w:val="16"/>
        </w:rPr>
        <w:lastRenderedPageBreak/>
        <w:t xml:space="preserve">25-30 л. При остатке масла в маслобаках 30-35 л на номинальном режиме происходит пульсация давления масла в пределах от 0 до 7 кг/см </w:t>
      </w:r>
      <w:r w:rsidRPr="00070ADE">
        <w:rPr>
          <w:rStyle w:val="77"/>
          <w:rFonts w:eastAsiaTheme="minorHAnsi"/>
          <w:color w:val="000000" w:themeColor="text1"/>
          <w:sz w:val="16"/>
          <w:szCs w:val="16"/>
          <w:vertAlign w:val="superscript"/>
        </w:rPr>
        <w:t>2</w:t>
      </w:r>
      <w:r w:rsidRPr="00070ADE">
        <w:rPr>
          <w:rStyle w:val="77"/>
          <w:rFonts w:eastAsiaTheme="minorHAnsi"/>
          <w:color w:val="000000" w:themeColor="text1"/>
          <w:sz w:val="16"/>
          <w:szCs w:val="16"/>
        </w:rPr>
        <w:t xml:space="preserve"> При сбавлении газа пульсации прекращаются».</w:t>
      </w:r>
    </w:p>
    <w:p w14:paraId="0502561B"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Суммарная наработка мотора к концу испытаний составляла 48 ч 30 мин, в том числе 22 ч 37 мин в воздухе и 7 ч 37 мин на земле - при проведении государственных испытаний и 12 ч 06 мин в воздухе и 6 ч 10 мин на земле - при проведении заводских испытаний. Тогда как гарантированный ресурс мотора устанавливался в 50 ч режимной работы.</w:t>
      </w:r>
    </w:p>
    <w:p w14:paraId="45ADEB60"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Новый штурмовик оставил у летчиков НИИ ВВС приятное впечатление по устойчивости, управляемости и летным качествам. Во всем диапазоне скоростей (от минимальной по сваливанию до максимальной) самолет был устойчив по всем трем осям и показал прекрасную маневренность как в горизонтальной плоскости, так и в вертикальной.</w:t>
      </w:r>
    </w:p>
    <w:p w14:paraId="3C2BAA1A"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 xml:space="preserve">Удельные нагрузки на крыло и мощность мотора при нормальном полетном весе, равные 211,2 кг/м </w:t>
      </w:r>
      <w:r w:rsidRPr="00070ADE">
        <w:rPr>
          <w:rStyle w:val="77"/>
          <w:rFonts w:eastAsiaTheme="minorHAnsi"/>
          <w:color w:val="000000" w:themeColor="text1"/>
          <w:sz w:val="16"/>
          <w:szCs w:val="16"/>
          <w:vertAlign w:val="superscript"/>
        </w:rPr>
        <w:t>2</w:t>
      </w:r>
      <w:r w:rsidRPr="00070ADE">
        <w:rPr>
          <w:rStyle w:val="77"/>
          <w:rFonts w:eastAsiaTheme="minorHAnsi"/>
          <w:color w:val="000000" w:themeColor="text1"/>
          <w:sz w:val="16"/>
          <w:szCs w:val="16"/>
        </w:rPr>
        <w:t>и 3,17 кг/л. с. соответственно, полностью укладывались в рамки концепции маневренного скоростного штурмовика.</w:t>
      </w:r>
    </w:p>
    <w:p w14:paraId="72297452"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Считалось, что по технике пилотирования самолет относительно простой и вполне доступен летчикам средней квалификации: «По технике пилотирования прост и не требует специального переучивания для перехода на него летчиков, летающих на серийных самолетах Ил-2./.../Устойчивость и управляемость хорошие. Путевая устойчивость несколько велика. Нагрузки от рулей нормальные по величине и направлению. Нагрузки от рулей высоты несколько велики. На рулежке устойчивость самолета недостаточная».</w:t>
      </w:r>
    </w:p>
    <w:p w14:paraId="3B605591"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Были выявлены и существенные недостатки. В частности, несколько велика была путевая устойчивость самолета. Отсутствовали система нейтрального газа и дублированное управление рулем высоты. Неудовлетворительно работали тормоза колес. Не был предусмотрен аварийный сброс фонарей кабин летчика и стрелка. В случае капота самолета при вынужденной посадке летчик не мог выбраться из самолета. Система вентиляции кабин не обеспечивала гигиенических норм. Экипаж страдал от невыносимой жары - при +12 °</w:t>
      </w:r>
      <w:r w:rsidRPr="00070ADE">
        <w:rPr>
          <w:rStyle w:val="77"/>
          <w:rFonts w:eastAsiaTheme="minorHAnsi"/>
          <w:color w:val="000000" w:themeColor="text1"/>
          <w:sz w:val="16"/>
          <w:szCs w:val="16"/>
          <w:lang w:val="en-US"/>
        </w:rPr>
        <w:t>C</w:t>
      </w:r>
      <w:r w:rsidRPr="00070ADE">
        <w:rPr>
          <w:rStyle w:val="77"/>
          <w:rFonts w:eastAsiaTheme="minorHAnsi"/>
          <w:color w:val="000000" w:themeColor="text1"/>
          <w:sz w:val="16"/>
          <w:szCs w:val="16"/>
        </w:rPr>
        <w:t xml:space="preserve"> за бортом температура в кабинах достигала +41 °</w:t>
      </w:r>
      <w:r w:rsidRPr="00070ADE">
        <w:rPr>
          <w:rStyle w:val="77"/>
          <w:rFonts w:eastAsiaTheme="minorHAnsi"/>
          <w:color w:val="000000" w:themeColor="text1"/>
          <w:sz w:val="16"/>
          <w:szCs w:val="16"/>
          <w:lang w:val="en-US"/>
        </w:rPr>
        <w:t>C</w:t>
      </w:r>
      <w:r w:rsidRPr="00070ADE">
        <w:rPr>
          <w:rStyle w:val="77"/>
          <w:rFonts w:eastAsiaTheme="minorHAnsi"/>
          <w:color w:val="000000" w:themeColor="text1"/>
          <w:sz w:val="16"/>
          <w:szCs w:val="16"/>
        </w:rPr>
        <w:t xml:space="preserve"> и более.</w:t>
      </w:r>
    </w:p>
    <w:p w14:paraId="79BF652D"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Серьезные дефекты обнаружились в системе вооружения машины. Вести огонь из крыльевых пушек ВЯ и пулеметов ШКАС оказалось совершенно невозможным. В ходе наземных и летных испытаний ни разу не удалось полностью отстрелять боекомплект к ним.</w:t>
      </w:r>
    </w:p>
    <w:p w14:paraId="3E9976D2"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Так, после открытия огня из пушек в большинстве случаев происходила произвольная стрельба, прекратить которую можно было толь ко перезарядкой. Виной этому были дефекты пневмоэлектроспусков. Кроме этого, звенья снарядной ленты, собиравшиеся при стрельбе в снарядные ящики, попадали в подвижные части пушек, что приводило к задержкам в стрельбе. В ходе испытаний пришлось установить звеньеотводы для вывода звеньев наружу, как на серийных самолетах Ил-2.</w:t>
      </w:r>
    </w:p>
    <w:p w14:paraId="2070195A"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При стрельбе из пулеметов ШКАС уже «после 350-400 выстрелов звенья накапливаются у звеньеотвода и заклинивают выход звеньев». Как следствие, стрельба прекращалась.</w:t>
      </w:r>
    </w:p>
    <w:p w14:paraId="07895AFB"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Оборонительная установка ВУ-7 с пушкой Ш-20 оценивалась военными испытателями довольно высоко. По их мнению, установка имела хорошую маневренность и была легкой в управлении. Сама пушка Ш-20 работала «значительно легче, чем пулемет УБТ, а наличие разрывного снаряда калибра 20 мм и непрерывного питания увеличивает защиту самолета».</w:t>
      </w:r>
    </w:p>
    <w:p w14:paraId="3B73F506"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Однако установку требовалось дорабатывать до необходимого уровня надежности. Дело в том, что в ходе стрельб (выполнено 3690 выстрелов на земле и 1045 - в воздухе) было получено довольно много задержек при автоматической стрельбе: 10 % - при стрельбе в воздухе и 7 % - при стрельбе на земле, в том числе соответственно 4 и 3 % - по вине пушки, остальные - по вине установки.</w:t>
      </w:r>
    </w:p>
    <w:p w14:paraId="6A8BB69A"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Кроме этого, после 1810 выстрелов деформировалась дуга фонаря установки, произошло расцепление зубчатки механизма стабилизации с зубьями неподвижного полукольца, а в шарнирных и болтовых соединениях механизма стабилизации вектора собственной скорости образовались люфты. После 4365 выстрелов разорвался рукав питания пушки, увеличилась деформация дуги фонаря установки. Отстрел еще 150 патронов привел к разрушению (срез болтов) крепления переднего кронштейна механизма стабилизации. Суммарный настрел пушки Ш-20 на установке ВУ-7 (включая заводскую отладку) составил 5115 выстрелов.</w:t>
      </w:r>
    </w:p>
    <w:p w14:paraId="0CE92078"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Указывалось, что ВУ-7 после устранения отмеченных недостатков «будет лучше ранее предъявленных установок ВУБ-3, ВУ-8 и УБШ и значительно лучше блистерной БЛУБ (Су-6)». Однако пушка Ш-20 - опытная, поэтому для внедрения ВУ-7 в серию на самолете Ил-10 необходимо решение о постановке Ш-20 на вооружение ВВС КА.</w:t>
      </w:r>
    </w:p>
    <w:p w14:paraId="668F4BFF"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Если недостатки стрелково-пушечного вооружения легко устранялись при переходе к конструктивным решениям, принятым для серийного самолета Ил-2, то с бомбардировочным вооружением Ил-10 дела обстояли гораздо хуже.</w:t>
      </w:r>
    </w:p>
    <w:p w14:paraId="22635C84"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Загрузка бомбоотсеков опытной «десятки» бомбами наиболее «ходовых» калибров (ПТАБ-2,5-1,5, АЖ-2, АО-15, АО-25, ФАБ-50, ФАБ-100) была на 100-300 кг меньше, чем серийной «двойки». На самолете просто не хватало места для размещения большого количества мелких бомб, хотя заявленная грузоподъемность самолета достигала 600 кг бомб (в перегрузку). К тому же подвеска под крылом на внешние держатели бомб калибра 100-250 кг на тросовых поясах была крайне неудобной и сложной в эксплуатации.</w:t>
      </w:r>
    </w:p>
    <w:p w14:paraId="58E0F67D"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По этой причине начальник 4-го отдела института генерал-майор М. В. Шишкин и его заместитель полковник Н. И. Шауров, давая тактическую оценку новому штурмовику, отметили, что «наличие Ил-10 не исключает необходимость иметь на вооружении ВВС самолет Ил-8/./, хотя и уступающего по летным данным».</w:t>
      </w:r>
    </w:p>
    <w:p w14:paraId="495CFEA3" w14:textId="77777777" w:rsidR="00962976" w:rsidRPr="00070ADE" w:rsidRDefault="00962976" w:rsidP="00B56F90">
      <w:pPr>
        <w:spacing w:after="0" w:line="240" w:lineRule="auto"/>
        <w:jc w:val="both"/>
        <w:rPr>
          <w:rStyle w:val="77"/>
          <w:rFonts w:eastAsiaTheme="minorHAnsi"/>
          <w:color w:val="000000" w:themeColor="text1"/>
          <w:sz w:val="16"/>
          <w:szCs w:val="16"/>
        </w:rPr>
      </w:pPr>
      <w:r w:rsidRPr="00070ADE">
        <w:rPr>
          <w:rStyle w:val="77"/>
          <w:rFonts w:eastAsiaTheme="minorHAnsi"/>
          <w:color w:val="000000" w:themeColor="text1"/>
          <w:sz w:val="16"/>
          <w:szCs w:val="16"/>
        </w:rPr>
        <w:t>В выводах акта по результатам испытаний указывалось, что «Ил-10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 на границе высотности на 147 км/ч./. ../Время набора высоты 3000 м меньше на 3 мин./.. ./Дальность горизонтального полета на высоте 500 м возросла на 120 км./.. ./Высокая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 ../Самолет Ил-10 является классическим образцом самолета-штурмовика.»</w:t>
      </w:r>
    </w:p>
    <w:p w14:paraId="0FA19C45"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При внедрении в серию требовалось обеспечить аварийный сброс фонаря кабины летчика, установить триммер руля поворота, изменить бронирование Ил-10, выполнив его по образцу Ил-8.</w:t>
      </w:r>
    </w:p>
    <w:p w14:paraId="45F4A981"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В заключении акта самолет Ил-10 рекомендовался в серийное производство при условии устранения выявленных дефектов и недостатков. Вопрос об оборонительном пушечном вооружении предлагалось решить «после испытаний легких пушек калибра 20 мм».</w:t>
      </w:r>
    </w:p>
    <w:p w14:paraId="56179AAB" w14:textId="77777777" w:rsidR="00962976" w:rsidRPr="00070ADE" w:rsidRDefault="00962976" w:rsidP="00B56F90">
      <w:pPr>
        <w:spacing w:after="0" w:line="240" w:lineRule="auto"/>
        <w:jc w:val="both"/>
        <w:rPr>
          <w:rStyle w:val="77"/>
          <w:rFonts w:eastAsiaTheme="minorHAnsi"/>
          <w:color w:val="000000" w:themeColor="text1"/>
          <w:sz w:val="16"/>
          <w:szCs w:val="16"/>
        </w:rPr>
      </w:pPr>
      <w:r w:rsidRPr="00070ADE">
        <w:rPr>
          <w:rStyle w:val="77"/>
          <w:rFonts w:eastAsiaTheme="minorHAnsi"/>
          <w:color w:val="000000" w:themeColor="text1"/>
          <w:sz w:val="16"/>
          <w:szCs w:val="16"/>
        </w:rPr>
        <w:t>Одновременно считалось необходимым: «4. Просить Наркома авиапромышленности т. Шахурина дать задание: а) Главному конструктору т. Ильюшину - до запуска самолета в серию устранить дефекты и выполнить рекомендации. б) Главному конструктору по авиаколесам - модернизировать серийные тормозные колеса 800^260 мм под перегрузочный полетный вес 6550 кг в сроки, обеспечивающие серийный выпуск Ил-10. в) ЦАГИ - один самолет головной серии статически и динамически испытать. г) ЦИАМ - разработать механизм объединенного управления винта и газа для мотора АМ-42. 5. Просить Наркома НКВ - дать задание тов. Китенко - конструктору электроспусков, срочно устранить дефекты электроспусков» (17490).</w:t>
      </w:r>
    </w:p>
    <w:p w14:paraId="62958609" w14:textId="77777777" w:rsidR="00962976" w:rsidRPr="00070ADE" w:rsidRDefault="00962976" w:rsidP="00B56F90">
      <w:pPr>
        <w:spacing w:after="0" w:line="240" w:lineRule="auto"/>
        <w:jc w:val="both"/>
        <w:rPr>
          <w:rFonts w:ascii="Times New Roman" w:hAnsi="Times New Roman"/>
          <w:color w:val="000000" w:themeColor="text1"/>
          <w:sz w:val="16"/>
          <w:szCs w:val="16"/>
        </w:rPr>
      </w:pPr>
    </w:p>
    <w:p w14:paraId="1D43E1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мая 1944 вместо 1 июня 1944 (срок 1 июня утвержден по тематическому плану на 1 и 2 кв. 1944 - 2217) Ил-10 был передана на гос. испытания (5,122) в НИИ ВВС, а по другим данным в этот день был выполнен первый полет (111,162). Машина поступила в отдел летных испытаний самолетов-штурмовиков, которым руководил и-пп В.С.Холопов, замом которого и был л-и пп А.К.Долгов (111,162). Было выполнено 43 полета, так как серьезных неполадок не было (111,162).</w:t>
      </w:r>
    </w:p>
    <w:p w14:paraId="501CE0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 поступил на испытания 13 мая, а испытания проходили с 14 по 27 мая 1944. Двухместный бронированный штурмовик Ил-10 с мотором АМ-42 и винтом АВ-5Л-24 конструкции С.В.И." (производство завода 18, сборка завода 240) (Тема N 15 - 1944). Ви и-м П.Т.Аброщенко, Пом. ви и-к С.Г.Фролов, Вл пп А.К.Долгов (1866).</w:t>
      </w:r>
    </w:p>
    <w:p w14:paraId="7EEF8D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2630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13 по 25 мая 1944 проходили гос. испытания Ил-10 АМ-43. Вли А.К.Долгов, ви П.Аброщенко, самолет облетали А.Синельников, М.Субботин, А.Живописцев и Г.Тиняков (3846,19).</w:t>
      </w:r>
    </w:p>
    <w:p w14:paraId="1F3083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2888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мая 1944 (то есть с опозданием на б месяцев) в ГК НИИ ВВС КА для производства государственных испытаний были переданы сразу три экземпляра опытного Ил-10 АМ-42. Последнее обстоятельство позволило ведущему инженеру П.Т.Аброщенко (ведущий летчик-испытатель А.К.Долгов, штурман Горбунов) завершить испытания нового штурмовика всего за две недели. 27 мая, выполнив 43 полета по программе испытаний (налет 22 часа 37 минут), бригада рапортовала об их успешном завершении (7442).</w:t>
      </w:r>
    </w:p>
    <w:p w14:paraId="65186D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мнению А.Долгова и летчиков облета ГК НИИ ВВС (А.Синельникова, М.Субботина, А.Живописцева и Г.Тинякова), новый штурмовик "по технике пилотирования прост и не требует специального переучивания для перехода на него летчиков, летающих на серийных самолетах Ил-2. Устойчивость и управляемость хорошие. Путевая устойчивость несколько велика. Нагрузки от рулей нормальные по величине и направлению. Нагрузки от рулей высоты несколько велики. На рулежке устойчивость самолета недостаточна" (7442).</w:t>
      </w:r>
    </w:p>
    <w:p w14:paraId="7535EB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самолета Ил-10, представленного на государственные испытания, равнялся 4650 кг, нагрузка нормального полетного веса не превышала 1650 кг и включала: экипаж (2 чел) - 180 кг, вес бензина - 535 кг, вес масла - 65 кг, вес стрелково-пушечного вооружения (две пушки ВЯ по 150 снарядов на ствол, два пулемета ШКАС и 1500 патронов к ним, один оборонительный пулемет УБК со 150 патронами) - 420 кг, вес бомбовой нагрузки -400 кг, вес гранат АГ-2 (10 шт.) - 20 кг и вес съемного оборудования - 30 кг (7442).</w:t>
      </w:r>
    </w:p>
    <w:p w14:paraId="30AAE8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допускал перегрузочные варианты загрузки бомб 500 кг (2 ФАБ-250 на наружной подвеске) и 600 кг (мелкие бомбы в отсеках) (7442).</w:t>
      </w:r>
    </w:p>
    <w:p w14:paraId="27AA55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 всех вариантах полетного веса штурмовика центровка (шасси выпущено) самолета лежала в пределах от 21,3% САХ (пустой самолет) до 23,9 (перегрузочный </w:t>
      </w:r>
      <w:r w:rsidRPr="00070ADE">
        <w:rPr>
          <w:rFonts w:ascii="Times New Roman" w:hAnsi="Times New Roman"/>
          <w:color w:val="000000" w:themeColor="text1"/>
          <w:sz w:val="16"/>
          <w:szCs w:val="16"/>
        </w:rPr>
        <w:lastRenderedPageBreak/>
        <w:t>вариант с 600 кг бомб). Центровка при нормальном полетном весе составляла 23,8% САХ (7442).</w:t>
      </w:r>
    </w:p>
    <w:p w14:paraId="4CAC7A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устанавливался мотор АМ-42 с винтом АВ-5л-24, диаметром 3,6 м с регулятором постоянного числа оборотов Р-7А (7442).</w:t>
      </w:r>
    </w:p>
    <w:p w14:paraId="0FDE35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Летно-тактические данные штурмовика Ил-10, прошедшего госиспытания, оказались выдающимися: при полетном весе 6300 кг (400 кг бомб, без PC) на номинальном режиме работы мотора максимальная горизонтальная скорость полета на высоте 2300 м оказалась равной 550 км/ч - почти на 150 км/ч больше максимальной скорости Ил-2 АМ-38ф, а максимальная скорость у земли составила 500 км/ч. Время набора высоты 1000 м - 1,6 мин, а высоты 3000 м - 5,0 мин. Практический потолок машины составил 7270 м (7442).</w:t>
      </w:r>
    </w:p>
    <w:p w14:paraId="5AC667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техническая дальность полета Ил-10 на высоте полета 500 м при скорости полета по прибору 310 км/ч составила 800 км (продолжительность полета 2 часа 28 мин.). При этом скоростная дальность (0,9 V ) до полного выгорания горючего на высоте полета 2400 м не превышала 600 км (1 час 14 мин) (7442).</w:t>
      </w:r>
    </w:p>
    <w:p w14:paraId="087628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разбега с отклоненными на 17 щитками и с форсажем мотора составила 475 м, при этом длина взлетной дистанции (взлет с набором высоты 25 м) равнялась 1220 м (7442).</w:t>
      </w:r>
    </w:p>
    <w:p w14:paraId="380538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посадочном весе 5380 кг длина пробега самолета с применением тормозов и отклонением щитков на 45° равнялась 460 м, а длина посадочной дистанции при тех же условиях не превышала 1040 м (с высоты 25 м) (7442).</w:t>
      </w:r>
    </w:p>
    <w:p w14:paraId="3B43DA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Посадочная скорость штурмовика была почти такой же, как и у Ил-2 -при посадочном весе 5380 кг с отклоненными на 45° щитками она равнялась 148 км/ч (7442).</w:t>
      </w:r>
    </w:p>
    <w:p w14:paraId="3534B8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Удельные нагрузки на крыло и мощность мотора при нормальном полетном весе 6300 кг, равные 210 кг/м2 и 3,15 кг/л.с. соответственно, полностью соответствовали концепции маневренного скоростного штурмовика (7442).</w:t>
      </w:r>
    </w:p>
    <w:p w14:paraId="42A961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высотах от земли до 2000 м скорость двухместного бронированного Ил-10 была всего лишь на 10-15 км/ч меньше максимальных скоростей истребителей люфтваффе Bfl09G-2 и Fwl90A-4 (7442).</w:t>
      </w:r>
    </w:p>
    <w:p w14:paraId="7706CB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прочности штурмовик относился к классу "Б" с коэффициентом перегрузки на случай "А" (соответствующий наибольшему коэффициенту подъемной силы), равным 8,28 при полетном весе 6000 кг (7442).</w:t>
      </w:r>
    </w:p>
    <w:p w14:paraId="5AB1F3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Аэродинамическое совершенство Ил-10 достигалось улучшением обводов бронекорпуса, изменением системы уборки шасси, применением более скоростных профилей крыла, герметизацией отсеков самолета. В результате лобовое сопротивление Ил-10 по сравнению с Ил-2 уменьшилось почти в два раза (7442).</w:t>
      </w:r>
    </w:p>
    <w:p w14:paraId="77E6E8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и на втором опытном штурмовике Ил-8 АМ-42, в бронекорпусе серийного Ил-10 наряду с мотором и кабиной пилота размещалась кабина стрелка, которая располагалась сразу же за бронеспинкой летчика (7442).</w:t>
      </w:r>
    </w:p>
    <w:p w14:paraId="706962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Распределение толщины брони было сделано с учетом опыта боевого применения штурмовика Ил-2. От огня со стороны задней полусферы воздушного стрелка защищала более эффективная бронеперегородка, образованная двумя рядом стоящими бронеплитами толщиной по 8 мм каждая с промежутком между ними. Бронеперегородка одновременно являлась и силовым шпангоутом стыка бронекорпуса с хвостовой частью фюзеляжа. Задняя бро-нестенка и подголовник пилота были также сделаны из двух броневых листов толщиной по 8 мм. Такая схема бронирования более эффективно защищала стрелка и пилота от поражения 20-мм снарядами немецких авиапушек (7442).</w:t>
      </w:r>
    </w:p>
    <w:p w14:paraId="15F4B4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передних стеклах фонаря пилота ставилась прозрачная броня толщиной 64 мм с металлической окантовкой. Прозрачная броня выполнялась двухслойной: сырое силикатное стекло наклеивалось на органическую (плексигласовую) подушку. Откидывающиеся боковые крышки фонаря кабины пилота выполнялись из металлической брони (толщиной б мм) и плексигласа. Сверху голова пилота прикрывалась установленной на фонаре 6-мм броней (7442).</w:t>
      </w:r>
    </w:p>
    <w:p w14:paraId="67C215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Раздельное открытие крышек фонаря позволяло летчику вылезти из кабины при полном капоте самолета. Сбоку фонаря имелись сдвижные форточки (7442).</w:t>
      </w:r>
    </w:p>
    <w:p w14:paraId="1BCB0B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Передняя и средняя части фюзеляжа, образующие броневой корпус, выполнялись ИЗ ЛИСТОВ броневой стали типа АБ-2 толщиной от 4 (боковые листы и крышки капота) до 6 мм (диск винта, броня бензобака). Толщина нижних боковых стенок капота мотора была увеличена до 6 и 8 мм, а толщина боковых стенок кабины пилота и стрелка уменьшена до 4 и 5 мм (нижняя боковая броня кабины пилота при этом имела толщину 4 мм) (7442).</w:t>
      </w:r>
    </w:p>
    <w:p w14:paraId="57803A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Нижняя боковая часть и пол кабины стрелка бронировались бронелистом толщиной 6 мм. Верхняя же часть бронекорпуса, имевшая поверхность двойной кривизны (за счет этого обеспечивался небольшой угол встречи снаряда с обшивкой), выполнялась из дюра-люминовых листов толщиной от 1,5 до 6,0 мм (7442).</w:t>
      </w:r>
    </w:p>
    <w:p w14:paraId="6D576E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Дело в том, что верхняя передняя часть бронекорпуса Ил-2, как показал опыт его боевого применения, практически не поражалась в воздушных боях - для огня с земли она недосягаема, от огня истребителей со стороны хвоста самолета ее защищал стрелок, а спереди немецкие летчики старались Ил-2 не атаковать, справедливо опасаясь огневой мощи пушек ВЯ-23 (7442).</w:t>
      </w:r>
    </w:p>
    <w:p w14:paraId="4E48C0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EB6622"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13 мая 1944 г. Ил-10 передали в НИИ ВВС.</w:t>
      </w:r>
    </w:p>
    <w:p w14:paraId="52B9E07F"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отличие от Ил-2 на новом штурмовике вернулись к схеме бронекорпуса самолета ЦКБ-55. Стрелок теперь раз</w:t>
      </w:r>
      <w:r w:rsidRPr="00C94B78">
        <w:rPr>
          <w:rStyle w:val="aff1"/>
          <w:rFonts w:ascii="Times New Roman" w:hAnsi="Times New Roman" w:cs="Times New Roman"/>
          <w:color w:val="0070C0"/>
          <w:spacing w:val="0"/>
          <w:sz w:val="16"/>
          <w:szCs w:val="16"/>
        </w:rPr>
        <w:softHyphen/>
        <w:t>мещался не за бронеперегородкой заднего бензобака, а за бронеспинкой летчика. Изменилась толщина отдельных листов бронекорпуса. В частности, толще стали боковые стенки, защищавшие двигатель. «Похудели» боковые стен</w:t>
      </w:r>
      <w:r w:rsidRPr="00C94B78">
        <w:rPr>
          <w:rStyle w:val="aff1"/>
          <w:rFonts w:ascii="Times New Roman" w:hAnsi="Times New Roman" w:cs="Times New Roman"/>
          <w:color w:val="0070C0"/>
          <w:spacing w:val="0"/>
          <w:sz w:val="16"/>
          <w:szCs w:val="16"/>
        </w:rPr>
        <w:softHyphen/>
        <w:t>ки кабины экипажа, а верхнюю часть бронекорпуса, недо</w:t>
      </w:r>
      <w:r w:rsidRPr="00C94B78">
        <w:rPr>
          <w:rStyle w:val="aff1"/>
          <w:rFonts w:ascii="Times New Roman" w:hAnsi="Times New Roman" w:cs="Times New Roman"/>
          <w:color w:val="0070C0"/>
          <w:spacing w:val="0"/>
          <w:sz w:val="16"/>
          <w:szCs w:val="16"/>
        </w:rPr>
        <w:softHyphen/>
        <w:t>сягаемую для зениток, изготовили из дюралюминия. Бро</w:t>
      </w:r>
      <w:r w:rsidRPr="00C94B78">
        <w:rPr>
          <w:rStyle w:val="aff1"/>
          <w:rFonts w:ascii="Times New Roman" w:hAnsi="Times New Roman" w:cs="Times New Roman"/>
          <w:color w:val="0070C0"/>
          <w:spacing w:val="0"/>
          <w:sz w:val="16"/>
          <w:szCs w:val="16"/>
        </w:rPr>
        <w:softHyphen/>
        <w:t>неспинка и заголовник летчика, а также бронеспинка стрелка состояли из двух восьмимиллиметровых бронеплит с воздушной прослойкой. Как и на Ил-2, бронекорпус Ил-10 весом 1010 кг включили в силовую схему плане</w:t>
      </w:r>
      <w:r w:rsidRPr="00C94B78">
        <w:rPr>
          <w:rStyle w:val="aff1"/>
          <w:rFonts w:ascii="Times New Roman" w:hAnsi="Times New Roman" w:cs="Times New Roman"/>
          <w:color w:val="0070C0"/>
          <w:spacing w:val="0"/>
          <w:sz w:val="16"/>
          <w:szCs w:val="16"/>
        </w:rPr>
        <w:softHyphen/>
        <w:t>ра. К бронекорпусу пристыковывалась хвостовая часть, со</w:t>
      </w:r>
      <w:r w:rsidRPr="00C94B78">
        <w:rPr>
          <w:rStyle w:val="aff1"/>
          <w:rFonts w:ascii="Times New Roman" w:hAnsi="Times New Roman" w:cs="Times New Roman"/>
          <w:color w:val="0070C0"/>
          <w:spacing w:val="0"/>
          <w:sz w:val="16"/>
          <w:szCs w:val="16"/>
        </w:rPr>
        <w:softHyphen/>
        <w:t>стоящая из набора шпангоутов и стрингеров с дюралевой обшивкой.</w:t>
      </w:r>
    </w:p>
    <w:p w14:paraId="3FE6402E"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Ил-10 в соответствии с нормами прочности 1943 года относился к классу «Б» с коэффициентом перегрузки на случай «А•&gt; (соответствующим наибольшему значению коэффиuиента подъемной силы крыла), при полетном весе 6000 кг равном 8,3. Это позволяло ему выполнять фигуры не только сложного, но и высшего пилотажа (25091).</w:t>
      </w:r>
    </w:p>
    <w:p w14:paraId="7F38E898" w14:textId="77777777" w:rsidR="00982F71" w:rsidRPr="00C94B78" w:rsidRDefault="00982F71" w:rsidP="00B56F90">
      <w:pPr>
        <w:spacing w:after="0" w:line="240" w:lineRule="auto"/>
        <w:jc w:val="both"/>
        <w:rPr>
          <w:rFonts w:ascii="Times New Roman" w:hAnsi="Times New Roman"/>
          <w:color w:val="0070C0"/>
          <w:sz w:val="16"/>
          <w:szCs w:val="16"/>
        </w:rPr>
      </w:pPr>
    </w:p>
    <w:p w14:paraId="57FDFB69" w14:textId="77777777" w:rsidR="00962976" w:rsidRPr="00070ADE" w:rsidRDefault="00962976"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13 мая 1944 г. командир 2-го гбак генерал-майор И.С. Полбин докладывал, что в ходе эксплуатации «быстро нарушается прочность крепления и герметичность проводки, в результате этого установка быстро выходит из строя и практически в полках не используется, как 1-й, таки, особенно, 2-й зоной».</w:t>
      </w:r>
    </w:p>
    <w:p w14:paraId="45A2C8CE" w14:textId="77777777" w:rsidR="00962976" w:rsidRPr="00070ADE" w:rsidRDefault="00962976"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Отмечалось, что «система НГ при хорошем уходе и грамотной эксплуатации повышает живучесть самолета, но при крупных поражениях бензобака она также оказывается недейственной, поэтому самолет в целом воспламеняется легко». Начальник штаба ВВС КА генерал-полковник С.А. Худяков и начальник оперативного управления штаба ВВС генерал-лейтенант Н.А. Журавлев в мае 1944 г. в докладе руководству страны и ВВС КА требовали «незамедлительно отработать и внедрить в серийное производство стандартную систему НГ». Но до самого окончания войны реально работающую систему 2-й зоны нейтрального газа отработать и внедрить в серийное производство так и не удалось (17733).</w:t>
      </w:r>
    </w:p>
    <w:p w14:paraId="10FE62A0" w14:textId="77777777" w:rsidR="00962976" w:rsidRPr="00070ADE" w:rsidRDefault="00962976" w:rsidP="00B56F90">
      <w:pPr>
        <w:spacing w:after="0" w:line="240" w:lineRule="auto"/>
        <w:jc w:val="both"/>
        <w:rPr>
          <w:rFonts w:ascii="Times New Roman" w:hAnsi="Times New Roman"/>
          <w:color w:val="000000" w:themeColor="text1"/>
          <w:sz w:val="16"/>
          <w:szCs w:val="16"/>
        </w:rPr>
      </w:pPr>
    </w:p>
    <w:p w14:paraId="0A1A5B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мая 1944 в 42-й гвардейский иап (до февраля 1943 г. 8-й иап} поступил приказ: сдать 12 оставшихся Як-1 в ПАРМ и учебно-тренировочный полк и убыть в Степыгино, что находилось в 70 км юго-западнее Москвы. Здесь летно-технический состав получил полноценный отпуск - впервые за три года войны. В начале июля командир полка майор Я.А.Александрович приказал начать изучение новой материальной части самолетов Як-9У (4842).</w:t>
      </w:r>
    </w:p>
    <w:p w14:paraId="3027EE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036C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13 мая 1944 состояние опытного строительства на 21 заводе было следующим:</w:t>
      </w:r>
    </w:p>
    <w:p w14:paraId="295CB6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Ла-7 АШ-83 - было выполнено 3 полета - имеется выброс масла из-за неисправной маслосистемы</w:t>
      </w:r>
    </w:p>
    <w:p w14:paraId="64D34C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Ла-7 М-71 - был выведен на аэродром для отработки ВМГ</w:t>
      </w:r>
    </w:p>
    <w:p w14:paraId="19338D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Ла-5ФН с автоматикой - заканчиваются заводские испытания (738,23).</w:t>
      </w:r>
    </w:p>
    <w:p w14:paraId="69BB0E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2BDF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мая 1944 года гл. конструктор заводов NN 22 и 482 Мясищев писал письмо N 1094 начальнику НИИ ВВС генерал-лейтенанту ИАС Лосюкову П.А., начальнику 7-го гл. управления НКАП Шишкину С.Н., зам. наркома Авиапрома и начальнику 10-го гл. управления НКАП Кузнецову А.И.</w:t>
      </w:r>
    </w:p>
    <w:p w14:paraId="563C05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Предъявленный Вам на гос. испытания 1-й экземпляр самолета Пе-2 с 2ВК107А по своему оборудованию не отвечает полностью требованиям макетной комиссии, состоявшейся на заводе N 22 29 февраля 1944 года под председательством генерал-майора авиации Фелорова, т.к. к моменту созыва макетной комиссии 1-й экземпляр находился уже в стадии сборки и был закончен оборудованием уже на 70%.</w:t>
      </w:r>
    </w:p>
    <w:p w14:paraId="57AC32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совещании макетной комиссии было принято решение все крупные изменения и новые установки оборудования провести на 2-м экземпляре, часть же новых установок как-то: АФА3с, СЧ-2, СЧ-3 и ПР-4, только предусматривалась с дальнейшей отработкой их на эталонном самолете Пе-2 ВК107А, после получения образцов этого оборудования.</w:t>
      </w:r>
    </w:p>
    <w:p w14:paraId="042B95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Ввиду вышеизложенного считаю целесообразным на первом самолете производить только летно-тактические испытания и испытание вооружения; испытания же спецоборудования и отработку новых установок произвести на втором экземпляре, оборудованном в соответствии с замечаниями макетной комиссии.</w:t>
      </w:r>
    </w:p>
    <w:p w14:paraId="171722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2-й экземпляр самолета Пе-2 ВК-107А будет Вам предъявлен на гос. испытания в мае с.г. (1825,39).</w:t>
      </w:r>
    </w:p>
    <w:p w14:paraId="6D9024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E0ED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мая 1944 вышел приказ НКАП N 328с:</w:t>
      </w:r>
    </w:p>
    <w:p w14:paraId="48F2A2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увеличения выпуска транспортных самолетов Ще-2:</w:t>
      </w:r>
    </w:p>
    <w:p w14:paraId="1F598A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Нач. 11 ГУ И.В.Куликову и директору завода 87 А.И.Бугрову организовать на заводе 87 серийное производство транспортных самолетов Ще-2</w:t>
      </w:r>
    </w:p>
    <w:p w14:paraId="491D24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Обеспечить начало выпуска самолетов Ще-2 в сентябре 1944 в количестве 3-х, в октябре - 8</w:t>
      </w:r>
    </w:p>
    <w:p w14:paraId="7E0CC2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Перевести завод 87 из 6 в 11 ГУ (1602,88).</w:t>
      </w:r>
    </w:p>
    <w:p w14:paraId="4A903C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5F1A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мая 1944 вышел приказ НКАП № 329с</w:t>
      </w:r>
    </w:p>
    <w:p w14:paraId="4D95C9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сосредоточения з-в металлургического пр-ва НКАп в одном ГУ:</w:t>
      </w:r>
    </w:p>
    <w:p w14:paraId="065C54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 496 10 ГУ передать в 9 ГУ</w:t>
      </w:r>
    </w:p>
    <w:p w14:paraId="1F2A40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Площадку и сооружения бывшего з-да 381 на ст. Ижора закрепить за з-м 496.</w:t>
      </w:r>
    </w:p>
    <w:p w14:paraId="32FA4B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Шахурин (1602, 102).</w:t>
      </w:r>
    </w:p>
    <w:p w14:paraId="472744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751A50" w14:textId="55AA325B"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мая 1944 г. по приказу НКАП № 329с площадка и все сооружения бывшего завода № 381 НКАП (на ст. Ижора) закреплены за заводом № 496 НКАП (ГС завод № 496 НКАП, НКТМ, МЭТП, п/я 240, Ленинградский государственный электромашиностроительный завод (ЛЭЗ), НПО «Электрофизика», АООТ, ОАО «Сила», ОАО «Новая сила» /г. Ленинград ул. Глухозерская, 16/ /189631</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Санкт-Петербург п/о Металлострой/), тем же приказом завод передан из 10ГУ в 9ГУ. Стальное фасонное литье, поковки, штамповка заготовок.</w:t>
      </w:r>
    </w:p>
    <w:p w14:paraId="4F7F5A0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заводе действовал металлургический филиал, образованный в 1940 г. на площадку ремонтно- механического завода НКПС в Ленинграде. По приказу № 258с от 22.06.1945 г. филиал передан в ведение НКугля. В соответствии с пост. СНК от 10.06.1945 г. и приказом НКУП от 15.06.1945 г. на базе филиала создан ГС завод угольного машиностроения «Ленуглемаш».</w:t>
      </w:r>
    </w:p>
    <w:p w14:paraId="63AED9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 473с/847с от 22.12.1945 г. завод передан в ведение НКТМ с 1.11.1945 г., с 15.08.1946 г. завод № 496 передан в МЭП, с 1953 г.- МЭТП, с 07.1957 г. - в ведение Управления электротехнической промышленности ЛенСНХ. Строительство велось в 1946-50 г.</w:t>
      </w:r>
      <w:r w:rsidRPr="00070ADE">
        <w:rPr>
          <w:rFonts w:ascii="Times New Roman" w:hAnsi="Times New Roman"/>
          <w:color w:val="000000" w:themeColor="text1"/>
          <w:sz w:val="16"/>
          <w:szCs w:val="16"/>
          <w:vertAlign w:val="superscript"/>
        </w:rPr>
        <w:t>78</w:t>
      </w:r>
      <w:r w:rsidRPr="00070ADE">
        <w:rPr>
          <w:rFonts w:ascii="Times New Roman" w:hAnsi="Times New Roman"/>
          <w:color w:val="000000" w:themeColor="text1"/>
          <w:sz w:val="16"/>
          <w:szCs w:val="16"/>
        </w:rPr>
        <w:t xml:space="preserve"> В 11.1951 г. завод получил наименование ГС завод «п/я 240» МЭТП, с 1960 г. - организация «п/я 240». В соответствии с пост. ЛенСНХ от 2.10.1962 г. завод вошел в состав ЛПЭО «Электросила» им. С.М. Кирова и в 01.1963 г. переименован в Ленинградский электромашиностроительный завод. В 1988 г. завод вошел в состав НПО «Электрофизика» в качестве самостоятельной структурной единицы.</w:t>
      </w:r>
    </w:p>
    <w:p w14:paraId="45ED0E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1993 г. завод акционирован и преобразован в АООТ, а с 1996 г.- ОАО «Сила». В 06.1998 г. переименовано в ОАО «Новая сила». В 01.1997 г. стало одним из учередителей ОАО «ЭМК-Сила».</w:t>
      </w:r>
    </w:p>
    <w:p w14:paraId="3246DE8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(2000-е): более 1200 типоразмеров электрических машин: турбогенераторы с воздушным, водородным и водяным охлаждением до 220 МВт; синхронные генераторы до 3500 кВт; электродвигатели до 8000 кВт; аснхронные электродвигатели более 100 кВт; электрооборудование приводов СУЗ АЭС с реакторами ВВЭР-440 и ВВЭР-1000; токоприемники кольцевые экскаваторные; разработка и освоение производства: гидрогенераторы малой мощности; тяговые электродвигатели: асинхронные для электропоездов, вентильные для большегрузных самосвалов; нестандартные электродвигатели для уникального оборудования; плазмотроны для электрофизических установок по утилизации токсичных отходов.</w:t>
      </w:r>
    </w:p>
    <w:p w14:paraId="63D46B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к 2000 г. выпущено более 720 турбогенраторов и 83 тыс. крупных электрических машин.</w:t>
      </w:r>
    </w:p>
    <w:p w14:paraId="6737F06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(2000-е)- 1359 чел.</w:t>
      </w:r>
    </w:p>
    <w:p w14:paraId="680FBA2C" w14:textId="77777777" w:rsidR="00B51C29"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(1941 г.)- Н.В. Захаров, (-02-10.1944 г.-)- Соснушкин.</w:t>
      </w:r>
    </w:p>
    <w:p w14:paraId="3E6620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«Ленметаллургстрой» НКТП, «Ленкранстрой» НКМС /г. Ленинград/</w:t>
      </w:r>
    </w:p>
    <w:p w14:paraId="6F0315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«Ленметаллургстрой» НКТП основан в 1932 г., в 1937 г. он переименован в «Ленкранстрой» в ведении ГУ подъемно-транспортного оборудования НКМС.</w:t>
      </w:r>
    </w:p>
    <w:p w14:paraId="6458FE56" w14:textId="77777777" w:rsidR="00B51C29"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СНК № 1369-385с от 26.07.1940 г. и приказом № 418сс от 12.08.1940 г. на территории завода «Ленкранстрой» НКСМ размещен вновь образованный зав»д № 381 НКАП, а сам завод «Ленкранстрой» передан в НКАП и влит в его состав. При эвакуации завода № 381 НКАП в 07.1941 г. из его состава был выделен бывший завод «Ленкранстрой» в самостоятельный завод № 496 НКАП.</w:t>
      </w:r>
    </w:p>
    <w:p w14:paraId="452215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ГС завод угольного машиностроения «Ленуглемаш» НКУП, Ленинградский экскаваторный завод МСиДМ, МТиТМ, Ленинградский завод строительной робототехники и манипуляторов,Ленинградский завод строительного машиностроения (ЛЗСМ), Машиностроительная фирма (МФ) «ЛЗСМ», МФ «Барс», АООТ «МФ «Барс»</w:t>
      </w:r>
    </w:p>
    <w:p w14:paraId="478EEF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заводе № 496 НКАП действовал металлургический филиал, образованный в 1940 г. на площадке ремонтно-механического завода НКПС в Ленинграде. По приказу № 258с от 22.06.1945 г. филиал передан в ведение НКугля. В соответствии с пост. СНК от 10.06.1945 г. и приказом НКУП от 15.06.1945 г. на базе филиала создан ГС завод угольного машиностроения «Ленуглемаш» в ведении Главуглемаша Востока НКУП. В соответствии с пост. СНК от 17.02.1946 г. завод передан в ведение ГУ по производству экскаваторов и кранов МСиДМ и переименован в Ленинградский экскаваторный завод. Пост. СМ СССР от 28.03.1953 г. завод передан в ведение ГУ по производству экскаваторов и кранов МТиТМ, с 05.1954 г. - вновь в МСиДМ. В 06.1957 г. завод передан в ведение Управления тяжелого машиностроения ЛенСНХ, в 10.1965 г. - ГУ по производству экскаваторов и кранов Министерства строительного, дорожного и коммунального машиностроения.</w:t>
      </w:r>
    </w:p>
    <w:p w14:paraId="517DBF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от 4.01.1984 г. завод переименован в Ленинградский завод строительной робототехники и манипуляторов и на правах самостоятельного предприятия вошел в состав НПО «Ленстройробот» ВПО «Союзэкскаватор». По приказу от 21.09.1988 г. завод переименован в Ленинградский завод строительного машиностроения и передан в состав НПО «Ленстройкомммаш». В 1991 г. завод вошел в состав Межотраслевого государственного объединения по разработке и производству машин и оборудования для коммунального хозяйства (МГО «Коммаш»). Приказом председателя «Коммаша» от 15.08.1991 г. завод преобразован в МФ ЛЗСМ, в 01.1992 г. она переименована в МФ «Барс».</w:t>
      </w:r>
    </w:p>
    <w:p w14:paraId="6019E3AC" w14:textId="77777777" w:rsidR="004B3F09"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070ADE">
        <w:rPr>
          <w:rFonts w:ascii="Times New Roman" w:hAnsi="Times New Roman"/>
          <w:color w:val="000000" w:themeColor="text1"/>
          <w:sz w:val="16"/>
          <w:szCs w:val="16"/>
        </w:rPr>
        <w:t>1.03.1994 г. фирма преобразована в АООТ «МФ «Барс». 6.05.1998 г. предприятие признано банкротом, в 1999 г. утвержден ликвидационный баланс.</w:t>
      </w:r>
      <w:r w:rsidRPr="00070ADE">
        <w:rPr>
          <w:rFonts w:ascii="Times New Roman" w:hAnsi="Times New Roman"/>
          <w:color w:val="000000" w:themeColor="text1"/>
          <w:sz w:val="16"/>
          <w:szCs w:val="16"/>
          <w:vertAlign w:val="superscript"/>
        </w:rPr>
        <w:t>131</w:t>
      </w:r>
    </w:p>
    <w:p w14:paraId="5C402E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НПО «Ленстройробот»</w:t>
      </w:r>
    </w:p>
    <w:p w14:paraId="2540F4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НПО «Ленстройробот» ВПО «Союзэкскаватор» создано по приказу Министерства строительного, дорожного и коммунального машиностроения от 4.01.1984 г., в его состав вошли Ленинградский завод строительной робототехники и манипуляторов (на правах самостоятельного предприятия, входил по 1988 г.), Ленинградский государственный завод строительных машин (11982).</w:t>
      </w:r>
    </w:p>
    <w:p w14:paraId="48038A5E" w14:textId="77777777" w:rsidR="004B3F09" w:rsidRPr="00070ADE" w:rsidRDefault="004B3F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E006A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F6CDC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450007" w14:textId="77777777" w:rsidR="008B0844" w:rsidRPr="00070ADE" w:rsidRDefault="008B0844" w:rsidP="00B56F90">
      <w:pPr>
        <w:pStyle w:val="ae"/>
        <w:spacing w:before="0" w:after="0"/>
        <w:jc w:val="both"/>
        <w:textAlignment w:val="baseline"/>
        <w:rPr>
          <w:color w:val="000000" w:themeColor="text1"/>
          <w:sz w:val="16"/>
          <w:szCs w:val="16"/>
        </w:rPr>
      </w:pPr>
      <w:r w:rsidRPr="00070ADE">
        <w:rPr>
          <w:color w:val="000000" w:themeColor="text1"/>
          <w:sz w:val="16"/>
          <w:szCs w:val="16"/>
        </w:rPr>
        <w:t>13 мая 1944 года начались Заводские испытания первого опытного образца модернизированного Т-44. Первый пробег 13-14 мая проходил с бортовым редуктором (гитарой), заправленным авиационным маслом. Как показали испытания, подобная смазка работала плохо. После 50 км безостановочного пробега температура масла достигла 175 градусов. Также наблюдалась потеря масла через сальники валов, в результате каждые 40-50 км приходилось дозаправлять гитару. После первого пробега гитару заменили на другую конструкцию, получившую маслонасос с двумя секциями. После этого проблемы с перегревом масла прекратились, к 4 июня танк прошёл 2118 км.</w:t>
      </w:r>
    </w:p>
    <w:p w14:paraId="181EEEED" w14:textId="77777777" w:rsidR="008B0844" w:rsidRPr="00070ADE" w:rsidRDefault="008B0844" w:rsidP="00B56F90">
      <w:pPr>
        <w:spacing w:after="0" w:line="240" w:lineRule="auto"/>
        <w:jc w:val="both"/>
        <w:textAlignment w:val="baseline"/>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заводских испытаний первый образец с бортами толщиной 60 мм преодолел более 2000 км.</w:t>
      </w:r>
    </w:p>
    <w:p w14:paraId="75C0C087" w14:textId="77777777" w:rsidR="008B0844" w:rsidRPr="00070ADE" w:rsidRDefault="008B0844" w:rsidP="00B56F90">
      <w:pPr>
        <w:pStyle w:val="ae"/>
        <w:spacing w:before="0" w:after="0"/>
        <w:jc w:val="both"/>
        <w:textAlignment w:val="baseline"/>
        <w:rPr>
          <w:color w:val="000000" w:themeColor="text1"/>
          <w:sz w:val="16"/>
          <w:szCs w:val="16"/>
        </w:rPr>
      </w:pPr>
      <w:r w:rsidRPr="00070ADE">
        <w:rPr>
          <w:color w:val="000000" w:themeColor="text1"/>
          <w:sz w:val="16"/>
          <w:szCs w:val="16"/>
        </w:rPr>
        <w:t>Рост боевой массы привёл к тому, что хроническая проблема с износом бандажей опорных катков, присущая и Т-34, и Т-43, стала давать о себе знать ещё сильнее. Всего за время испытаний износились бандажи на 8 катках, причём на 5-м правом опорном катке четыре раза. Имелись и другие неполадки, в том числе по элементам трансмиссии. В ходе испытаний набрались замечания по 25 пунктам. Немало претензий высказали к месту механика-водителя. Снижение будки оказалось правильным решением с точки зрения стойкости корпуса, но при этом появился недостаток по высоте. Механик-водитель среднего роста теперь упирался головой в крышку люка, сиденье признали неудачным, как и размещение контрольных приборов. Имелись претензии к боеукладке, размещению радиостанции в башне и боевому отделению в целом. Одним словом, переделка машины устранила часть проблем, но появились новые.</w:t>
      </w:r>
    </w:p>
    <w:p w14:paraId="7EA6F15A" w14:textId="77777777" w:rsidR="008B0844" w:rsidRPr="00070ADE" w:rsidRDefault="008B0844" w:rsidP="00B56F90">
      <w:pPr>
        <w:pStyle w:val="ae"/>
        <w:spacing w:before="0" w:after="0"/>
        <w:jc w:val="both"/>
        <w:textAlignment w:val="baseline"/>
        <w:rPr>
          <w:color w:val="000000" w:themeColor="text1"/>
          <w:sz w:val="16"/>
          <w:szCs w:val="16"/>
        </w:rPr>
      </w:pPr>
      <w:r w:rsidRPr="00070ADE">
        <w:rPr>
          <w:color w:val="000000" w:themeColor="text1"/>
          <w:sz w:val="16"/>
          <w:szCs w:val="16"/>
        </w:rPr>
        <w:t>Пока шли испытания первой опытной машины, на заводе №183 работали над изготовлением второго экземпляра (с толщиной бортов до 75 мм) (18950).</w:t>
      </w:r>
    </w:p>
    <w:p w14:paraId="658602B4" w14:textId="77777777" w:rsidR="008B0844" w:rsidRPr="00070ADE" w:rsidRDefault="008B0844" w:rsidP="00B56F90">
      <w:pPr>
        <w:pStyle w:val="ae"/>
        <w:spacing w:before="0" w:after="0"/>
        <w:jc w:val="both"/>
        <w:textAlignment w:val="baseline"/>
        <w:rPr>
          <w:color w:val="000000" w:themeColor="text1"/>
          <w:sz w:val="16"/>
          <w:szCs w:val="16"/>
        </w:rPr>
      </w:pPr>
    </w:p>
    <w:p w14:paraId="51532913"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13 мая 1944 года начались заводские испытания Т-44 второй итерации, которые начались, наглядно показали простую вещь — лишняя масса порождает дополнительные проблемы. Хроническая проблема с износом бандажей опорных катков, присущая и Т-34, и Т-43, еще сильнее стала давать о себе знать. Всего за время испытаний износились бандажи на 8 катках, причем 5-м правом опорном катке 4 раза. Имелись и другие неполадки, в том числе и по элементам трансмиссии. Кроме того, после 50 километров безостановочного пробега температура масла достигла 175 градусов. Доработка масляной системы устранила проблему с перегревом.</w:t>
      </w:r>
    </w:p>
    <w:p w14:paraId="7E5BA91F"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ходе испытаний, которые продолжались до 4 июня (за это время танк прошел 2118 километров) набрались замечания по 25 пунктам. Немало претензий высказали по месту механика-водителя. Снижение будки оказалось правильным решением с точки зрения стойкости корпуса, но при этом появился недостаток по высоте. Механик-водитель среднего роста теперь упирался головой в крышку люка, сиденье признали неудачным, как и размещение контрольных приборов. Имелись претензии к боеукладке, размещение радиостанции в башне и к боевому отделению в целом. Одним словом, переделка машины устранила часть проблем, но появились новые (25624).</w:t>
      </w:r>
    </w:p>
    <w:p w14:paraId="1D7407B2" w14:textId="77777777" w:rsidR="00982F71" w:rsidRPr="00C94B78" w:rsidRDefault="00982F71" w:rsidP="00B56F90">
      <w:pPr>
        <w:spacing w:after="0" w:line="240" w:lineRule="auto"/>
        <w:jc w:val="both"/>
        <w:rPr>
          <w:rFonts w:ascii="Times New Roman" w:hAnsi="Times New Roman"/>
          <w:color w:val="0070C0"/>
          <w:sz w:val="16"/>
          <w:szCs w:val="16"/>
        </w:rPr>
      </w:pPr>
    </w:p>
    <w:p w14:paraId="431EE1AB" w14:textId="77777777" w:rsidR="009620A6" w:rsidRPr="00070ADE" w:rsidRDefault="009620A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13 мая 1944 года Артиллерийский комитет ГАУ КА санкционировал работы по модернизации боевого отделения СУ-57. На сей раз понадобилось больше времени на переделку. САУ прибыла на Гороховецкий АНИОП 29 июня. Как и требовалось в техническом задании, орудие получило телескопический прицел 10Т-15, его установили слева от орудия. Также был введен электроспуск. Боевое отделение стало полностью закрытым, сверху появилось 2 перископических прибора МК-IV. </w:t>
      </w:r>
      <w:r w:rsidRPr="00070ADE">
        <w:rPr>
          <w:rFonts w:ascii="Times New Roman" w:hAnsi="Times New Roman"/>
          <w:color w:val="000000" w:themeColor="text1"/>
          <w:sz w:val="16"/>
          <w:szCs w:val="16"/>
        </w:rPr>
        <w:lastRenderedPageBreak/>
        <w:t>Изменения были достаточно высоко оценены на Гороховецком АНИОП. Имелись некоторые замечания, но в целом боевое отделение, с точки зрения удобства, получило более высокую оценку, чем до модернизации (24276).</w:t>
      </w:r>
    </w:p>
    <w:p w14:paraId="12C42F65" w14:textId="77777777" w:rsidR="009620A6" w:rsidRPr="00070ADE" w:rsidRDefault="009620A6" w:rsidP="00B56F90">
      <w:pPr>
        <w:spacing w:after="0" w:line="240" w:lineRule="auto"/>
        <w:jc w:val="both"/>
        <w:rPr>
          <w:rFonts w:ascii="Times New Roman" w:hAnsi="Times New Roman"/>
          <w:color w:val="000000" w:themeColor="text1"/>
          <w:sz w:val="16"/>
          <w:szCs w:val="16"/>
        </w:rPr>
      </w:pPr>
    </w:p>
    <w:p w14:paraId="61229AB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мая 1944 вышло Распоряжение ГКО № 5895 [О возвращении на работу по эксплуатации Беломорско-Балтийского канала 164 семьи эвакуированных спецпереселенцев из Красноярского края, Архангельской обл. и Коми АССР.] (7233, 1).</w:t>
      </w:r>
    </w:p>
    <w:p w14:paraId="07964AD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C1738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мая 1944 вышло Распоряжение ГКО № 5896 [О мерах по выпуску задних двухосных тележек паровозов ФД для НКПС.] (7233, 2-3).</w:t>
      </w:r>
    </w:p>
    <w:p w14:paraId="37797A4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53C7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мая 1944 вышло Постановление ГКО № 5897 О создании запасов горюче-смазочных материалов. РГАНИР, Фонд ГКО, д. 254, лл. 4-6,7-18 (11012).</w:t>
      </w:r>
    </w:p>
    <w:p w14:paraId="0B1113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930DED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2E08E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C3F2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мая 1944 на Северном флоте было выполнено первое топ-мачтовое бомбометание по кораблям и транспортам в порту Киркенес (6467).</w:t>
      </w:r>
    </w:p>
    <w:p w14:paraId="772D18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Се</w:t>
      </w:r>
      <w:r w:rsidRPr="00070ADE">
        <w:rPr>
          <w:rFonts w:ascii="Times New Roman" w:hAnsi="Times New Roman"/>
          <w:color w:val="000000" w:themeColor="text1"/>
          <w:sz w:val="16"/>
          <w:szCs w:val="16"/>
        </w:rPr>
        <w:softHyphen/>
        <w:t>верном флоте противник имел ко</w:t>
      </w:r>
      <w:r w:rsidRPr="00070ADE">
        <w:rPr>
          <w:rFonts w:ascii="Times New Roman" w:hAnsi="Times New Roman"/>
          <w:color w:val="000000" w:themeColor="text1"/>
          <w:sz w:val="16"/>
          <w:szCs w:val="16"/>
        </w:rPr>
        <w:softHyphen/>
        <w:t>рабли и транспорты с усиленным для плавания в ледовых условиях корпусом. Поэтому одно попадание ФАБ-100 не только не могло привести к потоплению корабля или транспорта, но и нанести серьезные повреждения даже таким, ка</w:t>
      </w:r>
      <w:r w:rsidRPr="00070ADE">
        <w:rPr>
          <w:rFonts w:ascii="Times New Roman" w:hAnsi="Times New Roman"/>
          <w:color w:val="000000" w:themeColor="text1"/>
          <w:sz w:val="16"/>
          <w:szCs w:val="16"/>
        </w:rPr>
        <w:softHyphen/>
        <w:t>залось бы, "консервным банкам", как нор</w:t>
      </w:r>
      <w:r w:rsidRPr="00070ADE">
        <w:rPr>
          <w:rFonts w:ascii="Times New Roman" w:hAnsi="Times New Roman"/>
          <w:color w:val="000000" w:themeColor="text1"/>
          <w:sz w:val="16"/>
          <w:szCs w:val="16"/>
        </w:rPr>
        <w:softHyphen/>
        <w:t>вежские вооруженные сейнеры и трау</w:t>
      </w:r>
      <w:r w:rsidRPr="00070ADE">
        <w:rPr>
          <w:rFonts w:ascii="Times New Roman" w:hAnsi="Times New Roman"/>
          <w:color w:val="000000" w:themeColor="text1"/>
          <w:sz w:val="16"/>
          <w:szCs w:val="16"/>
        </w:rPr>
        <w:softHyphen/>
        <w:t>леры. О кораблях же специальной пост</w:t>
      </w:r>
      <w:r w:rsidRPr="00070ADE">
        <w:rPr>
          <w:rFonts w:ascii="Times New Roman" w:hAnsi="Times New Roman"/>
          <w:color w:val="000000" w:themeColor="text1"/>
          <w:sz w:val="16"/>
          <w:szCs w:val="16"/>
        </w:rPr>
        <w:softHyphen/>
        <w:t>ройки, например, сторожевых кораблях типа "F", тральщиках типа "М", минонос</w:t>
      </w:r>
      <w:r w:rsidRPr="00070ADE">
        <w:rPr>
          <w:rFonts w:ascii="Times New Roman" w:hAnsi="Times New Roman"/>
          <w:color w:val="000000" w:themeColor="text1"/>
          <w:sz w:val="16"/>
          <w:szCs w:val="16"/>
        </w:rPr>
        <w:softHyphen/>
        <w:t>цах типа "Т" и эсминцах типа "Z" гово</w:t>
      </w:r>
      <w:r w:rsidRPr="00070ADE">
        <w:rPr>
          <w:rFonts w:ascii="Times New Roman" w:hAnsi="Times New Roman"/>
          <w:color w:val="000000" w:themeColor="text1"/>
          <w:sz w:val="16"/>
          <w:szCs w:val="16"/>
        </w:rPr>
        <w:softHyphen/>
        <w:t>рить не приходится. Потопление неболь</w:t>
      </w:r>
      <w:r w:rsidRPr="00070ADE">
        <w:rPr>
          <w:rFonts w:ascii="Times New Roman" w:hAnsi="Times New Roman"/>
          <w:color w:val="000000" w:themeColor="text1"/>
          <w:sz w:val="16"/>
          <w:szCs w:val="16"/>
        </w:rPr>
        <w:softHyphen/>
        <w:t>ших кораблей и транспортов могло быть лишь с применением авиабомб калиб</w:t>
      </w:r>
      <w:r w:rsidRPr="00070ADE">
        <w:rPr>
          <w:rFonts w:ascii="Times New Roman" w:hAnsi="Times New Roman"/>
          <w:color w:val="000000" w:themeColor="text1"/>
          <w:sz w:val="16"/>
          <w:szCs w:val="16"/>
        </w:rPr>
        <w:softHyphen/>
        <w:t>ра 250 кг и выше и авиационных торпед типа 45-36. Торпеду Ил-2 нести не мог, а бомбовая зарядка включала всего 2 ФАБ-250, что не обеспечивало при су</w:t>
      </w:r>
      <w:r w:rsidRPr="00070ADE">
        <w:rPr>
          <w:rFonts w:ascii="Times New Roman" w:hAnsi="Times New Roman"/>
          <w:color w:val="000000" w:themeColor="text1"/>
          <w:sz w:val="16"/>
          <w:szCs w:val="16"/>
        </w:rPr>
        <w:softHyphen/>
        <w:t>ществующей боевой подготовке летчи</w:t>
      </w:r>
      <w:r w:rsidRPr="00070ADE">
        <w:rPr>
          <w:rFonts w:ascii="Times New Roman" w:hAnsi="Times New Roman"/>
          <w:color w:val="000000" w:themeColor="text1"/>
          <w:sz w:val="16"/>
          <w:szCs w:val="16"/>
        </w:rPr>
        <w:softHyphen/>
        <w:t xml:space="preserve">ков 46-го </w:t>
      </w:r>
      <w:r w:rsidRPr="00070ADE">
        <w:rPr>
          <w:rFonts w:ascii="Times New Roman" w:hAnsi="Times New Roman"/>
          <w:iCs/>
          <w:color w:val="000000" w:themeColor="text1"/>
          <w:sz w:val="16"/>
          <w:szCs w:val="16"/>
        </w:rPr>
        <w:t>шап</w:t>
      </w:r>
      <w:r w:rsidRPr="00070ADE">
        <w:rPr>
          <w:rFonts w:ascii="Times New Roman" w:hAnsi="Times New Roman"/>
          <w:color w:val="000000" w:themeColor="text1"/>
          <w:sz w:val="16"/>
          <w:szCs w:val="16"/>
        </w:rPr>
        <w:t xml:space="preserve"> ВВС СФ требуемых веро</w:t>
      </w:r>
      <w:r w:rsidRPr="00070ADE">
        <w:rPr>
          <w:rFonts w:ascii="Times New Roman" w:hAnsi="Times New Roman"/>
          <w:color w:val="000000" w:themeColor="text1"/>
          <w:sz w:val="16"/>
          <w:szCs w:val="16"/>
        </w:rPr>
        <w:softHyphen/>
        <w:t>ятностей поражения надводных целей (6467).</w:t>
      </w:r>
    </w:p>
    <w:p w14:paraId="1800CE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 изучении архивных документов авторам до сих пор не удалось найти хотя бы какие-то "следы" штурмовика Ил-2 в варианте торпедоносца (так называемый вариант Ил-2Т), о применении которого в 23-м </w:t>
      </w:r>
      <w:r w:rsidRPr="00070ADE">
        <w:rPr>
          <w:rFonts w:ascii="Times New Roman" w:hAnsi="Times New Roman"/>
          <w:iCs/>
          <w:color w:val="000000" w:themeColor="text1"/>
          <w:sz w:val="16"/>
          <w:szCs w:val="16"/>
        </w:rPr>
        <w:t>ошап</w:t>
      </w:r>
      <w:r w:rsidRPr="00070ADE">
        <w:rPr>
          <w:rFonts w:ascii="Times New Roman" w:hAnsi="Times New Roman"/>
          <w:color w:val="000000" w:themeColor="text1"/>
          <w:sz w:val="16"/>
          <w:szCs w:val="16"/>
        </w:rPr>
        <w:t xml:space="preserve"> ВВС ЧФ упоминается в ряде публикаций. Если бы такая машина су</w:t>
      </w:r>
      <w:r w:rsidRPr="00070ADE">
        <w:rPr>
          <w:rFonts w:ascii="Times New Roman" w:hAnsi="Times New Roman"/>
          <w:color w:val="000000" w:themeColor="text1"/>
          <w:sz w:val="16"/>
          <w:szCs w:val="16"/>
        </w:rPr>
        <w:softHyphen/>
        <w:t>ществовала официально (то есть была произведена на авиазаводе, хотя бы и небольшой войсковой серией), то ее следы обязательно должны были остать</w:t>
      </w:r>
      <w:r w:rsidRPr="00070ADE">
        <w:rPr>
          <w:rFonts w:ascii="Times New Roman" w:hAnsi="Times New Roman"/>
          <w:color w:val="000000" w:themeColor="text1"/>
          <w:sz w:val="16"/>
          <w:szCs w:val="16"/>
        </w:rPr>
        <w:softHyphen/>
        <w:t>ся в отчетах военпредов авиазаводов о принятых и</w:t>
      </w:r>
      <w:r w:rsidRPr="00070ADE">
        <w:rPr>
          <w:rFonts w:ascii="Times New Roman" w:hAnsi="Times New Roman"/>
          <w:b/>
          <w:bCs/>
          <w:color w:val="000000" w:themeColor="text1"/>
          <w:sz w:val="16"/>
          <w:szCs w:val="16"/>
        </w:rPr>
        <w:t xml:space="preserve"> оплаченных</w:t>
      </w:r>
      <w:r w:rsidRPr="00070ADE">
        <w:rPr>
          <w:rFonts w:ascii="Times New Roman" w:hAnsi="Times New Roman"/>
          <w:color w:val="000000" w:themeColor="text1"/>
          <w:sz w:val="16"/>
          <w:szCs w:val="16"/>
        </w:rPr>
        <w:t xml:space="preserve"> штурмовиках Ил-2. Однако никаких упоминаний об Ил-2Т в этих документах нет. Если бы тор</w:t>
      </w:r>
      <w:r w:rsidRPr="00070ADE">
        <w:rPr>
          <w:rFonts w:ascii="Times New Roman" w:hAnsi="Times New Roman"/>
          <w:color w:val="000000" w:themeColor="text1"/>
          <w:sz w:val="16"/>
          <w:szCs w:val="16"/>
        </w:rPr>
        <w:softHyphen/>
        <w:t>педоносный вариант Ил-2 являлся са</w:t>
      </w:r>
      <w:r w:rsidRPr="00070ADE">
        <w:rPr>
          <w:rFonts w:ascii="Times New Roman" w:hAnsi="Times New Roman"/>
          <w:color w:val="000000" w:themeColor="text1"/>
          <w:sz w:val="16"/>
          <w:szCs w:val="16"/>
        </w:rPr>
        <w:softHyphen/>
        <w:t>мостийной переделкой умельцев ВВС ЧФ, то об опыте его боевого применения обязательно имелось бы упомина</w:t>
      </w:r>
      <w:r w:rsidRPr="00070ADE">
        <w:rPr>
          <w:rFonts w:ascii="Times New Roman" w:hAnsi="Times New Roman"/>
          <w:color w:val="000000" w:themeColor="text1"/>
          <w:sz w:val="16"/>
          <w:szCs w:val="16"/>
        </w:rPr>
        <w:softHyphen/>
        <w:t>ние в отчетах начальника воздушно-стрелковой службы ВВС флота, а также и в отчетах по расходу боеприпасов (ука</w:t>
      </w:r>
      <w:r w:rsidRPr="00070ADE">
        <w:rPr>
          <w:rFonts w:ascii="Times New Roman" w:hAnsi="Times New Roman"/>
          <w:color w:val="000000" w:themeColor="text1"/>
          <w:sz w:val="16"/>
          <w:szCs w:val="16"/>
        </w:rPr>
        <w:softHyphen/>
        <w:t>зание об использовании авиаторпед). Но и в этих документах Ил-2-торпедоносец не упоминается и расход штурмовками торпед не отмечается (6467).</w:t>
      </w:r>
    </w:p>
    <w:p w14:paraId="71F11B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802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13th, 1944: In the East, German troops of Heeresgruppe Ukraine belatedly complete the evacuation of the Crimea, suffering heavy casualties and leaving behind large quantities of heavy equipment (3819).</w:t>
      </w:r>
    </w:p>
    <w:p w14:paraId="4D7263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85CEC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мая 1944 Группа Украина завершила эвакуацию из Крыма, оставив много техники и потерпев тяжелые потери (3819).</w:t>
      </w:r>
    </w:p>
    <w:p w14:paraId="5FF5EB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6454E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3C198F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B0CD7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мая 1944 СССР, США и Англия призвали Венгрию, Румынию, Болгарию и Финляндию немедленно выйти из войны (4962).</w:t>
      </w:r>
    </w:p>
    <w:p w14:paraId="08C6AF8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47FC4C"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мая в 1944 году обращение правительств СССР, Великобритании и США к Венгрии, Румынии, Болгарии и Финляндии с предложением прекратить войну на стороне Германии (14890).</w:t>
      </w:r>
    </w:p>
    <w:p w14:paraId="69A6C2ED" w14:textId="77777777" w:rsidR="004B3F09" w:rsidRPr="00070ADE" w:rsidRDefault="004B3F09" w:rsidP="00B56F90">
      <w:pPr>
        <w:spacing w:after="0" w:line="240" w:lineRule="auto"/>
        <w:jc w:val="both"/>
        <w:rPr>
          <w:rFonts w:ascii="Times New Roman" w:hAnsi="Times New Roman"/>
          <w:color w:val="000000" w:themeColor="text1"/>
          <w:sz w:val="16"/>
          <w:szCs w:val="16"/>
        </w:rPr>
      </w:pPr>
    </w:p>
    <w:p w14:paraId="3D90FDB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7E61A2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AAC136"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мая в 1944 году взлетел первый серийный английский тяжелый бомбардировщик «Halifax» «В.III» собранный на заводе "Руте секьюритиз" Все производственные центры быстро перешли на этот вариант (14890).</w:t>
      </w:r>
    </w:p>
    <w:p w14:paraId="6BC2D98E" w14:textId="77777777" w:rsidR="004B3F09" w:rsidRPr="00070ADE" w:rsidRDefault="004B3F09" w:rsidP="00B56F90">
      <w:pPr>
        <w:spacing w:after="0" w:line="240" w:lineRule="auto"/>
        <w:jc w:val="both"/>
        <w:rPr>
          <w:rFonts w:ascii="Times New Roman" w:hAnsi="Times New Roman"/>
          <w:color w:val="000000" w:themeColor="text1"/>
          <w:sz w:val="16"/>
          <w:szCs w:val="16"/>
        </w:rPr>
      </w:pPr>
    </w:p>
    <w:p w14:paraId="7BE92329" w14:textId="77777777" w:rsidR="00982729" w:rsidRPr="00070ADE" w:rsidRDefault="0098272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мая 1944 ракетный перехватчик Messerschmitt Me 163 B Komet начинает службу в составе служебного испытательного подразделения Erprobungskommando 16 Люфтваффе в Бад-Цвишенане с целью испытательного перехвата бомбардировщиков союзников (20373).</w:t>
      </w:r>
    </w:p>
    <w:p w14:paraId="39F6C492" w14:textId="77777777" w:rsidR="00982729" w:rsidRPr="00070ADE" w:rsidRDefault="00982729" w:rsidP="00B56F90">
      <w:pPr>
        <w:spacing w:after="0" w:line="240" w:lineRule="auto"/>
        <w:jc w:val="both"/>
        <w:rPr>
          <w:rFonts w:ascii="Times New Roman" w:hAnsi="Times New Roman"/>
          <w:color w:val="000000" w:themeColor="text1"/>
          <w:sz w:val="16"/>
          <w:szCs w:val="16"/>
        </w:rPr>
      </w:pPr>
    </w:p>
    <w:p w14:paraId="4ADFE570" w14:textId="77777777" w:rsidR="00982729" w:rsidRPr="00070ADE" w:rsidRDefault="0098272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13-17 мая 1944 бомбардировщики 5 армии ВВС выполняют удары по японским силам в преддверии насткпления на Wakde Аэродром и Савар Аэродром в Западной Новой Гвинее (20373).</w:t>
      </w:r>
    </w:p>
    <w:p w14:paraId="0A71CFB5" w14:textId="77777777" w:rsidR="00982729" w:rsidRPr="00070ADE" w:rsidRDefault="00982729" w:rsidP="00B56F90">
      <w:pPr>
        <w:spacing w:after="0" w:line="240" w:lineRule="auto"/>
        <w:jc w:val="both"/>
        <w:rPr>
          <w:rFonts w:ascii="Times New Roman" w:hAnsi="Times New Roman"/>
          <w:color w:val="000000" w:themeColor="text1"/>
          <w:sz w:val="16"/>
          <w:szCs w:val="16"/>
        </w:rPr>
      </w:pPr>
    </w:p>
    <w:p w14:paraId="2D210B7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мая 1944 в Ла-Манше погиб немецкий офицер Клаус Дениц, второй сын адмирала Деница (4962).</w:t>
      </w:r>
    </w:p>
    <w:p w14:paraId="67C2580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B714E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BA9A3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E03D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мая 1944 А.И.Ш. писал нач. ГУЗ ВВС Н.Н.Селезневу письмо N Н-34/2734:</w:t>
      </w:r>
    </w:p>
    <w:p w14:paraId="76B0B2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Ваше письмо о серийном производстве на заводах 1, 18 и 30 самолетов Ил-2 с металлической хвостовой частью сообщаю:</w:t>
      </w:r>
    </w:p>
    <w:p w14:paraId="73B413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НКАП имеет в виду перевести производство завода 18 на выпуск цельнометаллических самолетов Ил-8 АМ-42 в 1944, а заводы 1 и 30 в 1 полугодии 1945.</w:t>
      </w:r>
    </w:p>
    <w:p w14:paraId="5E5C06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Исходя их этого НКАП не считает целесообразным переводить заводы 1 и 30 на выпуск самолетов Ил-2 с металлической хвостовой частью фюзеляжа, т.к. это потребует большого оснащения производства фюзеляжей, в то же время, когда цеха подготовки заводов должны быть заняты изготовлением оснастки производства цельнометаллического самолета Ил-8." (1817,25).</w:t>
      </w:r>
    </w:p>
    <w:p w14:paraId="0B70C0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8DFE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мая 1944, на следующий день, после того, как в НИИ ВВС для производства государ</w:t>
      </w:r>
      <w:r w:rsidRPr="00070ADE">
        <w:rPr>
          <w:rFonts w:ascii="Times New Roman" w:hAnsi="Times New Roman"/>
          <w:color w:val="000000" w:themeColor="text1"/>
          <w:sz w:val="16"/>
          <w:szCs w:val="16"/>
        </w:rPr>
        <w:softHyphen/>
        <w:t>ственных испытаний официально был передан новый опытный ильюшинс-кий штурмовик Ил-10 (тот же двух</w:t>
      </w:r>
      <w:r w:rsidRPr="00070ADE">
        <w:rPr>
          <w:rFonts w:ascii="Times New Roman" w:hAnsi="Times New Roman"/>
          <w:color w:val="000000" w:themeColor="text1"/>
          <w:sz w:val="16"/>
          <w:szCs w:val="16"/>
        </w:rPr>
        <w:softHyphen/>
        <w:t>местный Ил-1 АМ-42, но с новым обозначением), из наркомата на имя Селезнева за подписью Шахурина ушло письмо. В нем нарком сооб</w:t>
      </w:r>
      <w:r w:rsidRPr="00070ADE">
        <w:rPr>
          <w:rFonts w:ascii="Times New Roman" w:hAnsi="Times New Roman"/>
          <w:color w:val="000000" w:themeColor="text1"/>
          <w:sz w:val="16"/>
          <w:szCs w:val="16"/>
        </w:rPr>
        <w:softHyphen/>
        <w:t>щал, что: "...НКАП имеет ввиду пе</w:t>
      </w:r>
      <w:r w:rsidRPr="00070ADE">
        <w:rPr>
          <w:rFonts w:ascii="Times New Roman" w:hAnsi="Times New Roman"/>
          <w:color w:val="000000" w:themeColor="text1"/>
          <w:sz w:val="16"/>
          <w:szCs w:val="16"/>
        </w:rPr>
        <w:softHyphen/>
        <w:t>ревести производство завода № 18 на выпуск цельнометаллических са</w:t>
      </w:r>
      <w:r w:rsidRPr="00070ADE">
        <w:rPr>
          <w:rFonts w:ascii="Times New Roman" w:hAnsi="Times New Roman"/>
          <w:color w:val="000000" w:themeColor="text1"/>
          <w:sz w:val="16"/>
          <w:szCs w:val="16"/>
        </w:rPr>
        <w:softHyphen/>
        <w:t>молетов Ил-8 АМ-42 в 1944 г., а заводы №№ 1 и 30 в первом полу</w:t>
      </w:r>
      <w:r w:rsidRPr="00070ADE">
        <w:rPr>
          <w:rFonts w:ascii="Times New Roman" w:hAnsi="Times New Roman"/>
          <w:color w:val="000000" w:themeColor="text1"/>
          <w:sz w:val="16"/>
          <w:szCs w:val="16"/>
        </w:rPr>
        <w:softHyphen/>
        <w:t>годии 1945 года. Исходя из этого, Наркомавиапром не считает целе</w:t>
      </w:r>
      <w:r w:rsidRPr="00070ADE">
        <w:rPr>
          <w:rFonts w:ascii="Times New Roman" w:hAnsi="Times New Roman"/>
          <w:color w:val="000000" w:themeColor="text1"/>
          <w:sz w:val="16"/>
          <w:szCs w:val="16"/>
        </w:rPr>
        <w:softHyphen/>
        <w:t>сообразным переводить заводы №№ / и 30 на выпуск самолетов Ил-2 с металлической хвостовой ча</w:t>
      </w:r>
      <w:r w:rsidRPr="00070ADE">
        <w:rPr>
          <w:rFonts w:ascii="Times New Roman" w:hAnsi="Times New Roman"/>
          <w:color w:val="000000" w:themeColor="text1"/>
          <w:sz w:val="16"/>
          <w:szCs w:val="16"/>
        </w:rPr>
        <w:softHyphen/>
        <w:t>стью фюзеляжей, в то время, когда цеха подготовки заводов должны быть заняты изготовлением оснастки для производства цельнометалличес</w:t>
      </w:r>
      <w:r w:rsidRPr="00070ADE">
        <w:rPr>
          <w:rFonts w:ascii="Times New Roman" w:hAnsi="Times New Roman"/>
          <w:color w:val="000000" w:themeColor="text1"/>
          <w:sz w:val="16"/>
          <w:szCs w:val="16"/>
        </w:rPr>
        <w:softHyphen/>
        <w:t>ких самолетов Ил-8".</w:t>
      </w:r>
    </w:p>
    <w:p w14:paraId="057793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Очевидно, наркомат в известной мере лукавил. Несмотря на успеш</w:t>
      </w:r>
      <w:r w:rsidRPr="00070ADE">
        <w:rPr>
          <w:rFonts w:ascii="Times New Roman" w:hAnsi="Times New Roman"/>
          <w:color w:val="000000" w:themeColor="text1"/>
          <w:sz w:val="16"/>
          <w:szCs w:val="16"/>
        </w:rPr>
        <w:softHyphen/>
        <w:t>ные в целом государственные испы</w:t>
      </w:r>
      <w:r w:rsidRPr="00070ADE">
        <w:rPr>
          <w:rFonts w:ascii="Times New Roman" w:hAnsi="Times New Roman"/>
          <w:color w:val="000000" w:themeColor="text1"/>
          <w:sz w:val="16"/>
          <w:szCs w:val="16"/>
        </w:rPr>
        <w:softHyphen/>
        <w:t>тания Ил-8 АМ-42, окончательное мнение военных по этому самолету еще не оформилось. Для них боль</w:t>
      </w:r>
      <w:r w:rsidRPr="00070ADE">
        <w:rPr>
          <w:rFonts w:ascii="Times New Roman" w:hAnsi="Times New Roman"/>
          <w:color w:val="000000" w:themeColor="text1"/>
          <w:sz w:val="16"/>
          <w:szCs w:val="16"/>
        </w:rPr>
        <w:softHyphen/>
        <w:t>ший интерес все же представлял Су-6, как более подходящий для боя.</w:t>
      </w:r>
    </w:p>
    <w:p w14:paraId="57754F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Обращает внимание, что письмо появилось именно в тот момент, ког</w:t>
      </w:r>
      <w:r w:rsidRPr="00070ADE">
        <w:rPr>
          <w:rFonts w:ascii="Times New Roman" w:hAnsi="Times New Roman"/>
          <w:color w:val="000000" w:themeColor="text1"/>
          <w:sz w:val="16"/>
          <w:szCs w:val="16"/>
        </w:rPr>
        <w:softHyphen/>
        <w:t>да были приостановлены полеты на Су-6, а вопрос о принятии на воо</w:t>
      </w:r>
      <w:r w:rsidRPr="00070ADE">
        <w:rPr>
          <w:rFonts w:ascii="Times New Roman" w:hAnsi="Times New Roman"/>
          <w:color w:val="000000" w:themeColor="text1"/>
          <w:sz w:val="16"/>
          <w:szCs w:val="16"/>
        </w:rPr>
        <w:softHyphen/>
        <w:t>ружение Ил-8 еще только обсуждал</w:t>
      </w:r>
      <w:r w:rsidRPr="00070ADE">
        <w:rPr>
          <w:rFonts w:ascii="Times New Roman" w:hAnsi="Times New Roman"/>
          <w:color w:val="000000" w:themeColor="text1"/>
          <w:sz w:val="16"/>
          <w:szCs w:val="16"/>
        </w:rPr>
        <w:softHyphen/>
        <w:t>ся. Явно прослеживается желание наркомата подтолкнуть военных к решению о постановке "на снабже</w:t>
      </w:r>
      <w:r w:rsidRPr="00070ADE">
        <w:rPr>
          <w:rFonts w:ascii="Times New Roman" w:hAnsi="Times New Roman"/>
          <w:color w:val="000000" w:themeColor="text1"/>
          <w:sz w:val="16"/>
          <w:szCs w:val="16"/>
        </w:rPr>
        <w:softHyphen/>
        <w:t>ние ВВС КА "имен но самолета Ил-8, как более удобного в серийном про</w:t>
      </w:r>
      <w:r w:rsidRPr="00070ADE">
        <w:rPr>
          <w:rFonts w:ascii="Times New Roman" w:hAnsi="Times New Roman"/>
          <w:color w:val="000000" w:themeColor="text1"/>
          <w:sz w:val="16"/>
          <w:szCs w:val="16"/>
        </w:rPr>
        <w:softHyphen/>
        <w:t>изводстве.</w:t>
      </w:r>
    </w:p>
    <w:p w14:paraId="4A6ADA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Действительно, внедрение в се</w:t>
      </w:r>
      <w:r w:rsidRPr="00070ADE">
        <w:rPr>
          <w:rFonts w:ascii="Times New Roman" w:hAnsi="Times New Roman"/>
          <w:color w:val="000000" w:themeColor="text1"/>
          <w:sz w:val="16"/>
          <w:szCs w:val="16"/>
        </w:rPr>
        <w:softHyphen/>
        <w:t>рийное производство Су-6 АМ-42 по</w:t>
      </w:r>
      <w:r w:rsidRPr="00070ADE">
        <w:rPr>
          <w:rFonts w:ascii="Times New Roman" w:hAnsi="Times New Roman"/>
          <w:color w:val="000000" w:themeColor="text1"/>
          <w:sz w:val="16"/>
          <w:szCs w:val="16"/>
        </w:rPr>
        <w:softHyphen/>
        <w:t>требовало бы перестройки сбороч</w:t>
      </w:r>
      <w:r w:rsidRPr="00070ADE">
        <w:rPr>
          <w:rFonts w:ascii="Times New Roman" w:hAnsi="Times New Roman"/>
          <w:color w:val="000000" w:themeColor="text1"/>
          <w:sz w:val="16"/>
          <w:szCs w:val="16"/>
        </w:rPr>
        <w:softHyphen/>
        <w:t>ных конвейеров, что в условиях вой</w:t>
      </w:r>
      <w:r w:rsidRPr="00070ADE">
        <w:rPr>
          <w:rFonts w:ascii="Times New Roman" w:hAnsi="Times New Roman"/>
          <w:color w:val="000000" w:themeColor="text1"/>
          <w:sz w:val="16"/>
          <w:szCs w:val="16"/>
        </w:rPr>
        <w:softHyphen/>
        <w:t>ны, несомненно, являлось определен</w:t>
      </w:r>
      <w:r w:rsidRPr="00070ADE">
        <w:rPr>
          <w:rFonts w:ascii="Times New Roman" w:hAnsi="Times New Roman"/>
          <w:color w:val="000000" w:themeColor="text1"/>
          <w:sz w:val="16"/>
          <w:szCs w:val="16"/>
        </w:rPr>
        <w:softHyphen/>
        <w:t>ным техническим риском. В тоже вре</w:t>
      </w:r>
      <w:r w:rsidRPr="00070ADE">
        <w:rPr>
          <w:rFonts w:ascii="Times New Roman" w:hAnsi="Times New Roman"/>
          <w:color w:val="000000" w:themeColor="text1"/>
          <w:sz w:val="16"/>
          <w:szCs w:val="16"/>
        </w:rPr>
        <w:softHyphen/>
        <w:t>мя самолет Ил-8 АМ-42 имел много общего с Ил-2 АМ-38ф, и в случае внедрения его в массовое производ</w:t>
      </w:r>
      <w:r w:rsidRPr="00070ADE">
        <w:rPr>
          <w:rFonts w:ascii="Times New Roman" w:hAnsi="Times New Roman"/>
          <w:color w:val="000000" w:themeColor="text1"/>
          <w:sz w:val="16"/>
          <w:szCs w:val="16"/>
        </w:rPr>
        <w:softHyphen/>
        <w:t>ство можно было использовать те же конвейеры и большую часть имею</w:t>
      </w:r>
      <w:r w:rsidRPr="00070ADE">
        <w:rPr>
          <w:rFonts w:ascii="Times New Roman" w:hAnsi="Times New Roman"/>
          <w:color w:val="000000" w:themeColor="text1"/>
          <w:sz w:val="16"/>
          <w:szCs w:val="16"/>
        </w:rPr>
        <w:softHyphen/>
        <w:t>щейся оснастки. Штурмовик Ил-10 в этом отношении уступал "восьмерке".</w:t>
      </w:r>
    </w:p>
    <w:p w14:paraId="004FE4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документов, А. И. Шахурин, не дожидаясь реакции во</w:t>
      </w:r>
      <w:r w:rsidRPr="00070ADE">
        <w:rPr>
          <w:rFonts w:ascii="Times New Roman" w:hAnsi="Times New Roman"/>
          <w:color w:val="000000" w:themeColor="text1"/>
          <w:sz w:val="16"/>
          <w:szCs w:val="16"/>
        </w:rPr>
        <w:softHyphen/>
        <w:t>енных на свое письмо, дал указание о срочном развертывании серийно</w:t>
      </w:r>
      <w:r w:rsidRPr="00070ADE">
        <w:rPr>
          <w:rFonts w:ascii="Times New Roman" w:hAnsi="Times New Roman"/>
          <w:color w:val="000000" w:themeColor="text1"/>
          <w:sz w:val="16"/>
          <w:szCs w:val="16"/>
        </w:rPr>
        <w:softHyphen/>
        <w:t>го производства Ил-8 АМ-42 на авиазаводе № 18.</w:t>
      </w:r>
    </w:p>
    <w:p w14:paraId="13FD53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Остается неизвестным, согласо</w:t>
      </w:r>
      <w:r w:rsidRPr="00070ADE">
        <w:rPr>
          <w:rFonts w:ascii="Times New Roman" w:hAnsi="Times New Roman"/>
          <w:color w:val="000000" w:themeColor="text1"/>
          <w:sz w:val="16"/>
          <w:szCs w:val="16"/>
        </w:rPr>
        <w:softHyphen/>
        <w:t>вывалось ли это решение предвари</w:t>
      </w:r>
      <w:r w:rsidRPr="00070ADE">
        <w:rPr>
          <w:rFonts w:ascii="Times New Roman" w:hAnsi="Times New Roman"/>
          <w:color w:val="000000" w:themeColor="text1"/>
          <w:sz w:val="16"/>
          <w:szCs w:val="16"/>
        </w:rPr>
        <w:softHyphen/>
        <w:t>тельно с ГОКО или нет. Скорее все</w:t>
      </w:r>
      <w:r w:rsidRPr="00070ADE">
        <w:rPr>
          <w:rFonts w:ascii="Times New Roman" w:hAnsi="Times New Roman"/>
          <w:color w:val="000000" w:themeColor="text1"/>
          <w:sz w:val="16"/>
          <w:szCs w:val="16"/>
        </w:rPr>
        <w:softHyphen/>
        <w:t>го, в той или иной мере этот вопрос все же обсуждался. Однако докумен</w:t>
      </w:r>
      <w:r w:rsidRPr="00070ADE">
        <w:rPr>
          <w:rFonts w:ascii="Times New Roman" w:hAnsi="Times New Roman"/>
          <w:color w:val="000000" w:themeColor="text1"/>
          <w:sz w:val="16"/>
          <w:szCs w:val="16"/>
        </w:rPr>
        <w:softHyphen/>
        <w:t>тального подтверждения обращения НКАП к руководству страны с предложением разрешить серийный вы</w:t>
      </w:r>
      <w:r w:rsidRPr="00070ADE">
        <w:rPr>
          <w:rFonts w:ascii="Times New Roman" w:hAnsi="Times New Roman"/>
          <w:color w:val="000000" w:themeColor="text1"/>
          <w:sz w:val="16"/>
          <w:szCs w:val="16"/>
        </w:rPr>
        <w:softHyphen/>
        <w:t>пуск самолета Ил-8 и получение по</w:t>
      </w:r>
      <w:r w:rsidRPr="00070ADE">
        <w:rPr>
          <w:rFonts w:ascii="Times New Roman" w:hAnsi="Times New Roman"/>
          <w:color w:val="000000" w:themeColor="text1"/>
          <w:sz w:val="16"/>
          <w:szCs w:val="16"/>
        </w:rPr>
        <w:softHyphen/>
        <w:t>ложительного или отрицательного ответа по нему пока не найдено (11428).</w:t>
      </w:r>
    </w:p>
    <w:p w14:paraId="788852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0DC9BA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14 мая 1944, на следующий день, после того, как для производства государственных испытаний официально был передан новый опытный ильюшинский штурмовик Ил-10 АМ-42, на имя Селезнева за подписью Шахурина ушло письмо. В нем нарком сообщал, что: "...НКАП имеет ввиду перевести производство завода № 18 на выпуск цельнометаллических самолетов Ил-8 АМ-42 в 1944 г., а заводы №№ 1 и 30 в первом полугодии 1945 года. Исходя из этого, Наркомавиапром не считает </w:t>
      </w:r>
      <w:r w:rsidRPr="00070ADE">
        <w:rPr>
          <w:rFonts w:ascii="Times New Roman" w:hAnsi="Times New Roman"/>
          <w:color w:val="000000" w:themeColor="text1"/>
          <w:sz w:val="16"/>
          <w:szCs w:val="16"/>
        </w:rPr>
        <w:lastRenderedPageBreak/>
        <w:t>целесообразным переводить заводы №№ 1 и 30 на выпуск самолетов Ил-2 с металлической хвостовой частью фюзеляжей, в то время, когда цеха подготовки заводов должны быть заняты изготовлением оснастки для производства цельнометаллических самолетов Ил-8".</w:t>
      </w:r>
    </w:p>
    <w:p w14:paraId="4A4C2F5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Очевидно, наркомат в известной мере лукавил. Несмотря на успешные в целом государственные испытания Ил-8 АМ-42, окончательное мнение военных по этому самолету еще не оформилось. Для них больший интерес представлял Су-6 АМ-42, как более подходящий для боя.Обращает внимание, что письмо появилось именно в тот момент, когда были приостановлены полеты на Су-6, а вопрос о принятии на вооружение Ил-8 еше только обсуждался. Явно прослеживается желание наркомата подтолкнуть военных к решению о постановке "на снабжение ВВС КА" именно самолета Ил-8, как более удобного в серийном производстве.</w:t>
      </w:r>
    </w:p>
    <w:p w14:paraId="67C1A02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Действительно, внедрение в серийное производство Су-6 АМ-42 потребовало бы перестройки сборочных конвейеров, что в условиях войны, несомненно, являлось определенным техническим риском. В тоже время самолет Ил-8 АМ-42 имел много общего с Ил-2 АМ-38ф, и в случае внедрения его в массовое производство можно было использовать те же конвейеры и большую часть имеющейся оснастки. Штурмовик Ил-10 в этом отношении уступал "восьмерке".</w:t>
      </w:r>
    </w:p>
    <w:p w14:paraId="0A2A00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документов, Шахурин, не дожидаясь реакции военных на свое письмо, дал указание о срочном развертывании серийного производства Ил-8 АМ-42 на авиазаводе № 18.</w:t>
      </w:r>
    </w:p>
    <w:p w14:paraId="085518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распоряжения наркома директор завода Белянский 18 мая издал приказ, согласно которому Ил-8 получил в заводской документации шифр "М", надо полагать, от Ил-2М, и открывались "счета на производство и подготовку производства". Первая серия устанавливалась в количестве 10 машин, вторая - 30 и последующие серии - по 100 самолетов каждая. Сборку первого серийного экземпляра Ил-8 требовалось закончить к 12 августа, а всю "первую головную серию 10 машин выпустить из цеха №7 к 25 августа 1944 г.".</w:t>
      </w:r>
    </w:p>
    <w:p w14:paraId="43A2B7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вскоре все работы по серии Ил-8 были прекращены. Дело в том, что Постановлением ГКО от 23 июля на авиазаводах №№ 1 и 18 в серийное производство запускался штурмовик Ил-10 АМ-42, который по основным летным данным превосходил "восьмерку".</w:t>
      </w:r>
    </w:p>
    <w:p w14:paraId="5456E2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дальнейшем Ил-8 был кардинально переделан. По образцу Ил-10 была выполнена система продува водо- и маслорадиаторов, изменена схема бронирования, шасси стали одностоечным, установлено новые крыло, оперение, воздушный винт, доработаны элероны, рули высоты и направления, внесены изменения в состав оборудования согласно требованиям ВВС. Фактически строился новый самолет с тем же обозначением.</w:t>
      </w:r>
    </w:p>
    <w:p w14:paraId="243DCB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Предъявить обновленный Ил-8 на госиспытания удалось лишь 14 мая 1945 г. Интереса у военных самолет не вызвал (12020).</w:t>
      </w:r>
    </w:p>
    <w:p w14:paraId="71B9D73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18289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14 по 27 мая 1944 проходили гос. испытания Ил-10. Ведущим по машине был и П.Аброщенко, л - А.Долгов, ш - Горбунов. В облетах приняли участие А.Синельников, М.Субботин, А.Живописцев. "по технике пилотирования прост и не требует специального переучивания для перехода на него л, летающих на серийных Ил-2... Устойчивость и управляемость - хорошие. Путевая устойчивость несколько велика. Нагрузки от рулей высоты несколько велики. На рулежке устойчивость самолета недостаточна... В выводах "Акта по результатам гос. испытаний... отмечалось, что:</w:t>
      </w:r>
    </w:p>
    <w:p w14:paraId="07E51E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км/час, на границе высотность - на 147 км/час. Время набора высоты 3000 м меньше на 3 минуты. Дальность горизонтального полета на высоте 500 м возросла на 120 км...</w:t>
      </w:r>
    </w:p>
    <w:p w14:paraId="7BC75B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w:t>
      </w:r>
    </w:p>
    <w:p w14:paraId="29FB89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эксплуатации самолет прост. В сравнении с (...) Ил-2 с АМ-38Ф осмотр основных узлов самолета и ВМГ удобное и требует меньшей затраты времени для подготовки его к вылету.</w:t>
      </w:r>
    </w:p>
    <w:p w14:paraId="31E60B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...Ил-10 по конструкции, в сравнении с (...) Ил-2 особой сложности не представляет, и его производство может базироваться на технологии заводов серийного производства (...) Ил-2" ВВС рекомендовал в серийное производство несмотря на выявленные дефекты (1605,2).</w:t>
      </w:r>
    </w:p>
    <w:p w14:paraId="616384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DDCA7B" w14:textId="69C4D5BC"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мая 1944, на следующий день после того, как в НИИ ВВС для производства государственных испытаний официально был передан опытный штурмовик Ил-10, из наркомата на имя Селезнева за подписью Шахурина ушло письмо. В нем нарком сообщал, что «НКАП имеет в виду перевести производство завода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18 на выпуск цельнометаллических самолетов Ил-8 АМ-42 в 1944 году, а заводы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и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30 в первом полугодии 1945 года. Исходя из этого, Наркомавиапром не считает целесообразным переводить заводы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 и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30 на выпуск самолетов Ил-2 с металлической хвостовой частью фюзеляжей, в то время, когда цеха подготовки заводов должны быть заняты изготовлением оснастки для производства цельнометаллических самолетов Ил-8».</w:t>
      </w:r>
    </w:p>
    <w:p w14:paraId="74ADB72F"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Обращает внимание, что письмо появилось именно в тот момент, когда было принято решение о приостановке полетов на Су-6 АМ-42, а вопрос о принятии Ил-8 на вооружение еще только обсуждался. Явно прослеживается желание наркомата подтолкнуть военных к решению о постановке «на снабжение ВВС КА» именно самолета Ил-8, как более удобного для массового производства.</w:t>
      </w:r>
    </w:p>
    <w:p w14:paraId="4759727F"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Действительно, внедрение в серию Су-6 АМ-42 потребовало бы перестройки сборочных конвейеров и изготовления новой оснастки, что в условиях войны, несомненно, являлось определенным техническим риском. В то же время самолет Ил-8 АМ-42 имел много общего с Ил-2 АМ-38 ф, и в случае организации его серийного выпуска можно было использовать те же конвейеры и большую часть имеющейся оснастки. Штурмовик Ил-10 в этом отношении заметно уступал «восьмерке», что впоследствии стало неожиданным для НКАП «открытием».</w:t>
      </w:r>
    </w:p>
    <w:p w14:paraId="4D8A45AE" w14:textId="29430610"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следует из документов, Шахурин, не дожидаясь окончательного решения военных, дал указание о срочном развертывании серийного производства Ил-8 АМ-42 на авиазаводе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18. Тем более что в наркомате имелось письмо главного инженера ВВС КА генерал-полковника 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Репина.</w:t>
      </w:r>
    </w:p>
    <w:p w14:paraId="4CA0125B"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Остается неизвестным, согласовывалось ли это решение предварительно с ГКО или нет. Скорее всего, в той или иной мере этот вопрос все же обсуждался. Однако документального подтверждения обращения НКАП к руководству страны с предложением разрешить серийный выпуск самолета Ил-8 и получение положительного или отрицательного ответа по нему пока не найдено. (17490).</w:t>
      </w:r>
    </w:p>
    <w:p w14:paraId="33ED0759" w14:textId="77777777" w:rsidR="00962976" w:rsidRPr="00070ADE" w:rsidRDefault="00962976" w:rsidP="00B56F90">
      <w:pPr>
        <w:spacing w:after="0" w:line="240" w:lineRule="auto"/>
        <w:jc w:val="both"/>
        <w:rPr>
          <w:rFonts w:ascii="Times New Roman" w:eastAsia="Times New Roman" w:hAnsi="Times New Roman"/>
          <w:color w:val="000000" w:themeColor="text1"/>
          <w:sz w:val="16"/>
          <w:szCs w:val="16"/>
          <w:lang w:eastAsia="ru-RU"/>
        </w:rPr>
      </w:pPr>
    </w:p>
    <w:p w14:paraId="0D231E6C"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 14 по 27 мая 1944 г. проходили государственные испытания Ил-10. Ведущими по машине были инженер П. Аброщенко, летчик А. Долгов и штурман Горбунов. Машину облетали А. Синельников, М. Субботин, А. Живописuев и Г. Тиняков. По их общему мнению, штурмовик «по техни</w:t>
      </w:r>
      <w:r w:rsidRPr="00C94B78">
        <w:rPr>
          <w:rStyle w:val="aff1"/>
          <w:rFonts w:ascii="Times New Roman" w:hAnsi="Times New Roman" w:cs="Times New Roman"/>
          <w:color w:val="0070C0"/>
          <w:spacing w:val="0"/>
          <w:sz w:val="16"/>
          <w:szCs w:val="16"/>
        </w:rPr>
        <w:softHyphen/>
        <w:t>ке пилотирования прост и не требует специального переучи</w:t>
      </w:r>
      <w:r w:rsidRPr="00C94B78">
        <w:rPr>
          <w:rStyle w:val="aff1"/>
          <w:rFonts w:ascii="Times New Roman" w:hAnsi="Times New Roman" w:cs="Times New Roman"/>
          <w:color w:val="0070C0"/>
          <w:spacing w:val="0"/>
          <w:sz w:val="16"/>
          <w:szCs w:val="16"/>
        </w:rPr>
        <w:softHyphen/>
        <w:t>вания для перехода на него летчиков, летающих на серийных самолетах Ил-2.</w:t>
      </w:r>
    </w:p>
    <w:p w14:paraId="1752D620"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Устойчивость и управляемость хорошие. Путевая устой</w:t>
      </w:r>
      <w:r w:rsidRPr="00C94B78">
        <w:rPr>
          <w:rStyle w:val="aff1"/>
          <w:rFonts w:ascii="Times New Roman" w:hAnsi="Times New Roman" w:cs="Times New Roman"/>
          <w:color w:val="0070C0"/>
          <w:spacing w:val="0"/>
          <w:sz w:val="16"/>
          <w:szCs w:val="16"/>
        </w:rPr>
        <w:softHyphen/>
        <w:t>чивость несколько велика. Нагрузки от рулей нормальные по величине и направлению. Нагрузки от руля высоты несколь</w:t>
      </w:r>
      <w:r w:rsidRPr="00C94B78">
        <w:rPr>
          <w:rStyle w:val="aff1"/>
          <w:rFonts w:ascii="Times New Roman" w:hAnsi="Times New Roman" w:cs="Times New Roman"/>
          <w:color w:val="0070C0"/>
          <w:spacing w:val="0"/>
          <w:sz w:val="16"/>
          <w:szCs w:val="16"/>
        </w:rPr>
        <w:softHyphen/>
        <w:t>ко велики. На рулежке устойчивость самолета недоста</w:t>
      </w:r>
      <w:r w:rsidRPr="00C94B78">
        <w:rPr>
          <w:rStyle w:val="aff1"/>
          <w:rFonts w:ascii="Times New Roman" w:hAnsi="Times New Roman" w:cs="Times New Roman"/>
          <w:color w:val="0070C0"/>
          <w:spacing w:val="0"/>
          <w:sz w:val="16"/>
          <w:szCs w:val="16"/>
        </w:rPr>
        <w:softHyphen/>
        <w:t>точна... »</w:t>
      </w:r>
    </w:p>
    <w:p w14:paraId="5FED48A3"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выводах «Акта по результатам государственных испы</w:t>
      </w:r>
      <w:r w:rsidRPr="00C94B78">
        <w:rPr>
          <w:rStyle w:val="aff1"/>
          <w:rFonts w:ascii="Times New Roman" w:hAnsi="Times New Roman" w:cs="Times New Roman"/>
          <w:color w:val="0070C0"/>
          <w:spacing w:val="0"/>
          <w:sz w:val="16"/>
          <w:szCs w:val="16"/>
        </w:rPr>
        <w:softHyphen/>
        <w:t>таний...» отмечалось, что Ил-10, по сравнению с Ил-2, «не</w:t>
      </w:r>
      <w:r w:rsidRPr="00C94B78">
        <w:rPr>
          <w:rStyle w:val="aff1"/>
          <w:rFonts w:ascii="Times New Roman" w:hAnsi="Times New Roman" w:cs="Times New Roman"/>
          <w:color w:val="0070C0"/>
          <w:spacing w:val="0"/>
          <w:sz w:val="16"/>
          <w:szCs w:val="16"/>
        </w:rPr>
        <w:softHyphen/>
        <w:t>смотря на ухудшение взлетно-посадочных свойств, имеет явное преимущества, в частности, максимальная скорость больше у земли на 123 км/ч, на границе высотности - на 147км/ч ... Время набора высоты 3000 м меньше на 3 мин... Дальность горизонтального полета на высоте 500 м возросла на 120 км ...</w:t>
      </w:r>
    </w:p>
    <w:p w14:paraId="2D088C34"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Высокая скорость полета, хорошая устойчивость и управляемость при аналогичном с Ил-2 оружии нападения по</w:t>
      </w:r>
      <w:r w:rsidRPr="00C94B78">
        <w:rPr>
          <w:rStyle w:val="aff1"/>
          <w:rFonts w:ascii="Times New Roman" w:hAnsi="Times New Roman" w:cs="Times New Roman"/>
          <w:color w:val="0070C0"/>
          <w:spacing w:val="0"/>
          <w:sz w:val="16"/>
          <w:szCs w:val="16"/>
        </w:rPr>
        <w:softHyphen/>
        <w:t>зволяют &lt; ... &gt;Ил-10 более эффективно осуществлять штур</w:t>
      </w:r>
      <w:r w:rsidRPr="00C94B78">
        <w:rPr>
          <w:rStyle w:val="aff1"/>
          <w:rFonts w:ascii="Times New Roman" w:hAnsi="Times New Roman" w:cs="Times New Roman"/>
          <w:color w:val="0070C0"/>
          <w:spacing w:val="0"/>
          <w:sz w:val="16"/>
          <w:szCs w:val="16"/>
        </w:rPr>
        <w:softHyphen/>
        <w:t>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w:t>
      </w:r>
    </w:p>
    <w:p w14:paraId="3BF76B73" w14:textId="77777777" w:rsidR="00982F71" w:rsidRPr="00C94B78" w:rsidRDefault="00982F71"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В эксплуатации самолет прост. В сравнении с &lt; ... &gt; Ил-2 с АМ-З8Ф осмотр основных узлов самолета и винтомоторной группы удобное и требует меньшей затраты времени для под</w:t>
      </w:r>
      <w:r w:rsidRPr="00C94B78">
        <w:rPr>
          <w:rStyle w:val="aff1"/>
          <w:rFonts w:ascii="Times New Roman" w:hAnsi="Times New Roman" w:cs="Times New Roman"/>
          <w:color w:val="0070C0"/>
          <w:spacing w:val="0"/>
          <w:sz w:val="16"/>
          <w:szCs w:val="16"/>
        </w:rPr>
        <w:softHyphen/>
        <w:t>готовки его к вылету...</w:t>
      </w:r>
    </w:p>
    <w:p w14:paraId="1DE1FC56"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Ил-10 по конструкции в сравнении с &lt;...&gt; Ил-2 особой сложности не представляет, и его производство может ба</w:t>
      </w:r>
      <w:r w:rsidRPr="00C94B78">
        <w:rPr>
          <w:rStyle w:val="aff1"/>
          <w:rFonts w:ascii="Times New Roman" w:hAnsi="Times New Roman" w:cs="Times New Roman"/>
          <w:color w:val="0070C0"/>
          <w:spacing w:val="0"/>
          <w:sz w:val="16"/>
          <w:szCs w:val="16"/>
        </w:rPr>
        <w:softHyphen/>
        <w:t>зироваться на технологии заводов серийного производства &lt; ... &gt; Ил-2...»</w:t>
      </w:r>
    </w:p>
    <w:p w14:paraId="019A35C1"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ВВС рекомендовали Ил-10 для серийного производст</w:t>
      </w:r>
      <w:r w:rsidRPr="00C94B78">
        <w:rPr>
          <w:rStyle w:val="aff1"/>
          <w:rFonts w:ascii="Times New Roman" w:hAnsi="Times New Roman" w:cs="Times New Roman"/>
          <w:color w:val="0070C0"/>
          <w:spacing w:val="0"/>
          <w:sz w:val="16"/>
          <w:szCs w:val="16"/>
        </w:rPr>
        <w:softHyphen/>
        <w:t>ва, несмотря на выявленные дефекты. Особенно много хлопот доставляли двигатели. До принятия на вооружение самолет нуждался в доводке, и его вернули в ОКБ (25091).</w:t>
      </w:r>
    </w:p>
    <w:p w14:paraId="140CDDAB" w14:textId="77777777" w:rsidR="00982F71" w:rsidRPr="00C94B78" w:rsidRDefault="00982F71" w:rsidP="00B56F90">
      <w:pPr>
        <w:spacing w:after="0" w:line="240" w:lineRule="auto"/>
        <w:jc w:val="both"/>
        <w:rPr>
          <w:rFonts w:ascii="Times New Roman" w:hAnsi="Times New Roman"/>
          <w:color w:val="0070C0"/>
          <w:sz w:val="16"/>
          <w:szCs w:val="16"/>
        </w:rPr>
      </w:pPr>
    </w:p>
    <w:p w14:paraId="273FB6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мая 1944 года испытания Пе-2И 2ВК-107А были прерваны, т.к. с 13 мая 1944 било масло (1821).</w:t>
      </w:r>
    </w:p>
    <w:p w14:paraId="524740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8DEF5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A2286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95D15F"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мая в 1944 году оперативная сводка Совинформбюро:</w:t>
      </w:r>
    </w:p>
    <w:p w14:paraId="138E15A3"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14 мая на фронтах существенных изменений непроизошло. За 13 мая наши войска подбили и уничтожили 14 немецких танков. В воздушных боях и огнём зенитной артиллерии сбито 35 самолётов противника.</w:t>
      </w:r>
    </w:p>
    <w:p w14:paraId="4CE0C5D0"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Бомбардировка нашей авиацией железнодорожных узлов Брест, Полоцк и железнодорожной станции Нарва</w:t>
      </w:r>
    </w:p>
    <w:p w14:paraId="66118DDC"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14 мая крупные соединения нашей авиации дальнего действия бомбардировали скопления воинских эшелонов и военные склады противника на железнодорожных узлах Брест, Полоцк и станции Нарва.</w:t>
      </w:r>
    </w:p>
    <w:p w14:paraId="4A7C0DD5"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результате бомбардировки на железнодорожном узле Брест возникло до 30 очагов пожара. Особенно большие пожары наблюдением отмечены в центральной, северо-западной и юго-восточной части железнодорожной станции Брест-центральная. Пожары сопровождались сильными взрывами. Одновременно с </w:t>
      </w:r>
      <w:r w:rsidRPr="00070ADE">
        <w:rPr>
          <w:rFonts w:ascii="Times New Roman" w:hAnsi="Times New Roman"/>
          <w:color w:val="000000" w:themeColor="text1"/>
          <w:sz w:val="16"/>
          <w:szCs w:val="16"/>
        </w:rPr>
        <w:lastRenderedPageBreak/>
        <w:t>бомбардировкой узла наши самолёты пулемётно-пушечным огнём обстреляли железнодорожные эшелоны на промежуточных станциях, на подходе к Бресту, и автоколонны противника на шоссейных дорогах.</w:t>
      </w:r>
    </w:p>
    <w:p w14:paraId="142B8736"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железнодорожном узле Полоцк создано 10 очагов пожара. Пожары больших размеров и сильные взрывы отмечены в районе станции Полоцк-вторая. Горели склады, вагоны и платформы.</w:t>
      </w:r>
    </w:p>
    <w:p w14:paraId="64EEEC7F"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районе железнодорожной станции Нарва в результате бомбардировки среди пожаров произошло до пятнадцати взрывов, в том числе несколько взрывов большой силы.</w:t>
      </w:r>
    </w:p>
    <w:p w14:paraId="3CF3A1B9"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наших самолёта не вернулись на свои аэродромы.</w:t>
      </w:r>
    </w:p>
    <w:p w14:paraId="69900B06"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немецкие танки атаковали село, в котором закрепилось наше подразделение. Орудийный расчёт сержанта Таганова выкатил свою пушку на открытую позицию и первыми же выстрелами подбил один немецкий танк. Остальные машины противника отошли назад. Через полчаса немцы снова пытались подойти к селу. Расчёт т. Таганова открыл огонь и поджёг еще один танк противника.</w:t>
      </w:r>
    </w:p>
    <w:p w14:paraId="5603D6B2"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Тирасполь пехота и танки противника предприняли ряд попыток атаковать наши позиции. На всех участках гитлеровцы не были допущены к передней линии нашей обороны. Встречая всюду сильный огонь советской артиллерии, немецкие танки поворачивали обратно и оставляли свою пехоту без прикрытия. Уничтожено до батальона гитлеровцев. Наши артиллеристы и миномётчики подбили и сожгли 11 немецких танков и 3 бронетранспортёра.</w:t>
      </w:r>
    </w:p>
    <w:p w14:paraId="6C504B9E"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Витебск группа снайперов-девушек Н-ского соединения за три месяца истребила 148 немцев. Снайпер тов. Хазова уничтожила за это время 12 гитлеровцев, тов. Барыкина — 10, тов. Сартлыкова — 9 немцев.</w:t>
      </w:r>
    </w:p>
    <w:p w14:paraId="5F71EE3F"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Краснознамённого Балтийского флота нанесла удар по кораблям противника в порту Котка. Прямым попаданием бомбы потоплен транспорт водоизмещением в две тысячи тонн. Другой транспорт противника повреждён.</w:t>
      </w:r>
    </w:p>
    <w:p w14:paraId="30CDDED9"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Нарвском заливе нашей авиацией потоплены сторожевой корабль и сторожевой катер противника.</w:t>
      </w:r>
    </w:p>
    <w:p w14:paraId="64EAFD40"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Корабли и авиация Черноморского флота потопили у берегов Румынии два транспорта общим водоизмещением в 5 тысяч тонн, 3 быстроходные десантные баржи и 4 катера противника.</w:t>
      </w:r>
    </w:p>
    <w:p w14:paraId="260278F6"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Литовский партизанский отряд за десять дней пустил под откос 6 немецких воинских эшелонов, следовавших к линии фронта. В результате крушений разбиты 4 паровоза, 46 вагонов и платформ. Партизаны литовских отрядов «Смерть фашистам», «Жальгирис», «Освободитель» и отряд имени Адама Мицкевича за это же время пустили под откос 5 воинских эшелонов противника. Партизаны отряда «Борьба» сожгли имение немецкого помещика.</w:t>
      </w:r>
    </w:p>
    <w:p w14:paraId="47E740BF"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обер-ефрейтор 5 роты 574 полка 304 немецкой пехотной дивизии Курт Багамир рассказал: «Отношения между немецкими и румынскими солдатами обостряются с каждым днём. Когда мы, преследуемые русскими, добрались до Днестровского лимана, там, на переправе, уже хозяйничали румыны. Немецкий обер-лейтенант пытался переправить через лиман в первую очередь немецкие части, но румыны завязали драку. В завязавшейся перестрелке были убиты обер-лейтенант и 4 немецких солдата».</w:t>
      </w:r>
    </w:p>
    <w:p w14:paraId="0DABAEE4"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солдат 522 немецкого охранного батальона Фриц Файндель рассказал: «Я прибыл на фронт в конце апреля с маршевой ротой. Мы ехали через Румынию. Н ажелезных дорогах в Румынии царит хаос. Все станции забиты эшелонами с беженцамии ранеными. Три дня нам пришлось итти пешком по румынской территории. Население относится к немцам враждебно и не даёт даже воды».</w:t>
      </w:r>
    </w:p>
    <w:p w14:paraId="0E610998"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публикуется акт о зверствах немецко-фашистских мерзавцев в селе Пултовцы, Жмеринского района, Винницкой области: «Немецкие захватчики ограбили жителей села. Когда всё уже было разграблено, в село прибыл отряд эсэсовских бандитов. Они собрали всех лиц мужского пола в возрасте от 12 лет и старше и повели их на шоссе. Здесь немцы приказали арестованным лечь на землю лицом вниз, а руки заложить за голову. Фашистские изверги стреляли по лежащим людям в затылок. В течение этого дня немцы убили более ста человек, в том числе, стариков Ивана Ильницкого, Фёдора Завируху, Козаря Квитко, подростков Виталия Опальского — 14 дет, Анатолия Войткова — 14 лет, Владимира Лаврентьева — 13 лет и других».</w:t>
      </w:r>
    </w:p>
    <w:p w14:paraId="3BB9B881" w14:textId="77777777" w:rsidR="004B3F09" w:rsidRPr="00070ADE" w:rsidRDefault="004B3F09" w:rsidP="00B56F90">
      <w:pPr>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rPr>
        <w:t xml:space="preserve">Акт подписали: председатель сельского Совета депутатов трудящихся Сомов, жители села А.Ковальчук, А.Сорончук, Д.Стецюк, А.Войткова.» </w:t>
      </w:r>
      <w:r w:rsidRPr="00070ADE">
        <w:rPr>
          <w:rFonts w:ascii="Times New Roman" w:hAnsi="Times New Roman"/>
          <w:color w:val="000000" w:themeColor="text1"/>
          <w:sz w:val="16"/>
          <w:szCs w:val="16"/>
          <w:lang w:val="en-US"/>
        </w:rPr>
        <w:t>(14891).</w:t>
      </w:r>
    </w:p>
    <w:p w14:paraId="5EE7EDC0" w14:textId="77777777" w:rsidR="004B3F09" w:rsidRPr="00070ADE" w:rsidRDefault="004B3F09" w:rsidP="00B56F90">
      <w:pPr>
        <w:spacing w:after="0" w:line="240" w:lineRule="auto"/>
        <w:jc w:val="both"/>
        <w:rPr>
          <w:rFonts w:ascii="Times New Roman" w:hAnsi="Times New Roman"/>
          <w:color w:val="000000" w:themeColor="text1"/>
          <w:sz w:val="16"/>
          <w:szCs w:val="16"/>
          <w:lang w:val="en-US"/>
        </w:rPr>
      </w:pPr>
    </w:p>
    <w:p w14:paraId="0298C4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14th, 1944: The Red Army recaptures Tarnopol in the Ukraine (3819).</w:t>
      </w:r>
    </w:p>
    <w:p w14:paraId="39A8F6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209A9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мая 1944 КА освободила Тарнополь на Украине (3819).</w:t>
      </w:r>
    </w:p>
    <w:p w14:paraId="67BC24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DBCA1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05E4F8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2A8507"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мая в 1944 году майор люфтваффе Шпёте совершил первый боевой вылет на ракетном истребителе («Messerschmitt») "Ме-163BV41" W.Nr310050. Первое в мире боевое применение самолета использовавшего в качестве силовой установки ЖРД (14891).</w:t>
      </w:r>
    </w:p>
    <w:p w14:paraId="463E373B" w14:textId="77777777" w:rsidR="004B3F09" w:rsidRPr="00070ADE" w:rsidRDefault="004B3F09" w:rsidP="00B56F90">
      <w:pPr>
        <w:spacing w:after="0" w:line="240" w:lineRule="auto"/>
        <w:jc w:val="both"/>
        <w:rPr>
          <w:rFonts w:ascii="Times New Roman" w:hAnsi="Times New Roman"/>
          <w:color w:val="000000" w:themeColor="text1"/>
          <w:sz w:val="16"/>
          <w:szCs w:val="16"/>
        </w:rPr>
      </w:pPr>
    </w:p>
    <w:p w14:paraId="5BD9BC88"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14 мая в 1944 году со стадиона Калифорнийского Университета впервые поднялся в воздух прототип вертолета </w:t>
      </w:r>
      <w:hyperlink r:id="rId128" w:tgtFrame="_blank" w:history="1">
        <w:r w:rsidRPr="00070ADE">
          <w:rPr>
            <w:rFonts w:ascii="Times New Roman" w:hAnsi="Times New Roman"/>
            <w:color w:val="000000" w:themeColor="text1"/>
            <w:sz w:val="16"/>
            <w:szCs w:val="16"/>
          </w:rPr>
          <w:t xml:space="preserve">«ХН-44». </w:t>
        </w:r>
      </w:hyperlink>
      <w:r w:rsidRPr="00070ADE">
        <w:rPr>
          <w:rFonts w:ascii="Times New Roman" w:hAnsi="Times New Roman"/>
          <w:color w:val="000000" w:themeColor="text1"/>
          <w:sz w:val="16"/>
          <w:szCs w:val="16"/>
        </w:rPr>
        <w:t>«ХН-44» стал одной из наиболее удачных винтокрылых машин созданных в США на заре вертолетостроения. Это был первый американский вертолет коаксиальной схемы с цельнометаллическими лопастями несущих винтов. Работа на ним началось в декабре 1942 года когда его создателю Стенли Хиллеру было всего 17 (!) лет. Конструкция вертолета оказалась настолько удачной, что сам Хиллер часто демонстрировал его устойчивость, отпуская рычаги управления и высовывая руки из окон. Вертолет имел настолько небольшой и компактный корпус, особенно в сравнении с неуклюжими конструкциями того времени, что некоторые шутники окрестили его "летающей ванной". В декабре 1945 года Хиллер модифицировал «ХН-44» установив более мощный двигатель «Lycoming» «O-290СР» (125 л.с.) вместо старого «Franklin» (90 л.с.), после чего название сменилось на «Х2-235». В том же году был построен ещё один фюзеляж для испытаний в аэродинамической трубе «NACA» в интересах «US Navy». К серийной постройке «ХН-44» не приняли, так как Хиллер разработал на его основе более удачную модель, позднее названную «UH-44» (14891).</w:t>
      </w:r>
    </w:p>
    <w:p w14:paraId="4B228F0A" w14:textId="77777777" w:rsidR="004B3F09" w:rsidRPr="00070ADE" w:rsidRDefault="004B3F09" w:rsidP="00B56F90">
      <w:pPr>
        <w:spacing w:after="0" w:line="240" w:lineRule="auto"/>
        <w:jc w:val="both"/>
        <w:rPr>
          <w:rFonts w:ascii="Times New Roman" w:hAnsi="Times New Roman"/>
          <w:color w:val="000000" w:themeColor="text1"/>
          <w:sz w:val="16"/>
          <w:szCs w:val="16"/>
        </w:rPr>
      </w:pPr>
    </w:p>
    <w:p w14:paraId="44C72F92" w14:textId="77777777" w:rsidR="00982729" w:rsidRPr="00070ADE" w:rsidRDefault="0098272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мая 1944 немецкие Люфтваффе применяет циркулирующие торпеды в предрассветной атаке на корабли союзников в Неаполе, Италия, но ни разу не попадает в цель (20373).</w:t>
      </w:r>
    </w:p>
    <w:p w14:paraId="2878CB1C" w14:textId="77777777" w:rsidR="00982729" w:rsidRPr="00070ADE" w:rsidRDefault="00982729" w:rsidP="00B56F90">
      <w:pPr>
        <w:spacing w:after="0" w:line="240" w:lineRule="auto"/>
        <w:jc w:val="both"/>
        <w:rPr>
          <w:rFonts w:ascii="Times New Roman" w:hAnsi="Times New Roman"/>
          <w:color w:val="000000" w:themeColor="text1"/>
          <w:sz w:val="16"/>
          <w:szCs w:val="16"/>
        </w:rPr>
      </w:pPr>
    </w:p>
    <w:p w14:paraId="07D6401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мая 1944 английская разведка перехватила шифр-послание Геринга, вскрывающее план немцев выставить ложные цели для самолетов (4962).</w:t>
      </w:r>
    </w:p>
    <w:p w14:paraId="416644F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70ACE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CA690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029C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из нарко</w:t>
      </w:r>
      <w:r w:rsidRPr="00070ADE">
        <w:rPr>
          <w:rFonts w:ascii="Times New Roman" w:hAnsi="Times New Roman"/>
          <w:color w:val="000000" w:themeColor="text1"/>
          <w:sz w:val="16"/>
          <w:szCs w:val="16"/>
        </w:rPr>
        <w:softHyphen/>
        <w:t>мата на имя Селезнева за подписью Шахурина ушло письмо, в котором пос</w:t>
      </w:r>
      <w:r w:rsidRPr="00070ADE">
        <w:rPr>
          <w:rFonts w:ascii="Times New Roman" w:hAnsi="Times New Roman"/>
          <w:color w:val="000000" w:themeColor="text1"/>
          <w:sz w:val="16"/>
          <w:szCs w:val="16"/>
        </w:rPr>
        <w:softHyphen/>
        <w:t>ледний сообщал, что:</w:t>
      </w:r>
    </w:p>
    <w:p w14:paraId="083E7D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"...НКАП имеет в виду перевести производство завода No 18 на выпуск цельнометаллических самолетов Ил-8 AM-42 в 1944 г., а заводы №№ 1 и 30 - в первом полугодии 1945 г.</w:t>
      </w:r>
    </w:p>
    <w:p w14:paraId="6065B6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Исходя из этого, Наркомавиапром не считает целесообразным перево</w:t>
      </w:r>
      <w:r w:rsidRPr="00070ADE">
        <w:rPr>
          <w:rFonts w:ascii="Times New Roman" w:hAnsi="Times New Roman"/>
          <w:iCs/>
          <w:color w:val="000000" w:themeColor="text1"/>
          <w:sz w:val="16"/>
          <w:szCs w:val="16"/>
        </w:rPr>
        <w:softHyphen/>
        <w:t>дить заводы NoNo 1 и 30 на выпуск са</w:t>
      </w:r>
      <w:r w:rsidRPr="00070ADE">
        <w:rPr>
          <w:rFonts w:ascii="Times New Roman" w:hAnsi="Times New Roman"/>
          <w:iCs/>
          <w:color w:val="000000" w:themeColor="text1"/>
          <w:sz w:val="16"/>
          <w:szCs w:val="16"/>
        </w:rPr>
        <w:softHyphen/>
        <w:t>молетов Ил-2 с металлической хвос</w:t>
      </w:r>
      <w:r w:rsidRPr="00070ADE">
        <w:rPr>
          <w:rFonts w:ascii="Times New Roman" w:hAnsi="Times New Roman"/>
          <w:iCs/>
          <w:color w:val="000000" w:themeColor="text1"/>
          <w:sz w:val="16"/>
          <w:szCs w:val="16"/>
        </w:rPr>
        <w:softHyphen/>
        <w:t>товой частью фюзеляжей в то время, когда цеха подготовки заводов долж</w:t>
      </w:r>
      <w:r w:rsidRPr="00070ADE">
        <w:rPr>
          <w:rFonts w:ascii="Times New Roman" w:hAnsi="Times New Roman"/>
          <w:iCs/>
          <w:color w:val="000000" w:themeColor="text1"/>
          <w:sz w:val="16"/>
          <w:szCs w:val="16"/>
        </w:rPr>
        <w:softHyphen/>
        <w:t>ны быть заняты изготовлением осна</w:t>
      </w:r>
      <w:r w:rsidRPr="00070ADE">
        <w:rPr>
          <w:rFonts w:ascii="Times New Roman" w:hAnsi="Times New Roman"/>
          <w:iCs/>
          <w:color w:val="000000" w:themeColor="text1"/>
          <w:sz w:val="16"/>
          <w:szCs w:val="16"/>
        </w:rPr>
        <w:softHyphen/>
        <w:t>стки для производства цельнометал</w:t>
      </w:r>
      <w:r w:rsidRPr="00070ADE">
        <w:rPr>
          <w:rFonts w:ascii="Times New Roman" w:hAnsi="Times New Roman"/>
          <w:iCs/>
          <w:color w:val="000000" w:themeColor="text1"/>
          <w:sz w:val="16"/>
          <w:szCs w:val="16"/>
        </w:rPr>
        <w:softHyphen/>
        <w:t xml:space="preserve">лических самолетов Ил-8... " </w:t>
      </w:r>
      <w:r w:rsidRPr="00070ADE">
        <w:rPr>
          <w:rFonts w:ascii="Times New Roman" w:hAnsi="Times New Roman"/>
          <w:color w:val="000000" w:themeColor="text1"/>
          <w:sz w:val="16"/>
          <w:szCs w:val="16"/>
        </w:rPr>
        <w:t>На самом деле наркомат в извест</w:t>
      </w:r>
      <w:r w:rsidRPr="00070ADE">
        <w:rPr>
          <w:rFonts w:ascii="Times New Roman" w:hAnsi="Times New Roman"/>
          <w:color w:val="000000" w:themeColor="text1"/>
          <w:sz w:val="16"/>
          <w:szCs w:val="16"/>
        </w:rPr>
        <w:softHyphen/>
        <w:t>ной мере лукавил. Несмотря на успеш</w:t>
      </w:r>
      <w:r w:rsidRPr="00070ADE">
        <w:rPr>
          <w:rFonts w:ascii="Times New Roman" w:hAnsi="Times New Roman"/>
          <w:color w:val="000000" w:themeColor="text1"/>
          <w:sz w:val="16"/>
          <w:szCs w:val="16"/>
        </w:rPr>
        <w:softHyphen/>
        <w:t>ное завершение гос. испытаний Ил-8 АМ-42, надежность винтомоторной группы нового штурмовика оставляла желать лучшего и решение о доработке само</w:t>
      </w:r>
      <w:r w:rsidRPr="00070ADE">
        <w:rPr>
          <w:rFonts w:ascii="Times New Roman" w:hAnsi="Times New Roman"/>
          <w:color w:val="000000" w:themeColor="text1"/>
          <w:sz w:val="16"/>
          <w:szCs w:val="16"/>
        </w:rPr>
        <w:softHyphen/>
        <w:t>лета до требуемых норм уже созрело. Просто руководство НКАП панически боялось что-либо перестраивать в про</w:t>
      </w:r>
      <w:r w:rsidRPr="00070ADE">
        <w:rPr>
          <w:rFonts w:ascii="Times New Roman" w:hAnsi="Times New Roman"/>
          <w:color w:val="000000" w:themeColor="text1"/>
          <w:sz w:val="16"/>
          <w:szCs w:val="16"/>
        </w:rPr>
        <w:softHyphen/>
        <w:t>изводстве штурмовиков Ил-2 на хоро</w:t>
      </w:r>
      <w:r w:rsidRPr="00070ADE">
        <w:rPr>
          <w:rFonts w:ascii="Times New Roman" w:hAnsi="Times New Roman"/>
          <w:color w:val="000000" w:themeColor="text1"/>
          <w:sz w:val="16"/>
          <w:szCs w:val="16"/>
        </w:rPr>
        <w:softHyphen/>
        <w:t>шо отлаженных сборочных конвейерах (6467).</w:t>
      </w:r>
    </w:p>
    <w:p w14:paraId="391029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2078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государственные испытания Су-6 АМ-42 с пушками ВЯ-23, которые проходили с 28 апреля 1944 г. были приостановлены вледствие совершенно ненормальной работы мотора (9649). К этому времени закончились госиспытания тяжелого штурмовика Ил-8 АМ-42 и решался вопрос о его запуске в серию (9649).</w:t>
      </w:r>
    </w:p>
    <w:p w14:paraId="44B368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ABAB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из-за ненормаль</w:t>
      </w:r>
      <w:r w:rsidRPr="00070ADE">
        <w:rPr>
          <w:rFonts w:ascii="Times New Roman" w:hAnsi="Times New Roman"/>
          <w:color w:val="000000" w:themeColor="text1"/>
          <w:sz w:val="16"/>
          <w:szCs w:val="16"/>
        </w:rPr>
        <w:softHyphen/>
        <w:t>ной работы мотора испытания были приостановлены государственные испытания са</w:t>
      </w:r>
      <w:r w:rsidRPr="00070ADE">
        <w:rPr>
          <w:rFonts w:ascii="Times New Roman" w:hAnsi="Times New Roman"/>
          <w:color w:val="000000" w:themeColor="text1"/>
          <w:sz w:val="16"/>
          <w:szCs w:val="16"/>
        </w:rPr>
        <w:softHyphen/>
        <w:t>молета Су-6 АМ-42, которые шли с 28 апреля 1944 года. До середины мая летчики-испытатели НИИ ВВС КА генерал-майор авиации А.И.Каба</w:t>
      </w:r>
      <w:r w:rsidRPr="00070ADE">
        <w:rPr>
          <w:rFonts w:ascii="Times New Roman" w:hAnsi="Times New Roman"/>
          <w:color w:val="000000" w:themeColor="text1"/>
          <w:sz w:val="16"/>
          <w:szCs w:val="16"/>
        </w:rPr>
        <w:softHyphen/>
        <w:t>нов и инженер-майор А.В.Синель</w:t>
      </w:r>
      <w:r w:rsidRPr="00070ADE">
        <w:rPr>
          <w:rFonts w:ascii="Times New Roman" w:hAnsi="Times New Roman"/>
          <w:color w:val="000000" w:themeColor="text1"/>
          <w:sz w:val="16"/>
          <w:szCs w:val="16"/>
        </w:rPr>
        <w:softHyphen/>
        <w:t>ников выполнили по программе 12 полетов (11845).</w:t>
      </w:r>
    </w:p>
    <w:p w14:paraId="21D622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76D0FB"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госиспытания Су-6 АМ-42, начавшиеся 29 апреля, были приоста</w:t>
      </w:r>
      <w:r w:rsidRPr="00070ADE">
        <w:rPr>
          <w:rFonts w:ascii="Times New Roman" w:hAnsi="Times New Roman"/>
          <w:color w:val="000000" w:themeColor="text1"/>
          <w:sz w:val="16"/>
          <w:szCs w:val="16"/>
        </w:rPr>
        <w:softHyphen/>
        <w:t>новлены вследствие совершенно ненор</w:t>
      </w:r>
      <w:r w:rsidRPr="00070ADE">
        <w:rPr>
          <w:rFonts w:ascii="Times New Roman" w:hAnsi="Times New Roman"/>
          <w:color w:val="000000" w:themeColor="text1"/>
          <w:sz w:val="16"/>
          <w:szCs w:val="16"/>
        </w:rPr>
        <w:softHyphen/>
        <w:t>мальной работы мотора. Ни в одном из полетов мотор зав. №4252 нормально не работал. Всего за это время удалось вы</w:t>
      </w:r>
      <w:r w:rsidRPr="00070ADE">
        <w:rPr>
          <w:rFonts w:ascii="Times New Roman" w:hAnsi="Times New Roman"/>
          <w:color w:val="000000" w:themeColor="text1"/>
          <w:sz w:val="16"/>
          <w:szCs w:val="16"/>
        </w:rPr>
        <w:softHyphen/>
        <w:t>полнить 18 полетов с общим налетом 6 ч 30 мин. Наработка мотора составила 27 ч 55 мин при установленном ресурсе 50 ч.</w:t>
      </w:r>
    </w:p>
    <w:p w14:paraId="673BF4D0"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Ответственным исполнителем по ис</w:t>
      </w:r>
      <w:r w:rsidRPr="00070ADE">
        <w:rPr>
          <w:rFonts w:ascii="Times New Roman" w:hAnsi="Times New Roman"/>
          <w:color w:val="000000" w:themeColor="text1"/>
          <w:sz w:val="16"/>
          <w:szCs w:val="16"/>
        </w:rPr>
        <w:softHyphen/>
        <w:t>пытаниям был назначен помощник веду</w:t>
      </w:r>
      <w:r w:rsidRPr="00070ADE">
        <w:rPr>
          <w:rFonts w:ascii="Times New Roman" w:hAnsi="Times New Roman"/>
          <w:color w:val="000000" w:themeColor="text1"/>
          <w:sz w:val="16"/>
          <w:szCs w:val="16"/>
        </w:rPr>
        <w:softHyphen/>
        <w:t>щего инженера старший техник-лейтенант Марьин, ведущим летчиком - заместитель начальника института по летной части ге- нерал-майор Кабанов, вторым ведущим летчиком - инженер-майор Синельников. Самолет облетал заместитель начальника 5-го отдела 1-го Управления института по летной части подполковник Долгов</w:t>
      </w:r>
    </w:p>
    <w:p w14:paraId="022BC248"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ряду конструктивных и производст</w:t>
      </w:r>
      <w:r w:rsidRPr="00070ADE">
        <w:rPr>
          <w:rFonts w:ascii="Times New Roman" w:hAnsi="Times New Roman"/>
          <w:color w:val="000000" w:themeColor="text1"/>
          <w:sz w:val="16"/>
          <w:szCs w:val="16"/>
        </w:rPr>
        <w:softHyphen/>
        <w:t>венных дефектов мотора отмечались сле</w:t>
      </w:r>
      <w:r w:rsidRPr="00070ADE">
        <w:rPr>
          <w:rFonts w:ascii="Times New Roman" w:hAnsi="Times New Roman"/>
          <w:color w:val="000000" w:themeColor="text1"/>
          <w:sz w:val="16"/>
          <w:szCs w:val="16"/>
        </w:rPr>
        <w:softHyphen/>
        <w:t>дующие:</w:t>
      </w:r>
    </w:p>
    <w:p w14:paraId="63C8FB27" w14:textId="77777777" w:rsidR="00DD3D22" w:rsidRPr="00070ADE" w:rsidRDefault="00DD3D22" w:rsidP="00B56F90">
      <w:pPr>
        <w:tabs>
          <w:tab w:val="left" w:pos="39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 опасное загорание смеси во всасы</w:t>
      </w:r>
      <w:r w:rsidRPr="00070ADE">
        <w:rPr>
          <w:rFonts w:ascii="Times New Roman" w:hAnsi="Times New Roman"/>
          <w:color w:val="000000" w:themeColor="text1"/>
          <w:sz w:val="16"/>
          <w:szCs w:val="16"/>
        </w:rPr>
        <w:softHyphen/>
        <w:t>вающих патрубках на земле при запуске мотора (4 случая);</w:t>
      </w:r>
    </w:p>
    <w:p w14:paraId="3057ED73" w14:textId="53E71B50" w:rsidR="00DD3D22" w:rsidRPr="00070ADE" w:rsidRDefault="00DD3D22" w:rsidP="00B56F90">
      <w:pPr>
        <w:pStyle w:val="121"/>
        <w:shd w:val="clear" w:color="auto" w:fill="auto"/>
        <w:tabs>
          <w:tab w:val="left" w:pos="409"/>
        </w:tabs>
        <w:spacing w:line="240" w:lineRule="auto"/>
        <w:jc w:val="both"/>
        <w:rPr>
          <w:rFonts w:ascii="Times New Roman" w:hAnsi="Times New Roman" w:cs="Times New Roman"/>
          <w:b w:val="0"/>
          <w:bCs w:val="0"/>
          <w:color w:val="000000" w:themeColor="text1"/>
          <w:sz w:val="16"/>
          <w:szCs w:val="16"/>
        </w:rPr>
      </w:pPr>
      <w:r w:rsidRPr="00070ADE">
        <w:rPr>
          <w:rStyle w:val="128pt100"/>
          <w:rFonts w:ascii="Times New Roman" w:hAnsi="Times New Roman" w:cs="Times New Roman"/>
          <w:b w:val="0"/>
          <w:bCs w:val="0"/>
          <w:i w:val="0"/>
          <w:iCs w:val="0"/>
          <w:color w:val="000000" w:themeColor="text1"/>
        </w:rPr>
        <w:t>- недопустимо большой расход ма</w:t>
      </w:r>
      <w:r w:rsidRPr="00070ADE">
        <w:rPr>
          <w:rStyle w:val="128pt100"/>
          <w:rFonts w:ascii="Times New Roman" w:hAnsi="Times New Roman" w:cs="Times New Roman"/>
          <w:b w:val="0"/>
          <w:bCs w:val="0"/>
          <w:i w:val="0"/>
          <w:iCs w:val="0"/>
          <w:color w:val="000000" w:themeColor="text1"/>
        </w:rPr>
        <w:softHyphen/>
        <w:t>сла</w:t>
      </w:r>
      <w:r w:rsidRPr="00070ADE">
        <w:rPr>
          <w:rFonts w:ascii="Times New Roman" w:hAnsi="Times New Roman" w:cs="Times New Roman"/>
          <w:b w:val="0"/>
          <w:bCs w:val="0"/>
          <w:color w:val="000000" w:themeColor="text1"/>
          <w:sz w:val="16"/>
          <w:szCs w:val="16"/>
        </w:rPr>
        <w:t xml:space="preserve"> («за один полет продолжительностью 50 минут расход масла достигал 43 ли</w:t>
      </w:r>
      <w:r w:rsidRPr="00070ADE">
        <w:rPr>
          <w:rFonts w:ascii="Times New Roman" w:hAnsi="Times New Roman" w:cs="Times New Roman"/>
          <w:b w:val="0"/>
          <w:bCs w:val="0"/>
          <w:color w:val="000000" w:themeColor="text1"/>
          <w:sz w:val="16"/>
          <w:szCs w:val="16"/>
        </w:rPr>
        <w:softHyphen/>
        <w:t>тров»);</w:t>
      </w:r>
    </w:p>
    <w:p w14:paraId="383D1CEF" w14:textId="77777777" w:rsidR="00DD3D22" w:rsidRPr="00070ADE" w:rsidRDefault="00DD3D22" w:rsidP="00B56F90">
      <w:pPr>
        <w:tabs>
          <w:tab w:val="left" w:pos="39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сильное дымление мотора на всех режимах работы;</w:t>
      </w:r>
    </w:p>
    <w:p w14:paraId="1B8BD398"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тряска мотора при давлении наддува 800-1000 мм. рт. ст., на форсаже и номи</w:t>
      </w:r>
      <w:r w:rsidRPr="00070ADE">
        <w:rPr>
          <w:rFonts w:ascii="Times New Roman" w:hAnsi="Times New Roman"/>
          <w:color w:val="000000" w:themeColor="text1"/>
          <w:sz w:val="16"/>
          <w:szCs w:val="16"/>
        </w:rPr>
        <w:softHyphen/>
        <w:t>нальном режиме в течение 1-1,5 мин по</w:t>
      </w:r>
      <w:r w:rsidRPr="00070ADE">
        <w:rPr>
          <w:rFonts w:ascii="Times New Roman" w:hAnsi="Times New Roman"/>
          <w:color w:val="000000" w:themeColor="text1"/>
          <w:sz w:val="16"/>
          <w:szCs w:val="16"/>
        </w:rPr>
        <w:softHyphen/>
        <w:t>сле дачи газа.</w:t>
      </w:r>
    </w:p>
    <w:p w14:paraId="5E412EBB"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Изменение регулировки карбюрато</w:t>
      </w:r>
      <w:r w:rsidRPr="00070ADE">
        <w:rPr>
          <w:rFonts w:ascii="Times New Roman" w:hAnsi="Times New Roman"/>
          <w:color w:val="000000" w:themeColor="text1"/>
          <w:sz w:val="16"/>
          <w:szCs w:val="16"/>
        </w:rPr>
        <w:softHyphen/>
        <w:t>ров положительных результатов не дало.</w:t>
      </w:r>
    </w:p>
    <w:p w14:paraId="05AAA4D6"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этим причинам летные харак</w:t>
      </w:r>
      <w:r w:rsidRPr="00070ADE">
        <w:rPr>
          <w:rFonts w:ascii="Times New Roman" w:hAnsi="Times New Roman"/>
          <w:color w:val="000000" w:themeColor="text1"/>
          <w:sz w:val="16"/>
          <w:szCs w:val="16"/>
        </w:rPr>
        <w:softHyphen/>
        <w:t>теристики Су-6 АМ-42 в полном объ</w:t>
      </w:r>
      <w:r w:rsidRPr="00070ADE">
        <w:rPr>
          <w:rFonts w:ascii="Times New Roman" w:hAnsi="Times New Roman"/>
          <w:color w:val="000000" w:themeColor="text1"/>
          <w:sz w:val="16"/>
          <w:szCs w:val="16"/>
        </w:rPr>
        <w:softHyphen/>
        <w:t>еме снять не удалось. При полетном весе 6200 кг (400 кг бомб, пушки 11П и пуле</w:t>
      </w:r>
      <w:r w:rsidRPr="00070ADE">
        <w:rPr>
          <w:rFonts w:ascii="Times New Roman" w:hAnsi="Times New Roman"/>
          <w:color w:val="000000" w:themeColor="text1"/>
          <w:sz w:val="16"/>
          <w:szCs w:val="16"/>
        </w:rPr>
        <w:softHyphen/>
        <w:t>меты ШКАС с боекомплектом) максималь</w:t>
      </w:r>
      <w:r w:rsidRPr="00070ADE">
        <w:rPr>
          <w:rFonts w:ascii="Times New Roman" w:hAnsi="Times New Roman"/>
          <w:color w:val="000000" w:themeColor="text1"/>
          <w:sz w:val="16"/>
          <w:szCs w:val="16"/>
        </w:rPr>
        <w:softHyphen/>
        <w:t>ная скорость полета достигала 482 км/ч - у земли, и 523 км/ч - на высоте 2800 м. Дальность полета на высоте 1000 м и ско</w:t>
      </w:r>
      <w:r w:rsidRPr="00070ADE">
        <w:rPr>
          <w:rFonts w:ascii="Times New Roman" w:hAnsi="Times New Roman"/>
          <w:color w:val="000000" w:themeColor="text1"/>
          <w:sz w:val="16"/>
          <w:szCs w:val="16"/>
        </w:rPr>
        <w:softHyphen/>
        <w:t>рости 340 км/ч - 850 км. Разбег (с откло</w:t>
      </w:r>
      <w:r w:rsidRPr="00070ADE">
        <w:rPr>
          <w:rFonts w:ascii="Times New Roman" w:hAnsi="Times New Roman"/>
          <w:color w:val="000000" w:themeColor="text1"/>
          <w:sz w:val="16"/>
          <w:szCs w:val="16"/>
        </w:rPr>
        <w:softHyphen/>
        <w:t>ненными на 20° щитками и форсажем по оборотам) - 540 м. На высоту 1000 м са</w:t>
      </w:r>
      <w:r w:rsidRPr="00070ADE">
        <w:rPr>
          <w:rFonts w:ascii="Times New Roman" w:hAnsi="Times New Roman"/>
          <w:color w:val="000000" w:themeColor="text1"/>
          <w:sz w:val="16"/>
          <w:szCs w:val="16"/>
        </w:rPr>
        <w:softHyphen/>
        <w:t>молет забирался за 2 мин. Вертикаль</w:t>
      </w:r>
      <w:r w:rsidRPr="00070ADE">
        <w:rPr>
          <w:rFonts w:ascii="Times New Roman" w:hAnsi="Times New Roman"/>
          <w:color w:val="000000" w:themeColor="text1"/>
          <w:sz w:val="16"/>
          <w:szCs w:val="16"/>
        </w:rPr>
        <w:softHyphen/>
        <w:t>ная скорость у земли получилась равной 7,6 м/с, на высоте 1000 м - 8,3 м/с.</w:t>
      </w:r>
    </w:p>
    <w:p w14:paraId="7E82649B"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Отметим, что «взлетные свойства са</w:t>
      </w:r>
      <w:r w:rsidRPr="00070ADE">
        <w:rPr>
          <w:rFonts w:ascii="Times New Roman" w:hAnsi="Times New Roman"/>
          <w:color w:val="000000" w:themeColor="text1"/>
          <w:sz w:val="16"/>
          <w:szCs w:val="16"/>
        </w:rPr>
        <w:softHyphen/>
        <w:t>молета определялись на номинальном наддуве 1330 мм. рт. ст. и форсированных оборотах 2500 об/мин, так как на форси</w:t>
      </w:r>
      <w:r w:rsidRPr="00070ADE">
        <w:rPr>
          <w:rFonts w:ascii="Times New Roman" w:hAnsi="Times New Roman"/>
          <w:color w:val="000000" w:themeColor="text1"/>
          <w:sz w:val="16"/>
          <w:szCs w:val="16"/>
        </w:rPr>
        <w:softHyphen/>
        <w:t>рованном наддуве мотор работал ненор</w:t>
      </w:r>
      <w:r w:rsidRPr="00070ADE">
        <w:rPr>
          <w:rFonts w:ascii="Times New Roman" w:hAnsi="Times New Roman"/>
          <w:color w:val="000000" w:themeColor="text1"/>
          <w:sz w:val="16"/>
          <w:szCs w:val="16"/>
        </w:rPr>
        <w:softHyphen/>
        <w:t>мально».</w:t>
      </w:r>
    </w:p>
    <w:p w14:paraId="6B5A775B"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получения с завода №24 дру</w:t>
      </w:r>
      <w:r w:rsidRPr="00070ADE">
        <w:rPr>
          <w:rFonts w:ascii="Times New Roman" w:hAnsi="Times New Roman"/>
          <w:color w:val="000000" w:themeColor="text1"/>
          <w:sz w:val="16"/>
          <w:szCs w:val="16"/>
        </w:rPr>
        <w:softHyphen/>
        <w:t>гого экземпляра мотора АМ-42 испытания самолета предполагалось продолжить (19853).</w:t>
      </w:r>
    </w:p>
    <w:p w14:paraId="08A1D160" w14:textId="77777777" w:rsidR="00DD3D22" w:rsidRPr="00070ADE" w:rsidRDefault="00DD3D22" w:rsidP="00B56F90">
      <w:pPr>
        <w:spacing w:after="0" w:line="240" w:lineRule="auto"/>
        <w:jc w:val="both"/>
        <w:rPr>
          <w:rFonts w:ascii="Times New Roman" w:hAnsi="Times New Roman"/>
          <w:color w:val="000000" w:themeColor="text1"/>
          <w:sz w:val="16"/>
          <w:szCs w:val="16"/>
        </w:rPr>
      </w:pPr>
    </w:p>
    <w:p w14:paraId="2F01D6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С.Н.Анохин в ЛИИ выполнил первый полет с включенными ПВРД ДМ-4С И.А.Меркулова на Як-7В с М-106ПФ N 803 (65,102).</w:t>
      </w:r>
    </w:p>
    <w:p w14:paraId="749A8F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8D7110" w14:textId="1DF1C6FE" w:rsidR="008B0844" w:rsidRPr="00070ADE" w:rsidRDefault="008B0844" w:rsidP="00B56F90">
      <w:pPr>
        <w:pStyle w:val="ae"/>
        <w:shd w:val="clear" w:color="auto" w:fill="FFFFFF"/>
        <w:spacing w:before="0" w:after="0"/>
        <w:jc w:val="both"/>
        <w:rPr>
          <w:color w:val="000000" w:themeColor="text1"/>
          <w:sz w:val="16"/>
          <w:szCs w:val="16"/>
        </w:rPr>
      </w:pPr>
      <w:r w:rsidRPr="00070ADE">
        <w:rPr>
          <w:color w:val="000000" w:themeColor="text1"/>
          <w:sz w:val="16"/>
          <w:szCs w:val="16"/>
        </w:rPr>
        <w:t>15 мая 1944 г. состоялся первый полет Як-7Б М-105ПФ</w:t>
      </w:r>
      <w:r w:rsidR="00C63BA9">
        <w:rPr>
          <w:color w:val="000000" w:themeColor="text1"/>
          <w:sz w:val="16"/>
          <w:szCs w:val="16"/>
        </w:rPr>
        <w:t xml:space="preserve"> </w:t>
      </w:r>
      <w:r w:rsidRPr="00070ADE">
        <w:rPr>
          <w:color w:val="000000" w:themeColor="text1"/>
          <w:sz w:val="16"/>
          <w:szCs w:val="16"/>
        </w:rPr>
        <w:t>с включенными ДМ-4С Бондарюка.</w:t>
      </w:r>
    </w:p>
    <w:p w14:paraId="15376F1F" w14:textId="77777777" w:rsidR="008B0844" w:rsidRPr="00070ADE" w:rsidRDefault="008B0844" w:rsidP="00B56F90">
      <w:pPr>
        <w:pStyle w:val="ae"/>
        <w:shd w:val="clear" w:color="auto" w:fill="FFFFFF"/>
        <w:spacing w:before="0" w:after="0"/>
        <w:jc w:val="both"/>
        <w:rPr>
          <w:color w:val="000000" w:themeColor="text1"/>
          <w:sz w:val="16"/>
          <w:szCs w:val="16"/>
        </w:rPr>
      </w:pPr>
      <w:r w:rsidRPr="00070ADE">
        <w:rPr>
          <w:color w:val="000000" w:themeColor="text1"/>
          <w:sz w:val="16"/>
          <w:szCs w:val="16"/>
        </w:rPr>
        <w:t>Самолетом управлял ведущий летчик-испытатель ЛИИ С.Н. Анохин. Двигатели ДМ-4С запускались на высотах до 5000 м. Конструкция ДМ-4С позволяла производить останов ки и последующие запуски двигателей в полете. Эксплуата ция ДМ-4С была простой. Управление двигателями в полете затруднений не вызывала. Двигатели работали на бензине из тех же баков, что и основной двигатель.</w:t>
      </w:r>
    </w:p>
    <w:p w14:paraId="0AAEB8DA" w14:textId="77777777" w:rsidR="008B0844" w:rsidRPr="00070ADE" w:rsidRDefault="008B0844" w:rsidP="00B56F90">
      <w:pPr>
        <w:pStyle w:val="ae"/>
        <w:shd w:val="clear" w:color="auto" w:fill="FFFFFF"/>
        <w:spacing w:before="0" w:after="0"/>
        <w:jc w:val="both"/>
        <w:rPr>
          <w:color w:val="000000" w:themeColor="text1"/>
          <w:sz w:val="16"/>
          <w:szCs w:val="16"/>
        </w:rPr>
      </w:pPr>
      <w:r w:rsidRPr="00070ADE">
        <w:rPr>
          <w:color w:val="000000" w:themeColor="text1"/>
          <w:sz w:val="16"/>
          <w:szCs w:val="16"/>
        </w:rPr>
        <w:t>Была достигнута равномерная работа обоих двигателей.</w:t>
      </w:r>
    </w:p>
    <w:p w14:paraId="6BF64CB3" w14:textId="77777777" w:rsidR="008B0844" w:rsidRPr="00070ADE" w:rsidRDefault="008B0844"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После проведения этого этапа летных испытаний предполага лось снять подробные тяговые характеристики при различных параметрах конструкции двигателя и дальнейшем его совер шенствовании. Поэтому запуск ПВРД и другие задачи перво го этапа испытаний отрабатывались с произвольными агрегатами и параметрами двигателя, а не с теми, которые на осно вании теоретических расчетов и исследований в трубе представлялись оптимальными. Однако после выполнения первого этапа, летные испытания были прекращены по мотивам боль шого расхода бензина на работу ДМ-4С.</w:t>
      </w:r>
    </w:p>
    <w:p w14:paraId="62E95022" w14:textId="77777777" w:rsidR="008B0844" w:rsidRPr="00070ADE" w:rsidRDefault="008B0844" w:rsidP="00B56F90">
      <w:pPr>
        <w:pStyle w:val="ae"/>
        <w:shd w:val="clear" w:color="auto" w:fill="FFFFFF"/>
        <w:spacing w:before="0" w:after="0"/>
        <w:jc w:val="both"/>
        <w:rPr>
          <w:color w:val="000000" w:themeColor="text1"/>
          <w:sz w:val="16"/>
          <w:szCs w:val="16"/>
        </w:rPr>
      </w:pPr>
      <w:r w:rsidRPr="00070ADE">
        <w:rPr>
          <w:color w:val="000000" w:themeColor="text1"/>
          <w:sz w:val="16"/>
          <w:szCs w:val="16"/>
        </w:rPr>
        <w:t>Максимальная горизонтальная скорость самолета при нера ботающих ДМ-4С из-за их лобового сопротивления уменьшилась до 460 против 494 км/ч у Як-7Б № 803 без ДМ-4С. При работе ДМ-4С на высоте 2340 м максимальная горизонтальная скорость увеличивалась до 513 км/ч, т.е. на 53 км/ч, но она была лишь на 19 км/ч больше, чем скорость исходного Як*7Б. При оценке этого результата следует учесть, что оба ПВРД были подвешены под крыльями без зализов или обтекателей, и что при такой под веске была весьма велика интерференция двигателя и крыла.</w:t>
      </w:r>
    </w:p>
    <w:p w14:paraId="2BB411C7" w14:textId="77777777" w:rsidR="008B0844" w:rsidRPr="00070ADE" w:rsidRDefault="008B0844"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Предполагалось, что при повышении расхода топлива с 22 до 30 кг/мин на истребителе, имеющем скорость полета порядка 600 км/ч, дополнительные двигатели ДМ-4С смогут обеспечить прирост скорости в 130 км/ч, а при установке двигателей на более скоростные самолеты эффект от их применения станет еще больше. Установка ДМ-4С осуществлялась весьма просто и могла быть выполнена даже в полевых условиях, что позво ляло оборудовать этими двигателями существующий парк са молетов. Таким образом, для ВВС был создан резерв на случай непредвиденных обстоятельств. Предполагалась установка ПВРД также на Як-1, при этом ожидался прирост скорости 100 км/ч в течение 10 мин. Но этот проект не был реализован. ПВРД практически не использовались в связи с окончанием войны и последующим появлением турбореактивных двигателей, кото рые имели преимущества перед ПВРД в тяге (19586).</w:t>
      </w:r>
    </w:p>
    <w:p w14:paraId="361AC893" w14:textId="77777777" w:rsidR="008B0844" w:rsidRPr="00070ADE" w:rsidRDefault="008B0844" w:rsidP="00B56F90">
      <w:pPr>
        <w:pStyle w:val="ae"/>
        <w:shd w:val="clear" w:color="auto" w:fill="FFFFFF"/>
        <w:spacing w:before="0" w:after="0"/>
        <w:jc w:val="both"/>
        <w:rPr>
          <w:color w:val="000000" w:themeColor="text1"/>
          <w:sz w:val="16"/>
          <w:szCs w:val="16"/>
        </w:rPr>
      </w:pPr>
    </w:p>
    <w:p w14:paraId="3C8D7B9B" w14:textId="77777777" w:rsidR="00962976" w:rsidRPr="00070ADE" w:rsidRDefault="00962976"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15 мая 1944 Анохин совершил первый полет II этапа испытаений Як-7Б №0803 - самолет-лаборатория, оборудованный ПВРД Меркулова и впервые включил ДМ-4с.</w:t>
      </w:r>
    </w:p>
    <w:p w14:paraId="1ACBB8BC" w14:textId="77777777" w:rsidR="00962976" w:rsidRPr="00070ADE" w:rsidRDefault="00962976"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Летные испытания самолета заверши</w:t>
      </w:r>
      <w:r w:rsidRPr="00070ADE">
        <w:rPr>
          <w:rFonts w:ascii="Times New Roman" w:hAnsi="Times New Roman" w:cs="Times New Roman"/>
          <w:color w:val="000000" w:themeColor="text1"/>
          <w:sz w:val="16"/>
          <w:szCs w:val="16"/>
        </w:rPr>
        <w:softHyphen/>
        <w:t>лись 12 декабря 1944 г. как было указано в отчете «с положительными результа</w:t>
      </w:r>
      <w:r w:rsidRPr="00070ADE">
        <w:rPr>
          <w:rFonts w:ascii="Times New Roman" w:hAnsi="Times New Roman" w:cs="Times New Roman"/>
          <w:color w:val="000000" w:themeColor="text1"/>
          <w:sz w:val="16"/>
          <w:szCs w:val="16"/>
        </w:rPr>
        <w:softHyphen/>
        <w:t>тами», хотя на первый взгляд таковыми их назвать было трудно. Неработающие ПВРД дали снижение скорости на высоте 2340 м на 34 км/ч (с 494 до 460 км/ч), а прирост от их включения по сравнению с самоле</w:t>
      </w:r>
      <w:r w:rsidRPr="00070ADE">
        <w:rPr>
          <w:rFonts w:ascii="Times New Roman" w:hAnsi="Times New Roman" w:cs="Times New Roman"/>
          <w:color w:val="000000" w:themeColor="text1"/>
          <w:sz w:val="16"/>
          <w:szCs w:val="16"/>
        </w:rPr>
        <w:softHyphen/>
        <w:t>том без ПВРД был лишь 19 км/ч - с 494 до 513 км/ч. Максимальные скорости этого самолета с неработающими ПВРД оказа</w:t>
      </w:r>
      <w:r w:rsidRPr="00070ADE">
        <w:rPr>
          <w:rFonts w:ascii="Times New Roman" w:hAnsi="Times New Roman" w:cs="Times New Roman"/>
          <w:color w:val="000000" w:themeColor="text1"/>
          <w:sz w:val="16"/>
          <w:szCs w:val="16"/>
        </w:rPr>
        <w:softHyphen/>
        <w:t>лись на 70-80 км/ч ниже, чем у серийного Як-7Б нормального качества изготовления, что объяснялось как недостатками этого конкретного экземпляра машины, так и большими размерами ПВРД - ДМ-4с имел диаметр 500 мм, что увеличивало мидель самолета более чем на 30%.</w:t>
      </w:r>
    </w:p>
    <w:p w14:paraId="147ACC75" w14:textId="77777777" w:rsidR="00962976" w:rsidRPr="00070ADE" w:rsidRDefault="00962976"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Из-за нештатной работы бензонасоса БНК-10Ф расход топлива был 22 кг/мин вместо номинального значения 24 кг/мин, но суммарная тяга двигателей оказалась меньше явно непропорционально этой потере - он+а должна была быть 300 кгс, а получили лишь 158.</w:t>
      </w:r>
    </w:p>
    <w:p w14:paraId="460254E8" w14:textId="77777777" w:rsidR="00962976" w:rsidRPr="00070ADE" w:rsidRDefault="00962976"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Это могло быть связано как с недостат</w:t>
      </w:r>
      <w:r w:rsidRPr="00070ADE">
        <w:rPr>
          <w:rFonts w:ascii="Times New Roman" w:hAnsi="Times New Roman" w:cs="Times New Roman"/>
          <w:color w:val="000000" w:themeColor="text1"/>
          <w:sz w:val="16"/>
          <w:szCs w:val="16"/>
        </w:rPr>
        <w:softHyphen/>
        <w:t>ками самих двигателей, так и с тем, что их испытания велись на пониженных скоро</w:t>
      </w:r>
      <w:r w:rsidRPr="00070ADE">
        <w:rPr>
          <w:rFonts w:ascii="Times New Roman" w:hAnsi="Times New Roman" w:cs="Times New Roman"/>
          <w:color w:val="000000" w:themeColor="text1"/>
          <w:sz w:val="16"/>
          <w:szCs w:val="16"/>
        </w:rPr>
        <w:softHyphen/>
        <w:t>стях и скоростных напорах. Но выводы все же были оптимистичны.</w:t>
      </w:r>
    </w:p>
    <w:p w14:paraId="62802F28" w14:textId="77777777" w:rsidR="00962976" w:rsidRPr="00070ADE" w:rsidRDefault="00962976"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Во-первых, в отчете появилась столь желанная для КБ Меркулова фраза, что ПВРД работоспособны и могут быть при</w:t>
      </w:r>
      <w:r w:rsidRPr="00070ADE">
        <w:rPr>
          <w:rFonts w:ascii="Times New Roman" w:hAnsi="Times New Roman" w:cs="Times New Roman"/>
          <w:color w:val="000000" w:themeColor="text1"/>
          <w:sz w:val="16"/>
          <w:szCs w:val="16"/>
        </w:rPr>
        <w:softHyphen/>
        <w:t>менены на самолетах-истребителях в качестве ускорителя, что они просты в изготовлении и обслуживании, поставить их на истребитель можно даже в поле</w:t>
      </w:r>
      <w:r w:rsidRPr="00070ADE">
        <w:rPr>
          <w:rFonts w:ascii="Times New Roman" w:hAnsi="Times New Roman" w:cs="Times New Roman"/>
          <w:color w:val="000000" w:themeColor="text1"/>
          <w:sz w:val="16"/>
          <w:szCs w:val="16"/>
        </w:rPr>
        <w:softHyphen/>
        <w:t>вых условиях. Во-вторых, была выражена надежда на больший прирост скорости и высотности - достаточный для перехвата любого самолета противника. Далее было отмечено, что хотя радиус действия са</w:t>
      </w:r>
      <w:r w:rsidRPr="00070ADE">
        <w:rPr>
          <w:rFonts w:ascii="Times New Roman" w:hAnsi="Times New Roman" w:cs="Times New Roman"/>
          <w:color w:val="000000" w:themeColor="text1"/>
          <w:sz w:val="16"/>
          <w:szCs w:val="16"/>
        </w:rPr>
        <w:softHyphen/>
        <w:t>молета с ПВРД существенно сокращается из-за большого расхода топлива и увели</w:t>
      </w:r>
      <w:r w:rsidRPr="00070ADE">
        <w:rPr>
          <w:rFonts w:ascii="Times New Roman" w:hAnsi="Times New Roman" w:cs="Times New Roman"/>
          <w:color w:val="000000" w:themeColor="text1"/>
          <w:sz w:val="16"/>
          <w:szCs w:val="16"/>
        </w:rPr>
        <w:softHyphen/>
        <w:t>чения аэродинамического сопротивления, но такие самолеты использовать для при</w:t>
      </w:r>
      <w:r w:rsidRPr="00070ADE">
        <w:rPr>
          <w:rFonts w:ascii="Times New Roman" w:hAnsi="Times New Roman" w:cs="Times New Roman"/>
          <w:color w:val="000000" w:themeColor="text1"/>
          <w:sz w:val="16"/>
          <w:szCs w:val="16"/>
        </w:rPr>
        <w:softHyphen/>
        <w:t>крытия важных объектов целесообразно. Однако моделирование возможных такти</w:t>
      </w:r>
      <w:r w:rsidRPr="00070ADE">
        <w:rPr>
          <w:rFonts w:ascii="Times New Roman" w:hAnsi="Times New Roman" w:cs="Times New Roman"/>
          <w:color w:val="000000" w:themeColor="text1"/>
          <w:sz w:val="16"/>
          <w:szCs w:val="16"/>
        </w:rPr>
        <w:softHyphen/>
        <w:t>ческих ситуаций было проведено не для задач ПВО, а исходя из действий авиа</w:t>
      </w:r>
      <w:r w:rsidRPr="00070ADE">
        <w:rPr>
          <w:rFonts w:ascii="Times New Roman" w:hAnsi="Times New Roman" w:cs="Times New Roman"/>
          <w:color w:val="000000" w:themeColor="text1"/>
          <w:sz w:val="16"/>
          <w:szCs w:val="16"/>
        </w:rPr>
        <w:softHyphen/>
        <w:t>ции фронтовой. Было сказано, что с уве</w:t>
      </w:r>
      <w:r w:rsidRPr="00070ADE">
        <w:rPr>
          <w:rFonts w:ascii="Times New Roman" w:hAnsi="Times New Roman" w:cs="Times New Roman"/>
          <w:color w:val="000000" w:themeColor="text1"/>
          <w:sz w:val="16"/>
          <w:szCs w:val="16"/>
        </w:rPr>
        <w:softHyphen/>
        <w:t>личением расхода топлива до 30 кг/мин добавка скорости составит до 130 км/ч и тогда для догона появившегося на пре</w:t>
      </w:r>
      <w:r w:rsidRPr="00070ADE">
        <w:rPr>
          <w:rFonts w:ascii="Times New Roman" w:hAnsi="Times New Roman" w:cs="Times New Roman"/>
          <w:color w:val="000000" w:themeColor="text1"/>
          <w:sz w:val="16"/>
          <w:szCs w:val="16"/>
        </w:rPr>
        <w:softHyphen/>
        <w:t>деле видимости истребителя противника над будет не более 3 мин, а для выхода из зоны действия его эффективного огня на дистанцию свыше 500 м - до 15 с при технической возможности использования ПВРД в течение 5-6 мин.</w:t>
      </w:r>
    </w:p>
    <w:p w14:paraId="6A9DFA6E" w14:textId="77777777" w:rsidR="00962976" w:rsidRPr="00070ADE" w:rsidRDefault="00962976"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Меркулов выразил уверенность, что сможет не только довести тягу своих дви</w:t>
      </w:r>
      <w:r w:rsidRPr="00070ADE">
        <w:rPr>
          <w:rFonts w:ascii="Times New Roman" w:hAnsi="Times New Roman" w:cs="Times New Roman"/>
          <w:color w:val="000000" w:themeColor="text1"/>
          <w:sz w:val="16"/>
          <w:szCs w:val="16"/>
        </w:rPr>
        <w:softHyphen/>
        <w:t>гателей до заданных 150 кгс, но и снизить их массу с 45 до 15-18 кг.</w:t>
      </w:r>
    </w:p>
    <w:p w14:paraId="499D3330" w14:textId="77777777" w:rsidR="00962976" w:rsidRPr="00070ADE" w:rsidRDefault="00962976"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Специалисты ЛИИ провели оценку возможных выгод от ПВРД, определив, что наилучшие результаты дает установка двух ДМ в хвосте - тогда скорость Як-7 на одном моторе М-105ПФ на границе вы</w:t>
      </w:r>
      <w:r w:rsidRPr="00070ADE">
        <w:rPr>
          <w:rFonts w:ascii="Times New Roman" w:hAnsi="Times New Roman" w:cs="Times New Roman"/>
          <w:color w:val="000000" w:themeColor="text1"/>
          <w:sz w:val="16"/>
          <w:szCs w:val="16"/>
        </w:rPr>
        <w:softHyphen/>
        <w:t>сотности сохранится на уровне 600 км/ч, а после их включения возрастет до 800 км/ч.</w:t>
      </w:r>
    </w:p>
    <w:p w14:paraId="2EC1A17D" w14:textId="77777777" w:rsidR="00962976" w:rsidRPr="00070ADE" w:rsidRDefault="00962976" w:rsidP="00B56F90">
      <w:pPr>
        <w:pStyle w:val="Bodytext1"/>
        <w:shd w:val="clear" w:color="auto" w:fill="auto"/>
        <w:spacing w:line="240" w:lineRule="auto"/>
        <w:ind w:firstLine="0"/>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Яковлев выполнил проект доработки Як-7 установкой двух ДМ-4с в полевых условиях, что он рассматривал как пер</w:t>
      </w:r>
      <w:r w:rsidRPr="00070ADE">
        <w:rPr>
          <w:rFonts w:ascii="Times New Roman" w:hAnsi="Times New Roman" w:cs="Times New Roman"/>
          <w:color w:val="000000" w:themeColor="text1"/>
          <w:sz w:val="16"/>
          <w:szCs w:val="16"/>
        </w:rPr>
        <w:softHyphen/>
        <w:t>вый ответ на появление у противника большого числа реактивных истребите</w:t>
      </w:r>
      <w:r w:rsidRPr="00070ADE">
        <w:rPr>
          <w:rFonts w:ascii="Times New Roman" w:hAnsi="Times New Roman" w:cs="Times New Roman"/>
          <w:color w:val="000000" w:themeColor="text1"/>
          <w:sz w:val="16"/>
          <w:szCs w:val="16"/>
        </w:rPr>
        <w:softHyphen/>
        <w:t>лей до появления своих таких самолетов в серийном производстве. Но разработку Як-7Р он прекратил (17742).</w:t>
      </w:r>
    </w:p>
    <w:p w14:paraId="555D0536" w14:textId="77777777" w:rsidR="00962976" w:rsidRPr="00070ADE" w:rsidRDefault="00962976" w:rsidP="00B56F90">
      <w:pPr>
        <w:spacing w:after="0" w:line="240" w:lineRule="auto"/>
        <w:jc w:val="both"/>
        <w:rPr>
          <w:rFonts w:ascii="Times New Roman" w:hAnsi="Times New Roman"/>
          <w:color w:val="000000" w:themeColor="text1"/>
          <w:sz w:val="16"/>
          <w:szCs w:val="16"/>
        </w:rPr>
      </w:pPr>
    </w:p>
    <w:p w14:paraId="6C9DC9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г. ведущий летчик С.Н. Анохин выполнил первый полет на Як-7Б с 2хД-4МС с включением "прямоточников". Испытания показали, что максимальная скорость полета Як-7Б с неработающими двигателями Д-4МС у земли составила 460 км/ч, в то время как без подвешенных под крылом ПВРД она достигала 494 км/ч. С работающими Д-4МС скорость машины у земли возрастала до 513 км/ч, то есть всего на 19 км/ч больше по сравнению с "нормальным" Як-7Б. С увеличением высоты выигрыш в скорости должен был заметно возрасти. Кроме того, конструктор двигателей Меркулов предлагал повысить расход топлива до 30 кг/мин, тогда на расчетной высоте 6000…7000 м самолет имел бы максимальную скорость порядка 635…640 км/ч. Напомним однако, что в указанный период времени у серийного Як-3 с поршневым двигателем ВК-105ПФ2 максимальная скорость на высоте 4100 м составляла 646 км/ч… Таким образом, меркуловские ПВРД не давали особых преимуществ истребителю с подобной комбинированной силовой установкой (11407).</w:t>
      </w:r>
    </w:p>
    <w:p w14:paraId="7C4528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42213A6"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15 мая в 1944 году первое включение в полете дополнительных ПВРД на самолете </w:t>
      </w:r>
      <w:hyperlink r:id="rId129" w:tgtFrame="_blank" w:history="1">
        <w:r w:rsidRPr="00070ADE">
          <w:rPr>
            <w:rFonts w:ascii="Times New Roman" w:hAnsi="Times New Roman"/>
            <w:color w:val="000000" w:themeColor="text1"/>
            <w:sz w:val="16"/>
            <w:szCs w:val="16"/>
          </w:rPr>
          <w:t xml:space="preserve">«Як-7Б», </w:t>
        </w:r>
      </w:hyperlink>
      <w:r w:rsidRPr="00070ADE">
        <w:rPr>
          <w:rFonts w:ascii="Times New Roman" w:hAnsi="Times New Roman"/>
          <w:color w:val="000000" w:themeColor="text1"/>
          <w:sz w:val="16"/>
          <w:szCs w:val="16"/>
        </w:rPr>
        <w:t>С.Н.Анохин. Истребитель «Як-7Б» был оснащен двигателем "М-105ПФ" с мощностью от 1180 до 1260 л.с. Взлетная масса составляла 3010 кг. Вооружение - 20-миллиметровая пушка и два пулемета калибра 12,7 м (14892).</w:t>
      </w:r>
    </w:p>
    <w:p w14:paraId="2A5872B1" w14:textId="77777777" w:rsidR="004B3F09" w:rsidRPr="00070ADE" w:rsidRDefault="004B3F09" w:rsidP="00B56F90">
      <w:pPr>
        <w:spacing w:after="0" w:line="240" w:lineRule="auto"/>
        <w:jc w:val="both"/>
        <w:rPr>
          <w:rFonts w:ascii="Times New Roman" w:hAnsi="Times New Roman"/>
          <w:color w:val="000000" w:themeColor="text1"/>
          <w:sz w:val="16"/>
          <w:szCs w:val="16"/>
        </w:rPr>
      </w:pPr>
    </w:p>
    <w:p w14:paraId="276E9BDF"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15 мая 1944 г. состоялся первый полет с включенными ПВРД ДМ-4С Як-7Б М-105ПФ. Самолетом управлял ведущий летчик-испытатель ЛИИ С.Н. Анохин. Двигатели ДМ-4С запускались на высотах до 5000 м. Конструкция ДМ-4С позволяла производить останов</w:t>
      </w:r>
      <w:r w:rsidRPr="00C94B78">
        <w:rPr>
          <w:rFonts w:ascii="Times New Roman" w:hAnsi="Times New Roman"/>
          <w:color w:val="0070C0"/>
          <w:sz w:val="16"/>
          <w:szCs w:val="16"/>
        </w:rPr>
        <w:softHyphen/>
        <w:t>ки и последующие запуски двигателей в полете. Эксплуата</w:t>
      </w:r>
      <w:r w:rsidRPr="00C94B78">
        <w:rPr>
          <w:rFonts w:ascii="Times New Roman" w:hAnsi="Times New Roman"/>
          <w:color w:val="0070C0"/>
          <w:sz w:val="16"/>
          <w:szCs w:val="16"/>
        </w:rPr>
        <w:softHyphen/>
        <w:t>ция ДМ-4С была простой. Управление двигателями в полете затруднений не вызывала. Двигатели работали на бензине из тех же баков, что и основной двигатель.</w:t>
      </w:r>
    </w:p>
    <w:p w14:paraId="595E8384"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Была достигнута равномерная работа обоих двигателей. После проведения этого этапа летных испытаний предполага</w:t>
      </w:r>
      <w:r w:rsidRPr="00C94B78">
        <w:rPr>
          <w:rFonts w:ascii="Times New Roman" w:hAnsi="Times New Roman"/>
          <w:color w:val="0070C0"/>
          <w:sz w:val="16"/>
          <w:szCs w:val="16"/>
        </w:rPr>
        <w:softHyphen/>
        <w:t>лось снять подробные тяговые характеристики при различных параметрах конструкции двигателя и дальнейшем его совер</w:t>
      </w:r>
      <w:r w:rsidRPr="00C94B78">
        <w:rPr>
          <w:rFonts w:ascii="Times New Roman" w:hAnsi="Times New Roman"/>
          <w:color w:val="0070C0"/>
          <w:sz w:val="16"/>
          <w:szCs w:val="16"/>
        </w:rPr>
        <w:softHyphen/>
        <w:t>шенствовании. Поэтому запуск ПВРД и другие задачи перво</w:t>
      </w:r>
      <w:r w:rsidRPr="00C94B78">
        <w:rPr>
          <w:rFonts w:ascii="Times New Roman" w:hAnsi="Times New Roman"/>
          <w:color w:val="0070C0"/>
          <w:sz w:val="16"/>
          <w:szCs w:val="16"/>
        </w:rPr>
        <w:softHyphen/>
        <w:t>го этапа испытаний отрабатывались с произвольными агрегатами и параметрами двигателя, а не с теми, которые на осно</w:t>
      </w:r>
      <w:r w:rsidRPr="00C94B78">
        <w:rPr>
          <w:rFonts w:ascii="Times New Roman" w:hAnsi="Times New Roman"/>
          <w:color w:val="0070C0"/>
          <w:sz w:val="16"/>
          <w:szCs w:val="16"/>
        </w:rPr>
        <w:softHyphen/>
        <w:t>вании теоретических расчетов и исследований в трубе представлялись оптимальными. Однако после выполнения первого этапа, летные испытания были прекращены по мотивам боль</w:t>
      </w:r>
      <w:r w:rsidRPr="00C94B78">
        <w:rPr>
          <w:rFonts w:ascii="Times New Roman" w:hAnsi="Times New Roman"/>
          <w:color w:val="0070C0"/>
          <w:sz w:val="16"/>
          <w:szCs w:val="16"/>
        </w:rPr>
        <w:softHyphen/>
        <w:t>шого расхода бензина на работу ДМ-4С.</w:t>
      </w:r>
    </w:p>
    <w:p w14:paraId="19E84010"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Максимальная горизонтальная скорость самолета при нера</w:t>
      </w:r>
      <w:r w:rsidRPr="00C94B78">
        <w:rPr>
          <w:rFonts w:ascii="Times New Roman" w:hAnsi="Times New Roman"/>
          <w:color w:val="0070C0"/>
          <w:sz w:val="16"/>
          <w:szCs w:val="16"/>
        </w:rPr>
        <w:softHyphen/>
        <w:t xml:space="preserve">ботающих ДМ-4С из-за их лобового сопротивления уменьшилась до 460 против 494 км/ч у Як-7Б </w:t>
      </w:r>
      <w:r w:rsidRPr="00C94B78">
        <w:rPr>
          <w:rFonts w:ascii="Times New Roman" w:hAnsi="Times New Roman"/>
          <w:i/>
          <w:iCs/>
          <w:color w:val="0070C0"/>
          <w:sz w:val="16"/>
          <w:szCs w:val="16"/>
        </w:rPr>
        <w:t>№</w:t>
      </w:r>
      <w:r w:rsidRPr="00C94B78">
        <w:rPr>
          <w:rFonts w:ascii="Times New Roman" w:hAnsi="Times New Roman"/>
          <w:color w:val="0070C0"/>
          <w:sz w:val="16"/>
          <w:szCs w:val="16"/>
        </w:rPr>
        <w:t xml:space="preserve"> 803 без ДМ-4С. При работе ДМ-4С на высоте 2340 м максимальная горизонтальная скорость увеличивалась до 513 км/ч, т.е. на 53 км/ч, но она была лишь на 19 км/ч больше, чем скорость исходного Як*7Б. При оценке этого результата следует учесть, что оба ПВРД были подвешены под крыльями без зализов или обтекателей, и что при такой под</w:t>
      </w:r>
      <w:r w:rsidRPr="00C94B78">
        <w:rPr>
          <w:rFonts w:ascii="Times New Roman" w:hAnsi="Times New Roman"/>
          <w:color w:val="0070C0"/>
          <w:sz w:val="16"/>
          <w:szCs w:val="16"/>
        </w:rPr>
        <w:softHyphen/>
        <w:t>веске была весьма велика интерференция двигателя и крыла (24920).</w:t>
      </w:r>
    </w:p>
    <w:p w14:paraId="7DEE68DF" w14:textId="77777777" w:rsidR="00982F71" w:rsidRPr="00C94B78" w:rsidRDefault="00982F71" w:rsidP="00B56F90">
      <w:pPr>
        <w:spacing w:after="0" w:line="240" w:lineRule="auto"/>
        <w:jc w:val="both"/>
        <w:rPr>
          <w:rFonts w:ascii="Times New Roman" w:hAnsi="Times New Roman"/>
          <w:color w:val="0070C0"/>
          <w:sz w:val="16"/>
          <w:szCs w:val="16"/>
        </w:rPr>
      </w:pPr>
    </w:p>
    <w:p w14:paraId="3E3A22A8"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15 мая 1944 года состоялся первый полет Як</w:t>
      </w:r>
      <w:r w:rsidRPr="00C94B78">
        <w:rPr>
          <w:rFonts w:ascii="Times New Roman" w:hAnsi="Times New Roman"/>
          <w:color w:val="0070C0"/>
          <w:sz w:val="16"/>
          <w:szCs w:val="16"/>
        </w:rPr>
        <w:noBreakHyphen/>
        <w:t>7Б с дополнительными двигателями ДМ</w:t>
      </w:r>
      <w:r w:rsidRPr="00C94B78">
        <w:rPr>
          <w:rFonts w:ascii="Times New Roman" w:hAnsi="Times New Roman"/>
          <w:color w:val="0070C0"/>
          <w:sz w:val="16"/>
          <w:szCs w:val="16"/>
        </w:rPr>
        <w:noBreakHyphen/>
        <w:t>4С.</w:t>
      </w:r>
    </w:p>
    <w:p w14:paraId="57505362"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Як</w:t>
      </w:r>
      <w:r w:rsidRPr="00C94B78">
        <w:rPr>
          <w:rFonts w:ascii="Times New Roman" w:hAnsi="Times New Roman"/>
          <w:color w:val="0070C0"/>
          <w:sz w:val="16"/>
          <w:szCs w:val="16"/>
        </w:rPr>
        <w:noBreakHyphen/>
        <w:t>7Б с двигателем М</w:t>
      </w:r>
      <w:r w:rsidRPr="00C94B78">
        <w:rPr>
          <w:rFonts w:ascii="Times New Roman" w:hAnsi="Times New Roman"/>
          <w:color w:val="0070C0"/>
          <w:sz w:val="16"/>
          <w:szCs w:val="16"/>
        </w:rPr>
        <w:noBreakHyphen/>
        <w:t>105 ПФ и двумя установленными ускорителями (не работавшими) достиг скорости 460 км/час, то есть на 35 км/час меньше чем машина без этих устройств. Прирост скорости с работающими ДМ</w:t>
      </w:r>
      <w:r w:rsidRPr="00C94B78">
        <w:rPr>
          <w:rFonts w:ascii="Times New Roman" w:hAnsi="Times New Roman"/>
          <w:color w:val="0070C0"/>
          <w:sz w:val="16"/>
          <w:szCs w:val="16"/>
        </w:rPr>
        <w:noBreakHyphen/>
        <w:t>4С составил 53 км/час, но из</w:t>
      </w:r>
      <w:r w:rsidRPr="00C94B78">
        <w:rPr>
          <w:rFonts w:ascii="Times New Roman" w:hAnsi="Times New Roman"/>
          <w:color w:val="0070C0"/>
          <w:sz w:val="16"/>
          <w:szCs w:val="16"/>
        </w:rPr>
        <w:noBreakHyphen/>
        <w:t>за их большого лобового сопротивления самолет летал только на 19 км/час быстрее, чем обычный Як</w:t>
      </w:r>
      <w:r w:rsidRPr="00C94B78">
        <w:rPr>
          <w:rFonts w:ascii="Times New Roman" w:hAnsi="Times New Roman"/>
          <w:color w:val="0070C0"/>
          <w:sz w:val="16"/>
          <w:szCs w:val="16"/>
        </w:rPr>
        <w:noBreakHyphen/>
        <w:t>7.</w:t>
      </w:r>
    </w:p>
    <w:p w14:paraId="3F9BB3F6"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Однако если бы удалось увеличить скорость сгорания топлива в ускорителях с 22 до 30 кг в минуту, то «семерка» могла бы летать со скоростью 600 км/час.</w:t>
      </w:r>
    </w:p>
    <w:p w14:paraId="5353CAA5"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Установка ДМ</w:t>
      </w:r>
      <w:r w:rsidRPr="00C94B78">
        <w:rPr>
          <w:rFonts w:ascii="Times New Roman" w:hAnsi="Times New Roman"/>
          <w:color w:val="0070C0"/>
          <w:sz w:val="16"/>
          <w:szCs w:val="16"/>
        </w:rPr>
        <w:noBreakHyphen/>
        <w:t>4С на истребитель была настолько простой, что ее можно было производить в полевых условиях. Командование ВВС создало запас ускорителей и хотя не известно о случаях использования их в воздушных боях, но они имелись на складах готовые к применению.</w:t>
      </w:r>
    </w:p>
    <w:p w14:paraId="5091F375"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идее использования двигателей ДМ</w:t>
      </w:r>
      <w:r w:rsidRPr="00C94B78">
        <w:rPr>
          <w:rFonts w:ascii="Times New Roman" w:hAnsi="Times New Roman"/>
          <w:color w:val="0070C0"/>
          <w:sz w:val="16"/>
          <w:szCs w:val="16"/>
        </w:rPr>
        <w:noBreakHyphen/>
        <w:t>4С вернулись в проекте самолета, получившего обозначение Як</w:t>
      </w:r>
      <w:r w:rsidRPr="00C94B78">
        <w:rPr>
          <w:rFonts w:ascii="Times New Roman" w:hAnsi="Times New Roman"/>
          <w:color w:val="0070C0"/>
          <w:sz w:val="16"/>
          <w:szCs w:val="16"/>
        </w:rPr>
        <w:noBreakHyphen/>
        <w:t>7Р. На нем должны были быть установлены два таких двигателя под крыльями, а так же один ракетный двигатель Д</w:t>
      </w:r>
      <w:r w:rsidRPr="00C94B78">
        <w:rPr>
          <w:rFonts w:ascii="Times New Roman" w:hAnsi="Times New Roman"/>
          <w:color w:val="0070C0"/>
          <w:sz w:val="16"/>
          <w:szCs w:val="16"/>
        </w:rPr>
        <w:noBreakHyphen/>
        <w:t>1Д в хвосте. Проектирование самолета было закончено в конце августа 1942 года, и если бы исполнились все «ежели» да «кабы», то этот самолет достиг бы скорости 800 км/час. Но этот проект не пошел дальше конструкторской доски, а быстрое развитие реактивных двигателей вообще сделало такого типа разработки ненужными (25076).</w:t>
      </w:r>
    </w:p>
    <w:p w14:paraId="0A35AF57" w14:textId="77777777" w:rsidR="00982F71" w:rsidRPr="00C94B78" w:rsidRDefault="00982F71" w:rsidP="00B56F90">
      <w:pPr>
        <w:spacing w:after="0" w:line="240" w:lineRule="auto"/>
        <w:jc w:val="both"/>
        <w:rPr>
          <w:rFonts w:ascii="Times New Roman" w:hAnsi="Times New Roman"/>
          <w:color w:val="0070C0"/>
          <w:sz w:val="16"/>
          <w:szCs w:val="16"/>
        </w:rPr>
      </w:pPr>
    </w:p>
    <w:p w14:paraId="1E34AA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бригада НИИ ВВС (Ю.А.Антипов и А.Г.Прошаков и др.) закончила первый этап гос. испытаний Як-3-2 с ВК107А, которые начались 7 февраля 1944. После перерыва из-за поломки они были продолжены с 13 июля по 29 августа (65,187).</w:t>
      </w:r>
    </w:p>
    <w:p w14:paraId="6575EF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7A0B9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года закончимлся этап госиспытаний Як-3 ВК-107А №2, которые шли с 7 февраля 1944. Ведущими по машине были инженер Г.А. Седов, летчики Ю.А. Антипов и А.Г. Прошаков.</w:t>
      </w:r>
    </w:p>
    <w:p w14:paraId="7D1C28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февраля 1944 года предъявили в НИИ ВВС. 2 же февраля заводской пилот выполнил два полета на проверку работы винта ВИШ-107 (во время заводских испытаний была отмечена тряска винта на полных оборотах мотора). Характеристика винтомоторной группы осталась неизменной, и в НИИ ВВС самолет поступил с винтом АВ-10п-20. Эту машину 22 января 1944 года выкатили на аэродром. На самолете изначально, еще на стадии проектирования и постройки, применили все технические решения, ставшие основой для переделок первого опытного экземпляра машины. Радикальным изменениям подверглись только фонарь кабины пилота, которому придали более обтекаемую форму, и установка вооружения с двумя опытными синхронными пушками Б-20. При этом полетный вес второго прототипа по сравнению с предшественником практически не изменился - 2932 кг. Соответственно одинаковыми были и летные данные. Максимальная скорость у земли Як-3 ВК-107А № 1 до модификации была равной 611 км/ч, а у №2 - 610 км/ч (из-за неблагоприятных метеоусловий "Дублер" был облетан и проверен только на малых высотах). Заводские испытания, проведенные с 25 по 29 января 1944 года, показали, что основные дефекты, выявленные на первом прототипе, устранены и самолет может быть предъявлен на государственные испытания.</w:t>
      </w:r>
    </w:p>
    <w:p w14:paraId="3C3C46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несколько возросший полетный вес (как за счет установки нового винта, так и введения в крыло проти- вофлаттерных грузов), летные данные машины остались неизменными. При боевой мощности мотора (допускалось 3200 оборотов в минуту в течение получаса) максимальная скорость горизонтального полета на второй границе высотности мотора 5750 метров составила 720 км/ч (717 км/ч на высоте 6000 метров у первого прототипа). Если горизонтальная маневренность машины осталась на уровне серийных образцов Як-3, то на вертикалях самолету не стало равных среди отечественных и среди зарубежных истребителей. Достаточно сказать, что за боевой разворот второй опытный экземпляр Як-3 ВК-107А поднимался на 1400-1500 метров.</w:t>
      </w:r>
    </w:p>
    <w:p w14:paraId="6F63550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цель создания истребителя завоевания господства в воздухе можно было бы считать достигнутой, если бы не два обстоятельства. Первое из них - крайне ненадежная работа двигателя ВК- 107А. За время испытаний сменили три мотора из-за разрушения коренных подшипников. При назначенном ресурсе в 50 часов первые два двигателя 337-й и 347-й серий отработали лишь 15 часов 20 минут и 9 часов 20 минут соответственно. Третий мотор 347-й серии с назначенным ресурсом 100 часов, наработал с начала эксплуатации лишь четыре часа (!), из которых в воздухе - 40 минут. Четвертый двигатель успел наработать только 23 часа 34 минуты, прошел в процессе испытаний ремонт с заменой блока и тоже был снят по причине разрушения коренных подшипников. Сильная тряска на пониженных оборотах мотора при его дросселировании выше границы высотности, течь масла через переднее уплотнение редуктора, падение давления масла ниже допустимого на высотах более 8000 метров, перегрев воды и масла в наборе высоты при температуре наружного воздуха у земли +30°С, а в горизонтальном полете - при температуре + 15°С. В полетах отмечалось также самопроизвольное изменение наддува в наборе высоты выше установленных для мотора значений (1090 мм рт.ст. на первой и 1120 мм рт. ст. на второй границе высотности против разрешенных 1060 мм рт. ст.) не повлиявшего тем не менее на его нормальную работу.</w:t>
      </w:r>
    </w:p>
    <w:p w14:paraId="50C24DE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Следует заметить, что двигатель ВК- 107А, как и ВК-105ПФ2, работал на бензинах 4Б-78 и 1 Б-95 с октановыми числами 95 и 96.</w:t>
      </w:r>
    </w:p>
    <w:p w14:paraId="493284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Вторым существенным недостатком явилась неудовлетворительная работа опытных пушек Б-20 и низкая прочность их креплений (были использованы серийные узлы для пулеметов УБС).</w:t>
      </w:r>
    </w:p>
    <w:p w14:paraId="3209AC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своем заключении специалисты НИИ ВВС отметили необходимость доводки самолета, и прежде всего силовой установки, до внедрения его в серийное производство. В противном случае исключалась нормальная эксплуатация самолета с поддержанием необходимого уровня боеготовности в строевых частях. </w:t>
      </w:r>
    </w:p>
    <w:p w14:paraId="3823E0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Доводку второго прототипа завершили силами ОКБ и облетали 3 июля 1944 года. Однако на дополнительные государственные испытания, проходившие с 13 июля по 20 августа 1944 года, предъявили модифицированный по типу второй машины Як-3 ВК-107А№1. Принятыми мерами удалось устранить ряд дефектов. Однако основные недостатки: перегрев воды и масла, течь масла из переднего уплотнения редуктора мотора, большие нагрузки на ручку управления от элеронов и руля высоты, недостаточный противокапотажный угол (смещением кабины пилота добились увеличения противокапотажного угла с 19,5 до 23 градусов при требуемых ВВС 26 градусов) и недостаточная дальность радиопередачи с самолета остались неустраненными. Входе испытаний мотор417-й серии из-за ненадежной работы на высоте более 3000 метров заменили двигателем 427-й серии, который работал практически без перебоев, но выше 7700 метров давление топлива на нем падало ниже допустимого уровня.</w:t>
      </w:r>
    </w:p>
    <w:p w14:paraId="535F3F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моменту окончания испытаний опытного Як-3 В К- 107А еще только-только удалось наладить серийное производство его базовой модели с мотором ВК-105ПФ-2. Не меньшие трудности испытывали и заводы, приступившие к серийному выпуску Як-9У с ВК-107А. Поэтому решение о запуске новой модификации в серийное производство было отложено до конца года (12047).</w:t>
      </w:r>
    </w:p>
    <w:p w14:paraId="081252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4C401F0" w14:textId="77777777" w:rsidR="009F4CDA" w:rsidRPr="00070ADE" w:rsidRDefault="009F4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г. состо</w:t>
      </w:r>
      <w:r w:rsidRPr="00070ADE">
        <w:rPr>
          <w:rFonts w:ascii="Times New Roman" w:hAnsi="Times New Roman"/>
          <w:color w:val="000000" w:themeColor="text1"/>
          <w:sz w:val="16"/>
          <w:szCs w:val="16"/>
        </w:rPr>
        <w:softHyphen/>
        <w:t>ялся первый полет ИТП (М-2) АМ-39 по программе завод</w:t>
      </w:r>
      <w:r w:rsidRPr="00070ADE">
        <w:rPr>
          <w:rFonts w:ascii="Times New Roman" w:hAnsi="Times New Roman"/>
          <w:color w:val="000000" w:themeColor="text1"/>
          <w:sz w:val="16"/>
          <w:szCs w:val="16"/>
        </w:rPr>
        <w:softHyphen/>
        <w:t>ских испытаний после перерыва. При послеполетном осмотре в маслофильтре мотора была обнаружена стружка. Мотор вновь сняли и отправили на завод №300.</w:t>
      </w:r>
    </w:p>
    <w:p w14:paraId="0E8B1F7E" w14:textId="77777777" w:rsidR="009F4CDA" w:rsidRPr="00070ADE" w:rsidRDefault="009F4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докладу инженер-майора Шалагина на 20 мая «никаких даже ориентиро</w:t>
      </w:r>
      <w:r w:rsidRPr="00070ADE">
        <w:rPr>
          <w:rFonts w:ascii="Times New Roman" w:hAnsi="Times New Roman"/>
          <w:color w:val="000000" w:themeColor="text1"/>
          <w:sz w:val="16"/>
          <w:szCs w:val="16"/>
        </w:rPr>
        <w:softHyphen/>
        <w:t>вочных данных по самолету ИТП заводски</w:t>
      </w:r>
      <w:r w:rsidRPr="00070ADE">
        <w:rPr>
          <w:rFonts w:ascii="Times New Roman" w:hAnsi="Times New Roman"/>
          <w:color w:val="000000" w:themeColor="text1"/>
          <w:sz w:val="16"/>
          <w:szCs w:val="16"/>
        </w:rPr>
        <w:softHyphen/>
        <w:t>ми испытаниями не получено» (24308).</w:t>
      </w:r>
    </w:p>
    <w:p w14:paraId="0A43ED4F" w14:textId="77777777" w:rsidR="009F4CDA" w:rsidRPr="00070ADE" w:rsidRDefault="009F4CDA" w:rsidP="00B56F90">
      <w:pPr>
        <w:spacing w:after="0" w:line="240" w:lineRule="auto"/>
        <w:jc w:val="both"/>
        <w:rPr>
          <w:rFonts w:ascii="Times New Roman" w:hAnsi="Times New Roman"/>
          <w:color w:val="000000" w:themeColor="text1"/>
          <w:sz w:val="16"/>
          <w:szCs w:val="16"/>
        </w:rPr>
      </w:pPr>
    </w:p>
    <w:p w14:paraId="41F4FBE1" w14:textId="77777777" w:rsidR="008B0844" w:rsidRPr="00070ADE" w:rsidRDefault="008B084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года в НИИ ВВС был разбит единственный экземпляр знаменитого английского скоростного бомбардировщика «Москито» с заводским номером DK 296, проходившего испытания в нашей стране в НИИ ВВС (19655).</w:t>
      </w:r>
    </w:p>
    <w:p w14:paraId="6E6FC3B9" w14:textId="77777777" w:rsidR="008B0844" w:rsidRPr="00070ADE" w:rsidRDefault="008B0844" w:rsidP="00B56F90">
      <w:pPr>
        <w:spacing w:after="0" w:line="240" w:lineRule="auto"/>
        <w:jc w:val="both"/>
        <w:rPr>
          <w:rFonts w:ascii="Times New Roman" w:hAnsi="Times New Roman"/>
          <w:color w:val="000000" w:themeColor="text1"/>
          <w:sz w:val="16"/>
          <w:szCs w:val="16"/>
        </w:rPr>
      </w:pPr>
    </w:p>
    <w:p w14:paraId="39693489" w14:textId="77777777" w:rsidR="009F4CDA" w:rsidRPr="00070ADE" w:rsidRDefault="009F4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г. Кабанов со штурманом П.И. Переваловым на борту перегонял «Москито» на аэродром НИИ ВВС, где со</w:t>
      </w:r>
      <w:r w:rsidRPr="00070ADE">
        <w:rPr>
          <w:rFonts w:ascii="Times New Roman" w:hAnsi="Times New Roman"/>
          <w:color w:val="000000" w:themeColor="text1"/>
          <w:sz w:val="16"/>
          <w:szCs w:val="16"/>
        </w:rPr>
        <w:softHyphen/>
        <w:t>бирались продолжить испытания. Но на посадке летчик не справился с управлени</w:t>
      </w:r>
      <w:r w:rsidRPr="00070ADE">
        <w:rPr>
          <w:rFonts w:ascii="Times New Roman" w:hAnsi="Times New Roman"/>
          <w:color w:val="000000" w:themeColor="text1"/>
          <w:sz w:val="16"/>
          <w:szCs w:val="16"/>
        </w:rPr>
        <w:softHyphen/>
        <w:t>ем, бомбардировщик развернулся влево, сошел с полосы на грунт, снес шасси и по</w:t>
      </w:r>
      <w:r w:rsidRPr="00070ADE">
        <w:rPr>
          <w:rFonts w:ascii="Times New Roman" w:hAnsi="Times New Roman"/>
          <w:color w:val="000000" w:themeColor="text1"/>
          <w:sz w:val="16"/>
          <w:szCs w:val="16"/>
        </w:rPr>
        <w:softHyphen/>
        <w:t>полз на «брюхе». Экипаж не пострадал, но машина была безнадежно повреждена и более не восстанавливалась.</w:t>
      </w:r>
    </w:p>
    <w:p w14:paraId="14113401" w14:textId="77777777" w:rsidR="009F4CDA" w:rsidRPr="00070ADE" w:rsidRDefault="009F4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Тщательное изучение конструкции «Москито» преследовало цель определе</w:t>
      </w:r>
      <w:r w:rsidRPr="00070ADE">
        <w:rPr>
          <w:rFonts w:ascii="Times New Roman" w:hAnsi="Times New Roman"/>
          <w:color w:val="000000" w:themeColor="text1"/>
          <w:sz w:val="16"/>
          <w:szCs w:val="16"/>
        </w:rPr>
        <w:softHyphen/>
        <w:t>ния возможности его лицензионной по</w:t>
      </w:r>
      <w:r w:rsidRPr="00070ADE">
        <w:rPr>
          <w:rFonts w:ascii="Times New Roman" w:hAnsi="Times New Roman"/>
          <w:color w:val="000000" w:themeColor="text1"/>
          <w:sz w:val="16"/>
          <w:szCs w:val="16"/>
        </w:rPr>
        <w:softHyphen/>
        <w:t>стройки в СССР. Этот вопрос поднимался еще на заседании ГКО 21 апреля 1944 г., практически сразу после прибытия ма</w:t>
      </w:r>
      <w:r w:rsidRPr="00070ADE">
        <w:rPr>
          <w:rFonts w:ascii="Times New Roman" w:hAnsi="Times New Roman"/>
          <w:color w:val="000000" w:themeColor="text1"/>
          <w:sz w:val="16"/>
          <w:szCs w:val="16"/>
        </w:rPr>
        <w:softHyphen/>
        <w:t>шины в нашу страну. По своим летным данным английский бомбардировщик несколько превосходил отечественные Пе-2 и Ту-2, особенно на больших высо</w:t>
      </w:r>
      <w:r w:rsidRPr="00070ADE">
        <w:rPr>
          <w:rFonts w:ascii="Times New Roman" w:hAnsi="Times New Roman"/>
          <w:color w:val="000000" w:themeColor="text1"/>
          <w:sz w:val="16"/>
          <w:szCs w:val="16"/>
        </w:rPr>
        <w:softHyphen/>
        <w:t>тах. Его планер изготавливался целиком из дерева, как у многих советских самоле</w:t>
      </w:r>
      <w:r w:rsidRPr="00070ADE">
        <w:rPr>
          <w:rFonts w:ascii="Times New Roman" w:hAnsi="Times New Roman"/>
          <w:color w:val="000000" w:themeColor="text1"/>
          <w:sz w:val="16"/>
          <w:szCs w:val="16"/>
        </w:rPr>
        <w:softHyphen/>
        <w:t>тов. Технология производства деревянных конструкций у нас была хорошо отлажена.</w:t>
      </w:r>
    </w:p>
    <w:p w14:paraId="7304C1BC" w14:textId="77777777" w:rsidR="009F4CDA" w:rsidRPr="00070ADE" w:rsidRDefault="009F4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по заключению специалистов ЦАГИ, сама конструкция и аэродинами</w:t>
      </w:r>
      <w:r w:rsidRPr="00070ADE">
        <w:rPr>
          <w:rFonts w:ascii="Times New Roman" w:hAnsi="Times New Roman"/>
          <w:color w:val="000000" w:themeColor="text1"/>
          <w:sz w:val="16"/>
          <w:szCs w:val="16"/>
        </w:rPr>
        <w:softHyphen/>
        <w:t>ка самолета не демонстрировали ничего принципиально нового. Все это было уже известно. Высокие данные обеспечивались в первую очередь тщательным изготовле</w:t>
      </w:r>
      <w:r w:rsidRPr="00070ADE">
        <w:rPr>
          <w:rFonts w:ascii="Times New Roman" w:hAnsi="Times New Roman"/>
          <w:color w:val="000000" w:themeColor="text1"/>
          <w:sz w:val="16"/>
          <w:szCs w:val="16"/>
        </w:rPr>
        <w:softHyphen/>
        <w:t>нием (включая полировку поверхностей), применением в обшивке легкой и прочной трехслойной конструкции типа «сэндвич» с внутренним слоем из бальсы и отличны</w:t>
      </w:r>
      <w:r w:rsidRPr="00070ADE">
        <w:rPr>
          <w:rFonts w:ascii="Times New Roman" w:hAnsi="Times New Roman"/>
          <w:color w:val="000000" w:themeColor="text1"/>
          <w:sz w:val="16"/>
          <w:szCs w:val="16"/>
        </w:rPr>
        <w:softHyphen/>
        <w:t>ми моторами «Мерлин». Два последних обстоятельства напрочь хоронили затею с производством «Москито» в СССР.</w:t>
      </w:r>
    </w:p>
    <w:p w14:paraId="18892C0E" w14:textId="77777777" w:rsidR="009F4CDA" w:rsidRPr="00070ADE" w:rsidRDefault="009F4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Обеспечить ввоз бальсы в больших ко</w:t>
      </w:r>
      <w:r w:rsidRPr="00070ADE">
        <w:rPr>
          <w:rFonts w:ascii="Times New Roman" w:hAnsi="Times New Roman"/>
          <w:color w:val="000000" w:themeColor="text1"/>
          <w:sz w:val="16"/>
          <w:szCs w:val="16"/>
        </w:rPr>
        <w:softHyphen/>
        <w:t>личествах не представлялось возможным. Заменителей ей среди отечественных сор</w:t>
      </w:r>
      <w:r w:rsidRPr="00070ADE">
        <w:rPr>
          <w:rFonts w:ascii="Times New Roman" w:hAnsi="Times New Roman"/>
          <w:color w:val="000000" w:themeColor="text1"/>
          <w:sz w:val="16"/>
          <w:szCs w:val="16"/>
        </w:rPr>
        <w:softHyphen/>
        <w:t>тов древесины не имелось, хотя вариант с переходом на обычную выклейку-моно- кок из березового шпона рассматривался. Относительно двигателей уже был извес</w:t>
      </w:r>
      <w:r w:rsidRPr="00070ADE">
        <w:rPr>
          <w:rFonts w:ascii="Times New Roman" w:hAnsi="Times New Roman"/>
          <w:color w:val="000000" w:themeColor="text1"/>
          <w:sz w:val="16"/>
          <w:szCs w:val="16"/>
        </w:rPr>
        <w:softHyphen/>
        <w:t>тен печальный опыт американской фирмы «Паккард», купившей у британцев лицен</w:t>
      </w:r>
      <w:r w:rsidRPr="00070ADE">
        <w:rPr>
          <w:rFonts w:ascii="Times New Roman" w:hAnsi="Times New Roman"/>
          <w:color w:val="000000" w:themeColor="text1"/>
          <w:sz w:val="16"/>
          <w:szCs w:val="16"/>
        </w:rPr>
        <w:softHyphen/>
        <w:t>зию на «Мерлин». Последний отличался высокой точностью изготовления деталей, тщательностью сборки и регулировки. Американцам, обладавшим куда больши</w:t>
      </w:r>
      <w:r w:rsidRPr="00070ADE">
        <w:rPr>
          <w:rFonts w:ascii="Times New Roman" w:hAnsi="Times New Roman"/>
          <w:color w:val="000000" w:themeColor="text1"/>
          <w:sz w:val="16"/>
          <w:szCs w:val="16"/>
        </w:rPr>
        <w:softHyphen/>
        <w:t>ми возможностями в отношении станков, инструмента и материалов, пришлось ввозить из Англии не только инженеров, но и часть рабочих. Только после этого им удалось обеспечить необходимое ка</w:t>
      </w:r>
      <w:r w:rsidRPr="00070ADE">
        <w:rPr>
          <w:rFonts w:ascii="Times New Roman" w:hAnsi="Times New Roman"/>
          <w:color w:val="000000" w:themeColor="text1"/>
          <w:sz w:val="16"/>
          <w:szCs w:val="16"/>
        </w:rPr>
        <w:softHyphen/>
        <w:t>чество. Выпуск «Мерлинов» в СССР тоже сочли нереальным. Моторов же, завози</w:t>
      </w:r>
      <w:r w:rsidRPr="00070ADE">
        <w:rPr>
          <w:rFonts w:ascii="Times New Roman" w:hAnsi="Times New Roman"/>
          <w:color w:val="000000" w:themeColor="text1"/>
          <w:sz w:val="16"/>
          <w:szCs w:val="16"/>
        </w:rPr>
        <w:softHyphen/>
        <w:t>мых из Великобритании, едва хватало на замену износившихся на «Харрикейнах» и «Спитфайрах», поскольку у нас они ста</w:t>
      </w:r>
      <w:r w:rsidRPr="00070ADE">
        <w:rPr>
          <w:rFonts w:ascii="Times New Roman" w:hAnsi="Times New Roman"/>
          <w:color w:val="000000" w:themeColor="text1"/>
          <w:sz w:val="16"/>
          <w:szCs w:val="16"/>
        </w:rPr>
        <w:softHyphen/>
        <w:t>бильно не вырабатывали положенный ре</w:t>
      </w:r>
      <w:r w:rsidRPr="00070ADE">
        <w:rPr>
          <w:rFonts w:ascii="Times New Roman" w:hAnsi="Times New Roman"/>
          <w:color w:val="000000" w:themeColor="text1"/>
          <w:sz w:val="16"/>
          <w:szCs w:val="16"/>
        </w:rPr>
        <w:softHyphen/>
        <w:t>сурс.</w:t>
      </w:r>
    </w:p>
    <w:p w14:paraId="616BD825" w14:textId="77777777" w:rsidR="009F4CDA" w:rsidRPr="00070ADE" w:rsidRDefault="009F4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Нашим специалистам очень хотелось ознакомиться с более поздними моди</w:t>
      </w:r>
      <w:r w:rsidRPr="00070ADE">
        <w:rPr>
          <w:rFonts w:ascii="Times New Roman" w:hAnsi="Times New Roman"/>
          <w:color w:val="000000" w:themeColor="text1"/>
          <w:sz w:val="16"/>
          <w:szCs w:val="16"/>
        </w:rPr>
        <w:softHyphen/>
        <w:t>фикациями «Москито» с «Мерлинами» типов 61 и 72, но получить даже образ</w:t>
      </w:r>
      <w:r w:rsidRPr="00070ADE">
        <w:rPr>
          <w:rFonts w:ascii="Times New Roman" w:hAnsi="Times New Roman"/>
          <w:color w:val="000000" w:themeColor="text1"/>
          <w:sz w:val="16"/>
          <w:szCs w:val="16"/>
        </w:rPr>
        <w:softHyphen/>
        <w:t>цы их не удалось, хотя вопрос о переда</w:t>
      </w:r>
      <w:r w:rsidRPr="00070ADE">
        <w:rPr>
          <w:rFonts w:ascii="Times New Roman" w:hAnsi="Times New Roman"/>
          <w:color w:val="000000" w:themeColor="text1"/>
          <w:sz w:val="16"/>
          <w:szCs w:val="16"/>
        </w:rPr>
        <w:softHyphen/>
        <w:t>че таких бомбардировщиков ставился неоднократно, начиная с августа 1943 г. Их просили включить в III протокол о поставках. По постановлению ГКО от 22 мая 1944 г. предписывалось закупить в Великобритании «Москито» восьми новейших модификаций — бомбарди</w:t>
      </w:r>
      <w:r w:rsidRPr="00070ADE">
        <w:rPr>
          <w:rFonts w:ascii="Times New Roman" w:hAnsi="Times New Roman"/>
          <w:color w:val="000000" w:themeColor="text1"/>
          <w:sz w:val="16"/>
          <w:szCs w:val="16"/>
        </w:rPr>
        <w:softHyphen/>
        <w:t>ровщики, дневные и ночные истребители и разведчики. При этом нарком авиапро</w:t>
      </w:r>
      <w:r w:rsidRPr="00070ADE">
        <w:rPr>
          <w:rFonts w:ascii="Times New Roman" w:hAnsi="Times New Roman"/>
          <w:color w:val="000000" w:themeColor="text1"/>
          <w:sz w:val="16"/>
          <w:szCs w:val="16"/>
        </w:rPr>
        <w:softHyphen/>
        <w:t>мышленности А.И. Шахурин требовал от НКВТ добиваться передачи машин в пол</w:t>
      </w:r>
      <w:r w:rsidRPr="00070ADE">
        <w:rPr>
          <w:rFonts w:ascii="Times New Roman" w:hAnsi="Times New Roman"/>
          <w:color w:val="000000" w:themeColor="text1"/>
          <w:sz w:val="16"/>
          <w:szCs w:val="16"/>
        </w:rPr>
        <w:softHyphen/>
        <w:t>ной комплектации — со всей радиоаппа</w:t>
      </w:r>
      <w:r w:rsidRPr="00070ADE">
        <w:rPr>
          <w:rFonts w:ascii="Times New Roman" w:hAnsi="Times New Roman"/>
          <w:color w:val="000000" w:themeColor="text1"/>
          <w:sz w:val="16"/>
          <w:szCs w:val="16"/>
        </w:rPr>
        <w:softHyphen/>
        <w:t>ратурой, включая РЛС, автоматические радиокомпасы и ответчики СРО, совре</w:t>
      </w:r>
      <w:r w:rsidRPr="00070ADE">
        <w:rPr>
          <w:rFonts w:ascii="Times New Roman" w:hAnsi="Times New Roman"/>
          <w:color w:val="000000" w:themeColor="text1"/>
          <w:sz w:val="16"/>
          <w:szCs w:val="16"/>
        </w:rPr>
        <w:softHyphen/>
        <w:t>менными прицелами, фотокамерами и во</w:t>
      </w:r>
      <w:r w:rsidRPr="00070ADE">
        <w:rPr>
          <w:rFonts w:ascii="Times New Roman" w:hAnsi="Times New Roman"/>
          <w:color w:val="000000" w:themeColor="text1"/>
          <w:sz w:val="16"/>
          <w:szCs w:val="16"/>
        </w:rPr>
        <w:softHyphen/>
        <w:t>оружением. К бомбардировщикам хотели получить по пять комплектов английских бомб разных типов. Конечно, ничего нам не дали.</w:t>
      </w:r>
    </w:p>
    <w:p w14:paraId="014FF317" w14:textId="77777777" w:rsidR="009F4CDA" w:rsidRPr="00070ADE" w:rsidRDefault="009F4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А в предложениях по IV протоколу (на 1944-45 годы) советская сторона затребо</w:t>
      </w:r>
      <w:r w:rsidRPr="00070ADE">
        <w:rPr>
          <w:rFonts w:ascii="Times New Roman" w:hAnsi="Times New Roman"/>
          <w:color w:val="000000" w:themeColor="text1"/>
          <w:sz w:val="16"/>
          <w:szCs w:val="16"/>
        </w:rPr>
        <w:softHyphen/>
        <w:t>вала ни много, ни мало — 1200 «Москито». Но этому воспрепятствовало вето британ</w:t>
      </w:r>
      <w:r w:rsidRPr="00070ADE">
        <w:rPr>
          <w:rFonts w:ascii="Times New Roman" w:hAnsi="Times New Roman"/>
          <w:color w:val="000000" w:themeColor="text1"/>
          <w:sz w:val="16"/>
          <w:szCs w:val="16"/>
        </w:rPr>
        <w:softHyphen/>
        <w:t>ского министерства авиации, ссылавше</w:t>
      </w:r>
      <w:r w:rsidRPr="00070ADE">
        <w:rPr>
          <w:rFonts w:ascii="Times New Roman" w:hAnsi="Times New Roman"/>
          <w:color w:val="000000" w:themeColor="text1"/>
          <w:sz w:val="16"/>
          <w:szCs w:val="16"/>
        </w:rPr>
        <w:softHyphen/>
        <w:t>гося на недостаточную насыщенность но</w:t>
      </w:r>
      <w:r w:rsidRPr="00070ADE">
        <w:rPr>
          <w:rFonts w:ascii="Times New Roman" w:hAnsi="Times New Roman"/>
          <w:color w:val="000000" w:themeColor="text1"/>
          <w:sz w:val="16"/>
          <w:szCs w:val="16"/>
        </w:rPr>
        <w:softHyphen/>
        <w:t>выми бомбардировщиками Королевских ВВС.</w:t>
      </w:r>
    </w:p>
    <w:p w14:paraId="732D5F31" w14:textId="77777777" w:rsidR="009F4CDA" w:rsidRPr="00070ADE" w:rsidRDefault="009F4CD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Единственный попавший в СССР «Москито» после аварии разобрали на от</w:t>
      </w:r>
      <w:r w:rsidRPr="00070ADE">
        <w:rPr>
          <w:rFonts w:ascii="Times New Roman" w:hAnsi="Times New Roman"/>
          <w:color w:val="000000" w:themeColor="text1"/>
          <w:sz w:val="16"/>
          <w:szCs w:val="16"/>
        </w:rPr>
        <w:softHyphen/>
        <w:t>дельные агрегаты, розданные в различные организации для изучения. Но влияние знакомства с ним на советскую авиапро</w:t>
      </w:r>
      <w:r w:rsidRPr="00070ADE">
        <w:rPr>
          <w:rFonts w:ascii="Times New Roman" w:hAnsi="Times New Roman"/>
          <w:color w:val="000000" w:themeColor="text1"/>
          <w:sz w:val="16"/>
          <w:szCs w:val="16"/>
        </w:rPr>
        <w:softHyphen/>
        <w:t>мышленность было достаточно велико. Концепция скоростного бомбардиров</w:t>
      </w:r>
      <w:r w:rsidRPr="00070ADE">
        <w:rPr>
          <w:rFonts w:ascii="Times New Roman" w:hAnsi="Times New Roman"/>
          <w:color w:val="000000" w:themeColor="text1"/>
          <w:sz w:val="16"/>
          <w:szCs w:val="16"/>
        </w:rPr>
        <w:softHyphen/>
        <w:t>щика без оборонительного вооружения стала очень популярна в нашей стране. Как «советские “Москито”» рекламирова</w:t>
      </w:r>
      <w:r w:rsidRPr="00070ADE">
        <w:rPr>
          <w:rFonts w:ascii="Times New Roman" w:hAnsi="Times New Roman"/>
          <w:color w:val="000000" w:themeColor="text1"/>
          <w:sz w:val="16"/>
          <w:szCs w:val="16"/>
        </w:rPr>
        <w:softHyphen/>
        <w:t>лись опытные самолеты В.М. Мясищева и А.Н. Туполева, конструктивно не имев</w:t>
      </w:r>
      <w:r w:rsidRPr="00070ADE">
        <w:rPr>
          <w:rFonts w:ascii="Times New Roman" w:hAnsi="Times New Roman"/>
          <w:color w:val="000000" w:themeColor="text1"/>
          <w:sz w:val="16"/>
          <w:szCs w:val="16"/>
        </w:rPr>
        <w:softHyphen/>
        <w:t>шие ничего общего со своим английским прототипом (23513)</w:t>
      </w:r>
    </w:p>
    <w:p w14:paraId="2EA9D097" w14:textId="77777777" w:rsidR="009F4CDA" w:rsidRPr="00070ADE" w:rsidRDefault="009F4CDA" w:rsidP="00B56F90">
      <w:pPr>
        <w:spacing w:after="0" w:line="240" w:lineRule="auto"/>
        <w:jc w:val="both"/>
        <w:rPr>
          <w:rFonts w:ascii="Times New Roman" w:hAnsi="Times New Roman"/>
          <w:color w:val="000000" w:themeColor="text1"/>
          <w:sz w:val="16"/>
          <w:szCs w:val="16"/>
        </w:rPr>
      </w:pPr>
    </w:p>
    <w:p w14:paraId="50B47A01" w14:textId="77777777" w:rsidR="008B0844" w:rsidRPr="00070ADE" w:rsidRDefault="008B084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г. Кабанов со штурма</w:t>
      </w:r>
      <w:r w:rsidRPr="00070ADE">
        <w:rPr>
          <w:rFonts w:ascii="Times New Roman" w:hAnsi="Times New Roman"/>
          <w:color w:val="000000" w:themeColor="text1"/>
          <w:sz w:val="16"/>
          <w:szCs w:val="16"/>
        </w:rPr>
        <w:softHyphen/>
        <w:t>ном П.И. Переваловым на борту пере</w:t>
      </w:r>
      <w:r w:rsidRPr="00070ADE">
        <w:rPr>
          <w:rFonts w:ascii="Times New Roman" w:hAnsi="Times New Roman"/>
          <w:color w:val="000000" w:themeColor="text1"/>
          <w:sz w:val="16"/>
          <w:szCs w:val="16"/>
        </w:rPr>
        <w:softHyphen/>
        <w:t>гонял «Москито» из ЛИИ на аэродром НИИ ВВС, где собирались продолжить испытания. Но на посадке летчик не справился с управлением, бомбарди</w:t>
      </w:r>
      <w:r w:rsidRPr="00070ADE">
        <w:rPr>
          <w:rFonts w:ascii="Times New Roman" w:hAnsi="Times New Roman"/>
          <w:color w:val="000000" w:themeColor="text1"/>
          <w:sz w:val="16"/>
          <w:szCs w:val="16"/>
        </w:rPr>
        <w:softHyphen/>
        <w:t>ровщик развернулся влево, сошел с полосы на грунт, снес шасси и пополз на «брюхе». Экипаж не пострадал, но машина была безнадежно повреждена и более не восстанавливалась (19655).</w:t>
      </w:r>
    </w:p>
    <w:p w14:paraId="36B9647C" w14:textId="77777777" w:rsidR="008B0844" w:rsidRPr="00070ADE" w:rsidRDefault="008B0844" w:rsidP="00B56F90">
      <w:pPr>
        <w:spacing w:after="0" w:line="240" w:lineRule="auto"/>
        <w:jc w:val="both"/>
        <w:rPr>
          <w:rFonts w:ascii="Times New Roman" w:hAnsi="Times New Roman"/>
          <w:color w:val="000000" w:themeColor="text1"/>
          <w:sz w:val="16"/>
          <w:szCs w:val="16"/>
        </w:rPr>
      </w:pPr>
    </w:p>
    <w:p w14:paraId="4485ECFA"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15 мая 1944-го летчик А.И.Кабанов со штурманом П.И.Переваловым в 16 часов вылетели «Москито» IV DK 296</w:t>
      </w:r>
      <w:r>
        <w:rPr>
          <w:rFonts w:ascii="Times New Roman" w:hAnsi="Times New Roman"/>
          <w:b/>
          <w:bCs/>
          <w:i/>
          <w:iCs/>
          <w:color w:val="0070C0"/>
          <w:sz w:val="16"/>
          <w:szCs w:val="16"/>
        </w:rPr>
        <w:t xml:space="preserve"> </w:t>
      </w:r>
      <w:r w:rsidRPr="00C94B78">
        <w:rPr>
          <w:rFonts w:ascii="Times New Roman" w:hAnsi="Times New Roman"/>
          <w:color w:val="0070C0"/>
          <w:sz w:val="16"/>
          <w:szCs w:val="16"/>
        </w:rPr>
        <w:t>с аэродрома ЛИИ на подмосковный аэродром НИИ ВВС.</w:t>
      </w:r>
    </w:p>
    <w:p w14:paraId="60E11486"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Перелет занял всего полчаса. После нормального приземления «Москито» пробежал 100 — 150 м и начал уклоняться влево. Буквально на мгновение летчик запоздал в парировании разворота, который тут же перешел в неуправляемый. Машина выкатилась с бетонной полосы на грунт, от чрезмерной боковой нагрузки сломалось шасси, после чего до полной остановки проползла на фюзеляже и мотогондолах. С экипажем ничего не случилось, но самолет получил значительные повреждения.</w:t>
      </w:r>
    </w:p>
    <w:p w14:paraId="35DD537D"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Авария отчетливо показала наиболее существенный недостаток «Москито» IV, отмечавшийся летчиками. Любопытно, что исправить его не составляло особого труда. Следовало только снабдить свободноориентирующееся хвостовое колесо стопором, фиксирующим хвостовую опору на посадке.</w:t>
      </w:r>
    </w:p>
    <w:p w14:paraId="06D8B117"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Это и было отмечено членами аварийной комиссии. К сожалению, из-за потери самолета провести оценку его боевых качеств советские военные специалисты так и не смогли (25355).</w:t>
      </w:r>
    </w:p>
    <w:p w14:paraId="420E6831" w14:textId="77777777" w:rsidR="00982F71" w:rsidRPr="00C94B78" w:rsidRDefault="00982F71" w:rsidP="00B56F90">
      <w:pPr>
        <w:spacing w:after="0" w:line="240" w:lineRule="auto"/>
        <w:jc w:val="both"/>
        <w:rPr>
          <w:rFonts w:ascii="Times New Roman" w:hAnsi="Times New Roman"/>
          <w:color w:val="0070C0"/>
          <w:sz w:val="16"/>
          <w:szCs w:val="16"/>
        </w:rPr>
      </w:pPr>
    </w:p>
    <w:p w14:paraId="0150C7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вышел приказ НКАП № 336с:</w:t>
      </w:r>
    </w:p>
    <w:p w14:paraId="12EF69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 организации з-да 273</w:t>
      </w:r>
    </w:p>
    <w:p w14:paraId="059CE8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постановлением ГОКО от 29 марта 1944 № 5309с:</w:t>
      </w:r>
    </w:p>
    <w:p w14:paraId="6F80A8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Организовать на законсервированных площадках з-в 47 и 387 в Ленинграде з-д по изготовлению запчастей к с-м УТ-2 с дальнейшим переводлом его на про-во УТ-2,</w:t>
      </w:r>
    </w:p>
    <w:p w14:paraId="35D440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Ор-ванный з-д согласно п. 1 настоящего приказа включить в состав действующих предприятий и впредь именовать з-д 273</w:t>
      </w:r>
    </w:p>
    <w:p w14:paraId="2AB9F3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 273 подчинить 11 ГУ</w:t>
      </w:r>
    </w:p>
    <w:p w14:paraId="3AB64F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Шахурин (1601, 74).</w:t>
      </w:r>
    </w:p>
    <w:p w14:paraId="7F26B5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1C824F" w14:textId="411BE998"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г. на площадке эвакуированных из Ленинграда заводов № 387 (площадка бывшего завода им. Каракозова) и № 47 НКАП приказом № 336с в соответствии с пост. ГКО № 5509с от 29.03.1944 г. в системе 11 ГУ для изготовления запчастей для УТ-2 с переходом в последующем на производство этого самолета был создан Завод № 273 НКАП (Завод № 273 НКАП, МАП, п/я 936, Завод «Техприбор», ГП, АООТ, ОАО «Техприбор» /г. Ленинград ул. Глиняная (1946 г.); ул. Бассейная, 17/ /196084</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Санкт-Петербург Корпусной пр., 1А (2002 г.); ул. Варшавская, 5А (2004 г.) тел. 296-97-38/).</w:t>
      </w:r>
    </w:p>
    <w:p w14:paraId="5FBFD70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приказам НКАП № 72с от 21.02.1945 г. и № 249с от 15.06.1945 г. на второй площадке завода № 273 (бывший завод им. Каракозова) вновь образовался завод № 794 НКАП.</w:t>
      </w:r>
    </w:p>
    <w:p w14:paraId="5DAA23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 76с от 26.02.1945 г. в состав завода № 273 влит завод № 499 НКАП (Тюменская обл.).</w:t>
      </w:r>
    </w:p>
    <w:p w14:paraId="631E09A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МАГ1 № 475с от 4.12.1945 г. на площадку завода № 273 в 1946 г. был переведен из Казани завод № 448 МАП вместе с ОКБ. По этому же приказу планировалось объединить эти заводы под № 448, но в итоге был оставлен № 273.</w:t>
      </w:r>
    </w:p>
    <w:p w14:paraId="12652B9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начала 1946 г. на заводе имелась техдокументация на планер А-2 O.K. Антонова, далее планировалось передать ее на завод № 164 МАП.</w:t>
      </w:r>
    </w:p>
    <w:p w14:paraId="4E4593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 440с от 21.06.1948 г. с 1.07.1948 г. в состав завода № 273 влит завод № 458 МАП ( г. Ленинград).</w:t>
      </w:r>
    </w:p>
    <w:p w14:paraId="5E357B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определен ведущим в отрасли по приборам определения запаса и расхода топлива для всех ЛА. Выпускались также приборы для радионавигационных систем «слепой» посадки, авиационные бомбовые прицелы.</w:t>
      </w:r>
    </w:p>
    <w:p w14:paraId="44BFE7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Другим производственным направлением была наземная аппаратура предстартового контроля и запуска космических кораблей.</w:t>
      </w:r>
    </w:p>
    <w:p w14:paraId="112360B9" w14:textId="53792C3D"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СМ СССР № 713-342 от 26.06.1957 г. завод передан в ведение Управления авиационной промышленности ЛенСНХ, в 09.1958 г.- Управления агрегатостроения и приборостроения ЛенСНХ. Пост. ЛенСНХ от 24.03.1960 г. заводу передан завод «Ленприбор», который преобразован в цех № 54 по производству жидкостных счетчиков (или это относится еще к заводу № 448).</w:t>
      </w:r>
      <w:r w:rsidRPr="00070ADE">
        <w:rPr>
          <w:rFonts w:ascii="Times New Roman" w:hAnsi="Times New Roman"/>
          <w:color w:val="000000" w:themeColor="text1"/>
          <w:sz w:val="16"/>
          <w:szCs w:val="16"/>
          <w:vertAlign w:val="superscript"/>
        </w:rPr>
        <w:t>ш</w:t>
      </w:r>
      <w:r w:rsidRPr="00070ADE">
        <w:rPr>
          <w:rFonts w:ascii="Times New Roman" w:hAnsi="Times New Roman"/>
          <w:color w:val="000000" w:themeColor="text1"/>
          <w:sz w:val="16"/>
          <w:szCs w:val="16"/>
        </w:rPr>
        <w:t xml:space="preserve"> Имел наименование «п/я 936» (1950-е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 1966 г. переименован в завод «Техприбор».</w:t>
      </w:r>
    </w:p>
    <w:p w14:paraId="154251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21.01.1975 г. завод «Техприбор» вошел в состав НПО «Сфера», где находился до 10.02.1992 г., а 11.02.1992 г. преобразован в ГП «Техприбор». 23.01.1993 г. преобразовано в АООТ, затем - ОАО «Техприбор». В 2002 г. предприятие вновь входило в ГП «НПО «Сфера», в 2003 г. входило в НПЦ «Технокомплекс», а затем- в концерн «Авионика». По решению правительства № 22-р от 9.01.2004 г. и Указу Президента РФ № 1009 от 4.08.2004 г. вошло в число стратегических оборонных предприятий.</w:t>
      </w:r>
    </w:p>
    <w:p w14:paraId="2C481E7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(1990-е-2005 г.): разработка и изготовление: бортовых комплексов измерения запаса и расхода топлива (в т.ч. криогенного), центровки ЛА, аппаратуры контроля вибрации, бортовых систем контроля и диагностики ГТД, систем контроля количества гидрожидкости, масла и воды, датчиков (уровня, количества, расхода и температуры топлива, масла, гидрожидкости и воды), пьезоэлектрических датчиков вибрации, датчиков наличия водного отстоя в топливе, индикаторов; наземной аппаратуры, систем автоматизации дизелей, топливомеров для АЗС, систем регистации информации; ТИП (магнитофоны, счетчики энергоносителей и др.).</w:t>
      </w:r>
    </w:p>
    <w:p w14:paraId="65C515D7" w14:textId="0B1E0F80"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Имелся филиал (2002 г.): /181600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Гдов Псковской обл. ул. Ленина, 4 тел. 91300/.</w:t>
      </w:r>
    </w:p>
    <w:p w14:paraId="54E3C0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«Техприбор» являлся единственным в России (и одним из трех в мире) разработчиком и производителем бортовой аппаратуры измерения вибрации авиадвигателей (2004 г.).</w:t>
      </w:r>
    </w:p>
    <w:p w14:paraId="406887A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(2002 г.)- 1500 чел.</w:t>
      </w:r>
    </w:p>
    <w:p w14:paraId="05293CA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(11.1945 г.)- А.С. Москалев, (-1985 г.-)- О.Ф. Петров. Гендиректор (1993-2005 г.-)- О.Ф. Петров.</w:t>
      </w:r>
    </w:p>
    <w:p w14:paraId="1A08BFD7" w14:textId="4F2CFD3B"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(1990-е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В.В. Коломнин. Гл. конструктор ТН ТИС (2002 г.)- В.В. Коломнин.</w:t>
      </w:r>
    </w:p>
    <w:p w14:paraId="5CB467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О.Ф. Петров, (2002 г.)- Ю.В. Маслов.</w:t>
      </w:r>
    </w:p>
    <w:p w14:paraId="0FF4B0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гендиректора: (2002 г.)- В.В. Коломнин; по финансам, МТО и маркетингу (2002 г.)- Н.М. Степанян; по экономике (2002 г.)- В.М. Петров.</w:t>
      </w:r>
    </w:p>
    <w:p w14:paraId="392CFE7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цехов: (1959 г.-)- О.Ф. Петров.</w:t>
      </w:r>
    </w:p>
    <w:p w14:paraId="0E2A80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w:t>
      </w:r>
      <w:r w:rsidRPr="00070ADE">
        <w:rPr>
          <w:rFonts w:ascii="Times New Roman" w:hAnsi="Times New Roman"/>
          <w:color w:val="000000" w:themeColor="text1"/>
          <w:sz w:val="16"/>
          <w:szCs w:val="16"/>
        </w:rPr>
        <w:t xml:space="preserve"> датчик вибрации MB; бортовая система контроля двигателя Г1С-90А БСКД90, двигателя ТВ7-117; система управления и индикации топлива СУИТ-334 для Ту-334, СУИТ-148 для Ан-148; комплекс управления распределения топлива и расходом КУТР1-1 для Су-80, КУТР2-1 для миГ-29СМТ; система виброконтроля авиадвигателей ИВ-М; защищенный регистратор полетных данных СДК-8, бортовая унифицированная аппаратура сбора и обработки полетной информации БСОИ (2000-е); переключатель топливных баков ПС1т; система автоматизации и контроля судового дизеля САДЫ для президентского катера «Буревестник», система дистанционного управления судовым дизелем; система контроля уровня топлива СИТ17 для тепловозов;</w:t>
      </w:r>
      <w:r w:rsidRPr="00070ADE">
        <w:rPr>
          <w:rFonts w:ascii="Times New Roman" w:hAnsi="Times New Roman"/>
          <w:color w:val="000000" w:themeColor="text1"/>
          <w:sz w:val="16"/>
          <w:szCs w:val="16"/>
          <w:vertAlign w:val="superscript"/>
        </w:rPr>
        <w:t>101</w:t>
      </w:r>
    </w:p>
    <w:p w14:paraId="0F7E8F3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магнитофоны: «Астра», «Астра-2 (1962-), -4 (1966-), -5, -205, -206, -207 (1977-), -208, -209С (1979-), -110С, МК-110, МК-111С, М-113С»- всего около 1,5 млн.</w:t>
      </w:r>
    </w:p>
    <w:p w14:paraId="054928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ОКБ-8, ОКБ-448 МАП, ГКАТ при заводе № 273 МАП, КБ топливно-измерительных систем (КБ ТИС) /г. Ленинград/</w:t>
      </w:r>
    </w:p>
    <w:p w14:paraId="62AEB8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слияния в 1948 г. заводов № 448 и № 273 ОКБ-448 (ОКБ-8) МАП продолжило работу по прежней тематике при заводе № 273.</w:t>
      </w:r>
    </w:p>
    <w:p w14:paraId="63DE8A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передачей в 06.1957 г. завода в систему СНХ ОКБ осталось в ведении МАП, а с 12.1946 г.- в ГКАТ.</w:t>
      </w:r>
    </w:p>
    <w:p w14:paraId="6B61D2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ГКАТ от 3.01.1964 г. Курский филиал ОКБ-149 передан в подчинение ОКБ-448 и стал Курским филиалом ОКБ-448 по разработке топливно-измерительных приборов и аппаратуры управления сбросом тактических грузов. По приказу МАП от 2.02.1968 г. ОКБ вновь передано в подчинение РПКБ и переименовано в Курский филиал приборостроительного бюро.</w:t>
      </w:r>
    </w:p>
    <w:p w14:paraId="22E125BE" w14:textId="22020F69"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1970-х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ОКБ объединено с заводом. В 1990-е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действовало в составе АООТ «Техприбор» как КБ топливно-измерительных систем (КБ ТИС).</w:t>
      </w:r>
    </w:p>
    <w:p w14:paraId="3271BC12" w14:textId="1C1300D8"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(1946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Г.А. Винн, В.В. Медведев, О.И. Башнин, (1990-е)- В.В. Коломнин.</w:t>
      </w:r>
    </w:p>
    <w:p w14:paraId="5048D4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w:t>
      </w:r>
      <w:r w:rsidRPr="00070ADE">
        <w:rPr>
          <w:rFonts w:ascii="Times New Roman" w:hAnsi="Times New Roman"/>
          <w:color w:val="000000" w:themeColor="text1"/>
          <w:sz w:val="16"/>
          <w:szCs w:val="16"/>
        </w:rPr>
        <w:t xml:space="preserve"> электросбрасыватель авиабомб: ЭСБР-45, ЭСБР-49М (1949); бензиномер РТР-48 для Ту-14; пневмо-, электрореле (11982).</w:t>
      </w:r>
    </w:p>
    <w:p w14:paraId="150979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79121D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5CBA2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2F665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года вышел приказ № 255с НКБ</w:t>
      </w:r>
    </w:p>
    <w:p w14:paraId="6575A8C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распоряжением СНК от 12 мая 1944 года № 10469-рс:</w:t>
      </w:r>
    </w:p>
    <w:p w14:paraId="6DD8319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Присвоить № 502 химическому заводу НКБ, выделенному из состава завода № 80 НКБ (6016, 71).</w:t>
      </w:r>
    </w:p>
    <w:p w14:paraId="19F3EF5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30880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года вышел приказ № 256с НКБ</w:t>
      </w:r>
    </w:p>
    <w:p w14:paraId="66DF8F0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распоряжением Совнаркома № 10031-рс от 7 мая 1944 года:</w:t>
      </w:r>
    </w:p>
    <w:p w14:paraId="297F87A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Ликвидировать законсервированное строительство завода № 578 (ст. Лая Свердловской ж/д).</w:t>
      </w:r>
    </w:p>
    <w:p w14:paraId="1C84697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CEB28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Использовать для нужд завода № 63 территорию, строения и материальные ценности ликвидируемого строительства завода № 578 (6016, 73).</w:t>
      </w:r>
    </w:p>
    <w:p w14:paraId="7AA2C22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FF09F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вышло Постановление ГКО № 5898 О восстановлении Подольского и Дарницкого железнодорожных мостов через реку Днепр у г. Киева. (7233, 19-22,23-24).</w:t>
      </w:r>
    </w:p>
    <w:p w14:paraId="632F152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4CA9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вышло Распоряжение ГКО № 5901. Об утверждении плана распределения радиолокационных средств. РГАНИР, Фонд ГКО, д. 254, лл. 73,74 (11012).</w:t>
      </w:r>
    </w:p>
    <w:p w14:paraId="3820D5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EAA690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года - Начало промышленного производства графитовых деталей высокой чистоты (10549).</w:t>
      </w:r>
    </w:p>
    <w:p w14:paraId="4A8B5A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F237139" w14:textId="0A3A9DD5"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мая 1944 г. ПИСЬМО НКГБ СССР №1789/м ЗАМЕСТИТЕЛЮ ПРЕДСЕДАТЕЛЯ СНК СССР М.Г.ПЕРВУХИНУ О НАПРАВЛЕНИИ РАЗВЕДМАТЕРИАЛОВ</w:t>
      </w:r>
    </w:p>
    <w:p w14:paraId="6DBB7CA2"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Направляю Вам при этом материалы по научной разработке пробле</w:t>
      </w:r>
      <w:r w:rsidRPr="00070ADE">
        <w:rPr>
          <w:rFonts w:ascii="Times New Roman" w:hAnsi="Times New Roman"/>
          <w:color w:val="000000" w:themeColor="text1"/>
          <w:sz w:val="16"/>
          <w:szCs w:val="16"/>
        </w:rPr>
        <w:softHyphen/>
        <w:t>мы использования урана как источника энергии.</w:t>
      </w:r>
    </w:p>
    <w:p w14:paraId="4CA94664"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Материалы представляют собой фотокопии подлинных работ веду</w:t>
      </w:r>
      <w:r w:rsidRPr="00070ADE">
        <w:rPr>
          <w:rFonts w:ascii="Times New Roman" w:hAnsi="Times New Roman"/>
          <w:color w:val="000000" w:themeColor="text1"/>
          <w:sz w:val="16"/>
          <w:szCs w:val="16"/>
        </w:rPr>
        <w:softHyphen/>
        <w:t>щих американских и английских ученых по вопросам научно-исследо</w:t>
      </w:r>
      <w:r w:rsidRPr="00070ADE">
        <w:rPr>
          <w:rFonts w:ascii="Times New Roman" w:hAnsi="Times New Roman"/>
          <w:color w:val="000000" w:themeColor="text1"/>
          <w:sz w:val="16"/>
          <w:szCs w:val="16"/>
        </w:rPr>
        <w:softHyphen/>
        <w:t>вательского и прикладного характера в области этой проблемы. Из них особо ценным для практического использования у нас является проект атомной машины, т. е. уранового котла.</w:t>
      </w:r>
    </w:p>
    <w:p w14:paraId="14FE47C4"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Некоторые фотокопии направляемых материалов плохого качества (около 20%), тем не менее в связи с большой важностью вопроса считаем необходимым направить их хотя бы для частичного использования.</w:t>
      </w:r>
    </w:p>
    <w:p w14:paraId="7A13F115"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приложении дается краткое изложение содержания каждой из работ.</w:t>
      </w:r>
    </w:p>
    <w:p w14:paraId="6A14AC63"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сообщить, по возможности в ближайшее время, заключение о ценности направляемых материалов2.</w:t>
      </w:r>
    </w:p>
    <w:p w14:paraId="36263240"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Приложение3:12 стр. описи и 192 фотолиста англ[ийского] текста.</w:t>
      </w:r>
    </w:p>
    <w:p w14:paraId="72628462" w14:textId="0A6F121D"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Народный комиссар государственной безопасности ССР</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Меркулов</w:t>
      </w:r>
    </w:p>
    <w:p w14:paraId="487D9A36"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Печатается по: Атомный проект. СССР: Документы и материалы: ВЗт.Т. 1 1938-1945. 4.2. С. 68. (15493).</w:t>
      </w:r>
    </w:p>
    <w:p w14:paraId="1591F824" w14:textId="77777777" w:rsidR="004B3F09" w:rsidRPr="00070ADE" w:rsidRDefault="004B3F09" w:rsidP="00B56F90">
      <w:pPr>
        <w:spacing w:after="0" w:line="240" w:lineRule="auto"/>
        <w:jc w:val="both"/>
        <w:rPr>
          <w:rFonts w:ascii="Times New Roman" w:hAnsi="Times New Roman"/>
          <w:color w:val="000000" w:themeColor="text1"/>
          <w:sz w:val="16"/>
          <w:szCs w:val="16"/>
        </w:rPr>
      </w:pPr>
    </w:p>
    <w:p w14:paraId="1BE92D7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B82AE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6F8CD9"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в 1944 году оперативная сводка Совинформбюро:</w:t>
      </w:r>
    </w:p>
    <w:p w14:paraId="357B4610"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15 мая на фронтах существенных изменений не произошло. За 14 мая наши войска подбили и уничтожили 19 немецких танков. В воздушных боях и огнём зенитной артиллерии сбито 33 самолёта противника.</w:t>
      </w:r>
    </w:p>
    <w:p w14:paraId="553B967F"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Бомбардировка нашей авиацией железнодорожных узлов Рава-Русская, Стрый, Двинск</w:t>
      </w:r>
    </w:p>
    <w:p w14:paraId="6A09794D"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15 мая наша авиация дальнего действия бомбардировала воинские эшелоны противника на железнодорожных узлах Рава-Русская (северо-западнее города Львов), Стрый (южнее города Львов), Двинск.</w:t>
      </w:r>
    </w:p>
    <w:p w14:paraId="087F5FC9"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бомбардировки на железнодорожном узле Рава-Русская возникло 8 пожаров, из них один пожар большого размера. В центральной части узла горело два железнодорожных эшелона. Среди пожаров наблюдением отмечено несколько сильных взрывов. Наши самолёты пушечно-пулемётным огнём обстреляли эшелоны противника, подходившие к Рава-Русская и находившиеся на перегонах и промежуточных станциях. На станции Ухнов создано три очага пожаров, сопровождавшихся взрывами; на перегоне восточнее этой станции подожжён железнодорожный эшелон; на станцииДобросин прямым попаданием бомбы взорван один эшелон; разбито и подожжено несколько составов на других станциях вблизи Рава-Русская. Такой же интенсивной бомбардировке был подвергнут и железнодорожный узел Стрый.</w:t>
      </w:r>
    </w:p>
    <w:p w14:paraId="198A4936"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железнодорожном узле Двинск бомбардировкой вызваны многочисленные пожары. Горели вагоны, платформы и военные склады противника. Пожары сопровождались взрывами.</w:t>
      </w:r>
    </w:p>
    <w:p w14:paraId="69275004"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Один наш самолёт не вернулся на свой аэродром.»</w:t>
      </w:r>
    </w:p>
    <w:p w14:paraId="24359A86"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Удар авиации флота по судам противника в районе порта Киркинес:</w:t>
      </w:r>
    </w:p>
    <w:p w14:paraId="3775BDD4"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14 мая воздушной разведкой на севере Норвегии в районе порта Киркинес был обнаружен конвой противника в составе 16 транспортов и 25 кораблей охранения. Наша авиация бомбардировала эти суда противника. В результате удара потоплены три немецких транспорта общим водоизмещением до 19 тысяч тонн, самоходная баржа, одно вспомогательное судно и сторожевой катер. Три транспорта противника подожжены, причём один из них выбросился на берег. Кроме того, нанесены повреждения двум другим транспортам и кораблям охранения.»</w:t>
      </w:r>
    </w:p>
    <w:p w14:paraId="3B003BDE"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немецкий батальон горных стрелков атаковал наши позиции. Вначале гитлеровцам удалось потеснить передовое охранение и занять небольшую высоту. Бойцы Н-ской части контрударом выбили немцев с высоты и полностью восстановили положение. На поле боя осталось до 100 вражеских трупов и оружие, брошенное противником. Рано утром немецкие самолёты пытались бомбить передний край нашей обороны. Зенитчики майора Безрукова и гвардии подполковника Белова метким огнём сбили 10 вражеских самолётов. Остальные немецкие бомбардировщики были рассеяны и не допущены к цели. Некоторое время спустя в этом же районе снова появилась группа «Юнкерсов». Советские зенитчики успешно отразили и эту воздушную атаку, уничтожив еще 3 самолёта противника.</w:t>
      </w:r>
    </w:p>
    <w:p w14:paraId="130582ED"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Тирасполь наши части в целях улучшения своих позиций атаковали противника, занимавшего плацдарм на левом берегу Днестра. В результате боя гитлеровцы были сброшены в реку. Уничтожено не менее батальона пехоты противника. Много немцев утонуло в реке. Захвачены трофеи и пленные.</w:t>
      </w:r>
    </w:p>
    <w:p w14:paraId="557C7851"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Группа партизан-разведчиков из отряда, действующего в западных районах Калининской области, ночью проникла на железнодорожную станцию. Разведчики незаметно подобрались к эшелону, стоявшему у разгрузочной площадки, и подожгли его. Сгорело несколько вагонов и взорвался штабель артиллерийских снарядов, находившийся на разгрузочной площадке. С 24 апреля по 1 мая калининские партизаны пустили под откос 14 железнодорожных эшелонов противника. Во время крушений разбиты 9 паровозов и 90 вагонов.</w:t>
      </w:r>
    </w:p>
    <w:p w14:paraId="23209A70"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Участившиеся факты перехода венгерских солдат на сторону Красной Армии не на шутку всполошили будапештских наёмников Гитлера. За последнее время во всех венгерских подразделениях, действующих на советско-германском фронте, учреждены жандармские группы. Пленный солдат 7 роты 24 полка 24 венгерской пехотной дивизии Василий Круп рассказал: «В каждой роте теперь имеется по 5 жандармов, которые следят за поведением солдат. Во время атаки они идут за боевыми порядками. При отступлении или попытке солдат перейти на сторону Красной Армии жандармы открывают огонь».</w:t>
      </w:r>
    </w:p>
    <w:p w14:paraId="34D17A74"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жандарм 3 роты 3 батальона 1 венгерской горно-стрелковой бригады Дердь рассказал: «В марте меня послали на курсы полевых жандармов в город Рахо. На курсы съехалось по пяти солдат или ефрейторов от каждой роты 1 горнострелковой бригады. После окончания курсов нас направили на фронт. Командир полевой жандармерии находится при штабе батальона. Нам предоставлено право расстреливать солдат без всякого следствия и суда».</w:t>
      </w:r>
    </w:p>
    <w:p w14:paraId="63537DB8"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Венгерские жандармы явно не справляются с возложенными на них обязанностями. Венгерские солдаты, не желающие сражаться за Гитлера, группами и в одиночку сдаются в плен. Продажной правящей клике Венгрии, очевидно, придётся резко увеличить и без того раздутые штаты жандармерии и приставить к каждому венгерскому солдату по крайней мере одного-двух жандармов.» (14892).</w:t>
      </w:r>
    </w:p>
    <w:p w14:paraId="150AE3EC" w14:textId="77777777" w:rsidR="004B3F09" w:rsidRPr="00070ADE" w:rsidRDefault="004B3F09" w:rsidP="00B56F90">
      <w:pPr>
        <w:spacing w:after="0" w:line="240" w:lineRule="auto"/>
        <w:jc w:val="both"/>
        <w:rPr>
          <w:rFonts w:ascii="Times New Roman" w:hAnsi="Times New Roman"/>
          <w:color w:val="000000" w:themeColor="text1"/>
          <w:sz w:val="16"/>
          <w:szCs w:val="16"/>
        </w:rPr>
      </w:pPr>
    </w:p>
    <w:p w14:paraId="5DD693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командующий ВВС в директиве потребовал от командующих авиачастями прекратить постановку задач ак и ад РВГК на один вылет и приказал ставить задачи на период (340,161).</w:t>
      </w:r>
    </w:p>
    <w:p w14:paraId="0BEC1D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34A68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0AE603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27F451" w14:textId="77777777" w:rsidR="001E0415" w:rsidRPr="00070ADE" w:rsidRDefault="001E041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Открылась для пассажиров станция метро "Электрозаводская" (18692).</w:t>
      </w:r>
    </w:p>
    <w:p w14:paraId="58D4938D" w14:textId="77777777" w:rsidR="001E0415" w:rsidRPr="00070ADE" w:rsidRDefault="001E0415" w:rsidP="00B56F90">
      <w:pPr>
        <w:spacing w:after="0" w:line="240" w:lineRule="auto"/>
        <w:jc w:val="both"/>
        <w:rPr>
          <w:rFonts w:ascii="Times New Roman" w:hAnsi="Times New Roman"/>
          <w:color w:val="000000" w:themeColor="text1"/>
          <w:sz w:val="16"/>
          <w:szCs w:val="16"/>
        </w:rPr>
      </w:pPr>
    </w:p>
    <w:p w14:paraId="6E2D770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вышло Постановление ГКО № 5899 О мобилизации местного населения и гужтранспорта на строительство полевых оборонительных рубежей. (7233, 25-26).</w:t>
      </w:r>
    </w:p>
    <w:p w14:paraId="613CAD4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D02CF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марта 1944 вышло Постановление ГКО № 5900 О заготовке, вывозке и завозе дров в г. Москву водным транспортом и по железным дорогам на отопительный сезон 1944/45 г. (7233, 27-43,44-72).</w:t>
      </w:r>
    </w:p>
    <w:p w14:paraId="205A1E6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4E31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умер патриарх Сергий и его хоронили с почестями (3908,369).</w:t>
      </w:r>
    </w:p>
    <w:p w14:paraId="1EBB0B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BF499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2D7671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79B87B"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выполняется первый из 16 специальных трансатлантических перелетов для доставки системы морского траления в Соединенное Королевство для использования в предстоящем вторжении в Нормандию. Когда поставки будут завершены 23 мая, самолет доставит 165 000 фунтов (74 844 кг) оборудования (29373).</w:t>
      </w:r>
    </w:p>
    <w:p w14:paraId="7FA72F81" w14:textId="77777777" w:rsidR="00DD3D22" w:rsidRPr="00070ADE" w:rsidRDefault="00DD3D22" w:rsidP="00B56F90">
      <w:pPr>
        <w:spacing w:after="0" w:line="240" w:lineRule="auto"/>
        <w:jc w:val="both"/>
        <w:rPr>
          <w:rFonts w:ascii="Times New Roman" w:hAnsi="Times New Roman"/>
          <w:color w:val="000000" w:themeColor="text1"/>
          <w:sz w:val="16"/>
          <w:szCs w:val="16"/>
        </w:rPr>
      </w:pPr>
    </w:p>
    <w:p w14:paraId="33E976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15th, 1944: In Italy, German troops begin withdrawing from the Gustav Line to new positions, the Adolf Hitler or Dora Line, 30 miles S of Rome (3819).</w:t>
      </w:r>
    </w:p>
    <w:p w14:paraId="1E843B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1E259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15 1944 Germans withdraw to Adolf Hitler Line (1050).</w:t>
      </w:r>
    </w:p>
    <w:p w14:paraId="737E13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6B715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немцы были отброшены к Линии А.Гитлера (1050).</w:t>
      </w:r>
    </w:p>
    <w:p w14:paraId="78BF3B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5637E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немецкие власти прекратили движение всех гражданских поездов по Франции (4962).</w:t>
      </w:r>
    </w:p>
    <w:p w14:paraId="15AB8B5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0D23B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союзниками окончательно утвержден план вторжения в Нормандию (4962).</w:t>
      </w:r>
    </w:p>
    <w:p w14:paraId="20208D5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DACBF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мая 1944 фашисты начали депортацию венгерских евреев в Освенцим (4962).</w:t>
      </w:r>
    </w:p>
    <w:p w14:paraId="33CFDDF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83CDC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37B60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20DB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середины и до конца мая 1944 года 72 ОГвТТП в составе 18А, вооруженный ИС-2 первого выпуска, по приказу Ставки ВГК вел оборонительные боевые действия по отражению контратак противника юго-восточнее г. Станислав. (3862).</w:t>
      </w:r>
    </w:p>
    <w:p w14:paraId="1A9051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CAEEAB" w14:textId="66261710" w:rsidR="00982F71" w:rsidRPr="00070ADE" w:rsidRDefault="00982F71"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За рубежом</w:t>
      </w:r>
      <w:r w:rsidRPr="00070ADE">
        <w:rPr>
          <w:rFonts w:ascii="Times New Roman" w:hAnsi="Times New Roman"/>
          <w:i/>
          <w:iCs/>
          <w:color w:val="000000" w:themeColor="text1"/>
          <w:sz w:val="16"/>
          <w:szCs w:val="16"/>
        </w:rPr>
        <w:t>:</w:t>
      </w:r>
    </w:p>
    <w:p w14:paraId="4F33017E" w14:textId="77777777" w:rsidR="00982F71" w:rsidRPr="00070ADE" w:rsidRDefault="00982F71"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9AC794" w14:textId="77777777" w:rsidR="00982F71" w:rsidRPr="00C94B78" w:rsidRDefault="00982F71" w:rsidP="00B56F90">
      <w:pPr>
        <w:pStyle w:val="28"/>
        <w:spacing w:before="0" w:line="240" w:lineRule="auto"/>
        <w:jc w:val="both"/>
        <w:rPr>
          <w:rFonts w:ascii="Times New Roman" w:hAnsi="Times New Roman" w:cs="Times New Roman"/>
          <w:color w:val="0070C0"/>
          <w:sz w:val="16"/>
          <w:szCs w:val="16"/>
        </w:rPr>
      </w:pPr>
      <w:r w:rsidRPr="00C94B78">
        <w:rPr>
          <w:rStyle w:val="2a"/>
          <w:rFonts w:ascii="Times New Roman" w:eastAsia="Times New Roman" w:hAnsi="Times New Roman" w:cs="Times New Roman"/>
          <w:color w:val="0070C0"/>
          <w:sz w:val="16"/>
          <w:szCs w:val="16"/>
        </w:rPr>
        <w:t xml:space="preserve">В </w:t>
      </w:r>
      <w:r w:rsidRPr="00C94B78">
        <w:rPr>
          <w:rStyle w:val="2a"/>
          <w:rFonts w:ascii="Times New Roman" w:hAnsi="Times New Roman" w:cs="Times New Roman"/>
          <w:color w:val="0070C0"/>
          <w:sz w:val="16"/>
          <w:szCs w:val="16"/>
        </w:rPr>
        <w:t xml:space="preserve">середине </w:t>
      </w:r>
      <w:r w:rsidRPr="00C94B78">
        <w:rPr>
          <w:rStyle w:val="2a"/>
          <w:rFonts w:ascii="Times New Roman" w:eastAsia="Times New Roman" w:hAnsi="Times New Roman" w:cs="Times New Roman"/>
          <w:color w:val="0070C0"/>
          <w:sz w:val="16"/>
          <w:szCs w:val="16"/>
        </w:rPr>
        <w:t>мая 1944 г</w:t>
      </w:r>
      <w:r w:rsidRPr="00C94B78">
        <w:rPr>
          <w:rStyle w:val="2a"/>
          <w:rFonts w:ascii="Times New Roman" w:hAnsi="Times New Roman" w:cs="Times New Roman"/>
          <w:color w:val="0070C0"/>
          <w:sz w:val="16"/>
          <w:szCs w:val="16"/>
        </w:rPr>
        <w:t>о</w:t>
      </w:r>
      <w:r w:rsidRPr="00C94B78">
        <w:rPr>
          <w:rStyle w:val="2a"/>
          <w:rFonts w:ascii="Times New Roman" w:eastAsia="Times New Roman" w:hAnsi="Times New Roman" w:cs="Times New Roman"/>
          <w:color w:val="0070C0"/>
          <w:sz w:val="16"/>
          <w:szCs w:val="16"/>
        </w:rPr>
        <w:t xml:space="preserve">да </w:t>
      </w:r>
      <w:r w:rsidRPr="00C94B78">
        <w:rPr>
          <w:rStyle w:val="2a"/>
          <w:rFonts w:ascii="Times New Roman" w:hAnsi="Times New Roman" w:cs="Times New Roman"/>
          <w:color w:val="0070C0"/>
          <w:sz w:val="16"/>
          <w:szCs w:val="16"/>
        </w:rPr>
        <w:t>Гитлер принял решение, что все в</w:t>
      </w:r>
      <w:r w:rsidRPr="00C94B78">
        <w:rPr>
          <w:rStyle w:val="2a"/>
          <w:rFonts w:ascii="Times New Roman" w:eastAsia="Times New Roman" w:hAnsi="Times New Roman" w:cs="Times New Roman"/>
          <w:color w:val="0070C0"/>
          <w:sz w:val="16"/>
          <w:szCs w:val="16"/>
        </w:rPr>
        <w:t>ыпуще</w:t>
      </w:r>
      <w:r w:rsidRPr="00C94B78">
        <w:rPr>
          <w:rStyle w:val="2a"/>
          <w:rFonts w:ascii="Times New Roman" w:hAnsi="Times New Roman" w:cs="Times New Roman"/>
          <w:color w:val="0070C0"/>
          <w:sz w:val="16"/>
          <w:szCs w:val="16"/>
        </w:rPr>
        <w:t xml:space="preserve">нные </w:t>
      </w:r>
      <w:r w:rsidRPr="00C94B78">
        <w:rPr>
          <w:rStyle w:val="2a"/>
          <w:rFonts w:ascii="Times New Roman" w:eastAsia="Times New Roman" w:hAnsi="Times New Roman" w:cs="Times New Roman"/>
          <w:color w:val="0070C0"/>
          <w:sz w:val="16"/>
          <w:szCs w:val="16"/>
        </w:rPr>
        <w:t xml:space="preserve">к тому </w:t>
      </w:r>
      <w:r w:rsidRPr="00C94B78">
        <w:rPr>
          <w:rStyle w:val="2a"/>
          <w:rFonts w:ascii="Times New Roman" w:hAnsi="Times New Roman" w:cs="Times New Roman"/>
          <w:color w:val="0070C0"/>
          <w:sz w:val="16"/>
          <w:szCs w:val="16"/>
        </w:rPr>
        <w:t>време</w:t>
      </w:r>
      <w:r w:rsidRPr="00C94B78">
        <w:rPr>
          <w:rStyle w:val="2a"/>
          <w:rFonts w:ascii="Times New Roman" w:hAnsi="Times New Roman" w:cs="Times New Roman"/>
          <w:color w:val="0070C0"/>
          <w:sz w:val="16"/>
          <w:szCs w:val="16"/>
        </w:rPr>
        <w:softHyphen/>
        <w:t xml:space="preserve">ни </w:t>
      </w:r>
      <w:r w:rsidRPr="00C94B78">
        <w:rPr>
          <w:rStyle w:val="2a"/>
          <w:rFonts w:ascii="Times New Roman" w:eastAsia="Times New Roman" w:hAnsi="Times New Roman" w:cs="Times New Roman"/>
          <w:color w:val="0070C0"/>
          <w:sz w:val="16"/>
          <w:szCs w:val="16"/>
        </w:rPr>
        <w:t>Ме.262 (за исключением вы</w:t>
      </w:r>
      <w:r w:rsidRPr="00C94B78">
        <w:rPr>
          <w:rStyle w:val="2a"/>
          <w:rFonts w:ascii="Times New Roman" w:hAnsi="Times New Roman" w:cs="Times New Roman"/>
          <w:color w:val="0070C0"/>
          <w:sz w:val="16"/>
          <w:szCs w:val="16"/>
        </w:rPr>
        <w:t>де</w:t>
      </w:r>
      <w:r w:rsidRPr="00C94B78">
        <w:rPr>
          <w:rStyle w:val="2a"/>
          <w:rFonts w:ascii="Times New Roman" w:eastAsia="Times New Roman" w:hAnsi="Times New Roman" w:cs="Times New Roman"/>
          <w:color w:val="0070C0"/>
          <w:sz w:val="16"/>
          <w:szCs w:val="16"/>
        </w:rPr>
        <w:t>л</w:t>
      </w:r>
      <w:r w:rsidRPr="00C94B78">
        <w:rPr>
          <w:rStyle w:val="2a"/>
          <w:rFonts w:ascii="Times New Roman" w:hAnsi="Times New Roman" w:cs="Times New Roman"/>
          <w:color w:val="0070C0"/>
          <w:sz w:val="16"/>
          <w:szCs w:val="16"/>
        </w:rPr>
        <w:t>е</w:t>
      </w:r>
      <w:r w:rsidRPr="00C94B78">
        <w:rPr>
          <w:rStyle w:val="2a"/>
          <w:rFonts w:ascii="Times New Roman" w:eastAsia="Times New Roman" w:hAnsi="Times New Roman" w:cs="Times New Roman"/>
          <w:color w:val="0070C0"/>
          <w:sz w:val="16"/>
          <w:szCs w:val="16"/>
        </w:rPr>
        <w:t>н</w:t>
      </w:r>
      <w:r w:rsidRPr="00C94B78">
        <w:rPr>
          <w:rStyle w:val="2a"/>
          <w:rFonts w:ascii="Times New Roman" w:hAnsi="Times New Roman" w:cs="Times New Roman"/>
          <w:color w:val="0070C0"/>
          <w:sz w:val="16"/>
          <w:szCs w:val="16"/>
        </w:rPr>
        <w:t>н</w:t>
      </w:r>
      <w:r w:rsidRPr="00C94B78">
        <w:rPr>
          <w:rStyle w:val="2a"/>
          <w:rFonts w:ascii="Times New Roman" w:eastAsia="Times New Roman" w:hAnsi="Times New Roman" w:cs="Times New Roman"/>
          <w:color w:val="0070C0"/>
          <w:sz w:val="16"/>
          <w:szCs w:val="16"/>
        </w:rPr>
        <w:t xml:space="preserve">ых </w:t>
      </w:r>
      <w:r w:rsidRPr="00C94B78">
        <w:rPr>
          <w:rStyle w:val="2a"/>
          <w:rFonts w:ascii="Times New Roman" w:hAnsi="Times New Roman" w:cs="Times New Roman"/>
          <w:color w:val="0070C0"/>
          <w:sz w:val="16"/>
          <w:szCs w:val="16"/>
        </w:rPr>
        <w:t>в испытательную команду «</w:t>
      </w:r>
      <w:r w:rsidRPr="00C94B78">
        <w:rPr>
          <w:rStyle w:val="2a"/>
          <w:rFonts w:ascii="Times New Roman" w:eastAsia="Times New Roman" w:hAnsi="Times New Roman" w:cs="Times New Roman"/>
          <w:color w:val="0070C0"/>
          <w:sz w:val="16"/>
          <w:szCs w:val="16"/>
        </w:rPr>
        <w:t xml:space="preserve">262») </w:t>
      </w:r>
      <w:r w:rsidRPr="00C94B78">
        <w:rPr>
          <w:rStyle w:val="2a"/>
          <w:rFonts w:ascii="Times New Roman" w:hAnsi="Times New Roman" w:cs="Times New Roman"/>
          <w:color w:val="0070C0"/>
          <w:sz w:val="16"/>
          <w:szCs w:val="16"/>
        </w:rPr>
        <w:t xml:space="preserve">должны направляться в бомбардировочные </w:t>
      </w:r>
      <w:r w:rsidRPr="00C94B78">
        <w:rPr>
          <w:rStyle w:val="2a"/>
          <w:rFonts w:ascii="Times New Roman" w:eastAsia="Times New Roman" w:hAnsi="Times New Roman" w:cs="Times New Roman"/>
          <w:color w:val="0070C0"/>
          <w:sz w:val="16"/>
          <w:szCs w:val="16"/>
        </w:rPr>
        <w:t>части. Гит</w:t>
      </w:r>
      <w:r w:rsidRPr="00C94B78">
        <w:rPr>
          <w:rStyle w:val="2a"/>
          <w:rFonts w:ascii="Times New Roman" w:eastAsia="Times New Roman" w:hAnsi="Times New Roman" w:cs="Times New Roman"/>
          <w:color w:val="0070C0"/>
          <w:sz w:val="16"/>
          <w:szCs w:val="16"/>
        </w:rPr>
        <w:softHyphen/>
      </w:r>
      <w:r w:rsidRPr="00C94B78">
        <w:rPr>
          <w:rStyle w:val="2a"/>
          <w:rFonts w:ascii="Times New Roman" w:hAnsi="Times New Roman" w:cs="Times New Roman"/>
          <w:color w:val="0070C0"/>
          <w:sz w:val="16"/>
          <w:szCs w:val="16"/>
        </w:rPr>
        <w:t xml:space="preserve">лер надеялся, что в условиях </w:t>
      </w:r>
      <w:r w:rsidRPr="00C94B78">
        <w:rPr>
          <w:rStyle w:val="2a"/>
          <w:rFonts w:ascii="Times New Roman" w:eastAsia="Times New Roman" w:hAnsi="Times New Roman" w:cs="Times New Roman"/>
          <w:color w:val="0070C0"/>
          <w:sz w:val="16"/>
          <w:szCs w:val="16"/>
        </w:rPr>
        <w:t>господства в воздухе а</w:t>
      </w:r>
      <w:r w:rsidRPr="00C94B78">
        <w:rPr>
          <w:rStyle w:val="2a"/>
          <w:rFonts w:ascii="Times New Roman" w:hAnsi="Times New Roman" w:cs="Times New Roman"/>
          <w:color w:val="0070C0"/>
          <w:sz w:val="16"/>
          <w:szCs w:val="16"/>
        </w:rPr>
        <w:t>н</w:t>
      </w:r>
      <w:r w:rsidRPr="00C94B78">
        <w:rPr>
          <w:rStyle w:val="2a"/>
          <w:rFonts w:ascii="Times New Roman" w:eastAsia="Times New Roman" w:hAnsi="Times New Roman" w:cs="Times New Roman"/>
          <w:color w:val="0070C0"/>
          <w:sz w:val="16"/>
          <w:szCs w:val="16"/>
        </w:rPr>
        <w:t>гл</w:t>
      </w:r>
      <w:r w:rsidRPr="00C94B78">
        <w:rPr>
          <w:rStyle w:val="2a"/>
          <w:rFonts w:ascii="Times New Roman" w:hAnsi="Times New Roman" w:cs="Times New Roman"/>
          <w:color w:val="0070C0"/>
          <w:sz w:val="16"/>
          <w:szCs w:val="16"/>
        </w:rPr>
        <w:t>о</w:t>
      </w:r>
      <w:r w:rsidRPr="00C94B78">
        <w:rPr>
          <w:rStyle w:val="2a"/>
          <w:rFonts w:ascii="Times New Roman" w:eastAsia="Times New Roman" w:hAnsi="Times New Roman" w:cs="Times New Roman"/>
          <w:color w:val="0070C0"/>
          <w:sz w:val="16"/>
          <w:szCs w:val="16"/>
        </w:rPr>
        <w:t>-а</w:t>
      </w:r>
      <w:r w:rsidRPr="00C94B78">
        <w:rPr>
          <w:rStyle w:val="2a"/>
          <w:rFonts w:ascii="Times New Roman" w:hAnsi="Times New Roman" w:cs="Times New Roman"/>
          <w:color w:val="0070C0"/>
          <w:sz w:val="16"/>
          <w:szCs w:val="16"/>
        </w:rPr>
        <w:t>мер</w:t>
      </w:r>
      <w:r w:rsidRPr="00C94B78">
        <w:rPr>
          <w:rStyle w:val="2a"/>
          <w:rFonts w:ascii="Times New Roman" w:eastAsia="Times New Roman" w:hAnsi="Times New Roman" w:cs="Times New Roman"/>
          <w:color w:val="0070C0"/>
          <w:sz w:val="16"/>
          <w:szCs w:val="16"/>
        </w:rPr>
        <w:t>икан</w:t>
      </w:r>
      <w:r w:rsidRPr="00C94B78">
        <w:rPr>
          <w:rStyle w:val="2a"/>
          <w:rFonts w:ascii="Times New Roman" w:hAnsi="Times New Roman" w:cs="Times New Roman"/>
          <w:color w:val="0070C0"/>
          <w:sz w:val="16"/>
          <w:szCs w:val="16"/>
        </w:rPr>
        <w:t>ско</w:t>
      </w:r>
      <w:r w:rsidRPr="00C94B78">
        <w:rPr>
          <w:rStyle w:val="2a"/>
          <w:rFonts w:ascii="Times New Roman" w:eastAsia="Times New Roman" w:hAnsi="Times New Roman" w:cs="Times New Roman"/>
          <w:color w:val="0070C0"/>
          <w:sz w:val="16"/>
          <w:szCs w:val="16"/>
        </w:rPr>
        <w:t xml:space="preserve">й </w:t>
      </w:r>
      <w:r w:rsidRPr="00C94B78">
        <w:rPr>
          <w:rStyle w:val="2a"/>
          <w:rFonts w:ascii="Times New Roman" w:hAnsi="Times New Roman" w:cs="Times New Roman"/>
          <w:color w:val="0070C0"/>
          <w:sz w:val="16"/>
          <w:szCs w:val="16"/>
        </w:rPr>
        <w:t>авиации реак</w:t>
      </w:r>
      <w:r w:rsidRPr="00C94B78">
        <w:rPr>
          <w:rStyle w:val="2a"/>
          <w:rFonts w:ascii="Times New Roman" w:hAnsi="Times New Roman" w:cs="Times New Roman"/>
          <w:color w:val="0070C0"/>
          <w:sz w:val="16"/>
          <w:szCs w:val="16"/>
        </w:rPr>
        <w:softHyphen/>
        <w:t xml:space="preserve">тивные скоростные </w:t>
      </w:r>
      <w:r w:rsidRPr="00C94B78">
        <w:rPr>
          <w:rStyle w:val="2a"/>
          <w:rFonts w:ascii="Times New Roman" w:eastAsia="Times New Roman" w:hAnsi="Times New Roman" w:cs="Times New Roman"/>
          <w:color w:val="0070C0"/>
          <w:sz w:val="16"/>
          <w:szCs w:val="16"/>
        </w:rPr>
        <w:t xml:space="preserve">бомбардировщики </w:t>
      </w:r>
      <w:r w:rsidRPr="00C94B78">
        <w:rPr>
          <w:rStyle w:val="2a"/>
          <w:rFonts w:ascii="Times New Roman" w:hAnsi="Times New Roman" w:cs="Times New Roman"/>
          <w:color w:val="0070C0"/>
          <w:sz w:val="16"/>
          <w:szCs w:val="16"/>
        </w:rPr>
        <w:t>с</w:t>
      </w:r>
      <w:r w:rsidRPr="00C94B78">
        <w:rPr>
          <w:rStyle w:val="2a"/>
          <w:rFonts w:ascii="Times New Roman" w:eastAsia="Times New Roman" w:hAnsi="Times New Roman" w:cs="Times New Roman"/>
          <w:color w:val="0070C0"/>
          <w:sz w:val="16"/>
          <w:szCs w:val="16"/>
        </w:rPr>
        <w:t>м</w:t>
      </w:r>
      <w:r w:rsidRPr="00C94B78">
        <w:rPr>
          <w:rStyle w:val="2a"/>
          <w:rFonts w:ascii="Times New Roman" w:hAnsi="Times New Roman" w:cs="Times New Roman"/>
          <w:color w:val="0070C0"/>
          <w:sz w:val="16"/>
          <w:szCs w:val="16"/>
        </w:rPr>
        <w:t>о</w:t>
      </w:r>
      <w:r w:rsidRPr="00C94B78">
        <w:rPr>
          <w:rStyle w:val="2a"/>
          <w:rFonts w:ascii="Times New Roman" w:eastAsia="Times New Roman" w:hAnsi="Times New Roman" w:cs="Times New Roman"/>
          <w:color w:val="0070C0"/>
          <w:sz w:val="16"/>
          <w:szCs w:val="16"/>
        </w:rPr>
        <w:softHyphen/>
        <w:t xml:space="preserve">гут </w:t>
      </w:r>
      <w:r w:rsidRPr="00C94B78">
        <w:rPr>
          <w:rStyle w:val="2a"/>
          <w:rFonts w:ascii="Times New Roman" w:hAnsi="Times New Roman" w:cs="Times New Roman"/>
          <w:color w:val="0070C0"/>
          <w:sz w:val="16"/>
          <w:szCs w:val="16"/>
        </w:rPr>
        <w:t>ок</w:t>
      </w:r>
      <w:r w:rsidRPr="00C94B78">
        <w:rPr>
          <w:rStyle w:val="2a"/>
          <w:rFonts w:ascii="Times New Roman" w:eastAsia="Times New Roman" w:hAnsi="Times New Roman" w:cs="Times New Roman"/>
          <w:color w:val="0070C0"/>
          <w:sz w:val="16"/>
          <w:szCs w:val="16"/>
        </w:rPr>
        <w:t xml:space="preserve">азать </w:t>
      </w:r>
      <w:r w:rsidRPr="00C94B78">
        <w:rPr>
          <w:rStyle w:val="2a"/>
          <w:rFonts w:ascii="Times New Roman" w:hAnsi="Times New Roman" w:cs="Times New Roman"/>
          <w:color w:val="0070C0"/>
          <w:sz w:val="16"/>
          <w:szCs w:val="16"/>
        </w:rPr>
        <w:t xml:space="preserve">наземным </w:t>
      </w:r>
      <w:r w:rsidRPr="00C94B78">
        <w:rPr>
          <w:rStyle w:val="2a"/>
          <w:rFonts w:ascii="Times New Roman" w:eastAsia="Times New Roman" w:hAnsi="Times New Roman" w:cs="Times New Roman"/>
          <w:color w:val="0070C0"/>
          <w:sz w:val="16"/>
          <w:szCs w:val="16"/>
        </w:rPr>
        <w:t xml:space="preserve">войскам, </w:t>
      </w:r>
      <w:r w:rsidRPr="00C94B78">
        <w:rPr>
          <w:rStyle w:val="2a"/>
          <w:rFonts w:ascii="Times New Roman" w:hAnsi="Times New Roman" w:cs="Times New Roman"/>
          <w:color w:val="0070C0"/>
          <w:sz w:val="16"/>
          <w:szCs w:val="16"/>
        </w:rPr>
        <w:t>которым предстояло сдерживать наступающих союз</w:t>
      </w:r>
      <w:r w:rsidRPr="00C94B78">
        <w:rPr>
          <w:rStyle w:val="2a"/>
          <w:rFonts w:ascii="Times New Roman" w:hAnsi="Times New Roman" w:cs="Times New Roman"/>
          <w:color w:val="0070C0"/>
          <w:sz w:val="16"/>
          <w:szCs w:val="16"/>
        </w:rPr>
        <w:softHyphen/>
        <w:t xml:space="preserve">ников, необходимую поддержку. Причиной тому были опасения фюрера о возможной </w:t>
      </w:r>
      <w:r w:rsidRPr="00C94B78">
        <w:rPr>
          <w:rStyle w:val="2a"/>
          <w:rFonts w:ascii="Times New Roman" w:eastAsia="Times New Roman" w:hAnsi="Times New Roman" w:cs="Times New Roman"/>
          <w:color w:val="0070C0"/>
          <w:sz w:val="16"/>
          <w:szCs w:val="16"/>
        </w:rPr>
        <w:t xml:space="preserve">высадке англо-американских войск </w:t>
      </w:r>
      <w:r w:rsidRPr="00C94B78">
        <w:rPr>
          <w:rStyle w:val="2a"/>
          <w:rFonts w:ascii="Times New Roman" w:hAnsi="Times New Roman" w:cs="Times New Roman"/>
          <w:color w:val="0070C0"/>
          <w:sz w:val="16"/>
          <w:szCs w:val="16"/>
        </w:rPr>
        <w:t xml:space="preserve">во Франции. </w:t>
      </w:r>
      <w:r w:rsidRPr="00C94B78">
        <w:rPr>
          <w:rStyle w:val="2a"/>
          <w:rFonts w:ascii="Times New Roman" w:eastAsia="Times New Roman" w:hAnsi="Times New Roman" w:cs="Times New Roman"/>
          <w:color w:val="0070C0"/>
          <w:sz w:val="16"/>
          <w:szCs w:val="16"/>
        </w:rPr>
        <w:t xml:space="preserve">И </w:t>
      </w:r>
      <w:r w:rsidRPr="00C94B78">
        <w:rPr>
          <w:rStyle w:val="2a"/>
          <w:rFonts w:ascii="Times New Roman" w:hAnsi="Times New Roman" w:cs="Times New Roman"/>
          <w:color w:val="0070C0"/>
          <w:sz w:val="16"/>
          <w:szCs w:val="16"/>
        </w:rPr>
        <w:t>он не ошибся, вторжение союз</w:t>
      </w:r>
      <w:r w:rsidRPr="00C94B78">
        <w:rPr>
          <w:rStyle w:val="2a"/>
          <w:rFonts w:ascii="Times New Roman" w:hAnsi="Times New Roman" w:cs="Times New Roman"/>
          <w:color w:val="0070C0"/>
          <w:sz w:val="16"/>
          <w:szCs w:val="16"/>
        </w:rPr>
        <w:softHyphen/>
        <w:t xml:space="preserve">ников </w:t>
      </w:r>
      <w:r w:rsidRPr="00C94B78">
        <w:rPr>
          <w:rStyle w:val="2a"/>
          <w:rFonts w:ascii="Times New Roman" w:eastAsia="Times New Roman" w:hAnsi="Times New Roman" w:cs="Times New Roman"/>
          <w:color w:val="0070C0"/>
          <w:sz w:val="16"/>
          <w:szCs w:val="16"/>
        </w:rPr>
        <w:t>началось 6 июня 1944 года (25113).</w:t>
      </w:r>
    </w:p>
    <w:p w14:paraId="5EE73F59" w14:textId="77777777" w:rsidR="00982F71" w:rsidRPr="00C94B78" w:rsidRDefault="00982F71" w:rsidP="00B56F90">
      <w:pPr>
        <w:spacing w:after="0" w:line="240" w:lineRule="auto"/>
        <w:jc w:val="both"/>
        <w:rPr>
          <w:rFonts w:ascii="Times New Roman" w:hAnsi="Times New Roman"/>
          <w:color w:val="0070C0"/>
          <w:sz w:val="16"/>
          <w:szCs w:val="16"/>
        </w:rPr>
      </w:pPr>
    </w:p>
    <w:p w14:paraId="2D81497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3ED39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BDC5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мая 1944 появилась запись из донесения военпреда ГУ ИАС ВВС КА в ЛИИ НКАП по состоянию на 20 апреля 1944:</w:t>
      </w:r>
    </w:p>
    <w:p w14:paraId="614511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 ЛИИ закончен 1-й этап испытаний Ил-2 N 303316 производства завода 30.</w:t>
      </w:r>
    </w:p>
    <w:p w14:paraId="31C6C3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Самолет Ил-2 N 303316 имеет деревянное крыло с увеличенной стреловидностью крыла (на 6 гр.) и элероны с аэродинамической компенсацией 27% (у серийных самолетов аэродинамическая компенсация составляла 22,5%).</w:t>
      </w:r>
    </w:p>
    <w:p w14:paraId="31339F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246AB8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Вес самолета при номинальной нагрузке - 6185_кг</w:t>
      </w:r>
    </w:p>
    <w:p w14:paraId="2D3218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Центровка самолета сместилась вперед за счет увеличения стреловидности крыла и равна 29,6% САХ (шасси выпущены).</w:t>
      </w:r>
    </w:p>
    <w:p w14:paraId="75E667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Максимальная скорость равна: у земли - 400 км/час, на границе высотности (1200_м) - 415 км/час</w:t>
      </w:r>
    </w:p>
    <w:p w14:paraId="2326CC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Время набора высоты 1000_м равно 2 мин.</w:t>
      </w:r>
    </w:p>
    <w:p w14:paraId="228A9F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ЛИИ НКАП рекомендовал внедрить в серийное производство мероприятия, повышающие максимальную скорость самолета Ил-2 (462,46).</w:t>
      </w:r>
    </w:p>
    <w:p w14:paraId="3B10D8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донесения военпреда завода 18 по состоянию на 20 апреля 1944:</w:t>
      </w:r>
    </w:p>
    <w:p w14:paraId="1049C5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Принято военпредом 28 самолетов с увеличенной стреловидностью крыла</w:t>
      </w:r>
    </w:p>
    <w:p w14:paraId="791945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Со 103 серии все 100% самолетов будут выпускаться с крылом с увеличенной стреловидностью (на сегодняшний день заканчивается 100 серия) (462,47).</w:t>
      </w:r>
    </w:p>
    <w:p w14:paraId="599DB7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1944 г заводами 18, 1 и 30 было поставил 7377 Ил-2 с металлическими крыльями, а завод 1 выпускал также Ил-2 и с деревянными крыльями (493).</w:t>
      </w:r>
    </w:p>
    <w:p w14:paraId="129E07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90BF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мая 1944 Нач. ЛИИ А.В.Чесалов направил в НКАП А.И.Ш. письмо N сл-11-585:</w:t>
      </w:r>
    </w:p>
    <w:p w14:paraId="730C09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"Представляю отчет по результатам гос. испытаний и доводки системы НГ 1-й зоны от выхлопа мотора на самолете Ил-2 N 1873370 с АМ-38Ф." (2492).</w:t>
      </w:r>
    </w:p>
    <w:p w14:paraId="2FE54F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3A92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мая 1944 года временно прекращены государственные испытания опытного самолета Су-6 с мотором АМ-42, конструкции Сухого - по причине ненормальной работы мотора, расход масла которого превышает допустимый предел (1821).</w:t>
      </w:r>
    </w:p>
    <w:p w14:paraId="6100C6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C619D2" w14:textId="77777777" w:rsidR="00962976" w:rsidRPr="00070ADE" w:rsidRDefault="0096297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16 мая 1944 испытания Су-6 АМ-42 с пушками ВЯ, которые шли с 28 апреля 1944, были приостановлены вследствие совершенно ненормальной работы мо</w:t>
      </w:r>
      <w:r w:rsidRPr="00070ADE">
        <w:rPr>
          <w:color w:val="000000" w:themeColor="text1"/>
          <w:sz w:val="16"/>
          <w:szCs w:val="16"/>
        </w:rPr>
        <w:softHyphen/>
        <w:t>тора. Всего за это время удалось выполнить 17 по</w:t>
      </w:r>
      <w:r w:rsidRPr="00070ADE">
        <w:rPr>
          <w:color w:val="000000" w:themeColor="text1"/>
          <w:sz w:val="16"/>
          <w:szCs w:val="16"/>
        </w:rPr>
        <w:softHyphen/>
        <w:t>летов с общим налетом 6 ч 5 мин (17500).</w:t>
      </w:r>
    </w:p>
    <w:p w14:paraId="4BD99728" w14:textId="77777777" w:rsidR="00962976" w:rsidRPr="00070ADE" w:rsidRDefault="00962976" w:rsidP="00B56F90">
      <w:pPr>
        <w:spacing w:after="0" w:line="240" w:lineRule="auto"/>
        <w:jc w:val="both"/>
        <w:rPr>
          <w:rFonts w:ascii="Times New Roman" w:hAnsi="Times New Roman"/>
          <w:color w:val="000000" w:themeColor="text1"/>
          <w:sz w:val="16"/>
          <w:szCs w:val="16"/>
        </w:rPr>
      </w:pPr>
    </w:p>
    <w:p w14:paraId="7588BBC2" w14:textId="18BC34CC"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мая 1944 начавшиеся 28 апреля 1944 испытания Су-6 с ВЯ, но уже были приостановлены. После получения с завода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24 другого экземпляра мотора АМ-42 испытания самолета предполагалось продолжить.</w:t>
      </w:r>
    </w:p>
    <w:p w14:paraId="199806B4"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этому времени успешно закончились государственные испытания штурмовика-бомбардировщика Ил-8 с АМ-42 и подходили к завершению испытания штурмовика Ил-10 с АМ-42. Оба самолета по летным данным были близки к самолету Су-6 АМ-42.</w:t>
      </w:r>
    </w:p>
    <w:p w14:paraId="7845D95D" w14:textId="1E1598CB"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этих условиях нарком авиапрома 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Шахурин без согласования с командованием ВВС КА дает указание о развертывании на заводе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18 серийного выпуска Ил-8 с АМ-42, как имеющего меньшие технические риски при организации массового производства. Соответствующий приказ директор завода 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Белянский отдал 18 мая.</w:t>
      </w:r>
    </w:p>
    <w:p w14:paraId="2AB0CAE9" w14:textId="75405BDF"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плохо работающий мотор, летные данные оказались заметно лучше, чем у Ил-8 АМ-42. По устойчивости, управляемости, маневренности и простоте посадки самолет оценивался достаточно высоко (выше, чем Ил-8). После замены 37-мм пушек 11П пушками ВЯ калибра 23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 вес нормальной бомбовой нагрузки увеличился с 400 до 600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(стал как у Ил-8). Ракетное оружие осталось без изменений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6 РО-132 или РО-82 (на Ил-8 ракетное оружие не предусматривалось).</w:t>
      </w:r>
    </w:p>
    <w:p w14:paraId="5B650584" w14:textId="56CF5E9F"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сложилась весьма непростая ситуация. Несмотря на успешные в целом государственные испытания Ил-8 АМ-42 и положительное заключение НИИ ВВС, окончательное решение командования ВВС КА по этому самолету еще не оформилось («ни штурмовик, ни бомбардировщик»). Больший интерес все же представлял Су-6, как наиболее полно отвечающий требованиям к самолету непосредственной поддержки войск. Однако он только с 28 апреля начал летать по программе государственных испытаний, и окончательные результаты еще не получены. К тому же в стадии завершения находились заводские летные испытания опытного штурмовика Ил-10 АМ-42 (истребитель Ил-1 в двухместном штурмовом варианте). По сведениям Ильюшина и военпреда на заводе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240 инженер-майора Григорьева, его летные данные были также высокими. Очевидно, следовало не торопиться и не принимать скоропалительных решений (17490).</w:t>
      </w:r>
    </w:p>
    <w:p w14:paraId="4D916D9F" w14:textId="77777777" w:rsidR="00962976" w:rsidRPr="00070ADE" w:rsidRDefault="00962976" w:rsidP="00B56F90">
      <w:pPr>
        <w:spacing w:after="0" w:line="240" w:lineRule="auto"/>
        <w:jc w:val="both"/>
        <w:rPr>
          <w:rFonts w:ascii="Times New Roman" w:eastAsia="Times New Roman" w:hAnsi="Times New Roman"/>
          <w:color w:val="000000" w:themeColor="text1"/>
          <w:sz w:val="16"/>
          <w:szCs w:val="16"/>
          <w:lang w:eastAsia="ru-RU"/>
        </w:rPr>
      </w:pPr>
    </w:p>
    <w:p w14:paraId="5F2750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мая 1944 года зам. начальника 7-го гл. управления НКАП В.Н. Алексеев писал письмо Шахурину.</w:t>
      </w:r>
    </w:p>
    <w:p w14:paraId="024202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Справка</w:t>
      </w:r>
    </w:p>
    <w:p w14:paraId="397273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мероприятиях по улучшению летных качеств самолета</w:t>
      </w:r>
    </w:p>
    <w:p w14:paraId="76C8A6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ЛА-7 с мотором АШ-82ФН</w:t>
      </w:r>
    </w:p>
    <w:p w14:paraId="0ABA5D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Ла-7 с мотором АШ-82ФН, прошедший гос. испытания в феврале-марте с.г. в НИИ ВВС, показал следующие летные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506C7C4A" w14:textId="77777777">
        <w:tc>
          <w:tcPr>
            <w:tcW w:w="5636" w:type="dxa"/>
          </w:tcPr>
          <w:p w14:paraId="2A9DDB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Максимальную горизонтальную скорость </w:t>
            </w:r>
          </w:p>
        </w:tc>
        <w:tc>
          <w:tcPr>
            <w:tcW w:w="5636" w:type="dxa"/>
          </w:tcPr>
          <w:p w14:paraId="05029D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F29104B" w14:textId="77777777">
        <w:tc>
          <w:tcPr>
            <w:tcW w:w="5636" w:type="dxa"/>
          </w:tcPr>
          <w:p w14:paraId="6CE913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 при Рк=1015м</w:t>
            </w:r>
          </w:p>
        </w:tc>
        <w:tc>
          <w:tcPr>
            <w:tcW w:w="5636" w:type="dxa"/>
          </w:tcPr>
          <w:p w14:paraId="44954F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597 км/час</w:t>
            </w:r>
          </w:p>
        </w:tc>
      </w:tr>
      <w:tr w:rsidR="004D4663" w:rsidRPr="00070ADE" w14:paraId="2CECC351" w14:textId="77777777">
        <w:tc>
          <w:tcPr>
            <w:tcW w:w="5636" w:type="dxa"/>
          </w:tcPr>
          <w:p w14:paraId="5562E0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первой границе высотности 3250 м</w:t>
            </w:r>
          </w:p>
        </w:tc>
        <w:tc>
          <w:tcPr>
            <w:tcW w:w="5636" w:type="dxa"/>
          </w:tcPr>
          <w:p w14:paraId="4D3CB4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670 км/час</w:t>
            </w:r>
          </w:p>
        </w:tc>
      </w:tr>
      <w:tr w:rsidR="004D4663" w:rsidRPr="00070ADE" w14:paraId="656DBE12" w14:textId="77777777">
        <w:tc>
          <w:tcPr>
            <w:tcW w:w="5636" w:type="dxa"/>
          </w:tcPr>
          <w:p w14:paraId="120DCC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второй границе высотности 6000 м</w:t>
            </w:r>
          </w:p>
        </w:tc>
        <w:tc>
          <w:tcPr>
            <w:tcW w:w="5636" w:type="dxa"/>
          </w:tcPr>
          <w:p w14:paraId="365E94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680 км/час</w:t>
            </w:r>
          </w:p>
        </w:tc>
      </w:tr>
      <w:tr w:rsidR="004D4663" w:rsidRPr="00070ADE" w14:paraId="3B1F2E10" w14:textId="77777777">
        <w:tc>
          <w:tcPr>
            <w:tcW w:w="5636" w:type="dxa"/>
          </w:tcPr>
          <w:p w14:paraId="3E21AB0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 5000 м</w:t>
            </w:r>
          </w:p>
        </w:tc>
        <w:tc>
          <w:tcPr>
            <w:tcW w:w="5636" w:type="dxa"/>
          </w:tcPr>
          <w:p w14:paraId="2CAB1A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661 км/час</w:t>
            </w:r>
          </w:p>
        </w:tc>
      </w:tr>
      <w:tr w:rsidR="004D4663" w:rsidRPr="00070ADE" w14:paraId="3449B107" w14:textId="77777777">
        <w:tc>
          <w:tcPr>
            <w:tcW w:w="5636" w:type="dxa"/>
          </w:tcPr>
          <w:p w14:paraId="3636F2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 м</w:t>
            </w:r>
          </w:p>
        </w:tc>
        <w:tc>
          <w:tcPr>
            <w:tcW w:w="5636" w:type="dxa"/>
          </w:tcPr>
          <w:p w14:paraId="74F69F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4,45 мин.</w:t>
            </w:r>
          </w:p>
        </w:tc>
      </w:tr>
    </w:tbl>
    <w:p w14:paraId="0A1916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самолетом Ла-5 с мотором АШ-82ФН (дублер), проходившим испытания в апреле 1943 года и принятым по своим летным данным за образец для серии в 1943 году, самолет Ла-7 имеет большую максимальную скорость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4D4663" w:rsidRPr="00070ADE" w14:paraId="381D7EBA" w14:textId="77777777">
        <w:tc>
          <w:tcPr>
            <w:tcW w:w="3757" w:type="dxa"/>
          </w:tcPr>
          <w:p w14:paraId="7F8539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у земли</w:t>
            </w:r>
          </w:p>
        </w:tc>
        <w:tc>
          <w:tcPr>
            <w:tcW w:w="3757" w:type="dxa"/>
          </w:tcPr>
          <w:p w14:paraId="350C68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35 км/час</w:t>
            </w:r>
          </w:p>
        </w:tc>
      </w:tr>
      <w:tr w:rsidR="004D4663" w:rsidRPr="00070ADE" w14:paraId="501EC1B5" w14:textId="77777777">
        <w:tc>
          <w:tcPr>
            <w:tcW w:w="3757" w:type="dxa"/>
          </w:tcPr>
          <w:p w14:paraId="5E9381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первой границе высотности</w:t>
            </w:r>
          </w:p>
        </w:tc>
        <w:tc>
          <w:tcPr>
            <w:tcW w:w="3757" w:type="dxa"/>
          </w:tcPr>
          <w:p w14:paraId="5BEA8C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44 км/час</w:t>
            </w:r>
          </w:p>
        </w:tc>
      </w:tr>
      <w:tr w:rsidR="004D4663" w:rsidRPr="00070ADE" w14:paraId="5506A520" w14:textId="77777777">
        <w:tc>
          <w:tcPr>
            <w:tcW w:w="3757" w:type="dxa"/>
          </w:tcPr>
          <w:p w14:paraId="46FA17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второй границе высотности</w:t>
            </w:r>
          </w:p>
        </w:tc>
        <w:tc>
          <w:tcPr>
            <w:tcW w:w="3757" w:type="dxa"/>
          </w:tcPr>
          <w:p w14:paraId="035E55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32 км/час</w:t>
            </w:r>
          </w:p>
        </w:tc>
      </w:tr>
    </w:tbl>
    <w:p w14:paraId="7AF98E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 м сократилось на 0,25 мин.</w:t>
      </w:r>
    </w:p>
    <w:p w14:paraId="52E052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серийными самолетами Ла-5, выпущенными за последние месяцы и имеющими несколько ухудшенные летные данные по сравнению с образцом самолета Ла-5, проходившим испытания в апреле 1943 года, самолет Ла-7 обладает еще большими преимуществами в скорости и скороподъемности.</w:t>
      </w:r>
    </w:p>
    <w:p w14:paraId="02C91C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Улучшение летных качеств самолета Ла-7 достигнуто за счет введения ряда конструктивных переделок, значительно снизивших лобовое сопротивление самолета. Основными из них являются:</w:t>
      </w:r>
    </w:p>
    <w:p w14:paraId="78651E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Улучшения системы дефлекторов, выразившиеся в герметизации ее и уменьшении зазоров между дефлекторами и цилиндрами мотора, что дало значительное уменьшение расхода воздуха, проходящего через капот мотора. Как показали исследования ЦАГИ в аэродинамической трубе Т=101, проведенное улучшение дефлектирования увеличивает максимальную скорость, примерно, на 10 км/час.</w:t>
      </w:r>
    </w:p>
    <w:p w14:paraId="5A501A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Установка винта ВИШ-105В-4 с "Махоустойчивыми" профилями лопастей, разработанными ЦАГИ. По данным испытаний ЛИИ применение этих лопастей увеличивает скорость самолета, примерно, на 11 км/час.</w:t>
      </w:r>
    </w:p>
    <w:p w14:paraId="4E289B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Перенос всасывающего патрубка с капота мотора в носок центроплана, снизивший гидравлические потери во внутренних каналах.</w:t>
      </w:r>
    </w:p>
    <w:p w14:paraId="06D6E9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Установка масляного радиатора под фюзеляжем за 5 шпангоутом в туннеле улучшенной аэродинамической формы, имеющем специальный желоб для отвода наиболее заторможенной части воздуха от входа в туннель.</w:t>
      </w:r>
    </w:p>
    <w:p w14:paraId="7DC190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Уменьшение размеров боковых створок капота и удаление их от поверхности центроплана. Это мероприятие улучшило обтекание центральной части крыла и уничтожило преждевременный срыв потока воздуха, имевшийся ранее. У самолета Ла-7 срыв потока, по испытаниям ЦАГИ, начинается только на углах 20-22 градуса, что очень существенно для маневренности самолета.</w:t>
      </w:r>
    </w:p>
    <w:p w14:paraId="05D47A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Введение индивидуальных выхлопных патрубков на все цилиндры мотора.</w:t>
      </w:r>
    </w:p>
    <w:p w14:paraId="437B8A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Применение металлических лонжеронов крыла, вместо деревянных, позволило уменьшить полетный вес самолета, по отчету о гос. испытаниях, на 55 кг против веса серийного самолета Ла-5 с деревянными лонжеронами крыла, при одновременном проведении ряда других изменений, утяжеляющих вес конструкции.</w:t>
      </w:r>
    </w:p>
    <w:p w14:paraId="757256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Герметизация планера, выполненная более полно и тщательно, по сравнению с ранее произведенной на самолете Ла-5.</w:t>
      </w:r>
    </w:p>
    <w:p w14:paraId="3E796C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в самолете осуществлен ряд других мероприятий, улучшающих летные качества самолета: установлена безмачтовая антенна, увеличена аэродинамическая компенсация руля высоты до 23%, вместо 20%, спрямлена передняя часть центроплана между фюзеляжем и разъемом крыла, улучшена отделка самолета и некоторые другие (1825).</w:t>
      </w:r>
    </w:p>
    <w:p w14:paraId="535410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0A8B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мая 1944 директор завода № 148 писал письмо 55с Зам. Нач. 12 ГУ НКАП т. И.А.Соколову</w:t>
      </w:r>
    </w:p>
    <w:p w14:paraId="3E84FED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Копия: Нач. ПГУ НКХП т. С.Я.Файнштейн</w:t>
      </w:r>
    </w:p>
    <w:p w14:paraId="0F3129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Прлученный от Вас график мая месяца по отгрузке .бронекозырьков К-01, К-05, К-06 осуществлен быть не может, т.к. производство бронекозырьков не обеспечено сталинитом. Как видно из придагаемой при сем копии графика поставок сталинита, согласованного со стеклозаводом.</w:t>
      </w:r>
    </w:p>
    <w:p w14:paraId="6C0EA0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Неб ооеопечена позиция К-05 где</w:t>
      </w:r>
      <w:r w:rsidRPr="00070ADE">
        <w:rPr>
          <w:rFonts w:ascii="Times New Roman" w:hAnsi="Times New Roman"/>
          <w:smallCaps/>
          <w:color w:val="000000" w:themeColor="text1"/>
          <w:sz w:val="16"/>
          <w:szCs w:val="16"/>
        </w:rPr>
        <w:t>при</w:t>
      </w:r>
      <w:r w:rsidRPr="00070ADE">
        <w:rPr>
          <w:rFonts w:ascii="Times New Roman" w:hAnsi="Times New Roman"/>
          <w:color w:val="000000" w:themeColor="text1"/>
          <w:sz w:val="16"/>
          <w:szCs w:val="16"/>
        </w:rPr>
        <w:t xml:space="preserve"> требуемых поставках готовых изделий в 800 копл., сталинитом ооеспечено 740 комп., по позиции К-06 по имеющимся на заводе № 148 сведениям, недостающее количество в 25 компл. должен отгрузить завод 233 (Люберцы ).</w:t>
      </w:r>
    </w:p>
    <w:p w14:paraId="083F65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следует особо обратить внимание на:</w:t>
      </w:r>
    </w:p>
    <w:p w14:paraId="033075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Стеклозавод им. Горького вместо 466 компл. Подлеж. Отгрузке за 10 дней мая месяца фактически отгрузил 40 комплектов.</w:t>
      </w:r>
    </w:p>
    <w:p w14:paraId="751509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Несмотря на особое мнение завода № 148 (см.копию графика) стеклозавод им. Горького фактически если и закончит поставку, то только 31-м числом мая месяца.</w:t>
      </w:r>
    </w:p>
    <w:p w14:paraId="430BCB25" w14:textId="77777777" w:rsidR="00595BFB" w:rsidRPr="00070ADE" w:rsidRDefault="00595BFB" w:rsidP="00B56F90">
      <w:pPr>
        <w:tabs>
          <w:tab w:val="left" w:pos="5878"/>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Следовательно, исходя из технологии пр-ва броне-козырьков, которая требует, 3-4-х суточного цикла их изготовления, 216 ком.</w:t>
      </w:r>
    </w:p>
    <w:p w14:paraId="367D35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сталинита, поставлених после 27 мая - не смогут быть сданы в мае месяце и пойдут на задел июня месяца.</w:t>
      </w:r>
    </w:p>
    <w:p w14:paraId="7C8C11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стеклозавод им. Горького, в результате отсутствия поставок с 1/У по 10/У и предполагаемого окончания поставок 31/У-44 г. практически сорвет поставки бронекозырьков НКАПу.</w:t>
      </w:r>
    </w:p>
    <w:p w14:paraId="2480CF9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принятия мер с Вашей стороны, и в частноти поставок сталинита Стеклозаводом им. Горького в мае впредь обязать стеклозавод заканчивать поставки не позднее 26-27 числа каждого месяца (10532,24).</w:t>
      </w:r>
    </w:p>
    <w:p w14:paraId="7CA920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F61506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35783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5B88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мая 1944 вышло Распоряжение ГКО № 5902. О поставке заводу № 677 НКБ (Новосибирск) 672 т стали для изготовления минных взрывателей. РГАНИР, Фонд ГКО, д. 254, лл. 75 (11012).</w:t>
      </w:r>
    </w:p>
    <w:p w14:paraId="557D80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AB3DAC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мая 1944 вышло Распоряжение ГКО № 5903 [О производстве 2970 т проката для сооружения железнодорожных военных мостов.] (7233, 76).</w:t>
      </w:r>
    </w:p>
    <w:p w14:paraId="70DD5C6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2E16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мая 1944 вышло Постановление ГКО № 5904 Об обеспечении Наркомсредмаша черным прокатом на июнь 1944 г. РГАНИР, Фонд ГКО, д. 254, лл. 77 (11012).</w:t>
      </w:r>
    </w:p>
    <w:p w14:paraId="3E1309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B5CE7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мая 1944 вышло Постановление ГКО № 5905 О выделении 25 тыс. военнослужащих ДВФ в помощь сельскому хозяйству Приморского края. РГАНИР, Фонд ГКО, д. 254, лл. 78 (11012).</w:t>
      </w:r>
    </w:p>
    <w:p w14:paraId="363830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4BBAE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мая 1944 вышло Распоряжение ГКО № 5906. О выделении НКВМФ 350 автомашин во II кв. 1944 г. РГАНИР, Фонд ГКО, д. 254, лл. 79 (11012).</w:t>
      </w:r>
    </w:p>
    <w:p w14:paraId="4F1205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15C01A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1B954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EFF428"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16 мая</w:t>
      </w:r>
      <w:r w:rsidRPr="00070ADE">
        <w:rPr>
          <w:rFonts w:ascii="Times New Roman" w:hAnsi="Times New Roman"/>
          <w:color w:val="000000" w:themeColor="text1"/>
          <w:sz w:val="16"/>
          <w:szCs w:val="16"/>
        </w:rPr>
        <w:t xml:space="preserve"> в 1944 году оперативная сводка Совинформбюро:</w:t>
      </w:r>
    </w:p>
    <w:p w14:paraId="7976A820"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16 мая на фронтах существенных изменений не произошло. За 15 мая в воздушных боях и огнём зенитной артиллерии сбито 19 самолётов противника.»</w:t>
      </w:r>
    </w:p>
    <w:p w14:paraId="581CCEBB"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Налёт нашей авиации на железнодорожный узел Полоцк</w:t>
      </w:r>
    </w:p>
    <w:p w14:paraId="6433C68E"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16 мая наша авиация произвела налёт на железнодорожный узел Полоцк. Бомбардировке были подвергнуты военные склады и эшелоны противника, находившиеся на путях железнодорожного узла. В результате бомбардировки возникли многочисленные пожары. Среди пожаров произошло семь взрывов, в том числе один взрыв большой силы.</w:t>
      </w:r>
    </w:p>
    <w:p w14:paraId="315521A2"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наши самолёты вернулись на свои аэродромы.»</w:t>
      </w:r>
    </w:p>
    <w:p w14:paraId="29F81AD8"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Тирасполь пехота противника в течение дня несколькораз пыталась атаковать наши позиции. Части Н-ского соединения артиллерийско-миномётным и ружейно-пулемётным огнём отбили все атаки немцев и нанесли им большой урон. На другом участке Н-ская танковая часть провела успешную операцию, в результате которой уничтожено более 400 гитлеровцев.Советские танкисты взяли в плен 80 немецких солдат и офицеров, захватили 100 повозок с боеприпасами и 400 лошадей.</w:t>
      </w:r>
    </w:p>
    <w:p w14:paraId="2E2AA5E3"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районе города Яссы лётчики-истребители гвардии лейтенант Бургонов и гвардии лейтенант Басенко в одном бою сбили по два немецких самолёта. Шесть наших истребителей под командованием капитана Чепинога атаковали 60 немецких бомбардировщиков и сбили 6 самолётов противника.</w:t>
      </w:r>
    </w:p>
    <w:p w14:paraId="352AD201"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Ленинградском фронте большая группа немецких самолётов пыталась бомбардировать боевые порядки наших войск. Советские истребители встретили противника ещё на подходе к цели и в завязавшемся воздушном бою сбили 15 немецких самолётов.</w:t>
      </w:r>
    </w:p>
    <w:p w14:paraId="46C7305A"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три дня, с 3 по 5 мая, партизанский отряд, действующий в Волынскойобласти, пустил под откос 3 немецких воинских эшелона, следовавших к линии фронта. Разбиты 15 вагонов с боеприпасами и несколько цистерн с бензином. Немецкое командование направило против партизанских отрядов карательную экспедицию с бронемашинами и танками. Партизаны заняли оборону и отбили три атаки противника. Ночью советские патриоты незаметно для немцев вышли из боя.</w:t>
      </w:r>
    </w:p>
    <w:p w14:paraId="6296CB2E"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сводке немецкого командования, опубликованной 14 мая, говорится: «13 мая из Крыма были перевезены последние германо-румынские войска. С 1 ноября 1943 года советские войска штурмовали нашу слабую оборону в Крыму. Только в апреле сделалось необходимым отвести наши войска на узкое кольцо обороны вокруг Севастополя. Но и там новые попытки советских войск прорвать кольцо и уничтожить немецкие войска закончились неудачей».</w:t>
      </w:r>
    </w:p>
    <w:p w14:paraId="4DFD7F6C"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этом небольшом сообщении жулики из ставки Гитлера явно переусердствовали.Они врут слишком уж глупо. Если послушать берлинских дурачков, то выходит, что советские войска более шести месяцев штурмовали немецкую оборону, но так и не могли её прорвать. И только когда немцам наскучило находиться в Крыму, они,с ловно курортники, у которых истёк срок путёвки, сели на корабли и отчалили от крымских берегов.</w:t>
      </w:r>
    </w:p>
    <w:p w14:paraId="110E38AA"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События в Крыму у всех ещё свежи в памяти, чтобы их можно было извратить даже таким опытным шулерам, какими являются гитлеровцы. Всем известно, что к 1 ноября 1943 года наступающие советские войска вышли в район Турецкого вала на Перекопском перешейке и тем самым заперли немецко-румынские войска, </w:t>
      </w:r>
      <w:r w:rsidRPr="00070ADE">
        <w:rPr>
          <w:rFonts w:ascii="Times New Roman" w:hAnsi="Times New Roman"/>
          <w:color w:val="000000" w:themeColor="text1"/>
          <w:sz w:val="16"/>
          <w:szCs w:val="16"/>
        </w:rPr>
        <w:lastRenderedPageBreak/>
        <w:t>находившиеся в Крыму. Немцы и их румынские сообщники очутились в мышеловке или, как говорили советские бойцы, в «фрицеловке». С тех пор в течение ряда месяцев части Красной Армии в Крыму не вели активных действий. Всё это время даже гитлеровские брехуны, которые сплошь да рядом из мухи делают слона, ни разу не говорили о штурме их крымских позиций.</w:t>
      </w:r>
    </w:p>
    <w:p w14:paraId="69A090D8"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 Крыма советские войска начали не 1 ноября 1943 года, как теперь утверждает ставка Гитлера, а 8 апреля 1944 года. За десять дней, с 8 по 18 апреля, Красная Армия прорвала оборону немцев на Сиваше, Перекопе и Керченском полуострове и освободила почти весь Крым. Седьмого мая советские войска начали штурм Севастополя и на третий день, 9 мая, полностью овладели городом.</w:t>
      </w:r>
    </w:p>
    <w:p w14:paraId="4FE1AC6C"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Планы немецкого командования в отношении Севастополя были раскрыты в обращении командующего 17 немецкой армией в Крыму генерала Альмендингера. Ссылаясь на приказ Гитлера, Альмендингер писал: «Я получил приказ защищать каждую пядь Севастопольского плацдарма. Его значение вы понимаете... Плацдарм навсю глубину сильно оборудован в инженерном отношении, и противник, где бы он ни появился, запутается в сетях наших оборонительных сооружений. Но никому из нас не должна даже и в голову притти мысль об отходе на эти позиции, расположенные в глубине... Честь армии зависит от каждого метра порученной ей территории».</w:t>
      </w:r>
    </w:p>
    <w:p w14:paraId="1FA0920A"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Стало быть, ещё 3 мая командующий немецкими войсками в Крыму все надежды возлагал на свою оборону и на её сильные сооружения. Чего же после этого стоит жалкий лепет гитлеровцев о слабости обороны в Крыму и об эвакуации немецких войск с Крымского полуострова. Ставка Гитлера явно запуталась в своей собственной лжи.</w:t>
      </w:r>
    </w:p>
    <w:p w14:paraId="6E0F4533"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своё время немцы много шумели о значении Севастополя и приводили всевозможные сравнения. Пусть сегодня незадачливые фашистские стратеги сравнят итоги двух битв за Севастополь. В 1941-1942 г.г. советский гарнизон Севастополя 250 дней отбивал атаки немецких войск и только по приказу ВерховногоКомандования оставил город. В упорных и ожесточённых восьмимесячных боях прославленные защитники города нанесли противнику тяжёлые потери. Немцы потеряли тогда у стен Севастополя убитыми и ранеными до 300 тысяч солдат и офицеров. В1944 году Красная Армия с 8 апреля по 12 мая сокрушила немецкую оборону и полностью очистила Крым от фашистской нечисти. За это время наши войска уничтожили более 50 тысяч и взяли в плен 61.587 солдат и офицеров противника.</w:t>
      </w:r>
    </w:p>
    <w:p w14:paraId="5ADE9EE0"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Таковы факты. Как бы ни изощрялись дурачки из ставки Гитлера, а скрыть разгром немецких войск в Крыму им не удастся.» (14893).</w:t>
      </w:r>
    </w:p>
    <w:p w14:paraId="2981E034" w14:textId="77777777" w:rsidR="004B3F09" w:rsidRPr="00070ADE" w:rsidRDefault="004B3F09" w:rsidP="00B56F90">
      <w:pPr>
        <w:spacing w:after="0" w:line="240" w:lineRule="auto"/>
        <w:jc w:val="both"/>
        <w:rPr>
          <w:rFonts w:ascii="Times New Roman" w:hAnsi="Times New Roman"/>
          <w:color w:val="000000" w:themeColor="text1"/>
          <w:sz w:val="16"/>
          <w:szCs w:val="16"/>
        </w:rPr>
      </w:pPr>
    </w:p>
    <w:p w14:paraId="7682E2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мая 1944 был первый топмачтовый удар на БФ на 9 Ил-2 топмачтовиков и 11 Ил-2 и 18 Пе-2 групп подавления _ 9 истребителей в 12 км севернее о. Асари по конвою из 3 сторожевиков, 3 тральщиков, 4 десантных барж. Топмачтовики потопили 3 тральщика и два катера, а истребители - 8 ФВ-190. Потери - 3 Ил-2 и три Як-9. Потом были 19, 21, 29 мая по 12, 5 и 7. Всего потопили 16 (1085,181).</w:t>
      </w:r>
    </w:p>
    <w:p w14:paraId="164326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1CF2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мая 1944 был первый случай применения топмачтовиков на БФ. 9 Ил-2 топмачтовиков, обеспечиваемых 18 Пе-2 и 11 Ил-2 + 59 и, атаковали корабли в 12 км севернее о Асерию за одну минуту потопили три тральщика и два сторожевика. Бомбили серией из 4-х ФАБ-100 с интервалом 0.25-0.4 с. Потеряли 3 Ил-2 и 2 и, а противник - 8 ФВ-190 (4414,12).</w:t>
      </w:r>
    </w:p>
    <w:p w14:paraId="56885F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BBB81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мая 1944 вышло Постановление ГКО № 5907 О призыве в армию 25 000 женщин-добровольцев. (7233, 80,81).</w:t>
      </w:r>
    </w:p>
    <w:p w14:paraId="649295B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863F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мая 1944 г. в Краснознаменном Балтийском фло</w:t>
      </w:r>
      <w:r w:rsidRPr="00070ADE">
        <w:rPr>
          <w:rFonts w:ascii="Times New Roman" w:hAnsi="Times New Roman"/>
          <w:color w:val="000000" w:themeColor="text1"/>
          <w:sz w:val="16"/>
          <w:szCs w:val="16"/>
        </w:rPr>
        <w:softHyphen/>
        <w:t>те первый удар с применением Ил-2-топмачтовиков был проведен по конвою в 25 км севернее о. Асери (6467).</w:t>
      </w:r>
    </w:p>
    <w:p w14:paraId="474E8A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23A3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мая 1944 началась первая в ходе ВОВ операция подводников СФ (С-56, С-15, С-103, М-201) новым методом - нависающей завесы с использованием разведывательной авиации для наведения и торпедных катеров для совместных ударов. Впервые применяли бесследные электроторпеды. Шла до 31 мая 1943. Потом 10-25 июня и 16 августа - 8 сентября 1943 (3398,184).</w:t>
      </w:r>
    </w:p>
    <w:p w14:paraId="114E85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66228E"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16 мая</w:t>
      </w:r>
      <w:r w:rsidRPr="00070ADE">
        <w:rPr>
          <w:rFonts w:ascii="Times New Roman" w:hAnsi="Times New Roman"/>
          <w:color w:val="000000" w:themeColor="text1"/>
          <w:sz w:val="16"/>
          <w:szCs w:val="16"/>
        </w:rPr>
        <w:t xml:space="preserve"> в 1944 году подводники Северного флота начали первую в ходе Великой Отечественной войны операцию новым методом «нависающей завесы» с использованием разведывательной авиации для наведения и торпедных катеров для совместных ударов (завершилась 31 мая). Впервые в операции применялись бесследные электроторпеды (14893).</w:t>
      </w:r>
    </w:p>
    <w:p w14:paraId="45485B22" w14:textId="77777777" w:rsidR="004B3F09" w:rsidRPr="00070ADE" w:rsidRDefault="004B3F09" w:rsidP="00B56F90">
      <w:pPr>
        <w:spacing w:after="0" w:line="240" w:lineRule="auto"/>
        <w:jc w:val="both"/>
        <w:rPr>
          <w:rFonts w:ascii="Times New Roman" w:hAnsi="Times New Roman"/>
          <w:color w:val="000000" w:themeColor="text1"/>
          <w:sz w:val="16"/>
          <w:szCs w:val="16"/>
        </w:rPr>
      </w:pPr>
    </w:p>
    <w:p w14:paraId="03DCEE03" w14:textId="77777777" w:rsidR="004B3F0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4DA3A794" w14:textId="77777777" w:rsidR="004B3F09" w:rsidRPr="00070ADE" w:rsidRDefault="004B3F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60C557"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16 мая</w:t>
      </w:r>
      <w:r w:rsidRPr="00070ADE">
        <w:rPr>
          <w:rFonts w:ascii="Times New Roman" w:hAnsi="Times New Roman"/>
          <w:color w:val="000000" w:themeColor="text1"/>
          <w:sz w:val="16"/>
          <w:szCs w:val="16"/>
        </w:rPr>
        <w:t xml:space="preserve"> в 1944 году подписание правительствами СССР, США и Великобритании соглашений с эмигрантским правительством Норвегии о гражданской администрации и юрисдикции на норвежской территории после ее освобождения союзными войсками (14893).</w:t>
      </w:r>
    </w:p>
    <w:p w14:paraId="0D7F55A7" w14:textId="77777777" w:rsidR="004B3F09" w:rsidRPr="00070ADE" w:rsidRDefault="004B3F09" w:rsidP="00B56F90">
      <w:pPr>
        <w:spacing w:after="0" w:line="240" w:lineRule="auto"/>
        <w:jc w:val="both"/>
        <w:rPr>
          <w:rFonts w:ascii="Times New Roman" w:hAnsi="Times New Roman"/>
          <w:color w:val="000000" w:themeColor="text1"/>
          <w:sz w:val="16"/>
          <w:szCs w:val="16"/>
        </w:rPr>
      </w:pPr>
    </w:p>
    <w:p w14:paraId="6905A03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17E123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14CE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мая 1944 верховное главнокомандование вермахта отдало приказ о применении V-1 (1227,21).</w:t>
      </w:r>
    </w:p>
    <w:p w14:paraId="404279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2D0F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мая 1944 г. верховное главнокомандование вермахта отдало приказ на боевое применение крылатых ракет V1. Интересно, что в разгар подготовки союзников к высадке во Франции объектами ракетного поражения были выбраны не районы скопления войск и военные заводы, а города с мирным населением. Не изменились эти цели и после высадки первых эшелонов союзного десанта в Нормандии, хотя генерал Эйзенхауэр в своих мемуарах писал, что если бы немецкие ракетчики ударили по району Портсмут–Саутгемптон (район сосредоточения войск вторжения), то операция «Оверлорд» могла бы и не состояться (11686).</w:t>
      </w:r>
    </w:p>
    <w:p w14:paraId="48CB87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32949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16th, 1944: Aircraft of RAF Coastal Command sink 5 U-boats off the Norwegian coast (3819).</w:t>
      </w:r>
    </w:p>
    <w:p w14:paraId="21F041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90298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мая 1944 Королевские ВВС потопили 5 подлодок у побережья Норвегии (3819).</w:t>
      </w:r>
    </w:p>
    <w:p w14:paraId="13B25E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CFB06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6B048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D176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C 17 по 31 мая 1944 в НИИ ВВС проходили летные испытания пулеметно-пушечного и бомбардировочного вооружения самолета Ил-2 с мотором АМ-38Ф (самолет N 304128 производства завода 30 марта 1944). Отв. исполнители: ви и-м А.Ф.Толпышкин, вл ст.л. Г.А.Тиняков, вш к Т.Ф.Горбунов. Испытывали:</w:t>
      </w:r>
    </w:p>
    <w:p w14:paraId="05CA5A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Характеристики задней ограниченно подвижной установки УБШ под УБТ-12.7 мм (завод 487 с 4 магазинами по 50 патронов) и целесообразность установки на Ил-2 взамен ВУБ-3</w:t>
      </w:r>
    </w:p>
    <w:p w14:paraId="3EF417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Удобство прицеливания и жесткость крепления прицела ПБП-1Б и возможность его съемки в случае вынужденной посадки</w:t>
      </w:r>
    </w:p>
    <w:p w14:paraId="352E89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Надежность работы и удобство эксплуатации измененной проводки пневмоперезарядки пушек ВЯ-23 мм</w:t>
      </w:r>
    </w:p>
    <w:p w14:paraId="5553BF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Возможность контроля стрельбы из неподвижного оружия при помощи фотокинопулемета ПАУ-22 (качественность снимков) на земле и в воздухе, а также жесткость и удобство эксплуатации установки</w:t>
      </w:r>
    </w:p>
    <w:p w14:paraId="08EE2E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Удобство пользования прицельными приспособлениями для бомбометания с прибором ВМШ-2, нанесенными согласно рекомендации НТЖ НИИ АВ и письма ГШ ВВС КА</w:t>
      </w:r>
    </w:p>
    <w:p w14:paraId="347574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Целесообразность переноса усилителя СПУФ из хвостовой части фюзеляжа в броневую (1861).</w:t>
      </w:r>
    </w:p>
    <w:p w14:paraId="190A41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867D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мая 1944 г. после ряда доработок установка УБШ конструкции Шебанова (завод № 487 НКВ) была пред</w:t>
      </w:r>
      <w:r w:rsidRPr="00070ADE">
        <w:rPr>
          <w:rFonts w:ascii="Times New Roman" w:hAnsi="Times New Roman"/>
          <w:color w:val="000000" w:themeColor="text1"/>
          <w:sz w:val="16"/>
          <w:szCs w:val="16"/>
        </w:rPr>
        <w:softHyphen/>
        <w:t>ставлена в НИИ ВВС для производства государственных ис</w:t>
      </w:r>
      <w:r w:rsidRPr="00070ADE">
        <w:rPr>
          <w:rFonts w:ascii="Times New Roman" w:hAnsi="Times New Roman"/>
          <w:color w:val="000000" w:themeColor="text1"/>
          <w:sz w:val="16"/>
          <w:szCs w:val="16"/>
        </w:rPr>
        <w:softHyphen/>
        <w:t>пытаний.</w:t>
      </w:r>
    </w:p>
    <w:p w14:paraId="7787FC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Модифицированная установка УБШ была смонтирована на серийном самолете Ил-2 зав. 304128 производства завода № 30.</w:t>
      </w:r>
    </w:p>
    <w:p w14:paraId="36E00C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1943 в частях 1-й воздушной армии неудачно за</w:t>
      </w:r>
      <w:r w:rsidRPr="00070ADE">
        <w:rPr>
          <w:rFonts w:ascii="Times New Roman" w:hAnsi="Times New Roman"/>
          <w:color w:val="000000" w:themeColor="text1"/>
          <w:sz w:val="16"/>
          <w:szCs w:val="16"/>
        </w:rPr>
        <w:softHyphen/>
        <w:t>вершились войсковые испытания оборонительной установки УБШ конструкции Шебанова (завод № 487 НКВ).</w:t>
      </w:r>
    </w:p>
    <w:p w14:paraId="4C4A73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состояла из подпятника, укрепленного на жест</w:t>
      </w:r>
      <w:r w:rsidRPr="00070ADE">
        <w:rPr>
          <w:rFonts w:ascii="Times New Roman" w:hAnsi="Times New Roman"/>
          <w:color w:val="000000" w:themeColor="text1"/>
          <w:sz w:val="16"/>
          <w:szCs w:val="16"/>
        </w:rPr>
        <w:softHyphen/>
        <w:t>кости фюзеляжа, вильчатого шкворня, вертлюга, лафета и меха</w:t>
      </w:r>
      <w:r w:rsidRPr="00070ADE">
        <w:rPr>
          <w:rFonts w:ascii="Times New Roman" w:hAnsi="Times New Roman"/>
          <w:color w:val="000000" w:themeColor="text1"/>
          <w:sz w:val="16"/>
          <w:szCs w:val="16"/>
        </w:rPr>
        <w:softHyphen/>
        <w:t>низма стабилизации вектора собственной скорости самолета. Боекомплект к пулемету УБТ включал четыре магазина по 50 патронов в штатной ленте. Запасные магазины крепились на специальных замках, расположенных по бортам кабины стрел</w:t>
      </w:r>
      <w:r w:rsidRPr="00070ADE">
        <w:rPr>
          <w:rFonts w:ascii="Times New Roman" w:hAnsi="Times New Roman"/>
          <w:color w:val="000000" w:themeColor="text1"/>
          <w:sz w:val="16"/>
          <w:szCs w:val="16"/>
        </w:rPr>
        <w:softHyphen/>
        <w:t>ка. Гильзы и звенья собирались в легкосъемный мешок, подве</w:t>
      </w:r>
      <w:r w:rsidRPr="00070ADE">
        <w:rPr>
          <w:rFonts w:ascii="Times New Roman" w:hAnsi="Times New Roman"/>
          <w:color w:val="000000" w:themeColor="text1"/>
          <w:sz w:val="16"/>
          <w:szCs w:val="16"/>
        </w:rPr>
        <w:softHyphen/>
        <w:t>шиваемый на лафете пулемета. К установке прилагались два мешка — по одному мешку на два магазина.</w:t>
      </w:r>
    </w:p>
    <w:p w14:paraId="5F4BC8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Прицеливание осуществлялось при помощи прицела К-8Т. Наводка пулемета на цель выполнялась путем переброски Ил-2 АМ-38ф с турельной установкой вертлюга в горизонтальной плоскости и поворота оружия во</w:t>
      </w:r>
      <w:r w:rsidRPr="00070ADE">
        <w:rPr>
          <w:rFonts w:ascii="Times New Roman" w:hAnsi="Times New Roman"/>
          <w:color w:val="000000" w:themeColor="text1"/>
          <w:sz w:val="16"/>
          <w:szCs w:val="16"/>
        </w:rPr>
        <w:softHyphen/>
        <w:t>круг оси вильчатого шкворня.</w:t>
      </w:r>
    </w:p>
    <w:p w14:paraId="794BD0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была легка в управлении и в сравнении с ВУБ-3 обеспечивала больший диапазон углов обстрела и меньшее рас</w:t>
      </w:r>
      <w:r w:rsidRPr="00070ADE">
        <w:rPr>
          <w:rFonts w:ascii="Times New Roman" w:hAnsi="Times New Roman"/>
          <w:color w:val="000000" w:themeColor="text1"/>
          <w:sz w:val="16"/>
          <w:szCs w:val="16"/>
        </w:rPr>
        <w:softHyphen/>
        <w:t>сеивание при стрельбе в воздухе. Однако высокий процент за</w:t>
      </w:r>
      <w:r w:rsidRPr="00070ADE">
        <w:rPr>
          <w:rFonts w:ascii="Times New Roman" w:hAnsi="Times New Roman"/>
          <w:color w:val="000000" w:themeColor="text1"/>
          <w:sz w:val="16"/>
          <w:szCs w:val="16"/>
        </w:rPr>
        <w:softHyphen/>
        <w:t>держек при стрельбе по вине установки не позволил рекомендо</w:t>
      </w:r>
      <w:r w:rsidRPr="00070ADE">
        <w:rPr>
          <w:rFonts w:ascii="Times New Roman" w:hAnsi="Times New Roman"/>
          <w:color w:val="000000" w:themeColor="text1"/>
          <w:sz w:val="16"/>
          <w:szCs w:val="16"/>
        </w:rPr>
        <w:softHyphen/>
        <w:t>вать ее к внедрению в серийное производство.</w:t>
      </w:r>
    </w:p>
    <w:p w14:paraId="6C9049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отличие от образца, проходившего войсковые испыта</w:t>
      </w:r>
      <w:r w:rsidRPr="00070ADE">
        <w:rPr>
          <w:rFonts w:ascii="Times New Roman" w:hAnsi="Times New Roman"/>
          <w:color w:val="000000" w:themeColor="text1"/>
          <w:sz w:val="16"/>
          <w:szCs w:val="16"/>
        </w:rPr>
        <w:softHyphen/>
        <w:t>ния, изменена лейка крепления вертлюга к основанию, смон</w:t>
      </w:r>
      <w:r w:rsidRPr="00070ADE">
        <w:rPr>
          <w:rFonts w:ascii="Times New Roman" w:hAnsi="Times New Roman"/>
          <w:color w:val="000000" w:themeColor="text1"/>
          <w:sz w:val="16"/>
          <w:szCs w:val="16"/>
        </w:rPr>
        <w:softHyphen/>
        <w:t>тирован ограничитель вертикальных углов и установлен плече</w:t>
      </w:r>
      <w:r w:rsidRPr="00070ADE">
        <w:rPr>
          <w:rFonts w:ascii="Times New Roman" w:hAnsi="Times New Roman"/>
          <w:color w:val="000000" w:themeColor="text1"/>
          <w:sz w:val="16"/>
          <w:szCs w:val="16"/>
        </w:rPr>
        <w:softHyphen/>
        <w:t>вой упор.</w:t>
      </w:r>
    </w:p>
    <w:p w14:paraId="766ADF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Всесторонние испытания, в том числе воздушные бои с ис</w:t>
      </w:r>
      <w:r w:rsidRPr="00070ADE">
        <w:rPr>
          <w:rFonts w:ascii="Times New Roman" w:hAnsi="Times New Roman"/>
          <w:color w:val="000000" w:themeColor="text1"/>
          <w:sz w:val="16"/>
          <w:szCs w:val="16"/>
        </w:rPr>
        <w:softHyphen/>
        <w:t>требителем Ла-5, показали, что УБШ не имеет явных преиму</w:t>
      </w:r>
      <w:r w:rsidRPr="00070ADE">
        <w:rPr>
          <w:rFonts w:ascii="Times New Roman" w:hAnsi="Times New Roman"/>
          <w:color w:val="000000" w:themeColor="text1"/>
          <w:sz w:val="16"/>
          <w:szCs w:val="16"/>
        </w:rPr>
        <w:softHyphen/>
        <w:t>ществ перед ВУБ-3. К тому же установка оказалась ненадеж</w:t>
      </w:r>
      <w:r w:rsidRPr="00070ADE">
        <w:rPr>
          <w:rFonts w:ascii="Times New Roman" w:hAnsi="Times New Roman"/>
          <w:color w:val="000000" w:themeColor="text1"/>
          <w:sz w:val="16"/>
          <w:szCs w:val="16"/>
        </w:rPr>
        <w:softHyphen/>
        <w:t>ной в работе. В семи полетах из 11 были неустранимые в возду</w:t>
      </w:r>
      <w:r w:rsidRPr="00070ADE">
        <w:rPr>
          <w:rFonts w:ascii="Times New Roman" w:hAnsi="Times New Roman"/>
          <w:color w:val="000000" w:themeColor="text1"/>
          <w:sz w:val="16"/>
          <w:szCs w:val="16"/>
        </w:rPr>
        <w:softHyphen/>
        <w:t>хе задержки в стрельбе. В силу этого был сделан вывод о нецелесообразности внедрения турели УБШ в серийное про</w:t>
      </w:r>
      <w:r w:rsidRPr="00070ADE">
        <w:rPr>
          <w:rFonts w:ascii="Times New Roman" w:hAnsi="Times New Roman"/>
          <w:color w:val="000000" w:themeColor="text1"/>
          <w:sz w:val="16"/>
          <w:szCs w:val="16"/>
        </w:rPr>
        <w:softHyphen/>
        <w:t>изводство, так как она «не улучшает обороноспособности са</w:t>
      </w:r>
      <w:r w:rsidRPr="00070ADE">
        <w:rPr>
          <w:rFonts w:ascii="Times New Roman" w:hAnsi="Times New Roman"/>
          <w:color w:val="000000" w:themeColor="text1"/>
          <w:sz w:val="16"/>
          <w:szCs w:val="16"/>
        </w:rPr>
        <w:softHyphen/>
        <w:t>молета Ил-2 и имеет недостаточную живучесть» (11474,385).</w:t>
      </w:r>
    </w:p>
    <w:p w14:paraId="7D1CC3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EBF922"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17 по 31 мая 1944 г. в НИИ ВВС про</w:t>
      </w:r>
      <w:r w:rsidRPr="00070ADE">
        <w:rPr>
          <w:rFonts w:ascii="Times New Roman" w:hAnsi="Times New Roman"/>
          <w:color w:val="000000" w:themeColor="text1"/>
          <w:sz w:val="16"/>
          <w:szCs w:val="16"/>
        </w:rPr>
        <w:softHyphen/>
        <w:t>ходил специальные контрольные испытания самолет Ил-2 зав. №304128 с установкой УБШ.</w:t>
      </w:r>
    </w:p>
    <w:p w14:paraId="5AC16A7C"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опытными установка</w:t>
      </w:r>
      <w:r w:rsidRPr="00070ADE">
        <w:rPr>
          <w:rFonts w:ascii="Times New Roman" w:hAnsi="Times New Roman"/>
          <w:color w:val="000000" w:themeColor="text1"/>
          <w:sz w:val="16"/>
          <w:szCs w:val="16"/>
        </w:rPr>
        <w:softHyphen/>
        <w:t>ми УБШ, проходившими войсковые испыта</w:t>
      </w:r>
      <w:r w:rsidRPr="00070ADE">
        <w:rPr>
          <w:rFonts w:ascii="Times New Roman" w:hAnsi="Times New Roman"/>
          <w:color w:val="000000" w:themeColor="text1"/>
          <w:sz w:val="16"/>
          <w:szCs w:val="16"/>
        </w:rPr>
        <w:softHyphen/>
        <w:t>ния в 1943 г., предъявленный образец имел следующие основные отличия: «смонтиро</w:t>
      </w:r>
      <w:r w:rsidRPr="00070ADE">
        <w:rPr>
          <w:rFonts w:ascii="Times New Roman" w:hAnsi="Times New Roman"/>
          <w:color w:val="000000" w:themeColor="text1"/>
          <w:sz w:val="16"/>
          <w:szCs w:val="16"/>
        </w:rPr>
        <w:softHyphen/>
        <w:t>вана серийная стабилизация прицела ОМП-И, на вертлюге установлен фигурный ограничи</w:t>
      </w:r>
      <w:r w:rsidRPr="00070ADE">
        <w:rPr>
          <w:rFonts w:ascii="Times New Roman" w:hAnsi="Times New Roman"/>
          <w:color w:val="000000" w:themeColor="text1"/>
          <w:sz w:val="16"/>
          <w:szCs w:val="16"/>
        </w:rPr>
        <w:softHyphen/>
        <w:t>тель вертикальных углов, установлен плече</w:t>
      </w:r>
      <w:r w:rsidRPr="00070ADE">
        <w:rPr>
          <w:rFonts w:ascii="Times New Roman" w:hAnsi="Times New Roman"/>
          <w:color w:val="000000" w:themeColor="text1"/>
          <w:sz w:val="16"/>
          <w:szCs w:val="16"/>
        </w:rPr>
        <w:softHyphen/>
        <w:t>вой упор, изменена лейка крепления вертлюга к основанию».</w:t>
      </w:r>
    </w:p>
    <w:p w14:paraId="491F0EC8"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УБШ отстреляли на земле и в возду</w:t>
      </w:r>
      <w:r w:rsidRPr="00070ADE">
        <w:rPr>
          <w:rFonts w:ascii="Times New Roman" w:hAnsi="Times New Roman"/>
          <w:color w:val="000000" w:themeColor="text1"/>
          <w:sz w:val="16"/>
          <w:szCs w:val="16"/>
        </w:rPr>
        <w:softHyphen/>
        <w:t>хе. В общей сложности выполнили 24 поле</w:t>
      </w:r>
      <w:r w:rsidRPr="00070ADE">
        <w:rPr>
          <w:rFonts w:ascii="Times New Roman" w:hAnsi="Times New Roman"/>
          <w:color w:val="000000" w:themeColor="text1"/>
          <w:sz w:val="16"/>
          <w:szCs w:val="16"/>
        </w:rPr>
        <w:softHyphen/>
        <w:t>та (налет 13 ч 35 мин), в том числе четыре - «на воздушный бой с Ла-5 с целью определе</w:t>
      </w:r>
      <w:r w:rsidRPr="00070ADE">
        <w:rPr>
          <w:rFonts w:ascii="Times New Roman" w:hAnsi="Times New Roman"/>
          <w:color w:val="000000" w:themeColor="text1"/>
          <w:sz w:val="16"/>
          <w:szCs w:val="16"/>
        </w:rPr>
        <w:softHyphen/>
        <w:t>ния маневренных качеств УБШ и ВУБ-3». Все</w:t>
      </w:r>
      <w:r w:rsidRPr="00070ADE">
        <w:rPr>
          <w:rFonts w:ascii="Times New Roman" w:hAnsi="Times New Roman"/>
          <w:color w:val="000000" w:themeColor="text1"/>
          <w:sz w:val="16"/>
          <w:szCs w:val="16"/>
        </w:rPr>
        <w:softHyphen/>
        <w:t>го из УБШ осуществили 5136 выстрелов, в том числе 4000 на земле и 1136 в воздухе. За</w:t>
      </w:r>
      <w:r w:rsidRPr="00070ADE">
        <w:rPr>
          <w:rFonts w:ascii="Times New Roman" w:hAnsi="Times New Roman"/>
          <w:color w:val="000000" w:themeColor="text1"/>
          <w:sz w:val="16"/>
          <w:szCs w:val="16"/>
        </w:rPr>
        <w:softHyphen/>
        <w:t>фиксировали 39 задержек (0,76%), из них 21 - из-за дефектов установки.</w:t>
      </w:r>
    </w:p>
    <w:p w14:paraId="4786F289"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ВУБ-3 опытная установка УБШ обеспечивала несколько большие углы обстрела. Отмечалось, что маневрирование оружием «заметно легче, чем на ВУБ-3, но при отстреле одного магазина и более пулемет затяжеляется стреляными гильзами и звенья</w:t>
      </w:r>
      <w:r w:rsidRPr="00070ADE">
        <w:rPr>
          <w:rFonts w:ascii="Times New Roman" w:hAnsi="Times New Roman"/>
          <w:color w:val="000000" w:themeColor="text1"/>
          <w:sz w:val="16"/>
          <w:szCs w:val="16"/>
        </w:rPr>
        <w:softHyphen/>
        <w:t>ми и становится хуже, чем ВУБ-3». Перебро</w:t>
      </w:r>
      <w:r w:rsidRPr="00070ADE">
        <w:rPr>
          <w:rFonts w:ascii="Times New Roman" w:hAnsi="Times New Roman"/>
          <w:color w:val="000000" w:themeColor="text1"/>
          <w:sz w:val="16"/>
          <w:szCs w:val="16"/>
        </w:rPr>
        <w:softHyphen/>
        <w:t>ска пулемета с борта на борт в горизонталь</w:t>
      </w:r>
      <w:r w:rsidRPr="00070ADE">
        <w:rPr>
          <w:rFonts w:ascii="Times New Roman" w:hAnsi="Times New Roman"/>
          <w:color w:val="000000" w:themeColor="text1"/>
          <w:sz w:val="16"/>
          <w:szCs w:val="16"/>
        </w:rPr>
        <w:softHyphen/>
        <w:t>ном полете осуществлялась быстро и без за</w:t>
      </w:r>
      <w:r w:rsidRPr="00070ADE">
        <w:rPr>
          <w:rFonts w:ascii="Times New Roman" w:hAnsi="Times New Roman"/>
          <w:color w:val="000000" w:themeColor="text1"/>
          <w:sz w:val="16"/>
          <w:szCs w:val="16"/>
        </w:rPr>
        <w:softHyphen/>
        <w:t>труднений. Питание магазина признали над</w:t>
      </w:r>
      <w:r w:rsidRPr="00070ADE">
        <w:rPr>
          <w:rFonts w:ascii="Times New Roman" w:hAnsi="Times New Roman"/>
          <w:color w:val="000000" w:themeColor="text1"/>
          <w:sz w:val="16"/>
          <w:szCs w:val="16"/>
        </w:rPr>
        <w:softHyphen/>
        <w:t>ежным: «на замену магазина затрачивается 35-50 секунд в перчатках».</w:t>
      </w:r>
    </w:p>
    <w:p w14:paraId="1F13507B"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Среди основных недостатков отмечались магазинное питание («необходимость заме</w:t>
      </w:r>
      <w:r w:rsidRPr="00070ADE">
        <w:rPr>
          <w:rFonts w:ascii="Times New Roman" w:hAnsi="Times New Roman"/>
          <w:color w:val="000000" w:themeColor="text1"/>
          <w:sz w:val="16"/>
          <w:szCs w:val="16"/>
        </w:rPr>
        <w:softHyphen/>
        <w:t>ны магазина в боевой обстановке»), ухудше</w:t>
      </w:r>
      <w:r w:rsidRPr="00070ADE">
        <w:rPr>
          <w:rFonts w:ascii="Times New Roman" w:hAnsi="Times New Roman"/>
          <w:color w:val="000000" w:themeColor="text1"/>
          <w:sz w:val="16"/>
          <w:szCs w:val="16"/>
        </w:rPr>
        <w:softHyphen/>
        <w:t>ние обзора из-за магазина в нижней задней полусфере (с левого борта самолета по поле</w:t>
      </w:r>
      <w:r w:rsidRPr="00070ADE">
        <w:rPr>
          <w:rFonts w:ascii="Times New Roman" w:hAnsi="Times New Roman"/>
          <w:color w:val="000000" w:themeColor="text1"/>
          <w:sz w:val="16"/>
          <w:szCs w:val="16"/>
        </w:rPr>
        <w:softHyphen/>
        <w:t>ту), невозможность ведения огня по наземной цели (с левого борта). Указывалось и на то, что «в крайних положениях установка стопорится ненадежно, при длинной очереди пулемет сры</w:t>
      </w:r>
      <w:r w:rsidRPr="00070ADE">
        <w:rPr>
          <w:rFonts w:ascii="Times New Roman" w:hAnsi="Times New Roman"/>
          <w:color w:val="000000" w:themeColor="text1"/>
          <w:sz w:val="16"/>
          <w:szCs w:val="16"/>
        </w:rPr>
        <w:softHyphen/>
        <w:t>вается со стопора и уводится к килю - воз</w:t>
      </w:r>
      <w:r w:rsidRPr="00070ADE">
        <w:rPr>
          <w:rFonts w:ascii="Times New Roman" w:hAnsi="Times New Roman"/>
          <w:color w:val="000000" w:themeColor="text1"/>
          <w:sz w:val="16"/>
          <w:szCs w:val="16"/>
        </w:rPr>
        <w:softHyphen/>
        <w:t>можны прострелы хвостового оперения».</w:t>
      </w:r>
    </w:p>
    <w:p w14:paraId="430348F0"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заключении акта по испытаниям кон</w:t>
      </w:r>
      <w:r w:rsidRPr="00070ADE">
        <w:rPr>
          <w:rFonts w:ascii="Times New Roman" w:hAnsi="Times New Roman"/>
          <w:color w:val="000000" w:themeColor="text1"/>
          <w:sz w:val="16"/>
          <w:szCs w:val="16"/>
        </w:rPr>
        <w:softHyphen/>
        <w:t>статировалось, что «в целом установка УБШ не улучшает обороноспособности самоле</w:t>
      </w:r>
      <w:r w:rsidRPr="00070ADE">
        <w:rPr>
          <w:rFonts w:ascii="Times New Roman" w:hAnsi="Times New Roman"/>
          <w:color w:val="000000" w:themeColor="text1"/>
          <w:sz w:val="16"/>
          <w:szCs w:val="16"/>
        </w:rPr>
        <w:softHyphen/>
        <w:t>та Ил-2 и имеет недостаточную живучесть». Как следствие, работы по дальнейшему со</w:t>
      </w:r>
      <w:r w:rsidRPr="00070ADE">
        <w:rPr>
          <w:rFonts w:ascii="Times New Roman" w:hAnsi="Times New Roman"/>
          <w:color w:val="000000" w:themeColor="text1"/>
          <w:sz w:val="16"/>
          <w:szCs w:val="16"/>
        </w:rPr>
        <w:softHyphen/>
        <w:t>вершенствованию установки УБШ прекратили. Собственно, в этом уже и не было надобности, так как в НИИ ВВС уже прошли государствен</w:t>
      </w:r>
      <w:r w:rsidRPr="00070ADE">
        <w:rPr>
          <w:rFonts w:ascii="Times New Roman" w:hAnsi="Times New Roman"/>
          <w:color w:val="000000" w:themeColor="text1"/>
          <w:sz w:val="16"/>
          <w:szCs w:val="16"/>
        </w:rPr>
        <w:softHyphen/>
        <w:t>ные испытания более совершенные штурмо</w:t>
      </w:r>
      <w:r w:rsidRPr="00070ADE">
        <w:rPr>
          <w:rFonts w:ascii="Times New Roman" w:hAnsi="Times New Roman"/>
          <w:color w:val="000000" w:themeColor="text1"/>
          <w:sz w:val="16"/>
          <w:szCs w:val="16"/>
        </w:rPr>
        <w:softHyphen/>
        <w:t>вики Ил-8 и Ил-10, и решался вопрос о при</w:t>
      </w:r>
      <w:r w:rsidRPr="00070ADE">
        <w:rPr>
          <w:rFonts w:ascii="Times New Roman" w:hAnsi="Times New Roman"/>
          <w:color w:val="000000" w:themeColor="text1"/>
          <w:sz w:val="16"/>
          <w:szCs w:val="16"/>
        </w:rPr>
        <w:softHyphen/>
        <w:t>нятии одного из них на вооружение ВВС КА (19879).</w:t>
      </w:r>
    </w:p>
    <w:p w14:paraId="7011F940" w14:textId="77777777" w:rsidR="00DD3D22" w:rsidRPr="00070ADE" w:rsidRDefault="00DD3D22" w:rsidP="00B56F90">
      <w:pPr>
        <w:spacing w:after="0" w:line="240" w:lineRule="auto"/>
        <w:jc w:val="both"/>
        <w:rPr>
          <w:rFonts w:ascii="Times New Roman" w:hAnsi="Times New Roman"/>
          <w:color w:val="000000" w:themeColor="text1"/>
          <w:sz w:val="16"/>
          <w:szCs w:val="16"/>
        </w:rPr>
      </w:pPr>
    </w:p>
    <w:p w14:paraId="537CB9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мая 1944 А.И.Ш. писал И.В.С. письмо N 33/2471:</w:t>
      </w:r>
    </w:p>
    <w:p w14:paraId="72D36F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отечественной войны КБ С.В.И. проделало большую работу по обеспечению массового производства самолетов Ил-2 на серийных заводах, непрерывно улучшало и модернизировало этот самолет, создав двухместный вариант и усилив пушечное и бомбовое вооружение, а также бронирование самолета.</w:t>
      </w:r>
    </w:p>
    <w:p w14:paraId="3461BF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КБ С.В.И. создало новый бронированный штурмовик с АМ-42. Этот самолет несет бомбовую нагрузку в два раза превосходящую нагрузку существующего самолета Ил-2 и имеет значительно более мощную броню. Новый штурмовик успешно прошел в марте с.г. гос. испытания, показав скорость, превосходящую на 50 км/час скорость серийного штурмовика Ил-2 и рекомендован НИИ ВВС для принятия на вооружение КА.</w:t>
      </w:r>
    </w:p>
    <w:p w14:paraId="24F9AC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КБ С.В.И. является самолетным бюро, создавши отечественную штурмовую авиацию и успешно обеспечивающих ее дальнейшее развитие.</w:t>
      </w:r>
    </w:p>
    <w:p w14:paraId="195BF7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Ходатайствую о награждении наиболее отличившихся работников КБ С.В.И. во главе с ГК (1756,161).</w:t>
      </w:r>
    </w:p>
    <w:p w14:paraId="782D28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12DC4B" w14:textId="77777777" w:rsidR="00237933" w:rsidRPr="00070ADE" w:rsidRDefault="002379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мая 1944 г. в НИИ ВВС завершились госиспытания головного серийного Ще-2 № 03147, подтвердившие ранее полученные характеристики, и был подписан акт. На этой машине по сравнению с опытным ТС-1 усилили пол грузового отсека, изменили осевую компенсацию элеронов и улучшили амортизацию основных опор шасси и их конструкцию, ввели систему разжижения масла, убрали обтекатели со стоек основных опор шасси и увеличили размах крыла. На доработанной машине двигатели заключили в капоты, но на серийных Ще-2 от них отказались (24206).</w:t>
      </w:r>
    </w:p>
    <w:p w14:paraId="089A0FAD" w14:textId="77777777" w:rsidR="00237933" w:rsidRPr="00070ADE" w:rsidRDefault="00237933" w:rsidP="00B56F90">
      <w:pPr>
        <w:spacing w:after="0" w:line="240" w:lineRule="auto"/>
        <w:jc w:val="both"/>
        <w:rPr>
          <w:rFonts w:ascii="Times New Roman" w:hAnsi="Times New Roman"/>
          <w:color w:val="000000" w:themeColor="text1"/>
          <w:sz w:val="16"/>
          <w:szCs w:val="16"/>
        </w:rPr>
      </w:pPr>
    </w:p>
    <w:p w14:paraId="77819E59" w14:textId="77777777" w:rsidR="00962976" w:rsidRPr="00070ADE" w:rsidRDefault="0096297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17 мая 1944 г. по результатам испытаний самолета «Харри</w:t>
      </w:r>
      <w:r w:rsidRPr="00070ADE">
        <w:rPr>
          <w:color w:val="000000" w:themeColor="text1"/>
          <w:sz w:val="16"/>
          <w:szCs w:val="16"/>
        </w:rPr>
        <w:softHyphen/>
        <w:t xml:space="preserve">кейн» </w:t>
      </w:r>
      <w:r w:rsidRPr="00070ADE">
        <w:rPr>
          <w:color w:val="000000" w:themeColor="text1"/>
          <w:sz w:val="16"/>
          <w:szCs w:val="16"/>
          <w:lang w:val="en-US"/>
        </w:rPr>
        <w:t>IID</w:t>
      </w:r>
      <w:r w:rsidRPr="00070ADE">
        <w:rPr>
          <w:color w:val="000000" w:themeColor="text1"/>
          <w:sz w:val="16"/>
          <w:szCs w:val="16"/>
        </w:rPr>
        <w:t xml:space="preserve"> и его вооружения заместитель начальни</w:t>
      </w:r>
      <w:r w:rsidRPr="00070ADE">
        <w:rPr>
          <w:color w:val="000000" w:themeColor="text1"/>
          <w:sz w:val="16"/>
          <w:szCs w:val="16"/>
        </w:rPr>
        <w:softHyphen/>
        <w:t>ка оперативного управления ВВС КА генерал-майор А. П. Некрасов направил начальнику штаба ВВС генерал-полковнику С. А. Худякову за</w:t>
      </w:r>
      <w:r w:rsidRPr="00070ADE">
        <w:rPr>
          <w:color w:val="000000" w:themeColor="text1"/>
          <w:sz w:val="16"/>
          <w:szCs w:val="16"/>
        </w:rPr>
        <w:softHyphen/>
        <w:t>ключение о боевых возможностях самолета «Хар</w:t>
      </w:r>
      <w:r w:rsidRPr="00070ADE">
        <w:rPr>
          <w:color w:val="000000" w:themeColor="text1"/>
          <w:sz w:val="16"/>
          <w:szCs w:val="16"/>
        </w:rPr>
        <w:softHyphen/>
        <w:t xml:space="preserve">рикейн» </w:t>
      </w:r>
      <w:r w:rsidRPr="00070ADE">
        <w:rPr>
          <w:color w:val="000000" w:themeColor="text1"/>
          <w:sz w:val="16"/>
          <w:szCs w:val="16"/>
          <w:lang w:val="en-US"/>
        </w:rPr>
        <w:t>IID</w:t>
      </w:r>
      <w:r w:rsidRPr="00070ADE">
        <w:rPr>
          <w:color w:val="000000" w:themeColor="text1"/>
          <w:sz w:val="16"/>
          <w:szCs w:val="16"/>
        </w:rPr>
        <w:t>.</w:t>
      </w:r>
    </w:p>
    <w:p w14:paraId="42A4B08C" w14:textId="77777777" w:rsidR="00962976" w:rsidRPr="00070ADE" w:rsidRDefault="0096297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документе констатировалось, что «вследствие слабого могущества выстрела стрелково-пушечно- го оружия, отсутствия бомбардировочного воору</w:t>
      </w:r>
      <w:r w:rsidRPr="00070ADE">
        <w:rPr>
          <w:color w:val="000000" w:themeColor="text1"/>
          <w:sz w:val="16"/>
          <w:szCs w:val="16"/>
        </w:rPr>
        <w:softHyphen/>
        <w:t xml:space="preserve">жения и недостаточного бронирования, самолет «Харрикейн» </w:t>
      </w:r>
      <w:r w:rsidRPr="00070ADE">
        <w:rPr>
          <w:color w:val="000000" w:themeColor="text1"/>
          <w:sz w:val="16"/>
          <w:szCs w:val="16"/>
          <w:lang w:val="en-US"/>
        </w:rPr>
        <w:t>IID</w:t>
      </w:r>
      <w:r w:rsidRPr="00070ADE">
        <w:rPr>
          <w:color w:val="000000" w:themeColor="text1"/>
          <w:sz w:val="16"/>
          <w:szCs w:val="16"/>
        </w:rPr>
        <w:t xml:space="preserve"> не может быть эффективно исполь</w:t>
      </w:r>
      <w:r w:rsidRPr="00070ADE">
        <w:rPr>
          <w:color w:val="000000" w:themeColor="text1"/>
          <w:sz w:val="16"/>
          <w:szCs w:val="16"/>
        </w:rPr>
        <w:softHyphen/>
        <w:t>зован как истребитель танков или штурмовик». Бо</w:t>
      </w:r>
      <w:r w:rsidRPr="00070ADE">
        <w:rPr>
          <w:color w:val="000000" w:themeColor="text1"/>
          <w:sz w:val="16"/>
          <w:szCs w:val="16"/>
        </w:rPr>
        <w:softHyphen/>
        <w:t>еприпасы пушек НС-37 калибра 37 мм и ВЯ калибра 23 мм, состоящие из осколочно-зажигательных и бронебойно-зажигательных снарядов, имеют боль</w:t>
      </w:r>
      <w:r w:rsidRPr="00070ADE">
        <w:rPr>
          <w:color w:val="000000" w:themeColor="text1"/>
          <w:sz w:val="16"/>
          <w:szCs w:val="16"/>
        </w:rPr>
        <w:softHyphen/>
        <w:t xml:space="preserve">ший разрушающий эффект у цели по сравнению с боеприпасами к пушке Виккерс </w:t>
      </w:r>
      <w:r w:rsidRPr="00070ADE">
        <w:rPr>
          <w:color w:val="000000" w:themeColor="text1"/>
          <w:sz w:val="16"/>
          <w:szCs w:val="16"/>
          <w:lang w:val="en-US"/>
        </w:rPr>
        <w:t>S</w:t>
      </w:r>
      <w:r w:rsidRPr="00070ADE">
        <w:rPr>
          <w:color w:val="000000" w:themeColor="text1"/>
          <w:sz w:val="16"/>
          <w:szCs w:val="16"/>
        </w:rPr>
        <w:t>, а бронебой</w:t>
      </w:r>
      <w:r w:rsidRPr="00070ADE">
        <w:rPr>
          <w:color w:val="000000" w:themeColor="text1"/>
          <w:sz w:val="16"/>
          <w:szCs w:val="16"/>
        </w:rPr>
        <w:softHyphen/>
        <w:t>ный снаряд пушки НС-37 обладает к тому же еще и большей бронепробиваемостью.</w:t>
      </w:r>
    </w:p>
    <w:p w14:paraId="4315BA35" w14:textId="77777777" w:rsidR="00962976" w:rsidRPr="00070ADE" w:rsidRDefault="0096297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Внимание руководства обращалось на ненор</w:t>
      </w:r>
      <w:r w:rsidRPr="00070ADE">
        <w:rPr>
          <w:color w:val="000000" w:themeColor="text1"/>
          <w:sz w:val="16"/>
          <w:szCs w:val="16"/>
        </w:rPr>
        <w:softHyphen/>
        <w:t>мальную ситуацию со снабжением ВВС КА снаряда</w:t>
      </w:r>
      <w:r w:rsidRPr="00070ADE">
        <w:rPr>
          <w:color w:val="000000" w:themeColor="text1"/>
          <w:sz w:val="16"/>
          <w:szCs w:val="16"/>
        </w:rPr>
        <w:softHyphen/>
        <w:t xml:space="preserve">ми к пушкам Виккерс </w:t>
      </w:r>
      <w:r w:rsidRPr="00070ADE">
        <w:rPr>
          <w:color w:val="000000" w:themeColor="text1"/>
          <w:sz w:val="16"/>
          <w:szCs w:val="16"/>
          <w:lang w:val="en-US"/>
        </w:rPr>
        <w:t>S</w:t>
      </w:r>
      <w:r w:rsidRPr="00070ADE">
        <w:rPr>
          <w:color w:val="000000" w:themeColor="text1"/>
          <w:sz w:val="16"/>
          <w:szCs w:val="16"/>
        </w:rPr>
        <w:t>. По этому поводу в докла</w:t>
      </w:r>
      <w:r w:rsidRPr="00070ADE">
        <w:rPr>
          <w:color w:val="000000" w:themeColor="text1"/>
          <w:sz w:val="16"/>
          <w:szCs w:val="16"/>
        </w:rPr>
        <w:softHyphen/>
        <w:t>де указывалось: «Получаемые нами бронебойные снаряды от англичан являются недоснаряженными (нет взрывчатого вещества и донного взрывателя), вследствие чего баллистические характеристики снарядов — плохие и не отвечают тактико-техни</w:t>
      </w:r>
      <w:r w:rsidRPr="00070ADE">
        <w:rPr>
          <w:color w:val="000000" w:themeColor="text1"/>
          <w:sz w:val="16"/>
          <w:szCs w:val="16"/>
        </w:rPr>
        <w:softHyphen/>
        <w:t>ческим требованиям к боеприпасам воздушного боя. Такой тип снаряда не в состоянии пробить броню среднего танка в 45 мм на дистанции 300 м под углом встречи к нормали 30°, а бронь толщи</w:t>
      </w:r>
      <w:r w:rsidRPr="00070ADE">
        <w:rPr>
          <w:color w:val="000000" w:themeColor="text1"/>
          <w:sz w:val="16"/>
          <w:szCs w:val="16"/>
        </w:rPr>
        <w:softHyphen/>
        <w:t>ной меньше чем 30 мм или планер самолета, он способен пробить, но не разрушить, так как снаряд не имеет ни зажигательного, ни фугасного снаряже</w:t>
      </w:r>
      <w:r w:rsidRPr="00070ADE">
        <w:rPr>
          <w:color w:val="000000" w:themeColor="text1"/>
          <w:sz w:val="16"/>
          <w:szCs w:val="16"/>
        </w:rPr>
        <w:softHyphen/>
        <w:t>ния. Поэтому такие снаряды могут быть использо</w:t>
      </w:r>
      <w:r w:rsidRPr="00070ADE">
        <w:rPr>
          <w:color w:val="000000" w:themeColor="text1"/>
          <w:sz w:val="16"/>
          <w:szCs w:val="16"/>
        </w:rPr>
        <w:softHyphen/>
        <w:t>ваны для учебных целей или как лафетопробные. Для поражения самолетов в воздухе нужны снаря</w:t>
      </w:r>
      <w:r w:rsidRPr="00070ADE">
        <w:rPr>
          <w:color w:val="000000" w:themeColor="text1"/>
          <w:sz w:val="16"/>
          <w:szCs w:val="16"/>
        </w:rPr>
        <w:softHyphen/>
        <w:t>ды осколочно-фугасного действия».</w:t>
      </w:r>
    </w:p>
    <w:p w14:paraId="33956ACE" w14:textId="77777777" w:rsidR="00962976" w:rsidRPr="00070ADE" w:rsidRDefault="0096297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При сопоставимых летных данных у земли ос</w:t>
      </w:r>
      <w:r w:rsidRPr="00070ADE">
        <w:rPr>
          <w:color w:val="000000" w:themeColor="text1"/>
          <w:sz w:val="16"/>
          <w:szCs w:val="16"/>
        </w:rPr>
        <w:softHyphen/>
        <w:t>новной ударный самолет ВВС КА штурмовик Ил-2 имел значительно более сильное бронирование, бомбардировочное вооружение и воздушного стрелка для защиты от атак истребителей против</w:t>
      </w:r>
      <w:r w:rsidRPr="00070ADE">
        <w:rPr>
          <w:color w:val="000000" w:themeColor="text1"/>
          <w:sz w:val="16"/>
          <w:szCs w:val="16"/>
        </w:rPr>
        <w:softHyphen/>
        <w:t>ника со стороны задней полусферы. По этим при</w:t>
      </w:r>
      <w:r w:rsidRPr="00070ADE">
        <w:rPr>
          <w:color w:val="000000" w:themeColor="text1"/>
          <w:sz w:val="16"/>
          <w:szCs w:val="16"/>
        </w:rPr>
        <w:softHyphen/>
        <w:t>чинам боевые качества Ил-2 оценивались специ</w:t>
      </w:r>
      <w:r w:rsidRPr="00070ADE">
        <w:rPr>
          <w:color w:val="000000" w:themeColor="text1"/>
          <w:sz w:val="16"/>
          <w:szCs w:val="16"/>
        </w:rPr>
        <w:softHyphen/>
        <w:t xml:space="preserve">алистами оперативного управления значительно выше, чем «Харрикейна» </w:t>
      </w:r>
      <w:r w:rsidRPr="00070ADE">
        <w:rPr>
          <w:color w:val="000000" w:themeColor="text1"/>
          <w:sz w:val="16"/>
          <w:szCs w:val="16"/>
          <w:lang w:val="en-US"/>
        </w:rPr>
        <w:t>IID</w:t>
      </w:r>
      <w:r w:rsidRPr="00070ADE">
        <w:rPr>
          <w:color w:val="000000" w:themeColor="text1"/>
          <w:sz w:val="16"/>
          <w:szCs w:val="16"/>
        </w:rPr>
        <w:t>.</w:t>
      </w:r>
    </w:p>
    <w:p w14:paraId="062F3BBA" w14:textId="77777777" w:rsidR="00962976" w:rsidRPr="00070ADE" w:rsidRDefault="0096297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На основании этого делался вывод, что «самолет «Харрикейн» 11Д в качестве штурмовика применять нецелесообразно, вследствие слабого могущества выстрела стрелково-пушечного вооружения, отсут</w:t>
      </w:r>
      <w:r w:rsidRPr="00070ADE">
        <w:rPr>
          <w:color w:val="000000" w:themeColor="text1"/>
          <w:sz w:val="16"/>
          <w:szCs w:val="16"/>
        </w:rPr>
        <w:softHyphen/>
        <w:t>ствия бомбардировочного вооружения и слабого бронирования». Истребитель предлагалось исполь</w:t>
      </w:r>
      <w:r w:rsidRPr="00070ADE">
        <w:rPr>
          <w:color w:val="000000" w:themeColor="text1"/>
          <w:sz w:val="16"/>
          <w:szCs w:val="16"/>
        </w:rPr>
        <w:softHyphen/>
        <w:t>зовать в системе ПВО страны в качестве истреби</w:t>
      </w:r>
      <w:r w:rsidRPr="00070ADE">
        <w:rPr>
          <w:color w:val="000000" w:themeColor="text1"/>
          <w:sz w:val="16"/>
          <w:szCs w:val="16"/>
        </w:rPr>
        <w:softHyphen/>
        <w:t>теля-перехватчика, но при условии использования боеприпасов «осколочно-трассирующего или осколочно-зажигательного снаряжения».</w:t>
      </w:r>
    </w:p>
    <w:p w14:paraId="5D130EB5" w14:textId="77777777" w:rsidR="00962976" w:rsidRPr="00070ADE" w:rsidRDefault="0096297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Известна резолюция генерала Худякова, которую тот наложил на документ: «ОУ. Подготовить справ</w:t>
      </w:r>
      <w:r w:rsidRPr="00070ADE">
        <w:rPr>
          <w:color w:val="000000" w:themeColor="text1"/>
          <w:sz w:val="16"/>
          <w:szCs w:val="16"/>
        </w:rPr>
        <w:softHyphen/>
        <w:t>ку такого же содержания главному инженеру ВВС за моей подписью». Уже 23 мая справка ушла в аппарат генерала Репина (17500).</w:t>
      </w:r>
    </w:p>
    <w:p w14:paraId="3F28222D" w14:textId="77777777" w:rsidR="00962976" w:rsidRPr="00070ADE" w:rsidRDefault="00962976" w:rsidP="00B56F90">
      <w:pPr>
        <w:spacing w:after="0" w:line="240" w:lineRule="auto"/>
        <w:jc w:val="both"/>
        <w:rPr>
          <w:rFonts w:ascii="Times New Roman" w:hAnsi="Times New Roman"/>
          <w:color w:val="000000" w:themeColor="text1"/>
          <w:sz w:val="16"/>
          <w:szCs w:val="16"/>
        </w:rPr>
      </w:pPr>
    </w:p>
    <w:p w14:paraId="01B3EB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мая 1944 Нач. 1 отдела НИИ ВВС Рудинцев письмом N 1/03 направил в Секретариат НКАП А.И.Ш. карточки, составленные по результатам испытаний самолетов для включения в Альбом по дальности и продолжительности полетов самолетам в 1943:</w:t>
      </w:r>
    </w:p>
    <w:p w14:paraId="6E6A98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Як-9Д с ВК-105ПФ</w:t>
      </w:r>
    </w:p>
    <w:p w14:paraId="0A59FB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Пе-2 с 2ВК-195ПФ</w:t>
      </w:r>
    </w:p>
    <w:p w14:paraId="391FEC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И-220 (МиГ-11 с АМ-38Ф).</w:t>
      </w:r>
    </w:p>
    <w:p w14:paraId="18BC2D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Ил N 1 с АМ-42 (1821,245).</w:t>
      </w:r>
    </w:p>
    <w:p w14:paraId="06319A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0960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мая 1944 года начальник НИИ ВВС генерал-лейтенант ИАС Лосюков и начальник 3 отдела НИИ ВВС инженер-полковник Сафронов писали письмо N 3/725 гл. инженеру ВВС генерал-полковнику ИАС Репину А.К., Шахурину, УК ЦК ВКП(б) генерал-полковнику авиации Шиманову Н.С.</w:t>
      </w:r>
    </w:p>
    <w:p w14:paraId="5ABE8E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 о ходе испытаний самолета Пе-2И "Москито" с двумя моторами ВК-107А.</w:t>
      </w:r>
    </w:p>
    <w:p w14:paraId="5B6EC6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принят на испытания в НИИ ВВС 4 мая 1944 года.</w:t>
      </w:r>
    </w:p>
    <w:p w14:paraId="43D461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4 по 13 мая произведено 4 полета, общей продолжительностью 3 часа 45 минут, из них: первый полет ознакомительный, второй - километраж, третий - определение тепловых режимов винто-моторной группы и четвертый - для определения скоростей по высотам.</w:t>
      </w:r>
    </w:p>
    <w:p w14:paraId="45A4AF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Третий и четвертый полеты производились до 6500 м.</w:t>
      </w:r>
    </w:p>
    <w:p w14:paraId="59E69E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Летные данные самолета в этих полетах еще не определены.</w:t>
      </w:r>
    </w:p>
    <w:p w14:paraId="7F4A3A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Основными дефектами, задержавшими испытания явились:</w:t>
      </w:r>
    </w:p>
    <w:p w14:paraId="5DB622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Неполное закрытие створок гондол шасси в полете.</w:t>
      </w:r>
    </w:p>
    <w:p w14:paraId="2F48D2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Поломка трубы, центрирующей кок винта правого мотора. Фланцы труб обоих моторов сделаны вместо дюралевых стальными.</w:t>
      </w:r>
    </w:p>
    <w:p w14:paraId="17B91D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Сильное выбивание масла из уплотнения вала редуктора моторов ВК-107А. Устранение первых двух дефектов, потребовало 5 дней.</w:t>
      </w:r>
    </w:p>
    <w:p w14:paraId="33BFF4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Последний дефект выявился 13 мая 1944 года, при полетах на высоту 6500 метров. Дефект опасен для полета, т.к. масло попадает на капоты моторов и на выхлопные патрубки, вследствие чего возможно возникновение пожара.</w:t>
      </w:r>
    </w:p>
    <w:p w14:paraId="6618CB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масло забрасывается на водяные радиаторы и нарушает охлаждение моторов.</w:t>
      </w:r>
    </w:p>
    <w:p w14:paraId="604420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этим дефектом с 14 мая 1944 года испытания прерваны.</w:t>
      </w:r>
    </w:p>
    <w:p w14:paraId="30944C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самолета Мясищев В.М. принял решение изменить систему суфлирования моторов ВК-107А на самолете и установить дополнительное уплотнение вала редуктора моторов ВК-107А.</w:t>
      </w:r>
    </w:p>
    <w:p w14:paraId="4456DD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Испытания будут продолжены по устранении указанного дефекта (1821).</w:t>
      </w:r>
    </w:p>
    <w:p w14:paraId="537CA8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63D15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мая 1944 вышел приказом НКВ № 249 во исполнение Постановления СНК № 1672-700с от 19 июня 1941 года, которым в системе НКВ был организован НИИ стрелково-пушечного вооружения авиации (НИИ СПВА) по отработке и исследованию новых и унификации и совершенствованию существующих образцов вооружения и боеприпасов. Институт размещался на площадке завода № 304 НКВ (Кунцево). Приказом Министерства вооружения № 239с от 3 июня 1948 года (в соответствии с распоряжением СМ № 6391-рс от 26 мая 1948 года) НИИ СПВА переименован в НИИ-61 с сохранением места расположения (завод № 304 НКВ, Кунцево) (10293).</w:t>
      </w:r>
    </w:p>
    <w:p w14:paraId="40635B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EBD66E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3227F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7C265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мая 1944 года вышел приказ № 249с НКВ</w:t>
      </w:r>
    </w:p>
    <w:p w14:paraId="7ED89DF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постановлением СНК № 1672-700с от 19 июня 1941 года:</w:t>
      </w:r>
    </w:p>
    <w:p w14:paraId="573212C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Организовать в системе НКВ НИИ стрелково-пушечного вооружения авиации (НИИ СПВА) (6421, 146).</w:t>
      </w:r>
    </w:p>
    <w:p w14:paraId="37085AA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8A8F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мая 1944 г. по приказу НКВ в соответствии с пост. СНК от 19.06.1941 г. для разработки и изготовления новых образцов СПВА, анализа перспектив развития и эксплуатации СПВА организован НИИ-61 НКВ, MB, МОП, НИИ Стрелково-пушечного вооружения авиации (НИИ СПВА) /пос. Кунцево Московской обл./. Первоначально располагался на территории завода № 304 в пос. Кунцево. В 1948 г. НИИ CIIBA переименовано в НИИ-61 MB. В 1949 г. в состав НИИ-61 влит НИИ-44. В 1950 г. часть НИИ-61 переведена в Климовск на территорию, смежную с Климовским заводом (№ 188). Далее это- ЦНИИточмаш.</w:t>
      </w:r>
    </w:p>
    <w:p w14:paraId="1CA1FC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1946 г. НИИ было привлечено к изучению немецкого опыта по созданию PC и пусковых установок.</w:t>
      </w:r>
    </w:p>
    <w:p w14:paraId="0D68F1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(1948-50-е-)- В. Н. Новиков.</w:t>
      </w:r>
    </w:p>
    <w:p w14:paraId="0E138F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директора (1946-50 г.)- В.Н. Казанцев.</w:t>
      </w:r>
    </w:p>
    <w:p w14:paraId="1F625D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ЦНИИ точного машиностроения, ФГУП ФНПЦ «ЦНИИТочмаш»</w:t>
      </w:r>
    </w:p>
    <w:p w14:paraId="1B9F4C92" w14:textId="3CFB82D8"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/142080(1)</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Климовск Московской обл., ул. Заводская, 2(1) тел. 996-59-10/</w:t>
      </w:r>
    </w:p>
    <w:p w14:paraId="49492F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1950 г. часть НИИ-61 переведена в Климовск на территорию, смежную с Климовским заводом (№ 188). Далее это- ЦНИИточмаш.</w:t>
      </w:r>
    </w:p>
    <w:p w14:paraId="17C2EA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Разработка, испытания и сертификация стрелкового оружия. Разработка вращающегося снаряда 82-мм для пуска с самолета назад, работы по подкалиберным снарядам для авиапушек и зенитных орудий. Создавались авиапушка АО-9 для кормовой подвижной пушечной установки.</w:t>
      </w:r>
    </w:p>
    <w:p w14:paraId="2BAC33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Головная организация (2005 г.) по разработке боевой экипировки, стрелкового вооружения, боеприпасов к нему, тренажеров стрелкового оружия, средств защиты от высокоточного оружия, артиллерии батальонно- полкового звена и вооружения для ВДВ.</w:t>
      </w:r>
    </w:p>
    <w:p w14:paraId="08381C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Принимал участие в разработке Федеральной целевой программы «Боец-21»- в области носимого вооружения, экипировки и спецоснащения ВС РФ до 2015 г.</w:t>
      </w:r>
    </w:p>
    <w:p w14:paraId="6BB422E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2005 г. разработано более 90 образцов и комплектов вооружения, переданных на снабжение армии.</w:t>
      </w:r>
    </w:p>
    <w:p w14:paraId="78AAFA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 в этом же году институту присвоен статус ФНПЦ. С 1996 г. (и на 2004 г.) входил в ТФПГ «Точность».</w:t>
      </w:r>
    </w:p>
    <w:p w14:paraId="5266C4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В.М. Сабельников. Гендиректор (-2000 г.)- А.В. Хиникадзе, (28.04.2000-04 г.-)- В.Н. Иванов.</w:t>
      </w:r>
    </w:p>
    <w:p w14:paraId="4B7F09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(2000 г.)- Н.Н. Денисов.</w:t>
      </w:r>
    </w:p>
    <w:p w14:paraId="63A4A8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пулемет «Печенег» 6П41 (1999); автоматы: малогабаритный СР.З, бесшумный АС, подводный АПС; пистолет-пулемет СР.2 «Вереск»; пистолеты: 6П35, СР.1М «Гюрза», «Удар», бесшумный ПСС, подводный СПП- 1; винтовка снайперская специальная 9-мм ВСС «Винторез» (пнв в 1987 г.); патроны: СП4, 9х 39 СП5, СПб, СП10, СП11, СП12, 7БТЗ; для подводного оружия МПС, СПС; 120-мм универсальный арткомплекс «Нона-С», 125-мм самоходная противотанковая пушка «Спрут-Б»; БМД-2, БМД-3; прибор управления и наведения ПТРК «Корнет»; тренажер для обучения стрельбе 1У35 (2006); базовая экипировка «Бармица» (2003).</w:t>
      </w:r>
    </w:p>
    <w:p w14:paraId="3EE587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патроны калибра 7,62 и 12,6 мм; аппаратура управления для ПТУР «Фагот», «Фактория», «Корнет-Э», «Метис-М» (1999) (11982).</w:t>
      </w:r>
    </w:p>
    <w:p w14:paraId="069B35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B60837D" w14:textId="77777777" w:rsidR="00C00622" w:rsidRPr="00070ADE" w:rsidRDefault="00C006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17 мая</w:t>
      </w:r>
      <w:r w:rsidRPr="00070ADE">
        <w:rPr>
          <w:rFonts w:ascii="Times New Roman" w:hAnsi="Times New Roman"/>
          <w:color w:val="000000" w:themeColor="text1"/>
          <w:sz w:val="16"/>
          <w:szCs w:val="16"/>
        </w:rPr>
        <w:t xml:space="preserve"> в 1944 году образовано ФГУП "ЦНИИ точного машиностроения" – город Климовск. НИИ стрелково-пушечного вооружения авиации организовано в соответствии с приказом Наркома вооружения СССР от 17 мая 1944 года на основании постановления Совнаркома СССР от 19 июня 1941 года. В 1966 году приказом Миноборонпрома он реорганизован в Центральный научно-исследовательский институт, отвечающий за определение перспектив развития, решение основных научно-технических проблем, исследования, разработку и испытания наиболее массовых видов оружия и техники для армии, авиации и флота. Сегодня ФГУП "ЦНИИ точного машиностроения" - головная организация промышленности по разработке направлений совершенствования и развития стрелкового оружия, боеприпасов и тренажеров, боевой экипировки военнослужащих и средств защиты от высокоточного оружия. Имеет государственную аккредитацию как научная организация, а с 2004 года статус Федерального научно-производственного центра. При непосредственном участии ЦНИИТОЧМАШ разработаны, освоены в серийном производстве и переданы армии, авиации, флоту, специальным подразделениям правоохранительных органов более 90 образцов и комплексов вооружений и технических средств различного назначения, в том числе около 20 за последнее десятилетие. На основе выполненных институтом комплексных научно-исследовательских работ созданы образцы оружия и патронов систем общевойскового стрелкового, подводного специального (пистолет, автомат и боеприпасы к ним СПС, МПС и МПС-Т), бесшумного специального вооружения (автомат АСС, винтовка ВСС, пистолет ПСС, патроны к ним СПб, СПб, СП4) и систем для подразделений по борьбе с терроризмом (пистолет СР1, пистолет-пулемет СР2 с коллиматорным прицелом КП-СР2 и единые патроны к ним СП10, СП11,СП12, 7БТЗ; малогабаритный автомат СРЗ под патроны СП5, СПб). В последнее десятилетие при научно-техническом сопровождении института разработаны и приняты на вооружение высокоэффективный автомат АН-94 «Абакан»; армейский пистолетный комплекс «Грач»; пехотный пулемет «Печенег» и его модификации 6П41Н, 6П41С, 6П.41СН; самозарядный пистолет Сердюкова (индекс 6П53); и новое поколение 120-мм универсальных артиллерийских комплексов, сочетающих качества миномета, гаубицы и противотанковой пушки («Нона», «Нона-С», «Нона-СВК»),а так же аппаратуру лазерных каналов наземной аппаратуры управления ПТРК «Корнет», системы автоматического обнаружения, слежения и сопровождения для вертолетного комплекса «Ка-50», образцы ГСН для высокоточного оружия различного назначения (14894).</w:t>
      </w:r>
    </w:p>
    <w:p w14:paraId="10A0FBEC" w14:textId="77777777" w:rsidR="00C00622" w:rsidRPr="00070ADE" w:rsidRDefault="00C00622" w:rsidP="00B56F90">
      <w:pPr>
        <w:spacing w:after="0" w:line="240" w:lineRule="auto"/>
        <w:jc w:val="both"/>
        <w:rPr>
          <w:rFonts w:ascii="Times New Roman" w:hAnsi="Times New Roman"/>
          <w:color w:val="000000" w:themeColor="text1"/>
          <w:sz w:val="16"/>
          <w:szCs w:val="16"/>
        </w:rPr>
      </w:pPr>
    </w:p>
    <w:p w14:paraId="0AED585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мая 1944 года вышел приказ № 98/262с НКБ и НКЦМ</w:t>
      </w:r>
    </w:p>
    <w:p w14:paraId="4E62BFA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постановлением Правительства от 7 мая 1944 года за № 5824-сс:</w:t>
      </w:r>
    </w:p>
    <w:p w14:paraId="3D5F061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Передать из системы НКЦМ в систему НКБ Московский 1-й механический завод. Завод передать в 8 Гл. управление НКБ (6015, 11).</w:t>
      </w:r>
    </w:p>
    <w:p w14:paraId="01788DF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EA599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мая 1944 вышло Постановление ГКО № 5908 О неотложных мерах по материально-техническому обеспечению железнодорожного транспорта во II кв. 1944 г. (7233, 82-95,96-106).</w:t>
      </w:r>
    </w:p>
    <w:p w14:paraId="217C36E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51EAC2" w14:textId="77777777" w:rsidR="004B3F0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2A7D93A" w14:textId="77777777" w:rsidR="004B3F09" w:rsidRPr="00070ADE" w:rsidRDefault="004B3F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453F81"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17 мая</w:t>
      </w:r>
      <w:r w:rsidRPr="00070ADE">
        <w:rPr>
          <w:rFonts w:ascii="Times New Roman" w:hAnsi="Times New Roman"/>
          <w:color w:val="000000" w:themeColor="text1"/>
          <w:sz w:val="16"/>
          <w:szCs w:val="16"/>
        </w:rPr>
        <w:t xml:space="preserve"> в 1944 году оперативная сводка Совинформбюро:</w:t>
      </w:r>
    </w:p>
    <w:p w14:paraId="27A20740"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17 мая на фронтах существенных изменений не произошло. За 16 мая наши войска подбили и уничтожили 9 немецких танков. В воздушных боях и огнём зенитной артиллерии сбито 29 самолётов противника.»</w:t>
      </w:r>
    </w:p>
    <w:p w14:paraId="0DFCFA1B"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Бомбардировка нашей авиацией железнодорожных узлов Минск, Барановичи, Холм:</w:t>
      </w:r>
    </w:p>
    <w:p w14:paraId="3D13A374"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17 мая наша авиация дальнего действия бомбардировала скопления воинских эшелонов и военные склады противника на железнодорожных узлах Минск, Барановичи, Холм (западнее Ковеля).</w:t>
      </w:r>
    </w:p>
    <w:p w14:paraId="35727FD5"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бомбардировки на железнодорожном узле Минск возникло 7 очагов пожара, которые затем слились в один пожар большого размера. Наблюдением отмечено много сильных взрывов. Такой же интенсивной бомбардировке был подвергнут и железнодорожный узел Барановичи.</w:t>
      </w:r>
    </w:p>
    <w:p w14:paraId="049ED2B8"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железнодорожном узле Холм (западнее Ковеля) к моменту налёта находилось много железнодорожных составов с войсками и техникой противника. Прямым попаданием бомб разбито несколько эшелонов. Возникли многочисленные пожары, сопровождавшиеся взрывами. Фотографированием установлено, что на железнодорожном узле горят вагоны, платформы и военные склады. Пламя пожаров наши лётчики наблюдали с расстояния более 100 километров.</w:t>
      </w:r>
    </w:p>
    <w:p w14:paraId="5C068321"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Три наших самолёта не вернулись на свои аэродромы.»</w:t>
      </w:r>
    </w:p>
    <w:p w14:paraId="00E1823A"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бойцы Н-ской части ворвались в траншеи противника и после непродолжительной схватки овладели ими. Стремясь восстановить положение, немцы предприняли две контратаки, но успеха не добились. На поле боя осталось до 500 вражеских трупов. Наши подразделения захватили 150 пленных, 6 орудий, 16 миномётов, 22 пулемёта, 120 винтовок и 10 автомашин.</w:t>
      </w:r>
    </w:p>
    <w:p w14:paraId="664D9A7F"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Тирасполь, на правом берегу реки Днестр, подразделения Н-ской гвардейской части утром атаковали противника. В результате боя советские гвардейцы овладели выгодными позициями. Уничтожено две роты гитлеровцев.</w:t>
      </w:r>
    </w:p>
    <w:p w14:paraId="4A2CF984"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Авиация Краснознамённого Балтийского флота нанесла удар по судам противника в Финском заливе. Прямыми попаданиями бомб потоплено три немецких тральщика и два сторожевых катера.</w:t>
      </w:r>
    </w:p>
    <w:p w14:paraId="3A6D1A2A"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воздушных боях над конвоем противника наши лётчики сбили 16 немецких самолётов.</w:t>
      </w:r>
    </w:p>
    <w:p w14:paraId="0691959A"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Группа партизан из отряда имени Щорса, действующего в Львовской области, в начале мая внезапно ворвалась на одну железнодорожную станцию. Уничтожив охрану, советские патриоты разрушили связь, взорвали входные и выходные стрелки и подожгли военный склад противника. Партизаны отряда имени Суворова подорвали немецкий воинский эшелон. Разбиты паровоз и 9 вагонов с боеприпасами. Кроме того, партизанами взорвано 300 метров железнодорожных рельсов. Движение поездов на этом участке железной дороги было прервано на трое суток.</w:t>
      </w:r>
    </w:p>
    <w:p w14:paraId="1A24EE58"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Жители румынских районов, занятых Красной Армией, получили возможность свободно выразить свое отношение к войне и к гитлеровской Германии, навязавшей эту войну Румынии. В городе Хырлэу примария (орган местной власти) созвала сходку, на которой присутствовало до 300 человек. На сходке выступили примар города, священник Константинеску и другие жители. Священник Константинеску заявил: «Немцы были неистощимы в клеветнических выдумках, в описаниях ужасов, будто бы ожидающих нас с приходом русских войск. Сейчас мы все убедились, что немцы бессовестно лгали. Я счастлив, что остался здесь, и постараюсь помочь Красной Армии чем только смогу». Священник Аргир Попа в своей проповеди заявил прихожанам: «Сейчас мы все видим, что Красная Армия пришла в Румынию не для того, чтобы завоевать румынскую землю. Советские войска пришли сюда, чтобы изгнать немцев. Все верующие, все румыны должны помогать Красной Армии, ибо она освобождает нашу страну от немцев — исконных врагов Румынии».</w:t>
      </w:r>
    </w:p>
    <w:p w14:paraId="15D85EB1"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Исторического музея города Сучава профессор Сорочан сообщил: «Немецкие военные власти разместили в Историческом музее и его библиотеке воинскую часть. Отступая, немцы разгромили и растащили музей. Когда их изгнали из города, я обнаружил, что ценнейшие экспонаты музея — древние памятники, оружие, витрины старинных монет, предметы домашнего обихода — уничтожены. Из библиотеки исчезли ценные и редкие книги. Вот что наделали эти варвары».</w:t>
      </w:r>
    </w:p>
    <w:p w14:paraId="28B57309" w14:textId="77777777" w:rsidR="004B3F09" w:rsidRPr="00070ADE" w:rsidRDefault="004B3F0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Помещик Василе Алексуку рассказал: «В первую мировую войну я воевал против немцев. С тех пор немцы стали еще наглее, они выкачивают у Румынии нефть, продовольствие и сырьё. Немцы и их пособники запугивали нас и говорили, что, когда советские войска придут в Румынию, они будут беспощадно мстить румынам. Но русские не мстят мирному населению. Немецкие солдаты забрали у меня много лошадей, скота и три трактора. Русские у меня ничего не взяли. Обе мои мельницы работают бесперебойно. Я убедился, что Красная Армия не желает зла румынскому народу. Я, как и многие румыны, хочу, чтобы немцы были навсегда изгнаны с румынской территории» (14894).</w:t>
      </w:r>
    </w:p>
    <w:p w14:paraId="540AE5BA" w14:textId="77777777" w:rsidR="004B3F09" w:rsidRPr="00070ADE" w:rsidRDefault="004B3F09" w:rsidP="00B56F90">
      <w:pPr>
        <w:spacing w:after="0" w:line="240" w:lineRule="auto"/>
        <w:jc w:val="both"/>
        <w:rPr>
          <w:rFonts w:ascii="Times New Roman" w:hAnsi="Times New Roman"/>
          <w:color w:val="000000" w:themeColor="text1"/>
          <w:sz w:val="16"/>
          <w:szCs w:val="16"/>
        </w:rPr>
      </w:pPr>
    </w:p>
    <w:p w14:paraId="411BF90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692D16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C8C7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17-18 мая 1944 была высылка крымских татар в Казахстан и Среднюю Азию (1348,123).</w:t>
      </w:r>
    </w:p>
    <w:p w14:paraId="0E86EF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92FA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17-18 мая 1944 в Казахстан и СА были высланы Крымские татары и Крымская АССР стала Крымской областью (3908,369).</w:t>
      </w:r>
    </w:p>
    <w:p w14:paraId="469C21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D012EA" w14:textId="77777777" w:rsidR="005F2ECF"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3F728375" w14:textId="77777777" w:rsidR="005F2ECF" w:rsidRPr="00070ADE" w:rsidRDefault="005F2ECF"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2A0170"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17 мая</w:t>
      </w:r>
      <w:r w:rsidRPr="00070ADE">
        <w:rPr>
          <w:rFonts w:ascii="Times New Roman" w:hAnsi="Times New Roman"/>
          <w:color w:val="000000" w:themeColor="text1"/>
          <w:sz w:val="16"/>
          <w:szCs w:val="16"/>
        </w:rPr>
        <w:t xml:space="preserve"> в 1944 году в Германии состоялся первый испытательный пилотируемый полет необычного летательного аппарата - "Модель-2" ("Вертикального самолета" или "Фау-7", буквально летающей тарелки) конструкции инженеров Шривера и Габермоля. Скорость аппарата достигла 288 км/ч (14894).</w:t>
      </w:r>
    </w:p>
    <w:p w14:paraId="1185E8AD" w14:textId="77777777" w:rsidR="005F2ECF" w:rsidRPr="00070ADE" w:rsidRDefault="005F2ECF" w:rsidP="00B56F90">
      <w:pPr>
        <w:spacing w:after="0" w:line="240" w:lineRule="auto"/>
        <w:jc w:val="both"/>
        <w:rPr>
          <w:rFonts w:ascii="Times New Roman" w:hAnsi="Times New Roman"/>
          <w:color w:val="000000" w:themeColor="text1"/>
          <w:sz w:val="16"/>
          <w:szCs w:val="16"/>
        </w:rPr>
      </w:pPr>
    </w:p>
    <w:p w14:paraId="593BF728"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17 мая</w:t>
      </w:r>
      <w:r w:rsidRPr="00070ADE">
        <w:rPr>
          <w:rFonts w:ascii="Times New Roman" w:hAnsi="Times New Roman"/>
          <w:color w:val="000000" w:themeColor="text1"/>
          <w:sz w:val="16"/>
          <w:szCs w:val="16"/>
        </w:rPr>
        <w:t xml:space="preserve"> в 1944 году приступили к испытаниям опытного образца учебно-тренировочного самолёта </w:t>
      </w:r>
      <w:hyperlink r:id="rId130" w:tgtFrame="_blank" w:history="1">
        <w:r w:rsidRPr="00070ADE">
          <w:rPr>
            <w:rFonts w:ascii="Times New Roman" w:hAnsi="Times New Roman"/>
            <w:color w:val="000000" w:themeColor="text1"/>
            <w:sz w:val="16"/>
            <w:szCs w:val="16"/>
          </w:rPr>
          <w:t xml:space="preserve">«I.Ae.22» «DL» </w:t>
        </w:r>
      </w:hyperlink>
      <w:r w:rsidRPr="00070ADE">
        <w:rPr>
          <w:rFonts w:ascii="Times New Roman" w:hAnsi="Times New Roman"/>
          <w:color w:val="000000" w:themeColor="text1"/>
          <w:sz w:val="16"/>
          <w:szCs w:val="16"/>
        </w:rPr>
        <w:t>(разработчик: «FMA», Аргентина). Прототип в короткий срок прошел испытательный цикл и был принят к серийному производству. По заказу ВВС на предприятии «FMA» заложили две серии по 100 самолётов, последний из которых надлежало сдать в 1946 г. В течении 1944 гг. удалось собрать всего 10 самолётов, но затем темпы производства возросли и в год выпускали по 49 машин. Всего построили 206 экземпляров «I.Ae.22», долгое время состоявших на вооружении ВВС Аргентины. В серии строился вариант с аргентинским мотором «Ае.16» "Gaucho" (450 л.с.) с винтом «Hamilton-Standart» либо с британским «Armstrong Siddley» "Cheetah" 25 (475 л.с.) с винтом фирмы «Rotol». Вторая модификация, обозначавшаяся как 2I.Ae.22C», отличалась несколько более высокими данными и возросшей массой (14894).</w:t>
      </w:r>
    </w:p>
    <w:p w14:paraId="6C85B037" w14:textId="77777777" w:rsidR="005F2ECF" w:rsidRPr="00070ADE" w:rsidRDefault="005F2ECF" w:rsidP="00B56F90">
      <w:pPr>
        <w:spacing w:after="0" w:line="240" w:lineRule="auto"/>
        <w:jc w:val="both"/>
        <w:rPr>
          <w:rFonts w:ascii="Times New Roman" w:hAnsi="Times New Roman"/>
          <w:color w:val="000000" w:themeColor="text1"/>
          <w:sz w:val="16"/>
          <w:szCs w:val="16"/>
        </w:rPr>
      </w:pPr>
    </w:p>
    <w:p w14:paraId="1992B173"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мая 1944 99 B-24 военно - воздушных сил пятой и тринадцатой воздушных армий нанесли удар по Биак. После этого каждый день, кроме одного, во время высадки американских амфибий на Биак 27 мая, обе армии будут проводить почти ежедневные налеты на Биак и Фогелькоп (20373).</w:t>
      </w:r>
    </w:p>
    <w:p w14:paraId="2BAE4C97" w14:textId="77777777" w:rsidR="00DD3D22" w:rsidRPr="00070ADE" w:rsidRDefault="00DD3D22" w:rsidP="00B56F90">
      <w:pPr>
        <w:spacing w:after="0" w:line="240" w:lineRule="auto"/>
        <w:jc w:val="both"/>
        <w:rPr>
          <w:rFonts w:ascii="Times New Roman" w:hAnsi="Times New Roman"/>
          <w:color w:val="000000" w:themeColor="text1"/>
          <w:sz w:val="16"/>
          <w:szCs w:val="16"/>
        </w:rPr>
      </w:pPr>
    </w:p>
    <w:p w14:paraId="58BCFF17"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мая 1944 самолеты британского авианосца HMS Illustrious и американского авианосца USS Saratoga (CV-3) наносят удар по нефтеперерабатывающему заводу в Сурабае, Ява (20373).</w:t>
      </w:r>
    </w:p>
    <w:p w14:paraId="65930512" w14:textId="77777777" w:rsidR="00DD3D22" w:rsidRPr="00070ADE" w:rsidRDefault="00DD3D22" w:rsidP="00B56F90">
      <w:pPr>
        <w:spacing w:after="0" w:line="240" w:lineRule="auto"/>
        <w:jc w:val="both"/>
        <w:rPr>
          <w:rFonts w:ascii="Times New Roman" w:hAnsi="Times New Roman"/>
          <w:color w:val="000000" w:themeColor="text1"/>
          <w:sz w:val="16"/>
          <w:szCs w:val="16"/>
        </w:rPr>
      </w:pPr>
    </w:p>
    <w:p w14:paraId="5FC62364"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17 мая</w:t>
      </w:r>
      <w:r w:rsidRPr="00070ADE">
        <w:rPr>
          <w:rFonts w:ascii="Times New Roman" w:hAnsi="Times New Roman"/>
          <w:color w:val="000000" w:themeColor="text1"/>
          <w:sz w:val="16"/>
          <w:szCs w:val="16"/>
        </w:rPr>
        <w:t xml:space="preserve"> в 1944 году немецкие войска отступают из Кассино (14894).</w:t>
      </w:r>
    </w:p>
    <w:p w14:paraId="4F48A571" w14:textId="77777777" w:rsidR="005F2ECF" w:rsidRPr="00070ADE" w:rsidRDefault="005F2ECF" w:rsidP="00B56F90">
      <w:pPr>
        <w:spacing w:after="0" w:line="240" w:lineRule="auto"/>
        <w:jc w:val="both"/>
        <w:rPr>
          <w:rFonts w:ascii="Times New Roman" w:hAnsi="Times New Roman"/>
          <w:color w:val="000000" w:themeColor="text1"/>
          <w:sz w:val="16"/>
          <w:szCs w:val="16"/>
        </w:rPr>
      </w:pPr>
    </w:p>
    <w:p w14:paraId="30FFD26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13727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E817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Зам. ГИ ВВС КА л-л ИАС Лапин писал письмо N 921607 Зам. наркома П.Дементьеву (вход. 6540 от 19 мая 1944) о недостаточной живучести брони самолета Ил-2 и о необходимости повышения вязкости, сделанные на основе единичного испытания НИИ ВВС КА в искусственных условиях. Стреляли 15-20 мм снарядами по одному корпусу на земле (1818,10).</w:t>
      </w:r>
    </w:p>
    <w:p w14:paraId="31CC6F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частей ВВС КА начали поступать сведения о том, что бронедетали корпуса самолета Ил-2 при поражении их снарядами кал. 15 и 20 мм из авиационного вооружения противника дают хрупкие разрушения.</w:t>
      </w:r>
    </w:p>
    <w:p w14:paraId="0AD8E7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этим НИИ ВВС КА в апреле месяце с.г. были проведены испытания отстрелом бронекорпуса самолета Ил-2, изготовленного на заводе 125 НКАП во втором квартале 1943.</w:t>
      </w:r>
    </w:p>
    <w:p w14:paraId="3E35F3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Эти испытания подтвердили, что при обстреле бронекорпуса снарядами кал. 15-20 мм броня дает хрупкие разрушения: расколы, проломы и отколы. При этом было обнаружено, что с тыльной стороны в месте удара снаряда, отрывается слой металла, толщиной примерно в половину листа и в некоторых случаях загибается наподобие стружки.</w:t>
      </w:r>
    </w:p>
    <w:p w14:paraId="36CAE2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Металлографическими исследованиями качества материала установлено, что металл бронекорпуса сильно загрязнен неметаллическими включениями.</w:t>
      </w:r>
    </w:p>
    <w:p w14:paraId="204DAA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Исходя из вышеизложенного прошу Ваших распоряжений:</w:t>
      </w:r>
    </w:p>
    <w:p w14:paraId="5EA494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ВИАМу и заводу 125 НКАП провести исследование взаимодействия снаряда кал. 15-20 мм с броней, применяемой для корпуса самолета Ил-2 и установить оптимальную технологию для нее, исключающую хрупкие разрушения при поражении снарядами данного калибра.</w:t>
      </w:r>
    </w:p>
    <w:p w14:paraId="6AE9A8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Заводам 125 и 207 обратить внимание на усиление контроля за качеством материала брони для корпусов самолета Ил-2.</w:t>
      </w:r>
    </w:p>
    <w:p w14:paraId="20F0A6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Отчет по испытанию бронекорпуса в НКАП направлен." (1818,11).</w:t>
      </w:r>
    </w:p>
    <w:p w14:paraId="4B2AFC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Дементьев нанес резолюцию: т. Туманову. Прошу доложить по этому вопросу вместе с тов. Кишкиным 23 мая 1944 (1818,11).</w:t>
      </w:r>
    </w:p>
    <w:p w14:paraId="4B1456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4301BC" w14:textId="77777777" w:rsidR="00962976" w:rsidRPr="00070ADE" w:rsidRDefault="0096297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18 мая 1944 г. начальник НИИ АВ генерал-майор М. В. Гуревич утвердил отчет о влиянии «стрельбы из 37-мм пушки ОКБ-16 на матчасть серийного самолета завода № 30». Для этой работы в марте-мае был задействован Ил-2 зав. № 303189, на котором литые хомуты переднего и заднего кре</w:t>
      </w:r>
      <w:r w:rsidRPr="00070ADE">
        <w:rPr>
          <w:color w:val="000000" w:themeColor="text1"/>
          <w:sz w:val="16"/>
          <w:szCs w:val="16"/>
        </w:rPr>
        <w:softHyphen/>
        <w:t>плений пушки были заменены коваными как более прочными. Были сделаны и другие доработки.</w:t>
      </w:r>
    </w:p>
    <w:p w14:paraId="33A6671C" w14:textId="77777777" w:rsidR="00962976" w:rsidRPr="00070ADE" w:rsidRDefault="0096297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Ответственным по испытаниям был назначен старший инженер 2-го отделения 1-го отдела НИИ АВ инженер-капитан В. Н. Лужецкий. Летали — май</w:t>
      </w:r>
      <w:r w:rsidRPr="00070ADE">
        <w:rPr>
          <w:color w:val="000000" w:themeColor="text1"/>
          <w:sz w:val="16"/>
          <w:szCs w:val="16"/>
        </w:rPr>
        <w:softHyphen/>
        <w:t>ор М. В. Чернышенко и майор В. И. Сироткин. От НКАП в испытаниях участвовали начальник ОТК за</w:t>
      </w:r>
      <w:r w:rsidRPr="00070ADE">
        <w:rPr>
          <w:color w:val="000000" w:themeColor="text1"/>
          <w:sz w:val="16"/>
          <w:szCs w:val="16"/>
        </w:rPr>
        <w:softHyphen/>
        <w:t>вода № 30 П. С. Сергеев и инженер опытного заво</w:t>
      </w:r>
      <w:r w:rsidRPr="00070ADE">
        <w:rPr>
          <w:color w:val="000000" w:themeColor="text1"/>
          <w:sz w:val="16"/>
          <w:szCs w:val="16"/>
        </w:rPr>
        <w:softHyphen/>
        <w:t>да № 240 С. А. Певзнер.</w:t>
      </w:r>
    </w:p>
    <w:p w14:paraId="11CE6089" w14:textId="77777777" w:rsidR="00962976" w:rsidRPr="00070ADE" w:rsidRDefault="0096297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общей сложности по программе испытаний было выполнено 43 полета со стрельбой из пу</w:t>
      </w:r>
      <w:r w:rsidRPr="00070ADE">
        <w:rPr>
          <w:color w:val="000000" w:themeColor="text1"/>
          <w:sz w:val="16"/>
          <w:szCs w:val="16"/>
        </w:rPr>
        <w:softHyphen/>
        <w:t>шек 11П, в том числе 27 полетов — со стрельбой на пикировании, 10 — на выходе из пикирования, 6 — в горизонтальном полете. Суммарный настрел пушек составил 3799 выстрелов в воздухе и 6809 выстрелов — на земле.</w:t>
      </w:r>
    </w:p>
    <w:p w14:paraId="355A268F" w14:textId="77777777" w:rsidR="00962976" w:rsidRPr="00070ADE" w:rsidRDefault="0096297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Как следует из материалов отчета, сила отдачи «на специальном станке с жестким креплением пу</w:t>
      </w:r>
      <w:r w:rsidRPr="00070ADE">
        <w:rPr>
          <w:color w:val="000000" w:themeColor="text1"/>
          <w:sz w:val="16"/>
          <w:szCs w:val="16"/>
        </w:rPr>
        <w:softHyphen/>
        <w:t>шек» при заливке гидротормоза тяжелым кероси</w:t>
      </w:r>
      <w:r w:rsidRPr="00070ADE">
        <w:rPr>
          <w:color w:val="000000" w:themeColor="text1"/>
          <w:sz w:val="16"/>
          <w:szCs w:val="16"/>
        </w:rPr>
        <w:softHyphen/>
        <w:t>ном колебалась в пределах 4200—4400 кг, а при за</w:t>
      </w:r>
      <w:r w:rsidRPr="00070ADE">
        <w:rPr>
          <w:color w:val="000000" w:themeColor="text1"/>
          <w:sz w:val="16"/>
          <w:szCs w:val="16"/>
        </w:rPr>
        <w:softHyphen/>
        <w:t>ливке водоглицериновой смесью — 4050—4750 кг. То есть отдача оказалась меньше, чем намерили в институте в 1943 г. Однако настрел без наруше</w:t>
      </w:r>
      <w:r w:rsidRPr="00070ADE">
        <w:rPr>
          <w:color w:val="000000" w:themeColor="text1"/>
          <w:sz w:val="16"/>
          <w:szCs w:val="16"/>
        </w:rPr>
        <w:softHyphen/>
        <w:t>ния прочности крыла ограничивался все теми же 3000 выстрелами из каждой пушки. «При данной жесткости установок не может быть обеспечена на</w:t>
      </w:r>
      <w:r w:rsidRPr="00070ADE">
        <w:rPr>
          <w:color w:val="000000" w:themeColor="text1"/>
          <w:sz w:val="16"/>
          <w:szCs w:val="16"/>
        </w:rPr>
        <w:softHyphen/>
        <w:t>дежная работа пушек из-за большого смещения их во время стрельбы относительно крыла, что также лимитирует живучесть установки», — констатиро</w:t>
      </w:r>
      <w:r w:rsidRPr="00070ADE">
        <w:rPr>
          <w:color w:val="000000" w:themeColor="text1"/>
          <w:sz w:val="16"/>
          <w:szCs w:val="16"/>
        </w:rPr>
        <w:softHyphen/>
        <w:t>валось в отчете по результатам испытаний. Для по</w:t>
      </w:r>
      <w:r w:rsidRPr="00070ADE">
        <w:rPr>
          <w:color w:val="000000" w:themeColor="text1"/>
          <w:sz w:val="16"/>
          <w:szCs w:val="16"/>
        </w:rPr>
        <w:softHyphen/>
        <w:t>вышения эффективности стрельбы из 11П на само</w:t>
      </w:r>
      <w:r w:rsidRPr="00070ADE">
        <w:rPr>
          <w:color w:val="000000" w:themeColor="text1"/>
          <w:sz w:val="16"/>
          <w:szCs w:val="16"/>
        </w:rPr>
        <w:softHyphen/>
        <w:t>лете Ил-2 требовалось: «а) уменьшить силу отдачи; б) приблизить пушки к продольной оси самолета и установить их непосредственно в крыле» (17500).</w:t>
      </w:r>
    </w:p>
    <w:p w14:paraId="5E861E07" w14:textId="77777777" w:rsidR="00962976" w:rsidRPr="00070ADE" w:rsidRDefault="00962976" w:rsidP="00B56F90">
      <w:pPr>
        <w:spacing w:after="0" w:line="240" w:lineRule="auto"/>
        <w:jc w:val="both"/>
        <w:rPr>
          <w:rFonts w:ascii="Times New Roman" w:eastAsia="Times New Roman" w:hAnsi="Times New Roman"/>
          <w:color w:val="000000" w:themeColor="text1"/>
          <w:sz w:val="16"/>
          <w:szCs w:val="16"/>
          <w:lang w:eastAsia="ru-RU"/>
        </w:rPr>
      </w:pPr>
    </w:p>
    <w:p w14:paraId="5A3AE9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А.И.Ш. писал Г.М.М. письмо N Н-33/2485:</w:t>
      </w:r>
    </w:p>
    <w:p w14:paraId="21294A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"Посылаю на Ваше рассмотрение проект докладной записки с проектом постановления ГКО "О постановке серийного производства самолета Ил с АМ-42 на заводе </w:t>
      </w:r>
      <w:r w:rsidRPr="00070ADE">
        <w:rPr>
          <w:rFonts w:ascii="Times New Roman" w:hAnsi="Times New Roman"/>
          <w:color w:val="000000" w:themeColor="text1"/>
          <w:sz w:val="16"/>
          <w:szCs w:val="16"/>
        </w:rPr>
        <w:lastRenderedPageBreak/>
        <w:t>18":</w:t>
      </w:r>
    </w:p>
    <w:p w14:paraId="4819EE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Председателю ГКО Сталину И.В.</w:t>
      </w:r>
    </w:p>
    <w:p w14:paraId="25ECE9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Опытный 2-х местный бронированный самолет Ил производства завода 240 с опытным мотором АМ-42 гос. испытания выдержал и рекомендован в серийное производство в вариантах штурмовика-бомбардировщика и разведчика корректировщика.</w:t>
      </w:r>
    </w:p>
    <w:p w14:paraId="0CBB38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данные самолета Ил с АМ-42 и сравнение их с серийным Ил-2 с АМ-38Ф:</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4D4663" w:rsidRPr="00070ADE" w14:paraId="1654173D" w14:textId="77777777">
        <w:tc>
          <w:tcPr>
            <w:tcW w:w="2254" w:type="dxa"/>
          </w:tcPr>
          <w:p w14:paraId="057BD9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B659A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Ил с</w:t>
            </w:r>
          </w:p>
        </w:tc>
        <w:tc>
          <w:tcPr>
            <w:tcW w:w="2254" w:type="dxa"/>
          </w:tcPr>
          <w:p w14:paraId="03E5A6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Ил-2 с</w:t>
            </w:r>
          </w:p>
        </w:tc>
        <w:tc>
          <w:tcPr>
            <w:tcW w:w="2254" w:type="dxa"/>
          </w:tcPr>
          <w:p w14:paraId="1C26C4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Ил с</w:t>
            </w:r>
          </w:p>
        </w:tc>
      </w:tr>
      <w:tr w:rsidR="004D4663" w:rsidRPr="00070ADE" w14:paraId="0908BD2C" w14:textId="77777777">
        <w:tc>
          <w:tcPr>
            <w:tcW w:w="2254" w:type="dxa"/>
          </w:tcPr>
          <w:p w14:paraId="330C32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5F3E9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АМ-42 шт.</w:t>
            </w:r>
          </w:p>
        </w:tc>
        <w:tc>
          <w:tcPr>
            <w:tcW w:w="2254" w:type="dxa"/>
          </w:tcPr>
          <w:p w14:paraId="294DFE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АМ-38Ф (сер.)</w:t>
            </w:r>
          </w:p>
        </w:tc>
        <w:tc>
          <w:tcPr>
            <w:tcW w:w="2254" w:type="dxa"/>
          </w:tcPr>
          <w:p w14:paraId="302150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АМ-42 разв./кор.</w:t>
            </w:r>
          </w:p>
        </w:tc>
      </w:tr>
      <w:tr w:rsidR="004D4663" w:rsidRPr="00070ADE" w14:paraId="370A6485" w14:textId="77777777">
        <w:tc>
          <w:tcPr>
            <w:tcW w:w="2254" w:type="dxa"/>
          </w:tcPr>
          <w:p w14:paraId="2F4DE8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 полетный вес</w:t>
            </w:r>
          </w:p>
        </w:tc>
        <w:tc>
          <w:tcPr>
            <w:tcW w:w="2254" w:type="dxa"/>
          </w:tcPr>
          <w:p w14:paraId="5AD0B9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7260</w:t>
            </w:r>
          </w:p>
        </w:tc>
        <w:tc>
          <w:tcPr>
            <w:tcW w:w="2254" w:type="dxa"/>
          </w:tcPr>
          <w:p w14:paraId="1472C5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6265</w:t>
            </w:r>
          </w:p>
        </w:tc>
        <w:tc>
          <w:tcPr>
            <w:tcW w:w="2254" w:type="dxa"/>
          </w:tcPr>
          <w:p w14:paraId="120DD0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6725</w:t>
            </w:r>
          </w:p>
        </w:tc>
      </w:tr>
      <w:tr w:rsidR="004D4663" w:rsidRPr="00070ADE" w14:paraId="3717C454" w14:textId="77777777">
        <w:tc>
          <w:tcPr>
            <w:tcW w:w="2254" w:type="dxa"/>
          </w:tcPr>
          <w:p w14:paraId="24BF11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Перегр. пол. вес</w:t>
            </w:r>
          </w:p>
        </w:tc>
        <w:tc>
          <w:tcPr>
            <w:tcW w:w="2254" w:type="dxa"/>
          </w:tcPr>
          <w:p w14:paraId="5112AE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7600</w:t>
            </w:r>
          </w:p>
        </w:tc>
        <w:tc>
          <w:tcPr>
            <w:tcW w:w="2254" w:type="dxa"/>
          </w:tcPr>
          <w:p w14:paraId="54BADD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6465</w:t>
            </w:r>
          </w:p>
        </w:tc>
        <w:tc>
          <w:tcPr>
            <w:tcW w:w="2254" w:type="dxa"/>
          </w:tcPr>
          <w:p w14:paraId="1FD7DB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3CF3554" w14:textId="77777777">
        <w:tc>
          <w:tcPr>
            <w:tcW w:w="2254" w:type="dxa"/>
          </w:tcPr>
          <w:p w14:paraId="25D38C3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w:t>
            </w:r>
          </w:p>
        </w:tc>
        <w:tc>
          <w:tcPr>
            <w:tcW w:w="2254" w:type="dxa"/>
          </w:tcPr>
          <w:p w14:paraId="3FB772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BAB96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0BAA8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7CA9908" w14:textId="77777777">
        <w:tc>
          <w:tcPr>
            <w:tcW w:w="2254" w:type="dxa"/>
          </w:tcPr>
          <w:p w14:paraId="0F3D89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 мощность</w:t>
            </w:r>
          </w:p>
        </w:tc>
        <w:tc>
          <w:tcPr>
            <w:tcW w:w="2254" w:type="dxa"/>
          </w:tcPr>
          <w:p w14:paraId="46C232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2000</w:t>
            </w:r>
          </w:p>
        </w:tc>
        <w:tc>
          <w:tcPr>
            <w:tcW w:w="2254" w:type="dxa"/>
          </w:tcPr>
          <w:p w14:paraId="231F19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1700</w:t>
            </w:r>
          </w:p>
        </w:tc>
        <w:tc>
          <w:tcPr>
            <w:tcW w:w="2254" w:type="dxa"/>
          </w:tcPr>
          <w:p w14:paraId="7B160B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2000</w:t>
            </w:r>
          </w:p>
        </w:tc>
      </w:tr>
      <w:tr w:rsidR="004D4663" w:rsidRPr="00070ADE" w14:paraId="536F4C12" w14:textId="77777777">
        <w:tc>
          <w:tcPr>
            <w:tcW w:w="2254" w:type="dxa"/>
          </w:tcPr>
          <w:p w14:paraId="525D8F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мощность на гр. выс.</w:t>
            </w:r>
          </w:p>
        </w:tc>
        <w:tc>
          <w:tcPr>
            <w:tcW w:w="2254" w:type="dxa"/>
          </w:tcPr>
          <w:p w14:paraId="6A610D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1750/1500</w:t>
            </w:r>
          </w:p>
        </w:tc>
        <w:tc>
          <w:tcPr>
            <w:tcW w:w="2254" w:type="dxa"/>
          </w:tcPr>
          <w:p w14:paraId="284049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1500/800</w:t>
            </w:r>
          </w:p>
        </w:tc>
        <w:tc>
          <w:tcPr>
            <w:tcW w:w="2254" w:type="dxa"/>
          </w:tcPr>
          <w:p w14:paraId="45406B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1750/1500</w:t>
            </w:r>
          </w:p>
        </w:tc>
      </w:tr>
      <w:tr w:rsidR="004D4663" w:rsidRPr="00070ADE" w14:paraId="178B6EBC" w14:textId="77777777">
        <w:tc>
          <w:tcPr>
            <w:tcW w:w="2254" w:type="dxa"/>
          </w:tcPr>
          <w:p w14:paraId="6FC63D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w:t>
            </w:r>
          </w:p>
        </w:tc>
        <w:tc>
          <w:tcPr>
            <w:tcW w:w="2254" w:type="dxa"/>
          </w:tcPr>
          <w:p w14:paraId="2329DE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185645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0B915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76029AD" w14:textId="77777777">
        <w:tc>
          <w:tcPr>
            <w:tcW w:w="2254" w:type="dxa"/>
          </w:tcPr>
          <w:p w14:paraId="5B23CD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w:t>
            </w:r>
          </w:p>
        </w:tc>
        <w:tc>
          <w:tcPr>
            <w:tcW w:w="2254" w:type="dxa"/>
          </w:tcPr>
          <w:p w14:paraId="079F0C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428</w:t>
            </w:r>
          </w:p>
        </w:tc>
        <w:tc>
          <w:tcPr>
            <w:tcW w:w="2254" w:type="dxa"/>
          </w:tcPr>
          <w:p w14:paraId="7BA324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384</w:t>
            </w:r>
          </w:p>
        </w:tc>
        <w:tc>
          <w:tcPr>
            <w:tcW w:w="2254" w:type="dxa"/>
          </w:tcPr>
          <w:p w14:paraId="3CC833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436</w:t>
            </w:r>
          </w:p>
        </w:tc>
      </w:tr>
      <w:tr w:rsidR="004D4663" w:rsidRPr="00070ADE" w14:paraId="1115F51C" w14:textId="77777777">
        <w:tc>
          <w:tcPr>
            <w:tcW w:w="2254" w:type="dxa"/>
          </w:tcPr>
          <w:p w14:paraId="6F2BB4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гр. высотности</w:t>
            </w:r>
          </w:p>
        </w:tc>
        <w:tc>
          <w:tcPr>
            <w:tcW w:w="2254" w:type="dxa"/>
          </w:tcPr>
          <w:p w14:paraId="7AA562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472/2500</w:t>
            </w:r>
          </w:p>
        </w:tc>
        <w:tc>
          <w:tcPr>
            <w:tcW w:w="2254" w:type="dxa"/>
          </w:tcPr>
          <w:p w14:paraId="35B734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404/1500</w:t>
            </w:r>
          </w:p>
        </w:tc>
        <w:tc>
          <w:tcPr>
            <w:tcW w:w="2254" w:type="dxa"/>
          </w:tcPr>
          <w:p w14:paraId="5052BC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480/2500</w:t>
            </w:r>
          </w:p>
        </w:tc>
      </w:tr>
      <w:tr w:rsidR="004D4663" w:rsidRPr="00070ADE" w14:paraId="0B63BF77" w14:textId="77777777">
        <w:tc>
          <w:tcPr>
            <w:tcW w:w="2254" w:type="dxa"/>
          </w:tcPr>
          <w:p w14:paraId="1268E3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 техн. дальн.</w:t>
            </w:r>
          </w:p>
        </w:tc>
        <w:tc>
          <w:tcPr>
            <w:tcW w:w="2254" w:type="dxa"/>
          </w:tcPr>
          <w:p w14:paraId="5CF245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980</w:t>
            </w:r>
          </w:p>
        </w:tc>
        <w:tc>
          <w:tcPr>
            <w:tcW w:w="2254" w:type="dxa"/>
          </w:tcPr>
          <w:p w14:paraId="5553A7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665</w:t>
            </w:r>
          </w:p>
        </w:tc>
        <w:tc>
          <w:tcPr>
            <w:tcW w:w="2254" w:type="dxa"/>
          </w:tcPr>
          <w:p w14:paraId="0550E4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860</w:t>
            </w:r>
          </w:p>
        </w:tc>
      </w:tr>
      <w:tr w:rsidR="004D4663" w:rsidRPr="00070ADE" w14:paraId="359390B7" w14:textId="77777777">
        <w:tc>
          <w:tcPr>
            <w:tcW w:w="2254" w:type="dxa"/>
          </w:tcPr>
          <w:p w14:paraId="0CB4F0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 нагр.</w:t>
            </w:r>
          </w:p>
        </w:tc>
        <w:tc>
          <w:tcPr>
            <w:tcW w:w="2254" w:type="dxa"/>
          </w:tcPr>
          <w:p w14:paraId="147868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A454E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FD1FA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0D5B886" w14:textId="77777777">
        <w:tc>
          <w:tcPr>
            <w:tcW w:w="2254" w:type="dxa"/>
          </w:tcPr>
          <w:p w14:paraId="79238E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w:t>
            </w:r>
          </w:p>
        </w:tc>
        <w:tc>
          <w:tcPr>
            <w:tcW w:w="2254" w:type="dxa"/>
          </w:tcPr>
          <w:p w14:paraId="642B26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tc>
        <w:tc>
          <w:tcPr>
            <w:tcW w:w="2254" w:type="dxa"/>
          </w:tcPr>
          <w:p w14:paraId="666CC0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tc>
        <w:tc>
          <w:tcPr>
            <w:tcW w:w="2254" w:type="dxa"/>
          </w:tcPr>
          <w:p w14:paraId="751BA6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5A9BC65" w14:textId="77777777">
        <w:tc>
          <w:tcPr>
            <w:tcW w:w="2254" w:type="dxa"/>
          </w:tcPr>
          <w:p w14:paraId="6214D4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перегр.</w:t>
            </w:r>
          </w:p>
        </w:tc>
        <w:tc>
          <w:tcPr>
            <w:tcW w:w="2254" w:type="dxa"/>
          </w:tcPr>
          <w:p w14:paraId="5432D5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tc>
        <w:tc>
          <w:tcPr>
            <w:tcW w:w="2254" w:type="dxa"/>
          </w:tcPr>
          <w:p w14:paraId="3D3233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tc>
        <w:tc>
          <w:tcPr>
            <w:tcW w:w="2254" w:type="dxa"/>
          </w:tcPr>
          <w:p w14:paraId="49EF8A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5BAD12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Ил с АМ-42 установлено стрелково-пушечное вооружение то же, что и на серийном Ил-2 с АМ-38Ф (2хВЯ, 2хШКАС + 1 УБК).</w:t>
      </w:r>
    </w:p>
    <w:p w14:paraId="19A618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отличие от серийных самолетов Ил-2 с АМ-38Ф самолет Ил с АМ-42 обладает лучшей продольной устойчивостью и управляемостью, что упростило технику пилотирования на виражах и в бреющем полете. По технике пилотирования самолет Ил с Ам-42 прост. Летный состав, летающий на серийных самолетах Ил-2, может быть допущен к полетам на самолете Ил с Ам-42 без доп. летной тренировки.</w:t>
      </w:r>
    </w:p>
    <w:p w14:paraId="1409D8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Ил с АМ-42 обладает явными преимуществами перед находящимся на вооружении самолетом Ил с АМ-38Ф за счет:</w:t>
      </w:r>
    </w:p>
    <w:p w14:paraId="58CB63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лучших ЛТД, маневренности и управляемости</w:t>
      </w:r>
    </w:p>
    <w:p w14:paraId="0DBAFD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большой бомбовой нагрузкой и возможностью подвески бомб до ФАБ-500</w:t>
      </w:r>
    </w:p>
    <w:p w14:paraId="59AD05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лучшей бронезащитой штурмана</w:t>
      </w:r>
    </w:p>
    <w:p w14:paraId="5DBAED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наличия удобств и обеспеченности необходимым оборудованием кабины экипажа</w:t>
      </w:r>
    </w:p>
    <w:p w14:paraId="6743B9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лучшей огневой защиты задней полусферы с верхней установки</w:t>
      </w:r>
    </w:p>
    <w:p w14:paraId="2C2322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АМ-42 прошел 100 часовые испытания</w:t>
      </w:r>
    </w:p>
    <w:p w14:paraId="5AE103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Целесообразно организовать серийное производство самолетов Ил с АМ-42 на заводе 18 в Куйбышеве в вариантах штурмовика-бомбардировщика с металлической хвостовой частью фюзеляжа.</w:t>
      </w:r>
    </w:p>
    <w:p w14:paraId="054AC32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Просим Вас утвердить проект постановления ГОКО о запуске в серию на заводе 18 самолета Ил с АМ-42 (А.И.Ш. и Новиков).</w:t>
      </w:r>
    </w:p>
    <w:p w14:paraId="202E7E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 ГКО</w:t>
      </w:r>
    </w:p>
    <w:p w14:paraId="32BC7B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 организации серийного производства на заводе 18 в г. Куйбышеве самолетов Ил-8 конструкции С.В.И."</w:t>
      </w:r>
    </w:p>
    <w:p w14:paraId="03D97F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ГКО постановляет:</w:t>
      </w:r>
    </w:p>
    <w:p w14:paraId="49EB71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Обязать НКАП - А.И.Ш., дир. завода 18 Белянского и ГК С.В.И. организовать на заводе 18 серийное производство самолетов Ил-8 - 2-х местных бронированных штурмовиков с винтами АВ-5Л-18Б с АМ-42 с металлической хвостовой частью фюзеляжа.</w:t>
      </w:r>
    </w:p>
    <w:p w14:paraId="6866B2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Ил-8 с АМ-42 выпускать со след. ЛТД: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4D4663" w:rsidRPr="00070ADE" w14:paraId="00AC4282" w14:textId="77777777">
        <w:tc>
          <w:tcPr>
            <w:tcW w:w="2818" w:type="dxa"/>
          </w:tcPr>
          <w:p w14:paraId="46E9FB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у земли</w:t>
            </w:r>
          </w:p>
        </w:tc>
        <w:tc>
          <w:tcPr>
            <w:tcW w:w="2818" w:type="dxa"/>
          </w:tcPr>
          <w:p w14:paraId="195583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428</w:t>
            </w:r>
          </w:p>
        </w:tc>
      </w:tr>
      <w:tr w:rsidR="004D4663" w:rsidRPr="00070ADE" w14:paraId="030B2055" w14:textId="77777777">
        <w:tc>
          <w:tcPr>
            <w:tcW w:w="2818" w:type="dxa"/>
          </w:tcPr>
          <w:p w14:paraId="6B801B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2500</w:t>
            </w:r>
          </w:p>
        </w:tc>
        <w:tc>
          <w:tcPr>
            <w:tcW w:w="2818" w:type="dxa"/>
          </w:tcPr>
          <w:p w14:paraId="2CBDA9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472</w:t>
            </w:r>
          </w:p>
        </w:tc>
      </w:tr>
      <w:tr w:rsidR="004D4663" w:rsidRPr="00070ADE" w14:paraId="473DBBC7" w14:textId="77777777">
        <w:tc>
          <w:tcPr>
            <w:tcW w:w="2818" w:type="dxa"/>
          </w:tcPr>
          <w:p w14:paraId="5CE410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 потолок</w:t>
            </w:r>
          </w:p>
        </w:tc>
        <w:tc>
          <w:tcPr>
            <w:tcW w:w="2818" w:type="dxa"/>
          </w:tcPr>
          <w:p w14:paraId="3462A4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6400</w:t>
            </w:r>
          </w:p>
        </w:tc>
      </w:tr>
      <w:tr w:rsidR="004D4663" w:rsidRPr="00070ADE" w14:paraId="6FDF6A08" w14:textId="77777777">
        <w:tc>
          <w:tcPr>
            <w:tcW w:w="2818" w:type="dxa"/>
          </w:tcPr>
          <w:p w14:paraId="2659AE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с 600 кг бомб</w:t>
            </w:r>
          </w:p>
        </w:tc>
        <w:tc>
          <w:tcPr>
            <w:tcW w:w="2818" w:type="dxa"/>
          </w:tcPr>
          <w:p w14:paraId="598F77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980</w:t>
            </w:r>
          </w:p>
        </w:tc>
      </w:tr>
      <w:tr w:rsidR="004D4663" w:rsidRPr="00070ADE" w14:paraId="0F9EA1F0" w14:textId="77777777">
        <w:tc>
          <w:tcPr>
            <w:tcW w:w="2818" w:type="dxa"/>
          </w:tcPr>
          <w:p w14:paraId="68F398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240 км/час</w:t>
            </w:r>
          </w:p>
        </w:tc>
        <w:tc>
          <w:tcPr>
            <w:tcW w:w="2818" w:type="dxa"/>
          </w:tcPr>
          <w:p w14:paraId="642236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173256A" w14:textId="77777777">
        <w:tc>
          <w:tcPr>
            <w:tcW w:w="2818" w:type="dxa"/>
          </w:tcPr>
          <w:p w14:paraId="53B720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w:t>
            </w:r>
          </w:p>
        </w:tc>
        <w:tc>
          <w:tcPr>
            <w:tcW w:w="2818" w:type="dxa"/>
          </w:tcPr>
          <w:p w14:paraId="337102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9D879FE" w14:textId="77777777">
        <w:tc>
          <w:tcPr>
            <w:tcW w:w="2818" w:type="dxa"/>
          </w:tcPr>
          <w:p w14:paraId="096EFF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пушки ВЯ вперед</w:t>
            </w:r>
          </w:p>
        </w:tc>
        <w:tc>
          <w:tcPr>
            <w:tcW w:w="2818" w:type="dxa"/>
          </w:tcPr>
          <w:p w14:paraId="0243B0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r>
      <w:tr w:rsidR="004D4663" w:rsidRPr="00070ADE" w14:paraId="3FDC093D" w14:textId="77777777">
        <w:tc>
          <w:tcPr>
            <w:tcW w:w="2818" w:type="dxa"/>
          </w:tcPr>
          <w:p w14:paraId="00CCF9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снарядов</w:t>
            </w:r>
          </w:p>
        </w:tc>
        <w:tc>
          <w:tcPr>
            <w:tcW w:w="2818" w:type="dxa"/>
          </w:tcPr>
          <w:p w14:paraId="5291D6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tc>
      </w:tr>
      <w:tr w:rsidR="004D4663" w:rsidRPr="00070ADE" w14:paraId="09F5E35D" w14:textId="77777777">
        <w:tc>
          <w:tcPr>
            <w:tcW w:w="2818" w:type="dxa"/>
          </w:tcPr>
          <w:p w14:paraId="775B2E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пул. ШКАС вперед</w:t>
            </w:r>
          </w:p>
        </w:tc>
        <w:tc>
          <w:tcPr>
            <w:tcW w:w="2818" w:type="dxa"/>
          </w:tcPr>
          <w:p w14:paraId="0020EB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r>
      <w:tr w:rsidR="004D4663" w:rsidRPr="00070ADE" w14:paraId="5E0C8988" w14:textId="77777777">
        <w:tc>
          <w:tcPr>
            <w:tcW w:w="2818" w:type="dxa"/>
          </w:tcPr>
          <w:p w14:paraId="392023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патронов</w:t>
            </w:r>
          </w:p>
        </w:tc>
        <w:tc>
          <w:tcPr>
            <w:tcW w:w="2818" w:type="dxa"/>
          </w:tcPr>
          <w:p w14:paraId="210F2B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w:t>
            </w:r>
          </w:p>
        </w:tc>
      </w:tr>
      <w:tr w:rsidR="004D4663" w:rsidRPr="00070ADE" w14:paraId="51FFFDD0" w14:textId="77777777">
        <w:tc>
          <w:tcPr>
            <w:tcW w:w="2818" w:type="dxa"/>
          </w:tcPr>
          <w:p w14:paraId="22050A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 бомб. нагр.</w:t>
            </w:r>
          </w:p>
        </w:tc>
        <w:tc>
          <w:tcPr>
            <w:tcW w:w="2818" w:type="dxa"/>
          </w:tcPr>
          <w:p w14:paraId="367F70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tc>
      </w:tr>
      <w:tr w:rsidR="004D4663" w:rsidRPr="00070ADE" w14:paraId="5AB6900B" w14:textId="77777777">
        <w:tc>
          <w:tcPr>
            <w:tcW w:w="2818" w:type="dxa"/>
          </w:tcPr>
          <w:p w14:paraId="64B8F1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бомб. нагр.</w:t>
            </w:r>
          </w:p>
        </w:tc>
        <w:tc>
          <w:tcPr>
            <w:tcW w:w="2818" w:type="dxa"/>
          </w:tcPr>
          <w:p w14:paraId="261A51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tc>
      </w:tr>
      <w:tr w:rsidR="004D4663" w:rsidRPr="00070ADE" w14:paraId="45D38B56" w14:textId="77777777">
        <w:tc>
          <w:tcPr>
            <w:tcW w:w="2818" w:type="dxa"/>
          </w:tcPr>
          <w:p w14:paraId="28C0D4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т.ч. 2хФАБ-500</w:t>
            </w:r>
          </w:p>
        </w:tc>
        <w:tc>
          <w:tcPr>
            <w:tcW w:w="2818" w:type="dxa"/>
          </w:tcPr>
          <w:p w14:paraId="089E8E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5F9546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Установить на 1944 заводу 18 след. программу по выпуску Ил-8 и Ил-2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4D4663" w:rsidRPr="00070ADE" w14:paraId="7A968B16" w14:textId="77777777">
        <w:tc>
          <w:tcPr>
            <w:tcW w:w="1878" w:type="dxa"/>
          </w:tcPr>
          <w:p w14:paraId="7CCF90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1E934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w:t>
            </w:r>
          </w:p>
        </w:tc>
        <w:tc>
          <w:tcPr>
            <w:tcW w:w="1878" w:type="dxa"/>
          </w:tcPr>
          <w:p w14:paraId="2A903D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Ил-8</w:t>
            </w:r>
          </w:p>
        </w:tc>
      </w:tr>
      <w:tr w:rsidR="004D4663" w:rsidRPr="00070ADE" w14:paraId="2F983DF8" w14:textId="77777777">
        <w:tc>
          <w:tcPr>
            <w:tcW w:w="1878" w:type="dxa"/>
          </w:tcPr>
          <w:p w14:paraId="7C62B9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май</w:t>
            </w:r>
          </w:p>
        </w:tc>
        <w:tc>
          <w:tcPr>
            <w:tcW w:w="1878" w:type="dxa"/>
          </w:tcPr>
          <w:p w14:paraId="72796D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375</w:t>
            </w:r>
          </w:p>
        </w:tc>
        <w:tc>
          <w:tcPr>
            <w:tcW w:w="1878" w:type="dxa"/>
          </w:tcPr>
          <w:p w14:paraId="375E16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389F0CD" w14:textId="77777777">
        <w:tc>
          <w:tcPr>
            <w:tcW w:w="1878" w:type="dxa"/>
          </w:tcPr>
          <w:p w14:paraId="7E8E0E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июнь</w:t>
            </w:r>
          </w:p>
        </w:tc>
        <w:tc>
          <w:tcPr>
            <w:tcW w:w="1878" w:type="dxa"/>
          </w:tcPr>
          <w:p w14:paraId="2AC133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1878" w:type="dxa"/>
          </w:tcPr>
          <w:p w14:paraId="50E746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20334199" w14:textId="77777777">
        <w:tc>
          <w:tcPr>
            <w:tcW w:w="1878" w:type="dxa"/>
          </w:tcPr>
          <w:p w14:paraId="6DE7CC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июль</w:t>
            </w:r>
          </w:p>
        </w:tc>
        <w:tc>
          <w:tcPr>
            <w:tcW w:w="1878" w:type="dxa"/>
          </w:tcPr>
          <w:p w14:paraId="708BF7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1878" w:type="dxa"/>
          </w:tcPr>
          <w:p w14:paraId="44B2F3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F807556" w14:textId="77777777">
        <w:tc>
          <w:tcPr>
            <w:tcW w:w="1878" w:type="dxa"/>
          </w:tcPr>
          <w:p w14:paraId="69685F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август</w:t>
            </w:r>
          </w:p>
        </w:tc>
        <w:tc>
          <w:tcPr>
            <w:tcW w:w="1878" w:type="dxa"/>
          </w:tcPr>
          <w:p w14:paraId="6431FC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245</w:t>
            </w:r>
          </w:p>
        </w:tc>
        <w:tc>
          <w:tcPr>
            <w:tcW w:w="1878" w:type="dxa"/>
          </w:tcPr>
          <w:p w14:paraId="6CBBE6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r>
      <w:tr w:rsidR="004D4663" w:rsidRPr="00070ADE" w14:paraId="475723EB" w14:textId="77777777">
        <w:tc>
          <w:tcPr>
            <w:tcW w:w="1878" w:type="dxa"/>
          </w:tcPr>
          <w:p w14:paraId="7E226D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сентябрь</w:t>
            </w:r>
          </w:p>
        </w:tc>
        <w:tc>
          <w:tcPr>
            <w:tcW w:w="1878" w:type="dxa"/>
          </w:tcPr>
          <w:p w14:paraId="09CD2B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225</w:t>
            </w:r>
          </w:p>
        </w:tc>
        <w:tc>
          <w:tcPr>
            <w:tcW w:w="1878" w:type="dxa"/>
          </w:tcPr>
          <w:p w14:paraId="1F1017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r>
      <w:tr w:rsidR="004D4663" w:rsidRPr="00070ADE" w14:paraId="3D95AA97" w14:textId="77777777">
        <w:tc>
          <w:tcPr>
            <w:tcW w:w="1878" w:type="dxa"/>
          </w:tcPr>
          <w:p w14:paraId="7509DC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октябрь</w:t>
            </w:r>
          </w:p>
        </w:tc>
        <w:tc>
          <w:tcPr>
            <w:tcW w:w="1878" w:type="dxa"/>
          </w:tcPr>
          <w:p w14:paraId="164F2E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1878" w:type="dxa"/>
          </w:tcPr>
          <w:p w14:paraId="76C6A4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r>
      <w:tr w:rsidR="004D4663" w:rsidRPr="00070ADE" w14:paraId="3E6891DD" w14:textId="77777777">
        <w:tc>
          <w:tcPr>
            <w:tcW w:w="1878" w:type="dxa"/>
          </w:tcPr>
          <w:p w14:paraId="31BE45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ноябрь</w:t>
            </w:r>
          </w:p>
        </w:tc>
        <w:tc>
          <w:tcPr>
            <w:tcW w:w="1878" w:type="dxa"/>
          </w:tcPr>
          <w:p w14:paraId="6B6D3B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c>
          <w:tcPr>
            <w:tcW w:w="1878" w:type="dxa"/>
          </w:tcPr>
          <w:p w14:paraId="589DF2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r>
      <w:tr w:rsidR="004D4663" w:rsidRPr="00070ADE" w14:paraId="5BC294C3" w14:textId="77777777">
        <w:tc>
          <w:tcPr>
            <w:tcW w:w="1878" w:type="dxa"/>
          </w:tcPr>
          <w:p w14:paraId="4CB093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w:t>
            </w:r>
          </w:p>
        </w:tc>
        <w:tc>
          <w:tcPr>
            <w:tcW w:w="1878" w:type="dxa"/>
          </w:tcPr>
          <w:p w14:paraId="2D0C8D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1878" w:type="dxa"/>
          </w:tcPr>
          <w:p w14:paraId="5591F7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r>
    </w:tbl>
    <w:p w14:paraId="52D1EC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Директору завода 1 Третьякову и директору завода 30 Смирнову выпустить в 4 кв. 1944 по 10 самолетов Ил-8 с АМ-42 и во 2 полугодии 1944 провести на заводах подготовку производства с тем, чтобы в 1 кв. 1945 начать переход на серийное производство самолетов Ил-8 (1744,180).</w:t>
      </w:r>
    </w:p>
    <w:p w14:paraId="5A6FDC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7DC3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г. на основании распоряжения нар</w:t>
      </w:r>
      <w:r w:rsidRPr="00070ADE">
        <w:rPr>
          <w:rFonts w:ascii="Times New Roman" w:hAnsi="Times New Roman"/>
          <w:color w:val="000000" w:themeColor="text1"/>
          <w:sz w:val="16"/>
          <w:szCs w:val="16"/>
        </w:rPr>
        <w:softHyphen/>
        <w:t>кома директор завода А. А. Белянский издал приказ, согласно которому самолету Ил-8 в оперативной заводской документа</w:t>
      </w:r>
      <w:r w:rsidRPr="00070ADE">
        <w:rPr>
          <w:rFonts w:ascii="Times New Roman" w:hAnsi="Times New Roman"/>
          <w:color w:val="000000" w:themeColor="text1"/>
          <w:sz w:val="16"/>
          <w:szCs w:val="16"/>
        </w:rPr>
        <w:softHyphen/>
        <w:t>ции присваивался шифр "М", надо полагать, от Ил-2М, и открывались "счета на производство и подготов</w:t>
      </w:r>
      <w:r w:rsidRPr="00070ADE">
        <w:rPr>
          <w:rFonts w:ascii="Times New Roman" w:hAnsi="Times New Roman"/>
          <w:color w:val="000000" w:themeColor="text1"/>
          <w:sz w:val="16"/>
          <w:szCs w:val="16"/>
        </w:rPr>
        <w:softHyphen/>
        <w:t>ку производства". Первая серия ус</w:t>
      </w:r>
      <w:r w:rsidRPr="00070ADE">
        <w:rPr>
          <w:rFonts w:ascii="Times New Roman" w:hAnsi="Times New Roman"/>
          <w:color w:val="000000" w:themeColor="text1"/>
          <w:sz w:val="16"/>
          <w:szCs w:val="16"/>
        </w:rPr>
        <w:softHyphen/>
        <w:t>танавливалась в количестве 10 ма</w:t>
      </w:r>
      <w:r w:rsidRPr="00070ADE">
        <w:rPr>
          <w:rFonts w:ascii="Times New Roman" w:hAnsi="Times New Roman"/>
          <w:color w:val="000000" w:themeColor="text1"/>
          <w:sz w:val="16"/>
          <w:szCs w:val="16"/>
        </w:rPr>
        <w:softHyphen/>
        <w:t>шин, вторая - 30 и последующие серии - по 100 самолетов каждая. Сборку первого серийного экземп</w:t>
      </w:r>
      <w:r w:rsidRPr="00070ADE">
        <w:rPr>
          <w:rFonts w:ascii="Times New Roman" w:hAnsi="Times New Roman"/>
          <w:color w:val="000000" w:themeColor="text1"/>
          <w:sz w:val="16"/>
          <w:szCs w:val="16"/>
        </w:rPr>
        <w:softHyphen/>
        <w:t>ляра Ил-8 требовалось закончить к 12 августа, а всю "первую головную серию 10 машин выпустить из цеха № 7 к 25 августа 1944 г.". Главный технолог завода В. И. Демин обязы</w:t>
      </w:r>
      <w:r w:rsidRPr="00070ADE">
        <w:rPr>
          <w:rFonts w:ascii="Times New Roman" w:hAnsi="Times New Roman"/>
          <w:color w:val="000000" w:themeColor="text1"/>
          <w:sz w:val="16"/>
          <w:szCs w:val="16"/>
        </w:rPr>
        <w:softHyphen/>
        <w:t>вался к 29 мая разработать и пред</w:t>
      </w:r>
      <w:r w:rsidRPr="00070ADE">
        <w:rPr>
          <w:rFonts w:ascii="Times New Roman" w:hAnsi="Times New Roman"/>
          <w:color w:val="000000" w:themeColor="text1"/>
          <w:sz w:val="16"/>
          <w:szCs w:val="16"/>
        </w:rPr>
        <w:softHyphen/>
        <w:t>ставить на утверждение "график под</w:t>
      </w:r>
      <w:r w:rsidRPr="00070ADE">
        <w:rPr>
          <w:rFonts w:ascii="Times New Roman" w:hAnsi="Times New Roman"/>
          <w:color w:val="000000" w:themeColor="text1"/>
          <w:sz w:val="16"/>
          <w:szCs w:val="16"/>
        </w:rPr>
        <w:softHyphen/>
        <w:t>готовки производства Ил-8 первой очереди".</w:t>
      </w:r>
    </w:p>
    <w:p w14:paraId="43C028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всей видимости, за основу для серии нового штурмовика был взят самолет С-42, который изначально отрабатывался как эталон самолета Ил-2М для массового производства (11428).</w:t>
      </w:r>
    </w:p>
    <w:p w14:paraId="3DDB13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36203F" w14:textId="77777777" w:rsidR="00DD3D22" w:rsidRPr="00070ADE" w:rsidRDefault="00DD3D22" w:rsidP="00B56F90">
      <w:pPr>
        <w:spacing w:after="0" w:line="240" w:lineRule="auto"/>
        <w:jc w:val="both"/>
        <w:rPr>
          <w:rStyle w:val="122"/>
          <w:rFonts w:ascii="Times New Roman" w:hAnsi="Times New Roman" w:cs="Times New Roman"/>
          <w:color w:val="000000" w:themeColor="text1"/>
          <w:sz w:val="16"/>
          <w:szCs w:val="16"/>
        </w:rPr>
      </w:pPr>
      <w:r w:rsidRPr="00070ADE">
        <w:rPr>
          <w:rFonts w:ascii="Times New Roman" w:hAnsi="Times New Roman"/>
          <w:color w:val="000000" w:themeColor="text1"/>
          <w:sz w:val="16"/>
          <w:szCs w:val="16"/>
        </w:rPr>
        <w:t xml:space="preserve">18 мая 1944 г. на основании распоряжения наркома директор завода № 18 Белянский издал приказ №17, согласно которому самолету Ил-8 в оперативной заводской документации присваивался шифр «М», надо полагать от Ил-2М, и открывались </w:t>
      </w:r>
      <w:r w:rsidRPr="00070ADE">
        <w:rPr>
          <w:rStyle w:val="9pt80"/>
          <w:rFonts w:ascii="Times New Roman" w:hAnsi="Times New Roman" w:cs="Times New Roman"/>
          <w:color w:val="000000" w:themeColor="text1"/>
          <w:w w:val="100"/>
          <w:sz w:val="16"/>
          <w:szCs w:val="16"/>
        </w:rPr>
        <w:t>«счета на производство и подготовку производства».</w:t>
      </w:r>
      <w:r w:rsidRPr="00070ADE">
        <w:rPr>
          <w:rFonts w:ascii="Times New Roman" w:hAnsi="Times New Roman"/>
          <w:color w:val="000000" w:themeColor="text1"/>
          <w:sz w:val="16"/>
          <w:szCs w:val="16"/>
        </w:rPr>
        <w:t xml:space="preserve"> Первая серия устанавли</w:t>
      </w:r>
      <w:r w:rsidRPr="00070ADE">
        <w:rPr>
          <w:rFonts w:ascii="Times New Roman" w:hAnsi="Times New Roman"/>
          <w:color w:val="000000" w:themeColor="text1"/>
          <w:sz w:val="16"/>
          <w:szCs w:val="16"/>
        </w:rPr>
        <w:softHyphen/>
        <w:t>валась в количестве 10 машин, вторая - 30 и последующие серии - по 100 само</w:t>
      </w:r>
      <w:r w:rsidRPr="00070ADE">
        <w:rPr>
          <w:rFonts w:ascii="Times New Roman" w:hAnsi="Times New Roman"/>
          <w:color w:val="000000" w:themeColor="text1"/>
          <w:sz w:val="16"/>
          <w:szCs w:val="16"/>
        </w:rPr>
        <w:softHyphen/>
        <w:t>летов каждая. Сборку первого серийного экземпляра Ил-8 требовалось закончить к 12 августа, а всю</w:t>
      </w:r>
      <w:r w:rsidRPr="00070ADE">
        <w:rPr>
          <w:rStyle w:val="9pt80"/>
          <w:rFonts w:ascii="Times New Roman" w:hAnsi="Times New Roman" w:cs="Times New Roman"/>
          <w:color w:val="000000" w:themeColor="text1"/>
          <w:w w:val="100"/>
          <w:sz w:val="16"/>
          <w:szCs w:val="16"/>
        </w:rPr>
        <w:t xml:space="preserve"> «первую головную серию 10 машин выпустить из цеха №7 к 25 ав</w:t>
      </w:r>
      <w:r w:rsidRPr="00070ADE">
        <w:rPr>
          <w:rStyle w:val="9pt80"/>
          <w:rFonts w:ascii="Times New Roman" w:hAnsi="Times New Roman" w:cs="Times New Roman"/>
          <w:color w:val="000000" w:themeColor="text1"/>
          <w:w w:val="100"/>
          <w:sz w:val="16"/>
          <w:szCs w:val="16"/>
        </w:rPr>
        <w:softHyphen/>
        <w:t>густа 1944 г.»</w:t>
      </w:r>
      <w:r w:rsidRPr="00070ADE">
        <w:rPr>
          <w:rFonts w:ascii="Times New Roman" w:hAnsi="Times New Roman"/>
          <w:color w:val="000000" w:themeColor="text1"/>
          <w:sz w:val="16"/>
          <w:szCs w:val="16"/>
        </w:rPr>
        <w:t xml:space="preserve"> Главный технолог завода В.И.Демин обязывался к 29 мая разрабо</w:t>
      </w:r>
      <w:r w:rsidRPr="00070ADE">
        <w:rPr>
          <w:rFonts w:ascii="Times New Roman" w:hAnsi="Times New Roman"/>
          <w:color w:val="000000" w:themeColor="text1"/>
          <w:sz w:val="16"/>
          <w:szCs w:val="16"/>
        </w:rPr>
        <w:softHyphen/>
        <w:t>тать и представить на утверждение</w:t>
      </w:r>
      <w:r w:rsidRPr="00070ADE">
        <w:rPr>
          <w:rStyle w:val="122"/>
          <w:rFonts w:ascii="Times New Roman" w:hAnsi="Times New Roman" w:cs="Times New Roman"/>
          <w:color w:val="000000" w:themeColor="text1"/>
          <w:sz w:val="16"/>
          <w:szCs w:val="16"/>
        </w:rPr>
        <w:t xml:space="preserve"> </w:t>
      </w:r>
      <w:r w:rsidRPr="00070ADE">
        <w:rPr>
          <w:rStyle w:val="122"/>
          <w:rFonts w:ascii="Times New Roman" w:hAnsi="Times New Roman" w:cs="Times New Roman"/>
          <w:b w:val="0"/>
          <w:bCs w:val="0"/>
          <w:color w:val="000000" w:themeColor="text1"/>
          <w:sz w:val="16"/>
          <w:szCs w:val="16"/>
        </w:rPr>
        <w:t>«гра</w:t>
      </w:r>
      <w:r w:rsidRPr="00070ADE">
        <w:rPr>
          <w:rStyle w:val="122"/>
          <w:rFonts w:ascii="Times New Roman" w:hAnsi="Times New Roman" w:cs="Times New Roman"/>
          <w:b w:val="0"/>
          <w:bCs w:val="0"/>
          <w:color w:val="000000" w:themeColor="text1"/>
          <w:sz w:val="16"/>
          <w:szCs w:val="16"/>
        </w:rPr>
        <w:softHyphen/>
        <w:t>фик подготовки производства Ил-8 пер</w:t>
      </w:r>
      <w:r w:rsidRPr="00070ADE">
        <w:rPr>
          <w:rStyle w:val="122"/>
          <w:rFonts w:ascii="Times New Roman" w:hAnsi="Times New Roman" w:cs="Times New Roman"/>
          <w:b w:val="0"/>
          <w:bCs w:val="0"/>
          <w:color w:val="000000" w:themeColor="text1"/>
          <w:sz w:val="16"/>
          <w:szCs w:val="16"/>
        </w:rPr>
        <w:softHyphen/>
        <w:t>вой очереди» (19853).</w:t>
      </w:r>
    </w:p>
    <w:p w14:paraId="3F7FEB07" w14:textId="77777777" w:rsidR="00DD3D22" w:rsidRPr="00070ADE" w:rsidRDefault="00DD3D22" w:rsidP="00B56F90">
      <w:pPr>
        <w:spacing w:after="0" w:line="240" w:lineRule="auto"/>
        <w:jc w:val="both"/>
        <w:rPr>
          <w:rFonts w:ascii="Times New Roman" w:hAnsi="Times New Roman"/>
          <w:color w:val="000000" w:themeColor="text1"/>
          <w:sz w:val="16"/>
          <w:szCs w:val="16"/>
        </w:rPr>
      </w:pPr>
    </w:p>
    <w:p w14:paraId="296832BA"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г.</w:t>
      </w:r>
    </w:p>
    <w:p w14:paraId="1D6ED27A"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приказа по заводу № 18</w:t>
      </w:r>
    </w:p>
    <w:p w14:paraId="3F8D620B"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запуске в серийное производство машины Ил-8</w:t>
      </w:r>
    </w:p>
    <w:p w14:paraId="2DF72407"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18 мая 1944 г.</w:t>
      </w:r>
    </w:p>
    <w:p w14:paraId="7D2DE6D3"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указанием Народного Комиссара авиационной промышленности о запуске в серийное производство машины Ил-8 на заводе № 18 приказываю:</w:t>
      </w:r>
    </w:p>
    <w:p w14:paraId="64FD1507"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Машине Ил-8 в оперативной заводской документации присвоить шифр “М”...</w:t>
      </w:r>
    </w:p>
    <w:p w14:paraId="5C1C886E"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Первую серию машины Ил-8 установить в 10 машин, вторую - в 30 машин, последующие - по 100 машин.</w:t>
      </w:r>
    </w:p>
    <w:p w14:paraId="4DAACA76"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Сборку первой машины Ил-8 закончить 12 августа 1944 года.</w:t>
      </w:r>
    </w:p>
    <w:p w14:paraId="2C25FD4A"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Первую, головную серию, 10 машин, выпустить из цеха № 7 к 25 августа 1944 г.</w:t>
      </w:r>
    </w:p>
    <w:p w14:paraId="4872D35A"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завода</w:t>
      </w:r>
      <w:r w:rsidRPr="00070ADE">
        <w:rPr>
          <w:rFonts w:ascii="Times New Roman" w:hAnsi="Times New Roman"/>
          <w:color w:val="000000" w:themeColor="text1"/>
          <w:sz w:val="16"/>
          <w:szCs w:val="16"/>
        </w:rPr>
        <w:tab/>
        <w:t>Белянский</w:t>
      </w:r>
    </w:p>
    <w:p w14:paraId="78230ADE"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ГАСО. Ф. P-3454. On. 1. Д. 40. Л. 40-41. Подлинник (20513).</w:t>
      </w:r>
    </w:p>
    <w:p w14:paraId="7364EB6B" w14:textId="77777777" w:rsidR="00DD3D22" w:rsidRPr="00070ADE" w:rsidRDefault="00DD3D22" w:rsidP="00B56F90">
      <w:pPr>
        <w:spacing w:after="0" w:line="240" w:lineRule="auto"/>
        <w:jc w:val="both"/>
        <w:rPr>
          <w:rFonts w:ascii="Times New Roman" w:hAnsi="Times New Roman"/>
          <w:color w:val="000000" w:themeColor="text1"/>
          <w:sz w:val="16"/>
          <w:szCs w:val="16"/>
        </w:rPr>
      </w:pPr>
    </w:p>
    <w:p w14:paraId="18960F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на основании распоряжения наркома, директор завода № 18 Белянский издал приказ, согласно которому Ил-8 получил в заводской документации шифр "М", надо полагать, от Ил-2М, и открывались "счета на производство и подготовку производства". Первая серия устанавливалась в количестве 10 машин, вторая - 30 и последующие серии - по 100 самолетов каждая. Сборку первого серийного экземпляра Ил-8 требовалось закончить к 12 августа, а всю "первую головную серию 10 машин выпустить из цеха №7 к 25 августа 1944 г.".</w:t>
      </w:r>
    </w:p>
    <w:p w14:paraId="4FE44C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вскоре все работы по серии Ил-8 были прекращены. Дело в том, что Постановлением ГКО от 23 июля на авиазаводах №№ 1 и 18 в серийное производство запускался штурмовик Ил-10 АМ-42, который по основным летным данным превосходил "восьмерку".</w:t>
      </w:r>
    </w:p>
    <w:p w14:paraId="045766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дальнейшем Ил-8 был кардинально переделан. По образцу Ил-10 была выполнена система продува водо- и маслорадиаторов, изменена схема бронирования, шасси стали одностоечным, установлено новые крыло, оперение, воздушный винт, доработаны элероны, рули высоты и направления, внесены изменения в состав оборудования согласно требованиям ВВС. Фактически строился новый самолет с тем же обозначением.</w:t>
      </w:r>
    </w:p>
    <w:p w14:paraId="27F69A9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Предъявить обновленный Ил-8 на госиспытания удалось лишь 14 мая 1945 г. Интереса у военных самолет не вызвал (12020).</w:t>
      </w:r>
    </w:p>
    <w:p w14:paraId="3A967E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A906101" w14:textId="77777777" w:rsidR="00104BAB" w:rsidRPr="00070ADE" w:rsidRDefault="00104BAB" w:rsidP="00B56F90">
      <w:pPr>
        <w:spacing w:after="0" w:line="240" w:lineRule="auto"/>
        <w:jc w:val="both"/>
        <w:textAlignment w:val="top"/>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18 мая 1944 вышел приказ НКАП</w:t>
      </w:r>
    </w:p>
    <w:p w14:paraId="4FE63675" w14:textId="77777777" w:rsidR="00104BAB" w:rsidRPr="00070ADE" w:rsidRDefault="00104BAB" w:rsidP="00B56F90">
      <w:pPr>
        <w:spacing w:after="0" w:line="240" w:lineRule="auto"/>
        <w:jc w:val="both"/>
        <w:textAlignment w:val="top"/>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О запуске в серийное пр-во Ил-8 (19706).</w:t>
      </w:r>
    </w:p>
    <w:p w14:paraId="4DC41134" w14:textId="77777777" w:rsidR="00104BAB" w:rsidRPr="00070ADE" w:rsidRDefault="00104BAB" w:rsidP="00B56F90">
      <w:pPr>
        <w:spacing w:after="0" w:line="240" w:lineRule="auto"/>
        <w:jc w:val="both"/>
        <w:textAlignment w:val="top"/>
        <w:rPr>
          <w:rFonts w:ascii="Times New Roman" w:eastAsia="Times New Roman" w:hAnsi="Times New Roman"/>
          <w:color w:val="000000" w:themeColor="text1"/>
          <w:sz w:val="16"/>
          <w:szCs w:val="16"/>
          <w:lang w:eastAsia="ru-RU"/>
        </w:rPr>
      </w:pPr>
    </w:p>
    <w:p w14:paraId="75D4C48A" w14:textId="77777777" w:rsidR="00104BAB" w:rsidRPr="00070ADE" w:rsidRDefault="00104BAB" w:rsidP="00B56F90">
      <w:pPr>
        <w:pStyle w:val="68"/>
        <w:shd w:val="clear" w:color="auto" w:fill="auto"/>
        <w:spacing w:line="240" w:lineRule="auto"/>
        <w:jc w:val="both"/>
        <w:rPr>
          <w:rStyle w:val="64pt"/>
          <w:rFonts w:ascii="Times New Roman" w:hAnsi="Times New Roman" w:cs="Times New Roman"/>
          <w:color w:val="000000" w:themeColor="text1"/>
          <w:spacing w:val="0"/>
          <w:sz w:val="16"/>
          <w:szCs w:val="16"/>
        </w:rPr>
      </w:pPr>
      <w:r w:rsidRPr="00070ADE">
        <w:rPr>
          <w:rStyle w:val="64pt"/>
          <w:rFonts w:ascii="Times New Roman" w:hAnsi="Times New Roman" w:cs="Times New Roman"/>
          <w:color w:val="000000" w:themeColor="text1"/>
          <w:spacing w:val="0"/>
          <w:sz w:val="16"/>
          <w:szCs w:val="16"/>
        </w:rPr>
        <w:t>18 мая 1944</w:t>
      </w:r>
    </w:p>
    <w:p w14:paraId="7E84DB5D" w14:textId="77777777" w:rsidR="00104BAB" w:rsidRPr="00070ADE" w:rsidRDefault="00104BAB" w:rsidP="00B56F90">
      <w:pPr>
        <w:pStyle w:val="68"/>
        <w:shd w:val="clear" w:color="auto" w:fill="auto"/>
        <w:spacing w:line="240" w:lineRule="auto"/>
        <w:jc w:val="both"/>
        <w:rPr>
          <w:rFonts w:ascii="Times New Roman" w:hAnsi="Times New Roman" w:cs="Times New Roman"/>
          <w:color w:val="000000" w:themeColor="text1"/>
          <w:sz w:val="16"/>
          <w:szCs w:val="16"/>
        </w:rPr>
      </w:pPr>
      <w:r w:rsidRPr="00070ADE">
        <w:rPr>
          <w:rStyle w:val="64pt"/>
          <w:rFonts w:ascii="Times New Roman" w:hAnsi="Times New Roman" w:cs="Times New Roman"/>
          <w:color w:val="000000" w:themeColor="text1"/>
          <w:spacing w:val="0"/>
          <w:sz w:val="16"/>
          <w:szCs w:val="16"/>
        </w:rPr>
        <w:t>ПРИКАЗ</w:t>
      </w:r>
      <w:r w:rsidRPr="00070ADE">
        <w:rPr>
          <w:rFonts w:ascii="Times New Roman" w:hAnsi="Times New Roman" w:cs="Times New Roman"/>
          <w:color w:val="000000" w:themeColor="text1"/>
          <w:sz w:val="16"/>
          <w:szCs w:val="16"/>
        </w:rPr>
        <w:t xml:space="preserve"> № 17</w:t>
      </w:r>
    </w:p>
    <w:p w14:paraId="49E07B17" w14:textId="77777777" w:rsidR="00104BAB" w:rsidRPr="00070ADE" w:rsidRDefault="00104BAB" w:rsidP="00B56F90">
      <w:pPr>
        <w:pStyle w:val="430"/>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 заводу именн Ворошилова</w:t>
      </w:r>
    </w:p>
    <w:p w14:paraId="43DF0862" w14:textId="77777777" w:rsidR="00104BAB" w:rsidRPr="00070ADE" w:rsidRDefault="00104BAB" w:rsidP="00B56F90">
      <w:pPr>
        <w:pStyle w:val="430"/>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lang w:val="en-US"/>
        </w:rPr>
        <w:t>o</w:t>
      </w:r>
      <w:r w:rsidRPr="00070ADE">
        <w:rPr>
          <w:rFonts w:ascii="Times New Roman" w:hAnsi="Times New Roman" w:cs="Times New Roman"/>
          <w:color w:val="000000" w:themeColor="text1"/>
          <w:sz w:val="16"/>
          <w:szCs w:val="16"/>
        </w:rPr>
        <w:t>т 18 мая 1944 года</w:t>
      </w:r>
    </w:p>
    <w:p w14:paraId="5E516813" w14:textId="77777777" w:rsidR="00104BAB" w:rsidRPr="00070ADE" w:rsidRDefault="00104BAB" w:rsidP="00B56F90">
      <w:pPr>
        <w:pStyle w:val="430"/>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соответствии с указанной Народного Комиссара Авиационной Промышленности о выпуске в серийное производство</w:t>
      </w:r>
      <w:r w:rsidRPr="00070ADE">
        <w:rPr>
          <w:rStyle w:val="192"/>
          <w:rFonts w:ascii="Times New Roman" w:hAnsi="Times New Roman" w:cs="Times New Roman"/>
          <w:color w:val="000000" w:themeColor="text1"/>
          <w:spacing w:val="0"/>
          <w:sz w:val="16"/>
          <w:szCs w:val="16"/>
        </w:rPr>
        <w:t xml:space="preserve"> маш</w:t>
      </w:r>
      <w:r w:rsidRPr="00070ADE">
        <w:rPr>
          <w:rFonts w:ascii="Times New Roman" w:hAnsi="Times New Roman" w:cs="Times New Roman"/>
          <w:color w:val="000000" w:themeColor="text1"/>
          <w:sz w:val="16"/>
          <w:szCs w:val="16"/>
        </w:rPr>
        <w:t>ины Ил-8 на заводи № 18 приказываю:</w:t>
      </w:r>
    </w:p>
    <w:p w14:paraId="74127DE3" w14:textId="77777777" w:rsidR="00104BAB" w:rsidRPr="00070ADE" w:rsidRDefault="00104BAB" w:rsidP="00B56F90">
      <w:pPr>
        <w:pStyle w:val="430"/>
        <w:shd w:val="clear" w:color="auto" w:fill="auto"/>
        <w:tabs>
          <w:tab w:val="left" w:pos="1244"/>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1 Машине Ил-8 в оперативной заводской документации</w:t>
      </w:r>
      <w:r w:rsidRPr="00070ADE">
        <w:rPr>
          <w:rStyle w:val="192"/>
          <w:rFonts w:ascii="Times New Roman" w:hAnsi="Times New Roman" w:cs="Times New Roman"/>
          <w:color w:val="000000" w:themeColor="text1"/>
          <w:spacing w:val="0"/>
          <w:sz w:val="16"/>
          <w:szCs w:val="16"/>
        </w:rPr>
        <w:t xml:space="preserve"> </w:t>
      </w:r>
      <w:r w:rsidRPr="00070ADE">
        <w:rPr>
          <w:rFonts w:ascii="Times New Roman" w:hAnsi="Times New Roman" w:cs="Times New Roman"/>
          <w:color w:val="000000" w:themeColor="text1"/>
          <w:sz w:val="16"/>
          <w:szCs w:val="16"/>
        </w:rPr>
        <w:t>присвоить шифр"М".</w:t>
      </w:r>
    </w:p>
    <w:p w14:paraId="04745744" w14:textId="77777777" w:rsidR="00104BAB" w:rsidRPr="00070ADE" w:rsidRDefault="00104BAB" w:rsidP="00B56F90">
      <w:pPr>
        <w:pStyle w:val="430"/>
        <w:shd w:val="clear" w:color="auto" w:fill="auto"/>
        <w:tabs>
          <w:tab w:val="left" w:pos="2146"/>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2. Нач.ППО т. Юдину открыть счета на производство и под</w:t>
      </w:r>
      <w:r w:rsidRPr="00070ADE">
        <w:rPr>
          <w:rFonts w:ascii="Times New Roman" w:hAnsi="Times New Roman" w:cs="Times New Roman"/>
          <w:color w:val="000000" w:themeColor="text1"/>
          <w:sz w:val="16"/>
          <w:szCs w:val="16"/>
        </w:rPr>
        <w:softHyphen/>
        <w:t>готовку производства машины Ил-8 19/7-44 г.</w:t>
      </w:r>
    </w:p>
    <w:p w14:paraId="7E449175" w14:textId="77777777" w:rsidR="00104BAB" w:rsidRPr="00070ADE" w:rsidRDefault="00104BAB" w:rsidP="00B56F90">
      <w:pPr>
        <w:pStyle w:val="430"/>
        <w:shd w:val="clear" w:color="auto" w:fill="auto"/>
        <w:tabs>
          <w:tab w:val="left" w:pos="1239"/>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3. Первую серию машины Ил—8 установить в 10 машин, вторую в 30 машин, последующие по 100 машин.</w:t>
      </w:r>
    </w:p>
    <w:p w14:paraId="278D39D4" w14:textId="77777777" w:rsidR="00104BAB" w:rsidRPr="00070ADE" w:rsidRDefault="00104BAB" w:rsidP="00B56F90">
      <w:pPr>
        <w:pStyle w:val="430"/>
        <w:shd w:val="clear" w:color="auto" w:fill="auto"/>
        <w:tabs>
          <w:tab w:val="left" w:pos="1129"/>
        </w:tabs>
        <w:spacing w:line="240" w:lineRule="auto"/>
        <w:ind w:firstLine="0"/>
        <w:jc w:val="both"/>
        <w:rPr>
          <w:rStyle w:val="1pt"/>
          <w:rFonts w:ascii="Times New Roman" w:hAnsi="Times New Roman" w:cs="Times New Roman"/>
          <w:color w:val="000000" w:themeColor="text1"/>
          <w:spacing w:val="0"/>
          <w:sz w:val="16"/>
          <w:szCs w:val="16"/>
        </w:rPr>
      </w:pPr>
      <w:r w:rsidRPr="00070ADE">
        <w:rPr>
          <w:rFonts w:ascii="Times New Roman" w:hAnsi="Times New Roman" w:cs="Times New Roman"/>
          <w:color w:val="000000" w:themeColor="text1"/>
          <w:sz w:val="16"/>
          <w:szCs w:val="16"/>
        </w:rPr>
        <w:t xml:space="preserve">4. Сборку первой иаоины Ил-8 закончить 12 </w:t>
      </w:r>
      <w:r w:rsidRPr="00070ADE">
        <w:rPr>
          <w:rStyle w:val="1pt"/>
          <w:rFonts w:ascii="Times New Roman" w:hAnsi="Times New Roman" w:cs="Times New Roman"/>
          <w:color w:val="000000" w:themeColor="text1"/>
          <w:spacing w:val="0"/>
          <w:sz w:val="16"/>
          <w:szCs w:val="16"/>
        </w:rPr>
        <w:t>августа 1944 г.</w:t>
      </w:r>
    </w:p>
    <w:p w14:paraId="6FF04B76" w14:textId="77777777" w:rsidR="00104BAB" w:rsidRPr="00070ADE" w:rsidRDefault="00104BAB" w:rsidP="00B56F90">
      <w:pPr>
        <w:pStyle w:val="430"/>
        <w:shd w:val="clear" w:color="auto" w:fill="auto"/>
        <w:tabs>
          <w:tab w:val="left" w:pos="1129"/>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 xml:space="preserve">Первую головнуи серию 10 машин вышустить из </w:t>
      </w:r>
      <w:r w:rsidRPr="00070ADE">
        <w:rPr>
          <w:rStyle w:val="203"/>
          <w:rFonts w:ascii="Times New Roman" w:hAnsi="Times New Roman" w:cs="Times New Roman"/>
          <w:color w:val="000000" w:themeColor="text1"/>
          <w:spacing w:val="0"/>
          <w:sz w:val="16"/>
          <w:szCs w:val="16"/>
        </w:rPr>
        <w:t xml:space="preserve">цеха ; </w:t>
      </w:r>
      <w:r w:rsidRPr="00070ADE">
        <w:rPr>
          <w:rFonts w:ascii="Times New Roman" w:hAnsi="Times New Roman" w:cs="Times New Roman"/>
          <w:color w:val="000000" w:themeColor="text1"/>
          <w:sz w:val="16"/>
          <w:szCs w:val="16"/>
        </w:rPr>
        <w:t>7 к 25 августа 1944 г.</w:t>
      </w:r>
    </w:p>
    <w:p w14:paraId="708BD8B6" w14:textId="77777777" w:rsidR="00104BAB" w:rsidRPr="00070ADE" w:rsidRDefault="00104BAB" w:rsidP="00B56F90">
      <w:pPr>
        <w:pStyle w:val="430"/>
        <w:shd w:val="clear" w:color="auto" w:fill="auto"/>
        <w:tabs>
          <w:tab w:val="left" w:pos="1446"/>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5. Главному Технологу завода т</w:t>
      </w:r>
      <w:r w:rsidRPr="00070ADE">
        <w:rPr>
          <w:rStyle w:val="203"/>
          <w:rFonts w:ascii="Times New Roman" w:hAnsi="Times New Roman" w:cs="Times New Roman"/>
          <w:color w:val="000000" w:themeColor="text1"/>
          <w:spacing w:val="0"/>
          <w:sz w:val="16"/>
          <w:szCs w:val="16"/>
        </w:rPr>
        <w:t xml:space="preserve">. Демину </w:t>
      </w:r>
      <w:r w:rsidRPr="00070ADE">
        <w:rPr>
          <w:rFonts w:ascii="Times New Roman" w:hAnsi="Times New Roman" w:cs="Times New Roman"/>
          <w:color w:val="000000" w:themeColor="text1"/>
          <w:sz w:val="16"/>
          <w:szCs w:val="16"/>
        </w:rPr>
        <w:t>29</w:t>
      </w:r>
      <w:r w:rsidRPr="00070ADE">
        <w:rPr>
          <w:rStyle w:val="TimesNewRoman85pt0pt"/>
          <w:rFonts w:eastAsia="Gungsuh"/>
          <w:color w:val="000000" w:themeColor="text1"/>
          <w:sz w:val="16"/>
          <w:szCs w:val="16"/>
        </w:rPr>
        <w:t xml:space="preserve"> мая</w:t>
      </w:r>
      <w:r w:rsidRPr="00070ADE">
        <w:rPr>
          <w:rFonts w:ascii="Times New Roman" w:hAnsi="Times New Roman" w:cs="Times New Roman"/>
          <w:color w:val="000000" w:themeColor="text1"/>
          <w:sz w:val="16"/>
          <w:szCs w:val="16"/>
        </w:rPr>
        <w:t xml:space="preserve"> </w:t>
      </w:r>
      <w:r w:rsidRPr="00070ADE">
        <w:rPr>
          <w:rStyle w:val="203"/>
          <w:rFonts w:ascii="Times New Roman" w:hAnsi="Times New Roman" w:cs="Times New Roman"/>
          <w:color w:val="000000" w:themeColor="text1"/>
          <w:spacing w:val="0"/>
          <w:sz w:val="16"/>
          <w:szCs w:val="16"/>
        </w:rPr>
        <w:t>с.г. предста</w:t>
      </w:r>
      <w:r w:rsidRPr="00070ADE">
        <w:rPr>
          <w:rStyle w:val="1pt"/>
          <w:rFonts w:ascii="Times New Roman" w:hAnsi="Times New Roman" w:cs="Times New Roman"/>
          <w:color w:val="000000" w:themeColor="text1"/>
          <w:spacing w:val="0"/>
          <w:sz w:val="16"/>
          <w:szCs w:val="16"/>
        </w:rPr>
        <w:t>вить</w:t>
      </w:r>
      <w:r w:rsidRPr="00070ADE">
        <w:rPr>
          <w:rFonts w:ascii="Times New Roman" w:hAnsi="Times New Roman" w:cs="Times New Roman"/>
          <w:color w:val="000000" w:themeColor="text1"/>
          <w:sz w:val="16"/>
          <w:szCs w:val="16"/>
        </w:rPr>
        <w:t xml:space="preserve"> мне на </w:t>
      </w:r>
      <w:r w:rsidRPr="00070ADE">
        <w:rPr>
          <w:rStyle w:val="203"/>
          <w:rFonts w:ascii="Times New Roman" w:hAnsi="Times New Roman" w:cs="Times New Roman"/>
          <w:color w:val="000000" w:themeColor="text1"/>
          <w:spacing w:val="0"/>
          <w:sz w:val="16"/>
          <w:szCs w:val="16"/>
        </w:rPr>
        <w:t xml:space="preserve">утверждение </w:t>
      </w:r>
      <w:r w:rsidRPr="00070ADE">
        <w:rPr>
          <w:rFonts w:ascii="Times New Roman" w:hAnsi="Times New Roman" w:cs="Times New Roman"/>
          <w:color w:val="000000" w:themeColor="text1"/>
          <w:sz w:val="16"/>
          <w:szCs w:val="16"/>
        </w:rPr>
        <w:t xml:space="preserve">график подготовка </w:t>
      </w:r>
      <w:r w:rsidRPr="00070ADE">
        <w:rPr>
          <w:rStyle w:val="203"/>
          <w:rFonts w:ascii="Times New Roman" w:hAnsi="Times New Roman" w:cs="Times New Roman"/>
          <w:color w:val="000000" w:themeColor="text1"/>
          <w:spacing w:val="0"/>
          <w:sz w:val="16"/>
          <w:szCs w:val="16"/>
        </w:rPr>
        <w:t>производства</w:t>
      </w:r>
      <w:r w:rsidRPr="00070ADE">
        <w:rPr>
          <w:rFonts w:ascii="Times New Roman" w:hAnsi="Times New Roman" w:cs="Times New Roman"/>
          <w:color w:val="000000" w:themeColor="text1"/>
          <w:sz w:val="16"/>
          <w:szCs w:val="16"/>
        </w:rPr>
        <w:t xml:space="preserve"> Ил-8 п</w:t>
      </w:r>
      <w:r w:rsidRPr="00070ADE">
        <w:rPr>
          <w:rStyle w:val="203"/>
          <w:rFonts w:ascii="Times New Roman" w:hAnsi="Times New Roman" w:cs="Times New Roman"/>
          <w:color w:val="000000" w:themeColor="text1"/>
          <w:spacing w:val="0"/>
          <w:sz w:val="16"/>
          <w:szCs w:val="16"/>
        </w:rPr>
        <w:t>ервой очиреди (19789).</w:t>
      </w:r>
    </w:p>
    <w:p w14:paraId="4005BF38" w14:textId="77777777" w:rsidR="00104BAB" w:rsidRPr="00070ADE" w:rsidRDefault="00104BAB" w:rsidP="00B56F90">
      <w:pPr>
        <w:spacing w:after="0" w:line="240" w:lineRule="auto"/>
        <w:jc w:val="both"/>
        <w:rPr>
          <w:rFonts w:ascii="Times New Roman" w:hAnsi="Times New Roman"/>
          <w:color w:val="000000" w:themeColor="text1"/>
          <w:sz w:val="16"/>
          <w:szCs w:val="16"/>
        </w:rPr>
      </w:pPr>
    </w:p>
    <w:p w14:paraId="37859FFC"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18 мая 1944 года на основании распоряжения наркома директор завода А. А. Белянский издал приказ, согласно которому самолету Ил-8 в оперативной заводской документации присваивался шифр «М», надо полагать, от Ил-2М, и открывались «счета на производство и подготовку производства». Первая серия устанавливалась в количестве 10 машин, вторая - 30 и последующие серии - по 100 самолетов каждая. Сборку первого серийного экземпляра Ил-8 требовалось закончить к 12 августа, а всю «первую головную серию 10 машин выпустить из цеха № 7 к 25 августа 1944 г.». Главный технолог завода В. И. Демин обязывался к 29 мая разработать и представить на утверждение «график подготовки производства Ил-8 первой очереди».</w:t>
      </w:r>
    </w:p>
    <w:p w14:paraId="1C575BD1"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По всей видимости, за основу для серии нового штурмовика был взят самолет С-42, который изначально отрабатывался как эталон самолета Ил-2М для массового производства. При этом изменялась схема бронирования по образцу опытного экземпляра Ил-2М (Ил-АМ-42 экз. № 2).</w:t>
      </w:r>
    </w:p>
    <w:p w14:paraId="5E6A2F86"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Однако вскоре все работы по серии Ил-8 были прекращены. Дело в том, что постановлением ГКО № 6246сс от 23 июля на авиазаводах № 1 и № 18 в массовое производство запускался штурмовик Ил-10 АМ-42, который по основным летным данным превосходил Ил-8 и Су-6 (14790).</w:t>
      </w:r>
    </w:p>
    <w:p w14:paraId="2AAE1647" w14:textId="77777777" w:rsidR="00962976" w:rsidRPr="00070ADE" w:rsidRDefault="00962976" w:rsidP="00B56F90">
      <w:pPr>
        <w:spacing w:after="0" w:line="240" w:lineRule="auto"/>
        <w:jc w:val="both"/>
        <w:rPr>
          <w:rFonts w:ascii="Times New Roman" w:eastAsia="Times New Roman" w:hAnsi="Times New Roman"/>
          <w:color w:val="000000" w:themeColor="text1"/>
          <w:sz w:val="16"/>
          <w:szCs w:val="16"/>
          <w:lang w:eastAsia="ru-RU"/>
        </w:rPr>
      </w:pPr>
    </w:p>
    <w:p w14:paraId="7399592A" w14:textId="77777777" w:rsidR="002E135C" w:rsidRPr="00070ADE" w:rsidRDefault="002E135C" w:rsidP="00B56F90">
      <w:pPr>
        <w:spacing w:after="0" w:line="240" w:lineRule="auto"/>
        <w:jc w:val="both"/>
        <w:rPr>
          <w:rFonts w:ascii="Times New Roman" w:hAnsi="Times New Roman"/>
          <w:color w:val="000000" w:themeColor="text1"/>
          <w:sz w:val="16"/>
          <w:szCs w:val="16"/>
        </w:rPr>
      </w:pPr>
      <w:r w:rsidRPr="00070ADE">
        <w:rPr>
          <w:rStyle w:val="4c"/>
          <w:rFonts w:ascii="Times New Roman" w:hAnsi="Times New Roman" w:cs="Times New Roman"/>
          <w:i w:val="0"/>
          <w:color w:val="000000" w:themeColor="text1"/>
          <w:sz w:val="16"/>
          <w:szCs w:val="16"/>
        </w:rPr>
        <w:t>18 мая 1944 Лапин направил заместителю на</w:t>
      </w:r>
      <w:r w:rsidRPr="00070ADE">
        <w:rPr>
          <w:rStyle w:val="4c"/>
          <w:rFonts w:ascii="Times New Roman" w:hAnsi="Times New Roman" w:cs="Times New Roman"/>
          <w:i w:val="0"/>
          <w:color w:val="000000" w:themeColor="text1"/>
          <w:sz w:val="16"/>
          <w:szCs w:val="16"/>
        </w:rPr>
        <w:softHyphen/>
        <w:t>ркома авиапромышленности Дементьеву пись</w:t>
      </w:r>
      <w:r w:rsidRPr="00070ADE">
        <w:rPr>
          <w:rStyle w:val="4c"/>
          <w:rFonts w:ascii="Times New Roman" w:hAnsi="Times New Roman" w:cs="Times New Roman"/>
          <w:i w:val="0"/>
          <w:color w:val="000000" w:themeColor="text1"/>
          <w:sz w:val="16"/>
          <w:szCs w:val="16"/>
        </w:rPr>
        <w:softHyphen/>
        <w:t>мо, в котором сообщал:</w:t>
      </w:r>
      <w:r w:rsidRPr="00070ADE">
        <w:rPr>
          <w:rFonts w:ascii="Times New Roman" w:hAnsi="Times New Roman"/>
          <w:color w:val="000000" w:themeColor="text1"/>
          <w:sz w:val="16"/>
          <w:szCs w:val="16"/>
        </w:rPr>
        <w:t xml:space="preserve"> «Из частей ВВС КА начали поступать сведения о том, что броне- детали корпуса самолета Ил-2 при поражении их снарядами кал. 15 и 20 мм из авиационно</w:t>
      </w:r>
      <w:r w:rsidRPr="00070ADE">
        <w:rPr>
          <w:rFonts w:ascii="Times New Roman" w:hAnsi="Times New Roman"/>
          <w:color w:val="000000" w:themeColor="text1"/>
          <w:sz w:val="16"/>
          <w:szCs w:val="16"/>
        </w:rPr>
        <w:softHyphen/>
        <w:t>го вооружения противника дают хрупкие раз</w:t>
      </w:r>
      <w:r w:rsidRPr="00070ADE">
        <w:rPr>
          <w:rFonts w:ascii="Times New Roman" w:hAnsi="Times New Roman"/>
          <w:color w:val="000000" w:themeColor="text1"/>
          <w:sz w:val="16"/>
          <w:szCs w:val="16"/>
        </w:rPr>
        <w:softHyphen/>
        <w:t>рушения. В связи с этим в НИИ ВВС в апреле месяце 1944 г. были проведены испытания обстрелом бронекорпуса самолета Ил-2, из</w:t>
      </w:r>
      <w:r w:rsidRPr="00070ADE">
        <w:rPr>
          <w:rFonts w:ascii="Times New Roman" w:hAnsi="Times New Roman"/>
          <w:color w:val="000000" w:themeColor="text1"/>
          <w:sz w:val="16"/>
          <w:szCs w:val="16"/>
        </w:rPr>
        <w:softHyphen/>
        <w:t>готовленного на заводе № 125 НКАП во втором квартале 1943 г. Эти испытания подтвердили, что при обстреле бронекорпуса снарядами кал. 15-20 мм броня дает хрупкие разруше</w:t>
      </w:r>
      <w:r w:rsidRPr="00070ADE">
        <w:rPr>
          <w:rFonts w:ascii="Times New Roman" w:hAnsi="Times New Roman"/>
          <w:color w:val="000000" w:themeColor="text1"/>
          <w:sz w:val="16"/>
          <w:szCs w:val="16"/>
        </w:rPr>
        <w:softHyphen/>
        <w:t>ния; расколы, проломы и отколы. При этом было обнаружено, что с тыльной стороны в ме</w:t>
      </w:r>
      <w:r w:rsidRPr="00070ADE">
        <w:rPr>
          <w:rFonts w:ascii="Times New Roman" w:hAnsi="Times New Roman"/>
          <w:color w:val="000000" w:themeColor="text1"/>
          <w:sz w:val="16"/>
          <w:szCs w:val="16"/>
        </w:rPr>
        <w:softHyphen/>
        <w:t>сте удара снаряда, отрывается слой металла толщиной примерно в половину листа и в не</w:t>
      </w:r>
      <w:r w:rsidRPr="00070ADE">
        <w:rPr>
          <w:rFonts w:ascii="Times New Roman" w:hAnsi="Times New Roman"/>
          <w:color w:val="000000" w:themeColor="text1"/>
          <w:sz w:val="16"/>
          <w:szCs w:val="16"/>
        </w:rPr>
        <w:softHyphen/>
        <w:t>которых случаях загибается наподобие струж</w:t>
      </w:r>
      <w:r w:rsidRPr="00070ADE">
        <w:rPr>
          <w:rFonts w:ascii="Times New Roman" w:hAnsi="Times New Roman"/>
          <w:color w:val="000000" w:themeColor="text1"/>
          <w:sz w:val="16"/>
          <w:szCs w:val="16"/>
        </w:rPr>
        <w:softHyphen/>
        <w:t>ки (17478).</w:t>
      </w:r>
    </w:p>
    <w:p w14:paraId="5CFE8303" w14:textId="77777777" w:rsidR="002E135C" w:rsidRPr="00070ADE" w:rsidRDefault="002E135C" w:rsidP="00B56F90">
      <w:pPr>
        <w:spacing w:after="0" w:line="240" w:lineRule="auto"/>
        <w:jc w:val="both"/>
        <w:rPr>
          <w:rFonts w:ascii="Times New Roman" w:hAnsi="Times New Roman"/>
          <w:color w:val="000000" w:themeColor="text1"/>
          <w:sz w:val="16"/>
          <w:szCs w:val="16"/>
        </w:rPr>
      </w:pPr>
    </w:p>
    <w:p w14:paraId="2AF4F38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22ED8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2A42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Оперативное Бюро ГКО получило новый состав: Л.П.Б. (председатель), Г.М.М., А.И.М., Н.А.Вознесенский и К.Е.В. За 50 месяцев работы приняли 9971 постановление (1566,145).</w:t>
      </w:r>
    </w:p>
    <w:p w14:paraId="3232C96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6622C0" w14:textId="77777777" w:rsidR="00415543" w:rsidRPr="00070ADE" w:rsidRDefault="0041554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г. Оперативное бюро ГКО было утверждено в новом составе: Л. П. Берия (председатель), Г. М. Маленков, А. И. Микоян, Н. А. Вознесенский и К. Е. Ворошилов (18390).</w:t>
      </w:r>
    </w:p>
    <w:p w14:paraId="26501CE2" w14:textId="77777777" w:rsidR="00415543" w:rsidRPr="00070ADE" w:rsidRDefault="00415543" w:rsidP="00B56F90">
      <w:pPr>
        <w:spacing w:after="0" w:line="240" w:lineRule="auto"/>
        <w:jc w:val="both"/>
        <w:rPr>
          <w:rFonts w:ascii="Times New Roman" w:hAnsi="Times New Roman"/>
          <w:color w:val="000000" w:themeColor="text1"/>
          <w:sz w:val="16"/>
          <w:szCs w:val="16"/>
        </w:rPr>
      </w:pPr>
    </w:p>
    <w:p w14:paraId="6A70CA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г. Оперативное Бюро было утверждено в новом составе: Л.П.Берия (председатель), Г.М.Маленков, А.И.Микоян, Н.А.Вознесенский и К.Е.Ворошилов (1566).</w:t>
      </w:r>
    </w:p>
    <w:p w14:paraId="0419D1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97A30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года вышел приказ № 264с НКБ</w:t>
      </w:r>
    </w:p>
    <w:p w14:paraId="6D5712C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исполнение распоряжения СНК № 10481-РС от 13 мая 1944 года:</w:t>
      </w:r>
    </w:p>
    <w:p w14:paraId="407802E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Закрыть с 1 июля 1944 года снаряжательный завод № 610 1 Гл. управления (Баку), а здания и сооружения передать Совнаркому АзССР (6015, 21).</w:t>
      </w:r>
    </w:p>
    <w:p w14:paraId="5713608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6C1A3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Постановление ГКО № 5909 Об утверждении Оперативного бюро Государственного Комитета Обороны. (7233, 107).</w:t>
      </w:r>
    </w:p>
    <w:p w14:paraId="5736F97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0D0E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вышло Постановление ГКО № 5910 О мерах неотложной помощи по восстановлению цехов и жилого поселка металлургического завода "Электросталь" Наркомчермета. РГАНИР, Фонд ГКО, д. 254, лл. 108-110 (11012).</w:t>
      </w:r>
    </w:p>
    <w:p w14:paraId="56E91D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82ACAE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вышло Постановление ГКО № 5911 О неотложных мерах помощи заводу № 80 Наркомбоеприпасов по улучшению погрузочно-разгрузочных работ. (7233, 111-113,114-115).</w:t>
      </w:r>
    </w:p>
    <w:p w14:paraId="2CB6B4D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4398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вышло Постановление ГКО № 5912 Об обеспечении завода № 183 НКТП кислородом в связи с аварией на Нижнетагильском автогенном заводе НКТМ. РГАНИР, Фонд ГКО, д. 254, лл. 116-119 (11012).</w:t>
      </w:r>
    </w:p>
    <w:p w14:paraId="544DD41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8CE98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вышло Постановление ГКО № 5913 О срочных мерах по ликвидации последствий взрыва на заводе № 388 НКБ. РГАНИР, Фонд ГКО, д. 254, лл. 120-128 (11012).</w:t>
      </w:r>
    </w:p>
    <w:p w14:paraId="38BA63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17B2C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вышло Распоряжение ГКО № 5914. Об уменьшении плана производства продукта М НКХП для ГВХУ КА. РГАНИР, Фонд ГКО, д. 254, лл. 129 (11012).</w:t>
      </w:r>
    </w:p>
    <w:p w14:paraId="4D6FE0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7F2E5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вышло Распоряжение ГКО № 5915. О призыве 1 тыс. военнообязанных, не годных к строевой службе, для работы на лесозаготовках в Красноярском крае. РГАНИР, Фонд ГКО, д. 254, лл. 130 (11012).</w:t>
      </w:r>
    </w:p>
    <w:p w14:paraId="1C50DD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53F120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вышло Распоряжение ГКО № 5916 [О порядке финансирования восстановительных работ на заводах НКМВ.] (7233, 131).</w:t>
      </w:r>
    </w:p>
    <w:p w14:paraId="3FA3596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A8B8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вышло Распоряжение ГКО № 5918. Об обеспечении проектно-изыскательских работ по восстановлению Главной военно-морской базы Черноморского флота в Севастополе. РГАНИР, Фонд ГКО, д. 254, лл. 133 (11012).</w:t>
      </w:r>
    </w:p>
    <w:p w14:paraId="7BCD27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86CCF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вышло Постановление ГКО № 5919 Об ускорении строительства военно-морской базы в гор. Поти. РГАНИР, Фонд ГКО, д. 254, лл. 134-136,137 (11012).</w:t>
      </w:r>
    </w:p>
    <w:p w14:paraId="515DF63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CBC6F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вышло Постановление ГКО № 5920 О восстановлении завода № 302 Наркомсредмаша в г. Киеве. РГАНИР, Фонд ГКО, д. 254, лл. 138-142,143-144 (11012).</w:t>
      </w:r>
    </w:p>
    <w:p w14:paraId="03FF3C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1C842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г. в соответствии с пост. ГКО № 5920 после освобождения Киева в 1944 г., когда на старое место реэвакуированы из Зеленодольска оборудование и специалисты завода № 300, был организован новый завод № 302 НКСМ. 9.07.1944 г. вышло распоряжение ГКО № 6149 о переводе на завод производства судовых паровых котлов с завода № 141 НКСП ( г. Таганрог).</w:t>
      </w:r>
    </w:p>
    <w:p w14:paraId="2ABEEB4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1945 г. заложены первые суда.</w:t>
      </w:r>
    </w:p>
    <w:p w14:paraId="7955F1DD" w14:textId="407404EC"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Строились землесосы, пассажирские пароходы, рейдовые морские буксиры, морские самоходные шаланды. С середины 1950-х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начато крупносерийное строительство средних морских рыболовных траулеров (СРТ). До 1990 г. строились СРТ пр. 502 и его модификации по 15-18 шт. в год.</w:t>
      </w:r>
    </w:p>
    <w:p w14:paraId="712CA60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Действовало машиностроительное производство: завод выпускал винты регулируемого шага, котлоагрегаты, насосы, оборудование для химической промышленности, морозильное оборудование.</w:t>
      </w:r>
    </w:p>
    <w:p w14:paraId="58E9D5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1995 г. завод преобразован в ОАО.</w:t>
      </w:r>
    </w:p>
    <w:p w14:paraId="1DB708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Гендиректор (2007 г.)- П.И. Блиндар.</w:t>
      </w:r>
    </w:p>
    <w:p w14:paraId="11DA11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гендиректора: по производству (2007 г.)- А.Н. Вишневецкий; по финансам (2007 г.)- В.Б. Каширский; по персоналу (2007 г.)- С.А. Авдошин; по коммерческим вопросам (2007 г.)- В.В. Малашевский.</w:t>
      </w:r>
    </w:p>
    <w:p w14:paraId="75ED3B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по ВЭД (2007 г.)- И.В. Татарин.</w:t>
      </w:r>
    </w:p>
    <w:p w14:paraId="29016E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(2007 г.)- С.А. Белозубенко.</w:t>
      </w:r>
    </w:p>
    <w:p w14:paraId="36F8E95C" w14:textId="77777777" w:rsidR="005F2ECF"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бронекатер пр. 1124 (1945)- I;</w:t>
      </w:r>
      <w:r w:rsidRPr="00070ADE">
        <w:rPr>
          <w:rFonts w:ascii="Times New Roman" w:hAnsi="Times New Roman"/>
          <w:color w:val="000000" w:themeColor="text1"/>
          <w:sz w:val="16"/>
          <w:szCs w:val="16"/>
          <w:vertAlign w:val="superscript"/>
        </w:rPr>
        <w:t>61</w:t>
      </w:r>
      <w:r w:rsidRPr="00070ADE">
        <w:rPr>
          <w:rFonts w:ascii="Times New Roman" w:hAnsi="Times New Roman"/>
          <w:color w:val="000000" w:themeColor="text1"/>
          <w:sz w:val="16"/>
          <w:szCs w:val="16"/>
        </w:rPr>
        <w:t xml:space="preserve"> корвет «Тернополь» (1992-2005);</w:t>
      </w:r>
      <w:r w:rsidRPr="00070ADE">
        <w:rPr>
          <w:rFonts w:ascii="Times New Roman" w:hAnsi="Times New Roman"/>
          <w:iCs/>
          <w:color w:val="000000" w:themeColor="text1"/>
          <w:sz w:val="16"/>
          <w:szCs w:val="16"/>
        </w:rPr>
        <w:t xml:space="preserve"> земснаряды:</w:t>
      </w:r>
      <w:r w:rsidRPr="00070ADE">
        <w:rPr>
          <w:rFonts w:ascii="Times New Roman" w:hAnsi="Times New Roman"/>
          <w:color w:val="000000" w:themeColor="text1"/>
          <w:sz w:val="16"/>
          <w:szCs w:val="16"/>
        </w:rPr>
        <w:t xml:space="preserve"> дизель- электрические многочерпаковые (1945-), пр. 1439 «Камский-314» (1966), пр. 1519 «Днепр» (1975-90)- более 35, пр. 15191 (1988-91)- 2; буксиры: пр. 732 «Академик Крылов» (1947), пр. 733 (1950-е)- всего более 440; пассажирский колесный пароход (1951);</w:t>
      </w:r>
      <w:r w:rsidRPr="00070ADE">
        <w:rPr>
          <w:rFonts w:ascii="Times New Roman" w:hAnsi="Times New Roman"/>
          <w:iCs/>
          <w:color w:val="000000" w:themeColor="text1"/>
          <w:sz w:val="16"/>
          <w:szCs w:val="16"/>
        </w:rPr>
        <w:t xml:space="preserve"> СРТ:</w:t>
      </w:r>
      <w:r w:rsidRPr="00070ADE">
        <w:rPr>
          <w:rFonts w:ascii="Times New Roman" w:hAnsi="Times New Roman"/>
          <w:color w:val="000000" w:themeColor="text1"/>
          <w:sz w:val="16"/>
          <w:szCs w:val="16"/>
        </w:rPr>
        <w:t xml:space="preserve"> пр. 391 «Горностай» (1954-), пр. 395 «Бологое» (1957-), пр. 502 «Маяк» (1960-е), СРТ-300 (1960-е), СРТМ пр. 502Э «Железняков» (1967), «Железный поток», ЯИ-1424 (1968-90- е)- более 300; сейнер-траулер пр. 503 «Альпинист» (1970-е-80-е)- около 300 (вместе с Ярославским и Волгоградским ССЗ); тунцеловный сейнер пр. 1348 «Тибия» (1970-е); малый ПЛК пр. 1124 (1970-85)- 42 (вместе с заводами 340 и 876), пр. 1124М (1982-)- 33 (вместе с заводами 340 и 876).</w:t>
      </w:r>
      <w:r w:rsidRPr="00070ADE">
        <w:rPr>
          <w:rFonts w:ascii="Times New Roman" w:hAnsi="Times New Roman"/>
          <w:color w:val="000000" w:themeColor="text1"/>
          <w:sz w:val="16"/>
          <w:szCs w:val="16"/>
          <w:vertAlign w:val="superscript"/>
        </w:rPr>
        <w:t>116</w:t>
      </w:r>
    </w:p>
    <w:p w14:paraId="061D457E" w14:textId="60CDC43B"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СКБ завода № 302, ЦКБ-302, ЦКБ «Ленинская кузница» /252032</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Киев ул. Коминтерна, 30/</w:t>
      </w:r>
    </w:p>
    <w:p w14:paraId="2BFFA8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Вероятно, до 1953 г. являлось филиалом Ленинградского ЦТКБ МРФ, затем стало самостоятельным</w:t>
      </w:r>
    </w:p>
    <w:p w14:paraId="09FB72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ЦКБ-302.</w:t>
      </w:r>
    </w:p>
    <w:p w14:paraId="0E656569" w14:textId="0B201EB2"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специализировалось на проектировании средних рыболовных судов. В 1960-е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спроектирован первый советский СРТ с кормовым тралением пр. 502Э. В начале 1980-х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разработана техдокументация изготовления технологической оснастки для производства спасательного катера пр. 03473 на Сосновской судоверфи.</w:t>
      </w:r>
    </w:p>
    <w:p w14:paraId="62F021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Н.А. Якишин.</w:t>
      </w:r>
    </w:p>
    <w:p w14:paraId="314B63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Ю.В. Чвертко.</w:t>
      </w:r>
    </w:p>
    <w:p w14:paraId="3434C11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В.П. Тахистов.</w:t>
      </w:r>
    </w:p>
    <w:p w14:paraId="66DFC9BF" w14:textId="26E64EC4"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конструкторы: (1957 г.)- А.Б. Байбаков (пр. 395), (1960-е)-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Г.П. Дубский (пр. 502, 502М, 391А, 503), (1960- е)- В.Ф. Безукладов (пр. 502А), (1960-е)-</w:t>
      </w:r>
      <w:r w:rsidRPr="00070ADE">
        <w:rPr>
          <w:rFonts w:ascii="Times New Roman" w:hAnsi="Times New Roman"/>
          <w:iCs/>
          <w:color w:val="000000" w:themeColor="text1"/>
          <w:sz w:val="16"/>
          <w:szCs w:val="16"/>
        </w:rPr>
        <w:t xml:space="preserve"> ЯМ.</w:t>
      </w:r>
      <w:r w:rsidRPr="00070ADE">
        <w:rPr>
          <w:rFonts w:ascii="Times New Roman" w:hAnsi="Times New Roman"/>
          <w:color w:val="000000" w:themeColor="text1"/>
          <w:sz w:val="16"/>
          <w:szCs w:val="16"/>
        </w:rPr>
        <w:t xml:space="preserve"> Вольфсон (пр. 388Н), (1960-е-80-е&gt; Б.М. Сычев (пр. 502Э, 1296, 12961, 13020), (1970-е)- А.И. Кучук (пр. 1336), (1970-е-80-е)- В.А. Середа (пр. 420, 1348, 1350, 05026), (1970-е)- А.А. Криворотько (пр. 1338), (1970-е)- В.П. Тахистов (пр. 13321).</w:t>
      </w:r>
    </w:p>
    <w:p w14:paraId="324B88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 буксиры:</w:t>
      </w:r>
      <w:r w:rsidRPr="00070ADE">
        <w:rPr>
          <w:rFonts w:ascii="Times New Roman" w:hAnsi="Times New Roman"/>
          <w:color w:val="000000" w:themeColor="text1"/>
          <w:sz w:val="16"/>
          <w:szCs w:val="16"/>
        </w:rPr>
        <w:t xml:space="preserve"> речные колесные 400 л.с. пр. 732 (1946), 200 л.с. пр. 733 (1940-е), 600 л.с. (1940-е); </w:t>
      </w:r>
      <w:r w:rsidRPr="00070ADE">
        <w:rPr>
          <w:rFonts w:ascii="Times New Roman" w:hAnsi="Times New Roman"/>
          <w:iCs/>
          <w:color w:val="000000" w:themeColor="text1"/>
          <w:sz w:val="16"/>
          <w:szCs w:val="16"/>
        </w:rPr>
        <w:t>траулеры: СРТ:</w:t>
      </w:r>
      <w:r w:rsidRPr="00070ADE">
        <w:rPr>
          <w:rFonts w:ascii="Times New Roman" w:hAnsi="Times New Roman"/>
          <w:color w:val="000000" w:themeColor="text1"/>
          <w:sz w:val="16"/>
          <w:szCs w:val="16"/>
        </w:rPr>
        <w:t xml:space="preserve"> пр. 391 типа «Горностай» (1954), пр. 395 типа «Бологое» (1957), пр. 502 типа «Маяк» (1960-е), рефрижератор пр. 502Р типа «Саргасса» (1960-е), пр. 502М типа «Ольга» (1967), пр. 502Э типа «Железняков» (1960-е); пр. 391А типа СРТ-300 (1960-е); креветочно-морозильный пр. 1336 типа «Омар» (1974); рефрижераторный пр. 1296 типа «Гируляй» (1978), креветколовный пр. 12961 типа «Лаукува» (1980-е);</w:t>
      </w:r>
      <w:r w:rsidRPr="00070ADE">
        <w:rPr>
          <w:rFonts w:ascii="Times New Roman" w:hAnsi="Times New Roman"/>
          <w:iCs/>
          <w:color w:val="000000" w:themeColor="text1"/>
          <w:sz w:val="16"/>
          <w:szCs w:val="16"/>
        </w:rPr>
        <w:t xml:space="preserve"> сейнеры: </w:t>
      </w:r>
      <w:r w:rsidRPr="00070ADE">
        <w:rPr>
          <w:rFonts w:ascii="Times New Roman" w:hAnsi="Times New Roman"/>
          <w:color w:val="000000" w:themeColor="text1"/>
          <w:sz w:val="16"/>
          <w:szCs w:val="16"/>
        </w:rPr>
        <w:t>пр. 388 типа РС-300 (1960-е), пр. 388М типа «Маневренный» (1960-е); средний пр. 1330 типа «Керчанин» (1977); малый пр. 1338П и пр. 1338К типа «Нельма» (1975); проект переоборудования траулера пр. 502 в разведывательное судно (1965); сейнеры-траулеры: пр. 503 типа «Альпинист» (1970-е), средний рефрижераторный пр. 420 типа «Надежный» (1978); тунцеловные суда: пр. 502А (1963), ярусник пр. 13321 типа «Тунцелов-1» (1979), сейнер пр. 1348 типа «Тибия» (1970-е); кальмаролов пр. 05026 типа «Голицыно» (1985); малый транспортный рефрижератор пр. 1350 типа «Радужный» (1971); универсальное рыбодобывающее судно пр. 13020 типа «Приморье» (1987); дизель-электрические многочерпаковые земснаряды пр. 1439 «Камский-314» (1965), пр. 1519 типа «Днепр» (1974), пр. 15191 (1987).</w:t>
      </w:r>
      <w:r w:rsidRPr="00070ADE">
        <w:rPr>
          <w:rFonts w:ascii="Times New Roman" w:hAnsi="Times New Roman"/>
          <w:color w:val="000000" w:themeColor="text1"/>
          <w:sz w:val="16"/>
          <w:szCs w:val="16"/>
          <w:vertAlign w:val="superscript"/>
        </w:rPr>
        <w:t>И6</w:t>
      </w:r>
    </w:p>
    <w:p w14:paraId="16AED7CE" w14:textId="00B1FCC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Хабаровский филиал ЦКБ «Ленинская кузница» /680003</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Хабаровск/</w:t>
      </w:r>
    </w:p>
    <w:p w14:paraId="4C99AA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М.Ф. Андриенко.</w:t>
      </w:r>
    </w:p>
    <w:p w14:paraId="3E1F0D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w:t>
      </w:r>
      <w:r w:rsidRPr="00070ADE">
        <w:rPr>
          <w:rFonts w:ascii="Times New Roman" w:hAnsi="Times New Roman"/>
          <w:color w:val="000000" w:themeColor="text1"/>
          <w:sz w:val="16"/>
          <w:szCs w:val="16"/>
        </w:rPr>
        <w:t xml:space="preserve"> морской буксирный катер пр. 1439 (1968) (11982).</w:t>
      </w:r>
    </w:p>
    <w:p w14:paraId="484DE763" w14:textId="77777777" w:rsidR="005F2ECF" w:rsidRPr="00070ADE" w:rsidRDefault="005F2ECF" w:rsidP="00B56F90">
      <w:pPr>
        <w:autoSpaceDE w:val="0"/>
        <w:autoSpaceDN w:val="0"/>
        <w:adjustRightInd w:val="0"/>
        <w:spacing w:after="0" w:line="240" w:lineRule="auto"/>
        <w:jc w:val="both"/>
        <w:rPr>
          <w:rFonts w:ascii="Times New Roman" w:hAnsi="Times New Roman"/>
          <w:color w:val="000000" w:themeColor="text1"/>
          <w:sz w:val="16"/>
          <w:szCs w:val="16"/>
        </w:rPr>
      </w:pPr>
    </w:p>
    <w:p w14:paraId="6FB2A5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вышло Постановление ГКО № 5921 О мероприятиях по достройке и вводу в эксплуатацию танкоремонтного завода № 21 НКО СССР в г. Чите (cт. Атамановка). РГАНИР, Фонд ГКО, д. 254, лл. 145-147,148-151 (11012).</w:t>
      </w:r>
    </w:p>
    <w:p w14:paraId="3381D0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61AEB1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вышло Постановление ГКО № 5922 Об обеспечении изготовления заводом "Станкоконструкция" специальных станков для производства танков ИС. (7233, 152-154,155-159).</w:t>
      </w:r>
    </w:p>
    <w:p w14:paraId="21B9AE6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65094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вышло Постановление ГКО № 5923 О мероприятиях по увеличению кадров квалифицированных рабочих на железнодорожном транспорте. (7233, 160-163,164-167).</w:t>
      </w:r>
    </w:p>
    <w:p w14:paraId="1E21AA6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941C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вышло Постановление ГКО № 5924 Об окончании строительства и ввода в действие первой очереди завода № 507 Наркомрезинпрома. РГАНИР, Фонд ГКО, д. 254, лл. 168-174,175-177 (11012).</w:t>
      </w:r>
    </w:p>
    <w:p w14:paraId="290E5D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72167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вышло Распоряжение ГКО № 5925. О материально-техническом обеспечении строительства заводов синтетического каучука НКРП. РГАНИР, Фонд ГКО, д. 254, лл. 178-180,181-190 (11012).</w:t>
      </w:r>
    </w:p>
    <w:p w14:paraId="4783A6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0A1B23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г. вышло Постановление ГКО № 5926 «Об организации производства шифровальной и засекречивающей аппаратуры на заводе № 209 Наркомсредмаша» (Д. 335. Л. 129–141).</w:t>
      </w:r>
    </w:p>
    <w:p w14:paraId="763E38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BFDF488" w14:textId="77777777" w:rsidR="00415543" w:rsidRPr="00070ADE" w:rsidRDefault="0041554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г. постановление ГКО № 5926сс «Об организации производства шифровальной и засекречивающей аппаратуры на заводе № 209 Наркомсудпрома», в соответствии с которым предприятие превращалось в один из ведущих центров страны по разработке и выпуску данного класса техники связи. Постановление обязывало завод обеспечить к определенным срокам выпуск пяти модернизированных аппаратов «Соболь-П», 20 аппаратов «Нева-П», 10 комплектов «Нева-С» и комплекта шифратора «Волга-С», полевого шифрующего аппарата «Соболь-Д» и стационарного аппарата «Соболь-Д»3. Разработка всей этой аппаратуры для автоматического засекречивания телефонных переговоров осуществлялась по заказам ОПС НКВД, а исполнителем ее на предприятии стало специальное КБ – 33-й отдел (18297).</w:t>
      </w:r>
    </w:p>
    <w:p w14:paraId="689AEBAE" w14:textId="77777777" w:rsidR="00415543" w:rsidRPr="00070ADE" w:rsidRDefault="00415543" w:rsidP="00B56F90">
      <w:pPr>
        <w:spacing w:after="0" w:line="240" w:lineRule="auto"/>
        <w:jc w:val="both"/>
        <w:rPr>
          <w:rFonts w:ascii="Times New Roman" w:hAnsi="Times New Roman"/>
          <w:color w:val="000000" w:themeColor="text1"/>
          <w:sz w:val="16"/>
          <w:szCs w:val="16"/>
        </w:rPr>
      </w:pPr>
    </w:p>
    <w:p w14:paraId="1A5070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вышло Постановление ГКО № 5927 О мероприятиях по восстановлению цементных заводов Наркомстройматериалов СССР в Украинской и Белорусской ССР, Воронежской и Орловской областях. РГАНИР, Фонд ГКО, д. 254, лл. 207-212,213-221 (11012).</w:t>
      </w:r>
    </w:p>
    <w:p w14:paraId="1AE902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805D1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вышло Постановление ГКО № 5928 Об экономии электроэнергии в промышленности. РГАНИР, Фонд ГКО, д. 254, лл. 222-229,230-234 (11012).</w:t>
      </w:r>
    </w:p>
    <w:p w14:paraId="124291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ED048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18 мая 1944 вышло Распоряжение ГКО № 5929. О выделении 600 военнослужащих ЗабФ на работы по сплаву древесины в Иркутской обл. РГАНИР, Фонд ГКО, д. 254, лл. 235 (11012).</w:t>
      </w:r>
    </w:p>
    <w:p w14:paraId="37887E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A7979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вышло Постановление ГКО № 5930 О мероприятиях по обеспечению топливом стекольных заводов Наркомстройматериалов СССР. РГАНИР, Фонд ГКО, д. 254, лл. 236-238,239-243 (11012).</w:t>
      </w:r>
    </w:p>
    <w:p w14:paraId="713EA5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B672CBA" w14:textId="77777777" w:rsidR="005F2ECF"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02BA2AE" w14:textId="77777777" w:rsidR="005F2ECF" w:rsidRPr="00070ADE" w:rsidRDefault="005F2ECF"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0CAF25"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18 МАЯ 1944 СООБЩЕНИЕ СОВИНФОРМБЮРО:</w:t>
      </w:r>
    </w:p>
    <w:p w14:paraId="02A818A7"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18 мая на фронтах существенных изменений не произошло. За 17 мая подбито и уничтожено 10 немецких танков. В воздушных боях и огнём зенитной артиллерии сбито 25 самолётов противника.</w:t>
      </w:r>
    </w:p>
    <w:p w14:paraId="05C67C0A"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подразделения Н-ской части атаковали противника и овладели высотой, имеющей важное значение. Отступая, немцы оставили на поле боя 90 убитых и раненых солдат и офицеров. Захвачено 5 пулемётов, 2миномёта, 65 винтовок и автоматов. На другом участке советские бойцы отбили несколько атак противника и истребили две роты гитлеровцев. Взято в плен 40немецких солдат и офицеров.</w:t>
      </w:r>
    </w:p>
    <w:p w14:paraId="2A91360C"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Тирасполь противник предпринял попытку вернуть потерянные накануне позиции. Рано утром немецкие пехота и танки перешли в атаку. Встреченные артиллерийско-миномётным и ружейно-пулемётным огнём, гитлеровцы понесли большие потери и отступили. Все дальнейшие их атаки успеха не имели. В течение дня наши подразделения уничтожили до 600 солдат и офицеров противника и подбили 7 немецких танков.</w:t>
      </w:r>
    </w:p>
    <w:p w14:paraId="1FD32D7D"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Витебск три отряда немецкой пехоты после артиллерийско-миномётного налёта пытались вести разведку. Советские бойцы подпустили противника на близкое расстояние и открыли сильный огонь. Оставив на поле боя более 60 трупов своих солдат и офицеров, немцы отошли на исходные рубежи.</w:t>
      </w:r>
    </w:p>
    <w:p w14:paraId="0384D56A"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города Мозырь рядовой тов. Москалёв, находясь в боевом охранении, меткими выстрелами убил двух немецких офицеров. Снайпер сержант тов. Кнутов за последние дни уничтожил 11 гитлеровцев.</w:t>
      </w:r>
    </w:p>
    <w:p w14:paraId="19FBF9CC"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мая авиация Краснознамённого Балтийского флота нанесла удар по транспортам в порту противника. Прямым попаданием бомб потоплен транспорт водоизмещением в 3тысячи тонн. Другому транспорту нанесены серьёзные повреждения.</w:t>
      </w:r>
    </w:p>
    <w:p w14:paraId="72AABE5E"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воздушных боях наши лётчики сбили 9 самолётов противника.</w:t>
      </w:r>
    </w:p>
    <w:p w14:paraId="1B5607A3"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партизанских отрядов, действующих в Минской области, окружили немецкий гарнизон в одном населённом пункте. В ожесточённом бою партизаны уничтожили роту гитлеровцев. Захвачены у немцев 2 орудия, 11 пулемётов, несколько десятков винтовок и 10 тысяч патронов. В другом районе гитлеровцы направили против партизанского отряда карательную экспедицию, насчитывавшую до600 штыков. В результате упорных боёв советские патриоты успешно отбили все атаки и нанесли противнику серьёзный урон.</w:t>
      </w:r>
    </w:p>
    <w:p w14:paraId="4E6FAE3D"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Немецкий генерал Дитмар на днях выступил по радио с обзором крымских событий. Подручный Геббельса взял на себя невыполнимую задачу. Дитмар, например, уверял, что разгром немецких войск в Крыму есть не что иное, кик «выдающееся достижение немецкого командования». Он заявил: «Нам удалось эвакуировать не только главные силы, но и подавляющую часть охранных частей, прикрывавших эвакуацию основных сил». При этом Дитмар скромно умолчал, к какому же разряду войск — к главным силам или к охранным частям — следует отнести более 111 тысяч немецко-румынских солдат и офицеров, уничтоженных или пленённых Красной Армией в Крыму.</w:t>
      </w:r>
    </w:p>
    <w:p w14:paraId="2D7C3294"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Взятые в плен немецкие офицеры совсем иначе описывают, как происходила «эвакуация» немецких войск с Крымского полуострова. Пленный начальник штаба 111немецкой пехотной дивизии подполковник Александр Франц сообщил: «Немецкие войска в Крыму получили приказ Гитлера любой ценой удержать Севастополь в своих руках. К нам непрерывно поступало пополнение. Однако русские прорвали оборону и заняли Севастополь. Тогда командование отдало явно запоздалый приказ — удерживать мощные позиции на Херсонесе, а тем временем попытаться эвакуировать остатки разбитых войск из Крыма. На нашем участке скопилось до 30.000 солдат. Из них едва ли удалось вывезти более одной тысячи. Десятого мая я видел, как в бухту Камышёвая вошли четыре судна, но вышли оттуда только два. Два других транспорта были потоплены русской авиацией. С тех пор я больше никаких кораблей не видел. Между тем положение становилось всё более критическим. Командир дивизии генерал Грюнер приказал занять оборону в районе Максим Горький. Но солдаты были уже деморализованы. Все бежали к морю в надежде, что, может быть, в последнюю минуту появятся какие-либо суда. Офицеры пытались силой оружия заставить солдат занять позиции, но из этого ничего не вышло. Мы потеряли власть над своими подчинёнными. Всё перемешалось, и кругом царил хаос. Наши потери росли с каждой минутой. Тогда старшие офицеры решили капитулировать. Наша группа численностью до 10 тысяч человек сложила оружие. Вскоре сдались в плен и остальные группы. Это была полная катастрофа немецких войск в Крыму».</w:t>
      </w:r>
    </w:p>
    <w:p w14:paraId="10AD1822"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показание, в котором правдиво рассказано о разгроме немецкой армии в Крыму, полностью разоблачает немецкого генерала-враля Дитмара (14895).</w:t>
      </w:r>
    </w:p>
    <w:p w14:paraId="5B8384F3" w14:textId="77777777" w:rsidR="005F2ECF" w:rsidRPr="00070ADE" w:rsidRDefault="005F2ECF" w:rsidP="00B56F90">
      <w:pPr>
        <w:spacing w:after="0" w:line="240" w:lineRule="auto"/>
        <w:jc w:val="both"/>
        <w:rPr>
          <w:rFonts w:ascii="Times New Roman" w:hAnsi="Times New Roman"/>
          <w:color w:val="000000" w:themeColor="text1"/>
          <w:sz w:val="16"/>
          <w:szCs w:val="16"/>
        </w:rPr>
      </w:pPr>
    </w:p>
    <w:p w14:paraId="5F904BB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3DB6C6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F121C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проведена депортация крымских татар на восток (4962).</w:t>
      </w:r>
    </w:p>
    <w:p w14:paraId="68A9D94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029BDE"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по приказу СТАЛИНА проведена депортация крымских татар в Среднюю Азию. Ее осуществляли спецчасти НКВД под командованием КОБУЛОВА. Только в 1967 году Президиум ВС СССР принял указ о реабилитации народа крымских татар. Указ не был опубликован в центральной прессе, а лишь в Узбекистане. Право на возвращение на Родину тогда дано не было (14895).</w:t>
      </w:r>
    </w:p>
    <w:p w14:paraId="1A226A45" w14:textId="77777777" w:rsidR="005F2ECF" w:rsidRPr="00070ADE" w:rsidRDefault="005F2ECF" w:rsidP="00B56F90">
      <w:pPr>
        <w:spacing w:after="0" w:line="240" w:lineRule="auto"/>
        <w:jc w:val="both"/>
        <w:rPr>
          <w:rFonts w:ascii="Times New Roman" w:hAnsi="Times New Roman"/>
          <w:color w:val="000000" w:themeColor="text1"/>
          <w:sz w:val="16"/>
          <w:szCs w:val="16"/>
        </w:rPr>
      </w:pPr>
    </w:p>
    <w:p w14:paraId="35538B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был создан Совет по делам неправославных религий (3908,369).</w:t>
      </w:r>
    </w:p>
    <w:p w14:paraId="612103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988E5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5998CF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6BE0C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после недельного штурма польские отряды захватили монастырь Кассино (Италия), открыв союзникам дорогу на Рим (4962).</w:t>
      </w:r>
    </w:p>
    <w:p w14:paraId="039A02D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6AAF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18th, 1944: In Italy, the US Fifth Army (Clark) captres Gaeta S of Rome (3819).</w:t>
      </w:r>
    </w:p>
    <w:p w14:paraId="05ED7E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323AA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польские войска водрузили свой флаг над Монте Кассино (2247,3).</w:t>
      </w:r>
    </w:p>
    <w:p w14:paraId="0A47E6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6FB4C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в Турции после серии профашистских демонстраций введено чрезвычайное положение (4962).</w:t>
      </w:r>
    </w:p>
    <w:p w14:paraId="6F770BA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05E5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мая 1944 5А США освободила Гаэту (3819).</w:t>
      </w:r>
    </w:p>
    <w:p w14:paraId="0E4DB2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D801E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ACECA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3C3F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В.К.Коккинаки поднял Ил-1 в воздух. В процессе заводских испытаний на Ил-1 была достигнута максимальная скорость 580 км/ч на высоте 3260 м при массе 5320 кг, а максимальная скорость у земли составила 525 км/час (5,120).</w:t>
      </w:r>
    </w:p>
    <w:p w14:paraId="046E8C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П.Т.Аброщенко был ведущим инженером по испытаниям Ил-10. Опытный Ил-10 с АМ-42 сделали сразу в 3 экземплярах (172,162).</w:t>
      </w:r>
    </w:p>
    <w:p w14:paraId="20138C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0079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1944-го летчик-испытатель В.К.Коккинаки совершил на истребителе Ил-1 первый полет. На заводских испытаниях Ил-1 с нормальной полетной массой 5320 кг показал максимальную скорость горизонтального полета 580 км/ч. По оценке Коккинаки, истребитель Ил-1 выполнял все фигуры высшего пилотажа мягко, легко. Однако в связи с возросшей к середине 1944-го мощью советской истребительной авиации, завоевавшей стратегическое господство в воздухе, необходимость в боевом самолете такого типа уже отпала, поэтому на государственные испытания Ил-1 не передавали (9532,5).</w:t>
      </w:r>
    </w:p>
    <w:p w14:paraId="123DA1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7269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г. В.К.Коккинаки совершил на Ил-1 первый полет. На заводских испытаниях самолет с нормальным полетным весом 5320 кг (металлическое крыло и деревянный хвост) показал максимальную скорость 580 км/ч на высоте 3260 м. По скоростным характеристикам в диапазоне высот от земли до 4000 м бронированный истребитель Ил-1 был близок к широко применявшимся в люфтваффе истребителям FW-190A и Me-109G. По оценке Коккинаки, Ил-1 выполнял все фигуры высшего пилотажа мягко, легко. Полный вираж в горизонтальной плоскости на высоте 1000 м самолет завершал за 20 секунд, a Me-109G-2 - за 22-23 секунды. Боевым разворотом за 13-14 секунд Ил-1 набирал 900 м высоты. Однако на госиспытания Ил-1 не передавали, т.к. благодаря возросшей мощи советской истребительной авиации, завоевавшей стратегическое господство в воздухе, к середине 1944 г. необходимость в таком боевом самолете отпала (9542).</w:t>
      </w:r>
    </w:p>
    <w:p w14:paraId="7D5213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B38B4F"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19 мая</w:t>
      </w:r>
      <w:r w:rsidRPr="00070ADE">
        <w:rPr>
          <w:rFonts w:ascii="Times New Roman" w:hAnsi="Times New Roman"/>
          <w:color w:val="000000" w:themeColor="text1"/>
          <w:sz w:val="16"/>
          <w:szCs w:val="16"/>
        </w:rPr>
        <w:t xml:space="preserve"> в 1944 году летчик-испытатель В.К.Коккинаки совершил на истребителе </w:t>
      </w:r>
      <w:hyperlink r:id="rId131" w:tgtFrame="_blank" w:history="1">
        <w:r w:rsidRPr="00070ADE">
          <w:rPr>
            <w:rFonts w:ascii="Times New Roman" w:hAnsi="Times New Roman"/>
            <w:color w:val="000000" w:themeColor="text1"/>
            <w:sz w:val="16"/>
            <w:szCs w:val="16"/>
          </w:rPr>
          <w:t xml:space="preserve">«Ил-1» </w:t>
        </w:r>
      </w:hyperlink>
      <w:r w:rsidRPr="00070ADE">
        <w:rPr>
          <w:rFonts w:ascii="Times New Roman" w:hAnsi="Times New Roman"/>
          <w:color w:val="000000" w:themeColor="text1"/>
          <w:sz w:val="16"/>
          <w:szCs w:val="16"/>
        </w:rPr>
        <w:t>с двигателем «АМ-42» первый полет. В процессе проведения заводских летных испытаний на самолете «Ил-1» с нормальной полетной массой 5320 кг была достигнута максимальная скорость горизонтального полета 580 км/т на высоте 3260м. По своим скоростным характеристикам в диапазоне высот от земли и до 4000 м бронированный истребитель «Ил-1» значительно превосходил широко применявшийся в Люфтваффе истребитель «FW-190A-4» и практически не уступал массовому истребителю врага легкому «Bf-109G-2». По оценке В. К. Коккинаки, истребитель «Ил-1» выполнял все фигуры высшего пилотажа мягко, легко. Полный вираж в горизонтальной плоскости на высоте 1000 м самолет завершал за 20 с, а истребитель «Bf-109G-2» - за 22 ... 23 с. Боевым разворотом за 13 ... 14 с истребитель «Ил-1» набирал высоту 900 м Однако благодаря возросшей мощи советской истребительной авиации, завоевавшей стратегическое господство в воздухе, к середине 1944 г. необходимость в боевом самолете такого типа уже отпала, поэтому на государственные испытания «Ил-1» передан не был (14896).</w:t>
      </w:r>
    </w:p>
    <w:p w14:paraId="12F43ED4" w14:textId="77777777" w:rsidR="005F2ECF" w:rsidRPr="00070ADE" w:rsidRDefault="005F2ECF" w:rsidP="00B56F90">
      <w:pPr>
        <w:spacing w:after="0" w:line="240" w:lineRule="auto"/>
        <w:jc w:val="both"/>
        <w:rPr>
          <w:rFonts w:ascii="Times New Roman" w:hAnsi="Times New Roman"/>
          <w:color w:val="000000" w:themeColor="text1"/>
          <w:sz w:val="16"/>
          <w:szCs w:val="16"/>
        </w:rPr>
      </w:pPr>
    </w:p>
    <w:p w14:paraId="072BB673"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19 мая 1944 г. летчик-испытатель В. К. Коккинаки совершил на истребителе Ил-1 первый полет. В процессе проведения заводских летных испытаний на самолете Ил-1 с нормальной полетной массой 5320 кг была достигнута максимальная скорость горизонтального полета 580 км/т на высоте 3260 м. По своим скоростным характеристикам в диапазоне высот от земли и до 4000 м бронированный истребитель Ил-1 значительно превосходил широко применявшийся в Люфтваффе истребитель Р\№-190А-4 и практически не уступал массовому истребителю врага легкому Ме-1090-2.</w:t>
      </w:r>
    </w:p>
    <w:p w14:paraId="33031FC3"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 оценке В. К- Коккинаки, истребитель Ил-1 выполнял все фигуры высшего пилотажа мягко, легко. Полный вираж в горизонтальной плоскости на высоте 1000 м самолет завершал за 20 с, а истребитель Ме-109О-2 — за 22 … 23 с. Боевым разворотом за 13 … 14 с истребитель Ил-1 набирал высоту 900 м. Однако благодаря возросшей мощи советской истребительной авиации, завоевавшей стратегическое господство в воздухе, к середине 1944 г. необходимость в боевом самолете такого типа уже отпала, поэтому на государственные испытания Ил-1 передан не был (25320).</w:t>
      </w:r>
    </w:p>
    <w:p w14:paraId="19E64858" w14:textId="77777777" w:rsidR="00982F71" w:rsidRPr="00C94B78" w:rsidRDefault="00982F71" w:rsidP="00B56F90">
      <w:pPr>
        <w:spacing w:after="0" w:line="240" w:lineRule="auto"/>
        <w:jc w:val="both"/>
        <w:rPr>
          <w:rFonts w:ascii="Times New Roman" w:hAnsi="Times New Roman"/>
          <w:color w:val="0070C0"/>
          <w:sz w:val="16"/>
          <w:szCs w:val="16"/>
        </w:rPr>
      </w:pPr>
    </w:p>
    <w:p w14:paraId="612141BA"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начались заводские испытания «Ил-1 № 1 АМ-42 с винтом АВ-5л-24 диаметром 3.6 метра». Видимо, в КБ рассчитывали получить дополнительные материалы для доработокИл-10 и мотора. Ведущим летчиком снова назначили В.К. Коккинаки, ведущим инженером – А.П. Виноградова, ведущим инженером по ВМГ стал В.В. Семенов. Обслуживал самолет механик П.И. Милютин. За месяц испытаний был выполнен 21 полет общей продолжительностью 16 часов 6 минут. Помимо этого, на земле мотор дополнительно наработал 13 часов 54 минуты. Пустой самолет весил 4285 кг, нормальный взлетный вес Ил-1 – 5320 кг. Граница высотности мотора при 2350 оборотах в минуту составляла 3260 метров. На этой высоте самолет разгонялся до 580 км/ч, у земли максимальная скорость была 525 км/ч, на высоте 5 километров – 563 км/ч. Высоту в 1000 метров Ил-1 набирал за 1,6 минуты, 3000 – за 4,5 минуты. Потолок самолета был равен 8600 метрам, а забиралась машина на него более получаса. Дальность полета до полного выгорания топлива -1007 км. Генерал Коккинаки в целом дал самолету положительную летную оценку. Кабина Ил-1 по компоновке была сходна с кабиной Ил-2 и отличалась, по мнению летчика, только управлением заслонками водо- и маслорадиаторов при помощи электротумблеров. Рулил самолет «змейкой» из-за приподнятого носа, тормоза колес при этом были достаточно эффективны. В начале разбега хвост поднимался медленно и с увеличением скорости разгружался. Взлет – нормальный, особенностей при наборе высоты и в горизонтальном полете не было. Ил-1 был устойчив в путевом и поперечном направлениях, продольная устойчивость была чрезмерной, что увеличивало нагрузку на рули высоты. При максимальных скоростях самолет стремился к кабрированию и триммера руля высоты для снятия нагрузок не хватало, в то же время, при посадке из-за больших нагрузок на руль высоты ручка значительно не добиралась на себя при полностью выкрученном триммере. Поперечное управление также оценивалось как тяжелое, не смотря на уже «приподнятые» элероны. Вместе с тем, выполнение фигур высшего пилотажа было мягким и приятным. Выполнение иммельмана в течение 13-14 секунд давало набор высоты в 900 метров. Переворот Ил-1 выполнял с потерей 500-600 метров. Петля выполнялась на скорости 440-470 км/ч, вираж на скорости около 320 км/ч и высоте 1000 метров машина проделывала за 20 секунд. Все указанные эволюции требовали обязательного использования триммера руля высоты. Планировал Ил-1 нормально, на скорости порядка 200 км/ч, особенностей при этом не имел, самолет был устойчив, глиссада–крутая. Закрылки были эффективны, но Владимир Константиновичотмечал, чтоследовалоувеличить время их уборки, так как при существующем темпе уборки самолет давал приличную просадку, что могло представлять опасность при уходе на второй круг. При подходе к земле перед выравниванием отмечалось небольшое стремление к проваливанию, котороеисчезало припереходенабольшие углы Посадка в целом была аналогична посадке только что испытанного Ил-10, но со значительным недобором ручки на себя, хвост при этом до конца не опускался и самолет садился на две точки, поэтому имелась тенденция к прыжкам при посадке. На пробеге Ил-1 был устойчив, тормоза эффективны, но из-за разгруженного хвоста в первой трети пробега интенсивное торможение не рекомендовалось во избежание капотирования. Температурный режим работы мотора на всех этапах полета находился в пределах допуска, но на верхней его границе. При давлении наддува от 500 до 850 мм ртутного столба отмечалась интенсивная тряска мотора, сопровождавшаяся дымлением, особенно правого блока цилиндров. При номинальном режиме работы двигателя величина давления наддува заметно «гуляла». Масло выбивало через уплотнения носка вала редуктора, из-под кожухов наклонных валиков, кожухов блоков и маслонасоса. На начальном этапе испытаний винт давал раскрутку на максимальных скоростях по высотам. Проблему далось решить увеличением диапазона углов установки лопастей до 25 град. Производственное исполнение самолета было весьма посредственным. В отчете, в частности, отмечалось, что законцовка левой консоли была задрана вверх, и в полете машина кренилась влево. Требовалась отладка металлизации и экранировки – радиостанция РСИ-4 работала плохо – мешали постоянный треск и шумы. Отсутствовали несколько анкерных гаек на щелевых лентах стабилизатора. На консолях и стабилизаторе был ослаблен ряд заклепок. Трубка Пито была установлена не по потоку и требовала замены. Некачественно были выполнены уплотнения ложементов радиаторов. Самолет был плохо зашпаклеван и окрашен. Достаточно большой перечень дефектов испытательная бригада отнесла к конструктивным недостаткам. В кабине стояла африканская жара – при температуре наружного воздуха в 20 градусов Цельсия пилоту приходилось работать при +54. Фонарь неудобно было открывать и закрывать изнутри. Заслонки водо- и маслорадиаторов имели упругий люфт до 30 мм, система управления при помощи электротумблеров оказалась неудачной. Стойки шасси убирались рывками, с раскачкой и несинхронно, а костыль при этом убирался намного дольше основных стоек. Недостаточно жесткими оказались обтекатели шасси. От ударов при уборке возникали перекосы, и стойки не всегда вставали на верхний замок. Внешние тормозные трубки упирались в профили куполов колес. Посадочные щитки тоже убирались толчками. Обзор задней полусферы В.К. Коккинаки посчитал недостаточным. Хотя в те годы понятие «эргономика» в обиходе отсутствовало, ряд отмеченных недостатков напрямую относился именно к этой научной дисциплине, причем, дело было не только в неудобстве работы, но некоторые конструктивные решения могли серьезно повлиять на уровень боеготовности. Например, подход ко внутренним свечам мотора оказался настолько труден, что для заменыих комплекта в полевых условиях двум мотористам требовалось 12 часов! Размещение проводки и сборника конденсата компрессора АК-50 на левой стороне мотора почти полностью перекрывало подход к задним агрегатам, в том числе, к бензонасосу и маслопомпе. Люк в хвостовой части фюзеляжа испытательная бригада рекомендовала перенести на левуюсторону. В заключении к отчету по заводским испытаниям истребителя Ил-1 особо отмечалась его безопасность в прочностном отношении, мягкое и приятное выполнение всех фигур высшего пилотажа, а также устойчивость самолета по всем трем осям. С учетом повышенной теплоотдачи серийных двигателей АМ-42 рекомендовалось несколько снизить температурный режим мотора, особенно по маслу. Вместе с тем, с учетом избыточных нагрузок на рули высоты и элероны, а также высокуютемпературу в кабине, в заключении было сказано, что самолеттребует некоторых переделок. На этом в истории бронированного истребителя Ил-1 была поставлена точка. Этот необычный самолет свою сверхзадачу выполнил и на государственные испытания не передавался (21005).</w:t>
      </w:r>
    </w:p>
    <w:p w14:paraId="53E36877" w14:textId="77777777" w:rsidR="00DD3D22" w:rsidRPr="00070ADE" w:rsidRDefault="00DD3D22" w:rsidP="00B56F90">
      <w:pPr>
        <w:spacing w:after="0" w:line="240" w:lineRule="auto"/>
        <w:jc w:val="both"/>
        <w:rPr>
          <w:rFonts w:ascii="Times New Roman" w:hAnsi="Times New Roman"/>
          <w:color w:val="000000" w:themeColor="text1"/>
          <w:sz w:val="16"/>
          <w:szCs w:val="16"/>
        </w:rPr>
      </w:pPr>
    </w:p>
    <w:p w14:paraId="562B8CA6" w14:textId="77777777" w:rsidR="00DD3D22" w:rsidRPr="00070ADE" w:rsidRDefault="00DD3D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19 мая 1944 закончились заводские испытания «Ил-1 № 1 АМ-42 с винтом АВ-5л-24 диаметром 3.6 метра», которые шли с 19 апреля 1944. В КБ рассчитывали получить дополнительные материалы для доработок Ил-10 и мотора. Ведущим летчиком снова назначили В.К. Коккинаки, ведущим инженером – А.П. Виноградова, ведущим инженером по ВМГ стал В.В. Семенов. Обслуживал самолет механик П.И. Милютин. За месяц испытаний был выполнен 21 полет общей продолжительностью 16 часов 6 минут. Помимо этого, на земле мотор дополнительно наработал 13 часов 54 минуты. Пустой самолет весил 4285 кг, нормальный взлетный вес Ил-1 – 5320 кг. Граница высотности мотора при 2350 оборотах в минуту составляла 3260 метров. На этой высоте самолет разгонялся до 580 км/ч, у земли максимальная скорость была 525 км/ч, на высоте 5 километров – 563 км/ч. Высоту в 1000 метров Ил-1 набирал за 1,6 минуты, 3000 – за 4,5 минуты. Потолок самолета был равен 8600 метрам, а забиралась машина на него более получаса. Дальность полета до полного выгорания топлива -1007 км. Генерал Коккинаки в целом дал самолету положительную летную оценку. Кабина Ил-1 по компоновке была сходна с кабиной Ил-2 и отличалась, по мнению летчика, только управлением заслонками водо- и маслорадиаторов при помощи электротумблеров. Рулил самолет «змейкой» из-за приподнятого носа, тормоза колес при этом были достаточно эффективны. В начале разбега хвост поднимался медленно и с увеличением скорости разгружался. Взлет – нормальный, особенностей при наборе высоты и в горизонтальном полете не было. Ил-1 был устойчив в путевом и поперечном направлениях, продольная устойчивость была чрезмерной, что увеличивало нагрузку на рули высоты. При максимальных скоростях самолет стремился к кабрированию и триммера руля высоты для снятия нагрузок не хватало, в то же время, при посадке из-за больших нагрузок на руль высоты ручка значительно не добиралась на себя при полностью выкрученном триммере. Поперечное управление также оценивалось как тяжелое, не смотря на уже «приподнятые» элероны. Вместе с тем, выполнение фигур высшего пилотажа было мягким и приятным. Выполнение иммельмана в течение 13-14 секунд давало набор высоты в 900 метров. Переворот Ил-1 выполнял с потерей 500-600 метров. Петля выполнялась на скорости 440-470 км/ч, вираж на скорости около 320 км/ч и высоте 1000 метров машина проделывала за 20 секунд. Все указанные эволюции требовали обязательного использования триммера руля высоты. Планировал Ил-1 нормально, на скорости порядка 200 км/ч, особенностей при этом не имел, самолет был устойчив, глиссада–крутая. Закрылки были эффективны, но Владимир Константиновичотмечал, чтоследовалоувеличить время их уборки, так как при существующем темпе уборки самолет давал приличную просадку, что могло представлять опасность при уходе на второй круг. При подходе к земле перед выравниванием отмечалось небольшое стремление к проваливанию, котороеисчезало припереходенабольшие углы Посадка в целом была аналогична посадке только что испытанного Ил-10, но со значительным недобором ручки на </w:t>
      </w:r>
      <w:r w:rsidRPr="00070ADE">
        <w:rPr>
          <w:rFonts w:ascii="Times New Roman" w:hAnsi="Times New Roman"/>
          <w:color w:val="000000" w:themeColor="text1"/>
          <w:sz w:val="16"/>
          <w:szCs w:val="16"/>
        </w:rPr>
        <w:lastRenderedPageBreak/>
        <w:t>себя, хвост при этом до конца не опускался и самолет садился на две точки, поэтому имелась тенденция к прыжкам при посадке. На пробеге Ил-1 был устойчив, тормоза эффективны, но из-за разгруженного хвоста в первой трети пробега интенсивное торможение не рекомендовалось во избежание капотирования. Температурный режим работы мотора на всех этапах полета находился в пределах допуска, но на верхней его границе. При давлении наддува от 500 до 850 мм ртутного столба отмечалась интенсивная тряска мотора, сопровождавшаяся дымлением, особенно правого блока цилиндров. При номинальном режиме работы двигателя величина давления наддува заметно «гуляла». Масло выбивало через уплотнения носка вала редуктора, из-под кожухов наклонных валиков, кожухов блоков и маслонасоса. На начальном этапе испытаний винт давал раскрутку на максимальных скоростях по высотам. Проблему далось решить увеличением диапазона углов установки лопастей до 25 град. Производственное исполнение самолета было весьма посредственным. В отчете, в частности, отмечалось, что законцовка левой консоли была задрана вверх, и в полете машина кренилась влево. Требовалась отладка металлизации и экранировки – радиостанция РСИ-4 работала плохо – мешали постоянный треск и шумы. Отсутствовали несколько анкерных гаек на щелевых лентах стабилизатора. На консолях и стабилизаторе был ослаблен ряд заклепок. Трубка Пито была установлена не по потоку и требовала замены. Некачественно были выполнены уплотнения ложементов радиаторов. Самолет был плохо зашпаклеван и окрашен. Достаточно большой перечень дефектов испытательная бригада отнесла к конструктивным недостаткам. В кабине стояла африканская жара – при температуре наружного воздуха в 20 градусов Цельсия пилоту приходилось работать при +54. Фонарь неудобно было открывать и закрывать изнутри. Заслонки водо- и маслорадиаторов имели упругий люфт до 30 мм, система управления при помощи электро-тумблеров оказалась неудачной. Стойки шасси убирались рывками, с раскачкой и несинхронно, а костыль при этом убирался намного дольше основных стоек. Недостаточно жесткими оказались обтекатели шасси. От ударов при уборке возникали перекосы, и стойки не всегда вставали на верхний замок. Внешние тормозные трубки упирались в профили куполов колес. Посадочные щитки тоже убирались толчками. Обзор задней полусферы В.К. Коккинаки посчитал недостаточным. Хотя в те годы понятие «эргономика» в обиходе отсутствовало, ряд отмеченных недостатков напрямую относился именно к этой научной дисциплине, причем, дело было не только в неудобстве работы, но некоторые конструктивные решения могли серьезно повлиять на уровень боеготовности. Например, подход ко внутренним свечам мотора оказался настолько труден, что для замены их комплекта в полевых условиях двум мотористам требовалось 12 часов! Размещение проводки и сборника конденсата компрессора АК-50 на левой стороне мотора почти полностью перекрывало подход к задним агрегатам, в том числе, к бензонасосу и масло помпе. Люк в хвостовой части фюзеляжа испытательная бригада рекомендовала перенести на левую сторону. В заключении к отчету по заводским испытаниям истребителя Ил-1 особо отмечалась его безопасность в прочностном отношении, мягкое и приятное выполнение всех фигур высшего пилотажа, а также устойчивость самолета по всем трем осям. С учетом повышенной теплоотдачи серийных двигателей АМ-42 рекомендовалось несколько снизить температурный режим мотора, особенно по маслу. Вместе с тем, с учетом избыточных нагрузок на рули высоты и элероны, а также высокую температуру в кабине, в заключении было сказано, что самолет требует некоторых переделок. На этом в истории бронированного истребителя Ил-1 была поставлена точка. Этот необычный самолет свою сверхзадачу выполнил и на государственные испытания не передавался (21005).</w:t>
      </w:r>
    </w:p>
    <w:p w14:paraId="5FBF99F7" w14:textId="77777777" w:rsidR="00DD3D22" w:rsidRPr="00070ADE" w:rsidRDefault="00DD3D22" w:rsidP="00B56F90">
      <w:pPr>
        <w:spacing w:after="0" w:line="240" w:lineRule="auto"/>
        <w:jc w:val="both"/>
        <w:rPr>
          <w:rFonts w:ascii="Times New Roman" w:hAnsi="Times New Roman"/>
          <w:color w:val="000000" w:themeColor="text1"/>
          <w:sz w:val="16"/>
          <w:szCs w:val="16"/>
        </w:rPr>
      </w:pPr>
    </w:p>
    <w:p w14:paraId="3F1AF8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года гл. конструктор завода N 289 Сухой писал письмо N 05/268с Шахурину.</w:t>
      </w:r>
    </w:p>
    <w:p w14:paraId="08B923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предстоящим решением о внедрении в серию самолета Ил8-АМ-42 считаю необходимым доложить следующее:</w:t>
      </w:r>
    </w:p>
    <w:p w14:paraId="41A3E2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Су-6-АМ42 на заводских испытаниях показал результаты значительно более высокие, чем данные самолета Ил-8.</w:t>
      </w:r>
    </w:p>
    <w:p w14:paraId="473B43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проведении гос. испытаний самолета Су-6 произошли задержки, вызванные 1) поломкой хвостовой части фюзеляжа при посадке, 2) ненормальной работой установленного на самолете экземпляра мотора Ам-42, который 15/V окончательно был снят с испытаний из-за богатой регулировки - регулировать беднее нельзя было из-за опасности загорания смеси во всасывающих трубах - и повышенного в 4-5 раз против нормы расхода масла. В данный момент государственные испытания приостановлены до получения с завода N 24 нового мотора АМ-42.</w:t>
      </w:r>
    </w:p>
    <w:p w14:paraId="479EA0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ненормальную работу мотора, НИИ ВВС удалось снять приведенные ниже скорости и подтвердить положительное мнение летчиков при прошлогодних гос. испытаниях об устойчивости, маневренности и усилиях на ручку. На взлете и посадке машина проста, не отличаясь в этом отношении от самолетов Ил.</w:t>
      </w:r>
    </w:p>
    <w:p w14:paraId="2B86EC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Сравнивание данных самолетов Ил-8 и Су-6 приведено в таблице: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6090"/>
      </w:tblGrid>
      <w:tr w:rsidR="004D4663" w:rsidRPr="00070ADE" w14:paraId="08C89591" w14:textId="77777777">
        <w:tc>
          <w:tcPr>
            <w:tcW w:w="2254" w:type="dxa"/>
          </w:tcPr>
          <w:p w14:paraId="722176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8BA38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Ил-8 АМ-42</w:t>
            </w:r>
          </w:p>
        </w:tc>
        <w:tc>
          <w:tcPr>
            <w:tcW w:w="6090" w:type="dxa"/>
          </w:tcPr>
          <w:p w14:paraId="6B286C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Су-6-АМ-42</w:t>
            </w:r>
          </w:p>
        </w:tc>
      </w:tr>
      <w:tr w:rsidR="004D4663" w:rsidRPr="00070ADE" w14:paraId="7D8FA976" w14:textId="77777777">
        <w:tc>
          <w:tcPr>
            <w:tcW w:w="2254" w:type="dxa"/>
          </w:tcPr>
          <w:p w14:paraId="121E87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у земли</w:t>
            </w:r>
          </w:p>
        </w:tc>
        <w:tc>
          <w:tcPr>
            <w:tcW w:w="2254" w:type="dxa"/>
          </w:tcPr>
          <w:p w14:paraId="38302A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428 км/час</w:t>
            </w:r>
          </w:p>
        </w:tc>
        <w:tc>
          <w:tcPr>
            <w:tcW w:w="6090" w:type="dxa"/>
          </w:tcPr>
          <w:p w14:paraId="2AE711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482 км/час по испытаниям</w:t>
            </w:r>
          </w:p>
        </w:tc>
      </w:tr>
      <w:tr w:rsidR="004D4663" w:rsidRPr="00070ADE" w14:paraId="5AC86ACD" w14:textId="77777777">
        <w:tc>
          <w:tcPr>
            <w:tcW w:w="2254" w:type="dxa"/>
          </w:tcPr>
          <w:p w14:paraId="0B6502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D24E6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4BA382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НИИ ВВС. По заводским</w:t>
            </w:r>
          </w:p>
        </w:tc>
      </w:tr>
      <w:tr w:rsidR="004D4663" w:rsidRPr="00070ADE" w14:paraId="5A4C6AE0" w14:textId="77777777">
        <w:tc>
          <w:tcPr>
            <w:tcW w:w="2254" w:type="dxa"/>
          </w:tcPr>
          <w:p w14:paraId="55B611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4DCF6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6BF2BD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испытаниям при удовлетворит.</w:t>
            </w:r>
          </w:p>
        </w:tc>
      </w:tr>
      <w:tr w:rsidR="004D4663" w:rsidRPr="00070ADE" w14:paraId="768AE78D" w14:textId="77777777">
        <w:tc>
          <w:tcPr>
            <w:tcW w:w="2254" w:type="dxa"/>
          </w:tcPr>
          <w:p w14:paraId="40ACFF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7D848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4F6F29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работавшем моторе - 490 км/час</w:t>
            </w:r>
          </w:p>
        </w:tc>
      </w:tr>
      <w:tr w:rsidR="004D4663" w:rsidRPr="00070ADE" w14:paraId="7F2A30E4" w14:textId="77777777">
        <w:tc>
          <w:tcPr>
            <w:tcW w:w="2254" w:type="dxa"/>
          </w:tcPr>
          <w:p w14:paraId="49E20E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высоте</w:t>
            </w:r>
          </w:p>
        </w:tc>
        <w:tc>
          <w:tcPr>
            <w:tcW w:w="2254" w:type="dxa"/>
          </w:tcPr>
          <w:p w14:paraId="004E3F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472 км/час на 2500 м</w:t>
            </w:r>
          </w:p>
        </w:tc>
        <w:tc>
          <w:tcPr>
            <w:tcW w:w="6090" w:type="dxa"/>
          </w:tcPr>
          <w:p w14:paraId="54F968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523 км/час на 2800 м</w:t>
            </w:r>
          </w:p>
        </w:tc>
      </w:tr>
      <w:tr w:rsidR="004D4663" w:rsidRPr="00070ADE" w14:paraId="47462037" w14:textId="77777777">
        <w:tc>
          <w:tcPr>
            <w:tcW w:w="2254" w:type="dxa"/>
          </w:tcPr>
          <w:p w14:paraId="10A28C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на высоте</w:t>
            </w:r>
          </w:p>
        </w:tc>
        <w:tc>
          <w:tcPr>
            <w:tcW w:w="2254" w:type="dxa"/>
          </w:tcPr>
          <w:p w14:paraId="47030C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990 км/308 км/час</w:t>
            </w:r>
          </w:p>
        </w:tc>
        <w:tc>
          <w:tcPr>
            <w:tcW w:w="6090" w:type="dxa"/>
          </w:tcPr>
          <w:p w14:paraId="5AF6C0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850 км/340 км/час</w:t>
            </w:r>
          </w:p>
        </w:tc>
      </w:tr>
      <w:tr w:rsidR="004D4663" w:rsidRPr="00070ADE" w14:paraId="3CB532E8" w14:textId="77777777">
        <w:tc>
          <w:tcPr>
            <w:tcW w:w="2254" w:type="dxa"/>
          </w:tcPr>
          <w:p w14:paraId="684EB7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 м при скорости</w:t>
            </w:r>
          </w:p>
        </w:tc>
        <w:tc>
          <w:tcPr>
            <w:tcW w:w="2254" w:type="dxa"/>
          </w:tcPr>
          <w:p w14:paraId="2EF1A4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074D54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92EBC8F" w14:textId="77777777">
        <w:tc>
          <w:tcPr>
            <w:tcW w:w="2254" w:type="dxa"/>
          </w:tcPr>
          <w:p w14:paraId="0E6EB6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Стрелковое вооружение</w:t>
            </w:r>
          </w:p>
        </w:tc>
        <w:tc>
          <w:tcPr>
            <w:tcW w:w="2254" w:type="dxa"/>
          </w:tcPr>
          <w:p w14:paraId="485C9D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пушки В.Я. кал. 32 мм</w:t>
            </w:r>
          </w:p>
        </w:tc>
        <w:tc>
          <w:tcPr>
            <w:tcW w:w="6090" w:type="dxa"/>
          </w:tcPr>
          <w:p w14:paraId="240C5B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пушки ОКБ-16 кал. 37 мм</w:t>
            </w:r>
          </w:p>
        </w:tc>
      </w:tr>
      <w:tr w:rsidR="004D4663" w:rsidRPr="00070ADE" w14:paraId="57E46C05" w14:textId="77777777">
        <w:tc>
          <w:tcPr>
            <w:tcW w:w="2254" w:type="dxa"/>
          </w:tcPr>
          <w:p w14:paraId="610475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31492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пулемета ШКАС</w:t>
            </w:r>
          </w:p>
        </w:tc>
        <w:tc>
          <w:tcPr>
            <w:tcW w:w="6090" w:type="dxa"/>
          </w:tcPr>
          <w:p w14:paraId="474C5E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пулемета ШКАС</w:t>
            </w:r>
          </w:p>
        </w:tc>
      </w:tr>
      <w:tr w:rsidR="004D4663" w:rsidRPr="00070ADE" w14:paraId="1689A544" w14:textId="77777777">
        <w:tc>
          <w:tcPr>
            <w:tcW w:w="2254" w:type="dxa"/>
          </w:tcPr>
          <w:p w14:paraId="7110EC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Нормальная бомбовая</w:t>
            </w:r>
          </w:p>
        </w:tc>
        <w:tc>
          <w:tcPr>
            <w:tcW w:w="2254" w:type="dxa"/>
          </w:tcPr>
          <w:p w14:paraId="314B38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 кг</w:t>
            </w:r>
          </w:p>
        </w:tc>
        <w:tc>
          <w:tcPr>
            <w:tcW w:w="6090" w:type="dxa"/>
          </w:tcPr>
          <w:p w14:paraId="2DBF14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 кг ( при замене пушек</w:t>
            </w:r>
          </w:p>
        </w:tc>
      </w:tr>
      <w:tr w:rsidR="004D4663" w:rsidRPr="00070ADE" w14:paraId="41AA6AA0" w14:textId="77777777">
        <w:tc>
          <w:tcPr>
            <w:tcW w:w="2254" w:type="dxa"/>
          </w:tcPr>
          <w:p w14:paraId="3995E8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нагрузка</w:t>
            </w:r>
          </w:p>
        </w:tc>
        <w:tc>
          <w:tcPr>
            <w:tcW w:w="2254" w:type="dxa"/>
          </w:tcPr>
          <w:p w14:paraId="471135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7A3E43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 мм на пушки В.Я. кал.</w:t>
            </w:r>
          </w:p>
        </w:tc>
      </w:tr>
      <w:tr w:rsidR="004D4663" w:rsidRPr="00070ADE" w14:paraId="1DA77671" w14:textId="77777777">
        <w:tc>
          <w:tcPr>
            <w:tcW w:w="2254" w:type="dxa"/>
          </w:tcPr>
          <w:p w14:paraId="41C946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19251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4559B5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мм бомбовая нагрузка</w:t>
            </w:r>
          </w:p>
        </w:tc>
      </w:tr>
      <w:tr w:rsidR="004D4663" w:rsidRPr="00070ADE" w14:paraId="42803FF8" w14:textId="77777777">
        <w:tc>
          <w:tcPr>
            <w:tcW w:w="2254" w:type="dxa"/>
          </w:tcPr>
          <w:p w14:paraId="3C7784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01486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90" w:type="dxa"/>
          </w:tcPr>
          <w:p w14:paraId="3E78FC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равна 600 кг)</w:t>
            </w:r>
          </w:p>
        </w:tc>
      </w:tr>
      <w:tr w:rsidR="004D4663" w:rsidRPr="00070ADE" w14:paraId="25D7CDCA" w14:textId="77777777">
        <w:tc>
          <w:tcPr>
            <w:tcW w:w="2254" w:type="dxa"/>
          </w:tcPr>
          <w:p w14:paraId="4D22EF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Полный вес самолета</w:t>
            </w:r>
          </w:p>
        </w:tc>
        <w:tc>
          <w:tcPr>
            <w:tcW w:w="2254" w:type="dxa"/>
          </w:tcPr>
          <w:p w14:paraId="504FA1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7260 кг</w:t>
            </w:r>
          </w:p>
        </w:tc>
        <w:tc>
          <w:tcPr>
            <w:tcW w:w="6090" w:type="dxa"/>
          </w:tcPr>
          <w:p w14:paraId="19F34C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6200 кг</w:t>
            </w:r>
          </w:p>
        </w:tc>
      </w:tr>
    </w:tbl>
    <w:p w14:paraId="62FE97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самолет Су-6, уступая несколько в дальности, имеет при равном вооружении значительно большую скорость, чем самолет Ил-8.</w:t>
      </w:r>
    </w:p>
    <w:p w14:paraId="5C0B95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задержкой представления акта НИИ ВВС о гос. испытаниях самолета Су-6 из-за отсутствия мотора, прошу вашего указания учесть приведенные данные при решении вопроса о внедрении в серию нового образца штурмовика взамен Ил-2 (2562,65).</w:t>
      </w:r>
    </w:p>
    <w:p w14:paraId="436FD7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AB3B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года Павел Осипо</w:t>
      </w:r>
      <w:r w:rsidRPr="00070ADE">
        <w:rPr>
          <w:rFonts w:ascii="Times New Roman" w:hAnsi="Times New Roman"/>
          <w:color w:val="000000" w:themeColor="text1"/>
          <w:sz w:val="16"/>
          <w:szCs w:val="16"/>
        </w:rPr>
        <w:softHyphen/>
        <w:t>вич доложил А.И.Шахурину, что: «Самолет Су-6 АМ-42 на заводс</w:t>
      </w:r>
      <w:r w:rsidRPr="00070ADE">
        <w:rPr>
          <w:rFonts w:ascii="Times New Roman" w:hAnsi="Times New Roman"/>
          <w:color w:val="000000" w:themeColor="text1"/>
          <w:sz w:val="16"/>
          <w:szCs w:val="16"/>
        </w:rPr>
        <w:softHyphen/>
        <w:t>ких испытаниях показал результаты значительно более высокие, чем данные самолета Ил-8.</w:t>
      </w:r>
    </w:p>
    <w:p w14:paraId="2806C9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проведении государствен</w:t>
      </w:r>
      <w:r w:rsidRPr="00070ADE">
        <w:rPr>
          <w:rFonts w:ascii="Times New Roman" w:hAnsi="Times New Roman"/>
          <w:color w:val="000000" w:themeColor="text1"/>
          <w:sz w:val="16"/>
          <w:szCs w:val="16"/>
        </w:rPr>
        <w:softHyphen/>
        <w:t>ных испытаний самолета Су-6 про</w:t>
      </w:r>
      <w:r w:rsidRPr="00070ADE">
        <w:rPr>
          <w:rFonts w:ascii="Times New Roman" w:hAnsi="Times New Roman"/>
          <w:color w:val="000000" w:themeColor="text1"/>
          <w:sz w:val="16"/>
          <w:szCs w:val="16"/>
        </w:rPr>
        <w:softHyphen/>
        <w:t>изошли задержки, вызванные: 1) по</w:t>
      </w:r>
      <w:r w:rsidRPr="00070ADE">
        <w:rPr>
          <w:rFonts w:ascii="Times New Roman" w:hAnsi="Times New Roman"/>
          <w:color w:val="000000" w:themeColor="text1"/>
          <w:sz w:val="16"/>
          <w:szCs w:val="16"/>
        </w:rPr>
        <w:softHyphen/>
        <w:t>ломкой хвостовой части фюзеляжа при посадке; 2) ненормальной работой установленного на самоле</w:t>
      </w:r>
      <w:r w:rsidRPr="00070ADE">
        <w:rPr>
          <w:rFonts w:ascii="Times New Roman" w:hAnsi="Times New Roman"/>
          <w:color w:val="000000" w:themeColor="text1"/>
          <w:sz w:val="16"/>
          <w:szCs w:val="16"/>
        </w:rPr>
        <w:softHyphen/>
        <w:t>те экземпляра мотора АМ-42, кото</w:t>
      </w:r>
      <w:r w:rsidRPr="00070ADE">
        <w:rPr>
          <w:rFonts w:ascii="Times New Roman" w:hAnsi="Times New Roman"/>
          <w:color w:val="000000" w:themeColor="text1"/>
          <w:sz w:val="16"/>
          <w:szCs w:val="16"/>
        </w:rPr>
        <w:softHyphen/>
        <w:t>рый 15/У окончательно был снят с испытаний из-за богатой регулиров</w:t>
      </w:r>
      <w:r w:rsidRPr="00070ADE">
        <w:rPr>
          <w:rFonts w:ascii="Times New Roman" w:hAnsi="Times New Roman"/>
          <w:color w:val="000000" w:themeColor="text1"/>
          <w:sz w:val="16"/>
          <w:szCs w:val="16"/>
        </w:rPr>
        <w:softHyphen/>
        <w:t>ки - регулировать беднее нельзя было из-за опасности загорания смеси во всасывающих патрубках - и повышенного в 4-5 раз против нормы расхода масла. В данный момент государственные испытания приостановлены до получения с за</w:t>
      </w:r>
      <w:r w:rsidRPr="00070ADE">
        <w:rPr>
          <w:rFonts w:ascii="Times New Roman" w:hAnsi="Times New Roman"/>
          <w:color w:val="000000" w:themeColor="text1"/>
          <w:sz w:val="16"/>
          <w:szCs w:val="16"/>
        </w:rPr>
        <w:softHyphen/>
        <w:t>вода №24 нового мотора АМ-42.</w:t>
      </w:r>
    </w:p>
    <w:p w14:paraId="2764A6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ненормальную ра</w:t>
      </w:r>
      <w:r w:rsidRPr="00070ADE">
        <w:rPr>
          <w:rFonts w:ascii="Times New Roman" w:hAnsi="Times New Roman"/>
          <w:color w:val="000000" w:themeColor="text1"/>
          <w:sz w:val="16"/>
          <w:szCs w:val="16"/>
        </w:rPr>
        <w:softHyphen/>
        <w:t>боту мотора, НИИ ВВС удалось снять приведенные ниже скорости и подтвердить положительное мне</w:t>
      </w:r>
      <w:r w:rsidRPr="00070ADE">
        <w:rPr>
          <w:rFonts w:ascii="Times New Roman" w:hAnsi="Times New Roman"/>
          <w:color w:val="000000" w:themeColor="text1"/>
          <w:sz w:val="16"/>
          <w:szCs w:val="16"/>
        </w:rPr>
        <w:softHyphen/>
        <w:t>ние летчиков при прошлогодних государственных испытаниях об устойчивости, маневренности и усилиях на ручку. На взлете и по</w:t>
      </w:r>
      <w:r w:rsidRPr="00070ADE">
        <w:rPr>
          <w:rFonts w:ascii="Times New Roman" w:hAnsi="Times New Roman"/>
          <w:color w:val="000000" w:themeColor="text1"/>
          <w:sz w:val="16"/>
          <w:szCs w:val="16"/>
        </w:rPr>
        <w:softHyphen/>
        <w:t>садке машина проста, не отлича</w:t>
      </w:r>
      <w:r w:rsidRPr="00070ADE">
        <w:rPr>
          <w:rFonts w:ascii="Times New Roman" w:hAnsi="Times New Roman"/>
          <w:color w:val="000000" w:themeColor="text1"/>
          <w:sz w:val="16"/>
          <w:szCs w:val="16"/>
        </w:rPr>
        <w:softHyphen/>
        <w:t>ясь в этом отношении от самоле</w:t>
      </w:r>
      <w:r w:rsidRPr="00070ADE">
        <w:rPr>
          <w:rFonts w:ascii="Times New Roman" w:hAnsi="Times New Roman"/>
          <w:color w:val="000000" w:themeColor="text1"/>
          <w:sz w:val="16"/>
          <w:szCs w:val="16"/>
        </w:rPr>
        <w:softHyphen/>
        <w:t>тов Ил.</w:t>
      </w:r>
    </w:p>
    <w:p w14:paraId="5B5534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Сравнение данных самолетов Ил-8 и Су-6 приведено в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4D4663" w:rsidRPr="00070ADE" w14:paraId="08CDED0A" w14:textId="77777777">
        <w:tc>
          <w:tcPr>
            <w:tcW w:w="3736" w:type="dxa"/>
            <w:tcBorders>
              <w:top w:val="single" w:sz="12" w:space="0" w:color="auto"/>
            </w:tcBorders>
            <w:shd w:val="clear" w:color="auto" w:fill="FFFFFF"/>
          </w:tcPr>
          <w:p w14:paraId="6ECED9B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w:t>
            </w:r>
          </w:p>
        </w:tc>
        <w:tc>
          <w:tcPr>
            <w:tcW w:w="3736" w:type="dxa"/>
            <w:tcBorders>
              <w:top w:val="single" w:sz="12" w:space="0" w:color="auto"/>
            </w:tcBorders>
            <w:shd w:val="clear" w:color="auto" w:fill="FFFFFF"/>
          </w:tcPr>
          <w:p w14:paraId="108269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Ил-8</w:t>
            </w:r>
          </w:p>
        </w:tc>
        <w:tc>
          <w:tcPr>
            <w:tcW w:w="3736" w:type="dxa"/>
            <w:tcBorders>
              <w:top w:val="single" w:sz="12" w:space="0" w:color="auto"/>
            </w:tcBorders>
            <w:shd w:val="clear" w:color="auto" w:fill="FFFFFF"/>
          </w:tcPr>
          <w:p w14:paraId="76251C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Су-6</w:t>
            </w:r>
          </w:p>
        </w:tc>
      </w:tr>
      <w:tr w:rsidR="004D4663" w:rsidRPr="00070ADE" w14:paraId="277AC8D0" w14:textId="77777777">
        <w:tc>
          <w:tcPr>
            <w:tcW w:w="3736" w:type="dxa"/>
            <w:shd w:val="clear" w:color="auto" w:fill="FFFFFF"/>
          </w:tcPr>
          <w:p w14:paraId="5F0B5E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АМ-42</w:t>
            </w:r>
          </w:p>
        </w:tc>
        <w:tc>
          <w:tcPr>
            <w:tcW w:w="3736" w:type="dxa"/>
            <w:shd w:val="clear" w:color="auto" w:fill="FFFFFF"/>
          </w:tcPr>
          <w:p w14:paraId="522580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АМ-42</w:t>
            </w:r>
          </w:p>
        </w:tc>
        <w:tc>
          <w:tcPr>
            <w:tcW w:w="3736" w:type="dxa"/>
            <w:shd w:val="clear" w:color="auto" w:fill="FFFFFF"/>
          </w:tcPr>
          <w:p w14:paraId="03CB409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B0C2D40" w14:textId="77777777">
        <w:tc>
          <w:tcPr>
            <w:tcW w:w="3736" w:type="dxa"/>
            <w:shd w:val="clear" w:color="auto" w:fill="FFFFFF"/>
          </w:tcPr>
          <w:p w14:paraId="2C769E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у земли, км/ч</w:t>
            </w:r>
          </w:p>
        </w:tc>
        <w:tc>
          <w:tcPr>
            <w:tcW w:w="3736" w:type="dxa"/>
            <w:shd w:val="clear" w:color="auto" w:fill="FFFFFF"/>
          </w:tcPr>
          <w:p w14:paraId="5D9CB4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428</w:t>
            </w:r>
          </w:p>
        </w:tc>
        <w:tc>
          <w:tcPr>
            <w:tcW w:w="3736" w:type="dxa"/>
            <w:shd w:val="clear" w:color="auto" w:fill="FFFFFF"/>
          </w:tcPr>
          <w:p w14:paraId="5FC45C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482</w:t>
            </w:r>
          </w:p>
        </w:tc>
      </w:tr>
      <w:tr w:rsidR="004D4663" w:rsidRPr="00070ADE" w14:paraId="0137234A" w14:textId="77777777">
        <w:tc>
          <w:tcPr>
            <w:tcW w:w="3736" w:type="dxa"/>
            <w:shd w:val="clear" w:color="auto" w:fill="FFFFFF"/>
          </w:tcPr>
          <w:p w14:paraId="6D30B1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высоте, км/ч</w:t>
            </w:r>
          </w:p>
        </w:tc>
        <w:tc>
          <w:tcPr>
            <w:tcW w:w="3736" w:type="dxa"/>
            <w:shd w:val="clear" w:color="auto" w:fill="FFFFFF"/>
          </w:tcPr>
          <w:p w14:paraId="0016D0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472</w:t>
            </w:r>
          </w:p>
        </w:tc>
        <w:tc>
          <w:tcPr>
            <w:tcW w:w="3736" w:type="dxa"/>
            <w:shd w:val="clear" w:color="auto" w:fill="FFFFFF"/>
          </w:tcPr>
          <w:p w14:paraId="064787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523</w:t>
            </w:r>
          </w:p>
        </w:tc>
      </w:tr>
      <w:tr w:rsidR="004D4663" w:rsidRPr="00070ADE" w14:paraId="7752DE65" w14:textId="77777777">
        <w:tc>
          <w:tcPr>
            <w:tcW w:w="3736" w:type="dxa"/>
            <w:shd w:val="clear" w:color="auto" w:fill="FFFFFF"/>
          </w:tcPr>
          <w:p w14:paraId="3B517CE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 м</w:t>
            </w:r>
          </w:p>
        </w:tc>
        <w:tc>
          <w:tcPr>
            <w:tcW w:w="3736" w:type="dxa"/>
            <w:shd w:val="clear" w:color="auto" w:fill="FFFFFF"/>
          </w:tcPr>
          <w:p w14:paraId="4030B7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2500</w:t>
            </w:r>
          </w:p>
        </w:tc>
        <w:tc>
          <w:tcPr>
            <w:tcW w:w="3736" w:type="dxa"/>
            <w:shd w:val="clear" w:color="auto" w:fill="FFFFFF"/>
          </w:tcPr>
          <w:p w14:paraId="2808DE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2800</w:t>
            </w:r>
          </w:p>
        </w:tc>
      </w:tr>
      <w:tr w:rsidR="004D4663" w:rsidRPr="00070ADE" w14:paraId="4D53AA8D" w14:textId="77777777">
        <w:tc>
          <w:tcPr>
            <w:tcW w:w="3736" w:type="dxa"/>
            <w:shd w:val="clear" w:color="auto" w:fill="FFFFFF"/>
          </w:tcPr>
          <w:p w14:paraId="412AC33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на высоте 1000 м, км</w:t>
            </w:r>
          </w:p>
        </w:tc>
        <w:tc>
          <w:tcPr>
            <w:tcW w:w="3736" w:type="dxa"/>
            <w:shd w:val="clear" w:color="auto" w:fill="FFFFFF"/>
          </w:tcPr>
          <w:p w14:paraId="208F54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990</w:t>
            </w:r>
          </w:p>
        </w:tc>
        <w:tc>
          <w:tcPr>
            <w:tcW w:w="3736" w:type="dxa"/>
            <w:shd w:val="clear" w:color="auto" w:fill="FFFFFF"/>
          </w:tcPr>
          <w:p w14:paraId="35B3C9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850</w:t>
            </w:r>
          </w:p>
        </w:tc>
      </w:tr>
      <w:tr w:rsidR="004D4663" w:rsidRPr="00070ADE" w14:paraId="385EBD31" w14:textId="77777777">
        <w:tc>
          <w:tcPr>
            <w:tcW w:w="3736" w:type="dxa"/>
            <w:shd w:val="clear" w:color="auto" w:fill="FFFFFF"/>
          </w:tcPr>
          <w:p w14:paraId="1DC2D4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скорости, км/ч</w:t>
            </w:r>
          </w:p>
        </w:tc>
        <w:tc>
          <w:tcPr>
            <w:tcW w:w="3736" w:type="dxa"/>
            <w:shd w:val="clear" w:color="auto" w:fill="FFFFFF"/>
          </w:tcPr>
          <w:p w14:paraId="566B17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308</w:t>
            </w:r>
          </w:p>
        </w:tc>
        <w:tc>
          <w:tcPr>
            <w:tcW w:w="3736" w:type="dxa"/>
            <w:shd w:val="clear" w:color="auto" w:fill="FFFFFF"/>
          </w:tcPr>
          <w:p w14:paraId="6570EDC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340</w:t>
            </w:r>
          </w:p>
        </w:tc>
      </w:tr>
      <w:tr w:rsidR="004D4663" w:rsidRPr="00070ADE" w14:paraId="6DAAC057" w14:textId="77777777">
        <w:tc>
          <w:tcPr>
            <w:tcW w:w="3736" w:type="dxa"/>
            <w:shd w:val="clear" w:color="auto" w:fill="FFFFFF"/>
          </w:tcPr>
          <w:p w14:paraId="258CC8B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Стрелковое вооружение</w:t>
            </w:r>
          </w:p>
        </w:tc>
        <w:tc>
          <w:tcPr>
            <w:tcW w:w="3736" w:type="dxa"/>
            <w:shd w:val="clear" w:color="auto" w:fill="FFFFFF"/>
          </w:tcPr>
          <w:p w14:paraId="24FD962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2x23 мм</w:t>
            </w:r>
          </w:p>
        </w:tc>
        <w:tc>
          <w:tcPr>
            <w:tcW w:w="3736" w:type="dxa"/>
            <w:shd w:val="clear" w:color="auto" w:fill="FFFFFF"/>
          </w:tcPr>
          <w:p w14:paraId="2F766FC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2x37 мм</w:t>
            </w:r>
          </w:p>
        </w:tc>
      </w:tr>
      <w:tr w:rsidR="004D4663" w:rsidRPr="00070ADE" w14:paraId="6854483C" w14:textId="77777777">
        <w:tc>
          <w:tcPr>
            <w:tcW w:w="3736" w:type="dxa"/>
            <w:shd w:val="clear" w:color="auto" w:fill="FFFFFF"/>
          </w:tcPr>
          <w:p w14:paraId="4AA1B9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shd w:val="clear" w:color="auto" w:fill="FFFFFF"/>
          </w:tcPr>
          <w:p w14:paraId="395258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ВЯ</w:t>
            </w:r>
          </w:p>
        </w:tc>
        <w:tc>
          <w:tcPr>
            <w:tcW w:w="3736" w:type="dxa"/>
            <w:shd w:val="clear" w:color="auto" w:fill="FFFFFF"/>
          </w:tcPr>
          <w:p w14:paraId="270E3D5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ОКБ-16</w:t>
            </w:r>
          </w:p>
        </w:tc>
      </w:tr>
      <w:tr w:rsidR="004D4663" w:rsidRPr="00070ADE" w14:paraId="3E93AE3A" w14:textId="77777777">
        <w:tc>
          <w:tcPr>
            <w:tcW w:w="3736" w:type="dxa"/>
            <w:shd w:val="clear" w:color="auto" w:fill="FFFFFF"/>
          </w:tcPr>
          <w:p w14:paraId="04641BE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shd w:val="clear" w:color="auto" w:fill="FFFFFF"/>
          </w:tcPr>
          <w:p w14:paraId="0F8E91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2ШКАС</w:t>
            </w:r>
          </w:p>
        </w:tc>
        <w:tc>
          <w:tcPr>
            <w:tcW w:w="3736" w:type="dxa"/>
            <w:shd w:val="clear" w:color="auto" w:fill="FFFFFF"/>
          </w:tcPr>
          <w:p w14:paraId="6B628B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2ШКАС</w:t>
            </w:r>
          </w:p>
        </w:tc>
      </w:tr>
      <w:tr w:rsidR="004D4663" w:rsidRPr="00070ADE" w14:paraId="0BE96AFE" w14:textId="77777777">
        <w:tc>
          <w:tcPr>
            <w:tcW w:w="3736" w:type="dxa"/>
            <w:shd w:val="clear" w:color="auto" w:fill="FFFFFF"/>
          </w:tcPr>
          <w:p w14:paraId="428FC1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Нормальная бомбовая нагрузка, кг</w:t>
            </w:r>
          </w:p>
        </w:tc>
        <w:tc>
          <w:tcPr>
            <w:tcW w:w="3736" w:type="dxa"/>
            <w:shd w:val="clear" w:color="auto" w:fill="FFFFFF"/>
          </w:tcPr>
          <w:p w14:paraId="2010BA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tc>
        <w:tc>
          <w:tcPr>
            <w:tcW w:w="3736" w:type="dxa"/>
            <w:shd w:val="clear" w:color="auto" w:fill="FFFFFF"/>
          </w:tcPr>
          <w:p w14:paraId="3CCFD3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tc>
      </w:tr>
      <w:tr w:rsidR="004D4663" w:rsidRPr="00070ADE" w14:paraId="0C9E5C72" w14:textId="77777777">
        <w:tc>
          <w:tcPr>
            <w:tcW w:w="3736" w:type="dxa"/>
            <w:tcBorders>
              <w:bottom w:val="single" w:sz="12" w:space="0" w:color="auto"/>
            </w:tcBorders>
            <w:shd w:val="clear" w:color="auto" w:fill="FFFFFF"/>
          </w:tcPr>
          <w:p w14:paraId="14BA53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 самолета, кг</w:t>
            </w:r>
          </w:p>
        </w:tc>
        <w:tc>
          <w:tcPr>
            <w:tcW w:w="3736" w:type="dxa"/>
            <w:tcBorders>
              <w:bottom w:val="single" w:sz="12" w:space="0" w:color="auto"/>
            </w:tcBorders>
            <w:shd w:val="clear" w:color="auto" w:fill="FFFFFF"/>
          </w:tcPr>
          <w:p w14:paraId="4B1251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7260</w:t>
            </w:r>
          </w:p>
        </w:tc>
        <w:tc>
          <w:tcPr>
            <w:tcW w:w="3736" w:type="dxa"/>
            <w:tcBorders>
              <w:bottom w:val="single" w:sz="12" w:space="0" w:color="auto"/>
            </w:tcBorders>
            <w:shd w:val="clear" w:color="auto" w:fill="FFFFFF"/>
          </w:tcPr>
          <w:p w14:paraId="18C9B1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6200</w:t>
            </w:r>
          </w:p>
        </w:tc>
      </w:tr>
    </w:tbl>
    <w:p w14:paraId="324D402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при замене пушек 37 мм на пушки ВЯ кал.23 мм бомбовая нагрузка равна 600 кг</w:t>
      </w:r>
    </w:p>
    <w:p w14:paraId="58A20D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самолет Су-6, уступая несколько в дальности, име</w:t>
      </w:r>
      <w:r w:rsidRPr="00070ADE">
        <w:rPr>
          <w:rFonts w:ascii="Times New Roman" w:hAnsi="Times New Roman"/>
          <w:color w:val="000000" w:themeColor="text1"/>
          <w:sz w:val="16"/>
          <w:szCs w:val="16"/>
        </w:rPr>
        <w:softHyphen/>
        <w:t>ет при равном вооружении значи</w:t>
      </w:r>
      <w:r w:rsidRPr="00070ADE">
        <w:rPr>
          <w:rFonts w:ascii="Times New Roman" w:hAnsi="Times New Roman"/>
          <w:color w:val="000000" w:themeColor="text1"/>
          <w:sz w:val="16"/>
          <w:szCs w:val="16"/>
        </w:rPr>
        <w:softHyphen/>
        <w:t>тельно большую скорость, чем са</w:t>
      </w:r>
      <w:r w:rsidRPr="00070ADE">
        <w:rPr>
          <w:rFonts w:ascii="Times New Roman" w:hAnsi="Times New Roman"/>
          <w:color w:val="000000" w:themeColor="text1"/>
          <w:sz w:val="16"/>
          <w:szCs w:val="16"/>
        </w:rPr>
        <w:softHyphen/>
        <w:t>молет Ил-8.</w:t>
      </w:r>
    </w:p>
    <w:p w14:paraId="5BDD73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задержкой представ</w:t>
      </w:r>
      <w:r w:rsidRPr="00070ADE">
        <w:rPr>
          <w:rFonts w:ascii="Times New Roman" w:hAnsi="Times New Roman"/>
          <w:color w:val="000000" w:themeColor="text1"/>
          <w:sz w:val="16"/>
          <w:szCs w:val="16"/>
        </w:rPr>
        <w:softHyphen/>
        <w:t>ления акта НИИ ВВС о государ</w:t>
      </w:r>
      <w:r w:rsidRPr="00070ADE">
        <w:rPr>
          <w:rFonts w:ascii="Times New Roman" w:hAnsi="Times New Roman"/>
          <w:color w:val="000000" w:themeColor="text1"/>
          <w:sz w:val="16"/>
          <w:szCs w:val="16"/>
        </w:rPr>
        <w:softHyphen/>
        <w:t>ственных испытаниях самолета Су-6 из-за отсутствия мотора, прошу Вашего указания учесть приведен</w:t>
      </w:r>
      <w:r w:rsidRPr="00070ADE">
        <w:rPr>
          <w:rFonts w:ascii="Times New Roman" w:hAnsi="Times New Roman"/>
          <w:color w:val="000000" w:themeColor="text1"/>
          <w:sz w:val="16"/>
          <w:szCs w:val="16"/>
        </w:rPr>
        <w:softHyphen/>
        <w:t>ные данные при решении вопроса о внедрении в серию нового об</w:t>
      </w:r>
      <w:r w:rsidRPr="00070ADE">
        <w:rPr>
          <w:rFonts w:ascii="Times New Roman" w:hAnsi="Times New Roman"/>
          <w:color w:val="000000" w:themeColor="text1"/>
          <w:sz w:val="16"/>
          <w:szCs w:val="16"/>
        </w:rPr>
        <w:softHyphen/>
        <w:t>разца штурмовика взамен Ил-2» (11845).</w:t>
      </w:r>
    </w:p>
    <w:p w14:paraId="59A462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626A31" w14:textId="77777777" w:rsidR="00FE6F00" w:rsidRPr="00070ADE" w:rsidRDefault="00FE6F00"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19 мая 1944 г. П. О. Сухой направил письмо в адрес А. И. Шахурина, в котором просил учесть предварительные результаты испытаний самолета Су-6 АМ-42.</w:t>
      </w:r>
    </w:p>
    <w:p w14:paraId="6490900C" w14:textId="77777777" w:rsidR="00FE6F00" w:rsidRPr="00070ADE" w:rsidRDefault="00FE6F00"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Он отмечал, что летчики ГК НИИ ВВС КА дали положительное заключение об устойчивости и управляемости самолета Су-6, а также о простоте посадки.</w:t>
      </w:r>
    </w:p>
    <w:p w14:paraId="18F309AF" w14:textId="77777777" w:rsidR="00FE6F00" w:rsidRPr="00070ADE" w:rsidRDefault="00FE6F00"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Сухой привел сравнение летных данных самолетов Ил-8 АМ-42 и Су-6 АМ-42 по результатам испытаний.</w:t>
      </w:r>
    </w:p>
    <w:p w14:paraId="3EC73293" w14:textId="48E67AEB" w:rsidR="00FE6F00" w:rsidRPr="00070ADE" w:rsidRDefault="00FE6F00" w:rsidP="00B56F90">
      <w:pPr>
        <w:pStyle w:val="ae"/>
        <w:shd w:val="clear" w:color="auto" w:fill="FFFFFF"/>
        <w:spacing w:before="0" w:after="0"/>
        <w:jc w:val="both"/>
        <w:textAlignment w:val="baseline"/>
        <w:rPr>
          <w:color w:val="000000" w:themeColor="text1"/>
          <w:sz w:val="16"/>
          <w:szCs w:val="16"/>
        </w:rPr>
      </w:pPr>
      <w:r w:rsidRPr="00070ADE">
        <w:rPr>
          <w:rStyle w:val="af0"/>
          <w:i w:val="0"/>
          <w:color w:val="000000" w:themeColor="text1"/>
          <w:sz w:val="16"/>
          <w:szCs w:val="16"/>
          <w:bdr w:val="none" w:sz="0" w:space="0" w:color="auto" w:frame="1"/>
        </w:rPr>
        <w:t>«… Самолет Су-6 уступая несколько в дальности, имеет при равном вооружении значительно большую скорость, чем самолет Ил-8»,</w:t>
      </w:r>
      <w:r w:rsidR="00B643A8" w:rsidRPr="00070ADE">
        <w:rPr>
          <w:rStyle w:val="af0"/>
          <w:i w:val="0"/>
          <w:color w:val="000000" w:themeColor="text1"/>
          <w:sz w:val="16"/>
          <w:szCs w:val="16"/>
          <w:bdr w:val="none" w:sz="0" w:space="0" w:color="auto" w:frame="1"/>
        </w:rPr>
        <w:t xml:space="preserve"> </w:t>
      </w:r>
      <w:r w:rsidRPr="00070ADE">
        <w:rPr>
          <w:color w:val="000000" w:themeColor="text1"/>
          <w:sz w:val="16"/>
          <w:szCs w:val="16"/>
        </w:rPr>
        <w:t>— писал Павел Осипович в письме.</w:t>
      </w:r>
      <w:r w:rsidR="00B643A8" w:rsidRPr="00070ADE">
        <w:rPr>
          <w:color w:val="000000" w:themeColor="text1"/>
          <w:sz w:val="16"/>
          <w:szCs w:val="16"/>
        </w:rPr>
        <w:t xml:space="preserve"> </w:t>
      </w:r>
      <w:r w:rsidRPr="00070ADE">
        <w:rPr>
          <w:rStyle w:val="af0"/>
          <w:i w:val="0"/>
          <w:color w:val="000000" w:themeColor="text1"/>
          <w:sz w:val="16"/>
          <w:szCs w:val="16"/>
          <w:bdr w:val="none" w:sz="0" w:space="0" w:color="auto" w:frame="1"/>
        </w:rPr>
        <w:t>«Су-6 испытывался в варианте с двумя пушками ОКБ-16 калибра 37 мм, двумя пулеметами ШКАС и 400 кг бомб. При замене пушек на ВЯ-23 бомбовая нагрузка составила 600 кг, также как и у Ил-8».</w:t>
      </w:r>
    </w:p>
    <w:p w14:paraId="7AEC0D7C" w14:textId="77777777" w:rsidR="00FE6F00" w:rsidRPr="00070ADE" w:rsidRDefault="00FE6F00"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Максимальная скорость полета Ил-8 у земли равнялась 428 км/ч, тогда как по данным ГК НИИ ВВС максимальная скорость полета у Су-6 при неудовлетворительно работающем моторе была 482 км/ч, а по данным заводских испытаний при более удовлетворительно работавшем моторе — 490 км/ч.</w:t>
      </w:r>
    </w:p>
    <w:p w14:paraId="4CCE5751" w14:textId="77777777" w:rsidR="00FE6F00" w:rsidRPr="00070ADE" w:rsidRDefault="00FE6F00"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Скорость на расчетной высоте 2500 м у Ил-8 – 472 км/ч, а у Су-6 на расчетной высоте 2800 м — 523 км/ч. Дальность полета на высоте 1000 м при скорости полета 308 км/ч у Ил-8 составляла 990 км, а у Су-6 при скорости полета 340 км/ч — 850 км.</w:t>
      </w:r>
    </w:p>
    <w:p w14:paraId="22F88F47" w14:textId="77777777" w:rsidR="00FE6F00" w:rsidRPr="00070ADE" w:rsidRDefault="00FE6F00"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Следует обратить внимание на то, что скорость полета у Су-6 при определении дальности была выше. Кроме того, мотор имел невыгодную регулировку с точки зрения расхода топлива: переобогащенную топливную смесь. Поэтому с нормальным мотором результаты по дальности полета могли были быть практически одинаковыми.</w:t>
      </w:r>
    </w:p>
    <w:p w14:paraId="349D49E5" w14:textId="77777777" w:rsidR="00FE6F00" w:rsidRPr="00070ADE" w:rsidRDefault="00FE6F00"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Важно отметить, что при одинаковой боевой нагрузке взлетный вес Су-6 был на 1000 кг меньше, чем у Ил-8, то есть весовая отдача самолета Су-6 была существенно выше.</w:t>
      </w:r>
    </w:p>
    <w:p w14:paraId="1128AB63" w14:textId="77777777" w:rsidR="00FE6F00" w:rsidRPr="00070ADE" w:rsidRDefault="00FE6F00"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В то же время у Ил-8 было существенное преимущество при использовании его в качестве бронированного бомбардировщика.</w:t>
      </w:r>
    </w:p>
    <w:p w14:paraId="6043BC98" w14:textId="77777777" w:rsidR="00FE6F00" w:rsidRPr="00070ADE" w:rsidRDefault="00FE6F00"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Максимальная бомбовая нагрузка достигала 1000 кг при подвеске под крыльями двух бомб ФАБ-500. Кроме того, самолет Ил-8 оборудовался бомбардировочным прицелом.</w:t>
      </w:r>
    </w:p>
    <w:p w14:paraId="21A705F0" w14:textId="77777777" w:rsidR="00FE6F00" w:rsidRPr="00070ADE" w:rsidRDefault="00FE6F00"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В мае 1944 г. успешно завершил госиспытания штурмовик Ил-10 АМ-42, показавшего высокие летные данные.</w:t>
      </w:r>
    </w:p>
    <w:p w14:paraId="1F9B7F30" w14:textId="77777777" w:rsidR="00FE6F00" w:rsidRPr="00070ADE" w:rsidRDefault="00FE6F00"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Сравнение летно-боевых свойств суховского штурмовика с Ил-10 было не в пользу первого. Су-6 АМ-42 уступал ильюшинской машине по большинству определяющих характеристик. В итоге был сделан вывод о нецелесообразности запуска Су-6 АМ-42 в серийное производство.</w:t>
      </w:r>
    </w:p>
    <w:p w14:paraId="2B6B145A" w14:textId="77777777" w:rsidR="00FE6F00" w:rsidRPr="00070ADE" w:rsidRDefault="00FE6F00"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Тем не менее, после установки на Су-6 нового экземпляра мотора АМ-42 госиспытания штурмовика были возобновлены и продолжались до июля 44-го.</w:t>
      </w:r>
    </w:p>
    <w:p w14:paraId="45F89836" w14:textId="77777777" w:rsidR="00FE6F00" w:rsidRPr="00070ADE" w:rsidRDefault="00FE6F00"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Всего в период с 28 апреля по 2 июля 1944 г. на Су-6 АМ-42 с пушками ВЯ-23 было выполнено 24 полета с суммарным налетом 10 часов 25 мин.</w:t>
      </w:r>
    </w:p>
    <w:p w14:paraId="6CF42F73" w14:textId="77777777" w:rsidR="00FE6F00" w:rsidRPr="00070ADE" w:rsidRDefault="00FE6F00"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При полетном весе 6200 кг (600 кг бомб, боекомплект к пушкам и пулеметам) скорость штурмовика у земли составила 492 км/ч, а на высоте 1860 м — 521 км/ч. Время подъема на высоту 1000 м равнялось двум мин., на высоту 5000 м — 11 мин. Максимальная дальность полета — 790 км (19188).</w:t>
      </w:r>
    </w:p>
    <w:p w14:paraId="6ECD34D4" w14:textId="77777777" w:rsidR="00FE6F00" w:rsidRPr="00070ADE" w:rsidRDefault="00FE6F00" w:rsidP="00B56F90">
      <w:pPr>
        <w:pStyle w:val="ae"/>
        <w:shd w:val="clear" w:color="auto" w:fill="FFFFFF"/>
        <w:spacing w:before="0" w:after="0"/>
        <w:jc w:val="both"/>
        <w:textAlignment w:val="baseline"/>
        <w:rPr>
          <w:color w:val="000000" w:themeColor="text1"/>
          <w:sz w:val="16"/>
          <w:szCs w:val="16"/>
        </w:rPr>
      </w:pPr>
    </w:p>
    <w:p w14:paraId="517092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г., пытаясь отстоять свой штурмовик, П. О. Сухой напра</w:t>
      </w:r>
      <w:r w:rsidRPr="00070ADE">
        <w:rPr>
          <w:rFonts w:ascii="Times New Roman" w:hAnsi="Times New Roman"/>
          <w:color w:val="000000" w:themeColor="text1"/>
          <w:sz w:val="16"/>
          <w:szCs w:val="16"/>
        </w:rPr>
        <w:softHyphen/>
        <w:t>вил письмо в адрес А. И. Шахурина, в котором просил учесть предвари</w:t>
      </w:r>
      <w:r w:rsidRPr="00070ADE">
        <w:rPr>
          <w:rFonts w:ascii="Times New Roman" w:hAnsi="Times New Roman"/>
          <w:color w:val="000000" w:themeColor="text1"/>
          <w:sz w:val="16"/>
          <w:szCs w:val="16"/>
        </w:rPr>
        <w:softHyphen/>
        <w:t>тельные результаты испытаний само</w:t>
      </w:r>
      <w:r w:rsidRPr="00070ADE">
        <w:rPr>
          <w:rFonts w:ascii="Times New Roman" w:hAnsi="Times New Roman"/>
          <w:color w:val="000000" w:themeColor="text1"/>
          <w:sz w:val="16"/>
          <w:szCs w:val="16"/>
        </w:rPr>
        <w:softHyphen/>
        <w:t>лета Су-6 АМ-42 "при решении воп</w:t>
      </w:r>
      <w:r w:rsidRPr="00070ADE">
        <w:rPr>
          <w:rFonts w:ascii="Times New Roman" w:hAnsi="Times New Roman"/>
          <w:color w:val="000000" w:themeColor="text1"/>
          <w:sz w:val="16"/>
          <w:szCs w:val="16"/>
        </w:rPr>
        <w:softHyphen/>
        <w:t>роса о внедрении в серию нового образца штурмовика взамен Ил-2". Он отмечал, что "при равном воо</w:t>
      </w:r>
      <w:r w:rsidRPr="00070ADE">
        <w:rPr>
          <w:rFonts w:ascii="Times New Roman" w:hAnsi="Times New Roman"/>
          <w:color w:val="000000" w:themeColor="text1"/>
          <w:sz w:val="16"/>
          <w:szCs w:val="16"/>
        </w:rPr>
        <w:softHyphen/>
        <w:t>ружении" самолет Су-6 АМ-42 на за</w:t>
      </w:r>
      <w:r w:rsidRPr="00070ADE">
        <w:rPr>
          <w:rFonts w:ascii="Times New Roman" w:hAnsi="Times New Roman"/>
          <w:color w:val="000000" w:themeColor="text1"/>
          <w:sz w:val="16"/>
          <w:szCs w:val="16"/>
        </w:rPr>
        <w:softHyphen/>
        <w:t>водских испытаниях "показал резуль</w:t>
      </w:r>
      <w:r w:rsidRPr="00070ADE">
        <w:rPr>
          <w:rFonts w:ascii="Times New Roman" w:hAnsi="Times New Roman"/>
          <w:color w:val="000000" w:themeColor="text1"/>
          <w:sz w:val="16"/>
          <w:szCs w:val="16"/>
        </w:rPr>
        <w:softHyphen/>
        <w:t>таты значительно более высокие, чем данные самолета Ил-8", летчики НИИ ВВС подтвердили положительное заключение "при прошлогодних го</w:t>
      </w:r>
      <w:r w:rsidRPr="00070ADE">
        <w:rPr>
          <w:rFonts w:ascii="Times New Roman" w:hAnsi="Times New Roman"/>
          <w:color w:val="000000" w:themeColor="text1"/>
          <w:sz w:val="16"/>
          <w:szCs w:val="16"/>
        </w:rPr>
        <w:softHyphen/>
        <w:t>сударственных испытаниях"об устой</w:t>
      </w:r>
      <w:r w:rsidRPr="00070ADE">
        <w:rPr>
          <w:rFonts w:ascii="Times New Roman" w:hAnsi="Times New Roman"/>
          <w:color w:val="000000" w:themeColor="text1"/>
          <w:sz w:val="16"/>
          <w:szCs w:val="16"/>
        </w:rPr>
        <w:softHyphen/>
        <w:t>чивости, управляемости и маневрен</w:t>
      </w:r>
      <w:r w:rsidRPr="00070ADE">
        <w:rPr>
          <w:rFonts w:ascii="Times New Roman" w:hAnsi="Times New Roman"/>
          <w:color w:val="000000" w:themeColor="text1"/>
          <w:sz w:val="16"/>
          <w:szCs w:val="16"/>
        </w:rPr>
        <w:softHyphen/>
        <w:t>ности самолета, а также о простоте посадки. Задержка представления Акта НИИ ВВС о государственных испытаниях Су-6 объяснялась отсут</w:t>
      </w:r>
      <w:r w:rsidRPr="00070ADE">
        <w:rPr>
          <w:rFonts w:ascii="Times New Roman" w:hAnsi="Times New Roman"/>
          <w:color w:val="000000" w:themeColor="text1"/>
          <w:sz w:val="16"/>
          <w:szCs w:val="16"/>
        </w:rPr>
        <w:softHyphen/>
        <w:t>ствием мотора.</w:t>
      </w:r>
    </w:p>
    <w:p w14:paraId="66A342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Известно, что это письмо рассмат</w:t>
      </w:r>
      <w:r w:rsidRPr="00070ADE">
        <w:rPr>
          <w:rFonts w:ascii="Times New Roman" w:hAnsi="Times New Roman"/>
          <w:color w:val="000000" w:themeColor="text1"/>
          <w:sz w:val="16"/>
          <w:szCs w:val="16"/>
        </w:rPr>
        <w:softHyphen/>
        <w:t>ривалось Г. М. Маленковым, но ни</w:t>
      </w:r>
      <w:r w:rsidRPr="00070ADE">
        <w:rPr>
          <w:rFonts w:ascii="Times New Roman" w:hAnsi="Times New Roman"/>
          <w:color w:val="000000" w:themeColor="text1"/>
          <w:sz w:val="16"/>
          <w:szCs w:val="16"/>
        </w:rPr>
        <w:softHyphen/>
        <w:t>каких реальных шагов с его стороны не последовало.</w:t>
      </w:r>
    </w:p>
    <w:p w14:paraId="204B3B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"давление" НКАП, ре</w:t>
      </w:r>
      <w:r w:rsidRPr="00070ADE">
        <w:rPr>
          <w:rFonts w:ascii="Times New Roman" w:hAnsi="Times New Roman"/>
          <w:color w:val="000000" w:themeColor="text1"/>
          <w:sz w:val="16"/>
          <w:szCs w:val="16"/>
        </w:rPr>
        <w:softHyphen/>
        <w:t>шение установить на опытный Су-6 новый мотор и продолжить его ис</w:t>
      </w:r>
      <w:r w:rsidRPr="00070ADE">
        <w:rPr>
          <w:rFonts w:ascii="Times New Roman" w:hAnsi="Times New Roman"/>
          <w:color w:val="000000" w:themeColor="text1"/>
          <w:sz w:val="16"/>
          <w:szCs w:val="16"/>
        </w:rPr>
        <w:softHyphen/>
        <w:t>пытания осталось в силе. Одновре</w:t>
      </w:r>
      <w:r w:rsidRPr="00070ADE">
        <w:rPr>
          <w:rFonts w:ascii="Times New Roman" w:hAnsi="Times New Roman"/>
          <w:color w:val="000000" w:themeColor="text1"/>
          <w:sz w:val="16"/>
          <w:szCs w:val="16"/>
        </w:rPr>
        <w:softHyphen/>
        <w:t>менно НИИ ВВС была поставлена задача, форсировать государствен</w:t>
      </w:r>
      <w:r w:rsidRPr="00070ADE">
        <w:rPr>
          <w:rFonts w:ascii="Times New Roman" w:hAnsi="Times New Roman"/>
          <w:color w:val="000000" w:themeColor="text1"/>
          <w:sz w:val="16"/>
          <w:szCs w:val="16"/>
        </w:rPr>
        <w:softHyphen/>
        <w:t>ные испытания Ил-10 и повторные летные испытания Ил-8 с таким рас</w:t>
      </w:r>
      <w:r w:rsidRPr="00070ADE">
        <w:rPr>
          <w:rFonts w:ascii="Times New Roman" w:hAnsi="Times New Roman"/>
          <w:color w:val="000000" w:themeColor="text1"/>
          <w:sz w:val="16"/>
          <w:szCs w:val="16"/>
        </w:rPr>
        <w:softHyphen/>
        <w:t>четом, чтобы закончить их не позже конца июня месяца (11428).</w:t>
      </w:r>
    </w:p>
    <w:p w14:paraId="013235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2D2F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г. П.О.Сухой направил письмо в адрес А.И.Шахурина, в котором просил учесть предварительные результаты испытаний самолета Су-6 АМ-42.</w:t>
      </w:r>
    </w:p>
    <w:p w14:paraId="269616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Он отмечал, что летчики ГК НИИ ВВС КА дали положительное заключение об устойчивости и управляемости самолета Су-6, а также о простоте посадки.</w:t>
      </w:r>
    </w:p>
    <w:p w14:paraId="66D82D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Сухой привел сравнение летных данных самолетов Ил-8 АМ-42 и Су-6 АМ-42 по результатам испытаний.</w:t>
      </w:r>
    </w:p>
    <w:p w14:paraId="0E5C96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Самолет Су-б уступая несколько в дальности, имеет при равном вооружении значительно большую скорость, чем самолет Ил-8”, - писал Павел Осипович в письме.</w:t>
      </w:r>
    </w:p>
    <w:p w14:paraId="1111C0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Су-б испытывался в варианте с двумя пушками ОКБ-16 калибра 37 мм, двумя пулеметами ШКАС и 400 кг бомб.</w:t>
      </w:r>
    </w:p>
    <w:p w14:paraId="7121A7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замене пушек на ВЯ-23 бомбовая нагрузка составила 600 кг, также как и у Ил-8.</w:t>
      </w:r>
    </w:p>
    <w:p w14:paraId="332FF7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полета Ил-8 у земли равнялась 428 км/ч, тогда как по данным ГК НИИ ВВС максимальная скорость полета у Су-б при неудовлетворительно работающем моторе была 482 км/ч, а по данным заводских испытаний при более удовлетворительно работавшем моторе -490 км/ч.</w:t>
      </w:r>
    </w:p>
    <w:p w14:paraId="5239F6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на расчетной высоте 2500 м у Ил-8 - 472 км/ч, а у Су-6 на расчетной высоте 2800 м - 523 км/ч. Дальность полета на высоте 1000 м при скорости полета 308 км/ч у Ил-8 составляла 990 км, а у Су-б при скорости полета 340 км/ч - 850 км.</w:t>
      </w:r>
    </w:p>
    <w:p w14:paraId="14AAEC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Следует обратить внимание на то, что скорость полета у Су-6 при определении дальности была выше. Кроме того, мотор имел невыгодную регулировку с точки зрения расхода топлива: переобогащенную топливную смесь. Поэтому с нормальным мотором результаты по дальности полета могли были быть практически одинаковыми.</w:t>
      </w:r>
    </w:p>
    <w:p w14:paraId="7C4930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Важно отметить, что при одинаковой боевой нагрузке взлетный вес Су-б был на 1000 кг меньше, чем у Ил-8, то есть весовая отдача самолета Су-6 была существенно выше.</w:t>
      </w:r>
    </w:p>
    <w:p w14:paraId="1EC84C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 же время у Ил-8 было существенное преимущество при использовании его в качестве бронированного бомбардировщика.</w:t>
      </w:r>
    </w:p>
    <w:p w14:paraId="052D09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бомбовая нагрузка достигала 1000 кг при подвеске под крыльями двух бомб ФАБ-500. Кроме того, самолет Ил-8 оборудовался бомбардировочным прицелом (9649).</w:t>
      </w:r>
    </w:p>
    <w:p w14:paraId="2BBF07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96B7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г. П.О. Сухой пишет нарко</w:t>
      </w:r>
      <w:r w:rsidRPr="00070ADE">
        <w:rPr>
          <w:rFonts w:ascii="Times New Roman" w:hAnsi="Times New Roman"/>
          <w:color w:val="000000" w:themeColor="text1"/>
          <w:sz w:val="16"/>
          <w:szCs w:val="16"/>
        </w:rPr>
        <w:softHyphen/>
        <w:t>му А. И. Шахурину: «В связи с предстоя</w:t>
      </w:r>
      <w:r w:rsidRPr="00070ADE">
        <w:rPr>
          <w:rFonts w:ascii="Times New Roman" w:hAnsi="Times New Roman"/>
          <w:color w:val="000000" w:themeColor="text1"/>
          <w:sz w:val="16"/>
          <w:szCs w:val="16"/>
        </w:rPr>
        <w:softHyphen/>
        <w:t>щим решением о внедрении в серию са</w:t>
      </w:r>
      <w:r w:rsidRPr="00070ADE">
        <w:rPr>
          <w:rFonts w:ascii="Times New Roman" w:hAnsi="Times New Roman"/>
          <w:color w:val="000000" w:themeColor="text1"/>
          <w:sz w:val="16"/>
          <w:szCs w:val="16"/>
        </w:rPr>
        <w:softHyphen/>
        <w:t>молета Ил-8 АМ-42, считаю необходи</w:t>
      </w:r>
      <w:r w:rsidRPr="00070ADE">
        <w:rPr>
          <w:rFonts w:ascii="Times New Roman" w:hAnsi="Times New Roman"/>
          <w:color w:val="000000" w:themeColor="text1"/>
          <w:sz w:val="16"/>
          <w:szCs w:val="16"/>
        </w:rPr>
        <w:softHyphen/>
        <w:t>мым доложить следующее.</w:t>
      </w:r>
    </w:p>
    <w:p w14:paraId="6313AE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Су-6 АМ42 на заводских ис</w:t>
      </w:r>
      <w:r w:rsidRPr="00070ADE">
        <w:rPr>
          <w:rFonts w:ascii="Times New Roman" w:hAnsi="Times New Roman"/>
          <w:color w:val="000000" w:themeColor="text1"/>
          <w:sz w:val="16"/>
          <w:szCs w:val="16"/>
        </w:rPr>
        <w:softHyphen/>
        <w:t>пытаниях показал результаты значитель</w:t>
      </w:r>
      <w:r w:rsidRPr="00070ADE">
        <w:rPr>
          <w:rFonts w:ascii="Times New Roman" w:hAnsi="Times New Roman"/>
          <w:color w:val="000000" w:themeColor="text1"/>
          <w:sz w:val="16"/>
          <w:szCs w:val="16"/>
        </w:rPr>
        <w:softHyphen/>
        <w:t>но более высокие, чем данные самолета Ил-8.</w:t>
      </w:r>
    </w:p>
    <w:p w14:paraId="0518FF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проведении государственных ис</w:t>
      </w:r>
      <w:r w:rsidRPr="00070ADE">
        <w:rPr>
          <w:rFonts w:ascii="Times New Roman" w:hAnsi="Times New Roman"/>
          <w:color w:val="000000" w:themeColor="text1"/>
          <w:sz w:val="16"/>
          <w:szCs w:val="16"/>
        </w:rPr>
        <w:softHyphen/>
        <w:t>пытаний самолета Су-6 произошли за</w:t>
      </w:r>
      <w:r w:rsidRPr="00070ADE">
        <w:rPr>
          <w:rFonts w:ascii="Times New Roman" w:hAnsi="Times New Roman"/>
          <w:color w:val="000000" w:themeColor="text1"/>
          <w:sz w:val="16"/>
          <w:szCs w:val="16"/>
        </w:rPr>
        <w:softHyphen/>
        <w:t>держки, вызванные поломкой хвостовой части фюзеляжа при посадке, а также не</w:t>
      </w:r>
      <w:r w:rsidRPr="00070ADE">
        <w:rPr>
          <w:rFonts w:ascii="Times New Roman" w:hAnsi="Times New Roman"/>
          <w:color w:val="000000" w:themeColor="text1"/>
          <w:sz w:val="16"/>
          <w:szCs w:val="16"/>
        </w:rPr>
        <w:softHyphen/>
        <w:t>нормальной работой установленного на самолете экземпляра мотора АМ-42, ко</w:t>
      </w:r>
      <w:r w:rsidRPr="00070ADE">
        <w:rPr>
          <w:rFonts w:ascii="Times New Roman" w:hAnsi="Times New Roman"/>
          <w:color w:val="000000" w:themeColor="text1"/>
          <w:sz w:val="16"/>
          <w:szCs w:val="16"/>
        </w:rPr>
        <w:softHyphen/>
        <w:t>торый окончательно был снят с испыта</w:t>
      </w:r>
      <w:r w:rsidRPr="00070ADE">
        <w:rPr>
          <w:rFonts w:ascii="Times New Roman" w:hAnsi="Times New Roman"/>
          <w:color w:val="000000" w:themeColor="text1"/>
          <w:sz w:val="16"/>
          <w:szCs w:val="16"/>
        </w:rPr>
        <w:softHyphen/>
        <w:t>ний из-за богатой регулировки - регулировать беднее нельзя было из-за опасно</w:t>
      </w:r>
      <w:r w:rsidRPr="00070ADE">
        <w:rPr>
          <w:rFonts w:ascii="Times New Roman" w:hAnsi="Times New Roman"/>
          <w:color w:val="000000" w:themeColor="text1"/>
          <w:sz w:val="16"/>
          <w:szCs w:val="16"/>
        </w:rPr>
        <w:softHyphen/>
        <w:t>сти загорания смеси во всасывающих трубах и повышенного в 4-5 раз против нормы расхода масла.</w:t>
      </w:r>
    </w:p>
    <w:p w14:paraId="2B0108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данный момент государственные ис</w:t>
      </w:r>
      <w:r w:rsidRPr="00070ADE">
        <w:rPr>
          <w:rFonts w:ascii="Times New Roman" w:hAnsi="Times New Roman"/>
          <w:color w:val="000000" w:themeColor="text1"/>
          <w:sz w:val="16"/>
          <w:szCs w:val="16"/>
        </w:rPr>
        <w:softHyphen/>
        <w:t>пытания приостановлены до получения с завода № 24 нового мотора АМ-42.</w:t>
      </w:r>
    </w:p>
    <w:p w14:paraId="61A4A3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ненормальную работу мо</w:t>
      </w:r>
      <w:r w:rsidRPr="00070ADE">
        <w:rPr>
          <w:rFonts w:ascii="Times New Roman" w:hAnsi="Times New Roman"/>
          <w:color w:val="000000" w:themeColor="text1"/>
          <w:sz w:val="16"/>
          <w:szCs w:val="16"/>
        </w:rPr>
        <w:softHyphen/>
        <w:t>тора, НИИ ВВС удалось снять приведен</w:t>
      </w:r>
      <w:r w:rsidRPr="00070ADE">
        <w:rPr>
          <w:rFonts w:ascii="Times New Roman" w:hAnsi="Times New Roman"/>
          <w:color w:val="000000" w:themeColor="text1"/>
          <w:sz w:val="16"/>
          <w:szCs w:val="16"/>
        </w:rPr>
        <w:softHyphen/>
        <w:t>ные ниже скорости и подтвердить поло</w:t>
      </w:r>
      <w:r w:rsidRPr="00070ADE">
        <w:rPr>
          <w:rFonts w:ascii="Times New Roman" w:hAnsi="Times New Roman"/>
          <w:color w:val="000000" w:themeColor="text1"/>
          <w:sz w:val="16"/>
          <w:szCs w:val="16"/>
        </w:rPr>
        <w:softHyphen/>
        <w:t>жительное мнение летчиков при прошло</w:t>
      </w:r>
      <w:r w:rsidRPr="00070ADE">
        <w:rPr>
          <w:rFonts w:ascii="Times New Roman" w:hAnsi="Times New Roman"/>
          <w:color w:val="000000" w:themeColor="text1"/>
          <w:sz w:val="16"/>
          <w:szCs w:val="16"/>
        </w:rPr>
        <w:softHyphen/>
        <w:t>годних государственных испытаниях об устойчивости, маневренности и усилиях на ручку.</w:t>
      </w:r>
    </w:p>
    <w:p w14:paraId="0432CB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взлете и посадке машина проста, не отличаясь в этом отношении от самоле</w:t>
      </w:r>
      <w:r w:rsidRPr="00070ADE">
        <w:rPr>
          <w:rFonts w:ascii="Times New Roman" w:hAnsi="Times New Roman"/>
          <w:color w:val="000000" w:themeColor="text1"/>
          <w:sz w:val="16"/>
          <w:szCs w:val="16"/>
        </w:rPr>
        <w:softHyphen/>
        <w:t>тов «Ил».</w:t>
      </w:r>
    </w:p>
    <w:p w14:paraId="2BB654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самолет Су-6, уступая несколько в дальности, имеет при рав</w:t>
      </w:r>
      <w:r w:rsidRPr="00070ADE">
        <w:rPr>
          <w:rFonts w:ascii="Times New Roman" w:hAnsi="Times New Roman"/>
          <w:color w:val="000000" w:themeColor="text1"/>
          <w:sz w:val="16"/>
          <w:szCs w:val="16"/>
        </w:rPr>
        <w:softHyphen/>
        <w:t>ном вооружении значительно большую скорость, чем самолет Ил-8.</w:t>
      </w:r>
    </w:p>
    <w:p w14:paraId="0CE032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задержкой представления акта НИИ ВВС о государственных испы</w:t>
      </w:r>
      <w:r w:rsidRPr="00070ADE">
        <w:rPr>
          <w:rFonts w:ascii="Times New Roman" w:hAnsi="Times New Roman"/>
          <w:color w:val="000000" w:themeColor="text1"/>
          <w:sz w:val="16"/>
          <w:szCs w:val="16"/>
        </w:rPr>
        <w:softHyphen/>
        <w:t>таниях самолета Су-6 из-за отсутствия мотора, прошу Вашего указания учесть приведенные данные при решении во</w:t>
      </w:r>
      <w:r w:rsidRPr="00070ADE">
        <w:rPr>
          <w:rFonts w:ascii="Times New Roman" w:hAnsi="Times New Roman"/>
          <w:color w:val="000000" w:themeColor="text1"/>
          <w:sz w:val="16"/>
          <w:szCs w:val="16"/>
        </w:rPr>
        <w:softHyphen/>
        <w:t>проса о внедрении в серию нового об</w:t>
      </w:r>
      <w:r w:rsidRPr="00070ADE">
        <w:rPr>
          <w:rFonts w:ascii="Times New Roman" w:hAnsi="Times New Roman"/>
          <w:color w:val="000000" w:themeColor="text1"/>
          <w:sz w:val="16"/>
          <w:szCs w:val="16"/>
        </w:rPr>
        <w:softHyphen/>
        <w:t>разца штурмовика взамен Ил-2».</w:t>
      </w:r>
    </w:p>
    <w:p w14:paraId="0FEF3C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письмо рассматривалось Г. М. Ма</w:t>
      </w:r>
      <w:r w:rsidRPr="00070ADE">
        <w:rPr>
          <w:rFonts w:ascii="Times New Roman" w:hAnsi="Times New Roman"/>
          <w:color w:val="000000" w:themeColor="text1"/>
          <w:sz w:val="16"/>
          <w:szCs w:val="16"/>
        </w:rPr>
        <w:softHyphen/>
        <w:t>ленковым, но результата не последова</w:t>
      </w:r>
      <w:r w:rsidRPr="00070ADE">
        <w:rPr>
          <w:rFonts w:ascii="Times New Roman" w:hAnsi="Times New Roman"/>
          <w:color w:val="000000" w:themeColor="text1"/>
          <w:sz w:val="16"/>
          <w:szCs w:val="16"/>
        </w:rPr>
        <w:softHyphen/>
        <w:t>ло (10718).</w:t>
      </w:r>
    </w:p>
    <w:p w14:paraId="67FA97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846664"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года Сухой направил Шахурину письмо, в котором просил «при решении вопроса о внедрении в серию нового образца штурмовика взамен Ил-2» учесть предварительные результаты испытаний самолета Су-6 АМ-42. Он отмечал, что «при равном вооружении» Су-6 на заводских испытаниях «показал результаты значительно более высокие, чем данные самолета Ил-8», летчики НИИ ВВС подтвердили положительное заключение «при прошлогодних государственных испытаниях» об устойчивости, управляемости и маневренности самолета, а также о простоте посадки. Задержка представления акта НИИ ВВС о государственных испытаниях Су-6 объяснялась отсутствием мотора.</w:t>
      </w:r>
    </w:p>
    <w:p w14:paraId="5958D3E8" w14:textId="3A32FDA5"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Известно, что это письмо рассматривалось Г.</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Маленковым, но никаких реальных шагов с его стороны не последовало.</w:t>
      </w:r>
    </w:p>
    <w:p w14:paraId="3FC6535B" w14:textId="77777777" w:rsidR="00962976" w:rsidRPr="00070ADE" w:rsidRDefault="0096297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Вскоре последовало решение о принятии на вооружение ВВС КА штурмовика Ил-10 АМ-42, который имел несколько лучшие летные данные, чем Су-6 и Ил-8 (17490).</w:t>
      </w:r>
    </w:p>
    <w:p w14:paraId="3678AF5D" w14:textId="77777777" w:rsidR="00962976" w:rsidRPr="00070ADE" w:rsidRDefault="00962976" w:rsidP="00B56F90">
      <w:pPr>
        <w:spacing w:after="0" w:line="240" w:lineRule="auto"/>
        <w:jc w:val="both"/>
        <w:rPr>
          <w:rFonts w:ascii="Times New Roman" w:hAnsi="Times New Roman"/>
          <w:color w:val="000000" w:themeColor="text1"/>
          <w:sz w:val="16"/>
          <w:szCs w:val="16"/>
        </w:rPr>
      </w:pPr>
    </w:p>
    <w:p w14:paraId="4EEC4C70" w14:textId="77777777" w:rsidR="00962976" w:rsidRPr="00070ADE" w:rsidRDefault="0096297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19 мая 1944 г., пытаясь отстоять свой штурмовик, П. О. Сухой, направил письмо в адрес А. И. Шахурина, в котором просил учесть предварительные результаты испытаний самолета Су-6 АМ-42 «при решении вопроса о внедрении в серию нового об</w:t>
      </w:r>
      <w:r w:rsidRPr="00070ADE">
        <w:rPr>
          <w:color w:val="000000" w:themeColor="text1"/>
          <w:sz w:val="16"/>
          <w:szCs w:val="16"/>
        </w:rPr>
        <w:softHyphen/>
        <w:t>разца штурмовика взамен Ил-2». Он отмечал, что «при равном вооружении» самолет Су-6 АМ-42 на заводских испытаниях «показал результаты значи</w:t>
      </w:r>
      <w:r w:rsidRPr="00070ADE">
        <w:rPr>
          <w:color w:val="000000" w:themeColor="text1"/>
          <w:sz w:val="16"/>
          <w:szCs w:val="16"/>
        </w:rPr>
        <w:softHyphen/>
        <w:t>тельно более высокие, чем данные самолета Ил-8», летчики НИИ ВВС подтвердили положительное за</w:t>
      </w:r>
      <w:r w:rsidRPr="00070ADE">
        <w:rPr>
          <w:color w:val="000000" w:themeColor="text1"/>
          <w:sz w:val="16"/>
          <w:szCs w:val="16"/>
        </w:rPr>
        <w:softHyphen/>
        <w:t>ключение «при прошлогодних государственных испытаниях» об устойчивости, управляемости и ма</w:t>
      </w:r>
      <w:r w:rsidRPr="00070ADE">
        <w:rPr>
          <w:color w:val="000000" w:themeColor="text1"/>
          <w:sz w:val="16"/>
          <w:szCs w:val="16"/>
        </w:rPr>
        <w:softHyphen/>
        <w:t>невренности самолета, а также о простоте посадки. Задержка представления акта НИИ ВВС о государ</w:t>
      </w:r>
      <w:r w:rsidRPr="00070ADE">
        <w:rPr>
          <w:color w:val="000000" w:themeColor="text1"/>
          <w:sz w:val="16"/>
          <w:szCs w:val="16"/>
        </w:rPr>
        <w:softHyphen/>
        <w:t>ственных испытаниях Су-6 объяснялась отсутствием мотора.</w:t>
      </w:r>
    </w:p>
    <w:p w14:paraId="5A3D53BB" w14:textId="77777777" w:rsidR="00962976" w:rsidRPr="00070ADE" w:rsidRDefault="0096297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Известно, что это письмо рассматривалось Г. М. Маленковым, но никаких реальных шагов с его стороны не последовало.</w:t>
      </w:r>
    </w:p>
    <w:p w14:paraId="7DC20E1D" w14:textId="77777777" w:rsidR="00962976" w:rsidRPr="00070ADE" w:rsidRDefault="0096297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lastRenderedPageBreak/>
        <w:t>Вскоре последовало компромиссное решение о принятии на вооружение ВВС КА штурмовика Ил-10 АМ-42, который имел несколько лучшие лет</w:t>
      </w:r>
      <w:r w:rsidRPr="00070ADE">
        <w:rPr>
          <w:color w:val="000000" w:themeColor="text1"/>
          <w:sz w:val="16"/>
          <w:szCs w:val="16"/>
        </w:rPr>
        <w:softHyphen/>
        <w:t>ные данные, чем Су-6 и Ил-8. К тому же формально Су-6 к этому времени еще не завершил в полном объеме программу государственных испытаний.</w:t>
      </w:r>
    </w:p>
    <w:p w14:paraId="18A45EEE" w14:textId="77777777" w:rsidR="00962976" w:rsidRPr="00070ADE" w:rsidRDefault="00962976"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Отметим, что за создание двухместного штур</w:t>
      </w:r>
      <w:r w:rsidRPr="00070ADE">
        <w:rPr>
          <w:color w:val="000000" w:themeColor="text1"/>
          <w:sz w:val="16"/>
          <w:szCs w:val="16"/>
        </w:rPr>
        <w:softHyphen/>
        <w:t>мовика Су-6 М-71ф главный конструктор самолета П. О. Сухой в 1943 г. был удостоен Государственной премии 1-й степени, которую он передал в Фонд обороны (17500).</w:t>
      </w:r>
    </w:p>
    <w:p w14:paraId="74DA959E" w14:textId="77777777" w:rsidR="00962976" w:rsidRPr="00070ADE" w:rsidRDefault="00962976" w:rsidP="00B56F90">
      <w:pPr>
        <w:spacing w:after="0" w:line="240" w:lineRule="auto"/>
        <w:jc w:val="both"/>
        <w:rPr>
          <w:rFonts w:ascii="Times New Roman" w:hAnsi="Times New Roman"/>
          <w:color w:val="000000" w:themeColor="text1"/>
          <w:sz w:val="16"/>
          <w:szCs w:val="16"/>
        </w:rPr>
      </w:pPr>
    </w:p>
    <w:p w14:paraId="0C8E8C94" w14:textId="77777777" w:rsidR="00982F71" w:rsidRPr="00070ADE" w:rsidRDefault="00982F7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П.О. Сухой направил Шахурину письмо, в котором просил «при решении вопроса о внедрении в се</w:t>
      </w:r>
      <w:r w:rsidRPr="00070ADE">
        <w:rPr>
          <w:rFonts w:ascii="Times New Roman" w:hAnsi="Times New Roman"/>
          <w:color w:val="000000" w:themeColor="text1"/>
          <w:sz w:val="16"/>
          <w:szCs w:val="16"/>
        </w:rPr>
        <w:softHyphen/>
        <w:t>рию нового образца штурмовика взамен Ил-2» учесть предварительные результаты испытаний самолета Су-6 АМ-42. Он от</w:t>
      </w:r>
      <w:r w:rsidRPr="00070ADE">
        <w:rPr>
          <w:rFonts w:ascii="Times New Roman" w:hAnsi="Times New Roman"/>
          <w:color w:val="000000" w:themeColor="text1"/>
          <w:sz w:val="16"/>
          <w:szCs w:val="16"/>
        </w:rPr>
        <w:softHyphen/>
        <w:t>мечал, что</w:t>
      </w:r>
      <w:r w:rsidRPr="00070ADE">
        <w:rPr>
          <w:rStyle w:val="9pt80"/>
          <w:rFonts w:ascii="Times New Roman" w:hAnsi="Times New Roman" w:cs="Times New Roman"/>
          <w:color w:val="000000" w:themeColor="text1"/>
          <w:w w:val="100"/>
          <w:sz w:val="16"/>
          <w:szCs w:val="16"/>
        </w:rPr>
        <w:t xml:space="preserve"> «при равном вооружении»</w:t>
      </w:r>
      <w:r w:rsidRPr="00070ADE">
        <w:rPr>
          <w:rFonts w:ascii="Times New Roman" w:hAnsi="Times New Roman"/>
          <w:color w:val="000000" w:themeColor="text1"/>
          <w:sz w:val="16"/>
          <w:szCs w:val="16"/>
        </w:rPr>
        <w:t xml:space="preserve"> Су-6 на заводских испытаниях</w:t>
      </w:r>
      <w:r w:rsidRPr="00070ADE">
        <w:rPr>
          <w:rStyle w:val="9pt80"/>
          <w:rFonts w:ascii="Times New Roman" w:hAnsi="Times New Roman" w:cs="Times New Roman"/>
          <w:color w:val="000000" w:themeColor="text1"/>
          <w:w w:val="100"/>
          <w:sz w:val="16"/>
          <w:szCs w:val="16"/>
        </w:rPr>
        <w:t xml:space="preserve"> «показал ре</w:t>
      </w:r>
      <w:r w:rsidRPr="00070ADE">
        <w:rPr>
          <w:rStyle w:val="9pt80"/>
          <w:rFonts w:ascii="Times New Roman" w:hAnsi="Times New Roman" w:cs="Times New Roman"/>
          <w:color w:val="000000" w:themeColor="text1"/>
          <w:w w:val="100"/>
          <w:sz w:val="16"/>
          <w:szCs w:val="16"/>
        </w:rPr>
        <w:softHyphen/>
        <w:t>зультаты значительно более высокие, чем данные самолета Ил-8»,</w:t>
      </w:r>
      <w:r w:rsidRPr="00070ADE">
        <w:rPr>
          <w:rFonts w:ascii="Times New Roman" w:hAnsi="Times New Roman"/>
          <w:color w:val="000000" w:themeColor="text1"/>
          <w:sz w:val="16"/>
          <w:szCs w:val="16"/>
        </w:rPr>
        <w:t xml:space="preserve"> летчики НИИ ВВС подтвердили положительное заключение </w:t>
      </w:r>
      <w:r w:rsidRPr="00070ADE">
        <w:rPr>
          <w:rStyle w:val="9pt80"/>
          <w:rFonts w:ascii="Times New Roman" w:hAnsi="Times New Roman" w:cs="Times New Roman"/>
          <w:color w:val="000000" w:themeColor="text1"/>
          <w:w w:val="100"/>
          <w:sz w:val="16"/>
          <w:szCs w:val="16"/>
        </w:rPr>
        <w:t>«при прошлогодних государственных ис</w:t>
      </w:r>
      <w:r w:rsidRPr="00070ADE">
        <w:rPr>
          <w:rStyle w:val="9pt80"/>
          <w:rFonts w:ascii="Times New Roman" w:hAnsi="Times New Roman" w:cs="Times New Roman"/>
          <w:color w:val="000000" w:themeColor="text1"/>
          <w:w w:val="100"/>
          <w:sz w:val="16"/>
          <w:szCs w:val="16"/>
        </w:rPr>
        <w:softHyphen/>
        <w:t>пытаниях»</w:t>
      </w:r>
      <w:r w:rsidRPr="00070ADE">
        <w:rPr>
          <w:rFonts w:ascii="Times New Roman" w:hAnsi="Times New Roman"/>
          <w:color w:val="000000" w:themeColor="text1"/>
          <w:sz w:val="16"/>
          <w:szCs w:val="16"/>
        </w:rPr>
        <w:t xml:space="preserve"> об устойчивости, управляемо</w:t>
      </w:r>
      <w:r w:rsidRPr="00070ADE">
        <w:rPr>
          <w:rFonts w:ascii="Times New Roman" w:hAnsi="Times New Roman"/>
          <w:color w:val="000000" w:themeColor="text1"/>
          <w:sz w:val="16"/>
          <w:szCs w:val="16"/>
        </w:rPr>
        <w:softHyphen/>
        <w:t>сти и маневренности самолета, а также о простоте посадки. Задержка представле</w:t>
      </w:r>
      <w:r w:rsidRPr="00070ADE">
        <w:rPr>
          <w:rFonts w:ascii="Times New Roman" w:hAnsi="Times New Roman"/>
          <w:color w:val="000000" w:themeColor="text1"/>
          <w:sz w:val="16"/>
          <w:szCs w:val="16"/>
        </w:rPr>
        <w:softHyphen/>
        <w:t>ния акта НИИ ВВС о государственных ис</w:t>
      </w:r>
      <w:r w:rsidRPr="00070ADE">
        <w:rPr>
          <w:rFonts w:ascii="Times New Roman" w:hAnsi="Times New Roman"/>
          <w:color w:val="000000" w:themeColor="text1"/>
          <w:sz w:val="16"/>
          <w:szCs w:val="16"/>
        </w:rPr>
        <w:softHyphen/>
        <w:t>пытаниях Су-6 объяснялась отсутствием кондиционного мотора.</w:t>
      </w:r>
    </w:p>
    <w:p w14:paraId="53B3B5F9" w14:textId="77777777" w:rsidR="00982F71" w:rsidRPr="00070ADE" w:rsidRDefault="00982F7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Известно, что это письмо рассматри</w:t>
      </w:r>
      <w:r w:rsidRPr="00070ADE">
        <w:rPr>
          <w:rFonts w:ascii="Times New Roman" w:hAnsi="Times New Roman"/>
          <w:color w:val="000000" w:themeColor="text1"/>
          <w:sz w:val="16"/>
          <w:szCs w:val="16"/>
        </w:rPr>
        <w:softHyphen/>
        <w:t>валось Маленковым, но никаких реальных шагов с его стороны не последовало (19853).</w:t>
      </w:r>
    </w:p>
    <w:p w14:paraId="3058F1BE" w14:textId="77777777" w:rsidR="00982F71" w:rsidRPr="00070ADE" w:rsidRDefault="00982F71" w:rsidP="00B56F90">
      <w:pPr>
        <w:spacing w:after="0" w:line="240" w:lineRule="auto"/>
        <w:jc w:val="both"/>
        <w:rPr>
          <w:rFonts w:ascii="Times New Roman" w:hAnsi="Times New Roman"/>
          <w:color w:val="000000" w:themeColor="text1"/>
          <w:sz w:val="16"/>
          <w:szCs w:val="16"/>
        </w:rPr>
      </w:pPr>
    </w:p>
    <w:p w14:paraId="5F3EC928"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19 мая 1944 г. П. О. Сухой направил письмо в адрес А. И. Шахурина, в котором просил учесть предварительные результаты испытаний самолета Су-6 АМ-42.</w:t>
      </w:r>
    </w:p>
    <w:p w14:paraId="06B7FA26"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Он отмечал, что летчики ГК НИИ ВВС КА дали положительное заключение об устойчивости и управляемости самолета Су-6, а также о простоте посадки.</w:t>
      </w:r>
    </w:p>
    <w:p w14:paraId="5B042585"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Сухой привел сравнение летных данных самолетов Ил-8 АМ-42 и Су-6 АМ-42 по результатам испытаний.</w:t>
      </w:r>
    </w:p>
    <w:p w14:paraId="4920557A"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Самолет Су-6 уступая несколько в дальности, имеет при равном вооружении значительно большую скорость, чем самолет Ил-8», — писал Павел Осипович в письме. «Су-6 испытывался в варианте с двумя пушками ОКБ-16 калибра 37 мм, двумя пулеметами ШКАС и 400 кг бомб. При замене пушек на ВЯ-23 бомбовая нагрузка составила 600 кг, также как и у Ил-8».</w:t>
      </w:r>
    </w:p>
    <w:p w14:paraId="787C1451"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Максимальная скорость полета Ил-8 у земли равнялась 428 км/ч, тогда как по данным ГК НИИ ВВС максимальная скорость полета у Су-6 при неудовлетворительно работающем моторе была 482 км/ч, а по данным заводских испытаний при более удовлетворительно работавшем моторе — 490 км/ч.</w:t>
      </w:r>
    </w:p>
    <w:p w14:paraId="4B244FF3"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Скорость на расчетной высоте 2500 м у Ил-8 – 472 км/ч, а у Су-6 на расчетной высоте 2800 м — 523 км/ч. Дальность полета на высоте 1000 м при скорости полета 308 км/ч у Ил-8 составляла 990 км, а у Су-6 при скорости полета 340 км/ч — 850 км.</w:t>
      </w:r>
    </w:p>
    <w:p w14:paraId="4B1C061A"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Следует обратить внимание на то, что скорость полета у Су-6 при определении дальности была выше. Кроме того, мотор имел невыгодную регулировку с точки зрения расхода топлива: переобогащенную топливную смесь. Поэтому с нормальным мотором результаты по дальности полета могли были быть практически одинаковыми.</w:t>
      </w:r>
    </w:p>
    <w:p w14:paraId="0D22F1B5"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Важно отметить, что при одинаковой боевой нагрузке взлетный вес Су-6 был на 1000 кг меньше, чем у Ил-8, то есть весовая отдача самолета Су-6 была существенно выше.</w:t>
      </w:r>
    </w:p>
    <w:p w14:paraId="109F7390"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то же время у Ил-8 было существенное преимущество при использовании его в качестве бронированного бомбардировщика.</w:t>
      </w:r>
    </w:p>
    <w:p w14:paraId="502127BD"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Максимальная бомбовая нагрузка достигала 1000 кг при подвеске под крыльями двух бомб ФАБ-500. Кроме того, самолет Ил-8 оборудовался бомбардировочным прицелом.</w:t>
      </w:r>
    </w:p>
    <w:p w14:paraId="22FE61FE"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мае 1944 г. успешно завершил госиспытания штурмовик Ил-10 АМ-42, показавшего высокие летные данные.</w:t>
      </w:r>
    </w:p>
    <w:p w14:paraId="14020912" w14:textId="77777777" w:rsidR="00982F71" w:rsidRPr="00C94B78" w:rsidRDefault="00982F71"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Сравнение летно-боевых свойств суховского штурмовика с Ил-10 было не в пользу первого. Су-6 АМ-42 уступал ильюшинской машине по большинству определяющих характеристик. В итоге был сделан вывод о нецелесообразности запуска Су-6 АМ-42 в серийное производство (25388).</w:t>
      </w:r>
    </w:p>
    <w:p w14:paraId="2D22A911" w14:textId="77777777" w:rsidR="00982F71" w:rsidRPr="00C94B78" w:rsidRDefault="00982F71" w:rsidP="00B56F90">
      <w:pPr>
        <w:spacing w:after="0" w:line="240" w:lineRule="auto"/>
        <w:jc w:val="both"/>
        <w:rPr>
          <w:rFonts w:ascii="Times New Roman" w:hAnsi="Times New Roman"/>
          <w:color w:val="0070C0"/>
          <w:sz w:val="16"/>
          <w:szCs w:val="16"/>
        </w:rPr>
      </w:pPr>
    </w:p>
    <w:p w14:paraId="00AAC1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года Шахурин писал письмо N Н-30/2509 начальнику НИСО Петрову и начальнику ВИАМ Туманову.</w:t>
      </w:r>
    </w:p>
    <w:p w14:paraId="31C7F2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обеспечения выпуска самолетов Пе-8 в пассажирском варианте с антиобледенительными устройствами на крыльях и оперении, разработайте чертежи и техусловия на антиобледенители типа Гудрич и не позднее 25 мая передайте наркомату резиновой промышленности (1821).</w:t>
      </w:r>
    </w:p>
    <w:p w14:paraId="5EB4FE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A300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Ю.А.Антипов садился аварийно на МиГ-3 Д с АМ-39 на Чкаловском (817) 12 мая 1944 продолжились гос. испытания Миг-3У (2д или И-231) с АМ-39А и удлиненными консолями, начатые в конце февраля 1944 и прерванные аварией П.М.Стефановского 8 марта 1944. 19 мая при даче форсированного режима из строя вышел мотор. Получение мотора затянулось и испытания не закончили, а работы свернули (5046,34).</w:t>
      </w:r>
    </w:p>
    <w:p w14:paraId="6843E4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88FA66" w14:textId="77777777" w:rsidR="00237933" w:rsidRPr="00070ADE" w:rsidRDefault="002379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на госиспытаниях И-231 вновь случи</w:t>
      </w:r>
      <w:r w:rsidRPr="00070ADE">
        <w:rPr>
          <w:rFonts w:ascii="Times New Roman" w:hAnsi="Times New Roman"/>
          <w:color w:val="000000" w:themeColor="text1"/>
          <w:sz w:val="16"/>
          <w:szCs w:val="16"/>
        </w:rPr>
        <w:softHyphen/>
        <w:t>лась авария. Летчик Антипов приземлил самолет без повреждений, но мотор надо было менять. На этот раз нагнетатель оказался исправен, зато в маслобаке и в его фильтре нашли большое количест</w:t>
      </w:r>
      <w:r w:rsidRPr="00070ADE">
        <w:rPr>
          <w:rFonts w:ascii="Times New Roman" w:hAnsi="Times New Roman"/>
          <w:color w:val="000000" w:themeColor="text1"/>
          <w:sz w:val="16"/>
          <w:szCs w:val="16"/>
        </w:rPr>
        <w:softHyphen/>
        <w:t>во стружки - свидетельство износа порш</w:t>
      </w:r>
      <w:r w:rsidRPr="00070ADE">
        <w:rPr>
          <w:rFonts w:ascii="Times New Roman" w:hAnsi="Times New Roman"/>
          <w:color w:val="000000" w:themeColor="text1"/>
          <w:sz w:val="16"/>
          <w:szCs w:val="16"/>
        </w:rPr>
        <w:softHyphen/>
        <w:t>невых пар. А это в свою очередь говорило о недостаточности ресурса форсирован</w:t>
      </w:r>
      <w:r w:rsidRPr="00070ADE">
        <w:rPr>
          <w:rFonts w:ascii="Times New Roman" w:hAnsi="Times New Roman"/>
          <w:color w:val="000000" w:themeColor="text1"/>
          <w:sz w:val="16"/>
          <w:szCs w:val="16"/>
        </w:rPr>
        <w:softHyphen/>
        <w:t>ного двигателя - надо было менять и тех</w:t>
      </w:r>
      <w:r w:rsidRPr="00070ADE">
        <w:rPr>
          <w:rFonts w:ascii="Times New Roman" w:hAnsi="Times New Roman"/>
          <w:color w:val="000000" w:themeColor="text1"/>
          <w:sz w:val="16"/>
          <w:szCs w:val="16"/>
        </w:rPr>
        <w:softHyphen/>
        <w:t>нологию его производства, и конструкци</w:t>
      </w:r>
      <w:r w:rsidRPr="00070ADE">
        <w:rPr>
          <w:rFonts w:ascii="Times New Roman" w:hAnsi="Times New Roman"/>
          <w:color w:val="000000" w:themeColor="text1"/>
          <w:sz w:val="16"/>
          <w:szCs w:val="16"/>
        </w:rPr>
        <w:softHyphen/>
        <w:t>онные материалы. В период с 12 по 19 мая успели вы</w:t>
      </w:r>
      <w:r w:rsidRPr="00070ADE">
        <w:rPr>
          <w:rFonts w:ascii="Times New Roman" w:hAnsi="Times New Roman"/>
          <w:color w:val="000000" w:themeColor="text1"/>
          <w:sz w:val="16"/>
          <w:szCs w:val="16"/>
        </w:rPr>
        <w:softHyphen/>
        <w:t>полнить десять полетов с общим налетом 7 ч и 30 мин, что было сравнительно не</w:t>
      </w:r>
      <w:r w:rsidRPr="00070ADE">
        <w:rPr>
          <w:rFonts w:ascii="Times New Roman" w:hAnsi="Times New Roman"/>
          <w:color w:val="000000" w:themeColor="text1"/>
          <w:sz w:val="16"/>
          <w:szCs w:val="16"/>
        </w:rPr>
        <w:softHyphen/>
        <w:t>плохо.</w:t>
      </w:r>
    </w:p>
    <w:p w14:paraId="52FB170F" w14:textId="77777777" w:rsidR="00237933" w:rsidRPr="00070ADE" w:rsidRDefault="002379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Итак, испытания И-231 остановились. Почему же Микоян не добился их возоб</w:t>
      </w:r>
      <w:r w:rsidRPr="00070ADE">
        <w:rPr>
          <w:rFonts w:ascii="Times New Roman" w:hAnsi="Times New Roman"/>
          <w:color w:val="000000" w:themeColor="text1"/>
          <w:sz w:val="16"/>
          <w:szCs w:val="16"/>
        </w:rPr>
        <w:softHyphen/>
        <w:t>новления? В принципе, мотор АМ-39 «до</w:t>
      </w:r>
      <w:r w:rsidRPr="00070ADE">
        <w:rPr>
          <w:rFonts w:ascii="Times New Roman" w:hAnsi="Times New Roman"/>
          <w:color w:val="000000" w:themeColor="text1"/>
          <w:sz w:val="16"/>
          <w:szCs w:val="16"/>
        </w:rPr>
        <w:softHyphen/>
        <w:t>стать» было возможно - в тот же период завод №300 отгрузил несколько экзем</w:t>
      </w:r>
      <w:r w:rsidRPr="00070ADE">
        <w:rPr>
          <w:rFonts w:ascii="Times New Roman" w:hAnsi="Times New Roman"/>
          <w:color w:val="000000" w:themeColor="text1"/>
          <w:sz w:val="16"/>
          <w:szCs w:val="16"/>
        </w:rPr>
        <w:softHyphen/>
        <w:t>пляров и другим заказчикам, и в ОКБ-155. Но сам Артем Иванович больше не видел ни перспектив в этом самолете, ни нуж</w:t>
      </w:r>
      <w:r w:rsidRPr="00070ADE">
        <w:rPr>
          <w:rFonts w:ascii="Times New Roman" w:hAnsi="Times New Roman"/>
          <w:color w:val="000000" w:themeColor="text1"/>
          <w:sz w:val="16"/>
          <w:szCs w:val="16"/>
        </w:rPr>
        <w:softHyphen/>
        <w:t>ды в нем.</w:t>
      </w:r>
    </w:p>
    <w:p w14:paraId="05B08BE5" w14:textId="77777777" w:rsidR="00237933" w:rsidRPr="00070ADE" w:rsidRDefault="002379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Первый год, проведенный в Москве на своем заводе №155 после возвраще</w:t>
      </w:r>
      <w:r w:rsidRPr="00070ADE">
        <w:rPr>
          <w:rFonts w:ascii="Times New Roman" w:hAnsi="Times New Roman"/>
          <w:color w:val="000000" w:themeColor="text1"/>
          <w:sz w:val="16"/>
          <w:szCs w:val="16"/>
        </w:rPr>
        <w:softHyphen/>
        <w:t>ния из эвакуации, показал Микояну, что превратить его в собственную достаточ</w:t>
      </w:r>
      <w:r w:rsidRPr="00070ADE">
        <w:rPr>
          <w:rFonts w:ascii="Times New Roman" w:hAnsi="Times New Roman"/>
          <w:color w:val="000000" w:themeColor="text1"/>
          <w:sz w:val="16"/>
          <w:szCs w:val="16"/>
        </w:rPr>
        <w:softHyphen/>
        <w:t>но мощную серийную производственную базу не удалось, и не удастся. А коли так - нет нужды сохранять производственную оснастку МиГ-3, который проектировал</w:t>
      </w:r>
      <w:r w:rsidRPr="00070ADE">
        <w:rPr>
          <w:rFonts w:ascii="Times New Roman" w:hAnsi="Times New Roman"/>
          <w:color w:val="000000" w:themeColor="text1"/>
          <w:sz w:val="16"/>
          <w:szCs w:val="16"/>
        </w:rPr>
        <w:softHyphen/>
        <w:t>ся еще до войны. Ее перевозка и сбор</w:t>
      </w:r>
      <w:r w:rsidRPr="00070ADE">
        <w:rPr>
          <w:rFonts w:ascii="Times New Roman" w:hAnsi="Times New Roman"/>
          <w:color w:val="000000" w:themeColor="text1"/>
          <w:sz w:val="16"/>
          <w:szCs w:val="16"/>
        </w:rPr>
        <w:softHyphen/>
        <w:t>ка на новом месте будет дороже создания нового комплекта там. Переход на прин</w:t>
      </w:r>
      <w:r w:rsidRPr="00070ADE">
        <w:rPr>
          <w:rFonts w:ascii="Times New Roman" w:hAnsi="Times New Roman"/>
          <w:color w:val="000000" w:themeColor="text1"/>
          <w:sz w:val="16"/>
          <w:szCs w:val="16"/>
        </w:rPr>
        <w:softHyphen/>
        <w:t>ципиально новую конструкцию открывал пути к новой аэродинамике. Тогда мож</w:t>
      </w:r>
      <w:r w:rsidRPr="00070ADE">
        <w:rPr>
          <w:rFonts w:ascii="Times New Roman" w:hAnsi="Times New Roman"/>
          <w:color w:val="000000" w:themeColor="text1"/>
          <w:sz w:val="16"/>
          <w:szCs w:val="16"/>
        </w:rPr>
        <w:softHyphen/>
        <w:t>но было бы, например, заменить достав</w:t>
      </w:r>
      <w:r w:rsidRPr="00070ADE">
        <w:rPr>
          <w:rFonts w:ascii="Times New Roman" w:hAnsi="Times New Roman"/>
          <w:color w:val="000000" w:themeColor="text1"/>
          <w:sz w:val="16"/>
          <w:szCs w:val="16"/>
        </w:rPr>
        <w:softHyphen/>
        <w:t>шийся истребителю МиГ-3 «в наследство» от биплана И-153 устаревший профиль крыла Clark-YH на более современный, скажем, NACA230.</w:t>
      </w:r>
    </w:p>
    <w:p w14:paraId="60F383D1" w14:textId="77777777" w:rsidR="00237933" w:rsidRPr="00070ADE" w:rsidRDefault="002379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Требовала кардинальных изменений силовая установка и система ее наддува. Нужен был специальный высотный воз</w:t>
      </w:r>
      <w:r w:rsidRPr="00070ADE">
        <w:rPr>
          <w:rFonts w:ascii="Times New Roman" w:hAnsi="Times New Roman"/>
          <w:color w:val="000000" w:themeColor="text1"/>
          <w:sz w:val="16"/>
          <w:szCs w:val="16"/>
        </w:rPr>
        <w:softHyphen/>
        <w:t>душный винт. Крайне желательно было бы усилить вооружение, ведь перехватчику надо сбить врага с первой атаки. И, нако</w:t>
      </w:r>
      <w:r w:rsidRPr="00070ADE">
        <w:rPr>
          <w:rFonts w:ascii="Times New Roman" w:hAnsi="Times New Roman"/>
          <w:color w:val="000000" w:themeColor="text1"/>
          <w:sz w:val="16"/>
          <w:szCs w:val="16"/>
        </w:rPr>
        <w:softHyphen/>
        <w:t>нец, гермокабина - ее уже имели некото</w:t>
      </w:r>
      <w:r w:rsidRPr="00070ADE">
        <w:rPr>
          <w:rFonts w:ascii="Times New Roman" w:hAnsi="Times New Roman"/>
          <w:color w:val="000000" w:themeColor="text1"/>
          <w:sz w:val="16"/>
          <w:szCs w:val="16"/>
        </w:rPr>
        <w:softHyphen/>
        <w:t>рые перехватчики за рубежом (23398).</w:t>
      </w:r>
    </w:p>
    <w:p w14:paraId="7914C888" w14:textId="77777777" w:rsidR="00237933" w:rsidRPr="00070ADE" w:rsidRDefault="00237933" w:rsidP="00B56F90">
      <w:pPr>
        <w:spacing w:after="0" w:line="240" w:lineRule="auto"/>
        <w:jc w:val="both"/>
        <w:rPr>
          <w:rFonts w:ascii="Times New Roman" w:hAnsi="Times New Roman"/>
          <w:color w:val="000000" w:themeColor="text1"/>
          <w:sz w:val="16"/>
          <w:szCs w:val="16"/>
        </w:rPr>
      </w:pPr>
    </w:p>
    <w:p w14:paraId="2D5E00EB" w14:textId="77777777" w:rsidR="00237933" w:rsidRPr="00070ADE" w:rsidRDefault="0023793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г. в полёте при переходе на фор</w:t>
      </w:r>
      <w:r w:rsidRPr="00070ADE">
        <w:rPr>
          <w:rFonts w:ascii="Times New Roman" w:hAnsi="Times New Roman"/>
          <w:color w:val="000000" w:themeColor="text1"/>
          <w:sz w:val="16"/>
          <w:szCs w:val="16"/>
        </w:rPr>
        <w:softHyphen/>
        <w:t>сированный режим у И-231 ОКБ-155 вышел из строя мотор. Получение нового мотора АМ-39 затянулось, и вскоре работы по самолёту были вообще прекращены (23379).</w:t>
      </w:r>
    </w:p>
    <w:p w14:paraId="0A56066D" w14:textId="77777777" w:rsidR="00237933" w:rsidRPr="00070ADE" w:rsidRDefault="00237933" w:rsidP="00B56F90">
      <w:pPr>
        <w:spacing w:after="0" w:line="240" w:lineRule="auto"/>
        <w:jc w:val="both"/>
        <w:rPr>
          <w:rFonts w:ascii="Times New Roman" w:hAnsi="Times New Roman"/>
          <w:color w:val="000000" w:themeColor="text1"/>
          <w:sz w:val="16"/>
          <w:szCs w:val="16"/>
        </w:rPr>
      </w:pPr>
    </w:p>
    <w:p w14:paraId="0FA9AC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года в полете на определение максимальных горизонтальных скоростей на форсированном режиме работы мотора, мотор вышел из строя (1821).</w:t>
      </w:r>
    </w:p>
    <w:p w14:paraId="7B394B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1EE23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согласно журнала наблюдения за проектированием, постройкой и испытаниями МиГ-3 за 20 мая 1944 с-т Д2 в полете при даче форсажного режима мотор вышел из строя (992,13)..</w:t>
      </w:r>
    </w:p>
    <w:p w14:paraId="1BD8A4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1374A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состоянию на 19 мая 1944 г. полк Нормандия имел в четырех эскадрильях (“Руан”, “Гавр”, “Шербур” и “Кан”) 55 ис</w:t>
      </w:r>
      <w:r w:rsidRPr="00070ADE">
        <w:rPr>
          <w:rFonts w:ascii="Times New Roman" w:hAnsi="Times New Roman"/>
          <w:color w:val="000000" w:themeColor="text1"/>
          <w:sz w:val="16"/>
          <w:szCs w:val="16"/>
        </w:rPr>
        <w:softHyphen/>
        <w:t>требителей Як-9, 61 летчика-француза и 249 советских авиационных специа</w:t>
      </w:r>
      <w:r w:rsidRPr="00070ADE">
        <w:rPr>
          <w:rFonts w:ascii="Times New Roman" w:hAnsi="Times New Roman"/>
          <w:color w:val="000000" w:themeColor="text1"/>
          <w:sz w:val="16"/>
          <w:szCs w:val="16"/>
        </w:rPr>
        <w:softHyphen/>
        <w:t>листов. Большая часть пилотов полно</w:t>
      </w:r>
      <w:r w:rsidRPr="00070ADE">
        <w:rPr>
          <w:rFonts w:ascii="Times New Roman" w:hAnsi="Times New Roman"/>
          <w:color w:val="000000" w:themeColor="text1"/>
          <w:sz w:val="16"/>
          <w:szCs w:val="16"/>
        </w:rPr>
        <w:softHyphen/>
        <w:t>стью прошла курс переучивания, сдала зачеты и считалась боеготовой (3956).</w:t>
      </w:r>
    </w:p>
    <w:p w14:paraId="212C3E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67A71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8822C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F96E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г. нарком танковой промышленности и командующий БТ и МВ РККА в совместном приказе обязали И.М. Зальцмана, С.Н. Махонина и Ж.Я. Котина обеспечить внедрение в конструкцию танка ИС необходимых улучшений для устранения недостатков в соответст</w:t>
      </w:r>
      <w:r w:rsidRPr="00070ADE">
        <w:rPr>
          <w:rFonts w:ascii="Times New Roman" w:hAnsi="Times New Roman"/>
          <w:color w:val="000000" w:themeColor="text1"/>
          <w:sz w:val="16"/>
          <w:szCs w:val="16"/>
        </w:rPr>
        <w:softHyphen/>
        <w:t>вии с планом и провести работы по модернизации танка ИС. ЧКЗ не</w:t>
      </w:r>
      <w:r w:rsidRPr="00070ADE">
        <w:rPr>
          <w:rFonts w:ascii="Times New Roman" w:hAnsi="Times New Roman"/>
          <w:color w:val="000000" w:themeColor="text1"/>
          <w:sz w:val="16"/>
          <w:szCs w:val="16"/>
        </w:rPr>
        <w:softHyphen/>
        <w:t>обходимо было построить к 25 июня два опытных образца модернизи</w:t>
      </w:r>
      <w:r w:rsidRPr="00070ADE">
        <w:rPr>
          <w:rFonts w:ascii="Times New Roman" w:hAnsi="Times New Roman"/>
          <w:color w:val="000000" w:themeColor="text1"/>
          <w:sz w:val="16"/>
          <w:szCs w:val="16"/>
        </w:rPr>
        <w:softHyphen/>
        <w:t>рованного танка ИС-2 с внесением в агрегаты машины всех предусмо</w:t>
      </w:r>
      <w:r w:rsidRPr="00070ADE">
        <w:rPr>
          <w:rFonts w:ascii="Times New Roman" w:hAnsi="Times New Roman"/>
          <w:color w:val="000000" w:themeColor="text1"/>
          <w:sz w:val="16"/>
          <w:szCs w:val="16"/>
        </w:rPr>
        <w:softHyphen/>
        <w:t>тренных изменений. В целях быстрейшего внедрения в производство модернизированного танка ИС-2 предусматривалось провести одно</w:t>
      </w:r>
      <w:r w:rsidRPr="00070ADE">
        <w:rPr>
          <w:rFonts w:ascii="Times New Roman" w:hAnsi="Times New Roman"/>
          <w:color w:val="000000" w:themeColor="text1"/>
          <w:sz w:val="16"/>
          <w:szCs w:val="16"/>
        </w:rPr>
        <w:softHyphen/>
        <w:t>временно с изготовлением опытных образцов и подготовку серийного производства. Сборка модернизированного танка ИС-2 осуществлялась на Киров</w:t>
      </w:r>
      <w:r w:rsidRPr="00070ADE">
        <w:rPr>
          <w:rFonts w:ascii="Times New Roman" w:hAnsi="Times New Roman"/>
          <w:color w:val="000000" w:themeColor="text1"/>
          <w:sz w:val="16"/>
          <w:szCs w:val="16"/>
        </w:rPr>
        <w:softHyphen/>
        <w:t>ском заводе очень медленно. Сроки, указанные в совместном приказе НКТП и ГБТУ, не были выполнены, так как руководство Кировского завода не было заинтересовано в модернизации танка ИС-2 в связи с тем, что все внимание руководства завода было сосредоточено на созда</w:t>
      </w:r>
      <w:r w:rsidRPr="00070ADE">
        <w:rPr>
          <w:rFonts w:ascii="Times New Roman" w:hAnsi="Times New Roman"/>
          <w:color w:val="000000" w:themeColor="text1"/>
          <w:sz w:val="16"/>
          <w:szCs w:val="16"/>
        </w:rPr>
        <w:softHyphen/>
        <w:t>нии опытного образца нового тяжелого танка. Коллектив ЧКЗ пытался в кратчайшие сроки создать тяжелый танк собственной разработки, по</w:t>
      </w:r>
      <w:r w:rsidRPr="00070ADE">
        <w:rPr>
          <w:rFonts w:ascii="Times New Roman" w:hAnsi="Times New Roman"/>
          <w:color w:val="000000" w:themeColor="text1"/>
          <w:sz w:val="16"/>
          <w:szCs w:val="16"/>
        </w:rPr>
        <w:softHyphen/>
        <w:t>лучившего обозначение "Объект 701", а не улучшать характеристики и конструкцию танка ИС-2, созданного коллективом конструкторов Опытного завода № 100. Вот почему с мая по август 1944 г. все конст</w:t>
      </w:r>
      <w:r w:rsidRPr="00070ADE">
        <w:rPr>
          <w:rFonts w:ascii="Times New Roman" w:hAnsi="Times New Roman"/>
          <w:color w:val="000000" w:themeColor="text1"/>
          <w:sz w:val="16"/>
          <w:szCs w:val="16"/>
        </w:rPr>
        <w:softHyphen/>
        <w:t>рукторы и рабочие опытного цеха, созданного на ЧКЗ весной 1944 г., были вовлечены в процесс проектирования, изготовления, испытания и доводки первых трех опытных танков "Объект 701" (10703).</w:t>
      </w:r>
    </w:p>
    <w:p w14:paraId="4010E3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E3D05A" w14:textId="77777777" w:rsidR="00F9272A" w:rsidRPr="00070ADE" w:rsidRDefault="00F9272A"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19 мая 1944 года были сформированы окончательно требования к глубокой модернизации ИС-2. Список улучшений включал 20 пунктов. Некоторые из них имели прямое отношение к Объекту 701. От этой машины брались установка радиатора, привод к радиатору, поворотный механизм башни и погонное устройство. Спрямлённый нос корпуса толщиной 90 мм катаной брони либо 100 мм литой брони изготовлялся по типу носа Объекта 701. По его же подобию проектировалась башня: от новой машины бралась командирская башенка и система выемки орудия через специальный люк в крыше. Выхлопные трубы предполагалось перенести на верхний кормовой лист по типу Т-34. Такое решение полностью исключало риск попадания выхлопных газов в воздухозаборники (17756).</w:t>
      </w:r>
    </w:p>
    <w:p w14:paraId="58BCE9FB" w14:textId="77777777" w:rsidR="00F9272A" w:rsidRPr="00070ADE" w:rsidRDefault="00F9272A" w:rsidP="00B56F90">
      <w:pPr>
        <w:spacing w:after="0" w:line="240" w:lineRule="auto"/>
        <w:jc w:val="both"/>
        <w:rPr>
          <w:rFonts w:ascii="Times New Roman" w:hAnsi="Times New Roman"/>
          <w:color w:val="000000" w:themeColor="text1"/>
          <w:sz w:val="16"/>
          <w:szCs w:val="16"/>
        </w:rPr>
      </w:pPr>
    </w:p>
    <w:p w14:paraId="47DC2656" w14:textId="77777777" w:rsidR="00087C6A" w:rsidRPr="00C94B78" w:rsidRDefault="00087C6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19 мая 1944 года вышел приказ наркома танковой промышленности и командующего БТ и МВ РККА, которым они обязали директора ЧКЗ И.М. Зальцмана, главного инженера ЧКЗ С.Н. Махонина и главного конструктора Ж.Я. Котина обеспечить внедрение в конструкцию танка ИС-2 необходимых улучшений для устра</w:t>
      </w:r>
      <w:r w:rsidRPr="00C94B78">
        <w:rPr>
          <w:rFonts w:ascii="Times New Roman" w:hAnsi="Times New Roman"/>
          <w:color w:val="0070C0"/>
          <w:sz w:val="16"/>
          <w:szCs w:val="16"/>
        </w:rPr>
        <w:softHyphen/>
        <w:t>нения недостатков в соответствии с планом и провести работы по модернизации танка ИС. К 25 июня было необходимо изготовить два опытных образца модернизированного танка ИС-2 и две улучшенные самоходные установки ИСУ-152, с внесением в агрегаты машин всех предусмотренных изменений и предъявить их для полигонных испытаний комиссии НКТП и ГБТУ Красной Армии. Для быстрейшего внедрения в производство модернизированного танка ИС-2 предусматривалось провести одновременно с изготовлением опытных образцов и подготовку серийного производства (25001).</w:t>
      </w:r>
    </w:p>
    <w:p w14:paraId="63B78C21" w14:textId="77777777" w:rsidR="00087C6A" w:rsidRPr="00C94B78" w:rsidRDefault="00087C6A" w:rsidP="00B56F90">
      <w:pPr>
        <w:spacing w:after="0" w:line="240" w:lineRule="auto"/>
        <w:jc w:val="both"/>
        <w:rPr>
          <w:rFonts w:ascii="Times New Roman" w:hAnsi="Times New Roman"/>
          <w:color w:val="0070C0"/>
          <w:sz w:val="16"/>
          <w:szCs w:val="16"/>
        </w:rPr>
      </w:pPr>
    </w:p>
    <w:p w14:paraId="626921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г. вышел совместный приказ командую</w:t>
      </w:r>
      <w:r w:rsidRPr="00070ADE">
        <w:rPr>
          <w:rFonts w:ascii="Times New Roman" w:hAnsi="Times New Roman"/>
          <w:color w:val="000000" w:themeColor="text1"/>
          <w:sz w:val="16"/>
          <w:szCs w:val="16"/>
        </w:rPr>
        <w:softHyphen/>
        <w:t>щего БТ и МВ РККА и НКТП СССР, согласно которому наряду с изготовлением и испытаниями первого вари</w:t>
      </w:r>
      <w:r w:rsidRPr="00070ADE">
        <w:rPr>
          <w:rFonts w:ascii="Times New Roman" w:hAnsi="Times New Roman"/>
          <w:color w:val="000000" w:themeColor="text1"/>
          <w:sz w:val="16"/>
          <w:szCs w:val="16"/>
        </w:rPr>
        <w:softHyphen/>
        <w:t>анта модернизированного танка ИС-122 Челябинский Кировский завод, из</w:t>
      </w:r>
      <w:r w:rsidRPr="00070ADE">
        <w:rPr>
          <w:rFonts w:ascii="Times New Roman" w:hAnsi="Times New Roman"/>
          <w:color w:val="000000" w:themeColor="text1"/>
          <w:sz w:val="16"/>
          <w:szCs w:val="16"/>
        </w:rPr>
        <w:softHyphen/>
        <w:t>готовил второй образец модернизированного танка ИС «Образец А», или «Кировец-1». Этот танк при боевой мас</w:t>
      </w:r>
      <w:r w:rsidRPr="00070ADE">
        <w:rPr>
          <w:rFonts w:ascii="Times New Roman" w:hAnsi="Times New Roman"/>
          <w:color w:val="000000" w:themeColor="text1"/>
          <w:sz w:val="16"/>
          <w:szCs w:val="16"/>
        </w:rPr>
        <w:softHyphen/>
        <w:t>се 47,5 т мог передвигаться со средней скоростью до 30 км/ч по гравийному шоссе и твердой проселочной доро</w:t>
      </w:r>
      <w:r w:rsidRPr="00070ADE">
        <w:rPr>
          <w:rFonts w:ascii="Times New Roman" w:hAnsi="Times New Roman"/>
          <w:color w:val="000000" w:themeColor="text1"/>
          <w:sz w:val="16"/>
          <w:szCs w:val="16"/>
        </w:rPr>
        <w:softHyphen/>
        <w:t>ге. До 24 ноября «Кировец-1» прошел заводские испытания и, в частности, гарантированный пробег в 1000 км с оцен</w:t>
      </w:r>
      <w:r w:rsidRPr="00070ADE">
        <w:rPr>
          <w:rFonts w:ascii="Times New Roman" w:hAnsi="Times New Roman"/>
          <w:color w:val="000000" w:themeColor="text1"/>
          <w:sz w:val="16"/>
          <w:szCs w:val="16"/>
        </w:rPr>
        <w:softHyphen/>
        <w:t>кой «удовлетворительно» (11135).</w:t>
      </w:r>
    </w:p>
    <w:p w14:paraId="7636BA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9A2D9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вышло Постановление ГКО № 5931 О работе Оперативного бюро ГОКО. (7234, 1-2).</w:t>
      </w:r>
    </w:p>
    <w:p w14:paraId="31D456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РАБОТЕ ОПЕРАТИВНОГО БЮРО ГКО</w:t>
      </w:r>
    </w:p>
    <w:p w14:paraId="3A0DC3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 Кремль</w:t>
      </w:r>
    </w:p>
    <w:p w14:paraId="3D0936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Государственный Комитет Обороны ПОСТАНОВЛЯЕТ:</w:t>
      </w:r>
    </w:p>
    <w:p w14:paraId="257D108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Отнести к ведению Оперативного бюро ГОКО: а) контроль и наблюдение за работой всех наркоматов оборонной промышленности (Наркомавиапром, Наркомтанкопром, Наркомбоеприпасов, Наркомвооружения, Наркомминвооружения, Наркомсудпром), железнодорожного и водного транспорта (НКПС, Наркомречфлот, Наркомморфлот и ГУСМП), черной и цветной металлургии, угольной, нефтяной, химической, резиновой, бумажно-целлюлозной, электротехнической промышленности и Наркомата электростанций;</w:t>
      </w:r>
    </w:p>
    <w:p w14:paraId="49EF52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рассмотрение и внесение на утверждение Председателя Государственного Комитета Обороны проектов решений по отдельным вопросам, квартальных и месячных планов производства указанных выше наркоматов и квартальных планов снабжения народного хозяйства металлом, углем, нефтепродуктами, электроэнергией, а также осуществление контроля за исполнением этих планов и планов снабжения перечисленных наркоматов всеми материально-техническими средствами;</w:t>
      </w:r>
    </w:p>
    <w:p w14:paraId="7D2A81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решение текущих вопросов, касающихся наркоматов, перечисленных в п. «а», и выпуск постановлений и распоряжений по этим вопросам.</w:t>
      </w:r>
    </w:p>
    <w:p w14:paraId="62AD62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Транспортный комитет при Государственном Комитете Обороны упразднить с возложением на Оперативное бюро Государственного Комитета Обороны рассмотрения планов перевозок на железнодорожном, морском и речном транспорте.</w:t>
      </w:r>
    </w:p>
    <w:p w14:paraId="30AD36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Государственного Комитета Обороны</w:t>
      </w:r>
    </w:p>
    <w:p w14:paraId="00170D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СТАЛИН</w:t>
      </w:r>
    </w:p>
    <w:p w14:paraId="0F7AFB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РГАСПИ. Ф. 644. Оп. 1. Д. 255. Лл. 1-2 (12013).</w:t>
      </w:r>
    </w:p>
    <w:p w14:paraId="7C0F23C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DCA5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вышло Постановление ГКО № 5932 Об обеспечении сельского хозяйства Украинской ССР тракторами, оборудованием и инструментом. РГАНИР, Фонд ГКО, д. 255, лл. 3-4,5 (11012).</w:t>
      </w:r>
    </w:p>
    <w:p w14:paraId="0ACD26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B426D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вышло Распоряжение ГКО № 5933. Об обеспечении строительными материалами важнейших строек черной и цветной металлургии, НКТП, НКБ, НКВ, НКТМ, НКСМ и заводских электростанций. РГАНИР, Фонд ГКО, д. 255, лл. 6,7-9 (11012).</w:t>
      </w:r>
    </w:p>
    <w:p w14:paraId="3E7B1C8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403275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809E1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2EB001"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19 мая</w:t>
      </w:r>
      <w:r w:rsidRPr="00070ADE">
        <w:rPr>
          <w:rFonts w:ascii="Times New Roman" w:hAnsi="Times New Roman"/>
          <w:color w:val="000000" w:themeColor="text1"/>
          <w:sz w:val="16"/>
          <w:szCs w:val="16"/>
        </w:rPr>
        <w:t xml:space="preserve"> в 1944 году оперативная сводка Совинформбюро:</w:t>
      </w:r>
    </w:p>
    <w:p w14:paraId="3022BFBA"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19 мая на фронтах существенных изменений не произошло. За 18 мая наши войска подбили и уничтожили 14 немецких танков. В воздушных боях и огнём зенитной артиллерии сбито 43 самолёта противника.</w:t>
      </w:r>
    </w:p>
    <w:p w14:paraId="4022003D"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пехота противника рано утром атаковала наши позиции. Завязался ожесточённый бой, длившийся в течение всего дня. Немцы любой ценой пытались захватить выгодный рубеж, но встретили решительный отпор. К исходу дня советские бойцы отбили все атаки противника. В ходе боя уничтожено до 300 немецких солдат и офицеров, подбито и сожжено 7 танков. На другом участке наш разведывательный отряд проник в расположение противника и истребил группу гитлеровцев. Разведчики захватили в плен немецкого офицера, двух солдат и благополучно вернулись в свою часть.</w:t>
      </w:r>
    </w:p>
    <w:p w14:paraId="736FEA71"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Тирасполь Н-ская гвардейская часть отразила несколько атак противника. Вначале немцам удалось вклиниться в наши позиции. Однако гвардейцы быстро предприняли умелый обходный манёвр и поставили врага в критическое положение. Немцы отступили, оставив на поле боя до 500 убитых и раненых солдат и офицеров. Подбито и уничтожено 6 немецких танков и одно самоходное орудие.</w:t>
      </w:r>
    </w:p>
    <w:p w14:paraId="2781D96D"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Витебска подразделения Н-ской части атаковали передний край обороны противника. В результате двухчасового боя наши бойцы овладели укреплённой высотой. Захвачены пленные и трофеи.</w:t>
      </w:r>
    </w:p>
    <w:p w14:paraId="3B7F057C"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частях Н-ского соединения успешно действует группа девушек, окончивших школу снайперов. За время с 5 апреля по 14 мая они истребили более 300 немцев. Ефрейтор Р.Шанина уничтожила 15 гитлеровцев, ефрейтор Е.Красноборова — 14, ефрейторы Л.Танойлова и В.Смирнова истребили по 12 немцев каждая.</w:t>
      </w:r>
    </w:p>
    <w:p w14:paraId="13024C8D"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Краснознамённого Балтийского флота сегодня произвела налёт на финский порт Котка. В результате бомбардировки в порту возникли пожары. Повреждён пирс и другие портовые сооружения. Одна бомба разорвалась около стоявшего у причала транспорта. Транспорт загорелся.</w:t>
      </w:r>
    </w:p>
    <w:p w14:paraId="5A3F8348"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наши самолёты вернулись на свои аэродромы.</w:t>
      </w:r>
    </w:p>
    <w:p w14:paraId="519C34A0"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лётчики нанесли удар по судам противника у побережья Северной Норвегии. В результате прямых попаданий бомб потоплены сторожевой корабль и сторожевой катер. В воздушных боях сбито 7 немецких самолётов.</w:t>
      </w:r>
    </w:p>
    <w:p w14:paraId="709BC54C"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западных областях Украины, за два месяца пустил под откос десятки немецких воинских эшелонов, следовавших к линии фронта. Разбиты 28 паровозов и более 400 вагонов и платформ с войсками и техникой противника. В одном селе гитлеровцы устроили облаву. Немцы задержали многих мужчин и женщин и намеревались угнать их на каторгу в Германию. Партизаны узнали об этом и пришли на помощь мирному населению. Они стремительно ворвались в село и разгромили немецкий отряд. Убито 30 гитлеровцев. Остальные немцы убежали, побросав оружие.</w:t>
      </w:r>
    </w:p>
    <w:p w14:paraId="22ECF962"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одном участке 1-го Украинского фронта на сторону Красной Армии перешли 22 солдата 25 полка 25 венгерской пехотной дивизии. В другом районе на нашу сторону перешли 19 солдат 57 венгерского пехотного полка. Перебежчики принесли и сдали винтовки и 6 ручных пулемётов. Капрал X. заявил: «Еще будучи в Венгрии, мы сговорились не воевать на стороне немцев. При первом удобном случае решили сдаться в плен. Воспользовавшись тем, что нас послали в боевое охранение, мы перешли к русским». В тот же день пять солдат и два капрала 27 венгерского полка обратились к крестьянину прифронтовой деревни с просьбой помочь им перейти насторону Красной Армии. Крестьянин привел перебежчиков в расположение наших войск.</w:t>
      </w:r>
    </w:p>
    <w:p w14:paraId="7827F958"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жителей города Даугавпилс (Двинск) Латвийской ССР бежали из немецкой тюрьмы. Советские граждане благополучно перебрались через линию фронта. Бежавшие из фашистского застенка рассказали: «Захватив город Даугавпилс, немцы разграбили магазины и квартиры. Сразу же начались массовые аресты и расстрелы мирных жителей. Гитлеровцы хватали и убивали сотни и тысячи граждан, причастных к каким-либо советским общественным организациям. Людей расстреливали за то, что они состояли членами профсоюзов, МОПР'а или посещали клубы. Расстрелы происходили за тюрьмой, в железнодорожном парке, в дачных местностях Погулянки и Стропы. Только за первые шесть месяцев немецко-фашистские убийцы расстреляли и замучили более десяти тысяч жителей города. Многие советские граждане былиброшены в тюрьму. Все камеры в старом четырёхэтажном корпусе городской тюрьмыбыли битком набиты. Зимой тюрьма не отапливалась. Заключённые мёрзли, умирали от холода и голода, от побоев и пыток. На допросах гестаповцы замучили сотни заключённых, в том числе многих врачей, учителей и других представителей интеллигенции. Особенно зверствовали фашистские палачи Крист, Циртис, Штакан и начальник тюрьмы Лаздан» (14896).</w:t>
      </w:r>
    </w:p>
    <w:p w14:paraId="30958F85" w14:textId="77777777" w:rsidR="005F2ECF" w:rsidRPr="00070ADE" w:rsidRDefault="005F2ECF" w:rsidP="00B56F90">
      <w:pPr>
        <w:spacing w:after="0" w:line="240" w:lineRule="auto"/>
        <w:jc w:val="both"/>
        <w:rPr>
          <w:rFonts w:ascii="Times New Roman" w:hAnsi="Times New Roman"/>
          <w:color w:val="000000" w:themeColor="text1"/>
          <w:sz w:val="16"/>
          <w:szCs w:val="16"/>
        </w:rPr>
      </w:pPr>
    </w:p>
    <w:p w14:paraId="74AFA02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на БФ две группы топмачтовиков по 6 Ил-2 при поддержке 10 и 12 Ил-2 для подавления зенитной артиллерии и 48 и прикрытия + 20 Ла-5, блокировавших аэродромы, за 6 минут потопили 6 плавединиц. За две недели мая топмачтовики, выполнив 33 с/вылета, потопили 13 плавединиц на южном побережье Финского залива (4414,12).</w:t>
      </w:r>
    </w:p>
    <w:p w14:paraId="10A0ED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CE1ECB" w14:textId="77777777" w:rsidR="00444AC2" w:rsidRPr="00070ADE" w:rsidRDefault="00444AC2" w:rsidP="00B56F90">
      <w:pPr>
        <w:pStyle w:val="ae"/>
        <w:spacing w:before="0" w:after="0"/>
        <w:jc w:val="both"/>
        <w:textAlignment w:val="baseline"/>
        <w:rPr>
          <w:color w:val="000000" w:themeColor="text1"/>
          <w:sz w:val="16"/>
          <w:szCs w:val="16"/>
        </w:rPr>
      </w:pPr>
      <w:r w:rsidRPr="00070ADE">
        <w:rPr>
          <w:color w:val="000000" w:themeColor="text1"/>
          <w:sz w:val="16"/>
          <w:szCs w:val="16"/>
        </w:rPr>
        <w:t>Ранним утром 19 мая 1944 16 Ил-2 из 35-го шап атаковали дозорные корабли, обнаруженные авиаразведкой у эстонского побережья в районе поселка Азери, приблизительно в двадцати километрах к юго-востоку от маяка Кунда. На этот раз немецкие зенитчики подбили штурмовик лейтенанта Анатолия Стратилова. Горящий штурмовик снизился до высоты два-три метра и врезался точно в борт тральщика, который после этого взорвался и вскоре затонул.</w:t>
      </w:r>
    </w:p>
    <w:p w14:paraId="66801A20" w14:textId="77777777" w:rsidR="00444AC2" w:rsidRPr="00070ADE" w:rsidRDefault="00444AC2" w:rsidP="00B56F90">
      <w:pPr>
        <w:pStyle w:val="ae"/>
        <w:spacing w:before="0" w:after="0"/>
        <w:jc w:val="both"/>
        <w:textAlignment w:val="baseline"/>
        <w:rPr>
          <w:color w:val="000000" w:themeColor="text1"/>
          <w:sz w:val="16"/>
          <w:szCs w:val="16"/>
        </w:rPr>
      </w:pPr>
      <w:r w:rsidRPr="00070ADE">
        <w:rPr>
          <w:color w:val="000000" w:themeColor="text1"/>
          <w:sz w:val="16"/>
          <w:szCs w:val="16"/>
        </w:rPr>
        <w:t xml:space="preserve">Однако по неизвестным причинам летчик не был представлен к званию Героя, как в предыдущем эпизоде. При этом, по иронии судьбы, это оказался первый из немногочисленных случаев, когда данные противоположной стороны подтверждают рапорты советских пилотов. В то утро в районе Азери в результате воздушного </w:t>
      </w:r>
      <w:r w:rsidRPr="00070ADE">
        <w:rPr>
          <w:color w:val="000000" w:themeColor="text1"/>
          <w:sz w:val="16"/>
          <w:szCs w:val="16"/>
        </w:rPr>
        <w:lastRenderedPageBreak/>
        <w:t>удара кригсмарине действительно потеряли тральщик М-3121 (19522).</w:t>
      </w:r>
    </w:p>
    <w:p w14:paraId="5B77294C" w14:textId="77777777" w:rsidR="00444AC2" w:rsidRPr="00070ADE" w:rsidRDefault="00444AC2" w:rsidP="00B56F90">
      <w:pPr>
        <w:pStyle w:val="ae"/>
        <w:spacing w:before="0" w:after="0"/>
        <w:jc w:val="both"/>
        <w:textAlignment w:val="baseline"/>
        <w:rPr>
          <w:color w:val="000000" w:themeColor="text1"/>
          <w:sz w:val="16"/>
          <w:szCs w:val="16"/>
        </w:rPr>
      </w:pPr>
    </w:p>
    <w:p w14:paraId="057823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г. был “огненный таран” на Балтике. Это первый случай, когда можно достоверно утверждать, что в ходе его был действительно потоплен вражеский корабль. В тот день 16 Ил-2 из состава 35-го ШАП нанесли удар по корабельному дозору противника в районе Асери. Штурмовик лейтенанта А.И.Стратилатова и стрелка-радиста младшего сержанта С.Ф. Самойлова был подбит и на бреющем полете на высоте 2-3 метров врезался в борт тральщика. По данным немецких документов и справочников, 19 мая 1944 г. в 04.15 в ходе налета авиации противника тральщик М-3121 был потоплен в районе с координатами 59°28' сш. 27°ОГ вд. Обычно немецкие источники достаточно подробно освещают обстоятельства потопления или повреждения своих кораблей. Однако в данном случае о причинах гибели скупо указано “взорвался в ходе атаки авиации противника” (8942).</w:t>
      </w:r>
    </w:p>
    <w:p w14:paraId="6CE846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DD392F"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19 мая</w:t>
      </w:r>
      <w:r w:rsidRPr="00070ADE">
        <w:rPr>
          <w:rFonts w:ascii="Times New Roman" w:hAnsi="Times New Roman"/>
          <w:color w:val="000000" w:themeColor="text1"/>
          <w:sz w:val="16"/>
          <w:szCs w:val="16"/>
        </w:rPr>
        <w:t xml:space="preserve"> в 1944 году на территории СССР формируется 3-я чехословацкая пехотная бригада (14896).</w:t>
      </w:r>
    </w:p>
    <w:p w14:paraId="32E791D2" w14:textId="77777777" w:rsidR="005F2ECF" w:rsidRPr="00070ADE" w:rsidRDefault="005F2ECF" w:rsidP="00B56F90">
      <w:pPr>
        <w:spacing w:after="0" w:line="240" w:lineRule="auto"/>
        <w:jc w:val="both"/>
        <w:rPr>
          <w:rFonts w:ascii="Times New Roman" w:hAnsi="Times New Roman"/>
          <w:color w:val="000000" w:themeColor="text1"/>
          <w:sz w:val="16"/>
          <w:szCs w:val="16"/>
        </w:rPr>
      </w:pPr>
    </w:p>
    <w:p w14:paraId="78D205A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2C2F7B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9E375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Совнарком СССР учредил Совет по делам религиозных культов (4962).</w:t>
      </w:r>
    </w:p>
    <w:p w14:paraId="34BE20C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FB7AA1"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19 мая</w:t>
      </w:r>
      <w:r w:rsidRPr="00070ADE">
        <w:rPr>
          <w:rFonts w:ascii="Times New Roman" w:hAnsi="Times New Roman"/>
          <w:color w:val="000000" w:themeColor="text1"/>
          <w:sz w:val="16"/>
          <w:szCs w:val="16"/>
        </w:rPr>
        <w:t xml:space="preserve"> в 1944 году в соответствии с новым курсом в отношениях между советскими органами и религиозными конфессиями в СССР принимается решение о создании Совета по делам неправославных культов. Через 2 года мусульманам официально разрешат паломничество в Мекку (14896).</w:t>
      </w:r>
    </w:p>
    <w:p w14:paraId="569C6F9E" w14:textId="77777777" w:rsidR="005F2ECF" w:rsidRPr="00070ADE" w:rsidRDefault="005F2ECF" w:rsidP="00B56F90">
      <w:pPr>
        <w:spacing w:after="0" w:line="240" w:lineRule="auto"/>
        <w:jc w:val="both"/>
        <w:rPr>
          <w:rFonts w:ascii="Times New Roman" w:hAnsi="Times New Roman"/>
          <w:color w:val="000000" w:themeColor="text1"/>
          <w:sz w:val="16"/>
          <w:szCs w:val="16"/>
        </w:rPr>
      </w:pPr>
    </w:p>
    <w:p w14:paraId="4A72E76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352511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0CBC86"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19 мая</w:t>
      </w:r>
      <w:r w:rsidRPr="00070ADE">
        <w:rPr>
          <w:rFonts w:ascii="Times New Roman" w:hAnsi="Times New Roman"/>
          <w:color w:val="000000" w:themeColor="text1"/>
          <w:sz w:val="16"/>
          <w:szCs w:val="16"/>
        </w:rPr>
        <w:t xml:space="preserve"> в 1944 году американский средний транспортный самолет - летающая лодка «JRM» «Marshal Mars», установила своеобразный рекорд, совершив полет с 301 пассажиром и 7 членами экипажа на борту (14896).</w:t>
      </w:r>
    </w:p>
    <w:p w14:paraId="05A94A7B" w14:textId="77777777" w:rsidR="005F2ECF" w:rsidRPr="00070ADE" w:rsidRDefault="005F2ECF" w:rsidP="00B56F90">
      <w:pPr>
        <w:spacing w:after="0" w:line="240" w:lineRule="auto"/>
        <w:jc w:val="both"/>
        <w:rPr>
          <w:rFonts w:ascii="Times New Roman" w:hAnsi="Times New Roman"/>
          <w:color w:val="000000" w:themeColor="text1"/>
          <w:sz w:val="16"/>
          <w:szCs w:val="16"/>
        </w:rPr>
      </w:pPr>
    </w:p>
    <w:p w14:paraId="4A9B1671"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19 мая</w:t>
      </w:r>
      <w:r w:rsidRPr="00070ADE">
        <w:rPr>
          <w:rFonts w:ascii="Times New Roman" w:hAnsi="Times New Roman"/>
          <w:color w:val="000000" w:themeColor="text1"/>
          <w:sz w:val="16"/>
          <w:szCs w:val="16"/>
        </w:rPr>
        <w:t xml:space="preserve"> в 1944 году облетали прототип – </w:t>
      </w:r>
      <w:hyperlink r:id="rId132" w:tgtFrame="_blank" w:history="1">
        <w:r w:rsidRPr="00070ADE">
          <w:rPr>
            <w:rFonts w:ascii="Times New Roman" w:hAnsi="Times New Roman"/>
            <w:color w:val="000000" w:themeColor="text1"/>
            <w:sz w:val="16"/>
            <w:szCs w:val="16"/>
          </w:rPr>
          <w:t xml:space="preserve">«Do-335V7» </w:t>
        </w:r>
      </w:hyperlink>
      <w:r w:rsidRPr="00070ADE">
        <w:rPr>
          <w:rFonts w:ascii="Times New Roman" w:hAnsi="Times New Roman"/>
          <w:color w:val="000000" w:themeColor="text1"/>
          <w:sz w:val="16"/>
          <w:szCs w:val="16"/>
        </w:rPr>
        <w:t>(CP+UG, W.Nr. 230007), после чего передали на предприятие «Junkers» в Дессау. Там самолет должны были подготовить к установке двигателей «Jumo213», по характеристикам похожие на «DB603». Скорее всего, «V7» ни разу не поднимался в воздух с двигателями «Jumo 213», а в январе 1945 года машину вернули Дорнье. Известен один послевоенный снимок этого самолета - разбитая машина, брошенная на опушке леса (правда, на фото можно разглядеть только второстепенные детали конструкции). Передний мотор оторван и валяется на боку перед самолетом. Фотография очень низкого качества, невозможно точно определить тип заднего двигателя. Передний, оторванный двигатель по мнению специалистов - стандартный «DB603». Скорее всего, вернувшись на родной завод, самолет получил "родные" двигатели. Правда, есть предположение, что «Юнкерс» заменил только задний мотор. В этом случае у прототипа воздухозаборники обоих двигателей должны находиться на одном, правом борту. Объединение двух разных двигателей в одном фюзеляже было возможно, так как оба мотора работали на бензине В4 с октановым числом 87. На серийных самолетах, конечно, предполагалось ставить двигатели одного типа. Но другие подробности проекта навсегда останутся тайной (14896).</w:t>
      </w:r>
    </w:p>
    <w:p w14:paraId="3AB8CB03" w14:textId="77777777" w:rsidR="005F2ECF" w:rsidRPr="00070ADE" w:rsidRDefault="005F2ECF" w:rsidP="00B56F90">
      <w:pPr>
        <w:spacing w:after="0" w:line="240" w:lineRule="auto"/>
        <w:jc w:val="both"/>
        <w:rPr>
          <w:rFonts w:ascii="Times New Roman" w:hAnsi="Times New Roman"/>
          <w:color w:val="000000" w:themeColor="text1"/>
          <w:sz w:val="16"/>
          <w:szCs w:val="16"/>
        </w:rPr>
      </w:pPr>
    </w:p>
    <w:p w14:paraId="5E51036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по приказу Гитлера расстреляны 50 офицеров союзников, пытавшихся бежать из лагеря военнопленных в Сагане (Силезия) (4962).</w:t>
      </w:r>
    </w:p>
    <w:p w14:paraId="64FBC9E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7C79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19th, 1944: In Italy, British troops capture Aquino airfield in the Liri valley SE of Rome (3819).</w:t>
      </w:r>
    </w:p>
    <w:p w14:paraId="0442B0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D6BE5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британские войска освободили аэродром Акуино в долине Лири (3819).</w:t>
      </w:r>
    </w:p>
    <w:p w14:paraId="7F60FD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D700E1"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19 мая</w:t>
      </w:r>
      <w:r w:rsidRPr="00070ADE">
        <w:rPr>
          <w:rFonts w:ascii="Times New Roman" w:hAnsi="Times New Roman"/>
          <w:color w:val="000000" w:themeColor="text1"/>
          <w:sz w:val="16"/>
          <w:szCs w:val="16"/>
        </w:rPr>
        <w:t xml:space="preserve"> в 1944 году начало германскими оккупационными властями генеральной регистрации и призыва в армию жителей Норвегии. Однако вместо планировавшейся мобилизации 70 тысяч удалось мобилизовать только 300 человек (14896).</w:t>
      </w:r>
    </w:p>
    <w:p w14:paraId="414998C5" w14:textId="77777777" w:rsidR="005F2ECF" w:rsidRPr="00070ADE" w:rsidRDefault="005F2ECF" w:rsidP="00B56F90">
      <w:pPr>
        <w:spacing w:after="0" w:line="240" w:lineRule="auto"/>
        <w:jc w:val="both"/>
        <w:rPr>
          <w:rFonts w:ascii="Times New Roman" w:hAnsi="Times New Roman"/>
          <w:color w:val="000000" w:themeColor="text1"/>
          <w:sz w:val="16"/>
          <w:szCs w:val="16"/>
        </w:rPr>
      </w:pPr>
    </w:p>
    <w:p w14:paraId="3F76A0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Выход в отставку правительства Д. Божилова в Болгарии (7448).</w:t>
      </w:r>
    </w:p>
    <w:p w14:paraId="44E5D3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F2C6F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FC777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5182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мая 1944 вышел приказ НКАП и командующего АДД N 348с/0175:</w:t>
      </w:r>
    </w:p>
    <w:p w14:paraId="0BF68E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"Флюгерный винт УФ-61ИФ удовлетворительно прошел летные испытания в ЛИИ, показав преимущества перед серийным винтом ВИШ-23.</w:t>
      </w:r>
    </w:p>
    <w:p w14:paraId="0CC6A3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проверки в условиях боевой эксплуатации флюгерных винтов УФ-61ИФ на самолетах Ил-4 с М-88Б:</w:t>
      </w:r>
    </w:p>
    <w:p w14:paraId="3B6E76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Директору завода 456 Филимончуку до 15 июля 1944 выпустить 25 самолетов Ил-4 с флюгерными винтами УФ-61ИФ</w:t>
      </w:r>
    </w:p>
    <w:p w14:paraId="17B513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ГИ АДД г-л АС Маркову обеспечить опытную войсковую эксплуатацию флюгерных винтов и к 25 августа 1944 дать заключение о серийном выпуске самолетов Ил-4 с флюгерными винтами УФ-61ИФ</w:t>
      </w:r>
    </w:p>
    <w:p w14:paraId="18C90C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ГК С.В.И.</w:t>
      </w:r>
    </w:p>
    <w:p w14:paraId="73EB18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разработать и передать заводу 456 к 1 июля с.г. рабочие чертежи для изготовления деталей и узлов, необходимых при установке агрегатов управления флюгером винта УФ-61ИФ, а также чертежи и схемы установки второго генератора на самолет Ил-4</w:t>
      </w:r>
    </w:p>
    <w:p w14:paraId="1D142D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передать заводу 456 к 20 мая с.г. чертежи для изготовления коков к винтам УФ-61ИФ (1600,135).</w:t>
      </w:r>
    </w:p>
    <w:p w14:paraId="2A2106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002F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мая 1944 состоялся первый вы</w:t>
      </w:r>
      <w:r w:rsidRPr="00070ADE">
        <w:rPr>
          <w:rFonts w:ascii="Times New Roman" w:hAnsi="Times New Roman"/>
          <w:color w:val="000000" w:themeColor="text1"/>
          <w:sz w:val="16"/>
          <w:szCs w:val="16"/>
        </w:rPr>
        <w:softHyphen/>
        <w:t>лет с РЛС Ил-4 5-го гв. мтап. Антенная система уменьшала скорость примерно на 20 км/ч и несколько ухудшила мане</w:t>
      </w:r>
      <w:r w:rsidRPr="00070ADE">
        <w:rPr>
          <w:rFonts w:ascii="Times New Roman" w:hAnsi="Times New Roman"/>
          <w:color w:val="000000" w:themeColor="text1"/>
          <w:sz w:val="16"/>
          <w:szCs w:val="16"/>
        </w:rPr>
        <w:softHyphen/>
        <w:t>вренность. Первый ночной поиск имел место 6 июня. Но нашли лишь несколь</w:t>
      </w:r>
      <w:r w:rsidRPr="00070ADE">
        <w:rPr>
          <w:rFonts w:ascii="Times New Roman" w:hAnsi="Times New Roman"/>
          <w:color w:val="000000" w:themeColor="text1"/>
          <w:sz w:val="16"/>
          <w:szCs w:val="16"/>
        </w:rPr>
        <w:softHyphen/>
        <w:t>ко рыболовецких судов у румынского берега, на которые не стоило тратить торпеду. И все последующие боевые вылеты с РЛС закончились безрезультатно. На Балтике такие же радары ста</w:t>
      </w:r>
      <w:r w:rsidRPr="00070ADE">
        <w:rPr>
          <w:rFonts w:ascii="Times New Roman" w:hAnsi="Times New Roman"/>
          <w:color w:val="000000" w:themeColor="text1"/>
          <w:sz w:val="16"/>
          <w:szCs w:val="16"/>
        </w:rPr>
        <w:softHyphen/>
        <w:t>вили на А-20, их применение было бо</w:t>
      </w:r>
      <w:r w:rsidRPr="00070ADE">
        <w:rPr>
          <w:rFonts w:ascii="Times New Roman" w:hAnsi="Times New Roman"/>
          <w:color w:val="000000" w:themeColor="text1"/>
          <w:sz w:val="16"/>
          <w:szCs w:val="16"/>
        </w:rPr>
        <w:softHyphen/>
        <w:t>лее удачным (10734,85).</w:t>
      </w:r>
    </w:p>
    <w:p w14:paraId="321A13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E18E56" w14:textId="77777777" w:rsidR="00DE35AF" w:rsidRPr="00C94B78" w:rsidRDefault="00DE35AF"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20 мая 1944 г. был совершен первый вылет Ил-4Т (командир экипажа В.И. Минаков) с РЛС «Гнейс-2М». Первый ночной поиск состоялся 6 июня: обнаружили несколько рыболовец</w:t>
      </w:r>
      <w:r w:rsidRPr="00C94B78">
        <w:rPr>
          <w:rStyle w:val="aff1"/>
          <w:rFonts w:ascii="Times New Roman" w:hAnsi="Times New Roman" w:cs="Times New Roman"/>
          <w:color w:val="0070C0"/>
          <w:spacing w:val="0"/>
          <w:sz w:val="16"/>
          <w:szCs w:val="16"/>
        </w:rPr>
        <w:softHyphen/>
        <w:t>ких судов у румынского берега, на которые не стоило тратить торпеду. Первые «Бостоны» с «Гнейсами» тогда же поступили в 15-й отдельный разведывательный авиаполк ВВС Краснознаменного Балтийского флота. Бортовые РЛС «Гнейс-2М», после полного освоения их экипажами, позволили повысить эффективность боевых действий минно-тор</w:t>
      </w:r>
      <w:r w:rsidRPr="00C94B78">
        <w:rPr>
          <w:rStyle w:val="aff1"/>
          <w:rFonts w:ascii="Times New Roman" w:hAnsi="Times New Roman" w:cs="Times New Roman"/>
          <w:color w:val="0070C0"/>
          <w:spacing w:val="0"/>
          <w:sz w:val="16"/>
          <w:szCs w:val="16"/>
        </w:rPr>
        <w:softHyphen/>
        <w:t>педной авиации ВМФ, особенно в тяжелых метеоусловиях. Первая ночная торпедная атака транспорта противника с использова</w:t>
      </w:r>
      <w:r w:rsidRPr="00C94B78">
        <w:rPr>
          <w:rStyle w:val="aff1"/>
          <w:rFonts w:ascii="Times New Roman" w:hAnsi="Times New Roman" w:cs="Times New Roman"/>
          <w:color w:val="0070C0"/>
          <w:spacing w:val="0"/>
          <w:sz w:val="16"/>
          <w:szCs w:val="16"/>
        </w:rPr>
        <w:softHyphen/>
        <w:t>нием «Гнейса» была совершена в Рижском заливе 7 апреля 1944 года (25693).</w:t>
      </w:r>
    </w:p>
    <w:p w14:paraId="701E38EE" w14:textId="77777777" w:rsidR="00DE35AF" w:rsidRPr="00C94B78" w:rsidRDefault="00DE35AF" w:rsidP="00B56F90">
      <w:pPr>
        <w:spacing w:after="0" w:line="240" w:lineRule="auto"/>
        <w:jc w:val="both"/>
        <w:rPr>
          <w:rFonts w:ascii="Times New Roman" w:hAnsi="Times New Roman"/>
          <w:color w:val="0070C0"/>
          <w:sz w:val="16"/>
          <w:szCs w:val="16"/>
          <w:shd w:val="clear" w:color="auto" w:fill="FFFFFF"/>
        </w:rPr>
      </w:pPr>
    </w:p>
    <w:p w14:paraId="2D678F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мая 1944 года в НИИ ВВС прибыл на государственное испытание самолет Пе-2Б с 2ВК-105ПФ эталон 1944 года после ремонта моторамы на заводе N 23. На самолете произведено 2 полета на определение температурных режимов винто-моторной группы. 22 мая 1944 года при проведении километража была замечена тряска левого мотора, вследствие чего задание было прекращено. Осмотром и опробованием мотора на земле установлено, что причиной тряски является попадание масла в карбюраторы, вследствие разрушения уплотнения подшипника нагнетателя. Мотор подлежит замене. Испытания самолета приостановлены до получения нового мотора ВК-105ПФ (1821).</w:t>
      </w:r>
    </w:p>
    <w:p w14:paraId="78F8A1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78A45E" w14:textId="77777777" w:rsidR="0052130F" w:rsidRPr="00070ADE" w:rsidRDefault="005213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20 мая 1944 г. по докладу инженер-майора Шалагина по ИТП (М-2) АМ-39 «никаких даже ориентиро</w:t>
      </w:r>
      <w:r w:rsidRPr="00070ADE">
        <w:rPr>
          <w:rFonts w:ascii="Times New Roman" w:hAnsi="Times New Roman"/>
          <w:color w:val="000000" w:themeColor="text1"/>
          <w:sz w:val="16"/>
          <w:szCs w:val="16"/>
        </w:rPr>
        <w:softHyphen/>
        <w:t>вочных данных по самолету ИТП заводски</w:t>
      </w:r>
      <w:r w:rsidRPr="00070ADE">
        <w:rPr>
          <w:rFonts w:ascii="Times New Roman" w:hAnsi="Times New Roman"/>
          <w:color w:val="000000" w:themeColor="text1"/>
          <w:sz w:val="16"/>
          <w:szCs w:val="16"/>
        </w:rPr>
        <w:softHyphen/>
        <w:t>ми испытаниями не получено» (24308).</w:t>
      </w:r>
    </w:p>
    <w:p w14:paraId="43467D52" w14:textId="77777777" w:rsidR="0052130F" w:rsidRPr="00070ADE" w:rsidRDefault="0052130F" w:rsidP="00B56F90">
      <w:pPr>
        <w:spacing w:after="0" w:line="240" w:lineRule="auto"/>
        <w:jc w:val="both"/>
        <w:rPr>
          <w:rFonts w:ascii="Times New Roman" w:hAnsi="Times New Roman"/>
          <w:color w:val="000000" w:themeColor="text1"/>
          <w:sz w:val="16"/>
          <w:szCs w:val="16"/>
        </w:rPr>
      </w:pPr>
    </w:p>
    <w:p w14:paraId="63C9DA31" w14:textId="77777777" w:rsidR="0052130F" w:rsidRPr="00070ADE" w:rsidRDefault="0052130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мая 1944 г. начальник 8</w:t>
      </w:r>
      <w:r w:rsidRPr="00070ADE">
        <w:rPr>
          <w:rFonts w:ascii="Times New Roman" w:hAnsi="Times New Roman"/>
          <w:color w:val="000000" w:themeColor="text1"/>
          <w:sz w:val="16"/>
          <w:szCs w:val="16"/>
        </w:rPr>
        <w:noBreakHyphen/>
        <w:t>го (моторного) Главка НКАП Воликов отчитался о готовности к испытаниям всех новых высотных перехватчиков в части силовой установки, а завод №155 вскоре смог доложить о сдаче своего самолёта в полной комплектации – с вооружением и радиостанцией (23471).</w:t>
      </w:r>
    </w:p>
    <w:p w14:paraId="51C4715A" w14:textId="77777777" w:rsidR="0052130F" w:rsidRPr="00070ADE" w:rsidRDefault="0052130F" w:rsidP="00B56F90">
      <w:pPr>
        <w:spacing w:after="0" w:line="240" w:lineRule="auto"/>
        <w:jc w:val="both"/>
        <w:rPr>
          <w:rFonts w:ascii="Times New Roman" w:hAnsi="Times New Roman"/>
          <w:color w:val="000000" w:themeColor="text1"/>
          <w:sz w:val="16"/>
          <w:szCs w:val="16"/>
        </w:rPr>
      </w:pPr>
    </w:p>
    <w:p w14:paraId="754FE5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мая 1944 закончились наземные и летные испытания моторизованного аэростата “Малыш”, которые проходили с 7 января 1944.</w:t>
      </w:r>
    </w:p>
    <w:p w14:paraId="152CEE9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Т Ч Е ТО НАЗЕМНЫХ И ЛЕТНЫХ ИСПЫТАНИЯХ МОТОРИЗОВАННОГО АЭРОСТАТА “МАЛЫШ”</w:t>
      </w:r>
    </w:p>
    <w:p w14:paraId="77CA88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января – 20 мая 1944 года/</w:t>
      </w:r>
    </w:p>
    <w:p w14:paraId="2FE928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Специфичность работы воздухоплавательных отрядов иногда требует частой перебазировки аэростата при непродолжительной его работе в данном месте.</w:t>
      </w:r>
    </w:p>
    <w:p w14:paraId="1EB2CD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вызывает необходимость проведения весьма трудоемких работ, связанных с разоружением аэростата, выпуском /потерей/ газа, быстрым износом материальной части и транспортными перевозками по неудобным проселочным дорогам.</w:t>
      </w:r>
    </w:p>
    <w:p w14:paraId="4C711A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данном случае моторизованный аэростат полностью решает проблему быстрой перебазировки отрядов при исключительно эффективном использовании аэростата по его боевой работе с частями Воздушно-Десантных Войск Красной Армии.</w:t>
      </w:r>
    </w:p>
    <w:p w14:paraId="2A0062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Силами 1-го Отдельного Воздухоплавательного Дивизиона ВДВ КА был спроектирован, построен и успешно прошел наземные и летные испытания моторизованный аэростат “МАЛЫШ” объемом 1030 куб. метров, особенность которого заключается в максимальном использовании типовых конструкций аэростата типа БД и фюзеляжа самолета У-2.</w:t>
      </w:r>
    </w:p>
    <w:p w14:paraId="6BC128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Последнее позволяет довольно просто организовать постройку серии моторизованных аэростатов при минимальных затратах производственных средств и рабочей силы.</w:t>
      </w:r>
    </w:p>
    <w:p w14:paraId="6C3A11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Наличие моторизованного аэростата в системе ВДВ КА позволяет быстрое перебазирование воздухоплавательного отряда без разоружения аэростата и потери газа.</w:t>
      </w:r>
    </w:p>
    <w:p w14:paraId="0AC23F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тех пунктах, где требуется эпизодическое обслуживание относительно незначительного количества парашютистов /1000-1200 чел./, работа воздухоплавательного отряда заключается в следующем: Аэростат “МАЛЫШ” прилетает к месту работы, куда одновременно приходит автолебедка с обслуживающей командой, и, проработав 2-3 дня, улетает обратно на базу.</w:t>
      </w:r>
    </w:p>
    <w:p w14:paraId="591C229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Превращение аэростата из привязного состояния в моторизованный занимает не более 20-30 минут.</w:t>
      </w:r>
    </w:p>
    <w:p w14:paraId="2769035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Вся работа по эксплуатации моторизованного аэростата упрощает организацию бивачной службы и полностью устраняет потерю газа и транспортные перевозки при перебазировках отряда</w:t>
      </w:r>
    </w:p>
    <w:p w14:paraId="02B197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Моторизованный аэростат может быть использован с успехом в воздухоплавательных частях Артиллерии Красной Армии и Военно-Морского Флота, а также по разведке проходов во льдах при проводке судов в Арктике.</w:t>
      </w:r>
    </w:p>
    <w:p w14:paraId="7220A30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ТЕХНИЧЕСКОЕ ОПИСАНИЕ</w:t>
      </w:r>
    </w:p>
    <w:p w14:paraId="691AD6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моторизованного аэростата “МАЛЫШ”</w:t>
      </w:r>
    </w:p>
    <w:p w14:paraId="45929C6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Моторизованный аэростат “МАЛЫШ” /по конструкторскому бюро имеет индекс “Н”/ представляет собой мягкий аэростат, спроектированный и построенный на базе типового аэростата “БД”, в оболочку которого внесены следующие изменения:</w:t>
      </w:r>
    </w:p>
    <w:p w14:paraId="2486A935" w14:textId="77777777" w:rsidR="00595BFB" w:rsidRPr="00070ADE" w:rsidRDefault="00595BFB" w:rsidP="00B56F9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Вклеен баллонет; </w:t>
      </w:r>
    </w:p>
    <w:p w14:paraId="5D1619EA" w14:textId="77777777" w:rsidR="00595BFB" w:rsidRPr="00070ADE" w:rsidRDefault="00595BFB" w:rsidP="00B56F9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Изменена стягивающая система; </w:t>
      </w:r>
    </w:p>
    <w:p w14:paraId="33ED00AC" w14:textId="77777777" w:rsidR="00595BFB" w:rsidRPr="00070ADE" w:rsidRDefault="00595BFB" w:rsidP="00B56F9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Поставлено жесткое оперение; </w:t>
      </w:r>
    </w:p>
    <w:p w14:paraId="263F9815" w14:textId="77777777" w:rsidR="00595BFB" w:rsidRPr="00070ADE" w:rsidRDefault="00595BFB" w:rsidP="00B56F9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Изменена подвеска. </w:t>
      </w:r>
    </w:p>
    <w:p w14:paraId="70BA30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Конструкция аэростата весьма проста и дешева в изготовлении. Все агрегаты, за исключением оперения, берутся готовыми и подвергаются лишь некоторым конструктивным изменениям. Это позволяет легко реализовывать серийную постройку аэростатов “МАЛЫШ” на базе стандартного аэростата “БД” и фюзеляжей самолетов У-2.</w:t>
      </w:r>
    </w:p>
    <w:p w14:paraId="31D2351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ОБЩИЕ ДАННЫЕ АЭРОСТАТА</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4D4663" w:rsidRPr="00070ADE" w14:paraId="5DC00006" w14:textId="77777777">
        <w:tc>
          <w:tcPr>
            <w:tcW w:w="6926" w:type="dxa"/>
            <w:tcBorders>
              <w:top w:val="single" w:sz="12" w:space="0" w:color="auto"/>
            </w:tcBorders>
          </w:tcPr>
          <w:p w14:paraId="684ABE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Газовый объем</w:t>
            </w:r>
          </w:p>
        </w:tc>
        <w:tc>
          <w:tcPr>
            <w:tcW w:w="2433" w:type="dxa"/>
            <w:tcBorders>
              <w:top w:val="single" w:sz="12" w:space="0" w:color="auto"/>
            </w:tcBorders>
          </w:tcPr>
          <w:p w14:paraId="168DEC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U</w:t>
            </w:r>
            <w:r w:rsidRPr="00070ADE">
              <w:rPr>
                <w:rFonts w:ascii="Times New Roman" w:hAnsi="Times New Roman"/>
                <w:color w:val="000000" w:themeColor="text1"/>
                <w:sz w:val="16"/>
                <w:szCs w:val="16"/>
                <w:vertAlign w:val="subscript"/>
              </w:rPr>
              <w:t>г</w:t>
            </w:r>
            <w:r w:rsidRPr="00070ADE">
              <w:rPr>
                <w:rFonts w:ascii="Times New Roman" w:hAnsi="Times New Roman"/>
                <w:color w:val="000000" w:themeColor="text1"/>
                <w:sz w:val="16"/>
                <w:szCs w:val="16"/>
              </w:rPr>
              <w:t xml:space="preserve"> = 1030 м</w:t>
            </w:r>
            <w:r w:rsidRPr="00070ADE">
              <w:rPr>
                <w:rFonts w:ascii="Times New Roman" w:hAnsi="Times New Roman"/>
                <w:color w:val="000000" w:themeColor="text1"/>
                <w:sz w:val="16"/>
                <w:szCs w:val="16"/>
                <w:vertAlign w:val="superscript"/>
              </w:rPr>
              <w:t>3</w:t>
            </w:r>
          </w:p>
        </w:tc>
      </w:tr>
      <w:tr w:rsidR="004D4663" w:rsidRPr="00070ADE" w14:paraId="45AB25C5" w14:textId="77777777">
        <w:tc>
          <w:tcPr>
            <w:tcW w:w="6926" w:type="dxa"/>
          </w:tcPr>
          <w:p w14:paraId="29CDDF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Длина</w:t>
            </w:r>
          </w:p>
        </w:tc>
        <w:tc>
          <w:tcPr>
            <w:tcW w:w="2433" w:type="dxa"/>
          </w:tcPr>
          <w:p w14:paraId="5A067B0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L = 30 м</w:t>
            </w:r>
          </w:p>
        </w:tc>
      </w:tr>
      <w:tr w:rsidR="004D4663" w:rsidRPr="00070ADE" w14:paraId="026C6D40" w14:textId="77777777">
        <w:tc>
          <w:tcPr>
            <w:tcW w:w="6926" w:type="dxa"/>
          </w:tcPr>
          <w:p w14:paraId="51D4C9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Диаметр в миделе</w:t>
            </w:r>
          </w:p>
        </w:tc>
        <w:tc>
          <w:tcPr>
            <w:tcW w:w="2433" w:type="dxa"/>
          </w:tcPr>
          <w:p w14:paraId="6B3244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w:t>
            </w:r>
            <w:r w:rsidRPr="00070ADE">
              <w:rPr>
                <w:rFonts w:ascii="Times New Roman" w:hAnsi="Times New Roman"/>
                <w:color w:val="000000" w:themeColor="text1"/>
                <w:sz w:val="16"/>
                <w:szCs w:val="16"/>
                <w:vertAlign w:val="subscript"/>
              </w:rPr>
              <w:t>м</w:t>
            </w:r>
            <w:r w:rsidRPr="00070ADE">
              <w:rPr>
                <w:rFonts w:ascii="Times New Roman" w:hAnsi="Times New Roman"/>
                <w:color w:val="000000" w:themeColor="text1"/>
                <w:sz w:val="16"/>
                <w:szCs w:val="16"/>
              </w:rPr>
              <w:t xml:space="preserve"> = 8,62 м</w:t>
            </w:r>
          </w:p>
        </w:tc>
      </w:tr>
      <w:tr w:rsidR="004D4663" w:rsidRPr="00070ADE" w14:paraId="2E3E295A" w14:textId="77777777">
        <w:tc>
          <w:tcPr>
            <w:tcW w:w="6926" w:type="dxa"/>
          </w:tcPr>
          <w:p w14:paraId="14A7D9D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Удлинение</w:t>
            </w:r>
          </w:p>
        </w:tc>
        <w:tc>
          <w:tcPr>
            <w:tcW w:w="2433" w:type="dxa"/>
          </w:tcPr>
          <w:p w14:paraId="065CB9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 3,48</w:t>
            </w:r>
          </w:p>
        </w:tc>
      </w:tr>
      <w:tr w:rsidR="004D4663" w:rsidRPr="00070ADE" w14:paraId="6A3C0ECC" w14:textId="77777777">
        <w:tc>
          <w:tcPr>
            <w:tcW w:w="6926" w:type="dxa"/>
          </w:tcPr>
          <w:p w14:paraId="21C51B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Поверхность оболочки</w:t>
            </w:r>
          </w:p>
        </w:tc>
        <w:tc>
          <w:tcPr>
            <w:tcW w:w="2433" w:type="dxa"/>
          </w:tcPr>
          <w:p w14:paraId="21C6FF4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S</w:t>
            </w:r>
            <w:r w:rsidRPr="00070ADE">
              <w:rPr>
                <w:rFonts w:ascii="Times New Roman" w:hAnsi="Times New Roman"/>
                <w:color w:val="000000" w:themeColor="text1"/>
                <w:sz w:val="16"/>
                <w:szCs w:val="16"/>
                <w:vertAlign w:val="subscript"/>
              </w:rPr>
              <w:t>б</w:t>
            </w:r>
            <w:r w:rsidRPr="00070ADE">
              <w:rPr>
                <w:rFonts w:ascii="Times New Roman" w:hAnsi="Times New Roman"/>
                <w:color w:val="000000" w:themeColor="text1"/>
                <w:sz w:val="16"/>
                <w:szCs w:val="16"/>
              </w:rPr>
              <w:t xml:space="preserve"> = 605 м</w:t>
            </w:r>
            <w:r w:rsidRPr="00070ADE">
              <w:rPr>
                <w:rFonts w:ascii="Times New Roman" w:hAnsi="Times New Roman"/>
                <w:color w:val="000000" w:themeColor="text1"/>
                <w:sz w:val="16"/>
                <w:szCs w:val="16"/>
                <w:vertAlign w:val="superscript"/>
              </w:rPr>
              <w:t>2</w:t>
            </w:r>
          </w:p>
        </w:tc>
      </w:tr>
      <w:tr w:rsidR="004D4663" w:rsidRPr="00070ADE" w14:paraId="4F6BDE81" w14:textId="77777777">
        <w:tc>
          <w:tcPr>
            <w:tcW w:w="6926" w:type="dxa"/>
          </w:tcPr>
          <w:p w14:paraId="1D1097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Объем баллонета</w:t>
            </w:r>
          </w:p>
        </w:tc>
        <w:tc>
          <w:tcPr>
            <w:tcW w:w="2433" w:type="dxa"/>
          </w:tcPr>
          <w:p w14:paraId="208954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U</w:t>
            </w:r>
            <w:r w:rsidRPr="00070ADE">
              <w:rPr>
                <w:rFonts w:ascii="Times New Roman" w:hAnsi="Times New Roman"/>
                <w:color w:val="000000" w:themeColor="text1"/>
                <w:sz w:val="16"/>
                <w:szCs w:val="16"/>
                <w:vertAlign w:val="subscript"/>
              </w:rPr>
              <w:t xml:space="preserve">б </w:t>
            </w:r>
            <w:r w:rsidRPr="00070ADE">
              <w:rPr>
                <w:rFonts w:ascii="Times New Roman" w:hAnsi="Times New Roman"/>
                <w:color w:val="000000" w:themeColor="text1"/>
                <w:sz w:val="16"/>
                <w:szCs w:val="16"/>
              </w:rPr>
              <w:t>= 110 м</w:t>
            </w:r>
            <w:r w:rsidRPr="00070ADE">
              <w:rPr>
                <w:rFonts w:ascii="Times New Roman" w:hAnsi="Times New Roman"/>
                <w:color w:val="000000" w:themeColor="text1"/>
                <w:sz w:val="16"/>
                <w:szCs w:val="16"/>
                <w:vertAlign w:val="superscript"/>
              </w:rPr>
              <w:t>2</w:t>
            </w:r>
          </w:p>
        </w:tc>
      </w:tr>
      <w:tr w:rsidR="004D4663" w:rsidRPr="00070ADE" w14:paraId="0515334F" w14:textId="77777777">
        <w:tc>
          <w:tcPr>
            <w:tcW w:w="6926" w:type="dxa"/>
          </w:tcPr>
          <w:p w14:paraId="7843E7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Площадь оперения:</w:t>
            </w:r>
          </w:p>
        </w:tc>
        <w:tc>
          <w:tcPr>
            <w:tcW w:w="2433" w:type="dxa"/>
          </w:tcPr>
          <w:p w14:paraId="6006EF3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CF85AA1" w14:textId="77777777">
        <w:tc>
          <w:tcPr>
            <w:tcW w:w="6926" w:type="dxa"/>
          </w:tcPr>
          <w:p w14:paraId="195E15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бокового</w:t>
            </w:r>
          </w:p>
        </w:tc>
        <w:tc>
          <w:tcPr>
            <w:tcW w:w="2433" w:type="dxa"/>
          </w:tcPr>
          <w:p w14:paraId="495856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х 14,875 = 29,75 м</w:t>
            </w:r>
            <w:r w:rsidRPr="00070ADE">
              <w:rPr>
                <w:rFonts w:ascii="Times New Roman" w:hAnsi="Times New Roman"/>
                <w:color w:val="000000" w:themeColor="text1"/>
                <w:sz w:val="16"/>
                <w:szCs w:val="16"/>
                <w:vertAlign w:val="superscript"/>
              </w:rPr>
              <w:t>2</w:t>
            </w:r>
          </w:p>
        </w:tc>
      </w:tr>
      <w:tr w:rsidR="004D4663" w:rsidRPr="00070ADE" w14:paraId="74043BE4" w14:textId="77777777">
        <w:tc>
          <w:tcPr>
            <w:tcW w:w="6926" w:type="dxa"/>
            <w:tcBorders>
              <w:bottom w:val="single" w:sz="12" w:space="0" w:color="auto"/>
            </w:tcBorders>
          </w:tcPr>
          <w:p w14:paraId="3EB9B3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вертикального</w:t>
            </w:r>
          </w:p>
        </w:tc>
        <w:tc>
          <w:tcPr>
            <w:tcW w:w="2433" w:type="dxa"/>
            <w:tcBorders>
              <w:bottom w:val="single" w:sz="12" w:space="0" w:color="auto"/>
            </w:tcBorders>
          </w:tcPr>
          <w:p w14:paraId="7534574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14,875 м</w:t>
            </w:r>
            <w:r w:rsidRPr="00070ADE">
              <w:rPr>
                <w:rFonts w:ascii="Times New Roman" w:hAnsi="Times New Roman"/>
                <w:color w:val="000000" w:themeColor="text1"/>
                <w:sz w:val="16"/>
                <w:szCs w:val="16"/>
                <w:vertAlign w:val="superscript"/>
              </w:rPr>
              <w:t>2</w:t>
            </w:r>
          </w:p>
        </w:tc>
      </w:tr>
    </w:tbl>
    <w:p w14:paraId="617A8D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ВИНТОМОТОРНАЯ ГРУППА</w:t>
      </w:r>
    </w:p>
    <w:p w14:paraId="3596CC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Мотор М 11 д – воздушного охлаждения.</w:t>
      </w:r>
    </w:p>
    <w:p w14:paraId="75219B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Максимальная мощность N</w:t>
      </w:r>
      <w:r w:rsidRPr="00070ADE">
        <w:rPr>
          <w:rFonts w:ascii="Times New Roman" w:hAnsi="Times New Roman"/>
          <w:color w:val="000000" w:themeColor="text1"/>
          <w:sz w:val="16"/>
          <w:szCs w:val="16"/>
          <w:vertAlign w:val="subscript"/>
        </w:rPr>
        <w:t>max</w:t>
      </w:r>
      <w:r w:rsidRPr="00070ADE">
        <w:rPr>
          <w:rFonts w:ascii="Times New Roman" w:hAnsi="Times New Roman"/>
          <w:color w:val="000000" w:themeColor="text1"/>
          <w:sz w:val="16"/>
          <w:szCs w:val="16"/>
        </w:rPr>
        <w:t xml:space="preserve"> = 126 л.с. при n = 1760 об.м.</w:t>
      </w:r>
    </w:p>
    <w:p w14:paraId="254AE5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Номинальная мощность N</w:t>
      </w:r>
      <w:r w:rsidRPr="00070ADE">
        <w:rPr>
          <w:rFonts w:ascii="Times New Roman" w:hAnsi="Times New Roman"/>
          <w:color w:val="000000" w:themeColor="text1"/>
          <w:sz w:val="16"/>
          <w:szCs w:val="16"/>
          <w:vertAlign w:val="subscript"/>
        </w:rPr>
        <w:t>ном</w:t>
      </w:r>
      <w:r w:rsidRPr="00070ADE">
        <w:rPr>
          <w:rFonts w:ascii="Times New Roman" w:hAnsi="Times New Roman"/>
          <w:color w:val="000000" w:themeColor="text1"/>
          <w:sz w:val="16"/>
          <w:szCs w:val="16"/>
        </w:rPr>
        <w:t xml:space="preserve"> = 115л.с. при n = 1700 об.м.</w:t>
      </w:r>
    </w:p>
    <w:p w14:paraId="4565F04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Эксплуатационная мощность N</w:t>
      </w:r>
      <w:r w:rsidRPr="00070ADE">
        <w:rPr>
          <w:rFonts w:ascii="Times New Roman" w:hAnsi="Times New Roman"/>
          <w:color w:val="000000" w:themeColor="text1"/>
          <w:sz w:val="16"/>
          <w:szCs w:val="16"/>
          <w:vertAlign w:val="subscript"/>
        </w:rPr>
        <w:t>экс</w:t>
      </w:r>
      <w:r w:rsidRPr="00070ADE">
        <w:rPr>
          <w:rFonts w:ascii="Times New Roman" w:hAnsi="Times New Roman"/>
          <w:color w:val="000000" w:themeColor="text1"/>
          <w:sz w:val="16"/>
          <w:szCs w:val="16"/>
        </w:rPr>
        <w:t xml:space="preserve"> = 103л.с. при n = 1640 об.м.</w:t>
      </w:r>
    </w:p>
    <w:p w14:paraId="72BEC3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Винт, тянущий от У-2 диаметр Д = 2,4 м, шаг Н = 1,62 м</w:t>
      </w:r>
    </w:p>
    <w:p w14:paraId="1B52A6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Система питания – самотеком.</w:t>
      </w:r>
    </w:p>
    <w:p w14:paraId="4CBE37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ЛЕТНО-ЭКСПЛУАТАЦИОННЫЕ ХАРАКТЕРИСТИКИ</w:t>
      </w:r>
    </w:p>
    <w:p w14:paraId="385AC5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/пересчитанные для стенд. условий/</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4D4663" w:rsidRPr="00070ADE" w14:paraId="10C8D124" w14:textId="77777777">
        <w:tc>
          <w:tcPr>
            <w:tcW w:w="6926" w:type="dxa"/>
            <w:tcBorders>
              <w:top w:val="single" w:sz="12" w:space="0" w:color="auto"/>
            </w:tcBorders>
          </w:tcPr>
          <w:p w14:paraId="0D4B46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Максимальная скорость на номин. режиме мотора V</w:t>
            </w:r>
            <w:r w:rsidRPr="00070ADE">
              <w:rPr>
                <w:rFonts w:ascii="Times New Roman" w:hAnsi="Times New Roman"/>
                <w:color w:val="000000" w:themeColor="text1"/>
                <w:sz w:val="16"/>
                <w:szCs w:val="16"/>
                <w:vertAlign w:val="subscript"/>
              </w:rPr>
              <w:t>max</w:t>
            </w:r>
            <w:r w:rsidRPr="00070ADE">
              <w:rPr>
                <w:rFonts w:ascii="Times New Roman" w:hAnsi="Times New Roman"/>
                <w:color w:val="000000" w:themeColor="text1"/>
                <w:sz w:val="16"/>
                <w:szCs w:val="16"/>
              </w:rPr>
              <w:t xml:space="preserve"> = 80 км/ч</w:t>
            </w:r>
          </w:p>
        </w:tc>
        <w:tc>
          <w:tcPr>
            <w:tcW w:w="2433" w:type="dxa"/>
            <w:tcBorders>
              <w:top w:val="single" w:sz="12" w:space="0" w:color="auto"/>
            </w:tcBorders>
          </w:tcPr>
          <w:p w14:paraId="1BD335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N</w:t>
            </w:r>
            <w:r w:rsidRPr="00070ADE">
              <w:rPr>
                <w:rFonts w:ascii="Times New Roman" w:hAnsi="Times New Roman"/>
                <w:color w:val="000000" w:themeColor="text1"/>
                <w:sz w:val="16"/>
                <w:szCs w:val="16"/>
                <w:vertAlign w:val="subscript"/>
              </w:rPr>
              <w:t>max</w:t>
            </w:r>
            <w:r w:rsidRPr="00070ADE">
              <w:rPr>
                <w:rFonts w:ascii="Times New Roman" w:hAnsi="Times New Roman"/>
                <w:color w:val="000000" w:themeColor="text1"/>
                <w:sz w:val="16"/>
                <w:szCs w:val="16"/>
              </w:rPr>
              <w:t xml:space="preserve"> = 1550 об.мин.</w:t>
            </w:r>
          </w:p>
        </w:tc>
      </w:tr>
      <w:tr w:rsidR="004D4663" w:rsidRPr="00070ADE" w14:paraId="47CDBE25" w14:textId="77777777">
        <w:tc>
          <w:tcPr>
            <w:tcW w:w="6926" w:type="dxa"/>
          </w:tcPr>
          <w:p w14:paraId="030C18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Крейсерская скорость V</w:t>
            </w:r>
            <w:r w:rsidRPr="00070ADE">
              <w:rPr>
                <w:rFonts w:ascii="Times New Roman" w:hAnsi="Times New Roman"/>
                <w:color w:val="000000" w:themeColor="text1"/>
                <w:sz w:val="16"/>
                <w:szCs w:val="16"/>
                <w:vertAlign w:val="subscript"/>
              </w:rPr>
              <w:t>кр</w:t>
            </w:r>
            <w:r w:rsidRPr="00070ADE">
              <w:rPr>
                <w:rFonts w:ascii="Times New Roman" w:hAnsi="Times New Roman"/>
                <w:color w:val="000000" w:themeColor="text1"/>
                <w:sz w:val="16"/>
                <w:szCs w:val="16"/>
              </w:rPr>
              <w:t xml:space="preserve"> = 73 км/ч</w:t>
            </w:r>
          </w:p>
        </w:tc>
        <w:tc>
          <w:tcPr>
            <w:tcW w:w="2433" w:type="dxa"/>
          </w:tcPr>
          <w:p w14:paraId="0209AA0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N = 1400 об.мин.</w:t>
            </w:r>
          </w:p>
        </w:tc>
      </w:tr>
      <w:tr w:rsidR="004D4663" w:rsidRPr="00070ADE" w14:paraId="7B188101" w14:textId="77777777">
        <w:tc>
          <w:tcPr>
            <w:tcW w:w="6926" w:type="dxa"/>
          </w:tcPr>
          <w:p w14:paraId="3B0460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Дальность при двух пилотах на крейсерской скорости</w:t>
            </w:r>
          </w:p>
        </w:tc>
        <w:tc>
          <w:tcPr>
            <w:tcW w:w="2433" w:type="dxa"/>
          </w:tcPr>
          <w:p w14:paraId="3204BE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L = 110 км</w:t>
            </w:r>
          </w:p>
        </w:tc>
      </w:tr>
      <w:tr w:rsidR="004D4663" w:rsidRPr="00070ADE" w14:paraId="3CE4260C" w14:textId="77777777">
        <w:tc>
          <w:tcPr>
            <w:tcW w:w="6926" w:type="dxa"/>
          </w:tcPr>
          <w:p w14:paraId="761A0E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Дальность при одном пилоте на крейсерской скорости</w:t>
            </w:r>
          </w:p>
        </w:tc>
        <w:tc>
          <w:tcPr>
            <w:tcW w:w="2433" w:type="dxa"/>
          </w:tcPr>
          <w:p w14:paraId="60BC8F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L = 365 км</w:t>
            </w:r>
          </w:p>
        </w:tc>
      </w:tr>
      <w:tr w:rsidR="004D4663" w:rsidRPr="00070ADE" w14:paraId="12429F99" w14:textId="77777777">
        <w:tc>
          <w:tcPr>
            <w:tcW w:w="6926" w:type="dxa"/>
          </w:tcPr>
          <w:p w14:paraId="17947E0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Автономия при одном пилоте на крейсерской скорости</w:t>
            </w:r>
          </w:p>
        </w:tc>
        <w:tc>
          <w:tcPr>
            <w:tcW w:w="2433" w:type="dxa"/>
          </w:tcPr>
          <w:p w14:paraId="36B329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 5 час</w:t>
            </w:r>
          </w:p>
        </w:tc>
      </w:tr>
      <w:tr w:rsidR="004D4663" w:rsidRPr="00070ADE" w14:paraId="311F38F7" w14:textId="77777777">
        <w:tc>
          <w:tcPr>
            <w:tcW w:w="6926" w:type="dxa"/>
          </w:tcPr>
          <w:p w14:paraId="20F1632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Автономия при двух пилотах на крейсерской скорости</w:t>
            </w:r>
          </w:p>
        </w:tc>
        <w:tc>
          <w:tcPr>
            <w:tcW w:w="2433" w:type="dxa"/>
          </w:tcPr>
          <w:p w14:paraId="6775E6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 1,5 часа</w:t>
            </w:r>
          </w:p>
        </w:tc>
      </w:tr>
      <w:tr w:rsidR="004D4663" w:rsidRPr="00070ADE" w14:paraId="0EB77804" w14:textId="77777777">
        <w:tc>
          <w:tcPr>
            <w:tcW w:w="6926" w:type="dxa"/>
          </w:tcPr>
          <w:p w14:paraId="15D925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Стратегический потолок /вариант дирижабля/</w:t>
            </w:r>
          </w:p>
        </w:tc>
        <w:tc>
          <w:tcPr>
            <w:tcW w:w="2433" w:type="dxa"/>
          </w:tcPr>
          <w:p w14:paraId="467EEF8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w:t>
            </w:r>
            <w:r w:rsidRPr="00070ADE">
              <w:rPr>
                <w:rFonts w:ascii="Times New Roman" w:hAnsi="Times New Roman"/>
                <w:color w:val="000000" w:themeColor="text1"/>
                <w:sz w:val="16"/>
                <w:szCs w:val="16"/>
                <w:vertAlign w:val="subscript"/>
              </w:rPr>
              <w:t xml:space="preserve">ст. </w:t>
            </w:r>
            <w:r w:rsidRPr="00070ADE">
              <w:rPr>
                <w:rFonts w:ascii="Times New Roman" w:hAnsi="Times New Roman"/>
                <w:color w:val="000000" w:themeColor="text1"/>
                <w:sz w:val="16"/>
                <w:szCs w:val="16"/>
              </w:rPr>
              <w:t>= 900 м</w:t>
            </w:r>
          </w:p>
        </w:tc>
      </w:tr>
      <w:tr w:rsidR="004D4663" w:rsidRPr="00070ADE" w14:paraId="48239449" w14:textId="77777777">
        <w:tc>
          <w:tcPr>
            <w:tcW w:w="6926" w:type="dxa"/>
          </w:tcPr>
          <w:p w14:paraId="2F83FB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Статический потолок с одним наблюдателем /вариант привязника/</w:t>
            </w:r>
          </w:p>
        </w:tc>
        <w:tc>
          <w:tcPr>
            <w:tcW w:w="2433" w:type="dxa"/>
          </w:tcPr>
          <w:p w14:paraId="7561E8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w:t>
            </w:r>
            <w:r w:rsidRPr="00070ADE">
              <w:rPr>
                <w:rFonts w:ascii="Times New Roman" w:hAnsi="Times New Roman"/>
                <w:color w:val="000000" w:themeColor="text1"/>
                <w:sz w:val="16"/>
                <w:szCs w:val="16"/>
                <w:vertAlign w:val="subscript"/>
              </w:rPr>
              <w:t>ст.</w:t>
            </w:r>
            <w:r w:rsidRPr="00070ADE">
              <w:rPr>
                <w:rFonts w:ascii="Times New Roman" w:hAnsi="Times New Roman"/>
                <w:color w:val="000000" w:themeColor="text1"/>
                <w:sz w:val="16"/>
                <w:szCs w:val="16"/>
              </w:rPr>
              <w:t xml:space="preserve"> = 2200 м</w:t>
            </w:r>
          </w:p>
        </w:tc>
      </w:tr>
      <w:tr w:rsidR="004D4663" w:rsidRPr="00070ADE" w14:paraId="36DC109A" w14:textId="77777777">
        <w:tc>
          <w:tcPr>
            <w:tcW w:w="6926" w:type="dxa"/>
          </w:tcPr>
          <w:p w14:paraId="17FC82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Статический потолок с двумя наблюдателями</w:t>
            </w:r>
          </w:p>
        </w:tc>
        <w:tc>
          <w:tcPr>
            <w:tcW w:w="2433" w:type="dxa"/>
          </w:tcPr>
          <w:p w14:paraId="4D2245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w:t>
            </w:r>
            <w:r w:rsidRPr="00070ADE">
              <w:rPr>
                <w:rFonts w:ascii="Times New Roman" w:hAnsi="Times New Roman"/>
                <w:color w:val="000000" w:themeColor="text1"/>
                <w:sz w:val="16"/>
                <w:szCs w:val="16"/>
                <w:vertAlign w:val="subscript"/>
              </w:rPr>
              <w:t>ст.</w:t>
            </w:r>
            <w:r w:rsidRPr="00070ADE">
              <w:rPr>
                <w:rFonts w:ascii="Times New Roman" w:hAnsi="Times New Roman"/>
                <w:color w:val="000000" w:themeColor="text1"/>
                <w:sz w:val="16"/>
                <w:szCs w:val="16"/>
              </w:rPr>
              <w:t xml:space="preserve"> = 1600 м</w:t>
            </w:r>
          </w:p>
        </w:tc>
      </w:tr>
      <w:tr w:rsidR="004D4663" w:rsidRPr="00070ADE" w14:paraId="03EA4CA3" w14:textId="77777777">
        <w:tc>
          <w:tcPr>
            <w:tcW w:w="6926" w:type="dxa"/>
            <w:tcBorders>
              <w:bottom w:val="single" w:sz="12" w:space="0" w:color="auto"/>
            </w:tcBorders>
          </w:tcPr>
          <w:p w14:paraId="3375C2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Количество сбрасываемых парашютов при работе в качестве тренировочного аэростата на рабочей высоте</w:t>
            </w:r>
          </w:p>
          <w:p w14:paraId="47C4F0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штиль – 3 человека</w:t>
            </w:r>
          </w:p>
          <w:p w14:paraId="69557F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ветре более 3 м/сек – 4 чел.</w:t>
            </w:r>
          </w:p>
        </w:tc>
        <w:tc>
          <w:tcPr>
            <w:tcW w:w="2433" w:type="dxa"/>
            <w:tcBorders>
              <w:bottom w:val="single" w:sz="12" w:space="0" w:color="auto"/>
            </w:tcBorders>
          </w:tcPr>
          <w:p w14:paraId="0FFB968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1CA2B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 = 460 м</w:t>
            </w:r>
          </w:p>
        </w:tc>
      </w:tr>
    </w:tbl>
    <w:p w14:paraId="4E8AAB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IV. ВЕСОВЫЕ ХАРАКТЕРИСТИКИ</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65"/>
        <w:gridCol w:w="2395"/>
      </w:tblGrid>
      <w:tr w:rsidR="004D4663" w:rsidRPr="00070ADE" w14:paraId="20EC74A0" w14:textId="77777777">
        <w:trPr>
          <w:jc w:val="center"/>
        </w:trPr>
        <w:tc>
          <w:tcPr>
            <w:tcW w:w="6965" w:type="dxa"/>
            <w:tcBorders>
              <w:top w:val="single" w:sz="12" w:space="0" w:color="auto"/>
            </w:tcBorders>
          </w:tcPr>
          <w:p w14:paraId="38E361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Полная подъемная сила на уровне моря при Ф = 1,1 кг/м</w:t>
            </w:r>
            <w:r w:rsidRPr="00070ADE">
              <w:rPr>
                <w:rFonts w:ascii="Times New Roman" w:hAnsi="Times New Roman"/>
                <w:color w:val="000000" w:themeColor="text1"/>
                <w:sz w:val="16"/>
                <w:szCs w:val="16"/>
                <w:vertAlign w:val="superscript"/>
              </w:rPr>
              <w:t>3</w:t>
            </w:r>
          </w:p>
        </w:tc>
        <w:tc>
          <w:tcPr>
            <w:tcW w:w="2395" w:type="dxa"/>
            <w:tcBorders>
              <w:top w:val="single" w:sz="12" w:space="0" w:color="auto"/>
            </w:tcBorders>
          </w:tcPr>
          <w:p w14:paraId="0623A7E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F</w:t>
            </w:r>
            <w:r w:rsidRPr="00070ADE">
              <w:rPr>
                <w:rFonts w:ascii="Times New Roman" w:hAnsi="Times New Roman"/>
                <w:color w:val="000000" w:themeColor="text1"/>
                <w:sz w:val="16"/>
                <w:szCs w:val="16"/>
                <w:vertAlign w:val="subscript"/>
              </w:rPr>
              <w:t>n</w:t>
            </w:r>
            <w:r w:rsidRPr="00070ADE">
              <w:rPr>
                <w:rFonts w:ascii="Times New Roman" w:hAnsi="Times New Roman"/>
                <w:color w:val="000000" w:themeColor="text1"/>
                <w:sz w:val="16"/>
                <w:szCs w:val="16"/>
              </w:rPr>
              <w:t xml:space="preserve"> = 1130 кг</w:t>
            </w:r>
          </w:p>
        </w:tc>
      </w:tr>
      <w:tr w:rsidR="004D4663" w:rsidRPr="00070ADE" w14:paraId="0B14622A" w14:textId="77777777">
        <w:trPr>
          <w:jc w:val="center"/>
        </w:trPr>
        <w:tc>
          <w:tcPr>
            <w:tcW w:w="6965" w:type="dxa"/>
          </w:tcPr>
          <w:p w14:paraId="2A42EA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Мертвый вес</w:t>
            </w:r>
          </w:p>
        </w:tc>
        <w:tc>
          <w:tcPr>
            <w:tcW w:w="2395" w:type="dxa"/>
          </w:tcPr>
          <w:p w14:paraId="6432C7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G</w:t>
            </w:r>
            <w:r w:rsidRPr="00070ADE">
              <w:rPr>
                <w:rFonts w:ascii="Times New Roman" w:hAnsi="Times New Roman"/>
                <w:color w:val="000000" w:themeColor="text1"/>
                <w:sz w:val="16"/>
                <w:szCs w:val="16"/>
                <w:vertAlign w:val="subscript"/>
              </w:rPr>
              <w:t>m</w:t>
            </w:r>
            <w:r w:rsidRPr="00070ADE">
              <w:rPr>
                <w:rFonts w:ascii="Times New Roman" w:hAnsi="Times New Roman"/>
                <w:color w:val="000000" w:themeColor="text1"/>
                <w:sz w:val="16"/>
                <w:szCs w:val="16"/>
              </w:rPr>
              <w:t xml:space="preserve"> = 910 кг</w:t>
            </w:r>
          </w:p>
        </w:tc>
      </w:tr>
      <w:tr w:rsidR="004D4663" w:rsidRPr="00070ADE" w14:paraId="5DA2A63B" w14:textId="77777777">
        <w:trPr>
          <w:jc w:val="center"/>
        </w:trPr>
        <w:tc>
          <w:tcPr>
            <w:tcW w:w="6965" w:type="dxa"/>
          </w:tcPr>
          <w:p w14:paraId="280697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Полезная нагрузка</w:t>
            </w:r>
          </w:p>
        </w:tc>
        <w:tc>
          <w:tcPr>
            <w:tcW w:w="2395" w:type="dxa"/>
          </w:tcPr>
          <w:p w14:paraId="1FF0380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9053C8C" w14:textId="77777777">
        <w:trPr>
          <w:jc w:val="center"/>
        </w:trPr>
        <w:tc>
          <w:tcPr>
            <w:tcW w:w="6965" w:type="dxa"/>
          </w:tcPr>
          <w:p w14:paraId="43D014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экипаж 1 человек</w:t>
            </w:r>
          </w:p>
        </w:tc>
        <w:tc>
          <w:tcPr>
            <w:tcW w:w="2395" w:type="dxa"/>
          </w:tcPr>
          <w:p w14:paraId="209D2E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 кг</w:t>
            </w:r>
          </w:p>
        </w:tc>
      </w:tr>
      <w:tr w:rsidR="004D4663" w:rsidRPr="00070ADE" w14:paraId="029D15E6" w14:textId="77777777">
        <w:trPr>
          <w:jc w:val="center"/>
        </w:trPr>
        <w:tc>
          <w:tcPr>
            <w:tcW w:w="6965" w:type="dxa"/>
          </w:tcPr>
          <w:p w14:paraId="68F0B0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балласт</w:t>
            </w:r>
          </w:p>
        </w:tc>
        <w:tc>
          <w:tcPr>
            <w:tcW w:w="2395" w:type="dxa"/>
          </w:tcPr>
          <w:p w14:paraId="74A1EA0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кг</w:t>
            </w:r>
          </w:p>
        </w:tc>
      </w:tr>
      <w:tr w:rsidR="004D4663" w:rsidRPr="00070ADE" w14:paraId="175E8658" w14:textId="77777777">
        <w:trPr>
          <w:jc w:val="center"/>
        </w:trPr>
        <w:tc>
          <w:tcPr>
            <w:tcW w:w="6965" w:type="dxa"/>
          </w:tcPr>
          <w:p w14:paraId="5F5DC0F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горючее и смазочное</w:t>
            </w:r>
          </w:p>
        </w:tc>
        <w:tc>
          <w:tcPr>
            <w:tcW w:w="2395" w:type="dxa"/>
          </w:tcPr>
          <w:p w14:paraId="2ABFB3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 кг</w:t>
            </w:r>
          </w:p>
        </w:tc>
      </w:tr>
      <w:tr w:rsidR="004D4663" w:rsidRPr="00070ADE" w14:paraId="57DD3881" w14:textId="77777777">
        <w:trPr>
          <w:jc w:val="center"/>
        </w:trPr>
        <w:tc>
          <w:tcPr>
            <w:tcW w:w="6965" w:type="dxa"/>
            <w:tcBorders>
              <w:bottom w:val="single" w:sz="12" w:space="0" w:color="auto"/>
            </w:tcBorders>
          </w:tcPr>
          <w:p w14:paraId="205492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Весовая отдача</w:t>
            </w:r>
          </w:p>
        </w:tc>
        <w:tc>
          <w:tcPr>
            <w:tcW w:w="2395" w:type="dxa"/>
            <w:tcBorders>
              <w:bottom w:val="single" w:sz="12" w:space="0" w:color="auto"/>
            </w:tcBorders>
          </w:tcPr>
          <w:p w14:paraId="677393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 18,6 %</w:t>
            </w:r>
          </w:p>
        </w:tc>
      </w:tr>
    </w:tbl>
    <w:p w14:paraId="5CCDA473" w14:textId="77777777" w:rsidR="00595BFB" w:rsidRPr="00070ADE" w:rsidRDefault="00595BFB" w:rsidP="00B56F90">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ОПИСАНИЕ КОНСТРУКЦИИ АЭРОСТАТА </w:t>
      </w:r>
    </w:p>
    <w:p w14:paraId="582AA5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Матерчатая группа</w:t>
      </w:r>
    </w:p>
    <w:p w14:paraId="77246A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Оболочка аэростата представляет из себя тело вращения, имеющее следующие основные характеристики: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4D4663" w:rsidRPr="00070ADE" w14:paraId="3F7E7B60" w14:textId="77777777">
        <w:tc>
          <w:tcPr>
            <w:tcW w:w="6926" w:type="dxa"/>
            <w:tcBorders>
              <w:top w:val="single" w:sz="12" w:space="0" w:color="auto"/>
            </w:tcBorders>
          </w:tcPr>
          <w:p w14:paraId="4B21DD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Длина</w:t>
            </w:r>
          </w:p>
        </w:tc>
        <w:tc>
          <w:tcPr>
            <w:tcW w:w="2433" w:type="dxa"/>
            <w:tcBorders>
              <w:top w:val="single" w:sz="12" w:space="0" w:color="auto"/>
            </w:tcBorders>
          </w:tcPr>
          <w:p w14:paraId="6D3FB1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L = 30 м</w:t>
            </w:r>
          </w:p>
        </w:tc>
      </w:tr>
      <w:tr w:rsidR="004D4663" w:rsidRPr="00070ADE" w14:paraId="243990E3" w14:textId="77777777">
        <w:tc>
          <w:tcPr>
            <w:tcW w:w="6926" w:type="dxa"/>
          </w:tcPr>
          <w:p w14:paraId="724FD7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Диаметр миделя</w:t>
            </w:r>
          </w:p>
        </w:tc>
        <w:tc>
          <w:tcPr>
            <w:tcW w:w="2433" w:type="dxa"/>
          </w:tcPr>
          <w:p w14:paraId="7BF940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w:t>
            </w:r>
            <w:r w:rsidRPr="00070ADE">
              <w:rPr>
                <w:rFonts w:ascii="Times New Roman" w:hAnsi="Times New Roman"/>
                <w:color w:val="000000" w:themeColor="text1"/>
                <w:sz w:val="16"/>
                <w:szCs w:val="16"/>
                <w:vertAlign w:val="subscript"/>
              </w:rPr>
              <w:t>м</w:t>
            </w:r>
            <w:r w:rsidRPr="00070ADE">
              <w:rPr>
                <w:rFonts w:ascii="Times New Roman" w:hAnsi="Times New Roman"/>
                <w:color w:val="000000" w:themeColor="text1"/>
                <w:sz w:val="16"/>
                <w:szCs w:val="16"/>
              </w:rPr>
              <w:t xml:space="preserve"> = 8,62 м</w:t>
            </w:r>
          </w:p>
        </w:tc>
      </w:tr>
      <w:tr w:rsidR="004D4663" w:rsidRPr="00070ADE" w14:paraId="7674798A" w14:textId="77777777">
        <w:tc>
          <w:tcPr>
            <w:tcW w:w="6926" w:type="dxa"/>
          </w:tcPr>
          <w:p w14:paraId="4F7816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Удлинение</w:t>
            </w:r>
          </w:p>
        </w:tc>
        <w:tc>
          <w:tcPr>
            <w:tcW w:w="2433" w:type="dxa"/>
          </w:tcPr>
          <w:p w14:paraId="4CF1E1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 3,48</w:t>
            </w:r>
          </w:p>
        </w:tc>
      </w:tr>
      <w:tr w:rsidR="004D4663" w:rsidRPr="00070ADE" w14:paraId="57376D9A" w14:textId="77777777">
        <w:tc>
          <w:tcPr>
            <w:tcW w:w="6926" w:type="dxa"/>
          </w:tcPr>
          <w:p w14:paraId="6D6791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Поверхность</w:t>
            </w:r>
          </w:p>
        </w:tc>
        <w:tc>
          <w:tcPr>
            <w:tcW w:w="2433" w:type="dxa"/>
          </w:tcPr>
          <w:p w14:paraId="3942EA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S</w:t>
            </w:r>
            <w:r w:rsidRPr="00070ADE">
              <w:rPr>
                <w:rFonts w:ascii="Times New Roman" w:hAnsi="Times New Roman"/>
                <w:color w:val="000000" w:themeColor="text1"/>
                <w:sz w:val="16"/>
                <w:szCs w:val="16"/>
                <w:vertAlign w:val="subscript"/>
              </w:rPr>
              <w:t>об</w:t>
            </w:r>
            <w:r w:rsidRPr="00070ADE">
              <w:rPr>
                <w:rFonts w:ascii="Times New Roman" w:hAnsi="Times New Roman"/>
                <w:color w:val="000000" w:themeColor="text1"/>
                <w:sz w:val="16"/>
                <w:szCs w:val="16"/>
              </w:rPr>
              <w:t>. = 605 м</w:t>
            </w:r>
            <w:r w:rsidRPr="00070ADE">
              <w:rPr>
                <w:rFonts w:ascii="Times New Roman" w:hAnsi="Times New Roman"/>
                <w:color w:val="000000" w:themeColor="text1"/>
                <w:sz w:val="16"/>
                <w:szCs w:val="16"/>
                <w:vertAlign w:val="superscript"/>
              </w:rPr>
              <w:t>2</w:t>
            </w:r>
          </w:p>
        </w:tc>
      </w:tr>
      <w:tr w:rsidR="004D4663" w:rsidRPr="00070ADE" w14:paraId="08892D30" w14:textId="77777777">
        <w:tc>
          <w:tcPr>
            <w:tcW w:w="6926" w:type="dxa"/>
          </w:tcPr>
          <w:p w14:paraId="04749BB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Расстояние миделя от носа</w:t>
            </w:r>
          </w:p>
        </w:tc>
        <w:tc>
          <w:tcPr>
            <w:tcW w:w="2433" w:type="dxa"/>
          </w:tcPr>
          <w:p w14:paraId="08859A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l = 7,6 м</w:t>
            </w:r>
          </w:p>
        </w:tc>
      </w:tr>
      <w:tr w:rsidR="004D4663" w:rsidRPr="00070ADE" w14:paraId="1D4943FC" w14:textId="77777777">
        <w:tc>
          <w:tcPr>
            <w:tcW w:w="6926" w:type="dxa"/>
            <w:tcBorders>
              <w:bottom w:val="single" w:sz="12" w:space="0" w:color="auto"/>
            </w:tcBorders>
          </w:tcPr>
          <w:p w14:paraId="11974E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Абсцисса центра объема</w:t>
            </w:r>
          </w:p>
        </w:tc>
        <w:tc>
          <w:tcPr>
            <w:tcW w:w="2433" w:type="dxa"/>
            <w:tcBorders>
              <w:bottom w:val="single" w:sz="12" w:space="0" w:color="auto"/>
            </w:tcBorders>
          </w:tcPr>
          <w:p w14:paraId="749BEF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x = 12,115 м</w:t>
            </w:r>
          </w:p>
        </w:tc>
      </w:tr>
    </w:tbl>
    <w:p w14:paraId="1EC1ED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Баллон аэростата изготовлен из двухслойной прорезиненной и алюминированной диагонально-дублированной материи ГА 220 /по заводской номенклатуре № 500/, состоящей из двух перкалей В.</w:t>
      </w:r>
    </w:p>
    <w:p w14:paraId="10AF98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Характеристики материи: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6"/>
        <w:gridCol w:w="2433"/>
      </w:tblGrid>
      <w:tr w:rsidR="004D4663" w:rsidRPr="00070ADE" w14:paraId="424E365C" w14:textId="77777777">
        <w:tc>
          <w:tcPr>
            <w:tcW w:w="6926" w:type="dxa"/>
            <w:tcBorders>
              <w:top w:val="single" w:sz="12" w:space="0" w:color="auto"/>
            </w:tcBorders>
          </w:tcPr>
          <w:p w14:paraId="3B72FC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Прочность по основе</w:t>
            </w:r>
          </w:p>
        </w:tc>
        <w:tc>
          <w:tcPr>
            <w:tcW w:w="2433" w:type="dxa"/>
            <w:tcBorders>
              <w:top w:val="single" w:sz="12" w:space="0" w:color="auto"/>
            </w:tcBorders>
          </w:tcPr>
          <w:p w14:paraId="4546A5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 кг/м</w:t>
            </w:r>
          </w:p>
        </w:tc>
      </w:tr>
      <w:tr w:rsidR="004D4663" w:rsidRPr="00070ADE" w14:paraId="0AC39411" w14:textId="77777777">
        <w:tc>
          <w:tcPr>
            <w:tcW w:w="6926" w:type="dxa"/>
          </w:tcPr>
          <w:p w14:paraId="4D884B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квадр. Метра</w:t>
            </w:r>
          </w:p>
        </w:tc>
        <w:tc>
          <w:tcPr>
            <w:tcW w:w="2433" w:type="dxa"/>
          </w:tcPr>
          <w:p w14:paraId="00D1C6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0,264 кг/м</w:t>
            </w:r>
            <w:r w:rsidRPr="00070ADE">
              <w:rPr>
                <w:rFonts w:ascii="Times New Roman" w:hAnsi="Times New Roman"/>
                <w:color w:val="000000" w:themeColor="text1"/>
                <w:sz w:val="16"/>
                <w:szCs w:val="16"/>
                <w:vertAlign w:val="superscript"/>
              </w:rPr>
              <w:t>2</w:t>
            </w:r>
          </w:p>
        </w:tc>
      </w:tr>
      <w:tr w:rsidR="004D4663" w:rsidRPr="00070ADE" w14:paraId="7503A9FC" w14:textId="77777777">
        <w:tc>
          <w:tcPr>
            <w:tcW w:w="6926" w:type="dxa"/>
            <w:tcBorders>
              <w:bottom w:val="single" w:sz="12" w:space="0" w:color="auto"/>
            </w:tcBorders>
          </w:tcPr>
          <w:p w14:paraId="0C1406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Газопроницаемость</w:t>
            </w:r>
          </w:p>
        </w:tc>
        <w:tc>
          <w:tcPr>
            <w:tcW w:w="2433" w:type="dxa"/>
            <w:tcBorders>
              <w:bottom w:val="single" w:sz="12" w:space="0" w:color="auto"/>
            </w:tcBorders>
          </w:tcPr>
          <w:p w14:paraId="774A35E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л/м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 xml:space="preserve"> в сутки</w:t>
            </w:r>
          </w:p>
        </w:tc>
      </w:tr>
    </w:tbl>
    <w:p w14:paraId="289D2B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Раскрой оболочки трапециевидный, с разбивкой на 6 одинаковых полотнищ. Каждое полотнище состоит из 40 трапеций, расположенных по оболочке в шахматном порядке. На всех полотнищах основа направлена перпендикулярно меридианам. Трапеции между собой соединены двухрядным швом нитками № 3 с пересклейкой 20 мм.</w:t>
      </w:r>
    </w:p>
    <w:p w14:paraId="30A9DA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Снаружи на швы наклеена одна лента, с внутренней стороны – 2 ленты.</w:t>
      </w:r>
    </w:p>
    <w:p w14:paraId="7F1F8A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 аэростате имеется один баллонет объемом 110 м</w:t>
      </w:r>
      <w:r w:rsidRPr="00070ADE">
        <w:rPr>
          <w:rFonts w:ascii="Times New Roman" w:hAnsi="Times New Roman"/>
          <w:color w:val="000000" w:themeColor="text1"/>
          <w:sz w:val="16"/>
          <w:szCs w:val="16"/>
          <w:vertAlign w:val="superscript"/>
        </w:rPr>
        <w:t>3</w:t>
      </w:r>
      <w:r w:rsidRPr="00070ADE">
        <w:rPr>
          <w:rFonts w:ascii="Times New Roman" w:hAnsi="Times New Roman"/>
          <w:color w:val="000000" w:themeColor="text1"/>
          <w:sz w:val="16"/>
          <w:szCs w:val="16"/>
        </w:rPr>
        <w:t>. Баллонет состоит из центральной части, имеющей форму цилиндра и 2-х торцов, образованных как части торов. Материалом для баллонета служит материя ГА 220, по конструкции аналогичная материи самой оболочки, но не алюминированная.</w:t>
      </w:r>
    </w:p>
    <w:p w14:paraId="782099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Баллонет снабжен аппендиксом для наполнения его вентилятором, воздушным клапаном для выпуска воздуха и [неразборчиво] воздухоулавливателя для наполнения баллонета воздухом во время полета.</w:t>
      </w:r>
    </w:p>
    <w:p w14:paraId="15B779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Для маневрирования аэростата на земле на оболочке имеется 6 поясных по 3 с каждого борта, присоединенных к параболическим мостикам.</w:t>
      </w:r>
    </w:p>
    <w:p w14:paraId="3AB2602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привязном варианте к 1-му и 3-му мостику крепятся уздечки привязного троса, а ко 2-му и 4-му мостику – подвесные стропы десантной гондолы ДТГ-1.</w:t>
      </w:r>
    </w:p>
    <w:p w14:paraId="681F162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моторизованном состоянии мотогондола подвешивается к 1, 2, 3 и 4 мостикам.</w:t>
      </w:r>
    </w:p>
    <w:p w14:paraId="0BA19E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Наполнение оболочки газом производится через аппендикс диаметром 550 мм, находящийся снизу в носовой части оболочки перед баллонетом.</w:t>
      </w:r>
    </w:p>
    <w:p w14:paraId="523DED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Разрывное приспособление нормального типа БД в нижней носовой части оболочки.</w:t>
      </w:r>
    </w:p>
    <w:p w14:paraId="2CC0C6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 Стягивающая система состоит из [неразборчиво] шнуров /по типу аэростата “540”/. Для крепления шнуров использованы пояса нормальной оболочки “БД”. Стягивающая система начинается от носа и кончается на 1 метр впереди оперения.</w:t>
      </w:r>
    </w:p>
    <w:p w14:paraId="7A8AAB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кормовая часть оболочки имеет неизменяемую форму, что является необходимым условием для правильной работы расчалок оперения. Длины шнуров выбраны из расчета полной вытяжки при сверхдавлении 40 мм. вод. столба, что соответствует высоте подъема 600 мтр.</w:t>
      </w:r>
    </w:p>
    <w:p w14:paraId="34DD94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Минимальный объем /на земле/ имеет место при сверхдавлении 20 мм. водяного столба.</w:t>
      </w:r>
    </w:p>
    <w:p w14:paraId="33972B3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 Носовое усиление аэростата было предусмотрено проектом в двух вариантах – в виде нормального усиления из деревянных реек и в виде внутреннего пневматического усиления из шлангов, надутых воздухом. Однако испытания показали, что носовое усиление вообще является излишним, ибо при полетном сверхдавлении - 40 мм. водяного столба /ложка/ не образуется, даже при максимальной скорости полета.</w:t>
      </w:r>
    </w:p>
    <w:p w14:paraId="4961138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Мотогондола</w:t>
      </w:r>
    </w:p>
    <w:p w14:paraId="2C37E1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Гондола аэростата переделана из фюзеляжа самолета У-2. От фюзеляжа отнимается по плоскости разъема хвостовая часть /начиная от рамы № 2/. Разрез зашивается фанерной стенкой.</w:t>
      </w:r>
    </w:p>
    <w:p w14:paraId="76DCD2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Впереди рамы № 1 крепится бензобак емкостью 90 кг и маслобак на 10 кг. Вся винто-моторная группа: моторама с мотором, капот, газоуправление, зажигание, бензомаслосхема и т.д. взята целиком от самолета У-2.</w:t>
      </w:r>
    </w:p>
    <w:p w14:paraId="107133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Винт типа У-2 диаметром 2,4 м и с шагом Н-1,52 метра.</w:t>
      </w:r>
    </w:p>
    <w:p w14:paraId="61DFE5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Гондола снабжена пуфом диаметром 900 мм., прикрепленным под гондолой и представляющим собой тело вращения, образованное в средней части цилиндром с двумя торцами в виде полушарий.</w:t>
      </w:r>
    </w:p>
    <w:p w14:paraId="6567D0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Оборудование</w:t>
      </w:r>
    </w:p>
    <w:p w14:paraId="5AA95C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Управление аэростатом сосредоточено у первого пилота. Перед ним размещены:</w:t>
      </w:r>
    </w:p>
    <w:p w14:paraId="2E3E6B6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Приборы на приборной доске:</w:t>
      </w:r>
    </w:p>
    <w:p w14:paraId="2BAACC6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компас;</w:t>
      </w:r>
    </w:p>
    <w:p w14:paraId="52701C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указатель скорости;</w:t>
      </w:r>
    </w:p>
    <w:p w14:paraId="31F6C4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альтиметр;</w:t>
      </w:r>
    </w:p>
    <w:p w14:paraId="62E67C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вариометр;</w:t>
      </w:r>
    </w:p>
    <w:p w14:paraId="3F3B50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аэротермометр.</w:t>
      </w:r>
    </w:p>
    <w:p w14:paraId="618046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Газовый и воздушный манометры укреплены перед пилотом справа на стойке воздухоулавливателя.</w:t>
      </w:r>
    </w:p>
    <w:p w14:paraId="112959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Сектора управления газом, опережением, подогревом, пожарным краном.</w:t>
      </w:r>
    </w:p>
    <w:p w14:paraId="7A54B5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Переключатель зажигания.</w:t>
      </w:r>
    </w:p>
    <w:p w14:paraId="1EB441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Воздухоулавливатель находится над гондолой перед пилотом и укреплен на дюралевых трубчатых стойках. Ручка управления воздухоулавителем расположена над головой пилота.</w:t>
      </w:r>
    </w:p>
    <w:p w14:paraId="044CEE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Под левой рукой пилота около сидения находится кольцо управления сбрасыванием гайдропа, укрепленного специальным поясом к днищу гондолы и ее кормовой части.</w:t>
      </w:r>
    </w:p>
    <w:p w14:paraId="165812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Над головой пилота расположена тяга к разрывному полотнищу, справа тяга к воздушному клапану /находящемуся в нижней части баллонета/ и слева над головой – тяга к газовому клапану /расположенному на левом борту оболочки/. Оба клапана одинаковые типа КГ-16.</w:t>
      </w:r>
    </w:p>
    <w:p w14:paraId="4BC0E5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Управление рулями высоты осуществляется при помощи штурвала, укрепленного на правом борту кабины. Управление рулями направления педального типа.</w:t>
      </w:r>
    </w:p>
    <w:p w14:paraId="423D17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Оперение</w:t>
      </w:r>
    </w:p>
    <w:p w14:paraId="3CC533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Оперение – жесткое. Выполнено в виде трех одинаковых планов, расположенных друг к другу под углом в 120° . Общая площадь оперения – 44,52 кв. метра. Площадь стабилизатора – 11,58 кв.м. и площадь руля – 3,26 кв. м.</w:t>
      </w:r>
    </w:p>
    <w:p w14:paraId="746821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Конструкция оперения – деревянная. Нервюры и лонжероны выполнены в виде двух поясных раскосных фермочек.</w:t>
      </w:r>
    </w:p>
    <w:p w14:paraId="59D8A0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толщина оперения – 180 мм. Шарниры рулей осуществлены по типу планерных – в виде ушковых и вильчатых болтов. Оперение обтянуто материей АСТ-100 и покрыто бесцветным и алюминированным лаком. Внутренний обвод стабилизатора пятью брезентовыми ремнями с пряжками присоединен к поясам, наклеенным на оболочку; дополнительно каждый стабилизатор укреплен шестью тросовыми расчалками – с тендерами, крепящимися к трубам, зашпагованным в поясах, наклеенных на оболочку.</w:t>
      </w:r>
    </w:p>
    <w:p w14:paraId="669913F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ЭКСПЛУАТАЦИЯ АЭРОСТАТА</w:t>
      </w:r>
    </w:p>
    <w:p w14:paraId="199EF1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привязном варианте эксплуатация аэростата “МАЛЫШ” производится аналогично эксплуатации нормального “БД”.</w:t>
      </w:r>
    </w:p>
    <w:p w14:paraId="01A373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подтягивания к земле следует также применять систему механического подтягивания МПА-1, значительно облегчающую эту трудоемкую операцию.</w:t>
      </w:r>
    </w:p>
    <w:p w14:paraId="768077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биваке, для предохранения нижнего стабилизатора, под оболочку подводится газгольдер, наполненный воздухом до такой степени, чтобы стабилизатор не доходил до земли на 0,5 – 0,7 м. В таком положении аэростат закрепляется.</w:t>
      </w:r>
    </w:p>
    <w:p w14:paraId="397597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привязном варианте рули закреплены при помощи специального троса замками патефонного типа, присоединяемых к тросам штурпроводки к переднему ребру нижнего стабилизатора.</w:t>
      </w:r>
    </w:p>
    <w:p w14:paraId="6F38AD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Трансформация в мотовариант производится на 15-20 минут путем освобождения рулей присоединения на карабинах строп гондолы, присоединения штурпроводки, шланга воздухоулавливателя и тяг к клапанам и разрывному.</w:t>
      </w:r>
    </w:p>
    <w:p w14:paraId="6C5378A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Эксплуатация “МАЛЫША” в мотоварианте, как показали испытания, требует незначительного количества команды и аналогична эксплуатации дирижабля минимального объема.</w:t>
      </w:r>
    </w:p>
    <w:p w14:paraId="594984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НАЗЕМНЫХ И ЛЕТНЫХ</w:t>
      </w:r>
    </w:p>
    <w:p w14:paraId="746B16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ИСПЫТАНИЙ</w:t>
      </w:r>
    </w:p>
    <w:p w14:paraId="4B4B2D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моторизованного аэростата “МАЛЫШ” проводились по специальной программе, при сем прилагаемой, утвержденной командиром 1 ОВД ВДВ КА – капитаном Фадеевым.</w:t>
      </w:r>
    </w:p>
    <w:p w14:paraId="1E29E5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процессе проведения испытаний были допущены некоторые отклонения от программы в части последовательности отдельных испытаний. Однако все пункты программы были выполнены.</w:t>
      </w:r>
    </w:p>
    <w:p w14:paraId="484D7E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выявившейся необходимостью некоторых конструктивных переделок /перенесения оперения вперед/ отдельные испытательные полеты были повторены. Протоколы всех испытаний прилагаются.</w:t>
      </w:r>
    </w:p>
    <w:p w14:paraId="5FF341F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Следует также отметить, что кроме двух испытаний в привязном варианте /при старом и новом положении оперения/ аэростат использовался на нормальной эксплуатации по сбрасыванию парашютистов. Всего было произведено 68 подъемов, во время которых сброшено 192 парашютиста.</w:t>
      </w:r>
    </w:p>
    <w:p w14:paraId="123578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Подъемы производились в различных метеоусловиях на обычной лебедке ЛВ-2 с привязным тросом диаметром 6,5 мм.</w:t>
      </w:r>
    </w:p>
    <w:p w14:paraId="286021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Прыжки производились с гондолы ДТГ-1. Рабочая высота – 400 м. Сила ветра была от 0 до 12 м/сек.</w:t>
      </w:r>
    </w:p>
    <w:p w14:paraId="0B046D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всех подъемах объект обнаруживал хорошую устойчивость, отсутствие бочения и малый снос.</w:t>
      </w:r>
    </w:p>
    <w:p w14:paraId="43FB06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Наземные испытания проводились: инж. капитаном ГАРФ, инж. капитаном УСТИНОВИЧ, ст. техником-лейтенантом КАРАМЫШЕВЫМ, мл. лейтенантом ИВАНОВЫМ, лейтенантом КОГАН, ст. лейтенантом РОЩИНЫМ.</w:t>
      </w:r>
    </w:p>
    <w:p w14:paraId="102E92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проведения летных испытаний объекта приказом по части была назначена комиссия в составе:</w:t>
      </w:r>
    </w:p>
    <w:p w14:paraId="65B4CF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комиссии: командир 1 ОВД капитан Фадеев;</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52"/>
        <w:gridCol w:w="7207"/>
      </w:tblGrid>
      <w:tr w:rsidR="004D4663" w:rsidRPr="00070ADE" w14:paraId="7B147051" w14:textId="77777777">
        <w:tc>
          <w:tcPr>
            <w:tcW w:w="2152" w:type="dxa"/>
            <w:tcBorders>
              <w:top w:val="single" w:sz="12" w:space="0" w:color="auto"/>
            </w:tcBorders>
          </w:tcPr>
          <w:p w14:paraId="64814CB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Члены комиссии:</w:t>
            </w:r>
          </w:p>
        </w:tc>
        <w:tc>
          <w:tcPr>
            <w:tcW w:w="7207" w:type="dxa"/>
            <w:tcBorders>
              <w:top w:val="single" w:sz="12" w:space="0" w:color="auto"/>
            </w:tcBorders>
          </w:tcPr>
          <w:p w14:paraId="4F689B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объекта инж. капитан Гарф;</w:t>
            </w:r>
          </w:p>
        </w:tc>
      </w:tr>
      <w:tr w:rsidR="004D4663" w:rsidRPr="00070ADE" w14:paraId="3267B8F8" w14:textId="77777777">
        <w:tc>
          <w:tcPr>
            <w:tcW w:w="2152" w:type="dxa"/>
          </w:tcPr>
          <w:p w14:paraId="5A25D5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207" w:type="dxa"/>
          </w:tcPr>
          <w:p w14:paraId="786E16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инженер дивизиона – пилот объекта инж. капитан Устинович;</w:t>
            </w:r>
          </w:p>
        </w:tc>
      </w:tr>
      <w:tr w:rsidR="004D4663" w:rsidRPr="00070ADE" w14:paraId="5D640255" w14:textId="77777777">
        <w:tc>
          <w:tcPr>
            <w:tcW w:w="2152" w:type="dxa"/>
          </w:tcPr>
          <w:p w14:paraId="502FD3D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207" w:type="dxa"/>
          </w:tcPr>
          <w:p w14:paraId="55DEBF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мастерских – ст. т/л-т Степанов</w:t>
            </w:r>
          </w:p>
        </w:tc>
      </w:tr>
      <w:tr w:rsidR="004D4663" w:rsidRPr="00070ADE" w14:paraId="5F7BDB5F" w14:textId="77777777">
        <w:tc>
          <w:tcPr>
            <w:tcW w:w="2152" w:type="dxa"/>
            <w:tcBorders>
              <w:bottom w:val="single" w:sz="12" w:space="0" w:color="auto"/>
            </w:tcBorders>
          </w:tcPr>
          <w:p w14:paraId="60BA69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207" w:type="dxa"/>
            <w:tcBorders>
              <w:bottom w:val="single" w:sz="12" w:space="0" w:color="auto"/>
            </w:tcBorders>
          </w:tcPr>
          <w:p w14:paraId="6A6929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Командир дирижабля В-12 ст. л-т Рощин</w:t>
            </w:r>
          </w:p>
        </w:tc>
      </w:tr>
    </w:tbl>
    <w:p w14:paraId="2D9BA1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Полеты производились утром от 6 до 10 ч.</w:t>
      </w:r>
    </w:p>
    <w:p w14:paraId="469F055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Ввод и вывод объекта из эллинга производился стартовой командой в составе не более 12-14 человек.</w:t>
      </w:r>
    </w:p>
    <w:p w14:paraId="5D9BCB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всего периода испытаний пришлось несколько раз трансформировать объект из привязника в дирижабль и обратно.</w:t>
      </w:r>
    </w:p>
    <w:p w14:paraId="3CDD5D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Трансформация занимала каждый раз менее часа. При этом следует отметить, что все соединения отъемных частей осуществлялись не по проекту в виде легко разъемных конструкций /карабины/, а при помощи мальей и тендеров, что, конечно, сказывалось на времени трансформации.</w:t>
      </w:r>
    </w:p>
    <w:p w14:paraId="1346D03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условии замены этих соединений на легкоразъемные, время трансформации может быть доведено до 15-20 мин.</w:t>
      </w:r>
    </w:p>
    <w:p w14:paraId="1EAE1B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проведенных испытаний комиссия пришла к следующим выводам:</w:t>
      </w:r>
    </w:p>
    <w:p w14:paraId="1866C6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 привязном варианте объект обладает хорошей устойчивостью и не обнаруживает склонности к бочению или клевкам. Снос незначительный. Натяжение троса также не превышает нормы.</w:t>
      </w:r>
    </w:p>
    <w:p w14:paraId="39EA71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эти характеристики у “МАЛЫША” значительно лучше, чем у нормального аэростата “БД”.</w:t>
      </w:r>
    </w:p>
    <w:p w14:paraId="720A675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Подъемная сила объекта в привязном варианте достаточна для нормальной выброски 3 человек парашютистов в штиль /летом/. При наличии ветра это количество повышается до 4-5 человек.</w:t>
      </w:r>
    </w:p>
    <w:p w14:paraId="142AC3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 моторизованном варианте объект обладает хорошей устойчивостью и управляемостью как в вертикальной, так и в горизонтальной плоскостях.</w:t>
      </w:r>
    </w:p>
    <w:p w14:paraId="47A48C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Затруднение поворота влево не является органическим дефектом конструкции и может быть устранено переклейкой пояса крепления стабилизатора.</w:t>
      </w:r>
    </w:p>
    <w:p w14:paraId="0EADAA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Оригинальную схему трех жестких планов, расположенных под 120° друг к другу следует признать удачной.</w:t>
      </w:r>
    </w:p>
    <w:p w14:paraId="377CEC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Педальное управление, впервые примененное для дирижабля, оправдывает себя полностью. Усилия на педали несколько высоки, особенно на левую ногу /вследствие большого угла отклонения руля влево/. Однако эти усилия легко уменьшить установкой компенсатора на руле направления, что может быть легко сделано без всякого изменения конструкции руля.</w:t>
      </w:r>
    </w:p>
    <w:p w14:paraId="4E89FF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Конструкцию остальной матчасти объекта /клапана, улавливатель, подвеска гондолы, управление сбрасыванием гайдропа/ следует признать удачной и вполне отвечающей требованиям, предъявляемым к этим агрегатам.</w:t>
      </w:r>
    </w:p>
    <w:p w14:paraId="1F2588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Весовые и летно-эксплуатационные характеристики объекта соответствуют расчетным данным.</w:t>
      </w:r>
    </w:p>
    <w:p w14:paraId="7DFAF3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w:t>
      </w:r>
    </w:p>
    <w:p w14:paraId="1F5B7A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Моторизованный аэростат “МАЛЫШ” конструкции инженер-капитана ГАРФ Б.А., спроектированный и построенный силами 1-го Отдельного Воздухоплавательного дивизиона ВДВ КА может быть допущен к нормальной эксплуатации в качестве привязного аэростата по тренировке парашютистов частей ВДВ КА.</w:t>
      </w:r>
    </w:p>
    <w:p w14:paraId="1367BE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моторизованном варианте аэростат “МАЛЫШ” может быть использован для быстрой перебазировки отрядов, также для связи между отрядами.</w:t>
      </w:r>
    </w:p>
    <w:p w14:paraId="0E00BE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Моторизованный аэростат “МАЛЫШ” с незначительными конструктивными изменениями может также быть применен в других организациях, а именно:</w:t>
      </w:r>
    </w:p>
    <w:p w14:paraId="4D8E89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 системе ГАУ КА, с использованием в качестве аэростата наблюдения и корректировки артиллерийской стрельбы.</w:t>
      </w:r>
    </w:p>
    <w:p w14:paraId="702F19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этом случае необходимо изменить стягивающую систему для повышения зоны полной вытяжки шнуров.</w:t>
      </w:r>
    </w:p>
    <w:p w14:paraId="59FC54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 системе [неразборчиво] ВМФ для конвоирования судов и обнаружения подводных лодок противника. Аэростат может при этом эксплуатироваться как в привязном варианте /на борту морского судна/, так и в моторизованном варианте.</w:t>
      </w:r>
    </w:p>
    <w:p w14:paraId="403683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последнем случае необходимо установить на борту рацию истребительного типа для связи с землей или с кораблями флота.</w:t>
      </w:r>
    </w:p>
    <w:p w14:paraId="0651BD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 системе ГУСМП для ледовой разведки и проводки судов с базированием на палубе ледокола.</w:t>
      </w:r>
    </w:p>
    <w:p w14:paraId="08DC74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Аэростат при этом используется как в привязном, так и в моторизованном варианте для совершения кратковременных эпизодических полетов.</w:t>
      </w:r>
    </w:p>
    <w:p w14:paraId="0C67BF2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рации в данном случае также необходима.</w:t>
      </w:r>
    </w:p>
    <w:p w14:paraId="031C8E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Для постройки серии пробных аэростатов, необходимо провести следующие доводки и усовершенствование материальной части аэростата “МАЛЫШ”.</w:t>
      </w:r>
    </w:p>
    <w:p w14:paraId="79A266E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установить обтекатель к корме гондолы;</w:t>
      </w:r>
    </w:p>
    <w:p w14:paraId="66521D2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установить реперную ленту к стягивающей системе и к баллонету;</w:t>
      </w:r>
    </w:p>
    <w:p w14:paraId="773580B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усовершенствовать размещение балласта и управление сбрасыванием;</w:t>
      </w:r>
    </w:p>
    <w:p w14:paraId="5A96D5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укоротить шланг воздухоподачи;</w:t>
      </w:r>
    </w:p>
    <w:p w14:paraId="677B09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уменьшить вес оперения;</w:t>
      </w:r>
    </w:p>
    <w:p w14:paraId="76324F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 упростить процесс трансформации за счет использования легко разъемных деталей /карабинов, накладных замков и т.д./.</w:t>
      </w:r>
    </w:p>
    <w:p w14:paraId="0315AE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 целью еще большего повышения эффективности работы моторизованного аэростата, комиссия считает необходимым приступить в ближайшее время к постройке аэростата подобного же типа /объемом в 1200 м</w:t>
      </w:r>
      <w:r w:rsidRPr="00070ADE">
        <w:rPr>
          <w:rFonts w:ascii="Times New Roman" w:hAnsi="Times New Roman"/>
          <w:color w:val="000000" w:themeColor="text1"/>
          <w:sz w:val="16"/>
          <w:szCs w:val="16"/>
          <w:vertAlign w:val="superscript"/>
        </w:rPr>
        <w:t>3</w:t>
      </w:r>
      <w:r w:rsidRPr="00070ADE">
        <w:rPr>
          <w:rFonts w:ascii="Times New Roman" w:hAnsi="Times New Roman"/>
          <w:color w:val="000000" w:themeColor="text1"/>
          <w:sz w:val="16"/>
          <w:szCs w:val="16"/>
        </w:rPr>
        <w:t>/, с использованием готовых частей конструкции:</w:t>
      </w:r>
    </w:p>
    <w:p w14:paraId="71D41CE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оболочки, имеющейся в распоряжении 1 ОВД;</w:t>
      </w:r>
    </w:p>
    <w:p w14:paraId="71665A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оперения от дирижабля В-12, имеющегося в распоряжении 1 ОВД;</w:t>
      </w:r>
    </w:p>
    <w:p w14:paraId="7EBC56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фюзеляжа и винтомоторной группы самолета У-2, которые необходимо передать в распоряжение 1 ОВД.</w:t>
      </w:r>
    </w:p>
    <w:tbl>
      <w:tblPr>
        <w:tblW w:w="0" w:type="auto"/>
        <w:tblInd w:w="10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4785"/>
        <w:gridCol w:w="4785"/>
      </w:tblGrid>
      <w:tr w:rsidR="004D4663" w:rsidRPr="00070ADE" w14:paraId="29BC8698" w14:textId="77777777">
        <w:tc>
          <w:tcPr>
            <w:tcW w:w="4785" w:type="dxa"/>
            <w:tcBorders>
              <w:top w:val="single" w:sz="12" w:space="0" w:color="auto"/>
            </w:tcBorders>
          </w:tcPr>
          <w:p w14:paraId="1A3D09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комиссии:</w:t>
            </w:r>
          </w:p>
          <w:p w14:paraId="329344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Командир 1 ОВД ВДВ КА капитан</w:t>
            </w:r>
          </w:p>
        </w:tc>
        <w:tc>
          <w:tcPr>
            <w:tcW w:w="4785" w:type="dxa"/>
            <w:tcBorders>
              <w:top w:val="single" w:sz="12" w:space="0" w:color="auto"/>
            </w:tcBorders>
          </w:tcPr>
          <w:p w14:paraId="56B4C7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055E1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/ФАДЕЕВ/</w:t>
            </w:r>
          </w:p>
        </w:tc>
      </w:tr>
      <w:tr w:rsidR="004D4663" w:rsidRPr="00070ADE" w14:paraId="02F94798" w14:textId="77777777">
        <w:tc>
          <w:tcPr>
            <w:tcW w:w="4785" w:type="dxa"/>
          </w:tcPr>
          <w:p w14:paraId="4084512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Члены комиссии:</w:t>
            </w:r>
          </w:p>
        </w:tc>
        <w:tc>
          <w:tcPr>
            <w:tcW w:w="4785" w:type="dxa"/>
          </w:tcPr>
          <w:p w14:paraId="2F2A40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BD830EA" w14:textId="77777777">
        <w:tc>
          <w:tcPr>
            <w:tcW w:w="4785" w:type="dxa"/>
          </w:tcPr>
          <w:p w14:paraId="303C44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инженер 1 ОВД пилот аэростата</w:t>
            </w:r>
          </w:p>
          <w:p w14:paraId="131F71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 капитан</w:t>
            </w:r>
          </w:p>
        </w:tc>
        <w:tc>
          <w:tcPr>
            <w:tcW w:w="4785" w:type="dxa"/>
          </w:tcPr>
          <w:p w14:paraId="3849924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97D6D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/УСТИНОВИЧ/</w:t>
            </w:r>
          </w:p>
        </w:tc>
      </w:tr>
      <w:tr w:rsidR="004D4663" w:rsidRPr="00070ADE" w14:paraId="5BA04838" w14:textId="77777777">
        <w:tc>
          <w:tcPr>
            <w:tcW w:w="4785" w:type="dxa"/>
          </w:tcPr>
          <w:p w14:paraId="0FD9758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Главный конструктор аэростата</w:t>
            </w:r>
          </w:p>
          <w:p w14:paraId="247E5A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 капитан</w:t>
            </w:r>
          </w:p>
        </w:tc>
        <w:tc>
          <w:tcPr>
            <w:tcW w:w="4785" w:type="dxa"/>
          </w:tcPr>
          <w:p w14:paraId="1E61575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76012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/ГАРФ/</w:t>
            </w:r>
          </w:p>
        </w:tc>
      </w:tr>
      <w:tr w:rsidR="004D4663" w:rsidRPr="00070ADE" w14:paraId="31EBE1E1" w14:textId="77777777">
        <w:tc>
          <w:tcPr>
            <w:tcW w:w="4785" w:type="dxa"/>
          </w:tcPr>
          <w:p w14:paraId="2EFF76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Командир дирижабля В-12</w:t>
            </w:r>
          </w:p>
          <w:p w14:paraId="19756E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л-т</w:t>
            </w:r>
          </w:p>
        </w:tc>
        <w:tc>
          <w:tcPr>
            <w:tcW w:w="4785" w:type="dxa"/>
          </w:tcPr>
          <w:p w14:paraId="491A10D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8048EE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/РОЩИН/</w:t>
            </w:r>
          </w:p>
        </w:tc>
      </w:tr>
      <w:tr w:rsidR="004D4663" w:rsidRPr="00070ADE" w14:paraId="70CC0DBD" w14:textId="77777777">
        <w:tc>
          <w:tcPr>
            <w:tcW w:w="4785" w:type="dxa"/>
          </w:tcPr>
          <w:p w14:paraId="41454F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мастерских 1 ОВД</w:t>
            </w:r>
          </w:p>
          <w:p w14:paraId="1AF594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т/л-т</w:t>
            </w:r>
          </w:p>
        </w:tc>
        <w:tc>
          <w:tcPr>
            <w:tcW w:w="4785" w:type="dxa"/>
          </w:tcPr>
          <w:p w14:paraId="5A54FE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9B145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/СТЕПАНОВ/</w:t>
            </w:r>
          </w:p>
        </w:tc>
      </w:tr>
      <w:tr w:rsidR="004D4663" w:rsidRPr="00070ADE" w14:paraId="6E999BEA" w14:textId="77777777">
        <w:tc>
          <w:tcPr>
            <w:tcW w:w="4785" w:type="dxa"/>
            <w:tcBorders>
              <w:bottom w:val="single" w:sz="12" w:space="0" w:color="auto"/>
            </w:tcBorders>
          </w:tcPr>
          <w:p w14:paraId="5F37F5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утверждению согласен.:</w:t>
            </w:r>
          </w:p>
          <w:p w14:paraId="00D075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Главный инженер авиации ВДВ КА</w:t>
            </w:r>
          </w:p>
          <w:p w14:paraId="583D59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Инженер-подполковник</w:t>
            </w:r>
          </w:p>
        </w:tc>
        <w:tc>
          <w:tcPr>
            <w:tcW w:w="4785" w:type="dxa"/>
            <w:tcBorders>
              <w:bottom w:val="single" w:sz="12" w:space="0" w:color="auto"/>
            </w:tcBorders>
          </w:tcPr>
          <w:p w14:paraId="448F724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E2069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C72E3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/НАХВАНОВИЧ/</w:t>
            </w:r>
          </w:p>
        </w:tc>
      </w:tr>
    </w:tbl>
    <w:p w14:paraId="15FF50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(11080)</w:t>
      </w:r>
    </w:p>
    <w:p w14:paraId="7EC204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43241D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715A6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9620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мая 1944 г. вышел ПРИКАЗ НАРОДНОГО КОМИССАРА ТАНКОВОЙ ПРОМЫШЛЕННОСТИ, КОМАНДУЮЩЕГО БТ и МВ КА И НАЧАЛЬНИКА ГАУ КА ОБ ИСПЫТАНИИ ЗЕНИТНОЙ УСТАНОВКИ НА ТАНКЕ ИС И АРТУСТАНОВКЕ ИСУ-152 №340/089/0316</w:t>
      </w:r>
    </w:p>
    <w:p w14:paraId="2E7871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проведения испытаний опытного образца зенитной установки 12,7-мм пулемета ДШК, из</w:t>
      </w:r>
      <w:r w:rsidRPr="00070ADE">
        <w:rPr>
          <w:rFonts w:ascii="Times New Roman" w:hAnsi="Times New Roman"/>
          <w:color w:val="000000" w:themeColor="text1"/>
          <w:sz w:val="16"/>
          <w:szCs w:val="16"/>
        </w:rPr>
        <w:softHyphen/>
        <w:t>готовленной заводом №100 назначаем комиссию в составе:</w:t>
      </w:r>
    </w:p>
    <w:p w14:paraId="5DB7FD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командир 33-го учебного полка самоходной артиллерии полковник т. Васильев.</w:t>
      </w:r>
    </w:p>
    <w:p w14:paraId="767F0E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Членов: от ГБТУ КА: ст. пом. нач. 3-го отдела УСА ГБТУ КА инженер-майор т. Василевский.</w:t>
      </w:r>
    </w:p>
    <w:p w14:paraId="034EF1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военпред ГБТУ КА на заводе №100 инженер-подполковник т. Вовк.</w:t>
      </w:r>
    </w:p>
    <w:p w14:paraId="0699FE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ГАУ КА: нач. арт. отдела филиала НИПСВО инженер-майор т. Розенштейн.</w:t>
      </w:r>
    </w:p>
    <w:p w14:paraId="5CC7EB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завода №100 — по назначению директора завода №100.</w:t>
      </w:r>
    </w:p>
    <w:p w14:paraId="7CA365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Испытание опытного образца зенитной установки провести по программе артиллерийского комитета ГАУ КА и Главного бронетанкового управления.</w:t>
      </w:r>
    </w:p>
    <w:p w14:paraId="237093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Испытания проводятся на филиале НИПСВО г. Чебаркуль в период с 20 по 28 мая с. г.</w:t>
      </w:r>
    </w:p>
    <w:p w14:paraId="30E9D9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 результатам испытаний комиссии представить отчет и дать заключение о возможности принятия зенитной установки на вооружение танка ИС и самоходной арт. установки ИСУ-152.</w:t>
      </w:r>
    </w:p>
    <w:p w14:paraId="164AE5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Начальнику УСБ ГАУ КА подать на испытания 3000 штук 12,7-мм патронов ДШК (в возмеще</w:t>
      </w:r>
      <w:r w:rsidRPr="00070ADE">
        <w:rPr>
          <w:rFonts w:ascii="Times New Roman" w:hAnsi="Times New Roman"/>
          <w:color w:val="000000" w:themeColor="text1"/>
          <w:sz w:val="16"/>
          <w:szCs w:val="16"/>
        </w:rPr>
        <w:softHyphen/>
        <w:t>ние произведенного расхода).</w:t>
      </w:r>
    </w:p>
    <w:p w14:paraId="52577C2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Директору завода №100 обеспечить комиссию питанием и жильем.</w:t>
      </w:r>
    </w:p>
    <w:p w14:paraId="014275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Народный комиссар танковой промышленности В. Малышев</w:t>
      </w:r>
    </w:p>
    <w:p w14:paraId="6DA481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командующего БТ и МВ КА генерал-полковник танковых войск В. Коробков</w:t>
      </w:r>
    </w:p>
    <w:p w14:paraId="5B073A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ГАУ КА маршал артиллерии Н. Яковлев</w:t>
      </w:r>
    </w:p>
    <w:p w14:paraId="3F4F99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2211. Л. 21. Копия (11420).</w:t>
      </w:r>
    </w:p>
    <w:p w14:paraId="6BB162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F204D7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мая 1944 года вышел приказ № 271с НКБ</w:t>
      </w:r>
    </w:p>
    <w:p w14:paraId="6549A06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распоряжением СНК от 20 мая 1944 года № 10984рс:</w:t>
      </w:r>
    </w:p>
    <w:p w14:paraId="549A9FA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Присвоить № 503 снаряжательному заводу НКБ, выделенному из состава завода № 15 НКБ (6015, 51).</w:t>
      </w:r>
    </w:p>
    <w:p w14:paraId="4AEA96A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A2D3EC" w14:textId="77777777" w:rsidR="00D56B87" w:rsidRPr="00070ADE" w:rsidRDefault="00D56B87" w:rsidP="00B56F90">
      <w:pPr>
        <w:pStyle w:val="ae"/>
        <w:shd w:val="clear" w:color="auto" w:fill="FFFFFF"/>
        <w:spacing w:before="0" w:after="0"/>
        <w:jc w:val="both"/>
        <w:rPr>
          <w:color w:val="000000" w:themeColor="text1"/>
          <w:sz w:val="16"/>
          <w:szCs w:val="16"/>
        </w:rPr>
      </w:pPr>
      <w:r w:rsidRPr="00070ADE">
        <w:rPr>
          <w:color w:val="000000" w:themeColor="text1"/>
          <w:sz w:val="16"/>
          <w:szCs w:val="16"/>
        </w:rPr>
        <w:t>20 мая 1944 на ЧКЗ закончились работы по монтажу оборудования в механических цехах. Существенным образом на работу в мае повлияло отсутствие задела по деталям. 2/3 месяца завод работал не в полную силу, зато оставшуюся декаду выполнял план в авральном режиме. Для помощи в сборке в цеха было направлено много рабочих с других заводов Челябинска. Разумеется, это повлияло на качество. За май ЧКЗ должен был выпустить 175 ИС-2, 135 ИСУ-152 и 90 ИС-2, последние танки из этого плана были сданы к 4 июня (17721).</w:t>
      </w:r>
    </w:p>
    <w:p w14:paraId="15A8C83F" w14:textId="77777777" w:rsidR="00D56B87" w:rsidRPr="00070ADE" w:rsidRDefault="00D56B87" w:rsidP="00B56F90">
      <w:pPr>
        <w:pStyle w:val="123"/>
        <w:shd w:val="clear" w:color="auto" w:fill="auto"/>
        <w:spacing w:after="0" w:line="240" w:lineRule="auto"/>
        <w:jc w:val="both"/>
        <w:rPr>
          <w:color w:val="000000" w:themeColor="text1"/>
          <w:sz w:val="16"/>
          <w:szCs w:val="16"/>
        </w:rPr>
      </w:pPr>
    </w:p>
    <w:p w14:paraId="0716E5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мая 1944 вышло Распоряжение ГКО № 5934. О производстве вентиляторов высокого давления по заказам НКТП. РГАНИР, Фонд ГКО, д. 255, лл. 10,11 (11012).</w:t>
      </w:r>
    </w:p>
    <w:p w14:paraId="147391E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0B0100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мая 1944 вышло Распоряжение ГКО № 5935 [Об отмене выделения Главсеверолесу двух пароходов.] (7234, 12).</w:t>
      </w:r>
    </w:p>
    <w:p w14:paraId="6D6475B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0614F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мая 1944 вышло Постановление ГКО № 5936 [О фондах снабжения наркоматов и ведомств автобензином на май 1944 г.] (7234, 13,14-16).</w:t>
      </w:r>
    </w:p>
    <w:p w14:paraId="7E5F869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BA81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мая 1944 года была подготовлена справка:</w:t>
      </w:r>
    </w:p>
    <w:p w14:paraId="5B0247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217 НКВ – Свердловск (9283).</w:t>
      </w:r>
    </w:p>
    <w:p w14:paraId="017504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622 – Ижевск (9283).</w:t>
      </w:r>
    </w:p>
    <w:p w14:paraId="013B56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622F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мая 1944 На Адмиралтейском заводе начаты швартовные испытания 13-го МБК (10671).</w:t>
      </w:r>
    </w:p>
    <w:p w14:paraId="3DC379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F2A33B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10F0E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BAC34E"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 мая</w:t>
      </w:r>
      <w:r w:rsidRPr="00070ADE">
        <w:rPr>
          <w:rFonts w:ascii="Times New Roman" w:hAnsi="Times New Roman"/>
          <w:color w:val="000000" w:themeColor="text1"/>
          <w:sz w:val="16"/>
          <w:szCs w:val="16"/>
        </w:rPr>
        <w:t xml:space="preserve"> в 1944 году оперативная сводка Совинформбюро:</w:t>
      </w:r>
    </w:p>
    <w:p w14:paraId="2CE33A97"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20 мая на фронтах существенных изменений не произошло. За 19 мая в воздушных боях и огнём зенитной артиллерии сбит 31 самолёт противника.</w:t>
      </w:r>
    </w:p>
    <w:p w14:paraId="244B6FA0"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Тирасполь немцы силою до батальона пехоты несколько раз переходили в атаку. Советские гвардейцы артиллерийско-миномётным и пулемётным огнём отбили все атаки противника и истребили две роты гитлеровцев.</w:t>
      </w:r>
    </w:p>
    <w:p w14:paraId="7D060C83"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бойцы Н-ской части продолжали отбивать атаки противника, пытавшегося овладеть выгодным рубежом. Наши подразделения прочно удерживают этот рубеж. На поле боя осталось до 400 убитых немецких солдат и офицеров и 2 подбитых самоходных орудия противника. Взяты пленные.</w:t>
      </w:r>
    </w:p>
    <w:p w14:paraId="6C1AF10D"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Витебск немцы пытались вернуть высоту, занятую вчера нашими подразделениями. Советские бойцы закрепились на новых позициях и успешно отразили все атаки противника. За два дня боёв на этом участке наши подразделения истребили более 200 гитлеровцев.</w:t>
      </w:r>
    </w:p>
    <w:p w14:paraId="609E7C7A"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Мозырь разведчики под руководством младшего лейтенанта Семихова ночью тремя группами перешли болото и ворвались в расположение противника. Старший сержант Бедельбаев, красноармейцы Новиков и Дубровцев забросали гранатами дзот, уничтожили четырёх немцев, а одного взяли в плен. Красноармейцы Липецкий, Дубов и Кромар взорвали другой вражеский дзот, убили двух немцев, а одного захватили в плен. Разведчик Исаков из автомата убил трёх немецких солдат, бежавших к месту боя. Таким образом, всего разведчики уничтожили 9 немцев, разрушили два дзота, захватили двух пленных, один пулемёт и благополучно вернулись в свою часть.</w:t>
      </w:r>
    </w:p>
    <w:p w14:paraId="3B1A3ECB"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Краснознамённого Балтийского флота нанесла бомбово-штурмовой удар по судам противника в Финском заливе. Прямыми попаданиями бомб потоплены два сторожевых корабля, две быстроходные десантные баржи и сторожевой катер. В воздушных боях наши лётчики сбили 15 немецких самолётов.</w:t>
      </w:r>
    </w:p>
    <w:p w14:paraId="78E7CFDA"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Группа литовских партизан из отряда «Вильнюс» пустила под откос два эшелона противника. Разбиты 2 паровоза и 23 платформы с танками. Другая группа партизан этого же отряда пустила под откос три немецких воинских поезда. Один из эшелонов был взорван в тот момент, когда он проходил по железнодорожному мосту. Поезд свалился с моста. Паровоз и все вагоны разбиты в щепы.</w:t>
      </w:r>
    </w:p>
    <w:p w14:paraId="701DE3CA"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сторону Красной Армии перешли две группы солдат 5 румынской кавалерийской дивизии. Перебежчик сержант Олег К. сообщил: «В Румынии царит паника. Дороги запружены беженцами, среди которых много немцев, бежавших из Украины. Дезертирство из румынской армии приняло большие размеры. Крестьяне оказывают дезертирам помощь и укрывают их от жандармов. Недавно в городе Яссы немцы расстреляли 17 солдат из 16 румынского полка. Расправа немцев над румынскими солдатами вызвала огромное возмущение среди населения города. Через несколько дней неизвестные лица убили немецкого полковника и двух солдат».</w:t>
      </w:r>
    </w:p>
    <w:p w14:paraId="45B8B77D"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Перебежчик Василе Б. рассказал: «Неделю тому назад наша группа в 11 человек решила организованно перейти к русским. Так как немцы неусыпно следили за нами, мы пошли на хитрость. Между нашими и русскими окопами стояли два противотанковых орудия, брошенных немцами при отступлении. Я заявил немецкому фельдфебелю, что моему отделению поручено доставить эти орудия в наше расположение. Я просил фельдфебеля предупредить немецких солдат, чтобы они не стреляли. Немцы действительно не открывали огня. Для вида мы некоторое время повозились у пушек, а затем всей группой благополучно добрались до русских позиций и сдались в плен» (14897).</w:t>
      </w:r>
    </w:p>
    <w:p w14:paraId="5A642108" w14:textId="77777777" w:rsidR="005F2ECF" w:rsidRPr="00070ADE" w:rsidRDefault="005F2ECF" w:rsidP="00B56F90">
      <w:pPr>
        <w:spacing w:after="0" w:line="240" w:lineRule="auto"/>
        <w:jc w:val="both"/>
        <w:rPr>
          <w:rFonts w:ascii="Times New Roman" w:hAnsi="Times New Roman"/>
          <w:color w:val="000000" w:themeColor="text1"/>
          <w:sz w:val="16"/>
          <w:szCs w:val="16"/>
        </w:rPr>
      </w:pPr>
    </w:p>
    <w:p w14:paraId="4E541B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мая 1944 НКВД выделил сроком на 3 месяца для дополнительного питания военнопленных 35 тыс. пайков (3428).</w:t>
      </w:r>
    </w:p>
    <w:p w14:paraId="0BC136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59BA4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070ADE">
        <w:rPr>
          <w:rFonts w:ascii="Times New Roman" w:hAnsi="Times New Roman"/>
          <w:i/>
          <w:iCs/>
          <w:color w:val="000000" w:themeColor="text1"/>
          <w:sz w:val="16"/>
          <w:szCs w:val="16"/>
        </w:rPr>
        <w:t>За</w:t>
      </w:r>
      <w:r w:rsidRPr="00070ADE">
        <w:rPr>
          <w:rFonts w:ascii="Times New Roman" w:hAnsi="Times New Roman"/>
          <w:i/>
          <w:iCs/>
          <w:color w:val="000000" w:themeColor="text1"/>
          <w:sz w:val="16"/>
          <w:szCs w:val="16"/>
          <w:lang w:val="en-US"/>
        </w:rPr>
        <w:t xml:space="preserve"> </w:t>
      </w:r>
      <w:r w:rsidRPr="00070ADE">
        <w:rPr>
          <w:rFonts w:ascii="Times New Roman" w:hAnsi="Times New Roman"/>
          <w:i/>
          <w:iCs/>
          <w:color w:val="000000" w:themeColor="text1"/>
          <w:sz w:val="16"/>
          <w:szCs w:val="16"/>
        </w:rPr>
        <w:t>рубежом</w:t>
      </w:r>
      <w:r w:rsidRPr="00070ADE">
        <w:rPr>
          <w:rFonts w:ascii="Times New Roman" w:hAnsi="Times New Roman"/>
          <w:i/>
          <w:iCs/>
          <w:color w:val="000000" w:themeColor="text1"/>
          <w:sz w:val="16"/>
          <w:szCs w:val="16"/>
          <w:lang w:val="en-US"/>
        </w:rPr>
        <w:t>:</w:t>
      </w:r>
    </w:p>
    <w:p w14:paraId="234BC5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2CE88B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20th, 1944: Nearly 5,000 Allied aircraft attack airfields and rail communications in France and Belgium (3819).</w:t>
      </w:r>
    </w:p>
    <w:p w14:paraId="7034C1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2E091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мая 1944 в атаках на аэродромы во Франции и Бельгии приняло участие около 5000 самолетов союзников (3918).</w:t>
      </w:r>
    </w:p>
    <w:p w14:paraId="6C380F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44D3FC" w14:textId="77777777" w:rsidR="001D1ADE" w:rsidRPr="00070ADE" w:rsidRDefault="001D1A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мая 1944 налет американской авиации на остров Маркус (20373).</w:t>
      </w:r>
    </w:p>
    <w:p w14:paraId="2E853DCB" w14:textId="77777777" w:rsidR="001D1ADE" w:rsidRPr="00070ADE" w:rsidRDefault="001D1ADE" w:rsidP="00B56F90">
      <w:pPr>
        <w:spacing w:after="0" w:line="240" w:lineRule="auto"/>
        <w:jc w:val="both"/>
        <w:rPr>
          <w:rFonts w:ascii="Times New Roman" w:hAnsi="Times New Roman"/>
          <w:color w:val="000000" w:themeColor="text1"/>
          <w:sz w:val="16"/>
          <w:szCs w:val="16"/>
        </w:rPr>
      </w:pPr>
    </w:p>
    <w:p w14:paraId="3DB32E6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E0896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86D3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мая 1944 состоялся первый полет СДБ-первого А.Н.Т. (4,180).</w:t>
      </w:r>
    </w:p>
    <w:p w14:paraId="31693C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была модификация опытного 103 2АМ-37 и получила обозначение 63/1. Поставили АМ-39 (1870 нр) с винтами АВ-5ЛВ-22А 3.6 м вместо АМ-37 с ВИШ-61Т, сняли тормозные решетки, сняли пулеметы верхней и нижней установок, уменьшили экипаж до 2 (1835,56).</w:t>
      </w:r>
    </w:p>
    <w:p w14:paraId="2D4FA1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F2A6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21 по 31 мая 1944 л-и А.Д.Перелет и ви Б.Н.Гроздов провели заводские испытания СДБ А.Н.Т. (63/1), сделанного на основе 103 2АМ-37 (1835,56).</w:t>
      </w:r>
    </w:p>
    <w:p w14:paraId="11FBAC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06CDB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21 мая</w:t>
      </w:r>
      <w:r w:rsidRPr="00070ADE">
        <w:rPr>
          <w:rFonts w:ascii="Times New Roman" w:hAnsi="Times New Roman"/>
          <w:color w:val="000000" w:themeColor="text1"/>
          <w:sz w:val="16"/>
          <w:szCs w:val="16"/>
        </w:rPr>
        <w:t xml:space="preserve"> в 1944 году экипаж в составе летчика-испытателя А.Д.Перелета и ведущего инженера Б.Н.Гроздова поднял в воздух </w:t>
      </w:r>
      <w:hyperlink r:id="rId133" w:tgtFrame="_blank" w:history="1">
        <w:r w:rsidRPr="00070ADE">
          <w:rPr>
            <w:rFonts w:ascii="Times New Roman" w:hAnsi="Times New Roman"/>
            <w:color w:val="000000" w:themeColor="text1"/>
            <w:sz w:val="16"/>
            <w:szCs w:val="16"/>
          </w:rPr>
          <w:t xml:space="preserve">«СДБ-1» </w:t>
        </w:r>
      </w:hyperlink>
      <w:r w:rsidRPr="00070ADE">
        <w:rPr>
          <w:rFonts w:ascii="Times New Roman" w:hAnsi="Times New Roman"/>
          <w:color w:val="000000" w:themeColor="text1"/>
          <w:sz w:val="16"/>
          <w:szCs w:val="16"/>
        </w:rPr>
        <w:t>(скоростной дальний бомбардировщик, в основе самолет "103" - первый прототип «Ту-2») (14898).</w:t>
      </w:r>
    </w:p>
    <w:p w14:paraId="430DF47D" w14:textId="77777777" w:rsidR="00B652F7" w:rsidRPr="00070ADE" w:rsidRDefault="00B652F7" w:rsidP="00B56F90">
      <w:pPr>
        <w:spacing w:after="0" w:line="240" w:lineRule="auto"/>
        <w:jc w:val="both"/>
        <w:rPr>
          <w:rFonts w:ascii="Times New Roman" w:hAnsi="Times New Roman"/>
          <w:color w:val="000000" w:themeColor="text1"/>
          <w:sz w:val="16"/>
          <w:szCs w:val="16"/>
        </w:rPr>
      </w:pPr>
    </w:p>
    <w:p w14:paraId="09693C8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мая 1944 года летчик- испытатель А.Д. Перелет выполнил первый полет "СДБ" и спустя десять дней машину передали в НИИ ВВС.</w:t>
      </w:r>
    </w:p>
    <w:p w14:paraId="254498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лету 1944 г. на опытном заводе № 156из машины "103" был выполнен двухместный вариант СДБ. В декабре 1943 года командование ВВС предложило НКАП создать на базе машины "103" с двигателями АМ-37 скоростной дневной бомбардировщик СДБ (АНТ-63), но с моторами АМ-39.</w:t>
      </w:r>
    </w:p>
    <w:p w14:paraId="5390F3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этом сохранилась компоновка предшественника. В угоду скорости его стрелковое вооружение ограничили лишь двумя неподвижными орудиями ШBAK в центроплане крыла с боезапасом по 150 патронов на ствол.</w:t>
      </w:r>
    </w:p>
    <w:p w14:paraId="7AD322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Государственные испытания (ведущий летчик М.А. Нюхтиков), начавшиеся 5 июня, заняли месяц. Хотя самолет и продемонстрировал высокую скорость (633 км/ч) и хорошую маневренность, испытания он не выдержал. Главные дефекты машины были связаны с плохой работой моторов и недостаточным запасом путевой устойчивости. Военные пожелали ввести в экипаж воздушного стрелка.</w:t>
      </w:r>
    </w:p>
    <w:p w14:paraId="10E9D0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Особенностями второго экземпляра машины "63" по сравнению с предшественником был не только экипаж, возросший до трех человек (дополнительно ввели стрелка в задней кабине), но и створки шасси закрывавшиеся как при убранном, так и выпущенном положении основных опор. Управление винтами было секторное, а моторы имели Скоростной дневной дополнительные контуры для охлаждения бомбардировщик ("СДБ") воздуха после нагнетателя перед поступле- на заводских испытаниях нием в двигатель.</w:t>
      </w:r>
    </w:p>
    <w:p w14:paraId="74E475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помимо двух неподвижных пушек ШВАК с общим боезапасом 300 патронов для стрельбы вперед включало и два пулемета Березина для защиты задней полусферы. Нормальная бомбовая нагрузка - 1000 кг (при полной заправке топливом исходя из прочности колес) в грузовом отсеке, максимально допустимая - 4000 кг.</w:t>
      </w:r>
    </w:p>
    <w:p w14:paraId="7B71862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Первый полет на трехместном "СДБ" также выполнил А.Д. Перелет, и в декабре 1944 года машину передали на государственные испытания. 30 декабря 1944 года А. Кузнецов (должность в документе не указана) докладывал наркому А.И. Шахурину:</w:t>
      </w:r>
    </w:p>
    <w:p w14:paraId="4D34C2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СДБ с моторами АМ-39 является модификацией самолета "103" с АМ-37, построенного в 1941 г. Самолет испытан в НИИ ВВС в июле 1944 г.</w:t>
      </w:r>
    </w:p>
    <w:p w14:paraId="7C0F54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установлено:</w:t>
      </w:r>
    </w:p>
    <w:p w14:paraId="7334F8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Путевая устойчивость недостаточна.</w:t>
      </w:r>
    </w:p>
    <w:p w14:paraId="523C1FB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 скорости менее 350 км/ч по прибору самолет неустойчив:</w:t>
      </w:r>
    </w:p>
    <w:p w14:paraId="679952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продольная устойчивость недостаточная, во время выдерживания заданной скорости набора высоты имеют место переменные нагрузки на штурвале от руля высоты.</w:t>
      </w:r>
    </w:p>
    <w:p w14:paraId="7FFDBF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изменение нагрузок на штурвале от руля высоты сопровождается значительным рысканием и появляются переменные нагрузки на педали.</w:t>
      </w:r>
    </w:p>
    <w:p w14:paraId="449A20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Поперечная устойчивость относительно путевой избыточна. Самолет имеет тенденцию к раскачиванию с крыла на крыло.</w:t>
      </w:r>
    </w:p>
    <w:p w14:paraId="67D5A5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4. Управление рулем поворота слишком легкое, что может привести к передаче (большему отклонению педали - прим. авт.) ноги на виражах и разворотах. </w:t>
      </w:r>
    </w:p>
    <w:p w14:paraId="0A4876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Автоматы управления заслонками во- дорадиаторов при работе создают значительный аэродинамический момент &lt;...&gt; и усложняют технику пилотирования.</w:t>
      </w:r>
    </w:p>
    <w:p w14:paraId="18F368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Пневматические тормоза не эффективны.</w:t>
      </w:r>
    </w:p>
    <w:p w14:paraId="4CF4F06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Винто-моторная группа не доведенная и имеет те же дефекты, что и на самолете "ЮЗ" с АМ-37.</w:t>
      </w:r>
    </w:p>
    <w:p w14:paraId="6BB722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Длительная (1,5 часа) и неудобная заправка бензином.</w:t>
      </w:r>
    </w:p>
    <w:p w14:paraId="6BBE7FE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Попадание в кабину летчика горячего воздуха.</w:t>
      </w:r>
    </w:p>
    <w:p w14:paraId="063D25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Габариты кабины по высоте малы...</w:t>
      </w:r>
    </w:p>
    <w:p w14:paraId="72E29FF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Моторы АМ-39 на 2-й скорости нагнетателя работали неудовлетворительно...</w:t>
      </w:r>
    </w:p>
    <w:p w14:paraId="7B1FE3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Построен второй экземпляр СДБ, переданный в НИИ ВВС в октябре. Он имеет экипаж вместо двух - три человека. Новая носовая часть фюзеляжа с измененным обзором. Дополнительно установлены люковая и верхняя стрелковые установки. Объем бензина увеличен до 2400 л.</w:t>
      </w:r>
    </w:p>
    <w:p w14:paraId="116C7F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Изменена маслосхема, предусмотрено новое бронирование экипажа. Взлетный вес возрос на 650 кг.</w:t>
      </w:r>
    </w:p>
    <w:p w14:paraId="0A555D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"63" на 27 декабря 1944 г. сделано два полета. Во втором полете на высоте 8000 м (15 декабря) вышел из строя мотор".</w:t>
      </w:r>
    </w:p>
    <w:p w14:paraId="07EF87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Государственные испытания второго экземпляра "СДБ" завершились утверждением 28 июня 1945 года акта по их результатам. </w:t>
      </w:r>
    </w:p>
    <w:p w14:paraId="0B3121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Основ'ными дефектами "СДБ" были: недостаточная прочность колес размером 1000x350 мм, малоэффективные и ненадежные пневматические тормоза, падение давления масла в двигателях на высотах 5000-7000 метров и отсутствие противо- пыльных фильтров на всасывающих патрубках моторов. Кроме этого, размещение рамки радиополукомпаса РПК-10 под металлической обшивкой самолета, снижало его чувствительность.</w:t>
      </w:r>
    </w:p>
    <w:p w14:paraId="76DCBC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заключение же специалисты НИИ ВВС, в частности, отметили: "Самолет "63" &lt;...&gt; по своим летно-тактическим данным превосходит однотипные отечественные и иностранные самолеты, но недостаточность обзора штурмана вперед, что затрудняет для него ориентировки, отыскание цели и вывод самолета на цель при бомбометании, значительно снижает его качество как бомбардировщика.</w:t>
      </w:r>
    </w:p>
    <w:p w14:paraId="0D337D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не может быть рекомендован на вооружение Красной Армии в качестве бомбардировщика".</w:t>
      </w:r>
    </w:p>
    <w:p w14:paraId="0B72B8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Примерно в то же время в НИИ ВВС ис- пытывался другой скоростной бомбардировщик Пе-2М, представлявший собой второй экземпляр Пе-2И "Москито" с иным оборонительным вооружением. Государственные испытания Пе-2М с моторами жидкостного охлаждения М-107А, завершившиеся на два месяца позже "СДБ", показали, что максимальная скорость у земли при работе моторов на номинальном режиме на 21 км/ч больше, чем у "СДБ", но на второй границе высотности (5600 метров) она не превышала 630 км/ч, что на 10 км/ч было меньше чем у самолета "63". Правда, не надо забывать, что самолет Туполева имел более слабое оборонительное вооружение по сравнению с Пе-2М (три пушки Б-20 калибра 20 мм, одна из которых неподвижная для стрельбы вперед, другая - у штурмана и третья - люковая). При этом максимальная бомбовая нагрузка Пе-2М была вдвое ниже, чем у "СДБ".</w:t>
      </w:r>
    </w:p>
    <w:p w14:paraId="4B2A4F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Сделать же вывод, какой из этих самолетов предпочтительней, должны были, прежде всего, военные. Но этого не произошло, поскольку обе машины государственные испытания не выдержали (12035).</w:t>
      </w:r>
    </w:p>
    <w:p w14:paraId="312C2B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8B7C209" w14:textId="77777777" w:rsidR="00DE35AF" w:rsidRPr="00C94B78" w:rsidRDefault="00DE35A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21 мая 1944 года А Д. Перелет выполнил первый полет на СДБ (АНТ-63), и 1 июня машину передали в НИИ ВВС (24991) (24991).</w:t>
      </w:r>
    </w:p>
    <w:p w14:paraId="6C9BC469" w14:textId="77777777" w:rsidR="00DE35AF" w:rsidRPr="00C94B78" w:rsidRDefault="00DE35AF" w:rsidP="00B56F90">
      <w:pPr>
        <w:spacing w:after="0" w:line="240" w:lineRule="auto"/>
        <w:jc w:val="both"/>
        <w:rPr>
          <w:rFonts w:ascii="Times New Roman" w:hAnsi="Times New Roman"/>
          <w:color w:val="0070C0"/>
          <w:sz w:val="16"/>
          <w:szCs w:val="16"/>
        </w:rPr>
      </w:pPr>
    </w:p>
    <w:p w14:paraId="2ECAD4A0" w14:textId="77777777" w:rsidR="00DE35AF" w:rsidRPr="00C94B78" w:rsidRDefault="00DE35A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21 мая 1944 года СДБ (скоростной дневной бомбардировщик) на базе Ту-2 совершил первый полет. Экипаж составляли пилот А.Д. Перелет и инженер Б.Н. Гроздов. Заводские испытания завершились к 31 мая, после чего самолет направили на государственные испытании, длившиеся с 5 июня по 6 июля 1944 года (25073).</w:t>
      </w:r>
    </w:p>
    <w:p w14:paraId="364BC7EE" w14:textId="77777777" w:rsidR="00DE35AF" w:rsidRPr="00C94B78" w:rsidRDefault="00DE35AF" w:rsidP="00B56F90">
      <w:pPr>
        <w:spacing w:after="0" w:line="240" w:lineRule="auto"/>
        <w:jc w:val="both"/>
        <w:rPr>
          <w:rFonts w:ascii="Times New Roman" w:hAnsi="Times New Roman"/>
          <w:color w:val="0070C0"/>
          <w:sz w:val="16"/>
          <w:szCs w:val="16"/>
        </w:rPr>
      </w:pPr>
    </w:p>
    <w:p w14:paraId="069BB82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EF51F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BD3E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мая 1944 вышло Постановление ГКО № 5937 О направлении 10 тыс. семей крымских татар в Молотовскую, Горьковскую, Свердловскую обл. и Марийскую АССР для работы в леспромхозах и целлюлозно-бумажную промышленность. РГАНИР, Фонд ГКО, д. 255, лл. 17 (11012).</w:t>
      </w:r>
    </w:p>
    <w:p w14:paraId="431E58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E3B918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мая 1944 вышло Распоряжение ГКО № 5938 О Секретариате Оперативного бюро ГОКО. (7234, 18).</w:t>
      </w:r>
    </w:p>
    <w:p w14:paraId="4E4B9F5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2DCE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мая 1944 вышло Распоряжение ГКО № 5939. О корректировке плана производства корпусов ФАБ-50 на заводе № 646 НКСП на май и июнь 1944 г. в связи с производством деталей минометов. РГАНИР, Фонд ГКО, д. 255, лл. 19 (11012).</w:t>
      </w:r>
    </w:p>
    <w:p w14:paraId="665A35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DD6164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мая 1944 вышло Распоряжение ГКО № 5940 [О передаче Днепрострою НКЭС 20 трофейных ходовых танков без вооружения.] (7234, 20).</w:t>
      </w:r>
    </w:p>
    <w:p w14:paraId="0921AD2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FCD20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мая 1944 вышло Распоряжение ГКО № 5944 [О скорейшей перевозке из портов Нагаева и Петропавловска-Камчатского оборудования импортных нефтеперерабатывающих заводов.] (7234, 81-82).</w:t>
      </w:r>
    </w:p>
    <w:p w14:paraId="5D12A2C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FC4BF2" w14:textId="77777777" w:rsidR="005F2ECF"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FFA429B" w14:textId="77777777" w:rsidR="005F2ECF" w:rsidRPr="00070ADE" w:rsidRDefault="005F2ECF"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D9F6EB"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21 мая</w:t>
      </w:r>
      <w:r w:rsidRPr="00070ADE">
        <w:rPr>
          <w:rFonts w:ascii="Times New Roman" w:hAnsi="Times New Roman"/>
          <w:color w:val="000000" w:themeColor="text1"/>
          <w:sz w:val="16"/>
          <w:szCs w:val="16"/>
        </w:rPr>
        <w:t xml:space="preserve"> в 1944 году оперативная сводка Совинформбюро:</w:t>
      </w:r>
    </w:p>
    <w:p w14:paraId="6AE28191"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21 мая на фронтах существенных изменений не произошло. За 20 мая ввоздушных боях и огнём зенитной артиллерии сбито 52 самолёта противника.</w:t>
      </w:r>
    </w:p>
    <w:p w14:paraId="0E917C9C"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Тирасполь немцы силами пехоты и танков предприняли несколько атак, стремясь овладеть выгодными позициями. Части Н-ского соединения отбили атаки противника и нанесли ему серьёзный урон. На поле боя осталось до 600 убитых немецких солдат и офицеров.</w:t>
      </w:r>
    </w:p>
    <w:p w14:paraId="7E66138E"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Лётчики-истребители 3-го Украинского фронта за день провели пятнадцать воздушных боёв и сбили 28 самолетов противника. Группа наших истребителей атаковала 26 вражеских самолётов. Старший лейтенант Черногор в этом бою сбил два самолёта «Фокке-Вульф-190». Майор Дикий, младший лейтенант Петров, младший лейтенант Кузьмин и лейтенант Морозов сбили каждый по одному немецкому самолёту. Капитан Мадаев сбил два самолёта противника.</w:t>
      </w:r>
    </w:p>
    <w:p w14:paraId="2D093934"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бойцы Н-ской части в течение ночи отбили две атаки противника. В ходе боя уничтожено более роты гитлеровцев.</w:t>
      </w:r>
    </w:p>
    <w:p w14:paraId="55E45B3A"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Старшина Салютин и красноармеец Шаров проникли в тыл немцев и собрали ценные сведения о противнике. На обратном пути разведчики заметили на окраине одного села бронетранспортёр с прицепленным к нему орудием, охраняемый немецким часовым. Рядом в доме находилась группа гитлеровцев. Выждав, когда часовой зашёл в дом, разведчики бросили в окна несколько гранат и огнём из автоматов добили побежавших немцев. Красноармеец Шаров, по специальности шофёр, завёл бронетранспортёр. Находчивые разведчики благополучно доставили трофейный бронетранспортёр вместе с орудием в расположение своей части.</w:t>
      </w:r>
    </w:p>
    <w:p w14:paraId="348CAA05"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Лётчики Краснознамённого Балтийского флота нанесли бомбово-штурмовой удар по группе кораблей противника в Нарвском заливе. Прямым попаданием бомб потоплены два сторожевых корабля и два тральщика. Другим кораблям противника нанесены серьёзные повреждения.</w:t>
      </w:r>
    </w:p>
    <w:p w14:paraId="13635584"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воздушном бою сбито 6 немецких истребителей.</w:t>
      </w:r>
    </w:p>
    <w:p w14:paraId="64D4584E"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21 мая самолёт-торпедоносец Краснознамённого Балтийского флотаатаковал и потопил в Финском заливе транспорт противника водоизмещением в 6 тысяч тонн.</w:t>
      </w:r>
    </w:p>
    <w:p w14:paraId="414CA0BF"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Несколько белорусских партизанских отрядов, действующих в Могилёвской области, ночью совершили налёт на крупный немецкий гарнизон. В результате внезапного нападения партизаны разгромили полевую комендатуру и хозяйственные подразделения 134 немецкой пехотной дивизии. Убито более 100 гитлеровцев. Взорваны и сожжены 38 автомашин и 5 крупных складов.</w:t>
      </w:r>
    </w:p>
    <w:p w14:paraId="33BF9541"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Партизанские отряды Брестской области за месяц пустили под откос десятки вражеских эшелонов. Советские патриоты успешно обстреливают из противотанковых ружей следующие к линии фронта железнодорожные составы. За это время всего разбито и повреждено 115 паровозов и свыше трёхсот вагонов и платформ с войсками, боеприпасами и вооружением противника.</w:t>
      </w:r>
    </w:p>
    <w:p w14:paraId="57CDBE98"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Гитлеровцы насильно мобилизовали в немецкую армию французов, жителей Эльзасаи Лотарингии, и погнали их на советско-германский фронт. Эльзасцы и лотарингцы не хотят воевать против Советского Союза, поэтому группами и в одиночку сдаются в плен. Ниже публикуются показания французов, перешедших на сторону Красной Армии.</w:t>
      </w:r>
    </w:p>
    <w:p w14:paraId="0B15C136"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солдат 317 полка 211 немецкой пехотной дивизии Шарль К. рассказал: «Немцы свирепствуют в Эльзасе, истребляют французских патриотов. Тысячи жителей Эльзаса брошены в концлагери, высланы в Польшу и другие оккупированные страны. Многие семьи разобщены. Немцы рассеяли и разбросали их по всей Европе. Моего отца они выслали в Польшу, мать угнали на принудительные работы в Германию, а меня — на фронт. Сознание того, что мы, французы, находимся на советской земле в форме гитлеровских солдат, причиняло нам нестерпимую боль. Мы не хотели сражаться против Красной Армии, к которой питаем чувства горячей симпатии. Меня привёл в русский плен не страх за свою жизнь, а ненависть к немецким оккупантам. Я ушёл из гитлеровской армии потому, что хочу бороться против немцев и отомстить им за все их преступления». Солдат 28 немецкого мотострелкового полка Жозеф Д. заявил: «Недавно я был на родине в Лотарингии. Когда я зашёл к знакомым, меня поздравили с новой победой: русские заняли Одессу. Победы русских войск радуют французов. Они знают, что чем больше поражений терпят немцы в России, тем ближе конец страданиям Франции».</w:t>
      </w:r>
    </w:p>
    <w:p w14:paraId="5CA1EEFC" w14:textId="77777777" w:rsidR="005F2ECF" w:rsidRPr="00070ADE" w:rsidRDefault="005F2EC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Солдат 8 немецкой танковой дивизии Пьер Л. сообщил: «Службу в гитлеровской армии я считаю величайшим позором и несчастьем для француза. Французский патриот, на которого насильно напялили немецкий мундир, чувствует себя так, словно его на аркане тащат в пропасть. Ещё в пути на фронт мы, эльзасцы, договорились между собой о переходе на сторону русских. Мне скоро представилась такая возможность. Я сдался в плен не для того, чтобы выйти из войны. Нет, я перешёл на сторону советских войск потому, что хочу участвовать в борьбе с нашим общим врагом — с немцами» (14898).</w:t>
      </w:r>
    </w:p>
    <w:p w14:paraId="4B5A267E" w14:textId="77777777" w:rsidR="005F2ECF" w:rsidRPr="00070ADE" w:rsidRDefault="005F2ECF" w:rsidP="00B56F90">
      <w:pPr>
        <w:spacing w:after="0" w:line="240" w:lineRule="auto"/>
        <w:jc w:val="both"/>
        <w:rPr>
          <w:rFonts w:ascii="Times New Roman" w:hAnsi="Times New Roman"/>
          <w:color w:val="000000" w:themeColor="text1"/>
          <w:sz w:val="16"/>
          <w:szCs w:val="16"/>
        </w:rPr>
      </w:pPr>
    </w:p>
    <w:p w14:paraId="5C838DA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3DDE56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B1D83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мая 1944 авиация союзников начала операцию “Чаттануга” по систематическому уничтожению железных дорог в Европе (4962).</w:t>
      </w:r>
    </w:p>
    <w:p w14:paraId="62C17E9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2340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21 1944 Allied fighter aircraft begin operations against enemy railroads in France and Germany (1037).</w:t>
      </w:r>
    </w:p>
    <w:p w14:paraId="4779C4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56C90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21, 1944. Operation Chattanooga Choo-Choo - systematic Allied air attacks on trains in Germany and France - begins (1089).</w:t>
      </w:r>
    </w:p>
    <w:p w14:paraId="510064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70E41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мая 1944 союзники начали авиационные операции против железных дорог во Франции и Германии. Эту операцию назвали Чатануга Чу Чу (1037;1089).</w:t>
      </w:r>
    </w:p>
    <w:p w14:paraId="18E9E0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4389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мая 1944 на плебисците в Исландии жители поддержали решение об отделении от Дании и 17 июня объявили республику (3907,249).</w:t>
      </w:r>
    </w:p>
    <w:p w14:paraId="3D0135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61CD5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2D0FAC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5B28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Нудельман писал А.И.Ш. и Репину письмо N 21/595с:</w:t>
      </w:r>
    </w:p>
    <w:p w14:paraId="3D3A79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ОКБ-16 закончена работа по уменьшению усилия отдачи 37 мм авиапушки Нудельмана-Суранова. Усилие отдачи снижено почти вдвое, что дает возможность вести прицельный огонь из одной пушки на самолете Ил-2, а также увеличивает число прицельных выстрелов в очереди при автоматической стрельбе.</w:t>
      </w:r>
    </w:p>
    <w:p w14:paraId="075402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Проведенная нами работа значительно расширяет область применения 37 мм пушки в авиации и ликвидирует недостатки, отмеченные в отчете по войсковым испытаниям на самолете Ил-2.</w:t>
      </w:r>
    </w:p>
    <w:p w14:paraId="3CF3FB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дает возможность полностью восстановить производство самолетов Ил-2 с 37 мм авиапушками, а также увеличить выпуск самолетов Як-9Т." (1821,206).</w:t>
      </w:r>
    </w:p>
    <w:p w14:paraId="76F9A5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5014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года начальник НИИ ВВС генерал-лейтенант ИАС Лосюков и начальник 3 отдела НИИ ВВС инженер-полковник Сафронов писали письмо N 3/0740 гл. инженеру ВВС генерал-полковнику ИАС Репину А.К., Шахурину, УК ЦК ВКП(б) генерал-полковнику авиации Шиманову Н.С.</w:t>
      </w:r>
    </w:p>
    <w:p w14:paraId="352F07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 что 16 мая 1944 года временно прекращены государственные испытания опытного самолета Су-6 с мотором АМ-42, конструкции Сухого - по причине ненормальной работы мотора, расход масла которого превышает допустимый предел (см. акт).</w:t>
      </w:r>
    </w:p>
    <w:p w14:paraId="68476D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испытаний с 28 апреля по 16 мая на самолете выполнено 17 полетов, общей продолжительностью 6 часов 05 минут на определение летных характеристик и испытание вооружения.</w:t>
      </w:r>
    </w:p>
    <w:p w14:paraId="1749D4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Летные характеристики, полученные в результате испытаний подлежат уточнению после постановки на самолет нового мотора.</w:t>
      </w:r>
    </w:p>
    <w:p w14:paraId="0663B7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Акт (1821).</w:t>
      </w:r>
    </w:p>
    <w:p w14:paraId="3A8604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701F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года вышло постановление ГОКО за N 5947сс о проведении летных испытаний флюгерных винтов и внедрении их в эксплуатацию для многомоторных самолетов Ил-4, Ли-2, Пе-2, Ер-2, Ту-2 (1879).</w:t>
      </w:r>
    </w:p>
    <w:p w14:paraId="626B9F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C98B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вышло Постановление ГКО № 5947 О создании дневных скоростных бомбардировщиков. РГАНИР, Фонд ГКО, д. 255, лл. 118-124 (11012).</w:t>
      </w:r>
    </w:p>
    <w:p w14:paraId="300BF0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50F9FAE"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вышло Постановление ГКО № 5947 О создании дневных скоростных бомбардировщиков</w:t>
      </w:r>
    </w:p>
    <w:p w14:paraId="536DB5E5" w14:textId="77777777" w:rsidR="00351D4E" w:rsidRPr="00070ADE" w:rsidRDefault="00351D4E"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Считая целосообразным создание в кратчайший срок дневного бомбардировщика со. скоростью не ниже, чем у истребителей, Государственный Комитет Обороны поста</w:t>
      </w:r>
      <w:r w:rsidRPr="00070ADE">
        <w:rPr>
          <w:rFonts w:ascii="Times New Roman" w:hAnsi="Times New Roman" w:cs="Times New Roman"/>
          <w:color w:val="000000" w:themeColor="text1"/>
          <w:sz w:val="16"/>
          <w:szCs w:val="16"/>
        </w:rPr>
        <w:softHyphen/>
        <w:t>новляет:</w:t>
      </w:r>
    </w:p>
    <w:p w14:paraId="32E7EA4F" w14:textId="77777777" w:rsidR="00351D4E" w:rsidRPr="00070ADE" w:rsidRDefault="00351D4E" w:rsidP="00B56F90">
      <w:pPr>
        <w:pStyle w:val="47"/>
        <w:shd w:val="clear" w:color="auto" w:fill="auto"/>
        <w:tabs>
          <w:tab w:val="left" w:pos="1329"/>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1. Обязать Командующего ВВС - т.Новикова и Нарком- авиапром - т.Шахурина закончить госиспытедшя и довод</w:t>
      </w:r>
      <w:r w:rsidRPr="00070ADE">
        <w:rPr>
          <w:rFonts w:ascii="Times New Roman" w:hAnsi="Times New Roman" w:cs="Times New Roman"/>
          <w:color w:val="000000" w:themeColor="text1"/>
          <w:sz w:val="16"/>
          <w:szCs w:val="16"/>
        </w:rPr>
        <w:softHyphen/>
        <w:t xml:space="preserve">ку построенного в 2-х экземплярах, в соответствий с постановлением ГОКО от 12 января 1944г. за № 4934сс, самолета Пе-2 с моторами ВК-107А к 15 июня 1944г, и представить в ГОКО предложения о серийном производстве этих самолетов </w:t>
      </w:r>
    </w:p>
    <w:p w14:paraId="0614A38E" w14:textId="77777777" w:rsidR="00351D4E" w:rsidRPr="00070ADE" w:rsidRDefault="00351D4E" w:rsidP="00B56F90">
      <w:pPr>
        <w:pStyle w:val="47"/>
        <w:shd w:val="clear" w:color="auto" w:fill="auto"/>
        <w:tabs>
          <w:tab w:val="left" w:pos="1316"/>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2. Обязать Наркомавиапром - т.Шахурина, директора завода № 22 - т.Окулова и главного конструктора т.Мясищева:</w:t>
      </w:r>
    </w:p>
    <w:p w14:paraId="60D343AB" w14:textId="77777777" w:rsidR="00351D4E" w:rsidRPr="00070ADE" w:rsidRDefault="00351D4E" w:rsidP="00B56F90">
      <w:pPr>
        <w:pStyle w:val="47"/>
        <w:shd w:val="clear" w:color="auto" w:fill="auto"/>
        <w:tabs>
          <w:tab w:val="left" w:pos="1316"/>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а) построить и пред"явить на войсковые испытания 15 октября 1944г.. головную серию самолетов Пе-2 с мо</w:t>
      </w:r>
      <w:r w:rsidRPr="00070ADE">
        <w:rPr>
          <w:rFonts w:ascii="Times New Roman" w:hAnsi="Times New Roman" w:cs="Times New Roman"/>
          <w:color w:val="000000" w:themeColor="text1"/>
          <w:sz w:val="16"/>
          <w:szCs w:val="16"/>
        </w:rPr>
        <w:softHyphen/>
        <w:t>торамп ВК-107А в количестве 5 экземпляров</w:t>
      </w:r>
    </w:p>
    <w:p w14:paraId="23D7E318" w14:textId="77777777" w:rsidR="00351D4E" w:rsidRPr="00070ADE" w:rsidRDefault="00351D4E" w:rsidP="00B56F90">
      <w:pPr>
        <w:pStyle w:val="47"/>
        <w:shd w:val="clear" w:color="auto" w:fill="auto"/>
        <w:tabs>
          <w:tab w:val="left" w:pos="1329"/>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б) спроектировать,, построить в двух экземплярах и предъявить на госиспытания в декабре 1944 года двухмо</w:t>
      </w:r>
      <w:r w:rsidRPr="00070ADE">
        <w:rPr>
          <w:rFonts w:ascii="Times New Roman" w:hAnsi="Times New Roman" w:cs="Times New Roman"/>
          <w:color w:val="000000" w:themeColor="text1"/>
          <w:sz w:val="16"/>
          <w:szCs w:val="16"/>
        </w:rPr>
        <w:softHyphen/>
        <w:t>торный скоростной дневной бомбардировщик с моторами ВК-106 без стрелкового вооружения со следующими данны</w:t>
      </w:r>
      <w:r w:rsidRPr="00070ADE">
        <w:rPr>
          <w:rFonts w:ascii="Times New Roman" w:hAnsi="Times New Roman" w:cs="Times New Roman"/>
          <w:color w:val="000000" w:themeColor="text1"/>
          <w:sz w:val="16"/>
          <w:szCs w:val="16"/>
        </w:rPr>
        <w:softHyphen/>
        <w:t>ми;</w:t>
      </w:r>
    </w:p>
    <w:p w14:paraId="2C2FDFBE" w14:textId="77777777" w:rsidR="00351D4E" w:rsidRPr="00070ADE" w:rsidRDefault="00351D4E" w:rsidP="00B56F90">
      <w:pPr>
        <w:tabs>
          <w:tab w:val="left" w:pos="338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w:t>
      </w:r>
      <w:r w:rsidRPr="00070ADE">
        <w:rPr>
          <w:rFonts w:ascii="Times New Roman" w:hAnsi="Times New Roman"/>
          <w:color w:val="000000" w:themeColor="text1"/>
          <w:sz w:val="16"/>
          <w:szCs w:val="16"/>
          <w:vertAlign w:val="subscript"/>
        </w:rPr>
        <w:t xml:space="preserve"> </w:t>
      </w:r>
      <w:r w:rsidRPr="00070ADE">
        <w:rPr>
          <w:rFonts w:ascii="Times New Roman" w:hAnsi="Times New Roman"/>
          <w:color w:val="000000" w:themeColor="text1"/>
          <w:sz w:val="16"/>
          <w:szCs w:val="16"/>
        </w:rPr>
        <w:t xml:space="preserve">высоте </w:t>
      </w:r>
      <w:r w:rsidRPr="00070ADE">
        <w:rPr>
          <w:rStyle w:val="16"/>
          <w:rFonts w:ascii="Times New Roman" w:hAnsi="Times New Roman" w:cs="Times New Roman"/>
          <w:color w:val="000000" w:themeColor="text1"/>
          <w:spacing w:val="0"/>
          <w:u w:val="none"/>
        </w:rPr>
        <w:t>6000</w:t>
      </w:r>
      <w:r w:rsidRPr="00070ADE">
        <w:rPr>
          <w:rFonts w:ascii="Times New Roman" w:hAnsi="Times New Roman"/>
          <w:color w:val="000000" w:themeColor="text1"/>
          <w:sz w:val="16"/>
          <w:szCs w:val="16"/>
        </w:rPr>
        <w:t xml:space="preserve"> метров - </w:t>
      </w:r>
      <w:r w:rsidRPr="00070ADE">
        <w:rPr>
          <w:rStyle w:val="16"/>
          <w:rFonts w:ascii="Times New Roman" w:hAnsi="Times New Roman" w:cs="Times New Roman"/>
          <w:color w:val="000000" w:themeColor="text1"/>
          <w:spacing w:val="0"/>
          <w:u w:val="none"/>
        </w:rPr>
        <w:t>700</w:t>
      </w:r>
      <w:r w:rsidRPr="00070ADE">
        <w:rPr>
          <w:rFonts w:ascii="Times New Roman" w:hAnsi="Times New Roman"/>
          <w:color w:val="000000" w:themeColor="text1"/>
          <w:sz w:val="16"/>
          <w:szCs w:val="16"/>
        </w:rPr>
        <w:t xml:space="preserve"> км.в час</w:t>
      </w:r>
    </w:p>
    <w:p w14:paraId="43A75590" w14:textId="77777777" w:rsidR="00351D4E" w:rsidRPr="00070ADE" w:rsidRDefault="00351D4E" w:rsidP="00B56F90">
      <w:pPr>
        <w:tabs>
          <w:tab w:val="left" w:pos="3397"/>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дальность полета с 1000кг. бомб внутри фюзеляяа - </w:t>
      </w:r>
      <w:r w:rsidRPr="00070ADE">
        <w:rPr>
          <w:rStyle w:val="16"/>
          <w:rFonts w:ascii="Times New Roman" w:hAnsi="Times New Roman" w:cs="Times New Roman"/>
          <w:color w:val="000000" w:themeColor="text1"/>
          <w:spacing w:val="0"/>
          <w:u w:val="none"/>
        </w:rPr>
        <w:t>2000</w:t>
      </w:r>
      <w:r w:rsidRPr="00070ADE">
        <w:rPr>
          <w:rFonts w:ascii="Times New Roman" w:hAnsi="Times New Roman"/>
          <w:color w:val="000000" w:themeColor="text1"/>
          <w:sz w:val="16"/>
          <w:szCs w:val="16"/>
        </w:rPr>
        <w:t xml:space="preserve"> км.</w:t>
      </w:r>
    </w:p>
    <w:p w14:paraId="058A517A"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Предусмотреть возможность установки в носовой части фюзеляжа этого самолета в истребительном вари</w:t>
      </w:r>
      <w:r w:rsidRPr="00070ADE">
        <w:rPr>
          <w:rFonts w:ascii="Times New Roman" w:hAnsi="Times New Roman"/>
          <w:color w:val="000000" w:themeColor="text1"/>
          <w:sz w:val="16"/>
          <w:szCs w:val="16"/>
        </w:rPr>
        <w:softHyphen/>
        <w:t xml:space="preserve">анте пушечного вооружения из </w:t>
      </w:r>
      <w:r w:rsidRPr="00070ADE">
        <w:rPr>
          <w:rStyle w:val="16"/>
          <w:rFonts w:ascii="Times New Roman" w:hAnsi="Times New Roman" w:cs="Times New Roman"/>
          <w:color w:val="000000" w:themeColor="text1"/>
          <w:spacing w:val="0"/>
          <w:u w:val="none"/>
        </w:rPr>
        <w:t>4-х</w:t>
      </w:r>
      <w:r w:rsidRPr="00070ADE">
        <w:rPr>
          <w:rFonts w:ascii="Times New Roman" w:hAnsi="Times New Roman"/>
          <w:color w:val="000000" w:themeColor="text1"/>
          <w:sz w:val="16"/>
          <w:szCs w:val="16"/>
        </w:rPr>
        <w:t xml:space="preserve"> пушек калибра 20мм или </w:t>
      </w:r>
      <w:r w:rsidRPr="00070ADE">
        <w:rPr>
          <w:rStyle w:val="16"/>
          <w:rFonts w:ascii="Times New Roman" w:hAnsi="Times New Roman" w:cs="Times New Roman"/>
          <w:color w:val="000000" w:themeColor="text1"/>
          <w:spacing w:val="0"/>
          <w:u w:val="none"/>
        </w:rPr>
        <w:t>2-х</w:t>
      </w:r>
      <w:r w:rsidRPr="00070ADE">
        <w:rPr>
          <w:rFonts w:ascii="Times New Roman" w:hAnsi="Times New Roman"/>
          <w:color w:val="000000" w:themeColor="text1"/>
          <w:sz w:val="16"/>
          <w:szCs w:val="16"/>
        </w:rPr>
        <w:t xml:space="preserve"> пушек калибра </w:t>
      </w:r>
      <w:r w:rsidRPr="00070ADE">
        <w:rPr>
          <w:rStyle w:val="16"/>
          <w:rFonts w:ascii="Times New Roman" w:hAnsi="Times New Roman" w:cs="Times New Roman"/>
          <w:color w:val="000000" w:themeColor="text1"/>
          <w:spacing w:val="0"/>
          <w:u w:val="none"/>
        </w:rPr>
        <w:t>37-45мм</w:t>
      </w:r>
      <w:r w:rsidRPr="00070ADE">
        <w:rPr>
          <w:rFonts w:ascii="Times New Roman" w:hAnsi="Times New Roman"/>
          <w:color w:val="000000" w:themeColor="text1"/>
          <w:sz w:val="16"/>
          <w:szCs w:val="16"/>
        </w:rPr>
        <w:t xml:space="preserve"> вместо бомбовой нагруз</w:t>
      </w:r>
      <w:r w:rsidRPr="00070ADE">
        <w:rPr>
          <w:rFonts w:ascii="Times New Roman" w:hAnsi="Times New Roman"/>
          <w:color w:val="000000" w:themeColor="text1"/>
          <w:sz w:val="16"/>
          <w:szCs w:val="16"/>
        </w:rPr>
        <w:softHyphen/>
        <w:t>ки;</w:t>
      </w:r>
    </w:p>
    <w:p w14:paraId="266478D5"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спроектировать, построить в двух экземплярах и пред"явить на госиспытания в апреле </w:t>
      </w:r>
      <w:r w:rsidRPr="00070ADE">
        <w:rPr>
          <w:rStyle w:val="16"/>
          <w:rFonts w:ascii="Times New Roman" w:hAnsi="Times New Roman" w:cs="Times New Roman"/>
          <w:color w:val="000000" w:themeColor="text1"/>
          <w:spacing w:val="0"/>
          <w:u w:val="none"/>
        </w:rPr>
        <w:t>1945г.</w:t>
      </w:r>
      <w:r w:rsidRPr="00070ADE">
        <w:rPr>
          <w:rFonts w:ascii="Times New Roman" w:hAnsi="Times New Roman"/>
          <w:color w:val="000000" w:themeColor="text1"/>
          <w:sz w:val="16"/>
          <w:szCs w:val="16"/>
        </w:rPr>
        <w:t xml:space="preserve"> двухмо</w:t>
      </w:r>
      <w:r w:rsidRPr="00070ADE">
        <w:rPr>
          <w:rFonts w:ascii="Times New Roman" w:hAnsi="Times New Roman"/>
          <w:color w:val="000000" w:themeColor="text1"/>
          <w:sz w:val="16"/>
          <w:szCs w:val="16"/>
        </w:rPr>
        <w:softHyphen/>
        <w:t>торный высотный дневной бомбардировщик о моторами ВК-109 с герметической кабиной для экипажа, без стрел</w:t>
      </w:r>
      <w:r w:rsidRPr="00070ADE">
        <w:rPr>
          <w:rFonts w:ascii="Times New Roman" w:hAnsi="Times New Roman"/>
          <w:color w:val="000000" w:themeColor="text1"/>
          <w:sz w:val="16"/>
          <w:szCs w:val="16"/>
        </w:rPr>
        <w:softHyphen/>
        <w:t>кового вооружения со следующими данными:</w:t>
      </w:r>
    </w:p>
    <w:p w14:paraId="777C501A"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максимальная скорость на высоте </w:t>
      </w:r>
      <w:r w:rsidRPr="00070ADE">
        <w:rPr>
          <w:rStyle w:val="16"/>
          <w:rFonts w:ascii="Times New Roman" w:hAnsi="Times New Roman" w:cs="Times New Roman"/>
          <w:color w:val="000000" w:themeColor="text1"/>
          <w:spacing w:val="0"/>
          <w:u w:val="none"/>
        </w:rPr>
        <w:t>10000</w:t>
      </w:r>
      <w:r w:rsidRPr="00070ADE">
        <w:rPr>
          <w:rFonts w:ascii="Times New Roman" w:hAnsi="Times New Roman"/>
          <w:color w:val="000000" w:themeColor="text1"/>
          <w:sz w:val="16"/>
          <w:szCs w:val="16"/>
        </w:rPr>
        <w:t xml:space="preserve"> метров - </w:t>
      </w:r>
      <w:r w:rsidRPr="00070ADE">
        <w:rPr>
          <w:rStyle w:val="16"/>
          <w:rFonts w:ascii="Times New Roman" w:hAnsi="Times New Roman" w:cs="Times New Roman"/>
          <w:color w:val="000000" w:themeColor="text1"/>
          <w:spacing w:val="0"/>
          <w:u w:val="none"/>
        </w:rPr>
        <w:t xml:space="preserve">720 </w:t>
      </w:r>
      <w:r w:rsidRPr="00070ADE">
        <w:rPr>
          <w:rFonts w:ascii="Times New Roman" w:hAnsi="Times New Roman"/>
          <w:color w:val="000000" w:themeColor="text1"/>
          <w:sz w:val="16"/>
          <w:szCs w:val="16"/>
        </w:rPr>
        <w:t>км.в час</w:t>
      </w:r>
    </w:p>
    <w:p w14:paraId="7719F5A5" w14:textId="77777777" w:rsidR="00351D4E" w:rsidRPr="00070ADE" w:rsidRDefault="00351D4E" w:rsidP="00B56F90">
      <w:pPr>
        <w:tabs>
          <w:tab w:val="left" w:pos="338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наибольшая дальность полен</w:t>
      </w:r>
      <w:r w:rsidRPr="00070ADE">
        <w:rPr>
          <w:rFonts w:ascii="Times New Roman" w:hAnsi="Times New Roman"/>
          <w:color w:val="000000" w:themeColor="text1"/>
          <w:sz w:val="16"/>
          <w:szCs w:val="16"/>
        </w:rPr>
        <w:softHyphen/>
      </w:r>
      <w:r w:rsidRPr="00070ADE">
        <w:rPr>
          <w:rStyle w:val="16"/>
          <w:rFonts w:ascii="Times New Roman" w:hAnsi="Times New Roman" w:cs="Times New Roman"/>
          <w:color w:val="000000" w:themeColor="text1"/>
          <w:spacing w:val="0"/>
          <w:u w:val="none"/>
        </w:rPr>
        <w:t xml:space="preserve">та с 1000 </w:t>
      </w:r>
      <w:r w:rsidRPr="00070ADE">
        <w:rPr>
          <w:rFonts w:ascii="Times New Roman" w:hAnsi="Times New Roman"/>
          <w:color w:val="000000" w:themeColor="text1"/>
          <w:sz w:val="16"/>
          <w:szCs w:val="16"/>
        </w:rPr>
        <w:t xml:space="preserve">кг бомб внутри фюзеляла - </w:t>
      </w:r>
      <w:r w:rsidRPr="00070ADE">
        <w:rPr>
          <w:rStyle w:val="16"/>
          <w:rFonts w:ascii="Times New Roman" w:hAnsi="Times New Roman" w:cs="Times New Roman"/>
          <w:color w:val="000000" w:themeColor="text1"/>
          <w:spacing w:val="0"/>
          <w:u w:val="none"/>
        </w:rPr>
        <w:t xml:space="preserve">2000 </w:t>
      </w:r>
      <w:r w:rsidRPr="00070ADE">
        <w:rPr>
          <w:rFonts w:ascii="Times New Roman" w:hAnsi="Times New Roman"/>
          <w:color w:val="000000" w:themeColor="text1"/>
          <w:sz w:val="16"/>
          <w:szCs w:val="16"/>
        </w:rPr>
        <w:t>км.</w:t>
      </w:r>
    </w:p>
    <w:p w14:paraId="39F1B30D"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боевая высота применения - </w:t>
      </w:r>
      <w:r w:rsidRPr="00070ADE">
        <w:rPr>
          <w:rStyle w:val="16"/>
          <w:rFonts w:ascii="Times New Roman" w:hAnsi="Times New Roman" w:cs="Times New Roman"/>
          <w:color w:val="000000" w:themeColor="text1"/>
          <w:spacing w:val="0"/>
          <w:u w:val="none"/>
        </w:rPr>
        <w:t xml:space="preserve">12000 </w:t>
      </w:r>
      <w:r w:rsidRPr="00070ADE">
        <w:rPr>
          <w:rFonts w:ascii="Times New Roman" w:hAnsi="Times New Roman"/>
          <w:color w:val="000000" w:themeColor="text1"/>
          <w:sz w:val="16"/>
          <w:szCs w:val="16"/>
        </w:rPr>
        <w:t>метров.</w:t>
      </w:r>
    </w:p>
    <w:p w14:paraId="086EDA29"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Обязать Наркомавиапром - т.Шахурина и главно</w:t>
      </w:r>
      <w:r w:rsidRPr="00070ADE">
        <w:rPr>
          <w:rFonts w:ascii="Times New Roman" w:hAnsi="Times New Roman"/>
          <w:color w:val="000000" w:themeColor="text1"/>
          <w:sz w:val="16"/>
          <w:szCs w:val="16"/>
        </w:rPr>
        <w:softHyphen/>
        <w:t xml:space="preserve">го конструктора завода № </w:t>
      </w:r>
      <w:r w:rsidRPr="00070ADE">
        <w:rPr>
          <w:rStyle w:val="16"/>
          <w:rFonts w:ascii="Times New Roman" w:hAnsi="Times New Roman" w:cs="Times New Roman"/>
          <w:color w:val="000000" w:themeColor="text1"/>
          <w:spacing w:val="0"/>
          <w:u w:val="none"/>
        </w:rPr>
        <w:t>156 -</w:t>
      </w:r>
      <w:r w:rsidRPr="00070ADE">
        <w:rPr>
          <w:rFonts w:ascii="Times New Roman" w:hAnsi="Times New Roman"/>
          <w:color w:val="000000" w:themeColor="text1"/>
          <w:sz w:val="16"/>
          <w:szCs w:val="16"/>
        </w:rPr>
        <w:t xml:space="preserve"> т.Туполева:</w:t>
      </w:r>
    </w:p>
    <w:p w14:paraId="1FB4019B"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построить на базе самолета Ту-2 двухмоторный двухместный дневной скоростной бомбардировщик с мото</w:t>
      </w:r>
      <w:r w:rsidRPr="00070ADE">
        <w:rPr>
          <w:rFonts w:ascii="Times New Roman" w:hAnsi="Times New Roman"/>
          <w:color w:val="000000" w:themeColor="text1"/>
          <w:sz w:val="16"/>
          <w:szCs w:val="16"/>
        </w:rPr>
        <w:softHyphen/>
        <w:t>рами АМ-39 со следующими данными:</w:t>
      </w:r>
    </w:p>
    <w:p w14:paraId="57AE5F50"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максимальная скорость на высоте </w:t>
      </w:r>
      <w:r w:rsidRPr="00070ADE">
        <w:rPr>
          <w:rStyle w:val="16"/>
          <w:rFonts w:ascii="Times New Roman" w:hAnsi="Times New Roman" w:cs="Times New Roman"/>
          <w:color w:val="000000" w:themeColor="text1"/>
          <w:spacing w:val="0"/>
          <w:u w:val="none"/>
        </w:rPr>
        <w:t>8000</w:t>
      </w:r>
      <w:r w:rsidRPr="00070ADE">
        <w:rPr>
          <w:rFonts w:ascii="Times New Roman" w:hAnsi="Times New Roman"/>
          <w:color w:val="000000" w:themeColor="text1"/>
          <w:sz w:val="16"/>
          <w:szCs w:val="16"/>
        </w:rPr>
        <w:t xml:space="preserve"> метров - </w:t>
      </w:r>
      <w:r w:rsidRPr="00070ADE">
        <w:rPr>
          <w:rStyle w:val="16"/>
          <w:rFonts w:ascii="Times New Roman" w:hAnsi="Times New Roman" w:cs="Times New Roman"/>
          <w:color w:val="000000" w:themeColor="text1"/>
          <w:spacing w:val="0"/>
          <w:u w:val="none"/>
        </w:rPr>
        <w:t xml:space="preserve">640-650 </w:t>
      </w:r>
      <w:r w:rsidRPr="00070ADE">
        <w:rPr>
          <w:rFonts w:ascii="Times New Roman" w:hAnsi="Times New Roman"/>
          <w:color w:val="000000" w:themeColor="text1"/>
          <w:sz w:val="16"/>
          <w:szCs w:val="16"/>
        </w:rPr>
        <w:t>км.в час</w:t>
      </w:r>
    </w:p>
    <w:p w14:paraId="578B6F41"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бомбовая нагрузка внутри фюзеляжа:</w:t>
      </w:r>
    </w:p>
    <w:p w14:paraId="1B37FFBC" w14:textId="77777777" w:rsidR="00351D4E" w:rsidRPr="00070ADE" w:rsidRDefault="00351D4E" w:rsidP="00B56F90">
      <w:pPr>
        <w:tabs>
          <w:tab w:val="left" w:pos="350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нормальная - </w:t>
      </w:r>
      <w:r w:rsidRPr="00070ADE">
        <w:rPr>
          <w:rStyle w:val="16"/>
          <w:rFonts w:ascii="Times New Roman" w:hAnsi="Times New Roman" w:cs="Times New Roman"/>
          <w:color w:val="000000" w:themeColor="text1"/>
          <w:spacing w:val="0"/>
          <w:u w:val="none"/>
        </w:rPr>
        <w:t>1000</w:t>
      </w:r>
      <w:r w:rsidRPr="00070ADE">
        <w:rPr>
          <w:rFonts w:ascii="Times New Roman" w:hAnsi="Times New Roman"/>
          <w:color w:val="000000" w:themeColor="text1"/>
          <w:sz w:val="16"/>
          <w:szCs w:val="16"/>
        </w:rPr>
        <w:t xml:space="preserve"> кгр.</w:t>
      </w:r>
    </w:p>
    <w:p w14:paraId="4E5A9115" w14:textId="77777777" w:rsidR="00351D4E" w:rsidRPr="00070ADE" w:rsidRDefault="00351D4E" w:rsidP="00B56F90">
      <w:pPr>
        <w:tabs>
          <w:tab w:val="left" w:pos="349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 перегрузкой - </w:t>
      </w:r>
      <w:r w:rsidRPr="00070ADE">
        <w:rPr>
          <w:rStyle w:val="16"/>
          <w:rFonts w:ascii="Times New Roman" w:hAnsi="Times New Roman" w:cs="Times New Roman"/>
          <w:color w:val="000000" w:themeColor="text1"/>
          <w:spacing w:val="0"/>
          <w:u w:val="none"/>
        </w:rPr>
        <w:t>2000</w:t>
      </w:r>
      <w:r w:rsidRPr="00070ADE">
        <w:rPr>
          <w:rFonts w:ascii="Times New Roman" w:hAnsi="Times New Roman"/>
          <w:color w:val="000000" w:themeColor="text1"/>
          <w:sz w:val="16"/>
          <w:szCs w:val="16"/>
        </w:rPr>
        <w:t xml:space="preserve"> кгр.</w:t>
      </w:r>
    </w:p>
    <w:p w14:paraId="037CBEE8"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вперед 2 пушки Швак калибра 20мм.</w:t>
      </w:r>
    </w:p>
    <w:p w14:paraId="63B46973"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выпустить в двух экземплярах и пред"явить на совместные испытания в НИИ ВВС:</w:t>
      </w:r>
    </w:p>
    <w:p w14:paraId="1B3E5033" w14:textId="77777777" w:rsidR="00351D4E" w:rsidRPr="00070ADE" w:rsidRDefault="00351D4E" w:rsidP="00B56F90">
      <w:pPr>
        <w:tabs>
          <w:tab w:val="left" w:pos="117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экземпляр - 1 июня 1944г.</w:t>
      </w:r>
    </w:p>
    <w:p w14:paraId="40976BD3" w14:textId="77777777" w:rsidR="00351D4E" w:rsidRPr="00070ADE" w:rsidRDefault="00351D4E" w:rsidP="00B56F90">
      <w:pPr>
        <w:tabs>
          <w:tab w:val="left" w:pos="120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2й экземпляр - 15 октября 1944 г.</w:t>
      </w:r>
    </w:p>
    <w:p w14:paraId="0C105971"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Командующему ВВС - т.Новикову л Наркомавиапром - т.Шахурину провести испытания 1-</w:t>
      </w:r>
      <w:r w:rsidRPr="00070ADE">
        <w:rPr>
          <w:rFonts w:ascii="Times New Roman" w:hAnsi="Times New Roman"/>
          <w:color w:val="000000" w:themeColor="text1"/>
          <w:sz w:val="16"/>
          <w:szCs w:val="16"/>
          <w:lang w:val="en-US"/>
        </w:rPr>
        <w:t>ro</w:t>
      </w:r>
      <w:r w:rsidRPr="00070ADE">
        <w:rPr>
          <w:rFonts w:ascii="Times New Roman" w:hAnsi="Times New Roman"/>
          <w:color w:val="000000" w:themeColor="text1"/>
          <w:sz w:val="16"/>
          <w:szCs w:val="16"/>
        </w:rPr>
        <w:t xml:space="preserve"> экземпляра самолета к 15 июня 1944г. и представить в ГОКО заключение.</w:t>
      </w:r>
    </w:p>
    <w:p w14:paraId="6A440B15"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Обязать директора завода № 26 - т.Баландина и главного конструктора - т.Климова подать главному кон</w:t>
      </w:r>
      <w:r w:rsidRPr="00070ADE">
        <w:rPr>
          <w:rFonts w:ascii="Times New Roman" w:hAnsi="Times New Roman"/>
          <w:color w:val="000000" w:themeColor="text1"/>
          <w:sz w:val="16"/>
          <w:szCs w:val="16"/>
        </w:rPr>
        <w:softHyphen/>
        <w:t>структору т.Мясищеву:</w:t>
      </w:r>
    </w:p>
    <w:p w14:paraId="4F6A05F6" w14:textId="77777777" w:rsidR="00351D4E" w:rsidRPr="00070ADE" w:rsidRDefault="00351D4E" w:rsidP="00B56F90">
      <w:pPr>
        <w:tabs>
          <w:tab w:val="left" w:pos="79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моторы ВК-108: 2 опытных мотора с 50-чаоовым ресурсом для отработки винтомоторной группы к 1 июля 1944г. и 6 экземпляров летных моторов с 50-часовым ресурсом к 15 сентября 1944г. со следующими данными:</w:t>
      </w:r>
    </w:p>
    <w:p w14:paraId="31738656" w14:textId="77777777" w:rsidR="00351D4E" w:rsidRPr="00070ADE" w:rsidRDefault="00351D4E" w:rsidP="00B56F90">
      <w:pPr>
        <w:tabs>
          <w:tab w:val="left" w:pos="368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взлетная мощность 1800 л.с.</w:t>
      </w:r>
    </w:p>
    <w:p w14:paraId="37F54E29"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боевая мощность на высотк 1800 метров</w:t>
      </w:r>
      <w:r w:rsidRPr="00070ADE">
        <w:rPr>
          <w:rFonts w:ascii="Times New Roman" w:hAnsi="Times New Roman"/>
          <w:color w:val="000000" w:themeColor="text1"/>
          <w:sz w:val="16"/>
          <w:szCs w:val="16"/>
        </w:rPr>
        <w:tab/>
        <w:t>1800 л.с.</w:t>
      </w:r>
    </w:p>
    <w:p w14:paraId="58C44838"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боевая мощность на высоте 4500 метров</w:t>
      </w:r>
      <w:r w:rsidRPr="00070ADE">
        <w:rPr>
          <w:rFonts w:ascii="Times New Roman" w:hAnsi="Times New Roman"/>
          <w:color w:val="000000" w:themeColor="text1"/>
          <w:sz w:val="16"/>
          <w:szCs w:val="16"/>
        </w:rPr>
        <w:tab/>
        <w:t>1700 л.с.</w:t>
      </w:r>
    </w:p>
    <w:p w14:paraId="7D137790" w14:textId="77777777" w:rsidR="00351D4E" w:rsidRPr="00070ADE" w:rsidRDefault="00351D4E" w:rsidP="00B56F90">
      <w:pPr>
        <w:tabs>
          <w:tab w:val="left" w:pos="79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моторы ВК-109: 2 макетных мотора к 1 сентября 1944г. и 6 экземпляров моторов с 30-часовым ресурсом к 1 января 1945г. со следующими данными:</w:t>
      </w:r>
    </w:p>
    <w:p w14:paraId="6EDECCBD" w14:textId="77777777" w:rsidR="00351D4E" w:rsidRPr="00070ADE" w:rsidRDefault="00351D4E" w:rsidP="00B56F90">
      <w:pPr>
        <w:tabs>
          <w:tab w:val="left" w:pos="369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взлетная мощность - 1800 л.с.</w:t>
      </w:r>
    </w:p>
    <w:p w14:paraId="7461718F"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боевая мощность на высоте 9000 метров</w:t>
      </w:r>
      <w:r w:rsidRPr="00070ADE">
        <w:rPr>
          <w:rFonts w:ascii="Times New Roman" w:hAnsi="Times New Roman"/>
          <w:color w:val="000000" w:themeColor="text1"/>
          <w:sz w:val="16"/>
          <w:szCs w:val="16"/>
        </w:rPr>
        <w:tab/>
        <w:t>1400 л.с.</w:t>
      </w:r>
    </w:p>
    <w:p w14:paraId="594E6160"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боевая мощность на высоте 2500 метров - 1800 л.с.</w:t>
      </w:r>
    </w:p>
    <w:p w14:paraId="2EFA8567"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чрезвычайная мощность на высоте 700 метров - 2100</w:t>
      </w:r>
    </w:p>
    <w:p w14:paraId="5BDC9EFA"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чрезвычайная мощность на высоте 6500 метров - 1700 л.с.</w:t>
      </w:r>
    </w:p>
    <w:p w14:paraId="39CBBF80"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пользовании чрезвычайным режимом, общий ре</w:t>
      </w:r>
      <w:r w:rsidRPr="00070ADE">
        <w:rPr>
          <w:rFonts w:ascii="Times New Roman" w:hAnsi="Times New Roman"/>
          <w:color w:val="000000" w:themeColor="text1"/>
          <w:sz w:val="16"/>
          <w:szCs w:val="16"/>
        </w:rPr>
        <w:softHyphen/>
        <w:t>сурс работы мотора (30 часов) сокращается в пропорции; 2 часа нормальной работы мотора за каждые 5 минут ра</w:t>
      </w:r>
      <w:r w:rsidRPr="00070ADE">
        <w:rPr>
          <w:rFonts w:ascii="Times New Roman" w:hAnsi="Times New Roman"/>
          <w:color w:val="000000" w:themeColor="text1"/>
          <w:sz w:val="16"/>
          <w:szCs w:val="16"/>
        </w:rPr>
        <w:softHyphen/>
        <w:t>боты на чрезвычайном режиме.</w:t>
      </w:r>
    </w:p>
    <w:p w14:paraId="587E73CE" w14:textId="77777777" w:rsidR="00351D4E" w:rsidRPr="00070ADE" w:rsidRDefault="00351D4E" w:rsidP="00B56F90">
      <w:pPr>
        <w:tabs>
          <w:tab w:val="left" w:pos="76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Обязать Наркомавиапром - т.Шахурина, директо</w:t>
      </w:r>
      <w:r w:rsidRPr="00070ADE">
        <w:rPr>
          <w:rFonts w:ascii="Times New Roman" w:hAnsi="Times New Roman"/>
          <w:color w:val="000000" w:themeColor="text1"/>
          <w:sz w:val="16"/>
          <w:szCs w:val="16"/>
        </w:rPr>
        <w:softHyphen/>
        <w:t>ра завода № 26 - т.Баландина и главного конструктора - т.Климова представить на рассмотрение ГОКО к 10 июня 1944г. календарный план работ по изготовлению опытных образцов моторов ВК-109 с необходимыми мероприятиями.</w:t>
      </w:r>
    </w:p>
    <w:p w14:paraId="062D8BAB" w14:textId="77777777" w:rsidR="00351D4E" w:rsidRPr="00070ADE" w:rsidRDefault="00351D4E" w:rsidP="00B56F90">
      <w:pPr>
        <w:tabs>
          <w:tab w:val="left" w:pos="76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Обязать директора завода № 45 - т.Комарова и главного конструктора т.Микулина подать заводу № 156 - 9 мотора АМ-39 к 27 мая 1944г. и 3 мотора - к 1 авгу</w:t>
      </w:r>
      <w:r w:rsidRPr="00070ADE">
        <w:rPr>
          <w:rFonts w:ascii="Times New Roman" w:hAnsi="Times New Roman"/>
          <w:color w:val="000000" w:themeColor="text1"/>
          <w:sz w:val="16"/>
          <w:szCs w:val="16"/>
        </w:rPr>
        <w:softHyphen/>
        <w:t>ста 1944г.</w:t>
      </w:r>
    </w:p>
    <w:p w14:paraId="1C53CCD4" w14:textId="77777777" w:rsidR="00351D4E" w:rsidRPr="00070ADE" w:rsidRDefault="00351D4E" w:rsidP="00B56F90">
      <w:pPr>
        <w:tabs>
          <w:tab w:val="left" w:pos="76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Обязать Наркомфин СССР - т.Зверева выделить НКАП за счет бюджетных ассигнования на опытные работы в 1944 году;</w:t>
      </w:r>
    </w:p>
    <w:p w14:paraId="55E5B336" w14:textId="77777777" w:rsidR="00351D4E" w:rsidRPr="00070ADE" w:rsidRDefault="00351D4E" w:rsidP="00B56F90">
      <w:pPr>
        <w:tabs>
          <w:tab w:val="left" w:pos="75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 постройку 5-ти экземпляров модифицированных самолетов Пе-2 с моторами ВК-107А головной серии - 8 миллионов рублей, в том числе на премирование рабо</w:t>
      </w:r>
      <w:r w:rsidRPr="00070ADE">
        <w:rPr>
          <w:rFonts w:ascii="Times New Roman" w:hAnsi="Times New Roman"/>
          <w:color w:val="000000" w:themeColor="text1"/>
          <w:sz w:val="16"/>
          <w:szCs w:val="16"/>
        </w:rPr>
        <w:softHyphen/>
        <w:t>чих и ИТР - 800 тысяч рублей;</w:t>
      </w:r>
    </w:p>
    <w:p w14:paraId="6819026B" w14:textId="77777777" w:rsidR="00351D4E" w:rsidRPr="00070ADE" w:rsidRDefault="00351D4E" w:rsidP="00B56F90">
      <w:pPr>
        <w:tabs>
          <w:tab w:val="left" w:pos="77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 постройку скоростного дневного бомбардиров</w:t>
      </w:r>
      <w:r w:rsidRPr="00070ADE">
        <w:rPr>
          <w:rFonts w:ascii="Times New Roman" w:hAnsi="Times New Roman"/>
          <w:color w:val="000000" w:themeColor="text1"/>
          <w:sz w:val="16"/>
          <w:szCs w:val="16"/>
        </w:rPr>
        <w:softHyphen/>
        <w:t>щика с моторами ВК-108 - 9 миллионов рублей, в том числе на премирование рабочих и ИТР - 700 тыс.рублей;</w:t>
      </w:r>
    </w:p>
    <w:p w14:paraId="227EC0FA" w14:textId="77777777" w:rsidR="00351D4E" w:rsidRPr="00070ADE" w:rsidRDefault="00351D4E" w:rsidP="00B56F90">
      <w:pPr>
        <w:tabs>
          <w:tab w:val="left" w:pos="76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 постройку высотного дневного бомбардировщи</w:t>
      </w:r>
      <w:r w:rsidRPr="00070ADE">
        <w:rPr>
          <w:rFonts w:ascii="Times New Roman" w:hAnsi="Times New Roman"/>
          <w:color w:val="000000" w:themeColor="text1"/>
          <w:sz w:val="16"/>
          <w:szCs w:val="16"/>
        </w:rPr>
        <w:softHyphen/>
        <w:t>ка о моторами ВК-109 - 10 миллионов рублей, в тон чи</w:t>
      </w:r>
      <w:r w:rsidRPr="00070ADE">
        <w:rPr>
          <w:rFonts w:ascii="Times New Roman" w:hAnsi="Times New Roman"/>
          <w:color w:val="000000" w:themeColor="text1"/>
          <w:sz w:val="16"/>
          <w:szCs w:val="16"/>
        </w:rPr>
        <w:softHyphen/>
        <w:t>сле на премирование рабочих и ИТР - 800 тыс.рублей;</w:t>
      </w:r>
    </w:p>
    <w:p w14:paraId="73BE0531" w14:textId="77777777" w:rsidR="00351D4E" w:rsidRPr="00070ADE" w:rsidRDefault="00351D4E" w:rsidP="00B56F90">
      <w:pPr>
        <w:tabs>
          <w:tab w:val="left" w:pos="75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на постройку скоростного дневного бомбарди</w:t>
      </w:r>
      <w:r w:rsidRPr="00070ADE">
        <w:rPr>
          <w:rFonts w:ascii="Times New Roman" w:hAnsi="Times New Roman"/>
          <w:color w:val="000000" w:themeColor="text1"/>
          <w:sz w:val="16"/>
          <w:szCs w:val="16"/>
        </w:rPr>
        <w:softHyphen/>
        <w:t>ровщика с моторами АМ-39 - 8миллионов рублей, в том числе на премирование рабочих и ИТР: за 1-й экземпляр самолета - 500 тысяч рублей и за 2-й экземпляр само</w:t>
      </w:r>
      <w:r w:rsidRPr="00070ADE">
        <w:rPr>
          <w:rFonts w:ascii="Times New Roman" w:hAnsi="Times New Roman"/>
          <w:color w:val="000000" w:themeColor="text1"/>
          <w:sz w:val="16"/>
          <w:szCs w:val="16"/>
        </w:rPr>
        <w:softHyphen/>
        <w:t>лета - 1 миллион рублей;</w:t>
      </w:r>
    </w:p>
    <w:p w14:paraId="5BDA28DA" w14:textId="77777777" w:rsidR="00351D4E" w:rsidRPr="00070ADE" w:rsidRDefault="00351D4E" w:rsidP="00B56F90">
      <w:pPr>
        <w:tabs>
          <w:tab w:val="left" w:pos="76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на премирование рабочих и ИТР за мотор ВК-108 - 1,5 миллиона рублей и за мотор ВК-109 - 3,4 миллиона рублей;</w:t>
      </w:r>
    </w:p>
    <w:p w14:paraId="5B5E1D5E"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 разрешить Наркомавиапрому 50% всех преду</w:t>
      </w:r>
      <w:r w:rsidRPr="00070ADE">
        <w:rPr>
          <w:rFonts w:ascii="Times New Roman" w:hAnsi="Times New Roman"/>
          <w:color w:val="000000" w:themeColor="text1"/>
          <w:sz w:val="16"/>
          <w:szCs w:val="16"/>
        </w:rPr>
        <w:softHyphen/>
        <w:t>смотренных настоящим постановлением премиальных сумм выплачивать в процессе выполнения задания и остальные 50№ - по выпуску в срок указанных самолетов и моторов.</w:t>
      </w:r>
    </w:p>
    <w:p w14:paraId="449987C0" w14:textId="77777777" w:rsidR="00351D4E" w:rsidRPr="00070ADE" w:rsidRDefault="00351D4E" w:rsidP="00B56F90">
      <w:pPr>
        <w:tabs>
          <w:tab w:val="left" w:pos="157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Обязать Наркомавиапром - т.Шахурина и директо</w:t>
      </w:r>
      <w:r w:rsidRPr="00070ADE">
        <w:rPr>
          <w:rFonts w:ascii="Times New Roman" w:hAnsi="Times New Roman"/>
          <w:color w:val="000000" w:themeColor="text1"/>
          <w:sz w:val="16"/>
          <w:szCs w:val="16"/>
        </w:rPr>
        <w:softHyphen/>
        <w:t>ра завода № 466 - Т.Лукина изготовить опытную серию в 80 экземпляров моторов ВК - 105ПД с нагнетателем конст</w:t>
      </w:r>
      <w:r w:rsidRPr="00070ADE">
        <w:rPr>
          <w:rFonts w:ascii="Times New Roman" w:hAnsi="Times New Roman"/>
          <w:color w:val="000000" w:themeColor="text1"/>
          <w:sz w:val="16"/>
          <w:szCs w:val="16"/>
        </w:rPr>
        <w:softHyphen/>
        <w:t>рукции Доллежаля к 1 октября 1944г., за счет сокраще</w:t>
      </w:r>
      <w:r w:rsidRPr="00070ADE">
        <w:rPr>
          <w:rFonts w:ascii="Times New Roman" w:hAnsi="Times New Roman"/>
          <w:color w:val="000000" w:themeColor="text1"/>
          <w:sz w:val="16"/>
          <w:szCs w:val="16"/>
        </w:rPr>
        <w:softHyphen/>
        <w:t>ния заводу программы выпуска мотороз ВК-105ПФ на 150 штук на этот период; первые 5 моторов ВК-105ПД вы</w:t>
      </w:r>
      <w:r w:rsidRPr="00070ADE">
        <w:rPr>
          <w:rFonts w:ascii="Times New Roman" w:hAnsi="Times New Roman"/>
          <w:color w:val="000000" w:themeColor="text1"/>
          <w:sz w:val="16"/>
          <w:szCs w:val="16"/>
        </w:rPr>
        <w:softHyphen/>
        <w:t>пустить в июле 1944 года.</w:t>
      </w:r>
    </w:p>
    <w:p w14:paraId="50F99A1B" w14:textId="77777777" w:rsidR="00351D4E" w:rsidRPr="00070ADE" w:rsidRDefault="00351D4E" w:rsidP="00B56F90">
      <w:pPr>
        <w:tabs>
          <w:tab w:val="left" w:pos="157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Обявать Наркомавиапром - т.Шахурина и начальни</w:t>
      </w:r>
      <w:r w:rsidRPr="00070ADE">
        <w:rPr>
          <w:rFonts w:ascii="Times New Roman" w:hAnsi="Times New Roman"/>
          <w:color w:val="000000" w:themeColor="text1"/>
          <w:sz w:val="16"/>
          <w:szCs w:val="16"/>
        </w:rPr>
        <w:softHyphen/>
        <w:t>ка ЦИАМ - т.Поляковского подготовить к 1 сентября 1944г. постановку серийного производства автоматов совмеотного управления винтом и газом "ВГ " конструкции ЦИАМ, автоматов переключения скоростей конструкции ЦИАМ и ав</w:t>
      </w:r>
      <w:r w:rsidRPr="00070ADE">
        <w:rPr>
          <w:rFonts w:ascii="Times New Roman" w:hAnsi="Times New Roman"/>
          <w:color w:val="000000" w:themeColor="text1"/>
          <w:sz w:val="16"/>
          <w:szCs w:val="16"/>
        </w:rPr>
        <w:softHyphen/>
        <w:t>томатов регулировки температур головок цилиндров мото</w:t>
      </w:r>
      <w:r w:rsidRPr="00070ADE">
        <w:rPr>
          <w:rFonts w:ascii="Times New Roman" w:hAnsi="Times New Roman"/>
          <w:color w:val="000000" w:themeColor="text1"/>
          <w:sz w:val="16"/>
          <w:szCs w:val="16"/>
        </w:rPr>
        <w:softHyphen/>
        <w:t>ров.</w:t>
      </w:r>
    </w:p>
    <w:p w14:paraId="1299D0FB" w14:textId="77777777" w:rsidR="00351D4E" w:rsidRPr="00070ADE" w:rsidRDefault="00351D4E" w:rsidP="00B56F90">
      <w:pPr>
        <w:tabs>
          <w:tab w:val="left" w:pos="165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Обязать начальника ЛИИ НКАП - т.Чесалова отра</w:t>
      </w:r>
      <w:r w:rsidRPr="00070ADE">
        <w:rPr>
          <w:rFonts w:ascii="Times New Roman" w:hAnsi="Times New Roman"/>
          <w:color w:val="000000" w:themeColor="text1"/>
          <w:sz w:val="16"/>
          <w:szCs w:val="16"/>
        </w:rPr>
        <w:softHyphen/>
        <w:t>ботать и произвести стендовые и летные испытания:</w:t>
      </w:r>
    </w:p>
    <w:p w14:paraId="31F2F87D" w14:textId="77777777" w:rsidR="00351D4E" w:rsidRPr="00070ADE" w:rsidRDefault="00351D4E" w:rsidP="00B56F90">
      <w:pPr>
        <w:tabs>
          <w:tab w:val="left" w:pos="157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редукционных клапанов для маслосистеы, пере</w:t>
      </w:r>
      <w:r w:rsidRPr="00070ADE">
        <w:rPr>
          <w:rFonts w:ascii="Times New Roman" w:hAnsi="Times New Roman"/>
          <w:color w:val="000000" w:themeColor="text1"/>
          <w:sz w:val="16"/>
          <w:szCs w:val="16"/>
        </w:rPr>
        <w:softHyphen/>
        <w:t>пускающих масло в обход радиатора, в зависимости от вязкости масла, в июле 1944 года;</w:t>
      </w:r>
    </w:p>
    <w:p w14:paraId="51339BF1" w14:textId="77777777" w:rsidR="00351D4E" w:rsidRPr="00070ADE" w:rsidRDefault="00351D4E" w:rsidP="00B56F90">
      <w:pPr>
        <w:tabs>
          <w:tab w:val="left" w:pos="158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автоматических редукционных клапанов для поддержания постоянного давления в водо и масло системах в июле 1944г.</w:t>
      </w:r>
    </w:p>
    <w:p w14:paraId="43F23FCC" w14:textId="77777777" w:rsidR="00351D4E" w:rsidRPr="00070ADE" w:rsidRDefault="00351D4E" w:rsidP="00B56F90">
      <w:pPr>
        <w:tabs>
          <w:tab w:val="left" w:pos="129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Обязать главных конструкторов НКАП т.т.Короткова, Климова и Микулина провести стендовые и летные испытания автокорректора состава смеси к моторам ВК-107А и АМ-39 к 1 августа 1944г.</w:t>
      </w:r>
    </w:p>
    <w:p w14:paraId="3F864762"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Обязать Наркомавиапром т.Щахурина и главных конструкторов винтов и самолетов закончить к 1 авгу</w:t>
      </w:r>
      <w:r w:rsidRPr="00070ADE">
        <w:rPr>
          <w:rFonts w:ascii="Times New Roman" w:hAnsi="Times New Roman"/>
          <w:color w:val="000000" w:themeColor="text1"/>
          <w:sz w:val="16"/>
          <w:szCs w:val="16"/>
        </w:rPr>
        <w:softHyphen/>
        <w:t>ста 1944г. государственные летные испытания опытных флюгерных винтов на самолетах Ил-4, Пе-2, Ер-2 и Ту-2 и дать предложения в ГОКО по развертыванию их серий</w:t>
      </w:r>
      <w:r w:rsidRPr="00070ADE">
        <w:rPr>
          <w:rFonts w:ascii="Times New Roman" w:hAnsi="Times New Roman"/>
          <w:color w:val="000000" w:themeColor="text1"/>
          <w:sz w:val="16"/>
          <w:szCs w:val="16"/>
        </w:rPr>
        <w:softHyphen/>
        <w:t>ного производства.</w:t>
      </w:r>
    </w:p>
    <w:p w14:paraId="1D6D3F03" w14:textId="4053822C"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Обязать главных конструкторов моторов т.т. Кли мова, Чаромского, Микулина и Швецова все новые опытные моторы, предназначенные для установки на двухмоторные самолеты, выпускать с двухканальным подводом масла к винту.</w:t>
      </w:r>
    </w:p>
    <w:p w14:paraId="031729B7" w14:textId="77777777" w:rsidR="00351D4E" w:rsidRPr="00070ADE" w:rsidRDefault="00351D4E" w:rsidP="00B56F90">
      <w:pPr>
        <w:tabs>
          <w:tab w:val="left" w:pos="89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14. Обязать главных конструкторов т.т.Туполева, Мясищева и Ермолаева отработать обогрев и вентиляцию кабин самолетов Ту-2, Пе-2 и </w:t>
      </w:r>
      <w:r w:rsidRPr="00070ADE">
        <w:rPr>
          <w:rStyle w:val="-1pt"/>
          <w:rFonts w:ascii="Times New Roman" w:hAnsi="Times New Roman" w:cs="Times New Roman"/>
          <w:color w:val="000000" w:themeColor="text1"/>
          <w:spacing w:val="0"/>
          <w:sz w:val="16"/>
          <w:szCs w:val="16"/>
        </w:rPr>
        <w:t>Ер-2</w:t>
      </w:r>
      <w:r w:rsidRPr="00070ADE">
        <w:rPr>
          <w:rFonts w:ascii="Times New Roman" w:hAnsi="Times New Roman"/>
          <w:color w:val="000000" w:themeColor="text1"/>
          <w:sz w:val="16"/>
          <w:szCs w:val="16"/>
        </w:rPr>
        <w:t xml:space="preserve"> и пред"явить на гос- испытания в НИИ ВВС к 1 августа 1944г.</w:t>
      </w:r>
    </w:p>
    <w:p w14:paraId="2AA7F9DE" w14:textId="77777777" w:rsidR="00351D4E" w:rsidRPr="00070ADE" w:rsidRDefault="00351D4E" w:rsidP="00B56F90">
      <w:pPr>
        <w:tabs>
          <w:tab w:val="left" w:pos="91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Обязать начальника НИСО НКАП т.Петрова раз</w:t>
      </w:r>
      <w:r w:rsidRPr="00070ADE">
        <w:rPr>
          <w:rFonts w:ascii="Times New Roman" w:hAnsi="Times New Roman"/>
          <w:color w:val="000000" w:themeColor="text1"/>
          <w:sz w:val="16"/>
          <w:szCs w:val="16"/>
        </w:rPr>
        <w:softHyphen/>
        <w:t>работать типовую приборную доску для дневных двухмо</w:t>
      </w:r>
      <w:r w:rsidRPr="00070ADE">
        <w:rPr>
          <w:rFonts w:ascii="Times New Roman" w:hAnsi="Times New Roman"/>
          <w:color w:val="000000" w:themeColor="text1"/>
          <w:sz w:val="16"/>
          <w:szCs w:val="16"/>
        </w:rPr>
        <w:softHyphen/>
        <w:t>торных бомбардировщиков о использованием опыта самоле</w:t>
      </w:r>
      <w:r w:rsidRPr="00070ADE">
        <w:rPr>
          <w:rFonts w:ascii="Times New Roman" w:hAnsi="Times New Roman"/>
          <w:color w:val="000000" w:themeColor="text1"/>
          <w:sz w:val="16"/>
          <w:szCs w:val="16"/>
        </w:rPr>
        <w:softHyphen/>
        <w:t>та "Москито" и пред"явить Государственной Макетной Комиссии ВВС, к 1 июля 1944г. -</w:t>
      </w:r>
    </w:p>
    <w:p w14:paraId="09298FD2" w14:textId="77777777" w:rsidR="00351D4E" w:rsidRPr="00070ADE" w:rsidRDefault="00351D4E" w:rsidP="00B56F90">
      <w:pPr>
        <w:tabs>
          <w:tab w:val="left" w:pos="88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Обязать Наркомнефть т.Седина, Наркомавиапром т.Шахурина и главного инженера ВВС т. Репина предста</w:t>
      </w:r>
      <w:r w:rsidRPr="00070ADE">
        <w:rPr>
          <w:rFonts w:ascii="Times New Roman" w:hAnsi="Times New Roman"/>
          <w:color w:val="000000" w:themeColor="text1"/>
          <w:sz w:val="16"/>
          <w:szCs w:val="16"/>
        </w:rPr>
        <w:softHyphen/>
        <w:t>вить в ГОКО к 1 июля 1944г. технические условия на 100-октановое авиатопливо и предложения по его произ</w:t>
      </w:r>
      <w:r w:rsidRPr="00070ADE">
        <w:rPr>
          <w:rFonts w:ascii="Times New Roman" w:hAnsi="Times New Roman"/>
          <w:color w:val="000000" w:themeColor="text1"/>
          <w:sz w:val="16"/>
          <w:szCs w:val="16"/>
        </w:rPr>
        <w:softHyphen/>
        <w:t>водству.</w:t>
      </w:r>
    </w:p>
    <w:p w14:paraId="1A7F316D" w14:textId="77777777" w:rsidR="00351D4E" w:rsidRPr="00070ADE" w:rsidRDefault="00351D4E" w:rsidP="00B56F90">
      <w:pPr>
        <w:tabs>
          <w:tab w:val="left" w:pos="897"/>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Обязать Наркомбоеприпасов т.Ванникова и на</w:t>
      </w:r>
      <w:r w:rsidRPr="00070ADE">
        <w:rPr>
          <w:rFonts w:ascii="Times New Roman" w:hAnsi="Times New Roman"/>
          <w:color w:val="000000" w:themeColor="text1"/>
          <w:sz w:val="16"/>
          <w:szCs w:val="16"/>
        </w:rPr>
        <w:softHyphen/>
        <w:t>чальника ГСКБ-47 т.Кулакова отработать отечественные бомбы калибром 250 кг., 500 кг., 1000 кг и 2000 кг. с максимально укороченным стабилизатором и к 15 августа 1944г. подать образцы бомб на испытания в НИК ВВС.</w:t>
      </w:r>
    </w:p>
    <w:p w14:paraId="1C97D6AD"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Главному инженеру ВВС т.Репину в месячный срок провести испытания новых образцов бомб и о результа</w:t>
      </w:r>
      <w:r w:rsidRPr="00070ADE">
        <w:rPr>
          <w:rFonts w:ascii="Times New Roman" w:hAnsi="Times New Roman"/>
          <w:color w:val="000000" w:themeColor="text1"/>
          <w:sz w:val="16"/>
          <w:szCs w:val="16"/>
        </w:rPr>
        <w:softHyphen/>
        <w:t>тах доложить ГОКО.</w:t>
      </w:r>
    </w:p>
    <w:p w14:paraId="0813678B" w14:textId="77777777" w:rsidR="00351D4E" w:rsidRPr="00070ADE" w:rsidRDefault="00351D4E" w:rsidP="00B56F90">
      <w:pPr>
        <w:tabs>
          <w:tab w:val="left" w:pos="89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Обязать Наркомрезинпром т.Митрохина изго</w:t>
      </w:r>
      <w:r w:rsidRPr="00070ADE">
        <w:rPr>
          <w:rFonts w:ascii="Times New Roman" w:hAnsi="Times New Roman"/>
          <w:color w:val="000000" w:themeColor="text1"/>
          <w:sz w:val="16"/>
          <w:szCs w:val="16"/>
        </w:rPr>
        <w:softHyphen/>
        <w:t>товить к 1 июля 1944г. по техусловиям НКАП опытную партию герметизирующих резиновых фасонных прокладок.</w:t>
      </w:r>
    </w:p>
    <w:p w14:paraId="6B77F7EA" w14:textId="77777777" w:rsidR="00351D4E" w:rsidRPr="00070ADE" w:rsidRDefault="00351D4E" w:rsidP="00B56F90">
      <w:pPr>
        <w:tabs>
          <w:tab w:val="left" w:pos="139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Наркомавиапрому передать Наркомрезинпрому тех- условия на резиновые фасонные прокладки к 1 июня 1944г.</w:t>
      </w:r>
    </w:p>
    <w:p w14:paraId="746EC397" w14:textId="77777777" w:rsidR="00351D4E" w:rsidRPr="00070ADE" w:rsidRDefault="00351D4E" w:rsidP="00B56F90">
      <w:pPr>
        <w:tabs>
          <w:tab w:val="left" w:pos="88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Поручить Наркомвнешторгу т.Микояну принять меры к закупке в Англии для Наркомавиапрома для изу</w:t>
      </w:r>
      <w:r w:rsidRPr="00070ADE">
        <w:rPr>
          <w:rFonts w:ascii="Times New Roman" w:hAnsi="Times New Roman"/>
          <w:color w:val="000000" w:themeColor="text1"/>
          <w:sz w:val="16"/>
          <w:szCs w:val="16"/>
        </w:rPr>
        <w:softHyphen/>
        <w:t>чения конструкции и боевого применения 8 самолетов "Москито" новейших модификаций, всех тактических на</w:t>
      </w:r>
      <w:r w:rsidRPr="00070ADE">
        <w:rPr>
          <w:rFonts w:ascii="Times New Roman" w:hAnsi="Times New Roman"/>
          <w:color w:val="000000" w:themeColor="text1"/>
          <w:sz w:val="16"/>
          <w:szCs w:val="16"/>
        </w:rPr>
        <w:softHyphen/>
        <w:t>значений, а также 15 моторов Мерлин-72, Мерлин-73 и более новых модификаций.</w:t>
      </w:r>
    </w:p>
    <w:p w14:paraId="58527429" w14:textId="77777777" w:rsidR="00351D4E" w:rsidRPr="00070ADE" w:rsidRDefault="00351D4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Обязать т.т.Микояна и Шахурина в месячный срок командировать в</w:t>
      </w:r>
      <w:r w:rsidRPr="00070ADE">
        <w:rPr>
          <w:rStyle w:val="7pt0pt0"/>
          <w:rFonts w:ascii="Times New Roman" w:hAnsi="Times New Roman" w:cs="Times New Roman"/>
          <w:color w:val="000000" w:themeColor="text1"/>
          <w:spacing w:val="0"/>
          <w:sz w:val="16"/>
          <w:szCs w:val="16"/>
        </w:rPr>
        <w:t xml:space="preserve"> Англию</w:t>
      </w:r>
      <w:r w:rsidRPr="00070ADE">
        <w:rPr>
          <w:rFonts w:ascii="Times New Roman" w:hAnsi="Times New Roman"/>
          <w:color w:val="000000" w:themeColor="text1"/>
          <w:sz w:val="16"/>
          <w:szCs w:val="16"/>
        </w:rPr>
        <w:t xml:space="preserve"> и Америку комиссию высококвалифицированных специалистов для изучения на месте вопросов конструкции, технологии и организации произ</w:t>
      </w:r>
      <w:r w:rsidRPr="00070ADE">
        <w:rPr>
          <w:rFonts w:ascii="Times New Roman" w:hAnsi="Times New Roman"/>
          <w:color w:val="000000" w:themeColor="text1"/>
          <w:sz w:val="16"/>
          <w:szCs w:val="16"/>
        </w:rPr>
        <w:softHyphen/>
        <w:t>водства, а также боевого применения новейших самоле</w:t>
      </w:r>
      <w:r w:rsidRPr="00070ADE">
        <w:rPr>
          <w:rFonts w:ascii="Times New Roman" w:hAnsi="Times New Roman"/>
          <w:color w:val="000000" w:themeColor="text1"/>
          <w:sz w:val="16"/>
          <w:szCs w:val="16"/>
        </w:rPr>
        <w:softHyphen/>
        <w:t>тов и моторов (19495).</w:t>
      </w:r>
    </w:p>
    <w:p w14:paraId="6E3F2FEB" w14:textId="77777777" w:rsidR="001144CD" w:rsidRPr="00070ADE" w:rsidRDefault="001144CD" w:rsidP="00B56F90">
      <w:pPr>
        <w:autoSpaceDE w:val="0"/>
        <w:autoSpaceDN w:val="0"/>
        <w:adjustRightInd w:val="0"/>
        <w:spacing w:after="0" w:line="240" w:lineRule="auto"/>
        <w:jc w:val="both"/>
        <w:rPr>
          <w:rFonts w:ascii="Times New Roman" w:hAnsi="Times New Roman"/>
          <w:color w:val="000000" w:themeColor="text1"/>
          <w:sz w:val="16"/>
          <w:szCs w:val="16"/>
        </w:rPr>
      </w:pPr>
    </w:p>
    <w:p w14:paraId="091E41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г. вышло постановление ГКО № 5947 и 25 мая вышел приказ НКАП № 358, которые не предусматривали оснащения ДБ-108 оборонительным вооружением (4476)</w:t>
      </w:r>
    </w:p>
    <w:p w14:paraId="68B86B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FCAC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вышло постановления ГКО N 5947 о создании в кратчайший срок дневных скоростных бомбардировщиков (1585,163).</w:t>
      </w:r>
    </w:p>
    <w:p w14:paraId="497A32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Навеяно было успехами Москито в Европе (1835,56).</w:t>
      </w:r>
    </w:p>
    <w:p w14:paraId="6FFFCC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Там речь шла и о СДБ на базе Ту-2 и хотели, чтобы первый экз. появился 1 июня 1944, а второй - 15 октября 1944 (1835,56).</w:t>
      </w:r>
    </w:p>
    <w:p w14:paraId="4367F6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92E701E" w14:textId="77777777" w:rsidR="00DE35AF" w:rsidRPr="00C94B78" w:rsidRDefault="00DE35A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22 мая 1944 г. Государственный Комитет Обороны издал Постановление №5947сс о проведении дальнейших летных испытаний флюгерных винтов в т.ч. и на том же самолете Пе-2 испытания винтов УФ-61П продолжались, по меньшей мере, по февраль 1945 г.</w:t>
      </w:r>
    </w:p>
    <w:p w14:paraId="15900C1D" w14:textId="77777777" w:rsidR="00DE35AF" w:rsidRPr="00C94B78" w:rsidRDefault="00DE35A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Тем не менее, в серию на самолеты Пе-2 воздушные винты УФ-61П не внедрялись, полученные экспериментальные данные оказались полезны лишь отчасти, поскольку механизмы реверса для серийных воздушных винтов АВ-60 и АВ-68 разрабатывались на базе винта В3Б-А5 самолета Ту-4, который в свою очередь был развитием винта В3А-3, скопированного для Ту-4 первых серий с американского образца (25430).</w:t>
      </w:r>
    </w:p>
    <w:p w14:paraId="522D6683" w14:textId="77777777" w:rsidR="00DE35AF" w:rsidRPr="00C94B78" w:rsidRDefault="00DE35AF" w:rsidP="00B56F90">
      <w:pPr>
        <w:spacing w:after="0" w:line="240" w:lineRule="auto"/>
        <w:jc w:val="both"/>
        <w:rPr>
          <w:rFonts w:ascii="Times New Roman" w:hAnsi="Times New Roman"/>
          <w:color w:val="0070C0"/>
          <w:sz w:val="16"/>
          <w:szCs w:val="16"/>
        </w:rPr>
      </w:pPr>
    </w:p>
    <w:p w14:paraId="32C28F59" w14:textId="77777777" w:rsidR="00DE35AF" w:rsidRPr="00C94B78" w:rsidRDefault="00DE35A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22 мая 1944 г. Постановление ГКО №5947</w:t>
      </w:r>
      <w:r>
        <w:rPr>
          <w:rFonts w:ascii="Times New Roman" w:hAnsi="Times New Roman"/>
          <w:color w:val="0070C0"/>
          <w:sz w:val="16"/>
          <w:szCs w:val="16"/>
        </w:rPr>
        <w:t xml:space="preserve"> </w:t>
      </w:r>
      <w:r w:rsidRPr="00C94B78">
        <w:rPr>
          <w:rFonts w:ascii="Times New Roman" w:hAnsi="Times New Roman"/>
          <w:color w:val="0070C0"/>
          <w:sz w:val="16"/>
          <w:szCs w:val="16"/>
        </w:rPr>
        <w:t>и приказ по НКАП от 27 мая 1944 г. поручили ОКО-22 и Главному конструктору Мясищеву с целью улучшения обитаемости кабин самолетов бомбардировочной авиации оборудовать Пе-2 обогревом и вентиляцией кабин.</w:t>
      </w:r>
      <w:r w:rsidRPr="00C94B78">
        <w:rPr>
          <w:rFonts w:ascii="Times New Roman" w:hAnsi="Times New Roman"/>
          <w:b/>
          <w:bCs/>
          <w:color w:val="0070C0"/>
          <w:sz w:val="16"/>
          <w:szCs w:val="16"/>
        </w:rPr>
        <w:t xml:space="preserve"> </w:t>
      </w:r>
      <w:r w:rsidRPr="00C94B78">
        <w:rPr>
          <w:rFonts w:ascii="Times New Roman" w:hAnsi="Times New Roman"/>
          <w:color w:val="0070C0"/>
          <w:sz w:val="16"/>
          <w:szCs w:val="16"/>
        </w:rPr>
        <w:t>Данных о выполнении на самолетах Пе-2 нет (26430).</w:t>
      </w:r>
    </w:p>
    <w:p w14:paraId="6D02286A" w14:textId="77777777" w:rsidR="00DE35AF" w:rsidRPr="00C94B78" w:rsidRDefault="00DE35AF" w:rsidP="00B56F90">
      <w:pPr>
        <w:spacing w:after="0" w:line="240" w:lineRule="auto"/>
        <w:jc w:val="both"/>
        <w:rPr>
          <w:rFonts w:ascii="Times New Roman" w:hAnsi="Times New Roman"/>
          <w:color w:val="0070C0"/>
          <w:sz w:val="16"/>
          <w:szCs w:val="16"/>
        </w:rPr>
      </w:pPr>
    </w:p>
    <w:p w14:paraId="0669732F" w14:textId="78124BE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мая 1944 г. ГКО принял постановление № 5947, в соответствии с которым заводу № 22 поручалось изготовить малую серию (5 машин) Пе-2И к 15 октября 1944 г. Однако это постановление не было выполнено. Основными причинами являлись, во-пер- вых, нежелание руководства НКАП и завода сокращать объемы выпуска обычных Пе-2 и, во-вторых, трудности с освоением серийного производства моторов ВК-107А, которые прежде всего предназначались для истребителей Як-9У (12042).</w:t>
      </w:r>
    </w:p>
    <w:p w14:paraId="167499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2841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вышло постановление ГКО N 5942сс "Об установке на самолет Як-3 2-го пулемета Березина" (1585,146).</w:t>
      </w:r>
    </w:p>
    <w:p w14:paraId="2D744A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6764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22 мая 1944 вышло Постановление ГКО № 5942 Об установке на самолет Як-3 второго пулемета системы Березина калибра 12,7 мм. РГАНИР, Фонд ГКО, д. 255, лл. 76 (11012).</w:t>
      </w:r>
    </w:p>
    <w:p w14:paraId="568E53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AB41879" w14:textId="77777777" w:rsidR="001D1ADE" w:rsidRPr="00070ADE" w:rsidRDefault="001D1A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г. вышло Постановление ГКО № 5942сс «Об установке на самолет Як-3 2-го пулемета Березина», и НКАП своим приказом № 356сс от 26 мая обязал заводы № 292 и № 31 с 15 июня сдавать истребители только с трехточечным вооружением. Второй УБ-12,7 внедрили на 13-й серии выпуска головного завода № 292 после сдачи 197 «двухточечных» самолетов.</w:t>
      </w:r>
    </w:p>
    <w:p w14:paraId="0A1BA50A" w14:textId="77777777" w:rsidR="001D1ADE" w:rsidRPr="00070ADE" w:rsidRDefault="001D1AD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Когда ОКБ-115 уже закончило сдачу серийной документации, с фронта стали поступать жалобы на то, что вооружение таких самолетов, как Як-1б, Як-9 и Як-3, в составе одной пушки ШВАК калибра 20 мм, стреляющей сквозь вал воздушного винта, и одного 12,7-мм синхронного пулемета УБ недостаточно для борьбы с такими самолетами противника, как тяжелые штурмовики Хеншель Hs 129, истребители-бомбардировщики и легкие штурмовики Фокке-Вульф FW 190F/G, а также последние модификации дальнего бомбардировщика Не 111Н, бронирование которого было усилено. И наш истребитель Як-7Б, и основной немецкий Мессершмитт Bf 109G имели более мощное вооружение в составе 20-мм мотор-пушки и двух крупнокалиберных пулеметов, которое для легких истребителей на Советско-германском фронте оказалось предпочтительным (22751).</w:t>
      </w:r>
    </w:p>
    <w:p w14:paraId="61972442" w14:textId="77777777" w:rsidR="001D1ADE" w:rsidRPr="00070ADE" w:rsidRDefault="001D1ADE" w:rsidP="00B56F90">
      <w:pPr>
        <w:spacing w:after="0" w:line="240" w:lineRule="auto"/>
        <w:jc w:val="both"/>
        <w:rPr>
          <w:rFonts w:ascii="Times New Roman" w:hAnsi="Times New Roman"/>
          <w:color w:val="000000" w:themeColor="text1"/>
          <w:sz w:val="16"/>
          <w:szCs w:val="16"/>
        </w:rPr>
      </w:pPr>
    </w:p>
    <w:p w14:paraId="2D33E0EF" w14:textId="77777777" w:rsidR="00E95DEC" w:rsidRPr="00070ADE" w:rsidRDefault="00E95DE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вышло Постановление ГКО № 5942 Об установке на самолет Як-3 второго пулемета системы Березина калибра 12,7 мм. РГАНИР</w:t>
      </w:r>
    </w:p>
    <w:p w14:paraId="3A490BA3" w14:textId="77777777" w:rsidR="00E95DEC" w:rsidRPr="00070ADE" w:rsidRDefault="00E95DEC"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Для. увеличения огневой мощи самолета Як-3 Госу</w:t>
      </w:r>
      <w:r w:rsidRPr="00070ADE">
        <w:rPr>
          <w:rFonts w:ascii="Times New Roman" w:hAnsi="Times New Roman" w:cs="Times New Roman"/>
          <w:color w:val="000000" w:themeColor="text1"/>
          <w:sz w:val="16"/>
          <w:szCs w:val="16"/>
        </w:rPr>
        <w:softHyphen/>
        <w:t>дарственный Комитет Обороны постановляет:</w:t>
      </w:r>
    </w:p>
    <w:p w14:paraId="1F504BC0" w14:textId="77777777" w:rsidR="00E95DEC" w:rsidRPr="00070ADE" w:rsidRDefault="00E95DE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Обязать Наркомавиапром (т.Шахурина), начиная с 15 июня 1944 года, выпускать все самолеты Як-3 с мо</w:t>
      </w:r>
      <w:r w:rsidRPr="00070ADE">
        <w:rPr>
          <w:rFonts w:ascii="Times New Roman" w:hAnsi="Times New Roman"/>
          <w:color w:val="000000" w:themeColor="text1"/>
          <w:sz w:val="16"/>
          <w:szCs w:val="16"/>
        </w:rPr>
        <w:softHyphen/>
        <w:t>тором ВК105ПФ2, вооруженные одной пушкой калибра 20 мм и двумя пулеметами системы т.Березина калибра 12,7 мм, по типу самолета Як-3, прошедшего госиспыта</w:t>
      </w:r>
      <w:r w:rsidRPr="00070ADE">
        <w:rPr>
          <w:rFonts w:ascii="Times New Roman" w:hAnsi="Times New Roman"/>
          <w:color w:val="000000" w:themeColor="text1"/>
          <w:sz w:val="16"/>
          <w:szCs w:val="16"/>
        </w:rPr>
        <w:softHyphen/>
        <w:t>ния в НИИ ВВС КА (19490).</w:t>
      </w:r>
    </w:p>
    <w:p w14:paraId="6676CEED" w14:textId="77777777" w:rsidR="00E95DEC" w:rsidRPr="00070ADE" w:rsidRDefault="00E95DEC" w:rsidP="00B56F90">
      <w:pPr>
        <w:spacing w:after="0" w:line="240" w:lineRule="auto"/>
        <w:jc w:val="both"/>
        <w:rPr>
          <w:rFonts w:ascii="Times New Roman" w:hAnsi="Times New Roman"/>
          <w:color w:val="000000" w:themeColor="text1"/>
          <w:sz w:val="16"/>
          <w:szCs w:val="16"/>
        </w:rPr>
      </w:pPr>
    </w:p>
    <w:p w14:paraId="76ED53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вышло Постановление ГКО № 5943 О принятии на вооружение и организации производства бомбардировочных прицелов системы Деренковского. РГАНИР, Фонд ГКО, д. 255, лл. 77-79,80 (11012).</w:t>
      </w:r>
    </w:p>
    <w:p w14:paraId="09AB594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F75C503"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года Постановление ГКО № 5946 обязало НКАП присту</w:t>
      </w:r>
      <w:r w:rsidRPr="00070ADE">
        <w:rPr>
          <w:rFonts w:ascii="Times New Roman" w:hAnsi="Times New Roman"/>
          <w:color w:val="000000" w:themeColor="text1"/>
          <w:sz w:val="16"/>
          <w:szCs w:val="16"/>
        </w:rPr>
        <w:softHyphen/>
        <w:t>пить к разработке и постройке реактив</w:t>
      </w:r>
      <w:r w:rsidRPr="00070ADE">
        <w:rPr>
          <w:rFonts w:ascii="Times New Roman" w:hAnsi="Times New Roman"/>
          <w:color w:val="000000" w:themeColor="text1"/>
          <w:sz w:val="16"/>
          <w:szCs w:val="16"/>
        </w:rPr>
        <w:softHyphen/>
        <w:t>ных истребителей. 30 мая 1944 года Приказом НКАП № 371 всем глав</w:t>
      </w:r>
      <w:r w:rsidRPr="00070ADE">
        <w:rPr>
          <w:rFonts w:ascii="Times New Roman" w:hAnsi="Times New Roman"/>
          <w:color w:val="000000" w:themeColor="text1"/>
          <w:sz w:val="16"/>
          <w:szCs w:val="16"/>
        </w:rPr>
        <w:softHyphen/>
        <w:t>ным конструкторам, занимающимся созданием истребителей, были официально выданы соответствующие задания. При этом из-за неясно</w:t>
      </w:r>
      <w:r w:rsidRPr="00070ADE">
        <w:rPr>
          <w:rFonts w:ascii="Times New Roman" w:hAnsi="Times New Roman"/>
          <w:color w:val="000000" w:themeColor="text1"/>
          <w:sz w:val="16"/>
          <w:szCs w:val="16"/>
        </w:rPr>
        <w:softHyphen/>
        <w:t>сти, какое из направлений в реактивном двигателестроении наиболее перспективно, конструкторам поручили разработку самолётов, охватив все типы ре</w:t>
      </w:r>
      <w:r w:rsidRPr="00070ADE">
        <w:rPr>
          <w:rFonts w:ascii="Times New Roman" w:hAnsi="Times New Roman"/>
          <w:color w:val="000000" w:themeColor="text1"/>
          <w:sz w:val="16"/>
          <w:szCs w:val="16"/>
        </w:rPr>
        <w:softHyphen/>
        <w:t>активных силовых установок — жидкостные, турборе</w:t>
      </w:r>
      <w:r w:rsidRPr="00070ADE">
        <w:rPr>
          <w:rFonts w:ascii="Times New Roman" w:hAnsi="Times New Roman"/>
          <w:color w:val="000000" w:themeColor="text1"/>
          <w:sz w:val="16"/>
          <w:szCs w:val="16"/>
        </w:rPr>
        <w:softHyphen/>
        <w:t>активные и воздушно-реактивные. Коллективу под руководством А.И. Микояна и М.И. Гуревича досталось создание эксперименталь</w:t>
      </w:r>
      <w:r w:rsidRPr="00070ADE">
        <w:rPr>
          <w:rFonts w:ascii="Times New Roman" w:hAnsi="Times New Roman"/>
          <w:color w:val="000000" w:themeColor="text1"/>
          <w:sz w:val="16"/>
          <w:szCs w:val="16"/>
        </w:rPr>
        <w:softHyphen/>
        <w:t>ного истребителя с мотором ВК-107А и дополнитель</w:t>
      </w:r>
      <w:r w:rsidRPr="00070ADE">
        <w:rPr>
          <w:rFonts w:ascii="Times New Roman" w:hAnsi="Times New Roman"/>
          <w:color w:val="000000" w:themeColor="text1"/>
          <w:sz w:val="16"/>
          <w:szCs w:val="16"/>
        </w:rPr>
        <w:softHyphen/>
        <w:t>ным воздушно-реактивным двигателем с компрес</w:t>
      </w:r>
      <w:r w:rsidRPr="00070ADE">
        <w:rPr>
          <w:rFonts w:ascii="Times New Roman" w:hAnsi="Times New Roman"/>
          <w:color w:val="000000" w:themeColor="text1"/>
          <w:sz w:val="16"/>
          <w:szCs w:val="16"/>
        </w:rPr>
        <w:softHyphen/>
        <w:t>сором конструкции ЦИАМ, получившим название Э-30-20. По заданию, требовалось обеспечить макси</w:t>
      </w:r>
      <w:r w:rsidRPr="00070ADE">
        <w:rPr>
          <w:rFonts w:ascii="Times New Roman" w:hAnsi="Times New Roman"/>
          <w:color w:val="000000" w:themeColor="text1"/>
          <w:sz w:val="16"/>
          <w:szCs w:val="16"/>
        </w:rPr>
        <w:softHyphen/>
        <w:t>мальную скорость 810 км/ч на высоте 7000 м с вклю</w:t>
      </w:r>
      <w:r w:rsidRPr="00070ADE">
        <w:rPr>
          <w:rFonts w:ascii="Times New Roman" w:hAnsi="Times New Roman"/>
          <w:color w:val="000000" w:themeColor="text1"/>
          <w:sz w:val="16"/>
          <w:szCs w:val="16"/>
        </w:rPr>
        <w:softHyphen/>
        <w:t>чённым ВРДК в течение 15 минут. Высоту 5000 м са</w:t>
      </w:r>
      <w:r w:rsidRPr="00070ADE">
        <w:rPr>
          <w:rFonts w:ascii="Times New Roman" w:hAnsi="Times New Roman"/>
          <w:color w:val="000000" w:themeColor="text1"/>
          <w:sz w:val="16"/>
          <w:szCs w:val="16"/>
        </w:rPr>
        <w:softHyphen/>
        <w:t>молёт должен был набирать за 5,5 минуты без ВРДК и за 4,5 минуты с включённым двигателем. Заданный практический потолок — 11 000 м, а с применением ВРДК — 12 000 м. На истребителе требовалось устано</w:t>
      </w:r>
      <w:r w:rsidRPr="00070ADE">
        <w:rPr>
          <w:rFonts w:ascii="Times New Roman" w:hAnsi="Times New Roman"/>
          <w:color w:val="000000" w:themeColor="text1"/>
          <w:sz w:val="16"/>
          <w:szCs w:val="16"/>
        </w:rPr>
        <w:softHyphen/>
        <w:t>вить одну 23-мм пушку и два 12,7-мм пулемёта. Пер</w:t>
      </w:r>
      <w:r w:rsidRPr="00070ADE">
        <w:rPr>
          <w:rFonts w:ascii="Times New Roman" w:hAnsi="Times New Roman"/>
          <w:color w:val="000000" w:themeColor="text1"/>
          <w:sz w:val="16"/>
          <w:szCs w:val="16"/>
        </w:rPr>
        <w:softHyphen/>
        <w:t>вую опытную машину предписывалось предъявить на лётные испытания в феврале 1945 года (23379).</w:t>
      </w:r>
    </w:p>
    <w:p w14:paraId="2413EA12" w14:textId="77777777" w:rsidR="00680826" w:rsidRPr="00070ADE" w:rsidRDefault="00680826" w:rsidP="00B56F90">
      <w:pPr>
        <w:spacing w:after="0" w:line="240" w:lineRule="auto"/>
        <w:jc w:val="both"/>
        <w:rPr>
          <w:rFonts w:ascii="Times New Roman" w:hAnsi="Times New Roman"/>
          <w:color w:val="000000" w:themeColor="text1"/>
          <w:sz w:val="16"/>
          <w:szCs w:val="16"/>
        </w:rPr>
      </w:pPr>
    </w:p>
    <w:p w14:paraId="2B07702F"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года ГКО своим Поста</w:t>
      </w:r>
      <w:r w:rsidRPr="00070ADE">
        <w:rPr>
          <w:rFonts w:ascii="Times New Roman" w:hAnsi="Times New Roman"/>
          <w:color w:val="000000" w:themeColor="text1"/>
          <w:sz w:val="16"/>
          <w:szCs w:val="16"/>
        </w:rPr>
        <w:softHyphen/>
        <w:t>новлением № 5946 утвердил представлен</w:t>
      </w:r>
      <w:r w:rsidRPr="00070ADE">
        <w:rPr>
          <w:rFonts w:ascii="Times New Roman" w:hAnsi="Times New Roman"/>
          <w:color w:val="000000" w:themeColor="text1"/>
          <w:sz w:val="16"/>
          <w:szCs w:val="16"/>
        </w:rPr>
        <w:softHyphen/>
        <w:t>ные НКАП предложения. В соответствии с этим, а также последовавшим 30 мая При</w:t>
      </w:r>
      <w:r w:rsidRPr="00070ADE">
        <w:rPr>
          <w:rFonts w:ascii="Times New Roman" w:hAnsi="Times New Roman"/>
          <w:color w:val="000000" w:themeColor="text1"/>
          <w:sz w:val="16"/>
          <w:szCs w:val="16"/>
        </w:rPr>
        <w:softHyphen/>
        <w:t>казом наркома № 371 А.С. Яковлеву пред</w:t>
      </w:r>
      <w:r w:rsidRPr="00070ADE">
        <w:rPr>
          <w:rFonts w:ascii="Times New Roman" w:hAnsi="Times New Roman"/>
          <w:color w:val="000000" w:themeColor="text1"/>
          <w:sz w:val="16"/>
          <w:szCs w:val="16"/>
        </w:rPr>
        <w:softHyphen/>
        <w:t>писывалось оснастить истребитель Як-9 дополнительным однокамерным ракетным двигателем РД-1 конструкции В.П.Глушко, а также разработать экспериментальный истребитель с таким же, но трехкамер</w:t>
      </w:r>
      <w:r w:rsidRPr="00070ADE">
        <w:rPr>
          <w:rFonts w:ascii="Times New Roman" w:hAnsi="Times New Roman"/>
          <w:color w:val="000000" w:themeColor="text1"/>
          <w:sz w:val="16"/>
          <w:szCs w:val="16"/>
        </w:rPr>
        <w:softHyphen/>
        <w:t>ным ракетным двигателем. С.А. Лавочки</w:t>
      </w:r>
      <w:r w:rsidRPr="00070ADE">
        <w:rPr>
          <w:rFonts w:ascii="Times New Roman" w:hAnsi="Times New Roman"/>
          <w:color w:val="000000" w:themeColor="text1"/>
          <w:sz w:val="16"/>
          <w:szCs w:val="16"/>
        </w:rPr>
        <w:softHyphen/>
        <w:t>на обязали доработать истребитель Ла-5 с мотором АШ-82ФН или АШ-83, а также спроектировать экспериментальный ис</w:t>
      </w:r>
      <w:r w:rsidRPr="00070ADE">
        <w:rPr>
          <w:rFonts w:ascii="Times New Roman" w:hAnsi="Times New Roman"/>
          <w:color w:val="000000" w:themeColor="text1"/>
          <w:sz w:val="16"/>
          <w:szCs w:val="16"/>
        </w:rPr>
        <w:softHyphen/>
        <w:t>требитель с реактивным двигателем ТР-1 А.М. Люльки, а Н.Н. Поликарпова — раз</w:t>
      </w:r>
      <w:r w:rsidRPr="00070ADE">
        <w:rPr>
          <w:rFonts w:ascii="Times New Roman" w:hAnsi="Times New Roman"/>
          <w:color w:val="000000" w:themeColor="text1"/>
          <w:sz w:val="16"/>
          <w:szCs w:val="16"/>
        </w:rPr>
        <w:softHyphen/>
        <w:t>работать экспериментальный истребитель с двухкамерным ЖРД Л.С. Душкина.</w:t>
      </w:r>
    </w:p>
    <w:p w14:paraId="57678507"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Помимо этого, задание на создание истребителя с ТРД А.М. Люльки выдали лишь ОКБ С.А. Лавочкина.</w:t>
      </w:r>
    </w:p>
    <w:p w14:paraId="39674219"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Сухому, кроме оснащения само</w:t>
      </w:r>
      <w:r w:rsidRPr="00070ADE">
        <w:rPr>
          <w:rFonts w:ascii="Times New Roman" w:hAnsi="Times New Roman"/>
          <w:color w:val="000000" w:themeColor="text1"/>
          <w:sz w:val="16"/>
          <w:szCs w:val="16"/>
        </w:rPr>
        <w:softHyphen/>
        <w:t>лета Су-6 дополнительным ЖРД, задали постройку экспериментального истреби</w:t>
      </w:r>
      <w:r w:rsidRPr="00070ADE">
        <w:rPr>
          <w:rFonts w:ascii="Times New Roman" w:hAnsi="Times New Roman"/>
          <w:color w:val="000000" w:themeColor="text1"/>
          <w:sz w:val="16"/>
          <w:szCs w:val="16"/>
        </w:rPr>
        <w:softHyphen/>
        <w:t>теля с мотором ВК-107А и ВРДК. Что ка</w:t>
      </w:r>
      <w:r w:rsidRPr="00070ADE">
        <w:rPr>
          <w:rFonts w:ascii="Times New Roman" w:hAnsi="Times New Roman"/>
          <w:color w:val="000000" w:themeColor="text1"/>
          <w:sz w:val="16"/>
          <w:szCs w:val="16"/>
        </w:rPr>
        <w:softHyphen/>
        <w:t>сается А.И. Микояна и М.И. Гуревича, то в их задачу входило создание эксперимен</w:t>
      </w:r>
      <w:r w:rsidRPr="00070ADE">
        <w:rPr>
          <w:rFonts w:ascii="Times New Roman" w:hAnsi="Times New Roman"/>
          <w:color w:val="000000" w:themeColor="text1"/>
          <w:sz w:val="16"/>
          <w:szCs w:val="16"/>
        </w:rPr>
        <w:softHyphen/>
        <w:t>тального истребителя с мотором ВК-107А и ВРДК.</w:t>
      </w:r>
    </w:p>
    <w:p w14:paraId="495F89C8" w14:textId="47FE31E9"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ЦИАМ же предписывалось изгото</w:t>
      </w:r>
      <w:r w:rsidRPr="00070ADE">
        <w:rPr>
          <w:rFonts w:ascii="Times New Roman" w:hAnsi="Times New Roman"/>
          <w:color w:val="000000" w:themeColor="text1"/>
          <w:sz w:val="16"/>
          <w:szCs w:val="16"/>
        </w:rPr>
        <w:softHyphen/>
        <w:t>вить и передать ОКБ-155 три экземпляра ВРДК (изделие Э-30-20). Для вращения его компрессора от двигателя ВК-107Р требовался отбор мощности в 300 л.с., а развиваемая ускорителем «тяговая» мощность на высоте 7000 метров и скоро</w:t>
      </w:r>
      <w:r w:rsidRPr="00070ADE">
        <w:rPr>
          <w:rFonts w:ascii="Times New Roman" w:hAnsi="Times New Roman"/>
          <w:color w:val="000000" w:themeColor="text1"/>
          <w:sz w:val="16"/>
          <w:szCs w:val="16"/>
        </w:rPr>
        <w:softHyphen/>
        <w:t>сти 800 км/ч была втрое больше. При этом расход топлива ВРДК не должен был пре</w:t>
      </w:r>
      <w:r w:rsidRPr="00070ADE">
        <w:rPr>
          <w:rFonts w:ascii="Times New Roman" w:hAnsi="Times New Roman"/>
          <w:color w:val="000000" w:themeColor="text1"/>
          <w:sz w:val="16"/>
          <w:szCs w:val="16"/>
        </w:rPr>
        <w:softHyphen/>
        <w:t>вышать 1200 кг/ч</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(23462).</w:t>
      </w:r>
    </w:p>
    <w:p w14:paraId="7135892E" w14:textId="77777777" w:rsidR="00680826" w:rsidRPr="00070ADE" w:rsidRDefault="00680826" w:rsidP="00B56F90">
      <w:pPr>
        <w:spacing w:after="0" w:line="240" w:lineRule="auto"/>
        <w:jc w:val="both"/>
        <w:rPr>
          <w:rFonts w:ascii="Times New Roman" w:hAnsi="Times New Roman"/>
          <w:color w:val="000000" w:themeColor="text1"/>
          <w:sz w:val="16"/>
          <w:szCs w:val="16"/>
        </w:rPr>
      </w:pPr>
    </w:p>
    <w:p w14:paraId="2DE9DEFF" w14:textId="77777777" w:rsidR="00DE35AF" w:rsidRPr="00C94B78" w:rsidRDefault="00DE35A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22 мая 1944 г. вышло постановление ГКО, согласно которому, наряду с самолетами других конструк</w:t>
      </w:r>
      <w:r w:rsidRPr="00C94B78">
        <w:rPr>
          <w:rFonts w:ascii="Times New Roman" w:hAnsi="Times New Roman"/>
          <w:color w:val="0070C0"/>
          <w:sz w:val="16"/>
          <w:szCs w:val="16"/>
        </w:rPr>
        <w:softHyphen/>
        <w:t>торов, предлагалось установить РД-1 и на Ла-5ФН. При сохранении штатного вооружения из двух 20-мм пушек мак</w:t>
      </w:r>
      <w:r w:rsidRPr="00C94B78">
        <w:rPr>
          <w:rFonts w:ascii="Times New Roman" w:hAnsi="Times New Roman"/>
          <w:color w:val="0070C0"/>
          <w:sz w:val="16"/>
          <w:szCs w:val="16"/>
        </w:rPr>
        <w:softHyphen/>
        <w:t>симальная скорость «полуреактивного» истребителя должна была составлять не менее 780 км/ч на высоте 7000 м. Подниматься на 5000 м он должен был за три минуты (на это время работы хватало запасов топлива и окислителя ЖРД) при дальности полета на основ</w:t>
      </w:r>
      <w:r w:rsidRPr="00C94B78">
        <w:rPr>
          <w:rFonts w:ascii="Times New Roman" w:hAnsi="Times New Roman"/>
          <w:color w:val="0070C0"/>
          <w:sz w:val="16"/>
          <w:szCs w:val="16"/>
        </w:rPr>
        <w:softHyphen/>
        <w:t>ном двигателе - 300 км. Самолет тре</w:t>
      </w:r>
      <w:r w:rsidRPr="00C94B78">
        <w:rPr>
          <w:rFonts w:ascii="Times New Roman" w:hAnsi="Times New Roman"/>
          <w:color w:val="0070C0"/>
          <w:sz w:val="16"/>
          <w:szCs w:val="16"/>
        </w:rPr>
        <w:softHyphen/>
        <w:t>бовалось построить в трех экземплярах, причем первый - к сентябрю 1944 г., а последний, с крылом ламинарного про</w:t>
      </w:r>
      <w:r w:rsidRPr="00C94B78">
        <w:rPr>
          <w:rFonts w:ascii="Times New Roman" w:hAnsi="Times New Roman"/>
          <w:color w:val="0070C0"/>
          <w:sz w:val="16"/>
          <w:szCs w:val="16"/>
        </w:rPr>
        <w:softHyphen/>
        <w:t>филя, - к январю 1945 г. (24930).</w:t>
      </w:r>
    </w:p>
    <w:p w14:paraId="001CB4FB" w14:textId="77777777" w:rsidR="00DE35AF" w:rsidRPr="00C94B78" w:rsidRDefault="00DE35AF" w:rsidP="00B56F90">
      <w:pPr>
        <w:spacing w:after="0" w:line="240" w:lineRule="auto"/>
        <w:jc w:val="both"/>
        <w:rPr>
          <w:rFonts w:ascii="Times New Roman" w:hAnsi="Times New Roman"/>
          <w:color w:val="0070C0"/>
          <w:sz w:val="16"/>
          <w:szCs w:val="16"/>
        </w:rPr>
      </w:pPr>
    </w:p>
    <w:p w14:paraId="0D8D122D" w14:textId="77777777" w:rsidR="00AD30B7" w:rsidRPr="00070ADE" w:rsidRDefault="00AD30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вышло Постановление ГКО № 5943 О принятии на вооружение и организации производства бомбардировочных прицелов системы Деренковского</w:t>
      </w:r>
    </w:p>
    <w:p w14:paraId="77FEF4DA" w14:textId="77777777" w:rsidR="00AD30B7" w:rsidRPr="00070ADE" w:rsidRDefault="00AD30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Государственный Комитет Обороны постановляет:</w:t>
      </w:r>
    </w:p>
    <w:p w14:paraId="0B044B5B" w14:textId="77777777" w:rsidR="00AD30B7" w:rsidRPr="00070ADE" w:rsidRDefault="00AD30B7" w:rsidP="00B56F90">
      <w:pPr>
        <w:tabs>
          <w:tab w:val="left" w:pos="137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Принять к сведению сообщение ВВС КА тов.Новико</w:t>
      </w:r>
      <w:r w:rsidRPr="00070ADE">
        <w:rPr>
          <w:rFonts w:ascii="Times New Roman" w:hAnsi="Times New Roman"/>
          <w:color w:val="000000" w:themeColor="text1"/>
          <w:sz w:val="16"/>
          <w:szCs w:val="16"/>
        </w:rPr>
        <w:softHyphen/>
        <w:t>ва и АДД тов.Голованова, что прицелы ОПБ-1Д и НКПБ-1Д системы инженера ЛИИ НКЛП тов.Деренковского конструк</w:t>
      </w:r>
      <w:r w:rsidRPr="00070ADE">
        <w:rPr>
          <w:rFonts w:ascii="Times New Roman" w:hAnsi="Times New Roman"/>
          <w:color w:val="000000" w:themeColor="text1"/>
          <w:sz w:val="16"/>
          <w:szCs w:val="16"/>
        </w:rPr>
        <w:softHyphen/>
        <w:t>ции завода № 217 НКВ успешно прошли государственные испытания и показали точность прицельного бомбомета</w:t>
      </w:r>
      <w:r w:rsidRPr="00070ADE">
        <w:rPr>
          <w:rFonts w:ascii="Times New Roman" w:hAnsi="Times New Roman"/>
          <w:color w:val="000000" w:themeColor="text1"/>
          <w:sz w:val="16"/>
          <w:szCs w:val="16"/>
        </w:rPr>
        <w:softHyphen/>
        <w:t>ния в 1,5 - 2 раза большую по сравнению с существующи</w:t>
      </w:r>
      <w:r w:rsidRPr="00070ADE">
        <w:rPr>
          <w:rFonts w:ascii="Times New Roman" w:hAnsi="Times New Roman"/>
          <w:color w:val="000000" w:themeColor="text1"/>
          <w:sz w:val="16"/>
          <w:szCs w:val="16"/>
        </w:rPr>
        <w:softHyphen/>
        <w:t>ми прицелами.</w:t>
      </w:r>
    </w:p>
    <w:p w14:paraId="3ECB94C9" w14:textId="77777777" w:rsidR="00AD30B7" w:rsidRPr="00070ADE" w:rsidRDefault="00AD30B7" w:rsidP="00B56F90">
      <w:pPr>
        <w:tabs>
          <w:tab w:val="left" w:pos="136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Принять на вооружение ВВС КА, АДД и ВВС ВМФ прицелы бомбометания - телескопический 0ПБ-1Д и коллиматорный НКПБ-1Д.</w:t>
      </w:r>
    </w:p>
    <w:p w14:paraId="2317BBBD" w14:textId="77777777" w:rsidR="00AD30B7" w:rsidRPr="00070ADE" w:rsidRDefault="00AD30B7" w:rsidP="00B56F90">
      <w:pPr>
        <w:tabs>
          <w:tab w:val="left" w:pos="137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Обязать Наркомвооружения - т.Устинова:</w:t>
      </w:r>
    </w:p>
    <w:p w14:paraId="6089F788" w14:textId="77777777" w:rsidR="00AD30B7" w:rsidRPr="00070ADE" w:rsidRDefault="00AD30B7" w:rsidP="00B56F90">
      <w:pPr>
        <w:tabs>
          <w:tab w:val="left" w:pos="138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организовать серийное производство телескопи</w:t>
      </w:r>
      <w:r w:rsidRPr="00070ADE">
        <w:rPr>
          <w:rFonts w:ascii="Times New Roman" w:hAnsi="Times New Roman"/>
          <w:color w:val="000000" w:themeColor="text1"/>
          <w:sz w:val="16"/>
          <w:szCs w:val="16"/>
        </w:rPr>
        <w:softHyphen/>
        <w:t>ческих прицелов ОПБ-1Д и изготовить в 1944 году 780 штук этих прицелов для установки на .самолетах Пе-2 и Ту-2, в том числе:</w:t>
      </w:r>
    </w:p>
    <w:p w14:paraId="27EA0D40" w14:textId="77777777" w:rsidR="00AD30B7" w:rsidRPr="00070ADE" w:rsidRDefault="00AD30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П квартале 30 штук, в Ш квартале 100 штук и 1У квартале 650 штук;</w:t>
      </w:r>
    </w:p>
    <w:p w14:paraId="590B18DB" w14:textId="77777777" w:rsidR="00AD30B7" w:rsidRPr="00070ADE" w:rsidRDefault="00AD30B7" w:rsidP="00B56F90">
      <w:pPr>
        <w:tabs>
          <w:tab w:val="left" w:pos="140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организовать серийное производство прицелов НКПБ-1Д и изготовить в 1944 году 400 штук этих прицелов для установки на самолетах Ил-4 и Ер-2, в том числе:</w:t>
      </w:r>
    </w:p>
    <w:p w14:paraId="19C563C6" w14:textId="77777777" w:rsidR="00AD30B7" w:rsidRPr="00070ADE" w:rsidRDefault="00AD30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П квартале 30 штук, в Ш квартале 70 штук и 1У квар</w:t>
      </w:r>
      <w:r w:rsidRPr="00070ADE">
        <w:rPr>
          <w:rFonts w:ascii="Times New Roman" w:hAnsi="Times New Roman"/>
          <w:color w:val="000000" w:themeColor="text1"/>
          <w:sz w:val="16"/>
          <w:szCs w:val="16"/>
        </w:rPr>
        <w:softHyphen/>
        <w:t>тале 300 штук;</w:t>
      </w:r>
    </w:p>
    <w:p w14:paraId="44917114" w14:textId="77777777" w:rsidR="00AD30B7" w:rsidRPr="00070ADE" w:rsidRDefault="00AD30B7" w:rsidP="00B56F90">
      <w:pPr>
        <w:tabs>
          <w:tab w:val="left" w:pos="92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поставить во П квартале 1944 г. для проведения войсковых испытании и отработки монтажа прицелов на самолетах: прицелы ОПБ-1Д ВВС КА 20 штук, ВВС ВМФ 5 штук и НКАП 5 штук; прицель- НКПБ-1Д ВВС КА 4 штуки, ВВС </w:t>
      </w:r>
      <w:r w:rsidRPr="00070ADE">
        <w:rPr>
          <w:rFonts w:ascii="Times New Roman" w:hAnsi="Times New Roman"/>
          <w:color w:val="000000" w:themeColor="text1"/>
          <w:sz w:val="16"/>
          <w:szCs w:val="16"/>
          <w:lang w:val="en-US"/>
        </w:rPr>
        <w:t>BM</w:t>
      </w:r>
      <w:r w:rsidRPr="00070ADE">
        <w:rPr>
          <w:rFonts w:ascii="Times New Roman" w:hAnsi="Times New Roman"/>
          <w:color w:val="000000" w:themeColor="text1"/>
          <w:sz w:val="16"/>
          <w:szCs w:val="16"/>
        </w:rPr>
        <w:t>Ф 2 штуки, АДД 20 штук и НКАП 4 штуки; начиная с Щ квартала прицелы поставлять только НКАП для обес</w:t>
      </w:r>
      <w:r w:rsidRPr="00070ADE">
        <w:rPr>
          <w:rFonts w:ascii="Times New Roman" w:hAnsi="Times New Roman"/>
          <w:color w:val="000000" w:themeColor="text1"/>
          <w:sz w:val="16"/>
          <w:szCs w:val="16"/>
        </w:rPr>
        <w:softHyphen/>
        <w:t>печения выпуска самолетов с новыми прицелами;</w:t>
      </w:r>
    </w:p>
    <w:p w14:paraId="1AABF76A" w14:textId="77777777" w:rsidR="00AD30B7" w:rsidRPr="00070ADE" w:rsidRDefault="00AD30B7" w:rsidP="00B56F90">
      <w:pPr>
        <w:tabs>
          <w:tab w:val="left" w:pos="93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обеспечить с 1 января 1945 года полную потреб</w:t>
      </w:r>
      <w:r w:rsidRPr="00070ADE">
        <w:rPr>
          <w:rFonts w:ascii="Times New Roman" w:hAnsi="Times New Roman"/>
          <w:color w:val="000000" w:themeColor="text1"/>
          <w:sz w:val="16"/>
          <w:szCs w:val="16"/>
        </w:rPr>
        <w:softHyphen/>
        <w:t>ность НКАП в прицелах ОПБ-1Д и НКПБ-1Д.</w:t>
      </w:r>
    </w:p>
    <w:p w14:paraId="523F6D9B" w14:textId="77777777" w:rsidR="00AD30B7" w:rsidRPr="00070ADE" w:rsidRDefault="00AD30B7" w:rsidP="00B56F90">
      <w:pPr>
        <w:tabs>
          <w:tab w:val="left" w:pos="94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Обязать Наркомавиапром (тов.Шахурина) обеспе</w:t>
      </w:r>
      <w:r w:rsidRPr="00070ADE">
        <w:rPr>
          <w:rFonts w:ascii="Times New Roman" w:hAnsi="Times New Roman"/>
          <w:color w:val="000000" w:themeColor="text1"/>
          <w:sz w:val="16"/>
          <w:szCs w:val="16"/>
        </w:rPr>
        <w:softHyphen/>
        <w:t>чить с 1 октября 1944 года выпуск 50 самолетов Ту-2 с прицелами ОПБ-1Д и</w:t>
      </w:r>
      <w:r w:rsidRPr="00070ADE">
        <w:rPr>
          <w:rStyle w:val="TrebuchetMS95pt"/>
          <w:rFonts w:ascii="Times New Roman" w:hAnsi="Times New Roman" w:cs="Times New Roman"/>
          <w:color w:val="000000" w:themeColor="text1"/>
          <w:sz w:val="16"/>
          <w:szCs w:val="16"/>
        </w:rPr>
        <w:t xml:space="preserve"> 25</w:t>
      </w:r>
      <w:r w:rsidRPr="00070ADE">
        <w:rPr>
          <w:rFonts w:ascii="Times New Roman" w:hAnsi="Times New Roman"/>
          <w:color w:val="000000" w:themeColor="text1"/>
          <w:sz w:val="16"/>
          <w:szCs w:val="16"/>
        </w:rPr>
        <w:t xml:space="preserve"> самолетов Ер-2 и Ил-4 с прице</w:t>
      </w:r>
      <w:r w:rsidRPr="00070ADE">
        <w:rPr>
          <w:rFonts w:ascii="Times New Roman" w:hAnsi="Times New Roman"/>
          <w:color w:val="000000" w:themeColor="text1"/>
          <w:sz w:val="16"/>
          <w:szCs w:val="16"/>
        </w:rPr>
        <w:softHyphen/>
        <w:t>лами НКПБ-1Д.</w:t>
      </w:r>
    </w:p>
    <w:p w14:paraId="665CB3D0" w14:textId="77777777" w:rsidR="00AD30B7" w:rsidRPr="00070ADE" w:rsidRDefault="00AD30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января 1945 г. выпускать все самолеты Пе-2,Ту-2, Ил-4 и Ер-2 с прицелами системы Деренковского.</w:t>
      </w:r>
    </w:p>
    <w:p w14:paraId="0D6B30F8" w14:textId="77777777" w:rsidR="00AD30B7" w:rsidRPr="00070ADE" w:rsidRDefault="00AD30B7" w:rsidP="00B56F90">
      <w:pPr>
        <w:tabs>
          <w:tab w:val="left" w:pos="92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Обязать Наркомвнешторг (тов.Микояна) поставить во П полугодии 1944 года за счет заказов по ранее вы</w:t>
      </w:r>
      <w:r w:rsidRPr="00070ADE">
        <w:rPr>
          <w:rFonts w:ascii="Times New Roman" w:hAnsi="Times New Roman"/>
          <w:color w:val="000000" w:themeColor="text1"/>
          <w:sz w:val="16"/>
          <w:szCs w:val="16"/>
        </w:rPr>
        <w:softHyphen/>
        <w:t>несенным постановлениям Правительства для Наркомата вооружения по его спецификации:</w:t>
      </w:r>
    </w:p>
    <w:p w14:paraId="64425DFA" w14:textId="77777777" w:rsidR="00AD30B7" w:rsidRPr="00070ADE" w:rsidRDefault="00AD30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металлорежущих станков - 107 един,</w:t>
      </w:r>
    </w:p>
    <w:p w14:paraId="611C2F63" w14:textId="77777777" w:rsidR="00AD30B7" w:rsidRPr="00070ADE" w:rsidRDefault="00AD30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куэнечно-прессового и литейного оборудования - 24 "</w:t>
      </w:r>
    </w:p>
    <w:p w14:paraId="1152D491" w14:textId="77777777" w:rsidR="00AD30B7" w:rsidRPr="00070ADE" w:rsidRDefault="00AD30B7" w:rsidP="00B56F90">
      <w:pPr>
        <w:tabs>
          <w:tab w:val="left" w:pos="334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электропечей - 5 "</w:t>
      </w:r>
    </w:p>
    <w:p w14:paraId="31B16BDC" w14:textId="77777777" w:rsidR="00AD30B7" w:rsidRPr="00070ADE" w:rsidRDefault="00AD30B7" w:rsidP="00B56F90">
      <w:pPr>
        <w:tabs>
          <w:tab w:val="left" w:pos="403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волочильных станов - 1 "</w:t>
      </w:r>
    </w:p>
    <w:p w14:paraId="7E839EB3" w14:textId="77777777" w:rsidR="00AD30B7" w:rsidRPr="00070ADE" w:rsidRDefault="00AD30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поставить во П полугодии 1944 года:</w:t>
      </w:r>
    </w:p>
    <w:p w14:paraId="1A6C39AF" w14:textId="77777777" w:rsidR="00AD30B7" w:rsidRPr="00070ADE" w:rsidRDefault="00AD30B7" w:rsidP="00B56F90">
      <w:pPr>
        <w:tabs>
          <w:tab w:val="left" w:pos="335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воздушных компрессоров давлением 6-8 атм.</w:t>
      </w:r>
      <w:r w:rsidRPr="00070ADE">
        <w:rPr>
          <w:rFonts w:ascii="Times New Roman" w:hAnsi="Times New Roman"/>
          <w:color w:val="000000" w:themeColor="text1"/>
          <w:sz w:val="16"/>
          <w:szCs w:val="16"/>
        </w:rPr>
        <w:tab/>
        <w:t>- 5 шт.</w:t>
      </w:r>
    </w:p>
    <w:p w14:paraId="44ED9D68" w14:textId="77777777" w:rsidR="00AD30B7" w:rsidRPr="00070ADE" w:rsidRDefault="00AD30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режущего инструмента на 100 тыс.американских долларов</w:t>
      </w:r>
    </w:p>
    <w:p w14:paraId="6ABC6669" w14:textId="77777777" w:rsidR="00AD30B7" w:rsidRPr="00070ADE" w:rsidRDefault="00AD30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мерительного инструмента на 25 тыс.американских долларов.</w:t>
      </w:r>
    </w:p>
    <w:p w14:paraId="58B1BCDC" w14:textId="77777777" w:rsidR="00AD30B7" w:rsidRPr="00070ADE" w:rsidRDefault="00AD30B7" w:rsidP="00B56F90">
      <w:pPr>
        <w:tabs>
          <w:tab w:val="left" w:pos="96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6. Обязать Наркомередмаш тов.Акопова выделить во П квартале 1944 года заводам № 217 и 237 НКВ 15 грузовых автомашин за счет поставок </w:t>
      </w:r>
      <w:r w:rsidRPr="00070ADE">
        <w:rPr>
          <w:rFonts w:ascii="Times New Roman" w:hAnsi="Times New Roman"/>
          <w:color w:val="000000" w:themeColor="text1"/>
          <w:sz w:val="16"/>
          <w:szCs w:val="16"/>
          <w:lang w:val="en-US"/>
        </w:rPr>
        <w:t>HK</w:t>
      </w:r>
      <w:r w:rsidRPr="00070ADE">
        <w:rPr>
          <w:rFonts w:ascii="Times New Roman" w:hAnsi="Times New Roman"/>
          <w:color w:val="000000" w:themeColor="text1"/>
          <w:sz w:val="16"/>
          <w:szCs w:val="16"/>
        </w:rPr>
        <w:t>О.</w:t>
      </w:r>
    </w:p>
    <w:p w14:paraId="35A72149" w14:textId="77777777" w:rsidR="00AD30B7" w:rsidRPr="00070ADE" w:rsidRDefault="00AD30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Обязать Наркоыэлектропром (тов.Кабанова), Наркомавиапром (тов.Шахурина), Наркомцветмет (тов.Ломано), Наркомхимпром (тов.Первухина) обеспечить поставку во П и Ш кварталах 1944 г. заводам № 217 и 237 НКВ для комплектации приборов ОПБ-1Д и НКПБ-1Д изделий, полу</w:t>
      </w:r>
      <w:r w:rsidRPr="00070ADE">
        <w:rPr>
          <w:rFonts w:ascii="Times New Roman" w:hAnsi="Times New Roman"/>
          <w:color w:val="000000" w:themeColor="text1"/>
          <w:sz w:val="16"/>
          <w:szCs w:val="16"/>
        </w:rPr>
        <w:softHyphen/>
        <w:t>фабрикатов и материалов, согласно приложению.</w:t>
      </w:r>
    </w:p>
    <w:p w14:paraId="67B4AD6E" w14:textId="77777777" w:rsidR="00AD30B7" w:rsidRPr="00070ADE" w:rsidRDefault="00AD30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Разрешить Наркомвоорунения (тов.Устинову) из</w:t>
      </w:r>
      <w:r w:rsidRPr="00070ADE">
        <w:rPr>
          <w:rFonts w:ascii="Times New Roman" w:hAnsi="Times New Roman"/>
          <w:color w:val="000000" w:themeColor="text1"/>
          <w:sz w:val="16"/>
          <w:szCs w:val="16"/>
        </w:rPr>
        <w:softHyphen/>
        <w:t>расходовать в 1944 году - 300.000 рублей на премирова</w:t>
      </w:r>
      <w:r w:rsidRPr="00070ADE">
        <w:rPr>
          <w:rFonts w:ascii="Times New Roman" w:hAnsi="Times New Roman"/>
          <w:color w:val="000000" w:themeColor="text1"/>
          <w:sz w:val="16"/>
          <w:szCs w:val="16"/>
        </w:rPr>
        <w:softHyphen/>
        <w:t>ние работников заводов за выполнение и сдачу в срок прицелов ОПБ-1Д и НКПБ-1Д (19490).</w:t>
      </w:r>
    </w:p>
    <w:p w14:paraId="196E52D8" w14:textId="77777777" w:rsidR="00AD30B7" w:rsidRPr="00070ADE" w:rsidRDefault="00AD30B7" w:rsidP="00B56F90">
      <w:pPr>
        <w:autoSpaceDE w:val="0"/>
        <w:autoSpaceDN w:val="0"/>
        <w:adjustRightInd w:val="0"/>
        <w:spacing w:after="0" w:line="240" w:lineRule="auto"/>
        <w:jc w:val="both"/>
        <w:rPr>
          <w:rFonts w:ascii="Times New Roman" w:hAnsi="Times New Roman"/>
          <w:color w:val="000000" w:themeColor="text1"/>
          <w:sz w:val="16"/>
          <w:szCs w:val="16"/>
        </w:rPr>
      </w:pPr>
    </w:p>
    <w:p w14:paraId="5D50F4A2" w14:textId="77777777" w:rsidR="00DE35AF" w:rsidRPr="00C94B78" w:rsidRDefault="00DE35A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22 мая 1944 г. вышло официальное правительственное по</w:t>
      </w:r>
      <w:r w:rsidRPr="00C94B78">
        <w:rPr>
          <w:rFonts w:ascii="Times New Roman" w:hAnsi="Times New Roman"/>
          <w:color w:val="0070C0"/>
          <w:sz w:val="16"/>
          <w:szCs w:val="16"/>
        </w:rPr>
        <w:softHyphen/>
        <w:t>становление о разработке истребителя И-250 с комбинирован</w:t>
      </w:r>
      <w:r w:rsidRPr="00C94B78">
        <w:rPr>
          <w:rFonts w:ascii="Times New Roman" w:hAnsi="Times New Roman"/>
          <w:color w:val="0070C0"/>
          <w:sz w:val="16"/>
          <w:szCs w:val="16"/>
        </w:rPr>
        <w:softHyphen/>
        <w:t>ной двигательной установкой в составе ПД ВК-107А и ВРДК. К октябрю 1944 г. в ОКБ-155 был изготов</w:t>
      </w:r>
      <w:r w:rsidRPr="00C94B78">
        <w:rPr>
          <w:rFonts w:ascii="Times New Roman" w:hAnsi="Times New Roman"/>
          <w:color w:val="0070C0"/>
          <w:sz w:val="16"/>
          <w:szCs w:val="16"/>
        </w:rPr>
        <w:softHyphen/>
        <w:t>лен макет самолета, получившего заводской шифр «Н» [46].</w:t>
      </w:r>
    </w:p>
    <w:p w14:paraId="05C5C67E" w14:textId="77777777" w:rsidR="00DE35AF" w:rsidRPr="00C94B78" w:rsidRDefault="00DE35A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Истребитель выполнялся по схеме цельнометаллического моноплана с низкорасположенным трапециевидным крылом, оснащенным элеронами и закрылками, и традиционным хвостовым оперением. Шасси было убирающимся, с хвостовым колесом [8].</w:t>
      </w:r>
    </w:p>
    <w:p w14:paraId="0F5C88DF" w14:textId="77777777" w:rsidR="00DE35AF" w:rsidRPr="00C94B78" w:rsidRDefault="00DE35A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передней части фюзеляжа самолета располагался ряд</w:t>
      </w:r>
      <w:r w:rsidRPr="00C94B78">
        <w:rPr>
          <w:rFonts w:ascii="Times New Roman" w:hAnsi="Times New Roman"/>
          <w:color w:val="0070C0"/>
          <w:sz w:val="16"/>
          <w:szCs w:val="16"/>
        </w:rPr>
        <w:softHyphen/>
        <w:t>ный поршневой двигатель жидкостного охлаждения ВК-107Р конструкции В.Я. Климова с трехлопастным воздушным вин</w:t>
      </w:r>
      <w:r w:rsidRPr="00C94B78">
        <w:rPr>
          <w:rFonts w:ascii="Times New Roman" w:hAnsi="Times New Roman"/>
          <w:color w:val="0070C0"/>
          <w:sz w:val="16"/>
          <w:szCs w:val="16"/>
        </w:rPr>
        <w:softHyphen/>
        <w:t xml:space="preserve">том. Он представлял собой модификацию серийного мотора ВК-107А с коробкой приводов для отбора мощности на вращение компрессора турбокомпрессорного воздушно-реактивного двигателя ВРДК конструкции К.В. Холщевникова, a </w:t>
      </w:r>
      <w:r w:rsidRPr="00C94B78">
        <w:rPr>
          <w:rFonts w:ascii="Times New Roman" w:hAnsi="Times New Roman"/>
          <w:i/>
          <w:iCs/>
          <w:color w:val="0070C0"/>
          <w:sz w:val="16"/>
          <w:szCs w:val="16"/>
        </w:rPr>
        <w:t xml:space="preserve">пор </w:t>
      </w:r>
      <w:r w:rsidRPr="00C94B78">
        <w:rPr>
          <w:rFonts w:ascii="Times New Roman" w:hAnsi="Times New Roman"/>
          <w:color w:val="0070C0"/>
          <w:sz w:val="16"/>
          <w:szCs w:val="16"/>
        </w:rPr>
        <w:t>ним — воздухозаборник и канал подвода воздуха к ВРДК</w:t>
      </w:r>
      <w:r w:rsidRPr="00C94B78">
        <w:rPr>
          <w:rFonts w:ascii="Times New Roman" w:hAnsi="Times New Roman"/>
          <w:color w:val="0070C0"/>
          <w:sz w:val="16"/>
          <w:szCs w:val="16"/>
          <w:vertAlign w:val="superscript"/>
        </w:rPr>
        <w:t>Л</w:t>
      </w:r>
      <w:r w:rsidRPr="00C94B78">
        <w:rPr>
          <w:rFonts w:ascii="Times New Roman" w:hAnsi="Times New Roman"/>
          <w:color w:val="0070C0"/>
          <w:sz w:val="16"/>
          <w:szCs w:val="16"/>
        </w:rPr>
        <w:t>| Внутри этого канала перед кабиной летчика размещался осе</w:t>
      </w:r>
      <w:r w:rsidRPr="00C94B78">
        <w:rPr>
          <w:rFonts w:ascii="Times New Roman" w:hAnsi="Times New Roman"/>
          <w:color w:val="0070C0"/>
          <w:sz w:val="16"/>
          <w:szCs w:val="16"/>
        </w:rPr>
        <w:softHyphen/>
        <w:t>вой компрессор ВРДК, а под кабиной — радиатор системы ох</w:t>
      </w:r>
      <w:r w:rsidRPr="00C94B78">
        <w:rPr>
          <w:rFonts w:ascii="Times New Roman" w:hAnsi="Times New Roman"/>
          <w:color w:val="0070C0"/>
          <w:sz w:val="16"/>
          <w:szCs w:val="16"/>
        </w:rPr>
        <w:softHyphen/>
        <w:t>лаждения. Далее канал переходил в реактивную камеру сгорания — за спрямляющим аппаратом был установлен блок форкамер впрыска и смешения топлива. Собственно камера сгорания располагалась уже за кабиной и заканчивалась в хво</w:t>
      </w:r>
      <w:r w:rsidRPr="00C94B78">
        <w:rPr>
          <w:rFonts w:ascii="Times New Roman" w:hAnsi="Times New Roman"/>
          <w:color w:val="0070C0"/>
          <w:sz w:val="16"/>
          <w:szCs w:val="16"/>
        </w:rPr>
        <w:softHyphen/>
        <w:t>стовой части фюзеляжа реактивным соплом с регулируемыми створками [46].</w:t>
      </w:r>
    </w:p>
    <w:p w14:paraId="6BFB9638" w14:textId="77777777" w:rsidR="00DE35AF" w:rsidRPr="00C94B78" w:rsidRDefault="00DE35A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Топливом для обоих двигателей служил бензин, запас которого в количестве 780 л размещался в одном фюзеляжном и шести крыльевых баках. Мощность двигателя ВК-107Р состав</w:t>
      </w:r>
      <w:r w:rsidRPr="00C94B78">
        <w:rPr>
          <w:rFonts w:ascii="Times New Roman" w:hAnsi="Times New Roman"/>
          <w:color w:val="0070C0"/>
          <w:sz w:val="16"/>
          <w:szCs w:val="16"/>
        </w:rPr>
        <w:softHyphen/>
        <w:t>ляла 1650 л.с. Через редуктор с муфтой вал приводил во вра</w:t>
      </w:r>
      <w:r w:rsidRPr="00C94B78">
        <w:rPr>
          <w:rFonts w:ascii="Times New Roman" w:hAnsi="Times New Roman"/>
          <w:color w:val="0070C0"/>
          <w:sz w:val="16"/>
          <w:szCs w:val="16"/>
        </w:rPr>
        <w:softHyphen/>
        <w:t>щение двухступенчатый осевой компрессор. Тяговая мощность ВРДК составляла 900 л.с. [8], [46].</w:t>
      </w:r>
    </w:p>
    <w:p w14:paraId="2DBEDFED" w14:textId="77777777" w:rsidR="00DE35AF" w:rsidRPr="00C94B78" w:rsidRDefault="00DE35A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Вооружение истребителя включало три пушки Б-20 калибра j 20 мм (одну в развале блока цилиндров мотора, стреляющую через вал винта, и две синхронные по бокам носовой частя фюзеляжа). Закрытая, смещенная далеко назад кабина летчика имела переднее и заднее бронестекла, а сиденье — броне</w:t>
      </w:r>
      <w:r w:rsidRPr="00C94B78">
        <w:rPr>
          <w:rFonts w:ascii="Times New Roman" w:hAnsi="Times New Roman"/>
          <w:color w:val="0070C0"/>
          <w:sz w:val="16"/>
          <w:szCs w:val="16"/>
        </w:rPr>
        <w:softHyphen/>
        <w:t>спинку [8], [46]. (24920).</w:t>
      </w:r>
    </w:p>
    <w:p w14:paraId="0EA14B10" w14:textId="77777777" w:rsidR="00DE35AF" w:rsidRPr="00C94B78" w:rsidRDefault="00DE35AF" w:rsidP="00B56F90">
      <w:pPr>
        <w:spacing w:after="0" w:line="240" w:lineRule="auto"/>
        <w:jc w:val="both"/>
        <w:rPr>
          <w:rFonts w:ascii="Times New Roman" w:hAnsi="Times New Roman"/>
          <w:color w:val="0070C0"/>
          <w:sz w:val="16"/>
          <w:szCs w:val="16"/>
        </w:rPr>
      </w:pPr>
    </w:p>
    <w:p w14:paraId="5CC94E9F" w14:textId="77777777" w:rsidR="00DE35AF" w:rsidRPr="00C94B78" w:rsidRDefault="00DE35A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22 мая 1944 года постановлением ГКО за номером 5946 была инициирована разработка истребителя под индексом И-250 (заводской шифр «Н») и 30 мая. соответствующим приказом НКАП за номером 371. Согласно этим документам практическими всем авиационным конструкторским коллективам (которые специализировались на создании истребителей), было поручено спроектировать новые или модифицировать имеющиеся самолеты под использование различных типов силовых установок. ОКБ А. И. Микояна и М. И. Гуревича было поручено разработать экспериментальный истребитель с комбинированной мотокомпрессорной силовой установкой. Работы по ней изначально велись в ЦАГИ, а с 1943 года в ЦИАМ. Существовало несколько вариантов подобной установки. Над бензиновым ВРДК (известно что прорабатывалась и дизельная модификация) в комбинации с поршневым мотором работала конструкторская группа под руководством К. В. Холщевникова. Именно его и решено было использовать на новом истребителе. Предполагалось что ВРДК будет работать только на взлете и при достижении максимальной скорости (кратковременно как ускоритель). Его применение позволило бы получить прирост максимальной скорости примерно в 150 км/ч по сравнению со скоростными показателями имеющихся поршневых самолетов. Конструктивно И-250 должен был представлять цельнометаллический низкоплан с классическим типом оперения и убирающимся шасси.</w:t>
      </w:r>
    </w:p>
    <w:p w14:paraId="31DA113D" w14:textId="77777777" w:rsidR="00DE35AF" w:rsidRPr="00C94B78" w:rsidRDefault="00DE35A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Согласно предъявляемым тактико-техническим требованиям, разрабатываемый истребитель должен был обладать максимальной скоростью не менее 800 км/ч и практическим потолком в 12000 метров. Время набора высоты 5000 метров должно было составлять около 4,5 минут с включенным ВРДК. Изначально планировалось вооружить самолет одной 23-мм пушкой НС-23 и двумя 12,7-мм пулеметами Березина. Но в итоге выбор был сделан в пользу установки трех 20-мм пушек. При этом рассматривалось несколько вариантов- это орудия Ш-20 и Б-20. В конечном итоге выбор был сделан в пользу Б-20. Одна из них устанавливалась в развале цилиндров двигателя, а две другие симметрично размещались по бокам носовой части фюзеляжа (при этом две эти пушки должны были синхронно стрелять через плоскость винта).</w:t>
      </w:r>
    </w:p>
    <w:p w14:paraId="15D42515" w14:textId="77777777" w:rsidR="00DE35AF" w:rsidRPr="00C94B78" w:rsidRDefault="00DE35A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Ведущими руководителями по проекту И-250 были назначены М. И. Гуревич, В. Н. Сорокин и А. А. Андреев. Одна из основных сложностей разработки заключалась в том, что И-250 создавался сразу как боевой самолет, а не как экспериментальное изделие для исследования новой силовой установки. Дополнительные затраты как материальные, так и по времени тогда позволить себе не могли. Эскизный проект изделия был подготовлен уже к июлю 1944 года (25216).</w:t>
      </w:r>
    </w:p>
    <w:p w14:paraId="069F5AE4" w14:textId="77777777" w:rsidR="00DE35AF" w:rsidRPr="00C94B78" w:rsidRDefault="00DE35AF" w:rsidP="00B56F90">
      <w:pPr>
        <w:spacing w:after="0" w:line="240" w:lineRule="auto"/>
        <w:jc w:val="both"/>
        <w:rPr>
          <w:rFonts w:ascii="Times New Roman" w:hAnsi="Times New Roman"/>
          <w:color w:val="0070C0"/>
          <w:sz w:val="16"/>
          <w:szCs w:val="16"/>
        </w:rPr>
      </w:pPr>
    </w:p>
    <w:p w14:paraId="5E979AF1" w14:textId="77777777" w:rsidR="00DE35AF" w:rsidRPr="00C94B78" w:rsidRDefault="00DE35A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июлю 1944 года был подготовлен эскизный проект И-250, после чего он был передан на рассмотрение соответствующим комиссиям НКАП и ГК НИИ ВВС. Параллельно в ЦИАМ велись работы по доводке силовой установки (25216).</w:t>
      </w:r>
    </w:p>
    <w:p w14:paraId="791FF6A6" w14:textId="77777777" w:rsidR="00DE35AF" w:rsidRPr="00C94B78" w:rsidRDefault="00DE35AF" w:rsidP="00B56F90">
      <w:pPr>
        <w:spacing w:after="0" w:line="240" w:lineRule="auto"/>
        <w:jc w:val="both"/>
        <w:rPr>
          <w:rFonts w:ascii="Times New Roman" w:hAnsi="Times New Roman"/>
          <w:color w:val="0070C0"/>
          <w:sz w:val="16"/>
          <w:szCs w:val="16"/>
        </w:rPr>
      </w:pPr>
    </w:p>
    <w:p w14:paraId="5A463C1C" w14:textId="77777777" w:rsidR="00DE35AF" w:rsidRPr="00C94B78" w:rsidRDefault="00DE35A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22 мая 1944 г. главный инженер ВВС генерал-полковник А.К.Репин утвердил тактико-технические требования к И-250. По расчетам максимальная скорость истребителя И-250, с применением ВРДК, должна была составить 825 км/ч на высоте 7000 м. В сентябре в НКАП и ВВС был утвержден эскизный проект, а 26 октября 1944 года рассмотрен макет самолета (24925).</w:t>
      </w:r>
    </w:p>
    <w:p w14:paraId="537CD71C" w14:textId="77777777" w:rsidR="00DE35AF" w:rsidRPr="00C94B78" w:rsidRDefault="00DE35AF" w:rsidP="00B56F90">
      <w:pPr>
        <w:spacing w:after="0" w:line="240" w:lineRule="auto"/>
        <w:jc w:val="both"/>
        <w:rPr>
          <w:rFonts w:ascii="Times New Roman" w:hAnsi="Times New Roman"/>
          <w:color w:val="0070C0"/>
          <w:sz w:val="16"/>
          <w:szCs w:val="16"/>
        </w:rPr>
      </w:pPr>
    </w:p>
    <w:p w14:paraId="419D6AB0"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г. по постановлению ГКО от предписывалось закупить в Великобритании «Москито» восьми новейших модификаций — бомбарди</w:t>
      </w:r>
      <w:r w:rsidRPr="00070ADE">
        <w:rPr>
          <w:rFonts w:ascii="Times New Roman" w:hAnsi="Times New Roman"/>
          <w:color w:val="000000" w:themeColor="text1"/>
          <w:sz w:val="16"/>
          <w:szCs w:val="16"/>
        </w:rPr>
        <w:softHyphen/>
        <w:t>ровщики, дневные и ночные истребители и разведчики. При этом нарком авиапро</w:t>
      </w:r>
      <w:r w:rsidRPr="00070ADE">
        <w:rPr>
          <w:rFonts w:ascii="Times New Roman" w:hAnsi="Times New Roman"/>
          <w:color w:val="000000" w:themeColor="text1"/>
          <w:sz w:val="16"/>
          <w:szCs w:val="16"/>
        </w:rPr>
        <w:softHyphen/>
        <w:t>мышленности А.И. Шахурин требовал от НКВТ добиваться передачи машин в пол</w:t>
      </w:r>
      <w:r w:rsidRPr="00070ADE">
        <w:rPr>
          <w:rFonts w:ascii="Times New Roman" w:hAnsi="Times New Roman"/>
          <w:color w:val="000000" w:themeColor="text1"/>
          <w:sz w:val="16"/>
          <w:szCs w:val="16"/>
        </w:rPr>
        <w:softHyphen/>
        <w:t>ной комплектации — со всей радиоаппа</w:t>
      </w:r>
      <w:r w:rsidRPr="00070ADE">
        <w:rPr>
          <w:rFonts w:ascii="Times New Roman" w:hAnsi="Times New Roman"/>
          <w:color w:val="000000" w:themeColor="text1"/>
          <w:sz w:val="16"/>
          <w:szCs w:val="16"/>
        </w:rPr>
        <w:softHyphen/>
        <w:t>ратурой, включая РЛС, автоматические радиокомпасы и ответчики СРО, совре</w:t>
      </w:r>
      <w:r w:rsidRPr="00070ADE">
        <w:rPr>
          <w:rFonts w:ascii="Times New Roman" w:hAnsi="Times New Roman"/>
          <w:color w:val="000000" w:themeColor="text1"/>
          <w:sz w:val="16"/>
          <w:szCs w:val="16"/>
        </w:rPr>
        <w:softHyphen/>
        <w:t>менными прицелами, фотокамерами и во</w:t>
      </w:r>
      <w:r w:rsidRPr="00070ADE">
        <w:rPr>
          <w:rFonts w:ascii="Times New Roman" w:hAnsi="Times New Roman"/>
          <w:color w:val="000000" w:themeColor="text1"/>
          <w:sz w:val="16"/>
          <w:szCs w:val="16"/>
        </w:rPr>
        <w:softHyphen/>
        <w:t>оружением. К бомбардировщикам хотели получить по пять комплектов английских бомб разных типов. Конечно, ничего нам не дали.</w:t>
      </w:r>
    </w:p>
    <w:p w14:paraId="4F12C1B2"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 предложениях по IV протоколу (на 1944-45 годы) советская сторона затребо</w:t>
      </w:r>
      <w:r w:rsidRPr="00070ADE">
        <w:rPr>
          <w:rFonts w:ascii="Times New Roman" w:hAnsi="Times New Roman"/>
          <w:color w:val="000000" w:themeColor="text1"/>
          <w:sz w:val="16"/>
          <w:szCs w:val="16"/>
        </w:rPr>
        <w:softHyphen/>
        <w:t>вала ни много, ни мало — 1200 «Москито». Но этому воспрепятствовало вето британ</w:t>
      </w:r>
      <w:r w:rsidRPr="00070ADE">
        <w:rPr>
          <w:rFonts w:ascii="Times New Roman" w:hAnsi="Times New Roman"/>
          <w:color w:val="000000" w:themeColor="text1"/>
          <w:sz w:val="16"/>
          <w:szCs w:val="16"/>
        </w:rPr>
        <w:softHyphen/>
        <w:t>ского министерства авиации, ссылавше</w:t>
      </w:r>
      <w:r w:rsidRPr="00070ADE">
        <w:rPr>
          <w:rFonts w:ascii="Times New Roman" w:hAnsi="Times New Roman"/>
          <w:color w:val="000000" w:themeColor="text1"/>
          <w:sz w:val="16"/>
          <w:szCs w:val="16"/>
        </w:rPr>
        <w:softHyphen/>
        <w:t>гося на недостаточную насыщенность но</w:t>
      </w:r>
      <w:r w:rsidRPr="00070ADE">
        <w:rPr>
          <w:rFonts w:ascii="Times New Roman" w:hAnsi="Times New Roman"/>
          <w:color w:val="000000" w:themeColor="text1"/>
          <w:sz w:val="16"/>
          <w:szCs w:val="16"/>
        </w:rPr>
        <w:softHyphen/>
        <w:t>выми бомбардировщиками Королевских ВВС.</w:t>
      </w:r>
    </w:p>
    <w:p w14:paraId="1D9DA8C0"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Единственный попавший в СССР «Москито» после аварии разобрали на от</w:t>
      </w:r>
      <w:r w:rsidRPr="00070ADE">
        <w:rPr>
          <w:rFonts w:ascii="Times New Roman" w:hAnsi="Times New Roman"/>
          <w:color w:val="000000" w:themeColor="text1"/>
          <w:sz w:val="16"/>
          <w:szCs w:val="16"/>
        </w:rPr>
        <w:softHyphen/>
        <w:t>дельные агрегаты, розданные в различные организации для изучения. Но влияние знакомства с ним на советскую авиапро</w:t>
      </w:r>
      <w:r w:rsidRPr="00070ADE">
        <w:rPr>
          <w:rFonts w:ascii="Times New Roman" w:hAnsi="Times New Roman"/>
          <w:color w:val="000000" w:themeColor="text1"/>
          <w:sz w:val="16"/>
          <w:szCs w:val="16"/>
        </w:rPr>
        <w:softHyphen/>
        <w:t>мышленность было достаточно велико. Концепция скоростного бомбардиров</w:t>
      </w:r>
      <w:r w:rsidRPr="00070ADE">
        <w:rPr>
          <w:rFonts w:ascii="Times New Roman" w:hAnsi="Times New Roman"/>
          <w:color w:val="000000" w:themeColor="text1"/>
          <w:sz w:val="16"/>
          <w:szCs w:val="16"/>
        </w:rPr>
        <w:softHyphen/>
        <w:t>щика без оборонительного вооружения стала очень популярна в нашей стране. Как «советские “Москито”» рекламирова</w:t>
      </w:r>
      <w:r w:rsidRPr="00070ADE">
        <w:rPr>
          <w:rFonts w:ascii="Times New Roman" w:hAnsi="Times New Roman"/>
          <w:color w:val="000000" w:themeColor="text1"/>
          <w:sz w:val="16"/>
          <w:szCs w:val="16"/>
        </w:rPr>
        <w:softHyphen/>
        <w:t>лись опытные самолеты В.М. Мясищева и А.Н. Туполева, конструктивно не имев</w:t>
      </w:r>
      <w:r w:rsidRPr="00070ADE">
        <w:rPr>
          <w:rFonts w:ascii="Times New Roman" w:hAnsi="Times New Roman"/>
          <w:color w:val="000000" w:themeColor="text1"/>
          <w:sz w:val="16"/>
          <w:szCs w:val="16"/>
        </w:rPr>
        <w:softHyphen/>
        <w:t>шие ничего общего со своим английским прототипом.</w:t>
      </w:r>
    </w:p>
    <w:p w14:paraId="445F947B"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Данные бомбардировщика «Москито» В.IV по результатам испытаний в ЛИИ</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4190"/>
        <w:gridCol w:w="4205"/>
      </w:tblGrid>
      <w:tr w:rsidR="00680826" w:rsidRPr="00070ADE" w14:paraId="536A95D8" w14:textId="77777777" w:rsidTr="004C5D62">
        <w:trPr>
          <w:trHeight w:val="317"/>
        </w:trPr>
        <w:tc>
          <w:tcPr>
            <w:tcW w:w="4190" w:type="dxa"/>
            <w:tcBorders>
              <w:top w:val="single" w:sz="4" w:space="0" w:color="auto"/>
              <w:left w:val="single" w:sz="4" w:space="0" w:color="auto"/>
            </w:tcBorders>
            <w:vAlign w:val="bottom"/>
          </w:tcPr>
          <w:p w14:paraId="21D01E82"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м</w:t>
            </w:r>
          </w:p>
        </w:tc>
        <w:tc>
          <w:tcPr>
            <w:tcW w:w="4205" w:type="dxa"/>
            <w:tcBorders>
              <w:top w:val="single" w:sz="4" w:space="0" w:color="auto"/>
              <w:left w:val="single" w:sz="4" w:space="0" w:color="auto"/>
              <w:right w:val="single" w:sz="4" w:space="0" w:color="auto"/>
            </w:tcBorders>
            <w:vAlign w:val="bottom"/>
          </w:tcPr>
          <w:p w14:paraId="482F2350"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12,43</w:t>
            </w:r>
          </w:p>
        </w:tc>
      </w:tr>
      <w:tr w:rsidR="00680826" w:rsidRPr="00070ADE" w14:paraId="5D1CAE9B" w14:textId="77777777" w:rsidTr="004C5D62">
        <w:trPr>
          <w:trHeight w:val="298"/>
        </w:trPr>
        <w:tc>
          <w:tcPr>
            <w:tcW w:w="4190" w:type="dxa"/>
            <w:tcBorders>
              <w:top w:val="single" w:sz="4" w:space="0" w:color="auto"/>
              <w:left w:val="single" w:sz="4" w:space="0" w:color="auto"/>
            </w:tcBorders>
            <w:vAlign w:val="bottom"/>
          </w:tcPr>
          <w:p w14:paraId="3B035AE2"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Размах, м</w:t>
            </w:r>
          </w:p>
        </w:tc>
        <w:tc>
          <w:tcPr>
            <w:tcW w:w="4205" w:type="dxa"/>
            <w:tcBorders>
              <w:top w:val="single" w:sz="4" w:space="0" w:color="auto"/>
              <w:left w:val="single" w:sz="4" w:space="0" w:color="auto"/>
              <w:right w:val="single" w:sz="4" w:space="0" w:color="auto"/>
            </w:tcBorders>
            <w:vAlign w:val="bottom"/>
          </w:tcPr>
          <w:p w14:paraId="0AC25AA9"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16,51</w:t>
            </w:r>
          </w:p>
        </w:tc>
      </w:tr>
      <w:tr w:rsidR="00680826" w:rsidRPr="00070ADE" w14:paraId="2821242E" w14:textId="77777777" w:rsidTr="004C5D62">
        <w:trPr>
          <w:trHeight w:val="307"/>
        </w:trPr>
        <w:tc>
          <w:tcPr>
            <w:tcW w:w="4190" w:type="dxa"/>
            <w:tcBorders>
              <w:top w:val="single" w:sz="4" w:space="0" w:color="auto"/>
              <w:left w:val="single" w:sz="4" w:space="0" w:color="auto"/>
            </w:tcBorders>
            <w:vAlign w:val="bottom"/>
          </w:tcPr>
          <w:p w14:paraId="30634667"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 м</w:t>
            </w:r>
          </w:p>
        </w:tc>
        <w:tc>
          <w:tcPr>
            <w:tcW w:w="4205" w:type="dxa"/>
            <w:tcBorders>
              <w:top w:val="single" w:sz="4" w:space="0" w:color="auto"/>
              <w:left w:val="single" w:sz="4" w:space="0" w:color="auto"/>
              <w:right w:val="single" w:sz="4" w:space="0" w:color="auto"/>
            </w:tcBorders>
            <w:vAlign w:val="bottom"/>
          </w:tcPr>
          <w:p w14:paraId="6B90ABF1"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4,65</w:t>
            </w:r>
          </w:p>
        </w:tc>
      </w:tr>
      <w:tr w:rsidR="00680826" w:rsidRPr="00070ADE" w14:paraId="7EE8E9C3" w14:textId="77777777" w:rsidTr="004C5D62">
        <w:trPr>
          <w:trHeight w:val="1022"/>
        </w:trPr>
        <w:tc>
          <w:tcPr>
            <w:tcW w:w="4190" w:type="dxa"/>
            <w:tcBorders>
              <w:top w:val="single" w:sz="4" w:space="0" w:color="auto"/>
              <w:left w:val="single" w:sz="4" w:space="0" w:color="auto"/>
            </w:tcBorders>
            <w:vAlign w:val="bottom"/>
          </w:tcPr>
          <w:p w14:paraId="1A75B448"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кг</w:t>
            </w:r>
          </w:p>
          <w:p w14:paraId="3091F125"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пустого</w:t>
            </w:r>
          </w:p>
          <w:p w14:paraId="69DCDAC0"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взлетный нормальный</w:t>
            </w:r>
          </w:p>
          <w:p w14:paraId="58C0EE6F"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взлетный максимальный</w:t>
            </w:r>
          </w:p>
        </w:tc>
        <w:tc>
          <w:tcPr>
            <w:tcW w:w="4205" w:type="dxa"/>
            <w:tcBorders>
              <w:top w:val="single" w:sz="4" w:space="0" w:color="auto"/>
              <w:left w:val="single" w:sz="4" w:space="0" w:color="auto"/>
              <w:right w:val="single" w:sz="4" w:space="0" w:color="auto"/>
            </w:tcBorders>
            <w:vAlign w:val="bottom"/>
          </w:tcPr>
          <w:p w14:paraId="7C880DBC"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62621 88502</w:t>
            </w:r>
          </w:p>
          <w:p w14:paraId="0A83D757"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9300</w:t>
            </w:r>
          </w:p>
        </w:tc>
      </w:tr>
      <w:tr w:rsidR="00680826" w:rsidRPr="00070ADE" w14:paraId="695089B4" w14:textId="77777777" w:rsidTr="004C5D62">
        <w:trPr>
          <w:trHeight w:val="782"/>
        </w:trPr>
        <w:tc>
          <w:tcPr>
            <w:tcW w:w="4190" w:type="dxa"/>
            <w:tcBorders>
              <w:top w:val="single" w:sz="4" w:space="0" w:color="auto"/>
              <w:left w:val="single" w:sz="4" w:space="0" w:color="auto"/>
            </w:tcBorders>
            <w:vAlign w:val="bottom"/>
          </w:tcPr>
          <w:p w14:paraId="485CD0C8"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максимальная, км/ч у земли на высоте</w:t>
            </w:r>
          </w:p>
        </w:tc>
        <w:tc>
          <w:tcPr>
            <w:tcW w:w="4205" w:type="dxa"/>
            <w:tcBorders>
              <w:top w:val="single" w:sz="4" w:space="0" w:color="auto"/>
              <w:left w:val="single" w:sz="4" w:space="0" w:color="auto"/>
              <w:right w:val="single" w:sz="4" w:space="0" w:color="auto"/>
            </w:tcBorders>
            <w:vAlign w:val="bottom"/>
          </w:tcPr>
          <w:p w14:paraId="2BC254B6"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503</w:t>
            </w:r>
          </w:p>
          <w:p w14:paraId="59388B9A"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580</w:t>
            </w:r>
          </w:p>
        </w:tc>
      </w:tr>
      <w:tr w:rsidR="00680826" w:rsidRPr="00070ADE" w14:paraId="487851CB" w14:textId="77777777" w:rsidTr="004C5D62">
        <w:trPr>
          <w:trHeight w:val="307"/>
        </w:trPr>
        <w:tc>
          <w:tcPr>
            <w:tcW w:w="4190" w:type="dxa"/>
            <w:tcBorders>
              <w:top w:val="single" w:sz="4" w:space="0" w:color="auto"/>
              <w:left w:val="single" w:sz="4" w:space="0" w:color="auto"/>
            </w:tcBorders>
            <w:vAlign w:val="bottom"/>
          </w:tcPr>
          <w:p w14:paraId="51BFBAC5"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Набор высоты 5000 м, мин</w:t>
            </w:r>
          </w:p>
        </w:tc>
        <w:tc>
          <w:tcPr>
            <w:tcW w:w="4205" w:type="dxa"/>
            <w:tcBorders>
              <w:top w:val="single" w:sz="4" w:space="0" w:color="auto"/>
              <w:left w:val="single" w:sz="4" w:space="0" w:color="auto"/>
              <w:right w:val="single" w:sz="4" w:space="0" w:color="auto"/>
            </w:tcBorders>
            <w:vAlign w:val="bottom"/>
          </w:tcPr>
          <w:p w14:paraId="436D057C"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w:t>
            </w:r>
          </w:p>
        </w:tc>
      </w:tr>
      <w:tr w:rsidR="00680826" w:rsidRPr="00070ADE" w14:paraId="12C7B37F" w14:textId="77777777" w:rsidTr="004C5D62">
        <w:trPr>
          <w:trHeight w:val="302"/>
        </w:trPr>
        <w:tc>
          <w:tcPr>
            <w:tcW w:w="4190" w:type="dxa"/>
            <w:tcBorders>
              <w:top w:val="single" w:sz="4" w:space="0" w:color="auto"/>
              <w:left w:val="single" w:sz="4" w:space="0" w:color="auto"/>
            </w:tcBorders>
            <w:vAlign w:val="bottom"/>
          </w:tcPr>
          <w:p w14:paraId="4AE6BA3A"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м</w:t>
            </w:r>
          </w:p>
        </w:tc>
        <w:tc>
          <w:tcPr>
            <w:tcW w:w="4205" w:type="dxa"/>
            <w:tcBorders>
              <w:top w:val="single" w:sz="4" w:space="0" w:color="auto"/>
              <w:left w:val="single" w:sz="4" w:space="0" w:color="auto"/>
              <w:right w:val="single" w:sz="4" w:space="0" w:color="auto"/>
            </w:tcBorders>
            <w:vAlign w:val="bottom"/>
          </w:tcPr>
          <w:p w14:paraId="108328FA"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9000</w:t>
            </w:r>
          </w:p>
        </w:tc>
      </w:tr>
      <w:tr w:rsidR="00680826" w:rsidRPr="00070ADE" w14:paraId="70C81A53" w14:textId="77777777" w:rsidTr="004C5D62">
        <w:trPr>
          <w:trHeight w:val="307"/>
        </w:trPr>
        <w:tc>
          <w:tcPr>
            <w:tcW w:w="4190" w:type="dxa"/>
            <w:tcBorders>
              <w:top w:val="single" w:sz="4" w:space="0" w:color="auto"/>
              <w:left w:val="single" w:sz="4" w:space="0" w:color="auto"/>
            </w:tcBorders>
            <w:vAlign w:val="bottom"/>
          </w:tcPr>
          <w:p w14:paraId="123DDD37"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полета, км</w:t>
            </w:r>
          </w:p>
        </w:tc>
        <w:tc>
          <w:tcPr>
            <w:tcW w:w="4205" w:type="dxa"/>
            <w:tcBorders>
              <w:top w:val="single" w:sz="4" w:space="0" w:color="auto"/>
              <w:left w:val="single" w:sz="4" w:space="0" w:color="auto"/>
              <w:right w:val="single" w:sz="4" w:space="0" w:color="auto"/>
            </w:tcBorders>
            <w:vAlign w:val="bottom"/>
          </w:tcPr>
          <w:p w14:paraId="6A5C44CB"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2330</w:t>
            </w:r>
          </w:p>
        </w:tc>
      </w:tr>
      <w:tr w:rsidR="00680826" w:rsidRPr="00070ADE" w14:paraId="24FC1403" w14:textId="77777777" w:rsidTr="004C5D62">
        <w:trPr>
          <w:trHeight w:val="317"/>
        </w:trPr>
        <w:tc>
          <w:tcPr>
            <w:tcW w:w="4190" w:type="dxa"/>
            <w:tcBorders>
              <w:top w:val="single" w:sz="4" w:space="0" w:color="auto"/>
              <w:left w:val="single" w:sz="4" w:space="0" w:color="auto"/>
              <w:bottom w:val="single" w:sz="4" w:space="0" w:color="auto"/>
            </w:tcBorders>
            <w:vAlign w:val="bottom"/>
          </w:tcPr>
          <w:p w14:paraId="47A6E8A6"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Бомбовая нагрузка, кг</w:t>
            </w:r>
          </w:p>
        </w:tc>
        <w:tc>
          <w:tcPr>
            <w:tcW w:w="4205" w:type="dxa"/>
            <w:tcBorders>
              <w:top w:val="single" w:sz="4" w:space="0" w:color="auto"/>
              <w:left w:val="single" w:sz="4" w:space="0" w:color="auto"/>
              <w:bottom w:val="single" w:sz="4" w:space="0" w:color="auto"/>
              <w:right w:val="single" w:sz="4" w:space="0" w:color="auto"/>
            </w:tcBorders>
            <w:vAlign w:val="bottom"/>
          </w:tcPr>
          <w:p w14:paraId="693803F1"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tc>
      </w:tr>
    </w:tbl>
    <w:p w14:paraId="75987A4C"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 английским данным;2 за счет некомплектности оборудования и вооружения; у англичан серийный B.IV имел</w:t>
      </w:r>
    </w:p>
    <w:p w14:paraId="7598B330" w14:textId="77777777" w:rsidR="00680826" w:rsidRPr="00070ADE" w:rsidRDefault="0068082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 взлетный вес 9316 кг (23513)</w:t>
      </w:r>
    </w:p>
    <w:p w14:paraId="7E1F22C2" w14:textId="77777777" w:rsidR="00680826" w:rsidRPr="00070ADE" w:rsidRDefault="00680826" w:rsidP="00B56F90">
      <w:pPr>
        <w:spacing w:after="0" w:line="240" w:lineRule="auto"/>
        <w:jc w:val="both"/>
        <w:rPr>
          <w:rFonts w:ascii="Times New Roman" w:hAnsi="Times New Roman"/>
          <w:color w:val="000000" w:themeColor="text1"/>
          <w:sz w:val="16"/>
          <w:szCs w:val="16"/>
        </w:rPr>
      </w:pPr>
    </w:p>
    <w:p w14:paraId="386CE1F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вышло Постановление ГКО № 5945 О создании авиационных реактивных двигателей. РГАНИР, Фонд ГКО, д. 255, лл. 83-87 (11012).</w:t>
      </w:r>
    </w:p>
    <w:p w14:paraId="44249A3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B3DFF22"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вышло Постановление ГКО № 5945 О создании авиационных реактивных двигателей</w:t>
      </w:r>
    </w:p>
    <w:p w14:paraId="2471A78D" w14:textId="77777777" w:rsidR="00DF15BD" w:rsidRPr="00070ADE" w:rsidRDefault="00DF15BD"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Считая важнейшей задачей Наркомавиапрома разработ</w:t>
      </w:r>
      <w:r w:rsidRPr="00070ADE">
        <w:rPr>
          <w:rFonts w:ascii="Times New Roman" w:hAnsi="Times New Roman" w:cs="Times New Roman"/>
          <w:color w:val="000000" w:themeColor="text1"/>
          <w:sz w:val="16"/>
          <w:szCs w:val="16"/>
        </w:rPr>
        <w:softHyphen/>
        <w:t>ку и постройку авиационных реактивных двигателей, Госу</w:t>
      </w:r>
      <w:r w:rsidRPr="00070ADE">
        <w:rPr>
          <w:rFonts w:ascii="Times New Roman" w:hAnsi="Times New Roman" w:cs="Times New Roman"/>
          <w:color w:val="000000" w:themeColor="text1"/>
          <w:sz w:val="16"/>
          <w:szCs w:val="16"/>
        </w:rPr>
        <w:softHyphen/>
        <w:t>дарственный Комитет Обороны постановляет:</w:t>
      </w:r>
    </w:p>
    <w:p w14:paraId="37358ACA" w14:textId="77777777" w:rsidR="00DF15BD" w:rsidRPr="00070ADE" w:rsidRDefault="00DF15BD"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1. Принять к сведению сообщение Наркомавиалрома т.Шахурина и ВВС КА т.Репина, что одкокамрный жидкост- ный реактивный двигатель РД-1 конструкции Глушко про</w:t>
      </w:r>
      <w:r w:rsidRPr="00070ADE">
        <w:rPr>
          <w:rFonts w:ascii="Times New Roman" w:hAnsi="Times New Roman" w:cs="Times New Roman"/>
          <w:color w:val="000000" w:themeColor="text1"/>
          <w:sz w:val="16"/>
          <w:szCs w:val="16"/>
        </w:rPr>
        <w:softHyphen/>
        <w:t>шел совместные стендовые испытания и имеет следующие данные:</w:t>
      </w:r>
    </w:p>
    <w:p w14:paraId="1C1A3490" w14:textId="77777777" w:rsidR="00DF15BD" w:rsidRPr="00070ADE" w:rsidRDefault="00DF15BD" w:rsidP="00B56F90">
      <w:pPr>
        <w:pStyle w:val="47"/>
        <w:shd w:val="clear" w:color="auto" w:fill="auto"/>
        <w:tabs>
          <w:tab w:val="left" w:pos="3971"/>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lastRenderedPageBreak/>
        <w:t>максимальная тяга - 300 кг,</w:t>
      </w:r>
    </w:p>
    <w:p w14:paraId="345F2F3C" w14:textId="77777777" w:rsidR="00DF15BD" w:rsidRPr="00070ADE" w:rsidRDefault="00DF15BD" w:rsidP="00B56F90">
      <w:pPr>
        <w:pStyle w:val="47"/>
        <w:shd w:val="clear" w:color="auto" w:fill="auto"/>
        <w:tabs>
          <w:tab w:val="left" w:pos="3971"/>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номинальная тяга - 250 "</w:t>
      </w:r>
    </w:p>
    <w:p w14:paraId="42A3F01B" w14:textId="77777777" w:rsidR="00DF15BD" w:rsidRPr="00070ADE" w:rsidRDefault="00DF15BD" w:rsidP="00B56F90">
      <w:pPr>
        <w:pStyle w:val="47"/>
        <w:shd w:val="clear" w:color="auto" w:fill="auto"/>
        <w:tabs>
          <w:tab w:val="left" w:pos="3978"/>
        </w:tabs>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минимальная тяга - 100 "</w:t>
      </w:r>
    </w:p>
    <w:p w14:paraId="263F1773" w14:textId="77777777" w:rsidR="00DF15BD" w:rsidRPr="00070ADE" w:rsidRDefault="00DF15BD"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удельная тяга на номиналь</w:t>
      </w:r>
      <w:r w:rsidRPr="00070ADE">
        <w:rPr>
          <w:rFonts w:ascii="Times New Roman" w:hAnsi="Times New Roman" w:cs="Times New Roman"/>
          <w:color w:val="000000" w:themeColor="text1"/>
          <w:sz w:val="16"/>
          <w:szCs w:val="16"/>
        </w:rPr>
        <w:softHyphen/>
        <w:t>ном режиме на кг.топлива - 185</w:t>
      </w:r>
    </w:p>
    <w:p w14:paraId="5D734FDF" w14:textId="77777777" w:rsidR="00DF15BD" w:rsidRPr="00070ADE" w:rsidRDefault="00DF15BD"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удельная тяга на минимальном режиме на кг.топлива - ^.50</w:t>
      </w:r>
    </w:p>
    <w:p w14:paraId="2BCC0796" w14:textId="77777777" w:rsidR="00DF15BD" w:rsidRPr="00070ADE" w:rsidRDefault="00DF15BD"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 Обязать Наркомавиапром - тов.Шахурина А.И, и тов.Яковлева А.С., начальников - НИИ-1, НКАП и конст</w:t>
      </w:r>
      <w:r w:rsidRPr="00070ADE">
        <w:rPr>
          <w:rFonts w:ascii="Times New Roman" w:hAnsi="Times New Roman" w:cs="Times New Roman"/>
          <w:color w:val="000000" w:themeColor="text1"/>
          <w:sz w:val="16"/>
          <w:szCs w:val="16"/>
        </w:rPr>
        <w:softHyphen/>
        <w:t>рукторов НКАП провести следующие работы:</w:t>
      </w:r>
    </w:p>
    <w:p w14:paraId="4D4BDCB5" w14:textId="77777777" w:rsidR="00DF15BD" w:rsidRPr="00070ADE" w:rsidRDefault="00DF15BD"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1. Директору завода № 16 тов.Лукину М.М., конст</w:t>
      </w:r>
      <w:r w:rsidRPr="00070ADE">
        <w:rPr>
          <w:rFonts w:ascii="Times New Roman" w:hAnsi="Times New Roman" w:cs="Times New Roman"/>
          <w:color w:val="000000" w:themeColor="text1"/>
          <w:sz w:val="16"/>
          <w:szCs w:val="16"/>
        </w:rPr>
        <w:softHyphen/>
        <w:t>руктору Глушко В.П. и начальнику НИИ-1 тов.Федоро</w:t>
      </w:r>
      <w:r w:rsidRPr="00070ADE">
        <w:rPr>
          <w:rFonts w:ascii="Times New Roman" w:hAnsi="Times New Roman" w:cs="Times New Roman"/>
          <w:color w:val="000000" w:themeColor="text1"/>
          <w:sz w:val="16"/>
          <w:szCs w:val="16"/>
        </w:rPr>
        <w:softHyphen/>
        <w:t>ву П.И. построить и предъявить на государственные испытания трехкамерный жидкостный реактивный двига</w:t>
      </w:r>
      <w:r w:rsidRPr="00070ADE">
        <w:rPr>
          <w:rFonts w:ascii="Times New Roman" w:hAnsi="Times New Roman" w:cs="Times New Roman"/>
          <w:color w:val="000000" w:themeColor="text1"/>
          <w:sz w:val="16"/>
          <w:szCs w:val="16"/>
        </w:rPr>
        <w:softHyphen/>
        <w:t>тель с насосной системой подачи.</w:t>
      </w:r>
    </w:p>
    <w:p w14:paraId="725EF613" w14:textId="77777777" w:rsidR="00DF15BD" w:rsidRPr="00070ADE" w:rsidRDefault="00DF15BD" w:rsidP="00B56F90">
      <w:pPr>
        <w:tabs>
          <w:tab w:val="center" w:pos="398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должен иметь следующие характеристики:</w:t>
      </w:r>
    </w:p>
    <w:p w14:paraId="40132D70" w14:textId="77777777" w:rsidR="00DF15BD" w:rsidRPr="00070ADE" w:rsidRDefault="00DF15BD" w:rsidP="00B56F90">
      <w:pPr>
        <w:tabs>
          <w:tab w:val="center" w:pos="396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взлетная тяга - </w:t>
      </w:r>
      <w:r w:rsidRPr="00070ADE">
        <w:rPr>
          <w:rStyle w:val="16"/>
          <w:rFonts w:ascii="Times New Roman" w:hAnsi="Times New Roman" w:cs="Times New Roman"/>
          <w:color w:val="000000" w:themeColor="text1"/>
          <w:spacing w:val="0"/>
          <w:u w:val="none"/>
        </w:rPr>
        <w:t>900</w:t>
      </w:r>
      <w:r w:rsidRPr="00070ADE">
        <w:rPr>
          <w:rFonts w:ascii="Times New Roman" w:hAnsi="Times New Roman"/>
          <w:color w:val="000000" w:themeColor="text1"/>
          <w:sz w:val="16"/>
          <w:szCs w:val="16"/>
        </w:rPr>
        <w:t xml:space="preserve"> кг,</w:t>
      </w:r>
    </w:p>
    <w:p w14:paraId="3AC30950" w14:textId="77777777" w:rsidR="00DF15BD" w:rsidRPr="00070ADE" w:rsidRDefault="00DF15BD" w:rsidP="00B56F90">
      <w:pPr>
        <w:tabs>
          <w:tab w:val="center" w:pos="396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номинальная тяга - </w:t>
      </w:r>
      <w:r w:rsidRPr="00070ADE">
        <w:rPr>
          <w:rStyle w:val="16"/>
          <w:rFonts w:ascii="Times New Roman" w:hAnsi="Times New Roman" w:cs="Times New Roman"/>
          <w:color w:val="000000" w:themeColor="text1"/>
          <w:spacing w:val="0"/>
          <w:u w:val="none"/>
        </w:rPr>
        <w:t>750</w:t>
      </w:r>
      <w:r w:rsidRPr="00070ADE">
        <w:rPr>
          <w:rFonts w:ascii="Times New Roman" w:hAnsi="Times New Roman"/>
          <w:color w:val="000000" w:themeColor="text1"/>
          <w:sz w:val="16"/>
          <w:szCs w:val="16"/>
        </w:rPr>
        <w:t xml:space="preserve"> кг.</w:t>
      </w:r>
    </w:p>
    <w:p w14:paraId="674923EB" w14:textId="77777777" w:rsidR="00DF15BD" w:rsidRPr="00070ADE" w:rsidRDefault="00DF15BD" w:rsidP="00B56F90">
      <w:pPr>
        <w:tabs>
          <w:tab w:val="center" w:pos="396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минимальная тяга - </w:t>
      </w:r>
      <w:r w:rsidRPr="00070ADE">
        <w:rPr>
          <w:rStyle w:val="16"/>
          <w:rFonts w:ascii="Times New Roman" w:hAnsi="Times New Roman" w:cs="Times New Roman"/>
          <w:color w:val="000000" w:themeColor="text1"/>
          <w:spacing w:val="0"/>
          <w:u w:val="none"/>
        </w:rPr>
        <w:t>100</w:t>
      </w:r>
      <w:r w:rsidRPr="00070ADE">
        <w:rPr>
          <w:rFonts w:ascii="Times New Roman" w:hAnsi="Times New Roman"/>
          <w:color w:val="000000" w:themeColor="text1"/>
          <w:sz w:val="16"/>
          <w:szCs w:val="16"/>
        </w:rPr>
        <w:t xml:space="preserve"> кг,</w:t>
      </w:r>
    </w:p>
    <w:p w14:paraId="7BF3D0C0" w14:textId="77777777" w:rsidR="00DF15BD" w:rsidRPr="00070ADE" w:rsidRDefault="00DF15BD" w:rsidP="00B56F90">
      <w:pPr>
        <w:tabs>
          <w:tab w:val="left" w:pos="317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удельная тяга на номинальном режи</w:t>
      </w:r>
      <w:r w:rsidRPr="00070ADE">
        <w:rPr>
          <w:rFonts w:ascii="Times New Roman" w:hAnsi="Times New Roman"/>
          <w:color w:val="000000" w:themeColor="text1"/>
          <w:sz w:val="16"/>
          <w:szCs w:val="16"/>
        </w:rPr>
        <w:softHyphen/>
        <w:t xml:space="preserve">ме на кг топлива - </w:t>
      </w:r>
      <w:r w:rsidRPr="00070ADE">
        <w:rPr>
          <w:rStyle w:val="16"/>
          <w:rFonts w:ascii="Times New Roman" w:hAnsi="Times New Roman" w:cs="Times New Roman"/>
          <w:color w:val="000000" w:themeColor="text1"/>
          <w:spacing w:val="0"/>
          <w:u w:val="none"/>
        </w:rPr>
        <w:t>190</w:t>
      </w:r>
      <w:r w:rsidRPr="00070ADE">
        <w:rPr>
          <w:rFonts w:ascii="Times New Roman" w:hAnsi="Times New Roman"/>
          <w:color w:val="000000" w:themeColor="text1"/>
          <w:sz w:val="16"/>
          <w:szCs w:val="16"/>
        </w:rPr>
        <w:t xml:space="preserve"> кг.</w:t>
      </w:r>
    </w:p>
    <w:p w14:paraId="539C428C"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Срок пред'явления двигателя на государственные испытания 1 января </w:t>
      </w:r>
      <w:r w:rsidRPr="00070ADE">
        <w:rPr>
          <w:rStyle w:val="16"/>
          <w:rFonts w:ascii="Times New Roman" w:hAnsi="Times New Roman" w:cs="Times New Roman"/>
          <w:color w:val="000000" w:themeColor="text1"/>
          <w:spacing w:val="0"/>
          <w:u w:val="none"/>
        </w:rPr>
        <w:t>1945</w:t>
      </w:r>
      <w:r w:rsidRPr="00070ADE">
        <w:rPr>
          <w:rFonts w:ascii="Times New Roman" w:hAnsi="Times New Roman"/>
          <w:color w:val="000000" w:themeColor="text1"/>
          <w:sz w:val="16"/>
          <w:szCs w:val="16"/>
        </w:rPr>
        <w:t xml:space="preserve"> года.</w:t>
      </w:r>
    </w:p>
    <w:p w14:paraId="2CB1C4CF"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Начальнику НИИ-1 тов.Федорову П.И. и конструк</w:t>
      </w:r>
      <w:r w:rsidRPr="00070ADE">
        <w:rPr>
          <w:rFonts w:ascii="Times New Roman" w:hAnsi="Times New Roman"/>
          <w:color w:val="000000" w:themeColor="text1"/>
          <w:sz w:val="16"/>
          <w:szCs w:val="16"/>
        </w:rPr>
        <w:softHyphen/>
        <w:t>тору НИИ-1 тов.Исаеву А.И. построить и пред"явить на государственные испытания однокамерный жидкостный реак</w:t>
      </w:r>
      <w:r w:rsidRPr="00070ADE">
        <w:rPr>
          <w:rFonts w:ascii="Times New Roman" w:hAnsi="Times New Roman"/>
          <w:color w:val="000000" w:themeColor="text1"/>
          <w:sz w:val="16"/>
          <w:szCs w:val="16"/>
        </w:rPr>
        <w:softHyphen/>
        <w:t>тивный двигатель с подачей топлива из баков под давле</w:t>
      </w:r>
      <w:r w:rsidRPr="00070ADE">
        <w:rPr>
          <w:rFonts w:ascii="Times New Roman" w:hAnsi="Times New Roman"/>
          <w:color w:val="000000" w:themeColor="text1"/>
          <w:sz w:val="16"/>
          <w:szCs w:val="16"/>
        </w:rPr>
        <w:softHyphen/>
        <w:t>нием.</w:t>
      </w:r>
    </w:p>
    <w:p w14:paraId="3AD80BC5"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должен иметь следующие характеристики:</w:t>
      </w:r>
    </w:p>
    <w:p w14:paraId="0D4864DA" w14:textId="77777777" w:rsidR="00DF15BD" w:rsidRPr="00070ADE" w:rsidRDefault="00DF15BD" w:rsidP="00B56F90">
      <w:pPr>
        <w:tabs>
          <w:tab w:val="left" w:pos="338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номинальная тяга - </w:t>
      </w:r>
      <w:r w:rsidRPr="00070ADE">
        <w:rPr>
          <w:rStyle w:val="16"/>
          <w:rFonts w:ascii="Times New Roman" w:hAnsi="Times New Roman" w:cs="Times New Roman"/>
          <w:color w:val="000000" w:themeColor="text1"/>
          <w:spacing w:val="0"/>
          <w:u w:val="none"/>
        </w:rPr>
        <w:t>1100</w:t>
      </w:r>
      <w:r w:rsidRPr="00070ADE">
        <w:rPr>
          <w:rFonts w:ascii="Times New Roman" w:hAnsi="Times New Roman"/>
          <w:color w:val="000000" w:themeColor="text1"/>
          <w:sz w:val="16"/>
          <w:szCs w:val="16"/>
        </w:rPr>
        <w:t xml:space="preserve"> кг.</w:t>
      </w:r>
    </w:p>
    <w:p w14:paraId="2D51C255"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минимальная тяга не более - </w:t>
      </w:r>
      <w:r w:rsidRPr="00070ADE">
        <w:rPr>
          <w:rStyle w:val="16"/>
          <w:rFonts w:ascii="Times New Roman" w:hAnsi="Times New Roman" w:cs="Times New Roman"/>
          <w:color w:val="000000" w:themeColor="text1"/>
          <w:spacing w:val="0"/>
          <w:u w:val="none"/>
        </w:rPr>
        <w:t>400</w:t>
      </w:r>
    </w:p>
    <w:p w14:paraId="34990721"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удельная тяга на номиналь- ном режиме на кг.топлива - </w:t>
      </w:r>
      <w:r w:rsidRPr="00070ADE">
        <w:rPr>
          <w:rStyle w:val="16"/>
          <w:rFonts w:ascii="Times New Roman" w:hAnsi="Times New Roman" w:cs="Times New Roman"/>
          <w:color w:val="000000" w:themeColor="text1"/>
          <w:spacing w:val="0"/>
          <w:u w:val="none"/>
        </w:rPr>
        <w:t>200</w:t>
      </w:r>
    </w:p>
    <w:p w14:paraId="6DB34511"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пред</w:t>
      </w:r>
      <w:r w:rsidRPr="00070ADE">
        <w:rPr>
          <w:rFonts w:ascii="Times New Roman" w:hAnsi="Times New Roman"/>
          <w:color w:val="000000" w:themeColor="text1"/>
          <w:sz w:val="16"/>
          <w:szCs w:val="16"/>
          <w:vertAlign w:val="superscript"/>
        </w:rPr>
        <w:t>1</w:t>
      </w:r>
      <w:r w:rsidRPr="00070ADE">
        <w:rPr>
          <w:rFonts w:ascii="Times New Roman" w:hAnsi="Times New Roman"/>
          <w:color w:val="000000" w:themeColor="text1"/>
          <w:sz w:val="16"/>
          <w:szCs w:val="16"/>
        </w:rPr>
        <w:t>явления двигателя на государственные испытания - октябрь 1</w:t>
      </w:r>
      <w:r w:rsidRPr="00070ADE">
        <w:rPr>
          <w:rStyle w:val="16"/>
          <w:rFonts w:ascii="Times New Roman" w:hAnsi="Times New Roman" w:cs="Times New Roman"/>
          <w:color w:val="000000" w:themeColor="text1"/>
          <w:spacing w:val="0"/>
          <w:u w:val="none"/>
        </w:rPr>
        <w:t>944</w:t>
      </w:r>
      <w:r w:rsidRPr="00070ADE">
        <w:rPr>
          <w:rFonts w:ascii="Times New Roman" w:hAnsi="Times New Roman"/>
          <w:color w:val="000000" w:themeColor="text1"/>
          <w:sz w:val="16"/>
          <w:szCs w:val="16"/>
        </w:rPr>
        <w:t xml:space="preserve"> года.</w:t>
      </w:r>
    </w:p>
    <w:p w14:paraId="116D9357"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Начальнику НИИ-1 тов.Федорову П.И. и конструк</w:t>
      </w:r>
      <w:r w:rsidRPr="00070ADE">
        <w:rPr>
          <w:rFonts w:ascii="Times New Roman" w:hAnsi="Times New Roman"/>
          <w:color w:val="000000" w:themeColor="text1"/>
          <w:sz w:val="16"/>
          <w:szCs w:val="16"/>
        </w:rPr>
        <w:softHyphen/>
        <w:t>тору НИИ-1</w:t>
      </w:r>
      <w:r w:rsidRPr="00070ADE">
        <w:rPr>
          <w:rStyle w:val="16"/>
          <w:rFonts w:ascii="Times New Roman" w:hAnsi="Times New Roman" w:cs="Times New Roman"/>
          <w:color w:val="000000" w:themeColor="text1"/>
          <w:spacing w:val="0"/>
          <w:u w:val="none"/>
        </w:rPr>
        <w:t>-</w:t>
      </w:r>
      <w:r w:rsidRPr="00070ADE">
        <w:rPr>
          <w:rFonts w:ascii="Times New Roman" w:hAnsi="Times New Roman"/>
          <w:color w:val="000000" w:themeColor="text1"/>
          <w:sz w:val="16"/>
          <w:szCs w:val="16"/>
        </w:rPr>
        <w:t xml:space="preserve"> тов.Душкину Л.С.:</w:t>
      </w:r>
    </w:p>
    <w:p w14:paraId="33BA3551"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построить и пред'явить на испытания однокамер</w:t>
      </w:r>
      <w:r w:rsidRPr="00070ADE">
        <w:rPr>
          <w:rFonts w:ascii="Times New Roman" w:hAnsi="Times New Roman"/>
          <w:color w:val="000000" w:themeColor="text1"/>
          <w:sz w:val="16"/>
          <w:szCs w:val="16"/>
        </w:rPr>
        <w:softHyphen/>
        <w:t>ный жидкостный реактивный двигатель с насосной систе</w:t>
      </w:r>
      <w:r w:rsidRPr="00070ADE">
        <w:rPr>
          <w:rFonts w:ascii="Times New Roman" w:hAnsi="Times New Roman"/>
          <w:color w:val="000000" w:themeColor="text1"/>
          <w:sz w:val="16"/>
          <w:szCs w:val="16"/>
        </w:rPr>
        <w:softHyphen/>
        <w:t>мой подачи.</w:t>
      </w:r>
    </w:p>
    <w:p w14:paraId="099C2D8F"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должен иметь следующие характеристики:</w:t>
      </w:r>
    </w:p>
    <w:p w14:paraId="478C8537" w14:textId="77777777" w:rsidR="00DF15BD" w:rsidRPr="00070ADE" w:rsidRDefault="00DF15BD" w:rsidP="00B56F90">
      <w:pPr>
        <w:tabs>
          <w:tab w:val="left" w:pos="348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Взлетная тяга - 1400 кг.</w:t>
      </w:r>
    </w:p>
    <w:p w14:paraId="74DF66A5" w14:textId="77777777" w:rsidR="00DF15BD" w:rsidRPr="00070ADE" w:rsidRDefault="00DF15BD" w:rsidP="00B56F90">
      <w:pPr>
        <w:tabs>
          <w:tab w:val="left" w:pos="348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номинальная тяга - 1100 "</w:t>
      </w:r>
    </w:p>
    <w:p w14:paraId="3971B5B6"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удельная тяга на ноаиналь- ном режиме на кг.топлива - 200</w:t>
      </w:r>
    </w:p>
    <w:p w14:paraId="5A54E500"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пред'явления двигателя на заводские испытания - ноябрь 194</w:t>
      </w:r>
      <w:r w:rsidRPr="00070ADE">
        <w:rPr>
          <w:rFonts w:ascii="Times New Roman" w:eastAsia="Gungsuh" w:hAnsi="Times New Roman"/>
          <w:color w:val="000000" w:themeColor="text1"/>
          <w:sz w:val="16"/>
          <w:szCs w:val="16"/>
        </w:rPr>
        <w:t>4</w:t>
      </w:r>
      <w:r w:rsidRPr="00070ADE">
        <w:rPr>
          <w:rFonts w:ascii="Times New Roman" w:hAnsi="Times New Roman"/>
          <w:color w:val="000000" w:themeColor="text1"/>
          <w:sz w:val="16"/>
          <w:szCs w:val="16"/>
        </w:rPr>
        <w:t>. года и на государственные испытания-февраль 1945 года;</w:t>
      </w:r>
    </w:p>
    <w:p w14:paraId="05E221B2"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построить и пред'явить на испытания двухкамерный</w:t>
      </w:r>
      <w:r w:rsidRPr="00070ADE">
        <w:rPr>
          <w:rStyle w:val="16"/>
          <w:rFonts w:ascii="Times New Roman" w:hAnsi="Times New Roman" w:cs="Times New Roman"/>
          <w:color w:val="000000" w:themeColor="text1"/>
          <w:spacing w:val="0"/>
          <w:u w:val="none"/>
        </w:rPr>
        <w:t xml:space="preserve"> жидкостный реактивный двигатель с насосно</w:t>
      </w:r>
      <w:r w:rsidRPr="00070ADE">
        <w:rPr>
          <w:rFonts w:ascii="Times New Roman" w:hAnsi="Times New Roman"/>
          <w:color w:val="000000" w:themeColor="text1"/>
          <w:sz w:val="16"/>
          <w:szCs w:val="16"/>
        </w:rPr>
        <w:t>й систе</w:t>
      </w:r>
      <w:r w:rsidRPr="00070ADE">
        <w:rPr>
          <w:rFonts w:ascii="Times New Roman" w:hAnsi="Times New Roman"/>
          <w:color w:val="000000" w:themeColor="text1"/>
          <w:sz w:val="16"/>
          <w:szCs w:val="16"/>
        </w:rPr>
        <w:softHyphen/>
      </w:r>
      <w:r w:rsidRPr="00070ADE">
        <w:rPr>
          <w:rStyle w:val="16"/>
          <w:rFonts w:ascii="Times New Roman" w:hAnsi="Times New Roman" w:cs="Times New Roman"/>
          <w:color w:val="000000" w:themeColor="text1"/>
          <w:spacing w:val="0"/>
          <w:u w:val="none"/>
        </w:rPr>
        <w:t>мой подачи</w:t>
      </w:r>
      <w:r w:rsidRPr="00070ADE">
        <w:rPr>
          <w:rFonts w:ascii="Times New Roman" w:hAnsi="Times New Roman"/>
          <w:color w:val="000000" w:themeColor="text1"/>
          <w:sz w:val="16"/>
          <w:szCs w:val="16"/>
        </w:rPr>
        <w:t>.</w:t>
      </w:r>
    </w:p>
    <w:p w14:paraId="4F336455"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должен иметь следующие характеристики:</w:t>
      </w:r>
    </w:p>
    <w:p w14:paraId="019CF357" w14:textId="77777777" w:rsidR="00DF15BD" w:rsidRPr="00070ADE" w:rsidRDefault="00DF15BD" w:rsidP="00B56F90">
      <w:pPr>
        <w:tabs>
          <w:tab w:val="left" w:pos="377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взлетная тяга - 1400 кг,</w:t>
      </w:r>
    </w:p>
    <w:p w14:paraId="7D2FF7A4" w14:textId="77777777" w:rsidR="00DF15BD" w:rsidRPr="00070ADE" w:rsidRDefault="00DF15BD" w:rsidP="00B56F90">
      <w:pPr>
        <w:tabs>
          <w:tab w:val="left" w:pos="376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номинальная тяга - 1100 "</w:t>
      </w:r>
    </w:p>
    <w:p w14:paraId="343C40C5" w14:textId="77777777" w:rsidR="00DF15BD" w:rsidRPr="00070ADE" w:rsidRDefault="00DF15BD" w:rsidP="00B56F90">
      <w:pPr>
        <w:tabs>
          <w:tab w:val="left" w:pos="378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минимальная тяга - 200 "</w:t>
      </w:r>
    </w:p>
    <w:p w14:paraId="068DA40E"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удельная тяга на номинальном режиме на кг.топлива не ниже - 200</w:t>
      </w:r>
    </w:p>
    <w:p w14:paraId="02DB6270" w14:textId="77777777" w:rsidR="00DF15BD" w:rsidRPr="00070ADE" w:rsidRDefault="00DF15BD" w:rsidP="00B56F90">
      <w:pPr>
        <w:tabs>
          <w:tab w:val="left" w:pos="457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удельная тяга на минимальном режиме на кг.топлива не ниже -160</w:t>
      </w:r>
    </w:p>
    <w:p w14:paraId="355C22C1"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пред'явления двигателя:</w:t>
      </w:r>
    </w:p>
    <w:p w14:paraId="2AAE0535" w14:textId="77777777" w:rsidR="00DF15BD" w:rsidRPr="00070ADE" w:rsidRDefault="00DF15BD" w:rsidP="00B56F90">
      <w:pPr>
        <w:tabs>
          <w:tab w:val="left" w:pos="378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заводские испытания - декабрь 1944г. и</w:t>
      </w:r>
    </w:p>
    <w:p w14:paraId="710A8A7B"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государственные испытания - март 1945 года.</w:t>
      </w:r>
    </w:p>
    <w:p w14:paraId="3C6F94C8" w14:textId="77777777" w:rsidR="00DF15BD" w:rsidRPr="00070ADE" w:rsidRDefault="00DF15BD" w:rsidP="00B56F90">
      <w:pPr>
        <w:tabs>
          <w:tab w:val="left" w:pos="94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4. Начальнику НИИ-1 т.Федорову П.И. к конструктору НИИ-1 т.Люлька </w:t>
      </w:r>
      <w:r w:rsidRPr="00070ADE">
        <w:rPr>
          <w:rFonts w:ascii="Times New Roman" w:hAnsi="Times New Roman"/>
          <w:color w:val="000000" w:themeColor="text1"/>
          <w:sz w:val="16"/>
          <w:szCs w:val="16"/>
          <w:lang w:val="en-US"/>
        </w:rPr>
        <w:t>A</w:t>
      </w:r>
      <w:r w:rsidRPr="00070ADE">
        <w:rPr>
          <w:rFonts w:ascii="Times New Roman" w:hAnsi="Times New Roman"/>
          <w:color w:val="000000" w:themeColor="text1"/>
          <w:sz w:val="16"/>
          <w:szCs w:val="16"/>
        </w:rPr>
        <w:t xml:space="preserve">.И. построить и пред"явить на заводские испытания экспериментальный </w:t>
      </w:r>
      <w:r w:rsidRPr="00070ADE">
        <w:rPr>
          <w:rStyle w:val="16"/>
          <w:rFonts w:ascii="Times New Roman" w:hAnsi="Times New Roman" w:cs="Times New Roman"/>
          <w:color w:val="000000" w:themeColor="text1"/>
          <w:spacing w:val="0"/>
          <w:u w:val="none"/>
        </w:rPr>
        <w:t>газотурбинный воздушно-реак</w:t>
      </w:r>
      <w:r w:rsidRPr="00070ADE">
        <w:rPr>
          <w:rFonts w:ascii="Times New Roman" w:hAnsi="Times New Roman"/>
          <w:color w:val="000000" w:themeColor="text1"/>
          <w:sz w:val="16"/>
          <w:szCs w:val="16"/>
        </w:rPr>
        <w:softHyphen/>
      </w:r>
      <w:r w:rsidRPr="00070ADE">
        <w:rPr>
          <w:rStyle w:val="16"/>
          <w:rFonts w:ascii="Times New Roman" w:hAnsi="Times New Roman" w:cs="Times New Roman"/>
          <w:color w:val="000000" w:themeColor="text1"/>
          <w:spacing w:val="0"/>
          <w:u w:val="none"/>
        </w:rPr>
        <w:t>тивный двигатель с компрессором</w:t>
      </w:r>
      <w:r w:rsidRPr="00070ADE">
        <w:rPr>
          <w:rFonts w:ascii="Times New Roman" w:hAnsi="Times New Roman"/>
          <w:color w:val="000000" w:themeColor="text1"/>
          <w:sz w:val="16"/>
          <w:szCs w:val="16"/>
        </w:rPr>
        <w:t>.</w:t>
      </w:r>
    </w:p>
    <w:p w14:paraId="1FAB9F7D"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долгой иметь следующие характеристики:</w:t>
      </w:r>
    </w:p>
    <w:p w14:paraId="1612484B"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номинальная тяга у земли - 1250 кг.</w:t>
      </w:r>
    </w:p>
    <w:p w14:paraId="566C1C78" w14:textId="77777777" w:rsidR="00DF15BD" w:rsidRPr="00070ADE" w:rsidRDefault="00DF15BD" w:rsidP="00B56F90">
      <w:pPr>
        <w:tabs>
          <w:tab w:val="left" w:pos="377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диаметр двигателя - 950 мм</w:t>
      </w:r>
    </w:p>
    <w:p w14:paraId="0C8CFC6B" w14:textId="77777777" w:rsidR="00DF15BD" w:rsidRPr="00070ADE" w:rsidRDefault="00DF15BD" w:rsidP="00B56F90">
      <w:pPr>
        <w:tabs>
          <w:tab w:val="left" w:pos="377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сухой вес - 900 кг.</w:t>
      </w:r>
    </w:p>
    <w:p w14:paraId="17BC39AA"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удельная тяга на номинальном режиме на кг.топлива не низе - 1000 кг.</w:t>
      </w:r>
    </w:p>
    <w:p w14:paraId="2AFCE95A"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пр&amp;д'явления двигателя на заводские испыта</w:t>
      </w:r>
      <w:r w:rsidRPr="00070ADE">
        <w:rPr>
          <w:rFonts w:ascii="Times New Roman" w:hAnsi="Times New Roman"/>
          <w:color w:val="000000" w:themeColor="text1"/>
          <w:sz w:val="16"/>
          <w:szCs w:val="16"/>
        </w:rPr>
        <w:softHyphen/>
        <w:t>ния - 1 марта 1945 года.</w:t>
      </w:r>
    </w:p>
    <w:p w14:paraId="4390FD2F" w14:textId="77777777" w:rsidR="00DF15BD" w:rsidRPr="00070ADE" w:rsidRDefault="00DF15BD" w:rsidP="00B56F90">
      <w:pPr>
        <w:tabs>
          <w:tab w:val="left" w:pos="92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Начальнику ЦИАМ т.Поликовскому В.И. и конструк</w:t>
      </w:r>
      <w:r w:rsidRPr="00070ADE">
        <w:rPr>
          <w:rFonts w:ascii="Times New Roman" w:hAnsi="Times New Roman"/>
          <w:color w:val="000000" w:themeColor="text1"/>
          <w:sz w:val="16"/>
          <w:szCs w:val="16"/>
        </w:rPr>
        <w:softHyphen/>
        <w:t>торам ЦИАМ т.Холщевникову К.Б. и т.Фадееву А.А. пост</w:t>
      </w:r>
      <w:r w:rsidRPr="00070ADE">
        <w:rPr>
          <w:rFonts w:ascii="Times New Roman" w:hAnsi="Times New Roman"/>
          <w:color w:val="000000" w:themeColor="text1"/>
          <w:sz w:val="16"/>
          <w:szCs w:val="16"/>
        </w:rPr>
        <w:softHyphen/>
        <w:t xml:space="preserve">роить и пред"явить на заводские испытания </w:t>
      </w:r>
      <w:r w:rsidRPr="00070ADE">
        <w:rPr>
          <w:rStyle w:val="16"/>
          <w:rFonts w:ascii="Times New Roman" w:hAnsi="Times New Roman" w:cs="Times New Roman"/>
          <w:color w:val="000000" w:themeColor="text1"/>
          <w:spacing w:val="0"/>
          <w:u w:val="none"/>
        </w:rPr>
        <w:t>воздушно</w:t>
      </w:r>
      <w:r w:rsidRPr="00070ADE">
        <w:rPr>
          <w:rFonts w:ascii="Times New Roman" w:hAnsi="Times New Roman"/>
          <w:color w:val="000000" w:themeColor="text1"/>
          <w:sz w:val="16"/>
          <w:szCs w:val="16"/>
        </w:rPr>
        <w:t xml:space="preserve">- </w:t>
      </w:r>
      <w:r w:rsidRPr="00070ADE">
        <w:rPr>
          <w:rStyle w:val="16"/>
          <w:rFonts w:ascii="Times New Roman" w:hAnsi="Times New Roman" w:cs="Times New Roman"/>
          <w:color w:val="000000" w:themeColor="text1"/>
          <w:spacing w:val="0"/>
          <w:u w:val="none"/>
        </w:rPr>
        <w:t>реактивный двигатель</w:t>
      </w:r>
      <w:r w:rsidRPr="00070ADE">
        <w:rPr>
          <w:rFonts w:ascii="Times New Roman" w:hAnsi="Times New Roman"/>
          <w:color w:val="000000" w:themeColor="text1"/>
          <w:sz w:val="16"/>
          <w:szCs w:val="16"/>
        </w:rPr>
        <w:t xml:space="preserve"> с мотором ВК-107А, винтом и ком</w:t>
      </w:r>
      <w:r w:rsidRPr="00070ADE">
        <w:rPr>
          <w:rFonts w:ascii="Times New Roman" w:hAnsi="Times New Roman"/>
          <w:color w:val="000000" w:themeColor="text1"/>
          <w:sz w:val="16"/>
          <w:szCs w:val="16"/>
        </w:rPr>
        <w:softHyphen/>
        <w:t>прессором.</w:t>
      </w:r>
    </w:p>
    <w:p w14:paraId="2C4DC599"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должен иметь следующие характеристики:</w:t>
      </w:r>
    </w:p>
    <w:p w14:paraId="3EA24A09" w14:textId="77777777" w:rsidR="00DF15BD" w:rsidRPr="00070ADE" w:rsidRDefault="00DF15BD" w:rsidP="00B56F90">
      <w:pPr>
        <w:tabs>
          <w:tab w:val="left" w:pos="366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сухой вес - 950 .кг,.</w:t>
      </w:r>
    </w:p>
    <w:p w14:paraId="72FF11BC"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нормальная тяга у земли прк скорости 720 км/час удельная тяга на номинальной резюме на кг топлива не ниже</w:t>
      </w:r>
    </w:p>
    <w:p w14:paraId="3E584AAA"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пред'явления двигателя на заводские испыта</w:t>
      </w:r>
      <w:r w:rsidRPr="00070ADE">
        <w:rPr>
          <w:rFonts w:ascii="Times New Roman" w:hAnsi="Times New Roman"/>
          <w:color w:val="000000" w:themeColor="text1"/>
          <w:sz w:val="16"/>
          <w:szCs w:val="16"/>
        </w:rPr>
        <w:softHyphen/>
        <w:t>ния - декабрь 1944: года.</w:t>
      </w:r>
    </w:p>
    <w:p w14:paraId="5C352EDA"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Начальнику ДКАМ т.Поликовскому В.И, и конст</w:t>
      </w:r>
      <w:r w:rsidRPr="00070ADE">
        <w:rPr>
          <w:rFonts w:ascii="Times New Roman" w:hAnsi="Times New Roman"/>
          <w:color w:val="000000" w:themeColor="text1"/>
          <w:sz w:val="16"/>
          <w:szCs w:val="16"/>
        </w:rPr>
        <w:softHyphen/>
        <w:t>руктору ЦИАН т.Толстову А.й. построить и пред*явить на заводские испытания воздушно-реактивный двигатель с мотозои АЧ-ЗОБ, винтов к компрессором.</w:t>
      </w:r>
    </w:p>
    <w:p w14:paraId="7F534BE4"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долген иметь следующие характеристики:</w:t>
      </w:r>
    </w:p>
    <w:p w14:paraId="39935CD8"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сухой вес - 1600 кг</w:t>
      </w:r>
    </w:p>
    <w:p w14:paraId="655D9D6A"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номинальная тяга у земли при скорости 800 км/час - 850</w:t>
      </w:r>
    </w:p>
    <w:p w14:paraId="536CC845"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номинальная тяга на высоте 8000 м при скорости 800 км/час - 1250</w:t>
      </w:r>
    </w:p>
    <w:p w14:paraId="0F4BD3F7"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удельная тяга на номинальном режиме у земли на кг.топлива - 850</w:t>
      </w:r>
    </w:p>
    <w:p w14:paraId="6B0F567C"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Style w:val="5pt"/>
          <w:rFonts w:ascii="Times New Roman" w:hAnsi="Times New Roman" w:cs="Times New Roman"/>
          <w:color w:val="000000" w:themeColor="text1"/>
          <w:spacing w:val="0"/>
          <w:sz w:val="16"/>
          <w:szCs w:val="16"/>
        </w:rPr>
        <w:t>Тоже</w:t>
      </w:r>
      <w:r w:rsidRPr="00070ADE">
        <w:rPr>
          <w:rFonts w:ascii="Times New Roman" w:hAnsi="Times New Roman"/>
          <w:color w:val="000000" w:themeColor="text1"/>
          <w:sz w:val="16"/>
          <w:szCs w:val="16"/>
        </w:rPr>
        <w:t xml:space="preserve"> на высоте 8000 м - 1250</w:t>
      </w:r>
    </w:p>
    <w:p w14:paraId="4675D63F"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пред</w:t>
      </w:r>
      <w:r w:rsidRPr="00070ADE">
        <w:rPr>
          <w:rFonts w:ascii="Times New Roman" w:hAnsi="Times New Roman"/>
          <w:color w:val="000000" w:themeColor="text1"/>
          <w:sz w:val="16"/>
          <w:szCs w:val="16"/>
          <w:vertAlign w:val="superscript"/>
        </w:rPr>
        <w:t>1</w:t>
      </w:r>
      <w:r w:rsidRPr="00070ADE">
        <w:rPr>
          <w:rFonts w:ascii="Times New Roman" w:hAnsi="Times New Roman"/>
          <w:color w:val="000000" w:themeColor="text1"/>
          <w:sz w:val="16"/>
          <w:szCs w:val="16"/>
        </w:rPr>
        <w:t>явления двигателя на заводские испыта</w:t>
      </w:r>
      <w:r w:rsidRPr="00070ADE">
        <w:rPr>
          <w:rFonts w:ascii="Times New Roman" w:hAnsi="Times New Roman"/>
          <w:color w:val="000000" w:themeColor="text1"/>
          <w:sz w:val="16"/>
          <w:szCs w:val="16"/>
        </w:rPr>
        <w:softHyphen/>
        <w:t>ния - декабрь 1944 года.</w:t>
      </w:r>
    </w:p>
    <w:p w14:paraId="31A90AD3"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Начальнику ЦИАН т.Поликовскому В.К. я конструк</w:t>
      </w:r>
      <w:r w:rsidRPr="00070ADE">
        <w:rPr>
          <w:rFonts w:ascii="Times New Roman" w:hAnsi="Times New Roman"/>
          <w:color w:val="000000" w:themeColor="text1"/>
          <w:sz w:val="16"/>
          <w:szCs w:val="16"/>
        </w:rPr>
        <w:softHyphen/>
        <w:t>тору ЦИАМ т.Уварову В.З. построить и пред"явить на стендовые испытания для снятия характеристик экспери</w:t>
      </w:r>
      <w:r w:rsidRPr="00070ADE">
        <w:rPr>
          <w:rFonts w:ascii="Times New Roman" w:hAnsi="Times New Roman"/>
          <w:color w:val="000000" w:themeColor="text1"/>
          <w:sz w:val="16"/>
          <w:szCs w:val="16"/>
        </w:rPr>
        <w:softHyphen/>
        <w:t>ментальный воздушно-реактивный двигатель с компрессо</w:t>
      </w:r>
      <w:r w:rsidRPr="00070ADE">
        <w:rPr>
          <w:rFonts w:ascii="Times New Roman" w:hAnsi="Times New Roman"/>
          <w:color w:val="000000" w:themeColor="text1"/>
          <w:sz w:val="16"/>
          <w:szCs w:val="16"/>
        </w:rPr>
        <w:softHyphen/>
        <w:t>ром, газовой турбишой и винтом.</w:t>
      </w:r>
    </w:p>
    <w:p w14:paraId="3D11159F"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должен иметь следующие характеристики:</w:t>
      </w:r>
    </w:p>
    <w:p w14:paraId="53774DDA"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диаметр двигателя - 550</w:t>
      </w:r>
    </w:p>
    <w:p w14:paraId="22F27CEA"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сухой вес - 400</w:t>
      </w:r>
    </w:p>
    <w:p w14:paraId="4BAED2E2"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номинальная тяга у земли при скорости 650 км/час - 300</w:t>
      </w:r>
    </w:p>
    <w:p w14:paraId="0CDCF295"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удельная тяга на номинальном режиме на кг.топлива не ниже 2100 кг</w:t>
      </w:r>
    </w:p>
    <w:p w14:paraId="135306BD"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пред'явления двигателя на стендовые испыта</w:t>
      </w:r>
      <w:r w:rsidRPr="00070ADE">
        <w:rPr>
          <w:rFonts w:ascii="Times New Roman" w:hAnsi="Times New Roman"/>
          <w:color w:val="000000" w:themeColor="text1"/>
          <w:sz w:val="16"/>
          <w:szCs w:val="16"/>
        </w:rPr>
        <w:softHyphen/>
        <w:t>ния - март 1945 года.</w:t>
      </w:r>
    </w:p>
    <w:p w14:paraId="73363482"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 Обязать Наркомфин СССР т.Зверева выделить НКАП из резервного фонда СКК СССР:</w:t>
      </w:r>
    </w:p>
    <w:p w14:paraId="018953BF"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Style w:val="7pt0pt"/>
          <w:rFonts w:ascii="Times New Roman" w:hAnsi="Times New Roman" w:cs="Times New Roman"/>
          <w:b w:val="0"/>
          <w:color w:val="000000" w:themeColor="text1"/>
          <w:spacing w:val="0"/>
          <w:sz w:val="16"/>
          <w:szCs w:val="16"/>
        </w:rPr>
        <w:t>1. 20,5</w:t>
      </w:r>
      <w:r w:rsidRPr="00070ADE">
        <w:rPr>
          <w:rFonts w:ascii="Times New Roman" w:hAnsi="Times New Roman"/>
          <w:color w:val="000000" w:themeColor="text1"/>
          <w:sz w:val="16"/>
          <w:szCs w:val="16"/>
        </w:rPr>
        <w:t xml:space="preserve"> миллионов рублей,</w:t>
      </w:r>
      <w:r w:rsidRPr="00070ADE">
        <w:rPr>
          <w:rStyle w:val="10pt0"/>
          <w:rFonts w:ascii="Times New Roman" w:hAnsi="Times New Roman" w:cs="Times New Roman"/>
          <w:color w:val="000000" w:themeColor="text1"/>
          <w:sz w:val="16"/>
          <w:szCs w:val="16"/>
        </w:rPr>
        <w:t xml:space="preserve"> </w:t>
      </w:r>
      <w:r w:rsidRPr="00070ADE">
        <w:rPr>
          <w:rStyle w:val="10pt0"/>
          <w:rFonts w:ascii="Times New Roman" w:hAnsi="Times New Roman" w:cs="Times New Roman"/>
          <w:b w:val="0"/>
          <w:color w:val="000000" w:themeColor="text1"/>
          <w:sz w:val="16"/>
          <w:szCs w:val="16"/>
        </w:rPr>
        <w:t>из них</w:t>
      </w:r>
      <w:r w:rsidRPr="00070ADE">
        <w:rPr>
          <w:rStyle w:val="7pt0pt"/>
          <w:rFonts w:ascii="Times New Roman" w:hAnsi="Times New Roman" w:cs="Times New Roman"/>
          <w:b w:val="0"/>
          <w:color w:val="000000" w:themeColor="text1"/>
          <w:spacing w:val="0"/>
          <w:sz w:val="16"/>
          <w:szCs w:val="16"/>
        </w:rPr>
        <w:t>:</w:t>
      </w:r>
      <w:r w:rsidRPr="00070ADE">
        <w:rPr>
          <w:rFonts w:ascii="Times New Roman" w:hAnsi="Times New Roman"/>
          <w:color w:val="000000" w:themeColor="text1"/>
          <w:sz w:val="16"/>
          <w:szCs w:val="16"/>
        </w:rPr>
        <w:t xml:space="preserve"> НИИ-1</w:t>
      </w:r>
      <w:r w:rsidRPr="00070ADE">
        <w:rPr>
          <w:rStyle w:val="7pt0pt"/>
          <w:rFonts w:ascii="Times New Roman" w:hAnsi="Times New Roman" w:cs="Times New Roman"/>
          <w:color w:val="000000" w:themeColor="text1"/>
          <w:spacing w:val="0"/>
          <w:sz w:val="16"/>
          <w:szCs w:val="16"/>
        </w:rPr>
        <w:t xml:space="preserve"> - </w:t>
      </w:r>
      <w:r w:rsidRPr="00070ADE">
        <w:rPr>
          <w:rStyle w:val="7pt0pt"/>
          <w:rFonts w:ascii="Times New Roman" w:hAnsi="Times New Roman" w:cs="Times New Roman"/>
          <w:b w:val="0"/>
          <w:color w:val="000000" w:themeColor="text1"/>
          <w:spacing w:val="0"/>
          <w:sz w:val="16"/>
          <w:szCs w:val="16"/>
        </w:rPr>
        <w:t>8,5</w:t>
      </w:r>
      <w:r w:rsidRPr="00070ADE">
        <w:rPr>
          <w:rFonts w:ascii="Times New Roman" w:hAnsi="Times New Roman"/>
          <w:color w:val="000000" w:themeColor="text1"/>
          <w:sz w:val="16"/>
          <w:szCs w:val="16"/>
        </w:rPr>
        <w:t xml:space="preserve"> мил</w:t>
      </w:r>
      <w:r w:rsidRPr="00070ADE">
        <w:rPr>
          <w:rFonts w:ascii="Times New Roman" w:hAnsi="Times New Roman"/>
          <w:color w:val="000000" w:themeColor="text1"/>
          <w:sz w:val="16"/>
          <w:szCs w:val="16"/>
        </w:rPr>
        <w:softHyphen/>
        <w:t>лионов рублей, ЦИАМ - 9 миллионов рублей и ОКБ завода № 16 - 3 миллиона рублей, для проведения работ по реак</w:t>
      </w:r>
      <w:r w:rsidRPr="00070ADE">
        <w:rPr>
          <w:rFonts w:ascii="Times New Roman" w:hAnsi="Times New Roman"/>
          <w:color w:val="000000" w:themeColor="text1"/>
          <w:sz w:val="16"/>
          <w:szCs w:val="16"/>
        </w:rPr>
        <w:softHyphen/>
        <w:t>тивный двигателях.</w:t>
      </w:r>
    </w:p>
    <w:p w14:paraId="0C5E64E3"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Style w:val="7pt0pt"/>
          <w:rFonts w:ascii="Times New Roman" w:hAnsi="Times New Roman" w:cs="Times New Roman"/>
          <w:color w:val="000000" w:themeColor="text1"/>
          <w:spacing w:val="0"/>
          <w:sz w:val="16"/>
          <w:szCs w:val="16"/>
        </w:rPr>
        <w:t>2.</w:t>
      </w:r>
      <w:r w:rsidRPr="00070ADE">
        <w:rPr>
          <w:rFonts w:ascii="Times New Roman" w:hAnsi="Times New Roman"/>
          <w:color w:val="000000" w:themeColor="text1"/>
          <w:sz w:val="16"/>
          <w:szCs w:val="16"/>
        </w:rPr>
        <w:t xml:space="preserve"> Премиальный фонд в сумме четыре миллиона руб</w:t>
      </w:r>
      <w:r w:rsidRPr="00070ADE">
        <w:rPr>
          <w:rFonts w:ascii="Times New Roman" w:hAnsi="Times New Roman"/>
          <w:color w:val="000000" w:themeColor="text1"/>
          <w:sz w:val="16"/>
          <w:szCs w:val="16"/>
        </w:rPr>
        <w:softHyphen/>
        <w:t>лей для стимулирования выполнения заданий, перечислен</w:t>
      </w:r>
      <w:r w:rsidRPr="00070ADE">
        <w:rPr>
          <w:rFonts w:ascii="Times New Roman" w:hAnsi="Times New Roman"/>
          <w:color w:val="000000" w:themeColor="text1"/>
          <w:sz w:val="16"/>
          <w:szCs w:val="16"/>
        </w:rPr>
        <w:softHyphen/>
        <w:t>ные в настоящем постановлении.</w:t>
      </w:r>
    </w:p>
    <w:p w14:paraId="1C51092C"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1У. Наркомавиапрому тов.Шахурину А.И. из указанного премиального фонда выделить в распоряжение ответствен</w:t>
      </w:r>
      <w:r w:rsidRPr="00070ADE">
        <w:rPr>
          <w:rFonts w:ascii="Times New Roman" w:hAnsi="Times New Roman"/>
          <w:color w:val="000000" w:themeColor="text1"/>
          <w:sz w:val="16"/>
          <w:szCs w:val="16"/>
        </w:rPr>
        <w:softHyphen/>
        <w:t>ных ва задания лиц следующие сумм: НИИ-1 - 2 миллиона рублей, заводу № 16 500 тысяч рублей, ЦИАМ'у - 1,5 миллиона рублей.</w:t>
      </w:r>
    </w:p>
    <w:p w14:paraId="6BD99E82" w14:textId="77777777" w:rsidR="00DF15BD" w:rsidRPr="00070ADE" w:rsidRDefault="00DF15BD" w:rsidP="00B56F90">
      <w:pPr>
        <w:tabs>
          <w:tab w:val="left" w:pos="97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1У. Предоставить право начальнику НИИ-1, директору завода № 16 и начальнику ЦИАМ 50% выделенного настоящим- постановлением премиального фонда расходовать на преми</w:t>
      </w:r>
      <w:r w:rsidRPr="00070ADE">
        <w:rPr>
          <w:rFonts w:ascii="Times New Roman" w:hAnsi="Times New Roman"/>
          <w:color w:val="000000" w:themeColor="text1"/>
          <w:sz w:val="16"/>
          <w:szCs w:val="16"/>
        </w:rPr>
        <w:softHyphen/>
        <w:t>рование в процессе выполнения заданий отличившихся ра</w:t>
      </w:r>
      <w:r w:rsidRPr="00070ADE">
        <w:rPr>
          <w:rFonts w:ascii="Times New Roman" w:hAnsi="Times New Roman"/>
          <w:color w:val="000000" w:themeColor="text1"/>
          <w:sz w:val="16"/>
          <w:szCs w:val="16"/>
        </w:rPr>
        <w:softHyphen/>
        <w:t>ботников и остальные 50% - на премирование их по окон</w:t>
      </w:r>
      <w:r w:rsidRPr="00070ADE">
        <w:rPr>
          <w:rFonts w:ascii="Times New Roman" w:hAnsi="Times New Roman"/>
          <w:color w:val="000000" w:themeColor="text1"/>
          <w:sz w:val="16"/>
          <w:szCs w:val="16"/>
        </w:rPr>
        <w:softHyphen/>
        <w:t>чании выполнения гадания.</w:t>
      </w:r>
    </w:p>
    <w:p w14:paraId="16A2C84B" w14:textId="51E018E4" w:rsidR="00DF15BD" w:rsidRPr="00070ADE" w:rsidRDefault="00DF15BD" w:rsidP="00B56F90">
      <w:pPr>
        <w:tabs>
          <w:tab w:val="left" w:pos="87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Установить лично ответственным конструкторам реактивных двигателей, строящихся по настоящнму</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поста</w:t>
      </w:r>
      <w:r w:rsidRPr="00070ADE">
        <w:rPr>
          <w:rFonts w:ascii="Times New Roman" w:hAnsi="Times New Roman"/>
          <w:color w:val="000000" w:themeColor="text1"/>
          <w:sz w:val="16"/>
          <w:szCs w:val="16"/>
        </w:rPr>
        <w:softHyphen/>
        <w:t>новлению, премии за выполнение заданий в срок в разме</w:t>
      </w:r>
      <w:r w:rsidRPr="00070ADE">
        <w:rPr>
          <w:rFonts w:ascii="Times New Roman" w:hAnsi="Times New Roman"/>
          <w:color w:val="000000" w:themeColor="text1"/>
          <w:sz w:val="16"/>
          <w:szCs w:val="16"/>
        </w:rPr>
        <w:softHyphen/>
        <w:t>ре от 75 до 150 тыс. рублей по каждому двигателю.</w:t>
      </w:r>
    </w:p>
    <w:p w14:paraId="7DEAA60E" w14:textId="77777777" w:rsidR="00DF15BD" w:rsidRPr="00070ADE" w:rsidRDefault="00DF15BD" w:rsidP="00B56F90">
      <w:pPr>
        <w:tabs>
          <w:tab w:val="left" w:pos="97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У1. Ввиду особой важности создания реактивных дви</w:t>
      </w:r>
      <w:r w:rsidRPr="00070ADE">
        <w:rPr>
          <w:rFonts w:ascii="Times New Roman" w:hAnsi="Times New Roman"/>
          <w:color w:val="000000" w:themeColor="text1"/>
          <w:sz w:val="16"/>
          <w:szCs w:val="16"/>
        </w:rPr>
        <w:softHyphen/>
        <w:t>гателей, представить к правительственной награде тех конструкторов и конструкторские коллективы, двигатели которых пройдут государственные стендовые испытания и будут иметь данные, установленные настоящим постанов</w:t>
      </w:r>
      <w:r w:rsidRPr="00070ADE">
        <w:rPr>
          <w:rFonts w:ascii="Times New Roman" w:hAnsi="Times New Roman"/>
          <w:color w:val="000000" w:themeColor="text1"/>
          <w:sz w:val="16"/>
          <w:szCs w:val="16"/>
        </w:rPr>
        <w:softHyphen/>
        <w:t>лением (19493).</w:t>
      </w:r>
    </w:p>
    <w:p w14:paraId="2DF16BDC" w14:textId="77777777" w:rsidR="00A60A7C" w:rsidRPr="00070ADE" w:rsidRDefault="00A60A7C" w:rsidP="00B56F90">
      <w:pPr>
        <w:autoSpaceDE w:val="0"/>
        <w:autoSpaceDN w:val="0"/>
        <w:adjustRightInd w:val="0"/>
        <w:spacing w:after="0" w:line="240" w:lineRule="auto"/>
        <w:jc w:val="both"/>
        <w:rPr>
          <w:rFonts w:ascii="Times New Roman" w:hAnsi="Times New Roman"/>
          <w:color w:val="000000" w:themeColor="text1"/>
          <w:sz w:val="16"/>
          <w:szCs w:val="16"/>
        </w:rPr>
      </w:pPr>
    </w:p>
    <w:p w14:paraId="21C3ABAB"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вышло:</w:t>
      </w:r>
    </w:p>
    <w:p w14:paraId="6A9D834E"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 ГОСУДАРСТВЕННОГО КОМИТЕТА ОБОРОНЫ № 5945сс</w:t>
      </w:r>
    </w:p>
    <w:p w14:paraId="37C32C6A"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создании авиационных реактивных двигателей</w:t>
      </w:r>
    </w:p>
    <w:p w14:paraId="558BB99F"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Считая важнейшей задачей Наркомавиапрома разработку и постройку авиационных реактивных двигателей, Государственный Комитет Обороны постановляет:</w:t>
      </w:r>
    </w:p>
    <w:p w14:paraId="6C5CDDCE"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1.Принять к сведенью сообщение Наркоиавиапрома т. Шахурина и ВВС КА т. Репина, что однокамерный жидкостный реактивный двигатель РД-1 конструкция Глушко прошел совместные стендовые испытания и имеет следующие данные:</w:t>
      </w:r>
    </w:p>
    <w:p w14:paraId="41B607E5"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максимальная тяга - 300 кг </w:t>
      </w:r>
    </w:p>
    <w:p w14:paraId="7F59B0EF"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номинальная тяга - 250 кг</w:t>
      </w:r>
    </w:p>
    <w:p w14:paraId="2EE5AB60"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минимальная тяга - 100 кг</w:t>
      </w:r>
    </w:p>
    <w:p w14:paraId="3BEC40BE"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удельная тяга на номинальном </w:t>
      </w:r>
    </w:p>
    <w:p w14:paraId="717C7BB5"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режиме на кг топлива - 185 кг</w:t>
      </w:r>
    </w:p>
    <w:p w14:paraId="4FA2C1EB"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удельная тяга на минимальном </w:t>
      </w:r>
    </w:p>
    <w:p w14:paraId="31F63541"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режиме на кг топлива - 150 кг</w:t>
      </w:r>
    </w:p>
    <w:p w14:paraId="4D65D322"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Обязать Наркомавиапром- тов. Шахурина А.И. и тов. Яковлева А.С, начальников - НИИ-1, ЦИАМ и констрикторов НКАП провести следующие работу;</w:t>
      </w:r>
    </w:p>
    <w:p w14:paraId="566194FE"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Директору завода № 16 тов. Лукину М.М., конструктору Глушко В.П. и начальнику НИИ-1 тов. Федорову П.И. построить и предъявить на государственные испытания трехкамерный жидкостный реактивный двигатель с насосной системой подачи.</w:t>
      </w:r>
    </w:p>
    <w:p w14:paraId="789DC5B6"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должен иметь следующие характеристики:</w:t>
      </w:r>
    </w:p>
    <w:p w14:paraId="57B6D778"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взлетная тяга - 900 кг </w:t>
      </w:r>
    </w:p>
    <w:p w14:paraId="1C74F648"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номинальная тяга - 750 кг</w:t>
      </w:r>
    </w:p>
    <w:p w14:paraId="4E18D9E8"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минимальная тяга - 100 кг</w:t>
      </w:r>
    </w:p>
    <w:p w14:paraId="2A6C8A80"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удельная тяга на номинальном </w:t>
      </w:r>
    </w:p>
    <w:p w14:paraId="210A1596"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режиме на кг топлива - 190 кг</w:t>
      </w:r>
    </w:p>
    <w:p w14:paraId="1AEAE11A"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предъявления двигателя на государственные испытания 1 января 1945 г.</w:t>
      </w:r>
    </w:p>
    <w:p w14:paraId="3FCA7278"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Начальнику НИИ-1 тов. Федорову П.И. и конструктору НИИ-1 тов. Исаеву А.М. построить и предъявить на государственные, испытания однокамерный жидкостный реактивный двигатель с подачей топлива из баков под давлением.</w:t>
      </w:r>
    </w:p>
    <w:p w14:paraId="54963F22"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должен иметь следующие характеристики:</w:t>
      </w:r>
    </w:p>
    <w:p w14:paraId="2300D784"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номинальная тяга - 1100 кг</w:t>
      </w:r>
    </w:p>
    <w:p w14:paraId="7258A676"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минимальная тяга не более - 400 кг</w:t>
      </w:r>
    </w:p>
    <w:p w14:paraId="4DF6EFF5"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удельная тяга на номинальном </w:t>
      </w:r>
    </w:p>
    <w:p w14:paraId="156063D9"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режиме на кг топлива - 200 кг</w:t>
      </w:r>
    </w:p>
    <w:p w14:paraId="2DE32724"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предъявления двигателя на государственные испытания - октябрь 1944 г.</w:t>
      </w:r>
    </w:p>
    <w:p w14:paraId="7E616977"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Начальнику НИИ-1- тов.Федорову П.И. и конструктору НИИ-1 тов. Душкину Л.С. :</w:t>
      </w:r>
    </w:p>
    <w:p w14:paraId="7A17EED1"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построить и предъявить на государственные, испытания однокамерный жидкостный реактивный двигатель с насосной системой подачи.</w:t>
      </w:r>
    </w:p>
    <w:p w14:paraId="0331BA0C"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должен иметь следующие характеристики:</w:t>
      </w:r>
    </w:p>
    <w:p w14:paraId="25BB040D"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взлетная тяга - 1400 кг</w:t>
      </w:r>
    </w:p>
    <w:p w14:paraId="12972837"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номинальная тяга - 1100 кг</w:t>
      </w:r>
    </w:p>
    <w:p w14:paraId="4BEE8705"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удельная тяга на номинальном </w:t>
      </w:r>
    </w:p>
    <w:p w14:paraId="18BE97C5"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режиме на кг топлива - 200 кг</w:t>
      </w:r>
    </w:p>
    <w:p w14:paraId="62D128F2"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Срок предъявления двигателя: </w:t>
      </w:r>
    </w:p>
    <w:p w14:paraId="0D1CB797"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заводские испытания - ноябрь 1944 и</w:t>
      </w:r>
    </w:p>
    <w:p w14:paraId="21BBD002"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государственные испытания - февраль 1945 г.</w:t>
      </w:r>
    </w:p>
    <w:p w14:paraId="3D27A063"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построить и предъявить на государственные, испытания двухкамерный жидкостный реактивный двигатель с насосной системой подачи.</w:t>
      </w:r>
    </w:p>
    <w:p w14:paraId="3440D0A1"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должен иметь следующие характеристики:</w:t>
      </w:r>
    </w:p>
    <w:p w14:paraId="35908216"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взлетная тяга - 1400 кг</w:t>
      </w:r>
    </w:p>
    <w:p w14:paraId="03DB586B"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номинальная тяга - 1100 кг</w:t>
      </w:r>
    </w:p>
    <w:p w14:paraId="10DBACDB"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минимальная тяга - 200 кг</w:t>
      </w:r>
    </w:p>
    <w:p w14:paraId="568318EF"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удельная тяга на номинальном </w:t>
      </w:r>
    </w:p>
    <w:p w14:paraId="7E607EAF"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режиме на кг топлива - 200 кг</w:t>
      </w:r>
    </w:p>
    <w:p w14:paraId="56E8F510"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удельная тяга на минимальном </w:t>
      </w:r>
    </w:p>
    <w:p w14:paraId="420E3975"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режиме на кг топлива - 160 кг</w:t>
      </w:r>
    </w:p>
    <w:p w14:paraId="36BF24C2"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Срок предъявления двигателя: </w:t>
      </w:r>
    </w:p>
    <w:p w14:paraId="5DF1E57D"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заводские испытания - декабрь 1944 и</w:t>
      </w:r>
    </w:p>
    <w:p w14:paraId="23FDE366"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государственные испытания - март 1945 г.</w:t>
      </w:r>
    </w:p>
    <w:p w14:paraId="5E09849D"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Начальнику НИИ-1 тов. Федорову П.И, и конструктору НИИ-1 тов.Люлька А.М. построить и предъявить на заводские испытания экспериментальный газотурбинный воздушно-реактивный двигатель с компрессором.</w:t>
      </w:r>
    </w:p>
    <w:p w14:paraId="2E315C98"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должен иметь следующие характеристики:</w:t>
      </w:r>
    </w:p>
    <w:p w14:paraId="36B9F9BA"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номинальная тяга у земли - 1250 кг</w:t>
      </w:r>
    </w:p>
    <w:p w14:paraId="17AE2B7D"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диаметр двигателя - 950 мм</w:t>
      </w:r>
    </w:p>
    <w:p w14:paraId="0FC728DD"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сухой вес - 900 кг</w:t>
      </w:r>
    </w:p>
    <w:p w14:paraId="66776094"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удельная тяга на номинальном </w:t>
      </w:r>
    </w:p>
    <w:p w14:paraId="0CC0F3BF"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режиме на кг топлива не ниже - 1500 кг</w:t>
      </w:r>
    </w:p>
    <w:p w14:paraId="6153A207"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предъявления двигателя на заводские испытания - 1 марта 1944</w:t>
      </w:r>
    </w:p>
    <w:p w14:paraId="607BD6DC"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Начальнику ЦИАМ тов. Поликовскому В.И. и конструкторам ЦИАМ т. Холщевникову К.В..и т. Фадееву А.А, построить и предъявить на заводские испытания воздушно-реактивный двигатель с мотором ВК-107А, винтом и компрессором.</w:t>
      </w:r>
    </w:p>
    <w:p w14:paraId="09EE9A7B"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должен иметь следующие характеристики:</w:t>
      </w:r>
    </w:p>
    <w:p w14:paraId="21A90B05"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сухой вес - 950 кг</w:t>
      </w:r>
    </w:p>
    <w:p w14:paraId="6D188A57"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номинальная тяга у земли при скорости 720 км/ч - 680 кг</w:t>
      </w:r>
    </w:p>
    <w:p w14:paraId="61802F67"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удельная тяга на номинальном режиме на кг топлива не ниже - 1500 кг</w:t>
      </w:r>
    </w:p>
    <w:p w14:paraId="0DA76FBE"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предъявления двигателя на заводские испытания - декабрь 1944</w:t>
      </w:r>
    </w:p>
    <w:p w14:paraId="6B768005"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Начальнику ЦИАМ тов. Поликовскому В.И и конструктору ЦИАМ тов. Толстову А.И. построить и предъявить на заводские испытания воздушно-реактивный двигатель с мотором АЧ-30Б, винтом и компрессором.</w:t>
      </w:r>
    </w:p>
    <w:p w14:paraId="3C1A4244"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сухой вес - 1600 кг</w:t>
      </w:r>
    </w:p>
    <w:p w14:paraId="566D0DAF"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номинальная тяга у земли</w:t>
      </w:r>
    </w:p>
    <w:p w14:paraId="30B2CA64"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скорости 800 км/ч - 850 кг</w:t>
      </w:r>
    </w:p>
    <w:p w14:paraId="560B33AC"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номинальная тяга на высоте</w:t>
      </w:r>
    </w:p>
    <w:p w14:paraId="06CA230E"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8000 м при скорости 800 км/час - 1250 кг</w:t>
      </w:r>
    </w:p>
    <w:p w14:paraId="13AF9433"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удельная тяга на номинальном </w:t>
      </w:r>
    </w:p>
    <w:p w14:paraId="51D52046"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режиме у земли на кг топлива не ниже - 850 кг</w:t>
      </w:r>
    </w:p>
    <w:p w14:paraId="7843FCA9"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 же на высоте 8000 м - 1250 кг</w:t>
      </w:r>
    </w:p>
    <w:p w14:paraId="6340DA6D"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предъявления двигателя на заводские испытания - декабрь 1944</w:t>
      </w:r>
    </w:p>
    <w:p w14:paraId="4A086B54"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Начальнику ЦИАМ тов. Поликовскому В.И. и конструктору ЦИАМ тов. Уварову В.В. построить и предъявить на стендовые испытания для снятия характеристик экспериментальный воздушно-реактивный двигатель с компрессором, газовой турбиной и винтом.</w:t>
      </w:r>
    </w:p>
    <w:p w14:paraId="400A464A"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должен иметь следующие характеристики:</w:t>
      </w:r>
    </w:p>
    <w:p w14:paraId="65375760"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диаметр двигателя -550 мм</w:t>
      </w:r>
    </w:p>
    <w:p w14:paraId="171FFD8E"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сухой вес - 440 кг</w:t>
      </w:r>
    </w:p>
    <w:p w14:paraId="414EF7D8"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номинальная тяга у земли</w:t>
      </w:r>
    </w:p>
    <w:p w14:paraId="0D86E959"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скорости 650 км/ч - 300 кг</w:t>
      </w:r>
    </w:p>
    <w:p w14:paraId="0BB2A093"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удельная тяга на номинальном </w:t>
      </w:r>
    </w:p>
    <w:p w14:paraId="5EC6E571"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режиме на кг топлива не ниже - 2100 кг</w:t>
      </w:r>
    </w:p>
    <w:p w14:paraId="0F5D092E"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предъявления двигателя на стендовые испытания - март 1945</w:t>
      </w:r>
    </w:p>
    <w:p w14:paraId="7F35D71D"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Обязать Наркомфин СССР тов. Зверева выделить НКАП из резервного фонда СНК СССР:</w:t>
      </w:r>
    </w:p>
    <w:p w14:paraId="4F8A7696"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20,5 миллионов рублей, из них: НИИ-1 - 8,5 миллионов рублей, ЦИАМ - 9 миллионов рублей и ОКБ завода № 16 - 3 миллиона рублей, для проведения работ по реактивным двигателям.</w:t>
      </w:r>
    </w:p>
    <w:p w14:paraId="0DF4267F"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Премиальный фонд в сумме четыре миллиона рублей для стимулирования выполнения заданий, перечисленных в настоящем постановлении.</w:t>
      </w:r>
    </w:p>
    <w:p w14:paraId="6A758CFB"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Наркомавиапрому тов. Шахурину А.И. из указанного премиального фонда выделить в распоряжение ответственных за задания лиц следующие суммы: НИИ-1 - 2 миллиона рублей, заводу № 16 - 500 тысяч рублей, ЦИАМ'у - 1,5 миллиона рублей.</w:t>
      </w:r>
    </w:p>
    <w:p w14:paraId="3AAE77E3"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IV. Предоставить право начальнику НИИ-1, директору завода № 16 и начальнику ЦИАМ 50 % выделенного настоящим постановлением премиального фонда расходовать на премирование в процессе выполнения заданий отличившихся работников и остальные 50% - на премирование их по окончании выполнения задания.</w:t>
      </w:r>
    </w:p>
    <w:p w14:paraId="523A1F39"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V. Установить лично ответственным конструкторам реактивных двигателей, строящихся по настоящему постановлению, премии за выполнение заданий в срок в размере от 75 до 150 тысяч рублей по каждому двигателю.</w:t>
      </w:r>
    </w:p>
    <w:p w14:paraId="1ACCACCB"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VI. Ввиду особой важности создания реактивных двигателей, представить к правительственной награде тех конструкторов и конструкторские коллективы, двигатели которых пройдут государственные стендовые испытания и будут иметь данные установленные настоящим постановлением.</w:t>
      </w:r>
    </w:p>
    <w:p w14:paraId="390DAE7B"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ПРЕДСЕДАТЕЛЬ ГОСУДАРСТВЕННОГО КОМИТЕТА ОБОРОНЫ (И. Сталин) </w:t>
      </w:r>
    </w:p>
    <w:p w14:paraId="5CEB6A24"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Поликовский А. Толстов В. Уваров В. Фадеев К. Холщевников Л. Душкин А. Исаев А.Люлька С. Шишкин (11813).</w:t>
      </w:r>
    </w:p>
    <w:p w14:paraId="4E53CF87" w14:textId="77777777" w:rsidR="00DF15BD" w:rsidRPr="00070ADE" w:rsidRDefault="00DF15BD"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4D4F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года постановлением ГКО № 5945 возобновилость создание ТРД. Сегодня есть все основания считать, что толчком к появлению этого постановления стал первый в СССР проект самолета с газотурбинным двигателем, предложенный в конце 1943-го - начале 1944-го М. И. Гудковым.</w:t>
      </w:r>
    </w:p>
    <w:p w14:paraId="30FC2D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базировался на том же ЛаГГ-3 и был выполнен по реданной схеме: двигатель располагался под фюзеляжем, горячие газы отводились под хвостовую часть фюзеляжа, защищенную стальным экраном.</w:t>
      </w:r>
    </w:p>
    <w:p w14:paraId="5559AF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Машина выглядела необычно, поэтому для выяснения возможности ее постройки создали специальную комиссию, посчитавшую необходимым продолжить работу над ТРД, а постройку машины -преждевременной. И все же проект Гудкова сделал свое дело, возобновилась разработка ТРД, а после окончания войны отечественные конструкторы использовали для своих реактивных первенцев реданную схему (7686,5).</w:t>
      </w:r>
    </w:p>
    <w:p w14:paraId="6CB776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5900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г. вышли постановления ГОКО № 5945 "О создании авиационных реактивных двигателей" и № 5946 "О создании самолетов с реактивными двигателями".</w:t>
      </w:r>
    </w:p>
    <w:p w14:paraId="5274986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пунктом 4 постановления № 5945 начальнику НИИ-1 П.И. Федорову и конструктору НИИ-1 А.М. Люлька поручалась постройка и предъявление к 1 марта 1945 г. на заводские испытания экспериментального газотурбинного ВРД со статической тягой 1250 кг. Постановлением № 5946 на главного конструктора завода № 21 С.М. Лавочкина возлагалось создание экспериментального реактивного истребителя с двигателем конструкции Люлька. По проекту самолет должен был обладать максимальной скоростью 850 км/ч на высоте 5000 м, временем набора этой высоты - 2,5 мин и практическим потолком 15000 м. Продолжительность полета на скорости 0,8Vmax не превышала 20 мин. Вооружение включало одну пушку калибра 23 мм и две - калибра 20 мм с общим боезапасом 400 снарядов.</w:t>
      </w:r>
    </w:p>
    <w:p w14:paraId="5E0744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обеспечение указанной работы на начальника НИИ-1 Федорова и конструктора НИИ-1 Люлька возлагалась задача к 15 января 1945 г. отправить в ОКБ Лавочкина макетный двигатель, а к 1 ноября и 1 декабря 1945 г. - второй и третий рабочие экземпляры ТР-1. Сухой вес двигателя не должен был превышать 900 кг, а диаметр - 950 мм.</w:t>
      </w:r>
    </w:p>
    <w:p w14:paraId="57DB5B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как в НИИ-1 производственной базы для создания ГТД не было, решением правительства СССР в 1945 г. на небольшом московском механическом заводе штампов и приспособлений № 165 была развернута опытно-конструкторская база по изготовлению реактивных двигателей (9018).</w:t>
      </w:r>
    </w:p>
    <w:p w14:paraId="15534E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F23D72" w14:textId="77777777" w:rsidR="00DF15BD" w:rsidRPr="00070ADE" w:rsidRDefault="00DF15BD"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22 мая</w:t>
      </w:r>
      <w:r w:rsidRPr="00070ADE">
        <w:rPr>
          <w:rFonts w:ascii="Times New Roman" w:hAnsi="Times New Roman"/>
          <w:color w:val="000000" w:themeColor="text1"/>
          <w:sz w:val="16"/>
          <w:szCs w:val="16"/>
        </w:rPr>
        <w:t xml:space="preserve"> в 1944 году, состоялось постановление правительства "О создании авиационных реактивных двигателей", один из пунктов которого предписывал начальнику НИИ-1 П.И.Федорову и конструктору А.М.Люльке построить экспериментальный газотурбинный ВРД со статической тягой 1250кгс и предъявить его на заводские испытаний к 1 марта 1945 года. Так как в НИИ-1 производственной базы для создания ТРД не было, решением правительства на небольшом московском механическом заводе штампов и приспособлений № 165 развернули опытно-конструкторскую базу по изготовлению реактивных двигателей. В начале 1945 года на этом предприятии был изготовлен первый экземпляр экспериментального ТРД С-18, спроектированного группой А.М.Люльки. К сентябрю предполагалось построить и предъявить на летные испытания модификации истребителей Як-9, Ла-5 и Су-6 2ТК-3 с дополнительными ЖРД РД-1, разработанными В. П. Глушко в ОКБ НКВД при заводе № 16. При работе ускорителей на самолетах Як-9 и Ла-5 время набора высоты 5000 м должно было уменьшиться до трех минут, а максимальная горизонтальная скорость полета - возрасти до 780 км/ч на отрезке времени до трех минут (14899).</w:t>
      </w:r>
    </w:p>
    <w:p w14:paraId="632C1B53" w14:textId="77777777" w:rsidR="00DF15BD" w:rsidRPr="00070ADE" w:rsidRDefault="00DF15BD" w:rsidP="00B56F90">
      <w:pPr>
        <w:spacing w:after="0" w:line="240" w:lineRule="auto"/>
        <w:jc w:val="both"/>
        <w:rPr>
          <w:rFonts w:ascii="Times New Roman" w:hAnsi="Times New Roman"/>
          <w:color w:val="000000" w:themeColor="text1"/>
          <w:sz w:val="16"/>
          <w:szCs w:val="16"/>
        </w:rPr>
      </w:pPr>
    </w:p>
    <w:p w14:paraId="2E2121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года вышло Постановление ГОКО за № 5945сс и 30 мая 1944 года приказ НКАП № 370сс, которыми завод № 293 МАП был передан НИИ-1 в качестве его филиала (9360).</w:t>
      </w:r>
    </w:p>
    <w:p w14:paraId="48218A6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C855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вышло Постановление ГКО № 5946 О создании самолетов с реактивными двигателями. РГАНИР, Фонд ГКО, д. 255, лл. 88-102,103-117 (11012).</w:t>
      </w:r>
    </w:p>
    <w:p w14:paraId="2578C0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48CDC59"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вышло Постановление ГКО № 5946 О создании самолетов с реактивными двигателями</w:t>
      </w:r>
    </w:p>
    <w:p w14:paraId="4AEDFCED"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Придавая исключительно важное значение делу создания самолетов с реактивными двигателями, Государствен</w:t>
      </w:r>
      <w:r w:rsidRPr="00070ADE">
        <w:rPr>
          <w:rFonts w:ascii="Times New Roman" w:hAnsi="Times New Roman"/>
          <w:color w:val="000000" w:themeColor="text1"/>
          <w:sz w:val="16"/>
          <w:szCs w:val="16"/>
        </w:rPr>
        <w:softHyphen/>
        <w:t>ный Комитет С бороны постановляет:</w:t>
      </w:r>
    </w:p>
    <w:p w14:paraId="270CEB96"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Обязать Наркомавиапром - т.т. Шахур.чна </w:t>
      </w:r>
      <w:r w:rsidRPr="00070ADE">
        <w:rPr>
          <w:rStyle w:val="0pt"/>
          <w:rFonts w:ascii="Times New Roman" w:hAnsi="Times New Roman" w:cs="Times New Roman"/>
          <w:color w:val="000000" w:themeColor="text1"/>
          <w:spacing w:val="0"/>
          <w:sz w:val="16"/>
          <w:szCs w:val="16"/>
        </w:rPr>
        <w:t>A.H.,</w:t>
      </w:r>
      <w:r w:rsidRPr="00070ADE">
        <w:rPr>
          <w:rFonts w:ascii="Times New Roman" w:hAnsi="Times New Roman"/>
          <w:color w:val="000000" w:themeColor="text1"/>
          <w:sz w:val="16"/>
          <w:szCs w:val="16"/>
        </w:rPr>
        <w:t xml:space="preserve"> Яков</w:t>
      </w:r>
      <w:r w:rsidRPr="00070ADE">
        <w:rPr>
          <w:rFonts w:ascii="Times New Roman" w:hAnsi="Times New Roman"/>
          <w:color w:val="000000" w:themeColor="text1"/>
          <w:sz w:val="16"/>
          <w:szCs w:val="16"/>
        </w:rPr>
        <w:softHyphen/>
        <w:t xml:space="preserve">лева А.С. и главных конструкторов НКАП - т.т.ЛавочкинаС.А., Поликарпова Н.Н., Микояна </w:t>
      </w:r>
      <w:r w:rsidRPr="00070ADE">
        <w:rPr>
          <w:rFonts w:ascii="Times New Roman" w:hAnsi="Times New Roman"/>
          <w:color w:val="000000" w:themeColor="text1"/>
          <w:sz w:val="16"/>
          <w:szCs w:val="16"/>
          <w:lang w:val="en-US"/>
        </w:rPr>
        <w:t>A</w:t>
      </w:r>
      <w:r w:rsidRPr="00070ADE">
        <w:rPr>
          <w:rFonts w:ascii="Times New Roman" w:hAnsi="Times New Roman"/>
          <w:color w:val="000000" w:themeColor="text1"/>
          <w:sz w:val="16"/>
          <w:szCs w:val="16"/>
        </w:rPr>
        <w:t>.И., Гуревича М.И. и Сухого П.О. провести следующие работы:</w:t>
      </w:r>
    </w:p>
    <w:p w14:paraId="35B6AB04"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главного конструктора т.Яковлева А.С.</w:t>
      </w:r>
    </w:p>
    <w:p w14:paraId="3BCB83E8"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Главному конструктору т.Яковлеву А.С. спроекти</w:t>
      </w:r>
      <w:r w:rsidRPr="00070ADE">
        <w:rPr>
          <w:rFonts w:ascii="Times New Roman" w:hAnsi="Times New Roman"/>
          <w:color w:val="000000" w:themeColor="text1"/>
          <w:sz w:val="16"/>
          <w:szCs w:val="16"/>
        </w:rPr>
        <w:softHyphen/>
        <w:t>ровать и достроить:</w:t>
      </w:r>
    </w:p>
    <w:p w14:paraId="099031C1"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модификацию самолета Лк-9 с мотором ВК-105ПФ с дополнительным однокамерным реактивным двигателем РД-1 конструкции Глушко со следующими летно-техническими дан</w:t>
      </w:r>
      <w:r w:rsidRPr="00070ADE">
        <w:rPr>
          <w:rFonts w:ascii="Times New Roman" w:hAnsi="Times New Roman"/>
          <w:color w:val="000000" w:themeColor="text1"/>
          <w:sz w:val="16"/>
          <w:szCs w:val="16"/>
        </w:rPr>
        <w:softHyphen/>
        <w:t>ными:</w:t>
      </w:r>
    </w:p>
    <w:p w14:paraId="7BD15DC0" w14:textId="1A272AA8" w:rsidR="00C20F3C" w:rsidRPr="00070ADE" w:rsidRDefault="00C20F3C" w:rsidP="00B56F90">
      <w:pPr>
        <w:tabs>
          <w:tab w:val="left" w:pos="144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с включением РД-1 на высоте 5000 мтр -</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780 клм в час</w:t>
      </w:r>
    </w:p>
    <w:p w14:paraId="2A068823" w14:textId="6068E0F3"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продолжительность действия РД-1 -</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3 минуты</w:t>
      </w:r>
    </w:p>
    <w:p w14:paraId="57A16414" w14:textId="77777777" w:rsidR="00C20F3C" w:rsidRPr="00070ADE" w:rsidRDefault="00C20F3C" w:rsidP="00B56F90">
      <w:pPr>
        <w:tabs>
          <w:tab w:val="left" w:pos="573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 мтр. с включением РД-1 - 3</w:t>
      </w:r>
    </w:p>
    <w:p w14:paraId="65894A66" w14:textId="77777777" w:rsidR="00C20F3C" w:rsidRPr="00070ADE" w:rsidRDefault="00C20F3C" w:rsidP="00B56F90">
      <w:pPr>
        <w:tabs>
          <w:tab w:val="left" w:pos="5527"/>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на режиме 350 клм. в час без включения РД-1 - 700 клм.</w:t>
      </w:r>
    </w:p>
    <w:p w14:paraId="5EF823EA"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то же, что у серийного самолета Як-9.</w:t>
      </w:r>
    </w:p>
    <w:p w14:paraId="7086A152"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построить в двух экземплярах и пред"явить на летные испытания:</w:t>
      </w:r>
    </w:p>
    <w:p w14:paraId="77E7B468" w14:textId="77777777" w:rsidR="00C20F3C" w:rsidRPr="00070ADE" w:rsidRDefault="00C20F3C" w:rsidP="00B56F90">
      <w:pPr>
        <w:tabs>
          <w:tab w:val="left" w:pos="109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1-й экземпляр - 15 августа </w:t>
      </w:r>
      <w:r w:rsidRPr="00070ADE">
        <w:rPr>
          <w:rStyle w:val="0pt"/>
          <w:rFonts w:ascii="Times New Roman" w:hAnsi="Times New Roman" w:cs="Times New Roman"/>
          <w:color w:val="000000" w:themeColor="text1"/>
          <w:spacing w:val="0"/>
          <w:sz w:val="16"/>
          <w:szCs w:val="16"/>
        </w:rPr>
        <w:t>1944</w:t>
      </w:r>
      <w:r w:rsidRPr="00070ADE">
        <w:rPr>
          <w:rFonts w:ascii="Times New Roman" w:hAnsi="Times New Roman"/>
          <w:color w:val="000000" w:themeColor="text1"/>
          <w:sz w:val="16"/>
          <w:szCs w:val="16"/>
        </w:rPr>
        <w:t xml:space="preserve"> года</w:t>
      </w:r>
    </w:p>
    <w:p w14:paraId="0F00F019" w14:textId="77777777" w:rsidR="00C20F3C" w:rsidRPr="00070ADE" w:rsidRDefault="00C20F3C" w:rsidP="00B56F90">
      <w:pPr>
        <w:tabs>
          <w:tab w:val="left" w:pos="111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2й экземпляр - 15 сентября </w:t>
      </w:r>
      <w:r w:rsidRPr="00070ADE">
        <w:rPr>
          <w:rStyle w:val="0pt"/>
          <w:rFonts w:ascii="Times New Roman" w:hAnsi="Times New Roman" w:cs="Times New Roman"/>
          <w:color w:val="000000" w:themeColor="text1"/>
          <w:spacing w:val="0"/>
          <w:sz w:val="16"/>
          <w:szCs w:val="16"/>
        </w:rPr>
        <w:t>1544</w:t>
      </w:r>
      <w:r w:rsidRPr="00070ADE">
        <w:rPr>
          <w:rFonts w:ascii="Times New Roman" w:hAnsi="Times New Roman"/>
          <w:color w:val="000000" w:themeColor="text1"/>
          <w:sz w:val="16"/>
          <w:szCs w:val="16"/>
        </w:rPr>
        <w:t xml:space="preserve"> года</w:t>
      </w:r>
    </w:p>
    <w:p w14:paraId="32079B5E"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экспериментальный реактивный истребитель с трехкамерным реактивным двигателем конструкции Глушко со следующими летно-техническиаи данными:</w:t>
      </w:r>
    </w:p>
    <w:p w14:paraId="68E02609"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максимальная скорость у земли </w:t>
      </w:r>
      <w:r w:rsidRPr="00070ADE">
        <w:rPr>
          <w:rStyle w:val="0pt"/>
          <w:rFonts w:ascii="Times New Roman" w:hAnsi="Times New Roman" w:cs="Times New Roman"/>
          <w:color w:val="000000" w:themeColor="text1"/>
          <w:spacing w:val="0"/>
          <w:sz w:val="16"/>
          <w:szCs w:val="16"/>
        </w:rPr>
        <w:t>675-709</w:t>
      </w:r>
      <w:r w:rsidRPr="00070ADE">
        <w:rPr>
          <w:rFonts w:ascii="Times New Roman" w:hAnsi="Times New Roman"/>
          <w:color w:val="000000" w:themeColor="text1"/>
          <w:sz w:val="16"/>
          <w:szCs w:val="16"/>
        </w:rPr>
        <w:t xml:space="preserve"> клм/час</w:t>
      </w:r>
    </w:p>
    <w:p w14:paraId="7A200CA5"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продолжительность полета на этой скорости у земли на макс, тяге - 5 минут</w:t>
      </w:r>
    </w:p>
    <w:p w14:paraId="3A920CEE"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продолжительность полета у зем</w:t>
      </w:r>
      <w:r w:rsidRPr="00070ADE">
        <w:rPr>
          <w:rFonts w:ascii="Times New Roman" w:hAnsi="Times New Roman"/>
          <w:color w:val="000000" w:themeColor="text1"/>
          <w:sz w:val="16"/>
          <w:szCs w:val="16"/>
        </w:rPr>
        <w:softHyphen/>
        <w:t>ли на минимальной тяге - 20 минут</w:t>
      </w:r>
    </w:p>
    <w:p w14:paraId="1006CB06"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высо</w:t>
      </w:r>
      <w:r w:rsidRPr="00070ADE">
        <w:rPr>
          <w:rFonts w:ascii="Times New Roman" w:hAnsi="Times New Roman"/>
          <w:color w:val="000000" w:themeColor="text1"/>
          <w:sz w:val="16"/>
          <w:szCs w:val="16"/>
        </w:rPr>
        <w:softHyphen/>
        <w:t>те свыше 5000 мтр. - 800 км/час</w:t>
      </w:r>
    </w:p>
    <w:p w14:paraId="6FA7605F"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продолжительность полета на этой скорости на высоте </w:t>
      </w:r>
      <w:r w:rsidRPr="00070ADE">
        <w:rPr>
          <w:rStyle w:val="0pt"/>
          <w:rFonts w:ascii="Times New Roman" w:hAnsi="Times New Roman" w:cs="Times New Roman"/>
          <w:color w:val="000000" w:themeColor="text1"/>
          <w:spacing w:val="0"/>
          <w:sz w:val="16"/>
          <w:szCs w:val="16"/>
        </w:rPr>
        <w:t xml:space="preserve">5000м. </w:t>
      </w:r>
      <w:r w:rsidRPr="00070ADE">
        <w:rPr>
          <w:rFonts w:ascii="Times New Roman" w:hAnsi="Times New Roman"/>
          <w:color w:val="000000" w:themeColor="text1"/>
          <w:sz w:val="16"/>
          <w:szCs w:val="16"/>
        </w:rPr>
        <w:t>на максимальной тяге - 2 минуты</w:t>
      </w:r>
    </w:p>
    <w:p w14:paraId="03290963"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продолжительность полета на вы</w:t>
      </w:r>
      <w:r w:rsidRPr="00070ADE">
        <w:rPr>
          <w:rFonts w:ascii="Times New Roman" w:hAnsi="Times New Roman"/>
          <w:color w:val="000000" w:themeColor="text1"/>
          <w:sz w:val="16"/>
          <w:szCs w:val="16"/>
        </w:rPr>
        <w:softHyphen/>
        <w:t>соте 5000мтр. на минимальной тяге - 10 минут</w:t>
      </w:r>
    </w:p>
    <w:p w14:paraId="5859CB98"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построить в двух экземплярах, и пред"явить на летные испытания:</w:t>
      </w:r>
    </w:p>
    <w:p w14:paraId="07E45BA5" w14:textId="77777777" w:rsidR="00C20F3C" w:rsidRPr="00070ADE" w:rsidRDefault="00C20F3C" w:rsidP="00B56F90">
      <w:pPr>
        <w:tabs>
          <w:tab w:val="left" w:pos="110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1й экземпляр - 1марта </w:t>
      </w:r>
      <w:r w:rsidRPr="00070ADE">
        <w:rPr>
          <w:rStyle w:val="0pt"/>
          <w:rFonts w:ascii="Times New Roman" w:hAnsi="Times New Roman" w:cs="Times New Roman"/>
          <w:color w:val="000000" w:themeColor="text1"/>
          <w:spacing w:val="0"/>
          <w:sz w:val="16"/>
          <w:szCs w:val="16"/>
        </w:rPr>
        <w:t>1945</w:t>
      </w:r>
      <w:r w:rsidRPr="00070ADE">
        <w:rPr>
          <w:rFonts w:ascii="Times New Roman" w:hAnsi="Times New Roman"/>
          <w:color w:val="000000" w:themeColor="text1"/>
          <w:sz w:val="16"/>
          <w:szCs w:val="16"/>
        </w:rPr>
        <w:t xml:space="preserve"> года</w:t>
      </w:r>
    </w:p>
    <w:p w14:paraId="5E9C6FC1" w14:textId="77777777" w:rsidR="00C20F3C" w:rsidRPr="00070ADE" w:rsidRDefault="00C20F3C" w:rsidP="00B56F90">
      <w:pPr>
        <w:tabs>
          <w:tab w:val="left" w:pos="110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2й экземпляр - 15апреля 1</w:t>
      </w:r>
      <w:r w:rsidRPr="00070ADE">
        <w:rPr>
          <w:rStyle w:val="0pt"/>
          <w:rFonts w:ascii="Times New Roman" w:hAnsi="Times New Roman" w:cs="Times New Roman"/>
          <w:color w:val="000000" w:themeColor="text1"/>
          <w:spacing w:val="0"/>
          <w:sz w:val="16"/>
          <w:szCs w:val="16"/>
        </w:rPr>
        <w:t>945</w:t>
      </w:r>
      <w:r w:rsidRPr="00070ADE">
        <w:rPr>
          <w:rFonts w:ascii="Times New Roman" w:hAnsi="Times New Roman"/>
          <w:color w:val="000000" w:themeColor="text1"/>
          <w:sz w:val="16"/>
          <w:szCs w:val="16"/>
        </w:rPr>
        <w:t xml:space="preserve"> года</w:t>
      </w:r>
    </w:p>
    <w:p w14:paraId="32781C66"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 обеспечение выполнения указанных работ обя</w:t>
      </w:r>
      <w:r w:rsidRPr="00070ADE">
        <w:rPr>
          <w:rFonts w:ascii="Times New Roman" w:hAnsi="Times New Roman"/>
          <w:color w:val="000000" w:themeColor="text1"/>
          <w:sz w:val="16"/>
          <w:szCs w:val="16"/>
        </w:rPr>
        <w:softHyphen/>
        <w:t>зать директора завода № 16 т.Лукина и конструктора Глушко:</w:t>
      </w:r>
    </w:p>
    <w:p w14:paraId="44E6545D" w14:textId="77777777" w:rsidR="00C20F3C" w:rsidRPr="00070ADE" w:rsidRDefault="00C20F3C" w:rsidP="00B56F90">
      <w:pPr>
        <w:tabs>
          <w:tab w:val="left" w:pos="39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 поставить заводу № </w:t>
      </w:r>
      <w:r w:rsidRPr="00070ADE">
        <w:rPr>
          <w:rStyle w:val="0pt"/>
          <w:rFonts w:ascii="Times New Roman" w:hAnsi="Times New Roman" w:cs="Times New Roman"/>
          <w:color w:val="000000" w:themeColor="text1"/>
          <w:spacing w:val="0"/>
          <w:sz w:val="16"/>
          <w:szCs w:val="16"/>
        </w:rPr>
        <w:t>115</w:t>
      </w:r>
      <w:r w:rsidRPr="00070ADE">
        <w:rPr>
          <w:rFonts w:ascii="Times New Roman" w:hAnsi="Times New Roman"/>
          <w:color w:val="000000" w:themeColor="text1"/>
          <w:sz w:val="16"/>
          <w:szCs w:val="16"/>
        </w:rPr>
        <w:t xml:space="preserve"> однокамерный двигатель с агрегатами в количестве 3-х экземпляров, из них:</w:t>
      </w:r>
    </w:p>
    <w:p w14:paraId="533F4F6C"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 экземпляра 1 июня </w:t>
      </w:r>
      <w:r w:rsidRPr="00070ADE">
        <w:rPr>
          <w:rStyle w:val="0pt"/>
          <w:rFonts w:ascii="Times New Roman" w:hAnsi="Times New Roman" w:cs="Times New Roman"/>
          <w:color w:val="000000" w:themeColor="text1"/>
          <w:spacing w:val="0"/>
          <w:sz w:val="16"/>
          <w:szCs w:val="16"/>
        </w:rPr>
        <w:t>1944</w:t>
      </w:r>
      <w:r w:rsidRPr="00070ADE">
        <w:rPr>
          <w:rFonts w:ascii="Times New Roman" w:hAnsi="Times New Roman"/>
          <w:color w:val="000000" w:themeColor="text1"/>
          <w:sz w:val="16"/>
          <w:szCs w:val="16"/>
        </w:rPr>
        <w:t xml:space="preserve"> года</w:t>
      </w:r>
    </w:p>
    <w:p w14:paraId="3ED6C1B2"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 экземпляр 20 июня </w:t>
      </w:r>
      <w:r w:rsidRPr="00070ADE">
        <w:rPr>
          <w:rStyle w:val="0pt"/>
          <w:rFonts w:ascii="Times New Roman" w:hAnsi="Times New Roman" w:cs="Times New Roman"/>
          <w:color w:val="000000" w:themeColor="text1"/>
          <w:spacing w:val="0"/>
          <w:sz w:val="16"/>
          <w:szCs w:val="16"/>
        </w:rPr>
        <w:t>1944</w:t>
      </w:r>
      <w:r w:rsidRPr="00070ADE">
        <w:rPr>
          <w:rStyle w:val="16"/>
          <w:rFonts w:ascii="Times New Roman" w:hAnsi="Times New Roman" w:cs="Times New Roman"/>
          <w:color w:val="000000" w:themeColor="text1"/>
          <w:spacing w:val="0"/>
          <w:u w:val="none"/>
        </w:rPr>
        <w:t xml:space="preserve"> года.;</w:t>
      </w:r>
    </w:p>
    <w:p w14:paraId="4FD18CE0"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 поставить заводу № </w:t>
      </w:r>
      <w:r w:rsidRPr="00070ADE">
        <w:rPr>
          <w:rStyle w:val="0pt"/>
          <w:rFonts w:ascii="Times New Roman" w:hAnsi="Times New Roman" w:cs="Times New Roman"/>
          <w:color w:val="000000" w:themeColor="text1"/>
          <w:spacing w:val="0"/>
          <w:sz w:val="16"/>
          <w:szCs w:val="16"/>
        </w:rPr>
        <w:t>115</w:t>
      </w:r>
      <w:r w:rsidRPr="00070ADE">
        <w:rPr>
          <w:rFonts w:ascii="Times New Roman" w:hAnsi="Times New Roman"/>
          <w:color w:val="000000" w:themeColor="text1"/>
          <w:sz w:val="16"/>
          <w:szCs w:val="16"/>
        </w:rPr>
        <w:t xml:space="preserve"> трехкамерный двигатель РД-1 с автономным питанием с агрегатами в количестве трех экземпляров со следующими данными:</w:t>
      </w:r>
    </w:p>
    <w:p w14:paraId="35164498" w14:textId="77777777" w:rsidR="00C20F3C" w:rsidRPr="00070ADE" w:rsidRDefault="00C20F3C" w:rsidP="00B56F90">
      <w:pPr>
        <w:tabs>
          <w:tab w:val="left" w:pos="366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тяга - 900 клгр,</w:t>
      </w:r>
    </w:p>
    <w:p w14:paraId="32523F2E" w14:textId="77777777" w:rsidR="00C20F3C" w:rsidRPr="00070ADE" w:rsidRDefault="00C20F3C" w:rsidP="00B56F90">
      <w:pPr>
        <w:tabs>
          <w:tab w:val="left" w:pos="368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минимальная тяга - 100</w:t>
      </w:r>
    </w:p>
    <w:p w14:paraId="184E97E3"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расход горючего на максимально скорости - 4,5 кг/сек.</w:t>
      </w:r>
    </w:p>
    <w:p w14:paraId="1A25A095"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расход горючего на минимальной тяге - 0,6 - -</w:t>
      </w:r>
    </w:p>
    <w:p w14:paraId="308E21B0"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для летного самолета поставить в следую</w:t>
      </w:r>
      <w:r w:rsidRPr="00070ADE">
        <w:rPr>
          <w:rFonts w:ascii="Times New Roman" w:hAnsi="Times New Roman"/>
          <w:color w:val="000000" w:themeColor="text1"/>
          <w:sz w:val="16"/>
          <w:szCs w:val="16"/>
        </w:rPr>
        <w:softHyphen/>
        <w:t>щие сроки:</w:t>
      </w:r>
    </w:p>
    <w:p w14:paraId="57AF2132"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экземпляр макетный - 15 ноября 1944 года 1 экземпляр летный - 1 февраля 1945 года</w:t>
      </w:r>
    </w:p>
    <w:p w14:paraId="74996735"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экземпляр летный - 1 марта 1945 года</w:t>
      </w:r>
    </w:p>
    <w:p w14:paraId="3C19599C"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отработать и изготовить три механических приво</w:t>
      </w:r>
      <w:r w:rsidRPr="00070ADE">
        <w:rPr>
          <w:rFonts w:ascii="Times New Roman" w:hAnsi="Times New Roman"/>
          <w:color w:val="000000" w:themeColor="text1"/>
          <w:sz w:val="16"/>
          <w:szCs w:val="16"/>
        </w:rPr>
        <w:softHyphen/>
        <w:t>да к насосу двигателя РД-1 и передать заводу № 115 вме</w:t>
      </w:r>
      <w:r w:rsidRPr="00070ADE">
        <w:rPr>
          <w:rFonts w:ascii="Times New Roman" w:hAnsi="Times New Roman"/>
          <w:color w:val="000000" w:themeColor="text1"/>
          <w:sz w:val="16"/>
          <w:szCs w:val="16"/>
        </w:rPr>
        <w:softHyphen/>
        <w:t>сте с двигателями.</w:t>
      </w:r>
    </w:p>
    <w:p w14:paraId="338F8B2B" w14:textId="77777777" w:rsidR="00C20F3C" w:rsidRPr="00070ADE" w:rsidRDefault="00C20F3C" w:rsidP="00B56F90">
      <w:pPr>
        <w:tabs>
          <w:tab w:val="left" w:pos="85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Начальнику ЦАГИ т.Шишкину разработать рекоменда</w:t>
      </w:r>
      <w:r w:rsidRPr="00070ADE">
        <w:rPr>
          <w:rFonts w:ascii="Times New Roman" w:hAnsi="Times New Roman"/>
          <w:color w:val="000000" w:themeColor="text1"/>
          <w:sz w:val="16"/>
          <w:szCs w:val="16"/>
        </w:rPr>
        <w:softHyphen/>
        <w:t>ции по прочности, флаттеру и аэродинамике реактивных самолетов, на основе продувок моделей в аэродинамиче</w:t>
      </w:r>
      <w:r w:rsidRPr="00070ADE">
        <w:rPr>
          <w:rFonts w:ascii="Times New Roman" w:hAnsi="Times New Roman"/>
          <w:color w:val="000000" w:themeColor="text1"/>
          <w:sz w:val="16"/>
          <w:szCs w:val="16"/>
        </w:rPr>
        <w:softHyphen/>
        <w:t>ской трубе.</w:t>
      </w:r>
    </w:p>
    <w:p w14:paraId="24DAADC4" w14:textId="77777777" w:rsidR="00C20F3C" w:rsidRPr="00070ADE" w:rsidRDefault="00C20F3C" w:rsidP="00B56F90">
      <w:pPr>
        <w:tabs>
          <w:tab w:val="left" w:pos="85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Наркоману СССР - т.Звереву выделить НКАП из резервного фонда СНК СССР:</w:t>
      </w:r>
    </w:p>
    <w:p w14:paraId="7448F411" w14:textId="77777777" w:rsidR="00C20F3C" w:rsidRPr="00070ADE" w:rsidRDefault="00C20F3C" w:rsidP="00B56F90">
      <w:pPr>
        <w:tabs>
          <w:tab w:val="left" w:pos="85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3 миллиона рублей</w:t>
      </w:r>
      <w:r w:rsidRPr="00070ADE">
        <w:rPr>
          <w:rStyle w:val="PalatinoLinotype8pt0pt"/>
          <w:rFonts w:ascii="Times New Roman" w:hAnsi="Times New Roman" w:cs="Times New Roman"/>
          <w:color w:val="000000" w:themeColor="text1"/>
        </w:rPr>
        <w:t xml:space="preserve"> на модификацию</w:t>
      </w:r>
      <w:r w:rsidRPr="00070ADE">
        <w:rPr>
          <w:rFonts w:ascii="Times New Roman" w:hAnsi="Times New Roman"/>
          <w:color w:val="000000" w:themeColor="text1"/>
          <w:sz w:val="16"/>
          <w:szCs w:val="16"/>
        </w:rPr>
        <w:t xml:space="preserve"> самолета</w:t>
      </w:r>
      <w:r w:rsidRPr="00070ADE">
        <w:rPr>
          <w:rStyle w:val="PalatinoLinotype8pt0pt"/>
          <w:rFonts w:ascii="Times New Roman" w:hAnsi="Times New Roman" w:cs="Times New Roman"/>
          <w:color w:val="000000" w:themeColor="text1"/>
        </w:rPr>
        <w:t xml:space="preserve"> Я</w:t>
      </w:r>
      <w:r w:rsidRPr="00070ADE">
        <w:rPr>
          <w:rStyle w:val="PalatinoLinotype8pt0pt"/>
          <w:rFonts w:ascii="Times New Roman" w:hAnsi="Times New Roman" w:cs="Times New Roman"/>
          <w:color w:val="000000" w:themeColor="text1"/>
          <w:lang w:val="en-US"/>
        </w:rPr>
        <w:t>K</w:t>
      </w:r>
      <w:r w:rsidRPr="00070ADE">
        <w:rPr>
          <w:rFonts w:ascii="Times New Roman" w:hAnsi="Times New Roman"/>
          <w:color w:val="000000" w:themeColor="text1"/>
          <w:sz w:val="16"/>
          <w:szCs w:val="16"/>
        </w:rPr>
        <w:t>-9 под одндкамерный двигатель РД-1 и 6 миллионов рублей</w:t>
      </w:r>
      <w:r w:rsidRPr="00070ADE">
        <w:rPr>
          <w:rStyle w:val="PalatinoLinotype8pt0pt"/>
          <w:rFonts w:ascii="Times New Roman" w:hAnsi="Times New Roman" w:cs="Times New Roman"/>
          <w:color w:val="000000" w:themeColor="text1"/>
        </w:rPr>
        <w:t xml:space="preserve"> на </w:t>
      </w:r>
      <w:r w:rsidRPr="00070ADE">
        <w:rPr>
          <w:rFonts w:ascii="Times New Roman" w:hAnsi="Times New Roman"/>
          <w:color w:val="000000" w:themeColor="text1"/>
          <w:sz w:val="16"/>
          <w:szCs w:val="16"/>
        </w:rPr>
        <w:t>реактивный самолет с трехкамерным двигателем;</w:t>
      </w:r>
    </w:p>
    <w:p w14:paraId="2DC83566" w14:textId="77777777" w:rsidR="00C20F3C" w:rsidRPr="00070ADE" w:rsidRDefault="00C20F3C" w:rsidP="00B56F90">
      <w:pPr>
        <w:tabs>
          <w:tab w:val="left" w:pos="86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 распоряжение главного конструктора т.Яковлева А.С, на премирование конструкторов и рабочих завода, работников научных институтов и заводов-смежников:</w:t>
      </w:r>
    </w:p>
    <w:p w14:paraId="74B56264"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модификации самолета Як-9 под однокамерный двигатель РД-1 - 500 тыс.руб.</w:t>
      </w:r>
    </w:p>
    <w:p w14:paraId="6D8C9C73" w14:textId="77777777" w:rsidR="00C20F3C" w:rsidRPr="00070ADE" w:rsidRDefault="00C20F3C" w:rsidP="00B56F90">
      <w:pPr>
        <w:tabs>
          <w:tab w:val="left" w:pos="387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реактивному самолету с трех</w:t>
      </w:r>
      <w:r w:rsidRPr="00070ADE">
        <w:rPr>
          <w:rFonts w:ascii="Times New Roman" w:hAnsi="Times New Roman"/>
          <w:color w:val="000000" w:themeColor="text1"/>
          <w:sz w:val="16"/>
          <w:szCs w:val="16"/>
        </w:rPr>
        <w:softHyphen/>
        <w:t>камерным двигателем РД-1</w:t>
      </w:r>
      <w:r w:rsidRPr="00070ADE">
        <w:rPr>
          <w:rFonts w:ascii="Times New Roman" w:hAnsi="Times New Roman"/>
          <w:color w:val="000000" w:themeColor="text1"/>
          <w:sz w:val="16"/>
          <w:szCs w:val="16"/>
        </w:rPr>
        <w:tab/>
        <w:t>- 1 миллион рублей</w:t>
      </w:r>
    </w:p>
    <w:p w14:paraId="465AC703"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Предоставить право главному конструктору расхо</w:t>
      </w:r>
      <w:r w:rsidRPr="00070ADE">
        <w:rPr>
          <w:rFonts w:ascii="Times New Roman" w:hAnsi="Times New Roman"/>
          <w:color w:val="000000" w:themeColor="text1"/>
          <w:sz w:val="16"/>
          <w:szCs w:val="16"/>
        </w:rPr>
        <w:softHyphen/>
        <w:t>довать 50% указанных премиальных сумм в процессе выпол</w:t>
      </w:r>
      <w:r w:rsidRPr="00070ADE">
        <w:rPr>
          <w:rFonts w:ascii="Times New Roman" w:hAnsi="Times New Roman"/>
          <w:color w:val="000000" w:themeColor="text1"/>
          <w:sz w:val="16"/>
          <w:szCs w:val="16"/>
        </w:rPr>
        <w:softHyphen/>
        <w:t xml:space="preserve">нения заданий настоящего постановления и остальные </w:t>
      </w:r>
      <w:r w:rsidRPr="00070ADE">
        <w:rPr>
          <w:rStyle w:val="16"/>
          <w:rFonts w:ascii="Times New Roman" w:hAnsi="Times New Roman" w:cs="Times New Roman"/>
          <w:color w:val="000000" w:themeColor="text1"/>
          <w:spacing w:val="0"/>
          <w:u w:val="none"/>
        </w:rPr>
        <w:t xml:space="preserve">50% </w:t>
      </w:r>
      <w:r w:rsidRPr="00070ADE">
        <w:rPr>
          <w:rFonts w:ascii="Times New Roman" w:hAnsi="Times New Roman"/>
          <w:color w:val="000000" w:themeColor="text1"/>
          <w:sz w:val="16"/>
          <w:szCs w:val="16"/>
        </w:rPr>
        <w:t>по выполнении этих заданий.</w:t>
      </w:r>
    </w:p>
    <w:p w14:paraId="239192D6"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Установить премию главному конструктору т.Яков</w:t>
      </w:r>
      <w:r w:rsidRPr="00070ADE">
        <w:rPr>
          <w:rFonts w:ascii="Times New Roman" w:hAnsi="Times New Roman"/>
          <w:color w:val="000000" w:themeColor="text1"/>
          <w:sz w:val="16"/>
          <w:szCs w:val="16"/>
        </w:rPr>
        <w:softHyphen/>
        <w:t>леву А.С. из указанного премиального фонда за выполнение в срок заданий по настоящему постановлению:</w:t>
      </w:r>
    </w:p>
    <w:p w14:paraId="22BADFEE" w14:textId="77777777" w:rsidR="00C20F3C" w:rsidRPr="00070ADE" w:rsidRDefault="00C20F3C" w:rsidP="00B56F90">
      <w:pPr>
        <w:tabs>
          <w:tab w:val="left" w:pos="350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выполнение первого задания - 75 тыс.рублей и второго задания</w:t>
      </w:r>
      <w:r w:rsidRPr="00070ADE">
        <w:rPr>
          <w:rFonts w:ascii="Times New Roman" w:hAnsi="Times New Roman"/>
          <w:color w:val="000000" w:themeColor="text1"/>
          <w:sz w:val="16"/>
          <w:szCs w:val="16"/>
        </w:rPr>
        <w:tab/>
        <w:t>- 150 тыс. рублей,</w:t>
      </w:r>
    </w:p>
    <w:p w14:paraId="762D6C2C"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П.С</w:t>
      </w:r>
      <w:r w:rsidRPr="00070ADE">
        <w:rPr>
          <w:rStyle w:val="16"/>
          <w:rFonts w:ascii="Times New Roman" w:hAnsi="Times New Roman" w:cs="Times New Roman"/>
          <w:color w:val="000000" w:themeColor="text1"/>
          <w:spacing w:val="0"/>
          <w:u w:val="none"/>
        </w:rPr>
        <w:t>амолеты главного конструктора т.Лавочкина С.А.</w:t>
      </w:r>
    </w:p>
    <w:p w14:paraId="479BD576"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Главному конструктору т.Лавочкину С.А. спроектировать и построить:</w:t>
      </w:r>
    </w:p>
    <w:p w14:paraId="4058E4E9" w14:textId="77777777" w:rsidR="00C20F3C" w:rsidRPr="00070ADE" w:rsidRDefault="00C20F3C" w:rsidP="00B56F90">
      <w:pPr>
        <w:tabs>
          <w:tab w:val="left" w:pos="79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модификацию серийного самолета Ла-5 с моторок АШ-82ФН или М-83 с дополнительным однокамерным реактив</w:t>
      </w:r>
      <w:r w:rsidRPr="00070ADE">
        <w:rPr>
          <w:rFonts w:ascii="Times New Roman" w:hAnsi="Times New Roman"/>
          <w:color w:val="000000" w:themeColor="text1"/>
          <w:sz w:val="16"/>
          <w:szCs w:val="16"/>
        </w:rPr>
        <w:softHyphen/>
        <w:t>ным двигателем РД-1 конструкции Глушко со следующими летно-техническими данными:</w:t>
      </w:r>
    </w:p>
    <w:p w14:paraId="2D529EB4"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с включе</w:t>
      </w:r>
      <w:r w:rsidRPr="00070ADE">
        <w:rPr>
          <w:rFonts w:ascii="Times New Roman" w:hAnsi="Times New Roman"/>
          <w:color w:val="000000" w:themeColor="text1"/>
          <w:sz w:val="16"/>
          <w:szCs w:val="16"/>
        </w:rPr>
        <w:softHyphen/>
        <w:t>нием РД-1 на высоте 7000 мтр. 780 км/час</w:t>
      </w:r>
    </w:p>
    <w:p w14:paraId="559F33FC"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продолжительность действия РД-1 - </w:t>
      </w:r>
      <w:r w:rsidRPr="00070ADE">
        <w:rPr>
          <w:rStyle w:val="16"/>
          <w:rFonts w:ascii="Times New Roman" w:hAnsi="Times New Roman" w:cs="Times New Roman"/>
          <w:color w:val="000000" w:themeColor="text1"/>
          <w:spacing w:val="0"/>
          <w:u w:val="none"/>
        </w:rPr>
        <w:t>3</w:t>
      </w:r>
      <w:r w:rsidRPr="00070ADE">
        <w:rPr>
          <w:rFonts w:ascii="Times New Roman" w:hAnsi="Times New Roman"/>
          <w:color w:val="000000" w:themeColor="text1"/>
          <w:sz w:val="16"/>
          <w:szCs w:val="16"/>
        </w:rPr>
        <w:t xml:space="preserve"> минуты</w:t>
      </w:r>
    </w:p>
    <w:p w14:paraId="579A2728" w14:textId="77777777" w:rsidR="00C20F3C" w:rsidRPr="00070ADE" w:rsidRDefault="00C20F3C" w:rsidP="00B56F90">
      <w:pPr>
        <w:tabs>
          <w:tab w:val="left" w:pos="4577"/>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 мтр. с включением РД-1 - 3 минуты</w:t>
      </w:r>
    </w:p>
    <w:p w14:paraId="4FDD16DA"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на режиме-350 клм. в час без включения РД-1 - 500 клм»</w:t>
      </w:r>
    </w:p>
    <w:p w14:paraId="6FC2838E"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то же, что и у серийного самолета Ла-5,</w:t>
      </w:r>
    </w:p>
    <w:p w14:paraId="143DE10A"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построить в 3-х экземплярах и пред"явить на летные испытания:</w:t>
      </w:r>
    </w:p>
    <w:p w14:paraId="24EEF940" w14:textId="77777777" w:rsidR="00C20F3C" w:rsidRPr="00070ADE" w:rsidRDefault="00C20F3C" w:rsidP="00B56F90">
      <w:pPr>
        <w:tabs>
          <w:tab w:val="left" w:pos="90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экземпляр - сентябрь 1944 года</w:t>
      </w:r>
    </w:p>
    <w:p w14:paraId="7EDCE410" w14:textId="77777777" w:rsidR="00C20F3C" w:rsidRPr="00070ADE" w:rsidRDefault="00C20F3C" w:rsidP="00B56F90">
      <w:pPr>
        <w:tabs>
          <w:tab w:val="left" w:pos="91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2й экземпляр - октябрь 1944 года</w:t>
      </w:r>
    </w:p>
    <w:p w14:paraId="7B263584" w14:textId="77777777" w:rsidR="00C20F3C" w:rsidRPr="00070ADE" w:rsidRDefault="00C20F3C" w:rsidP="00B56F90">
      <w:pPr>
        <w:tabs>
          <w:tab w:val="left" w:pos="92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3й экземпляр - январь 1945 года;'</w:t>
      </w:r>
    </w:p>
    <w:p w14:paraId="03E004F7" w14:textId="77777777" w:rsidR="00C20F3C" w:rsidRPr="00070ADE" w:rsidRDefault="00C20F3C" w:rsidP="00B56F90">
      <w:pPr>
        <w:tabs>
          <w:tab w:val="left" w:pos="79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экспериментальный реактивный истребитель с дви</w:t>
      </w:r>
      <w:r w:rsidRPr="00070ADE">
        <w:rPr>
          <w:rFonts w:ascii="Times New Roman" w:hAnsi="Times New Roman"/>
          <w:color w:val="000000" w:themeColor="text1"/>
          <w:sz w:val="16"/>
          <w:szCs w:val="16"/>
        </w:rPr>
        <w:softHyphen/>
        <w:t>гателем конструкции т. Люлька, со следующей летными дан</w:t>
      </w:r>
      <w:r w:rsidRPr="00070ADE">
        <w:rPr>
          <w:rFonts w:ascii="Times New Roman" w:hAnsi="Times New Roman"/>
          <w:color w:val="000000" w:themeColor="text1"/>
          <w:sz w:val="16"/>
          <w:szCs w:val="16"/>
        </w:rPr>
        <w:softHyphen/>
        <w:t>ными:</w:t>
      </w:r>
    </w:p>
    <w:p w14:paraId="442B1C85"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высоте 5000 мтр.</w:t>
      </w:r>
      <w:r w:rsidRPr="00070ADE">
        <w:rPr>
          <w:rFonts w:ascii="Times New Roman" w:hAnsi="Times New Roman"/>
          <w:color w:val="000000" w:themeColor="text1"/>
          <w:sz w:val="16"/>
          <w:szCs w:val="16"/>
        </w:rPr>
        <w:tab/>
        <w:t>800 км. в час</w:t>
      </w:r>
    </w:p>
    <w:p w14:paraId="44F1FB46"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высоты 5000 мтр. - 2,5 мин,</w:t>
      </w:r>
    </w:p>
    <w:p w14:paraId="124187EC" w14:textId="77777777" w:rsidR="00C20F3C" w:rsidRPr="00070ADE" w:rsidRDefault="00C20F3C" w:rsidP="00B56F90">
      <w:pPr>
        <w:tabs>
          <w:tab w:val="left" w:pos="3707"/>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- 15000 метров</w:t>
      </w:r>
    </w:p>
    <w:p w14:paraId="770813E4" w14:textId="77777777" w:rsidR="00C20F3C" w:rsidRPr="00070ADE" w:rsidRDefault="00C20F3C" w:rsidP="00B56F90">
      <w:pPr>
        <w:tabs>
          <w:tab w:val="left" w:pos="400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продолжительность полета на режиме 0,8 максимальной ско</w:t>
      </w:r>
      <w:r w:rsidRPr="00070ADE">
        <w:rPr>
          <w:rFonts w:ascii="Times New Roman" w:hAnsi="Times New Roman"/>
          <w:color w:val="000000" w:themeColor="text1"/>
          <w:sz w:val="16"/>
          <w:szCs w:val="16"/>
        </w:rPr>
        <w:softHyphen/>
        <w:t>рости на выооте 8000 мтр - 20 мин.</w:t>
      </w:r>
    </w:p>
    <w:p w14:paraId="0BF003A6"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предусмотреть установку трех пушек, из них:</w:t>
      </w:r>
    </w:p>
    <w:p w14:paraId="11C8A77D" w14:textId="77777777" w:rsidR="00C20F3C" w:rsidRPr="00070ADE" w:rsidRDefault="00C20F3C" w:rsidP="00B56F90">
      <w:pPr>
        <w:tabs>
          <w:tab w:val="left" w:pos="68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пушка калибра 23</w:t>
      </w:r>
      <w:r w:rsidRPr="00070ADE">
        <w:rPr>
          <w:rStyle w:val="-1pt"/>
          <w:rFonts w:ascii="Times New Roman" w:hAnsi="Times New Roman" w:cs="Times New Roman"/>
          <w:color w:val="000000" w:themeColor="text1"/>
          <w:spacing w:val="0"/>
          <w:sz w:val="16"/>
          <w:szCs w:val="16"/>
        </w:rPr>
        <w:t xml:space="preserve"> мм</w:t>
      </w:r>
    </w:p>
    <w:p w14:paraId="59CE1204" w14:textId="77777777" w:rsidR="00C20F3C" w:rsidRPr="00070ADE" w:rsidRDefault="00C20F3C" w:rsidP="00B56F90">
      <w:pPr>
        <w:tabs>
          <w:tab w:val="left" w:pos="69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пушки калибра 20 мм</w:t>
      </w:r>
    </w:p>
    <w:p w14:paraId="519618B7"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 общим боезапасов - </w:t>
      </w:r>
      <w:r w:rsidRPr="00070ADE">
        <w:rPr>
          <w:rStyle w:val="16"/>
          <w:rFonts w:ascii="Times New Roman" w:hAnsi="Times New Roman" w:cs="Times New Roman"/>
          <w:color w:val="000000" w:themeColor="text1"/>
          <w:spacing w:val="0"/>
          <w:u w:val="none"/>
        </w:rPr>
        <w:t>400</w:t>
      </w:r>
      <w:r w:rsidRPr="00070ADE">
        <w:rPr>
          <w:rFonts w:ascii="Times New Roman" w:hAnsi="Times New Roman"/>
          <w:color w:val="000000" w:themeColor="text1"/>
          <w:sz w:val="16"/>
          <w:szCs w:val="16"/>
        </w:rPr>
        <w:t xml:space="preserve"> снарядов.</w:t>
      </w:r>
    </w:p>
    <w:p w14:paraId="063F0897"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Самолет построить в двух экземплярах и пред"явить первый экземпляр на летные испытания в марте </w:t>
      </w:r>
      <w:r w:rsidRPr="00070ADE">
        <w:rPr>
          <w:rStyle w:val="16"/>
          <w:rFonts w:ascii="Times New Roman" w:hAnsi="Times New Roman" w:cs="Times New Roman"/>
          <w:color w:val="000000" w:themeColor="text1"/>
          <w:spacing w:val="0"/>
          <w:u w:val="none"/>
        </w:rPr>
        <w:t>1946</w:t>
      </w:r>
      <w:r w:rsidRPr="00070ADE">
        <w:rPr>
          <w:rFonts w:ascii="Times New Roman" w:hAnsi="Times New Roman"/>
          <w:color w:val="000000" w:themeColor="text1"/>
          <w:sz w:val="16"/>
          <w:szCs w:val="16"/>
        </w:rPr>
        <w:t xml:space="preserve"> года.</w:t>
      </w:r>
    </w:p>
    <w:p w14:paraId="3B392FBE"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 обеспечение выполнения указанных работ обя</w:t>
      </w:r>
      <w:r w:rsidRPr="00070ADE">
        <w:rPr>
          <w:rFonts w:ascii="Times New Roman" w:hAnsi="Times New Roman"/>
          <w:color w:val="000000" w:themeColor="text1"/>
          <w:sz w:val="16"/>
          <w:szCs w:val="16"/>
        </w:rPr>
        <w:softHyphen/>
        <w:t>зать:</w:t>
      </w:r>
    </w:p>
    <w:p w14:paraId="1BE97048"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начальника НИИ-1 т.Федорова к главного конструк</w:t>
      </w:r>
      <w:r w:rsidRPr="00070ADE">
        <w:rPr>
          <w:rFonts w:ascii="Times New Roman" w:hAnsi="Times New Roman"/>
          <w:color w:val="000000" w:themeColor="text1"/>
          <w:sz w:val="16"/>
          <w:szCs w:val="16"/>
        </w:rPr>
        <w:softHyphen/>
        <w:t>тора т.Люлька поставить ОКБ т.Лавочкина двигатель конст</w:t>
      </w:r>
      <w:r w:rsidRPr="00070ADE">
        <w:rPr>
          <w:rFonts w:ascii="Times New Roman" w:hAnsi="Times New Roman"/>
          <w:color w:val="000000" w:themeColor="text1"/>
          <w:sz w:val="16"/>
          <w:szCs w:val="16"/>
        </w:rPr>
        <w:softHyphen/>
        <w:t>рукции т.Люлька со следующими данными:</w:t>
      </w:r>
    </w:p>
    <w:p w14:paraId="65852EFB" w14:textId="77777777" w:rsidR="00C20F3C" w:rsidRPr="00070ADE" w:rsidRDefault="00C20F3C" w:rsidP="00B56F90">
      <w:pPr>
        <w:tabs>
          <w:tab w:val="left" w:pos="416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тяга, развиваемая у земли - </w:t>
      </w:r>
      <w:r w:rsidRPr="00070ADE">
        <w:rPr>
          <w:rStyle w:val="16"/>
          <w:rFonts w:ascii="Times New Roman" w:hAnsi="Times New Roman" w:cs="Times New Roman"/>
          <w:color w:val="000000" w:themeColor="text1"/>
          <w:spacing w:val="0"/>
          <w:u w:val="none"/>
        </w:rPr>
        <w:t>1250</w:t>
      </w:r>
      <w:r w:rsidRPr="00070ADE">
        <w:rPr>
          <w:rFonts w:ascii="Times New Roman" w:hAnsi="Times New Roman"/>
          <w:color w:val="000000" w:themeColor="text1"/>
          <w:sz w:val="16"/>
          <w:szCs w:val="16"/>
        </w:rPr>
        <w:t xml:space="preserve"> кг.</w:t>
      </w:r>
    </w:p>
    <w:p w14:paraId="41682F32"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тяга, развиваемая на высоте </w:t>
      </w:r>
      <w:r w:rsidRPr="00070ADE">
        <w:rPr>
          <w:rStyle w:val="16"/>
          <w:rFonts w:ascii="Times New Roman" w:hAnsi="Times New Roman" w:cs="Times New Roman"/>
          <w:color w:val="000000" w:themeColor="text1"/>
          <w:spacing w:val="0"/>
          <w:u w:val="none"/>
        </w:rPr>
        <w:t>10000</w:t>
      </w:r>
      <w:r w:rsidRPr="00070ADE">
        <w:rPr>
          <w:rFonts w:ascii="Times New Roman" w:hAnsi="Times New Roman"/>
          <w:color w:val="000000" w:themeColor="text1"/>
          <w:sz w:val="16"/>
          <w:szCs w:val="16"/>
        </w:rPr>
        <w:t xml:space="preserve"> мтр. - 650</w:t>
      </w:r>
    </w:p>
    <w:p w14:paraId="54E76D1A"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удельная тяга у земли на 1 кг топлива в секунду - 1500</w:t>
      </w:r>
    </w:p>
    <w:p w14:paraId="4D51536A"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двигателя - 900</w:t>
      </w:r>
    </w:p>
    <w:p w14:paraId="43F9E299"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диаметр двигателя - 900</w:t>
      </w:r>
    </w:p>
    <w:p w14:paraId="6476E04C"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двигателя - 2200</w:t>
      </w:r>
    </w:p>
    <w:p w14:paraId="3F879FD9"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для летного самолета о перечисленными дан</w:t>
      </w:r>
      <w:r w:rsidRPr="00070ADE">
        <w:rPr>
          <w:rFonts w:ascii="Times New Roman" w:hAnsi="Times New Roman"/>
          <w:color w:val="000000" w:themeColor="text1"/>
          <w:sz w:val="16"/>
          <w:szCs w:val="16"/>
        </w:rPr>
        <w:softHyphen/>
        <w:t>ными передать т.Лавочкину:</w:t>
      </w:r>
    </w:p>
    <w:p w14:paraId="510C124F"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 макетный экземпляр к 15 января </w:t>
      </w:r>
      <w:r w:rsidRPr="00070ADE">
        <w:rPr>
          <w:rStyle w:val="16"/>
          <w:rFonts w:ascii="Times New Roman" w:hAnsi="Times New Roman" w:cs="Times New Roman"/>
          <w:color w:val="000000" w:themeColor="text1"/>
          <w:spacing w:val="0"/>
          <w:u w:val="none"/>
        </w:rPr>
        <w:t>1945</w:t>
      </w:r>
      <w:r w:rsidRPr="00070ADE">
        <w:rPr>
          <w:rFonts w:ascii="Times New Roman" w:hAnsi="Times New Roman"/>
          <w:color w:val="000000" w:themeColor="text1"/>
          <w:sz w:val="16"/>
          <w:szCs w:val="16"/>
        </w:rPr>
        <w:t xml:space="preserve"> года</w:t>
      </w:r>
    </w:p>
    <w:p w14:paraId="57274FAB" w14:textId="77777777" w:rsidR="00C20F3C" w:rsidRPr="00070ADE" w:rsidRDefault="00C20F3C" w:rsidP="00B56F90">
      <w:pPr>
        <w:tabs>
          <w:tab w:val="left" w:pos="68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 работающий экземпляр к 1 коября </w:t>
      </w:r>
      <w:r w:rsidRPr="00070ADE">
        <w:rPr>
          <w:rStyle w:val="16"/>
          <w:rFonts w:ascii="Times New Roman" w:hAnsi="Times New Roman" w:cs="Times New Roman"/>
          <w:color w:val="000000" w:themeColor="text1"/>
          <w:spacing w:val="0"/>
          <w:u w:val="none"/>
        </w:rPr>
        <w:t>1945</w:t>
      </w:r>
      <w:r w:rsidRPr="00070ADE">
        <w:rPr>
          <w:rFonts w:ascii="Times New Roman" w:hAnsi="Times New Roman"/>
          <w:color w:val="000000" w:themeColor="text1"/>
          <w:sz w:val="16"/>
          <w:szCs w:val="16"/>
        </w:rPr>
        <w:t xml:space="preserve"> года</w:t>
      </w:r>
    </w:p>
    <w:p w14:paraId="1A282D56" w14:textId="77777777" w:rsidR="00C20F3C" w:rsidRPr="00070ADE" w:rsidRDefault="00C20F3C" w:rsidP="00B56F90">
      <w:pPr>
        <w:tabs>
          <w:tab w:val="left" w:pos="68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 работающих экземпляра к 1 декабря </w:t>
      </w:r>
      <w:r w:rsidRPr="00070ADE">
        <w:rPr>
          <w:rStyle w:val="16"/>
          <w:rFonts w:ascii="Times New Roman" w:hAnsi="Times New Roman" w:cs="Times New Roman"/>
          <w:color w:val="000000" w:themeColor="text1"/>
          <w:spacing w:val="0"/>
          <w:u w:val="none"/>
        </w:rPr>
        <w:t>1945</w:t>
      </w:r>
      <w:r w:rsidRPr="00070ADE">
        <w:rPr>
          <w:rFonts w:ascii="Times New Roman" w:hAnsi="Times New Roman"/>
          <w:color w:val="000000" w:themeColor="text1"/>
          <w:sz w:val="16"/>
          <w:szCs w:val="16"/>
        </w:rPr>
        <w:t xml:space="preserve"> года;</w:t>
      </w:r>
    </w:p>
    <w:p w14:paraId="12600A65" w14:textId="77777777" w:rsidR="00C20F3C" w:rsidRPr="00070ADE" w:rsidRDefault="00C20F3C" w:rsidP="00B56F90">
      <w:pPr>
        <w:tabs>
          <w:tab w:val="left" w:pos="68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 директора завода № 16 т.Лукина и конструктора Глушко поставить ОКБ т.Лавочкина двигатель </w:t>
      </w:r>
      <w:r w:rsidRPr="00070ADE">
        <w:rPr>
          <w:rStyle w:val="16"/>
          <w:rFonts w:ascii="Times New Roman" w:hAnsi="Times New Roman" w:cs="Times New Roman"/>
          <w:color w:val="000000" w:themeColor="text1"/>
          <w:spacing w:val="0"/>
          <w:u w:val="none"/>
        </w:rPr>
        <w:t>РД-1</w:t>
      </w:r>
      <w:r w:rsidRPr="00070ADE">
        <w:rPr>
          <w:rFonts w:ascii="Times New Roman" w:hAnsi="Times New Roman"/>
          <w:color w:val="000000" w:themeColor="text1"/>
          <w:sz w:val="16"/>
          <w:szCs w:val="16"/>
        </w:rPr>
        <w:t xml:space="preserve"> с агре</w:t>
      </w:r>
      <w:r w:rsidRPr="00070ADE">
        <w:rPr>
          <w:rFonts w:ascii="Times New Roman" w:hAnsi="Times New Roman"/>
          <w:color w:val="000000" w:themeColor="text1"/>
          <w:sz w:val="16"/>
          <w:szCs w:val="16"/>
        </w:rPr>
        <w:softHyphen/>
        <w:t>гатами в количестве 5 экземпляров, из них:</w:t>
      </w:r>
    </w:p>
    <w:p w14:paraId="097B897B" w14:textId="77777777" w:rsidR="00C20F3C" w:rsidRPr="00070ADE" w:rsidRDefault="00C20F3C" w:rsidP="00B56F90">
      <w:pPr>
        <w:tabs>
          <w:tab w:val="left" w:pos="70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 экземпляра - 5 июня </w:t>
      </w:r>
      <w:r w:rsidRPr="00070ADE">
        <w:rPr>
          <w:rStyle w:val="16"/>
          <w:rFonts w:ascii="Times New Roman" w:hAnsi="Times New Roman" w:cs="Times New Roman"/>
          <w:color w:val="000000" w:themeColor="text1"/>
          <w:spacing w:val="0"/>
          <w:u w:val="none"/>
        </w:rPr>
        <w:t>1944</w:t>
      </w:r>
      <w:r w:rsidRPr="00070ADE">
        <w:rPr>
          <w:rFonts w:ascii="Times New Roman" w:hAnsi="Times New Roman"/>
          <w:color w:val="000000" w:themeColor="text1"/>
          <w:sz w:val="16"/>
          <w:szCs w:val="16"/>
        </w:rPr>
        <w:t xml:space="preserve"> года</w:t>
      </w:r>
    </w:p>
    <w:p w14:paraId="6355DD6B" w14:textId="77777777" w:rsidR="00C20F3C" w:rsidRPr="00070ADE" w:rsidRDefault="00C20F3C" w:rsidP="00B56F90">
      <w:pPr>
        <w:tabs>
          <w:tab w:val="left" w:pos="707"/>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 экземпляра - 20 июня </w:t>
      </w:r>
      <w:r w:rsidRPr="00070ADE">
        <w:rPr>
          <w:rStyle w:val="16"/>
          <w:rFonts w:ascii="Times New Roman" w:hAnsi="Times New Roman" w:cs="Times New Roman"/>
          <w:color w:val="000000" w:themeColor="text1"/>
          <w:spacing w:val="0"/>
          <w:u w:val="none"/>
        </w:rPr>
        <w:t>1944</w:t>
      </w:r>
      <w:r w:rsidRPr="00070ADE">
        <w:rPr>
          <w:rFonts w:ascii="Times New Roman" w:hAnsi="Times New Roman"/>
          <w:color w:val="000000" w:themeColor="text1"/>
          <w:sz w:val="16"/>
          <w:szCs w:val="16"/>
        </w:rPr>
        <w:t xml:space="preserve"> года.</w:t>
      </w:r>
    </w:p>
    <w:p w14:paraId="701C3260"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Главного конструктора т.Швецова - спроекти</w:t>
      </w:r>
      <w:r w:rsidRPr="00070ADE">
        <w:rPr>
          <w:rFonts w:ascii="Times New Roman" w:hAnsi="Times New Roman"/>
          <w:color w:val="000000" w:themeColor="text1"/>
          <w:sz w:val="16"/>
          <w:szCs w:val="16"/>
        </w:rPr>
        <w:softHyphen/>
        <w:t>ровать и изготовить 5 комплектов механических, приво</w:t>
      </w:r>
      <w:r w:rsidRPr="00070ADE">
        <w:rPr>
          <w:rFonts w:ascii="Times New Roman" w:hAnsi="Times New Roman"/>
          <w:color w:val="000000" w:themeColor="text1"/>
          <w:sz w:val="16"/>
          <w:szCs w:val="16"/>
        </w:rPr>
        <w:softHyphen/>
        <w:t>дов к насосу двигателя РД-1. Из них передать т.Лавоч</w:t>
      </w:r>
      <w:r w:rsidRPr="00070ADE">
        <w:rPr>
          <w:rFonts w:ascii="Times New Roman" w:hAnsi="Times New Roman"/>
          <w:color w:val="000000" w:themeColor="text1"/>
          <w:sz w:val="16"/>
          <w:szCs w:val="16"/>
        </w:rPr>
        <w:softHyphen/>
        <w:t>кину:</w:t>
      </w:r>
    </w:p>
    <w:p w14:paraId="04C58B48" w14:textId="77777777" w:rsidR="00C20F3C" w:rsidRPr="00070ADE" w:rsidRDefault="00C20F3C" w:rsidP="00B56F90">
      <w:pPr>
        <w:tabs>
          <w:tab w:val="left" w:pos="108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комплекта - 1 июня 1944 г.</w:t>
      </w:r>
    </w:p>
    <w:p w14:paraId="297D0D1E" w14:textId="77777777" w:rsidR="00C20F3C" w:rsidRPr="00070ADE" w:rsidRDefault="00C20F3C" w:rsidP="00B56F90">
      <w:pPr>
        <w:tabs>
          <w:tab w:val="left" w:pos="110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комплекта - 15 июня 1944 г.</w:t>
      </w:r>
    </w:p>
    <w:p w14:paraId="3D6D0812"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Начальнику ЦАГИ т.Шишкину разработать рекомен</w:t>
      </w:r>
      <w:r w:rsidRPr="00070ADE">
        <w:rPr>
          <w:rFonts w:ascii="Times New Roman" w:hAnsi="Times New Roman"/>
          <w:color w:val="000000" w:themeColor="text1"/>
          <w:sz w:val="16"/>
          <w:szCs w:val="16"/>
        </w:rPr>
        <w:softHyphen/>
        <w:t>дации по прочности, флаттеру и аэродинамике реактивных самолетов.</w:t>
      </w:r>
    </w:p>
    <w:p w14:paraId="1ADB8205"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Наркоману СССР - т.Звереву выделить НКАП .из резервного фонда СНК СССР:</w:t>
      </w:r>
    </w:p>
    <w:p w14:paraId="7217A75F" w14:textId="77777777" w:rsidR="00C20F3C" w:rsidRPr="00070ADE" w:rsidRDefault="00C20F3C" w:rsidP="00B56F90">
      <w:pPr>
        <w:tabs>
          <w:tab w:val="left" w:pos="81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 4 миллиона рублей на модификацию самолета Ла-5 с установкой РД-1 и </w:t>
      </w:r>
      <w:r w:rsidRPr="00070ADE">
        <w:rPr>
          <w:rStyle w:val="1pt"/>
          <w:rFonts w:ascii="Times New Roman" w:hAnsi="Times New Roman" w:cs="Times New Roman"/>
          <w:color w:val="000000" w:themeColor="text1"/>
          <w:spacing w:val="0"/>
          <w:sz w:val="16"/>
          <w:szCs w:val="16"/>
        </w:rPr>
        <w:t>8,5</w:t>
      </w:r>
      <w:r w:rsidRPr="00070ADE">
        <w:rPr>
          <w:rFonts w:ascii="Times New Roman" w:hAnsi="Times New Roman"/>
          <w:color w:val="000000" w:themeColor="text1"/>
          <w:sz w:val="16"/>
          <w:szCs w:val="16"/>
        </w:rPr>
        <w:t xml:space="preserve"> миллионов рублей на постройку опытных реактивных самолетов с двигателем т.Люлька;</w:t>
      </w:r>
    </w:p>
    <w:p w14:paraId="107CD223" w14:textId="77777777" w:rsidR="00C20F3C" w:rsidRPr="00070ADE" w:rsidRDefault="00C20F3C" w:rsidP="00B56F90">
      <w:pPr>
        <w:tabs>
          <w:tab w:val="left" w:pos="81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 </w:t>
      </w:r>
      <w:r w:rsidRPr="00070ADE">
        <w:rPr>
          <w:rStyle w:val="TimesNewRoman9pt"/>
          <w:rFonts w:eastAsia="Calibri"/>
          <w:color w:val="000000" w:themeColor="text1"/>
          <w:sz w:val="16"/>
          <w:szCs w:val="16"/>
        </w:rPr>
        <w:t>в</w:t>
      </w:r>
      <w:r w:rsidRPr="00070ADE">
        <w:rPr>
          <w:rFonts w:ascii="Times New Roman" w:hAnsi="Times New Roman"/>
          <w:color w:val="000000" w:themeColor="text1"/>
          <w:sz w:val="16"/>
          <w:szCs w:val="16"/>
        </w:rPr>
        <w:t xml:space="preserve"> распоряжение главного конструктора т.Лавочки</w:t>
      </w:r>
      <w:r w:rsidRPr="00070ADE">
        <w:rPr>
          <w:rFonts w:ascii="Times New Roman" w:hAnsi="Times New Roman"/>
          <w:color w:val="000000" w:themeColor="text1"/>
          <w:sz w:val="16"/>
          <w:szCs w:val="16"/>
        </w:rPr>
        <w:softHyphen/>
        <w:t>на С.А. на премирование конструкторов и рабочих</w:t>
      </w:r>
      <w:r w:rsidRPr="00070ADE">
        <w:rPr>
          <w:rStyle w:val="TimesNewRoman9pt"/>
          <w:rFonts w:eastAsia="Calibri"/>
          <w:color w:val="000000" w:themeColor="text1"/>
          <w:sz w:val="16"/>
          <w:szCs w:val="16"/>
        </w:rPr>
        <w:t xml:space="preserve"> завода, </w:t>
      </w:r>
      <w:r w:rsidRPr="00070ADE">
        <w:rPr>
          <w:rFonts w:ascii="Times New Roman" w:hAnsi="Times New Roman"/>
          <w:color w:val="000000" w:themeColor="text1"/>
          <w:sz w:val="16"/>
          <w:szCs w:val="16"/>
        </w:rPr>
        <w:t>работников научных институтов и ваводов-смекников:</w:t>
      </w:r>
    </w:p>
    <w:p w14:paraId="1F964E7A"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модификации самолета Ла-5 под однокамерный двигатель РД-1 - 500 тыс.руб.</w:t>
      </w:r>
    </w:p>
    <w:p w14:paraId="644D55EA"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реактивному самолету о двигателем Люлька - один млн.руб.</w:t>
      </w:r>
    </w:p>
    <w:p w14:paraId="05E5E9AC" w14:textId="77777777" w:rsidR="00C20F3C" w:rsidRPr="00070ADE" w:rsidRDefault="00C20F3C" w:rsidP="00B56F90">
      <w:pPr>
        <w:tabs>
          <w:tab w:val="left" w:pos="81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Предоставить право главному конструктору рас</w:t>
      </w:r>
      <w:r w:rsidRPr="00070ADE">
        <w:rPr>
          <w:rFonts w:ascii="Times New Roman" w:hAnsi="Times New Roman"/>
          <w:color w:val="000000" w:themeColor="text1"/>
          <w:sz w:val="16"/>
          <w:szCs w:val="16"/>
        </w:rPr>
        <w:softHyphen/>
        <w:t>ходовать 50% указанных премиальных сумм в процессе выполнения заданий настоящего постановления и осталь</w:t>
      </w:r>
      <w:r w:rsidRPr="00070ADE">
        <w:rPr>
          <w:rFonts w:ascii="Times New Roman" w:hAnsi="Times New Roman"/>
          <w:color w:val="000000" w:themeColor="text1"/>
          <w:sz w:val="16"/>
          <w:szCs w:val="16"/>
        </w:rPr>
        <w:softHyphen/>
        <w:t>ные 50% - по выполнении этих заданий.</w:t>
      </w:r>
    </w:p>
    <w:p w14:paraId="60422208" w14:textId="77777777" w:rsidR="00C20F3C" w:rsidRPr="00070ADE" w:rsidRDefault="00C20F3C" w:rsidP="00B56F90">
      <w:pPr>
        <w:tabs>
          <w:tab w:val="left" w:pos="79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Установить премию главному конструктору т.Ла</w:t>
      </w:r>
      <w:r w:rsidRPr="00070ADE">
        <w:rPr>
          <w:rFonts w:ascii="Times New Roman" w:hAnsi="Times New Roman"/>
          <w:color w:val="000000" w:themeColor="text1"/>
          <w:sz w:val="16"/>
          <w:szCs w:val="16"/>
        </w:rPr>
        <w:softHyphen/>
        <w:t>вочкину С.А. из указанного премиального фонда за вы</w:t>
      </w:r>
      <w:r w:rsidRPr="00070ADE">
        <w:rPr>
          <w:rFonts w:ascii="Times New Roman" w:hAnsi="Times New Roman"/>
          <w:color w:val="000000" w:themeColor="text1"/>
          <w:sz w:val="16"/>
          <w:szCs w:val="16"/>
        </w:rPr>
        <w:softHyphen/>
        <w:t>полнение в срок заданий по настоящему постановлению:</w:t>
      </w:r>
    </w:p>
    <w:p w14:paraId="64206FBC"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выполнение первого з</w:t>
      </w:r>
      <w:r w:rsidRPr="00070ADE">
        <w:rPr>
          <w:rFonts w:ascii="Times New Roman" w:hAnsi="Times New Roman"/>
          <w:color w:val="000000" w:themeColor="text1"/>
          <w:sz w:val="16"/>
          <w:szCs w:val="16"/>
          <w:lang w:val="en-US"/>
        </w:rPr>
        <w:t>a</w:t>
      </w:r>
      <w:r w:rsidRPr="00070ADE">
        <w:rPr>
          <w:rFonts w:ascii="Times New Roman" w:hAnsi="Times New Roman"/>
          <w:color w:val="000000" w:themeColor="text1"/>
          <w:sz w:val="16"/>
          <w:szCs w:val="16"/>
        </w:rPr>
        <w:t>дания - 75 тыс. руб.</w:t>
      </w:r>
    </w:p>
    <w:p w14:paraId="4B6B6F8A"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выполнение второго задания - 150 тыс.руб.</w:t>
      </w:r>
    </w:p>
    <w:p w14:paraId="73A2DEB7"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w:t>
      </w:r>
    </w:p>
    <w:p w14:paraId="4A470DAA"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Style w:val="16"/>
          <w:rFonts w:ascii="Times New Roman" w:hAnsi="Times New Roman" w:cs="Times New Roman"/>
          <w:color w:val="000000" w:themeColor="text1"/>
          <w:spacing w:val="0"/>
          <w:u w:val="none"/>
        </w:rPr>
        <w:t>Самолет главного конструктора т.Поликарпова Н.Н</w:t>
      </w:r>
      <w:r w:rsidRPr="00070ADE">
        <w:rPr>
          <w:rFonts w:ascii="Times New Roman" w:hAnsi="Times New Roman"/>
          <w:color w:val="000000" w:themeColor="text1"/>
          <w:sz w:val="16"/>
          <w:szCs w:val="16"/>
          <w:vertAlign w:val="subscript"/>
        </w:rPr>
        <w:t>;</w:t>
      </w:r>
    </w:p>
    <w:p w14:paraId="22E3FDEA"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Главному конструктору т.Поликарпову Н.Н. опроектировать и построить одноместный эксперименталь</w:t>
      </w:r>
      <w:r w:rsidRPr="00070ADE">
        <w:rPr>
          <w:rFonts w:ascii="Times New Roman" w:hAnsi="Times New Roman"/>
          <w:color w:val="000000" w:themeColor="text1"/>
          <w:sz w:val="16"/>
          <w:szCs w:val="16"/>
        </w:rPr>
        <w:softHyphen/>
        <w:t>ной реактивный истребитель с двухкамерным двигателем ЖРД конструкции НИИ-1 ШШ1 и герметической кабиной, со следующими летно-техническими данными:</w:t>
      </w:r>
    </w:p>
    <w:p w14:paraId="1F90B49B"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высоте - 800 км.в час</w:t>
      </w:r>
    </w:p>
    <w:p w14:paraId="0D6D5370"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окоропод"емность на 5000 мт. - 1,5 мин.</w:t>
      </w:r>
    </w:p>
    <w:p w14:paraId="36269AD9"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скоропод</w:t>
      </w:r>
      <w:r w:rsidRPr="00070ADE">
        <w:rPr>
          <w:rFonts w:ascii="Times New Roman" w:hAnsi="Times New Roman"/>
          <w:color w:val="000000" w:themeColor="text1"/>
          <w:sz w:val="16"/>
          <w:szCs w:val="16"/>
          <w:vertAlign w:val="superscript"/>
        </w:rPr>
        <w:t>и</w:t>
      </w:r>
      <w:r w:rsidRPr="00070ADE">
        <w:rPr>
          <w:rFonts w:ascii="Times New Roman" w:hAnsi="Times New Roman"/>
          <w:color w:val="000000" w:themeColor="text1"/>
          <w:sz w:val="16"/>
          <w:szCs w:val="16"/>
        </w:rPr>
        <w:t>емность на 10000 мт. - 3,0 -"-</w:t>
      </w:r>
    </w:p>
    <w:p w14:paraId="020F424A" w14:textId="77777777" w:rsidR="00C20F3C" w:rsidRPr="00070ADE" w:rsidRDefault="00C20F3C" w:rsidP="00B56F90">
      <w:pPr>
        <w:tabs>
          <w:tab w:val="left" w:pos="256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продолжительность полета на минимальной тяге на высоте 8000 мт. </w:t>
      </w:r>
      <w:r w:rsidRPr="00070ADE">
        <w:rPr>
          <w:rStyle w:val="-1pt"/>
          <w:rFonts w:ascii="Times New Roman" w:hAnsi="Times New Roman" w:cs="Times New Roman"/>
          <w:color w:val="000000" w:themeColor="text1"/>
          <w:spacing w:val="0"/>
          <w:sz w:val="16"/>
          <w:szCs w:val="16"/>
        </w:rPr>
        <w:t>-</w:t>
      </w:r>
      <w:r w:rsidRPr="00070ADE">
        <w:rPr>
          <w:rFonts w:ascii="Times New Roman" w:hAnsi="Times New Roman"/>
          <w:color w:val="000000" w:themeColor="text1"/>
          <w:sz w:val="16"/>
          <w:szCs w:val="16"/>
        </w:rPr>
        <w:t xml:space="preserve"> 12-14 мин.</w:t>
      </w:r>
    </w:p>
    <w:p w14:paraId="1E6EC0FD"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наибольшая высота под</w:t>
      </w:r>
      <w:r w:rsidRPr="00070ADE">
        <w:rPr>
          <w:rFonts w:ascii="Times New Roman" w:hAnsi="Times New Roman"/>
          <w:color w:val="000000" w:themeColor="text1"/>
          <w:sz w:val="16"/>
          <w:szCs w:val="16"/>
          <w:vertAlign w:val="superscript"/>
        </w:rPr>
        <w:t>м</w:t>
      </w:r>
      <w:r w:rsidRPr="00070ADE">
        <w:rPr>
          <w:rFonts w:ascii="Times New Roman" w:hAnsi="Times New Roman"/>
          <w:color w:val="000000" w:themeColor="text1"/>
          <w:sz w:val="16"/>
          <w:szCs w:val="16"/>
        </w:rPr>
        <w:t>ема с оставлением 80 кг горючего на посадку</w:t>
      </w:r>
      <w:r w:rsidRPr="00070ADE">
        <w:rPr>
          <w:rFonts w:ascii="Times New Roman" w:hAnsi="Times New Roman"/>
          <w:color w:val="000000" w:themeColor="text1"/>
          <w:sz w:val="16"/>
          <w:szCs w:val="16"/>
        </w:rPr>
        <w:tab/>
        <w:t>- 14000 мт.</w:t>
      </w:r>
    </w:p>
    <w:p w14:paraId="19EE74EB" w14:textId="77777777" w:rsidR="00C20F3C" w:rsidRPr="00070ADE" w:rsidRDefault="00C20F3C" w:rsidP="00B56F90">
      <w:pPr>
        <w:tabs>
          <w:tab w:val="left" w:pos="410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с возмож</w:t>
      </w:r>
      <w:r w:rsidRPr="00070ADE">
        <w:rPr>
          <w:rFonts w:ascii="Times New Roman" w:hAnsi="Times New Roman"/>
          <w:color w:val="000000" w:themeColor="text1"/>
          <w:sz w:val="16"/>
          <w:szCs w:val="16"/>
        </w:rPr>
        <w:softHyphen/>
        <w:t>ностью полета в течение 5 ми</w:t>
      </w:r>
      <w:r w:rsidRPr="00070ADE">
        <w:rPr>
          <w:rFonts w:ascii="Times New Roman" w:hAnsi="Times New Roman"/>
          <w:color w:val="000000" w:themeColor="text1"/>
          <w:sz w:val="16"/>
          <w:szCs w:val="16"/>
        </w:rPr>
        <w:softHyphen/>
        <w:t>нут на этой высоте и с остав</w:t>
      </w:r>
      <w:r w:rsidRPr="00070ADE">
        <w:rPr>
          <w:rFonts w:ascii="Times New Roman" w:hAnsi="Times New Roman"/>
          <w:color w:val="000000" w:themeColor="text1"/>
          <w:sz w:val="16"/>
          <w:szCs w:val="16"/>
        </w:rPr>
        <w:softHyphen/>
        <w:t>лением 80 кг горючего на по</w:t>
      </w:r>
      <w:r w:rsidRPr="00070ADE">
        <w:rPr>
          <w:rFonts w:ascii="Times New Roman" w:hAnsi="Times New Roman"/>
          <w:color w:val="000000" w:themeColor="text1"/>
          <w:sz w:val="16"/>
          <w:szCs w:val="16"/>
        </w:rPr>
        <w:softHyphen/>
        <w:t>садку -</w:t>
      </w:r>
      <w:r w:rsidRPr="00070ADE">
        <w:rPr>
          <w:rStyle w:val="Candara115pt-1pt"/>
          <w:rFonts w:ascii="Times New Roman" w:hAnsi="Times New Roman" w:cs="Times New Roman"/>
          <w:color w:val="000000" w:themeColor="text1"/>
          <w:spacing w:val="0"/>
          <w:sz w:val="16"/>
          <w:szCs w:val="16"/>
        </w:rPr>
        <w:t xml:space="preserve"> 12000</w:t>
      </w:r>
      <w:r w:rsidRPr="00070ADE">
        <w:rPr>
          <w:rFonts w:ascii="Times New Roman" w:hAnsi="Times New Roman"/>
          <w:color w:val="000000" w:themeColor="text1"/>
          <w:sz w:val="16"/>
          <w:szCs w:val="16"/>
        </w:rPr>
        <w:t xml:space="preserve"> мт.</w:t>
      </w:r>
    </w:p>
    <w:p w14:paraId="6C081F07" w14:textId="77777777" w:rsidR="00C20F3C" w:rsidRPr="00070ADE" w:rsidRDefault="00C20F3C" w:rsidP="00B56F90">
      <w:pPr>
        <w:tabs>
          <w:tab w:val="left" w:pos="411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 а з б е г</w:t>
      </w:r>
      <w:r w:rsidRPr="00070ADE">
        <w:rPr>
          <w:rFonts w:ascii="Times New Roman" w:hAnsi="Times New Roman"/>
          <w:color w:val="000000" w:themeColor="text1"/>
          <w:sz w:val="16"/>
          <w:szCs w:val="16"/>
        </w:rPr>
        <w:tab/>
        <w:t>- 500-600 мт.</w:t>
      </w:r>
    </w:p>
    <w:p w14:paraId="0E9B5093"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предусмотреть установку двух пушек калибра 20 мм.</w:t>
      </w:r>
    </w:p>
    <w:p w14:paraId="776EC2C8"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построить в 2-х экземплярах и пред"явить на летные испытания:</w:t>
      </w:r>
    </w:p>
    <w:p w14:paraId="6F337960" w14:textId="77777777" w:rsidR="00C20F3C" w:rsidRPr="00070ADE" w:rsidRDefault="00C20F3C" w:rsidP="00B56F90">
      <w:pPr>
        <w:tabs>
          <w:tab w:val="left" w:pos="303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экземпляр - 1 июля 1945 рода</w:t>
      </w:r>
    </w:p>
    <w:p w14:paraId="24C4487F" w14:textId="77777777" w:rsidR="00C20F3C" w:rsidRPr="00070ADE" w:rsidRDefault="00C20F3C" w:rsidP="00B56F90">
      <w:pPr>
        <w:tabs>
          <w:tab w:val="left" w:pos="305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2й экземпляр - 15 июля 1945 года</w:t>
      </w:r>
    </w:p>
    <w:p w14:paraId="191DE3EA"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 обеспечение выполнения указанного задания обязать:</w:t>
      </w:r>
    </w:p>
    <w:p w14:paraId="2ABD4F31"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а) начальника НИИ-1 НКАП т.Федорова и конструктора НИИ-1 т.Душкина изготовить 3 летных экземпляра 2-х камерного двига</w:t>
      </w:r>
      <w:r w:rsidRPr="00070ADE">
        <w:rPr>
          <w:rFonts w:ascii="Times New Roman" w:hAnsi="Times New Roman"/>
          <w:color w:val="000000" w:themeColor="text1"/>
          <w:sz w:val="16"/>
          <w:szCs w:val="16"/>
        </w:rPr>
        <w:softHyphen/>
        <w:t>теля ЖРД, удовлетворяющих следующий техническим условиям: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3669"/>
        <w:gridCol w:w="1310"/>
      </w:tblGrid>
      <w:tr w:rsidR="004D4663" w:rsidRPr="00070ADE" w14:paraId="3CF2AA5A" w14:textId="77777777" w:rsidTr="001144CD">
        <w:trPr>
          <w:trHeight w:val="240"/>
        </w:trPr>
        <w:tc>
          <w:tcPr>
            <w:tcW w:w="3669" w:type="dxa"/>
            <w:shd w:val="clear" w:color="auto" w:fill="FFFFFF"/>
          </w:tcPr>
          <w:p w14:paraId="3B93D3B5"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максимальное значение тяги</w:t>
            </w:r>
          </w:p>
        </w:tc>
        <w:tc>
          <w:tcPr>
            <w:tcW w:w="1310" w:type="dxa"/>
            <w:shd w:val="clear" w:color="auto" w:fill="FFFFFF"/>
          </w:tcPr>
          <w:p w14:paraId="312D967B"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- 1400 кг.</w:t>
            </w:r>
          </w:p>
        </w:tc>
      </w:tr>
      <w:tr w:rsidR="004D4663" w:rsidRPr="00070ADE" w14:paraId="425FFFFA" w14:textId="77777777" w:rsidTr="001144CD">
        <w:trPr>
          <w:trHeight w:val="240"/>
        </w:trPr>
        <w:tc>
          <w:tcPr>
            <w:tcW w:w="3669" w:type="dxa"/>
            <w:shd w:val="clear" w:color="auto" w:fill="FFFFFF"/>
          </w:tcPr>
          <w:p w14:paraId="447E04FA"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номинальное</w:t>
            </w:r>
          </w:p>
        </w:tc>
        <w:tc>
          <w:tcPr>
            <w:tcW w:w="1310" w:type="dxa"/>
            <w:shd w:val="clear" w:color="auto" w:fill="FFFFFF"/>
          </w:tcPr>
          <w:p w14:paraId="3191D332"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- 1100 -</w:t>
            </w:r>
            <w:r w:rsidRPr="00070ADE">
              <w:rPr>
                <w:rFonts w:ascii="Times New Roman" w:hAnsi="Times New Roman"/>
                <w:color w:val="000000" w:themeColor="text1"/>
                <w:sz w:val="16"/>
                <w:szCs w:val="16"/>
                <w:vertAlign w:val="superscript"/>
              </w:rPr>
              <w:t>и</w:t>
            </w:r>
            <w:r w:rsidRPr="00070ADE">
              <w:rPr>
                <w:rFonts w:ascii="Times New Roman" w:hAnsi="Times New Roman"/>
                <w:color w:val="000000" w:themeColor="text1"/>
                <w:sz w:val="16"/>
                <w:szCs w:val="16"/>
              </w:rPr>
              <w:t>-</w:t>
            </w:r>
          </w:p>
        </w:tc>
      </w:tr>
      <w:tr w:rsidR="004D4663" w:rsidRPr="00070ADE" w14:paraId="05F91169" w14:textId="77777777" w:rsidTr="001144CD">
        <w:trPr>
          <w:trHeight w:val="233"/>
        </w:trPr>
        <w:tc>
          <w:tcPr>
            <w:tcW w:w="3669" w:type="dxa"/>
            <w:shd w:val="clear" w:color="auto" w:fill="FFFFFF"/>
          </w:tcPr>
          <w:p w14:paraId="77EBF95A"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минимальная тяга большой камеры</w:t>
            </w:r>
          </w:p>
        </w:tc>
        <w:tc>
          <w:tcPr>
            <w:tcW w:w="1310" w:type="dxa"/>
            <w:shd w:val="clear" w:color="auto" w:fill="FFFFFF"/>
          </w:tcPr>
          <w:p w14:paraId="32C9E23D"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- 400</w:t>
            </w:r>
          </w:p>
        </w:tc>
      </w:tr>
      <w:tr w:rsidR="004D4663" w:rsidRPr="00070ADE" w14:paraId="348F21C2" w14:textId="77777777" w:rsidTr="001144CD">
        <w:trPr>
          <w:trHeight w:val="254"/>
        </w:trPr>
        <w:tc>
          <w:tcPr>
            <w:tcW w:w="3669" w:type="dxa"/>
            <w:shd w:val="clear" w:color="auto" w:fill="FFFFFF"/>
          </w:tcPr>
          <w:p w14:paraId="3F1D950E"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минимальная тяга малой камеры</w:t>
            </w:r>
          </w:p>
        </w:tc>
        <w:tc>
          <w:tcPr>
            <w:tcW w:w="1310" w:type="dxa"/>
            <w:shd w:val="clear" w:color="auto" w:fill="FFFFFF"/>
          </w:tcPr>
          <w:p w14:paraId="6CEBFE7E"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- 100 -"-</w:t>
            </w:r>
          </w:p>
        </w:tc>
      </w:tr>
      <w:tr w:rsidR="004D4663" w:rsidRPr="00070ADE" w14:paraId="4D8452CD" w14:textId="77777777" w:rsidTr="001144CD">
        <w:trPr>
          <w:trHeight w:val="206"/>
        </w:trPr>
        <w:tc>
          <w:tcPr>
            <w:tcW w:w="3669" w:type="dxa"/>
            <w:shd w:val="clear" w:color="auto" w:fill="FFFFFF"/>
          </w:tcPr>
          <w:p w14:paraId="720EDE39" w14:textId="0C0BE178"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минимальная тяга</w:t>
            </w:r>
            <w:r w:rsidRPr="00070ADE">
              <w:rPr>
                <w:rStyle w:val="9pt"/>
                <w:rFonts w:ascii="Times New Roman" w:hAnsi="Times New Roman" w:cs="Times New Roman"/>
                <w:color w:val="000000" w:themeColor="text1"/>
                <w:sz w:val="16"/>
                <w:szCs w:val="16"/>
              </w:rPr>
              <w:t xml:space="preserve"> 2</w:t>
            </w:r>
            <w:r w:rsidRPr="00070ADE">
              <w:rPr>
                <w:rFonts w:ascii="Times New Roman" w:hAnsi="Times New Roman"/>
                <w:color w:val="000000" w:themeColor="text1"/>
                <w:sz w:val="16"/>
                <w:szCs w:val="16"/>
              </w:rPr>
              <w:t>-х камерного</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двигателя</w:t>
            </w:r>
          </w:p>
        </w:tc>
        <w:tc>
          <w:tcPr>
            <w:tcW w:w="1310" w:type="dxa"/>
            <w:shd w:val="clear" w:color="auto" w:fill="FFFFFF"/>
          </w:tcPr>
          <w:p w14:paraId="3F702D3D"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- 500</w:t>
            </w:r>
          </w:p>
        </w:tc>
      </w:tr>
      <w:tr w:rsidR="004D4663" w:rsidRPr="00070ADE" w14:paraId="3A09633F" w14:textId="77777777" w:rsidTr="001144CD">
        <w:trPr>
          <w:trHeight w:val="206"/>
        </w:trPr>
        <w:tc>
          <w:tcPr>
            <w:tcW w:w="3669" w:type="dxa"/>
            <w:shd w:val="clear" w:color="auto" w:fill="FFFFFF"/>
          </w:tcPr>
          <w:p w14:paraId="686973E9"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двухкамерного двигателя</w:t>
            </w:r>
          </w:p>
        </w:tc>
        <w:tc>
          <w:tcPr>
            <w:tcW w:w="1310" w:type="dxa"/>
            <w:shd w:val="clear" w:color="auto" w:fill="FFFFFF"/>
          </w:tcPr>
          <w:p w14:paraId="3090B1FF"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w:t>
            </w:r>
          </w:p>
        </w:tc>
      </w:tr>
      <w:tr w:rsidR="004D4663" w:rsidRPr="00070ADE" w14:paraId="0AE57E99" w14:textId="77777777" w:rsidTr="001144CD">
        <w:trPr>
          <w:trHeight w:val="206"/>
        </w:trPr>
        <w:tc>
          <w:tcPr>
            <w:tcW w:w="3669" w:type="dxa"/>
            <w:shd w:val="clear" w:color="auto" w:fill="FFFFFF"/>
          </w:tcPr>
          <w:p w14:paraId="15313909"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турбонасосной установки</w:t>
            </w:r>
          </w:p>
        </w:tc>
        <w:tc>
          <w:tcPr>
            <w:tcW w:w="1310" w:type="dxa"/>
            <w:shd w:val="clear" w:color="auto" w:fill="FFFFFF"/>
          </w:tcPr>
          <w:p w14:paraId="1C65DD3F"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- 130 -"-</w:t>
            </w:r>
          </w:p>
        </w:tc>
      </w:tr>
      <w:tr w:rsidR="004D4663" w:rsidRPr="00070ADE" w14:paraId="4050150E" w14:textId="77777777" w:rsidTr="001144CD">
        <w:trPr>
          <w:trHeight w:val="206"/>
        </w:trPr>
        <w:tc>
          <w:tcPr>
            <w:tcW w:w="3669" w:type="dxa"/>
            <w:shd w:val="clear" w:color="auto" w:fill="FFFFFF"/>
          </w:tcPr>
          <w:p w14:paraId="21367CB7"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расход топлива на номинальной тяге</w:t>
            </w:r>
          </w:p>
        </w:tc>
        <w:tc>
          <w:tcPr>
            <w:tcW w:w="1310" w:type="dxa"/>
            <w:shd w:val="clear" w:color="auto" w:fill="FFFFFF"/>
          </w:tcPr>
          <w:p w14:paraId="425B36BF"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- 6 кг/сек</w:t>
            </w:r>
          </w:p>
        </w:tc>
      </w:tr>
      <w:tr w:rsidR="004D4663" w:rsidRPr="00070ADE" w14:paraId="270BE9DB" w14:textId="77777777" w:rsidTr="001144CD">
        <w:trPr>
          <w:trHeight w:val="206"/>
        </w:trPr>
        <w:tc>
          <w:tcPr>
            <w:tcW w:w="3669" w:type="dxa"/>
            <w:shd w:val="clear" w:color="auto" w:fill="FFFFFF"/>
          </w:tcPr>
          <w:p w14:paraId="5B44817E"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расход топлива на минимальной тяге</w:t>
            </w:r>
          </w:p>
        </w:tc>
        <w:tc>
          <w:tcPr>
            <w:tcW w:w="1310" w:type="dxa"/>
            <w:shd w:val="clear" w:color="auto" w:fill="FFFFFF"/>
          </w:tcPr>
          <w:p w14:paraId="6E289C95"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Style w:val="3pt"/>
                <w:rFonts w:ascii="Times New Roman" w:hAnsi="Times New Roman" w:cs="Times New Roman"/>
                <w:color w:val="000000" w:themeColor="text1"/>
                <w:spacing w:val="0"/>
                <w:sz w:val="16"/>
                <w:szCs w:val="16"/>
              </w:rPr>
              <w:t>-0,65</w:t>
            </w:r>
          </w:p>
        </w:tc>
      </w:tr>
    </w:tbl>
    <w:p w14:paraId="0F17356D"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Подать заводу № 51 двигатели с турбонасосной установ</w:t>
      </w:r>
      <w:r w:rsidRPr="00070ADE">
        <w:rPr>
          <w:rFonts w:ascii="Times New Roman" w:hAnsi="Times New Roman"/>
          <w:color w:val="000000" w:themeColor="text1"/>
          <w:sz w:val="16"/>
          <w:szCs w:val="16"/>
        </w:rPr>
        <w:softHyphen/>
        <w:t>кой:</w:t>
      </w:r>
    </w:p>
    <w:p w14:paraId="0869594A" w14:textId="77777777" w:rsidR="00C20F3C" w:rsidRPr="00070ADE" w:rsidRDefault="00C20F3C" w:rsidP="00B56F90">
      <w:pPr>
        <w:tabs>
          <w:tab w:val="left" w:pos="4667"/>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макетный двигатель - 15 января 1945 г.</w:t>
      </w:r>
    </w:p>
    <w:p w14:paraId="4C931252" w14:textId="77777777" w:rsidR="00C20F3C" w:rsidRPr="00070ADE" w:rsidRDefault="00C20F3C" w:rsidP="00B56F90">
      <w:pPr>
        <w:tabs>
          <w:tab w:val="left" w:pos="4667"/>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летный двигатель - Апрель 1945 года</w:t>
      </w:r>
    </w:p>
    <w:p w14:paraId="4132B499" w14:textId="77777777" w:rsidR="00C20F3C" w:rsidRPr="00070ADE" w:rsidRDefault="00C20F3C" w:rsidP="00B56F90">
      <w:pPr>
        <w:tabs>
          <w:tab w:val="left" w:pos="4660"/>
        </w:tabs>
        <w:spacing w:after="0" w:line="240" w:lineRule="auto"/>
        <w:jc w:val="both"/>
        <w:rPr>
          <w:rFonts w:ascii="Times New Roman" w:hAnsi="Times New Roman"/>
          <w:color w:val="000000" w:themeColor="text1"/>
          <w:sz w:val="16"/>
          <w:szCs w:val="16"/>
        </w:rPr>
      </w:pPr>
      <w:r w:rsidRPr="00070ADE">
        <w:rPr>
          <w:rStyle w:val="Constantia14pt"/>
          <w:rFonts w:ascii="Times New Roman" w:hAnsi="Times New Roman" w:cs="Times New Roman"/>
          <w:color w:val="000000" w:themeColor="text1"/>
          <w:sz w:val="16"/>
          <w:szCs w:val="16"/>
        </w:rPr>
        <w:t>1</w:t>
      </w:r>
      <w:r w:rsidRPr="00070ADE">
        <w:rPr>
          <w:rFonts w:ascii="Times New Roman" w:hAnsi="Times New Roman"/>
          <w:color w:val="000000" w:themeColor="text1"/>
          <w:sz w:val="16"/>
          <w:szCs w:val="16"/>
        </w:rPr>
        <w:t xml:space="preserve"> летный двигатель - </w:t>
      </w:r>
      <w:r w:rsidRPr="00070ADE">
        <w:rPr>
          <w:rStyle w:val="5pt"/>
          <w:rFonts w:ascii="Times New Roman" w:hAnsi="Times New Roman" w:cs="Times New Roman"/>
          <w:color w:val="000000" w:themeColor="text1"/>
          <w:spacing w:val="0"/>
          <w:sz w:val="16"/>
          <w:szCs w:val="16"/>
        </w:rPr>
        <w:t>май</w:t>
      </w:r>
      <w:r w:rsidRPr="00070ADE">
        <w:rPr>
          <w:rFonts w:ascii="Times New Roman" w:hAnsi="Times New Roman"/>
          <w:color w:val="000000" w:themeColor="text1"/>
          <w:sz w:val="16"/>
          <w:szCs w:val="16"/>
        </w:rPr>
        <w:t xml:space="preserve"> 1945 года</w:t>
      </w:r>
    </w:p>
    <w:p w14:paraId="51471F22" w14:textId="77777777" w:rsidR="00C20F3C" w:rsidRPr="00070ADE" w:rsidRDefault="00C20F3C" w:rsidP="00B56F90">
      <w:pPr>
        <w:tabs>
          <w:tab w:val="left" w:pos="155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директора завода № 24 т .Жезлова - изготовить 3 комп</w:t>
      </w:r>
      <w:r w:rsidRPr="00070ADE">
        <w:rPr>
          <w:rFonts w:ascii="Times New Roman" w:hAnsi="Times New Roman"/>
          <w:color w:val="000000" w:themeColor="text1"/>
          <w:sz w:val="16"/>
          <w:szCs w:val="16"/>
        </w:rPr>
        <w:softHyphen/>
        <w:t>лекта турбин турбонасосов ЖРД и подать их заводу а 20 к 1 августа с.г.</w:t>
      </w:r>
    </w:p>
    <w:p w14:paraId="3082351E" w14:textId="77777777" w:rsidR="00C20F3C" w:rsidRPr="00070ADE" w:rsidRDefault="00C20F3C" w:rsidP="00B56F90">
      <w:pPr>
        <w:tabs>
          <w:tab w:val="left" w:pos="1227"/>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НИИ-1 НКАП выдать заводу 24 техусловия на турбины к 25 мая с.г.</w:t>
      </w:r>
    </w:p>
    <w:p w14:paraId="0E3C8A9B" w14:textId="77777777" w:rsidR="00C20F3C" w:rsidRPr="00070ADE" w:rsidRDefault="00C20F3C" w:rsidP="00B56F90">
      <w:pPr>
        <w:tabs>
          <w:tab w:val="left" w:pos="156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и.о. директора завода 20 т.Кругленина - изготовить по чертежам х техническим условиям НИИ-1 НКАП и ВИГМ 3 комп</w:t>
      </w:r>
      <w:r w:rsidRPr="00070ADE">
        <w:rPr>
          <w:rFonts w:ascii="Times New Roman" w:hAnsi="Times New Roman"/>
          <w:color w:val="000000" w:themeColor="text1"/>
          <w:sz w:val="16"/>
          <w:szCs w:val="16"/>
        </w:rPr>
        <w:softHyphen/>
        <w:t xml:space="preserve">лекта турбонасосного агрегата и подать их НИИ-1 НКАП к 1 сентября </w:t>
      </w:r>
      <w:r w:rsidRPr="00070ADE">
        <w:rPr>
          <w:rStyle w:val="1pt"/>
          <w:rFonts w:ascii="Times New Roman" w:hAnsi="Times New Roman" w:cs="Times New Roman"/>
          <w:color w:val="000000" w:themeColor="text1"/>
          <w:spacing w:val="0"/>
          <w:sz w:val="16"/>
          <w:szCs w:val="16"/>
        </w:rPr>
        <w:t>с.г.</w:t>
      </w:r>
    </w:p>
    <w:p w14:paraId="439E1375"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НИН-1 НЮШ и ВИГМ подать заводу </w:t>
      </w:r>
      <w:r w:rsidRPr="00070ADE">
        <w:rPr>
          <w:rFonts w:ascii="Times New Roman" w:hAnsi="Times New Roman"/>
          <w:color w:val="000000" w:themeColor="text1"/>
          <w:sz w:val="16"/>
          <w:szCs w:val="16"/>
          <w:lang w:val="en-US"/>
        </w:rPr>
        <w:t>IP</w:t>
      </w:r>
      <w:r w:rsidRPr="00070ADE">
        <w:rPr>
          <w:rFonts w:ascii="Times New Roman" w:hAnsi="Times New Roman"/>
          <w:color w:val="000000" w:themeColor="text1"/>
          <w:sz w:val="16"/>
          <w:szCs w:val="16"/>
        </w:rPr>
        <w:t xml:space="preserve"> £0 чертежи и техусловия на изготовление рюбонасос ного агрегата к 25 мая 1944' года;</w:t>
      </w:r>
    </w:p>
    <w:p w14:paraId="225D3D5B"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начальника ЦАГИ - т.Шишкина - разработать рекомендации по прочности, флаттеру и аэродинамике реак</w:t>
      </w:r>
      <w:r w:rsidRPr="00070ADE">
        <w:rPr>
          <w:rFonts w:ascii="Times New Roman" w:hAnsi="Times New Roman"/>
          <w:color w:val="000000" w:themeColor="text1"/>
          <w:sz w:val="16"/>
          <w:szCs w:val="16"/>
        </w:rPr>
        <w:softHyphen/>
        <w:t>тивного самолета и произвести продувки в аэродинами</w:t>
      </w:r>
      <w:r w:rsidRPr="00070ADE">
        <w:rPr>
          <w:rFonts w:ascii="Times New Roman" w:hAnsi="Times New Roman"/>
          <w:color w:val="000000" w:themeColor="text1"/>
          <w:sz w:val="16"/>
          <w:szCs w:val="16"/>
        </w:rPr>
        <w:softHyphen/>
        <w:t>ческой трубе модели самолета, для чего главному кон</w:t>
      </w:r>
      <w:r w:rsidRPr="00070ADE">
        <w:rPr>
          <w:rFonts w:ascii="Times New Roman" w:hAnsi="Times New Roman"/>
          <w:color w:val="000000" w:themeColor="text1"/>
          <w:sz w:val="16"/>
          <w:szCs w:val="16"/>
        </w:rPr>
        <w:softHyphen/>
        <w:t>структору т.Поликарпову подать ЦАГИ модель самолета к 1 июля 1944 года по техническим требованиям ЦАГИ.</w:t>
      </w:r>
    </w:p>
    <w:p w14:paraId="6E079B55"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Наркомфину СССР - т.Звереву выделить НКАП из резервного фонда СНК СССР:</w:t>
      </w:r>
    </w:p>
    <w:p w14:paraId="34DEEC76" w14:textId="77777777" w:rsidR="00C20F3C" w:rsidRPr="00070ADE" w:rsidRDefault="00C20F3C" w:rsidP="00B56F90">
      <w:pPr>
        <w:tabs>
          <w:tab w:val="left" w:pos="81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8 миллионов рублей на постройку самолетов с двигателем НИИ-1;</w:t>
      </w:r>
    </w:p>
    <w:p w14:paraId="672249F3" w14:textId="77777777" w:rsidR="00C20F3C" w:rsidRPr="00070ADE" w:rsidRDefault="00C20F3C" w:rsidP="00B56F90">
      <w:pPr>
        <w:tabs>
          <w:tab w:val="left" w:pos="83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1 миллион рублей в распоряжение главного кон</w:t>
      </w:r>
      <w:r w:rsidRPr="00070ADE">
        <w:rPr>
          <w:rFonts w:ascii="Times New Roman" w:hAnsi="Times New Roman"/>
          <w:color w:val="000000" w:themeColor="text1"/>
          <w:sz w:val="16"/>
          <w:szCs w:val="16"/>
        </w:rPr>
        <w:softHyphen/>
        <w:t>структора т.Поликарпова Н.Н. на премирование конструк</w:t>
      </w:r>
      <w:r w:rsidRPr="00070ADE">
        <w:rPr>
          <w:rFonts w:ascii="Times New Roman" w:hAnsi="Times New Roman"/>
          <w:color w:val="000000" w:themeColor="text1"/>
          <w:sz w:val="16"/>
          <w:szCs w:val="16"/>
        </w:rPr>
        <w:softHyphen/>
        <w:t>торов и рабочих завода, работников научных инотитутов и 8аводов-смежников, наиболее отличившихся при выпол</w:t>
      </w:r>
      <w:r w:rsidRPr="00070ADE">
        <w:rPr>
          <w:rFonts w:ascii="Times New Roman" w:hAnsi="Times New Roman"/>
          <w:color w:val="000000" w:themeColor="text1"/>
          <w:sz w:val="16"/>
          <w:szCs w:val="16"/>
        </w:rPr>
        <w:softHyphen/>
        <w:t>нении задания по реактивному самолету с двухкамерным двигателем ЖРД.</w:t>
      </w:r>
    </w:p>
    <w:p w14:paraId="297BDC60" w14:textId="1EFB650E" w:rsidR="00C20F3C" w:rsidRPr="00070ADE" w:rsidRDefault="00C20F3C" w:rsidP="00B56F90">
      <w:pPr>
        <w:tabs>
          <w:tab w:val="left" w:pos="81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Предоставить право главному конструктору рас</w:t>
      </w:r>
      <w:r w:rsidRPr="00070ADE">
        <w:rPr>
          <w:rFonts w:ascii="Times New Roman" w:hAnsi="Times New Roman"/>
          <w:color w:val="000000" w:themeColor="text1"/>
          <w:sz w:val="16"/>
          <w:szCs w:val="16"/>
        </w:rPr>
        <w:softHyphen/>
        <w:t>ходовать 50% указанных премиальных сумы в процессе вы</w:t>
      </w:r>
      <w:r w:rsidRPr="00070ADE">
        <w:rPr>
          <w:rFonts w:ascii="Times New Roman" w:hAnsi="Times New Roman"/>
          <w:color w:val="000000" w:themeColor="text1"/>
          <w:sz w:val="16"/>
          <w:szCs w:val="16"/>
        </w:rPr>
        <w:softHyphen/>
        <w:t>полнения задания настоящего постановления и остальные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50% - по выполнения этого гадания.</w:t>
      </w:r>
    </w:p>
    <w:p w14:paraId="0FC21456" w14:textId="77777777" w:rsidR="00C20F3C" w:rsidRPr="00070ADE" w:rsidRDefault="00C20F3C" w:rsidP="00B56F90">
      <w:pPr>
        <w:tabs>
          <w:tab w:val="left" w:pos="804"/>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Установить премию главному конструктору т.Поли</w:t>
      </w:r>
      <w:r w:rsidRPr="00070ADE">
        <w:rPr>
          <w:rFonts w:ascii="Times New Roman" w:hAnsi="Times New Roman"/>
          <w:color w:val="000000" w:themeColor="text1"/>
          <w:sz w:val="16"/>
          <w:szCs w:val="16"/>
        </w:rPr>
        <w:softHyphen/>
        <w:t>карпову Н.Н. из указанного премиального фонда за выпол</w:t>
      </w:r>
      <w:r w:rsidRPr="00070ADE">
        <w:rPr>
          <w:rFonts w:ascii="Times New Roman" w:hAnsi="Times New Roman"/>
          <w:color w:val="000000" w:themeColor="text1"/>
          <w:sz w:val="16"/>
          <w:szCs w:val="16"/>
        </w:rPr>
        <w:softHyphen/>
        <w:t xml:space="preserve">нение в срок задания по настоящему постановлению - </w:t>
      </w:r>
      <w:r w:rsidRPr="00070ADE">
        <w:rPr>
          <w:rStyle w:val="16"/>
          <w:rFonts w:ascii="Times New Roman" w:hAnsi="Times New Roman" w:cs="Times New Roman"/>
          <w:color w:val="000000" w:themeColor="text1"/>
          <w:spacing w:val="0"/>
          <w:u w:val="none"/>
        </w:rPr>
        <w:t>150</w:t>
      </w:r>
      <w:r w:rsidRPr="00070ADE">
        <w:rPr>
          <w:rFonts w:ascii="Times New Roman" w:hAnsi="Times New Roman"/>
          <w:color w:val="000000" w:themeColor="text1"/>
          <w:sz w:val="16"/>
          <w:szCs w:val="16"/>
        </w:rPr>
        <w:t xml:space="preserve"> тысяч рублей.</w:t>
      </w:r>
    </w:p>
    <w:p w14:paraId="2392E955"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Style w:val="16"/>
          <w:rFonts w:ascii="Times New Roman" w:hAnsi="Times New Roman" w:cs="Times New Roman"/>
          <w:color w:val="000000" w:themeColor="text1"/>
          <w:spacing w:val="0"/>
          <w:u w:val="none"/>
        </w:rPr>
        <w:t>1У. Самолет конструкторов т.т.Микояна А.И. и Гуре- вича М.И.</w:t>
      </w:r>
    </w:p>
    <w:p w14:paraId="560E1D4C"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Главному конструктору т.Микояну А.И. и замести</w:t>
      </w:r>
      <w:r w:rsidRPr="00070ADE">
        <w:rPr>
          <w:rFonts w:ascii="Times New Roman" w:hAnsi="Times New Roman"/>
          <w:color w:val="000000" w:themeColor="text1"/>
          <w:sz w:val="16"/>
          <w:szCs w:val="16"/>
        </w:rPr>
        <w:softHyphen/>
        <w:t>телю главного конструктора т.Гуревичу М.И. спроектиро</w:t>
      </w:r>
      <w:r w:rsidRPr="00070ADE">
        <w:rPr>
          <w:rFonts w:ascii="Times New Roman" w:hAnsi="Times New Roman"/>
          <w:color w:val="000000" w:themeColor="text1"/>
          <w:sz w:val="16"/>
          <w:szCs w:val="16"/>
        </w:rPr>
        <w:softHyphen/>
        <w:t>вать и построить одноместный экспериментальный реактив</w:t>
      </w:r>
      <w:r w:rsidRPr="00070ADE">
        <w:rPr>
          <w:rFonts w:ascii="Times New Roman" w:hAnsi="Times New Roman"/>
          <w:color w:val="000000" w:themeColor="text1"/>
          <w:sz w:val="16"/>
          <w:szCs w:val="16"/>
        </w:rPr>
        <w:softHyphen/>
        <w:t>ный истребитель с мотором ВК-107А с установкой дополни</w:t>
      </w:r>
      <w:r w:rsidRPr="00070ADE">
        <w:rPr>
          <w:rFonts w:ascii="Times New Roman" w:hAnsi="Times New Roman"/>
          <w:color w:val="000000" w:themeColor="text1"/>
          <w:sz w:val="16"/>
          <w:szCs w:val="16"/>
        </w:rPr>
        <w:softHyphen/>
        <w:t xml:space="preserve">тельного воздушно-реактивного двигателя с компрессором "ВРДК" конструкции </w:t>
      </w:r>
      <w:r w:rsidRPr="00070ADE">
        <w:rPr>
          <w:rStyle w:val="-1pt"/>
          <w:rFonts w:ascii="Times New Roman" w:hAnsi="Times New Roman" w:cs="Times New Roman"/>
          <w:color w:val="000000" w:themeColor="text1"/>
          <w:spacing w:val="0"/>
          <w:sz w:val="16"/>
          <w:szCs w:val="16"/>
        </w:rPr>
        <w:t>ЦИАМ</w:t>
      </w:r>
      <w:r w:rsidRPr="00070ADE">
        <w:rPr>
          <w:rFonts w:ascii="Times New Roman" w:hAnsi="Times New Roman"/>
          <w:color w:val="000000" w:themeColor="text1"/>
          <w:sz w:val="16"/>
          <w:szCs w:val="16"/>
        </w:rPr>
        <w:t xml:space="preserve"> НКАП, со следующими летно-тех- ническими данными:</w:t>
      </w:r>
    </w:p>
    <w:p w14:paraId="7686C805"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с включением ВРдК на высоте 7000 мт.в течение 15 мин. (при наборе высоты без ВРДК) - 810 км.в час</w:t>
      </w:r>
    </w:p>
    <w:p w14:paraId="2BB458BC"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без включения ВРДК - 700</w:t>
      </w:r>
    </w:p>
    <w:p w14:paraId="40BCF3F2"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скоропод"емность на 5000 м без ВРДК - 5,5 мин.</w:t>
      </w:r>
    </w:p>
    <w:p w14:paraId="2BE767FA"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скоропод"емность на 5000 мт.с ВРДК - 4,5</w:t>
      </w:r>
    </w:p>
    <w:p w14:paraId="678CAC39"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продолжительность полета при условии пользования форсажем скорости (вклю</w:t>
      </w:r>
      <w:r w:rsidRPr="00070ADE">
        <w:rPr>
          <w:rFonts w:ascii="Times New Roman" w:hAnsi="Times New Roman"/>
          <w:color w:val="000000" w:themeColor="text1"/>
          <w:sz w:val="16"/>
          <w:szCs w:val="16"/>
        </w:rPr>
        <w:softHyphen/>
        <w:t>чение ВРД) не более 15 мин. - 1 час 10 мин.</w:t>
      </w:r>
    </w:p>
    <w:p w14:paraId="1AB7EEB6"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без включения ВРДК при наборе высоты - 11000 м</w:t>
      </w:r>
    </w:p>
    <w:p w14:paraId="1D4D7417"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Style w:val="4pt"/>
          <w:rFonts w:ascii="Times New Roman" w:hAnsi="Times New Roman" w:cs="Times New Roman"/>
          <w:color w:val="000000" w:themeColor="text1"/>
          <w:spacing w:val="0"/>
          <w:sz w:val="16"/>
          <w:szCs w:val="16"/>
          <w:u w:val="none"/>
        </w:rPr>
        <w:t>тоже,</w:t>
      </w:r>
      <w:r w:rsidRPr="00070ADE">
        <w:rPr>
          <w:rFonts w:ascii="Times New Roman" w:hAnsi="Times New Roman"/>
          <w:color w:val="000000" w:themeColor="text1"/>
          <w:sz w:val="16"/>
          <w:szCs w:val="16"/>
        </w:rPr>
        <w:t xml:space="preserve"> но с включением ВРДК после 11000 м - 12000 м</w:t>
      </w:r>
    </w:p>
    <w:p w14:paraId="3F6B6422" w14:textId="77777777" w:rsidR="00C20F3C" w:rsidRPr="00070ADE" w:rsidRDefault="00C20F3C" w:rsidP="00B56F90">
      <w:pPr>
        <w:tabs>
          <w:tab w:val="left" w:pos="4839"/>
        </w:tabs>
        <w:spacing w:after="0" w:line="240" w:lineRule="auto"/>
        <w:jc w:val="both"/>
        <w:rPr>
          <w:rFonts w:ascii="Times New Roman" w:hAnsi="Times New Roman"/>
          <w:color w:val="000000" w:themeColor="text1"/>
          <w:sz w:val="16"/>
          <w:szCs w:val="16"/>
        </w:rPr>
      </w:pPr>
      <w:r w:rsidRPr="00070ADE">
        <w:rPr>
          <w:rStyle w:val="5pt"/>
          <w:rFonts w:ascii="Times New Roman" w:hAnsi="Times New Roman" w:cs="Times New Roman"/>
          <w:color w:val="000000" w:themeColor="text1"/>
          <w:spacing w:val="0"/>
          <w:sz w:val="16"/>
          <w:szCs w:val="16"/>
        </w:rPr>
        <w:t xml:space="preserve">разбег- </w:t>
      </w:r>
      <w:r w:rsidRPr="00070ADE">
        <w:rPr>
          <w:rFonts w:ascii="Times New Roman" w:hAnsi="Times New Roman"/>
          <w:color w:val="000000" w:themeColor="text1"/>
          <w:sz w:val="16"/>
          <w:szCs w:val="16"/>
        </w:rPr>
        <w:t>460 "</w:t>
      </w:r>
    </w:p>
    <w:p w14:paraId="15ED34A9"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предусмотреть установку пушки калибра 23 мм и двух пулеметов калибра 12,7 мм.</w:t>
      </w:r>
    </w:p>
    <w:p w14:paraId="4809F5BC"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построить в 2-х экземплярах и пред</w:t>
      </w:r>
      <w:r w:rsidRPr="00070ADE">
        <w:rPr>
          <w:rFonts w:ascii="Times New Roman" w:hAnsi="Times New Roman"/>
          <w:color w:val="000000" w:themeColor="text1"/>
          <w:sz w:val="16"/>
          <w:szCs w:val="16"/>
          <w:vertAlign w:val="superscript"/>
        </w:rPr>
        <w:t>и</w:t>
      </w:r>
      <w:r w:rsidRPr="00070ADE">
        <w:rPr>
          <w:rFonts w:ascii="Times New Roman" w:hAnsi="Times New Roman"/>
          <w:color w:val="000000" w:themeColor="text1"/>
          <w:sz w:val="16"/>
          <w:szCs w:val="16"/>
        </w:rPr>
        <w:t>явить на летные испытания:</w:t>
      </w:r>
    </w:p>
    <w:p w14:paraId="41250BEE" w14:textId="77777777" w:rsidR="00C20F3C" w:rsidRPr="00070ADE" w:rsidRDefault="00C20F3C" w:rsidP="00B56F90">
      <w:pPr>
        <w:tabs>
          <w:tab w:val="left" w:pos="978"/>
          <w:tab w:val="left" w:pos="312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экземпляр - февраль 1945г.</w:t>
      </w:r>
    </w:p>
    <w:p w14:paraId="4547931C" w14:textId="77777777" w:rsidR="00C20F3C" w:rsidRPr="00070ADE" w:rsidRDefault="00C20F3C" w:rsidP="00B56F90">
      <w:pPr>
        <w:tabs>
          <w:tab w:val="left" w:pos="312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2й - март 1945г.</w:t>
      </w:r>
    </w:p>
    <w:p w14:paraId="65E3775B" w14:textId="77777777" w:rsidR="00C20F3C" w:rsidRPr="00070ADE" w:rsidRDefault="00C20F3C" w:rsidP="00B56F90">
      <w:pPr>
        <w:tabs>
          <w:tab w:val="left" w:pos="876"/>
        </w:tabs>
        <w:spacing w:after="0" w:line="240" w:lineRule="auto"/>
        <w:jc w:val="both"/>
        <w:rPr>
          <w:rFonts w:ascii="Times New Roman" w:eastAsia="Gungsuh" w:hAnsi="Times New Roman"/>
          <w:color w:val="000000" w:themeColor="text1"/>
          <w:sz w:val="16"/>
          <w:szCs w:val="16"/>
          <w:lang w:eastAsia="ru-RU"/>
        </w:rPr>
      </w:pPr>
      <w:r w:rsidRPr="00070ADE">
        <w:rPr>
          <w:rFonts w:ascii="Times New Roman" w:eastAsia="Gungsuh" w:hAnsi="Times New Roman"/>
          <w:color w:val="000000" w:themeColor="text1"/>
          <w:sz w:val="16"/>
          <w:szCs w:val="16"/>
          <w:lang w:eastAsia="ru-RU"/>
        </w:rPr>
        <w:t>2. В обеспечение выполнения указанного задания обязать:</w:t>
      </w:r>
    </w:p>
    <w:p w14:paraId="6266C442" w14:textId="77777777" w:rsidR="00C20F3C" w:rsidRPr="00070ADE" w:rsidRDefault="00C20F3C" w:rsidP="00B56F90">
      <w:pPr>
        <w:tabs>
          <w:tab w:val="left" w:pos="888"/>
        </w:tabs>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Gungsuh" w:hAnsi="Times New Roman"/>
          <w:color w:val="000000" w:themeColor="text1"/>
          <w:sz w:val="16"/>
          <w:szCs w:val="16"/>
          <w:lang w:eastAsia="ru-RU"/>
        </w:rPr>
        <w:t>а) начальника ЦИ1АМ т.Поликовского - изготовить 3 комплекта ВРДК, удовлетворяющих-следующим техническим условиям:</w:t>
      </w:r>
    </w:p>
    <w:p w14:paraId="1B840EE4" w14:textId="77777777" w:rsidR="00C20F3C" w:rsidRPr="00070ADE" w:rsidRDefault="00C20F3C" w:rsidP="00B56F90">
      <w:pPr>
        <w:tabs>
          <w:tab w:val="left" w:pos="4368"/>
        </w:tabs>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Gungsuh" w:hAnsi="Times New Roman"/>
          <w:color w:val="000000" w:themeColor="text1"/>
          <w:sz w:val="16"/>
          <w:szCs w:val="16"/>
          <w:lang w:eastAsia="ru-RU"/>
        </w:rPr>
        <w:t>тяговая мощность на высоте 7000 мт. при скорости 800 км/час, расхода топлива. 1200 кг в час и потребной мощности для работы компрессора - 300 л.с. - 900 тяговых л. с.</w:t>
      </w:r>
    </w:p>
    <w:p w14:paraId="343BFE6C" w14:textId="77777777" w:rsidR="00C20F3C" w:rsidRPr="00070ADE" w:rsidRDefault="00C20F3C" w:rsidP="00B56F90">
      <w:pPr>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Gungsuh" w:hAnsi="Times New Roman"/>
          <w:color w:val="000000" w:themeColor="text1"/>
          <w:sz w:val="16"/>
          <w:szCs w:val="16"/>
          <w:lang w:eastAsia="ru-RU"/>
        </w:rPr>
        <w:t>наружный диаметр компрессора ВРДК не более - 650 мм</w:t>
      </w:r>
    </w:p>
    <w:p w14:paraId="7C9C348C" w14:textId="77777777" w:rsidR="00C20F3C" w:rsidRPr="00070ADE" w:rsidRDefault="00C20F3C" w:rsidP="00B56F90">
      <w:pPr>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Gungsuh" w:hAnsi="Times New Roman"/>
          <w:color w:val="000000" w:themeColor="text1"/>
          <w:sz w:val="16"/>
          <w:szCs w:val="16"/>
          <w:lang w:eastAsia="ru-RU"/>
        </w:rPr>
        <w:t>вес двигателя с компрессором не более 170 кг</w:t>
      </w:r>
    </w:p>
    <w:p w14:paraId="0F98CB5C" w14:textId="77777777" w:rsidR="00C20F3C" w:rsidRPr="00070ADE" w:rsidRDefault="00C20F3C" w:rsidP="00B56F90">
      <w:pPr>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Gungsuh" w:hAnsi="Times New Roman"/>
          <w:color w:val="000000" w:themeColor="text1"/>
          <w:sz w:val="16"/>
          <w:szCs w:val="16"/>
          <w:lang w:eastAsia="ru-RU"/>
        </w:rPr>
        <w:t>и подать их заводу № 155:</w:t>
      </w:r>
    </w:p>
    <w:p w14:paraId="73BE3C7F" w14:textId="77777777" w:rsidR="00C20F3C" w:rsidRPr="00070ADE" w:rsidRDefault="00C20F3C" w:rsidP="00B56F90">
      <w:pPr>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Gungsuh" w:hAnsi="Times New Roman"/>
          <w:color w:val="000000" w:themeColor="text1"/>
          <w:sz w:val="16"/>
          <w:szCs w:val="16"/>
          <w:lang w:eastAsia="ru-RU"/>
        </w:rPr>
        <w:t>1 макетный двигатель - август 1944г.</w:t>
      </w:r>
    </w:p>
    <w:p w14:paraId="6423B731" w14:textId="77777777" w:rsidR="00C20F3C" w:rsidRPr="00070ADE" w:rsidRDefault="00C20F3C" w:rsidP="00B56F90">
      <w:pPr>
        <w:tabs>
          <w:tab w:val="left" w:pos="2929"/>
        </w:tabs>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Gungsuh" w:hAnsi="Times New Roman"/>
          <w:color w:val="000000" w:themeColor="text1"/>
          <w:sz w:val="16"/>
          <w:szCs w:val="16"/>
          <w:lang w:eastAsia="ru-RU"/>
        </w:rPr>
        <w:t>1 летный - декабрь 1944г.</w:t>
      </w:r>
    </w:p>
    <w:p w14:paraId="4937B1BC" w14:textId="77777777" w:rsidR="00C20F3C" w:rsidRPr="00070ADE" w:rsidRDefault="00C20F3C" w:rsidP="00B56F90">
      <w:pPr>
        <w:tabs>
          <w:tab w:val="left" w:pos="2923"/>
        </w:tabs>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Gungsuh" w:hAnsi="Times New Roman"/>
          <w:color w:val="000000" w:themeColor="text1"/>
          <w:sz w:val="16"/>
          <w:szCs w:val="16"/>
          <w:lang w:eastAsia="ru-RU"/>
        </w:rPr>
        <w:t>1 летный - январь 1946 г,</w:t>
      </w:r>
    </w:p>
    <w:p w14:paraId="78AA5874" w14:textId="77777777" w:rsidR="00C20F3C" w:rsidRPr="00070ADE" w:rsidRDefault="00C20F3C" w:rsidP="00B56F90">
      <w:pPr>
        <w:tabs>
          <w:tab w:val="left" w:pos="2923"/>
        </w:tabs>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Gungsuh" w:hAnsi="Times New Roman"/>
          <w:color w:val="000000" w:themeColor="text1"/>
          <w:sz w:val="16"/>
          <w:szCs w:val="16"/>
          <w:lang w:eastAsia="ru-RU"/>
        </w:rPr>
        <w:t>1 летный - февраль 1945г. ;</w:t>
      </w:r>
    </w:p>
    <w:p w14:paraId="3A104E35" w14:textId="77777777" w:rsidR="00C20F3C" w:rsidRPr="00070ADE" w:rsidRDefault="00C20F3C" w:rsidP="00B56F90">
      <w:pPr>
        <w:tabs>
          <w:tab w:val="left" w:pos="895"/>
        </w:tabs>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Gungsuh" w:hAnsi="Times New Roman"/>
          <w:color w:val="000000" w:themeColor="text1"/>
          <w:sz w:val="16"/>
          <w:szCs w:val="16"/>
          <w:lang w:eastAsia="ru-RU"/>
        </w:rPr>
        <w:t>б) начальника ЦАГИ - т.Шишкина разработать реко</w:t>
      </w:r>
      <w:r w:rsidRPr="00070ADE">
        <w:rPr>
          <w:rFonts w:ascii="Times New Roman" w:eastAsia="Gungsuh" w:hAnsi="Times New Roman"/>
          <w:color w:val="000000" w:themeColor="text1"/>
          <w:sz w:val="16"/>
          <w:szCs w:val="16"/>
          <w:lang w:eastAsia="ru-RU"/>
        </w:rPr>
        <w:softHyphen/>
        <w:t>мендации по прочности. флаттеру и аэродинамике Самолета и произвести продувки в аэродинамической трубе натурного макета самолета.</w:t>
      </w:r>
    </w:p>
    <w:p w14:paraId="1E9508AB" w14:textId="77777777" w:rsidR="00C20F3C" w:rsidRPr="00070ADE" w:rsidRDefault="00C20F3C" w:rsidP="00B56F90">
      <w:pPr>
        <w:tabs>
          <w:tab w:val="left" w:pos="876"/>
        </w:tabs>
        <w:spacing w:after="0" w:line="240" w:lineRule="auto"/>
        <w:jc w:val="both"/>
        <w:rPr>
          <w:rFonts w:ascii="Times New Roman" w:eastAsia="Gungsuh" w:hAnsi="Times New Roman"/>
          <w:color w:val="000000" w:themeColor="text1"/>
          <w:sz w:val="16"/>
          <w:szCs w:val="16"/>
          <w:lang w:eastAsia="ru-RU"/>
        </w:rPr>
      </w:pPr>
      <w:r w:rsidRPr="00070ADE">
        <w:rPr>
          <w:rFonts w:ascii="Times New Roman" w:eastAsia="Gungsuh" w:hAnsi="Times New Roman"/>
          <w:color w:val="000000" w:themeColor="text1"/>
          <w:sz w:val="16"/>
          <w:szCs w:val="16"/>
          <w:lang w:eastAsia="ru-RU"/>
        </w:rPr>
        <w:t xml:space="preserve">3. Наркомфину .СССР, - т.. Звереву выделить </w:t>
      </w:r>
      <w:r w:rsidRPr="00070ADE">
        <w:rPr>
          <w:rFonts w:ascii="Times New Roman" w:eastAsia="Gungsuh" w:hAnsi="Times New Roman"/>
          <w:color w:val="000000" w:themeColor="text1"/>
          <w:sz w:val="16"/>
          <w:szCs w:val="16"/>
          <w:lang w:val="en-US"/>
        </w:rPr>
        <w:t>HK</w:t>
      </w:r>
      <w:r w:rsidRPr="00070ADE">
        <w:rPr>
          <w:rFonts w:ascii="Times New Roman" w:eastAsia="Gungsuh" w:hAnsi="Times New Roman"/>
          <w:color w:val="000000" w:themeColor="text1"/>
          <w:sz w:val="16"/>
          <w:szCs w:val="16"/>
        </w:rPr>
        <w:t xml:space="preserve">АП </w:t>
      </w:r>
      <w:r w:rsidRPr="00070ADE">
        <w:rPr>
          <w:rFonts w:ascii="Times New Roman" w:eastAsia="Gungsuh" w:hAnsi="Times New Roman"/>
          <w:color w:val="000000" w:themeColor="text1"/>
          <w:sz w:val="16"/>
          <w:szCs w:val="16"/>
          <w:lang w:eastAsia="ru-RU"/>
        </w:rPr>
        <w:t>из резервного фонда СНК СССР:</w:t>
      </w:r>
    </w:p>
    <w:p w14:paraId="567A518D" w14:textId="77777777" w:rsidR="00C20F3C" w:rsidRPr="00070ADE" w:rsidRDefault="00C20F3C" w:rsidP="00B56F90">
      <w:pPr>
        <w:tabs>
          <w:tab w:val="left" w:pos="870"/>
        </w:tabs>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Gungsuh" w:hAnsi="Times New Roman"/>
          <w:color w:val="000000" w:themeColor="text1"/>
          <w:sz w:val="16"/>
          <w:szCs w:val="16"/>
          <w:lang w:eastAsia="ru-RU"/>
        </w:rPr>
        <w:t>а) 9 миллионов рублей на постройку реактивных самолетов с двигателем ЦИАМ;</w:t>
      </w:r>
    </w:p>
    <w:p w14:paraId="2D97685D" w14:textId="77777777" w:rsidR="00C20F3C" w:rsidRPr="00070ADE" w:rsidRDefault="00C20F3C" w:rsidP="00B56F90">
      <w:pPr>
        <w:tabs>
          <w:tab w:val="left" w:pos="870"/>
        </w:tabs>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Gungsuh" w:hAnsi="Times New Roman"/>
          <w:color w:val="000000" w:themeColor="text1"/>
          <w:sz w:val="16"/>
          <w:szCs w:val="16"/>
          <w:lang w:eastAsia="ru-RU"/>
        </w:rPr>
        <w:t>б) один миллион рублей в распоряжение Главного конструктора т. Микояна А.И. на премирование конструк</w:t>
      </w:r>
      <w:r w:rsidRPr="00070ADE">
        <w:rPr>
          <w:rFonts w:ascii="Times New Roman" w:eastAsia="Gungsuh" w:hAnsi="Times New Roman"/>
          <w:color w:val="000000" w:themeColor="text1"/>
          <w:sz w:val="16"/>
          <w:szCs w:val="16"/>
          <w:lang w:eastAsia="ru-RU"/>
        </w:rPr>
        <w:softHyphen/>
        <w:t>торов и рабочих завода, работников научных институтов и заводов-смехников, наиболее отличившихся при выполне</w:t>
      </w:r>
      <w:r w:rsidRPr="00070ADE">
        <w:rPr>
          <w:rFonts w:ascii="Times New Roman" w:eastAsia="Gungsuh" w:hAnsi="Times New Roman"/>
          <w:color w:val="000000" w:themeColor="text1"/>
          <w:sz w:val="16"/>
          <w:szCs w:val="16"/>
          <w:lang w:eastAsia="ru-RU"/>
        </w:rPr>
        <w:softHyphen/>
        <w:t>нии задания по реактивному самолету.</w:t>
      </w:r>
    </w:p>
    <w:p w14:paraId="248B7EF8" w14:textId="77777777" w:rsidR="00C20F3C" w:rsidRPr="00070ADE" w:rsidRDefault="00C20F3C" w:rsidP="00B56F90">
      <w:pPr>
        <w:tabs>
          <w:tab w:val="left" w:pos="80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Предостазйть право главному конструктору рас</w:t>
      </w:r>
      <w:r w:rsidRPr="00070ADE">
        <w:rPr>
          <w:rFonts w:ascii="Times New Roman" w:hAnsi="Times New Roman"/>
          <w:color w:val="000000" w:themeColor="text1"/>
          <w:sz w:val="16"/>
          <w:szCs w:val="16"/>
        </w:rPr>
        <w:softHyphen/>
        <w:t>ходовать 50% указанных премиальных сумм в процессе выпол</w:t>
      </w:r>
      <w:r w:rsidRPr="00070ADE">
        <w:rPr>
          <w:rFonts w:ascii="Times New Roman" w:hAnsi="Times New Roman"/>
          <w:color w:val="000000" w:themeColor="text1"/>
          <w:sz w:val="16"/>
          <w:szCs w:val="16"/>
        </w:rPr>
        <w:softHyphen/>
        <w:t>нения задания настоящего постановления и остальные 50%</w:t>
      </w:r>
    </w:p>
    <w:p w14:paraId="1692B900"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 выполнении</w:t>
      </w:r>
      <w:r w:rsidRPr="00070ADE">
        <w:rPr>
          <w:rStyle w:val="Tahoma7pt1pt"/>
          <w:rFonts w:ascii="Times New Roman" w:hAnsi="Times New Roman" w:cs="Times New Roman"/>
          <w:color w:val="000000" w:themeColor="text1"/>
          <w:spacing w:val="0"/>
          <w:sz w:val="16"/>
          <w:szCs w:val="16"/>
        </w:rPr>
        <w:t xml:space="preserve"> этого</w:t>
      </w:r>
      <w:r w:rsidRPr="00070ADE">
        <w:rPr>
          <w:rFonts w:ascii="Times New Roman" w:hAnsi="Times New Roman"/>
          <w:color w:val="000000" w:themeColor="text1"/>
          <w:sz w:val="16"/>
          <w:szCs w:val="16"/>
        </w:rPr>
        <w:t xml:space="preserve"> задания.</w:t>
      </w:r>
    </w:p>
    <w:p w14:paraId="15D004BA" w14:textId="77777777" w:rsidR="00C20F3C" w:rsidRPr="00070ADE" w:rsidRDefault="00C20F3C" w:rsidP="00B56F90">
      <w:pPr>
        <w:tabs>
          <w:tab w:val="left" w:pos="803"/>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Установить премию главному конструктору т.Ми</w:t>
      </w:r>
      <w:r w:rsidRPr="00070ADE">
        <w:rPr>
          <w:rFonts w:ascii="Times New Roman" w:hAnsi="Times New Roman"/>
          <w:color w:val="000000" w:themeColor="text1"/>
          <w:sz w:val="16"/>
          <w:szCs w:val="16"/>
        </w:rPr>
        <w:softHyphen/>
        <w:t>кояну и заместителю главного конструктора т.Гуревичу из указанного премиального фонда за выполнение в срок зада</w:t>
      </w:r>
      <w:r w:rsidRPr="00070ADE">
        <w:rPr>
          <w:rFonts w:ascii="Times New Roman" w:hAnsi="Times New Roman"/>
          <w:color w:val="000000" w:themeColor="text1"/>
          <w:sz w:val="16"/>
          <w:szCs w:val="16"/>
        </w:rPr>
        <w:softHyphen/>
        <w:t>ния по настоящему постановлению:</w:t>
      </w:r>
    </w:p>
    <w:p w14:paraId="6852113C"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т.Микояну А.И. - 100 тыс.рублей т.Гуревичу</w:t>
      </w:r>
      <w:r w:rsidRPr="00070ADE">
        <w:rPr>
          <w:rStyle w:val="Tahoma"/>
          <w:rFonts w:ascii="Times New Roman" w:hAnsi="Times New Roman" w:cs="Times New Roman"/>
          <w:color w:val="000000" w:themeColor="text1"/>
          <w:sz w:val="16"/>
          <w:szCs w:val="16"/>
        </w:rPr>
        <w:t xml:space="preserve"> И.</w:t>
      </w:r>
      <w:r w:rsidRPr="00070ADE">
        <w:rPr>
          <w:rFonts w:ascii="Times New Roman" w:hAnsi="Times New Roman"/>
          <w:color w:val="000000" w:themeColor="text1"/>
          <w:sz w:val="16"/>
          <w:szCs w:val="16"/>
        </w:rPr>
        <w:t xml:space="preserve"> И. - 100 тыс.рублей.</w:t>
      </w:r>
    </w:p>
    <w:p w14:paraId="2F6C1772"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 </w:t>
      </w:r>
      <w:r w:rsidRPr="00070ADE">
        <w:rPr>
          <w:rStyle w:val="16"/>
          <w:rFonts w:ascii="Times New Roman" w:hAnsi="Times New Roman" w:cs="Times New Roman"/>
          <w:color w:val="000000" w:themeColor="text1"/>
          <w:spacing w:val="0"/>
          <w:u w:val="none"/>
        </w:rPr>
        <w:t>Самолет главного конструктора тов.Сухого П.О.</w:t>
      </w:r>
    </w:p>
    <w:p w14:paraId="60CC326D"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Главному конструктору т.Сухому П.О. спроекти</w:t>
      </w:r>
      <w:r w:rsidRPr="00070ADE">
        <w:rPr>
          <w:rFonts w:ascii="Times New Roman" w:hAnsi="Times New Roman"/>
          <w:color w:val="000000" w:themeColor="text1"/>
          <w:sz w:val="16"/>
          <w:szCs w:val="16"/>
        </w:rPr>
        <w:softHyphen/>
        <w:t>ровать и построить одноместный экспериментальный реак</w:t>
      </w:r>
      <w:r w:rsidRPr="00070ADE">
        <w:rPr>
          <w:rFonts w:ascii="Times New Roman" w:hAnsi="Times New Roman"/>
          <w:color w:val="000000" w:themeColor="text1"/>
          <w:sz w:val="16"/>
          <w:szCs w:val="16"/>
        </w:rPr>
        <w:softHyphen/>
        <w:t>тивный самолет с мотором ВК-107А о установкой дополни</w:t>
      </w:r>
      <w:r w:rsidRPr="00070ADE">
        <w:rPr>
          <w:rFonts w:ascii="Times New Roman" w:hAnsi="Times New Roman"/>
          <w:color w:val="000000" w:themeColor="text1"/>
          <w:sz w:val="16"/>
          <w:szCs w:val="16"/>
        </w:rPr>
        <w:softHyphen/>
        <w:t>тельного воздушного реактивного двигателя с компрессо</w:t>
      </w:r>
      <w:r w:rsidRPr="00070ADE">
        <w:rPr>
          <w:rFonts w:ascii="Times New Roman" w:hAnsi="Times New Roman"/>
          <w:color w:val="000000" w:themeColor="text1"/>
          <w:sz w:val="16"/>
          <w:szCs w:val="16"/>
        </w:rPr>
        <w:softHyphen/>
        <w:t>ром "ВРДК" конструкции и постройки ЦИАМ, со следующими летно-техническими данными:</w:t>
      </w:r>
    </w:p>
    <w:p w14:paraId="14B75A6A"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с включением ВРДК на расчетной высоте 7000-8000 мт в течение 10 мин. - 800 км.в час</w:t>
      </w:r>
    </w:p>
    <w:p w14:paraId="59144DAD"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Максимальнаяскорость без включения ВРДМ - 700 -"-</w:t>
      </w:r>
    </w:p>
    <w:p w14:paraId="7AF4D663" w14:textId="77777777" w:rsidR="00C20F3C" w:rsidRPr="00070ADE" w:rsidRDefault="00C20F3C" w:rsidP="00B56F90">
      <w:pPr>
        <w:tabs>
          <w:tab w:val="left" w:pos="427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 под"емкость на 5000. м. без включения ВРДК - 5,5 мин</w:t>
      </w:r>
    </w:p>
    <w:p w14:paraId="1DD18D6D" w14:textId="77777777" w:rsidR="00C20F3C" w:rsidRPr="00070ADE" w:rsidRDefault="00C20F3C" w:rsidP="00B56F90">
      <w:pPr>
        <w:tabs>
          <w:tab w:val="left" w:pos="427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скоропод"емность на 5000 мт.с включе</w:t>
      </w:r>
      <w:r w:rsidRPr="00070ADE">
        <w:rPr>
          <w:rFonts w:ascii="Times New Roman" w:hAnsi="Times New Roman"/>
          <w:color w:val="000000" w:themeColor="text1"/>
          <w:sz w:val="16"/>
          <w:szCs w:val="16"/>
        </w:rPr>
        <w:softHyphen/>
        <w:t>нием ВРдК - 4,3 мин.</w:t>
      </w:r>
    </w:p>
    <w:p w14:paraId="0B2B5303" w14:textId="77777777" w:rsidR="00C20F3C" w:rsidRPr="00070ADE" w:rsidRDefault="00C20F3C" w:rsidP="00B56F90">
      <w:pPr>
        <w:tabs>
          <w:tab w:val="left" w:pos="209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продолжительность полета при условии рлдбзования форсажем не более 10 мин - 1ч.30 мин</w:t>
      </w:r>
    </w:p>
    <w:p w14:paraId="181C4759" w14:textId="77777777" w:rsidR="00C20F3C" w:rsidRPr="00070ADE" w:rsidRDefault="00C20F3C" w:rsidP="00B56F90">
      <w:pPr>
        <w:tabs>
          <w:tab w:val="left" w:pos="385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- 11800 мт.</w:t>
      </w:r>
    </w:p>
    <w:p w14:paraId="0FE9F016" w14:textId="77777777" w:rsidR="00C20F3C" w:rsidRPr="00070ADE" w:rsidRDefault="00C20F3C" w:rsidP="00B56F90">
      <w:pPr>
        <w:tabs>
          <w:tab w:val="left" w:pos="2772"/>
          <w:tab w:val="left" w:pos="4037"/>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 а з б</w:t>
      </w:r>
      <w:r w:rsidRPr="00070ADE">
        <w:rPr>
          <w:rStyle w:val="ArialNarrow95pt"/>
          <w:rFonts w:ascii="Times New Roman" w:hAnsi="Times New Roman" w:cs="Times New Roman"/>
          <w:color w:val="000000" w:themeColor="text1"/>
          <w:sz w:val="16"/>
          <w:szCs w:val="16"/>
        </w:rPr>
        <w:t xml:space="preserve"> в</w:t>
      </w:r>
      <w:r w:rsidRPr="00070ADE">
        <w:rPr>
          <w:rFonts w:ascii="Times New Roman" w:hAnsi="Times New Roman"/>
          <w:color w:val="000000" w:themeColor="text1"/>
          <w:sz w:val="16"/>
          <w:szCs w:val="16"/>
        </w:rPr>
        <w:t xml:space="preserve"> г - 330 мт.</w:t>
      </w:r>
    </w:p>
    <w:p w14:paraId="1CAC2BCD"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предусмотреть установку одной пушки калибра 20 мм или 23 мм и 2-х пулеметов калибра 12,7 мм.</w:t>
      </w:r>
    </w:p>
    <w:p w14:paraId="1419069B"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построить в 2-х экземплярах и пред"явить на летные испытания:</w:t>
      </w:r>
    </w:p>
    <w:p w14:paraId="1F1F2574" w14:textId="77777777" w:rsidR="00C20F3C" w:rsidRPr="00070ADE" w:rsidRDefault="00C20F3C" w:rsidP="00B56F90">
      <w:pPr>
        <w:tabs>
          <w:tab w:val="left" w:pos="1182"/>
          <w:tab w:val="left" w:pos="2847"/>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экземпляр - 15 февраля 1945 г.</w:t>
      </w:r>
    </w:p>
    <w:p w14:paraId="08EC8F03" w14:textId="77777777" w:rsidR="00C20F3C" w:rsidRPr="00070ADE" w:rsidRDefault="00C20F3C" w:rsidP="00B56F90">
      <w:pPr>
        <w:tabs>
          <w:tab w:val="left" w:pos="2879"/>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2й - 15 марта 1945 г.</w:t>
      </w:r>
    </w:p>
    <w:p w14:paraId="76371E95"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 обеспечение выполнения указанного задания, обязать</w:t>
      </w:r>
    </w:p>
    <w:p w14:paraId="3B9D38AF" w14:textId="77777777" w:rsidR="00C20F3C" w:rsidRPr="00070ADE" w:rsidRDefault="00C20F3C" w:rsidP="00B56F90">
      <w:pPr>
        <w:tabs>
          <w:tab w:val="left" w:pos="81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начальника ЦИАМ т.Поликовского изготовить 2 летных зкземпляра ВРДК, удовлетворяющих следующим техничес</w:t>
      </w:r>
      <w:r w:rsidRPr="00070ADE">
        <w:rPr>
          <w:rFonts w:ascii="Times New Roman" w:hAnsi="Times New Roman"/>
          <w:color w:val="000000" w:themeColor="text1"/>
          <w:sz w:val="16"/>
          <w:szCs w:val="16"/>
        </w:rPr>
        <w:softHyphen/>
        <w:t>ким условиям:</w:t>
      </w:r>
    </w:p>
    <w:p w14:paraId="19946379" w14:textId="77777777" w:rsidR="00C20F3C" w:rsidRPr="00070ADE" w:rsidRDefault="00C20F3C" w:rsidP="00B56F90">
      <w:pPr>
        <w:tabs>
          <w:tab w:val="left" w:pos="433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тяговая мощность на высоте 7000 мт. при скорости 800 км/час, расходе топлива 1200 кг. в час и потребной мощности для работы компрессора 300 л.с. - 900 тяговых л.с.</w:t>
      </w:r>
    </w:p>
    <w:p w14:paraId="6CB8E0E3"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наружный диаметр компрессора ВРДК не более - 650 мм</w:t>
      </w:r>
    </w:p>
    <w:p w14:paraId="0B984CB2"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двигателя с компрессором не более - 170 кг.</w:t>
      </w:r>
    </w:p>
    <w:p w14:paraId="6CC2EF40"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Подать заводу № 289:</w:t>
      </w:r>
    </w:p>
    <w:p w14:paraId="0D6158FF" w14:textId="77777777" w:rsidR="00C20F3C" w:rsidRPr="00070ADE" w:rsidRDefault="00C20F3C" w:rsidP="00B56F90">
      <w:pPr>
        <w:tabs>
          <w:tab w:val="left" w:pos="344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макетный двигатель - 1 ноября 1944 г.</w:t>
      </w:r>
    </w:p>
    <w:p w14:paraId="6A9FF418" w14:textId="77777777" w:rsidR="00C20F3C" w:rsidRPr="00070ADE" w:rsidRDefault="00C20F3C" w:rsidP="00B56F90">
      <w:pPr>
        <w:tabs>
          <w:tab w:val="left" w:pos="344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летный - 1 января 1545 г.</w:t>
      </w:r>
    </w:p>
    <w:p w14:paraId="1564252C" w14:textId="77777777" w:rsidR="00C20F3C" w:rsidRPr="00070ADE" w:rsidRDefault="00C20F3C" w:rsidP="00B56F90">
      <w:pPr>
        <w:tabs>
          <w:tab w:val="left" w:pos="3442"/>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лётный - 1 февраля 1945 г.</w:t>
      </w:r>
    </w:p>
    <w:p w14:paraId="3DF2C467" w14:textId="77777777" w:rsidR="00C20F3C" w:rsidRPr="00070ADE" w:rsidRDefault="00C20F3C" w:rsidP="00B56F90">
      <w:pPr>
        <w:tabs>
          <w:tab w:val="left" w:pos="821"/>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начальнику ЦАГИ - т.Шишкину разработать рекомен</w:t>
      </w:r>
      <w:r w:rsidRPr="00070ADE">
        <w:rPr>
          <w:rFonts w:ascii="Times New Roman" w:hAnsi="Times New Roman"/>
          <w:color w:val="000000" w:themeColor="text1"/>
          <w:sz w:val="16"/>
          <w:szCs w:val="16"/>
        </w:rPr>
        <w:softHyphen/>
        <w:t>дации по прочности, флаттеру и аэродинамике и произвести продувки в аэродинамической трубе модели самолета, для чего главному конструктору т.Сухому подать ЦАГИ модель самолета к 1 июня 1944 года.</w:t>
      </w:r>
    </w:p>
    <w:p w14:paraId="25657ED5" w14:textId="77777777" w:rsidR="00C20F3C" w:rsidRPr="00070ADE" w:rsidRDefault="00C20F3C" w:rsidP="00B56F90">
      <w:pPr>
        <w:tabs>
          <w:tab w:val="left" w:pos="790"/>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Наркомфин СССР - т.Зверева выделить НКАП из резервного фонда СНК СССР:</w:t>
      </w:r>
    </w:p>
    <w:p w14:paraId="41BF7BEF" w14:textId="77777777" w:rsidR="00C20F3C" w:rsidRPr="00070ADE" w:rsidRDefault="00C20F3C" w:rsidP="00B56F90">
      <w:pPr>
        <w:tabs>
          <w:tab w:val="left" w:pos="79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8 миллионов на постройку экспериментального самолета с</w:t>
      </w:r>
      <w:r w:rsidRPr="00070ADE">
        <w:rPr>
          <w:rStyle w:val="ArialUnicodeMS-1pt"/>
          <w:rFonts w:ascii="Times New Roman" w:hAnsi="Times New Roman" w:cs="Times New Roman"/>
          <w:color w:val="000000" w:themeColor="text1"/>
          <w:spacing w:val="0"/>
          <w:sz w:val="16"/>
          <w:szCs w:val="16"/>
        </w:rPr>
        <w:t xml:space="preserve"> ВРДК</w:t>
      </w:r>
      <w:r w:rsidRPr="00070ADE">
        <w:rPr>
          <w:rFonts w:ascii="Times New Roman" w:hAnsi="Times New Roman"/>
          <w:color w:val="000000" w:themeColor="text1"/>
          <w:sz w:val="16"/>
          <w:szCs w:val="16"/>
        </w:rPr>
        <w:t xml:space="preserve"> ЦИАМ;</w:t>
      </w:r>
    </w:p>
    <w:p w14:paraId="6A024F65" w14:textId="77777777" w:rsidR="00C20F3C" w:rsidRPr="00070ADE" w:rsidRDefault="00C20F3C" w:rsidP="00B56F90">
      <w:pPr>
        <w:tabs>
          <w:tab w:val="left" w:pos="828"/>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1 миллион рублей в распоряжение главного кон</w:t>
      </w:r>
      <w:r w:rsidRPr="00070ADE">
        <w:rPr>
          <w:rFonts w:ascii="Times New Roman" w:hAnsi="Times New Roman"/>
          <w:color w:val="000000" w:themeColor="text1"/>
          <w:sz w:val="16"/>
          <w:szCs w:val="16"/>
        </w:rPr>
        <w:softHyphen/>
        <w:t>структора т.Сухого на премирование конструкторов и рабочих завода, работников научных институтов и за</w:t>
      </w:r>
      <w:r w:rsidRPr="00070ADE">
        <w:rPr>
          <w:rFonts w:ascii="Times New Roman" w:hAnsi="Times New Roman"/>
          <w:color w:val="000000" w:themeColor="text1"/>
          <w:sz w:val="16"/>
          <w:szCs w:val="16"/>
        </w:rPr>
        <w:softHyphen/>
        <w:t>водов-смежников .</w:t>
      </w:r>
    </w:p>
    <w:p w14:paraId="75ACD225" w14:textId="77777777" w:rsidR="00C20F3C" w:rsidRPr="00070ADE" w:rsidRDefault="00C20F3C" w:rsidP="00B56F90">
      <w:pPr>
        <w:tabs>
          <w:tab w:val="left" w:pos="815"/>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Предоставить право главному конструктору рас</w:t>
      </w:r>
      <w:r w:rsidRPr="00070ADE">
        <w:rPr>
          <w:rFonts w:ascii="Times New Roman" w:hAnsi="Times New Roman"/>
          <w:color w:val="000000" w:themeColor="text1"/>
          <w:sz w:val="16"/>
          <w:szCs w:val="16"/>
        </w:rPr>
        <w:softHyphen/>
        <w:t>ходовать 50% указанной премиальной суммы в процессе выполнения задания настоящего постановления и осталь</w:t>
      </w:r>
      <w:r w:rsidRPr="00070ADE">
        <w:rPr>
          <w:rFonts w:ascii="Times New Roman" w:hAnsi="Times New Roman"/>
          <w:color w:val="000000" w:themeColor="text1"/>
          <w:sz w:val="16"/>
          <w:szCs w:val="16"/>
        </w:rPr>
        <w:softHyphen/>
        <w:t>ные 50% - по выполнении этого задания.</w:t>
      </w:r>
    </w:p>
    <w:p w14:paraId="0206CA55" w14:textId="77777777" w:rsidR="00C20F3C" w:rsidRPr="00070ADE" w:rsidRDefault="00C20F3C" w:rsidP="00B56F90">
      <w:pPr>
        <w:tabs>
          <w:tab w:val="left" w:pos="796"/>
        </w:tabs>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Установить премию главному конструктору т.Сухому П.О. из указанного премиального фонда за выполнение в срок эадания по настоящему постановлению в сумме 150.000 рублей.</w:t>
      </w:r>
    </w:p>
    <w:p w14:paraId="598CE024"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У1.</w:t>
      </w:r>
    </w:p>
    <w:p w14:paraId="0C7FA6F1"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Ввиду особой важности создания в кратчайший срок реактивных самолетов со скоростью не ниже 800 км в час. представить к правительственной награде тех главных конструкторов и конструкторские коллекти</w:t>
      </w:r>
      <w:r w:rsidRPr="00070ADE">
        <w:rPr>
          <w:rFonts w:ascii="Times New Roman" w:hAnsi="Times New Roman"/>
          <w:color w:val="000000" w:themeColor="text1"/>
          <w:sz w:val="16"/>
          <w:szCs w:val="16"/>
        </w:rPr>
        <w:softHyphen/>
        <w:t xml:space="preserve">вы, которые построят реактивные самолеты в сроки и с данными, установленными настоящим постановлением, но скоростью не ниже </w:t>
      </w:r>
      <w:r w:rsidRPr="00070ADE">
        <w:rPr>
          <w:rStyle w:val="16"/>
          <w:rFonts w:ascii="Times New Roman" w:hAnsi="Times New Roman" w:cs="Times New Roman"/>
          <w:color w:val="000000" w:themeColor="text1"/>
          <w:spacing w:val="0"/>
          <w:u w:val="none"/>
        </w:rPr>
        <w:t>800</w:t>
      </w:r>
      <w:r w:rsidRPr="00070ADE">
        <w:rPr>
          <w:rFonts w:ascii="Times New Roman" w:hAnsi="Times New Roman"/>
          <w:color w:val="000000" w:themeColor="text1"/>
          <w:sz w:val="16"/>
          <w:szCs w:val="16"/>
        </w:rPr>
        <w:t xml:space="preserve"> км. в час.</w:t>
      </w:r>
    </w:p>
    <w:p w14:paraId="18341836"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Установить, что летно-тактические данные реактивных самолетов должны быть зафиксированы НИИ ВВС.</w:t>
      </w:r>
    </w:p>
    <w:p w14:paraId="21918CFC" w14:textId="77777777" w:rsidR="00C20F3C" w:rsidRPr="00070ADE" w:rsidRDefault="00C20F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Утвердить Мероприятия по обеспечению работ по реактивной авиации в Наркомавиаироме (19494).</w:t>
      </w:r>
    </w:p>
    <w:p w14:paraId="67DA7051" w14:textId="77777777" w:rsidR="00DF15BD" w:rsidRPr="00070ADE" w:rsidRDefault="00DF15BD" w:rsidP="00B56F90">
      <w:pPr>
        <w:autoSpaceDE w:val="0"/>
        <w:autoSpaceDN w:val="0"/>
        <w:adjustRightInd w:val="0"/>
        <w:spacing w:after="0" w:line="240" w:lineRule="auto"/>
        <w:jc w:val="both"/>
        <w:rPr>
          <w:rFonts w:ascii="Times New Roman" w:hAnsi="Times New Roman"/>
          <w:color w:val="000000" w:themeColor="text1"/>
          <w:sz w:val="16"/>
          <w:szCs w:val="16"/>
        </w:rPr>
      </w:pPr>
    </w:p>
    <w:p w14:paraId="4213CC49" w14:textId="26B6C7D8" w:rsidR="00792FE2" w:rsidRPr="00070ADE" w:rsidRDefault="00792F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вышедшему 22 мая 1944 года постановлению Государственного комитета обороны (ГОКО), к сентябрю предполагалось построить и передать на летные испытания модификации истребителей Як-9, Ла-5 и Су-6 2ТК-3 с дополнительными ЖРД РД-1, разработанными В.П.</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Глушко в ОКБ НКВД при заводе № 16. При работе ускорителей на самолетах Як-9 и Ла-5 время набора высоты 5000 м должно было уменьшиться до трех минут, а максимальная скорость полета – возрасти до 780 км/час на отрезке времени до трех минут.</w:t>
      </w:r>
    </w:p>
    <w:p w14:paraId="0C90E5D6" w14:textId="00040238" w:rsidR="00792FE2" w:rsidRPr="00070ADE" w:rsidRDefault="00792F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 Лавочкин поручил выполнение этого задания организованному в марте 1944 года в Москве филиалу своего ОКБ (основное ОКБ располагалось пока в Горьком на заводе № 21), которым руководил С.М.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Алексеев. Филиал назывался «Опытный завод № 81» и располагался на специально выделенной для него части серийного московского завода № 381, выпускавшего в то время истребители Ла-7. Таким образом, к созданию первых «полуреактивных» «Лавочкиных» был привлечен будущий руководитель ОКБ-21, заместитель С.А. Лавочкина в годы Великой Отечественной войны, Семен Михайлович Алексеев.</w:t>
      </w:r>
    </w:p>
    <w:p w14:paraId="2DCE0A00" w14:textId="77777777" w:rsidR="00792FE2" w:rsidRPr="00070ADE" w:rsidRDefault="00792F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Третьей машиной С.А. Лавочкина с РД-1 стала модификация опытного самолета «120» постройки завода № 21. Для испытаний двух ПВРД ВРД-1 в августе 1942 года использовался ЛаГГ-3 № 31213173 также постройки Горьковского авиационного завода. Всего до 16 августа 1942 года летчик-испытатель авиазавода № 21 Г.А. Мищенко совершил на нем 14 полетов.</w:t>
      </w:r>
    </w:p>
    <w:p w14:paraId="546271DF" w14:textId="77777777" w:rsidR="00792FE2" w:rsidRPr="00070ADE" w:rsidRDefault="00792F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базе серийного истребителя Ла-9 в 1947 году был создан опытный самолет «138», оснащенный двумя дополнительными ПВРД-430. Двигателями Д-13 в июле того же года был оборудован серийный Ла-9, выпущенный на заводе № 21. Таким образом, самолеты, построенные на Горьковском авиазаводе им. С. Орджоникидзе, активно использовались в качестве «летающих лабораторий» для отработки опытных реактивных двигателей (18097).</w:t>
      </w:r>
    </w:p>
    <w:p w14:paraId="5FB769FA" w14:textId="77777777" w:rsidR="00792FE2" w:rsidRPr="00070ADE" w:rsidRDefault="00792FE2" w:rsidP="00B56F90">
      <w:pPr>
        <w:spacing w:after="0" w:line="240" w:lineRule="auto"/>
        <w:jc w:val="both"/>
        <w:rPr>
          <w:rFonts w:ascii="Times New Roman" w:hAnsi="Times New Roman"/>
          <w:color w:val="000000" w:themeColor="text1"/>
          <w:sz w:val="16"/>
          <w:szCs w:val="16"/>
        </w:rPr>
      </w:pPr>
    </w:p>
    <w:p w14:paraId="1A6980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г. вышло постановление ГКО, согласно которому, наряду с самолетами других конструкторов предлагалось установить РД-1 и наЛа-5ФН. При штатном вооружении Ла-5ФН максимальная скорость полуреактивного истребителя должна была быть не менее 780 км/ч на высоте 7000 м. Подниматься на 5000 м он должен был за 3 минуты (время работы ЖРД) при дальности полета на основном двигателе - 300 км. Самолет требовалось построить в трех экземплярах, причем первый - к сентябрю 1944 года, а последний с ламинарным профилем крыла - к январю 1945 года (12032).</w:t>
      </w:r>
    </w:p>
    <w:p w14:paraId="5C68F3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15F0626" w14:textId="77777777" w:rsidR="000406C2" w:rsidRPr="00070ADE" w:rsidRDefault="000406C2" w:rsidP="00B56F90">
      <w:pPr>
        <w:spacing w:after="0" w:line="240" w:lineRule="auto"/>
        <w:jc w:val="both"/>
        <w:rPr>
          <w:rFonts w:ascii="Times New Roman" w:hAnsi="Times New Roman"/>
          <w:bCs/>
          <w:color w:val="000000" w:themeColor="text1"/>
          <w:sz w:val="16"/>
          <w:szCs w:val="16"/>
        </w:rPr>
      </w:pPr>
      <w:r w:rsidRPr="00070ADE">
        <w:rPr>
          <w:rFonts w:ascii="Times New Roman" w:hAnsi="Times New Roman"/>
          <w:bCs/>
          <w:color w:val="000000" w:themeColor="text1"/>
          <w:sz w:val="16"/>
          <w:szCs w:val="16"/>
        </w:rPr>
        <w:t>22 мая</w:t>
      </w:r>
      <w:r w:rsidRPr="00070ADE">
        <w:rPr>
          <w:rFonts w:ascii="Times New Roman" w:hAnsi="Times New Roman"/>
          <w:color w:val="000000" w:themeColor="text1"/>
          <w:sz w:val="16"/>
          <w:szCs w:val="16"/>
        </w:rPr>
        <w:t xml:space="preserve"> в 1944 году Государственный Комитет Обороны принял постановление № 5946 о развитии реактивной авиации в СССР и утвердил задания НКАП для ОКБ С.А.Лавочкина, А.И.Микояна, М.И.Гуревича, Н.Н.Поликарпова, П.О.Сухого и А.С.Яковлева. Начало фундаментальных работ по созданию боевых реактивных самолетов. Ввиду отсутствия в нашей стране турбореактивных двигателей (ТРД) его результатом стало появление самолёта «№И-250» с комбинированной силовой установкой («ВК-107А» плюс ВРДК), взлетевшего в марте 1945 г;</w:t>
      </w:r>
    </w:p>
    <w:p w14:paraId="757BBC7D" w14:textId="77777777" w:rsidR="000406C2" w:rsidRPr="00070ADE" w:rsidRDefault="000406C2" w:rsidP="00B56F90">
      <w:pPr>
        <w:spacing w:after="0" w:line="240" w:lineRule="auto"/>
        <w:jc w:val="both"/>
        <w:rPr>
          <w:rFonts w:ascii="Times New Roman" w:hAnsi="Times New Roman"/>
          <w:bCs/>
          <w:color w:val="000000" w:themeColor="text1"/>
          <w:sz w:val="16"/>
          <w:szCs w:val="16"/>
        </w:rPr>
      </w:pPr>
    </w:p>
    <w:p w14:paraId="26FAFBB3" w14:textId="77777777" w:rsidR="000406C2" w:rsidRPr="00070ADE" w:rsidRDefault="000406C2"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22 мая</w:t>
      </w:r>
      <w:r w:rsidRPr="00070ADE">
        <w:rPr>
          <w:rFonts w:ascii="Times New Roman" w:hAnsi="Times New Roman"/>
          <w:color w:val="000000" w:themeColor="text1"/>
          <w:sz w:val="16"/>
          <w:szCs w:val="16"/>
        </w:rPr>
        <w:t xml:space="preserve"> в 1944 году постановление ГКО № 5946 о развитии реактивной авиации в стране. Ввиду отсутствия в нашей стране турбореактивных двигателей (ТРД) его результатом стало появление самолёта «И-250» с комбинированной силовой установкой («ВК-107А» плюс ВРДК), взлетевшего в марте 1945 года (14899).</w:t>
      </w:r>
    </w:p>
    <w:p w14:paraId="0596D846" w14:textId="77777777" w:rsidR="000406C2" w:rsidRPr="00070ADE" w:rsidRDefault="000406C2" w:rsidP="00B56F90">
      <w:pPr>
        <w:spacing w:after="0" w:line="240" w:lineRule="auto"/>
        <w:jc w:val="both"/>
        <w:rPr>
          <w:rFonts w:ascii="Times New Roman" w:hAnsi="Times New Roman"/>
          <w:color w:val="000000" w:themeColor="text1"/>
          <w:sz w:val="16"/>
          <w:szCs w:val="16"/>
        </w:rPr>
      </w:pPr>
    </w:p>
    <w:p w14:paraId="06F3AB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г. вышло Постановление ГКО № 5946сс, а 30 мая — при</w:t>
      </w:r>
      <w:r w:rsidRPr="00070ADE">
        <w:rPr>
          <w:rFonts w:ascii="Times New Roman" w:hAnsi="Times New Roman"/>
          <w:color w:val="000000" w:themeColor="text1"/>
          <w:sz w:val="16"/>
          <w:szCs w:val="16"/>
        </w:rPr>
        <w:softHyphen/>
        <w:t>каз НКАП №371, в которых среди прочих работ пору</w:t>
      </w:r>
      <w:r w:rsidRPr="00070ADE">
        <w:rPr>
          <w:rFonts w:ascii="Times New Roman" w:hAnsi="Times New Roman"/>
          <w:color w:val="000000" w:themeColor="text1"/>
          <w:sz w:val="16"/>
          <w:szCs w:val="16"/>
        </w:rPr>
        <w:softHyphen/>
        <w:t>чалось ОКБ-21 создать модификацию Ла-5ФН с мото</w:t>
      </w:r>
      <w:r w:rsidRPr="00070ADE">
        <w:rPr>
          <w:rFonts w:ascii="Times New Roman" w:hAnsi="Times New Roman"/>
          <w:color w:val="000000" w:themeColor="text1"/>
          <w:sz w:val="16"/>
          <w:szCs w:val="16"/>
        </w:rPr>
        <w:softHyphen/>
        <w:t>ром М-82ФН или М-83 и однокамерным жидкостным ракетным двигателем РД-1 конструкции Глушко. Опыт</w:t>
      </w:r>
      <w:r w:rsidRPr="00070ADE">
        <w:rPr>
          <w:rFonts w:ascii="Times New Roman" w:hAnsi="Times New Roman"/>
          <w:color w:val="000000" w:themeColor="text1"/>
          <w:sz w:val="16"/>
          <w:szCs w:val="16"/>
        </w:rPr>
        <w:softHyphen/>
        <w:t>ный Ла-5РД № 1 следовало передать на испытания в сентябре 1944 г., № 2 — в октябре, а № 3 — в январе 1945 г. С включенным ЖРД предстояло достигнуть ско</w:t>
      </w:r>
      <w:r w:rsidRPr="00070ADE">
        <w:rPr>
          <w:rFonts w:ascii="Times New Roman" w:hAnsi="Times New Roman"/>
          <w:color w:val="000000" w:themeColor="text1"/>
          <w:sz w:val="16"/>
          <w:szCs w:val="16"/>
        </w:rPr>
        <w:softHyphen/>
        <w:t>рости 780 км/ч, а высоту 5 км набирать за 3 мин (11123).</w:t>
      </w:r>
    </w:p>
    <w:p w14:paraId="4D0839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8FED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Постановлением №5946 ГКО утвердил задания НКАП для ОКБ С.А. Лавочкина, А.И.Микояна и М.И.Гуре-вича, Н.Н.Поликарпова, П.О.Сухого и А.С.Яковлева (6000).</w:t>
      </w:r>
    </w:p>
    <w:p w14:paraId="5F8BBF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33FE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г. ГКО постановлени</w:t>
      </w:r>
      <w:r w:rsidRPr="00070ADE">
        <w:rPr>
          <w:rFonts w:ascii="Times New Roman" w:hAnsi="Times New Roman"/>
          <w:color w:val="000000" w:themeColor="text1"/>
          <w:sz w:val="16"/>
          <w:szCs w:val="16"/>
        </w:rPr>
        <w:softHyphen/>
        <w:t>ем №5946 утвердил представленные НКАП предложения по реактивной технике (11128).</w:t>
      </w:r>
    </w:p>
    <w:p w14:paraId="58A4D9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394C4F" w14:textId="77777777" w:rsidR="00F61FAB" w:rsidRPr="00070ADE" w:rsidRDefault="00F61FA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вышло постановление ГОКО N 5946сс о постройке экспериментального реактивного истребителя конструкции А.С.Я. (1813,234).</w:t>
      </w:r>
    </w:p>
    <w:p w14:paraId="7C3144BE" w14:textId="77777777" w:rsidR="00F61FAB" w:rsidRPr="00070ADE" w:rsidRDefault="00F61FA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2729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ГКО принял второе постановление N 5946cc (2928,80), наметившее широкую программу строительства реактивной авиации (173,413). К сентябрю 1944 хотели построить и предъявить на летные испытания Як-9, Ла-5, Су-6 2ТК-3 с ЖРД РД-1 В.П.Глушко. Хотели 780 км/час на 3 мин. (2134,8).</w:t>
      </w:r>
    </w:p>
    <w:p w14:paraId="3E6682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B2B4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года ГКО принял постановления №5945 "О создании авиационных реактивных двигателей" и №5946 "О создании самолетов с реактивными двигателями". Поскольку в то время в Советском Союзе еще было далеко до постройки газотурбинного двигателя, то эти документы стали отправными точками на пути создания первых отечественных самолетов с комбинированными силовыми установками.</w:t>
      </w:r>
    </w:p>
    <w:p w14:paraId="4BD4A6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этим документам, ОКБ-115 предписывалось построить по две экспериментальные машины на базе истребителя Як-9 с дополнительными жидкостно-ре- активными двигателями РД-1 тягой 300 кгс и трехкамерногоРД-3 тягой 900 кгс конструкции В.П. Глушко. Однако проработки варианта Як-9 с РД-1 показали, что из- за большого полетного веса эффект от использования ЖРД будет значительно меньше, чем при установке его на новый более легкий истребитель Як-3 (12047).</w:t>
      </w:r>
    </w:p>
    <w:p w14:paraId="380E9A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35C20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придавая исключительно важное значение делу создания самолетов с реактивными двигателями вышло постановление ГКО N 5946сс (1673,7).</w:t>
      </w:r>
    </w:p>
    <w:p w14:paraId="204EBA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Создали НИИ-1 и поручили разработать модификации Як-9, Ла-5 и Су-6с ускорительными ЖРД РД-1 и постройку чисто ракетных в ОКБ А.С.Я. и Н.Н.П., а также экспериментальной машины с ТРД С.А.Л. и истребителей с мотор-компрессорами у А.И.М. и П.О.С. (2393,23).</w:t>
      </w:r>
    </w:p>
    <w:p w14:paraId="0752CC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85C3D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22 мая 1944 г. вышло Постановление ГКО № 5946 О развитии реактивной авиации в стране (6395), которое утвердило предложения по строительству РД и самолетов, представленные с опозданием </w:t>
      </w:r>
      <w:r w:rsidR="00552857" w:rsidRPr="00070ADE">
        <w:rPr>
          <w:rFonts w:ascii="Times New Roman" w:hAnsi="Times New Roman"/>
          <w:color w:val="000000" w:themeColor="text1"/>
          <w:sz w:val="16"/>
          <w:szCs w:val="16"/>
        </w:rPr>
        <w:t>(</w:t>
      </w:r>
      <w:r w:rsidRPr="00070ADE">
        <w:rPr>
          <w:rFonts w:ascii="Times New Roman" w:hAnsi="Times New Roman"/>
          <w:color w:val="000000" w:themeColor="text1"/>
          <w:sz w:val="16"/>
          <w:szCs w:val="16"/>
        </w:rPr>
        <w:t>срок был - 15 марта 1944) (6471, 5).</w:t>
      </w:r>
    </w:p>
    <w:p w14:paraId="3CB6934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3DD168"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22 мая 1944 г. постановлением ГКО №5946 НИИРА переименовывается в НИИ-1 НКАП. Начальником института назначили генерал-майора авиации П.И. Федорова. В состав института в качестве филиала № 1 было включено ОКБ-293, разрабатывавшее первые советские реактивные самолеты БИ-1, а его руководитель В.Ф. Болховитинов стал первым заместителем начальника. Институт был переориентирован на решение задач создания реактивный авиации, в первую очередь по разработке жидкостных ракетных и воздушно-реактивных двигателей. Разработку реактивных снарядов как непрофильную тематику руководство Наркомата авиапрома стремилось передать из НИИ-1 в другую специализированную организацию (12205).</w:t>
      </w:r>
    </w:p>
    <w:p w14:paraId="359753DB" w14:textId="77777777" w:rsidR="00552857" w:rsidRPr="00070ADE" w:rsidRDefault="00552857" w:rsidP="00B56F90">
      <w:pPr>
        <w:spacing w:after="0" w:line="240" w:lineRule="auto"/>
        <w:jc w:val="both"/>
        <w:rPr>
          <w:rFonts w:ascii="Times New Roman" w:hAnsi="Times New Roman"/>
          <w:color w:val="000000" w:themeColor="text1"/>
          <w:sz w:val="16"/>
          <w:szCs w:val="16"/>
        </w:rPr>
      </w:pPr>
    </w:p>
    <w:p w14:paraId="0978C0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г. постановлением ГКО № 5946 конструкторскому коллективу, возглавлявшемуся С.А. Лавочкиным, была официально задана разработка первого в нашей стране самолета с турбореактивным двигателем. Ведущим конструктором по теме был С.М. Алексеев, спроектировавший двухбалочную машину с двигателем тягой 1250 кгс в хвостовой части фюзеляжа, трехопорным шасси с носовой стойкой и даже с герметичной кабиной. По расчетам максимальная скорость полета должна была достигать 890 км/ч у земли, а практический потолок - составить 15000 м. Это была мечта, так и оставшаяся нереализованной из-за отсутствия пригодного для полетов двигателя (11407).</w:t>
      </w:r>
    </w:p>
    <w:p w14:paraId="788043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BAA9A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г. вышло постановление правительства "О создании авиационных реактивных двигателей", один из пунктов которого предписывал начальнику НИИ-1 П.И. Федорову и конструктору А.М. Люльке построить экспериментальный газотурбинный ВРД со статической тягой 1250 кгс и предъявить его на заводские испытания к 1 марта 1945 г (11147).</w:t>
      </w:r>
    </w:p>
    <w:p w14:paraId="0B0877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ED9C4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главный инженер ВВС генерал-полковник А.К.Репин утвердил тактико-технические требования к И-250. По расчетам максимальная скорость истребителя И-250, с применением ВРДК, должна была составить 825 км/ч на высоте 7000 м (6000).</w:t>
      </w:r>
    </w:p>
    <w:p w14:paraId="6344BB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D889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года состоялось по</w:t>
      </w:r>
      <w:r w:rsidRPr="00070ADE">
        <w:rPr>
          <w:rFonts w:ascii="Times New Roman" w:hAnsi="Times New Roman"/>
          <w:color w:val="000000" w:themeColor="text1"/>
          <w:sz w:val="16"/>
          <w:szCs w:val="16"/>
        </w:rPr>
        <w:softHyphen/>
        <w:t>становление правительства «О созда</w:t>
      </w:r>
      <w:r w:rsidRPr="00070ADE">
        <w:rPr>
          <w:rFonts w:ascii="Times New Roman" w:hAnsi="Times New Roman"/>
          <w:color w:val="000000" w:themeColor="text1"/>
          <w:sz w:val="16"/>
          <w:szCs w:val="16"/>
        </w:rPr>
        <w:softHyphen/>
        <w:t>нии авиационных реактивных двига</w:t>
      </w:r>
      <w:r w:rsidRPr="00070ADE">
        <w:rPr>
          <w:rFonts w:ascii="Times New Roman" w:hAnsi="Times New Roman"/>
          <w:color w:val="000000" w:themeColor="text1"/>
          <w:sz w:val="16"/>
          <w:szCs w:val="16"/>
        </w:rPr>
        <w:softHyphen/>
        <w:t>телей», один из пунктов которого пред</w:t>
      </w:r>
      <w:r w:rsidRPr="00070ADE">
        <w:rPr>
          <w:rFonts w:ascii="Times New Roman" w:hAnsi="Times New Roman"/>
          <w:color w:val="000000" w:themeColor="text1"/>
          <w:sz w:val="16"/>
          <w:szCs w:val="16"/>
        </w:rPr>
        <w:softHyphen/>
        <w:t>писывал начальнику НИИ-1 П.И.Фе</w:t>
      </w:r>
      <w:r w:rsidRPr="00070ADE">
        <w:rPr>
          <w:rFonts w:ascii="Times New Roman" w:hAnsi="Times New Roman"/>
          <w:color w:val="000000" w:themeColor="text1"/>
          <w:sz w:val="16"/>
          <w:szCs w:val="16"/>
        </w:rPr>
        <w:softHyphen/>
        <w:t>дорову и конструктору А.М.Люльке построить экспериментальный газо</w:t>
      </w:r>
      <w:r w:rsidRPr="00070ADE">
        <w:rPr>
          <w:rFonts w:ascii="Times New Roman" w:hAnsi="Times New Roman"/>
          <w:color w:val="000000" w:themeColor="text1"/>
          <w:sz w:val="16"/>
          <w:szCs w:val="16"/>
        </w:rPr>
        <w:softHyphen/>
        <w:t>турбинный ВРД со статической тягой 1250кгс и предъявить его на заводс</w:t>
      </w:r>
      <w:r w:rsidRPr="00070ADE">
        <w:rPr>
          <w:rFonts w:ascii="Times New Roman" w:hAnsi="Times New Roman"/>
          <w:color w:val="000000" w:themeColor="text1"/>
          <w:sz w:val="16"/>
          <w:szCs w:val="16"/>
        </w:rPr>
        <w:softHyphen/>
        <w:t>кие испытаний к 1 марта 1945 года. Так как в НИИ-1 производствен</w:t>
      </w:r>
      <w:r w:rsidRPr="00070ADE">
        <w:rPr>
          <w:rFonts w:ascii="Times New Roman" w:hAnsi="Times New Roman"/>
          <w:color w:val="000000" w:themeColor="text1"/>
          <w:sz w:val="16"/>
          <w:szCs w:val="16"/>
        </w:rPr>
        <w:softHyphen/>
        <w:t>ной базы для создания ТРД не было, решением правительства на неболь</w:t>
      </w:r>
      <w:r w:rsidRPr="00070ADE">
        <w:rPr>
          <w:rFonts w:ascii="Times New Roman" w:hAnsi="Times New Roman"/>
          <w:color w:val="000000" w:themeColor="text1"/>
          <w:sz w:val="16"/>
          <w:szCs w:val="16"/>
        </w:rPr>
        <w:softHyphen/>
        <w:t>шом московском механическом за</w:t>
      </w:r>
      <w:r w:rsidRPr="00070ADE">
        <w:rPr>
          <w:rFonts w:ascii="Times New Roman" w:hAnsi="Times New Roman"/>
          <w:color w:val="000000" w:themeColor="text1"/>
          <w:sz w:val="16"/>
          <w:szCs w:val="16"/>
        </w:rPr>
        <w:softHyphen/>
        <w:t>воде штампов и приспособлений № 165 развернули опытно-конструктор</w:t>
      </w:r>
      <w:r w:rsidRPr="00070ADE">
        <w:rPr>
          <w:rFonts w:ascii="Times New Roman" w:hAnsi="Times New Roman"/>
          <w:color w:val="000000" w:themeColor="text1"/>
          <w:sz w:val="16"/>
          <w:szCs w:val="16"/>
        </w:rPr>
        <w:softHyphen/>
        <w:t>скую базу по изготовлению реактив</w:t>
      </w:r>
      <w:r w:rsidRPr="00070ADE">
        <w:rPr>
          <w:rFonts w:ascii="Times New Roman" w:hAnsi="Times New Roman"/>
          <w:color w:val="000000" w:themeColor="text1"/>
          <w:sz w:val="16"/>
          <w:szCs w:val="16"/>
        </w:rPr>
        <w:softHyphen/>
        <w:t>ных двигателей. В начале 1945 года на этом предприятии был изготовлен первый экземпляр экспериментального ТРД С-18, спроектированного группой А.М.Люльки (10706).</w:t>
      </w:r>
    </w:p>
    <w:p w14:paraId="34214D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AC9C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г. вышло постановление правительства "О создании авиационных реактивных двигателей", один из пунктов которого предписывал начальнику НИИ-1 П.И. Федорову и конструктору А.М. Люльке построить экспериментальный газотурбинный ВРД со статической тягой 1250 кгс и предъявить его на заводские испытания к 1 марта 1945 г. (11407).</w:t>
      </w:r>
    </w:p>
    <w:p w14:paraId="050E8A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E016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состоялось заседание коллегии НКАП по вопросам:</w:t>
      </w:r>
    </w:p>
    <w:p w14:paraId="44C9A7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 ходе сева в подсобных хозяйствах НКАП и на индивидуальных огородах</w:t>
      </w:r>
    </w:p>
    <w:p w14:paraId="071A41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 жилищном строительстве в Москве</w:t>
      </w:r>
    </w:p>
    <w:p w14:paraId="154E3E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 подготовке энергохозяйства к зиме (1742).</w:t>
      </w:r>
    </w:p>
    <w:p w14:paraId="75BB17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8FDF04" w14:textId="77777777" w:rsidR="00444AC2" w:rsidRPr="00070ADE" w:rsidRDefault="00444AC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г. по постанов</w:t>
      </w:r>
      <w:r w:rsidRPr="00070ADE">
        <w:rPr>
          <w:rFonts w:ascii="Times New Roman" w:hAnsi="Times New Roman"/>
          <w:color w:val="000000" w:themeColor="text1"/>
          <w:sz w:val="16"/>
          <w:szCs w:val="16"/>
        </w:rPr>
        <w:softHyphen/>
        <w:t>лению ГКО от предпи</w:t>
      </w:r>
      <w:r w:rsidRPr="00070ADE">
        <w:rPr>
          <w:rFonts w:ascii="Times New Roman" w:hAnsi="Times New Roman"/>
          <w:color w:val="000000" w:themeColor="text1"/>
          <w:sz w:val="16"/>
          <w:szCs w:val="16"/>
        </w:rPr>
        <w:softHyphen/>
        <w:t>сывалось закупить в Великобритании «Москито» восьми новейших модифи</w:t>
      </w:r>
      <w:r w:rsidRPr="00070ADE">
        <w:rPr>
          <w:rFonts w:ascii="Times New Roman" w:hAnsi="Times New Roman"/>
          <w:color w:val="000000" w:themeColor="text1"/>
          <w:sz w:val="16"/>
          <w:szCs w:val="16"/>
        </w:rPr>
        <w:softHyphen/>
        <w:t>каций - бомбардировщики, дневные и ночные истребители и разведчики. При этом нарком авиапромышленно</w:t>
      </w:r>
      <w:r w:rsidRPr="00070ADE">
        <w:rPr>
          <w:rFonts w:ascii="Times New Roman" w:hAnsi="Times New Roman"/>
          <w:color w:val="000000" w:themeColor="text1"/>
          <w:sz w:val="16"/>
          <w:szCs w:val="16"/>
        </w:rPr>
        <w:softHyphen/>
        <w:t>сти А.И. Шахурин требовал от НКВТ добиваться передачи машин в полной комплектации - со всей радиоаппара</w:t>
      </w:r>
      <w:r w:rsidRPr="00070ADE">
        <w:rPr>
          <w:rFonts w:ascii="Times New Roman" w:hAnsi="Times New Roman"/>
          <w:color w:val="000000" w:themeColor="text1"/>
          <w:sz w:val="16"/>
          <w:szCs w:val="16"/>
        </w:rPr>
        <w:softHyphen/>
        <w:t>турой, включая РЛС, автоматические радиокомпасы и ответчики СРО, сов</w:t>
      </w:r>
      <w:r w:rsidRPr="00070ADE">
        <w:rPr>
          <w:rFonts w:ascii="Times New Roman" w:hAnsi="Times New Roman"/>
          <w:color w:val="000000" w:themeColor="text1"/>
          <w:sz w:val="16"/>
          <w:szCs w:val="16"/>
        </w:rPr>
        <w:softHyphen/>
        <w:t>ременными прицелами, фотокамерами и вооружением. К бомбардировщикам хотели получить по пять комплектов ан</w:t>
      </w:r>
      <w:r w:rsidRPr="00070ADE">
        <w:rPr>
          <w:rFonts w:ascii="Times New Roman" w:hAnsi="Times New Roman"/>
          <w:color w:val="000000" w:themeColor="text1"/>
          <w:sz w:val="16"/>
          <w:szCs w:val="16"/>
        </w:rPr>
        <w:softHyphen/>
        <w:t>глийских бомб разных типов. Конечно, англичане не дали ничего.</w:t>
      </w:r>
    </w:p>
    <w:p w14:paraId="1B6B72FF" w14:textId="77777777" w:rsidR="00444AC2" w:rsidRPr="00070ADE" w:rsidRDefault="00444AC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этот же период пытались дого</w:t>
      </w:r>
      <w:r w:rsidRPr="00070ADE">
        <w:rPr>
          <w:rFonts w:ascii="Times New Roman" w:hAnsi="Times New Roman"/>
          <w:color w:val="000000" w:themeColor="text1"/>
          <w:sz w:val="16"/>
          <w:szCs w:val="16"/>
        </w:rPr>
        <w:softHyphen/>
        <w:t>вориться о поставках «Москито» из Канады, где имелся филиал «Де Хэвил- ленд», строивший эти машины. Хотели с июля 1943 г. получать оттуда по 50 - 100 бомбардировщиков в месяц. Сначала канадцы согласились, но позже ответили отказом. Причиной, видимо, был приоритет британских и американ</w:t>
      </w:r>
      <w:r w:rsidRPr="00070ADE">
        <w:rPr>
          <w:rFonts w:ascii="Times New Roman" w:hAnsi="Times New Roman"/>
          <w:color w:val="000000" w:themeColor="text1"/>
          <w:sz w:val="16"/>
          <w:szCs w:val="16"/>
        </w:rPr>
        <w:softHyphen/>
        <w:t>ских заказов.</w:t>
      </w:r>
    </w:p>
    <w:p w14:paraId="0427729D" w14:textId="77777777" w:rsidR="00444AC2" w:rsidRPr="00070ADE" w:rsidRDefault="00444AC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 предложениях по IV протоколу о поставках (на 1944 - 45 годы) совет</w:t>
      </w:r>
      <w:r w:rsidRPr="00070ADE">
        <w:rPr>
          <w:rFonts w:ascii="Times New Roman" w:hAnsi="Times New Roman"/>
          <w:color w:val="000000" w:themeColor="text1"/>
          <w:sz w:val="16"/>
          <w:szCs w:val="16"/>
        </w:rPr>
        <w:softHyphen/>
        <w:t>ская сторона затребовала ни много, ни мало - 1200 «Москито». Но этому вос</w:t>
      </w:r>
      <w:r w:rsidRPr="00070ADE">
        <w:rPr>
          <w:rFonts w:ascii="Times New Roman" w:hAnsi="Times New Roman"/>
          <w:color w:val="000000" w:themeColor="text1"/>
          <w:sz w:val="16"/>
          <w:szCs w:val="16"/>
        </w:rPr>
        <w:softHyphen/>
        <w:t>препятствовало вето британского ми</w:t>
      </w:r>
      <w:r w:rsidRPr="00070ADE">
        <w:rPr>
          <w:rFonts w:ascii="Times New Roman" w:hAnsi="Times New Roman"/>
          <w:color w:val="000000" w:themeColor="text1"/>
          <w:sz w:val="16"/>
          <w:szCs w:val="16"/>
        </w:rPr>
        <w:softHyphen/>
        <w:t>нистерства авиации, ссылавшегося на недостаточную насыщенность новыми бомбардировщиками Королевских ВВС.</w:t>
      </w:r>
    </w:p>
    <w:p w14:paraId="78649991" w14:textId="77777777" w:rsidR="00444AC2" w:rsidRPr="00070ADE" w:rsidRDefault="00444AC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Единственный попавший в СССР «Москито» после аварии разобрали на отдельные агрегаты, розданные в раз</w:t>
      </w:r>
      <w:r w:rsidRPr="00070ADE">
        <w:rPr>
          <w:rFonts w:ascii="Times New Roman" w:hAnsi="Times New Roman"/>
          <w:color w:val="000000" w:themeColor="text1"/>
          <w:sz w:val="16"/>
          <w:szCs w:val="16"/>
        </w:rPr>
        <w:softHyphen/>
        <w:t>личные организации для изучения. Но влияние знакомства с ним на советскую авиапромышленность было достаточно велико. Концепция скоростного бом</w:t>
      </w:r>
      <w:r w:rsidRPr="00070ADE">
        <w:rPr>
          <w:rFonts w:ascii="Times New Roman" w:hAnsi="Times New Roman"/>
          <w:color w:val="000000" w:themeColor="text1"/>
          <w:sz w:val="16"/>
          <w:szCs w:val="16"/>
        </w:rPr>
        <w:softHyphen/>
        <w:t>бардировщика без оборонительного вооружения стала очень популярна. Как «советские «Москито» рекламировались опытные самолеты В.М. Мясищева и А.Н. Туполева, конструктивно не имев</w:t>
      </w:r>
      <w:r w:rsidRPr="00070ADE">
        <w:rPr>
          <w:rFonts w:ascii="Times New Roman" w:hAnsi="Times New Roman"/>
          <w:color w:val="000000" w:themeColor="text1"/>
          <w:sz w:val="16"/>
          <w:szCs w:val="16"/>
        </w:rPr>
        <w:softHyphen/>
        <w:t>шие ничего общего со своим англий</w:t>
      </w:r>
      <w:r w:rsidRPr="00070ADE">
        <w:rPr>
          <w:rFonts w:ascii="Times New Roman" w:hAnsi="Times New Roman"/>
          <w:color w:val="000000" w:themeColor="text1"/>
          <w:sz w:val="16"/>
          <w:szCs w:val="16"/>
        </w:rPr>
        <w:softHyphen/>
        <w:t>ским прототипов (19655).</w:t>
      </w:r>
    </w:p>
    <w:p w14:paraId="46645A25" w14:textId="77777777" w:rsidR="00444AC2" w:rsidRPr="00070ADE" w:rsidRDefault="00444AC2" w:rsidP="00B56F90">
      <w:pPr>
        <w:spacing w:after="0" w:line="240" w:lineRule="auto"/>
        <w:jc w:val="both"/>
        <w:rPr>
          <w:rFonts w:ascii="Times New Roman" w:hAnsi="Times New Roman"/>
          <w:color w:val="000000" w:themeColor="text1"/>
          <w:sz w:val="16"/>
          <w:szCs w:val="16"/>
        </w:rPr>
      </w:pPr>
    </w:p>
    <w:p w14:paraId="12E30AB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2B1E0C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D47EC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г. Из основных показателей работы завода № 237 о количестве выпускаемых заводом главнейших изделий за 1941 – четыре месяца 1944 гг.</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4"/>
        <w:gridCol w:w="3128"/>
        <w:gridCol w:w="898"/>
        <w:gridCol w:w="709"/>
        <w:gridCol w:w="850"/>
        <w:gridCol w:w="851"/>
        <w:gridCol w:w="850"/>
        <w:gridCol w:w="851"/>
      </w:tblGrid>
      <w:tr w:rsidR="004D4663" w:rsidRPr="00070ADE" w14:paraId="562D75A7"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5104DF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п/п</w:t>
            </w:r>
          </w:p>
        </w:tc>
        <w:tc>
          <w:tcPr>
            <w:tcW w:w="3128" w:type="dxa"/>
            <w:tcBorders>
              <w:top w:val="outset" w:sz="6" w:space="0" w:color="auto"/>
              <w:left w:val="outset" w:sz="6" w:space="0" w:color="auto"/>
              <w:bottom w:val="outset" w:sz="6" w:space="0" w:color="auto"/>
              <w:right w:val="outset" w:sz="6" w:space="0" w:color="auto"/>
            </w:tcBorders>
            <w:hideMark/>
          </w:tcPr>
          <w:p w14:paraId="5D8AF27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w:t>
            </w:r>
          </w:p>
        </w:tc>
        <w:tc>
          <w:tcPr>
            <w:tcW w:w="898" w:type="dxa"/>
            <w:tcBorders>
              <w:top w:val="outset" w:sz="6" w:space="0" w:color="auto"/>
              <w:left w:val="outset" w:sz="6" w:space="0" w:color="auto"/>
              <w:bottom w:val="outset" w:sz="6" w:space="0" w:color="auto"/>
              <w:right w:val="outset" w:sz="6" w:space="0" w:color="auto"/>
            </w:tcBorders>
            <w:hideMark/>
          </w:tcPr>
          <w:p w14:paraId="36857A6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Шифр прибора</w:t>
            </w:r>
          </w:p>
        </w:tc>
        <w:tc>
          <w:tcPr>
            <w:tcW w:w="709" w:type="dxa"/>
            <w:tcBorders>
              <w:top w:val="outset" w:sz="6" w:space="0" w:color="auto"/>
              <w:left w:val="outset" w:sz="6" w:space="0" w:color="auto"/>
              <w:bottom w:val="outset" w:sz="6" w:space="0" w:color="auto"/>
              <w:right w:val="outset" w:sz="6" w:space="0" w:color="auto"/>
            </w:tcBorders>
            <w:hideMark/>
          </w:tcPr>
          <w:p w14:paraId="39B4B45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Ед. изм.</w:t>
            </w:r>
          </w:p>
        </w:tc>
        <w:tc>
          <w:tcPr>
            <w:tcW w:w="850" w:type="dxa"/>
            <w:tcBorders>
              <w:top w:val="outset" w:sz="6" w:space="0" w:color="auto"/>
              <w:left w:val="outset" w:sz="6" w:space="0" w:color="auto"/>
              <w:bottom w:val="outset" w:sz="6" w:space="0" w:color="auto"/>
              <w:right w:val="outset" w:sz="6" w:space="0" w:color="auto"/>
            </w:tcBorders>
            <w:hideMark/>
          </w:tcPr>
          <w:p w14:paraId="6476D33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1941 г.</w:t>
            </w:r>
          </w:p>
        </w:tc>
        <w:tc>
          <w:tcPr>
            <w:tcW w:w="851" w:type="dxa"/>
            <w:tcBorders>
              <w:top w:val="outset" w:sz="6" w:space="0" w:color="auto"/>
              <w:left w:val="outset" w:sz="6" w:space="0" w:color="auto"/>
              <w:bottom w:val="outset" w:sz="6" w:space="0" w:color="auto"/>
              <w:right w:val="outset" w:sz="6" w:space="0" w:color="auto"/>
            </w:tcBorders>
            <w:hideMark/>
          </w:tcPr>
          <w:p w14:paraId="3D925AA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1942 г.</w:t>
            </w:r>
          </w:p>
        </w:tc>
        <w:tc>
          <w:tcPr>
            <w:tcW w:w="850" w:type="dxa"/>
            <w:tcBorders>
              <w:top w:val="outset" w:sz="6" w:space="0" w:color="auto"/>
              <w:left w:val="outset" w:sz="6" w:space="0" w:color="auto"/>
              <w:bottom w:val="outset" w:sz="6" w:space="0" w:color="auto"/>
              <w:right w:val="outset" w:sz="6" w:space="0" w:color="auto"/>
            </w:tcBorders>
            <w:hideMark/>
          </w:tcPr>
          <w:p w14:paraId="32AD42F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 г.</w:t>
            </w:r>
          </w:p>
        </w:tc>
        <w:tc>
          <w:tcPr>
            <w:tcW w:w="851" w:type="dxa"/>
            <w:tcBorders>
              <w:top w:val="outset" w:sz="6" w:space="0" w:color="auto"/>
              <w:left w:val="outset" w:sz="6" w:space="0" w:color="auto"/>
              <w:bottom w:val="outset" w:sz="6" w:space="0" w:color="auto"/>
              <w:right w:val="outset" w:sz="6" w:space="0" w:color="auto"/>
            </w:tcBorders>
            <w:hideMark/>
          </w:tcPr>
          <w:p w14:paraId="3BEEC65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4 месяца</w:t>
            </w:r>
          </w:p>
          <w:p w14:paraId="523BAB7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 г.</w:t>
            </w:r>
          </w:p>
        </w:tc>
      </w:tr>
      <w:tr w:rsidR="004D4663" w:rsidRPr="00070ADE" w14:paraId="15FA228F"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90772D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3128" w:type="dxa"/>
            <w:tcBorders>
              <w:top w:val="outset" w:sz="6" w:space="0" w:color="auto"/>
              <w:left w:val="outset" w:sz="6" w:space="0" w:color="auto"/>
              <w:bottom w:val="outset" w:sz="6" w:space="0" w:color="auto"/>
              <w:right w:val="outset" w:sz="6" w:space="0" w:color="auto"/>
            </w:tcBorders>
            <w:hideMark/>
          </w:tcPr>
          <w:p w14:paraId="1DCC8C0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Монокулярный морской дальномер c базой 0,7 м.</w:t>
            </w:r>
          </w:p>
        </w:tc>
        <w:tc>
          <w:tcPr>
            <w:tcW w:w="898" w:type="dxa"/>
            <w:tcBorders>
              <w:top w:val="outset" w:sz="6" w:space="0" w:color="auto"/>
              <w:left w:val="outset" w:sz="6" w:space="0" w:color="auto"/>
              <w:bottom w:val="outset" w:sz="6" w:space="0" w:color="auto"/>
              <w:right w:val="outset" w:sz="6" w:space="0" w:color="auto"/>
            </w:tcBorders>
            <w:hideMark/>
          </w:tcPr>
          <w:p w14:paraId="4B24A2B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ДМ-0,7</w:t>
            </w:r>
          </w:p>
        </w:tc>
        <w:tc>
          <w:tcPr>
            <w:tcW w:w="709" w:type="dxa"/>
            <w:tcBorders>
              <w:top w:val="outset" w:sz="6" w:space="0" w:color="auto"/>
              <w:left w:val="outset" w:sz="6" w:space="0" w:color="auto"/>
              <w:bottom w:val="outset" w:sz="6" w:space="0" w:color="auto"/>
              <w:right w:val="outset" w:sz="6" w:space="0" w:color="auto"/>
            </w:tcBorders>
            <w:hideMark/>
          </w:tcPr>
          <w:p w14:paraId="578211F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3F88E1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w:t>
            </w:r>
          </w:p>
        </w:tc>
        <w:tc>
          <w:tcPr>
            <w:tcW w:w="851" w:type="dxa"/>
            <w:tcBorders>
              <w:top w:val="outset" w:sz="6" w:space="0" w:color="auto"/>
              <w:left w:val="outset" w:sz="6" w:space="0" w:color="auto"/>
              <w:bottom w:val="outset" w:sz="6" w:space="0" w:color="auto"/>
              <w:right w:val="outset" w:sz="6" w:space="0" w:color="auto"/>
            </w:tcBorders>
            <w:hideMark/>
          </w:tcPr>
          <w:p w14:paraId="616F11B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tc>
        <w:tc>
          <w:tcPr>
            <w:tcW w:w="850" w:type="dxa"/>
            <w:tcBorders>
              <w:top w:val="outset" w:sz="6" w:space="0" w:color="auto"/>
              <w:left w:val="outset" w:sz="6" w:space="0" w:color="auto"/>
              <w:bottom w:val="outset" w:sz="6" w:space="0" w:color="auto"/>
              <w:right w:val="outset" w:sz="6" w:space="0" w:color="auto"/>
            </w:tcBorders>
            <w:hideMark/>
          </w:tcPr>
          <w:p w14:paraId="7D08919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127</w:t>
            </w:r>
          </w:p>
        </w:tc>
        <w:tc>
          <w:tcPr>
            <w:tcW w:w="851" w:type="dxa"/>
            <w:tcBorders>
              <w:top w:val="outset" w:sz="6" w:space="0" w:color="auto"/>
              <w:left w:val="outset" w:sz="6" w:space="0" w:color="auto"/>
              <w:bottom w:val="outset" w:sz="6" w:space="0" w:color="auto"/>
              <w:right w:val="outset" w:sz="6" w:space="0" w:color="auto"/>
            </w:tcBorders>
            <w:hideMark/>
          </w:tcPr>
          <w:p w14:paraId="4CC7544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w:t>
            </w:r>
          </w:p>
        </w:tc>
      </w:tr>
      <w:tr w:rsidR="004D4663" w:rsidRPr="00070ADE" w14:paraId="447DF133"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80C82D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3128" w:type="dxa"/>
            <w:tcBorders>
              <w:top w:val="outset" w:sz="6" w:space="0" w:color="auto"/>
              <w:left w:val="outset" w:sz="6" w:space="0" w:color="auto"/>
              <w:bottom w:val="outset" w:sz="6" w:space="0" w:color="auto"/>
              <w:right w:val="outset" w:sz="6" w:space="0" w:color="auto"/>
            </w:tcBorders>
            <w:hideMark/>
          </w:tcPr>
          <w:p w14:paraId="5304697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Стериодальномер с базой 1,5 м на АВТ-2</w:t>
            </w:r>
          </w:p>
        </w:tc>
        <w:tc>
          <w:tcPr>
            <w:tcW w:w="898" w:type="dxa"/>
            <w:tcBorders>
              <w:top w:val="outset" w:sz="6" w:space="0" w:color="auto"/>
              <w:left w:val="outset" w:sz="6" w:space="0" w:color="auto"/>
              <w:bottom w:val="outset" w:sz="6" w:space="0" w:color="auto"/>
              <w:right w:val="outset" w:sz="6" w:space="0" w:color="auto"/>
            </w:tcBorders>
            <w:hideMark/>
          </w:tcPr>
          <w:p w14:paraId="6B4EE1A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ДМ-1,5 на АВТ</w:t>
            </w:r>
          </w:p>
        </w:tc>
        <w:tc>
          <w:tcPr>
            <w:tcW w:w="709" w:type="dxa"/>
            <w:tcBorders>
              <w:top w:val="outset" w:sz="6" w:space="0" w:color="auto"/>
              <w:left w:val="outset" w:sz="6" w:space="0" w:color="auto"/>
              <w:bottom w:val="outset" w:sz="6" w:space="0" w:color="auto"/>
              <w:right w:val="outset" w:sz="6" w:space="0" w:color="auto"/>
            </w:tcBorders>
            <w:hideMark/>
          </w:tcPr>
          <w:p w14:paraId="4C32D0C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481374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C33048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w:t>
            </w:r>
          </w:p>
        </w:tc>
        <w:tc>
          <w:tcPr>
            <w:tcW w:w="850" w:type="dxa"/>
            <w:tcBorders>
              <w:top w:val="outset" w:sz="6" w:space="0" w:color="auto"/>
              <w:left w:val="outset" w:sz="6" w:space="0" w:color="auto"/>
              <w:bottom w:val="outset" w:sz="6" w:space="0" w:color="auto"/>
              <w:right w:val="outset" w:sz="6" w:space="0" w:color="auto"/>
            </w:tcBorders>
            <w:hideMark/>
          </w:tcPr>
          <w:p w14:paraId="4C415F1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w:t>
            </w:r>
          </w:p>
        </w:tc>
        <w:tc>
          <w:tcPr>
            <w:tcW w:w="851" w:type="dxa"/>
            <w:tcBorders>
              <w:top w:val="outset" w:sz="6" w:space="0" w:color="auto"/>
              <w:left w:val="outset" w:sz="6" w:space="0" w:color="auto"/>
              <w:bottom w:val="outset" w:sz="6" w:space="0" w:color="auto"/>
              <w:right w:val="outset" w:sz="6" w:space="0" w:color="auto"/>
            </w:tcBorders>
            <w:hideMark/>
          </w:tcPr>
          <w:p w14:paraId="02E9200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w:t>
            </w:r>
          </w:p>
        </w:tc>
      </w:tr>
      <w:tr w:rsidR="004D4663" w:rsidRPr="00070ADE" w14:paraId="42BF3B74"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E9B10C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3128" w:type="dxa"/>
            <w:tcBorders>
              <w:top w:val="outset" w:sz="6" w:space="0" w:color="auto"/>
              <w:left w:val="outset" w:sz="6" w:space="0" w:color="auto"/>
              <w:bottom w:val="outset" w:sz="6" w:space="0" w:color="auto"/>
              <w:right w:val="outset" w:sz="6" w:space="0" w:color="auto"/>
            </w:tcBorders>
            <w:hideMark/>
          </w:tcPr>
          <w:p w14:paraId="0DDEF48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Стериодальномер с базой 1,5 м на жесткой тумбе</w:t>
            </w:r>
          </w:p>
        </w:tc>
        <w:tc>
          <w:tcPr>
            <w:tcW w:w="898" w:type="dxa"/>
            <w:tcBorders>
              <w:top w:val="outset" w:sz="6" w:space="0" w:color="auto"/>
              <w:left w:val="outset" w:sz="6" w:space="0" w:color="auto"/>
              <w:bottom w:val="outset" w:sz="6" w:space="0" w:color="auto"/>
              <w:right w:val="outset" w:sz="6" w:space="0" w:color="auto"/>
            </w:tcBorders>
            <w:hideMark/>
          </w:tcPr>
          <w:p w14:paraId="3D57201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ДМ-1,5 на жест.</w:t>
            </w:r>
          </w:p>
        </w:tc>
        <w:tc>
          <w:tcPr>
            <w:tcW w:w="709" w:type="dxa"/>
            <w:tcBorders>
              <w:top w:val="outset" w:sz="6" w:space="0" w:color="auto"/>
              <w:left w:val="outset" w:sz="6" w:space="0" w:color="auto"/>
              <w:bottom w:val="outset" w:sz="6" w:space="0" w:color="auto"/>
              <w:right w:val="outset" w:sz="6" w:space="0" w:color="auto"/>
            </w:tcBorders>
            <w:hideMark/>
          </w:tcPr>
          <w:p w14:paraId="52776F7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AFC294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tc>
        <w:tc>
          <w:tcPr>
            <w:tcW w:w="851" w:type="dxa"/>
            <w:tcBorders>
              <w:top w:val="outset" w:sz="6" w:space="0" w:color="auto"/>
              <w:left w:val="outset" w:sz="6" w:space="0" w:color="auto"/>
              <w:bottom w:val="outset" w:sz="6" w:space="0" w:color="auto"/>
              <w:right w:val="outset" w:sz="6" w:space="0" w:color="auto"/>
            </w:tcBorders>
            <w:hideMark/>
          </w:tcPr>
          <w:p w14:paraId="46C79A9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w:t>
            </w:r>
          </w:p>
        </w:tc>
        <w:tc>
          <w:tcPr>
            <w:tcW w:w="850" w:type="dxa"/>
            <w:tcBorders>
              <w:top w:val="outset" w:sz="6" w:space="0" w:color="auto"/>
              <w:left w:val="outset" w:sz="6" w:space="0" w:color="auto"/>
              <w:bottom w:val="outset" w:sz="6" w:space="0" w:color="auto"/>
              <w:right w:val="outset" w:sz="6" w:space="0" w:color="auto"/>
            </w:tcBorders>
            <w:hideMark/>
          </w:tcPr>
          <w:p w14:paraId="7281CBD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w:t>
            </w:r>
          </w:p>
        </w:tc>
        <w:tc>
          <w:tcPr>
            <w:tcW w:w="851" w:type="dxa"/>
            <w:tcBorders>
              <w:top w:val="outset" w:sz="6" w:space="0" w:color="auto"/>
              <w:left w:val="outset" w:sz="6" w:space="0" w:color="auto"/>
              <w:bottom w:val="outset" w:sz="6" w:space="0" w:color="auto"/>
              <w:right w:val="outset" w:sz="6" w:space="0" w:color="auto"/>
            </w:tcBorders>
            <w:hideMark/>
          </w:tcPr>
          <w:p w14:paraId="78752FF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tc>
      </w:tr>
      <w:tr w:rsidR="004D4663" w:rsidRPr="00070ADE" w14:paraId="7CA9E560"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D58A7A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3128" w:type="dxa"/>
            <w:tcBorders>
              <w:top w:val="outset" w:sz="6" w:space="0" w:color="auto"/>
              <w:left w:val="outset" w:sz="6" w:space="0" w:color="auto"/>
              <w:bottom w:val="outset" w:sz="6" w:space="0" w:color="auto"/>
              <w:right w:val="outset" w:sz="6" w:space="0" w:color="auto"/>
            </w:tcBorders>
            <w:hideMark/>
          </w:tcPr>
          <w:p w14:paraId="0D25B68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Стериодальномер с базой 1,5 м с конвертором</w:t>
            </w:r>
          </w:p>
        </w:tc>
        <w:tc>
          <w:tcPr>
            <w:tcW w:w="898" w:type="dxa"/>
            <w:tcBorders>
              <w:top w:val="outset" w:sz="6" w:space="0" w:color="auto"/>
              <w:left w:val="outset" w:sz="6" w:space="0" w:color="auto"/>
              <w:bottom w:val="outset" w:sz="6" w:space="0" w:color="auto"/>
              <w:right w:val="outset" w:sz="6" w:space="0" w:color="auto"/>
            </w:tcBorders>
            <w:hideMark/>
          </w:tcPr>
          <w:p w14:paraId="7AD8E7C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ДМ-1,5 с конверт</w:t>
            </w:r>
          </w:p>
        </w:tc>
        <w:tc>
          <w:tcPr>
            <w:tcW w:w="709" w:type="dxa"/>
            <w:tcBorders>
              <w:top w:val="outset" w:sz="6" w:space="0" w:color="auto"/>
              <w:left w:val="outset" w:sz="6" w:space="0" w:color="auto"/>
              <w:bottom w:val="outset" w:sz="6" w:space="0" w:color="auto"/>
              <w:right w:val="outset" w:sz="6" w:space="0" w:color="auto"/>
            </w:tcBorders>
            <w:hideMark/>
          </w:tcPr>
          <w:p w14:paraId="6E3FE19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3BDDE6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609139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654083D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851" w:type="dxa"/>
            <w:tcBorders>
              <w:top w:val="outset" w:sz="6" w:space="0" w:color="auto"/>
              <w:left w:val="outset" w:sz="6" w:space="0" w:color="auto"/>
              <w:bottom w:val="outset" w:sz="6" w:space="0" w:color="auto"/>
              <w:right w:val="outset" w:sz="6" w:space="0" w:color="auto"/>
            </w:tcBorders>
            <w:hideMark/>
          </w:tcPr>
          <w:p w14:paraId="770E5A4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C28E891"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CD18BB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3128" w:type="dxa"/>
            <w:tcBorders>
              <w:top w:val="outset" w:sz="6" w:space="0" w:color="auto"/>
              <w:left w:val="outset" w:sz="6" w:space="0" w:color="auto"/>
              <w:bottom w:val="outset" w:sz="6" w:space="0" w:color="auto"/>
              <w:right w:val="outset" w:sz="6" w:space="0" w:color="auto"/>
            </w:tcBorders>
            <w:hideMark/>
          </w:tcPr>
          <w:p w14:paraId="2DE8A38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Стериодальномер с базой 3 м без тумбы</w:t>
            </w:r>
          </w:p>
        </w:tc>
        <w:tc>
          <w:tcPr>
            <w:tcW w:w="898" w:type="dxa"/>
            <w:tcBorders>
              <w:top w:val="outset" w:sz="6" w:space="0" w:color="auto"/>
              <w:left w:val="outset" w:sz="6" w:space="0" w:color="auto"/>
              <w:bottom w:val="outset" w:sz="6" w:space="0" w:color="auto"/>
              <w:right w:val="outset" w:sz="6" w:space="0" w:color="auto"/>
            </w:tcBorders>
            <w:hideMark/>
          </w:tcPr>
          <w:p w14:paraId="50D520B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ДМ-3 б/т.</w:t>
            </w:r>
          </w:p>
        </w:tc>
        <w:tc>
          <w:tcPr>
            <w:tcW w:w="709" w:type="dxa"/>
            <w:tcBorders>
              <w:top w:val="outset" w:sz="6" w:space="0" w:color="auto"/>
              <w:left w:val="outset" w:sz="6" w:space="0" w:color="auto"/>
              <w:bottom w:val="outset" w:sz="6" w:space="0" w:color="auto"/>
              <w:right w:val="outset" w:sz="6" w:space="0" w:color="auto"/>
            </w:tcBorders>
            <w:hideMark/>
          </w:tcPr>
          <w:p w14:paraId="1B54132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37055E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79C4D5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850" w:type="dxa"/>
            <w:tcBorders>
              <w:top w:val="outset" w:sz="6" w:space="0" w:color="auto"/>
              <w:left w:val="outset" w:sz="6" w:space="0" w:color="auto"/>
              <w:bottom w:val="outset" w:sz="6" w:space="0" w:color="auto"/>
              <w:right w:val="outset" w:sz="6" w:space="0" w:color="auto"/>
            </w:tcBorders>
            <w:hideMark/>
          </w:tcPr>
          <w:p w14:paraId="1250EFC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w:t>
            </w:r>
          </w:p>
        </w:tc>
        <w:tc>
          <w:tcPr>
            <w:tcW w:w="851" w:type="dxa"/>
            <w:tcBorders>
              <w:top w:val="outset" w:sz="6" w:space="0" w:color="auto"/>
              <w:left w:val="outset" w:sz="6" w:space="0" w:color="auto"/>
              <w:bottom w:val="outset" w:sz="6" w:space="0" w:color="auto"/>
              <w:right w:val="outset" w:sz="6" w:space="0" w:color="auto"/>
            </w:tcBorders>
            <w:hideMark/>
          </w:tcPr>
          <w:p w14:paraId="460C97D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tc>
      </w:tr>
      <w:tr w:rsidR="004D4663" w:rsidRPr="00070ADE" w14:paraId="2EB88BDE"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86EF2F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3128" w:type="dxa"/>
            <w:tcBorders>
              <w:top w:val="outset" w:sz="6" w:space="0" w:color="auto"/>
              <w:left w:val="outset" w:sz="6" w:space="0" w:color="auto"/>
              <w:bottom w:val="outset" w:sz="6" w:space="0" w:color="auto"/>
              <w:right w:val="outset" w:sz="6" w:space="0" w:color="auto"/>
            </w:tcBorders>
            <w:hideMark/>
          </w:tcPr>
          <w:p w14:paraId="536CDEE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Стериодальномер с базой 3 м на жесткой тумбе</w:t>
            </w:r>
          </w:p>
        </w:tc>
        <w:tc>
          <w:tcPr>
            <w:tcW w:w="898" w:type="dxa"/>
            <w:tcBorders>
              <w:top w:val="outset" w:sz="6" w:space="0" w:color="auto"/>
              <w:left w:val="outset" w:sz="6" w:space="0" w:color="auto"/>
              <w:bottom w:val="outset" w:sz="6" w:space="0" w:color="auto"/>
              <w:right w:val="outset" w:sz="6" w:space="0" w:color="auto"/>
            </w:tcBorders>
            <w:hideMark/>
          </w:tcPr>
          <w:p w14:paraId="12B01BA9"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ДМ-3 н/т.</w:t>
            </w:r>
          </w:p>
        </w:tc>
        <w:tc>
          <w:tcPr>
            <w:tcW w:w="709" w:type="dxa"/>
            <w:tcBorders>
              <w:top w:val="outset" w:sz="6" w:space="0" w:color="auto"/>
              <w:left w:val="outset" w:sz="6" w:space="0" w:color="auto"/>
              <w:bottom w:val="outset" w:sz="6" w:space="0" w:color="auto"/>
              <w:right w:val="outset" w:sz="6" w:space="0" w:color="auto"/>
            </w:tcBorders>
            <w:hideMark/>
          </w:tcPr>
          <w:p w14:paraId="0921F0C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761E8F4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851" w:type="dxa"/>
            <w:tcBorders>
              <w:top w:val="outset" w:sz="6" w:space="0" w:color="auto"/>
              <w:left w:val="outset" w:sz="6" w:space="0" w:color="auto"/>
              <w:bottom w:val="outset" w:sz="6" w:space="0" w:color="auto"/>
              <w:right w:val="outset" w:sz="6" w:space="0" w:color="auto"/>
            </w:tcBorders>
            <w:hideMark/>
          </w:tcPr>
          <w:p w14:paraId="0D6A9AB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w:t>
            </w:r>
          </w:p>
        </w:tc>
        <w:tc>
          <w:tcPr>
            <w:tcW w:w="850" w:type="dxa"/>
            <w:tcBorders>
              <w:top w:val="outset" w:sz="6" w:space="0" w:color="auto"/>
              <w:left w:val="outset" w:sz="6" w:space="0" w:color="auto"/>
              <w:bottom w:val="outset" w:sz="6" w:space="0" w:color="auto"/>
              <w:right w:val="outset" w:sz="6" w:space="0" w:color="auto"/>
            </w:tcBorders>
            <w:hideMark/>
          </w:tcPr>
          <w:p w14:paraId="4DBE19C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c>
          <w:tcPr>
            <w:tcW w:w="851" w:type="dxa"/>
            <w:tcBorders>
              <w:top w:val="outset" w:sz="6" w:space="0" w:color="auto"/>
              <w:left w:val="outset" w:sz="6" w:space="0" w:color="auto"/>
              <w:bottom w:val="outset" w:sz="6" w:space="0" w:color="auto"/>
              <w:right w:val="outset" w:sz="6" w:space="0" w:color="auto"/>
            </w:tcBorders>
            <w:hideMark/>
          </w:tcPr>
          <w:p w14:paraId="10EEA83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r>
      <w:tr w:rsidR="004D4663" w:rsidRPr="00070ADE" w14:paraId="0E0156D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8DA927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3128" w:type="dxa"/>
            <w:tcBorders>
              <w:top w:val="outset" w:sz="6" w:space="0" w:color="auto"/>
              <w:left w:val="outset" w:sz="6" w:space="0" w:color="auto"/>
              <w:bottom w:val="outset" w:sz="6" w:space="0" w:color="auto"/>
              <w:right w:val="outset" w:sz="6" w:space="0" w:color="auto"/>
            </w:tcBorders>
            <w:hideMark/>
          </w:tcPr>
          <w:p w14:paraId="7432091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Стериодальномер с базой 3 м на АТ-3</w:t>
            </w:r>
          </w:p>
        </w:tc>
        <w:tc>
          <w:tcPr>
            <w:tcW w:w="898" w:type="dxa"/>
            <w:tcBorders>
              <w:top w:val="outset" w:sz="6" w:space="0" w:color="auto"/>
              <w:left w:val="outset" w:sz="6" w:space="0" w:color="auto"/>
              <w:bottom w:val="outset" w:sz="6" w:space="0" w:color="auto"/>
              <w:right w:val="outset" w:sz="6" w:space="0" w:color="auto"/>
            </w:tcBorders>
            <w:hideMark/>
          </w:tcPr>
          <w:p w14:paraId="3E93AF2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ДМ-3 на АТ-3</w:t>
            </w:r>
          </w:p>
        </w:tc>
        <w:tc>
          <w:tcPr>
            <w:tcW w:w="709" w:type="dxa"/>
            <w:tcBorders>
              <w:top w:val="outset" w:sz="6" w:space="0" w:color="auto"/>
              <w:left w:val="outset" w:sz="6" w:space="0" w:color="auto"/>
              <w:bottom w:val="outset" w:sz="6" w:space="0" w:color="auto"/>
              <w:right w:val="outset" w:sz="6" w:space="0" w:color="auto"/>
            </w:tcBorders>
            <w:hideMark/>
          </w:tcPr>
          <w:p w14:paraId="42B3C92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639CB4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237DC9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850" w:type="dxa"/>
            <w:tcBorders>
              <w:top w:val="outset" w:sz="6" w:space="0" w:color="auto"/>
              <w:left w:val="outset" w:sz="6" w:space="0" w:color="auto"/>
              <w:bottom w:val="outset" w:sz="6" w:space="0" w:color="auto"/>
              <w:right w:val="outset" w:sz="6" w:space="0" w:color="auto"/>
            </w:tcBorders>
            <w:hideMark/>
          </w:tcPr>
          <w:p w14:paraId="6415CA5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tc>
        <w:tc>
          <w:tcPr>
            <w:tcW w:w="851" w:type="dxa"/>
            <w:tcBorders>
              <w:top w:val="outset" w:sz="6" w:space="0" w:color="auto"/>
              <w:left w:val="outset" w:sz="6" w:space="0" w:color="auto"/>
              <w:bottom w:val="outset" w:sz="6" w:space="0" w:color="auto"/>
              <w:right w:val="outset" w:sz="6" w:space="0" w:color="auto"/>
            </w:tcBorders>
            <w:hideMark/>
          </w:tcPr>
          <w:p w14:paraId="32FF7A3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r>
      <w:tr w:rsidR="004D4663" w:rsidRPr="00070ADE" w14:paraId="7EB06423"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46C75E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3128" w:type="dxa"/>
            <w:tcBorders>
              <w:top w:val="outset" w:sz="6" w:space="0" w:color="auto"/>
              <w:left w:val="outset" w:sz="6" w:space="0" w:color="auto"/>
              <w:bottom w:val="outset" w:sz="6" w:space="0" w:color="auto"/>
              <w:right w:val="outset" w:sz="6" w:space="0" w:color="auto"/>
            </w:tcBorders>
            <w:hideMark/>
          </w:tcPr>
          <w:p w14:paraId="2FF400E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Стериодальномер с базой 4 м без тумбы</w:t>
            </w:r>
          </w:p>
        </w:tc>
        <w:tc>
          <w:tcPr>
            <w:tcW w:w="898" w:type="dxa"/>
            <w:tcBorders>
              <w:top w:val="outset" w:sz="6" w:space="0" w:color="auto"/>
              <w:left w:val="outset" w:sz="6" w:space="0" w:color="auto"/>
              <w:bottom w:val="outset" w:sz="6" w:space="0" w:color="auto"/>
              <w:right w:val="outset" w:sz="6" w:space="0" w:color="auto"/>
            </w:tcBorders>
            <w:hideMark/>
          </w:tcPr>
          <w:p w14:paraId="3ED44E0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ДМ-4 б/т.</w:t>
            </w:r>
          </w:p>
        </w:tc>
        <w:tc>
          <w:tcPr>
            <w:tcW w:w="709" w:type="dxa"/>
            <w:tcBorders>
              <w:top w:val="outset" w:sz="6" w:space="0" w:color="auto"/>
              <w:left w:val="outset" w:sz="6" w:space="0" w:color="auto"/>
              <w:bottom w:val="outset" w:sz="6" w:space="0" w:color="auto"/>
              <w:right w:val="outset" w:sz="6" w:space="0" w:color="auto"/>
            </w:tcBorders>
            <w:hideMark/>
          </w:tcPr>
          <w:p w14:paraId="71C32D4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67ACCD7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851" w:type="dxa"/>
            <w:tcBorders>
              <w:top w:val="outset" w:sz="6" w:space="0" w:color="auto"/>
              <w:left w:val="outset" w:sz="6" w:space="0" w:color="auto"/>
              <w:bottom w:val="outset" w:sz="6" w:space="0" w:color="auto"/>
              <w:right w:val="outset" w:sz="6" w:space="0" w:color="auto"/>
            </w:tcBorders>
            <w:hideMark/>
          </w:tcPr>
          <w:p w14:paraId="6B54266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tc>
        <w:tc>
          <w:tcPr>
            <w:tcW w:w="850" w:type="dxa"/>
            <w:tcBorders>
              <w:top w:val="outset" w:sz="6" w:space="0" w:color="auto"/>
              <w:left w:val="outset" w:sz="6" w:space="0" w:color="auto"/>
              <w:bottom w:val="outset" w:sz="6" w:space="0" w:color="auto"/>
              <w:right w:val="outset" w:sz="6" w:space="0" w:color="auto"/>
            </w:tcBorders>
            <w:hideMark/>
          </w:tcPr>
          <w:p w14:paraId="1651154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w:t>
            </w:r>
          </w:p>
        </w:tc>
        <w:tc>
          <w:tcPr>
            <w:tcW w:w="851" w:type="dxa"/>
            <w:tcBorders>
              <w:top w:val="outset" w:sz="6" w:space="0" w:color="auto"/>
              <w:left w:val="outset" w:sz="6" w:space="0" w:color="auto"/>
              <w:bottom w:val="outset" w:sz="6" w:space="0" w:color="auto"/>
              <w:right w:val="outset" w:sz="6" w:space="0" w:color="auto"/>
            </w:tcBorders>
            <w:hideMark/>
          </w:tcPr>
          <w:p w14:paraId="3FAA2DE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AA83B88"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FFE95C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tc>
        <w:tc>
          <w:tcPr>
            <w:tcW w:w="3128" w:type="dxa"/>
            <w:tcBorders>
              <w:top w:val="outset" w:sz="6" w:space="0" w:color="auto"/>
              <w:left w:val="outset" w:sz="6" w:space="0" w:color="auto"/>
              <w:bottom w:val="outset" w:sz="6" w:space="0" w:color="auto"/>
              <w:right w:val="outset" w:sz="6" w:space="0" w:color="auto"/>
            </w:tcBorders>
            <w:hideMark/>
          </w:tcPr>
          <w:p w14:paraId="74C44E3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Стериодальномер с базой 4 м на жесткой тумбе</w:t>
            </w:r>
          </w:p>
        </w:tc>
        <w:tc>
          <w:tcPr>
            <w:tcW w:w="898" w:type="dxa"/>
            <w:tcBorders>
              <w:top w:val="outset" w:sz="6" w:space="0" w:color="auto"/>
              <w:left w:val="outset" w:sz="6" w:space="0" w:color="auto"/>
              <w:bottom w:val="outset" w:sz="6" w:space="0" w:color="auto"/>
              <w:right w:val="outset" w:sz="6" w:space="0" w:color="auto"/>
            </w:tcBorders>
            <w:hideMark/>
          </w:tcPr>
          <w:p w14:paraId="29F8FE1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ДМ-4 н/т.</w:t>
            </w:r>
          </w:p>
        </w:tc>
        <w:tc>
          <w:tcPr>
            <w:tcW w:w="709" w:type="dxa"/>
            <w:tcBorders>
              <w:top w:val="outset" w:sz="6" w:space="0" w:color="auto"/>
              <w:left w:val="outset" w:sz="6" w:space="0" w:color="auto"/>
              <w:bottom w:val="outset" w:sz="6" w:space="0" w:color="auto"/>
              <w:right w:val="outset" w:sz="6" w:space="0" w:color="auto"/>
            </w:tcBorders>
            <w:hideMark/>
          </w:tcPr>
          <w:p w14:paraId="503903C9"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65315C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C77526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850" w:type="dxa"/>
            <w:tcBorders>
              <w:top w:val="outset" w:sz="6" w:space="0" w:color="auto"/>
              <w:left w:val="outset" w:sz="6" w:space="0" w:color="auto"/>
              <w:bottom w:val="outset" w:sz="6" w:space="0" w:color="auto"/>
              <w:right w:val="outset" w:sz="6" w:space="0" w:color="auto"/>
            </w:tcBorders>
            <w:hideMark/>
          </w:tcPr>
          <w:p w14:paraId="78A019F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c>
          <w:tcPr>
            <w:tcW w:w="851" w:type="dxa"/>
            <w:tcBorders>
              <w:top w:val="outset" w:sz="6" w:space="0" w:color="auto"/>
              <w:left w:val="outset" w:sz="6" w:space="0" w:color="auto"/>
              <w:bottom w:val="outset" w:sz="6" w:space="0" w:color="auto"/>
              <w:right w:val="outset" w:sz="6" w:space="0" w:color="auto"/>
            </w:tcBorders>
            <w:hideMark/>
          </w:tcPr>
          <w:p w14:paraId="31112AE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tc>
      </w:tr>
      <w:tr w:rsidR="004D4663" w:rsidRPr="00070ADE" w14:paraId="576AE95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300B92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3128" w:type="dxa"/>
            <w:tcBorders>
              <w:top w:val="outset" w:sz="6" w:space="0" w:color="auto"/>
              <w:left w:val="outset" w:sz="6" w:space="0" w:color="auto"/>
              <w:bottom w:val="outset" w:sz="6" w:space="0" w:color="auto"/>
              <w:right w:val="outset" w:sz="6" w:space="0" w:color="auto"/>
            </w:tcBorders>
            <w:hideMark/>
          </w:tcPr>
          <w:p w14:paraId="6DCC0AF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Стериодальномер с базой 6 м без тумбы</w:t>
            </w:r>
          </w:p>
        </w:tc>
        <w:tc>
          <w:tcPr>
            <w:tcW w:w="898" w:type="dxa"/>
            <w:tcBorders>
              <w:top w:val="outset" w:sz="6" w:space="0" w:color="auto"/>
              <w:left w:val="outset" w:sz="6" w:space="0" w:color="auto"/>
              <w:bottom w:val="outset" w:sz="6" w:space="0" w:color="auto"/>
              <w:right w:val="outset" w:sz="6" w:space="0" w:color="auto"/>
            </w:tcBorders>
            <w:hideMark/>
          </w:tcPr>
          <w:p w14:paraId="47CDCB5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ДМ-6 б/т.</w:t>
            </w:r>
          </w:p>
        </w:tc>
        <w:tc>
          <w:tcPr>
            <w:tcW w:w="709" w:type="dxa"/>
            <w:tcBorders>
              <w:top w:val="outset" w:sz="6" w:space="0" w:color="auto"/>
              <w:left w:val="outset" w:sz="6" w:space="0" w:color="auto"/>
              <w:bottom w:val="outset" w:sz="6" w:space="0" w:color="auto"/>
              <w:right w:val="outset" w:sz="6" w:space="0" w:color="auto"/>
            </w:tcBorders>
            <w:hideMark/>
          </w:tcPr>
          <w:p w14:paraId="3CFDF31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75646FB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91E5A3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850" w:type="dxa"/>
            <w:tcBorders>
              <w:top w:val="outset" w:sz="6" w:space="0" w:color="auto"/>
              <w:left w:val="outset" w:sz="6" w:space="0" w:color="auto"/>
              <w:bottom w:val="outset" w:sz="6" w:space="0" w:color="auto"/>
              <w:right w:val="outset" w:sz="6" w:space="0" w:color="auto"/>
            </w:tcBorders>
            <w:hideMark/>
          </w:tcPr>
          <w:p w14:paraId="0C785D6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tc>
        <w:tc>
          <w:tcPr>
            <w:tcW w:w="851" w:type="dxa"/>
            <w:tcBorders>
              <w:top w:val="outset" w:sz="6" w:space="0" w:color="auto"/>
              <w:left w:val="outset" w:sz="6" w:space="0" w:color="auto"/>
              <w:bottom w:val="outset" w:sz="6" w:space="0" w:color="auto"/>
              <w:right w:val="outset" w:sz="6" w:space="0" w:color="auto"/>
            </w:tcBorders>
            <w:hideMark/>
          </w:tcPr>
          <w:p w14:paraId="00A5103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2325CB0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B876C2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3128" w:type="dxa"/>
            <w:tcBorders>
              <w:top w:val="outset" w:sz="6" w:space="0" w:color="auto"/>
              <w:left w:val="outset" w:sz="6" w:space="0" w:color="auto"/>
              <w:bottom w:val="outset" w:sz="6" w:space="0" w:color="auto"/>
              <w:right w:val="outset" w:sz="6" w:space="0" w:color="auto"/>
            </w:tcBorders>
            <w:hideMark/>
          </w:tcPr>
          <w:p w14:paraId="554CF18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Стериодальномер с базой 6 м на жесткой тумбе</w:t>
            </w:r>
          </w:p>
        </w:tc>
        <w:tc>
          <w:tcPr>
            <w:tcW w:w="898" w:type="dxa"/>
            <w:tcBorders>
              <w:top w:val="outset" w:sz="6" w:space="0" w:color="auto"/>
              <w:left w:val="outset" w:sz="6" w:space="0" w:color="auto"/>
              <w:bottom w:val="outset" w:sz="6" w:space="0" w:color="auto"/>
              <w:right w:val="outset" w:sz="6" w:space="0" w:color="auto"/>
            </w:tcBorders>
            <w:hideMark/>
          </w:tcPr>
          <w:p w14:paraId="03DAAE5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ДМ-6 н/т.</w:t>
            </w:r>
          </w:p>
        </w:tc>
        <w:tc>
          <w:tcPr>
            <w:tcW w:w="709" w:type="dxa"/>
            <w:tcBorders>
              <w:top w:val="outset" w:sz="6" w:space="0" w:color="auto"/>
              <w:left w:val="outset" w:sz="6" w:space="0" w:color="auto"/>
              <w:bottom w:val="outset" w:sz="6" w:space="0" w:color="auto"/>
              <w:right w:val="outset" w:sz="6" w:space="0" w:color="auto"/>
            </w:tcBorders>
            <w:hideMark/>
          </w:tcPr>
          <w:p w14:paraId="775E574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79482B2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0ACF6B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850" w:type="dxa"/>
            <w:tcBorders>
              <w:top w:val="outset" w:sz="6" w:space="0" w:color="auto"/>
              <w:left w:val="outset" w:sz="6" w:space="0" w:color="auto"/>
              <w:bottom w:val="outset" w:sz="6" w:space="0" w:color="auto"/>
              <w:right w:val="outset" w:sz="6" w:space="0" w:color="auto"/>
            </w:tcBorders>
            <w:hideMark/>
          </w:tcPr>
          <w:p w14:paraId="6682ED6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851" w:type="dxa"/>
            <w:tcBorders>
              <w:top w:val="outset" w:sz="6" w:space="0" w:color="auto"/>
              <w:left w:val="outset" w:sz="6" w:space="0" w:color="auto"/>
              <w:bottom w:val="outset" w:sz="6" w:space="0" w:color="auto"/>
              <w:right w:val="outset" w:sz="6" w:space="0" w:color="auto"/>
            </w:tcBorders>
            <w:hideMark/>
          </w:tcPr>
          <w:p w14:paraId="47DA777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r>
      <w:tr w:rsidR="004D4663" w:rsidRPr="00070ADE" w14:paraId="768262F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BEB7BC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tc>
        <w:tc>
          <w:tcPr>
            <w:tcW w:w="3128" w:type="dxa"/>
            <w:tcBorders>
              <w:top w:val="outset" w:sz="6" w:space="0" w:color="auto"/>
              <w:left w:val="outset" w:sz="6" w:space="0" w:color="auto"/>
              <w:bottom w:val="outset" w:sz="6" w:space="0" w:color="auto"/>
              <w:right w:val="outset" w:sz="6" w:space="0" w:color="auto"/>
            </w:tcBorders>
            <w:hideMark/>
          </w:tcPr>
          <w:p w14:paraId="13F7604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Стериодальномер с базой 8 м без тумбы</w:t>
            </w:r>
          </w:p>
        </w:tc>
        <w:tc>
          <w:tcPr>
            <w:tcW w:w="898" w:type="dxa"/>
            <w:tcBorders>
              <w:top w:val="outset" w:sz="6" w:space="0" w:color="auto"/>
              <w:left w:val="outset" w:sz="6" w:space="0" w:color="auto"/>
              <w:bottom w:val="outset" w:sz="6" w:space="0" w:color="auto"/>
              <w:right w:val="outset" w:sz="6" w:space="0" w:color="auto"/>
            </w:tcBorders>
            <w:hideMark/>
          </w:tcPr>
          <w:p w14:paraId="14352A1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ДМ-8 б/т.</w:t>
            </w:r>
          </w:p>
        </w:tc>
        <w:tc>
          <w:tcPr>
            <w:tcW w:w="709" w:type="dxa"/>
            <w:tcBorders>
              <w:top w:val="outset" w:sz="6" w:space="0" w:color="auto"/>
              <w:left w:val="outset" w:sz="6" w:space="0" w:color="auto"/>
              <w:bottom w:val="outset" w:sz="6" w:space="0" w:color="auto"/>
              <w:right w:val="outset" w:sz="6" w:space="0" w:color="auto"/>
            </w:tcBorders>
            <w:hideMark/>
          </w:tcPr>
          <w:p w14:paraId="569C3A8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27D164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3CD144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850" w:type="dxa"/>
            <w:tcBorders>
              <w:top w:val="outset" w:sz="6" w:space="0" w:color="auto"/>
              <w:left w:val="outset" w:sz="6" w:space="0" w:color="auto"/>
              <w:bottom w:val="outset" w:sz="6" w:space="0" w:color="auto"/>
              <w:right w:val="outset" w:sz="6" w:space="0" w:color="auto"/>
            </w:tcBorders>
            <w:hideMark/>
          </w:tcPr>
          <w:p w14:paraId="7D8F201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851" w:type="dxa"/>
            <w:tcBorders>
              <w:top w:val="outset" w:sz="6" w:space="0" w:color="auto"/>
              <w:left w:val="outset" w:sz="6" w:space="0" w:color="auto"/>
              <w:bottom w:val="outset" w:sz="6" w:space="0" w:color="auto"/>
              <w:right w:val="outset" w:sz="6" w:space="0" w:color="auto"/>
            </w:tcBorders>
            <w:hideMark/>
          </w:tcPr>
          <w:p w14:paraId="76CECC59"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6F0258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31ADE6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tc>
        <w:tc>
          <w:tcPr>
            <w:tcW w:w="3128" w:type="dxa"/>
            <w:tcBorders>
              <w:top w:val="outset" w:sz="6" w:space="0" w:color="auto"/>
              <w:left w:val="outset" w:sz="6" w:space="0" w:color="auto"/>
              <w:bottom w:val="outset" w:sz="6" w:space="0" w:color="auto"/>
              <w:right w:val="outset" w:sz="6" w:space="0" w:color="auto"/>
            </w:tcBorders>
            <w:hideMark/>
          </w:tcPr>
          <w:p w14:paraId="38D3762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Антивибрационные подцапфенники</w:t>
            </w:r>
          </w:p>
        </w:tc>
        <w:tc>
          <w:tcPr>
            <w:tcW w:w="898" w:type="dxa"/>
            <w:tcBorders>
              <w:top w:val="outset" w:sz="6" w:space="0" w:color="auto"/>
              <w:left w:val="outset" w:sz="6" w:space="0" w:color="auto"/>
              <w:bottom w:val="outset" w:sz="6" w:space="0" w:color="auto"/>
              <w:right w:val="outset" w:sz="6" w:space="0" w:color="auto"/>
            </w:tcBorders>
            <w:hideMark/>
          </w:tcPr>
          <w:p w14:paraId="23679FD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АПБ-20-12</w:t>
            </w:r>
          </w:p>
        </w:tc>
        <w:tc>
          <w:tcPr>
            <w:tcW w:w="709" w:type="dxa"/>
            <w:tcBorders>
              <w:top w:val="outset" w:sz="6" w:space="0" w:color="auto"/>
              <w:left w:val="outset" w:sz="6" w:space="0" w:color="auto"/>
              <w:bottom w:val="outset" w:sz="6" w:space="0" w:color="auto"/>
              <w:right w:val="outset" w:sz="6" w:space="0" w:color="auto"/>
            </w:tcBorders>
            <w:hideMark/>
          </w:tcPr>
          <w:p w14:paraId="596CC3E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CA3DD2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5687E3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850" w:type="dxa"/>
            <w:tcBorders>
              <w:top w:val="outset" w:sz="6" w:space="0" w:color="auto"/>
              <w:left w:val="outset" w:sz="6" w:space="0" w:color="auto"/>
              <w:bottom w:val="outset" w:sz="6" w:space="0" w:color="auto"/>
              <w:right w:val="outset" w:sz="6" w:space="0" w:color="auto"/>
            </w:tcBorders>
            <w:hideMark/>
          </w:tcPr>
          <w:p w14:paraId="44BE8AF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851" w:type="dxa"/>
            <w:tcBorders>
              <w:top w:val="outset" w:sz="6" w:space="0" w:color="auto"/>
              <w:left w:val="outset" w:sz="6" w:space="0" w:color="auto"/>
              <w:bottom w:val="outset" w:sz="6" w:space="0" w:color="auto"/>
              <w:right w:val="outset" w:sz="6" w:space="0" w:color="auto"/>
            </w:tcBorders>
            <w:hideMark/>
          </w:tcPr>
          <w:p w14:paraId="5CE5621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FE767DF"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5DD8A5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w:t>
            </w:r>
          </w:p>
        </w:tc>
        <w:tc>
          <w:tcPr>
            <w:tcW w:w="3128" w:type="dxa"/>
            <w:tcBorders>
              <w:top w:val="outset" w:sz="6" w:space="0" w:color="auto"/>
              <w:left w:val="outset" w:sz="6" w:space="0" w:color="auto"/>
              <w:bottom w:val="outset" w:sz="6" w:space="0" w:color="auto"/>
              <w:right w:val="outset" w:sz="6" w:space="0" w:color="auto"/>
            </w:tcBorders>
            <w:hideMark/>
          </w:tcPr>
          <w:p w14:paraId="3F10BF3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Перископ атаки командирский</w:t>
            </w:r>
          </w:p>
        </w:tc>
        <w:tc>
          <w:tcPr>
            <w:tcW w:w="898" w:type="dxa"/>
            <w:tcBorders>
              <w:top w:val="outset" w:sz="6" w:space="0" w:color="auto"/>
              <w:left w:val="outset" w:sz="6" w:space="0" w:color="auto"/>
              <w:bottom w:val="outset" w:sz="6" w:space="0" w:color="auto"/>
              <w:right w:val="outset" w:sz="6" w:space="0" w:color="auto"/>
            </w:tcBorders>
            <w:hideMark/>
          </w:tcPr>
          <w:p w14:paraId="0085514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ПА-7,5</w:t>
            </w:r>
          </w:p>
        </w:tc>
        <w:tc>
          <w:tcPr>
            <w:tcW w:w="709" w:type="dxa"/>
            <w:tcBorders>
              <w:top w:val="outset" w:sz="6" w:space="0" w:color="auto"/>
              <w:left w:val="outset" w:sz="6" w:space="0" w:color="auto"/>
              <w:bottom w:val="outset" w:sz="6" w:space="0" w:color="auto"/>
              <w:right w:val="outset" w:sz="6" w:space="0" w:color="auto"/>
            </w:tcBorders>
            <w:hideMark/>
          </w:tcPr>
          <w:p w14:paraId="158B69D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067D8D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851" w:type="dxa"/>
            <w:tcBorders>
              <w:top w:val="outset" w:sz="6" w:space="0" w:color="auto"/>
              <w:left w:val="outset" w:sz="6" w:space="0" w:color="auto"/>
              <w:bottom w:val="outset" w:sz="6" w:space="0" w:color="auto"/>
              <w:right w:val="outset" w:sz="6" w:space="0" w:color="auto"/>
            </w:tcBorders>
            <w:hideMark/>
          </w:tcPr>
          <w:p w14:paraId="4AF6618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850" w:type="dxa"/>
            <w:tcBorders>
              <w:top w:val="outset" w:sz="6" w:space="0" w:color="auto"/>
              <w:left w:val="outset" w:sz="6" w:space="0" w:color="auto"/>
              <w:bottom w:val="outset" w:sz="6" w:space="0" w:color="auto"/>
              <w:right w:val="outset" w:sz="6" w:space="0" w:color="auto"/>
            </w:tcBorders>
            <w:hideMark/>
          </w:tcPr>
          <w:p w14:paraId="6908105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851" w:type="dxa"/>
            <w:tcBorders>
              <w:top w:val="outset" w:sz="6" w:space="0" w:color="auto"/>
              <w:left w:val="outset" w:sz="6" w:space="0" w:color="auto"/>
              <w:bottom w:val="outset" w:sz="6" w:space="0" w:color="auto"/>
              <w:right w:val="outset" w:sz="6" w:space="0" w:color="auto"/>
            </w:tcBorders>
            <w:hideMark/>
          </w:tcPr>
          <w:p w14:paraId="75685DE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r>
      <w:tr w:rsidR="004D4663" w:rsidRPr="00070ADE" w14:paraId="72DDF983"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B88A0B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c>
          <w:tcPr>
            <w:tcW w:w="3128" w:type="dxa"/>
            <w:tcBorders>
              <w:top w:val="outset" w:sz="6" w:space="0" w:color="auto"/>
              <w:left w:val="outset" w:sz="6" w:space="0" w:color="auto"/>
              <w:bottom w:val="outset" w:sz="6" w:space="0" w:color="auto"/>
              <w:right w:val="outset" w:sz="6" w:space="0" w:color="auto"/>
            </w:tcBorders>
            <w:hideMark/>
          </w:tcPr>
          <w:p w14:paraId="338A69F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Перископ атаки командирский</w:t>
            </w:r>
          </w:p>
        </w:tc>
        <w:tc>
          <w:tcPr>
            <w:tcW w:w="898" w:type="dxa"/>
            <w:tcBorders>
              <w:top w:val="outset" w:sz="6" w:space="0" w:color="auto"/>
              <w:left w:val="outset" w:sz="6" w:space="0" w:color="auto"/>
              <w:bottom w:val="outset" w:sz="6" w:space="0" w:color="auto"/>
              <w:right w:val="outset" w:sz="6" w:space="0" w:color="auto"/>
            </w:tcBorders>
            <w:hideMark/>
          </w:tcPr>
          <w:p w14:paraId="6011031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ПА-8,5</w:t>
            </w:r>
          </w:p>
        </w:tc>
        <w:tc>
          <w:tcPr>
            <w:tcW w:w="709" w:type="dxa"/>
            <w:tcBorders>
              <w:top w:val="outset" w:sz="6" w:space="0" w:color="auto"/>
              <w:left w:val="outset" w:sz="6" w:space="0" w:color="auto"/>
              <w:bottom w:val="outset" w:sz="6" w:space="0" w:color="auto"/>
              <w:right w:val="outset" w:sz="6" w:space="0" w:color="auto"/>
            </w:tcBorders>
            <w:hideMark/>
          </w:tcPr>
          <w:p w14:paraId="07B1B1E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702A52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851" w:type="dxa"/>
            <w:tcBorders>
              <w:top w:val="outset" w:sz="6" w:space="0" w:color="auto"/>
              <w:left w:val="outset" w:sz="6" w:space="0" w:color="auto"/>
              <w:bottom w:val="outset" w:sz="6" w:space="0" w:color="auto"/>
              <w:right w:val="outset" w:sz="6" w:space="0" w:color="auto"/>
            </w:tcBorders>
            <w:hideMark/>
          </w:tcPr>
          <w:p w14:paraId="4B860EB9"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tc>
        <w:tc>
          <w:tcPr>
            <w:tcW w:w="850" w:type="dxa"/>
            <w:tcBorders>
              <w:top w:val="outset" w:sz="6" w:space="0" w:color="auto"/>
              <w:left w:val="outset" w:sz="6" w:space="0" w:color="auto"/>
              <w:bottom w:val="outset" w:sz="6" w:space="0" w:color="auto"/>
              <w:right w:val="outset" w:sz="6" w:space="0" w:color="auto"/>
            </w:tcBorders>
            <w:hideMark/>
          </w:tcPr>
          <w:p w14:paraId="70EFB55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851" w:type="dxa"/>
            <w:tcBorders>
              <w:top w:val="outset" w:sz="6" w:space="0" w:color="auto"/>
              <w:left w:val="outset" w:sz="6" w:space="0" w:color="auto"/>
              <w:bottom w:val="outset" w:sz="6" w:space="0" w:color="auto"/>
              <w:right w:val="outset" w:sz="6" w:space="0" w:color="auto"/>
            </w:tcBorders>
            <w:hideMark/>
          </w:tcPr>
          <w:p w14:paraId="370C6DD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r>
      <w:tr w:rsidR="004D4663" w:rsidRPr="00070ADE" w14:paraId="4F3970F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8BA09D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tc>
        <w:tc>
          <w:tcPr>
            <w:tcW w:w="3128" w:type="dxa"/>
            <w:tcBorders>
              <w:top w:val="outset" w:sz="6" w:space="0" w:color="auto"/>
              <w:left w:val="outset" w:sz="6" w:space="0" w:color="auto"/>
              <w:bottom w:val="outset" w:sz="6" w:space="0" w:color="auto"/>
              <w:right w:val="outset" w:sz="6" w:space="0" w:color="auto"/>
            </w:tcBorders>
            <w:hideMark/>
          </w:tcPr>
          <w:p w14:paraId="2417F1F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Перископ атаки командирский</w:t>
            </w:r>
          </w:p>
        </w:tc>
        <w:tc>
          <w:tcPr>
            <w:tcW w:w="898" w:type="dxa"/>
            <w:tcBorders>
              <w:top w:val="outset" w:sz="6" w:space="0" w:color="auto"/>
              <w:left w:val="outset" w:sz="6" w:space="0" w:color="auto"/>
              <w:bottom w:val="outset" w:sz="6" w:space="0" w:color="auto"/>
              <w:right w:val="outset" w:sz="6" w:space="0" w:color="auto"/>
            </w:tcBorders>
            <w:hideMark/>
          </w:tcPr>
          <w:p w14:paraId="45A981E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ПА-9,0</w:t>
            </w:r>
          </w:p>
        </w:tc>
        <w:tc>
          <w:tcPr>
            <w:tcW w:w="709" w:type="dxa"/>
            <w:tcBorders>
              <w:top w:val="outset" w:sz="6" w:space="0" w:color="auto"/>
              <w:left w:val="outset" w:sz="6" w:space="0" w:color="auto"/>
              <w:bottom w:val="outset" w:sz="6" w:space="0" w:color="auto"/>
              <w:right w:val="outset" w:sz="6" w:space="0" w:color="auto"/>
            </w:tcBorders>
            <w:hideMark/>
          </w:tcPr>
          <w:p w14:paraId="12E9E64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233AD0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tc>
        <w:tc>
          <w:tcPr>
            <w:tcW w:w="851" w:type="dxa"/>
            <w:tcBorders>
              <w:top w:val="outset" w:sz="6" w:space="0" w:color="auto"/>
              <w:left w:val="outset" w:sz="6" w:space="0" w:color="auto"/>
              <w:bottom w:val="outset" w:sz="6" w:space="0" w:color="auto"/>
              <w:right w:val="outset" w:sz="6" w:space="0" w:color="auto"/>
            </w:tcBorders>
            <w:hideMark/>
          </w:tcPr>
          <w:p w14:paraId="03809AD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tc>
        <w:tc>
          <w:tcPr>
            <w:tcW w:w="850" w:type="dxa"/>
            <w:tcBorders>
              <w:top w:val="outset" w:sz="6" w:space="0" w:color="auto"/>
              <w:left w:val="outset" w:sz="6" w:space="0" w:color="auto"/>
              <w:bottom w:val="outset" w:sz="6" w:space="0" w:color="auto"/>
              <w:right w:val="outset" w:sz="6" w:space="0" w:color="auto"/>
            </w:tcBorders>
            <w:hideMark/>
          </w:tcPr>
          <w:p w14:paraId="77C1DD29"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34E55A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hyperlink r:id="rId134" w:anchor="_ftn1" w:history="1">
              <w:r w:rsidRPr="00070ADE">
                <w:rPr>
                  <w:rFonts w:ascii="Times New Roman" w:hAnsi="Times New Roman"/>
                  <w:color w:val="000000" w:themeColor="text1"/>
                  <w:sz w:val="16"/>
                  <w:szCs w:val="16"/>
                </w:rPr>
                <w:t>[1]</w:t>
              </w:r>
            </w:hyperlink>
          </w:p>
        </w:tc>
      </w:tr>
      <w:tr w:rsidR="004D4663" w:rsidRPr="00070ADE" w14:paraId="074179F0"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9B07B0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w:t>
            </w:r>
          </w:p>
        </w:tc>
        <w:tc>
          <w:tcPr>
            <w:tcW w:w="3128" w:type="dxa"/>
            <w:tcBorders>
              <w:top w:val="outset" w:sz="6" w:space="0" w:color="auto"/>
              <w:left w:val="outset" w:sz="6" w:space="0" w:color="auto"/>
              <w:bottom w:val="outset" w:sz="6" w:space="0" w:color="auto"/>
              <w:right w:val="outset" w:sz="6" w:space="0" w:color="auto"/>
            </w:tcBorders>
            <w:hideMark/>
          </w:tcPr>
          <w:p w14:paraId="326C31E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Перископ зенитный</w:t>
            </w:r>
          </w:p>
        </w:tc>
        <w:tc>
          <w:tcPr>
            <w:tcW w:w="898" w:type="dxa"/>
            <w:tcBorders>
              <w:top w:val="outset" w:sz="6" w:space="0" w:color="auto"/>
              <w:left w:val="outset" w:sz="6" w:space="0" w:color="auto"/>
              <w:bottom w:val="outset" w:sz="6" w:space="0" w:color="auto"/>
              <w:right w:val="outset" w:sz="6" w:space="0" w:color="auto"/>
            </w:tcBorders>
            <w:hideMark/>
          </w:tcPr>
          <w:p w14:paraId="7BC24E0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ПЗ-7,0</w:t>
            </w:r>
          </w:p>
        </w:tc>
        <w:tc>
          <w:tcPr>
            <w:tcW w:w="709" w:type="dxa"/>
            <w:tcBorders>
              <w:top w:val="outset" w:sz="6" w:space="0" w:color="auto"/>
              <w:left w:val="outset" w:sz="6" w:space="0" w:color="auto"/>
              <w:bottom w:val="outset" w:sz="6" w:space="0" w:color="auto"/>
              <w:right w:val="outset" w:sz="6" w:space="0" w:color="auto"/>
            </w:tcBorders>
            <w:hideMark/>
          </w:tcPr>
          <w:p w14:paraId="6837E20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2E6A95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851" w:type="dxa"/>
            <w:tcBorders>
              <w:top w:val="outset" w:sz="6" w:space="0" w:color="auto"/>
              <w:left w:val="outset" w:sz="6" w:space="0" w:color="auto"/>
              <w:bottom w:val="outset" w:sz="6" w:space="0" w:color="auto"/>
              <w:right w:val="outset" w:sz="6" w:space="0" w:color="auto"/>
            </w:tcBorders>
            <w:hideMark/>
          </w:tcPr>
          <w:p w14:paraId="25FA578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850" w:type="dxa"/>
            <w:tcBorders>
              <w:top w:val="outset" w:sz="6" w:space="0" w:color="auto"/>
              <w:left w:val="outset" w:sz="6" w:space="0" w:color="auto"/>
              <w:bottom w:val="outset" w:sz="6" w:space="0" w:color="auto"/>
              <w:right w:val="outset" w:sz="6" w:space="0" w:color="auto"/>
            </w:tcBorders>
            <w:hideMark/>
          </w:tcPr>
          <w:p w14:paraId="0FFD8ED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w:t>
            </w:r>
          </w:p>
        </w:tc>
        <w:tc>
          <w:tcPr>
            <w:tcW w:w="851" w:type="dxa"/>
            <w:tcBorders>
              <w:top w:val="outset" w:sz="6" w:space="0" w:color="auto"/>
              <w:left w:val="outset" w:sz="6" w:space="0" w:color="auto"/>
              <w:bottom w:val="outset" w:sz="6" w:space="0" w:color="auto"/>
              <w:right w:val="outset" w:sz="6" w:space="0" w:color="auto"/>
            </w:tcBorders>
            <w:hideMark/>
          </w:tcPr>
          <w:p w14:paraId="0D5EC1E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2704D53B"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5EF967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w:t>
            </w:r>
          </w:p>
        </w:tc>
        <w:tc>
          <w:tcPr>
            <w:tcW w:w="3128" w:type="dxa"/>
            <w:tcBorders>
              <w:top w:val="outset" w:sz="6" w:space="0" w:color="auto"/>
              <w:left w:val="outset" w:sz="6" w:space="0" w:color="auto"/>
              <w:bottom w:val="outset" w:sz="6" w:space="0" w:color="auto"/>
              <w:right w:val="outset" w:sz="6" w:space="0" w:color="auto"/>
            </w:tcBorders>
            <w:hideMark/>
          </w:tcPr>
          <w:p w14:paraId="036B7E5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Перископ зенитный</w:t>
            </w:r>
          </w:p>
        </w:tc>
        <w:tc>
          <w:tcPr>
            <w:tcW w:w="898" w:type="dxa"/>
            <w:tcBorders>
              <w:top w:val="outset" w:sz="6" w:space="0" w:color="auto"/>
              <w:left w:val="outset" w:sz="6" w:space="0" w:color="auto"/>
              <w:bottom w:val="outset" w:sz="6" w:space="0" w:color="auto"/>
              <w:right w:val="outset" w:sz="6" w:space="0" w:color="auto"/>
            </w:tcBorders>
            <w:hideMark/>
          </w:tcPr>
          <w:p w14:paraId="4DDA8AE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ПЗ-7,5</w:t>
            </w:r>
          </w:p>
        </w:tc>
        <w:tc>
          <w:tcPr>
            <w:tcW w:w="709" w:type="dxa"/>
            <w:tcBorders>
              <w:top w:val="outset" w:sz="6" w:space="0" w:color="auto"/>
              <w:left w:val="outset" w:sz="6" w:space="0" w:color="auto"/>
              <w:bottom w:val="outset" w:sz="6" w:space="0" w:color="auto"/>
              <w:right w:val="outset" w:sz="6" w:space="0" w:color="auto"/>
            </w:tcBorders>
            <w:hideMark/>
          </w:tcPr>
          <w:p w14:paraId="540E80D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B71FDF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F29C81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850" w:type="dxa"/>
            <w:tcBorders>
              <w:top w:val="outset" w:sz="6" w:space="0" w:color="auto"/>
              <w:left w:val="outset" w:sz="6" w:space="0" w:color="auto"/>
              <w:bottom w:val="outset" w:sz="6" w:space="0" w:color="auto"/>
              <w:right w:val="outset" w:sz="6" w:space="0" w:color="auto"/>
            </w:tcBorders>
            <w:hideMark/>
          </w:tcPr>
          <w:p w14:paraId="30EE443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851" w:type="dxa"/>
            <w:tcBorders>
              <w:top w:val="outset" w:sz="6" w:space="0" w:color="auto"/>
              <w:left w:val="outset" w:sz="6" w:space="0" w:color="auto"/>
              <w:bottom w:val="outset" w:sz="6" w:space="0" w:color="auto"/>
              <w:right w:val="outset" w:sz="6" w:space="0" w:color="auto"/>
            </w:tcBorders>
            <w:hideMark/>
          </w:tcPr>
          <w:p w14:paraId="3FBBE9C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r>
      <w:tr w:rsidR="004D4663" w:rsidRPr="00070ADE" w14:paraId="260D4C6E"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F75130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w:t>
            </w:r>
          </w:p>
        </w:tc>
        <w:tc>
          <w:tcPr>
            <w:tcW w:w="3128" w:type="dxa"/>
            <w:tcBorders>
              <w:top w:val="outset" w:sz="6" w:space="0" w:color="auto"/>
              <w:left w:val="outset" w:sz="6" w:space="0" w:color="auto"/>
              <w:bottom w:val="outset" w:sz="6" w:space="0" w:color="auto"/>
              <w:right w:val="outset" w:sz="6" w:space="0" w:color="auto"/>
            </w:tcBorders>
            <w:hideMark/>
          </w:tcPr>
          <w:p w14:paraId="496797C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Перископ зенитный</w:t>
            </w:r>
          </w:p>
        </w:tc>
        <w:tc>
          <w:tcPr>
            <w:tcW w:w="898" w:type="dxa"/>
            <w:tcBorders>
              <w:top w:val="outset" w:sz="6" w:space="0" w:color="auto"/>
              <w:left w:val="outset" w:sz="6" w:space="0" w:color="auto"/>
              <w:bottom w:val="outset" w:sz="6" w:space="0" w:color="auto"/>
              <w:right w:val="outset" w:sz="6" w:space="0" w:color="auto"/>
            </w:tcBorders>
            <w:hideMark/>
          </w:tcPr>
          <w:p w14:paraId="2637B6B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ПЗ-8,5</w:t>
            </w:r>
          </w:p>
        </w:tc>
        <w:tc>
          <w:tcPr>
            <w:tcW w:w="709" w:type="dxa"/>
            <w:tcBorders>
              <w:top w:val="outset" w:sz="6" w:space="0" w:color="auto"/>
              <w:left w:val="outset" w:sz="6" w:space="0" w:color="auto"/>
              <w:bottom w:val="outset" w:sz="6" w:space="0" w:color="auto"/>
              <w:right w:val="outset" w:sz="6" w:space="0" w:color="auto"/>
            </w:tcBorders>
            <w:hideMark/>
          </w:tcPr>
          <w:p w14:paraId="426A68F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74ACD8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851" w:type="dxa"/>
            <w:tcBorders>
              <w:top w:val="outset" w:sz="6" w:space="0" w:color="auto"/>
              <w:left w:val="outset" w:sz="6" w:space="0" w:color="auto"/>
              <w:bottom w:val="outset" w:sz="6" w:space="0" w:color="auto"/>
              <w:right w:val="outset" w:sz="6" w:space="0" w:color="auto"/>
            </w:tcBorders>
            <w:hideMark/>
          </w:tcPr>
          <w:p w14:paraId="5BBBE4D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850" w:type="dxa"/>
            <w:tcBorders>
              <w:top w:val="outset" w:sz="6" w:space="0" w:color="auto"/>
              <w:left w:val="outset" w:sz="6" w:space="0" w:color="auto"/>
              <w:bottom w:val="outset" w:sz="6" w:space="0" w:color="auto"/>
              <w:right w:val="outset" w:sz="6" w:space="0" w:color="auto"/>
            </w:tcBorders>
            <w:hideMark/>
          </w:tcPr>
          <w:p w14:paraId="524832A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851" w:type="dxa"/>
            <w:tcBorders>
              <w:top w:val="outset" w:sz="6" w:space="0" w:color="auto"/>
              <w:left w:val="outset" w:sz="6" w:space="0" w:color="auto"/>
              <w:bottom w:val="outset" w:sz="6" w:space="0" w:color="auto"/>
              <w:right w:val="outset" w:sz="6" w:space="0" w:color="auto"/>
            </w:tcBorders>
            <w:hideMark/>
          </w:tcPr>
          <w:p w14:paraId="36CB086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r>
      <w:tr w:rsidR="004D4663" w:rsidRPr="00070ADE" w14:paraId="29803E00"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739CD9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3128" w:type="dxa"/>
            <w:tcBorders>
              <w:top w:val="outset" w:sz="6" w:space="0" w:color="auto"/>
              <w:left w:val="outset" w:sz="6" w:space="0" w:color="auto"/>
              <w:bottom w:val="outset" w:sz="6" w:space="0" w:color="auto"/>
              <w:right w:val="outset" w:sz="6" w:space="0" w:color="auto"/>
            </w:tcBorders>
            <w:hideMark/>
          </w:tcPr>
          <w:p w14:paraId="2F91B59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Перископ зенитный</w:t>
            </w:r>
          </w:p>
        </w:tc>
        <w:tc>
          <w:tcPr>
            <w:tcW w:w="898" w:type="dxa"/>
            <w:tcBorders>
              <w:top w:val="outset" w:sz="6" w:space="0" w:color="auto"/>
              <w:left w:val="outset" w:sz="6" w:space="0" w:color="auto"/>
              <w:bottom w:val="outset" w:sz="6" w:space="0" w:color="auto"/>
              <w:right w:val="outset" w:sz="6" w:space="0" w:color="auto"/>
            </w:tcBorders>
            <w:hideMark/>
          </w:tcPr>
          <w:p w14:paraId="03F0F6A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ПЗ-9,0</w:t>
            </w:r>
          </w:p>
        </w:tc>
        <w:tc>
          <w:tcPr>
            <w:tcW w:w="709" w:type="dxa"/>
            <w:tcBorders>
              <w:top w:val="outset" w:sz="6" w:space="0" w:color="auto"/>
              <w:left w:val="outset" w:sz="6" w:space="0" w:color="auto"/>
              <w:bottom w:val="outset" w:sz="6" w:space="0" w:color="auto"/>
              <w:right w:val="outset" w:sz="6" w:space="0" w:color="auto"/>
            </w:tcBorders>
            <w:hideMark/>
          </w:tcPr>
          <w:p w14:paraId="4E32CAA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D95DAD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851" w:type="dxa"/>
            <w:tcBorders>
              <w:top w:val="outset" w:sz="6" w:space="0" w:color="auto"/>
              <w:left w:val="outset" w:sz="6" w:space="0" w:color="auto"/>
              <w:bottom w:val="outset" w:sz="6" w:space="0" w:color="auto"/>
              <w:right w:val="outset" w:sz="6" w:space="0" w:color="auto"/>
            </w:tcBorders>
            <w:hideMark/>
          </w:tcPr>
          <w:p w14:paraId="48F91FF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850" w:type="dxa"/>
            <w:tcBorders>
              <w:top w:val="outset" w:sz="6" w:space="0" w:color="auto"/>
              <w:left w:val="outset" w:sz="6" w:space="0" w:color="auto"/>
              <w:bottom w:val="outset" w:sz="6" w:space="0" w:color="auto"/>
              <w:right w:val="outset" w:sz="6" w:space="0" w:color="auto"/>
            </w:tcBorders>
            <w:hideMark/>
          </w:tcPr>
          <w:p w14:paraId="184CAAA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851" w:type="dxa"/>
            <w:tcBorders>
              <w:top w:val="outset" w:sz="6" w:space="0" w:color="auto"/>
              <w:left w:val="outset" w:sz="6" w:space="0" w:color="auto"/>
              <w:bottom w:val="outset" w:sz="6" w:space="0" w:color="auto"/>
              <w:right w:val="outset" w:sz="6" w:space="0" w:color="auto"/>
            </w:tcBorders>
            <w:hideMark/>
          </w:tcPr>
          <w:p w14:paraId="503C045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77E6A2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7D7542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21.</w:t>
            </w:r>
          </w:p>
        </w:tc>
        <w:tc>
          <w:tcPr>
            <w:tcW w:w="3128" w:type="dxa"/>
            <w:tcBorders>
              <w:top w:val="outset" w:sz="6" w:space="0" w:color="auto"/>
              <w:left w:val="outset" w:sz="6" w:space="0" w:color="auto"/>
              <w:bottom w:val="outset" w:sz="6" w:space="0" w:color="auto"/>
              <w:right w:val="outset" w:sz="6" w:space="0" w:color="auto"/>
            </w:tcBorders>
            <w:hideMark/>
          </w:tcPr>
          <w:p w14:paraId="5AC420F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Фотокамера для перископа</w:t>
            </w:r>
          </w:p>
        </w:tc>
        <w:tc>
          <w:tcPr>
            <w:tcW w:w="898" w:type="dxa"/>
            <w:tcBorders>
              <w:top w:val="outset" w:sz="6" w:space="0" w:color="auto"/>
              <w:left w:val="outset" w:sz="6" w:space="0" w:color="auto"/>
              <w:bottom w:val="outset" w:sz="6" w:space="0" w:color="auto"/>
              <w:right w:val="outset" w:sz="6" w:space="0" w:color="auto"/>
            </w:tcBorders>
            <w:hideMark/>
          </w:tcPr>
          <w:p w14:paraId="313100B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ФН-201</w:t>
            </w:r>
          </w:p>
        </w:tc>
        <w:tc>
          <w:tcPr>
            <w:tcW w:w="709" w:type="dxa"/>
            <w:tcBorders>
              <w:top w:val="outset" w:sz="6" w:space="0" w:color="auto"/>
              <w:left w:val="outset" w:sz="6" w:space="0" w:color="auto"/>
              <w:bottom w:val="outset" w:sz="6" w:space="0" w:color="auto"/>
              <w:right w:val="outset" w:sz="6" w:space="0" w:color="auto"/>
            </w:tcBorders>
            <w:hideMark/>
          </w:tcPr>
          <w:p w14:paraId="3FF6332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6315D0A9"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w:t>
            </w:r>
          </w:p>
        </w:tc>
        <w:tc>
          <w:tcPr>
            <w:tcW w:w="851" w:type="dxa"/>
            <w:tcBorders>
              <w:top w:val="outset" w:sz="6" w:space="0" w:color="auto"/>
              <w:left w:val="outset" w:sz="6" w:space="0" w:color="auto"/>
              <w:bottom w:val="outset" w:sz="6" w:space="0" w:color="auto"/>
              <w:right w:val="outset" w:sz="6" w:space="0" w:color="auto"/>
            </w:tcBorders>
            <w:hideMark/>
          </w:tcPr>
          <w:p w14:paraId="56F2CDA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w:t>
            </w:r>
          </w:p>
        </w:tc>
        <w:tc>
          <w:tcPr>
            <w:tcW w:w="850" w:type="dxa"/>
            <w:tcBorders>
              <w:top w:val="outset" w:sz="6" w:space="0" w:color="auto"/>
              <w:left w:val="outset" w:sz="6" w:space="0" w:color="auto"/>
              <w:bottom w:val="outset" w:sz="6" w:space="0" w:color="auto"/>
              <w:right w:val="outset" w:sz="6" w:space="0" w:color="auto"/>
            </w:tcBorders>
            <w:hideMark/>
          </w:tcPr>
          <w:p w14:paraId="3BC7FC2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w:t>
            </w:r>
          </w:p>
        </w:tc>
        <w:tc>
          <w:tcPr>
            <w:tcW w:w="851" w:type="dxa"/>
            <w:tcBorders>
              <w:top w:val="outset" w:sz="6" w:space="0" w:color="auto"/>
              <w:left w:val="outset" w:sz="6" w:space="0" w:color="auto"/>
              <w:bottom w:val="outset" w:sz="6" w:space="0" w:color="auto"/>
              <w:right w:val="outset" w:sz="6" w:space="0" w:color="auto"/>
            </w:tcBorders>
            <w:hideMark/>
          </w:tcPr>
          <w:p w14:paraId="0221030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w:t>
            </w:r>
          </w:p>
        </w:tc>
      </w:tr>
      <w:tr w:rsidR="004D4663" w:rsidRPr="00070ADE" w14:paraId="0A435F38"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7BC2E7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w:t>
            </w:r>
          </w:p>
        </w:tc>
        <w:tc>
          <w:tcPr>
            <w:tcW w:w="3128" w:type="dxa"/>
            <w:tcBorders>
              <w:top w:val="outset" w:sz="6" w:space="0" w:color="auto"/>
              <w:left w:val="outset" w:sz="6" w:space="0" w:color="auto"/>
              <w:bottom w:val="outset" w:sz="6" w:space="0" w:color="auto"/>
              <w:right w:val="outset" w:sz="6" w:space="0" w:color="auto"/>
            </w:tcBorders>
            <w:hideMark/>
          </w:tcPr>
          <w:p w14:paraId="6950891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Визир центральной наводки</w:t>
            </w:r>
          </w:p>
        </w:tc>
        <w:tc>
          <w:tcPr>
            <w:tcW w:w="898" w:type="dxa"/>
            <w:tcBorders>
              <w:top w:val="outset" w:sz="6" w:space="0" w:color="auto"/>
              <w:left w:val="outset" w:sz="6" w:space="0" w:color="auto"/>
              <w:bottom w:val="outset" w:sz="6" w:space="0" w:color="auto"/>
              <w:right w:val="outset" w:sz="6" w:space="0" w:color="auto"/>
            </w:tcBorders>
            <w:hideMark/>
          </w:tcPr>
          <w:p w14:paraId="51A71D3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ВМЦ-2</w:t>
            </w:r>
          </w:p>
        </w:tc>
        <w:tc>
          <w:tcPr>
            <w:tcW w:w="709" w:type="dxa"/>
            <w:tcBorders>
              <w:top w:val="outset" w:sz="6" w:space="0" w:color="auto"/>
              <w:left w:val="outset" w:sz="6" w:space="0" w:color="auto"/>
              <w:bottom w:val="outset" w:sz="6" w:space="0" w:color="auto"/>
              <w:right w:val="outset" w:sz="6" w:space="0" w:color="auto"/>
            </w:tcBorders>
            <w:hideMark/>
          </w:tcPr>
          <w:p w14:paraId="131921E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6372B2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D7E8D5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850" w:type="dxa"/>
            <w:tcBorders>
              <w:top w:val="outset" w:sz="6" w:space="0" w:color="auto"/>
              <w:left w:val="outset" w:sz="6" w:space="0" w:color="auto"/>
              <w:bottom w:val="outset" w:sz="6" w:space="0" w:color="auto"/>
              <w:right w:val="outset" w:sz="6" w:space="0" w:color="auto"/>
            </w:tcBorders>
            <w:hideMark/>
          </w:tcPr>
          <w:p w14:paraId="0B023D1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851" w:type="dxa"/>
            <w:tcBorders>
              <w:top w:val="outset" w:sz="6" w:space="0" w:color="auto"/>
              <w:left w:val="outset" w:sz="6" w:space="0" w:color="auto"/>
              <w:bottom w:val="outset" w:sz="6" w:space="0" w:color="auto"/>
              <w:right w:val="outset" w:sz="6" w:space="0" w:color="auto"/>
            </w:tcBorders>
            <w:hideMark/>
          </w:tcPr>
          <w:p w14:paraId="6FEDA0E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r>
      <w:tr w:rsidR="004D4663" w:rsidRPr="00070ADE" w14:paraId="48C26C7B"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5A8A6F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w:t>
            </w:r>
          </w:p>
        </w:tc>
        <w:tc>
          <w:tcPr>
            <w:tcW w:w="3128" w:type="dxa"/>
            <w:tcBorders>
              <w:top w:val="outset" w:sz="6" w:space="0" w:color="auto"/>
              <w:left w:val="outset" w:sz="6" w:space="0" w:color="auto"/>
              <w:bottom w:val="outset" w:sz="6" w:space="0" w:color="auto"/>
              <w:right w:val="outset" w:sz="6" w:space="0" w:color="auto"/>
            </w:tcBorders>
            <w:hideMark/>
          </w:tcPr>
          <w:p w14:paraId="4219E70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Торпедный инклинометр</w:t>
            </w:r>
          </w:p>
        </w:tc>
        <w:tc>
          <w:tcPr>
            <w:tcW w:w="898" w:type="dxa"/>
            <w:tcBorders>
              <w:top w:val="outset" w:sz="6" w:space="0" w:color="auto"/>
              <w:left w:val="outset" w:sz="6" w:space="0" w:color="auto"/>
              <w:bottom w:val="outset" w:sz="6" w:space="0" w:color="auto"/>
              <w:right w:val="outset" w:sz="6" w:space="0" w:color="auto"/>
            </w:tcBorders>
            <w:hideMark/>
          </w:tcPr>
          <w:p w14:paraId="76C0280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ПМР-21</w:t>
            </w:r>
          </w:p>
        </w:tc>
        <w:tc>
          <w:tcPr>
            <w:tcW w:w="709" w:type="dxa"/>
            <w:tcBorders>
              <w:top w:val="outset" w:sz="6" w:space="0" w:color="auto"/>
              <w:left w:val="outset" w:sz="6" w:space="0" w:color="auto"/>
              <w:bottom w:val="outset" w:sz="6" w:space="0" w:color="auto"/>
              <w:right w:val="outset" w:sz="6" w:space="0" w:color="auto"/>
            </w:tcBorders>
            <w:hideMark/>
          </w:tcPr>
          <w:p w14:paraId="44CD128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A4D7C1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851" w:type="dxa"/>
            <w:tcBorders>
              <w:top w:val="outset" w:sz="6" w:space="0" w:color="auto"/>
              <w:left w:val="outset" w:sz="6" w:space="0" w:color="auto"/>
              <w:bottom w:val="outset" w:sz="6" w:space="0" w:color="auto"/>
              <w:right w:val="outset" w:sz="6" w:space="0" w:color="auto"/>
            </w:tcBorders>
            <w:hideMark/>
          </w:tcPr>
          <w:p w14:paraId="599D980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850" w:type="dxa"/>
            <w:tcBorders>
              <w:top w:val="outset" w:sz="6" w:space="0" w:color="auto"/>
              <w:left w:val="outset" w:sz="6" w:space="0" w:color="auto"/>
              <w:bottom w:val="outset" w:sz="6" w:space="0" w:color="auto"/>
              <w:right w:val="outset" w:sz="6" w:space="0" w:color="auto"/>
            </w:tcBorders>
            <w:hideMark/>
          </w:tcPr>
          <w:p w14:paraId="0DDD338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851" w:type="dxa"/>
            <w:tcBorders>
              <w:top w:val="outset" w:sz="6" w:space="0" w:color="auto"/>
              <w:left w:val="outset" w:sz="6" w:space="0" w:color="auto"/>
              <w:bottom w:val="outset" w:sz="6" w:space="0" w:color="auto"/>
              <w:right w:val="outset" w:sz="6" w:space="0" w:color="auto"/>
            </w:tcBorders>
            <w:hideMark/>
          </w:tcPr>
          <w:p w14:paraId="7A0FBC9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r>
      <w:tr w:rsidR="004D4663" w:rsidRPr="00070ADE" w14:paraId="7EF842F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5C8881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tc>
        <w:tc>
          <w:tcPr>
            <w:tcW w:w="3128" w:type="dxa"/>
            <w:tcBorders>
              <w:top w:val="outset" w:sz="6" w:space="0" w:color="auto"/>
              <w:left w:val="outset" w:sz="6" w:space="0" w:color="auto"/>
              <w:bottom w:val="outset" w:sz="6" w:space="0" w:color="auto"/>
              <w:right w:val="outset" w:sz="6" w:space="0" w:color="auto"/>
            </w:tcBorders>
            <w:hideMark/>
          </w:tcPr>
          <w:p w14:paraId="591AD42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Визир наводки поста стабилизатора</w:t>
            </w:r>
          </w:p>
        </w:tc>
        <w:tc>
          <w:tcPr>
            <w:tcW w:w="898" w:type="dxa"/>
            <w:tcBorders>
              <w:top w:val="outset" w:sz="6" w:space="0" w:color="auto"/>
              <w:left w:val="outset" w:sz="6" w:space="0" w:color="auto"/>
              <w:bottom w:val="outset" w:sz="6" w:space="0" w:color="auto"/>
              <w:right w:val="outset" w:sz="6" w:space="0" w:color="auto"/>
            </w:tcBorders>
            <w:hideMark/>
          </w:tcPr>
          <w:p w14:paraId="754962D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ВЦН-21</w:t>
            </w:r>
          </w:p>
        </w:tc>
        <w:tc>
          <w:tcPr>
            <w:tcW w:w="709" w:type="dxa"/>
            <w:tcBorders>
              <w:top w:val="outset" w:sz="6" w:space="0" w:color="auto"/>
              <w:left w:val="outset" w:sz="6" w:space="0" w:color="auto"/>
              <w:bottom w:val="outset" w:sz="6" w:space="0" w:color="auto"/>
              <w:right w:val="outset" w:sz="6" w:space="0" w:color="auto"/>
            </w:tcBorders>
            <w:hideMark/>
          </w:tcPr>
          <w:p w14:paraId="1B618BF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842CBD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591989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3D96E0B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851" w:type="dxa"/>
            <w:tcBorders>
              <w:top w:val="outset" w:sz="6" w:space="0" w:color="auto"/>
              <w:left w:val="outset" w:sz="6" w:space="0" w:color="auto"/>
              <w:bottom w:val="outset" w:sz="6" w:space="0" w:color="auto"/>
              <w:right w:val="outset" w:sz="6" w:space="0" w:color="auto"/>
            </w:tcBorders>
            <w:hideMark/>
          </w:tcPr>
          <w:p w14:paraId="6038D2B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2C6BA2F"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52EF0E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3128" w:type="dxa"/>
            <w:tcBorders>
              <w:top w:val="outset" w:sz="6" w:space="0" w:color="auto"/>
              <w:left w:val="outset" w:sz="6" w:space="0" w:color="auto"/>
              <w:bottom w:val="outset" w:sz="6" w:space="0" w:color="auto"/>
              <w:right w:val="outset" w:sz="6" w:space="0" w:color="auto"/>
            </w:tcBorders>
            <w:hideMark/>
          </w:tcPr>
          <w:p w14:paraId="44DD883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Оптический передний магнитный компас</w:t>
            </w:r>
          </w:p>
        </w:tc>
        <w:tc>
          <w:tcPr>
            <w:tcW w:w="898" w:type="dxa"/>
            <w:tcBorders>
              <w:top w:val="outset" w:sz="6" w:space="0" w:color="auto"/>
              <w:left w:val="outset" w:sz="6" w:space="0" w:color="auto"/>
              <w:bottom w:val="outset" w:sz="6" w:space="0" w:color="auto"/>
              <w:right w:val="outset" w:sz="6" w:space="0" w:color="auto"/>
            </w:tcBorders>
            <w:hideMark/>
          </w:tcPr>
          <w:p w14:paraId="01C08BB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ГОН-23</w:t>
            </w:r>
          </w:p>
        </w:tc>
        <w:tc>
          <w:tcPr>
            <w:tcW w:w="709" w:type="dxa"/>
            <w:tcBorders>
              <w:top w:val="outset" w:sz="6" w:space="0" w:color="auto"/>
              <w:left w:val="outset" w:sz="6" w:space="0" w:color="auto"/>
              <w:bottom w:val="outset" w:sz="6" w:space="0" w:color="auto"/>
              <w:right w:val="outset" w:sz="6" w:space="0" w:color="auto"/>
            </w:tcBorders>
            <w:hideMark/>
          </w:tcPr>
          <w:p w14:paraId="52BBBE9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78CB1E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3B90E69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40EB379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851" w:type="dxa"/>
            <w:tcBorders>
              <w:top w:val="outset" w:sz="6" w:space="0" w:color="auto"/>
              <w:left w:val="outset" w:sz="6" w:space="0" w:color="auto"/>
              <w:bottom w:val="outset" w:sz="6" w:space="0" w:color="auto"/>
              <w:right w:val="outset" w:sz="6" w:space="0" w:color="auto"/>
            </w:tcBorders>
            <w:hideMark/>
          </w:tcPr>
          <w:p w14:paraId="1AC0D56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r>
      <w:tr w:rsidR="004D4663" w:rsidRPr="00070ADE" w14:paraId="463DDD89"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CE1960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w:t>
            </w:r>
          </w:p>
        </w:tc>
        <w:tc>
          <w:tcPr>
            <w:tcW w:w="3128" w:type="dxa"/>
            <w:tcBorders>
              <w:top w:val="outset" w:sz="6" w:space="0" w:color="auto"/>
              <w:left w:val="outset" w:sz="6" w:space="0" w:color="auto"/>
              <w:bottom w:val="outset" w:sz="6" w:space="0" w:color="auto"/>
              <w:right w:val="outset" w:sz="6" w:space="0" w:color="auto"/>
            </w:tcBorders>
            <w:hideMark/>
          </w:tcPr>
          <w:p w14:paraId="0544AB2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Визир наводки</w:t>
            </w:r>
          </w:p>
        </w:tc>
        <w:tc>
          <w:tcPr>
            <w:tcW w:w="898" w:type="dxa"/>
            <w:tcBorders>
              <w:top w:val="outset" w:sz="6" w:space="0" w:color="auto"/>
              <w:left w:val="outset" w:sz="6" w:space="0" w:color="auto"/>
              <w:bottom w:val="outset" w:sz="6" w:space="0" w:color="auto"/>
              <w:right w:val="outset" w:sz="6" w:space="0" w:color="auto"/>
            </w:tcBorders>
            <w:hideMark/>
          </w:tcPr>
          <w:p w14:paraId="366714F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ГУ</w:t>
            </w:r>
          </w:p>
        </w:tc>
        <w:tc>
          <w:tcPr>
            <w:tcW w:w="709" w:type="dxa"/>
            <w:tcBorders>
              <w:top w:val="outset" w:sz="6" w:space="0" w:color="auto"/>
              <w:left w:val="outset" w:sz="6" w:space="0" w:color="auto"/>
              <w:bottom w:val="outset" w:sz="6" w:space="0" w:color="auto"/>
              <w:right w:val="outset" w:sz="6" w:space="0" w:color="auto"/>
            </w:tcBorders>
            <w:hideMark/>
          </w:tcPr>
          <w:p w14:paraId="2B9C361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2D44C4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57F088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850" w:type="dxa"/>
            <w:tcBorders>
              <w:top w:val="outset" w:sz="6" w:space="0" w:color="auto"/>
              <w:left w:val="outset" w:sz="6" w:space="0" w:color="auto"/>
              <w:bottom w:val="outset" w:sz="6" w:space="0" w:color="auto"/>
              <w:right w:val="outset" w:sz="6" w:space="0" w:color="auto"/>
            </w:tcBorders>
            <w:hideMark/>
          </w:tcPr>
          <w:p w14:paraId="3577CB0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851" w:type="dxa"/>
            <w:tcBorders>
              <w:top w:val="outset" w:sz="6" w:space="0" w:color="auto"/>
              <w:left w:val="outset" w:sz="6" w:space="0" w:color="auto"/>
              <w:bottom w:val="outset" w:sz="6" w:space="0" w:color="auto"/>
              <w:right w:val="outset" w:sz="6" w:space="0" w:color="auto"/>
            </w:tcBorders>
            <w:hideMark/>
          </w:tcPr>
          <w:p w14:paraId="4FB3F7F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0C49DD1"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E6899D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w:t>
            </w:r>
          </w:p>
        </w:tc>
        <w:tc>
          <w:tcPr>
            <w:tcW w:w="3128" w:type="dxa"/>
            <w:tcBorders>
              <w:top w:val="outset" w:sz="6" w:space="0" w:color="auto"/>
              <w:left w:val="outset" w:sz="6" w:space="0" w:color="auto"/>
              <w:bottom w:val="outset" w:sz="6" w:space="0" w:color="auto"/>
              <w:right w:val="outset" w:sz="6" w:space="0" w:color="auto"/>
            </w:tcBorders>
            <w:hideMark/>
          </w:tcPr>
          <w:p w14:paraId="1DE2115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Прибор для осушки</w:t>
            </w:r>
          </w:p>
        </w:tc>
        <w:tc>
          <w:tcPr>
            <w:tcW w:w="898" w:type="dxa"/>
            <w:tcBorders>
              <w:top w:val="outset" w:sz="6" w:space="0" w:color="auto"/>
              <w:left w:val="outset" w:sz="6" w:space="0" w:color="auto"/>
              <w:bottom w:val="outset" w:sz="6" w:space="0" w:color="auto"/>
              <w:right w:val="outset" w:sz="6" w:space="0" w:color="auto"/>
            </w:tcBorders>
            <w:hideMark/>
          </w:tcPr>
          <w:p w14:paraId="04BF05D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ТОб</w:t>
            </w:r>
          </w:p>
        </w:tc>
        <w:tc>
          <w:tcPr>
            <w:tcW w:w="709" w:type="dxa"/>
            <w:tcBorders>
              <w:top w:val="outset" w:sz="6" w:space="0" w:color="auto"/>
              <w:left w:val="outset" w:sz="6" w:space="0" w:color="auto"/>
              <w:bottom w:val="outset" w:sz="6" w:space="0" w:color="auto"/>
              <w:right w:val="outset" w:sz="6" w:space="0" w:color="auto"/>
            </w:tcBorders>
            <w:hideMark/>
          </w:tcPr>
          <w:p w14:paraId="2F50433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52FE96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A19EC6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222</w:t>
            </w:r>
          </w:p>
        </w:tc>
        <w:tc>
          <w:tcPr>
            <w:tcW w:w="850" w:type="dxa"/>
            <w:tcBorders>
              <w:top w:val="outset" w:sz="6" w:space="0" w:color="auto"/>
              <w:left w:val="outset" w:sz="6" w:space="0" w:color="auto"/>
              <w:bottom w:val="outset" w:sz="6" w:space="0" w:color="auto"/>
              <w:right w:val="outset" w:sz="6" w:space="0" w:color="auto"/>
            </w:tcBorders>
            <w:hideMark/>
          </w:tcPr>
          <w:p w14:paraId="1F8E4EE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296</w:t>
            </w:r>
          </w:p>
        </w:tc>
        <w:tc>
          <w:tcPr>
            <w:tcW w:w="851" w:type="dxa"/>
            <w:tcBorders>
              <w:top w:val="outset" w:sz="6" w:space="0" w:color="auto"/>
              <w:left w:val="outset" w:sz="6" w:space="0" w:color="auto"/>
              <w:bottom w:val="outset" w:sz="6" w:space="0" w:color="auto"/>
              <w:right w:val="outset" w:sz="6" w:space="0" w:color="auto"/>
            </w:tcBorders>
            <w:hideMark/>
          </w:tcPr>
          <w:p w14:paraId="3175016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r>
      <w:tr w:rsidR="004D4663" w:rsidRPr="00070ADE" w14:paraId="539A0F81"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1E7585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w:t>
            </w:r>
          </w:p>
        </w:tc>
        <w:tc>
          <w:tcPr>
            <w:tcW w:w="3128" w:type="dxa"/>
            <w:tcBorders>
              <w:top w:val="outset" w:sz="6" w:space="0" w:color="auto"/>
              <w:left w:val="outset" w:sz="6" w:space="0" w:color="auto"/>
              <w:bottom w:val="outset" w:sz="6" w:space="0" w:color="auto"/>
              <w:right w:val="outset" w:sz="6" w:space="0" w:color="auto"/>
            </w:tcBorders>
            <w:hideMark/>
          </w:tcPr>
          <w:p w14:paraId="6335779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Прибор для обучения дальн.</w:t>
            </w:r>
          </w:p>
        </w:tc>
        <w:tc>
          <w:tcPr>
            <w:tcW w:w="898" w:type="dxa"/>
            <w:tcBorders>
              <w:top w:val="outset" w:sz="6" w:space="0" w:color="auto"/>
              <w:left w:val="outset" w:sz="6" w:space="0" w:color="auto"/>
              <w:bottom w:val="outset" w:sz="6" w:space="0" w:color="auto"/>
              <w:right w:val="outset" w:sz="6" w:space="0" w:color="auto"/>
            </w:tcBorders>
            <w:hideMark/>
          </w:tcPr>
          <w:p w14:paraId="1539E89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ДОР</w:t>
            </w:r>
          </w:p>
        </w:tc>
        <w:tc>
          <w:tcPr>
            <w:tcW w:w="709" w:type="dxa"/>
            <w:tcBorders>
              <w:top w:val="outset" w:sz="6" w:space="0" w:color="auto"/>
              <w:left w:val="outset" w:sz="6" w:space="0" w:color="auto"/>
              <w:bottom w:val="outset" w:sz="6" w:space="0" w:color="auto"/>
              <w:right w:val="outset" w:sz="6" w:space="0" w:color="auto"/>
            </w:tcBorders>
            <w:hideMark/>
          </w:tcPr>
          <w:p w14:paraId="699C078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1D97B6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F5F91C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c>
          <w:tcPr>
            <w:tcW w:w="850" w:type="dxa"/>
            <w:tcBorders>
              <w:top w:val="outset" w:sz="6" w:space="0" w:color="auto"/>
              <w:left w:val="outset" w:sz="6" w:space="0" w:color="auto"/>
              <w:bottom w:val="outset" w:sz="6" w:space="0" w:color="auto"/>
              <w:right w:val="outset" w:sz="6" w:space="0" w:color="auto"/>
            </w:tcBorders>
            <w:hideMark/>
          </w:tcPr>
          <w:p w14:paraId="00677E9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w:t>
            </w:r>
          </w:p>
        </w:tc>
        <w:tc>
          <w:tcPr>
            <w:tcW w:w="851" w:type="dxa"/>
            <w:tcBorders>
              <w:top w:val="outset" w:sz="6" w:space="0" w:color="auto"/>
              <w:left w:val="outset" w:sz="6" w:space="0" w:color="auto"/>
              <w:bottom w:val="outset" w:sz="6" w:space="0" w:color="auto"/>
              <w:right w:val="outset" w:sz="6" w:space="0" w:color="auto"/>
            </w:tcBorders>
            <w:hideMark/>
          </w:tcPr>
          <w:p w14:paraId="1D6F584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w:t>
            </w:r>
          </w:p>
        </w:tc>
      </w:tr>
      <w:tr w:rsidR="004D4663" w:rsidRPr="00070ADE" w14:paraId="6D8EF22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851B82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w:t>
            </w:r>
          </w:p>
        </w:tc>
        <w:tc>
          <w:tcPr>
            <w:tcW w:w="3128" w:type="dxa"/>
            <w:tcBorders>
              <w:top w:val="outset" w:sz="6" w:space="0" w:color="auto"/>
              <w:left w:val="outset" w:sz="6" w:space="0" w:color="auto"/>
              <w:bottom w:val="outset" w:sz="6" w:space="0" w:color="auto"/>
              <w:right w:val="outset" w:sz="6" w:space="0" w:color="auto"/>
            </w:tcBorders>
            <w:hideMark/>
          </w:tcPr>
          <w:p w14:paraId="5213A14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Прибор для осмотра канала ствола орудия</w:t>
            </w:r>
          </w:p>
        </w:tc>
        <w:tc>
          <w:tcPr>
            <w:tcW w:w="898" w:type="dxa"/>
            <w:tcBorders>
              <w:top w:val="outset" w:sz="6" w:space="0" w:color="auto"/>
              <w:left w:val="outset" w:sz="6" w:space="0" w:color="auto"/>
              <w:bottom w:val="outset" w:sz="6" w:space="0" w:color="auto"/>
              <w:right w:val="outset" w:sz="6" w:space="0" w:color="auto"/>
            </w:tcBorders>
            <w:hideMark/>
          </w:tcPr>
          <w:p w14:paraId="561E7E6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РВП</w:t>
            </w:r>
          </w:p>
        </w:tc>
        <w:tc>
          <w:tcPr>
            <w:tcW w:w="709" w:type="dxa"/>
            <w:tcBorders>
              <w:top w:val="outset" w:sz="6" w:space="0" w:color="auto"/>
              <w:left w:val="outset" w:sz="6" w:space="0" w:color="auto"/>
              <w:bottom w:val="outset" w:sz="6" w:space="0" w:color="auto"/>
              <w:right w:val="outset" w:sz="6" w:space="0" w:color="auto"/>
            </w:tcBorders>
            <w:hideMark/>
          </w:tcPr>
          <w:p w14:paraId="6AE400F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8052159"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7DD40A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4E06210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w:t>
            </w:r>
          </w:p>
        </w:tc>
        <w:tc>
          <w:tcPr>
            <w:tcW w:w="851" w:type="dxa"/>
            <w:tcBorders>
              <w:top w:val="outset" w:sz="6" w:space="0" w:color="auto"/>
              <w:left w:val="outset" w:sz="6" w:space="0" w:color="auto"/>
              <w:bottom w:val="outset" w:sz="6" w:space="0" w:color="auto"/>
              <w:right w:val="outset" w:sz="6" w:space="0" w:color="auto"/>
            </w:tcBorders>
            <w:hideMark/>
          </w:tcPr>
          <w:p w14:paraId="5C2E0BF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w:t>
            </w:r>
          </w:p>
        </w:tc>
      </w:tr>
      <w:tr w:rsidR="004D4663" w:rsidRPr="00070ADE" w14:paraId="250E382C"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FED9F9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tc>
        <w:tc>
          <w:tcPr>
            <w:tcW w:w="3128" w:type="dxa"/>
            <w:tcBorders>
              <w:top w:val="outset" w:sz="6" w:space="0" w:color="auto"/>
              <w:left w:val="outset" w:sz="6" w:space="0" w:color="auto"/>
              <w:bottom w:val="outset" w:sz="6" w:space="0" w:color="auto"/>
              <w:right w:val="outset" w:sz="6" w:space="0" w:color="auto"/>
            </w:tcBorders>
            <w:hideMark/>
          </w:tcPr>
          <w:p w14:paraId="7A0F0A7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Бинокль 6х30</w:t>
            </w:r>
          </w:p>
        </w:tc>
        <w:tc>
          <w:tcPr>
            <w:tcW w:w="898" w:type="dxa"/>
            <w:tcBorders>
              <w:top w:val="outset" w:sz="6" w:space="0" w:color="auto"/>
              <w:left w:val="outset" w:sz="6" w:space="0" w:color="auto"/>
              <w:bottom w:val="outset" w:sz="6" w:space="0" w:color="auto"/>
              <w:right w:val="outset" w:sz="6" w:space="0" w:color="auto"/>
            </w:tcBorders>
            <w:hideMark/>
          </w:tcPr>
          <w:p w14:paraId="2E12399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Б-6</w:t>
            </w:r>
          </w:p>
        </w:tc>
        <w:tc>
          <w:tcPr>
            <w:tcW w:w="709" w:type="dxa"/>
            <w:tcBorders>
              <w:top w:val="outset" w:sz="6" w:space="0" w:color="auto"/>
              <w:left w:val="outset" w:sz="6" w:space="0" w:color="auto"/>
              <w:bottom w:val="outset" w:sz="6" w:space="0" w:color="auto"/>
              <w:right w:val="outset" w:sz="6" w:space="0" w:color="auto"/>
            </w:tcBorders>
            <w:hideMark/>
          </w:tcPr>
          <w:p w14:paraId="0C37801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838C07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20322</w:t>
            </w:r>
          </w:p>
        </w:tc>
        <w:tc>
          <w:tcPr>
            <w:tcW w:w="851" w:type="dxa"/>
            <w:tcBorders>
              <w:top w:val="outset" w:sz="6" w:space="0" w:color="auto"/>
              <w:left w:val="outset" w:sz="6" w:space="0" w:color="auto"/>
              <w:bottom w:val="outset" w:sz="6" w:space="0" w:color="auto"/>
              <w:right w:val="outset" w:sz="6" w:space="0" w:color="auto"/>
            </w:tcBorders>
            <w:hideMark/>
          </w:tcPr>
          <w:p w14:paraId="443CD9E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108920</w:t>
            </w:r>
          </w:p>
        </w:tc>
        <w:tc>
          <w:tcPr>
            <w:tcW w:w="850" w:type="dxa"/>
            <w:tcBorders>
              <w:top w:val="outset" w:sz="6" w:space="0" w:color="auto"/>
              <w:left w:val="outset" w:sz="6" w:space="0" w:color="auto"/>
              <w:bottom w:val="outset" w:sz="6" w:space="0" w:color="auto"/>
              <w:right w:val="outset" w:sz="6" w:space="0" w:color="auto"/>
            </w:tcBorders>
            <w:hideMark/>
          </w:tcPr>
          <w:p w14:paraId="6D80DEC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175707</w:t>
            </w:r>
          </w:p>
        </w:tc>
        <w:tc>
          <w:tcPr>
            <w:tcW w:w="851" w:type="dxa"/>
            <w:tcBorders>
              <w:top w:val="outset" w:sz="6" w:space="0" w:color="auto"/>
              <w:left w:val="outset" w:sz="6" w:space="0" w:color="auto"/>
              <w:bottom w:val="outset" w:sz="6" w:space="0" w:color="auto"/>
              <w:right w:val="outset" w:sz="6" w:space="0" w:color="auto"/>
            </w:tcBorders>
            <w:hideMark/>
          </w:tcPr>
          <w:p w14:paraId="03EFE419"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68020</w:t>
            </w:r>
          </w:p>
        </w:tc>
      </w:tr>
      <w:tr w:rsidR="004D4663" w:rsidRPr="00070ADE" w14:paraId="25875539"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D8DC67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w:t>
            </w:r>
          </w:p>
        </w:tc>
        <w:tc>
          <w:tcPr>
            <w:tcW w:w="3128" w:type="dxa"/>
            <w:tcBorders>
              <w:top w:val="outset" w:sz="6" w:space="0" w:color="auto"/>
              <w:left w:val="outset" w:sz="6" w:space="0" w:color="auto"/>
              <w:bottom w:val="outset" w:sz="6" w:space="0" w:color="auto"/>
              <w:right w:val="outset" w:sz="6" w:space="0" w:color="auto"/>
            </w:tcBorders>
            <w:hideMark/>
          </w:tcPr>
          <w:p w14:paraId="33031B2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Полевая орудийная панорама</w:t>
            </w:r>
          </w:p>
        </w:tc>
        <w:tc>
          <w:tcPr>
            <w:tcW w:w="898" w:type="dxa"/>
            <w:tcBorders>
              <w:top w:val="outset" w:sz="6" w:space="0" w:color="auto"/>
              <w:left w:val="outset" w:sz="6" w:space="0" w:color="auto"/>
              <w:bottom w:val="outset" w:sz="6" w:space="0" w:color="auto"/>
              <w:right w:val="outset" w:sz="6" w:space="0" w:color="auto"/>
            </w:tcBorders>
            <w:hideMark/>
          </w:tcPr>
          <w:p w14:paraId="19352D7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ПГ</w:t>
            </w:r>
          </w:p>
        </w:tc>
        <w:tc>
          <w:tcPr>
            <w:tcW w:w="709" w:type="dxa"/>
            <w:tcBorders>
              <w:top w:val="outset" w:sz="6" w:space="0" w:color="auto"/>
              <w:left w:val="outset" w:sz="6" w:space="0" w:color="auto"/>
              <w:bottom w:val="outset" w:sz="6" w:space="0" w:color="auto"/>
              <w:right w:val="outset" w:sz="6" w:space="0" w:color="auto"/>
            </w:tcBorders>
            <w:hideMark/>
          </w:tcPr>
          <w:p w14:paraId="281DEB99"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1EE41D5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579</w:t>
            </w:r>
          </w:p>
        </w:tc>
        <w:tc>
          <w:tcPr>
            <w:tcW w:w="851" w:type="dxa"/>
            <w:tcBorders>
              <w:top w:val="outset" w:sz="6" w:space="0" w:color="auto"/>
              <w:left w:val="outset" w:sz="6" w:space="0" w:color="auto"/>
              <w:bottom w:val="outset" w:sz="6" w:space="0" w:color="auto"/>
              <w:right w:val="outset" w:sz="6" w:space="0" w:color="auto"/>
            </w:tcBorders>
            <w:hideMark/>
          </w:tcPr>
          <w:p w14:paraId="3046FE8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8489</w:t>
            </w:r>
          </w:p>
        </w:tc>
        <w:tc>
          <w:tcPr>
            <w:tcW w:w="850" w:type="dxa"/>
            <w:tcBorders>
              <w:top w:val="outset" w:sz="6" w:space="0" w:color="auto"/>
              <w:left w:val="outset" w:sz="6" w:space="0" w:color="auto"/>
              <w:bottom w:val="outset" w:sz="6" w:space="0" w:color="auto"/>
              <w:right w:val="outset" w:sz="6" w:space="0" w:color="auto"/>
            </w:tcBorders>
            <w:hideMark/>
          </w:tcPr>
          <w:p w14:paraId="2EA066E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8162</w:t>
            </w:r>
          </w:p>
        </w:tc>
        <w:tc>
          <w:tcPr>
            <w:tcW w:w="851" w:type="dxa"/>
            <w:tcBorders>
              <w:top w:val="outset" w:sz="6" w:space="0" w:color="auto"/>
              <w:left w:val="outset" w:sz="6" w:space="0" w:color="auto"/>
              <w:bottom w:val="outset" w:sz="6" w:space="0" w:color="auto"/>
              <w:right w:val="outset" w:sz="6" w:space="0" w:color="auto"/>
            </w:tcBorders>
            <w:hideMark/>
          </w:tcPr>
          <w:p w14:paraId="5A98732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4015</w:t>
            </w:r>
          </w:p>
        </w:tc>
      </w:tr>
      <w:tr w:rsidR="004D4663" w:rsidRPr="00070ADE" w14:paraId="6B9B1408"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3DD374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w:t>
            </w:r>
          </w:p>
        </w:tc>
        <w:tc>
          <w:tcPr>
            <w:tcW w:w="3128" w:type="dxa"/>
            <w:tcBorders>
              <w:top w:val="outset" w:sz="6" w:space="0" w:color="auto"/>
              <w:left w:val="outset" w:sz="6" w:space="0" w:color="auto"/>
              <w:bottom w:val="outset" w:sz="6" w:space="0" w:color="auto"/>
              <w:right w:val="outset" w:sz="6" w:space="0" w:color="auto"/>
            </w:tcBorders>
            <w:hideMark/>
          </w:tcPr>
          <w:p w14:paraId="689FB61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Минометный оптический прицел</w:t>
            </w:r>
          </w:p>
        </w:tc>
        <w:tc>
          <w:tcPr>
            <w:tcW w:w="898" w:type="dxa"/>
            <w:tcBorders>
              <w:top w:val="outset" w:sz="6" w:space="0" w:color="auto"/>
              <w:left w:val="outset" w:sz="6" w:space="0" w:color="auto"/>
              <w:bottom w:val="outset" w:sz="6" w:space="0" w:color="auto"/>
              <w:right w:val="outset" w:sz="6" w:space="0" w:color="auto"/>
            </w:tcBorders>
            <w:hideMark/>
          </w:tcPr>
          <w:p w14:paraId="5219EC9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МП</w:t>
            </w:r>
          </w:p>
        </w:tc>
        <w:tc>
          <w:tcPr>
            <w:tcW w:w="709" w:type="dxa"/>
            <w:tcBorders>
              <w:top w:val="outset" w:sz="6" w:space="0" w:color="auto"/>
              <w:left w:val="outset" w:sz="6" w:space="0" w:color="auto"/>
              <w:bottom w:val="outset" w:sz="6" w:space="0" w:color="auto"/>
              <w:right w:val="outset" w:sz="6" w:space="0" w:color="auto"/>
            </w:tcBorders>
            <w:hideMark/>
          </w:tcPr>
          <w:p w14:paraId="479570C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B1591E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c>
          <w:tcPr>
            <w:tcW w:w="851" w:type="dxa"/>
            <w:tcBorders>
              <w:top w:val="outset" w:sz="6" w:space="0" w:color="auto"/>
              <w:left w:val="outset" w:sz="6" w:space="0" w:color="auto"/>
              <w:bottom w:val="outset" w:sz="6" w:space="0" w:color="auto"/>
              <w:right w:val="outset" w:sz="6" w:space="0" w:color="auto"/>
            </w:tcBorders>
            <w:hideMark/>
          </w:tcPr>
          <w:p w14:paraId="158A7F6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5964</w:t>
            </w:r>
          </w:p>
        </w:tc>
        <w:tc>
          <w:tcPr>
            <w:tcW w:w="850" w:type="dxa"/>
            <w:tcBorders>
              <w:top w:val="outset" w:sz="6" w:space="0" w:color="auto"/>
              <w:left w:val="outset" w:sz="6" w:space="0" w:color="auto"/>
              <w:bottom w:val="outset" w:sz="6" w:space="0" w:color="auto"/>
              <w:right w:val="outset" w:sz="6" w:space="0" w:color="auto"/>
            </w:tcBorders>
            <w:hideMark/>
          </w:tcPr>
          <w:p w14:paraId="7D45F59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6266</w:t>
            </w:r>
          </w:p>
        </w:tc>
        <w:tc>
          <w:tcPr>
            <w:tcW w:w="851" w:type="dxa"/>
            <w:tcBorders>
              <w:top w:val="outset" w:sz="6" w:space="0" w:color="auto"/>
              <w:left w:val="outset" w:sz="6" w:space="0" w:color="auto"/>
              <w:bottom w:val="outset" w:sz="6" w:space="0" w:color="auto"/>
              <w:right w:val="outset" w:sz="6" w:space="0" w:color="auto"/>
            </w:tcBorders>
            <w:hideMark/>
          </w:tcPr>
          <w:p w14:paraId="7FEABE7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293</w:t>
            </w:r>
          </w:p>
        </w:tc>
      </w:tr>
      <w:tr w:rsidR="004D4663" w:rsidRPr="00070ADE" w14:paraId="20CEC9D3"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75C678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w:t>
            </w:r>
          </w:p>
        </w:tc>
        <w:tc>
          <w:tcPr>
            <w:tcW w:w="3128" w:type="dxa"/>
            <w:tcBorders>
              <w:top w:val="outset" w:sz="6" w:space="0" w:color="auto"/>
              <w:left w:val="outset" w:sz="6" w:space="0" w:color="auto"/>
              <w:bottom w:val="outset" w:sz="6" w:space="0" w:color="auto"/>
              <w:right w:val="outset" w:sz="6" w:space="0" w:color="auto"/>
            </w:tcBorders>
            <w:hideMark/>
          </w:tcPr>
          <w:p w14:paraId="6EFC59D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Танковый прицел</w:t>
            </w:r>
          </w:p>
        </w:tc>
        <w:tc>
          <w:tcPr>
            <w:tcW w:w="898" w:type="dxa"/>
            <w:tcBorders>
              <w:top w:val="outset" w:sz="6" w:space="0" w:color="auto"/>
              <w:left w:val="outset" w:sz="6" w:space="0" w:color="auto"/>
              <w:bottom w:val="outset" w:sz="6" w:space="0" w:color="auto"/>
              <w:right w:val="outset" w:sz="6" w:space="0" w:color="auto"/>
            </w:tcBorders>
            <w:hideMark/>
          </w:tcPr>
          <w:p w14:paraId="620E947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ТМФП</w:t>
            </w:r>
          </w:p>
        </w:tc>
        <w:tc>
          <w:tcPr>
            <w:tcW w:w="709" w:type="dxa"/>
            <w:tcBorders>
              <w:top w:val="outset" w:sz="6" w:space="0" w:color="auto"/>
              <w:left w:val="outset" w:sz="6" w:space="0" w:color="auto"/>
              <w:bottom w:val="outset" w:sz="6" w:space="0" w:color="auto"/>
              <w:right w:val="outset" w:sz="6" w:space="0" w:color="auto"/>
            </w:tcBorders>
            <w:hideMark/>
          </w:tcPr>
          <w:p w14:paraId="6462AF0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8E0E3C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c>
          <w:tcPr>
            <w:tcW w:w="851" w:type="dxa"/>
            <w:tcBorders>
              <w:top w:val="outset" w:sz="6" w:space="0" w:color="auto"/>
              <w:left w:val="outset" w:sz="6" w:space="0" w:color="auto"/>
              <w:bottom w:val="outset" w:sz="6" w:space="0" w:color="auto"/>
              <w:right w:val="outset" w:sz="6" w:space="0" w:color="auto"/>
            </w:tcBorders>
            <w:hideMark/>
          </w:tcPr>
          <w:p w14:paraId="268E188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550</w:t>
            </w:r>
          </w:p>
        </w:tc>
        <w:tc>
          <w:tcPr>
            <w:tcW w:w="850" w:type="dxa"/>
            <w:tcBorders>
              <w:top w:val="outset" w:sz="6" w:space="0" w:color="auto"/>
              <w:left w:val="outset" w:sz="6" w:space="0" w:color="auto"/>
              <w:bottom w:val="outset" w:sz="6" w:space="0" w:color="auto"/>
              <w:right w:val="outset" w:sz="6" w:space="0" w:color="auto"/>
            </w:tcBorders>
            <w:hideMark/>
          </w:tcPr>
          <w:p w14:paraId="34502D2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2E1859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EF23F48"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821609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w:t>
            </w:r>
          </w:p>
        </w:tc>
        <w:tc>
          <w:tcPr>
            <w:tcW w:w="3128" w:type="dxa"/>
            <w:tcBorders>
              <w:top w:val="outset" w:sz="6" w:space="0" w:color="auto"/>
              <w:left w:val="outset" w:sz="6" w:space="0" w:color="auto"/>
              <w:bottom w:val="outset" w:sz="6" w:space="0" w:color="auto"/>
              <w:right w:val="outset" w:sz="6" w:space="0" w:color="auto"/>
            </w:tcBorders>
            <w:hideMark/>
          </w:tcPr>
          <w:p w14:paraId="7382A55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Танковый прицел</w:t>
            </w:r>
          </w:p>
        </w:tc>
        <w:tc>
          <w:tcPr>
            <w:tcW w:w="898" w:type="dxa"/>
            <w:tcBorders>
              <w:top w:val="outset" w:sz="6" w:space="0" w:color="auto"/>
              <w:left w:val="outset" w:sz="6" w:space="0" w:color="auto"/>
              <w:bottom w:val="outset" w:sz="6" w:space="0" w:color="auto"/>
              <w:right w:val="outset" w:sz="6" w:space="0" w:color="auto"/>
            </w:tcBorders>
            <w:hideMark/>
          </w:tcPr>
          <w:p w14:paraId="760EE94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ТМФД</w:t>
            </w:r>
          </w:p>
        </w:tc>
        <w:tc>
          <w:tcPr>
            <w:tcW w:w="709" w:type="dxa"/>
            <w:tcBorders>
              <w:top w:val="outset" w:sz="6" w:space="0" w:color="auto"/>
              <w:left w:val="outset" w:sz="6" w:space="0" w:color="auto"/>
              <w:bottom w:val="outset" w:sz="6" w:space="0" w:color="auto"/>
              <w:right w:val="outset" w:sz="6" w:space="0" w:color="auto"/>
            </w:tcBorders>
            <w:hideMark/>
          </w:tcPr>
          <w:p w14:paraId="35192D6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1EEA63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B6AC2B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2667</w:t>
            </w:r>
          </w:p>
        </w:tc>
        <w:tc>
          <w:tcPr>
            <w:tcW w:w="850" w:type="dxa"/>
            <w:tcBorders>
              <w:top w:val="outset" w:sz="6" w:space="0" w:color="auto"/>
              <w:left w:val="outset" w:sz="6" w:space="0" w:color="auto"/>
              <w:bottom w:val="outset" w:sz="6" w:space="0" w:color="auto"/>
              <w:right w:val="outset" w:sz="6" w:space="0" w:color="auto"/>
            </w:tcBorders>
            <w:hideMark/>
          </w:tcPr>
          <w:p w14:paraId="29BC348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34370CC9"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7171B56"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E7272D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tc>
        <w:tc>
          <w:tcPr>
            <w:tcW w:w="3128" w:type="dxa"/>
            <w:tcBorders>
              <w:top w:val="outset" w:sz="6" w:space="0" w:color="auto"/>
              <w:left w:val="outset" w:sz="6" w:space="0" w:color="auto"/>
              <w:bottom w:val="outset" w:sz="6" w:space="0" w:color="auto"/>
              <w:right w:val="outset" w:sz="6" w:space="0" w:color="auto"/>
            </w:tcBorders>
            <w:hideMark/>
          </w:tcPr>
          <w:p w14:paraId="37AC7919"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Снайперский винтовочный прицел</w:t>
            </w:r>
          </w:p>
        </w:tc>
        <w:tc>
          <w:tcPr>
            <w:tcW w:w="898" w:type="dxa"/>
            <w:tcBorders>
              <w:top w:val="outset" w:sz="6" w:space="0" w:color="auto"/>
              <w:left w:val="outset" w:sz="6" w:space="0" w:color="auto"/>
              <w:bottom w:val="outset" w:sz="6" w:space="0" w:color="auto"/>
              <w:right w:val="outset" w:sz="6" w:space="0" w:color="auto"/>
            </w:tcBorders>
            <w:hideMark/>
          </w:tcPr>
          <w:p w14:paraId="6EAE899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w:t>
            </w:r>
          </w:p>
        </w:tc>
        <w:tc>
          <w:tcPr>
            <w:tcW w:w="709" w:type="dxa"/>
            <w:tcBorders>
              <w:top w:val="outset" w:sz="6" w:space="0" w:color="auto"/>
              <w:left w:val="outset" w:sz="6" w:space="0" w:color="auto"/>
              <w:bottom w:val="outset" w:sz="6" w:space="0" w:color="auto"/>
              <w:right w:val="outset" w:sz="6" w:space="0" w:color="auto"/>
            </w:tcBorders>
            <w:hideMark/>
          </w:tcPr>
          <w:p w14:paraId="38E0AFE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1EC9398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8B0357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0AFF54F9"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21783</w:t>
            </w:r>
          </w:p>
        </w:tc>
        <w:tc>
          <w:tcPr>
            <w:tcW w:w="851" w:type="dxa"/>
            <w:tcBorders>
              <w:top w:val="outset" w:sz="6" w:space="0" w:color="auto"/>
              <w:left w:val="outset" w:sz="6" w:space="0" w:color="auto"/>
              <w:bottom w:val="outset" w:sz="6" w:space="0" w:color="auto"/>
              <w:right w:val="outset" w:sz="6" w:space="0" w:color="auto"/>
            </w:tcBorders>
            <w:hideMark/>
          </w:tcPr>
          <w:p w14:paraId="006B7FE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12123</w:t>
            </w:r>
          </w:p>
        </w:tc>
      </w:tr>
      <w:tr w:rsidR="004D4663" w:rsidRPr="00070ADE" w14:paraId="26E25EA5"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C80783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w:t>
            </w:r>
          </w:p>
        </w:tc>
        <w:tc>
          <w:tcPr>
            <w:tcW w:w="3128" w:type="dxa"/>
            <w:tcBorders>
              <w:top w:val="outset" w:sz="6" w:space="0" w:color="auto"/>
              <w:left w:val="outset" w:sz="6" w:space="0" w:color="auto"/>
              <w:bottom w:val="outset" w:sz="6" w:space="0" w:color="auto"/>
              <w:right w:val="outset" w:sz="6" w:space="0" w:color="auto"/>
            </w:tcBorders>
            <w:hideMark/>
          </w:tcPr>
          <w:p w14:paraId="37912109"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Пулеметная панорама</w:t>
            </w:r>
          </w:p>
        </w:tc>
        <w:tc>
          <w:tcPr>
            <w:tcW w:w="898" w:type="dxa"/>
            <w:tcBorders>
              <w:top w:val="outset" w:sz="6" w:space="0" w:color="auto"/>
              <w:left w:val="outset" w:sz="6" w:space="0" w:color="auto"/>
              <w:bottom w:val="outset" w:sz="6" w:space="0" w:color="auto"/>
              <w:right w:val="outset" w:sz="6" w:space="0" w:color="auto"/>
            </w:tcBorders>
            <w:hideMark/>
          </w:tcPr>
          <w:p w14:paraId="55AD398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ПП-1</w:t>
            </w:r>
          </w:p>
        </w:tc>
        <w:tc>
          <w:tcPr>
            <w:tcW w:w="709" w:type="dxa"/>
            <w:tcBorders>
              <w:top w:val="outset" w:sz="6" w:space="0" w:color="auto"/>
              <w:left w:val="outset" w:sz="6" w:space="0" w:color="auto"/>
              <w:bottom w:val="outset" w:sz="6" w:space="0" w:color="auto"/>
              <w:right w:val="outset" w:sz="6" w:space="0" w:color="auto"/>
            </w:tcBorders>
            <w:hideMark/>
          </w:tcPr>
          <w:p w14:paraId="7185A38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EE01D1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707</w:t>
            </w:r>
          </w:p>
        </w:tc>
        <w:tc>
          <w:tcPr>
            <w:tcW w:w="851" w:type="dxa"/>
            <w:tcBorders>
              <w:top w:val="outset" w:sz="6" w:space="0" w:color="auto"/>
              <w:left w:val="outset" w:sz="6" w:space="0" w:color="auto"/>
              <w:bottom w:val="outset" w:sz="6" w:space="0" w:color="auto"/>
              <w:right w:val="outset" w:sz="6" w:space="0" w:color="auto"/>
            </w:tcBorders>
            <w:hideMark/>
          </w:tcPr>
          <w:p w14:paraId="66C885C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1002</w:t>
            </w:r>
          </w:p>
        </w:tc>
        <w:tc>
          <w:tcPr>
            <w:tcW w:w="850" w:type="dxa"/>
            <w:tcBorders>
              <w:top w:val="outset" w:sz="6" w:space="0" w:color="auto"/>
              <w:left w:val="outset" w:sz="6" w:space="0" w:color="auto"/>
              <w:bottom w:val="outset" w:sz="6" w:space="0" w:color="auto"/>
              <w:right w:val="outset" w:sz="6" w:space="0" w:color="auto"/>
            </w:tcBorders>
            <w:hideMark/>
          </w:tcPr>
          <w:p w14:paraId="35C0B9E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3DA9670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0A0A1A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555B76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w:t>
            </w:r>
          </w:p>
        </w:tc>
        <w:tc>
          <w:tcPr>
            <w:tcW w:w="3128" w:type="dxa"/>
            <w:tcBorders>
              <w:top w:val="outset" w:sz="6" w:space="0" w:color="auto"/>
              <w:left w:val="outset" w:sz="6" w:space="0" w:color="auto"/>
              <w:bottom w:val="outset" w:sz="6" w:space="0" w:color="auto"/>
              <w:right w:val="outset" w:sz="6" w:space="0" w:color="auto"/>
            </w:tcBorders>
            <w:hideMark/>
          </w:tcPr>
          <w:p w14:paraId="5469037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Оптический прицел для тяжелого бомбардировщика</w:t>
            </w:r>
          </w:p>
        </w:tc>
        <w:tc>
          <w:tcPr>
            <w:tcW w:w="898" w:type="dxa"/>
            <w:tcBorders>
              <w:top w:val="outset" w:sz="6" w:space="0" w:color="auto"/>
              <w:left w:val="outset" w:sz="6" w:space="0" w:color="auto"/>
              <w:bottom w:val="outset" w:sz="6" w:space="0" w:color="auto"/>
              <w:right w:val="outset" w:sz="6" w:space="0" w:color="auto"/>
            </w:tcBorders>
            <w:hideMark/>
          </w:tcPr>
          <w:p w14:paraId="5BB6D66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ОПБ-2м</w:t>
            </w:r>
          </w:p>
        </w:tc>
        <w:tc>
          <w:tcPr>
            <w:tcW w:w="709" w:type="dxa"/>
            <w:tcBorders>
              <w:top w:val="outset" w:sz="6" w:space="0" w:color="auto"/>
              <w:left w:val="outset" w:sz="6" w:space="0" w:color="auto"/>
              <w:bottom w:val="outset" w:sz="6" w:space="0" w:color="auto"/>
              <w:right w:val="outset" w:sz="6" w:space="0" w:color="auto"/>
            </w:tcBorders>
            <w:hideMark/>
          </w:tcPr>
          <w:p w14:paraId="104C160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1F5872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34F762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850" w:type="dxa"/>
            <w:tcBorders>
              <w:top w:val="outset" w:sz="6" w:space="0" w:color="auto"/>
              <w:left w:val="outset" w:sz="6" w:space="0" w:color="auto"/>
              <w:bottom w:val="outset" w:sz="6" w:space="0" w:color="auto"/>
              <w:right w:val="outset" w:sz="6" w:space="0" w:color="auto"/>
            </w:tcBorders>
            <w:hideMark/>
          </w:tcPr>
          <w:p w14:paraId="2A74A7D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857854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8A22C88"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D673C1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w:t>
            </w:r>
          </w:p>
        </w:tc>
        <w:tc>
          <w:tcPr>
            <w:tcW w:w="3128" w:type="dxa"/>
            <w:tcBorders>
              <w:top w:val="outset" w:sz="6" w:space="0" w:color="auto"/>
              <w:left w:val="outset" w:sz="6" w:space="0" w:color="auto"/>
              <w:bottom w:val="outset" w:sz="6" w:space="0" w:color="auto"/>
              <w:right w:val="outset" w:sz="6" w:space="0" w:color="auto"/>
            </w:tcBorders>
            <w:hideMark/>
          </w:tcPr>
          <w:p w14:paraId="1C7A35A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Пята ОПБ-2м</w:t>
            </w:r>
          </w:p>
        </w:tc>
        <w:tc>
          <w:tcPr>
            <w:tcW w:w="898" w:type="dxa"/>
            <w:tcBorders>
              <w:top w:val="outset" w:sz="6" w:space="0" w:color="auto"/>
              <w:left w:val="outset" w:sz="6" w:space="0" w:color="auto"/>
              <w:bottom w:val="outset" w:sz="6" w:space="0" w:color="auto"/>
              <w:right w:val="outset" w:sz="6" w:space="0" w:color="auto"/>
            </w:tcBorders>
            <w:hideMark/>
          </w:tcPr>
          <w:p w14:paraId="1769DB1B" w14:textId="77777777" w:rsidR="00B652F7" w:rsidRPr="00070ADE" w:rsidRDefault="00B652F7" w:rsidP="00B56F90">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5307698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E69691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CF2796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w:t>
            </w:r>
          </w:p>
        </w:tc>
        <w:tc>
          <w:tcPr>
            <w:tcW w:w="850" w:type="dxa"/>
            <w:tcBorders>
              <w:top w:val="outset" w:sz="6" w:space="0" w:color="auto"/>
              <w:left w:val="outset" w:sz="6" w:space="0" w:color="auto"/>
              <w:bottom w:val="outset" w:sz="6" w:space="0" w:color="auto"/>
              <w:right w:val="outset" w:sz="6" w:space="0" w:color="auto"/>
            </w:tcBorders>
            <w:hideMark/>
          </w:tcPr>
          <w:p w14:paraId="4D27D4D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C1CD19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C135CA7"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093359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w:t>
            </w:r>
          </w:p>
        </w:tc>
        <w:tc>
          <w:tcPr>
            <w:tcW w:w="3128" w:type="dxa"/>
            <w:tcBorders>
              <w:top w:val="outset" w:sz="6" w:space="0" w:color="auto"/>
              <w:left w:val="outset" w:sz="6" w:space="0" w:color="auto"/>
              <w:bottom w:val="outset" w:sz="6" w:space="0" w:color="auto"/>
              <w:right w:val="outset" w:sz="6" w:space="0" w:color="auto"/>
            </w:tcBorders>
            <w:hideMark/>
          </w:tcPr>
          <w:p w14:paraId="7A7C006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Оптический стрелковый авиационный прицел</w:t>
            </w:r>
          </w:p>
        </w:tc>
        <w:tc>
          <w:tcPr>
            <w:tcW w:w="898" w:type="dxa"/>
            <w:tcBorders>
              <w:top w:val="outset" w:sz="6" w:space="0" w:color="auto"/>
              <w:left w:val="outset" w:sz="6" w:space="0" w:color="auto"/>
              <w:bottom w:val="outset" w:sz="6" w:space="0" w:color="auto"/>
              <w:right w:val="outset" w:sz="6" w:space="0" w:color="auto"/>
            </w:tcBorders>
            <w:hideMark/>
          </w:tcPr>
          <w:p w14:paraId="022856C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ОПТ-2</w:t>
            </w:r>
          </w:p>
        </w:tc>
        <w:tc>
          <w:tcPr>
            <w:tcW w:w="709" w:type="dxa"/>
            <w:tcBorders>
              <w:top w:val="outset" w:sz="6" w:space="0" w:color="auto"/>
              <w:left w:val="outset" w:sz="6" w:space="0" w:color="auto"/>
              <w:bottom w:val="outset" w:sz="6" w:space="0" w:color="auto"/>
              <w:right w:val="outset" w:sz="6" w:space="0" w:color="auto"/>
            </w:tcBorders>
            <w:hideMark/>
          </w:tcPr>
          <w:p w14:paraId="6094A37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14F1FE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w:t>
            </w:r>
          </w:p>
        </w:tc>
        <w:tc>
          <w:tcPr>
            <w:tcW w:w="851" w:type="dxa"/>
            <w:tcBorders>
              <w:top w:val="outset" w:sz="6" w:space="0" w:color="auto"/>
              <w:left w:val="outset" w:sz="6" w:space="0" w:color="auto"/>
              <w:bottom w:val="outset" w:sz="6" w:space="0" w:color="auto"/>
              <w:right w:val="outset" w:sz="6" w:space="0" w:color="auto"/>
            </w:tcBorders>
            <w:hideMark/>
          </w:tcPr>
          <w:p w14:paraId="13871F49"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567</w:t>
            </w:r>
          </w:p>
        </w:tc>
        <w:tc>
          <w:tcPr>
            <w:tcW w:w="850" w:type="dxa"/>
            <w:tcBorders>
              <w:top w:val="outset" w:sz="6" w:space="0" w:color="auto"/>
              <w:left w:val="outset" w:sz="6" w:space="0" w:color="auto"/>
              <w:bottom w:val="outset" w:sz="6" w:space="0" w:color="auto"/>
              <w:right w:val="outset" w:sz="6" w:space="0" w:color="auto"/>
            </w:tcBorders>
            <w:hideMark/>
          </w:tcPr>
          <w:p w14:paraId="41C7E28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C491E1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D40A9FB"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DD62A6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c>
          <w:tcPr>
            <w:tcW w:w="3128" w:type="dxa"/>
            <w:tcBorders>
              <w:top w:val="outset" w:sz="6" w:space="0" w:color="auto"/>
              <w:left w:val="outset" w:sz="6" w:space="0" w:color="auto"/>
              <w:bottom w:val="outset" w:sz="6" w:space="0" w:color="auto"/>
              <w:right w:val="outset" w:sz="6" w:space="0" w:color="auto"/>
            </w:tcBorders>
            <w:hideMark/>
          </w:tcPr>
          <w:p w14:paraId="7C2603B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Оптический стрелковый авиационный прицел</w:t>
            </w:r>
          </w:p>
        </w:tc>
        <w:tc>
          <w:tcPr>
            <w:tcW w:w="898" w:type="dxa"/>
            <w:tcBorders>
              <w:top w:val="outset" w:sz="6" w:space="0" w:color="auto"/>
              <w:left w:val="outset" w:sz="6" w:space="0" w:color="auto"/>
              <w:bottom w:val="outset" w:sz="6" w:space="0" w:color="auto"/>
              <w:right w:val="outset" w:sz="6" w:space="0" w:color="auto"/>
            </w:tcBorders>
            <w:hideMark/>
          </w:tcPr>
          <w:p w14:paraId="596A64B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ОПТ-2а</w:t>
            </w:r>
          </w:p>
        </w:tc>
        <w:tc>
          <w:tcPr>
            <w:tcW w:w="709" w:type="dxa"/>
            <w:tcBorders>
              <w:top w:val="outset" w:sz="6" w:space="0" w:color="auto"/>
              <w:left w:val="outset" w:sz="6" w:space="0" w:color="auto"/>
              <w:bottom w:val="outset" w:sz="6" w:space="0" w:color="auto"/>
              <w:right w:val="outset" w:sz="6" w:space="0" w:color="auto"/>
            </w:tcBorders>
            <w:hideMark/>
          </w:tcPr>
          <w:p w14:paraId="61A5BE0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E7809A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E182AB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102B3B1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262</w:t>
            </w:r>
          </w:p>
        </w:tc>
        <w:tc>
          <w:tcPr>
            <w:tcW w:w="851" w:type="dxa"/>
            <w:tcBorders>
              <w:top w:val="outset" w:sz="6" w:space="0" w:color="auto"/>
              <w:left w:val="outset" w:sz="6" w:space="0" w:color="auto"/>
              <w:bottom w:val="outset" w:sz="6" w:space="0" w:color="auto"/>
              <w:right w:val="outset" w:sz="6" w:space="0" w:color="auto"/>
            </w:tcBorders>
            <w:hideMark/>
          </w:tcPr>
          <w:p w14:paraId="6585E8C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D0E3F19"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4C5F42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w:t>
            </w:r>
          </w:p>
        </w:tc>
        <w:tc>
          <w:tcPr>
            <w:tcW w:w="3128" w:type="dxa"/>
            <w:tcBorders>
              <w:top w:val="outset" w:sz="6" w:space="0" w:color="auto"/>
              <w:left w:val="outset" w:sz="6" w:space="0" w:color="auto"/>
              <w:bottom w:val="outset" w:sz="6" w:space="0" w:color="auto"/>
              <w:right w:val="outset" w:sz="6" w:space="0" w:color="auto"/>
            </w:tcBorders>
            <w:hideMark/>
          </w:tcPr>
          <w:p w14:paraId="09343A3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Оптический стрелковый авиационный прицел</w:t>
            </w:r>
          </w:p>
        </w:tc>
        <w:tc>
          <w:tcPr>
            <w:tcW w:w="898" w:type="dxa"/>
            <w:tcBorders>
              <w:top w:val="outset" w:sz="6" w:space="0" w:color="auto"/>
              <w:left w:val="outset" w:sz="6" w:space="0" w:color="auto"/>
              <w:bottom w:val="outset" w:sz="6" w:space="0" w:color="auto"/>
              <w:right w:val="outset" w:sz="6" w:space="0" w:color="auto"/>
            </w:tcBorders>
            <w:hideMark/>
          </w:tcPr>
          <w:p w14:paraId="33A9EC6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ОПТ-3</w:t>
            </w:r>
          </w:p>
        </w:tc>
        <w:tc>
          <w:tcPr>
            <w:tcW w:w="709" w:type="dxa"/>
            <w:tcBorders>
              <w:top w:val="outset" w:sz="6" w:space="0" w:color="auto"/>
              <w:left w:val="outset" w:sz="6" w:space="0" w:color="auto"/>
              <w:bottom w:val="outset" w:sz="6" w:space="0" w:color="auto"/>
              <w:right w:val="outset" w:sz="6" w:space="0" w:color="auto"/>
            </w:tcBorders>
            <w:hideMark/>
          </w:tcPr>
          <w:p w14:paraId="18DE190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1B723E6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8D1367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119</w:t>
            </w:r>
          </w:p>
        </w:tc>
        <w:tc>
          <w:tcPr>
            <w:tcW w:w="850" w:type="dxa"/>
            <w:tcBorders>
              <w:top w:val="outset" w:sz="6" w:space="0" w:color="auto"/>
              <w:left w:val="outset" w:sz="6" w:space="0" w:color="auto"/>
              <w:bottom w:val="outset" w:sz="6" w:space="0" w:color="auto"/>
              <w:right w:val="outset" w:sz="6" w:space="0" w:color="auto"/>
            </w:tcBorders>
            <w:hideMark/>
          </w:tcPr>
          <w:p w14:paraId="5D22169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w:t>
            </w:r>
          </w:p>
        </w:tc>
        <w:tc>
          <w:tcPr>
            <w:tcW w:w="851" w:type="dxa"/>
            <w:tcBorders>
              <w:top w:val="outset" w:sz="6" w:space="0" w:color="auto"/>
              <w:left w:val="outset" w:sz="6" w:space="0" w:color="auto"/>
              <w:bottom w:val="outset" w:sz="6" w:space="0" w:color="auto"/>
              <w:right w:val="outset" w:sz="6" w:space="0" w:color="auto"/>
            </w:tcBorders>
            <w:hideMark/>
          </w:tcPr>
          <w:p w14:paraId="7FC8952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r>
      <w:tr w:rsidR="004D4663" w:rsidRPr="00070ADE" w14:paraId="4A102A78"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69784C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w:t>
            </w:r>
          </w:p>
        </w:tc>
        <w:tc>
          <w:tcPr>
            <w:tcW w:w="3128" w:type="dxa"/>
            <w:tcBorders>
              <w:top w:val="outset" w:sz="6" w:space="0" w:color="auto"/>
              <w:left w:val="outset" w:sz="6" w:space="0" w:color="auto"/>
              <w:bottom w:val="outset" w:sz="6" w:space="0" w:color="auto"/>
              <w:right w:val="outset" w:sz="6" w:space="0" w:color="auto"/>
            </w:tcBorders>
            <w:hideMark/>
          </w:tcPr>
          <w:p w14:paraId="6DCD0F2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Оптический стрелковый авиационный прицел</w:t>
            </w:r>
          </w:p>
        </w:tc>
        <w:tc>
          <w:tcPr>
            <w:tcW w:w="898" w:type="dxa"/>
            <w:tcBorders>
              <w:top w:val="outset" w:sz="6" w:space="0" w:color="auto"/>
              <w:left w:val="outset" w:sz="6" w:space="0" w:color="auto"/>
              <w:bottom w:val="outset" w:sz="6" w:space="0" w:color="auto"/>
              <w:right w:val="outset" w:sz="6" w:space="0" w:color="auto"/>
            </w:tcBorders>
            <w:hideMark/>
          </w:tcPr>
          <w:p w14:paraId="6ECAE44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ОПТ-6</w:t>
            </w:r>
          </w:p>
        </w:tc>
        <w:tc>
          <w:tcPr>
            <w:tcW w:w="709" w:type="dxa"/>
            <w:tcBorders>
              <w:top w:val="outset" w:sz="6" w:space="0" w:color="auto"/>
              <w:left w:val="outset" w:sz="6" w:space="0" w:color="auto"/>
              <w:bottom w:val="outset" w:sz="6" w:space="0" w:color="auto"/>
              <w:right w:val="outset" w:sz="6" w:space="0" w:color="auto"/>
            </w:tcBorders>
            <w:hideMark/>
          </w:tcPr>
          <w:p w14:paraId="78A3FF3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68293D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1A6F1F4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34100E7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708722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201</w:t>
            </w:r>
          </w:p>
        </w:tc>
      </w:tr>
      <w:tr w:rsidR="004D4663" w:rsidRPr="00070ADE" w14:paraId="614E9C50"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93A117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w:t>
            </w:r>
          </w:p>
        </w:tc>
        <w:tc>
          <w:tcPr>
            <w:tcW w:w="3128" w:type="dxa"/>
            <w:tcBorders>
              <w:top w:val="outset" w:sz="6" w:space="0" w:color="auto"/>
              <w:left w:val="outset" w:sz="6" w:space="0" w:color="auto"/>
              <w:bottom w:val="outset" w:sz="6" w:space="0" w:color="auto"/>
              <w:right w:val="outset" w:sz="6" w:space="0" w:color="auto"/>
            </w:tcBorders>
            <w:hideMark/>
          </w:tcPr>
          <w:p w14:paraId="73BBD95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Синхронный оптический прицел</w:t>
            </w:r>
          </w:p>
        </w:tc>
        <w:tc>
          <w:tcPr>
            <w:tcW w:w="898" w:type="dxa"/>
            <w:tcBorders>
              <w:top w:val="outset" w:sz="6" w:space="0" w:color="auto"/>
              <w:left w:val="outset" w:sz="6" w:space="0" w:color="auto"/>
              <w:bottom w:val="outset" w:sz="6" w:space="0" w:color="auto"/>
              <w:right w:val="outset" w:sz="6" w:space="0" w:color="auto"/>
            </w:tcBorders>
            <w:hideMark/>
          </w:tcPr>
          <w:p w14:paraId="088DCEC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ПС-1</w:t>
            </w:r>
          </w:p>
        </w:tc>
        <w:tc>
          <w:tcPr>
            <w:tcW w:w="709" w:type="dxa"/>
            <w:tcBorders>
              <w:top w:val="outset" w:sz="6" w:space="0" w:color="auto"/>
              <w:left w:val="outset" w:sz="6" w:space="0" w:color="auto"/>
              <w:bottom w:val="outset" w:sz="6" w:space="0" w:color="auto"/>
              <w:right w:val="outset" w:sz="6" w:space="0" w:color="auto"/>
            </w:tcBorders>
            <w:hideMark/>
          </w:tcPr>
          <w:p w14:paraId="4342589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634EABA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C1CAC2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850" w:type="dxa"/>
            <w:tcBorders>
              <w:top w:val="outset" w:sz="6" w:space="0" w:color="auto"/>
              <w:left w:val="outset" w:sz="6" w:space="0" w:color="auto"/>
              <w:bottom w:val="outset" w:sz="6" w:space="0" w:color="auto"/>
              <w:right w:val="outset" w:sz="6" w:space="0" w:color="auto"/>
            </w:tcBorders>
            <w:hideMark/>
          </w:tcPr>
          <w:p w14:paraId="5304C5E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92A280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905041A"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FCF880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w:t>
            </w:r>
          </w:p>
        </w:tc>
        <w:tc>
          <w:tcPr>
            <w:tcW w:w="3128" w:type="dxa"/>
            <w:tcBorders>
              <w:top w:val="outset" w:sz="6" w:space="0" w:color="auto"/>
              <w:left w:val="outset" w:sz="6" w:space="0" w:color="auto"/>
              <w:bottom w:val="outset" w:sz="6" w:space="0" w:color="auto"/>
              <w:right w:val="outset" w:sz="6" w:space="0" w:color="auto"/>
            </w:tcBorders>
            <w:hideMark/>
          </w:tcPr>
          <w:p w14:paraId="77A120C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Фотокинопулемет</w:t>
            </w:r>
          </w:p>
        </w:tc>
        <w:tc>
          <w:tcPr>
            <w:tcW w:w="898" w:type="dxa"/>
            <w:tcBorders>
              <w:top w:val="outset" w:sz="6" w:space="0" w:color="auto"/>
              <w:left w:val="outset" w:sz="6" w:space="0" w:color="auto"/>
              <w:bottom w:val="outset" w:sz="6" w:space="0" w:color="auto"/>
              <w:right w:val="outset" w:sz="6" w:space="0" w:color="auto"/>
            </w:tcBorders>
            <w:hideMark/>
          </w:tcPr>
          <w:p w14:paraId="7B73FFC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ПАУ-22</w:t>
            </w:r>
          </w:p>
        </w:tc>
        <w:tc>
          <w:tcPr>
            <w:tcW w:w="709" w:type="dxa"/>
            <w:tcBorders>
              <w:top w:val="outset" w:sz="6" w:space="0" w:color="auto"/>
              <w:left w:val="outset" w:sz="6" w:space="0" w:color="auto"/>
              <w:bottom w:val="outset" w:sz="6" w:space="0" w:color="auto"/>
              <w:right w:val="outset" w:sz="6" w:space="0" w:color="auto"/>
            </w:tcBorders>
            <w:hideMark/>
          </w:tcPr>
          <w:p w14:paraId="2C298FF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185335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390</w:t>
            </w:r>
          </w:p>
        </w:tc>
        <w:tc>
          <w:tcPr>
            <w:tcW w:w="851" w:type="dxa"/>
            <w:tcBorders>
              <w:top w:val="outset" w:sz="6" w:space="0" w:color="auto"/>
              <w:left w:val="outset" w:sz="6" w:space="0" w:color="auto"/>
              <w:bottom w:val="outset" w:sz="6" w:space="0" w:color="auto"/>
              <w:right w:val="outset" w:sz="6" w:space="0" w:color="auto"/>
            </w:tcBorders>
            <w:hideMark/>
          </w:tcPr>
          <w:p w14:paraId="7E0ED84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w:t>
            </w:r>
          </w:p>
        </w:tc>
        <w:tc>
          <w:tcPr>
            <w:tcW w:w="850" w:type="dxa"/>
            <w:tcBorders>
              <w:top w:val="outset" w:sz="6" w:space="0" w:color="auto"/>
              <w:left w:val="outset" w:sz="6" w:space="0" w:color="auto"/>
              <w:bottom w:val="outset" w:sz="6" w:space="0" w:color="auto"/>
              <w:right w:val="outset" w:sz="6" w:space="0" w:color="auto"/>
            </w:tcBorders>
            <w:hideMark/>
          </w:tcPr>
          <w:p w14:paraId="1A8B456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586</w:t>
            </w:r>
          </w:p>
        </w:tc>
        <w:tc>
          <w:tcPr>
            <w:tcW w:w="851" w:type="dxa"/>
            <w:tcBorders>
              <w:top w:val="outset" w:sz="6" w:space="0" w:color="auto"/>
              <w:left w:val="outset" w:sz="6" w:space="0" w:color="auto"/>
              <w:bottom w:val="outset" w:sz="6" w:space="0" w:color="auto"/>
              <w:right w:val="outset" w:sz="6" w:space="0" w:color="auto"/>
            </w:tcBorders>
            <w:hideMark/>
          </w:tcPr>
          <w:p w14:paraId="6BF249C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136</w:t>
            </w:r>
          </w:p>
        </w:tc>
      </w:tr>
      <w:tr w:rsidR="004D4663" w:rsidRPr="00070ADE" w14:paraId="3CE6870F"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07B24E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c>
          <w:tcPr>
            <w:tcW w:w="3128" w:type="dxa"/>
            <w:tcBorders>
              <w:top w:val="outset" w:sz="6" w:space="0" w:color="auto"/>
              <w:left w:val="outset" w:sz="6" w:space="0" w:color="auto"/>
              <w:bottom w:val="outset" w:sz="6" w:space="0" w:color="auto"/>
              <w:right w:val="outset" w:sz="6" w:space="0" w:color="auto"/>
            </w:tcBorders>
            <w:hideMark/>
          </w:tcPr>
          <w:p w14:paraId="6F43620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Дешифратор к ПАУ-22</w:t>
            </w:r>
          </w:p>
        </w:tc>
        <w:tc>
          <w:tcPr>
            <w:tcW w:w="898" w:type="dxa"/>
            <w:tcBorders>
              <w:top w:val="outset" w:sz="6" w:space="0" w:color="auto"/>
              <w:left w:val="outset" w:sz="6" w:space="0" w:color="auto"/>
              <w:bottom w:val="outset" w:sz="6" w:space="0" w:color="auto"/>
              <w:right w:val="outset" w:sz="6" w:space="0" w:color="auto"/>
            </w:tcBorders>
            <w:hideMark/>
          </w:tcPr>
          <w:p w14:paraId="07144B3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ЭДИ-22</w:t>
            </w:r>
          </w:p>
        </w:tc>
        <w:tc>
          <w:tcPr>
            <w:tcW w:w="709" w:type="dxa"/>
            <w:tcBorders>
              <w:top w:val="outset" w:sz="6" w:space="0" w:color="auto"/>
              <w:left w:val="outset" w:sz="6" w:space="0" w:color="auto"/>
              <w:bottom w:val="outset" w:sz="6" w:space="0" w:color="auto"/>
              <w:right w:val="outset" w:sz="6" w:space="0" w:color="auto"/>
            </w:tcBorders>
            <w:hideMark/>
          </w:tcPr>
          <w:p w14:paraId="30951D2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638CE55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F46477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362F8CE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851" w:type="dxa"/>
            <w:tcBorders>
              <w:top w:val="outset" w:sz="6" w:space="0" w:color="auto"/>
              <w:left w:val="outset" w:sz="6" w:space="0" w:color="auto"/>
              <w:bottom w:val="outset" w:sz="6" w:space="0" w:color="auto"/>
              <w:right w:val="outset" w:sz="6" w:space="0" w:color="auto"/>
            </w:tcBorders>
            <w:hideMark/>
          </w:tcPr>
          <w:p w14:paraId="593E0F8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w:t>
            </w:r>
          </w:p>
        </w:tc>
      </w:tr>
      <w:tr w:rsidR="004D4663" w:rsidRPr="00070ADE" w14:paraId="4C96E56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2D81C3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w:t>
            </w:r>
          </w:p>
        </w:tc>
        <w:tc>
          <w:tcPr>
            <w:tcW w:w="3128" w:type="dxa"/>
            <w:tcBorders>
              <w:top w:val="outset" w:sz="6" w:space="0" w:color="auto"/>
              <w:left w:val="outset" w:sz="6" w:space="0" w:color="auto"/>
              <w:bottom w:val="outset" w:sz="6" w:space="0" w:color="auto"/>
              <w:right w:val="outset" w:sz="6" w:space="0" w:color="auto"/>
            </w:tcBorders>
            <w:hideMark/>
          </w:tcPr>
          <w:p w14:paraId="67BE8A8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Механический прицел для бомбометания</w:t>
            </w:r>
          </w:p>
        </w:tc>
        <w:tc>
          <w:tcPr>
            <w:tcW w:w="898" w:type="dxa"/>
            <w:tcBorders>
              <w:top w:val="outset" w:sz="6" w:space="0" w:color="auto"/>
              <w:left w:val="outset" w:sz="6" w:space="0" w:color="auto"/>
              <w:bottom w:val="outset" w:sz="6" w:space="0" w:color="auto"/>
              <w:right w:val="outset" w:sz="6" w:space="0" w:color="auto"/>
            </w:tcBorders>
            <w:hideMark/>
          </w:tcPr>
          <w:p w14:paraId="13D500F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ПБЛ-1</w:t>
            </w:r>
          </w:p>
        </w:tc>
        <w:tc>
          <w:tcPr>
            <w:tcW w:w="709" w:type="dxa"/>
            <w:tcBorders>
              <w:top w:val="outset" w:sz="6" w:space="0" w:color="auto"/>
              <w:left w:val="outset" w:sz="6" w:space="0" w:color="auto"/>
              <w:bottom w:val="outset" w:sz="6" w:space="0" w:color="auto"/>
              <w:right w:val="outset" w:sz="6" w:space="0" w:color="auto"/>
            </w:tcBorders>
            <w:hideMark/>
          </w:tcPr>
          <w:p w14:paraId="6D91AAE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855AD0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9DC4C19"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c>
          <w:tcPr>
            <w:tcW w:w="850" w:type="dxa"/>
            <w:tcBorders>
              <w:top w:val="outset" w:sz="6" w:space="0" w:color="auto"/>
              <w:left w:val="outset" w:sz="6" w:space="0" w:color="auto"/>
              <w:bottom w:val="outset" w:sz="6" w:space="0" w:color="auto"/>
              <w:right w:val="outset" w:sz="6" w:space="0" w:color="auto"/>
            </w:tcBorders>
            <w:hideMark/>
          </w:tcPr>
          <w:p w14:paraId="7360316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2904</w:t>
            </w:r>
          </w:p>
        </w:tc>
        <w:tc>
          <w:tcPr>
            <w:tcW w:w="851" w:type="dxa"/>
            <w:tcBorders>
              <w:top w:val="outset" w:sz="6" w:space="0" w:color="auto"/>
              <w:left w:val="outset" w:sz="6" w:space="0" w:color="auto"/>
              <w:bottom w:val="outset" w:sz="6" w:space="0" w:color="auto"/>
              <w:right w:val="outset" w:sz="6" w:space="0" w:color="auto"/>
            </w:tcBorders>
            <w:hideMark/>
          </w:tcPr>
          <w:p w14:paraId="4C53F97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EE83365"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3EACA8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w:t>
            </w:r>
          </w:p>
        </w:tc>
        <w:tc>
          <w:tcPr>
            <w:tcW w:w="3128" w:type="dxa"/>
            <w:tcBorders>
              <w:top w:val="outset" w:sz="6" w:space="0" w:color="auto"/>
              <w:left w:val="outset" w:sz="6" w:space="0" w:color="auto"/>
              <w:bottom w:val="outset" w:sz="6" w:space="0" w:color="auto"/>
              <w:right w:val="outset" w:sz="6" w:space="0" w:color="auto"/>
            </w:tcBorders>
            <w:hideMark/>
          </w:tcPr>
          <w:p w14:paraId="716956E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Механический прицел для бомбометания</w:t>
            </w:r>
          </w:p>
        </w:tc>
        <w:tc>
          <w:tcPr>
            <w:tcW w:w="898" w:type="dxa"/>
            <w:tcBorders>
              <w:top w:val="outset" w:sz="6" w:space="0" w:color="auto"/>
              <w:left w:val="outset" w:sz="6" w:space="0" w:color="auto"/>
              <w:bottom w:val="outset" w:sz="6" w:space="0" w:color="auto"/>
              <w:right w:val="outset" w:sz="6" w:space="0" w:color="auto"/>
            </w:tcBorders>
            <w:hideMark/>
          </w:tcPr>
          <w:p w14:paraId="71384B1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ПБЛ-2</w:t>
            </w:r>
          </w:p>
        </w:tc>
        <w:tc>
          <w:tcPr>
            <w:tcW w:w="709" w:type="dxa"/>
            <w:tcBorders>
              <w:top w:val="outset" w:sz="6" w:space="0" w:color="auto"/>
              <w:left w:val="outset" w:sz="6" w:space="0" w:color="auto"/>
              <w:bottom w:val="outset" w:sz="6" w:space="0" w:color="auto"/>
              <w:right w:val="outset" w:sz="6" w:space="0" w:color="auto"/>
            </w:tcBorders>
            <w:hideMark/>
          </w:tcPr>
          <w:p w14:paraId="17A5836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3AEDC5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6489C6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4AA3D86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619</w:t>
            </w:r>
          </w:p>
        </w:tc>
        <w:tc>
          <w:tcPr>
            <w:tcW w:w="851" w:type="dxa"/>
            <w:tcBorders>
              <w:top w:val="outset" w:sz="6" w:space="0" w:color="auto"/>
              <w:left w:val="outset" w:sz="6" w:space="0" w:color="auto"/>
              <w:bottom w:val="outset" w:sz="6" w:space="0" w:color="auto"/>
              <w:right w:val="outset" w:sz="6" w:space="0" w:color="auto"/>
            </w:tcBorders>
            <w:hideMark/>
          </w:tcPr>
          <w:p w14:paraId="0AB0E259"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1620</w:t>
            </w:r>
          </w:p>
        </w:tc>
      </w:tr>
      <w:tr w:rsidR="004D4663" w:rsidRPr="00070ADE" w14:paraId="1CF69E71"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D0872F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w:t>
            </w:r>
          </w:p>
        </w:tc>
        <w:tc>
          <w:tcPr>
            <w:tcW w:w="3128" w:type="dxa"/>
            <w:tcBorders>
              <w:top w:val="outset" w:sz="6" w:space="0" w:color="auto"/>
              <w:left w:val="outset" w:sz="6" w:space="0" w:color="auto"/>
              <w:bottom w:val="outset" w:sz="6" w:space="0" w:color="auto"/>
              <w:right w:val="outset" w:sz="6" w:space="0" w:color="auto"/>
            </w:tcBorders>
            <w:hideMark/>
          </w:tcPr>
          <w:p w14:paraId="782F86A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Монокуляры</w:t>
            </w:r>
          </w:p>
        </w:tc>
        <w:tc>
          <w:tcPr>
            <w:tcW w:w="898" w:type="dxa"/>
            <w:tcBorders>
              <w:top w:val="outset" w:sz="6" w:space="0" w:color="auto"/>
              <w:left w:val="outset" w:sz="6" w:space="0" w:color="auto"/>
              <w:bottom w:val="outset" w:sz="6" w:space="0" w:color="auto"/>
              <w:right w:val="outset" w:sz="6" w:space="0" w:color="auto"/>
            </w:tcBorders>
            <w:hideMark/>
          </w:tcPr>
          <w:p w14:paraId="524DD0E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КМТ</w:t>
            </w:r>
          </w:p>
        </w:tc>
        <w:tc>
          <w:tcPr>
            <w:tcW w:w="709" w:type="dxa"/>
            <w:tcBorders>
              <w:top w:val="outset" w:sz="6" w:space="0" w:color="auto"/>
              <w:left w:val="outset" w:sz="6" w:space="0" w:color="auto"/>
              <w:bottom w:val="outset" w:sz="6" w:space="0" w:color="auto"/>
              <w:right w:val="outset" w:sz="6" w:space="0" w:color="auto"/>
            </w:tcBorders>
            <w:hideMark/>
          </w:tcPr>
          <w:p w14:paraId="0E53B06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BA2C5F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E9091A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3B31A5F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AB8C1F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497</w:t>
            </w:r>
          </w:p>
        </w:tc>
      </w:tr>
      <w:tr w:rsidR="004D4663" w:rsidRPr="00070ADE" w14:paraId="1A3EDD29"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C290A0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w:t>
            </w:r>
          </w:p>
        </w:tc>
        <w:tc>
          <w:tcPr>
            <w:tcW w:w="3128" w:type="dxa"/>
            <w:tcBorders>
              <w:top w:val="outset" w:sz="6" w:space="0" w:color="auto"/>
              <w:left w:val="outset" w:sz="6" w:space="0" w:color="auto"/>
              <w:bottom w:val="outset" w:sz="6" w:space="0" w:color="auto"/>
              <w:right w:val="outset" w:sz="6" w:space="0" w:color="auto"/>
            </w:tcBorders>
            <w:hideMark/>
          </w:tcPr>
          <w:p w14:paraId="0D72722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Узлы оптики для КМТ</w:t>
            </w:r>
          </w:p>
        </w:tc>
        <w:tc>
          <w:tcPr>
            <w:tcW w:w="898" w:type="dxa"/>
            <w:tcBorders>
              <w:top w:val="outset" w:sz="6" w:space="0" w:color="auto"/>
              <w:left w:val="outset" w:sz="6" w:space="0" w:color="auto"/>
              <w:bottom w:val="outset" w:sz="6" w:space="0" w:color="auto"/>
              <w:right w:val="outset" w:sz="6" w:space="0" w:color="auto"/>
            </w:tcBorders>
            <w:hideMark/>
          </w:tcPr>
          <w:p w14:paraId="7A912FA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КМТ-1</w:t>
            </w:r>
          </w:p>
        </w:tc>
        <w:tc>
          <w:tcPr>
            <w:tcW w:w="709" w:type="dxa"/>
            <w:tcBorders>
              <w:top w:val="outset" w:sz="6" w:space="0" w:color="auto"/>
              <w:left w:val="outset" w:sz="6" w:space="0" w:color="auto"/>
              <w:bottom w:val="outset" w:sz="6" w:space="0" w:color="auto"/>
              <w:right w:val="outset" w:sz="6" w:space="0" w:color="auto"/>
            </w:tcBorders>
            <w:hideMark/>
          </w:tcPr>
          <w:p w14:paraId="2EDF224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133694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C5B381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0284908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1510</w:t>
            </w:r>
          </w:p>
        </w:tc>
        <w:tc>
          <w:tcPr>
            <w:tcW w:w="851" w:type="dxa"/>
            <w:tcBorders>
              <w:top w:val="outset" w:sz="6" w:space="0" w:color="auto"/>
              <w:left w:val="outset" w:sz="6" w:space="0" w:color="auto"/>
              <w:bottom w:val="outset" w:sz="6" w:space="0" w:color="auto"/>
              <w:right w:val="outset" w:sz="6" w:space="0" w:color="auto"/>
            </w:tcBorders>
            <w:hideMark/>
          </w:tcPr>
          <w:p w14:paraId="32A90C0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637171E"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8B720F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3128" w:type="dxa"/>
            <w:tcBorders>
              <w:top w:val="outset" w:sz="6" w:space="0" w:color="auto"/>
              <w:left w:val="outset" w:sz="6" w:space="0" w:color="auto"/>
              <w:bottom w:val="outset" w:sz="6" w:space="0" w:color="auto"/>
              <w:right w:val="outset" w:sz="6" w:space="0" w:color="auto"/>
            </w:tcBorders>
            <w:hideMark/>
          </w:tcPr>
          <w:p w14:paraId="2479ABD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Прибор для ночного видения (см. часть).</w:t>
            </w:r>
          </w:p>
        </w:tc>
        <w:tc>
          <w:tcPr>
            <w:tcW w:w="898" w:type="dxa"/>
            <w:tcBorders>
              <w:top w:val="outset" w:sz="6" w:space="0" w:color="auto"/>
              <w:left w:val="outset" w:sz="6" w:space="0" w:color="auto"/>
              <w:bottom w:val="outset" w:sz="6" w:space="0" w:color="auto"/>
              <w:right w:val="outset" w:sz="6" w:space="0" w:color="auto"/>
            </w:tcBorders>
            <w:hideMark/>
          </w:tcPr>
          <w:p w14:paraId="6AC1D21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КМТ-2</w:t>
            </w:r>
          </w:p>
        </w:tc>
        <w:tc>
          <w:tcPr>
            <w:tcW w:w="709" w:type="dxa"/>
            <w:tcBorders>
              <w:top w:val="outset" w:sz="6" w:space="0" w:color="auto"/>
              <w:left w:val="outset" w:sz="6" w:space="0" w:color="auto"/>
              <w:bottom w:val="outset" w:sz="6" w:space="0" w:color="auto"/>
              <w:right w:val="outset" w:sz="6" w:space="0" w:color="auto"/>
            </w:tcBorders>
            <w:hideMark/>
          </w:tcPr>
          <w:p w14:paraId="28A5695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6CC5FB4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2469FA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6A66914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1020</w:t>
            </w:r>
          </w:p>
        </w:tc>
        <w:tc>
          <w:tcPr>
            <w:tcW w:w="851" w:type="dxa"/>
            <w:tcBorders>
              <w:top w:val="outset" w:sz="6" w:space="0" w:color="auto"/>
              <w:left w:val="outset" w:sz="6" w:space="0" w:color="auto"/>
              <w:bottom w:val="outset" w:sz="6" w:space="0" w:color="auto"/>
              <w:right w:val="outset" w:sz="6" w:space="0" w:color="auto"/>
            </w:tcBorders>
            <w:hideMark/>
          </w:tcPr>
          <w:p w14:paraId="7BDFDD3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625</w:t>
            </w:r>
          </w:p>
        </w:tc>
      </w:tr>
      <w:tr w:rsidR="004D4663" w:rsidRPr="00070ADE" w14:paraId="64A09BE3"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1A7ECF5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w:t>
            </w:r>
          </w:p>
        </w:tc>
        <w:tc>
          <w:tcPr>
            <w:tcW w:w="3128" w:type="dxa"/>
            <w:tcBorders>
              <w:top w:val="outset" w:sz="6" w:space="0" w:color="auto"/>
              <w:left w:val="outset" w:sz="6" w:space="0" w:color="auto"/>
              <w:bottom w:val="outset" w:sz="6" w:space="0" w:color="auto"/>
              <w:right w:val="outset" w:sz="6" w:space="0" w:color="auto"/>
            </w:tcBorders>
            <w:hideMark/>
          </w:tcPr>
          <w:p w14:paraId="0DE3FBB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Прибор для ночного видения (см. часть).</w:t>
            </w:r>
          </w:p>
        </w:tc>
        <w:tc>
          <w:tcPr>
            <w:tcW w:w="898" w:type="dxa"/>
            <w:tcBorders>
              <w:top w:val="outset" w:sz="6" w:space="0" w:color="auto"/>
              <w:left w:val="outset" w:sz="6" w:space="0" w:color="auto"/>
              <w:bottom w:val="outset" w:sz="6" w:space="0" w:color="auto"/>
              <w:right w:val="outset" w:sz="6" w:space="0" w:color="auto"/>
            </w:tcBorders>
            <w:hideMark/>
          </w:tcPr>
          <w:p w14:paraId="7E3D6D0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БИС-26</w:t>
            </w:r>
          </w:p>
        </w:tc>
        <w:tc>
          <w:tcPr>
            <w:tcW w:w="709" w:type="dxa"/>
            <w:tcBorders>
              <w:top w:val="outset" w:sz="6" w:space="0" w:color="auto"/>
              <w:left w:val="outset" w:sz="6" w:space="0" w:color="auto"/>
              <w:bottom w:val="outset" w:sz="6" w:space="0" w:color="auto"/>
              <w:right w:val="outset" w:sz="6" w:space="0" w:color="auto"/>
            </w:tcBorders>
            <w:hideMark/>
          </w:tcPr>
          <w:p w14:paraId="158CB0E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16BAEC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B1D548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tc>
        <w:tc>
          <w:tcPr>
            <w:tcW w:w="850" w:type="dxa"/>
            <w:tcBorders>
              <w:top w:val="outset" w:sz="6" w:space="0" w:color="auto"/>
              <w:left w:val="outset" w:sz="6" w:space="0" w:color="auto"/>
              <w:bottom w:val="outset" w:sz="6" w:space="0" w:color="auto"/>
              <w:right w:val="outset" w:sz="6" w:space="0" w:color="auto"/>
            </w:tcBorders>
            <w:hideMark/>
          </w:tcPr>
          <w:p w14:paraId="1F415E8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9D4D29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20A9C1F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0893EE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w:t>
            </w:r>
          </w:p>
        </w:tc>
        <w:tc>
          <w:tcPr>
            <w:tcW w:w="3128" w:type="dxa"/>
            <w:tcBorders>
              <w:top w:val="outset" w:sz="6" w:space="0" w:color="auto"/>
              <w:left w:val="outset" w:sz="6" w:space="0" w:color="auto"/>
              <w:bottom w:val="outset" w:sz="6" w:space="0" w:color="auto"/>
              <w:right w:val="outset" w:sz="6" w:space="0" w:color="auto"/>
            </w:tcBorders>
            <w:hideMark/>
          </w:tcPr>
          <w:p w14:paraId="2C3F5C9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Стволы миномета</w:t>
            </w:r>
          </w:p>
        </w:tc>
        <w:tc>
          <w:tcPr>
            <w:tcW w:w="898" w:type="dxa"/>
            <w:tcBorders>
              <w:top w:val="outset" w:sz="6" w:space="0" w:color="auto"/>
              <w:left w:val="outset" w:sz="6" w:space="0" w:color="auto"/>
              <w:bottom w:val="outset" w:sz="6" w:space="0" w:color="auto"/>
              <w:right w:val="outset" w:sz="6" w:space="0" w:color="auto"/>
            </w:tcBorders>
            <w:hideMark/>
          </w:tcPr>
          <w:p w14:paraId="15D0E96D" w14:textId="77777777" w:rsidR="00B652F7" w:rsidRPr="00070ADE" w:rsidRDefault="00B652F7" w:rsidP="00B56F90">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0A97B94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79AB9D3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7BC177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462</w:t>
            </w:r>
          </w:p>
        </w:tc>
        <w:tc>
          <w:tcPr>
            <w:tcW w:w="850" w:type="dxa"/>
            <w:tcBorders>
              <w:top w:val="outset" w:sz="6" w:space="0" w:color="auto"/>
              <w:left w:val="outset" w:sz="6" w:space="0" w:color="auto"/>
              <w:bottom w:val="outset" w:sz="6" w:space="0" w:color="auto"/>
              <w:right w:val="outset" w:sz="6" w:space="0" w:color="auto"/>
            </w:tcBorders>
            <w:hideMark/>
          </w:tcPr>
          <w:p w14:paraId="15DC506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00526A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35ADDD7"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B82278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w:t>
            </w:r>
          </w:p>
        </w:tc>
        <w:tc>
          <w:tcPr>
            <w:tcW w:w="3128" w:type="dxa"/>
            <w:tcBorders>
              <w:top w:val="outset" w:sz="6" w:space="0" w:color="auto"/>
              <w:left w:val="outset" w:sz="6" w:space="0" w:color="auto"/>
              <w:bottom w:val="outset" w:sz="6" w:space="0" w:color="auto"/>
              <w:right w:val="outset" w:sz="6" w:space="0" w:color="auto"/>
            </w:tcBorders>
            <w:hideMark/>
          </w:tcPr>
          <w:p w14:paraId="3B32110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0AC3DD8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И-4</w:t>
            </w:r>
          </w:p>
        </w:tc>
        <w:tc>
          <w:tcPr>
            <w:tcW w:w="709" w:type="dxa"/>
            <w:tcBorders>
              <w:top w:val="outset" w:sz="6" w:space="0" w:color="auto"/>
              <w:left w:val="outset" w:sz="6" w:space="0" w:color="auto"/>
              <w:bottom w:val="outset" w:sz="6" w:space="0" w:color="auto"/>
              <w:right w:val="outset" w:sz="6" w:space="0" w:color="auto"/>
            </w:tcBorders>
            <w:hideMark/>
          </w:tcPr>
          <w:p w14:paraId="1715A54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471B76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996EAB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w:t>
            </w:r>
          </w:p>
        </w:tc>
        <w:tc>
          <w:tcPr>
            <w:tcW w:w="850" w:type="dxa"/>
            <w:tcBorders>
              <w:top w:val="outset" w:sz="6" w:space="0" w:color="auto"/>
              <w:left w:val="outset" w:sz="6" w:space="0" w:color="auto"/>
              <w:bottom w:val="outset" w:sz="6" w:space="0" w:color="auto"/>
              <w:right w:val="outset" w:sz="6" w:space="0" w:color="auto"/>
            </w:tcBorders>
            <w:hideMark/>
          </w:tcPr>
          <w:p w14:paraId="7DB7AD6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A83F50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53FCAAC"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FFD369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w:t>
            </w:r>
          </w:p>
        </w:tc>
        <w:tc>
          <w:tcPr>
            <w:tcW w:w="3128" w:type="dxa"/>
            <w:tcBorders>
              <w:top w:val="outset" w:sz="6" w:space="0" w:color="auto"/>
              <w:left w:val="outset" w:sz="6" w:space="0" w:color="auto"/>
              <w:bottom w:val="outset" w:sz="6" w:space="0" w:color="auto"/>
              <w:right w:val="outset" w:sz="6" w:space="0" w:color="auto"/>
            </w:tcBorders>
            <w:hideMark/>
          </w:tcPr>
          <w:p w14:paraId="4024A64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590D01E9"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И-13</w:t>
            </w:r>
          </w:p>
        </w:tc>
        <w:tc>
          <w:tcPr>
            <w:tcW w:w="709" w:type="dxa"/>
            <w:tcBorders>
              <w:top w:val="outset" w:sz="6" w:space="0" w:color="auto"/>
              <w:left w:val="outset" w:sz="6" w:space="0" w:color="auto"/>
              <w:bottom w:val="outset" w:sz="6" w:space="0" w:color="auto"/>
              <w:right w:val="outset" w:sz="6" w:space="0" w:color="auto"/>
            </w:tcBorders>
            <w:hideMark/>
          </w:tcPr>
          <w:p w14:paraId="630F1FF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64AE64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12721D6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254</w:t>
            </w:r>
          </w:p>
        </w:tc>
        <w:tc>
          <w:tcPr>
            <w:tcW w:w="850" w:type="dxa"/>
            <w:tcBorders>
              <w:top w:val="outset" w:sz="6" w:space="0" w:color="auto"/>
              <w:left w:val="outset" w:sz="6" w:space="0" w:color="auto"/>
              <w:bottom w:val="outset" w:sz="6" w:space="0" w:color="auto"/>
              <w:right w:val="outset" w:sz="6" w:space="0" w:color="auto"/>
            </w:tcBorders>
            <w:hideMark/>
          </w:tcPr>
          <w:p w14:paraId="3EDF7EF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w:t>
            </w:r>
          </w:p>
        </w:tc>
        <w:tc>
          <w:tcPr>
            <w:tcW w:w="851" w:type="dxa"/>
            <w:tcBorders>
              <w:top w:val="outset" w:sz="6" w:space="0" w:color="auto"/>
              <w:left w:val="outset" w:sz="6" w:space="0" w:color="auto"/>
              <w:bottom w:val="outset" w:sz="6" w:space="0" w:color="auto"/>
              <w:right w:val="outset" w:sz="6" w:space="0" w:color="auto"/>
            </w:tcBorders>
            <w:hideMark/>
          </w:tcPr>
          <w:p w14:paraId="1F16B58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7064923"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B4F0A4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tc>
        <w:tc>
          <w:tcPr>
            <w:tcW w:w="3128" w:type="dxa"/>
            <w:tcBorders>
              <w:top w:val="outset" w:sz="6" w:space="0" w:color="auto"/>
              <w:left w:val="outset" w:sz="6" w:space="0" w:color="auto"/>
              <w:bottom w:val="outset" w:sz="6" w:space="0" w:color="auto"/>
              <w:right w:val="outset" w:sz="6" w:space="0" w:color="auto"/>
            </w:tcBorders>
            <w:hideMark/>
          </w:tcPr>
          <w:p w14:paraId="6249AE1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3FA97F7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И-17</w:t>
            </w:r>
          </w:p>
        </w:tc>
        <w:tc>
          <w:tcPr>
            <w:tcW w:w="709" w:type="dxa"/>
            <w:tcBorders>
              <w:top w:val="outset" w:sz="6" w:space="0" w:color="auto"/>
              <w:left w:val="outset" w:sz="6" w:space="0" w:color="auto"/>
              <w:bottom w:val="outset" w:sz="6" w:space="0" w:color="auto"/>
              <w:right w:val="outset" w:sz="6" w:space="0" w:color="auto"/>
            </w:tcBorders>
            <w:hideMark/>
          </w:tcPr>
          <w:p w14:paraId="648B54B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03DC69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CF7C3E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354</w:t>
            </w:r>
          </w:p>
        </w:tc>
        <w:tc>
          <w:tcPr>
            <w:tcW w:w="850" w:type="dxa"/>
            <w:tcBorders>
              <w:top w:val="outset" w:sz="6" w:space="0" w:color="auto"/>
              <w:left w:val="outset" w:sz="6" w:space="0" w:color="auto"/>
              <w:bottom w:val="outset" w:sz="6" w:space="0" w:color="auto"/>
              <w:right w:val="outset" w:sz="6" w:space="0" w:color="auto"/>
            </w:tcBorders>
            <w:hideMark/>
          </w:tcPr>
          <w:p w14:paraId="782442B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857</w:t>
            </w:r>
          </w:p>
        </w:tc>
        <w:tc>
          <w:tcPr>
            <w:tcW w:w="851" w:type="dxa"/>
            <w:tcBorders>
              <w:top w:val="outset" w:sz="6" w:space="0" w:color="auto"/>
              <w:left w:val="outset" w:sz="6" w:space="0" w:color="auto"/>
              <w:bottom w:val="outset" w:sz="6" w:space="0" w:color="auto"/>
              <w:right w:val="outset" w:sz="6" w:space="0" w:color="auto"/>
            </w:tcBorders>
            <w:hideMark/>
          </w:tcPr>
          <w:p w14:paraId="2220952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w:t>
            </w:r>
          </w:p>
        </w:tc>
      </w:tr>
      <w:tr w:rsidR="004D4663" w:rsidRPr="00070ADE" w14:paraId="30CB4BCA"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730B35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w:t>
            </w:r>
          </w:p>
        </w:tc>
        <w:tc>
          <w:tcPr>
            <w:tcW w:w="3128" w:type="dxa"/>
            <w:tcBorders>
              <w:top w:val="outset" w:sz="6" w:space="0" w:color="auto"/>
              <w:left w:val="outset" w:sz="6" w:space="0" w:color="auto"/>
              <w:bottom w:val="outset" w:sz="6" w:space="0" w:color="auto"/>
              <w:right w:val="outset" w:sz="6" w:space="0" w:color="auto"/>
            </w:tcBorders>
            <w:hideMark/>
          </w:tcPr>
          <w:p w14:paraId="125D9CA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2C4E758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И-51</w:t>
            </w:r>
          </w:p>
        </w:tc>
        <w:tc>
          <w:tcPr>
            <w:tcW w:w="709" w:type="dxa"/>
            <w:tcBorders>
              <w:top w:val="outset" w:sz="6" w:space="0" w:color="auto"/>
              <w:left w:val="outset" w:sz="6" w:space="0" w:color="auto"/>
              <w:bottom w:val="outset" w:sz="6" w:space="0" w:color="auto"/>
              <w:right w:val="outset" w:sz="6" w:space="0" w:color="auto"/>
            </w:tcBorders>
            <w:hideMark/>
          </w:tcPr>
          <w:p w14:paraId="59006A6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7FFDE20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9D4273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6AF2382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tc>
        <w:tc>
          <w:tcPr>
            <w:tcW w:w="851" w:type="dxa"/>
            <w:tcBorders>
              <w:top w:val="outset" w:sz="6" w:space="0" w:color="auto"/>
              <w:left w:val="outset" w:sz="6" w:space="0" w:color="auto"/>
              <w:bottom w:val="outset" w:sz="6" w:space="0" w:color="auto"/>
              <w:right w:val="outset" w:sz="6" w:space="0" w:color="auto"/>
            </w:tcBorders>
            <w:hideMark/>
          </w:tcPr>
          <w:p w14:paraId="69605C8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tc>
      </w:tr>
      <w:tr w:rsidR="004D4663" w:rsidRPr="00070ADE" w14:paraId="666CA6D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227519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w:t>
            </w:r>
          </w:p>
        </w:tc>
        <w:tc>
          <w:tcPr>
            <w:tcW w:w="3128" w:type="dxa"/>
            <w:tcBorders>
              <w:top w:val="outset" w:sz="6" w:space="0" w:color="auto"/>
              <w:left w:val="outset" w:sz="6" w:space="0" w:color="auto"/>
              <w:bottom w:val="outset" w:sz="6" w:space="0" w:color="auto"/>
              <w:right w:val="outset" w:sz="6" w:space="0" w:color="auto"/>
            </w:tcBorders>
            <w:hideMark/>
          </w:tcPr>
          <w:p w14:paraId="3970B83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Аэрофототелеобъектив</w:t>
            </w:r>
          </w:p>
        </w:tc>
        <w:tc>
          <w:tcPr>
            <w:tcW w:w="898" w:type="dxa"/>
            <w:tcBorders>
              <w:top w:val="outset" w:sz="6" w:space="0" w:color="auto"/>
              <w:left w:val="outset" w:sz="6" w:space="0" w:color="auto"/>
              <w:bottom w:val="outset" w:sz="6" w:space="0" w:color="auto"/>
              <w:right w:val="outset" w:sz="6" w:space="0" w:color="auto"/>
            </w:tcBorders>
            <w:hideMark/>
          </w:tcPr>
          <w:p w14:paraId="3458B51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Ф-3</w:t>
            </w:r>
          </w:p>
        </w:tc>
        <w:tc>
          <w:tcPr>
            <w:tcW w:w="709" w:type="dxa"/>
            <w:tcBorders>
              <w:top w:val="outset" w:sz="6" w:space="0" w:color="auto"/>
              <w:left w:val="outset" w:sz="6" w:space="0" w:color="auto"/>
              <w:bottom w:val="outset" w:sz="6" w:space="0" w:color="auto"/>
              <w:right w:val="outset" w:sz="6" w:space="0" w:color="auto"/>
            </w:tcBorders>
            <w:hideMark/>
          </w:tcPr>
          <w:p w14:paraId="4A28BF7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1845752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3BACDD0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840</w:t>
            </w:r>
          </w:p>
        </w:tc>
        <w:tc>
          <w:tcPr>
            <w:tcW w:w="850" w:type="dxa"/>
            <w:tcBorders>
              <w:top w:val="outset" w:sz="6" w:space="0" w:color="auto"/>
              <w:left w:val="outset" w:sz="6" w:space="0" w:color="auto"/>
              <w:bottom w:val="outset" w:sz="6" w:space="0" w:color="auto"/>
              <w:right w:val="outset" w:sz="6" w:space="0" w:color="auto"/>
            </w:tcBorders>
            <w:hideMark/>
          </w:tcPr>
          <w:p w14:paraId="71A7DFF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w:t>
            </w:r>
          </w:p>
        </w:tc>
        <w:tc>
          <w:tcPr>
            <w:tcW w:w="851" w:type="dxa"/>
            <w:tcBorders>
              <w:top w:val="outset" w:sz="6" w:space="0" w:color="auto"/>
              <w:left w:val="outset" w:sz="6" w:space="0" w:color="auto"/>
              <w:bottom w:val="outset" w:sz="6" w:space="0" w:color="auto"/>
              <w:right w:val="outset" w:sz="6" w:space="0" w:color="auto"/>
            </w:tcBorders>
            <w:hideMark/>
          </w:tcPr>
          <w:p w14:paraId="50479D5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20DA7751"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14A615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w:t>
            </w:r>
          </w:p>
        </w:tc>
        <w:tc>
          <w:tcPr>
            <w:tcW w:w="3128" w:type="dxa"/>
            <w:tcBorders>
              <w:top w:val="outset" w:sz="6" w:space="0" w:color="auto"/>
              <w:left w:val="outset" w:sz="6" w:space="0" w:color="auto"/>
              <w:bottom w:val="outset" w:sz="6" w:space="0" w:color="auto"/>
              <w:right w:val="outset" w:sz="6" w:space="0" w:color="auto"/>
            </w:tcBorders>
            <w:hideMark/>
          </w:tcPr>
          <w:p w14:paraId="4D847C5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6EA3626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Г-8</w:t>
            </w:r>
          </w:p>
        </w:tc>
        <w:tc>
          <w:tcPr>
            <w:tcW w:w="709" w:type="dxa"/>
            <w:tcBorders>
              <w:top w:val="outset" w:sz="6" w:space="0" w:color="auto"/>
              <w:left w:val="outset" w:sz="6" w:space="0" w:color="auto"/>
              <w:bottom w:val="outset" w:sz="6" w:space="0" w:color="auto"/>
              <w:right w:val="outset" w:sz="6" w:space="0" w:color="auto"/>
            </w:tcBorders>
            <w:hideMark/>
          </w:tcPr>
          <w:p w14:paraId="0D0233B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8863BA9"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40AB8FD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850" w:type="dxa"/>
            <w:tcBorders>
              <w:top w:val="outset" w:sz="6" w:space="0" w:color="auto"/>
              <w:left w:val="outset" w:sz="6" w:space="0" w:color="auto"/>
              <w:bottom w:val="outset" w:sz="6" w:space="0" w:color="auto"/>
              <w:right w:val="outset" w:sz="6" w:space="0" w:color="auto"/>
            </w:tcBorders>
            <w:hideMark/>
          </w:tcPr>
          <w:p w14:paraId="10BB30D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84C440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2250D9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8202FD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w:t>
            </w:r>
          </w:p>
        </w:tc>
        <w:tc>
          <w:tcPr>
            <w:tcW w:w="3128" w:type="dxa"/>
            <w:tcBorders>
              <w:top w:val="outset" w:sz="6" w:space="0" w:color="auto"/>
              <w:left w:val="outset" w:sz="6" w:space="0" w:color="auto"/>
              <w:bottom w:val="outset" w:sz="6" w:space="0" w:color="auto"/>
              <w:right w:val="outset" w:sz="6" w:space="0" w:color="auto"/>
            </w:tcBorders>
            <w:hideMark/>
          </w:tcPr>
          <w:p w14:paraId="05D968D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00989AA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Г-9</w:t>
            </w:r>
          </w:p>
        </w:tc>
        <w:tc>
          <w:tcPr>
            <w:tcW w:w="709" w:type="dxa"/>
            <w:tcBorders>
              <w:top w:val="outset" w:sz="6" w:space="0" w:color="auto"/>
              <w:left w:val="outset" w:sz="6" w:space="0" w:color="auto"/>
              <w:bottom w:val="outset" w:sz="6" w:space="0" w:color="auto"/>
              <w:right w:val="outset" w:sz="6" w:space="0" w:color="auto"/>
            </w:tcBorders>
            <w:hideMark/>
          </w:tcPr>
          <w:p w14:paraId="79721DF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9F434A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1895627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w:t>
            </w:r>
          </w:p>
        </w:tc>
        <w:tc>
          <w:tcPr>
            <w:tcW w:w="850" w:type="dxa"/>
            <w:tcBorders>
              <w:top w:val="outset" w:sz="6" w:space="0" w:color="auto"/>
              <w:left w:val="outset" w:sz="6" w:space="0" w:color="auto"/>
              <w:bottom w:val="outset" w:sz="6" w:space="0" w:color="auto"/>
              <w:right w:val="outset" w:sz="6" w:space="0" w:color="auto"/>
            </w:tcBorders>
            <w:hideMark/>
          </w:tcPr>
          <w:p w14:paraId="35EEF04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2A84C27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91E4031"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28678A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tc>
        <w:tc>
          <w:tcPr>
            <w:tcW w:w="3128" w:type="dxa"/>
            <w:tcBorders>
              <w:top w:val="outset" w:sz="6" w:space="0" w:color="auto"/>
              <w:left w:val="outset" w:sz="6" w:space="0" w:color="auto"/>
              <w:bottom w:val="outset" w:sz="6" w:space="0" w:color="auto"/>
              <w:right w:val="outset" w:sz="6" w:space="0" w:color="auto"/>
            </w:tcBorders>
            <w:hideMark/>
          </w:tcPr>
          <w:p w14:paraId="1BD0482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206C1E8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Г-10</w:t>
            </w:r>
          </w:p>
        </w:tc>
        <w:tc>
          <w:tcPr>
            <w:tcW w:w="709" w:type="dxa"/>
            <w:tcBorders>
              <w:top w:val="outset" w:sz="6" w:space="0" w:color="auto"/>
              <w:left w:val="outset" w:sz="6" w:space="0" w:color="auto"/>
              <w:bottom w:val="outset" w:sz="6" w:space="0" w:color="auto"/>
              <w:right w:val="outset" w:sz="6" w:space="0" w:color="auto"/>
            </w:tcBorders>
            <w:hideMark/>
          </w:tcPr>
          <w:p w14:paraId="6EDC53F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158E480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E6D326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w:t>
            </w:r>
          </w:p>
        </w:tc>
        <w:tc>
          <w:tcPr>
            <w:tcW w:w="850" w:type="dxa"/>
            <w:tcBorders>
              <w:top w:val="outset" w:sz="6" w:space="0" w:color="auto"/>
              <w:left w:val="outset" w:sz="6" w:space="0" w:color="auto"/>
              <w:bottom w:val="outset" w:sz="6" w:space="0" w:color="auto"/>
              <w:right w:val="outset" w:sz="6" w:space="0" w:color="auto"/>
            </w:tcBorders>
            <w:hideMark/>
          </w:tcPr>
          <w:p w14:paraId="0E3312F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86BC2D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2FDD53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891775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w:t>
            </w:r>
          </w:p>
        </w:tc>
        <w:tc>
          <w:tcPr>
            <w:tcW w:w="3128" w:type="dxa"/>
            <w:tcBorders>
              <w:top w:val="outset" w:sz="6" w:space="0" w:color="auto"/>
              <w:left w:val="outset" w:sz="6" w:space="0" w:color="auto"/>
              <w:bottom w:val="outset" w:sz="6" w:space="0" w:color="auto"/>
              <w:right w:val="outset" w:sz="6" w:space="0" w:color="auto"/>
            </w:tcBorders>
            <w:hideMark/>
          </w:tcPr>
          <w:p w14:paraId="5F9BE86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Аэрофотообъектив</w:t>
            </w:r>
          </w:p>
        </w:tc>
        <w:tc>
          <w:tcPr>
            <w:tcW w:w="898" w:type="dxa"/>
            <w:tcBorders>
              <w:top w:val="outset" w:sz="6" w:space="0" w:color="auto"/>
              <w:left w:val="outset" w:sz="6" w:space="0" w:color="auto"/>
              <w:bottom w:val="outset" w:sz="6" w:space="0" w:color="auto"/>
              <w:right w:val="outset" w:sz="6" w:space="0" w:color="auto"/>
            </w:tcBorders>
            <w:hideMark/>
          </w:tcPr>
          <w:p w14:paraId="7B304A5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В-1</w:t>
            </w:r>
          </w:p>
        </w:tc>
        <w:tc>
          <w:tcPr>
            <w:tcW w:w="709" w:type="dxa"/>
            <w:tcBorders>
              <w:top w:val="outset" w:sz="6" w:space="0" w:color="auto"/>
              <w:left w:val="outset" w:sz="6" w:space="0" w:color="auto"/>
              <w:bottom w:val="outset" w:sz="6" w:space="0" w:color="auto"/>
              <w:right w:val="outset" w:sz="6" w:space="0" w:color="auto"/>
            </w:tcBorders>
            <w:hideMark/>
          </w:tcPr>
          <w:p w14:paraId="06A0633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20B01A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B4A76B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850" w:type="dxa"/>
            <w:tcBorders>
              <w:top w:val="outset" w:sz="6" w:space="0" w:color="auto"/>
              <w:left w:val="outset" w:sz="6" w:space="0" w:color="auto"/>
              <w:bottom w:val="outset" w:sz="6" w:space="0" w:color="auto"/>
              <w:right w:val="outset" w:sz="6" w:space="0" w:color="auto"/>
            </w:tcBorders>
            <w:hideMark/>
          </w:tcPr>
          <w:p w14:paraId="42B96D0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E97720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8F6D82B"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EE8E5E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w:t>
            </w:r>
          </w:p>
        </w:tc>
        <w:tc>
          <w:tcPr>
            <w:tcW w:w="3128" w:type="dxa"/>
            <w:tcBorders>
              <w:top w:val="outset" w:sz="6" w:space="0" w:color="auto"/>
              <w:left w:val="outset" w:sz="6" w:space="0" w:color="auto"/>
              <w:bottom w:val="outset" w:sz="6" w:space="0" w:color="auto"/>
              <w:right w:val="outset" w:sz="6" w:space="0" w:color="auto"/>
            </w:tcBorders>
            <w:hideMark/>
          </w:tcPr>
          <w:p w14:paraId="17C7FFB9"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Танковые призмы</w:t>
            </w:r>
          </w:p>
        </w:tc>
        <w:tc>
          <w:tcPr>
            <w:tcW w:w="898" w:type="dxa"/>
            <w:tcBorders>
              <w:top w:val="outset" w:sz="6" w:space="0" w:color="auto"/>
              <w:left w:val="outset" w:sz="6" w:space="0" w:color="auto"/>
              <w:bottom w:val="outset" w:sz="6" w:space="0" w:color="auto"/>
              <w:right w:val="outset" w:sz="6" w:space="0" w:color="auto"/>
            </w:tcBorders>
            <w:hideMark/>
          </w:tcPr>
          <w:p w14:paraId="6EAA0FE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ТП</w:t>
            </w:r>
          </w:p>
        </w:tc>
        <w:tc>
          <w:tcPr>
            <w:tcW w:w="709" w:type="dxa"/>
            <w:tcBorders>
              <w:top w:val="outset" w:sz="6" w:space="0" w:color="auto"/>
              <w:left w:val="outset" w:sz="6" w:space="0" w:color="auto"/>
              <w:bottom w:val="outset" w:sz="6" w:space="0" w:color="auto"/>
              <w:right w:val="outset" w:sz="6" w:space="0" w:color="auto"/>
            </w:tcBorders>
            <w:hideMark/>
          </w:tcPr>
          <w:p w14:paraId="0D311DD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30534E0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6E5128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17380</w:t>
            </w:r>
          </w:p>
        </w:tc>
        <w:tc>
          <w:tcPr>
            <w:tcW w:w="850" w:type="dxa"/>
            <w:tcBorders>
              <w:top w:val="outset" w:sz="6" w:space="0" w:color="auto"/>
              <w:left w:val="outset" w:sz="6" w:space="0" w:color="auto"/>
              <w:bottom w:val="outset" w:sz="6" w:space="0" w:color="auto"/>
              <w:right w:val="outset" w:sz="6" w:space="0" w:color="auto"/>
            </w:tcBorders>
            <w:hideMark/>
          </w:tcPr>
          <w:p w14:paraId="1D03759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11084</w:t>
            </w:r>
          </w:p>
        </w:tc>
        <w:tc>
          <w:tcPr>
            <w:tcW w:w="851" w:type="dxa"/>
            <w:tcBorders>
              <w:top w:val="outset" w:sz="6" w:space="0" w:color="auto"/>
              <w:left w:val="outset" w:sz="6" w:space="0" w:color="auto"/>
              <w:bottom w:val="outset" w:sz="6" w:space="0" w:color="auto"/>
              <w:right w:val="outset" w:sz="6" w:space="0" w:color="auto"/>
            </w:tcBorders>
            <w:hideMark/>
          </w:tcPr>
          <w:p w14:paraId="28C216F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D55168B"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70CFC16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w:t>
            </w:r>
          </w:p>
        </w:tc>
        <w:tc>
          <w:tcPr>
            <w:tcW w:w="3128" w:type="dxa"/>
            <w:tcBorders>
              <w:top w:val="outset" w:sz="6" w:space="0" w:color="auto"/>
              <w:left w:val="outset" w:sz="6" w:space="0" w:color="auto"/>
              <w:bottom w:val="outset" w:sz="6" w:space="0" w:color="auto"/>
              <w:right w:val="outset" w:sz="6" w:space="0" w:color="auto"/>
            </w:tcBorders>
            <w:hideMark/>
          </w:tcPr>
          <w:p w14:paraId="6D3CBB0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Комплект танковых призм для МК-4</w:t>
            </w:r>
          </w:p>
        </w:tc>
        <w:tc>
          <w:tcPr>
            <w:tcW w:w="898" w:type="dxa"/>
            <w:tcBorders>
              <w:top w:val="outset" w:sz="6" w:space="0" w:color="auto"/>
              <w:left w:val="outset" w:sz="6" w:space="0" w:color="auto"/>
              <w:bottom w:val="outset" w:sz="6" w:space="0" w:color="auto"/>
              <w:right w:val="outset" w:sz="6" w:space="0" w:color="auto"/>
            </w:tcBorders>
            <w:hideMark/>
          </w:tcPr>
          <w:p w14:paraId="4DDFF78C" w14:textId="77777777" w:rsidR="00B652F7" w:rsidRPr="00070ADE" w:rsidRDefault="00B652F7" w:rsidP="00B56F90">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2428A76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46A9EED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03C3CD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21F7E22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6276</w:t>
            </w:r>
          </w:p>
        </w:tc>
        <w:tc>
          <w:tcPr>
            <w:tcW w:w="851" w:type="dxa"/>
            <w:tcBorders>
              <w:top w:val="outset" w:sz="6" w:space="0" w:color="auto"/>
              <w:left w:val="outset" w:sz="6" w:space="0" w:color="auto"/>
              <w:bottom w:val="outset" w:sz="6" w:space="0" w:color="auto"/>
              <w:right w:val="outset" w:sz="6" w:space="0" w:color="auto"/>
            </w:tcBorders>
            <w:hideMark/>
          </w:tcPr>
          <w:p w14:paraId="3DAC7D7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5199</w:t>
            </w:r>
          </w:p>
        </w:tc>
      </w:tr>
      <w:tr w:rsidR="004D4663" w:rsidRPr="00070ADE" w14:paraId="4D0CD7C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44E98B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w:t>
            </w:r>
          </w:p>
        </w:tc>
        <w:tc>
          <w:tcPr>
            <w:tcW w:w="3128" w:type="dxa"/>
            <w:tcBorders>
              <w:top w:val="outset" w:sz="6" w:space="0" w:color="auto"/>
              <w:left w:val="outset" w:sz="6" w:space="0" w:color="auto"/>
              <w:bottom w:val="outset" w:sz="6" w:space="0" w:color="auto"/>
              <w:right w:val="outset" w:sz="6" w:space="0" w:color="auto"/>
            </w:tcBorders>
            <w:hideMark/>
          </w:tcPr>
          <w:p w14:paraId="364512C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Верхняя призма для МК-4</w:t>
            </w:r>
          </w:p>
        </w:tc>
        <w:tc>
          <w:tcPr>
            <w:tcW w:w="898" w:type="dxa"/>
            <w:tcBorders>
              <w:top w:val="outset" w:sz="6" w:space="0" w:color="auto"/>
              <w:left w:val="outset" w:sz="6" w:space="0" w:color="auto"/>
              <w:bottom w:val="outset" w:sz="6" w:space="0" w:color="auto"/>
              <w:right w:val="outset" w:sz="6" w:space="0" w:color="auto"/>
            </w:tcBorders>
            <w:hideMark/>
          </w:tcPr>
          <w:p w14:paraId="12EEFB0C" w14:textId="77777777" w:rsidR="00B652F7" w:rsidRPr="00070ADE" w:rsidRDefault="00B652F7" w:rsidP="00B56F90">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7521B42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909303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08C2F3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7CFBF40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851" w:type="dxa"/>
            <w:tcBorders>
              <w:top w:val="outset" w:sz="6" w:space="0" w:color="auto"/>
              <w:left w:val="outset" w:sz="6" w:space="0" w:color="auto"/>
              <w:bottom w:val="outset" w:sz="6" w:space="0" w:color="auto"/>
              <w:right w:val="outset" w:sz="6" w:space="0" w:color="auto"/>
            </w:tcBorders>
            <w:hideMark/>
          </w:tcPr>
          <w:p w14:paraId="68CE4A7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1350</w:t>
            </w:r>
          </w:p>
        </w:tc>
      </w:tr>
      <w:tr w:rsidR="004D4663" w:rsidRPr="00070ADE" w14:paraId="52746EB0"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0BDFD5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w:t>
            </w:r>
          </w:p>
        </w:tc>
        <w:tc>
          <w:tcPr>
            <w:tcW w:w="3128" w:type="dxa"/>
            <w:tcBorders>
              <w:top w:val="outset" w:sz="6" w:space="0" w:color="auto"/>
              <w:left w:val="outset" w:sz="6" w:space="0" w:color="auto"/>
              <w:bottom w:val="outset" w:sz="6" w:space="0" w:color="auto"/>
              <w:right w:val="outset" w:sz="6" w:space="0" w:color="auto"/>
            </w:tcBorders>
            <w:hideMark/>
          </w:tcPr>
          <w:p w14:paraId="13AD314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Фотоаппарат 13х18</w:t>
            </w:r>
          </w:p>
        </w:tc>
        <w:tc>
          <w:tcPr>
            <w:tcW w:w="898" w:type="dxa"/>
            <w:tcBorders>
              <w:top w:val="outset" w:sz="6" w:space="0" w:color="auto"/>
              <w:left w:val="outset" w:sz="6" w:space="0" w:color="auto"/>
              <w:bottom w:val="outset" w:sz="6" w:space="0" w:color="auto"/>
              <w:right w:val="outset" w:sz="6" w:space="0" w:color="auto"/>
            </w:tcBorders>
            <w:hideMark/>
          </w:tcPr>
          <w:p w14:paraId="7649150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ФА-1318</w:t>
            </w:r>
          </w:p>
        </w:tc>
        <w:tc>
          <w:tcPr>
            <w:tcW w:w="709" w:type="dxa"/>
            <w:tcBorders>
              <w:top w:val="outset" w:sz="6" w:space="0" w:color="auto"/>
              <w:left w:val="outset" w:sz="6" w:space="0" w:color="auto"/>
              <w:bottom w:val="outset" w:sz="6" w:space="0" w:color="auto"/>
              <w:right w:val="outset" w:sz="6" w:space="0" w:color="auto"/>
            </w:tcBorders>
            <w:hideMark/>
          </w:tcPr>
          <w:p w14:paraId="6CB808B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6B33370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w:t>
            </w:r>
          </w:p>
        </w:tc>
        <w:tc>
          <w:tcPr>
            <w:tcW w:w="851" w:type="dxa"/>
            <w:tcBorders>
              <w:top w:val="outset" w:sz="6" w:space="0" w:color="auto"/>
              <w:left w:val="outset" w:sz="6" w:space="0" w:color="auto"/>
              <w:bottom w:val="outset" w:sz="6" w:space="0" w:color="auto"/>
              <w:right w:val="outset" w:sz="6" w:space="0" w:color="auto"/>
            </w:tcBorders>
            <w:hideMark/>
          </w:tcPr>
          <w:p w14:paraId="26D24289"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6B4F508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5CD0D47C"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8BBDB1D"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57C7476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w:t>
            </w:r>
          </w:p>
        </w:tc>
        <w:tc>
          <w:tcPr>
            <w:tcW w:w="3128" w:type="dxa"/>
            <w:tcBorders>
              <w:top w:val="outset" w:sz="6" w:space="0" w:color="auto"/>
              <w:left w:val="outset" w:sz="6" w:space="0" w:color="auto"/>
              <w:bottom w:val="outset" w:sz="6" w:space="0" w:color="auto"/>
              <w:right w:val="outset" w:sz="6" w:space="0" w:color="auto"/>
            </w:tcBorders>
            <w:hideMark/>
          </w:tcPr>
          <w:p w14:paraId="130A2E3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Лупы 4-х кратные</w:t>
            </w:r>
          </w:p>
        </w:tc>
        <w:tc>
          <w:tcPr>
            <w:tcW w:w="898" w:type="dxa"/>
            <w:tcBorders>
              <w:top w:val="outset" w:sz="6" w:space="0" w:color="auto"/>
              <w:left w:val="outset" w:sz="6" w:space="0" w:color="auto"/>
              <w:bottom w:val="outset" w:sz="6" w:space="0" w:color="auto"/>
              <w:right w:val="outset" w:sz="6" w:space="0" w:color="auto"/>
            </w:tcBorders>
            <w:hideMark/>
          </w:tcPr>
          <w:p w14:paraId="089C46AF" w14:textId="77777777" w:rsidR="00B652F7" w:rsidRPr="00070ADE" w:rsidRDefault="00B652F7" w:rsidP="00B56F90">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6E50525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1A74626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DEFA7E9"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6E09931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13300</w:t>
            </w:r>
          </w:p>
        </w:tc>
        <w:tc>
          <w:tcPr>
            <w:tcW w:w="851" w:type="dxa"/>
            <w:tcBorders>
              <w:top w:val="outset" w:sz="6" w:space="0" w:color="auto"/>
              <w:left w:val="outset" w:sz="6" w:space="0" w:color="auto"/>
              <w:bottom w:val="outset" w:sz="6" w:space="0" w:color="auto"/>
              <w:right w:val="outset" w:sz="6" w:space="0" w:color="auto"/>
            </w:tcBorders>
            <w:hideMark/>
          </w:tcPr>
          <w:p w14:paraId="005C1C7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hyperlink r:id="rId135" w:anchor="_ftn2" w:history="1">
              <w:r w:rsidRPr="00070ADE">
                <w:rPr>
                  <w:rFonts w:ascii="Times New Roman" w:hAnsi="Times New Roman"/>
                  <w:color w:val="000000" w:themeColor="text1"/>
                  <w:sz w:val="16"/>
                  <w:szCs w:val="16"/>
                </w:rPr>
                <w:t>[2]</w:t>
              </w:r>
            </w:hyperlink>
          </w:p>
        </w:tc>
      </w:tr>
      <w:tr w:rsidR="004D4663" w:rsidRPr="00070ADE" w14:paraId="0317D61C"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09D1CCF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w:t>
            </w:r>
          </w:p>
        </w:tc>
        <w:tc>
          <w:tcPr>
            <w:tcW w:w="3128" w:type="dxa"/>
            <w:tcBorders>
              <w:top w:val="outset" w:sz="6" w:space="0" w:color="auto"/>
              <w:left w:val="outset" w:sz="6" w:space="0" w:color="auto"/>
              <w:bottom w:val="outset" w:sz="6" w:space="0" w:color="auto"/>
              <w:right w:val="outset" w:sz="6" w:space="0" w:color="auto"/>
            </w:tcBorders>
            <w:hideMark/>
          </w:tcPr>
          <w:p w14:paraId="50B1EBE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Лупы 8-ми кратные</w:t>
            </w:r>
          </w:p>
        </w:tc>
        <w:tc>
          <w:tcPr>
            <w:tcW w:w="898" w:type="dxa"/>
            <w:tcBorders>
              <w:top w:val="outset" w:sz="6" w:space="0" w:color="auto"/>
              <w:left w:val="outset" w:sz="6" w:space="0" w:color="auto"/>
              <w:bottom w:val="outset" w:sz="6" w:space="0" w:color="auto"/>
              <w:right w:val="outset" w:sz="6" w:space="0" w:color="auto"/>
            </w:tcBorders>
            <w:hideMark/>
          </w:tcPr>
          <w:p w14:paraId="54B34578" w14:textId="77777777" w:rsidR="00B652F7" w:rsidRPr="00070ADE" w:rsidRDefault="00B652F7" w:rsidP="00B56F90">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7C7CFCE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61FF5B3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1C5A846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c>
          <w:tcPr>
            <w:tcW w:w="850" w:type="dxa"/>
            <w:tcBorders>
              <w:top w:val="outset" w:sz="6" w:space="0" w:color="auto"/>
              <w:left w:val="outset" w:sz="6" w:space="0" w:color="auto"/>
              <w:bottom w:val="outset" w:sz="6" w:space="0" w:color="auto"/>
              <w:right w:val="outset" w:sz="6" w:space="0" w:color="auto"/>
            </w:tcBorders>
            <w:hideMark/>
          </w:tcPr>
          <w:p w14:paraId="5795305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960</w:t>
            </w:r>
          </w:p>
        </w:tc>
        <w:tc>
          <w:tcPr>
            <w:tcW w:w="851" w:type="dxa"/>
            <w:tcBorders>
              <w:top w:val="outset" w:sz="6" w:space="0" w:color="auto"/>
              <w:left w:val="outset" w:sz="6" w:space="0" w:color="auto"/>
              <w:bottom w:val="outset" w:sz="6" w:space="0" w:color="auto"/>
              <w:right w:val="outset" w:sz="6" w:space="0" w:color="auto"/>
            </w:tcBorders>
            <w:hideMark/>
          </w:tcPr>
          <w:p w14:paraId="116C4EC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292</w:t>
            </w:r>
          </w:p>
        </w:tc>
      </w:tr>
      <w:tr w:rsidR="004D4663" w:rsidRPr="00070ADE" w14:paraId="7A699BA1"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47D9629"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w:t>
            </w:r>
          </w:p>
        </w:tc>
        <w:tc>
          <w:tcPr>
            <w:tcW w:w="3128" w:type="dxa"/>
            <w:tcBorders>
              <w:top w:val="outset" w:sz="6" w:space="0" w:color="auto"/>
              <w:left w:val="outset" w:sz="6" w:space="0" w:color="auto"/>
              <w:bottom w:val="outset" w:sz="6" w:space="0" w:color="auto"/>
              <w:right w:val="outset" w:sz="6" w:space="0" w:color="auto"/>
            </w:tcBorders>
            <w:hideMark/>
          </w:tcPr>
          <w:p w14:paraId="20F6804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Монокуляры Б-6</w:t>
            </w:r>
          </w:p>
        </w:tc>
        <w:tc>
          <w:tcPr>
            <w:tcW w:w="898" w:type="dxa"/>
            <w:tcBorders>
              <w:top w:val="outset" w:sz="6" w:space="0" w:color="auto"/>
              <w:left w:val="outset" w:sz="6" w:space="0" w:color="auto"/>
              <w:bottom w:val="outset" w:sz="6" w:space="0" w:color="auto"/>
              <w:right w:val="outset" w:sz="6" w:space="0" w:color="auto"/>
            </w:tcBorders>
            <w:hideMark/>
          </w:tcPr>
          <w:p w14:paraId="2BA33AE5" w14:textId="77777777" w:rsidR="00B652F7" w:rsidRPr="00070ADE" w:rsidRDefault="00B652F7" w:rsidP="00B56F90">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301731A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4D8413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74B80C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26980DF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1938</w:t>
            </w:r>
          </w:p>
        </w:tc>
        <w:tc>
          <w:tcPr>
            <w:tcW w:w="851" w:type="dxa"/>
            <w:tcBorders>
              <w:top w:val="outset" w:sz="6" w:space="0" w:color="auto"/>
              <w:left w:val="outset" w:sz="6" w:space="0" w:color="auto"/>
              <w:bottom w:val="outset" w:sz="6" w:space="0" w:color="auto"/>
              <w:right w:val="outset" w:sz="6" w:space="0" w:color="auto"/>
            </w:tcBorders>
            <w:hideMark/>
          </w:tcPr>
          <w:p w14:paraId="325B7A2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325</w:t>
            </w:r>
          </w:p>
        </w:tc>
      </w:tr>
      <w:tr w:rsidR="004D4663" w:rsidRPr="00070ADE" w14:paraId="2A81735B"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084668D"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w:t>
            </w:r>
          </w:p>
        </w:tc>
        <w:tc>
          <w:tcPr>
            <w:tcW w:w="3128" w:type="dxa"/>
            <w:tcBorders>
              <w:top w:val="outset" w:sz="6" w:space="0" w:color="auto"/>
              <w:left w:val="outset" w:sz="6" w:space="0" w:color="auto"/>
              <w:bottom w:val="outset" w:sz="6" w:space="0" w:color="auto"/>
              <w:right w:val="outset" w:sz="6" w:space="0" w:color="auto"/>
            </w:tcBorders>
            <w:hideMark/>
          </w:tcPr>
          <w:p w14:paraId="325EFAD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Половинки Б-6</w:t>
            </w:r>
          </w:p>
        </w:tc>
        <w:tc>
          <w:tcPr>
            <w:tcW w:w="898" w:type="dxa"/>
            <w:tcBorders>
              <w:top w:val="outset" w:sz="6" w:space="0" w:color="auto"/>
              <w:left w:val="outset" w:sz="6" w:space="0" w:color="auto"/>
              <w:bottom w:val="outset" w:sz="6" w:space="0" w:color="auto"/>
              <w:right w:val="outset" w:sz="6" w:space="0" w:color="auto"/>
            </w:tcBorders>
            <w:hideMark/>
          </w:tcPr>
          <w:p w14:paraId="00C9550F" w14:textId="77777777" w:rsidR="00B652F7" w:rsidRPr="00070ADE" w:rsidRDefault="00B652F7" w:rsidP="00B56F90">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46D0E33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56A9626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3B30581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48B13CC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705</w:t>
            </w:r>
          </w:p>
        </w:tc>
        <w:tc>
          <w:tcPr>
            <w:tcW w:w="851" w:type="dxa"/>
            <w:tcBorders>
              <w:top w:val="outset" w:sz="6" w:space="0" w:color="auto"/>
              <w:left w:val="outset" w:sz="6" w:space="0" w:color="auto"/>
              <w:bottom w:val="outset" w:sz="6" w:space="0" w:color="auto"/>
              <w:right w:val="outset" w:sz="6" w:space="0" w:color="auto"/>
            </w:tcBorders>
            <w:hideMark/>
          </w:tcPr>
          <w:p w14:paraId="527696B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tc>
      </w:tr>
      <w:tr w:rsidR="004D4663" w:rsidRPr="00070ADE" w14:paraId="2775C58F"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4333215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w:t>
            </w:r>
          </w:p>
        </w:tc>
        <w:tc>
          <w:tcPr>
            <w:tcW w:w="3128" w:type="dxa"/>
            <w:tcBorders>
              <w:top w:val="outset" w:sz="6" w:space="0" w:color="auto"/>
              <w:left w:val="outset" w:sz="6" w:space="0" w:color="auto"/>
              <w:bottom w:val="outset" w:sz="6" w:space="0" w:color="auto"/>
              <w:right w:val="outset" w:sz="6" w:space="0" w:color="auto"/>
            </w:tcBorders>
            <w:hideMark/>
          </w:tcPr>
          <w:p w14:paraId="1B937BD9"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Ампулы уровней</w:t>
            </w:r>
          </w:p>
        </w:tc>
        <w:tc>
          <w:tcPr>
            <w:tcW w:w="898" w:type="dxa"/>
            <w:tcBorders>
              <w:top w:val="outset" w:sz="6" w:space="0" w:color="auto"/>
              <w:left w:val="outset" w:sz="6" w:space="0" w:color="auto"/>
              <w:bottom w:val="outset" w:sz="6" w:space="0" w:color="auto"/>
              <w:right w:val="outset" w:sz="6" w:space="0" w:color="auto"/>
            </w:tcBorders>
            <w:hideMark/>
          </w:tcPr>
          <w:p w14:paraId="0402FADE" w14:textId="77777777" w:rsidR="00B652F7" w:rsidRPr="00070ADE" w:rsidRDefault="00B652F7" w:rsidP="00B56F90">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015ED19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2D9C725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5DC3D10"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4D1F8E0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13387</w:t>
            </w:r>
          </w:p>
        </w:tc>
        <w:tc>
          <w:tcPr>
            <w:tcW w:w="851" w:type="dxa"/>
            <w:tcBorders>
              <w:top w:val="outset" w:sz="6" w:space="0" w:color="auto"/>
              <w:left w:val="outset" w:sz="6" w:space="0" w:color="auto"/>
              <w:bottom w:val="outset" w:sz="6" w:space="0" w:color="auto"/>
              <w:right w:val="outset" w:sz="6" w:space="0" w:color="auto"/>
            </w:tcBorders>
            <w:hideMark/>
          </w:tcPr>
          <w:p w14:paraId="4E978FD5"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7480</w:t>
            </w:r>
          </w:p>
        </w:tc>
      </w:tr>
      <w:tr w:rsidR="004D4663" w:rsidRPr="00070ADE" w14:paraId="16B1B7B5"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6C28B6F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w:t>
            </w:r>
          </w:p>
        </w:tc>
        <w:tc>
          <w:tcPr>
            <w:tcW w:w="3128" w:type="dxa"/>
            <w:tcBorders>
              <w:top w:val="outset" w:sz="6" w:space="0" w:color="auto"/>
              <w:left w:val="outset" w:sz="6" w:space="0" w:color="auto"/>
              <w:bottom w:val="outset" w:sz="6" w:space="0" w:color="auto"/>
              <w:right w:val="outset" w:sz="6" w:space="0" w:color="auto"/>
            </w:tcBorders>
            <w:hideMark/>
          </w:tcPr>
          <w:p w14:paraId="71012961"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Ампулы уровней</w:t>
            </w:r>
          </w:p>
        </w:tc>
        <w:tc>
          <w:tcPr>
            <w:tcW w:w="898" w:type="dxa"/>
            <w:tcBorders>
              <w:top w:val="outset" w:sz="6" w:space="0" w:color="auto"/>
              <w:left w:val="outset" w:sz="6" w:space="0" w:color="auto"/>
              <w:bottom w:val="outset" w:sz="6" w:space="0" w:color="auto"/>
              <w:right w:val="outset" w:sz="6" w:space="0" w:color="auto"/>
            </w:tcBorders>
            <w:hideMark/>
          </w:tcPr>
          <w:p w14:paraId="549D58DC" w14:textId="77777777" w:rsidR="00B652F7" w:rsidRPr="00070ADE" w:rsidRDefault="00B652F7" w:rsidP="00B56F90">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3366DC0B"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0C146FF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0717DB4E"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38355</w:t>
            </w:r>
          </w:p>
        </w:tc>
        <w:tc>
          <w:tcPr>
            <w:tcW w:w="850" w:type="dxa"/>
            <w:tcBorders>
              <w:top w:val="outset" w:sz="6" w:space="0" w:color="auto"/>
              <w:left w:val="outset" w:sz="6" w:space="0" w:color="auto"/>
              <w:bottom w:val="outset" w:sz="6" w:space="0" w:color="auto"/>
              <w:right w:val="outset" w:sz="6" w:space="0" w:color="auto"/>
            </w:tcBorders>
            <w:hideMark/>
          </w:tcPr>
          <w:p w14:paraId="3944F5E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42759</w:t>
            </w:r>
          </w:p>
        </w:tc>
        <w:tc>
          <w:tcPr>
            <w:tcW w:w="851" w:type="dxa"/>
            <w:tcBorders>
              <w:top w:val="outset" w:sz="6" w:space="0" w:color="auto"/>
              <w:left w:val="outset" w:sz="6" w:space="0" w:color="auto"/>
              <w:bottom w:val="outset" w:sz="6" w:space="0" w:color="auto"/>
              <w:right w:val="outset" w:sz="6" w:space="0" w:color="auto"/>
            </w:tcBorders>
            <w:hideMark/>
          </w:tcPr>
          <w:p w14:paraId="2599C1EF"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26597</w:t>
            </w:r>
          </w:p>
        </w:tc>
      </w:tr>
      <w:tr w:rsidR="004D4663" w:rsidRPr="00070ADE" w14:paraId="786DBBB2"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3AE151F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w:t>
            </w:r>
          </w:p>
        </w:tc>
        <w:tc>
          <w:tcPr>
            <w:tcW w:w="3128" w:type="dxa"/>
            <w:tcBorders>
              <w:top w:val="outset" w:sz="6" w:space="0" w:color="auto"/>
              <w:left w:val="outset" w:sz="6" w:space="0" w:color="auto"/>
              <w:bottom w:val="outset" w:sz="6" w:space="0" w:color="auto"/>
              <w:right w:val="outset" w:sz="6" w:space="0" w:color="auto"/>
            </w:tcBorders>
            <w:hideMark/>
          </w:tcPr>
          <w:p w14:paraId="7112B8A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Колодки ПАУ-22</w:t>
            </w:r>
          </w:p>
        </w:tc>
        <w:tc>
          <w:tcPr>
            <w:tcW w:w="898" w:type="dxa"/>
            <w:tcBorders>
              <w:top w:val="outset" w:sz="6" w:space="0" w:color="auto"/>
              <w:left w:val="outset" w:sz="6" w:space="0" w:color="auto"/>
              <w:bottom w:val="outset" w:sz="6" w:space="0" w:color="auto"/>
              <w:right w:val="outset" w:sz="6" w:space="0" w:color="auto"/>
            </w:tcBorders>
            <w:hideMark/>
          </w:tcPr>
          <w:p w14:paraId="764236B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09" w:type="dxa"/>
            <w:tcBorders>
              <w:top w:val="outset" w:sz="6" w:space="0" w:color="auto"/>
              <w:left w:val="outset" w:sz="6" w:space="0" w:color="auto"/>
              <w:bottom w:val="outset" w:sz="6" w:space="0" w:color="auto"/>
              <w:right w:val="outset" w:sz="6" w:space="0" w:color="auto"/>
            </w:tcBorders>
            <w:hideMark/>
          </w:tcPr>
          <w:p w14:paraId="653A84F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850" w:type="dxa"/>
            <w:tcBorders>
              <w:top w:val="outset" w:sz="6" w:space="0" w:color="auto"/>
              <w:left w:val="outset" w:sz="6" w:space="0" w:color="auto"/>
              <w:bottom w:val="outset" w:sz="6" w:space="0" w:color="auto"/>
              <w:right w:val="outset" w:sz="6" w:space="0" w:color="auto"/>
            </w:tcBorders>
            <w:hideMark/>
          </w:tcPr>
          <w:p w14:paraId="110BDA44"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3176</w:t>
            </w:r>
          </w:p>
        </w:tc>
        <w:tc>
          <w:tcPr>
            <w:tcW w:w="851" w:type="dxa"/>
            <w:tcBorders>
              <w:top w:val="outset" w:sz="6" w:space="0" w:color="auto"/>
              <w:left w:val="outset" w:sz="6" w:space="0" w:color="auto"/>
              <w:bottom w:val="outset" w:sz="6" w:space="0" w:color="auto"/>
              <w:right w:val="outset" w:sz="6" w:space="0" w:color="auto"/>
            </w:tcBorders>
            <w:hideMark/>
          </w:tcPr>
          <w:p w14:paraId="0EC110B6"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1FAADDD3"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790CBAF8"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29A348C4" w14:textId="77777777" w:rsidTr="00C074FF">
        <w:trPr>
          <w:tblCellSpacing w:w="0" w:type="dxa"/>
        </w:trPr>
        <w:tc>
          <w:tcPr>
            <w:tcW w:w="644" w:type="dxa"/>
            <w:tcBorders>
              <w:top w:val="outset" w:sz="6" w:space="0" w:color="auto"/>
              <w:left w:val="outset" w:sz="6" w:space="0" w:color="auto"/>
              <w:bottom w:val="outset" w:sz="6" w:space="0" w:color="auto"/>
              <w:right w:val="outset" w:sz="6" w:space="0" w:color="auto"/>
            </w:tcBorders>
            <w:hideMark/>
          </w:tcPr>
          <w:p w14:paraId="24C68265" w14:textId="77777777" w:rsidR="00B652F7" w:rsidRPr="00070ADE" w:rsidRDefault="00B652F7" w:rsidP="00B56F90">
            <w:pPr>
              <w:spacing w:after="0" w:line="240" w:lineRule="auto"/>
              <w:jc w:val="both"/>
              <w:rPr>
                <w:rFonts w:ascii="Times New Roman" w:hAnsi="Times New Roman"/>
                <w:color w:val="000000" w:themeColor="text1"/>
                <w:sz w:val="16"/>
                <w:szCs w:val="16"/>
              </w:rPr>
            </w:pPr>
          </w:p>
        </w:tc>
        <w:tc>
          <w:tcPr>
            <w:tcW w:w="3128" w:type="dxa"/>
            <w:tcBorders>
              <w:top w:val="outset" w:sz="6" w:space="0" w:color="auto"/>
              <w:left w:val="outset" w:sz="6" w:space="0" w:color="auto"/>
              <w:bottom w:val="outset" w:sz="6" w:space="0" w:color="auto"/>
              <w:right w:val="outset" w:sz="6" w:space="0" w:color="auto"/>
            </w:tcBorders>
            <w:hideMark/>
          </w:tcPr>
          <w:p w14:paraId="6E85115D" w14:textId="77777777" w:rsidR="00B652F7" w:rsidRPr="00070ADE" w:rsidRDefault="00B652F7" w:rsidP="00B56F90">
            <w:pPr>
              <w:spacing w:after="0" w:line="240" w:lineRule="auto"/>
              <w:jc w:val="both"/>
              <w:rPr>
                <w:rFonts w:ascii="Times New Roman" w:hAnsi="Times New Roman"/>
                <w:color w:val="000000" w:themeColor="text1"/>
                <w:sz w:val="16"/>
                <w:szCs w:val="16"/>
              </w:rPr>
            </w:pPr>
          </w:p>
        </w:tc>
        <w:tc>
          <w:tcPr>
            <w:tcW w:w="898" w:type="dxa"/>
            <w:tcBorders>
              <w:top w:val="outset" w:sz="6" w:space="0" w:color="auto"/>
              <w:left w:val="outset" w:sz="6" w:space="0" w:color="auto"/>
              <w:bottom w:val="outset" w:sz="6" w:space="0" w:color="auto"/>
              <w:right w:val="outset" w:sz="6" w:space="0" w:color="auto"/>
            </w:tcBorders>
            <w:hideMark/>
          </w:tcPr>
          <w:p w14:paraId="01F8113A" w14:textId="77777777" w:rsidR="00B652F7" w:rsidRPr="00070ADE" w:rsidRDefault="00B652F7" w:rsidP="00B56F90">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24B99C0A" w14:textId="77777777" w:rsidR="00B652F7" w:rsidRPr="00070ADE" w:rsidRDefault="00B652F7" w:rsidP="00B56F90">
            <w:pPr>
              <w:spacing w:after="0" w:line="240" w:lineRule="auto"/>
              <w:jc w:val="both"/>
              <w:rPr>
                <w:rFonts w:ascii="Times New Roman" w:hAnsi="Times New Roman"/>
                <w:color w:val="000000" w:themeColor="text1"/>
                <w:sz w:val="16"/>
                <w:szCs w:val="16"/>
              </w:rPr>
            </w:pPr>
          </w:p>
        </w:tc>
        <w:tc>
          <w:tcPr>
            <w:tcW w:w="850" w:type="dxa"/>
            <w:tcBorders>
              <w:top w:val="outset" w:sz="6" w:space="0" w:color="auto"/>
              <w:left w:val="outset" w:sz="6" w:space="0" w:color="auto"/>
              <w:bottom w:val="outset" w:sz="6" w:space="0" w:color="auto"/>
              <w:right w:val="outset" w:sz="6" w:space="0" w:color="auto"/>
            </w:tcBorders>
            <w:hideMark/>
          </w:tcPr>
          <w:p w14:paraId="7FA3E76D" w14:textId="77777777" w:rsidR="00B652F7" w:rsidRPr="00070ADE" w:rsidRDefault="00B652F7" w:rsidP="00B56F90">
            <w:pPr>
              <w:spacing w:after="0" w:line="240" w:lineRule="auto"/>
              <w:jc w:val="both"/>
              <w:rPr>
                <w:rFonts w:ascii="Times New Roman" w:hAnsi="Times New Roman"/>
                <w:color w:val="000000" w:themeColor="text1"/>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4DF22F7E" w14:textId="77777777" w:rsidR="00B652F7" w:rsidRPr="00070ADE" w:rsidRDefault="00B652F7" w:rsidP="00B56F90">
            <w:pPr>
              <w:spacing w:after="0" w:line="240" w:lineRule="auto"/>
              <w:jc w:val="both"/>
              <w:rPr>
                <w:rFonts w:ascii="Times New Roman" w:hAnsi="Times New Roman"/>
                <w:color w:val="000000" w:themeColor="text1"/>
                <w:sz w:val="16"/>
                <w:szCs w:val="16"/>
              </w:rPr>
            </w:pPr>
          </w:p>
        </w:tc>
        <w:tc>
          <w:tcPr>
            <w:tcW w:w="850" w:type="dxa"/>
            <w:tcBorders>
              <w:top w:val="outset" w:sz="6" w:space="0" w:color="auto"/>
              <w:left w:val="outset" w:sz="6" w:space="0" w:color="auto"/>
              <w:bottom w:val="outset" w:sz="6" w:space="0" w:color="auto"/>
              <w:right w:val="outset" w:sz="6" w:space="0" w:color="auto"/>
            </w:tcBorders>
            <w:hideMark/>
          </w:tcPr>
          <w:p w14:paraId="5F14C804" w14:textId="77777777" w:rsidR="00B652F7" w:rsidRPr="00070ADE" w:rsidRDefault="00B652F7" w:rsidP="00B56F90">
            <w:pPr>
              <w:spacing w:after="0" w:line="240" w:lineRule="auto"/>
              <w:jc w:val="both"/>
              <w:rPr>
                <w:rFonts w:ascii="Times New Roman" w:hAnsi="Times New Roman"/>
                <w:color w:val="000000" w:themeColor="text1"/>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3B4A3A1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hyperlink r:id="rId136" w:anchor="_ftn3" w:history="1">
              <w:r w:rsidRPr="00070ADE">
                <w:rPr>
                  <w:rFonts w:ascii="Times New Roman" w:hAnsi="Times New Roman"/>
                  <w:color w:val="000000" w:themeColor="text1"/>
                  <w:sz w:val="16"/>
                  <w:szCs w:val="16"/>
                </w:rPr>
                <w:t>[3]</w:t>
              </w:r>
            </w:hyperlink>
          </w:p>
        </w:tc>
      </w:tr>
    </w:tbl>
    <w:p w14:paraId="782B5AD2"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завода № 237 Соловьев</w:t>
      </w:r>
    </w:p>
    <w:p w14:paraId="32481F67"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отдела № 62 Шейнин</w:t>
      </w:r>
    </w:p>
    <w:p w14:paraId="13E988AA" w14:textId="77777777" w:rsidR="00B652F7" w:rsidRPr="00070ADE" w:rsidRDefault="00B652F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РТ. Ф. Р-6600. Оп. 1. Д. 76. Л. 224-225. Отпуск (15494).</w:t>
      </w:r>
    </w:p>
    <w:p w14:paraId="012C97DC" w14:textId="77777777" w:rsidR="00B652F7" w:rsidRPr="00070ADE" w:rsidRDefault="00B652F7" w:rsidP="00B56F90">
      <w:pPr>
        <w:spacing w:after="0" w:line="240" w:lineRule="auto"/>
        <w:jc w:val="both"/>
        <w:rPr>
          <w:rFonts w:ascii="Times New Roman" w:hAnsi="Times New Roman"/>
          <w:color w:val="000000" w:themeColor="text1"/>
          <w:sz w:val="16"/>
          <w:szCs w:val="16"/>
        </w:rPr>
      </w:pPr>
    </w:p>
    <w:p w14:paraId="26CA8BF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вышло Постановление ГКО № 5941 О мерах по увеличению добычи и улучшению качества коксующихся углей на шахтах Кузнецкого угольного бассейна. (7234, 21-51,52-75).</w:t>
      </w:r>
    </w:p>
    <w:p w14:paraId="43677F2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86085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4FBF6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374194" w14:textId="77777777" w:rsidR="00075AF1" w:rsidRPr="00070ADE" w:rsidRDefault="00075A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22 мая</w:t>
      </w:r>
      <w:r w:rsidRPr="00070ADE">
        <w:rPr>
          <w:rFonts w:ascii="Times New Roman" w:hAnsi="Times New Roman"/>
          <w:color w:val="000000" w:themeColor="text1"/>
          <w:sz w:val="16"/>
          <w:szCs w:val="16"/>
        </w:rPr>
        <w:t xml:space="preserve"> в 1944 году оперативная сводка Совинформбюро:</w:t>
      </w:r>
    </w:p>
    <w:p w14:paraId="1FDBAC53" w14:textId="77777777" w:rsidR="00075AF1" w:rsidRPr="00070ADE" w:rsidRDefault="00075A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22 мая на фронтах существенных изменений не произошло. За 21 мая в воздушных боях и огнём зенитной артиллерии сбито 17 самолётов противника.</w:t>
      </w:r>
    </w:p>
    <w:p w14:paraId="496EB2A9" w14:textId="77777777" w:rsidR="00075AF1" w:rsidRPr="00070ADE" w:rsidRDefault="00075A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Тирасполь наши части отразили несколько атак противника. В ходе боя уничтожено до 300 гитлеровцев и 3 немецких бронетранспортёра. Взяты пленные. В районе одного села танк старшины Маслова находился в засаде на переднем крае нашей обороны. Рано утром немцы предприняли атаку. Наши танкисты открылы огонь и подожгли два немецких танка. Остальные танки противника быстро повернули назад. Их отход прикрывала самоходная пушка. Танк Маслова вышел из засады и выстрелил в боковую часть вражеского орудия. Бросив самоходную пушку, немцы убежали. Наши танкисты прицепили самоходное орудие к танку и на буксире доставили его в свою часть.</w:t>
      </w:r>
    </w:p>
    <w:p w14:paraId="36C8D450" w14:textId="77777777" w:rsidR="00075AF1" w:rsidRPr="00070ADE" w:rsidRDefault="00075A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немцы пытались вести разведку боем. Встреченные сильным артиллерийским и ружейно-пулемётным огнём, гитлеровцы откатились назад, не достигнув переднего края нашей обороны.</w:t>
      </w:r>
    </w:p>
    <w:p w14:paraId="5185CF83" w14:textId="77777777" w:rsidR="00075AF1" w:rsidRPr="00070ADE" w:rsidRDefault="00075A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Советские лётчики в воздушных боях сбили 2 немецких самолёта. Кроме того, огнём зенитной артиллерии уничтожено 4 самолёта противника.</w:t>
      </w:r>
    </w:p>
    <w:p w14:paraId="1576B540" w14:textId="77777777" w:rsidR="00075AF1" w:rsidRPr="00070ADE" w:rsidRDefault="00075A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Луцк десять разведчиков во главе с лейтенантом Подобиным пробрались в расположение противника. Ночью наши бойцы проникли в крупный населённый пункт, захватили в плен немецкого фельдфебеля и доставили его в штаб своей части.</w:t>
      </w:r>
    </w:p>
    <w:p w14:paraId="061417DE" w14:textId="77777777" w:rsidR="00075AF1" w:rsidRPr="00070ADE" w:rsidRDefault="00075A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имени товарища Сталина, действующий в Минской области, за месяц пустил под откос 12 немецких воинских эшелонов. На шоссейных и грунтовых дорогах партизаны сожгли 19 мостов и взорвали 11 автомашин. Вырезано 82 километра телеграфно-телефонной линии связи противника. В боях с немецкими оккупантами и огнём из засад убито и ранено более 200 гитлеровцев. Партизанские отряды «Искра» и «Знамя» объединёнными силами напали на немецкий воинский эшелон, следовавший к линии фронта. Сожжено 26 вагонов и платформ с различными военными грузами.</w:t>
      </w:r>
    </w:p>
    <w:p w14:paraId="4BE45B4A" w14:textId="77777777" w:rsidR="00075AF1" w:rsidRPr="00070ADE" w:rsidRDefault="00075A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командир роты 3 румынской пехотной дивизии капитан Ион Матрекия рассказал: «Вступление советских войск на территорию Румынии окончательно убедило многих румын в том, что Германия проиграла войну. Офицеры нашего батальона считают дальнейшее сопротивление не только бесполезным, но и гибельным для Румынии. Наши войска плохо вооружены. В Румынии имеется всего лишь один орудийный завод, но им уже давно владеют немцы и забирают себе всю продукцию. 3 дивизия совершенно не имеет крупнокалиберной противотанковой артиллерии. Очень мало автоматического оружия. Не хватает и патронов. Фактическим хозяином Румынии является Киллингер — немецкий наместник в Бухаресте. Некоторые офицеры говорят про Антонеску, что он является дежурным офицером при этом гитлеровском наместнике. Антонеску жертвует румынскими солдатами, лишь бы дать немцам возможность вывезти из страны как можно больше нефти, сырья и продовольствия. Однако теперь с каждым днём увеличивается число румынских солдат и офицеров, которые не хотят сражаться на стороне немцев».</w:t>
      </w:r>
    </w:p>
    <w:p w14:paraId="128F1634" w14:textId="77777777" w:rsidR="00075AF1" w:rsidRPr="00070ADE" w:rsidRDefault="00075A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Гитлеровцы распространяют следующее сообщение: «Германские и румынские войска, которые были эвакуированы из Крыма, расквартированы в городах черноморского побережья Румынии. Они будут переведены на южный участок Восточного фронта».</w:t>
      </w:r>
    </w:p>
    <w:p w14:paraId="16538715" w14:textId="77777777" w:rsidR="00075AF1" w:rsidRPr="00070ADE" w:rsidRDefault="00075A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помощью такого неуклюжего трюка немцы хотят скрыть подлинные размеры своего поражения в Крыму. Они боятся открыто сказать о разгроме немецко-румынских войск на Крымском полуострове. Во всяком случае гитлеровцы, убитые в Крыму, уже не нуждаются в квартирах. Свыше 60 тысяч немецко-румынских солдат и офицеров, взятых в плен нашими войсками, подучили жильё в лагерях для военнопленных. Ничтожная же часть немцев, которой удалось удрать с Крымского полуострова, без труда разместится в любой румынской деревушке. Гораздо больше будет хлопот у немецких генералов южного участка советско-германского фронта, которые заполучат этих вояк. Недобитые немцы разнесут весть о страшном разгроме фашистских войск в Крыму и о бесславной гибели десятков тысяч немецких и румынских солдат.» (14899).</w:t>
      </w:r>
    </w:p>
    <w:p w14:paraId="1D720154" w14:textId="77777777" w:rsidR="00075AF1" w:rsidRPr="00070ADE" w:rsidRDefault="00075AF1" w:rsidP="00B56F90">
      <w:pPr>
        <w:spacing w:after="0" w:line="240" w:lineRule="auto"/>
        <w:jc w:val="both"/>
        <w:rPr>
          <w:rFonts w:ascii="Times New Roman" w:hAnsi="Times New Roman"/>
          <w:color w:val="000000" w:themeColor="text1"/>
          <w:sz w:val="16"/>
          <w:szCs w:val="16"/>
        </w:rPr>
      </w:pPr>
    </w:p>
    <w:p w14:paraId="39A9BF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 23 мая 1944 Ставка ВГК обсуждала план Белорусской операции - 4 фронта - 1ПрФ, 2, 3 и 1БФ и Днепровская флотилия. Пять ВА - 3ВА, (г Н.Ф.Папивин), 1ВА (г Т.Т.Хрюкин), 4ВА (г К.А.Вершинин), 16ВА (г С.И.Руденко). На левом крыле 1БФ была и 6ВА (г Ф.П.Полынин), которая в апреле вошла в состав 1БФ - это были 3 гшад, 242 нбад и 2 иап. Всего - 6000 самолетов, в т.ч. 1100 д и нб и 2000 ш + привлекались до 1000 б АДД. У немцев - 6ВФ - 1342 с в Минске, Барановичах, Бобруйске (340,166).</w:t>
      </w:r>
    </w:p>
    <w:p w14:paraId="4012E6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B9C76D" w14:textId="77777777" w:rsidR="00411A0B" w:rsidRPr="00070ADE" w:rsidRDefault="00411A0B" w:rsidP="00B56F90">
      <w:pPr>
        <w:pStyle w:val="1162"/>
        <w:shd w:val="clear" w:color="auto" w:fill="auto"/>
        <w:spacing w:after="0" w:line="240" w:lineRule="auto"/>
        <w:ind w:firstLine="0"/>
        <w:jc w:val="both"/>
        <w:rPr>
          <w:rStyle w:val="900"/>
          <w:rFonts w:ascii="Times New Roman" w:hAnsi="Times New Roman" w:cs="Times New Roman"/>
          <w:color w:val="000000" w:themeColor="text1"/>
          <w:sz w:val="16"/>
          <w:szCs w:val="16"/>
        </w:rPr>
      </w:pPr>
      <w:r w:rsidRPr="00070ADE">
        <w:rPr>
          <w:rStyle w:val="900"/>
          <w:rFonts w:ascii="Times New Roman" w:hAnsi="Times New Roman" w:cs="Times New Roman"/>
          <w:color w:val="000000" w:themeColor="text1"/>
          <w:sz w:val="16"/>
          <w:szCs w:val="16"/>
        </w:rPr>
        <w:t>22 мая 1944 г. произош</w:t>
      </w:r>
      <w:r w:rsidRPr="00070ADE">
        <w:rPr>
          <w:rStyle w:val="900"/>
          <w:rFonts w:ascii="Times New Roman" w:hAnsi="Times New Roman" w:cs="Times New Roman"/>
          <w:color w:val="000000" w:themeColor="text1"/>
          <w:sz w:val="16"/>
          <w:szCs w:val="16"/>
        </w:rPr>
        <w:softHyphen/>
        <w:t>ла навигационная авария со Щ-109. Из-за штурманской ошибки субмарина села на мель в районе мыса Поворотный и получила серь</w:t>
      </w:r>
      <w:r w:rsidRPr="00070ADE">
        <w:rPr>
          <w:rStyle w:val="900"/>
          <w:rFonts w:ascii="Times New Roman" w:hAnsi="Times New Roman" w:cs="Times New Roman"/>
          <w:color w:val="000000" w:themeColor="text1"/>
          <w:sz w:val="16"/>
          <w:szCs w:val="16"/>
        </w:rPr>
        <w:softHyphen/>
        <w:t>езные повреждения. Командир лодки был снят с должности</w:t>
      </w:r>
      <w:r w:rsidRPr="00070ADE">
        <w:rPr>
          <w:rStyle w:val="900"/>
          <w:rFonts w:ascii="Times New Roman" w:hAnsi="Times New Roman" w:cs="Times New Roman"/>
          <w:color w:val="000000" w:themeColor="text1"/>
          <w:sz w:val="16"/>
          <w:szCs w:val="16"/>
          <w:lang w:val="ru-RU"/>
        </w:rPr>
        <w:t xml:space="preserve"> (19891)</w:t>
      </w:r>
      <w:r w:rsidRPr="00070ADE">
        <w:rPr>
          <w:rStyle w:val="900"/>
          <w:rFonts w:ascii="Times New Roman" w:hAnsi="Times New Roman" w:cs="Times New Roman"/>
          <w:color w:val="000000" w:themeColor="text1"/>
          <w:sz w:val="16"/>
          <w:szCs w:val="16"/>
        </w:rPr>
        <w:t>.</w:t>
      </w:r>
    </w:p>
    <w:p w14:paraId="1A24841B" w14:textId="77777777" w:rsidR="00411A0B" w:rsidRPr="00070ADE" w:rsidRDefault="00411A0B" w:rsidP="00B56F90">
      <w:pPr>
        <w:pStyle w:val="1162"/>
        <w:shd w:val="clear" w:color="auto" w:fill="auto"/>
        <w:spacing w:after="0" w:line="240" w:lineRule="auto"/>
        <w:ind w:firstLine="0"/>
        <w:jc w:val="both"/>
        <w:rPr>
          <w:rFonts w:ascii="Times New Roman" w:hAnsi="Times New Roman" w:cs="Times New Roman"/>
          <w:color w:val="000000" w:themeColor="text1"/>
          <w:sz w:val="16"/>
          <w:szCs w:val="16"/>
        </w:rPr>
      </w:pPr>
    </w:p>
    <w:p w14:paraId="301EF73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2EFE7F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73E38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СССР заявил о признании Крайовой Рады Народовой в качестве представительства польского народа (4962).</w:t>
      </w:r>
    </w:p>
    <w:p w14:paraId="1CEBFB1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0DA8B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3B0DF6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B3A92A"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22 мая</w:t>
      </w:r>
      <w:r w:rsidRPr="00070ADE">
        <w:rPr>
          <w:rFonts w:ascii="Times New Roman" w:hAnsi="Times New Roman"/>
          <w:color w:val="000000" w:themeColor="text1"/>
          <w:sz w:val="16"/>
          <w:szCs w:val="16"/>
        </w:rPr>
        <w:t xml:space="preserve"> в 1944 году взлетел третий прототип «XP-51F» американского истребителя «P-51» «Mustang». Сухой вес прототипа оказался почти на 2000 фунтов меньше, чем у «P-51D», а нормальный взлетный вес оказался меньше на 1600 фунтов. Прототип имел стандартный 1695-сильный двигатель «Packard Merlin» «V-1650-7» от «P-51D». По предварительным расчетам взлетный вес, по сравнению с «P-51D», предполагалось снизить почти на тонну, но реальная экономия веса оказалась намного меньше. В связи с этим максимальная скорость оказалась 466 миль в час на высоте 29000 футов (14899).</w:t>
      </w:r>
    </w:p>
    <w:p w14:paraId="046D6383" w14:textId="77777777" w:rsidR="00623E4A" w:rsidRPr="00070ADE" w:rsidRDefault="00623E4A" w:rsidP="00B56F90">
      <w:pPr>
        <w:spacing w:after="0" w:line="240" w:lineRule="auto"/>
        <w:jc w:val="both"/>
        <w:rPr>
          <w:rFonts w:ascii="Times New Roman" w:hAnsi="Times New Roman"/>
          <w:color w:val="000000" w:themeColor="text1"/>
          <w:sz w:val="16"/>
          <w:szCs w:val="16"/>
        </w:rPr>
      </w:pPr>
    </w:p>
    <w:p w14:paraId="09220108" w14:textId="77777777" w:rsidR="00411A0B" w:rsidRPr="00070ADE" w:rsidRDefault="00411A0B" w:rsidP="00B56F90">
      <w:pPr>
        <w:pStyle w:val="1162"/>
        <w:shd w:val="clear" w:color="auto" w:fill="auto"/>
        <w:spacing w:after="0"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22 мая 1944 года был облетан самолет G4M2a модель 24 с моторами MK 4T «Казей» 25 (1800 л.с. на взлете) и новыми створками бомбоотсека, рассчитанными на бомбы с большим диаметром корпуса. На 2-м опытном самолете было внесено еще несколько изменений по мотоустановкам и вооружению, и в таком виде самолет пошел в серию в базовой комплектации, лишь по одному экземпляру вышли с завода с локатором (модель 24-Ko) и с более мощной длинноствольной пушкой Тип 99 мод. 2 (модель 24-Otsu). В единственном числе остался и морской патрульный разведчик модель 24-Hei с РЛС и усиленным оборонительным вооружением. Модификация G4M2b Тип 1 модель 25 была построена в трех экземплярах, но ни один из установленных на этих самолетах высотных моторов не смогли довести до серийного производства. Сохранение технологии и оснастки модели 22 (G4M2a) позволило за короткий срок построить 713 таких бомбардировщиков, но блокировало повышение тактико-технических характеристик. Конструктивные и технологические доработки привели к смещению назад центра масс, устойчивость и управляемость ухудшились</w:t>
      </w:r>
      <w:r w:rsidRPr="00070ADE">
        <w:rPr>
          <w:rFonts w:ascii="Times New Roman" w:hAnsi="Times New Roman" w:cs="Times New Roman"/>
          <w:color w:val="000000" w:themeColor="text1"/>
          <w:sz w:val="16"/>
          <w:szCs w:val="16"/>
          <w:lang w:val="ru-RU"/>
        </w:rPr>
        <w:t xml:space="preserve"> (22842)</w:t>
      </w:r>
      <w:r w:rsidRPr="00070ADE">
        <w:rPr>
          <w:rFonts w:ascii="Times New Roman" w:hAnsi="Times New Roman" w:cs="Times New Roman"/>
          <w:color w:val="000000" w:themeColor="text1"/>
          <w:sz w:val="16"/>
          <w:szCs w:val="16"/>
        </w:rPr>
        <w:t>.</w:t>
      </w:r>
    </w:p>
    <w:p w14:paraId="788E5762" w14:textId="77777777" w:rsidR="00411A0B" w:rsidRPr="00070ADE" w:rsidRDefault="00411A0B" w:rsidP="00B56F90">
      <w:pPr>
        <w:pStyle w:val="1162"/>
        <w:shd w:val="clear" w:color="auto" w:fill="auto"/>
        <w:spacing w:after="0" w:line="240" w:lineRule="auto"/>
        <w:ind w:firstLine="0"/>
        <w:jc w:val="both"/>
        <w:rPr>
          <w:rFonts w:ascii="Times New Roman" w:hAnsi="Times New Roman" w:cs="Times New Roman"/>
          <w:color w:val="000000" w:themeColor="text1"/>
          <w:sz w:val="16"/>
          <w:szCs w:val="16"/>
        </w:rPr>
      </w:pPr>
    </w:p>
    <w:p w14:paraId="738F555B" w14:textId="77777777" w:rsidR="00075AF1" w:rsidRPr="00070ADE" w:rsidRDefault="00075A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22 мая</w:t>
      </w:r>
      <w:r w:rsidRPr="00070ADE">
        <w:rPr>
          <w:rFonts w:ascii="Times New Roman" w:hAnsi="Times New Roman"/>
          <w:color w:val="000000" w:themeColor="text1"/>
          <w:sz w:val="16"/>
          <w:szCs w:val="16"/>
        </w:rPr>
        <w:t xml:space="preserve"> в 1944 году начата операция под кодовым названием "Чаттануга Чу-Чу" (Chattanooga Choo-Choo). В этот день американскиe и британскиe самолеты начинают систематический набег-бомбежки на железныe дороги в Германии и других частях Северной Европы. Операция имеет успех, германской железнодорожной сети нанесен огромный ущерб (14899).</w:t>
      </w:r>
    </w:p>
    <w:p w14:paraId="5CCA69CF" w14:textId="77777777" w:rsidR="00075AF1" w:rsidRPr="00070ADE" w:rsidRDefault="00075AF1" w:rsidP="00B56F90">
      <w:pPr>
        <w:spacing w:after="0" w:line="240" w:lineRule="auto"/>
        <w:jc w:val="both"/>
        <w:rPr>
          <w:rFonts w:ascii="Times New Roman" w:hAnsi="Times New Roman"/>
          <w:color w:val="000000" w:themeColor="text1"/>
          <w:sz w:val="16"/>
          <w:szCs w:val="16"/>
        </w:rPr>
      </w:pPr>
    </w:p>
    <w:p w14:paraId="5C4A1D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мая 1944 референдум в Исландии призвал к полному отделению от Дании (2247,3).</w:t>
      </w:r>
    </w:p>
    <w:p w14:paraId="226698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01651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190E5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C307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мая 1944 года директор и гл. конструктор завода N 240 С.В.И. писал письмо N 17/101с зам. наркома Авиапрома В.И. Тарасову.</w:t>
      </w:r>
    </w:p>
    <w:p w14:paraId="3B0EF2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Опытное производство завода N 240 НКАП обеспечено рабочей силой лишь на 65%.</w:t>
      </w:r>
    </w:p>
    <w:p w14:paraId="4769C2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завод проводит большую работу по модернизации и перевооружению самолетов Ил-2, Ил-6 и Ил-1, испытание и подготовку к внедрению в серию самолетов Ил-8 и Ил-10, которые крайне нужны фронту (2562,71).</w:t>
      </w:r>
    </w:p>
    <w:p w14:paraId="3F51F5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4E89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мая 1944 г. летчик Гаврилов совершил на НБ 2хМ-82НВ первый полет. В по</w:t>
      </w:r>
      <w:r w:rsidRPr="00070ADE">
        <w:rPr>
          <w:rFonts w:ascii="Times New Roman" w:hAnsi="Times New Roman"/>
          <w:color w:val="000000" w:themeColor="text1"/>
          <w:sz w:val="16"/>
          <w:szCs w:val="16"/>
        </w:rPr>
        <w:softHyphen/>
        <w:t>следующих полетах выявились недостатки - перегрев моторов, масла, на некоторых режимах - сваливание на левое крыло. Доработки потребовали времени и поэто</w:t>
      </w:r>
      <w:r w:rsidRPr="00070ADE">
        <w:rPr>
          <w:rFonts w:ascii="Times New Roman" w:hAnsi="Times New Roman"/>
          <w:color w:val="000000" w:themeColor="text1"/>
          <w:sz w:val="16"/>
          <w:szCs w:val="16"/>
        </w:rPr>
        <w:softHyphen/>
        <w:t>му к нормальным заводским испытаниям приступили 25 августа 1944 г., после смерти Н.Н.Поликарпова. У земли была достигнута максимальная скорость 430 км/ч (436 км/ч по расчету), 510 км/ч на высоте 5000 м (493 км/ч по расчету). Испытания на границе высотнос</w:t>
      </w:r>
      <w:r w:rsidRPr="00070ADE">
        <w:rPr>
          <w:rFonts w:ascii="Times New Roman" w:hAnsi="Times New Roman"/>
          <w:color w:val="000000" w:themeColor="text1"/>
          <w:sz w:val="16"/>
          <w:szCs w:val="16"/>
        </w:rPr>
        <w:softHyphen/>
        <w:t>ти (6250 м) перенесли на 1945 г. Отмечалось, что по бом</w:t>
      </w:r>
      <w:r w:rsidRPr="00070ADE">
        <w:rPr>
          <w:rFonts w:ascii="Times New Roman" w:hAnsi="Times New Roman"/>
          <w:color w:val="000000" w:themeColor="text1"/>
          <w:sz w:val="16"/>
          <w:szCs w:val="16"/>
        </w:rPr>
        <w:softHyphen/>
        <w:t>бовой нагрузке НБ превосходит Ту-2, но уступает ему в максимальной скорости, что для снижения вероятности поражения от огня зенитной артиллерии необходимо поднять потолок. Эти мероприятия можно было осуще</w:t>
      </w:r>
      <w:r w:rsidRPr="00070ADE">
        <w:rPr>
          <w:rFonts w:ascii="Times New Roman" w:hAnsi="Times New Roman"/>
          <w:color w:val="000000" w:themeColor="text1"/>
          <w:sz w:val="16"/>
          <w:szCs w:val="16"/>
        </w:rPr>
        <w:softHyphen/>
        <w:t>ствить, установив на самолете турбокомпрессоры, что и собирались сделать после завершения первого этапа ис</w:t>
      </w:r>
      <w:r w:rsidRPr="00070ADE">
        <w:rPr>
          <w:rFonts w:ascii="Times New Roman" w:hAnsi="Times New Roman"/>
          <w:color w:val="000000" w:themeColor="text1"/>
          <w:sz w:val="16"/>
          <w:szCs w:val="16"/>
        </w:rPr>
        <w:softHyphen/>
        <w:t>пытаний. Всю зиму НБ оставался на аэродроме. В феврале вы</w:t>
      </w:r>
      <w:r w:rsidRPr="00070ADE">
        <w:rPr>
          <w:rFonts w:ascii="Times New Roman" w:hAnsi="Times New Roman"/>
          <w:color w:val="000000" w:themeColor="text1"/>
          <w:sz w:val="16"/>
          <w:szCs w:val="16"/>
        </w:rPr>
        <w:softHyphen/>
        <w:t>яснилось, что фанерная обшивка начала ветшать - кое-где трескалась и коробилась. По указанию НКАП испытания прекратили. Самолет хотели передать в МАИ для учебных целей, но наркомат не разрешил это</w:t>
      </w:r>
      <w:r w:rsidRPr="00070ADE">
        <w:rPr>
          <w:rFonts w:ascii="Times New Roman" w:hAnsi="Times New Roman"/>
          <w:color w:val="000000" w:themeColor="text1"/>
          <w:sz w:val="16"/>
          <w:szCs w:val="16"/>
        </w:rPr>
        <w:softHyphen/>
        <w:t>го сделать по причине секретности машины и в марте 1945 г. НБ разобрали (10667).</w:t>
      </w:r>
    </w:p>
    <w:p w14:paraId="4DF101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C40B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мая 1944 состоялся первый полет НБ (Т) Н.Н.П. Заводские испытания проходили в августе, но их не закончили (4,201).</w:t>
      </w:r>
    </w:p>
    <w:p w14:paraId="48E8CB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E48457"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мая</w:t>
      </w:r>
      <w:r w:rsidRPr="00070ADE">
        <w:rPr>
          <w:rFonts w:ascii="Times New Roman" w:hAnsi="Times New Roman"/>
          <w:color w:val="000000" w:themeColor="text1"/>
          <w:sz w:val="16"/>
          <w:szCs w:val="16"/>
        </w:rPr>
        <w:t xml:space="preserve"> в 1944 году первый полет ночного бомбардировщика ОКБ Поликарпова </w:t>
      </w:r>
      <w:hyperlink r:id="rId137" w:tgtFrame="_blank" w:history="1">
        <w:r w:rsidRPr="00070ADE">
          <w:rPr>
            <w:rFonts w:ascii="Times New Roman" w:hAnsi="Times New Roman"/>
            <w:color w:val="000000" w:themeColor="text1"/>
            <w:sz w:val="16"/>
            <w:szCs w:val="16"/>
          </w:rPr>
          <w:t xml:space="preserve">«НБ» </w:t>
        </w:r>
      </w:hyperlink>
      <w:r w:rsidRPr="00070ADE">
        <w:rPr>
          <w:rFonts w:ascii="Times New Roman" w:hAnsi="Times New Roman"/>
          <w:color w:val="000000" w:themeColor="text1"/>
          <w:sz w:val="16"/>
          <w:szCs w:val="16"/>
        </w:rPr>
        <w:t>состоялся на Центральном аэродроме в Москве. Заводские испытания вел летчик Гаврилов. К сожалению, полеты бомбовоза были прерваны смертью Н.Н.Поликарпова, последовавшей 30 июля 1944 года. Насколько известно, какое-то время спустя «НБ» раздавили бульдозером (14900).</w:t>
      </w:r>
    </w:p>
    <w:p w14:paraId="4AB5C264" w14:textId="77777777" w:rsidR="00623E4A" w:rsidRPr="00070ADE" w:rsidRDefault="00623E4A" w:rsidP="00B56F90">
      <w:pPr>
        <w:spacing w:after="0" w:line="240" w:lineRule="auto"/>
        <w:jc w:val="both"/>
        <w:rPr>
          <w:rFonts w:ascii="Times New Roman" w:hAnsi="Times New Roman"/>
          <w:color w:val="000000" w:themeColor="text1"/>
          <w:sz w:val="16"/>
          <w:szCs w:val="16"/>
        </w:rPr>
      </w:pPr>
    </w:p>
    <w:p w14:paraId="7BF70093" w14:textId="77777777" w:rsidR="00DE35AF" w:rsidRPr="00C94B78" w:rsidRDefault="00DE35A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23 мая 1944 г. летчик Гаврилов совершил на НБ с моторами М-82ФНВ и 4-лопастными винтами 3СМВ-14 диаметром 3,8 м первый полет. В последующих полетах выявились недостатки — перегрев моторов, масла, сваливание на некоторых режимах на левое крыло. Доработки потребовали времени, и поэтому к нормальным заводским испытаниям приступили 25 августа 1944 г., после смерти Н. Н. Поликарпова.</w:t>
      </w:r>
    </w:p>
    <w:p w14:paraId="4DDE0428" w14:textId="77777777" w:rsidR="00DE35AF" w:rsidRPr="00C94B78" w:rsidRDefault="00DE35A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xml:space="preserve">У земли была достигнута максимальная скорость 430 км/ч (436 км/ч по расчету), 510 км/ч на высоте 5000 м (493 км/ч по расчету). Испытания на границе высотности (6250 м) перенесли на 1945 г. Отмечалось, что по бомбовой нагрузке НБ превосходит Ту-2, но немного уступает ему в максимальной скорости, что для снижения </w:t>
      </w:r>
      <w:r w:rsidRPr="00C94B78">
        <w:rPr>
          <w:rFonts w:ascii="Times New Roman" w:hAnsi="Times New Roman"/>
          <w:color w:val="0070C0"/>
          <w:sz w:val="16"/>
          <w:szCs w:val="16"/>
        </w:rPr>
        <w:lastRenderedPageBreak/>
        <w:t>вероятности поражения от огня зенитной артиллерии необходимо поднять потолок. Эти мероприятия можно было осуществить, установив на самолете турбокомпрессоры, что и собирались сделать после завершения первого этапа испытаний.</w:t>
      </w:r>
    </w:p>
    <w:p w14:paraId="59525D01" w14:textId="77777777" w:rsidR="00DE35AF" w:rsidRPr="00C94B78" w:rsidRDefault="00DE35A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Всю зиму НБ оставался на аэродроме. В феврале выяснилось, что фанерная обшивка начала ветшать — кое-где трескалась и коробилась. По указанию НКАП испытания были прекращены. Самолет хотели передать в МАИ для учебных целей, но наркомат не разрешил этого сделать по причине секретности машины, и в марте 1945 г. НБ был разобран (25035).</w:t>
      </w:r>
    </w:p>
    <w:p w14:paraId="47C6CD79" w14:textId="77777777" w:rsidR="00DE35AF" w:rsidRPr="00C94B78" w:rsidRDefault="00DE35AF" w:rsidP="00B56F90">
      <w:pPr>
        <w:spacing w:after="0" w:line="240" w:lineRule="auto"/>
        <w:jc w:val="both"/>
        <w:rPr>
          <w:rFonts w:ascii="Times New Roman" w:hAnsi="Times New Roman"/>
          <w:color w:val="0070C0"/>
          <w:sz w:val="16"/>
          <w:szCs w:val="16"/>
        </w:rPr>
      </w:pPr>
    </w:p>
    <w:p w14:paraId="30C57A31" w14:textId="77777777" w:rsidR="00DE35AF" w:rsidRPr="00C94B78" w:rsidRDefault="00DE35AF"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23 мая 1944 г. на Центральном аэродроме в Москве состоялся первый полет НБ. Заводские испытания вел летчик Гаврилов. К сожалению, полеты бомбовоза были прерваны смертью Н. Н. Поликарпова, последовавшей 30 июля 1944 г. Насколько известно, какое-то время спустя НБ раздавили бульдозером (25285).</w:t>
      </w:r>
    </w:p>
    <w:p w14:paraId="22ED7E79" w14:textId="77777777" w:rsidR="00DE35AF" w:rsidRPr="00C94B78" w:rsidRDefault="00DE35AF" w:rsidP="00B56F90">
      <w:pPr>
        <w:spacing w:after="0" w:line="240" w:lineRule="auto"/>
        <w:jc w:val="both"/>
        <w:rPr>
          <w:rFonts w:ascii="Times New Roman" w:hAnsi="Times New Roman"/>
          <w:color w:val="0070C0"/>
          <w:sz w:val="16"/>
          <w:szCs w:val="16"/>
        </w:rPr>
      </w:pPr>
    </w:p>
    <w:p w14:paraId="39EF466D"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мая</w:t>
      </w:r>
      <w:r w:rsidRPr="00070ADE">
        <w:rPr>
          <w:rFonts w:ascii="Times New Roman" w:hAnsi="Times New Roman"/>
          <w:color w:val="000000" w:themeColor="text1"/>
          <w:sz w:val="16"/>
          <w:szCs w:val="16"/>
        </w:rPr>
        <w:t xml:space="preserve"> в 1944 году по приказу НКАП №351 разработка самолета "особого назначения" была поручена конструкторскому бюро, возглавляемому В.Г.Ермолаевым. Было решено - для быстрейшего выполнения задания - самолет делать на базе бомбардировщика </w:t>
      </w:r>
      <w:hyperlink r:id="rId138" w:tgtFrame="_blank" w:history="1">
        <w:r w:rsidRPr="00070ADE">
          <w:rPr>
            <w:rFonts w:ascii="Times New Roman" w:hAnsi="Times New Roman"/>
            <w:color w:val="000000" w:themeColor="text1"/>
            <w:sz w:val="16"/>
            <w:szCs w:val="16"/>
          </w:rPr>
          <w:t xml:space="preserve">«Ер-2». </w:t>
        </w:r>
      </w:hyperlink>
      <w:r w:rsidRPr="00070ADE">
        <w:rPr>
          <w:rFonts w:ascii="Times New Roman" w:hAnsi="Times New Roman"/>
          <w:color w:val="000000" w:themeColor="text1"/>
          <w:sz w:val="16"/>
          <w:szCs w:val="16"/>
        </w:rPr>
        <w:t>Машина получила обозначение – «Ер-2ОН» (14900).</w:t>
      </w:r>
    </w:p>
    <w:p w14:paraId="2B6DA41B" w14:textId="77777777" w:rsidR="00623E4A" w:rsidRPr="00070ADE" w:rsidRDefault="00623E4A" w:rsidP="00B56F90">
      <w:pPr>
        <w:spacing w:after="0" w:line="240" w:lineRule="auto"/>
        <w:jc w:val="both"/>
        <w:rPr>
          <w:rFonts w:ascii="Times New Roman" w:hAnsi="Times New Roman"/>
          <w:color w:val="000000" w:themeColor="text1"/>
          <w:sz w:val="16"/>
          <w:szCs w:val="16"/>
        </w:rPr>
      </w:pPr>
    </w:p>
    <w:p w14:paraId="283D77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мая 1944 вышел приказ НКАП о разработке Ер-2ОН к августу 1944 и чертежи были направлены на завод в Иркутске. После смерти Ермолаева его коллектив влили в ОКБ П.О.С. Заказали 4, но сделали 3 машины. 2 машины под управлением Алексеева и Коростылева выполнили рекордный полет из Иркутска в Москву (1454,71).</w:t>
      </w:r>
    </w:p>
    <w:p w14:paraId="592BAA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был приказ НКАП N 351сс "О постройке 4-х самолетов Ер-2 2АЧ-30Б в пассажирском варианте"</w:t>
      </w:r>
    </w:p>
    <w:p w14:paraId="7B28B0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Обязать ГК самолета Ер-2 Ермолаева спроектировать на базе серийного самолета Ер-2 пассажирский вариант со следующими данными:</w:t>
      </w:r>
    </w:p>
    <w:p w14:paraId="6314C6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дальность техническая на крейсерской скорости 360 км/час (0.85 макс.) на высоте 3000-4000 - 4500 км</w:t>
      </w:r>
    </w:p>
    <w:p w14:paraId="2F2238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макс. скорость на высоте 4000 м - 420 км/час</w:t>
      </w:r>
    </w:p>
    <w:p w14:paraId="4ED935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число пассажиров - 10 чел.</w:t>
      </w:r>
    </w:p>
    <w:p w14:paraId="7DF6C5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экипаж - летчик, 2-й летчик или борт=-механик, радист</w:t>
      </w:r>
    </w:p>
    <w:p w14:paraId="7F0D2B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Оборудовать кабину пассажиров обогревательным устройством, вентиляцией, кислородным оборудованием и обеспечить макс. удобства для пассажиров</w:t>
      </w:r>
    </w:p>
    <w:p w14:paraId="3758CA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крыле и оперении установить антиобледенители типа Гудрич</w:t>
      </w:r>
    </w:p>
    <w:p w14:paraId="64641F6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Изготовить макет кабины самолета (л и пассажиров) и представить на утверждение к 15 июля 1944. Чертежи на переделку самолета Ер-2 в пассажирском варианте передать на завод 39 к 15 июня 1944</w:t>
      </w:r>
    </w:p>
    <w:p w14:paraId="701549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Директору завода 39 Абрамову изготовить по чертежам ГК Ермолаева 4 самолета указанного типа, обеспечив сдачу: 1 - 1 августа, 2 - 10 августа, 3 - 20 августа, 4 - 1 октября (1585,4).</w:t>
      </w:r>
    </w:p>
    <w:p w14:paraId="7BB724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04ADF8" w14:textId="77777777" w:rsidR="00623E4A" w:rsidRPr="00070ADE" w:rsidRDefault="00623E4A"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23-го мая 1944 года выходит приказ наркомата авиапромышленности за № 351сс, согласно которому ОКБ В.Г. Ермолаева поручалось проектирование 10-ти местного пассажирского самолета с повышенной комфортностью на базе бомбардировщика Ер-2. Его пассажирский вариант получил обозначение Ер-2ОН («особого назначения»). Самолет предназначался для полетов высшего командного состава Красной Армии и членов правительства СССР на дальние расстояния. С бомбомбардировщика сняли все вооружение, а в центральной части на месте бомбоотсека и фюзеляжных баков устроили пассажирскую кабину, состоящую из двух салонов с тепло и звукоизоляцией, обогревательными устройствами, вентиляцией, кислородным оборудованием и максимальными удобствами для пассажиров. В первом салоне установили шесть мягких кресел, которые располагались по бортам с проходом посередине. Во втором салоне установили три мягких кресла и одно откидное место для стюарда. Здесь же размещалось багажное отделение и туалет. В бортах фюзеляжа прорезали иллюминаторы. Фонарь кабины летчиков удлинили и за ним, для увеличения высоты пассажирской кабины, сделали большой гаргрот. Топливные баки поместили в отсеках крыла (15223).</w:t>
      </w:r>
    </w:p>
    <w:p w14:paraId="1A92E494" w14:textId="77777777" w:rsidR="00623E4A" w:rsidRPr="00070ADE" w:rsidRDefault="00623E4A" w:rsidP="00B56F90">
      <w:pPr>
        <w:shd w:val="clear" w:color="auto" w:fill="FFFFFF"/>
        <w:spacing w:after="0" w:line="240" w:lineRule="auto"/>
        <w:jc w:val="both"/>
        <w:rPr>
          <w:rFonts w:ascii="Times New Roman" w:hAnsi="Times New Roman"/>
          <w:color w:val="000000" w:themeColor="text1"/>
          <w:sz w:val="16"/>
          <w:szCs w:val="16"/>
        </w:rPr>
      </w:pPr>
    </w:p>
    <w:p w14:paraId="1057C14F" w14:textId="77777777" w:rsidR="00623E4A" w:rsidRPr="00070ADE" w:rsidRDefault="00623E4A" w:rsidP="00B56F90">
      <w:pPr>
        <w:pStyle w:val="a3"/>
        <w:rPr>
          <w:color w:val="000000" w:themeColor="text1"/>
          <w:lang w:val="ru-RU"/>
        </w:rPr>
      </w:pPr>
      <w:r w:rsidRPr="00070ADE">
        <w:rPr>
          <w:color w:val="000000" w:themeColor="text1"/>
          <w:lang w:val="ru-RU"/>
        </w:rPr>
        <w:t>23 мая 1944 г. в соответствии с приказом НКАП № 351 главный конструктор завода № 134 В.Г. Ермолаев получил задание на проектирование самолёта «Осо</w:t>
      </w:r>
      <w:r w:rsidRPr="00070ADE">
        <w:rPr>
          <w:color w:val="000000" w:themeColor="text1"/>
          <w:lang w:val="ru-RU"/>
        </w:rPr>
        <w:softHyphen/>
        <w:t>бого назначения», представляю</w:t>
      </w:r>
      <w:r w:rsidRPr="00070ADE">
        <w:rPr>
          <w:color w:val="000000" w:themeColor="text1"/>
          <w:lang w:val="ru-RU"/>
        </w:rPr>
        <w:softHyphen/>
        <w:t>щего собой комфортабельный пассажирский вариант бомбар</w:t>
      </w:r>
      <w:r w:rsidRPr="00070ADE">
        <w:rPr>
          <w:color w:val="000000" w:themeColor="text1"/>
          <w:lang w:val="ru-RU"/>
        </w:rPr>
        <w:softHyphen/>
        <w:t>дировщика Ер-2. Постройка че</w:t>
      </w:r>
      <w:r w:rsidRPr="00070ADE">
        <w:rPr>
          <w:color w:val="000000" w:themeColor="text1"/>
          <w:lang w:val="ru-RU"/>
        </w:rPr>
        <w:softHyphen/>
        <w:t>тырёх экземпляров Ер-20Н пла</w:t>
      </w:r>
      <w:r w:rsidRPr="00070ADE">
        <w:rPr>
          <w:color w:val="000000" w:themeColor="text1"/>
          <w:lang w:val="ru-RU"/>
        </w:rPr>
        <w:softHyphen/>
        <w:t>нировалась на заводе № 39 в Ир- кутстке, с окончанием постройки головного экземпляра к 1 ноября 1944 г. (15810).</w:t>
      </w:r>
    </w:p>
    <w:p w14:paraId="119FA861" w14:textId="77777777" w:rsidR="00623E4A" w:rsidRPr="00070ADE" w:rsidRDefault="00623E4A" w:rsidP="00B56F90">
      <w:pPr>
        <w:pStyle w:val="a3"/>
        <w:rPr>
          <w:color w:val="000000" w:themeColor="text1"/>
          <w:lang w:val="ru-RU"/>
        </w:rPr>
      </w:pPr>
    </w:p>
    <w:p w14:paraId="350B38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23 мая по 11 июля 1944 в рамках второго этапа гос. испытаний Як-9Б (заводской индекс - Як-9Л) с ВК-105ПФ и 4хФАБ-100 или 128 ПТАБ-2,5-1,5 машину испытывали на устойчивость и управляемость. Летали многие, в т.ч. А.Г.Прошаков, Ю.А.Антипов, А.Г.Кубышкин, а ви был А.Т.Степанец (65,135).</w:t>
      </w:r>
    </w:p>
    <w:p w14:paraId="0A94A6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C2AA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мая 1944 во втором полете Як-9 с М-105ПД произошла раскрутка винта (1824).</w:t>
      </w:r>
    </w:p>
    <w:p w14:paraId="5E1C5B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E8F4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мая 1941 состоялся контрольный полет, в котором на высоте 4000 мт резко упало давление масла в моторе. После посадки произведен осмотр самолета и масляной системы, обнаруживший наличие стружки в маслофильтре.Мотор подлежит замене (1825).</w:t>
      </w:r>
    </w:p>
    <w:p w14:paraId="03EBEE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1A95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мая 1944 года зам. начальника 7-го гл. управления Алексеев писал письмо Шахурину.</w:t>
      </w:r>
    </w:p>
    <w:p w14:paraId="4FF447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Сводка о ходе испытаний высотных самолетов на 22 мая 1944 года.</w:t>
      </w:r>
    </w:p>
    <w:p w14:paraId="697A83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истребитель Як-9 с М-105ПД</w:t>
      </w:r>
    </w:p>
    <w:p w14:paraId="1C1069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Проходит летные испытания в ЛИИ НКАП. Испытания проводит летчик-испытатель ЛИИ Юганов.</w:t>
      </w:r>
    </w:p>
    <w:p w14:paraId="3C9909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октября 1943 года на самолете была достигнута предельная высота 13000 м. после этого полета на самолете произведены переделки, в основном в части облегчения самолета и усовершенствования системы охлаждения воды и масла. В результате проведенных работ полетный вес самолета уменьшился с 2745 кг до 2650 кг. На самолете установлены: диффузор и сепаратор в водяной системе, впрыск воды в цилиндры мотора, облегченный водорадиатор и новые туннели с облагороженным входом.</w:t>
      </w:r>
    </w:p>
    <w:p w14:paraId="56133D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после доводок начаты 27 апреля с.г. и по 22 мая совершены 6 полетов, из них один на высоту 10000 м и один полет на высоту 11000 м.</w:t>
      </w:r>
    </w:p>
    <w:p w14:paraId="3B1DEE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полетах обнаружены высокие температуры воды и масла. После полета на 11000 м обнаружена течь воды из блока мотора. После замены блока 21 мая состоялся контрольный полет, в котором выявилась плохая работа РПД и системы зажигания. 22 мая производилась замена РПД и проверка зажигания.</w:t>
      </w:r>
    </w:p>
    <w:p w14:paraId="06644B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Высотный истребитель Ла-5 с АШ-82ФН и 2 ТК-3.</w:t>
      </w:r>
    </w:p>
    <w:p w14:paraId="509E02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2-й экземпляр самолета с увеличенной площадью крыла.</w:t>
      </w:r>
    </w:p>
    <w:p w14:paraId="58CD68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Проходит летные испытания на заводе N 21 в г. Горьком.</w:t>
      </w:r>
    </w:p>
    <w:p w14:paraId="5B31B1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проводит летчик-испытатель ЛИИ Шиянов.</w:t>
      </w:r>
    </w:p>
    <w:p w14:paraId="1C72B2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Летные испытания начаты 17 марта с.г., произведено 7 полетов.</w:t>
      </w:r>
    </w:p>
    <w:p w14:paraId="7748B4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полетах наблюдалась ненормальная температура головок цилиндров, доходившая до 240-260 градусов на высотах более 2000 м, а также ряд дефектов в работе бензиновой и масляной помп, а также системы зажигания. С высоты 5000 м падало давление бензина, а также начиналось сильное дымление из ТК. Дым попадал в кабину пилота, что заставляло прекращать полеты. Для принятия мер по устранению дефектов агрегатов мотора, сообщено 8 гл. управлению.</w:t>
      </w:r>
    </w:p>
    <w:p w14:paraId="3B4270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производится замена правого ТК и устранение обнаруженных в полетах дефектов, путем улучшения дефлектирования головок цилиндров, а также проверка всей бензо и масло системы.</w:t>
      </w:r>
    </w:p>
    <w:p w14:paraId="7ED3F7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Высотный истребитель МИГ с мотором АМ-39Б и 2ТК-2Б.</w:t>
      </w:r>
    </w:p>
    <w:p w14:paraId="24B9AA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Проходит заводские испытания с 7 мая с.г.</w:t>
      </w:r>
    </w:p>
    <w:p w14:paraId="01DC54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проводит летчик-испытатель ЛИИ Якимов А.П.</w:t>
      </w:r>
    </w:p>
    <w:p w14:paraId="7C97DF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7 мая по 20 мая с.г. произведено пять полетов для отработки винтомоторной группы с ТК.</w:t>
      </w:r>
    </w:p>
    <w:p w14:paraId="6959C4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этих полетах была достигнута максимальная высота 7200 м.</w:t>
      </w:r>
    </w:p>
    <w:p w14:paraId="33DBE1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полетах обнаружены следующие дефекты:</w:t>
      </w:r>
    </w:p>
    <w:p w14:paraId="156575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Большое сопротивление воздуховоздушного радиатора, доходящее до 180-200 мм рт. ст.</w:t>
      </w:r>
    </w:p>
    <w:p w14:paraId="705150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Течь в манжетах соединения воздушного радиатора с патрубками мотора и нагнетателя.</w:t>
      </w:r>
    </w:p>
    <w:p w14:paraId="7A8291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Отсутствие высотности на 1-й скорости нагнетателя без включения ТК. При взлете Ра было =1050 мм вместо 1200 мм рт. ст.</w:t>
      </w:r>
    </w:p>
    <w:p w14:paraId="7E16F0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Отсутствие высотности на 2-й скорости нагнетателя. Ра падает с высоты 1700 м несмотря на переключение мотора на 2-ю скорость.</w:t>
      </w:r>
    </w:p>
    <w:p w14:paraId="512441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восстановления высотности, с 21 мая на самолете устанавливается новый улучшенный воздухо-воздушный радиатор, дающий меньшее сопротивление при проходе воздуха. В производстве изготавливаются новые узлы крепления радиатора и производится переделка воздухопровода в связи с установкой новых радиаторов.</w:t>
      </w:r>
    </w:p>
    <w:p w14:paraId="76FF3F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Окончание этих работ намечено на 25 мая с.г. (1825).</w:t>
      </w:r>
    </w:p>
    <w:p w14:paraId="3924D2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B668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23 мая 1944 г. по приказу НКАП № 19 по решению СНК № 10920-р от 19.05.1944 г. бывшая мебельная фабрика возвращена обратно в ведение ХозУ СНК СССР. В 1943 г. заводу № 381 в качестве филиала № 2 передана Мебельная фабрика Управления делами СНК СССР для изготовления оперения, деревянных узлов фюзеляжа </w:t>
      </w:r>
      <w:r w:rsidRPr="00070ADE">
        <w:rPr>
          <w:rFonts w:ascii="Times New Roman" w:hAnsi="Times New Roman"/>
          <w:color w:val="000000" w:themeColor="text1"/>
          <w:sz w:val="16"/>
          <w:szCs w:val="16"/>
        </w:rPr>
        <w:lastRenderedPageBreak/>
        <w:t>Ла-5 (Филиал № 2 завода № 381 НКАП /г. Москва Наставнический пер., 3/) (возможно, это переданный по приказу № 743с от 11.12.1943 г. филиал завода № 464 НКАП) (11982).</w:t>
      </w:r>
    </w:p>
    <w:p w14:paraId="74DA3C30" w14:textId="77777777" w:rsidR="00623E4A" w:rsidRPr="00070ADE" w:rsidRDefault="00623E4A" w:rsidP="00B56F90">
      <w:pPr>
        <w:autoSpaceDE w:val="0"/>
        <w:autoSpaceDN w:val="0"/>
        <w:adjustRightInd w:val="0"/>
        <w:spacing w:after="0" w:line="240" w:lineRule="auto"/>
        <w:jc w:val="both"/>
        <w:rPr>
          <w:rFonts w:ascii="Times New Roman" w:hAnsi="Times New Roman"/>
          <w:color w:val="000000" w:themeColor="text1"/>
          <w:sz w:val="16"/>
          <w:szCs w:val="16"/>
        </w:rPr>
      </w:pPr>
    </w:p>
    <w:p w14:paraId="7343F5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мая 1944 г. в постанов</w:t>
      </w:r>
      <w:r w:rsidRPr="00070ADE">
        <w:rPr>
          <w:rFonts w:ascii="Times New Roman" w:hAnsi="Times New Roman"/>
          <w:color w:val="000000" w:themeColor="text1"/>
          <w:sz w:val="16"/>
          <w:szCs w:val="16"/>
        </w:rPr>
        <w:softHyphen/>
        <w:t>лении ГКО № 6245 от приложение № 32, п. 32, роль авиапромышленности в приборостроении описывалась достаточно чётко: «НКАП является основным поставщиком промышленных электроизмерительных приборов для всех отраслей народного хозяйства» (РГАЭ. Ф. 4372. Оп. 44. Д. 691. Л. 107.).</w:t>
      </w:r>
    </w:p>
    <w:p w14:paraId="11411B85" w14:textId="77777777" w:rsidR="00595BFB" w:rsidRPr="00070ADE" w:rsidRDefault="00595BFB" w:rsidP="00B56F90">
      <w:pPr>
        <w:tabs>
          <w:tab w:val="left" w:pos="416"/>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Более того, периодически НКАП был вынужден «сожа</w:t>
      </w:r>
      <w:r w:rsidRPr="00070ADE">
        <w:rPr>
          <w:rFonts w:ascii="Times New Roman" w:hAnsi="Times New Roman"/>
          <w:color w:val="000000" w:themeColor="text1"/>
          <w:sz w:val="16"/>
          <w:szCs w:val="16"/>
        </w:rPr>
        <w:softHyphen/>
        <w:t>леть» о своей уступчивости и просить о снижении плана сторонних поставок. Так, в 1943 г., ввиду явной неспособ</w:t>
      </w:r>
      <w:r w:rsidRPr="00070ADE">
        <w:rPr>
          <w:rFonts w:ascii="Times New Roman" w:hAnsi="Times New Roman"/>
          <w:color w:val="000000" w:themeColor="text1"/>
          <w:sz w:val="16"/>
          <w:szCs w:val="16"/>
        </w:rPr>
        <w:softHyphen/>
        <w:t>ности Наркомата электропромышленности осилить план по выпуску радиоумформеров, необходимых в том числе и для оснащения авиарадиостанций, авиазавод № 266 освоил вы</w:t>
      </w:r>
      <w:r w:rsidRPr="00070ADE">
        <w:rPr>
          <w:rFonts w:ascii="Times New Roman" w:hAnsi="Times New Roman"/>
          <w:color w:val="000000" w:themeColor="text1"/>
          <w:sz w:val="16"/>
          <w:szCs w:val="16"/>
        </w:rPr>
        <w:softHyphen/>
        <w:t>пуск этих устройств. Обрадованный таким поворотом дел, Госплан назначил на 1944 г. заводу № 266 плановое задание в 170 тыс. радиоумформеров. Возмущённый нарком авиапро</w:t>
      </w:r>
      <w:r w:rsidRPr="00070ADE">
        <w:rPr>
          <w:rFonts w:ascii="Times New Roman" w:hAnsi="Times New Roman"/>
          <w:color w:val="000000" w:themeColor="text1"/>
          <w:sz w:val="16"/>
          <w:szCs w:val="16"/>
        </w:rPr>
        <w:softHyphen/>
        <w:t>мышленности писал в СНК о том, что указанное предприятие и без того перегружено выпуском жизненно важных для авиа</w:t>
      </w:r>
      <w:r w:rsidRPr="00070ADE">
        <w:rPr>
          <w:rFonts w:ascii="Times New Roman" w:hAnsi="Times New Roman"/>
          <w:color w:val="000000" w:themeColor="text1"/>
          <w:sz w:val="16"/>
          <w:szCs w:val="16"/>
        </w:rPr>
        <w:softHyphen/>
        <w:t>производства магнетоэлектрогенераторов, устройств дистан</w:t>
      </w:r>
      <w:r w:rsidRPr="00070ADE">
        <w:rPr>
          <w:rFonts w:ascii="Times New Roman" w:hAnsi="Times New Roman"/>
          <w:color w:val="000000" w:themeColor="text1"/>
          <w:sz w:val="16"/>
          <w:szCs w:val="16"/>
        </w:rPr>
        <w:softHyphen/>
        <w:t>ционного управления и прочим электрооборудованием, и не может отвлекаться на выполенение функций НКЭП. Впрочем, понимая, что «коготок увяз», НКАП не отказывался от выпу</w:t>
      </w:r>
      <w:r w:rsidRPr="00070ADE">
        <w:rPr>
          <w:rFonts w:ascii="Times New Roman" w:hAnsi="Times New Roman"/>
          <w:color w:val="000000" w:themeColor="text1"/>
          <w:sz w:val="16"/>
          <w:szCs w:val="16"/>
        </w:rPr>
        <w:softHyphen/>
        <w:t>ска радиоумформеров вовсе, а предлагал лишь сократить пла</w:t>
      </w:r>
      <w:r w:rsidRPr="00070ADE">
        <w:rPr>
          <w:rFonts w:ascii="Times New Roman" w:hAnsi="Times New Roman"/>
          <w:color w:val="000000" w:themeColor="text1"/>
          <w:sz w:val="16"/>
          <w:szCs w:val="16"/>
        </w:rPr>
        <w:softHyphen/>
        <w:t>новое задание до 130 тыс., из которых 115 тыс. должны были быть переданы НКЭП. Заводские электростанции авиазаво</w:t>
      </w:r>
      <w:r w:rsidRPr="00070ADE">
        <w:rPr>
          <w:rFonts w:ascii="Times New Roman" w:hAnsi="Times New Roman"/>
          <w:color w:val="000000" w:themeColor="text1"/>
          <w:sz w:val="16"/>
          <w:szCs w:val="16"/>
        </w:rPr>
        <w:softHyphen/>
        <w:t>дов получали плановые задания на поставку электроэнергии в общесоюзную сеть, причём НКАП также периодически хо</w:t>
      </w:r>
      <w:r w:rsidRPr="00070ADE">
        <w:rPr>
          <w:rFonts w:ascii="Times New Roman" w:hAnsi="Times New Roman"/>
          <w:color w:val="000000" w:themeColor="text1"/>
          <w:sz w:val="16"/>
          <w:szCs w:val="16"/>
        </w:rPr>
        <w:softHyphen/>
        <w:t>датайствовал о снижении подобных поставок.</w:t>
      </w:r>
    </w:p>
    <w:p w14:paraId="09C975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Впрочем, «гражданское» производство для НКАП воен</w:t>
      </w:r>
      <w:r w:rsidRPr="00070ADE">
        <w:rPr>
          <w:rFonts w:ascii="Times New Roman" w:hAnsi="Times New Roman"/>
          <w:color w:val="000000" w:themeColor="text1"/>
          <w:sz w:val="16"/>
          <w:szCs w:val="16"/>
        </w:rPr>
        <w:softHyphen/>
        <w:t>ной поры явно не было превалирующим.</w:t>
      </w:r>
    </w:p>
    <w:p w14:paraId="10B6A4E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Валовая «гражданская» и «военная» продукция НКАП (в млн руб. в ценах 1926/27)</w:t>
      </w:r>
    </w:p>
    <w:tbl>
      <w:tblPr>
        <w:tblW w:w="0" w:type="auto"/>
        <w:tblInd w:w="8" w:type="dxa"/>
        <w:tblLayout w:type="fixed"/>
        <w:tblCellMar>
          <w:left w:w="0" w:type="dxa"/>
          <w:right w:w="0" w:type="dxa"/>
        </w:tblCellMar>
        <w:tblLook w:val="0000" w:firstRow="0" w:lastRow="0" w:firstColumn="0" w:lastColumn="0" w:noHBand="0" w:noVBand="0"/>
      </w:tblPr>
      <w:tblGrid>
        <w:gridCol w:w="1200"/>
        <w:gridCol w:w="1186"/>
        <w:gridCol w:w="1186"/>
        <w:gridCol w:w="1190"/>
        <w:gridCol w:w="1195"/>
      </w:tblGrid>
      <w:tr w:rsidR="004D4663" w:rsidRPr="00070ADE" w14:paraId="13CFA7FC" w14:textId="77777777">
        <w:trPr>
          <w:trHeight w:val="240"/>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49E048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3C38B4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1940 г.</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668297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1942 г.</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3B05B4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 г.</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64F486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1945г.</w:t>
            </w:r>
          </w:p>
        </w:tc>
      </w:tr>
      <w:tr w:rsidR="004D4663" w:rsidRPr="00070ADE" w14:paraId="32A08594" w14:textId="77777777">
        <w:trPr>
          <w:trHeight w:val="221"/>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206C3A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НКАП—всего</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7316A7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6583</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471831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11985</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062FF8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16436</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7964FF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13000</w:t>
            </w:r>
          </w:p>
        </w:tc>
      </w:tr>
      <w:tr w:rsidR="004D4663" w:rsidRPr="00070ADE" w14:paraId="160E4BA0" w14:textId="77777777">
        <w:trPr>
          <w:trHeight w:val="413"/>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53313E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«гражданская» продукция</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232771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1240(19)'</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3B44204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966(8)</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3F9726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1180(7)</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24BA31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1500(11,5)</w:t>
            </w:r>
          </w:p>
        </w:tc>
      </w:tr>
      <w:tr w:rsidR="004D4663" w:rsidRPr="00070ADE" w14:paraId="0D098072" w14:textId="77777777">
        <w:trPr>
          <w:trHeight w:val="432"/>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3D77E8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«военная» продукция</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3C2728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5343</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454381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11019</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49CAE0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15256</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0702AF3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11500</w:t>
            </w:r>
          </w:p>
        </w:tc>
      </w:tr>
    </w:tbl>
    <w:p w14:paraId="40913B4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Для нагаадности в скобках приводится удельный вес (в %) «гражданского» про</w:t>
      </w:r>
      <w:r w:rsidRPr="00070ADE">
        <w:rPr>
          <w:rFonts w:ascii="Times New Roman" w:hAnsi="Times New Roman"/>
          <w:color w:val="000000" w:themeColor="text1"/>
          <w:sz w:val="16"/>
          <w:szCs w:val="16"/>
        </w:rPr>
        <w:softHyphen/>
        <w:t>изводства в конкретный год.</w:t>
      </w:r>
    </w:p>
    <w:p w14:paraId="1E9AFC0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видно из таблицы, даже в 1945 г. удельный вес нево</w:t>
      </w:r>
      <w:r w:rsidRPr="00070ADE">
        <w:rPr>
          <w:rFonts w:ascii="Times New Roman" w:hAnsi="Times New Roman"/>
          <w:color w:val="000000" w:themeColor="text1"/>
          <w:sz w:val="16"/>
          <w:szCs w:val="16"/>
        </w:rPr>
        <w:softHyphen/>
        <w:t>енного производства авиапромышленности был практически вдвое меньше довоенной отметки (12011).</w:t>
      </w:r>
    </w:p>
    <w:p w14:paraId="3AC3D3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5A0C32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36B6F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A84F1C" w14:textId="77777777" w:rsidR="00701987" w:rsidRPr="00070ADE" w:rsidRDefault="0070198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мая 1944 началиси закончились 20 июня 1944 Заводские испытания ИСУ-122-2. За это время машина прошла ещё 225 км. Выяснилось, что за счёт снижения массы орудия и переноса цапф артсистемы назад улучшились характеристики проходимости и езды. Максимальная скорость выросла с 32-35 до 34-37 км/ч, также чуть снизилось удельное давление на грунт. Плюсом установки Д-25с стало увеличение объёма боевого отделения. Что же касается огневых испытаний, то они прошли не без проблем. Дело в том, что имелись трудности с экстракцией гильз, а расчёт оказался неподготовленным. Несмотря на все выявившиеся проблемы, ИСУ-122-2 признали выдержавшей испытания.</w:t>
      </w:r>
    </w:p>
    <w:p w14:paraId="12EFCA67" w14:textId="77777777" w:rsidR="00701987" w:rsidRPr="00070ADE" w:rsidRDefault="0070198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Следующим этапом стали испытания на Гороховецком АНИОП. Программу испытаний подписали ещё 16 мая, но ввиду задержки с системой прошли они позже — с 2 по 7 июля 1944 года. Всего за время испытаний было произведено 446 выстрелов, из них 252 — усиленным зарядом. В целом испытания проходили успешно, но на 370-м выстреле произошёл самоспуск. Имелись претензии к прицелу и замкам боеукладок, а обзорность из приборов наблюдения посчитали недостаточной. Вместе с тем самоходка показала несомненные преимущества по сравнению с ИСУ-122. Помимо более просторного боевого отделения отмечалась более высокая скорострельность. Прицельная скорострельность с места достигла 3-4 выстрелов в минуту, а максимальная — 5-6 выстрелов в минуту. Скорострельность с хода достигла 3-4 выстрелов в минуту. Кучность не отличалась от А-19, вполне эффективной признали и стрельбу по движущимся целям. Вердикт комиссии оказался следующим: после устранения отмеченных недостатков ИСУ-122 с системой Д-25с целесообразно запускать в серийное производство (18335).</w:t>
      </w:r>
    </w:p>
    <w:p w14:paraId="1434941B" w14:textId="77777777" w:rsidR="00701987" w:rsidRPr="00070ADE" w:rsidRDefault="00701987" w:rsidP="00B56F90">
      <w:pPr>
        <w:spacing w:after="0" w:line="240" w:lineRule="auto"/>
        <w:jc w:val="both"/>
        <w:rPr>
          <w:rFonts w:ascii="Times New Roman" w:hAnsi="Times New Roman"/>
          <w:color w:val="000000" w:themeColor="text1"/>
          <w:sz w:val="16"/>
          <w:szCs w:val="16"/>
        </w:rPr>
      </w:pPr>
    </w:p>
    <w:p w14:paraId="40229C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мая 1944 г. вышел ПРИКАЗ НАЧАЛЬНИКА ГАВТУ КА О ПРОВЕДЕНИИ ИСПЫТАНИЙ АВТОМОБИЛЯ ЗИС-150 №45</w:t>
      </w:r>
    </w:p>
    <w:p w14:paraId="0ADEED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2549553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определения тактико-технических показателей, выявления надежности и суждения о характере использования в Красной Армии нового двухосного автомобиля ЗИС-150, из</w:t>
      </w:r>
      <w:r w:rsidRPr="00070ADE">
        <w:rPr>
          <w:rFonts w:ascii="Times New Roman" w:hAnsi="Times New Roman"/>
          <w:color w:val="000000" w:themeColor="text1"/>
          <w:sz w:val="16"/>
          <w:szCs w:val="16"/>
        </w:rPr>
        <w:softHyphen/>
        <w:t>готовленного на автомобильном заводе им. Сталина (ЗИС), провести в научно-исследователь</w:t>
      </w:r>
      <w:r w:rsidRPr="00070ADE">
        <w:rPr>
          <w:rFonts w:ascii="Times New Roman" w:hAnsi="Times New Roman"/>
          <w:color w:val="000000" w:themeColor="text1"/>
          <w:sz w:val="16"/>
          <w:szCs w:val="16"/>
        </w:rPr>
        <w:softHyphen/>
        <w:t>ском батальоне ГАВТУ КА испытания автомобиля ЗИС-150 сравнительно с автомобилем ЗИС-5В.</w:t>
      </w:r>
    </w:p>
    <w:p w14:paraId="0957B8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0550370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проведения испытаний назначить комиссию под председательством заместителя начальни</w:t>
      </w:r>
      <w:r w:rsidRPr="00070ADE">
        <w:rPr>
          <w:rFonts w:ascii="Times New Roman" w:hAnsi="Times New Roman"/>
          <w:color w:val="000000" w:themeColor="text1"/>
          <w:sz w:val="16"/>
          <w:szCs w:val="16"/>
        </w:rPr>
        <w:softHyphen/>
        <w:t>ка автомобильно-технического комитета ГАВТУ КА инженер-полковника т. Лаврова Н. А. в составе:</w:t>
      </w:r>
    </w:p>
    <w:p w14:paraId="715B71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начальника автолаборатории НИБ ГАВТУ КА инженер-майора т. Седова;</w:t>
      </w:r>
    </w:p>
    <w:p w14:paraId="5C2FDE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помощника командира НИБ ГАВТУ КА по технической части инженер-капитана т. Генкина;</w:t>
      </w:r>
    </w:p>
    <w:p w14:paraId="337AC9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представителя УС ГАВТУ КА инженер-майора т. Давидович;</w:t>
      </w:r>
    </w:p>
    <w:p w14:paraId="089034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представителя ЗИС инженера т. Михайлова;</w:t>
      </w:r>
    </w:p>
    <w:p w14:paraId="1F4929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представителя АРТКОМа ГАУ КА старшего т/лейтенанта т. Сперанского;</w:t>
      </w:r>
    </w:p>
    <w:p w14:paraId="54D943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представителя НКСМ инженера т. Карпенко.</w:t>
      </w:r>
    </w:p>
    <w:p w14:paraId="2DEE5C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2C5FBA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провести согласно утвержденной мною программе.</w:t>
      </w:r>
    </w:p>
    <w:p w14:paraId="6F8A25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21DA87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испытаниям приступить 25 мая 1944 г. Закончить испытания 22 июля 1944 г.</w:t>
      </w:r>
    </w:p>
    <w:p w14:paraId="578DA7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706742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ходе испытаний доложить мне 1 июля 1944 г. Отчет по испытаниям представить к 22 июля 1944 г.</w:t>
      </w:r>
    </w:p>
    <w:p w14:paraId="4463F6B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ГАВТУ КА генерал-лейтенант технических войск Тягунов (11420).</w:t>
      </w:r>
    </w:p>
    <w:p w14:paraId="49FBE5D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FADB83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мая 1944 вышло Постановление ГКО № 5948 О создании индустриальной базы для массового жилищного строительства. (7234, 125-141,142-206).</w:t>
      </w:r>
    </w:p>
    <w:p w14:paraId="2680A53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4E1D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мая 1944 вышло Постановление ГКО № 5949 О проведении капитального ремонта, изготовлении запасных частей и мерах улучшения эксплуатации заводских и коммунальных электростанций в 1944 году. РГАНИР, Фонд ГКО, д. 256, лл. 1-7,8-184 (11012).</w:t>
      </w:r>
    </w:p>
    <w:p w14:paraId="3FD8E7A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F3BF0B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мая 1944 вышло Постановление ГКО № 5950 Об обеспечении отгрузки импорта в мае и июне 1944 г. из Владивостока, Находки и Перелетной. (7235, 185-186).</w:t>
      </w:r>
    </w:p>
    <w:p w14:paraId="398FABA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B7E3A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мая 1944 закончен монтаж и начаты швартовные испытания 11-го МБК (10671).</w:t>
      </w:r>
    </w:p>
    <w:p w14:paraId="44A659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CCF4A1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775B09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776C12"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мая</w:t>
      </w:r>
      <w:r w:rsidRPr="00070ADE">
        <w:rPr>
          <w:rFonts w:ascii="Times New Roman" w:hAnsi="Times New Roman"/>
          <w:color w:val="000000" w:themeColor="text1"/>
          <w:sz w:val="16"/>
          <w:szCs w:val="16"/>
        </w:rPr>
        <w:t xml:space="preserve"> в 1944 году оперативная сводка Совинформбюро:</w:t>
      </w:r>
    </w:p>
    <w:p w14:paraId="5279F6D5"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23 мая на фронтах существенных изменений не произошло. За 22 мая в воздушных боях и огнём зенитной артиллерии сбито 14 самолётов противника.</w:t>
      </w:r>
    </w:p>
    <w:p w14:paraId="2BFF32CE"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Тирасполь наши подразделения в разведывательных целях атаковали позиции противника. Советские бойцы ворвались в немецкие траншеи и в рукопашной схватке истребили до роты гитлеровцев. Захватив пленных и трофеи, наши подразделения отошли на исходные рубежи. На другом участке советские артиллеристы произвели огневой налёт на скопление немецких войск и нанесли противнику большие потери.</w:t>
      </w:r>
    </w:p>
    <w:p w14:paraId="784CD21D"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подразделения Н-ской части вели бои за улучшение своих позиций и заняли высоту, господствующую над местностью. Немцы пытались восстановить положение, но успеха не добились. Наши бойцы уничтожили более 200 вражеских солдат и офицеров и захватили пленных. В бою за высоту красноармейцы тт. Шарифилов, Макаров, Яскин, Кузнецов и Кузишов первыми достигли позиций противника и забросали гранатами немецкие траншей.</w:t>
      </w:r>
    </w:p>
    <w:p w14:paraId="3625951A"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Западнее города Мозырь успешно действуют снайперы батальона майора Пищулина. За время пребывания на фронте они истребили много немцев. Несколько дней назад снайперы во главе с ефрейтором Тихоновым ночью залегли на берегу реки. На рассвете т. Тихонов заметил, что большая группа немцев пробирается к переправе. </w:t>
      </w:r>
      <w:r w:rsidRPr="00070ADE">
        <w:rPr>
          <w:rFonts w:ascii="Times New Roman" w:hAnsi="Times New Roman"/>
          <w:color w:val="000000" w:themeColor="text1"/>
          <w:sz w:val="16"/>
          <w:szCs w:val="16"/>
        </w:rPr>
        <w:lastRenderedPageBreak/>
        <w:t>Меткими выстрелами снайперы убили несколько десятков гитлеровцев. Оставшиеся в живых немцы прижались к земле. В течение нескольких часов снайперы вели огонь по пытавшимся уползти гитлеровцам. Всего в течение дня около переправы было уничтожено 96 немцев.</w:t>
      </w:r>
    </w:p>
    <w:p w14:paraId="5AD5D5F1"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Лётчики Краснознамённого Балтийского флота днём 22 мая обнаружили в Финском заливе и подвергли бомбардировке немецкий транспорт водоизмещением в 6 тысяч тонн. В результате прямого попадания бомб транспорт затонул. В ночь на 23 мая нашей авиацией потоплен другой транспорт противника водоизмещением в 3 тысячи тонн.</w:t>
      </w:r>
    </w:p>
    <w:p w14:paraId="587D740A"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Львовской области, 12 мая напал на немецкий гарнизон в одном населённом пункте. В ожесточённой схватке советские патриоты истребили 40 гитлеровцев. В тот же день группа партизан пустила под откос воинский эшелон противника. Под обломками вагонов погибло несколько десятков вражеских солдат и офицеров. Движение поездов на этом участке железной дороги было прервано на сутки. Другой львовский партизанский отряд, уничтожив немецкую охрану, взорвал железнодорожный мост.</w:t>
      </w:r>
    </w:p>
    <w:p w14:paraId="5FD97647"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Взятый в плен командир 1 роты 26 полка 13 немецкой авиаполевой дивизии обер-лейтенант Ганс Лориш рассказал: «В первый период войны, когда немецкая армия заняла обширную советскую территорию, все офицеры были уверены в том, что Россия не устоит против немецкого оружия. Сталинград поколебал эту уверенность. Потрясающие успехи советских войск в 1943 и в 1944 гг. ещё больше подорвали боевой дух немецких солдат и офицеров. В узком кругу, с глазу на глаз, офицеры ведут весьма откровенные беседы. Многие из них считают, что Германия уже не оправится после столь жестоких ударов. Хорошо осведомлённые офицеры обычно указывают на огромные трудности немецкой военной промышленности». В заключение пленный сообщил некоторые факты о положении в тылу Германии. «В руководящих нацистских кругах царит беспокойство. Они боятся вторжения англо-американских войск и возобновления советского наступления. Многие в Германии считают также, что иностранные рабочие в грядущих событиях могут сыграть роковую роль. Железнодорожный транспорт, почта и телеграф работают с перебоями. Почтовые отправления вместо одного-двух дней путешествуют много недель и даже месяцев. Количество пассажирских поездов сокращено в три-четыре раза. Расстройство железнодорожного транспорта затрудняет снабжение фронта. Да- же людские пополнения, вооружение и боеприпасы поступают в части с большим опозданием. Глядя на то, что происходит в глубоком тылу, я понял, что Германия катится к катастрофе».</w:t>
      </w:r>
    </w:p>
    <w:p w14:paraId="349B690C"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Немецкий генерал о потерях и поражениях немецко-фашистских войск на советском фронте:</w:t>
      </w:r>
    </w:p>
    <w:p w14:paraId="4919B060"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уже ранее сообщалось, войска 3-го Украинского фронта в боях с 6 по 16 марта 1944 г. полностью разгромили 6 немецкую армию генерал-полковника Холлидта. Лишь небольшим остаткам разбитых соединений немцев и некоторым штабам, бросившим на произвол судьбы даже штабные документы, удалось спастись бегством.</w:t>
      </w:r>
    </w:p>
    <w:p w14:paraId="7990237F"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Среди захваченных документов противника обнаружена обширная переписка «О самовольном оставлении командиром 16 немецкой мотодивизии графом фон Шверином занимаемых позиций». Весь сыр-бор загорелся в первых числах февраля, после того как советские войска, перейдя в наступление из районов северо-восточнее города Кривой Рог и северо-восточнее города Никополь, прорвали сильно укреплённую оборону немцев и за четыре дня боёв, с 2 по 6 февраля, разбили четыре пехотных и три танковых дивизии немцев. Командир 30 армейского корпуса генерал Фреттер-Пико, пытаясь свалить вину за разгром корпуса на подчинённого ему командира 16 мотодивизии генерал-лейтенанта графа фон Шверина, возбудил перед командующим 6 немецкой армией генерал-полковником Холлидтом ходатайство о привлечении фон Шверина к ответственности.</w:t>
      </w:r>
    </w:p>
    <w:p w14:paraId="29AEAA10"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февраля командующий 6 немецкой армией генерал-полковник Холлидт в письме за № 132/44 сообщил фон Шверину о том, что он обвиняется в самовольном оставлении позиций. Холлидт предложил фон Шверину сдать дивизию полковнику Мантейфелю и представить в главную квартиру армии объяснения по поводу предъявленных обвинений.».</w:t>
      </w:r>
    </w:p>
    <w:p w14:paraId="2CBEE315"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Генерал фон Шверин 15 февраля направил генералу Холлидту следующий ответ (публикуется несколько сокращённый текст):</w:t>
      </w:r>
    </w:p>
    <w:p w14:paraId="321A6A1B"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«Генерал-лейтенант граф фон Шверин.</w:t>
      </w:r>
    </w:p>
    <w:p w14:paraId="3A65609B"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 132/44 от 9.2.44 г. Россия 15.2.44 г.</w:t>
      </w:r>
    </w:p>
    <w:p w14:paraId="5E37E922"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Командующему 6 армией господину генерал-полковнику Холлидт</w:t>
      </w:r>
    </w:p>
    <w:p w14:paraId="21F79A7D"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наступлением темноты, как и ожидалось, противник начал появляться перед населёнными пунктами и стал просачиваться в юго-восточный выступ Михайловка. В селе началась паника. Она была подавлена решительным вмешательством начальника оперативного отдела штаба дивизии, который лично с несколькими офицерами организовал контрудар и выбил просочившегося противника из южной части Михайловка, а затем изолировал юго-восточный выступ села, который не мог быть удержан.</w:t>
      </w:r>
    </w:p>
    <w:p w14:paraId="32EE7EC9"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23.00 противник крупными силами, с криками «ура», перешёл в атаку на высоту 81,5 южнее Михайловка, опрокинул стоявшую там на позициях зенитную батарею 9 танковой дивизии и продолжал свой натиск в западном направлении. 306 полевой запасный батальон, которому был поручен этот участок, никакого сопротивления не оказал...</w:t>
      </w:r>
    </w:p>
    <w:p w14:paraId="0282A28A"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Утром 3 февраля ко мне на командный пункт в Михайловка явился командир 156 мотополка полковник Фишер с остатками своего штаба. Полковник доложил, что его полк, как уже было известно, за последние дни в ходе боёв был оттеснён на восток и находится, вероятно, в окружении под Шолохово... Одновременно я получил со ст. Апостолово донесение, что туда прибывают довольно крупные разрозненные отряды всех частей дивизии, правда, без оружия и техники и в совершенно истощённом состоянии...</w:t>
      </w:r>
    </w:p>
    <w:p w14:paraId="68A2407A"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Много машин было потеряно в грязи во время отхода из Михайловка на запад. Отступающая пехота потеряла своё последнее тяжёлое оружие и боеприпасы.</w:t>
      </w:r>
    </w:p>
    <w:p w14:paraId="339078F1"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Отступающие солдаты из-за вязкой грязи, доходившей до колен, настолько физически обессилели, что должны были побросать свое личное оружие для того, чтобы вообще иметь возможность передвигаться. Многие падали от истощения и оставались на дороге. В этих условиях солдаты оказались полностью дезорганизованными и деморализованными. Лишь на рассвете удалось у железнодорожного моста вблизи Трудовая собрать небольшое количество боеспособных солдат, которые добрались на нескольких уцелевших штурмовых орудиях. Это было человек 40 солдат 60 мотополка...</w:t>
      </w:r>
    </w:p>
    <w:p w14:paraId="487C8041"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 намеревался удержаться на железнодорожной линии в надежде, что русские из-за глубокой грязи не смогут преследовать нас крупными силами. Во всяком случае я надеялся выиграть достаточно времени для того, чтобы части, реорганизованные полковником Фишером в Ингулец, используя местный конный транспорт, успели подтянуться раньше, чем русские начнут атаку крупными силами... Выполнение этого плана потерпело неудачу».</w:t>
      </w:r>
    </w:p>
    <w:p w14:paraId="6B511B1F"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дня спустя фон Шверин написал и направил командующему 6 немецкой армией «Отчёт командира 16 моторизованной дивизии и 123 пехотной дивизии, сведенных в группу Шверин». Отчёт озаглавлен «Развал фронта в районе юго-западнее Ново-Николаевка». В этом отчёте говорится:</w:t>
      </w:r>
    </w:p>
    <w:p w14:paraId="218A687A"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«...123 пехотную дивизию можно было ещё считать боеспособной, хотя она и была численно ослаблена. Недостаток тяжёлой противотанковой артиллерии компенсировался взаимодействием имевшихся противотанковых пушек с подвижными бронесредствами 16 мотодивизии. Большое беспокойство у штаба группы вызывало состояние пехоты 16 мотодивизии. После больших летних и осенних сражений она должна была вновь, не выходя из боя, драться на главных направлениях обороны; дивизия истекала кровью и дралась из последних сил. 20.1.44 г. командир дивизии представил об этом рапорт, составленный со всей серьёзностью.</w:t>
      </w:r>
    </w:p>
    <w:p w14:paraId="55D6DFAB"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Обоснованность рапорта была полностью признана как корпусом, так и армией. Текст рапорта прилагается. Однако дивизия никакой помощи не получила.</w:t>
      </w:r>
    </w:p>
    <w:p w14:paraId="2F4F8AAC"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123 пехотная дивизия, включая 416 гренадерский полк, который был разбит уже в первый день наступления, очень хорошо держалась первые два дня, а некоторые ее части дрались даже отлично. Глубокое вклинение на Ново-Подольск во второй день наступления произошло на правом фланге 46 пехотной дивизии. Вклинение в районе северо-восточнее Приюта произошло на участке уже потерявшего боеспособность 416 гренадерского полка, командир которого был убит в этих боях...</w:t>
      </w:r>
    </w:p>
    <w:p w14:paraId="1987C360"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третий день наступления основная масса пехоты 16 мотодивизии в результате танкового прорыва противника через Павлополье на Петровский была отрезана и оттеснена на восток за Бузулук. Пробиться на запад и спастись смогли только подразделения 60 мотополка... При вышеописанных событиях потепление разразилось с неистовством и мощью катастрофического природного явления. Даже тяжёлые 18-тонные тягачи утопали в глубоком море грязи. Бессильно и беспомощно солдат должен был наблюдать, как его оружие гибнет под властью природной катастрофы, как вместе с автомашинами погружаются в трясину боеприпасы, снаряжение, вся техника и личное имущество. Большое число машин застревало в глубоких балках и при приближении противника становилось добычей огня. Оставался только водитель и то, что он мог унести на себе.</w:t>
      </w:r>
    </w:p>
    <w:p w14:paraId="085EFA04"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Сотнями брели эти уставшие люди шаг за шагом по грязи, доходившей до колен. Они были лишены всякого руководства и двигались в том направлении, куда их вёл инстинкт. Над нами витал дух катастрофы. Там, куда они приходили, распространялись паника и ужас. Всякое правильное управление войсками застопорилось и запуталось, так как с потерей штабных машин, а также машин с телефонным и радиоимуществом весь аппарат управления был внезапно выведен из строя. Всё в целом можно приравнять к такому случаю, когда солдата сначала лишили ног, чтобы он не мог больше двигаться, а затем рук, чтобы он не мог больше драться, и, наконец, заткнули ему рот, чтобы он не мог призывать и приказывать. Эта жалкая беспомощность перед... катастрофой приводит каждого, над кем бы такая катастрофа ни разразилась, все равно офицер он или солдат, в состояние шока».</w:t>
      </w:r>
    </w:p>
    <w:p w14:paraId="3EAA3183"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отчёту приложен вышеупомянутый рапорт генерала Шверина генералу Фреттер-Пико от 20 января 1944 года. Приводим текст этого рапорта:</w:t>
      </w:r>
    </w:p>
    <w:p w14:paraId="223A4210"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«Командир 16 моторизованной дивизии</w:t>
      </w:r>
    </w:p>
    <w:p w14:paraId="300520A0"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Командный пункт</w:t>
      </w:r>
    </w:p>
    <w:p w14:paraId="4FC17889"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дивизии. 20.1.1944 г.</w:t>
      </w:r>
    </w:p>
    <w:p w14:paraId="4C39F483"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Командиру 30 армейского корпуса господину генералу артиллерии Фреттер-Пико</w:t>
      </w:r>
    </w:p>
    <w:p w14:paraId="66663023"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телеграммой от 19.1.44 г. докладываю:</w:t>
      </w:r>
    </w:p>
    <w:p w14:paraId="795193CA"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Дивизия оплатила троекратное упоминание о ней в сводках главного штаба троекратными тяжелейшими кровавыми потерями в период больших оборонительных сражений прошлого лета, когда дивизия беспрерывно действовала на решающих участках — на Миусе, на Донце и под Запорожьем. В этих боях дивизия потеряла </w:t>
      </w:r>
      <w:r w:rsidRPr="00070ADE">
        <w:rPr>
          <w:rFonts w:ascii="Times New Roman" w:hAnsi="Times New Roman"/>
          <w:color w:val="000000" w:themeColor="text1"/>
          <w:sz w:val="16"/>
          <w:szCs w:val="16"/>
        </w:rPr>
        <w:lastRenderedPageBreak/>
        <w:t>9.411 человек. Таким образом, учитывая тогдашнюю боевую численность дивизии, она была трижды перемолота... После окончания сражения за Запорожье резервы для восстановления дивизии исчерпались.</w:t>
      </w:r>
    </w:p>
    <w:p w14:paraId="499FADDC"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этот момент — 20.10.43 г. — дивизия вступила в бои в районе юго-западнее Днепропетровска без предварительного пополнения. В период с 20.10.43 г. по 14.1.44 г. дивизия потеряла еще 5.120 человек убитыми, ранеными, пропавшими без вести и больными и опять беспрерывно вела бои.</w:t>
      </w:r>
    </w:p>
    <w:p w14:paraId="0DDDA5F8"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Исходя из нынешней численности боевого состава пехотных частей, потери дивизии вновь равняются, по меньшей мере, её трёхкратному уничтожению. Таким образом, с начала прошлогодних летних боёв пехота дивизии потеряла, по меньшей мере, шесть раз весь свой личный состав.</w:t>
      </w:r>
    </w:p>
    <w:p w14:paraId="0B34D4CB"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дивизия обескровлена. Как мне ни тяжело и больно, однако, я должен в соответствии с истиной доложить, что... боевая ценность дивизии заключается на сегодня только в её артиллерии и бронеподразделениях. Пехота больше не в состоянии противостоять сильным атакам.</w:t>
      </w:r>
    </w:p>
    <w:p w14:paraId="04D41DFB"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Граф фон Шверин».</w:t>
      </w:r>
    </w:p>
    <w:p w14:paraId="588EDC6E"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«Опубликованные выше документы не нуждаются в комментариях. Переписка по делу Шверина как нельзя лучше вскрывает истинные масштабы поражения и потерь немецких войск на советско-германском фронте.</w:t>
      </w:r>
    </w:p>
    <w:p w14:paraId="7BAB5547"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Трофейные документы ещё и ещё раз разоблачают лживые сообщения немецкого командования о положении дел на советско-германском фронте. На протяжении долгих месяцев, начиная с июля прошлого года, брехуны из ставки Гитлера трубили о том, что немецкую армию на Востоке не гонят, не отбрасывают на запад, а она «добровольно» сама отходит, «сокращает» фронт, осуществляет «планомерное» отступление. Генерал фон Шверин, свидетель и участник боёв, в своих официальных рапортах употреблял совсем иные слова. Он писал о «развале немецкого фронта», о «катастрофе», о «шоке» и других подобных вещах.</w:t>
      </w:r>
    </w:p>
    <w:p w14:paraId="76F38584" w14:textId="77777777" w:rsidR="00623E4A" w:rsidRPr="00070ADE" w:rsidRDefault="00623E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Брехуны из ставки Гитлера неустанно твердили, что немецкая армия, отступая, сохраняет и сберегает свои людские силы и технику. Что стало с немецкими дивизиями за месяцы непрерывного отступления, можно видеть на примере той же 16 моторизованной дивизии. По авторитетному свидетельству её командира генерала графа фон Шверина, она, начиная с июля по январь, почти ежемесячно теряла весь личный состав. Не прошло и двух месяцев, как судьба 16 немецкой мотодивизии постигла всю 6 немецкую армию. Такая же участь постигла и многие другие немецкие дивизии. Вольно или невольно граф фон Шверин изобличает ставку Гитлера и немецкое командование в самой низкопробной лжи.» (14900).</w:t>
      </w:r>
    </w:p>
    <w:p w14:paraId="77561B8D" w14:textId="77777777" w:rsidR="00623E4A" w:rsidRPr="00070ADE" w:rsidRDefault="00623E4A" w:rsidP="00B56F90">
      <w:pPr>
        <w:spacing w:after="0" w:line="240" w:lineRule="auto"/>
        <w:jc w:val="both"/>
        <w:rPr>
          <w:rFonts w:ascii="Times New Roman" w:hAnsi="Times New Roman"/>
          <w:color w:val="000000" w:themeColor="text1"/>
          <w:sz w:val="16"/>
          <w:szCs w:val="16"/>
        </w:rPr>
      </w:pPr>
    </w:p>
    <w:p w14:paraId="3D6BE12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мая 1944 в степи в районе поселка Утта совершил посадку четырехмоторный Ju-290 из 1-й группы KG200. Находившийся на его борту отряд диверсантов во главе с гауптманом фон Шеллером должен был стать авангардом планировавшегося десанта в Калмыкию 36 эскадронов Калмыцкого корпуса зондерфюрера СС Отто Верба. Целью операции являлась организация национально-освободительного восстания в Калмыкии (немцы не знали, что к тому времени почти всех калмыков по приказу Сталина уже выселили в Сибирь). Отряду фон Шеллера на полном серьезе была поставлена задача организовать радиоцентр и авиабазу для регулярного приема самолетов. Шеллер доложил по рации об успешном приземлении, но вскоре в небе появились четыре «Харрикейна» из 144-й ИАД ПВО, а по суше к «Юнкерсу» уже мчались опергруппы НКВД и НКГБ Астраханской области. В результате обстрела с воздуха Ju-290 загорелся, а на земле завязалась упорная перестрелка. В итоге три летчика и четыре диверсанта погибли, еще шесть летчиков и шесть диверсантов попали в плен, однако 14 все же смогли уйти! В числе пленных оказались фон Шеллер и радист обер-лейтенант Ханс Ханзен. Об этом событии доложили Берии, и началась радиоигра. Германский разведцентр поверил, что в Калмыкии удалось создать «авиабазу», и 12 июня в небе Астраханской области появился еще один Ju-290. Сначала с самолета была выброшена группа парашютистов и 20 тюков с грузами, а затем 50-тонный транспортник сел около поселка Яшкуль. Опергруппы НКВД начали захват «Юнкерса». Однако контрразведчики опять сработали плоховато. В результате боя двое пилотов погибли, один застрелился, остальным летчикам удалось убежать! Тем не менее в результате этой авантюры KG200 потеряла сразу два четырехмоторных самолета, и о секретной эскадре стало известно органам НКГБ. Весной 1944 г. немецких агентов выловили на территории Саратовской и Куйбышевской областей. Задачу по формированию бандитских групп для совершения диверсий и актов террора имели участники разведгруппы, обезвреженной в апреле на территории Сенглиеевского района Ульяновской области. В их экипировку входили оружие, взрывчатка и запас продовольствия. Группа была быстро поймана и практических действий совершить не успела. Летом немецкая авиация вела усиленную заброску агентов-парашютистов на территорию Сталинградской области. Органам контрразведки удалось арестовать здесь в общей сложности 50 человек. Все они имели похожие задания: сколачивать бандгруппы из числа уголовных элементов, дезертиров и лиц, уклоняющихся от призыва в Красную Армию (11744).</w:t>
      </w:r>
    </w:p>
    <w:p w14:paraId="6EA8F1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5C6B457" w14:textId="77777777" w:rsidR="008E4DB9" w:rsidRPr="00070ADE" w:rsidRDefault="008E4D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мая 1944 г. четырем летчикам из 933-го иап на Харрикейнах поручили найти и уничтожить в степях совершив</w:t>
      </w:r>
      <w:r w:rsidRPr="00070ADE">
        <w:rPr>
          <w:rFonts w:ascii="Times New Roman" w:hAnsi="Times New Roman"/>
          <w:color w:val="000000" w:themeColor="text1"/>
          <w:sz w:val="16"/>
          <w:szCs w:val="16"/>
        </w:rPr>
        <w:softHyphen/>
        <w:t>ший там для дозаправки промежуточную посадку немецкий транспортный самолет Фокке-Вульф FW 200С, доставлявший в глубокий тыл группу агентов. Пролетев около 270 км, истребители нашли и подо</w:t>
      </w:r>
      <w:r w:rsidRPr="00070ADE">
        <w:rPr>
          <w:rFonts w:ascii="Times New Roman" w:hAnsi="Times New Roman"/>
          <w:color w:val="000000" w:themeColor="text1"/>
          <w:sz w:val="16"/>
          <w:szCs w:val="16"/>
        </w:rPr>
        <w:softHyphen/>
        <w:t>жгли эту четырехмоторную машину, а за</w:t>
      </w:r>
      <w:r w:rsidRPr="00070ADE">
        <w:rPr>
          <w:rFonts w:ascii="Times New Roman" w:hAnsi="Times New Roman"/>
          <w:color w:val="000000" w:themeColor="text1"/>
          <w:sz w:val="16"/>
          <w:szCs w:val="16"/>
        </w:rPr>
        <w:softHyphen/>
        <w:t>тем поддержали огнем подразделение НКВД, захватившее экипаж и пассажиров (23513).</w:t>
      </w:r>
    </w:p>
    <w:p w14:paraId="6301644A" w14:textId="77777777" w:rsidR="008E4DB9" w:rsidRPr="00070ADE" w:rsidRDefault="008E4DB9" w:rsidP="00B56F90">
      <w:pPr>
        <w:spacing w:after="0" w:line="240" w:lineRule="auto"/>
        <w:jc w:val="both"/>
        <w:rPr>
          <w:rFonts w:ascii="Times New Roman" w:hAnsi="Times New Roman"/>
          <w:color w:val="000000" w:themeColor="text1"/>
          <w:sz w:val="16"/>
          <w:szCs w:val="16"/>
        </w:rPr>
      </w:pPr>
    </w:p>
    <w:p w14:paraId="624E49A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706B96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75E35A" w14:textId="77777777" w:rsidR="00773CC6" w:rsidRPr="00070ADE" w:rsidRDefault="00773CC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мая</w:t>
      </w:r>
      <w:r w:rsidRPr="00070ADE">
        <w:rPr>
          <w:rFonts w:ascii="Times New Roman" w:hAnsi="Times New Roman"/>
          <w:color w:val="000000" w:themeColor="text1"/>
          <w:sz w:val="16"/>
          <w:szCs w:val="16"/>
        </w:rPr>
        <w:t xml:space="preserve"> в 1944 году впервые поднялся в воздух первый прототип английского истребителя </w:t>
      </w:r>
      <w:hyperlink r:id="rId139" w:tgtFrame="_blank" w:history="1">
        <w:r w:rsidRPr="00070ADE">
          <w:rPr>
            <w:rFonts w:ascii="Times New Roman" w:hAnsi="Times New Roman"/>
            <w:color w:val="000000" w:themeColor="text1"/>
            <w:sz w:val="16"/>
            <w:szCs w:val="16"/>
          </w:rPr>
          <w:t xml:space="preserve">«МВ.5» </w:t>
        </w:r>
      </w:hyperlink>
      <w:r w:rsidRPr="00070ADE">
        <w:rPr>
          <w:rFonts w:ascii="Times New Roman" w:hAnsi="Times New Roman"/>
          <w:color w:val="000000" w:themeColor="text1"/>
          <w:sz w:val="16"/>
          <w:szCs w:val="16"/>
        </w:rPr>
        <w:t>(«R2496»). Пройдя все стадии усовершенствований истребитель МВ.5 внешне стал сильно напоминать американский «Р-51» "Mustang" с двигателем "Merlin". Он собирался из стальных труб и имел много съёмных панелей, значительно облегчавших доступ к узлам и агрегатам самолёта. Вооружение состояло из четырех стандартных 20-мм пушек «Hispano-Suisa» «Mk.I»I. Кроме того, вместо ненадежного двигателя «Napier» "Sabre" был установлен более перспективный, но также крайне "сырой" Rolls-Royce "Griffon" 83. Этот V-образный 12-цилиндровый двигатель развивал мощность 2340 л.с. и вращал два соосных пропеллера - передний типа «De Havilland» «Hydromatic» «SKP 74489/15A» диаметром 3.58 метра и задний – «SKP 74490/18A» диаметром 3.54 метра (14900).</w:t>
      </w:r>
    </w:p>
    <w:p w14:paraId="479FF04D" w14:textId="77777777" w:rsidR="00773CC6" w:rsidRPr="00070ADE" w:rsidRDefault="00773CC6" w:rsidP="00B56F90">
      <w:pPr>
        <w:spacing w:after="0" w:line="240" w:lineRule="auto"/>
        <w:jc w:val="both"/>
        <w:rPr>
          <w:rFonts w:ascii="Times New Roman" w:hAnsi="Times New Roman"/>
          <w:color w:val="000000" w:themeColor="text1"/>
          <w:sz w:val="16"/>
          <w:szCs w:val="16"/>
        </w:rPr>
      </w:pPr>
    </w:p>
    <w:p w14:paraId="5DD2966F" w14:textId="77777777" w:rsidR="00773CC6" w:rsidRPr="00070ADE" w:rsidRDefault="00773CC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мая</w:t>
      </w:r>
      <w:r w:rsidRPr="00070ADE">
        <w:rPr>
          <w:rFonts w:ascii="Times New Roman" w:hAnsi="Times New Roman"/>
          <w:color w:val="000000" w:themeColor="text1"/>
          <w:sz w:val="16"/>
          <w:szCs w:val="16"/>
        </w:rPr>
        <w:t xml:space="preserve"> в 1944 году был готов </w:t>
      </w:r>
      <w:hyperlink r:id="rId140" w:tgtFrame="_blank" w:history="1">
        <w:r w:rsidRPr="00070ADE">
          <w:rPr>
            <w:rFonts w:ascii="Times New Roman" w:hAnsi="Times New Roman"/>
            <w:color w:val="000000" w:themeColor="text1"/>
            <w:sz w:val="16"/>
            <w:szCs w:val="16"/>
          </w:rPr>
          <w:t xml:space="preserve">«Me 163» «S» </w:t>
        </w:r>
      </w:hyperlink>
      <w:r w:rsidRPr="00070ADE">
        <w:rPr>
          <w:rFonts w:ascii="Times New Roman" w:hAnsi="Times New Roman"/>
          <w:color w:val="000000" w:themeColor="text1"/>
          <w:sz w:val="16"/>
          <w:szCs w:val="16"/>
        </w:rPr>
        <w:t>(«S» - Schule, «школьная»), учебный двухместный самолет, и через несколько дней облётан. «Me 163» «S» производства Юнкерса несколько отличался от прототипа, в частности конструкцией остекления фонарей и составом радиооборудования. Для удовлетворения потребности в учебной машине один из серийных самолётов «Me 163 B» был переделан по проекту «Me 163» «S». У самолёта удалили бак окислителя, а на его месте смонтировали кабину инструктора, закрытую большим каплевидным фонарём. Запас топлива сократился настолько, что взлёт на двигателе стал невозможен. «Me 163» «S» годился только для планерной подготовки пилотов. Первый полет на «Me 163» «S» совер¬шил пилот Гоманн. Затем конструк¬цию самолета начали совершенство¬вать, учитывая пожелания пилотов. К 25 июля 1944 года доводка была завер¬шена. Планировалось выпустить 42 учебные машины. Выпуск начался на заводе Юнкерса в Дессау. После того, как было выпущено несколько самоле¬тов, поступил приказ свернуть производ¬ство, поскольку все острее ощущался дефицит боевых самолетов. Точное чис¬ло выпущенных «Me 163» «S» неизвестно, известно только, что 2 или 3 годных к полётам экземпляра были перевезены в СССР и здесь испытаны (14900).</w:t>
      </w:r>
    </w:p>
    <w:p w14:paraId="72E1FFB5" w14:textId="77777777" w:rsidR="00773CC6" w:rsidRPr="00070ADE" w:rsidRDefault="00773CC6" w:rsidP="00B56F90">
      <w:pPr>
        <w:spacing w:after="0" w:line="240" w:lineRule="auto"/>
        <w:jc w:val="both"/>
        <w:rPr>
          <w:rFonts w:ascii="Times New Roman" w:hAnsi="Times New Roman"/>
          <w:color w:val="000000" w:themeColor="text1"/>
          <w:sz w:val="16"/>
          <w:szCs w:val="16"/>
        </w:rPr>
      </w:pPr>
    </w:p>
    <w:p w14:paraId="3362359F" w14:textId="77777777" w:rsidR="00411A0B" w:rsidRPr="00070ADE" w:rsidRDefault="00411A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мая 1944 первый полет Мартин-Бейкер МБ 5 (20373).</w:t>
      </w:r>
    </w:p>
    <w:p w14:paraId="59AFD6C6" w14:textId="77777777" w:rsidR="00411A0B" w:rsidRPr="00070ADE" w:rsidRDefault="00411A0B" w:rsidP="00B56F90">
      <w:pPr>
        <w:spacing w:after="0" w:line="240" w:lineRule="auto"/>
        <w:jc w:val="both"/>
        <w:rPr>
          <w:rFonts w:ascii="Times New Roman" w:hAnsi="Times New Roman"/>
          <w:color w:val="000000" w:themeColor="text1"/>
          <w:sz w:val="16"/>
          <w:szCs w:val="16"/>
        </w:rPr>
      </w:pPr>
    </w:p>
    <w:p w14:paraId="49CF44BE" w14:textId="0BE49FB0" w:rsidR="00411A0B" w:rsidRPr="00070ADE" w:rsidRDefault="00411A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Впервые поднялся в воздух первый прототип английского истребителя МВ.5 (R2496). Пройдя все стадии усовершенствований истребитель МВ.5 внешне стал сильно напоминать американский Р-51 "Mustang" с двигателем "Merlin". Он собирался из стальных труб и имел много съёмных панелей, значительно облегчавших доступ к узлам и агрегатам самолёта. Вооружение состояло из четырех стандартных 20-мм пушек Hispano-Suisa Mk.II. Кроме того, вместо ненадежного двигателя Napier "Sabre" был установлен более перспективный, но также крайне "сырой" Rolls-Royce "Griffon" 83. Этот V-образный 12-цилиндровый двигатель развивал мощность 2340 л.с. и вращал два соосных пропеллера - передний типа De Havilland Hydromatic SKP 74489/15A диаметром 3.58 метра и задний - SKP 74490/18A диаметром 3.54 метра. Серийно не строился (22493).</w:t>
      </w:r>
    </w:p>
    <w:p w14:paraId="2F8D0C8F" w14:textId="77777777" w:rsidR="00411A0B" w:rsidRPr="00070ADE" w:rsidRDefault="00411A0B" w:rsidP="00B56F90">
      <w:pPr>
        <w:spacing w:after="0" w:line="240" w:lineRule="auto"/>
        <w:jc w:val="both"/>
        <w:rPr>
          <w:rFonts w:ascii="Times New Roman" w:hAnsi="Times New Roman"/>
          <w:color w:val="000000" w:themeColor="text1"/>
          <w:sz w:val="16"/>
          <w:szCs w:val="16"/>
        </w:rPr>
      </w:pPr>
    </w:p>
    <w:p w14:paraId="51279421" w14:textId="77777777" w:rsidR="00411A0B" w:rsidRPr="00070ADE" w:rsidRDefault="00411A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мая 1944 на совещании у Гитлера отношение к Не177В внезапно изменилось — его горячо поддержал Геринг, назвав «ядром новой бомбардировочной авиации», и потребовал срочно начать серийный выпуск с темпом 200 штук в месяц. Самолет, названный по предложению Хейнкеля Не277В (такой индекс уже ставился на его чертежах с 1940 года, первые опытные самолеты были обозначены He277V1 и V2), предназначался для уничтожения конвоев в Атлантике и для прицельных бомбардировок важнейших объектов в Великобритании в дневное время. Но самолет, как и Не177А, страдал недостаточной путевой устойчивостью и управляемостью. Тогда на третьем прототипе He277V3 сделали двухкилевое оперение, заодно улучшив сектора обстрела верхних огневых башен — передней дистанционно-управляемой FDL131E/F2 с парой пулеметов калибра 13,2 мм и задней обитаемой EDL131A-2, в которой был один такой же пулемет с электрическими силовыми приводами. В лобовом остеклении кабины экипажа в шаровой установке стоял пулемет MG81J винтовочного калибра, еще по четыре таких пулемета «смотрели» назад в гондоле под кабиной и в хвосте в установках HDL81V с гидравлическим приводом.</w:t>
      </w:r>
    </w:p>
    <w:p w14:paraId="766A8915" w14:textId="77777777" w:rsidR="00411A0B" w:rsidRPr="00070ADE" w:rsidRDefault="00411A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Чтобы ускорить начало поставок Не277, было решено на первой серийной модификации не ставить аппаратуру наведения противокорабельных ракет Hs293 и планирующих бомб РС1400 «Фриц-Х», ограничившись лишь подвеской тяжелых свободнопадающих фугасок SC2500. Официально самолет все еще рассматривался и как носитель атомной бомбы, но фирма все еще не получила даже ее габаритных чертежей.</w:t>
      </w:r>
    </w:p>
    <w:p w14:paraId="7019D553" w14:textId="77777777" w:rsidR="00411A0B" w:rsidRPr="00070ADE" w:rsidRDefault="00411A0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Эрнст Хейнкель был обязан в кратчайшие сроки организовать выпуск новых самолетов, но все его основные заводы на территории Германии уже были заняты серийными заказами. В его распоряжении оставались бывший австрийский авиаремонтный завод в предместье Вены Швехат, а также реквизированные Германией заводы «Фарман» в оккупированной Франции, которые уже участвовали в выпуске Не177А. Туда начали свозить отдельные агрегаты Не177А, которые в новом </w:t>
      </w:r>
      <w:r w:rsidRPr="00070ADE">
        <w:rPr>
          <w:rFonts w:ascii="Times New Roman" w:hAnsi="Times New Roman"/>
          <w:color w:val="000000" w:themeColor="text1"/>
          <w:sz w:val="16"/>
          <w:szCs w:val="16"/>
        </w:rPr>
        <w:lastRenderedPageBreak/>
        <w:t>проекте не изменились, и пригодную к использованию для выпускаНе277В-5 технологическую оснастку «177-го» с заводов в Мариэнехе, Бранденбурге и Ораниенбурге (22883).</w:t>
      </w:r>
    </w:p>
    <w:p w14:paraId="2A19C42B" w14:textId="77777777" w:rsidR="00411A0B" w:rsidRPr="00070ADE" w:rsidRDefault="00411A0B" w:rsidP="00B56F90">
      <w:pPr>
        <w:spacing w:after="0" w:line="240" w:lineRule="auto"/>
        <w:jc w:val="both"/>
        <w:rPr>
          <w:rFonts w:ascii="Times New Roman" w:hAnsi="Times New Roman"/>
          <w:color w:val="000000" w:themeColor="text1"/>
          <w:sz w:val="16"/>
          <w:szCs w:val="16"/>
        </w:rPr>
      </w:pPr>
    </w:p>
    <w:p w14:paraId="631BA55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мая 1944 фашисты провели операцию “Ход конем” по захвату И. Броз Тито, но тот успел скрыться (4962).</w:t>
      </w:r>
    </w:p>
    <w:p w14:paraId="36A395C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B51D6D" w14:textId="77777777" w:rsidR="00773CC6" w:rsidRPr="00070ADE" w:rsidRDefault="00773CC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мая</w:t>
      </w:r>
      <w:r w:rsidRPr="00070ADE">
        <w:rPr>
          <w:rFonts w:ascii="Times New Roman" w:hAnsi="Times New Roman"/>
          <w:color w:val="000000" w:themeColor="text1"/>
          <w:sz w:val="16"/>
          <w:szCs w:val="16"/>
        </w:rPr>
        <w:t xml:space="preserve"> в 1944 году главнокомандующий немецкими войсками во Франции, Бельгии и Нидерландах Руднштедт, оценивая обстановку, высказал мнение, что «наиболее угрожаемым участком нашей бороны является фронт между рекой Шельда и Нормандией, а также северная часть полуострова Бретань, включая Брест» (14900).</w:t>
      </w:r>
    </w:p>
    <w:p w14:paraId="0B36B24C" w14:textId="77777777" w:rsidR="00773CC6" w:rsidRPr="00070ADE" w:rsidRDefault="00773CC6" w:rsidP="00B56F90">
      <w:pPr>
        <w:spacing w:after="0" w:line="240" w:lineRule="auto"/>
        <w:jc w:val="both"/>
        <w:rPr>
          <w:rFonts w:ascii="Times New Roman" w:hAnsi="Times New Roman"/>
          <w:color w:val="000000" w:themeColor="text1"/>
          <w:sz w:val="16"/>
          <w:szCs w:val="16"/>
        </w:rPr>
      </w:pPr>
    </w:p>
    <w:p w14:paraId="4C62BCF7" w14:textId="77777777" w:rsidR="00773CC6" w:rsidRPr="00070ADE" w:rsidRDefault="00773CC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мая</w:t>
      </w:r>
      <w:r w:rsidRPr="00070ADE">
        <w:rPr>
          <w:rFonts w:ascii="Times New Roman" w:hAnsi="Times New Roman"/>
          <w:color w:val="000000" w:themeColor="text1"/>
          <w:sz w:val="16"/>
          <w:szCs w:val="16"/>
        </w:rPr>
        <w:t xml:space="preserve"> в 1944 году (23 - 25 мая) американские войска с плацдарма в районе Анцион прорвали фронт и соединились с английскими войсками, наступавшими на север от Кассино (14900).</w:t>
      </w:r>
    </w:p>
    <w:p w14:paraId="02F821C8" w14:textId="77777777" w:rsidR="00773CC6" w:rsidRPr="00070ADE" w:rsidRDefault="00773CC6" w:rsidP="00B56F90">
      <w:pPr>
        <w:spacing w:after="0" w:line="240" w:lineRule="auto"/>
        <w:jc w:val="both"/>
        <w:rPr>
          <w:rFonts w:ascii="Times New Roman" w:hAnsi="Times New Roman"/>
          <w:color w:val="000000" w:themeColor="text1"/>
          <w:sz w:val="16"/>
          <w:szCs w:val="16"/>
        </w:rPr>
      </w:pPr>
    </w:p>
    <w:p w14:paraId="0434A5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23rd, 1944: In Italy, the US Fifth Army (Clark) begins an offensive from the Anzio bridgehead toward Rome, while the British Eighth Army (Alexander) attacks the Dora Line further East (3819).</w:t>
      </w:r>
    </w:p>
    <w:p w14:paraId="72B0F5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9D59D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мая 1944 5А США (Кларк) начала наступление от Анцио к Риму, а британская 8А (Александр) начала атаки на Линию Дора (3819).</w:t>
      </w:r>
    </w:p>
    <w:p w14:paraId="63029A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FC760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1484D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DF41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мая 1944 года начальник НИИ ВВС генерал-лейтенант ИАС Лосюков и начальник 3 отдела НИИ ВВС инженер-полковник Сафронов писали письмо N 3/725 гл. инженеру ВВС генерал-полковнику ИАС Репину А.К., Шахурину, УК ЦК ВКП(б) генерал-полковнику авиации Шиманову Н.С.</w:t>
      </w:r>
    </w:p>
    <w:p w14:paraId="78F198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Доношу, что 20 мая 1944 года в НИИ ВВС прибыл на государственное испытание самолет Пе-2Б с 2ВК-105ПФ эталон 1944 года после ремонта моторамы на заводе N 23.</w:t>
      </w:r>
    </w:p>
    <w:p w14:paraId="677D4A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произведено 2 полета на определение температурных режимов винто-моторной группы. 22 мая 1944 года при проведении километража была замечена тряска левого мотора, вследствие чего задание было прекращено. Осмотром и опробованием мотора на земле установлено, что причиной тряски является попадание масла в карбюраторы, вследствие разрушения уплотнения подшипника нагнетателя. Мотор подлежит замене. Испытания самолета приостановлены до получения нового мотора ВК-105ПФ (1821).</w:t>
      </w:r>
    </w:p>
    <w:p w14:paraId="4CA2C0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D9E324" w14:textId="77777777" w:rsidR="00D22FC4" w:rsidRPr="00070ADE" w:rsidRDefault="00D22F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мая 1944 самолет ТБ-7 №42066 перегнали из Тилинга на аэродром Прествик, который имел более длинную взлетную полосу и располагался ближе к Исландии, куда им предстояло лететь даль</w:t>
      </w:r>
      <w:r w:rsidRPr="00070ADE">
        <w:rPr>
          <w:rFonts w:ascii="Times New Roman" w:hAnsi="Times New Roman"/>
          <w:color w:val="000000" w:themeColor="text1"/>
          <w:sz w:val="16"/>
          <w:szCs w:val="16"/>
        </w:rPr>
        <w:softHyphen/>
        <w:t>ше. Продолжительность полета составила 47 минут. Здесь с самолета сняли бронеспинки, бронеплиты и часть боеприпасов для пушек и пулеметов, так как вероятность встречи с самолетами противника над северной Атлан</w:t>
      </w:r>
      <w:r w:rsidRPr="00070ADE">
        <w:rPr>
          <w:rFonts w:ascii="Times New Roman" w:hAnsi="Times New Roman"/>
          <w:color w:val="000000" w:themeColor="text1"/>
          <w:sz w:val="16"/>
          <w:szCs w:val="16"/>
        </w:rPr>
        <w:softHyphen/>
        <w:t>тикой была мала. Взамен этого на борт взяли две большие резиновые надувные лодки (клипперботы) и спасательные жилеты на каждого члена экипажа. Вместо скамеек для пассажиров в центральном отсеке установи</w:t>
      </w:r>
      <w:r w:rsidRPr="00070ADE">
        <w:rPr>
          <w:rFonts w:ascii="Times New Roman" w:hAnsi="Times New Roman"/>
          <w:color w:val="000000" w:themeColor="text1"/>
          <w:sz w:val="16"/>
          <w:szCs w:val="16"/>
        </w:rPr>
        <w:softHyphen/>
        <w:t>ли мягкие диваны и постелили ковер. В один из дней командиру корабля позвонили из Лондона и сказали, что англичане предла</w:t>
      </w:r>
      <w:r w:rsidRPr="00070ADE">
        <w:rPr>
          <w:rFonts w:ascii="Times New Roman" w:hAnsi="Times New Roman"/>
          <w:color w:val="000000" w:themeColor="text1"/>
          <w:sz w:val="16"/>
          <w:szCs w:val="16"/>
        </w:rPr>
        <w:softHyphen/>
        <w:t>гают им взять на борт своего штурмана и радиста. Предложение вызвало негодование у наших штурманов и радистов. Вскоре позвонили еще раз и настояли взять хотя бы одного радиста. Пришлось согласиться, и вскоре прибыл радист канадец мистер Кемпбелл. Тем временем наша делегация в Лондо</w:t>
      </w:r>
      <w:r w:rsidRPr="00070ADE">
        <w:rPr>
          <w:rFonts w:ascii="Times New Roman" w:hAnsi="Times New Roman"/>
          <w:color w:val="000000" w:themeColor="text1"/>
          <w:sz w:val="16"/>
          <w:szCs w:val="16"/>
        </w:rPr>
        <w:softHyphen/>
        <w:t>не провела переговоры и прибыла на аэро</w:t>
      </w:r>
      <w:r w:rsidRPr="00070ADE">
        <w:rPr>
          <w:rFonts w:ascii="Times New Roman" w:hAnsi="Times New Roman"/>
          <w:color w:val="000000" w:themeColor="text1"/>
          <w:sz w:val="16"/>
          <w:szCs w:val="16"/>
        </w:rPr>
        <w:softHyphen/>
        <w:t>дром. Старт был назначен на 27 мая, и в 7 часов 20 минут корабль взлетел. На подлете к аэродрому Рейкьявика к ТБ-7 пристроились две «Аэрокобры» и сопроводили до аэродро</w:t>
      </w:r>
      <w:r w:rsidRPr="00070ADE">
        <w:rPr>
          <w:rFonts w:ascii="Times New Roman" w:hAnsi="Times New Roman"/>
          <w:color w:val="000000" w:themeColor="text1"/>
          <w:sz w:val="16"/>
          <w:szCs w:val="16"/>
        </w:rPr>
        <w:softHyphen/>
        <w:t>ма. В 11 часов 57 минут через 4 часа 37 минут после взлета, преодолев 1590 километров пути, самолет совершил посадку (19936).</w:t>
      </w:r>
    </w:p>
    <w:p w14:paraId="42EBDF6D" w14:textId="77777777" w:rsidR="00D22FC4" w:rsidRPr="00070ADE" w:rsidRDefault="00D22FC4" w:rsidP="00B56F90">
      <w:pPr>
        <w:spacing w:after="0" w:line="240" w:lineRule="auto"/>
        <w:jc w:val="both"/>
        <w:rPr>
          <w:rFonts w:ascii="Times New Roman" w:hAnsi="Times New Roman"/>
          <w:color w:val="000000" w:themeColor="text1"/>
          <w:sz w:val="16"/>
          <w:szCs w:val="16"/>
        </w:rPr>
      </w:pPr>
    </w:p>
    <w:p w14:paraId="1AD2B7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мая 1944 Зам. Нач. 7ГУ Алексеев подготовил сводку г-7 № 6793 о ходе испытаний высотных самолетов на 23 мая 1944 по Як-9 М-105ПД, Ла-5 АШ-82ФН и 2ТК-3, МиГ АМ-39А и 2ТК-2Б (1825).</w:t>
      </w:r>
    </w:p>
    <w:p w14:paraId="20C635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ИСТРЕБИТЕЛЬ Як-9 с М-105ПД</w:t>
      </w:r>
    </w:p>
    <w:p w14:paraId="6F0C15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замены РПД и проверки системы зажигания, 23 мая состоялся контрольный полет, в котором на высоте 4000 мт резко упало давление масла в моторе. После посадки произведен осмотр самолета и масляной системы, обнаруживший наличие стружки в маслофильтре.Мотор подлежит замене.</w:t>
      </w:r>
    </w:p>
    <w:p w14:paraId="3DAA69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ЦИАМ поставлен в известность о выходе мотора из строя и о необходимости срочной поставки нового мо</w:t>
      </w:r>
      <w:r w:rsidRPr="00070ADE">
        <w:rPr>
          <w:rFonts w:ascii="Times New Roman" w:hAnsi="Times New Roman"/>
          <w:color w:val="000000" w:themeColor="text1"/>
          <w:sz w:val="16"/>
          <w:szCs w:val="16"/>
        </w:rPr>
        <w:softHyphen/>
        <w:t>тора. По заявлению Начальника Высотного отдела ЦИАМа тов.ФАДЕЕВА, мотор будет подан 1 июня с.г.</w:t>
      </w:r>
    </w:p>
    <w:p w14:paraId="4D9466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ВЫСОТНЫЙ ИСТРЕЕИТЕТЬ Ла-5 с АШ-82ФН и 2ТК-3</w:t>
      </w:r>
    </w:p>
    <w:p w14:paraId="5124D4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Производилось устранение дефектов и гонка мотора на земле. ВМГ самолета на земле работает нормально. Температура головок цилиндров снижена до нормальной. Полет намечен на 24 мая.</w:t>
      </w:r>
    </w:p>
    <w:p w14:paraId="0CFA79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ВЫСОТНЫЙ ИСТРЕБИТЕЛЬ МИГ с мотором АМ-39Б и 2ТК-2Б</w:t>
      </w:r>
    </w:p>
    <w:p w14:paraId="001B40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Продолжались работы по изготовлению новых узлов крепления радиатора и воздухопривода в связи с уста</w:t>
      </w:r>
      <w:r w:rsidRPr="00070ADE">
        <w:rPr>
          <w:rFonts w:ascii="Times New Roman" w:hAnsi="Times New Roman"/>
          <w:color w:val="000000" w:themeColor="text1"/>
          <w:sz w:val="16"/>
          <w:szCs w:val="16"/>
        </w:rPr>
        <w:softHyphen/>
        <w:t>новкой нового улучшенного воздухо-воздушного радиато</w:t>
      </w:r>
      <w:r w:rsidRPr="00070ADE">
        <w:rPr>
          <w:rFonts w:ascii="Times New Roman" w:hAnsi="Times New Roman"/>
          <w:color w:val="000000" w:themeColor="text1"/>
          <w:sz w:val="16"/>
          <w:szCs w:val="16"/>
        </w:rPr>
        <w:softHyphen/>
        <w:t>ра (1825).</w:t>
      </w:r>
    </w:p>
    <w:p w14:paraId="308D5B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EB0D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мая 1944 года N 0470 гл. инженеру ВВС генерал-полковнику ИАС Репину А.К., Шахурину, УК ЦК ВКП(б) генерал-полковнику авиации Шиманову Н.С.</w:t>
      </w:r>
    </w:p>
    <w:p w14:paraId="09848C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 о ходе испытаний модернизированного самолета Лагг-3 с мотором ВК-105ПФ2 конструкции Горбунова, производства завода N 31.</w:t>
      </w:r>
    </w:p>
    <w:p w14:paraId="3D0888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принят на испытания 10 мая 1944 года. Испытания начаты 10 мая, приостановлены 12 мая, ввиду выхода из строя мотора ВК-105ПФ2 (течь воды через уплотнение рубашки левого блока цилиндров) и возобновлены после установки нового мотора 18 мая 1944 года.</w:t>
      </w:r>
    </w:p>
    <w:p w14:paraId="0B6A48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10 по 19 мая 1944 года произведено 6 полетов, общей продолжительностью 3 часа 00 минут, из них: два полета контрольных и остальные для определения летных характеристик и температурных режимов винто-моторной группы.</w:t>
      </w:r>
    </w:p>
    <w:p w14:paraId="077AD5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мая 1944 года испытания прерваны (1821).</w:t>
      </w:r>
    </w:p>
    <w:p w14:paraId="0E5E64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36CF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мая 1944 года начальник НИИ ВВС генерал-лейтенант ИАС Лосюков и начальник 3 отдела НИИ ВВС инженер-полковник Сафронов писали письмо N 3/725 гл. инженеру ВВС генерал-полковнику ИАС Репину А.К., Шахурину, УК ЦК ВКП(б) генерал-полковнику авиации Шиманову Н.С.</w:t>
      </w:r>
    </w:p>
    <w:p w14:paraId="0FBB57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 о ходе испытаний самолета МИГ-3 улучшенного с АМ-39 в НИИ ВВС.</w:t>
      </w:r>
    </w:p>
    <w:p w14:paraId="210A29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принят на испытания 12 мая 1944 года.</w:t>
      </w:r>
    </w:p>
    <w:p w14:paraId="1DD9EF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12 по 19 мая произведено 10 полетов, общей продолжительностью 7 часов 30 минут.</w:t>
      </w:r>
    </w:p>
    <w:p w14:paraId="4CB761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Произведены полеты: пробный, на определение наивыгоднейших скоростей набора, на определение температурного режима, на определение максимальных горизонтальных скоростей с винтами АВ-5Л-126А и ВИШ-105Л-10.</w:t>
      </w:r>
    </w:p>
    <w:p w14:paraId="321D06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испытаний выявлены следующие недостатки:</w:t>
      </w:r>
    </w:p>
    <w:p w14:paraId="1E9D2D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Затруднена трехточечная посадка самолета, так как при доборе ручки теряется эффективность руля высоты.</w:t>
      </w:r>
    </w:p>
    <w:p w14:paraId="0ED7BF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Перегревается вода при пробе мотора, на рулежке и на наборе высоты.</w:t>
      </w:r>
    </w:p>
    <w:p w14:paraId="05D193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полете 19 мая 1944 года на определение максимальных горизонтальных скоростей на форсированном режиме работы мотора, мотор вышел из строя.</w:t>
      </w:r>
    </w:p>
    <w:p w14:paraId="54211D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осмотре в фильтре маслобака обнаружено большое количество металлической стружки.</w:t>
      </w:r>
    </w:p>
    <w:p w14:paraId="15658C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самолета временно приостановлены для замены мотора (1821).</w:t>
      </w:r>
    </w:p>
    <w:p w14:paraId="73BE0E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6D49F6" w14:textId="77777777" w:rsidR="008E4DB9" w:rsidRPr="00070ADE" w:rsidRDefault="008E4D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мая 1944 г. в письме №3/725 от начальник НИИ ВВС генерал-лейтенант инженерно-авиационной службы Лосю</w:t>
      </w:r>
      <w:r w:rsidRPr="00070ADE">
        <w:rPr>
          <w:rFonts w:ascii="Times New Roman" w:hAnsi="Times New Roman"/>
          <w:color w:val="000000" w:themeColor="text1"/>
          <w:sz w:val="16"/>
          <w:szCs w:val="16"/>
        </w:rPr>
        <w:softHyphen/>
        <w:t>ков и начальник 3-го отдела НИИ ВВС ин</w:t>
      </w:r>
      <w:r w:rsidRPr="00070ADE">
        <w:rPr>
          <w:rFonts w:ascii="Times New Roman" w:hAnsi="Times New Roman"/>
          <w:color w:val="000000" w:themeColor="text1"/>
          <w:sz w:val="16"/>
          <w:szCs w:val="16"/>
        </w:rPr>
        <w:softHyphen/>
        <w:t>женер-полковник Сафронов доложили своему прямому начальнику Главному ин</w:t>
      </w:r>
      <w:r w:rsidRPr="00070ADE">
        <w:rPr>
          <w:rFonts w:ascii="Times New Roman" w:hAnsi="Times New Roman"/>
          <w:color w:val="000000" w:themeColor="text1"/>
          <w:sz w:val="16"/>
          <w:szCs w:val="16"/>
        </w:rPr>
        <w:softHyphen/>
        <w:t>женеру ВВС Красной Армии генерал-пол</w:t>
      </w:r>
      <w:r w:rsidRPr="00070ADE">
        <w:rPr>
          <w:rFonts w:ascii="Times New Roman" w:hAnsi="Times New Roman"/>
          <w:color w:val="000000" w:themeColor="text1"/>
          <w:sz w:val="16"/>
          <w:szCs w:val="16"/>
        </w:rPr>
        <w:softHyphen/>
        <w:t>ковнику ИАС А.К. Репину, что испытания И-231 приостановлены временно для за</w:t>
      </w:r>
      <w:r w:rsidRPr="00070ADE">
        <w:rPr>
          <w:rFonts w:ascii="Times New Roman" w:hAnsi="Times New Roman"/>
          <w:color w:val="000000" w:themeColor="text1"/>
          <w:sz w:val="16"/>
          <w:szCs w:val="16"/>
        </w:rPr>
        <w:softHyphen/>
        <w:t>мены мотора. Копии письма были на</w:t>
      </w:r>
      <w:r w:rsidRPr="00070ADE">
        <w:rPr>
          <w:rFonts w:ascii="Times New Roman" w:hAnsi="Times New Roman"/>
          <w:color w:val="000000" w:themeColor="text1"/>
          <w:sz w:val="16"/>
          <w:szCs w:val="16"/>
        </w:rPr>
        <w:softHyphen/>
        <w:t>правлены Наркому авиапромышленно</w:t>
      </w:r>
      <w:r w:rsidRPr="00070ADE">
        <w:rPr>
          <w:rFonts w:ascii="Times New Roman" w:hAnsi="Times New Roman"/>
          <w:color w:val="000000" w:themeColor="text1"/>
          <w:sz w:val="16"/>
          <w:szCs w:val="16"/>
        </w:rPr>
        <w:softHyphen/>
        <w:t>сти А.И. Шахурину и в контрольное управ</w:t>
      </w:r>
      <w:r w:rsidRPr="00070ADE">
        <w:rPr>
          <w:rFonts w:ascii="Times New Roman" w:hAnsi="Times New Roman"/>
          <w:color w:val="000000" w:themeColor="text1"/>
          <w:sz w:val="16"/>
          <w:szCs w:val="16"/>
        </w:rPr>
        <w:softHyphen/>
        <w:t>ление ЦК ВКП(б) с тем, чтобы там могли принять все меры для быстрейшего про</w:t>
      </w:r>
      <w:r w:rsidRPr="00070ADE">
        <w:rPr>
          <w:rFonts w:ascii="Times New Roman" w:hAnsi="Times New Roman"/>
          <w:color w:val="000000" w:themeColor="text1"/>
          <w:sz w:val="16"/>
          <w:szCs w:val="16"/>
        </w:rPr>
        <w:softHyphen/>
        <w:t>должения испытаний.</w:t>
      </w:r>
    </w:p>
    <w:p w14:paraId="09BB5A1B" w14:textId="77777777" w:rsidR="008E4DB9" w:rsidRPr="00070ADE" w:rsidRDefault="008E4D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том же письме Лосюков и Сафро</w:t>
      </w:r>
      <w:r w:rsidRPr="00070ADE">
        <w:rPr>
          <w:rFonts w:ascii="Times New Roman" w:hAnsi="Times New Roman"/>
          <w:color w:val="000000" w:themeColor="text1"/>
          <w:sz w:val="16"/>
          <w:szCs w:val="16"/>
        </w:rPr>
        <w:softHyphen/>
        <w:t>нов сообщали и о проблемах самолета: «...За время испытаний выявлены следую</w:t>
      </w:r>
      <w:r w:rsidRPr="00070ADE">
        <w:rPr>
          <w:rFonts w:ascii="Times New Roman" w:hAnsi="Times New Roman"/>
          <w:color w:val="000000" w:themeColor="text1"/>
          <w:sz w:val="16"/>
          <w:szCs w:val="16"/>
        </w:rPr>
        <w:softHyphen/>
        <w:t>щие недостатки:</w:t>
      </w:r>
    </w:p>
    <w:p w14:paraId="737C7B52" w14:textId="77777777" w:rsidR="008E4DB9" w:rsidRPr="00070ADE" w:rsidRDefault="008E4D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Затруднена трехточечная посадка самолета, так как при доборе ручки теря</w:t>
      </w:r>
      <w:r w:rsidRPr="00070ADE">
        <w:rPr>
          <w:rFonts w:ascii="Times New Roman" w:hAnsi="Times New Roman"/>
          <w:color w:val="000000" w:themeColor="text1"/>
          <w:sz w:val="16"/>
          <w:szCs w:val="16"/>
        </w:rPr>
        <w:softHyphen/>
        <w:t>ется эффективность руля высоты.</w:t>
      </w:r>
    </w:p>
    <w:p w14:paraId="0993FDDE" w14:textId="77777777" w:rsidR="008E4DB9" w:rsidRPr="00070ADE" w:rsidRDefault="008E4D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Перегревается вода при пробе мо</w:t>
      </w:r>
      <w:r w:rsidRPr="00070ADE">
        <w:rPr>
          <w:rFonts w:ascii="Times New Roman" w:hAnsi="Times New Roman"/>
          <w:color w:val="000000" w:themeColor="text1"/>
          <w:sz w:val="16"/>
          <w:szCs w:val="16"/>
        </w:rPr>
        <w:softHyphen/>
        <w:t>тора, на рулежке и на наборе высоты».</w:t>
      </w:r>
    </w:p>
    <w:p w14:paraId="0D7ED18B" w14:textId="77777777" w:rsidR="008E4DB9" w:rsidRPr="00070ADE" w:rsidRDefault="008E4D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 касается первого, то ни одной не</w:t>
      </w:r>
      <w:r w:rsidRPr="00070ADE">
        <w:rPr>
          <w:rFonts w:ascii="Times New Roman" w:hAnsi="Times New Roman"/>
          <w:color w:val="000000" w:themeColor="text1"/>
          <w:sz w:val="16"/>
          <w:szCs w:val="16"/>
        </w:rPr>
        <w:softHyphen/>
        <w:t>приятности на режиме посадки за все время испытаний не случилось, за исклю</w:t>
      </w:r>
      <w:r w:rsidRPr="00070ADE">
        <w:rPr>
          <w:rFonts w:ascii="Times New Roman" w:hAnsi="Times New Roman"/>
          <w:color w:val="000000" w:themeColor="text1"/>
          <w:sz w:val="16"/>
          <w:szCs w:val="16"/>
        </w:rPr>
        <w:softHyphen/>
        <w:t>чением упомянутой выше аварии Стефановского. Но ее причинами были сложные условия на аэродроме, отсутствие резерва топлива из-за слишком насыщенной про</w:t>
      </w:r>
      <w:r w:rsidRPr="00070ADE">
        <w:rPr>
          <w:rFonts w:ascii="Times New Roman" w:hAnsi="Times New Roman"/>
          <w:color w:val="000000" w:themeColor="text1"/>
          <w:sz w:val="16"/>
          <w:szCs w:val="16"/>
        </w:rPr>
        <w:softHyphen/>
        <w:t>граммы полета и наложившийся на все это одновременный отказ тормозов и по</w:t>
      </w:r>
      <w:r w:rsidRPr="00070ADE">
        <w:rPr>
          <w:rFonts w:ascii="Times New Roman" w:hAnsi="Times New Roman"/>
          <w:color w:val="000000" w:themeColor="text1"/>
          <w:sz w:val="16"/>
          <w:szCs w:val="16"/>
        </w:rPr>
        <w:softHyphen/>
        <w:t>садочной механизации крыла. Именно из-за этого скорость касания получилась много больше расчетной. Далее не срабо</w:t>
      </w:r>
      <w:r w:rsidRPr="00070ADE">
        <w:rPr>
          <w:rFonts w:ascii="Times New Roman" w:hAnsi="Times New Roman"/>
          <w:color w:val="000000" w:themeColor="text1"/>
          <w:sz w:val="16"/>
          <w:szCs w:val="16"/>
        </w:rPr>
        <w:softHyphen/>
        <w:t>тали тормоза, а резерва полосы для про</w:t>
      </w:r>
      <w:r w:rsidRPr="00070ADE">
        <w:rPr>
          <w:rFonts w:ascii="Times New Roman" w:hAnsi="Times New Roman"/>
          <w:color w:val="000000" w:themeColor="text1"/>
          <w:sz w:val="16"/>
          <w:szCs w:val="16"/>
        </w:rPr>
        <w:softHyphen/>
        <w:t>бега без них не было. Напомним также, что самолет дважды смог сесть с нерабо</w:t>
      </w:r>
      <w:r w:rsidRPr="00070ADE">
        <w:rPr>
          <w:rFonts w:ascii="Times New Roman" w:hAnsi="Times New Roman"/>
          <w:color w:val="000000" w:themeColor="text1"/>
          <w:sz w:val="16"/>
          <w:szCs w:val="16"/>
        </w:rPr>
        <w:softHyphen/>
        <w:t xml:space="preserve">тающим двигателем на шасси, а это само по себе </w:t>
      </w:r>
      <w:r w:rsidRPr="00070ADE">
        <w:rPr>
          <w:rFonts w:ascii="Times New Roman" w:hAnsi="Times New Roman"/>
          <w:color w:val="000000" w:themeColor="text1"/>
          <w:sz w:val="16"/>
          <w:szCs w:val="16"/>
        </w:rPr>
        <w:lastRenderedPageBreak/>
        <w:t>говорит о многом. Конечно, закре</w:t>
      </w:r>
      <w:r w:rsidRPr="00070ADE">
        <w:rPr>
          <w:rFonts w:ascii="Times New Roman" w:hAnsi="Times New Roman"/>
          <w:color w:val="000000" w:themeColor="text1"/>
          <w:sz w:val="16"/>
          <w:szCs w:val="16"/>
        </w:rPr>
        <w:softHyphen/>
        <w:t>пление в инструкции летчику И-231 ме</w:t>
      </w:r>
      <w:r w:rsidRPr="00070ADE">
        <w:rPr>
          <w:rFonts w:ascii="Times New Roman" w:hAnsi="Times New Roman"/>
          <w:color w:val="000000" w:themeColor="text1"/>
          <w:sz w:val="16"/>
          <w:szCs w:val="16"/>
        </w:rPr>
        <w:softHyphen/>
        <w:t>тодики посадки на основные опоры как основного способа затруднило бы переу</w:t>
      </w:r>
      <w:r w:rsidRPr="00070ADE">
        <w:rPr>
          <w:rFonts w:ascii="Times New Roman" w:hAnsi="Times New Roman"/>
          <w:color w:val="000000" w:themeColor="text1"/>
          <w:sz w:val="16"/>
          <w:szCs w:val="16"/>
        </w:rPr>
        <w:softHyphen/>
        <w:t>чивание на данный тип истребителя стро</w:t>
      </w:r>
      <w:r w:rsidRPr="00070ADE">
        <w:rPr>
          <w:rFonts w:ascii="Times New Roman" w:hAnsi="Times New Roman"/>
          <w:color w:val="000000" w:themeColor="text1"/>
          <w:sz w:val="16"/>
          <w:szCs w:val="16"/>
        </w:rPr>
        <w:softHyphen/>
        <w:t>евых летчиков, которых учили не так, но вскоре именно этот вариант посадки стал общепринятым.</w:t>
      </w:r>
    </w:p>
    <w:p w14:paraId="55397532" w14:textId="77777777" w:rsidR="008E4DB9" w:rsidRPr="00070ADE" w:rsidRDefault="008E4D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Температура мотора - вопрос более серьезный, и он носил именно конструк</w:t>
      </w:r>
      <w:r w:rsidRPr="00070ADE">
        <w:rPr>
          <w:rFonts w:ascii="Times New Roman" w:hAnsi="Times New Roman"/>
          <w:color w:val="000000" w:themeColor="text1"/>
          <w:sz w:val="16"/>
          <w:szCs w:val="16"/>
        </w:rPr>
        <w:softHyphen/>
        <w:t>тивный характер, к тому же как раз из-за перегрева могла «пойти стружка». Слож</w:t>
      </w:r>
      <w:r w:rsidRPr="00070ADE">
        <w:rPr>
          <w:rFonts w:ascii="Times New Roman" w:hAnsi="Times New Roman"/>
          <w:color w:val="000000" w:themeColor="text1"/>
          <w:sz w:val="16"/>
          <w:szCs w:val="16"/>
        </w:rPr>
        <w:softHyphen/>
        <w:t>ность здесь заключается не только в боль</w:t>
      </w:r>
      <w:r w:rsidRPr="00070ADE">
        <w:rPr>
          <w:rFonts w:ascii="Times New Roman" w:hAnsi="Times New Roman"/>
          <w:color w:val="000000" w:themeColor="text1"/>
          <w:sz w:val="16"/>
          <w:szCs w:val="16"/>
        </w:rPr>
        <w:softHyphen/>
        <w:t>шой мощности и значительной тепло</w:t>
      </w:r>
      <w:r w:rsidRPr="00070ADE">
        <w:rPr>
          <w:rFonts w:ascii="Times New Roman" w:hAnsi="Times New Roman"/>
          <w:color w:val="000000" w:themeColor="text1"/>
          <w:sz w:val="16"/>
          <w:szCs w:val="16"/>
        </w:rPr>
        <w:softHyphen/>
        <w:t>отдаче АМ-39А, но и в диапазоне высот и скоростей его эксплуатации, который был шире, даже чем у АМ-35А, с которым ОКБ-155 было хорошо знакомо, не гово</w:t>
      </w:r>
      <w:r w:rsidRPr="00070ADE">
        <w:rPr>
          <w:rFonts w:ascii="Times New Roman" w:hAnsi="Times New Roman"/>
          <w:color w:val="000000" w:themeColor="text1"/>
          <w:sz w:val="16"/>
          <w:szCs w:val="16"/>
        </w:rPr>
        <w:softHyphen/>
        <w:t>ря уже об АМ-38 - конструктивно-техно</w:t>
      </w:r>
      <w:r w:rsidRPr="00070ADE">
        <w:rPr>
          <w:rFonts w:ascii="Times New Roman" w:hAnsi="Times New Roman"/>
          <w:color w:val="000000" w:themeColor="text1"/>
          <w:sz w:val="16"/>
          <w:szCs w:val="16"/>
        </w:rPr>
        <w:softHyphen/>
        <w:t>логической базе для высотного мотора АМ-39. Ведь радиатор должен был быть таким, чтобы не только не допускать пе</w:t>
      </w:r>
      <w:r w:rsidRPr="00070ADE">
        <w:rPr>
          <w:rFonts w:ascii="Times New Roman" w:hAnsi="Times New Roman"/>
          <w:color w:val="000000" w:themeColor="text1"/>
          <w:sz w:val="16"/>
          <w:szCs w:val="16"/>
        </w:rPr>
        <w:softHyphen/>
        <w:t>регрева на земле и на малых скоростях, но и не давать переохлаждения на ско</w:t>
      </w:r>
      <w:r w:rsidRPr="00070ADE">
        <w:rPr>
          <w:rFonts w:ascii="Times New Roman" w:hAnsi="Times New Roman"/>
          <w:color w:val="000000" w:themeColor="text1"/>
          <w:sz w:val="16"/>
          <w:szCs w:val="16"/>
        </w:rPr>
        <w:softHyphen/>
        <w:t>ростях больших, когда обдув растет. Ко</w:t>
      </w:r>
      <w:r w:rsidRPr="00070ADE">
        <w:rPr>
          <w:rFonts w:ascii="Times New Roman" w:hAnsi="Times New Roman"/>
          <w:color w:val="000000" w:themeColor="text1"/>
          <w:sz w:val="16"/>
          <w:szCs w:val="16"/>
        </w:rPr>
        <w:softHyphen/>
        <w:t>нечно, есть регулирующие жалюзи, но их закрытие на радиаторе большой площа</w:t>
      </w:r>
      <w:r w:rsidRPr="00070ADE">
        <w:rPr>
          <w:rFonts w:ascii="Times New Roman" w:hAnsi="Times New Roman"/>
          <w:color w:val="000000" w:themeColor="text1"/>
          <w:sz w:val="16"/>
          <w:szCs w:val="16"/>
        </w:rPr>
        <w:softHyphen/>
        <w:t>ди ведет к значительному росту лобового сопротивления.</w:t>
      </w:r>
    </w:p>
    <w:p w14:paraId="1851E5BE" w14:textId="77777777" w:rsidR="008E4DB9" w:rsidRPr="00070ADE" w:rsidRDefault="008E4D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и эта проблема могла быть реше</w:t>
      </w:r>
      <w:r w:rsidRPr="00070ADE">
        <w:rPr>
          <w:rFonts w:ascii="Times New Roman" w:hAnsi="Times New Roman"/>
          <w:color w:val="000000" w:themeColor="text1"/>
          <w:sz w:val="16"/>
          <w:szCs w:val="16"/>
        </w:rPr>
        <w:softHyphen/>
        <w:t>на, если бы Микулин ею занялся как сле</w:t>
      </w:r>
      <w:r w:rsidRPr="00070ADE">
        <w:rPr>
          <w:rFonts w:ascii="Times New Roman" w:hAnsi="Times New Roman"/>
          <w:color w:val="000000" w:themeColor="text1"/>
          <w:sz w:val="16"/>
          <w:szCs w:val="16"/>
        </w:rPr>
        <w:softHyphen/>
        <w:t>дует. И тогда перспективный перехватчик мог бы появится в строю хотя бы к концу1944 г. И он имел бы характеристи</w:t>
      </w:r>
      <w:r w:rsidRPr="00070ADE">
        <w:rPr>
          <w:rFonts w:ascii="Times New Roman" w:hAnsi="Times New Roman"/>
          <w:color w:val="000000" w:themeColor="text1"/>
          <w:sz w:val="16"/>
          <w:szCs w:val="16"/>
        </w:rPr>
        <w:softHyphen/>
        <w:t>ки, пусть и недостаточные для перехва</w:t>
      </w:r>
      <w:r w:rsidRPr="00070ADE">
        <w:rPr>
          <w:rFonts w:ascii="Times New Roman" w:hAnsi="Times New Roman"/>
          <w:color w:val="000000" w:themeColor="text1"/>
          <w:sz w:val="16"/>
          <w:szCs w:val="16"/>
        </w:rPr>
        <w:softHyphen/>
        <w:t>та высотных разведчиков типа Ju 86P/R, но вполне приемлемые для уничтожения более массовых самолетов Юнкерс Ju 88, Ju 188 и Дорнье Do 217, которые регуляр</w:t>
      </w:r>
      <w:r w:rsidRPr="00070ADE">
        <w:rPr>
          <w:rFonts w:ascii="Times New Roman" w:hAnsi="Times New Roman"/>
          <w:color w:val="000000" w:themeColor="text1"/>
          <w:sz w:val="16"/>
          <w:szCs w:val="16"/>
        </w:rPr>
        <w:softHyphen/>
        <w:t>но появлялись в наших тыловых районах.</w:t>
      </w:r>
    </w:p>
    <w:p w14:paraId="18E7770D" w14:textId="77777777" w:rsidR="008E4DB9" w:rsidRPr="00070ADE" w:rsidRDefault="008E4D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этого надо было улучшать рубаш</w:t>
      </w:r>
      <w:r w:rsidRPr="00070ADE">
        <w:rPr>
          <w:rFonts w:ascii="Times New Roman" w:hAnsi="Times New Roman"/>
          <w:color w:val="000000" w:themeColor="text1"/>
          <w:sz w:val="16"/>
          <w:szCs w:val="16"/>
        </w:rPr>
        <w:softHyphen/>
        <w:t>ку охлаждения самого мотора и цирку</w:t>
      </w:r>
      <w:r w:rsidRPr="00070ADE">
        <w:rPr>
          <w:rFonts w:ascii="Times New Roman" w:hAnsi="Times New Roman"/>
          <w:color w:val="000000" w:themeColor="text1"/>
          <w:sz w:val="16"/>
          <w:szCs w:val="16"/>
        </w:rPr>
        <w:softHyphen/>
        <w:t>ляцию воды в ней, подумать о переходе на антифризы с большей теплоемкостью и об увеличении давления в системе, как это предлагали специалисты. Но вместо этого Микулин принялся повышать мощ</w:t>
      </w:r>
      <w:r w:rsidRPr="00070ADE">
        <w:rPr>
          <w:rFonts w:ascii="Times New Roman" w:hAnsi="Times New Roman"/>
          <w:color w:val="000000" w:themeColor="text1"/>
          <w:sz w:val="16"/>
          <w:szCs w:val="16"/>
        </w:rPr>
        <w:softHyphen/>
        <w:t>ность и высотность АМ-39 за счет пере</w:t>
      </w:r>
      <w:r w:rsidRPr="00070ADE">
        <w:rPr>
          <w:rFonts w:ascii="Times New Roman" w:hAnsi="Times New Roman"/>
          <w:color w:val="000000" w:themeColor="text1"/>
          <w:sz w:val="16"/>
          <w:szCs w:val="16"/>
        </w:rPr>
        <w:softHyphen/>
        <w:t>вода на турбонаддув, все дальше «уводя» его конструкцию от серийного АМ-38Ф и с этим уменьшая шансы получить се</w:t>
      </w:r>
      <w:r w:rsidRPr="00070ADE">
        <w:rPr>
          <w:rFonts w:ascii="Times New Roman" w:hAnsi="Times New Roman"/>
          <w:color w:val="000000" w:themeColor="text1"/>
          <w:sz w:val="16"/>
          <w:szCs w:val="16"/>
        </w:rPr>
        <w:softHyphen/>
        <w:t>рийные моторы в обозримом будущем. На стоящий в ангаре НИИ ВВС «призем</w:t>
      </w:r>
      <w:r w:rsidRPr="00070ADE">
        <w:rPr>
          <w:rFonts w:ascii="Times New Roman" w:hAnsi="Times New Roman"/>
          <w:color w:val="000000" w:themeColor="text1"/>
          <w:sz w:val="16"/>
          <w:szCs w:val="16"/>
        </w:rPr>
        <w:softHyphen/>
        <w:t>ленный» по исчерпанию ресурса мотора И-231 новый АМ-39 он так и не дал (23398).</w:t>
      </w:r>
    </w:p>
    <w:p w14:paraId="02CEFD13" w14:textId="77777777" w:rsidR="008E4DB9" w:rsidRPr="00070ADE" w:rsidRDefault="008E4DB9" w:rsidP="00B56F90">
      <w:pPr>
        <w:spacing w:after="0" w:line="240" w:lineRule="auto"/>
        <w:jc w:val="both"/>
        <w:rPr>
          <w:rFonts w:ascii="Times New Roman" w:hAnsi="Times New Roman"/>
          <w:color w:val="000000" w:themeColor="text1"/>
          <w:sz w:val="16"/>
          <w:szCs w:val="16"/>
        </w:rPr>
      </w:pPr>
    </w:p>
    <w:p w14:paraId="5D4F8FB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04A00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EFF9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с 24 мая по 10 июня 1944 г. на НИБТ полигоне были проведены испытания двух опытных машин Т-34-85М. Учитывая исключительную необходимость усиления броневой защиты лобовой части танка Т-34 члены комиссии посчитали целесообразным немедленное введение в серийное производство модернизированного танка. Однако, в связи с тем, что завод № 183 занимался доработкой танка Т-44, который по с боевым качествам превосходил танки Т-34-85, ГБТУ не ставило перед ГКО вопрос о принятии модернизированного танка Т-34-85М на серийное производство (10703).</w:t>
      </w:r>
    </w:p>
    <w:p w14:paraId="2E430E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8843F0"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24 мая по 10 июня 1944 года на НИБТ полигоне прошли испытания двух машин, получивших обозначение Т-35-85М. Модернизация заключалась в следующем: верхний лобовой лист корпуса установили толщиной 75 мм. башня имела бронезащиту 90 мм в лобовой части и 70 - 52 на бортах. Во избежание увеличения массы танка уменьшили толщину листов дниша. днища подкрылков, крыши моторного и трансмиссионного отделения с 20 до 15 мм и нижнего листа кормы с 45 до 30 мм. В результате масса Т-34М составила 32,3 тонны.</w:t>
      </w:r>
    </w:p>
    <w:p w14:paraId="4FA32F38"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втором образце, кроме того вместо шести топливных баков, размещенных на серийном Т-34-85 в боевом и моторном отделениях, в корме установили два топливных бака емкостью по 190 л, из-за чего пришлось изменить форму кормовой части корпуса.</w:t>
      </w:r>
    </w:p>
    <w:p w14:paraId="425759CD"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Проведенные на полигоне испытания показали неплохие результаты, но все же не обеспечивали надежной защиты от новых немецких танковых и противотанковых орудий. Например, при обстреле верхнего лобового листа толщиной 75 мм из 75-мм пушки «Пантеры» он пробивался бронебойным снарядом с дистанции 650 метров, а из 88-мм пушки РаК 43 с дистанции до 2000 метров. Вопрос об организации серийного производства танков Т-34-85М не поднимался.</w:t>
      </w:r>
    </w:p>
    <w:p w14:paraId="2C1CDAE0"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начала серийного производства Т-34-85 делались попытки усилить их вооружение (12217).</w:t>
      </w:r>
    </w:p>
    <w:p w14:paraId="6A058F33" w14:textId="77777777" w:rsidR="00552857" w:rsidRPr="00070ADE" w:rsidRDefault="00552857" w:rsidP="00B56F90">
      <w:pPr>
        <w:spacing w:after="0" w:line="240" w:lineRule="auto"/>
        <w:jc w:val="both"/>
        <w:rPr>
          <w:rFonts w:ascii="Times New Roman" w:hAnsi="Times New Roman"/>
          <w:color w:val="000000" w:themeColor="text1"/>
          <w:sz w:val="16"/>
          <w:szCs w:val="16"/>
        </w:rPr>
      </w:pPr>
    </w:p>
    <w:p w14:paraId="2DED57AD" w14:textId="77777777" w:rsidR="0064219E" w:rsidRPr="00C94B78" w:rsidRDefault="0064219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За период с 24 мая по 10 июня 1944 года на НИБТ полигоне в подмосковной Кубинке два опытных образцов Т-34- 85М и серийный Т-34-85 прошли 1006, 1084 и 1005 километров соответственно.</w:t>
      </w:r>
    </w:p>
    <w:p w14:paraId="05495387" w14:textId="77777777" w:rsidR="0064219E" w:rsidRPr="00C94B78" w:rsidRDefault="0064219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Испытания вела специально назначенная для этого комиссия под председательством полковника И. Муравича</w:t>
      </w:r>
    </w:p>
    <w:p w14:paraId="6916270D" w14:textId="77777777" w:rsidR="0064219E" w:rsidRPr="00C94B78" w:rsidRDefault="0064219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Небезынтересно привести выдержки из от</w:t>
      </w:r>
      <w:r w:rsidRPr="00C94B78">
        <w:rPr>
          <w:rFonts w:ascii="Times New Roman" w:hAnsi="Times New Roman"/>
          <w:color w:val="0070C0"/>
          <w:sz w:val="16"/>
          <w:szCs w:val="16"/>
        </w:rPr>
        <w:softHyphen/>
        <w:t>чета по испытанию этих боевых машин, со</w:t>
      </w:r>
      <w:r w:rsidRPr="00C94B78">
        <w:rPr>
          <w:rFonts w:ascii="Times New Roman" w:hAnsi="Times New Roman"/>
          <w:color w:val="0070C0"/>
          <w:sz w:val="16"/>
          <w:szCs w:val="16"/>
        </w:rPr>
        <w:softHyphen/>
        <w:t>ставленного комиссией полковника Мура- вича:</w:t>
      </w:r>
    </w:p>
    <w:p w14:paraId="11E502BB" w14:textId="77777777" w:rsidR="0064219E" w:rsidRPr="00C94B78" w:rsidRDefault="0064219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 основании проведенных сравнитель</w:t>
      </w:r>
      <w:r w:rsidRPr="00C94B78">
        <w:rPr>
          <w:rFonts w:ascii="Times New Roman" w:hAnsi="Times New Roman"/>
          <w:color w:val="0070C0"/>
          <w:sz w:val="16"/>
          <w:szCs w:val="16"/>
        </w:rPr>
        <w:softHyphen/>
        <w:t>ных испытаний модернизированных образ</w:t>
      </w:r>
      <w:r w:rsidRPr="00C94B78">
        <w:rPr>
          <w:rFonts w:ascii="Times New Roman" w:hAnsi="Times New Roman"/>
          <w:color w:val="0070C0"/>
          <w:sz w:val="16"/>
          <w:szCs w:val="16"/>
        </w:rPr>
        <w:softHyphen/>
        <w:t>цов и серийного танков, комиссия пришла к следующим выводам:</w:t>
      </w:r>
    </w:p>
    <w:p w14:paraId="19A66DB8" w14:textId="77777777" w:rsidR="0064219E" w:rsidRPr="00C94B78" w:rsidRDefault="0064219E" w:rsidP="00B56F90">
      <w:pPr>
        <w:widowControl w:val="0"/>
        <w:tabs>
          <w:tab w:val="left" w:pos="441"/>
        </w:tabs>
        <w:spacing w:after="0" w:line="240" w:lineRule="auto"/>
        <w:jc w:val="both"/>
        <w:rPr>
          <w:rFonts w:ascii="Times New Roman" w:hAnsi="Times New Roman"/>
          <w:color w:val="0070C0"/>
          <w:sz w:val="16"/>
          <w:szCs w:val="16"/>
        </w:rPr>
      </w:pPr>
      <w:bookmarkStart w:id="48" w:name="bookmark128"/>
      <w:bookmarkEnd w:id="48"/>
      <w:r w:rsidRPr="00C94B78">
        <w:rPr>
          <w:rFonts w:ascii="Times New Roman" w:hAnsi="Times New Roman"/>
          <w:color w:val="0070C0"/>
          <w:sz w:val="16"/>
          <w:szCs w:val="16"/>
        </w:rPr>
        <w:t>1. Бронирование танка.</w:t>
      </w:r>
    </w:p>
    <w:p w14:paraId="20CBDEA6" w14:textId="77777777" w:rsidR="0064219E" w:rsidRPr="00C94B78" w:rsidRDefault="0064219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Произведенное изменение брони в сторо</w:t>
      </w:r>
      <w:r w:rsidRPr="00C94B78">
        <w:rPr>
          <w:rFonts w:ascii="Times New Roman" w:hAnsi="Times New Roman"/>
          <w:color w:val="0070C0"/>
          <w:sz w:val="16"/>
          <w:szCs w:val="16"/>
        </w:rPr>
        <w:softHyphen/>
        <w:t>ну увеличения толщины лобового листа с 45 мм до 75 мм, крышки люка водителя с 75 до 100 мм при одновременном сохранении полного боевого веса серийного танка за счет уменьшения толщины брони менее уязвимых мест - днища корпуса танка, крыши над мо</w:t>
      </w:r>
      <w:r w:rsidRPr="00C94B78">
        <w:rPr>
          <w:rFonts w:ascii="Times New Roman" w:hAnsi="Times New Roman"/>
          <w:color w:val="0070C0"/>
          <w:sz w:val="16"/>
          <w:szCs w:val="16"/>
        </w:rPr>
        <w:softHyphen/>
        <w:t>тором и днища подкрылков с 20 до 15 мм, повышает бронестойкость лобовой части корпуса танка, и не ухудшает динамических и эксплуатационных показателей танка.</w:t>
      </w:r>
    </w:p>
    <w:p w14:paraId="48293FA0" w14:textId="77777777" w:rsidR="0064219E" w:rsidRPr="00C94B78" w:rsidRDefault="0064219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Недостатками в бронировании модернизи</w:t>
      </w:r>
      <w:r w:rsidRPr="00C94B78">
        <w:rPr>
          <w:rFonts w:ascii="Times New Roman" w:hAnsi="Times New Roman"/>
          <w:color w:val="0070C0"/>
          <w:sz w:val="16"/>
          <w:szCs w:val="16"/>
        </w:rPr>
        <w:softHyphen/>
        <w:t>рованных танков Т-34-85М являются:</w:t>
      </w:r>
    </w:p>
    <w:p w14:paraId="717AB53D" w14:textId="77777777" w:rsidR="0064219E" w:rsidRPr="00C94B78" w:rsidRDefault="0064219E" w:rsidP="00B56F90">
      <w:pPr>
        <w:tabs>
          <w:tab w:val="left" w:pos="452"/>
        </w:tabs>
        <w:spacing w:after="0" w:line="240" w:lineRule="auto"/>
        <w:jc w:val="both"/>
        <w:rPr>
          <w:rFonts w:ascii="Times New Roman" w:hAnsi="Times New Roman"/>
          <w:color w:val="0070C0"/>
          <w:sz w:val="16"/>
          <w:szCs w:val="16"/>
        </w:rPr>
      </w:pPr>
      <w:bookmarkStart w:id="49" w:name="bookmark129"/>
      <w:r w:rsidRPr="00C94B78">
        <w:rPr>
          <w:rFonts w:ascii="Times New Roman" w:hAnsi="Times New Roman"/>
          <w:color w:val="0070C0"/>
          <w:sz w:val="16"/>
          <w:szCs w:val="16"/>
        </w:rPr>
        <w:t>а</w:t>
      </w:r>
      <w:bookmarkEnd w:id="49"/>
      <w:r w:rsidRPr="00C94B78">
        <w:rPr>
          <w:rFonts w:ascii="Times New Roman" w:hAnsi="Times New Roman"/>
          <w:color w:val="0070C0"/>
          <w:sz w:val="16"/>
          <w:szCs w:val="16"/>
        </w:rPr>
        <w:t>) увеличенная бронировка защиты пуле</w:t>
      </w:r>
      <w:r w:rsidRPr="00C94B78">
        <w:rPr>
          <w:rFonts w:ascii="Times New Roman" w:hAnsi="Times New Roman"/>
          <w:color w:val="0070C0"/>
          <w:sz w:val="16"/>
          <w:szCs w:val="16"/>
        </w:rPr>
        <w:softHyphen/>
        <w:t>мета ДТ в верхнем лобовом листе ослабля</w:t>
      </w:r>
      <w:r w:rsidRPr="00C94B78">
        <w:rPr>
          <w:rFonts w:ascii="Times New Roman" w:hAnsi="Times New Roman"/>
          <w:color w:val="0070C0"/>
          <w:sz w:val="16"/>
          <w:szCs w:val="16"/>
        </w:rPr>
        <w:softHyphen/>
        <w:t>ет прочность этого листа в связи с увеличе</w:t>
      </w:r>
      <w:r w:rsidRPr="00C94B78">
        <w:rPr>
          <w:rFonts w:ascii="Times New Roman" w:hAnsi="Times New Roman"/>
          <w:color w:val="0070C0"/>
          <w:sz w:val="16"/>
          <w:szCs w:val="16"/>
        </w:rPr>
        <w:softHyphen/>
        <w:t>нием периметра сварного шва, вызываю</w:t>
      </w:r>
      <w:r w:rsidRPr="00C94B78">
        <w:rPr>
          <w:rFonts w:ascii="Times New Roman" w:hAnsi="Times New Roman"/>
          <w:color w:val="0070C0"/>
          <w:sz w:val="16"/>
          <w:szCs w:val="16"/>
        </w:rPr>
        <w:softHyphen/>
        <w:t>щего дополнительные напряжения в броне и уменьшением перемычки между защитой ДТ и кромкой лобового листа на 40-50 мм;</w:t>
      </w:r>
    </w:p>
    <w:p w14:paraId="0B87D661" w14:textId="77777777" w:rsidR="0064219E" w:rsidRPr="00C94B78" w:rsidRDefault="0064219E" w:rsidP="00B56F90">
      <w:pPr>
        <w:tabs>
          <w:tab w:val="left" w:pos="462"/>
        </w:tabs>
        <w:spacing w:after="0" w:line="240" w:lineRule="auto"/>
        <w:jc w:val="both"/>
        <w:rPr>
          <w:rFonts w:ascii="Times New Roman" w:hAnsi="Times New Roman"/>
          <w:color w:val="0070C0"/>
          <w:sz w:val="16"/>
          <w:szCs w:val="16"/>
        </w:rPr>
      </w:pPr>
      <w:bookmarkStart w:id="50" w:name="bookmark130"/>
      <w:r w:rsidRPr="00C94B78">
        <w:rPr>
          <w:rFonts w:ascii="Times New Roman" w:hAnsi="Times New Roman"/>
          <w:color w:val="0070C0"/>
          <w:sz w:val="16"/>
          <w:szCs w:val="16"/>
        </w:rPr>
        <w:t>б</w:t>
      </w:r>
      <w:bookmarkEnd w:id="50"/>
      <w:r w:rsidRPr="00C94B78">
        <w:rPr>
          <w:rFonts w:ascii="Times New Roman" w:hAnsi="Times New Roman"/>
          <w:color w:val="0070C0"/>
          <w:sz w:val="16"/>
          <w:szCs w:val="16"/>
        </w:rPr>
        <w:t>) на модернизированном танке Т-34-85М (второй вариант с перенесенными топливны</w:t>
      </w:r>
      <w:r w:rsidRPr="00C94B78">
        <w:rPr>
          <w:rFonts w:ascii="Times New Roman" w:hAnsi="Times New Roman"/>
          <w:color w:val="0070C0"/>
          <w:sz w:val="16"/>
          <w:szCs w:val="16"/>
        </w:rPr>
        <w:softHyphen/>
        <w:t>ми баками) бронестойкость кормовой части снижена вследствие установки вертикальных бронелистов толщиной 45 мм, вместо под</w:t>
      </w:r>
      <w:r w:rsidRPr="00C94B78">
        <w:rPr>
          <w:rFonts w:ascii="Times New Roman" w:hAnsi="Times New Roman"/>
          <w:color w:val="0070C0"/>
          <w:sz w:val="16"/>
          <w:szCs w:val="16"/>
        </w:rPr>
        <w:softHyphen/>
        <w:t>крылков такой же толщины под углом 45 гра</w:t>
      </w:r>
      <w:r w:rsidRPr="00C94B78">
        <w:rPr>
          <w:rFonts w:ascii="Times New Roman" w:hAnsi="Times New Roman"/>
          <w:color w:val="0070C0"/>
          <w:sz w:val="16"/>
          <w:szCs w:val="16"/>
        </w:rPr>
        <w:softHyphen/>
        <w:t>дусов. При постановке подкрылков на дан</w:t>
      </w:r>
      <w:r w:rsidRPr="00C94B78">
        <w:rPr>
          <w:rFonts w:ascii="Times New Roman" w:hAnsi="Times New Roman"/>
          <w:color w:val="0070C0"/>
          <w:sz w:val="16"/>
          <w:szCs w:val="16"/>
        </w:rPr>
        <w:softHyphen/>
        <w:t>ном участке вместо вертикальных броневых листов, по расчетным данным, произойдет увеличение веса на 130 килограмм;</w:t>
      </w:r>
    </w:p>
    <w:p w14:paraId="75380C65" w14:textId="77777777" w:rsidR="0064219E" w:rsidRPr="00C94B78" w:rsidRDefault="0064219E" w:rsidP="00B56F90">
      <w:pPr>
        <w:spacing w:after="0" w:line="240" w:lineRule="auto"/>
        <w:jc w:val="both"/>
        <w:rPr>
          <w:rFonts w:ascii="Times New Roman" w:hAnsi="Times New Roman"/>
          <w:color w:val="0070C0"/>
          <w:sz w:val="16"/>
          <w:szCs w:val="16"/>
        </w:rPr>
      </w:pPr>
      <w:bookmarkStart w:id="51" w:name="bookmark131"/>
      <w:r w:rsidRPr="00C94B78">
        <w:rPr>
          <w:rFonts w:ascii="Times New Roman" w:hAnsi="Times New Roman"/>
          <w:color w:val="0070C0"/>
          <w:sz w:val="16"/>
          <w:szCs w:val="16"/>
        </w:rPr>
        <w:t>в</w:t>
      </w:r>
      <w:bookmarkEnd w:id="51"/>
      <w:r w:rsidRPr="00C94B78">
        <w:rPr>
          <w:rFonts w:ascii="Times New Roman" w:hAnsi="Times New Roman"/>
          <w:color w:val="0070C0"/>
          <w:sz w:val="16"/>
          <w:szCs w:val="16"/>
        </w:rPr>
        <w:t>) уменьшение толщины днища корпуса танка с 20 до 15 мм увеличит поражаемость днища танков при взрывах на минах</w:t>
      </w:r>
    </w:p>
    <w:p w14:paraId="024071A3" w14:textId="77777777" w:rsidR="0064219E" w:rsidRPr="00C94B78" w:rsidRDefault="0064219E" w:rsidP="00B56F90">
      <w:pPr>
        <w:widowControl w:val="0"/>
        <w:tabs>
          <w:tab w:val="left" w:pos="428"/>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 Изменение передаточного отношения в конической паре КПП и ведущего колеса.</w:t>
      </w:r>
    </w:p>
    <w:p w14:paraId="7D541FE6" w14:textId="77777777" w:rsidR="0064219E" w:rsidRPr="00C94B78" w:rsidRDefault="0064219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Изменение передаточного отношения в конической паре коробки перемены пе</w:t>
      </w:r>
      <w:r w:rsidRPr="00C94B78">
        <w:rPr>
          <w:rFonts w:ascii="Times New Roman" w:hAnsi="Times New Roman"/>
          <w:color w:val="0070C0"/>
          <w:sz w:val="16"/>
          <w:szCs w:val="16"/>
        </w:rPr>
        <w:softHyphen/>
        <w:t>редач (1,362 вместо 1,857) и замена ведуще</w:t>
      </w:r>
      <w:r w:rsidRPr="00C94B78">
        <w:rPr>
          <w:rFonts w:ascii="Times New Roman" w:hAnsi="Times New Roman"/>
          <w:color w:val="0070C0"/>
          <w:sz w:val="16"/>
          <w:szCs w:val="16"/>
        </w:rPr>
        <w:softHyphen/>
        <w:t>го колеса с 5-ю роликами ведущим колесом с 6-ю роликами, практически не изменили динамических показателей танков Т-34-85М (тягового усилия и скоростей движения).</w:t>
      </w:r>
    </w:p>
    <w:p w14:paraId="1F58C8C6" w14:textId="77777777" w:rsidR="0064219E" w:rsidRPr="00C94B78" w:rsidRDefault="0064219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Ведущие колеса с 5-ю роликами при ис</w:t>
      </w:r>
      <w:r w:rsidRPr="00C94B78">
        <w:rPr>
          <w:rFonts w:ascii="Times New Roman" w:hAnsi="Times New Roman"/>
          <w:color w:val="0070C0"/>
          <w:sz w:val="16"/>
          <w:szCs w:val="16"/>
        </w:rPr>
        <w:softHyphen/>
        <w:t>пытании показали себя значительно хуже ведущих колес с 6-ю роликами, установ</w:t>
      </w:r>
      <w:r w:rsidRPr="00C94B78">
        <w:rPr>
          <w:rFonts w:ascii="Times New Roman" w:hAnsi="Times New Roman"/>
          <w:color w:val="0070C0"/>
          <w:sz w:val="16"/>
          <w:szCs w:val="16"/>
        </w:rPr>
        <w:softHyphen/>
        <w:t>ленных на серийных танках. Ухудшилась плавность зацепления роликов с гребнями траков, в связи с уменьшением диаметра ко</w:t>
      </w:r>
      <w:r w:rsidRPr="00C94B78">
        <w:rPr>
          <w:rFonts w:ascii="Times New Roman" w:hAnsi="Times New Roman"/>
          <w:color w:val="0070C0"/>
          <w:sz w:val="16"/>
          <w:szCs w:val="16"/>
        </w:rPr>
        <w:softHyphen/>
        <w:t>леса и уменьшением расстояния между ося</w:t>
      </w:r>
      <w:r w:rsidRPr="00C94B78">
        <w:rPr>
          <w:rFonts w:ascii="Times New Roman" w:hAnsi="Times New Roman"/>
          <w:color w:val="0070C0"/>
          <w:sz w:val="16"/>
          <w:szCs w:val="16"/>
        </w:rPr>
        <w:softHyphen/>
        <w:t>ми роликов. Наблюдалось набегание гребней траков на ролики.</w:t>
      </w:r>
    </w:p>
    <w:p w14:paraId="2C1B150B" w14:textId="77777777" w:rsidR="0064219E" w:rsidRPr="00C94B78" w:rsidRDefault="0064219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результате ненормального зацепления на</w:t>
      </w:r>
      <w:r w:rsidRPr="00C94B78">
        <w:rPr>
          <w:rFonts w:ascii="Times New Roman" w:hAnsi="Times New Roman"/>
          <w:color w:val="0070C0"/>
          <w:sz w:val="16"/>
          <w:szCs w:val="16"/>
        </w:rPr>
        <w:softHyphen/>
        <w:t>блюдался повышенный износ и выход из строя втулок и роликов ведущих колес, а также по</w:t>
      </w:r>
      <w:r w:rsidRPr="00C94B78">
        <w:rPr>
          <w:rFonts w:ascii="Times New Roman" w:hAnsi="Times New Roman"/>
          <w:color w:val="0070C0"/>
          <w:sz w:val="16"/>
          <w:szCs w:val="16"/>
        </w:rPr>
        <w:softHyphen/>
        <w:t>вышенный износ проушин траков и паль</w:t>
      </w:r>
      <w:r w:rsidRPr="00C94B78">
        <w:rPr>
          <w:rFonts w:ascii="Times New Roman" w:hAnsi="Times New Roman"/>
          <w:color w:val="0070C0"/>
          <w:sz w:val="16"/>
          <w:szCs w:val="16"/>
        </w:rPr>
        <w:softHyphen/>
        <w:t>цев гусениц. За время испытаний выброшено по четыре трака из каждой гусеничной ленты.</w:t>
      </w:r>
    </w:p>
    <w:p w14:paraId="26031AEB" w14:textId="77777777" w:rsidR="0064219E" w:rsidRPr="00C94B78" w:rsidRDefault="0064219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Изменение передаточного отношения в конической паре КПП, с целью разгруз</w:t>
      </w:r>
      <w:r w:rsidRPr="00C94B78">
        <w:rPr>
          <w:rFonts w:ascii="Times New Roman" w:hAnsi="Times New Roman"/>
          <w:color w:val="0070C0"/>
          <w:sz w:val="16"/>
          <w:szCs w:val="16"/>
        </w:rPr>
        <w:softHyphen/>
        <w:t>ки трансмиссии от передаваемых крутящих моментов, за счет увеличения оборотности трансмиссии и установки ведущих колес с 5-ю роликами нецелесообразно, так как:</w:t>
      </w:r>
    </w:p>
    <w:p w14:paraId="602C6DA1" w14:textId="77777777" w:rsidR="0064219E" w:rsidRPr="00C94B78" w:rsidRDefault="0064219E" w:rsidP="00B56F90">
      <w:pPr>
        <w:tabs>
          <w:tab w:val="left" w:pos="438"/>
        </w:tabs>
        <w:spacing w:after="0" w:line="240" w:lineRule="auto"/>
        <w:jc w:val="both"/>
        <w:rPr>
          <w:rFonts w:ascii="Times New Roman" w:hAnsi="Times New Roman"/>
          <w:color w:val="0070C0"/>
          <w:sz w:val="16"/>
          <w:szCs w:val="16"/>
        </w:rPr>
      </w:pPr>
      <w:bookmarkStart w:id="52" w:name="bookmark133"/>
      <w:r w:rsidRPr="00C94B78">
        <w:rPr>
          <w:rFonts w:ascii="Times New Roman" w:hAnsi="Times New Roman"/>
          <w:color w:val="0070C0"/>
          <w:sz w:val="16"/>
          <w:szCs w:val="16"/>
        </w:rPr>
        <w:t>а</w:t>
      </w:r>
      <w:bookmarkEnd w:id="52"/>
      <w:r w:rsidRPr="00C94B78">
        <w:rPr>
          <w:rFonts w:ascii="Times New Roman" w:hAnsi="Times New Roman"/>
          <w:color w:val="0070C0"/>
          <w:sz w:val="16"/>
          <w:szCs w:val="16"/>
        </w:rPr>
        <w:t>) полный боевой вес модернизированно</w:t>
      </w:r>
      <w:r w:rsidRPr="00C94B78">
        <w:rPr>
          <w:rFonts w:ascii="Times New Roman" w:hAnsi="Times New Roman"/>
          <w:color w:val="0070C0"/>
          <w:sz w:val="16"/>
          <w:szCs w:val="16"/>
        </w:rPr>
        <w:softHyphen/>
        <w:t>го танка не превышает вес серийного танка;</w:t>
      </w:r>
    </w:p>
    <w:p w14:paraId="2376A589" w14:textId="77777777" w:rsidR="0064219E" w:rsidRPr="00C94B78" w:rsidRDefault="0064219E" w:rsidP="00B56F90">
      <w:pPr>
        <w:tabs>
          <w:tab w:val="left" w:pos="457"/>
        </w:tabs>
        <w:spacing w:after="0" w:line="240" w:lineRule="auto"/>
        <w:jc w:val="both"/>
        <w:rPr>
          <w:rFonts w:ascii="Times New Roman" w:hAnsi="Times New Roman"/>
          <w:color w:val="0070C0"/>
          <w:sz w:val="16"/>
          <w:szCs w:val="16"/>
        </w:rPr>
      </w:pPr>
      <w:bookmarkStart w:id="53" w:name="bookmark134"/>
      <w:r w:rsidRPr="00C94B78">
        <w:rPr>
          <w:rFonts w:ascii="Times New Roman" w:hAnsi="Times New Roman"/>
          <w:color w:val="0070C0"/>
          <w:sz w:val="16"/>
          <w:szCs w:val="16"/>
        </w:rPr>
        <w:t>б</w:t>
      </w:r>
      <w:bookmarkEnd w:id="53"/>
      <w:r w:rsidRPr="00C94B78">
        <w:rPr>
          <w:rFonts w:ascii="Times New Roman" w:hAnsi="Times New Roman"/>
          <w:color w:val="0070C0"/>
          <w:sz w:val="16"/>
          <w:szCs w:val="16"/>
        </w:rPr>
        <w:t>) коробки перемены передач на серийных танках (гарантийных) завода № 183 с авгу</w:t>
      </w:r>
      <w:r w:rsidRPr="00C94B78">
        <w:rPr>
          <w:rFonts w:ascii="Times New Roman" w:hAnsi="Times New Roman"/>
          <w:color w:val="0070C0"/>
          <w:sz w:val="16"/>
          <w:szCs w:val="16"/>
        </w:rPr>
        <w:softHyphen/>
        <w:t>ста месяца 1943 года работали надежно и вы</w:t>
      </w:r>
      <w:r w:rsidRPr="00C94B78">
        <w:rPr>
          <w:rFonts w:ascii="Times New Roman" w:hAnsi="Times New Roman"/>
          <w:color w:val="0070C0"/>
          <w:sz w:val="16"/>
          <w:szCs w:val="16"/>
        </w:rPr>
        <w:softHyphen/>
        <w:t>держивали испытания, что свидетельству</w:t>
      </w:r>
      <w:r w:rsidRPr="00C94B78">
        <w:rPr>
          <w:rFonts w:ascii="Times New Roman" w:hAnsi="Times New Roman"/>
          <w:color w:val="0070C0"/>
          <w:sz w:val="16"/>
          <w:szCs w:val="16"/>
        </w:rPr>
        <w:softHyphen/>
        <w:t>ет о нормальных нагрузках на трансмиссию;</w:t>
      </w:r>
    </w:p>
    <w:p w14:paraId="19B94FC4" w14:textId="77777777" w:rsidR="0064219E" w:rsidRPr="00C94B78" w:rsidRDefault="0064219E" w:rsidP="00B56F90">
      <w:pPr>
        <w:tabs>
          <w:tab w:val="left" w:pos="452"/>
        </w:tabs>
        <w:spacing w:after="0" w:line="240" w:lineRule="auto"/>
        <w:jc w:val="both"/>
        <w:rPr>
          <w:rFonts w:ascii="Times New Roman" w:hAnsi="Times New Roman"/>
          <w:color w:val="0070C0"/>
          <w:sz w:val="16"/>
          <w:szCs w:val="16"/>
        </w:rPr>
      </w:pPr>
      <w:bookmarkStart w:id="54" w:name="bookmark135"/>
      <w:r w:rsidRPr="00C94B78">
        <w:rPr>
          <w:rFonts w:ascii="Times New Roman" w:hAnsi="Times New Roman"/>
          <w:color w:val="0070C0"/>
          <w:sz w:val="16"/>
          <w:szCs w:val="16"/>
        </w:rPr>
        <w:t>в</w:t>
      </w:r>
      <w:bookmarkEnd w:id="54"/>
      <w:r w:rsidRPr="00C94B78">
        <w:rPr>
          <w:rFonts w:ascii="Times New Roman" w:hAnsi="Times New Roman"/>
          <w:color w:val="0070C0"/>
          <w:sz w:val="16"/>
          <w:szCs w:val="16"/>
        </w:rPr>
        <w:t>) при установке ведущего колеса с 5-ю ро</w:t>
      </w:r>
      <w:r w:rsidRPr="00C94B78">
        <w:rPr>
          <w:rFonts w:ascii="Times New Roman" w:hAnsi="Times New Roman"/>
          <w:color w:val="0070C0"/>
          <w:sz w:val="16"/>
          <w:szCs w:val="16"/>
        </w:rPr>
        <w:softHyphen/>
        <w:t>ликами, связанной с изменением передаточ</w:t>
      </w:r>
      <w:r w:rsidRPr="00C94B78">
        <w:rPr>
          <w:rFonts w:ascii="Times New Roman" w:hAnsi="Times New Roman"/>
          <w:color w:val="0070C0"/>
          <w:sz w:val="16"/>
          <w:szCs w:val="16"/>
        </w:rPr>
        <w:softHyphen/>
        <w:t>ного отношения в КПП, трансмиссия полу</w:t>
      </w:r>
      <w:r w:rsidRPr="00C94B78">
        <w:rPr>
          <w:rFonts w:ascii="Times New Roman" w:hAnsi="Times New Roman"/>
          <w:color w:val="0070C0"/>
          <w:sz w:val="16"/>
          <w:szCs w:val="16"/>
        </w:rPr>
        <w:softHyphen/>
        <w:t>чает дополнительные динамические нагруз</w:t>
      </w:r>
      <w:r w:rsidRPr="00C94B78">
        <w:rPr>
          <w:rFonts w:ascii="Times New Roman" w:hAnsi="Times New Roman"/>
          <w:color w:val="0070C0"/>
          <w:sz w:val="16"/>
          <w:szCs w:val="16"/>
        </w:rPr>
        <w:softHyphen/>
        <w:t>ки, вызываемые ненормальным зацеплением роликов с гребнями траков, и ухудшает рабо</w:t>
      </w:r>
      <w:r w:rsidRPr="00C94B78">
        <w:rPr>
          <w:rFonts w:ascii="Times New Roman" w:hAnsi="Times New Roman"/>
          <w:color w:val="0070C0"/>
          <w:sz w:val="16"/>
          <w:szCs w:val="16"/>
        </w:rPr>
        <w:softHyphen/>
        <w:t>ту гусеничной ленты;</w:t>
      </w:r>
    </w:p>
    <w:p w14:paraId="7535C141" w14:textId="77777777" w:rsidR="0064219E" w:rsidRPr="00C94B78" w:rsidRDefault="0064219E" w:rsidP="00B56F90">
      <w:pPr>
        <w:tabs>
          <w:tab w:val="left" w:pos="447"/>
        </w:tabs>
        <w:spacing w:after="0" w:line="240" w:lineRule="auto"/>
        <w:jc w:val="both"/>
        <w:rPr>
          <w:rFonts w:ascii="Times New Roman" w:hAnsi="Times New Roman"/>
          <w:color w:val="0070C0"/>
          <w:sz w:val="16"/>
          <w:szCs w:val="16"/>
        </w:rPr>
      </w:pPr>
      <w:bookmarkStart w:id="55" w:name="bookmark136"/>
      <w:r w:rsidRPr="00C94B78">
        <w:rPr>
          <w:rFonts w:ascii="Times New Roman" w:hAnsi="Times New Roman"/>
          <w:color w:val="0070C0"/>
          <w:sz w:val="16"/>
          <w:szCs w:val="16"/>
        </w:rPr>
        <w:t>г</w:t>
      </w:r>
      <w:bookmarkEnd w:id="55"/>
      <w:r w:rsidRPr="00C94B78">
        <w:rPr>
          <w:rFonts w:ascii="Times New Roman" w:hAnsi="Times New Roman"/>
          <w:color w:val="0070C0"/>
          <w:sz w:val="16"/>
          <w:szCs w:val="16"/>
        </w:rPr>
        <w:t>) КПП с измененным передаточным от</w:t>
      </w:r>
      <w:r w:rsidRPr="00C94B78">
        <w:rPr>
          <w:rFonts w:ascii="Times New Roman" w:hAnsi="Times New Roman"/>
          <w:color w:val="0070C0"/>
          <w:sz w:val="16"/>
          <w:szCs w:val="16"/>
        </w:rPr>
        <w:softHyphen/>
        <w:t>ношением в конической паре будет являть</w:t>
      </w:r>
      <w:r w:rsidRPr="00C94B78">
        <w:rPr>
          <w:rFonts w:ascii="Times New Roman" w:hAnsi="Times New Roman"/>
          <w:color w:val="0070C0"/>
          <w:sz w:val="16"/>
          <w:szCs w:val="16"/>
        </w:rPr>
        <w:softHyphen/>
        <w:t>ся третьим типом КПП, устанавливаемых на танках Т-34, что вызовет большие затруд</w:t>
      </w:r>
      <w:r w:rsidRPr="00C94B78">
        <w:rPr>
          <w:rFonts w:ascii="Times New Roman" w:hAnsi="Times New Roman"/>
          <w:color w:val="0070C0"/>
          <w:sz w:val="16"/>
          <w:szCs w:val="16"/>
        </w:rPr>
        <w:softHyphen/>
        <w:t>нения при снабжении войск запчастями.</w:t>
      </w:r>
    </w:p>
    <w:p w14:paraId="2A43DD84" w14:textId="77777777" w:rsidR="0064219E" w:rsidRPr="00C94B78" w:rsidRDefault="0064219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Для улучшения динамических свойств мо</w:t>
      </w:r>
      <w:r w:rsidRPr="00C94B78">
        <w:rPr>
          <w:rFonts w:ascii="Times New Roman" w:hAnsi="Times New Roman"/>
          <w:color w:val="0070C0"/>
          <w:sz w:val="16"/>
          <w:szCs w:val="16"/>
        </w:rPr>
        <w:softHyphen/>
        <w:t>дернизированного танка Т-34-85М и повы</w:t>
      </w:r>
      <w:r w:rsidRPr="00C94B78">
        <w:rPr>
          <w:rFonts w:ascii="Times New Roman" w:hAnsi="Times New Roman"/>
          <w:color w:val="0070C0"/>
          <w:sz w:val="16"/>
          <w:szCs w:val="16"/>
        </w:rPr>
        <w:softHyphen/>
        <w:t>шения надежности работы трансмиссии за</w:t>
      </w:r>
      <w:r w:rsidRPr="00C94B78">
        <w:rPr>
          <w:rFonts w:ascii="Times New Roman" w:hAnsi="Times New Roman"/>
          <w:color w:val="0070C0"/>
          <w:sz w:val="16"/>
          <w:szCs w:val="16"/>
        </w:rPr>
        <w:softHyphen/>
        <w:t>воду № 183 целесообразно устанавливать 5-скоростную КПП и серийные 6-роликовые ведущие колеса.</w:t>
      </w:r>
    </w:p>
    <w:p w14:paraId="0895D105" w14:textId="77777777" w:rsidR="0064219E" w:rsidRPr="00C94B78" w:rsidRDefault="0064219E" w:rsidP="00B56F90">
      <w:pPr>
        <w:widowControl w:val="0"/>
        <w:tabs>
          <w:tab w:val="left" w:pos="433"/>
        </w:tabs>
        <w:spacing w:after="0" w:line="240" w:lineRule="auto"/>
        <w:jc w:val="both"/>
        <w:rPr>
          <w:rFonts w:ascii="Times New Roman" w:hAnsi="Times New Roman"/>
          <w:color w:val="0070C0"/>
          <w:sz w:val="16"/>
          <w:szCs w:val="16"/>
        </w:rPr>
      </w:pPr>
      <w:bookmarkStart w:id="56" w:name="bookmark137"/>
      <w:bookmarkEnd w:id="56"/>
      <w:r w:rsidRPr="00C94B78">
        <w:rPr>
          <w:rFonts w:ascii="Times New Roman" w:hAnsi="Times New Roman"/>
          <w:color w:val="0070C0"/>
          <w:sz w:val="16"/>
          <w:szCs w:val="16"/>
        </w:rPr>
        <w:t>3. Перенос топливных баков из боевого и моторного отделений в корму и изменение кормовой части танка (по второму варианту модернизации).</w:t>
      </w:r>
    </w:p>
    <w:p w14:paraId="76806BE7" w14:textId="77777777" w:rsidR="0064219E" w:rsidRPr="00C94B78" w:rsidRDefault="0064219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Перенос топливных баков из боевого от</w:t>
      </w:r>
      <w:r w:rsidRPr="00C94B78">
        <w:rPr>
          <w:rFonts w:ascii="Times New Roman" w:hAnsi="Times New Roman"/>
          <w:color w:val="0070C0"/>
          <w:sz w:val="16"/>
          <w:szCs w:val="16"/>
        </w:rPr>
        <w:softHyphen/>
        <w:t>деления в кормовую часть танка снижает пожарную опасность от загорания топли</w:t>
      </w:r>
      <w:r w:rsidRPr="00C94B78">
        <w:rPr>
          <w:rFonts w:ascii="Times New Roman" w:hAnsi="Times New Roman"/>
          <w:color w:val="0070C0"/>
          <w:sz w:val="16"/>
          <w:szCs w:val="16"/>
        </w:rPr>
        <w:softHyphen/>
        <w:t>ва, увеличивает боекомплект до 60 снарядов и 33 пулеметных дисков, вместо 56 снарядов и 31 пулеметного диска на серийных танках, улучшает условия работы экипажа за счет увеличения боевого отделения.</w:t>
      </w:r>
    </w:p>
    <w:p w14:paraId="37B87AE0" w14:textId="77777777" w:rsidR="0064219E" w:rsidRPr="00C94B78" w:rsidRDefault="0064219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Одновременно перенос топливных баков из боевого отделения в корму усложнил про</w:t>
      </w:r>
      <w:r w:rsidRPr="00C94B78">
        <w:rPr>
          <w:rFonts w:ascii="Times New Roman" w:hAnsi="Times New Roman"/>
          <w:color w:val="0070C0"/>
          <w:sz w:val="16"/>
          <w:szCs w:val="16"/>
        </w:rPr>
        <w:softHyphen/>
        <w:t>изводство монтажно-демонтажных работ и обслуживание трансмиссии. Так, замена тормозных лент невозможна без разброни- ровки и выемки баков. Регулировка тормоз</w:t>
      </w:r>
      <w:r w:rsidRPr="00C94B78">
        <w:rPr>
          <w:rFonts w:ascii="Times New Roman" w:hAnsi="Times New Roman"/>
          <w:color w:val="0070C0"/>
          <w:sz w:val="16"/>
          <w:szCs w:val="16"/>
        </w:rPr>
        <w:softHyphen/>
        <w:t>ных лент, бортовых фрикционов и доступ к стартеру крайне затруднены, дозаправка масла в КПП крайне затруднена и невозмож</w:t>
      </w:r>
      <w:r w:rsidRPr="00C94B78">
        <w:rPr>
          <w:rFonts w:ascii="Times New Roman" w:hAnsi="Times New Roman"/>
          <w:color w:val="0070C0"/>
          <w:sz w:val="16"/>
          <w:szCs w:val="16"/>
        </w:rPr>
        <w:softHyphen/>
        <w:t>на без специальной воронки или шланга.</w:t>
      </w:r>
    </w:p>
    <w:p w14:paraId="3B4EA3E4" w14:textId="77777777" w:rsidR="0064219E" w:rsidRPr="00C94B78" w:rsidRDefault="0064219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связи с тем, что в процессе испытания бортовые фрикционы и тормозные ленты требовали частой регулировки, а конструк</w:t>
      </w:r>
      <w:r w:rsidRPr="00C94B78">
        <w:rPr>
          <w:rFonts w:ascii="Times New Roman" w:hAnsi="Times New Roman"/>
          <w:color w:val="0070C0"/>
          <w:sz w:val="16"/>
          <w:szCs w:val="16"/>
        </w:rPr>
        <w:softHyphen/>
        <w:t>ция топливных баков и их установка в модер</w:t>
      </w:r>
      <w:r w:rsidRPr="00C94B78">
        <w:rPr>
          <w:rFonts w:ascii="Times New Roman" w:hAnsi="Times New Roman"/>
          <w:color w:val="0070C0"/>
          <w:sz w:val="16"/>
          <w:szCs w:val="16"/>
        </w:rPr>
        <w:softHyphen/>
        <w:t>низированном танке чрезвычайно затрудняет уход и обслуживание агрегатов трансмиссии, а кроме этого, сами кормовые баки за вре</w:t>
      </w:r>
      <w:r w:rsidRPr="00C94B78">
        <w:rPr>
          <w:rFonts w:ascii="Times New Roman" w:hAnsi="Times New Roman"/>
          <w:color w:val="0070C0"/>
          <w:sz w:val="16"/>
          <w:szCs w:val="16"/>
        </w:rPr>
        <w:softHyphen/>
        <w:t>мя испытания три раза выходили из строя, предъявленный вариант по указанным при</w:t>
      </w:r>
      <w:r w:rsidRPr="00C94B78">
        <w:rPr>
          <w:rFonts w:ascii="Times New Roman" w:hAnsi="Times New Roman"/>
          <w:color w:val="0070C0"/>
          <w:sz w:val="16"/>
          <w:szCs w:val="16"/>
        </w:rPr>
        <w:softHyphen/>
        <w:t>чинам не может быть рекомендован для се</w:t>
      </w:r>
      <w:r w:rsidRPr="00C94B78">
        <w:rPr>
          <w:rFonts w:ascii="Times New Roman" w:hAnsi="Times New Roman"/>
          <w:color w:val="0070C0"/>
          <w:sz w:val="16"/>
          <w:szCs w:val="16"/>
        </w:rPr>
        <w:softHyphen/>
        <w:t>рийного производства.</w:t>
      </w:r>
    </w:p>
    <w:p w14:paraId="52F2245D" w14:textId="77777777" w:rsidR="0064219E" w:rsidRPr="00C94B78" w:rsidRDefault="0064219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Вариант переноса топливных баков в кор</w:t>
      </w:r>
      <w:r w:rsidRPr="00C94B78">
        <w:rPr>
          <w:rFonts w:ascii="Times New Roman" w:hAnsi="Times New Roman"/>
          <w:color w:val="0070C0"/>
          <w:sz w:val="16"/>
          <w:szCs w:val="16"/>
        </w:rPr>
        <w:softHyphen/>
        <w:t>мовую часть танка может быть принят при условии гарантии надежности работы агрегатов трансмиссии без регулировки до 500 км, улучшения доступа к этим агрегатам, повышения надежности в эксплуатации са</w:t>
      </w:r>
      <w:r w:rsidRPr="00C94B78">
        <w:rPr>
          <w:rFonts w:ascii="Times New Roman" w:hAnsi="Times New Roman"/>
          <w:color w:val="0070C0"/>
          <w:sz w:val="16"/>
          <w:szCs w:val="16"/>
        </w:rPr>
        <w:softHyphen/>
        <w:t>мих баков и изменения их конструкции в со</w:t>
      </w:r>
      <w:r w:rsidRPr="00C94B78">
        <w:rPr>
          <w:rFonts w:ascii="Times New Roman" w:hAnsi="Times New Roman"/>
          <w:color w:val="0070C0"/>
          <w:sz w:val="16"/>
          <w:szCs w:val="16"/>
        </w:rPr>
        <w:softHyphen/>
        <w:t>ответствии с предлагаемым изменением бро</w:t>
      </w:r>
      <w:r w:rsidRPr="00C94B78">
        <w:rPr>
          <w:rFonts w:ascii="Times New Roman" w:hAnsi="Times New Roman"/>
          <w:color w:val="0070C0"/>
          <w:sz w:val="16"/>
          <w:szCs w:val="16"/>
        </w:rPr>
        <w:softHyphen/>
        <w:t>нировки кормовой части.</w:t>
      </w:r>
    </w:p>
    <w:p w14:paraId="2E69E904" w14:textId="77777777" w:rsidR="0064219E" w:rsidRPr="00C94B78" w:rsidRDefault="0064219E" w:rsidP="00B56F90">
      <w:pPr>
        <w:widowControl w:val="0"/>
        <w:tabs>
          <w:tab w:val="left" w:pos="433"/>
        </w:tabs>
        <w:spacing w:after="0" w:line="240" w:lineRule="auto"/>
        <w:jc w:val="both"/>
        <w:rPr>
          <w:rFonts w:ascii="Times New Roman" w:hAnsi="Times New Roman"/>
          <w:color w:val="0070C0"/>
          <w:sz w:val="16"/>
          <w:szCs w:val="16"/>
        </w:rPr>
      </w:pPr>
      <w:bookmarkStart w:id="57" w:name="bookmark138"/>
      <w:bookmarkEnd w:id="57"/>
      <w:r w:rsidRPr="00C94B78">
        <w:rPr>
          <w:rFonts w:ascii="Times New Roman" w:hAnsi="Times New Roman"/>
          <w:color w:val="0070C0"/>
          <w:sz w:val="16"/>
          <w:szCs w:val="16"/>
        </w:rPr>
        <w:t>4. Уравновешивающий механизм крышки люка водителя.</w:t>
      </w:r>
    </w:p>
    <w:p w14:paraId="301D0124" w14:textId="77777777" w:rsidR="0064219E" w:rsidRPr="00C94B78" w:rsidRDefault="0064219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Уравновешивающие механизмы люка води</w:t>
      </w:r>
      <w:r w:rsidRPr="00C94B78">
        <w:rPr>
          <w:rFonts w:ascii="Times New Roman" w:hAnsi="Times New Roman"/>
          <w:color w:val="0070C0"/>
          <w:sz w:val="16"/>
          <w:szCs w:val="16"/>
        </w:rPr>
        <w:softHyphen/>
        <w:t>теля, в представленных для испытания танках, были в состоянии, непригодном к эксплуата</w:t>
      </w:r>
      <w:r w:rsidRPr="00C94B78">
        <w:rPr>
          <w:rFonts w:ascii="Times New Roman" w:hAnsi="Times New Roman"/>
          <w:color w:val="0070C0"/>
          <w:sz w:val="16"/>
          <w:szCs w:val="16"/>
        </w:rPr>
        <w:softHyphen/>
        <w:t>ции, вследствие чего дать заключение о на</w:t>
      </w:r>
      <w:r w:rsidRPr="00C94B78">
        <w:rPr>
          <w:rFonts w:ascii="Times New Roman" w:hAnsi="Times New Roman"/>
          <w:color w:val="0070C0"/>
          <w:sz w:val="16"/>
          <w:szCs w:val="16"/>
        </w:rPr>
        <w:softHyphen/>
        <w:t>дежности и удобстве пользования этими ме</w:t>
      </w:r>
      <w:r w:rsidRPr="00C94B78">
        <w:rPr>
          <w:rFonts w:ascii="Times New Roman" w:hAnsi="Times New Roman"/>
          <w:color w:val="0070C0"/>
          <w:sz w:val="16"/>
          <w:szCs w:val="16"/>
        </w:rPr>
        <w:softHyphen/>
        <w:t>ханизмами не представляется возможным...</w:t>
      </w:r>
    </w:p>
    <w:p w14:paraId="63C18EE1" w14:textId="77777777" w:rsidR="0064219E" w:rsidRPr="00C94B78" w:rsidRDefault="0064219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ЗАКЛЮЧЕНИЕ.</w:t>
      </w:r>
    </w:p>
    <w:p w14:paraId="13932E8C" w14:textId="77777777" w:rsidR="0064219E" w:rsidRPr="00C94B78" w:rsidRDefault="0064219E" w:rsidP="00B56F90">
      <w:pPr>
        <w:widowControl w:val="0"/>
        <w:tabs>
          <w:tab w:val="left" w:pos="433"/>
        </w:tabs>
        <w:spacing w:after="0" w:line="240" w:lineRule="auto"/>
        <w:jc w:val="both"/>
        <w:rPr>
          <w:rFonts w:ascii="Times New Roman" w:hAnsi="Times New Roman"/>
          <w:color w:val="0070C0"/>
          <w:sz w:val="16"/>
          <w:szCs w:val="16"/>
        </w:rPr>
      </w:pPr>
      <w:bookmarkStart w:id="58" w:name="bookmark139"/>
      <w:bookmarkEnd w:id="58"/>
      <w:r w:rsidRPr="00C94B78">
        <w:rPr>
          <w:rFonts w:ascii="Times New Roman" w:hAnsi="Times New Roman"/>
          <w:color w:val="0070C0"/>
          <w:sz w:val="16"/>
          <w:szCs w:val="16"/>
        </w:rPr>
        <w:t>1. Учитывая исключительную необходи</w:t>
      </w:r>
      <w:r w:rsidRPr="00C94B78">
        <w:rPr>
          <w:rFonts w:ascii="Times New Roman" w:hAnsi="Times New Roman"/>
          <w:color w:val="0070C0"/>
          <w:sz w:val="16"/>
          <w:szCs w:val="16"/>
        </w:rPr>
        <w:softHyphen/>
        <w:t>мость усиления броневой защиты лобовой части танков Т-34-85 и в целях быстрейше</w:t>
      </w:r>
      <w:r w:rsidRPr="00C94B78">
        <w:rPr>
          <w:rFonts w:ascii="Times New Roman" w:hAnsi="Times New Roman"/>
          <w:color w:val="0070C0"/>
          <w:sz w:val="16"/>
          <w:szCs w:val="16"/>
        </w:rPr>
        <w:softHyphen/>
        <w:t xml:space="preserve">го снабжения армии этими танками, </w:t>
      </w:r>
      <w:r w:rsidRPr="00C94B78">
        <w:rPr>
          <w:rFonts w:ascii="Times New Roman" w:hAnsi="Times New Roman"/>
          <w:color w:val="0070C0"/>
          <w:sz w:val="16"/>
          <w:szCs w:val="16"/>
        </w:rPr>
        <w:lastRenderedPageBreak/>
        <w:t>считать целесообразным немедленный ввод в серий</w:t>
      </w:r>
      <w:r w:rsidRPr="00C94B78">
        <w:rPr>
          <w:rFonts w:ascii="Times New Roman" w:hAnsi="Times New Roman"/>
          <w:color w:val="0070C0"/>
          <w:sz w:val="16"/>
          <w:szCs w:val="16"/>
        </w:rPr>
        <w:softHyphen/>
        <w:t>ное производство модернизированных тан</w:t>
      </w:r>
      <w:r w:rsidRPr="00C94B78">
        <w:rPr>
          <w:rFonts w:ascii="Times New Roman" w:hAnsi="Times New Roman"/>
          <w:color w:val="0070C0"/>
          <w:sz w:val="16"/>
          <w:szCs w:val="16"/>
        </w:rPr>
        <w:softHyphen/>
        <w:t>ков с утолщением наклонного верхнего ло</w:t>
      </w:r>
      <w:r w:rsidRPr="00C94B78">
        <w:rPr>
          <w:rFonts w:ascii="Times New Roman" w:hAnsi="Times New Roman"/>
          <w:color w:val="0070C0"/>
          <w:sz w:val="16"/>
          <w:szCs w:val="16"/>
        </w:rPr>
        <w:softHyphen/>
        <w:t>бового листа с 45 мм до 75 мм.</w:t>
      </w:r>
    </w:p>
    <w:p w14:paraId="106D7E6A" w14:textId="77777777" w:rsidR="0064219E" w:rsidRPr="00C94B78" w:rsidRDefault="0064219E" w:rsidP="00B56F90">
      <w:pPr>
        <w:widowControl w:val="0"/>
        <w:tabs>
          <w:tab w:val="left" w:pos="428"/>
        </w:tabs>
        <w:spacing w:after="0" w:line="240" w:lineRule="auto"/>
        <w:jc w:val="both"/>
        <w:rPr>
          <w:rFonts w:ascii="Times New Roman" w:hAnsi="Times New Roman"/>
          <w:color w:val="0070C0"/>
          <w:sz w:val="16"/>
          <w:szCs w:val="16"/>
        </w:rPr>
      </w:pPr>
      <w:bookmarkStart w:id="59" w:name="bookmark140"/>
      <w:bookmarkEnd w:id="59"/>
      <w:r w:rsidRPr="00C94B78">
        <w:rPr>
          <w:rFonts w:ascii="Times New Roman" w:hAnsi="Times New Roman"/>
          <w:color w:val="0070C0"/>
          <w:sz w:val="16"/>
          <w:szCs w:val="16"/>
        </w:rPr>
        <w:t>2. Переднюю часть днища корпуса оста</w:t>
      </w:r>
      <w:r w:rsidRPr="00C94B78">
        <w:rPr>
          <w:rFonts w:ascii="Times New Roman" w:hAnsi="Times New Roman"/>
          <w:color w:val="0070C0"/>
          <w:sz w:val="16"/>
          <w:szCs w:val="16"/>
        </w:rPr>
        <w:softHyphen/>
        <w:t>вить толщиной 20 мм.</w:t>
      </w:r>
    </w:p>
    <w:p w14:paraId="53975BE8" w14:textId="77777777" w:rsidR="0064219E" w:rsidRPr="00C94B78" w:rsidRDefault="0064219E" w:rsidP="00B56F90">
      <w:pPr>
        <w:widowControl w:val="0"/>
        <w:tabs>
          <w:tab w:val="left" w:pos="442"/>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3. В целях увеличения прочности лобово</w:t>
      </w:r>
      <w:r w:rsidRPr="00C94B78">
        <w:rPr>
          <w:rFonts w:ascii="Times New Roman" w:hAnsi="Times New Roman"/>
          <w:color w:val="0070C0"/>
          <w:sz w:val="16"/>
          <w:szCs w:val="16"/>
        </w:rPr>
        <w:softHyphen/>
        <w:t>го листа считать целесообразным вместо пу</w:t>
      </w:r>
      <w:r w:rsidRPr="00C94B78">
        <w:rPr>
          <w:rFonts w:ascii="Times New Roman" w:hAnsi="Times New Roman"/>
          <w:color w:val="0070C0"/>
          <w:sz w:val="16"/>
          <w:szCs w:val="16"/>
        </w:rPr>
        <w:softHyphen/>
        <w:t>лемета стрелка-радиста в шаровой установке с бронезащитой устанавливать курсовой пу</w:t>
      </w:r>
      <w:r w:rsidRPr="00C94B78">
        <w:rPr>
          <w:rFonts w:ascii="Times New Roman" w:hAnsi="Times New Roman"/>
          <w:color w:val="0070C0"/>
          <w:sz w:val="16"/>
          <w:szCs w:val="16"/>
        </w:rPr>
        <w:softHyphen/>
        <w:t>лемет, как это сделано на танках ИС и Т-44.</w:t>
      </w:r>
    </w:p>
    <w:p w14:paraId="70ADC458" w14:textId="77777777" w:rsidR="0064219E" w:rsidRPr="00C94B78" w:rsidRDefault="0064219E" w:rsidP="00B56F90">
      <w:pPr>
        <w:widowControl w:val="0"/>
        <w:tabs>
          <w:tab w:val="left" w:pos="428"/>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4. Остальные изменения бронировки кор</w:t>
      </w:r>
      <w:r w:rsidRPr="00C94B78">
        <w:rPr>
          <w:rFonts w:ascii="Times New Roman" w:hAnsi="Times New Roman"/>
          <w:color w:val="0070C0"/>
          <w:sz w:val="16"/>
          <w:szCs w:val="16"/>
        </w:rPr>
        <w:softHyphen/>
        <w:t>пуса танка принять по предоставленному пер</w:t>
      </w:r>
      <w:r w:rsidRPr="00C94B78">
        <w:rPr>
          <w:rFonts w:ascii="Times New Roman" w:hAnsi="Times New Roman"/>
          <w:color w:val="0070C0"/>
          <w:sz w:val="16"/>
          <w:szCs w:val="16"/>
        </w:rPr>
        <w:softHyphen/>
        <w:t>вому варианту модернизации (танк № 4427).</w:t>
      </w:r>
    </w:p>
    <w:p w14:paraId="555267D7" w14:textId="77777777" w:rsidR="0064219E" w:rsidRPr="00C94B78" w:rsidRDefault="0064219E" w:rsidP="00B56F90">
      <w:pPr>
        <w:widowControl w:val="0"/>
        <w:tabs>
          <w:tab w:val="left" w:pos="438"/>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5. Ввиду ненадежности в работе ведущих колес с 5-ю роликами, ухудшающими усло</w:t>
      </w:r>
      <w:r w:rsidRPr="00C94B78">
        <w:rPr>
          <w:rFonts w:ascii="Times New Roman" w:hAnsi="Times New Roman"/>
          <w:color w:val="0070C0"/>
          <w:sz w:val="16"/>
          <w:szCs w:val="16"/>
        </w:rPr>
        <w:softHyphen/>
        <w:t>вия работы гусениц, и нецелесообразностью иметь в армии третий тип невзаимозаменя</w:t>
      </w:r>
      <w:r w:rsidRPr="00C94B78">
        <w:rPr>
          <w:rFonts w:ascii="Times New Roman" w:hAnsi="Times New Roman"/>
          <w:color w:val="0070C0"/>
          <w:sz w:val="16"/>
          <w:szCs w:val="16"/>
        </w:rPr>
        <w:softHyphen/>
        <w:t>емой КПП на одном типе танка Т-34, счи</w:t>
      </w:r>
      <w:r w:rsidRPr="00C94B78">
        <w:rPr>
          <w:rFonts w:ascii="Times New Roman" w:hAnsi="Times New Roman"/>
          <w:color w:val="0070C0"/>
          <w:sz w:val="16"/>
          <w:szCs w:val="16"/>
        </w:rPr>
        <w:softHyphen/>
        <w:t>тать необходимым выпускать модернизиро</w:t>
      </w:r>
      <w:r w:rsidRPr="00C94B78">
        <w:rPr>
          <w:rFonts w:ascii="Times New Roman" w:hAnsi="Times New Roman"/>
          <w:color w:val="0070C0"/>
          <w:sz w:val="16"/>
          <w:szCs w:val="16"/>
        </w:rPr>
        <w:softHyphen/>
        <w:t>ванные танки с серийными КПП и ведущи</w:t>
      </w:r>
      <w:r w:rsidRPr="00C94B78">
        <w:rPr>
          <w:rFonts w:ascii="Times New Roman" w:hAnsi="Times New Roman"/>
          <w:color w:val="0070C0"/>
          <w:sz w:val="16"/>
          <w:szCs w:val="16"/>
        </w:rPr>
        <w:softHyphen/>
        <w:t>ми колесами с 6-ю роликами.</w:t>
      </w:r>
    </w:p>
    <w:p w14:paraId="55669751" w14:textId="77777777" w:rsidR="0064219E" w:rsidRPr="00C94B78" w:rsidRDefault="0064219E" w:rsidP="00B56F90">
      <w:pPr>
        <w:widowControl w:val="0"/>
        <w:tabs>
          <w:tab w:val="left" w:pos="433"/>
        </w:tabs>
        <w:spacing w:after="0" w:line="240" w:lineRule="auto"/>
        <w:jc w:val="both"/>
        <w:rPr>
          <w:rFonts w:ascii="Times New Roman" w:hAnsi="Times New Roman"/>
          <w:color w:val="0070C0"/>
          <w:sz w:val="16"/>
          <w:szCs w:val="16"/>
        </w:rPr>
      </w:pPr>
      <w:bookmarkStart w:id="60" w:name="bookmark144"/>
      <w:bookmarkEnd w:id="60"/>
      <w:r w:rsidRPr="00C94B78">
        <w:rPr>
          <w:rFonts w:ascii="Times New Roman" w:hAnsi="Times New Roman"/>
          <w:color w:val="0070C0"/>
          <w:sz w:val="16"/>
          <w:szCs w:val="16"/>
        </w:rPr>
        <w:t>6. Предоставленный на испытание танк по второму варианту модернизации с то</w:t>
      </w:r>
      <w:r w:rsidRPr="00C94B78">
        <w:rPr>
          <w:rFonts w:ascii="Times New Roman" w:hAnsi="Times New Roman"/>
          <w:color w:val="0070C0"/>
          <w:sz w:val="16"/>
          <w:szCs w:val="16"/>
        </w:rPr>
        <w:softHyphen/>
        <w:t>пливными баками, расположенными в кор</w:t>
      </w:r>
      <w:r w:rsidRPr="00C94B78">
        <w:rPr>
          <w:rFonts w:ascii="Times New Roman" w:hAnsi="Times New Roman"/>
          <w:color w:val="0070C0"/>
          <w:sz w:val="16"/>
          <w:szCs w:val="16"/>
        </w:rPr>
        <w:softHyphen/>
        <w:t>мовой части корпуса, вследствие ненадежно</w:t>
      </w:r>
      <w:r w:rsidRPr="00C94B78">
        <w:rPr>
          <w:rFonts w:ascii="Times New Roman" w:hAnsi="Times New Roman"/>
          <w:color w:val="0070C0"/>
          <w:sz w:val="16"/>
          <w:szCs w:val="16"/>
        </w:rPr>
        <w:softHyphen/>
        <w:t>сти самих баков, значительного ухудшения обслуживания и ремонта агрегатов трансмис</w:t>
      </w:r>
      <w:r w:rsidRPr="00C94B78">
        <w:rPr>
          <w:rFonts w:ascii="Times New Roman" w:hAnsi="Times New Roman"/>
          <w:color w:val="0070C0"/>
          <w:sz w:val="16"/>
          <w:szCs w:val="16"/>
        </w:rPr>
        <w:softHyphen/>
        <w:t>сии и стартера, а также ослабления бронеза- щиты кормовой части корпуса танка, не возможно без существенных конструктивных изменений.</w:t>
      </w:r>
    </w:p>
    <w:p w14:paraId="5BC7F410" w14:textId="77777777" w:rsidR="0064219E" w:rsidRPr="00C94B78" w:rsidRDefault="0064219E" w:rsidP="00B56F90">
      <w:pPr>
        <w:widowControl w:val="0"/>
        <w:tabs>
          <w:tab w:val="left" w:pos="433"/>
        </w:tabs>
        <w:spacing w:after="0" w:line="240" w:lineRule="auto"/>
        <w:jc w:val="both"/>
        <w:rPr>
          <w:rFonts w:ascii="Times New Roman" w:hAnsi="Times New Roman"/>
          <w:color w:val="0070C0"/>
          <w:sz w:val="16"/>
          <w:szCs w:val="16"/>
        </w:rPr>
      </w:pPr>
      <w:bookmarkStart w:id="61" w:name="bookmark145"/>
      <w:bookmarkEnd w:id="61"/>
      <w:r w:rsidRPr="00C94B78">
        <w:rPr>
          <w:rFonts w:ascii="Times New Roman" w:hAnsi="Times New Roman"/>
          <w:color w:val="0070C0"/>
          <w:sz w:val="16"/>
          <w:szCs w:val="16"/>
        </w:rPr>
        <w:t>7. Считая важным вариант изъятия то</w:t>
      </w:r>
      <w:r w:rsidRPr="00C94B78">
        <w:rPr>
          <w:rFonts w:ascii="Times New Roman" w:hAnsi="Times New Roman"/>
          <w:color w:val="0070C0"/>
          <w:sz w:val="16"/>
          <w:szCs w:val="16"/>
        </w:rPr>
        <w:softHyphen/>
        <w:t>пливных баков из боевого отделения и пе</w:t>
      </w:r>
      <w:r w:rsidRPr="00C94B78">
        <w:rPr>
          <w:rFonts w:ascii="Times New Roman" w:hAnsi="Times New Roman"/>
          <w:color w:val="0070C0"/>
          <w:sz w:val="16"/>
          <w:szCs w:val="16"/>
        </w:rPr>
        <w:softHyphen/>
        <w:t>реноса их в кормовую часть корпуса танка, предложить заводу доработать данный вари</w:t>
      </w:r>
      <w:r w:rsidRPr="00C94B78">
        <w:rPr>
          <w:rFonts w:ascii="Times New Roman" w:hAnsi="Times New Roman"/>
          <w:color w:val="0070C0"/>
          <w:sz w:val="16"/>
          <w:szCs w:val="16"/>
        </w:rPr>
        <w:softHyphen/>
        <w:t>ант с учетом замечаний, изложенных в дан</w:t>
      </w:r>
      <w:r w:rsidRPr="00C94B78">
        <w:rPr>
          <w:rFonts w:ascii="Times New Roman" w:hAnsi="Times New Roman"/>
          <w:color w:val="0070C0"/>
          <w:sz w:val="16"/>
          <w:szCs w:val="16"/>
        </w:rPr>
        <w:softHyphen/>
        <w:t>ном отчете, и представить на повторные ис</w:t>
      </w:r>
      <w:r w:rsidRPr="00C94B78">
        <w:rPr>
          <w:rFonts w:ascii="Times New Roman" w:hAnsi="Times New Roman"/>
          <w:color w:val="0070C0"/>
          <w:sz w:val="16"/>
          <w:szCs w:val="16"/>
        </w:rPr>
        <w:softHyphen/>
        <w:t>пытания.</w:t>
      </w:r>
    </w:p>
    <w:p w14:paraId="20EAEA66" w14:textId="77777777" w:rsidR="0064219E" w:rsidRPr="00C94B78" w:rsidRDefault="0064219E" w:rsidP="00B56F90">
      <w:pPr>
        <w:widowControl w:val="0"/>
        <w:tabs>
          <w:tab w:val="left" w:pos="433"/>
        </w:tabs>
        <w:spacing w:after="0" w:line="240" w:lineRule="auto"/>
        <w:jc w:val="both"/>
        <w:rPr>
          <w:rFonts w:ascii="Times New Roman" w:hAnsi="Times New Roman"/>
          <w:color w:val="0070C0"/>
          <w:sz w:val="16"/>
          <w:szCs w:val="16"/>
        </w:rPr>
      </w:pPr>
      <w:bookmarkStart w:id="62" w:name="bookmark146"/>
      <w:bookmarkEnd w:id="62"/>
      <w:r w:rsidRPr="00C94B78">
        <w:rPr>
          <w:rFonts w:ascii="Times New Roman" w:hAnsi="Times New Roman"/>
          <w:color w:val="0070C0"/>
          <w:sz w:val="16"/>
          <w:szCs w:val="16"/>
        </w:rPr>
        <w:t>8. Доработать конструкцию уравновеши</w:t>
      </w:r>
      <w:r w:rsidRPr="00C94B78">
        <w:rPr>
          <w:rFonts w:ascii="Times New Roman" w:hAnsi="Times New Roman"/>
          <w:color w:val="0070C0"/>
          <w:sz w:val="16"/>
          <w:szCs w:val="16"/>
        </w:rPr>
        <w:softHyphen/>
        <w:t>вающего механизма крышки люка водите</w:t>
      </w:r>
      <w:r w:rsidRPr="00C94B78">
        <w:rPr>
          <w:rFonts w:ascii="Times New Roman" w:hAnsi="Times New Roman"/>
          <w:color w:val="0070C0"/>
          <w:sz w:val="16"/>
          <w:szCs w:val="16"/>
        </w:rPr>
        <w:softHyphen/>
        <w:t>ля, обеспечив надежную работу механизма и легкость открывания крышки люка».</w:t>
      </w:r>
    </w:p>
    <w:p w14:paraId="6F2F03B3" w14:textId="77777777" w:rsidR="0064219E" w:rsidRPr="00C94B78" w:rsidRDefault="0064219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Как видно из приведенного документа, ко</w:t>
      </w:r>
      <w:r w:rsidRPr="00C94B78">
        <w:rPr>
          <w:rFonts w:ascii="Times New Roman" w:hAnsi="Times New Roman"/>
          <w:color w:val="0070C0"/>
          <w:sz w:val="16"/>
          <w:szCs w:val="16"/>
        </w:rPr>
        <w:softHyphen/>
        <w:t>миссия выступала за немедленное серийное производство модернизированных Т-34-85 с усиленным лобовым листом корпуса. Это решение позволило бы серьезно увеличить защиту тридцатьчетверок, да к тому же не по</w:t>
      </w:r>
      <w:r w:rsidRPr="00C94B78">
        <w:rPr>
          <w:rFonts w:ascii="Times New Roman" w:hAnsi="Times New Roman"/>
          <w:color w:val="0070C0"/>
          <w:sz w:val="16"/>
          <w:szCs w:val="16"/>
        </w:rPr>
        <w:softHyphen/>
        <w:t>требовало бы серьезной переналадки броне</w:t>
      </w:r>
      <w:r w:rsidRPr="00C94B78">
        <w:rPr>
          <w:rFonts w:ascii="Times New Roman" w:hAnsi="Times New Roman"/>
          <w:color w:val="0070C0"/>
          <w:sz w:val="16"/>
          <w:szCs w:val="16"/>
        </w:rPr>
        <w:softHyphen/>
        <w:t>корпусного производства (25012).</w:t>
      </w:r>
    </w:p>
    <w:p w14:paraId="79ADD027" w14:textId="77777777" w:rsidR="0064219E" w:rsidRPr="00C94B78" w:rsidRDefault="0064219E" w:rsidP="00B56F90">
      <w:pPr>
        <w:spacing w:after="0" w:line="240" w:lineRule="auto"/>
        <w:jc w:val="both"/>
        <w:rPr>
          <w:rFonts w:ascii="Times New Roman" w:hAnsi="Times New Roman"/>
          <w:color w:val="0070C0"/>
          <w:sz w:val="16"/>
          <w:szCs w:val="16"/>
        </w:rPr>
      </w:pPr>
    </w:p>
    <w:p w14:paraId="725390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мая 1944 г. была подггтовлена СПРАВКА О ВЫПОЛНЕНИИ ПРОГРАММЫ ПО ВЫПУСКУ НОВЫХ ТАНКОВ И САМОХОДНЫХ АРТУСТАНОВОК В ПРОЦЕНТАХ К ПЛАНУ, с 1.07.1941 г. по 1.05.1944 г.</w:t>
      </w:r>
    </w:p>
    <w:tbl>
      <w:tblPr>
        <w:tblW w:w="0" w:type="auto"/>
        <w:tblInd w:w="40" w:type="dxa"/>
        <w:tblLayout w:type="fixed"/>
        <w:tblCellMar>
          <w:left w:w="40" w:type="dxa"/>
          <w:right w:w="40" w:type="dxa"/>
        </w:tblCellMar>
        <w:tblLook w:val="0000" w:firstRow="0" w:lastRow="0" w:firstColumn="0" w:lastColumn="0" w:noHBand="0" w:noVBand="0"/>
      </w:tblPr>
      <w:tblGrid>
        <w:gridCol w:w="816"/>
        <w:gridCol w:w="470"/>
        <w:gridCol w:w="509"/>
        <w:gridCol w:w="518"/>
        <w:gridCol w:w="605"/>
        <w:gridCol w:w="538"/>
        <w:gridCol w:w="605"/>
        <w:gridCol w:w="566"/>
        <w:gridCol w:w="538"/>
        <w:gridCol w:w="576"/>
        <w:gridCol w:w="586"/>
        <w:gridCol w:w="605"/>
        <w:gridCol w:w="528"/>
        <w:gridCol w:w="490"/>
        <w:gridCol w:w="557"/>
        <w:gridCol w:w="557"/>
        <w:gridCol w:w="605"/>
      </w:tblGrid>
      <w:tr w:rsidR="004D4663" w:rsidRPr="00070ADE" w14:paraId="5F563C4E" w14:textId="77777777">
        <w:trPr>
          <w:trHeight w:val="278"/>
        </w:trPr>
        <w:tc>
          <w:tcPr>
            <w:tcW w:w="816" w:type="dxa"/>
            <w:tcBorders>
              <w:top w:val="single" w:sz="6" w:space="0" w:color="auto"/>
              <w:left w:val="single" w:sz="6" w:space="0" w:color="auto"/>
              <w:bottom w:val="nil"/>
              <w:right w:val="single" w:sz="6" w:space="0" w:color="auto"/>
            </w:tcBorders>
          </w:tcPr>
          <w:p w14:paraId="0AE83E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Классифи</w:t>
            </w:r>
            <w:r w:rsidRPr="00070ADE">
              <w:rPr>
                <w:rFonts w:ascii="Times New Roman" w:hAnsi="Times New Roman"/>
                <w:color w:val="000000" w:themeColor="text1"/>
                <w:sz w:val="16"/>
                <w:szCs w:val="16"/>
              </w:rPr>
              <w:softHyphen/>
              <w:t>кация</w:t>
            </w:r>
          </w:p>
          <w:p w14:paraId="0AB2AF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041337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1941 г.</w:t>
            </w:r>
          </w:p>
          <w:p w14:paraId="703ED9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32" w:type="dxa"/>
            <w:gridSpan w:val="5"/>
            <w:tcBorders>
              <w:top w:val="single" w:sz="6" w:space="0" w:color="auto"/>
              <w:left w:val="single" w:sz="6" w:space="0" w:color="auto"/>
              <w:bottom w:val="single" w:sz="6" w:space="0" w:color="auto"/>
              <w:right w:val="single" w:sz="6" w:space="0" w:color="auto"/>
            </w:tcBorders>
          </w:tcPr>
          <w:p w14:paraId="361F56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1942 г.</w:t>
            </w:r>
          </w:p>
          <w:p w14:paraId="6B386A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33" w:type="dxa"/>
            <w:gridSpan w:val="5"/>
            <w:tcBorders>
              <w:top w:val="single" w:sz="6" w:space="0" w:color="auto"/>
              <w:left w:val="single" w:sz="6" w:space="0" w:color="auto"/>
              <w:bottom w:val="single" w:sz="6" w:space="0" w:color="auto"/>
              <w:right w:val="single" w:sz="6" w:space="0" w:color="auto"/>
            </w:tcBorders>
          </w:tcPr>
          <w:p w14:paraId="6E48B5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 г.</w:t>
            </w:r>
          </w:p>
          <w:p w14:paraId="766CE4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09" w:type="dxa"/>
            <w:gridSpan w:val="4"/>
            <w:tcBorders>
              <w:top w:val="single" w:sz="6" w:space="0" w:color="auto"/>
              <w:left w:val="single" w:sz="6" w:space="0" w:color="auto"/>
              <w:bottom w:val="single" w:sz="6" w:space="0" w:color="auto"/>
              <w:right w:val="single" w:sz="6" w:space="0" w:color="auto"/>
            </w:tcBorders>
          </w:tcPr>
          <w:p w14:paraId="4A7710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 г.</w:t>
            </w:r>
          </w:p>
          <w:p w14:paraId="54D08A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7C9E4E2" w14:textId="77777777">
        <w:trPr>
          <w:trHeight w:val="240"/>
        </w:trPr>
        <w:tc>
          <w:tcPr>
            <w:tcW w:w="816" w:type="dxa"/>
            <w:tcBorders>
              <w:top w:val="nil"/>
              <w:left w:val="single" w:sz="6" w:space="0" w:color="auto"/>
              <w:bottom w:val="single" w:sz="6" w:space="0" w:color="auto"/>
              <w:right w:val="single" w:sz="6" w:space="0" w:color="auto"/>
            </w:tcBorders>
          </w:tcPr>
          <w:p w14:paraId="0A546D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3EA66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nil"/>
            </w:tcBorders>
          </w:tcPr>
          <w:p w14:paraId="326901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кв.</w:t>
            </w:r>
          </w:p>
          <w:p w14:paraId="0174F0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nil"/>
              <w:bottom w:val="single" w:sz="6" w:space="0" w:color="auto"/>
              <w:right w:val="single" w:sz="6" w:space="0" w:color="auto"/>
            </w:tcBorders>
          </w:tcPr>
          <w:p w14:paraId="7E3C33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IV кв.</w:t>
            </w:r>
          </w:p>
          <w:p w14:paraId="668AC2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nil"/>
            </w:tcBorders>
          </w:tcPr>
          <w:p w14:paraId="7442BD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1кв.</w:t>
            </w:r>
          </w:p>
          <w:p w14:paraId="3F6A80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nil"/>
              <w:bottom w:val="single" w:sz="6" w:space="0" w:color="auto"/>
              <w:right w:val="nil"/>
            </w:tcBorders>
          </w:tcPr>
          <w:p w14:paraId="73D6500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кв.</w:t>
            </w:r>
          </w:p>
          <w:p w14:paraId="7FC8C9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nil"/>
              <w:bottom w:val="single" w:sz="6" w:space="0" w:color="auto"/>
              <w:right w:val="nil"/>
            </w:tcBorders>
          </w:tcPr>
          <w:p w14:paraId="54E14D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кв.</w:t>
            </w:r>
          </w:p>
          <w:p w14:paraId="625981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nil"/>
              <w:bottom w:val="single" w:sz="6" w:space="0" w:color="auto"/>
              <w:right w:val="nil"/>
            </w:tcBorders>
          </w:tcPr>
          <w:p w14:paraId="1EC405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IV кв.</w:t>
            </w:r>
          </w:p>
          <w:p w14:paraId="610C50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nil"/>
              <w:bottom w:val="single" w:sz="6" w:space="0" w:color="auto"/>
              <w:right w:val="single" w:sz="6" w:space="0" w:color="auto"/>
            </w:tcBorders>
          </w:tcPr>
          <w:p w14:paraId="306EF1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2B42F8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nil"/>
            </w:tcBorders>
          </w:tcPr>
          <w:p w14:paraId="43376D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1кв.</w:t>
            </w:r>
          </w:p>
          <w:p w14:paraId="407F05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nil"/>
              <w:bottom w:val="single" w:sz="6" w:space="0" w:color="auto"/>
              <w:right w:val="nil"/>
            </w:tcBorders>
          </w:tcPr>
          <w:p w14:paraId="640541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кв.</w:t>
            </w:r>
          </w:p>
          <w:p w14:paraId="38A7E9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nil"/>
              <w:bottom w:val="single" w:sz="6" w:space="0" w:color="auto"/>
              <w:right w:val="nil"/>
            </w:tcBorders>
          </w:tcPr>
          <w:p w14:paraId="1CA5EC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кв.</w:t>
            </w:r>
          </w:p>
          <w:p w14:paraId="246805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nil"/>
              <w:bottom w:val="single" w:sz="6" w:space="0" w:color="auto"/>
              <w:right w:val="nil"/>
            </w:tcBorders>
          </w:tcPr>
          <w:p w14:paraId="459DF4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IV кв.</w:t>
            </w:r>
          </w:p>
          <w:p w14:paraId="57AFA4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nil"/>
              <w:bottom w:val="single" w:sz="6" w:space="0" w:color="auto"/>
              <w:right w:val="single" w:sz="6" w:space="0" w:color="auto"/>
            </w:tcBorders>
          </w:tcPr>
          <w:p w14:paraId="0842A7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0021FB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0" w:type="dxa"/>
            <w:tcBorders>
              <w:top w:val="single" w:sz="6" w:space="0" w:color="auto"/>
              <w:left w:val="single" w:sz="6" w:space="0" w:color="auto"/>
              <w:bottom w:val="single" w:sz="6" w:space="0" w:color="auto"/>
              <w:right w:val="nil"/>
            </w:tcBorders>
          </w:tcPr>
          <w:p w14:paraId="32B56C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янв.</w:t>
            </w:r>
          </w:p>
          <w:p w14:paraId="75007C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gridSpan w:val="2"/>
            <w:tcBorders>
              <w:top w:val="single" w:sz="6" w:space="0" w:color="auto"/>
              <w:left w:val="nil"/>
              <w:bottom w:val="single" w:sz="6" w:space="0" w:color="auto"/>
              <w:right w:val="nil"/>
            </w:tcBorders>
          </w:tcPr>
          <w:p w14:paraId="2EB55A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 | март</w:t>
            </w:r>
          </w:p>
          <w:p w14:paraId="7E59C6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nil"/>
              <w:bottom w:val="single" w:sz="6" w:space="0" w:color="auto"/>
              <w:right w:val="single" w:sz="6" w:space="0" w:color="auto"/>
            </w:tcBorders>
          </w:tcPr>
          <w:p w14:paraId="55213F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w:t>
            </w:r>
          </w:p>
          <w:p w14:paraId="77955A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0CA4779" w14:textId="77777777">
        <w:trPr>
          <w:trHeight w:val="202"/>
        </w:trPr>
        <w:tc>
          <w:tcPr>
            <w:tcW w:w="9669" w:type="dxa"/>
            <w:gridSpan w:val="17"/>
            <w:tcBorders>
              <w:top w:val="single" w:sz="6" w:space="0" w:color="auto"/>
              <w:left w:val="single" w:sz="6" w:space="0" w:color="auto"/>
              <w:bottom w:val="single" w:sz="6" w:space="0" w:color="auto"/>
              <w:right w:val="single" w:sz="6" w:space="0" w:color="auto"/>
            </w:tcBorders>
          </w:tcPr>
          <w:p w14:paraId="575E8D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 Танки</w:t>
            </w:r>
          </w:p>
          <w:p w14:paraId="61706B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574C634" w14:textId="77777777">
        <w:trPr>
          <w:trHeight w:val="557"/>
        </w:trPr>
        <w:tc>
          <w:tcPr>
            <w:tcW w:w="816" w:type="dxa"/>
            <w:tcBorders>
              <w:top w:val="single" w:sz="6" w:space="0" w:color="auto"/>
              <w:left w:val="single" w:sz="6" w:space="0" w:color="auto"/>
              <w:bottom w:val="single" w:sz="6" w:space="0" w:color="auto"/>
              <w:right w:val="single" w:sz="6" w:space="0" w:color="auto"/>
            </w:tcBorders>
          </w:tcPr>
          <w:p w14:paraId="5B24C4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Тяжелые Средние Легкие</w:t>
            </w:r>
          </w:p>
          <w:p w14:paraId="2C86B6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470CC4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85,0 84,1 23,0</w:t>
            </w:r>
          </w:p>
          <w:p w14:paraId="4FE986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4CD93D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47,8 56,0 85,0</w:t>
            </w:r>
          </w:p>
          <w:p w14:paraId="4512AA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815EC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70,1 56,7 67,0</w:t>
            </w:r>
          </w:p>
          <w:p w14:paraId="7C28CB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4207F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106,0 83,5 92,1</w:t>
            </w:r>
          </w:p>
          <w:p w14:paraId="2DD671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16D097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100,1 88,6 111,5</w:t>
            </w:r>
          </w:p>
          <w:p w14:paraId="5B3FCE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9EE4D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72,5 87,6 75,7</w:t>
            </w:r>
          </w:p>
          <w:p w14:paraId="06152B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75382B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86,5 80,9 83,5</w:t>
            </w:r>
          </w:p>
          <w:p w14:paraId="06EFE0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3B88C8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79,6 91,5 86,6</w:t>
            </w:r>
          </w:p>
          <w:p w14:paraId="097B96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53AB9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54,4 75,5 64,0</w:t>
            </w:r>
          </w:p>
          <w:p w14:paraId="18F754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36806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112,9 100,2 102,0</w:t>
            </w:r>
          </w:p>
          <w:p w14:paraId="28CD27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15EED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100,1 100,1 105,5</w:t>
            </w:r>
          </w:p>
          <w:p w14:paraId="11CCAC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3F2D5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81,5 91,0 83,0</w:t>
            </w:r>
          </w:p>
          <w:p w14:paraId="45E561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0BDDCB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100,0 100,1</w:t>
            </w:r>
          </w:p>
          <w:p w14:paraId="56D3D7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17F364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100,0 102,5</w:t>
            </w:r>
          </w:p>
          <w:p w14:paraId="6F6D97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5A5DFE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100,0 97,8</w:t>
            </w:r>
          </w:p>
          <w:p w14:paraId="62F6BC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E9DA1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100,0 100,2</w:t>
            </w:r>
          </w:p>
          <w:p w14:paraId="7040EA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5041224" w14:textId="77777777">
        <w:trPr>
          <w:trHeight w:val="202"/>
        </w:trPr>
        <w:tc>
          <w:tcPr>
            <w:tcW w:w="9669" w:type="dxa"/>
            <w:gridSpan w:val="17"/>
            <w:tcBorders>
              <w:top w:val="single" w:sz="6" w:space="0" w:color="auto"/>
              <w:left w:val="single" w:sz="6" w:space="0" w:color="auto"/>
              <w:bottom w:val="single" w:sz="6" w:space="0" w:color="auto"/>
              <w:right w:val="single" w:sz="6" w:space="0" w:color="auto"/>
            </w:tcBorders>
          </w:tcPr>
          <w:p w14:paraId="6BE46B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Самоходные артустановки</w:t>
            </w:r>
          </w:p>
          <w:p w14:paraId="34FBA5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1C2CC95" w14:textId="77777777">
        <w:trPr>
          <w:trHeight w:val="605"/>
        </w:trPr>
        <w:tc>
          <w:tcPr>
            <w:tcW w:w="816" w:type="dxa"/>
            <w:tcBorders>
              <w:top w:val="single" w:sz="6" w:space="0" w:color="auto"/>
              <w:left w:val="single" w:sz="6" w:space="0" w:color="auto"/>
              <w:bottom w:val="single" w:sz="6" w:space="0" w:color="auto"/>
              <w:right w:val="single" w:sz="6" w:space="0" w:color="auto"/>
            </w:tcBorders>
          </w:tcPr>
          <w:p w14:paraId="7838C6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Тяжелые Средние Легкие</w:t>
            </w:r>
          </w:p>
          <w:p w14:paraId="352D54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271ACD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_</w:t>
            </w:r>
          </w:p>
          <w:p w14:paraId="4A4F8A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6874E7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_</w:t>
            </w:r>
          </w:p>
          <w:p w14:paraId="67EB46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7FBAA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_</w:t>
            </w:r>
          </w:p>
          <w:p w14:paraId="1CB8D9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A8920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_</w:t>
            </w:r>
          </w:p>
          <w:p w14:paraId="79A67A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02B894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_</w:t>
            </w:r>
          </w:p>
          <w:p w14:paraId="7E38B4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06DD5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50,0 100,0</w:t>
            </w:r>
          </w:p>
          <w:p w14:paraId="709E80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0BB5F3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50,0 100,0</w:t>
            </w:r>
          </w:p>
          <w:p w14:paraId="5E4630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45C6E4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87,5 77,3 66,0</w:t>
            </w:r>
          </w:p>
          <w:p w14:paraId="7A36C3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21FEA5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82,2 91,6 85,3</w:t>
            </w:r>
          </w:p>
          <w:p w14:paraId="412053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026B5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100,0 96,0 103,4</w:t>
            </w:r>
          </w:p>
          <w:p w14:paraId="37FDE9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30605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102,4 100,8 100,6</w:t>
            </w:r>
          </w:p>
          <w:p w14:paraId="39126A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128D4E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94,5 90,8 90,8</w:t>
            </w:r>
          </w:p>
          <w:p w14:paraId="5200CB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037C0E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100,0 100,6 100,3</w:t>
            </w:r>
          </w:p>
          <w:p w14:paraId="493C29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241236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100,0 100,6 100,2</w:t>
            </w:r>
          </w:p>
          <w:p w14:paraId="69C75B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201D0E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100,0 100,5 100,4</w:t>
            </w:r>
          </w:p>
          <w:p w14:paraId="15C7C1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B5586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100,0 100,0 100,4</w:t>
            </w:r>
          </w:p>
          <w:p w14:paraId="0B1438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92F3B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ТУ ГБТУ КА генерал-майор инженерно-танковой службы Афонин</w:t>
      </w:r>
    </w:p>
    <w:p w14:paraId="340D99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УСА ГБТУ КА генерал-майор инженерно-танковой службы Алымов</w:t>
      </w:r>
    </w:p>
    <w:p w14:paraId="08CA4D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663. Л. 11. Подлинник (11420).</w:t>
      </w:r>
    </w:p>
    <w:p w14:paraId="540F46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910F35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мая 1944 г. было подготовлено СООБЩЕНИЕ НАРОДНОГО КОМИССАРА ВНЕШНЕЙ ТОРГОВЛИ СССР КОМАНДУЮЩЕМУ БТ и МВ КА С ВЫДЕРЖКАМИ ИЗ ОФИЦИАЛЬНОГО ОТЧЕТА ВОЕННОГО ДЕПАРТАМЕНТА США ПО ИСПЫТАНИЮ ТАНКОВ КВ И Т-34</w:t>
      </w:r>
    </w:p>
    <w:p w14:paraId="4A5361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Направляю Вам подробный официальный отчет Военного департамента США по испытанию наших танков КВ и Т-34 на Абердинском полигоне и краткие выдержки перевода этого отчета. Прошу сообщить Ваши замечания по существу отчетов. Приложение: 2 книги отчетов и выдержки перевода.</w:t>
      </w:r>
    </w:p>
    <w:p w14:paraId="7BD2A3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Народный комиссар внешней торговли СССР</w:t>
      </w:r>
    </w:p>
    <w:p w14:paraId="5AE315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Микоян</w:t>
      </w:r>
    </w:p>
    <w:p w14:paraId="54BD30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ВЫДЕРЖКИ из сводного отчета по испытанию русских танков КВ и Т-34 на Абердинском полигоне</w:t>
      </w:r>
    </w:p>
    <w:p w14:paraId="78EF57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Отзывы немецкой печати.</w:t>
      </w:r>
    </w:p>
    <w:p w14:paraId="10FC48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Новые русские танки, представляющие стандарт приличной конструкции, были выпущены в поразительно короткий срок.</w:t>
      </w:r>
    </w:p>
    <w:p w14:paraId="39716F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Наиболее страшный танк Красной Армии — это танк Т-34. Эффективность вооружения, конструк</w:t>
      </w:r>
      <w:r w:rsidRPr="00070ADE">
        <w:rPr>
          <w:rFonts w:ascii="Times New Roman" w:hAnsi="Times New Roman"/>
          <w:color w:val="000000" w:themeColor="text1"/>
          <w:sz w:val="16"/>
          <w:szCs w:val="16"/>
        </w:rPr>
        <w:softHyphen/>
        <w:t>ция весьма удачного наклона брони, мобильность — делают этот танк весьма опасным для противника.</w:t>
      </w:r>
    </w:p>
    <w:p w14:paraId="4FC9BF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Отзывы английской печати.</w:t>
      </w:r>
    </w:p>
    <w:p w14:paraId="09CF78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Русские превзошли немцев не только в производстве танков, но также и по качеству вооруже</w:t>
      </w:r>
      <w:r w:rsidRPr="00070ADE">
        <w:rPr>
          <w:rFonts w:ascii="Times New Roman" w:hAnsi="Times New Roman"/>
          <w:color w:val="000000" w:themeColor="text1"/>
          <w:sz w:val="16"/>
          <w:szCs w:val="16"/>
        </w:rPr>
        <w:softHyphen/>
        <w:t>ния. Русский танк Т-34 является единственным танком, которого боятся немцы. Они считают танк Т-34 наиболее эффективным и лучшим русским танком, с которым им приходилось встречаться.</w:t>
      </w:r>
    </w:p>
    <w:p w14:paraId="773CA7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Высокая маневренность, работа пушки и качество брони танка Т-34 превосходны, что делает его любимцем русских танковых команд.</w:t>
      </w:r>
    </w:p>
    <w:p w14:paraId="6D049F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КВ представляет интерес исключительно благодаря его броне.</w:t>
      </w:r>
    </w:p>
    <w:p w14:paraId="6567B3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Оценка американцев.</w:t>
      </w:r>
    </w:p>
    <w:p w14:paraId="565303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Конструкция русских танков КВ и Т-34 была разработана вскоре после польской компании, до на</w:t>
      </w:r>
      <w:r w:rsidRPr="00070ADE">
        <w:rPr>
          <w:rFonts w:ascii="Times New Roman" w:hAnsi="Times New Roman"/>
          <w:color w:val="000000" w:themeColor="text1"/>
          <w:sz w:val="16"/>
          <w:szCs w:val="16"/>
        </w:rPr>
        <w:softHyphen/>
        <w:t>падения Германии на Россию. Данные машины являются новейшими образцами советских танков.</w:t>
      </w:r>
    </w:p>
    <w:p w14:paraId="49CD1E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процессе испытаний были выявлены следующие недостатки:</w:t>
      </w:r>
    </w:p>
    <w:p w14:paraId="5D0EB4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Плохая характеристика охлаждения, ограничивающая температурный предел работы. Во время испытаний на охлаждение — вода закипала.</w:t>
      </w:r>
    </w:p>
    <w:p w14:paraId="183EBD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Трудность управления на высоких скоростях на твердом грунте, а также переключение на низшую передачу из-за массивности шестерен трансмиссии.</w:t>
      </w:r>
    </w:p>
    <w:p w14:paraId="39E9C8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Воздухоочистители имеют неудовлетворительную характеристику, что ускоряет износ двигателя.</w:t>
      </w:r>
    </w:p>
    <w:p w14:paraId="58AC24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Плохая проходимость по песчаной почве.</w:t>
      </w:r>
    </w:p>
    <w:p w14:paraId="5F10F3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Наблюдается недостаточная равномерность работы и неполная механическая надежность агрегатов. Вообще, надежность танков удовлетворительна, поскольку они выдержали 14-часовой пробег, но пробуксовка сцепления и перебои в работе двигателей свидетельствуют о неспособнос</w:t>
      </w:r>
      <w:r w:rsidRPr="00070ADE">
        <w:rPr>
          <w:rFonts w:ascii="Times New Roman" w:hAnsi="Times New Roman"/>
          <w:color w:val="000000" w:themeColor="text1"/>
          <w:sz w:val="16"/>
          <w:szCs w:val="16"/>
        </w:rPr>
        <w:softHyphen/>
        <w:t>ти танков к более продолжительной работе.</w:t>
      </w:r>
    </w:p>
    <w:p w14:paraId="2858B0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Срок службы траков и пальцев гусеницы оказался коротким и составляет примерно 600 миль, что считается чрезмерно малым.</w:t>
      </w:r>
    </w:p>
    <w:p w14:paraId="6D6AFA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Механическая обработка деталей и отделка арматуры недостаточны, обработка брони плохая.</w:t>
      </w:r>
    </w:p>
    <w:p w14:paraId="3C271F0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Место водителя выбрано неудачно вследствие его близости к наклонной броне. Эффектив</w:t>
      </w:r>
      <w:r w:rsidRPr="00070ADE">
        <w:rPr>
          <w:rFonts w:ascii="Times New Roman" w:hAnsi="Times New Roman"/>
          <w:color w:val="000000" w:themeColor="text1"/>
          <w:sz w:val="16"/>
          <w:szCs w:val="16"/>
        </w:rPr>
        <w:softHyphen/>
        <w:t>ность работы может быть достигнута только при очень большой тренировке водителя.</w:t>
      </w:r>
    </w:p>
    <w:p w14:paraId="43DDCC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Положительные стороны.</w:t>
      </w:r>
    </w:p>
    <w:p w14:paraId="2F0586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Контуры корпуса и башни говорят о превосходных баллистических данных, но ограничива</w:t>
      </w:r>
      <w:r w:rsidRPr="00070ADE">
        <w:rPr>
          <w:rFonts w:ascii="Times New Roman" w:hAnsi="Times New Roman"/>
          <w:color w:val="000000" w:themeColor="text1"/>
          <w:sz w:val="16"/>
          <w:szCs w:val="16"/>
        </w:rPr>
        <w:softHyphen/>
        <w:t>ют полезное пространство в боевом отделении.</w:t>
      </w:r>
    </w:p>
    <w:p w14:paraId="01F723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Предусмотрены удачные места для хранения боезапаса в нижней части корпусов.</w:t>
      </w:r>
    </w:p>
    <w:p w14:paraId="012B5F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Пулеметы надежны и отличаются простотой конструкции.</w:t>
      </w:r>
    </w:p>
    <w:p w14:paraId="780AB1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Прицелы превосходны, а смотровые приборы, хотя и примитивны, но удовлетворяют требо</w:t>
      </w:r>
      <w:r w:rsidRPr="00070ADE">
        <w:rPr>
          <w:rFonts w:ascii="Times New Roman" w:hAnsi="Times New Roman"/>
          <w:color w:val="000000" w:themeColor="text1"/>
          <w:sz w:val="16"/>
          <w:szCs w:val="16"/>
        </w:rPr>
        <w:softHyphen/>
        <w:t>ваниям.</w:t>
      </w:r>
    </w:p>
    <w:p w14:paraId="4D4D4B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Система воздухопуска эффективна, но ее надежность подлежит проверке.</w:t>
      </w:r>
    </w:p>
    <w:p w14:paraId="295132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Расположение ведущих колес сзади делает танки менее уязвимыми и способствует лучшему натяжению гусениц при преодолении препятствий.</w:t>
      </w:r>
    </w:p>
    <w:p w14:paraId="2B142B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Торсионная подвеска танка КВ представляет значительный интерес и показала себя с хоро</w:t>
      </w:r>
      <w:r w:rsidRPr="00070ADE">
        <w:rPr>
          <w:rFonts w:ascii="Times New Roman" w:hAnsi="Times New Roman"/>
          <w:color w:val="000000" w:themeColor="text1"/>
          <w:sz w:val="16"/>
          <w:szCs w:val="16"/>
        </w:rPr>
        <w:softHyphen/>
        <w:t>шей стороны.</w:t>
      </w:r>
    </w:p>
    <w:p w14:paraId="3FC6E9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Низкий силуэт танков обеспечивает легкость маскировки.</w:t>
      </w:r>
    </w:p>
    <w:p w14:paraId="4CE778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Хорошая проходимость по пересеченной местности, по грязи и по снегу.</w:t>
      </w:r>
    </w:p>
    <w:p w14:paraId="670D86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Определенный принцип взаимозаменяемости и простота конструкции указывают на тен</w:t>
      </w:r>
      <w:r w:rsidRPr="00070ADE">
        <w:rPr>
          <w:rFonts w:ascii="Times New Roman" w:hAnsi="Times New Roman"/>
          <w:color w:val="000000" w:themeColor="text1"/>
          <w:sz w:val="16"/>
          <w:szCs w:val="16"/>
        </w:rPr>
        <w:softHyphen/>
        <w:t>денцию массового производства и упрощение ремонта. Части, приборы и агрегаты танка КВ могут монтироваться на Т-34 и наоборот, что требует более узкую номенклатуру запчастей.</w:t>
      </w:r>
    </w:p>
    <w:p w14:paraId="0CF552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11. Потребное количество горючего и смазок — умеренное.</w:t>
      </w:r>
    </w:p>
    <w:p w14:paraId="3A6CB6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Запуск хороший.</w:t>
      </w:r>
    </w:p>
    <w:p w14:paraId="77A8E1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Общий предел видимости хороший.</w:t>
      </w:r>
    </w:p>
    <w:p w14:paraId="24D8AB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Компактность танков хорошая.</w:t>
      </w:r>
    </w:p>
    <w:p w14:paraId="27356E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Сравнение русских танков с американскими.</w:t>
      </w:r>
    </w:p>
    <w:p w14:paraId="47CBF9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Между русским танком Т-34 и американским танком Т-4 типа Кристи существует заметное сходство. Т-34 в основном происходит от танка типа Кристи.</w:t>
      </w:r>
    </w:p>
    <w:p w14:paraId="773A60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Огневую мощь танков в основном можно сравнить с американскими танками М-4. Несмот</w:t>
      </w:r>
      <w:r w:rsidRPr="00070ADE">
        <w:rPr>
          <w:rFonts w:ascii="Times New Roman" w:hAnsi="Times New Roman"/>
          <w:color w:val="000000" w:themeColor="text1"/>
          <w:sz w:val="16"/>
          <w:szCs w:val="16"/>
        </w:rPr>
        <w:softHyphen/>
        <w:t>ря на то, что на русских танках установлены 76-мм пушки, их начальные скорости только на 100 фу</w:t>
      </w:r>
      <w:r w:rsidRPr="00070ADE">
        <w:rPr>
          <w:rFonts w:ascii="Times New Roman" w:hAnsi="Times New Roman"/>
          <w:color w:val="000000" w:themeColor="text1"/>
          <w:sz w:val="16"/>
          <w:szCs w:val="16"/>
        </w:rPr>
        <w:softHyphen/>
        <w:t>тов/сек больше, чем у 75-мм пушек американских танков М-3.</w:t>
      </w:r>
    </w:p>
    <w:p w14:paraId="159B79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Удельное давление считается очень хорошим по сравнению с американскими танками, что увеличивает проходимость по плохим дорогам.</w:t>
      </w:r>
    </w:p>
    <w:p w14:paraId="088B6E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Работа танка Т-34 на низких скоростях дает толчки, на более высоких скоростях отличается равномерностью, но все же хуже, чем у американских танков М4-А2.</w:t>
      </w:r>
    </w:p>
    <w:p w14:paraId="6807DC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При преодолении вертикальных препятствий, русские танки проявили себя как равные или даже как превосходящие в этом отношении стандартные американские танки.</w:t>
      </w:r>
    </w:p>
    <w:p w14:paraId="10B446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w:t>
      </w:r>
    </w:p>
    <w:p w14:paraId="6EF3DA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Русские танки КВ и Т-34 в основном машины хорошей конструкции, удобные для массового производства при полуквалифицированной рабочей силе.</w:t>
      </w:r>
    </w:p>
    <w:p w14:paraId="1C1416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ЦЛМО. Ф. 38. Оп. 11355. Д. 2218. Л. 118-120. Подлинник (11420).</w:t>
      </w:r>
    </w:p>
    <w:p w14:paraId="49A7B7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45DF8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мая 1944 вышло Распоряжение ГКО № 5951 [О временном оставлении 41 военнослужащего на авторемонтных заводах Москвы.] (7235, 187).</w:t>
      </w:r>
    </w:p>
    <w:p w14:paraId="0D9DC92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3B18C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мая 1944 вышло Постановление ГКО № 5954 О положении дел в целлюлозно-бумажной промышленности. (7235, 191-196).</w:t>
      </w:r>
    </w:p>
    <w:p w14:paraId="6B32D0A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7A82D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1FA17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58AFA3" w14:textId="77777777" w:rsidR="00773CC6" w:rsidRPr="00070ADE" w:rsidRDefault="00773CC6"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24 мая</w:t>
      </w:r>
      <w:r w:rsidRPr="00070ADE">
        <w:rPr>
          <w:rFonts w:ascii="Times New Roman" w:hAnsi="Times New Roman"/>
          <w:color w:val="000000" w:themeColor="text1"/>
          <w:sz w:val="16"/>
          <w:szCs w:val="16"/>
        </w:rPr>
        <w:t xml:space="preserve"> в 1944 году оперативная сводка Совинформбюро:</w:t>
      </w:r>
    </w:p>
    <w:p w14:paraId="1F56A4DB" w14:textId="77777777" w:rsidR="00773CC6" w:rsidRPr="00070ADE" w:rsidRDefault="00773CC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24 мая на фронтах существенных изменений не произошло.</w:t>
      </w:r>
    </w:p>
    <w:p w14:paraId="59FF3895" w14:textId="77777777" w:rsidR="00773CC6" w:rsidRPr="00070ADE" w:rsidRDefault="00773CC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23 мая наши войска подбили и уничтожили 27 немецких танков и самоходных орудий. В воздушных боях и огнём зенитной артиллерии сбито 9 самолётов противника.</w:t>
      </w:r>
    </w:p>
    <w:p w14:paraId="2F2A8080" w14:textId="77777777" w:rsidR="00773CC6" w:rsidRPr="00070ADE" w:rsidRDefault="00773CC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Тирасполь противник утром атаковал позиции гвардейской части. Советские бойцы встретили немцев артиллерийско-миномётным и пулемётным огнём и вынудили их поспешно отойти. В течение дня немцы предприняли ещё четыре атаки, но успеха не добились. На поле боя осталось до 400 вражеских трупов. Подбито и сожжено 20 немецких танков и 4 самоходных орудия. Уничтожены 3 бронемашины, 40 автомашин и 15 повозок. Взяты пленные.</w:t>
      </w:r>
    </w:p>
    <w:p w14:paraId="0C907636" w14:textId="77777777" w:rsidR="00773CC6" w:rsidRPr="00070ADE" w:rsidRDefault="00773CC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одном участке 2-го Украинского фронта немецкая артиллерийская батарея обстреливала наши позиции. Старший сержант Сахаров с группой бойцов пробрался втыл противника и внезапно напал на гитлеровцев. В короткой схватке наши бойцы уничтожили немецких артиллеристов и взорвали орудия противника. На другом участке гвардии рядовой Фёдор Залеский с группой разведчиков ворвался в село, занятое противником. Разведчики уничтожили 6 немцев и, захватив двух пленных, благополучно вернулись в свою часть.</w:t>
      </w:r>
    </w:p>
    <w:p w14:paraId="1D13A294" w14:textId="77777777" w:rsidR="00773CC6" w:rsidRPr="00070ADE" w:rsidRDefault="00773CC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противник на отдельных участках пытался вести разведку боем. Вражеские подразделения были рассеяны раньше, чем они достигли переднего края нашей обороны.</w:t>
      </w:r>
    </w:p>
    <w:p w14:paraId="1550BAA5" w14:textId="77777777" w:rsidR="00773CC6" w:rsidRPr="00070ADE" w:rsidRDefault="00773CC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города Мозырь снайперы младший лейтенант Чикаш и ефрейтор Самохин ночью вышли на нейтральную зону и залегли недалеко от немецких позиций. Утром на дороге в тылу у врага показалась походная кухня. Одним выстрелом Самохин убил немца, сидевшего на передке кухни. Через некоторое время Чикаш убил подбегавшего к кухне гитлеровца, а Самохин уничтожил двух немцев, шедших по дороге с котелками в руках. Всего в течение дня два снайпера уничтожили 19 гитлеровцев.</w:t>
      </w:r>
    </w:p>
    <w:p w14:paraId="55150C3B" w14:textId="77777777" w:rsidR="00773CC6" w:rsidRPr="00070ADE" w:rsidRDefault="00773CC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мая кораблями Черноморского флота потоплена немецкая подводная лодка.</w:t>
      </w:r>
    </w:p>
    <w:p w14:paraId="2383076E" w14:textId="77777777" w:rsidR="00773CC6" w:rsidRPr="00070ADE" w:rsidRDefault="00773CC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Витебской области, напал на немецкий гарнизон в одном населённом пункте. Советские патриоты уничтожили более 100 немецких оккупантов и взорвали три военных склада. Другой партизанский отряд за последние дни пустил под откос 6 воинских эшелонов противника. Кроме того, партизаны этого отряда взорвали на шоссейных и грунтовых дорогах 27 грузовых и 5 легковых автомашин, 14 повозок и вырезали несколько километров телеграфно-телефонной линии связи противника.</w:t>
      </w:r>
    </w:p>
    <w:p w14:paraId="74C0D230" w14:textId="77777777" w:rsidR="00773CC6" w:rsidRPr="00070ADE" w:rsidRDefault="00773CC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сторону Красной Армии перешла группа артиллеристов 1 венгерскойгорно-стрелковой бригады. Перебежчики сообщили следующее: «Наш отряд, в количестве 50 человек, охранял склад боеприпасов. Русские автоматчики приблизились к складу. Сержант Имре Бор запретил нам стрелять в русских и предложил организованно сдаться в плен; все солдаты с радостью поддержали сержанта. До отъезда на фронт мы видели, как немцы оккупировали и грабили Венгрию. Никто из нас не хотел сложить свою голову за Гитлера».</w:t>
      </w:r>
    </w:p>
    <w:p w14:paraId="244C635D" w14:textId="77777777" w:rsidR="00773CC6" w:rsidRPr="00070ADE" w:rsidRDefault="00773CC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лейтенант 2 венгерской дивизии Пал Малейтер сообщил: «Нашей дивизией фактически командуют немцы. Венгерские офицеры находятся на побегушках у немцев и без позволения немецких контролёров ничего не могут делать».</w:t>
      </w:r>
    </w:p>
    <w:p w14:paraId="218CBE3B" w14:textId="77777777" w:rsidR="00773CC6" w:rsidRPr="00070ADE" w:rsidRDefault="00773CC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сводке немецкого командования, опубликованной 23 мая, говорится, что южнее Дубоссары немецкие войска будто бы уничтожили «несколько советских стрелковых дивизий и одну танковую бригаду».</w:t>
      </w:r>
    </w:p>
    <w:p w14:paraId="2F6A8FF0" w14:textId="77777777" w:rsidR="00773CC6" w:rsidRPr="00070ADE" w:rsidRDefault="00773CC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этом немецком сообщении нет ни слова правды. Уже больше месяца на участке фронта южнее Дубоссары не было ни одного крупного сражения, и только на отдельных участках происходили бои местного значения. С советской стороны в этих боях участвовали незначительные силы. Стало быть, немцы никак не могли уничтожить и, разумеется, не уничтожили «несколько стрелковых дивизий и одну танковую бригаду». Таким образом, это сообщение является плодом больного воображения брехунов из ставки Гитлера. Вот уже более полутора лет гитлеровцы не могут похвастаться ни одной победой, добытой ими на поле боя. С тех пор они сочиняют всевозможные небылицы об успехах немецких войск, пытаясь тем самым хоть немного приободрить своих упавших духом солдат и население Германии. О вралях из ставки Гитлера можно сказать: «Пустая мельница и без ветру мелет» (14901).</w:t>
      </w:r>
    </w:p>
    <w:p w14:paraId="2620AE00" w14:textId="77777777" w:rsidR="00773CC6" w:rsidRPr="00070ADE" w:rsidRDefault="00773CC6" w:rsidP="00B56F90">
      <w:pPr>
        <w:spacing w:after="0" w:line="240" w:lineRule="auto"/>
        <w:jc w:val="both"/>
        <w:rPr>
          <w:rFonts w:ascii="Times New Roman" w:hAnsi="Times New Roman"/>
          <w:color w:val="000000" w:themeColor="text1"/>
          <w:sz w:val="16"/>
          <w:szCs w:val="16"/>
        </w:rPr>
      </w:pPr>
    </w:p>
    <w:p w14:paraId="4EBFF8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мая 1944 на СФ 8 Ил-2 пикировщиков обеспечивали удар 4 Ил-2 топмачтовиков по конвою из 5 транспортов, 5 миноносцев, 10 сторожевых катеров и 4 тральщиков, обнаруженному в 10 км восточнее м. Хавинигберг. Первую группу обеспечивали 14 и, вторую - 8. Первыми ударили пикировщики, подавив зенитный огонь и потопив сторожевик. Топмачтовики бросали ФАБ-250 с 30 м и потопили транспорт в 8 тыс. т (4414,12).</w:t>
      </w:r>
    </w:p>
    <w:p w14:paraId="35A305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176C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мая 1944 года посадкой двух F-5 (это невооруженная модификация "Лайтнинга" - фоторазведчика) на аэродроме в Полтаве начались "челночные" рейды. Впоследствии на различных базах в СССР гостили и разведчики, и истребители Р-38; поодиночно, группами и большими соединениями. Так, в ходе операции "Фрэнтик" III в июле 1944 года в нашу страну перелетели 72 Р-38 из 15-й воздушной армии США. В их обслуживании принимал участие и наш наземный состав. Один F-5 разбили немецкие бомбы при налете ночных бомбардировщиков Люфтваффе на Полтаву. После эвакуации базы он был там брошен (3457,89).</w:t>
      </w:r>
    </w:p>
    <w:p w14:paraId="7F9BD2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6C5E7" w14:textId="77777777" w:rsidR="008E4DB9" w:rsidRPr="00070ADE" w:rsidRDefault="008E4D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мая 1944 г. посадкой двух F-5 (это невооруженная мо</w:t>
      </w:r>
      <w:r w:rsidRPr="00070ADE">
        <w:rPr>
          <w:rFonts w:ascii="Times New Roman" w:hAnsi="Times New Roman"/>
          <w:color w:val="000000" w:themeColor="text1"/>
          <w:sz w:val="16"/>
          <w:szCs w:val="16"/>
        </w:rPr>
        <w:softHyphen/>
        <w:t>дификация «Лайтнинга» -фоторазведчика) на аэродроме в Полтаве начались «чел</w:t>
      </w:r>
      <w:r w:rsidRPr="00070ADE">
        <w:rPr>
          <w:rFonts w:ascii="Times New Roman" w:hAnsi="Times New Roman"/>
          <w:color w:val="000000" w:themeColor="text1"/>
          <w:sz w:val="16"/>
          <w:szCs w:val="16"/>
        </w:rPr>
        <w:softHyphen/>
        <w:t>ночные» рейсы. Впоследствии на различных базах в СССР гостили и раз</w:t>
      </w:r>
      <w:r w:rsidRPr="00070ADE">
        <w:rPr>
          <w:rFonts w:ascii="Times New Roman" w:hAnsi="Times New Roman"/>
          <w:color w:val="000000" w:themeColor="text1"/>
          <w:sz w:val="16"/>
          <w:szCs w:val="16"/>
        </w:rPr>
        <w:softHyphen/>
        <w:t>ведчики, и истребители Р-38 - поодиночно, группами и большими соединениями. Так, в ходе операции «Фрэнтик» III в июле 1944 г. в нашу страну перелетели 72 Р-38 из 15-й воздушной армии США. В их обслу</w:t>
      </w:r>
      <w:r w:rsidRPr="00070ADE">
        <w:rPr>
          <w:rFonts w:ascii="Times New Roman" w:hAnsi="Times New Roman"/>
          <w:color w:val="000000" w:themeColor="text1"/>
          <w:sz w:val="16"/>
          <w:szCs w:val="16"/>
        </w:rPr>
        <w:softHyphen/>
        <w:t>живании принимал участие и наш назем</w:t>
      </w:r>
      <w:r w:rsidRPr="00070ADE">
        <w:rPr>
          <w:rFonts w:ascii="Times New Roman" w:hAnsi="Times New Roman"/>
          <w:color w:val="000000" w:themeColor="text1"/>
          <w:sz w:val="16"/>
          <w:szCs w:val="16"/>
        </w:rPr>
        <w:softHyphen/>
        <w:t>ный состав. Один F-5 разбили немецкие бомбы при налете ночных бомбардиров</w:t>
      </w:r>
      <w:r w:rsidRPr="00070ADE">
        <w:rPr>
          <w:rFonts w:ascii="Times New Roman" w:hAnsi="Times New Roman"/>
          <w:color w:val="000000" w:themeColor="text1"/>
          <w:sz w:val="16"/>
          <w:szCs w:val="16"/>
        </w:rPr>
        <w:softHyphen/>
        <w:t>щиков люфтваффе на Полтаву. После эва</w:t>
      </w:r>
      <w:r w:rsidRPr="00070ADE">
        <w:rPr>
          <w:rFonts w:ascii="Times New Roman" w:hAnsi="Times New Roman"/>
          <w:color w:val="000000" w:themeColor="text1"/>
          <w:sz w:val="16"/>
          <w:szCs w:val="16"/>
        </w:rPr>
        <w:softHyphen/>
        <w:t>куации базы он был там брошен (23513)-</w:t>
      </w:r>
    </w:p>
    <w:p w14:paraId="7D23326A" w14:textId="77777777" w:rsidR="008E4DB9" w:rsidRPr="00070ADE" w:rsidRDefault="008E4DB9" w:rsidP="00B56F90">
      <w:pPr>
        <w:spacing w:after="0" w:line="240" w:lineRule="auto"/>
        <w:jc w:val="both"/>
        <w:rPr>
          <w:rFonts w:ascii="Times New Roman" w:hAnsi="Times New Roman"/>
          <w:color w:val="000000" w:themeColor="text1"/>
          <w:sz w:val="16"/>
          <w:szCs w:val="16"/>
        </w:rPr>
      </w:pPr>
    </w:p>
    <w:p w14:paraId="17F7BCF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мая 1944 вышло Постановление ГКО № 5952 [О мерах по надежному прикрытию аэродромов ВВС КА средствами зенитной обороны.] (7235, 188).</w:t>
      </w:r>
    </w:p>
    <w:p w14:paraId="161A2F8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9DD39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мая 1944 вышло Постановление ГКО № 5953 О мобилизации местного населения и гужевого транспорта на строительство полевых оборонительных рубежей. (7235, 189-190).</w:t>
      </w:r>
    </w:p>
    <w:p w14:paraId="12CB0C4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A26054" w14:textId="77777777" w:rsidR="00795773" w:rsidRPr="00070ADE" w:rsidRDefault="00795773"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мая 1944 в СССР сформирована югославская пехотная бригада (4962).</w:t>
      </w:r>
    </w:p>
    <w:p w14:paraId="7A561EE6" w14:textId="77777777" w:rsidR="00795773" w:rsidRPr="00070ADE" w:rsidRDefault="00795773"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EC5A16" w14:textId="77777777" w:rsidR="00795773" w:rsidRPr="00070ADE" w:rsidRDefault="00795773"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мая 1944 на территории СССР была сформирована первая югославская бригада (3398,192).</w:t>
      </w:r>
    </w:p>
    <w:p w14:paraId="0A48D3A4" w14:textId="77777777" w:rsidR="00795773" w:rsidRPr="00070ADE" w:rsidRDefault="00795773"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EBDF4B" w14:textId="77777777" w:rsidR="00795773"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41E21A3C" w14:textId="77777777" w:rsidR="00795773" w:rsidRPr="00070ADE" w:rsidRDefault="00795773"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154F68" w14:textId="77777777" w:rsidR="00795773" w:rsidRPr="00070ADE" w:rsidRDefault="007957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lastRenderedPageBreak/>
        <w:t>24 мая</w:t>
      </w:r>
      <w:r w:rsidRPr="00070ADE">
        <w:rPr>
          <w:rFonts w:ascii="Times New Roman" w:hAnsi="Times New Roman"/>
          <w:color w:val="000000" w:themeColor="text1"/>
          <w:sz w:val="16"/>
          <w:szCs w:val="16"/>
        </w:rPr>
        <w:t xml:space="preserve"> в 1944 году в Ленинграде впервые после блокады возобновлено троллейбусное движение. Первым открыт маршрут от Адмиралтейства до Сызранской улицы (14901).</w:t>
      </w:r>
    </w:p>
    <w:p w14:paraId="3E9419EE" w14:textId="77777777" w:rsidR="00795773" w:rsidRPr="00070ADE" w:rsidRDefault="00795773" w:rsidP="00B56F90">
      <w:pPr>
        <w:spacing w:after="0" w:line="240" w:lineRule="auto"/>
        <w:jc w:val="both"/>
        <w:rPr>
          <w:rFonts w:ascii="Times New Roman" w:hAnsi="Times New Roman"/>
          <w:color w:val="000000" w:themeColor="text1"/>
          <w:sz w:val="16"/>
          <w:szCs w:val="16"/>
        </w:rPr>
      </w:pPr>
    </w:p>
    <w:p w14:paraId="52B38E6F" w14:textId="77777777" w:rsidR="00701987" w:rsidRPr="00070ADE" w:rsidRDefault="00701987"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4D6C2365" w14:textId="77777777" w:rsidR="00701987" w:rsidRPr="00070ADE" w:rsidRDefault="00701987"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96C92F" w14:textId="77777777" w:rsidR="00701987" w:rsidRPr="00070ADE" w:rsidRDefault="0070198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24 мая 1944 года вице-президент США Генри Уоллес Уоллес прибыл в Магадан, столицу Дальстроя. Вице-президент США имел твердое намерение узнать какими способами и методами во владениях товарища Сталина перевоспитывают врагов и преступников, как их превращают в честных трудолюбивых граждан (19016).</w:t>
      </w:r>
    </w:p>
    <w:p w14:paraId="5BB0F4B4" w14:textId="77777777" w:rsidR="00701987" w:rsidRPr="00070ADE" w:rsidRDefault="00701987" w:rsidP="00B56F90">
      <w:pPr>
        <w:spacing w:after="0" w:line="240" w:lineRule="auto"/>
        <w:jc w:val="both"/>
        <w:rPr>
          <w:rFonts w:ascii="Times New Roman" w:hAnsi="Times New Roman"/>
          <w:color w:val="000000" w:themeColor="text1"/>
          <w:sz w:val="16"/>
          <w:szCs w:val="16"/>
        </w:rPr>
      </w:pPr>
    </w:p>
    <w:p w14:paraId="2EA8750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0F9F87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8841D9" w14:textId="77777777" w:rsidR="006C7B98" w:rsidRPr="00070ADE" w:rsidRDefault="006C7B9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24 мая</w:t>
      </w:r>
      <w:r w:rsidRPr="00070ADE">
        <w:rPr>
          <w:rFonts w:ascii="Times New Roman" w:hAnsi="Times New Roman"/>
          <w:color w:val="000000" w:themeColor="text1"/>
          <w:sz w:val="16"/>
          <w:szCs w:val="16"/>
        </w:rPr>
        <w:t xml:space="preserve"> в 1944 году поднялся в воздух второй прототип </w:t>
      </w:r>
      <w:hyperlink r:id="rId141" w:tgtFrame="_blank" w:history="1">
        <w:r w:rsidRPr="00070ADE">
          <w:rPr>
            <w:rFonts w:ascii="Times New Roman" w:hAnsi="Times New Roman"/>
            <w:color w:val="000000" w:themeColor="text1"/>
            <w:sz w:val="16"/>
            <w:szCs w:val="16"/>
          </w:rPr>
          <w:t xml:space="preserve">«ХР-54» </w:t>
        </w:r>
      </w:hyperlink>
      <w:r w:rsidRPr="00070ADE">
        <w:rPr>
          <w:rFonts w:ascii="Times New Roman" w:hAnsi="Times New Roman"/>
          <w:color w:val="000000" w:themeColor="text1"/>
          <w:sz w:val="16"/>
          <w:szCs w:val="16"/>
        </w:rPr>
        <w:t>(41-1211) американского истребителя «P-54» 2Swoose Goose», заказ на постройку которого был выдан 17 марта 1942-го. От своего собрата он отличался отсутствием окраски, а вместо двух турбокомпрессоров установили один фирмы «Дженерал Электрик». Истребитель успел совершить лишь два полета, после чего его передали на авиабазу «Нортон» в Калифорнии для разборки на детали. Позднее носовую часть от него перевезли в испытательный центр на авиабазе Эглин во Флориде для испытаний вооружения (14901).</w:t>
      </w:r>
    </w:p>
    <w:p w14:paraId="3F52DFA6" w14:textId="77777777" w:rsidR="006C7B98" w:rsidRPr="00070ADE" w:rsidRDefault="006C7B98" w:rsidP="00B56F90">
      <w:pPr>
        <w:spacing w:after="0" w:line="240" w:lineRule="auto"/>
        <w:jc w:val="both"/>
        <w:rPr>
          <w:rFonts w:ascii="Times New Roman" w:hAnsi="Times New Roman"/>
          <w:color w:val="000000" w:themeColor="text1"/>
          <w:sz w:val="16"/>
          <w:szCs w:val="16"/>
        </w:rPr>
      </w:pPr>
    </w:p>
    <w:p w14:paraId="762BBA5E" w14:textId="77777777" w:rsidR="00795773" w:rsidRPr="00070ADE" w:rsidRDefault="007957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24 мая</w:t>
      </w:r>
      <w:r w:rsidRPr="00070ADE">
        <w:rPr>
          <w:rFonts w:ascii="Times New Roman" w:hAnsi="Times New Roman"/>
          <w:color w:val="000000" w:themeColor="text1"/>
          <w:sz w:val="16"/>
          <w:szCs w:val="16"/>
        </w:rPr>
        <w:t xml:space="preserve"> в 1944 году в испытательном центре Пенемюнде был проведен первый испытательно-боевой пуск комплекса </w:t>
      </w:r>
      <w:hyperlink r:id="rId142" w:tgtFrame="_blank" w:history="1">
        <w:r w:rsidRPr="00070ADE">
          <w:rPr>
            <w:rFonts w:ascii="Times New Roman" w:hAnsi="Times New Roman"/>
            <w:color w:val="000000" w:themeColor="text1"/>
            <w:sz w:val="16"/>
            <w:szCs w:val="16"/>
          </w:rPr>
          <w:t xml:space="preserve">«Мистел-1» </w:t>
        </w:r>
      </w:hyperlink>
      <w:r w:rsidRPr="00070ADE">
        <w:rPr>
          <w:rFonts w:ascii="Times New Roman" w:hAnsi="Times New Roman"/>
          <w:color w:val="000000" w:themeColor="text1"/>
          <w:sz w:val="16"/>
          <w:szCs w:val="16"/>
        </w:rPr>
        <w:t>(«Mistel», немецкое название – «Mistletoe»), также известен как «Папа и сын» (немецкое название – «Vati und Sohn») - связка состоящая из пилотируемого истребителя «Bf-109F-4» установленного "верхом" на «Ju-88A-4» начиненного взрывчаткой, фактически являющимся летающей бомбой. Систему пилотировал испытатель фирмы «Юнкерс» З.Хольцбаур. Испытание прошло неудачно. Система предназначалась для поражения наземных объектов в глубоком тылу противника (14901).</w:t>
      </w:r>
    </w:p>
    <w:p w14:paraId="069991E0" w14:textId="77777777" w:rsidR="00795773" w:rsidRPr="00070ADE" w:rsidRDefault="00795773" w:rsidP="00B56F90">
      <w:pPr>
        <w:spacing w:after="0" w:line="240" w:lineRule="auto"/>
        <w:jc w:val="both"/>
        <w:rPr>
          <w:rFonts w:ascii="Times New Roman" w:hAnsi="Times New Roman"/>
          <w:color w:val="000000" w:themeColor="text1"/>
          <w:sz w:val="16"/>
          <w:szCs w:val="16"/>
        </w:rPr>
      </w:pPr>
    </w:p>
    <w:p w14:paraId="1598159A" w14:textId="77777777" w:rsidR="00D22FC4" w:rsidRPr="00070ADE" w:rsidRDefault="00D22F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мая 1944 налет американской авиации на остров Уэйк (20373).</w:t>
      </w:r>
    </w:p>
    <w:p w14:paraId="0681631B" w14:textId="77777777" w:rsidR="00D22FC4" w:rsidRPr="00070ADE" w:rsidRDefault="00D22FC4" w:rsidP="00B56F90">
      <w:pPr>
        <w:spacing w:after="0" w:line="240" w:lineRule="auto"/>
        <w:jc w:val="both"/>
        <w:rPr>
          <w:rFonts w:ascii="Times New Roman" w:hAnsi="Times New Roman"/>
          <w:color w:val="000000" w:themeColor="text1"/>
          <w:sz w:val="16"/>
          <w:szCs w:val="16"/>
        </w:rPr>
      </w:pPr>
    </w:p>
    <w:p w14:paraId="0DBA426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D92E3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3557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мая 1944 был произведен контрольный полет на Ла-5 с АШ-82ФН с 2ТК-3, в котором достиг</w:t>
      </w:r>
      <w:r w:rsidRPr="00070ADE">
        <w:rPr>
          <w:rFonts w:ascii="Times New Roman" w:hAnsi="Times New Roman"/>
          <w:color w:val="000000" w:themeColor="text1"/>
          <w:sz w:val="16"/>
          <w:szCs w:val="16"/>
        </w:rPr>
        <w:softHyphen/>
        <w:t>нута высота 7000 мт. Из-за попадания дыма в каби</w:t>
      </w:r>
      <w:r w:rsidRPr="00070ADE">
        <w:rPr>
          <w:rFonts w:ascii="Times New Roman" w:hAnsi="Times New Roman"/>
          <w:color w:val="000000" w:themeColor="text1"/>
          <w:sz w:val="16"/>
          <w:szCs w:val="16"/>
        </w:rPr>
        <w:softHyphen/>
        <w:t>ну пилота полет был прекращен. Дымление проис</w:t>
      </w:r>
      <w:r w:rsidRPr="00070ADE">
        <w:rPr>
          <w:rFonts w:ascii="Times New Roman" w:hAnsi="Times New Roman"/>
          <w:color w:val="000000" w:themeColor="text1"/>
          <w:sz w:val="16"/>
          <w:szCs w:val="16"/>
        </w:rPr>
        <w:softHyphen/>
        <w:t>ходило по причине выбивания большого количества масла из мест соединения мотора с маслопроводом и попадания его на ресивер ТК. Кроме того, с высотой падало давление бензина и грелась головка- 5-го цилиндра. Для устранения указанных дефектов, на самолете проведены следующие мероприятия:</w:t>
      </w:r>
    </w:p>
    <w:p w14:paraId="6474AD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подтянуты соединения в моторе и маслопроводе, из'ят клапан из бензосистемы, могущий вызвать утечку азота и падение давления бензина, исправ</w:t>
      </w:r>
      <w:r w:rsidRPr="00070ADE">
        <w:rPr>
          <w:rFonts w:ascii="Times New Roman" w:hAnsi="Times New Roman"/>
          <w:color w:val="000000" w:themeColor="text1"/>
          <w:sz w:val="16"/>
          <w:szCs w:val="16"/>
        </w:rPr>
        <w:softHyphen/>
        <w:t>лено дефлектирование и заменена форсунка для впрыска воды в 5-й цилиндр мотора (1825).</w:t>
      </w:r>
    </w:p>
    <w:p w14:paraId="6B34DE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35F699" w14:textId="77777777" w:rsidR="00795773" w:rsidRPr="00070ADE" w:rsidRDefault="007957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мая 1944 г. состоялся контрольный полёт на отремонтированным Ла-5А. При этом достигли высоты 7000 м, но просочившийся в кабину пилота дым вынудил прекра</w:t>
      </w:r>
      <w:r w:rsidRPr="00070ADE">
        <w:rPr>
          <w:rFonts w:ascii="Times New Roman" w:hAnsi="Times New Roman"/>
          <w:color w:val="000000" w:themeColor="text1"/>
          <w:sz w:val="16"/>
          <w:szCs w:val="16"/>
        </w:rPr>
        <w:softHyphen/>
        <w:t>тить полёт. Дым образовался в результате выбивания большого количества масла из мест соединения мотора с маслопроводом и попадания его в ресивер турбокомпрессо</w:t>
      </w:r>
      <w:r w:rsidRPr="00070ADE">
        <w:rPr>
          <w:rFonts w:ascii="Times New Roman" w:hAnsi="Times New Roman"/>
          <w:color w:val="000000" w:themeColor="text1"/>
          <w:sz w:val="16"/>
          <w:szCs w:val="16"/>
        </w:rPr>
        <w:softHyphen/>
        <w:t>ра. Кроме того, с набором высоты падало давление бензина, и грелась головка пятого цилиндра. Для устранения дефектов провели ряд мероприятий, но 27 мая следующий полёт на высоту 10500 м снова пришлось прекратить из-за задымления. На этот раз масло выбивалось из-под левого синхронизатора и попадало на горячие патрубки. Од</w:t>
      </w:r>
      <w:r w:rsidRPr="00070ADE">
        <w:rPr>
          <w:rFonts w:ascii="Times New Roman" w:hAnsi="Times New Roman"/>
          <w:color w:val="000000" w:themeColor="text1"/>
          <w:sz w:val="16"/>
          <w:szCs w:val="16"/>
        </w:rPr>
        <w:softHyphen/>
        <w:t>нако давление бензина при наборе высоты оставалось нормальным и при горизонталь</w:t>
      </w:r>
      <w:r w:rsidRPr="00070ADE">
        <w:rPr>
          <w:rFonts w:ascii="Times New Roman" w:hAnsi="Times New Roman"/>
          <w:color w:val="000000" w:themeColor="text1"/>
          <w:sz w:val="16"/>
          <w:szCs w:val="16"/>
        </w:rPr>
        <w:softHyphen/>
        <w:t>ных полётах не падало. Дефекты удалось устранить к концу того же дня. Правда, при контрольной гонке мотора на земле снова обнаружили масло в магнето, в результате произвели замену наддувного магнето на ненаддувное с улучшенной высотностью.</w:t>
      </w:r>
    </w:p>
    <w:p w14:paraId="3F423FCC" w14:textId="77777777" w:rsidR="00795773" w:rsidRPr="00070ADE" w:rsidRDefault="007957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нескольких дней нелётной погоды 3 июня состоялся полёт до высоты 8000 м с работающими турбокомпрессорами. Вновь падение давление бензина и высокие темпе</w:t>
      </w:r>
      <w:r w:rsidRPr="00070ADE">
        <w:rPr>
          <w:rFonts w:ascii="Times New Roman" w:hAnsi="Times New Roman"/>
          <w:color w:val="000000" w:themeColor="text1"/>
          <w:sz w:val="16"/>
          <w:szCs w:val="16"/>
        </w:rPr>
        <w:softHyphen/>
        <w:t>ратуры головок цилиндров мотора привели к прекращению полёта. На самолёте заме</w:t>
      </w:r>
      <w:r w:rsidRPr="00070ADE">
        <w:rPr>
          <w:rFonts w:ascii="Times New Roman" w:hAnsi="Times New Roman"/>
          <w:color w:val="000000" w:themeColor="text1"/>
          <w:sz w:val="16"/>
          <w:szCs w:val="16"/>
        </w:rPr>
        <w:softHyphen/>
        <w:t>нили центральный бензобак и эжекторную помпу, улучшили дефлектирование головок цилиндров и изменили боковые крышки капотов. Однако 8 июня контрольный полёт при</w:t>
      </w:r>
      <w:r w:rsidRPr="00070ADE">
        <w:rPr>
          <w:rFonts w:ascii="Times New Roman" w:hAnsi="Times New Roman"/>
          <w:color w:val="000000" w:themeColor="text1"/>
          <w:sz w:val="16"/>
          <w:szCs w:val="16"/>
        </w:rPr>
        <w:softHyphen/>
        <w:t>шлось прекратить из-за течи масла. Наконец, 11 июня 1944 г. в полёте на определение потолка на первой скорости нагнетателя с включенными турбокомпрессорами достигли высоты 11000 м. На высоте 3000 м включилась система впрыска воды, и температура го</w:t>
      </w:r>
      <w:r w:rsidRPr="00070ADE">
        <w:rPr>
          <w:rFonts w:ascii="Times New Roman" w:hAnsi="Times New Roman"/>
          <w:color w:val="000000" w:themeColor="text1"/>
          <w:sz w:val="16"/>
          <w:szCs w:val="16"/>
        </w:rPr>
        <w:softHyphen/>
        <w:t>ловок цилиндров на протяжении полёта сохранялась нормальной, на высоте 7000 м сработала система нейтрального газа, обеспечившая поддержание нормального давления бензина. Однако течь масла в соединениях мотора и высокая температура масла на вы</w:t>
      </w:r>
      <w:r w:rsidRPr="00070ADE">
        <w:rPr>
          <w:rFonts w:ascii="Times New Roman" w:hAnsi="Times New Roman"/>
          <w:color w:val="000000" w:themeColor="text1"/>
          <w:sz w:val="16"/>
          <w:szCs w:val="16"/>
        </w:rPr>
        <w:softHyphen/>
        <w:t>ходе — 90°С, привели к прекращению полёта. Для снижения температуры масла на са</w:t>
      </w:r>
      <w:r w:rsidRPr="00070ADE">
        <w:rPr>
          <w:rFonts w:ascii="Times New Roman" w:hAnsi="Times New Roman"/>
          <w:color w:val="000000" w:themeColor="text1"/>
          <w:sz w:val="16"/>
          <w:szCs w:val="16"/>
        </w:rPr>
        <w:softHyphen/>
        <w:t>молёте установили радиатор с трубкой диаметром 4 мм, вместо прежнего радиатора с трубкой 5 мм, а также приспособление для защиты радиатора от попадания масла из за- моторного пространства. 13 июня 1944 г. произвели два полёта: первый до высоты 9500 м, второй — до 4500 м, и оба пришлось прекратить из-за выброса масла из мотора. Как по</w:t>
      </w:r>
      <w:r w:rsidRPr="00070ADE">
        <w:rPr>
          <w:rFonts w:ascii="Times New Roman" w:hAnsi="Times New Roman"/>
          <w:color w:val="000000" w:themeColor="text1"/>
          <w:sz w:val="16"/>
          <w:szCs w:val="16"/>
        </w:rPr>
        <w:softHyphen/>
        <w:t>казали произведенные при участии представителя завода N9 19 испытания и осмотр, течь происходила из кольцевого уплотнения нагнетателя. Сделали однозначный вывод, что для проведения высотных полётов требуются моторы специальной сборки.</w:t>
      </w:r>
    </w:p>
    <w:p w14:paraId="6B964462" w14:textId="77777777" w:rsidR="00795773" w:rsidRPr="00070ADE" w:rsidRDefault="007957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как такие моторы завод № 19 мог изготовить лишь к 1 июля, ему дали указание отгрузить заводу № 21 два мотора обычной сборки, но с улучшенным дефлектирова- нием. К 25 июня, после установки на месте пушки дополнительного маслобака, само</w:t>
      </w:r>
      <w:r w:rsidRPr="00070ADE">
        <w:rPr>
          <w:rFonts w:ascii="Times New Roman" w:hAnsi="Times New Roman"/>
          <w:color w:val="000000" w:themeColor="text1"/>
          <w:sz w:val="16"/>
          <w:szCs w:val="16"/>
        </w:rPr>
        <w:softHyphen/>
        <w:t>лёт снова подготовили к продолжению испытаний. Во время состоявшихся 3-4 июля полётов до высоты 7800 м температура масла на входе поднялась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 помпу — агрегат № 180, и произвели отсос масла из суфлёрного бачка. Однако в кон</w:t>
      </w:r>
      <w:r w:rsidRPr="00070ADE">
        <w:rPr>
          <w:rFonts w:ascii="Times New Roman" w:hAnsi="Times New Roman"/>
          <w:color w:val="000000" w:themeColor="text1"/>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7ECA442E" w14:textId="77777777" w:rsidR="00795773" w:rsidRPr="00070ADE" w:rsidRDefault="007957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070ADE">
        <w:rPr>
          <w:rFonts w:ascii="Times New Roman" w:hAnsi="Times New Roman"/>
          <w:color w:val="000000" w:themeColor="text1"/>
          <w:sz w:val="16"/>
          <w:szCs w:val="16"/>
        </w:rPr>
        <w:softHyphen/>
        <w:t>поладок регулятора смеси. На следующий день для скорейшей отработки винтомотор</w:t>
      </w:r>
      <w:r w:rsidRPr="00070ADE">
        <w:rPr>
          <w:rFonts w:ascii="Times New Roman" w:hAnsi="Times New Roman"/>
          <w:color w:val="000000" w:themeColor="text1"/>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070ADE">
        <w:rPr>
          <w:rFonts w:ascii="Times New Roman" w:hAnsi="Times New Roman"/>
          <w:color w:val="000000" w:themeColor="text1"/>
          <w:sz w:val="16"/>
          <w:szCs w:val="16"/>
        </w:rPr>
        <w:softHyphen/>
        <w:t>них режимах его трясло. В ЛИИ лётные испытания продолжили. 21 сентября в конт</w:t>
      </w:r>
      <w:r w:rsidRPr="00070ADE">
        <w:rPr>
          <w:rFonts w:ascii="Times New Roman" w:hAnsi="Times New Roman"/>
          <w:color w:val="000000" w:themeColor="text1"/>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070ADE">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070ADE">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30A69E29" w14:textId="77777777" w:rsidR="00795773" w:rsidRPr="00070ADE" w:rsidRDefault="007957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070ADE">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070ADE">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070ADE">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070ADE">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070ADE">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070ADE">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070ADE">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070ADE">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070ADE">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070ADE">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070ADE">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070ADE">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030E51B5" w14:textId="77777777" w:rsidR="00795773" w:rsidRPr="00070ADE" w:rsidRDefault="007957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070ADE">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070ADE">
        <w:rPr>
          <w:rFonts w:ascii="Times New Roman" w:hAnsi="Times New Roman"/>
          <w:color w:val="000000" w:themeColor="text1"/>
          <w:sz w:val="16"/>
          <w:szCs w:val="16"/>
        </w:rPr>
        <w:softHyphen/>
        <w:t>жар, и на высоте 9000 м покинул самолёт (15830).</w:t>
      </w:r>
    </w:p>
    <w:p w14:paraId="576132D1" w14:textId="77777777" w:rsidR="00795773" w:rsidRPr="00070ADE" w:rsidRDefault="00795773" w:rsidP="00B56F90">
      <w:pPr>
        <w:spacing w:after="0" w:line="240" w:lineRule="auto"/>
        <w:jc w:val="both"/>
        <w:rPr>
          <w:rFonts w:ascii="Times New Roman" w:hAnsi="Times New Roman"/>
          <w:color w:val="000000" w:themeColor="text1"/>
          <w:sz w:val="16"/>
          <w:szCs w:val="16"/>
        </w:rPr>
      </w:pPr>
    </w:p>
    <w:p w14:paraId="46E760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мая 1944 В.П.Кузнецов подготовил для А.И.Ш. справку о выполнении постановления по повышению высотности самолетов по состоянию на этот день и были упомянуты МиГ-А-3 и Як-9 (1824).</w:t>
      </w:r>
    </w:p>
    <w:p w14:paraId="356496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F8F8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мая 1944 Зам. Нач. 7ГУ Алексеев подготовил сводку г-7 № 6861 о ходе испытаний высотных самолетов на 24 мая 1944 по Як-9 М-105ПД, Ла-5 АШ-82ФН и 2ТК-3, МиГ АМ-39А и 2ТК-2Б (1825).</w:t>
      </w:r>
    </w:p>
    <w:p w14:paraId="606BE1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 Высотный потребитель Як-9 с М-105ПД</w:t>
      </w:r>
    </w:p>
    <w:p w14:paraId="25AD25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находится не в летном состоянии. Мотор с самолета снят для замены на новый, который ожидается из ЦИАМ к 1 июля с.г.</w:t>
      </w:r>
    </w:p>
    <w:p w14:paraId="7E8C08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Высотный истребитель Ла-5 с АМ-82ФН и 2ТК-3</w:t>
      </w:r>
    </w:p>
    <w:p w14:paraId="5D2F64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Полеты не производились и-за неблагоприятных для высотных полетов метеорологических условий.</w:t>
      </w:r>
    </w:p>
    <w:p w14:paraId="7E2303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Высотный истребитель МИГ с АМ-39Б и 2ТК-2Б.</w:t>
      </w:r>
    </w:p>
    <w:p w14:paraId="2046D70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Продолжались работы по изготовлению узлов и деталей для установки нового улучшенного вовдухо-воздушногс радиатора (1825).</w:t>
      </w:r>
    </w:p>
    <w:p w14:paraId="58B3A8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5A77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мая 1944 г. в до</w:t>
      </w:r>
      <w:r w:rsidRPr="00070ADE">
        <w:rPr>
          <w:rFonts w:ascii="Times New Roman" w:hAnsi="Times New Roman"/>
          <w:color w:val="000000" w:themeColor="text1"/>
          <w:sz w:val="16"/>
          <w:szCs w:val="16"/>
        </w:rPr>
        <w:softHyphen/>
        <w:t>кладной записке Н.Н.П. к эскизному проекту шестиместного пассажирского самолета «Лимузин» отмечалось:</w:t>
      </w:r>
    </w:p>
    <w:p w14:paraId="4CA33E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«Проект модернизированного самолета «Лимузин» с мотором М-11Ф разрабатывался в развитии полученно</w:t>
      </w:r>
      <w:r w:rsidRPr="00070ADE">
        <w:rPr>
          <w:rFonts w:ascii="Times New Roman" w:hAnsi="Times New Roman"/>
          <w:color w:val="000000" w:themeColor="text1"/>
          <w:sz w:val="16"/>
          <w:szCs w:val="16"/>
        </w:rPr>
        <w:softHyphen/>
        <w:t>го нами задания по модификации многоцелевого легко</w:t>
      </w:r>
      <w:r w:rsidRPr="00070ADE">
        <w:rPr>
          <w:rFonts w:ascii="Times New Roman" w:hAnsi="Times New Roman"/>
          <w:color w:val="000000" w:themeColor="text1"/>
          <w:sz w:val="16"/>
          <w:szCs w:val="16"/>
        </w:rPr>
        <w:softHyphen/>
        <w:t>моторного самолета в соответствии с практикой применения самолета У-2.</w:t>
      </w:r>
    </w:p>
    <w:p w14:paraId="2D98E2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Удовлетворяя требованиям штабного самолета, «Ли</w:t>
      </w:r>
      <w:r w:rsidRPr="00070ADE">
        <w:rPr>
          <w:rFonts w:ascii="Times New Roman" w:hAnsi="Times New Roman"/>
          <w:color w:val="000000" w:themeColor="text1"/>
          <w:sz w:val="16"/>
          <w:szCs w:val="16"/>
        </w:rPr>
        <w:softHyphen/>
        <w:t>музин» в том же варианте используется как транспорт</w:t>
      </w:r>
      <w:r w:rsidRPr="00070ADE">
        <w:rPr>
          <w:rFonts w:ascii="Times New Roman" w:hAnsi="Times New Roman"/>
          <w:color w:val="000000" w:themeColor="text1"/>
          <w:sz w:val="16"/>
          <w:szCs w:val="16"/>
        </w:rPr>
        <w:softHyphen/>
        <w:t>ный и санитарный. Прочие виды военного применения могут быть осуществлены путем дополнительного несложного дооборудования без изменения конструкции и производственной технологии самолета.</w:t>
      </w:r>
    </w:p>
    <w:p w14:paraId="5D36A8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Нами предусмотрено дальнейшее усовершенствова</w:t>
      </w:r>
      <w:r w:rsidRPr="00070ADE">
        <w:rPr>
          <w:rFonts w:ascii="Times New Roman" w:hAnsi="Times New Roman"/>
          <w:color w:val="000000" w:themeColor="text1"/>
          <w:sz w:val="16"/>
          <w:szCs w:val="16"/>
        </w:rPr>
        <w:softHyphen/>
        <w:t>ние самолета «Лимузин», в частности, хотя бы в отно</w:t>
      </w:r>
      <w:r w:rsidRPr="00070ADE">
        <w:rPr>
          <w:rFonts w:ascii="Times New Roman" w:hAnsi="Times New Roman"/>
          <w:color w:val="000000" w:themeColor="text1"/>
          <w:sz w:val="16"/>
          <w:szCs w:val="16"/>
        </w:rPr>
        <w:softHyphen/>
        <w:t>шении постановки мотора более мощного, чем М-11Ф.</w:t>
      </w:r>
    </w:p>
    <w:p w14:paraId="14F22D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разработке проекта помимо военного примене</w:t>
      </w:r>
      <w:r w:rsidRPr="00070ADE">
        <w:rPr>
          <w:rFonts w:ascii="Times New Roman" w:hAnsi="Times New Roman"/>
          <w:color w:val="000000" w:themeColor="text1"/>
          <w:sz w:val="16"/>
          <w:szCs w:val="16"/>
        </w:rPr>
        <w:softHyphen/>
        <w:t>ния были особо учтены требования послевоенного вос</w:t>
      </w:r>
      <w:r w:rsidRPr="00070ADE">
        <w:rPr>
          <w:rFonts w:ascii="Times New Roman" w:hAnsi="Times New Roman"/>
          <w:color w:val="000000" w:themeColor="text1"/>
          <w:sz w:val="16"/>
          <w:szCs w:val="16"/>
        </w:rPr>
        <w:softHyphen/>
        <w:t>становительного периода мирного строительства в Советском Союзе. Значение простоты и дешевизны производства, удобства и по возможности комфортабельности в эксплуатации мы считали основными кри</w:t>
      </w:r>
      <w:r w:rsidRPr="00070ADE">
        <w:rPr>
          <w:rFonts w:ascii="Times New Roman" w:hAnsi="Times New Roman"/>
          <w:color w:val="000000" w:themeColor="text1"/>
          <w:sz w:val="16"/>
          <w:szCs w:val="16"/>
        </w:rPr>
        <w:softHyphen/>
        <w:t>териями целесообразности массового применения са</w:t>
      </w:r>
      <w:r w:rsidRPr="00070ADE">
        <w:rPr>
          <w:rFonts w:ascii="Times New Roman" w:hAnsi="Times New Roman"/>
          <w:color w:val="000000" w:themeColor="text1"/>
          <w:sz w:val="16"/>
          <w:szCs w:val="16"/>
        </w:rPr>
        <w:softHyphen/>
        <w:t>молета, модернизируемого в соответствие этому периоду».</w:t>
      </w:r>
    </w:p>
    <w:p w14:paraId="29C4642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«Лимузин» представлял собой шестиместный одно</w:t>
      </w:r>
      <w:r w:rsidRPr="00070ADE">
        <w:rPr>
          <w:rFonts w:ascii="Times New Roman" w:hAnsi="Times New Roman"/>
          <w:color w:val="000000" w:themeColor="text1"/>
          <w:sz w:val="16"/>
          <w:szCs w:val="16"/>
        </w:rPr>
        <w:softHyphen/>
        <w:t>моторный моноплан с низким расположением крыла и убирающимся шасси. Крыло однолонжеронное. Само</w:t>
      </w:r>
      <w:r w:rsidRPr="00070ADE">
        <w:rPr>
          <w:rFonts w:ascii="Times New Roman" w:hAnsi="Times New Roman"/>
          <w:color w:val="000000" w:themeColor="text1"/>
          <w:sz w:val="16"/>
          <w:szCs w:val="16"/>
        </w:rPr>
        <w:softHyphen/>
        <w:t>лет оборудовался двойным управлением. Места для шести человек располагались в два ряда. За кабиной имелось багажное отделение. Обшивка фюзеляжа - фа</w:t>
      </w:r>
      <w:r w:rsidRPr="00070ADE">
        <w:rPr>
          <w:rFonts w:ascii="Times New Roman" w:hAnsi="Times New Roman"/>
          <w:color w:val="000000" w:themeColor="text1"/>
          <w:sz w:val="16"/>
          <w:szCs w:val="16"/>
        </w:rPr>
        <w:softHyphen/>
        <w:t>нерная. Мотор - М-11Ф мощностью 140 л.с. с винтом переменного шага. Шасси убиралось ручным механиче</w:t>
      </w:r>
      <w:r w:rsidRPr="00070ADE">
        <w:rPr>
          <w:rFonts w:ascii="Times New Roman" w:hAnsi="Times New Roman"/>
          <w:color w:val="000000" w:themeColor="text1"/>
          <w:sz w:val="16"/>
          <w:szCs w:val="16"/>
        </w:rPr>
        <w:softHyphen/>
        <w:t>ским приводом, но предусматривался и пневматичес</w:t>
      </w:r>
      <w:r w:rsidRPr="00070ADE">
        <w:rPr>
          <w:rFonts w:ascii="Times New Roman" w:hAnsi="Times New Roman"/>
          <w:color w:val="000000" w:themeColor="text1"/>
          <w:sz w:val="16"/>
          <w:szCs w:val="16"/>
        </w:rPr>
        <w:softHyphen/>
        <w:t>кий механизм. Топливные баки емкостью 240 литров находились в крыле. Благодаря двойному управлению, «Лимузин» мог быть легко переделан в двухместный са</w:t>
      </w:r>
      <w:r w:rsidRPr="00070ADE">
        <w:rPr>
          <w:rFonts w:ascii="Times New Roman" w:hAnsi="Times New Roman"/>
          <w:color w:val="000000" w:themeColor="text1"/>
          <w:sz w:val="16"/>
          <w:szCs w:val="16"/>
        </w:rPr>
        <w:softHyphen/>
        <w:t>молет первоначального обучения. Полетный вес самолета составлял 1375 кг, максималь</w:t>
      </w:r>
      <w:r w:rsidRPr="00070ADE">
        <w:rPr>
          <w:rFonts w:ascii="Times New Roman" w:hAnsi="Times New Roman"/>
          <w:color w:val="000000" w:themeColor="text1"/>
          <w:sz w:val="16"/>
          <w:szCs w:val="16"/>
        </w:rPr>
        <w:softHyphen/>
        <w:t>ный - 1483 кг, при этом вес пустого был равен 798 кг. По расчетам «Лимузин» имел у земли максимальную ско</w:t>
      </w:r>
      <w:r w:rsidRPr="00070ADE">
        <w:rPr>
          <w:rFonts w:ascii="Times New Roman" w:hAnsi="Times New Roman"/>
          <w:color w:val="000000" w:themeColor="text1"/>
          <w:sz w:val="16"/>
          <w:szCs w:val="16"/>
        </w:rPr>
        <w:softHyphen/>
        <w:t>рость 248 км/ч, экономическую - 195 км/ч. Посадочная скорость была небольшой - 86 км/ч. Практический пото</w:t>
      </w:r>
      <w:r w:rsidRPr="00070ADE">
        <w:rPr>
          <w:rFonts w:ascii="Times New Roman" w:hAnsi="Times New Roman"/>
          <w:color w:val="000000" w:themeColor="text1"/>
          <w:sz w:val="16"/>
          <w:szCs w:val="16"/>
        </w:rPr>
        <w:softHyphen/>
        <w:t>лок - 3750 м. Дальность при нормальной нагрузке равня</w:t>
      </w:r>
      <w:r w:rsidRPr="00070ADE">
        <w:rPr>
          <w:rFonts w:ascii="Times New Roman" w:hAnsi="Times New Roman"/>
          <w:color w:val="000000" w:themeColor="text1"/>
          <w:sz w:val="16"/>
          <w:szCs w:val="16"/>
        </w:rPr>
        <w:softHyphen/>
        <w:t>лась 800 км, а при полных баках - 1700 км. Самолет перевозил нагрузку до 577 кг. Весовая отдача, как характе</w:t>
      </w:r>
      <w:r w:rsidRPr="00070ADE">
        <w:rPr>
          <w:rFonts w:ascii="Times New Roman" w:hAnsi="Times New Roman"/>
          <w:color w:val="000000" w:themeColor="text1"/>
          <w:sz w:val="16"/>
          <w:szCs w:val="16"/>
        </w:rPr>
        <w:softHyphen/>
        <w:t>ристика весового совершенства конструкции, была отно</w:t>
      </w:r>
      <w:r w:rsidRPr="00070ADE">
        <w:rPr>
          <w:rFonts w:ascii="Times New Roman" w:hAnsi="Times New Roman"/>
          <w:color w:val="000000" w:themeColor="text1"/>
          <w:sz w:val="16"/>
          <w:szCs w:val="16"/>
        </w:rPr>
        <w:softHyphen/>
        <w:t>сительно большой - 42%. «Лимузин» имел размах 11,5 м при площади крыла 18 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 длину 8,54 м и неплохие взлетно-посадочные характеристики: разбег 330 м, пробег 125 м, взлетную дистанцию 560 м. Были выпущены чертежи, построен и одобрен макет самолета, началось изготовление отдельных узлов и аг</w:t>
      </w:r>
      <w:r w:rsidRPr="00070ADE">
        <w:rPr>
          <w:rFonts w:ascii="Times New Roman" w:hAnsi="Times New Roman"/>
          <w:color w:val="000000" w:themeColor="text1"/>
          <w:sz w:val="16"/>
          <w:szCs w:val="16"/>
        </w:rPr>
        <w:softHyphen/>
        <w:t>регатов. Но в сентябре 1944 г. все работы по машине прекратились (10667).</w:t>
      </w:r>
    </w:p>
    <w:p w14:paraId="6E429A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EB4890" w14:textId="77777777" w:rsidR="00AD443E" w:rsidRPr="00C94B78" w:rsidRDefault="00AD4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25 мая 1944 г. Н.Н.П. были подписаны Докладная записка к эскизному проекту и чертежи пассажирского самолета «Лимузин». В ней отмечалось:</w:t>
      </w:r>
    </w:p>
    <w:p w14:paraId="584B8AD6" w14:textId="77777777" w:rsidR="00AD443E" w:rsidRPr="00C94B78" w:rsidRDefault="00AD4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xml:space="preserve">«Проект модернизированного самолета «Лимузин» с мотором М-11Ф разрабатывался в развитии полученного нами задания по модификации многоцелевого легкомоторного самолета в соответствии с практикой применения самолета У-2. </w:t>
      </w:r>
    </w:p>
    <w:p w14:paraId="651A1B5E" w14:textId="77777777" w:rsidR="00AD443E" w:rsidRPr="00C94B78" w:rsidRDefault="00AD4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xml:space="preserve">Удовлетворяя требованиям штабного самолета, «Лимузин» в том же варианте используется как транспортный и санитарный. Прочие виды военного применения могут быть осуществлены путем дополнительного несложного дооборудования без изменения конструкции и производственной технологии самолета. </w:t>
      </w:r>
    </w:p>
    <w:p w14:paraId="3598C701" w14:textId="77777777" w:rsidR="00AD443E" w:rsidRPr="00C94B78" w:rsidRDefault="00AD4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xml:space="preserve">Нами предусмотрено дальнейшее усовершенствование самолета «Лимузин», в частности хотя бы в отношении постановки мотора более мощного, чем М-11Ф. </w:t>
      </w:r>
    </w:p>
    <w:p w14:paraId="411753BF" w14:textId="77777777" w:rsidR="00AD443E" w:rsidRPr="00C94B78" w:rsidRDefault="00AD4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xml:space="preserve">При разработке проекта помимо военного применения были особо учтены требования послевоенного восстановительного периода мирного строительства в Советском Союзе. Значение простоты и дешевизны производства, удобства и по возможности комфортабельности в эксплуатации мы считали основными критериями целесообразности массового применения самолета, модернизируемого в соответствии этому периоду». </w:t>
      </w:r>
    </w:p>
    <w:p w14:paraId="36F48CD2" w14:textId="77777777" w:rsidR="00AD443E" w:rsidRPr="00C94B78" w:rsidRDefault="00AD4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Самолет «Лимузин» представлял собой б-местный одномоторный моноплан с низким расположением крыла и убирающимся шасси. Крыло однолонжеронное. Самолет оборудован двойным управлением. Места для 6 человек расположены в два ряда. За кабиной расположено багажное отделение. Обшивка фюзеляжа фанерная. Мотор М-11Ф мощностью 140 л.с. с винтом переменного шага. Топливные баки емкостью 240 л расположены в крыле. Благодаря двойному управлению «Лимузин» мог быть легко переделан в двухместный самолет первоначального обучения.</w:t>
      </w:r>
    </w:p>
    <w:p w14:paraId="5ECB243C" w14:textId="77777777" w:rsidR="00AD443E" w:rsidRPr="00C94B78" w:rsidRDefault="00AD4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Шасси убиралось ручным механическим приводом, но был предусмотрен и пневматический механизм.</w:t>
      </w:r>
    </w:p>
    <w:p w14:paraId="323A0ABB" w14:textId="77777777" w:rsidR="00AD443E" w:rsidRPr="00C94B78" w:rsidRDefault="00AD4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Полетный вес самолета составлял 1375 кг, максимальный — 1483 кг, при этом вес пустого был равен 798 к г.</w:t>
      </w:r>
    </w:p>
    <w:p w14:paraId="77BA8837" w14:textId="77777777" w:rsidR="00AD443E" w:rsidRPr="00C94B78" w:rsidRDefault="00AD4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двигателем М-11 Ф «Лимузин» имел у земли максимальную скорость 248 км/ч, экономическую — 195 км/ч. Посадочная скорость была небольшой — 86 км/ч. Практический потолок — 3750 м.</w:t>
      </w:r>
    </w:p>
    <w:p w14:paraId="4A088F7B" w14:textId="77777777" w:rsidR="00AD443E" w:rsidRPr="00C94B78" w:rsidRDefault="00AD4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Дальность при нормальной нагрузке равнялась 800 км, а при полных баках — 1700 км. Самолет перевозил максимальную нагрузку до 577 к г.</w:t>
      </w:r>
    </w:p>
    <w:p w14:paraId="457531EF" w14:textId="77777777" w:rsidR="00AD443E" w:rsidRPr="00C94B78" w:rsidRDefault="00AD4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Весовая отдача, как характеристика весового совершенства конструкции, была относительно большой — 42 %.</w:t>
      </w:r>
    </w:p>
    <w:p w14:paraId="3C0965E8" w14:textId="77777777" w:rsidR="00AD443E" w:rsidRPr="00C94B78" w:rsidRDefault="00AD4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«Лимузин» имел размах 11,5 м при площади крыла 18 кв. м, длину — 8,54 м и неплохие взлетно-посадочные характеристики: разбег — 330 м, пробег — 125 м, длина взлетной дистанции 560 м.</w:t>
      </w:r>
    </w:p>
    <w:p w14:paraId="4F974514" w14:textId="77777777" w:rsidR="00AD443E" w:rsidRPr="00C94B78" w:rsidRDefault="00AD4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Были выпущены чертежи, построен и одобрен макет самолета, началось изготовление отдельных узлов и агрегатов.</w:t>
      </w:r>
    </w:p>
    <w:p w14:paraId="7941FB43" w14:textId="77777777" w:rsidR="00AD443E" w:rsidRPr="00C94B78" w:rsidRDefault="00AD4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Все работы по перспективной машине прекратились в сентябре 1944 г. (25035).</w:t>
      </w:r>
    </w:p>
    <w:p w14:paraId="735121DD" w14:textId="77777777" w:rsidR="00AD443E" w:rsidRPr="00C94B78" w:rsidRDefault="00AD443E" w:rsidP="00B56F90">
      <w:pPr>
        <w:spacing w:after="0" w:line="240" w:lineRule="auto"/>
        <w:jc w:val="both"/>
        <w:rPr>
          <w:rFonts w:ascii="Times New Roman" w:hAnsi="Times New Roman"/>
          <w:color w:val="0070C0"/>
          <w:sz w:val="16"/>
          <w:szCs w:val="16"/>
        </w:rPr>
      </w:pPr>
    </w:p>
    <w:p w14:paraId="73FBB5C3" w14:textId="77777777" w:rsidR="00967B6E" w:rsidRPr="00C94B78" w:rsidRDefault="00967B6E"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25 мая 1944 г. из США стартовала первая группа гидро</w:t>
      </w:r>
      <w:r w:rsidRPr="00C94B78">
        <w:rPr>
          <w:rStyle w:val="aff1"/>
          <w:rFonts w:ascii="Times New Roman" w:hAnsi="Times New Roman" w:cs="Times New Roman"/>
          <w:color w:val="0070C0"/>
          <w:spacing w:val="0"/>
          <w:sz w:val="16"/>
          <w:szCs w:val="16"/>
        </w:rPr>
        <w:softHyphen/>
        <w:t>самолётов под командованием полковника В.II. Васильева. Но её маршрут был проложен туда, где «Каталины» больше всего были нужны па Север. Он пролегал через Тандер (о. Ньюфаундленд), Рейкьявик (Исландия) до Мурманска. Его протяжённость составляла 4500 миль, а расчётное время полёта на скорости 185 км/час - 45 часов. В соответствии с достигнутой договорённостью на каждой летающей лодке находились английские пилот (он же выполнял обязанности штурмана) и радист. Взлёт и посадку производили советские лётчики, а разрешение па посадку, как на основных, так и па запасных аэродромах, оставалось за английскими пилотами. Они также определяли порядок пробивания облачности и использования радиосредств. Это было справедливо, так как некоторые из них пересекали Атлантический океан по 50 и более раз. Большая часть северного маршрута прохо</w:t>
      </w:r>
      <w:r w:rsidRPr="00C94B78">
        <w:rPr>
          <w:rStyle w:val="aff1"/>
          <w:rFonts w:ascii="Times New Roman" w:hAnsi="Times New Roman" w:cs="Times New Roman"/>
          <w:color w:val="0070C0"/>
          <w:spacing w:val="0"/>
          <w:sz w:val="16"/>
          <w:szCs w:val="16"/>
        </w:rPr>
        <w:softHyphen/>
        <w:t>дила в сложных метеоусловиях, и не исключались встречи с немецкими истребителями. При этом наиболее сложным считался отрезок Рейкьявик- Мурманск протяжённостью более 1000 миль, который занимал от 15 до22 часов полёта, что зависело от скорости и направления ветра. Именно на нём и пропал без вести самолёт командира особой группы В.И. Васильева. Его поиски, проводившиеся советскими и английскими экипажами в период с 18 по 28 июня, оказа</w:t>
      </w:r>
      <w:r w:rsidRPr="00C94B78">
        <w:rPr>
          <w:rStyle w:val="aff1"/>
          <w:rFonts w:ascii="Times New Roman" w:hAnsi="Times New Roman" w:cs="Times New Roman"/>
          <w:color w:val="0070C0"/>
          <w:spacing w:val="0"/>
          <w:sz w:val="16"/>
          <w:szCs w:val="16"/>
        </w:rPr>
        <w:softHyphen/>
        <w:t>лись безрезультатными. В итоге была принята версия о том, что эта «Каталина» была сбита немецкими истребителями, либо она уклонилась в сторону и столкнулась с горами на побережье Норвегии. За исключением данной потерн, пер</w:t>
      </w:r>
      <w:r w:rsidRPr="00C94B78">
        <w:rPr>
          <w:rStyle w:val="aff1"/>
          <w:rFonts w:ascii="Times New Roman" w:hAnsi="Times New Roman" w:cs="Times New Roman"/>
          <w:color w:val="0070C0"/>
          <w:spacing w:val="0"/>
          <w:sz w:val="16"/>
          <w:szCs w:val="16"/>
        </w:rPr>
        <w:softHyphen/>
        <w:t>вая партия гидросамолётов ПБН-1 успешно приводнилась в Мурманске. По участникам труднейшего перелёта было не до отдыха, они буквально сразу же отправились в обрат</w:t>
      </w:r>
      <w:r w:rsidRPr="00C94B78">
        <w:rPr>
          <w:rStyle w:val="aff1"/>
          <w:rFonts w:ascii="Times New Roman" w:hAnsi="Times New Roman" w:cs="Times New Roman"/>
          <w:color w:val="0070C0"/>
          <w:spacing w:val="0"/>
          <w:sz w:val="16"/>
          <w:szCs w:val="16"/>
        </w:rPr>
        <w:softHyphen/>
        <w:t>ный путь за следующей партией «Каталин», которую также пригнали по северному маршруту. Всего до 26 июля 1944 г. па Северный флот было доставлено 47 летающих лодок. К атому времени союзники наконец-то открыли долгождан</w:t>
      </w:r>
      <w:r w:rsidRPr="00C94B78">
        <w:rPr>
          <w:rStyle w:val="aff1"/>
          <w:rFonts w:ascii="Times New Roman" w:hAnsi="Times New Roman" w:cs="Times New Roman"/>
          <w:color w:val="0070C0"/>
          <w:spacing w:val="0"/>
          <w:sz w:val="16"/>
          <w:szCs w:val="16"/>
        </w:rPr>
        <w:softHyphen/>
        <w:t>ный второй фронт в Европе.</w:t>
      </w:r>
    </w:p>
    <w:p w14:paraId="1A78DFF8" w14:textId="77777777" w:rsidR="00967B6E" w:rsidRPr="00C94B78" w:rsidRDefault="00967B6E"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период с 25 августа по 11 сентября 1944 г. тихоокеанцы привели в СССР третью группу из 30 гидросамолётов. Они освоили восточный маршрут: Элизабет-Сити-Новый Орлеан- Сан-Диего-Сап-Франциско-Сиэтл-о. Кадьяк (Аляска)-Авадырь- Магадан Николасвск-б. Суходол (Приморский край).</w:t>
      </w:r>
    </w:p>
    <w:p w14:paraId="2A34F6C0" w14:textId="77777777" w:rsidR="00967B6E" w:rsidRPr="00C94B78" w:rsidRDefault="00967B6E"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 xml:space="preserve"> (25653).</w:t>
      </w:r>
    </w:p>
    <w:p w14:paraId="4CEAEC6E" w14:textId="77777777" w:rsidR="00967B6E" w:rsidRPr="00C94B78" w:rsidRDefault="00967B6E" w:rsidP="00B56F90">
      <w:pPr>
        <w:spacing w:after="0" w:line="240" w:lineRule="auto"/>
        <w:jc w:val="both"/>
        <w:rPr>
          <w:rFonts w:ascii="Times New Roman" w:hAnsi="Times New Roman"/>
          <w:color w:val="0070C0"/>
          <w:sz w:val="16"/>
          <w:szCs w:val="16"/>
        </w:rPr>
      </w:pPr>
    </w:p>
    <w:p w14:paraId="0C3BC5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мая 1944 в НИИ ВВС на а Чкаловская закончились испытания облегченного - FW-190D-9 N 210251, которые проводились с 11 мая 1944. Ви В.О.Мельников, вл В.Е.Голофастов, а облетывали А.Г.Кочетков, А.Г.Прошаков, Л.М.Кувшинов, В.Г.Масич. Провели воздушный бой с 63 - СДБ А.Н.Т. - мог атаковать только сзади. Бой с Ла-7 показал преимущества Ла-7 (1145,20).</w:t>
      </w:r>
    </w:p>
    <w:p w14:paraId="6C0E3E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8BE7A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743FA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13C47E" w14:textId="77777777" w:rsidR="00AD443E" w:rsidRPr="00C94B78" w:rsidRDefault="00AD4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25 мая 1944 г. вышел объединенный приказ по НКТП, ГБТУ КА и ГАУ КА №349с/253с/093/06 «Об изготовлении улучшенных образцов танка «ИС» с 100 мм пушкой Д-10Т и самоходной артиллерийской установкой СУ-100 с 100 мм пушкой Д-10С». Согласно ему, к 25 июня завод №9 изготавливал улучшенные образцы орудий Д-10Т и Д-10С. Орудие Д-10Т отправлялось на завод №100, где монтировалось на танк. Заводу №100 предписывалось к 15 июля отправить ИС-2 с орудием Д-10Т на Гороховецкий АНИОП. Новый танк строить не стали, а доработали всё тот же Объект 245.</w:t>
      </w:r>
    </w:p>
    <w:p w14:paraId="73660065" w14:textId="77777777" w:rsidR="00AD443E" w:rsidRPr="00C94B78" w:rsidRDefault="00AD443E"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ходе испытаний выяснилось, что максимальная скорострельность Д-10Т составила 8 выстрелов в минуту. Также признали возможной вести огонь по неподвижным целям с хода, при этом скорострельность составила 3-5 выстрелов в минуту. Эффективной оказалась стрельба по подвижным целям с места. При этом отмечалось, что вести корректировку огня затруднительно в виду большого облака пороховых газов и пыли. Таким образом, отсутствие дульного тормоза не являлось столь уж большим преимуществом 100-мм орудий перед Д-25Т. Также отмечалось, что усилия на маховике подъемного механизма достигала 8-16 кг, в то время как нормой являлось 5-6 кг. Полуавтоматика функционировала лучше, чем ранее, тем не менее, работала она чересчур резко. Несмотря на указанные недостатки, комиссия признала Д-10Т более доработанной, чем образец, который испытывали ранее. (25648).</w:t>
      </w:r>
    </w:p>
    <w:p w14:paraId="2B2A0EBD" w14:textId="77777777" w:rsidR="00AD443E" w:rsidRPr="00C94B78" w:rsidRDefault="00AD443E" w:rsidP="00B56F90">
      <w:pPr>
        <w:spacing w:after="0" w:line="240" w:lineRule="auto"/>
        <w:jc w:val="both"/>
        <w:rPr>
          <w:rFonts w:ascii="Times New Roman" w:hAnsi="Times New Roman"/>
          <w:color w:val="0070C0"/>
          <w:sz w:val="16"/>
          <w:szCs w:val="16"/>
        </w:rPr>
      </w:pPr>
    </w:p>
    <w:p w14:paraId="55FA00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25 мая 1944 г. была подготовлена ДОКЛАДНАЯ ЗАПИСКА НАЧАЛЬНИКА ТАНКОВОГО УПРАВЛЕНИЯ ГБТУ КА НАЧАЛЬНИКУ УФиУ ГУФ и БП БТ и МВ КА О СНАБЖЕНИИ ОГНЕМЕТНЫХ ТАНКОВЫХ ЧАСТЕЙ ПАТРОНАМИ К ОГНЕМЕТУ № 522326</w:t>
      </w:r>
    </w:p>
    <w:p w14:paraId="72F095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Огнеметные танки Т-О34 выпускаются небольшими партиями (70 — 75 шт. в месяц), поэтому обеспечение патронами к огнемету АТО-42 действующих и формируемых огнеметных танковых частей не может быть организовано по линии артиллерийского снабжения.</w:t>
      </w:r>
    </w:p>
    <w:p w14:paraId="129963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обстоятельство вынуждает ТУ ГБТУ КА удовлетворять заявки действующих и формируемых огнеметных танковых частей, доставляя патроны к АТО-42 из г. Горького и г. Казани на автомашинах.</w:t>
      </w:r>
    </w:p>
    <w:p w14:paraId="219797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целью сокращения перевозок бесперебойного снабжения огнеметных танковых частей про</w:t>
      </w:r>
      <w:r w:rsidRPr="00070ADE">
        <w:rPr>
          <w:rFonts w:ascii="Times New Roman" w:hAnsi="Times New Roman"/>
          <w:color w:val="000000" w:themeColor="text1"/>
          <w:sz w:val="16"/>
          <w:szCs w:val="16"/>
        </w:rPr>
        <w:softHyphen/>
        <w:t>щу Вашего указания Московскому БТ центру принять на хранение 1—2 вагона патронов к АТО-42 и выдавать их по распоряжению ТУ ГБТУ КА.</w:t>
      </w:r>
    </w:p>
    <w:p w14:paraId="4FA780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ТУ ГБТУ КА генерал-майор инженерно-танковой службы Афонин</w:t>
      </w:r>
    </w:p>
    <w:p w14:paraId="6807A5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1 отдела ТУ ГБТУ КА инженер-подполковник Егоров</w:t>
      </w:r>
    </w:p>
    <w:p w14:paraId="087766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Он, 11355. Д. 2195. Л. 21 (11420).</w:t>
      </w:r>
    </w:p>
    <w:p w14:paraId="6796A3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8FB50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мая 1944 г. была подготовлена ИНФОРМАЦИЯ НАЧАЛЬНИКА 2-го УПРАВЛЕНИЯ ТРУ НАЧАЛЬНИКУ ШТАБА БТ и МВ КА О НОВОЙ ОБМАЗКЕ НЕМЕЦКИХ ТАНКОВ № 307079</w:t>
      </w:r>
    </w:p>
    <w:p w14:paraId="7C451E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процессе работы с военнопленными выявлен новый состав обмазки, которым, якобы, покры</w:t>
      </w:r>
      <w:r w:rsidRPr="00070ADE">
        <w:rPr>
          <w:rFonts w:ascii="Times New Roman" w:hAnsi="Times New Roman"/>
          <w:color w:val="000000" w:themeColor="text1"/>
          <w:sz w:val="16"/>
          <w:szCs w:val="16"/>
        </w:rPr>
        <w:softHyphen/>
        <w:t>вается большинство немецких танков, оперирующих на фронте. Обмазка состоит из целлюлозы, растворенной в ацетоне, и носит название «целлюлозный лак». При наложении на броню «целлю</w:t>
      </w:r>
      <w:r w:rsidRPr="00070ADE">
        <w:rPr>
          <w:rFonts w:ascii="Times New Roman" w:hAnsi="Times New Roman"/>
          <w:color w:val="000000" w:themeColor="text1"/>
          <w:sz w:val="16"/>
          <w:szCs w:val="16"/>
        </w:rPr>
        <w:softHyphen/>
        <w:t>лозный лак» разводится в обработанном бензине.</w:t>
      </w:r>
    </w:p>
    <w:p w14:paraId="02B59D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Обмазка имеет двойное назначение:</w:t>
      </w:r>
    </w:p>
    <w:p w14:paraId="0C6322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Для маскировки.</w:t>
      </w:r>
    </w:p>
    <w:p w14:paraId="521E0C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Для предохранения танков от магнитных мин.</w:t>
      </w:r>
    </w:p>
    <w:p w14:paraId="65DA97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танков этой же обмазкой немцы покрывают самолеты и другие виды вооружения.</w:t>
      </w:r>
    </w:p>
    <w:p w14:paraId="0DF68B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Обмазка, имея в своем составе целлюлозу, предупреждает соприкосновение магнитной мины с танком, а этим самым и ее взрыв. Однако она не может оказать противодействия русским минам с резиновой оболочкой.</w:t>
      </w:r>
    </w:p>
    <w:p w14:paraId="466381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последнее время на восточном фронте появились танки, окрашенные в желтый цвет, но состав обмазки, оказывается, они имеют тот же самый. Дело в том, что эти танки, якобы, предназначались для военных действий в Африке, в песках, но направлены были на русский фронт.</w:t>
      </w:r>
    </w:p>
    <w:p w14:paraId="7273B8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д. начальника 2 управления Г'РУ КА генерал-майор Скрынник</w:t>
      </w:r>
    </w:p>
    <w:p w14:paraId="5C78CAE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11353. Д. 612. Л. 33. Подлинник (11420).</w:t>
      </w:r>
    </w:p>
    <w:p w14:paraId="210BFA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3893B0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мая 1944 поздней ночью на заводе № 75 в Харькове собрали первый артиллерийский тягач А-45 - Новый Ворошиловец. На следующий день начали испытания пробегом сначала без нагрузки, а затем - с нагрузкой (7382).</w:t>
      </w:r>
    </w:p>
    <w:p w14:paraId="22AB767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EC2F5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мая 1944 года вышел приказ № 284сс НКБ</w:t>
      </w:r>
    </w:p>
    <w:p w14:paraId="4DE0BEF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распоряжением СНК от 24 мая 1944 года № 11260-рс:</w:t>
      </w:r>
    </w:p>
    <w:p w14:paraId="420C24C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Присвоить № 504 Первому механическому заводу Наркомцветмета (Москва), переданному в ведение НКБ (5820, 12).</w:t>
      </w:r>
    </w:p>
    <w:p w14:paraId="66EC1F4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7945C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мая 1944 вышло Распоряжение ГКО № 5955 [О перевозке в Москву 40 тыс. куб. м пиломатериалов для спецукупорки из Архангельска водным путем.] (7236, 1-2).</w:t>
      </w:r>
    </w:p>
    <w:p w14:paraId="4676D2B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7E6D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мая 1944 вышло Распоряжение ГКО № 5955. О перевозке в Москву 40 тыс. куб.м пиломатериалов для спецукупорки из Архангельска водным путем. РГАНИР, Фонд ГКО, д. 257, лл. 1-2 (11012).</w:t>
      </w:r>
    </w:p>
    <w:p w14:paraId="284647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B21B7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мая 1944 вышло Распоряжение ГКО № 5956. Об увеличении производства красителей для сигнальных и осветительных средств. РГАНИР, Фонд ГКО, д. 257, лл. 3-4,5-8 (11012).</w:t>
      </w:r>
    </w:p>
    <w:p w14:paraId="478FAF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E554A89" w14:textId="6C363288"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мая 1944 г. на месте эвакуированного завода № 346 НКСП был создан Завод № 457 ИМ. В. М. Молотова НКСП, МСП, п/я 604, Завод, ПО «Знамя Октября» МСП, Государственное машиностроительное предприятие (ГМП) «Знамя Октября», АООТ «Армалнт», ОАО «Армалит-1» / г. Ленинград/ /198097</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Санкт-Петербург ул. Трефолева, 2/. С 1946 г. завод специализировался на выпуске запорных клапанов, задвижек, кранов для трубопроводов.</w:t>
      </w:r>
    </w:p>
    <w:p w14:paraId="59194D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1957 г. - в ведении Управления судостроительной промышленности ЛенСНХ. В 1960-66 г. завод имел наименование «п/я 604». Пост. ЛенСНХ от 10.02.1964 г. на базе завода как головного предприятия создано Ленинградское объединение арматурных заводов «Ленарматура» им. Лепсе, в состав которого вошли также Завод им. Лепсе, «Знамя труда», Литейно-механический завод и ЦКБ арматуростроения.</w:t>
      </w:r>
    </w:p>
    <w:p w14:paraId="3AADB9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Объединение выпускало арматуру, чугунное, стальное и цветное литье, штамповки и поковки, запчасти для сельского хозяйства, ТНП.</w:t>
      </w:r>
    </w:p>
    <w:p w14:paraId="35A3CC7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01.1966 г. завод вновь передан в ведение МСП, с 1.07.1966 г. переименован в завод «Знамя Октября». Начато освоение производства арматуры и автоматических дистанционно-управляемых исполнительных механизмов (АДУИМ) для кораблей ВМФ и атомного флота.</w:t>
      </w:r>
    </w:p>
    <w:p w14:paraId="67E751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24.04.1973 г. образовано НПО «Знамя Октября», в которое вошли завод и ЦКБ судовой арматуры.</w:t>
      </w:r>
    </w:p>
    <w:p w14:paraId="301E95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Были построены новые цветно-литейный, механо-сборочный и гальванический цехи, стендовое хозяйство. Внедрена система комплексной механизации и автоматизации производства. Были созданы гибкие переменно- поточные линии типовых групп деталей. В механических цехах работало 116 станков с ЧПУ и 10 обрабатывающих центров. Было освоено производство новых сплавов, наплавок; внедрены новые способы получения отливок (в т.ч. титановых): оболочковое литье, с применением холоднотвердеющих смесей, получение расплавов металлов в индукционных печах, горячая объемная штамповка. Объединение стало базовым по изготовлению литых и штампованных заготовок.</w:t>
      </w:r>
    </w:p>
    <w:p w14:paraId="2063E202" w14:textId="2E6D1C19"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1980-е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были разработаны и изготовлены пусковые клапаны для паропроводов катапульт авианесущих кораблей (массой по 700 кг).</w:t>
      </w:r>
    </w:p>
    <w:p w14:paraId="32E238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29.11.1991 г. завод вышел из состава объединения и получил наименование «ГМП «Знамя Октября». 12.10.1993 г. завод был акционирован и преобразован в АООТ «Армалит». В 1999 г. переименовано в ОАО «Армалит-1».</w:t>
      </w:r>
    </w:p>
    <w:p w14:paraId="2BABB9AB" w14:textId="49F0BC7F"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1990-е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продолжен выпуск судовой арматуры, литых и штампованных заготовок, освоен выпуск изделий для газового и городского хозяйства, энергетики.</w:t>
      </w:r>
    </w:p>
    <w:p w14:paraId="75FEB0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Гендиректор (2007 г.)- А.В. Кузнецов (11982).</w:t>
      </w:r>
    </w:p>
    <w:p w14:paraId="46D8818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AEEB52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32A82B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A34062"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25 мая</w:t>
      </w:r>
      <w:r w:rsidRPr="00070ADE">
        <w:rPr>
          <w:rFonts w:ascii="Times New Roman" w:hAnsi="Times New Roman"/>
          <w:color w:val="000000" w:themeColor="text1"/>
          <w:sz w:val="16"/>
          <w:szCs w:val="16"/>
        </w:rPr>
        <w:t xml:space="preserve"> в 1944 году оперативная сводка Совинформбюро:</w:t>
      </w:r>
    </w:p>
    <w:p w14:paraId="29E9F56D"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25 мая на фронтах существенных изменений не произошло.</w:t>
      </w:r>
    </w:p>
    <w:p w14:paraId="0F7919F6"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24 мая в воздушных боях и огнём зенитной артиллерии сбито 17 самолётов противника.»</w:t>
      </w:r>
    </w:p>
    <w:p w14:paraId="33E5B128"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Удар нашей авиации по транспортам противника в Финском заливе:</w:t>
      </w:r>
    </w:p>
    <w:p w14:paraId="0DCA2D9E"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25 мая авиация Краснознамённого Балтийского флота обнаружила вФинском заливе два немецких транспорта: один транспорт водоизмещением в 4 тысячитонн и другой водоизмещением в 3 тысячи тонн. Наши лётчики атаковали и потопили оба транспорта противника.»</w:t>
      </w:r>
    </w:p>
    <w:p w14:paraId="2044B0F6"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немцы на ряде участков пытались вести разведку боем. Наши подразделения, отражая атаки противника, уничтожили более 200 немецких солдат и офицеров. Взяты пленные. Гвардии рядовой Непокрытый, выдвинувшись вперёд, уничтожил из автомата 12 гитлеровцев. Затем он ворвался в немецкий блиндаж и гранатами истребил ещё нескольких вражеских солдат и офицеров. Рядовой Барсук из винтовки убил 5 немцев. Бойцы тт. Байдевич и Павлуцкий в первый раз находились в боевом охранении. Поздно ночью они заметили приближавшихся к ним двух немцев. Советские бойцы обезоружили вражеских разведчиков и взяли их в плен.</w:t>
      </w:r>
    </w:p>
    <w:p w14:paraId="06458771"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Витебск группа разведчиков под командованием лейтенанта Разорвина совершила ночную вылазку в расположение противника. Под прикрытием огневой завесы, созданной нашей артиллерией, советские бойцы ворвались в немецкие траншеи и истребили свыше 60 гитлеровцев. Выполнив задание и захватив трофеи, разведчики вернулись в свою часть. Гвардии старшина Илья Григорьев завремя войны уничтожил много немецких солдат и офицеров. Тов. Григорьев сейчас командует снайперским подразделением. За один месяц молодые снайперы этого подразделения уничтожили свыше 200 гитлеровцев.</w:t>
      </w:r>
    </w:p>
    <w:p w14:paraId="3469A4C3"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города Мозырь отряд немцев ночью переправился через водный рубеж. Бойцы Н-ской части внезапно атаковали противника и в рукопашной схватке истребили 40 гитлеровцев. Несколько немцев пустились вплавь через реку, но были обстреляны советскими бойцами и утонули.</w:t>
      </w:r>
    </w:p>
    <w:p w14:paraId="53E294D8"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Белорусский партизанский отряд «Мститель», действующий в Минской области, пустил под откос немецкий воинский эшелон. В результате крушения взорвались вагоны со снарядами и загорелись три цистерны с бензином. Прибывшая к месту катастрофы аварийная команда извлекла из-под обломков вагонов около ста </w:t>
      </w:r>
      <w:r w:rsidRPr="00070ADE">
        <w:rPr>
          <w:rFonts w:ascii="Times New Roman" w:hAnsi="Times New Roman"/>
          <w:color w:val="000000" w:themeColor="text1"/>
          <w:sz w:val="16"/>
          <w:szCs w:val="16"/>
        </w:rPr>
        <w:lastRenderedPageBreak/>
        <w:t>обгоревших трупов немецких солдат и офицеров. Белостокский партизанский отряд «Боевой» за две недели мая пустил под откос 13 воинских эшелонов противника. Разбито несколько паровозов и свыше 90 вагонов с различными военными грузами.</w:t>
      </w:r>
    </w:p>
    <w:p w14:paraId="367511AA"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 Украинском фронте на сторону Красной Армии перешли 23 солдата 85 полка 1 румынской пехотной дивизии. Все перебежчики принесли с собой своё оружие и сдали его нашим бойцам. Румынский солдат Константин П. рассказал: «Для нас совершенно ясно, что Германия проиграла войну. Румынам не приходится жалеть об этом. Наоборот, мы будем довольны таким исходом. Наш народ избавится от немцев, наводнивших Румынию, и вздохнёт свободно. Румынские солдаты мечтают о мире. Есть немало солдат, которые хотят сдаться в плен, но вокруг нас много немцев. Специальные подразделения немецких автоматчиков стерегут румын и следят за ними. В апреле, когда один полк нашей дивизии отступал под напором русских, немцы открыли огонь и убили много румынских солдат. Несмотря на слежку, организованную немцами, мы всё же ушли из части и благополучно добрались до русских позиций».</w:t>
      </w:r>
    </w:p>
    <w:p w14:paraId="44336F83"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На-днях в городе Эршекуйвар (Венгрия) с речью выступил венгерский «министр» внутренних дел Ярош. Он разразился бранью и угрозами по адресу своих соотечественников, поднимающихся на борьбу против немецких оккупантов. «Тем, кто сопротивляется,— заявил Ярош, — я дам понять, что означает воинская дисциплина». Далее венгерский подручный Гитлера изрёк: «Кто стремится к славе, кто хочет лавровых венков, тот может найти их по ту сторону Карпатских гор». Однако венгерские солдаты нынче не падки на лавровые венки. Они знают, что всякий, кто в сообщничестве с немцами гонится за призрачными лаврами на советско-германском фронте, найдёт лишь позорную смерть. Будапештские наймиты Гитлера насильно гонят солдат в поход «по ту сторону Карпат», приставляя к ним специальные отряды жандармов. Несмотря на такой бдительный надзор, большие и мелкие группы венгерских солдат каждый день переходят на сторону Красной Армии.» (14902).</w:t>
      </w:r>
    </w:p>
    <w:p w14:paraId="0449DCBE" w14:textId="77777777" w:rsidR="00353781" w:rsidRPr="00070ADE" w:rsidRDefault="00353781" w:rsidP="00B56F90">
      <w:pPr>
        <w:spacing w:after="0" w:line="240" w:lineRule="auto"/>
        <w:jc w:val="both"/>
        <w:rPr>
          <w:rFonts w:ascii="Times New Roman" w:hAnsi="Times New Roman"/>
          <w:color w:val="000000" w:themeColor="text1"/>
          <w:sz w:val="16"/>
          <w:szCs w:val="16"/>
        </w:rPr>
      </w:pPr>
    </w:p>
    <w:p w14:paraId="20A62A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мая 1944 “Нормандия” перебазировалась на аэ</w:t>
      </w:r>
      <w:r w:rsidRPr="00070ADE">
        <w:rPr>
          <w:rFonts w:ascii="Times New Roman" w:hAnsi="Times New Roman"/>
          <w:color w:val="000000" w:themeColor="text1"/>
          <w:sz w:val="16"/>
          <w:szCs w:val="16"/>
        </w:rPr>
        <w:softHyphen/>
        <w:t>родром Дубровка в районе Смоленска и вновь вошла в оперативное подчине</w:t>
      </w:r>
      <w:r w:rsidRPr="00070ADE">
        <w:rPr>
          <w:rFonts w:ascii="Times New Roman" w:hAnsi="Times New Roman"/>
          <w:color w:val="000000" w:themeColor="text1"/>
          <w:sz w:val="16"/>
          <w:szCs w:val="16"/>
        </w:rPr>
        <w:softHyphen/>
        <w:t>ние командира 303-й иад генерала За</w:t>
      </w:r>
      <w:r w:rsidRPr="00070ADE">
        <w:rPr>
          <w:rFonts w:ascii="Times New Roman" w:hAnsi="Times New Roman"/>
          <w:color w:val="000000" w:themeColor="text1"/>
          <w:sz w:val="16"/>
          <w:szCs w:val="16"/>
        </w:rPr>
        <w:softHyphen/>
        <w:t>харова (3956). Возвращение полка на фронт оказа</w:t>
      </w:r>
      <w:r w:rsidRPr="00070ADE">
        <w:rPr>
          <w:rFonts w:ascii="Times New Roman" w:hAnsi="Times New Roman"/>
          <w:color w:val="000000" w:themeColor="text1"/>
          <w:sz w:val="16"/>
          <w:szCs w:val="16"/>
        </w:rPr>
        <w:softHyphen/>
        <w:t>лось омрачено гибелью командира 3-й эскадрильи капитана Лефевра, имев</w:t>
      </w:r>
      <w:r w:rsidRPr="00070ADE">
        <w:rPr>
          <w:rFonts w:ascii="Times New Roman" w:hAnsi="Times New Roman"/>
          <w:color w:val="000000" w:themeColor="text1"/>
          <w:sz w:val="16"/>
          <w:szCs w:val="16"/>
        </w:rPr>
        <w:softHyphen/>
        <w:t>шего к этому моменту 10 побед. Из-за негерметичности бензопровода в ка</w:t>
      </w:r>
      <w:r w:rsidRPr="00070ADE">
        <w:rPr>
          <w:rFonts w:ascii="Times New Roman" w:hAnsi="Times New Roman"/>
          <w:color w:val="000000" w:themeColor="text1"/>
          <w:sz w:val="16"/>
          <w:szCs w:val="16"/>
        </w:rPr>
        <w:softHyphen/>
        <w:t>бине его истребителя уже на земле возник пожар, летчик получил тяжелые ожоги, от которых скончался. А 6 июня произошла еще одна трагедия: нови</w:t>
      </w:r>
      <w:r w:rsidRPr="00070ADE">
        <w:rPr>
          <w:rFonts w:ascii="Times New Roman" w:hAnsi="Times New Roman"/>
          <w:color w:val="000000" w:themeColor="text1"/>
          <w:sz w:val="16"/>
          <w:szCs w:val="16"/>
        </w:rPr>
        <w:softHyphen/>
        <w:t>чок младший лейтенант Морис Шалль (это был его первый боевой вылет) по ошибке сбил одного из лучших пилотов 18-го гвардейского авиаполка старше</w:t>
      </w:r>
      <w:r w:rsidRPr="00070ADE">
        <w:rPr>
          <w:rFonts w:ascii="Times New Roman" w:hAnsi="Times New Roman"/>
          <w:color w:val="000000" w:themeColor="text1"/>
          <w:sz w:val="16"/>
          <w:szCs w:val="16"/>
        </w:rPr>
        <w:softHyphen/>
        <w:t>го лейтенанта В.И.Архипова. Шалль тя</w:t>
      </w:r>
      <w:r w:rsidRPr="00070ADE">
        <w:rPr>
          <w:rFonts w:ascii="Times New Roman" w:hAnsi="Times New Roman"/>
          <w:color w:val="000000" w:themeColor="text1"/>
          <w:sz w:val="16"/>
          <w:szCs w:val="16"/>
        </w:rPr>
        <w:softHyphen/>
        <w:t>жело переживал случившееся, ожидал отправки во Францию и даже трибуна</w:t>
      </w:r>
      <w:r w:rsidRPr="00070ADE">
        <w:rPr>
          <w:rFonts w:ascii="Times New Roman" w:hAnsi="Times New Roman"/>
          <w:color w:val="000000" w:themeColor="text1"/>
          <w:sz w:val="16"/>
          <w:szCs w:val="16"/>
        </w:rPr>
        <w:softHyphen/>
        <w:t>ла, но инцидент замяли. Двадцать дней спустя Шалль, искупая вину, сбил сразу двух немцев: это были Bf109 и FW190 (3956).</w:t>
      </w:r>
    </w:p>
    <w:p w14:paraId="21C9D8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7E0A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мая 1944 состоялся вылет большой партии Каталин по северному маршруту Элизабет-сити - Гандер - Рейкьявик - Мурманск (последний этап - 15-22 час.) (1085,211).</w:t>
      </w:r>
    </w:p>
    <w:p w14:paraId="1964C7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58C3F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4A62EE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6412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мая 1944 впервые после блокады возобновлено троллейбусное движение в Ленинграде. Первым открыт маршрут от Адмиралтейства до Сызранской улицы (10739).</w:t>
      </w:r>
    </w:p>
    <w:p w14:paraId="2A2FDA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F0FF32"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25 мая</w:t>
      </w:r>
      <w:r w:rsidRPr="00070ADE">
        <w:rPr>
          <w:rFonts w:ascii="Times New Roman" w:hAnsi="Times New Roman"/>
          <w:color w:val="000000" w:themeColor="text1"/>
          <w:sz w:val="16"/>
          <w:szCs w:val="16"/>
        </w:rPr>
        <w:t xml:space="preserve"> в 1944 году опубликовано сообщение: за время войны трудящиеся страны внесли в Фонд обороны и в Фонд Красной Армии свыше 14 млрд рублей деньгами и более 4 млрд рублей облигациями, а также много золота, серебра, драгоценностей (14902).</w:t>
      </w:r>
    </w:p>
    <w:p w14:paraId="207AC821" w14:textId="77777777" w:rsidR="00353781" w:rsidRPr="00070ADE" w:rsidRDefault="00353781" w:rsidP="00B56F90">
      <w:pPr>
        <w:spacing w:after="0" w:line="240" w:lineRule="auto"/>
        <w:jc w:val="both"/>
        <w:rPr>
          <w:rFonts w:ascii="Times New Roman" w:hAnsi="Times New Roman"/>
          <w:color w:val="000000" w:themeColor="text1"/>
          <w:sz w:val="16"/>
          <w:szCs w:val="16"/>
        </w:rPr>
      </w:pPr>
    </w:p>
    <w:p w14:paraId="215C5ED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FAF81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1730F1"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25 мая</w:t>
      </w:r>
      <w:r w:rsidRPr="00070ADE">
        <w:rPr>
          <w:rFonts w:ascii="Times New Roman" w:hAnsi="Times New Roman"/>
          <w:color w:val="000000" w:themeColor="text1"/>
          <w:sz w:val="16"/>
          <w:szCs w:val="16"/>
        </w:rPr>
        <w:t xml:space="preserve"> в 1944 году Г.Геринг заявил, что тяжелый бомбардировщик является "ядром боевой авиации" и потребовал немедленно запустить </w:t>
      </w:r>
      <w:hyperlink r:id="rId143" w:tgtFrame="_blank" w:history="1">
        <w:r w:rsidRPr="00070ADE">
          <w:rPr>
            <w:rFonts w:ascii="Times New Roman" w:hAnsi="Times New Roman"/>
            <w:color w:val="000000" w:themeColor="text1"/>
            <w:sz w:val="16"/>
            <w:szCs w:val="16"/>
          </w:rPr>
          <w:t xml:space="preserve">«Hе.277b» </w:t>
        </w:r>
      </w:hyperlink>
      <w:r w:rsidRPr="00070ADE">
        <w:rPr>
          <w:rFonts w:ascii="Times New Roman" w:hAnsi="Times New Roman"/>
          <w:color w:val="000000" w:themeColor="text1"/>
          <w:sz w:val="16"/>
          <w:szCs w:val="16"/>
        </w:rPr>
        <w:t>в серийное производство темпом не менее 200 машин в месяц! Первым серийным вариантом должен был стать «Hе.277b-5/R-2» - тяжелый дальний бомбардировщик с четыремя «DB-603А». Уже были собраны восемь серийных «Не 277B-5/R2», но летом 1944 года произошли очередные изменения в концепции вооружения «Люфтваффе» — теперь приоритет был отдан массовому производству истребителей, а работы по программе «Не 277» были прекращены (14902).</w:t>
      </w:r>
    </w:p>
    <w:p w14:paraId="03BD660C" w14:textId="77777777" w:rsidR="00353781" w:rsidRPr="00070ADE" w:rsidRDefault="00353781" w:rsidP="00B56F90">
      <w:pPr>
        <w:spacing w:after="0" w:line="240" w:lineRule="auto"/>
        <w:jc w:val="both"/>
        <w:rPr>
          <w:rFonts w:ascii="Times New Roman" w:hAnsi="Times New Roman"/>
          <w:color w:val="000000" w:themeColor="text1"/>
          <w:sz w:val="16"/>
          <w:szCs w:val="16"/>
        </w:rPr>
      </w:pPr>
    </w:p>
    <w:p w14:paraId="14007B55"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25 мая</w:t>
      </w:r>
      <w:r w:rsidRPr="00070ADE">
        <w:rPr>
          <w:rFonts w:ascii="Times New Roman" w:hAnsi="Times New Roman"/>
          <w:color w:val="000000" w:themeColor="text1"/>
          <w:sz w:val="16"/>
          <w:szCs w:val="16"/>
        </w:rPr>
        <w:t xml:space="preserve"> в 1944 году департамент генераллюфтцойгмейстера издал директиву о прекращении производства </w:t>
      </w:r>
      <w:hyperlink w:tgtFrame="_blank" w:history="1">
        <w:r w:rsidRPr="00070ADE">
          <w:rPr>
            <w:rFonts w:ascii="Times New Roman" w:hAnsi="Times New Roman"/>
            <w:color w:val="000000" w:themeColor="text1"/>
            <w:sz w:val="16"/>
            <w:szCs w:val="16"/>
          </w:rPr>
          <w:t xml:space="preserve">«Не 219» </w:t>
        </w:r>
      </w:hyperlink>
      <w:r w:rsidRPr="00070ADE">
        <w:rPr>
          <w:rFonts w:ascii="Times New Roman" w:hAnsi="Times New Roman"/>
          <w:color w:val="000000" w:themeColor="text1"/>
          <w:sz w:val="16"/>
          <w:szCs w:val="16"/>
        </w:rPr>
        <w:t>и разворачивании выпуска «Ju 388J» и «Та 154». Истребитель на базе «Ju 388» при этом получил кодовое обозначение "Штертебекер" (в честь легендарного немецкого пирата). Главным побудительным мотивом для работ по «Ju 388» Мильх считал возможность за счет унификации узлов и разворачивания массового производства резко снизить стоимость нового истребителя по сравнению с «Не 219», но дальнейшие события показали, что Мильх был не прав (14902).</w:t>
      </w:r>
    </w:p>
    <w:p w14:paraId="71881C5B" w14:textId="77777777" w:rsidR="00353781" w:rsidRPr="00070ADE" w:rsidRDefault="00353781" w:rsidP="00B56F90">
      <w:pPr>
        <w:spacing w:after="0" w:line="240" w:lineRule="auto"/>
        <w:jc w:val="both"/>
        <w:rPr>
          <w:rFonts w:ascii="Times New Roman" w:hAnsi="Times New Roman"/>
          <w:color w:val="000000" w:themeColor="text1"/>
          <w:sz w:val="16"/>
          <w:szCs w:val="16"/>
        </w:rPr>
      </w:pPr>
    </w:p>
    <w:p w14:paraId="0DB4BCE8" w14:textId="77777777" w:rsidR="00353781" w:rsidRPr="00070ADE" w:rsidRDefault="00353781"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25 мая 1944 г. на совещании, со</w:t>
      </w:r>
      <w:r w:rsidRPr="00070ADE">
        <w:rPr>
          <w:rFonts w:ascii="Times New Roman" w:cs="Times New Roman"/>
          <w:color w:val="000000" w:themeColor="text1"/>
          <w:spacing w:val="0"/>
          <w:sz w:val="16"/>
          <w:szCs w:val="16"/>
        </w:rPr>
        <w:softHyphen/>
        <w:t>стоявшемся в Оберзальцбурге, ведущий кон</w:t>
      </w:r>
      <w:r w:rsidRPr="00070ADE">
        <w:rPr>
          <w:rFonts w:ascii="Times New Roman" w:cs="Times New Roman"/>
          <w:color w:val="000000" w:themeColor="text1"/>
          <w:spacing w:val="0"/>
          <w:sz w:val="16"/>
          <w:szCs w:val="16"/>
        </w:rPr>
        <w:softHyphen/>
        <w:t>структор фирмы «Юн</w:t>
      </w:r>
      <w:r w:rsidRPr="00070ADE">
        <w:rPr>
          <w:rFonts w:ascii="Times New Roman" w:cs="Times New Roman"/>
          <w:color w:val="000000" w:themeColor="text1"/>
          <w:spacing w:val="0"/>
          <w:sz w:val="16"/>
          <w:szCs w:val="16"/>
        </w:rPr>
        <w:softHyphen/>
        <w:t>кере» профессор Гертель доложил Герингу, что сборка закан</w:t>
      </w:r>
      <w:r w:rsidRPr="00070ADE">
        <w:rPr>
          <w:rFonts w:ascii="Times New Roman" w:cs="Times New Roman"/>
          <w:color w:val="000000" w:themeColor="text1"/>
          <w:spacing w:val="0"/>
          <w:sz w:val="16"/>
          <w:szCs w:val="16"/>
        </w:rPr>
        <w:softHyphen/>
        <w:t>чивается, и в ближай</w:t>
      </w:r>
      <w:r w:rsidRPr="00070ADE">
        <w:rPr>
          <w:rFonts w:ascii="Times New Roman" w:cs="Times New Roman"/>
          <w:color w:val="000000" w:themeColor="text1"/>
          <w:spacing w:val="0"/>
          <w:sz w:val="16"/>
          <w:szCs w:val="16"/>
        </w:rPr>
        <w:softHyphen/>
        <w:t xml:space="preserve">шие дни </w:t>
      </w:r>
      <w:r w:rsidRPr="00070ADE">
        <w:rPr>
          <w:rFonts w:ascii="Times New Roman" w:cs="Times New Roman"/>
          <w:color w:val="000000" w:themeColor="text1"/>
          <w:spacing w:val="0"/>
          <w:sz w:val="16"/>
          <w:szCs w:val="16"/>
          <w:lang w:val="en-US"/>
        </w:rPr>
        <w:t>Ju</w:t>
      </w:r>
      <w:r w:rsidRPr="00070ADE">
        <w:rPr>
          <w:rFonts w:ascii="Times New Roman" w:cs="Times New Roman"/>
          <w:color w:val="000000" w:themeColor="text1"/>
          <w:spacing w:val="0"/>
          <w:sz w:val="16"/>
          <w:szCs w:val="16"/>
        </w:rPr>
        <w:t>-287</w:t>
      </w:r>
      <w:r w:rsidRPr="00070ADE">
        <w:rPr>
          <w:rFonts w:ascii="Times New Roman" w:cs="Times New Roman"/>
          <w:color w:val="000000" w:themeColor="text1"/>
          <w:spacing w:val="0"/>
          <w:sz w:val="16"/>
          <w:szCs w:val="16"/>
          <w:lang w:val="en-US"/>
        </w:rPr>
        <w:t>V</w:t>
      </w:r>
      <w:r w:rsidRPr="00070ADE">
        <w:rPr>
          <w:rFonts w:ascii="Times New Roman" w:cs="Times New Roman"/>
          <w:color w:val="000000" w:themeColor="text1"/>
          <w:spacing w:val="0"/>
          <w:sz w:val="16"/>
          <w:szCs w:val="16"/>
        </w:rPr>
        <w:t>1 будет доставлен в Брандис. 28 мая ВВС США бомбили Бран</w:t>
      </w:r>
      <w:r w:rsidRPr="00070ADE">
        <w:rPr>
          <w:rFonts w:ascii="Times New Roman" w:cs="Times New Roman"/>
          <w:color w:val="000000" w:themeColor="text1"/>
          <w:spacing w:val="0"/>
          <w:sz w:val="16"/>
          <w:szCs w:val="16"/>
        </w:rPr>
        <w:softHyphen/>
        <w:t>дис, но V1 чудом спас</w:t>
      </w:r>
      <w:r w:rsidRPr="00070ADE">
        <w:rPr>
          <w:rFonts w:ascii="Times New Roman" w:cs="Times New Roman"/>
          <w:color w:val="000000" w:themeColor="text1"/>
          <w:spacing w:val="0"/>
          <w:sz w:val="16"/>
          <w:szCs w:val="16"/>
        </w:rPr>
        <w:softHyphen/>
        <w:t>ся от разрушения (15791).</w:t>
      </w:r>
    </w:p>
    <w:p w14:paraId="69BFCED8" w14:textId="77777777" w:rsidR="00353781" w:rsidRPr="00070ADE" w:rsidRDefault="00353781" w:rsidP="00B56F90">
      <w:pPr>
        <w:pStyle w:val="36"/>
        <w:shd w:val="clear" w:color="auto" w:fill="auto"/>
        <w:spacing w:after="0" w:line="240" w:lineRule="auto"/>
        <w:jc w:val="both"/>
        <w:rPr>
          <w:rFonts w:ascii="Times New Roman" w:cs="Times New Roman"/>
          <w:color w:val="000000" w:themeColor="text1"/>
          <w:spacing w:val="0"/>
          <w:sz w:val="16"/>
          <w:szCs w:val="16"/>
        </w:rPr>
      </w:pPr>
    </w:p>
    <w:p w14:paraId="7E6F28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25 1944 Germans retreat from Anzio (1050).</w:t>
      </w:r>
    </w:p>
    <w:p w14:paraId="095EB2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0DFFC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мая 1944 немцы отступили из Анцио (1050) и союзники начали наступление (2247,3).</w:t>
      </w:r>
    </w:p>
    <w:p w14:paraId="7BE590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E7BFA7"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25 мая</w:t>
      </w:r>
      <w:r w:rsidRPr="00070ADE">
        <w:rPr>
          <w:rFonts w:ascii="Times New Roman" w:hAnsi="Times New Roman"/>
          <w:color w:val="000000" w:themeColor="text1"/>
          <w:sz w:val="16"/>
          <w:szCs w:val="16"/>
        </w:rPr>
        <w:t xml:space="preserve"> в 1944 году диверсионно-штурмовые подразделения «Бранденбурга», зондеркоманды СД и парашютисты СС участвуют в совместной операции «Ход конем» — нападении на штаб-квартиру Освободительной армии Югославии и попытке захватить Тито. Тито удается скрыться (14902).</w:t>
      </w:r>
    </w:p>
    <w:p w14:paraId="45B02D54" w14:textId="77777777" w:rsidR="00353781" w:rsidRPr="00070ADE" w:rsidRDefault="00353781" w:rsidP="00B56F90">
      <w:pPr>
        <w:spacing w:after="0" w:line="240" w:lineRule="auto"/>
        <w:jc w:val="both"/>
        <w:rPr>
          <w:rFonts w:ascii="Times New Roman" w:hAnsi="Times New Roman"/>
          <w:color w:val="000000" w:themeColor="text1"/>
          <w:sz w:val="16"/>
          <w:szCs w:val="16"/>
        </w:rPr>
      </w:pPr>
    </w:p>
    <w:p w14:paraId="12C7CA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мая 1944 ВД батальон СС в 7 час. утра был высажен в Дрваре с заданием уничтожить штаб И.Б.Тито. В 10 час. И.Б.Т. оставили базу и за ним гнались до 3 июня 1944 в ночь на 4 (455,152), когда он был вывезен на Ли-2 вместе с советскими и английскими советниками в Москву (2112).</w:t>
      </w:r>
    </w:p>
    <w:p w14:paraId="15A418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4561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мая 1944 Тито смог ускользнуть от немецких парашютистов, поддерживаемых авиацией (3819).</w:t>
      </w:r>
    </w:p>
    <w:p w14:paraId="27ABB4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3C90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25th, 1944: Yugoslav partisan leader Tito narrowly escapes capture by German paratroops supported by Stukas in his HQ in Bosnia (3819).</w:t>
      </w:r>
    </w:p>
    <w:p w14:paraId="0B6F12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F1AE3D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мая 1944 в Дрваре (Босния) чудом избежали захвата немцами глава югославских партизан И. Тито и сын Уинстона Черчилля майор Рандольф Черчилль (4962).</w:t>
      </w:r>
    </w:p>
    <w:p w14:paraId="05A3408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EF4A9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10E65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5861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мая 1944 вышел приказ НКАП N 356сс "Об установке на самолет Як-3 2-го пулемета Березина" в исполнение постановления ГКО N 5942сс от 22 мая 1944:</w:t>
      </w:r>
    </w:p>
    <w:p w14:paraId="099988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ПГУ, зам. наркома Воронину, дир. завода 292 Левину и директору завода 31 Саладзе, начиная с 15 июня 1944 выпускать все самолеты Як-3 с ВК-105ПФ2, вооруженные одной пушкой 20 мм и 2 пулеметами Березина калибра 12.7 мм по типу самолета Як-3, прошедшего испытания в НИИ ВВС" (1585,146).</w:t>
      </w:r>
    </w:p>
    <w:p w14:paraId="620C47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2893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мае-июне 1944 РЛС типа ПНБ-4 была установлена на серийном Ту-2 N 104. На машину также дополнительно поставили 2 ВЯ (1835,59).</w:t>
      </w:r>
    </w:p>
    <w:p w14:paraId="0BBF87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ACA7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мае-июне 1944 г. летал Пе-2И (3542).</w:t>
      </w:r>
    </w:p>
    <w:p w14:paraId="73A9B3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5CCC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ОКБ А.Н.Т. приступило к установке РЛС на Ту-2 N 104 выпуска 1942 Омского завода 166 (2629,26).</w:t>
      </w:r>
    </w:p>
    <w:p w14:paraId="1329BF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B7663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DD917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761304" w14:textId="77777777" w:rsidR="00701987" w:rsidRPr="00070ADE" w:rsidRDefault="00701987" w:rsidP="00B56F90">
      <w:pPr>
        <w:pStyle w:val="ae"/>
        <w:spacing w:before="0" w:after="0"/>
        <w:jc w:val="both"/>
        <w:textAlignment w:val="baseline"/>
        <w:rPr>
          <w:color w:val="000000" w:themeColor="text1"/>
          <w:sz w:val="16"/>
          <w:szCs w:val="16"/>
        </w:rPr>
      </w:pPr>
      <w:r w:rsidRPr="00070ADE">
        <w:rPr>
          <w:color w:val="000000" w:themeColor="text1"/>
          <w:sz w:val="16"/>
          <w:szCs w:val="16"/>
        </w:rPr>
        <w:t>26 мая 1944 года НИБТ Полигон в Кубинку началтсь испытания Т-34-85. К моменту прибытия на НИБТ Полигон Т-34-85М по первому варианту модернизации прошел 1204 км, а по второму – 1188 км в ходе заводских испытаний. Впрочем, ввиду того, что привод спидометра не переделывался, реальный километраж мог быть и иным. Специалисты полигона отмечали, что прибывшие танки, несмотря на пройденный километраж, имели новые ведущие колёса, опорные катки и гусеничные ленты.</w:t>
      </w:r>
    </w:p>
    <w:p w14:paraId="18C45919" w14:textId="77777777" w:rsidR="00701987" w:rsidRPr="00070ADE" w:rsidRDefault="00701987" w:rsidP="00B56F90">
      <w:pPr>
        <w:pStyle w:val="ae"/>
        <w:spacing w:before="0" w:after="0"/>
        <w:jc w:val="both"/>
        <w:textAlignment w:val="baseline"/>
        <w:rPr>
          <w:color w:val="000000" w:themeColor="text1"/>
          <w:sz w:val="16"/>
          <w:szCs w:val="16"/>
        </w:rPr>
      </w:pPr>
      <w:r w:rsidRPr="00070ADE">
        <w:rPr>
          <w:color w:val="000000" w:themeColor="text1"/>
          <w:sz w:val="16"/>
          <w:szCs w:val="16"/>
        </w:rPr>
        <w:t xml:space="preserve">Программу испытаний утвердили позже – 28 мая. Совместно с Т-34-85М на испытания вышел и серийный танк. Как показали ходовые испытания, которые продолжались до 10 июня, усиление броневой защиты почти никак не отразились на ходовых качествах танков. Максимальная и средняя скорости Т-34-85М по первому варианту оказались равными серийному Т-34-85. Второй вариант танка оказался немного медленнее, но отнюдь не из-за перегруза. Ввиду того, что двигатель после заводских испытаний не меняли, на определённом этапе полигонных тестов начались неполадки, в том числе отмечалась потеря мощности. Этот факт комиссия </w:t>
      </w:r>
      <w:r w:rsidRPr="00070ADE">
        <w:rPr>
          <w:color w:val="000000" w:themeColor="text1"/>
          <w:sz w:val="16"/>
          <w:szCs w:val="16"/>
        </w:rPr>
        <w:lastRenderedPageBreak/>
        <w:t>приняла во внимания, учитывая то, что первый вариант танка по динамике не отличался от серийной машины. При этом передвигаться пришлось, в основном, по разбитому просёлку и лесным дорогам, то есть в наиболее сложных условиях.</w:t>
      </w:r>
    </w:p>
    <w:p w14:paraId="3F9AC2FD" w14:textId="77777777" w:rsidR="00701987" w:rsidRPr="00070ADE" w:rsidRDefault="00701987" w:rsidP="00B56F90">
      <w:pPr>
        <w:pStyle w:val="ae"/>
        <w:spacing w:before="0" w:after="0"/>
        <w:jc w:val="both"/>
        <w:textAlignment w:val="baseline"/>
        <w:rPr>
          <w:color w:val="000000" w:themeColor="text1"/>
          <w:sz w:val="16"/>
          <w:szCs w:val="16"/>
        </w:rPr>
      </w:pPr>
      <w:r w:rsidRPr="00070ADE">
        <w:rPr>
          <w:color w:val="000000" w:themeColor="text1"/>
          <w:sz w:val="16"/>
          <w:szCs w:val="16"/>
        </w:rPr>
        <w:t>За время испытаний первый вариант Т-34-85М прошёл 1006 км, второй вариант – 1084, а серийный танк – 1005 км. Несмотря на то, что общие динамические характеристики модернизированных машин оказались на уровне серийного Т-34-85, переделку ходовой части признали неудачной. Испытания показали, что ухудшилась плавность зацепления роликов с гребнями траков, наблюдались набегания траков на ролики. Итогом стало то, что гребни траков имели повышенный износ – причиной тому стали удары об ролики ведущих колёс. По итогам испытаний инженеры отказались от идеи ставить КПП с изменёнными передаточными числами, а также уменьшенные ведущие колёса. Помимо уже отмеченных недостатков, их введение в серийное производство означало бы снижение унификации танков. Кроме того, боевая масса танков не выросла, так что усиление ходовой части лишалось смысла.</w:t>
      </w:r>
    </w:p>
    <w:p w14:paraId="2F373283" w14:textId="77777777" w:rsidR="00701987" w:rsidRPr="00070ADE" w:rsidRDefault="00701987" w:rsidP="00B56F90">
      <w:pPr>
        <w:pStyle w:val="ae"/>
        <w:spacing w:before="0" w:after="0"/>
        <w:jc w:val="both"/>
        <w:textAlignment w:val="baseline"/>
        <w:rPr>
          <w:color w:val="000000" w:themeColor="text1"/>
          <w:sz w:val="16"/>
          <w:szCs w:val="16"/>
        </w:rPr>
      </w:pPr>
      <w:r w:rsidRPr="00070ADE">
        <w:rPr>
          <w:color w:val="000000" w:themeColor="text1"/>
          <w:sz w:val="16"/>
          <w:szCs w:val="16"/>
        </w:rPr>
        <w:t>То, что модернизированные танки ничуть не уступают по ходовым качествам серийной машине, показали и специспытания. В ходе испытаний на подъём оба танка смогли преодолеть участок крутизной 30 градусов. Более крутой подъём оказался непреодолим из-за сильного износа двигателей. В ходе дальнейших испытаний танки преодолели косогор крутизной 15-25 градусов. Вполне успешно прошли и испытания буксировкой танка. За исключением повышенного износа гусеничных лент, связанного с неудачной конструкцией ведущих колёс, боле низкой надёжности по сравнению с Т-34-85 не отмечалось.</w:t>
      </w:r>
    </w:p>
    <w:p w14:paraId="739993D1" w14:textId="77777777" w:rsidR="00701987" w:rsidRPr="00070ADE" w:rsidRDefault="00701987" w:rsidP="00B56F90">
      <w:pPr>
        <w:pStyle w:val="ae"/>
        <w:spacing w:before="0" w:after="0"/>
        <w:jc w:val="both"/>
        <w:textAlignment w:val="baseline"/>
        <w:rPr>
          <w:color w:val="000000" w:themeColor="text1"/>
          <w:sz w:val="16"/>
          <w:szCs w:val="16"/>
        </w:rPr>
      </w:pPr>
      <w:r w:rsidRPr="00070ADE">
        <w:rPr>
          <w:color w:val="000000" w:themeColor="text1"/>
          <w:sz w:val="16"/>
          <w:szCs w:val="16"/>
        </w:rPr>
        <w:t>Неоднозначную реакцию испытателей вызвала переделка топливной системы, проведённая по второму варианту Т-34-85М. Не отрицая положительных эффектов переноса баков назад, комиссия указывала и на явные недостатки. Главный из них заключался в том, что баки сильно мешали монтажным работам и обслуживанию в отделении трансмиссии. Также сильно усложнилась дозаправка масла в КПП. Машину в ходе испытаний пришлось часто регулировать, так что повышение безопасности на практике превратилась в настоящую головную боль. Единственное условие, при котором баки могли остаться на новом месте, являлось повышение надёжности агрегатов отделения трансмиссии и возможность их эксплуатации (без регулировок) не менее 500 км. Кроме того, испытателям не понравилась усложнённая защита бортов – по мнению комиссии, следовало сделать борта в районе баков также наклонными. Фактически выводы комиссии сводились к тому, что перенос баков не имеет большого смысла, поскольку приносит больше проблем, чем пользы.</w:t>
      </w:r>
    </w:p>
    <w:p w14:paraId="65C8BD06" w14:textId="77777777" w:rsidR="00701987" w:rsidRPr="00070ADE" w:rsidRDefault="00701987" w:rsidP="00B56F90">
      <w:pPr>
        <w:pStyle w:val="ae"/>
        <w:spacing w:before="0" w:after="0"/>
        <w:jc w:val="both"/>
        <w:textAlignment w:val="baseline"/>
        <w:rPr>
          <w:color w:val="000000" w:themeColor="text1"/>
          <w:sz w:val="16"/>
          <w:szCs w:val="16"/>
        </w:rPr>
      </w:pPr>
      <w:r w:rsidRPr="00070ADE">
        <w:rPr>
          <w:color w:val="000000" w:themeColor="text1"/>
          <w:sz w:val="16"/>
          <w:szCs w:val="16"/>
        </w:rPr>
        <w:t>Имелись вопросы и к модернизированной броневой защите. Комиссия посчитала, что снижение толщины листов днища до 15 мм сделает танк более уязвимым к подрыву вражеских мин и фугасов. Не особо удачной оказалась бронировка защиты курсового пулемёта ДТ. Увеличение периметра сварного шва снижало прочность верхнего лобового листа корпуса. Выходом из положения являлась установка курсового пулемёта по типу того, как это делали на КВ-85, ИС и Т-44, то есть без подвижной, но при этом громоздкой бронировки. Также имелись претензии к новому уравновешивающему механизму люка механика-водителя – согласно отчёту, он оказался непригодным к эксплуатации.</w:t>
      </w:r>
    </w:p>
    <w:p w14:paraId="61087202" w14:textId="77777777" w:rsidR="00701987" w:rsidRPr="00070ADE" w:rsidRDefault="00701987" w:rsidP="00B56F90">
      <w:pPr>
        <w:pStyle w:val="ae"/>
        <w:spacing w:before="0" w:after="0"/>
        <w:jc w:val="both"/>
        <w:textAlignment w:val="baseline"/>
        <w:rPr>
          <w:color w:val="000000" w:themeColor="text1"/>
          <w:sz w:val="16"/>
          <w:szCs w:val="16"/>
        </w:rPr>
      </w:pPr>
      <w:r w:rsidRPr="00070ADE">
        <w:rPr>
          <w:color w:val="000000" w:themeColor="text1"/>
          <w:sz w:val="16"/>
          <w:szCs w:val="16"/>
        </w:rPr>
        <w:t>По итогам испытаний были забракованы оба варианта Т-34-85М, но при этом комиссия однозначно поддержала саму идею усиления броневой защиты корпуса и башни. Вместо обоих вариантов Т-34-85М НИБТ Полигон предложил третью версию модернизации. Лоб корпуса и башни усиливался по первому варианту, но при этом передняя часть днища сохраняла толщину 20 мм, а подвижную установку курсового пулемёта заменяли на неподвижную (18998).</w:t>
      </w:r>
    </w:p>
    <w:p w14:paraId="1C0AA6F9" w14:textId="77777777" w:rsidR="00701987" w:rsidRPr="00070ADE" w:rsidRDefault="00701987" w:rsidP="00B56F90">
      <w:pPr>
        <w:pStyle w:val="ae"/>
        <w:spacing w:before="0" w:after="0"/>
        <w:jc w:val="both"/>
        <w:textAlignment w:val="baseline"/>
        <w:rPr>
          <w:color w:val="000000" w:themeColor="text1"/>
          <w:sz w:val="16"/>
          <w:szCs w:val="16"/>
        </w:rPr>
      </w:pPr>
    </w:p>
    <w:p w14:paraId="5FB455A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мая 1944 вышло Постановление ГКО № 5957 О мерах по обеспечению выполнения плана погрузки угля в летний период 1944 года. РГАНИР, Фонд ГКО, д. 257, лл. 9-18,19 (11012).</w:t>
      </w:r>
    </w:p>
    <w:p w14:paraId="2447C9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0F8030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мая 1944 вышло Постановление ГКО № 5958 О плане распределения проката черных металлов и труб на капитальное строительство на II квартал 1944 года. РГАНИР, Фонд ГКО, д. 257, лл. 20-21,22-28 (11012).</w:t>
      </w:r>
    </w:p>
    <w:p w14:paraId="759A37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84C6C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мая 1944 вышло Постановление ГКО № 5959 Об организации производства танков ИС, бронекорпусов к ним и о восстановлении металлургии на Кировском и Ижорском заводах Наркомтанкопрома в г.Ленинграде. РГАНИР, Фонд ГКО, д. 257, лл. 29-44,45-105 (11012).</w:t>
      </w:r>
    </w:p>
    <w:p w14:paraId="66E824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2C973F5" w14:textId="77777777" w:rsidR="00827943" w:rsidRPr="00070ADE" w:rsidRDefault="0082794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мая 1944 года Сталин подписал постановление ГКО №5959сс «Об организации производства танков ИС, бронекорпусов к ним и о восстановлении металлургии на Кировском и Ижорском заводах Наркомата танковой промышленности в г. Ленинграде». Уже в октябре ожидалась сдача первых десяти ленинградских ИС-2, в ноябре их должно было быть 20, а в декабре — 25. В первом квартале 1945 года предполагалось увеличить объём выпуска ИС-2 до 50 штук в месяц. Постановление возрождало и работу Ижорского завода, который, как и до войны, должен был обеспечивать ЛКЗ корпусами и башнями.</w:t>
      </w:r>
    </w:p>
    <w:p w14:paraId="35727777" w14:textId="77777777" w:rsidR="00827943" w:rsidRPr="00070ADE" w:rsidRDefault="0082794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постановление вызвало нездоровый ажиотаж не только на ЧКЗ, но и на заводе №200, а также других предприятиях, на которых трудились эвакуированные из Ленинграда рабочие и инженеры. В июне 1944 года на заводе №200 был нарушен нормальный режим работы предприятия, что отразилось и на производстве.</w:t>
      </w:r>
    </w:p>
    <w:p w14:paraId="035DD4A5" w14:textId="77777777" w:rsidR="00827943" w:rsidRPr="00070ADE" w:rsidRDefault="0082794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постановление и его реализация — это две большие разницы. Ленинград не только потерял около миллиона человек, но и был основательно разрушен. Кировский завод, несмотря на то, что действовал в годы блокады, был довольно сильно повреждён, а большая часть его оборудования уехала в эвакуацию. Ижорский завод неоднократно становился местом сражений, за него дрался 72-й отдельный пулемётно-артиллерийский батальон под командованием лейтенанта запаса Г.В. Водопьянова, собранный из рабочих предприятия.</w:t>
      </w:r>
    </w:p>
    <w:p w14:paraId="41B36B33" w14:textId="77777777" w:rsidR="00827943" w:rsidRPr="00070ADE" w:rsidRDefault="0082794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Ситуация была крайне непростая. В НКТП это понимали, поэтому в постановлении оговаривались поставки оборудования на Кировский и Ижорский заводы. Но ни летом, ни осенью 1944 года оба завода не были готовы к производству. По состоянию на 25 сентября 1944 года цех МХ-3 на ЛКЗ всё ещё был частично разрушен и требовал серьёзного ремонта. В похожем состоянии были и остальные цеха завода. Имеющиеся станки были в неудовлетворительном состоянии, новых станков прибыло 54 штуки (из них 26 импортных). Из поступивших с Челябинска узлов и агрегатов был собран один ИС-2, его испытали пробегом, но не приняли (18099).</w:t>
      </w:r>
    </w:p>
    <w:p w14:paraId="1B245248" w14:textId="77777777" w:rsidR="00827943" w:rsidRPr="00070ADE" w:rsidRDefault="00827943" w:rsidP="00B56F90">
      <w:pPr>
        <w:spacing w:after="0" w:line="240" w:lineRule="auto"/>
        <w:jc w:val="both"/>
        <w:rPr>
          <w:rFonts w:ascii="Times New Roman" w:hAnsi="Times New Roman"/>
          <w:color w:val="000000" w:themeColor="text1"/>
          <w:sz w:val="16"/>
          <w:szCs w:val="16"/>
        </w:rPr>
      </w:pPr>
    </w:p>
    <w:p w14:paraId="5B7543F6" w14:textId="77777777" w:rsidR="00827943" w:rsidRPr="00070ADE" w:rsidRDefault="00827943"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мая 1944 вышло специальное решение ГКО о налаживании выпуска машин новых конструкций на Кировском з-де в Ленинграде (5008, 172).</w:t>
      </w:r>
    </w:p>
    <w:p w14:paraId="3CBD09DC" w14:textId="77777777" w:rsidR="00827943" w:rsidRPr="00070ADE" w:rsidRDefault="00827943"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30206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мая 1944 вышло Постановление ГКО № 5960 Об электрификации участка Челябинск-Златоуст Южно-Уральской железной дороги. (7236, 106-109,110-112).</w:t>
      </w:r>
    </w:p>
    <w:p w14:paraId="4058D7D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5CBE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мая 1944 г. бвло Ходатайство наркому боеприпасов СССР Б.Л. Ванникову о выделении дополнительного питания для рабочих.</w:t>
      </w:r>
    </w:p>
    <w:p w14:paraId="20136F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Секретно.</w:t>
      </w:r>
    </w:p>
    <w:p w14:paraId="24ABDF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…Положение с продовольственными товарами на нашем заводе в настоящее время обстоит чрезвычайно остро, никаких дополнительных ресурсов от нашего подсобного хозяйства и децзаготовок завод не имеет. Имеющиеся запасы овощей от коллективных огородов у рабочих также иссякли впредь до получения нового урожая…</w:t>
      </w:r>
    </w:p>
    <w:p w14:paraId="70A9F2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данным медосмотра, проведенного на заводе с 17 по 26 мая, мы имеем следующие данные. В прокатном цехе из 234 осмотренных, дистрофией и др. болезнями, связанными с недостатком питания страдают 185 человек (79%). В цехе холодного оружия из 257 человек дистрофией болеют 229 человек (89%). Аналогичное положение с больными дистрофией и по другим цехам. При этом в общее количество больных не входят больные дистрофией, находящиеся на больничных листках…</w:t>
      </w:r>
    </w:p>
    <w:p w14:paraId="42C785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Вашего распоряжения об отпуске нашему заводу дополнительного питания из расчета на 1 рабочего в месяц: крупы – 2 кг., мяса – 2 кг., жиров – 750 грамм, картофеля – 12 кг.</w:t>
      </w:r>
    </w:p>
    <w:p w14:paraId="7B4E5B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И.о. директора завода № 391 Шердаков (ОГАЧО, ф. П-915, оп. 1, д. 64, л. 73) (11599).</w:t>
      </w:r>
    </w:p>
    <w:p w14:paraId="081E28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80D1727" w14:textId="77777777" w:rsidR="00353781" w:rsidRPr="00070ADE" w:rsidRDefault="00353781" w:rsidP="00B56F90">
      <w:pPr>
        <w:pStyle w:val="a3"/>
        <w:rPr>
          <w:color w:val="000000" w:themeColor="text1"/>
          <w:lang w:val="ru-RU"/>
        </w:rPr>
      </w:pPr>
      <w:r w:rsidRPr="00070ADE">
        <w:rPr>
          <w:color w:val="000000" w:themeColor="text1"/>
          <w:lang w:val="ru-RU"/>
        </w:rPr>
        <w:t>26 мая 1944 т. был собран и вышел в обкатку первый гусеничный артиллерийский тягач АТ-45 опытной партии. Он одновременно стал первой машиной на восстановленном заводе и первой в Харькове, освобожденном от немецких за</w:t>
      </w:r>
      <w:r w:rsidRPr="00070ADE">
        <w:rPr>
          <w:color w:val="000000" w:themeColor="text1"/>
          <w:lang w:val="ru-RU"/>
        </w:rPr>
        <w:softHyphen/>
        <w:t>хватчиков. Ордена Ленина завод №75 вновь стал полноценным машиностроительным заводом (15748).</w:t>
      </w:r>
    </w:p>
    <w:p w14:paraId="793DF3C1" w14:textId="77777777" w:rsidR="00353781" w:rsidRPr="00070ADE" w:rsidRDefault="00353781" w:rsidP="00B56F90">
      <w:pPr>
        <w:pStyle w:val="a3"/>
        <w:rPr>
          <w:color w:val="000000" w:themeColor="text1"/>
          <w:lang w:val="ru-RU"/>
        </w:rPr>
      </w:pPr>
    </w:p>
    <w:p w14:paraId="58BD22FB" w14:textId="77777777" w:rsidR="00353781"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AF3D85D" w14:textId="77777777" w:rsidR="00353781" w:rsidRPr="00070ADE" w:rsidRDefault="00353781"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C0582E"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26 мая</w:t>
      </w:r>
      <w:r w:rsidRPr="00070ADE">
        <w:rPr>
          <w:rFonts w:ascii="Times New Roman" w:hAnsi="Times New Roman"/>
          <w:color w:val="000000" w:themeColor="text1"/>
          <w:sz w:val="16"/>
          <w:szCs w:val="16"/>
        </w:rPr>
        <w:t xml:space="preserve"> в 1944 году оперативная сводка Совинформбюро:</w:t>
      </w:r>
    </w:p>
    <w:p w14:paraId="1903A1DF"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26 мая на фронтах существенных изменений не произошло.</w:t>
      </w:r>
    </w:p>
    <w:p w14:paraId="3B65B497"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25 мая в воздушных боях и огнём зенитной артиллерии сбито 18 самолётов противника.</w:t>
      </w:r>
    </w:p>
    <w:p w14:paraId="47CDD0C2"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Удары нашей авиации по транспортам противника в Баренцовом море</w:t>
      </w:r>
    </w:p>
    <w:p w14:paraId="3DCE7C64"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Нашей воздушной разведкой в Баренцовом море был обнаружен конвой противника в составе пяти транспортов, пяти миноносцев и других кораблей охранения. Авиация флота в ночь на 26 мая произвела несколько массированных бомбово-штурмовых и торпедных ударов по судам противника. В результате этих ударов потоплено два немецких транспорта общим водоизмещением до 15 тысяч тонн, один миноносец и один сторожевой корабль. Нанесены серьёзные повреждения транспорту и другим кораблям противника. В воздушных боях, по предварительным данным, сбито 10 немецких самолётов. Семь наших самолётов не вернулись на свои базы.</w:t>
      </w:r>
    </w:p>
    <w:p w14:paraId="3586E0F8"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Юго-восточнее города Станислав батальон пехоты противника ночью атаковал наши позиции в районе одной высоты. Отдельным группам немцев вначале удалось проникнуть в траншеи переднего края нашей обороны. Решительной контратакой бойцы Н-ской части отбросили противника и восстановили положение. В траншеях </w:t>
      </w:r>
      <w:r w:rsidRPr="00070ADE">
        <w:rPr>
          <w:rFonts w:ascii="Times New Roman" w:hAnsi="Times New Roman"/>
          <w:color w:val="000000" w:themeColor="text1"/>
          <w:sz w:val="16"/>
          <w:szCs w:val="16"/>
        </w:rPr>
        <w:lastRenderedPageBreak/>
        <w:t>осталось 50 вражеских трудов. Захвачены пленные. Наша авиация вела активные действия по коммуникациям противника. Советскими лётчиками уничтожено 3 паровоза, более 30 вагонов, 20 автомашин и на ряде участков разрушены железнодорожные пути.</w:t>
      </w:r>
    </w:p>
    <w:p w14:paraId="12715F5E"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Тирасполь происходила артиллерийско-миномётная перестрелка. Советские разведчики выяснили, что в одной балке накапливается немецкая пехота. Сильным огневым налётом на эту балку наши артиллеристы уничтожили до трёх рот гитлеровцев.</w:t>
      </w:r>
    </w:p>
    <w:p w14:paraId="22644163"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одном участке 2-го Украинского фронта снайпер т. Бочаров, находясь в засаде за передним краем нашей обороны, за день уничтожил 24 немца. Через два дня на этом участке наши разведчики изъяли у убитого немецкого офицера дневник. В этом дневнике имеется следующая запись: «Сегодня нас особенно тревожил русский снайпер. Многие погибли от его пуль: 18 рядовых, три унтер-офицера. Погиб и командир роты Отто Крюгер. Русский, видимо, меткий стрелок. Почти все пули попали в лоб или в глаз. Кто этот безвестный стрелок?» Запись датирована как раз тем днём, когда снайпер тов. Бочаров вёл огонь из засады.</w:t>
      </w:r>
    </w:p>
    <w:p w14:paraId="7B2D3B31"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Латвийский партизанский отряд «Виестурс» за две недели пустил под откос 4 немецких воинских эшелона. Один поезд был взорван в тот момент, когда он проходил по железнодорожному мосту. Взрывом разрушен мост. Паровоз и 7 вагонов упали в реку. Погибло более 100 гитлеровцев. Движение поездов на этом участке было прекращено на трое суток.</w:t>
      </w:r>
    </w:p>
    <w:p w14:paraId="1144CAE7"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Немецкое верховное командование издаёт бюллетень «Сообщения для войск». В №87 этого бюллетеня за 1941 год в разделе «Вопросы и ответы» был опубликован следующий вопрос немецкого ефрейтора: «Нельзя ли заставить пленных польских солдат воевать против России и тем самым сохранить кровь и жизнь многих немцев?» Редакция бюллетеня ответила тогда ефрейтору: «Пленные польские солдаты заняты в Германии на различных работах, мы привыкли к ним, как к работникам, которым не надо платить, и очень довольны... Но необходимо предостеречь от беспечности... Полякам нельзя доверять оружия, ибо они обратят его против нас».</w:t>
      </w:r>
    </w:p>
    <w:p w14:paraId="1728BC63"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такое категорическое заявление, гитлеровцы, начиная с весны 1942 года, начали загонять поляков в немецкую армию. Не от хорошей жизни гитлеровцы пошли на такой шаг. Огромные потери немецко-фашистских войск на советско-германском фронте вынудили Гитлера искать людских пополнений для замены своих потрёпанных и перемолотых дивизий. Однако честные патриоты Польши не хотят служить немцам. Ниже публикуются показания немецких солдат, поляков понациональности, перешедших на сторону Красной Армии.</w:t>
      </w:r>
    </w:p>
    <w:p w14:paraId="10CFEBD9"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Солдат 14 немецкой моторизованной дивизии Францишек М. рассказал: «Всё время немецкие фашисты во всеуслышание говорили, что поляки — недочеловеки, что они могут быть только рабами господ из высшей немецкой расы. Теперь, когда у немцев не хватает солдат, Гитлер решил заставить поляков сражаться за интересы фашистской Германии. Однако никогда немцам не удастся восстановить поляков против русских. Мы, поляки, верим, что только вместе с русскими изгоним немцев из пределов нашей Родины. Тогда мы со спокойной душой и совестью вернёмся ксвоим семьям. А сейчас у меня только одна цель, одна мысль — бить и уничтожать немецко-фашистских захватчиков, являющихся самыми заклятыми врагами Польши».</w:t>
      </w:r>
    </w:p>
    <w:p w14:paraId="13979B0F"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Солдат 227 полка 100 немецкой егерской дивизии Казимир Б. рассказал: «На передовых позициях я пробыл всего лишь три дня. Мне выдали 90 патронов, но я ни одного из них не истратил. Свою винтовку и все патроны я сдал русскому офицеру. Немцы совершают в Польше такие злодеяния против мирных жителей, о которых народ будет помнить всю жизнь».</w:t>
      </w:r>
    </w:p>
    <w:p w14:paraId="3A243CE8"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Солдат 257 немецкой пехотной дивизии Владислав К. заявил: «Недавно я после госпиталя побывал на родине. Мои родственники и друзья упрекали и стыдили меня за то, что я всё ещё нахожусь в немецкой армии. Все они советовали мне перейти к русским, как только вернусь на фронт. Я так и сделал. Прошу предоставить мне возможность поступить в польскую армию и в её рядах сражаться против немцев» (14903).</w:t>
      </w:r>
    </w:p>
    <w:p w14:paraId="1B415B70" w14:textId="77777777" w:rsidR="00353781" w:rsidRPr="00070ADE" w:rsidRDefault="00353781" w:rsidP="00B56F90">
      <w:pPr>
        <w:spacing w:after="0" w:line="240" w:lineRule="auto"/>
        <w:jc w:val="both"/>
        <w:rPr>
          <w:rFonts w:ascii="Times New Roman" w:hAnsi="Times New Roman"/>
          <w:color w:val="000000" w:themeColor="text1"/>
          <w:sz w:val="16"/>
          <w:szCs w:val="16"/>
        </w:rPr>
      </w:pPr>
    </w:p>
    <w:p w14:paraId="355D924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1C1AF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DB561D" w14:textId="77777777" w:rsidR="006C7B98" w:rsidRPr="00070ADE" w:rsidRDefault="006C7B9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мая 1944 г. в Мельбурне был облетан головной самолет «Бофайтер» Mk. 21с бортовым обозначением А8-1, и до конца 1945 г. там и в Маскоте их сделали 364 штуки.</w:t>
      </w:r>
    </w:p>
    <w:p w14:paraId="6383843A" w14:textId="3CFFACE0" w:rsidR="006C7B98" w:rsidRPr="00070ADE" w:rsidRDefault="006C7B9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1941 г. в Австралию было поставлено 24 самолета «Бофайтер» IC. На Тихоокеанском ТВД такая машина оказалась особенно полезной, и о ее действиях мы неоднократно вспоминали на страницах Авиакаталога. Конструкторы государственного завода DAP в пригороде Мельбурна Фишменс Бэнд переоборудовали один из них американскими моторами Райт «Циклон» 14 GR-2800. Постепенно машина была доведена до уровня английской модификации TF X и получила еще более мощное вооружение — вместо пулеметов винтовочного калибра в крыле появились четыре американских 12,7-мм «браунинга». Английской «десятке» серийный австралийский</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уступал только по запасу топлива, будучи несколько легче, быстрее и маневреннее. Наладить поставки моторов из Америки не удалось, и в серии ставили английские «Геркулес» XVIII с турбокомпрессорами, с большей взлетной мощностью (что важно в тропиках) и более высотные (22973).</w:t>
      </w:r>
    </w:p>
    <w:p w14:paraId="4774A246" w14:textId="77777777" w:rsidR="006C7B98" w:rsidRPr="00070ADE" w:rsidRDefault="006C7B98" w:rsidP="00B56F90">
      <w:pPr>
        <w:spacing w:after="0" w:line="240" w:lineRule="auto"/>
        <w:jc w:val="both"/>
        <w:rPr>
          <w:rFonts w:ascii="Times New Roman" w:hAnsi="Times New Roman"/>
          <w:color w:val="000000" w:themeColor="text1"/>
          <w:sz w:val="16"/>
          <w:szCs w:val="16"/>
        </w:rPr>
      </w:pPr>
    </w:p>
    <w:p w14:paraId="5E7C1E7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мая 1944 из-за слухов о том, что французские оккупационные власти собираются отменить паранджи для сирийских женщин, в Дамаске начался вооруженный бунт арабов (4962).</w:t>
      </w:r>
    </w:p>
    <w:p w14:paraId="5AA986A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A0BE0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5A777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8D0E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выполнив 43 полета по программе испытаний, бригада (ведущий инженер П.Т.Аброщенко, ведущий летчик-испытатель А.К.Долгов, штурман Горбунов) рапортовала об успешном завершении госиспытаний Ил-10, которые проходили с 13 мая.</w:t>
      </w:r>
    </w:p>
    <w:p w14:paraId="425FB9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Опытный образец Ил-10 с мотором АМ-42 был представлен на испытания сразу в трех экземплярах, что позволило завершить испытания нового штурмовика всего за две недели.</w:t>
      </w:r>
    </w:p>
    <w:p w14:paraId="6D5E00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мнению А. Долгова и летчиков облета ГК НИИ ВВС (А. Синельникова, М. Субботина, А. Живописцева и Г. Тинякова) новый штурмовик Ил-10 “по технике пилотирования прост и не требует специального переучивания для перехода на него летчиков, летающих на серийных самолетах Ил-2...</w:t>
      </w:r>
    </w:p>
    <w:p w14:paraId="4A4B19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Устойчивость и управляемость хорошие. Путевая устойчивость несколько велика. Нагрузки от рулей нормальные по величине и направлению. Нагрузки от рулей высоты несколько велики. На рулежке устойчивость самолета недостаточна...”</w:t>
      </w:r>
    </w:p>
    <w:p w14:paraId="3E1844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выводах акта по результатам госиспытаний Ил-10-го отмечалось, что “...Ил-10,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 на границе высотности на 147 км/ч</w:t>
      </w:r>
    </w:p>
    <w:p w14:paraId="44113B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Время набора высоты 3000 м меньше на 3 мин... Дальность горизонтального полета на высоте 500 м возросла на 120 км.</w:t>
      </w:r>
    </w:p>
    <w:p w14:paraId="6421DD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w:t>
      </w:r>
    </w:p>
    <w:p w14:paraId="022B14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эксплуатации самолет прост... его производство может базироваться на технологии серийного производства Ил-2...</w:t>
      </w:r>
    </w:p>
    <w:p w14:paraId="49B46F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Ил-10 является классическим образцом самолета-штурмовика...”</w:t>
      </w:r>
    </w:p>
    <w:p w14:paraId="2A22BD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Машина была рекомендована для постановки серийного производства при условии устранения выявленных дефектов, связанных главным образом с ненадежной работой винтомоторной установки. В этой связи штурмовик был возвращен в ОКБ на завод № 240 для доводки (9649).</w:t>
      </w:r>
    </w:p>
    <w:p w14:paraId="11C51F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заключение отметим, что в Красной армии не проводились серьезные исследования по поиску оптимальной тактики боевого применения авиации при решении задач непосредственной авиационной поддержки войск в наступлении (контрнаступлении) и обороне.</w:t>
      </w:r>
    </w:p>
    <w:p w14:paraId="525AD8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Вследствие этого не были определены показатели и содержание авиационной поддержки войск и факторы, влияющие на нее. Вопрос выбора правильных направлений развития штурмовой авиации являлся для этого времени трудноразрешимой задачей и не имел однозначного, очевидного решения.</w:t>
      </w:r>
    </w:p>
    <w:p w14:paraId="023AFE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страна и авиапромышленность, затратив громадные усилия и средства на создание эффективных самолетов-штурмовиков (самолетов поля боя), получила на вооружение только один самолет, в известной мере удовлетворивший требованиям боевого применения вусло-виях Великой Отечественной войны -бронированный штурмовик Ил-2.</w:t>
      </w:r>
    </w:p>
    <w:p w14:paraId="2C4B9E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Придирчиво анализируя конструктивные особенности штурмовика Ил-2, можно сказать, что обещание создать “летающий танк” С.В.Ильюшин все же не выполнил - бронирование самолета не обеспечивало противо-снарядную защиту, а его вооружение нельзя признать танковым.</w:t>
      </w:r>
    </w:p>
    <w:p w14:paraId="6C0E9E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создать “летающий БМП”, выдающийся самолет, ставший впоследствии непревзойденным классиком штурмовой авиации, Ильюшин смог.</w:t>
      </w:r>
    </w:p>
    <w:p w14:paraId="07D542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 и его развитие Ил-10 (последний уже в конце войны) были единственными в мире серийными штурмо-виками периода войны, удачно сочетавшими хорошее бронирование с достаточно мощным бортовым комплексом вооружения: пушечным, пулеметным, ракетным и бомбовым, зажигательными и химическими системами.</w:t>
      </w:r>
    </w:p>
    <w:p w14:paraId="1B5527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всех авиаконструкторов, занимавшихся созданием штурмовых самолетов (самолетов поля боя), только П.О.Сухому удалось, уже во время войны, превзойти достижение С.В.Ильюшина и создать лучшую в мировой практике и, пожалуй, единственную в это время полноценную авиационную систему вооружения для непосредственной поддержки войск - одномоторный скоростной маневренный штурмовик Су-6 М-71Ф и тяжелый двухмоторный бронированный Су-8 2М-71Ф.</w:t>
      </w:r>
    </w:p>
    <w:p w14:paraId="2CDDF2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периода 2-й Мировой войны боевые возможности этой пары штурмовиков, взаимно дополняющих друг друга в бою, наилучшим образом соответствовали требованиям непосредственной авиационной поддержки войск, обеспечивая эффективное огневое поражение с воздуха войск и боевой техники противника на всю глубину его оперативного построения.</w:t>
      </w:r>
    </w:p>
    <w:p w14:paraId="59B0D0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случае постановки на вооружение “суховской” штурмовой авиасистемы эффективность авиационной поддержки войск Красной армии в наступлении </w:t>
      </w:r>
      <w:r w:rsidRPr="00070ADE">
        <w:rPr>
          <w:rFonts w:ascii="Times New Roman" w:hAnsi="Times New Roman"/>
          <w:color w:val="000000" w:themeColor="text1"/>
          <w:sz w:val="16"/>
          <w:szCs w:val="16"/>
        </w:rPr>
        <w:lastRenderedPageBreak/>
        <w:t>(контрнаступлении) и обороне могла быть повышена, как показывают расчеты, примерно, в 2-2,5 раза, что уменьшило бы потери войск и приблизило Победу.</w:t>
      </w:r>
    </w:p>
    <w:p w14:paraId="6F44D7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Остается только сожалеть, что такая интересная машина С.А.Кочеригина как ОПБ с М-90 (или с АМ-37) не была реализована.</w:t>
      </w:r>
    </w:p>
    <w:p w14:paraId="3F197C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становится особенно важным, если рассматривать ОПБ как дополнение к двухмоторному тяжелому штурмовику Су-8 2М-71Ф, который все же не мог успешно поражать малоразмерные сильнозащищенные цели, например, такие как железобетонные ДОТ и т. д., для поражения которых необходимо было бомбометание с пикирования.</w:t>
      </w:r>
    </w:p>
    <w:p w14:paraId="4FDC07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Представляется, что ОПБ и Су-8 в условиях войны 1941-45 гг. были бы оптимальной “боевой парой” в составе ВВС КА, которая “накрывала” абсолютно все боевые задачи авиационной поддержки наземных войск при проведении последними как глубокой наступательной, так и оборонительной операций (9649).</w:t>
      </w:r>
    </w:p>
    <w:p w14:paraId="471A23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E32E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выполнив 43 полета (налет 22 ч 37 мин), бригада ра</w:t>
      </w:r>
      <w:r w:rsidRPr="00070ADE">
        <w:rPr>
          <w:rFonts w:ascii="Times New Roman" w:hAnsi="Times New Roman"/>
          <w:color w:val="000000" w:themeColor="text1"/>
          <w:sz w:val="16"/>
          <w:szCs w:val="16"/>
        </w:rPr>
        <w:softHyphen/>
        <w:t>портовала об успешном завершении госиспытаний Ил-10. Вес пустого самолета Ил-10, пред</w:t>
      </w:r>
      <w:r w:rsidRPr="00070ADE">
        <w:rPr>
          <w:rFonts w:ascii="Times New Roman" w:hAnsi="Times New Roman"/>
          <w:color w:val="000000" w:themeColor="text1"/>
          <w:sz w:val="16"/>
          <w:szCs w:val="16"/>
        </w:rPr>
        <w:softHyphen/>
        <w:t>ставленного на госиспытания, составлял 4680 кг; нормальный полетный вес при этом равнялся 6335 кг. В перегрузку можно было взять до 500 кг бомб (две ФАБ-250) на наружной подвеске либо до 600 кг—внутри (мелкие бомбы в отсе</w:t>
      </w:r>
      <w:r w:rsidRPr="00070ADE">
        <w:rPr>
          <w:rFonts w:ascii="Times New Roman" w:hAnsi="Times New Roman"/>
          <w:color w:val="000000" w:themeColor="text1"/>
          <w:sz w:val="16"/>
          <w:szCs w:val="16"/>
        </w:rPr>
        <w:softHyphen/>
        <w:t>ках). Подвижная установка ВУ-7 обеспе</w:t>
      </w:r>
      <w:r w:rsidRPr="00070ADE">
        <w:rPr>
          <w:rFonts w:ascii="Times New Roman" w:hAnsi="Times New Roman"/>
          <w:color w:val="000000" w:themeColor="text1"/>
          <w:sz w:val="16"/>
          <w:szCs w:val="16"/>
        </w:rPr>
        <w:softHyphen/>
        <w:t>чивала стрельбу в задней полусфере в секторах: вверх — 40° (от нейтрального положения, параллельного оси самоле</w:t>
      </w:r>
      <w:r w:rsidRPr="00070ADE">
        <w:rPr>
          <w:rFonts w:ascii="Times New Roman" w:hAnsi="Times New Roman"/>
          <w:color w:val="000000" w:themeColor="text1"/>
          <w:sz w:val="16"/>
          <w:szCs w:val="16"/>
        </w:rPr>
        <w:softHyphen/>
        <w:t>та), вниз— 15° (с поворотом пулемета к борту), вправо — 55°, влево — 50°. В итоге летно-тактические данные штурмовика Ил-10 сочли выдающимися. При нормальном полетном весе на но</w:t>
      </w:r>
      <w:r w:rsidRPr="00070ADE">
        <w:rPr>
          <w:rFonts w:ascii="Times New Roman" w:hAnsi="Times New Roman"/>
          <w:color w:val="000000" w:themeColor="text1"/>
          <w:sz w:val="16"/>
          <w:szCs w:val="16"/>
        </w:rPr>
        <w:softHyphen/>
        <w:t>минальном режиме работы мотора мак</w:t>
      </w:r>
      <w:r w:rsidRPr="00070ADE">
        <w:rPr>
          <w:rFonts w:ascii="Times New Roman" w:hAnsi="Times New Roman"/>
          <w:color w:val="000000" w:themeColor="text1"/>
          <w:sz w:val="16"/>
          <w:szCs w:val="16"/>
        </w:rPr>
        <w:softHyphen/>
        <w:t>симальная горизонтальная скорость по</w:t>
      </w:r>
      <w:r w:rsidRPr="00070ADE">
        <w:rPr>
          <w:rFonts w:ascii="Times New Roman" w:hAnsi="Times New Roman"/>
          <w:color w:val="000000" w:themeColor="text1"/>
          <w:sz w:val="16"/>
          <w:szCs w:val="16"/>
        </w:rPr>
        <w:softHyphen/>
        <w:t>лета на высоте 2800 м оказалась рав</w:t>
      </w:r>
      <w:r w:rsidRPr="00070ADE">
        <w:rPr>
          <w:rFonts w:ascii="Times New Roman" w:hAnsi="Times New Roman"/>
          <w:color w:val="000000" w:themeColor="text1"/>
          <w:sz w:val="16"/>
          <w:szCs w:val="16"/>
        </w:rPr>
        <w:softHyphen/>
        <w:t>ной 551 км/ч — почти на 150 км/ч больше максимальной скорости Ил-2 с АМ-38Ф, а максимальная скорость у земли соста</w:t>
      </w:r>
      <w:r w:rsidRPr="00070ADE">
        <w:rPr>
          <w:rFonts w:ascii="Times New Roman" w:hAnsi="Times New Roman"/>
          <w:color w:val="000000" w:themeColor="text1"/>
          <w:sz w:val="16"/>
          <w:szCs w:val="16"/>
        </w:rPr>
        <w:softHyphen/>
        <w:t>вила 507 км/ч. Время набора высоты 1000 м не превышало 1,6 мин, а высоты 3000 м — 5,0 мин. Вертикальная ско</w:t>
      </w:r>
      <w:r w:rsidRPr="00070ADE">
        <w:rPr>
          <w:rFonts w:ascii="Times New Roman" w:hAnsi="Times New Roman"/>
          <w:color w:val="000000" w:themeColor="text1"/>
          <w:sz w:val="16"/>
          <w:szCs w:val="16"/>
        </w:rPr>
        <w:softHyphen/>
        <w:t>рость у земли равнялась 9,8 м/с. Макси</w:t>
      </w:r>
      <w:r w:rsidRPr="00070ADE">
        <w:rPr>
          <w:rFonts w:ascii="Times New Roman" w:hAnsi="Times New Roman"/>
          <w:color w:val="000000" w:themeColor="text1"/>
          <w:sz w:val="16"/>
          <w:szCs w:val="16"/>
        </w:rPr>
        <w:softHyphen/>
        <w:t>мальная техническая дальность полета составила 800 км (продолжительность полета 2 ч 28 мин). Длина разбега со щитками и с форсажем мотора — 475 м. Посадочная скорость нового штурмови-ка была почти такой же, как у Ил-2. При посадочном весе 5380 кг и с отклонен</w:t>
      </w:r>
      <w:r w:rsidRPr="00070ADE">
        <w:rPr>
          <w:rFonts w:ascii="Times New Roman" w:hAnsi="Times New Roman"/>
          <w:color w:val="000000" w:themeColor="text1"/>
          <w:sz w:val="16"/>
          <w:szCs w:val="16"/>
        </w:rPr>
        <w:softHyphen/>
        <w:t>ными на 45° щитками она равнялась 148 км/ч. Удельные нагрузки на крыло и мощ</w:t>
      </w:r>
      <w:r w:rsidRPr="00070ADE">
        <w:rPr>
          <w:rFonts w:ascii="Times New Roman" w:hAnsi="Times New Roman"/>
          <w:color w:val="000000" w:themeColor="text1"/>
          <w:sz w:val="16"/>
          <w:szCs w:val="16"/>
        </w:rPr>
        <w:softHyphen/>
        <w:t>ность мотора при нормальном полетном весе 6335 кг, равные 211,2 кг/м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 xml:space="preserve"> и 3,17 кг/л.с. соответственно, полностью соответ</w:t>
      </w:r>
      <w:r w:rsidRPr="00070ADE">
        <w:rPr>
          <w:rFonts w:ascii="Times New Roman" w:hAnsi="Times New Roman"/>
          <w:color w:val="000000" w:themeColor="text1"/>
          <w:sz w:val="16"/>
          <w:szCs w:val="16"/>
        </w:rPr>
        <w:softHyphen/>
        <w:t>ствовали концепции маневренного ско</w:t>
      </w:r>
      <w:r w:rsidRPr="00070ADE">
        <w:rPr>
          <w:rFonts w:ascii="Times New Roman" w:hAnsi="Times New Roman"/>
          <w:color w:val="000000" w:themeColor="text1"/>
          <w:sz w:val="16"/>
          <w:szCs w:val="16"/>
        </w:rPr>
        <w:softHyphen/>
        <w:t>ростного штурмовика. На «рабочих» вы</w:t>
      </w:r>
      <w:r w:rsidRPr="00070ADE">
        <w:rPr>
          <w:rFonts w:ascii="Times New Roman" w:hAnsi="Times New Roman"/>
          <w:color w:val="000000" w:themeColor="text1"/>
          <w:sz w:val="16"/>
          <w:szCs w:val="16"/>
        </w:rPr>
        <w:softHyphen/>
        <w:t>сотах (от земли до 1500 м) скорость двух</w:t>
      </w:r>
      <w:r w:rsidRPr="00070ADE">
        <w:rPr>
          <w:rFonts w:ascii="Times New Roman" w:hAnsi="Times New Roman"/>
          <w:color w:val="000000" w:themeColor="text1"/>
          <w:sz w:val="16"/>
          <w:szCs w:val="16"/>
        </w:rPr>
        <w:softHyphen/>
        <w:t>местного бронированного Ил-10 была всего лишь на 10 — 40 км/ч меньше макси</w:t>
      </w:r>
      <w:r w:rsidRPr="00070ADE">
        <w:rPr>
          <w:rFonts w:ascii="Times New Roman" w:hAnsi="Times New Roman"/>
          <w:color w:val="000000" w:themeColor="text1"/>
          <w:sz w:val="16"/>
          <w:szCs w:val="16"/>
        </w:rPr>
        <w:softHyphen/>
        <w:t>мальных скоростей массовых истребите</w:t>
      </w:r>
      <w:r w:rsidRPr="00070ADE">
        <w:rPr>
          <w:rFonts w:ascii="Times New Roman" w:hAnsi="Times New Roman"/>
          <w:color w:val="000000" w:themeColor="text1"/>
          <w:sz w:val="16"/>
          <w:szCs w:val="16"/>
        </w:rPr>
        <w:softHyphen/>
        <w:t>лей Люфтваффе Ме109С-2 и ФВ190А-4. Несмотря на то, что установленный на опытном образце Ил-10 мотор работал с перебоями, дымил и плевался маслом, новый штурмовик оставил у летчиков НИИ ВВС приятное впечатление по ус</w:t>
      </w:r>
      <w:r w:rsidRPr="00070ADE">
        <w:rPr>
          <w:rFonts w:ascii="Times New Roman" w:hAnsi="Times New Roman"/>
          <w:color w:val="000000" w:themeColor="text1"/>
          <w:sz w:val="16"/>
          <w:szCs w:val="16"/>
        </w:rPr>
        <w:softHyphen/>
        <w:t>тойчивости, управляемости и летным качествам. Во всем диапазоне скоростей (от минимальной по сваливанию до мак</w:t>
      </w:r>
      <w:r w:rsidRPr="00070ADE">
        <w:rPr>
          <w:rFonts w:ascii="Times New Roman" w:hAnsi="Times New Roman"/>
          <w:color w:val="000000" w:themeColor="text1"/>
          <w:sz w:val="16"/>
          <w:szCs w:val="16"/>
        </w:rPr>
        <w:softHyphen/>
        <w:t>симальной) самолет был устойчив по всем трем осям и показал прекрасную маневренность, как в горизонтальной плоскости, так и в вертикальной. По мнению ведущего летчика А.К. Долгова и летчиков облета А.В. Си</w:t>
      </w:r>
      <w:r w:rsidRPr="00070ADE">
        <w:rPr>
          <w:rFonts w:ascii="Times New Roman" w:hAnsi="Times New Roman"/>
          <w:color w:val="000000" w:themeColor="text1"/>
          <w:sz w:val="16"/>
          <w:szCs w:val="16"/>
        </w:rPr>
        <w:softHyphen/>
        <w:t>нельникова, М.П. Субботина, А. Живописцева и Г. Тинякова, новый штурмовик «...по технике пилотирования прост и не требует специального переучивания для перехода на него летчиков, летающих на серийных самолетах Ил-2... Устойчи</w:t>
      </w:r>
      <w:r w:rsidRPr="00070ADE">
        <w:rPr>
          <w:rFonts w:ascii="Times New Roman" w:hAnsi="Times New Roman"/>
          <w:color w:val="000000" w:themeColor="text1"/>
          <w:sz w:val="16"/>
          <w:szCs w:val="16"/>
        </w:rPr>
        <w:softHyphen/>
        <w:t>вость и управляемость хорошие. Путе</w:t>
      </w:r>
      <w:r w:rsidRPr="00070ADE">
        <w:rPr>
          <w:rFonts w:ascii="Times New Roman" w:hAnsi="Times New Roman"/>
          <w:color w:val="000000" w:themeColor="text1"/>
          <w:sz w:val="16"/>
          <w:szCs w:val="16"/>
        </w:rPr>
        <w:softHyphen/>
        <w:t>вая устойчивость несколько велика. На</w:t>
      </w:r>
      <w:r w:rsidRPr="00070ADE">
        <w:rPr>
          <w:rFonts w:ascii="Times New Roman" w:hAnsi="Times New Roman"/>
          <w:color w:val="000000" w:themeColor="text1"/>
          <w:sz w:val="16"/>
          <w:szCs w:val="16"/>
        </w:rPr>
        <w:softHyphen/>
        <w:t>грузки от рулей нормальные по величи</w:t>
      </w:r>
      <w:r w:rsidRPr="00070ADE">
        <w:rPr>
          <w:rFonts w:ascii="Times New Roman" w:hAnsi="Times New Roman"/>
          <w:color w:val="000000" w:themeColor="text1"/>
          <w:sz w:val="16"/>
          <w:szCs w:val="16"/>
        </w:rPr>
        <w:softHyphen/>
        <w:t>не и направлению. Нагрузки от рулей высоты несколько велики. На рулежке устойчивость самолета недостаточ</w:t>
      </w:r>
      <w:r w:rsidRPr="00070ADE">
        <w:rPr>
          <w:rFonts w:ascii="Times New Roman" w:hAnsi="Times New Roman"/>
          <w:color w:val="000000" w:themeColor="text1"/>
          <w:sz w:val="16"/>
          <w:szCs w:val="16"/>
        </w:rPr>
        <w:softHyphen/>
        <w:t>ная...». Но были выявлены и существенные недостатки: не предусматривался ава</w:t>
      </w:r>
      <w:r w:rsidRPr="00070ADE">
        <w:rPr>
          <w:rFonts w:ascii="Times New Roman" w:hAnsi="Times New Roman"/>
          <w:color w:val="000000" w:themeColor="text1"/>
          <w:sz w:val="16"/>
          <w:szCs w:val="16"/>
        </w:rPr>
        <w:softHyphen/>
        <w:t>рийный сброс фонарей кабин; экипаж страдал от невыносимой жары — через кабину проходила горячая водяная ма</w:t>
      </w:r>
      <w:r w:rsidRPr="00070ADE">
        <w:rPr>
          <w:rFonts w:ascii="Times New Roman" w:hAnsi="Times New Roman"/>
          <w:color w:val="000000" w:themeColor="text1"/>
          <w:sz w:val="16"/>
          <w:szCs w:val="16"/>
        </w:rPr>
        <w:softHyphen/>
        <w:t>гистраль, практически не имевшая теп</w:t>
      </w:r>
      <w:r w:rsidRPr="00070ADE">
        <w:rPr>
          <w:rFonts w:ascii="Times New Roman" w:hAnsi="Times New Roman"/>
          <w:color w:val="000000" w:themeColor="text1"/>
          <w:sz w:val="16"/>
          <w:szCs w:val="16"/>
        </w:rPr>
        <w:softHyphen/>
        <w:t>лоизоляции. Отсутствовала система ней</w:t>
      </w:r>
      <w:r w:rsidRPr="00070ADE">
        <w:rPr>
          <w:rFonts w:ascii="Times New Roman" w:hAnsi="Times New Roman"/>
          <w:color w:val="000000" w:themeColor="text1"/>
          <w:sz w:val="16"/>
          <w:szCs w:val="16"/>
        </w:rPr>
        <w:softHyphen/>
        <w:t>трального газа, уже ставшая нормой для большинства боевых машин. Плохо ра</w:t>
      </w:r>
      <w:r w:rsidRPr="00070ADE">
        <w:rPr>
          <w:rFonts w:ascii="Times New Roman" w:hAnsi="Times New Roman"/>
          <w:color w:val="000000" w:themeColor="text1"/>
          <w:sz w:val="16"/>
          <w:szCs w:val="16"/>
        </w:rPr>
        <w:softHyphen/>
        <w:t>ботали тормоза колес. В выводах акта по результатам испы</w:t>
      </w:r>
      <w:r w:rsidRPr="00070ADE">
        <w:rPr>
          <w:rFonts w:ascii="Times New Roman" w:hAnsi="Times New Roman"/>
          <w:color w:val="000000" w:themeColor="text1"/>
          <w:sz w:val="16"/>
          <w:szCs w:val="16"/>
        </w:rPr>
        <w:softHyphen/>
        <w:t>таний отмечалось: "...Ил-10, по сравне</w:t>
      </w:r>
      <w:r w:rsidRPr="00070ADE">
        <w:rPr>
          <w:rFonts w:ascii="Times New Roman" w:hAnsi="Times New Roman"/>
          <w:color w:val="000000" w:themeColor="text1"/>
          <w:sz w:val="16"/>
          <w:szCs w:val="16"/>
        </w:rPr>
        <w:softHyphen/>
        <w:t>нию с Ил-2, несмотря на ухудшение взлет</w:t>
      </w:r>
      <w:r w:rsidRPr="00070ADE">
        <w:rPr>
          <w:rFonts w:ascii="Times New Roman" w:hAnsi="Times New Roman"/>
          <w:color w:val="000000" w:themeColor="text1"/>
          <w:sz w:val="16"/>
          <w:szCs w:val="16"/>
        </w:rPr>
        <w:softHyphen/>
        <w:t>но-посадочных свойств, имеет явное пре</w:t>
      </w:r>
      <w:r w:rsidRPr="00070ADE">
        <w:rPr>
          <w:rFonts w:ascii="Times New Roman" w:hAnsi="Times New Roman"/>
          <w:color w:val="000000" w:themeColor="text1"/>
          <w:sz w:val="16"/>
          <w:szCs w:val="16"/>
        </w:rPr>
        <w:softHyphen/>
        <w:t>имущество, в частности, максимальная скорость больше: у земли на 123 км/ч, на границе высотности на 147 км/ч... Время набора высоты 3000 м меньше на 3 мин... Дальность горизонтального по</w:t>
      </w:r>
      <w:r w:rsidRPr="00070ADE">
        <w:rPr>
          <w:rFonts w:ascii="Times New Roman" w:hAnsi="Times New Roman"/>
          <w:color w:val="000000" w:themeColor="text1"/>
          <w:sz w:val="16"/>
          <w:szCs w:val="16"/>
        </w:rPr>
        <w:softHyphen/>
        <w:t>лета на высоте 500 м возросла на 120 км... Высокая скорость полета, хо</w:t>
      </w:r>
      <w:r w:rsidRPr="00070ADE">
        <w:rPr>
          <w:rFonts w:ascii="Times New Roman" w:hAnsi="Times New Roman"/>
          <w:color w:val="000000" w:themeColor="text1"/>
          <w:sz w:val="16"/>
          <w:szCs w:val="16"/>
        </w:rPr>
        <w:softHyphen/>
        <w:t>рошая устойчивость и управляемость при аналогичном с самолетом Ил-2 оружии активного нападения позволя</w:t>
      </w:r>
      <w:r w:rsidRPr="00070ADE">
        <w:rPr>
          <w:rFonts w:ascii="Times New Roman" w:hAnsi="Times New Roman"/>
          <w:color w:val="000000" w:themeColor="text1"/>
          <w:sz w:val="16"/>
          <w:szCs w:val="16"/>
        </w:rPr>
        <w:softHyphen/>
        <w:t>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w:t>
      </w:r>
      <w:r w:rsidRPr="00070ADE">
        <w:rPr>
          <w:rFonts w:ascii="Times New Roman" w:hAnsi="Times New Roman"/>
          <w:color w:val="000000" w:themeColor="text1"/>
          <w:sz w:val="16"/>
          <w:szCs w:val="16"/>
        </w:rPr>
        <w:softHyphen/>
        <w:t>ного боя с истребителями противника... В эксплуатации самолет прост... его про</w:t>
      </w:r>
      <w:r w:rsidRPr="00070ADE">
        <w:rPr>
          <w:rFonts w:ascii="Times New Roman" w:hAnsi="Times New Roman"/>
          <w:color w:val="000000" w:themeColor="text1"/>
          <w:sz w:val="16"/>
          <w:szCs w:val="16"/>
        </w:rPr>
        <w:softHyphen/>
        <w:t>изводство может базироваться на техно</w:t>
      </w:r>
      <w:r w:rsidRPr="00070ADE">
        <w:rPr>
          <w:rFonts w:ascii="Times New Roman" w:hAnsi="Times New Roman"/>
          <w:color w:val="000000" w:themeColor="text1"/>
          <w:sz w:val="16"/>
          <w:szCs w:val="16"/>
        </w:rPr>
        <w:softHyphen/>
        <w:t>логии серийного производства Ил-2... Самолет Ил-10 является классическим образцом самолета-штурмовика...». Машина была рекомендована для массового серийного производства в ка</w:t>
      </w:r>
      <w:r w:rsidRPr="00070ADE">
        <w:rPr>
          <w:rFonts w:ascii="Times New Roman" w:hAnsi="Times New Roman"/>
          <w:color w:val="000000" w:themeColor="text1"/>
          <w:sz w:val="16"/>
          <w:szCs w:val="16"/>
        </w:rPr>
        <w:softHyphen/>
        <w:t>честве основного типа штурмовика вза</w:t>
      </w:r>
      <w:r w:rsidRPr="00070ADE">
        <w:rPr>
          <w:rFonts w:ascii="Times New Roman" w:hAnsi="Times New Roman"/>
          <w:color w:val="000000" w:themeColor="text1"/>
          <w:sz w:val="16"/>
          <w:szCs w:val="16"/>
        </w:rPr>
        <w:softHyphen/>
        <w:t>мен Ил-2 при условии обязательного ус</w:t>
      </w:r>
      <w:r w:rsidRPr="00070ADE">
        <w:rPr>
          <w:rFonts w:ascii="Times New Roman" w:hAnsi="Times New Roman"/>
          <w:color w:val="000000" w:themeColor="text1"/>
          <w:sz w:val="16"/>
          <w:szCs w:val="16"/>
        </w:rPr>
        <w:softHyphen/>
        <w:t>транения выявленных дефектов и недо</w:t>
      </w:r>
      <w:r w:rsidRPr="00070ADE">
        <w:rPr>
          <w:rFonts w:ascii="Times New Roman" w:hAnsi="Times New Roman"/>
          <w:color w:val="000000" w:themeColor="text1"/>
          <w:sz w:val="16"/>
          <w:szCs w:val="16"/>
        </w:rPr>
        <w:softHyphen/>
        <w:t>статков. В серии предлагалось изменить бронирование Ил-10, выполнив его по образцу Ил-8 (создававшегося парал</w:t>
      </w:r>
      <w:r w:rsidRPr="00070ADE">
        <w:rPr>
          <w:rFonts w:ascii="Times New Roman" w:hAnsi="Times New Roman"/>
          <w:color w:val="000000" w:themeColor="text1"/>
          <w:sz w:val="16"/>
          <w:szCs w:val="16"/>
        </w:rPr>
        <w:softHyphen/>
        <w:t>лельно тяжелого штурмовика), а вопрос об оборонительном пушечном вооруже</w:t>
      </w:r>
      <w:r w:rsidRPr="00070ADE">
        <w:rPr>
          <w:rFonts w:ascii="Times New Roman" w:hAnsi="Times New Roman"/>
          <w:color w:val="000000" w:themeColor="text1"/>
          <w:sz w:val="16"/>
          <w:szCs w:val="16"/>
        </w:rPr>
        <w:softHyphen/>
        <w:t>нии решить «после испытаний легких пу</w:t>
      </w:r>
      <w:r w:rsidRPr="00070ADE">
        <w:rPr>
          <w:rFonts w:ascii="Times New Roman" w:hAnsi="Times New Roman"/>
          <w:color w:val="000000" w:themeColor="text1"/>
          <w:sz w:val="16"/>
          <w:szCs w:val="16"/>
        </w:rPr>
        <w:softHyphen/>
        <w:t>шек калибра 20 мм». Опытный образец самолета вернули на завод № 240 (10680).</w:t>
      </w:r>
    </w:p>
    <w:p w14:paraId="36862C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6840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закончились гос. испытания духместного бронированного штурмовика Ил-10 с мотором АМ-42 и винтом АВ-5Л-24 конструкции С.В.И." (производство завода 18, сборка завода 240 в апреле 1944) (Тема N 15 - 1944), которые проходили с 14 мая 1944. Ви и-м П.Т.Аброщенко, Пом. ви и-к С.Г.Фролов, Вл пп А.К.Долгов. Облетали и-м Синельников, м Субботин, м Живописцев, ст. л Тиняков, пп Цветков, ш-и Шауров, и-и к Горбунов, ш-и к Васильев и др.</w:t>
      </w:r>
    </w:p>
    <w:p w14:paraId="3E7EF3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Цель испытаний:</w:t>
      </w:r>
    </w:p>
    <w:p w14:paraId="2759B5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Определить ЛТД двухместного самолета Ил-10 с мотором АМ-42</w:t>
      </w:r>
    </w:p>
    <w:p w14:paraId="378C95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Дать заключение о целесообразности внедрение его в серийное производство.</w:t>
      </w:r>
    </w:p>
    <w:p w14:paraId="2754E8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испытаний выполнили 47 полетов с общим налетом 22:37</w:t>
      </w:r>
    </w:p>
    <w:p w14:paraId="7F638F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Конструкция - обычная. Броня - от 10 до 4 мм по типу Ил-2, но с защитой стрелка. Сзади вместо 12 мм 2х8 мм разнесенная. Новое бронестекло. Вес брони 1010 кг 15.5%. ВЯ-23 могли быть заменены на 11-П с сохранением остального вооружения без изменений. Ву-7 с Ш-20 и прицелом К-8Т. Бомбы до ФАБ-100 внутри и ДАГ-10 для АГ-2.</w:t>
      </w:r>
    </w:p>
    <w:p w14:paraId="2976C0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 выдержал. Рекомендован в серию как основной тип штурмовика. Просили С.В.И. устранить дефекты, ЦАГИ - подвергнуть стат. и динамическим испытаниям, ЦИАМ - разработать механизм объединенного управления винтом и газом для АМ-42. Передать машину С.В.И. для смены мотора и предъявить в НИИ ВВС для дополнительных испытаний (1866).</w:t>
      </w:r>
    </w:p>
    <w:p w14:paraId="4BB75A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1537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государственные испытания Ил-10 завершились. Летные данные "десятки" оказались весьма высоки</w:t>
      </w:r>
      <w:r w:rsidRPr="00070ADE">
        <w:rPr>
          <w:rFonts w:ascii="Times New Roman" w:hAnsi="Times New Roman"/>
          <w:color w:val="000000" w:themeColor="text1"/>
          <w:sz w:val="16"/>
          <w:szCs w:val="16"/>
        </w:rPr>
        <w:softHyphen/>
        <w:t>ми. При полетном весе 6335 кг (400 кг бомб) максимальная скорость поле</w:t>
      </w:r>
      <w:r w:rsidRPr="00070ADE">
        <w:rPr>
          <w:rFonts w:ascii="Times New Roman" w:hAnsi="Times New Roman"/>
          <w:color w:val="000000" w:themeColor="text1"/>
          <w:sz w:val="16"/>
          <w:szCs w:val="16"/>
        </w:rPr>
        <w:softHyphen/>
        <w:t>та на высоте 2800 м оказалась рав</w:t>
      </w:r>
      <w:r w:rsidRPr="00070ADE">
        <w:rPr>
          <w:rFonts w:ascii="Times New Roman" w:hAnsi="Times New Roman"/>
          <w:color w:val="000000" w:themeColor="text1"/>
          <w:sz w:val="16"/>
          <w:szCs w:val="16"/>
        </w:rPr>
        <w:softHyphen/>
        <w:t>ной 551 км/ч, а у земли — 507 км/ч. Время набора высоты 1000 м не превышало 1,6 минут. На самолете использовался винт АВ-9л-24 диамет</w:t>
      </w:r>
      <w:r w:rsidRPr="00070ADE">
        <w:rPr>
          <w:rFonts w:ascii="Times New Roman" w:hAnsi="Times New Roman"/>
          <w:color w:val="000000" w:themeColor="text1"/>
          <w:sz w:val="16"/>
          <w:szCs w:val="16"/>
        </w:rPr>
        <w:softHyphen/>
        <w:t>ром 3,6 м.</w:t>
      </w:r>
    </w:p>
    <w:p w14:paraId="4CF4A3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Необходимо отметить, что уста</w:t>
      </w:r>
      <w:r w:rsidRPr="00070ADE">
        <w:rPr>
          <w:rFonts w:ascii="Times New Roman" w:hAnsi="Times New Roman"/>
          <w:color w:val="000000" w:themeColor="text1"/>
          <w:sz w:val="16"/>
          <w:szCs w:val="16"/>
        </w:rPr>
        <w:softHyphen/>
        <w:t>новленный на Ил-10 мотор АМ-42 (зав. № 4257) оказался вполне кон</w:t>
      </w:r>
      <w:r w:rsidRPr="00070ADE">
        <w:rPr>
          <w:rFonts w:ascii="Times New Roman" w:hAnsi="Times New Roman"/>
          <w:color w:val="000000" w:themeColor="text1"/>
          <w:sz w:val="16"/>
          <w:szCs w:val="16"/>
        </w:rPr>
        <w:softHyphen/>
        <w:t>диционным, так как работал значи</w:t>
      </w:r>
      <w:r w:rsidRPr="00070ADE">
        <w:rPr>
          <w:rFonts w:ascii="Times New Roman" w:hAnsi="Times New Roman"/>
          <w:color w:val="000000" w:themeColor="text1"/>
          <w:sz w:val="16"/>
          <w:szCs w:val="16"/>
        </w:rPr>
        <w:softHyphen/>
        <w:t>тельно устойчивее, чем мотор, уста</w:t>
      </w:r>
      <w:r w:rsidRPr="00070ADE">
        <w:rPr>
          <w:rFonts w:ascii="Times New Roman" w:hAnsi="Times New Roman"/>
          <w:color w:val="000000" w:themeColor="text1"/>
          <w:sz w:val="16"/>
          <w:szCs w:val="16"/>
        </w:rPr>
        <w:softHyphen/>
        <w:t>новленный на Су-6. Такой опасный дефект, как возгорание топливной смеси во всасывающих патрубках, ни в одном из полетов не наблюдался. Однако и на нем в полетах отмеча</w:t>
      </w:r>
      <w:r w:rsidRPr="00070ADE">
        <w:rPr>
          <w:rFonts w:ascii="Times New Roman" w:hAnsi="Times New Roman"/>
          <w:color w:val="000000" w:themeColor="text1"/>
          <w:sz w:val="16"/>
          <w:szCs w:val="16"/>
        </w:rPr>
        <w:softHyphen/>
        <w:t>лось дымление на всех режимах ра</w:t>
      </w:r>
      <w:r w:rsidRPr="00070ADE">
        <w:rPr>
          <w:rFonts w:ascii="Times New Roman" w:hAnsi="Times New Roman"/>
          <w:color w:val="000000" w:themeColor="text1"/>
          <w:sz w:val="16"/>
          <w:szCs w:val="16"/>
        </w:rPr>
        <w:softHyphen/>
        <w:t>боты мотора, "выброс масла через суфлер мотора при работе на но</w:t>
      </w:r>
      <w:r w:rsidRPr="00070ADE">
        <w:rPr>
          <w:rFonts w:ascii="Times New Roman" w:hAnsi="Times New Roman"/>
          <w:color w:val="000000" w:themeColor="text1"/>
          <w:sz w:val="16"/>
          <w:szCs w:val="16"/>
        </w:rPr>
        <w:softHyphen/>
        <w:t>минальной мощности", а также "течь масла из фланцев крепления мотор</w:t>
      </w:r>
      <w:r w:rsidRPr="00070ADE">
        <w:rPr>
          <w:rFonts w:ascii="Times New Roman" w:hAnsi="Times New Roman"/>
          <w:color w:val="000000" w:themeColor="text1"/>
          <w:sz w:val="16"/>
          <w:szCs w:val="16"/>
        </w:rPr>
        <w:softHyphen/>
        <w:t>ных агрегатов".</w:t>
      </w:r>
    </w:p>
    <w:p w14:paraId="6028DA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устойчивости, управляемости и летным качествам новый штурмо</w:t>
      </w:r>
      <w:r w:rsidRPr="00070ADE">
        <w:rPr>
          <w:rFonts w:ascii="Times New Roman" w:hAnsi="Times New Roman"/>
          <w:color w:val="000000" w:themeColor="text1"/>
          <w:sz w:val="16"/>
          <w:szCs w:val="16"/>
        </w:rPr>
        <w:softHyphen/>
        <w:t>вик оставил у летчиков НИИ ВВС при</w:t>
      </w:r>
      <w:r w:rsidRPr="00070ADE">
        <w:rPr>
          <w:rFonts w:ascii="Times New Roman" w:hAnsi="Times New Roman"/>
          <w:color w:val="000000" w:themeColor="text1"/>
          <w:sz w:val="16"/>
          <w:szCs w:val="16"/>
        </w:rPr>
        <w:softHyphen/>
        <w:t>ятное впечатление. Во всем диапа</w:t>
      </w:r>
      <w:r w:rsidRPr="00070ADE">
        <w:rPr>
          <w:rFonts w:ascii="Times New Roman" w:hAnsi="Times New Roman"/>
          <w:color w:val="000000" w:themeColor="text1"/>
          <w:sz w:val="16"/>
          <w:szCs w:val="16"/>
        </w:rPr>
        <w:softHyphen/>
        <w:t>зоне скоростей самолет был устой</w:t>
      </w:r>
      <w:r w:rsidRPr="00070ADE">
        <w:rPr>
          <w:rFonts w:ascii="Times New Roman" w:hAnsi="Times New Roman"/>
          <w:color w:val="000000" w:themeColor="text1"/>
          <w:sz w:val="16"/>
          <w:szCs w:val="16"/>
        </w:rPr>
        <w:softHyphen/>
        <w:t>чив по всем трем осям. Штурмовик показал прекрасную маневренность. Считалось, что по технике пилоти</w:t>
      </w:r>
      <w:r w:rsidRPr="00070ADE">
        <w:rPr>
          <w:rFonts w:ascii="Times New Roman" w:hAnsi="Times New Roman"/>
          <w:color w:val="000000" w:themeColor="text1"/>
          <w:sz w:val="16"/>
          <w:szCs w:val="16"/>
        </w:rPr>
        <w:softHyphen/>
        <w:t>рования самолет относительно про</w:t>
      </w:r>
      <w:r w:rsidRPr="00070ADE">
        <w:rPr>
          <w:rFonts w:ascii="Times New Roman" w:hAnsi="Times New Roman"/>
          <w:color w:val="000000" w:themeColor="text1"/>
          <w:sz w:val="16"/>
          <w:szCs w:val="16"/>
        </w:rPr>
        <w:softHyphen/>
        <w:t>стой и вполне доступен летчикам средней квалификации.</w:t>
      </w:r>
    </w:p>
    <w:p w14:paraId="1A57DA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Серьезные дефекты и недостатки выявились в системе вооружения ма</w:t>
      </w:r>
      <w:r w:rsidRPr="00070ADE">
        <w:rPr>
          <w:rFonts w:ascii="Times New Roman" w:hAnsi="Times New Roman"/>
          <w:color w:val="000000" w:themeColor="text1"/>
          <w:sz w:val="16"/>
          <w:szCs w:val="16"/>
        </w:rPr>
        <w:softHyphen/>
        <w:t>шины. Вести огонь из крыльевых пу</w:t>
      </w:r>
      <w:r w:rsidRPr="00070ADE">
        <w:rPr>
          <w:rFonts w:ascii="Times New Roman" w:hAnsi="Times New Roman"/>
          <w:color w:val="000000" w:themeColor="text1"/>
          <w:sz w:val="16"/>
          <w:szCs w:val="16"/>
        </w:rPr>
        <w:softHyphen/>
        <w:t>шек ВЯ-23 и пулеметов ШКАС ока</w:t>
      </w:r>
      <w:r w:rsidRPr="00070ADE">
        <w:rPr>
          <w:rFonts w:ascii="Times New Roman" w:hAnsi="Times New Roman"/>
          <w:color w:val="000000" w:themeColor="text1"/>
          <w:sz w:val="16"/>
          <w:szCs w:val="16"/>
        </w:rPr>
        <w:softHyphen/>
        <w:t>залось совершенно невозможным. В ходе наземных и летных испытаний ни разу не удалось полностью от</w:t>
      </w:r>
      <w:r w:rsidRPr="00070ADE">
        <w:rPr>
          <w:rFonts w:ascii="Times New Roman" w:hAnsi="Times New Roman"/>
          <w:color w:val="000000" w:themeColor="text1"/>
          <w:sz w:val="16"/>
          <w:szCs w:val="16"/>
        </w:rPr>
        <w:softHyphen/>
        <w:t>стрелять боекомплект к ним. Так, после открытия огня из пушек в боль</w:t>
      </w:r>
      <w:r w:rsidRPr="00070ADE">
        <w:rPr>
          <w:rFonts w:ascii="Times New Roman" w:hAnsi="Times New Roman"/>
          <w:color w:val="000000" w:themeColor="text1"/>
          <w:sz w:val="16"/>
          <w:szCs w:val="16"/>
        </w:rPr>
        <w:softHyphen/>
        <w:t>шинстве случаев происходила про</w:t>
      </w:r>
      <w:r w:rsidRPr="00070ADE">
        <w:rPr>
          <w:rFonts w:ascii="Times New Roman" w:hAnsi="Times New Roman"/>
          <w:color w:val="000000" w:themeColor="text1"/>
          <w:sz w:val="16"/>
          <w:szCs w:val="16"/>
        </w:rPr>
        <w:softHyphen/>
        <w:t>извольная стрельба, прекратить ко</w:t>
      </w:r>
      <w:r w:rsidRPr="00070ADE">
        <w:rPr>
          <w:rFonts w:ascii="Times New Roman" w:hAnsi="Times New Roman"/>
          <w:color w:val="000000" w:themeColor="text1"/>
          <w:sz w:val="16"/>
          <w:szCs w:val="16"/>
        </w:rPr>
        <w:softHyphen/>
        <w:t>торую можно было только переза</w:t>
      </w:r>
      <w:r w:rsidRPr="00070ADE">
        <w:rPr>
          <w:rFonts w:ascii="Times New Roman" w:hAnsi="Times New Roman"/>
          <w:color w:val="000000" w:themeColor="text1"/>
          <w:sz w:val="16"/>
          <w:szCs w:val="16"/>
        </w:rPr>
        <w:softHyphen/>
        <w:t>рядкой. Виной этому были дефекты электроспусков. Кроме этого, звенья снарядной ленты, собиравшиеся при стрельбе в снарядные ящики, попа</w:t>
      </w:r>
      <w:r w:rsidRPr="00070ADE">
        <w:rPr>
          <w:rFonts w:ascii="Times New Roman" w:hAnsi="Times New Roman"/>
          <w:color w:val="000000" w:themeColor="text1"/>
          <w:sz w:val="16"/>
          <w:szCs w:val="16"/>
        </w:rPr>
        <w:softHyphen/>
        <w:t>дали в подвижные части пушек, что приводило к задержкам в стрельбе. Пришлось установить звеньеотводы для вывода звеньев наружу как на серийных самолетах Ил-2. При стрельбе из пулеметов ШКАС уже "после 350-400 выстрелов звенья на</w:t>
      </w:r>
      <w:r w:rsidRPr="00070ADE">
        <w:rPr>
          <w:rFonts w:ascii="Times New Roman" w:hAnsi="Times New Roman"/>
          <w:color w:val="000000" w:themeColor="text1"/>
          <w:sz w:val="16"/>
          <w:szCs w:val="16"/>
        </w:rPr>
        <w:softHyphen/>
        <w:t>капливаются у звеньеотвода и зак</w:t>
      </w:r>
      <w:r w:rsidRPr="00070ADE">
        <w:rPr>
          <w:rFonts w:ascii="Times New Roman" w:hAnsi="Times New Roman"/>
          <w:color w:val="000000" w:themeColor="text1"/>
          <w:sz w:val="16"/>
          <w:szCs w:val="16"/>
        </w:rPr>
        <w:softHyphen/>
        <w:t>линивают выход звеньев". Как след</w:t>
      </w:r>
      <w:r w:rsidRPr="00070ADE">
        <w:rPr>
          <w:rFonts w:ascii="Times New Roman" w:hAnsi="Times New Roman"/>
          <w:color w:val="000000" w:themeColor="text1"/>
          <w:sz w:val="16"/>
          <w:szCs w:val="16"/>
        </w:rPr>
        <w:softHyphen/>
        <w:t>ствие, стрельба прекращалась.</w:t>
      </w:r>
    </w:p>
    <w:p w14:paraId="3777B0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Оборонительная установка ВУ-7 с пушкой Ш-20, хотя и не в полном объеме, но оценивалась военными испытателями довольно высоко. По их мнению, установка имела хоро</w:t>
      </w:r>
      <w:r w:rsidRPr="00070ADE">
        <w:rPr>
          <w:rFonts w:ascii="Times New Roman" w:hAnsi="Times New Roman"/>
          <w:color w:val="000000" w:themeColor="text1"/>
          <w:sz w:val="16"/>
          <w:szCs w:val="16"/>
        </w:rPr>
        <w:softHyphen/>
        <w:t>шую маневренность и была легкой в управлении. Сама пушка Ш-20 ра</w:t>
      </w:r>
      <w:r w:rsidRPr="00070ADE">
        <w:rPr>
          <w:rFonts w:ascii="Times New Roman" w:hAnsi="Times New Roman"/>
          <w:color w:val="000000" w:themeColor="text1"/>
          <w:sz w:val="16"/>
          <w:szCs w:val="16"/>
        </w:rPr>
        <w:softHyphen/>
        <w:t>ботала "значительно легче, чем пу</w:t>
      </w:r>
      <w:r w:rsidRPr="00070ADE">
        <w:rPr>
          <w:rFonts w:ascii="Times New Roman" w:hAnsi="Times New Roman"/>
          <w:color w:val="000000" w:themeColor="text1"/>
          <w:sz w:val="16"/>
          <w:szCs w:val="16"/>
        </w:rPr>
        <w:softHyphen/>
        <w:t>лемет УБТ, а наличие разрывного снаряда калибра 20 мм и непрерыв</w:t>
      </w:r>
      <w:r w:rsidRPr="00070ADE">
        <w:rPr>
          <w:rFonts w:ascii="Times New Roman" w:hAnsi="Times New Roman"/>
          <w:color w:val="000000" w:themeColor="text1"/>
          <w:sz w:val="16"/>
          <w:szCs w:val="16"/>
        </w:rPr>
        <w:softHyphen/>
        <w:t>ного питания увеличивает защиту самолета". Указывалось, что ВУ-7 после устранения отмеченных недо</w:t>
      </w:r>
      <w:r w:rsidRPr="00070ADE">
        <w:rPr>
          <w:rFonts w:ascii="Times New Roman" w:hAnsi="Times New Roman"/>
          <w:color w:val="000000" w:themeColor="text1"/>
          <w:sz w:val="16"/>
          <w:szCs w:val="16"/>
        </w:rPr>
        <w:softHyphen/>
        <w:t>статков "будет лучше ранее предъяв</w:t>
      </w:r>
      <w:r w:rsidRPr="00070ADE">
        <w:rPr>
          <w:rFonts w:ascii="Times New Roman" w:hAnsi="Times New Roman"/>
          <w:color w:val="000000" w:themeColor="text1"/>
          <w:sz w:val="16"/>
          <w:szCs w:val="16"/>
        </w:rPr>
        <w:softHyphen/>
        <w:t>ленных установок ВУБ-3, ВУ-8 и УБШ, и значительно лучше блистерной БЛУБ (Су-6)" (11428).</w:t>
      </w:r>
    </w:p>
    <w:p w14:paraId="05C029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8077D0A"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27 мая</w:t>
      </w:r>
      <w:r w:rsidRPr="00070ADE">
        <w:rPr>
          <w:rFonts w:ascii="Times New Roman" w:hAnsi="Times New Roman"/>
          <w:color w:val="000000" w:themeColor="text1"/>
          <w:sz w:val="16"/>
          <w:szCs w:val="16"/>
        </w:rPr>
        <w:t xml:space="preserve"> в 1944 году, выполнив 43 полета по программе испытаний (налет 22 часа 37 минут), завершились государственные испытания опытного </w:t>
      </w:r>
      <w:hyperlink r:id="rId144" w:tgtFrame="_blank" w:history="1">
        <w:r w:rsidRPr="00070ADE">
          <w:rPr>
            <w:rFonts w:ascii="Times New Roman" w:hAnsi="Times New Roman"/>
            <w:color w:val="000000" w:themeColor="text1"/>
            <w:sz w:val="16"/>
            <w:szCs w:val="16"/>
          </w:rPr>
          <w:t xml:space="preserve">«Ил-10» </w:t>
        </w:r>
      </w:hyperlink>
      <w:r w:rsidRPr="00070ADE">
        <w:rPr>
          <w:rFonts w:ascii="Times New Roman" w:hAnsi="Times New Roman"/>
          <w:color w:val="000000" w:themeColor="text1"/>
          <w:sz w:val="16"/>
          <w:szCs w:val="16"/>
        </w:rPr>
        <w:t>«АМ-42» в ГК НИИ ВВС КА. Ведущий инженер П.Т.Аброщенко (ведущий летчик-испытатель А.К.Долгов, штурман Горбунов) (14904).</w:t>
      </w:r>
    </w:p>
    <w:p w14:paraId="1254A88D" w14:textId="77777777" w:rsidR="00353781" w:rsidRPr="00070ADE" w:rsidRDefault="00353781" w:rsidP="00B56F90">
      <w:pPr>
        <w:spacing w:after="0" w:line="240" w:lineRule="auto"/>
        <w:jc w:val="both"/>
        <w:rPr>
          <w:rFonts w:ascii="Times New Roman" w:hAnsi="Times New Roman"/>
          <w:color w:val="000000" w:themeColor="text1"/>
          <w:sz w:val="16"/>
          <w:szCs w:val="16"/>
        </w:rPr>
      </w:pPr>
    </w:p>
    <w:p w14:paraId="54D2DA60"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27 мая</w:t>
      </w:r>
      <w:r w:rsidRPr="00070ADE">
        <w:rPr>
          <w:rFonts w:ascii="Times New Roman" w:hAnsi="Times New Roman"/>
          <w:color w:val="000000" w:themeColor="text1"/>
          <w:sz w:val="16"/>
          <w:szCs w:val="16"/>
        </w:rPr>
        <w:t xml:space="preserve"> в 1944 году, выполнив 43 полета по программе испытаний (налет 22 часа 37 минут), завершились государственные испытания опытного </w:t>
      </w:r>
      <w:hyperlink r:id="rId145" w:tgtFrame="_blank" w:history="1">
        <w:r w:rsidRPr="00070ADE">
          <w:rPr>
            <w:rFonts w:ascii="Times New Roman" w:hAnsi="Times New Roman"/>
            <w:color w:val="000000" w:themeColor="text1"/>
            <w:sz w:val="16"/>
            <w:szCs w:val="16"/>
          </w:rPr>
          <w:t xml:space="preserve">«Ил-10» </w:t>
        </w:r>
      </w:hyperlink>
      <w:r w:rsidRPr="00070ADE">
        <w:rPr>
          <w:rFonts w:ascii="Times New Roman" w:hAnsi="Times New Roman"/>
          <w:color w:val="000000" w:themeColor="text1"/>
          <w:sz w:val="16"/>
          <w:szCs w:val="16"/>
        </w:rPr>
        <w:t>«АМ-42» в ГК НИИ ВВС КА. Ведущий инженер П.Т.Аброщенко (ведущий летчик-испытатель А.К.Долгов, штурман Горбунов) (14904).</w:t>
      </w:r>
    </w:p>
    <w:p w14:paraId="381074B6" w14:textId="77777777" w:rsidR="00353781" w:rsidRPr="00070ADE" w:rsidRDefault="00353781" w:rsidP="00B56F90">
      <w:pPr>
        <w:spacing w:after="0" w:line="240" w:lineRule="auto"/>
        <w:jc w:val="both"/>
        <w:rPr>
          <w:rFonts w:ascii="Times New Roman" w:hAnsi="Times New Roman"/>
          <w:color w:val="000000" w:themeColor="text1"/>
          <w:sz w:val="16"/>
          <w:szCs w:val="16"/>
        </w:rPr>
      </w:pPr>
    </w:p>
    <w:p w14:paraId="6A5A29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закончились гос. испытания тяжелого ш Ил-8, которые шли с 26 февраля 1944. По результатам гос. испытаний он был рекомендован в серийное производство в вариантах ш-б и разведчика-корректировщика (3846,20).</w:t>
      </w:r>
    </w:p>
    <w:p w14:paraId="2002AC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57D21D" w14:textId="77777777" w:rsidR="006C7B98" w:rsidRPr="00070ADE" w:rsidRDefault="006C7B9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завод №289 получил новый мотор АМ-42 зав. №4277. На этом мо</w:t>
      </w:r>
      <w:r w:rsidRPr="00070ADE">
        <w:rPr>
          <w:rFonts w:ascii="Times New Roman" w:hAnsi="Times New Roman"/>
          <w:color w:val="000000" w:themeColor="text1"/>
          <w:sz w:val="16"/>
          <w:szCs w:val="16"/>
        </w:rPr>
        <w:softHyphen/>
        <w:t>торе заводом №</w:t>
      </w:r>
      <w:r w:rsidRPr="00070ADE">
        <w:rPr>
          <w:rFonts w:ascii="Times New Roman" w:hAnsi="Times New Roman"/>
          <w:i/>
          <w:iCs/>
          <w:color w:val="000000" w:themeColor="text1"/>
          <w:sz w:val="16"/>
          <w:szCs w:val="16"/>
        </w:rPr>
        <w:t>24</w:t>
      </w:r>
      <w:r w:rsidRPr="00070ADE">
        <w:rPr>
          <w:rStyle w:val="9pt80"/>
          <w:rFonts w:ascii="Times New Roman" w:hAnsi="Times New Roman" w:cs="Times New Roman"/>
          <w:i w:val="0"/>
          <w:iCs w:val="0"/>
          <w:color w:val="000000" w:themeColor="text1"/>
          <w:w w:val="100"/>
          <w:sz w:val="16"/>
          <w:szCs w:val="16"/>
        </w:rPr>
        <w:t xml:space="preserve"> «произведен ряд кон</w:t>
      </w:r>
      <w:r w:rsidRPr="00070ADE">
        <w:rPr>
          <w:rStyle w:val="9pt80"/>
          <w:rFonts w:ascii="Times New Roman" w:hAnsi="Times New Roman" w:cs="Times New Roman"/>
          <w:i w:val="0"/>
          <w:iCs w:val="0"/>
          <w:color w:val="000000" w:themeColor="text1"/>
          <w:w w:val="100"/>
          <w:sz w:val="16"/>
          <w:szCs w:val="16"/>
        </w:rPr>
        <w:softHyphen/>
        <w:t>структивных изменений, рекомендован</w:t>
      </w:r>
      <w:r w:rsidRPr="00070ADE">
        <w:rPr>
          <w:rStyle w:val="9pt80"/>
          <w:rFonts w:ascii="Times New Roman" w:hAnsi="Times New Roman" w:cs="Times New Roman"/>
          <w:i w:val="0"/>
          <w:iCs w:val="0"/>
          <w:color w:val="000000" w:themeColor="text1"/>
          <w:w w:val="100"/>
          <w:sz w:val="16"/>
          <w:szCs w:val="16"/>
        </w:rPr>
        <w:softHyphen/>
        <w:t>ных в акте по госиспытаниям мотора АМ-42 на станке».</w:t>
      </w:r>
      <w:r w:rsidRPr="00070ADE">
        <w:rPr>
          <w:rFonts w:ascii="Times New Roman" w:hAnsi="Times New Roman"/>
          <w:color w:val="000000" w:themeColor="text1"/>
          <w:sz w:val="16"/>
          <w:szCs w:val="16"/>
        </w:rPr>
        <w:t xml:space="preserve"> В том числе, с 6,0 до 5,5 единиц уменьшили степень сжатия мотора. По этой причине для сохранения мощности </w:t>
      </w:r>
      <w:r w:rsidRPr="00070ADE">
        <w:rPr>
          <w:rFonts w:ascii="Times New Roman" w:hAnsi="Times New Roman"/>
          <w:color w:val="000000" w:themeColor="text1"/>
          <w:sz w:val="16"/>
          <w:szCs w:val="16"/>
        </w:rPr>
        <w:lastRenderedPageBreak/>
        <w:t>мотора наддув увеличили до 1370 мм. рт. ст. (вместо 1330 мм. рт. ст. на моторе зав. №4252). Соответст</w:t>
      </w:r>
      <w:r w:rsidRPr="00070ADE">
        <w:rPr>
          <w:rFonts w:ascii="Times New Roman" w:hAnsi="Times New Roman"/>
          <w:color w:val="000000" w:themeColor="text1"/>
          <w:sz w:val="16"/>
          <w:szCs w:val="16"/>
        </w:rPr>
        <w:softHyphen/>
        <w:t>венно, высотность мотора понизилась до 1860 м. Назначенный ресурс мотора со</w:t>
      </w:r>
      <w:r w:rsidRPr="00070ADE">
        <w:rPr>
          <w:rFonts w:ascii="Times New Roman" w:hAnsi="Times New Roman"/>
          <w:color w:val="000000" w:themeColor="text1"/>
          <w:sz w:val="16"/>
          <w:szCs w:val="16"/>
        </w:rPr>
        <w:softHyphen/>
        <w:t>ставил 50 ч.</w:t>
      </w:r>
    </w:p>
    <w:p w14:paraId="3C249AA5" w14:textId="77777777" w:rsidR="006C7B98" w:rsidRPr="00070ADE" w:rsidRDefault="006C7B9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Тем временем, в ожидании мотора, на опытном самолете Су-6 крупнокалиберные пушки 11П заменили пушками ВЯ (240 снарядов), установили электромотор </w:t>
      </w:r>
      <w:r w:rsidRPr="00070ADE">
        <w:rPr>
          <w:rStyle w:val="9pt80"/>
          <w:rFonts w:ascii="Times New Roman" w:hAnsi="Times New Roman" w:cs="Times New Roman"/>
          <w:i w:val="0"/>
          <w:iCs w:val="0"/>
          <w:color w:val="000000" w:themeColor="text1"/>
          <w:w w:val="100"/>
          <w:sz w:val="16"/>
          <w:szCs w:val="16"/>
        </w:rPr>
        <w:t>«для вращения кольца установки»</w:t>
      </w:r>
      <w:r w:rsidRPr="00070ADE">
        <w:rPr>
          <w:rFonts w:ascii="Times New Roman" w:hAnsi="Times New Roman"/>
          <w:color w:val="000000" w:themeColor="text1"/>
          <w:sz w:val="16"/>
          <w:szCs w:val="16"/>
        </w:rPr>
        <w:t xml:space="preserve"> БЛУБ, а также изменили крепление пулемета УБТ на самой установке</w:t>
      </w:r>
      <w:r w:rsidRPr="00070ADE">
        <w:rPr>
          <w:rStyle w:val="9pt80"/>
          <w:rFonts w:ascii="Times New Roman" w:hAnsi="Times New Roman" w:cs="Times New Roman"/>
          <w:i w:val="0"/>
          <w:iCs w:val="0"/>
          <w:color w:val="000000" w:themeColor="text1"/>
          <w:w w:val="100"/>
          <w:sz w:val="16"/>
          <w:szCs w:val="16"/>
        </w:rPr>
        <w:t xml:space="preserve"> [«осуществлено с помощью шарикового подшипника»)</w:t>
      </w:r>
      <w:r w:rsidRPr="00070ADE">
        <w:rPr>
          <w:rStyle w:val="9pt80"/>
          <w:rFonts w:ascii="Times New Roman" w:hAnsi="Times New Roman" w:cs="Times New Roman"/>
          <w:color w:val="000000" w:themeColor="text1"/>
          <w:w w:val="100"/>
          <w:sz w:val="16"/>
          <w:szCs w:val="16"/>
        </w:rPr>
        <w:t>.</w:t>
      </w:r>
      <w:r w:rsidRPr="00070ADE">
        <w:rPr>
          <w:rFonts w:ascii="Times New Roman" w:hAnsi="Times New Roman"/>
          <w:color w:val="000000" w:themeColor="text1"/>
          <w:sz w:val="16"/>
          <w:szCs w:val="16"/>
        </w:rPr>
        <w:t xml:space="preserve"> Вес нормальной бомбовой нагрузки вырос до 600 кг (как у Ил-8 АМ-42) (19853).</w:t>
      </w:r>
    </w:p>
    <w:p w14:paraId="634D8C4C" w14:textId="77777777" w:rsidR="006C7B98" w:rsidRPr="00070ADE" w:rsidRDefault="006C7B98" w:rsidP="00B56F90">
      <w:pPr>
        <w:spacing w:after="0" w:line="240" w:lineRule="auto"/>
        <w:jc w:val="both"/>
        <w:rPr>
          <w:rFonts w:ascii="Times New Roman" w:hAnsi="Times New Roman"/>
          <w:color w:val="000000" w:themeColor="text1"/>
          <w:sz w:val="16"/>
          <w:szCs w:val="16"/>
        </w:rPr>
      </w:pPr>
    </w:p>
    <w:p w14:paraId="21AC6D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состоялся осмотр макетной комиссией установки РЛС ПНБ-4 на Ту-2 (1835,59).</w:t>
      </w:r>
    </w:p>
    <w:p w14:paraId="6EEDA0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37C0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года зам. начальника 7-го гл. управления НКАП Алексеев писал письмо начальнику секретариата наркома Новикову.</w:t>
      </w:r>
    </w:p>
    <w:p w14:paraId="4EF194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Направляю для наркома Шахурина 57 статкарт по отечественным самолетам с данными, фотографиями и схемами.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1930"/>
        <w:gridCol w:w="1930"/>
        <w:gridCol w:w="1930"/>
      </w:tblGrid>
      <w:tr w:rsidR="004D4663" w:rsidRPr="00070ADE" w14:paraId="466EE7FF" w14:textId="77777777">
        <w:tc>
          <w:tcPr>
            <w:tcW w:w="3227" w:type="dxa"/>
          </w:tcPr>
          <w:p w14:paraId="24DF85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 с-та</w:t>
            </w:r>
          </w:p>
        </w:tc>
        <w:tc>
          <w:tcPr>
            <w:tcW w:w="1930" w:type="dxa"/>
          </w:tcPr>
          <w:p w14:paraId="2DFE71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Машинный</w:t>
            </w:r>
          </w:p>
        </w:tc>
        <w:tc>
          <w:tcPr>
            <w:tcW w:w="1930" w:type="dxa"/>
          </w:tcPr>
          <w:p w14:paraId="154692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Вх. N</w:t>
            </w:r>
          </w:p>
        </w:tc>
        <w:tc>
          <w:tcPr>
            <w:tcW w:w="1930" w:type="dxa"/>
          </w:tcPr>
          <w:p w14:paraId="4F6DE8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Вх. N</w:t>
            </w:r>
          </w:p>
        </w:tc>
      </w:tr>
      <w:tr w:rsidR="004D4663" w:rsidRPr="00070ADE" w14:paraId="012A1C02" w14:textId="77777777">
        <w:tc>
          <w:tcPr>
            <w:tcW w:w="3227" w:type="dxa"/>
          </w:tcPr>
          <w:p w14:paraId="27C6E9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14F2A8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N карты</w:t>
            </w:r>
          </w:p>
        </w:tc>
        <w:tc>
          <w:tcPr>
            <w:tcW w:w="1930" w:type="dxa"/>
          </w:tcPr>
          <w:p w14:paraId="3C2EF8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схемы</w:t>
            </w:r>
          </w:p>
        </w:tc>
        <w:tc>
          <w:tcPr>
            <w:tcW w:w="1930" w:type="dxa"/>
          </w:tcPr>
          <w:p w14:paraId="70F1A3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фото</w:t>
            </w:r>
          </w:p>
        </w:tc>
      </w:tr>
      <w:tr w:rsidR="004D4663" w:rsidRPr="00070ADE" w14:paraId="5C4464D6" w14:textId="77777777">
        <w:tc>
          <w:tcPr>
            <w:tcW w:w="3227" w:type="dxa"/>
          </w:tcPr>
          <w:p w14:paraId="47811D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Истребители серийные.</w:t>
            </w:r>
          </w:p>
        </w:tc>
        <w:tc>
          <w:tcPr>
            <w:tcW w:w="1930" w:type="dxa"/>
          </w:tcPr>
          <w:p w14:paraId="3F5BF1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455272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06FABD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B792F13" w14:textId="77777777">
        <w:tc>
          <w:tcPr>
            <w:tcW w:w="3227" w:type="dxa"/>
          </w:tcPr>
          <w:p w14:paraId="46DD4C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ЯК1-ВК105ПФ</w:t>
            </w:r>
          </w:p>
        </w:tc>
        <w:tc>
          <w:tcPr>
            <w:tcW w:w="1930" w:type="dxa"/>
          </w:tcPr>
          <w:p w14:paraId="32C5B2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2330</w:t>
            </w:r>
          </w:p>
        </w:tc>
        <w:tc>
          <w:tcPr>
            <w:tcW w:w="1930" w:type="dxa"/>
          </w:tcPr>
          <w:p w14:paraId="6569CB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278</w:t>
            </w:r>
          </w:p>
        </w:tc>
        <w:tc>
          <w:tcPr>
            <w:tcW w:w="1930" w:type="dxa"/>
          </w:tcPr>
          <w:p w14:paraId="26A823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2900</w:t>
            </w:r>
          </w:p>
        </w:tc>
      </w:tr>
      <w:tr w:rsidR="004D4663" w:rsidRPr="00070ADE" w14:paraId="0E03A154" w14:textId="77777777">
        <w:tc>
          <w:tcPr>
            <w:tcW w:w="3227" w:type="dxa"/>
          </w:tcPr>
          <w:p w14:paraId="130FAC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ЯК3-ВК105ПФ</w:t>
            </w:r>
          </w:p>
        </w:tc>
        <w:tc>
          <w:tcPr>
            <w:tcW w:w="1930" w:type="dxa"/>
          </w:tcPr>
          <w:p w14:paraId="5B47E8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2311</w:t>
            </w:r>
          </w:p>
        </w:tc>
        <w:tc>
          <w:tcPr>
            <w:tcW w:w="1930" w:type="dxa"/>
          </w:tcPr>
          <w:p w14:paraId="709E34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254</w:t>
            </w:r>
          </w:p>
        </w:tc>
        <w:tc>
          <w:tcPr>
            <w:tcW w:w="1930" w:type="dxa"/>
          </w:tcPr>
          <w:p w14:paraId="005312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2900</w:t>
            </w:r>
          </w:p>
        </w:tc>
      </w:tr>
      <w:tr w:rsidR="004D4663" w:rsidRPr="00070ADE" w14:paraId="26C6C2A3" w14:textId="77777777">
        <w:tc>
          <w:tcPr>
            <w:tcW w:w="3227" w:type="dxa"/>
          </w:tcPr>
          <w:p w14:paraId="3C50C8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ЯК7-ВК105ПФ</w:t>
            </w:r>
          </w:p>
        </w:tc>
        <w:tc>
          <w:tcPr>
            <w:tcW w:w="1930" w:type="dxa"/>
          </w:tcPr>
          <w:p w14:paraId="0236BB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2308</w:t>
            </w:r>
          </w:p>
        </w:tc>
        <w:tc>
          <w:tcPr>
            <w:tcW w:w="1930" w:type="dxa"/>
          </w:tcPr>
          <w:p w14:paraId="08B3D6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289</w:t>
            </w:r>
          </w:p>
        </w:tc>
        <w:tc>
          <w:tcPr>
            <w:tcW w:w="1930" w:type="dxa"/>
          </w:tcPr>
          <w:p w14:paraId="7643EC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2721</w:t>
            </w:r>
          </w:p>
        </w:tc>
      </w:tr>
      <w:tr w:rsidR="004D4663" w:rsidRPr="00070ADE" w14:paraId="784E034E" w14:textId="77777777">
        <w:tc>
          <w:tcPr>
            <w:tcW w:w="3227" w:type="dxa"/>
          </w:tcPr>
          <w:p w14:paraId="3225C0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ЯК9-ВК105ПФ</w:t>
            </w:r>
          </w:p>
        </w:tc>
        <w:tc>
          <w:tcPr>
            <w:tcW w:w="1930" w:type="dxa"/>
          </w:tcPr>
          <w:p w14:paraId="6D4F49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2310</w:t>
            </w:r>
          </w:p>
        </w:tc>
        <w:tc>
          <w:tcPr>
            <w:tcW w:w="1930" w:type="dxa"/>
          </w:tcPr>
          <w:p w14:paraId="15B253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256</w:t>
            </w:r>
          </w:p>
        </w:tc>
        <w:tc>
          <w:tcPr>
            <w:tcW w:w="1930" w:type="dxa"/>
          </w:tcPr>
          <w:p w14:paraId="754BCE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2721</w:t>
            </w:r>
          </w:p>
        </w:tc>
      </w:tr>
      <w:tr w:rsidR="004D4663" w:rsidRPr="00070ADE" w14:paraId="6E54AADA" w14:textId="77777777">
        <w:tc>
          <w:tcPr>
            <w:tcW w:w="3227" w:type="dxa"/>
          </w:tcPr>
          <w:p w14:paraId="63E1C3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ЯК9Т-ВК105ПФ (37 мм)</w:t>
            </w:r>
          </w:p>
        </w:tc>
        <w:tc>
          <w:tcPr>
            <w:tcW w:w="1930" w:type="dxa"/>
          </w:tcPr>
          <w:p w14:paraId="6726D1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2309</w:t>
            </w:r>
          </w:p>
        </w:tc>
        <w:tc>
          <w:tcPr>
            <w:tcW w:w="1930" w:type="dxa"/>
          </w:tcPr>
          <w:p w14:paraId="57301F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253</w:t>
            </w:r>
          </w:p>
        </w:tc>
        <w:tc>
          <w:tcPr>
            <w:tcW w:w="1930" w:type="dxa"/>
          </w:tcPr>
          <w:p w14:paraId="6C2F51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2900</w:t>
            </w:r>
          </w:p>
        </w:tc>
      </w:tr>
      <w:tr w:rsidR="004D4663" w:rsidRPr="00070ADE" w14:paraId="58B79250" w14:textId="77777777">
        <w:tc>
          <w:tcPr>
            <w:tcW w:w="3227" w:type="dxa"/>
          </w:tcPr>
          <w:p w14:paraId="412B53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ЯК9Т с пушкой 45 мм</w:t>
            </w:r>
          </w:p>
        </w:tc>
        <w:tc>
          <w:tcPr>
            <w:tcW w:w="1930" w:type="dxa"/>
          </w:tcPr>
          <w:p w14:paraId="3633E0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2402</w:t>
            </w:r>
          </w:p>
        </w:tc>
        <w:tc>
          <w:tcPr>
            <w:tcW w:w="1930" w:type="dxa"/>
          </w:tcPr>
          <w:p w14:paraId="7F3055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273</w:t>
            </w:r>
          </w:p>
        </w:tc>
        <w:tc>
          <w:tcPr>
            <w:tcW w:w="1930" w:type="dxa"/>
          </w:tcPr>
          <w:p w14:paraId="7C4AB2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2721</w:t>
            </w:r>
          </w:p>
        </w:tc>
      </w:tr>
      <w:tr w:rsidR="004D4663" w:rsidRPr="00070ADE" w14:paraId="77328C02" w14:textId="77777777">
        <w:tc>
          <w:tcPr>
            <w:tcW w:w="3227" w:type="dxa"/>
          </w:tcPr>
          <w:p w14:paraId="1574F3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ЯК9У-ВК107А</w:t>
            </w:r>
          </w:p>
        </w:tc>
        <w:tc>
          <w:tcPr>
            <w:tcW w:w="1930" w:type="dxa"/>
          </w:tcPr>
          <w:p w14:paraId="42BEEE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2798</w:t>
            </w:r>
          </w:p>
        </w:tc>
        <w:tc>
          <w:tcPr>
            <w:tcW w:w="1930" w:type="dxa"/>
          </w:tcPr>
          <w:p w14:paraId="31D9BD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321</w:t>
            </w:r>
          </w:p>
        </w:tc>
        <w:tc>
          <w:tcPr>
            <w:tcW w:w="1930" w:type="dxa"/>
          </w:tcPr>
          <w:p w14:paraId="0946AB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2721</w:t>
            </w:r>
          </w:p>
        </w:tc>
      </w:tr>
      <w:tr w:rsidR="004D4663" w:rsidRPr="00070ADE" w14:paraId="67FB2E39" w14:textId="77777777">
        <w:tc>
          <w:tcPr>
            <w:tcW w:w="3227" w:type="dxa"/>
          </w:tcPr>
          <w:p w14:paraId="693231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ЛА5-АШ82Ф</w:t>
            </w:r>
          </w:p>
        </w:tc>
        <w:tc>
          <w:tcPr>
            <w:tcW w:w="1930" w:type="dxa"/>
          </w:tcPr>
          <w:p w14:paraId="459256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2331</w:t>
            </w:r>
          </w:p>
        </w:tc>
        <w:tc>
          <w:tcPr>
            <w:tcW w:w="1930" w:type="dxa"/>
          </w:tcPr>
          <w:p w14:paraId="19FB7B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237</w:t>
            </w:r>
          </w:p>
        </w:tc>
        <w:tc>
          <w:tcPr>
            <w:tcW w:w="1930" w:type="dxa"/>
          </w:tcPr>
          <w:p w14:paraId="5FCA1E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0B39B0B6" w14:textId="77777777">
        <w:tc>
          <w:tcPr>
            <w:tcW w:w="3227" w:type="dxa"/>
          </w:tcPr>
          <w:p w14:paraId="2A291E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ЛА5-АШ82ФН</w:t>
            </w:r>
          </w:p>
        </w:tc>
        <w:tc>
          <w:tcPr>
            <w:tcW w:w="1930" w:type="dxa"/>
          </w:tcPr>
          <w:p w14:paraId="067638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2333</w:t>
            </w:r>
          </w:p>
        </w:tc>
        <w:tc>
          <w:tcPr>
            <w:tcW w:w="1930" w:type="dxa"/>
          </w:tcPr>
          <w:p w14:paraId="005B9B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245</w:t>
            </w:r>
          </w:p>
        </w:tc>
        <w:tc>
          <w:tcPr>
            <w:tcW w:w="1930" w:type="dxa"/>
          </w:tcPr>
          <w:p w14:paraId="556B2A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16CF48C8" w14:textId="77777777">
        <w:tc>
          <w:tcPr>
            <w:tcW w:w="3227" w:type="dxa"/>
          </w:tcPr>
          <w:p w14:paraId="3F3CF2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ЛА7-АШ82ФН</w:t>
            </w:r>
          </w:p>
        </w:tc>
        <w:tc>
          <w:tcPr>
            <w:tcW w:w="1930" w:type="dxa"/>
          </w:tcPr>
          <w:p w14:paraId="20304E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2332</w:t>
            </w:r>
          </w:p>
        </w:tc>
        <w:tc>
          <w:tcPr>
            <w:tcW w:w="1930" w:type="dxa"/>
          </w:tcPr>
          <w:p w14:paraId="784066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302</w:t>
            </w:r>
          </w:p>
        </w:tc>
        <w:tc>
          <w:tcPr>
            <w:tcW w:w="1930" w:type="dxa"/>
          </w:tcPr>
          <w:p w14:paraId="599DD3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3414</w:t>
            </w:r>
          </w:p>
        </w:tc>
      </w:tr>
      <w:tr w:rsidR="004D4663" w:rsidRPr="00070ADE" w14:paraId="40A8F360" w14:textId="77777777">
        <w:tc>
          <w:tcPr>
            <w:tcW w:w="3227" w:type="dxa"/>
          </w:tcPr>
          <w:p w14:paraId="2927D0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Истребители опытные.</w:t>
            </w:r>
          </w:p>
        </w:tc>
        <w:tc>
          <w:tcPr>
            <w:tcW w:w="1930" w:type="dxa"/>
          </w:tcPr>
          <w:p w14:paraId="777514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619AF0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101996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868F5FB" w14:textId="77777777">
        <w:tc>
          <w:tcPr>
            <w:tcW w:w="3227" w:type="dxa"/>
          </w:tcPr>
          <w:p w14:paraId="2C8D82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ЯК3-ВК107А</w:t>
            </w:r>
          </w:p>
        </w:tc>
        <w:tc>
          <w:tcPr>
            <w:tcW w:w="1930" w:type="dxa"/>
          </w:tcPr>
          <w:p w14:paraId="4BC397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2828</w:t>
            </w:r>
          </w:p>
        </w:tc>
        <w:tc>
          <w:tcPr>
            <w:tcW w:w="1930" w:type="dxa"/>
          </w:tcPr>
          <w:p w14:paraId="29AAF8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257</w:t>
            </w:r>
          </w:p>
        </w:tc>
        <w:tc>
          <w:tcPr>
            <w:tcW w:w="1930" w:type="dxa"/>
          </w:tcPr>
          <w:p w14:paraId="1F1DE1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2721</w:t>
            </w:r>
          </w:p>
        </w:tc>
      </w:tr>
      <w:tr w:rsidR="004D4663" w:rsidRPr="00070ADE" w14:paraId="11A5BA93" w14:textId="77777777">
        <w:tc>
          <w:tcPr>
            <w:tcW w:w="3227" w:type="dxa"/>
          </w:tcPr>
          <w:p w14:paraId="4DB189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ЯК9-ВК105ПД</w:t>
            </w:r>
          </w:p>
        </w:tc>
        <w:tc>
          <w:tcPr>
            <w:tcW w:w="1930" w:type="dxa"/>
          </w:tcPr>
          <w:p w14:paraId="2EF411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2316</w:t>
            </w:r>
          </w:p>
        </w:tc>
        <w:tc>
          <w:tcPr>
            <w:tcW w:w="1930" w:type="dxa"/>
          </w:tcPr>
          <w:p w14:paraId="645898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278</w:t>
            </w:r>
          </w:p>
        </w:tc>
        <w:tc>
          <w:tcPr>
            <w:tcW w:w="1930" w:type="dxa"/>
          </w:tcPr>
          <w:p w14:paraId="35D042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2900</w:t>
            </w:r>
          </w:p>
        </w:tc>
      </w:tr>
      <w:tr w:rsidR="004D4663" w:rsidRPr="00070ADE" w14:paraId="22D89A61" w14:textId="77777777">
        <w:tc>
          <w:tcPr>
            <w:tcW w:w="3227" w:type="dxa"/>
          </w:tcPr>
          <w:p w14:paraId="1DF35F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ЯК9Л-ВК105ПФ (бомбард.)</w:t>
            </w:r>
          </w:p>
        </w:tc>
        <w:tc>
          <w:tcPr>
            <w:tcW w:w="1930" w:type="dxa"/>
          </w:tcPr>
          <w:p w14:paraId="1CAD84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2410</w:t>
            </w:r>
          </w:p>
        </w:tc>
        <w:tc>
          <w:tcPr>
            <w:tcW w:w="1930" w:type="dxa"/>
          </w:tcPr>
          <w:p w14:paraId="47CD42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275</w:t>
            </w:r>
          </w:p>
        </w:tc>
        <w:tc>
          <w:tcPr>
            <w:tcW w:w="1930" w:type="dxa"/>
          </w:tcPr>
          <w:p w14:paraId="288F77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2900</w:t>
            </w:r>
          </w:p>
        </w:tc>
      </w:tr>
      <w:tr w:rsidR="004D4663" w:rsidRPr="00070ADE" w14:paraId="1F58BE58" w14:textId="77777777">
        <w:tc>
          <w:tcPr>
            <w:tcW w:w="3227" w:type="dxa"/>
          </w:tcPr>
          <w:p w14:paraId="6AA739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ЯК9-ВК105ПФ (сопровож.)</w:t>
            </w:r>
          </w:p>
        </w:tc>
        <w:tc>
          <w:tcPr>
            <w:tcW w:w="1930" w:type="dxa"/>
          </w:tcPr>
          <w:p w14:paraId="2C5E81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2409</w:t>
            </w:r>
          </w:p>
        </w:tc>
        <w:tc>
          <w:tcPr>
            <w:tcW w:w="1930" w:type="dxa"/>
          </w:tcPr>
          <w:p w14:paraId="408D23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274</w:t>
            </w:r>
          </w:p>
        </w:tc>
        <w:tc>
          <w:tcPr>
            <w:tcW w:w="1930" w:type="dxa"/>
          </w:tcPr>
          <w:p w14:paraId="01972A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2900</w:t>
            </w:r>
          </w:p>
        </w:tc>
      </w:tr>
      <w:tr w:rsidR="004D4663" w:rsidRPr="00070ADE" w14:paraId="21124D15" w14:textId="77777777">
        <w:tc>
          <w:tcPr>
            <w:tcW w:w="3227" w:type="dxa"/>
          </w:tcPr>
          <w:p w14:paraId="2A8B03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ЛА5-АШ82ФН с 2ТК3</w:t>
            </w:r>
          </w:p>
        </w:tc>
        <w:tc>
          <w:tcPr>
            <w:tcW w:w="1930" w:type="dxa"/>
          </w:tcPr>
          <w:p w14:paraId="3218AA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774B03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13C900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45C7B28" w14:textId="77777777">
        <w:tc>
          <w:tcPr>
            <w:tcW w:w="3227" w:type="dxa"/>
          </w:tcPr>
          <w:p w14:paraId="5623D7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(высотн.)</w:t>
            </w:r>
          </w:p>
        </w:tc>
        <w:tc>
          <w:tcPr>
            <w:tcW w:w="1930" w:type="dxa"/>
          </w:tcPr>
          <w:p w14:paraId="381D7D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2312</w:t>
            </w:r>
          </w:p>
        </w:tc>
        <w:tc>
          <w:tcPr>
            <w:tcW w:w="1930" w:type="dxa"/>
          </w:tcPr>
          <w:p w14:paraId="5E654C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244</w:t>
            </w:r>
          </w:p>
        </w:tc>
        <w:tc>
          <w:tcPr>
            <w:tcW w:w="1930" w:type="dxa"/>
          </w:tcPr>
          <w:p w14:paraId="6F3A8D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69E17477" w14:textId="77777777">
        <w:tc>
          <w:tcPr>
            <w:tcW w:w="3227" w:type="dxa"/>
          </w:tcPr>
          <w:p w14:paraId="5AED6B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ЛА5-М71Ф</w:t>
            </w:r>
          </w:p>
        </w:tc>
        <w:tc>
          <w:tcPr>
            <w:tcW w:w="1930" w:type="dxa"/>
          </w:tcPr>
          <w:p w14:paraId="614D48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2313</w:t>
            </w:r>
          </w:p>
        </w:tc>
        <w:tc>
          <w:tcPr>
            <w:tcW w:w="1930" w:type="dxa"/>
          </w:tcPr>
          <w:p w14:paraId="6CEDC1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241</w:t>
            </w:r>
          </w:p>
        </w:tc>
        <w:tc>
          <w:tcPr>
            <w:tcW w:w="1930" w:type="dxa"/>
          </w:tcPr>
          <w:p w14:paraId="782CCD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1679BE7C" w14:textId="77777777">
        <w:tc>
          <w:tcPr>
            <w:tcW w:w="3227" w:type="dxa"/>
          </w:tcPr>
          <w:p w14:paraId="093DDE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МИГ-АМ38Ф</w:t>
            </w:r>
          </w:p>
        </w:tc>
        <w:tc>
          <w:tcPr>
            <w:tcW w:w="1930" w:type="dxa"/>
          </w:tcPr>
          <w:p w14:paraId="258C17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2317</w:t>
            </w:r>
          </w:p>
        </w:tc>
        <w:tc>
          <w:tcPr>
            <w:tcW w:w="1930" w:type="dxa"/>
          </w:tcPr>
          <w:p w14:paraId="0A706F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214</w:t>
            </w:r>
          </w:p>
        </w:tc>
        <w:tc>
          <w:tcPr>
            <w:tcW w:w="1930" w:type="dxa"/>
          </w:tcPr>
          <w:p w14:paraId="166E09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12687CBB" w14:textId="77777777">
        <w:tc>
          <w:tcPr>
            <w:tcW w:w="3227" w:type="dxa"/>
          </w:tcPr>
          <w:p w14:paraId="578D4E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МИГ-АМ39</w:t>
            </w:r>
          </w:p>
        </w:tc>
        <w:tc>
          <w:tcPr>
            <w:tcW w:w="1930" w:type="dxa"/>
          </w:tcPr>
          <w:p w14:paraId="63075C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2335</w:t>
            </w:r>
          </w:p>
        </w:tc>
        <w:tc>
          <w:tcPr>
            <w:tcW w:w="1930" w:type="dxa"/>
          </w:tcPr>
          <w:p w14:paraId="2C73B8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279</w:t>
            </w:r>
          </w:p>
        </w:tc>
        <w:tc>
          <w:tcPr>
            <w:tcW w:w="1930" w:type="dxa"/>
          </w:tcPr>
          <w:p w14:paraId="6E6E24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3360</w:t>
            </w:r>
          </w:p>
        </w:tc>
      </w:tr>
      <w:tr w:rsidR="004D4663" w:rsidRPr="00070ADE" w14:paraId="58651E5E" w14:textId="77777777">
        <w:tc>
          <w:tcPr>
            <w:tcW w:w="3227" w:type="dxa"/>
          </w:tcPr>
          <w:p w14:paraId="4D85CC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МИГ-АМ39А 2ТК-2Б</w:t>
            </w:r>
          </w:p>
        </w:tc>
        <w:tc>
          <w:tcPr>
            <w:tcW w:w="1930" w:type="dxa"/>
          </w:tcPr>
          <w:p w14:paraId="20FB92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6E401F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2CFBF1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3E68CC2" w14:textId="77777777">
        <w:tc>
          <w:tcPr>
            <w:tcW w:w="3227" w:type="dxa"/>
          </w:tcPr>
          <w:p w14:paraId="3A4ADE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(высотн.)</w:t>
            </w:r>
          </w:p>
        </w:tc>
        <w:tc>
          <w:tcPr>
            <w:tcW w:w="1930" w:type="dxa"/>
          </w:tcPr>
          <w:p w14:paraId="654AAD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2336</w:t>
            </w:r>
          </w:p>
        </w:tc>
        <w:tc>
          <w:tcPr>
            <w:tcW w:w="1930" w:type="dxa"/>
          </w:tcPr>
          <w:p w14:paraId="7CF6EA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286</w:t>
            </w:r>
          </w:p>
        </w:tc>
        <w:tc>
          <w:tcPr>
            <w:tcW w:w="1930" w:type="dxa"/>
          </w:tcPr>
          <w:p w14:paraId="27A018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3360</w:t>
            </w:r>
          </w:p>
        </w:tc>
      </w:tr>
      <w:tr w:rsidR="004D4663" w:rsidRPr="00070ADE" w14:paraId="6ABF90AE" w14:textId="77777777">
        <w:tc>
          <w:tcPr>
            <w:tcW w:w="3227" w:type="dxa"/>
          </w:tcPr>
          <w:p w14:paraId="7EB2CA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МИГ3-АМ39</w:t>
            </w:r>
          </w:p>
        </w:tc>
        <w:tc>
          <w:tcPr>
            <w:tcW w:w="1930" w:type="dxa"/>
          </w:tcPr>
          <w:p w14:paraId="2C0939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2389</w:t>
            </w:r>
          </w:p>
        </w:tc>
        <w:tc>
          <w:tcPr>
            <w:tcW w:w="1930" w:type="dxa"/>
          </w:tcPr>
          <w:p w14:paraId="78F3CC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w:t>
            </w:r>
          </w:p>
        </w:tc>
        <w:tc>
          <w:tcPr>
            <w:tcW w:w="1930" w:type="dxa"/>
          </w:tcPr>
          <w:p w14:paraId="3BFCC2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26D379FD" w14:textId="77777777">
        <w:tc>
          <w:tcPr>
            <w:tcW w:w="3227" w:type="dxa"/>
          </w:tcPr>
          <w:p w14:paraId="521E42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ИТП-АМ39</w:t>
            </w:r>
          </w:p>
        </w:tc>
        <w:tc>
          <w:tcPr>
            <w:tcW w:w="1930" w:type="dxa"/>
          </w:tcPr>
          <w:p w14:paraId="6DF083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2338</w:t>
            </w:r>
          </w:p>
        </w:tc>
        <w:tc>
          <w:tcPr>
            <w:tcW w:w="1930" w:type="dxa"/>
          </w:tcPr>
          <w:p w14:paraId="3EF91A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264</w:t>
            </w:r>
          </w:p>
        </w:tc>
        <w:tc>
          <w:tcPr>
            <w:tcW w:w="1930" w:type="dxa"/>
          </w:tcPr>
          <w:p w14:paraId="758914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2837</w:t>
            </w:r>
          </w:p>
        </w:tc>
      </w:tr>
      <w:tr w:rsidR="004D4663" w:rsidRPr="00070ADE" w14:paraId="1817726C" w14:textId="77777777">
        <w:tc>
          <w:tcPr>
            <w:tcW w:w="3227" w:type="dxa"/>
          </w:tcPr>
          <w:p w14:paraId="19FBA0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ТИС-2АМ39</w:t>
            </w:r>
          </w:p>
        </w:tc>
        <w:tc>
          <w:tcPr>
            <w:tcW w:w="1930" w:type="dxa"/>
          </w:tcPr>
          <w:p w14:paraId="653C99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2339</w:t>
            </w:r>
          </w:p>
        </w:tc>
        <w:tc>
          <w:tcPr>
            <w:tcW w:w="1930" w:type="dxa"/>
          </w:tcPr>
          <w:p w14:paraId="60E6AF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265</w:t>
            </w:r>
          </w:p>
        </w:tc>
        <w:tc>
          <w:tcPr>
            <w:tcW w:w="1930" w:type="dxa"/>
          </w:tcPr>
          <w:p w14:paraId="0CE714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2834</w:t>
            </w:r>
          </w:p>
        </w:tc>
      </w:tr>
      <w:tr w:rsidR="004D4663" w:rsidRPr="00070ADE" w14:paraId="225B8E7E" w14:textId="77777777">
        <w:tc>
          <w:tcPr>
            <w:tcW w:w="3227" w:type="dxa"/>
          </w:tcPr>
          <w:p w14:paraId="568D45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ВП-АМ39А с ТК300</w:t>
            </w:r>
          </w:p>
        </w:tc>
        <w:tc>
          <w:tcPr>
            <w:tcW w:w="1930" w:type="dxa"/>
          </w:tcPr>
          <w:p w14:paraId="04ADE0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2397</w:t>
            </w:r>
          </w:p>
        </w:tc>
        <w:tc>
          <w:tcPr>
            <w:tcW w:w="1930" w:type="dxa"/>
          </w:tcPr>
          <w:p w14:paraId="1D8406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283</w:t>
            </w:r>
          </w:p>
        </w:tc>
        <w:tc>
          <w:tcPr>
            <w:tcW w:w="1930" w:type="dxa"/>
          </w:tcPr>
          <w:p w14:paraId="6CF587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2834</w:t>
            </w:r>
          </w:p>
        </w:tc>
      </w:tr>
      <w:tr w:rsidR="004D4663" w:rsidRPr="00070ADE" w14:paraId="27F40E2B" w14:textId="77777777">
        <w:tc>
          <w:tcPr>
            <w:tcW w:w="3227" w:type="dxa"/>
          </w:tcPr>
          <w:p w14:paraId="2D7647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И185-М71</w:t>
            </w:r>
          </w:p>
        </w:tc>
        <w:tc>
          <w:tcPr>
            <w:tcW w:w="1930" w:type="dxa"/>
          </w:tcPr>
          <w:p w14:paraId="2DAA56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2337</w:t>
            </w:r>
          </w:p>
        </w:tc>
        <w:tc>
          <w:tcPr>
            <w:tcW w:w="1930" w:type="dxa"/>
          </w:tcPr>
          <w:p w14:paraId="7ACFF0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267</w:t>
            </w:r>
          </w:p>
        </w:tc>
        <w:tc>
          <w:tcPr>
            <w:tcW w:w="1930" w:type="dxa"/>
          </w:tcPr>
          <w:p w14:paraId="164D20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2834</w:t>
            </w:r>
          </w:p>
        </w:tc>
      </w:tr>
      <w:tr w:rsidR="004D4663" w:rsidRPr="00070ADE" w14:paraId="5082F795" w14:textId="77777777">
        <w:tc>
          <w:tcPr>
            <w:tcW w:w="3227" w:type="dxa"/>
          </w:tcPr>
          <w:p w14:paraId="58D04F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Штурмовики.</w:t>
            </w:r>
          </w:p>
        </w:tc>
        <w:tc>
          <w:tcPr>
            <w:tcW w:w="1930" w:type="dxa"/>
          </w:tcPr>
          <w:p w14:paraId="4A8E7C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573F28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2CFF12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1D1AE9F" w14:textId="77777777">
        <w:tc>
          <w:tcPr>
            <w:tcW w:w="3227" w:type="dxa"/>
          </w:tcPr>
          <w:p w14:paraId="4B60E6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ИЛ2-АМ38Ф</w:t>
            </w:r>
          </w:p>
        </w:tc>
        <w:tc>
          <w:tcPr>
            <w:tcW w:w="1930" w:type="dxa"/>
          </w:tcPr>
          <w:p w14:paraId="5F7488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2362</w:t>
            </w:r>
          </w:p>
        </w:tc>
        <w:tc>
          <w:tcPr>
            <w:tcW w:w="1930" w:type="dxa"/>
          </w:tcPr>
          <w:p w14:paraId="14987F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284</w:t>
            </w:r>
          </w:p>
        </w:tc>
        <w:tc>
          <w:tcPr>
            <w:tcW w:w="1930" w:type="dxa"/>
          </w:tcPr>
          <w:p w14:paraId="3958E1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383A2D9B" w14:textId="77777777">
        <w:tc>
          <w:tcPr>
            <w:tcW w:w="3227" w:type="dxa"/>
          </w:tcPr>
          <w:p w14:paraId="0424DF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ИЛ2-АМ42</w:t>
            </w:r>
          </w:p>
        </w:tc>
        <w:tc>
          <w:tcPr>
            <w:tcW w:w="1930" w:type="dxa"/>
          </w:tcPr>
          <w:p w14:paraId="15A9C3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2CB2DA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647003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B9C0A7F" w14:textId="77777777">
        <w:tc>
          <w:tcPr>
            <w:tcW w:w="3227" w:type="dxa"/>
          </w:tcPr>
          <w:p w14:paraId="2AF46E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госисп.)</w:t>
            </w:r>
          </w:p>
        </w:tc>
        <w:tc>
          <w:tcPr>
            <w:tcW w:w="1930" w:type="dxa"/>
          </w:tcPr>
          <w:p w14:paraId="7E3A1A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2424</w:t>
            </w:r>
          </w:p>
        </w:tc>
        <w:tc>
          <w:tcPr>
            <w:tcW w:w="1930" w:type="dxa"/>
          </w:tcPr>
          <w:p w14:paraId="1613EB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288</w:t>
            </w:r>
          </w:p>
        </w:tc>
        <w:tc>
          <w:tcPr>
            <w:tcW w:w="1930" w:type="dxa"/>
          </w:tcPr>
          <w:p w14:paraId="155010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60C68BC5" w14:textId="77777777">
        <w:tc>
          <w:tcPr>
            <w:tcW w:w="3227" w:type="dxa"/>
          </w:tcPr>
          <w:p w14:paraId="6C4B81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ИЛ10-АМЧ2</w:t>
            </w:r>
          </w:p>
        </w:tc>
        <w:tc>
          <w:tcPr>
            <w:tcW w:w="1930" w:type="dxa"/>
          </w:tcPr>
          <w:p w14:paraId="27B6E3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2797</w:t>
            </w:r>
          </w:p>
        </w:tc>
        <w:tc>
          <w:tcPr>
            <w:tcW w:w="1930" w:type="dxa"/>
          </w:tcPr>
          <w:p w14:paraId="2E4781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330</w:t>
            </w:r>
          </w:p>
        </w:tc>
        <w:tc>
          <w:tcPr>
            <w:tcW w:w="1930" w:type="dxa"/>
          </w:tcPr>
          <w:p w14:paraId="084BD8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513E0061" w14:textId="77777777">
        <w:tc>
          <w:tcPr>
            <w:tcW w:w="3227" w:type="dxa"/>
          </w:tcPr>
          <w:p w14:paraId="3BECFE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ИЛ2-АМ42</w:t>
            </w:r>
          </w:p>
        </w:tc>
        <w:tc>
          <w:tcPr>
            <w:tcW w:w="1930" w:type="dxa"/>
          </w:tcPr>
          <w:p w14:paraId="0DF9B5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3FB30F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535A7B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011874F" w14:textId="77777777">
        <w:tc>
          <w:tcPr>
            <w:tcW w:w="3227" w:type="dxa"/>
          </w:tcPr>
          <w:p w14:paraId="52A165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госисп. в вар.</w:t>
            </w:r>
          </w:p>
        </w:tc>
        <w:tc>
          <w:tcPr>
            <w:tcW w:w="1930" w:type="dxa"/>
          </w:tcPr>
          <w:p w14:paraId="14CA43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2E83FF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18F312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7CAC072" w14:textId="77777777">
        <w:tc>
          <w:tcPr>
            <w:tcW w:w="3227" w:type="dxa"/>
          </w:tcPr>
          <w:p w14:paraId="7B80C7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разведч. коррект.)</w:t>
            </w:r>
          </w:p>
        </w:tc>
        <w:tc>
          <w:tcPr>
            <w:tcW w:w="1930" w:type="dxa"/>
          </w:tcPr>
          <w:p w14:paraId="1664FA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2426</w:t>
            </w:r>
          </w:p>
        </w:tc>
        <w:tc>
          <w:tcPr>
            <w:tcW w:w="1930" w:type="dxa"/>
          </w:tcPr>
          <w:p w14:paraId="3AF4CB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292</w:t>
            </w:r>
          </w:p>
        </w:tc>
        <w:tc>
          <w:tcPr>
            <w:tcW w:w="1930" w:type="dxa"/>
          </w:tcPr>
          <w:p w14:paraId="5C2A24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5CE651AB" w14:textId="77777777">
        <w:tc>
          <w:tcPr>
            <w:tcW w:w="3227" w:type="dxa"/>
          </w:tcPr>
          <w:p w14:paraId="1845BE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СУ6-М71Ф</w:t>
            </w:r>
          </w:p>
        </w:tc>
        <w:tc>
          <w:tcPr>
            <w:tcW w:w="1930" w:type="dxa"/>
          </w:tcPr>
          <w:p w14:paraId="46A8A80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2361</w:t>
            </w:r>
          </w:p>
        </w:tc>
        <w:tc>
          <w:tcPr>
            <w:tcW w:w="1930" w:type="dxa"/>
          </w:tcPr>
          <w:p w14:paraId="4F431B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w:t>
            </w:r>
          </w:p>
        </w:tc>
        <w:tc>
          <w:tcPr>
            <w:tcW w:w="1930" w:type="dxa"/>
          </w:tcPr>
          <w:p w14:paraId="5C8B090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4909A3EC" w14:textId="77777777">
        <w:tc>
          <w:tcPr>
            <w:tcW w:w="3227" w:type="dxa"/>
          </w:tcPr>
          <w:p w14:paraId="0AD7FE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СУ6-АМ42</w:t>
            </w:r>
          </w:p>
        </w:tc>
        <w:tc>
          <w:tcPr>
            <w:tcW w:w="1930" w:type="dxa"/>
          </w:tcPr>
          <w:p w14:paraId="1B3F54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2360</w:t>
            </w:r>
          </w:p>
        </w:tc>
        <w:tc>
          <w:tcPr>
            <w:tcW w:w="1930" w:type="dxa"/>
          </w:tcPr>
          <w:p w14:paraId="67AABC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208</w:t>
            </w:r>
          </w:p>
        </w:tc>
        <w:tc>
          <w:tcPr>
            <w:tcW w:w="1930" w:type="dxa"/>
          </w:tcPr>
          <w:p w14:paraId="1C000D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01E7C62D" w14:textId="77777777">
        <w:tc>
          <w:tcPr>
            <w:tcW w:w="3227" w:type="dxa"/>
          </w:tcPr>
          <w:p w14:paraId="11E273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ДДБШ-2М71Ф</w:t>
            </w:r>
          </w:p>
        </w:tc>
        <w:tc>
          <w:tcPr>
            <w:tcW w:w="1930" w:type="dxa"/>
          </w:tcPr>
          <w:p w14:paraId="377F26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2359</w:t>
            </w:r>
          </w:p>
        </w:tc>
        <w:tc>
          <w:tcPr>
            <w:tcW w:w="1930" w:type="dxa"/>
          </w:tcPr>
          <w:p w14:paraId="23E76F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209</w:t>
            </w:r>
          </w:p>
        </w:tc>
        <w:tc>
          <w:tcPr>
            <w:tcW w:w="1930" w:type="dxa"/>
          </w:tcPr>
          <w:p w14:paraId="00B6DA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6AF5D1FC" w14:textId="77777777">
        <w:tc>
          <w:tcPr>
            <w:tcW w:w="3227" w:type="dxa"/>
          </w:tcPr>
          <w:p w14:paraId="33AA4F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Бомбардировщики серийные.</w:t>
            </w:r>
          </w:p>
        </w:tc>
        <w:tc>
          <w:tcPr>
            <w:tcW w:w="1930" w:type="dxa"/>
          </w:tcPr>
          <w:p w14:paraId="27BE1A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43155D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25A94C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4BE2622" w14:textId="77777777">
        <w:tc>
          <w:tcPr>
            <w:tcW w:w="3227" w:type="dxa"/>
          </w:tcPr>
          <w:p w14:paraId="738590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ПЕ2-2ВК105ПФ</w:t>
            </w:r>
          </w:p>
        </w:tc>
        <w:tc>
          <w:tcPr>
            <w:tcW w:w="1930" w:type="dxa"/>
          </w:tcPr>
          <w:p w14:paraId="6600BF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2381</w:t>
            </w:r>
          </w:p>
        </w:tc>
        <w:tc>
          <w:tcPr>
            <w:tcW w:w="1930" w:type="dxa"/>
          </w:tcPr>
          <w:p w14:paraId="45BA42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260</w:t>
            </w:r>
          </w:p>
        </w:tc>
        <w:tc>
          <w:tcPr>
            <w:tcW w:w="1930" w:type="dxa"/>
          </w:tcPr>
          <w:p w14:paraId="15A1A1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2807</w:t>
            </w:r>
          </w:p>
        </w:tc>
      </w:tr>
      <w:tr w:rsidR="004D4663" w:rsidRPr="00070ADE" w14:paraId="401B3EC6" w14:textId="77777777">
        <w:tc>
          <w:tcPr>
            <w:tcW w:w="3227" w:type="dxa"/>
          </w:tcPr>
          <w:p w14:paraId="3DC9D6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ТУ2-2АШ82ФН</w:t>
            </w:r>
          </w:p>
        </w:tc>
        <w:tc>
          <w:tcPr>
            <w:tcW w:w="1930" w:type="dxa"/>
          </w:tcPr>
          <w:p w14:paraId="034022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2349</w:t>
            </w:r>
          </w:p>
        </w:tc>
        <w:tc>
          <w:tcPr>
            <w:tcW w:w="1930" w:type="dxa"/>
          </w:tcPr>
          <w:p w14:paraId="4E7A21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291</w:t>
            </w:r>
          </w:p>
        </w:tc>
        <w:tc>
          <w:tcPr>
            <w:tcW w:w="1930" w:type="dxa"/>
          </w:tcPr>
          <w:p w14:paraId="3E6191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5DF435BD" w14:textId="77777777">
        <w:tc>
          <w:tcPr>
            <w:tcW w:w="3227" w:type="dxa"/>
          </w:tcPr>
          <w:p w14:paraId="704401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ЕР2-2АЧ30Б</w:t>
            </w:r>
          </w:p>
        </w:tc>
        <w:tc>
          <w:tcPr>
            <w:tcW w:w="1930" w:type="dxa"/>
          </w:tcPr>
          <w:p w14:paraId="7BFA87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2348</w:t>
            </w:r>
          </w:p>
        </w:tc>
        <w:tc>
          <w:tcPr>
            <w:tcW w:w="1930" w:type="dxa"/>
          </w:tcPr>
          <w:p w14:paraId="553E90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218</w:t>
            </w:r>
          </w:p>
        </w:tc>
        <w:tc>
          <w:tcPr>
            <w:tcW w:w="1930" w:type="dxa"/>
          </w:tcPr>
          <w:p w14:paraId="5C3E52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0A9CDF99" w14:textId="77777777">
        <w:tc>
          <w:tcPr>
            <w:tcW w:w="3227" w:type="dxa"/>
          </w:tcPr>
          <w:p w14:paraId="7CBE72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ИЛ4-2М88Б</w:t>
            </w:r>
          </w:p>
        </w:tc>
        <w:tc>
          <w:tcPr>
            <w:tcW w:w="1930" w:type="dxa"/>
          </w:tcPr>
          <w:p w14:paraId="313390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2350</w:t>
            </w:r>
          </w:p>
        </w:tc>
        <w:tc>
          <w:tcPr>
            <w:tcW w:w="1930" w:type="dxa"/>
          </w:tcPr>
          <w:p w14:paraId="224A7F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223</w:t>
            </w:r>
          </w:p>
        </w:tc>
        <w:tc>
          <w:tcPr>
            <w:tcW w:w="1930" w:type="dxa"/>
          </w:tcPr>
          <w:p w14:paraId="1F0B2B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09B04487" w14:textId="77777777">
        <w:tc>
          <w:tcPr>
            <w:tcW w:w="3227" w:type="dxa"/>
          </w:tcPr>
          <w:p w14:paraId="3F3AAE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ПЕ8-4АМ35А</w:t>
            </w:r>
          </w:p>
        </w:tc>
        <w:tc>
          <w:tcPr>
            <w:tcW w:w="1930" w:type="dxa"/>
          </w:tcPr>
          <w:p w14:paraId="495572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2347</w:t>
            </w:r>
          </w:p>
        </w:tc>
        <w:tc>
          <w:tcPr>
            <w:tcW w:w="1930" w:type="dxa"/>
          </w:tcPr>
          <w:p w14:paraId="6E1169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246</w:t>
            </w:r>
          </w:p>
        </w:tc>
        <w:tc>
          <w:tcPr>
            <w:tcW w:w="1930" w:type="dxa"/>
          </w:tcPr>
          <w:p w14:paraId="2D1495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65F36BD7" w14:textId="77777777">
        <w:tc>
          <w:tcPr>
            <w:tcW w:w="3227" w:type="dxa"/>
          </w:tcPr>
          <w:p w14:paraId="4A41A0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ПЕ8-4АМ82</w:t>
            </w:r>
          </w:p>
        </w:tc>
        <w:tc>
          <w:tcPr>
            <w:tcW w:w="1930" w:type="dxa"/>
          </w:tcPr>
          <w:p w14:paraId="52AB7D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2346</w:t>
            </w:r>
          </w:p>
        </w:tc>
        <w:tc>
          <w:tcPr>
            <w:tcW w:w="1930" w:type="dxa"/>
          </w:tcPr>
          <w:p w14:paraId="180D85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w:t>
            </w:r>
          </w:p>
        </w:tc>
        <w:tc>
          <w:tcPr>
            <w:tcW w:w="1930" w:type="dxa"/>
          </w:tcPr>
          <w:p w14:paraId="59CE99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0D82E4E2" w14:textId="77777777">
        <w:tc>
          <w:tcPr>
            <w:tcW w:w="3227" w:type="dxa"/>
          </w:tcPr>
          <w:p w14:paraId="467CFC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ПЕ8-4АЧ30Б</w:t>
            </w:r>
          </w:p>
        </w:tc>
        <w:tc>
          <w:tcPr>
            <w:tcW w:w="1930" w:type="dxa"/>
          </w:tcPr>
          <w:p w14:paraId="43DDB2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2345</w:t>
            </w:r>
          </w:p>
        </w:tc>
        <w:tc>
          <w:tcPr>
            <w:tcW w:w="1930" w:type="dxa"/>
          </w:tcPr>
          <w:p w14:paraId="2B139C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243</w:t>
            </w:r>
          </w:p>
        </w:tc>
        <w:tc>
          <w:tcPr>
            <w:tcW w:w="1930" w:type="dxa"/>
          </w:tcPr>
          <w:p w14:paraId="2A6F5E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636E4B17" w14:textId="77777777">
        <w:tc>
          <w:tcPr>
            <w:tcW w:w="3227" w:type="dxa"/>
          </w:tcPr>
          <w:p w14:paraId="71936B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ЛИ2-2М62ИР</w:t>
            </w:r>
          </w:p>
        </w:tc>
        <w:tc>
          <w:tcPr>
            <w:tcW w:w="1930" w:type="dxa"/>
          </w:tcPr>
          <w:p w14:paraId="3F8446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2495</w:t>
            </w:r>
          </w:p>
        </w:tc>
        <w:tc>
          <w:tcPr>
            <w:tcW w:w="1930" w:type="dxa"/>
          </w:tcPr>
          <w:p w14:paraId="509A97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353</w:t>
            </w:r>
          </w:p>
        </w:tc>
        <w:tc>
          <w:tcPr>
            <w:tcW w:w="1930" w:type="dxa"/>
          </w:tcPr>
          <w:p w14:paraId="55C436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инв. 501</w:t>
            </w:r>
          </w:p>
        </w:tc>
      </w:tr>
      <w:tr w:rsidR="004D4663" w:rsidRPr="00070ADE" w14:paraId="74376298" w14:textId="77777777">
        <w:tc>
          <w:tcPr>
            <w:tcW w:w="3227" w:type="dxa"/>
          </w:tcPr>
          <w:p w14:paraId="194399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Бомбардировщики опытные.</w:t>
            </w:r>
          </w:p>
        </w:tc>
        <w:tc>
          <w:tcPr>
            <w:tcW w:w="1930" w:type="dxa"/>
          </w:tcPr>
          <w:p w14:paraId="515956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6B5E1A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143299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1F23C4E" w14:textId="77777777">
        <w:tc>
          <w:tcPr>
            <w:tcW w:w="3227" w:type="dxa"/>
          </w:tcPr>
          <w:p w14:paraId="0BCE49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ПЕ2-2ВК107А</w:t>
            </w:r>
          </w:p>
        </w:tc>
        <w:tc>
          <w:tcPr>
            <w:tcW w:w="1930" w:type="dxa"/>
          </w:tcPr>
          <w:p w14:paraId="03ED07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2382</w:t>
            </w:r>
          </w:p>
        </w:tc>
        <w:tc>
          <w:tcPr>
            <w:tcW w:w="1930" w:type="dxa"/>
          </w:tcPr>
          <w:p w14:paraId="373467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259</w:t>
            </w:r>
          </w:p>
        </w:tc>
        <w:tc>
          <w:tcPr>
            <w:tcW w:w="1930" w:type="dxa"/>
          </w:tcPr>
          <w:p w14:paraId="706306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2807</w:t>
            </w:r>
          </w:p>
        </w:tc>
      </w:tr>
      <w:tr w:rsidR="004D4663" w:rsidRPr="00070ADE" w14:paraId="11ED9F4E" w14:textId="77777777">
        <w:tc>
          <w:tcPr>
            <w:tcW w:w="3227" w:type="dxa"/>
          </w:tcPr>
          <w:p w14:paraId="65004B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ПЕ2Е-2М1</w:t>
            </w:r>
          </w:p>
        </w:tc>
        <w:tc>
          <w:tcPr>
            <w:tcW w:w="1930" w:type="dxa"/>
          </w:tcPr>
          <w:p w14:paraId="5758E0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2399</w:t>
            </w:r>
          </w:p>
        </w:tc>
        <w:tc>
          <w:tcPr>
            <w:tcW w:w="1930" w:type="dxa"/>
          </w:tcPr>
          <w:p w14:paraId="07AEDE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262</w:t>
            </w:r>
          </w:p>
        </w:tc>
        <w:tc>
          <w:tcPr>
            <w:tcW w:w="1930" w:type="dxa"/>
          </w:tcPr>
          <w:p w14:paraId="5AABF5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2807</w:t>
            </w:r>
          </w:p>
        </w:tc>
      </w:tr>
      <w:tr w:rsidR="004D4663" w:rsidRPr="00070ADE" w14:paraId="617F1C30" w14:textId="77777777">
        <w:tc>
          <w:tcPr>
            <w:tcW w:w="3227" w:type="dxa"/>
          </w:tcPr>
          <w:p w14:paraId="640526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ПЕ2-2АШ82Ф</w:t>
            </w:r>
          </w:p>
        </w:tc>
        <w:tc>
          <w:tcPr>
            <w:tcW w:w="1930" w:type="dxa"/>
          </w:tcPr>
          <w:p w14:paraId="3494EC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2403</w:t>
            </w:r>
          </w:p>
        </w:tc>
        <w:tc>
          <w:tcPr>
            <w:tcW w:w="1930" w:type="dxa"/>
          </w:tcPr>
          <w:p w14:paraId="503DDD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261</w:t>
            </w:r>
          </w:p>
        </w:tc>
        <w:tc>
          <w:tcPr>
            <w:tcW w:w="1930" w:type="dxa"/>
          </w:tcPr>
          <w:p w14:paraId="705AAB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2807</w:t>
            </w:r>
          </w:p>
        </w:tc>
      </w:tr>
      <w:tr w:rsidR="004D4663" w:rsidRPr="00070ADE" w14:paraId="752546B2" w14:textId="77777777">
        <w:tc>
          <w:tcPr>
            <w:tcW w:w="3227" w:type="dxa"/>
          </w:tcPr>
          <w:p w14:paraId="646949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НБ-2АШ82ФН</w:t>
            </w:r>
          </w:p>
        </w:tc>
        <w:tc>
          <w:tcPr>
            <w:tcW w:w="1930" w:type="dxa"/>
          </w:tcPr>
          <w:p w14:paraId="3637D0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2341</w:t>
            </w:r>
          </w:p>
        </w:tc>
        <w:tc>
          <w:tcPr>
            <w:tcW w:w="1930" w:type="dxa"/>
          </w:tcPr>
          <w:p w14:paraId="16564B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266</w:t>
            </w:r>
          </w:p>
        </w:tc>
        <w:tc>
          <w:tcPr>
            <w:tcW w:w="1930" w:type="dxa"/>
          </w:tcPr>
          <w:p w14:paraId="07AC39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2834</w:t>
            </w:r>
          </w:p>
        </w:tc>
      </w:tr>
      <w:tr w:rsidR="004D4663" w:rsidRPr="00070ADE" w14:paraId="06B4FEC1" w14:textId="77777777">
        <w:tc>
          <w:tcPr>
            <w:tcW w:w="3227" w:type="dxa"/>
          </w:tcPr>
          <w:p w14:paraId="32160A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102-2М120</w:t>
            </w:r>
          </w:p>
        </w:tc>
        <w:tc>
          <w:tcPr>
            <w:tcW w:w="1930" w:type="dxa"/>
          </w:tcPr>
          <w:p w14:paraId="12AD44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2343</w:t>
            </w:r>
          </w:p>
        </w:tc>
        <w:tc>
          <w:tcPr>
            <w:tcW w:w="1930" w:type="dxa"/>
          </w:tcPr>
          <w:p w14:paraId="1C1730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217</w:t>
            </w:r>
          </w:p>
        </w:tc>
        <w:tc>
          <w:tcPr>
            <w:tcW w:w="1930" w:type="dxa"/>
          </w:tcPr>
          <w:p w14:paraId="40A14A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59BFED68" w14:textId="77777777">
        <w:tc>
          <w:tcPr>
            <w:tcW w:w="3227" w:type="dxa"/>
          </w:tcPr>
          <w:p w14:paraId="689DE0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102-2М71ФТК</w:t>
            </w:r>
          </w:p>
        </w:tc>
        <w:tc>
          <w:tcPr>
            <w:tcW w:w="1930" w:type="dxa"/>
          </w:tcPr>
          <w:p w14:paraId="0BAEAC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2342</w:t>
            </w:r>
          </w:p>
        </w:tc>
        <w:tc>
          <w:tcPr>
            <w:tcW w:w="1930" w:type="dxa"/>
          </w:tcPr>
          <w:p w14:paraId="472983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249</w:t>
            </w:r>
          </w:p>
        </w:tc>
        <w:tc>
          <w:tcPr>
            <w:tcW w:w="1930" w:type="dxa"/>
          </w:tcPr>
          <w:p w14:paraId="1E9F20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1B74952E" w14:textId="77777777">
        <w:tc>
          <w:tcPr>
            <w:tcW w:w="3227" w:type="dxa"/>
          </w:tcPr>
          <w:p w14:paraId="330394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102-2М71</w:t>
            </w:r>
          </w:p>
        </w:tc>
        <w:tc>
          <w:tcPr>
            <w:tcW w:w="1930" w:type="dxa"/>
          </w:tcPr>
          <w:p w14:paraId="2B6618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2392</w:t>
            </w:r>
          </w:p>
        </w:tc>
        <w:tc>
          <w:tcPr>
            <w:tcW w:w="1930" w:type="dxa"/>
          </w:tcPr>
          <w:p w14:paraId="06D4F9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248</w:t>
            </w:r>
          </w:p>
        </w:tc>
        <w:tc>
          <w:tcPr>
            <w:tcW w:w="1930" w:type="dxa"/>
          </w:tcPr>
          <w:p w14:paraId="336DEE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328F71E7" w14:textId="77777777">
        <w:tc>
          <w:tcPr>
            <w:tcW w:w="3227" w:type="dxa"/>
          </w:tcPr>
          <w:p w14:paraId="628BC2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ИЛ6-2АЧ30Б</w:t>
            </w:r>
          </w:p>
        </w:tc>
        <w:tc>
          <w:tcPr>
            <w:tcW w:w="1930" w:type="dxa"/>
          </w:tcPr>
          <w:p w14:paraId="26AAE8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2344</w:t>
            </w:r>
          </w:p>
        </w:tc>
        <w:tc>
          <w:tcPr>
            <w:tcW w:w="1930" w:type="dxa"/>
          </w:tcPr>
          <w:p w14:paraId="059FDA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211</w:t>
            </w:r>
          </w:p>
        </w:tc>
        <w:tc>
          <w:tcPr>
            <w:tcW w:w="1930" w:type="dxa"/>
          </w:tcPr>
          <w:p w14:paraId="608392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622172DA" w14:textId="77777777">
        <w:tc>
          <w:tcPr>
            <w:tcW w:w="3227" w:type="dxa"/>
          </w:tcPr>
          <w:p w14:paraId="441189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ПЕ8-4АШ82ФНТК3</w:t>
            </w:r>
          </w:p>
        </w:tc>
        <w:tc>
          <w:tcPr>
            <w:tcW w:w="1930" w:type="dxa"/>
          </w:tcPr>
          <w:p w14:paraId="6FC2B0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2391</w:t>
            </w:r>
          </w:p>
        </w:tc>
        <w:tc>
          <w:tcPr>
            <w:tcW w:w="1930" w:type="dxa"/>
          </w:tcPr>
          <w:p w14:paraId="1B0496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242</w:t>
            </w:r>
          </w:p>
        </w:tc>
        <w:tc>
          <w:tcPr>
            <w:tcW w:w="1930" w:type="dxa"/>
          </w:tcPr>
          <w:p w14:paraId="1A203F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3B6F5ECF" w14:textId="77777777">
        <w:tc>
          <w:tcPr>
            <w:tcW w:w="3227" w:type="dxa"/>
          </w:tcPr>
          <w:p w14:paraId="38400E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Разные самолеты.</w:t>
            </w:r>
          </w:p>
        </w:tc>
        <w:tc>
          <w:tcPr>
            <w:tcW w:w="1930" w:type="dxa"/>
          </w:tcPr>
          <w:p w14:paraId="0C6808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0E171E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Pr>
          <w:p w14:paraId="2800A2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5DB10E4" w14:textId="77777777">
        <w:tc>
          <w:tcPr>
            <w:tcW w:w="3227" w:type="dxa"/>
          </w:tcPr>
          <w:p w14:paraId="3A950F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ЩЕ2-2М11Д</w:t>
            </w:r>
          </w:p>
        </w:tc>
        <w:tc>
          <w:tcPr>
            <w:tcW w:w="1930" w:type="dxa"/>
          </w:tcPr>
          <w:p w14:paraId="038470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930" w:type="dxa"/>
          </w:tcPr>
          <w:p w14:paraId="0ACC36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930" w:type="dxa"/>
          </w:tcPr>
          <w:p w14:paraId="574C51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CDD5998" w14:textId="77777777">
        <w:tc>
          <w:tcPr>
            <w:tcW w:w="3227" w:type="dxa"/>
          </w:tcPr>
          <w:p w14:paraId="6023D1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ЯК6-2М11Ф</w:t>
            </w:r>
          </w:p>
        </w:tc>
        <w:tc>
          <w:tcPr>
            <w:tcW w:w="1930" w:type="dxa"/>
          </w:tcPr>
          <w:p w14:paraId="59187C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2408</w:t>
            </w:r>
          </w:p>
        </w:tc>
        <w:tc>
          <w:tcPr>
            <w:tcW w:w="1930" w:type="dxa"/>
          </w:tcPr>
          <w:p w14:paraId="1B59EB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930" w:type="dxa"/>
          </w:tcPr>
          <w:p w14:paraId="63A7F1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2900</w:t>
            </w:r>
          </w:p>
        </w:tc>
      </w:tr>
      <w:tr w:rsidR="004D4663" w:rsidRPr="00070ADE" w14:paraId="63455D6D" w14:textId="77777777">
        <w:tc>
          <w:tcPr>
            <w:tcW w:w="3227" w:type="dxa"/>
          </w:tcPr>
          <w:p w14:paraId="12C2DF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ЛА5-УТИАШ82Ф</w:t>
            </w:r>
          </w:p>
        </w:tc>
        <w:tc>
          <w:tcPr>
            <w:tcW w:w="1930" w:type="dxa"/>
          </w:tcPr>
          <w:p w14:paraId="5910B5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2388</w:t>
            </w:r>
          </w:p>
        </w:tc>
        <w:tc>
          <w:tcPr>
            <w:tcW w:w="1930" w:type="dxa"/>
          </w:tcPr>
          <w:p w14:paraId="7110F8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247</w:t>
            </w:r>
          </w:p>
        </w:tc>
        <w:tc>
          <w:tcPr>
            <w:tcW w:w="1930" w:type="dxa"/>
          </w:tcPr>
          <w:p w14:paraId="330BB5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r w:rsidR="004D4663" w:rsidRPr="00070ADE" w14:paraId="2AFAD59A" w14:textId="77777777">
        <w:tc>
          <w:tcPr>
            <w:tcW w:w="3227" w:type="dxa"/>
          </w:tcPr>
          <w:p w14:paraId="771E05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У2-М11</w:t>
            </w:r>
          </w:p>
        </w:tc>
        <w:tc>
          <w:tcPr>
            <w:tcW w:w="1930" w:type="dxa"/>
          </w:tcPr>
          <w:p w14:paraId="55C7BB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930" w:type="dxa"/>
          </w:tcPr>
          <w:p w14:paraId="6A79AF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930" w:type="dxa"/>
          </w:tcPr>
          <w:p w14:paraId="595849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0AA0160" w14:textId="77777777">
        <w:tc>
          <w:tcPr>
            <w:tcW w:w="3227" w:type="dxa"/>
          </w:tcPr>
          <w:p w14:paraId="73E141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У2-ШС-М11Ф</w:t>
            </w:r>
          </w:p>
        </w:tc>
        <w:tc>
          <w:tcPr>
            <w:tcW w:w="1930" w:type="dxa"/>
          </w:tcPr>
          <w:p w14:paraId="239B7D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2411</w:t>
            </w:r>
          </w:p>
        </w:tc>
        <w:tc>
          <w:tcPr>
            <w:tcW w:w="1930" w:type="dxa"/>
          </w:tcPr>
          <w:p w14:paraId="1F2D97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930" w:type="dxa"/>
          </w:tcPr>
          <w:p w14:paraId="330B39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4637199" w14:textId="77777777">
        <w:tc>
          <w:tcPr>
            <w:tcW w:w="3227" w:type="dxa"/>
          </w:tcPr>
          <w:p w14:paraId="25038E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У2-ВС-М11Д</w:t>
            </w:r>
          </w:p>
        </w:tc>
        <w:tc>
          <w:tcPr>
            <w:tcW w:w="1930" w:type="dxa"/>
          </w:tcPr>
          <w:p w14:paraId="148C05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2394</w:t>
            </w:r>
          </w:p>
        </w:tc>
        <w:tc>
          <w:tcPr>
            <w:tcW w:w="1930" w:type="dxa"/>
          </w:tcPr>
          <w:p w14:paraId="5ACB5E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255</w:t>
            </w:r>
          </w:p>
        </w:tc>
        <w:tc>
          <w:tcPr>
            <w:tcW w:w="1930" w:type="dxa"/>
          </w:tcPr>
          <w:p w14:paraId="46F1C6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7C33A19" w14:textId="77777777">
        <w:tc>
          <w:tcPr>
            <w:tcW w:w="3227" w:type="dxa"/>
          </w:tcPr>
          <w:p w14:paraId="3609C1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МП-2М11Ф</w:t>
            </w:r>
          </w:p>
        </w:tc>
        <w:tc>
          <w:tcPr>
            <w:tcW w:w="1930" w:type="dxa"/>
          </w:tcPr>
          <w:p w14:paraId="2F63E4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2396</w:t>
            </w:r>
          </w:p>
        </w:tc>
        <w:tc>
          <w:tcPr>
            <w:tcW w:w="1930" w:type="dxa"/>
          </w:tcPr>
          <w:p w14:paraId="264A50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930" w:type="dxa"/>
          </w:tcPr>
          <w:p w14:paraId="0C01AF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F78B075" w14:textId="77777777">
        <w:tc>
          <w:tcPr>
            <w:tcW w:w="3227" w:type="dxa"/>
          </w:tcPr>
          <w:p w14:paraId="5798A2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БДП-2</w:t>
            </w:r>
          </w:p>
        </w:tc>
        <w:tc>
          <w:tcPr>
            <w:tcW w:w="1930" w:type="dxa"/>
          </w:tcPr>
          <w:p w14:paraId="158BE0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2395</w:t>
            </w:r>
          </w:p>
        </w:tc>
        <w:tc>
          <w:tcPr>
            <w:tcW w:w="1930" w:type="dxa"/>
          </w:tcPr>
          <w:p w14:paraId="323BC3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930" w:type="dxa"/>
          </w:tcPr>
          <w:p w14:paraId="39BBAA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66A2D8B" w14:textId="77777777">
        <w:tc>
          <w:tcPr>
            <w:tcW w:w="3227" w:type="dxa"/>
          </w:tcPr>
          <w:p w14:paraId="041667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БИ - реактивный</w:t>
            </w:r>
          </w:p>
        </w:tc>
        <w:tc>
          <w:tcPr>
            <w:tcW w:w="1930" w:type="dxa"/>
          </w:tcPr>
          <w:p w14:paraId="6A9226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2365</w:t>
            </w:r>
          </w:p>
        </w:tc>
        <w:tc>
          <w:tcPr>
            <w:tcW w:w="1930" w:type="dxa"/>
          </w:tcPr>
          <w:p w14:paraId="03EE84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290</w:t>
            </w:r>
          </w:p>
        </w:tc>
        <w:tc>
          <w:tcPr>
            <w:tcW w:w="1930" w:type="dxa"/>
          </w:tcPr>
          <w:p w14:paraId="7068FA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2978</w:t>
            </w:r>
          </w:p>
        </w:tc>
      </w:tr>
    </w:tbl>
    <w:p w14:paraId="3261E1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Оглавления к статкартам маш. NN - 2811, 2812, 2813, 2814, 2815, 2816 (1825,114).</w:t>
      </w:r>
    </w:p>
    <w:p w14:paraId="700C01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A6AC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вышел приказ НКАП в исполнение постановления ГКО N 5947 от 22 мая 1944 о создании в кратчайший срок дневных скоростных бомбардировщиков:</w:t>
      </w:r>
    </w:p>
    <w:p w14:paraId="704569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ГК завода 22 В.М.М. обеспечить окончание гос. испытаний и доводку построенного в 2-х экз. самолета Пе-2 с ВК-107А к 15 июня 1944</w:t>
      </w:r>
    </w:p>
    <w:p w14:paraId="31E766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ГК Климову устранить имеющиеся на моторе дефекты</w:t>
      </w:r>
    </w:p>
    <w:p w14:paraId="154D8D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Нач. 10 ГУ, зам. наркома А.И.Кузнецову и директору завода 22 Окулову и ГК В.М.М.</w:t>
      </w:r>
    </w:p>
    <w:p w14:paraId="5B28A1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построить и предъявить на войсковые испытаний 15 октября 1944 головную серию самолетов Пе-2 с ВК-107А в количестве 5 экз.</w:t>
      </w:r>
    </w:p>
    <w:p w14:paraId="40C403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спроектировать и построить в 2-х экз. и предъявить на гос. испытания в декабре 1944 2 моторный скоростной дневной бомбардировщик с ВК-108 без стрелкового вооружения с макс. скоростью на высоте 6000 м в 700 км/час и дальностью полета с 1000 кг 2000 км</w:t>
      </w:r>
    </w:p>
    <w:p w14:paraId="3AD633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Предусмотреть возможность установки в носовой части фюзеляжа этого самолета в истребительном варианте пушечного вооружения из 4х20 мм или 2х37-45 мм вместо бомбовой нагрузки</w:t>
      </w:r>
    </w:p>
    <w:p w14:paraId="4673F8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спроектировать, построить в 2 экз. и предъявить на гос. испытания в апреле 1945 2-х моторный высотный дневной бомбардировщик с ВК-109 с герметической кабиной для экипажа без стрелкового вооружения:</w:t>
      </w:r>
    </w:p>
    <w:p w14:paraId="6A09FC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высоте 10000 м - 720 км/час, дальность с 1000 кг бомб 2000 км.</w:t>
      </w:r>
    </w:p>
    <w:p w14:paraId="1C386D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постройки опытных самолетов с мотором ВК-108 и ВК-109 использовать все возможности серийного и опытного производства завода 22. Общее проектирование, изготовление гермокабин, высотного оборудования и общую сборку самолетов с ВК-109 производить на заводе 482.</w:t>
      </w:r>
    </w:p>
    <w:p w14:paraId="3BCA04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Отв. руководителя и ГК завода 156 А.Н.Т. построить на базе Ту-2 2-х моторный 2-х местный дневной скоростной бомбардировщик с АМ-39:</w:t>
      </w:r>
    </w:p>
    <w:p w14:paraId="5026F4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8000 м - 640-650 км/час</w:t>
      </w:r>
    </w:p>
    <w:p w14:paraId="016C9C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бомбовая нагрузка - 1000 кг и 2000 кг в перегруз. Вооружение - 2 ШВАК.</w:t>
      </w:r>
    </w:p>
    <w:p w14:paraId="3EB4A4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выпустить в 2-х экз. и предъявить на совместные испытания: 1-й - 1 июня 1944, 2-й - 15 октября 1944</w:t>
      </w:r>
    </w:p>
    <w:p w14:paraId="331269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p w14:paraId="646D6B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ГК А.Н.Т. оборудовать самолет Ту-2 с АМ-39 с автоматическим высотным корректором и передать его для летных испытаний в ЛИИ к 12 июля 1944</w:t>
      </w:r>
    </w:p>
    <w:p w14:paraId="54BF94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Нач. ЛИИ Чесалову и ГК Короткову провести летные испытания и доводку автомата корректора на самолете Ту-2 к 1 августа 1944</w:t>
      </w:r>
    </w:p>
    <w:p w14:paraId="54A1C9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ГК А.Н.Т., В.М.М., Ермолаеву отработать обогрев и вентиляцию кабин самолетов Ту-2, Пе-2 и Ер-2 и предъявить на гос. испытания в НИИ ВВС к 1 августа 1944 (1585,163).</w:t>
      </w:r>
    </w:p>
    <w:p w14:paraId="5DC17F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Нач. НИСО Петрову разработать типовую приборную доску для дневных двухмоторных бомбардировщиков с исп. опыта самолета Москито и предъявить на Гос. макетной комиссии ВВС к 1 июля 1944</w:t>
      </w:r>
    </w:p>
    <w:p w14:paraId="634EED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Зам. наркома В.П.Кузнецову и ГК винтов и самолетов закончить к 1 августа 1944 гос. летН7 испытания опытных флюгерных винтов на самолетах Ил-4, Пе-2, Ер-2, и Ту-2 и дать предложения по развертыванию их серийного производства для представления ГКО</w:t>
      </w:r>
    </w:p>
    <w:p w14:paraId="65FB02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Этим же постановлением ГКО и НКАП закончить гос. испытания и доводку построенного в 2-х экз. самолета Пе-2 с ВК-107А к 15 июня 1944 и представить в ГОКО предложения о серийном производстве этих самолетов, а также провести испытания 1-го экз. дневного бомбардировщика с АМ-39 к 15 июня 1944 и представить в ГКО заключение (1585,163).</w:t>
      </w:r>
    </w:p>
    <w:p w14:paraId="6998D3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0184BD"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27 мая</w:t>
      </w:r>
      <w:r w:rsidRPr="00070ADE">
        <w:rPr>
          <w:rFonts w:ascii="Times New Roman" w:hAnsi="Times New Roman"/>
          <w:color w:val="000000" w:themeColor="text1"/>
          <w:sz w:val="16"/>
          <w:szCs w:val="16"/>
        </w:rPr>
        <w:t xml:space="preserve"> в 1944 году приказ НКАП №358, на основании Решения ГКО от 22 мая 1944 года, ОКБ Туполева должно было построить самолет </w:t>
      </w:r>
      <w:hyperlink r:id="rId146" w:tgtFrame="_blank" w:history="1">
        <w:r w:rsidRPr="00070ADE">
          <w:rPr>
            <w:rFonts w:ascii="Times New Roman" w:hAnsi="Times New Roman"/>
            <w:color w:val="000000" w:themeColor="text1"/>
            <w:sz w:val="16"/>
            <w:szCs w:val="16"/>
          </w:rPr>
          <w:t xml:space="preserve">«СДБ» </w:t>
        </w:r>
      </w:hyperlink>
      <w:r w:rsidRPr="00070ADE">
        <w:rPr>
          <w:rFonts w:ascii="Times New Roman" w:hAnsi="Times New Roman"/>
          <w:color w:val="000000" w:themeColor="text1"/>
          <w:sz w:val="16"/>
          <w:szCs w:val="16"/>
        </w:rPr>
        <w:t>в двух экземплярах со сроками их предъявления на испытания: 1-го экземпляра - 1 июня 1944 года, 2-го экземпляра - 10 октября 1944 года (14904).</w:t>
      </w:r>
    </w:p>
    <w:p w14:paraId="004DFB6A" w14:textId="77777777" w:rsidR="00353781" w:rsidRPr="00070ADE" w:rsidRDefault="00353781" w:rsidP="00B56F90">
      <w:pPr>
        <w:spacing w:after="0" w:line="240" w:lineRule="auto"/>
        <w:jc w:val="both"/>
        <w:rPr>
          <w:rFonts w:ascii="Times New Roman" w:hAnsi="Times New Roman"/>
          <w:color w:val="000000" w:themeColor="text1"/>
          <w:sz w:val="16"/>
          <w:szCs w:val="16"/>
        </w:rPr>
      </w:pPr>
    </w:p>
    <w:p w14:paraId="4AB2C0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г. в соответствии с приказом НКАП № 358 во исполнение постановления ГКО № 5947 от 22 мая 1944 г., которыми перед ОКО Мясищева ставилась задача, наряду с доводкой и передачей на госиспытания Пе-2И, “спроектировать и построить в двух экземплярах и предъявить на государственные испытания в декабре 1944 г. двухмоторный скоростной дневной бомбардировщик с моторами ВК-108 без стрелкового вооружения со следующими данными:</w:t>
      </w:r>
    </w:p>
    <w:p w14:paraId="4683D1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максимальная скорость полета на высоте 6000 м - 700 км/ч;</w:t>
      </w:r>
    </w:p>
    <w:p w14:paraId="4A08D8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дальность полета с 1000 кг бомб внутри фюзеляжа - 2000 км...” (4476).</w:t>
      </w:r>
    </w:p>
    <w:p w14:paraId="5057CE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A217D3"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27 мая</w:t>
      </w:r>
      <w:r w:rsidRPr="00070ADE">
        <w:rPr>
          <w:rFonts w:ascii="Times New Roman" w:hAnsi="Times New Roman"/>
          <w:color w:val="000000" w:themeColor="text1"/>
          <w:sz w:val="16"/>
          <w:szCs w:val="16"/>
        </w:rPr>
        <w:t xml:space="preserve"> в 1944 году приказ НКАП №358, ОКО Мясищева ставилась задача, наряду с доводкой и передачей на госиспытания «Пе-2И», "спроектировать и построить в двух экземплярах и предъявить на государственные испытания в декабре 1944 г. двухмоторный скоростной дневной бомбардировщик с моторами ВК-108 без стрелкового вооружения со следующими данными: максимальная скорость полета на высоте 6000 м - 700 км/ч; дальность полета с 1000 кг бомб внутри фюзеляжа - 2000 км. Летом 1944 года конструкторский коллектив, возглавляемый В.М.Мясищевым, начал разработку скоростного дневного бомбардировщика «ДБ-2ВК-108» (другие применявшиеся названия – «ДБ-108» и «ДСБ-2ВК-108»). От «Пе-2И» новая модификация должна была отличаться улучшенной винтомоторной группой, увеличенным бомбоотсеком, измененной конфигурацией мотогондол, улучшенной аэродинамикой и колесами большего размера. В связи с окончанием войны программа летных испытаний бомбардировщика не была завершена. На снимке «ДБ-108» на статических испытаниях (14904).</w:t>
      </w:r>
    </w:p>
    <w:p w14:paraId="0C78CF39" w14:textId="77777777" w:rsidR="00353781" w:rsidRPr="00070ADE" w:rsidRDefault="00353781" w:rsidP="00B56F90">
      <w:pPr>
        <w:spacing w:after="0" w:line="240" w:lineRule="auto"/>
        <w:jc w:val="both"/>
        <w:rPr>
          <w:rFonts w:ascii="Times New Roman" w:hAnsi="Times New Roman"/>
          <w:color w:val="000000" w:themeColor="text1"/>
          <w:sz w:val="16"/>
          <w:szCs w:val="16"/>
        </w:rPr>
      </w:pPr>
    </w:p>
    <w:p w14:paraId="11B281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г. в соответствии с приказом НКАП № 358 ОКО Мясищева ставилась задача наряду с доводкой и передачей на госиспытания Пе-2И "спроектировать и построить в двух экземплярах и предъявить на государственные испытания в декабре 1944 г. двухмоторный скоростной дневной бомбардировщик с моторами ВК-108 без стрелкового вооружения со следующими данными:</w:t>
      </w:r>
    </w:p>
    <w:p w14:paraId="082B0D0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максимальная скорость полета на высоте 6000 м - 700 км/ч;</w:t>
      </w:r>
    </w:p>
    <w:p w14:paraId="769FF1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дальность полета с 1000 кг бомб внутри фюзеляжа - 2000 км..."</w:t>
      </w:r>
    </w:p>
    <w:p w14:paraId="7100B6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августе эскизный проект нового дневного скоростного бомбардировщика ДБ-2ВК-108 (другие применявшиеся названия - ДБ-108 и ДСБ-2ВК-108) был готов. В основу его конструкции была положена схема Пе-2И с дальнейшим увеличением объема фюзеляжного бомбоотсека (стала возможной внутренняя подвеска укороченной бомбы ФАБ-2000М44). Выросшая полетная масса самолета вполне компенсировалась установкой двух мощнейших двигателей ВК-108 с четырехлопастными винтами ВИШ-108Л-20 (в опытном порядке отладку ВК-108 на "долгожителе" Пе-2Ф производил моторный завод № 26). Мотор ВК-108 практически не отличался по габаритам и массе от ВК-107А, но имел новый двухскоростной нагнетатель с регулирующими лопатками Поликовского и был на 150-200 л.с. мощнее.</w:t>
      </w:r>
    </w:p>
    <w:p w14:paraId="436763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Новая машина отличалась от Пе-2И измененной конфигурацией мотогондол, улучшенной аэродинамикой и колесами большего размера (1000x350 мм), соответствовавшими возросшей взлетной массе. И хотя постановление ГКО № 5947 от 22 мая 1944 г. и приказ НКАП не предусматривали оснащения ДБ-108 оборонительным вооружением, Мясишев вскоре отказался от такого радикализма (он учел мнение А.А. Новикова о Пе-2 И). Поэтому 10 декабря 1944 г. на макетной комиссии рассматривался вариант с пушкой УБ-20, смонтрированной неподвижно под сидением пилота, а также с хвостовой дистанционно управляемой установкой ДЭУ (20-мм пушка УБ-20) с боекомплектом 80 снарядов.</w:t>
      </w:r>
    </w:p>
    <w:p w14:paraId="705306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вариант вооружения для ДБ-108 предусматривалось размещение в бомбоотсеке пары пушек НС-37 (или НС-45) с боекомплектом по 50 патронов на ствол. Экипаж предусматривали прикрыть 10-мм бронеспинками, 8-мм заголовниками и 5-мм чашками сидений. По сравнению с Пе-2И фонарь заметно расширили и немного опустили, что положительно сказалось на обзоре и условиях работы экипажа. Увеличенное остекление нижней носовой части фюзеляжа заметно упростило штурману ориентирование, выход на цель и прицеливание (12042).</w:t>
      </w:r>
    </w:p>
    <w:p w14:paraId="3C2F9B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977F6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на Ла-5 АШ-82ФН + 2ТК-3 произвел полет на высоту 10500 м. Выбивало масло, попадало на патрубки и появился дым, полет был прекращен (1825).</w:t>
      </w:r>
    </w:p>
    <w:p w14:paraId="5A3DA0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4E03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был произведен полет на высоту 10500 мт. На Ла-5 с АШ-82ФН и 2ТК-3. Вследствие выбивания масла из под левого синхрони</w:t>
      </w:r>
      <w:r w:rsidRPr="00070ADE">
        <w:rPr>
          <w:rFonts w:ascii="Times New Roman" w:hAnsi="Times New Roman"/>
          <w:color w:val="000000" w:themeColor="text1"/>
          <w:sz w:val="16"/>
          <w:szCs w:val="16"/>
        </w:rPr>
        <w:softHyphen/>
        <w:t>затора и попадания его на горячие патрубки, что вызвало появление дыма в кабине пилота, полет был прекращен.Давление бензина на наборе высоты нор</w:t>
      </w:r>
      <w:r w:rsidRPr="00070ADE">
        <w:rPr>
          <w:rFonts w:ascii="Times New Roman" w:hAnsi="Times New Roman"/>
          <w:color w:val="000000" w:themeColor="text1"/>
          <w:sz w:val="16"/>
          <w:szCs w:val="16"/>
        </w:rPr>
        <w:softHyphen/>
        <w:t>мальное, при горизонтальных полетах - падает.Дефекты к конц,у дня были устранены (1825).</w:t>
      </w:r>
    </w:p>
    <w:p w14:paraId="10DAE7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E08951"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следующий полёт Ла-5А на высоту 10500 м снова пришлось прекратить из-за задымления. На этот раз масло выбивалось из-под левого синхронизатора и попадало на горячие патрубки. Од</w:t>
      </w:r>
      <w:r w:rsidRPr="00070ADE">
        <w:rPr>
          <w:rFonts w:ascii="Times New Roman" w:hAnsi="Times New Roman"/>
          <w:color w:val="000000" w:themeColor="text1"/>
          <w:sz w:val="16"/>
          <w:szCs w:val="16"/>
        </w:rPr>
        <w:softHyphen/>
        <w:t>нако давление бензина при наборе высоты оставалось нормальным и при горизонталь</w:t>
      </w:r>
      <w:r w:rsidRPr="00070ADE">
        <w:rPr>
          <w:rFonts w:ascii="Times New Roman" w:hAnsi="Times New Roman"/>
          <w:color w:val="000000" w:themeColor="text1"/>
          <w:sz w:val="16"/>
          <w:szCs w:val="16"/>
        </w:rPr>
        <w:softHyphen/>
        <w:t>ных полётах не падало. Дефекты удалось устранить к концу того же дня. Правда, при контрольной гонке мотора на земле снова обнаружили масло в магнето, в результате произвели замену наддувного магнето на ненаддувное с улучшенной высотностью.</w:t>
      </w:r>
    </w:p>
    <w:p w14:paraId="1900BD19"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нескольких дней нелётной погоды 3 июня состоялся полёт до высоты 8000 м с работающими турбокомпрессорами. Вновь падение давление бензина и высокие темпе</w:t>
      </w:r>
      <w:r w:rsidRPr="00070ADE">
        <w:rPr>
          <w:rFonts w:ascii="Times New Roman" w:hAnsi="Times New Roman"/>
          <w:color w:val="000000" w:themeColor="text1"/>
          <w:sz w:val="16"/>
          <w:szCs w:val="16"/>
        </w:rPr>
        <w:softHyphen/>
        <w:t>ратуры головок цилиндров мотора привели к прекращению полёта. На самолёте заме</w:t>
      </w:r>
      <w:r w:rsidRPr="00070ADE">
        <w:rPr>
          <w:rFonts w:ascii="Times New Roman" w:hAnsi="Times New Roman"/>
          <w:color w:val="000000" w:themeColor="text1"/>
          <w:sz w:val="16"/>
          <w:szCs w:val="16"/>
        </w:rPr>
        <w:softHyphen/>
        <w:t>нили центральный бензобак и эжекторную помпу, улучшили дефлектирование головок цилиндров и изменили боковые крышки капотов. Однако 8 июня контрольный полёт при</w:t>
      </w:r>
      <w:r w:rsidRPr="00070ADE">
        <w:rPr>
          <w:rFonts w:ascii="Times New Roman" w:hAnsi="Times New Roman"/>
          <w:color w:val="000000" w:themeColor="text1"/>
          <w:sz w:val="16"/>
          <w:szCs w:val="16"/>
        </w:rPr>
        <w:softHyphen/>
        <w:t xml:space="preserve">шлось прекратить из-за течи масла. Наконец, 11 </w:t>
      </w:r>
      <w:r w:rsidRPr="00070ADE">
        <w:rPr>
          <w:rFonts w:ascii="Times New Roman" w:hAnsi="Times New Roman"/>
          <w:color w:val="000000" w:themeColor="text1"/>
          <w:sz w:val="16"/>
          <w:szCs w:val="16"/>
        </w:rPr>
        <w:lastRenderedPageBreak/>
        <w:t>июня 1944 г. в полёте на определение потолка на первой скорости нагнетателя с включенными турбокомпрессорами достигли высоты 11000 м. На высоте 3000 м включилась система впрыска воды, и температура го</w:t>
      </w:r>
      <w:r w:rsidRPr="00070ADE">
        <w:rPr>
          <w:rFonts w:ascii="Times New Roman" w:hAnsi="Times New Roman"/>
          <w:color w:val="000000" w:themeColor="text1"/>
          <w:sz w:val="16"/>
          <w:szCs w:val="16"/>
        </w:rPr>
        <w:softHyphen/>
        <w:t>ловок цилиндров на протяжении полёта сохранялась нормальной, на высоте 7000 м сработала система нейтрального газа, обеспечившая поддержание нормального давления бензина. Однако течь масла в соединениях мотора и высокая температура масла на вы</w:t>
      </w:r>
      <w:r w:rsidRPr="00070ADE">
        <w:rPr>
          <w:rFonts w:ascii="Times New Roman" w:hAnsi="Times New Roman"/>
          <w:color w:val="000000" w:themeColor="text1"/>
          <w:sz w:val="16"/>
          <w:szCs w:val="16"/>
        </w:rPr>
        <w:softHyphen/>
        <w:t>ходе — 90°С, привели к прекращению полёта. Для снижения температуры масла на са</w:t>
      </w:r>
      <w:r w:rsidRPr="00070ADE">
        <w:rPr>
          <w:rFonts w:ascii="Times New Roman" w:hAnsi="Times New Roman"/>
          <w:color w:val="000000" w:themeColor="text1"/>
          <w:sz w:val="16"/>
          <w:szCs w:val="16"/>
        </w:rPr>
        <w:softHyphen/>
        <w:t>молёте установили радиатор с трубкой диаметром 4 мм, вместо прежнего радиатора с трубкой 5 мм, а также приспособление для защиты радиатора от попадания масла из за- моторного пространства. 13 июня 1944 г. произвели два полёта: первый до высоты 9500 м, второй — до 4500 м, и оба пришлось прекратить из-за выброса масла из мотора. Как по</w:t>
      </w:r>
      <w:r w:rsidRPr="00070ADE">
        <w:rPr>
          <w:rFonts w:ascii="Times New Roman" w:hAnsi="Times New Roman"/>
          <w:color w:val="000000" w:themeColor="text1"/>
          <w:sz w:val="16"/>
          <w:szCs w:val="16"/>
        </w:rPr>
        <w:softHyphen/>
        <w:t>казали произведенные при участии представителя завода N9 19 испытания и осмотр, течь происходила из кольцевого уплотнения нагнетателя. Сделали однозначный вывод, что для проведения высотных полётов требуются моторы специальной сборки.</w:t>
      </w:r>
    </w:p>
    <w:p w14:paraId="4C63254C"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как такие моторы завод № 19 мог изготовить лишь к 1 июля, ему дали указание отгрузить заводу № 21 два мотора обычной сборки, но с улучшенным дефлектирова- нием. К 25 июня, после установки на месте пушки дополнительного маслобака, само</w:t>
      </w:r>
      <w:r w:rsidRPr="00070ADE">
        <w:rPr>
          <w:rFonts w:ascii="Times New Roman" w:hAnsi="Times New Roman"/>
          <w:color w:val="000000" w:themeColor="text1"/>
          <w:sz w:val="16"/>
          <w:szCs w:val="16"/>
        </w:rPr>
        <w:softHyphen/>
        <w:t>лёт снова подготовили к продолжению испытаний. Во время состоявшихся 3-4 июля полётов до высоты 7800 м температура масла на входе поднялась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 помпу — агрегат № 180, и произвели отсос масла из суфлёрного бачка. Однако в кон</w:t>
      </w:r>
      <w:r w:rsidRPr="00070ADE">
        <w:rPr>
          <w:rFonts w:ascii="Times New Roman" w:hAnsi="Times New Roman"/>
          <w:color w:val="000000" w:themeColor="text1"/>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129ABDD0"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070ADE">
        <w:rPr>
          <w:rFonts w:ascii="Times New Roman" w:hAnsi="Times New Roman"/>
          <w:color w:val="000000" w:themeColor="text1"/>
          <w:sz w:val="16"/>
          <w:szCs w:val="16"/>
        </w:rPr>
        <w:softHyphen/>
        <w:t>поладок регулятора смеси. На следующий день для скорейшей отработки винтомотор</w:t>
      </w:r>
      <w:r w:rsidRPr="00070ADE">
        <w:rPr>
          <w:rFonts w:ascii="Times New Roman" w:hAnsi="Times New Roman"/>
          <w:color w:val="000000" w:themeColor="text1"/>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070ADE">
        <w:rPr>
          <w:rFonts w:ascii="Times New Roman" w:hAnsi="Times New Roman"/>
          <w:color w:val="000000" w:themeColor="text1"/>
          <w:sz w:val="16"/>
          <w:szCs w:val="16"/>
        </w:rPr>
        <w:softHyphen/>
        <w:t>них режимах его трясло. В ЛИИ лётные испытания продолжили. 21 сентября в конт</w:t>
      </w:r>
      <w:r w:rsidRPr="00070ADE">
        <w:rPr>
          <w:rFonts w:ascii="Times New Roman" w:hAnsi="Times New Roman"/>
          <w:color w:val="000000" w:themeColor="text1"/>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070ADE">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070ADE">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557088F0"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070ADE">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070ADE">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070ADE">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070ADE">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070ADE">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070ADE">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070ADE">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070ADE">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070ADE">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070ADE">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070ADE">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070ADE">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594237C0"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070ADE">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070ADE">
        <w:rPr>
          <w:rFonts w:ascii="Times New Roman" w:hAnsi="Times New Roman"/>
          <w:color w:val="000000" w:themeColor="text1"/>
          <w:sz w:val="16"/>
          <w:szCs w:val="16"/>
        </w:rPr>
        <w:softHyphen/>
        <w:t>жар, и на высоте 9000 м покинул самолёт (15830).</w:t>
      </w:r>
    </w:p>
    <w:p w14:paraId="5C61B569" w14:textId="77777777" w:rsidR="00353781" w:rsidRPr="00070ADE" w:rsidRDefault="00353781" w:rsidP="00B56F90">
      <w:pPr>
        <w:spacing w:after="0" w:line="240" w:lineRule="auto"/>
        <w:jc w:val="both"/>
        <w:rPr>
          <w:rFonts w:ascii="Times New Roman" w:hAnsi="Times New Roman"/>
          <w:color w:val="000000" w:themeColor="text1"/>
          <w:sz w:val="16"/>
          <w:szCs w:val="16"/>
        </w:rPr>
      </w:pPr>
    </w:p>
    <w:p w14:paraId="2B79763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Зам. Нач. 7ГУ Алексеев подготовил сводку г-7 № 6903 о ходе испытаний высотных самолетов на 25 мая 1944 по Як-9 М-105ПД, Ла-5 АШ-82ФН и 2ТК-3, МиГ АМ-39А и 2ТК-2Б (1825).</w:t>
      </w:r>
    </w:p>
    <w:p w14:paraId="6DB97D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истребитель Як-9 с М-105ПД.</w:t>
      </w:r>
    </w:p>
    <w:p w14:paraId="0008612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находится не в летной состоянии. Мотор с самолета снят для замены на новый, который ожида</w:t>
      </w:r>
      <w:r w:rsidRPr="00070ADE">
        <w:rPr>
          <w:rFonts w:ascii="Times New Roman" w:hAnsi="Times New Roman"/>
          <w:color w:val="000000" w:themeColor="text1"/>
          <w:sz w:val="16"/>
          <w:szCs w:val="16"/>
        </w:rPr>
        <w:softHyphen/>
        <w:t>ется из ЦИАМ к 1 июня с.г.</w:t>
      </w:r>
    </w:p>
    <w:p w14:paraId="5C8373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Высотный истребитель Ла-5 с АШ-82ФН и 2ТК-3.</w:t>
      </w:r>
    </w:p>
    <w:p w14:paraId="39E847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Произведен контрольный полет, в котором достиг</w:t>
      </w:r>
      <w:r w:rsidRPr="00070ADE">
        <w:rPr>
          <w:rFonts w:ascii="Times New Roman" w:hAnsi="Times New Roman"/>
          <w:color w:val="000000" w:themeColor="text1"/>
          <w:sz w:val="16"/>
          <w:szCs w:val="16"/>
        </w:rPr>
        <w:softHyphen/>
        <w:t>нута высота 7000 мт. Из-за попадания дыма в каби</w:t>
      </w:r>
      <w:r w:rsidRPr="00070ADE">
        <w:rPr>
          <w:rFonts w:ascii="Times New Roman" w:hAnsi="Times New Roman"/>
          <w:color w:val="000000" w:themeColor="text1"/>
          <w:sz w:val="16"/>
          <w:szCs w:val="16"/>
        </w:rPr>
        <w:softHyphen/>
        <w:t>ну пилота полет был прекращен. Дымление проис</w:t>
      </w:r>
      <w:r w:rsidRPr="00070ADE">
        <w:rPr>
          <w:rFonts w:ascii="Times New Roman" w:hAnsi="Times New Roman"/>
          <w:color w:val="000000" w:themeColor="text1"/>
          <w:sz w:val="16"/>
          <w:szCs w:val="16"/>
        </w:rPr>
        <w:softHyphen/>
        <w:t>ходило по причине выбивания большого количества масла из мест соединения мотора с маслопроводом и попадания его на ресивер ТК. Кроме того, с высотой падало давление бензина и грелась головка- 5-го цилиндра. Для устранения указанных дефектов, на самолете проведены следующие мероприятия:</w:t>
      </w:r>
    </w:p>
    <w:p w14:paraId="1EFA69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подтянуты соединения в моторе и маслопроводе, из'ят клапан из бензосистемы, могущий вызвать утечку азота и падение давления бензина, исправ</w:t>
      </w:r>
      <w:r w:rsidRPr="00070ADE">
        <w:rPr>
          <w:rFonts w:ascii="Times New Roman" w:hAnsi="Times New Roman"/>
          <w:color w:val="000000" w:themeColor="text1"/>
          <w:sz w:val="16"/>
          <w:szCs w:val="16"/>
        </w:rPr>
        <w:softHyphen/>
        <w:t>лено дефлектирование и заменена форсунка для впрыска воды в 5-й цилиндр мотора. Самолет готов к полету.</w:t>
      </w:r>
    </w:p>
    <w:p w14:paraId="07B610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Высотный истребитель ИИГ с АМ-39Б и 2ГК-2Б.</w:t>
      </w:r>
    </w:p>
    <w:p w14:paraId="6E95B7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Закончено изготовление узлов и деталей крепления воздухопроводов для нового воздухо-воэдушного радиатора, начат монтаж радиатора на самолете (1825).</w:t>
      </w:r>
    </w:p>
    <w:p w14:paraId="00BAF5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621D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г. в ГК НИИ ВВС закончились государственные испытания самолет B-25-DP, которые шли с 21 апреля 1944. Характерной особенностью машины были двигатели Райт-Циклон R-2600 двадцать девятой серии с флюгерными ВИШ &lt;Гидроматик&gt; фирмы &lt;Гамильтон Стандарт&gt; (на B-25-S стояли аналогичные двигатели 13-й серии) со взлетной мощностью 1700 л.с., а также измененная схема стрелкового вооружения и наличие подкрыльевых бомбодержателей, обеспечивающих подвеску восьми американских бомб калибром до 300 фунтов. Претерпела изменения и топливная система. В консолях крыла были установлены дополнительные бензобаки емкостью 1140 литров (302 американских галлона). За счет уменьшения объема внутрифюзеляжного бензобака более чем вдвое увеличили бомбоотсек, в котором одновременно могло подвешиваться по паре бомб ФАБ-250 и ФАБ-500. Имелись и другие малозначительные отличия.</w:t>
      </w:r>
    </w:p>
    <w:p w14:paraId="121012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время государственных испытаний ведущими по машине стали инженер В.Я.Магон, летчик Г.А.Ашитков и штурман Филиппов. Самолет облетали также летчики М.А.Нюхтиков, А.М.Хрипков и В.М.Шульгин, штурманы Литвинчук и Цветков. В отчетах Ашитков писал, что &lt;... поведение самолета и техника пилотирования... в сравнении с самолетом Б-25-С имеет незначительные особенности, объясняющиеся, главным образом, увеличенной удельной нагрузкой самолета Б-25-ДП.</w:t>
      </w:r>
    </w:p>
    <w:p w14:paraId="0DA582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рулит спокойно, устойчиво с различными направлениями ветра.</w:t>
      </w:r>
    </w:p>
    <w:p w14:paraId="2183E3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взлетах без закрылков и с выпущенными закрылками на 15 и 23 градуса самолет устойчив и хорошо управляем, а с закрылками, выпущенными на 30°, устойчивость и управляемость ухудшаются.</w:t>
      </w:r>
    </w:p>
    <w:p w14:paraId="5BB8B7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 с закрылками, выпущенными на 45°, практически невозможен, так как скорость на разбеге нарастает медленно, и при поднятии переднего колеса самолет теряет скорость. Отрыв самолета в этом случае происходит с трех точек с подрывом на малой скорости, при этом самолет в поперечном отношении неустойчив и плохо управляем и на выдерживании скорость набирает слишком медленно.</w:t>
      </w:r>
    </w:p>
    <w:p w14:paraId="58751A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Горизонтальный полете весом 14650 кг допускается на скоростях от 170-180 миль/ч по прибору до максимальной. При скоростях 140-150 миль/ч по прибору элероны оказываются малоэффективными и управляемость самолета ухудшается, а на скорости 135 миль/ч самолет становится неуправляемым.</w:t>
      </w:r>
    </w:p>
    <w:p w14:paraId="1F7980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хорошо балансируется триммерами по всем диапазонам скоростей и идет с брошенным управлением....</w:t>
      </w:r>
    </w:p>
    <w:p w14:paraId="1339B3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Позволяет делать виражи с креном до 55-60 градусов. Нагрузки на рули большие. Время минимального виража с креном 55-60° при работе моторов на первой скорости нагнетателя на высоте 2700 метров - 1 минута 30 секунд, на второй скорости нагнетателя на высоте 4650 метров - 55 секунд.</w:t>
      </w:r>
    </w:p>
    <w:p w14:paraId="279C7B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Горизонтальный полет с нормальным полетным весом на одном моторе, работающем в режиме номинальной мощности с винтом во флюгерном положении - невозможен (... с полетным весом 14150 кг и скорости 160-175 миль/ч полет возможен с высоты 1700 метров и ниже).</w:t>
      </w:r>
    </w:p>
    <w:p w14:paraId="394829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отказе одного из моторов самолет резко забрасывает в сторону отказавшего мотора, нагрузка на ногу при этом очень большая и удержать самолет в прямолинейном направлении почти невозможно. В этом случае...целесообразно немного прикрыть газ работающему мотору, после чего нагрузки на ногу снять триммером руля поворота.</w:t>
      </w:r>
    </w:p>
    <w:p w14:paraId="206321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наличии хорошей устойчивости и имеющегося оборудования самолета полеты на дальность трудностей не представляют и особо не утомляют летчиков.</w:t>
      </w:r>
    </w:p>
    <w:p w14:paraId="160B7C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Автопилот очень чувствителен и требует очень точной регулировки, особенно на высоте. В &lt;болтанку&gt; автопилот режим полета точно не выдерживает и требует периодической поправки.</w:t>
      </w:r>
    </w:p>
    <w:p w14:paraId="51BB2A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Самолетное переговорное устройство работает неудовлетворительно. При наличии сплошной трассы прицельную стрельбу (вперед по курсу) как днем, так и ночью вести невозможно - трасса закрывает цель и шкалу прицела.</w:t>
      </w:r>
    </w:p>
    <w:p w14:paraId="145D43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Благодаря хорошему обзору вперед и влево летчик может при бомбометании самостоятельно выводить самолет на цель...&gt;.</w:t>
      </w:r>
    </w:p>
    <w:p w14:paraId="59031A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Другие летчики облета в целом согласились со своим коллегой. Наиболее кратко и емко высказался Нюхтиков: &lt;Самолет Б-25-ДП, несмотря на большой полетный вес (13700 кг), имеет несложные по технике пилотирования взлет и посадку, сравнительно легко ходит на одном моторе, имеет хорошую продольную и вполне </w:t>
      </w:r>
      <w:r w:rsidRPr="00070ADE">
        <w:rPr>
          <w:rFonts w:ascii="Times New Roman" w:hAnsi="Times New Roman"/>
          <w:color w:val="000000" w:themeColor="text1"/>
          <w:sz w:val="16"/>
          <w:szCs w:val="16"/>
        </w:rPr>
        <w:lastRenderedPageBreak/>
        <w:t>удовлетворительную боковую устойчивость. Последнее могло быть и хорошим, если бы у самолета был бы немного увеличен запас путевой устойчивости относительно поперечной и уменьшена нагрузка на ноги&gt;.</w:t>
      </w:r>
    </w:p>
    <w:p w14:paraId="672856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то, что самолет имел две кабины - бомбардира и навигатора, это не обеспечивало нормальной работы штурмана по самолетовождению. Ему мешали два неподвижных пулемета, ящики которых загромождали кабину бомбардира. В связи с этим представляет интерес мнение Литвинчука: &lt;Штурман не имеет места, на котором он мог бы сосредоточенно работать, видеть все приборы, пользоваться ими и наблюдать за землей. Для работы с радиокомпасом и навигационным визиром надо слезать с сиденья. В кабине нет указателя скорости, часов и высотомера. Эти приборы находятся на доске летчика, и штурман их с сиденья не видит. Обзор из кабины не позволяет вести детальную ориентировку. Общую ориентировку вести затруднительно... Наиболее подходящим местом для работы штурмана является кабина бомбардира, обзор из которой хороший и вполне обеспечивает ведение общей и детальной ориентировки...&gt;.</w:t>
      </w:r>
    </w:p>
    <w:p w14:paraId="1199F4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Исследователями отмечалась неудовлетворительная работа пулеметных установок из-за их частых самопроизвольных отказов, связанных, главным образом, с выпадением и перекашиванием патронных лент.</w:t>
      </w:r>
    </w:p>
    <w:p w14:paraId="5A3AD3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результатам испытаний были сделаны, в частности, следующие выводы:</w:t>
      </w:r>
    </w:p>
    <w:p w14:paraId="1DC510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&lt;Нормальный полетный вес самолета Б-25-ДП, равный 14650 кг, больше на 1750 кг или на 13,55% нормального полетного веса самолета Б-25-С вследствие:</w:t>
      </w:r>
    </w:p>
    <w:p w14:paraId="2C1B1C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увеличения веса пустого самолета на 75 кг;</w:t>
      </w:r>
    </w:p>
    <w:p w14:paraId="2726B5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увеличения веса полезной нагрузки на 1675 кг;</w:t>
      </w:r>
    </w:p>
    <w:p w14:paraId="131F9E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Предельно-эксплуатационные центровки самолета - передняя 21,7%САХ и задняя 33,5% САХ - находятся в диапазоне допускаемых американской фирмой центровок (20-33,5% САХ).</w:t>
      </w:r>
    </w:p>
    <w:p w14:paraId="3F07993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Уменьшение максимальных скоростей по высотам самолета Б-25-ДП в сравнении с самолетом Б-25-С произошло вследствие:</w:t>
      </w:r>
    </w:p>
    <w:p w14:paraId="218E2F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ухудшения аэродинамики самолета из-за установки дополнительных стрелковых точек;</w:t>
      </w:r>
    </w:p>
    <w:p w14:paraId="66D223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увеличения нормального полетного веса на 1750 кг. На всех полетных режимах в диапазоне полетных скоростей от минимально допустимой до максимальной самолет Б-25-ДП с нормальным полетным весом 14650 кг (центровка 31,0% САХ) имеет хорошую управляемость и вполне удовлетворительную устойчивость как в продольном, так и в боковом отношениях.</w:t>
      </w:r>
    </w:p>
    <w:p w14:paraId="26AE24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пилотировании на минимально допустимой скорости допускаются развороты с креном не более 15-20 градусов.</w:t>
      </w:r>
    </w:p>
    <w:p w14:paraId="01B7EE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сравнении с самолетом Б-25-С техника пилотирования на самолете Б-25-ДП несколько сложнее вследствие больших удельных нагрузок. По технике пилотирования самолет доступен летчикам средней квалификации.</w:t>
      </w:r>
    </w:p>
    <w:p w14:paraId="084723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Винтомоторная группа на всех режимах полета самолета до практического потолка работает безотказно.</w:t>
      </w:r>
    </w:p>
    <w:p w14:paraId="2C3889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Стрелковая установка не обеспечивает безотказной работы пулеметов и требует частой перезагрузки вследствие больших изгибов рукавов питания и торможения в них патронной ленты. Условия работы стрелков хвостовой установки неудовлетворительные.</w:t>
      </w:r>
    </w:p>
    <w:p w14:paraId="10072E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Бомбардировочные установки работают безотказно. Подкрыльные американские бомбодержатели подвеску отечественных бомб не обеспечивают. Для увеличения бомбовой нагрузки и расширения возможных вариантов подвески отечественных бомб необходима заводская переделка подкрыльных держателей под бомбы ФАБ-250 и ФАБ-500.</w:t>
      </w:r>
    </w:p>
    <w:p w14:paraId="7E7E5C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Американский бомбардировочный прицел Д-8 не обеспечивает удобства работы сними точности бомбометания и значительно уступает нашим отечественным прицелам типа НКПБ-7&gt;.</w:t>
      </w:r>
    </w:p>
    <w:p w14:paraId="50AB11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отличие от отечественных бомбардировщиков, кабина членов экипажа B-25-S была комфортабельной. Имелись даже обогреватели.</w:t>
      </w:r>
    </w:p>
    <w:p w14:paraId="4DD9A0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Радиостанция обеспечивала очень хорошую связь, в том числе и при полете на предельную дальность. Проверку произвели на маршруте Чкаловская-Харабали (Астраханская область) общей протяженностью 2340 километров.</w:t>
      </w:r>
    </w:p>
    <w:p w14:paraId="30F8F8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заключении Акта по результатам гос. испытаний рекомендовалось переделать американские под крыльевые бомбодержатели под отечественные бомбы ФАБ-100 и ФАБ-250 и заменить американский прицел Д-8 на отечественный НКПБ-7; снять носовые неподвижные пулеметы и установить сидение в передней кабине бомбардира; перекомпоновать имеющееся и установить дополнительное оборудование и приборы в кабине штурмана (3198).</w:t>
      </w:r>
    </w:p>
    <w:p w14:paraId="5A71D2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A8E3C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9379C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820F41" w14:textId="77777777" w:rsidR="00827943" w:rsidRPr="00070ADE" w:rsidRDefault="0082794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27 по 29 мая 1944 года установку ИСУ-122 с версией Д-25 испытывали на полигоне 13-го учебного танкового полка в Челябинске. Установка успешно прошла испытания, её приняли на вооружение бронетанковые и механизированные войска РККА (18335).</w:t>
      </w:r>
    </w:p>
    <w:p w14:paraId="49902739" w14:textId="77777777" w:rsidR="00827943" w:rsidRPr="00070ADE" w:rsidRDefault="0082794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Опытный образец строился на базе ИСУ-152 с корпусом выпуска завода №200, их прекратили выпускать в марте 1944 года (18335).</w:t>
      </w:r>
    </w:p>
    <w:p w14:paraId="3A3DA427" w14:textId="77777777" w:rsidR="00827943" w:rsidRPr="00070ADE" w:rsidRDefault="00827943" w:rsidP="00B56F90">
      <w:pPr>
        <w:spacing w:after="0" w:line="240" w:lineRule="auto"/>
        <w:jc w:val="both"/>
        <w:rPr>
          <w:rFonts w:ascii="Times New Roman" w:hAnsi="Times New Roman"/>
          <w:color w:val="000000" w:themeColor="text1"/>
          <w:sz w:val="16"/>
          <w:szCs w:val="16"/>
        </w:rPr>
      </w:pPr>
    </w:p>
    <w:p w14:paraId="69CF3B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27 мая 1944 в Ленинграде был создан филиал ЦАКБ, который 8 марта 1945 г. стал ЦКБ-34 Для ЦКБ-34 характерна марка "СМ". </w:t>
      </w:r>
    </w:p>
    <w:p w14:paraId="4E3C5D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1956 г. создана пушка СМ-54 (2А3) на самоходном шасси для стрельбы ядерными боеприпасами «Конденсатор» (калибр-406 мм, масса- 570 кг, макс. дальность стрельбы- 25,6 км).</w:t>
      </w:r>
    </w:p>
    <w:p w14:paraId="7CE491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1965 г. ЦКБ-34 ГКОТ передано в ведение 4ГУ МОМ и по приказу от 6.03.1966 г. преобразовано в КБСМ (средств механизации).77 В 1970-80-е г. КБ специального машиностроения вновь вошло в МОМ (в ведении 4ГУ). Затем называлось МаЦКБ. Головное предприятие по наземному оборудованию для РКТ. По решению правительства № 22-р от 9.01.2004 г. и Указу Президента РФ № 1009 от 4.08.2004 г. ОАО вошло в число стратегических оборонных предприятий.</w:t>
      </w:r>
    </w:p>
    <w:p w14:paraId="679F2E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на 2002 г.: разработка наземного оборудования ракетно-космических комплексов наземного и мобильного базирования, антенные установки, прецизионные опорно-поворотные установки, оборудование для тепловакуумных камер для наземных испытаний РКТ, монтажно-стыковочное оборудование большой грузоподъемности, транспортные средства.</w:t>
      </w:r>
    </w:p>
    <w:p w14:paraId="60C689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Имело филиал в КБОМ (г. Москва). </w:t>
      </w:r>
    </w:p>
    <w:p w14:paraId="3B83F7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(2002 г.) ~1900 чел.</w:t>
      </w:r>
    </w:p>
    <w:p w14:paraId="50ACBD8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(1950-60-е)- В.Г. Рудяк,58 (1970-е г.)- В. Степанов, Г.А. Белов.</w:t>
      </w:r>
    </w:p>
    <w:p w14:paraId="0DEFA6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гл. конструктор (2002 г.)- Н.А. Трофимов.</w:t>
      </w:r>
    </w:p>
    <w:p w14:paraId="3DCAE1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1-й зам. Начальника/ гл. инженер (2002 г.)- В.Г. Долбенков. Зам. Начальника по экономике (2002 г.)- И.В. Маркелов.69 </w:t>
      </w:r>
    </w:p>
    <w:p w14:paraId="2B3A31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Работали: (1958 г.-)- Е.А. Угрюмов (нач. лаборатории).</w:t>
      </w:r>
    </w:p>
    <w:p w14:paraId="7293D12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Создано: палубная артустановка СМ-5 (конец 1940-х); СМ-2-1 (1950-е), СМ-6, СМ-33, СМ-31, СМ-59 (ПУ с «КСЩ» для эсминца пр. 56Э). ПУ: для БРПЛ: СМ-60 для Р-11ФМ и Р-13, СМ-87 для Р-21, для Р-27; СМ-64 для ЗРК «Волхов» М-2 (1957); СМ-44 (2П5) для РСЗО «Коршун» на шасси ЯАЗ-214, КрАЗ-214 (1955); для ККР КСЩ, «Аметист», «Малахит», «Оникс».58 </w:t>
      </w:r>
    </w:p>
    <w:p w14:paraId="2BCB40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ЦКБ-34 МОП, МО, ГКОТ, КБ средств механизации (КБСМ) МОМ, МаЦКБ МОМ, ФГУП, ОАО «КБ Специального машиностроения» (КБСМ) </w:t>
      </w:r>
    </w:p>
    <w:p w14:paraId="2F8863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194100 г. Ленинград, Санкт-Петербург Лесной пр., 64 тел. 245-51-13 (10776).</w:t>
      </w:r>
    </w:p>
    <w:p w14:paraId="1E65C2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0E9B82B" w14:textId="0FDB1DB0"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г. «для более успешного решения задач вооружения ВМФ» на основе группы конструкторов ЦАКБ во главе с И.И. Ивановым, которая была направлена на завод № 232 для освоения серийного выпуска пушки БС-3 весной 1944, был организован Ленинградский филиал ЦАКБ (ЦКБ-34 МОП, МО, ГКОТ, Морское артиллерийское КБ (МАКБ) НКВ, МАЦКБ, КБ средств механизации (КБСМ) MOM, ФГУП, ОАО «КБ Специального машиностроения» (КБСМ) /194100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Ленинград,</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Санкт-Петербург Лесной пр-д, 64А, 64Б и ул. Бобруйская, 7, и ул. Кантемировская, 15А, 15Б, 17А тел. 245-51-13/). Пост. ГКО № 7739 от 8.03.1945 г. филиал преобразован в самостоятельное МАКБ в ведении НКВ для проектирования артиллерийских систем кораблей ВМФ. Затем называлось МАЦКБ, с 1948г, - ЦКБ-34.</w:t>
      </w:r>
    </w:p>
    <w:p w14:paraId="614B1D3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01.1945 г. начато проектирование 220-мм атиллерийской башни для крейсера пр. 82. В 1945 г. сюда из ЦАКБ переданы работы по 100-мм палубной артустановке С-44, здесь она переименована в СМ-5 («СМ» - фирменный индекс ЦКБ-34, возможно, «система морская»</w:t>
      </w:r>
      <w:r w:rsidRPr="00070ADE">
        <w:rPr>
          <w:rFonts w:ascii="Times New Roman" w:hAnsi="Times New Roman"/>
          <w:color w:val="000000" w:themeColor="text1"/>
          <w:sz w:val="16"/>
          <w:szCs w:val="16"/>
          <w:vertAlign w:val="superscript"/>
        </w:rPr>
        <w:t>148</w:t>
      </w:r>
      <w:r w:rsidRPr="00070ADE">
        <w:rPr>
          <w:rFonts w:ascii="Times New Roman" w:hAnsi="Times New Roman"/>
          <w:color w:val="000000" w:themeColor="text1"/>
          <w:sz w:val="16"/>
          <w:szCs w:val="16"/>
        </w:rPr>
        <w:t>). Приказом МВМС № 0059 от 11,05.1949 г. СМ-5-1 пнв.</w:t>
      </w:r>
    </w:p>
    <w:p w14:paraId="19ADA24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14.03.1946 г. выдано задание на модернизацию 3-орудийной 152-мм установки МК-5. Техпроект установки утвержден 23.09.1947 г., пост. СМ № 3850-1538 от 22.08.1952 г. башня МК-5бис пнв.</w:t>
      </w:r>
    </w:p>
    <w:p w14:paraId="35372D9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24.04.1948 г. было утверждено ТТЗ на разработку 305-мм пушки СМ-33 для тяжелого крейсера пр. 82, для нее совместно с КБ ЛМЗ велась разработка 3-орудийной башни СМ-31 (в 1953 г. разработка башни прекращена). 19.01.1955 г. вышло постановление правительства о создании на базе СМ-33 305-мм железнодорожной батареи СМ-41 с качающейся частью СМ-33 Т, вскоре по распоряжению Хрущева работы были прекращены.</w:t>
      </w:r>
    </w:p>
    <w:p w14:paraId="20DD1C14" w14:textId="1EECA7AF"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1940-х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КБ было привлечено к изучению немецкого опыта по созданию PC и пусковых установок. Разрабатывало ПУ для больших кораблей и ПЛ.</w:t>
      </w:r>
    </w:p>
    <w:p w14:paraId="5D8AE8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Разработана 180-мм пушка СМ-45 и 2-орудийная башня СМ-48 для крейсера пр. 84, пост, правительства от 25.08.1956 г. работы по ним прекращены.</w:t>
      </w:r>
    </w:p>
    <w:p w14:paraId="3502C00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1953 г. КБ поручена разработка ПУ для передвижного ЗРК С-75.</w:t>
      </w:r>
    </w:p>
    <w:p w14:paraId="458D11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 МОП от 20.09.1955 г. КБ поручена разработка ПУ для ПКР «КСЩ» и ЗРК М-3; в 11.1956 г. был готов техпроект СМ-59, затем создана СМ-68. В 12.1956 г. выдано задание на разработку ПУ СМ-70 для ККР П-35.</w:t>
      </w:r>
    </w:p>
    <w:p w14:paraId="4FF66F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ГКОТ от 14.06.1960 г. начата разработка ШПУ «Шексна» для Р-16.</w:t>
      </w:r>
    </w:p>
    <w:p w14:paraId="3C1F20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1961 г. в ЦКБ переданы тематика и личный состав ликвидированного ОКБ-43.</w:t>
      </w:r>
    </w:p>
    <w:p w14:paraId="112B69D6" w14:textId="58BCEDE9"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1965 г. ЦКБ-34 ГКОТ передано в ведение 4ГУ MOM и по приказу от 6.03.1966 г. преобразовано в КБСМ (средств механизации).</w:t>
      </w:r>
      <w:r w:rsidRPr="00070ADE">
        <w:rPr>
          <w:rFonts w:ascii="Times New Roman" w:hAnsi="Times New Roman"/>
          <w:color w:val="000000" w:themeColor="text1"/>
          <w:sz w:val="16"/>
          <w:szCs w:val="16"/>
          <w:vertAlign w:val="superscript"/>
        </w:rPr>
        <w:t>77</w:t>
      </w:r>
      <w:r w:rsidRPr="00070ADE">
        <w:rPr>
          <w:rFonts w:ascii="Times New Roman" w:hAnsi="Times New Roman"/>
          <w:color w:val="000000" w:themeColor="text1"/>
          <w:sz w:val="16"/>
          <w:szCs w:val="16"/>
        </w:rPr>
        <w:t xml:space="preserve"> В 1970-80-е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КБ специального машиностроения вновь вошло в MOM (в ведении 4ГУ).</w:t>
      </w:r>
    </w:p>
    <w:p w14:paraId="4987FCBA" w14:textId="45732AF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1960-х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 головное предприятие по наземному оборудованию для РКТ стационарного и мобильного базирования для армии и флота. Создано 13 стартовых комплексов (СК). В 1980-е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создан стенд для определения давления на железнодорожное полотно при старте ракеты БЖРК.</w:t>
      </w:r>
    </w:p>
    <w:p w14:paraId="00F738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 ряд антенн диаметром до 32 м, радиотелескоп с диаметром зеркала 70 м.</w:t>
      </w:r>
    </w:p>
    <w:p w14:paraId="272EF5D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1992 г. принимал участие в работах по переоборудованию ШПУ МБР 15Ж60 под ракету «Тополь-М». Для этого на экспериментальной базе был построен стенд-имитатор штатной ПУ СМ-Э316.</w:t>
      </w:r>
    </w:p>
    <w:p w14:paraId="4F99F0C7" w14:textId="492DD6AC"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1990-х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на базе системы амортизации МБР в ШПУ разработана система сейсмозащиты АЭС и других экологически опасных объектов. Создан металлобетонированный контейнер для длительного хранения и транспортировки отработанного ядерного топлива и ЯЭУ.</w:t>
      </w:r>
    </w:p>
    <w:p w14:paraId="5FB6E60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(2002 г.): разработка наземного оборудования ракетно-космических комплексов наземного и мобильного базирования, антенные установки, прецизионные опорно-поворотные установки, оборудование для тепловакуумных камер для наземных испытаний РКТ, монтажно-стыковочное оборудование большой грузоподъемности, транспортные средства.</w:t>
      </w:r>
    </w:p>
    <w:p w14:paraId="06A4B4DB" w14:textId="2B12D9DC"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Имело в своем составе КБ-4 (1970-е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работы по ШПУ, БЖРК). Имело филиал в КБОМ ( г. Москва).</w:t>
      </w:r>
    </w:p>
    <w:p w14:paraId="77BADC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решению правительства № 22-р от 9.01.2004 г. и Указу Президента РФ № 1009 от 4.08.2004 г. ОАО вошло в число стратегических оборонных предприятий. Предприятие входило (2010 г.) в состав Концерна ПВО «Алмаз- Антей».</w:t>
      </w:r>
    </w:p>
    <w:p w14:paraId="569C66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составе экспериментальной базы имелся (2005 г.) комплексный стен грузоподъемностью 140 т для бросковых испытаний контейнеров.</w:t>
      </w:r>
      <w:r w:rsidRPr="00070ADE">
        <w:rPr>
          <w:rFonts w:ascii="Times New Roman" w:hAnsi="Times New Roman"/>
          <w:color w:val="000000" w:themeColor="text1"/>
          <w:sz w:val="16"/>
          <w:szCs w:val="16"/>
          <w:vertAlign w:val="superscript"/>
        </w:rPr>
        <w:t>101</w:t>
      </w:r>
    </w:p>
    <w:p w14:paraId="490904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рамках принятого осенью 2007 г. проекта создания Северо-Западного регионального центра (СЗРЦ) концерна «Алмаз-Антей» на базе Обуховского завода планировался перевод предприятия на его площадку.</w:t>
      </w:r>
    </w:p>
    <w:p w14:paraId="7A0DAD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Площадь территории (2010 г.)- 3,71 га.</w:t>
      </w:r>
    </w:p>
    <w:p w14:paraId="79CB4E5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(2002 г.) -1900 чел.</w:t>
      </w:r>
    </w:p>
    <w:p w14:paraId="0789FAEA" w14:textId="0C5C1626"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(1944-50-е)- И.И. Иванов, (1950-е-69 г.-&gt; Е. Г. Рудяк {2.01.1908-4.04.1991 г.},</w:t>
      </w:r>
      <w:r w:rsidRPr="00070ADE">
        <w:rPr>
          <w:rFonts w:ascii="Times New Roman" w:hAnsi="Times New Roman"/>
          <w:color w:val="000000" w:themeColor="text1"/>
          <w:sz w:val="16"/>
          <w:szCs w:val="16"/>
          <w:vertAlign w:val="superscript"/>
        </w:rPr>
        <w:t>58</w:t>
      </w:r>
      <w:r w:rsidRPr="00070ADE">
        <w:rPr>
          <w:rFonts w:ascii="Times New Roman" w:hAnsi="Times New Roman"/>
          <w:color w:val="000000" w:themeColor="text1"/>
          <w:sz w:val="16"/>
          <w:szCs w:val="16"/>
        </w:rPr>
        <w:t xml:space="preserve"> (1970-е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B.C. Степанов,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Г.А. Белов, (1980-е-2003 г.)- А.Ф. Уткин. Ген. конструктор (2003-06 г.-)- Н.А. Трофимов.</w:t>
      </w:r>
    </w:p>
    <w:p w14:paraId="536B8E3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(1950-е)- И.И. Иванов, (2002 г.)- Н.А. Трофимов. Гендиректор (2006 г.)- Н.А. Трофимов.</w:t>
      </w:r>
    </w:p>
    <w:p w14:paraId="603CB2F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(2002 г.)- В. Г. Долбенков.</w:t>
      </w:r>
    </w:p>
    <w:p w14:paraId="13A9C0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зам. Начальника (2002 г.)- В. Г. Долбенков. Зам. Начальника по экономике (2002 г.)- И.В. Маркелов.</w:t>
      </w:r>
      <w:r w:rsidRPr="00070ADE">
        <w:rPr>
          <w:rFonts w:ascii="Times New Roman" w:hAnsi="Times New Roman"/>
          <w:color w:val="000000" w:themeColor="text1"/>
          <w:sz w:val="16"/>
          <w:szCs w:val="16"/>
          <w:vertAlign w:val="superscript"/>
        </w:rPr>
        <w:t>69</w:t>
      </w:r>
    </w:p>
    <w:p w14:paraId="724195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конструкторы: (1953 г.-)- Б.С. Коробов (ПУ С-75), (1950-е)- И.П. Шахов (СМ-71П), (1963 г.)- Б. Г. Бочков (СМ-97, -97А, -101, -107), (1972 г.)- А.Ф. Уткин (ШПУ для МР-УРЮО).</w:t>
      </w:r>
    </w:p>
    <w:p w14:paraId="591983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отделов: КО (08.1944 г.-)- Т.Д. Вылкост.</w:t>
      </w:r>
    </w:p>
    <w:p w14:paraId="42D096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лаборатории: (1958 г.-)- Е.А. Угрюмов.</w:t>
      </w:r>
    </w:p>
    <w:p w14:paraId="571DC9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пушки: 406-мм СМ-54 (2АЗ) на самоходном шасси для стрельбы ядерными боеприпасами «Конденсатор» (1956); морские: 45-мм зенитный автомат СМ-7 (1949), 180-мм СМ-45 (проект, 1956), 220-мм СМ- 40 для пр. 66 (1953), баллистический ствол СМ-Э77 для СМ-40 (1953), 305-мм СМ-33 (1950-е); артустановки: 2- орудийные: зенитная 45-мм СМ-16 (1949), ее нестабилизированный вариант СМ-17 (1949), палубная 100-мм СМ- 5-1 (пнв 11.05.1949 г.), 100-мм башенная СМ-52 (1955), 180-мм башенная СМ-48 (проект, 1956); 3-орудийные башенные: 152-мм МК-5бис (пнв 22.08.1952 г.), 220-мм СМ-6 для крейсера пр. 66 (проект, 1953), 305-мм СМ-31 (проект, 1950-53, совместно с КБ JIM3); 305-мм железнодорожная СМ-41 (1955, проект); СМ-2-1 (1950-е); командно-дальномерный пост КДП2-8 СМ-18 и СМ-18-1 для пр. 68К и 68бис (1940-е); ПУ: СМ-44 (2П5) для РСЗО «Коршун» на шасси ЯАЗ-214, КрАЗ-214 (1955); для ККР: СМ-58 для КСС крейсера пр. 67 (проект, 1955), СМ-59 для «КСЩ» эсминца пр. 56Э (1956), СМ-77 для П-7 (проект, 1950-е); СМ-64 для ЗРК «Волхов» М-2 крейсера пр. 70Э (1957), СМ-68 (СМ-64-1) для корабельного ЗРК М-3 (1957), СМ-69 и поворотная СМ-76 для П- 40 крейсера пр. 63 (проект, 1955-); СМ-70 (штатная), 4-х контейнерная СМ-82 (для наземнх испытаний) и СМЭ- 142 (опытового судна ОС-15) для П-35 (1959); для «Малахит», «Оникс»,</w:t>
      </w:r>
      <w:r w:rsidRPr="00070ADE">
        <w:rPr>
          <w:rFonts w:ascii="Times New Roman" w:hAnsi="Times New Roman"/>
          <w:color w:val="000000" w:themeColor="text1"/>
          <w:sz w:val="16"/>
          <w:szCs w:val="16"/>
          <w:vertAlign w:val="superscript"/>
        </w:rPr>
        <w:t>58</w:t>
      </w:r>
      <w:r w:rsidRPr="00070ADE">
        <w:rPr>
          <w:rFonts w:ascii="Times New Roman" w:hAnsi="Times New Roman"/>
          <w:color w:val="000000" w:themeColor="text1"/>
          <w:sz w:val="16"/>
          <w:szCs w:val="16"/>
        </w:rPr>
        <w:t xml:space="preserve"> ЗС14Э для "Club-N"; для БРПЛ: СМ-60 для Р-11ФМ и Р-13, СМ-87 для Р-21, для Р-27; СМ-97 (для ПЛ пр. 661), -97А (для ПЛ пр. 670А), -101 (для плавучего стенда), -107 (для ПЛ пр. 613А) для КР ПЛ П-70 «Аметист» (1963); СМ-71П для В-1000 системы ПРО «А» (1950-е); стартовая позиция комплекса «Шексна» для БР Р-16; ШПУ для Р-36 (1964), МР-УРЮО (1970-е), Р- 36М2 (1980-е); наземный комплекс для БР РТ-20П (1960-е); СК 5П85С для С-300П, 15П765-18Э для «Тополь-М», 15П761, 15П952 для БЖРК РТ-23 «Молодец» (1987), 15П961 для БЖРК РТ-23УТТХ (пнв в 1989 г.); артиллерийская часть ракетного комплекса «Филин» 2П4 (11982).</w:t>
      </w:r>
    </w:p>
    <w:p w14:paraId="2CBDE5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9FBFC7B" w14:textId="77777777" w:rsidR="00AD443E" w:rsidRPr="00C94B78" w:rsidRDefault="00AD443E"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27 мая 1944 г. Постановлением Совнаркома для более успешного решения задач вооружения ВМФ был создан Ленинградский филиал ЦАКБ. Руководителем его, естественно, стал Иванов. В марте 1945 г. постановлением ГКО Ленинградский филиал ЦАКБ преобразован в самостоятельное предприятие — Морское Артиллерийское Центральное конструкторское бюро (МАЦКБ). Оно работало по-прежнему под началом Иванова. В своих воспоминаниях о Грабине АП. Худяков утверждает, что Грабин благожелательно относился к разделу ЦАКБ (25440):</w:t>
      </w:r>
    </w:p>
    <w:p w14:paraId="2311A638" w14:textId="77777777" w:rsidR="00AD443E" w:rsidRPr="00C94B78" w:rsidRDefault="00AD443E" w:rsidP="00B56F90">
      <w:pPr>
        <w:spacing w:after="0" w:line="240" w:lineRule="auto"/>
        <w:jc w:val="both"/>
        <w:rPr>
          <w:rFonts w:ascii="Times New Roman" w:hAnsi="Times New Roman"/>
          <w:color w:val="0070C0"/>
          <w:sz w:val="16"/>
          <w:szCs w:val="16"/>
        </w:rPr>
      </w:pPr>
    </w:p>
    <w:p w14:paraId="0C2A9AD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вышло Распоряжение ГКО № 5961 [Об обеспечении выполнения НКЭП задания по производству запасных частей для электростанций.] (7236, 113).</w:t>
      </w:r>
    </w:p>
    <w:p w14:paraId="59836A4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91BB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вышло Распоряжение ГКО № 5962. О корректировке планов производства отдельных видов боеприпасов в связи с наличием достаточного запаса. РГАНИР, Фонд ГКО, д. 257, лл. 114-117,118-119 (11012).</w:t>
      </w:r>
    </w:p>
    <w:p w14:paraId="6EE3568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27B544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вышло Распоряжение ГКО № 5963. О дополнительном выделении автобензина Мосгорисполкому. РГАНИР, Фонд ГКО, д. 257, лл. 120 (11012).</w:t>
      </w:r>
    </w:p>
    <w:p w14:paraId="705E17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4B715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Начаты государственные сдаточные испытания 2-го ТЩ типа МТ-1 на Балтийском заводе (10671).</w:t>
      </w:r>
    </w:p>
    <w:p w14:paraId="5ED331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72A435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B6721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8F29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нового успеха добился Большаков, доложивший о потоплении «6000-тонного транспорта» из состава конвоя, обнаруженного им севернее острова Осмуссаар. Один Ил-4 из крейсерского полета не вернулся. После гибели или перевода большинства старого состава 3-й эскадрильи на новую матчасть эффективность Ил-4 как торпедоносца резко упала, в то же время в эскадрильях «Бостонов» набрались опыта молодые кадры. В связи с этим не кажется удивительным, что на 11 успешных докладов в июне на 3-ю эскадрилью снова приходится лишь два - от Большакова, атаковавшего 4-го числа «7000-тонный транспорт» у западного побережья Сааремаа, и старшего лейтенанта Николаенко, «торпедировавшего» на следующий день одиночный транспорт в устье Финского залива. В том же месяце на долю эскадрильи Ил-4 выпала одна из самых необычных акций, имевших место за время войны - удар по плотине на реке Свирь (9965).</w:t>
      </w:r>
    </w:p>
    <w:p w14:paraId="7536BC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FEB826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в ходе боев в Польше советские войска вынудили сдаться подразделения польской партизанской Армии Карёвой, которая боролась с немцами (4962).</w:t>
      </w:r>
    </w:p>
    <w:p w14:paraId="18F5761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C11D3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5A898E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2A038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в Париже состоялась премьера спектакля Жана-Поля Сартра “Выхода нет” (4962).</w:t>
      </w:r>
    </w:p>
    <w:p w14:paraId="68D7202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244F91" w14:textId="77777777" w:rsidR="00006324" w:rsidRPr="00070ADE" w:rsidRDefault="0000632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японцы наносят лишь незначительные воздушные удары по американским войскам, высадившимся в Биаке, повредив охотник за подводными лодками (20373). 29 мая 1944 авианосец сопровождения USS Block Island (CVE-21) торпедирован и потоплен немецкой подводной лодкой недалеко от Азорских островов. Это единственный авианосец ВМС США, потерянный в Атлантическом океане (20373).</w:t>
      </w:r>
    </w:p>
    <w:p w14:paraId="270D608B" w14:textId="77777777" w:rsidR="00006324" w:rsidRPr="00070ADE" w:rsidRDefault="00006324" w:rsidP="00B56F90">
      <w:pPr>
        <w:spacing w:after="0" w:line="240" w:lineRule="auto"/>
        <w:jc w:val="both"/>
        <w:rPr>
          <w:rFonts w:ascii="Times New Roman" w:hAnsi="Times New Roman"/>
          <w:color w:val="000000" w:themeColor="text1"/>
          <w:sz w:val="16"/>
          <w:szCs w:val="16"/>
        </w:rPr>
      </w:pPr>
    </w:p>
    <w:p w14:paraId="1FF929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27 мая по 14 декабря 1944 прошла Хунань-Гуйлинская операция - попытка японских войск в Китае разгромить основные силы гоминдана. Китайцы и американцы потерпели поражение в Хунане. Японцы захватили 10 авиабаз и 36 аэродромов. Китайцы потеряли миллион чел. (2443,258).</w:t>
      </w:r>
    </w:p>
    <w:p w14:paraId="34AD4E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B7FC0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84CA7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B490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мая 1944 Дементьев и С.В.И. писали Г.М.М. и А.И.Ш. докладную записку "О поставке самолетов Ил-10":</w:t>
      </w:r>
    </w:p>
    <w:p w14:paraId="2D10C8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"Ознакомившись в Куйбышеве с состоянием производства на заводах 1 и 18, считаем целесообразным самолеты Ил-10 ставить на производство одновременно на заводах 1 и 18.</w:t>
      </w:r>
    </w:p>
    <w:p w14:paraId="77F100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Целесообразность постановки на производство самолетов Ил-10 одновременно на заводах 1 и 18 вызывается следующим:</w:t>
      </w:r>
    </w:p>
    <w:p w14:paraId="739FB2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 При освоении производства самолетов Ил-10 2-мя заводами позволит им лучше осуществить подготовку нового производства (изготовление оснастки, инструмента, приспособлений, штампов и пр.).</w:t>
      </w:r>
    </w:p>
    <w:p w14:paraId="5096A7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Подготовка производства при этом будет проведена более качественно.</w:t>
      </w:r>
    </w:p>
    <w:p w14:paraId="3E9A83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При запуске самолетов Ил-10 только на заводе 1 или на заводе 18, выпуск этих самолетов в этом году составит около 450 самолетов. При постановке же производства на 2-х заводах, выпуск самолетов Ил-10 в этом году составит 637 самолетов. Выпуск 637 самолетов 2-мя заводами является реальным.</w:t>
      </w:r>
    </w:p>
    <w:p w14:paraId="48B4F7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Освоение самолетов Ил-10 одновременно на двух заводах 1 и 18 даст возможность заводу 24 в более короткий срок осуществить переход на выпуск только моторов АМ-42. Заводы 1 и 18 смогут перейти в 1 кв. 1945 на выпуск только самолетов Ил-10, что позволит заводу 24 в этот же срок также перейти на производство одного типа мотора - АМ-42. выпуск самолетов Ил-10 заводом 1 или 18 вызовет необходимость продолжать на заводе 24 производство 2-х типов моторов - АМ-38 и АМ-42.</w:t>
      </w:r>
    </w:p>
    <w:p w14:paraId="61816C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обеспечения подготовки и перехода заводов 1 и 18 на производство самолетов Ил-10, необходимо заводу 1 оставить существующий уровень выпуска, т.е. 11 самолетов в день, а заводу 18 установить выпуск 11 самолетов, вместо выпускаемых в настоящее время 15 самолетов в сутки.</w:t>
      </w:r>
    </w:p>
    <w:p w14:paraId="3D2DE3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Считаем возможным установить заводам 1 и 18 программу выпуска самолетов Ил-10 во 2 полугодии 1944 в количестве 637 самолетов, в т.ч.:</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4D4663" w:rsidRPr="00070ADE" w14:paraId="1C294CDB" w14:textId="77777777">
        <w:tc>
          <w:tcPr>
            <w:tcW w:w="3757" w:type="dxa"/>
          </w:tcPr>
          <w:p w14:paraId="2472A3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CEBBC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1</w:t>
            </w:r>
          </w:p>
        </w:tc>
        <w:tc>
          <w:tcPr>
            <w:tcW w:w="3757" w:type="dxa"/>
          </w:tcPr>
          <w:p w14:paraId="5AB63C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18</w:t>
            </w:r>
          </w:p>
        </w:tc>
      </w:tr>
      <w:tr w:rsidR="004D4663" w:rsidRPr="00070ADE" w14:paraId="7D162D74" w14:textId="77777777">
        <w:tc>
          <w:tcPr>
            <w:tcW w:w="3757" w:type="dxa"/>
          </w:tcPr>
          <w:p w14:paraId="77763A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августе</w:t>
            </w:r>
          </w:p>
        </w:tc>
        <w:tc>
          <w:tcPr>
            <w:tcW w:w="3757" w:type="dxa"/>
          </w:tcPr>
          <w:p w14:paraId="0DAF7B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3757" w:type="dxa"/>
          </w:tcPr>
          <w:p w14:paraId="2033C4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r>
      <w:tr w:rsidR="004D4663" w:rsidRPr="00070ADE" w14:paraId="403743B4" w14:textId="77777777">
        <w:tc>
          <w:tcPr>
            <w:tcW w:w="3757" w:type="dxa"/>
          </w:tcPr>
          <w:p w14:paraId="56DAC3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сентябре</w:t>
            </w:r>
          </w:p>
        </w:tc>
        <w:tc>
          <w:tcPr>
            <w:tcW w:w="3757" w:type="dxa"/>
          </w:tcPr>
          <w:p w14:paraId="2182A3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c>
          <w:tcPr>
            <w:tcW w:w="3757" w:type="dxa"/>
          </w:tcPr>
          <w:p w14:paraId="2BB455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r>
      <w:tr w:rsidR="004D4663" w:rsidRPr="00070ADE" w14:paraId="4D440DA1" w14:textId="77777777">
        <w:tc>
          <w:tcPr>
            <w:tcW w:w="3757" w:type="dxa"/>
          </w:tcPr>
          <w:p w14:paraId="232D26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октябре</w:t>
            </w:r>
          </w:p>
        </w:tc>
        <w:tc>
          <w:tcPr>
            <w:tcW w:w="3757" w:type="dxa"/>
          </w:tcPr>
          <w:p w14:paraId="163890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3757" w:type="dxa"/>
          </w:tcPr>
          <w:p w14:paraId="131CA7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r>
      <w:tr w:rsidR="004D4663" w:rsidRPr="00070ADE" w14:paraId="0B6B73B6" w14:textId="77777777">
        <w:tc>
          <w:tcPr>
            <w:tcW w:w="3757" w:type="dxa"/>
          </w:tcPr>
          <w:p w14:paraId="46CBAA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ноябре</w:t>
            </w:r>
          </w:p>
        </w:tc>
        <w:tc>
          <w:tcPr>
            <w:tcW w:w="3757" w:type="dxa"/>
          </w:tcPr>
          <w:p w14:paraId="0E4F9E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3757" w:type="dxa"/>
          </w:tcPr>
          <w:p w14:paraId="1F8D51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r>
      <w:tr w:rsidR="004D4663" w:rsidRPr="00070ADE" w14:paraId="2894139A" w14:textId="77777777">
        <w:tc>
          <w:tcPr>
            <w:tcW w:w="3757" w:type="dxa"/>
          </w:tcPr>
          <w:p w14:paraId="3442B6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декабре</w:t>
            </w:r>
          </w:p>
        </w:tc>
        <w:tc>
          <w:tcPr>
            <w:tcW w:w="3757" w:type="dxa"/>
          </w:tcPr>
          <w:p w14:paraId="7E650A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c>
          <w:tcPr>
            <w:tcW w:w="3757" w:type="dxa"/>
          </w:tcPr>
          <w:p w14:paraId="0540F8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r>
      <w:tr w:rsidR="005106D0" w:rsidRPr="00070ADE" w14:paraId="61B40B1A" w14:textId="77777777">
        <w:tc>
          <w:tcPr>
            <w:tcW w:w="3757" w:type="dxa"/>
          </w:tcPr>
          <w:p w14:paraId="53C0CE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3757" w:type="dxa"/>
          </w:tcPr>
          <w:p w14:paraId="26C71F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317</w:t>
            </w:r>
          </w:p>
        </w:tc>
        <w:tc>
          <w:tcPr>
            <w:tcW w:w="3757" w:type="dxa"/>
          </w:tcPr>
          <w:p w14:paraId="400382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 (1816,113)</w:t>
            </w:r>
          </w:p>
        </w:tc>
      </w:tr>
    </w:tbl>
    <w:p w14:paraId="531AC0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D2F1025"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28 мая 1944 г. все необ</w:t>
      </w:r>
      <w:r w:rsidRPr="00C94B78">
        <w:rPr>
          <w:rFonts w:ascii="Times New Roman" w:hAnsi="Times New Roman"/>
          <w:color w:val="0070C0"/>
          <w:sz w:val="16"/>
          <w:szCs w:val="16"/>
        </w:rPr>
        <w:softHyphen/>
        <w:t>ходимые изменения У-2ШС, согласно рекомендациям летчиков, осуществили на специальном маке</w:t>
      </w:r>
      <w:r w:rsidRPr="00C94B78">
        <w:rPr>
          <w:rFonts w:ascii="Times New Roman" w:hAnsi="Times New Roman"/>
          <w:color w:val="0070C0"/>
          <w:sz w:val="16"/>
          <w:szCs w:val="16"/>
        </w:rPr>
        <w:softHyphen/>
        <w:t>те. Подготовили новый вариант расширенно</w:t>
      </w:r>
      <w:r w:rsidRPr="00C94B78">
        <w:rPr>
          <w:rFonts w:ascii="Times New Roman" w:hAnsi="Times New Roman"/>
          <w:color w:val="0070C0"/>
          <w:sz w:val="16"/>
          <w:szCs w:val="16"/>
        </w:rPr>
        <w:softHyphen/>
        <w:t>го на 100 мм фюзеляжа, гаргрот в месте раз</w:t>
      </w:r>
      <w:r w:rsidRPr="00C94B78">
        <w:rPr>
          <w:rFonts w:ascii="Times New Roman" w:hAnsi="Times New Roman"/>
          <w:color w:val="0070C0"/>
          <w:sz w:val="16"/>
          <w:szCs w:val="16"/>
        </w:rPr>
        <w:softHyphen/>
        <w:t>мещения раненых подняли на 50 мм, фонарь пассажирской кабины сделали съемным. По</w:t>
      </w:r>
      <w:r w:rsidRPr="00C94B78">
        <w:rPr>
          <w:rFonts w:ascii="Times New Roman" w:hAnsi="Times New Roman"/>
          <w:color w:val="0070C0"/>
          <w:sz w:val="16"/>
          <w:szCs w:val="16"/>
        </w:rPr>
        <w:softHyphen/>
        <w:t>садочный трап на нижнем крыле расширили на 150 мм.</w:t>
      </w:r>
    </w:p>
    <w:p w14:paraId="218B277F"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Так как разговор шел уже о серийном про</w:t>
      </w:r>
      <w:r w:rsidRPr="00C94B78">
        <w:rPr>
          <w:rFonts w:ascii="Times New Roman" w:hAnsi="Times New Roman"/>
          <w:color w:val="0070C0"/>
          <w:sz w:val="16"/>
          <w:szCs w:val="16"/>
        </w:rPr>
        <w:softHyphen/>
        <w:t>изводстве, все изменения реализовали в У-2ШС №9440101 войсковой серии, изготов</w:t>
      </w:r>
      <w:r w:rsidRPr="00C94B78">
        <w:rPr>
          <w:rFonts w:ascii="Times New Roman" w:hAnsi="Times New Roman"/>
          <w:color w:val="0070C0"/>
          <w:sz w:val="16"/>
          <w:szCs w:val="16"/>
        </w:rPr>
        <w:softHyphen/>
        <w:t>ленном в августе 1944 года на заводе №494. Самолет оснастили распространенным к тому времени двигателем М-11Д мощностью 115 л.с. В добавление ко всем уже обозначенным усовершенствованиям, для более эффектив</w:t>
      </w:r>
      <w:r w:rsidRPr="00C94B78">
        <w:rPr>
          <w:rFonts w:ascii="Times New Roman" w:hAnsi="Times New Roman"/>
          <w:color w:val="0070C0"/>
          <w:sz w:val="16"/>
          <w:szCs w:val="16"/>
        </w:rPr>
        <w:softHyphen/>
        <w:t>ной балансировки самолета триммером изме</w:t>
      </w:r>
      <w:r w:rsidRPr="00C94B78">
        <w:rPr>
          <w:rFonts w:ascii="Times New Roman" w:hAnsi="Times New Roman"/>
          <w:color w:val="0070C0"/>
          <w:sz w:val="16"/>
          <w:szCs w:val="16"/>
        </w:rPr>
        <w:softHyphen/>
        <w:t>нили угол установки стабилизатора, увеличи</w:t>
      </w:r>
      <w:r w:rsidRPr="00C94B78">
        <w:rPr>
          <w:rFonts w:ascii="Times New Roman" w:hAnsi="Times New Roman"/>
          <w:color w:val="0070C0"/>
          <w:sz w:val="16"/>
          <w:szCs w:val="16"/>
        </w:rPr>
        <w:softHyphen/>
        <w:t>ли компенсацию элеронов (25% вместо 19%), верхнее крыло подняли на 90 мм, увеличили площадь киля. Заднее пассажирское кресло опустили на 50 мм (ранее пассажир упирался в переплет фонаря), посадочную фару пере</w:t>
      </w:r>
      <w:r w:rsidRPr="00C94B78">
        <w:rPr>
          <w:rFonts w:ascii="Times New Roman" w:hAnsi="Times New Roman"/>
          <w:color w:val="0070C0"/>
          <w:sz w:val="16"/>
          <w:szCs w:val="16"/>
        </w:rPr>
        <w:softHyphen/>
        <w:t>несли под левое крыло, приборную доску пи</w:t>
      </w:r>
      <w:r w:rsidRPr="00C94B78">
        <w:rPr>
          <w:rFonts w:ascii="Times New Roman" w:hAnsi="Times New Roman"/>
          <w:color w:val="0070C0"/>
          <w:sz w:val="16"/>
          <w:szCs w:val="16"/>
        </w:rPr>
        <w:softHyphen/>
        <w:t>лота отодвинули вперед на 80 мм. Радиостан</w:t>
      </w:r>
      <w:r w:rsidRPr="00C94B78">
        <w:rPr>
          <w:rFonts w:ascii="Times New Roman" w:hAnsi="Times New Roman"/>
          <w:color w:val="0070C0"/>
          <w:sz w:val="16"/>
          <w:szCs w:val="16"/>
        </w:rPr>
        <w:softHyphen/>
        <w:t>цию и генератор скрепя сердце сняли, по</w:t>
      </w:r>
      <w:r w:rsidRPr="00C94B78">
        <w:rPr>
          <w:rFonts w:ascii="Times New Roman" w:hAnsi="Times New Roman"/>
          <w:color w:val="0070C0"/>
          <w:sz w:val="16"/>
          <w:szCs w:val="16"/>
        </w:rPr>
        <w:softHyphen/>
        <w:t>скольку это требовала военная приемка (24969).</w:t>
      </w:r>
    </w:p>
    <w:p w14:paraId="7276F49F" w14:textId="77777777" w:rsidR="009476EA" w:rsidRPr="00C94B78" w:rsidRDefault="009476EA" w:rsidP="00B56F90">
      <w:pPr>
        <w:spacing w:after="0" w:line="240" w:lineRule="auto"/>
        <w:jc w:val="both"/>
        <w:rPr>
          <w:rFonts w:ascii="Times New Roman" w:hAnsi="Times New Roman"/>
          <w:color w:val="0070C0"/>
          <w:sz w:val="16"/>
          <w:szCs w:val="16"/>
        </w:rPr>
      </w:pPr>
    </w:p>
    <w:p w14:paraId="446763A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D6753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F5F2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мая 1944 вышло Постановление ГКО № 5964 О мерах по максимальному использованию местных продовольственно-промышленных ресурсов на территории Румынии, занятой частями КА. РГАНИР, Фонд ГКО, д. 257, лл. 121-124 (11012).</w:t>
      </w:r>
    </w:p>
    <w:p w14:paraId="695679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574E0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мая 1944 Подписан приемный акт на 22-й БМО. Корабль, названный "Чкаловец", построен на средства, собранные молодежью Чкаловской области. В этот же день передан флоту 2-й ТЩ типа МТ-1 - балтийцев (построен за 11 мес. и 15 дней.) (10671).</w:t>
      </w:r>
    </w:p>
    <w:p w14:paraId="5FCE32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47EF4B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57E73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188AF6"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28 мая</w:t>
      </w:r>
      <w:r w:rsidRPr="00070ADE">
        <w:rPr>
          <w:rFonts w:ascii="Times New Roman" w:hAnsi="Times New Roman"/>
          <w:color w:val="000000" w:themeColor="text1"/>
          <w:sz w:val="16"/>
          <w:szCs w:val="16"/>
        </w:rPr>
        <w:t xml:space="preserve"> в 1944 году оперативная сводка Совинформбюро:</w:t>
      </w:r>
    </w:p>
    <w:p w14:paraId="5B97CCFE"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28 мая на фронтах существенных изменений не произошло. В воздушных боях и огнём зенитной артиллерии сбито 14 самолётов противника.</w:t>
      </w:r>
    </w:p>
    <w:p w14:paraId="69A00D01"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Нашими кораблями в Финском заливе потоплена немецкая подводная лодка.</w:t>
      </w:r>
    </w:p>
    <w:p w14:paraId="3C1FCC4F"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днях корабли Краснознамённого Балтийского флота, находясь в дозоре около одного из островов в Финском заливе, обнаружили подводную лодку противника. Наши корабли немедленно атаковали и потопили немецкую подводную лодку.</w:t>
      </w:r>
    </w:p>
    <w:p w14:paraId="2AEDD096"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Тирасполь немцы ночью пытались вести разведку боем. Гвардейцы Н-ской части миномётным и пулемётным огнём нанесли противнику большие потери. Не достигнув переднего края нашей обороны, гитлеровцы в беспорядке отступили.</w:t>
      </w:r>
    </w:p>
    <w:p w14:paraId="0067D4D3"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2-м Украинском фронте группа немецких самолётов пыталась бомбардировать наши позиции. Старшина Марк Усов открыл из пулемёта огонь по самолётам противника. Один немецкий самолёт загорелся и врезался в землю. Красноармеец Иван Шивко огнём из винтовки подбил другой самолёт противника. Самолёт совершил посадку на нашей территории. У него оказался пробитым маслобак. Лётчик взят вплен.</w:t>
      </w:r>
    </w:p>
    <w:p w14:paraId="2A5C5D53"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Витебск противник вновь пытался овладеть высотой, на днях занятой нашими подразделениями. Утром немецкая пехота с нескольких направлений атаковала наши позиции. Бойцы Н-ской части, оборонявшие высоту, встретили немцев сильным артиллерийско-миномётным и пулемётным огнём. Атака немцев захлебнулась. Поредевшие от нашего огня подразделения противника были вынуждены отойти на исходные рубежи. На поле боя подсчитано 230 вражеских трупов.</w:t>
      </w:r>
    </w:p>
    <w:p w14:paraId="3474F53F"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Могилёвской области, 11 мая взорвал три автомашины и уничтожил находившихся в них гитлеровцев. Немецкое командование направило против партизан карательную экспедицию. Партизанская разведка своевременно обнаружила противника. Совершив обходный манёвр, советские патриоты атаковали карательный отряд с фланга и разгромили его. Немцы, прижатые к реке, пытались спастись вплавь, но были истреблены метким огнём. В этом бою партизаны уничтожили не менее роты гитлеровцев и захватили пленных.</w:t>
      </w:r>
    </w:p>
    <w:p w14:paraId="05F14DAE"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тяжёлых поражений немецкой армии на советско-германском фронте гитлеровцы с помощью крутых и свирепых полицейских мер провели в Эльзасе и Лотарингии военную мобилизацию. Многие французы, насильно призванные в немецкую армию, переходят на сторону Красной Армии.</w:t>
      </w:r>
    </w:p>
    <w:p w14:paraId="153DACE2"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Солдат 28 легко-пехотной немецкой дивизии француз из Лотарингии Жозеф Б. рассказал: «Немцы выслали моих родителей в Силезию. Они находятся там в ужасных условиях и выполняют самые тяжёлые работы. Немцы поработили нашу родину. Понятно, что ни один честный француз не будет служить в немецкой армии. Я и мои друзья Анри, Шарль и Эжен находились в одном окопе. С нами был немец. Рано утром, когда немец отлучился, мы, захватив ссобой винтовки, перебежали к русским».</w:t>
      </w:r>
    </w:p>
    <w:p w14:paraId="7A1E1511"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солдат 454 немецкой охранной дивизии Пьер В. рассказал: «Я служил во французской армии и 14 июня 1940 года попал в немецкий плен. В лагере для военнопленных немцы всячески оскорбляли нас. Десятки раз на день они говорили,что французы — это не люди, а животные, а французские военнопленные даже хуже животных. Однако в 1943 г. во время мобилизации нас призвали в немецкую армию. Провожая в армию, родные говорили мне: «Не забудь, что ты француз». Попав на советско-германский фронт, я оказался у русских. Мой долг сражаться за освобождение Франции».</w:t>
      </w:r>
    </w:p>
    <w:p w14:paraId="6F1B2B81"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солдат 14 немецкой дивизии француз из Эльзаса Леон Д. заявил: «Когда вести о первых успехах Красной Армии докатились до Эльзаса, население ликовало. Французские патриоты приветствовали друг друга и говорили: «Наконец-то нашлась такая армия, которая бьёт немцев». Все эльзасцы знают о победах Красной Армии и с большим уважением называют её полководцев» (14905).</w:t>
      </w:r>
    </w:p>
    <w:p w14:paraId="0060D74C" w14:textId="77777777" w:rsidR="00353781" w:rsidRPr="00070ADE" w:rsidRDefault="00353781" w:rsidP="00B56F90">
      <w:pPr>
        <w:spacing w:after="0" w:line="240" w:lineRule="auto"/>
        <w:jc w:val="both"/>
        <w:rPr>
          <w:rFonts w:ascii="Times New Roman" w:hAnsi="Times New Roman"/>
          <w:color w:val="000000" w:themeColor="text1"/>
          <w:sz w:val="16"/>
          <w:szCs w:val="16"/>
        </w:rPr>
      </w:pPr>
    </w:p>
    <w:p w14:paraId="1E3033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28 мая 1944 1-й иап "Варшава" на Як-1, созданный в начале сентября 1943, стал полностью боеготовым. 3 июня в составе 43 машин 1-й иап "Варшава" перебазировался на аэродром Гостомель под Киевом. В ходе непосредственной подготовки к боевым действиям 7 июня полк получил еще 15 Як-1, а в конце июля сдал такое же количество выработавших ресурс самолетов.</w:t>
      </w:r>
    </w:p>
    <w:p w14:paraId="3A37C5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июля 1944 г. полк выполнил первое задание: пара "Яков" сопровождала Л и-2. Чтобы помочь составу "Варшавы" освоиться в боевой обстановке 22 июля к ним прибыли 10 советских летчиков из 233-го иап "Минск", которые вылетали на задания вместе с поляками. Первый боевой вылет состоялся 23 августа 1944 г. Для сопровождения и прикрытия двух штурмовиков Ил-2 из польского 3-го шап вылетели две пары 1-го и одна пара 233-го иап. К этому времени 1-й иап Архив Л. Угрюмова "Варшава" состоял из трех эскадрилий по 12 самолетов, трех машин управления полка и двух запасных. Всего 41 самолет Як-1.</w:t>
      </w:r>
    </w:p>
    <w:p w14:paraId="0890725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процессе боевых действий польские летчики выполняли задания по прикрытию штурмовиков, атаке наземных целей, ведению воздушной разведки. В связи с малой активностью немецкой авиации полку "Варшава" практически не приходилось вести воздушных боев. Единственным сбитым Як-1 немецким самолетом был FW. 189 (отличился капитан М. Конечный). До 22 января 1945 г. (когда полк начал переучиваться на Як-9) на истребителях Як-1 было выполнено 620 боевых вылетов, в том числе: на прикрытие штурмовиков - 275, на разведку - 125, на прикрытие войск и переправ - 139, на фоторазведку (для этого на некоторых самолетах установили АФА-1М) - 54, на другие задания - 27 вылетов. Свои потери составили шесть машин, из которых одна сгорела в учебном полете при пожаре в воздухе, две были сбиты зенитной артиллерией, а остальные подбиты ею и разбиты при вынужденных посадках. Последний боевой вылет на Як-1 зафиксирован 3 мая 1945 г. К этому времени </w:t>
      </w:r>
      <w:r w:rsidRPr="00070ADE">
        <w:rPr>
          <w:rFonts w:ascii="Times New Roman" w:hAnsi="Times New Roman"/>
          <w:color w:val="000000" w:themeColor="text1"/>
          <w:sz w:val="16"/>
          <w:szCs w:val="16"/>
        </w:rPr>
        <w:lastRenderedPageBreak/>
        <w:t>в полку оставалось 23 самолета такого типа. После войны они постепенно списывались по износу или сдавались в ремонтные части. Во второй половине 1946 г. часть из них возвратилась из ремонта, но вскоре их заменили новыми Як-9М и Як-9Т.</w:t>
      </w:r>
    </w:p>
    <w:p w14:paraId="287F91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Непродолжительное время Як-1 находился на вооружении других польских авиационных частей. В конце сентября - начале октября 1944 г. такие самолеты получили сформированные на основе советских 248-го и 246-го иап польские 9-й и 10-й иап (13 и 25 самолетов соответственно). Но меньше чем через месяц эти полки перевооружили самолетами Як-9. С января по май 1945 г. один Як-1 числился в управлении польского 1-го смешанного авиационного корпуса и до 24 машин находилось в составе 15-го отдельного зап, сформированного на базе советского 18-го утап. От 10 до 15 машин было в октябре 1945 г. в военном авиационном училище. С октября 1945 г. по февраль 1946 г. один Як-1 находился в 1-м смешанном утап, а в 1946 г. по одному Як-1 было в управлениях польских авиационных дивизий: 1-й бад, 2-й шад, 3-й над. 4-й сад. Один из списанных в январе 1946 г. самолетов Як-1 (№ 01189) несколько лет экспонировался в Музее Войска Польского (12048).</w:t>
      </w:r>
    </w:p>
    <w:p w14:paraId="40F44B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6EFDC6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6AE856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44C3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rPr>
        <w:t>28 мая 1944 года советское правительство запросило еще 80 л/л "Номад". Этазаявкатакжебылаудовлетворена</w:t>
      </w:r>
      <w:r w:rsidRPr="00070ADE">
        <w:rPr>
          <w:rFonts w:ascii="Times New Roman" w:hAnsi="Times New Roman"/>
          <w:color w:val="000000" w:themeColor="text1"/>
          <w:sz w:val="16"/>
          <w:szCs w:val="16"/>
          <w:lang w:val="en-US"/>
        </w:rPr>
        <w:t xml:space="preserve"> (3457,127).</w:t>
      </w:r>
    </w:p>
    <w:p w14:paraId="5F17C5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E0CCE0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070ADE">
        <w:rPr>
          <w:rFonts w:ascii="Times New Roman" w:hAnsi="Times New Roman"/>
          <w:i/>
          <w:iCs/>
          <w:color w:val="000000" w:themeColor="text1"/>
          <w:sz w:val="16"/>
          <w:szCs w:val="16"/>
        </w:rPr>
        <w:t>За</w:t>
      </w:r>
      <w:r w:rsidRPr="00070ADE">
        <w:rPr>
          <w:rFonts w:ascii="Times New Roman" w:hAnsi="Times New Roman"/>
          <w:i/>
          <w:iCs/>
          <w:color w:val="000000" w:themeColor="text1"/>
          <w:sz w:val="16"/>
          <w:szCs w:val="16"/>
          <w:lang w:val="en-US"/>
        </w:rPr>
        <w:t xml:space="preserve"> </w:t>
      </w:r>
      <w:r w:rsidRPr="00070ADE">
        <w:rPr>
          <w:rFonts w:ascii="Times New Roman" w:hAnsi="Times New Roman"/>
          <w:i/>
          <w:iCs/>
          <w:color w:val="000000" w:themeColor="text1"/>
          <w:sz w:val="16"/>
          <w:szCs w:val="16"/>
        </w:rPr>
        <w:t>рубежом</w:t>
      </w:r>
      <w:r w:rsidRPr="00070ADE">
        <w:rPr>
          <w:rFonts w:ascii="Times New Roman" w:hAnsi="Times New Roman"/>
          <w:i/>
          <w:iCs/>
          <w:color w:val="000000" w:themeColor="text1"/>
          <w:sz w:val="16"/>
          <w:szCs w:val="16"/>
          <w:lang w:val="en-US"/>
        </w:rPr>
        <w:t>:</w:t>
      </w:r>
    </w:p>
    <w:p w14:paraId="3C479F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22B099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28th, 1944: The US 8th Air Force attacks synthetic fuel-producing plants at Leuna-Meseburg (3819).</w:t>
      </w:r>
    </w:p>
    <w:p w14:paraId="6C021A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7AEC5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мая 1944 8ВА США выполнила налет на завод синтетического горючего в Леуна-Месебург (3819).</w:t>
      </w:r>
    </w:p>
    <w:p w14:paraId="76DEC3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EC3AC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397EB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39A1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мая 1944 Зам. Нач. 7ГУ Алексеев подготовил сводку г-7 № 7024 о ходе испытаний высотных самолетов на 26-28 мая 1944 по Як-9 М-105ПД, Ла-5 АШ-82ФН и 2ТК-3, МиГ АМ-39А и 2ТК-2Б (1825).</w:t>
      </w:r>
    </w:p>
    <w:p w14:paraId="4BF16D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ИСТРЕБИТЕЛЬ Як-9 с М-105ПД</w:t>
      </w:r>
    </w:p>
    <w:p w14:paraId="07F2FD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находится в ЛИИ не в летном состоянии. Мотер с самолета снят, новый мотор ожидается из ЦИАМ'а к 1 июня с.г.</w:t>
      </w:r>
    </w:p>
    <w:p w14:paraId="0FF5B6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ИСТРЕБИТЕЛЬ Ла-5 с АШ-82ФН и 2ТК-3</w:t>
      </w:r>
    </w:p>
    <w:p w14:paraId="6072D9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произведен полет на высоту 10500 мт. Вследствие выбивания масла из под левого синхрони</w:t>
      </w:r>
      <w:r w:rsidRPr="00070ADE">
        <w:rPr>
          <w:rFonts w:ascii="Times New Roman" w:hAnsi="Times New Roman"/>
          <w:color w:val="000000" w:themeColor="text1"/>
          <w:sz w:val="16"/>
          <w:szCs w:val="16"/>
        </w:rPr>
        <w:softHyphen/>
        <w:t>затора и попадания его на горячие патрубки, что вызвало появление дыма в кабине пилота, полет был прекращен.Давление бензина на наборе высоты нор</w:t>
      </w:r>
      <w:r w:rsidRPr="00070ADE">
        <w:rPr>
          <w:rFonts w:ascii="Times New Roman" w:hAnsi="Times New Roman"/>
          <w:color w:val="000000" w:themeColor="text1"/>
          <w:sz w:val="16"/>
          <w:szCs w:val="16"/>
        </w:rPr>
        <w:softHyphen/>
        <w:t>мальное, при горизонтальных полетах - падает.Дефекты к конц,у дня были устранены. Самолет готов к полету.</w:t>
      </w:r>
    </w:p>
    <w:p w14:paraId="311297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мая полетов не было ввиду нелетной погоды. Отсутствие резервных свечей АФ-130 ставит под угрозу дальнейшее проведение летных испытаний, т.к. свечи требуют частой замены из-за их отказов в ра</w:t>
      </w:r>
      <w:r w:rsidRPr="00070ADE">
        <w:rPr>
          <w:rFonts w:ascii="Times New Roman" w:hAnsi="Times New Roman"/>
          <w:color w:val="000000" w:themeColor="text1"/>
          <w:sz w:val="16"/>
          <w:szCs w:val="16"/>
        </w:rPr>
        <w:softHyphen/>
        <w:t>боте. О необходимости доставить срочно свечи постав</w:t>
      </w:r>
      <w:r w:rsidRPr="00070ADE">
        <w:rPr>
          <w:rFonts w:ascii="Times New Roman" w:hAnsi="Times New Roman"/>
          <w:color w:val="000000" w:themeColor="text1"/>
          <w:sz w:val="16"/>
          <w:szCs w:val="16"/>
        </w:rPr>
        <w:softHyphen/>
        <w:t>лен в известность Заместитель Начальника 8 Гл.Управ</w:t>
      </w:r>
      <w:r w:rsidRPr="00070ADE">
        <w:rPr>
          <w:rFonts w:ascii="Times New Roman" w:hAnsi="Times New Roman"/>
          <w:color w:val="000000" w:themeColor="text1"/>
          <w:sz w:val="16"/>
          <w:szCs w:val="16"/>
        </w:rPr>
        <w:softHyphen/>
        <w:t>ления тов. ВОЛИКОВ.</w:t>
      </w:r>
    </w:p>
    <w:p w14:paraId="3149F5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ИСТРЕБИТЕЛЬ МИГ с АМ-39Б И 2ТК-2Б.</w:t>
      </w:r>
    </w:p>
    <w:p w14:paraId="7D59CC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мая производились работы по монтажу нового воздухо-воздушного радиатора на самолете.</w:t>
      </w:r>
    </w:p>
    <w:p w14:paraId="7915FC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производилась отработка винтомоторной группы на земле, дефектов в ее работе не обнаружено.</w:t>
      </w:r>
    </w:p>
    <w:p w14:paraId="5B7DF0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в летном состоянии, полетов не было, т.к. летчик тов. ЯКИМОВ был болен.Контрольный полет назна</w:t>
      </w:r>
      <w:r w:rsidRPr="00070ADE">
        <w:rPr>
          <w:rFonts w:ascii="Times New Roman" w:hAnsi="Times New Roman"/>
          <w:color w:val="000000" w:themeColor="text1"/>
          <w:sz w:val="16"/>
          <w:szCs w:val="16"/>
        </w:rPr>
        <w:softHyphen/>
        <w:t>чен на 29 мая с.г. (1825).</w:t>
      </w:r>
    </w:p>
    <w:p w14:paraId="098694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0E38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мая 1944 на МиГ АМ-39Б + 2ТК-2Б было выполнено 2 полета с заданием определения высотности на первой скорости нагнетателя. Первый - 0:32 до 6300, 2-й - 0:37 до 7300, т.к. ТК вышел из строя (1825).</w:t>
      </w:r>
    </w:p>
    <w:p w14:paraId="3B90CB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E104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мая 1944 МИГ с АМ-39Б И 2ТК-2Б было произведены два полета. Первый полет производился с заданием определить высотность самолета на первой скорос</w:t>
      </w:r>
      <w:r w:rsidRPr="00070ADE">
        <w:rPr>
          <w:rFonts w:ascii="Times New Roman" w:hAnsi="Times New Roman"/>
          <w:color w:val="000000" w:themeColor="text1"/>
          <w:sz w:val="16"/>
          <w:szCs w:val="16"/>
        </w:rPr>
        <w:softHyphen/>
        <w:t>ти нагнетателя с полностью включенным ТК. Полет продол</w:t>
      </w:r>
      <w:r w:rsidRPr="00070ADE">
        <w:rPr>
          <w:rFonts w:ascii="Times New Roman" w:hAnsi="Times New Roman"/>
          <w:color w:val="000000" w:themeColor="text1"/>
          <w:sz w:val="16"/>
          <w:szCs w:val="16"/>
        </w:rPr>
        <w:softHyphen/>
        <w:t>жался 32 мин., высота в полете - 6300 мт. Задание не выполнено, полет был прекращен из-за падения давления бензина. Для предупреждения в дальнейшем дефекта по произвольному падению давления бензина в полете, вызван представитель завода № 451. Второй полет производился на повторение первого задания. Продолжительность полета - 37 мин., высота - 8000 мт. На высоте 7300 мт вышел из строя ТК и дальнейшее выполне</w:t>
      </w:r>
      <w:r w:rsidRPr="00070ADE">
        <w:rPr>
          <w:rFonts w:ascii="Times New Roman" w:hAnsi="Times New Roman"/>
          <w:color w:val="000000" w:themeColor="text1"/>
          <w:sz w:val="16"/>
          <w:szCs w:val="16"/>
        </w:rPr>
        <w:softHyphen/>
        <w:t>ние задания летчиком было прекращено. После посадки при внешнем осмотре, обнаружено заклинение крыльчатки ТК. Оба ТК с самолета сняты и отправлены в ЦИАМ для раз</w:t>
      </w:r>
      <w:r w:rsidRPr="00070ADE">
        <w:rPr>
          <w:rFonts w:ascii="Times New Roman" w:hAnsi="Times New Roman"/>
          <w:color w:val="000000" w:themeColor="text1"/>
          <w:sz w:val="16"/>
          <w:szCs w:val="16"/>
        </w:rPr>
        <w:softHyphen/>
        <w:t>борки и установления причин заклинения крыльчатки (1825).</w:t>
      </w:r>
    </w:p>
    <w:p w14:paraId="1F7B7B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32C7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мая 1944 вышло еще одно постановления ГКО (первое было выпущено 18 февраля 1944), по которому головным ведомством по созданию РД стал НКАП, а ранее выполнявший эти функции ГИРТ при СНК был упразднен и вместо него был создан НИИ-1 (нач. П.И.Федоров, зам. В.Ф.Болховитинов), куда попала и группа А.М.Люльки и группа Глушко с 16 завода, а также завод 293 (173,229).</w:t>
      </w:r>
    </w:p>
    <w:p w14:paraId="3A2D56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1F8F79"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29 мая 1944 г. синхронную пушку ВЯ передали в 4-е Управление ГНИИ ВВС. Несмо</w:t>
      </w:r>
      <w:r w:rsidRPr="00C94B78">
        <w:rPr>
          <w:rFonts w:ascii="Times New Roman" w:hAnsi="Times New Roman"/>
          <w:color w:val="0070C0"/>
          <w:sz w:val="16"/>
          <w:szCs w:val="16"/>
        </w:rPr>
        <w:softHyphen/>
        <w:t>тря на удовлетворительные резуль</w:t>
      </w:r>
      <w:r w:rsidRPr="00C94B78">
        <w:rPr>
          <w:rFonts w:ascii="Times New Roman" w:hAnsi="Times New Roman"/>
          <w:color w:val="0070C0"/>
          <w:sz w:val="16"/>
          <w:szCs w:val="16"/>
        </w:rPr>
        <w:softHyphen/>
        <w:t>таты, дальнейшего развития пушка не получила.</w:t>
      </w:r>
    </w:p>
    <w:p w14:paraId="7CD00918"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Одновременно в ЦКБ-14 разра</w:t>
      </w:r>
      <w:r w:rsidRPr="00C94B78">
        <w:rPr>
          <w:rFonts w:ascii="Times New Roman" w:hAnsi="Times New Roman"/>
          <w:color w:val="0070C0"/>
          <w:sz w:val="16"/>
          <w:szCs w:val="16"/>
        </w:rPr>
        <w:softHyphen/>
        <w:t>ботали пушку ВЯ под патрон умень</w:t>
      </w:r>
      <w:r w:rsidRPr="00C94B78">
        <w:rPr>
          <w:rFonts w:ascii="Times New Roman" w:hAnsi="Times New Roman"/>
          <w:color w:val="0070C0"/>
          <w:sz w:val="16"/>
          <w:szCs w:val="16"/>
        </w:rPr>
        <w:softHyphen/>
        <w:t>шенной баллистики и к 30 мая 1944 г. подали ее на заводские испыта</w:t>
      </w:r>
      <w:r w:rsidRPr="00C94B78">
        <w:rPr>
          <w:rFonts w:ascii="Times New Roman" w:hAnsi="Times New Roman"/>
          <w:color w:val="0070C0"/>
          <w:sz w:val="16"/>
          <w:szCs w:val="16"/>
        </w:rPr>
        <w:softHyphen/>
        <w:t>ния. Планировалось к 15 июня из</w:t>
      </w:r>
      <w:r w:rsidRPr="00C94B78">
        <w:rPr>
          <w:rFonts w:ascii="Times New Roman" w:hAnsi="Times New Roman"/>
          <w:color w:val="0070C0"/>
          <w:sz w:val="16"/>
          <w:szCs w:val="16"/>
        </w:rPr>
        <w:softHyphen/>
        <w:t>готовить два опытных экземпля</w:t>
      </w:r>
      <w:r w:rsidRPr="00C94B78">
        <w:rPr>
          <w:rFonts w:ascii="Times New Roman" w:hAnsi="Times New Roman"/>
          <w:color w:val="0070C0"/>
          <w:sz w:val="16"/>
          <w:szCs w:val="16"/>
        </w:rPr>
        <w:softHyphen/>
        <w:t>ра для предъявления на государст</w:t>
      </w:r>
      <w:r w:rsidRPr="00C94B78">
        <w:rPr>
          <w:rFonts w:ascii="Times New Roman" w:hAnsi="Times New Roman"/>
          <w:color w:val="0070C0"/>
          <w:sz w:val="16"/>
          <w:szCs w:val="16"/>
        </w:rPr>
        <w:softHyphen/>
        <w:t>венные испытания. Других сведений о пушке найти пока не удалось (24971).</w:t>
      </w:r>
    </w:p>
    <w:p w14:paraId="53F9CC63" w14:textId="77777777" w:rsidR="009476EA" w:rsidRPr="00C94B78" w:rsidRDefault="009476EA" w:rsidP="00B56F90">
      <w:pPr>
        <w:spacing w:after="0" w:line="240" w:lineRule="auto"/>
        <w:jc w:val="both"/>
        <w:rPr>
          <w:rFonts w:ascii="Times New Roman" w:hAnsi="Times New Roman"/>
          <w:color w:val="0070C0"/>
          <w:sz w:val="16"/>
          <w:szCs w:val="16"/>
        </w:rPr>
      </w:pPr>
    </w:p>
    <w:p w14:paraId="7849E6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мая 1944 вышел приказ НКАП N 364, по которому директором НИИРА назначили П.И.Федорова, а В.И.Поликовского послали руководить ВИАМ (2393,23).</w:t>
      </w:r>
    </w:p>
    <w:p w14:paraId="460DE0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73BCC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C1D08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EABEF7"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мая 1944 г. ОТВЕТ НАРОДНОГО КОМИССАРА БОЕПРИПАСОВ СОЮЗА ССР Б.Л. ВАННИКОВА СЕКРЕТАРЮ НОВОСИБИРСКОГО ОБКОМА ВКП(б) М.В. КУЛАГИНУ О СТРОИТЕЛЬСТВЕ КУЛЬТУРНО-БЫТОВЫХ УЧРЕЖДЕНИЙ НА ЗАВОДЕ № 635</w:t>
      </w:r>
    </w:p>
    <w:p w14:paraId="48ACBCC2"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Секретарю Новосибирского обкома ВКП(б) тов. Кулагину М.В.</w:t>
      </w:r>
    </w:p>
    <w:p w14:paraId="25D22CB4"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Ваше письмо о строительстве культурно-бытовых учреждений на заводе № 635 сообщаю: Наркомат боеприпасов предусматривает выделение заводу № 635 на культурно-бытовое строительство в 1944 году 1 600 тысяч рублей, в том числе: на строительство больницы — 380 тыс. рублей; на строительство детских яслей — 314 тыс. рублей; на строительство детского сада - 250 тыс. рублей; на строительство бани - 250 тыс. рублей; на строительство прачечной - 250 тыс. рублей, с окончанием этих объектов в июне - августе 1944 года. За счет ассигнований завода N° 386 и № 635 намечается строительство во II—III кварталах дома для советских учреждений и организация к тому же сроку дома отдыха для обслуживания рабочих этих заводов. Ввиду ограниченности материальных ресурсов строительство клуба на заводе № 635 в 1944 году осуществить не представляется возможным.</w:t>
      </w:r>
    </w:p>
    <w:p w14:paraId="0B09CC9C"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 боеприпасов Б. Ванников</w:t>
      </w:r>
    </w:p>
    <w:p w14:paraId="11FB40A3"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ГАНО. Ф. П-4. Оп. 6. Д. 454. Л. 39. Подлинник.</w:t>
      </w:r>
    </w:p>
    <w:p w14:paraId="6EEB5706"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Подпись-автограф Б.Л. Ванникова. В верхнем левом углу - штамп НКБ СССР с гербом. На штампе дата: «29.V.1944 г.» (12194).</w:t>
      </w:r>
    </w:p>
    <w:p w14:paraId="557668A8" w14:textId="77777777" w:rsidR="00552857" w:rsidRPr="00070ADE" w:rsidRDefault="00552857" w:rsidP="00B56F90">
      <w:pPr>
        <w:spacing w:after="0" w:line="240" w:lineRule="auto"/>
        <w:jc w:val="both"/>
        <w:rPr>
          <w:rFonts w:ascii="Times New Roman" w:hAnsi="Times New Roman"/>
          <w:color w:val="000000" w:themeColor="text1"/>
          <w:sz w:val="16"/>
          <w:szCs w:val="16"/>
        </w:rPr>
      </w:pPr>
    </w:p>
    <w:p w14:paraId="3A99C90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мая 1944 вышло Распоряжение ГКО № 5965 [О сохранении за Наркомстроем гидротехнических работ, осуществляемых трестом "Алтайстрой".] (7236, 125).</w:t>
      </w:r>
    </w:p>
    <w:p w14:paraId="38C1DCC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3F597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мая 1944 вышло Распоряжение ГКО № 5966 [О демобилизации 24 архитекторов и инженеров для укомплектования Комитета по делам архитектуры при СНК СССР.] (7236, 126,127-129).</w:t>
      </w:r>
    </w:p>
    <w:p w14:paraId="19590E2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804C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мая 1944 вышло Постановление ГКО № 5967 О материально-техническом обеспечении производства автомобилей, запасных частей к ним, автомобильных прицепов и электрооборудования во II квартале 1944 г. РГАНИР, Фонд ГКО, д. 257, лл. 130-143,144-155 (11012).</w:t>
      </w:r>
    </w:p>
    <w:p w14:paraId="3D15E9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C9D0F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мая 1944 Поднят Военно-морской флаг СССР на БК пр. 1124 (II серии), построенном волжским заводом (водоизмещение 54,7 т, осадка около 0,85 м, скорость максимальная 19,4 узла). Начаты государственные испытания второго ТЩ типа МТ-1 постройки Петрозавода. На аварийно-боевом ремонте находилось пять БМО (бортовые номера 501, 502, 508, 514 и 515) (10671).</w:t>
      </w:r>
    </w:p>
    <w:p w14:paraId="005C174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7F4CD49" w14:textId="77777777" w:rsidR="00353781"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35745DF6" w14:textId="77777777" w:rsidR="00353781" w:rsidRPr="00070ADE" w:rsidRDefault="00353781"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457292"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29 мая</w:t>
      </w:r>
      <w:r w:rsidRPr="00070ADE">
        <w:rPr>
          <w:rFonts w:ascii="Times New Roman" w:hAnsi="Times New Roman"/>
          <w:color w:val="000000" w:themeColor="text1"/>
          <w:sz w:val="16"/>
          <w:szCs w:val="16"/>
        </w:rPr>
        <w:t xml:space="preserve"> в 1944 году оперативная сводка Совинформбюро:</w:t>
      </w:r>
    </w:p>
    <w:p w14:paraId="1F491A77"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29 мая на фронтах существенных изменений не произошло. За 28 мая в воздушных боях и огнём зенитной артиллерии сбито 33 самолёта противника.»</w:t>
      </w:r>
    </w:p>
    <w:p w14:paraId="52890F63"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Массированный удар нашей авиации по аэродромам противника:</w:t>
      </w:r>
    </w:p>
    <w:p w14:paraId="6F201FBB"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«Сегодня утром наша авиация произвела массированный удар по аэродромам противника в районе городов Роман и Хуши (Румыния). В момент налёта на этих аэродромах находилось много немецких самолётов. Наши лётчики подавили зенитную артиллерию и с нескольких заходов бомбами и пушечно-пулемётным огнём уничтожили и повредили не менее 60 самолётов противника.</w:t>
      </w:r>
    </w:p>
    <w:p w14:paraId="3E6E2FD0"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наши самолёты вернулись на свои базы.»</w:t>
      </w:r>
    </w:p>
    <w:p w14:paraId="242D012D"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Луцк на одном участке противник атаковал наше подразделение. Ценою больших потерь немцам удалось приблизиться к переднему краю советской обороны и ворваться в траншеи. Завязалась рукопашная схватка. В это время к месту боя подоспела рота автоматчиков под командованием капитана Голованова и контратаковала противника. Оставив в траншеях 40 трупов и более 70 раненых солдат, немцы поспешно отступили. Наши бойцы захватили миномёт, 6 пулемётов и 52 винтовки.</w:t>
      </w:r>
    </w:p>
    <w:p w14:paraId="6D92E12E"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отряды гитлеровцев пытались вести разведку боем. Ружейно-пулемётным огнём наши подразделения рассеяли противника. Немцы потеряли убитыми до 200 своих солдат и офицеров. Взяты пленные.</w:t>
      </w:r>
    </w:p>
    <w:p w14:paraId="36D586A4"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зенитчики, отражая налёты вражеской авиации на расположение наших войск, сбили 5 немецких самолётов.</w:t>
      </w:r>
    </w:p>
    <w:p w14:paraId="389B0ED4"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Витебск воздушной разведкой была обнаружена переправа противника через один водный рубеж. Советские лётчики получили приказ разбить эту переправу. Подойдя ночью к реке с заглушёнными моторами, наши лётчики прямым попаданием бомб разрушили переправу. Уничтожено 10 немецких автомашин, находившихся около переправы.</w:t>
      </w:r>
    </w:p>
    <w:p w14:paraId="2F94BF45"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мая тридцать немецких самолётов пытались произвести налёт на один наш военный объект в Финском заливе. Огнём зенитной артиллерии и истребителями Краснознамённого Балтийского флота самолёты противника были рассеяны. В воздушных боях сбиты пять немецких истребителей и один бомбардировщик. Кроме того, огнём зенитной артиллерии уничтожены два бомбардировщика противника. Наша авиация потерь не имела.</w:t>
      </w:r>
    </w:p>
    <w:p w14:paraId="787A9540"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партизанских отрядов, действующих в Калининской области, за первую половину мая пустили под откос 18 воинских эшелонов противника. На шоссейных и грунтовых дорогах партизаны взорвали два моста, уничтожили 4 легковых и 69 грузовых немецких автомашин. В боях с противником и из засад убито более 150 немецких солдат и офицеров. Партизанами взято 12 пленных.</w:t>
      </w:r>
    </w:p>
    <w:p w14:paraId="11BCBAA1"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уже сообщалось, наши войска, расположенные на правом берегу Днестра северо-западнее города Тирасполь, в первой половине мая успешно отбили атаки крупных сил танков и пехоты противника. Вот что говорят захваченные в плен немецкие солдаты, участвовавшие в этих боях.</w:t>
      </w:r>
    </w:p>
    <w:p w14:paraId="10506811"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фельдфебель 8 роты 55 немецкого пехотного полка Рихард Гесс сообщил: «Командир дивизииг енерал-лейтенант Циммер огласил нам следующий приказ командования: «К исходу дня ликвидировать предмостное укрепление русских и отбросить их за Днестр». Перед атакой солдатам для храбрости выдали водку. Мой взвод должен был выйти к противотанковому рву и удержать этот рубеж до подхода подкреплений. До противотанкового рва мы добрались благополучно, но уйти оттуда не удалось ни мне, ни моим солдатам. Русские неожиданно окружили нас и взяли в плен».</w:t>
      </w:r>
    </w:p>
    <w:p w14:paraId="77B502C7"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младший врач 21 немецкого пехотного полка Ганс Пфанненмюллер сообщил: «Бесплодные атаки стоили нам очень больших потерь. Когда русские перешли в контратаку, все оставшиеся в живых солдаты и офицеры побежали. Персонал перевязочного пункта также разбежался, бросив раненых на произвол судьбы. Меня и фельдфебеля Шефангеля вместе с ранеными русские взяли в плен».</w:t>
      </w:r>
    </w:p>
    <w:p w14:paraId="76388BBE"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ефрейтор радист 6 роты 6 танкового полка 3 немецкой танковой дивизии Руди Гиерунимус сообщил: «За время отступления весной текущего года наша дивизия растеряла почти всю свою технику. 6-го мая дивизия получила новую материальную часть. В течение трёх дней мы испытывали машины и производили пристрелку. Десятого мая вечером командир роты обер-лейтенант Фельдгейм собрал весь личный состав и зачитал приказ о наступлении. На рассвете танки двинулись к русским позициям. Нам пришлось ещё раз испытать на себе силу и мощь русской артиллерии. За полчаса из строя выбыло 27 танков. Мой танк был подожжён прямым попаданием снаряда. Командир танка унтер-офицер Петерс, башенный стрелок Иннерт и стрелок Шефцер погибли, а я сдался в плен. Кроме больших потерь в технике и тяжёлых людских жертв, эта операция ничего не дала». Характерно, что в этих боях ссоветской стороны принимали участие лишь незначительные силы, главным образом артиллерия, миномёты и передовые подразделения пехоты. Однако, как показывают пленные, немцы дорого заплатили за свою попытку ликвидировать предмостное укрепление советских войск на Днестре.» (14906).</w:t>
      </w:r>
    </w:p>
    <w:p w14:paraId="7255F72D" w14:textId="77777777" w:rsidR="00353781" w:rsidRPr="00070ADE" w:rsidRDefault="00353781" w:rsidP="00B56F90">
      <w:pPr>
        <w:spacing w:after="0" w:line="240" w:lineRule="auto"/>
        <w:jc w:val="both"/>
        <w:rPr>
          <w:rFonts w:ascii="Times New Roman" w:hAnsi="Times New Roman"/>
          <w:color w:val="000000" w:themeColor="text1"/>
          <w:sz w:val="16"/>
          <w:szCs w:val="16"/>
        </w:rPr>
      </w:pPr>
    </w:p>
    <w:p w14:paraId="66F85CA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610659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B34BA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мая 1944 Берия предложил Сталину депортировать из Крыма всех болгар, греков и армян (4962).</w:t>
      </w:r>
    </w:p>
    <w:p w14:paraId="386A3EF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FED99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мая 1944 Совнарком СССР принял постановление о восстановлении индивидуального жилого фонда в районах, освобожденных от фашистов (4962).</w:t>
      </w:r>
    </w:p>
    <w:p w14:paraId="71EDFE0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36FE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мая 1944 г. Академик Бурденко - Швернику....снятие показаний с участников немецкой инсценировки, фамилиями которых мы располагаем, окончательно разоблачило бы ту гнусную провокацию немецко-фашистских палачей в Катыни (9712).</w:t>
      </w:r>
    </w:p>
    <w:p w14:paraId="22C6ACD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AE05D1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4C5EFC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1594C5" w14:textId="17C7D21F"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29 мая</w:t>
      </w:r>
      <w:r w:rsidRPr="00070ADE">
        <w:rPr>
          <w:rFonts w:ascii="Times New Roman" w:hAnsi="Times New Roman"/>
          <w:color w:val="000000" w:themeColor="text1"/>
          <w:sz w:val="16"/>
          <w:szCs w:val="16"/>
        </w:rPr>
        <w:t xml:space="preserve"> в 1944 году первый полет датского легкого санитарного самолета </w:t>
      </w:r>
      <w:hyperlink r:id="rId147" w:tgtFrame="_blank" w:history="1">
        <w:r w:rsidRPr="00070ADE">
          <w:rPr>
            <w:rFonts w:ascii="Times New Roman" w:hAnsi="Times New Roman"/>
            <w:color w:val="000000" w:themeColor="text1"/>
            <w:sz w:val="16"/>
            <w:szCs w:val="16"/>
          </w:rPr>
          <w:t>«KZ.IV»</w:t>
        </w:r>
        <w:r w:rsidR="00006324" w:rsidRPr="00070ADE">
          <w:rPr>
            <w:rFonts w:ascii="Times New Roman" w:hAnsi="Times New Roman"/>
            <w:color w:val="000000" w:themeColor="text1"/>
            <w:sz w:val="16"/>
            <w:szCs w:val="16"/>
          </w:rPr>
          <w:t xml:space="preserve"> (22486)</w:t>
        </w:r>
        <w:r w:rsidRPr="00070ADE">
          <w:rPr>
            <w:rFonts w:ascii="Times New Roman" w:hAnsi="Times New Roman"/>
            <w:color w:val="000000" w:themeColor="text1"/>
            <w:sz w:val="16"/>
            <w:szCs w:val="16"/>
          </w:rPr>
          <w:t xml:space="preserve">. </w:t>
        </w:r>
      </w:hyperlink>
    </w:p>
    <w:p w14:paraId="1DF94846" w14:textId="77777777" w:rsidR="00353781" w:rsidRPr="00070ADE" w:rsidRDefault="00353781" w:rsidP="00B56F90">
      <w:pPr>
        <w:spacing w:after="0" w:line="240" w:lineRule="auto"/>
        <w:jc w:val="both"/>
        <w:rPr>
          <w:rFonts w:ascii="Times New Roman" w:hAnsi="Times New Roman"/>
          <w:color w:val="000000" w:themeColor="text1"/>
          <w:sz w:val="16"/>
          <w:szCs w:val="16"/>
        </w:rPr>
      </w:pPr>
    </w:p>
    <w:p w14:paraId="7F565EE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мая 1944 на совещании нацистов в Познани Гиммлер пообещал, что после войны “еврейская проблема” будет решена навечно (4962).</w:t>
      </w:r>
    </w:p>
    <w:p w14:paraId="2F83839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5CBA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29th, 1944: In the Atlantic, the US escort carrier Block Island is sunk by U-549. Using its maximum range, the US 8th Air Force attacks aircraft production plants at Marienburg and Posen in eastern Germany (3819).</w:t>
      </w:r>
    </w:p>
    <w:p w14:paraId="776908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3685D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мая 1944 в Атлантике У-549 потопила эскортный авианосец Блок Айланд. 8ВА США на пределе дальности атаковала авиастроительный завод в Мариенбурге в Пруссии (3819).</w:t>
      </w:r>
    </w:p>
    <w:p w14:paraId="25D42C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C6D1D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мая 1944 на острове Биак состоялось первое в Тихом океане танковое сражение (4962).</w:t>
      </w:r>
    </w:p>
    <w:p w14:paraId="016E09F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820EAA" w14:textId="77777777" w:rsidR="00353781" w:rsidRPr="00070ADE" w:rsidRDefault="0035378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29 мая</w:t>
      </w:r>
      <w:r w:rsidRPr="00070ADE">
        <w:rPr>
          <w:rFonts w:ascii="Times New Roman" w:hAnsi="Times New Roman"/>
          <w:color w:val="000000" w:themeColor="text1"/>
          <w:sz w:val="16"/>
          <w:szCs w:val="16"/>
        </w:rPr>
        <w:t xml:space="preserve"> в 1944 году авианосец «Block Island» в 420 милях южнее Азорских островов торпедирован германской ПЛ «U-549». Через полчаса после попадания трех торпед затонул (14906).</w:t>
      </w:r>
    </w:p>
    <w:p w14:paraId="19799535" w14:textId="77777777" w:rsidR="00353781" w:rsidRPr="00070ADE" w:rsidRDefault="00353781" w:rsidP="00B56F90">
      <w:pPr>
        <w:spacing w:after="0" w:line="240" w:lineRule="auto"/>
        <w:jc w:val="both"/>
        <w:rPr>
          <w:rFonts w:ascii="Times New Roman" w:hAnsi="Times New Roman"/>
          <w:color w:val="000000" w:themeColor="text1"/>
          <w:sz w:val="16"/>
          <w:szCs w:val="16"/>
        </w:rPr>
      </w:pPr>
    </w:p>
    <w:p w14:paraId="685DE49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517B3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4746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года зам. начальника 8 гл. управления Воликов писал Шахурину.</w:t>
      </w:r>
    </w:p>
    <w:p w14:paraId="2E6E43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вопросу: Снижения расходов топлива у моторов Ам-42 производства завода N 24.</w:t>
      </w:r>
    </w:p>
    <w:p w14:paraId="572E75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Справка</w:t>
      </w:r>
    </w:p>
    <w:p w14:paraId="2C556E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тем, что мотор АМ-42 длительное время находился в конструктивной доводке и к моменту гос. испытаний его, работы по улучшению экономичности не были закончены, поэтому требования гл. конструктора С.В.И. о немедленном снижении расходов топлива в настоящее время не могут быть удовлетворены.</w:t>
      </w:r>
    </w:p>
    <w:p w14:paraId="647BD7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Планом опытных работ по ОКБ завода N 24 предусмотрено проведение длительных испытаний мотора АМ-42 на бедных смесях в течение ближайших месяцев с тем, чтобы с 1-го сентября с.г. поставлять эти моторы со сниженными удельными расходами топлива на всех режимах работы.</w:t>
      </w:r>
    </w:p>
    <w:p w14:paraId="7E013E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Вопрос этого обсуждался гл. конструкторами - С.В.И. и Флисским на совместном совещании у зам. наркома В.П. Кузнецова, где и был установлен указанный срок 1-е сентября с.г. для поставки моторов с новыми нормами удельных расходов топлива, а также намечены уменьшенные нормы расходов (2562,74).</w:t>
      </w:r>
    </w:p>
    <w:p w14:paraId="10C4FE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69BD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г. вышел приказ НКАП СССР № 371, который обязал главного конст</w:t>
      </w:r>
      <w:r w:rsidRPr="00070ADE">
        <w:rPr>
          <w:rFonts w:ascii="Times New Roman" w:hAnsi="Times New Roman"/>
          <w:color w:val="000000" w:themeColor="text1"/>
          <w:sz w:val="16"/>
          <w:szCs w:val="16"/>
        </w:rPr>
        <w:softHyphen/>
        <w:t>руктора П.О.Сухого наряду с само</w:t>
      </w:r>
      <w:r w:rsidRPr="00070ADE">
        <w:rPr>
          <w:rFonts w:ascii="Times New Roman" w:hAnsi="Times New Roman"/>
          <w:color w:val="000000" w:themeColor="text1"/>
          <w:sz w:val="16"/>
          <w:szCs w:val="16"/>
        </w:rPr>
        <w:softHyphen/>
        <w:t>летом Су-5 спроектировать и постро</w:t>
      </w:r>
      <w:r w:rsidRPr="00070ADE">
        <w:rPr>
          <w:rFonts w:ascii="Times New Roman" w:hAnsi="Times New Roman"/>
          <w:color w:val="000000" w:themeColor="text1"/>
          <w:sz w:val="16"/>
          <w:szCs w:val="16"/>
        </w:rPr>
        <w:softHyphen/>
        <w:t>ить «...экспериментальную модифика</w:t>
      </w:r>
      <w:r w:rsidRPr="00070ADE">
        <w:rPr>
          <w:rFonts w:ascii="Times New Roman" w:hAnsi="Times New Roman"/>
          <w:color w:val="000000" w:themeColor="text1"/>
          <w:sz w:val="16"/>
          <w:szCs w:val="16"/>
        </w:rPr>
        <w:softHyphen/>
        <w:t>цию самолета Су-6 под мотор АШ-82ФН 2ТК-3 или М-83 с установкой однокамерного двигателя РД- 1 конст</w:t>
      </w:r>
      <w:r w:rsidRPr="00070ADE">
        <w:rPr>
          <w:rFonts w:ascii="Times New Roman" w:hAnsi="Times New Roman"/>
          <w:color w:val="000000" w:themeColor="text1"/>
          <w:sz w:val="16"/>
          <w:szCs w:val="16"/>
        </w:rPr>
        <w:softHyphen/>
        <w:t>рукции Глушко, со следующими летно-техническими данными:</w:t>
      </w:r>
    </w:p>
    <w:p w14:paraId="2384D0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высоте 7500 м без включения РД - 590 км/ч.</w:t>
      </w:r>
    </w:p>
    <w:p w14:paraId="39525D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высоте 12000 м с включением РД - 700 км/ч.</w:t>
      </w:r>
    </w:p>
    <w:p w14:paraId="27C82E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Продолжительность полета без включения РД на высоте 10000 м при скорости 450 км/ч - 1 ч. 40 мин.</w:t>
      </w:r>
    </w:p>
    <w:p w14:paraId="45A859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 2 пушки калибра 20 мм с боезапасом 370 патронов.</w:t>
      </w:r>
    </w:p>
    <w:p w14:paraId="666DB7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предъявить на летные ис</w:t>
      </w:r>
      <w:r w:rsidRPr="00070ADE">
        <w:rPr>
          <w:rFonts w:ascii="Times New Roman" w:hAnsi="Times New Roman"/>
          <w:color w:val="000000" w:themeColor="text1"/>
          <w:sz w:val="16"/>
          <w:szCs w:val="16"/>
        </w:rPr>
        <w:softHyphen/>
        <w:t>пытания к 1 сентября 1944 г...» (10668).</w:t>
      </w:r>
    </w:p>
    <w:p w14:paraId="1A2540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1CE628" w14:textId="77777777" w:rsidR="00827943" w:rsidRPr="00070ADE" w:rsidRDefault="00827943"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30 мая 1944 г. приказ НКАП № 371 (в Постановление ГКО 22 мая 1944 г. самолет не был вклю чен) обязал глав ного конструктора П.О.Сухого спроектировать и построить экс периментальную модификацию самолета Су-6 под мотор АШ-82ФН 2ТК-3 или М-83 с установкой двигателя РД- В.П. Глушко, со следующими летно-техническими данными:</w:t>
      </w:r>
    </w:p>
    <w:p w14:paraId="49B64926" w14:textId="77777777" w:rsidR="00827943" w:rsidRPr="00070ADE" w:rsidRDefault="00827943"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Максимальная скорость на высоте 7500 м без включения РД - 590 км/ч.</w:t>
      </w:r>
    </w:p>
    <w:p w14:paraId="71210E9E" w14:textId="77777777" w:rsidR="00827943" w:rsidRPr="00070ADE" w:rsidRDefault="00827943"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Максимальная скорость на высоте 12 000 м с включением РД — 700 км/ч.</w:t>
      </w:r>
    </w:p>
    <w:p w14:paraId="1C3ABF1C" w14:textId="77777777" w:rsidR="00827943" w:rsidRPr="00070ADE" w:rsidRDefault="00827943"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Продолжительность полета без включения РД на высоте Ю 000 м при скорости 450 км/ч — 1 ч. 40 мин.</w:t>
      </w:r>
    </w:p>
    <w:p w14:paraId="14C24474" w14:textId="77777777" w:rsidR="00827943" w:rsidRPr="00070ADE" w:rsidRDefault="00827943"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Вооружение — 2 пушки калибра 20 мм с боезапасом 370 патронов.</w:t>
      </w:r>
    </w:p>
    <w:p w14:paraId="7BC8E137" w14:textId="77777777" w:rsidR="00827943" w:rsidRPr="00070ADE" w:rsidRDefault="00827943"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Самолет надо было предъявить на летные испытания к сентября 1944 года (19586).</w:t>
      </w:r>
    </w:p>
    <w:p w14:paraId="6474FB55" w14:textId="77777777" w:rsidR="00827943" w:rsidRPr="00070ADE" w:rsidRDefault="00827943"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A1C1207"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30 мая 1944 г. приказ НКАП № 371 обязал глав</w:t>
      </w:r>
      <w:r w:rsidRPr="00C94B78">
        <w:rPr>
          <w:rFonts w:ascii="Times New Roman" w:hAnsi="Times New Roman"/>
          <w:color w:val="0070C0"/>
          <w:sz w:val="16"/>
          <w:szCs w:val="16"/>
        </w:rPr>
        <w:softHyphen/>
        <w:t>ного конструктора П.О.Сухого спроектировать и построить экс</w:t>
      </w:r>
      <w:r w:rsidRPr="00C94B78">
        <w:rPr>
          <w:rFonts w:ascii="Times New Roman" w:hAnsi="Times New Roman"/>
          <w:color w:val="0070C0"/>
          <w:sz w:val="16"/>
          <w:szCs w:val="16"/>
        </w:rPr>
        <w:softHyphen/>
        <w:t>периментальную модификацию самолета Су-6 под мотор АШ-82ФН 2ТК-3 или М-83 с установкой двигателя РД-1 В.П. Глушко, со следующими летно-техническими данными:</w:t>
      </w:r>
    </w:p>
    <w:p w14:paraId="71EC5661"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Максимальная скорость на высоте 7500 м без включения РД - 590 км/ч.</w:t>
      </w:r>
    </w:p>
    <w:p w14:paraId="12BABE27"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Максимальная скорость на высоте 12 000 м с включением РД — 700 км/ч.</w:t>
      </w:r>
    </w:p>
    <w:p w14:paraId="211D9BD6"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Продолжительность полета без включения РД на высоте 10000 м при скорости 450 км/ч — 1ч. 40 мин.</w:t>
      </w:r>
    </w:p>
    <w:p w14:paraId="07F02707"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Вооружение — 2 пушки калибра 20 мм с боезапасом 370 патронов.</w:t>
      </w:r>
    </w:p>
    <w:p w14:paraId="2315F98F"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Самолет надо было предъявить на летные испытания к 1 сентября 1944 года (24920).</w:t>
      </w:r>
    </w:p>
    <w:p w14:paraId="1D139767" w14:textId="77777777" w:rsidR="009476EA" w:rsidRPr="00C94B78" w:rsidRDefault="009476EA" w:rsidP="00B56F90">
      <w:pPr>
        <w:spacing w:after="0" w:line="240" w:lineRule="auto"/>
        <w:jc w:val="both"/>
        <w:rPr>
          <w:rFonts w:ascii="Times New Roman" w:hAnsi="Times New Roman"/>
          <w:color w:val="0070C0"/>
          <w:sz w:val="16"/>
          <w:szCs w:val="16"/>
        </w:rPr>
      </w:pPr>
    </w:p>
    <w:p w14:paraId="76DACB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вышел приказ НКАП № 371 и всем ГК выдали задания по реактивным машинам: А.С.Я. - Як-9 с ВК-105ПФ и РД-1, С.А.Л. - аналогично для ла-5 с АШ-82ФН или АШ-83 + экспериментальный истребитель с ТР-1 А.М.Люльки, Н.Н.П. - экспериментальный с двухкамерным РД Л.С.Душкина, а П.О.С, - экспериментальтный с ВК-107А и ВРД ЦИАМ + Су-6 под АШ-82ФН или АШ-83 с РД-1, МиГ - экспериментальный с ВК-107А + ВРД ЦИАМ (6471, 5).</w:t>
      </w:r>
    </w:p>
    <w:p w14:paraId="42C02B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4EE5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вышел приказ НКАП №371, которым главным конст</w:t>
      </w:r>
      <w:r w:rsidRPr="00070ADE">
        <w:rPr>
          <w:rFonts w:ascii="Times New Roman" w:hAnsi="Times New Roman"/>
          <w:color w:val="000000" w:themeColor="text1"/>
          <w:sz w:val="16"/>
          <w:szCs w:val="16"/>
        </w:rPr>
        <w:softHyphen/>
        <w:t>рукторам, занимающимся созданием истребителей, были официально выда</w:t>
      </w:r>
      <w:r w:rsidRPr="00070ADE">
        <w:rPr>
          <w:rFonts w:ascii="Times New Roman" w:hAnsi="Times New Roman"/>
          <w:color w:val="000000" w:themeColor="text1"/>
          <w:sz w:val="16"/>
          <w:szCs w:val="16"/>
        </w:rPr>
        <w:softHyphen/>
        <w:t>ны задания на разработку реактивных самолетов. Правда, из-за неясности, какое из направлении в реактивном двигателестроении наиболее перспек</w:t>
      </w:r>
      <w:r w:rsidRPr="00070ADE">
        <w:rPr>
          <w:rFonts w:ascii="Times New Roman" w:hAnsi="Times New Roman"/>
          <w:color w:val="000000" w:themeColor="text1"/>
          <w:sz w:val="16"/>
          <w:szCs w:val="16"/>
        </w:rPr>
        <w:softHyphen/>
        <w:t>тивно, конструкторам поручили разра</w:t>
      </w:r>
      <w:r w:rsidRPr="00070ADE">
        <w:rPr>
          <w:rFonts w:ascii="Times New Roman" w:hAnsi="Times New Roman"/>
          <w:color w:val="000000" w:themeColor="text1"/>
          <w:sz w:val="16"/>
          <w:szCs w:val="16"/>
        </w:rPr>
        <w:softHyphen/>
        <w:t>ботку самолетов, охватив все типы су</w:t>
      </w:r>
      <w:r w:rsidRPr="00070ADE">
        <w:rPr>
          <w:rFonts w:ascii="Times New Roman" w:hAnsi="Times New Roman"/>
          <w:color w:val="000000" w:themeColor="text1"/>
          <w:sz w:val="16"/>
          <w:szCs w:val="16"/>
        </w:rPr>
        <w:softHyphen/>
        <w:t>ществовавших на то время реактивных силовых установок - ЖРД, ВРДК и ТРД.</w:t>
      </w:r>
    </w:p>
    <w:p w14:paraId="2AD348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Создание экспериментального ис</w:t>
      </w:r>
      <w:r w:rsidRPr="00070ADE">
        <w:rPr>
          <w:rFonts w:ascii="Times New Roman" w:hAnsi="Times New Roman"/>
          <w:color w:val="000000" w:themeColor="text1"/>
          <w:sz w:val="16"/>
          <w:szCs w:val="16"/>
        </w:rPr>
        <w:softHyphen/>
        <w:t>требителя с турбореактивным двигате</w:t>
      </w:r>
      <w:r w:rsidRPr="00070ADE">
        <w:rPr>
          <w:rFonts w:ascii="Times New Roman" w:hAnsi="Times New Roman"/>
          <w:color w:val="000000" w:themeColor="text1"/>
          <w:sz w:val="16"/>
          <w:szCs w:val="16"/>
        </w:rPr>
        <w:softHyphen/>
        <w:t>лем конструкции А.М.Люлька было по</w:t>
      </w:r>
      <w:r w:rsidRPr="00070ADE">
        <w:rPr>
          <w:rFonts w:ascii="Times New Roman" w:hAnsi="Times New Roman"/>
          <w:color w:val="000000" w:themeColor="text1"/>
          <w:sz w:val="16"/>
          <w:szCs w:val="16"/>
        </w:rPr>
        <w:softHyphen/>
        <w:t>ручено только ОКБ С.А.Лавочкина. Од</w:t>
      </w:r>
      <w:r w:rsidRPr="00070ADE">
        <w:rPr>
          <w:rFonts w:ascii="Times New Roman" w:hAnsi="Times New Roman"/>
          <w:color w:val="000000" w:themeColor="text1"/>
          <w:sz w:val="16"/>
          <w:szCs w:val="16"/>
        </w:rPr>
        <w:softHyphen/>
        <w:t>нако первый отечественный ТРД С-18 с более высокими, чем у РД-1, характери</w:t>
      </w:r>
      <w:r w:rsidRPr="00070ADE">
        <w:rPr>
          <w:rFonts w:ascii="Times New Roman" w:hAnsi="Times New Roman"/>
          <w:color w:val="000000" w:themeColor="text1"/>
          <w:sz w:val="16"/>
          <w:szCs w:val="16"/>
        </w:rPr>
        <w:softHyphen/>
        <w:t>стиками начал проходить стендовые испытания в 1945 г, показав тягу в 1030 кгс. И только в 1947 г. созданный на его базе ТР-1 прошел государственные испытания, а его тяга достигла значе</w:t>
      </w:r>
      <w:r w:rsidRPr="00070ADE">
        <w:rPr>
          <w:rFonts w:ascii="Times New Roman" w:hAnsi="Times New Roman"/>
          <w:color w:val="000000" w:themeColor="text1"/>
          <w:sz w:val="16"/>
          <w:szCs w:val="16"/>
        </w:rPr>
        <w:softHyphen/>
        <w:t>ния 1290 кгс. Таким образом, от возоб</w:t>
      </w:r>
      <w:r w:rsidRPr="00070ADE">
        <w:rPr>
          <w:rFonts w:ascii="Times New Roman" w:hAnsi="Times New Roman"/>
          <w:color w:val="000000" w:themeColor="text1"/>
          <w:sz w:val="16"/>
          <w:szCs w:val="16"/>
        </w:rPr>
        <w:softHyphen/>
        <w:t>новления работ до завершения испы</w:t>
      </w:r>
      <w:r w:rsidRPr="00070ADE">
        <w:rPr>
          <w:rFonts w:ascii="Times New Roman" w:hAnsi="Times New Roman"/>
          <w:color w:val="000000" w:themeColor="text1"/>
          <w:sz w:val="16"/>
          <w:szCs w:val="16"/>
        </w:rPr>
        <w:softHyphen/>
        <w:t>таний прошло еще около трех лет (11128).</w:t>
      </w:r>
    </w:p>
    <w:p w14:paraId="067E60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EEE973" w14:textId="77777777" w:rsidR="008E4DB9" w:rsidRPr="00070ADE" w:rsidRDefault="008E4DB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года Приказом НКАП № 371 во исполнение Постановления ГКО № 5946 от 22 мая 1944 года всем глав</w:t>
      </w:r>
      <w:r w:rsidRPr="00070ADE">
        <w:rPr>
          <w:rFonts w:ascii="Times New Roman" w:hAnsi="Times New Roman"/>
          <w:color w:val="000000" w:themeColor="text1"/>
          <w:sz w:val="16"/>
          <w:szCs w:val="16"/>
        </w:rPr>
        <w:softHyphen/>
        <w:t>ным конструкторам, занимающимся созданием истребителей, были официально выданы соответствующие задания по разработке и постройке реактив</w:t>
      </w:r>
      <w:r w:rsidRPr="00070ADE">
        <w:rPr>
          <w:rFonts w:ascii="Times New Roman" w:hAnsi="Times New Roman"/>
          <w:color w:val="000000" w:themeColor="text1"/>
          <w:sz w:val="16"/>
          <w:szCs w:val="16"/>
        </w:rPr>
        <w:softHyphen/>
        <w:t>ных истребителей. При этом из-за неясно</w:t>
      </w:r>
      <w:r w:rsidRPr="00070ADE">
        <w:rPr>
          <w:rFonts w:ascii="Times New Roman" w:hAnsi="Times New Roman"/>
          <w:color w:val="000000" w:themeColor="text1"/>
          <w:sz w:val="16"/>
          <w:szCs w:val="16"/>
        </w:rPr>
        <w:softHyphen/>
        <w:t>сти, какое из направлений в реактивном двигателестроении наиболее перспективно, конструкторам поручили разработку самолётов, охватив все типы ре</w:t>
      </w:r>
      <w:r w:rsidRPr="00070ADE">
        <w:rPr>
          <w:rFonts w:ascii="Times New Roman" w:hAnsi="Times New Roman"/>
          <w:color w:val="000000" w:themeColor="text1"/>
          <w:sz w:val="16"/>
          <w:szCs w:val="16"/>
        </w:rPr>
        <w:softHyphen/>
        <w:t>активных силовых установок — жидкостные, турборе</w:t>
      </w:r>
      <w:r w:rsidRPr="00070ADE">
        <w:rPr>
          <w:rFonts w:ascii="Times New Roman" w:hAnsi="Times New Roman"/>
          <w:color w:val="000000" w:themeColor="text1"/>
          <w:sz w:val="16"/>
          <w:szCs w:val="16"/>
        </w:rPr>
        <w:softHyphen/>
        <w:t>активные и воздушно-реактивные. Коллективу под руководством А.И. Микояна и М.И. Гуревича досталось создание эксперименталь</w:t>
      </w:r>
      <w:r w:rsidRPr="00070ADE">
        <w:rPr>
          <w:rFonts w:ascii="Times New Roman" w:hAnsi="Times New Roman"/>
          <w:color w:val="000000" w:themeColor="text1"/>
          <w:sz w:val="16"/>
          <w:szCs w:val="16"/>
        </w:rPr>
        <w:softHyphen/>
        <w:t>ного истребителя с мотором ВК-107А и дополнитель</w:t>
      </w:r>
      <w:r w:rsidRPr="00070ADE">
        <w:rPr>
          <w:rFonts w:ascii="Times New Roman" w:hAnsi="Times New Roman"/>
          <w:color w:val="000000" w:themeColor="text1"/>
          <w:sz w:val="16"/>
          <w:szCs w:val="16"/>
        </w:rPr>
        <w:softHyphen/>
        <w:t>ным воздушно-реактивным двигателем с компрес</w:t>
      </w:r>
      <w:r w:rsidRPr="00070ADE">
        <w:rPr>
          <w:rFonts w:ascii="Times New Roman" w:hAnsi="Times New Roman"/>
          <w:color w:val="000000" w:themeColor="text1"/>
          <w:sz w:val="16"/>
          <w:szCs w:val="16"/>
        </w:rPr>
        <w:softHyphen/>
        <w:t>сором конструкции ЦИАМ, получившим название Э-30-20. По заданию, требовалось обеспечить макси</w:t>
      </w:r>
      <w:r w:rsidRPr="00070ADE">
        <w:rPr>
          <w:rFonts w:ascii="Times New Roman" w:hAnsi="Times New Roman"/>
          <w:color w:val="000000" w:themeColor="text1"/>
          <w:sz w:val="16"/>
          <w:szCs w:val="16"/>
        </w:rPr>
        <w:softHyphen/>
        <w:t>мальную скорость 810 км/ч на высоте 7000 м с вклю</w:t>
      </w:r>
      <w:r w:rsidRPr="00070ADE">
        <w:rPr>
          <w:rFonts w:ascii="Times New Roman" w:hAnsi="Times New Roman"/>
          <w:color w:val="000000" w:themeColor="text1"/>
          <w:sz w:val="16"/>
          <w:szCs w:val="16"/>
        </w:rPr>
        <w:softHyphen/>
        <w:t>чённым ВРДК в течение 15 минут. Высоту 5000 м са</w:t>
      </w:r>
      <w:r w:rsidRPr="00070ADE">
        <w:rPr>
          <w:rFonts w:ascii="Times New Roman" w:hAnsi="Times New Roman"/>
          <w:color w:val="000000" w:themeColor="text1"/>
          <w:sz w:val="16"/>
          <w:szCs w:val="16"/>
        </w:rPr>
        <w:softHyphen/>
        <w:t>молёт должен был набирать за 5,5 минуты без ВРДК и за 4,5 минуты с включённым двигателем. Заданный практический потолок — 11 000 м, а с применением ВРДК — 12 000 м. На истребителе требовалось устано</w:t>
      </w:r>
      <w:r w:rsidRPr="00070ADE">
        <w:rPr>
          <w:rFonts w:ascii="Times New Roman" w:hAnsi="Times New Roman"/>
          <w:color w:val="000000" w:themeColor="text1"/>
          <w:sz w:val="16"/>
          <w:szCs w:val="16"/>
        </w:rPr>
        <w:softHyphen/>
        <w:t>вить одну 23-мм пушку и два 12,7-мм пулемёта. Пер</w:t>
      </w:r>
      <w:r w:rsidRPr="00070ADE">
        <w:rPr>
          <w:rFonts w:ascii="Times New Roman" w:hAnsi="Times New Roman"/>
          <w:color w:val="000000" w:themeColor="text1"/>
          <w:sz w:val="16"/>
          <w:szCs w:val="16"/>
        </w:rPr>
        <w:softHyphen/>
        <w:t>вую опытную машину предписывалось предъявить на лётные испытания в феврале 1945 года (23379).</w:t>
      </w:r>
    </w:p>
    <w:p w14:paraId="3B7EE733" w14:textId="77777777" w:rsidR="008E4DB9" w:rsidRPr="00070ADE" w:rsidRDefault="008E4DB9" w:rsidP="00B56F90">
      <w:pPr>
        <w:spacing w:after="0" w:line="240" w:lineRule="auto"/>
        <w:jc w:val="both"/>
        <w:rPr>
          <w:rFonts w:ascii="Times New Roman" w:hAnsi="Times New Roman"/>
          <w:color w:val="000000" w:themeColor="text1"/>
          <w:sz w:val="16"/>
          <w:szCs w:val="16"/>
        </w:rPr>
      </w:pPr>
    </w:p>
    <w:p w14:paraId="395083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Зам. Нач. 7ГУ Алексеев подготовил сводку о ходе испытаний высотных самолетов на 29 мая 1944 по Як-9 М-105ПД, Ла-5 АШ-82ФН и 2ТК-3, МиГ АМ-39А и 2ТК-2Б (1825).</w:t>
      </w:r>
    </w:p>
    <w:p w14:paraId="60C063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ИСТРЕБИТЕЛЬ Як-9 с М-105ПД</w:t>
      </w:r>
    </w:p>
    <w:p w14:paraId="4FACDD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находится не в летной состоянии, из-за отсутствия мотора.</w:t>
      </w:r>
    </w:p>
    <w:p w14:paraId="35BA61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поступившим сведениям в ЦИАМ выбыл из строя мотор, проходивший стендовые испытания и предназначенный для высотного самолета Як-9.</w:t>
      </w:r>
    </w:p>
    <w:p w14:paraId="4A366C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намеченный срок поставки мотора - 1 июня с.г. выполнен не будет и дальнейшие испытания самолета сорваны.</w:t>
      </w:r>
    </w:p>
    <w:p w14:paraId="24F129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поставки нового мотора М-105ПФ с двуступенчатым нагнетателем для установки на самолете 8 ГУ назвать не может, из-за отсутствия резервных моторов в ЦИАМ.</w:t>
      </w:r>
    </w:p>
    <w:p w14:paraId="52DCD5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ИСТРЕБИТЕЛЬ Ла-5 с АШ-82ФН и 2ТК-3</w:t>
      </w:r>
    </w:p>
    <w:p w14:paraId="7CFEC0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контрольной конке мотора на земле снова обнаружено масло в магнето. В настоящее время производится заме</w:t>
      </w:r>
      <w:r w:rsidRPr="00070ADE">
        <w:rPr>
          <w:rFonts w:ascii="Times New Roman" w:hAnsi="Times New Roman"/>
          <w:color w:val="000000" w:themeColor="text1"/>
          <w:sz w:val="16"/>
          <w:szCs w:val="16"/>
        </w:rPr>
        <w:softHyphen/>
        <w:t>на наддувного магнето на ненаддувное, с улучшенной высотностью. Самолет подготавливается к полету, назначенному на 31 мая с.г.</w:t>
      </w:r>
    </w:p>
    <w:p w14:paraId="543314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ИСТРЕБИТЕЛЬ МИГ с АМ-39Б И 2ТК-2Б.</w:t>
      </w:r>
    </w:p>
    <w:p w14:paraId="46A74A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Произведены два полета. Первый полет производился с заданием определить высотность самолета на первой скорос</w:t>
      </w:r>
      <w:r w:rsidRPr="00070ADE">
        <w:rPr>
          <w:rFonts w:ascii="Times New Roman" w:hAnsi="Times New Roman"/>
          <w:color w:val="000000" w:themeColor="text1"/>
          <w:sz w:val="16"/>
          <w:szCs w:val="16"/>
        </w:rPr>
        <w:softHyphen/>
        <w:t>ти нагнетателя с полностью включенным ТК. Полет продол</w:t>
      </w:r>
      <w:r w:rsidRPr="00070ADE">
        <w:rPr>
          <w:rFonts w:ascii="Times New Roman" w:hAnsi="Times New Roman"/>
          <w:color w:val="000000" w:themeColor="text1"/>
          <w:sz w:val="16"/>
          <w:szCs w:val="16"/>
        </w:rPr>
        <w:softHyphen/>
        <w:t>жался 32 мин., высота в полете - 6300 мт. Задание не выполнено, полет был прекращен из-за падения давления бензина. Для предупреждения в дальнейшем дефекта по произвольному падению давления бензина в полете, вызван представитель завода № 451.</w:t>
      </w:r>
    </w:p>
    <w:p w14:paraId="1AED40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Второй полет производился на повторение первого задания. Продолжительность полета - 37 мин., высота - 8000 мт. На высоте 7300 мт вышел из строя ТК и дальнейшее выполне</w:t>
      </w:r>
      <w:r w:rsidRPr="00070ADE">
        <w:rPr>
          <w:rFonts w:ascii="Times New Roman" w:hAnsi="Times New Roman"/>
          <w:color w:val="000000" w:themeColor="text1"/>
          <w:sz w:val="16"/>
          <w:szCs w:val="16"/>
        </w:rPr>
        <w:softHyphen/>
        <w:t>ние задания летчиком было прекращено.</w:t>
      </w:r>
    </w:p>
    <w:p w14:paraId="1AC06C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посадки при внешнем осмотре, обнаружено заклинение крыльчатки ТК.</w:t>
      </w:r>
    </w:p>
    <w:p w14:paraId="631DA1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Оба ТК с самолета сняты и отправлены в ЦИАМ для раз</w:t>
      </w:r>
      <w:r w:rsidRPr="00070ADE">
        <w:rPr>
          <w:rFonts w:ascii="Times New Roman" w:hAnsi="Times New Roman"/>
          <w:color w:val="000000" w:themeColor="text1"/>
          <w:sz w:val="16"/>
          <w:szCs w:val="16"/>
        </w:rPr>
        <w:softHyphen/>
        <w:t>борки и установления причин заклинения крыльчатки (1825).</w:t>
      </w:r>
    </w:p>
    <w:p w14:paraId="02D8A3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1213D2"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30 мая</w:t>
      </w:r>
      <w:r w:rsidRPr="00070ADE">
        <w:rPr>
          <w:rFonts w:ascii="Times New Roman" w:hAnsi="Times New Roman"/>
          <w:color w:val="000000" w:themeColor="text1"/>
          <w:sz w:val="16"/>
          <w:szCs w:val="16"/>
        </w:rPr>
        <w:t xml:space="preserve"> в 1944 году приказом НКАП №371 всем главным конструкторам, занимающимся созданием истребителей, были официально выданы следующие задания. А.С.Яковлеву надлежало модифицировать истребитель «Як-9» с мотором «ВК-105ПФ», оснастив его дополнительным однокамерным ракетным двигателем «РД-1» конструкции В.П.Глушко, а также разработать экспериментальный истребитель с таким же, но трехкамерным ракетным двигателем С.А.Лавочкина обязывали произвести аналогичную доработку истребителя «Ла-5» с мотором «АШ-82ФН» или «АШ-83», а также спроектировать экспериментальный истребитель с реактивным двигателем ТР-1 конструкции А.М.Люльки. Н.Н.Поликарпову приказывали разработать экспериментальный истребитель с двухкамерным реактивным двигателем конструкции Л.С.Душкина, а П.О.Сухому - экспериментальный истребитель с мотором «ВК-107А» и дополнительным воздушно-реактивным двигателем с компрессором конструкции ЦИАМ, а также модификацию самолета «Су-6» под мотор «АШ-82ФН» «2ТК-2» или «АШ-83» с дополнительным однокамерным двигателем «РД-1». Что касается А.И.Микояна и М.И.Гуревича, то в их задачу входило создание экспериментального истребителя с мотором «ВК-107А» и дополнительным воздушно-реактивным двигателем с компрессором конструкции ЦИАМ. Таким образом, ввиду неясности, какое из направлений в реактивном двигателестроении наиболее перспективно, конструкторам поручили охватить все реально существовавшие на то время типы реактивных силовых установок - ЖРД, ТРД и ВРДК. Создание экспериментального истребителя с турбореактивным двигателем конструкции А.М.Люлька было поручено только ОКБ С.А.Лавочкина. Однако первый отечественный ТРД с более высокими, чем у РД-1, характеристиками начал проходить стендовые испытания в 1945 году, показав тягу в 1250 кг. И только в 1947 году двигатель под обозначением «ТР-1» прошел государственные испытания, а его тяга достигла значения 1360 кг. Таким образом, от возобновления работ до завершения испытаний прошло еще около трех лет (14907).</w:t>
      </w:r>
    </w:p>
    <w:p w14:paraId="6C8F3947" w14:textId="77777777" w:rsidR="006E5527" w:rsidRPr="00070ADE" w:rsidRDefault="006E5527" w:rsidP="00B56F90">
      <w:pPr>
        <w:spacing w:after="0" w:line="240" w:lineRule="auto"/>
        <w:jc w:val="both"/>
        <w:rPr>
          <w:rFonts w:ascii="Times New Roman" w:hAnsi="Times New Roman"/>
          <w:color w:val="000000" w:themeColor="text1"/>
          <w:sz w:val="16"/>
          <w:szCs w:val="16"/>
        </w:rPr>
      </w:pPr>
    </w:p>
    <w:p w14:paraId="4D954F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Я.А.Гриднев погиб при пикировании на Ла-5 N 39211958 выпуска апреля 1944 (817).</w:t>
      </w:r>
    </w:p>
    <w:p w14:paraId="741410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DA9D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г. во исполнение Постановления №5946 вышел приказом НКАП №371, которым коллективу ОКБ-155 предписывали разработать и построить экспериментальный истребитель с мотором ВК-107А и дополнительным воздушно-реактивным двигателем с компрессором (ВРДК) конструкции ЦИАМ. По заданию самолет с использованием ВРДК должен был иметь максимальную скорость 810 км/ч на высоте 7000 м (6000).</w:t>
      </w:r>
    </w:p>
    <w:p w14:paraId="1DEA80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56F0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вышел приказ НКАП N 371сс "О создании самолетов с реактивными двигателями"</w:t>
      </w:r>
    </w:p>
    <w:p w14:paraId="4A58D4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"Придавая исключительно важное значение делу создания самолетов с реактивными двигателями, в обеспечение постановления ГКО N 5946сс от 22 мая 1944:</w:t>
      </w:r>
    </w:p>
    <w:p w14:paraId="4CD1B8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Обязать ГК А.С.Я., С.А.Л., Н.Н.П., А.И.М., Гуревича, П.О.С. провести след. работы:</w:t>
      </w:r>
    </w:p>
    <w:p w14:paraId="24A724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Самолеты ГК А.С.Я.:</w:t>
      </w:r>
    </w:p>
    <w:p w14:paraId="3B1F31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ГК А.С.Я. спроектировать и построить:</w:t>
      </w:r>
    </w:p>
    <w:p w14:paraId="36B75A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модификацию самолета Як-9 с ВК-105ПФ с доп. однокамерным реактивным двигателем РД-1 конструкции Глушко, со след. ЛТД:</w:t>
      </w:r>
    </w:p>
    <w:p w14:paraId="33157D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с включением РД-1 на высоте 5000 м - 780 км/час</w:t>
      </w:r>
    </w:p>
    <w:p w14:paraId="5A8E29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то же, что у серийного Як-9</w:t>
      </w:r>
    </w:p>
    <w:p w14:paraId="1ACF53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построить в 2-х экз. и предъявить на летные испытания: 1-й - 15 августа, 2-й - 15 сентября</w:t>
      </w:r>
    </w:p>
    <w:p w14:paraId="1EBF9A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экспериментальный реактивный истребитель с 3-х камерным РД конструкции Глушко, со след. ЛТД:</w:t>
      </w:r>
    </w:p>
    <w:p w14:paraId="3791DC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с включением РД-1 на высоте 5000 м - 800 км/час</w:t>
      </w:r>
    </w:p>
    <w:p w14:paraId="71D6E1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продолжительность полета с включенным двигателем - 10 мин.</w:t>
      </w:r>
    </w:p>
    <w:p w14:paraId="5B8C0E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построить в 2-х экз. и предъявить на летные испытания: 1-й - 1 марта 1945, 2-й - 15 апреля 1945</w:t>
      </w:r>
    </w:p>
    <w:p w14:paraId="272250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Самолеты ГК С.А.Л.:</w:t>
      </w:r>
    </w:p>
    <w:p w14:paraId="6A67FB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ГК С.А.Л. спроектировать и построить:</w:t>
      </w:r>
    </w:p>
    <w:p w14:paraId="321F49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модификацию серийного самолета Ла-5 с АШ-82ФН или М-83 с доп. однокамерным реактивным двигателем РД-1 конструкции Глушко, со след. ЛТД:</w:t>
      </w:r>
    </w:p>
    <w:p w14:paraId="754B00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с включением РД-1 на высоте 7000 м - 780 км/час</w:t>
      </w:r>
    </w:p>
    <w:p w14:paraId="594C37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то же, что у серийного Ла-5</w:t>
      </w:r>
    </w:p>
    <w:p w14:paraId="5BE8BD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построить в 3-х экз. и предъявить на летные испытания: 1-й - сентябрь 1944, 2-й - октябрь 1944, 3-й - январь 1945</w:t>
      </w:r>
    </w:p>
    <w:p w14:paraId="0ACCC1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экспериментальный реактивный истребитель с двигателем конструкции Люлька, со след. ЛТД:</w:t>
      </w:r>
    </w:p>
    <w:p w14:paraId="6C299A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высоте 5000 м - 850 км/час</w:t>
      </w:r>
    </w:p>
    <w:p w14:paraId="132987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продолжительность полета с включенным двигателем на 0.8 макс. скорости - 20 мин.</w:t>
      </w:r>
    </w:p>
    <w:p w14:paraId="3B3E7C0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пушки: 1х23 + 2х20 мм с 400 снарядов</w:t>
      </w:r>
    </w:p>
    <w:p w14:paraId="672901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построить в 2-х экз. и предъявить на летные испытания: 1-й - в марте 1946</w:t>
      </w:r>
    </w:p>
    <w:p w14:paraId="2B2371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Самолеты ГК Н.Н.П.:</w:t>
      </w:r>
    </w:p>
    <w:p w14:paraId="09C786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ГК Н.Н.П. спроектировать и построить одноместный реактивный экспериментальный истребитель с 2-х камерным ЖРД конструкции НИИ-1 и герметической кабиной, со след. ЛТД:</w:t>
      </w:r>
    </w:p>
    <w:p w14:paraId="466EDF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высоте 5000 м - 800 км/час</w:t>
      </w:r>
    </w:p>
    <w:p w14:paraId="268F09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продолжительность полета с включенным двигателем на мин. тяге - 12-14 мин.</w:t>
      </w:r>
    </w:p>
    <w:p w14:paraId="585E54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 - 14000 м и практический потолок 12000 м</w:t>
      </w:r>
    </w:p>
    <w:p w14:paraId="35CDB2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пушки: 1х20 мм</w:t>
      </w:r>
    </w:p>
    <w:p w14:paraId="2F47B9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построить в 2-х экз. и предъявить на летные испытания: 1-й - 1 июля 1945, 2-й 15 июля 1945</w:t>
      </w:r>
    </w:p>
    <w:p w14:paraId="6D9685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Самолеты ГК А.И.М. и Гуревича:</w:t>
      </w:r>
    </w:p>
    <w:p w14:paraId="4298D1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ГК А.И.М. и зам ГК Гуревичу спроектировать и построить одноместный реактивный экспериментальный истребитель с ВК-107А и доп. ВРД с компрессором конструкции ЦИАМ, со след. ЛТД:</w:t>
      </w:r>
    </w:p>
    <w:p w14:paraId="7B9BEB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с включением ВРДК на высоте 7000 м - 810 км/час и без - 700 км/час</w:t>
      </w:r>
    </w:p>
    <w:p w14:paraId="279FD7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продолжительность полета с включением ВРДК на 15 мин - 1:30.</w:t>
      </w:r>
    </w:p>
    <w:p w14:paraId="3A1BF9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 - 11000 м</w:t>
      </w:r>
    </w:p>
    <w:p w14:paraId="5E44A0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1х23 мм и 2х12.7 мм</w:t>
      </w:r>
    </w:p>
    <w:p w14:paraId="09CA86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построить в 2-х экз. и предъявить на летные испытания: 1-й - февраль 1945, 2-й март 1945</w:t>
      </w:r>
    </w:p>
    <w:p w14:paraId="3995E8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Самолеты ГК П.О.С.:</w:t>
      </w:r>
    </w:p>
    <w:p w14:paraId="46FA3D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ГК П.О.С. спроектировать и построить:</w:t>
      </w:r>
    </w:p>
    <w:p w14:paraId="090508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одноместный реактивный экспериментальный самолет с ВК-107А и доп. ВРД с компрессором конструкции ЦИАМ, со след. ЛТД:</w:t>
      </w:r>
    </w:p>
    <w:p w14:paraId="2135E5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с включением ВРДК на высоте 7000 м - 800 км/час и без - 700 км/час</w:t>
      </w:r>
    </w:p>
    <w:p w14:paraId="2BB1CC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продолжительность полета с включением ВРДК на 10 мин - 1:30.</w:t>
      </w:r>
    </w:p>
    <w:p w14:paraId="5F03AB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 - 11800 м</w:t>
      </w:r>
    </w:p>
    <w:p w14:paraId="2AE79D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1х23 мм и 2х12.7 мм</w:t>
      </w:r>
    </w:p>
    <w:p w14:paraId="129EBC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построить в 2-х экз. и предъявить на летные испытания: 1-й - 15 февраля 1945, 2-й 15 марта 1945</w:t>
      </w:r>
    </w:p>
    <w:p w14:paraId="6EA26B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экспериментальную модификацию самолета Су-6 под АШ-82ФН 2ТК-3 или М-83 с установкой РД-1 конструкции Глушко, со след. ЛТД:</w:t>
      </w:r>
    </w:p>
    <w:p w14:paraId="67FBB5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высоте 7500 м без РД - 590 км/час</w:t>
      </w:r>
    </w:p>
    <w:p w14:paraId="3E6731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высоте 12000 м без РД - 700 км/час</w:t>
      </w:r>
    </w:p>
    <w:p w14:paraId="17EA7A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2х20 с 370 снарядами</w:t>
      </w:r>
    </w:p>
    <w:p w14:paraId="197D29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предъявить на летные испытания к 1 сентября 1944 (1673,7).</w:t>
      </w:r>
    </w:p>
    <w:p w14:paraId="71A956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69BF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года вышел приказ НКАП № 370сс во исполнение Постановления ГОКО за № 5945сс от 22 мая 1944 года, которым завод № 293 МАП был передан НИИ-1 в качестве его филиала (9360).</w:t>
      </w:r>
    </w:p>
    <w:p w14:paraId="5BF6BD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D29A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г. по приказу НКАП № 370сс завод № 393 стал филиалом № 1 НИИ-1 НКАП (начальник (01.1946 г.)- Нейман, начальник КБ- А.Я. Березняк). Продолжены работы по «БИ». Здесь же работала группа (ОКО) А.М. Исаева по ЖРД (10776).</w:t>
      </w:r>
    </w:p>
    <w:p w14:paraId="6190FB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1FF20AB" w14:textId="47E200B9"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г. по приказу № 370сс завод № 293 (Завод № 293 НКАП, МАП, Опытный завод «Фотолет» /г. Химки Московской обл.; пос. Билимбай Свердловской обл.;</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Химки/) стал филиалом № 1 НИИ-1 НКАП (начальник (01.1946 г.)- Нейман, начальник КБ- А.Я. Березняк). Продолжены работы по «БИ».</w:t>
      </w:r>
    </w:p>
    <w:p w14:paraId="039507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СМ № 1145-471сс от 31.05.1946 г. (о развитии работ по реактивной технике) и приказами № 361сс от 7.06.1946 г. и № 373с от 14.06.1946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В 10.1946 г. отдел A.M. Исаева переведен на основную территорию НИИ-1. Березняк в 12.1946 г. назначен зам. гл. конструктора ОКБ-2 завода № 1 МАП.</w:t>
      </w:r>
    </w:p>
    <w:p w14:paraId="0748E4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1.05.1948 г. завод передан из 7ГУ в 14ГУ. 1.04.1953 г. завод № 293 передан в подчинение КБ-1 ТГУ СМ (по приказу МАП № 229сс от 21.02.1953 г.) как опытная база.</w:t>
      </w:r>
    </w:p>
    <w:p w14:paraId="1263F82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начала 1954 г. преобразован в опытную базу ОКБ-2 МАП П.Д. Грушина (с этого времени перестало существовать название «завод № 293»).</w:t>
      </w:r>
    </w:p>
    <w:p w14:paraId="20333B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(1940-44 г.)- В.Ф. Болховитинов, (1946-53 г.)- М.Р. Бисноват, (03.1952 г.)- Ф.П. Герасимов.</w:t>
      </w:r>
    </w:p>
    <w:p w14:paraId="686FD7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(1940-44 г.)- В.Ф. Болховитинов, (1946-53 г.)- М.Р. Бисноват.</w:t>
      </w:r>
    </w:p>
    <w:p w14:paraId="2598D4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директора: по производству (09.1940 г.-)- А.И. Мамучашвили; по «БИ» (09.1942 г.)- И.Ф. Флоров; (06.1946 г.-)- В.Н. Елагин.</w:t>
      </w:r>
    </w:p>
    <w:p w14:paraId="732E4A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конструктора по «БИ» (09.1942 г.)- И.Ф. Флоров.</w:t>
      </w:r>
    </w:p>
    <w:p w14:paraId="51FEB3A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(03.1941 г.-&gt; Л.А. Кац.</w:t>
      </w:r>
    </w:p>
    <w:p w14:paraId="333F0A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цехов: сборочного (-10.1940 г.)- И.А. Иванов (11982).</w:t>
      </w:r>
    </w:p>
    <w:p w14:paraId="1479FBE5" w14:textId="77777777" w:rsidR="004A7685" w:rsidRPr="00070ADE" w:rsidRDefault="004A7685"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C139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года в целях сосредоточения основных конструкторских сил в одном месте и создания мощной опытной базы по бомбардировочным и стрелковым установкам авиационного вооружения постановлением ГКО за № 5971 и приказом МАП за № 484с от 3 августа 1944 года на базе ОКБ-43 и ОКБ-32 было решено организовать на заводе № 43 объединенное КБ по бомбардировочным и стрелковым установкам авиационного вооружения.</w:t>
      </w:r>
    </w:p>
    <w:p w14:paraId="5DBCAF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конструктором ОКБ-43 и завода № 43 по сериному производству был назначен Торопов И.И.</w:t>
      </w:r>
    </w:p>
    <w:p w14:paraId="2A9AF9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Динамика выпуска оборонной продукции по важнейшим видам изделий в период ВОВ 1941-1945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7"/>
        <w:gridCol w:w="1145"/>
        <w:gridCol w:w="1134"/>
        <w:gridCol w:w="1134"/>
        <w:gridCol w:w="1134"/>
        <w:gridCol w:w="1134"/>
        <w:gridCol w:w="1275"/>
      </w:tblGrid>
      <w:tr w:rsidR="004D4663" w:rsidRPr="00070ADE" w14:paraId="654C876D" w14:textId="77777777">
        <w:tc>
          <w:tcPr>
            <w:tcW w:w="1657" w:type="dxa"/>
          </w:tcPr>
          <w:p w14:paraId="165104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 изделий</w:t>
            </w:r>
          </w:p>
        </w:tc>
        <w:tc>
          <w:tcPr>
            <w:tcW w:w="1145" w:type="dxa"/>
          </w:tcPr>
          <w:p w14:paraId="3D378B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Единица измерений</w:t>
            </w:r>
          </w:p>
        </w:tc>
        <w:tc>
          <w:tcPr>
            <w:tcW w:w="1134" w:type="dxa"/>
          </w:tcPr>
          <w:p w14:paraId="16F3B56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1942 год</w:t>
            </w:r>
          </w:p>
        </w:tc>
        <w:tc>
          <w:tcPr>
            <w:tcW w:w="1134" w:type="dxa"/>
          </w:tcPr>
          <w:p w14:paraId="1E828F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1943 год</w:t>
            </w:r>
          </w:p>
        </w:tc>
        <w:tc>
          <w:tcPr>
            <w:tcW w:w="1134" w:type="dxa"/>
          </w:tcPr>
          <w:p w14:paraId="11C32B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1944 год</w:t>
            </w:r>
          </w:p>
        </w:tc>
        <w:tc>
          <w:tcPr>
            <w:tcW w:w="1134" w:type="dxa"/>
          </w:tcPr>
          <w:p w14:paraId="0771F8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За1945 год</w:t>
            </w:r>
          </w:p>
        </w:tc>
        <w:tc>
          <w:tcPr>
            <w:tcW w:w="1275" w:type="dxa"/>
          </w:tcPr>
          <w:p w14:paraId="3A4432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tc>
      </w:tr>
      <w:tr w:rsidR="004D4663" w:rsidRPr="00070ADE" w14:paraId="37A1A7DB" w14:textId="77777777">
        <w:tc>
          <w:tcPr>
            <w:tcW w:w="1657" w:type="dxa"/>
          </w:tcPr>
          <w:p w14:paraId="43F44D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Пистолет-пулемет Шпагина</w:t>
            </w:r>
          </w:p>
        </w:tc>
        <w:tc>
          <w:tcPr>
            <w:tcW w:w="1145" w:type="dxa"/>
          </w:tcPr>
          <w:p w14:paraId="0E4FAB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1134" w:type="dxa"/>
          </w:tcPr>
          <w:p w14:paraId="216E98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63741</w:t>
            </w:r>
          </w:p>
        </w:tc>
        <w:tc>
          <w:tcPr>
            <w:tcW w:w="1134" w:type="dxa"/>
          </w:tcPr>
          <w:p w14:paraId="2AEDC3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99232</w:t>
            </w:r>
          </w:p>
        </w:tc>
        <w:tc>
          <w:tcPr>
            <w:tcW w:w="1134" w:type="dxa"/>
          </w:tcPr>
          <w:p w14:paraId="7E719B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128643</w:t>
            </w:r>
          </w:p>
        </w:tc>
        <w:tc>
          <w:tcPr>
            <w:tcW w:w="1134" w:type="dxa"/>
          </w:tcPr>
          <w:p w14:paraId="675CF3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44035</w:t>
            </w:r>
          </w:p>
        </w:tc>
        <w:tc>
          <w:tcPr>
            <w:tcW w:w="1275" w:type="dxa"/>
          </w:tcPr>
          <w:p w14:paraId="740324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335651</w:t>
            </w:r>
          </w:p>
        </w:tc>
      </w:tr>
      <w:tr w:rsidR="004D4663" w:rsidRPr="00070ADE" w14:paraId="752AEF13" w14:textId="77777777">
        <w:tc>
          <w:tcPr>
            <w:tcW w:w="1657" w:type="dxa"/>
          </w:tcPr>
          <w:p w14:paraId="4FB155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Крыльевой лафет </w:t>
            </w:r>
            <w:r w:rsidRPr="00070ADE">
              <w:rPr>
                <w:rFonts w:ascii="Times New Roman" w:hAnsi="Times New Roman"/>
                <w:color w:val="000000" w:themeColor="text1"/>
                <w:sz w:val="16"/>
                <w:szCs w:val="16"/>
              </w:rPr>
              <w:lastRenderedPageBreak/>
              <w:t>ИЛ-2</w:t>
            </w:r>
          </w:p>
        </w:tc>
        <w:tc>
          <w:tcPr>
            <w:tcW w:w="1145" w:type="dxa"/>
          </w:tcPr>
          <w:p w14:paraId="611E5A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Комплект</w:t>
            </w:r>
          </w:p>
        </w:tc>
        <w:tc>
          <w:tcPr>
            <w:tcW w:w="1134" w:type="dxa"/>
          </w:tcPr>
          <w:p w14:paraId="648E12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3856</w:t>
            </w:r>
          </w:p>
        </w:tc>
        <w:tc>
          <w:tcPr>
            <w:tcW w:w="1134" w:type="dxa"/>
          </w:tcPr>
          <w:p w14:paraId="397098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3888</w:t>
            </w:r>
          </w:p>
        </w:tc>
        <w:tc>
          <w:tcPr>
            <w:tcW w:w="1134" w:type="dxa"/>
          </w:tcPr>
          <w:p w14:paraId="2F916C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34" w:type="dxa"/>
          </w:tcPr>
          <w:p w14:paraId="78EBAA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75" w:type="dxa"/>
          </w:tcPr>
          <w:p w14:paraId="040955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7744</w:t>
            </w:r>
          </w:p>
        </w:tc>
      </w:tr>
      <w:tr w:rsidR="004D4663" w:rsidRPr="00070ADE" w14:paraId="7FADD001" w14:textId="77777777">
        <w:tc>
          <w:tcPr>
            <w:tcW w:w="1657" w:type="dxa"/>
          </w:tcPr>
          <w:p w14:paraId="0B22AD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Крыльевой лафет БС-ЯК-7</w:t>
            </w:r>
          </w:p>
        </w:tc>
        <w:tc>
          <w:tcPr>
            <w:tcW w:w="1145" w:type="dxa"/>
          </w:tcPr>
          <w:p w14:paraId="4C6DB6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Комплект</w:t>
            </w:r>
          </w:p>
        </w:tc>
        <w:tc>
          <w:tcPr>
            <w:tcW w:w="1134" w:type="dxa"/>
          </w:tcPr>
          <w:p w14:paraId="28094C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230</w:t>
            </w:r>
          </w:p>
        </w:tc>
        <w:tc>
          <w:tcPr>
            <w:tcW w:w="1134" w:type="dxa"/>
          </w:tcPr>
          <w:p w14:paraId="07D344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1029</w:t>
            </w:r>
          </w:p>
        </w:tc>
        <w:tc>
          <w:tcPr>
            <w:tcW w:w="1134" w:type="dxa"/>
          </w:tcPr>
          <w:p w14:paraId="4EF358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190</w:t>
            </w:r>
          </w:p>
        </w:tc>
        <w:tc>
          <w:tcPr>
            <w:tcW w:w="1134" w:type="dxa"/>
          </w:tcPr>
          <w:p w14:paraId="68969B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75" w:type="dxa"/>
          </w:tcPr>
          <w:p w14:paraId="74C68A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1449</w:t>
            </w:r>
          </w:p>
        </w:tc>
      </w:tr>
      <w:tr w:rsidR="004D4663" w:rsidRPr="00070ADE" w14:paraId="40DAD8F6" w14:textId="77777777">
        <w:tc>
          <w:tcPr>
            <w:tcW w:w="1657" w:type="dxa"/>
          </w:tcPr>
          <w:p w14:paraId="4A11A3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Носовая установка ИЛ-4</w:t>
            </w:r>
          </w:p>
        </w:tc>
        <w:tc>
          <w:tcPr>
            <w:tcW w:w="1145" w:type="dxa"/>
          </w:tcPr>
          <w:p w14:paraId="21B00B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1134" w:type="dxa"/>
          </w:tcPr>
          <w:p w14:paraId="79C119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222</w:t>
            </w:r>
          </w:p>
        </w:tc>
        <w:tc>
          <w:tcPr>
            <w:tcW w:w="1134" w:type="dxa"/>
          </w:tcPr>
          <w:p w14:paraId="0007AA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686</w:t>
            </w:r>
          </w:p>
        </w:tc>
        <w:tc>
          <w:tcPr>
            <w:tcW w:w="1134" w:type="dxa"/>
          </w:tcPr>
          <w:p w14:paraId="4111F5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1134" w:type="dxa"/>
          </w:tcPr>
          <w:p w14:paraId="68F6BE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75" w:type="dxa"/>
          </w:tcPr>
          <w:p w14:paraId="5CFBBE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928</w:t>
            </w:r>
          </w:p>
        </w:tc>
      </w:tr>
      <w:tr w:rsidR="004D4663" w:rsidRPr="00070ADE" w14:paraId="7176883F" w14:textId="77777777">
        <w:tc>
          <w:tcPr>
            <w:tcW w:w="1657" w:type="dxa"/>
          </w:tcPr>
          <w:p w14:paraId="26C222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Балка РО-82</w:t>
            </w:r>
          </w:p>
        </w:tc>
        <w:tc>
          <w:tcPr>
            <w:tcW w:w="1145" w:type="dxa"/>
          </w:tcPr>
          <w:p w14:paraId="00A5AC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1134" w:type="dxa"/>
          </w:tcPr>
          <w:p w14:paraId="6ED4C5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26990</w:t>
            </w:r>
          </w:p>
        </w:tc>
        <w:tc>
          <w:tcPr>
            <w:tcW w:w="1134" w:type="dxa"/>
          </w:tcPr>
          <w:p w14:paraId="73AA0C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w:t>
            </w:r>
          </w:p>
        </w:tc>
        <w:tc>
          <w:tcPr>
            <w:tcW w:w="1134" w:type="dxa"/>
          </w:tcPr>
          <w:p w14:paraId="5DA8D5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34" w:type="dxa"/>
          </w:tcPr>
          <w:p w14:paraId="310BC7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75" w:type="dxa"/>
          </w:tcPr>
          <w:p w14:paraId="2BF1AC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27094</w:t>
            </w:r>
          </w:p>
        </w:tc>
      </w:tr>
      <w:tr w:rsidR="004D4663" w:rsidRPr="00070ADE" w14:paraId="7D673B46" w14:textId="77777777">
        <w:tc>
          <w:tcPr>
            <w:tcW w:w="1657" w:type="dxa"/>
          </w:tcPr>
          <w:p w14:paraId="6B55DA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Сбрасыватель ЭСБР-3п</w:t>
            </w:r>
          </w:p>
        </w:tc>
        <w:tc>
          <w:tcPr>
            <w:tcW w:w="1145" w:type="dxa"/>
          </w:tcPr>
          <w:p w14:paraId="57BDF5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1134" w:type="dxa"/>
          </w:tcPr>
          <w:p w14:paraId="2D8B52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9093</w:t>
            </w:r>
          </w:p>
        </w:tc>
        <w:tc>
          <w:tcPr>
            <w:tcW w:w="1134" w:type="dxa"/>
          </w:tcPr>
          <w:p w14:paraId="54E025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8596</w:t>
            </w:r>
          </w:p>
        </w:tc>
        <w:tc>
          <w:tcPr>
            <w:tcW w:w="1134" w:type="dxa"/>
          </w:tcPr>
          <w:p w14:paraId="361E3D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34" w:type="dxa"/>
          </w:tcPr>
          <w:p w14:paraId="412DAC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75" w:type="dxa"/>
          </w:tcPr>
          <w:p w14:paraId="103286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17689</w:t>
            </w:r>
          </w:p>
        </w:tc>
      </w:tr>
      <w:tr w:rsidR="004D4663" w:rsidRPr="00070ADE" w14:paraId="6B92B199" w14:textId="77777777">
        <w:tc>
          <w:tcPr>
            <w:tcW w:w="1657" w:type="dxa"/>
          </w:tcPr>
          <w:p w14:paraId="7C59E4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Граната ГС-1</w:t>
            </w:r>
          </w:p>
        </w:tc>
        <w:tc>
          <w:tcPr>
            <w:tcW w:w="1145" w:type="dxa"/>
          </w:tcPr>
          <w:p w14:paraId="1FB2A1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1134" w:type="dxa"/>
          </w:tcPr>
          <w:p w14:paraId="22F5A1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52140</w:t>
            </w:r>
          </w:p>
        </w:tc>
        <w:tc>
          <w:tcPr>
            <w:tcW w:w="1134" w:type="dxa"/>
          </w:tcPr>
          <w:p w14:paraId="4434BF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34" w:type="dxa"/>
          </w:tcPr>
          <w:p w14:paraId="36B097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34" w:type="dxa"/>
          </w:tcPr>
          <w:p w14:paraId="2FAD7E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75" w:type="dxa"/>
          </w:tcPr>
          <w:p w14:paraId="2DCB4E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52140</w:t>
            </w:r>
          </w:p>
        </w:tc>
      </w:tr>
      <w:tr w:rsidR="004D4663" w:rsidRPr="00070ADE" w14:paraId="563AB155" w14:textId="77777777">
        <w:tc>
          <w:tcPr>
            <w:tcW w:w="1657" w:type="dxa"/>
          </w:tcPr>
          <w:p w14:paraId="75B424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ВАП-6м</w:t>
            </w:r>
          </w:p>
        </w:tc>
        <w:tc>
          <w:tcPr>
            <w:tcW w:w="1145" w:type="dxa"/>
          </w:tcPr>
          <w:p w14:paraId="1AD62A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1134" w:type="dxa"/>
          </w:tcPr>
          <w:p w14:paraId="25193A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3800</w:t>
            </w:r>
          </w:p>
        </w:tc>
        <w:tc>
          <w:tcPr>
            <w:tcW w:w="1134" w:type="dxa"/>
          </w:tcPr>
          <w:p w14:paraId="53F475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1134" w:type="dxa"/>
          </w:tcPr>
          <w:p w14:paraId="645225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34" w:type="dxa"/>
          </w:tcPr>
          <w:p w14:paraId="3E7DB1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75" w:type="dxa"/>
          </w:tcPr>
          <w:p w14:paraId="770001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4000</w:t>
            </w:r>
          </w:p>
        </w:tc>
      </w:tr>
      <w:tr w:rsidR="004D4663" w:rsidRPr="00070ADE" w14:paraId="2A5FCFCF" w14:textId="77777777">
        <w:tc>
          <w:tcPr>
            <w:tcW w:w="1657" w:type="dxa"/>
          </w:tcPr>
          <w:p w14:paraId="24B1DF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ДАГ-10</w:t>
            </w:r>
          </w:p>
        </w:tc>
        <w:tc>
          <w:tcPr>
            <w:tcW w:w="1145" w:type="dxa"/>
          </w:tcPr>
          <w:p w14:paraId="56D8E2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1134" w:type="dxa"/>
          </w:tcPr>
          <w:p w14:paraId="598006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1582</w:t>
            </w:r>
          </w:p>
        </w:tc>
        <w:tc>
          <w:tcPr>
            <w:tcW w:w="1134" w:type="dxa"/>
          </w:tcPr>
          <w:p w14:paraId="1F84E2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4522</w:t>
            </w:r>
          </w:p>
        </w:tc>
        <w:tc>
          <w:tcPr>
            <w:tcW w:w="1134" w:type="dxa"/>
          </w:tcPr>
          <w:p w14:paraId="47FF23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6677</w:t>
            </w:r>
          </w:p>
        </w:tc>
        <w:tc>
          <w:tcPr>
            <w:tcW w:w="1134" w:type="dxa"/>
          </w:tcPr>
          <w:p w14:paraId="21F843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1700</w:t>
            </w:r>
          </w:p>
        </w:tc>
        <w:tc>
          <w:tcPr>
            <w:tcW w:w="1275" w:type="dxa"/>
          </w:tcPr>
          <w:p w14:paraId="4C45BC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14481</w:t>
            </w:r>
          </w:p>
        </w:tc>
      </w:tr>
      <w:tr w:rsidR="004D4663" w:rsidRPr="00070ADE" w14:paraId="54AB5218" w14:textId="77777777">
        <w:tc>
          <w:tcPr>
            <w:tcW w:w="1657" w:type="dxa"/>
          </w:tcPr>
          <w:p w14:paraId="38B3F6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Замки Дер-21 с п/п</w:t>
            </w:r>
          </w:p>
        </w:tc>
        <w:tc>
          <w:tcPr>
            <w:tcW w:w="1145" w:type="dxa"/>
          </w:tcPr>
          <w:p w14:paraId="6B030A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Комплект</w:t>
            </w:r>
          </w:p>
        </w:tc>
        <w:tc>
          <w:tcPr>
            <w:tcW w:w="1134" w:type="dxa"/>
          </w:tcPr>
          <w:p w14:paraId="6EC5E0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2854</w:t>
            </w:r>
          </w:p>
        </w:tc>
        <w:tc>
          <w:tcPr>
            <w:tcW w:w="1134" w:type="dxa"/>
          </w:tcPr>
          <w:p w14:paraId="38541B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3125</w:t>
            </w:r>
          </w:p>
        </w:tc>
        <w:tc>
          <w:tcPr>
            <w:tcW w:w="1134" w:type="dxa"/>
          </w:tcPr>
          <w:p w14:paraId="0DA657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34" w:type="dxa"/>
          </w:tcPr>
          <w:p w14:paraId="41651C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75" w:type="dxa"/>
          </w:tcPr>
          <w:p w14:paraId="5F016C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5979</w:t>
            </w:r>
          </w:p>
        </w:tc>
      </w:tr>
      <w:tr w:rsidR="004D4663" w:rsidRPr="00070ADE" w14:paraId="26180EC3" w14:textId="77777777">
        <w:tc>
          <w:tcPr>
            <w:tcW w:w="1657" w:type="dxa"/>
          </w:tcPr>
          <w:p w14:paraId="4B7951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Замки Д-3-42</w:t>
            </w:r>
          </w:p>
        </w:tc>
        <w:tc>
          <w:tcPr>
            <w:tcW w:w="1145" w:type="dxa"/>
          </w:tcPr>
          <w:p w14:paraId="083427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Комплект</w:t>
            </w:r>
          </w:p>
        </w:tc>
        <w:tc>
          <w:tcPr>
            <w:tcW w:w="1134" w:type="dxa"/>
          </w:tcPr>
          <w:p w14:paraId="53E2A9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1352</w:t>
            </w:r>
          </w:p>
        </w:tc>
        <w:tc>
          <w:tcPr>
            <w:tcW w:w="1134" w:type="dxa"/>
          </w:tcPr>
          <w:p w14:paraId="39973A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3945</w:t>
            </w:r>
          </w:p>
        </w:tc>
        <w:tc>
          <w:tcPr>
            <w:tcW w:w="1134" w:type="dxa"/>
          </w:tcPr>
          <w:p w14:paraId="79B629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34" w:type="dxa"/>
          </w:tcPr>
          <w:p w14:paraId="5C50B1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75" w:type="dxa"/>
          </w:tcPr>
          <w:p w14:paraId="1EB1CD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5297</w:t>
            </w:r>
          </w:p>
        </w:tc>
      </w:tr>
      <w:tr w:rsidR="004D4663" w:rsidRPr="00070ADE" w14:paraId="186B248A" w14:textId="77777777">
        <w:tc>
          <w:tcPr>
            <w:tcW w:w="1657" w:type="dxa"/>
          </w:tcPr>
          <w:p w14:paraId="03FB0E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Замки Дер-20</w:t>
            </w:r>
          </w:p>
        </w:tc>
        <w:tc>
          <w:tcPr>
            <w:tcW w:w="1145" w:type="dxa"/>
          </w:tcPr>
          <w:p w14:paraId="515ADA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1134" w:type="dxa"/>
          </w:tcPr>
          <w:p w14:paraId="258386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34" w:type="dxa"/>
          </w:tcPr>
          <w:p w14:paraId="41C00F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296</w:t>
            </w:r>
          </w:p>
        </w:tc>
        <w:tc>
          <w:tcPr>
            <w:tcW w:w="1134" w:type="dxa"/>
          </w:tcPr>
          <w:p w14:paraId="0014B6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tc>
        <w:tc>
          <w:tcPr>
            <w:tcW w:w="1134" w:type="dxa"/>
          </w:tcPr>
          <w:p w14:paraId="359BE1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1275" w:type="dxa"/>
          </w:tcPr>
          <w:p w14:paraId="381BAA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366</w:t>
            </w:r>
          </w:p>
        </w:tc>
      </w:tr>
      <w:tr w:rsidR="004D4663" w:rsidRPr="00070ADE" w14:paraId="5EAE1C0C" w14:textId="77777777">
        <w:tc>
          <w:tcPr>
            <w:tcW w:w="1657" w:type="dxa"/>
          </w:tcPr>
          <w:p w14:paraId="61658D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Замки Дер-19</w:t>
            </w:r>
          </w:p>
        </w:tc>
        <w:tc>
          <w:tcPr>
            <w:tcW w:w="1145" w:type="dxa"/>
          </w:tcPr>
          <w:p w14:paraId="100109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1134" w:type="dxa"/>
          </w:tcPr>
          <w:p w14:paraId="12D414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34" w:type="dxa"/>
          </w:tcPr>
          <w:p w14:paraId="6D33E9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410</w:t>
            </w:r>
          </w:p>
        </w:tc>
        <w:tc>
          <w:tcPr>
            <w:tcW w:w="1134" w:type="dxa"/>
          </w:tcPr>
          <w:p w14:paraId="7B8BAA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w:t>
            </w:r>
          </w:p>
        </w:tc>
        <w:tc>
          <w:tcPr>
            <w:tcW w:w="1134" w:type="dxa"/>
          </w:tcPr>
          <w:p w14:paraId="381D14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tc>
        <w:tc>
          <w:tcPr>
            <w:tcW w:w="1275" w:type="dxa"/>
          </w:tcPr>
          <w:p w14:paraId="4E9C56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547</w:t>
            </w:r>
          </w:p>
        </w:tc>
      </w:tr>
      <w:tr w:rsidR="004D4663" w:rsidRPr="00070ADE" w14:paraId="6C8349DF" w14:textId="77777777">
        <w:tc>
          <w:tcPr>
            <w:tcW w:w="1657" w:type="dxa"/>
          </w:tcPr>
          <w:p w14:paraId="5876EC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ВУБ-3</w:t>
            </w:r>
          </w:p>
        </w:tc>
        <w:tc>
          <w:tcPr>
            <w:tcW w:w="1145" w:type="dxa"/>
          </w:tcPr>
          <w:p w14:paraId="654D53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1134" w:type="dxa"/>
          </w:tcPr>
          <w:p w14:paraId="62875C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34" w:type="dxa"/>
          </w:tcPr>
          <w:p w14:paraId="7DE494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4383</w:t>
            </w:r>
          </w:p>
        </w:tc>
        <w:tc>
          <w:tcPr>
            <w:tcW w:w="1134" w:type="dxa"/>
          </w:tcPr>
          <w:p w14:paraId="452B85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8339</w:t>
            </w:r>
          </w:p>
        </w:tc>
        <w:tc>
          <w:tcPr>
            <w:tcW w:w="1134" w:type="dxa"/>
          </w:tcPr>
          <w:p w14:paraId="319A6F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3490</w:t>
            </w:r>
          </w:p>
        </w:tc>
        <w:tc>
          <w:tcPr>
            <w:tcW w:w="1275" w:type="dxa"/>
          </w:tcPr>
          <w:p w14:paraId="0CC494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16212</w:t>
            </w:r>
          </w:p>
        </w:tc>
      </w:tr>
      <w:tr w:rsidR="004D4663" w:rsidRPr="00070ADE" w14:paraId="6549793A" w14:textId="77777777">
        <w:tc>
          <w:tcPr>
            <w:tcW w:w="1657" w:type="dxa"/>
          </w:tcPr>
          <w:p w14:paraId="03B5E4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ВУБ-2</w:t>
            </w:r>
          </w:p>
        </w:tc>
        <w:tc>
          <w:tcPr>
            <w:tcW w:w="1145" w:type="dxa"/>
          </w:tcPr>
          <w:p w14:paraId="741573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1134" w:type="dxa"/>
          </w:tcPr>
          <w:p w14:paraId="760039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34" w:type="dxa"/>
          </w:tcPr>
          <w:p w14:paraId="01ABC9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34" w:type="dxa"/>
          </w:tcPr>
          <w:p w14:paraId="366135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367</w:t>
            </w:r>
          </w:p>
        </w:tc>
        <w:tc>
          <w:tcPr>
            <w:tcW w:w="1134" w:type="dxa"/>
          </w:tcPr>
          <w:p w14:paraId="4A4921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762</w:t>
            </w:r>
          </w:p>
        </w:tc>
        <w:tc>
          <w:tcPr>
            <w:tcW w:w="1275" w:type="dxa"/>
          </w:tcPr>
          <w:p w14:paraId="729BFD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1129</w:t>
            </w:r>
          </w:p>
        </w:tc>
      </w:tr>
      <w:tr w:rsidR="004D4663" w:rsidRPr="00070ADE" w14:paraId="26E82639" w14:textId="77777777">
        <w:tc>
          <w:tcPr>
            <w:tcW w:w="1657" w:type="dxa"/>
          </w:tcPr>
          <w:p w14:paraId="4EBC9B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Наружная подвеска ИЛ-4</w:t>
            </w:r>
          </w:p>
        </w:tc>
        <w:tc>
          <w:tcPr>
            <w:tcW w:w="1145" w:type="dxa"/>
          </w:tcPr>
          <w:p w14:paraId="34A5AF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Комплект</w:t>
            </w:r>
          </w:p>
        </w:tc>
        <w:tc>
          <w:tcPr>
            <w:tcW w:w="1134" w:type="dxa"/>
          </w:tcPr>
          <w:p w14:paraId="535337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34" w:type="dxa"/>
          </w:tcPr>
          <w:p w14:paraId="3A880D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580</w:t>
            </w:r>
          </w:p>
        </w:tc>
        <w:tc>
          <w:tcPr>
            <w:tcW w:w="1134" w:type="dxa"/>
          </w:tcPr>
          <w:p w14:paraId="108512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230</w:t>
            </w:r>
          </w:p>
        </w:tc>
        <w:tc>
          <w:tcPr>
            <w:tcW w:w="1134" w:type="dxa"/>
          </w:tcPr>
          <w:p w14:paraId="5C2BA9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c>
          <w:tcPr>
            <w:tcW w:w="1275" w:type="dxa"/>
          </w:tcPr>
          <w:p w14:paraId="120A0E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960</w:t>
            </w:r>
          </w:p>
        </w:tc>
      </w:tr>
      <w:tr w:rsidR="004D4663" w:rsidRPr="00070ADE" w14:paraId="488F2E03" w14:textId="77777777">
        <w:tc>
          <w:tcPr>
            <w:tcW w:w="1657" w:type="dxa"/>
          </w:tcPr>
          <w:p w14:paraId="330F23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Наружная подвеска ЛИ-2</w:t>
            </w:r>
          </w:p>
        </w:tc>
        <w:tc>
          <w:tcPr>
            <w:tcW w:w="1145" w:type="dxa"/>
          </w:tcPr>
          <w:p w14:paraId="66D4106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Комплект</w:t>
            </w:r>
          </w:p>
        </w:tc>
        <w:tc>
          <w:tcPr>
            <w:tcW w:w="1134" w:type="dxa"/>
          </w:tcPr>
          <w:p w14:paraId="7085DE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34" w:type="dxa"/>
          </w:tcPr>
          <w:p w14:paraId="5ABBEF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tc>
        <w:tc>
          <w:tcPr>
            <w:tcW w:w="1134" w:type="dxa"/>
          </w:tcPr>
          <w:p w14:paraId="76EAA5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525</w:t>
            </w:r>
          </w:p>
        </w:tc>
        <w:tc>
          <w:tcPr>
            <w:tcW w:w="1134" w:type="dxa"/>
          </w:tcPr>
          <w:p w14:paraId="22D04B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225</w:t>
            </w:r>
          </w:p>
        </w:tc>
        <w:tc>
          <w:tcPr>
            <w:tcW w:w="1275" w:type="dxa"/>
          </w:tcPr>
          <w:p w14:paraId="2BE699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1150</w:t>
            </w:r>
          </w:p>
        </w:tc>
      </w:tr>
      <w:tr w:rsidR="004D4663" w:rsidRPr="00070ADE" w14:paraId="5E2AF947" w14:textId="77777777">
        <w:tc>
          <w:tcPr>
            <w:tcW w:w="1657" w:type="dxa"/>
          </w:tcPr>
          <w:p w14:paraId="37E4FA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Торпедодержатель 2Т-18</w:t>
            </w:r>
          </w:p>
        </w:tc>
        <w:tc>
          <w:tcPr>
            <w:tcW w:w="1145" w:type="dxa"/>
          </w:tcPr>
          <w:p w14:paraId="667204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Комплект</w:t>
            </w:r>
          </w:p>
        </w:tc>
        <w:tc>
          <w:tcPr>
            <w:tcW w:w="1134" w:type="dxa"/>
          </w:tcPr>
          <w:p w14:paraId="3F1E0F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34" w:type="dxa"/>
          </w:tcPr>
          <w:p w14:paraId="7F4FC3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212</w:t>
            </w:r>
          </w:p>
        </w:tc>
        <w:tc>
          <w:tcPr>
            <w:tcW w:w="1134" w:type="dxa"/>
          </w:tcPr>
          <w:p w14:paraId="321CEA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w:t>
            </w:r>
          </w:p>
        </w:tc>
        <w:tc>
          <w:tcPr>
            <w:tcW w:w="1134" w:type="dxa"/>
          </w:tcPr>
          <w:p w14:paraId="1A59B3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340</w:t>
            </w:r>
          </w:p>
        </w:tc>
        <w:tc>
          <w:tcPr>
            <w:tcW w:w="1275" w:type="dxa"/>
          </w:tcPr>
          <w:p w14:paraId="7E5000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822</w:t>
            </w:r>
          </w:p>
        </w:tc>
      </w:tr>
      <w:tr w:rsidR="004D4663" w:rsidRPr="00070ADE" w14:paraId="0B8D2678" w14:textId="77777777">
        <w:tc>
          <w:tcPr>
            <w:tcW w:w="1657" w:type="dxa"/>
          </w:tcPr>
          <w:p w14:paraId="31A9FE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Лафет ШВАК на ТУ-2</w:t>
            </w:r>
          </w:p>
        </w:tc>
        <w:tc>
          <w:tcPr>
            <w:tcW w:w="1145" w:type="dxa"/>
          </w:tcPr>
          <w:p w14:paraId="6199ED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Комплект</w:t>
            </w:r>
          </w:p>
        </w:tc>
        <w:tc>
          <w:tcPr>
            <w:tcW w:w="1134" w:type="dxa"/>
          </w:tcPr>
          <w:p w14:paraId="6945D6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34" w:type="dxa"/>
          </w:tcPr>
          <w:p w14:paraId="3745A9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w:t>
            </w:r>
          </w:p>
        </w:tc>
        <w:tc>
          <w:tcPr>
            <w:tcW w:w="1134" w:type="dxa"/>
          </w:tcPr>
          <w:p w14:paraId="06792E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429</w:t>
            </w:r>
          </w:p>
        </w:tc>
        <w:tc>
          <w:tcPr>
            <w:tcW w:w="1134" w:type="dxa"/>
          </w:tcPr>
          <w:p w14:paraId="71E65E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916</w:t>
            </w:r>
          </w:p>
        </w:tc>
        <w:tc>
          <w:tcPr>
            <w:tcW w:w="1275" w:type="dxa"/>
          </w:tcPr>
          <w:p w14:paraId="2DB172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1406</w:t>
            </w:r>
          </w:p>
        </w:tc>
      </w:tr>
      <w:tr w:rsidR="004D4663" w:rsidRPr="00070ADE" w14:paraId="3CF5A9B3" w14:textId="77777777">
        <w:tc>
          <w:tcPr>
            <w:tcW w:w="1657" w:type="dxa"/>
          </w:tcPr>
          <w:p w14:paraId="41098B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Блистерная установка на ТУ-2</w:t>
            </w:r>
          </w:p>
        </w:tc>
        <w:tc>
          <w:tcPr>
            <w:tcW w:w="1145" w:type="dxa"/>
          </w:tcPr>
          <w:p w14:paraId="264633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1134" w:type="dxa"/>
          </w:tcPr>
          <w:p w14:paraId="6E3B86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34" w:type="dxa"/>
          </w:tcPr>
          <w:p w14:paraId="7CA274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tc>
        <w:tc>
          <w:tcPr>
            <w:tcW w:w="1134" w:type="dxa"/>
          </w:tcPr>
          <w:p w14:paraId="7F6B64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453</w:t>
            </w:r>
          </w:p>
        </w:tc>
        <w:tc>
          <w:tcPr>
            <w:tcW w:w="1134" w:type="dxa"/>
          </w:tcPr>
          <w:p w14:paraId="55EE53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898</w:t>
            </w:r>
          </w:p>
        </w:tc>
        <w:tc>
          <w:tcPr>
            <w:tcW w:w="1275" w:type="dxa"/>
          </w:tcPr>
          <w:p w14:paraId="32FA07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1411</w:t>
            </w:r>
          </w:p>
        </w:tc>
      </w:tr>
      <w:tr w:rsidR="004D4663" w:rsidRPr="00070ADE" w14:paraId="669B9088" w14:textId="77777777">
        <w:tc>
          <w:tcPr>
            <w:tcW w:w="1657" w:type="dxa"/>
          </w:tcPr>
          <w:p w14:paraId="377C04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Аварийный сбрасыватель на ТУ-2</w:t>
            </w:r>
          </w:p>
        </w:tc>
        <w:tc>
          <w:tcPr>
            <w:tcW w:w="1145" w:type="dxa"/>
          </w:tcPr>
          <w:p w14:paraId="2BC0DA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1134" w:type="dxa"/>
          </w:tcPr>
          <w:p w14:paraId="208F05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34" w:type="dxa"/>
          </w:tcPr>
          <w:p w14:paraId="29E0A0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tc>
        <w:tc>
          <w:tcPr>
            <w:tcW w:w="1134" w:type="dxa"/>
          </w:tcPr>
          <w:p w14:paraId="2977C8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491</w:t>
            </w:r>
          </w:p>
        </w:tc>
        <w:tc>
          <w:tcPr>
            <w:tcW w:w="1134" w:type="dxa"/>
          </w:tcPr>
          <w:p w14:paraId="73547C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286</w:t>
            </w:r>
          </w:p>
        </w:tc>
        <w:tc>
          <w:tcPr>
            <w:tcW w:w="1275" w:type="dxa"/>
          </w:tcPr>
          <w:p w14:paraId="0B340B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837</w:t>
            </w:r>
          </w:p>
        </w:tc>
      </w:tr>
      <w:tr w:rsidR="004D4663" w:rsidRPr="00070ADE" w14:paraId="56F017F2" w14:textId="77777777">
        <w:tc>
          <w:tcPr>
            <w:tcW w:w="1657" w:type="dxa"/>
          </w:tcPr>
          <w:p w14:paraId="79049D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Кассета ПКД-2</w:t>
            </w:r>
          </w:p>
        </w:tc>
        <w:tc>
          <w:tcPr>
            <w:tcW w:w="1145" w:type="dxa"/>
          </w:tcPr>
          <w:p w14:paraId="411382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1134" w:type="dxa"/>
          </w:tcPr>
          <w:p w14:paraId="247E14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34" w:type="dxa"/>
          </w:tcPr>
          <w:p w14:paraId="13D48C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1134" w:type="dxa"/>
          </w:tcPr>
          <w:p w14:paraId="5C217F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461</w:t>
            </w:r>
          </w:p>
        </w:tc>
        <w:tc>
          <w:tcPr>
            <w:tcW w:w="1134" w:type="dxa"/>
          </w:tcPr>
          <w:p w14:paraId="0C366E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880</w:t>
            </w:r>
          </w:p>
        </w:tc>
        <w:tc>
          <w:tcPr>
            <w:tcW w:w="1275" w:type="dxa"/>
          </w:tcPr>
          <w:p w14:paraId="1F4C8D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1342</w:t>
            </w:r>
          </w:p>
        </w:tc>
      </w:tr>
      <w:tr w:rsidR="004D4663" w:rsidRPr="00070ADE" w14:paraId="49556928" w14:textId="77777777">
        <w:tc>
          <w:tcPr>
            <w:tcW w:w="1657" w:type="dxa"/>
          </w:tcPr>
          <w:p w14:paraId="53D394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Пиропистолет</w:t>
            </w:r>
          </w:p>
        </w:tc>
        <w:tc>
          <w:tcPr>
            <w:tcW w:w="1145" w:type="dxa"/>
          </w:tcPr>
          <w:p w14:paraId="76F3E5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Штук</w:t>
            </w:r>
          </w:p>
        </w:tc>
        <w:tc>
          <w:tcPr>
            <w:tcW w:w="1134" w:type="dxa"/>
          </w:tcPr>
          <w:p w14:paraId="05C8E4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34" w:type="dxa"/>
          </w:tcPr>
          <w:p w14:paraId="07044A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34" w:type="dxa"/>
          </w:tcPr>
          <w:p w14:paraId="4AA9B1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2939</w:t>
            </w:r>
          </w:p>
        </w:tc>
        <w:tc>
          <w:tcPr>
            <w:tcW w:w="1134" w:type="dxa"/>
          </w:tcPr>
          <w:p w14:paraId="6B1198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1692</w:t>
            </w:r>
          </w:p>
        </w:tc>
        <w:tc>
          <w:tcPr>
            <w:tcW w:w="1275" w:type="dxa"/>
          </w:tcPr>
          <w:p w14:paraId="1D25AC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4631</w:t>
            </w:r>
          </w:p>
        </w:tc>
      </w:tr>
    </w:tbl>
    <w:p w14:paraId="6CAFF1E7" w14:textId="77777777" w:rsidR="00595BFB" w:rsidRPr="00070ADE" w:rsidRDefault="00595BFB" w:rsidP="00B56F90">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 завода в переходный период (май 1945 года – май 1946 года), когда завод в значительных размераз снизил выпуск военной продукции и перешел на производство и выпуск гражданской продукции и изделий широкого потребления.</w:t>
      </w:r>
    </w:p>
    <w:p w14:paraId="34E02AF9" w14:textId="77777777" w:rsidR="00595BFB" w:rsidRPr="00070ADE" w:rsidRDefault="00595BFB" w:rsidP="00B56F90">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 завода в период осовения и выпуска нового электрофицированного стрелково-пушечного вооружения и специзделий реактивной техники.</w:t>
      </w:r>
    </w:p>
    <w:p w14:paraId="16DD56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Начиная с мая 1946 года завод получил задание приступить к организации производства по освоению и выпуску электрофицированного дистанционного стрелково-пушечного вооружения СВ-20 на самолет ТУ-4.</w:t>
      </w:r>
    </w:p>
    <w:p w14:paraId="444357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Постановлением СМ от 14 ноября 1949 года за № 5185-1930сс и приказом МАП от 17 ноября 1949 года за № 914с ОКБ-43 гл. конструктора Торопова И.И. было переведено на новые площади реорганизованного завода № 134.</w:t>
      </w:r>
    </w:p>
    <w:p w14:paraId="667914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этим ОКБ-43 было реорганизовано в опытный завод по вооружению самолетов с присвоением ему № 134.</w:t>
      </w:r>
    </w:p>
    <w:p w14:paraId="4E1B9D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Москва, Д-40, ул. Правды, д. 8</w:t>
      </w:r>
    </w:p>
    <w:p w14:paraId="1474F6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Производственный профиль – специзделия ракетной техники и стрелково-пушечное вооружение с электроагрегатами (9828).</w:t>
      </w:r>
    </w:p>
    <w:p w14:paraId="661830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54FAE9"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30 мая 1944 г. ЦКБ-14 подали на заводские испыта</w:t>
      </w:r>
      <w:r w:rsidRPr="00C94B78">
        <w:rPr>
          <w:rFonts w:ascii="Times New Roman" w:hAnsi="Times New Roman"/>
          <w:color w:val="0070C0"/>
          <w:sz w:val="16"/>
          <w:szCs w:val="16"/>
        </w:rPr>
        <w:softHyphen/>
        <w:t>ния пушку ВЯ под патрон умень</w:t>
      </w:r>
      <w:r w:rsidRPr="00C94B78">
        <w:rPr>
          <w:rFonts w:ascii="Times New Roman" w:hAnsi="Times New Roman"/>
          <w:color w:val="0070C0"/>
          <w:sz w:val="16"/>
          <w:szCs w:val="16"/>
        </w:rPr>
        <w:softHyphen/>
        <w:t>шенной баллистики. Планировалось к 15 июня из</w:t>
      </w:r>
      <w:r w:rsidRPr="00C94B78">
        <w:rPr>
          <w:rFonts w:ascii="Times New Roman" w:hAnsi="Times New Roman"/>
          <w:color w:val="0070C0"/>
          <w:sz w:val="16"/>
          <w:szCs w:val="16"/>
        </w:rPr>
        <w:softHyphen/>
        <w:t>готовить два опытных экземпля</w:t>
      </w:r>
      <w:r w:rsidRPr="00C94B78">
        <w:rPr>
          <w:rFonts w:ascii="Times New Roman" w:hAnsi="Times New Roman"/>
          <w:color w:val="0070C0"/>
          <w:sz w:val="16"/>
          <w:szCs w:val="16"/>
        </w:rPr>
        <w:softHyphen/>
        <w:t>ра для предъявления на государст</w:t>
      </w:r>
      <w:r w:rsidRPr="00C94B78">
        <w:rPr>
          <w:rFonts w:ascii="Times New Roman" w:hAnsi="Times New Roman"/>
          <w:color w:val="0070C0"/>
          <w:sz w:val="16"/>
          <w:szCs w:val="16"/>
        </w:rPr>
        <w:softHyphen/>
        <w:t>венные испытания. Других сведений о пушке найти пока не удалось (24971).</w:t>
      </w:r>
    </w:p>
    <w:p w14:paraId="072ABC1A" w14:textId="77777777" w:rsidR="009476EA" w:rsidRPr="00C94B78" w:rsidRDefault="009476EA" w:rsidP="00B56F90">
      <w:pPr>
        <w:spacing w:after="0" w:line="240" w:lineRule="auto"/>
        <w:jc w:val="both"/>
        <w:rPr>
          <w:rFonts w:ascii="Times New Roman" w:hAnsi="Times New Roman"/>
          <w:color w:val="0070C0"/>
          <w:sz w:val="16"/>
          <w:szCs w:val="16"/>
        </w:rPr>
      </w:pPr>
    </w:p>
    <w:p w14:paraId="4917AE4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2C84EC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6817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г. были подготовлены СООБРАЖЕНИЯ НАЧАЛЬНИКА ГБТУ КА НАРОДНОМУ КОМИССАРУ ТАНКОВОЙ ПРОМЫШЛЕННОСТИ СССР В.А. МАЛЫШЕВУ ПО ВОПРОСУ БРОНИРОВАНИЯ ТАНКА Т-44</w:t>
      </w:r>
    </w:p>
    <w:p w14:paraId="6E6082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докладе военного совета БТи МВ КАт. Берия от 17.03.1944 г. о результатах полигонных испы</w:t>
      </w:r>
      <w:r w:rsidRPr="00070ADE">
        <w:rPr>
          <w:rFonts w:ascii="Times New Roman" w:hAnsi="Times New Roman"/>
          <w:color w:val="000000" w:themeColor="text1"/>
          <w:sz w:val="16"/>
          <w:szCs w:val="16"/>
        </w:rPr>
        <w:softHyphen/>
        <w:t>таний первого опытного образца танка Т-44 поставлен вопрос о необходимости увеличения толщи</w:t>
      </w:r>
      <w:r w:rsidRPr="00070ADE">
        <w:rPr>
          <w:rFonts w:ascii="Times New Roman" w:hAnsi="Times New Roman"/>
          <w:color w:val="000000" w:themeColor="text1"/>
          <w:sz w:val="16"/>
          <w:szCs w:val="16"/>
        </w:rPr>
        <w:softHyphen/>
        <w:t>ны нового листа корпуса танка Т-44 до 90 мм.</w:t>
      </w:r>
    </w:p>
    <w:p w14:paraId="0768A2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своем ответе маршалу бронетанковых войск т. Федоренко на письмо т. Берия вы сообщаете, что Наркомтанкопромом принято решение об изготовлении опытных образцов танков Т-44 с уче</w:t>
      </w:r>
      <w:r w:rsidRPr="00070ADE">
        <w:rPr>
          <w:rFonts w:ascii="Times New Roman" w:hAnsi="Times New Roman"/>
          <w:color w:val="000000" w:themeColor="text1"/>
          <w:sz w:val="16"/>
          <w:szCs w:val="16"/>
        </w:rPr>
        <w:softHyphen/>
        <w:t>том устранения выявленных при испытаниях дефектов.</w:t>
      </w:r>
    </w:p>
    <w:p w14:paraId="542392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толщина носового листа корпуса сохранена прежней, т.е. 75 мм.</w:t>
      </w:r>
    </w:p>
    <w:p w14:paraId="73A73C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апреля 1944 года военный совет БТ и МВ КА вторично поставил вопрос перед т. Берия о не</w:t>
      </w:r>
      <w:r w:rsidRPr="00070ADE">
        <w:rPr>
          <w:rFonts w:ascii="Times New Roman" w:hAnsi="Times New Roman"/>
          <w:color w:val="000000" w:themeColor="text1"/>
          <w:sz w:val="16"/>
          <w:szCs w:val="16"/>
        </w:rPr>
        <w:softHyphen/>
        <w:t>обходимости увеличения толщины верхнего лобового листа корпуса до 90 мм.</w:t>
      </w:r>
    </w:p>
    <w:p w14:paraId="71BED4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Невыполнение этого требования, резко снижает преимущества танка Т-44 перед танком Т-34 (тем более модернизированным).</w:t>
      </w:r>
    </w:p>
    <w:p w14:paraId="40EAA1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как опытный образец танка Т-44, предназначенный для полигонных испытаний и корпус, подлежащий обстрелу уже готовы, прошу Вашего указания директору завода №183 о срочной обра</w:t>
      </w:r>
      <w:r w:rsidRPr="00070ADE">
        <w:rPr>
          <w:rFonts w:ascii="Times New Roman" w:hAnsi="Times New Roman"/>
          <w:color w:val="000000" w:themeColor="text1"/>
          <w:sz w:val="16"/>
          <w:szCs w:val="16"/>
        </w:rPr>
        <w:softHyphen/>
        <w:t>ботке чертежей танка Т-44 с толщиной верхнего лобового листа корпуса 90 мм.</w:t>
      </w:r>
    </w:p>
    <w:p w14:paraId="0447EF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вашем решении прошу поставить меня в известность.</w:t>
      </w:r>
    </w:p>
    <w:p w14:paraId="56BC53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ГБТУ КА генерал-лейтенант танковых войск Вершинин</w:t>
      </w:r>
    </w:p>
    <w:p w14:paraId="11E5BA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Начальник ТУ ГБТУ КА генерал-майор инженерно-танковой службы Афонин </w:t>
      </w:r>
    </w:p>
    <w:p w14:paraId="352EB5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33. Оп. 11355. Д. 2210. Л. 50. Подлинник (11420).</w:t>
      </w:r>
    </w:p>
    <w:p w14:paraId="5BF4F22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FA53B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вышло Распоряжение ГКО № 5969 [О призыве в Одесской обл. 1 тыс. женщин для работы в полевых прачечных отрядах 3 УФ.] (7236, 157).</w:t>
      </w:r>
    </w:p>
    <w:p w14:paraId="4469E73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D75BF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вышло Постановление ГКО № 5970 О дополнительном учреждении переходящих Красных знамен Государственного Комитета Обороны для предприятий Наркомцветмета, Наркомхимпрома, Наркомморфлота, Наркомавиапрома, Наркомпищепрома СССР и Наркомлеса СССР. (7236, 158-159).</w:t>
      </w:r>
    </w:p>
    <w:p w14:paraId="39EF83F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A6A3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в Белоруссии при катастрофе самолета погиб парашютист В.И.Харахонов (438,904).</w:t>
      </w:r>
    </w:p>
    <w:p w14:paraId="77D1A6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DF8F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и 31 мая 1944 Поднят флаг ВМФ СССР на 11-м МБК (построен за 6 мес. 20 дней), а 13-й предъявлен к государственным сдаточным испытаниям, начатым 31 мая; заложены на стапельных местах 18 и 19-й МБК, спущен на воду 14-й. Балтийцы в это же время провели государственные испытания и передали флоту 3-й и 4-й ТИТ (построены за 10 мес.), закончили ремонт ПЛ П-3 и С-4 (10671).</w:t>
      </w:r>
    </w:p>
    <w:p w14:paraId="5B8CC0C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475412B"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30 мая 1944 в Скапа-Флоу состоялась церемония передачи СССР английского линкора «Ройял Соверен». В 11 часов 15 минут на его мачте взвился советский военно-морской флаг. С этого момента корабль стал называться «Архангельск».</w:t>
      </w:r>
    </w:p>
    <w:p w14:paraId="31520143"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29 мая 1915 года в Портсмуте, линейный корабль «Ройял Соверен» был спущен на воду.</w:t>
      </w:r>
    </w:p>
    <w:p w14:paraId="32073DBC"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17 августа 1944 года «Архангельск» с конвоем JW-59 вышел из Скапа-Флоу в Ваенгу (ныне Североморск).</w:t>
      </w:r>
    </w:p>
    <w:p w14:paraId="5AD81955"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До конца войны линкор ни разу не покинул Кольского залива для выполнения боевых задач. Даже для огневого обеспечения наступления советских войск в середине октября 1944 г. и срыва эвакуации немецких войск из Финнмарка, хотя одно его появление в Варангер-фьорде сорвало бы все планы немцев. Видимо, адмирал Головко боялся ответственности в случае потери корабля. Единственный раз главный калибр «Архангельска» выстрелил холостым залпом в День Победы.</w:t>
      </w:r>
    </w:p>
    <w:p w14:paraId="2F50A906"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15 января 1949 года «Архангельск» покинул Ваенгу и 4 февраля прибыл на военно-морскую базу Росайт. По возвращении корабля техники Королевского Флота провели тщательную инспекцию систем корабля и обнаружили, что большая часть оборудования непригодна для дальнейшего несения службы.</w:t>
      </w:r>
    </w:p>
    <w:p w14:paraId="4471082C"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Башни главного калибра, которые не проворачивались весь период службы в ВМФ СССР были заклинены в срединном положении. Последний поход «Ройял Соверен» совершил 18 мая в шотландский Инверкитинг где и был разобран (25419).</w:t>
      </w:r>
    </w:p>
    <w:p w14:paraId="3F535447" w14:textId="77777777" w:rsidR="009476EA" w:rsidRPr="00C94B78" w:rsidRDefault="009476EA" w:rsidP="00B56F90">
      <w:pPr>
        <w:spacing w:after="0" w:line="240" w:lineRule="auto"/>
        <w:jc w:val="both"/>
        <w:rPr>
          <w:rFonts w:ascii="Times New Roman" w:hAnsi="Times New Roman"/>
          <w:color w:val="0070C0"/>
          <w:sz w:val="16"/>
          <w:szCs w:val="16"/>
        </w:rPr>
      </w:pPr>
    </w:p>
    <w:p w14:paraId="41CC56C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729EA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24AABA" w14:textId="77777777" w:rsidR="004A7685" w:rsidRPr="00070ADE" w:rsidRDefault="004A76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30 мая</w:t>
      </w:r>
      <w:r w:rsidRPr="00070ADE">
        <w:rPr>
          <w:rFonts w:ascii="Times New Roman" w:hAnsi="Times New Roman"/>
          <w:color w:val="000000" w:themeColor="text1"/>
          <w:sz w:val="16"/>
          <w:szCs w:val="16"/>
        </w:rPr>
        <w:t xml:space="preserve"> в 1944 году оперативная сводка Совинформбюро:</w:t>
      </w:r>
    </w:p>
    <w:p w14:paraId="5FB69E79" w14:textId="77777777" w:rsidR="004A7685" w:rsidRPr="00070ADE" w:rsidRDefault="004A76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30 мая в районе севернее Яссы наши войска отбивали атаки крупных сил пехоты и танков противника. Ценою больших потерь в живой силе и технике противнику удалось незначительно вклиниться в нашу оборону. По предварительным данным, за день боя наши войска уничтожили и подбили 50 немецких танков и сбили 36 самолётов.</w:t>
      </w:r>
    </w:p>
    <w:p w14:paraId="7BEA805D" w14:textId="77777777" w:rsidR="004A7685" w:rsidRPr="00070ADE" w:rsidRDefault="004A76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остальных участках фронта — без перемен.</w:t>
      </w:r>
    </w:p>
    <w:p w14:paraId="6E4B6C04" w14:textId="77777777" w:rsidR="004A7685" w:rsidRPr="00070ADE" w:rsidRDefault="004A76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29 мая в воздушных боях и огнём зенитной артиллерии сбито 16 самолётов противника.</w:t>
      </w:r>
    </w:p>
    <w:p w14:paraId="5E7BB596" w14:textId="77777777" w:rsidR="004A7685" w:rsidRPr="00070ADE" w:rsidRDefault="004A76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города Яссы противник после сильной артиллерийской подготовки атаковал наши позиции. На узком участке немцы ввели в бой крупные силы танков ипехоты, рассчитывая одним ударом сломить сопротивление советских войск. Немцам благодаря большому численному превосходству удалось незначительно вклиниться в нашу оборону. Завязались ожесточённые бои, в ходе которых противник несёт большие потери в живой силе и технике.</w:t>
      </w:r>
    </w:p>
    <w:p w14:paraId="4AF21721" w14:textId="77777777" w:rsidR="004A7685" w:rsidRPr="00070ADE" w:rsidRDefault="004A76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Тирасполь противник пытался вести разведку боем. Выждав, когда гитлеровцы вышли на открытую местность, бойцы Н-ской части открыли миномётный и пулемётный огонь. Оставив на подступах к нашим позициям 60 убитых своих солдат и офицеров, немцы отступили. Снайперы Н-ского подразделения за последние пять дней уничтожили 48 немецких солдат и офицеров.</w:t>
      </w:r>
    </w:p>
    <w:p w14:paraId="446E2C72" w14:textId="77777777" w:rsidR="004A7685" w:rsidRPr="00070ADE" w:rsidRDefault="004A76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Витебск полк немецкой пехоты, усиленный танками, рано утром атаковал наши подразделения. Советские бойцы встретили противника сосредоточенным огнём и вынудили его отступить. Дальнейшие атаки немцев успеха не имели. Наши подразделения за день уничтожили до 400 немецких солдат и офицеров, подбили 3 танка и одно самоходное орудие. Советские лётчики в воздушных боях сбили 4 самолёта противника.</w:t>
      </w:r>
    </w:p>
    <w:p w14:paraId="51ABFAFD" w14:textId="77777777" w:rsidR="004A7685" w:rsidRPr="00070ADE" w:rsidRDefault="004A76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Краснознамённого Балтийского флота 29 мая нанесла бомбово-штурмовой удар по кораблям противника в Нарвском заливе. Прямыми попаданиями бомб потоплены три немецких тральщика, быстроходная десантная баржа и сторожевой катер.</w:t>
      </w:r>
    </w:p>
    <w:p w14:paraId="4DC89320" w14:textId="77777777" w:rsidR="004A7685" w:rsidRPr="00070ADE" w:rsidRDefault="004A76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воздушных боях советские лётчики-истребители сбили 19 немецких самолётов. Два наших самолёта не вернулись на свои аэродромы.</w:t>
      </w:r>
    </w:p>
    <w:p w14:paraId="22C11CF3" w14:textId="77777777" w:rsidR="004A7685" w:rsidRPr="00070ADE" w:rsidRDefault="004A76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30 мая корабли Балтийского флота атаковали в Нарвском заливе три тральщика противника. В результате атаки потоплены два тральщика. Третьему немецкому тральщику нанесены серьёзные повреждения.</w:t>
      </w:r>
    </w:p>
    <w:p w14:paraId="65806673" w14:textId="77777777" w:rsidR="004A7685" w:rsidRPr="00070ADE" w:rsidRDefault="004A76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литовских партизанских отрядов за две недели пустили под откос 7 воинских эшелонов противника. Разбито 6 паровозов, 70 вагонов и платформ. Движение поездов на важном участке железной дороги было прервано в общей сложности на шесть суток. Литовский партизанский отряд «Пирмин» разгромил немецкий гарнизон в одном населённом пункте и захватил большие трофеи.</w:t>
      </w:r>
    </w:p>
    <w:p w14:paraId="09E73142" w14:textId="77777777" w:rsidR="004A7685" w:rsidRPr="00070ADE" w:rsidRDefault="004A76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сторону Красной Армии переходят группы румынских солдат из состава разных дивизий. Перебежчики рассказывают о росте дезертирства в румынской армии. Капрал 1 румынского кавалерийского полка Нестор Т. сообщил: «Очень многие румыны не хотят больше воевать за Германию. Об этом говорят довольно открыто. За две недели из эскадрона, в котором я служил, дезертировало 30 солдат. Многие дезертиры ушли в горы и леса».</w:t>
      </w:r>
    </w:p>
    <w:p w14:paraId="05595E89" w14:textId="77777777" w:rsidR="004A7685" w:rsidRPr="00070ADE" w:rsidRDefault="004A76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солдат 6 полка 14 румынской пехотной дивизии Василе Д. рассказал: «В лесу близ деревни П. скрывается много солдат, бежавших из различных частей. Они организовали партизанский отряд для борьбы с немцами».</w:t>
      </w:r>
    </w:p>
    <w:p w14:paraId="508C7207" w14:textId="77777777" w:rsidR="004A7685" w:rsidRPr="00070ADE" w:rsidRDefault="004A76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Пленные солдаты 27 полка 6 румынской пехотной дивизии рассказали: «Немцы задержали 12 солдат нашего полка, пытавшихся перебежать к русским. По приказу командира дивизии Георгиу всех пойманных солдат расстреляли. Расстреливал солдат немецкий лейтенант».</w:t>
      </w:r>
    </w:p>
    <w:p w14:paraId="36FF6297" w14:textId="77777777" w:rsidR="004A7685" w:rsidRPr="00070ADE" w:rsidRDefault="004A768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Солдат 13 полка 14 румынской пехотной дивизии Григор С. сообщил: «За последнее время из нашего полка дезертировало более 200 солдат. На днях командир полка перед строем заявил, что приняты меры к розыску и поимке беглецов. Нам объявили приказ, в котором говорится, что солдат не имеет права без разрешения своего командира сделать ни одного шага в сторону русских. Всякий, кто самовольно удалится от своих позиций, будет рассматриваться как перебежчик» (14907).</w:t>
      </w:r>
    </w:p>
    <w:p w14:paraId="7E7611D8" w14:textId="77777777" w:rsidR="004A7685" w:rsidRPr="00070ADE" w:rsidRDefault="004A7685" w:rsidP="00B56F90">
      <w:pPr>
        <w:spacing w:after="0" w:line="240" w:lineRule="auto"/>
        <w:jc w:val="both"/>
        <w:rPr>
          <w:rFonts w:ascii="Times New Roman" w:hAnsi="Times New Roman"/>
          <w:color w:val="000000" w:themeColor="text1"/>
          <w:sz w:val="16"/>
          <w:szCs w:val="16"/>
        </w:rPr>
      </w:pPr>
    </w:p>
    <w:p w14:paraId="12978741" w14:textId="77777777" w:rsidR="00827943" w:rsidRPr="00070ADE" w:rsidRDefault="0082794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30-го мая 1944 45-я АДДД перелетела с подмосковного аэродрома Кратово, на котором ее авиаполки постоянно бази</w:t>
      </w:r>
      <w:r w:rsidRPr="00070ADE">
        <w:rPr>
          <w:rFonts w:ascii="Times New Roman" w:hAnsi="Times New Roman"/>
          <w:color w:val="000000" w:themeColor="text1"/>
          <w:sz w:val="16"/>
          <w:szCs w:val="16"/>
        </w:rPr>
        <w:softHyphen/>
        <w:t>ровались с апреля 1942-го года, на аэ</w:t>
      </w:r>
      <w:r w:rsidRPr="00070ADE">
        <w:rPr>
          <w:rFonts w:ascii="Times New Roman" w:hAnsi="Times New Roman"/>
          <w:color w:val="000000" w:themeColor="text1"/>
          <w:sz w:val="16"/>
          <w:szCs w:val="16"/>
        </w:rPr>
        <w:softHyphen/>
        <w:t>родром Олсуфьево (в Брянской области) поближе к ушедшему на запад фронту (19559).</w:t>
      </w:r>
    </w:p>
    <w:p w14:paraId="5A2C7EC9" w14:textId="77777777" w:rsidR="00827943" w:rsidRPr="00070ADE" w:rsidRDefault="00827943" w:rsidP="00B56F90">
      <w:pPr>
        <w:spacing w:after="0" w:line="240" w:lineRule="auto"/>
        <w:jc w:val="both"/>
        <w:rPr>
          <w:rFonts w:ascii="Times New Roman" w:hAnsi="Times New Roman"/>
          <w:color w:val="000000" w:themeColor="text1"/>
          <w:sz w:val="16"/>
          <w:szCs w:val="16"/>
        </w:rPr>
      </w:pPr>
    </w:p>
    <w:p w14:paraId="7808CB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немцы перешел в контрнаступление си</w:t>
      </w:r>
      <w:r w:rsidRPr="00070ADE">
        <w:rPr>
          <w:rFonts w:ascii="Times New Roman" w:hAnsi="Times New Roman"/>
          <w:color w:val="000000" w:themeColor="text1"/>
          <w:sz w:val="16"/>
          <w:szCs w:val="16"/>
        </w:rPr>
        <w:softHyphen/>
        <w:t>лами 10 дивизий, при этом его авиация работала уже втрое интенсивнее нашей. Тогда командова</w:t>
      </w:r>
      <w:r w:rsidRPr="00070ADE">
        <w:rPr>
          <w:rFonts w:ascii="Times New Roman" w:hAnsi="Times New Roman"/>
          <w:color w:val="000000" w:themeColor="text1"/>
          <w:sz w:val="16"/>
          <w:szCs w:val="16"/>
        </w:rPr>
        <w:softHyphen/>
        <w:t>ние 5-й ВА изменило тактику, начав применять эшелонированные построения, а вместо непо</w:t>
      </w:r>
      <w:r w:rsidRPr="00070ADE">
        <w:rPr>
          <w:rFonts w:ascii="Times New Roman" w:hAnsi="Times New Roman"/>
          <w:color w:val="000000" w:themeColor="text1"/>
          <w:sz w:val="16"/>
          <w:szCs w:val="16"/>
        </w:rPr>
        <w:softHyphen/>
        <w:t>средственного прикрытия штурмовиков — «рас</w:t>
      </w:r>
      <w:r w:rsidRPr="00070ADE">
        <w:rPr>
          <w:rFonts w:ascii="Times New Roman" w:hAnsi="Times New Roman"/>
          <w:color w:val="000000" w:themeColor="text1"/>
          <w:sz w:val="16"/>
          <w:szCs w:val="16"/>
        </w:rPr>
        <w:softHyphen/>
        <w:t>чистку воздуха» за 3-5 минут до их прибытия. Осо</w:t>
      </w:r>
      <w:r w:rsidRPr="00070ADE">
        <w:rPr>
          <w:rFonts w:ascii="Times New Roman" w:hAnsi="Times New Roman"/>
          <w:color w:val="000000" w:themeColor="text1"/>
          <w:sz w:val="16"/>
          <w:szCs w:val="16"/>
        </w:rPr>
        <w:softHyphen/>
        <w:t>бое внимание было уделено взаимодействию ударных и прикрывающих групп. Характерный воздушный поединок состоялся 1 июня. Восьмер</w:t>
      </w:r>
      <w:r w:rsidRPr="00070ADE">
        <w:rPr>
          <w:rFonts w:ascii="Times New Roman" w:hAnsi="Times New Roman"/>
          <w:color w:val="000000" w:themeColor="text1"/>
          <w:sz w:val="16"/>
          <w:szCs w:val="16"/>
        </w:rPr>
        <w:softHyphen/>
        <w:t>ка Ла-5 из 240-го ИАП, которую вел Кирилл Ев</w:t>
      </w:r>
      <w:r w:rsidRPr="00070ADE">
        <w:rPr>
          <w:rFonts w:ascii="Times New Roman" w:hAnsi="Times New Roman"/>
          <w:color w:val="000000" w:themeColor="text1"/>
          <w:sz w:val="16"/>
          <w:szCs w:val="16"/>
        </w:rPr>
        <w:softHyphen/>
        <w:t>стигнеев, заметила большую группу Ю87. Опыт</w:t>
      </w:r>
      <w:r w:rsidRPr="00070ADE">
        <w:rPr>
          <w:rFonts w:ascii="Times New Roman" w:hAnsi="Times New Roman"/>
          <w:color w:val="000000" w:themeColor="text1"/>
          <w:sz w:val="16"/>
          <w:szCs w:val="16"/>
        </w:rPr>
        <w:softHyphen/>
        <w:t>ный ведущий понял, что если прикрытия с ними нет, то оно где-то рядом, и появившиеся «мессе</w:t>
      </w:r>
      <w:r w:rsidRPr="00070ADE">
        <w:rPr>
          <w:rFonts w:ascii="Times New Roman" w:hAnsi="Times New Roman"/>
          <w:color w:val="000000" w:themeColor="text1"/>
          <w:sz w:val="16"/>
          <w:szCs w:val="16"/>
        </w:rPr>
        <w:softHyphen/>
        <w:t>ры» внезапности не достигли. Уклонившись от ата</w:t>
      </w:r>
      <w:r w:rsidRPr="00070ADE">
        <w:rPr>
          <w:rFonts w:ascii="Times New Roman" w:hAnsi="Times New Roman"/>
          <w:color w:val="000000" w:themeColor="text1"/>
          <w:sz w:val="16"/>
          <w:szCs w:val="16"/>
        </w:rPr>
        <w:softHyphen/>
        <w:t>ки, «Лавочкины» сбили один пикировщик, осталь</w:t>
      </w:r>
      <w:r w:rsidRPr="00070ADE">
        <w:rPr>
          <w:rFonts w:ascii="Times New Roman" w:hAnsi="Times New Roman"/>
          <w:color w:val="000000" w:themeColor="text1"/>
          <w:sz w:val="16"/>
          <w:szCs w:val="16"/>
        </w:rPr>
        <w:softHyphen/>
        <w:t>ные сбросили бомбы и, построившись оборони</w:t>
      </w:r>
      <w:r w:rsidRPr="00070ADE">
        <w:rPr>
          <w:rFonts w:ascii="Times New Roman" w:hAnsi="Times New Roman"/>
          <w:color w:val="000000" w:themeColor="text1"/>
          <w:sz w:val="16"/>
          <w:szCs w:val="16"/>
        </w:rPr>
        <w:softHyphen/>
        <w:t>тельной «змейкой», развернулись домой. Теперь настало время разобраться с истребителями. Противник оказался неслабый — ВТ 1090-1 О/АЗ из ИДЮ 52, но в скоротечном бою 3 вражеских са</w:t>
      </w:r>
      <w:r w:rsidRPr="00070ADE">
        <w:rPr>
          <w:rFonts w:ascii="Times New Roman" w:hAnsi="Times New Roman"/>
          <w:color w:val="000000" w:themeColor="text1"/>
          <w:sz w:val="16"/>
          <w:szCs w:val="16"/>
        </w:rPr>
        <w:softHyphen/>
        <w:t>молета были сбиты, 240-й ИАП и сухопутные вой</w:t>
      </w:r>
      <w:r w:rsidRPr="00070ADE">
        <w:rPr>
          <w:rFonts w:ascii="Times New Roman" w:hAnsi="Times New Roman"/>
          <w:color w:val="000000" w:themeColor="text1"/>
          <w:sz w:val="16"/>
          <w:szCs w:val="16"/>
        </w:rPr>
        <w:softHyphen/>
        <w:t>ска потерь не понесли (11123).</w:t>
      </w:r>
    </w:p>
    <w:p w14:paraId="046EDA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ADE76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немецкие танки вклинились в оборону советских войск севернее г. Яссы (4962).</w:t>
      </w:r>
    </w:p>
    <w:p w14:paraId="499407A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F58C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May 30th, 1944: German forces of Heeresgruppe Sudukraine begin a counter-attack near Jassy on the lower Dnestr river (3819).</w:t>
      </w:r>
    </w:p>
    <w:p w14:paraId="3D282C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9369C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Группа Южная Украина начала контрнаступление под Яссами в нижнем течении Днестра (3819).</w:t>
      </w:r>
    </w:p>
    <w:p w14:paraId="4F2DCA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BF15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вышло Постановление ГКО № 5968 Об освобождении от должности начальника штаба АДД Шевелева М.И. РГАНИР, Фонд ГКО, д. 257, лл. 156 (11012).</w:t>
      </w:r>
    </w:p>
    <w:p w14:paraId="7F9C36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6E05CE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085895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7321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вышло Постановление ГКО № 5971 О мероприятиях по жилищному хозяйству г. Москвы. РГАНИР, Фонд ГКО, д. 257, лл. 160-163,164-170 (11012).</w:t>
      </w:r>
    </w:p>
    <w:p w14:paraId="60E898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620CB1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431CAF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89C5DB" w14:textId="77777777" w:rsidR="00276C61" w:rsidRPr="00070ADE" w:rsidRDefault="00276C6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первый полет Pilatus SB-2 (20373).</w:t>
      </w:r>
    </w:p>
    <w:p w14:paraId="0D78380E" w14:textId="77777777" w:rsidR="00276C61" w:rsidRPr="00070ADE" w:rsidRDefault="00276C61" w:rsidP="00B56F90">
      <w:pPr>
        <w:spacing w:after="0" w:line="240" w:lineRule="auto"/>
        <w:jc w:val="both"/>
        <w:rPr>
          <w:rFonts w:ascii="Times New Roman" w:hAnsi="Times New Roman"/>
          <w:color w:val="000000" w:themeColor="text1"/>
          <w:sz w:val="16"/>
          <w:szCs w:val="16"/>
        </w:rPr>
      </w:pPr>
    </w:p>
    <w:p w14:paraId="580B2E3A" w14:textId="4489B4EC" w:rsidR="00276C61" w:rsidRPr="00070ADE" w:rsidRDefault="00276C6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Первый полет Pilatus SB-2. В Швейцарской высшей технической школе Цюриха создали конструкторское бюро во главе с инженером Хансом Белартом. Задачей бюро стала разработка лёгкого самолёта, адаптированного под рельеф местности Швейцарии. В силу того, что конструкторы часто призывались на военные сборы (время всё же было неспокойное), работа над новой машиной шла медленно и постоянно приостанавливалась. В итоге в 1943 году было решено за 180 000 швейцарских франков продать проект Pilatus Aircraft, где он получил обозначение Pilatus SB-2 Pelican.</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Гористая местность накладывала ограничения на размеры взлётно-посадочных полос, поэтому самолёт устойчиво летал на низких скоростях и мог взлетать/садиться на короткие ВПП. Pelican планировали использовать в качестве транспортно-пассажирского самолёта, а также в сельском хозяйстве.</w:t>
      </w:r>
    </w:p>
    <w:p w14:paraId="3FF9494D" w14:textId="77777777" w:rsidR="00276C61" w:rsidRPr="00070ADE" w:rsidRDefault="00276C6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оснащался двигателем Pratt &amp; Whitney R-985 Wasp Junior TB, мощности которого хватало, чтобы развить скорость в 230 км/ч. Минимальная скорость устойчивого полёта составляла 76 км/ч. Дальность полёта — 805 километров или 4 часа.</w:t>
      </w:r>
    </w:p>
    <w:p w14:paraId="597DEDD5" w14:textId="77777777" w:rsidR="00276C61" w:rsidRPr="00070ADE" w:rsidRDefault="00276C6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Через 4 года после своего первого полёта - 13 июня 1948 года - SB-2 потерпел аварию. Во время взлёта на авиашоу в Кирхберге около Берна стойка носового колеса сломалась и самолёт перевернулся через нос. Восстанавливать Pelican не стали и тихо списали. Серийного производства запущено не было (22485).</w:t>
      </w:r>
    </w:p>
    <w:p w14:paraId="4F19DC92" w14:textId="77777777" w:rsidR="00276C61" w:rsidRPr="00070ADE" w:rsidRDefault="00276C61" w:rsidP="00B56F90">
      <w:pPr>
        <w:spacing w:after="0" w:line="240" w:lineRule="auto"/>
        <w:jc w:val="both"/>
        <w:rPr>
          <w:rFonts w:ascii="Times New Roman" w:hAnsi="Times New Roman"/>
          <w:color w:val="000000" w:themeColor="text1"/>
          <w:sz w:val="16"/>
          <w:szCs w:val="16"/>
        </w:rPr>
      </w:pPr>
    </w:p>
    <w:p w14:paraId="3E88F318"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30 мая</w:t>
      </w:r>
      <w:r w:rsidRPr="00070ADE">
        <w:rPr>
          <w:rFonts w:ascii="Times New Roman" w:hAnsi="Times New Roman"/>
          <w:color w:val="000000" w:themeColor="text1"/>
          <w:sz w:val="16"/>
          <w:szCs w:val="16"/>
        </w:rPr>
        <w:t xml:space="preserve"> в 1944 году в испытательном центре Пенемюнде проведен первый успешный испытательно-боевой пуск комплекса "Мистел-1" (Mistel) - связка состоящая из пилотируемого истребителя "Bf-109F-4" установленного "верхом" на "Ju-88A-4", начиненного взрывчаткой и фактически являющимся летающей бомбой. Систему пилотировал испытатель фирмы "Юнкерс" З.Хольцбаур. Система предназначалась для поражения наземных объектов в глубоком тылу противника (14907).</w:t>
      </w:r>
    </w:p>
    <w:p w14:paraId="26E2C540" w14:textId="77777777" w:rsidR="006E5527" w:rsidRPr="00070ADE" w:rsidRDefault="006E5527" w:rsidP="00B56F90">
      <w:pPr>
        <w:spacing w:after="0" w:line="240" w:lineRule="auto"/>
        <w:jc w:val="both"/>
        <w:rPr>
          <w:rFonts w:ascii="Times New Roman" w:hAnsi="Times New Roman"/>
          <w:color w:val="000000" w:themeColor="text1"/>
          <w:sz w:val="16"/>
          <w:szCs w:val="16"/>
        </w:rPr>
      </w:pPr>
    </w:p>
    <w:p w14:paraId="64B5E07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рейхсляйтер М. Борман завил, что отныне все сбитые летчики союзников должны линчеваться на месте их захвата (4962).</w:t>
      </w:r>
    </w:p>
    <w:p w14:paraId="3070581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F073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lastRenderedPageBreak/>
        <w:t>May 30 1944 Loading of Allied assault forces for Operation Overlord is begun (1037).</w:t>
      </w:r>
    </w:p>
    <w:p w14:paraId="037993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A0987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мая 1944 началась погрузка экспедиционных войск для высадки в Европе (1037).</w:t>
      </w:r>
    </w:p>
    <w:p w14:paraId="0AAB6F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D9E72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B8527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5571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мая 1944 в НИИ ВВС закончились летные испытания пулеметно-пушечного и бомбардировочного вооружения самолета Ил-2 с мотором АМ-38Ф (самолет N 304128 производства завода 30 марта 1944), которые проходили с 17 мая 1944. Отв. исполнители: ви и-м А.Ф.Толпышкин, вл ст.л. Г.А.Тиняков, вш к Т.Ф.Горбунов. Испытывали:</w:t>
      </w:r>
    </w:p>
    <w:p w14:paraId="4EF940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Характеристики задней ограниченно подвижной установки УБШ под УБТ-12.7 мм (завод 487 с 4 магазинами по 50 патронов) и целесообразность установки на Ил-2 взамен ВУБ-3</w:t>
      </w:r>
    </w:p>
    <w:p w14:paraId="4B2549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Удобство прицеливания и жесткость крепления прицела ПБП-1Б и возможность его съемки в случае вынужденной посадки</w:t>
      </w:r>
    </w:p>
    <w:p w14:paraId="707DD6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Надежность работы и удобство эксплуатации измененной проводки пневмоперезарядки пушек ВЯ-23 мм</w:t>
      </w:r>
    </w:p>
    <w:p w14:paraId="2697DD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Возможность контроля стрельбы из неподвижного оружия при помощи фотокинопулемета ПАУ-22 (качественность снимков) на земле и в воздухе, а также жесткость и удобство эксплуатации установки</w:t>
      </w:r>
    </w:p>
    <w:p w14:paraId="2B1B4E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Удобство пользования прицельными приспособлениями для бомбометания с прибором ВМШ-2, нанесенными согласно рекомендации НТЖ НИИ АВ и письма ГШ ВВС КА</w:t>
      </w:r>
    </w:p>
    <w:p w14:paraId="51ACD8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Целесообразность переноса усилителя СПУФ из хвостовой части фюзеляжа в броневую (1861).</w:t>
      </w:r>
    </w:p>
    <w:p w14:paraId="6F085D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Дней с летной погодой было 8 из 15 и провели 24 полета с общим налетом 13:25 (1861).</w:t>
      </w:r>
    </w:p>
    <w:p w14:paraId="2EFF2D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7274E6"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31 мая</w:t>
      </w:r>
      <w:r w:rsidRPr="00070ADE">
        <w:rPr>
          <w:rFonts w:ascii="Times New Roman" w:hAnsi="Times New Roman"/>
          <w:color w:val="000000" w:themeColor="text1"/>
          <w:sz w:val="16"/>
          <w:szCs w:val="16"/>
        </w:rPr>
        <w:t xml:space="preserve"> в 1944 году самолет </w:t>
      </w:r>
      <w:hyperlink r:id="rId148" w:tgtFrame="_blank" w:history="1">
        <w:r w:rsidRPr="00070ADE">
          <w:rPr>
            <w:rFonts w:ascii="Times New Roman" w:hAnsi="Times New Roman"/>
            <w:color w:val="000000" w:themeColor="text1"/>
            <w:sz w:val="16"/>
            <w:szCs w:val="16"/>
          </w:rPr>
          <w:t xml:space="preserve">«СДБ» </w:t>
        </w:r>
      </w:hyperlink>
      <w:r w:rsidRPr="00070ADE">
        <w:rPr>
          <w:rFonts w:ascii="Times New Roman" w:hAnsi="Times New Roman"/>
          <w:color w:val="000000" w:themeColor="text1"/>
          <w:sz w:val="16"/>
          <w:szCs w:val="16"/>
        </w:rPr>
        <w:t>был предъявлен на совместные испытания в ГК НИИ ВВС КА, и 1 июня его перегнали на Чкаловский аэродром. С 5 июня по 6 июля машина успешно прошла государственные испытания. В заключении Акта совместных государственных и заводских испытаний опытного скоростного дневного бомбардировщика («СДБ») с двумя моторами «АМ-39» (самолет "103") указано: "Самолет «СДБ» может быть рекомендован к принятию на вооружение ВВС Красной Армии при выполнении его в соответствии с макетом самолета "63", утвержденным 2-го апреля 1944 года главным инженером ВВС РККА и с устранением на нем дефектов, указанных в выводах настоящего Акта" (14908).</w:t>
      </w:r>
    </w:p>
    <w:p w14:paraId="57FB5A58" w14:textId="77777777" w:rsidR="006E5527" w:rsidRPr="00070ADE" w:rsidRDefault="006E5527" w:rsidP="00B56F90">
      <w:pPr>
        <w:spacing w:after="0" w:line="240" w:lineRule="auto"/>
        <w:jc w:val="both"/>
        <w:rPr>
          <w:rFonts w:ascii="Times New Roman" w:hAnsi="Times New Roman"/>
          <w:color w:val="000000" w:themeColor="text1"/>
          <w:sz w:val="16"/>
          <w:szCs w:val="16"/>
        </w:rPr>
      </w:pPr>
    </w:p>
    <w:p w14:paraId="60C5C4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мая 1944 года начальник НИИ ВВС генерал-лейтенант ИАС Лосюков и начальник 3 отдела НИИ ВВС инженер-полковник Сафронов писали письмо N 3/0823 гл. инженеру ВВС генерал-полковнику ИАС Репину А.К., Шахурину, УК ЦК ВКП(б) генерал-полковнику авиации Шиманову Н.С.</w:t>
      </w:r>
    </w:p>
    <w:p w14:paraId="1DFEF7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 что 27 мая 1944 года после изменения системы суфлирования, установки дополнительного уплотнения вала редуктора моторов ВК-107А и замены правого мотора, снятого вследствие прорыва газов через верхнее уплотнение блока, были возобновлены испытания самолета Пе-2И "Москито" с 2ВК-107А.</w:t>
      </w:r>
    </w:p>
    <w:p w14:paraId="596F55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мая 1944 года были произведены два полета общей продолжительностью 2 часа. первый полет на опробование работы винто-моторной группы после замены мотора; второй полет на определение температурных режимов ВМ группы.</w:t>
      </w:r>
    </w:p>
    <w:p w14:paraId="1F2B14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мая 1944 года, при выполнении полета для определения температурных режимов ВМ группы, на планировании с высоты 5200 м на задросселированных моторах (п=2700 об/мин.) замечена была тряска моторов.</w:t>
      </w:r>
    </w:p>
    <w:p w14:paraId="52CF76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осмотре правого мотора на земле в масляных фильтрах была обнаружена металлическая стружка, свидетельствующая о разрушении подшипников мотора.</w:t>
      </w:r>
    </w:p>
    <w:p w14:paraId="7BF997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Вследствие указанных выше причин испытания самолета Пе-2И с 2ВК-107А вновь приостановлены с 28 мая 1944 года (1821).</w:t>
      </w:r>
    </w:p>
    <w:p w14:paraId="313020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59C4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мая 1944 Зам. Нач. 7ГУ Алексеев подготовил сводку г-7 № 7131 о ходе испытаний высотных самолетов на 30 мая 1944 по Як-9 М-105ПД, Ла-5 АШ-82ФН и 2ТК-3, МиГ АМ-39А и 2ТК-2Б (1825).</w:t>
      </w:r>
    </w:p>
    <w:p w14:paraId="74C127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ИСТРЕБИТЕЛЬ Як-9 с М-105ПД</w:t>
      </w:r>
    </w:p>
    <w:p w14:paraId="310B36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находится не в летной состоянии, из-за отсутствия мотора.</w:t>
      </w:r>
    </w:p>
    <w:p w14:paraId="16475E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ИСТРЕБИТЕЛЬ Ла-5 с АШ-82ФН и 2ТК-3</w:t>
      </w:r>
    </w:p>
    <w:p w14:paraId="4B088D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Полетев не производилось из-за неблаго</w:t>
      </w:r>
      <w:r w:rsidRPr="00070ADE">
        <w:rPr>
          <w:rFonts w:ascii="Times New Roman" w:hAnsi="Times New Roman"/>
          <w:color w:val="000000" w:themeColor="text1"/>
          <w:sz w:val="16"/>
          <w:szCs w:val="16"/>
        </w:rPr>
        <w:softHyphen/>
        <w:t>приятных метеорологических условий для вы</w:t>
      </w:r>
      <w:r w:rsidRPr="00070ADE">
        <w:rPr>
          <w:rFonts w:ascii="Times New Roman" w:hAnsi="Times New Roman"/>
          <w:color w:val="000000" w:themeColor="text1"/>
          <w:sz w:val="16"/>
          <w:szCs w:val="16"/>
        </w:rPr>
        <w:softHyphen/>
        <w:t>сотных полетев.</w:t>
      </w:r>
    </w:p>
    <w:p w14:paraId="2225B8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ИСТРЕБИТЕЛЬ МИГ с АМ-39Б И 2ТК-2Б.</w:t>
      </w:r>
    </w:p>
    <w:p w14:paraId="1C1892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находится не в летном состоянии. Вышедшие из строя ТК находятся в ЦИАМе и ожидаются на заводе № 1555 утром 1 июня с.г. (1825).</w:t>
      </w:r>
    </w:p>
    <w:p w14:paraId="75BA5D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B3E8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мая 1944 нач. НИИАВ ВВС гмиас М.Гуревичем был утвержден акт по гос. воздушные испытания 3-х синхронных пушек УБС-20 калибра 20 мм (N 35, 51, 52) и установки их на эталонном самолете Ла-7. Летал Н.И.Новиков, а от ОКБ-21 были конструктор пушки М.Е.Березин и вед. инженер В.П.Горлышков. Не прошли из-за синхронизаторов</w:t>
      </w:r>
    </w:p>
    <w:p w14:paraId="55F9EE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 исполнитель ик В.М.Суязов</w:t>
      </w:r>
    </w:p>
    <w:p w14:paraId="703630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л-к мллт Н.И.Новиков</w:t>
      </w:r>
    </w:p>
    <w:p w14:paraId="69F8CF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конструктор пушки УБ-20 М.Е.Березин</w:t>
      </w:r>
    </w:p>
    <w:p w14:paraId="094C93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 исп. ОКБ-21 по с-ту Ла-7 В.П.Горлышков</w:t>
      </w:r>
    </w:p>
    <w:p w14:paraId="59C48E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полетов</w:t>
      </w:r>
    </w:p>
    <w:p w14:paraId="64919F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Аналогичные образцы пушек УБ-20 ранеее проходили гос. наземные испытания в НИИАВ в феврале (январе?) 1944</w:t>
      </w:r>
    </w:p>
    <w:p w14:paraId="419102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Заключение: </w:t>
      </w:r>
    </w:p>
    <w:p w14:paraId="731AF8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Испытания пушек УБС-20- №№ 35, 51, 52 прекратить, т.к. синхролнные установки на этом с-те вследжствие своей конструкционной недоработанности не обеспечивают надежной работы пушек Б-20</w:t>
      </w:r>
    </w:p>
    <w:p w14:paraId="6CC37D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Продолжение испытаний пушек УБС-20 провести на с-те Як-3 Москито</w:t>
      </w:r>
    </w:p>
    <w:p w14:paraId="22B6A5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Предложить ОКБ-21 НКАП срочно устранить недостатки синхронной установки под пушки УБС-20, после чего с-т Ла-7 подать на повторные госиспытания</w:t>
      </w:r>
    </w:p>
    <w:p w14:paraId="53F0A73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 НИИАВ ип Рыжаев, нач. 1 отд. НИИАВ ип/п Филиппов (759,3).</w:t>
      </w:r>
    </w:p>
    <w:p w14:paraId="524C72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E3B3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мая 1944 л-и А.Д.Перелет и ви Б.Н.Гроздов закончили заводские испытания СДБ А.Н.Т. (63/1), сделанного на основе 103 2АМ-37, которые шли с 21 мая 1944 (1835,56).</w:t>
      </w:r>
    </w:p>
    <w:p w14:paraId="0F7A02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C6A668"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31 мая</w:t>
      </w:r>
      <w:r w:rsidRPr="00070ADE">
        <w:rPr>
          <w:rFonts w:ascii="Times New Roman" w:hAnsi="Times New Roman"/>
          <w:color w:val="000000" w:themeColor="text1"/>
          <w:sz w:val="16"/>
          <w:szCs w:val="16"/>
        </w:rPr>
        <w:t xml:space="preserve"> в 1944 году самолет </w:t>
      </w:r>
      <w:hyperlink r:id="rId149" w:tgtFrame="_blank" w:history="1">
        <w:r w:rsidRPr="00070ADE">
          <w:rPr>
            <w:rFonts w:ascii="Times New Roman" w:hAnsi="Times New Roman"/>
            <w:color w:val="000000" w:themeColor="text1"/>
            <w:sz w:val="16"/>
            <w:szCs w:val="16"/>
          </w:rPr>
          <w:t xml:space="preserve">«СДБ» </w:t>
        </w:r>
      </w:hyperlink>
      <w:r w:rsidRPr="00070ADE">
        <w:rPr>
          <w:rFonts w:ascii="Times New Roman" w:hAnsi="Times New Roman"/>
          <w:color w:val="000000" w:themeColor="text1"/>
          <w:sz w:val="16"/>
          <w:szCs w:val="16"/>
        </w:rPr>
        <w:t>был предъявлен на совместные испытания в ГК НИИ ВВС КА, и 1 июня его перегнали на Чкаловский аэродром. С 5 июня по 6 июля машина успешно прошла государственные испытания. В заключении Акта совместных государственных и заводских испытаний опытного скоростного дневного бомбардировщика («СДБ») с двумя моторами «АМ-39» (самолет "103") указано: "Самолет «СДБ» может быть рекомендован к принятию на вооружение ВВС Красной Армии при выполнении его в соответствии с макетом самолета "63", утвержденным 2-го апреля 1944 года главным инженером ВВС РККА и с устранением на нем дефектов, указанных в выводах настоящего Акта" (14908).</w:t>
      </w:r>
    </w:p>
    <w:p w14:paraId="1DEAB6A8" w14:textId="77777777" w:rsidR="006E5527" w:rsidRPr="00070ADE" w:rsidRDefault="006E5527" w:rsidP="00B56F90">
      <w:pPr>
        <w:spacing w:after="0" w:line="240" w:lineRule="auto"/>
        <w:jc w:val="both"/>
        <w:rPr>
          <w:rFonts w:ascii="Times New Roman" w:hAnsi="Times New Roman"/>
          <w:color w:val="000000" w:themeColor="text1"/>
          <w:sz w:val="16"/>
          <w:szCs w:val="16"/>
        </w:rPr>
      </w:pPr>
    </w:p>
    <w:p w14:paraId="506DFA76" w14:textId="48C54865"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мая 1944 года, через 10 дней после того, как</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летчик- испытатель А.Д. Перелет выполнил первый полет, "СДБ" передали в НИИ ВВС.</w:t>
      </w:r>
    </w:p>
    <w:p w14:paraId="262E59E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лету 1944 г. на опытном заводе № 156из машины "103" был выполнен двухместный вариант СДБ. В декабре 1943 года командование ВВС предложило НКАП создать на базе машины "103" с двигателями АМ-37 скоростной дневной бомбардировщик СДБ (АНТ-63), но с моторами АМ-39.</w:t>
      </w:r>
    </w:p>
    <w:p w14:paraId="5B3B04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этом сохранилась компоновка предшественника. В угоду скорости его стрелковое вооружение ограничили лишь двумя неподвижными орудиями ШBAK в центроплане крыла с боезапасом по 150 патронов на ствол.</w:t>
      </w:r>
    </w:p>
    <w:p w14:paraId="0235D9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Государственные испытания (ведущий летчик М.А. Нюхтиков), начавшиеся 5 июня, заняли месяц. Хотя самолет и продемонстрировал высокую скорость (633 км/ч) и хорошую маневренность, испытания он не выдержал. Главные дефекты машины были связаны с плохой работой моторов и недостаточным запасом путевой устойчивости. Военные пожелали ввести в экипаж воздушного стрелка.</w:t>
      </w:r>
    </w:p>
    <w:p w14:paraId="66D9F6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Особенностями второго экземпляра машины "63" по сравнению с предшественником был не только экипаж, возросший до трех человек (дополнительно ввели стрелка в задней кабине), но и створки шасси закрывавшиеся как при убранном, так и выпущенном положении основных опор. Управление винтами было секторное, а моторы имели Скоростной дневной дополнительные контуры для охлаждения бомбардировщик ("СДБ") воздуха после нагнетателя перед поступле- на заводских испытаниях нием в двигатель.</w:t>
      </w:r>
    </w:p>
    <w:p w14:paraId="52E1EE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Вооружение помимо двух неподвижных пушек ШВАК с общим боезапасом 300 патронов для стрельбы вперед включало и два пулемета Березина для защиты задней полусферы. Нормальная бомбовая нагрузка - 1000 кг (при полной заправке топливом исходя из прочности колес) в грузовом отсеке, максимально допустимая - 4000 кг.</w:t>
      </w:r>
    </w:p>
    <w:p w14:paraId="408411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Первый полет на трехместном "СДБ" также выполнил А.Д. Перелет, и в декабре 1944 года машину передали на государственные испытания. 30 декабря 1944 года А. Кузнецов (должность в документе не указана) докладывал наркому А.И. Шахурину:</w:t>
      </w:r>
    </w:p>
    <w:p w14:paraId="25A42A8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СДБ с моторами АМ-39 является модификацией самолета "103" с АМ-37, построенного в 1941 г. Самолет испытан в НИИ ВВС в июле 1944 г.</w:t>
      </w:r>
    </w:p>
    <w:p w14:paraId="260007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установлено:</w:t>
      </w:r>
    </w:p>
    <w:p w14:paraId="6A2DD6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Путевая устойчивость недостаточна.</w:t>
      </w:r>
    </w:p>
    <w:p w14:paraId="7B9394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 скорости менее 350 км/ч по прибору самолет неустойчив:</w:t>
      </w:r>
    </w:p>
    <w:p w14:paraId="67A5B7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продольная устойчивость недостаточная, во время выдерживания заданной скорости набора высоты имеют место переменные нагрузки на штурвале от руля высоты.</w:t>
      </w:r>
    </w:p>
    <w:p w14:paraId="5B753F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изменение нагрузок на штурвале от руля высоты сопровождается значительным рысканием и появляются переменные нагрузки на педали.</w:t>
      </w:r>
    </w:p>
    <w:p w14:paraId="3C1276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Поперечная устойчивость относительно путевой избыточна. Самолет имеет тенденцию к раскачиванию с крыла на крыло.</w:t>
      </w:r>
    </w:p>
    <w:p w14:paraId="2B4CAA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4. Управление рулем поворота слишком легкое, что может привести к передаче (большему отклонению педали - прим. авт.) ноги на виражах и разворотах. </w:t>
      </w:r>
    </w:p>
    <w:p w14:paraId="373B06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Автоматы управления заслонками во- дорадиаторов при работе создают значительный аэродинамический момент &lt;...&gt; и усложняют технику пилотирования.</w:t>
      </w:r>
    </w:p>
    <w:p w14:paraId="6E7854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Пневматические тормоза не эффективны.</w:t>
      </w:r>
    </w:p>
    <w:p w14:paraId="193C58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Винто-моторная группа не доведенная и имеет те же дефекты, что и на самолете "ЮЗ" с АМ-37.</w:t>
      </w:r>
    </w:p>
    <w:p w14:paraId="3B1B02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Длительная (1,5 часа) и неудобная заправка бензином.</w:t>
      </w:r>
    </w:p>
    <w:p w14:paraId="162F91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Попадание в кабину летчика горячего воздуха.</w:t>
      </w:r>
    </w:p>
    <w:p w14:paraId="39FEFF0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Габариты кабины по высоте малы...</w:t>
      </w:r>
    </w:p>
    <w:p w14:paraId="068B858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Моторы АМ-39 на 2-й скорости нагнетателя работали неудовлетворительно...</w:t>
      </w:r>
    </w:p>
    <w:p w14:paraId="318DF3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Построен второй экземпляр СДБ, переданный в НИИ ВВС в октябре. Он имеет экипаж вместо двух - три человека. Новая носовая часть фюзеляжа с измененным обзором. Дополнительно установлены люковая и верхняя стрелковые установки. Объем бензина увеличен до 2400 л.</w:t>
      </w:r>
    </w:p>
    <w:p w14:paraId="2DB3A6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Изменена маслосхема, предусмотрено новое бронирование экипажа. Взлетный вес возрос на 650 кг.</w:t>
      </w:r>
    </w:p>
    <w:p w14:paraId="6016B4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"63" на 27 декабря 1944 г. сделано два полета. Во втором полете на высоте 8000 м (15 декабря) вышел из строя мотор".</w:t>
      </w:r>
    </w:p>
    <w:p w14:paraId="6223D2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Государственные испытания второго экземпляра "СДБ" завершились утверждением 28 июня 1945 года акта по их результатам. </w:t>
      </w:r>
    </w:p>
    <w:p w14:paraId="134A90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Основ'ными дефектами "СДБ" были: недостаточная прочность колес размером 1000x350 мм, малоэффективные и ненадежные пневматические тормоза, падение давления масла в двигателях на высотах 5000-7000 метров и отсутствие противо- пыльных фильтров на всасывающих патрубках моторов. Кроме этого, размещение рамки радиополукомпаса РПК-10 под металлической обшивкой самолета, снижало его чувствительность.</w:t>
      </w:r>
    </w:p>
    <w:p w14:paraId="2EA5DA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заключение же специалисты НИИ ВВС, в частности, отметили: "Самолет "63" &lt;...&gt; по своим летно-тактическим данным превосходит однотипные отечественные и иностранные самолеты, но недостаточность обзора штурмана вперед, что затрудняет для него ориентировки, отыскание цели и вывод самолета на цель при бомбометании, значительно снижает его качество как бомбардировщика.</w:t>
      </w:r>
    </w:p>
    <w:p w14:paraId="2BBEAEB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не может быть рекомендован на вооружение Красной Армии в качестве бомбардировщика".</w:t>
      </w:r>
    </w:p>
    <w:p w14:paraId="4D4070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Примерно в то же время в НИИ ВВС ис- пытывался другой скоростной бомбардировщик Пе-2М, представлявший собой второй экземпляр Пе-2И "Москито" с иным оборонительным вооружением. Государственные испытания Пе-2М с моторами жидкостного охлаждения М-107А, завершившиеся на два месяца позже "СДБ", показали, что максимальная скорость у земли при работе моторов на номинальном режиме на 21 км/ч больше, чем у "СДБ", но на второй границе высотности (5600 метров) она не превышала 630 км/ч, что на 10 км/ч было меньше чем у самолета "63". Правда, не надо забывать, что самолет Туполева имел более слабое оборонительное вооружение по сравнению с Пе-2М (три пушки Б-20 калибра 20 мм, одна из которых неподвижная для стрельбы вперед, другая - у штурмана и третья - люковая). При этом максимальная бомбовая нагрузка Пе-2М была вдвое ниже, чем у "СДБ".</w:t>
      </w:r>
    </w:p>
    <w:p w14:paraId="3C3255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Сделать же вывод, какой из этих самолетов предпочтительней, должны были, прежде всего, военные. Но этого не произошло, поскольку обе машины государственные испытания не выдержали (12035).</w:t>
      </w:r>
    </w:p>
    <w:p w14:paraId="71FE9BB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10DAF49"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31 мая 1944 г. начальник института гене</w:t>
      </w:r>
      <w:r w:rsidRPr="00C94B78">
        <w:rPr>
          <w:rFonts w:ascii="Times New Roman" w:hAnsi="Times New Roman"/>
          <w:color w:val="0070C0"/>
          <w:sz w:val="16"/>
          <w:szCs w:val="16"/>
        </w:rPr>
        <w:softHyphen/>
        <w:t>рал-лейтенант Лосюков утвердил Отчет по резуль</w:t>
      </w:r>
      <w:r w:rsidRPr="00C94B78">
        <w:rPr>
          <w:rFonts w:ascii="Times New Roman" w:hAnsi="Times New Roman"/>
          <w:color w:val="0070C0"/>
          <w:sz w:val="16"/>
          <w:szCs w:val="16"/>
        </w:rPr>
        <w:softHyphen/>
        <w:t>татам испытаний на отработку боевого применения и воз</w:t>
      </w:r>
      <w:r w:rsidRPr="00C94B78">
        <w:rPr>
          <w:rFonts w:ascii="Times New Roman" w:hAnsi="Times New Roman"/>
          <w:color w:val="0070C0"/>
          <w:sz w:val="16"/>
          <w:szCs w:val="16"/>
        </w:rPr>
        <w:softHyphen/>
        <w:t>душный бой с трофейным немецким истре</w:t>
      </w:r>
      <w:r w:rsidRPr="00C94B78">
        <w:rPr>
          <w:rFonts w:ascii="Times New Roman" w:hAnsi="Times New Roman"/>
          <w:color w:val="0070C0"/>
          <w:sz w:val="16"/>
          <w:szCs w:val="16"/>
        </w:rPr>
        <w:softHyphen/>
        <w:t>бителем Bf109G-2 был испытан Як-9Т зав. №01-21 с пушкой МП-45.</w:t>
      </w:r>
    </w:p>
    <w:p w14:paraId="550A44DB"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Всего по программе испытаний провели четыре воздушных боя с Bf109G-2 (трехточеч</w:t>
      </w:r>
      <w:r w:rsidRPr="00C94B78">
        <w:rPr>
          <w:rFonts w:ascii="Times New Roman" w:hAnsi="Times New Roman"/>
          <w:color w:val="0070C0"/>
          <w:sz w:val="16"/>
          <w:szCs w:val="16"/>
        </w:rPr>
        <w:softHyphen/>
        <w:t>ный), один воздушный бой с бомбардировщи</w:t>
      </w:r>
      <w:r w:rsidRPr="00C94B78">
        <w:rPr>
          <w:rFonts w:ascii="Times New Roman" w:hAnsi="Times New Roman"/>
          <w:color w:val="0070C0"/>
          <w:sz w:val="16"/>
          <w:szCs w:val="16"/>
        </w:rPr>
        <w:softHyphen/>
        <w:t>ком Пе-2 и четыре полета на отработку атаки по наземным целям.</w:t>
      </w:r>
    </w:p>
    <w:p w14:paraId="06006E63"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Установили, что «крупнокалиберный» Як-9Т может успешно вести воздушный бой с Bf109G-2 в горизонтальном и вертикаль</w:t>
      </w:r>
      <w:r w:rsidRPr="00C94B78">
        <w:rPr>
          <w:rFonts w:ascii="Times New Roman" w:hAnsi="Times New Roman"/>
          <w:color w:val="0070C0"/>
          <w:sz w:val="16"/>
          <w:szCs w:val="16"/>
        </w:rPr>
        <w:softHyphen/>
        <w:t>ном маневре на высотах до 3000 м. Выше этой высоты общее преимущество перехо</w:t>
      </w:r>
      <w:r w:rsidRPr="00C94B78">
        <w:rPr>
          <w:rFonts w:ascii="Times New Roman" w:hAnsi="Times New Roman"/>
          <w:color w:val="0070C0"/>
          <w:sz w:val="16"/>
          <w:szCs w:val="16"/>
        </w:rPr>
        <w:softHyphen/>
        <w:t>дит к немецкому самолету. Отмечалось лишь весьма небольшое превосходство «яка» в бо</w:t>
      </w:r>
      <w:r w:rsidRPr="00C94B78">
        <w:rPr>
          <w:rFonts w:ascii="Times New Roman" w:hAnsi="Times New Roman"/>
          <w:color w:val="0070C0"/>
          <w:sz w:val="16"/>
          <w:szCs w:val="16"/>
        </w:rPr>
        <w:softHyphen/>
        <w:t>евом развороте (на 50-75 м) на высотах 3000-4000 м и 4500-5500 м при включении 2-й скорости нагнетателя. Однако, как следу-</w:t>
      </w:r>
    </w:p>
    <w:p w14:paraId="599783DC"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ет из материалов отчета, мотор у институтско</w:t>
      </w:r>
      <w:r w:rsidRPr="00C94B78">
        <w:rPr>
          <w:rFonts w:ascii="Times New Roman" w:hAnsi="Times New Roman"/>
          <w:color w:val="0070C0"/>
          <w:sz w:val="16"/>
          <w:szCs w:val="16"/>
        </w:rPr>
        <w:softHyphen/>
        <w:t>го «мессершмитта» был порядком изношен и не выдавал положенной мощности.</w:t>
      </w:r>
    </w:p>
    <w:p w14:paraId="24AA7C18"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 результатам воздушного боя с Пе-2 рекомендовалось атаковать бомбардиров</w:t>
      </w:r>
      <w:r w:rsidRPr="00C94B78">
        <w:rPr>
          <w:rFonts w:ascii="Times New Roman" w:hAnsi="Times New Roman"/>
          <w:color w:val="0070C0"/>
          <w:sz w:val="16"/>
          <w:szCs w:val="16"/>
        </w:rPr>
        <w:softHyphen/>
        <w:t>щики сзади под ракурсом 0/4. Учитывая, что дальность прицельной стрельбы ограни</w:t>
      </w:r>
      <w:r w:rsidRPr="00C94B78">
        <w:rPr>
          <w:rFonts w:ascii="Times New Roman" w:hAnsi="Times New Roman"/>
          <w:color w:val="0070C0"/>
          <w:sz w:val="16"/>
          <w:szCs w:val="16"/>
        </w:rPr>
        <w:softHyphen/>
        <w:t>чивалась 600 м, огонь следовало открывать на дальности 400-200 м, а при выполнении лобовых атак - с 500-600 м. Стрельба велась только короткими очередями по 1-2 выстре</w:t>
      </w:r>
      <w:r w:rsidRPr="00C94B78">
        <w:rPr>
          <w:rFonts w:ascii="Times New Roman" w:hAnsi="Times New Roman"/>
          <w:color w:val="0070C0"/>
          <w:sz w:val="16"/>
          <w:szCs w:val="16"/>
        </w:rPr>
        <w:softHyphen/>
        <w:t>ла. С целью нарушения строя бомбардиров</w:t>
      </w:r>
      <w:r w:rsidRPr="00C94B78">
        <w:rPr>
          <w:rFonts w:ascii="Times New Roman" w:hAnsi="Times New Roman"/>
          <w:color w:val="0070C0"/>
          <w:sz w:val="16"/>
          <w:szCs w:val="16"/>
        </w:rPr>
        <w:softHyphen/>
        <w:t>щиков и подавления огня воздушных стрел</w:t>
      </w:r>
      <w:r w:rsidRPr="00C94B78">
        <w:rPr>
          <w:rFonts w:ascii="Times New Roman" w:hAnsi="Times New Roman"/>
          <w:color w:val="0070C0"/>
          <w:sz w:val="16"/>
          <w:szCs w:val="16"/>
        </w:rPr>
        <w:softHyphen/>
        <w:t>ков путем морального воздействия на про</w:t>
      </w:r>
      <w:r w:rsidRPr="00C94B78">
        <w:rPr>
          <w:rFonts w:ascii="Times New Roman" w:hAnsi="Times New Roman"/>
          <w:color w:val="0070C0"/>
          <w:sz w:val="16"/>
          <w:szCs w:val="16"/>
        </w:rPr>
        <w:softHyphen/>
        <w:t>тивника допускалась неприцельная стрель</w:t>
      </w:r>
      <w:r w:rsidRPr="00C94B78">
        <w:rPr>
          <w:rFonts w:ascii="Times New Roman" w:hAnsi="Times New Roman"/>
          <w:color w:val="0070C0"/>
          <w:sz w:val="16"/>
          <w:szCs w:val="16"/>
        </w:rPr>
        <w:softHyphen/>
        <w:t>ба на дальности 1000-1200 м с последующим переходом к прицельной стрельбе по дости</w:t>
      </w:r>
      <w:r w:rsidRPr="00C94B78">
        <w:rPr>
          <w:rFonts w:ascii="Times New Roman" w:hAnsi="Times New Roman"/>
          <w:color w:val="0070C0"/>
          <w:sz w:val="16"/>
          <w:szCs w:val="16"/>
        </w:rPr>
        <w:softHyphen/>
        <w:t>жении дальности действительного огня.</w:t>
      </w:r>
    </w:p>
    <w:p w14:paraId="3B677125"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Атаку наземных целей рекомендовалось производить с высоты 800-1000 м с пикиро</w:t>
      </w:r>
      <w:r w:rsidRPr="00C94B78">
        <w:rPr>
          <w:rFonts w:ascii="Times New Roman" w:hAnsi="Times New Roman"/>
          <w:color w:val="0070C0"/>
          <w:sz w:val="16"/>
          <w:szCs w:val="16"/>
        </w:rPr>
        <w:softHyphen/>
        <w:t>вания под углом 35-45°, что позволяло сде</w:t>
      </w:r>
      <w:r w:rsidRPr="00C94B78">
        <w:rPr>
          <w:rFonts w:ascii="Times New Roman" w:hAnsi="Times New Roman"/>
          <w:color w:val="0070C0"/>
          <w:sz w:val="16"/>
          <w:szCs w:val="16"/>
        </w:rPr>
        <w:softHyphen/>
        <w:t>лать 2-3 прицельные очереди по 2-3 снаря</w:t>
      </w:r>
      <w:r w:rsidRPr="00C94B78">
        <w:rPr>
          <w:rFonts w:ascii="Times New Roman" w:hAnsi="Times New Roman"/>
          <w:color w:val="0070C0"/>
          <w:sz w:val="16"/>
          <w:szCs w:val="16"/>
        </w:rPr>
        <w:softHyphen/>
        <w:t>да в каждой при ведении огня на дальности 900-300 м. Заход на цель следовало выпол</w:t>
      </w:r>
      <w:r w:rsidRPr="00C94B78">
        <w:rPr>
          <w:rFonts w:ascii="Times New Roman" w:hAnsi="Times New Roman"/>
          <w:color w:val="0070C0"/>
          <w:sz w:val="16"/>
          <w:szCs w:val="16"/>
        </w:rPr>
        <w:softHyphen/>
        <w:t>нять на скорости 300-320 км/ч с разворо</w:t>
      </w:r>
      <w:r w:rsidRPr="00C94B78">
        <w:rPr>
          <w:rFonts w:ascii="Times New Roman" w:hAnsi="Times New Roman"/>
          <w:color w:val="0070C0"/>
          <w:sz w:val="16"/>
          <w:szCs w:val="16"/>
        </w:rPr>
        <w:softHyphen/>
        <w:t>том на 40-45° в сторону цели. Прицеливание осуществлялось по меткам на фонаре каби</w:t>
      </w:r>
      <w:r w:rsidRPr="00C94B78">
        <w:rPr>
          <w:rFonts w:ascii="Times New Roman" w:hAnsi="Times New Roman"/>
          <w:color w:val="0070C0"/>
          <w:sz w:val="16"/>
          <w:szCs w:val="16"/>
        </w:rPr>
        <w:softHyphen/>
        <w:t>ны летчика и передней кромке крыла. Вывод из пикирования - на высоте 300-200 м с пе</w:t>
      </w:r>
      <w:r w:rsidRPr="00C94B78">
        <w:rPr>
          <w:rFonts w:ascii="Times New Roman" w:hAnsi="Times New Roman"/>
          <w:color w:val="0070C0"/>
          <w:sz w:val="16"/>
          <w:szCs w:val="16"/>
        </w:rPr>
        <w:softHyphen/>
        <w:t>регрузкой около 3,0 единиц.</w:t>
      </w:r>
    </w:p>
    <w:p w14:paraId="0A6C7CC6"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заключении отчета был сделан вы</w:t>
      </w:r>
      <w:r w:rsidRPr="00C94B78">
        <w:rPr>
          <w:rFonts w:ascii="Times New Roman" w:hAnsi="Times New Roman"/>
          <w:color w:val="0070C0"/>
          <w:sz w:val="16"/>
          <w:szCs w:val="16"/>
        </w:rPr>
        <w:softHyphen/>
        <w:t>вод, что Як-9Т с пушкой МП-45 может быть использован для борьбы с танками, броне</w:t>
      </w:r>
      <w:r w:rsidRPr="00C94B78">
        <w:rPr>
          <w:rFonts w:ascii="Times New Roman" w:hAnsi="Times New Roman"/>
          <w:color w:val="0070C0"/>
          <w:sz w:val="16"/>
          <w:szCs w:val="16"/>
        </w:rPr>
        <w:softHyphen/>
        <w:t>транспортерами, самолетами бомбардировоч</w:t>
      </w:r>
      <w:r w:rsidRPr="00C94B78">
        <w:rPr>
          <w:rFonts w:ascii="Times New Roman" w:hAnsi="Times New Roman"/>
          <w:color w:val="0070C0"/>
          <w:sz w:val="16"/>
          <w:szCs w:val="16"/>
        </w:rPr>
        <w:softHyphen/>
        <w:t>ной и разведывательной авиации (в первую очередь), истребителями, а также самолетами на аэродроме (24971).</w:t>
      </w:r>
    </w:p>
    <w:p w14:paraId="7EFB73B8" w14:textId="77777777" w:rsidR="009476EA" w:rsidRPr="00C94B78" w:rsidRDefault="009476EA" w:rsidP="00B56F90">
      <w:pPr>
        <w:spacing w:after="0" w:line="240" w:lineRule="auto"/>
        <w:jc w:val="both"/>
        <w:rPr>
          <w:rFonts w:ascii="Times New Roman" w:hAnsi="Times New Roman"/>
          <w:color w:val="0070C0"/>
          <w:sz w:val="16"/>
          <w:szCs w:val="16"/>
        </w:rPr>
      </w:pPr>
    </w:p>
    <w:p w14:paraId="4FA7F5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мая 1944 В.П.Кузнецов подготовил для А.И.Ш. сводку по выполнению постановления по повышению высотности самолетов по состоянию на 30 мая 1944 и были упомянуты МиГ с АМ-39Б-01 и Як-9 с ВК-105ПД (1824).</w:t>
      </w:r>
    </w:p>
    <w:p w14:paraId="7973910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8FD9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мая 1944 дневной скоростной бомбардировщик А.Н.Т. с АМ-39 (Ту-2 N 103 с 2АМ-39) был передан на совместные испытания в НИИ ВВС и в этот же день на нем была опробована гидравлика шасси (2562,101).</w:t>
      </w:r>
    </w:p>
    <w:p w14:paraId="66A6CE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4FD9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мая 1944 А. Шахурин писал письмо Маленкову Г.М.</w:t>
      </w:r>
    </w:p>
    <w:p w14:paraId="1A687B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предложению гл. конструктора Микулина А.А. постановлением ГОКО от 18 февраля 1943 года за № 291сс во главе опытного завода № 300 поставлен гл. конструктор и ответственный руководитель с подчинением ему директора завода.</w:t>
      </w:r>
    </w:p>
    <w:p w14:paraId="354FB5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примеру завода № 300 во главе завода № 156 был также поставлен гл. конструктор и ответственный руководитель Туполев А.Н., с подчинением ему директора завода.</w:t>
      </w:r>
    </w:p>
    <w:p w14:paraId="4E034D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Такая структура руководства себя не оправдала.</w:t>
      </w:r>
    </w:p>
    <w:p w14:paraId="6FC85E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Вашего согласия на установление на заводах №№ 300 и 156 обычной структуры руководства опытными заводами по которой во главе завода находится директор завода или гл. конструктор, он же директор (8951).</w:t>
      </w:r>
    </w:p>
    <w:p w14:paraId="74D123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3BD4E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062F6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A43893" w14:textId="77777777" w:rsidR="00827943" w:rsidRPr="00070ADE" w:rsidRDefault="00827943" w:rsidP="00B56F90">
      <w:pPr>
        <w:pStyle w:val="ae"/>
        <w:spacing w:before="0" w:after="0"/>
        <w:jc w:val="both"/>
        <w:textAlignment w:val="baseline"/>
        <w:rPr>
          <w:color w:val="000000" w:themeColor="text1"/>
          <w:sz w:val="16"/>
          <w:szCs w:val="16"/>
        </w:rPr>
      </w:pPr>
      <w:r w:rsidRPr="00070ADE">
        <w:rPr>
          <w:color w:val="000000" w:themeColor="text1"/>
          <w:sz w:val="16"/>
          <w:szCs w:val="16"/>
        </w:rPr>
        <w:t>31 мая 1944 Малышев и Федоренко подписали совместный приказ №366/098 наркома танковой промышленности и командующего бронетанковыми и механизированными войсками Красной армии о проведении полигонных испытаний Т-44. Согласно приказу, испытания начинались 10 июня и заканчивались 25 числа того же месяца. Всего планировалось преодолеть 1000 км, из них 330 — по шоссе, 400 — по просёлку, 200 — по целине и 70 км специспытаний. На практике начало испытаний несколько затянулось: по разным причинам танк прибыл на НИБТ Полигон к 15 июня.</w:t>
      </w:r>
    </w:p>
    <w:p w14:paraId="1A1B2829" w14:textId="77777777" w:rsidR="00827943" w:rsidRPr="00070ADE" w:rsidRDefault="00827943" w:rsidP="00B56F90">
      <w:pPr>
        <w:spacing w:after="0" w:line="240" w:lineRule="auto"/>
        <w:jc w:val="both"/>
        <w:textAlignment w:val="baseline"/>
        <w:rPr>
          <w:rFonts w:ascii="Times New Roman" w:hAnsi="Times New Roman"/>
          <w:color w:val="000000" w:themeColor="text1"/>
          <w:sz w:val="16"/>
          <w:szCs w:val="16"/>
        </w:rPr>
      </w:pPr>
      <w:r w:rsidRPr="00070ADE">
        <w:rPr>
          <w:rFonts w:ascii="Times New Roman" w:hAnsi="Times New Roman"/>
          <w:color w:val="000000" w:themeColor="text1"/>
          <w:sz w:val="16"/>
          <w:szCs w:val="16"/>
        </w:rPr>
        <w:t>От первого образца данный танк отличался утолщённой до 75 мм бортовой броней.</w:t>
      </w:r>
    </w:p>
    <w:p w14:paraId="1EE06EAF" w14:textId="77777777" w:rsidR="00827943" w:rsidRPr="00070ADE" w:rsidRDefault="00827943" w:rsidP="00B56F90">
      <w:pPr>
        <w:pStyle w:val="ae"/>
        <w:spacing w:before="0" w:after="0"/>
        <w:jc w:val="both"/>
        <w:textAlignment w:val="baseline"/>
        <w:rPr>
          <w:color w:val="000000" w:themeColor="text1"/>
          <w:sz w:val="16"/>
          <w:szCs w:val="16"/>
        </w:rPr>
      </w:pPr>
      <w:r w:rsidRPr="00070ADE">
        <w:rPr>
          <w:color w:val="000000" w:themeColor="text1"/>
          <w:sz w:val="16"/>
          <w:szCs w:val="16"/>
        </w:rPr>
        <w:t xml:space="preserve">Задержка испытаний стала лишь началом срыва сроков. Вместо 25 июня они окончились только 17 июля, причем из 32 дней на пробег и специспытания затратили 16, еще 2 на огневые испытания, оставшееся время ушло на ремонт машины. За это время танк прошел 1347 км, из них 474 по шоссе, 683 по проселку, 61 по целине, 99 на специспытаниях и 25 в ходе огневых испытаний. При этом машина испытывалась в наиболее жаркое время года, подчас температура воздуха доходила до 40 </w:t>
      </w:r>
      <w:r w:rsidRPr="00070ADE">
        <w:rPr>
          <w:color w:val="000000" w:themeColor="text1"/>
          <w:sz w:val="16"/>
          <w:szCs w:val="16"/>
        </w:rPr>
        <w:lastRenderedPageBreak/>
        <w:t>градусов.</w:t>
      </w:r>
    </w:p>
    <w:p w14:paraId="2302F57C" w14:textId="77777777" w:rsidR="00827943" w:rsidRPr="00070ADE" w:rsidRDefault="00827943" w:rsidP="00B56F90">
      <w:pPr>
        <w:spacing w:after="0" w:line="240" w:lineRule="auto"/>
        <w:jc w:val="both"/>
        <w:textAlignment w:val="baseline"/>
        <w:rPr>
          <w:rFonts w:ascii="Times New Roman" w:hAnsi="Times New Roman"/>
          <w:color w:val="000000" w:themeColor="text1"/>
          <w:sz w:val="16"/>
          <w:szCs w:val="16"/>
        </w:rPr>
      </w:pPr>
      <w:r w:rsidRPr="00070ADE">
        <w:rPr>
          <w:rFonts w:ascii="Times New Roman" w:hAnsi="Times New Roman"/>
          <w:color w:val="000000" w:themeColor="text1"/>
          <w:sz w:val="16"/>
          <w:szCs w:val="16"/>
        </w:rPr>
        <w:t>Как и на заводских, на полигонных испытаниях отмечалась слишком малая высота отделения управления.</w:t>
      </w:r>
    </w:p>
    <w:p w14:paraId="43905B95" w14:textId="77777777" w:rsidR="00827943" w:rsidRPr="00070ADE" w:rsidRDefault="00827943" w:rsidP="00B56F90">
      <w:pPr>
        <w:pStyle w:val="ae"/>
        <w:spacing w:before="0" w:after="0"/>
        <w:jc w:val="both"/>
        <w:textAlignment w:val="baseline"/>
        <w:rPr>
          <w:color w:val="000000" w:themeColor="text1"/>
          <w:sz w:val="16"/>
          <w:szCs w:val="16"/>
        </w:rPr>
      </w:pPr>
      <w:r w:rsidRPr="00070ADE">
        <w:rPr>
          <w:color w:val="000000" w:themeColor="text1"/>
          <w:sz w:val="16"/>
          <w:szCs w:val="16"/>
        </w:rPr>
        <w:t>Рост боевой массы несколько повлиял на динамические характеристики танка. На мерном участке получили среднюю максимальную скорость 51,98 км/ч, что было чуть меньше, чем у машины первого варианта. Средняя скорость по шоссе составила 35 км/ч, это примерно равно скорости первой версии Т-44, но надо учитывать, что первые испытания проходили на заснеженном шоссе, то есть в более сложных условиях. Правда, и в случае с испытаниями второго варианта танка имелся лимитирующий фактор. Им оказалось разрушение опорных катков: даже снижение их диаметра и переход на иной состав резины на тот момент помогли мало. Впрочем, отмечалась и положительная тенденция. Расход топлива при езде по шоссе составил 158 л на 100 км, что примерно на четверть меньше расхода первой версии Т-44. За счёт снижения расхода топлива, а также увеличения его объёма запас хода вырос до 290 км, то есть на 103 км больше, чем у первого варианта в зимних условиях.</w:t>
      </w:r>
    </w:p>
    <w:p w14:paraId="14162C30" w14:textId="77777777" w:rsidR="00827943" w:rsidRPr="00070ADE" w:rsidRDefault="00827943" w:rsidP="00B56F90">
      <w:pPr>
        <w:spacing w:after="0" w:line="240" w:lineRule="auto"/>
        <w:jc w:val="both"/>
        <w:textAlignment w:val="baseline"/>
        <w:rPr>
          <w:rFonts w:ascii="Times New Roman" w:hAnsi="Times New Roman"/>
          <w:color w:val="000000" w:themeColor="text1"/>
          <w:sz w:val="16"/>
          <w:szCs w:val="16"/>
        </w:rPr>
      </w:pPr>
      <w:r w:rsidRPr="00070ADE">
        <w:rPr>
          <w:rFonts w:ascii="Times New Roman" w:hAnsi="Times New Roman"/>
          <w:color w:val="000000" w:themeColor="text1"/>
          <w:sz w:val="16"/>
          <w:szCs w:val="16"/>
        </w:rPr>
        <w:t>Ещё более существенными были проблемы с опорными катками. Всего за время испытаний заменили 16 катков.</w:t>
      </w:r>
    </w:p>
    <w:p w14:paraId="31A9E4BC" w14:textId="77777777" w:rsidR="00827943" w:rsidRPr="00070ADE" w:rsidRDefault="00827943" w:rsidP="00B56F90">
      <w:pPr>
        <w:pStyle w:val="ae"/>
        <w:spacing w:before="0" w:after="0"/>
        <w:jc w:val="both"/>
        <w:textAlignment w:val="baseline"/>
        <w:rPr>
          <w:color w:val="000000" w:themeColor="text1"/>
          <w:sz w:val="16"/>
          <w:szCs w:val="16"/>
        </w:rPr>
      </w:pPr>
      <w:r w:rsidRPr="00070ADE">
        <w:rPr>
          <w:color w:val="000000" w:themeColor="text1"/>
          <w:sz w:val="16"/>
          <w:szCs w:val="16"/>
        </w:rPr>
        <w:t>Совсем другая картина наблюдалась при езде по просёлку. Двигаться приходилось по разбитой танками грунтовой дороге с глубокой колеёй и большими ухабами, залитыми водой. В результате условия езды оказались ещё хуже, чем во время зимних испытаний первого варианта Т-44. Средняя скорость составила 13,9 км/ч, двигаться приходилось на второй и третьей передачах. Тяжёлые дорожные условия стали причиной повышенного расхода топлива: на 100 км потреблялось 310 л, что даже больше, чем на зимних испытаниях. При этом запас хода, даже при большем объёме топлива, составил всего 150 км. О том, сколь непростыми были дорожные условия, говорят данные по итогам езды по целине. Средняя скорость в, казалось бы, более тяжёлых условиях, выросла до 15 км/ч, расход топлива снизился до 295 л на 100 км, а запас хода вырос до 155 км. К слову, запасом топлива комиссия оказалась недовольна, поскольку учитывалось и топливо в дополнительных баках. Требовалось увеличить запас горючего в основных баках. Стоит также отметить, что за счёт переделки системы охлаждения, а также выхлопной системы ситуация с охлаждением улучшилась. Перегрев наблюдался только при езде в наиболее тяжёлых условиях, при движении по асфальту и целине температура воды не превышала 85 градусов. И это при том, что, как уже говорилось, порой температура окружающего воздуха возрастала до 40 градусов.</w:t>
      </w:r>
    </w:p>
    <w:p w14:paraId="5DB8DC15" w14:textId="77777777" w:rsidR="00827943" w:rsidRPr="00070ADE" w:rsidRDefault="00827943" w:rsidP="00B56F90">
      <w:pPr>
        <w:pStyle w:val="ae"/>
        <w:spacing w:before="0" w:after="0"/>
        <w:jc w:val="both"/>
        <w:textAlignment w:val="baseline"/>
        <w:rPr>
          <w:color w:val="000000" w:themeColor="text1"/>
          <w:sz w:val="16"/>
          <w:szCs w:val="16"/>
        </w:rPr>
      </w:pPr>
      <w:r w:rsidRPr="00070ADE">
        <w:rPr>
          <w:color w:val="000000" w:themeColor="text1"/>
          <w:sz w:val="16"/>
          <w:szCs w:val="16"/>
        </w:rPr>
        <w:t>Более благоприятные, чем зимой, погодные условия позволили достичь вполне удовлетворительных показателей проходимости на специспытаниях. Танк успешно преодолевал затяжные подъёмы крутизной 24-26 градусов, при этом максимальный преодолеваемый угол составил 31 градус. Отмечалось, что преодоление более крутых подъёмов лимитируется мощностью двигателя. Максимальный преодолеваемый крен составил 32 градуса, далее наблюдалось сползание танка. В ходе езды усилия на рычагах управления составили 17-20 кг, правда, при повороте на месте требовалось усилие 32-40 кг. Вполне успешно прошло испытание буксировкой Т-34 (средняя скорость при этом составила 11 км/ч). Также машина преодолела брод глубиной 1,52 м. Во время движения в танк затекала вода, которая просачивалась через отверстия в кронштейнах торсионов, правда, её уровень не превышал 5-6 см. При движении по броду глубиной 2 м двигатель набрал воды и заглох.</w:t>
      </w:r>
    </w:p>
    <w:p w14:paraId="17DFFF07" w14:textId="77777777" w:rsidR="00827943" w:rsidRPr="00070ADE" w:rsidRDefault="00827943" w:rsidP="00B56F90">
      <w:pPr>
        <w:spacing w:after="0" w:line="240" w:lineRule="auto"/>
        <w:jc w:val="both"/>
        <w:textAlignment w:val="baseline"/>
        <w:rPr>
          <w:rFonts w:ascii="Times New Roman" w:hAnsi="Times New Roman"/>
          <w:color w:val="000000" w:themeColor="text1"/>
          <w:sz w:val="16"/>
          <w:szCs w:val="16"/>
        </w:rPr>
      </w:pPr>
      <w:r w:rsidRPr="00070ADE">
        <w:rPr>
          <w:rFonts w:ascii="Times New Roman" w:hAnsi="Times New Roman"/>
          <w:color w:val="000000" w:themeColor="text1"/>
          <w:sz w:val="16"/>
          <w:szCs w:val="16"/>
        </w:rPr>
        <w:t>Танк вполне уверенно преодолевал подъёмы, максимальный преодолеваемый угол составил 31 градус.</w:t>
      </w:r>
    </w:p>
    <w:p w14:paraId="07476A84" w14:textId="77777777" w:rsidR="00827943" w:rsidRPr="00070ADE" w:rsidRDefault="00827943" w:rsidP="00B56F90">
      <w:pPr>
        <w:pStyle w:val="ae"/>
        <w:spacing w:before="0" w:after="0"/>
        <w:jc w:val="both"/>
        <w:textAlignment w:val="baseline"/>
        <w:rPr>
          <w:color w:val="000000" w:themeColor="text1"/>
          <w:sz w:val="16"/>
          <w:szCs w:val="16"/>
        </w:rPr>
      </w:pPr>
      <w:r w:rsidRPr="00070ADE">
        <w:rPr>
          <w:color w:val="000000" w:themeColor="text1"/>
          <w:sz w:val="16"/>
          <w:szCs w:val="16"/>
        </w:rPr>
        <w:t>Во время ходовых полигонных испытаний во многом повторились дефекты, которые отмечались в ходе заводских испытаний первого опытного образца. Ввиду более тяжёлых дорожных условий количество заменённых опорных катков выросло до 16, некоторые катки менялись по три раза. Дело оказалось не только в выросшей массе, но и в их перегрузке из-за смещения центра тяжести машины назад (это хорошо видно по числу заменённых катков). На первой и второй парах за всё время пришлось заменить лишь каток. При этом гусеничная лента работала надёжно, наблюдался всего один случай разрыва трака (на 1326-м километре). Надёжно работала и подвеска. В целом хорошо работала и силовая установка, при этом особо отмечалась надёжность стартера СТ-15, который, впрочем, требовал доработки. Определённые проблемы возникли с элементами трансмиссии, особенно это касалось КПП и гитары. Также на 689-м километре разрушился ролик правого ведущего колеса.</w:t>
      </w:r>
    </w:p>
    <w:p w14:paraId="59CDFB8E" w14:textId="77777777" w:rsidR="00827943" w:rsidRPr="00070ADE" w:rsidRDefault="00827943" w:rsidP="00B56F90">
      <w:pPr>
        <w:spacing w:after="0" w:line="240" w:lineRule="auto"/>
        <w:jc w:val="both"/>
        <w:textAlignment w:val="baseline"/>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Максимальный угол преодолеваемого крена составил 32 градуса.</w:t>
      </w:r>
    </w:p>
    <w:p w14:paraId="4E3859DE" w14:textId="77777777" w:rsidR="00827943" w:rsidRPr="00070ADE" w:rsidRDefault="00827943" w:rsidP="00B56F90">
      <w:pPr>
        <w:pStyle w:val="ae"/>
        <w:spacing w:before="0" w:after="0"/>
        <w:jc w:val="both"/>
        <w:textAlignment w:val="baseline"/>
        <w:rPr>
          <w:color w:val="000000" w:themeColor="text1"/>
          <w:sz w:val="16"/>
          <w:szCs w:val="16"/>
        </w:rPr>
      </w:pPr>
      <w:r w:rsidRPr="00070ADE">
        <w:rPr>
          <w:color w:val="000000" w:themeColor="text1"/>
          <w:sz w:val="16"/>
          <w:szCs w:val="16"/>
        </w:rPr>
        <w:t>Огневые испытания Т-44 прошли вполне успешно. Кучность орудия оказалась равной табличным данным, максимальная скорострельность при стрельбе с места по одной цели составила 9,2 выстрела в минуту. При стрельбе по двум-трём целям скорострельность снижалась до 6-7 выстрелов в минуту. Отчасти снижение обуславливалось неудобством перехода от электрического привода башни к ручному, при помощи которого производилась точная наводка на цель. Максимальная неприцельная скорострельность составила 10 выстрелов в минуту. При стрельбе с хода скорострельность снижалась до 4 выстрелов в минуту, при этом отмечалась низкая меткость огня. Причина была той же, что и раньше, — перенос центра тяжести назад. При этом добавилась дополнительная проблема в виде неисправной ходовой части танка. Имелись претензии к прочности основной укладки в носовой части корпуса, кроме того, боекомплект посчитали недостаточным (предлагалось увеличить его до 65 выстрелов).</w:t>
      </w:r>
    </w:p>
    <w:p w14:paraId="62DC66F9" w14:textId="77777777" w:rsidR="00827943" w:rsidRPr="00070ADE" w:rsidRDefault="00827943" w:rsidP="00B56F90">
      <w:pPr>
        <w:pStyle w:val="ae"/>
        <w:spacing w:before="0" w:after="0"/>
        <w:jc w:val="both"/>
        <w:textAlignment w:val="baseline"/>
        <w:rPr>
          <w:color w:val="000000" w:themeColor="text1"/>
          <w:sz w:val="16"/>
          <w:szCs w:val="16"/>
        </w:rPr>
      </w:pPr>
      <w:r w:rsidRPr="00070ADE">
        <w:rPr>
          <w:color w:val="000000" w:themeColor="text1"/>
          <w:sz w:val="16"/>
          <w:szCs w:val="16"/>
        </w:rPr>
        <w:t>Отдельно проверялось удобство работы экипажа, а также обзорность. Обзорность с места командира была вполне достаточной, чего нельзя было сказать об удобстве его размещения. Сиденье размещалось недостаточно удобно, в результате чего стреляные гильзы при падении ударялись о правую ногу командира. Требовалось сместить сиденье на 5-6 см влево и на 5-6 см назад, а также сделать его регулируемым по высоте. Кроме того, отмечалось, что пользоваться перископическим прибором MK-IV можно на дистанциях не более 1500 м. Предлагалось также увеличить высоту башенки на 3-4 см. Имелись претензии и к сиденью наводчика. В ходе испытаний сиденье погнулось, а позже его подушка порвалась от задевания за ограждение орудия. Ввиду проблем, выявившихся при стрельбе, предлагалось сделать ножной электроспуск. Имелись претензии и к сиденью заряжающего, его предлагалось крепить кронштейном к башне. Вместе с тем, обзорность с мест наводчика и заряжающего признали достаточной.</w:t>
      </w:r>
    </w:p>
    <w:p w14:paraId="3C6749AE" w14:textId="77777777" w:rsidR="00827943" w:rsidRPr="00070ADE" w:rsidRDefault="00827943" w:rsidP="00B56F90">
      <w:pPr>
        <w:pStyle w:val="ae"/>
        <w:spacing w:before="0" w:after="0"/>
        <w:jc w:val="both"/>
        <w:textAlignment w:val="baseline"/>
        <w:rPr>
          <w:color w:val="000000" w:themeColor="text1"/>
          <w:sz w:val="16"/>
          <w:szCs w:val="16"/>
        </w:rPr>
      </w:pPr>
      <w:r w:rsidRPr="00070ADE">
        <w:rPr>
          <w:color w:val="000000" w:themeColor="text1"/>
          <w:sz w:val="16"/>
          <w:szCs w:val="16"/>
        </w:rPr>
        <w:t>Наибольшие претензии, как и в случае с заводскими испытаниями, возникли к месту механика-водителя. Высоту отделения управления признали недостаточной, имелись претензии к размещению приборов управления. Также учли опыт испытания зарубежных танков, в частности Light Tank M5A1. Там сиденье механика-водителя было поднимающимся, что позволяло ездить в походном положении, высунувшись из люка. Аналогичное решение захотели внедрить и на Т-44, тем более что такое походное положение позволяло отказаться и от смотрового лючка, и от будки в целом.</w:t>
      </w:r>
    </w:p>
    <w:p w14:paraId="61826F47" w14:textId="77777777" w:rsidR="00827943" w:rsidRPr="00070ADE" w:rsidRDefault="00827943" w:rsidP="00B56F90">
      <w:pPr>
        <w:pStyle w:val="ae"/>
        <w:spacing w:before="0" w:after="0"/>
        <w:jc w:val="both"/>
        <w:textAlignment w:val="baseline"/>
        <w:rPr>
          <w:color w:val="000000" w:themeColor="text1"/>
          <w:sz w:val="16"/>
          <w:szCs w:val="16"/>
        </w:rPr>
      </w:pPr>
      <w:r w:rsidRPr="00070ADE">
        <w:rPr>
          <w:color w:val="000000" w:themeColor="text1"/>
          <w:sz w:val="16"/>
          <w:szCs w:val="16"/>
        </w:rPr>
        <w:t>По мнению комиссии, Т-44 не выдержал испытаний, тем не менее оценили его высоко. В ГБТУ КА и НКТП прекрасно понимали потенциал машины, а также то, что отчасти проблемы связаны со спешкой. В результате комиссия рекомендовала принять Т-44 на вооружение Красной армии, устранив выявленные недостатки. Также нужно было внести ряд изменений, которых требовали представители ГБТУ КА. Во-первых, толщина лобового листа корпуса возрастала до 90 мм; во-вторых, боекомплект увеличивался до 65 патронов калибра 85 мм; в-третьих, запас топлива увеличивался до 550 л. Также требовалось усилить борта корпуса и внести ряд других переделок. Фактически это означало, что в тогдашнем виде Т-44 в серию не шёл, но считался перспективным. О том, насколько перспективной считали машину, говорит тот факт, что 18 июля Сталин подписал постановление ГКО № 6209с «Об организации производства средних танков Т-44 на заводах №75 и №264 Наркомата танковой промышленности». Согласно ему, первые 25 машин ожидались уже в ноябре 1944 года. Фактически танк принимали на вооружение «авансом» (18950).</w:t>
      </w:r>
    </w:p>
    <w:p w14:paraId="63F3D32D" w14:textId="77777777" w:rsidR="00827943" w:rsidRPr="00070ADE" w:rsidRDefault="00827943" w:rsidP="00B56F90">
      <w:pPr>
        <w:pStyle w:val="ae"/>
        <w:spacing w:before="0" w:after="0"/>
        <w:jc w:val="both"/>
        <w:textAlignment w:val="baseline"/>
        <w:rPr>
          <w:color w:val="000000" w:themeColor="text1"/>
          <w:sz w:val="16"/>
          <w:szCs w:val="16"/>
        </w:rPr>
      </w:pPr>
    </w:p>
    <w:p w14:paraId="1BF96421" w14:textId="462E5F80" w:rsidR="00827943" w:rsidRPr="00070ADE" w:rsidRDefault="0082794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мая 1944 г. вышел приказ Народного Комиссара Танковой Промышленности Союза ССР и Командующего БТ и МВ Красной Армии № 366/098, в соответствии с которым в период 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15 июня по 17 июля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1944 г. были проведены полигонные испытания второго опытного образца танка Т-44, конструкции завода № 183 НКТП.</w:t>
      </w:r>
    </w:p>
    <w:p w14:paraId="4983065A" w14:textId="77777777" w:rsidR="00827943" w:rsidRPr="00070ADE" w:rsidRDefault="0082794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Представленный на испытания опытный образец танка Т-44 выполнен с учетом замечаний комиссии по полигонным испытаниям первого опытного образца, проведенным в феврале-марте 1944 года.</w:t>
      </w:r>
    </w:p>
    <w:p w14:paraId="429785A9" w14:textId="77777777" w:rsidR="00827943" w:rsidRPr="00070ADE" w:rsidRDefault="0082794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проведены по программе, утвержденной Заместителем Народного Комиссара Танковой Промышленности и Начальником ГБТУ Красной Армии.</w:t>
      </w:r>
    </w:p>
    <w:p w14:paraId="49EF6B80" w14:textId="77777777" w:rsidR="00827943" w:rsidRPr="00070ADE" w:rsidRDefault="0082794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проводились на НИБТ Полигоне ГБТУ КА, в районе ст.Кубинка, Западной ж.д. (18276)</w:t>
      </w:r>
    </w:p>
    <w:p w14:paraId="00FBF5CE" w14:textId="77777777" w:rsidR="00827943" w:rsidRPr="00070ADE" w:rsidRDefault="00827943" w:rsidP="00B56F90">
      <w:pPr>
        <w:spacing w:after="0" w:line="240" w:lineRule="auto"/>
        <w:jc w:val="both"/>
        <w:rPr>
          <w:rFonts w:ascii="Times New Roman" w:hAnsi="Times New Roman"/>
          <w:color w:val="000000" w:themeColor="text1"/>
          <w:sz w:val="16"/>
          <w:szCs w:val="16"/>
        </w:rPr>
      </w:pPr>
    </w:p>
    <w:p w14:paraId="4A1475B2"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noProof/>
          <w:color w:val="0070C0"/>
          <w:sz w:val="16"/>
          <w:szCs w:val="16"/>
        </w:rPr>
        <w:drawing>
          <wp:anchor distT="0" distB="406400" distL="114300" distR="114300" simplePos="0" relativeHeight="251663360" behindDoc="0" locked="0" layoutInCell="1" allowOverlap="1" wp14:anchorId="567E4DCA" wp14:editId="467B1AC5">
            <wp:simplePos x="0" y="0"/>
            <wp:positionH relativeFrom="margin">
              <wp:posOffset>-1276985</wp:posOffset>
            </wp:positionH>
            <wp:positionV relativeFrom="margin">
              <wp:posOffset>-4121150</wp:posOffset>
            </wp:positionV>
            <wp:extent cx="6163310" cy="3645535"/>
            <wp:effectExtent l="0" t="0" r="0" b="0"/>
            <wp:wrapTopAndBottom/>
            <wp:docPr id="295" name="Shape 295"/>
            <wp:cNvGraphicFramePr/>
            <a:graphic xmlns:a="http://schemas.openxmlformats.org/drawingml/2006/main">
              <a:graphicData uri="http://schemas.openxmlformats.org/drawingml/2006/picture">
                <pic:pic xmlns:pic="http://schemas.openxmlformats.org/drawingml/2006/picture">
                  <pic:nvPicPr>
                    <pic:cNvPr id="296" name="Picture box 296"/>
                    <pic:cNvPicPr/>
                  </pic:nvPicPr>
                  <pic:blipFill>
                    <a:blip r:embed="rId150"/>
                    <a:stretch/>
                  </pic:blipFill>
                  <pic:spPr>
                    <a:xfrm>
                      <a:off x="0" y="0"/>
                      <a:ext cx="6163310" cy="3645535"/>
                    </a:xfrm>
                    <a:prstGeom prst="rect">
                      <a:avLst/>
                    </a:prstGeom>
                  </pic:spPr>
                </pic:pic>
              </a:graphicData>
            </a:graphic>
          </wp:anchor>
        </w:drawing>
      </w:r>
      <w:r w:rsidRPr="00C94B78">
        <w:rPr>
          <w:rFonts w:ascii="Times New Roman" w:hAnsi="Times New Roman"/>
          <w:color w:val="0070C0"/>
          <w:sz w:val="16"/>
          <w:szCs w:val="16"/>
        </w:rPr>
        <w:t>31 мая 1944 года начальник ГБТУ КА генерал- лейтенант Вершинин направил наркому тан</w:t>
      </w:r>
      <w:r w:rsidRPr="00C94B78">
        <w:rPr>
          <w:rFonts w:ascii="Times New Roman" w:hAnsi="Times New Roman"/>
          <w:color w:val="0070C0"/>
          <w:sz w:val="16"/>
          <w:szCs w:val="16"/>
        </w:rPr>
        <w:softHyphen/>
        <w:t>ковой промышленности Малышеву следую</w:t>
      </w:r>
      <w:r w:rsidRPr="00C94B78">
        <w:rPr>
          <w:rFonts w:ascii="Times New Roman" w:hAnsi="Times New Roman"/>
          <w:color w:val="0070C0"/>
          <w:sz w:val="16"/>
          <w:szCs w:val="16"/>
        </w:rPr>
        <w:softHyphen/>
        <w:t>щее письмо:</w:t>
      </w:r>
    </w:p>
    <w:p w14:paraId="0DF405A2"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своем ответе Маршалу Бронетанковых войск тов. Федоренко на письмо тов. Берии, Вы сообщаете, что Наркомтанкпромом при</w:t>
      </w:r>
      <w:r w:rsidRPr="00C94B78">
        <w:rPr>
          <w:rFonts w:ascii="Times New Roman" w:hAnsi="Times New Roman"/>
          <w:color w:val="0070C0"/>
          <w:sz w:val="16"/>
          <w:szCs w:val="16"/>
        </w:rPr>
        <w:softHyphen/>
        <w:t>нято решение об изготовлении опытных об</w:t>
      </w:r>
      <w:r w:rsidRPr="00C94B78">
        <w:rPr>
          <w:rFonts w:ascii="Times New Roman" w:hAnsi="Times New Roman"/>
          <w:color w:val="0070C0"/>
          <w:sz w:val="16"/>
          <w:szCs w:val="16"/>
        </w:rPr>
        <w:softHyphen/>
        <w:t>разцов танков Т-44 с учетом устранения вы</w:t>
      </w:r>
      <w:r w:rsidRPr="00C94B78">
        <w:rPr>
          <w:rFonts w:ascii="Times New Roman" w:hAnsi="Times New Roman"/>
          <w:color w:val="0070C0"/>
          <w:sz w:val="16"/>
          <w:szCs w:val="16"/>
        </w:rPr>
        <w:softHyphen/>
        <w:t>явленных при испытании дефектов. Однако толщина носового листа корпуса сохранена прежней, т. е. 75 мм (25012).</w:t>
      </w:r>
    </w:p>
    <w:p w14:paraId="6588D4C4" w14:textId="77777777" w:rsidR="009476EA" w:rsidRPr="00C94B78" w:rsidRDefault="009476EA" w:rsidP="00B56F90">
      <w:pPr>
        <w:spacing w:after="0" w:line="240" w:lineRule="auto"/>
        <w:jc w:val="both"/>
        <w:rPr>
          <w:rFonts w:ascii="Times New Roman" w:hAnsi="Times New Roman"/>
          <w:color w:val="0070C0"/>
          <w:sz w:val="16"/>
          <w:szCs w:val="16"/>
        </w:rPr>
      </w:pPr>
    </w:p>
    <w:p w14:paraId="4D5756E4"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31 мая 1944 года совместным приказом наркома танковой промышленности и командующего броне</w:t>
      </w:r>
      <w:r w:rsidRPr="00C94B78">
        <w:rPr>
          <w:rFonts w:ascii="Times New Roman" w:hAnsi="Times New Roman"/>
          <w:color w:val="0070C0"/>
          <w:sz w:val="16"/>
          <w:szCs w:val="16"/>
        </w:rPr>
        <w:softHyphen/>
        <w:t>танковыми и механизированными войска</w:t>
      </w:r>
      <w:r w:rsidRPr="00C94B78">
        <w:rPr>
          <w:rFonts w:ascii="Times New Roman" w:hAnsi="Times New Roman"/>
          <w:color w:val="0070C0"/>
          <w:sz w:val="16"/>
          <w:szCs w:val="16"/>
        </w:rPr>
        <w:softHyphen/>
        <w:t>ми Красной Армии № 366/098 от были назначены сроки и определен со</w:t>
      </w:r>
      <w:r w:rsidRPr="00C94B78">
        <w:rPr>
          <w:rFonts w:ascii="Times New Roman" w:hAnsi="Times New Roman"/>
          <w:color w:val="0070C0"/>
          <w:sz w:val="16"/>
          <w:szCs w:val="16"/>
        </w:rPr>
        <w:softHyphen/>
        <w:t>став комиссии по проведению испытаний опытного образца танка Т-44 второго ва</w:t>
      </w:r>
      <w:r w:rsidRPr="00C94B78">
        <w:rPr>
          <w:rFonts w:ascii="Times New Roman" w:hAnsi="Times New Roman"/>
          <w:color w:val="0070C0"/>
          <w:sz w:val="16"/>
          <w:szCs w:val="16"/>
        </w:rPr>
        <w:softHyphen/>
        <w:t>рианта. Один образец машины испытывал</w:t>
      </w:r>
      <w:r w:rsidRPr="00C94B78">
        <w:rPr>
          <w:rFonts w:ascii="Times New Roman" w:hAnsi="Times New Roman"/>
          <w:color w:val="0070C0"/>
          <w:sz w:val="16"/>
          <w:szCs w:val="16"/>
        </w:rPr>
        <w:softHyphen/>
        <w:t>ся в период с 15 июня по 17 июля 1944 года в подмосковной Кубинке (25012).</w:t>
      </w:r>
    </w:p>
    <w:p w14:paraId="2AAD540D" w14:textId="77777777" w:rsidR="009476EA" w:rsidRPr="00C94B78" w:rsidRDefault="009476EA" w:rsidP="00B56F90">
      <w:pPr>
        <w:spacing w:after="0" w:line="240" w:lineRule="auto"/>
        <w:jc w:val="both"/>
        <w:rPr>
          <w:rFonts w:ascii="Times New Roman" w:hAnsi="Times New Roman"/>
          <w:color w:val="0070C0"/>
          <w:sz w:val="16"/>
          <w:szCs w:val="16"/>
        </w:rPr>
      </w:pPr>
    </w:p>
    <w:p w14:paraId="5D118D5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мая 1944 года вышел приказ № 261с НКВ</w:t>
      </w:r>
    </w:p>
    <w:p w14:paraId="0567401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исполнение распоряжения СНК от 29 мая 1944 года за № 11635-рс:</w:t>
      </w:r>
    </w:p>
    <w:p w14:paraId="65123AE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Присвоить ЦКБ патронного станкостроения НКВ номер 3 и именовать его ЦКБ-3 (6422, 23).</w:t>
      </w:r>
    </w:p>
    <w:p w14:paraId="076A582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C4BE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мая 1944 г. вышел совместный приказ НКТП и НКЭП (народный комиссариат электропромышленнос</w:t>
      </w:r>
      <w:r w:rsidRPr="00070ADE">
        <w:rPr>
          <w:rFonts w:ascii="Times New Roman" w:hAnsi="Times New Roman"/>
          <w:color w:val="000000" w:themeColor="text1"/>
          <w:sz w:val="16"/>
          <w:szCs w:val="16"/>
        </w:rPr>
        <w:softHyphen/>
        <w:t>ти) "О продолжении ОКР по созданию электротрансмиссии для тяже</w:t>
      </w:r>
      <w:r w:rsidRPr="00070ADE">
        <w:rPr>
          <w:rFonts w:ascii="Times New Roman" w:hAnsi="Times New Roman"/>
          <w:color w:val="000000" w:themeColor="text1"/>
          <w:sz w:val="16"/>
          <w:szCs w:val="16"/>
        </w:rPr>
        <w:softHyphen/>
        <w:t>лых танков". Основным недостатком электромеханических трансмиссий явля</w:t>
      </w:r>
      <w:r w:rsidRPr="00070ADE">
        <w:rPr>
          <w:rFonts w:ascii="Times New Roman" w:hAnsi="Times New Roman"/>
          <w:color w:val="000000" w:themeColor="text1"/>
          <w:sz w:val="16"/>
          <w:szCs w:val="16"/>
        </w:rPr>
        <w:softHyphen/>
        <w:t>лась их большая масса и размеры по сравнению с механическими транс</w:t>
      </w:r>
      <w:r w:rsidRPr="00070ADE">
        <w:rPr>
          <w:rFonts w:ascii="Times New Roman" w:hAnsi="Times New Roman"/>
          <w:color w:val="000000" w:themeColor="text1"/>
          <w:sz w:val="16"/>
          <w:szCs w:val="16"/>
        </w:rPr>
        <w:softHyphen/>
        <w:t>миссиями. Масса электромеханической трансмиссии танка ИС-6 ("Объект 253") составляла 3850 кг в то время, как масса механической трансмиссии танка ИС-2 не превышала 980 кг (10703).</w:t>
      </w:r>
    </w:p>
    <w:p w14:paraId="37D71C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7016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мая 1944 г. вышел ПРИКАЗ НАРОДНОГО КОМИССАРА ЭЛЕКТРОПРОМЫШЛЕННОСТИ И НАРОДНОГО КОМИССАРА ТАНКОВОЙ ПРОМЫШЛЕННОСТИ СССР ОБ ИЗГОТОВЛЕНИИ ОПЫТНЫХ ОБРАЗЦОВ ТАНКОВ С ЭЛЕКТРОТРАНСМИССИЕЙ №К-315/359</w:t>
      </w:r>
    </w:p>
    <w:p w14:paraId="310EE5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изготовления опытных образцов танков с электротрансмиссией ПРИКАЗЫВАЕМ:</w:t>
      </w:r>
    </w:p>
    <w:p w14:paraId="2392F1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 о. директора завода «Динамо» т. Черничкину совместно с главным конструктором НКТП т. Котиным организовать разработку и проектирование электротрансмиссии тяжелого танка по техническим условиям, утвержденным НКЭП и НКТП.</w:t>
      </w:r>
    </w:p>
    <w:p w14:paraId="574935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 о. директора завода «Динамо» т. Черничкину изготовить 3 комплекта электрооборудова</w:t>
      </w:r>
      <w:r w:rsidRPr="00070ADE">
        <w:rPr>
          <w:rFonts w:ascii="Times New Roman" w:hAnsi="Times New Roman"/>
          <w:color w:val="000000" w:themeColor="text1"/>
          <w:sz w:val="16"/>
          <w:szCs w:val="16"/>
        </w:rPr>
        <w:softHyphen/>
        <w:t>ния для трансмиссий опытных танков завода №100 и провести полное комплектное испытание их на стенде к 15 октября 1944 г.</w:t>
      </w:r>
    </w:p>
    <w:p w14:paraId="2EA72D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Директорам заводов УЗТМ и №100 т. Мазрукову и т. Солодухину изготовить 2 опытных тан</w:t>
      </w:r>
      <w:r w:rsidRPr="00070ADE">
        <w:rPr>
          <w:rFonts w:ascii="Times New Roman" w:hAnsi="Times New Roman"/>
          <w:color w:val="000000" w:themeColor="text1"/>
          <w:sz w:val="16"/>
          <w:szCs w:val="16"/>
        </w:rPr>
        <w:softHyphen/>
        <w:t>ка, смонтировать электрооборудование вместе с представителями завода «Динамо» и произвести заводские испытания их к 15 ноября 1944 г.</w:t>
      </w:r>
    </w:p>
    <w:p w14:paraId="5E7ED9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Для проведения проектно-конструкторских работ по электротрансмиссии на заводе «Динамо»:</w:t>
      </w:r>
    </w:p>
    <w:p w14:paraId="436205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и. о. директора завода «Динамо» т. Черничкину организовать в пятидневный срок на заводе специальную проектно-конструкторскую группу по танковой электротрансмиссии;</w:t>
      </w:r>
    </w:p>
    <w:p w14:paraId="2280C7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директору НИИ-627 т. Иосифьяну откомандировать в трехдневный срок на завод «Динамо» для проведения совместной работы трех инженеров и конструкторов, работавших в области элект</w:t>
      </w:r>
      <w:r w:rsidRPr="00070ADE">
        <w:rPr>
          <w:rFonts w:ascii="Times New Roman" w:hAnsi="Times New Roman"/>
          <w:color w:val="000000" w:themeColor="text1"/>
          <w:sz w:val="16"/>
          <w:szCs w:val="16"/>
        </w:rPr>
        <w:softHyphen/>
        <w:t>ротрансмиссий танков сроком на три месяца;</w:t>
      </w:r>
    </w:p>
    <w:p w14:paraId="416C3A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главному конструктору НКТП т. Котину в пятидневный срок откомандировать на завод «Ди</w:t>
      </w:r>
      <w:r w:rsidRPr="00070ADE">
        <w:rPr>
          <w:rFonts w:ascii="Times New Roman" w:hAnsi="Times New Roman"/>
          <w:color w:val="000000" w:themeColor="text1"/>
          <w:sz w:val="16"/>
          <w:szCs w:val="16"/>
        </w:rPr>
        <w:softHyphen/>
        <w:t>намо» 3 конструкторов сроком на 3 месяца;</w:t>
      </w:r>
    </w:p>
    <w:p w14:paraId="7007A8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руководство проектно-конструкторской группой возложить непосредственно на главного конструктора завода «Динамо» т. Рабиновича.</w:t>
      </w:r>
    </w:p>
    <w:p w14:paraId="70D8F2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 о. директора завода «Динамо» т. Черничкину и главному конструктору заводу т. Раби</w:t>
      </w:r>
      <w:r w:rsidRPr="00070ADE">
        <w:rPr>
          <w:rFonts w:ascii="Times New Roman" w:hAnsi="Times New Roman"/>
          <w:color w:val="000000" w:themeColor="text1"/>
          <w:sz w:val="16"/>
          <w:szCs w:val="16"/>
        </w:rPr>
        <w:softHyphen/>
        <w:t>новичу:</w:t>
      </w:r>
    </w:p>
    <w:p w14:paraId="4DEF04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разработать и передать заводу №100 НКТП габаритные размеры машин и аппаратов к 20 ию</w:t>
      </w:r>
      <w:r w:rsidRPr="00070ADE">
        <w:rPr>
          <w:rFonts w:ascii="Times New Roman" w:hAnsi="Times New Roman"/>
          <w:color w:val="000000" w:themeColor="text1"/>
          <w:sz w:val="16"/>
          <w:szCs w:val="16"/>
        </w:rPr>
        <w:softHyphen/>
        <w:t>ня 1944 г.;</w:t>
      </w:r>
    </w:p>
    <w:p w14:paraId="657BDB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разработать принципиальную схему привода и представить ее на рассмотрение техническо</w:t>
      </w:r>
      <w:r w:rsidRPr="00070ADE">
        <w:rPr>
          <w:rFonts w:ascii="Times New Roman" w:hAnsi="Times New Roman"/>
          <w:color w:val="000000" w:themeColor="text1"/>
          <w:sz w:val="16"/>
          <w:szCs w:val="16"/>
        </w:rPr>
        <w:softHyphen/>
        <w:t>го отдела Наркомэлектропрома к 1 июля 1944 г.;</w:t>
      </w:r>
    </w:p>
    <w:p w14:paraId="5BA11A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закончить рабочие чертежи электрических машин к 1 августа 1944 г.</w:t>
      </w:r>
    </w:p>
    <w:p w14:paraId="4E83F3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 о. директора завода №100 НКТП т. Солодухину и начальнику производственного отдела НКТП т. Дантян обеспечить:</w:t>
      </w:r>
    </w:p>
    <w:p w14:paraId="372DE1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изготовление технологической оснастки для завода «Динамо» к 15 августа 1944 г. согласно приложению № 1 к настоящему приказу;</w:t>
      </w:r>
    </w:p>
    <w:p w14:paraId="7639BB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изготовление и подачу на завод «Динамо» механических деталей электрических машин по чертежам последнего до 1 сентября 1944 г., согласно приложению №2 к настоящему приказу.</w:t>
      </w:r>
    </w:p>
    <w:p w14:paraId="1FD4F4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 о. директора завода «Динамо» т. Черничкину и главному конструктору завода №100 т. Ер</w:t>
      </w:r>
      <w:r w:rsidRPr="00070ADE">
        <w:rPr>
          <w:rFonts w:ascii="Times New Roman" w:hAnsi="Times New Roman"/>
          <w:color w:val="000000" w:themeColor="text1"/>
          <w:sz w:val="16"/>
          <w:szCs w:val="16"/>
        </w:rPr>
        <w:softHyphen/>
        <w:t>молаеву разработать систему электропривода вентиляций дизеля и электромашин до 20 июня 1944 г.</w:t>
      </w:r>
    </w:p>
    <w:p w14:paraId="47C195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И. о. директора завода «Динамо» т. Черничкину до 20 июня с. г. подготовить предложение по организации опытного цеха по производству опытного электрообор5&gt;дования для электротранс</w:t>
      </w:r>
      <w:r w:rsidRPr="00070ADE">
        <w:rPr>
          <w:rFonts w:ascii="Times New Roman" w:hAnsi="Times New Roman"/>
          <w:color w:val="000000" w:themeColor="text1"/>
          <w:sz w:val="16"/>
          <w:szCs w:val="16"/>
        </w:rPr>
        <w:softHyphen/>
        <w:t>миссии.</w:t>
      </w:r>
    </w:p>
    <w:p w14:paraId="689F8D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Начальнику ППО НКЭП т. Литваку выделить целевым назначением заводу «Динамо» 200 000 руб. по фонду зарплаты и разрешить расходование их на аккордные работы по данному заданию.</w:t>
      </w:r>
    </w:p>
    <w:p w14:paraId="4C1508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Зам. наркома электропромышленности т. Фалину выделить целевым назначением для про-ектно-конструкторской группы завода «Динамо» 15 карточек Р-4 и 30 талонов второго горячего блюда ежедневно.</w:t>
      </w:r>
    </w:p>
    <w:p w14:paraId="5DFAC2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Зам. наркомтанкопрома т. Мосину выделять ежемесячно с июня с. г. заводу «Динамо» для проектно-конструкторской группы по 5 карточек литер «Б» с сухим пайком.</w:t>
      </w:r>
    </w:p>
    <w:p w14:paraId="780625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Начальнику финансового отдела НКТП т. Шагалову выделить в распоряжение и. о. дирек</w:t>
      </w:r>
      <w:r w:rsidRPr="00070ADE">
        <w:rPr>
          <w:rFonts w:ascii="Times New Roman" w:hAnsi="Times New Roman"/>
          <w:color w:val="000000" w:themeColor="text1"/>
          <w:sz w:val="16"/>
          <w:szCs w:val="16"/>
        </w:rPr>
        <w:softHyphen/>
        <w:t>тора завода «Динамо» т. Черничкина 100 000 руб. для премирования работников завода за перевы</w:t>
      </w:r>
      <w:r w:rsidRPr="00070ADE">
        <w:rPr>
          <w:rFonts w:ascii="Times New Roman" w:hAnsi="Times New Roman"/>
          <w:color w:val="000000" w:themeColor="text1"/>
          <w:sz w:val="16"/>
          <w:szCs w:val="16"/>
        </w:rPr>
        <w:softHyphen/>
        <w:t>полнение заданий по разработке электротрансмиссии.</w:t>
      </w:r>
    </w:p>
    <w:p w14:paraId="1ED342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Руководство и контроль за выполнением настоящего приказа по НКЭП, а также утвержде</w:t>
      </w:r>
      <w:r w:rsidRPr="00070ADE">
        <w:rPr>
          <w:rFonts w:ascii="Times New Roman" w:hAnsi="Times New Roman"/>
          <w:color w:val="000000" w:themeColor="text1"/>
          <w:sz w:val="16"/>
          <w:szCs w:val="16"/>
        </w:rPr>
        <w:softHyphen/>
        <w:t>ние чертежей и проектов электрической части опытного танка возложить на начальника техничес</w:t>
      </w:r>
      <w:r w:rsidRPr="00070ADE">
        <w:rPr>
          <w:rFonts w:ascii="Times New Roman" w:hAnsi="Times New Roman"/>
          <w:color w:val="000000" w:themeColor="text1"/>
          <w:sz w:val="16"/>
          <w:szCs w:val="16"/>
        </w:rPr>
        <w:softHyphen/>
        <w:t>кого отдела — члена коллегии НКЭП т. Бертинова.</w:t>
      </w:r>
    </w:p>
    <w:p w14:paraId="299B2A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Контроль за выполнением настоящего приказа по НКТП возложить на начальника техниче</w:t>
      </w:r>
      <w:r w:rsidRPr="00070ADE">
        <w:rPr>
          <w:rFonts w:ascii="Times New Roman" w:hAnsi="Times New Roman"/>
          <w:color w:val="000000" w:themeColor="text1"/>
          <w:sz w:val="16"/>
          <w:szCs w:val="16"/>
        </w:rPr>
        <w:softHyphen/>
        <w:t>ского управления НКТП т. Фрезерова.</w:t>
      </w:r>
    </w:p>
    <w:p w14:paraId="40CA6C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Народный комиссар электропромышленности СССР И. Кабанов</w:t>
      </w:r>
    </w:p>
    <w:p w14:paraId="30C103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Народный комиссар танковой промышленности СССР В. Малышев</w:t>
      </w:r>
    </w:p>
    <w:p w14:paraId="77C0A0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2211. Л. 26-28. Копия (11420).</w:t>
      </w:r>
    </w:p>
    <w:p w14:paraId="33E481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3D87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мая 1944 вышло Постановление ГКО № 5972 Об отпуске продовольственных, госпитальных и фуражных пайков для Красной Армии, Военно-Морского Флота и войск НКВД в июне 1944 г. РГАНИР, Фонд ГКО, д. 257, лл. 171-173,174 (11012).</w:t>
      </w:r>
    </w:p>
    <w:p w14:paraId="33812A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D52E7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мая 1944 вышло Распоряжение ГКО № 5973. О мерах по окончанию строительства термических печей на заводах НКТП. РГАНИР, Фонд ГКО, д. 257, лл. 175 (11012).</w:t>
      </w:r>
    </w:p>
    <w:p w14:paraId="7083ABA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65D656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80840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8F8F1D"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31 мая</w:t>
      </w:r>
      <w:r w:rsidRPr="00070ADE">
        <w:rPr>
          <w:rFonts w:ascii="Times New Roman" w:hAnsi="Times New Roman"/>
          <w:color w:val="000000" w:themeColor="text1"/>
          <w:sz w:val="16"/>
          <w:szCs w:val="16"/>
        </w:rPr>
        <w:t xml:space="preserve"> в 1944 году оперативная сводка Совинформбюро:</w:t>
      </w:r>
    </w:p>
    <w:p w14:paraId="417246CB"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31 мая в районе севернее Яссы наши войска успешно отбили все атаки крупных сил пехоты и танков противника и нанесли ему большие потери в живой силе и технике. За день боя наши войска уничтожили 27 немецких танков и сбили 58 самолётов противника.</w:t>
      </w:r>
    </w:p>
    <w:p w14:paraId="5812ABF1"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уточнённым данным, в боях за 30 мая в районе севернее Яссы наши войска подбили и уничтожили 95 танков противника и сбили 106 немецких самолётов.</w:t>
      </w:r>
    </w:p>
    <w:p w14:paraId="5F5B205B"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без перемен.</w:t>
      </w:r>
    </w:p>
    <w:p w14:paraId="45F51ACD"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30 мая наши войска на всех фронтах подбили и уничтожили 97 немецких танков. В воздушных боях и огнём зенитной артиллерии сбито 142 самолёта противника.</w:t>
      </w:r>
    </w:p>
    <w:p w14:paraId="6711F8D8"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города Яссы противник, бросив в бой крупные силы, пытался развить успех на участке, где ему вчера удалось незначительно вклиниться в нашу оборону. В течение всего дня немцы силами танков и пехоты непрерывно атаковали советские позиции. Противник понёс огромные потери, но не смог продвинуться вперёд ни на один шаг. Советские пехотинцы, артиллеристы и танкисты мощным огнём и контрударами успешно отбили все атаки гитлеровцев. На поле боя остались тысячи вражеских трупов, много разбитых и сожжённых немецких танков, самоходных орудий и бронетранспортёров. На этом участке фронта немецкое командование ввело в действие крупные силы авиации. Наши лётчики и зенитчики успешно отражают налёты вражеской авиации и за два дня боёв сбили 164 немецких самолёта.</w:t>
      </w:r>
    </w:p>
    <w:p w14:paraId="37847686"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Витебск группа наших разведчиков ночью проникла в расположение противника и перерезала телефонный провод, соединявший немецкую артиллерийскую батарею с наблюдательным пунктом. Вскоре к месту повреждения линии связи подошли два немца. Разведчики Мирошин и Белоусов прикололи одного из них, а второго оглушили ударом приклада и захватили в плен. Тем временем из блиндажей выскочила группа немцев. Разведчик Цыганов огнём из пулемёта убил и ранил до 30 гитлеровцев. Воспользовавшись замешательством противника, наши разведчики перешли линию фронта и доставили взятого в плен немецкого солдата в свою часть.</w:t>
      </w:r>
    </w:p>
    <w:p w14:paraId="6FC3B66A"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наши подразделения ликвидировали несколько попыток противника разведать боем наши позиции. Немцы потеряли убитыми более 100 солдат и офицеров.</w:t>
      </w:r>
    </w:p>
    <w:p w14:paraId="4239E224"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Снайперы подразделения капитана Павловича за четыре дня истребили 72 гитлеровца. Снайпер т. Шикерук убил 9, снайпер т. Кондратюк — 6, снайпер т. Мартынюк уничтожил 4 немцев.</w:t>
      </w:r>
    </w:p>
    <w:p w14:paraId="41A54CA1"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Тирасполь наши разведчики ночью ворвались в немецкие траншеи. Советские бойцы истребили до роты гитлеровцев. Захватив 8 пулемётов, 2 миномёта и пленных, разведчики вернулись в своё подразделение.</w:t>
      </w:r>
    </w:p>
    <w:p w14:paraId="7D799640"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Отряд партизан, действующий в Дрогобычской области, 14 мая атаковал противника, укрепившегося в одном населённом пункте. Советские патриоты уничтожили 80 немцев. Взято 14 пленных, в том числе один немецкий офицер. Захвачены продовольственный склад, радиостанция, 47 винтовок, 10 повозок и 2 автомашины.</w:t>
      </w:r>
    </w:p>
    <w:p w14:paraId="3C860651"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из Берлина правящая клика Венгрии путём репрессий пытается заставить венгерских солдат воевать против Советского Союза. Однако, несмотря на террор, многие венгерские солдаты перебегают на сторону советских войск. Только за последние дни на 1 Украинском фронте на сторону Красной Армии перешло несколько сот венгерских солдат.</w:t>
      </w:r>
    </w:p>
    <w:p w14:paraId="7CAD2F02"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Пришедшие в расположение Н-ской части восемь солдат 27 венгерской лёгкопехотной дивизии рассказали: «На днях офицеры объявили нам приказ командира корпуса, в котором говорилось, что жёны, дети и все члены семей солдат, перешедших к русским, будут расстреливаться. Всё имущество перебежчиков будет конфисковано. Такими приказами предатели венгерского народа думают удержать солдат на фронте и заставить их умирать за Гитлера. Но всех солдат им не запугать. Мы не хотим быть вместе с немцами и поэтому перешли на вашу сторону».</w:t>
      </w:r>
    </w:p>
    <w:p w14:paraId="1AF15AE9"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Вслед за этой группой сдались в плен ещё 6 солдат той же дивизии. Перебежчик Иштван К. рассказал: «Ночью я и два моих товарища направились сдаваться в плен. Было очень темно, и мы никак не могли найти дорогу. В конце концов мы остановились на ночь в пустом доме. Вскоре послышались шаги и стук в дверь. В дом </w:t>
      </w:r>
      <w:r w:rsidRPr="00070ADE">
        <w:rPr>
          <w:rFonts w:ascii="Times New Roman" w:hAnsi="Times New Roman"/>
          <w:color w:val="000000" w:themeColor="text1"/>
          <w:sz w:val="16"/>
          <w:szCs w:val="16"/>
        </w:rPr>
        <w:lastRenderedPageBreak/>
        <w:t>ввалилось три человека. В темноте нельзя было разобрать кто они такие. Мы подумали было, что в роте заметили наше исчезновение и командир послал за нами погоню. Я сказал что-то невнятное по-венгерски, а потом произнёс несколько слов на русском языке. Неизвестные подняли руки вверх. Вскоре недоразумение рассеялось. Эти люди оказались солдатами другого батальона нашего же полка. Они так же, как и мы, шли сдаваться в плен и заблудились. Рано утром мы всей группой благополучно добрались до русских позиций». В тот же день в расположение наших войск пришли 18 солдат 57 полка этой дивизии. Перебежчики принесли и сдали свои винтовки, пулемёт, гранаты и 3 тысячи патронов.» (14908).</w:t>
      </w:r>
    </w:p>
    <w:p w14:paraId="383967CC" w14:textId="77777777" w:rsidR="006E5527" w:rsidRPr="00070ADE" w:rsidRDefault="006E5527" w:rsidP="00B56F90">
      <w:pPr>
        <w:spacing w:after="0" w:line="240" w:lineRule="auto"/>
        <w:jc w:val="both"/>
        <w:rPr>
          <w:rFonts w:ascii="Times New Roman" w:hAnsi="Times New Roman"/>
          <w:color w:val="000000" w:themeColor="text1"/>
          <w:sz w:val="16"/>
          <w:szCs w:val="16"/>
        </w:rPr>
      </w:pPr>
    </w:p>
    <w:p w14:paraId="0D4FDE1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мая 1944 Сталин утвердил план “Багратион” (наступление в Белоруссии) (4962).</w:t>
      </w:r>
    </w:p>
    <w:p w14:paraId="4C070DA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A404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мая 1944 г. вышла ДИРЕКТИВА КОМАНДУЮЩЕГО БТ и МВ КА КОМАНДУЮЩИМ БТ и МВ ФРОНТОВ О СБЕРЕЖЕНИИ ТАНКОВ Т-34 С 85-мм ПУШКОЙ №342</w:t>
      </w:r>
    </w:p>
    <w:p w14:paraId="404509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увеличением веса танков Т-34 по сравнению с танками прежних выпусков на 2 — 2,5 т за счет установки в них более мощной 85-мм пушки и новой башни при оставшихся без изменения двигателе, трансмиссии и ходовой части работа агрегатов и механизмов танков стала более напря</w:t>
      </w:r>
      <w:r w:rsidRPr="00070ADE">
        <w:rPr>
          <w:rFonts w:ascii="Times New Roman" w:hAnsi="Times New Roman"/>
          <w:color w:val="000000" w:themeColor="text1"/>
          <w:sz w:val="16"/>
          <w:szCs w:val="16"/>
        </w:rPr>
        <w:softHyphen/>
        <w:t>женной.</w:t>
      </w:r>
    </w:p>
    <w:p w14:paraId="338E7C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танковых и механизированных частях и соединениях при совершении маршей имеют место случаи перегрузки танков Т-34 с 85-мм пушкой дополнительным боекомплектом, бочками с ГСМ и людским десантом, что приводит к авариям и поломкам агрегатов и механизмов танков. При этом наиболее часто выходят из строя двигатели вследствие их перегрева и разрушаются зубья шестерен коробок перемены передач и бортовые передачи.</w:t>
      </w:r>
    </w:p>
    <w:p w14:paraId="7C3D3C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сбережения танков и предупреждения преждевременного выхода из строя их агрега</w:t>
      </w:r>
      <w:r w:rsidRPr="00070ADE">
        <w:rPr>
          <w:rFonts w:ascii="Times New Roman" w:hAnsi="Times New Roman"/>
          <w:color w:val="000000" w:themeColor="text1"/>
          <w:sz w:val="16"/>
          <w:szCs w:val="16"/>
        </w:rPr>
        <w:softHyphen/>
        <w:t>тов и механизмов ПРИКАЗЫВАЮ:</w:t>
      </w:r>
    </w:p>
    <w:p w14:paraId="5436C4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Категорически запретить погрузку на танки Т-34 с 85-мм пушкой дополнительных комплек</w:t>
      </w:r>
      <w:r w:rsidRPr="00070ADE">
        <w:rPr>
          <w:rFonts w:ascii="Times New Roman" w:hAnsi="Times New Roman"/>
          <w:color w:val="000000" w:themeColor="text1"/>
          <w:sz w:val="16"/>
          <w:szCs w:val="16"/>
        </w:rPr>
        <w:softHyphen/>
        <w:t>тов боеприпасов и бочек с горючим.</w:t>
      </w:r>
    </w:p>
    <w:p w14:paraId="5422F8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 танках Т-34 с 85-мм пушкой разрешить перевозку только дополнительных бачков с горю</w:t>
      </w:r>
      <w:r w:rsidRPr="00070ADE">
        <w:rPr>
          <w:rFonts w:ascii="Times New Roman" w:hAnsi="Times New Roman"/>
          <w:color w:val="000000" w:themeColor="text1"/>
          <w:sz w:val="16"/>
          <w:szCs w:val="16"/>
        </w:rPr>
        <w:softHyphen/>
        <w:t>чим, устанавливаемых танковыми заводами, и людского десанта не свыше пяти человек.</w:t>
      </w:r>
    </w:p>
    <w:p w14:paraId="5C9242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Командующим БТ и МВ фронтов и армий проследить неуклонное исполнение настоящей ди</w:t>
      </w:r>
      <w:r w:rsidRPr="00070ADE">
        <w:rPr>
          <w:rFonts w:ascii="Times New Roman" w:hAnsi="Times New Roman"/>
          <w:color w:val="000000" w:themeColor="text1"/>
          <w:sz w:val="16"/>
          <w:szCs w:val="16"/>
        </w:rPr>
        <w:softHyphen/>
        <w:t>рективы и виновных в ее нарушении привлекать к ответственности. Данную директиву довести до экипажей.</w:t>
      </w:r>
    </w:p>
    <w:p w14:paraId="71FC72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БТ и МВ КА маршал бронетанковых войск Я. Федоренко</w:t>
      </w:r>
    </w:p>
    <w:p w14:paraId="7CC125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 военного совета генерал-лейтенант танковых войск Н. Бирюков</w:t>
      </w:r>
    </w:p>
    <w:p w14:paraId="18B8AA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11362. Д. 69. Л. 54. Копия (11420).</w:t>
      </w:r>
    </w:p>
    <w:p w14:paraId="7F7618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A94E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мая 1944 г. была подготовлена ДОКЛАДНАЯ ЗАПИСКА НАЧАЛЬНИКА ГУФ и БП БТ и МВ КА КОМАНДУЮЩЕМУ БТ и МВ КА О ПОДГОТОВКЕ ЭКИПАЖЕЙ НА ТАНКИ Т-34-85 №510824</w:t>
      </w:r>
    </w:p>
    <w:p w14:paraId="2A26B5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Заводы танковой промышленности полностью перешли на выпуск танков Т-34-85; соответст</w:t>
      </w:r>
      <w:r w:rsidRPr="00070ADE">
        <w:rPr>
          <w:rFonts w:ascii="Times New Roman" w:hAnsi="Times New Roman"/>
          <w:color w:val="000000" w:themeColor="text1"/>
          <w:sz w:val="16"/>
          <w:szCs w:val="16"/>
        </w:rPr>
        <w:softHyphen/>
        <w:t>венно с этим все учебные, запасные полки Т-34 готовят экипажи на эти танки.</w:t>
      </w:r>
    </w:p>
    <w:p w14:paraId="2A074F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подготовки экипажей учебным полкам выдано взамен Т-34-76 по 4 танка Т-34-85 на полк, при штате полка 37 танков Т-34 и в запасных полках заменено большинство танков.</w:t>
      </w:r>
    </w:p>
    <w:p w14:paraId="756F8E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полным переходом учебных частей на подготовку экипажей для Т-34-85 это количест</w:t>
      </w:r>
      <w:r w:rsidRPr="00070ADE">
        <w:rPr>
          <w:rFonts w:ascii="Times New Roman" w:hAnsi="Times New Roman"/>
          <w:color w:val="000000" w:themeColor="text1"/>
          <w:sz w:val="16"/>
          <w:szCs w:val="16"/>
        </w:rPr>
        <w:softHyphen/>
        <w:t>во учебно-боевых танков в учебных и запасных полках совершенно не обеспечивает требований нормальной практической выучки экипажей.</w:t>
      </w:r>
    </w:p>
    <w:p w14:paraId="53BB49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июле с. г. полки готовят по 170 экипажей. На огневую подготовку двух человек из экипажа, которая может проводиться только на Т-34-85, необходимо по одному моточасу, всего на экипаж два моточаса. Всего на экипажи необходимо в месяц 170x2 = 340 моточасов.</w:t>
      </w:r>
    </w:p>
    <w:p w14:paraId="52ED5A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Исходя из средней месячной нормы эксплуатации танка 50 моточасов на учебный полк необходимо минимальное количество Т-34-85 340 моточасов: 50 моточасов = 7 танков. Таким образом, каждому пол</w:t>
      </w:r>
      <w:r w:rsidRPr="00070ADE">
        <w:rPr>
          <w:rFonts w:ascii="Times New Roman" w:hAnsi="Times New Roman"/>
          <w:color w:val="000000" w:themeColor="text1"/>
          <w:sz w:val="16"/>
          <w:szCs w:val="16"/>
        </w:rPr>
        <w:softHyphen/>
        <w:t>ку необходимо выдать взамен танков Т-34-76 еще по 3 танка Т-34-85, что составит на 11 полков 33 танка.</w:t>
      </w:r>
    </w:p>
    <w:p w14:paraId="76BF3C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в 3 ЗТП необходимо заменить 10 танков Т-34-76 на танки Т-34-85, так как вместо по</w:t>
      </w:r>
      <w:r w:rsidRPr="00070ADE">
        <w:rPr>
          <w:rFonts w:ascii="Times New Roman" w:hAnsi="Times New Roman"/>
          <w:color w:val="000000" w:themeColor="text1"/>
          <w:sz w:val="16"/>
          <w:szCs w:val="16"/>
        </w:rPr>
        <w:softHyphen/>
        <w:t>ложенных по штату 30 танков 3 ЗТП имеет только 20 Т-34-85, а остальные Т-34-76.</w:t>
      </w:r>
    </w:p>
    <w:p w14:paraId="219363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в июне 1944 года по учебным и запасным полкам необходимо заменить 43 танка Т-34-76 на танки Т-34-85.</w:t>
      </w:r>
    </w:p>
    <w:p w14:paraId="2E4D57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изложенного прошу Вашего распоряжения штабу БТ и МВ КА запланировать в июне с. г. к выдаче учебным частям 43 танка Т-34-85 взамен танков Т-34-76.</w:t>
      </w:r>
    </w:p>
    <w:p w14:paraId="682583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ведомость на 1 листе</w:t>
      </w:r>
    </w:p>
    <w:p w14:paraId="0238BB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ГУФ и БП БТ и МВ КА генерал-лейтенант танковых войск Фекленко</w:t>
      </w:r>
    </w:p>
    <w:p w14:paraId="5579D2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УБП БТ и МВ КА генерал-майор танковых войск Сафир</w:t>
      </w:r>
    </w:p>
    <w:p w14:paraId="3D961C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11353. Д. 1301. Л. 251. Подлинник (11420).</w:t>
      </w:r>
    </w:p>
    <w:p w14:paraId="42DF0F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26FDA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мая 1944 вышла директива наркома ВМФ Н.К.Кузнецова N ОУ-2/440 об организации помощи экипажам самолетов, сбитых противниками или терпящих бедствие (2120).</w:t>
      </w:r>
    </w:p>
    <w:p w14:paraId="181BD6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EE8E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мая 1944 постановлением СНК были установлены денежные награды и их распределение их между личным составом экипажей за потопление вражеских судов (3398,198).</w:t>
      </w:r>
    </w:p>
    <w:p w14:paraId="20CF72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6F9697" w14:textId="77777777" w:rsidR="006E5527"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40F0F1BA" w14:textId="77777777" w:rsidR="006E5527" w:rsidRPr="00070ADE" w:rsidRDefault="006E5527"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76425C"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31 мая</w:t>
      </w:r>
      <w:r w:rsidRPr="00070ADE">
        <w:rPr>
          <w:rFonts w:ascii="Times New Roman" w:hAnsi="Times New Roman"/>
          <w:color w:val="000000" w:themeColor="text1"/>
          <w:sz w:val="16"/>
          <w:szCs w:val="16"/>
        </w:rPr>
        <w:t xml:space="preserve"> в 1944 году решением Политбюро ЦК ВКП(б) в составе Совинформбюро организовано специальное Бюро по пропаганде на зарубежные страны (14908).</w:t>
      </w:r>
    </w:p>
    <w:p w14:paraId="31DCC2CD" w14:textId="77777777" w:rsidR="006E5527" w:rsidRPr="00070ADE" w:rsidRDefault="006E5527" w:rsidP="00B56F90">
      <w:pPr>
        <w:spacing w:after="0" w:line="240" w:lineRule="auto"/>
        <w:jc w:val="both"/>
        <w:rPr>
          <w:rFonts w:ascii="Times New Roman" w:hAnsi="Times New Roman"/>
          <w:color w:val="000000" w:themeColor="text1"/>
          <w:sz w:val="16"/>
          <w:szCs w:val="16"/>
        </w:rPr>
      </w:pPr>
    </w:p>
    <w:p w14:paraId="7D2A043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4FF0B8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EA9BA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мая 1944 руководство Освенцима доложило, что после начала уничтожения венгерских евреев с 17 мая собрано 40 кг золотых зубов (4962).</w:t>
      </w:r>
    </w:p>
    <w:p w14:paraId="2361E30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4E83F0"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31 мая</w:t>
      </w:r>
      <w:r w:rsidRPr="00070ADE">
        <w:rPr>
          <w:rFonts w:ascii="Times New Roman" w:hAnsi="Times New Roman"/>
          <w:color w:val="000000" w:themeColor="text1"/>
          <w:sz w:val="16"/>
          <w:szCs w:val="16"/>
        </w:rPr>
        <w:t xml:space="preserve"> в 1944 году эскортный миноносец «Ингленд» («DE-635») под командованием капитан-лейтенанта Уолтона Д.Пендлтона топит японскую субмарину «RO-105» - шестую за 13 дней. Абсолютный рекорд для кораблей американских ВМС. Вот слова адмирала Кинга (главкома U.S. Navy): "There'll always be an England in the United States Navy." Обещание не было сдержано. С 1994 года в составе американского ВМФ нет корабля с именем «England» (14908).</w:t>
      </w:r>
    </w:p>
    <w:p w14:paraId="48288194" w14:textId="77777777" w:rsidR="006E5527" w:rsidRPr="00070ADE" w:rsidRDefault="006E5527" w:rsidP="00B56F90">
      <w:pPr>
        <w:spacing w:after="0" w:line="240" w:lineRule="auto"/>
        <w:jc w:val="both"/>
        <w:rPr>
          <w:rFonts w:ascii="Times New Roman" w:hAnsi="Times New Roman"/>
          <w:color w:val="000000" w:themeColor="text1"/>
          <w:sz w:val="16"/>
          <w:szCs w:val="16"/>
        </w:rPr>
      </w:pPr>
    </w:p>
    <w:p w14:paraId="54FFDA1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65F72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A890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мая 1944 г. ГКО принял постановление № 5947, в соответствии с которым заводу №22 поручалось изготовить малую серию (5 машин) Пе-2И к 15 октября 1944 г. Однако это постановление не было выполнено. Основными причинами являлись, во-первых, нежелание руководства НКАП и завода сокращать объемы выпуска обычных Пе-2 и, во-вторых, трудности с освоением серийного производства моторов ВК-107А, которые прежде всего предназначались для истребителей Як-9У (4476).</w:t>
      </w:r>
    </w:p>
    <w:p w14:paraId="4BCAEE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25667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мая 1944 г. ГКО принял постановление № 5947, в соответствии с которым заводу № 22 поручалось изготовить малую серию (5 машин) Пе-2И к 15 октября 1944 г. Однако это постановление не было выполнено. Основными причинами являлись, во-пер- вых, нежелание руководства НКАП и завода сокращать объемы выпуска обычных Пе-2 и, во-вторых, трудности с освоением серийного производства моторов ВК-107А, которые прежде всего предназначались для истребителей Як-9У (12042).</w:t>
      </w:r>
    </w:p>
    <w:p w14:paraId="0CD83F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F0885F6" w14:textId="77777777" w:rsidR="00460F8F" w:rsidRPr="00070ADE" w:rsidRDefault="00460F8F"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5080941" w14:textId="77777777" w:rsidR="00460F8F" w:rsidRPr="00070ADE" w:rsidRDefault="00460F8F"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57E91F" w14:textId="77777777" w:rsidR="00460F8F" w:rsidRPr="00070ADE" w:rsidRDefault="00460F8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мая 1944 года начальник ГБТУ КА генерал-лейтенант Вершинин обратился на ГАЗ им. Молотова и на завод №9 с просьбой о разработке ещё одной САУ. На базу СУ-76М предлагалось установить 122-мм гаубицу М-30. Вместо ГАЗ работой занялся завод №38, работавший над этой темой ещё с апреля 1944 года. Увы, в июле 1944 года работы были свёрнуты в связи с решением о переводе завода №38 из Кирова в Харьков на площадку завода №75. Не был даже закончен эскизный проект машины (в отличие от проектов ОСУ-76 и ЗСУ-37, которые передали на завод №40). Советская лёгкая гаубичная САУ умерла, так толком и не родившись (18098).</w:t>
      </w:r>
    </w:p>
    <w:p w14:paraId="4796E9F5" w14:textId="77777777" w:rsidR="00460F8F" w:rsidRPr="00070ADE" w:rsidRDefault="00460F8F" w:rsidP="00B56F90">
      <w:pPr>
        <w:spacing w:after="0" w:line="240" w:lineRule="auto"/>
        <w:jc w:val="both"/>
        <w:rPr>
          <w:rFonts w:ascii="Times New Roman" w:hAnsi="Times New Roman"/>
          <w:color w:val="000000" w:themeColor="text1"/>
          <w:sz w:val="16"/>
          <w:szCs w:val="16"/>
        </w:rPr>
      </w:pPr>
    </w:p>
    <w:p w14:paraId="14BF4815" w14:textId="77777777" w:rsidR="009476EA" w:rsidRPr="00C94B78" w:rsidRDefault="009476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В конце мая 1944 года на ГАЗ им. Молотова пришло письмо из ГБТУ КА. Генерал-лейтенант Б.Г. Вершинин, начальник ГБТУ КА, просил руководство завода начать работы по варианту СУ-76, вооруженному 122-мм гаубицей М-30. Одновременно такой же запрос ушел на завод №9 (24906).</w:t>
      </w:r>
    </w:p>
    <w:p w14:paraId="093D1B4C" w14:textId="77777777" w:rsidR="009476EA" w:rsidRPr="00C94B78" w:rsidRDefault="009476EA" w:rsidP="00B56F90">
      <w:pPr>
        <w:spacing w:after="0" w:line="240" w:lineRule="auto"/>
        <w:jc w:val="both"/>
        <w:rPr>
          <w:rFonts w:ascii="Times New Roman" w:hAnsi="Times New Roman"/>
          <w:color w:val="0070C0"/>
          <w:sz w:val="16"/>
          <w:szCs w:val="16"/>
        </w:rPr>
      </w:pPr>
    </w:p>
    <w:p w14:paraId="039A2F7B" w14:textId="6EA93814" w:rsidR="00460F8F" w:rsidRPr="00070ADE" w:rsidRDefault="00460F8F" w:rsidP="00B56F90">
      <w:pPr>
        <w:pStyle w:val="ae"/>
        <w:spacing w:before="0" w:after="0"/>
        <w:jc w:val="both"/>
        <w:textAlignment w:val="baseline"/>
        <w:rPr>
          <w:color w:val="000000" w:themeColor="text1"/>
          <w:sz w:val="16"/>
          <w:szCs w:val="16"/>
        </w:rPr>
      </w:pPr>
      <w:r w:rsidRPr="00070ADE">
        <w:rPr>
          <w:color w:val="000000" w:themeColor="text1"/>
          <w:sz w:val="16"/>
          <w:szCs w:val="16"/>
        </w:rPr>
        <w:t>В конце мая 1944 года ГБТУ подготовило тактико-технические требования на</w:t>
      </w:r>
      <w:r w:rsidR="00B643A8" w:rsidRPr="00070ADE">
        <w:rPr>
          <w:color w:val="000000" w:themeColor="text1"/>
          <w:sz w:val="16"/>
          <w:szCs w:val="16"/>
        </w:rPr>
        <w:t xml:space="preserve"> </w:t>
      </w:r>
      <w:r w:rsidRPr="00070ADE">
        <w:rPr>
          <w:iCs/>
          <w:color w:val="000000" w:themeColor="text1"/>
          <w:sz w:val="16"/>
          <w:szCs w:val="16"/>
          <w:bdr w:val="none" w:sz="0" w:space="0" w:color="auto" w:frame="1"/>
        </w:rPr>
        <w:t>«средний танк»</w:t>
      </w:r>
      <w:r w:rsidRPr="00070ADE">
        <w:rPr>
          <w:color w:val="000000" w:themeColor="text1"/>
          <w:sz w:val="16"/>
          <w:szCs w:val="16"/>
        </w:rPr>
        <w:t>, в которых был чётко виден Т-44 по версии Главного Бронетанкового Управления. Боевая масса оценивалась в 32 т, толщина верхней лобовой плиты корпуса составляла 90 мм, а башни – до 115 мм.</w:t>
      </w:r>
    </w:p>
    <w:p w14:paraId="4D1C2A85" w14:textId="77777777" w:rsidR="00460F8F" w:rsidRPr="00070ADE" w:rsidRDefault="00460F8F" w:rsidP="00B56F90">
      <w:pPr>
        <w:pStyle w:val="ae"/>
        <w:spacing w:before="0" w:after="0"/>
        <w:jc w:val="both"/>
        <w:textAlignment w:val="baseline"/>
        <w:rPr>
          <w:color w:val="000000" w:themeColor="text1"/>
          <w:sz w:val="16"/>
          <w:szCs w:val="16"/>
        </w:rPr>
      </w:pPr>
    </w:p>
    <w:p w14:paraId="4C9809E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7FC1D2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B8D09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мая 1944 года в торжественной обстановке были переданы два корабля, построенные на средства трудящихся Кайбинского и Бугульминского районов Татарии: "Кайбинский колхозник" и "Бугульминский колхозник". Эти самолеты, оснащенные двигателями АШ-82ФН, вручили экипажам гвардии капитана Зеленского и Героя Советского Союза гвардии майора Обухова. Последний боевой Пе-8 № 42512 был принят представителями 45-й авиадивизии на заводе №22 21 июня 1944 г. (12025).</w:t>
      </w:r>
    </w:p>
    <w:p w14:paraId="5227BDE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4DA8657" w14:textId="04E83415" w:rsidR="003534A5" w:rsidRPr="00070ADE" w:rsidRDefault="003534A5"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70ADE">
        <w:rPr>
          <w:rFonts w:ascii="Times New Roman" w:hAnsi="Times New Roman"/>
          <w:i/>
          <w:iCs/>
          <w:color w:val="000000" w:themeColor="text1"/>
          <w:sz w:val="16"/>
          <w:szCs w:val="16"/>
        </w:rPr>
        <w:t>За рубежом:</w:t>
      </w:r>
    </w:p>
    <w:p w14:paraId="6191B1FA" w14:textId="77777777" w:rsidR="003534A5" w:rsidRPr="00070ADE" w:rsidRDefault="003534A5"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B22C7F8" w14:textId="77777777" w:rsidR="003534A5" w:rsidRPr="00070ADE" w:rsidRDefault="003534A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 концу мая 1944 изготовлявшееся опытное орудие </w:t>
      </w:r>
      <w:r w:rsidRPr="00070ADE">
        <w:rPr>
          <w:rFonts w:ascii="Times New Roman" w:hAnsi="Times New Roman"/>
          <w:color w:val="000000" w:themeColor="text1"/>
          <w:sz w:val="16"/>
          <w:szCs w:val="16"/>
          <w:lang w:val="en-US"/>
        </w:rPr>
        <w:t>V</w:t>
      </w:r>
      <w:r w:rsidRPr="00070ADE">
        <w:rPr>
          <w:rFonts w:ascii="Times New Roman" w:hAnsi="Times New Roman"/>
          <w:color w:val="000000" w:themeColor="text1"/>
          <w:sz w:val="16"/>
          <w:szCs w:val="16"/>
        </w:rPr>
        <w:t>-3 демонстрировало вполне сносные результаты: дальность полета снаряда достигала 80 км. Но тут, после двадцать пятого выстрела, две боковые камеры экспериментального ствола «V-3» взорвались, вследствие чего орудие получило серьезные повреждения. Были заказаны новые экземпляры камер, а следующее испытание наметили на начало июля. 4 июля снова были проведены стрельбы из экспериментального орудия. На этот раз удалось сделать восемь выстрелов и достигнуть дальности стрельбы в 93 км. После чего экспериментальное орудие снова взорвалось (22870).</w:t>
      </w:r>
    </w:p>
    <w:p w14:paraId="605E53BA" w14:textId="77777777" w:rsidR="003534A5" w:rsidRPr="00070ADE" w:rsidRDefault="003534A5" w:rsidP="00B56F90">
      <w:pPr>
        <w:spacing w:after="0" w:line="240" w:lineRule="auto"/>
        <w:jc w:val="both"/>
        <w:rPr>
          <w:rFonts w:ascii="Times New Roman" w:hAnsi="Times New Roman"/>
          <w:color w:val="000000" w:themeColor="text1"/>
          <w:sz w:val="16"/>
          <w:szCs w:val="16"/>
        </w:rPr>
      </w:pPr>
    </w:p>
    <w:p w14:paraId="59ADEAFD" w14:textId="4E605B0C"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01CC7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0EE6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мая месяца 1944 на всех серийных са</w:t>
      </w:r>
      <w:r w:rsidRPr="00070ADE">
        <w:rPr>
          <w:rFonts w:ascii="Times New Roman" w:hAnsi="Times New Roman"/>
          <w:color w:val="000000" w:themeColor="text1"/>
          <w:sz w:val="16"/>
          <w:szCs w:val="16"/>
        </w:rPr>
        <w:softHyphen/>
        <w:t>молетах Ил-2 «крыло со стрелкой» был изменен до -1°40" установочный угол стабилизатора и перенесен аккумуля</w:t>
      </w:r>
      <w:r w:rsidRPr="00070ADE">
        <w:rPr>
          <w:rFonts w:ascii="Times New Roman" w:hAnsi="Times New Roman"/>
          <w:color w:val="000000" w:themeColor="text1"/>
          <w:sz w:val="16"/>
          <w:szCs w:val="16"/>
        </w:rPr>
        <w:softHyphen/>
        <w:t>тор из хвоста в правую часть центроп</w:t>
      </w:r>
      <w:r w:rsidRPr="00070ADE">
        <w:rPr>
          <w:rFonts w:ascii="Times New Roman" w:hAnsi="Times New Roman"/>
          <w:color w:val="000000" w:themeColor="text1"/>
          <w:sz w:val="16"/>
          <w:szCs w:val="16"/>
        </w:rPr>
        <w:softHyphen/>
        <w:t>лана. Эти доработки положительно сказались на продольной устойчиво</w:t>
      </w:r>
      <w:r w:rsidRPr="00070ADE">
        <w:rPr>
          <w:rFonts w:ascii="Times New Roman" w:hAnsi="Times New Roman"/>
          <w:color w:val="000000" w:themeColor="text1"/>
          <w:sz w:val="16"/>
          <w:szCs w:val="16"/>
        </w:rPr>
        <w:softHyphen/>
        <w:t>сти и управляемости самолета (11215).</w:t>
      </w:r>
    </w:p>
    <w:p w14:paraId="359E02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D8CA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мая месяца 1944 на всех серийных самолетах Ил-2 "крыло со стрелкой" был изменен до - 1:40' установочный угол стабилизатора и перенесен аккумулятор из хвоста в правую часть центроплана. Эти доработки положительно сказались на продольной устойчивости и управляемости самолета (12020).</w:t>
      </w:r>
    </w:p>
    <w:p w14:paraId="5CDBEC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BFE90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почти одновременно в ЛИИ НКАП проводились специальные испытания серийного самолета Ил-2 (зав. № 304230) «крыло со стрелкой» произ</w:t>
      </w:r>
      <w:r w:rsidRPr="00070ADE">
        <w:rPr>
          <w:rFonts w:ascii="Times New Roman" w:hAnsi="Times New Roman"/>
          <w:color w:val="000000" w:themeColor="text1"/>
          <w:sz w:val="16"/>
          <w:szCs w:val="16"/>
        </w:rPr>
        <w:softHyphen/>
        <w:t>водства завода № 30 с целью опреде</w:t>
      </w:r>
      <w:r w:rsidRPr="00070ADE">
        <w:rPr>
          <w:rFonts w:ascii="Times New Roman" w:hAnsi="Times New Roman"/>
          <w:color w:val="000000" w:themeColor="text1"/>
          <w:sz w:val="16"/>
          <w:szCs w:val="16"/>
        </w:rPr>
        <w:softHyphen/>
        <w:t>ления максимальных эксплуатацион</w:t>
      </w:r>
      <w:r w:rsidRPr="00070ADE">
        <w:rPr>
          <w:rFonts w:ascii="Times New Roman" w:hAnsi="Times New Roman"/>
          <w:color w:val="000000" w:themeColor="text1"/>
          <w:sz w:val="16"/>
          <w:szCs w:val="16"/>
        </w:rPr>
        <w:softHyphen/>
        <w:t>ных перегрузок.</w:t>
      </w:r>
    </w:p>
    <w:p w14:paraId="700C51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показали, что на само</w:t>
      </w:r>
      <w:r w:rsidRPr="00070ADE">
        <w:rPr>
          <w:rFonts w:ascii="Times New Roman" w:hAnsi="Times New Roman"/>
          <w:color w:val="000000" w:themeColor="text1"/>
          <w:sz w:val="16"/>
          <w:szCs w:val="16"/>
        </w:rPr>
        <w:softHyphen/>
        <w:t xml:space="preserve">лете Ил-2 «крыло со стрелкой» выход из пикирования происходит </w:t>
      </w:r>
      <w:r w:rsidRPr="00070ADE">
        <w:rPr>
          <w:rFonts w:ascii="Times New Roman" w:hAnsi="Times New Roman"/>
          <w:iCs/>
          <w:color w:val="000000" w:themeColor="text1"/>
          <w:sz w:val="16"/>
          <w:szCs w:val="16"/>
        </w:rPr>
        <w:t xml:space="preserve">«при больших усилиях по величине и более продолжительное время», </w:t>
      </w:r>
      <w:r w:rsidRPr="00070ADE">
        <w:rPr>
          <w:rFonts w:ascii="Times New Roman" w:hAnsi="Times New Roman"/>
          <w:color w:val="000000" w:themeColor="text1"/>
          <w:sz w:val="16"/>
          <w:szCs w:val="16"/>
        </w:rPr>
        <w:t>чем на Ил-2 с обычным крылом. Эксплуатационные перегрузки порядка 5 единиц могут быть получены лишь при очень резком отклонении ручки «на себя» с больши</w:t>
      </w:r>
      <w:r w:rsidRPr="00070ADE">
        <w:rPr>
          <w:rFonts w:ascii="Times New Roman" w:hAnsi="Times New Roman"/>
          <w:color w:val="000000" w:themeColor="text1"/>
          <w:sz w:val="16"/>
          <w:szCs w:val="16"/>
        </w:rPr>
        <w:softHyphen/>
        <w:t>ми усилиями. При этом самолет реаги</w:t>
      </w:r>
      <w:r w:rsidRPr="00070ADE">
        <w:rPr>
          <w:rFonts w:ascii="Times New Roman" w:hAnsi="Times New Roman"/>
          <w:color w:val="000000" w:themeColor="text1"/>
          <w:sz w:val="16"/>
          <w:szCs w:val="16"/>
        </w:rPr>
        <w:softHyphen/>
        <w:t>рует не сразу, несколько запаздывает и выходит из пикирования более плав</w:t>
      </w:r>
      <w:r w:rsidRPr="00070ADE">
        <w:rPr>
          <w:rFonts w:ascii="Times New Roman" w:hAnsi="Times New Roman"/>
          <w:color w:val="000000" w:themeColor="text1"/>
          <w:sz w:val="16"/>
          <w:szCs w:val="16"/>
        </w:rPr>
        <w:softHyphen/>
        <w:t>но. Отклонение ручки «на себя» требу</w:t>
      </w:r>
      <w:r w:rsidRPr="00070ADE">
        <w:rPr>
          <w:rFonts w:ascii="Times New Roman" w:hAnsi="Times New Roman"/>
          <w:color w:val="000000" w:themeColor="text1"/>
          <w:sz w:val="16"/>
          <w:szCs w:val="16"/>
        </w:rPr>
        <w:softHyphen/>
        <w:t>ет усилий порядка 15-20 кг.</w:t>
      </w:r>
    </w:p>
    <w:p w14:paraId="23AF2C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Перегрузка 6,2 единицы на скорос</w:t>
      </w:r>
      <w:r w:rsidRPr="00070ADE">
        <w:rPr>
          <w:rFonts w:ascii="Times New Roman" w:hAnsi="Times New Roman"/>
          <w:color w:val="000000" w:themeColor="text1"/>
          <w:sz w:val="16"/>
          <w:szCs w:val="16"/>
        </w:rPr>
        <w:softHyphen/>
        <w:t>ти 454 км/ч по прибору была получена летчиком Шунейко только в одном по</w:t>
      </w:r>
      <w:r w:rsidRPr="00070ADE">
        <w:rPr>
          <w:rFonts w:ascii="Times New Roman" w:hAnsi="Times New Roman"/>
          <w:color w:val="000000" w:themeColor="text1"/>
          <w:sz w:val="16"/>
          <w:szCs w:val="16"/>
        </w:rPr>
        <w:softHyphen/>
        <w:t>лете. Однако на самолете произошло смятие заклепок у косынок, располо</w:t>
      </w:r>
      <w:r w:rsidRPr="00070ADE">
        <w:rPr>
          <w:rFonts w:ascii="Times New Roman" w:hAnsi="Times New Roman"/>
          <w:color w:val="000000" w:themeColor="text1"/>
          <w:sz w:val="16"/>
          <w:szCs w:val="16"/>
        </w:rPr>
        <w:softHyphen/>
        <w:t>женных сверху (в сжатой зоне) в сред</w:t>
      </w:r>
      <w:r w:rsidRPr="00070ADE">
        <w:rPr>
          <w:rFonts w:ascii="Times New Roman" w:hAnsi="Times New Roman"/>
          <w:color w:val="000000" w:themeColor="text1"/>
          <w:sz w:val="16"/>
          <w:szCs w:val="16"/>
        </w:rPr>
        <w:softHyphen/>
        <w:t>ней части крыла, а также деформиро</w:t>
      </w:r>
      <w:r w:rsidRPr="00070ADE">
        <w:rPr>
          <w:rFonts w:ascii="Times New Roman" w:hAnsi="Times New Roman"/>
          <w:color w:val="000000" w:themeColor="text1"/>
          <w:sz w:val="16"/>
          <w:szCs w:val="16"/>
        </w:rPr>
        <w:softHyphen/>
        <w:t>вались после потери устойчивости по</w:t>
      </w:r>
      <w:r w:rsidRPr="00070ADE">
        <w:rPr>
          <w:rFonts w:ascii="Times New Roman" w:hAnsi="Times New Roman"/>
          <w:color w:val="000000" w:themeColor="text1"/>
          <w:sz w:val="16"/>
          <w:szCs w:val="16"/>
        </w:rPr>
        <w:softHyphen/>
        <w:t>перечные профили крыла. На выходе из пикирования Шунейко наблюдал образование волн на обшивке крыла.</w:t>
      </w:r>
    </w:p>
    <w:p w14:paraId="125DBB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появлением Ил-2 «крыло со стрел</w:t>
      </w:r>
      <w:r w:rsidRPr="00070ADE">
        <w:rPr>
          <w:rFonts w:ascii="Times New Roman" w:hAnsi="Times New Roman"/>
          <w:color w:val="000000" w:themeColor="text1"/>
          <w:sz w:val="16"/>
          <w:szCs w:val="16"/>
        </w:rPr>
        <w:softHyphen/>
        <w:t>кой» появилась возможность улучшить и защиту воздушного стрелка. Уже к 1 июня 1944 г. были разработаны удли</w:t>
      </w:r>
      <w:r w:rsidRPr="00070ADE">
        <w:rPr>
          <w:rFonts w:ascii="Times New Roman" w:hAnsi="Times New Roman"/>
          <w:color w:val="000000" w:themeColor="text1"/>
          <w:sz w:val="16"/>
          <w:szCs w:val="16"/>
        </w:rPr>
        <w:softHyphen/>
        <w:t>ненный бронекорпус с перераспределенной толщиной брони, включающий кабину стрелка, и ремонтный комплект дополнительной брони стрелка. Рем-комплект предполагалось устанавливать на уже выпущенные Ил-2 «крыло со стрелкой» с обычным бронекорпусом силами техсостава строевых частей.</w:t>
      </w:r>
    </w:p>
    <w:p w14:paraId="30F101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Верхняя передняя часть нового бронекорпуса выполнялась из дюра-люминовых листов, поскольку, как по</w:t>
      </w:r>
      <w:r w:rsidRPr="00070ADE">
        <w:rPr>
          <w:rFonts w:ascii="Times New Roman" w:hAnsi="Times New Roman"/>
          <w:color w:val="000000" w:themeColor="text1"/>
          <w:sz w:val="16"/>
          <w:szCs w:val="16"/>
        </w:rPr>
        <w:softHyphen/>
        <w:t>казал боевой опыт, она практически не поражалась в воздушных боях. Вертикальная бронеплита под капотом и бронедиск за втулкой винта заменя</w:t>
      </w:r>
      <w:r w:rsidRPr="00070ADE">
        <w:rPr>
          <w:rFonts w:ascii="Times New Roman" w:hAnsi="Times New Roman"/>
          <w:color w:val="000000" w:themeColor="text1"/>
          <w:sz w:val="16"/>
          <w:szCs w:val="16"/>
        </w:rPr>
        <w:softHyphen/>
        <w:t>лись дюралевыми. Толщина нижних боковых стенок капота мотора увели</w:t>
      </w:r>
      <w:r w:rsidRPr="00070ADE">
        <w:rPr>
          <w:rFonts w:ascii="Times New Roman" w:hAnsi="Times New Roman"/>
          <w:color w:val="000000" w:themeColor="text1"/>
          <w:sz w:val="16"/>
          <w:szCs w:val="16"/>
        </w:rPr>
        <w:softHyphen/>
        <w:t>чивалась до 6 и 8 мм, а толщина боко</w:t>
      </w:r>
      <w:r w:rsidRPr="00070ADE">
        <w:rPr>
          <w:rFonts w:ascii="Times New Roman" w:hAnsi="Times New Roman"/>
          <w:color w:val="000000" w:themeColor="text1"/>
          <w:sz w:val="16"/>
          <w:szCs w:val="16"/>
        </w:rPr>
        <w:softHyphen/>
        <w:t>вых стенок кабины пилота, наоборот, уменьшалась до 4 и 5 мм. Кабина стрел</w:t>
      </w:r>
      <w:r w:rsidRPr="00070ADE">
        <w:rPr>
          <w:rFonts w:ascii="Times New Roman" w:hAnsi="Times New Roman"/>
          <w:color w:val="000000" w:themeColor="text1"/>
          <w:sz w:val="16"/>
          <w:szCs w:val="16"/>
        </w:rPr>
        <w:softHyphen/>
        <w:t>ка целиком имела 5-мм броню. Пере</w:t>
      </w:r>
      <w:r w:rsidRPr="00070ADE">
        <w:rPr>
          <w:rFonts w:ascii="Times New Roman" w:hAnsi="Times New Roman"/>
          <w:color w:val="000000" w:themeColor="text1"/>
          <w:sz w:val="16"/>
          <w:szCs w:val="16"/>
        </w:rPr>
        <w:softHyphen/>
        <w:t>дняя и средняя части бронекорпуса, как и ранее, выполнялись из броневых ли</w:t>
      </w:r>
      <w:r w:rsidRPr="00070ADE">
        <w:rPr>
          <w:rFonts w:ascii="Times New Roman" w:hAnsi="Times New Roman"/>
          <w:color w:val="000000" w:themeColor="text1"/>
          <w:sz w:val="16"/>
          <w:szCs w:val="16"/>
        </w:rPr>
        <w:softHyphen/>
        <w:t>стов толщиной от 4 до б мм. В сравне</w:t>
      </w:r>
      <w:r w:rsidRPr="00070ADE">
        <w:rPr>
          <w:rFonts w:ascii="Times New Roman" w:hAnsi="Times New Roman"/>
          <w:color w:val="000000" w:themeColor="text1"/>
          <w:sz w:val="16"/>
          <w:szCs w:val="16"/>
        </w:rPr>
        <w:softHyphen/>
        <w:t>нии с серийным Ил-2 общий вес метал</w:t>
      </w:r>
      <w:r w:rsidRPr="00070ADE">
        <w:rPr>
          <w:rFonts w:ascii="Times New Roman" w:hAnsi="Times New Roman"/>
          <w:color w:val="000000" w:themeColor="text1"/>
          <w:sz w:val="16"/>
          <w:szCs w:val="16"/>
        </w:rPr>
        <w:softHyphen/>
        <w:t>лической брони увеличился на 55 кг.</w:t>
      </w:r>
    </w:p>
    <w:p w14:paraId="28D9B0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Ремкомплект включал в себя девять бронеплит толщиной по 5 мм каждая, соединенных между собой уголками и болтами. Их сборка проводилась по заранее просверленным отверстиям. Два подготовленных техника монтиро</w:t>
      </w:r>
      <w:r w:rsidRPr="00070ADE">
        <w:rPr>
          <w:rFonts w:ascii="Times New Roman" w:hAnsi="Times New Roman"/>
          <w:color w:val="000000" w:themeColor="text1"/>
          <w:sz w:val="16"/>
          <w:szCs w:val="16"/>
        </w:rPr>
        <w:softHyphen/>
        <w:t>вали кабину стрелка за два дня. Вес бронедеталей с креплением не превы</w:t>
      </w:r>
      <w:r w:rsidRPr="00070ADE">
        <w:rPr>
          <w:rFonts w:ascii="Times New Roman" w:hAnsi="Times New Roman"/>
          <w:color w:val="000000" w:themeColor="text1"/>
          <w:sz w:val="16"/>
          <w:szCs w:val="16"/>
        </w:rPr>
        <w:softHyphen/>
        <w:t>шал 41 кг.</w:t>
      </w:r>
    </w:p>
    <w:p w14:paraId="425E6E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Вооружение </w:t>
      </w:r>
      <w:r w:rsidRPr="00070ADE">
        <w:rPr>
          <w:rFonts w:ascii="Times New Roman" w:hAnsi="Times New Roman"/>
          <w:iCs/>
          <w:color w:val="000000" w:themeColor="text1"/>
          <w:sz w:val="16"/>
          <w:szCs w:val="16"/>
        </w:rPr>
        <w:t xml:space="preserve">в </w:t>
      </w:r>
      <w:r w:rsidRPr="00070ADE">
        <w:rPr>
          <w:rFonts w:ascii="Times New Roman" w:hAnsi="Times New Roman"/>
          <w:color w:val="000000" w:themeColor="text1"/>
          <w:sz w:val="16"/>
          <w:szCs w:val="16"/>
        </w:rPr>
        <w:t>целом соответство</w:t>
      </w:r>
      <w:r w:rsidRPr="00070ADE">
        <w:rPr>
          <w:rFonts w:ascii="Times New Roman" w:hAnsi="Times New Roman"/>
          <w:color w:val="000000" w:themeColor="text1"/>
          <w:sz w:val="16"/>
          <w:szCs w:val="16"/>
        </w:rPr>
        <w:softHyphen/>
        <w:t>вало серийным вариантам Ил-2 с обыч</w:t>
      </w:r>
      <w:r w:rsidRPr="00070ADE">
        <w:rPr>
          <w:rFonts w:ascii="Times New Roman" w:hAnsi="Times New Roman"/>
          <w:color w:val="000000" w:themeColor="text1"/>
          <w:sz w:val="16"/>
          <w:szCs w:val="16"/>
        </w:rPr>
        <w:softHyphen/>
        <w:t>ным бронекорпусом, но бомбовая на</w:t>
      </w:r>
      <w:r w:rsidRPr="00070ADE">
        <w:rPr>
          <w:rFonts w:ascii="Times New Roman" w:hAnsi="Times New Roman"/>
          <w:color w:val="000000" w:themeColor="text1"/>
          <w:sz w:val="16"/>
          <w:szCs w:val="16"/>
        </w:rPr>
        <w:softHyphen/>
        <w:t>грузка ограничивалась 400 кг (11215).</w:t>
      </w:r>
    </w:p>
    <w:p w14:paraId="3BD4FD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18D6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в НИИ ВВС проходил испытания самолет Ил-2 с установкой кинопулемета ПАУ-22 в левой гондоле шасси. Оказалось, что установка не обеспечивает хорошего качества фотоснимков и нормальной эксплуатации. Необходимо было увеличить жесткость и нормальные условия пристрелки кино</w:t>
      </w:r>
      <w:r w:rsidRPr="00070ADE">
        <w:rPr>
          <w:rFonts w:ascii="Times New Roman" w:hAnsi="Times New Roman"/>
          <w:color w:val="000000" w:themeColor="text1"/>
          <w:sz w:val="16"/>
          <w:szCs w:val="16"/>
        </w:rPr>
        <w:softHyphen/>
        <w:t>пулемета.</w:t>
      </w:r>
    </w:p>
    <w:p w14:paraId="54FCB9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Через два месяца на испытания поступил серийный Ил-2 зав. № 1872567 с установленным в обтекателе правой стойки шасси кинопулеметом GSAP. Эти кинопулеметы поставлялись в СССР фирмами Fairchild и BELL Howell. Конструктивное раз</w:t>
      </w:r>
      <w:r w:rsidRPr="00070ADE">
        <w:rPr>
          <w:rFonts w:ascii="Times New Roman" w:hAnsi="Times New Roman"/>
          <w:color w:val="000000" w:themeColor="text1"/>
          <w:sz w:val="16"/>
          <w:szCs w:val="16"/>
        </w:rPr>
        <w:softHyphen/>
        <w:t>личие этих кинопулеметов состоит лишь в мелких деталях. По внешнему виду и основным характеристикам кинопулеметы идентичны. Установка была разработана в КБ опытного завода</w:t>
      </w:r>
    </w:p>
    <w:p w14:paraId="7E5F54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НИИ ВВС.</w:t>
      </w:r>
    </w:p>
    <w:p w14:paraId="2A3AF7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Включение кинопулемета производилось при нажатии гашетки оружия. Наводка и пристрелка кинопулемета обес</w:t>
      </w:r>
      <w:r w:rsidRPr="00070ADE">
        <w:rPr>
          <w:rFonts w:ascii="Times New Roman" w:hAnsi="Times New Roman"/>
          <w:color w:val="000000" w:themeColor="text1"/>
          <w:sz w:val="16"/>
          <w:szCs w:val="16"/>
        </w:rPr>
        <w:softHyphen/>
        <w:t>печивается наличием в уста</w:t>
      </w:r>
      <w:r w:rsidRPr="00070ADE">
        <w:rPr>
          <w:rFonts w:ascii="Times New Roman" w:hAnsi="Times New Roman"/>
          <w:color w:val="000000" w:themeColor="text1"/>
          <w:sz w:val="16"/>
          <w:szCs w:val="16"/>
        </w:rPr>
        <w:softHyphen/>
        <w:t>новке разрезной шаровой го</w:t>
      </w:r>
      <w:r w:rsidRPr="00070ADE">
        <w:rPr>
          <w:rFonts w:ascii="Times New Roman" w:hAnsi="Times New Roman"/>
          <w:color w:val="000000" w:themeColor="text1"/>
          <w:sz w:val="16"/>
          <w:szCs w:val="16"/>
        </w:rPr>
        <w:softHyphen/>
        <w:t>ловки с двумя зажимными болтами.</w:t>
      </w:r>
    </w:p>
    <w:p w14:paraId="3330A4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проводились в период с 24 по 26 июля 1944 г. За время испытаний выполне</w:t>
      </w:r>
      <w:r w:rsidRPr="00070ADE">
        <w:rPr>
          <w:rFonts w:ascii="Times New Roman" w:hAnsi="Times New Roman"/>
          <w:color w:val="000000" w:themeColor="text1"/>
          <w:sz w:val="16"/>
          <w:szCs w:val="16"/>
        </w:rPr>
        <w:softHyphen/>
        <w:t>но четыре полета общей про</w:t>
      </w:r>
      <w:r w:rsidRPr="00070ADE">
        <w:rPr>
          <w:rFonts w:ascii="Times New Roman" w:hAnsi="Times New Roman"/>
          <w:color w:val="000000" w:themeColor="text1"/>
          <w:sz w:val="16"/>
          <w:szCs w:val="16"/>
        </w:rPr>
        <w:softHyphen/>
        <w:t>должительностью 1 ч 35 мин. Была проведена киносъемка во время пикирования со стрель</w:t>
      </w:r>
      <w:r w:rsidRPr="00070ADE">
        <w:rPr>
          <w:rFonts w:ascii="Times New Roman" w:hAnsi="Times New Roman"/>
          <w:color w:val="000000" w:themeColor="text1"/>
          <w:sz w:val="16"/>
          <w:szCs w:val="16"/>
        </w:rPr>
        <w:softHyphen/>
        <w:t>бой по наземным целям, а так</w:t>
      </w:r>
      <w:r w:rsidRPr="00070ADE">
        <w:rPr>
          <w:rFonts w:ascii="Times New Roman" w:hAnsi="Times New Roman"/>
          <w:color w:val="000000" w:themeColor="text1"/>
          <w:sz w:val="16"/>
          <w:szCs w:val="16"/>
        </w:rPr>
        <w:softHyphen/>
        <w:t>же в пикирующем полете без стрельбы.</w:t>
      </w:r>
    </w:p>
    <w:p w14:paraId="6C2B08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Установлено, что конструк</w:t>
      </w:r>
      <w:r w:rsidRPr="00070ADE">
        <w:rPr>
          <w:rFonts w:ascii="Times New Roman" w:hAnsi="Times New Roman"/>
          <w:color w:val="000000" w:themeColor="text1"/>
          <w:sz w:val="16"/>
          <w:szCs w:val="16"/>
        </w:rPr>
        <w:softHyphen/>
        <w:t>ция установки кинопулеметов на самолете обладает достаточ</w:t>
      </w:r>
      <w:r w:rsidRPr="00070ADE">
        <w:rPr>
          <w:rFonts w:ascii="Times New Roman" w:hAnsi="Times New Roman"/>
          <w:color w:val="000000" w:themeColor="text1"/>
          <w:sz w:val="16"/>
          <w:szCs w:val="16"/>
        </w:rPr>
        <w:softHyphen/>
        <w:t>ной жесткостью и не создает кинопулемету дополнительных вибраций. При съемках на земле при работающем моторе и при съемках в воздухе без стрельбы из оружия устойчи</w:t>
      </w:r>
      <w:r w:rsidRPr="00070ADE">
        <w:rPr>
          <w:rFonts w:ascii="Times New Roman" w:hAnsi="Times New Roman"/>
          <w:color w:val="000000" w:themeColor="text1"/>
          <w:sz w:val="16"/>
          <w:szCs w:val="16"/>
        </w:rPr>
        <w:softHyphen/>
        <w:t>вость кадра и резкость изобра</w:t>
      </w:r>
      <w:r w:rsidRPr="00070ADE">
        <w:rPr>
          <w:rFonts w:ascii="Times New Roman" w:hAnsi="Times New Roman"/>
          <w:color w:val="000000" w:themeColor="text1"/>
          <w:sz w:val="16"/>
          <w:szCs w:val="16"/>
        </w:rPr>
        <w:softHyphen/>
        <w:t>жения на кинокадре получают</w:t>
      </w:r>
      <w:r w:rsidRPr="00070ADE">
        <w:rPr>
          <w:rFonts w:ascii="Times New Roman" w:hAnsi="Times New Roman"/>
          <w:color w:val="000000" w:themeColor="text1"/>
          <w:sz w:val="16"/>
          <w:szCs w:val="16"/>
        </w:rPr>
        <w:softHyphen/>
        <w:t>ся вполне удовлетворительные. При съемке во время стрельбы из крыльевых пушек ВЯ-23 получаются сдвиги от</w:t>
      </w:r>
      <w:r w:rsidRPr="00070ADE">
        <w:rPr>
          <w:rFonts w:ascii="Times New Roman" w:hAnsi="Times New Roman"/>
          <w:color w:val="000000" w:themeColor="text1"/>
          <w:sz w:val="16"/>
          <w:szCs w:val="16"/>
        </w:rPr>
        <w:softHyphen/>
        <w:t>дельных кадров, совпадаю</w:t>
      </w:r>
      <w:r w:rsidRPr="00070ADE">
        <w:rPr>
          <w:rFonts w:ascii="Times New Roman" w:hAnsi="Times New Roman"/>
          <w:color w:val="000000" w:themeColor="text1"/>
          <w:sz w:val="16"/>
          <w:szCs w:val="16"/>
        </w:rPr>
        <w:softHyphen/>
        <w:t>щих с моментом выстрела. Остальные кадры из очереди получаются по резкости и ус</w:t>
      </w:r>
      <w:r w:rsidRPr="00070ADE">
        <w:rPr>
          <w:rFonts w:ascii="Times New Roman" w:hAnsi="Times New Roman"/>
          <w:color w:val="000000" w:themeColor="text1"/>
          <w:sz w:val="16"/>
          <w:szCs w:val="16"/>
        </w:rPr>
        <w:softHyphen/>
        <w:t>тойчивости вполне удовле</w:t>
      </w:r>
      <w:r w:rsidRPr="00070ADE">
        <w:rPr>
          <w:rFonts w:ascii="Times New Roman" w:hAnsi="Times New Roman"/>
          <w:color w:val="000000" w:themeColor="text1"/>
          <w:sz w:val="16"/>
          <w:szCs w:val="16"/>
        </w:rPr>
        <w:softHyphen/>
        <w:t>творительными.</w:t>
      </w:r>
    </w:p>
    <w:p w14:paraId="49EFD7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Делался вывод, что «кино</w:t>
      </w:r>
      <w:r w:rsidRPr="00070ADE">
        <w:rPr>
          <w:rFonts w:ascii="Times New Roman" w:hAnsi="Times New Roman"/>
          <w:color w:val="000000" w:themeColor="text1"/>
          <w:sz w:val="16"/>
          <w:szCs w:val="16"/>
        </w:rPr>
        <w:softHyphen/>
        <w:t>кадры, полученные с помо</w:t>
      </w:r>
      <w:r w:rsidRPr="00070ADE">
        <w:rPr>
          <w:rFonts w:ascii="Times New Roman" w:hAnsi="Times New Roman"/>
          <w:color w:val="000000" w:themeColor="text1"/>
          <w:sz w:val="16"/>
          <w:szCs w:val="16"/>
        </w:rPr>
        <w:softHyphen/>
        <w:t>щью кинопулемета С5АР на самолете Ил-2, по своему качеству удовлетворительны и могут достаточно хорошо дешифриро</w:t>
      </w:r>
      <w:r w:rsidRPr="00070ADE">
        <w:rPr>
          <w:rFonts w:ascii="Times New Roman" w:hAnsi="Times New Roman"/>
          <w:color w:val="000000" w:themeColor="text1"/>
          <w:sz w:val="16"/>
          <w:szCs w:val="16"/>
        </w:rPr>
        <w:softHyphen/>
        <w:t>ваться, что обеспечивает осуществление контроля боевых дей</w:t>
      </w:r>
      <w:r w:rsidRPr="00070ADE">
        <w:rPr>
          <w:rFonts w:ascii="Times New Roman" w:hAnsi="Times New Roman"/>
          <w:color w:val="000000" w:themeColor="text1"/>
          <w:sz w:val="16"/>
          <w:szCs w:val="16"/>
        </w:rPr>
        <w:softHyphen/>
        <w:t>ствий самолетов».</w:t>
      </w:r>
    </w:p>
    <w:p w14:paraId="1132E9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заключение отчета установка рекомендовалась к внедре</w:t>
      </w:r>
      <w:r w:rsidRPr="00070ADE">
        <w:rPr>
          <w:rFonts w:ascii="Times New Roman" w:hAnsi="Times New Roman"/>
          <w:color w:val="000000" w:themeColor="text1"/>
          <w:sz w:val="16"/>
          <w:szCs w:val="16"/>
        </w:rPr>
        <w:softHyphen/>
        <w:t>нию в частях действующей армии. При этом детали установки могли быть изготовлены на местах в полевых авиаремонтных мастерских (11474,394).</w:t>
      </w:r>
    </w:p>
    <w:p w14:paraId="6937E7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19ECF0" w14:textId="77777777" w:rsidR="009D7F3A" w:rsidRPr="00070ADE" w:rsidRDefault="009D7F3A"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63" w:name="_Hlk51395241"/>
      <w:r w:rsidRPr="00070ADE">
        <w:rPr>
          <w:rFonts w:ascii="Times New Roman" w:eastAsia="Times New Roman" w:hAnsi="Times New Roman"/>
          <w:color w:val="000000" w:themeColor="text1"/>
          <w:sz w:val="16"/>
          <w:szCs w:val="16"/>
          <w:lang w:eastAsia="ru-RU"/>
        </w:rPr>
        <w:t>В мае 1944 контрольные испытания в НИИ ВВС проходил Ил-2КР зав. № 10704 с мотором АМ-38ф производства завода № 1 им. Сталина с радиостанцией РСБ-3бис (Растренин)</w:t>
      </w:r>
    </w:p>
    <w:p w14:paraId="79A38767" w14:textId="77777777" w:rsidR="009D7F3A" w:rsidRPr="00070ADE" w:rsidRDefault="009D7F3A"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p>
    <w:bookmarkEnd w:id="63"/>
    <w:p w14:paraId="20AA82FB" w14:textId="77777777" w:rsidR="00963744" w:rsidRPr="00070ADE" w:rsidRDefault="00963744"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мае 1944 г. в ЦАГИ, ЛИИ НКАП и НИИ АВ ВВС закончились специальные исследования по определению прочности крыла Ил-2 с пушками 11П, величины силы отдачи таких пушек при стрельбе на упругом лафете и влияние стрельбы из них на конструкцию самолета Ил-2, укоторые проводились с февраля.</w:t>
      </w:r>
    </w:p>
    <w:p w14:paraId="486F8E2E" w14:textId="77777777" w:rsidR="00963744" w:rsidRPr="00070ADE" w:rsidRDefault="00963744"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Так, уже к 20 марта в 4-й лаборатории ЛИИ НКАП была завершена работа по определению си</w:t>
      </w:r>
      <w:r w:rsidRPr="00070ADE">
        <w:rPr>
          <w:color w:val="000000" w:themeColor="text1"/>
          <w:sz w:val="16"/>
          <w:szCs w:val="16"/>
        </w:rPr>
        <w:softHyphen/>
        <w:t>лы отдачи пушки 11П при закреплении на лафете с различной жесткостью.</w:t>
      </w:r>
    </w:p>
    <w:p w14:paraId="7AAE60FC" w14:textId="77777777" w:rsidR="00963744" w:rsidRPr="00070ADE" w:rsidRDefault="00963744"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Испытывалась пушка серийного изготовления, полученная со склада завода № 30. В цилиндр ги</w:t>
      </w:r>
      <w:r w:rsidRPr="00070ADE">
        <w:rPr>
          <w:color w:val="000000" w:themeColor="text1"/>
          <w:sz w:val="16"/>
          <w:szCs w:val="16"/>
        </w:rPr>
        <w:softHyphen/>
        <w:t>дротормоза заливалась штатная водоглицериновая смесь. Все стрельбы выполнялись при температуре окружающего воздуха 5—10°</w:t>
      </w:r>
      <w:r w:rsidRPr="00070ADE">
        <w:rPr>
          <w:color w:val="000000" w:themeColor="text1"/>
          <w:sz w:val="16"/>
          <w:szCs w:val="16"/>
          <w:lang w:val="en-US"/>
        </w:rPr>
        <w:t>C</w:t>
      </w:r>
      <w:r w:rsidRPr="00070ADE">
        <w:rPr>
          <w:color w:val="000000" w:themeColor="text1"/>
          <w:sz w:val="16"/>
          <w:szCs w:val="16"/>
        </w:rPr>
        <w:t>.</w:t>
      </w:r>
    </w:p>
    <w:p w14:paraId="0ECBA16E" w14:textId="77777777" w:rsidR="00963744" w:rsidRPr="00070ADE" w:rsidRDefault="0096374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Было установлено, что сила отдачи пушки «зави</w:t>
      </w:r>
      <w:r w:rsidRPr="00070ADE">
        <w:rPr>
          <w:rFonts w:ascii="Times New Roman" w:hAnsi="Times New Roman"/>
          <w:color w:val="000000" w:themeColor="text1"/>
          <w:sz w:val="16"/>
          <w:szCs w:val="16"/>
        </w:rPr>
        <w:softHyphen/>
        <w:t>сит от жесткости ее опоры и для испытанного об</w:t>
      </w:r>
      <w:r w:rsidRPr="00070ADE">
        <w:rPr>
          <w:rFonts w:ascii="Times New Roman" w:hAnsi="Times New Roman"/>
          <w:color w:val="000000" w:themeColor="text1"/>
          <w:sz w:val="16"/>
          <w:szCs w:val="16"/>
        </w:rPr>
        <w:softHyphen/>
        <w:t>разца пушки изменяется в пределах 3400—5000 кг и выше (при жесткостях выше 700 кг/мм)». При определении силы отдачи пушки необходимо учи</w:t>
      </w:r>
      <w:r w:rsidRPr="00070ADE">
        <w:rPr>
          <w:rFonts w:ascii="Times New Roman" w:hAnsi="Times New Roman"/>
          <w:color w:val="000000" w:themeColor="text1"/>
          <w:sz w:val="16"/>
          <w:szCs w:val="16"/>
        </w:rPr>
        <w:softHyphen/>
        <w:t>тывать смещение крепления пушки при стрельбе: «при статической силе, равной силе отдачи, кре</w:t>
      </w:r>
      <w:r w:rsidRPr="00070ADE">
        <w:rPr>
          <w:rFonts w:ascii="Times New Roman" w:hAnsi="Times New Roman"/>
          <w:color w:val="000000" w:themeColor="text1"/>
          <w:sz w:val="16"/>
          <w:szCs w:val="16"/>
        </w:rPr>
        <w:softHyphen/>
        <w:t>пление перемещается на 6—8 мм (без учета дефор</w:t>
      </w:r>
      <w:r w:rsidRPr="00070ADE">
        <w:rPr>
          <w:rFonts w:ascii="Times New Roman" w:hAnsi="Times New Roman"/>
          <w:color w:val="000000" w:themeColor="text1"/>
          <w:sz w:val="16"/>
          <w:szCs w:val="16"/>
        </w:rPr>
        <w:softHyphen/>
        <w:t>мации изгиба крыла)».</w:t>
      </w:r>
    </w:p>
    <w:p w14:paraId="34FCB26F" w14:textId="77777777" w:rsidR="00963744" w:rsidRPr="00070ADE" w:rsidRDefault="00963744"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При стрельбах имели место удары ствола пуш</w:t>
      </w:r>
      <w:r w:rsidRPr="00070ADE">
        <w:rPr>
          <w:color w:val="000000" w:themeColor="text1"/>
          <w:sz w:val="16"/>
          <w:szCs w:val="16"/>
        </w:rPr>
        <w:softHyphen/>
        <w:t>ки в конце отката, что приводило к значительному увеличению силы отдачи. После регулировки дли</w:t>
      </w:r>
      <w:r w:rsidRPr="00070ADE">
        <w:rPr>
          <w:color w:val="000000" w:themeColor="text1"/>
          <w:sz w:val="16"/>
          <w:szCs w:val="16"/>
        </w:rPr>
        <w:softHyphen/>
        <w:t>ны отката ствола согласно инструкции удары ство</w:t>
      </w:r>
      <w:r w:rsidRPr="00070ADE">
        <w:rPr>
          <w:color w:val="000000" w:themeColor="text1"/>
          <w:sz w:val="16"/>
          <w:szCs w:val="16"/>
        </w:rPr>
        <w:softHyphen/>
        <w:t>ла пушки прекратились. Как следствие, значение силы отдачи пушки оказалось в пределах 3600— 4600 кг при всех значениях жесткости лафета.</w:t>
      </w:r>
    </w:p>
    <w:p w14:paraId="5D560C03" w14:textId="77777777" w:rsidR="00963744" w:rsidRPr="00070ADE" w:rsidRDefault="00963744"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На основании этого был сделан вывод, что «си</w:t>
      </w:r>
      <w:r w:rsidRPr="00070ADE">
        <w:rPr>
          <w:color w:val="000000" w:themeColor="text1"/>
          <w:sz w:val="16"/>
          <w:szCs w:val="16"/>
        </w:rPr>
        <w:softHyphen/>
        <w:t>ла отдачи пушки целиком определяется регулиров</w:t>
      </w:r>
      <w:r w:rsidRPr="00070ADE">
        <w:rPr>
          <w:color w:val="000000" w:themeColor="text1"/>
          <w:sz w:val="16"/>
          <w:szCs w:val="16"/>
        </w:rPr>
        <w:softHyphen/>
        <w:t>кой и условиями работы ее гидротормоза, поэтому приведенные выше данные могут касаться только данного конкретного экземпляра пушки, испытан</w:t>
      </w:r>
      <w:r w:rsidRPr="00070ADE">
        <w:rPr>
          <w:color w:val="000000" w:themeColor="text1"/>
          <w:sz w:val="16"/>
          <w:szCs w:val="16"/>
        </w:rPr>
        <w:softHyphen/>
        <w:t>ного при данных температурах и проч. условиях».</w:t>
      </w:r>
    </w:p>
    <w:p w14:paraId="4917B810" w14:textId="77777777" w:rsidR="00963744" w:rsidRPr="00070ADE" w:rsidRDefault="00963744"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lastRenderedPageBreak/>
        <w:t>В этой связи предлагалось определить «степень постоянства работы гидротормоза» при специаль</w:t>
      </w:r>
      <w:r w:rsidRPr="00070ADE">
        <w:rPr>
          <w:color w:val="000000" w:themeColor="text1"/>
          <w:sz w:val="16"/>
          <w:szCs w:val="16"/>
        </w:rPr>
        <w:softHyphen/>
        <w:t>ных испытаниях, а также «поставить ряд исследо</w:t>
      </w:r>
      <w:r w:rsidRPr="00070ADE">
        <w:rPr>
          <w:color w:val="000000" w:themeColor="text1"/>
          <w:sz w:val="16"/>
          <w:szCs w:val="16"/>
        </w:rPr>
        <w:softHyphen/>
        <w:t>вательских работ для дальнейшего изучения силы отдачи пушки 11П и изучения воздействия на само</w:t>
      </w:r>
      <w:r w:rsidRPr="00070ADE">
        <w:rPr>
          <w:color w:val="000000" w:themeColor="text1"/>
          <w:sz w:val="16"/>
          <w:szCs w:val="16"/>
        </w:rPr>
        <w:softHyphen/>
        <w:t>лет силы отдачи оружия крупного калибра» (17500).</w:t>
      </w:r>
    </w:p>
    <w:p w14:paraId="2DFD2A03" w14:textId="77777777" w:rsidR="00963744" w:rsidRPr="00070ADE" w:rsidRDefault="00963744" w:rsidP="00B56F90">
      <w:pPr>
        <w:spacing w:after="0" w:line="240" w:lineRule="auto"/>
        <w:jc w:val="both"/>
        <w:rPr>
          <w:rFonts w:ascii="Times New Roman" w:hAnsi="Times New Roman"/>
          <w:color w:val="000000" w:themeColor="text1"/>
          <w:sz w:val="16"/>
          <w:szCs w:val="16"/>
        </w:rPr>
      </w:pPr>
    </w:p>
    <w:p w14:paraId="644173A7" w14:textId="77777777" w:rsidR="00963744" w:rsidRPr="00070ADE" w:rsidRDefault="00963744"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В мае 1944 г. Начальник штаба ВВС КА генерал-полковник С.А. Худяков и начальник оперативного управления штаба ВВС генерал-лейтенант Н.А. Журавлев в докладе руководству страны и ВВС КА требовали «незамедлительно отработать и внедрить в серийное производство стандартную систему НГ». Но до самого окончания войны реально работающую систему 2-й зоны нейтрального газа отработать и внедрить в серийное производство так и не удалось (17733).</w:t>
      </w:r>
    </w:p>
    <w:p w14:paraId="3DFEC135" w14:textId="77777777" w:rsidR="00963744" w:rsidRPr="00070ADE" w:rsidRDefault="00963744" w:rsidP="00B56F90">
      <w:pPr>
        <w:spacing w:after="0" w:line="240" w:lineRule="auto"/>
        <w:jc w:val="both"/>
        <w:rPr>
          <w:rFonts w:ascii="Times New Roman" w:hAnsi="Times New Roman"/>
          <w:color w:val="000000" w:themeColor="text1"/>
          <w:sz w:val="16"/>
          <w:szCs w:val="16"/>
        </w:rPr>
      </w:pPr>
    </w:p>
    <w:p w14:paraId="7146EB89" w14:textId="642F1FB1" w:rsidR="00D92086" w:rsidRPr="00070ADE" w:rsidRDefault="00D920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мая 1944 г. на заводе по приказу Наркома авиапромышленности СССР в Таганроге на заводе № 86 началось производство самолетов Ер-2 и ремонт штурмовиков Ил-2. Все это происходило в условиях крайней нехватки буквально всего. Лежали в руинах основные заводские корпуса, были уничтожены коммуникации, не было тепла, электроэнергии, сжатого воздуха и т.д. Но возвращались люди, ехали из эвакуации, приходили с фронта, появились первые специалисты из техникума и институтов.</w:t>
      </w:r>
      <w:r w:rsidR="00B643A8" w:rsidRPr="00070ADE">
        <w:rPr>
          <w:rFonts w:ascii="Times New Roman" w:hAnsi="Times New Roman"/>
          <w:color w:val="000000" w:themeColor="text1"/>
          <w:sz w:val="16"/>
          <w:szCs w:val="16"/>
        </w:rPr>
        <w:t xml:space="preserve"> </w:t>
      </w:r>
    </w:p>
    <w:p w14:paraId="48C6EC71" w14:textId="77777777" w:rsidR="00D92086" w:rsidRPr="00070ADE" w:rsidRDefault="00D9208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1944 года в заводских условиях было отремонтировано 190 самолетов и в полевых условиях еще 495. Это были снова самолеты самых разных типов У-2, Ут-2, Р-5, ПР-5, ТБ-3, Ил-2 и др. (18580).</w:t>
      </w:r>
    </w:p>
    <w:p w14:paraId="126986B1" w14:textId="77777777" w:rsidR="00D92086" w:rsidRPr="00070ADE" w:rsidRDefault="00D92086" w:rsidP="00B56F90">
      <w:pPr>
        <w:spacing w:after="0" w:line="240" w:lineRule="auto"/>
        <w:jc w:val="both"/>
        <w:rPr>
          <w:rFonts w:ascii="Times New Roman" w:hAnsi="Times New Roman"/>
          <w:color w:val="000000" w:themeColor="text1"/>
          <w:sz w:val="16"/>
          <w:szCs w:val="16"/>
        </w:rPr>
      </w:pPr>
    </w:p>
    <w:p w14:paraId="7560ED6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успешно завершил госиспытания штурмовик Ил-10 АМ-42, показавшего высокие летные данные.</w:t>
      </w:r>
    </w:p>
    <w:p w14:paraId="228025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Сравнение летно-боевых свойств суховского штурмовика с Ил-10 было не в пользу первого. Су-6 АМ-42 уступал ильюшинской машине по большинству определяющих характеристик. В итоге был сделан вывод о нецелесообразности запуска Су-б АМ-42 в серийное производство.</w:t>
      </w:r>
    </w:p>
    <w:p w14:paraId="292278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 не менее, после установки на Су-6 нового экземпляра мотора АМ-42 госиспытания штурмовика были возобновлены и продолжались до июля 44-го (9649).</w:t>
      </w:r>
    </w:p>
    <w:p w14:paraId="2A8899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781B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на завод 240 прибыл одноместный бронированный штурмовик, стоившийся на заводе 1, который был на нашем производстве доработан и прошел заводские испытания (2217).</w:t>
      </w:r>
    </w:p>
    <w:p w14:paraId="7BCC96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B37D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проходили гос. испытания Ил-10. Скорость - 551 км/ч. К 1 мая 1945 действующие ВВС получили 630 (173,135).</w:t>
      </w:r>
    </w:p>
    <w:p w14:paraId="6AE785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0A63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мотор АМ-42 удовлетворительно прошел госиспы</w:t>
      </w:r>
      <w:r w:rsidRPr="00070ADE">
        <w:rPr>
          <w:rFonts w:ascii="Times New Roman" w:hAnsi="Times New Roman"/>
          <w:color w:val="000000" w:themeColor="text1"/>
          <w:sz w:val="16"/>
          <w:szCs w:val="16"/>
        </w:rPr>
        <w:softHyphen/>
        <w:t>тания, а уже в июне был запущен в серийное производство на заводе № 24. Тогда же, в мае, был построен и начал летать еще один брони</w:t>
      </w:r>
      <w:r w:rsidRPr="00070ADE">
        <w:rPr>
          <w:rFonts w:ascii="Times New Roman" w:hAnsi="Times New Roman"/>
          <w:color w:val="000000" w:themeColor="text1"/>
          <w:sz w:val="16"/>
          <w:szCs w:val="16"/>
        </w:rPr>
        <w:softHyphen/>
        <w:t>рованный самолет-истребитель. В отличие от «восьмерки», на Ил-1 прирост мощности мотора использовали преимущественно для на</w:t>
      </w:r>
      <w:r w:rsidRPr="00070ADE">
        <w:rPr>
          <w:rFonts w:ascii="Times New Roman" w:hAnsi="Times New Roman"/>
          <w:color w:val="000000" w:themeColor="text1"/>
          <w:sz w:val="16"/>
          <w:szCs w:val="16"/>
        </w:rPr>
        <w:softHyphen/>
        <w:t>ращивания скоростных и маневренных характеристик при сохране</w:t>
      </w:r>
      <w:r w:rsidRPr="00070ADE">
        <w:rPr>
          <w:rFonts w:ascii="Times New Roman" w:hAnsi="Times New Roman"/>
          <w:color w:val="000000" w:themeColor="text1"/>
          <w:sz w:val="16"/>
          <w:szCs w:val="16"/>
        </w:rPr>
        <w:softHyphen/>
        <w:t>нии на прежнем уровне полезной нагрузки и бронирования. Вскоре Ил-1 переделали в двухместный штурмовик, получивший название Ил-10. Эта машина в августе 1944 г. решением ГКО была запущена в серийное производство на двух заводах. Опытный Ил-10 продсмон стрировал максимальную скорость 551 км/ч, превзойдя по этому показателю обычный серийный Ил-2 почти на 150 км/ч. (10781).</w:t>
      </w:r>
    </w:p>
    <w:p w14:paraId="5C9887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289D3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мотор АМ-42 удовлетворительно прошел госиспытания. Тогда же, в мае был закончен постройкой и начал летать еще один бронированный самолет-истребитель. В отличие от "восьмерки", на Ил-1 прирост мощности мотора использовали преимущественно для наращивания скоростных и маневренных характеристик при сохранении на прежнем уровне полезной нагрузки и бронирования. Вскоре Ил-1 переделали в двухместный штурмовик, получивший название Ил-10 (9032).</w:t>
      </w:r>
    </w:p>
    <w:p w14:paraId="5C8A98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1680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турбокомпрессор АМТК-1 удовлетворительно прошел 100-часовые испытания на стенде, которые были засчитаны ВВС и НКАП в качестве совместных (9030).</w:t>
      </w:r>
    </w:p>
    <w:p w14:paraId="163DDD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5754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в НИИ ВВС испытывался самолет Ил-4 с увеличенным по хорде на 40% триммером. Летчик подполковник Ашитков отметил, что триммер эффективнее старого, но нагрузок полностью не снимает, самолет летит с креном 2-7° в сторону работающего мотора. Но триммер в серию рекомендовали. Другой вариант отрабатывался в ЛИИ. На одном Ил-4 с регулятора оборотов винта Р-7 сняли упоры большого шага, что позволяло убирать обороты задросселированного мотора практически до холостых 850-1050 об/мин (вместо 1600 об/мин). Однако и это тоже не решило проблемы, хотя несколько облегчило работу пилота. На всех Ил-4 в частях порекомендовали упоры снять. Пытались внедрить винты АВ-5ФВ-158А диаметром 3,5 м. Имея больший диапазон поворота лопастей, они позволяли переводить двигатели на еще меньшие обороты. Новые пропеллеры также сократили разбег - процентов на десять. Но одновременно упала скорость у земли (на 6 км/ч). Ненадежной оказалась и система регулировки оборотов. В результате основная масса летного состава считала, что на ильюшинской машине при одном неработающем моторе “без вмешательства штурмана через второе управление длительный полет практически невозможен”. Избавиться от этого недостатка можно было внедрением флюгируемых винтов (7666).</w:t>
      </w:r>
    </w:p>
    <w:p w14:paraId="575E3F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C74B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в НИИ ВВС испытывался самолет с увеличенным по хорде на 40% триммером. Летчик подполковник Ашитков отметил, что триммер эффективнее старого, но нагрузок полностью не снимает. Самолет летит с креном 2-7° в сторону работающего мотора. Но триммер рекомендовали. Его внедрили в Комсомольске с 140-й серии (12021).</w:t>
      </w:r>
    </w:p>
    <w:p w14:paraId="599717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46990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в ЛИИ на Ил-4 завода № 23 опробовали пропеллеры УФ-61-ИФ завода № 28. Летал А.Н.Гринчик и испытания прошли успешно. Нагрузка на педалях стала незначительной. Хотели собрать малую серию самолетов с такими винтами и направить на войсковые испытания. Серию изготовил завод № 126.</w:t>
      </w:r>
    </w:p>
    <w:p w14:paraId="30DB4B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на территорию завода № 89 был перебазирован опытный завод № 482 гл. конструктора Мясищева, получив при этом часть имеющегося на заводе № 89 оборудования и личного состава, согласно приказа НКАП № 424 от 5 июля 1944 года.</w:t>
      </w:r>
    </w:p>
    <w:p w14:paraId="67F275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482 находился в ведении 7 гл. управления НКАП и занимался опытным самолетостроением до слияния с заводом № 240 в феврале 1946 года.</w:t>
      </w:r>
    </w:p>
    <w:p w14:paraId="5B909B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ОКБ гл. конструктора С.В.И., созданное в 1933 году, до получения самостоятельной производственной базы размещалось (до эвакуации в куйбышев) на территории завода № 39 НКАП, где постройку опытных самолетов осуществлял опытных цех завода № 39.</w:t>
      </w:r>
    </w:p>
    <w:p w14:paraId="55ACB4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Москва, Д-167, Ленинградский проспект, д. 45 г, п/я 2418</w:t>
      </w:r>
    </w:p>
    <w:p w14:paraId="5D96C1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казань и по возвращении в Москву оборудования в достаточной мере не оказалось (9594).</w:t>
      </w:r>
    </w:p>
    <w:p w14:paraId="7B924A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305E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в НИИ ВВС испытывался самолет Ил-4 с увеличенным по хорде на 40% триммером. Летчик подполковник Ашитков отметил, что триммер эффек</w:t>
      </w:r>
      <w:r w:rsidRPr="00070ADE">
        <w:rPr>
          <w:rFonts w:ascii="Times New Roman" w:hAnsi="Times New Roman"/>
          <w:color w:val="000000" w:themeColor="text1"/>
          <w:sz w:val="16"/>
          <w:szCs w:val="16"/>
        </w:rPr>
        <w:softHyphen/>
        <w:t>тивнее старого, но нагрузок полностью не снимает. Самолет летит с креном 2-7° в сторону работающего мотора. Но триммер рекомендовали. Его внедрили в Комсомольске с 140-й серии. Другой вариант отрабатывался в ЛИИ. На одном Ил-4 с регулятора обо</w:t>
      </w:r>
      <w:r w:rsidRPr="00070ADE">
        <w:rPr>
          <w:rFonts w:ascii="Times New Roman" w:hAnsi="Times New Roman"/>
          <w:color w:val="000000" w:themeColor="text1"/>
          <w:sz w:val="16"/>
          <w:szCs w:val="16"/>
        </w:rPr>
        <w:softHyphen/>
        <w:t>ротов винта Р-7 сняли упоры большого шага. Это позволило убрать обороты задросселированного мотора 850-1050 об/мин (вместо 1600 об/мин). Это то</w:t>
      </w:r>
      <w:r w:rsidRPr="00070ADE">
        <w:rPr>
          <w:rFonts w:ascii="Times New Roman" w:hAnsi="Times New Roman"/>
          <w:color w:val="000000" w:themeColor="text1"/>
          <w:sz w:val="16"/>
          <w:szCs w:val="16"/>
        </w:rPr>
        <w:softHyphen/>
        <w:t>же не решило проблемы, хотя несколь</w:t>
      </w:r>
      <w:r w:rsidRPr="00070ADE">
        <w:rPr>
          <w:rFonts w:ascii="Times New Roman" w:hAnsi="Times New Roman"/>
          <w:color w:val="000000" w:themeColor="text1"/>
          <w:sz w:val="16"/>
          <w:szCs w:val="16"/>
        </w:rPr>
        <w:softHyphen/>
        <w:t>ко облегчило работу пилота. На всех Ил-4 в частях порекомендовали упоры снять. Пытались внедрить винт АВ-5ФВ-158А диаметром 3,5 м. Имея больший диапазон поворота лопастей, они позволяли уйти на еще меньшие обороты. Новые пропеллеры также со</w:t>
      </w:r>
      <w:r w:rsidRPr="00070ADE">
        <w:rPr>
          <w:rFonts w:ascii="Times New Roman" w:hAnsi="Times New Roman"/>
          <w:color w:val="000000" w:themeColor="text1"/>
          <w:sz w:val="16"/>
          <w:szCs w:val="16"/>
        </w:rPr>
        <w:softHyphen/>
        <w:t>кратили разбег — процентов на десять. Но одновременно упала скорость у зем</w:t>
      </w:r>
      <w:r w:rsidRPr="00070ADE">
        <w:rPr>
          <w:rFonts w:ascii="Times New Roman" w:hAnsi="Times New Roman"/>
          <w:color w:val="000000" w:themeColor="text1"/>
          <w:sz w:val="16"/>
          <w:szCs w:val="16"/>
        </w:rPr>
        <w:softHyphen/>
        <w:t>ли (на 6 км/ч). Ненадежно оказалось и регулирование оборотов. Но в целом для ильюшинской машины при одном неработающем моторе считалось, что «...без вмешательства штурмана через второе управление длительный полет практически невозможен». Избавиться от этого недостатка мож</w:t>
      </w:r>
      <w:r w:rsidRPr="00070ADE">
        <w:rPr>
          <w:rFonts w:ascii="Times New Roman" w:hAnsi="Times New Roman"/>
          <w:color w:val="000000" w:themeColor="text1"/>
          <w:sz w:val="16"/>
          <w:szCs w:val="16"/>
        </w:rPr>
        <w:softHyphen/>
        <w:t>но было внедрением флюгируемых вин</w:t>
      </w:r>
      <w:r w:rsidRPr="00070ADE">
        <w:rPr>
          <w:rFonts w:ascii="Times New Roman" w:hAnsi="Times New Roman"/>
          <w:color w:val="000000" w:themeColor="text1"/>
          <w:sz w:val="16"/>
          <w:szCs w:val="16"/>
        </w:rPr>
        <w:softHyphen/>
        <w:t>тов (10734,81).</w:t>
      </w:r>
    </w:p>
    <w:p w14:paraId="7894AD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C487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в ЛИИ опробовали пропеллеры УФ-61-ИФ завода № 28. На Ил-4 выпуска завода № 23 летал .Н. Гринчик. Испытания прошли ус</w:t>
      </w:r>
      <w:r w:rsidRPr="00070ADE">
        <w:rPr>
          <w:rFonts w:ascii="Times New Roman" w:hAnsi="Times New Roman"/>
          <w:color w:val="000000" w:themeColor="text1"/>
          <w:sz w:val="16"/>
          <w:szCs w:val="16"/>
        </w:rPr>
        <w:softHyphen/>
        <w:t>пешно. Нагрузка на педалях стала не</w:t>
      </w:r>
      <w:r w:rsidRPr="00070ADE">
        <w:rPr>
          <w:rFonts w:ascii="Times New Roman" w:hAnsi="Times New Roman"/>
          <w:color w:val="000000" w:themeColor="text1"/>
          <w:sz w:val="16"/>
          <w:szCs w:val="16"/>
        </w:rPr>
        <w:softHyphen/>
        <w:t>значительной. Хотели собрать малую серию самолетов с такими винтами и направить на войсковые испытания. Серию изготовил завод № 126. Голо</w:t>
      </w:r>
      <w:r w:rsidRPr="00070ADE">
        <w:rPr>
          <w:rFonts w:ascii="Times New Roman" w:hAnsi="Times New Roman"/>
          <w:color w:val="000000" w:themeColor="text1"/>
          <w:sz w:val="16"/>
          <w:szCs w:val="16"/>
        </w:rPr>
        <w:softHyphen/>
        <w:t>вной образец в августе поступил в ЛИИ. После испытаний (вел их Н.С. Рыбко) сделали вывод, что система уп</w:t>
      </w:r>
      <w:r w:rsidRPr="00070ADE">
        <w:rPr>
          <w:rFonts w:ascii="Times New Roman" w:hAnsi="Times New Roman"/>
          <w:color w:val="000000" w:themeColor="text1"/>
          <w:sz w:val="16"/>
          <w:szCs w:val="16"/>
        </w:rPr>
        <w:softHyphen/>
        <w:t>равления винтами (электрогидравличе</w:t>
      </w:r>
      <w:r w:rsidRPr="00070ADE">
        <w:rPr>
          <w:rFonts w:ascii="Times New Roman" w:hAnsi="Times New Roman"/>
          <w:color w:val="000000" w:themeColor="text1"/>
          <w:sz w:val="16"/>
          <w:szCs w:val="16"/>
        </w:rPr>
        <w:softHyphen/>
        <w:t>ская) недостаточно надежна. Стандарт</w:t>
      </w:r>
      <w:r w:rsidRPr="00070ADE">
        <w:rPr>
          <w:rFonts w:ascii="Times New Roman" w:hAnsi="Times New Roman"/>
          <w:color w:val="000000" w:themeColor="text1"/>
          <w:sz w:val="16"/>
          <w:szCs w:val="16"/>
        </w:rPr>
        <w:softHyphen/>
        <w:t>но Ил-4 нес один электрогенератор ГС-1000 на правом моторе. При отказе этого двигателя все управление винта</w:t>
      </w:r>
      <w:r w:rsidRPr="00070ADE">
        <w:rPr>
          <w:rFonts w:ascii="Times New Roman" w:hAnsi="Times New Roman"/>
          <w:color w:val="000000" w:themeColor="text1"/>
          <w:sz w:val="16"/>
          <w:szCs w:val="16"/>
        </w:rPr>
        <w:softHyphen/>
        <w:t>ми отключалось, и ни о каком флюгиро-вании не могло быть и речи. Войсковые испытания задержали до устранения ос</w:t>
      </w:r>
      <w:r w:rsidRPr="00070ADE">
        <w:rPr>
          <w:rFonts w:ascii="Times New Roman" w:hAnsi="Times New Roman"/>
          <w:color w:val="000000" w:themeColor="text1"/>
          <w:sz w:val="16"/>
          <w:szCs w:val="16"/>
        </w:rPr>
        <w:softHyphen/>
        <w:t>новных дефектов. Но с октября 1944 г. некоторые самолеты комплектовались УФ-61 -ИФ (при двух генераторах — на обоих моторах) (10734,81).</w:t>
      </w:r>
    </w:p>
    <w:p w14:paraId="609849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3C5C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мае 1944 г. в ЛИИ опробовали пропеллеры УФ-61-ИФ завода № 28. На Ил-4 выпуска завода № 23 летал А.Н. Гринчик. Испытания прошли успешно. Нагрузка на педалях стала незначительной. Хотели собрать малую серию самолетов с такими винтами и направить на войсковые испытания. Серию изготовил завод бомбардировщик № 126. Головной образец в августе поступил заходит на посадку в ЛИИ. После испытаний (вел их Н.С. Рыбко) сделали вывод, что система управления винтами (электрогидравлическая) недостаточно надежна. Стандартно Ил-4 нес один электрогенератор ГС-1000 на правом моторе. При отказе этого </w:t>
      </w:r>
      <w:r w:rsidRPr="00070ADE">
        <w:rPr>
          <w:rFonts w:ascii="Times New Roman" w:hAnsi="Times New Roman"/>
          <w:color w:val="000000" w:themeColor="text1"/>
          <w:sz w:val="16"/>
          <w:szCs w:val="16"/>
        </w:rPr>
        <w:lastRenderedPageBreak/>
        <w:t>двигателя все управление винтами отключалось, и ни о каком флюгировании не могло быть и речи. Войсковые испытания задержали до устранения основных дефектов. Но с октября 1944 г. некоторые самолеты комплектовались УФ-61-ИФ (при двух генераторах - на обоих моторах) (12021).</w:t>
      </w:r>
    </w:p>
    <w:p w14:paraId="1FBE1E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BA2AA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испытания РЛС «Гнейс-2М», специально предназначенной для поис</w:t>
      </w:r>
      <w:r w:rsidRPr="00070ADE">
        <w:rPr>
          <w:rFonts w:ascii="Times New Roman" w:hAnsi="Times New Roman"/>
          <w:color w:val="000000" w:themeColor="text1"/>
          <w:sz w:val="16"/>
          <w:szCs w:val="16"/>
        </w:rPr>
        <w:softHyphen/>
        <w:t>ка целей на море, продолжили на одном из самолетов 5-го гв. мтап (принадлежавшем известному летчику В.И. Минакову). Первый вы</w:t>
      </w:r>
      <w:r w:rsidRPr="00070ADE">
        <w:rPr>
          <w:rFonts w:ascii="Times New Roman" w:hAnsi="Times New Roman"/>
          <w:color w:val="000000" w:themeColor="text1"/>
          <w:sz w:val="16"/>
          <w:szCs w:val="16"/>
        </w:rPr>
        <w:softHyphen/>
        <w:t>лет с РЛС состоялся 20 мая. Антенная система уменьшала скорость примерно на 20 км/ч и несколько ухудшила мане</w:t>
      </w:r>
      <w:r w:rsidRPr="00070ADE">
        <w:rPr>
          <w:rFonts w:ascii="Times New Roman" w:hAnsi="Times New Roman"/>
          <w:color w:val="000000" w:themeColor="text1"/>
          <w:sz w:val="16"/>
          <w:szCs w:val="16"/>
        </w:rPr>
        <w:softHyphen/>
        <w:t>вренность. Первый ночной поиск имел место 6 июня. Но нашли лишь несколь</w:t>
      </w:r>
      <w:r w:rsidRPr="00070ADE">
        <w:rPr>
          <w:rFonts w:ascii="Times New Roman" w:hAnsi="Times New Roman"/>
          <w:color w:val="000000" w:themeColor="text1"/>
          <w:sz w:val="16"/>
          <w:szCs w:val="16"/>
        </w:rPr>
        <w:softHyphen/>
        <w:t>ко рыболовецких судов у румынского берега, на которые не стоило тратить торпеду. И все последующие боевые вылеты с РЛС закончились безрезультатно. На Балтике такие же радары ста</w:t>
      </w:r>
      <w:r w:rsidRPr="00070ADE">
        <w:rPr>
          <w:rFonts w:ascii="Times New Roman" w:hAnsi="Times New Roman"/>
          <w:color w:val="000000" w:themeColor="text1"/>
          <w:sz w:val="16"/>
          <w:szCs w:val="16"/>
        </w:rPr>
        <w:softHyphen/>
        <w:t>вили на А-20, их применение было бо</w:t>
      </w:r>
      <w:r w:rsidRPr="00070ADE">
        <w:rPr>
          <w:rFonts w:ascii="Times New Roman" w:hAnsi="Times New Roman"/>
          <w:color w:val="000000" w:themeColor="text1"/>
          <w:sz w:val="16"/>
          <w:szCs w:val="16"/>
        </w:rPr>
        <w:softHyphen/>
        <w:t>лее удачным (10734,85).</w:t>
      </w:r>
    </w:p>
    <w:p w14:paraId="0A80F9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EFDB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испытания Ил-4 с РЛС "Гнейс-2М", специально предназначенной для поиска целей на море, продолжили на одном из самолетов 5-го гв. мтап (принадлежавшем известному летчику В.И. Минакову). Первый вылет с РЛС состоялся 20 мая. Антенная система уменьшала скорость примерно на 20 км/ч и несколько ухудшила маневренность. Первый ночной поиск имел место 6 июня. Но нашли лишь несколько рыболовецких судов у румынского берега, на которые не стоило тратить торпеду. И все последующие боевые вылеты с РЛС закончились безрезультатно. На Балтике такие же радары ставили на А-20, их применение было более удачным (12021).</w:t>
      </w:r>
    </w:p>
    <w:p w14:paraId="5CCFDB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D1564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Главный штаб ВВС оценил Пе-2: "Горизонтальная скорость Пе-2, вследствие его использования главным образом в зонах наибольшего противодействия истребителей противника, требует повышения ее на 20-30 км/час даже по сравнению с самолетами 205-й серии. Это увеличит свободу действий пикировщиков и затруднит нагон его истребителями, а в сочетании с большой скоростью пикирования (до 750 км/час) обеспечит отрыв от них в воздушном бою". В этом же документе отмечались высокая маневренность и живучесть машины, но говорилось, что самолет строг в пилотировании, особенно на взлете и посадке, поэтому для пилотирования требуется хорошая подготовка (3542).</w:t>
      </w:r>
    </w:p>
    <w:p w14:paraId="28CD31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E2D4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ГШ оценивал Пе-2 следующим образом: "Горизонтальная скорость Пе-2, вследствие его использования главным образом в зонах наибольшего противодействия истребителей противника, требует повышения се на 20-30 км/ч даже по сравнению с самолетами 205-й серии. Это увеличит свободу действий пикировщиков и затруднит нагон его истребителями, а в сочетании с большой скоростью пикирования (до 750 км/ч) обеспечит отрыв от них в воздушном бою". В этом же документе отмечались высокая маневренность и живучесть машины, но говорилось, что самолет строг в пилотировании, особенно на взлете и посадке, поэтому для пилотирования требуется хорошая подготовка. Кроме того, считалась неудовлетворительной практическая бомбовая нагрузка Пе-2 - всего 600 кг, но и ее не всегда использовали, так как бомбовый отсек мог вместить лишь от 175 до 532 кг мелких бомб.</w:t>
      </w:r>
    </w:p>
    <w:p w14:paraId="32F268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Экипажи Пе-2 отмечали хорошие обзор и пикирующие свойства самолета. Опытным летчикам нравилась высокая устойчивость при прицельном пикировании. Прочное шасси позволяло производить взлет и посадку даже при вязком грунте, но из-за недостаточной мощности моторов для самолета в этих условиях требовался слишком длительный разбег. Отмечалось также, что практический потолок 8800-9000 м достигался очень редко. Эксплуатационные качества Пе-2 признали удовлетворительными, в том числе указывалось, что не представляла трудностей подготовка самолета к вылету зимой и летом (12042).</w:t>
      </w:r>
    </w:p>
    <w:p w14:paraId="1896A8B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6D3F8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закончились испытания Пе-2 - переоборудованного N 14/226 с М-105ПФ НП, носком профиля NACA 230, переделанными законцовками и размахом, увеличенным на 0.92 м, измененным передним лонжероном. Не внедрили, хотя получилось хорошо (2205,43).</w:t>
      </w:r>
    </w:p>
    <w:p w14:paraId="6CEAAC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D61F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в ходе испытаний переоборудованного Пе-2 зав. № 14/226, установили, что модифицированное крыло заметно улучшало летно-техниче- ские свойства "пешки", особенно на малых скоростях. Упростилось поведение самолета при посадке, он перестал валиться на крыло, уверенно летал на одном моторе. Новый профиль консолей плюс усовершенствованная технология отделки крыла в совокупности "добавили" машине 100 км дальности, способствовали увеличению потолка на 500 м и уменьшению длины разбега на 40 м.</w:t>
      </w:r>
    </w:p>
    <w:p w14:paraId="0E76AF6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Сущность модификации, выполненной весной 1944, заключалась в следующем:</w:t>
      </w:r>
    </w:p>
    <w:p w14:paraId="7A34DD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носок консольной части крыла до 25% хорды заменялся профилем NACA 230;</w:t>
      </w:r>
    </w:p>
    <w:p w14:paraId="59279C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переделывались законцовки консолей, в связи с чем размах крыла возрастал на 0,92 м, а площадь на 0,848 м!;</w:t>
      </w:r>
    </w:p>
    <w:p w14:paraId="5FA885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изменялся передний лонжерон, средние части нервюр и входная часть тоннелей водорадиаторов.</w:t>
      </w:r>
    </w:p>
    <w:p w14:paraId="5F133D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сожалению, и это техническое решение несмотря на положительную оценку НИИ ВВС, осталось не внедренным в серию. Причина все та же нежелание руководства наркомата авиапромышленности принимать назревшие, но "слишком радикальные" решения. Нарком А.И. Шахурин не отважился санкционировать переход на новое крыло, что неизбежно привело бы к замене части технологического оборудования и временному снижению темпов выпуска "пешек"...</w:t>
      </w:r>
    </w:p>
    <w:p w14:paraId="0037AD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Заметим, что нарком имел объективные причины опасаться за снабжение авиации КА фронтовыми бомбардировщиками. Летом 1943 г. правительство США в одностороннем порядке пересмотрело заказ фирме "Дуглас", поставлявшей для американских, английских и советских ВВС бомбардировщик-штурмовик А-20 (у нас его многочисленные варианты называли "Бостон", хотя сами американцы предпочитали другое наименование - "Хэвок"). Заокеанские предприятия перешли на выпуск преимущественно модификации A-20G, не соответствовавшей запросам ВВС КА в связи с отсутствием штурмана в составе экипажа. Накануне нового, 1944 г. в НКАП и ГКО оживленно обсуждалась возможность и целесообразность отказа от поставок "Бостонов" (12042).</w:t>
      </w:r>
    </w:p>
    <w:p w14:paraId="73015C0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D7E281B"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мае 1944 г. прошли контрольные испытания самолета Пе-2 №14/226, доработанного в конце 1943 г.: получен прирост дальности в 100 км, потолка – на 500 м, разбег сократился на 40 м.</w:t>
      </w:r>
    </w:p>
    <w:p w14:paraId="7BD57549"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Несмотря на положительную оценку НИИ ВВС, в то время доработки не были внедрены в серию из опасения, что будет сорван план по поставкам головой продукции. Однако подобные носки крыла разрабатывались с некоторыми конструктивными отличиями также для самолета Пе-2И и уже в таком виде были внедрены в серийном производстве Пе-2 «без буквы» с конца 1944 г. (25430)</w:t>
      </w:r>
    </w:p>
    <w:p w14:paraId="47017DC9" w14:textId="77777777" w:rsidR="004A376D" w:rsidRPr="00C94B78" w:rsidRDefault="004A376D" w:rsidP="00B56F90">
      <w:pPr>
        <w:spacing w:after="0" w:line="240" w:lineRule="auto"/>
        <w:jc w:val="both"/>
        <w:rPr>
          <w:rFonts w:ascii="Times New Roman" w:hAnsi="Times New Roman"/>
          <w:color w:val="0070C0"/>
          <w:sz w:val="16"/>
          <w:szCs w:val="16"/>
        </w:rPr>
      </w:pPr>
    </w:p>
    <w:p w14:paraId="1F43630F"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мае 1944 г. на государственные испытания был предъявлен Пе</w:t>
      </w:r>
      <w:r w:rsidRPr="00C94B78">
        <w:rPr>
          <w:rFonts w:ascii="Times New Roman" w:hAnsi="Times New Roman"/>
          <w:color w:val="0070C0"/>
          <w:sz w:val="16"/>
          <w:szCs w:val="16"/>
        </w:rPr>
        <w:noBreakHyphen/>
        <w:t>2И.</w:t>
      </w:r>
      <w:r>
        <w:rPr>
          <w:rFonts w:ascii="Times New Roman" w:hAnsi="Times New Roman"/>
          <w:color w:val="0070C0"/>
          <w:sz w:val="16"/>
          <w:szCs w:val="16"/>
        </w:rPr>
        <w:t xml:space="preserve"> </w:t>
      </w:r>
      <w:r w:rsidRPr="00C94B78">
        <w:rPr>
          <w:rFonts w:ascii="Times New Roman" w:hAnsi="Times New Roman"/>
          <w:color w:val="0070C0"/>
          <w:sz w:val="16"/>
          <w:szCs w:val="16"/>
        </w:rPr>
        <w:t>Прототип развил на высоте 5650 максимальную скорость 656 км/ч, практический потолок составил 11 000 м.</w:t>
      </w:r>
    </w:p>
    <w:p w14:paraId="773C0485"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Пе</w:t>
      </w:r>
      <w:r w:rsidRPr="00C94B78">
        <w:rPr>
          <w:rFonts w:ascii="Times New Roman" w:hAnsi="Times New Roman"/>
          <w:color w:val="0070C0"/>
          <w:sz w:val="16"/>
          <w:szCs w:val="16"/>
        </w:rPr>
        <w:noBreakHyphen/>
        <w:t>2И (И – истребитель) представлял собой радикальную трансформацию исходной конструкции, осуществленную под руководством В.М. Мясищева. На этом варианте удалось избавиться от двух основных недостатков Пе</w:t>
      </w:r>
      <w:r w:rsidRPr="00C94B78">
        <w:rPr>
          <w:rFonts w:ascii="Times New Roman" w:hAnsi="Times New Roman"/>
          <w:color w:val="0070C0"/>
          <w:sz w:val="16"/>
          <w:szCs w:val="16"/>
        </w:rPr>
        <w:noBreakHyphen/>
        <w:t>2 – небольшого внутреннего бомбоотсека и строгости в пилотировании на взлетно</w:t>
      </w:r>
      <w:r w:rsidRPr="00C94B78">
        <w:rPr>
          <w:rFonts w:ascii="Times New Roman" w:hAnsi="Times New Roman"/>
          <w:color w:val="0070C0"/>
          <w:sz w:val="16"/>
          <w:szCs w:val="16"/>
        </w:rPr>
        <w:noBreakHyphen/>
        <w:t>посадочных режимах.</w:t>
      </w:r>
    </w:p>
    <w:p w14:paraId="54866CDC"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Экипаж самолета был сокращен до двух человек (исключен стрелок</w:t>
      </w:r>
      <w:r w:rsidRPr="00C94B78">
        <w:rPr>
          <w:rFonts w:ascii="Times New Roman" w:hAnsi="Times New Roman"/>
          <w:color w:val="0070C0"/>
          <w:sz w:val="16"/>
          <w:szCs w:val="16"/>
        </w:rPr>
        <w:noBreakHyphen/>
        <w:t>радист). Полностью перепроектировано крыло с целью получения удовлетворительных характеристик по сваливанию в полете с большими углами атаки. В качестве силовой установки использованы двигатели ВК</w:t>
      </w:r>
      <w:r w:rsidRPr="00C94B78">
        <w:rPr>
          <w:rFonts w:ascii="Times New Roman" w:hAnsi="Times New Roman"/>
          <w:color w:val="0070C0"/>
          <w:sz w:val="16"/>
          <w:szCs w:val="16"/>
        </w:rPr>
        <w:noBreakHyphen/>
        <w:t>107А мощностью по 1650 л.с. Маслорадиаторы для них имели большие габариты. Фюзеляж был расширен, благодаря чему стало возможно разместить в внутреннем отсеке бомбовую нагрузку массой до 1 000 кг. Размах крыла самолета Пе</w:t>
      </w:r>
      <w:r w:rsidRPr="00C94B78">
        <w:rPr>
          <w:rFonts w:ascii="Times New Roman" w:hAnsi="Times New Roman"/>
          <w:color w:val="0070C0"/>
          <w:sz w:val="16"/>
          <w:szCs w:val="16"/>
        </w:rPr>
        <w:noBreakHyphen/>
        <w:t>2И – 17,18 м, длина – 13,4 м, площадь крыла – 41,8 м². Масса пустого – 7080 кг, взлетная масса – 9058 кг.</w:t>
      </w:r>
    </w:p>
    <w:p w14:paraId="440B0837"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Пе</w:t>
      </w:r>
      <w:r w:rsidRPr="00C94B78">
        <w:rPr>
          <w:rFonts w:ascii="Times New Roman" w:hAnsi="Times New Roman"/>
          <w:color w:val="0070C0"/>
          <w:sz w:val="16"/>
          <w:szCs w:val="16"/>
        </w:rPr>
        <w:noBreakHyphen/>
        <w:t>2И был вооружен двумя пулеметами УБ калибра 12,7 мм. Одни стоял в носу фюзеляжа, второй – в хвостовом конусе фюзеляжа. Хвостовой пулемет имел дистанционное управление, огонь из него вел штурман.</w:t>
      </w:r>
    </w:p>
    <w:p w14:paraId="76470D14"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Ахиллесовой пятой Пе</w:t>
      </w:r>
      <w:r w:rsidRPr="00C94B78">
        <w:rPr>
          <w:rFonts w:ascii="Times New Roman" w:hAnsi="Times New Roman"/>
          <w:color w:val="0070C0"/>
          <w:sz w:val="16"/>
          <w:szCs w:val="16"/>
        </w:rPr>
        <w:noBreakHyphen/>
        <w:t>2И (и не только этого самолета) стали сырые двигатели ВК</w:t>
      </w:r>
      <w:r w:rsidRPr="00C94B78">
        <w:rPr>
          <w:rFonts w:ascii="Times New Roman" w:hAnsi="Times New Roman"/>
          <w:color w:val="0070C0"/>
          <w:sz w:val="16"/>
          <w:szCs w:val="16"/>
        </w:rPr>
        <w:noBreakHyphen/>
        <w:t>107А, ресурс ВК</w:t>
      </w:r>
      <w:r w:rsidRPr="00C94B78">
        <w:rPr>
          <w:rFonts w:ascii="Times New Roman" w:hAnsi="Times New Roman"/>
          <w:color w:val="0070C0"/>
          <w:sz w:val="16"/>
          <w:szCs w:val="16"/>
        </w:rPr>
        <w:noBreakHyphen/>
        <w:t>107 составлял всего 25 часов. Проблемы двигателя не позволили запустить Пе</w:t>
      </w:r>
      <w:r w:rsidRPr="00C94B78">
        <w:rPr>
          <w:rFonts w:ascii="Times New Roman" w:hAnsi="Times New Roman"/>
          <w:color w:val="0070C0"/>
          <w:sz w:val="16"/>
          <w:szCs w:val="16"/>
        </w:rPr>
        <w:noBreakHyphen/>
        <w:t>2И в серийное производство (25072).</w:t>
      </w:r>
    </w:p>
    <w:p w14:paraId="1ECDB613" w14:textId="77777777" w:rsidR="004A376D" w:rsidRPr="00C94B78" w:rsidRDefault="004A376D" w:rsidP="00B56F90">
      <w:pPr>
        <w:spacing w:after="0" w:line="240" w:lineRule="auto"/>
        <w:jc w:val="both"/>
        <w:rPr>
          <w:rFonts w:ascii="Times New Roman" w:hAnsi="Times New Roman"/>
          <w:color w:val="0070C0"/>
          <w:sz w:val="16"/>
          <w:szCs w:val="16"/>
        </w:rPr>
      </w:pPr>
    </w:p>
    <w:p w14:paraId="1633B9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испытания Пе-2И с ВК-107А и более вместительным бомбоотсеком (вплоть до 1000 кг или 9 ФАБ-100 или 2хШВАК-20 или 2хНС-37) начал л К.И.Жданов и ви Г.Н.Назаров. Оказался хорошим. Потом В.М.М. поручил Л.Л.Селякову и Г.А.Назарову - главному по Пе-2И - сделать Пе-2И-РД с Юмо-004. Отказались - не проходили шасси. У В.М.М. в это время были проблемы с ДБ ДВБ-202 и ДВБ-302 из-за готовящегося решения делать В-29 (1086,20).</w:t>
      </w:r>
    </w:p>
    <w:p w14:paraId="596161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E88BE9" w14:textId="77777777" w:rsidR="00AA1E7E" w:rsidRPr="00070ADE" w:rsidRDefault="00AA1E7E"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мае 1944 г. проходили испытания Пе-2И (летчик-испытатель К.И. Жданов и ведущий инженер Г.Н. Назаров) и показали, что усовершенствованная машина отвечает предъявленным требованиям. С бомбовой нагрузкой в 500 кг самолет развивал скорость 556 км/ч в полете у земли, 617 км/ч на вы соте 2950 м и 656 км/ч на высоте 5650 м.</w:t>
      </w:r>
    </w:p>
    <w:p w14:paraId="7F4C1EC4" w14:textId="77777777" w:rsidR="00AA1E7E" w:rsidRPr="00070ADE" w:rsidRDefault="00AA1E7E" w:rsidP="00B56F90">
      <w:pPr>
        <w:pStyle w:val="ae"/>
        <w:shd w:val="clear" w:color="auto" w:fill="FFFFFF"/>
        <w:spacing w:before="0" w:after="0"/>
        <w:jc w:val="both"/>
        <w:rPr>
          <w:color w:val="000000" w:themeColor="text1"/>
          <w:sz w:val="16"/>
          <w:szCs w:val="16"/>
        </w:rPr>
      </w:pPr>
      <w:r w:rsidRPr="00070ADE">
        <w:rPr>
          <w:color w:val="000000" w:themeColor="text1"/>
          <w:sz w:val="16"/>
          <w:szCs w:val="16"/>
        </w:rPr>
        <w:t>Дальность полета самолета Пе-2И оказалась большей, чем у серийного самолета на 1000 км, и составляла 2275 км. Вы соту 5000 м он набирал за 7 мин, т.е. быстрее исходной ма шины на 2,5 мин.</w:t>
      </w:r>
    </w:p>
    <w:p w14:paraId="26453D17" w14:textId="77777777" w:rsidR="00AA1E7E" w:rsidRPr="00070ADE" w:rsidRDefault="00AA1E7E" w:rsidP="00B56F90">
      <w:pPr>
        <w:pStyle w:val="ae"/>
        <w:shd w:val="clear" w:color="auto" w:fill="FFFFFF"/>
        <w:spacing w:before="0" w:after="0"/>
        <w:jc w:val="both"/>
        <w:rPr>
          <w:color w:val="000000" w:themeColor="text1"/>
          <w:sz w:val="16"/>
          <w:szCs w:val="16"/>
        </w:rPr>
      </w:pPr>
      <w:r w:rsidRPr="00070ADE">
        <w:rPr>
          <w:color w:val="000000" w:themeColor="text1"/>
          <w:sz w:val="16"/>
          <w:szCs w:val="16"/>
        </w:rPr>
        <w:t xml:space="preserve">Новый скоростной бомбардировщик, способный наносить удары по наземным целям с горизонтального полета и с пики рования, отличался от прототипа более высокой энерговоору женностью, а также более совершенной внешней и внутренней аэродинамикой. Помимо улучшения летных данных это позво лило значительно повысить самый главный показатель боевого летательного аппарата — бомбовую нагрузку. Одновременного роста перечисленных выше характеристик удалось достичь в результате проведения ряда мероприятий и нововведений. Мо торы М-105ПФ были заменены ВК-107А значительно большей мощности (1650/1450 л.с. </w:t>
      </w:r>
      <w:r w:rsidRPr="00070ADE">
        <w:rPr>
          <w:color w:val="000000" w:themeColor="text1"/>
          <w:sz w:val="16"/>
          <w:szCs w:val="16"/>
        </w:rPr>
        <w:lastRenderedPageBreak/>
        <w:t>против 1210/1180 л.с). Крыло полу чило новые теоретические контуры, образованные из дужек улучшенных скоростных профилей. От носка до переднего лон жерона— «NACA-23012» и до задней кромки— профиль •B-BS». Вместо низкопланной схемы самолет получил среднее расположение крыла относительно фюзеляжа. Крыло было при поднято с целью размещения под его центропланом более вмес тительного бомбового отсека, позволяющего нести авиабомбу калибром в 1000 кг, для ударов по мощным фортификацион ным сооружениям противника, крупным наземным и морским целям.</w:t>
      </w:r>
    </w:p>
    <w:p w14:paraId="494566CF" w14:textId="77777777" w:rsidR="00AA1E7E" w:rsidRPr="00070ADE" w:rsidRDefault="00AA1E7E" w:rsidP="00B56F90">
      <w:pPr>
        <w:pStyle w:val="ae"/>
        <w:shd w:val="clear" w:color="auto" w:fill="FFFFFF"/>
        <w:spacing w:before="0" w:after="0"/>
        <w:jc w:val="both"/>
        <w:rPr>
          <w:color w:val="000000" w:themeColor="text1"/>
          <w:sz w:val="16"/>
          <w:szCs w:val="16"/>
        </w:rPr>
      </w:pPr>
      <w:r w:rsidRPr="00070ADE">
        <w:rPr>
          <w:color w:val="000000" w:themeColor="text1"/>
          <w:sz w:val="16"/>
          <w:szCs w:val="16"/>
        </w:rPr>
        <w:t>Для расширения возможностей боевого применения само летов Пе-2И в составе звеньев, эскадрилий и даже полков была п Редусмотрена частичная замена (в заводских или полевых условиях) бомб на пушки. В передней зоне бомбового отсека можно было установить две пушки ШВАК калибра 20 мм или 37 мм. В таком варианте Пе-2И превращался в двухместный истребитель сопровождения.</w:t>
      </w:r>
    </w:p>
    <w:p w14:paraId="0685E9AC" w14:textId="77777777" w:rsidR="00AA1E7E" w:rsidRPr="00070ADE" w:rsidRDefault="00AA1E7E" w:rsidP="00B56F90">
      <w:pPr>
        <w:pStyle w:val="ae"/>
        <w:shd w:val="clear" w:color="auto" w:fill="FFFFFF"/>
        <w:spacing w:before="0" w:after="0"/>
        <w:jc w:val="both"/>
        <w:rPr>
          <w:color w:val="000000" w:themeColor="text1"/>
          <w:sz w:val="16"/>
          <w:szCs w:val="16"/>
        </w:rPr>
      </w:pPr>
      <w:r w:rsidRPr="00070ADE">
        <w:rPr>
          <w:color w:val="000000" w:themeColor="text1"/>
          <w:sz w:val="16"/>
          <w:szCs w:val="16"/>
        </w:rPr>
        <w:t>Столь мощный и разнообразный арсенал боевого оснаще ния для заключительного периода Второй мировой войны позволял экипажу уверенно вести не только бомбометание по самым различным целям, но разведку и даже воздушный бой с любым противником.</w:t>
      </w:r>
    </w:p>
    <w:p w14:paraId="5A62101F" w14:textId="77777777" w:rsidR="00AA1E7E" w:rsidRPr="00070ADE" w:rsidRDefault="00AA1E7E" w:rsidP="00B56F90">
      <w:pPr>
        <w:pStyle w:val="ae"/>
        <w:shd w:val="clear" w:color="auto" w:fill="FFFFFF"/>
        <w:spacing w:before="0" w:after="0"/>
        <w:jc w:val="both"/>
        <w:rPr>
          <w:color w:val="000000" w:themeColor="text1"/>
          <w:sz w:val="16"/>
          <w:szCs w:val="16"/>
        </w:rPr>
      </w:pPr>
      <w:r w:rsidRPr="00070ADE">
        <w:rPr>
          <w:color w:val="000000" w:themeColor="text1"/>
          <w:sz w:val="16"/>
          <w:szCs w:val="16"/>
        </w:rPr>
        <w:t>Эти работы совпали с наметившимся развертыванием ши роким фронтом качественного перехода авиационной техники на реактивную тягу.</w:t>
      </w:r>
    </w:p>
    <w:p w14:paraId="7F116EA4" w14:textId="77777777" w:rsidR="00AA1E7E" w:rsidRPr="00070ADE" w:rsidRDefault="00AA1E7E" w:rsidP="00B56F90">
      <w:pPr>
        <w:pStyle w:val="ae"/>
        <w:shd w:val="clear" w:color="auto" w:fill="FFFFFF"/>
        <w:spacing w:before="0" w:after="0"/>
        <w:jc w:val="both"/>
        <w:rPr>
          <w:color w:val="000000" w:themeColor="text1"/>
          <w:sz w:val="16"/>
          <w:szCs w:val="16"/>
        </w:rPr>
      </w:pPr>
      <w:r w:rsidRPr="00070ADE">
        <w:rPr>
          <w:color w:val="000000" w:themeColor="text1"/>
          <w:sz w:val="16"/>
          <w:szCs w:val="16"/>
        </w:rPr>
        <w:t>Коллектив В.М. Мясищева в этот период претерпевал по этапную реэвакуацию с казанского завода на самостоятель ную опытно-производственную базу в Москву (на территорию бывшего завода № 133, с 1942 г. занятую ремонтной базой ГВФ) с образованием нового завода № 482. Для конструкто ров ОКБ-482 Пе-2И представлял собой ту реальную модель, которую можно было оперативно переоснастить двумя ТРД путем ремонтных переделок. Испытанный еще в Казани экс периментальный Пе-2РУ с жидкостным ракетным ускорите лем РД-1ХЗ конструкции В.П. Глушко, как бомбардировщик дальнейшей перспективы не имел. Он был лишь пробой ис пользования реактивных ускорителей для увеличения ско рости и высоты полета винтомоторного самолета. Создание и успешное применение самолетов с ТРД на фронтах Второй мировой войны Германией и Англией доказали всему миру будущность именно таких силовых установок для авиации.</w:t>
      </w:r>
    </w:p>
    <w:p w14:paraId="5ACE93AB" w14:textId="77777777" w:rsidR="00AA1E7E" w:rsidRPr="00070ADE" w:rsidRDefault="00AA1E7E" w:rsidP="00B56F90">
      <w:pPr>
        <w:pStyle w:val="ae"/>
        <w:shd w:val="clear" w:color="auto" w:fill="FFFFFF"/>
        <w:spacing w:before="0" w:after="0"/>
        <w:jc w:val="both"/>
        <w:rPr>
          <w:color w:val="000000" w:themeColor="text1"/>
          <w:sz w:val="16"/>
          <w:szCs w:val="16"/>
        </w:rPr>
      </w:pPr>
      <w:r w:rsidRPr="00070ADE">
        <w:rPr>
          <w:color w:val="000000" w:themeColor="text1"/>
          <w:sz w:val="16"/>
          <w:szCs w:val="16"/>
        </w:rPr>
        <w:t>И на первых порах для мясищевцев использование Пе-2И в новом качестве представляло определенный интерес. Соблазн был настолько велик и очевиден, что главного конструктора буквально засыпали предложениями по установке трофейных немецких ТРД на самолет Пе-2И. Он, конечно же, и сам ви дел такую возможность. К тому же по единодушному мне нию ведущих специалистов ОКБ, потенциал их винтомотор ного Пе-2И (с точки зрения повышения летных данных) был исчерпан далеко не полностью. Более совершенные моторы типа ВК-108 не могли обеспечить роста характеристик в ши роких пределах. Их можно было еще применять для повы шения дальности полета или бомбовой нагрузки (испытания ОГНЕННЫЕ КРЫЛЬЯ опытных бомбардировщиков ВБ-108 и ДБ-109 подтвердили это), но заставить десятитонную машину лететь со скорос тью более 750...800 км/ч они оказались не в силах.</w:t>
      </w:r>
    </w:p>
    <w:p w14:paraId="4203FE55" w14:textId="77777777" w:rsidR="00AA1E7E" w:rsidRPr="00070ADE" w:rsidRDefault="00AA1E7E" w:rsidP="00B56F90">
      <w:pPr>
        <w:pStyle w:val="ae"/>
        <w:shd w:val="clear" w:color="auto" w:fill="FFFFFF"/>
        <w:spacing w:before="0" w:after="0"/>
        <w:jc w:val="both"/>
        <w:rPr>
          <w:color w:val="000000" w:themeColor="text1"/>
          <w:sz w:val="16"/>
          <w:szCs w:val="16"/>
        </w:rPr>
      </w:pPr>
      <w:r w:rsidRPr="00070ADE">
        <w:rPr>
          <w:color w:val="000000" w:themeColor="text1"/>
          <w:sz w:val="16"/>
          <w:szCs w:val="16"/>
        </w:rPr>
        <w:t>Было принято решение о создании реактивного бомбарди ровщика на базе Пе-2И. Главным проектировщиком реактив ного Пе-2И в ОКБ-482 был назначен Л.Л. Селяков, а ведущим конструктором оставили Г.А. Назарова, т.к. он занимался те мой Пе-2И с самого начала и едва ли не первым высказал Мясищеву известную точку зрения по поводу установки ТРД именно на этом самолете. Работе по проектированию первого реактивного бомбардировщика В.М. Мясищев придавал осо бое значение, поскольку дотоле перспективные темы дальних бомбардировщиков ДВБ-202 и ДВБ-302 повисли на волоске в связи с назревавшим решением Кремля о копировании амери канского В-29 под маркой Ту-4. Вместе с Назаровым и Селя ковым они ездили по конструкторским бюро, знакомились с освоением и испытаниями тех образцов ТРД, которые были выбраны для серийного выпуска на наших моторных заводах.</w:t>
      </w:r>
    </w:p>
    <w:p w14:paraId="2E40DC58" w14:textId="77777777" w:rsidR="00AA1E7E" w:rsidRPr="00070ADE" w:rsidRDefault="00AA1E7E"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результате пришли к решению отказаться от переделки Пе-2И под новую силовую установку. Вскоре после начала про ектных работ по Пе-2И-РД конструкторы убеди лись, что принятая полумера не решит задачу, поскольку со здание полноценного реактивного бомбардировщика (как и любого другого самолета с ТРД) потребовало специфических узконаправленных конструктивных решений едва ли не по всем статьям: от аэродинамики и прочности до конструкции отдельных агрегатов и устройства целевых систем. По этой причине коллектив бригады проектов при сопутствующих консульта циях с другими подразделениями ОКБ и производства был бе зотлагательно перенацелен на разработку принципиально но вого самолета в соответствии с духом времени без жестких привязок к реально существующим прототипам, пусть даже собственного производства.</w:t>
      </w:r>
    </w:p>
    <w:p w14:paraId="0951F12A" w14:textId="77777777" w:rsidR="00AA1E7E" w:rsidRPr="00070ADE" w:rsidRDefault="00AA1E7E" w:rsidP="00B56F90">
      <w:pPr>
        <w:pStyle w:val="ae"/>
        <w:shd w:val="clear" w:color="auto" w:fill="FFFFFF"/>
        <w:spacing w:before="0" w:after="0"/>
        <w:jc w:val="both"/>
        <w:rPr>
          <w:color w:val="000000" w:themeColor="text1"/>
          <w:sz w:val="16"/>
          <w:szCs w:val="16"/>
        </w:rPr>
      </w:pPr>
      <w:r w:rsidRPr="00070ADE">
        <w:rPr>
          <w:color w:val="000000" w:themeColor="text1"/>
          <w:sz w:val="16"/>
          <w:szCs w:val="16"/>
        </w:rPr>
        <w:t>Кроме того (это отнюдь не являлось главной причиной от каза от разработки коллективом Пе-2И-РД), на исходном типе ни гондолы с двигателями Jumo-004, ни крыло не позволяли сделать добротным убираемое шасси без осложнений для аэро динамики самолета. Ни под ТРД, ни в крыле, ни в фюзеляже стойки с колесами не помещались. Предложение втягивать двухколесную ногу шасси в переднюю зону отсека для бомб представлялось неплохим выходом из положения, однако воп росы теории и эксплуатации крупных самолетов на велоси педном шасси с хвостовой опорой в 1945 г. были совершенно не изучены, а размещение ниши убранного взлетно-посадоч ного приспособления в бомбоотсеке начисто лишало возмож ности применять машину в качестве истребителя сопровожде ния, вооруженного артиллерийской батареей, а также и в ка честве носителя бомбы массой 1000 кг. И то и другое еще в 1944 г. было намечено и осуществлено на Пе-2И. Перевод же этих видов вооружения в категорию внешних подвесок (дабы сохранить боевой арсенал машины) для улучшения скорост ных и высотных характеристик также был бы непригоден из- _ за ухудшения аэродинамики в еще большей степени (19586).</w:t>
      </w:r>
    </w:p>
    <w:p w14:paraId="279D9FE4" w14:textId="77777777" w:rsidR="00AA1E7E" w:rsidRPr="00070ADE" w:rsidRDefault="00AA1E7E" w:rsidP="00B56F90">
      <w:pPr>
        <w:pStyle w:val="ae"/>
        <w:shd w:val="clear" w:color="auto" w:fill="FFFFFF"/>
        <w:spacing w:before="0" w:after="0"/>
        <w:jc w:val="both"/>
        <w:rPr>
          <w:color w:val="000000" w:themeColor="text1"/>
          <w:sz w:val="16"/>
          <w:szCs w:val="16"/>
        </w:rPr>
      </w:pPr>
    </w:p>
    <w:p w14:paraId="650BBA2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наметившийся успех с Пе-2И стал отправной точкой для целой программы по созданию так называемого “дневного скоростного бомбардировщика” (4476).</w:t>
      </w:r>
    </w:p>
    <w:p w14:paraId="0DF254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901C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в 47 ГДРАП прошел войсковые испытания Ту-2 2АШ-82ФН N 304 выпуска завода 166, переоборудованного в разведывательный вариант на 23 заводе. Поставили подвесной бензобак, фотоаппарат АФА-33/50 на качающейся установке с 2 маршрутной съемкой. дальность достигла 2130 км. В заключении написано: "Самолет Ту-2 в варианте разведчика войсковые испытания прошел удовлетворительно.</w:t>
      </w:r>
    </w:p>
    <w:p w14:paraId="47AE55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Считать необходимым поставить вопрос о серийной постройке Ту-2 в варианте разведчика.</w:t>
      </w:r>
    </w:p>
    <w:p w14:paraId="0610AF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Рекомендовать применение на Ту-2 в варианте разведчика качающейся фотоустановки под АФА-33/50 или АФА-33/75 и дополнительно к ней АФА-33/20.</w:t>
      </w:r>
    </w:p>
    <w:p w14:paraId="493857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Просить НКАП дать задание ОКБ завода 156 разработать и предъявить на испытания упрощенную конструкцию качающейся аэрофотоустановки под АФА-33/50 и АФА-33/75, а также дополнительной АФА-33/20...</w:t>
      </w:r>
    </w:p>
    <w:p w14:paraId="11745C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Дополнительное остекление передней кабины между 4 и 6 шпангоутами считать целесообразным для самолета в варианте разведчика-бомбардировщика..." (1835,54).</w:t>
      </w:r>
    </w:p>
    <w:p w14:paraId="37FFBD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FDB707"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мае 1944 года в 47</w:t>
      </w:r>
      <w:r w:rsidRPr="00C94B78">
        <w:rPr>
          <w:rFonts w:ascii="Times New Roman" w:hAnsi="Times New Roman"/>
          <w:color w:val="0070C0"/>
          <w:sz w:val="16"/>
          <w:szCs w:val="16"/>
        </w:rPr>
        <w:noBreakHyphen/>
        <w:t>м ГАПДР (гвардейский авиаполк дальней разведки) проходил испытания прототип Ту-2Р, разработанный на заводе № 166. На серийную машину (серийный номер «304») с двигателями АШ</w:t>
      </w:r>
      <w:r w:rsidRPr="00C94B78">
        <w:rPr>
          <w:rFonts w:ascii="Times New Roman" w:hAnsi="Times New Roman"/>
          <w:color w:val="0070C0"/>
          <w:sz w:val="16"/>
          <w:szCs w:val="16"/>
        </w:rPr>
        <w:noBreakHyphen/>
        <w:t>82ФН, установили подвесной топливный бак и фотокамеру АФА</w:t>
      </w:r>
      <w:r w:rsidRPr="00C94B78">
        <w:rPr>
          <w:rFonts w:ascii="Times New Roman" w:hAnsi="Times New Roman"/>
          <w:color w:val="0070C0"/>
          <w:sz w:val="16"/>
          <w:szCs w:val="16"/>
        </w:rPr>
        <w:noBreakHyphen/>
        <w:t>33/50. Благодаря наружной подвеске фотокамеры имелась возможность проводить двухмерную съемку поверхности. Подвесной бак увеличивал дальность полета до 2130 км.</w:t>
      </w:r>
    </w:p>
    <w:p w14:paraId="076348F6"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После удачных испытаний прототипа «304», его рекомендовали к серийному выпуску. Однако были высказаны пожелания, какие следовало учесть к 1945 году. Улучшенный самолет создали на базе серийной машины «1/36», переделанной на заводе № 23. Самолет нес следующее дополнительное оборудование:</w:t>
      </w:r>
    </w:p>
    <w:p w14:paraId="06F2A870"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Фотокамеру АФА</w:t>
      </w:r>
      <w:r w:rsidRPr="00C94B78">
        <w:rPr>
          <w:rFonts w:ascii="Times New Roman" w:hAnsi="Times New Roman"/>
          <w:color w:val="0070C0"/>
          <w:sz w:val="16"/>
          <w:szCs w:val="16"/>
        </w:rPr>
        <w:noBreakHyphen/>
        <w:t>33с/50, установленную в бомбоотсеке на неподвижном станке, фотокамеру АФА</w:t>
      </w:r>
      <w:r w:rsidRPr="00C94B78">
        <w:rPr>
          <w:rFonts w:ascii="Times New Roman" w:hAnsi="Times New Roman"/>
          <w:color w:val="0070C0"/>
          <w:sz w:val="16"/>
          <w:szCs w:val="16"/>
        </w:rPr>
        <w:noBreakHyphen/>
        <w:t>33с/100 на качающемся универсальном станке АКА</w:t>
      </w:r>
      <w:r w:rsidRPr="00C94B78">
        <w:rPr>
          <w:rFonts w:ascii="Times New Roman" w:hAnsi="Times New Roman"/>
          <w:color w:val="0070C0"/>
          <w:sz w:val="16"/>
          <w:szCs w:val="16"/>
        </w:rPr>
        <w:noBreakHyphen/>
        <w:t>ФАЙ</w:t>
      </w:r>
      <w:r w:rsidRPr="00C94B78">
        <w:rPr>
          <w:rFonts w:ascii="Times New Roman" w:hAnsi="Times New Roman"/>
          <w:color w:val="0070C0"/>
          <w:sz w:val="16"/>
          <w:szCs w:val="16"/>
        </w:rPr>
        <w:noBreakHyphen/>
        <w:t>156. Объектив камеры АФА</w:t>
      </w:r>
      <w:r w:rsidRPr="00C94B78">
        <w:rPr>
          <w:rFonts w:ascii="Times New Roman" w:hAnsi="Times New Roman"/>
          <w:color w:val="0070C0"/>
          <w:sz w:val="16"/>
          <w:szCs w:val="16"/>
        </w:rPr>
        <w:noBreakHyphen/>
        <w:t>33с/ 100 выступал за силуэт фюзеляжа и был прикрыт легким обтекателем.</w:t>
      </w:r>
    </w:p>
    <w:p w14:paraId="26348477"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кабине радиста на неподвижном станке ОКБ</w:t>
      </w:r>
      <w:r w:rsidRPr="00C94B78">
        <w:rPr>
          <w:rFonts w:ascii="Times New Roman" w:hAnsi="Times New Roman"/>
          <w:color w:val="0070C0"/>
          <w:sz w:val="16"/>
          <w:szCs w:val="16"/>
        </w:rPr>
        <w:noBreakHyphen/>
        <w:t>156 установили фотокамеру для ночной съемки НАФА</w:t>
      </w:r>
      <w:r w:rsidRPr="00C94B78">
        <w:rPr>
          <w:rFonts w:ascii="Times New Roman" w:hAnsi="Times New Roman"/>
          <w:color w:val="0070C0"/>
          <w:sz w:val="16"/>
          <w:szCs w:val="16"/>
        </w:rPr>
        <w:noBreakHyphen/>
        <w:t>3с. Этой камерой можно было делать снимки под углом 0,5, 10, 15, 20и 25 гр.к горизонту. Вместо НАФА</w:t>
      </w:r>
      <w:r w:rsidRPr="00C94B78">
        <w:rPr>
          <w:rFonts w:ascii="Times New Roman" w:hAnsi="Times New Roman"/>
          <w:color w:val="0070C0"/>
          <w:sz w:val="16"/>
          <w:szCs w:val="16"/>
        </w:rPr>
        <w:noBreakHyphen/>
        <w:t>3с можно было поставить АФА</w:t>
      </w:r>
      <w:r w:rsidRPr="00C94B78">
        <w:rPr>
          <w:rFonts w:ascii="Times New Roman" w:hAnsi="Times New Roman"/>
          <w:color w:val="0070C0"/>
          <w:sz w:val="16"/>
          <w:szCs w:val="16"/>
        </w:rPr>
        <w:noBreakHyphen/>
        <w:t>ИМ или НАФА</w:t>
      </w:r>
      <w:r w:rsidRPr="00C94B78">
        <w:rPr>
          <w:rFonts w:ascii="Times New Roman" w:hAnsi="Times New Roman"/>
          <w:color w:val="0070C0"/>
          <w:sz w:val="16"/>
          <w:szCs w:val="16"/>
        </w:rPr>
        <w:noBreakHyphen/>
        <w:t>19.</w:t>
      </w:r>
    </w:p>
    <w:p w14:paraId="47CA906A"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бомбоотсеке установили дополнительный бензобак, емкостью 650 л.</w:t>
      </w:r>
    </w:p>
    <w:p w14:paraId="4112FB6A"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Крышки фотообъективов имели электрический привод, включаемый из кабины штурмана.</w:t>
      </w:r>
    </w:p>
    <w:p w14:paraId="1043E13C"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кабине пилота установили американский радиокомпас SCR</w:t>
      </w:r>
      <w:r w:rsidRPr="00C94B78">
        <w:rPr>
          <w:rFonts w:ascii="Times New Roman" w:hAnsi="Times New Roman"/>
          <w:color w:val="0070C0"/>
          <w:sz w:val="16"/>
          <w:szCs w:val="16"/>
        </w:rPr>
        <w:noBreakHyphen/>
        <w:t>26 фирмы Bendix (25073).</w:t>
      </w:r>
    </w:p>
    <w:p w14:paraId="17247877" w14:textId="77777777" w:rsidR="004A376D" w:rsidRPr="00C94B78" w:rsidRDefault="004A376D" w:rsidP="00B56F90">
      <w:pPr>
        <w:spacing w:after="0" w:line="240" w:lineRule="auto"/>
        <w:jc w:val="both"/>
        <w:rPr>
          <w:rFonts w:ascii="Times New Roman" w:hAnsi="Times New Roman"/>
          <w:color w:val="0070C0"/>
          <w:sz w:val="16"/>
          <w:szCs w:val="16"/>
        </w:rPr>
      </w:pPr>
    </w:p>
    <w:p w14:paraId="6D2E3383"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мае 1944 года был готов самолет СДБ (скоростной дневной бомбардировщик). Благодаря большой скорости и высокому потолку самолет мог уходить от истребителей противника и совершать дневные налеты на объекты. Самолет был создан как наш аналог английского «Mosquito».</w:t>
      </w:r>
    </w:p>
    <w:p w14:paraId="207B10F8"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Первый СДБ (обозначенный в ОКБ Туполева как «63/1») представлял собой модификацию прототипа «103», оснащенного двумя моторами АМ</w:t>
      </w:r>
      <w:r w:rsidRPr="00C94B78">
        <w:rPr>
          <w:rFonts w:ascii="Times New Roman" w:hAnsi="Times New Roman"/>
          <w:color w:val="0070C0"/>
          <w:sz w:val="16"/>
          <w:szCs w:val="16"/>
        </w:rPr>
        <w:noBreakHyphen/>
        <w:t>37. В ходе переделки в конструкцию самолета внесли следующие изменения:</w:t>
      </w:r>
    </w:p>
    <w:p w14:paraId="2C46AE9F"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 место двигателей АМ</w:t>
      </w:r>
      <w:r w:rsidRPr="00C94B78">
        <w:rPr>
          <w:rFonts w:ascii="Times New Roman" w:hAnsi="Times New Roman"/>
          <w:color w:val="0070C0"/>
          <w:sz w:val="16"/>
          <w:szCs w:val="16"/>
        </w:rPr>
        <w:noBreakHyphen/>
        <w:t>37 установили двигатели АМ</w:t>
      </w:r>
      <w:r w:rsidRPr="00C94B78">
        <w:rPr>
          <w:rFonts w:ascii="Times New Roman" w:hAnsi="Times New Roman"/>
          <w:color w:val="0070C0"/>
          <w:sz w:val="16"/>
          <w:szCs w:val="16"/>
        </w:rPr>
        <w:noBreakHyphen/>
        <w:t>39 жидкостного охлаждения мощностью 1870 л.с. с винтами АВ</w:t>
      </w:r>
      <w:r w:rsidRPr="00C94B78">
        <w:rPr>
          <w:rFonts w:ascii="Times New Roman" w:hAnsi="Times New Roman"/>
          <w:color w:val="0070C0"/>
          <w:sz w:val="16"/>
          <w:szCs w:val="16"/>
        </w:rPr>
        <w:noBreakHyphen/>
        <w:t>5ЛВ</w:t>
      </w:r>
      <w:r w:rsidRPr="00C94B78">
        <w:rPr>
          <w:rFonts w:ascii="Times New Roman" w:hAnsi="Times New Roman"/>
          <w:color w:val="0070C0"/>
          <w:sz w:val="16"/>
          <w:szCs w:val="16"/>
        </w:rPr>
        <w:noBreakHyphen/>
        <w:t>22А диаметром 3,6 м;</w:t>
      </w:r>
    </w:p>
    <w:p w14:paraId="2EA5C9E7"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Сняли аэродинамические тормоза, панель управления шасси и створками бомболюка, сняли два пулемета – один верхний и нижний;</w:t>
      </w:r>
    </w:p>
    <w:p w14:paraId="293F68FA"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Экипаж сократили до двух человек (25073).</w:t>
      </w:r>
    </w:p>
    <w:p w14:paraId="00AB124B" w14:textId="77777777" w:rsidR="004A376D" w:rsidRPr="00C94B78" w:rsidRDefault="004A376D" w:rsidP="00B56F90">
      <w:pPr>
        <w:spacing w:after="0" w:line="240" w:lineRule="auto"/>
        <w:jc w:val="both"/>
        <w:rPr>
          <w:rFonts w:ascii="Times New Roman" w:hAnsi="Times New Roman"/>
          <w:color w:val="0070C0"/>
          <w:sz w:val="16"/>
          <w:szCs w:val="16"/>
        </w:rPr>
      </w:pPr>
    </w:p>
    <w:p w14:paraId="690D0B5B"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началось проектирование «самолета 64» в двух вариантах (бомбардировщик и транспортно-пассажирский). Проектные работы показали, что «самолет 64» при габаритах, близких к АНТ-42 (Пе-8), имел в два раза большую массу. Это поставило перед создателями самолета, особенно перед конструкторами и прочнистами, ряд трудных задач, так как усилия в элементах конструкции «самолета 64» были более чем в два раза выше, чем в соответствующих элементах АНТ-42.</w:t>
      </w:r>
    </w:p>
    <w:p w14:paraId="34799599"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Шла война, и все силы авиационной промышленности и смежных с нею отраслей были направлены на обеспечение массового выпуска серийных боевых самолетов. Внедрение новых авиационных материалов и изделий из них в условиях войны было затруднено, поэтому самолетостроителям приходилось использовать сортамент листов и прессованных профилей из легких сплавов десятилетней давности. Аналогичная ситуация была характерна для радиосвязного и радиотехнического оборудования, а также для системы стрелково-пушечно-го вооружения.</w:t>
      </w:r>
    </w:p>
    <w:p w14:paraId="376CEBDE"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ходе эскизного проектирования самолета в бригаде общих видов, возглавлявшейся Б. М. Кондорским, были рассмотрены несколько десятков вариантов компоновок. Спектр рассматривавшихся вариантов был очень широк — от четырехмоторных самолетов, близких к В-24, В-17 и Ме-264, до экзотических компоновочных решений с использованием двух балочной схемы.</w:t>
      </w:r>
    </w:p>
    <w:p w14:paraId="68A182F4"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Проектировщики остановились на нормальной схеме четырехмоторного самолета с герметичными кабинами, разнесенным шайбовидным вертикальным оперением и шасси с носовым колесом. В ходе эскизного проектирования внимательно изучался опыт подобной работы с американским бомбардировщиком В-29. Все то новое, что было на тот момент в самолетостроении и что могла позволить в технологическом отношении отечественная авиапромышленность, было привнесено в проект.</w:t>
      </w:r>
    </w:p>
    <w:p w14:paraId="1729CCA5"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был предложен самолет, по своему техническому совершенству, техническим и технологическим решениям, занимавший промежуточное, переходное место между бомбардировщиками разработки конца 30-х годов и самолетами класса В-29 (15568).</w:t>
      </w:r>
    </w:p>
    <w:p w14:paraId="399C8F0A" w14:textId="77777777" w:rsidR="006E5527" w:rsidRPr="00070ADE" w:rsidRDefault="006E5527" w:rsidP="00B56F90">
      <w:pPr>
        <w:spacing w:after="0" w:line="240" w:lineRule="auto"/>
        <w:jc w:val="both"/>
        <w:rPr>
          <w:rFonts w:ascii="Times New Roman" w:hAnsi="Times New Roman"/>
          <w:color w:val="000000" w:themeColor="text1"/>
          <w:sz w:val="16"/>
          <w:szCs w:val="16"/>
        </w:rPr>
      </w:pPr>
    </w:p>
    <w:p w14:paraId="462835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был первый полет НБ (Т) Н.Н.П. (1023,209).</w:t>
      </w:r>
    </w:p>
    <w:p w14:paraId="0FA676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2401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мая 1944-го по 25 июля 1945 года самолет ДВБ-102 проходил летные испытания. Несмотря на то, что двигатель М-71Ф, развивавший взлетную мощность 2250 л.с., прошел 50-часовые стендовые испытания, его надежность оставляла желать лучшего. В итоге почти четырехлетней работы на ДВБ-102 получили мак</w:t>
      </w:r>
      <w:r w:rsidRPr="00070ADE">
        <w:rPr>
          <w:rFonts w:ascii="Times New Roman" w:hAnsi="Times New Roman"/>
          <w:color w:val="000000" w:themeColor="text1"/>
          <w:sz w:val="16"/>
          <w:szCs w:val="16"/>
        </w:rPr>
        <w:softHyphen/>
        <w:t>симальную скорость 570 км/ч, практический потолок 10 750 метров и дальность 3740 км. К этому времени пол</w:t>
      </w:r>
      <w:r w:rsidRPr="00070ADE">
        <w:rPr>
          <w:rFonts w:ascii="Times New Roman" w:hAnsi="Times New Roman"/>
          <w:color w:val="000000" w:themeColor="text1"/>
          <w:sz w:val="16"/>
          <w:szCs w:val="16"/>
        </w:rPr>
        <w:softHyphen/>
        <w:t>ным ходом шли работы по четырехмоторным дальним бом</w:t>
      </w:r>
      <w:r w:rsidRPr="00070ADE">
        <w:rPr>
          <w:rFonts w:ascii="Times New Roman" w:hAnsi="Times New Roman"/>
          <w:color w:val="000000" w:themeColor="text1"/>
          <w:sz w:val="16"/>
          <w:szCs w:val="16"/>
        </w:rPr>
        <w:softHyphen/>
        <w:t>бардировщикам «64» Туполева и ДВБ-202/302 Мясищевас двигателями жидкостного охлаждения АМ-43 ТК и АМ-46ТК, расчетные параметры которых превосходили ДВБ-102 и наиболее полно отвечали требованиям ВВС конца 1940-х годов. Параллельно с доводками первой опытной машины в 1941 году велись работы по проектированию и постройке дублера, первоначально рассчитывавшегося под двигатель МБ-100. Однако после эвакуации завода № 156 в соответ</w:t>
      </w:r>
      <w:r w:rsidRPr="00070ADE">
        <w:rPr>
          <w:rFonts w:ascii="Times New Roman" w:hAnsi="Times New Roman"/>
          <w:color w:val="000000" w:themeColor="text1"/>
          <w:sz w:val="16"/>
          <w:szCs w:val="16"/>
        </w:rPr>
        <w:softHyphen/>
        <w:t>ствии с июньским 1942 года приказом НКАП работы по дуб</w:t>
      </w:r>
      <w:r w:rsidRPr="00070ADE">
        <w:rPr>
          <w:rFonts w:ascii="Times New Roman" w:hAnsi="Times New Roman"/>
          <w:color w:val="000000" w:themeColor="text1"/>
          <w:sz w:val="16"/>
          <w:szCs w:val="16"/>
        </w:rPr>
        <w:softHyphen/>
        <w:t>леру временно прекратились. Уже в Москве его пытались приспособить под двигатели АМ-46ТК, но в окончательном виде построили с двигателями М-71Ф с учетом установки АШ-72. Вследствие возможного выхода из строя потом его законсервировали вместе с другими самолетами на аэродро</w:t>
      </w:r>
      <w:r w:rsidRPr="00070ADE">
        <w:rPr>
          <w:rFonts w:ascii="Times New Roman" w:hAnsi="Times New Roman"/>
          <w:color w:val="000000" w:themeColor="text1"/>
          <w:sz w:val="16"/>
          <w:szCs w:val="16"/>
        </w:rPr>
        <w:softHyphen/>
        <w:t>ме имени Фрунзе, а после списали (10745,238).</w:t>
      </w:r>
    </w:p>
    <w:p w14:paraId="0069A4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E15B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мая 1944-го по 25 июля 1945 года самолет ДВБ-102 М-71 проходил совместные лет</w:t>
      </w:r>
      <w:r w:rsidRPr="00070ADE">
        <w:rPr>
          <w:rFonts w:ascii="Times New Roman" w:hAnsi="Times New Roman"/>
          <w:color w:val="000000" w:themeColor="text1"/>
          <w:sz w:val="16"/>
          <w:szCs w:val="16"/>
        </w:rPr>
        <w:softHyphen/>
        <w:t>ные испытания. Ведущими летчиками на этом этапе от ОКБ-482 был Ф.Ф. Опадчий, а от ЛИИ — И.И. Шунейко. От заказчика ведущими по машине были инженер М.И. Ефимов, летчик В.И. Жданов, штурман Н.П. Цвет</w:t>
      </w:r>
      <w:r w:rsidRPr="00070ADE">
        <w:rPr>
          <w:rFonts w:ascii="Times New Roman" w:hAnsi="Times New Roman"/>
          <w:color w:val="000000" w:themeColor="text1"/>
          <w:sz w:val="16"/>
          <w:szCs w:val="16"/>
        </w:rPr>
        <w:softHyphen/>
        <w:t>ков и инженер по силовой установке А.Ф. Абашин (11446).</w:t>
      </w:r>
    </w:p>
    <w:p w14:paraId="336EBD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6E8FF4" w14:textId="77777777" w:rsidR="003B127C" w:rsidRPr="00070ADE" w:rsidRDefault="003B127C" w:rsidP="00B56F90">
      <w:pPr>
        <w:pStyle w:val="a3"/>
        <w:rPr>
          <w:color w:val="000000" w:themeColor="text1"/>
          <w:lang w:val="ru-RU"/>
        </w:rPr>
      </w:pPr>
      <w:r w:rsidRPr="00070ADE">
        <w:rPr>
          <w:color w:val="000000" w:themeColor="text1"/>
          <w:lang w:val="ru-RU"/>
        </w:rPr>
        <w:t>В мае 1944 ДВБ-102 снова мог летать. Для выполнения полетов была назна</w:t>
      </w:r>
      <w:r w:rsidRPr="00070ADE">
        <w:rPr>
          <w:color w:val="000000" w:themeColor="text1"/>
          <w:lang w:val="ru-RU"/>
        </w:rPr>
        <w:softHyphen/>
        <w:t>чена бригада в составе летчика-испыта- теля Ф.Ф. Опадчего и ведущего инженера А.В. Лурье от завода, от ЛИИ НКАП - лет</w:t>
      </w:r>
      <w:r w:rsidRPr="00070ADE">
        <w:rPr>
          <w:color w:val="000000" w:themeColor="text1"/>
          <w:lang w:val="ru-RU"/>
        </w:rPr>
        <w:softHyphen/>
        <w:t>чика И.И. Шунейко и инженера Н.И. Квитко, от НИИ ВВС - летчика В.И. Жданова, штур</w:t>
      </w:r>
      <w:r w:rsidRPr="00070ADE">
        <w:rPr>
          <w:color w:val="000000" w:themeColor="text1"/>
          <w:lang w:val="ru-RU"/>
        </w:rPr>
        <w:softHyphen/>
        <w:t>мана Н.П. Цветкова, ведущего инженера М.И. Ефимова и инженера по силовой установке А.Ф. Абашина.</w:t>
      </w:r>
    </w:p>
    <w:p w14:paraId="3E9546C7" w14:textId="77777777" w:rsidR="003B127C" w:rsidRPr="00070ADE" w:rsidRDefault="003B127C" w:rsidP="00B56F90">
      <w:pPr>
        <w:pStyle w:val="a3"/>
        <w:rPr>
          <w:color w:val="000000" w:themeColor="text1"/>
          <w:lang w:val="ru-RU"/>
        </w:rPr>
      </w:pPr>
      <w:r w:rsidRPr="00070ADE">
        <w:rPr>
          <w:color w:val="000000" w:themeColor="text1"/>
          <w:lang w:val="ru-RU"/>
        </w:rPr>
        <w:t>Новая носовая часть с широкой каби</w:t>
      </w:r>
      <w:r w:rsidRPr="00070ADE">
        <w:rPr>
          <w:color w:val="000000" w:themeColor="text1"/>
          <w:lang w:val="ru-RU"/>
        </w:rPr>
        <w:softHyphen/>
        <w:t>ной дала прирост аэродинамического со</w:t>
      </w:r>
      <w:r w:rsidRPr="00070ADE">
        <w:rPr>
          <w:color w:val="000000" w:themeColor="text1"/>
          <w:lang w:val="ru-RU"/>
        </w:rPr>
        <w:softHyphen/>
        <w:t>противления, но и двигатели М-71Ф ТК-3 были мощнее. И если бы они работали лучше, то был бы даже некоторый рост скорости и высотности, но вышло наобо</w:t>
      </w:r>
      <w:r w:rsidRPr="00070ADE">
        <w:rPr>
          <w:color w:val="000000" w:themeColor="text1"/>
          <w:lang w:val="ru-RU"/>
        </w:rPr>
        <w:softHyphen/>
        <w:t>рот. Но определили судьбу самолета не это, а обилие отказов.</w:t>
      </w:r>
    </w:p>
    <w:p w14:paraId="7FC9108A" w14:textId="77777777" w:rsidR="003B127C" w:rsidRPr="00070ADE" w:rsidRDefault="003B127C" w:rsidP="00B56F90">
      <w:pPr>
        <w:pStyle w:val="a3"/>
        <w:rPr>
          <w:color w:val="000000" w:themeColor="text1"/>
          <w:lang w:val="ru-RU"/>
        </w:rPr>
      </w:pPr>
      <w:r w:rsidRPr="00070ADE">
        <w:rPr>
          <w:color w:val="000000" w:themeColor="text1"/>
          <w:lang w:val="ru-RU"/>
        </w:rPr>
        <w:t>Моторы М-71Ф, формально серийные, прошедшие 50-часовые испытания, ра</w:t>
      </w:r>
      <w:r w:rsidRPr="00070ADE">
        <w:rPr>
          <w:color w:val="000000" w:themeColor="text1"/>
          <w:lang w:val="ru-RU"/>
        </w:rPr>
        <w:softHyphen/>
        <w:t>ботали крайне ненадежно, их постоянно меняли, причем 19-й завод не всегда мог поставить очередную пару с турбоком</w:t>
      </w:r>
      <w:r w:rsidRPr="00070ADE">
        <w:rPr>
          <w:color w:val="000000" w:themeColor="text1"/>
          <w:lang w:val="ru-RU"/>
        </w:rPr>
        <w:softHyphen/>
        <w:t>прессорами. Машина летала то с обыч</w:t>
      </w:r>
      <w:r w:rsidRPr="00070ADE">
        <w:rPr>
          <w:color w:val="000000" w:themeColor="text1"/>
          <w:lang w:val="ru-RU"/>
        </w:rPr>
        <w:softHyphen/>
        <w:t>ными М-71, то с М-71Ф, и не могла пока</w:t>
      </w:r>
      <w:r w:rsidRPr="00070ADE">
        <w:rPr>
          <w:color w:val="000000" w:themeColor="text1"/>
          <w:lang w:val="ru-RU"/>
        </w:rPr>
        <w:softHyphen/>
        <w:t>зать «когда надо» свои лучшие качества (17739).</w:t>
      </w:r>
    </w:p>
    <w:p w14:paraId="5F8C6C93" w14:textId="77777777" w:rsidR="003B127C" w:rsidRPr="00070ADE" w:rsidRDefault="003B127C" w:rsidP="00B56F90">
      <w:pPr>
        <w:spacing w:after="0" w:line="240" w:lineRule="auto"/>
        <w:jc w:val="both"/>
        <w:rPr>
          <w:rFonts w:ascii="Times New Roman" w:hAnsi="Times New Roman"/>
          <w:color w:val="000000" w:themeColor="text1"/>
          <w:sz w:val="16"/>
          <w:szCs w:val="16"/>
        </w:rPr>
      </w:pPr>
    </w:p>
    <w:p w14:paraId="2CF1CFA5" w14:textId="77777777" w:rsidR="00CF724C" w:rsidRPr="00070ADE" w:rsidRDefault="00CF724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мая 1944 г. испытания ДВБ-102 М-71Ф проводились на заводе № 482. Они шли значительное время, но с частыми и длительными перерывами, показав следующее:</w:t>
      </w:r>
    </w:p>
    <w:p w14:paraId="53B7C7C1" w14:textId="77777777" w:rsidR="00CF724C" w:rsidRPr="00070ADE" w:rsidRDefault="00CF724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новая НЧФ с широкой кабиной дала прирост аэродинамического сопротивления, но и двигатели М-71Ф ТК-3 были мощнее, и если бы они устойчиво давали паспортную мощность, то был бы даже некоторый рост скорости и высотности;</w:t>
      </w:r>
    </w:p>
    <w:p w14:paraId="4C7716A5" w14:textId="77777777" w:rsidR="00CF724C" w:rsidRPr="00070ADE" w:rsidRDefault="00CF724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довести двигатель М-71 не удалось – хотя испытания самолета «102» с ним прошли без тяжелых происшествий, на других самолетах с М-71 были аварии и катастрофы, формально именно по этой причине серию самолет не запускался;</w:t>
      </w:r>
    </w:p>
    <w:p w14:paraId="0FACA87D" w14:textId="77777777" w:rsidR="00CF724C" w:rsidRPr="00070ADE" w:rsidRDefault="00CF724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 самом самолете оставались конструктивно-технологические недостатки, но они могли быть изжиты с учетом возможности использования опыта, полученного при изучении американского тяжелого бомбардировщика В-29.</w:t>
      </w:r>
    </w:p>
    <w:p w14:paraId="6DC87024" w14:textId="77777777" w:rsidR="00CF724C" w:rsidRPr="00070ADE" w:rsidRDefault="00CF724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 же время с учетом появления атомных бомб, вес и размеры (бомба РДС-1 не вписывалась в отсек самолета ДВБ-102 по диаметру корпуса) которых пока превышали возможности самолета ДВБ-102, в развитии советской дальней авиации приоритет был отдан тяжелым, а не средним бомбардировщикам. Поскольку за время войны в этой области накопилось очень большое отставание от нового вероятного противника США, принимается решение скопировать самолет Boeing B-29 Superfortress по имевшимся в СССР образцам, сосредоточив на этом как можно большую часть остающихся в условиях послевоенной разрухи ресурсов. Для этого все предприятия и их проекты, которые не могли дать практического результата в виде запускаемых в серию новых самолетов, подлежали закрытию (23552).</w:t>
      </w:r>
    </w:p>
    <w:p w14:paraId="3D82FFC7" w14:textId="77777777" w:rsidR="00CF724C" w:rsidRPr="00070ADE" w:rsidRDefault="00CF724C" w:rsidP="00B56F90">
      <w:pPr>
        <w:spacing w:after="0" w:line="240" w:lineRule="auto"/>
        <w:jc w:val="both"/>
        <w:rPr>
          <w:rFonts w:ascii="Times New Roman" w:hAnsi="Times New Roman"/>
          <w:color w:val="000000" w:themeColor="text1"/>
          <w:sz w:val="16"/>
          <w:szCs w:val="16"/>
        </w:rPr>
      </w:pPr>
    </w:p>
    <w:p w14:paraId="292E39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ОКО В.М.М. получило задание НКАП на разработку и постройку двух экземпляров ВБ-109, но работы по высотному варианту велись значительно медленнее (4476).</w:t>
      </w:r>
    </w:p>
    <w:p w14:paraId="6D68F4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6777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в ЛИИ прошел испытания единственный из поставленных в СССР самолет "Москито" фирмы Де Хевилленд с моторами "Мерлин 21", выпущенного в 1942 г. При близких полетных весах английский "Москито" без оборонительного вооружения при примерно одинаковой дальности развивал скорость почти на 90 км/ч меньше, чем Пе-2И В.М.М. (3337).</w:t>
      </w:r>
    </w:p>
    <w:p w14:paraId="124D4A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40B0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в ЛИИ испытывался Москито IV с Мерлин 21 (173,278).</w:t>
      </w:r>
    </w:p>
    <w:p w14:paraId="5EBF29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AC38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в ЛИИ прошел испытания единственный из поставлен</w:t>
      </w:r>
      <w:r w:rsidRPr="00070ADE">
        <w:rPr>
          <w:rFonts w:ascii="Times New Roman" w:hAnsi="Times New Roman"/>
          <w:color w:val="000000" w:themeColor="text1"/>
          <w:sz w:val="16"/>
          <w:szCs w:val="16"/>
        </w:rPr>
        <w:softHyphen/>
        <w:t>ных в Советский Союз самолет «Москито» фирмы «Де Хевилленд» с моторами «Мерлин 21», выпущенный в 1942 году. При близких полетных весах английский «Москито» без оборонительного вооружения при при</w:t>
      </w:r>
      <w:r w:rsidRPr="00070ADE">
        <w:rPr>
          <w:rFonts w:ascii="Times New Roman" w:hAnsi="Times New Roman"/>
          <w:color w:val="000000" w:themeColor="text1"/>
          <w:sz w:val="16"/>
          <w:szCs w:val="16"/>
        </w:rPr>
        <w:softHyphen/>
        <w:t>мерно одинаковой дальности развивал скорость поч</w:t>
      </w:r>
      <w:r w:rsidRPr="00070ADE">
        <w:rPr>
          <w:rFonts w:ascii="Times New Roman" w:hAnsi="Times New Roman"/>
          <w:color w:val="000000" w:themeColor="text1"/>
          <w:sz w:val="16"/>
          <w:szCs w:val="16"/>
        </w:rPr>
        <w:softHyphen/>
        <w:t>ти на 90 км/ч меньше, чем Пе-2И (11446).</w:t>
      </w:r>
    </w:p>
    <w:p w14:paraId="77F08B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31AD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В.Поликовским, В.Климовым, М.Левиным, Е.Погосецким, П.Павлючук была подготовлена Докладная записка</w:t>
      </w:r>
    </w:p>
    <w:p w14:paraId="26E7F3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вопросу об изучении самолета “Москито 1У” с моторами Мерлин 21.</w:t>
      </w:r>
    </w:p>
    <w:p w14:paraId="2B7E8E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изучения винто-моторной группы самолета Москито 1У с мтором Мерлин 21 комиссией специалистов Наркомавиапрома и ВВС установлено следующее:</w:t>
      </w:r>
    </w:p>
    <w:p w14:paraId="312F78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 мотору Мерлин 21</w:t>
      </w:r>
    </w:p>
    <w:p w14:paraId="052E0E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Установленный на прибывшем из Англии самолете Москито 1У мотор Мерлин 21 особого интереса не представляет и весьма незначительно отличается от давно находящегося в эксплоатации моторов Мерлин 20. Такие моторы широко применяются на английских истребителях Спитфайр и Харрикейн и достаточно хорошо известны.</w:t>
      </w:r>
    </w:p>
    <w:p w14:paraId="52FE96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 же время известно, что на самолетах Москито в настоящее время устанавливаются новые высотные модификации мотора Мерлин с двухступенчатым нагнетателем, представляющим большой интерес как с точки зрения полученных на этих моторах исключительно высоких высотных характеристиках, так и с точки зррения наличия у этих моторов кратковременных пятиминутных боевых режимов, значительно превыщающих не только номинальные, но и взлетные характеристики.</w:t>
      </w:r>
    </w:p>
    <w:p w14:paraId="0BD8CE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Заслуживает внимания наличие на расширительном бачке анероидного клапана постоянного давления, а не постоянного перепада давлений. Такие клапаны разработаны и испытаны в НКАП и заслуживают внедрения, т.к. они могут оказаться весьма полезными с точки зрения защиты мотора от перегрева на малых высотах (1825).</w:t>
      </w:r>
    </w:p>
    <w:p w14:paraId="17733B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C74781" w14:textId="77777777" w:rsidR="00D70979" w:rsidRPr="00070ADE" w:rsidRDefault="00D70979"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В мае 1944 г. после выхода Постановления Государственного Комитета Обороны о создании скоростных дневных бомбардировщиков в конструкторских кол</w:t>
      </w:r>
      <w:r w:rsidRPr="00070ADE">
        <w:rPr>
          <w:rFonts w:ascii="Times New Roman" w:cs="Times New Roman"/>
          <w:color w:val="000000" w:themeColor="text1"/>
          <w:spacing w:val="0"/>
        </w:rPr>
        <w:softHyphen/>
        <w:t>лективах А.Н. Туполева, В.М. Мясищева и С.В. Ильюшина началось проектирование подоб</w:t>
      </w:r>
      <w:r w:rsidRPr="00070ADE">
        <w:rPr>
          <w:rFonts w:ascii="Times New Roman" w:cs="Times New Roman"/>
          <w:color w:val="000000" w:themeColor="text1"/>
          <w:spacing w:val="0"/>
        </w:rPr>
        <w:softHyphen/>
        <w:t>ных машин. Уже летом эскизный проект двухместного четырех</w:t>
      </w:r>
      <w:r w:rsidRPr="00070ADE">
        <w:rPr>
          <w:rFonts w:ascii="Times New Roman" w:cs="Times New Roman"/>
          <w:color w:val="000000" w:themeColor="text1"/>
          <w:spacing w:val="0"/>
        </w:rPr>
        <w:softHyphen/>
        <w:t>моторного бомбардировщика Ил-14 был направлен на согласование в ВВС и НКАП. Летчик и штурман один за другим разме</w:t>
      </w:r>
      <w:r w:rsidRPr="00070ADE">
        <w:rPr>
          <w:rFonts w:ascii="Times New Roman" w:cs="Times New Roman"/>
          <w:color w:val="000000" w:themeColor="text1"/>
          <w:spacing w:val="0"/>
        </w:rPr>
        <w:softHyphen/>
        <w:t>щались в общей кабине. Четыре двига</w:t>
      </w:r>
      <w:r w:rsidRPr="00070ADE">
        <w:rPr>
          <w:rFonts w:ascii="Times New Roman" w:cs="Times New Roman"/>
          <w:color w:val="000000" w:themeColor="text1"/>
          <w:spacing w:val="0"/>
        </w:rPr>
        <w:softHyphen/>
        <w:t>теля жидкостного охлаждения АМ-43НВ с мощностью по 4260 л.с. конструктора А.А. Микулина, два из которых имели тяну</w:t>
      </w:r>
      <w:r w:rsidRPr="00070ADE">
        <w:rPr>
          <w:rFonts w:ascii="Times New Roman" w:cs="Times New Roman"/>
          <w:color w:val="000000" w:themeColor="text1"/>
          <w:spacing w:val="0"/>
        </w:rPr>
        <w:softHyphen/>
        <w:t>щие воздушные винты, а два оставших</w:t>
      </w:r>
      <w:r w:rsidRPr="00070ADE">
        <w:rPr>
          <w:rFonts w:ascii="Times New Roman" w:cs="Times New Roman"/>
          <w:color w:val="000000" w:themeColor="text1"/>
          <w:spacing w:val="0"/>
        </w:rPr>
        <w:softHyphen/>
        <w:t>ся - толкающие, располагались тандемно в двух крыльевых гондолах. Воздушные радиаторы систем смазки и охлаждения двигателей устанавливались в центропла</w:t>
      </w:r>
      <w:r w:rsidRPr="00070ADE">
        <w:rPr>
          <w:rFonts w:ascii="Times New Roman" w:cs="Times New Roman"/>
          <w:color w:val="000000" w:themeColor="text1"/>
          <w:spacing w:val="0"/>
        </w:rPr>
        <w:softHyphen/>
        <w:t>не и продувались воздухом, поступавшим из заборников в его носке. Выбранная схе</w:t>
      </w:r>
      <w:r w:rsidRPr="00070ADE">
        <w:rPr>
          <w:rFonts w:ascii="Times New Roman" w:cs="Times New Roman"/>
          <w:color w:val="000000" w:themeColor="text1"/>
          <w:spacing w:val="0"/>
        </w:rPr>
        <w:softHyphen/>
        <w:t>ма самолета давала возможность получить более компактную конструкцию и умень</w:t>
      </w:r>
      <w:r w:rsidRPr="00070ADE">
        <w:rPr>
          <w:rFonts w:ascii="Times New Roman" w:cs="Times New Roman"/>
          <w:color w:val="000000" w:themeColor="text1"/>
          <w:spacing w:val="0"/>
        </w:rPr>
        <w:softHyphen/>
        <w:t>шить ее сопротивление. Вместе с тем, возникала опасность попадания экипажа под винты задних моторов при аварийном покидании самолета.</w:t>
      </w:r>
    </w:p>
    <w:p w14:paraId="0A0F0026" w14:textId="77777777" w:rsidR="00D70979" w:rsidRPr="00070ADE" w:rsidRDefault="00D70979"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Неожиданным для Заказчика оказа</w:t>
      </w:r>
      <w:r w:rsidRPr="00070ADE">
        <w:rPr>
          <w:rFonts w:ascii="Times New Roman" w:cs="Times New Roman"/>
          <w:color w:val="000000" w:themeColor="text1"/>
          <w:spacing w:val="0"/>
        </w:rPr>
        <w:softHyphen/>
        <w:t>лось отсутствие на бомбардировщике защитного вооружения, которое, по мне</w:t>
      </w:r>
      <w:r w:rsidRPr="00070ADE">
        <w:rPr>
          <w:rFonts w:ascii="Times New Roman" w:cs="Times New Roman"/>
          <w:color w:val="000000" w:themeColor="text1"/>
          <w:spacing w:val="0"/>
        </w:rPr>
        <w:softHyphen/>
        <w:t>нию С.В. Ильюшина, полностью компен</w:t>
      </w:r>
      <w:r w:rsidRPr="00070ADE">
        <w:rPr>
          <w:rFonts w:ascii="Times New Roman" w:cs="Times New Roman"/>
          <w:color w:val="000000" w:themeColor="text1"/>
          <w:spacing w:val="0"/>
        </w:rPr>
        <w:softHyphen/>
        <w:t>сировалось предполагаемой расчетной скоростью около 700 км/ч. Переубедить военных не удалось, и проект с перечнем замечаний вернули на доработку. Основ</w:t>
      </w:r>
      <w:r w:rsidRPr="00070ADE">
        <w:rPr>
          <w:rFonts w:ascii="Times New Roman" w:cs="Times New Roman"/>
          <w:color w:val="000000" w:themeColor="text1"/>
          <w:spacing w:val="0"/>
        </w:rPr>
        <w:softHyphen/>
        <w:t>ное требование военных предусматрива</w:t>
      </w:r>
      <w:r w:rsidRPr="00070ADE">
        <w:rPr>
          <w:rFonts w:ascii="Times New Roman" w:cs="Times New Roman"/>
          <w:color w:val="000000" w:themeColor="text1"/>
          <w:spacing w:val="0"/>
        </w:rPr>
        <w:softHyphen/>
        <w:t>ло установку пушечного вооружения и, как следствие, увеличение экипажа до четы</w:t>
      </w:r>
      <w:r w:rsidRPr="00070ADE">
        <w:rPr>
          <w:rFonts w:ascii="Times New Roman" w:cs="Times New Roman"/>
          <w:color w:val="000000" w:themeColor="text1"/>
          <w:spacing w:val="0"/>
        </w:rPr>
        <w:softHyphen/>
        <w:t xml:space="preserve">рех человек. Поэтому в средней части фюзеляжа </w:t>
      </w:r>
      <w:r w:rsidRPr="00070ADE">
        <w:rPr>
          <w:rFonts w:ascii="Times New Roman" w:cs="Times New Roman"/>
          <w:color w:val="000000" w:themeColor="text1"/>
          <w:spacing w:val="0"/>
        </w:rPr>
        <w:lastRenderedPageBreak/>
        <w:t>оборудовали кабину стрелка- радиста и воздушного стрелка, обслужи</w:t>
      </w:r>
      <w:r w:rsidRPr="00070ADE">
        <w:rPr>
          <w:rFonts w:ascii="Times New Roman" w:cs="Times New Roman"/>
          <w:color w:val="000000" w:themeColor="text1"/>
          <w:spacing w:val="0"/>
        </w:rPr>
        <w:softHyphen/>
        <w:t>вавших верхнюю и нижнюю подвижные пушечные установки. В носовой части фюзеляжа появилась неподвижная пуш</w:t>
      </w:r>
      <w:r w:rsidRPr="00070ADE">
        <w:rPr>
          <w:rFonts w:ascii="Times New Roman" w:cs="Times New Roman"/>
          <w:color w:val="000000" w:themeColor="text1"/>
          <w:spacing w:val="0"/>
        </w:rPr>
        <w:softHyphen/>
        <w:t>ка, огонь из которой должен был вести летчик. Бомбовое вооружение, оставше</w:t>
      </w:r>
      <w:r w:rsidRPr="00070ADE">
        <w:rPr>
          <w:rFonts w:ascii="Times New Roman" w:cs="Times New Roman"/>
          <w:color w:val="000000" w:themeColor="text1"/>
          <w:spacing w:val="0"/>
        </w:rPr>
        <w:softHyphen/>
        <w:t>еся без изменений, давало возможность разместить в бомбоотсеке до 2500 кг раз</w:t>
      </w:r>
      <w:r w:rsidRPr="00070ADE">
        <w:rPr>
          <w:rFonts w:ascii="Times New Roman" w:cs="Times New Roman"/>
          <w:color w:val="000000" w:themeColor="text1"/>
          <w:spacing w:val="0"/>
        </w:rPr>
        <w:softHyphen/>
        <w:t>личных бомб, в том числе одну 2000 кг. На наружных подвесках бомбардировщик мог нести две бомбы по 1000 кг каждая. Для исключения касания земли воздуш</w:t>
      </w:r>
      <w:r w:rsidRPr="00070ADE">
        <w:rPr>
          <w:rFonts w:ascii="Times New Roman" w:cs="Times New Roman"/>
          <w:color w:val="000000" w:themeColor="text1"/>
          <w:spacing w:val="0"/>
        </w:rPr>
        <w:softHyphen/>
        <w:t>ными винтами задних силовых устано</w:t>
      </w:r>
      <w:r w:rsidRPr="00070ADE">
        <w:rPr>
          <w:rFonts w:ascii="Times New Roman" w:cs="Times New Roman"/>
          <w:color w:val="000000" w:themeColor="text1"/>
          <w:spacing w:val="0"/>
        </w:rPr>
        <w:softHyphen/>
        <w:t>вок на машине предусмотрели заднюю опорную стойку. Произошедшее измене</w:t>
      </w:r>
      <w:r w:rsidRPr="00070ADE">
        <w:rPr>
          <w:rFonts w:ascii="Times New Roman" w:cs="Times New Roman"/>
          <w:color w:val="000000" w:themeColor="text1"/>
          <w:spacing w:val="0"/>
        </w:rPr>
        <w:softHyphen/>
        <w:t>ние конструкции и уточненные расчеты увеличили нормальную полетную массу самолета до 22500 кг и обеспечили ему возможность на высоте 9300 м совершать полет на дальность 2000 км с бомбовой нагрузкой 2000 кг и скоростью 760 км/ч. Состоявшаяся весной 1945 года макетная комиссия Заказчика дала положительное заключение по представленному маке</w:t>
      </w:r>
      <w:r w:rsidRPr="00070ADE">
        <w:rPr>
          <w:rFonts w:ascii="Times New Roman" w:cs="Times New Roman"/>
          <w:color w:val="000000" w:themeColor="text1"/>
          <w:spacing w:val="0"/>
        </w:rPr>
        <w:softHyphen/>
        <w:t>ту, в то же время, сопроводив его целым рядом новых пожеланий по изменению компоновки кабины летчиков и усилению оборонительного вооружения (12740).</w:t>
      </w:r>
    </w:p>
    <w:p w14:paraId="7C8574F0" w14:textId="77777777" w:rsidR="00D70979" w:rsidRPr="00070ADE" w:rsidRDefault="00D70979" w:rsidP="00B56F90">
      <w:pPr>
        <w:pStyle w:val="27"/>
        <w:shd w:val="clear" w:color="auto" w:fill="auto"/>
        <w:spacing w:after="0" w:line="240" w:lineRule="auto"/>
        <w:ind w:firstLine="0"/>
        <w:rPr>
          <w:rFonts w:ascii="Times New Roman" w:cs="Times New Roman"/>
          <w:color w:val="000000" w:themeColor="text1"/>
          <w:spacing w:val="0"/>
        </w:rPr>
      </w:pPr>
    </w:p>
    <w:p w14:paraId="26E411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проходили гос. испытания Як-3 с ВК-107А (65,188).</w:t>
      </w:r>
    </w:p>
    <w:p w14:paraId="168BAD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90D0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выпуск Як-3 составил 21,6% от общего выпуска машин заводом № 292, в июне - 52,7%, в июле - 98,1 %. 5 декабря завод выполнил план 1944 года на 108,5%, окончательно перейдя на изготовление Як-3.</w:t>
      </w:r>
    </w:p>
    <w:p w14:paraId="599234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Первые машины, укомплектованные одной пушкой МП-20 и пулеметом БС, стали покидать сборочный цех в марте 1944 года. В таком виде было выпущено 12 серий самолетов. Затем истребители начали комплектоваться орудием МП-20 и двумя БСами.</w:t>
      </w:r>
    </w:p>
    <w:p w14:paraId="58F4884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Благодаря хорошему контролю вес самолета изменялся незначительно. Так, по имеющейся статистике, разница в весе пустых самолетов, выпушенных с ноября 1944-го по май 1945 года изменялась в пределах 5-6 кг (12047).</w:t>
      </w:r>
    </w:p>
    <w:p w14:paraId="381E23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75524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для освоения и войсковых испытаний Як-9Л (люкового, Як-9Б с бомбоотсеком на 4 ФАБ-100) создали 130 иад (п, ГСС Ф.И.Шинкаренко) в составе 168 иап, выведенного из 303 иад, и не имевшего боевого опыта 409 и 909 иап. 168 иап была подарена эскадрилья Москва (3950,38).</w:t>
      </w:r>
    </w:p>
    <w:p w14:paraId="185892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FD25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закончились гос. испытания Як-9Д N 0715306 с ВК-105ПФ N 335-1896, которые начались с апреля (809,11).</w:t>
      </w:r>
    </w:p>
    <w:p w14:paraId="42889D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08286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на государственные испытания в НИИ ВВС передали опытный истребитель сопровождения Як-9ДД, созданный в соответствии с февральским 1944 года постановлением ГКО. Для этого на опытном заводе № 115 в Москве модифицировали серийный самолет Як-9Т № 09-89, выпущенный в декабре 1943 года заводом № 153 в Новосибирске.</w:t>
      </w:r>
    </w:p>
    <w:p w14:paraId="6A03F5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процессе переделки машины в крыле установили вместо четырех бензобаков общим объемом 420 литров - восемь, вмещавших 845 литров (по четыре в каждом полукрыле). Горючее, видимо, в первую очередь вырабатывалось из внешних консольных баков, что позволило сделать их без протекторов. Запас масла довели до 70 литров. Одновременно усилили нервюры с 13-й по 18-ю, установив под топливными баками люки. В верхней же части обшивки несущей поверхности "вырезали" шесть лючков под заливные горловины баков.</w:t>
      </w:r>
    </w:p>
    <w:p w14:paraId="34EA4A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Вместо крупнокалиберной НС-37 поставили мотор-пушку МП-20 (ШВАК) с боезапасом 120 патронов, применив общий с пулеметами гильзо- и звеньесборник.</w:t>
      </w:r>
    </w:p>
    <w:p w14:paraId="1B3557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Государственные испытания Як-9ДД прошел с 24 июля по 2 августа. Ведущими на этом этапе были инженер М.А. Пронин и летчик Ю.А. Антипов. Облетали истребитель В.Е. Голофастов, П.М. Стефановский и А.Г. Прошаков. За 25 дней выполнили 36 полетов общей продолжительностью 42 часа 5 минут.</w:t>
      </w:r>
    </w:p>
    <w:p w14:paraId="686668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мнению летчиков-испытателей, самолет по технике пилотирования, включая штопорные свойства, остался, в основном, таким же, как и серийный Як-9Д. Увеличилась длина разбега, а угол набора высоты заметно снизился. Возросло и время выполнения горизонтальных фигур пилотажа, ухудшилась вертикальная маневренность</w:t>
      </w:r>
    </w:p>
    <w:p w14:paraId="3BC2DF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длительном полете (свыше двух часов) из-за высокого расположения педалей относительно сидения и неудобной бронеспинки пилот быстро утомлялся. В связи с этим военные испытатели высказали пожелание сделать спинку кресла отклоняемой назад до полулежачего положения летчика. Так как продолжительность полета Як-9ДЦ могла превысить шесть часов, то потребовали изыскать в кабине место для термоса и бортового пайка, разместить писсуар по типу американского истребителя "Киттихаук".</w:t>
      </w:r>
    </w:p>
    <w:p w14:paraId="3DFD2B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 забыли и о средствах навигации и связи, потребовав от промышленности, в частности, установить радиостанцию, обеспечивающую устойчивую связь при полете машины на полную дальность, радиополукомпас и авиагоризонт.</w:t>
      </w:r>
    </w:p>
    <w:p w14:paraId="3473B1E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испытаний 7 июня Ю.А. Антипов выполнил полет по маршруту Чкаловская - Сталинград - Чкаловская протяженностью по прямой 1800 км, следуя на высоте 1030 м со скоростью 351 км/ч.</w:t>
      </w:r>
    </w:p>
    <w:p w14:paraId="557D69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выводах "Акта по результатам государственных испытаний..." отмечалось, в частности:</w:t>
      </w:r>
    </w:p>
    <w:p w14:paraId="4731FC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с данным запасом горючего соответствует назначению истребителя сопровождения и может быть использован как истребитель дальнего действия для самостоятельного выполнения задач в тылу противника летчиками, отлично подготовленными в штурманском отношении, при условии обеспечения указанными средствами навигации и связи, а также улучшения положения летчика в кабине" (12046).</w:t>
      </w:r>
    </w:p>
    <w:p w14:paraId="63B6F3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CA95FDA" w14:textId="77777777" w:rsidR="00AA1E7E" w:rsidRPr="00070ADE" w:rsidRDefault="00AA1E7E"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В мае 1944 г. на испытания в НИИ ВВС пе</w:t>
      </w:r>
      <w:r w:rsidRPr="00070ADE">
        <w:rPr>
          <w:rFonts w:ascii="Times New Roman" w:cs="Times New Roman"/>
          <w:color w:val="000000" w:themeColor="text1"/>
          <w:spacing w:val="0"/>
        </w:rPr>
        <w:softHyphen/>
        <w:t>редали истребитель сопровождения Як-9ДД, переделанный на заводе № 115 из серийного Як-9Т, выпущенного заводом № 153. В крыле установили вместо четырёх бензобаков во</w:t>
      </w:r>
      <w:r w:rsidRPr="00070ADE">
        <w:rPr>
          <w:rFonts w:ascii="Times New Roman" w:cs="Times New Roman"/>
          <w:color w:val="000000" w:themeColor="text1"/>
          <w:spacing w:val="0"/>
        </w:rPr>
        <w:softHyphen/>
        <w:t>семь, вмещавших 845 л. Горючее в первую очередь вырабатывалось из внешних баков, что позволило отказаться от протекторов в них. Запас масла довели до 70 л. Одновре</w:t>
      </w:r>
      <w:r w:rsidRPr="00070ADE">
        <w:rPr>
          <w:rFonts w:ascii="Times New Roman" w:cs="Times New Roman"/>
          <w:color w:val="000000" w:themeColor="text1"/>
          <w:spacing w:val="0"/>
        </w:rPr>
        <w:softHyphen/>
        <w:t>менно усилили нервюры крыла с 13-й по 18-ю, сделав под дополнительными баками люки. На верхней части обшивки находи</w:t>
      </w:r>
      <w:r w:rsidRPr="00070ADE">
        <w:rPr>
          <w:rFonts w:ascii="Times New Roman" w:cs="Times New Roman"/>
          <w:color w:val="000000" w:themeColor="text1"/>
          <w:spacing w:val="0"/>
        </w:rPr>
        <w:softHyphen/>
        <w:t>лись шесть лючков под заливные горлови</w:t>
      </w:r>
      <w:r w:rsidRPr="00070ADE">
        <w:rPr>
          <w:rFonts w:ascii="Times New Roman" w:cs="Times New Roman"/>
          <w:color w:val="000000" w:themeColor="text1"/>
          <w:spacing w:val="0"/>
        </w:rPr>
        <w:softHyphen/>
        <w:t>ны. Вместо НС-37 поставили пушку МП-20 с боезапасом 120 патронов, применив общий с пулемётами гильзо- и звеньесборник.</w:t>
      </w:r>
    </w:p>
    <w:p w14:paraId="08CF17EC" w14:textId="77777777" w:rsidR="00AA1E7E" w:rsidRPr="00070ADE" w:rsidRDefault="00AA1E7E"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Госиспытания Як-9ДД прошёл с 24 ию</w:t>
      </w:r>
      <w:r w:rsidRPr="00070ADE">
        <w:rPr>
          <w:rFonts w:ascii="Times New Roman" w:cs="Times New Roman"/>
          <w:color w:val="000000" w:themeColor="text1"/>
          <w:spacing w:val="0"/>
        </w:rPr>
        <w:softHyphen/>
        <w:t>ля по 2 августа. Ведущими были инженер М.А. Пронин и лётчик Ю.А. Антипов. Об</w:t>
      </w:r>
      <w:r w:rsidRPr="00070ADE">
        <w:rPr>
          <w:rFonts w:ascii="Times New Roman" w:cs="Times New Roman"/>
          <w:color w:val="000000" w:themeColor="text1"/>
          <w:spacing w:val="0"/>
        </w:rPr>
        <w:softHyphen/>
        <w:t>летали истребитель также В.Е. Голофас- тов, П.М. Стефановский и А.Г. Прошаков. За 25 дней выполнили 36 полётов общей продолжительностью 42 ч 5 мин.</w:t>
      </w:r>
    </w:p>
    <w:p w14:paraId="0BD5779A" w14:textId="77777777" w:rsidR="00AA1E7E" w:rsidRPr="00070ADE" w:rsidRDefault="00AA1E7E"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По мнению испытателей, самолёт по тех</w:t>
      </w:r>
      <w:r w:rsidRPr="00070ADE">
        <w:rPr>
          <w:rFonts w:ascii="Times New Roman" w:cs="Times New Roman"/>
          <w:color w:val="000000" w:themeColor="text1"/>
          <w:spacing w:val="0"/>
        </w:rPr>
        <w:softHyphen/>
        <w:t>нике пилотирования, включая штопорные свойства, остался в основном таким же, как серийный Як-9Д. Увеличилась длина разбега, а угол набора высоты заметно сни</w:t>
      </w:r>
      <w:r w:rsidRPr="00070ADE">
        <w:rPr>
          <w:rFonts w:ascii="Times New Roman" w:cs="Times New Roman"/>
          <w:color w:val="000000" w:themeColor="text1"/>
          <w:spacing w:val="0"/>
        </w:rPr>
        <w:softHyphen/>
        <w:t>зился. Возросло и время выполнения гори</w:t>
      </w:r>
      <w:r w:rsidRPr="00070ADE">
        <w:rPr>
          <w:rFonts w:ascii="Times New Roman" w:cs="Times New Roman"/>
          <w:color w:val="000000" w:themeColor="text1"/>
          <w:spacing w:val="0"/>
        </w:rPr>
        <w:softHyphen/>
        <w:t>зонтальных фигур пилотажа, ухудшилась вертикальная манёвренность.</w:t>
      </w:r>
    </w:p>
    <w:p w14:paraId="175A11A2" w14:textId="77777777" w:rsidR="00AA1E7E" w:rsidRPr="00070ADE" w:rsidRDefault="00AA1E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длительном полёте из-за высокого рас</w:t>
      </w:r>
      <w:r w:rsidRPr="00070ADE">
        <w:rPr>
          <w:rFonts w:ascii="Times New Roman" w:hAnsi="Times New Roman"/>
          <w:color w:val="000000" w:themeColor="text1"/>
          <w:sz w:val="16"/>
          <w:szCs w:val="16"/>
        </w:rPr>
        <w:softHyphen/>
        <w:t>положения педалей относительно сиденья и неудобной бронеспинки пилот быстро утомлялся. В связи с этим рекомендова</w:t>
      </w:r>
      <w:r w:rsidRPr="00070ADE">
        <w:rPr>
          <w:rFonts w:ascii="Times New Roman" w:hAnsi="Times New Roman"/>
          <w:color w:val="000000" w:themeColor="text1"/>
          <w:sz w:val="16"/>
          <w:szCs w:val="16"/>
        </w:rPr>
        <w:softHyphen/>
        <w:t>ли сделать спинку отклоняемой назад до полулежачего положения лётчика. Так как продолжительность полёта Як-9ДД могла превысить шесть часов, то потребовали изыскать в кабине место для термоса и бортового пайка, разместить писсуар по типу американского истребителя «Китти- хаук», установить радиостанцию, обеспе</w:t>
      </w:r>
      <w:r w:rsidRPr="00070ADE">
        <w:rPr>
          <w:rFonts w:ascii="Times New Roman" w:hAnsi="Times New Roman"/>
          <w:color w:val="000000" w:themeColor="text1"/>
          <w:sz w:val="16"/>
          <w:szCs w:val="16"/>
        </w:rPr>
        <w:softHyphen/>
        <w:t>чивающую устойчивую связь при полёте на полную дальность, радиополукомпас и авиагоризонт.</w:t>
      </w:r>
    </w:p>
    <w:p w14:paraId="756340A6" w14:textId="77777777" w:rsidR="00AA1E7E" w:rsidRPr="00070ADE" w:rsidRDefault="00AA1E7E"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В ходе испытаний 7 июня Антипов вы</w:t>
      </w:r>
      <w:r w:rsidRPr="00070ADE">
        <w:rPr>
          <w:rFonts w:ascii="Times New Roman" w:cs="Times New Roman"/>
          <w:color w:val="000000" w:themeColor="text1"/>
          <w:spacing w:val="0"/>
        </w:rPr>
        <w:softHyphen/>
        <w:t>полнил полёт протяжённостью по прямой 1800 км, следуя на высоте 1030 м со ско</w:t>
      </w:r>
      <w:r w:rsidRPr="00070ADE">
        <w:rPr>
          <w:rFonts w:ascii="Times New Roman" w:cs="Times New Roman"/>
          <w:color w:val="000000" w:themeColor="text1"/>
          <w:spacing w:val="0"/>
        </w:rPr>
        <w:softHyphen/>
        <w:t>ростью 351 км/ч.</w:t>
      </w:r>
    </w:p>
    <w:p w14:paraId="7BB42779" w14:textId="77777777" w:rsidR="00AA1E7E" w:rsidRPr="00070ADE" w:rsidRDefault="00AA1E7E"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В выводах акта по результатам испыта</w:t>
      </w:r>
      <w:r w:rsidRPr="00070ADE">
        <w:rPr>
          <w:rFonts w:ascii="Times New Roman" w:cs="Times New Roman"/>
          <w:color w:val="000000" w:themeColor="text1"/>
          <w:spacing w:val="0"/>
        </w:rPr>
        <w:softHyphen/>
        <w:t>ний отмечалось: «Самолёт с данным за</w:t>
      </w:r>
      <w:r w:rsidRPr="00070ADE">
        <w:rPr>
          <w:rFonts w:ascii="Times New Roman" w:cs="Times New Roman"/>
          <w:color w:val="000000" w:themeColor="text1"/>
          <w:spacing w:val="0"/>
        </w:rPr>
        <w:softHyphen/>
        <w:t>пасом горючего соответствует назначению истребителя сопровождения и может быть использован как истребитель дальнего действия для самостоятельного выполне</w:t>
      </w:r>
      <w:r w:rsidRPr="00070ADE">
        <w:rPr>
          <w:rFonts w:ascii="Times New Roman" w:cs="Times New Roman"/>
          <w:color w:val="000000" w:themeColor="text1"/>
          <w:spacing w:val="0"/>
        </w:rPr>
        <w:softHyphen/>
        <w:t>ния задач в тылу противника лётчиками, отлично подготовленными в штурманском отношении, при условии обеспечения ука</w:t>
      </w:r>
      <w:r w:rsidRPr="00070ADE">
        <w:rPr>
          <w:rFonts w:ascii="Times New Roman" w:cs="Times New Roman"/>
          <w:color w:val="000000" w:themeColor="text1"/>
          <w:spacing w:val="0"/>
        </w:rPr>
        <w:softHyphen/>
        <w:t>занными средствами навигации и связи, а также улучшения положения лётчика в кабине».</w:t>
      </w:r>
    </w:p>
    <w:p w14:paraId="495B40DF" w14:textId="77777777" w:rsidR="00AA1E7E" w:rsidRPr="00070ADE" w:rsidRDefault="00AA1E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завод в Омске отправил первые самолёты на фронт; по сентябрь 1945 г. промышленность сдала 399 Як-9ДД (19103).</w:t>
      </w:r>
    </w:p>
    <w:p w14:paraId="4CD484DA" w14:textId="77777777" w:rsidR="00AA1E7E" w:rsidRPr="00070ADE" w:rsidRDefault="00AA1E7E" w:rsidP="00B56F90">
      <w:pPr>
        <w:spacing w:after="0" w:line="240" w:lineRule="auto"/>
        <w:jc w:val="both"/>
        <w:rPr>
          <w:rFonts w:ascii="Times New Roman" w:hAnsi="Times New Roman"/>
          <w:color w:val="000000" w:themeColor="text1"/>
          <w:sz w:val="16"/>
          <w:szCs w:val="16"/>
        </w:rPr>
      </w:pPr>
    </w:p>
    <w:p w14:paraId="0FF970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завод в Омске отправил первые самолеты ЯкДД на фронт, и по сентябрь 1945 года промышленность сдала заказчику 399 Як-9ДД. Сорок машин первых двух серий участвовали в войсковых испытаниях, проходивших с 9 марта по 25 апреля 1945 года в 368-м иап (командир М.К. Жулин) 334-й иад 6-го бомбардировочного авиакорпуса.</w:t>
      </w:r>
    </w:p>
    <w:p w14:paraId="6F6BCE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"Войсковые испытания, - писал ведущий инженер НИИ ВВС А.Т. Степанец, - проходили в период ликвидации группировок противника в Восточной Пруссии и проведения наступательных операций в центральной Германии на города Штеттин и Берлин. Воздушные бои приходилось вести преимущественно с FW-190. Як-9ДД использовались в основном для сопровождения бомбардировщиков Пе-2 и Ту-2, действовавших на малых высотах по переднему краю обороны противника, и поэтому не могли полностью проявить себя. В частности они не вполне удовлетворяли требованиям, предъявлявшимся к истребителям сопровождения такого скоростного бомбардировщика, как Ту-2 по следующим причинам:</w:t>
      </w:r>
    </w:p>
    <w:p w14:paraId="15CC23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Относительно малая максимальная скорость. При полете Ту-2 на максимальной скорости Як-9ДД не имели необходимого преимущества (на 25-30%) для совместных действий, особенно в моменты ухода Ту-2 от цели отражения атак противника. Для устранения этого недостатка Як-9ДД, как истребителя сопровождения, необходимо было улучшить его аэродинамику по типу Як-9У и Як-3 и установить на нем более мощный двигатель, например М-105ПФ2, но этот двигатель обладал недостаточной, по сравнению с двигателями Ту-2, высотностью.</w:t>
      </w:r>
    </w:p>
    <w:p w14:paraId="53887A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Заниженная скороподъемность и недостаточная маневренность, особенно при полной полетной массе.</w:t>
      </w:r>
    </w:p>
    <w:p w14:paraId="35D70A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Ухудшившаяся живучесть из-за установки центропланного бензобака (90 литров) под ногами летчика и отсутствия протекторов на крайних консольных бензобаках. Живучесть самолета ухудшилась и вследствие большой площади поражения восьми бензобаков в крыле.</w:t>
      </w:r>
    </w:p>
    <w:p w14:paraId="15C721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Большая полетная масса, большой разнос масс, а также малая мощность двигателя являлись главными причинами ухудшения летно-пилотажных и маневренных качеств Як-9ДД. Поэтому летчики относились к Як-9ДД сдержанно, называя его между собой "летающая цистерна" (12046).</w:t>
      </w:r>
    </w:p>
    <w:p w14:paraId="135E59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59441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мая 1944 г. по июнь 1945 г. серийно выпускался Як-9М. Общее число построенных самолетов составило 4239 экземпляров. В строевых частях, да и во многих официаль</w:t>
      </w:r>
      <w:r w:rsidRPr="00070ADE">
        <w:rPr>
          <w:rFonts w:ascii="Times New Roman" w:hAnsi="Times New Roman"/>
          <w:color w:val="000000" w:themeColor="text1"/>
          <w:sz w:val="16"/>
          <w:szCs w:val="16"/>
        </w:rPr>
        <w:softHyphen/>
        <w:t>ных документах тех лет, Як-9М, подобно Як-9Д, чаще называли просто Як-9. По своим летным и пилотажным харак</w:t>
      </w:r>
      <w:r w:rsidRPr="00070ADE">
        <w:rPr>
          <w:rFonts w:ascii="Times New Roman" w:hAnsi="Times New Roman"/>
          <w:color w:val="000000" w:themeColor="text1"/>
          <w:sz w:val="16"/>
          <w:szCs w:val="16"/>
        </w:rPr>
        <w:softHyphen/>
        <w:t>теристикам Як-9М вначале почти не отли</w:t>
      </w:r>
      <w:r w:rsidRPr="00070ADE">
        <w:rPr>
          <w:rFonts w:ascii="Times New Roman" w:hAnsi="Times New Roman"/>
          <w:color w:val="000000" w:themeColor="text1"/>
          <w:sz w:val="16"/>
          <w:szCs w:val="16"/>
        </w:rPr>
        <w:softHyphen/>
        <w:t>чался от Як-9Д. Но в конце 1944 г. на само</w:t>
      </w:r>
      <w:r w:rsidRPr="00070ADE">
        <w:rPr>
          <w:rFonts w:ascii="Times New Roman" w:hAnsi="Times New Roman"/>
          <w:color w:val="000000" w:themeColor="text1"/>
          <w:sz w:val="16"/>
          <w:szCs w:val="16"/>
        </w:rPr>
        <w:softHyphen/>
        <w:t>лет начали устанавливать более мощный и менее высотный мотор ВК-105ПФ-2, что дало некоторое увеличение скорости и улучшение скороподъемности на неболь</w:t>
      </w:r>
      <w:r w:rsidRPr="00070ADE">
        <w:rPr>
          <w:rFonts w:ascii="Times New Roman" w:hAnsi="Times New Roman"/>
          <w:color w:val="000000" w:themeColor="text1"/>
          <w:sz w:val="16"/>
          <w:szCs w:val="16"/>
        </w:rPr>
        <w:softHyphen/>
        <w:t>шой высоте. К сожалению, летные харак</w:t>
      </w:r>
      <w:r w:rsidRPr="00070ADE">
        <w:rPr>
          <w:rFonts w:ascii="Times New Roman" w:hAnsi="Times New Roman"/>
          <w:color w:val="000000" w:themeColor="text1"/>
          <w:sz w:val="16"/>
          <w:szCs w:val="16"/>
        </w:rPr>
        <w:softHyphen/>
        <w:t>теристики Як-9М с ВК-105ПФ-2 пока обнаружить не удалось. Возможно, самолет просто не проходил испытаний на определение летных данных(10712).</w:t>
      </w:r>
    </w:p>
    <w:p w14:paraId="43A2A3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58B6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мая 1944 года Як-9М запустили в серийное производство на заводе № 153. По технике пилотирования Як-9М не отличался от предшественников, а при посадке и рулежках появилась возможность активнее пользоваться тормозами из-за возросшего противокапотажного угла.</w:t>
      </w:r>
    </w:p>
    <w:p w14:paraId="535494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Фюзеляж Як-9Т использовали не только в унифицированном истребителе, но и в Як-9М и Як-9С. Первым построили Як-9М. Известны два варианта этого истребителя, построенных на базе Як-9Д и Як-9Т, выпускавшихся в Новосибирске с двигателями ВК-105ПФ и винтами ВИШ-104СВ-01, для фронтовой авиации и для авиации противовоздушной обороны - Як-9МПВО. Этот самолет оказался очень выгодным в производстве, поскольку использовались излишки фюзеляжей и крыльев предшественников, что не нарушало ритм работы агрегатных цехов завода № 153. Но на этом отличия Як-9М от серийных машин не закончились.</w:t>
      </w:r>
    </w:p>
    <w:p w14:paraId="6EDF8D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Прежде всего, на Як-9М усилили крыло, заменив обшивку более толстой из бакелитовой фанеры, и привели его в соответствие с действовавшими нормами прочности. Существенной доработке подверглась силовая установка. На ней установили автомат регулирования температуры воды АРТ-41, а на входе в карбюратор - воздушный фильтр. Тогда же на подвижной части фонаря появился механизм аварийного сброса, а управление радиостанцией сделали кнопочным (12046).</w:t>
      </w:r>
    </w:p>
    <w:p w14:paraId="1133BA8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3713BA4" w14:textId="77777777" w:rsidR="00B73150" w:rsidRPr="00C94B78" w:rsidRDefault="00B7315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мае 1944 г. на заводе №153 начался выпуск Як-9М (с 25-й серии) и продолжался до июня 1945 г., всего было построено 4239 экземпляра. На поздних Як-9М двигатель М-105ПФ (ВК-105ПФ) заменили более мощным 1290-сильным ВК-105ПФ2 (24932).</w:t>
      </w:r>
    </w:p>
    <w:p w14:paraId="7A09B779" w14:textId="77777777" w:rsidR="00B73150" w:rsidRPr="00C94B78" w:rsidRDefault="00B73150" w:rsidP="00B56F90">
      <w:pPr>
        <w:spacing w:after="0" w:line="240" w:lineRule="auto"/>
        <w:jc w:val="both"/>
        <w:rPr>
          <w:rFonts w:ascii="Times New Roman" w:hAnsi="Times New Roman"/>
          <w:color w:val="0070C0"/>
          <w:sz w:val="16"/>
          <w:szCs w:val="16"/>
        </w:rPr>
      </w:pPr>
    </w:p>
    <w:p w14:paraId="7A154820"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мая 1944 года по июнь 1945 года велось производились Як</w:t>
      </w:r>
      <w:r w:rsidRPr="00C94B78">
        <w:rPr>
          <w:rFonts w:ascii="Times New Roman" w:hAnsi="Times New Roman"/>
          <w:color w:val="0070C0"/>
          <w:sz w:val="16"/>
          <w:szCs w:val="16"/>
        </w:rPr>
        <w:noBreakHyphen/>
        <w:t>9М, всего было построено 4239 машин. Модификация Як</w:t>
      </w:r>
      <w:r w:rsidRPr="00C94B78">
        <w:rPr>
          <w:rFonts w:ascii="Times New Roman" w:hAnsi="Times New Roman"/>
          <w:color w:val="0070C0"/>
          <w:sz w:val="16"/>
          <w:szCs w:val="16"/>
        </w:rPr>
        <w:noBreakHyphen/>
        <w:t>9М была, таким образом, самым многочисленным вариантом «девятки».</w:t>
      </w:r>
    </w:p>
    <w:p w14:paraId="1D7CF5DA"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Часть самолетов Як</w:t>
      </w:r>
      <w:r w:rsidRPr="00C94B78">
        <w:rPr>
          <w:rFonts w:ascii="Times New Roman" w:hAnsi="Times New Roman"/>
          <w:color w:val="0070C0"/>
          <w:sz w:val="16"/>
          <w:szCs w:val="16"/>
        </w:rPr>
        <w:noBreakHyphen/>
        <w:t>9М были приспособлены для использования в частях ПВО. Они имели, как и их многочисленные «братья» двигатели ВК</w:t>
      </w:r>
      <w:r w:rsidRPr="00C94B78">
        <w:rPr>
          <w:rFonts w:ascii="Times New Roman" w:hAnsi="Times New Roman"/>
          <w:color w:val="0070C0"/>
          <w:sz w:val="16"/>
          <w:szCs w:val="16"/>
        </w:rPr>
        <w:noBreakHyphen/>
        <w:t>105ПФ, либо ВК</w:t>
      </w:r>
      <w:r w:rsidRPr="00C94B78">
        <w:rPr>
          <w:rFonts w:ascii="Times New Roman" w:hAnsi="Times New Roman"/>
          <w:color w:val="0070C0"/>
          <w:sz w:val="16"/>
          <w:szCs w:val="16"/>
        </w:rPr>
        <w:noBreakHyphen/>
        <w:t>105ПФ2.</w:t>
      </w:r>
    </w:p>
    <w:p w14:paraId="5DF07A58"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Адаптация к службе в войсках ПВО состояла, прежде всего, в более разнообразном навигационном и радиооборудовании.</w:t>
      </w:r>
    </w:p>
    <w:p w14:paraId="6D926D1D"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Самолет оснащался вариометром ВР</w:t>
      </w:r>
      <w:r w:rsidRPr="00C94B78">
        <w:rPr>
          <w:rFonts w:ascii="Times New Roman" w:hAnsi="Times New Roman"/>
          <w:color w:val="0070C0"/>
          <w:sz w:val="16"/>
          <w:szCs w:val="16"/>
        </w:rPr>
        <w:noBreakHyphen/>
        <w:t>2, радиополукомпасом РПК</w:t>
      </w:r>
      <w:r w:rsidRPr="00C94B78">
        <w:rPr>
          <w:rFonts w:ascii="Times New Roman" w:hAnsi="Times New Roman"/>
          <w:color w:val="0070C0"/>
          <w:sz w:val="16"/>
          <w:szCs w:val="16"/>
        </w:rPr>
        <w:noBreakHyphen/>
        <w:t>10М, радиостанцией, которую можно было настраивать на несколько частот: РСИ</w:t>
      </w:r>
      <w:r w:rsidRPr="00C94B78">
        <w:rPr>
          <w:rFonts w:ascii="Times New Roman" w:hAnsi="Times New Roman"/>
          <w:color w:val="0070C0"/>
          <w:sz w:val="16"/>
          <w:szCs w:val="16"/>
        </w:rPr>
        <w:noBreakHyphen/>
        <w:t>4М (с приемником РСИ</w:t>
      </w:r>
      <w:r w:rsidRPr="00C94B78">
        <w:rPr>
          <w:rFonts w:ascii="Times New Roman" w:hAnsi="Times New Roman"/>
          <w:color w:val="0070C0"/>
          <w:sz w:val="16"/>
          <w:szCs w:val="16"/>
        </w:rPr>
        <w:noBreakHyphen/>
        <w:t>6МУ и передатчиком РСИ</w:t>
      </w:r>
      <w:r w:rsidRPr="00C94B78">
        <w:rPr>
          <w:rFonts w:ascii="Times New Roman" w:hAnsi="Times New Roman"/>
          <w:color w:val="0070C0"/>
          <w:sz w:val="16"/>
          <w:szCs w:val="16"/>
        </w:rPr>
        <w:noBreakHyphen/>
        <w:t>3М</w:t>
      </w:r>
      <w:r w:rsidRPr="00C94B78">
        <w:rPr>
          <w:rFonts w:ascii="Times New Roman" w:hAnsi="Times New Roman"/>
          <w:color w:val="0070C0"/>
          <w:sz w:val="16"/>
          <w:szCs w:val="16"/>
        </w:rPr>
        <w:noBreakHyphen/>
        <w:t>1, и даже ответчиком «свой</w:t>
      </w:r>
      <w:r w:rsidRPr="00C94B78">
        <w:rPr>
          <w:rFonts w:ascii="Times New Roman" w:hAnsi="Times New Roman"/>
          <w:color w:val="0070C0"/>
          <w:sz w:val="16"/>
          <w:szCs w:val="16"/>
        </w:rPr>
        <w:noBreakHyphen/>
        <w:t>чужой» – СЧ</w:t>
      </w:r>
      <w:r w:rsidRPr="00C94B78">
        <w:rPr>
          <w:rFonts w:ascii="Times New Roman" w:hAnsi="Times New Roman"/>
          <w:color w:val="0070C0"/>
          <w:sz w:val="16"/>
          <w:szCs w:val="16"/>
        </w:rPr>
        <w:noBreakHyphen/>
        <w:t>3).</w:t>
      </w:r>
    </w:p>
    <w:p w14:paraId="2570E800"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Вариант ПВО имел лучшие характеристики, чем обычный Як</w:t>
      </w:r>
      <w:r w:rsidRPr="00C94B78">
        <w:rPr>
          <w:rFonts w:ascii="Times New Roman" w:hAnsi="Times New Roman"/>
          <w:color w:val="0070C0"/>
          <w:sz w:val="16"/>
          <w:szCs w:val="16"/>
        </w:rPr>
        <w:noBreakHyphen/>
        <w:t>9М, так как на нем был уменьшен запас топлива на 45 л и масла на 15 кг. Были так же сняты бронестекла, весящие около 16 кг. Вооружение состояло из пушки ШВАК и пулемета УБС.</w:t>
      </w:r>
    </w:p>
    <w:p w14:paraId="77810237"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Завод производящий Як</w:t>
      </w:r>
      <w:r w:rsidRPr="00C94B78">
        <w:rPr>
          <w:rFonts w:ascii="Times New Roman" w:hAnsi="Times New Roman"/>
          <w:color w:val="0070C0"/>
          <w:sz w:val="16"/>
          <w:szCs w:val="16"/>
        </w:rPr>
        <w:noBreakHyphen/>
        <w:t>9М был обязан передавать в войска ПВО каждую десятую машину. В случаях когда полки ПВО были полностью укомплектованы, военные и НКАП (Наркомат авиационной промышленности) договаривались между собой о количестве поставляемых машин (25077).</w:t>
      </w:r>
    </w:p>
    <w:p w14:paraId="2B3EFD5B" w14:textId="77777777" w:rsidR="004A376D" w:rsidRPr="00C94B78" w:rsidRDefault="004A376D" w:rsidP="00B56F90">
      <w:pPr>
        <w:spacing w:after="0" w:line="240" w:lineRule="auto"/>
        <w:jc w:val="both"/>
        <w:rPr>
          <w:rFonts w:ascii="Times New Roman" w:hAnsi="Times New Roman"/>
          <w:color w:val="0070C0"/>
          <w:sz w:val="16"/>
          <w:szCs w:val="16"/>
        </w:rPr>
      </w:pPr>
    </w:p>
    <w:p w14:paraId="2A8A4BD3" w14:textId="77777777" w:rsidR="004A376D" w:rsidRPr="00C94B78" w:rsidRDefault="004A376D" w:rsidP="00B56F90">
      <w:pPr>
        <w:spacing w:after="0" w:line="240" w:lineRule="auto"/>
        <w:jc w:val="both"/>
        <w:rPr>
          <w:rStyle w:val="35"/>
          <w:rFonts w:ascii="Times New Roman" w:cs="Times New Roman"/>
          <w:color w:val="0070C0"/>
          <w:spacing w:val="0"/>
          <w:sz w:val="16"/>
          <w:szCs w:val="16"/>
        </w:rPr>
      </w:pPr>
      <w:r w:rsidRPr="00C94B78">
        <w:rPr>
          <w:rStyle w:val="35"/>
          <w:rFonts w:ascii="Times New Roman" w:cs="Times New Roman"/>
          <w:color w:val="0070C0"/>
          <w:spacing w:val="0"/>
          <w:sz w:val="16"/>
          <w:szCs w:val="16"/>
        </w:rPr>
        <w:t>В мае 1944 г. на заводе №153 начался (с 25-й серии) выпуск Як-9М и продолжался до июня 1945 г., всего было построено 4239 экземпляра.</w:t>
      </w:r>
    </w:p>
    <w:p w14:paraId="168BA73C" w14:textId="77777777" w:rsidR="004A376D" w:rsidRPr="00C94B78" w:rsidRDefault="004A376D" w:rsidP="00B56F90">
      <w:pPr>
        <w:spacing w:after="0" w:line="240" w:lineRule="auto"/>
        <w:jc w:val="both"/>
        <w:rPr>
          <w:rStyle w:val="35"/>
          <w:rFonts w:ascii="Times New Roman" w:cs="Times New Roman"/>
          <w:color w:val="0070C0"/>
          <w:spacing w:val="0"/>
          <w:sz w:val="16"/>
          <w:szCs w:val="16"/>
        </w:rPr>
      </w:pPr>
      <w:r w:rsidRPr="00C94B78">
        <w:rPr>
          <w:rStyle w:val="35"/>
          <w:rFonts w:ascii="Times New Roman" w:cs="Times New Roman"/>
          <w:color w:val="0070C0"/>
          <w:spacing w:val="0"/>
          <w:sz w:val="16"/>
          <w:szCs w:val="16"/>
        </w:rPr>
        <w:t>Як-9М</w:t>
      </w:r>
      <w:r w:rsidRPr="00C94B78">
        <w:rPr>
          <w:rStyle w:val="35"/>
          <w:rFonts w:ascii="Times New Roman" w:cs="Times New Roman"/>
          <w:b/>
          <w:bCs/>
          <w:color w:val="0070C0"/>
          <w:spacing w:val="0"/>
          <w:sz w:val="16"/>
          <w:szCs w:val="16"/>
        </w:rPr>
        <w:t xml:space="preserve"> </w:t>
      </w:r>
      <w:r w:rsidRPr="00C94B78">
        <w:rPr>
          <w:rStyle w:val="35"/>
          <w:rFonts w:ascii="Times New Roman" w:cs="Times New Roman"/>
          <w:color w:val="0070C0"/>
          <w:spacing w:val="0"/>
          <w:sz w:val="16"/>
          <w:szCs w:val="16"/>
        </w:rPr>
        <w:t>(модернизированный) имел крыло от Як-9Д с четырьмя баками, которое сочеталось с фюзеляжем от Як-9Т со смещённой назад кабиной, что позволило унифицировать фюзеляжи этих вариантов. Вооружение соответствовало Як-9Д.</w:t>
      </w:r>
    </w:p>
    <w:p w14:paraId="069B6A83"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Style w:val="35"/>
          <w:rFonts w:ascii="Times New Roman" w:cs="Times New Roman"/>
          <w:color w:val="0070C0"/>
          <w:spacing w:val="0"/>
          <w:sz w:val="16"/>
          <w:szCs w:val="16"/>
        </w:rPr>
        <w:t>На поздних Як-9М двигатель М-105ПФ (ВК-105ПФ) заменили более мощным 1290-сильным ВК-105ПФ2 (25428).</w:t>
      </w:r>
    </w:p>
    <w:p w14:paraId="1351E288" w14:textId="77777777" w:rsidR="004A376D" w:rsidRPr="00C94B78" w:rsidRDefault="004A376D" w:rsidP="00B56F90">
      <w:pPr>
        <w:spacing w:after="0" w:line="240" w:lineRule="auto"/>
        <w:jc w:val="both"/>
        <w:rPr>
          <w:rFonts w:ascii="Times New Roman" w:hAnsi="Times New Roman"/>
          <w:color w:val="0070C0"/>
          <w:sz w:val="16"/>
          <w:szCs w:val="16"/>
        </w:rPr>
      </w:pPr>
    </w:p>
    <w:p w14:paraId="08871E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омские авиастроители сдали заказчику 90 Як-9У, а завод № 82 - 50 машин (12046).</w:t>
      </w:r>
    </w:p>
    <w:p w14:paraId="42B5E8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7AA44E0"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вывели с фронта с целью переподготовки для действий методом свободной охоты 9-й ГИАП, в рядах которого выросли та</w:t>
      </w:r>
      <w:r w:rsidRPr="00070ADE">
        <w:rPr>
          <w:rFonts w:ascii="Times New Roman" w:hAnsi="Times New Roman"/>
          <w:color w:val="000000" w:themeColor="text1"/>
          <w:sz w:val="16"/>
          <w:szCs w:val="16"/>
        </w:rPr>
        <w:softHyphen/>
        <w:t>кие прославленные асы, как А.В. Алелюхин, В.Д. Лавриненков, Амет-Хан Султан и др.</w:t>
      </w:r>
    </w:p>
    <w:p w14:paraId="3A211DCB"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вспоминал ветеран полка Герой Советского Союза А.Ф. Ковачевич, «по прилёту ко</w:t>
      </w:r>
      <w:r w:rsidRPr="00070ADE">
        <w:rPr>
          <w:rFonts w:ascii="Times New Roman" w:hAnsi="Times New Roman"/>
          <w:color w:val="000000" w:themeColor="text1"/>
          <w:sz w:val="16"/>
          <w:szCs w:val="16"/>
        </w:rPr>
        <w:softHyphen/>
        <w:t>мандир полка подполковник А.А. Морозов доложил лично главкому маршалу А.А. Нови</w:t>
      </w:r>
      <w:r w:rsidRPr="00070ADE">
        <w:rPr>
          <w:rFonts w:ascii="Times New Roman" w:hAnsi="Times New Roman"/>
          <w:color w:val="000000" w:themeColor="text1"/>
          <w:sz w:val="16"/>
          <w:szCs w:val="16"/>
        </w:rPr>
        <w:softHyphen/>
        <w:t>кову о прибытии. Последний принял решение перевооружить часть новейшими истре</w:t>
      </w:r>
      <w:r w:rsidRPr="00070ADE">
        <w:rPr>
          <w:rFonts w:ascii="Times New Roman" w:hAnsi="Times New Roman"/>
          <w:color w:val="000000" w:themeColor="text1"/>
          <w:sz w:val="16"/>
          <w:szCs w:val="16"/>
        </w:rPr>
        <w:softHyphen/>
        <w:t>бителями А.С. Яковлева. Как потом выяснилось, речь шла о Як-3. В моём присутствии — в то время заместителя командира полка — Новиков связался по телефону с Яковле</w:t>
      </w:r>
      <w:r w:rsidRPr="00070ADE">
        <w:rPr>
          <w:rFonts w:ascii="Times New Roman" w:hAnsi="Times New Roman"/>
          <w:color w:val="000000" w:themeColor="text1"/>
          <w:sz w:val="16"/>
          <w:szCs w:val="16"/>
        </w:rPr>
        <w:softHyphen/>
        <w:t>вым. Несколько только что построенных Як-3 мы получили из Саратова. Я облетал од</w:t>
      </w:r>
      <w:r w:rsidRPr="00070ADE">
        <w:rPr>
          <w:rFonts w:ascii="Times New Roman" w:hAnsi="Times New Roman"/>
          <w:color w:val="000000" w:themeColor="text1"/>
          <w:sz w:val="16"/>
          <w:szCs w:val="16"/>
        </w:rPr>
        <w:softHyphen/>
        <w:t>ну машину, а вскоре мы с А. Алелюхиным провели учебные воздушные бои с пересадкой пилотов на Як-3 и Ме-109Г (модификацию не помню).</w:t>
      </w:r>
    </w:p>
    <w:p w14:paraId="2380B51D"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Новый самолёт Яковлева продемонстрировал отличную управляемость, легкость и по</w:t>
      </w:r>
      <w:r w:rsidRPr="00070ADE">
        <w:rPr>
          <w:rFonts w:ascii="Times New Roman" w:hAnsi="Times New Roman"/>
          <w:color w:val="000000" w:themeColor="text1"/>
          <w:sz w:val="16"/>
          <w:szCs w:val="16"/>
        </w:rPr>
        <w:softHyphen/>
        <w:t>слушность в пилотировании («пилотажная машина»). Но его двигатель — всё тот же М-105ПФ, только ещё более форсированный. Следовательно, его надёжность обяза</w:t>
      </w:r>
      <w:r w:rsidRPr="00070ADE">
        <w:rPr>
          <w:rFonts w:ascii="Times New Roman" w:hAnsi="Times New Roman"/>
          <w:color w:val="000000" w:themeColor="text1"/>
          <w:sz w:val="16"/>
          <w:szCs w:val="16"/>
        </w:rPr>
        <w:softHyphen/>
        <w:t>тельно снизится. Наш полк много времени проводил за выполнением «свободной охо</w:t>
      </w:r>
      <w:r w:rsidRPr="00070ADE">
        <w:rPr>
          <w:rFonts w:ascii="Times New Roman" w:hAnsi="Times New Roman"/>
          <w:color w:val="000000" w:themeColor="text1"/>
          <w:sz w:val="16"/>
          <w:szCs w:val="16"/>
        </w:rPr>
        <w:softHyphen/>
        <w:t>ты» над территорией противника и планировал впредь заниматься подобной работой. В 100-150 км за линией фронта любая пробоина водосистемы может оказаться фаталь</w:t>
      </w:r>
      <w:r w:rsidRPr="00070ADE">
        <w:rPr>
          <w:rFonts w:ascii="Times New Roman" w:hAnsi="Times New Roman"/>
          <w:color w:val="000000" w:themeColor="text1"/>
          <w:sz w:val="16"/>
          <w:szCs w:val="16"/>
        </w:rPr>
        <w:softHyphen/>
        <w:t>ной. В то же время на Ла-5 я неоднократно прилетал с десятками пробоин, а один раз осколки зенитного снаряда разбили всю внешнюю «звезду», и всё же мне посчастливи</w:t>
      </w:r>
      <w:r w:rsidRPr="00070ADE">
        <w:rPr>
          <w:rFonts w:ascii="Times New Roman" w:hAnsi="Times New Roman"/>
          <w:color w:val="000000" w:themeColor="text1"/>
          <w:sz w:val="16"/>
          <w:szCs w:val="16"/>
        </w:rPr>
        <w:softHyphen/>
        <w:t>лось вернуться на аэродром и приземлиться.</w:t>
      </w:r>
    </w:p>
    <w:p w14:paraId="1BB0CE23"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 отказался от Як-3, того же мнения придерживался и Морозов: «Дайте нам Ла-5». Узнав о нашем решении, Яковлев отреагировал: «Если лётчики не хотят брать «Яки», то это г..., а не сталинские асы». Но Новиков возразил, что речь идёт о его лучших воз</w:t>
      </w:r>
      <w:r w:rsidRPr="00070ADE">
        <w:rPr>
          <w:rFonts w:ascii="Times New Roman" w:hAnsi="Times New Roman"/>
          <w:color w:val="000000" w:themeColor="text1"/>
          <w:sz w:val="16"/>
          <w:szCs w:val="16"/>
        </w:rPr>
        <w:softHyphen/>
        <w:t>душных бойцах. На том разговор не закончился, поскольку главком ВВС оперативно связался с С.А. Лавочкиным. Он запросил у главного конструктора партию новейших истребителей для вооружения части. О новых Ла-7 мы ещё ничего не знали...» (15829).</w:t>
      </w:r>
    </w:p>
    <w:p w14:paraId="68E0DBD2" w14:textId="77777777" w:rsidR="006E5527" w:rsidRPr="00070ADE" w:rsidRDefault="006E5527" w:rsidP="00B56F90">
      <w:pPr>
        <w:spacing w:after="0" w:line="240" w:lineRule="auto"/>
        <w:jc w:val="both"/>
        <w:rPr>
          <w:rFonts w:ascii="Times New Roman" w:hAnsi="Times New Roman"/>
          <w:color w:val="000000" w:themeColor="text1"/>
          <w:sz w:val="16"/>
          <w:szCs w:val="16"/>
        </w:rPr>
      </w:pPr>
    </w:p>
    <w:p w14:paraId="5BE4D9E7" w14:textId="77777777" w:rsidR="004A376D" w:rsidRPr="00070ADE" w:rsidRDefault="004A376D"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был выведен с фронта с целью переподготовки для действий методом свободной охоты 9-й ГИАП, в рядах которого выросли та</w:t>
      </w:r>
      <w:r w:rsidRPr="00070ADE">
        <w:rPr>
          <w:rFonts w:ascii="Times New Roman" w:hAnsi="Times New Roman"/>
          <w:color w:val="000000" w:themeColor="text1"/>
          <w:sz w:val="16"/>
          <w:szCs w:val="16"/>
        </w:rPr>
        <w:softHyphen/>
        <w:t>кие прославленные асы, как А.В. Алелюхин, В.Д. Лавриненков, Амет-Хан Султан и другие. Как вспоминал ве</w:t>
      </w:r>
      <w:r w:rsidRPr="00070ADE">
        <w:rPr>
          <w:rFonts w:ascii="Times New Roman" w:hAnsi="Times New Roman"/>
          <w:color w:val="000000" w:themeColor="text1"/>
          <w:sz w:val="16"/>
          <w:szCs w:val="16"/>
        </w:rPr>
        <w:softHyphen/>
        <w:t>теран полка Герой Советского Со</w:t>
      </w:r>
      <w:r w:rsidRPr="00070ADE">
        <w:rPr>
          <w:rFonts w:ascii="Times New Roman" w:hAnsi="Times New Roman"/>
          <w:color w:val="000000" w:themeColor="text1"/>
          <w:sz w:val="16"/>
          <w:szCs w:val="16"/>
        </w:rPr>
        <w:softHyphen/>
        <w:t>юза А.Ф. Ковачевич:</w:t>
      </w:r>
    </w:p>
    <w:p w14:paraId="75885CCA" w14:textId="77777777" w:rsidR="004A376D" w:rsidRPr="00070ADE" w:rsidRDefault="004A376D"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прилету командир полка под</w:t>
      </w:r>
      <w:r w:rsidRPr="00070ADE">
        <w:rPr>
          <w:rFonts w:ascii="Times New Roman" w:hAnsi="Times New Roman"/>
          <w:color w:val="000000" w:themeColor="text1"/>
          <w:sz w:val="16"/>
          <w:szCs w:val="16"/>
        </w:rPr>
        <w:softHyphen/>
        <w:t>полковник А.А.Морозов доложил лич</w:t>
      </w:r>
      <w:r w:rsidRPr="00070ADE">
        <w:rPr>
          <w:rFonts w:ascii="Times New Roman" w:hAnsi="Times New Roman"/>
          <w:color w:val="000000" w:themeColor="text1"/>
          <w:sz w:val="16"/>
          <w:szCs w:val="16"/>
        </w:rPr>
        <w:softHyphen/>
        <w:t>но главкому маршалу А.А.Новикову о прибытии. Последний принял реше</w:t>
      </w:r>
      <w:r w:rsidRPr="00070ADE">
        <w:rPr>
          <w:rFonts w:ascii="Times New Roman" w:hAnsi="Times New Roman"/>
          <w:color w:val="000000" w:themeColor="text1"/>
          <w:sz w:val="16"/>
          <w:szCs w:val="16"/>
        </w:rPr>
        <w:softHyphen/>
        <w:t>ние перевооружить часть новейши</w:t>
      </w:r>
      <w:r w:rsidRPr="00070ADE">
        <w:rPr>
          <w:rFonts w:ascii="Times New Roman" w:hAnsi="Times New Roman"/>
          <w:color w:val="000000" w:themeColor="text1"/>
          <w:sz w:val="16"/>
          <w:szCs w:val="16"/>
        </w:rPr>
        <w:softHyphen/>
        <w:t>ми истребителями А.С.Яковлева. Как потом выяснилось, речь шла о Як-3. В моем присутствии - в то время за</w:t>
      </w:r>
      <w:r w:rsidRPr="00070ADE">
        <w:rPr>
          <w:rFonts w:ascii="Times New Roman" w:hAnsi="Times New Roman"/>
          <w:color w:val="000000" w:themeColor="text1"/>
          <w:sz w:val="16"/>
          <w:szCs w:val="16"/>
        </w:rPr>
        <w:softHyphen/>
        <w:t>местителя командира полка - Нови</w:t>
      </w:r>
      <w:r w:rsidRPr="00070ADE">
        <w:rPr>
          <w:rFonts w:ascii="Times New Roman" w:hAnsi="Times New Roman"/>
          <w:color w:val="000000" w:themeColor="text1"/>
          <w:sz w:val="16"/>
          <w:szCs w:val="16"/>
        </w:rPr>
        <w:softHyphen/>
        <w:t>ков связался по телефону с Яковле</w:t>
      </w:r>
      <w:r w:rsidRPr="00070ADE">
        <w:rPr>
          <w:rFonts w:ascii="Times New Roman" w:hAnsi="Times New Roman"/>
          <w:color w:val="000000" w:themeColor="text1"/>
          <w:sz w:val="16"/>
          <w:szCs w:val="16"/>
        </w:rPr>
        <w:softHyphen/>
        <w:t>вым. Несколько только что построен</w:t>
      </w:r>
      <w:r w:rsidRPr="00070ADE">
        <w:rPr>
          <w:rFonts w:ascii="Times New Roman" w:hAnsi="Times New Roman"/>
          <w:color w:val="000000" w:themeColor="text1"/>
          <w:sz w:val="16"/>
          <w:szCs w:val="16"/>
        </w:rPr>
        <w:softHyphen/>
        <w:t>ных Як-3 мы получили из Саратова. Я облетал одну машину, а вскоре мы с А.Алелюхиным провели учебные воз</w:t>
      </w:r>
      <w:r w:rsidRPr="00070ADE">
        <w:rPr>
          <w:rFonts w:ascii="Times New Roman" w:hAnsi="Times New Roman"/>
          <w:color w:val="000000" w:themeColor="text1"/>
          <w:sz w:val="16"/>
          <w:szCs w:val="16"/>
        </w:rPr>
        <w:softHyphen/>
        <w:t>душные бои с пересадкой пилотов на Як-3 и Ме-109Г (модификацию не помню).</w:t>
      </w:r>
    </w:p>
    <w:p w14:paraId="0B5CA47A" w14:textId="77777777" w:rsidR="004A376D" w:rsidRPr="00070ADE" w:rsidRDefault="004A376D"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Новый самолет Яковлева проде</w:t>
      </w:r>
      <w:r w:rsidRPr="00070ADE">
        <w:rPr>
          <w:rFonts w:ascii="Times New Roman" w:hAnsi="Times New Roman"/>
          <w:color w:val="000000" w:themeColor="text1"/>
          <w:sz w:val="16"/>
          <w:szCs w:val="16"/>
        </w:rPr>
        <w:softHyphen/>
        <w:t>монстрировал отличную управляе</w:t>
      </w:r>
      <w:r w:rsidRPr="00070ADE">
        <w:rPr>
          <w:rFonts w:ascii="Times New Roman" w:hAnsi="Times New Roman"/>
          <w:color w:val="000000" w:themeColor="text1"/>
          <w:sz w:val="16"/>
          <w:szCs w:val="16"/>
        </w:rPr>
        <w:softHyphen/>
        <w:t>мость, легкость и послушность в пило</w:t>
      </w:r>
      <w:r w:rsidRPr="00070ADE">
        <w:rPr>
          <w:rFonts w:ascii="Times New Roman" w:hAnsi="Times New Roman"/>
          <w:color w:val="000000" w:themeColor="text1"/>
          <w:sz w:val="16"/>
          <w:szCs w:val="16"/>
        </w:rPr>
        <w:softHyphen/>
        <w:t>тировании («пилотажная машина»). Но его двигатель - все тот же М-105ПФ, только еще более форсированный. Следовательно, его надежность обя</w:t>
      </w:r>
      <w:r w:rsidRPr="00070ADE">
        <w:rPr>
          <w:rFonts w:ascii="Times New Roman" w:hAnsi="Times New Roman"/>
          <w:color w:val="000000" w:themeColor="text1"/>
          <w:sz w:val="16"/>
          <w:szCs w:val="16"/>
        </w:rPr>
        <w:softHyphen/>
        <w:t>зательно снизится. Наш полк много времени проводил за выполнением «свободной охоты» над территорией противника и планировал впредь за</w:t>
      </w:r>
      <w:r w:rsidRPr="00070ADE">
        <w:rPr>
          <w:rFonts w:ascii="Times New Roman" w:hAnsi="Times New Roman"/>
          <w:color w:val="000000" w:themeColor="text1"/>
          <w:sz w:val="16"/>
          <w:szCs w:val="16"/>
        </w:rPr>
        <w:softHyphen/>
        <w:t>ниматься подобной работой. В 100-150 км за линией фронта любая про</w:t>
      </w:r>
      <w:r w:rsidRPr="00070ADE">
        <w:rPr>
          <w:rFonts w:ascii="Times New Roman" w:hAnsi="Times New Roman"/>
          <w:color w:val="000000" w:themeColor="text1"/>
          <w:sz w:val="16"/>
          <w:szCs w:val="16"/>
        </w:rPr>
        <w:softHyphen/>
        <w:t>боина водосистемы может оказаться фатальной. В то же время на Ла-5 я неоднократно прилетал с десятками пробоин, а один раз осколки зенит</w:t>
      </w:r>
      <w:r w:rsidRPr="00070ADE">
        <w:rPr>
          <w:rFonts w:ascii="Times New Roman" w:hAnsi="Times New Roman"/>
          <w:color w:val="000000" w:themeColor="text1"/>
          <w:sz w:val="16"/>
          <w:szCs w:val="16"/>
        </w:rPr>
        <w:softHyphen/>
        <w:t>ного снаряда разбили всю внешнюю «звезду», и все же мне посчастливи</w:t>
      </w:r>
      <w:r w:rsidRPr="00070ADE">
        <w:rPr>
          <w:rFonts w:ascii="Times New Roman" w:hAnsi="Times New Roman"/>
          <w:color w:val="000000" w:themeColor="text1"/>
          <w:sz w:val="16"/>
          <w:szCs w:val="16"/>
        </w:rPr>
        <w:softHyphen/>
        <w:t>лось вернуться на аэродром и при</w:t>
      </w:r>
      <w:r w:rsidRPr="00070ADE">
        <w:rPr>
          <w:rFonts w:ascii="Times New Roman" w:hAnsi="Times New Roman"/>
          <w:color w:val="000000" w:themeColor="text1"/>
          <w:sz w:val="16"/>
          <w:szCs w:val="16"/>
        </w:rPr>
        <w:softHyphen/>
        <w:t>землиться.</w:t>
      </w:r>
    </w:p>
    <w:p w14:paraId="7C1E8FCB" w14:textId="77777777" w:rsidR="004A376D" w:rsidRPr="00070ADE" w:rsidRDefault="004A376D"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 отказался от Як-3, того же мне</w:t>
      </w:r>
      <w:r w:rsidRPr="00070ADE">
        <w:rPr>
          <w:rFonts w:ascii="Times New Roman" w:hAnsi="Times New Roman"/>
          <w:color w:val="000000" w:themeColor="text1"/>
          <w:sz w:val="16"/>
          <w:szCs w:val="16"/>
        </w:rPr>
        <w:softHyphen/>
        <w:t>ния придерживался и Морозов: «Дай</w:t>
      </w:r>
      <w:r w:rsidRPr="00070ADE">
        <w:rPr>
          <w:rFonts w:ascii="Times New Roman" w:hAnsi="Times New Roman"/>
          <w:color w:val="000000" w:themeColor="text1"/>
          <w:sz w:val="16"/>
          <w:szCs w:val="16"/>
        </w:rPr>
        <w:softHyphen/>
        <w:t>те нам Ла-5». Узнав о нашем реше</w:t>
      </w:r>
      <w:r w:rsidRPr="00070ADE">
        <w:rPr>
          <w:rFonts w:ascii="Times New Roman" w:hAnsi="Times New Roman"/>
          <w:color w:val="000000" w:themeColor="text1"/>
          <w:sz w:val="16"/>
          <w:szCs w:val="16"/>
        </w:rPr>
        <w:softHyphen/>
        <w:t>нии, Яковлев отреагировал: «Если лет</w:t>
      </w:r>
      <w:r w:rsidRPr="00070ADE">
        <w:rPr>
          <w:rFonts w:ascii="Times New Roman" w:hAnsi="Times New Roman"/>
          <w:color w:val="000000" w:themeColor="text1"/>
          <w:sz w:val="16"/>
          <w:szCs w:val="16"/>
        </w:rPr>
        <w:softHyphen/>
        <w:t>чики не хотят брать «Яки», то это г..., а не сталинские асы». Но Новиков воз</w:t>
      </w:r>
      <w:r w:rsidRPr="00070ADE">
        <w:rPr>
          <w:rFonts w:ascii="Times New Roman" w:hAnsi="Times New Roman"/>
          <w:color w:val="000000" w:themeColor="text1"/>
          <w:sz w:val="16"/>
          <w:szCs w:val="16"/>
        </w:rPr>
        <w:softHyphen/>
        <w:t>разил, что речь идет о его лучших воз</w:t>
      </w:r>
      <w:r w:rsidRPr="00070ADE">
        <w:rPr>
          <w:rFonts w:ascii="Times New Roman" w:hAnsi="Times New Roman"/>
          <w:color w:val="000000" w:themeColor="text1"/>
          <w:sz w:val="16"/>
          <w:szCs w:val="16"/>
        </w:rPr>
        <w:softHyphen/>
        <w:t>душных бойцах. На том разговор не закончился, поскольку главком ВВС оперативно связался с С.А.Лавочки</w:t>
      </w:r>
      <w:r w:rsidRPr="00070ADE">
        <w:rPr>
          <w:rFonts w:ascii="Times New Roman" w:hAnsi="Times New Roman"/>
          <w:color w:val="000000" w:themeColor="text1"/>
          <w:sz w:val="16"/>
          <w:szCs w:val="16"/>
        </w:rPr>
        <w:softHyphen/>
        <w:t>ным. Он запросил у главного конст</w:t>
      </w:r>
      <w:r w:rsidRPr="00070ADE">
        <w:rPr>
          <w:rFonts w:ascii="Times New Roman" w:hAnsi="Times New Roman"/>
          <w:color w:val="000000" w:themeColor="text1"/>
          <w:sz w:val="16"/>
          <w:szCs w:val="16"/>
        </w:rPr>
        <w:softHyphen/>
        <w:t>руктора партию новейших истреби</w:t>
      </w:r>
      <w:r w:rsidRPr="00070ADE">
        <w:rPr>
          <w:rFonts w:ascii="Times New Roman" w:hAnsi="Times New Roman"/>
          <w:color w:val="000000" w:themeColor="text1"/>
          <w:sz w:val="16"/>
          <w:szCs w:val="16"/>
        </w:rPr>
        <w:softHyphen/>
        <w:t>телей для вооружения части. О но</w:t>
      </w:r>
      <w:r w:rsidRPr="00070ADE">
        <w:rPr>
          <w:rFonts w:ascii="Times New Roman" w:hAnsi="Times New Roman"/>
          <w:color w:val="000000" w:themeColor="text1"/>
          <w:sz w:val="16"/>
          <w:szCs w:val="16"/>
        </w:rPr>
        <w:softHyphen/>
        <w:t>вых Ла-7 мы еще ничего не знали...» (10714).</w:t>
      </w:r>
    </w:p>
    <w:p w14:paraId="3B7F56C8" w14:textId="77777777" w:rsidR="004A376D" w:rsidRPr="00070ADE" w:rsidRDefault="004A376D"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5DEF98" w14:textId="77777777" w:rsidR="00D70979" w:rsidRPr="00070ADE" w:rsidRDefault="00D70979"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В мае 1944 г. первые Як-9У передали в 42-й гв. ИАП для фронтовых испытаний. К сожалению, из-за все еще нерешенных проблем с двигателями, полк оказался фактически небоеспособен и его оставили в резерве Ставки ВГК, так и не решившись отправить на фронт. В итоге, войсковые испытания Як-9У проходили уже в октябре 1944 г. в Прибалтике, в составе 336-й ИАД 163 ИАК 3-й ВА. К декабрю 1944 г. характеристики Як-9У были признаны «в целом удовлет</w:t>
      </w:r>
      <w:r w:rsidRPr="00070ADE">
        <w:rPr>
          <w:rFonts w:ascii="Times New Roman" w:cs="Times New Roman"/>
          <w:color w:val="000000" w:themeColor="text1"/>
          <w:spacing w:val="0"/>
        </w:rPr>
        <w:softHyphen/>
        <w:t>ворительными», но, опять-таки, с массой оговорок. Отмечался крайне напряженный тепловой режим, вибрация и дымление двигателя, постоянный выход из строя свечей (после 10-12 ч работы) и отстава</w:t>
      </w:r>
      <w:r w:rsidRPr="00070ADE">
        <w:rPr>
          <w:rFonts w:ascii="Times New Roman" w:cs="Times New Roman"/>
          <w:color w:val="000000" w:themeColor="text1"/>
          <w:spacing w:val="0"/>
        </w:rPr>
        <w:softHyphen/>
        <w:t>ние обшивки крыльев (производственный дефект, свойственный не только Як-9У, но и другим Якам смешанной конструкции) из-за чего в приказном порядке были вве</w:t>
      </w:r>
      <w:r w:rsidRPr="00070ADE">
        <w:rPr>
          <w:rFonts w:ascii="Times New Roman" w:cs="Times New Roman"/>
          <w:color w:val="000000" w:themeColor="text1"/>
          <w:spacing w:val="0"/>
        </w:rPr>
        <w:softHyphen/>
        <w:t>дены ограничения по скорости (особенно по скорости пикирования). При эксплуата</w:t>
      </w:r>
      <w:r w:rsidRPr="00070ADE">
        <w:rPr>
          <w:rFonts w:ascii="Times New Roman" w:cs="Times New Roman"/>
          <w:color w:val="000000" w:themeColor="text1"/>
          <w:spacing w:val="0"/>
        </w:rPr>
        <w:softHyphen/>
        <w:t>ции в частях боевой режим работы мотора на всех серийных Як-9У был исключен. В результате все летные характеристики самолета снизились. Но вот что интересно: Самолет все равно оставался одним из самых скоростных и маневренных совет</w:t>
      </w:r>
      <w:r w:rsidRPr="00070ADE">
        <w:rPr>
          <w:rFonts w:ascii="Times New Roman" w:cs="Times New Roman"/>
          <w:color w:val="000000" w:themeColor="text1"/>
          <w:spacing w:val="0"/>
        </w:rPr>
        <w:softHyphen/>
        <w:t>ских истребителей и по своим летным данным был близок к более легкому Як-3, имея полное превосходство над истреби</w:t>
      </w:r>
      <w:r w:rsidRPr="00070ADE">
        <w:rPr>
          <w:rFonts w:ascii="Times New Roman" w:cs="Times New Roman"/>
          <w:color w:val="000000" w:themeColor="text1"/>
          <w:spacing w:val="0"/>
        </w:rPr>
        <w:softHyphen/>
        <w:t>телями противника. Это превосходство подтвердили войсковые испытания: в 19 воздушных боях летчики Як-9У сбили 27 Р™</w:t>
      </w:r>
      <w:r w:rsidRPr="00070ADE">
        <w:rPr>
          <w:rStyle w:val="8pt0"/>
          <w:rFonts w:ascii="Times New Roman" w:hAnsi="Times New Roman" w:cs="Times New Roman"/>
          <w:color w:val="000000" w:themeColor="text1"/>
        </w:rPr>
        <w:t xml:space="preserve"> 1</w:t>
      </w:r>
      <w:r w:rsidRPr="00070ADE">
        <w:rPr>
          <w:rFonts w:ascii="Times New Roman" w:cs="Times New Roman"/>
          <w:color w:val="000000" w:themeColor="text1"/>
          <w:spacing w:val="0"/>
        </w:rPr>
        <w:t>90</w:t>
      </w:r>
      <w:r w:rsidRPr="00070ADE">
        <w:rPr>
          <w:rStyle w:val="8pt0"/>
          <w:rFonts w:ascii="Times New Roman" w:hAnsi="Times New Roman" w:cs="Times New Roman"/>
          <w:color w:val="000000" w:themeColor="text1"/>
        </w:rPr>
        <w:t xml:space="preserve"> и один</w:t>
      </w:r>
      <w:r w:rsidRPr="00070ADE">
        <w:rPr>
          <w:rFonts w:ascii="Times New Roman" w:cs="Times New Roman"/>
          <w:color w:val="000000" w:themeColor="text1"/>
          <w:spacing w:val="0"/>
        </w:rPr>
        <w:t xml:space="preserve"> В! 109, потеряв лишь два самолета. Всего до конца 1944 г. ВВС Красной армии получили 1134 Як-9У.</w:t>
      </w:r>
    </w:p>
    <w:p w14:paraId="4FBD47B3" w14:textId="77777777" w:rsidR="00D70979" w:rsidRPr="00070ADE" w:rsidRDefault="00D70979"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С начала 1945 г. Як-9У во все возрас</w:t>
      </w:r>
      <w:r w:rsidRPr="00070ADE">
        <w:rPr>
          <w:rFonts w:ascii="Times New Roman" w:cs="Times New Roman"/>
          <w:color w:val="000000" w:themeColor="text1"/>
          <w:spacing w:val="0"/>
        </w:rPr>
        <w:softHyphen/>
        <w:t>тающих количествах начали поступать в строевые части. А всего до августа 1945 г. промышленность произвела 3921 само</w:t>
      </w:r>
      <w:r w:rsidRPr="00070ADE">
        <w:rPr>
          <w:rFonts w:ascii="Times New Roman" w:cs="Times New Roman"/>
          <w:color w:val="000000" w:themeColor="text1"/>
          <w:spacing w:val="0"/>
        </w:rPr>
        <w:softHyphen/>
        <w:t>лет этого типа, включая две сотни Як-9УТ с усиленным вооружением.</w:t>
      </w:r>
    </w:p>
    <w:p w14:paraId="2B7481AF" w14:textId="77777777" w:rsidR="00D70979" w:rsidRPr="00070ADE" w:rsidRDefault="00D70979"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lastRenderedPageBreak/>
        <w:t>К сожалению, все недостатки винто</w:t>
      </w:r>
      <w:r w:rsidRPr="00070ADE">
        <w:rPr>
          <w:rFonts w:ascii="Times New Roman" w:cs="Times New Roman"/>
          <w:color w:val="000000" w:themeColor="text1"/>
          <w:spacing w:val="0"/>
        </w:rPr>
        <w:softHyphen/>
        <w:t>моторной группы в условиях военного вре</w:t>
      </w:r>
      <w:r w:rsidRPr="00070ADE">
        <w:rPr>
          <w:rFonts w:ascii="Times New Roman" w:cs="Times New Roman"/>
          <w:color w:val="000000" w:themeColor="text1"/>
          <w:spacing w:val="0"/>
        </w:rPr>
        <w:softHyphen/>
        <w:t>мени устранить так и не удалось. Впрочем, с этим тогда мирились, хотя были даже случаи «обратного перевооружения», когда командование принимало решение пере</w:t>
      </w:r>
      <w:r w:rsidRPr="00070ADE">
        <w:rPr>
          <w:rFonts w:ascii="Times New Roman" w:cs="Times New Roman"/>
          <w:color w:val="000000" w:themeColor="text1"/>
          <w:spacing w:val="0"/>
        </w:rPr>
        <w:softHyphen/>
        <w:t>оснастить только что перевооруженные на Як-9У полки более старой, но зато более надежной техникой (например, Ла-5ФН).</w:t>
      </w:r>
    </w:p>
    <w:p w14:paraId="2F9FE061" w14:textId="77777777" w:rsidR="00D70979" w:rsidRPr="00070ADE" w:rsidRDefault="00D70979"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Совершенно иное отношение к само</w:t>
      </w:r>
      <w:r w:rsidRPr="00070ADE">
        <w:rPr>
          <w:rFonts w:ascii="Times New Roman" w:cs="Times New Roman"/>
          <w:color w:val="000000" w:themeColor="text1"/>
          <w:spacing w:val="0"/>
        </w:rPr>
        <w:softHyphen/>
        <w:t>лету стало ощущаться после окончания войны. Як-9У, несмотря на более высокие летные характеристики, имел ту же сме</w:t>
      </w:r>
      <w:r w:rsidRPr="00070ADE">
        <w:rPr>
          <w:rFonts w:ascii="Times New Roman" w:cs="Times New Roman"/>
          <w:color w:val="000000" w:themeColor="text1"/>
          <w:spacing w:val="0"/>
        </w:rPr>
        <w:softHyphen/>
        <w:t>шанную конструкцию, что и более ран</w:t>
      </w:r>
      <w:r w:rsidRPr="00070ADE">
        <w:rPr>
          <w:rFonts w:ascii="Times New Roman" w:cs="Times New Roman"/>
          <w:color w:val="000000" w:themeColor="text1"/>
          <w:spacing w:val="0"/>
        </w:rPr>
        <w:softHyphen/>
        <w:t>ние Яки, а значит, был не приспособлен к длительной службе мирного времени (в военное время «жизнь» среднего отече</w:t>
      </w:r>
      <w:r w:rsidRPr="00070ADE">
        <w:rPr>
          <w:rFonts w:ascii="Times New Roman" w:cs="Times New Roman"/>
          <w:color w:val="000000" w:themeColor="text1"/>
          <w:spacing w:val="0"/>
        </w:rPr>
        <w:softHyphen/>
        <w:t>ственного истребителя редко превышала 3 месяца). В типичных для нашей страны условиях круглогодичного безангарного хранения (холодная зима, жаркое лето, дождливые осень и весна) планер Як-9У, а особенно его перкалевая обшивка, прихо</w:t>
      </w:r>
      <w:r w:rsidRPr="00070ADE">
        <w:rPr>
          <w:rFonts w:ascii="Times New Roman" w:cs="Times New Roman"/>
          <w:color w:val="000000" w:themeColor="text1"/>
          <w:spacing w:val="0"/>
        </w:rPr>
        <w:softHyphen/>
        <w:t>дили в негодность очень быстро.</w:t>
      </w:r>
    </w:p>
    <w:p w14:paraId="236FBFDC" w14:textId="77777777" w:rsidR="00D70979" w:rsidRPr="00070ADE" w:rsidRDefault="00D70979"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К началу 1946 г. в отечественной ави</w:t>
      </w:r>
      <w:r w:rsidRPr="00070ADE">
        <w:rPr>
          <w:rFonts w:ascii="Times New Roman" w:cs="Times New Roman"/>
          <w:color w:val="000000" w:themeColor="text1"/>
          <w:spacing w:val="0"/>
        </w:rPr>
        <w:softHyphen/>
        <w:t>ации сложилась и вовсе парадоксаль</w:t>
      </w:r>
      <w:r w:rsidRPr="00070ADE">
        <w:rPr>
          <w:rFonts w:ascii="Times New Roman" w:cs="Times New Roman"/>
          <w:color w:val="000000" w:themeColor="text1"/>
          <w:spacing w:val="0"/>
        </w:rPr>
        <w:softHyphen/>
        <w:t>ная ситуация. С одной стороны, имелось огромное количество явно устаревших самолетов, требовавших ремонта. С дру</w:t>
      </w:r>
      <w:r w:rsidRPr="00070ADE">
        <w:rPr>
          <w:rFonts w:ascii="Times New Roman" w:cs="Times New Roman"/>
          <w:color w:val="000000" w:themeColor="text1"/>
          <w:spacing w:val="0"/>
        </w:rPr>
        <w:softHyphen/>
        <w:t>гой, - СССР опять оказался в положении догоняющего. В Германии, США и Англии уже в 1945 г. имелись на вооружении и даже воевали серийные реактивные самолеты. Немцы, конечно, не сумели применить реактивную авиатехнику и ракеты в количе</w:t>
      </w:r>
      <w:r w:rsidRPr="00070ADE">
        <w:rPr>
          <w:rFonts w:ascii="Times New Roman" w:cs="Times New Roman"/>
          <w:color w:val="000000" w:themeColor="text1"/>
          <w:spacing w:val="0"/>
        </w:rPr>
        <w:softHyphen/>
        <w:t>ствах, достаточных для того, чтобы перело</w:t>
      </w:r>
      <w:r w:rsidRPr="00070ADE">
        <w:rPr>
          <w:rFonts w:ascii="Times New Roman" w:cs="Times New Roman"/>
          <w:color w:val="000000" w:themeColor="text1"/>
          <w:spacing w:val="0"/>
        </w:rPr>
        <w:softHyphen/>
        <w:t>мить ход войны в свою пользу. Но все-таки они показали рсему миру насколько это грозное и многообещающее оружие (12741).</w:t>
      </w:r>
    </w:p>
    <w:p w14:paraId="11200D80" w14:textId="77777777" w:rsidR="00D70979" w:rsidRPr="00070ADE" w:rsidRDefault="00D70979" w:rsidP="00B56F90">
      <w:pPr>
        <w:pStyle w:val="27"/>
        <w:shd w:val="clear" w:color="auto" w:fill="auto"/>
        <w:spacing w:after="0" w:line="240" w:lineRule="auto"/>
        <w:ind w:firstLine="0"/>
        <w:rPr>
          <w:rFonts w:ascii="Times New Roman" w:cs="Times New Roman"/>
          <w:color w:val="000000" w:themeColor="text1"/>
          <w:spacing w:val="0"/>
        </w:rPr>
      </w:pPr>
    </w:p>
    <w:p w14:paraId="15B2B2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постановлением ОКБ А.С.Яковлева предписывалось создать вариант Як-9 с двигателем РД-1. Спустя семь месяцев вышло еще одно постановление ГКО об оснащении Як-9 ЖРД РД-1. Однако в ОКБ приоритетной задачей считалось создание Як-ЗРД с двигателем РД-1, закончившееся, как известно трагедией - гибелью летчика-испытателя Виктора Расторгуева.</w:t>
      </w:r>
    </w:p>
    <w:p w14:paraId="036E324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1945 год задание трансформировалось в установку дополнительного реактивного двигателя на Як-9У с ВК-107А, который следовало предъявить на летные испытания к 1 сентября. Но дальше бумажной переписки дело не пошло. Возможно, главной причи- Як-9У ной игнорирования Яковлевым постановлений ГКО и приказов НКАП стало создание более перспективного истребителя Як-15 с турбореактивным двигателем.</w:t>
      </w:r>
    </w:p>
    <w:p w14:paraId="358B712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Известен проект установки на Як-9Д вспомогательной силовой установки ВРДК (воздушно-реактивный двигатель компрессорный) разработки ЦИАМ. По мнению конструкторов, наиболее подходящим для той цели был Як-9Д, имевший необходимый запас горючего, часть которого можно было использовать для работы ВРДК в течение пяти минут без снижения времени полета истребителя. В то же время, самолет допускал перегрузку (по взлетному весу) без заметного ухудшения взлетных качеств и характеристик вертикального маневра.</w:t>
      </w:r>
    </w:p>
    <w:p w14:paraId="418101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Главное, имелся готовый двигатель М-105РЕН с приводом для компрессора номинальной мощностью у земли 1035 л.е., что на 175 л.с. меньше чем развивал М-105ПФ. Этот двигатель, обеспечивавший перелив мощности до 250 л.с. к нагнетателю, сохранился от экспериментального самолета Пе-2 с шасси на воздушной подушке, созданного под руководством А.Д. Надирадзе. Однако размещение ВРДК на серийном истребителе из-за особенностей конструкции его планера потребовало спроектировать второй редуктор с промежуточным валом.</w:t>
      </w:r>
    </w:p>
    <w:p w14:paraId="0D250E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Редуктор двигателя М-105РЕН крепился к подмоторной раме, из-за чего пришлось снять пушку с патронным ящиком (вместо нее расположили второй пулемет УБС) и сделать выемку в маслобаке. </w:t>
      </w:r>
    </w:p>
    <w:p w14:paraId="61AC4E5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Вспомогательный двигатель разместили за кабиной пилота, использовав в качестве его воздухозаборника совок маслорадиатора. Газовая же струя выходила через сопло, расположенное под фюзеляжем, по редан- ной схеме. Сопло сделали поворотным (убирающимся в фюзеляж). Последнее обстоятельство не позволяло использовать ВРДК при взлете, что значительно снижало возможности машины.</w:t>
      </w:r>
    </w:p>
    <w:p w14:paraId="2A46BA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то, что машина проектировалась с целью продемонстрировать возможности ВРДК, который по расчетам позволял увеличить скорость на 80-90 км/ч, доводя ее до 650 км/ч (максимальная скорость серийного Як-9Д - 574 км/ч) при полетном весе 3150 кг, от ее постройки оказались. Причин было несколько, но главными считались сложность доработок и бесперспективность машины (12046).</w:t>
      </w:r>
    </w:p>
    <w:p w14:paraId="76751C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CD0A341" w14:textId="77777777" w:rsidR="009D7F3A" w:rsidRPr="00070ADE" w:rsidRDefault="009D7F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мае 1944 г. провели учебные бои </w:t>
      </w:r>
      <w:r w:rsidRPr="00070ADE">
        <w:rPr>
          <w:rFonts w:ascii="Times New Roman" w:hAnsi="Times New Roman"/>
          <w:color w:val="000000" w:themeColor="text1"/>
          <w:sz w:val="16"/>
          <w:szCs w:val="16"/>
          <w:lang w:val="en-US"/>
        </w:rPr>
        <w:t>Bf</w:t>
      </w:r>
      <w:r w:rsidRPr="00070ADE">
        <w:rPr>
          <w:rFonts w:ascii="Times New Roman" w:hAnsi="Times New Roman"/>
          <w:color w:val="000000" w:themeColor="text1"/>
          <w:sz w:val="16"/>
          <w:szCs w:val="16"/>
        </w:rPr>
        <w:t xml:space="preserve"> 109</w:t>
      </w:r>
      <w:r w:rsidRPr="00070ADE">
        <w:rPr>
          <w:rFonts w:ascii="Times New Roman" w:hAnsi="Times New Roman"/>
          <w:color w:val="000000" w:themeColor="text1"/>
          <w:sz w:val="16"/>
          <w:szCs w:val="16"/>
          <w:lang w:val="en-US"/>
        </w:rPr>
        <w:t>G</w:t>
      </w:r>
      <w:r w:rsidRPr="00070ADE">
        <w:rPr>
          <w:rFonts w:ascii="Times New Roman" w:hAnsi="Times New Roman"/>
          <w:color w:val="000000" w:themeColor="text1"/>
          <w:sz w:val="16"/>
          <w:szCs w:val="16"/>
        </w:rPr>
        <w:t xml:space="preserve">-4 с Як-3. Последний продемонстрировал явное преимущество на малых и средних высотах, но </w:t>
      </w:r>
      <w:r w:rsidRPr="00070ADE">
        <w:rPr>
          <w:rFonts w:ascii="Times New Roman" w:hAnsi="Times New Roman"/>
          <w:color w:val="000000" w:themeColor="text1"/>
          <w:sz w:val="16"/>
          <w:szCs w:val="16"/>
          <w:lang w:val="en-US"/>
        </w:rPr>
        <w:t>G</w:t>
      </w:r>
      <w:r w:rsidRPr="00070ADE">
        <w:rPr>
          <w:rFonts w:ascii="Times New Roman" w:hAnsi="Times New Roman"/>
          <w:color w:val="000000" w:themeColor="text1"/>
          <w:sz w:val="16"/>
          <w:szCs w:val="16"/>
        </w:rPr>
        <w:t xml:space="preserve"> -6 превосходил </w:t>
      </w:r>
      <w:r w:rsidRPr="00070ADE">
        <w:rPr>
          <w:rFonts w:ascii="Times New Roman" w:hAnsi="Times New Roman"/>
          <w:color w:val="000000" w:themeColor="text1"/>
          <w:sz w:val="16"/>
          <w:szCs w:val="16"/>
          <w:lang w:val="en-US"/>
        </w:rPr>
        <w:t>G</w:t>
      </w:r>
      <w:r w:rsidRPr="00070ADE">
        <w:rPr>
          <w:rFonts w:ascii="Times New Roman" w:hAnsi="Times New Roman"/>
          <w:color w:val="000000" w:themeColor="text1"/>
          <w:sz w:val="16"/>
          <w:szCs w:val="16"/>
        </w:rPr>
        <w:t xml:space="preserve"> -4 по скорости на 25-30 км/ч (23186).</w:t>
      </w:r>
    </w:p>
    <w:p w14:paraId="3B13B9FF" w14:textId="77777777" w:rsidR="009D7F3A" w:rsidRPr="00070ADE" w:rsidRDefault="009D7F3A" w:rsidP="00B56F90">
      <w:pPr>
        <w:spacing w:after="0" w:line="240" w:lineRule="auto"/>
        <w:jc w:val="both"/>
        <w:rPr>
          <w:rFonts w:ascii="Times New Roman" w:hAnsi="Times New Roman"/>
          <w:color w:val="000000" w:themeColor="text1"/>
          <w:sz w:val="16"/>
          <w:szCs w:val="16"/>
        </w:rPr>
      </w:pPr>
    </w:p>
    <w:p w14:paraId="05E656C8" w14:textId="77777777" w:rsidR="00AA1E7E" w:rsidRPr="00070ADE" w:rsidRDefault="00AA1E7E"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В мае 1944 г. постановле</w:t>
      </w:r>
      <w:r w:rsidRPr="00070ADE">
        <w:rPr>
          <w:rFonts w:ascii="Times New Roman" w:cs="Times New Roman"/>
          <w:color w:val="000000" w:themeColor="text1"/>
          <w:spacing w:val="0"/>
        </w:rPr>
        <w:softHyphen/>
        <w:t>нием А.С. Яковлеву предписывалось создать вариант Як-9 с РД-1. А спустя семь месяцев вышло ещё одно постановление ГКО. По нему в 1945 г. требовалось смон</w:t>
      </w:r>
      <w:r w:rsidRPr="00070ADE">
        <w:rPr>
          <w:rFonts w:ascii="Times New Roman" w:cs="Times New Roman"/>
          <w:color w:val="000000" w:themeColor="text1"/>
          <w:spacing w:val="0"/>
        </w:rPr>
        <w:softHyphen/>
        <w:t>тировать дополнительный ЖРД на Як-9У с мотором ВК-107А и предъявить его на лёт</w:t>
      </w:r>
      <w:r w:rsidRPr="00070ADE">
        <w:rPr>
          <w:rFonts w:ascii="Times New Roman" w:cs="Times New Roman"/>
          <w:color w:val="000000" w:themeColor="text1"/>
          <w:spacing w:val="0"/>
        </w:rPr>
        <w:softHyphen/>
        <w:t>ные испытания к 1 сентября. Но дальше бумажной переписки дело опять не пошло (19103).</w:t>
      </w:r>
    </w:p>
    <w:p w14:paraId="709BD8BF" w14:textId="77777777" w:rsidR="00AA1E7E" w:rsidRPr="00070ADE" w:rsidRDefault="00AA1E7E" w:rsidP="00B56F90">
      <w:pPr>
        <w:pStyle w:val="27"/>
        <w:shd w:val="clear" w:color="auto" w:fill="auto"/>
        <w:spacing w:after="0" w:line="240" w:lineRule="auto"/>
        <w:ind w:firstLine="0"/>
        <w:rPr>
          <w:rFonts w:ascii="Times New Roman" w:cs="Times New Roman"/>
          <w:color w:val="000000" w:themeColor="text1"/>
          <w:spacing w:val="0"/>
        </w:rPr>
      </w:pPr>
    </w:p>
    <w:p w14:paraId="25D70A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1944-го С.Н.Анохин испытывает самолёт Як-7Б с прямоточным воздушно-реактивным двигателем ДМ-4с. В это же время он проводит лётные исследования по влиянию перегрузки на организм и работоспособность лётчика в полёте; выполняет ряд испытательных полётов на высотном самолёте-перехватчике Як-ЗПД на высотах более 13000м в отсутствии герметичной кабины (5996)</w:t>
      </w:r>
    </w:p>
    <w:p w14:paraId="45A885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закончились испытания доработанного Пе-2 № 14/226 с новым профилем и было установлено, что модифицированное крыло заметно улучшает летно-технические свойства “пешки”, особенно на малых скоростях. Заметно улучшилось поведение самолета при посадке, он перестал валиться на крыло, уверенно летал на одном моторе. Новый профиль консолей плюс усовершенствованная технология отделки крыла в совокупности “добавили” машине 100 км дальности, способствовали увеличению потолка на 500 м и уменьшению длины разбега на 40 м.</w:t>
      </w:r>
    </w:p>
    <w:p w14:paraId="6D066E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сожалению, и это техническое решение несмотря на положительную оценку НИИ ВВС осталось не внедренным в серию. Причина все та же - отказ руководства наркомата авиапромышленности санкционировать переход на новое крыло, что неизбежно привело бы к смене технологического оборудования и временному снижению темпов выпуска “пешек”...(4476).</w:t>
      </w:r>
    </w:p>
    <w:p w14:paraId="2ADBC8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88BB1C"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мае 1944 года был готов самолёт, который получил обозначение Як-7ГК, разрабатываемый с 1943 г. Конструкторы переоборудовали два истребителя Як-7Б М-105ПФ в истребители перехватчики с герметическими кабинами. Первый прототип был оснащен экспериментальной гермокабиной конструкции А.Я. Щербакова. В ходе испытаний было установлено, что конструкция кабины получилась неудачной. Применять на других самолётах её не стали.</w:t>
      </w:r>
    </w:p>
    <w:p w14:paraId="537F275E"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Несмотря на то, что гермокабина конструкции А.Я. Щербакова была вентиляционного типа, в ней отсутствовали элементы, которые могли обеспечивать вентиляцию. Вентиляция осуществлялась лишь естественным путем — через щели и неплотности в соединениях кабины. Также конструкцию подвела и автоматика — клапаны и регуляторы давления не работали должным образом.</w:t>
      </w:r>
    </w:p>
    <w:p w14:paraId="50162746"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Испытания второго образца Як-7ГК тоже провалились. Правда, в отличие от первого прототипа, на новом герметизация осуществлялась при помощи компрессора (25219).</w:t>
      </w:r>
    </w:p>
    <w:p w14:paraId="7CED985F" w14:textId="77777777" w:rsidR="004A376D" w:rsidRPr="00C94B78" w:rsidRDefault="004A376D" w:rsidP="00B56F90">
      <w:pPr>
        <w:spacing w:after="0" w:line="240" w:lineRule="auto"/>
        <w:jc w:val="both"/>
        <w:rPr>
          <w:rFonts w:ascii="Times New Roman" w:hAnsi="Times New Roman"/>
          <w:color w:val="0070C0"/>
          <w:sz w:val="16"/>
          <w:szCs w:val="16"/>
        </w:rPr>
      </w:pPr>
    </w:p>
    <w:p w14:paraId="4CACAC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в НИИ ВВС проходил испытания Ла-5 № 3811507, на котором карбюраторный двигатель АШ-82Ф заменили на АШ-82ФН с непосредственным впрыском топлива. Самолет, получивший официальное название "Гибрид", проходил испытания в НИИ ВВС. Ведущими по машине были инженер В.И. Алексеенко и летчик А.Г. Кубышкин. По сравнению с "Дублером" Ла-5ФН завода № 21 он имел значительно худшие летные данные. Например, его максимальная скорость оказалась на 68 км/ч ниже, что, видимо, связано с утяжелением машины и худшей отделкой его внешней поверхности.</w:t>
      </w:r>
    </w:p>
    <w:p w14:paraId="1768F0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испытания не выдержал. НИИ ВВС рекомендовал использовать установку двигателей АШ-82ФН при ремонте Ла-5Ф в полевых условиях лишь в крайнем случае (12032).</w:t>
      </w:r>
    </w:p>
    <w:p w14:paraId="2FD919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7EFC43"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мае 1944 г. истребитель Ла-5 «эталон 1944 г.», получивший в КБ обозначение Ла-120, был запущен под наименованием Ла-7 в серийное производство. На серийных машинах не удалось учесть лишь одну рекомендацию, отраженную в заключении о прохождении истребителем Государственных испытаний — на самолете отсутствовал автомат управления работой винто-моторной группой. То, что на Fw-190 управлялось перемещением одного рычага, на Ла-7 требовало манипуляций восьми органов управления.</w:t>
      </w:r>
    </w:p>
    <w:p w14:paraId="50A046BE"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Упростить управление работой винто-моторной группой можно было лишь путем установки на нагнетатель е-67 регулятора 82-ФН-ВГ и автоматического терморегулятора АРТГ-43. Данное оборудование истребители начали получать только с Ла-7 заводской номер 38101356.</w:t>
      </w:r>
    </w:p>
    <w:p w14:paraId="2FC6CDE7"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Основным внешним отличием Ла-7 от Ла-5ФН стал перенос маслорадиатора из-под капота мотора в нижнюю часть фюзеляжа под кабину летчика, а воздухозаборников карбюратора и нагнетателя в корневую часть крыла. Часть воздуха, поступавшего через эти заборники, отбиралась для вентиляции кабины. Воздух в кабину подводился через отверстия под приборной доской и в полу кабины между педалями рулей направления, а выходил через отверстие в хвостовом сегменте фонаря кабины. Однако, некоторое время продолжали выпускаться серийные самолеты с вентиляционными отверстиями в борту фюзеляжа перед фонарем кабины. Испытания Ла-7 с усовершенствованной системой вентиляции проводились с 19 по 23 марта 1945 г., было выполнено 10 полетов, летал полковник Д.Г. Пикуленко. В ходе серийного производства истребитель постоянно совершенствовался, модернизация были направлена на снижение лобового сопротивления, улучшения комфортабельности кабины и улучшения защищенности летчика (25058).</w:t>
      </w:r>
    </w:p>
    <w:p w14:paraId="78D5D973" w14:textId="77777777" w:rsidR="004A376D" w:rsidRPr="00C94B78" w:rsidRDefault="004A376D" w:rsidP="00B56F90">
      <w:pPr>
        <w:spacing w:after="0" w:line="240" w:lineRule="auto"/>
        <w:jc w:val="both"/>
        <w:rPr>
          <w:rFonts w:ascii="Times New Roman" w:hAnsi="Times New Roman"/>
          <w:color w:val="0070C0"/>
          <w:sz w:val="16"/>
          <w:szCs w:val="16"/>
        </w:rPr>
      </w:pPr>
    </w:p>
    <w:p w14:paraId="36BD4339"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месяце 1944 на Ла-5А заменили правый ТК-3, и для устранения обнаруженных де</w:t>
      </w:r>
      <w:r w:rsidRPr="00070ADE">
        <w:rPr>
          <w:rFonts w:ascii="Times New Roman" w:hAnsi="Times New Roman"/>
          <w:color w:val="000000" w:themeColor="text1"/>
          <w:sz w:val="16"/>
          <w:szCs w:val="16"/>
        </w:rPr>
        <w:softHyphen/>
        <w:t>фектов улучшили дефлектирование головок цилиндров, а также проверили всю бензи</w:t>
      </w:r>
      <w:r w:rsidRPr="00070ADE">
        <w:rPr>
          <w:rFonts w:ascii="Times New Roman" w:hAnsi="Times New Roman"/>
          <w:color w:val="000000" w:themeColor="text1"/>
          <w:sz w:val="16"/>
          <w:szCs w:val="16"/>
        </w:rPr>
        <w:softHyphen/>
        <w:t xml:space="preserve">новую и масляную системы. Наконец, 25 мая 1944 г. состоялся контрольный полёт. При этом достигли высоты 7000 м, но просочившийся в кабину пилота </w:t>
      </w:r>
      <w:r w:rsidRPr="00070ADE">
        <w:rPr>
          <w:rFonts w:ascii="Times New Roman" w:hAnsi="Times New Roman"/>
          <w:color w:val="000000" w:themeColor="text1"/>
          <w:sz w:val="16"/>
          <w:szCs w:val="16"/>
        </w:rPr>
        <w:lastRenderedPageBreak/>
        <w:t>дым вынудил прекра</w:t>
      </w:r>
      <w:r w:rsidRPr="00070ADE">
        <w:rPr>
          <w:rFonts w:ascii="Times New Roman" w:hAnsi="Times New Roman"/>
          <w:color w:val="000000" w:themeColor="text1"/>
          <w:sz w:val="16"/>
          <w:szCs w:val="16"/>
        </w:rPr>
        <w:softHyphen/>
        <w:t>тить полёт. Дым образовался в результате выбивания большого количества масла из мест соединения мотора с маслопроводом и попадания его в ресивер турбокомпрессо</w:t>
      </w:r>
      <w:r w:rsidRPr="00070ADE">
        <w:rPr>
          <w:rFonts w:ascii="Times New Roman" w:hAnsi="Times New Roman"/>
          <w:color w:val="000000" w:themeColor="text1"/>
          <w:sz w:val="16"/>
          <w:szCs w:val="16"/>
        </w:rPr>
        <w:softHyphen/>
        <w:t>ра. Кроме того, с набором высоты падало давление бензина, и грелась головка пятого цилиндра. Для устранения дефектов провели ряд мероприятий, но 27 мая следующий полёт на высоту 10500 м снова пришлось прекратить из-за задымления. На этот раз масло выбивалось из-под левого синхронизатора и попадало на горячие патрубки. Од</w:t>
      </w:r>
      <w:r w:rsidRPr="00070ADE">
        <w:rPr>
          <w:rFonts w:ascii="Times New Roman" w:hAnsi="Times New Roman"/>
          <w:color w:val="000000" w:themeColor="text1"/>
          <w:sz w:val="16"/>
          <w:szCs w:val="16"/>
        </w:rPr>
        <w:softHyphen/>
        <w:t>нако давление бензина при наборе высоты оставалось нормальным и при горизонталь</w:t>
      </w:r>
      <w:r w:rsidRPr="00070ADE">
        <w:rPr>
          <w:rFonts w:ascii="Times New Roman" w:hAnsi="Times New Roman"/>
          <w:color w:val="000000" w:themeColor="text1"/>
          <w:sz w:val="16"/>
          <w:szCs w:val="16"/>
        </w:rPr>
        <w:softHyphen/>
        <w:t>ных полётах не падало. Дефекты удалось устранить к концу того же дня. Правда, при контрольной гонке мотора на земле снова обнаружили масло в магнето, в результате произвели замену наддувного магнето на ненаддувное с улучшенной высотностью.</w:t>
      </w:r>
    </w:p>
    <w:p w14:paraId="15C8BA33"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нескольких дней нелётной погоды 3 июня состоялся полёт до высоты 8000 м с работающими турбокомпрессорами. Вновь падение давление бензина и высокие темпе</w:t>
      </w:r>
      <w:r w:rsidRPr="00070ADE">
        <w:rPr>
          <w:rFonts w:ascii="Times New Roman" w:hAnsi="Times New Roman"/>
          <w:color w:val="000000" w:themeColor="text1"/>
          <w:sz w:val="16"/>
          <w:szCs w:val="16"/>
        </w:rPr>
        <w:softHyphen/>
        <w:t>ратуры головок цилиндров мотора привели к прекращению полёта. На самолёте заме</w:t>
      </w:r>
      <w:r w:rsidRPr="00070ADE">
        <w:rPr>
          <w:rFonts w:ascii="Times New Roman" w:hAnsi="Times New Roman"/>
          <w:color w:val="000000" w:themeColor="text1"/>
          <w:sz w:val="16"/>
          <w:szCs w:val="16"/>
        </w:rPr>
        <w:softHyphen/>
        <w:t>нили центральный бензобак и эжекторную помпу, улучшили дефлектирование головок цилиндров и изменили боковые крышки капотов. Однако 8 июня контрольный полёт при</w:t>
      </w:r>
      <w:r w:rsidRPr="00070ADE">
        <w:rPr>
          <w:rFonts w:ascii="Times New Roman" w:hAnsi="Times New Roman"/>
          <w:color w:val="000000" w:themeColor="text1"/>
          <w:sz w:val="16"/>
          <w:szCs w:val="16"/>
        </w:rPr>
        <w:softHyphen/>
        <w:t>шлось прекратить из-за течи масла. Наконец, 11 июня 1944 г. в полёте на определение потолка на первой скорости нагнетателя с включенными турбокомпрессорами достигли высоты 11000 м. На высоте 3000 м включилась система впрыска воды, и температура го</w:t>
      </w:r>
      <w:r w:rsidRPr="00070ADE">
        <w:rPr>
          <w:rFonts w:ascii="Times New Roman" w:hAnsi="Times New Roman"/>
          <w:color w:val="000000" w:themeColor="text1"/>
          <w:sz w:val="16"/>
          <w:szCs w:val="16"/>
        </w:rPr>
        <w:softHyphen/>
        <w:t>ловок цилиндров на протяжении полёта сохранялась нормальной, на высоте 7000 м сработала система нейтрального газа, обеспечившая поддержание нормального давления бензина. Однако течь масла в соединениях мотора и высокая температура масла на вы</w:t>
      </w:r>
      <w:r w:rsidRPr="00070ADE">
        <w:rPr>
          <w:rFonts w:ascii="Times New Roman" w:hAnsi="Times New Roman"/>
          <w:color w:val="000000" w:themeColor="text1"/>
          <w:sz w:val="16"/>
          <w:szCs w:val="16"/>
        </w:rPr>
        <w:softHyphen/>
        <w:t>ходе — 90°С, привели к прекращению полёта. Для снижения температуры масла на са</w:t>
      </w:r>
      <w:r w:rsidRPr="00070ADE">
        <w:rPr>
          <w:rFonts w:ascii="Times New Roman" w:hAnsi="Times New Roman"/>
          <w:color w:val="000000" w:themeColor="text1"/>
          <w:sz w:val="16"/>
          <w:szCs w:val="16"/>
        </w:rPr>
        <w:softHyphen/>
        <w:t>молёте установили радиатор с трубкой диаметром 4 мм, вместо прежнего радиатора с трубкой 5 мм, а также приспособление для защиты радиатора от попадания масла из за- моторного пространства. 13 июня 1944 г. произвели два полёта: первый до высоты 9500 м, второй — до 4500 м, и оба пришлось прекратить из-за выброса масла из мотора. Как по</w:t>
      </w:r>
      <w:r w:rsidRPr="00070ADE">
        <w:rPr>
          <w:rFonts w:ascii="Times New Roman" w:hAnsi="Times New Roman"/>
          <w:color w:val="000000" w:themeColor="text1"/>
          <w:sz w:val="16"/>
          <w:szCs w:val="16"/>
        </w:rPr>
        <w:softHyphen/>
        <w:t>казали произведенные при участии представителя завода N9 19 испытания и осмотр, течь происходила из кольцевого уплотнения нагнетателя. Сделали однозначный вывод, что для проведения высотных полётов требуются моторы специальной сборки.</w:t>
      </w:r>
    </w:p>
    <w:p w14:paraId="509BFDDC"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как такие моторы завод № 19 мог изготовить лишь к 1 июля, ему дали указание отгрузить заводу № 21 два мотора обычной сборки, но с улучшенным дефлектирова- нием. К 25 июня, после установки на месте пушки дополнительного маслобака, само</w:t>
      </w:r>
      <w:r w:rsidRPr="00070ADE">
        <w:rPr>
          <w:rFonts w:ascii="Times New Roman" w:hAnsi="Times New Roman"/>
          <w:color w:val="000000" w:themeColor="text1"/>
          <w:sz w:val="16"/>
          <w:szCs w:val="16"/>
        </w:rPr>
        <w:softHyphen/>
        <w:t>лёт снова подготовили к продолжению испытаний. Во время состоявшихся 3-4 июля полётов до высоты 7800 м температура масла на входе поднялась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 помпу — агрегат № 180, и произвели отсос масла из суфлёрного бачка. Однако в кон</w:t>
      </w:r>
      <w:r w:rsidRPr="00070ADE">
        <w:rPr>
          <w:rFonts w:ascii="Times New Roman" w:hAnsi="Times New Roman"/>
          <w:color w:val="000000" w:themeColor="text1"/>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0B66B7C4"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070ADE">
        <w:rPr>
          <w:rFonts w:ascii="Times New Roman" w:hAnsi="Times New Roman"/>
          <w:color w:val="000000" w:themeColor="text1"/>
          <w:sz w:val="16"/>
          <w:szCs w:val="16"/>
        </w:rPr>
        <w:softHyphen/>
        <w:t>поладок регулятора смеси. На следующий день для скорейшей отработки винтомотор</w:t>
      </w:r>
      <w:r w:rsidRPr="00070ADE">
        <w:rPr>
          <w:rFonts w:ascii="Times New Roman" w:hAnsi="Times New Roman"/>
          <w:color w:val="000000" w:themeColor="text1"/>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070ADE">
        <w:rPr>
          <w:rFonts w:ascii="Times New Roman" w:hAnsi="Times New Roman"/>
          <w:color w:val="000000" w:themeColor="text1"/>
          <w:sz w:val="16"/>
          <w:szCs w:val="16"/>
        </w:rPr>
        <w:softHyphen/>
        <w:t>них режимах его трясло. В ЛИИ лётные испытания продолжили. 21 сентября в конт</w:t>
      </w:r>
      <w:r w:rsidRPr="00070ADE">
        <w:rPr>
          <w:rFonts w:ascii="Times New Roman" w:hAnsi="Times New Roman"/>
          <w:color w:val="000000" w:themeColor="text1"/>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070ADE">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070ADE">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7EA4A1AE"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070ADE">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070ADE">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070ADE">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070ADE">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070ADE">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070ADE">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070ADE">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070ADE">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070ADE">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070ADE">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070ADE">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070ADE">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0CDB9B5B" w14:textId="77777777"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070ADE">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070ADE">
        <w:rPr>
          <w:rFonts w:ascii="Times New Roman" w:hAnsi="Times New Roman"/>
          <w:color w:val="000000" w:themeColor="text1"/>
          <w:sz w:val="16"/>
          <w:szCs w:val="16"/>
        </w:rPr>
        <w:softHyphen/>
        <w:t>жар, и на высоте 9000 м покинул самолёт (15830).</w:t>
      </w:r>
    </w:p>
    <w:p w14:paraId="5FE3B15F" w14:textId="77777777" w:rsidR="006E5527" w:rsidRPr="00070ADE" w:rsidRDefault="006E5527" w:rsidP="00B56F90">
      <w:pPr>
        <w:spacing w:after="0" w:line="240" w:lineRule="auto"/>
        <w:jc w:val="both"/>
        <w:rPr>
          <w:rFonts w:ascii="Times New Roman" w:hAnsi="Times New Roman"/>
          <w:color w:val="000000" w:themeColor="text1"/>
          <w:sz w:val="16"/>
          <w:szCs w:val="16"/>
        </w:rPr>
      </w:pPr>
    </w:p>
    <w:p w14:paraId="3D1876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мая 1944 завод № 381 полностью перешел на выпуск Ла-7, тогда как в Горьком переход с Ла-5ФН на Ла-7 затянулся с июня до ноября 1944 года. Вооружение на серийных Ла-7 было оставлено пока прежним, так как пушки Б-20 еще нуждались в доводке (10714).</w:t>
      </w:r>
    </w:p>
    <w:p w14:paraId="6E7405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B63C27" w14:textId="77777777" w:rsidR="004A376D" w:rsidRPr="00C94B78" w:rsidRDefault="004A376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мае 1944 г. первые 57 серийных истребителей Ла-7 покинули сборочную линию завода № 21 в Горьком, в июне было изготовлено еще 107 самолетов, а всего до конце года завод собрал 1782 истребителя Ла-7, 1044 из которых были переданы подразделениям ВВС Красной Армии. Серийный выпуск Ла-7 освоили также заводы № 381 в Москве и № 99 в Улан-Удэ. Самолеты, выпущенные разными заводами, имели ряд отличий, кроме того, машины отличались от серии к серии. Обычно одна серия не превышала ста истребителей (25058).</w:t>
      </w:r>
    </w:p>
    <w:p w14:paraId="682E5432" w14:textId="77777777" w:rsidR="004A376D" w:rsidRPr="00C94B78" w:rsidRDefault="004A376D" w:rsidP="00B56F90">
      <w:pPr>
        <w:spacing w:after="0" w:line="240" w:lineRule="auto"/>
        <w:jc w:val="both"/>
        <w:rPr>
          <w:rFonts w:ascii="Times New Roman" w:hAnsi="Times New Roman"/>
          <w:color w:val="0070C0"/>
          <w:sz w:val="16"/>
          <w:szCs w:val="16"/>
        </w:rPr>
      </w:pPr>
    </w:p>
    <w:p w14:paraId="0D664A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закончились летные испытания скоростного нагнетателя "Э-67" на Ла-5 с М-82ФН N 1618 21 завода, которые начались в апреле (744,3).</w:t>
      </w:r>
    </w:p>
    <w:p w14:paraId="284AF0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184DFC" w14:textId="77777777" w:rsidR="00B73150" w:rsidRPr="00C94B78" w:rsidRDefault="00B7315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мае 1944 г. вышло постановление правительства о про</w:t>
      </w:r>
      <w:r w:rsidRPr="00C94B78">
        <w:rPr>
          <w:rFonts w:ascii="Times New Roman" w:hAnsi="Times New Roman"/>
          <w:color w:val="0070C0"/>
          <w:sz w:val="16"/>
          <w:szCs w:val="16"/>
        </w:rPr>
        <w:softHyphen/>
        <w:t>ектировании реактивного истребителя под ТРД A.M. Люльки в ОКБ С. А. Лавочкина. Сроком предъявления самолета на летные испытания назначили март 1946 г. [57]. В конце февра</w:t>
      </w:r>
      <w:r w:rsidRPr="00C94B78">
        <w:rPr>
          <w:rFonts w:ascii="Times New Roman" w:hAnsi="Times New Roman"/>
          <w:color w:val="0070C0"/>
          <w:sz w:val="16"/>
          <w:szCs w:val="16"/>
        </w:rPr>
        <w:softHyphen/>
        <w:t>ля 1944 г. в очередной сводке военпреда при ОКБ завода jjo 21 инженер-капитана В.Р. Ефремова сообщалось, что в ОКБ осуществляется разработка проекта истребителя Ла-ВРД с ТРД Люльки со статической тягой 1250 кгс [56].</w:t>
      </w:r>
    </w:p>
    <w:p w14:paraId="2074AC44" w14:textId="77777777" w:rsidR="00B73150" w:rsidRPr="00C94B78" w:rsidRDefault="00B7315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Машина создавалась в московском филиале ОКБ под ру</w:t>
      </w:r>
      <w:r w:rsidRPr="00C94B78">
        <w:rPr>
          <w:rFonts w:ascii="Times New Roman" w:hAnsi="Times New Roman"/>
          <w:color w:val="0070C0"/>
          <w:sz w:val="16"/>
          <w:szCs w:val="16"/>
        </w:rPr>
        <w:softHyphen/>
        <w:t>ководством С.А. Алексеева, установившим с двигателистами тесные контакты. Несмотря на огромные трудности, к концу 1944 г. КБ A.M. Люльки удалось собрать стендовый образец ТРД. На заводе № 21 разработали предварительный проект экспериментального реактивного истребителя, который в до</w:t>
      </w:r>
      <w:r w:rsidRPr="00C94B78">
        <w:rPr>
          <w:rFonts w:ascii="Times New Roman" w:hAnsi="Times New Roman"/>
          <w:color w:val="0070C0"/>
          <w:sz w:val="16"/>
          <w:szCs w:val="16"/>
        </w:rPr>
        <w:softHyphen/>
        <w:t>кументах ОКБ обозначался как Ла-ВРД. По компоновочной схеме самолет представлял собой двухбалочный двухкилевой моноплан с высокорасположенным крылом, боковыми возду</w:t>
      </w:r>
      <w:r w:rsidRPr="00C94B78">
        <w:rPr>
          <w:rFonts w:ascii="Times New Roman" w:hAnsi="Times New Roman"/>
          <w:color w:val="0070C0"/>
          <w:sz w:val="16"/>
          <w:szCs w:val="16"/>
        </w:rPr>
        <w:softHyphen/>
        <w:t>хозаборниками, трехколесным шасси (переднее колесо убира</w:t>
      </w:r>
      <w:r w:rsidRPr="00C94B78">
        <w:rPr>
          <w:rFonts w:ascii="Times New Roman" w:hAnsi="Times New Roman"/>
          <w:color w:val="0070C0"/>
          <w:sz w:val="16"/>
          <w:szCs w:val="16"/>
        </w:rPr>
        <w:softHyphen/>
        <w:t>лось назад за бронеспинку летчика, а основные стойки скла</w:t>
      </w:r>
      <w:r w:rsidRPr="00C94B78">
        <w:rPr>
          <w:rFonts w:ascii="Times New Roman" w:hAnsi="Times New Roman"/>
          <w:color w:val="0070C0"/>
          <w:sz w:val="16"/>
          <w:szCs w:val="16"/>
        </w:rPr>
        <w:softHyphen/>
        <w:t>дывались назад в сочленении балок с крылом) и являлся не</w:t>
      </w:r>
      <w:r w:rsidRPr="00C94B78">
        <w:rPr>
          <w:rFonts w:ascii="Times New Roman" w:hAnsi="Times New Roman"/>
          <w:color w:val="0070C0"/>
          <w:sz w:val="16"/>
          <w:szCs w:val="16"/>
        </w:rPr>
        <w:softHyphen/>
        <w:t>посредственным развитием известной схемы двухбалочных истребителей с толкающим воздушным винтом. Для обеспече</w:t>
      </w:r>
      <w:r w:rsidRPr="00C94B78">
        <w:rPr>
          <w:rFonts w:ascii="Times New Roman" w:hAnsi="Times New Roman"/>
          <w:color w:val="0070C0"/>
          <w:sz w:val="16"/>
          <w:szCs w:val="16"/>
        </w:rPr>
        <w:softHyphen/>
        <w:t>ния хорошего подвода воздуха к ТРД, расположенному за ка</w:t>
      </w:r>
      <w:r w:rsidRPr="00C94B78">
        <w:rPr>
          <w:rFonts w:ascii="Times New Roman" w:hAnsi="Times New Roman"/>
          <w:color w:val="0070C0"/>
          <w:sz w:val="16"/>
          <w:szCs w:val="16"/>
        </w:rPr>
        <w:softHyphen/>
        <w:t>биной пилота, последнюю пришлось сильно ужать, а воору</w:t>
      </w:r>
      <w:r w:rsidRPr="00C94B78">
        <w:rPr>
          <w:rFonts w:ascii="Times New Roman" w:hAnsi="Times New Roman"/>
          <w:color w:val="0070C0"/>
          <w:sz w:val="16"/>
          <w:szCs w:val="16"/>
        </w:rPr>
        <w:softHyphen/>
        <w:t>жение, обычно располагаемое на самолетах такой схемы в но</w:t>
      </w:r>
      <w:r w:rsidRPr="00C94B78">
        <w:rPr>
          <w:rFonts w:ascii="Times New Roman" w:hAnsi="Times New Roman"/>
          <w:color w:val="0070C0"/>
          <w:sz w:val="16"/>
          <w:szCs w:val="16"/>
        </w:rPr>
        <w:softHyphen/>
        <w:t>совой части фюзеляжа, перенести в балки крыла. Самолет вооружили двумя пушками калибра 23 мм с общим боезапа</w:t>
      </w:r>
      <w:r w:rsidRPr="00C94B78">
        <w:rPr>
          <w:rFonts w:ascii="Times New Roman" w:hAnsi="Times New Roman"/>
          <w:color w:val="0070C0"/>
          <w:sz w:val="16"/>
          <w:szCs w:val="16"/>
        </w:rPr>
        <w:softHyphen/>
        <w:t>сом 120 патронов [57].</w:t>
      </w:r>
    </w:p>
    <w:p w14:paraId="37017FE0" w14:textId="77777777" w:rsidR="00B73150" w:rsidRPr="00C94B78" w:rsidRDefault="00B7315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Предполагалось, что Ла-ВРД будет иметь максимальную скорость у земли 890 км/ч, время набора высоты 5000 м — 2,5 мин, практический потолок 15 000 м. Эти данные были весьма приблизительны, поскольку реальные тяговые харак</w:t>
      </w:r>
      <w:r w:rsidRPr="00C94B78">
        <w:rPr>
          <w:rFonts w:ascii="Times New Roman" w:hAnsi="Times New Roman"/>
          <w:color w:val="0070C0"/>
          <w:sz w:val="16"/>
          <w:szCs w:val="16"/>
        </w:rPr>
        <w:softHyphen/>
        <w:t>теристики двигателя не были точно известны. Тем не менее конструкторы, впервые взявшись за проектирование реактив</w:t>
      </w:r>
      <w:r w:rsidRPr="00C94B78">
        <w:rPr>
          <w:rFonts w:ascii="Times New Roman" w:hAnsi="Times New Roman"/>
          <w:color w:val="0070C0"/>
          <w:sz w:val="16"/>
          <w:szCs w:val="16"/>
        </w:rPr>
        <w:softHyphen/>
        <w:t>ного истребителя, ввели в его схему основные элементы, впос</w:t>
      </w:r>
      <w:r w:rsidRPr="00C94B78">
        <w:rPr>
          <w:rFonts w:ascii="Times New Roman" w:hAnsi="Times New Roman"/>
          <w:color w:val="0070C0"/>
          <w:sz w:val="16"/>
          <w:szCs w:val="16"/>
        </w:rPr>
        <w:softHyphen/>
        <w:t>ледствии рекомендованные ЦАГИ для широкого применения: высокорасположенное крыло, трехколесное шасси с носовым колесом, размещение кабины летчика в носовой части само</w:t>
      </w:r>
      <w:r w:rsidRPr="00C94B78">
        <w:rPr>
          <w:rFonts w:ascii="Times New Roman" w:hAnsi="Times New Roman"/>
          <w:color w:val="0070C0"/>
          <w:sz w:val="16"/>
          <w:szCs w:val="16"/>
        </w:rPr>
        <w:softHyphen/>
        <w:t>лета [57] (24920).</w:t>
      </w:r>
    </w:p>
    <w:p w14:paraId="4F937FAD" w14:textId="77777777" w:rsidR="00B73150" w:rsidRPr="00C94B78" w:rsidRDefault="00B73150" w:rsidP="00B56F90">
      <w:pPr>
        <w:spacing w:after="0" w:line="240" w:lineRule="auto"/>
        <w:jc w:val="both"/>
        <w:rPr>
          <w:rFonts w:ascii="Times New Roman" w:hAnsi="Times New Roman"/>
          <w:color w:val="0070C0"/>
          <w:sz w:val="16"/>
          <w:szCs w:val="16"/>
        </w:rPr>
      </w:pPr>
    </w:p>
    <w:p w14:paraId="5E0536F9" w14:textId="77777777" w:rsidR="00AA1E7E" w:rsidRPr="00070ADE" w:rsidRDefault="00AA1E7E"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мае 1944 г. вышло постановление правительства о про ектировании реактивного истребителя под ТРД A.M. Люльки в ОКБ С.А. Лавочкина. Сроком предъявления самолета на лет ные испытания назначили март 1946 г.. В конце февра ля 1944 г. в очередной сводке военпреда при ОКБ завода № 21 инженер-капитана В.Р. Ефремова сообщалось, что в ОКБ осуществляется разработка проекта истребителя Ла-ВРД с ТРД Люльки со статической тягой 1250 кгс. В.Р. Ефремов отмечал только, что не решен вопрос о приемис тости двигателя A.M. Люльки. Тем не менее было принято решение о постройке этого самолета с передачей первого эк земпляра на летные испытания к 1 марта 1946 г. К 1 ноября 1944 г. был закончен эскизный проект, но по независящим от его создателей причинам Ла-ВРД тоже не пошел в производ ство. В результате начало серьезного развертывания работ по созданию турбореактивных самолетов в России было задержа но на полтора-два года. Машина создавалась в московском филиале ОКБ под ру ководством С.А. Алексеева, установившим с двигателистами тесные контакты (19586).</w:t>
      </w:r>
    </w:p>
    <w:p w14:paraId="091ADF61" w14:textId="77777777" w:rsidR="00AA1E7E" w:rsidRPr="00070ADE" w:rsidRDefault="00AA1E7E" w:rsidP="00B56F90">
      <w:pPr>
        <w:pStyle w:val="ae"/>
        <w:shd w:val="clear" w:color="auto" w:fill="FFFFFF"/>
        <w:spacing w:before="0" w:after="0"/>
        <w:jc w:val="both"/>
        <w:rPr>
          <w:color w:val="000000" w:themeColor="text1"/>
          <w:sz w:val="16"/>
          <w:szCs w:val="16"/>
        </w:rPr>
      </w:pPr>
    </w:p>
    <w:p w14:paraId="66F835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по постановлению ГКО в ОКБ А.С.Я., А.И.М. и П.О.С. была начата разработка истребителей с реактивными ускорителями (262,83).</w:t>
      </w:r>
    </w:p>
    <w:p w14:paraId="5B2752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FCFCB" w14:textId="77777777" w:rsidR="00B73150" w:rsidRPr="00C94B78" w:rsidRDefault="00B7315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мае 1944 г. НКАП дал указание одному из заводов изготовить партию из пяти эк</w:t>
      </w:r>
      <w:r w:rsidRPr="00C94B78">
        <w:rPr>
          <w:rFonts w:ascii="Times New Roman" w:hAnsi="Times New Roman"/>
          <w:color w:val="0070C0"/>
          <w:sz w:val="16"/>
          <w:szCs w:val="16"/>
        </w:rPr>
        <w:softHyphen/>
        <w:t>земпляров ТРД С-18 Люльки [55. С. 67, 70] (24920).</w:t>
      </w:r>
    </w:p>
    <w:p w14:paraId="3B537D3B" w14:textId="77777777" w:rsidR="00B73150" w:rsidRPr="00C94B78" w:rsidRDefault="00B73150" w:rsidP="00B56F90">
      <w:pPr>
        <w:spacing w:after="0" w:line="240" w:lineRule="auto"/>
        <w:jc w:val="both"/>
        <w:rPr>
          <w:rFonts w:ascii="Times New Roman" w:hAnsi="Times New Roman"/>
          <w:color w:val="0070C0"/>
          <w:sz w:val="16"/>
          <w:szCs w:val="16"/>
        </w:rPr>
      </w:pPr>
    </w:p>
    <w:p w14:paraId="0CF81C26" w14:textId="77777777" w:rsidR="00B73150" w:rsidRPr="00C94B78" w:rsidRDefault="00B7315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мае 1944 г. было выдано задание на малую серию в 5 воздушно-реактивных двигателей С-18, разработка которого проходила в НИИ-1 МАП, куда вместе с А.М. Люлька и ранее работавшими с ними сотрудниками ЦИАМ. Первый двигатель С-18 был собран в конце 1944 г. и передан на испытания в НИИ-1, где после доводки демонстрировался в работе в начале 1945 г. В марте 1945 г. двигатель С</w:t>
      </w:r>
      <w:r w:rsidRPr="00C94B78">
        <w:rPr>
          <w:rFonts w:ascii="Times New Roman" w:hAnsi="Times New Roman"/>
          <w:color w:val="0070C0"/>
          <w:sz w:val="16"/>
          <w:szCs w:val="16"/>
        </w:rPr>
        <w:softHyphen/>
        <w:t>18 успешно прошел испытания, после чего было принято решение о создании летного варианта ТРД. Двигатель С-18, его проектирование, производство, испытания и доводка привели к организации первого в СССР опытно-конструкторского коллектива под руководством А.М. Люлька по созданию отечественных ТРД с самостоятельным опытным производством.</w:t>
      </w:r>
    </w:p>
    <w:p w14:paraId="255C9DDF" w14:textId="77777777" w:rsidR="00B73150" w:rsidRPr="00C94B78" w:rsidRDefault="00B7315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Двигатель С-18 [47] имел следующие проектные и конструктивные данные:</w:t>
      </w:r>
    </w:p>
    <w:p w14:paraId="6D213319" w14:textId="77777777" w:rsidR="00B73150" w:rsidRPr="00C94B78" w:rsidRDefault="00B7315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тягу 1250 кг;</w:t>
      </w:r>
    </w:p>
    <w:p w14:paraId="2DB2440A" w14:textId="77777777" w:rsidR="00B73150" w:rsidRPr="00C94B78" w:rsidRDefault="00B7315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степень повышения давления 3,16 в шестиступенчатом осевом компрессоре;</w:t>
      </w:r>
    </w:p>
    <w:p w14:paraId="2AE8F426" w14:textId="77777777" w:rsidR="00B73150" w:rsidRPr="00C94B78" w:rsidRDefault="00B7315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среднюю температуру газа на выходе из кольцевой камеры сгорания 777°С;</w:t>
      </w:r>
    </w:p>
    <w:p w14:paraId="45EB1857" w14:textId="77777777" w:rsidR="00B73150" w:rsidRPr="00C94B78" w:rsidRDefault="00B7315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одноступенчатую газовую турбину и реактивное сопло.</w:t>
      </w:r>
    </w:p>
    <w:p w14:paraId="6711A6D5" w14:textId="77777777" w:rsidR="00B73150" w:rsidRPr="00C94B78" w:rsidRDefault="00B7315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Расчетный удельный расход топлива составил 1,4 кг топлива на кг тяги в час.</w:t>
      </w:r>
    </w:p>
    <w:p w14:paraId="2B3A226E" w14:textId="77777777" w:rsidR="00B73150" w:rsidRPr="00C94B78" w:rsidRDefault="00B7315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Топливо - керосин.</w:t>
      </w:r>
    </w:p>
    <w:p w14:paraId="7047A2C3" w14:textId="77777777" w:rsidR="00B73150" w:rsidRPr="00C94B78" w:rsidRDefault="00B7315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Запуск - сжатым воздухом от баллона (25039).</w:t>
      </w:r>
    </w:p>
    <w:p w14:paraId="073BF3A7" w14:textId="77777777" w:rsidR="00B73150" w:rsidRPr="00C94B78" w:rsidRDefault="00B73150" w:rsidP="00B56F90">
      <w:pPr>
        <w:spacing w:after="0" w:line="240" w:lineRule="auto"/>
        <w:jc w:val="both"/>
        <w:rPr>
          <w:rFonts w:ascii="Times New Roman" w:hAnsi="Times New Roman"/>
          <w:color w:val="0070C0"/>
          <w:sz w:val="16"/>
          <w:szCs w:val="16"/>
        </w:rPr>
      </w:pPr>
    </w:p>
    <w:p w14:paraId="0EA303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в НИИ ВВС закончились испытания Р-47D, которые начались в апреле. Всего мы получили около 200 Тандерболтов (173,264).</w:t>
      </w:r>
    </w:p>
    <w:p w14:paraId="1ECB86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EFB2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в ЦАГИ делали продувки в натурной трубе Т-101 шестого экземпляра Би (Би-6), на котором на концах крыла установили прямоточки ПВРД. Дальше дело не пошло (1107,80).</w:t>
      </w:r>
    </w:p>
    <w:p w14:paraId="06A187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CE1B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был выполнен первый полет на МДР-6 Б-4 с 2хВК107 (667,330).</w:t>
      </w:r>
    </w:p>
    <w:p w14:paraId="671361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E52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прошли испытания первого серийного Г-11 95-й серии N 63001, производство которых было возобновлено на 168 заводе в Рязани, куда был возвращен один из заводов из Тюмени, строивший К-7. Летал В.Чубуков (94,69).</w:t>
      </w:r>
    </w:p>
    <w:p w14:paraId="07FE89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E73D26" w14:textId="77777777"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головной образец Г-11 рязанского завода облетал старший лейтенант В. Чубуков с Опытно-испытательного полигона Воздушно-десантных войск. Взвешивание показало, что Г-11 № 63001 рязанского изготовления на 64 кг тяжелее сделанного в Шумерли. По своей центровке, лётным данным и характеристикам пилотирования они не различались. Планёр показал себя устойчивым в полёте, отличался хорошей управляемостью. На нём даже выполняли штопор, переворот и бочку. При этом пилотирование Г-11 было проще, чем А-7. Начиная с 21-го экземпляра рязанской сборки ввели грузовой люк вместо двери на правом борту. Он закрывался двумя створками. На крыле появились интерцепторы. Позже предусмотрели резиновые пластинчатые амортизаторы для посадочной лыжи и установили небольшой форкиль. В ходе серийного производства в конструкцию Г-11 вносились изменения. Когда стало ясно, что сбрасывать парашютистов из планера не имеет смысла, то упразднили дверь на правом борту (с экземпляра № 21), оставив её только слева. Обобщив опыт применения Г-11, на рязанских планерах стали устанавливать широкую (1400 мм) грузовую дверь (19014).</w:t>
      </w:r>
    </w:p>
    <w:p w14:paraId="2421A848" w14:textId="77777777" w:rsidR="00822884" w:rsidRPr="00070ADE" w:rsidRDefault="00822884" w:rsidP="00B56F90">
      <w:pPr>
        <w:spacing w:after="0" w:line="240" w:lineRule="auto"/>
        <w:jc w:val="both"/>
        <w:rPr>
          <w:rFonts w:ascii="Times New Roman" w:hAnsi="Times New Roman"/>
          <w:color w:val="000000" w:themeColor="text1"/>
          <w:sz w:val="16"/>
          <w:szCs w:val="16"/>
        </w:rPr>
      </w:pPr>
    </w:p>
    <w:p w14:paraId="3A41A4F4"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головной образец Г-11, собранный в Рязани, облетал старший лейтенант В. Чу</w:t>
      </w:r>
      <w:r w:rsidRPr="00070ADE">
        <w:rPr>
          <w:rFonts w:ascii="Times New Roman" w:hAnsi="Times New Roman"/>
          <w:color w:val="000000" w:themeColor="text1"/>
          <w:sz w:val="16"/>
          <w:szCs w:val="16"/>
        </w:rPr>
        <w:softHyphen/>
        <w:t>буков с Опытно-испытательного полигона Воздушно- десантных войск. Взвешивание показало, что Г-11 № 63001 рязанского изготовления на 64 кг тяжелее сделанного в Шумерли. По своей центровке, лет</w:t>
      </w:r>
      <w:r w:rsidRPr="00070ADE">
        <w:rPr>
          <w:rFonts w:ascii="Times New Roman" w:hAnsi="Times New Roman"/>
          <w:color w:val="000000" w:themeColor="text1"/>
          <w:sz w:val="16"/>
          <w:szCs w:val="16"/>
        </w:rPr>
        <w:softHyphen/>
        <w:t>ным данным и характеристикам пилотирования они не различались. Планер показал себя устойчивым в полете, отличался хорошей управляемостью. На нем даже выполняли штопор, переворот и бочку. При этом пилотирование Г-11 было проще, чем А-7.</w:t>
      </w:r>
    </w:p>
    <w:p w14:paraId="0361F378"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Начиная с 21-го экземпляра рязанской сборки ввели грузовой люк вместо двери на правом борту. Он закрывался двумя створками. На крыле появились интерцепторы. Позже предусмотрели резиновые пластинчатые амортизаторы для посадочной лыжи и установили небольшой форкиль.</w:t>
      </w:r>
    </w:p>
    <w:p w14:paraId="5FC5F95D"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серийного производства в конструкцию Г-11 вносились изменения. Когда стало ясно, что сбрасывать парашютистов из планера не имеет смысла, то упразднили дверь на правом борту (с эк</w:t>
      </w:r>
      <w:r w:rsidRPr="00070ADE">
        <w:rPr>
          <w:rFonts w:ascii="Times New Roman" w:hAnsi="Times New Roman"/>
          <w:color w:val="000000" w:themeColor="text1"/>
          <w:sz w:val="16"/>
          <w:szCs w:val="16"/>
        </w:rPr>
        <w:softHyphen/>
        <w:t>земпляра № 21), оставив ее только слева. Обобщив опыт применения Г-11, на рязанских планерах стали устанавливать широкую (1400 мм) грузовую дверь (12300).</w:t>
      </w:r>
    </w:p>
    <w:p w14:paraId="48FC5C85" w14:textId="77777777" w:rsidR="00552857" w:rsidRPr="00070ADE" w:rsidRDefault="00552857" w:rsidP="00B56F90">
      <w:pPr>
        <w:spacing w:after="0" w:line="240" w:lineRule="auto"/>
        <w:jc w:val="both"/>
        <w:rPr>
          <w:rFonts w:ascii="Times New Roman" w:hAnsi="Times New Roman"/>
          <w:color w:val="000000" w:themeColor="text1"/>
          <w:sz w:val="16"/>
          <w:szCs w:val="16"/>
        </w:rPr>
      </w:pPr>
    </w:p>
    <w:p w14:paraId="14763E3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турбокомпрессор АМТК-1 удовлетворительно про</w:t>
      </w:r>
      <w:r w:rsidRPr="00070ADE">
        <w:rPr>
          <w:rFonts w:ascii="Times New Roman" w:hAnsi="Times New Roman"/>
          <w:color w:val="000000" w:themeColor="text1"/>
          <w:sz w:val="16"/>
          <w:szCs w:val="16"/>
        </w:rPr>
        <w:softHyphen/>
        <w:t>шел 100-часовые испытания на стенде, которые были засчитаны ВВС и НКАП в качестве совместных (10781).</w:t>
      </w:r>
    </w:p>
    <w:p w14:paraId="173CE2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5D875A2" w14:textId="1B7F5591"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заводу (ГС Завод № 45 НКАП, МАП, ММЗ, МНПО «Салют», п/я 229, Г-4988, ГУП ФНПЦ, ФГУП «Московское машиностроительное производственное предприятие (ММПП) «Салют» /г. Москва Мейеровский пр., 14 (1942 г.)/ /105118</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Москва пр. Будённого, 16 тел. 369-80-01/) поручено изготовление части узлов для 5 опытных ТРД С-18 A.M. Люльки, с 1945 г. начато освоение производства его летного варианта ТР-1. В послевоенные годы продолжались работы по моторам Микулина (в т.ч. по АМ-46).</w:t>
      </w:r>
    </w:p>
    <w:p w14:paraId="2C257B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07.1946 г. завод определен как опытная база по постройке реактивных двигателей A.M. Люльки и А.А. Микулина и вскоре, по приказу № 479сс от 23.07.1946 г., при заводе образованы филиалы завода № 165 (руководитель- С.К. Туманский) и завода № 300 для организации производства ТР-1 и АМТКРД-01, АМТКРД-02.</w:t>
      </w:r>
    </w:p>
    <w:p w14:paraId="3501B6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1947 г. на заводе- производственная база ОКБ гл. конструктора В.Я. Климова.</w:t>
      </w:r>
    </w:p>
    <w:p w14:paraId="1DCEA3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11.1948 г. начат серийный выпуск двигателя ВК-1. С 06.1956 г. начато серийное производство АЛ-7Ф.</w:t>
      </w:r>
    </w:p>
    <w:p w14:paraId="1B6334D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1950-х на заводе № 45 было налажено производство порохового двигателя ПРД-45 для УРВВ РС-2- УС.</w:t>
      </w:r>
    </w:p>
    <w:p w14:paraId="47EF50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СМ СССР № 713-342 от 26.06.1957 г. передан в ведение СНХ РСФСР.</w:t>
      </w:r>
    </w:p>
    <w:p w14:paraId="42EB9A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1963 г. завод № 45 получил название ММЗ «Салют». Имел наименования «п/я 229», Г-4988 (1973-85 г.), с 1982(1) г.- ММПО «Салют». В состав ПО вошли также: Воскресенский машиностроительный завод «Салют», а затем- Хойницкий, Грибановский и Россошанский машиностроительные заводы. В 12.1991 г. ММПО переименовано в Московское машиностроительное производственное предприятие (ММПП) «Салют». В соответствии с распоряжением правительства № 952-р от 18.06.1999 г. предприятию присвоен статус Федерального научно-производственного центра (ФНПЦ), подтвержден распоряжениями № 188-р от 10.02.2004 г. и №154 от 7.02.2006 г.</w:t>
      </w:r>
    </w:p>
    <w:p w14:paraId="639293E9" w14:textId="16C01B8D"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ММПП «Салют» включает в себя предприятия: НПП «ЭГА», Гаврилов-Ямский машиностроительный завод «Агат», Московский станкостроительный завод «Салют», ГП «Статор», филиал 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Воскресенске по производству узлов двигателей.</w:t>
      </w:r>
      <w:r w:rsidRPr="00070ADE">
        <w:rPr>
          <w:rFonts w:ascii="Times New Roman" w:hAnsi="Times New Roman"/>
          <w:color w:val="000000" w:themeColor="text1"/>
          <w:sz w:val="16"/>
          <w:szCs w:val="16"/>
          <w:vertAlign w:val="superscript"/>
        </w:rPr>
        <w:t>31</w:t>
      </w:r>
      <w:r w:rsidRPr="00070ADE">
        <w:rPr>
          <w:rFonts w:ascii="Times New Roman" w:hAnsi="Times New Roman"/>
          <w:color w:val="000000" w:themeColor="text1"/>
          <w:sz w:val="16"/>
          <w:szCs w:val="16"/>
        </w:rPr>
        <w:t xml:space="preserve"> В 2002 г. в состав холдинга «Салют» вошел кишиневский завод «Топаз». В 07.2003 г. в состав ММПП «Салют» вошел ФГУП «Воскресенский машиностроительный завод «Салют».</w:t>
      </w:r>
      <w:r w:rsidRPr="00070ADE">
        <w:rPr>
          <w:rFonts w:ascii="Times New Roman" w:hAnsi="Times New Roman"/>
          <w:color w:val="000000" w:themeColor="text1"/>
          <w:sz w:val="16"/>
          <w:szCs w:val="16"/>
          <w:vertAlign w:val="superscript"/>
        </w:rPr>
        <w:t>V22 07 03</w:t>
      </w:r>
      <w:r w:rsidRPr="00070ADE">
        <w:rPr>
          <w:rFonts w:ascii="Times New Roman" w:hAnsi="Times New Roman"/>
          <w:color w:val="000000" w:themeColor="text1"/>
          <w:sz w:val="16"/>
          <w:szCs w:val="16"/>
        </w:rPr>
        <w:t xml:space="preserve"> В 2003 г. построен цех по производству конструкционного графита АТГ-С, применяемого для уплотнительных колец ГТД. В 2005 г. в состав ММПП «Салют» входило также МКБ «Гранит», ОАО «Агрегат» ( г. Сим), НИИД (в качестве филиала), ОКБ «Горизонт».</w:t>
      </w:r>
    </w:p>
    <w:p w14:paraId="09413E1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1999 г. на заводе образовано КБ ПР (перспективных разработок), получившее статус филиала КБ «Прогресс». В него перешла группа специалистов из ОКБ «Люлька-Сатурн». Создана модификация двигателя АЛ-31ФН для китайского истребителя J-10.</w:t>
      </w:r>
    </w:p>
    <w:p w14:paraId="26F6E5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10.04.2003 г. на базе ММПП «Салют» и УМПО образована корпорация «Газотурбинные двигатели». По Указу Президента РФ № 1009 от 4.08.2004 г. вошло в число стратегических оборонных предприятий. В 07.2005 г. было подписано соглашение о вхождении в состав ММПП «Салют» в течение года ОМО им. Баранова в качестве филиала.</w:t>
      </w:r>
    </w:p>
    <w:p w14:paraId="68D4D2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2000 г. разработана парогазотурбинная установка ПГУ-60С (МЭС-60).</w:t>
      </w:r>
    </w:p>
    <w:p w14:paraId="478DA74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(2005 г.): модификация АЛ-31Ф-М1 (изд. 99М1) с цифровой системой управления, всеракурсным поворотным соплом (пнв в 12.2006 г.); наземная ГТЭС-20С для производства электроэнергии; разработка совместно с ЗМКБ «Прогресс» АИ-222-25 для Як-130. Работы по двигателю для вертолета мощностью 500... 1000 л.с. Установка по газификации твердых топлив, установка для озонирования воды, установка опреснительная «Каскад» (совместно со «СВЕРДНИИХИММАШ»), (2007 г.): модернизация АЛ-31Ф-М2, -МЗ (изд. 99М2, 99МЗ).</w:t>
      </w:r>
    </w:p>
    <w:p w14:paraId="205856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2003 г. в Москве создан завод по сжиганию мусора.</w:t>
      </w:r>
    </w:p>
    <w:p w14:paraId="77F91799" w14:textId="2C207D2D"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(середина 1990-х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г.)- 4000 чел., (начало 2000-х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г.)- 12.524 чел., (2005 г.)- 15.000 чел.</w:t>
      </w:r>
    </w:p>
    <w:p w14:paraId="2A0B2DA9" w14:textId="6AC6DF36"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(1942-47 г.-)- М.С. Комаров, (1950-е)- М.Л. Кононенко, (1960-е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И.И. Пудков, А.И. Горелов, (- 1983 г.-)- Ю.Н. Блощицын, Ю.В. Пугин, (1987-96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Г.К. Язов, (10.1996-97 г.) Ю.С. Елисеев. Гендиректор (12.1997-2007 г.-)- Ю.С. Елисеев.</w:t>
      </w:r>
    </w:p>
    <w:p w14:paraId="09E387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Гендиректора: по производству (2002 г.)- А.В. Жихарев; по науке (2000-06 г.-)- В.В. Крымов; по ВЭД (- 2002-05 г.-)- В.Н. Суралев, (07.2006 г.)- И.А. Мулишкин; по МТО и социально-бытовым вопросам (2002 г.)- М.А. Скворцов; по экономике (2002 г.)- В.И. Брылев; по кадрам (2002 г.)- А.В. Пантелеев; по качеству (2002 г.)- С.И. Грачев. Директор: по производству (2005 г.)- А. Г. Самаркин; по авиационным программам (2005 г.)- А.Ю. Потапов; по наземно-промышленным программам (2005 г.)- С. Кузнецов.</w:t>
      </w:r>
    </w:p>
    <w:p w14:paraId="78D53B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Технический директор (1994-96 г.)- Ю.С. Елисеев.</w:t>
      </w:r>
    </w:p>
    <w:p w14:paraId="274AB00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по дизелям (1945-46 г.)- В.М. Яковлев; (-1943-46 г.-)- А.А. Микулин (одновременно- гл. конструктор завода № 300). Ген. конструктор (-2002-05 г.-)- И.И. Гольдинский.</w:t>
      </w:r>
    </w:p>
    <w:p w14:paraId="774F5E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конструктора (1944 г.)- С.М. Грибов.</w:t>
      </w:r>
    </w:p>
    <w:p w14:paraId="3AE90E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(1942-44 г.-)- М.Л. Кононенко, (1946 г.)- А.А. Куинджи, (1950-е)- Н.С. Столяров, (1970-е)- М.М. Томашевский, (1976-78 г.)- В.М. Толоконников, (1981-2000 г.)- В.В. Крымов, (-2002-05 г.-&gt; В.А. Поклад.</w:t>
      </w:r>
    </w:p>
    <w:p w14:paraId="19D268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инженера: по новой технике (1976 г.-)- В.В. Крымов; по механизации и автоматизации (1988 г.-)- Ю.С. Елисеев, (2004 г.)- А.Н. Шутов.</w:t>
      </w:r>
    </w:p>
    <w:p w14:paraId="380F76D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технолог (1944 г.)- В.В. Чернышов.</w:t>
      </w:r>
    </w:p>
    <w:p w14:paraId="444E88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цехов: (1981 г.-)- Ю.С. Елисеев.</w:t>
      </w:r>
    </w:p>
    <w:p w14:paraId="13C7DBD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авиационные двигатели: поршневые: АМ-38 (1942-43) и АМ-38Ф (1943-45)- всего более 10.000; дизель АЧ-30Б (1944-45)- 145 (в 1944), АМ-39 (1944-45); ГТД: РД-45 (1948-50), РД-45Ф, ТР-1 (1947-), ВК- 1 (1948-52), ВК-1А (1952-60), ВК-1Ф (1953-), АЛ-7 (1956-), АЛ-7Ф (1958-), АЛ-7ПБ (1959-), АЛ-7Ф-1 (1957-68), АЛ-7Ф-2 (1961-1990-е), АЛ-7Ф-3, Р-15Б-300 (1965-1990-), АЛ-21Ф (1972-84), АЛ-31Ф (изд. 99) (1983-2006-), АЛ- 31ФП, АЛ-55, Д-436 (2002), Д-27 (2002), ТВД-1500, РД-600; гл. редукторы вертолетов; турбостартер ТС-21; узлы для Д-436Т, Д-27, АИ-222 (2006); ремонт двигателей АЛ-31Ф, Р15Б-300 (-2004-06-); промышленные энергетические и газоперекачивающие установки ГТУ89-СТ-20, ГТУ-20С (2002), БГТЭС-1С, БГТЭС-20С, ПГУ- 60 (-2005-06-);</w:t>
      </w:r>
      <w:r w:rsidRPr="00070ADE">
        <w:rPr>
          <w:rFonts w:ascii="Times New Roman" w:hAnsi="Times New Roman"/>
          <w:color w:val="000000" w:themeColor="text1"/>
          <w:sz w:val="16"/>
          <w:szCs w:val="16"/>
          <w:vertAlign w:val="superscript"/>
        </w:rPr>
        <w:t>69</w:t>
      </w:r>
      <w:r w:rsidRPr="00070ADE">
        <w:rPr>
          <w:rFonts w:ascii="Times New Roman" w:hAnsi="Times New Roman"/>
          <w:color w:val="000000" w:themeColor="text1"/>
          <w:sz w:val="16"/>
          <w:szCs w:val="16"/>
        </w:rPr>
        <w:t xml:space="preserve"> мотоблоки «Салют», весы напольные, байдарка «Таймень-2», бензогенератор «Салют-БГ» (11092).</w:t>
      </w:r>
    </w:p>
    <w:p w14:paraId="75494F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878C2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большую часть конструкторского коллектива с завода № 154 перевели в Москву на завод № 41. Главным конструктором ОКБ-41 стал Е.В. Урмин. Не согласный с Коссовым в отношении концепции двигателей, Урмин в конце 1944 г. - начале 1945 г. по тем же заданиям спроектировал свои собственные варианты М-12 и М-13, в которых использовалось большее, чем в двигателях Косова, количество деталей от серийного М-11Д. Большая степень унификации должна была удешевить производство, хотя ограничивала возможности в отношении повышения мощности. М-12 Урмина сначала именовался М-11Я. Его опытный образец был изготовлен в конце 1945 г. и испытывался с января следующего года. Однако результаты оказались неудовлетворительными. М-12 конструкции Урмина доводился до середины 1946 г., а затем был заброшен (11478).</w:t>
      </w:r>
    </w:p>
    <w:p w14:paraId="6BC28B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18153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конструкторское бюро из Андижана перевели в Москву и объединили с бюро завода № 41. После короткого периода "утряски" во главе объединенного коллектива встал Мужилов. Конструкторы продолжили дальнейшее совершенствование М-11Ф. В сентябре 1946 г. мотор прошел госиспытания. Он серийно выпускался с середины 1947 г. М-11ФР-1 осваивали практически параллельно три завода - № 41 в Москве, № 154, возвращенный после окончания войны обратно в Воронеж, и № 478, организованный в цехах эвакуированного в Сибирь завода № 29. Но в Москве эти моторы делали недолго, выпустив всего 27 штук. В Запорожье выпуск М-11ФР-1 начали в 1947 г. Но местных конструкторов во главе с А.Г. Ивченко прибывшие из Москвы чертежи не удовлетворили. Еще в 1946 г. они предложили свой вариант модернизации "старичка" М-11. Их модификация получила обозначение М-11ФР. Первый образец М-11ФР изготовили в октябре 1946 г., а месяц спустя его выставили на государственные испытания. Но запорожцев сначала постигла неудача. Доводка двигателя продолжалась до апреля 1947 г. С 4-го квартала 1948 г. его запустили в серийное производство вместо ФР-1. В следующем году его стали выпускать и в Воронеже. Старый М-11Д в СССР перестали собирать в 1947 г. Но в сентябре того же года документацию на эту модификацию передали Польше, где годом позже развернули ее производство. Но в Воронеже сочли, что в серии нужно сохранить два варианта М-11 разной мощности: один, более мощный и способный работать с винтом изменяемого шага, предназначался для нового учебного самолета Як-18, второй, менее мощный и под винт фиксированного шага, нужен был для сохранявшегося в производстве У-2 (ныне По-2). В качестве первого вполне подходил ФР, а для второй позиции воронежцы предложили свой М-11К мощностью до 125 л.с. Он являлся дальнейшим развитием М-11Д. М-11К выпускался в Воронеже серийно с января 1948 г.; с третьей серии на моторах этой модификации был введен пневмопуск. Дальнейшим развитием типа К третьей серии стал М-11Л. Внесенные в него изменения в основном преследовали одну цель: добиться повышения надежности и увеличить ресурс. Заводские испытания М-11Л успешно прошли в 1948 г., а годом позже ресурс довели до 900 ч. И запустили его в массовое производство. В 1950 г. таких моторов в Воронеже делали больше, чем ФР. Но уже годом позже из Москвы поступило распоряжение прекратить выпуск типа Л. В производстве сохранили только модификацию ФР. Завод № 478 снял М-11ФР с производства фактически еще в конце 1949 г.; в начале 1950 г. там сдали три последних мотора. В Воронеже план урезали примерно вдвое. Однако до 1955 г. завод делал примерно по 1200-1300 М-11ФР в год. Далее выпуск стабильно снижался. Последние 26 двигателей сдали в 1959 г. Всего М-11 находился в СССР в серийном производстве 30 лет, за этот период сделали около 75000 экземпляров. К этому следует добавить моторы, выпущенные в Польше и Китае. Китайцам документацию на М-11ФР передали в начале 50-х годов. Один из китайских заводов выпускал эти моторы около десяти лет. Сейчас на дворе 2008-й. Последние М-11 были собраны около 50 лет назад. Большое количество М-11 хранится в разных музеях. Но некоторое число моторов, конечно, прошедших немало ремонтов, до сих пор находится в эксплуатации. Они стоят на летающих репликах По-2 и Ш-2, а также на аэросанях, строящихся любителями-энтузиастами. Так что вы не только можете полюбоваться на знаменитый двигатель, но и услышать его в работе (11479).</w:t>
      </w:r>
    </w:p>
    <w:p w14:paraId="796B94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35B2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на площадке эвакуированного завода № 387 (и на площадке завода № 47) производился ремонт танков, а затем были организованы заводы № 273 НКАП и № 287 НКАП (11982).</w:t>
      </w:r>
    </w:p>
    <w:p w14:paraId="3A203A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17108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второй раз за войну НКАП повысил на 10% нормы выработки и снизил расценки на 9.1% (173,232).</w:t>
      </w:r>
    </w:p>
    <w:p w14:paraId="686E8B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E715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была подготовлена справка:</w:t>
      </w:r>
    </w:p>
    <w:p w14:paraId="0336C3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“Электрит”, бывш. завод № 470 НКАП в Вильнюсе является союзным заводом, находящимся в ведении 5 гл. управления НКАП.</w:t>
      </w:r>
    </w:p>
    <w:p w14:paraId="66F797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Устав завода утвержден в соответствии с постановлением Правительства от 7 декабря 1940 года и приказом НКАП № 110 от 15 марта 1941 года.</w:t>
      </w:r>
    </w:p>
    <w:p w14:paraId="438D9F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постановлением СНК от 4 марта 1944 года завод принят НКАП после освобождения от оккупации (8935).</w:t>
      </w:r>
    </w:p>
    <w:p w14:paraId="2B316C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26FC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директором завода № 11 треста № 41 НКАП был назначен Толмазов Н.Н.</w:t>
      </w:r>
    </w:p>
    <w:p w14:paraId="4CA68F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Жуковский Московской области</w:t>
      </w:r>
    </w:p>
    <w:p w14:paraId="2CD6C4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Производственный профиль – изготовление авиационной техники и аэродромного оборудования</w:t>
      </w:r>
    </w:p>
    <w:p w14:paraId="46344A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декабре 1944 года директором завода назначен Нестеров В.А. (9729).</w:t>
      </w:r>
    </w:p>
    <w:p w14:paraId="5F1EF7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03DF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вновь организован в 5ГУ НКАП Завод № 287 на площадке эвакуированного завода № 387 (и на площадке завода № 47). С 1.10.1944 г. по приказу № 605с от 13.10.1944 г. передан из 5ГУ в систему 17ГУ НКАП (по РЛ технике). Работы по радиоприборам и РЛС. Территориально завод расположился между Международным пр., ул. Заставской и ул. Волкова (в 1933 г. на этом месте была фабрика-кухня). В начале 1945 г. проведено восстановление завода, началась организация производства высотомеров.</w:t>
      </w:r>
    </w:p>
    <w:p w14:paraId="299E7C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12.1958 г. завод передан в ведение ГКРЭ. В соответствии с постановлением от 29.09.1965 г. завод № 287 вошел в состав МРП и получил название завод «Ленинец». По приказу МРП № 756 от 28.12.1973 г. завод «Ленинец» вошел в состав ЛПТО как производство № 3, а ЛПТО «Новатор» переименовано в ЛПТО «Ленинец». ОАО «Механический завод «Ленинец» входит в состав ХК «Ленинец».</w:t>
      </w:r>
    </w:p>
    <w:p w14:paraId="402CBD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(1944-50 г.)- Л.Д. Юффе, (1950-57 г.)- Н.В. Аверин, (1957-58 г.)- А.Н. Рыжков, (1958-73 г.)- В.И. Солодовников, (затем- зам. директора ЛПТО по производству № 3).</w:t>
      </w:r>
    </w:p>
    <w:p w14:paraId="0F7203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Производство: высотомеры: ВМВ-1 (1945-), РВ-2 (1950-е), РВ-10, РВ-17; РЛС: "Торий-А" (опытная партия, 1950), "Коршун" (опытная партия, 1952) , "Изумруд" РП-1 (-1952), "Алмаз" (середина 1950-х), РП-5, ЦД-30; радиодальномерная система точного бомбометания «Рым-С»; АРЛГС "Зенит" (5Г11), "Зенит-2" для ЗУР «400». </w:t>
      </w:r>
    </w:p>
    <w:p w14:paraId="2401ECB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287 НКАП, МАП, МОП, ГКРЭ, завод, НПО «Ленинец» МРП, ОАО «Механический завод «Ленинец»</w:t>
      </w:r>
    </w:p>
    <w:p w14:paraId="78E1F4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Ленинград</w:t>
      </w:r>
    </w:p>
    <w:p w14:paraId="0F6AE7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Санкт-Петербург, ул. Парковая, 6</w:t>
      </w:r>
    </w:p>
    <w:p w14:paraId="1337FF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ОКБ-287 МАП, ГКАТ, ГКРЭ </w:t>
      </w:r>
    </w:p>
    <w:p w14:paraId="6641DCD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Ленинград</w:t>
      </w:r>
    </w:p>
    <w:p w14:paraId="07C1E28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Особое КБ № 287 вновь образовано при заводе № 287 МАП по приказу № 247с от 26.04.1946 г. в системе 17ГУ. Работы по сопровождению серии радиовысотомеров и РЛС разработки других организаций: РВ-2 «Кристалл», комплекта измерительной аппаратуры «Радий», радиодальномерной системы точного бомбометания «Рым-С», РЛС «Изумруд». С начала 1950-х г. началась самостоятельная разработка РЛС и радиодальномеров. В 1950-х г. разработаны различные системы для ракетной техники.</w:t>
      </w:r>
    </w:p>
    <w:p w14:paraId="341BEDE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ОКБ начаты одни из первых работ по созданию пассивных РЛ систем наведения УРВВ. Научный руководитель- В.С. Дехтярев.</w:t>
      </w:r>
    </w:p>
    <w:p w14:paraId="2E8335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12.1957 г. ОКБ передано во вновь созданный ГКАТ, в 12.1958 г.- в ГКРЭ.</w:t>
      </w:r>
    </w:p>
    <w:p w14:paraId="7AB797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 xml:space="preserve">В соответствии с постановлением СМ СССР № 615-278сс от 6.06.1959 г. на базе трех ОКБ-283, ОКБ-287 и ОКБ-794 в системе ГКРЭ в Ленинграде создан новый НИИ-131. ОКБ-287 стало базой для СКБ-4 НИИ-131. </w:t>
      </w:r>
    </w:p>
    <w:p w14:paraId="702D16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(1946-53 г.; 1956-59 г.)- В.С. Шунейко (затем- руководитель СКБ-4 НИИ-131), (1953-56 г.)- И.П. Лисенков.</w:t>
      </w:r>
    </w:p>
    <w:p w14:paraId="0CBA1E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конструкторы- А.М. Громов (Е-801, Е-802), (1954 г.)- Н.И. Маркелов (РГС-1, РГС-8, РГС-70), (1955 г.)- В.С. Дехтярев («Жемчуг»).</w:t>
      </w:r>
    </w:p>
    <w:p w14:paraId="5B2B9C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РЛС: «Курс»; дальномерно-бомбардировочная система точного бомбометания ДБС-2С «Лотос», система тактического бомбометания СТБ «Сигнал», РЛ система ближней навигации и точного бомбометания «Жемчуг» для Ту-98, Ил-54, Як-25Б (1955-); радиовысотомеры: «РВ-Шторм» для КР; радиодальномерная система для П-5Н (1958); радиовзрыватели: Е-801, Е-802, Е-802М для ЗУР «207» и «217»; РЛГСН: РГС-15 для К-15, РГС-1 и РГС-8 для К-8 (1954-), РГС-70 для К-70.</w:t>
      </w:r>
    </w:p>
    <w:p w14:paraId="3317C0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ОКБ завода «Ленинец»</w:t>
      </w:r>
    </w:p>
    <w:p w14:paraId="3133D9B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МРП № 146 от 1.01.1974 г. ОКБ вошло в состав единого ЦКБ ЛПТО (10776).</w:t>
      </w:r>
    </w:p>
    <w:p w14:paraId="2D33D5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88F03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завод № 11 сдал на испытания партию из 52 авиабомб чертежа 3-0411в, с передними обтекателями конической формы. Задние обтекатели также были коническими. Их вальцевали из трех частей и соединяли между собой с помощью точечной или роликовой сварки. Тормозной диск приваривали на восьми угольниках точечной сваркой, а угольники бугеля изготавливали, изгибая заготовки хомута. Помимо этого, изменилась и рецептура снаряжения факела, а купол парашюта из хлопчатобумажной ткани кроили в виде правильного шестнадцатиугольника.</w:t>
      </w:r>
    </w:p>
    <w:p w14:paraId="61779E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новых САБ-50-15 провели днем в мае 1944 г. -ночные испытания командование ПВО столицы запретило. Авиабомбы сбрасывали с высот 2000 и 2500 м при скорости носителя 300 км/ч. Отказов в действии боеприпасов и взрывателей не было. Среднее время горения факела составило 3 мин. 16с. На основании испытаний отработанную в ГСКБ-47 техническую документацию утвердили Научно-техническим журналом ВВС № 078 от 1944 г., присвоив новому боеприпасу номер чертежа 3-01396 (7453).</w:t>
      </w:r>
    </w:p>
    <w:p w14:paraId="44FF87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883F69" w14:textId="77777777" w:rsidR="00B73150" w:rsidRPr="00C94B78" w:rsidRDefault="00B7315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мае 1944 г. большую часть конструкторского коллектива с завода № 154 перевели в Москву на завод № 41. Главным конструктором ОКБ-41 стал Е. В. Урмин. Не согласный с Коссовым в отно</w:t>
      </w:r>
      <w:r w:rsidRPr="00C94B78">
        <w:rPr>
          <w:rFonts w:ascii="Times New Roman" w:hAnsi="Times New Roman"/>
          <w:color w:val="0070C0"/>
          <w:sz w:val="16"/>
          <w:szCs w:val="16"/>
        </w:rPr>
        <w:softHyphen/>
        <w:t>ше</w:t>
      </w:r>
      <w:r w:rsidRPr="00C94B78">
        <w:rPr>
          <w:rFonts w:ascii="Times New Roman" w:hAnsi="Times New Roman"/>
          <w:color w:val="0070C0"/>
          <w:sz w:val="16"/>
          <w:szCs w:val="16"/>
        </w:rPr>
        <w:softHyphen/>
        <w:t>нии концепции двигателей, Урмин в конце 1944 г. — начале 1945 г. по тем же заданиям спроекти</w:t>
      </w:r>
      <w:r w:rsidRPr="00C94B78">
        <w:rPr>
          <w:rFonts w:ascii="Times New Roman" w:hAnsi="Times New Roman"/>
          <w:color w:val="0070C0"/>
          <w:sz w:val="16"/>
          <w:szCs w:val="16"/>
        </w:rPr>
        <w:softHyphen/>
        <w:t>ровал свои собственные варианты М-12 и М-13, в которых использовалось большее, чем в двига</w:t>
      </w:r>
      <w:r w:rsidRPr="00C94B78">
        <w:rPr>
          <w:rFonts w:ascii="Times New Roman" w:hAnsi="Times New Roman"/>
          <w:color w:val="0070C0"/>
          <w:sz w:val="16"/>
          <w:szCs w:val="16"/>
        </w:rPr>
        <w:softHyphen/>
        <w:t>телях Коссова, количество деталей от серийного М-11Д. Большая степень унификации должна была удешевить производство, хотя ограничивала возможности в отношении повышения мощности.</w:t>
      </w:r>
    </w:p>
    <w:p w14:paraId="77F56F51" w14:textId="77777777" w:rsidR="00B73150" w:rsidRPr="00C94B78" w:rsidRDefault="00B7315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М-12 Урмина сначала именовался М-11Я. Его опытный образец был изготовлен в конце 1945 г. и испытывался с января следующего года. Однако результаты оказались неудовлетворительными. М-12 конструкции Урмина доводился до середины 1946 г., а затем был заброшен (25387).</w:t>
      </w:r>
    </w:p>
    <w:p w14:paraId="1DBC5DE7" w14:textId="77777777" w:rsidR="00B73150" w:rsidRPr="00C94B78" w:rsidRDefault="00B73150" w:rsidP="00B56F90">
      <w:pPr>
        <w:spacing w:after="0" w:line="240" w:lineRule="auto"/>
        <w:jc w:val="both"/>
        <w:rPr>
          <w:rFonts w:ascii="Times New Roman" w:hAnsi="Times New Roman"/>
          <w:color w:val="0070C0"/>
          <w:sz w:val="16"/>
          <w:szCs w:val="16"/>
        </w:rPr>
      </w:pPr>
    </w:p>
    <w:p w14:paraId="5E6B3AE9" w14:textId="77777777" w:rsidR="00B73150" w:rsidRPr="00C94B78" w:rsidRDefault="00B7315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мае 1944 г. в Ленинграде специально для производства приборов к РЛС и радиовысотомеров был создан завод № 287 НКАП.</w:t>
      </w:r>
    </w:p>
    <w:p w14:paraId="52BFEE3C" w14:textId="77777777" w:rsidR="00B73150" w:rsidRPr="00C94B78" w:rsidRDefault="00B7315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соответствии с Постановлением ГКО № 8158 от 19 апреля 1945 г. на завод передано оборудование и материалы с завода «Радио-Верке» (г. Вена). В том же году передано 57 станков с немецкого завода фирмы «Шмидт» в Мариенвердере для организации производства радиолокационных приборов. Всего в 1945–1946 гг. было поставлено 384 трофейных металлорежущих станка (25184).</w:t>
      </w:r>
    </w:p>
    <w:p w14:paraId="28235BB9" w14:textId="77777777" w:rsidR="00B73150" w:rsidRPr="00C94B78" w:rsidRDefault="00B73150" w:rsidP="00B56F90">
      <w:pPr>
        <w:spacing w:after="0" w:line="240" w:lineRule="auto"/>
        <w:jc w:val="both"/>
        <w:rPr>
          <w:rFonts w:ascii="Times New Roman" w:hAnsi="Times New Roman"/>
          <w:color w:val="0070C0"/>
          <w:sz w:val="16"/>
          <w:szCs w:val="16"/>
        </w:rPr>
      </w:pPr>
    </w:p>
    <w:p w14:paraId="19EBAF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специалисты СКБ разработали 6-зарядную установку – “станок М31” облегченного типа. По результатам полигонных испытаний она была принята на вооружение (11772).</w:t>
      </w:r>
    </w:p>
    <w:p w14:paraId="01B3A0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3160325" w14:textId="77777777" w:rsidR="006E5527" w:rsidRPr="00070ADE" w:rsidRDefault="006E5527"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В мае 1944 года специалисты СКБ завода Компрессор разработали 6-зарядную установку – “станок М31” облегченного типа. По результатам полигонных испытаний она была принята на вооружение (15981).</w:t>
      </w:r>
    </w:p>
    <w:p w14:paraId="5E837FE1" w14:textId="77777777" w:rsidR="006E5527" w:rsidRPr="00070ADE" w:rsidRDefault="006E5527" w:rsidP="00B56F90">
      <w:pPr>
        <w:spacing w:after="0" w:line="240" w:lineRule="auto"/>
        <w:jc w:val="both"/>
        <w:rPr>
          <w:rFonts w:ascii="Times New Roman" w:eastAsia="Times New Roman" w:hAnsi="Times New Roman"/>
          <w:color w:val="000000" w:themeColor="text1"/>
          <w:sz w:val="16"/>
          <w:szCs w:val="16"/>
        </w:rPr>
      </w:pPr>
    </w:p>
    <w:p w14:paraId="75CDB8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из ЦКБ-29 освободили почти всех кроме Р.Л.Б. (1105,7).</w:t>
      </w:r>
    </w:p>
    <w:p w14:paraId="70309C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284005" w14:textId="77777777" w:rsidR="00303837" w:rsidRPr="00070ADE" w:rsidRDefault="0030383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отряд особого назначения им. Пожарского был вблизи базы в Девице в Польше и собирал информа</w:t>
      </w:r>
      <w:r w:rsidRPr="00070ADE">
        <w:rPr>
          <w:rFonts w:ascii="Times New Roman" w:hAnsi="Times New Roman"/>
          <w:color w:val="000000" w:themeColor="text1"/>
          <w:sz w:val="16"/>
          <w:szCs w:val="16"/>
        </w:rPr>
        <w:softHyphen/>
        <w:t>цию о тщательно охраняемом полигоне (22798).</w:t>
      </w:r>
    </w:p>
    <w:p w14:paraId="572CE0C6" w14:textId="77777777" w:rsidR="00303837" w:rsidRPr="00070ADE" w:rsidRDefault="00303837" w:rsidP="00B56F90">
      <w:pPr>
        <w:spacing w:after="0" w:line="240" w:lineRule="auto"/>
        <w:jc w:val="both"/>
        <w:rPr>
          <w:rFonts w:ascii="Times New Roman" w:hAnsi="Times New Roman"/>
          <w:color w:val="000000" w:themeColor="text1"/>
          <w:sz w:val="16"/>
          <w:szCs w:val="16"/>
        </w:rPr>
      </w:pPr>
    </w:p>
    <w:p w14:paraId="49A4A1DB"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ГИРТ объединили с авиационным ОКБ-293, которым руководил Виктор Болховитинов (1899-1970), и пере</w:t>
      </w:r>
      <w:r w:rsidRPr="00070ADE">
        <w:rPr>
          <w:rFonts w:ascii="Times New Roman" w:hAnsi="Times New Roman"/>
          <w:color w:val="000000" w:themeColor="text1"/>
          <w:sz w:val="16"/>
          <w:szCs w:val="16"/>
        </w:rPr>
        <w:softHyphen/>
        <w:t>именовали в НИИ-1 наркомата авиапромышленности. Главной задачей нового НИИ Госкомитет обороны определил разработку реактивных двигателей к самолетам. Его директором назначили генерала Петра Фёдорова (1898-1945), возглавлявшего до этого НИИ ВВС. Болховитинов занял должность его заместителя по научной части. Переименования и реорганизации института продолжались и после войны (23550).</w:t>
      </w:r>
    </w:p>
    <w:p w14:paraId="4BE21969" w14:textId="77777777" w:rsidR="00AF3688" w:rsidRPr="00070ADE" w:rsidRDefault="00AF3688" w:rsidP="00B56F90">
      <w:pPr>
        <w:spacing w:after="0" w:line="240" w:lineRule="auto"/>
        <w:jc w:val="both"/>
        <w:rPr>
          <w:rFonts w:ascii="Times New Roman" w:hAnsi="Times New Roman"/>
          <w:color w:val="000000" w:themeColor="text1"/>
          <w:sz w:val="16"/>
          <w:szCs w:val="16"/>
        </w:rPr>
      </w:pPr>
    </w:p>
    <w:p w14:paraId="13932A37" w14:textId="77777777" w:rsidR="00B73150" w:rsidRPr="00C94B78" w:rsidRDefault="00B73150" w:rsidP="00B56F90">
      <w:pPr>
        <w:spacing w:after="0" w:line="240" w:lineRule="auto"/>
        <w:jc w:val="both"/>
        <w:rPr>
          <w:rFonts w:ascii="Times New Roman" w:hAnsi="Times New Roman"/>
          <w:color w:val="0070C0"/>
          <w:sz w:val="16"/>
          <w:szCs w:val="16"/>
        </w:rPr>
      </w:pPr>
      <w:r w:rsidRPr="00C94B78">
        <w:rPr>
          <w:rStyle w:val="35"/>
          <w:rFonts w:ascii="Times New Roman" w:cs="Times New Roman"/>
          <w:color w:val="0070C0"/>
          <w:spacing w:val="0"/>
          <w:sz w:val="16"/>
          <w:szCs w:val="16"/>
        </w:rPr>
        <w:t>В мае 1944 года был принят па вооружение 6-зарядный пуско</w:t>
      </w:r>
      <w:r w:rsidRPr="00C94B78">
        <w:rPr>
          <w:rStyle w:val="35"/>
          <w:rFonts w:ascii="Times New Roman" w:cs="Times New Roman"/>
          <w:color w:val="0070C0"/>
          <w:spacing w:val="0"/>
          <w:sz w:val="16"/>
          <w:szCs w:val="16"/>
        </w:rPr>
        <w:softHyphen/>
        <w:t>вой станок М-31 облегченного типа, аналогичный но конструкции 8-зарядном станку (25439).</w:t>
      </w:r>
    </w:p>
    <w:p w14:paraId="0FC73329" w14:textId="77777777" w:rsidR="00B73150" w:rsidRPr="00C94B78" w:rsidRDefault="00B73150" w:rsidP="00B56F90">
      <w:pPr>
        <w:spacing w:after="0" w:line="240" w:lineRule="auto"/>
        <w:jc w:val="both"/>
        <w:rPr>
          <w:rFonts w:ascii="Times New Roman" w:hAnsi="Times New Roman"/>
          <w:color w:val="0070C0"/>
          <w:sz w:val="16"/>
          <w:szCs w:val="16"/>
        </w:rPr>
      </w:pPr>
    </w:p>
    <w:p w14:paraId="13EEEF2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05A4D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5C9553" w14:textId="655CE3EB" w:rsidR="006E5527" w:rsidRPr="00070ADE" w:rsidRDefault="006E552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коллектив конструкторов завода Большевик возвратили в Ленинград, где был организован филиал Центрального артиллерийского конструкторского бюро (ЦАКБ). Начальником и главным конструктором филиала ЦАКБ назначали И. И. Иванова, заместителем главного конструктора по морской артиллерии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Е. Г. Рудяка (15132).</w:t>
      </w:r>
    </w:p>
    <w:p w14:paraId="01D958DD" w14:textId="77777777" w:rsidR="006E5527" w:rsidRPr="00070ADE" w:rsidRDefault="006E5527" w:rsidP="00B56F90">
      <w:pPr>
        <w:spacing w:after="0" w:line="240" w:lineRule="auto"/>
        <w:jc w:val="both"/>
        <w:rPr>
          <w:rFonts w:ascii="Times New Roman" w:hAnsi="Times New Roman"/>
          <w:color w:val="000000" w:themeColor="text1"/>
          <w:sz w:val="16"/>
          <w:szCs w:val="16"/>
        </w:rPr>
      </w:pPr>
    </w:p>
    <w:p w14:paraId="0A32C3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в ЦКБ-34 под руководством инженера Гаврилова А.Г. было начато проектирование береговой установки на мехтяге СМ-4-1 (3861).</w:t>
      </w:r>
    </w:p>
    <w:p w14:paraId="5878FA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3908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в конструкцию ствола пушки А-19 были внесены изме</w:t>
      </w:r>
      <w:r w:rsidRPr="00070ADE">
        <w:rPr>
          <w:rFonts w:ascii="Times New Roman" w:hAnsi="Times New Roman"/>
          <w:color w:val="000000" w:themeColor="text1"/>
          <w:sz w:val="16"/>
          <w:szCs w:val="16"/>
        </w:rPr>
        <w:softHyphen/>
        <w:t>нения, которые нарушили взаимозаменяемость вновь разработанных стволов с ранее выпущенными. Модернизированное орудие имело наи</w:t>
      </w:r>
      <w:r w:rsidRPr="00070ADE">
        <w:rPr>
          <w:rFonts w:ascii="Times New Roman" w:hAnsi="Times New Roman"/>
          <w:color w:val="000000" w:themeColor="text1"/>
          <w:sz w:val="16"/>
          <w:szCs w:val="16"/>
        </w:rPr>
        <w:softHyphen/>
        <w:t>менование - 122-мм самоходная пушка обр. 1931/44 гг. Оба орудия име</w:t>
      </w:r>
      <w:r w:rsidRPr="00070ADE">
        <w:rPr>
          <w:rFonts w:ascii="Times New Roman" w:hAnsi="Times New Roman"/>
          <w:color w:val="000000" w:themeColor="text1"/>
          <w:sz w:val="16"/>
          <w:szCs w:val="16"/>
        </w:rPr>
        <w:softHyphen/>
        <w:t>ли поршневой затвор. Длина ствола составляла 46,3 калибра. На машинах устанавливались как стволы моноблоки, так и стволы со свободной тру</w:t>
      </w:r>
      <w:r w:rsidRPr="00070ADE">
        <w:rPr>
          <w:rFonts w:ascii="Times New Roman" w:hAnsi="Times New Roman"/>
          <w:color w:val="000000" w:themeColor="text1"/>
          <w:sz w:val="16"/>
          <w:szCs w:val="16"/>
        </w:rPr>
        <w:softHyphen/>
        <w:t>бой. Устройство пушки А-19 во многом было одинаково с устройством 152-мм гаубицы-пушки МЛ-20С и отличалось от последней установкой ствола меньшего калибра с увеличенной на 730 мм длиной, отсутствием дульного тормоза и меньшим числом нарезов. Для наводки орудия ис</w:t>
      </w:r>
      <w:r w:rsidRPr="00070ADE">
        <w:rPr>
          <w:rFonts w:ascii="Times New Roman" w:hAnsi="Times New Roman"/>
          <w:color w:val="000000" w:themeColor="text1"/>
          <w:sz w:val="16"/>
          <w:szCs w:val="16"/>
        </w:rPr>
        <w:softHyphen/>
        <w:t>пользовались подъемный механизм секторного типа и поворотный меха</w:t>
      </w:r>
      <w:r w:rsidRPr="00070ADE">
        <w:rPr>
          <w:rFonts w:ascii="Times New Roman" w:hAnsi="Times New Roman"/>
          <w:color w:val="000000" w:themeColor="text1"/>
          <w:sz w:val="16"/>
          <w:szCs w:val="16"/>
        </w:rPr>
        <w:softHyphen/>
        <w:t>низм винтового типа. Углы вертикальной наводки составляли от -3 до +22°, по горизонтали - в секторе 10° (10703).</w:t>
      </w:r>
    </w:p>
    <w:p w14:paraId="0B075F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A36E74" w14:textId="77777777" w:rsidR="00B73150" w:rsidRPr="00C94B78" w:rsidRDefault="00B73150"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мае 1944 г. на заводе № 172 был изготовлен опытный образец 122-мм пушки БЛ-9, а в июне установлен на артсамоход ИСУ-122-1, изготовленный заводом № 100. В сен</w:t>
      </w:r>
      <w:r w:rsidRPr="00C94B78">
        <w:rPr>
          <w:rStyle w:val="aff1"/>
          <w:rFonts w:ascii="Times New Roman" w:hAnsi="Times New Roman" w:cs="Times New Roman"/>
          <w:color w:val="0070C0"/>
          <w:spacing w:val="0"/>
          <w:sz w:val="16"/>
          <w:szCs w:val="16"/>
        </w:rPr>
        <w:softHyphen/>
        <w:t>тябре 1944 г. БЛ-9 с самоходом прошли полигонные испы</w:t>
      </w:r>
      <w:r w:rsidRPr="00C94B78">
        <w:rPr>
          <w:rStyle w:val="aff1"/>
          <w:rFonts w:ascii="Times New Roman" w:hAnsi="Times New Roman" w:cs="Times New Roman"/>
          <w:color w:val="0070C0"/>
          <w:spacing w:val="0"/>
          <w:sz w:val="16"/>
          <w:szCs w:val="16"/>
        </w:rPr>
        <w:softHyphen/>
        <w:t>тания. Стрельба велась бронебойными и осколочно-фугас</w:t>
      </w:r>
      <w:r w:rsidRPr="00C94B78">
        <w:rPr>
          <w:rStyle w:val="aff1"/>
          <w:rFonts w:ascii="Times New Roman" w:hAnsi="Times New Roman" w:cs="Times New Roman"/>
          <w:color w:val="0070C0"/>
          <w:spacing w:val="0"/>
          <w:sz w:val="16"/>
          <w:szCs w:val="16"/>
        </w:rPr>
        <w:softHyphen/>
        <w:t>ными снарядами весом 25 кг. Начальная скорость для бронебойного снаряда на полигоне составила 987 м/с (рас</w:t>
      </w:r>
      <w:r w:rsidRPr="00C94B78">
        <w:rPr>
          <w:rStyle w:val="aff1"/>
          <w:rFonts w:ascii="Times New Roman" w:hAnsi="Times New Roman" w:cs="Times New Roman"/>
          <w:color w:val="0070C0"/>
          <w:spacing w:val="0"/>
          <w:sz w:val="16"/>
          <w:szCs w:val="16"/>
        </w:rPr>
        <w:softHyphen/>
        <w:t>четная 1000 м/с). Дальность стрельбы осколочно-фугасным снарядом составила 10 700 м. Расчетная скорострельность была 3 выстр./мин, но на полигоне ее не проверяли (25437).</w:t>
      </w:r>
    </w:p>
    <w:p w14:paraId="43D10F10" w14:textId="77777777" w:rsidR="00B73150" w:rsidRPr="00C94B78" w:rsidRDefault="00B73150" w:rsidP="00B56F90">
      <w:pPr>
        <w:spacing w:after="0" w:line="240" w:lineRule="auto"/>
        <w:jc w:val="both"/>
        <w:rPr>
          <w:rFonts w:ascii="Times New Roman" w:hAnsi="Times New Roman"/>
          <w:color w:val="0070C0"/>
          <w:sz w:val="16"/>
          <w:szCs w:val="16"/>
        </w:rPr>
      </w:pPr>
    </w:p>
    <w:p w14:paraId="34D666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были проведены корабельные испытания 25-мм одноствольной автоматической установки 84-КМ. В 1944 году завод № 88 сдал 260 установок 84-КМ, а в 1945 году - 70 установок, на чем производство их и закончилось. 25-мм установки 84-КМ устанавливались на катерах различных типов (3861).</w:t>
      </w:r>
    </w:p>
    <w:p w14:paraId="201572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FEC5EE" w14:textId="77777777" w:rsidR="00406246" w:rsidRPr="00070ADE" w:rsidRDefault="00406246" w:rsidP="00B56F90">
      <w:pPr>
        <w:pStyle w:val="165"/>
        <w:shd w:val="clear" w:color="auto" w:fill="auto"/>
        <w:spacing w:line="240" w:lineRule="auto"/>
        <w:jc w:val="both"/>
        <w:rPr>
          <w:color w:val="000000" w:themeColor="text1"/>
          <w:sz w:val="16"/>
          <w:szCs w:val="16"/>
        </w:rPr>
      </w:pPr>
      <w:r w:rsidRPr="00070ADE">
        <w:rPr>
          <w:color w:val="000000" w:themeColor="text1"/>
          <w:sz w:val="16"/>
          <w:szCs w:val="16"/>
        </w:rPr>
        <w:t>В мае 1944 г. для действий в Карпатах по штату №08/608 семь армейских мино</w:t>
      </w:r>
      <w:r w:rsidRPr="00070ADE">
        <w:rPr>
          <w:color w:val="000000" w:themeColor="text1"/>
          <w:sz w:val="16"/>
          <w:szCs w:val="16"/>
        </w:rPr>
        <w:softHyphen/>
        <w:t>метных полков и три горно-вьючных мино</w:t>
      </w:r>
      <w:r w:rsidRPr="00070ADE">
        <w:rPr>
          <w:color w:val="000000" w:themeColor="text1"/>
          <w:sz w:val="16"/>
          <w:szCs w:val="16"/>
        </w:rPr>
        <w:softHyphen/>
        <w:t>метных полка 107-мм минометов были пере</w:t>
      </w:r>
      <w:r w:rsidRPr="00070ADE">
        <w:rPr>
          <w:color w:val="000000" w:themeColor="text1"/>
          <w:sz w:val="16"/>
          <w:szCs w:val="16"/>
        </w:rPr>
        <w:softHyphen/>
        <w:t>формированы. В каждом полку полагалось иметь по шесть батарей из четырех миноме</w:t>
      </w:r>
      <w:r w:rsidRPr="00070ADE">
        <w:rPr>
          <w:color w:val="000000" w:themeColor="text1"/>
          <w:sz w:val="16"/>
          <w:szCs w:val="16"/>
        </w:rPr>
        <w:softHyphen/>
        <w:t>тов. В «Инструкции командования 4-го Укра</w:t>
      </w:r>
      <w:r w:rsidRPr="00070ADE">
        <w:rPr>
          <w:color w:val="000000" w:themeColor="text1"/>
          <w:sz w:val="16"/>
          <w:szCs w:val="16"/>
        </w:rPr>
        <w:softHyphen/>
        <w:t>инского фронта войскам, действующим в горно-лесистой местности» от 19 января 1944 г. в пункте 28 говорится: «Вьючно-горные батареи и минометные батареи обязательно должны сопровождать пехоту на любой гор</w:t>
      </w:r>
      <w:r w:rsidRPr="00070ADE">
        <w:rPr>
          <w:color w:val="000000" w:themeColor="text1"/>
          <w:sz w:val="16"/>
          <w:szCs w:val="16"/>
        </w:rPr>
        <w:softHyphen/>
        <w:t>ной местности». По штату №04177 от 13 янва</w:t>
      </w:r>
      <w:r w:rsidRPr="00070ADE">
        <w:rPr>
          <w:color w:val="000000" w:themeColor="text1"/>
          <w:sz w:val="16"/>
          <w:szCs w:val="16"/>
        </w:rPr>
        <w:softHyphen/>
        <w:t>ря 1945 г. горнострелковая бригада получила отдельный вьючный минометный дивизион из 12107-мм минометов. В феврале 1945 г. по штату №041650 была изменена структура артиллерийского полка горнострелковой дивизии. В полку теперь было три дивизиона по 12 107-мм минометов и одна батарея из четырех 76-мм горных пушек обр. 1938 г. В условиях преодоления горных масси</w:t>
      </w:r>
      <w:r w:rsidRPr="00070ADE">
        <w:rPr>
          <w:color w:val="000000" w:themeColor="text1"/>
          <w:sz w:val="16"/>
          <w:szCs w:val="16"/>
        </w:rPr>
        <w:softHyphen/>
        <w:t>вов при движении по узким горным тропам 107-мм горно-вьючный полковой миномет мог разбираться на части и перевозиться на конских вьюках. При этом переход на кон</w:t>
      </w:r>
      <w:r w:rsidRPr="00070ADE">
        <w:rPr>
          <w:color w:val="000000" w:themeColor="text1"/>
          <w:sz w:val="16"/>
          <w:szCs w:val="16"/>
        </w:rPr>
        <w:softHyphen/>
        <w:t>ские вьюки мог быть полный или частичный. При полном переходе на конские вьюки колесный ход и передок разбирались на части и перевозились на девяти вьюках. При частичном переходе на вьюк завьючивались только сам миномет и возимый боекомплект (вьюки №1-5), а передок и колесный ход сле</w:t>
      </w:r>
      <w:r w:rsidRPr="00070ADE">
        <w:rPr>
          <w:color w:val="000000" w:themeColor="text1"/>
          <w:sz w:val="16"/>
          <w:szCs w:val="16"/>
        </w:rPr>
        <w:softHyphen/>
        <w:t>довали конной тягой. На колесном ходу в сцепе с передком миномет мог перевозиться четырехконной упряжкой. Кроме того, при перемещении на короткие расстояния мино</w:t>
      </w:r>
      <w:r w:rsidRPr="00070ADE">
        <w:rPr>
          <w:color w:val="000000" w:themeColor="text1"/>
          <w:sz w:val="16"/>
          <w:szCs w:val="16"/>
        </w:rPr>
        <w:softHyphen/>
        <w:t>мет можно было перекатывать силами мино</w:t>
      </w:r>
      <w:r w:rsidRPr="00070ADE">
        <w:rPr>
          <w:color w:val="000000" w:themeColor="text1"/>
          <w:sz w:val="16"/>
          <w:szCs w:val="16"/>
        </w:rPr>
        <w:softHyphen/>
        <w:t>метного расчета и, будучи разобранным на три части (ствол, двунога и плита), он мог и переноситься бойцами расчета. Благодаря осколочно-фугасной мины, миномет решал на дистанциях 800-5000 м огневые задачи по подавлению живой силы против</w:t>
      </w:r>
      <w:r w:rsidRPr="00070ADE">
        <w:rPr>
          <w:color w:val="000000" w:themeColor="text1"/>
          <w:sz w:val="16"/>
          <w:szCs w:val="16"/>
        </w:rPr>
        <w:softHyphen/>
        <w:t xml:space="preserve">ника и его огневых средств, находящихся на обратных скатах и в глубоких естественных и искусственных укрытиях, как открытого, так и закрытого типа - блиндажах с деревоземляным покрытием. Мог </w:t>
      </w:r>
      <w:r w:rsidRPr="00070ADE">
        <w:rPr>
          <w:color w:val="000000" w:themeColor="text1"/>
          <w:sz w:val="16"/>
          <w:szCs w:val="16"/>
        </w:rPr>
        <w:lastRenderedPageBreak/>
        <w:t>разрушать проволоч</w:t>
      </w:r>
      <w:r w:rsidRPr="00070ADE">
        <w:rPr>
          <w:color w:val="000000" w:themeColor="text1"/>
          <w:sz w:val="16"/>
          <w:szCs w:val="16"/>
        </w:rPr>
        <w:softHyphen/>
        <w:t>ные заграждения и другие легкие сооруже</w:t>
      </w:r>
      <w:r w:rsidRPr="00070ADE">
        <w:rPr>
          <w:color w:val="000000" w:themeColor="text1"/>
          <w:sz w:val="16"/>
          <w:szCs w:val="16"/>
        </w:rPr>
        <w:softHyphen/>
        <w:t>ния и создавать заградительный огонь. Бла</w:t>
      </w:r>
      <w:r w:rsidRPr="00070ADE">
        <w:rPr>
          <w:color w:val="000000" w:themeColor="text1"/>
          <w:sz w:val="16"/>
          <w:szCs w:val="16"/>
        </w:rPr>
        <w:softHyphen/>
        <w:t>годаря крутизне траектории и малым разме</w:t>
      </w:r>
      <w:r w:rsidRPr="00070ADE">
        <w:rPr>
          <w:color w:val="000000" w:themeColor="text1"/>
          <w:sz w:val="16"/>
          <w:szCs w:val="16"/>
        </w:rPr>
        <w:softHyphen/>
        <w:t>рам, миномет возможно было располагать в глубоких укрытиях, недоступных ответному огню противника.</w:t>
      </w:r>
    </w:p>
    <w:p w14:paraId="1DFC1201" w14:textId="77777777" w:rsidR="00406246" w:rsidRPr="00070ADE" w:rsidRDefault="00406246" w:rsidP="00B56F90">
      <w:pPr>
        <w:pStyle w:val="165"/>
        <w:shd w:val="clear" w:color="auto" w:fill="auto"/>
        <w:spacing w:line="240" w:lineRule="auto"/>
        <w:jc w:val="both"/>
        <w:rPr>
          <w:color w:val="000000" w:themeColor="text1"/>
          <w:sz w:val="16"/>
          <w:szCs w:val="16"/>
        </w:rPr>
      </w:pPr>
      <w:r w:rsidRPr="00070ADE">
        <w:rPr>
          <w:color w:val="000000" w:themeColor="text1"/>
          <w:sz w:val="16"/>
          <w:szCs w:val="16"/>
        </w:rPr>
        <w:t>В походном движении миномет использо</w:t>
      </w:r>
      <w:r w:rsidRPr="00070ADE">
        <w:rPr>
          <w:color w:val="000000" w:themeColor="text1"/>
          <w:sz w:val="16"/>
          <w:szCs w:val="16"/>
        </w:rPr>
        <w:softHyphen/>
        <w:t>вал колесный ход и передок для тяги колес</w:t>
      </w:r>
      <w:r w:rsidRPr="00070ADE">
        <w:rPr>
          <w:color w:val="000000" w:themeColor="text1"/>
          <w:sz w:val="16"/>
          <w:szCs w:val="16"/>
        </w:rPr>
        <w:softHyphen/>
        <w:t>ного хода с минометом и перевозки 20 мин. Транспортировка конной тягой сцепа (пере</w:t>
      </w:r>
      <w:r w:rsidRPr="00070ADE">
        <w:rPr>
          <w:color w:val="000000" w:themeColor="text1"/>
          <w:sz w:val="16"/>
          <w:szCs w:val="16"/>
        </w:rPr>
        <w:softHyphen/>
        <w:t>док и колесный ход) осуществлялась со ско</w:t>
      </w:r>
      <w:r w:rsidRPr="00070ADE">
        <w:rPr>
          <w:color w:val="000000" w:themeColor="text1"/>
          <w:sz w:val="16"/>
          <w:szCs w:val="16"/>
        </w:rPr>
        <w:softHyphen/>
        <w:t>ростью 7-8 км/час. Кроме того, миномет с колесным ходом без передка перевозился на автомашине ГАЗ-АА со скоростью до 40 км/час. Эта же машина служила для перевоз</w:t>
      </w:r>
      <w:r w:rsidRPr="00070ADE">
        <w:rPr>
          <w:color w:val="000000" w:themeColor="text1"/>
          <w:sz w:val="16"/>
          <w:szCs w:val="16"/>
        </w:rPr>
        <w:softHyphen/>
        <w:t>ки расчета и парковых ящиков с минами. Бое</w:t>
      </w:r>
      <w:r w:rsidRPr="00070ADE">
        <w:rPr>
          <w:color w:val="000000" w:themeColor="text1"/>
          <w:sz w:val="16"/>
          <w:szCs w:val="16"/>
        </w:rPr>
        <w:softHyphen/>
        <w:t>питание миномета осуществлялось парными повозками, в которых перевозили мины, окончательно снаряженные и уложенные в парковые ящики. Каждый взвод боепитания снабжался четырьмя комплектами конских вьюков с укладочными приспособлениями, служащими для перевозки двух парковых ящиков с минами (по четыре мины в каждом).</w:t>
      </w:r>
    </w:p>
    <w:p w14:paraId="6A4B8255" w14:textId="77777777" w:rsidR="00406246" w:rsidRPr="00070ADE" w:rsidRDefault="00406246" w:rsidP="00B56F90">
      <w:pPr>
        <w:pStyle w:val="165"/>
        <w:shd w:val="clear" w:color="auto" w:fill="auto"/>
        <w:spacing w:line="240" w:lineRule="auto"/>
        <w:jc w:val="both"/>
        <w:rPr>
          <w:color w:val="000000" w:themeColor="text1"/>
          <w:sz w:val="16"/>
          <w:szCs w:val="16"/>
        </w:rPr>
      </w:pPr>
      <w:r w:rsidRPr="00070ADE">
        <w:rPr>
          <w:color w:val="000000" w:themeColor="text1"/>
          <w:sz w:val="16"/>
          <w:szCs w:val="16"/>
        </w:rPr>
        <w:t>107-мм горно-вьючный миномет пред</w:t>
      </w:r>
      <w:r w:rsidRPr="00070ADE">
        <w:rPr>
          <w:color w:val="000000" w:themeColor="text1"/>
          <w:sz w:val="16"/>
          <w:szCs w:val="16"/>
        </w:rPr>
        <w:softHyphen/>
        <w:t>ставлял собой жесткую, то есть не имеющую противооткатных устройств, гладкостволь</w:t>
      </w:r>
      <w:r w:rsidRPr="00070ADE">
        <w:rPr>
          <w:color w:val="000000" w:themeColor="text1"/>
          <w:sz w:val="16"/>
          <w:szCs w:val="16"/>
        </w:rPr>
        <w:softHyphen/>
        <w:t>ную систему. В боевом положении он состоял из четырех главных частей: ствола, двуноги- лафета, опорной плиты, прицельных приспо</w:t>
      </w:r>
      <w:r w:rsidRPr="00070ADE">
        <w:rPr>
          <w:color w:val="000000" w:themeColor="text1"/>
          <w:sz w:val="16"/>
          <w:szCs w:val="16"/>
        </w:rPr>
        <w:softHyphen/>
        <w:t>соблений. Внутри труба ствола представляет собой гладкий полированный канал, имею</w:t>
      </w:r>
      <w:r w:rsidRPr="00070ADE">
        <w:rPr>
          <w:color w:val="000000" w:themeColor="text1"/>
          <w:sz w:val="16"/>
          <w:szCs w:val="16"/>
        </w:rPr>
        <w:softHyphen/>
        <w:t>щий около дульного среза конусную расточ</w:t>
      </w:r>
      <w:r w:rsidRPr="00070ADE">
        <w:rPr>
          <w:color w:val="000000" w:themeColor="text1"/>
          <w:sz w:val="16"/>
          <w:szCs w:val="16"/>
        </w:rPr>
        <w:softHyphen/>
        <w:t>ку. У казенной части ствола жестко закреп</w:t>
      </w:r>
      <w:r w:rsidRPr="00070ADE">
        <w:rPr>
          <w:color w:val="000000" w:themeColor="text1"/>
          <w:sz w:val="16"/>
          <w:szCs w:val="16"/>
        </w:rPr>
        <w:softHyphen/>
        <w:t>лен хомут с опорами. Двунога-лафет состоит из двух трубчатых ног, каждая их которых внизу оканчивается опорными тарелями с сошниками. Сошник служит для укрепления ног в грунте, а тарели - для упора в грунт. Для ограничения раствора ног применяется цепочка, которая крепится к левой ноге коль</w:t>
      </w:r>
      <w:r w:rsidRPr="00070ADE">
        <w:rPr>
          <w:color w:val="000000" w:themeColor="text1"/>
          <w:sz w:val="16"/>
          <w:szCs w:val="16"/>
        </w:rPr>
        <w:softHyphen/>
        <w:t>цом с пружиной, а к правой - крючком. На правой ноге также собран механизм горизонтирования.</w:t>
      </w:r>
    </w:p>
    <w:p w14:paraId="6DD3EC24" w14:textId="77777777" w:rsidR="00406246" w:rsidRPr="00070ADE" w:rsidRDefault="00406246"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Винт подъемного механизма при неизмен</w:t>
      </w:r>
      <w:r w:rsidRPr="00070ADE">
        <w:rPr>
          <w:rFonts w:ascii="Times New Roman" w:hAnsi="Times New Roman"/>
          <w:color w:val="000000" w:themeColor="text1"/>
          <w:sz w:val="16"/>
          <w:szCs w:val="16"/>
        </w:rPr>
        <w:softHyphen/>
        <w:t>ном положении двуноги обеспечивает изме</w:t>
      </w:r>
      <w:r w:rsidRPr="00070ADE">
        <w:rPr>
          <w:rFonts w:ascii="Times New Roman" w:hAnsi="Times New Roman"/>
          <w:color w:val="000000" w:themeColor="text1"/>
          <w:sz w:val="16"/>
          <w:szCs w:val="16"/>
        </w:rPr>
        <w:softHyphen/>
        <w:t>нение угла возвышения в пределах 15-20 градусов. Для получения углов возвышения от 45 до 65 градусов необходимо обойму вертлюга поставить на переднюю кольцевую выточку трубы ствола. Для построения углов возвышения более 65 градусов необходимо поставить обойму вертлюга в заднюю коль</w:t>
      </w:r>
      <w:r w:rsidRPr="00070ADE">
        <w:rPr>
          <w:rFonts w:ascii="Times New Roman" w:hAnsi="Times New Roman"/>
          <w:color w:val="000000" w:themeColor="text1"/>
          <w:sz w:val="16"/>
          <w:szCs w:val="16"/>
        </w:rPr>
        <w:softHyphen/>
        <w:t>цевую выточку трубы ствола. Подъемный механизм состоит из кожуха, который внизу имеет вид цилиндрической коробки с длин</w:t>
      </w:r>
      <w:r w:rsidRPr="00070ADE">
        <w:rPr>
          <w:rFonts w:ascii="Times New Roman" w:hAnsi="Times New Roman"/>
          <w:color w:val="000000" w:themeColor="text1"/>
          <w:sz w:val="16"/>
          <w:szCs w:val="16"/>
        </w:rPr>
        <w:softHyphen/>
        <w:t>ным кожухом для винта. Кроме того, в короб</w:t>
      </w:r>
      <w:r w:rsidRPr="00070ADE">
        <w:rPr>
          <w:rFonts w:ascii="Times New Roman" w:hAnsi="Times New Roman"/>
          <w:color w:val="000000" w:themeColor="text1"/>
          <w:sz w:val="16"/>
          <w:szCs w:val="16"/>
        </w:rPr>
        <w:softHyphen/>
        <w:t>ке корпуса сверху вставлена узким патруб</w:t>
      </w:r>
      <w:r w:rsidRPr="00070ADE">
        <w:rPr>
          <w:rFonts w:ascii="Times New Roman" w:hAnsi="Times New Roman"/>
          <w:color w:val="000000" w:themeColor="text1"/>
          <w:sz w:val="16"/>
          <w:szCs w:val="16"/>
        </w:rPr>
        <w:softHyphen/>
        <w:t>ком вниз матка.</w:t>
      </w:r>
    </w:p>
    <w:p w14:paraId="7617052E" w14:textId="77777777" w:rsidR="00406246" w:rsidRPr="00070ADE" w:rsidRDefault="00406246" w:rsidP="00B56F90">
      <w:pPr>
        <w:pStyle w:val="165"/>
        <w:shd w:val="clear" w:color="auto" w:fill="auto"/>
        <w:spacing w:line="240" w:lineRule="auto"/>
        <w:jc w:val="both"/>
        <w:rPr>
          <w:color w:val="000000" w:themeColor="text1"/>
          <w:sz w:val="16"/>
          <w:szCs w:val="16"/>
        </w:rPr>
      </w:pPr>
      <w:r w:rsidRPr="00070ADE">
        <w:rPr>
          <w:color w:val="000000" w:themeColor="text1"/>
          <w:sz w:val="16"/>
          <w:szCs w:val="16"/>
        </w:rPr>
        <w:t>Механизм горизонтирования предназна</w:t>
      </w:r>
      <w:r w:rsidRPr="00070ADE">
        <w:rPr>
          <w:color w:val="000000" w:themeColor="text1"/>
          <w:sz w:val="16"/>
          <w:szCs w:val="16"/>
        </w:rPr>
        <w:softHyphen/>
        <w:t>чен для приведения угломерного стола при</w:t>
      </w:r>
      <w:r w:rsidRPr="00070ADE">
        <w:rPr>
          <w:color w:val="000000" w:themeColor="text1"/>
          <w:sz w:val="16"/>
          <w:szCs w:val="16"/>
        </w:rPr>
        <w:softHyphen/>
        <w:t>цела в горизонтальное положение. Эти меха</w:t>
      </w:r>
      <w:r w:rsidRPr="00070ADE">
        <w:rPr>
          <w:color w:val="000000" w:themeColor="text1"/>
          <w:sz w:val="16"/>
          <w:szCs w:val="16"/>
        </w:rPr>
        <w:softHyphen/>
        <w:t>низмы использовались в образцах 1938/39 гг. или обр. 1940 г. Внешне они не отлича</w:t>
      </w:r>
      <w:r w:rsidRPr="00070ADE">
        <w:rPr>
          <w:color w:val="000000" w:themeColor="text1"/>
          <w:sz w:val="16"/>
          <w:szCs w:val="16"/>
        </w:rPr>
        <w:softHyphen/>
        <w:t>лись друг от друга, а все отличия состояли в их внутреннем устройстве. Механизм грубого горизонтирования располагался на правой ноге. Механизм точного горизонтирования состоял из двух проушин, закрепленных на концах винта в корпусе. Одной проушиной он закреплялся в проушине над механизмом грубого горизонтирования, а второй - к кор</w:t>
      </w:r>
      <w:r w:rsidRPr="00070ADE">
        <w:rPr>
          <w:color w:val="000000" w:themeColor="text1"/>
          <w:sz w:val="16"/>
          <w:szCs w:val="16"/>
        </w:rPr>
        <w:softHyphen/>
        <w:t>пусу подъемного механизма.</w:t>
      </w:r>
    </w:p>
    <w:p w14:paraId="6C2EA953" w14:textId="77777777" w:rsidR="00406246" w:rsidRPr="00070ADE" w:rsidRDefault="00406246" w:rsidP="00B56F90">
      <w:pPr>
        <w:pStyle w:val="165"/>
        <w:shd w:val="clear" w:color="auto" w:fill="auto"/>
        <w:spacing w:line="240" w:lineRule="auto"/>
        <w:jc w:val="both"/>
        <w:rPr>
          <w:color w:val="000000" w:themeColor="text1"/>
          <w:sz w:val="16"/>
          <w:szCs w:val="16"/>
        </w:rPr>
      </w:pPr>
      <w:r w:rsidRPr="00070ADE">
        <w:rPr>
          <w:color w:val="000000" w:themeColor="text1"/>
          <w:sz w:val="16"/>
          <w:szCs w:val="16"/>
        </w:rPr>
        <w:t>Корпус вертлюга - цельная фигурная деталь с отверстием в верхней части для што</w:t>
      </w:r>
      <w:r w:rsidRPr="00070ADE">
        <w:rPr>
          <w:color w:val="000000" w:themeColor="text1"/>
          <w:sz w:val="16"/>
          <w:szCs w:val="16"/>
        </w:rPr>
        <w:softHyphen/>
        <w:t>ков амортизатора, а в нижней части по краям - две проушины для винта поворотного меха</w:t>
      </w:r>
      <w:r w:rsidRPr="00070ADE">
        <w:rPr>
          <w:color w:val="000000" w:themeColor="text1"/>
          <w:sz w:val="16"/>
          <w:szCs w:val="16"/>
        </w:rPr>
        <w:softHyphen/>
        <w:t>низма. Кроме того, в верхней части (если смотреть сзади), был выступ с гнездом для установки хвостовика прицела и отверстие для зажима крепления прицела. Амортизатор состоял из двух цилиндров, смонтированных в обойме, которая служила для соединения двуноги лафета со стволом. Поворотный механизм в корпусе вертлюга предназначал</w:t>
      </w:r>
      <w:r w:rsidRPr="00070ADE">
        <w:rPr>
          <w:color w:val="000000" w:themeColor="text1"/>
          <w:sz w:val="16"/>
          <w:szCs w:val="16"/>
        </w:rPr>
        <w:softHyphen/>
        <w:t>ся для точной наводки в пределах 50 град, в каждую сторону.</w:t>
      </w:r>
    </w:p>
    <w:p w14:paraId="5522B97B" w14:textId="77777777" w:rsidR="00406246" w:rsidRPr="00070ADE" w:rsidRDefault="00406246" w:rsidP="00B56F90">
      <w:pPr>
        <w:pStyle w:val="165"/>
        <w:shd w:val="clear" w:color="auto" w:fill="auto"/>
        <w:spacing w:line="240" w:lineRule="auto"/>
        <w:jc w:val="both"/>
        <w:rPr>
          <w:color w:val="000000" w:themeColor="text1"/>
          <w:sz w:val="16"/>
          <w:szCs w:val="16"/>
        </w:rPr>
      </w:pPr>
      <w:r w:rsidRPr="00070ADE">
        <w:rPr>
          <w:color w:val="000000" w:themeColor="text1"/>
          <w:sz w:val="16"/>
          <w:szCs w:val="16"/>
        </w:rPr>
        <w:t>На штампованной цельносварной опор</w:t>
      </w:r>
      <w:r w:rsidRPr="00070ADE">
        <w:rPr>
          <w:color w:val="000000" w:themeColor="text1"/>
          <w:sz w:val="16"/>
          <w:szCs w:val="16"/>
        </w:rPr>
        <w:softHyphen/>
        <w:t>ной плите была приварена чашка с гнездом для шаровой пяты казенника, которой ствол соединяется с плитой. На верхней стороне основания плиты для большей жесткости и прочности приваривались накладки, а внизу ребра, образовывавшие три сошника: цент</w:t>
      </w:r>
      <w:r w:rsidRPr="00070ADE">
        <w:rPr>
          <w:color w:val="000000" w:themeColor="text1"/>
          <w:sz w:val="16"/>
          <w:szCs w:val="16"/>
        </w:rPr>
        <w:softHyphen/>
        <w:t>ральный и два боковых, которыми опорная плита сцепляется с грунтом. На передней сто</w:t>
      </w:r>
      <w:r w:rsidRPr="00070ADE">
        <w:rPr>
          <w:color w:val="000000" w:themeColor="text1"/>
          <w:sz w:val="16"/>
          <w:szCs w:val="16"/>
        </w:rPr>
        <w:softHyphen/>
        <w:t>роне были приварены две ручки для перенос</w:t>
      </w:r>
      <w:r w:rsidRPr="00070ADE">
        <w:rPr>
          <w:color w:val="000000" w:themeColor="text1"/>
          <w:sz w:val="16"/>
          <w:szCs w:val="16"/>
        </w:rPr>
        <w:softHyphen/>
        <w:t>ки плиты. Кроме того, к верхней стороне основания плиты приваривались два крюка, которыми плита подвешивается к раме колес</w:t>
      </w:r>
      <w:r w:rsidRPr="00070ADE">
        <w:rPr>
          <w:color w:val="000000" w:themeColor="text1"/>
          <w:sz w:val="16"/>
          <w:szCs w:val="16"/>
        </w:rPr>
        <w:softHyphen/>
        <w:t>ного хода в походном положении, и скобы для подтягивания плиты стяжкой к раме хода. К верхней стороне основания плиты приварены четыре ребра, при помощи которых опорная плита укладывается на конский вьюк. Для производства выстрела при помощи спуско</w:t>
      </w:r>
      <w:r w:rsidRPr="00070ADE">
        <w:rPr>
          <w:color w:val="000000" w:themeColor="text1"/>
          <w:sz w:val="16"/>
          <w:szCs w:val="16"/>
        </w:rPr>
        <w:softHyphen/>
        <w:t>вого шнура были предусмотрены два крючка, за которые и заводился шнур.</w:t>
      </w:r>
    </w:p>
    <w:p w14:paraId="303285EA" w14:textId="77777777" w:rsidR="00406246" w:rsidRPr="00070ADE" w:rsidRDefault="00406246" w:rsidP="00B56F90">
      <w:pPr>
        <w:pStyle w:val="165"/>
        <w:shd w:val="clear" w:color="auto" w:fill="auto"/>
        <w:spacing w:line="240" w:lineRule="auto"/>
        <w:jc w:val="both"/>
        <w:rPr>
          <w:color w:val="000000" w:themeColor="text1"/>
          <w:sz w:val="16"/>
          <w:szCs w:val="16"/>
        </w:rPr>
      </w:pPr>
      <w:r w:rsidRPr="00070ADE">
        <w:rPr>
          <w:color w:val="000000" w:themeColor="text1"/>
          <w:sz w:val="16"/>
          <w:szCs w:val="16"/>
        </w:rPr>
        <w:t>Минометный прицел МП-82УС обеспечи</w:t>
      </w:r>
      <w:r w:rsidRPr="00070ADE">
        <w:rPr>
          <w:color w:val="000000" w:themeColor="text1"/>
          <w:sz w:val="16"/>
          <w:szCs w:val="16"/>
        </w:rPr>
        <w:softHyphen/>
        <w:t>вал ведение огня из миномета по видимым целям (прямая наводка) и по невидимым целям (непрямая наводка).</w:t>
      </w:r>
    </w:p>
    <w:p w14:paraId="1D4840DF" w14:textId="77777777" w:rsidR="00406246" w:rsidRPr="00070ADE" w:rsidRDefault="00406246" w:rsidP="00B56F90">
      <w:pPr>
        <w:pStyle w:val="165"/>
        <w:shd w:val="clear" w:color="auto" w:fill="auto"/>
        <w:spacing w:line="240" w:lineRule="auto"/>
        <w:jc w:val="both"/>
        <w:rPr>
          <w:color w:val="000000" w:themeColor="text1"/>
          <w:sz w:val="16"/>
          <w:szCs w:val="16"/>
        </w:rPr>
      </w:pPr>
      <w:r w:rsidRPr="00070ADE">
        <w:rPr>
          <w:color w:val="000000" w:themeColor="text1"/>
          <w:sz w:val="16"/>
          <w:szCs w:val="16"/>
        </w:rPr>
        <w:t>Рама колесного хода состояла из передней и задней частей разборной конструкции, что было сделано для удобства ее навьючивания. Задняя часть представляла собой выгнутую из стальных труб жесткую конструкцию из оси и поперечной связи, приваренной к двум изогну</w:t>
      </w:r>
      <w:r w:rsidRPr="00070ADE">
        <w:rPr>
          <w:color w:val="000000" w:themeColor="text1"/>
          <w:sz w:val="16"/>
          <w:szCs w:val="16"/>
        </w:rPr>
        <w:softHyphen/>
        <w:t>тым трубам, которые в задней части образо</w:t>
      </w:r>
      <w:r w:rsidRPr="00070ADE">
        <w:rPr>
          <w:color w:val="000000" w:themeColor="text1"/>
          <w:sz w:val="16"/>
          <w:szCs w:val="16"/>
        </w:rPr>
        <w:softHyphen/>
        <w:t>вывали два П-образных кронштейна, для под</w:t>
      </w:r>
      <w:r w:rsidRPr="00070ADE">
        <w:rPr>
          <w:color w:val="000000" w:themeColor="text1"/>
          <w:sz w:val="16"/>
          <w:szCs w:val="16"/>
        </w:rPr>
        <w:softHyphen/>
        <w:t>вешивания на них опорной плиты за крюки. В средней части оси шарнирно крепилась стяж</w:t>
      </w:r>
      <w:r w:rsidRPr="00070ADE">
        <w:rPr>
          <w:color w:val="000000" w:themeColor="text1"/>
          <w:sz w:val="16"/>
          <w:szCs w:val="16"/>
        </w:rPr>
        <w:softHyphen/>
        <w:t>ка, которой плита подтягивается к П-образ- ным кронштейнам за скобу. Обе трубы впере</w:t>
      </w:r>
      <w:r w:rsidRPr="00070ADE">
        <w:rPr>
          <w:color w:val="000000" w:themeColor="text1"/>
          <w:sz w:val="16"/>
          <w:szCs w:val="16"/>
        </w:rPr>
        <w:softHyphen/>
        <w:t>ди были снабжены горизонтальными предо</w:t>
      </w:r>
      <w:r w:rsidRPr="00070ADE">
        <w:rPr>
          <w:color w:val="000000" w:themeColor="text1"/>
          <w:sz w:val="16"/>
          <w:szCs w:val="16"/>
        </w:rPr>
        <w:softHyphen/>
        <w:t>хранителями, предотвращавшими прямые удары по колесам при езде. Для жесткости ось со стяжкой и поперечная связь были скрепле</w:t>
      </w:r>
      <w:r w:rsidRPr="00070ADE">
        <w:rPr>
          <w:color w:val="000000" w:themeColor="text1"/>
          <w:sz w:val="16"/>
          <w:szCs w:val="16"/>
        </w:rPr>
        <w:softHyphen/>
        <w:t>ны двумя планками, которые также служили для установки на крюках ящика для принад</w:t>
      </w:r>
      <w:r w:rsidRPr="00070ADE">
        <w:rPr>
          <w:color w:val="000000" w:themeColor="text1"/>
          <w:sz w:val="16"/>
          <w:szCs w:val="16"/>
        </w:rPr>
        <w:softHyphen/>
        <w:t>лежности. Кроме того, П-образные кронштей</w:t>
      </w:r>
      <w:r w:rsidRPr="00070ADE">
        <w:rPr>
          <w:color w:val="000000" w:themeColor="text1"/>
          <w:sz w:val="16"/>
          <w:szCs w:val="16"/>
        </w:rPr>
        <w:softHyphen/>
        <w:t>ны связывались укосинами, к которым прива</w:t>
      </w:r>
      <w:r w:rsidRPr="00070ADE">
        <w:rPr>
          <w:color w:val="000000" w:themeColor="text1"/>
          <w:sz w:val="16"/>
          <w:szCs w:val="16"/>
        </w:rPr>
        <w:softHyphen/>
        <w:t>ривали по лирке и скобе для укладки лома и вехи. На правом конце связи были упор и скоба для крепления банника. Ящик для при</w:t>
      </w:r>
      <w:r w:rsidRPr="00070ADE">
        <w:rPr>
          <w:color w:val="000000" w:themeColor="text1"/>
          <w:sz w:val="16"/>
          <w:szCs w:val="16"/>
        </w:rPr>
        <w:softHyphen/>
        <w:t>надлежности и банник дополнительно удер</w:t>
      </w:r>
      <w:r w:rsidRPr="00070ADE">
        <w:rPr>
          <w:color w:val="000000" w:themeColor="text1"/>
          <w:sz w:val="16"/>
          <w:szCs w:val="16"/>
        </w:rPr>
        <w:softHyphen/>
        <w:t>живались на раме ремнями. Передняя часть рамы состояла из двух изогнутых труб, соеди</w:t>
      </w:r>
      <w:r w:rsidRPr="00070ADE">
        <w:rPr>
          <w:color w:val="000000" w:themeColor="text1"/>
          <w:sz w:val="16"/>
          <w:szCs w:val="16"/>
        </w:rPr>
        <w:softHyphen/>
        <w:t>ненных между собой трубой, обоймой и крон</w:t>
      </w:r>
      <w:r w:rsidRPr="00070ADE">
        <w:rPr>
          <w:color w:val="000000" w:themeColor="text1"/>
          <w:sz w:val="16"/>
          <w:szCs w:val="16"/>
        </w:rPr>
        <w:softHyphen/>
        <w:t>штейном тяги. В свою очередь, кронштейн тяги дополнительно был скреплен с обеих сторон трубами и поручнями, служащими ручками для транспортировки хода расчетом вручную. К трубе были приварены карман для укладки лопаты, захват и упор для кирко</w:t>
      </w:r>
      <w:r w:rsidRPr="00070ADE">
        <w:rPr>
          <w:color w:val="000000" w:themeColor="text1"/>
          <w:sz w:val="16"/>
          <w:szCs w:val="16"/>
        </w:rPr>
        <w:softHyphen/>
        <w:t>мотыги. Колеса имели разъемные металличе</w:t>
      </w:r>
      <w:r w:rsidRPr="00070ADE">
        <w:rPr>
          <w:color w:val="000000" w:themeColor="text1"/>
          <w:sz w:val="16"/>
          <w:szCs w:val="16"/>
        </w:rPr>
        <w:softHyphen/>
        <w:t>ские диски и пневматические шины, запол</w:t>
      </w:r>
      <w:r w:rsidRPr="00070ADE">
        <w:rPr>
          <w:color w:val="000000" w:themeColor="text1"/>
          <w:sz w:val="16"/>
          <w:szCs w:val="16"/>
        </w:rPr>
        <w:softHyphen/>
        <w:t>ненные губчатой резиной (ГК). Такие же колеса были и на 7б-мм горной пушке обр. 1938 г.</w:t>
      </w:r>
    </w:p>
    <w:p w14:paraId="77ED5CD6" w14:textId="77777777" w:rsidR="00406246" w:rsidRPr="00070ADE" w:rsidRDefault="00406246" w:rsidP="00B56F90">
      <w:pPr>
        <w:pStyle w:val="165"/>
        <w:shd w:val="clear" w:color="auto" w:fill="auto"/>
        <w:spacing w:line="240" w:lineRule="auto"/>
        <w:jc w:val="both"/>
        <w:rPr>
          <w:color w:val="000000" w:themeColor="text1"/>
          <w:sz w:val="16"/>
          <w:szCs w:val="16"/>
        </w:rPr>
      </w:pPr>
      <w:r w:rsidRPr="00070ADE">
        <w:rPr>
          <w:color w:val="000000" w:themeColor="text1"/>
          <w:sz w:val="16"/>
          <w:szCs w:val="16"/>
        </w:rPr>
        <w:t>Передок предназначался для перевозки двадцати окончательно снаряженных мин (в лотках) и для тяги колесного хода. Он состоял из рамы, короба, десяти лотков для мин, двух колес и тяговых приспособлений. Горизон</w:t>
      </w:r>
      <w:r w:rsidRPr="00070ADE">
        <w:rPr>
          <w:color w:val="000000" w:themeColor="text1"/>
          <w:sz w:val="16"/>
          <w:szCs w:val="16"/>
        </w:rPr>
        <w:softHyphen/>
        <w:t>тальные полки боковин рамы, связей и уголь</w:t>
      </w:r>
      <w:r w:rsidRPr="00070ADE">
        <w:rPr>
          <w:color w:val="000000" w:themeColor="text1"/>
          <w:sz w:val="16"/>
          <w:szCs w:val="16"/>
        </w:rPr>
        <w:softHyphen/>
        <w:t>ников составляли основание, к которому кре</w:t>
      </w:r>
      <w:r w:rsidRPr="00070ADE">
        <w:rPr>
          <w:color w:val="000000" w:themeColor="text1"/>
          <w:sz w:val="16"/>
          <w:szCs w:val="16"/>
        </w:rPr>
        <w:softHyphen/>
        <w:t>пился короб. Отогнутые края дна короба образовывали его стенки. Дно было изогнуто по форме рамы и имело десять отверстий, края которых для придания жесткости дну отогнуты вниз. Стенки снизу вырезаны по форме рамы, а вверху загнуты в виде трубок. Для жесткости в них было по восемь выштампованных углублений. Средние стенки делят короб на три части. Переднюю и заднюю - для лотков и среднюю - для принадлежно</w:t>
      </w:r>
      <w:r w:rsidRPr="00070ADE">
        <w:rPr>
          <w:color w:val="000000" w:themeColor="text1"/>
          <w:sz w:val="16"/>
          <w:szCs w:val="16"/>
        </w:rPr>
        <w:softHyphen/>
        <w:t>сти. Короб имеет десять гнезд для лотков. Под каждым лотком прикреплено по два резиновых буфера. Для закрепления лотков в передке имеются прижимы со стяжками. Каждый лоток служит для перевозки в нем двух окончательно снаряженных мин.</w:t>
      </w:r>
    </w:p>
    <w:p w14:paraId="680F75ED" w14:textId="77777777" w:rsidR="00406246" w:rsidRPr="00070ADE" w:rsidRDefault="00406246" w:rsidP="00B56F90">
      <w:pPr>
        <w:pStyle w:val="165"/>
        <w:shd w:val="clear" w:color="auto" w:fill="auto"/>
        <w:spacing w:line="240" w:lineRule="auto"/>
        <w:jc w:val="both"/>
        <w:rPr>
          <w:color w:val="000000" w:themeColor="text1"/>
          <w:sz w:val="16"/>
          <w:szCs w:val="16"/>
        </w:rPr>
      </w:pPr>
      <w:r w:rsidRPr="00070ADE">
        <w:rPr>
          <w:color w:val="000000" w:themeColor="text1"/>
          <w:sz w:val="16"/>
          <w:szCs w:val="16"/>
        </w:rPr>
        <w:t>Стрела механической тяги применялась при движении любой тягой (механической и конной). Основная часть стрелы представля</w:t>
      </w:r>
      <w:r w:rsidRPr="00070ADE">
        <w:rPr>
          <w:color w:val="000000" w:themeColor="text1"/>
          <w:sz w:val="16"/>
          <w:szCs w:val="16"/>
        </w:rPr>
        <w:softHyphen/>
        <w:t>ла собой трубу, в задний конец которой был вставлен конец с отверстиями для засова, крепящего стрелу в дышловой трубе рамы и ловителем. В передний конец вставлялась втулка с парой отверстий на конце для лови</w:t>
      </w:r>
      <w:r w:rsidRPr="00070ADE">
        <w:rPr>
          <w:color w:val="000000" w:themeColor="text1"/>
          <w:sz w:val="16"/>
          <w:szCs w:val="16"/>
        </w:rPr>
        <w:softHyphen/>
        <w:t>теля кронштейна шворневой лапы. Снизу к трубе были приварены проушины для креп</w:t>
      </w:r>
      <w:r w:rsidRPr="00070ADE">
        <w:rPr>
          <w:color w:val="000000" w:themeColor="text1"/>
          <w:sz w:val="16"/>
          <w:szCs w:val="16"/>
        </w:rPr>
        <w:softHyphen/>
        <w:t>ления подстановки и ушко для крепления цепи засова. Спереди в трубу и втулку встав</w:t>
      </w:r>
      <w:r w:rsidRPr="00070ADE">
        <w:rPr>
          <w:color w:val="000000" w:themeColor="text1"/>
          <w:sz w:val="16"/>
          <w:szCs w:val="16"/>
        </w:rPr>
        <w:softHyphen/>
        <w:t>лялся кронштейн с крюками для растяжек.</w:t>
      </w:r>
    </w:p>
    <w:p w14:paraId="342BEC6D" w14:textId="77777777" w:rsidR="00406246" w:rsidRPr="00070ADE" w:rsidRDefault="00406246" w:rsidP="00B56F90">
      <w:pPr>
        <w:pStyle w:val="165"/>
        <w:shd w:val="clear" w:color="auto" w:fill="auto"/>
        <w:spacing w:line="240" w:lineRule="auto"/>
        <w:jc w:val="both"/>
        <w:rPr>
          <w:color w:val="000000" w:themeColor="text1"/>
          <w:sz w:val="16"/>
          <w:szCs w:val="16"/>
        </w:rPr>
      </w:pPr>
      <w:r w:rsidRPr="00070ADE">
        <w:rPr>
          <w:color w:val="000000" w:themeColor="text1"/>
          <w:sz w:val="16"/>
          <w:szCs w:val="16"/>
        </w:rPr>
        <w:t>Дышло для конной тяги состояло из кор</w:t>
      </w:r>
      <w:r w:rsidRPr="00070ADE">
        <w:rPr>
          <w:color w:val="000000" w:themeColor="text1"/>
          <w:sz w:val="16"/>
          <w:szCs w:val="16"/>
        </w:rPr>
        <w:softHyphen/>
        <w:t>невой и уносной частей.</w:t>
      </w:r>
    </w:p>
    <w:p w14:paraId="1419D795" w14:textId="77777777" w:rsidR="00406246" w:rsidRPr="00070ADE" w:rsidRDefault="00406246"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Уносная вага при помощи вилы и звеньев крепилась на уносном крюке дышла. На крюки надеваются кольца постромок унос</w:t>
      </w:r>
      <w:r w:rsidRPr="00070ADE">
        <w:rPr>
          <w:rFonts w:ascii="Times New Roman" w:hAnsi="Times New Roman"/>
          <w:color w:val="000000" w:themeColor="text1"/>
          <w:sz w:val="16"/>
          <w:szCs w:val="16"/>
        </w:rPr>
        <w:softHyphen/>
        <w:t>ных лошадей. Для упряжки корневых лоша</w:t>
      </w:r>
      <w:r w:rsidRPr="00070ADE">
        <w:rPr>
          <w:rFonts w:ascii="Times New Roman" w:hAnsi="Times New Roman"/>
          <w:color w:val="000000" w:themeColor="text1"/>
          <w:sz w:val="16"/>
          <w:szCs w:val="16"/>
        </w:rPr>
        <w:softHyphen/>
        <w:t>дей служили вальки, подвешиваемые на вальковых крюках корневой ваги (19865).</w:t>
      </w:r>
    </w:p>
    <w:p w14:paraId="3E703BA2" w14:textId="77777777" w:rsidR="00406246" w:rsidRPr="00070ADE" w:rsidRDefault="00406246" w:rsidP="00B56F90">
      <w:pPr>
        <w:shd w:val="clear" w:color="auto" w:fill="FFFFFF"/>
        <w:spacing w:after="0" w:line="240" w:lineRule="auto"/>
        <w:jc w:val="both"/>
        <w:rPr>
          <w:rFonts w:ascii="Times New Roman" w:hAnsi="Times New Roman"/>
          <w:color w:val="000000" w:themeColor="text1"/>
          <w:sz w:val="16"/>
          <w:szCs w:val="16"/>
        </w:rPr>
      </w:pPr>
    </w:p>
    <w:p w14:paraId="71CA6C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мае 1944 г. вступила в строй центральная заводская лаборатория на заводе № 562. Результаты проводимых ею анализов приобрели с этого времени официальный характер и начали вноситься в формуляры на выпускаемую продукцию. До мая 1944 г. все необходимые анализы порохов проводились Московским пороховым институтом, что неизбежно удлиняло сроки сдачи готовой, продукции. </w:t>
      </w:r>
    </w:p>
    <w:p w14:paraId="7DA3463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результате выпуск порохов в 1944 г. почти в два раза превысил выпуск в 1943 г. В 1945 г. планы производства ракетных зарядов на заводе 512 были уменьшены. Причиной этого явилось полное развертывание в 1944 г. производства ракетных зарядов на ряде мощных пороховых заводов на востоке страны. </w:t>
      </w:r>
    </w:p>
    <w:p w14:paraId="7BCA95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за годы Великой Отечественной войны завод 512 изготовил около 550 тыс. ракетных зарядов, в том числе для снарядов M-13 около 217 тыс. и для M-13 около 308 тыс. [</w:t>
      </w:r>
      <w:r w:rsidRPr="00070ADE">
        <w:rPr>
          <w:rFonts w:ascii="Times New Roman" w:hAnsi="Times New Roman"/>
          <w:iCs/>
          <w:color w:val="000000" w:themeColor="text1"/>
          <w:sz w:val="16"/>
          <w:szCs w:val="16"/>
        </w:rPr>
        <w:t>Так в тексте. вероятно имелось в виду М-13 и М-8 — im</w:t>
      </w:r>
      <w:r w:rsidRPr="00070ADE">
        <w:rPr>
          <w:rFonts w:ascii="Times New Roman" w:hAnsi="Times New Roman"/>
          <w:color w:val="000000" w:themeColor="text1"/>
          <w:sz w:val="16"/>
          <w:szCs w:val="16"/>
        </w:rPr>
        <w:t>]. Все поставленные заряды отличались исключительно высоким качеством. Завод не имел ни одной рекламации от войск за весь период Великой Отечественной войны (11209).</w:t>
      </w:r>
    </w:p>
    <w:p w14:paraId="25E7C5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1945 г. после окончания Великой Отечественной войны завод 512 как валовый завод по выпуску порохов и зарядов из них прекратил свое существование и был преобразован в научно-исследовательский институт. [</w:t>
      </w:r>
      <w:r w:rsidRPr="00070ADE">
        <w:rPr>
          <w:rFonts w:ascii="Times New Roman" w:hAnsi="Times New Roman"/>
          <w:iCs/>
          <w:color w:val="000000" w:themeColor="text1"/>
          <w:sz w:val="16"/>
          <w:szCs w:val="16"/>
        </w:rPr>
        <w:t>НИИ-125, г.Дзержинский Московской обл., МАП (1947), МОМ (1965), позднее Научно-исследовательский химико-технологический институт</w:t>
      </w:r>
      <w:r w:rsidRPr="00070ADE">
        <w:rPr>
          <w:rFonts w:ascii="Times New Roman" w:hAnsi="Times New Roman"/>
          <w:color w:val="000000" w:themeColor="text1"/>
          <w:sz w:val="16"/>
          <w:szCs w:val="16"/>
        </w:rPr>
        <w:t>] (11209).</w:t>
      </w:r>
    </w:p>
    <w:p w14:paraId="4789DB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EBA12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В. Бер получает из НИИ-48 такое письмо: «Согласно вашего запроса от 18.04.44 имеем сообщить:</w:t>
      </w:r>
    </w:p>
    <w:p w14:paraId="137453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Освоение немецкой промышленностью массового бро</w:t>
      </w:r>
      <w:r w:rsidRPr="00070ADE">
        <w:rPr>
          <w:rFonts w:ascii="Times New Roman" w:hAnsi="Times New Roman"/>
          <w:color w:val="000000" w:themeColor="text1"/>
          <w:sz w:val="16"/>
          <w:szCs w:val="16"/>
        </w:rPr>
        <w:softHyphen/>
        <w:t>невого литья башен и корпусов танков считаем невозмож</w:t>
      </w:r>
      <w:r w:rsidRPr="00070ADE">
        <w:rPr>
          <w:rFonts w:ascii="Times New Roman" w:hAnsi="Times New Roman"/>
          <w:color w:val="000000" w:themeColor="text1"/>
          <w:sz w:val="16"/>
          <w:szCs w:val="16"/>
        </w:rPr>
        <w:softHyphen/>
        <w:t>ным ввиду отсутствия в настоящее время в Германии необ</w:t>
      </w:r>
      <w:r w:rsidRPr="00070ADE">
        <w:rPr>
          <w:rFonts w:ascii="Times New Roman" w:hAnsi="Times New Roman"/>
          <w:color w:val="000000" w:themeColor="text1"/>
          <w:sz w:val="16"/>
          <w:szCs w:val="16"/>
        </w:rPr>
        <w:softHyphen/>
        <w:t>ходимой номенклатуры легирующих компонентов, что под</w:t>
      </w:r>
      <w:r w:rsidRPr="00070ADE">
        <w:rPr>
          <w:rFonts w:ascii="Times New Roman" w:hAnsi="Times New Roman"/>
          <w:color w:val="000000" w:themeColor="text1"/>
          <w:sz w:val="16"/>
          <w:szCs w:val="16"/>
        </w:rPr>
        <w:softHyphen/>
        <w:t>тверждается исследованиями химического состава ката</w:t>
      </w:r>
      <w:r w:rsidRPr="00070ADE">
        <w:rPr>
          <w:rFonts w:ascii="Times New Roman" w:hAnsi="Times New Roman"/>
          <w:color w:val="000000" w:themeColor="text1"/>
          <w:sz w:val="16"/>
          <w:szCs w:val="16"/>
        </w:rPr>
        <w:softHyphen/>
        <w:t>ной и литой брони танков «Тигр» и «Пантера»...</w:t>
      </w:r>
    </w:p>
    <w:p w14:paraId="70B174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Немецкая литая броня высокой твердости большой толщины не является надежной защитой против бронебой</w:t>
      </w:r>
      <w:r w:rsidRPr="00070ADE">
        <w:rPr>
          <w:rFonts w:ascii="Times New Roman" w:hAnsi="Times New Roman"/>
          <w:color w:val="000000" w:themeColor="text1"/>
          <w:sz w:val="16"/>
          <w:szCs w:val="16"/>
        </w:rPr>
        <w:softHyphen/>
        <w:t>ных снарядов большой массы...»</w:t>
      </w:r>
    </w:p>
    <w:p w14:paraId="62C305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Можно сделать вывод, что начальник ОГК НКТП, види</w:t>
      </w:r>
      <w:r w:rsidRPr="00070ADE">
        <w:rPr>
          <w:rFonts w:ascii="Times New Roman" w:hAnsi="Times New Roman"/>
          <w:color w:val="000000" w:themeColor="text1"/>
          <w:sz w:val="16"/>
          <w:szCs w:val="16"/>
        </w:rPr>
        <w:softHyphen/>
        <w:t>мо, привлекал специалистов по броне для изучения разроз</w:t>
      </w:r>
      <w:r w:rsidRPr="00070ADE">
        <w:rPr>
          <w:rFonts w:ascii="Times New Roman" w:hAnsi="Times New Roman"/>
          <w:color w:val="000000" w:themeColor="text1"/>
          <w:sz w:val="16"/>
          <w:szCs w:val="16"/>
        </w:rPr>
        <w:softHyphen/>
        <w:t>ненных данных по новому немецкому танку с «литым броне</w:t>
      </w:r>
      <w:r w:rsidRPr="00070ADE">
        <w:rPr>
          <w:rFonts w:ascii="Times New Roman" w:hAnsi="Times New Roman"/>
          <w:color w:val="000000" w:themeColor="text1"/>
          <w:sz w:val="16"/>
          <w:szCs w:val="16"/>
        </w:rPr>
        <w:softHyphen/>
        <w:t>вым корпусом и башней», что было естественно в то время (11135).</w:t>
      </w:r>
    </w:p>
    <w:p w14:paraId="6EA451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D6AC28" w14:textId="29591A75"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было принято решение о том, что в Ленинграде необходимо возобновлять производство тяжёлых танков. Связано это было с успехами на фронте: в январе 1944 года РККА</w:t>
      </w:r>
      <w:r w:rsidR="00B643A8" w:rsidRPr="00070ADE">
        <w:rPr>
          <w:rFonts w:ascii="Times New Roman" w:hAnsi="Times New Roman"/>
          <w:color w:val="000000" w:themeColor="text1"/>
          <w:sz w:val="16"/>
          <w:szCs w:val="16"/>
        </w:rPr>
        <w:t xml:space="preserve"> </w:t>
      </w:r>
      <w:hyperlink r:id="rId151" w:history="1">
        <w:r w:rsidRPr="00070ADE">
          <w:rPr>
            <w:rStyle w:val="a5"/>
            <w:rFonts w:ascii="Times New Roman" w:hAnsi="Times New Roman"/>
            <w:color w:val="000000" w:themeColor="text1"/>
            <w:sz w:val="16"/>
            <w:szCs w:val="16"/>
          </w:rPr>
          <w:t>окончательно сняла блокаду Ленинграда</w:t>
        </w:r>
      </w:hyperlink>
      <w:r w:rsidRPr="00070ADE">
        <w:rPr>
          <w:rFonts w:ascii="Times New Roman" w:hAnsi="Times New Roman"/>
          <w:color w:val="000000" w:themeColor="text1"/>
          <w:sz w:val="16"/>
          <w:szCs w:val="16"/>
        </w:rPr>
        <w:t>, фронт стремительно отодвигался от города, который продержался в окружении 900 дней и ночей. 26 мая 1944 года Сталин подписал постановление ГКО №5959сс «Об организации производства танков ИС, бронекорпусов к ним и о восстановлении металлургии на Кировском и Ижорском заводах Наркомата танковой промышленности в г. Ленинграде». Уже в октябре ожидалась сдача первых десяти ленинградских ИС-2, в ноябре их должно было быть 20, а в декабре — 25. В первом квартале 1945 года предполагалось увеличить объём выпуска ИС-2 до 50 штук в месяц. Постановление возрождало и работу Ижорского завода, который, как и до войны, должен был обеспечивать ЛКЗ корпусами и башнями (18099).</w:t>
      </w:r>
    </w:p>
    <w:p w14:paraId="369757AB" w14:textId="77777777" w:rsidR="00822884" w:rsidRPr="00070ADE" w:rsidRDefault="00822884" w:rsidP="00B56F90">
      <w:pPr>
        <w:spacing w:after="0" w:line="240" w:lineRule="auto"/>
        <w:jc w:val="both"/>
        <w:rPr>
          <w:rFonts w:ascii="Times New Roman" w:hAnsi="Times New Roman"/>
          <w:color w:val="000000" w:themeColor="text1"/>
          <w:sz w:val="16"/>
          <w:szCs w:val="16"/>
        </w:rPr>
      </w:pPr>
    </w:p>
    <w:p w14:paraId="670B0C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мае 1944 г. УЗТМ выпустил первые 20 усовершенствованных бронекорпусов танка ИС. Заводу № 200 необходимо было выпускать корпус со спрямленным литым носом и углом наклона верхнего лобового листа в 60° из броневой стали высокой твердости толщиной 100 мм. Бортовая броня литой носовой части корпуса должна </w:t>
      </w:r>
      <w:r w:rsidRPr="00070ADE">
        <w:rPr>
          <w:rFonts w:ascii="Times New Roman" w:hAnsi="Times New Roman"/>
          <w:color w:val="000000" w:themeColor="text1"/>
          <w:sz w:val="16"/>
          <w:szCs w:val="16"/>
        </w:rPr>
        <w:lastRenderedPageBreak/>
        <w:t>была иметь толщину 90 мм. Остальные толщины деталей должны были быть такими же, как и для УЗТМ. С целью сохранения массы корпуса в прежних пределах было решено уменьшить толщину подкрылков до 16 мм, днища корпуса - до 20 мм, крыши над двигателем - до 20 мм (10703).</w:t>
      </w:r>
    </w:p>
    <w:p w14:paraId="2DEB21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76E2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"Уралмашзавод" перешел на выпуск бронекорпусов ИС-2 со "спрямленным" сварным носом, а завод № 200 начал выпускать такие же корпуса, но с литым носом с июня 1944 года. Впрочем, некоторое время танки со старыми и новыми корпусами выпускались параллельно. (3862).</w:t>
      </w:r>
    </w:p>
    <w:p w14:paraId="5BD76D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9054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мая 1944 года начался выпуск башен ИС-2 с расширенной амбразурой, что позволило сместить прицел влево. Была также увеличена бронезащита маски орудия и толщина нижней части бортов. Командирскую башенку сместили влево на 63 мм, перископический прицел ПТ4-17 изъяли, а на его месте установили прибор наблюдения MK-IV.</w:t>
      </w:r>
    </w:p>
    <w:p w14:paraId="26137C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командирской башенке появилась зенитная установка крупнокалиберного пулемета ДШК (конструктор - П.П.Исаков). Вплоть до конца войны башня ИСа никаким другим существенным изменениям не подвергалась. (3862).</w:t>
      </w:r>
    </w:p>
    <w:p w14:paraId="549522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685B24" w14:textId="77777777" w:rsidR="00552857" w:rsidRPr="00070ADE" w:rsidRDefault="00552857" w:rsidP="00B56F90">
      <w:pPr>
        <w:pStyle w:val="a3"/>
        <w:rPr>
          <w:color w:val="000000" w:themeColor="text1"/>
          <w:lang w:val="ru-RU"/>
        </w:rPr>
      </w:pPr>
      <w:r w:rsidRPr="00070ADE">
        <w:rPr>
          <w:color w:val="000000" w:themeColor="text1"/>
          <w:lang w:val="ru-RU"/>
        </w:rPr>
        <w:t>Начиная с мая 1944 г. В целях усиления броневой защиты танка ИС-2 конструкция передней части его корпуса претерпела изменения, машины со спрямленным литым, а затем — и с катаным верхним лобовым листом стали выпу</w:t>
      </w:r>
      <w:r w:rsidRPr="00070ADE">
        <w:rPr>
          <w:color w:val="000000" w:themeColor="text1"/>
          <w:lang w:val="ru-RU"/>
        </w:rPr>
        <w:softHyphen/>
        <w:t>скаться серийно.</w:t>
      </w:r>
    </w:p>
    <w:p w14:paraId="567D7DDF" w14:textId="77777777" w:rsidR="00552857" w:rsidRPr="00070ADE" w:rsidRDefault="00552857" w:rsidP="00B56F90">
      <w:pPr>
        <w:pStyle w:val="a3"/>
        <w:rPr>
          <w:color w:val="000000" w:themeColor="text1"/>
          <w:lang w:val="ru-RU"/>
        </w:rPr>
      </w:pPr>
      <w:r w:rsidRPr="00070ADE">
        <w:rPr>
          <w:color w:val="000000" w:themeColor="text1"/>
          <w:lang w:val="ru-RU"/>
        </w:rPr>
        <w:t>К концу 1944 г. модернизация, проводив</w:t>
      </w:r>
      <w:r w:rsidRPr="00070ADE">
        <w:rPr>
          <w:color w:val="000000" w:themeColor="text1"/>
          <w:lang w:val="ru-RU"/>
        </w:rPr>
        <w:softHyphen/>
        <w:t>шаяся в ходе серийного производства ИС-2, приобрела одну направленность — качествен</w:t>
      </w:r>
      <w:r w:rsidRPr="00070ADE">
        <w:rPr>
          <w:color w:val="000000" w:themeColor="text1"/>
          <w:lang w:val="ru-RU"/>
        </w:rPr>
        <w:softHyphen/>
        <w:t>ное усиление броневой защиты, что предпола</w:t>
      </w:r>
      <w:r w:rsidRPr="00070ADE">
        <w:rPr>
          <w:color w:val="000000" w:themeColor="text1"/>
          <w:lang w:val="ru-RU"/>
        </w:rPr>
        <w:softHyphen/>
        <w:t>гало полностью отказаться от литых конструк</w:t>
      </w:r>
      <w:r w:rsidRPr="00070ADE">
        <w:rPr>
          <w:color w:val="000000" w:themeColor="text1"/>
          <w:lang w:val="ru-RU"/>
        </w:rPr>
        <w:softHyphen/>
        <w:t>ций элементов корпуса.</w:t>
      </w:r>
    </w:p>
    <w:p w14:paraId="2752AF5A" w14:textId="77777777" w:rsidR="00552857" w:rsidRPr="00070ADE" w:rsidRDefault="00552857" w:rsidP="00B56F90">
      <w:pPr>
        <w:pStyle w:val="a3"/>
        <w:rPr>
          <w:color w:val="000000" w:themeColor="text1"/>
          <w:lang w:val="ru-RU"/>
        </w:rPr>
      </w:pPr>
      <w:r w:rsidRPr="00070ADE">
        <w:rPr>
          <w:color w:val="000000" w:themeColor="text1"/>
          <w:lang w:val="ru-RU"/>
        </w:rPr>
        <w:t>Но Г.Н. Москвина как компоновщика волно</w:t>
      </w:r>
      <w:r w:rsidRPr="00070ADE">
        <w:rPr>
          <w:color w:val="000000" w:themeColor="text1"/>
          <w:lang w:val="ru-RU"/>
        </w:rPr>
        <w:softHyphen/>
        <w:t>вали еще некоторые аспекты улучшения снарядостойкости спрямленного носа. Во-первых, в верхнем листе было необходимо выполнять сквозную прорезь (смотровую щель) для обе</w:t>
      </w:r>
      <w:r w:rsidRPr="00070ADE">
        <w:rPr>
          <w:color w:val="000000" w:themeColor="text1"/>
          <w:lang w:val="ru-RU"/>
        </w:rPr>
        <w:softHyphen/>
        <w:t>спечения обзорности механика-водителя, что нарушало прочность и снижало противоснарядную стойкость лобовой части танка. Альтернативой могла стать установка пери</w:t>
      </w:r>
      <w:r w:rsidRPr="00070ADE">
        <w:rPr>
          <w:color w:val="000000" w:themeColor="text1"/>
          <w:lang w:val="ru-RU"/>
        </w:rPr>
        <w:softHyphen/>
        <w:t>скопических зеркальных приборов, но для их размещения места было недостаточно. Кроме того, для посадки-выхода механика-водителя сохранялся лишь один способ — через люк в крыше башни.</w:t>
      </w:r>
    </w:p>
    <w:p w14:paraId="2A1DD348" w14:textId="77777777" w:rsidR="00552857" w:rsidRPr="00070ADE" w:rsidRDefault="00552857" w:rsidP="00B56F90">
      <w:pPr>
        <w:pStyle w:val="a3"/>
        <w:rPr>
          <w:color w:val="000000" w:themeColor="text1"/>
          <w:lang w:val="ru-RU"/>
        </w:rPr>
      </w:pPr>
      <w:r w:rsidRPr="00070ADE">
        <w:rPr>
          <w:color w:val="000000" w:themeColor="text1"/>
          <w:lang w:val="ru-RU"/>
        </w:rPr>
        <w:t>В итоге Г.Н. Москвин предложил выпол</w:t>
      </w:r>
      <w:r w:rsidRPr="00070ADE">
        <w:rPr>
          <w:color w:val="000000" w:themeColor="text1"/>
          <w:lang w:val="ru-RU"/>
        </w:rPr>
        <w:softHyphen/>
        <w:t>нить верхний лобовой лист не плоским, а двускатным, т.е. с продольным перегибом посредине. В этом случае в верхней части листа вблизи башни освобождалось место для люка механика-водителя треугольной формы. Кроме того, крышка люка, имеющая два основных положения (нижнее и верхнее), в сочетании с двумя положениями сиденья механика-водителя (также нижним и верхнем), будучи повернутая вокруг вертикальной оси, расположенной в одном из боковых углов крышки, позволяла механику-водителю в верхнем положении сиденья вести наблюде</w:t>
      </w:r>
      <w:r w:rsidRPr="00070ADE">
        <w:rPr>
          <w:color w:val="000000" w:themeColor="text1"/>
          <w:lang w:val="ru-RU"/>
        </w:rPr>
        <w:softHyphen/>
        <w:t>ние на марше за местностью.</w:t>
      </w:r>
    </w:p>
    <w:p w14:paraId="553F44DA" w14:textId="77777777" w:rsidR="00552857" w:rsidRPr="00070ADE" w:rsidRDefault="00552857" w:rsidP="00B56F90">
      <w:pPr>
        <w:pStyle w:val="a3"/>
        <w:rPr>
          <w:color w:val="000000" w:themeColor="text1"/>
          <w:lang w:val="ru-RU"/>
        </w:rPr>
      </w:pPr>
      <w:r w:rsidRPr="00070ADE">
        <w:rPr>
          <w:color w:val="000000" w:themeColor="text1"/>
          <w:lang w:val="ru-RU"/>
        </w:rPr>
        <w:t>Подворот крыльев верхнего лобового листа дополнительно повышал броневую стойкость лба корпуса.</w:t>
      </w:r>
    </w:p>
    <w:p w14:paraId="774134E9" w14:textId="77777777" w:rsidR="00552857" w:rsidRPr="00070ADE" w:rsidRDefault="00552857" w:rsidP="00B56F90">
      <w:pPr>
        <w:pStyle w:val="a3"/>
        <w:rPr>
          <w:color w:val="000000" w:themeColor="text1"/>
          <w:lang w:val="ru-RU"/>
        </w:rPr>
      </w:pPr>
      <w:r w:rsidRPr="00070ADE">
        <w:rPr>
          <w:color w:val="000000" w:themeColor="text1"/>
          <w:lang w:val="ru-RU"/>
        </w:rPr>
        <w:t>Проконсультировавшись со специали</w:t>
      </w:r>
      <w:r w:rsidRPr="00070ADE">
        <w:rPr>
          <w:color w:val="000000" w:themeColor="text1"/>
          <w:lang w:val="ru-RU"/>
        </w:rPr>
        <w:softHyphen/>
        <w:t>стами Броневого НИИ, Г.Н. Москвин спроекти</w:t>
      </w:r>
      <w:r w:rsidRPr="00070ADE">
        <w:rPr>
          <w:color w:val="000000" w:themeColor="text1"/>
          <w:lang w:val="ru-RU"/>
        </w:rPr>
        <w:softHyphen/>
        <w:t>ровал макет бронекорпуса с двумя «носами» — плоским и с перегибом посредине. Обстрел макета, проведенный на полигоне, подтвердил целесообразность замены плоского верхнего лобового листа на лист с перегибом. Эффект усиления бронезащиты был достигнут при всех заданных курсовых углах (12617).</w:t>
      </w:r>
    </w:p>
    <w:p w14:paraId="1B97C70F" w14:textId="77777777" w:rsidR="00552857" w:rsidRPr="00070ADE" w:rsidRDefault="00552857" w:rsidP="00B56F90">
      <w:pPr>
        <w:pStyle w:val="a3"/>
        <w:rPr>
          <w:color w:val="000000" w:themeColor="text1"/>
          <w:lang w:val="ru-RU"/>
        </w:rPr>
      </w:pPr>
    </w:p>
    <w:p w14:paraId="549B5CCD" w14:textId="77777777" w:rsidR="00D36BD0" w:rsidRPr="00C94B78" w:rsidRDefault="00D36BD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Май 1944 года оказался не только месяцем очень серьезных испытаний для ЧКЗ, на котором установку нового оборудования закончили только 20 мая, но и временем новых метаморфоз ИС-2. Прежде всего, это касалось башен и вооружения. Для начала, на заводе №200 начали сборку башен по окончательной версии чертежа 240-57-Сб117, которая предполагала переход к «малым» поручням. Более важным моментом стал переход к новой орудийной маски, которая была разработана еще в январе 1944 года. Это означало, что на машины начали устанавливать прицелы ТШ-17. Произошло это ближе к концу месяца, всего за май ТШ-17 установили на 42 танках. Введение новой бронировки отметили и в списках дефектов, обнаруженных на орудийных системах за май. В виду неувязок в чертежах на наибольших углах возвышения и склонения образовывалась щель между кромкой бронировки и вырезе в кожухе под прицел. Данная информация оперативно отправилась на завод №200, после чего внесли исправления. Прицелы 10Т-17 ставились и дальше, в частности, их получали и танки июньского выпуска. Окончательно от данного прицела отказались к началу июля (25541).</w:t>
      </w:r>
    </w:p>
    <w:p w14:paraId="6744038E" w14:textId="77777777" w:rsidR="00D36BD0" w:rsidRPr="00C94B78" w:rsidRDefault="00D36BD0" w:rsidP="00B56F90">
      <w:pPr>
        <w:spacing w:after="0" w:line="240" w:lineRule="auto"/>
        <w:jc w:val="both"/>
        <w:rPr>
          <w:rFonts w:ascii="Times New Roman" w:hAnsi="Times New Roman"/>
          <w:color w:val="0070C0"/>
          <w:sz w:val="16"/>
          <w:szCs w:val="16"/>
        </w:rPr>
      </w:pPr>
    </w:p>
    <w:p w14:paraId="28BC3A08" w14:textId="77777777" w:rsidR="00822884" w:rsidRPr="00070ADE" w:rsidRDefault="00822884" w:rsidP="00B56F90">
      <w:pPr>
        <w:pStyle w:val="ae"/>
        <w:spacing w:before="0" w:after="0"/>
        <w:jc w:val="both"/>
        <w:textAlignment w:val="baseline"/>
        <w:rPr>
          <w:color w:val="000000" w:themeColor="text1"/>
          <w:sz w:val="16"/>
          <w:szCs w:val="16"/>
        </w:rPr>
      </w:pPr>
      <w:r w:rsidRPr="00070ADE">
        <w:rPr>
          <w:color w:val="000000" w:themeColor="text1"/>
          <w:sz w:val="16"/>
          <w:szCs w:val="16"/>
        </w:rPr>
        <w:t>В мае 1944 года на заводу № 183 на заводские испытания они вышли опытные Т-34-85. Причиной тому стала загрузка по выпуску Т-34-85 и форсирование работ по Т-44. В-третьих, большинство предложений заводского КБ оказалось отвергнуто. Как и требовалось в приказе №109сс, толщину нижнего кормового листа корпуса снизили до 30 мм, уменьшились и толщины крыши и днища.</w:t>
      </w:r>
    </w:p>
    <w:p w14:paraId="580B057E" w14:textId="77777777" w:rsidR="00822884" w:rsidRPr="00070ADE" w:rsidRDefault="00822884" w:rsidP="00B56F90">
      <w:pPr>
        <w:pStyle w:val="ae"/>
        <w:spacing w:before="0" w:after="0"/>
        <w:jc w:val="both"/>
        <w:textAlignment w:val="baseline"/>
        <w:rPr>
          <w:color w:val="000000" w:themeColor="text1"/>
          <w:sz w:val="16"/>
          <w:szCs w:val="16"/>
        </w:rPr>
      </w:pPr>
      <w:r w:rsidRPr="00070ADE">
        <w:rPr>
          <w:color w:val="000000" w:themeColor="text1"/>
          <w:sz w:val="16"/>
          <w:szCs w:val="16"/>
        </w:rPr>
        <w:t>Несмотря на отмену нововведений вроде командирской башенки от Т-44, танк, получивший обозначение Т-34-85М, даже по первому варианту получил некоторые изменения по сравнению с исходным проектом. Толщину крыши люка механика-водителя увеличили с 90 до 100 мм. Вероятнее всего, утолщение связано с результатами испытаний обстрелом корпуса первого варианта Т-44. Выяснилось, что толщины смотрового лючка будки механика-водителя, составлявшей 90 мм, оказалось недостаточно. В результате было принято решение об наращивании толщины смотрового лючка до 100 мм и увеличения угла его наклона. Таким образом, лобовой лист корпуса получил защиту от 75-мм пушки Pak 40. В связи с увеличением толщины крышки люка выросла и его масса, поэтому вместо пружинного уравновешивающего механизма поставили торсион. Следует отметить, что за счёт перераспределения толщины листов боевая масса Т-34-85М по первому варианту составила 32 115 кг, при этом серийный Т-34-85 имел боевую массу 32 250 кг. Также модернизированный танк получил 4-скоростную КПП с изменённым передаточным отношением в конической паре шестерён. Изменились и ведущие колёса: их диаметр снизился до 530 мм, а количество роликов сократили до пяти.</w:t>
      </w:r>
    </w:p>
    <w:p w14:paraId="39DEA2A4" w14:textId="77777777" w:rsidR="00822884" w:rsidRPr="00070ADE" w:rsidRDefault="00822884" w:rsidP="00B56F90">
      <w:pPr>
        <w:pStyle w:val="ae"/>
        <w:spacing w:before="0" w:after="0"/>
        <w:jc w:val="both"/>
        <w:textAlignment w:val="baseline"/>
        <w:rPr>
          <w:color w:val="000000" w:themeColor="text1"/>
          <w:sz w:val="16"/>
          <w:szCs w:val="16"/>
        </w:rPr>
      </w:pPr>
      <w:r w:rsidRPr="00070ADE">
        <w:rPr>
          <w:color w:val="000000" w:themeColor="text1"/>
          <w:sz w:val="16"/>
          <w:szCs w:val="16"/>
        </w:rPr>
        <w:t>Танк по второму варианту модернизации имел куда больше отличий. Для начала машина также получила ведущие колёса с уменьшенным до 530 мм диаметром и 5 роликами вместо 6. Отбойники для досылки пальцев в проушины траков перенесли в переднюю часть корпуса. Наконец, в связи с требованием убрать топливные баки из боевого отделения их перенесли в кормовую часть корпуса. Для этого кормовую часть корпуса удлинили, и там появилось 2 топливных бака по 190 л каждый. Общий объём топливных баков составил 540 л. Благодаря выносу топливных баков из боевого отделения удалось найти место для 4 дополнительных выстрелов к 85-мм орудию ЗИС-С-53 и 2 дополнительных пулемётных дисков.</w:t>
      </w:r>
    </w:p>
    <w:p w14:paraId="2D124EB0" w14:textId="77777777" w:rsidR="00822884" w:rsidRPr="00070ADE" w:rsidRDefault="00822884" w:rsidP="00B56F90">
      <w:pPr>
        <w:pStyle w:val="ae"/>
        <w:spacing w:before="0" w:after="0"/>
        <w:jc w:val="both"/>
        <w:textAlignment w:val="baseline"/>
        <w:rPr>
          <w:color w:val="000000" w:themeColor="text1"/>
          <w:sz w:val="16"/>
          <w:szCs w:val="16"/>
        </w:rPr>
      </w:pPr>
      <w:r w:rsidRPr="00070ADE">
        <w:rPr>
          <w:color w:val="000000" w:themeColor="text1"/>
          <w:sz w:val="16"/>
          <w:szCs w:val="16"/>
        </w:rPr>
        <w:t>Переделка кормовой части машины привела к тому, что корпус стал длиннее на 185 мм, а общая масса машины составила 32 230 кг. Впрочем, это всё равно было меньше, чем у серийного Т-34-85. Переделка кормовой части привела и к изменению выхлопной системы. Нижний кормовой лист увеличился по высоте на 400 мм. Для сохранения боевой массы с бортов баки прикрывались вертикальными листами толщиной 45 мм, при этом были сделаны ложные подкрылки из листового железа. Также переделали спидометр, причём его показатели оказались неверными – дело в том, что на танк поставили ведущие колёса иного диаметра, в привод к спидометру не переделали (18998).</w:t>
      </w:r>
    </w:p>
    <w:p w14:paraId="32617900" w14:textId="77777777" w:rsidR="00822884" w:rsidRPr="00070ADE" w:rsidRDefault="00822884" w:rsidP="00B56F90">
      <w:pPr>
        <w:pStyle w:val="ae"/>
        <w:spacing w:before="0" w:after="0"/>
        <w:jc w:val="both"/>
        <w:textAlignment w:val="baseline"/>
        <w:rPr>
          <w:color w:val="000000" w:themeColor="text1"/>
          <w:sz w:val="16"/>
          <w:szCs w:val="16"/>
        </w:rPr>
      </w:pPr>
    </w:p>
    <w:p w14:paraId="3D1CF072" w14:textId="77777777" w:rsidR="00D36BD0" w:rsidRPr="00C94B78" w:rsidRDefault="00D36BD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мае 1944 года две модерни</w:t>
      </w:r>
      <w:r w:rsidRPr="00C94B78">
        <w:rPr>
          <w:rFonts w:ascii="Times New Roman" w:hAnsi="Times New Roman"/>
          <w:color w:val="0070C0"/>
          <w:sz w:val="16"/>
          <w:szCs w:val="16"/>
        </w:rPr>
        <w:softHyphen/>
        <w:t>зированных машины с усиленным бронированием, получившие обозначе</w:t>
      </w:r>
      <w:r w:rsidRPr="00C94B78">
        <w:rPr>
          <w:rFonts w:ascii="Times New Roman" w:hAnsi="Times New Roman"/>
          <w:color w:val="0070C0"/>
          <w:sz w:val="16"/>
          <w:szCs w:val="16"/>
        </w:rPr>
        <w:softHyphen/>
        <w:t>ние Т-34-85М, были готовы.</w:t>
      </w:r>
    </w:p>
    <w:p w14:paraId="1A411597" w14:textId="77777777" w:rsidR="00D36BD0" w:rsidRPr="00C94B78" w:rsidRDefault="00D36BD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Согласно описания этих машин, их модер</w:t>
      </w:r>
      <w:r w:rsidRPr="00C94B78">
        <w:rPr>
          <w:rFonts w:ascii="Times New Roman" w:hAnsi="Times New Roman"/>
          <w:color w:val="0070C0"/>
          <w:sz w:val="16"/>
          <w:szCs w:val="16"/>
        </w:rPr>
        <w:softHyphen/>
        <w:t>низация заключалась в следующем:</w:t>
      </w:r>
    </w:p>
    <w:p w14:paraId="4DE602F8" w14:textId="77777777" w:rsidR="00D36BD0" w:rsidRPr="00C94B78" w:rsidRDefault="00D36BD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 первому варианту:</w:t>
      </w:r>
    </w:p>
    <w:p w14:paraId="0C0CB804" w14:textId="77777777" w:rsidR="00D36BD0" w:rsidRPr="00C94B78" w:rsidRDefault="00D36BD0" w:rsidP="00B56F90">
      <w:pPr>
        <w:tabs>
          <w:tab w:val="left" w:pos="442"/>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а). В усилении бронезащиты верхнего на</w:t>
      </w:r>
      <w:r w:rsidRPr="00C94B78">
        <w:rPr>
          <w:rFonts w:ascii="Times New Roman" w:hAnsi="Times New Roman"/>
          <w:color w:val="0070C0"/>
          <w:sz w:val="16"/>
          <w:szCs w:val="16"/>
        </w:rPr>
        <w:softHyphen/>
        <w:t>клонного листа [корпуса] до 75 мм, вместо 45 мм.</w:t>
      </w:r>
    </w:p>
    <w:p w14:paraId="5EFC35B6" w14:textId="77777777" w:rsidR="00D36BD0" w:rsidRPr="00C94B78" w:rsidRDefault="00D36BD0" w:rsidP="00B56F90">
      <w:pPr>
        <w:tabs>
          <w:tab w:val="left" w:pos="462"/>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б). В установке коробки перемены пере</w:t>
      </w:r>
      <w:r w:rsidRPr="00C94B78">
        <w:rPr>
          <w:rFonts w:ascii="Times New Roman" w:hAnsi="Times New Roman"/>
          <w:color w:val="0070C0"/>
          <w:sz w:val="16"/>
          <w:szCs w:val="16"/>
        </w:rPr>
        <w:softHyphen/>
        <w:t>дач с измененным передаточным отношени</w:t>
      </w:r>
      <w:r w:rsidRPr="00C94B78">
        <w:rPr>
          <w:rFonts w:ascii="Times New Roman" w:hAnsi="Times New Roman"/>
          <w:color w:val="0070C0"/>
          <w:sz w:val="16"/>
          <w:szCs w:val="16"/>
        </w:rPr>
        <w:softHyphen/>
        <w:t>ем по конической паре на 1,562 вместо 1,857.</w:t>
      </w:r>
    </w:p>
    <w:p w14:paraId="0CA5732B" w14:textId="77777777" w:rsidR="00D36BD0" w:rsidRPr="00C94B78" w:rsidRDefault="00D36BD0" w:rsidP="00B56F90">
      <w:pPr>
        <w:tabs>
          <w:tab w:val="left" w:pos="447"/>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В утолщении литого люка водителя с торсионным уравновешивающим механиз</w:t>
      </w:r>
      <w:r w:rsidRPr="00C94B78">
        <w:rPr>
          <w:rFonts w:ascii="Times New Roman" w:hAnsi="Times New Roman"/>
          <w:color w:val="0070C0"/>
          <w:sz w:val="16"/>
          <w:szCs w:val="16"/>
        </w:rPr>
        <w:softHyphen/>
        <w:t>мом до 100 мм вместо 75 мм и защиты пуле</w:t>
      </w:r>
      <w:r w:rsidRPr="00C94B78">
        <w:rPr>
          <w:rFonts w:ascii="Times New Roman" w:hAnsi="Times New Roman"/>
          <w:color w:val="0070C0"/>
          <w:sz w:val="16"/>
          <w:szCs w:val="16"/>
        </w:rPr>
        <w:softHyphen/>
        <w:t>мета ДТ до 90 мм вместо 60 мм.</w:t>
      </w:r>
    </w:p>
    <w:p w14:paraId="423FE940" w14:textId="77777777" w:rsidR="00D36BD0" w:rsidRPr="00C94B78" w:rsidRDefault="00D36BD0" w:rsidP="00B56F90">
      <w:pPr>
        <w:tabs>
          <w:tab w:val="left" w:pos="457"/>
        </w:tabs>
        <w:spacing w:after="0" w:line="240" w:lineRule="auto"/>
        <w:jc w:val="both"/>
        <w:rPr>
          <w:rFonts w:ascii="Times New Roman" w:hAnsi="Times New Roman"/>
          <w:color w:val="0070C0"/>
          <w:sz w:val="16"/>
          <w:szCs w:val="16"/>
        </w:rPr>
      </w:pPr>
      <w:bookmarkStart w:id="64" w:name="bookmark126"/>
      <w:r w:rsidRPr="00C94B78">
        <w:rPr>
          <w:rFonts w:ascii="Times New Roman" w:hAnsi="Times New Roman"/>
          <w:color w:val="0070C0"/>
          <w:sz w:val="16"/>
          <w:szCs w:val="16"/>
        </w:rPr>
        <w:t>г</w:t>
      </w:r>
      <w:bookmarkEnd w:id="64"/>
      <w:r w:rsidRPr="00C94B78">
        <w:rPr>
          <w:rFonts w:ascii="Times New Roman" w:hAnsi="Times New Roman"/>
          <w:color w:val="0070C0"/>
          <w:sz w:val="16"/>
          <w:szCs w:val="16"/>
        </w:rPr>
        <w:t>). В уменьшении по диаметру ведущих ко</w:t>
      </w:r>
      <w:r w:rsidRPr="00C94B78">
        <w:rPr>
          <w:rFonts w:ascii="Times New Roman" w:hAnsi="Times New Roman"/>
          <w:color w:val="0070C0"/>
          <w:sz w:val="16"/>
          <w:szCs w:val="16"/>
        </w:rPr>
        <w:softHyphen/>
        <w:t>лес до 530 мм с 5-ю роликами, вместо колес диаметром 634 мм с 6-ю роликами.</w:t>
      </w:r>
    </w:p>
    <w:p w14:paraId="28E411AC" w14:textId="77777777" w:rsidR="00D36BD0" w:rsidRPr="00C94B78" w:rsidRDefault="00D36BD0" w:rsidP="00B56F90">
      <w:pPr>
        <w:tabs>
          <w:tab w:val="left" w:pos="457"/>
        </w:tabs>
        <w:spacing w:after="0" w:line="240" w:lineRule="auto"/>
        <w:jc w:val="both"/>
        <w:rPr>
          <w:rFonts w:ascii="Times New Roman" w:hAnsi="Times New Roman"/>
          <w:color w:val="0070C0"/>
          <w:sz w:val="16"/>
          <w:szCs w:val="16"/>
        </w:rPr>
      </w:pPr>
      <w:bookmarkStart w:id="65" w:name="bookmark127"/>
      <w:r w:rsidRPr="00C94B78">
        <w:rPr>
          <w:rFonts w:ascii="Times New Roman" w:hAnsi="Times New Roman"/>
          <w:color w:val="0070C0"/>
          <w:sz w:val="16"/>
          <w:szCs w:val="16"/>
        </w:rPr>
        <w:t>д</w:t>
      </w:r>
      <w:bookmarkEnd w:id="65"/>
      <w:r w:rsidRPr="00C94B78">
        <w:rPr>
          <w:rFonts w:ascii="Times New Roman" w:hAnsi="Times New Roman"/>
          <w:color w:val="0070C0"/>
          <w:sz w:val="16"/>
          <w:szCs w:val="16"/>
        </w:rPr>
        <w:t>). В уменьшении толщины корпуса по де</w:t>
      </w:r>
      <w:r w:rsidRPr="00C94B78">
        <w:rPr>
          <w:rFonts w:ascii="Times New Roman" w:hAnsi="Times New Roman"/>
          <w:color w:val="0070C0"/>
          <w:sz w:val="16"/>
          <w:szCs w:val="16"/>
        </w:rPr>
        <w:softHyphen/>
        <w:t>талям днища, крыши над мотором и днища подкрылка с 20 мм до 15 мм и нижнего кор</w:t>
      </w:r>
      <w:r w:rsidRPr="00C94B78">
        <w:rPr>
          <w:rFonts w:ascii="Times New Roman" w:hAnsi="Times New Roman"/>
          <w:color w:val="0070C0"/>
          <w:sz w:val="16"/>
          <w:szCs w:val="16"/>
        </w:rPr>
        <w:softHyphen/>
        <w:t>мового листа (соединяющего корму с дни</w:t>
      </w:r>
      <w:r w:rsidRPr="00C94B78">
        <w:rPr>
          <w:rFonts w:ascii="Times New Roman" w:hAnsi="Times New Roman"/>
          <w:color w:val="0070C0"/>
          <w:sz w:val="16"/>
          <w:szCs w:val="16"/>
        </w:rPr>
        <w:softHyphen/>
        <w:t>щем) с 45 мм до 15 мм.</w:t>
      </w:r>
    </w:p>
    <w:p w14:paraId="5086A9A8" w14:textId="77777777" w:rsidR="00D36BD0" w:rsidRPr="00C94B78" w:rsidRDefault="00D36BD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 второму варианту:</w:t>
      </w:r>
    </w:p>
    <w:p w14:paraId="59277862" w14:textId="77777777" w:rsidR="00D36BD0" w:rsidRPr="00C94B78" w:rsidRDefault="00D36BD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Кроме вышеуказанного, вместо шести то</w:t>
      </w:r>
      <w:r w:rsidRPr="00C94B78">
        <w:rPr>
          <w:rFonts w:ascii="Times New Roman" w:hAnsi="Times New Roman"/>
          <w:color w:val="0070C0"/>
          <w:sz w:val="16"/>
          <w:szCs w:val="16"/>
        </w:rPr>
        <w:softHyphen/>
        <w:t>пливных баков, расположенных в серий</w:t>
      </w:r>
      <w:r w:rsidRPr="00C94B78">
        <w:rPr>
          <w:rFonts w:ascii="Times New Roman" w:hAnsi="Times New Roman"/>
          <w:color w:val="0070C0"/>
          <w:sz w:val="16"/>
          <w:szCs w:val="16"/>
        </w:rPr>
        <w:softHyphen/>
        <w:t>ном танке в боевом и моторном отделениях, установлены два топливных бака, емкостью по 190 литров каждый, в кормовой части тан</w:t>
      </w:r>
      <w:r w:rsidRPr="00C94B78">
        <w:rPr>
          <w:rFonts w:ascii="Times New Roman" w:hAnsi="Times New Roman"/>
          <w:color w:val="0070C0"/>
          <w:sz w:val="16"/>
          <w:szCs w:val="16"/>
        </w:rPr>
        <w:softHyphen/>
        <w:t>ка за коробкой перемены передач. Общая ем</w:t>
      </w:r>
      <w:r w:rsidRPr="00C94B78">
        <w:rPr>
          <w:rFonts w:ascii="Times New Roman" w:hAnsi="Times New Roman"/>
          <w:color w:val="0070C0"/>
          <w:sz w:val="16"/>
          <w:szCs w:val="16"/>
        </w:rPr>
        <w:softHyphen/>
        <w:t>кость основных топливных баков осталась прежняя - 540 литров.</w:t>
      </w:r>
    </w:p>
    <w:p w14:paraId="5A422616" w14:textId="77777777" w:rsidR="00D36BD0" w:rsidRPr="00C94B78" w:rsidRDefault="00D36BD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связи с размещением топливных баков в корме танка, конфигурация последнего из</w:t>
      </w:r>
      <w:r w:rsidRPr="00C94B78">
        <w:rPr>
          <w:rFonts w:ascii="Times New Roman" w:hAnsi="Times New Roman"/>
          <w:color w:val="0070C0"/>
          <w:sz w:val="16"/>
          <w:szCs w:val="16"/>
        </w:rPr>
        <w:softHyphen/>
        <w:t>менена. Нижний кормовой лист увеличен по высоте на 400 мм, а толщина его умень</w:t>
      </w:r>
      <w:r w:rsidRPr="00C94B78">
        <w:rPr>
          <w:rFonts w:ascii="Times New Roman" w:hAnsi="Times New Roman"/>
          <w:color w:val="0070C0"/>
          <w:sz w:val="16"/>
          <w:szCs w:val="16"/>
        </w:rPr>
        <w:softHyphen/>
        <w:t>шена с 45 мм до 30 мм. Угол наклона брони сохранен - 45 град. С бортов топливные баки защищены бронелистами под углом встречи 0 град., толщиной 45 мм и фальшподкрылка</w:t>
      </w:r>
      <w:r w:rsidRPr="00C94B78">
        <w:rPr>
          <w:rFonts w:ascii="Times New Roman" w:hAnsi="Times New Roman"/>
          <w:color w:val="0070C0"/>
          <w:sz w:val="16"/>
          <w:szCs w:val="16"/>
        </w:rPr>
        <w:softHyphen/>
        <w:t>ми из листового железа, вместо подкрылков толщиной 45 мм с углом наклона в 45 граду</w:t>
      </w:r>
      <w:r w:rsidRPr="00C94B78">
        <w:rPr>
          <w:rFonts w:ascii="Times New Roman" w:hAnsi="Times New Roman"/>
          <w:color w:val="0070C0"/>
          <w:sz w:val="16"/>
          <w:szCs w:val="16"/>
        </w:rPr>
        <w:softHyphen/>
        <w:t>сов, как на серийных танках».</w:t>
      </w:r>
    </w:p>
    <w:p w14:paraId="36BBF5B5" w14:textId="77777777" w:rsidR="00D36BD0" w:rsidRPr="00C94B78" w:rsidRDefault="00D36BD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Кстати, благодаря уменьшению толщи</w:t>
      </w:r>
      <w:r w:rsidRPr="00C94B78">
        <w:rPr>
          <w:rFonts w:ascii="Times New Roman" w:hAnsi="Times New Roman"/>
          <w:color w:val="0070C0"/>
          <w:sz w:val="16"/>
          <w:szCs w:val="16"/>
        </w:rPr>
        <w:softHyphen/>
        <w:t>ны бронелистов крыши и днища, масса Т-34-85М осталась такой же, как и у серий</w:t>
      </w:r>
      <w:r w:rsidRPr="00C94B78">
        <w:rPr>
          <w:rFonts w:ascii="Times New Roman" w:hAnsi="Times New Roman"/>
          <w:color w:val="0070C0"/>
          <w:sz w:val="16"/>
          <w:szCs w:val="16"/>
        </w:rPr>
        <w:softHyphen/>
        <w:t>ного Т-34-85, и составила: у первого образца 32,115 т, у второго - 32,230 т (у серийной ма</w:t>
      </w:r>
      <w:r w:rsidRPr="00C94B78">
        <w:rPr>
          <w:rFonts w:ascii="Times New Roman" w:hAnsi="Times New Roman"/>
          <w:color w:val="0070C0"/>
          <w:sz w:val="16"/>
          <w:szCs w:val="16"/>
        </w:rPr>
        <w:softHyphen/>
        <w:t>шины 32, 250 т).</w:t>
      </w:r>
    </w:p>
    <w:p w14:paraId="63CDE0D1" w14:textId="77777777" w:rsidR="00D36BD0" w:rsidRPr="00C94B78" w:rsidRDefault="00D36BD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Испытания двух опытных образцов Т-35- 85М провела специально назначенная для этого комиссия под председательством полковника И. Муравича. Всего за период с 24 мая по 10 июня 1944 года на НИБТ полигоне в подмосковной Кубинке Т-34- 85М и серийный Т-34-85 прошли 1006, 1084 и 1005 километров соответственно (25012).</w:t>
      </w:r>
    </w:p>
    <w:p w14:paraId="6C369760" w14:textId="77777777" w:rsidR="00D36BD0" w:rsidRPr="00C94B78" w:rsidRDefault="00D36BD0" w:rsidP="00B56F90">
      <w:pPr>
        <w:spacing w:after="0" w:line="240" w:lineRule="auto"/>
        <w:jc w:val="both"/>
        <w:rPr>
          <w:rFonts w:ascii="Times New Roman" w:hAnsi="Times New Roman"/>
          <w:color w:val="0070C0"/>
          <w:sz w:val="16"/>
          <w:szCs w:val="16"/>
        </w:rPr>
      </w:pPr>
    </w:p>
    <w:p w14:paraId="055A3BD5" w14:textId="77777777" w:rsidR="00D36BD0" w:rsidRPr="00C94B78" w:rsidRDefault="00D36BD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мае 1944 года на вооружение отдельных огнемет</w:t>
      </w:r>
      <w:r w:rsidRPr="00C94B78">
        <w:rPr>
          <w:rFonts w:ascii="Times New Roman" w:hAnsi="Times New Roman"/>
          <w:color w:val="0070C0"/>
          <w:sz w:val="16"/>
          <w:szCs w:val="16"/>
        </w:rPr>
        <w:softHyphen/>
        <w:t>но-танковых батальонов поступил танк ОТ-34-85, вы</w:t>
      </w:r>
      <w:r w:rsidRPr="00C94B78">
        <w:rPr>
          <w:rFonts w:ascii="Times New Roman" w:hAnsi="Times New Roman"/>
          <w:color w:val="0070C0"/>
          <w:sz w:val="16"/>
          <w:szCs w:val="16"/>
        </w:rPr>
        <w:softHyphen/>
        <w:t>полненный на базе среднего танка Т-34-85 с 85-мм пушкой, незадолго до этого (с февраля 1944 года) по</w:t>
      </w:r>
      <w:r w:rsidRPr="00C94B78">
        <w:rPr>
          <w:rFonts w:ascii="Times New Roman" w:hAnsi="Times New Roman"/>
          <w:color w:val="0070C0"/>
          <w:sz w:val="16"/>
          <w:szCs w:val="16"/>
        </w:rPr>
        <w:softHyphen/>
        <w:t>шедшего в войска.</w:t>
      </w:r>
    </w:p>
    <w:p w14:paraId="71B61AE4" w14:textId="77777777" w:rsidR="00D36BD0" w:rsidRPr="00C94B78" w:rsidRDefault="00D36BD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Так же, как и на Т-О34, огнемет АТО-42 устанавли</w:t>
      </w:r>
      <w:r w:rsidRPr="00C94B78">
        <w:rPr>
          <w:rFonts w:ascii="Times New Roman" w:hAnsi="Times New Roman"/>
          <w:color w:val="0070C0"/>
          <w:sz w:val="16"/>
          <w:szCs w:val="16"/>
        </w:rPr>
        <w:softHyphen/>
        <w:t xml:space="preserve">вался в корпусе на месте лобового пулемета. Часть огнесмеси разместили в наружных топливных баках, и ее запас увеличился до 200 литров, то есть вдвое, что позволяло производить 20 выстрелов с расходом 10 л за выстрел. Емкость бензобачка зажигателя — 2 л. Углы наведения </w:t>
      </w:r>
      <w:r w:rsidRPr="00C94B78">
        <w:rPr>
          <w:rFonts w:ascii="Times New Roman" w:hAnsi="Times New Roman"/>
          <w:color w:val="0070C0"/>
          <w:sz w:val="16"/>
          <w:szCs w:val="16"/>
        </w:rPr>
        <w:lastRenderedPageBreak/>
        <w:t>огнемета в вертикальной плоско</w:t>
      </w:r>
      <w:r w:rsidRPr="00C94B78">
        <w:rPr>
          <w:rFonts w:ascii="Times New Roman" w:hAnsi="Times New Roman"/>
          <w:color w:val="0070C0"/>
          <w:sz w:val="16"/>
          <w:szCs w:val="16"/>
        </w:rPr>
        <w:softHyphen/>
        <w:t>сти — от -2° до +10°, в горизонтальной — +-15°. С уче</w:t>
      </w:r>
      <w:r w:rsidRPr="00C94B78">
        <w:rPr>
          <w:rFonts w:ascii="Times New Roman" w:hAnsi="Times New Roman"/>
          <w:color w:val="0070C0"/>
          <w:sz w:val="16"/>
          <w:szCs w:val="16"/>
        </w:rPr>
        <w:softHyphen/>
        <w:t>том более мощного основного вооружения базового танка (85-мм пушка вместо 76-мм), боевые возмож</w:t>
      </w:r>
      <w:r w:rsidRPr="00C94B78">
        <w:rPr>
          <w:rFonts w:ascii="Times New Roman" w:hAnsi="Times New Roman"/>
          <w:color w:val="0070C0"/>
          <w:sz w:val="16"/>
          <w:szCs w:val="16"/>
        </w:rPr>
        <w:softHyphen/>
        <w:t>ности ОТ-34-85 увеличились по всем показателям.</w:t>
      </w:r>
    </w:p>
    <w:p w14:paraId="723285BA" w14:textId="77777777" w:rsidR="00D36BD0" w:rsidRPr="00C94B78" w:rsidRDefault="00D36BD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За 1944 год было построено 30 танков ОТ-34-85, за 1945-й. — 301, то есть огнеметные танки составили около 1,4% от общего выпуска Т-34-85 за время войны.</w:t>
      </w:r>
    </w:p>
    <w:p w14:paraId="174115CD" w14:textId="77777777" w:rsidR="00D36BD0" w:rsidRPr="00C94B78" w:rsidRDefault="00D36BD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Важной чертой Т-О34 и ОТ-34-85 было их почти полное внешнее сходство с линейными боевыми тан</w:t>
      </w:r>
      <w:r w:rsidRPr="00C94B78">
        <w:rPr>
          <w:rFonts w:ascii="Times New Roman" w:hAnsi="Times New Roman"/>
          <w:color w:val="0070C0"/>
          <w:sz w:val="16"/>
          <w:szCs w:val="16"/>
        </w:rPr>
        <w:softHyphen/>
        <w:t>ками и сохранение обычных боевых свойств, а также наличие штатных средств связи. Как и линейные тан</w:t>
      </w:r>
      <w:r w:rsidRPr="00C94B78">
        <w:rPr>
          <w:rFonts w:ascii="Times New Roman" w:hAnsi="Times New Roman"/>
          <w:color w:val="0070C0"/>
          <w:sz w:val="16"/>
          <w:szCs w:val="16"/>
        </w:rPr>
        <w:softHyphen/>
        <w:t>ки, огнеметные для постановки завесы снабжались дымовыми шашками. К недостаткам относились от</w:t>
      </w:r>
      <w:r w:rsidRPr="00C94B78">
        <w:rPr>
          <w:rFonts w:ascii="Times New Roman" w:hAnsi="Times New Roman"/>
          <w:color w:val="0070C0"/>
          <w:sz w:val="16"/>
          <w:szCs w:val="16"/>
        </w:rPr>
        <w:softHyphen/>
        <w:t>сутствие кругового огнеметания, малый сектор об</w:t>
      </w:r>
      <w:r w:rsidRPr="00C94B78">
        <w:rPr>
          <w:rFonts w:ascii="Times New Roman" w:hAnsi="Times New Roman"/>
          <w:color w:val="0070C0"/>
          <w:sz w:val="16"/>
          <w:szCs w:val="16"/>
        </w:rPr>
        <w:softHyphen/>
        <w:t>стрела по вертикали и ограниченная возможность ведения прицельного огня из огнемета. По сути, это были линейные танки с дополнительным огнеметным вооружением. ОТ-34-85 состояли на вооружении Со</w:t>
      </w:r>
      <w:r w:rsidRPr="00C94B78">
        <w:rPr>
          <w:rFonts w:ascii="Times New Roman" w:hAnsi="Times New Roman"/>
          <w:color w:val="0070C0"/>
          <w:sz w:val="16"/>
          <w:szCs w:val="16"/>
        </w:rPr>
        <w:softHyphen/>
        <w:t>ветской Армии до конца 1950-х годов, когда были за</w:t>
      </w:r>
      <w:r w:rsidRPr="00C94B78">
        <w:rPr>
          <w:rFonts w:ascii="Times New Roman" w:hAnsi="Times New Roman"/>
          <w:color w:val="0070C0"/>
          <w:sz w:val="16"/>
          <w:szCs w:val="16"/>
        </w:rPr>
        <w:softHyphen/>
        <w:t>менены танками ТО-54 и ТО-55 (с установкой огнеме</w:t>
      </w:r>
      <w:r w:rsidRPr="00C94B78">
        <w:rPr>
          <w:rFonts w:ascii="Times New Roman" w:hAnsi="Times New Roman"/>
          <w:color w:val="0070C0"/>
          <w:sz w:val="16"/>
          <w:szCs w:val="16"/>
        </w:rPr>
        <w:softHyphen/>
        <w:t>тов в башне спарено с пушкой).</w:t>
      </w:r>
    </w:p>
    <w:p w14:paraId="36EE1C3C" w14:textId="77777777" w:rsidR="00D36BD0" w:rsidRPr="00C94B78" w:rsidRDefault="00D36BD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Заправка резервуаров танковых огнеметов огнесмесью производилась авторазливочной станцией АРС-6 или вручную ведрами. Для обеспечения сжа</w:t>
      </w:r>
      <w:r w:rsidRPr="00C94B78">
        <w:rPr>
          <w:rFonts w:ascii="Times New Roman" w:hAnsi="Times New Roman"/>
          <w:color w:val="0070C0"/>
          <w:sz w:val="16"/>
          <w:szCs w:val="16"/>
        </w:rPr>
        <w:softHyphen/>
        <w:t>тым воздухом использовалась стандартная войско</w:t>
      </w:r>
      <w:r w:rsidRPr="00C94B78">
        <w:rPr>
          <w:rFonts w:ascii="Times New Roman" w:hAnsi="Times New Roman"/>
          <w:color w:val="0070C0"/>
          <w:sz w:val="16"/>
          <w:szCs w:val="16"/>
        </w:rPr>
        <w:softHyphen/>
        <w:t>вая станция АКС-2 («аэродромная компрессорная станция»). (25021).</w:t>
      </w:r>
    </w:p>
    <w:p w14:paraId="67BDFD91" w14:textId="77777777" w:rsidR="00D36BD0" w:rsidRPr="00C94B78" w:rsidRDefault="00D36BD0" w:rsidP="00B56F90">
      <w:pPr>
        <w:spacing w:after="0" w:line="240" w:lineRule="auto"/>
        <w:jc w:val="both"/>
        <w:rPr>
          <w:rFonts w:ascii="Times New Roman" w:hAnsi="Times New Roman"/>
          <w:color w:val="0070C0"/>
          <w:sz w:val="16"/>
          <w:szCs w:val="16"/>
        </w:rPr>
      </w:pPr>
    </w:p>
    <w:p w14:paraId="7EB5805C" w14:textId="77777777" w:rsidR="00D36BD0" w:rsidRPr="00C94B78" w:rsidRDefault="00D36BD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мае 1944 года на УЗТМ активно шли работы по изготовлению второго опытного образца СУ-100 с пушкой Д-10с, с учетом замечаний по первой машине. Надо сказать, что переделки не планировались радикальными, тем не менее, отличий хватало. Для начала, изменили конструкцию командирской башенки. У нее усилили толщину лобовой части до 90 мм, а также немного сместили вправо. Выступ под башню стал больше, это чуть улучшило условия для работы командира. Башенных вентиляторов стало два, плюс изменились их колпаки. Как и требовали испытатели, вместо прицела 10Т-15 поставили шарнирный, ТШ-15. Такое изменение привело к появлению прилива с левой стороны бронировки орудия (24928).</w:t>
      </w:r>
    </w:p>
    <w:p w14:paraId="140A3DB7" w14:textId="77777777" w:rsidR="00D36BD0" w:rsidRPr="00C94B78" w:rsidRDefault="00D36BD0" w:rsidP="00B56F90">
      <w:pPr>
        <w:spacing w:after="0" w:line="240" w:lineRule="auto"/>
        <w:jc w:val="both"/>
        <w:rPr>
          <w:rStyle w:val="aff1"/>
          <w:rFonts w:ascii="Times New Roman" w:hAnsi="Times New Roman" w:cs="Times New Roman"/>
          <w:color w:val="0070C0"/>
          <w:spacing w:val="0"/>
          <w:sz w:val="16"/>
          <w:szCs w:val="16"/>
        </w:rPr>
      </w:pPr>
    </w:p>
    <w:p w14:paraId="606BBE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заводом № 183 были изготовлены два опытных образца Т-44 (второй модификации), один из которых прошел заводские испытания. В июне-июле 1944 г. второй опытный образец танка успешно прошел испыта</w:t>
      </w:r>
      <w:r w:rsidRPr="00070ADE">
        <w:rPr>
          <w:rFonts w:ascii="Times New Roman" w:hAnsi="Times New Roman"/>
          <w:color w:val="000000" w:themeColor="text1"/>
          <w:sz w:val="16"/>
          <w:szCs w:val="16"/>
        </w:rPr>
        <w:softHyphen/>
        <w:t>ния на НИБТ полигоне и был рекомендован для принятия на вооруже</w:t>
      </w:r>
      <w:r w:rsidRPr="00070ADE">
        <w:rPr>
          <w:rFonts w:ascii="Times New Roman" w:hAnsi="Times New Roman"/>
          <w:color w:val="000000" w:themeColor="text1"/>
          <w:sz w:val="16"/>
          <w:szCs w:val="16"/>
        </w:rPr>
        <w:softHyphen/>
        <w:t>ние РККА после устранения выявленных дефектов и реализации всех предложений комиссии. На вооружение танк не принимался и в серий</w:t>
      </w:r>
      <w:r w:rsidRPr="00070ADE">
        <w:rPr>
          <w:rFonts w:ascii="Times New Roman" w:hAnsi="Times New Roman"/>
          <w:color w:val="000000" w:themeColor="text1"/>
          <w:sz w:val="16"/>
          <w:szCs w:val="16"/>
        </w:rPr>
        <w:softHyphen/>
        <w:t>ном производстве не состоял. Явился прототипом предсерийного образ</w:t>
      </w:r>
      <w:r w:rsidRPr="00070ADE">
        <w:rPr>
          <w:rFonts w:ascii="Times New Roman" w:hAnsi="Times New Roman"/>
          <w:color w:val="000000" w:themeColor="text1"/>
          <w:sz w:val="16"/>
          <w:szCs w:val="16"/>
        </w:rPr>
        <w:softHyphen/>
        <w:t>ца танка Т-44А (10703).</w:t>
      </w:r>
    </w:p>
    <w:p w14:paraId="206F9C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CE44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заводом № 38 был разработан и изготовлен с исполь</w:t>
      </w:r>
      <w:r w:rsidRPr="00070ADE">
        <w:rPr>
          <w:rFonts w:ascii="Times New Roman" w:hAnsi="Times New Roman"/>
          <w:color w:val="000000" w:themeColor="text1"/>
          <w:sz w:val="16"/>
          <w:szCs w:val="16"/>
        </w:rPr>
        <w:softHyphen/>
        <w:t>зованием узлов и агрегатов легкого танка Т-60 опытный образец откры</w:t>
      </w:r>
      <w:r w:rsidRPr="00070ADE">
        <w:rPr>
          <w:rFonts w:ascii="Times New Roman" w:hAnsi="Times New Roman"/>
          <w:color w:val="000000" w:themeColor="text1"/>
          <w:sz w:val="16"/>
          <w:szCs w:val="16"/>
        </w:rPr>
        <w:softHyphen/>
        <w:t>той артиллерийской установки ОСУ-76, которая предназначалась для непосредственной поддержки пехоты. Самоходная установка была во</w:t>
      </w:r>
      <w:r w:rsidRPr="00070ADE">
        <w:rPr>
          <w:rFonts w:ascii="Times New Roman" w:hAnsi="Times New Roman"/>
          <w:color w:val="000000" w:themeColor="text1"/>
          <w:sz w:val="16"/>
          <w:szCs w:val="16"/>
        </w:rPr>
        <w:softHyphen/>
        <w:t>оружена 76,2-мм пушкой ЗИС-3 обр. 1942 г. В июне 1944 г. машина про</w:t>
      </w:r>
      <w:r w:rsidRPr="00070ADE">
        <w:rPr>
          <w:rFonts w:ascii="Times New Roman" w:hAnsi="Times New Roman"/>
          <w:color w:val="000000" w:themeColor="text1"/>
          <w:sz w:val="16"/>
          <w:szCs w:val="16"/>
        </w:rPr>
        <w:softHyphen/>
        <w:t>шла государственные испытания. Основными достоинствами машины являлись чрезвычайная простота конструкции и изготовления, низкая стоимость и возможность применения в авиадесантных операциях. Дальнейшего развития установка не получила, так как из-за дефицита шестицилиндровых карбюраторных двигателей, на ней был установлен маломощный четырехцилиндровый карбюраторный двигатель, ГАЗ-М1, в результате чего машина имела низкие показатели подвижно</w:t>
      </w:r>
      <w:r w:rsidRPr="00070ADE">
        <w:rPr>
          <w:rFonts w:ascii="Times New Roman" w:hAnsi="Times New Roman"/>
          <w:color w:val="000000" w:themeColor="text1"/>
          <w:sz w:val="16"/>
          <w:szCs w:val="16"/>
        </w:rPr>
        <w:softHyphen/>
        <w:t>сти. Кроме того, малая длина опорной поверхности (четыре опорных катка на борт) не обеспечивала необходимую устойчивость установки при стрельбе. Через четыре месяца Горьковский автозавод представил на испыта</w:t>
      </w:r>
      <w:r w:rsidRPr="00070ADE">
        <w:rPr>
          <w:rFonts w:ascii="Times New Roman" w:hAnsi="Times New Roman"/>
          <w:color w:val="000000" w:themeColor="text1"/>
          <w:sz w:val="16"/>
          <w:szCs w:val="16"/>
        </w:rPr>
        <w:softHyphen/>
        <w:t>ния новый опытный образец самоходной установки СУ-85Б (СУ-15Б), в которой были учтены недостатки конструкции предыдущего образца. Кроме того, на машине была установлена 85-мм пушка ЛБ-2 конструк</w:t>
      </w:r>
      <w:r w:rsidRPr="00070ADE">
        <w:rPr>
          <w:rFonts w:ascii="Times New Roman" w:hAnsi="Times New Roman"/>
          <w:color w:val="000000" w:themeColor="text1"/>
          <w:sz w:val="16"/>
          <w:szCs w:val="16"/>
        </w:rPr>
        <w:softHyphen/>
        <w:t>ции завода № 92 с дульным тормозом для уменьшения силы отдачи при выстреле. Проведенные испытания прошли успешно, огневая мощь и подвижность машины были признаны удовлетворительными и уста</w:t>
      </w:r>
      <w:r w:rsidRPr="00070ADE">
        <w:rPr>
          <w:rFonts w:ascii="Times New Roman" w:hAnsi="Times New Roman"/>
          <w:color w:val="000000" w:themeColor="text1"/>
          <w:sz w:val="16"/>
          <w:szCs w:val="16"/>
        </w:rPr>
        <w:softHyphen/>
        <w:t>новка была рекомендована к принятию на вооружение, хотя и сохрани</w:t>
      </w:r>
      <w:r w:rsidRPr="00070ADE">
        <w:rPr>
          <w:rFonts w:ascii="Times New Roman" w:hAnsi="Times New Roman"/>
          <w:color w:val="000000" w:themeColor="text1"/>
          <w:sz w:val="16"/>
          <w:szCs w:val="16"/>
        </w:rPr>
        <w:softHyphen/>
        <w:t>ла некоторые недостатки, присущие установке СУ-85 А. В связи с окон</w:t>
      </w:r>
      <w:r w:rsidRPr="00070ADE">
        <w:rPr>
          <w:rFonts w:ascii="Times New Roman" w:hAnsi="Times New Roman"/>
          <w:color w:val="000000" w:themeColor="text1"/>
          <w:sz w:val="16"/>
          <w:szCs w:val="16"/>
        </w:rPr>
        <w:softHyphen/>
        <w:t>чанием Великой Отечественной войны дальнейшие работы над уста</w:t>
      </w:r>
      <w:r w:rsidRPr="00070ADE">
        <w:rPr>
          <w:rFonts w:ascii="Times New Roman" w:hAnsi="Times New Roman"/>
          <w:color w:val="000000" w:themeColor="text1"/>
          <w:sz w:val="16"/>
          <w:szCs w:val="16"/>
        </w:rPr>
        <w:softHyphen/>
        <w:t>новкой СУ-85Б были прекращены (10703).</w:t>
      </w:r>
    </w:p>
    <w:p w14:paraId="283400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16C0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конструкторским бюро УЗТМ под руководством Л.И. Горлицкого была разработана самоходная установка СУ-122П, которая представляла собой дальнейшее развитие самоходной установки СУ-100. Опытный образец был изготовлен в сентябре 1944 г. По резуль</w:t>
      </w:r>
      <w:r w:rsidRPr="00070ADE">
        <w:rPr>
          <w:rFonts w:ascii="Times New Roman" w:hAnsi="Times New Roman"/>
          <w:color w:val="000000" w:themeColor="text1"/>
          <w:sz w:val="16"/>
          <w:szCs w:val="16"/>
        </w:rPr>
        <w:softHyphen/>
        <w:t>татам испытаний был признан годным для вооружения армии и мог быть принят в кратчайший срок на серийное производство при необ</w:t>
      </w:r>
      <w:r w:rsidRPr="00070ADE">
        <w:rPr>
          <w:rFonts w:ascii="Times New Roman" w:hAnsi="Times New Roman"/>
          <w:color w:val="000000" w:themeColor="text1"/>
          <w:sz w:val="16"/>
          <w:szCs w:val="16"/>
        </w:rPr>
        <w:softHyphen/>
        <w:t>ходимости, но на вооружение не принимался и в серийном производ</w:t>
      </w:r>
      <w:r w:rsidRPr="00070ADE">
        <w:rPr>
          <w:rFonts w:ascii="Times New Roman" w:hAnsi="Times New Roman"/>
          <w:color w:val="000000" w:themeColor="text1"/>
          <w:sz w:val="16"/>
          <w:szCs w:val="16"/>
        </w:rPr>
        <w:softHyphen/>
        <w:t>стве не состоял (10703).</w:t>
      </w:r>
    </w:p>
    <w:p w14:paraId="79ED73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7873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на з-де 172 изготовили 122 мм пушку БЛ-9 для ИСУ-122-1 и поставили на ИС в июне (7437, 27).</w:t>
      </w:r>
    </w:p>
    <w:p w14:paraId="18E646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42B296" w14:textId="77777777" w:rsidR="00406246" w:rsidRPr="00070ADE" w:rsidRDefault="00406246" w:rsidP="00B56F90">
      <w:pPr>
        <w:spacing w:after="0" w:line="240" w:lineRule="auto"/>
        <w:jc w:val="both"/>
        <w:rPr>
          <w:rStyle w:val="723"/>
          <w:rFonts w:ascii="Times New Roman" w:hAnsi="Times New Roman" w:cs="Times New Roman"/>
          <w:color w:val="000000" w:themeColor="text1"/>
          <w:sz w:val="16"/>
          <w:szCs w:val="16"/>
        </w:rPr>
      </w:pPr>
      <w:r w:rsidRPr="00070ADE">
        <w:rPr>
          <w:rStyle w:val="723"/>
          <w:rFonts w:ascii="Times New Roman" w:hAnsi="Times New Roman" w:cs="Times New Roman"/>
          <w:color w:val="000000" w:themeColor="text1"/>
          <w:sz w:val="16"/>
          <w:szCs w:val="16"/>
        </w:rPr>
        <w:t>В мае 1944 года в конструкцию танка ИС-2 внесли еще больше изменений. Происходило это на фоне перестройки цехов под поточное производство ИС-2 и ИСУ. Наибольшие изме</w:t>
      </w:r>
      <w:r w:rsidRPr="00070ADE">
        <w:rPr>
          <w:rStyle w:val="723"/>
          <w:rFonts w:ascii="Times New Roman" w:hAnsi="Times New Roman" w:cs="Times New Roman"/>
          <w:color w:val="000000" w:themeColor="text1"/>
          <w:sz w:val="16"/>
          <w:szCs w:val="16"/>
        </w:rPr>
        <w:softHyphen/>
        <w:t>нения претерпела башня танка, а также его вооружение. С мая 1944 года завода № 200 перешел на изготовление башен по чертежу 240-57-Сб117, вместо длинных поручней на</w:t>
      </w:r>
      <w:r w:rsidRPr="00070ADE">
        <w:rPr>
          <w:rStyle w:val="723"/>
          <w:rFonts w:ascii="Times New Roman" w:hAnsi="Times New Roman" w:cs="Times New Roman"/>
          <w:color w:val="000000" w:themeColor="text1"/>
          <w:sz w:val="16"/>
          <w:szCs w:val="16"/>
        </w:rPr>
        <w:softHyphen/>
        <w:t>чали ставить короткие. Впрочем, более важ</w:t>
      </w:r>
      <w:r w:rsidRPr="00070ADE">
        <w:rPr>
          <w:rStyle w:val="723"/>
          <w:rFonts w:ascii="Times New Roman" w:hAnsi="Times New Roman" w:cs="Times New Roman"/>
          <w:color w:val="000000" w:themeColor="text1"/>
          <w:sz w:val="16"/>
          <w:szCs w:val="16"/>
        </w:rPr>
        <w:softHyphen/>
        <w:t>ным изменением стала новая орудийная установка. Появилась она одновременно с прицелом ТШ-17. Данный прицел был разра</w:t>
      </w:r>
      <w:r w:rsidRPr="00070ADE">
        <w:rPr>
          <w:rStyle w:val="723"/>
          <w:rFonts w:ascii="Times New Roman" w:hAnsi="Times New Roman" w:cs="Times New Roman"/>
          <w:color w:val="000000" w:themeColor="text1"/>
          <w:sz w:val="16"/>
          <w:szCs w:val="16"/>
        </w:rPr>
        <w:softHyphen/>
        <w:t>ботан с оглядкой на немецкие конструкции. Благодаря «ломающейся» конструкции ТШ- 17 был более удобен. За май было установле</w:t>
      </w:r>
      <w:r w:rsidRPr="00070ADE">
        <w:rPr>
          <w:rStyle w:val="723"/>
          <w:rFonts w:ascii="Times New Roman" w:hAnsi="Times New Roman" w:cs="Times New Roman"/>
          <w:color w:val="000000" w:themeColor="text1"/>
          <w:sz w:val="16"/>
          <w:szCs w:val="16"/>
        </w:rPr>
        <w:softHyphen/>
        <w:t>но 42 таких прицела, при этом конструкция орудийной установки позволяла ставить и его, и более ранний 10Т-17. Позже, разуме</w:t>
      </w:r>
      <w:r w:rsidRPr="00070ADE">
        <w:rPr>
          <w:rStyle w:val="723"/>
          <w:rFonts w:ascii="Times New Roman" w:hAnsi="Times New Roman" w:cs="Times New Roman"/>
          <w:color w:val="000000" w:themeColor="text1"/>
          <w:sz w:val="16"/>
          <w:szCs w:val="16"/>
        </w:rPr>
        <w:softHyphen/>
        <w:t>ется, ставили ТШ-17, происходило это во время ремонта. Для обеспечения удобства управления машиной изменили стяжки, кото</w:t>
      </w:r>
      <w:r w:rsidRPr="00070ADE">
        <w:rPr>
          <w:rStyle w:val="723"/>
          <w:rFonts w:ascii="Times New Roman" w:hAnsi="Times New Roman" w:cs="Times New Roman"/>
          <w:color w:val="000000" w:themeColor="text1"/>
          <w:sz w:val="16"/>
          <w:szCs w:val="16"/>
        </w:rPr>
        <w:softHyphen/>
        <w:t>рыми крепилась спинка сиденья механика- водителя. Педаль главного фрикциона пере</w:t>
      </w:r>
      <w:r w:rsidRPr="00070ADE">
        <w:rPr>
          <w:rStyle w:val="723"/>
          <w:rFonts w:ascii="Times New Roman" w:hAnsi="Times New Roman" w:cs="Times New Roman"/>
          <w:color w:val="000000" w:themeColor="text1"/>
          <w:sz w:val="16"/>
          <w:szCs w:val="16"/>
        </w:rPr>
        <w:softHyphen/>
        <w:t>несли вперед и немного переделали, переде</w:t>
      </w:r>
      <w:r w:rsidRPr="00070ADE">
        <w:rPr>
          <w:rStyle w:val="723"/>
          <w:rFonts w:ascii="Times New Roman" w:hAnsi="Times New Roman" w:cs="Times New Roman"/>
          <w:color w:val="000000" w:themeColor="text1"/>
          <w:sz w:val="16"/>
          <w:szCs w:val="16"/>
        </w:rPr>
        <w:softHyphen/>
        <w:t>лали кулису переключения КПП, усилили крепление дисков вентилятора (19874).</w:t>
      </w:r>
    </w:p>
    <w:p w14:paraId="05CA1EB4" w14:textId="77777777" w:rsidR="00406246" w:rsidRPr="00070ADE" w:rsidRDefault="00406246" w:rsidP="00B56F90">
      <w:pPr>
        <w:spacing w:after="0" w:line="240" w:lineRule="auto"/>
        <w:jc w:val="both"/>
        <w:rPr>
          <w:rFonts w:ascii="Times New Roman" w:hAnsi="Times New Roman"/>
          <w:color w:val="000000" w:themeColor="text1"/>
          <w:sz w:val="16"/>
          <w:szCs w:val="16"/>
        </w:rPr>
      </w:pPr>
    </w:p>
    <w:p w14:paraId="551A6B57" w14:textId="071A6B4F"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первые ИСУ-122 были отправлены с ЧКЗ. Аналогично ИСУ-152, ими комплектовали гвардейские тяжёлые самоходные артиллерийские полки (ГвТСАП) по штату №010/461 (1 командирская машина и 4 батареи по 5 машины в каждой, плюс 4 бронетранспортёра). О том, насколько важным считалось наверху формирование ГвТСАП с новыми машинами, говорит один факт. Летом-осенью 1944 года в самоходные артиллерийские полки, вооружённые ИСУ-122, переформировывали гвардейские тяжёлые танковые полки (ГвТТП), ранее воевавшие на</w:t>
      </w:r>
      <w:r w:rsidR="00B643A8" w:rsidRPr="00070ADE">
        <w:rPr>
          <w:rFonts w:ascii="Times New Roman" w:hAnsi="Times New Roman"/>
          <w:color w:val="000000" w:themeColor="text1"/>
          <w:sz w:val="16"/>
          <w:szCs w:val="16"/>
        </w:rPr>
        <w:t xml:space="preserve"> </w:t>
      </w:r>
      <w:hyperlink r:id="rId152" w:history="1">
        <w:r w:rsidRPr="00070ADE">
          <w:rPr>
            <w:rStyle w:val="a5"/>
            <w:rFonts w:ascii="Times New Roman" w:hAnsi="Times New Roman"/>
            <w:color w:val="000000" w:themeColor="text1"/>
            <w:sz w:val="16"/>
            <w:szCs w:val="16"/>
          </w:rPr>
          <w:t>ИС-1</w:t>
        </w:r>
      </w:hyperlink>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 ИС-2. Например, в сентябре 1944 года так поступили с 71- ГвТТП, который принял самое активное участие в уничтожении «Королевских тигров» на</w:t>
      </w:r>
      <w:r w:rsidR="00B643A8" w:rsidRPr="00070ADE">
        <w:rPr>
          <w:rFonts w:ascii="Times New Roman" w:hAnsi="Times New Roman"/>
          <w:color w:val="000000" w:themeColor="text1"/>
          <w:sz w:val="16"/>
          <w:szCs w:val="16"/>
        </w:rPr>
        <w:t xml:space="preserve"> </w:t>
      </w:r>
      <w:hyperlink r:id="rId153" w:history="1">
        <w:r w:rsidRPr="00070ADE">
          <w:rPr>
            <w:rStyle w:val="a5"/>
            <w:rFonts w:ascii="Times New Roman" w:hAnsi="Times New Roman"/>
            <w:color w:val="000000" w:themeColor="text1"/>
            <w:sz w:val="16"/>
            <w:szCs w:val="16"/>
          </w:rPr>
          <w:t>Сандомирском плацдарме</w:t>
        </w:r>
      </w:hyperlink>
      <w:r w:rsidRPr="00070ADE">
        <w:rPr>
          <w:rFonts w:ascii="Times New Roman" w:hAnsi="Times New Roman"/>
          <w:color w:val="000000" w:themeColor="text1"/>
          <w:sz w:val="16"/>
          <w:szCs w:val="16"/>
        </w:rPr>
        <w:t>. Переформированные полки получали и ИСУ-152.</w:t>
      </w:r>
    </w:p>
    <w:p w14:paraId="7194C3CA" w14:textId="0383FA83"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Ввиду того, что формирование частей, вооружённых ИСУ-122, началось в мае, на фронт они попали уже во второй половине июня 1944 года. Одной из первых частей, вооружённых новыми САУ, стал 341-й ГвТСАП. В состав 48-й армии он попал к 22 июня 1944 года, участвуя в</w:t>
      </w:r>
      <w:r w:rsidR="00B643A8" w:rsidRPr="00070ADE">
        <w:rPr>
          <w:rFonts w:ascii="Times New Roman" w:hAnsi="Times New Roman"/>
          <w:color w:val="000000" w:themeColor="text1"/>
          <w:sz w:val="16"/>
          <w:szCs w:val="16"/>
        </w:rPr>
        <w:t xml:space="preserve"> </w:t>
      </w:r>
      <w:hyperlink r:id="rId154" w:history="1">
        <w:r w:rsidRPr="00070ADE">
          <w:rPr>
            <w:rStyle w:val="a5"/>
            <w:rFonts w:ascii="Times New Roman" w:hAnsi="Times New Roman"/>
            <w:color w:val="000000" w:themeColor="text1"/>
            <w:sz w:val="16"/>
            <w:szCs w:val="16"/>
          </w:rPr>
          <w:t>операции «Багратион»</w:t>
        </w:r>
      </w:hyperlink>
      <w:r w:rsidRPr="00070ADE">
        <w:rPr>
          <w:rFonts w:ascii="Times New Roman" w:hAnsi="Times New Roman"/>
          <w:color w:val="000000" w:themeColor="text1"/>
          <w:sz w:val="16"/>
          <w:szCs w:val="16"/>
        </w:rPr>
        <w:t>. Поддерживая пехоту, полк наступал в направлении Бобруйска, 29 июня город был освобождён. В 11-й гвардейской армии было сразу два ГвТСАП, имевших на вооружении ИСУ-122: 345-й и 348-й. Полки участвовали в освобождении Орши, действуя в связке со стрелковыми и танковыми частями. 348-й ГвТСАП взаимодействовал с 16-й ГвСД и 63-м ГвТТП, а 345-й ГвТСАП — совместно с 84-й ГвСД и 35-м ГвТТП. Первая группировка наступала с севера, вторая с юга от города, и к часу ночи 27 июня Оршу полностью очистили от противника.</w:t>
      </w:r>
    </w:p>
    <w:p w14:paraId="73281EC1" w14:textId="77777777"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Похожая ситуация сложилась с 337-м ГвТСАП, также принимавшем участие в операции «Багратион» и отличившемся при освобождении Витебска. Главный вопрос заключается в том, что ИСУ-122 действовали в основном не против танков, а поддерживая стрелковые части. В этом качестве машина была иногда даже лучше ИСУ-152, поскольку имела больший боекомплект. Другое дело, что многие измеряют эффективность данных машин по числу «настрела» вражеских танков, а с этим наблюдался некоторый недобор. На других направлениях, например, в Львовско-Сандомирской операции, участвовали ИСУ-152 и СУ-152. По этой причине ИСУ-122 оказались в некоторой тени более известной машины, ещё и обладающей внушительной «дубиной» калибра 152 мм.</w:t>
      </w:r>
    </w:p>
    <w:p w14:paraId="6530D469" w14:textId="77777777"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ИСУ-122 выглядели во второй половине 1944 года. В июне-июле траки перенесли на лобовую часть корпуса, а ближе к концу 1944 года стали ставить зенитные турели.</w:t>
      </w:r>
    </w:p>
    <w:p w14:paraId="1D51BB8E" w14:textId="098DD36F"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По-настоящему массово ИСУ-122 стали использоваться ближе к концу 1944 года. Например, в 3-й гвардейской танковой армии имелись 383-й и 385-й ГвТСАП, сформированные из 47-го и 71-го ГвТТП соответственно. 383-й ТСАП действовал в составе 9-го механизированного корпуса, фактически выполняя ту же роль, что и ИС-2, — средства усиления. За период с 24 января по 4 февраля 1945 года корпус отчитался об уничтожении 88 танков и 58 САУ, потеряв при этом 18 танков, 1</w:t>
      </w:r>
      <w:r w:rsidR="00B643A8" w:rsidRPr="00070ADE">
        <w:rPr>
          <w:rFonts w:ascii="Times New Roman" w:hAnsi="Times New Roman"/>
          <w:color w:val="000000" w:themeColor="text1"/>
          <w:sz w:val="16"/>
          <w:szCs w:val="16"/>
        </w:rPr>
        <w:t xml:space="preserve"> </w:t>
      </w:r>
      <w:hyperlink r:id="rId155" w:history="1">
        <w:r w:rsidRPr="00070ADE">
          <w:rPr>
            <w:rStyle w:val="a5"/>
            <w:rFonts w:ascii="Times New Roman" w:hAnsi="Times New Roman"/>
            <w:color w:val="000000" w:themeColor="text1"/>
            <w:sz w:val="16"/>
            <w:szCs w:val="16"/>
          </w:rPr>
          <w:t>СУ-85</w:t>
        </w:r>
      </w:hyperlink>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 2 ИСУ-122.</w:t>
      </w:r>
    </w:p>
    <w:p w14:paraId="6394F047" w14:textId="731CE46D"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383-м ГвТСАП служил самый результативный самоходчик, воевавший на ИСУ-122 — лейтенант М.И. Климов. За январь-февраль 1945 года экипаж ИСУ-122 под его командованием уничтожил 8 танков (из них один идентифицирован как</w:t>
      </w:r>
      <w:r w:rsidR="00B643A8" w:rsidRPr="00070ADE">
        <w:rPr>
          <w:rFonts w:ascii="Times New Roman" w:hAnsi="Times New Roman"/>
          <w:color w:val="000000" w:themeColor="text1"/>
          <w:sz w:val="16"/>
          <w:szCs w:val="16"/>
        </w:rPr>
        <w:t xml:space="preserve"> </w:t>
      </w:r>
      <w:hyperlink r:id="rId156" w:history="1">
        <w:r w:rsidRPr="00070ADE">
          <w:rPr>
            <w:rStyle w:val="a5"/>
            <w:rFonts w:ascii="Times New Roman" w:hAnsi="Times New Roman"/>
            <w:color w:val="000000" w:themeColor="text1"/>
            <w:sz w:val="16"/>
            <w:szCs w:val="16"/>
          </w:rPr>
          <w:t>«Королевский тигр»</w:t>
        </w:r>
      </w:hyperlink>
      <w:r w:rsidRPr="00070ADE">
        <w:rPr>
          <w:rFonts w:ascii="Times New Roman" w:hAnsi="Times New Roman"/>
          <w:color w:val="000000" w:themeColor="text1"/>
          <w:sz w:val="16"/>
          <w:szCs w:val="16"/>
        </w:rPr>
        <w:t>), 3 бронетранспортёра, 6 орудий, 4 миномёта, а также до 160 солдат противника. 6-11 марта 1945 года в ходе сражения за Наумбург (ныне — город Новогродзец, Польша) экипаж Климова записал на свой счёт ещё 4 танка, при этом лейтенант получил тяжёлое ранение. За ратные подвиги Климову было присвоено звание Героя Советского Союза (18335).</w:t>
      </w:r>
    </w:p>
    <w:p w14:paraId="63D2CEC0" w14:textId="77777777" w:rsidR="00822884" w:rsidRPr="00070ADE" w:rsidRDefault="00822884" w:rsidP="00B56F90">
      <w:pPr>
        <w:spacing w:after="0" w:line="240" w:lineRule="auto"/>
        <w:jc w:val="both"/>
        <w:rPr>
          <w:rFonts w:ascii="Times New Roman" w:hAnsi="Times New Roman"/>
          <w:color w:val="000000" w:themeColor="text1"/>
          <w:sz w:val="16"/>
          <w:szCs w:val="16"/>
        </w:rPr>
      </w:pPr>
    </w:p>
    <w:p w14:paraId="295278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завод № 172 подал заводу № 100 для монтажа опытный образец 122-мм пушки боль</w:t>
      </w:r>
      <w:r w:rsidRPr="00070ADE">
        <w:rPr>
          <w:rFonts w:ascii="Times New Roman" w:hAnsi="Times New Roman"/>
          <w:color w:val="000000" w:themeColor="text1"/>
          <w:sz w:val="16"/>
          <w:szCs w:val="16"/>
        </w:rPr>
        <w:softHyphen/>
        <w:t>шой мощности БЛ-9 (прежний индекс ОБМ-50), который, опять же для проведения испытаний артиллерийской час</w:t>
      </w:r>
      <w:r w:rsidRPr="00070ADE">
        <w:rPr>
          <w:rFonts w:ascii="Times New Roman" w:hAnsi="Times New Roman"/>
          <w:color w:val="000000" w:themeColor="text1"/>
          <w:sz w:val="16"/>
          <w:szCs w:val="16"/>
        </w:rPr>
        <w:softHyphen/>
        <w:t>ти, был установлен в рубку ИСУ-152. Работы по данной САУ, получившей условное обозначение ИСУ-122-1 или ИСУ-122УМ, шли под индексом «Объект 243».</w:t>
      </w:r>
    </w:p>
    <w:p w14:paraId="5BE04E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Указанная САУ также рассматривалась в первую оче</w:t>
      </w:r>
      <w:r w:rsidRPr="00070ADE">
        <w:rPr>
          <w:rFonts w:ascii="Times New Roman" w:hAnsi="Times New Roman"/>
          <w:color w:val="000000" w:themeColor="text1"/>
          <w:sz w:val="16"/>
          <w:szCs w:val="16"/>
        </w:rPr>
        <w:softHyphen/>
        <w:t>редь в качестве испытания артиллерийской системы, так как в случае их успешного окончания предполагался заказ опытному заводу № 100 специального шасси с задним рас</w:t>
      </w:r>
      <w:r w:rsidRPr="00070ADE">
        <w:rPr>
          <w:rFonts w:ascii="Times New Roman" w:hAnsi="Times New Roman"/>
          <w:color w:val="000000" w:themeColor="text1"/>
          <w:sz w:val="16"/>
          <w:szCs w:val="16"/>
        </w:rPr>
        <w:softHyphen/>
        <w:t>положением боевого отделения.</w:t>
      </w:r>
    </w:p>
    <w:p w14:paraId="4739A9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Пушка БЛ-9,установленная в боевом отделении ИСУ-122-1, отличалась от 122-мм танкосамоходного ору</w:t>
      </w:r>
      <w:r w:rsidRPr="00070ADE">
        <w:rPr>
          <w:rFonts w:ascii="Times New Roman" w:hAnsi="Times New Roman"/>
          <w:color w:val="000000" w:themeColor="text1"/>
          <w:sz w:val="16"/>
          <w:szCs w:val="16"/>
        </w:rPr>
        <w:softHyphen/>
        <w:t>дия Д-25 и полевой корпусной пушки А-19, главным обра</w:t>
      </w:r>
      <w:r w:rsidRPr="00070ADE">
        <w:rPr>
          <w:rFonts w:ascii="Times New Roman" w:hAnsi="Times New Roman"/>
          <w:color w:val="000000" w:themeColor="text1"/>
          <w:sz w:val="16"/>
          <w:szCs w:val="16"/>
        </w:rPr>
        <w:softHyphen/>
        <w:t>зом, значительно большей длиной ствола (59 калибров), ко</w:t>
      </w:r>
      <w:r w:rsidRPr="00070ADE">
        <w:rPr>
          <w:rFonts w:ascii="Times New Roman" w:hAnsi="Times New Roman"/>
          <w:color w:val="000000" w:themeColor="text1"/>
          <w:sz w:val="16"/>
          <w:szCs w:val="16"/>
        </w:rPr>
        <w:softHyphen/>
        <w:t>торая (вместе с увеличением массы порохового заряда) поз</w:t>
      </w:r>
      <w:r w:rsidRPr="00070ADE">
        <w:rPr>
          <w:rFonts w:ascii="Times New Roman" w:hAnsi="Times New Roman"/>
          <w:color w:val="000000" w:themeColor="text1"/>
          <w:sz w:val="16"/>
          <w:szCs w:val="16"/>
        </w:rPr>
        <w:softHyphen/>
        <w:t>волила поднять начальную скорость бронебойного снаряда до 1007 м/с. Она была укомплектована усовершенствован</w:t>
      </w:r>
      <w:r w:rsidRPr="00070ADE">
        <w:rPr>
          <w:rFonts w:ascii="Times New Roman" w:hAnsi="Times New Roman"/>
          <w:color w:val="000000" w:themeColor="text1"/>
          <w:sz w:val="16"/>
          <w:szCs w:val="16"/>
        </w:rPr>
        <w:softHyphen/>
        <w:t>ной системой продувки канала ствола сжатым воздухом, улучшенным лотком облегчения заряжания. Боекомплект САУ предварительно состоял из 21—22 выстрелов, разме</w:t>
      </w:r>
      <w:r w:rsidRPr="00070ADE">
        <w:rPr>
          <w:rFonts w:ascii="Times New Roman" w:hAnsi="Times New Roman"/>
          <w:color w:val="000000" w:themeColor="text1"/>
          <w:sz w:val="16"/>
          <w:szCs w:val="16"/>
        </w:rPr>
        <w:softHyphen/>
        <w:t>щенных в доработанных укладках установки ИСУ-122.</w:t>
      </w:r>
    </w:p>
    <w:p w14:paraId="0A2417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Но во время испытаний стрельбой полным зарядом на дальность, проводимых в августе, ствол БЛ-9 был частич</w:t>
      </w:r>
      <w:r w:rsidRPr="00070ADE">
        <w:rPr>
          <w:rFonts w:ascii="Times New Roman" w:hAnsi="Times New Roman"/>
          <w:color w:val="000000" w:themeColor="text1"/>
          <w:sz w:val="16"/>
          <w:szCs w:val="16"/>
        </w:rPr>
        <w:softHyphen/>
        <w:t>но разрушен, и машина возвращена на завод для ремонта, который длился около полугода. Новый ствол был изготовлен только в январе 1945 г., а в феврале, после его монтажа в ИСУ-122-1, машина вновь отправилась на полигонные испытания. Но в апреле 1945 г., когда машина выдержала весь необходимый объем испытаний, стало ясно, что война кончается и время ИСУ-122-1 прошло. Она так и не вышла из разряда опытных (11417).</w:t>
      </w:r>
    </w:p>
    <w:p w14:paraId="259530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77615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мае 1944 года на заводе № 172 изготовили первый опытный образец пушки БЛ-9, а в июне ее установили на ИСУ-122-1. Эту машину представили на полигонные испытания 7 июля 1944 года. Предварительных испытаний в Гороховце в августе 1944 года установка не выдержала из-за низкой живучести ствола. Новый ствол был изготовлен к началу февраля 1945 года, и после его монтажа самоходка вновь поступила на испытания, состоявшиеся в мае 1945 года. На последних при стрельбе произошел разрыв ствола из-за дефектов металла. После этого дальнейшие работы по ИСУ-122-1 прекратили. </w:t>
      </w:r>
    </w:p>
    <w:p w14:paraId="69DDF9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Самоходная установка ИСУ-152-1 (ИСУ-152БМ) была создана в апреле 1944 года в КБ завода № 100, по инициативе ОКБ-172, предложившего разместить в установке СУ-152 разработанную у них 152-мм пушку БЛ-7, имевшую баллистику пушки Бр-2. Модификация пушки для монтажа в САУ получила индекс БЛ-8 (ОБМ-43). Она имела поршневой затвор, дульный тормоз оригинальной конструкции и систему продувки канала ствола сжатым воздухом из баллонов. Углы вертикального наведения составляли от -3°10'до+17°45', горизонтального — в секторе 8°30' (вправо — 6°30', влево — 2°). Высота линии огня — 1655 мм. При стрельбе использовались телескопический прицел СТ-10 и панорама Герца. Дальность стрельбы равнялась 18 500 м. Приводы наведения остались неизменными, по сравнению с установкой ИСУ-122. Боекомплект включал 21 выстрел раздельно-гильзового заряжания. Начальная скорость бронебойного снаряда достигала 850 м/с. В связи с монтажом новой пушки конструкцию броневой маски орудия несколько изменили. </w:t>
      </w:r>
    </w:p>
    <w:p w14:paraId="03C169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 проведении испытаний пушки БЛ-8 были выявлены «неудовлетворительные показатели по действию снарядов», ненадежность работы дульного тормоза и поршневого затвора, а также плохие условия работы расчета. Большой вылет ствола (общая длина установки составляла 12,05 м) ограничивал маневренность машины. По результатам испытаний БЛ-8 заменили пушкой БЛ-10 с клиновым полуавтоматическим затвором. </w:t>
      </w:r>
    </w:p>
    <w:p w14:paraId="2E0A56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декабре 1944 года самоходная установка ИСУ-152-2 с пушкой БЛ-10 проходила испытания на Ленинградском АНИОПе. Она их не выдержала из-за неудовлетворительной живучести ствола пушки и малого угла горизонтального наведения. Пушку отправили на доработку на завод № 172, однако до окончания войны ее доводка не была завершена (11638).</w:t>
      </w:r>
    </w:p>
    <w:p w14:paraId="5DB4F4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227B800" w14:textId="77777777"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на ЧКЗ сдали 135 ИСУ-152, производство завода увеличивалось за счёт ИС-2 и ИСУ-122, при этом за первую декаду выпустили всего 12% машин. Для выполнения плана с 20 мая были задействованы рабочие из других цехов и даже с других заводов Челябинска. Эта мера отразилась на качестве, но других вариантов решения проблемы попросту не было.</w:t>
      </w:r>
    </w:p>
    <w:p w14:paraId="48CA97EA" w14:textId="77777777"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этом машины продолжали дорабатывать. Педаль главного фрикциона перенесли вперёд, усилили крепление дисков вентилятора и ввели новые стяжки для спинки сиденья механика-водителя. В июне было выпущено 130 ИСУ-152, хотя в целом завод наращивал производство машин. Из 450 танков и САУ, построенных за месяц, за первую декаду сдали уже 20% месячной нормы.</w:t>
      </w:r>
    </w:p>
    <w:p w14:paraId="1F32C387" w14:textId="77777777"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Ситуация осложнялась проблемами с оптикой, в частности, не хватало прицелов. Машины продолжали дорабатывать: помимо переноса запасных траков на лобовую часть корпуса, появились ящик для личных вещей экипажа, выхлопные жалюзи с увеличенным шагом, а также регулируемая поперечная фиксация КПП. В июле планировалось сдать 100 ИСУ-152 и 175 ИСУ-122, но из-за недостаточного количества систем А-19, которыми вооружались последние, план пришлось менять. Количество ИСУ-122 снизилось до 140 штук, а число ИСУ-152, наоборот, выросло до 135 штук.</w:t>
      </w:r>
    </w:p>
    <w:p w14:paraId="7983E283" w14:textId="77777777"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Фактически июньскую программу завод закончил только 10 июля, не имея задела по запчастям. В результате июльская программа оказалась закончена 11 августа, при этом объёмы выпуска продолжали расти. Это, разумеется, сказалось не только на сроках, но и на качестве машин. За июль по цеху СБ-2 забраковали 8600 наименований деталей и узлов. Были претензии и к корпусам, имевшим массу отступлений от чертежей.</w:t>
      </w:r>
    </w:p>
    <w:p w14:paraId="5395BEF0" w14:textId="77777777"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июле продолжалось улучшение конструкции машины. В частности, с этого месяца САУ стали получать звёздочку ведущего колеса с изменённым профилем зуба.</w:t>
      </w:r>
    </w:p>
    <w:p w14:paraId="32CAE710" w14:textId="77777777"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запланированного объёма выпуска (по 250 ИС и ИСУ) ЧКЗ дошёл в августе. Завод выпускал уже сразу три типа САУ: в августе сдали 100 ИСУ-152, 125 ИСУ-122 и 25 ИСУ-122с. Благодаря введению второй линии конвейера и другим мероприятиям сдачу танков и САУ из августовского плана завод закончил 31 августа. Одновременно выросло качество машин, снова появились танки и САУ, сдававшиеся без дефектов. Таковых набралось 16% от общего объёма. В августе были внесены небольшие улучшения в конструкцию люков, улучшившие их уплотнение (18171).</w:t>
      </w:r>
    </w:p>
    <w:p w14:paraId="2D0F1D8A" w14:textId="77777777" w:rsidR="00822884" w:rsidRPr="00070ADE" w:rsidRDefault="00822884" w:rsidP="00B56F90">
      <w:pPr>
        <w:spacing w:after="0" w:line="240" w:lineRule="auto"/>
        <w:jc w:val="both"/>
        <w:rPr>
          <w:rFonts w:ascii="Times New Roman" w:hAnsi="Times New Roman"/>
          <w:color w:val="000000" w:themeColor="text1"/>
          <w:sz w:val="16"/>
          <w:szCs w:val="16"/>
        </w:rPr>
      </w:pPr>
    </w:p>
    <w:p w14:paraId="37ED10F9" w14:textId="77777777"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был готов второй образец СУ-100. Уже в ходе постройки машина подверглась дополнительным переделкам. Помимо того, что на ней стояло два вентилятора, их заменили более мощными вентиляторами МВ-12. В связи с этим сверху на колпаках появились приварки, которые на серийных машинах превратились в характерные «колокола». Командирскую башенку сместили вправо, ввиду чего выступ под неё стал больше. Сама башенка перестала быть симметричной: в лобовой части толщина брони увеличилась до 90 мм. Также установили ломающийся телескопический прицел ТШ-15, из-за чего немного изменилась бронировка орудия.</w:t>
      </w:r>
    </w:p>
    <w:p w14:paraId="1CB0F222" w14:textId="77777777"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второго опытного образца СУ-100 проходили на Гороховецком АНИОП с 24 по 27 июня, за это время машина прошла 250 км, из них 50 — с расстопоренным орудием. Также произвели 923 выстрела, из них 526 — усиленным зарядом. По итогам испытаний комиссия отметила девять пунктов исправлений по самоходной части и двенадцать по орудию и прицельным приспособлениям. Вместе с тем общий вердикт был однозначным: СУ-100 испытания выдержала и после доработок может быть принята на вооружение Красной армии. 3 июля Сталин подписал постановление ГКО №6131сс «Об организации производства самоходных артиллерийских установок СУ-100 на Уралмашзаводе Наркомата танковой промышленности и 100-мм пушек Д-10с на заводах №№8 и 9 Наркомата вооружения» (18252).</w:t>
      </w:r>
    </w:p>
    <w:p w14:paraId="4B45B561" w14:textId="77777777" w:rsidR="00822884" w:rsidRPr="00070ADE" w:rsidRDefault="00822884" w:rsidP="00B56F90">
      <w:pPr>
        <w:spacing w:after="0" w:line="240" w:lineRule="auto"/>
        <w:jc w:val="both"/>
        <w:rPr>
          <w:rFonts w:ascii="Times New Roman" w:hAnsi="Times New Roman"/>
          <w:color w:val="000000" w:themeColor="text1"/>
          <w:sz w:val="16"/>
          <w:szCs w:val="16"/>
        </w:rPr>
      </w:pPr>
    </w:p>
    <w:p w14:paraId="4C4C1877" w14:textId="77777777"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заводское КБ ГАЗ вместо создания принципиально новой 95 мм САУ машины решило разрабатывать её на основе СУ-76М. Работы в этом направлении стали возможными благодаря позиции военной приёмки, прежде всего инженер-полковника Окунева. Новая разработка получила индекс СУ-15А. Отсутствие обозначения ГАЗ в индексе объяснялась просто: базой машины стала СУ-15М, разработка КБ завода №38.</w:t>
      </w:r>
    </w:p>
    <w:p w14:paraId="1E5358FC" w14:textId="77777777"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Руководство работами по СУ-15А возглавил Астров, а ведущим инженером машины стал И.В. Гавалов. Игорю Валентиновичу за его долгую конструкторскую карьеру часто приходилось решать сложные технические задания, и эта разработка исключением не стала: в лёгкое шасси нужно было встроить орудие, которое первоначально создавалось для тяжёлых и средних танков.</w:t>
      </w:r>
    </w:p>
    <w:p w14:paraId="7E898785" w14:textId="77777777"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было проработано несколько вариантов машины. Выбрали наиболее простой: на существующий корпус СУ-15М устанавливалась 85-мм система Д-5С-85. Бронировка системы напоминала ту, что получила ГАЗ-75. Изменялась кормовая часть машины, в частности, нижний кормовой лист выполнялся вертикальным, чтобы внутри поместились увеличенные укладки патронов к Д-5С-85. Поскольку боевая масса, согласно расчётам, вырастала до 12 тонн, требовалось усиливать ходовую часть. Задний и передний балансиры опорных катков получали в качестве дополнительных упругих элементов рессоры. Вместо поддерживающих катков устанавливались полозья (склизы) (18098).</w:t>
      </w:r>
    </w:p>
    <w:p w14:paraId="7D21008F" w14:textId="77777777" w:rsidR="00822884" w:rsidRPr="00070ADE" w:rsidRDefault="00822884" w:rsidP="00B56F90">
      <w:pPr>
        <w:spacing w:after="0" w:line="240" w:lineRule="auto"/>
        <w:jc w:val="both"/>
        <w:rPr>
          <w:rFonts w:ascii="Times New Roman" w:hAnsi="Times New Roman"/>
          <w:color w:val="000000" w:themeColor="text1"/>
          <w:sz w:val="16"/>
          <w:szCs w:val="16"/>
        </w:rPr>
      </w:pPr>
    </w:p>
    <w:p w14:paraId="761F68E7" w14:textId="77777777"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было проработано несколько вариантов машины СУ-85. Выбрали наиболее простой: на существующий корпус СУ-15М устанавливалась 85-мм система Д-5С-85. Бронировка системы напоминала ту, что получила ГАЗ-75. Изменялась кормовая часть машины, в частности, нижний кормовой лист выполнялся вертикальным, чтобы внутри поместились увеличенные укладки патронов к Д-5С-85. Поскольку боевая масса, согласно расчётам, вырастала до 12 тонн, требовалось усиливать ходовую часть. Задний и передний балансиры опорных катков получали в качестве дополнительных упругих элементов рессоры. Вместо поддерживающих катков устанавливались полозья (склизы).</w:t>
      </w:r>
    </w:p>
    <w:p w14:paraId="2E0868F8" w14:textId="77777777"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того, чтобы удостовериться в возможности установки Д-5С-85 на лёгкое шасси, в мае 1944 года этой системой вооружили обычную СУ-76М. Испытания стрельбой дали удовлетворительные результаты. Машину показали маршалу бронетанковых войск Федоренко, который разработку одобрил (18098).</w:t>
      </w:r>
    </w:p>
    <w:p w14:paraId="13AFC019" w14:textId="77777777" w:rsidR="00822884" w:rsidRPr="00070ADE" w:rsidRDefault="00822884" w:rsidP="00B56F90">
      <w:pPr>
        <w:spacing w:after="0" w:line="240" w:lineRule="auto"/>
        <w:jc w:val="both"/>
        <w:rPr>
          <w:rFonts w:ascii="Times New Roman" w:hAnsi="Times New Roman"/>
          <w:color w:val="000000" w:themeColor="text1"/>
          <w:sz w:val="16"/>
          <w:szCs w:val="16"/>
        </w:rPr>
      </w:pPr>
    </w:p>
    <w:p w14:paraId="586935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был готов первый и единственный экземпляр ГАЗ-68. Ориентируясь на прототипы послевоенного грузовика повышенной проходимости ГАЗ-63, опытные образцы которого испытывались еще в 1940-1941 гг., В. А. Грачев разработал проект КСП (колесной самоходной пушки)В низком, открытом сверху бронекорпу-се размещалась 76,2-мм пушка. Водитель сидел справа. Силовой агрегат (двигатель ГАЗ-202, разновидность ГАЗ-11 мощностью 85 л. с.) размещался сзади. Все колеса - односкатные, причем привод на передние был постоянным, а на задние отключаемым. При боевой массе 5340 кг ГАЗ-68 развивал на шоссе скорость 77 км/ч и обладал весьма хорошей проходимостью. Однако когда в ноябре 1944 г. закончились испытания этой машины, острой необходимости в ней со стороны армии уже не было (12098).</w:t>
      </w:r>
    </w:p>
    <w:p w14:paraId="5746C3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0D26F3B" w14:textId="1C21C662"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на УТЗ (Завод № 76 НКТП, п/я 257, Уральский турбинный завод (УТЗ) им. Кирова НКТМ, Уральский турбомоторный завод, ПО «Турбомоторный завод им. К.Е. Ворошилова» (ТМЗ), ОАО «ТМЗ», ЗАО «УТЗ», ООО «Уральский дизель-моторный завод» /620040 (620017)</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г. Екатеринбург ул. Фронтовых Бригад, 18 тел. 326-42-11, -41-09/) организованы конструкторские бригады для разработки двух вариантов проектов двигателей для народного хозяйства: 6-цилиндрового дизеля мощностью в 180 л.с. и 12-цилиндрового дизеля мощностью 500 л.с. для передвижных электростанций, тяжелых грузовиков и судов. Затем на базе бригад </w:t>
      </w:r>
      <w:r w:rsidRPr="00070ADE">
        <w:rPr>
          <w:rFonts w:ascii="Times New Roman" w:hAnsi="Times New Roman"/>
          <w:color w:val="000000" w:themeColor="text1"/>
          <w:sz w:val="16"/>
          <w:szCs w:val="16"/>
        </w:rPr>
        <w:lastRenderedPageBreak/>
        <w:t>сформировано СКБм. В его составе организованы два отдела: опытных работ и серийных дизелей. Создается экспериментальная база СКБм. В 1950-54 г. опытный отдел СКБм работал над 16-цилиндровым двухвальным транспортным двигателем 2ДГ8М.</w:t>
      </w:r>
    </w:p>
    <w:p w14:paraId="3402098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(2005 г.)- В.В. Лашманов.</w:t>
      </w:r>
    </w:p>
    <w:p w14:paraId="4D33FA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дизели: для САУ СУ-100 «ДГ» (1952); 2ДГ8М (1954), В2-600ТК, Д6-250ТК; передвижная электростанция ЭЛ-100 (1950-е) (11982).</w:t>
      </w:r>
    </w:p>
    <w:p w14:paraId="5E0C8A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21DEF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месяце 1944 г. ОКБ ВЭИ вновь проводило испытании приборов для ночного вождения на заводе № 100 НКТП (11420).</w:t>
      </w:r>
    </w:p>
    <w:p w14:paraId="716CD9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7E79D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А.И. Берг подготовил отзыв на материалы по радиолокации, добытые резидентурой ГРУ ГШ под руководством Черняка. "Присланные Вами за последние 10 месяцев материалы представляют очень большую ценность для создания радиолокационного вооружения Красной Армии и Военно-Морского Флота. Особая их ценность заключается в том, что они подобраны со знанием дела и дают возможность не только ознакомиться с аппаратурой, но и в ряде случаев изготовить аналогичную, не затрачивая длительного времени на разработку. Кроме того сведения о создаваемом немцами методе борьбы с помехами позволили начать разработку соответствующих контрмероприятий. Все эти сведения и материалы позволяют нам уверенно выбирать пути технического развития новой и мало нам известной техники радиолокации, обеспечивая нам необходимую для этого перспективу и осведомленность." (9921).</w:t>
      </w:r>
    </w:p>
    <w:p w14:paraId="0B88DD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CB569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на базе завода № 304 в соответствии с постановлением ГК обороны было организовано ЦКБ-3 Кошкина.</w:t>
      </w:r>
    </w:p>
    <w:p w14:paraId="76AA3A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1945 года ЦКБ-3 было перебазировано на площадку завода № 710, а в октябре 1951 года на территорию завода № 711 (10285).</w:t>
      </w:r>
    </w:p>
    <w:p w14:paraId="7B864E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A6C244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был подготовлен Акт о разделе завода № 80 НКБ на два самостоятельных завода за 1944 год</w:t>
      </w:r>
    </w:p>
    <w:p w14:paraId="51B7B6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приказом наркома боеприпасов за № 195-с от 22 апреля 1944 года завод № 80 разделен на два самостоятельных завода:</w:t>
      </w:r>
    </w:p>
    <w:p w14:paraId="0FF3FEE6" w14:textId="77777777" w:rsidR="00595BFB" w:rsidRPr="00070ADE" w:rsidRDefault="00595BFB" w:rsidP="00B56F9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Снаряжательный завод.</w:t>
      </w:r>
    </w:p>
    <w:p w14:paraId="1E86821E" w14:textId="77777777" w:rsidR="00595BFB" w:rsidRPr="00070ADE" w:rsidRDefault="00595BFB" w:rsidP="00B56F9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Химический завод (производство взрывчатых веществ и кислот) (10213).</w:t>
      </w:r>
    </w:p>
    <w:p w14:paraId="293A7418" w14:textId="77777777" w:rsidR="00595BFB" w:rsidRPr="00070ADE" w:rsidRDefault="00595BFB" w:rsidP="00B56F9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28483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был подготовлен Акт о разделе завода № 15 НКБ на два самостоятельных завода за 1944 год</w:t>
      </w:r>
    </w:p>
    <w:p w14:paraId="70AB1E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распоряжением СНК за № 8331рс от 14 апреля 1944 года и приказом НКБ № 203с от 12 мая 1944 года завод № 15 разделен на два самостоятельные завода:</w:t>
      </w:r>
    </w:p>
    <w:p w14:paraId="6FD09E5C" w14:textId="77777777" w:rsidR="00595BFB" w:rsidRPr="00070ADE" w:rsidRDefault="00595BFB" w:rsidP="00B56F9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Химический завод № 15 (производство взрывчатых веществ и кислот).</w:t>
      </w:r>
    </w:p>
    <w:p w14:paraId="31581028" w14:textId="77777777" w:rsidR="00595BFB" w:rsidRPr="00070ADE" w:rsidRDefault="00595BFB" w:rsidP="00B56F90">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Снаряжательный завод.</w:t>
      </w:r>
    </w:p>
    <w:p w14:paraId="1A7095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Снаряжательного завода инженер-полковник Крысин.</w:t>
      </w:r>
    </w:p>
    <w:p w14:paraId="6C18374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химического завода № 15 инженер-майор Быков (10214).</w:t>
      </w:r>
    </w:p>
    <w:p w14:paraId="780DFE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BE7899F" w14:textId="48CB2B5F"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Завод № 728 НКС, МПСС , Завод «Красный сигналист», ГС Воронежский завод радио</w:t>
      </w:r>
      <w:r w:rsidRPr="00070ADE">
        <w:rPr>
          <w:rFonts w:ascii="Times New Roman" w:hAnsi="Times New Roman"/>
          <w:color w:val="000000" w:themeColor="text1"/>
          <w:sz w:val="16"/>
          <w:szCs w:val="16"/>
        </w:rPr>
        <w:softHyphen/>
        <w:t>приемной аппаратуры «Электросигнал» НКТП, НКОП, НКАП, НКЭП, В-8865, ПО «Электросигнал» МПСС, АООТ, ОАО «Электросигнал» /г. Воронеж Задонское ш. а/я 5/ /394026</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Воронеж ул. Электросигнальная, 1 тел. 16-04-94, -24-87/ был восстановлен и начал выпуск радиоприемников.</w:t>
      </w:r>
    </w:p>
    <w:p w14:paraId="0C977E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1953 г. начато производство телевизоров, далее завод стал ведущим по этому направлению.</w:t>
      </w:r>
    </w:p>
    <w:p w14:paraId="2AE5FA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Имел наименование «п/я В-8865». В 1977 г. на базе завода создано ПО «Электросигнал», в состав которого входил также завод «Сигнал» ( г. Коммунарск). На базе завода были созданы предприятия: Воронежский завод радиодеталей (1948 г.), Воронежский радиозавод «Полюс» (1954 г.), Воронежский НИИ «Вега» (1956 г.), ВНИИС (1958 г.), «Рекорд-сервис» (1990 г.). ПО имело филиал, в 03.1982 г. из него выделился самостоятельный завод «Орион» ( г. Тернополь).</w:t>
      </w:r>
    </w:p>
    <w:p w14:paraId="53CE3C1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02.1993 г. предприятие преобразовано в АООТ, с 1996 г.- ОАО «Электросигнал». По решению правительства № 22-р от 9.01.2004 г. ОАО вошло в перечень стратегических предприятий.</w:t>
      </w:r>
    </w:p>
    <w:p w14:paraId="29E389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Разработка и производство (2002 г.): средства связи специального и общего назначения для МО и силовых структур; мобильные узлы связи на шасси бронетехники; телевизоры.</w:t>
      </w:r>
    </w:p>
    <w:p w14:paraId="191D1E3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Имелось 5 дочерних предприятий (2005 г.): ООО «Завод «ЭЛТА», ООО «Завод «ЭЛМА», ООО «Агрофирма «Поляны», ООО «Телекомпания «ВЭЛС-ТВ», ООО «База отдыха «Сигнал».</w:t>
      </w:r>
    </w:p>
    <w:p w14:paraId="0D1C7C6C" w14:textId="70011CFA"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(1932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Г.М. Гройсер-Де-Маре, (-11.02.1937 г.)- А.А. Нудэ, (11.02.1937-5.03.1938 г.)- А(Н).И. Щеголь (снят); и.о. (29.04-05.1938 г.)- В.М. Карпов; (14.05-11.1938 г.-)- В.М. Карпов, (1949-68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Г.П. Фурсов, (1968-87 г.)- Н.А. Потапов. Гендиректор (1996 г.-&gt; Б.В. Харченко, (2004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Г.Н. Потапов.</w:t>
      </w:r>
    </w:p>
    <w:p w14:paraId="18DDF24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директора (-27.05.1937 г.)- И.К. Вирзин, (27.05.1937 г.-&gt; В.И. Нефедов, (14.10.1937 г.-)- И.Т. Козенко.</w:t>
      </w:r>
    </w:p>
    <w:p w14:paraId="15A587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Технический директор (03.1937 г.)- Л.А. Раков.</w:t>
      </w:r>
    </w:p>
    <w:p w14:paraId="0A4F3287" w14:textId="1FAF197B"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(16.02.1937 г.-)- Л.А. Раков, (14.10.1937-19.07.1938 г.)- И.Т. Козенко, (9.05-11.1938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Г.К. Марисов.</w:t>
      </w:r>
    </w:p>
    <w:p w14:paraId="1B521E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инженера (16.02.1937 г.-)- В.Н. Котельников.</w:t>
      </w:r>
    </w:p>
    <w:p w14:paraId="3877CC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производства (16.02.1937 г.-)- В.Н. Котельников.</w:t>
      </w:r>
    </w:p>
    <w:p w14:paraId="670027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цехов: конденсаторного (03.1937 г.-)- И. Г. Козенок.</w:t>
      </w:r>
      <w:r w:rsidRPr="00070ADE">
        <w:rPr>
          <w:rFonts w:ascii="Times New Roman" w:hAnsi="Times New Roman"/>
          <w:color w:val="000000" w:themeColor="text1"/>
          <w:sz w:val="16"/>
          <w:szCs w:val="16"/>
          <w:vertAlign w:val="superscript"/>
        </w:rPr>
        <w:t>Ь9</w:t>
      </w:r>
    </w:p>
    <w:p w14:paraId="0BE53F7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 радиоприемники:</w:t>
      </w:r>
      <w:r w:rsidRPr="00070ADE">
        <w:rPr>
          <w:rFonts w:ascii="Times New Roman" w:hAnsi="Times New Roman"/>
          <w:color w:val="000000" w:themeColor="text1"/>
          <w:sz w:val="16"/>
          <w:szCs w:val="16"/>
        </w:rPr>
        <w:t xml:space="preserve"> П-8 (1934-), батарейный БИ-234 (1934-), сетевой СИ-234 (1934-), СИ-235 (- 1939), 9Н-4 (1937-), 4НБС-6 (1938-), 6НГ-1 (1938), 6Н-1 (американский, 1939-40-), СР-1 (1940)- 100 тыс., 4ДН-6 (1940)- 20 тыс., СПБ (1940)- 4 тыс., ФДН-6 (1940), 9Н-19 (1941-), комбайн Т-19 (1941)- 10, «Родина» (1945-), «Родина-45, -46, -47 (ЭЛС-3), -52, -53, -58, -59, -60М1», «Электросигнал» ЭЛС-2, ЭЛС-3 (1944-45), «Воронеж» (1952-); радиола Д-11 (1939-); репродукторы «Говорящая бумага» (1940-), «Говорящий целлофан» (1941-); </w:t>
      </w:r>
      <w:r w:rsidRPr="00070ADE">
        <w:rPr>
          <w:rFonts w:ascii="Times New Roman" w:hAnsi="Times New Roman"/>
          <w:iCs/>
          <w:color w:val="000000" w:themeColor="text1"/>
          <w:sz w:val="16"/>
          <w:szCs w:val="16"/>
        </w:rPr>
        <w:t>радиостанции:</w:t>
      </w:r>
      <w:r w:rsidRPr="00070ADE">
        <w:rPr>
          <w:rFonts w:ascii="Times New Roman" w:hAnsi="Times New Roman"/>
          <w:color w:val="000000" w:themeColor="text1"/>
          <w:sz w:val="16"/>
          <w:szCs w:val="16"/>
        </w:rPr>
        <w:t xml:space="preserve"> АРС (1949-), ЦРС (1949-), «Марс» (1949-), «Плахпет» (1949-), «Парус», «Алтай» (1979-), «Лен» (1979-), «Маяк» (1979-), «Маяк-Дуэт» (2000-е), «Эстакада» (1979-), «Гранит», «Фазан» (2000-е), центровая «Алтай-ЦС», локомотивная «Транспорт-РВ-1» (1995-2000-е), промышленные УКВ: «Сигнал-Н», портативная ВЭЛС (2000-е); Р-107М, Р-111, Р-159, Р-163, Р-168-100 (2000-е), Р-407; система радиосвязи ВЭЛС-Л (2000-е); 1РТМ-А2-ЧМ; радиоузел "5-W";</w:t>
      </w:r>
      <w:r w:rsidRPr="00070ADE">
        <w:rPr>
          <w:rFonts w:ascii="Times New Roman" w:hAnsi="Times New Roman"/>
          <w:iCs/>
          <w:color w:val="000000" w:themeColor="text1"/>
          <w:sz w:val="16"/>
          <w:szCs w:val="16"/>
        </w:rPr>
        <w:t xml:space="preserve"> телевизоры:</w:t>
      </w:r>
      <w:r w:rsidRPr="00070ADE">
        <w:rPr>
          <w:rFonts w:ascii="Times New Roman" w:hAnsi="Times New Roman"/>
          <w:color w:val="000000" w:themeColor="text1"/>
          <w:sz w:val="16"/>
          <w:szCs w:val="16"/>
        </w:rPr>
        <w:t xml:space="preserve"> КВН-49 (1953-), «Воронеж» (1956-), «Воронеж-2, -3, -6», «Рекорд» (1956-), «Рекорд-12, -64, -В300, -В305, -В306 (1972-), -В307, -В308, -В310, -В311, -В312 (1975-), -В350, ВЦ310, ВЦ-311, ВЦ-381 (1984-)», «ВЭЛС» 34ТБ-413 (1991-), 23ТБ-433, 51ТЦ-49; устройства зарядные УЗ-10, ПЗУ-6-1 (2000-е).</w:t>
      </w:r>
      <w:r w:rsidRPr="00070ADE">
        <w:rPr>
          <w:rFonts w:ascii="Times New Roman" w:hAnsi="Times New Roman"/>
          <w:color w:val="000000" w:themeColor="text1"/>
          <w:sz w:val="16"/>
          <w:szCs w:val="16"/>
          <w:vertAlign w:val="superscript"/>
        </w:rPr>
        <w:t>101</w:t>
      </w:r>
      <w:r w:rsidRPr="00070ADE">
        <w:rPr>
          <w:rFonts w:ascii="Times New Roman" w:hAnsi="Times New Roman"/>
          <w:color w:val="000000" w:themeColor="text1"/>
          <w:sz w:val="16"/>
          <w:szCs w:val="16"/>
        </w:rPr>
        <w:t>'</w:t>
      </w:r>
    </w:p>
    <w:p w14:paraId="74BF58A4" w14:textId="61AE6DF2"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«Сигнал», В-8955 /Украина</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Коммунарск Луганской обл./</w:t>
      </w:r>
    </w:p>
    <w:p w14:paraId="6BB88B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являлся филиалом завода «Электросигнал», затем входил в состав ПО «Электросигнал». Имел наименование «п/я В-8955».</w:t>
      </w:r>
    </w:p>
    <w:p w14:paraId="21C04A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радиостанция «Гранит-М».</w:t>
      </w:r>
    </w:p>
    <w:p w14:paraId="68F485B9" w14:textId="119F1D15"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ПО «Орион», ОАО «Тернопольский радиозавод (ТРЗ) «Орион» /Украина</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Тернополь ул. 15-го Квитня, 6/</w:t>
      </w:r>
    </w:p>
    <w:p w14:paraId="07BAFE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«Орион» в 03.1982 г. выделился из состава филиала ПО «Электросигнал» в самостоятельный завод. В 08.1989 г. на базе завода создано ПО «Орион». В 10.1998 г. преобразовано в ОАО «ТРЗ «Орион».</w:t>
      </w:r>
    </w:p>
    <w:p w14:paraId="2BC7E4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электропроигрыватели: «Орбита-001С, ЭП-001С»; магнитолы: «Селена», «Топильче РМ- 201С»; радиоприемники: «Орион РП-201, РП-206».</w:t>
      </w:r>
    </w:p>
    <w:p w14:paraId="2E874D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Воронежский завод радиодеталей, А-7058, ОАО «Воронежский завод радиодеталей» /г. Воронеж/</w:t>
      </w:r>
    </w:p>
    <w:p w14:paraId="17B447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 в 1948 г. на базе завода «Электросигнал». Имел наименование «п/я А-7058».</w:t>
      </w:r>
    </w:p>
    <w:p w14:paraId="7A33F8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36D0AB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транзистор П-216.</w:t>
      </w:r>
    </w:p>
    <w:p w14:paraId="7E5F8452" w14:textId="3BBB7358"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Воронежский радиозавод, ПО «Полюс», Р-6797, ОАО «Воронежский радиозавод «Полюс» /г. Воронеж а/я 10/ /394640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Воронеж ул. 9 Января, 180/</w:t>
      </w:r>
    </w:p>
    <w:p w14:paraId="316441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 в начале 1954 г. на базе завода «Электросигнал». Имел наименование «п/я Р-6797».</w:t>
      </w:r>
    </w:p>
    <w:p w14:paraId="6E4364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Специализировался на производстве шифровального оборудования для служб безопасности и оборудовании для телекоммуникационных систем. С 1959 г. начата разработка и производство портативных транзисторных приемников, широкополосных усилителей. Выпускалось также оборудование для измерения и регулирования температуры и влажности в зернохранилищах, устройства звуковой сигнализации.</w:t>
      </w:r>
    </w:p>
    <w:p w14:paraId="2A63AB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Р-389, Р-391; блоки для Р-359;</w:t>
      </w:r>
      <w:r w:rsidRPr="00070ADE">
        <w:rPr>
          <w:rFonts w:ascii="Times New Roman" w:hAnsi="Times New Roman"/>
          <w:iCs/>
          <w:color w:val="000000" w:themeColor="text1"/>
          <w:sz w:val="16"/>
          <w:szCs w:val="16"/>
        </w:rPr>
        <w:t xml:space="preserve"> радиоприемники:</w:t>
      </w:r>
      <w:r w:rsidRPr="00070ADE">
        <w:rPr>
          <w:rFonts w:ascii="Times New Roman" w:hAnsi="Times New Roman"/>
          <w:color w:val="000000" w:themeColor="text1"/>
          <w:sz w:val="16"/>
          <w:szCs w:val="16"/>
        </w:rPr>
        <w:t xml:space="preserve"> «Воронеж» (1954-), «Дорожный» (1954-), «Новь» (1956-), «Спутник» (1957-), «Сюрприз» (1957-), «Стрела» (1959-), «Сувенир», «Атмосфера» (1959-), «Атмосфера-2 (I960-)», «Альпинист» (1964-), «Альпинист-2, -3 (1964-), -405 (1972-), -406, -407 (1975-), -415, -417, -418 (1979-), -419, -420, -320 (1984-), -321 (1986-), -221 (1990-), -224 (1991-), РП-224, РП-226С, РП-229»; радиола «Стрела»; магнитола «Альпинист-411».</w:t>
      </w:r>
      <w:r w:rsidRPr="00070ADE">
        <w:rPr>
          <w:rFonts w:ascii="Times New Roman" w:hAnsi="Times New Roman"/>
          <w:color w:val="000000" w:themeColor="text1"/>
          <w:sz w:val="16"/>
          <w:szCs w:val="16"/>
          <w:vertAlign w:val="superscript"/>
        </w:rPr>
        <w:t>108</w:t>
      </w:r>
    </w:p>
    <w:p w14:paraId="4CB77C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ФГУП «Воронежский НИИ «Вега» /г. Воронеж/</w:t>
      </w:r>
    </w:p>
    <w:p w14:paraId="362E73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 в 1956 г. на базе завода «Электросигнал».</w:t>
      </w:r>
    </w:p>
    <w:p w14:paraId="2F0C8E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0FD5DEA5" w14:textId="6576449D"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Воронежский НИИ связи (ВНИИС) МПСС, Р-6208, Минсвязи, ФГУП «Воронежский НИИС», ОАО «Концерн «Созвездие» /394018</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Воронеж ул. Плехановская, 14 тел. 52-10-06, -12-59/</w:t>
      </w:r>
    </w:p>
    <w:p w14:paraId="1ACB20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Образован 1.05.1958 г. на базе завода «Электросигнал» для исследований и разработок в области систем и средств сухопутной подвижной связи. Головной институт по данному направлению. Имел наименование «п/я Р- 6208».</w:t>
      </w:r>
    </w:p>
    <w:p w14:paraId="7DBA2A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(1958-75 г.): разработка средств радиосвязи и управления; (1975-95 г.): разработка АСУ и связи с адаптацией к внешним воздействиям; (1995 г.-): разработка АСУ и гибко программируемых многофункциональных средств радиосвязи, в т.ч. СУ войсками, оружием, средствами радиосвязи и радиоподавления; (2005 г.): технологические средства для CDMA-технологий; устройства кодирования, перемежения и технического закрытия информации; фильтры, линии задержки и устройства обработки данных; автоматизированные антенно-мачтовые устройства высотой до 70 м; высокостабильные кварцевые генераторы.</w:t>
      </w:r>
    </w:p>
    <w:p w14:paraId="69F43F3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1977 г., после образования Запорожского НИИРС, туда переданы работы по разработке KB радиостанций.</w:t>
      </w:r>
    </w:p>
    <w:p w14:paraId="5A2999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Принимал участие в разработке абонентской станции спутниковой связи для ВС Р-439-МДЗКР (совместно с НПП «Радиосвязь»).</w:t>
      </w:r>
    </w:p>
    <w:p w14:paraId="08E9845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Указу Президента № 993 от 29.07.2004 г. Воронежский НИИ связи преобразован в ОАО «Концерн «Созвездие». По Указу Президента РФ № 1009 от 4.08.2004 г. вошло в перечень стратегических оборонных предприятий.</w:t>
      </w:r>
    </w:p>
    <w:p w14:paraId="0186F8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состав Концерна входили (2006 г.): 16 предприятий, в т.ч. ВНИИС, КБОР, Сарапульский радиозавод.</w:t>
      </w:r>
    </w:p>
    <w:p w14:paraId="31E949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(2006 г.): разработка и производство: АСУ и связи тактического звена, систем телекодовой и речевой связи комплексов ПВО, АСУ и средств РЭБ, АСУ и связи спецназначения, систем и средств радиосвязи для народного хозяйства.</w:t>
      </w:r>
    </w:p>
    <w:p w14:paraId="5DBD37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(2005 г.)- около 5000 чел.</w:t>
      </w:r>
      <w:r w:rsidRPr="00070ADE">
        <w:rPr>
          <w:rFonts w:ascii="Times New Roman" w:hAnsi="Times New Roman"/>
          <w:color w:val="000000" w:themeColor="text1"/>
          <w:sz w:val="16"/>
          <w:szCs w:val="16"/>
          <w:vertAlign w:val="superscript"/>
        </w:rPr>
        <w:t>101</w:t>
      </w:r>
    </w:p>
    <w:p w14:paraId="3F0F24B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(1958-86 г.)- К.Я. Петров, Б.Я. Осипов,</w:t>
      </w:r>
      <w:r w:rsidRPr="00070ADE">
        <w:rPr>
          <w:rFonts w:ascii="Times New Roman" w:hAnsi="Times New Roman"/>
          <w:color w:val="000000" w:themeColor="text1"/>
          <w:sz w:val="16"/>
          <w:szCs w:val="16"/>
          <w:vertAlign w:val="superscript"/>
        </w:rPr>
        <w:t>122</w:t>
      </w:r>
      <w:r w:rsidRPr="00070ADE">
        <w:rPr>
          <w:rFonts w:ascii="Times New Roman" w:hAnsi="Times New Roman"/>
          <w:color w:val="000000" w:themeColor="text1"/>
          <w:sz w:val="16"/>
          <w:szCs w:val="16"/>
        </w:rPr>
        <w:t xml:space="preserve"> А.П. Биленко,</w:t>
      </w:r>
      <w:r w:rsidRPr="00070ADE">
        <w:rPr>
          <w:rFonts w:ascii="Times New Roman" w:hAnsi="Times New Roman"/>
          <w:color w:val="000000" w:themeColor="text1"/>
          <w:sz w:val="16"/>
          <w:szCs w:val="16"/>
          <w:vertAlign w:val="superscript"/>
        </w:rPr>
        <w:t>122</w:t>
      </w:r>
      <w:r w:rsidRPr="00070ADE">
        <w:rPr>
          <w:rFonts w:ascii="Times New Roman" w:hAnsi="Times New Roman"/>
          <w:color w:val="000000" w:themeColor="text1"/>
          <w:sz w:val="16"/>
          <w:szCs w:val="16"/>
        </w:rPr>
        <w:t xml:space="preserve"> (1986-2003 г.-)- В.И. Борисов. Гендиректор (-2005-06 Г.-)- В.И. Борисов.</w:t>
      </w:r>
    </w:p>
    <w:p w14:paraId="430119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директора по науке (2001 г.)- И.И. Малышев.</w:t>
      </w:r>
    </w:p>
    <w:p w14:paraId="1C4623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 конструктор (-2003-06 г.-)- В. Борисов.</w:t>
      </w:r>
    </w:p>
    <w:p w14:paraId="49BAD7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конструктора- И.И. Малышев.</w:t>
      </w:r>
    </w:p>
    <w:p w14:paraId="1FF985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А.П. Биленко, Н.А. Рудиков, В.И. Николаев, Э.А. Янутан.</w:t>
      </w:r>
    </w:p>
    <w:p w14:paraId="427A85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технолог- В.З. Курцев.</w:t>
      </w:r>
    </w:p>
    <w:p w14:paraId="715D8C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конструкторы: Б.Я. Осипов, А.П. Биленко (аппаратура 15Э), JI.T. Болотин («Выстрел», «Выстрел-М»),</w:t>
      </w:r>
    </w:p>
    <w:p w14:paraId="2CF244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отделов: микроэлектроники- B.C. Цымбалюк.</w:t>
      </w:r>
    </w:p>
    <w:p w14:paraId="6549BEA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 радиостанции:</w:t>
      </w:r>
      <w:r w:rsidRPr="00070ADE">
        <w:rPr>
          <w:rFonts w:ascii="Times New Roman" w:hAnsi="Times New Roman"/>
          <w:color w:val="000000" w:themeColor="text1"/>
          <w:sz w:val="16"/>
          <w:szCs w:val="16"/>
        </w:rPr>
        <w:t xml:space="preserve"> тактического звена: Р-111, Р-123, Р-124, Р-129 «Выстрел» (1960-е), Р-130 «Выстрел- М» (1960-е), Р-134, Р-143, Р-163, Р-173 (1970-е); КВ-УКВ диапазона Р-168 «Акведук» (1975); для оперативной связи сухопутных и пограничных войск: «Визиви», «Виконт», «Гондола», «Малыш», «Уран», «Сокол»; для МВД «Вызов», «Сигнал», «Марс», «Сирена», «Пальма», «Виола»; для КГБ «Сова», «Зяблик», «Чайка», «Кайра»; линии управления «Круг», «Краб», «Эвольвента» (1970-е), линии управления и связи с псевдослучайной nqHopriMB рабочих частот (ППРЧ) «Акведук» (1990-е); аппаратура закрытой системы связи 15Э; изделия «Карабах «Порт», «Кама-С, -П», «Беркут», «Глет-Н, -3», «Лес», «Волемот», «Лен», «Акватория»; навигацпан аппаратура «Азимут» (2000-е); релейная станция «Луч МТ» (2000-е); система связи для МПС «Транспорт»; транкинговая система общего пользования «Алтай» (1970-е).</w:t>
      </w:r>
    </w:p>
    <w:p w14:paraId="59243F72" w14:textId="17B3F902"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КБ опытных работ (КБОР) МПСС, ФГУП «КБОР» ФАП /115093</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Москва 1-й Щипковский пер., 3 тел. 235-83-27/</w:t>
      </w:r>
    </w:p>
    <w:p w14:paraId="5EA2E163" w14:textId="233B2C29"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Образовано по приказу МПСС в 12.1974 г. для создания подвижных систем связи специального назначения. С помощью региональных подразделений вело строительство объектов связи, монтаж и наладку систем связи, завершенных в 1982 г. В 1980-е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При помощи КБОР были введены в строй Киевский институт радиотехнических материалов, Минский институт радиоматериалов, Боровский завод спецматериалов и Кольский завод спецматериалов.</w:t>
      </w:r>
    </w:p>
    <w:p w14:paraId="29AD7F2A" w14:textId="6F6FD312"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1980-е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на базе КБОР и СКБ материалов ЦНИТИ «Техномаш» создан Отраслевой центр специального материаловедения. Им разработано более 200 новых материалов. Велись работы в области радиационных методов модификации материалов, биозащиты, тропикоустойчивости, утилизации многокомпонентного металлолома.</w:t>
      </w:r>
    </w:p>
    <w:p w14:paraId="7FF42C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Имело Боровский филиал (1975-79 г.).</w:t>
      </w:r>
    </w:p>
    <w:p w14:paraId="556867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1998 г. главным направлением КБОР стало создание и выпуск многофункциональных систем регистрации и приема-передачи информации серии МСР.</w:t>
      </w:r>
    </w:p>
    <w:p w14:paraId="21640D7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1664E2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Входил в состав Концерна «Созвездие» (2006 г.).</w:t>
      </w:r>
    </w:p>
    <w:p w14:paraId="373FD3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(2006 г.): создание и эксплуатация многофункциональных систем регистрации, мониторинга и управления силами и средствами.</w:t>
      </w:r>
    </w:p>
    <w:p w14:paraId="26A48E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А.И. Студеницын, В.А. Латышев, (1980-е-2000 г.-)- З.П. Баскаев. Гендиректор (-2005-06 г.-)- В.В. Симаков (11982).</w:t>
      </w:r>
    </w:p>
    <w:p w14:paraId="11FFD9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F3C7443" w14:textId="77777777" w:rsidR="00714AC7" w:rsidRPr="00070ADE" w:rsidRDefault="00714AC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был подготовлен отзыв А.И. Берга на материалы по радиолокации, добытые резидентурой ГРУ ГШ под руководством Черняка:</w:t>
      </w:r>
    </w:p>
    <w:p w14:paraId="6D44F60B" w14:textId="77777777" w:rsidR="00714AC7" w:rsidRPr="00070ADE" w:rsidRDefault="00714AC7"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«Присланные Вами за последние 10 месяцев материалы представляют очень большую ценность для создания радиолокационного вооружения Красной Армии и Военно-Морского Флота. Особая их ценность заключается в том, что они подобраны со знанием дела и дают возможность не только ознакомиться с аппаратурой, но и в ряде случаев изготовить аналогичную, не затрачивая длительного времени на разработку. Кроме того, сведения о создаваемом немцами методе борьбы с помехами позволили начать разработку соответствующих контрмероприятий. Все эти сведения и материалы позволяют нам уверенно выбирать пути технического развития новой и мало нам известной техники радиолокации, обеспечивая нам необходимую для этого перспективу и осведомленность».</w:t>
      </w:r>
    </w:p>
    <w:p w14:paraId="099FFDAF" w14:textId="77777777" w:rsidR="00714AC7" w:rsidRPr="00070ADE" w:rsidRDefault="00714AC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Наряду с тысячами страниц текстов и чертежей доставлялись даже образцы изделий, выпущенных немецкой промышленностью.</w:t>
      </w:r>
    </w:p>
    <w:p w14:paraId="59D3D573" w14:textId="77777777" w:rsidR="00714AC7" w:rsidRPr="00070ADE" w:rsidRDefault="00714AC7" w:rsidP="00B56F90">
      <w:pPr>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«…Получил от Вас 475 иностранных письменных материалов и 102 образца аппаратуры. Подбор материалов сделан настолько умело, что не оставляет желать ничего иного на будущее. При вызванном военными обстоятельствами отставании нашей радиолокационной техники от заграницы и при насущной необходимости развивать у нас эту технику в кратчайшие сроки для своевременного оснащения нашей армии и флота радиолокационным вооружением и оружием защиты от радиолокации противника, полученные от Вас сведения имеют большое государственное значение. Работу ГРУ за истекший год в данной области следует признать выполненной блестяще». (Декабрь 1944 года.).</w:t>
      </w:r>
    </w:p>
    <w:p w14:paraId="2EB0836E" w14:textId="77777777" w:rsidR="00714AC7" w:rsidRPr="00070ADE" w:rsidRDefault="00714AC7" w:rsidP="00B56F90">
      <w:pPr>
        <w:spacing w:after="0" w:line="240" w:lineRule="auto"/>
        <w:jc w:val="both"/>
        <w:rPr>
          <w:rFonts w:ascii="Times New Roman" w:hAnsi="Times New Roman"/>
          <w:color w:val="000000" w:themeColor="text1"/>
          <w:sz w:val="16"/>
          <w:szCs w:val="16"/>
        </w:rPr>
      </w:pPr>
    </w:p>
    <w:p w14:paraId="44AEE6F5" w14:textId="46034930"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на площадке эвакуированных заводов № 387, № 47 и «Лентекстильмаш» в 5ГУ НКАП был вновь организован Завод № 287 (Завод № 287 НКАП, МАП, МОП, ГКРЭ, п/я 934, Завод «Ленинец» МРП, АООТ, ОАО «Механический завод «Ленинец», ОАО «НТЦ «Завод «Ленинец» /г. Ленинград/ /196084</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Санкт-Петербург, ул. Парковая, 6/ /196084</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Санкт-Петербург ул. Коли Томчака, 9 тел. 324-61-00/). С 1.10.1944 г. по приказу № 605с от 13.10.1944 г. передан из 5ГУ в систему 17ГУ НКАП (по РЛ технике). Территориально завод расположился между Международным пр., ул. Заставской и ул. Волкова (в 1933 г. на этом месте была фабрика-кухня).</w:t>
      </w:r>
    </w:p>
    <w:p w14:paraId="04DF10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по авиационным радиоприборам и РЛС. В начале 1945 г. проведено восстановление завода, началась организация производства высотомеров. В соответствии с пост. ГКО № 8158 от 19.04.1945 г. на завод передано оборудование и материалы с завода «Радио-Верк» ( г. Вена), в том же году передано 57 станков с немецкого завода фирмы «Шмидт» в Мариенвердере для организации производства РЛ приборов; всего в 1945-46 г. поставлено 384 трофейных металлорежущих станка.</w:t>
      </w:r>
    </w:p>
    <w:p w14:paraId="7C7E8F5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СМ СССР № 713-342 от 26.06.1957 г. передан в ведение Управления приборостроительной промышленности ЛенСНХ, с 1958 г. - Управления радиотехнической промышленности ЛенСНХ, в 12.1958 г. завод передан в ведение ГКРЭ. Имел наименование «п/я 934». В соответствии с пост, от 29.09.1965 г. завод № 287 передан в ведение МРП, в 1967 г. переименован в Ленинградский государственный завод «Ленинец». По приказу МРП № 756 от 28.12.1973 г. завод «Ленинец» вошел в состав ЛПТО как производство № 3, а ЛПТО «Новатор» переименовано в ЛПТО «Ленинец».</w:t>
      </w:r>
    </w:p>
    <w:p w14:paraId="1E4E93CA" w14:textId="479A640B"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1990-х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преобразован в АООТ, в 1996 г. - в ОАО «Механический завод «Ленинец», входил в состав ХК «Ленинец». В 2005 г. назывался ОАО «НТЦ «Завод «Ленинец».</w:t>
      </w:r>
    </w:p>
    <w:p w14:paraId="47887E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Выпускались антенные устройства для всех изделий ЦНПО «Ленинец».</w:t>
      </w:r>
    </w:p>
    <w:p w14:paraId="5A6717D4" w14:textId="653AF73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второй половине 1990-х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производство практически прекращено. В 09.1999 г. начинается восстановление производства. Организованы два механических цеха, сборочно-монтажный и комплексной настройки. Восстановлены цеха механо-климатических испытаний, ЛКП и гальваники. К 2004 г. деятельность завода восстановлена.</w:t>
      </w:r>
    </w:p>
    <w:p w14:paraId="400A00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(2005 г.): РЛК «Заслон»; обслуживание МиГ-31; модернизация С-800 в С-800А; подготовка производства С-800AM.</w:t>
      </w:r>
    </w:p>
    <w:p w14:paraId="5AAECDA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(1990-е)- 145 чел.</w:t>
      </w:r>
    </w:p>
    <w:p w14:paraId="7F1353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(1944-50 г.)- Л.Д. Юффе(а), (1950-57 г.)- Н.В. Аверин, (1957-58 г.)- А.Н. Рыжков, (1958-73 г.)- В.И. Солодовников, (-1985 г.)- В.М. До донов. Гендиректор (-1999-2007 г.-)- А. А. Горбунов.</w:t>
      </w:r>
    </w:p>
    <w:p w14:paraId="2384E5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(1945 г.)- Иллювнев.</w:t>
      </w:r>
    </w:p>
    <w:p w14:paraId="3C6563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производства- В.М. Додонов.</w:t>
      </w:r>
    </w:p>
    <w:p w14:paraId="18B646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механик (1947-58 г.)- В.И. Солодовников.</w:t>
      </w:r>
    </w:p>
    <w:p w14:paraId="23C7BF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цехов: В.М. Додонов.</w:t>
      </w:r>
    </w:p>
    <w:p w14:paraId="40FA45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 высотомеры:</w:t>
      </w:r>
      <w:r w:rsidRPr="00070ADE">
        <w:rPr>
          <w:rFonts w:ascii="Times New Roman" w:hAnsi="Times New Roman"/>
          <w:color w:val="000000" w:themeColor="text1"/>
          <w:sz w:val="16"/>
          <w:szCs w:val="16"/>
        </w:rPr>
        <w:t xml:space="preserve"> ВМВ-1 (1945-), РВ-2 (1950-е), РВ-10, РВ-17;</w:t>
      </w:r>
      <w:r w:rsidRPr="00070ADE">
        <w:rPr>
          <w:rFonts w:ascii="Times New Roman" w:hAnsi="Times New Roman"/>
          <w:iCs/>
          <w:color w:val="000000" w:themeColor="text1"/>
          <w:sz w:val="16"/>
          <w:szCs w:val="16"/>
        </w:rPr>
        <w:t xml:space="preserve"> PJJC:</w:t>
      </w:r>
      <w:r w:rsidRPr="00070ADE">
        <w:rPr>
          <w:rFonts w:ascii="Times New Roman" w:hAnsi="Times New Roman"/>
          <w:color w:val="000000" w:themeColor="text1"/>
          <w:sz w:val="16"/>
          <w:szCs w:val="16"/>
        </w:rPr>
        <w:t xml:space="preserve"> «Торий-А» (опытная партия, 1950), «Коршун» (опытная партия, 1952), «Курс», «Изумруд» РП-1 (-1952), «Алмаз» (1955), РП-5, ЦД-30; РТ система предупреждения столкновения А-326 «Роговица» для Ту-95К (1980-е); измерительная аппаратура «Радий» (1950-е); радиодальномерные системы точного бомбометания: «Рым-С» (1950-е), ДБС-2С «Лотос» (1960-е); АРЛГС «Зенит» (5Г11), «Зенит-2» для ЗУР «400»; (2004): «Форсунка», исполнительные устройства на постоянных магнитах, радиорелейная станция РЭСКОМ-15;</w:t>
      </w:r>
      <w:r w:rsidRPr="00070ADE">
        <w:rPr>
          <w:rFonts w:ascii="Times New Roman" w:hAnsi="Times New Roman"/>
          <w:color w:val="000000" w:themeColor="text1"/>
          <w:sz w:val="16"/>
          <w:szCs w:val="16"/>
          <w:vertAlign w:val="superscript"/>
        </w:rPr>
        <w:t>101</w:t>
      </w:r>
      <w:r w:rsidRPr="00070ADE">
        <w:rPr>
          <w:rFonts w:ascii="Times New Roman" w:hAnsi="Times New Roman"/>
          <w:color w:val="000000" w:themeColor="text1"/>
          <w:sz w:val="16"/>
          <w:szCs w:val="16"/>
        </w:rPr>
        <w:t xml:space="preserve"> радиоприемники: «Нева-48», «Круиз-203».</w:t>
      </w:r>
    </w:p>
    <w:p w14:paraId="5C47F9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ОКБ-287 МАП, ГКАТ, ГКРЭ /г. Ленинград/</w:t>
      </w:r>
    </w:p>
    <w:p w14:paraId="50346168" w14:textId="2CE55A63"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Особое КБ № 287 вновь образовано при заводе № 287 МАП по приказу № 247с от 26.04.1946 г. в системе 17ГУ. Работы по сопровождению серии радиовысотомеров и РЛС разработки других организаций: РВ-2 «Кристалл», комплекта измерительной аппаратуры «Радий», радиодальномерной системы точного бомбометания «Рым-С», РЛС «Изумруд». С начала 1950-х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началась самостоятельная разработка РЛС и радиодальномеров. В 1950-х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разработаны различные системы для ракетной техники.</w:t>
      </w:r>
    </w:p>
    <w:p w14:paraId="0489A9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ОКБ начаты одни из первых работ по созданию пассивных РЛ систем наведения УРВБ. Научный руководитель- B.C. Дехтярев.</w:t>
      </w:r>
    </w:p>
    <w:p w14:paraId="303766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08.1957 г. ОКБ передано во вновь созданный ГКАТ (4ГУ), в 12.1958 г.- в ГКРЭ.</w:t>
      </w:r>
    </w:p>
    <w:p w14:paraId="587219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СМ СССР № 615-278сс от 6.06.1959 г. на базе трех ОКБ-283, ОКБ-287 и ОКБ-794 в системе ГКРЭ в Ленинграде создан новый НИИ-131. ОКБ-287 стало базой для СКБ-4 НИИ-131.</w:t>
      </w:r>
    </w:p>
    <w:p w14:paraId="2C41AA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(1946-53 г.; 1956-59 г.)- B.C. Шунейко, (1953-56 г.)- И.П. Лисенков.</w:t>
      </w:r>
    </w:p>
    <w:p w14:paraId="6E2AE00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конструкторы- A.M. Громов (Е-801, Е-802), (1960 г.)- В.А. Гудков («Лотос»), (1954 г.)- Н.И. Маркелов (РГС-1, РГС-8, РГС-70), (1955 г.)- B.C. Дехтярев («Жемчуг»).</w:t>
      </w:r>
    </w:p>
    <w:p w14:paraId="7DE08E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лабораторий: Н.А. Иовлев.</w:t>
      </w:r>
    </w:p>
    <w:p w14:paraId="2AB98D4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w:t>
      </w:r>
      <w:r w:rsidRPr="00070ADE">
        <w:rPr>
          <w:rFonts w:ascii="Times New Roman" w:hAnsi="Times New Roman"/>
          <w:color w:val="000000" w:themeColor="text1"/>
          <w:sz w:val="16"/>
          <w:szCs w:val="16"/>
        </w:rPr>
        <w:t xml:space="preserve"> РЛС: «Курс» для Ту-16Т (1950-е); дальномерно-бомбардировочная система точного бомбометания ДБС-2С «Лотос» для Як-28 (1960), система тактического бомбометания СТБ «Сигнал», РЛ система ближней навигации и точного бомбометания «Жемчуг» для Ту-98, Ил-54, Як-25Б (1955-); радиовысотомеры: «РВ-Шторм» для КР; радиодальномерная система для П-5Н (1958); радиовзрыватели: Е-801, Е-802, Е-802М для ЗУР «207» и «217»;</w:t>
      </w:r>
      <w:r w:rsidRPr="00070ADE">
        <w:rPr>
          <w:rFonts w:ascii="Times New Roman" w:hAnsi="Times New Roman"/>
          <w:iCs/>
          <w:color w:val="000000" w:themeColor="text1"/>
          <w:sz w:val="16"/>
          <w:szCs w:val="16"/>
        </w:rPr>
        <w:t xml:space="preserve"> РЛГСН:</w:t>
      </w:r>
      <w:r w:rsidRPr="00070ADE">
        <w:rPr>
          <w:rFonts w:ascii="Times New Roman" w:hAnsi="Times New Roman"/>
          <w:color w:val="000000" w:themeColor="text1"/>
          <w:sz w:val="16"/>
          <w:szCs w:val="16"/>
        </w:rPr>
        <w:t xml:space="preserve"> РГС-15 для К-15, РГС-1 и РГС-8 для К-8 (1954-), РГС-70 для К-70.</w:t>
      </w:r>
    </w:p>
    <w:p w14:paraId="2B6E08C1" w14:textId="45FCB893"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Ленинградское производственно-техническое объединение (ЛПТО), НПО, ЦНПО, Научно-производственный и внешнеэкономический концерн (НПВЭК) «Ленинец» МРП, А-7162, АООТ, ОАО «Холдинговая компания (ХК) «Ленинец» /196066</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Санкт-Петербург Московский пр., 212 тел. 379-90-41/</w:t>
      </w:r>
    </w:p>
    <w:p w14:paraId="3752A8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МРП № 756 от 28.12.1973 г. в состав ЛПТО «Новатор» был включен завод «Ленинец» как производство № 3, а ЛПТО переименовано в ЛПТО «Ленинец». По приказу МРП № 146 от 1.01.1974 г. в состав ЛПТО включен строящийся Петрозаводский радиотехнический завод (ПРЗ). Тем же приказом механическое и заготовительное производство «Новатора» было переименовано в производство № 4, а ОКБ завода «Ленинец» вошло в состав ЦКБ ЛПТО. В целях соединения научного и производственного потенциалов в единую структуру в соответствии с пост. СМ СССР № 139 от 2.03.1976 г. и приказом МРП № 264 от 15.05.1974 г. было создано НПО «Ленинец», в которое вошли: НПО «Марс» с ВНИИРЭС (головная структурная единица), производства № 1 (завод «Новатор»), № 2 (завод «Радиоприбор»), № 3 (завод «Ленинец») и № 4 (механическое и заготовительное производство «Новатора») ЛПТО «Ленинец», ПРЗ и опытный завод в Гатчине. НПО имело наименование «п/я А- 7162» (1983 г.). В состав НПО входили: (1976-83 г.) Витебский завод цветных телевизоров, завод «Игротехника», объединение «Спутник». По приказу МРП № 578 от 22.09.1985 г. на базе НПО «Ленинец» образовано Центральное НПО (ЦНПО) «Ленинец». Оно выведено из состава 4ГУ МРП и подчинено непосредственно замминистра МРП на правах ГУ. В составе ЦНПО - РТЗ-1 (в 1988 г. - вновь завод «Новатор»). По приказу МРП № 686 от 20.07.1990 г. на базе ЦНПО образован НПВЭК «Ленинеп». В соответствии с решениями Госкомимущества РФ № 298-Р от 21.07.1992 г. и № 401-3 от 1.09.1992 г. НПВЭК «Ленинец» преобразован в АООТ «ХК «Ленинец». В составе ХК: НТЦ «Основа» (1987 г.), СКБ «Система» (1991-93 г.), ГП «Асток» (1992 г.), АООТ «НИИ вычислительных систем» (1993 г.), НПП «Конверсия» (1996 г.), НИИ системотехники. В холдинг входило 38 дочерних предприятий и филиалов (2002 г.): ООО «Контур-НИРС», ОАО «Механический завод «Ленинец», Завод электробытовой аппаратуры, ГНИПГС, ГНПП «Мир» (2003 г.). В 2005 г. в холдинг входило около 70 предприятий, в т.ч. ОАО «Радиоавионика».</w:t>
      </w:r>
    </w:p>
    <w:p w14:paraId="7921E4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243DBB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Гендиректор (1974-76 г.)- Л.Н. Зайков (позднее- зав. оборонным отделом ЦК КПСС), (1976-85 г.)- Л.Т. Михеев, (1985-; 2005 г.)- А.А. Турчак, Ю.М. Смирнов, (1993-97 г.)- В.П. Козлов, (2006 г.)- Р.Ю. Багдонас.</w:t>
      </w:r>
    </w:p>
    <w:p w14:paraId="6F3BA3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директора: по производству № 1 (1974 г.-)- В.М. Додонов, по производству № 2 (1974-76 г.)- Л.Т. Михеев, по производству № 3 (1974 г.-)- В.И. Солодовников, по производству № 4 (1974</w:t>
      </w:r>
      <w:r w:rsidRPr="00070ADE">
        <w:rPr>
          <w:rFonts w:ascii="Times New Roman" w:hAnsi="Times New Roman"/>
          <w:color w:val="000000" w:themeColor="text1"/>
          <w:sz w:val="16"/>
          <w:szCs w:val="16"/>
          <w:vertAlign w:val="subscript"/>
        </w:rPr>
        <w:t xml:space="preserve"> г.</w:t>
      </w:r>
      <w:r w:rsidRPr="00070ADE">
        <w:rPr>
          <w:rFonts w:ascii="Times New Roman" w:hAnsi="Times New Roman"/>
          <w:color w:val="000000" w:themeColor="text1"/>
          <w:sz w:val="16"/>
          <w:szCs w:val="16"/>
        </w:rPr>
        <w:t>_). в.В. Ануров, по производству (1986-89 г.)- В.К. Дошин; по научной работе (1974-78 г.)- Ю.И. Валов. Зам. гендиректора: по научной работе- В.А. Потехин; (2007 г.)- Е. Самойлов.</w:t>
      </w:r>
    </w:p>
    <w:p w14:paraId="5DF77270" w14:textId="6AEA1125"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 конструктор- Е.А. Зазорин, (1990-е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Г.Н. Громов, (-2004-07 г.-)- А.А. Турчак.</w:t>
      </w:r>
    </w:p>
    <w:p w14:paraId="78EE27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производства (1974-76 г.)- О.Ф. Бураков; технический (1974-77 г.)- В.М. Зуев; по реструктуризации (2000 г.-)- А.А. Турчак (сын); по корпоративной политике (-2002 г.)- А.А. Турчак (сын); центра экономики (2002 г.)- С.П. Корольков; центра финансов (2002 г.)- С.Б. Постников;</w:t>
      </w:r>
      <w:r w:rsidRPr="00070ADE">
        <w:rPr>
          <w:rFonts w:ascii="Times New Roman" w:hAnsi="Times New Roman"/>
          <w:color w:val="000000" w:themeColor="text1"/>
          <w:sz w:val="16"/>
          <w:szCs w:val="16"/>
          <w:vertAlign w:val="superscript"/>
        </w:rPr>
        <w:t>69</w:t>
      </w:r>
      <w:r w:rsidRPr="00070ADE">
        <w:rPr>
          <w:rFonts w:ascii="Times New Roman" w:hAnsi="Times New Roman"/>
          <w:color w:val="000000" w:themeColor="text1"/>
          <w:sz w:val="16"/>
          <w:szCs w:val="16"/>
        </w:rPr>
        <w:t xml:space="preserve"> стратегического хозяйственного Центра-2- В.М. Додонов.</w:t>
      </w:r>
    </w:p>
    <w:p w14:paraId="636E3A2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технического директора по вычислительной технике (1978-82 г.)- Ю.И. Валов.</w:t>
      </w:r>
    </w:p>
    <w:p w14:paraId="16B9F6A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конструктора: по натурным испытаниям (-1981 г.)- A.JI. Захаров (затем- на заводе № 218); (1994 г.-)- Б.А. Смирнов.</w:t>
      </w:r>
    </w:p>
    <w:p w14:paraId="77387A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(1974-78 г.)- Ю.И. Валов, (1997-2007 г.-&gt; В.П. Козлов.</w:t>
      </w:r>
    </w:p>
    <w:p w14:paraId="4CD28A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инженера (1982-86 г.)- Ю.И. Валов.</w:t>
      </w:r>
    </w:p>
    <w:p w14:paraId="441968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управлений: научно-технического (1997-2007 г.-)- В.П. Козлов.</w:t>
      </w:r>
    </w:p>
    <w:p w14:paraId="1DD5B7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управления: ПЭУ (-1992 г.)- Т.Н. Бершадская.</w:t>
      </w:r>
    </w:p>
    <w:p w14:paraId="2AF2F9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конструкторы: (1970-е)- Н.Е. Немилов («Роговица»).</w:t>
      </w:r>
    </w:p>
    <w:p w14:paraId="465A850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отделений: (1994 г.-)- Б.А. Смирнов.</w:t>
      </w:r>
    </w:p>
    <w:p w14:paraId="19AF56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отделов: маркетинга и зарубежных связей (2002 г.)- В.Е. Макаров; (-1994 г.)- Б.А. Смирнов, (1998 г.-)- Ю.Н. Сорокин.</w:t>
      </w:r>
    </w:p>
    <w:p w14:paraId="76A7CBE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лабораторий: Б.А. Смирнов, (1980 г.-)- Ю.Н. Сорокин.</w:t>
      </w:r>
    </w:p>
    <w:p w14:paraId="1E46EB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w:t>
      </w:r>
      <w:r w:rsidRPr="00070ADE">
        <w:rPr>
          <w:rFonts w:ascii="Times New Roman" w:hAnsi="Times New Roman"/>
          <w:color w:val="000000" w:themeColor="text1"/>
          <w:sz w:val="16"/>
          <w:szCs w:val="16"/>
        </w:rPr>
        <w:t xml:space="preserve"> РТ система предупреждения столкновения А-326 «Роговица» для Ту-16 и Ту-95 (1975-82); РЭК: «Звонарь», «Корсар», «Грамота-1, -2», «Мателот», «Трос», «Путь», «Путь-Ц», «Море».</w:t>
      </w:r>
      <w:r w:rsidRPr="00070ADE">
        <w:rPr>
          <w:rFonts w:ascii="Times New Roman" w:hAnsi="Times New Roman"/>
          <w:color w:val="000000" w:themeColor="text1"/>
          <w:sz w:val="16"/>
          <w:szCs w:val="16"/>
          <w:vertAlign w:val="superscript"/>
        </w:rPr>
        <w:t>130</w:t>
      </w:r>
    </w:p>
    <w:p w14:paraId="21B94A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аппаратура «Дельта» (1983).</w:t>
      </w:r>
    </w:p>
    <w:p w14:paraId="5C77AD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Гатчинский опытный завод НПО «Ленинец»</w:t>
      </w:r>
    </w:p>
    <w:p w14:paraId="7652AF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 в 1974-80 г. в составе НПО «Ленинец».</w:t>
      </w:r>
    </w:p>
    <w:p w14:paraId="5D2531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(1972-86 г.)- В.К. Дошин.</w:t>
      </w:r>
    </w:p>
    <w:p w14:paraId="76F54C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(1976-80 г.)- О.Ф. Бураков.</w:t>
      </w:r>
    </w:p>
    <w:p w14:paraId="3B8BB8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ЦКБ НПО «Ленинец»</w:t>
      </w:r>
    </w:p>
    <w:p w14:paraId="7A1FD87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Объединенное ЦКБ создано на базе подразделений ОКБ-283, ОКБ-287 и ОКБ-794 по инициативе А.Е. Оводенко.</w:t>
      </w:r>
    </w:p>
    <w:p w14:paraId="32BFDA4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ЦКБ создана первая в стране серия переносных стереофонических радиоприемников и магнитол высшего класса.</w:t>
      </w:r>
    </w:p>
    <w:p w14:paraId="052553E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А.Е. Оводенко.</w:t>
      </w:r>
      <w:r w:rsidRPr="00070ADE">
        <w:rPr>
          <w:rFonts w:ascii="Times New Roman" w:hAnsi="Times New Roman"/>
          <w:color w:val="000000" w:themeColor="text1"/>
          <w:sz w:val="16"/>
          <w:szCs w:val="16"/>
          <w:vertAlign w:val="superscript"/>
        </w:rPr>
        <w:t>130</w:t>
      </w:r>
    </w:p>
    <w:p w14:paraId="041149D2" w14:textId="20EC82DC"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«Игротехника», АОЗТ, ЗАО «Завод «Игротехника» /199034</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Санкт-Петербург 16-я линия Васильевского о-ва, 7/</w:t>
      </w:r>
    </w:p>
    <w:p w14:paraId="2649C2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входил в состав НПО «Ленинец».</w:t>
      </w:r>
    </w:p>
    <w:p w14:paraId="76C6C1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магнитолы: «Арго-002С, -004С, РМ-006С»; магнитофон «Арго П-401С»; радиоприемники: «Блюз-301, РП-203А».</w:t>
      </w:r>
    </w:p>
    <w:p w14:paraId="41FD24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Электромеханический завод «Спутник», Машиностроительное объединение «Спутник»</w:t>
      </w:r>
    </w:p>
    <w:p w14:paraId="2766A0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«Спутник» основан в 1963 г. В 1969 г. на его базе создано машиностроительное объединение «Спутник». Далее вошло в состав НПО «Ленинец».</w:t>
      </w:r>
    </w:p>
    <w:p w14:paraId="272AF1E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электрофоны: «Юность», «Юность-301», «Молодежный», «Спутник-304». СКБ «Нева»</w:t>
      </w:r>
    </w:p>
    <w:p w14:paraId="358E33B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Государственное научно-исследовательское предприятие гиперзвуковых скоростей (НИПГС, ГНИПГС), АООТ «НИПГС» /г. Ленинград/</w:t>
      </w:r>
    </w:p>
    <w:p w14:paraId="2B6280F8" w14:textId="56F394D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1980-х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 НПО «Ленинец» было сформировано научно-техническое направление по созданию гиперзвуковых ЛА для ВВС. Был организован отдел, размещенный на филиале «Сектор», руководитель- В.Л. Фрайштадт. В середине 1980-х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организовано СКБ «Нева», которое было переведено в здание НИИРЭС, а на территории филиала оставлены экспериментальные стенды. В 1992 г. на базе СКБ «Нева» создано ГНИПГС. В 1993 г. предприятие преобразовано в АООТ.</w:t>
      </w:r>
    </w:p>
    <w:p w14:paraId="7CFA783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Велись работы по исследованию возможности создания гиперзвукового самолета (концепция «Аякс»). Созданы (1990-е) проекты гиперзвуковых ЛА «Нева-М1.. ,М7», многоразовой модели ГЛА.</w:t>
      </w:r>
    </w:p>
    <w:p w14:paraId="2FE3CD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(1980-е)- В.Л. Фрайштадт. Ген. конструктор (1990-е)- В.Л. Фрайштадт.</w:t>
      </w:r>
      <w:r w:rsidRPr="00070ADE">
        <w:rPr>
          <w:rFonts w:ascii="Times New Roman" w:hAnsi="Times New Roman"/>
          <w:color w:val="000000" w:themeColor="text1"/>
          <w:sz w:val="16"/>
          <w:szCs w:val="16"/>
          <w:vertAlign w:val="superscript"/>
        </w:rPr>
        <w:t>30</w:t>
      </w:r>
    </w:p>
    <w:p w14:paraId="51560F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СКБ НПВЭК «Ленинец», ОАО «СКБ «Система»</w:t>
      </w:r>
    </w:p>
    <w:p w14:paraId="6DA667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1991 г. - СКБ концерна «Ленинец», в 1993 г. - ОАО «СКБ «Система».</w:t>
      </w:r>
    </w:p>
    <w:p w14:paraId="23D8C40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(1991 г.-)- Д.Н. Медведев. Гендиректор (-1993 г.)- Д.Н. Медведев.</w:t>
      </w:r>
    </w:p>
    <w:p w14:paraId="4DE57857" w14:textId="333178B6"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АООТ «Ассоциация «Радиоавионика», ОАО «Радиоавионика» /190005 (198005)</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Санкт-Петербург Троицкий пр., 4Б; пр. Москвиной, 5 тел. 251-38-75/</w:t>
      </w:r>
    </w:p>
    <w:p w14:paraId="77469119" w14:textId="2DCDD82B"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в 09.1991 г. для исследований, разработки и производства сложных РЭ комплексов многоцелевого назначения. В 2000-е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 в составе ХК «Ленинец». В составе «Радиоавионики» (1994 г.) - НИИ «Союз».</w:t>
      </w:r>
    </w:p>
    <w:p w14:paraId="693950B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1997 г. велась разработка первой отечественной микропроцессорной системы на базе управляющего вычислительного комплекса УВК РА. С 2001 г. предприятие стало генпроектировщиком и генподрядчиком этих систем на железнодорожных станциях страны. К 2004 г. введены в эксплуатацию комплексы на станциях Новый Петергоф, Жихарево, Назия Октябрьской ж/д.</w:t>
      </w:r>
    </w:p>
    <w:p w14:paraId="56DA2D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Разработка (2005 г.): информационные технологии; индивидуальное приборное оснащение военнослужащих и средства автоматизации малых тактических групп; средства инженерной разведки на базе сверхширокополосных геолокаторов; измерительные системы контроля характеристик сложных объектов военной техники (автобронетанковой, самолетов и вертолетов); микропроцессорные системы железнодорожной автоматики на базе управляющего ВК УВК РА, источники их песперебойного питания.</w:t>
      </w:r>
    </w:p>
    <w:p w14:paraId="0B1E1F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Предприятие определено головным по разработке и производству средств неразрушающего контроля на ж/д транспорте.</w:t>
      </w:r>
    </w:p>
    <w:p w14:paraId="1DA380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2005 г. ОКР «Гео-К» (гл. конструктор- В. Николаев).</w:t>
      </w:r>
    </w:p>
    <w:p w14:paraId="247DCD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Гендиректор (-2004 г.)- Е.Э. Чернышев, (-2004-06 г.)- Т.Н. Бершадская, (2006 г.)- А. Каплин.</w:t>
      </w:r>
    </w:p>
    <w:p w14:paraId="09497A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 конструктор (-2004 г.)- Е.Э. Чернышев. Гл. конструктор (2006 г.)- А. Каплин.</w:t>
      </w:r>
    </w:p>
    <w:p w14:paraId="62E8F57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Руководитель отделения подповерхностной радиолокации (1991 г.)- Л.Ю. Астанин. Директор НТЦ средств геолокации (2005 г.)- В. Николаев.</w:t>
      </w:r>
    </w:p>
    <w:p w14:paraId="1E1CC2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конструкторы (2005 г.)- В. Николаев.</w:t>
      </w:r>
    </w:p>
    <w:p w14:paraId="506BCDA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w:t>
      </w:r>
      <w:r w:rsidRPr="00070ADE">
        <w:rPr>
          <w:rFonts w:ascii="Times New Roman" w:hAnsi="Times New Roman"/>
          <w:color w:val="000000" w:themeColor="text1"/>
          <w:sz w:val="16"/>
          <w:szCs w:val="16"/>
        </w:rPr>
        <w:t xml:space="preserve"> сверхширокополосные PJI искатели взрывоопасных предметов ИВП-PJIl, ИВП-РЛ2; индивидуальный навигационный комплект для войск «Стрелец» (2000-е); ультразвуковой двухниточный дефектоскоп АВИКОН-01 (1998-2004-)- 700, совмещенный вагон-дефектоскоп СВД (1998-2004-)- 7, портативный дефектоскоп для контроля сварных стыков АВИКОН-02Р, программно-аппаратный комплекс для обработки и представления дефектоскопической информации ПАК НК (1998-2004-)- 200.</w:t>
      </w:r>
      <w:r w:rsidRPr="00070ADE">
        <w:rPr>
          <w:rFonts w:ascii="Times New Roman" w:hAnsi="Times New Roman"/>
          <w:color w:val="000000" w:themeColor="text1"/>
          <w:sz w:val="16"/>
          <w:szCs w:val="16"/>
          <w:vertAlign w:val="superscript"/>
        </w:rPr>
        <w:t>101</w:t>
      </w:r>
    </w:p>
    <w:p w14:paraId="52BD83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ОАО «НИИ Системотехники» /г. Санкт-Петербург/</w:t>
      </w:r>
    </w:p>
    <w:p w14:paraId="4B5DD9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2000 г. - ОАО «НИИ системотехники». Входило в состав холдинга «Ленинец». По решению правительства № 22-р от 9.01.2004 г. вошло в перечень стратегических предприятий.</w:t>
      </w:r>
    </w:p>
    <w:p w14:paraId="6A80C9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Разработка РЭО.</w:t>
      </w:r>
    </w:p>
    <w:p w14:paraId="69B1BB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Гендиректор (2007 г.)- Ф.Ф. Золотухин.</w:t>
      </w:r>
    </w:p>
    <w:p w14:paraId="628170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Создано:</w:t>
      </w:r>
      <w:r w:rsidRPr="00070ADE">
        <w:rPr>
          <w:rFonts w:ascii="Times New Roman" w:hAnsi="Times New Roman"/>
          <w:color w:val="000000" w:themeColor="text1"/>
          <w:sz w:val="16"/>
          <w:szCs w:val="16"/>
        </w:rPr>
        <w:t xml:space="preserve"> система «Изумруд-8» для Ил-38, комплекс «Стриж», ППС «Морской змей» для А-40.</w:t>
      </w:r>
    </w:p>
    <w:p w14:paraId="1AD89A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СКБ «Земля»</w:t>
      </w:r>
    </w:p>
    <w:p w14:paraId="02A5BB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1985-90 г. СКБ - в составе ЦНПО «Ленинец».</w:t>
      </w:r>
    </w:p>
    <w:p w14:paraId="2B23345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Велась разработка РЭК Ш-141 для Су-34 и Ту-160.</w:t>
      </w:r>
    </w:p>
    <w:p w14:paraId="009AD6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конструкторы: (-1985-90 г.-)- М.А. Грамагин (Ш-141) (11982).</w:t>
      </w:r>
    </w:p>
    <w:p w14:paraId="4F2E687C" w14:textId="77777777" w:rsidR="00714AC7" w:rsidRPr="00070ADE" w:rsidRDefault="00714AC7" w:rsidP="00B56F90">
      <w:pPr>
        <w:autoSpaceDE w:val="0"/>
        <w:autoSpaceDN w:val="0"/>
        <w:adjustRightInd w:val="0"/>
        <w:spacing w:after="0" w:line="240" w:lineRule="auto"/>
        <w:jc w:val="both"/>
        <w:rPr>
          <w:rFonts w:ascii="Times New Roman" w:hAnsi="Times New Roman"/>
          <w:color w:val="000000" w:themeColor="text1"/>
          <w:sz w:val="16"/>
          <w:szCs w:val="16"/>
        </w:rPr>
      </w:pPr>
    </w:p>
    <w:p w14:paraId="426B2E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заложили на поточной линии четыре БМО (с 35-го по 38-й). Закончены монтажные работы и проведены государственные испытания 4 БМО. В конце мая состоялся спуск на воду 29, 30 и 31-го БМО. В разных стадиях постройки находилось 20 БМО, велись достроечные работы на 6 ПЛ и 8 МБК, закончен аварийно-боевой ремонт 5 БМО, начатый в декабре. Сдан буксир типа "Ижорец". На Петрозаводе строили 8 ТЩ типа МТ-1. Ижорский завод осуществил поставки брони для БМО и МБК. В апреле ижорцы начали восстановительные работы на своем заводе, а в конце июня дали первую плавку стали (10671).</w:t>
      </w:r>
    </w:p>
    <w:p w14:paraId="24F1ED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02EC60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Катеростроители на зимне-весенний период отремонтировали 10 ТК, 2 МО, 35 катеров типа КМ-4, 20 - типа КМ-5. Шесть ТК переоборудованы в дымзавесчики. Сданы флоту 19 КМ-4 (10671).</w:t>
      </w:r>
    </w:p>
    <w:p w14:paraId="4D6F699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6335DB6" w14:textId="6D69DD8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после освобождения Севастополя на старом месте был восстановлен судостроительный завод № 497 (Краснознаменный завод № 201 им. С. Орджоникидзе НКОП, НКСП, Севастопольское адмиралтейство, Лазаревское адмиралтейство, Верфь Русского общества пароходства и торговли (РОПиТ), Севастопольский судостроительный завод, Севастопольский морской завод (Севморзавод) им. С. Орджоникидзе НК по морским делам, ВСНХ, НКТП, Потийский судоремонтный завод Минрыбпрома, Потийский судоремонтно-судостроительный завод /г. Севастополь п/я 69 «Вал» (1938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Туапсе;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Батуми;</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Поти/) далее- Севастопольский морской завод.</w:t>
      </w:r>
    </w:p>
    <w:p w14:paraId="3B9EF95E" w14:textId="56DF05E5"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Поти в 1946-50г, проведена модернизация тральщиков пр. 3, 53, 58, 53У. Завод № 201 действовал в Поти в 1950-е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и далее; затем - Потийский СРЗ.</w:t>
      </w:r>
      <w:r w:rsidRPr="00070ADE">
        <w:rPr>
          <w:rFonts w:ascii="Times New Roman" w:hAnsi="Times New Roman"/>
          <w:color w:val="000000" w:themeColor="text1"/>
          <w:sz w:val="16"/>
          <w:szCs w:val="16"/>
          <w:vertAlign w:val="superscript"/>
        </w:rPr>
        <w:t>116</w:t>
      </w:r>
    </w:p>
    <w:p w14:paraId="5CD1545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(1818 г.)- более 800 чел., (1924 г.)- около 3000 чел., (1937 г.)- 6767 чел., (06.1941 г.)- 6937 чел.</w:t>
      </w:r>
    </w:p>
    <w:p w14:paraId="659DEC4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Заведующий (1880-е)- Л. Г. Конкевич. Директор (1925 г.-)- Н.И. Антонов, (-3.08.1937 г.)- А.Л., Токарев; и.о. (3.08.1937 г.-)- С.Н.(П) Задорожный; (16.09.1937-12.1938 г.-)- С.Н. Задорожный, в Севастополе (1942 г.)- Н.К. Костенко, в Туапсе (1941 г.)- С.О. Шрайбер; М.Н. Сургучев.</w:t>
      </w:r>
    </w:p>
    <w:p w14:paraId="767ECC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директора (1920-е)- И.П. Морозов, (-21.01.1937 г.)- В.Ф. Попов, (3.10.1937 г.-)- А.К. Шишунов; по коммерческой части (15.06.1938 г.-)- П.Т. Варюхов. Помощник директора по найму и увольнению (-8.10.1937 г.)- ДЛ. Эвадис, (8.10.1937 г.-)- И.В. Чепак.</w:t>
      </w:r>
    </w:p>
    <w:p w14:paraId="79834F8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инженер (-21.01.1937 г.)- В.Ф. Попов, (3.10.1937-12.1938 г.-)- А.К. Шишунов, Т.Н. Хазарадзе.</w:t>
      </w:r>
    </w:p>
    <w:p w14:paraId="3D8EC87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филиала в Поти (12.1941 г.-)- С.М. Щеголь.</w:t>
      </w:r>
    </w:p>
    <w:p w14:paraId="29ADF9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Корабельный мастер (1819 г.)- И .Я. Осьминин. Строители кораблей: (-1901-04 г.-)- Н.И. Янковский. Гл. строители (1925 г.)- Н.Д. Звягин.</w:t>
      </w:r>
    </w:p>
    <w:p w14:paraId="1255865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бюро: ПЭБ (02.1938 г.)- Мурин.</w:t>
      </w:r>
    </w:p>
    <w:p w14:paraId="760E9E8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корветы: 18-пушечный «Крым» (12.1808-01.1810), 20-пушечные «Менелай» (1839-41), «Ариадна» (1848-51), 24-пушечный «Месемврия» (1832-34), «Язон» (1814-15), «Оливуца»; бриги: «Мингрелия» (1813), «Меркурий» (1819), 12-пушечные «Аргонавт» (1837-37), «Язон» (1848-50), 20-пушечный «Пегас» (1825-); шхуны: (1794-)-2, 12-пушечная «Флора» (1815-18), (1838-40)- 2; тендеры: 8-пушечный (1817-), 12-пушечные (1832-39)- 3; транспорты (1819-23-)- 3, «Днепр» (1836-38), (1840-48-)- 2, «Аккерман» (-1849); 12-пушечные катера (1820)- 1, «Жаворонок» (1825); 18-пушечный шлюп «Диана» (1821-23); яхта «Голубка» (1821-22); люгер «Стрела» (1822); фрегаты: 36-пушечный «Рафаил» (1825-28), 44-пушечный «Браилов» (1835-36), 54-пушечный «Сизополь» (1838-41); бригантина «Нарцисс» (1827-29); землечерпательная машина (1826); боты (1836)- 2; миноноски типа «Щегленок» (1877-78)- 3; канонерские лодки: «Кубанец», «Терец», «Уралец» (1886-87), «Черноморец»; броненосцы «Иоанн Златоуст» (31.10.1904-30.04.1906), «Чесма»; крейсер «Очаков» (08.1901- 09.1902); тральщики: пр. 3 «Трал» (Т-401), «Минреп» (Т-402), «Груз» (Т-403), «Щит» (Т-404) (1933-35), пр. 53 Т- 405 «Взрыватель», Т-406 «Искатель», Т-407 «Мина», Т-411 «Защитник», Т-7 «Веха», Т-8 «Чека» (зак. 180, 08.1936-11.1938), IV серии пр. 58 Т-5 «Параван» (зак. 187, 1938), Т-6 «Капсюль» (зак. 188, 1938), Т-408 «Якорь» (зак. 189, 1938), Т-409 «Гарпун» (зак. 190, 1938), Т-410 «Взрыв», Т-412 «Арсений Расскин», Т-413 (03.1937- 04.1941), Т-414, Т-415 (01.1941-, не достроены); пр. 59 Т-450 («Павел Головин»), Т-451 («Иван Борисов»), Т-452 («Сергей Шувалов»), Т-453 («Семен Рошаль»), Т-454 («Иван Сладков») (-1941); искатель мин пр. 257М (1959-60, не достроен); эсминцы: пр. 7у (1941)- 1, достройка «Огневой» (-03.1945); сборка ПЛ завода 112 XII серии (ВОВ); грузопассажирское судно «Св. Николай», пассажирское «Проворный» (1892-93); буксирно-пассажирские пароходы «Волга», «Теща», «Вестник», «Тесть» (1881-83); лесовоз I серии «Михаил Фрунзе» (11.1925-06.1927); сухогрузы: типа «Ногин» «Ногин», «Анри Барбюс» (1929-34); типа «Сихали» «Сихали» («Рыбинск»), «Сызрань» (1932-36), «Вольск», «Молога» (не достроены), «Камышин» (1930-е, достроен после войны); типа «Пионер» «Пионер», «Земляк», «Работник», «Батрак» («Тракторист»), «Местком», «Судком» (1928-33); грузопассажирские «Дельфин», «Чайка» (1928-31); траулеры типа РТ-308 «Красный онежанин» (1930-33)- 4; буксиры: речные 150 л.с. (1928)- 2, 250 л.с. «Колхозник», «Красный Октябрь», «Кимовец» (1928-31); морской спасательный 800 л.с. типа «СП» пр.135 (зак 102, 1938), (-1941)- 12; буксирный ледокол 300 л.с. «Байкал» (1932); водолазные боты морские и речные (1930-е); кольцевой судоподъемный понтон грузоподъемностью 1100 т (1930-е); СПК пр. 342МТ «Комета» (1961-); артиллерийский щит 3-секционный (1938)- 3;</w:t>
      </w:r>
    </w:p>
    <w:p w14:paraId="29E477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восстановление крейсера «Коминтерн» (1922-23); разборка 7 броненосцев, плавдока (1920-е); модернизация: линкора «Парижская Коммуна» (1934-38; 1939-40); ремонт коммерческих судов (1930-е); переоборудование: опытного судна «Тосно» (1937); грузовых судов типа «Пионер» в транспортные (ВОВ); ремонт крейсеров «Красный Кавказ», «Молотов», эсминца «Способный» (ВОВ) (11982).</w:t>
      </w:r>
    </w:p>
    <w:p w14:paraId="3CC3E7D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2A2717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CE778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0604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из состава АДД несколько С-47 были переданы морским летчикам СФ для патрулирования в целях обнаружения немецких п/л. После поступления из США больших летающих лодок PBN-1 функции дальнего противолодочного дозора перешли к ним, а "Дугласы" вернулись к своим транспортным задачам. Всего морская авиация получила 10 С-47, которые эксплуатировались 65-м полком н транспортными эскадрильями и отрядами флотов (3457,138).</w:t>
      </w:r>
    </w:p>
    <w:p w14:paraId="0CF567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9561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начал боевые операции 173-и полк на Бостонах - истребителях, который прибыл под Орел. Впоследствии полки 56-й авиадивизии действовали под Минском, Гомелем, Львовом. Наиболее успешно ночные "Бостоны", прозванные "ершами" за торчащие антенны, применялись под Бреслау, где они охотились за немецкими транспортными самолетами и грузовыми планерами. Удалось сбить два Не 111 и два планера (3457,110).</w:t>
      </w:r>
    </w:p>
    <w:p w14:paraId="26B940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EE8C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51-й МТАП, который был сформирован после получения достаточного количества американских A-20G и A-20DO развернул боевые действия в Финском заливе и водах Центральной Балтики. Такая структура торпедоносной авиации из 1 МТАП и 51 МТАП сохранилась на флоте до конца войны. Обычно самолеты действовали небольшими группами по 4-12 машин, причем половину из них составляли торпедоносцы, а половину - топмачтовики. Всего торпедоносцы-балтийцы выполнили 1588 боевых вылетов, израсходовали 675 торпед, на базы не вернулись 97 самолетов (2867,31).</w:t>
      </w:r>
    </w:p>
    <w:p w14:paraId="797FFA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C0E0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мае 1944 года, в соответствии с приказом ГКО, морская авиация получила задание управлять судоходством в Арктике. В специально сформированную авиационную группу авиация дальнего действия направила 6 Ил-4 и 2 С-47, в то время как морская авиация выделила 10 Пе-3 из 95го ИАП, а также целый 22-й РАП, прибывший с Каспийского моря. Всего группа располагала почти 70 машинами (2691).</w:t>
      </w:r>
    </w:p>
    <w:p w14:paraId="2B678E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C924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топмачтовое бомбометание на Ил-2 впервые применили на СФ. Командир 46 шап Г.В.Павлов писал, что подход к цели был на 600-1200 м, потом самолет переводился в снижение с разгоном и противозенитным маневром, разворачивались на боевой и бросали когда капот закрывал цель (1085,182) (1085,182).</w:t>
      </w:r>
    </w:p>
    <w:p w14:paraId="4585BC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9BD4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немцы сумели высадить в Калмыцких степях большую диверсионную группу (1565,17).</w:t>
      </w:r>
    </w:p>
    <w:p w14:paraId="1327D6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564A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под румынским городом Тыргу-Фрумос немцы впервые захватили подбитые ИС-2. (3862).</w:t>
      </w:r>
    </w:p>
    <w:p w14:paraId="5B7E99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DBE5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получил матчасть зарубежного производст</w:t>
      </w:r>
      <w:r w:rsidRPr="00070ADE">
        <w:rPr>
          <w:rFonts w:ascii="Times New Roman" w:hAnsi="Times New Roman"/>
          <w:color w:val="000000" w:themeColor="text1"/>
          <w:sz w:val="16"/>
          <w:szCs w:val="16"/>
        </w:rPr>
        <w:softHyphen/>
        <w:t>ва и 1-й Красногвардейский механизированный корпус 1-го Белорусского фронта. В бригадах и полках корпуса числи</w:t>
      </w:r>
      <w:r w:rsidRPr="00070ADE">
        <w:rPr>
          <w:rFonts w:ascii="Times New Roman" w:hAnsi="Times New Roman"/>
          <w:color w:val="000000" w:themeColor="text1"/>
          <w:sz w:val="16"/>
          <w:szCs w:val="16"/>
        </w:rPr>
        <w:softHyphen/>
        <w:t>лось 136 танков М4А2, 44 «Валентайн IX», пять «Валентайн X». 21 СУ-76, 21 СУ-85, 43 БА-64, 47 БТР «Скаут».</w:t>
      </w:r>
    </w:p>
    <w:p w14:paraId="6911D8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5-я гвардейская танковая армия 3-го Белорусского фрон</w:t>
      </w:r>
      <w:r w:rsidRPr="00070ADE">
        <w:rPr>
          <w:rFonts w:ascii="Times New Roman" w:hAnsi="Times New Roman"/>
          <w:color w:val="000000" w:themeColor="text1"/>
          <w:sz w:val="16"/>
          <w:szCs w:val="16"/>
        </w:rPr>
        <w:softHyphen/>
        <w:t>та в операции «Багратион» была одной из самых крупных танковых группировок, имевших на вооружении смешанную технику советского и зарубежного производства, в которой насчитывалось 350 Т-34,64 М4А2, 39 «Валентайн IX», 29 ИС-122, 2-3 ИСУ-152, 42 СУ-85, 22 СУ-76, 21 САУ М10, 37 СУ-57.</w:t>
      </w:r>
    </w:p>
    <w:p w14:paraId="6C9C06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Танки М4А2 «Генерал Шерман» использовались в Крас</w:t>
      </w:r>
      <w:r w:rsidRPr="00070ADE">
        <w:rPr>
          <w:rFonts w:ascii="Times New Roman" w:hAnsi="Times New Roman"/>
          <w:color w:val="000000" w:themeColor="text1"/>
          <w:sz w:val="16"/>
          <w:szCs w:val="16"/>
        </w:rPr>
        <w:softHyphen/>
        <w:t>ной Армии до конца войны. Так, 8-й гвардейский Алексан</w:t>
      </w:r>
      <w:r w:rsidRPr="00070ADE">
        <w:rPr>
          <w:rFonts w:ascii="Times New Roman" w:hAnsi="Times New Roman"/>
          <w:color w:val="000000" w:themeColor="text1"/>
          <w:sz w:val="16"/>
          <w:szCs w:val="16"/>
        </w:rPr>
        <w:softHyphen/>
        <w:t>дрийский механизированный корпус 2-го Белорусского фронта 14 января 1945 г. имел в своем составе 185 М4А2, пять Т-34, 21 ИС, 21 СУ-85, 21 СУ-76, 53 «Скаута», 52 БА-64 и 19 ЗСУ М17, 9-й гвардейский мехкорпус 2-го Украинского фронта 10 августа 1944 г. насчитывал 100 М4А2, 40 «Вален</w:t>
      </w:r>
      <w:r w:rsidRPr="00070ADE">
        <w:rPr>
          <w:rFonts w:ascii="Times New Roman" w:hAnsi="Times New Roman"/>
          <w:color w:val="000000" w:themeColor="text1"/>
          <w:sz w:val="16"/>
          <w:szCs w:val="16"/>
        </w:rPr>
        <w:softHyphen/>
        <w:t>тайн IX» и три СУ-76, а 5-й гвардейский кавалерийский корпус 5 августа 1944 г. имел 26 Т-34, 41 М4А2 и 19 СУ-76.</w:t>
      </w:r>
    </w:p>
    <w:p w14:paraId="38BB10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«Шерманы» в составе 1-го гв. механизированного кор</w:t>
      </w:r>
      <w:r w:rsidRPr="00070ADE">
        <w:rPr>
          <w:rFonts w:ascii="Times New Roman" w:hAnsi="Times New Roman"/>
          <w:color w:val="000000" w:themeColor="text1"/>
          <w:sz w:val="16"/>
          <w:szCs w:val="16"/>
        </w:rPr>
        <w:softHyphen/>
        <w:t>пуса брали Вену и участвовали в Берлинской операции (в составе войск 2-й танковой и 33-й армий). Свой боевой путь в Красной Армии они закончили на Тихом океане: во время войны с Японией.</w:t>
      </w:r>
    </w:p>
    <w:p w14:paraId="7B87D1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М4А2 очень хорошо были приняты советскими танкис</w:t>
      </w:r>
      <w:r w:rsidRPr="00070ADE">
        <w:rPr>
          <w:rFonts w:ascii="Times New Roman" w:hAnsi="Times New Roman"/>
          <w:color w:val="000000" w:themeColor="text1"/>
          <w:sz w:val="16"/>
          <w:szCs w:val="16"/>
        </w:rPr>
        <w:softHyphen/>
        <w:t>тами. Как любому оружию, которое нравится, им присваи</w:t>
      </w:r>
      <w:r w:rsidRPr="00070ADE">
        <w:rPr>
          <w:rFonts w:ascii="Times New Roman" w:hAnsi="Times New Roman"/>
          <w:color w:val="000000" w:themeColor="text1"/>
          <w:sz w:val="16"/>
          <w:szCs w:val="16"/>
        </w:rPr>
        <w:softHyphen/>
        <w:t>вали дружеские клички. «Эмчи», «горбач», «майский жук», «бронтозавр» был легко управляем, более вынослив при со</w:t>
      </w:r>
      <w:r w:rsidRPr="00070ADE">
        <w:rPr>
          <w:rFonts w:ascii="Times New Roman" w:hAnsi="Times New Roman"/>
          <w:color w:val="000000" w:themeColor="text1"/>
          <w:sz w:val="16"/>
          <w:szCs w:val="16"/>
        </w:rPr>
        <w:softHyphen/>
        <w:t>вершении длительных маршей по сравнению с Т-34, так как его двигатель не требовал частой регулировки. Начиная с 1944 г. его броня заслуживала только похвал, а бронепроби-ваемость 75-мм пушки позволяла бороться со всеми типами немецкой бронетанковой техники на дистанции 500 м и да</w:t>
      </w:r>
      <w:r w:rsidRPr="00070ADE">
        <w:rPr>
          <w:rFonts w:ascii="Times New Roman" w:hAnsi="Times New Roman"/>
          <w:color w:val="000000" w:themeColor="text1"/>
          <w:sz w:val="16"/>
          <w:szCs w:val="16"/>
        </w:rPr>
        <w:softHyphen/>
        <w:t>лее. Плавный ход танка особенно нравился танкодесантни-кам, которым было легко держаться даже на самой большой скорости движения. Но главное — танк был весьма легкок в освоении малоподготовленными экипажами.</w:t>
      </w:r>
    </w:p>
    <w:p w14:paraId="247114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Тактико-технические характеристики средних танков выпуска 1943 г.</w:t>
      </w:r>
    </w:p>
    <w:tbl>
      <w:tblPr>
        <w:tblW w:w="0" w:type="auto"/>
        <w:tblInd w:w="40" w:type="dxa"/>
        <w:tblLayout w:type="fixed"/>
        <w:tblCellMar>
          <w:left w:w="40" w:type="dxa"/>
          <w:right w:w="40" w:type="dxa"/>
        </w:tblCellMar>
        <w:tblLook w:val="0000" w:firstRow="0" w:lastRow="0" w:firstColumn="0" w:lastColumn="0" w:noHBand="0" w:noVBand="0"/>
      </w:tblPr>
      <w:tblGrid>
        <w:gridCol w:w="1296"/>
        <w:gridCol w:w="778"/>
        <w:gridCol w:w="1190"/>
        <w:gridCol w:w="970"/>
        <w:gridCol w:w="1190"/>
      </w:tblGrid>
      <w:tr w:rsidR="004D4663" w:rsidRPr="00070ADE" w14:paraId="751F4F14" w14:textId="77777777">
        <w:trPr>
          <w:trHeight w:val="202"/>
        </w:trPr>
        <w:tc>
          <w:tcPr>
            <w:tcW w:w="1296" w:type="dxa"/>
            <w:tcBorders>
              <w:top w:val="single" w:sz="12" w:space="0" w:color="auto"/>
              <w:left w:val="single" w:sz="12" w:space="0" w:color="auto"/>
              <w:bottom w:val="single" w:sz="6" w:space="0" w:color="auto"/>
              <w:right w:val="single" w:sz="6" w:space="0" w:color="auto"/>
            </w:tcBorders>
          </w:tcPr>
          <w:p w14:paraId="21277D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ТТХ/Марка танка</w:t>
            </w:r>
          </w:p>
        </w:tc>
        <w:tc>
          <w:tcPr>
            <w:tcW w:w="778" w:type="dxa"/>
            <w:tcBorders>
              <w:top w:val="single" w:sz="12" w:space="0" w:color="auto"/>
              <w:left w:val="single" w:sz="6" w:space="0" w:color="auto"/>
              <w:bottom w:val="single" w:sz="6" w:space="0" w:color="auto"/>
              <w:right w:val="single" w:sz="6" w:space="0" w:color="auto"/>
            </w:tcBorders>
          </w:tcPr>
          <w:p w14:paraId="02F7C4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tc>
        <w:tc>
          <w:tcPr>
            <w:tcW w:w="1190" w:type="dxa"/>
            <w:tcBorders>
              <w:top w:val="single" w:sz="12" w:space="0" w:color="auto"/>
              <w:left w:val="single" w:sz="6" w:space="0" w:color="auto"/>
              <w:bottom w:val="single" w:sz="6" w:space="0" w:color="auto"/>
              <w:right w:val="single" w:sz="6" w:space="0" w:color="auto"/>
            </w:tcBorders>
          </w:tcPr>
          <w:p w14:paraId="7634DC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Т-43-П</w:t>
            </w:r>
          </w:p>
        </w:tc>
        <w:tc>
          <w:tcPr>
            <w:tcW w:w="970" w:type="dxa"/>
            <w:tcBorders>
              <w:top w:val="single" w:sz="12" w:space="0" w:color="auto"/>
              <w:left w:val="single" w:sz="6" w:space="0" w:color="auto"/>
              <w:bottom w:val="single" w:sz="6" w:space="0" w:color="auto"/>
              <w:right w:val="single" w:sz="6" w:space="0" w:color="auto"/>
            </w:tcBorders>
          </w:tcPr>
          <w:p w14:paraId="6507AD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Т-34-Гаубичный</w:t>
            </w:r>
          </w:p>
        </w:tc>
        <w:tc>
          <w:tcPr>
            <w:tcW w:w="1190" w:type="dxa"/>
            <w:tcBorders>
              <w:top w:val="single" w:sz="12" w:space="0" w:color="auto"/>
              <w:left w:val="single" w:sz="6" w:space="0" w:color="auto"/>
              <w:bottom w:val="single" w:sz="6" w:space="0" w:color="auto"/>
              <w:right w:val="single" w:sz="12" w:space="0" w:color="auto"/>
            </w:tcBorders>
          </w:tcPr>
          <w:p w14:paraId="7295BA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ИС-1</w:t>
            </w:r>
          </w:p>
        </w:tc>
      </w:tr>
      <w:tr w:rsidR="004D4663" w:rsidRPr="00070ADE" w14:paraId="26AEBD12" w14:textId="77777777">
        <w:trPr>
          <w:trHeight w:val="182"/>
        </w:trPr>
        <w:tc>
          <w:tcPr>
            <w:tcW w:w="1296" w:type="dxa"/>
            <w:tcBorders>
              <w:top w:val="single" w:sz="6" w:space="0" w:color="auto"/>
              <w:left w:val="single" w:sz="12" w:space="0" w:color="auto"/>
              <w:bottom w:val="single" w:sz="6" w:space="0" w:color="auto"/>
              <w:right w:val="single" w:sz="6" w:space="0" w:color="auto"/>
            </w:tcBorders>
          </w:tcPr>
          <w:p w14:paraId="4D29A9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524C07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w:t>
            </w:r>
          </w:p>
        </w:tc>
        <w:tc>
          <w:tcPr>
            <w:tcW w:w="1190" w:type="dxa"/>
            <w:tcBorders>
              <w:top w:val="single" w:sz="6" w:space="0" w:color="auto"/>
              <w:left w:val="single" w:sz="6" w:space="0" w:color="auto"/>
              <w:bottom w:val="single" w:sz="6" w:space="0" w:color="auto"/>
              <w:right w:val="single" w:sz="6" w:space="0" w:color="auto"/>
            </w:tcBorders>
          </w:tcPr>
          <w:p w14:paraId="49C3DA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w:t>
            </w:r>
          </w:p>
        </w:tc>
        <w:tc>
          <w:tcPr>
            <w:tcW w:w="970" w:type="dxa"/>
            <w:tcBorders>
              <w:top w:val="single" w:sz="6" w:space="0" w:color="auto"/>
              <w:left w:val="single" w:sz="6" w:space="0" w:color="auto"/>
              <w:bottom w:val="single" w:sz="6" w:space="0" w:color="auto"/>
              <w:right w:val="single" w:sz="6" w:space="0" w:color="auto"/>
            </w:tcBorders>
          </w:tcPr>
          <w:p w14:paraId="79A308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проект</w:t>
            </w:r>
          </w:p>
        </w:tc>
        <w:tc>
          <w:tcPr>
            <w:tcW w:w="1190" w:type="dxa"/>
            <w:tcBorders>
              <w:top w:val="single" w:sz="6" w:space="0" w:color="auto"/>
              <w:left w:val="single" w:sz="6" w:space="0" w:color="auto"/>
              <w:bottom w:val="single" w:sz="6" w:space="0" w:color="auto"/>
              <w:right w:val="single" w:sz="12" w:space="0" w:color="auto"/>
            </w:tcBorders>
          </w:tcPr>
          <w:p w14:paraId="7E9149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«Объект 233»</w:t>
            </w:r>
          </w:p>
        </w:tc>
      </w:tr>
      <w:tr w:rsidR="004D4663" w:rsidRPr="00070ADE" w14:paraId="7F503F43" w14:textId="77777777">
        <w:trPr>
          <w:trHeight w:val="154"/>
        </w:trPr>
        <w:tc>
          <w:tcPr>
            <w:tcW w:w="1296" w:type="dxa"/>
            <w:tcBorders>
              <w:top w:val="single" w:sz="6" w:space="0" w:color="auto"/>
              <w:left w:val="single" w:sz="12" w:space="0" w:color="auto"/>
              <w:bottom w:val="single" w:sz="6" w:space="0" w:color="auto"/>
              <w:right w:val="single" w:sz="6" w:space="0" w:color="auto"/>
            </w:tcBorders>
          </w:tcPr>
          <w:p w14:paraId="189825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Боевой вес, кг</w:t>
            </w:r>
          </w:p>
        </w:tc>
        <w:tc>
          <w:tcPr>
            <w:tcW w:w="778" w:type="dxa"/>
            <w:tcBorders>
              <w:top w:val="single" w:sz="6" w:space="0" w:color="auto"/>
              <w:left w:val="single" w:sz="6" w:space="0" w:color="auto"/>
              <w:bottom w:val="single" w:sz="6" w:space="0" w:color="auto"/>
              <w:right w:val="single" w:sz="6" w:space="0" w:color="auto"/>
            </w:tcBorders>
          </w:tcPr>
          <w:p w14:paraId="1FEEB6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31400</w:t>
            </w:r>
          </w:p>
        </w:tc>
        <w:tc>
          <w:tcPr>
            <w:tcW w:w="1190" w:type="dxa"/>
            <w:tcBorders>
              <w:top w:val="single" w:sz="6" w:space="0" w:color="auto"/>
              <w:left w:val="single" w:sz="6" w:space="0" w:color="auto"/>
              <w:bottom w:val="single" w:sz="6" w:space="0" w:color="auto"/>
              <w:right w:val="single" w:sz="6" w:space="0" w:color="auto"/>
            </w:tcBorders>
          </w:tcPr>
          <w:p w14:paraId="23E809C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34100</w:t>
            </w:r>
          </w:p>
        </w:tc>
        <w:tc>
          <w:tcPr>
            <w:tcW w:w="970" w:type="dxa"/>
            <w:tcBorders>
              <w:top w:val="single" w:sz="6" w:space="0" w:color="auto"/>
              <w:left w:val="single" w:sz="6" w:space="0" w:color="auto"/>
              <w:bottom w:val="single" w:sz="6" w:space="0" w:color="auto"/>
              <w:right w:val="single" w:sz="6" w:space="0" w:color="auto"/>
            </w:tcBorders>
          </w:tcPr>
          <w:p w14:paraId="17CBE4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33000</w:t>
            </w:r>
          </w:p>
        </w:tc>
        <w:tc>
          <w:tcPr>
            <w:tcW w:w="1190" w:type="dxa"/>
            <w:tcBorders>
              <w:top w:val="single" w:sz="6" w:space="0" w:color="auto"/>
              <w:left w:val="single" w:sz="6" w:space="0" w:color="auto"/>
              <w:bottom w:val="single" w:sz="6" w:space="0" w:color="auto"/>
              <w:right w:val="single" w:sz="12" w:space="0" w:color="auto"/>
            </w:tcBorders>
          </w:tcPr>
          <w:p w14:paraId="0402ED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38200</w:t>
            </w:r>
          </w:p>
        </w:tc>
      </w:tr>
      <w:tr w:rsidR="004D4663" w:rsidRPr="00070ADE" w14:paraId="2C2772C0" w14:textId="77777777">
        <w:trPr>
          <w:trHeight w:val="182"/>
        </w:trPr>
        <w:tc>
          <w:tcPr>
            <w:tcW w:w="1296" w:type="dxa"/>
            <w:tcBorders>
              <w:top w:val="single" w:sz="6" w:space="0" w:color="auto"/>
              <w:left w:val="single" w:sz="12" w:space="0" w:color="auto"/>
              <w:bottom w:val="single" w:sz="6" w:space="0" w:color="auto"/>
              <w:right w:val="single" w:sz="6" w:space="0" w:color="auto"/>
            </w:tcBorders>
          </w:tcPr>
          <w:p w14:paraId="4497EE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чел.</w:t>
            </w:r>
          </w:p>
        </w:tc>
        <w:tc>
          <w:tcPr>
            <w:tcW w:w="778" w:type="dxa"/>
            <w:tcBorders>
              <w:top w:val="single" w:sz="6" w:space="0" w:color="auto"/>
              <w:left w:val="single" w:sz="6" w:space="0" w:color="auto"/>
              <w:bottom w:val="single" w:sz="6" w:space="0" w:color="auto"/>
              <w:right w:val="single" w:sz="6" w:space="0" w:color="auto"/>
            </w:tcBorders>
          </w:tcPr>
          <w:p w14:paraId="13A8FD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1190" w:type="dxa"/>
            <w:tcBorders>
              <w:top w:val="single" w:sz="6" w:space="0" w:color="auto"/>
              <w:left w:val="single" w:sz="6" w:space="0" w:color="auto"/>
              <w:bottom w:val="single" w:sz="6" w:space="0" w:color="auto"/>
              <w:right w:val="single" w:sz="6" w:space="0" w:color="auto"/>
            </w:tcBorders>
          </w:tcPr>
          <w:p w14:paraId="550F58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970" w:type="dxa"/>
            <w:tcBorders>
              <w:top w:val="single" w:sz="6" w:space="0" w:color="auto"/>
              <w:left w:val="single" w:sz="6" w:space="0" w:color="auto"/>
              <w:bottom w:val="single" w:sz="6" w:space="0" w:color="auto"/>
              <w:right w:val="single" w:sz="6" w:space="0" w:color="auto"/>
            </w:tcBorders>
          </w:tcPr>
          <w:p w14:paraId="48BD44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1190" w:type="dxa"/>
            <w:tcBorders>
              <w:top w:val="single" w:sz="6" w:space="0" w:color="auto"/>
              <w:left w:val="single" w:sz="6" w:space="0" w:color="auto"/>
              <w:bottom w:val="single" w:sz="6" w:space="0" w:color="auto"/>
              <w:right w:val="single" w:sz="12" w:space="0" w:color="auto"/>
            </w:tcBorders>
          </w:tcPr>
          <w:p w14:paraId="1FE841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r>
      <w:tr w:rsidR="004D4663" w:rsidRPr="00070ADE" w14:paraId="7B24C3E2" w14:textId="77777777">
        <w:trPr>
          <w:trHeight w:val="173"/>
        </w:trPr>
        <w:tc>
          <w:tcPr>
            <w:tcW w:w="5424" w:type="dxa"/>
            <w:gridSpan w:val="5"/>
            <w:tcBorders>
              <w:top w:val="single" w:sz="6" w:space="0" w:color="auto"/>
              <w:left w:val="single" w:sz="12" w:space="0" w:color="auto"/>
              <w:bottom w:val="single" w:sz="6" w:space="0" w:color="auto"/>
              <w:right w:val="single" w:sz="6" w:space="0" w:color="auto"/>
            </w:tcBorders>
          </w:tcPr>
          <w:p w14:paraId="0069EF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Размерения. Мм</w:t>
            </w:r>
          </w:p>
        </w:tc>
      </w:tr>
      <w:tr w:rsidR="004D4663" w:rsidRPr="00070ADE" w14:paraId="7CB96603" w14:textId="77777777">
        <w:trPr>
          <w:trHeight w:val="240"/>
        </w:trPr>
        <w:tc>
          <w:tcPr>
            <w:tcW w:w="1296" w:type="dxa"/>
            <w:tcBorders>
              <w:top w:val="single" w:sz="6" w:space="0" w:color="auto"/>
              <w:left w:val="single" w:sz="12" w:space="0" w:color="auto"/>
              <w:bottom w:val="single" w:sz="6" w:space="0" w:color="auto"/>
              <w:right w:val="single" w:sz="6" w:space="0" w:color="auto"/>
            </w:tcBorders>
          </w:tcPr>
          <w:p w14:paraId="4C7BAE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общая</w:t>
            </w:r>
          </w:p>
        </w:tc>
        <w:tc>
          <w:tcPr>
            <w:tcW w:w="778" w:type="dxa"/>
            <w:tcBorders>
              <w:top w:val="single" w:sz="6" w:space="0" w:color="auto"/>
              <w:left w:val="single" w:sz="6" w:space="0" w:color="auto"/>
              <w:bottom w:val="single" w:sz="6" w:space="0" w:color="auto"/>
              <w:right w:val="single" w:sz="6" w:space="0" w:color="auto"/>
            </w:tcBorders>
          </w:tcPr>
          <w:p w14:paraId="3FF2FC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6100</w:t>
            </w:r>
          </w:p>
        </w:tc>
        <w:tc>
          <w:tcPr>
            <w:tcW w:w="1190" w:type="dxa"/>
            <w:tcBorders>
              <w:top w:val="single" w:sz="6" w:space="0" w:color="auto"/>
              <w:left w:val="single" w:sz="6" w:space="0" w:color="auto"/>
              <w:bottom w:val="single" w:sz="6" w:space="0" w:color="auto"/>
              <w:right w:val="single" w:sz="6" w:space="0" w:color="auto"/>
            </w:tcBorders>
          </w:tcPr>
          <w:p w14:paraId="67C93B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5955</w:t>
            </w:r>
          </w:p>
        </w:tc>
        <w:tc>
          <w:tcPr>
            <w:tcW w:w="970" w:type="dxa"/>
            <w:tcBorders>
              <w:top w:val="single" w:sz="6" w:space="0" w:color="auto"/>
              <w:left w:val="single" w:sz="6" w:space="0" w:color="auto"/>
              <w:bottom w:val="single" w:sz="6" w:space="0" w:color="auto"/>
              <w:right w:val="single" w:sz="6" w:space="0" w:color="auto"/>
            </w:tcBorders>
          </w:tcPr>
          <w:p w14:paraId="2DFF7F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5920</w:t>
            </w:r>
          </w:p>
        </w:tc>
        <w:tc>
          <w:tcPr>
            <w:tcW w:w="1190" w:type="dxa"/>
            <w:tcBorders>
              <w:top w:val="single" w:sz="6" w:space="0" w:color="auto"/>
              <w:left w:val="single" w:sz="6" w:space="0" w:color="auto"/>
              <w:bottom w:val="single" w:sz="6" w:space="0" w:color="auto"/>
              <w:right w:val="single" w:sz="12" w:space="0" w:color="auto"/>
            </w:tcBorders>
          </w:tcPr>
          <w:p w14:paraId="3DDA59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6650</w:t>
            </w:r>
          </w:p>
        </w:tc>
      </w:tr>
      <w:tr w:rsidR="004D4663" w:rsidRPr="00070ADE" w14:paraId="38F5C31D"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6F8B7D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Ширина</w:t>
            </w:r>
          </w:p>
        </w:tc>
        <w:tc>
          <w:tcPr>
            <w:tcW w:w="778" w:type="dxa"/>
            <w:tcBorders>
              <w:top w:val="single" w:sz="6" w:space="0" w:color="auto"/>
              <w:left w:val="single" w:sz="6" w:space="0" w:color="auto"/>
              <w:bottom w:val="single" w:sz="6" w:space="0" w:color="auto"/>
              <w:right w:val="single" w:sz="6" w:space="0" w:color="auto"/>
            </w:tcBorders>
          </w:tcPr>
          <w:p w14:paraId="5564D1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3000</w:t>
            </w:r>
          </w:p>
        </w:tc>
        <w:tc>
          <w:tcPr>
            <w:tcW w:w="1190" w:type="dxa"/>
            <w:tcBorders>
              <w:top w:val="single" w:sz="6" w:space="0" w:color="auto"/>
              <w:left w:val="single" w:sz="6" w:space="0" w:color="auto"/>
              <w:bottom w:val="single" w:sz="6" w:space="0" w:color="auto"/>
              <w:right w:val="single" w:sz="6" w:space="0" w:color="auto"/>
            </w:tcBorders>
          </w:tcPr>
          <w:p w14:paraId="17D8FE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2790</w:t>
            </w:r>
          </w:p>
        </w:tc>
        <w:tc>
          <w:tcPr>
            <w:tcW w:w="970" w:type="dxa"/>
            <w:tcBorders>
              <w:top w:val="single" w:sz="6" w:space="0" w:color="auto"/>
              <w:left w:val="single" w:sz="6" w:space="0" w:color="auto"/>
              <w:bottom w:val="single" w:sz="6" w:space="0" w:color="auto"/>
              <w:right w:val="single" w:sz="6" w:space="0" w:color="auto"/>
            </w:tcBorders>
          </w:tcPr>
          <w:p w14:paraId="7ABA80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3000</w:t>
            </w:r>
          </w:p>
        </w:tc>
        <w:tc>
          <w:tcPr>
            <w:tcW w:w="1190" w:type="dxa"/>
            <w:tcBorders>
              <w:top w:val="single" w:sz="6" w:space="0" w:color="auto"/>
              <w:left w:val="single" w:sz="6" w:space="0" w:color="auto"/>
              <w:bottom w:val="single" w:sz="6" w:space="0" w:color="auto"/>
              <w:right w:val="single" w:sz="12" w:space="0" w:color="auto"/>
            </w:tcBorders>
          </w:tcPr>
          <w:p w14:paraId="5FDCE9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2800</w:t>
            </w:r>
          </w:p>
        </w:tc>
      </w:tr>
      <w:tr w:rsidR="004D4663" w:rsidRPr="00070ADE" w14:paraId="1B9142E9" w14:textId="77777777">
        <w:trPr>
          <w:trHeight w:val="163"/>
        </w:trPr>
        <w:tc>
          <w:tcPr>
            <w:tcW w:w="1296" w:type="dxa"/>
            <w:tcBorders>
              <w:top w:val="single" w:sz="6" w:space="0" w:color="auto"/>
              <w:left w:val="single" w:sz="12" w:space="0" w:color="auto"/>
              <w:bottom w:val="single" w:sz="6" w:space="0" w:color="auto"/>
              <w:right w:val="single" w:sz="6" w:space="0" w:color="auto"/>
            </w:tcBorders>
          </w:tcPr>
          <w:p w14:paraId="474B08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w:t>
            </w:r>
          </w:p>
        </w:tc>
        <w:tc>
          <w:tcPr>
            <w:tcW w:w="778" w:type="dxa"/>
            <w:tcBorders>
              <w:top w:val="single" w:sz="6" w:space="0" w:color="auto"/>
              <w:left w:val="single" w:sz="6" w:space="0" w:color="auto"/>
              <w:bottom w:val="single" w:sz="6" w:space="0" w:color="auto"/>
              <w:right w:val="single" w:sz="6" w:space="0" w:color="auto"/>
            </w:tcBorders>
          </w:tcPr>
          <w:p w14:paraId="2493DA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2700</w:t>
            </w:r>
          </w:p>
        </w:tc>
        <w:tc>
          <w:tcPr>
            <w:tcW w:w="1190" w:type="dxa"/>
            <w:tcBorders>
              <w:top w:val="single" w:sz="6" w:space="0" w:color="auto"/>
              <w:left w:val="single" w:sz="6" w:space="0" w:color="auto"/>
              <w:bottom w:val="single" w:sz="6" w:space="0" w:color="auto"/>
              <w:right w:val="single" w:sz="6" w:space="0" w:color="auto"/>
            </w:tcBorders>
          </w:tcPr>
          <w:p w14:paraId="57443C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2710</w:t>
            </w:r>
          </w:p>
        </w:tc>
        <w:tc>
          <w:tcPr>
            <w:tcW w:w="970" w:type="dxa"/>
            <w:tcBorders>
              <w:top w:val="single" w:sz="6" w:space="0" w:color="auto"/>
              <w:left w:val="single" w:sz="6" w:space="0" w:color="auto"/>
              <w:bottom w:val="single" w:sz="6" w:space="0" w:color="auto"/>
              <w:right w:val="single" w:sz="6" w:space="0" w:color="auto"/>
            </w:tcBorders>
          </w:tcPr>
          <w:p w14:paraId="6FCFF8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2700</w:t>
            </w:r>
          </w:p>
        </w:tc>
        <w:tc>
          <w:tcPr>
            <w:tcW w:w="1190" w:type="dxa"/>
            <w:tcBorders>
              <w:top w:val="single" w:sz="6" w:space="0" w:color="auto"/>
              <w:left w:val="single" w:sz="6" w:space="0" w:color="auto"/>
              <w:bottom w:val="single" w:sz="6" w:space="0" w:color="auto"/>
              <w:right w:val="single" w:sz="12" w:space="0" w:color="auto"/>
            </w:tcBorders>
          </w:tcPr>
          <w:p w14:paraId="187355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2500</w:t>
            </w:r>
          </w:p>
        </w:tc>
      </w:tr>
      <w:tr w:rsidR="004D4663" w:rsidRPr="00070ADE" w14:paraId="75AA0FBC"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2EC0B0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Клиренс</w:t>
            </w:r>
          </w:p>
        </w:tc>
        <w:tc>
          <w:tcPr>
            <w:tcW w:w="778" w:type="dxa"/>
            <w:tcBorders>
              <w:top w:val="single" w:sz="6" w:space="0" w:color="auto"/>
              <w:left w:val="single" w:sz="6" w:space="0" w:color="auto"/>
              <w:bottom w:val="single" w:sz="6" w:space="0" w:color="auto"/>
              <w:right w:val="single" w:sz="6" w:space="0" w:color="auto"/>
            </w:tcBorders>
          </w:tcPr>
          <w:p w14:paraId="3150242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tc>
        <w:tc>
          <w:tcPr>
            <w:tcW w:w="1190" w:type="dxa"/>
            <w:tcBorders>
              <w:top w:val="single" w:sz="6" w:space="0" w:color="auto"/>
              <w:left w:val="single" w:sz="6" w:space="0" w:color="auto"/>
              <w:bottom w:val="single" w:sz="6" w:space="0" w:color="auto"/>
              <w:right w:val="single" w:sz="6" w:space="0" w:color="auto"/>
            </w:tcBorders>
          </w:tcPr>
          <w:p w14:paraId="6A86CA0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w:t>
            </w:r>
          </w:p>
        </w:tc>
        <w:tc>
          <w:tcPr>
            <w:tcW w:w="970" w:type="dxa"/>
            <w:tcBorders>
              <w:top w:val="single" w:sz="6" w:space="0" w:color="auto"/>
              <w:left w:val="single" w:sz="6" w:space="0" w:color="auto"/>
              <w:bottom w:val="single" w:sz="6" w:space="0" w:color="auto"/>
              <w:right w:val="single" w:sz="6" w:space="0" w:color="auto"/>
            </w:tcBorders>
          </w:tcPr>
          <w:p w14:paraId="50011F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tc>
        <w:tc>
          <w:tcPr>
            <w:tcW w:w="1190" w:type="dxa"/>
            <w:tcBorders>
              <w:top w:val="single" w:sz="6" w:space="0" w:color="auto"/>
              <w:left w:val="single" w:sz="6" w:space="0" w:color="auto"/>
              <w:bottom w:val="single" w:sz="6" w:space="0" w:color="auto"/>
              <w:right w:val="single" w:sz="12" w:space="0" w:color="auto"/>
            </w:tcBorders>
          </w:tcPr>
          <w:p w14:paraId="561B702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w:t>
            </w:r>
          </w:p>
        </w:tc>
      </w:tr>
      <w:tr w:rsidR="004D4663" w:rsidRPr="00070ADE" w14:paraId="3524F0B8" w14:textId="77777777">
        <w:trPr>
          <w:trHeight w:val="211"/>
        </w:trPr>
        <w:tc>
          <w:tcPr>
            <w:tcW w:w="1296" w:type="dxa"/>
            <w:tcBorders>
              <w:top w:val="single" w:sz="6" w:space="0" w:color="auto"/>
              <w:left w:val="single" w:sz="12" w:space="0" w:color="auto"/>
              <w:bottom w:val="single" w:sz="6" w:space="0" w:color="auto"/>
              <w:right w:val="single" w:sz="6" w:space="0" w:color="auto"/>
            </w:tcBorders>
          </w:tcPr>
          <w:p w14:paraId="182A86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Ширина трака</w:t>
            </w:r>
          </w:p>
        </w:tc>
        <w:tc>
          <w:tcPr>
            <w:tcW w:w="778" w:type="dxa"/>
            <w:tcBorders>
              <w:top w:val="single" w:sz="6" w:space="0" w:color="auto"/>
              <w:left w:val="single" w:sz="6" w:space="0" w:color="auto"/>
              <w:bottom w:val="single" w:sz="6" w:space="0" w:color="auto"/>
              <w:right w:val="single" w:sz="6" w:space="0" w:color="auto"/>
            </w:tcBorders>
          </w:tcPr>
          <w:p w14:paraId="3272CE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1190" w:type="dxa"/>
            <w:tcBorders>
              <w:top w:val="single" w:sz="6" w:space="0" w:color="auto"/>
              <w:left w:val="single" w:sz="6" w:space="0" w:color="auto"/>
              <w:bottom w:val="single" w:sz="6" w:space="0" w:color="auto"/>
              <w:right w:val="single" w:sz="6" w:space="0" w:color="auto"/>
            </w:tcBorders>
          </w:tcPr>
          <w:p w14:paraId="7968B7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970" w:type="dxa"/>
            <w:tcBorders>
              <w:top w:val="single" w:sz="6" w:space="0" w:color="auto"/>
              <w:left w:val="single" w:sz="6" w:space="0" w:color="auto"/>
              <w:bottom w:val="single" w:sz="6" w:space="0" w:color="auto"/>
              <w:right w:val="single" w:sz="6" w:space="0" w:color="auto"/>
            </w:tcBorders>
          </w:tcPr>
          <w:p w14:paraId="414165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1190" w:type="dxa"/>
            <w:tcBorders>
              <w:top w:val="single" w:sz="6" w:space="0" w:color="auto"/>
              <w:left w:val="single" w:sz="6" w:space="0" w:color="auto"/>
              <w:bottom w:val="single" w:sz="6" w:space="0" w:color="auto"/>
              <w:right w:val="single" w:sz="12" w:space="0" w:color="auto"/>
            </w:tcBorders>
          </w:tcPr>
          <w:p w14:paraId="04D331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610</w:t>
            </w:r>
          </w:p>
        </w:tc>
      </w:tr>
      <w:tr w:rsidR="004D4663" w:rsidRPr="00070ADE" w14:paraId="0670C9DF" w14:textId="77777777">
        <w:trPr>
          <w:trHeight w:val="163"/>
        </w:trPr>
        <w:tc>
          <w:tcPr>
            <w:tcW w:w="5424" w:type="dxa"/>
            <w:gridSpan w:val="5"/>
            <w:tcBorders>
              <w:top w:val="single" w:sz="6" w:space="0" w:color="auto"/>
              <w:left w:val="single" w:sz="12" w:space="0" w:color="auto"/>
              <w:bottom w:val="single" w:sz="6" w:space="0" w:color="auto"/>
              <w:right w:val="single" w:sz="6" w:space="0" w:color="auto"/>
            </w:tcBorders>
          </w:tcPr>
          <w:p w14:paraId="653391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w:t>
            </w:r>
          </w:p>
        </w:tc>
      </w:tr>
      <w:tr w:rsidR="004D4663" w:rsidRPr="00070ADE" w14:paraId="3A34C3D6" w14:textId="77777777">
        <w:trPr>
          <w:trHeight w:val="250"/>
        </w:trPr>
        <w:tc>
          <w:tcPr>
            <w:tcW w:w="1296" w:type="dxa"/>
            <w:tcBorders>
              <w:top w:val="single" w:sz="6" w:space="0" w:color="auto"/>
              <w:left w:val="single" w:sz="12" w:space="0" w:color="auto"/>
              <w:bottom w:val="single" w:sz="6" w:space="0" w:color="auto"/>
              <w:right w:val="single" w:sz="6" w:space="0" w:color="auto"/>
            </w:tcBorders>
          </w:tcPr>
          <w:p w14:paraId="2FFD35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Пушек, шт. х кал.</w:t>
            </w:r>
          </w:p>
        </w:tc>
        <w:tc>
          <w:tcPr>
            <w:tcW w:w="778" w:type="dxa"/>
            <w:tcBorders>
              <w:top w:val="single" w:sz="6" w:space="0" w:color="auto"/>
              <w:left w:val="single" w:sz="6" w:space="0" w:color="auto"/>
              <w:bottom w:val="single" w:sz="6" w:space="0" w:color="auto"/>
              <w:right w:val="single" w:sz="6" w:space="0" w:color="auto"/>
            </w:tcBorders>
          </w:tcPr>
          <w:p w14:paraId="1FE7E5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1х7б,2-мм</w:t>
            </w:r>
          </w:p>
        </w:tc>
        <w:tc>
          <w:tcPr>
            <w:tcW w:w="1190" w:type="dxa"/>
            <w:tcBorders>
              <w:top w:val="single" w:sz="6" w:space="0" w:color="auto"/>
              <w:left w:val="single" w:sz="6" w:space="0" w:color="auto"/>
              <w:bottom w:val="single" w:sz="6" w:space="0" w:color="auto"/>
              <w:right w:val="single" w:sz="6" w:space="0" w:color="auto"/>
            </w:tcBorders>
          </w:tcPr>
          <w:p w14:paraId="1E687D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1х70,2-мм</w:t>
            </w:r>
          </w:p>
        </w:tc>
        <w:tc>
          <w:tcPr>
            <w:tcW w:w="970" w:type="dxa"/>
            <w:tcBorders>
              <w:top w:val="single" w:sz="6" w:space="0" w:color="auto"/>
              <w:left w:val="single" w:sz="6" w:space="0" w:color="auto"/>
              <w:bottom w:val="single" w:sz="6" w:space="0" w:color="auto"/>
              <w:right w:val="single" w:sz="6" w:space="0" w:color="auto"/>
            </w:tcBorders>
          </w:tcPr>
          <w:p w14:paraId="29A0E4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1х122-мм</w:t>
            </w:r>
          </w:p>
        </w:tc>
        <w:tc>
          <w:tcPr>
            <w:tcW w:w="1190" w:type="dxa"/>
            <w:tcBorders>
              <w:top w:val="single" w:sz="6" w:space="0" w:color="auto"/>
              <w:left w:val="single" w:sz="6" w:space="0" w:color="auto"/>
              <w:bottom w:val="single" w:sz="6" w:space="0" w:color="auto"/>
              <w:right w:val="single" w:sz="12" w:space="0" w:color="auto"/>
            </w:tcBorders>
          </w:tcPr>
          <w:p w14:paraId="1C6A6F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1х76,2-мм</w:t>
            </w:r>
          </w:p>
        </w:tc>
      </w:tr>
      <w:tr w:rsidR="004D4663" w:rsidRPr="00070ADE" w14:paraId="43EC3FA8"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1549B3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орудия</w:t>
            </w:r>
          </w:p>
        </w:tc>
        <w:tc>
          <w:tcPr>
            <w:tcW w:w="778" w:type="dxa"/>
            <w:tcBorders>
              <w:top w:val="single" w:sz="6" w:space="0" w:color="auto"/>
              <w:left w:val="single" w:sz="6" w:space="0" w:color="auto"/>
              <w:bottom w:val="single" w:sz="6" w:space="0" w:color="auto"/>
              <w:right w:val="single" w:sz="6" w:space="0" w:color="auto"/>
            </w:tcBorders>
          </w:tcPr>
          <w:p w14:paraId="477BB9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Ф-34</w:t>
            </w:r>
          </w:p>
        </w:tc>
        <w:tc>
          <w:tcPr>
            <w:tcW w:w="1190" w:type="dxa"/>
            <w:tcBorders>
              <w:top w:val="single" w:sz="6" w:space="0" w:color="auto"/>
              <w:left w:val="single" w:sz="6" w:space="0" w:color="auto"/>
              <w:bottom w:val="single" w:sz="6" w:space="0" w:color="auto"/>
              <w:right w:val="single" w:sz="6" w:space="0" w:color="auto"/>
            </w:tcBorders>
          </w:tcPr>
          <w:p w14:paraId="708E9A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Ф-34-43</w:t>
            </w:r>
          </w:p>
        </w:tc>
        <w:tc>
          <w:tcPr>
            <w:tcW w:w="970" w:type="dxa"/>
            <w:tcBorders>
              <w:top w:val="single" w:sz="6" w:space="0" w:color="auto"/>
              <w:left w:val="single" w:sz="6" w:space="0" w:color="auto"/>
              <w:bottom w:val="single" w:sz="6" w:space="0" w:color="auto"/>
              <w:right w:val="single" w:sz="6" w:space="0" w:color="auto"/>
            </w:tcBorders>
          </w:tcPr>
          <w:p w14:paraId="29D2C7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Д-6</w:t>
            </w:r>
          </w:p>
        </w:tc>
        <w:tc>
          <w:tcPr>
            <w:tcW w:w="1190" w:type="dxa"/>
            <w:tcBorders>
              <w:top w:val="single" w:sz="6" w:space="0" w:color="auto"/>
              <w:left w:val="single" w:sz="6" w:space="0" w:color="auto"/>
              <w:bottom w:val="single" w:sz="6" w:space="0" w:color="auto"/>
              <w:right w:val="single" w:sz="12" w:space="0" w:color="auto"/>
            </w:tcBorders>
          </w:tcPr>
          <w:p w14:paraId="164DDB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Ф-34</w:t>
            </w:r>
          </w:p>
        </w:tc>
      </w:tr>
      <w:tr w:rsidR="004D4663" w:rsidRPr="00070ADE" w14:paraId="0CEC2A70" w14:textId="77777777">
        <w:trPr>
          <w:trHeight w:val="163"/>
        </w:trPr>
        <w:tc>
          <w:tcPr>
            <w:tcW w:w="1296" w:type="dxa"/>
            <w:tcBorders>
              <w:top w:val="single" w:sz="6" w:space="0" w:color="auto"/>
              <w:left w:val="single" w:sz="12" w:space="0" w:color="auto"/>
              <w:bottom w:val="single" w:sz="6" w:space="0" w:color="auto"/>
              <w:right w:val="single" w:sz="6" w:space="0" w:color="auto"/>
            </w:tcBorders>
          </w:tcPr>
          <w:p w14:paraId="5952F9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Снарядов, шт.</w:t>
            </w:r>
          </w:p>
        </w:tc>
        <w:tc>
          <w:tcPr>
            <w:tcW w:w="778" w:type="dxa"/>
            <w:tcBorders>
              <w:top w:val="single" w:sz="6" w:space="0" w:color="auto"/>
              <w:left w:val="single" w:sz="6" w:space="0" w:color="auto"/>
              <w:bottom w:val="single" w:sz="6" w:space="0" w:color="auto"/>
              <w:right w:val="single" w:sz="6" w:space="0" w:color="auto"/>
            </w:tcBorders>
          </w:tcPr>
          <w:p w14:paraId="5F4A06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97</w:t>
            </w:r>
          </w:p>
        </w:tc>
        <w:tc>
          <w:tcPr>
            <w:tcW w:w="1190" w:type="dxa"/>
            <w:tcBorders>
              <w:top w:val="single" w:sz="6" w:space="0" w:color="auto"/>
              <w:left w:val="single" w:sz="6" w:space="0" w:color="auto"/>
              <w:bottom w:val="single" w:sz="6" w:space="0" w:color="auto"/>
              <w:right w:val="single" w:sz="6" w:space="0" w:color="auto"/>
            </w:tcBorders>
          </w:tcPr>
          <w:p w14:paraId="35D554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96</w:t>
            </w:r>
          </w:p>
        </w:tc>
        <w:tc>
          <w:tcPr>
            <w:tcW w:w="970" w:type="dxa"/>
            <w:tcBorders>
              <w:top w:val="single" w:sz="6" w:space="0" w:color="auto"/>
              <w:left w:val="single" w:sz="6" w:space="0" w:color="auto"/>
              <w:bottom w:val="single" w:sz="6" w:space="0" w:color="auto"/>
              <w:right w:val="single" w:sz="6" w:space="0" w:color="auto"/>
            </w:tcBorders>
          </w:tcPr>
          <w:p w14:paraId="541A10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w:t>
            </w:r>
          </w:p>
        </w:tc>
        <w:tc>
          <w:tcPr>
            <w:tcW w:w="1190" w:type="dxa"/>
            <w:tcBorders>
              <w:top w:val="single" w:sz="6" w:space="0" w:color="auto"/>
              <w:left w:val="single" w:sz="6" w:space="0" w:color="auto"/>
              <w:bottom w:val="single" w:sz="6" w:space="0" w:color="auto"/>
              <w:right w:val="single" w:sz="12" w:space="0" w:color="auto"/>
            </w:tcBorders>
          </w:tcPr>
          <w:p w14:paraId="06F1FF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w:t>
            </w:r>
          </w:p>
        </w:tc>
      </w:tr>
      <w:tr w:rsidR="004D4663" w:rsidRPr="00070ADE" w14:paraId="7979B779"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5B24B0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Пулеметов, шт. х кал.</w:t>
            </w:r>
          </w:p>
        </w:tc>
        <w:tc>
          <w:tcPr>
            <w:tcW w:w="778" w:type="dxa"/>
            <w:tcBorders>
              <w:top w:val="single" w:sz="6" w:space="0" w:color="auto"/>
              <w:left w:val="single" w:sz="6" w:space="0" w:color="auto"/>
              <w:bottom w:val="single" w:sz="6" w:space="0" w:color="auto"/>
              <w:right w:val="single" w:sz="6" w:space="0" w:color="auto"/>
            </w:tcBorders>
          </w:tcPr>
          <w:p w14:paraId="2983BB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2х7,62-мм</w:t>
            </w:r>
          </w:p>
        </w:tc>
        <w:tc>
          <w:tcPr>
            <w:tcW w:w="1190" w:type="dxa"/>
            <w:tcBorders>
              <w:top w:val="single" w:sz="6" w:space="0" w:color="auto"/>
              <w:left w:val="single" w:sz="6" w:space="0" w:color="auto"/>
              <w:bottom w:val="single" w:sz="6" w:space="0" w:color="auto"/>
              <w:right w:val="single" w:sz="6" w:space="0" w:color="auto"/>
            </w:tcBorders>
          </w:tcPr>
          <w:p w14:paraId="3DB31A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2х7,62-мм</w:t>
            </w:r>
          </w:p>
        </w:tc>
        <w:tc>
          <w:tcPr>
            <w:tcW w:w="970" w:type="dxa"/>
            <w:tcBorders>
              <w:top w:val="single" w:sz="6" w:space="0" w:color="auto"/>
              <w:left w:val="single" w:sz="6" w:space="0" w:color="auto"/>
              <w:bottom w:val="single" w:sz="6" w:space="0" w:color="auto"/>
              <w:right w:val="single" w:sz="6" w:space="0" w:color="auto"/>
            </w:tcBorders>
          </w:tcPr>
          <w:p w14:paraId="1B08DC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2х7,62-мм</w:t>
            </w:r>
          </w:p>
        </w:tc>
        <w:tc>
          <w:tcPr>
            <w:tcW w:w="1190" w:type="dxa"/>
            <w:tcBorders>
              <w:top w:val="single" w:sz="6" w:space="0" w:color="auto"/>
              <w:left w:val="single" w:sz="6" w:space="0" w:color="auto"/>
              <w:bottom w:val="single" w:sz="6" w:space="0" w:color="auto"/>
              <w:right w:val="single" w:sz="12" w:space="0" w:color="auto"/>
            </w:tcBorders>
          </w:tcPr>
          <w:p w14:paraId="3DF84B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Зх7,62-мм</w:t>
            </w:r>
          </w:p>
        </w:tc>
      </w:tr>
      <w:tr w:rsidR="004D4663" w:rsidRPr="00070ADE" w14:paraId="6322ED24"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4D809D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пулемета</w:t>
            </w:r>
          </w:p>
        </w:tc>
        <w:tc>
          <w:tcPr>
            <w:tcW w:w="778" w:type="dxa"/>
            <w:tcBorders>
              <w:top w:val="single" w:sz="6" w:space="0" w:color="auto"/>
              <w:left w:val="single" w:sz="6" w:space="0" w:color="auto"/>
              <w:bottom w:val="single" w:sz="6" w:space="0" w:color="auto"/>
              <w:right w:val="single" w:sz="6" w:space="0" w:color="auto"/>
            </w:tcBorders>
          </w:tcPr>
          <w:p w14:paraId="5A1FBF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ДТ</w:t>
            </w:r>
          </w:p>
        </w:tc>
        <w:tc>
          <w:tcPr>
            <w:tcW w:w="1190" w:type="dxa"/>
            <w:tcBorders>
              <w:top w:val="single" w:sz="6" w:space="0" w:color="auto"/>
              <w:left w:val="single" w:sz="6" w:space="0" w:color="auto"/>
              <w:bottom w:val="single" w:sz="6" w:space="0" w:color="auto"/>
              <w:right w:val="single" w:sz="6" w:space="0" w:color="auto"/>
            </w:tcBorders>
          </w:tcPr>
          <w:p w14:paraId="0EFDEA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ДТ</w:t>
            </w:r>
          </w:p>
        </w:tc>
        <w:tc>
          <w:tcPr>
            <w:tcW w:w="970" w:type="dxa"/>
            <w:tcBorders>
              <w:top w:val="single" w:sz="6" w:space="0" w:color="auto"/>
              <w:left w:val="single" w:sz="6" w:space="0" w:color="auto"/>
              <w:bottom w:val="single" w:sz="6" w:space="0" w:color="auto"/>
              <w:right w:val="single" w:sz="6" w:space="0" w:color="auto"/>
            </w:tcBorders>
          </w:tcPr>
          <w:p w14:paraId="3E225F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ДТ</w:t>
            </w:r>
          </w:p>
        </w:tc>
        <w:tc>
          <w:tcPr>
            <w:tcW w:w="1190" w:type="dxa"/>
            <w:tcBorders>
              <w:top w:val="single" w:sz="6" w:space="0" w:color="auto"/>
              <w:left w:val="single" w:sz="6" w:space="0" w:color="auto"/>
              <w:bottom w:val="single" w:sz="6" w:space="0" w:color="auto"/>
              <w:right w:val="single" w:sz="12" w:space="0" w:color="auto"/>
            </w:tcBorders>
          </w:tcPr>
          <w:p w14:paraId="47BE1B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ДТ</w:t>
            </w:r>
          </w:p>
        </w:tc>
      </w:tr>
      <w:tr w:rsidR="004D4663" w:rsidRPr="00070ADE" w14:paraId="325980EB" w14:textId="77777777">
        <w:trPr>
          <w:trHeight w:val="202"/>
        </w:trPr>
        <w:tc>
          <w:tcPr>
            <w:tcW w:w="1296" w:type="dxa"/>
            <w:tcBorders>
              <w:top w:val="single" w:sz="6" w:space="0" w:color="auto"/>
              <w:left w:val="single" w:sz="12" w:space="0" w:color="auto"/>
              <w:bottom w:val="single" w:sz="6" w:space="0" w:color="auto"/>
              <w:right w:val="single" w:sz="6" w:space="0" w:color="auto"/>
            </w:tcBorders>
          </w:tcPr>
          <w:p w14:paraId="4DF074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Патронов, шт.</w:t>
            </w:r>
          </w:p>
        </w:tc>
        <w:tc>
          <w:tcPr>
            <w:tcW w:w="778" w:type="dxa"/>
            <w:tcBorders>
              <w:top w:val="single" w:sz="6" w:space="0" w:color="auto"/>
              <w:left w:val="single" w:sz="6" w:space="0" w:color="auto"/>
              <w:bottom w:val="single" w:sz="6" w:space="0" w:color="auto"/>
              <w:right w:val="single" w:sz="6" w:space="0" w:color="auto"/>
            </w:tcBorders>
          </w:tcPr>
          <w:p w14:paraId="1CB0D2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3600</w:t>
            </w:r>
          </w:p>
        </w:tc>
        <w:tc>
          <w:tcPr>
            <w:tcW w:w="1190" w:type="dxa"/>
            <w:tcBorders>
              <w:top w:val="single" w:sz="6" w:space="0" w:color="auto"/>
              <w:left w:val="single" w:sz="6" w:space="0" w:color="auto"/>
              <w:bottom w:val="single" w:sz="6" w:space="0" w:color="auto"/>
              <w:right w:val="single" w:sz="6" w:space="0" w:color="auto"/>
            </w:tcBorders>
          </w:tcPr>
          <w:p w14:paraId="4692AB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2772</w:t>
            </w:r>
          </w:p>
        </w:tc>
        <w:tc>
          <w:tcPr>
            <w:tcW w:w="970" w:type="dxa"/>
            <w:tcBorders>
              <w:top w:val="single" w:sz="6" w:space="0" w:color="auto"/>
              <w:left w:val="single" w:sz="6" w:space="0" w:color="auto"/>
              <w:bottom w:val="single" w:sz="6" w:space="0" w:color="auto"/>
              <w:right w:val="single" w:sz="6" w:space="0" w:color="auto"/>
            </w:tcBorders>
          </w:tcPr>
          <w:p w14:paraId="03D2E8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90" w:type="dxa"/>
            <w:tcBorders>
              <w:top w:val="single" w:sz="6" w:space="0" w:color="auto"/>
              <w:left w:val="single" w:sz="6" w:space="0" w:color="auto"/>
              <w:bottom w:val="single" w:sz="6" w:space="0" w:color="auto"/>
              <w:right w:val="single" w:sz="12" w:space="0" w:color="auto"/>
            </w:tcBorders>
          </w:tcPr>
          <w:p w14:paraId="4D2C2A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2016</w:t>
            </w:r>
          </w:p>
        </w:tc>
      </w:tr>
      <w:tr w:rsidR="004D4663" w:rsidRPr="00070ADE" w14:paraId="389D4463" w14:textId="77777777">
        <w:trPr>
          <w:trHeight w:val="211"/>
        </w:trPr>
        <w:tc>
          <w:tcPr>
            <w:tcW w:w="5424" w:type="dxa"/>
            <w:gridSpan w:val="5"/>
            <w:tcBorders>
              <w:top w:val="single" w:sz="6" w:space="0" w:color="auto"/>
              <w:left w:val="single" w:sz="12" w:space="0" w:color="auto"/>
              <w:bottom w:val="single" w:sz="6" w:space="0" w:color="auto"/>
              <w:right w:val="single" w:sz="12" w:space="0" w:color="auto"/>
            </w:tcBorders>
          </w:tcPr>
          <w:p w14:paraId="2EB389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Толщина брони, мм</w:t>
            </w:r>
          </w:p>
        </w:tc>
      </w:tr>
      <w:tr w:rsidR="004D4663" w:rsidRPr="00070ADE" w14:paraId="63D10016" w14:textId="77777777">
        <w:trPr>
          <w:trHeight w:val="211"/>
        </w:trPr>
        <w:tc>
          <w:tcPr>
            <w:tcW w:w="1296" w:type="dxa"/>
            <w:tcBorders>
              <w:top w:val="single" w:sz="6" w:space="0" w:color="auto"/>
              <w:left w:val="single" w:sz="12" w:space="0" w:color="auto"/>
              <w:bottom w:val="single" w:sz="6" w:space="0" w:color="auto"/>
              <w:right w:val="single" w:sz="6" w:space="0" w:color="auto"/>
            </w:tcBorders>
          </w:tcPr>
          <w:p w14:paraId="045558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Верт. Корпуса</w:t>
            </w:r>
          </w:p>
        </w:tc>
        <w:tc>
          <w:tcPr>
            <w:tcW w:w="778" w:type="dxa"/>
            <w:tcBorders>
              <w:top w:val="single" w:sz="6" w:space="0" w:color="auto"/>
              <w:left w:val="single" w:sz="6" w:space="0" w:color="auto"/>
              <w:bottom w:val="single" w:sz="6" w:space="0" w:color="auto"/>
              <w:right w:val="single" w:sz="6" w:space="0" w:color="auto"/>
            </w:tcBorders>
          </w:tcPr>
          <w:p w14:paraId="59251B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c>
          <w:tcPr>
            <w:tcW w:w="1190" w:type="dxa"/>
            <w:tcBorders>
              <w:top w:val="single" w:sz="6" w:space="0" w:color="auto"/>
              <w:left w:val="single" w:sz="6" w:space="0" w:color="auto"/>
              <w:bottom w:val="single" w:sz="6" w:space="0" w:color="auto"/>
              <w:right w:val="single" w:sz="6" w:space="0" w:color="auto"/>
            </w:tcBorders>
          </w:tcPr>
          <w:p w14:paraId="7F9EE2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75-60</w:t>
            </w:r>
          </w:p>
        </w:tc>
        <w:tc>
          <w:tcPr>
            <w:tcW w:w="970" w:type="dxa"/>
            <w:tcBorders>
              <w:top w:val="single" w:sz="6" w:space="0" w:color="auto"/>
              <w:left w:val="single" w:sz="6" w:space="0" w:color="auto"/>
              <w:bottom w:val="single" w:sz="6" w:space="0" w:color="auto"/>
              <w:right w:val="single" w:sz="6" w:space="0" w:color="auto"/>
            </w:tcBorders>
          </w:tcPr>
          <w:p w14:paraId="0D668F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c>
          <w:tcPr>
            <w:tcW w:w="1190" w:type="dxa"/>
            <w:tcBorders>
              <w:top w:val="single" w:sz="6" w:space="0" w:color="auto"/>
              <w:left w:val="single" w:sz="6" w:space="0" w:color="auto"/>
              <w:bottom w:val="single" w:sz="6" w:space="0" w:color="auto"/>
              <w:right w:val="single" w:sz="12" w:space="0" w:color="auto"/>
            </w:tcBorders>
          </w:tcPr>
          <w:p w14:paraId="329045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100-90( литье)</w:t>
            </w:r>
          </w:p>
        </w:tc>
      </w:tr>
      <w:tr w:rsidR="004D4663" w:rsidRPr="00070ADE" w14:paraId="2A225ADF" w14:textId="77777777">
        <w:trPr>
          <w:trHeight w:val="163"/>
        </w:trPr>
        <w:tc>
          <w:tcPr>
            <w:tcW w:w="1296" w:type="dxa"/>
            <w:tcBorders>
              <w:top w:val="single" w:sz="6" w:space="0" w:color="auto"/>
              <w:left w:val="single" w:sz="12" w:space="0" w:color="auto"/>
              <w:bottom w:val="single" w:sz="6" w:space="0" w:color="auto"/>
              <w:right w:val="single" w:sz="6" w:space="0" w:color="auto"/>
            </w:tcBorders>
          </w:tcPr>
          <w:p w14:paraId="63FD39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Гориз. Корпуса</w:t>
            </w:r>
          </w:p>
        </w:tc>
        <w:tc>
          <w:tcPr>
            <w:tcW w:w="778" w:type="dxa"/>
            <w:tcBorders>
              <w:top w:val="single" w:sz="6" w:space="0" w:color="auto"/>
              <w:left w:val="single" w:sz="6" w:space="0" w:color="auto"/>
              <w:bottom w:val="single" w:sz="6" w:space="0" w:color="auto"/>
              <w:right w:val="single" w:sz="6" w:space="0" w:color="auto"/>
            </w:tcBorders>
          </w:tcPr>
          <w:p w14:paraId="048C8C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20-15</w:t>
            </w:r>
          </w:p>
        </w:tc>
        <w:tc>
          <w:tcPr>
            <w:tcW w:w="1190" w:type="dxa"/>
            <w:tcBorders>
              <w:top w:val="single" w:sz="6" w:space="0" w:color="auto"/>
              <w:left w:val="single" w:sz="6" w:space="0" w:color="auto"/>
              <w:bottom w:val="single" w:sz="6" w:space="0" w:color="auto"/>
              <w:right w:val="single" w:sz="6" w:space="0" w:color="auto"/>
            </w:tcBorders>
          </w:tcPr>
          <w:p w14:paraId="1EF40D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30-20</w:t>
            </w:r>
          </w:p>
        </w:tc>
        <w:tc>
          <w:tcPr>
            <w:tcW w:w="970" w:type="dxa"/>
            <w:tcBorders>
              <w:top w:val="single" w:sz="6" w:space="0" w:color="auto"/>
              <w:left w:val="single" w:sz="6" w:space="0" w:color="auto"/>
              <w:bottom w:val="single" w:sz="6" w:space="0" w:color="auto"/>
              <w:right w:val="single" w:sz="6" w:space="0" w:color="auto"/>
            </w:tcBorders>
          </w:tcPr>
          <w:p w14:paraId="13BDD5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20-15</w:t>
            </w:r>
          </w:p>
        </w:tc>
        <w:tc>
          <w:tcPr>
            <w:tcW w:w="1190" w:type="dxa"/>
            <w:tcBorders>
              <w:top w:val="single" w:sz="6" w:space="0" w:color="auto"/>
              <w:left w:val="single" w:sz="6" w:space="0" w:color="auto"/>
              <w:bottom w:val="single" w:sz="6" w:space="0" w:color="auto"/>
              <w:right w:val="single" w:sz="12" w:space="0" w:color="auto"/>
            </w:tcBorders>
          </w:tcPr>
          <w:p w14:paraId="74B3A0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r>
      <w:tr w:rsidR="004D4663" w:rsidRPr="00070ADE" w14:paraId="36E4C2BE" w14:textId="77777777">
        <w:trPr>
          <w:trHeight w:val="326"/>
        </w:trPr>
        <w:tc>
          <w:tcPr>
            <w:tcW w:w="1296" w:type="dxa"/>
            <w:tcBorders>
              <w:top w:val="single" w:sz="6" w:space="0" w:color="auto"/>
              <w:left w:val="single" w:sz="12" w:space="0" w:color="auto"/>
              <w:bottom w:val="single" w:sz="6" w:space="0" w:color="auto"/>
              <w:right w:val="single" w:sz="6" w:space="0" w:color="auto"/>
            </w:tcBorders>
          </w:tcPr>
          <w:p w14:paraId="0304F2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Башня</w:t>
            </w:r>
          </w:p>
        </w:tc>
        <w:tc>
          <w:tcPr>
            <w:tcW w:w="778" w:type="dxa"/>
            <w:tcBorders>
              <w:top w:val="single" w:sz="6" w:space="0" w:color="auto"/>
              <w:left w:val="single" w:sz="6" w:space="0" w:color="auto"/>
              <w:bottom w:val="single" w:sz="6" w:space="0" w:color="auto"/>
              <w:right w:val="single" w:sz="6" w:space="0" w:color="auto"/>
            </w:tcBorders>
          </w:tcPr>
          <w:p w14:paraId="6FD262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 (литье)</w:t>
            </w:r>
          </w:p>
        </w:tc>
        <w:tc>
          <w:tcPr>
            <w:tcW w:w="1190" w:type="dxa"/>
            <w:tcBorders>
              <w:top w:val="single" w:sz="6" w:space="0" w:color="auto"/>
              <w:left w:val="single" w:sz="6" w:space="0" w:color="auto"/>
              <w:bottom w:val="single" w:sz="6" w:space="0" w:color="auto"/>
              <w:right w:val="single" w:sz="6" w:space="0" w:color="auto"/>
            </w:tcBorders>
          </w:tcPr>
          <w:p w14:paraId="751E7E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90-62 (литье)</w:t>
            </w:r>
          </w:p>
        </w:tc>
        <w:tc>
          <w:tcPr>
            <w:tcW w:w="970" w:type="dxa"/>
            <w:tcBorders>
              <w:top w:val="single" w:sz="6" w:space="0" w:color="auto"/>
              <w:left w:val="single" w:sz="6" w:space="0" w:color="auto"/>
              <w:bottom w:val="single" w:sz="6" w:space="0" w:color="auto"/>
              <w:right w:val="single" w:sz="6" w:space="0" w:color="auto"/>
            </w:tcBorders>
          </w:tcPr>
          <w:p w14:paraId="2DEBA8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62-54 (литье)</w:t>
            </w:r>
          </w:p>
        </w:tc>
        <w:tc>
          <w:tcPr>
            <w:tcW w:w="1190" w:type="dxa"/>
            <w:tcBorders>
              <w:top w:val="single" w:sz="6" w:space="0" w:color="auto"/>
              <w:left w:val="single" w:sz="6" w:space="0" w:color="auto"/>
              <w:bottom w:val="single" w:sz="6" w:space="0" w:color="auto"/>
              <w:right w:val="single" w:sz="12" w:space="0" w:color="auto"/>
            </w:tcBorders>
          </w:tcPr>
          <w:p w14:paraId="44B38A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100-80 (литье)</w:t>
            </w:r>
          </w:p>
        </w:tc>
      </w:tr>
      <w:tr w:rsidR="004D4663" w:rsidRPr="00070ADE" w14:paraId="244989F4" w14:textId="77777777">
        <w:trPr>
          <w:trHeight w:val="307"/>
        </w:trPr>
        <w:tc>
          <w:tcPr>
            <w:tcW w:w="1296" w:type="dxa"/>
            <w:tcBorders>
              <w:top w:val="single" w:sz="6" w:space="0" w:color="auto"/>
              <w:left w:val="single" w:sz="12" w:space="0" w:color="auto"/>
              <w:bottom w:val="single" w:sz="6" w:space="0" w:color="auto"/>
              <w:right w:val="single" w:sz="6" w:space="0" w:color="auto"/>
            </w:tcBorders>
          </w:tcPr>
          <w:p w14:paraId="010FD2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w:t>
            </w:r>
          </w:p>
        </w:tc>
        <w:tc>
          <w:tcPr>
            <w:tcW w:w="778" w:type="dxa"/>
            <w:tcBorders>
              <w:top w:val="single" w:sz="6" w:space="0" w:color="auto"/>
              <w:left w:val="single" w:sz="6" w:space="0" w:color="auto"/>
              <w:bottom w:val="single" w:sz="6" w:space="0" w:color="auto"/>
              <w:right w:val="single" w:sz="6" w:space="0" w:color="auto"/>
            </w:tcBorders>
          </w:tcPr>
          <w:p w14:paraId="5707C2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4т/12ц/д/ж</w:t>
            </w:r>
          </w:p>
        </w:tc>
        <w:tc>
          <w:tcPr>
            <w:tcW w:w="1190" w:type="dxa"/>
            <w:tcBorders>
              <w:top w:val="single" w:sz="6" w:space="0" w:color="auto"/>
              <w:left w:val="single" w:sz="6" w:space="0" w:color="auto"/>
              <w:bottom w:val="single" w:sz="6" w:space="0" w:color="auto"/>
              <w:right w:val="single" w:sz="6" w:space="0" w:color="auto"/>
            </w:tcBorders>
          </w:tcPr>
          <w:p w14:paraId="5FB92B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4т/12ц/д/ж</w:t>
            </w:r>
          </w:p>
        </w:tc>
        <w:tc>
          <w:tcPr>
            <w:tcW w:w="970" w:type="dxa"/>
            <w:tcBorders>
              <w:top w:val="single" w:sz="6" w:space="0" w:color="auto"/>
              <w:left w:val="single" w:sz="6" w:space="0" w:color="auto"/>
              <w:bottom w:val="single" w:sz="6" w:space="0" w:color="auto"/>
              <w:right w:val="single" w:sz="6" w:space="0" w:color="auto"/>
            </w:tcBorders>
          </w:tcPr>
          <w:p w14:paraId="5DBF1E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4т/12ц/д/ж</w:t>
            </w:r>
          </w:p>
        </w:tc>
        <w:tc>
          <w:tcPr>
            <w:tcW w:w="1190" w:type="dxa"/>
            <w:tcBorders>
              <w:top w:val="single" w:sz="6" w:space="0" w:color="auto"/>
              <w:left w:val="single" w:sz="6" w:space="0" w:color="auto"/>
              <w:bottom w:val="single" w:sz="6" w:space="0" w:color="auto"/>
              <w:right w:val="single" w:sz="12" w:space="0" w:color="auto"/>
            </w:tcBorders>
          </w:tcPr>
          <w:p w14:paraId="07FD87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4т/12ц/д/ж</w:t>
            </w:r>
          </w:p>
        </w:tc>
      </w:tr>
      <w:tr w:rsidR="004D4663" w:rsidRPr="00070ADE" w14:paraId="3D655ED7" w14:textId="77777777">
        <w:trPr>
          <w:trHeight w:val="154"/>
        </w:trPr>
        <w:tc>
          <w:tcPr>
            <w:tcW w:w="1296" w:type="dxa"/>
            <w:tcBorders>
              <w:top w:val="single" w:sz="6" w:space="0" w:color="auto"/>
              <w:left w:val="single" w:sz="12" w:space="0" w:color="auto"/>
              <w:bottom w:val="single" w:sz="6" w:space="0" w:color="auto"/>
              <w:right w:val="single" w:sz="6" w:space="0" w:color="auto"/>
            </w:tcBorders>
          </w:tcPr>
          <w:p w14:paraId="343E14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Марка</w:t>
            </w:r>
          </w:p>
        </w:tc>
        <w:tc>
          <w:tcPr>
            <w:tcW w:w="778" w:type="dxa"/>
            <w:tcBorders>
              <w:top w:val="single" w:sz="6" w:space="0" w:color="auto"/>
              <w:left w:val="single" w:sz="6" w:space="0" w:color="auto"/>
              <w:bottom w:val="single" w:sz="6" w:space="0" w:color="auto"/>
              <w:right w:val="single" w:sz="6" w:space="0" w:color="auto"/>
            </w:tcBorders>
          </w:tcPr>
          <w:p w14:paraId="4C9CE2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В-2-34</w:t>
            </w:r>
          </w:p>
        </w:tc>
        <w:tc>
          <w:tcPr>
            <w:tcW w:w="1190" w:type="dxa"/>
            <w:tcBorders>
              <w:top w:val="single" w:sz="6" w:space="0" w:color="auto"/>
              <w:left w:val="single" w:sz="6" w:space="0" w:color="auto"/>
              <w:bottom w:val="single" w:sz="6" w:space="0" w:color="auto"/>
              <w:right w:val="single" w:sz="6" w:space="0" w:color="auto"/>
            </w:tcBorders>
          </w:tcPr>
          <w:p w14:paraId="39A27D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В-2-34</w:t>
            </w:r>
          </w:p>
        </w:tc>
        <w:tc>
          <w:tcPr>
            <w:tcW w:w="970" w:type="dxa"/>
            <w:tcBorders>
              <w:top w:val="single" w:sz="6" w:space="0" w:color="auto"/>
              <w:left w:val="single" w:sz="6" w:space="0" w:color="auto"/>
              <w:bottom w:val="single" w:sz="6" w:space="0" w:color="auto"/>
              <w:right w:val="single" w:sz="6" w:space="0" w:color="auto"/>
            </w:tcBorders>
          </w:tcPr>
          <w:p w14:paraId="29A787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В-2-34</w:t>
            </w:r>
          </w:p>
        </w:tc>
        <w:tc>
          <w:tcPr>
            <w:tcW w:w="1190" w:type="dxa"/>
            <w:tcBorders>
              <w:top w:val="single" w:sz="6" w:space="0" w:color="auto"/>
              <w:left w:val="single" w:sz="6" w:space="0" w:color="auto"/>
              <w:bottom w:val="single" w:sz="6" w:space="0" w:color="auto"/>
              <w:right w:val="single" w:sz="12" w:space="0" w:color="auto"/>
            </w:tcBorders>
          </w:tcPr>
          <w:p w14:paraId="1B022C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В-2К-ИС</w:t>
            </w:r>
          </w:p>
        </w:tc>
      </w:tr>
      <w:tr w:rsidR="004D4663" w:rsidRPr="00070ADE" w14:paraId="21AB632A"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74F423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Мощность макс., л.с.</w:t>
            </w:r>
          </w:p>
        </w:tc>
        <w:tc>
          <w:tcPr>
            <w:tcW w:w="778" w:type="dxa"/>
            <w:tcBorders>
              <w:top w:val="single" w:sz="6" w:space="0" w:color="auto"/>
              <w:left w:val="single" w:sz="6" w:space="0" w:color="auto"/>
              <w:bottom w:val="single" w:sz="6" w:space="0" w:color="auto"/>
              <w:right w:val="single" w:sz="6" w:space="0" w:color="auto"/>
            </w:tcBorders>
          </w:tcPr>
          <w:p w14:paraId="54F6D4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1190" w:type="dxa"/>
            <w:tcBorders>
              <w:top w:val="single" w:sz="6" w:space="0" w:color="auto"/>
              <w:left w:val="single" w:sz="6" w:space="0" w:color="auto"/>
              <w:bottom w:val="single" w:sz="6" w:space="0" w:color="auto"/>
              <w:right w:val="single" w:sz="6" w:space="0" w:color="auto"/>
            </w:tcBorders>
          </w:tcPr>
          <w:p w14:paraId="1C3F90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970" w:type="dxa"/>
            <w:tcBorders>
              <w:top w:val="single" w:sz="6" w:space="0" w:color="auto"/>
              <w:left w:val="single" w:sz="6" w:space="0" w:color="auto"/>
              <w:bottom w:val="single" w:sz="6" w:space="0" w:color="auto"/>
              <w:right w:val="single" w:sz="6" w:space="0" w:color="auto"/>
            </w:tcBorders>
          </w:tcPr>
          <w:p w14:paraId="4D8D7B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1190" w:type="dxa"/>
            <w:tcBorders>
              <w:top w:val="single" w:sz="6" w:space="0" w:color="auto"/>
              <w:left w:val="single" w:sz="6" w:space="0" w:color="auto"/>
              <w:bottom w:val="single" w:sz="6" w:space="0" w:color="auto"/>
              <w:right w:val="single" w:sz="12" w:space="0" w:color="auto"/>
            </w:tcBorders>
          </w:tcPr>
          <w:p w14:paraId="47B5B9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tc>
      </w:tr>
      <w:tr w:rsidR="004D4663" w:rsidRPr="00070ADE" w14:paraId="3DD04EEB" w14:textId="77777777">
        <w:trPr>
          <w:trHeight w:val="163"/>
        </w:trPr>
        <w:tc>
          <w:tcPr>
            <w:tcW w:w="1296" w:type="dxa"/>
            <w:tcBorders>
              <w:top w:val="single" w:sz="6" w:space="0" w:color="auto"/>
              <w:left w:val="single" w:sz="12" w:space="0" w:color="auto"/>
              <w:bottom w:val="single" w:sz="6" w:space="0" w:color="auto"/>
              <w:right w:val="single" w:sz="6" w:space="0" w:color="auto"/>
            </w:tcBorders>
          </w:tcPr>
          <w:p w14:paraId="47080B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частоте об/мин</w:t>
            </w:r>
          </w:p>
        </w:tc>
        <w:tc>
          <w:tcPr>
            <w:tcW w:w="778" w:type="dxa"/>
            <w:tcBorders>
              <w:top w:val="single" w:sz="6" w:space="0" w:color="auto"/>
              <w:left w:val="single" w:sz="6" w:space="0" w:color="auto"/>
              <w:bottom w:val="single" w:sz="6" w:space="0" w:color="auto"/>
              <w:right w:val="single" w:sz="6" w:space="0" w:color="auto"/>
            </w:tcBorders>
          </w:tcPr>
          <w:p w14:paraId="1AAC99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1800</w:t>
            </w:r>
          </w:p>
        </w:tc>
        <w:tc>
          <w:tcPr>
            <w:tcW w:w="1190" w:type="dxa"/>
            <w:tcBorders>
              <w:top w:val="single" w:sz="6" w:space="0" w:color="auto"/>
              <w:left w:val="single" w:sz="6" w:space="0" w:color="auto"/>
              <w:bottom w:val="single" w:sz="6" w:space="0" w:color="auto"/>
              <w:right w:val="single" w:sz="6" w:space="0" w:color="auto"/>
            </w:tcBorders>
          </w:tcPr>
          <w:p w14:paraId="6A883D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1800</w:t>
            </w:r>
          </w:p>
        </w:tc>
        <w:tc>
          <w:tcPr>
            <w:tcW w:w="970" w:type="dxa"/>
            <w:tcBorders>
              <w:top w:val="single" w:sz="6" w:space="0" w:color="auto"/>
              <w:left w:val="single" w:sz="6" w:space="0" w:color="auto"/>
              <w:bottom w:val="single" w:sz="6" w:space="0" w:color="auto"/>
              <w:right w:val="single" w:sz="6" w:space="0" w:color="auto"/>
            </w:tcBorders>
          </w:tcPr>
          <w:p w14:paraId="07B6C3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1800</w:t>
            </w:r>
          </w:p>
        </w:tc>
        <w:tc>
          <w:tcPr>
            <w:tcW w:w="1190" w:type="dxa"/>
            <w:tcBorders>
              <w:top w:val="single" w:sz="6" w:space="0" w:color="auto"/>
              <w:left w:val="single" w:sz="6" w:space="0" w:color="auto"/>
              <w:bottom w:val="single" w:sz="6" w:space="0" w:color="auto"/>
              <w:right w:val="single" w:sz="12" w:space="0" w:color="auto"/>
            </w:tcBorders>
          </w:tcPr>
          <w:p w14:paraId="09668A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1850</w:t>
            </w:r>
          </w:p>
        </w:tc>
      </w:tr>
      <w:tr w:rsidR="004D4663" w:rsidRPr="00070ADE" w14:paraId="59D1CA02" w14:textId="77777777">
        <w:trPr>
          <w:trHeight w:val="182"/>
        </w:trPr>
        <w:tc>
          <w:tcPr>
            <w:tcW w:w="1296" w:type="dxa"/>
            <w:tcBorders>
              <w:top w:val="single" w:sz="6" w:space="0" w:color="auto"/>
              <w:left w:val="single" w:sz="12" w:space="0" w:color="auto"/>
              <w:bottom w:val="single" w:sz="6" w:space="0" w:color="auto"/>
              <w:right w:val="single" w:sz="6" w:space="0" w:color="auto"/>
            </w:tcBorders>
          </w:tcPr>
          <w:p w14:paraId="7B7074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Передач КПП</w:t>
            </w:r>
          </w:p>
        </w:tc>
        <w:tc>
          <w:tcPr>
            <w:tcW w:w="778" w:type="dxa"/>
            <w:tcBorders>
              <w:top w:val="single" w:sz="6" w:space="0" w:color="auto"/>
              <w:left w:val="single" w:sz="6" w:space="0" w:color="auto"/>
              <w:bottom w:val="single" w:sz="6" w:space="0" w:color="auto"/>
              <w:right w:val="single" w:sz="6" w:space="0" w:color="auto"/>
            </w:tcBorders>
          </w:tcPr>
          <w:p w14:paraId="242E3D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w:t>
            </w:r>
          </w:p>
        </w:tc>
        <w:tc>
          <w:tcPr>
            <w:tcW w:w="1190" w:type="dxa"/>
            <w:tcBorders>
              <w:top w:val="single" w:sz="6" w:space="0" w:color="auto"/>
              <w:left w:val="single" w:sz="6" w:space="0" w:color="auto"/>
              <w:bottom w:val="single" w:sz="6" w:space="0" w:color="auto"/>
              <w:right w:val="single" w:sz="6" w:space="0" w:color="auto"/>
            </w:tcBorders>
          </w:tcPr>
          <w:p w14:paraId="1CFB41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w:t>
            </w:r>
          </w:p>
        </w:tc>
        <w:tc>
          <w:tcPr>
            <w:tcW w:w="970" w:type="dxa"/>
            <w:tcBorders>
              <w:top w:val="single" w:sz="6" w:space="0" w:color="auto"/>
              <w:left w:val="single" w:sz="6" w:space="0" w:color="auto"/>
              <w:bottom w:val="single" w:sz="6" w:space="0" w:color="auto"/>
              <w:right w:val="single" w:sz="6" w:space="0" w:color="auto"/>
            </w:tcBorders>
          </w:tcPr>
          <w:p w14:paraId="6E0053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w:t>
            </w:r>
          </w:p>
        </w:tc>
        <w:tc>
          <w:tcPr>
            <w:tcW w:w="1190" w:type="dxa"/>
            <w:tcBorders>
              <w:top w:val="single" w:sz="6" w:space="0" w:color="auto"/>
              <w:left w:val="single" w:sz="6" w:space="0" w:color="auto"/>
              <w:bottom w:val="single" w:sz="6" w:space="0" w:color="auto"/>
              <w:right w:val="single" w:sz="12" w:space="0" w:color="auto"/>
            </w:tcBorders>
          </w:tcPr>
          <w:p w14:paraId="1D8030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w:t>
            </w:r>
          </w:p>
        </w:tc>
      </w:tr>
      <w:tr w:rsidR="004D4663" w:rsidRPr="00070ADE" w14:paraId="0A9BA11A" w14:textId="77777777">
        <w:trPr>
          <w:trHeight w:val="182"/>
        </w:trPr>
        <w:tc>
          <w:tcPr>
            <w:tcW w:w="1296" w:type="dxa"/>
            <w:tcBorders>
              <w:top w:val="single" w:sz="6" w:space="0" w:color="auto"/>
              <w:left w:val="single" w:sz="12" w:space="0" w:color="auto"/>
              <w:bottom w:val="single" w:sz="6" w:space="0" w:color="auto"/>
              <w:right w:val="single" w:sz="6" w:space="0" w:color="auto"/>
            </w:tcBorders>
          </w:tcPr>
          <w:p w14:paraId="603FA6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км/ч</w:t>
            </w:r>
          </w:p>
        </w:tc>
        <w:tc>
          <w:tcPr>
            <w:tcW w:w="778" w:type="dxa"/>
            <w:tcBorders>
              <w:top w:val="single" w:sz="6" w:space="0" w:color="auto"/>
              <w:left w:val="single" w:sz="6" w:space="0" w:color="auto"/>
              <w:bottom w:val="single" w:sz="6" w:space="0" w:color="auto"/>
              <w:right w:val="single" w:sz="6" w:space="0" w:color="auto"/>
            </w:tcBorders>
          </w:tcPr>
          <w:p w14:paraId="04DC21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51,2</w:t>
            </w:r>
          </w:p>
        </w:tc>
        <w:tc>
          <w:tcPr>
            <w:tcW w:w="1190" w:type="dxa"/>
            <w:tcBorders>
              <w:top w:val="single" w:sz="6" w:space="0" w:color="auto"/>
              <w:left w:val="single" w:sz="6" w:space="0" w:color="auto"/>
              <w:bottom w:val="single" w:sz="6" w:space="0" w:color="auto"/>
              <w:right w:val="single" w:sz="6" w:space="0" w:color="auto"/>
            </w:tcBorders>
          </w:tcPr>
          <w:p w14:paraId="0BEB0A5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w:t>
            </w:r>
          </w:p>
        </w:tc>
        <w:tc>
          <w:tcPr>
            <w:tcW w:w="970" w:type="dxa"/>
            <w:tcBorders>
              <w:top w:val="single" w:sz="6" w:space="0" w:color="auto"/>
              <w:left w:val="single" w:sz="6" w:space="0" w:color="auto"/>
              <w:bottom w:val="single" w:sz="6" w:space="0" w:color="auto"/>
              <w:right w:val="single" w:sz="6" w:space="0" w:color="auto"/>
            </w:tcBorders>
          </w:tcPr>
          <w:p w14:paraId="52F78E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51,2</w:t>
            </w:r>
          </w:p>
        </w:tc>
        <w:tc>
          <w:tcPr>
            <w:tcW w:w="1190" w:type="dxa"/>
            <w:tcBorders>
              <w:top w:val="single" w:sz="6" w:space="0" w:color="auto"/>
              <w:left w:val="single" w:sz="6" w:space="0" w:color="auto"/>
              <w:bottom w:val="single" w:sz="6" w:space="0" w:color="auto"/>
              <w:right w:val="single" w:sz="12" w:space="0" w:color="auto"/>
            </w:tcBorders>
          </w:tcPr>
          <w:p w14:paraId="7E3321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tc>
      </w:tr>
      <w:tr w:rsidR="004D4663" w:rsidRPr="00070ADE" w14:paraId="2E15E12C" w14:textId="77777777">
        <w:trPr>
          <w:trHeight w:val="211"/>
        </w:trPr>
        <w:tc>
          <w:tcPr>
            <w:tcW w:w="1296" w:type="dxa"/>
            <w:tcBorders>
              <w:top w:val="single" w:sz="6" w:space="0" w:color="auto"/>
              <w:left w:val="single" w:sz="12" w:space="0" w:color="auto"/>
              <w:bottom w:val="single" w:sz="6" w:space="0" w:color="auto"/>
              <w:right w:val="single" w:sz="6" w:space="0" w:color="auto"/>
            </w:tcBorders>
          </w:tcPr>
          <w:p w14:paraId="0F802B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топлива</w:t>
            </w:r>
          </w:p>
        </w:tc>
        <w:tc>
          <w:tcPr>
            <w:tcW w:w="778" w:type="dxa"/>
            <w:tcBorders>
              <w:top w:val="single" w:sz="6" w:space="0" w:color="auto"/>
              <w:left w:val="single" w:sz="6" w:space="0" w:color="auto"/>
              <w:bottom w:val="single" w:sz="6" w:space="0" w:color="auto"/>
              <w:right w:val="single" w:sz="6" w:space="0" w:color="auto"/>
            </w:tcBorders>
          </w:tcPr>
          <w:p w14:paraId="431D2A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Дизельное</w:t>
            </w:r>
          </w:p>
        </w:tc>
        <w:tc>
          <w:tcPr>
            <w:tcW w:w="1190" w:type="dxa"/>
            <w:tcBorders>
              <w:top w:val="single" w:sz="6" w:space="0" w:color="auto"/>
              <w:left w:val="single" w:sz="6" w:space="0" w:color="auto"/>
              <w:bottom w:val="single" w:sz="6" w:space="0" w:color="auto"/>
              <w:right w:val="single" w:sz="6" w:space="0" w:color="auto"/>
            </w:tcBorders>
          </w:tcPr>
          <w:p w14:paraId="50F9C7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.Дизельное</w:t>
            </w:r>
          </w:p>
        </w:tc>
        <w:tc>
          <w:tcPr>
            <w:tcW w:w="970" w:type="dxa"/>
            <w:tcBorders>
              <w:top w:val="single" w:sz="6" w:space="0" w:color="auto"/>
              <w:left w:val="single" w:sz="6" w:space="0" w:color="auto"/>
              <w:bottom w:val="single" w:sz="6" w:space="0" w:color="auto"/>
              <w:right w:val="single" w:sz="6" w:space="0" w:color="auto"/>
            </w:tcBorders>
          </w:tcPr>
          <w:p w14:paraId="195D84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Дизельное</w:t>
            </w:r>
          </w:p>
        </w:tc>
        <w:tc>
          <w:tcPr>
            <w:tcW w:w="1190" w:type="dxa"/>
            <w:tcBorders>
              <w:top w:val="single" w:sz="6" w:space="0" w:color="auto"/>
              <w:left w:val="single" w:sz="6" w:space="0" w:color="auto"/>
              <w:bottom w:val="single" w:sz="6" w:space="0" w:color="auto"/>
              <w:right w:val="single" w:sz="12" w:space="0" w:color="auto"/>
            </w:tcBorders>
          </w:tcPr>
          <w:p w14:paraId="33ADD0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Дизельное</w:t>
            </w:r>
          </w:p>
        </w:tc>
      </w:tr>
      <w:tr w:rsidR="004D4663" w:rsidRPr="00070ADE" w14:paraId="7011831A" w14:textId="77777777">
        <w:trPr>
          <w:trHeight w:val="182"/>
        </w:trPr>
        <w:tc>
          <w:tcPr>
            <w:tcW w:w="1296" w:type="dxa"/>
            <w:tcBorders>
              <w:top w:val="single" w:sz="6" w:space="0" w:color="auto"/>
              <w:left w:val="single" w:sz="12" w:space="0" w:color="auto"/>
              <w:bottom w:val="single" w:sz="6" w:space="0" w:color="auto"/>
              <w:right w:val="single" w:sz="6" w:space="0" w:color="auto"/>
            </w:tcBorders>
          </w:tcPr>
          <w:p w14:paraId="186C19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Емк. Бака, л</w:t>
            </w:r>
          </w:p>
        </w:tc>
        <w:tc>
          <w:tcPr>
            <w:tcW w:w="778" w:type="dxa"/>
            <w:tcBorders>
              <w:top w:val="single" w:sz="6" w:space="0" w:color="auto"/>
              <w:left w:val="single" w:sz="6" w:space="0" w:color="auto"/>
              <w:bottom w:val="single" w:sz="6" w:space="0" w:color="auto"/>
              <w:right w:val="single" w:sz="6" w:space="0" w:color="auto"/>
            </w:tcBorders>
          </w:tcPr>
          <w:p w14:paraId="06170B5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tc>
        <w:tc>
          <w:tcPr>
            <w:tcW w:w="1190" w:type="dxa"/>
            <w:tcBorders>
              <w:top w:val="single" w:sz="6" w:space="0" w:color="auto"/>
              <w:left w:val="single" w:sz="6" w:space="0" w:color="auto"/>
              <w:bottom w:val="single" w:sz="6" w:space="0" w:color="auto"/>
              <w:right w:val="single" w:sz="6" w:space="0" w:color="auto"/>
            </w:tcBorders>
          </w:tcPr>
          <w:p w14:paraId="3D19CA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970" w:type="dxa"/>
            <w:tcBorders>
              <w:top w:val="single" w:sz="6" w:space="0" w:color="auto"/>
              <w:left w:val="single" w:sz="6" w:space="0" w:color="auto"/>
              <w:bottom w:val="single" w:sz="6" w:space="0" w:color="auto"/>
              <w:right w:val="single" w:sz="6" w:space="0" w:color="auto"/>
            </w:tcBorders>
          </w:tcPr>
          <w:p w14:paraId="218663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tc>
        <w:tc>
          <w:tcPr>
            <w:tcW w:w="1190" w:type="dxa"/>
            <w:tcBorders>
              <w:top w:val="single" w:sz="6" w:space="0" w:color="auto"/>
              <w:left w:val="single" w:sz="6" w:space="0" w:color="auto"/>
              <w:bottom w:val="single" w:sz="6" w:space="0" w:color="auto"/>
              <w:right w:val="single" w:sz="12" w:space="0" w:color="auto"/>
            </w:tcBorders>
          </w:tcPr>
          <w:p w14:paraId="3BACD2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6C4DFAE" w14:textId="77777777">
        <w:trPr>
          <w:trHeight w:val="163"/>
        </w:trPr>
        <w:tc>
          <w:tcPr>
            <w:tcW w:w="1296" w:type="dxa"/>
            <w:tcBorders>
              <w:top w:val="single" w:sz="6" w:space="0" w:color="auto"/>
              <w:left w:val="single" w:sz="12" w:space="0" w:color="auto"/>
              <w:bottom w:val="single" w:sz="6" w:space="0" w:color="auto"/>
              <w:right w:val="single" w:sz="6" w:space="0" w:color="auto"/>
            </w:tcBorders>
          </w:tcPr>
          <w:p w14:paraId="6ADF5E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163FF1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E2B64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Запас хода, км</w:t>
            </w:r>
          </w:p>
        </w:tc>
        <w:tc>
          <w:tcPr>
            <w:tcW w:w="970" w:type="dxa"/>
            <w:tcBorders>
              <w:top w:val="single" w:sz="6" w:space="0" w:color="auto"/>
              <w:left w:val="single" w:sz="6" w:space="0" w:color="auto"/>
              <w:bottom w:val="single" w:sz="6" w:space="0" w:color="auto"/>
              <w:right w:val="single" w:sz="6" w:space="0" w:color="auto"/>
            </w:tcBorders>
          </w:tcPr>
          <w:p w14:paraId="51CA53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12" w:space="0" w:color="auto"/>
            </w:tcBorders>
          </w:tcPr>
          <w:p w14:paraId="59F212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ECC49CE" w14:textId="77777777">
        <w:trPr>
          <w:trHeight w:val="250"/>
        </w:trPr>
        <w:tc>
          <w:tcPr>
            <w:tcW w:w="1296" w:type="dxa"/>
            <w:tcBorders>
              <w:top w:val="single" w:sz="6" w:space="0" w:color="auto"/>
              <w:left w:val="single" w:sz="12" w:space="0" w:color="auto"/>
              <w:bottom w:val="single" w:sz="6" w:space="0" w:color="auto"/>
              <w:right w:val="single" w:sz="6" w:space="0" w:color="auto"/>
            </w:tcBorders>
          </w:tcPr>
          <w:p w14:paraId="39C5F0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шоссе</w:t>
            </w:r>
          </w:p>
        </w:tc>
        <w:tc>
          <w:tcPr>
            <w:tcW w:w="778" w:type="dxa"/>
            <w:tcBorders>
              <w:top w:val="single" w:sz="6" w:space="0" w:color="auto"/>
              <w:left w:val="single" w:sz="6" w:space="0" w:color="auto"/>
              <w:bottom w:val="single" w:sz="6" w:space="0" w:color="auto"/>
              <w:right w:val="single" w:sz="6" w:space="0" w:color="auto"/>
            </w:tcBorders>
          </w:tcPr>
          <w:p w14:paraId="79B972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1190" w:type="dxa"/>
            <w:tcBorders>
              <w:top w:val="single" w:sz="6" w:space="0" w:color="auto"/>
              <w:left w:val="single" w:sz="6" w:space="0" w:color="auto"/>
              <w:bottom w:val="single" w:sz="6" w:space="0" w:color="auto"/>
              <w:right w:val="single" w:sz="6" w:space="0" w:color="auto"/>
            </w:tcBorders>
          </w:tcPr>
          <w:p w14:paraId="5A7796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w:t>
            </w:r>
          </w:p>
        </w:tc>
        <w:tc>
          <w:tcPr>
            <w:tcW w:w="970" w:type="dxa"/>
            <w:tcBorders>
              <w:top w:val="single" w:sz="6" w:space="0" w:color="auto"/>
              <w:left w:val="single" w:sz="6" w:space="0" w:color="auto"/>
              <w:bottom w:val="single" w:sz="6" w:space="0" w:color="auto"/>
              <w:right w:val="single" w:sz="6" w:space="0" w:color="auto"/>
            </w:tcBorders>
          </w:tcPr>
          <w:p w14:paraId="38DFD6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1190" w:type="dxa"/>
            <w:tcBorders>
              <w:top w:val="single" w:sz="6" w:space="0" w:color="auto"/>
              <w:left w:val="single" w:sz="6" w:space="0" w:color="auto"/>
              <w:bottom w:val="single" w:sz="6" w:space="0" w:color="auto"/>
              <w:right w:val="single" w:sz="12" w:space="0" w:color="auto"/>
            </w:tcBorders>
          </w:tcPr>
          <w:p w14:paraId="7E2F7C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260</w:t>
            </w:r>
          </w:p>
        </w:tc>
      </w:tr>
      <w:tr w:rsidR="004D4663" w:rsidRPr="00070ADE" w14:paraId="0703CC51" w14:textId="77777777">
        <w:trPr>
          <w:trHeight w:val="192"/>
        </w:trPr>
        <w:tc>
          <w:tcPr>
            <w:tcW w:w="1296" w:type="dxa"/>
            <w:tcBorders>
              <w:top w:val="single" w:sz="6" w:space="0" w:color="auto"/>
              <w:left w:val="single" w:sz="12" w:space="0" w:color="auto"/>
              <w:bottom w:val="single" w:sz="6" w:space="0" w:color="auto"/>
              <w:right w:val="single" w:sz="6" w:space="0" w:color="auto"/>
            </w:tcBorders>
          </w:tcPr>
          <w:p w14:paraId="7E385B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проселок</w:t>
            </w:r>
          </w:p>
        </w:tc>
        <w:tc>
          <w:tcPr>
            <w:tcW w:w="778" w:type="dxa"/>
            <w:tcBorders>
              <w:top w:val="single" w:sz="6" w:space="0" w:color="auto"/>
              <w:left w:val="single" w:sz="6" w:space="0" w:color="auto"/>
              <w:bottom w:val="single" w:sz="6" w:space="0" w:color="auto"/>
              <w:right w:val="single" w:sz="6" w:space="0" w:color="auto"/>
            </w:tcBorders>
          </w:tcPr>
          <w:p w14:paraId="5320B3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90" w:type="dxa"/>
            <w:tcBorders>
              <w:top w:val="single" w:sz="6" w:space="0" w:color="auto"/>
              <w:left w:val="single" w:sz="6" w:space="0" w:color="auto"/>
              <w:bottom w:val="single" w:sz="6" w:space="0" w:color="auto"/>
              <w:right w:val="single" w:sz="6" w:space="0" w:color="auto"/>
            </w:tcBorders>
          </w:tcPr>
          <w:p w14:paraId="28A106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c>
          <w:tcPr>
            <w:tcW w:w="970" w:type="dxa"/>
            <w:tcBorders>
              <w:top w:val="single" w:sz="6" w:space="0" w:color="auto"/>
              <w:left w:val="single" w:sz="6" w:space="0" w:color="auto"/>
              <w:bottom w:val="single" w:sz="6" w:space="0" w:color="auto"/>
              <w:right w:val="single" w:sz="6" w:space="0" w:color="auto"/>
            </w:tcBorders>
          </w:tcPr>
          <w:p w14:paraId="449332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190" w:type="dxa"/>
            <w:tcBorders>
              <w:top w:val="single" w:sz="6" w:space="0" w:color="auto"/>
              <w:left w:val="single" w:sz="6" w:space="0" w:color="auto"/>
              <w:bottom w:val="single" w:sz="6" w:space="0" w:color="auto"/>
              <w:right w:val="single" w:sz="12" w:space="0" w:color="auto"/>
            </w:tcBorders>
          </w:tcPr>
          <w:p w14:paraId="5E1281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r>
      <w:tr w:rsidR="004D4663" w:rsidRPr="00070ADE" w14:paraId="270ED3E7" w14:textId="77777777">
        <w:trPr>
          <w:trHeight w:val="182"/>
        </w:trPr>
        <w:tc>
          <w:tcPr>
            <w:tcW w:w="5424" w:type="dxa"/>
            <w:gridSpan w:val="5"/>
            <w:tcBorders>
              <w:top w:val="single" w:sz="6" w:space="0" w:color="auto"/>
              <w:left w:val="single" w:sz="12" w:space="0" w:color="auto"/>
              <w:bottom w:val="single" w:sz="6" w:space="0" w:color="auto"/>
              <w:right w:val="single" w:sz="12" w:space="0" w:color="auto"/>
            </w:tcBorders>
          </w:tcPr>
          <w:p w14:paraId="37C1F6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Поеололеваемые препятствия</w:t>
            </w:r>
          </w:p>
        </w:tc>
      </w:tr>
      <w:tr w:rsidR="004D4663" w:rsidRPr="00070ADE" w14:paraId="20001BF9" w14:textId="77777777">
        <w:trPr>
          <w:trHeight w:val="240"/>
        </w:trPr>
        <w:tc>
          <w:tcPr>
            <w:tcW w:w="1296" w:type="dxa"/>
            <w:tcBorders>
              <w:top w:val="single" w:sz="6" w:space="0" w:color="auto"/>
              <w:left w:val="single" w:sz="12" w:space="0" w:color="auto"/>
              <w:bottom w:val="single" w:sz="6" w:space="0" w:color="auto"/>
              <w:right w:val="single" w:sz="6" w:space="0" w:color="auto"/>
            </w:tcBorders>
          </w:tcPr>
          <w:p w14:paraId="7EE402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 давление, кгс/см~</w:t>
            </w:r>
          </w:p>
        </w:tc>
        <w:tc>
          <w:tcPr>
            <w:tcW w:w="778" w:type="dxa"/>
            <w:tcBorders>
              <w:top w:val="single" w:sz="6" w:space="0" w:color="auto"/>
              <w:left w:val="single" w:sz="6" w:space="0" w:color="auto"/>
              <w:bottom w:val="single" w:sz="6" w:space="0" w:color="auto"/>
              <w:right w:val="single" w:sz="6" w:space="0" w:color="auto"/>
            </w:tcBorders>
          </w:tcPr>
          <w:p w14:paraId="0C3E3B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0,79</w:t>
            </w:r>
          </w:p>
        </w:tc>
        <w:tc>
          <w:tcPr>
            <w:tcW w:w="1190" w:type="dxa"/>
            <w:tcBorders>
              <w:top w:val="single" w:sz="6" w:space="0" w:color="auto"/>
              <w:left w:val="single" w:sz="6" w:space="0" w:color="auto"/>
              <w:bottom w:val="single" w:sz="6" w:space="0" w:color="auto"/>
              <w:right w:val="single" w:sz="6" w:space="0" w:color="auto"/>
            </w:tcBorders>
          </w:tcPr>
          <w:p w14:paraId="4A6B92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0,87</w:t>
            </w:r>
          </w:p>
        </w:tc>
        <w:tc>
          <w:tcPr>
            <w:tcW w:w="970" w:type="dxa"/>
            <w:tcBorders>
              <w:top w:val="single" w:sz="6" w:space="0" w:color="auto"/>
              <w:left w:val="single" w:sz="6" w:space="0" w:color="auto"/>
              <w:bottom w:val="single" w:sz="6" w:space="0" w:color="auto"/>
              <w:right w:val="single" w:sz="6" w:space="0" w:color="auto"/>
            </w:tcBorders>
          </w:tcPr>
          <w:p w14:paraId="1BE0F8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0,83</w:t>
            </w:r>
          </w:p>
        </w:tc>
        <w:tc>
          <w:tcPr>
            <w:tcW w:w="1190" w:type="dxa"/>
            <w:tcBorders>
              <w:top w:val="single" w:sz="6" w:space="0" w:color="auto"/>
              <w:left w:val="single" w:sz="6" w:space="0" w:color="auto"/>
              <w:bottom w:val="single" w:sz="6" w:space="0" w:color="auto"/>
              <w:right w:val="single" w:sz="12" w:space="0" w:color="auto"/>
            </w:tcBorders>
          </w:tcPr>
          <w:p w14:paraId="20B377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0,9</w:t>
            </w:r>
          </w:p>
        </w:tc>
      </w:tr>
      <w:tr w:rsidR="004D4663" w:rsidRPr="00070ADE" w14:paraId="128AF977"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3F3DEE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Подъем, град.</w:t>
            </w:r>
          </w:p>
        </w:tc>
        <w:tc>
          <w:tcPr>
            <w:tcW w:w="778" w:type="dxa"/>
            <w:tcBorders>
              <w:top w:val="single" w:sz="6" w:space="0" w:color="auto"/>
              <w:left w:val="single" w:sz="6" w:space="0" w:color="auto"/>
              <w:bottom w:val="single" w:sz="6" w:space="0" w:color="auto"/>
              <w:right w:val="single" w:sz="6" w:space="0" w:color="auto"/>
            </w:tcBorders>
          </w:tcPr>
          <w:p w14:paraId="45FF3C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tc>
        <w:tc>
          <w:tcPr>
            <w:tcW w:w="1190" w:type="dxa"/>
            <w:tcBorders>
              <w:top w:val="single" w:sz="6" w:space="0" w:color="auto"/>
              <w:left w:val="single" w:sz="6" w:space="0" w:color="auto"/>
              <w:bottom w:val="single" w:sz="6" w:space="0" w:color="auto"/>
              <w:right w:val="single" w:sz="6" w:space="0" w:color="auto"/>
            </w:tcBorders>
          </w:tcPr>
          <w:p w14:paraId="6BBC7C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tc>
        <w:tc>
          <w:tcPr>
            <w:tcW w:w="970" w:type="dxa"/>
            <w:tcBorders>
              <w:top w:val="single" w:sz="6" w:space="0" w:color="auto"/>
              <w:left w:val="single" w:sz="6" w:space="0" w:color="auto"/>
              <w:bottom w:val="single" w:sz="6" w:space="0" w:color="auto"/>
              <w:right w:val="single" w:sz="6" w:space="0" w:color="auto"/>
            </w:tcBorders>
          </w:tcPr>
          <w:p w14:paraId="390E9D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tc>
        <w:tc>
          <w:tcPr>
            <w:tcW w:w="1190" w:type="dxa"/>
            <w:tcBorders>
              <w:top w:val="single" w:sz="6" w:space="0" w:color="auto"/>
              <w:left w:val="single" w:sz="6" w:space="0" w:color="auto"/>
              <w:bottom w:val="single" w:sz="6" w:space="0" w:color="auto"/>
              <w:right w:val="single" w:sz="12" w:space="0" w:color="auto"/>
            </w:tcBorders>
          </w:tcPr>
          <w:p w14:paraId="00C4A2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w:t>
            </w:r>
          </w:p>
        </w:tc>
      </w:tr>
      <w:tr w:rsidR="004D4663" w:rsidRPr="00070ADE" w14:paraId="5C65FC33"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78910B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Спуск, град.</w:t>
            </w:r>
          </w:p>
        </w:tc>
        <w:tc>
          <w:tcPr>
            <w:tcW w:w="778" w:type="dxa"/>
            <w:tcBorders>
              <w:top w:val="single" w:sz="6" w:space="0" w:color="auto"/>
              <w:left w:val="single" w:sz="6" w:space="0" w:color="auto"/>
              <w:bottom w:val="single" w:sz="6" w:space="0" w:color="auto"/>
              <w:right w:val="single" w:sz="6" w:space="0" w:color="auto"/>
            </w:tcBorders>
          </w:tcPr>
          <w:p w14:paraId="6F618E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w:t>
            </w:r>
          </w:p>
        </w:tc>
        <w:tc>
          <w:tcPr>
            <w:tcW w:w="1190" w:type="dxa"/>
            <w:tcBorders>
              <w:top w:val="single" w:sz="6" w:space="0" w:color="auto"/>
              <w:left w:val="single" w:sz="6" w:space="0" w:color="auto"/>
              <w:bottom w:val="single" w:sz="6" w:space="0" w:color="auto"/>
              <w:right w:val="single" w:sz="6" w:space="0" w:color="auto"/>
            </w:tcBorders>
          </w:tcPr>
          <w:p w14:paraId="0CB43D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w:t>
            </w:r>
          </w:p>
        </w:tc>
        <w:tc>
          <w:tcPr>
            <w:tcW w:w="970" w:type="dxa"/>
            <w:tcBorders>
              <w:top w:val="single" w:sz="6" w:space="0" w:color="auto"/>
              <w:left w:val="single" w:sz="6" w:space="0" w:color="auto"/>
              <w:bottom w:val="single" w:sz="6" w:space="0" w:color="auto"/>
              <w:right w:val="single" w:sz="6" w:space="0" w:color="auto"/>
            </w:tcBorders>
          </w:tcPr>
          <w:p w14:paraId="79B04A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w:t>
            </w:r>
          </w:p>
        </w:tc>
        <w:tc>
          <w:tcPr>
            <w:tcW w:w="1190" w:type="dxa"/>
            <w:tcBorders>
              <w:top w:val="single" w:sz="6" w:space="0" w:color="auto"/>
              <w:left w:val="single" w:sz="6" w:space="0" w:color="auto"/>
              <w:bottom w:val="single" w:sz="6" w:space="0" w:color="auto"/>
              <w:right w:val="single" w:sz="12" w:space="0" w:color="auto"/>
            </w:tcBorders>
          </w:tcPr>
          <w:p w14:paraId="7B252E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w:t>
            </w:r>
          </w:p>
        </w:tc>
      </w:tr>
      <w:tr w:rsidR="004D4663" w:rsidRPr="00070ADE" w14:paraId="617615AD" w14:textId="77777777">
        <w:trPr>
          <w:trHeight w:val="163"/>
        </w:trPr>
        <w:tc>
          <w:tcPr>
            <w:tcW w:w="1296" w:type="dxa"/>
            <w:tcBorders>
              <w:top w:val="single" w:sz="6" w:space="0" w:color="auto"/>
              <w:left w:val="single" w:sz="12" w:space="0" w:color="auto"/>
              <w:bottom w:val="single" w:sz="6" w:space="0" w:color="auto"/>
              <w:right w:val="single" w:sz="6" w:space="0" w:color="auto"/>
            </w:tcBorders>
          </w:tcPr>
          <w:p w14:paraId="4F8914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Крен, град.</w:t>
            </w:r>
          </w:p>
        </w:tc>
        <w:tc>
          <w:tcPr>
            <w:tcW w:w="778" w:type="dxa"/>
            <w:tcBorders>
              <w:top w:val="single" w:sz="6" w:space="0" w:color="auto"/>
              <w:left w:val="single" w:sz="6" w:space="0" w:color="auto"/>
              <w:bottom w:val="single" w:sz="6" w:space="0" w:color="auto"/>
              <w:right w:val="single" w:sz="6" w:space="0" w:color="auto"/>
            </w:tcBorders>
          </w:tcPr>
          <w:p w14:paraId="58DAF8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1190" w:type="dxa"/>
            <w:tcBorders>
              <w:top w:val="single" w:sz="6" w:space="0" w:color="auto"/>
              <w:left w:val="single" w:sz="6" w:space="0" w:color="auto"/>
              <w:bottom w:val="single" w:sz="6" w:space="0" w:color="auto"/>
              <w:right w:val="single" w:sz="6" w:space="0" w:color="auto"/>
            </w:tcBorders>
          </w:tcPr>
          <w:p w14:paraId="6385B0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w:t>
            </w:r>
          </w:p>
        </w:tc>
        <w:tc>
          <w:tcPr>
            <w:tcW w:w="970" w:type="dxa"/>
            <w:tcBorders>
              <w:top w:val="single" w:sz="6" w:space="0" w:color="auto"/>
              <w:left w:val="single" w:sz="6" w:space="0" w:color="auto"/>
              <w:bottom w:val="single" w:sz="6" w:space="0" w:color="auto"/>
              <w:right w:val="single" w:sz="6" w:space="0" w:color="auto"/>
            </w:tcBorders>
          </w:tcPr>
          <w:p w14:paraId="1AC73A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1190" w:type="dxa"/>
            <w:tcBorders>
              <w:top w:val="single" w:sz="6" w:space="0" w:color="auto"/>
              <w:left w:val="single" w:sz="6" w:space="0" w:color="auto"/>
              <w:bottom w:val="single" w:sz="6" w:space="0" w:color="auto"/>
              <w:right w:val="single" w:sz="12" w:space="0" w:color="auto"/>
            </w:tcBorders>
          </w:tcPr>
          <w:p w14:paraId="6810A42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tc>
      </w:tr>
      <w:tr w:rsidR="004D4663" w:rsidRPr="00070ADE" w14:paraId="25035AD1" w14:textId="77777777">
        <w:trPr>
          <w:trHeight w:val="163"/>
        </w:trPr>
        <w:tc>
          <w:tcPr>
            <w:tcW w:w="1296" w:type="dxa"/>
            <w:tcBorders>
              <w:top w:val="single" w:sz="6" w:space="0" w:color="auto"/>
              <w:left w:val="single" w:sz="12" w:space="0" w:color="auto"/>
              <w:bottom w:val="single" w:sz="6" w:space="0" w:color="auto"/>
              <w:right w:val="single" w:sz="6" w:space="0" w:color="auto"/>
            </w:tcBorders>
          </w:tcPr>
          <w:p w14:paraId="0A2A7F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Ров, мм</w:t>
            </w:r>
          </w:p>
        </w:tc>
        <w:tc>
          <w:tcPr>
            <w:tcW w:w="778" w:type="dxa"/>
            <w:tcBorders>
              <w:top w:val="single" w:sz="6" w:space="0" w:color="auto"/>
              <w:left w:val="single" w:sz="6" w:space="0" w:color="auto"/>
              <w:bottom w:val="single" w:sz="6" w:space="0" w:color="auto"/>
              <w:right w:val="single" w:sz="6" w:space="0" w:color="auto"/>
            </w:tcBorders>
          </w:tcPr>
          <w:p w14:paraId="1B7632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2500</w:t>
            </w:r>
          </w:p>
        </w:tc>
        <w:tc>
          <w:tcPr>
            <w:tcW w:w="1190" w:type="dxa"/>
            <w:tcBorders>
              <w:top w:val="single" w:sz="6" w:space="0" w:color="auto"/>
              <w:left w:val="single" w:sz="6" w:space="0" w:color="auto"/>
              <w:bottom w:val="single" w:sz="6" w:space="0" w:color="auto"/>
              <w:right w:val="single" w:sz="6" w:space="0" w:color="auto"/>
            </w:tcBorders>
          </w:tcPr>
          <w:p w14:paraId="208E16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2500</w:t>
            </w:r>
          </w:p>
        </w:tc>
        <w:tc>
          <w:tcPr>
            <w:tcW w:w="970" w:type="dxa"/>
            <w:tcBorders>
              <w:top w:val="single" w:sz="6" w:space="0" w:color="auto"/>
              <w:left w:val="single" w:sz="6" w:space="0" w:color="auto"/>
              <w:bottom w:val="single" w:sz="6" w:space="0" w:color="auto"/>
              <w:right w:val="single" w:sz="6" w:space="0" w:color="auto"/>
            </w:tcBorders>
          </w:tcPr>
          <w:p w14:paraId="060FA3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2500</w:t>
            </w:r>
          </w:p>
        </w:tc>
        <w:tc>
          <w:tcPr>
            <w:tcW w:w="1190" w:type="dxa"/>
            <w:tcBorders>
              <w:top w:val="single" w:sz="6" w:space="0" w:color="auto"/>
              <w:left w:val="single" w:sz="6" w:space="0" w:color="auto"/>
              <w:bottom w:val="single" w:sz="6" w:space="0" w:color="auto"/>
              <w:right w:val="single" w:sz="12" w:space="0" w:color="auto"/>
            </w:tcBorders>
          </w:tcPr>
          <w:p w14:paraId="20F9AA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2200</w:t>
            </w:r>
          </w:p>
        </w:tc>
      </w:tr>
      <w:tr w:rsidR="004D4663" w:rsidRPr="00070ADE" w14:paraId="7DE3A7F2" w14:textId="77777777">
        <w:trPr>
          <w:trHeight w:val="173"/>
        </w:trPr>
        <w:tc>
          <w:tcPr>
            <w:tcW w:w="1296" w:type="dxa"/>
            <w:tcBorders>
              <w:top w:val="single" w:sz="6" w:space="0" w:color="auto"/>
              <w:left w:val="single" w:sz="12" w:space="0" w:color="auto"/>
              <w:bottom w:val="single" w:sz="6" w:space="0" w:color="auto"/>
              <w:right w:val="single" w:sz="6" w:space="0" w:color="auto"/>
            </w:tcBorders>
          </w:tcPr>
          <w:p w14:paraId="0CBFDA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Стенка, мм</w:t>
            </w:r>
          </w:p>
        </w:tc>
        <w:tc>
          <w:tcPr>
            <w:tcW w:w="778" w:type="dxa"/>
            <w:tcBorders>
              <w:top w:val="single" w:sz="6" w:space="0" w:color="auto"/>
              <w:left w:val="single" w:sz="6" w:space="0" w:color="auto"/>
              <w:bottom w:val="single" w:sz="6" w:space="0" w:color="auto"/>
              <w:right w:val="single" w:sz="6" w:space="0" w:color="auto"/>
            </w:tcBorders>
          </w:tcPr>
          <w:p w14:paraId="372180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w:t>
            </w:r>
          </w:p>
        </w:tc>
        <w:tc>
          <w:tcPr>
            <w:tcW w:w="1190" w:type="dxa"/>
            <w:tcBorders>
              <w:top w:val="single" w:sz="6" w:space="0" w:color="auto"/>
              <w:left w:val="single" w:sz="6" w:space="0" w:color="auto"/>
              <w:bottom w:val="single" w:sz="6" w:space="0" w:color="auto"/>
              <w:right w:val="single" w:sz="6" w:space="0" w:color="auto"/>
            </w:tcBorders>
          </w:tcPr>
          <w:p w14:paraId="1B3B85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w:t>
            </w:r>
          </w:p>
        </w:tc>
        <w:tc>
          <w:tcPr>
            <w:tcW w:w="970" w:type="dxa"/>
            <w:tcBorders>
              <w:top w:val="single" w:sz="6" w:space="0" w:color="auto"/>
              <w:left w:val="single" w:sz="6" w:space="0" w:color="auto"/>
              <w:bottom w:val="single" w:sz="6" w:space="0" w:color="auto"/>
              <w:right w:val="single" w:sz="6" w:space="0" w:color="auto"/>
            </w:tcBorders>
          </w:tcPr>
          <w:p w14:paraId="556AA6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w:t>
            </w:r>
          </w:p>
        </w:tc>
        <w:tc>
          <w:tcPr>
            <w:tcW w:w="1190" w:type="dxa"/>
            <w:tcBorders>
              <w:top w:val="single" w:sz="6" w:space="0" w:color="auto"/>
              <w:left w:val="single" w:sz="6" w:space="0" w:color="auto"/>
              <w:bottom w:val="single" w:sz="6" w:space="0" w:color="auto"/>
              <w:right w:val="single" w:sz="12" w:space="0" w:color="auto"/>
            </w:tcBorders>
          </w:tcPr>
          <w:p w14:paraId="7789D6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tc>
      </w:tr>
      <w:tr w:rsidR="004D4663" w:rsidRPr="00070ADE" w14:paraId="0EFC2A81" w14:textId="77777777">
        <w:trPr>
          <w:trHeight w:val="211"/>
        </w:trPr>
        <w:tc>
          <w:tcPr>
            <w:tcW w:w="1296" w:type="dxa"/>
            <w:tcBorders>
              <w:top w:val="single" w:sz="6" w:space="0" w:color="auto"/>
              <w:left w:val="single" w:sz="12" w:space="0" w:color="auto"/>
              <w:bottom w:val="single" w:sz="6" w:space="0" w:color="auto"/>
              <w:right w:val="single" w:sz="6" w:space="0" w:color="auto"/>
            </w:tcBorders>
          </w:tcPr>
          <w:p w14:paraId="21AEE9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Брод, мм</w:t>
            </w:r>
          </w:p>
        </w:tc>
        <w:tc>
          <w:tcPr>
            <w:tcW w:w="778" w:type="dxa"/>
            <w:tcBorders>
              <w:top w:val="single" w:sz="6" w:space="0" w:color="auto"/>
              <w:left w:val="single" w:sz="6" w:space="0" w:color="auto"/>
              <w:bottom w:val="single" w:sz="6" w:space="0" w:color="auto"/>
              <w:right w:val="single" w:sz="6" w:space="0" w:color="auto"/>
            </w:tcBorders>
          </w:tcPr>
          <w:p w14:paraId="4E322D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1300</w:t>
            </w:r>
          </w:p>
        </w:tc>
        <w:tc>
          <w:tcPr>
            <w:tcW w:w="1190" w:type="dxa"/>
            <w:tcBorders>
              <w:top w:val="single" w:sz="6" w:space="0" w:color="auto"/>
              <w:left w:val="single" w:sz="6" w:space="0" w:color="auto"/>
              <w:bottom w:val="single" w:sz="6" w:space="0" w:color="auto"/>
              <w:right w:val="single" w:sz="6" w:space="0" w:color="auto"/>
            </w:tcBorders>
          </w:tcPr>
          <w:p w14:paraId="761B3A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1300</w:t>
            </w:r>
          </w:p>
        </w:tc>
        <w:tc>
          <w:tcPr>
            <w:tcW w:w="970" w:type="dxa"/>
            <w:tcBorders>
              <w:top w:val="single" w:sz="6" w:space="0" w:color="auto"/>
              <w:left w:val="single" w:sz="6" w:space="0" w:color="auto"/>
              <w:bottom w:val="single" w:sz="6" w:space="0" w:color="auto"/>
              <w:right w:val="single" w:sz="6" w:space="0" w:color="auto"/>
            </w:tcBorders>
          </w:tcPr>
          <w:p w14:paraId="0D8EB0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1300</w:t>
            </w:r>
          </w:p>
        </w:tc>
        <w:tc>
          <w:tcPr>
            <w:tcW w:w="1190" w:type="dxa"/>
            <w:tcBorders>
              <w:top w:val="single" w:sz="6" w:space="0" w:color="auto"/>
              <w:left w:val="single" w:sz="6" w:space="0" w:color="auto"/>
              <w:bottom w:val="single" w:sz="6" w:space="0" w:color="auto"/>
              <w:right w:val="single" w:sz="12" w:space="0" w:color="auto"/>
            </w:tcBorders>
          </w:tcPr>
          <w:p w14:paraId="36239A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1300</w:t>
            </w:r>
          </w:p>
        </w:tc>
      </w:tr>
      <w:tr w:rsidR="004D4663" w:rsidRPr="00070ADE" w14:paraId="035163AF" w14:textId="77777777">
        <w:trPr>
          <w:trHeight w:val="221"/>
        </w:trPr>
        <w:tc>
          <w:tcPr>
            <w:tcW w:w="1296" w:type="dxa"/>
            <w:tcBorders>
              <w:top w:val="single" w:sz="6" w:space="0" w:color="auto"/>
              <w:left w:val="single" w:sz="12" w:space="0" w:color="auto"/>
              <w:bottom w:val="single" w:sz="12" w:space="0" w:color="auto"/>
              <w:right w:val="single" w:sz="6" w:space="0" w:color="auto"/>
            </w:tcBorders>
          </w:tcPr>
          <w:p w14:paraId="7AF762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 завода № 183</w:t>
            </w:r>
          </w:p>
        </w:tc>
        <w:tc>
          <w:tcPr>
            <w:tcW w:w="778" w:type="dxa"/>
            <w:tcBorders>
              <w:top w:val="single" w:sz="6" w:space="0" w:color="auto"/>
              <w:left w:val="single" w:sz="6" w:space="0" w:color="auto"/>
              <w:bottom w:val="single" w:sz="12" w:space="0" w:color="auto"/>
              <w:right w:val="single" w:sz="6" w:space="0" w:color="auto"/>
            </w:tcBorders>
          </w:tcPr>
          <w:p w14:paraId="7F8F13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12" w:space="0" w:color="auto"/>
              <w:right w:val="single" w:sz="6" w:space="0" w:color="auto"/>
            </w:tcBorders>
          </w:tcPr>
          <w:p w14:paraId="2EE72A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12" w:space="0" w:color="auto"/>
              <w:right w:val="single" w:sz="6" w:space="0" w:color="auto"/>
            </w:tcBorders>
          </w:tcPr>
          <w:p w14:paraId="7565E8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12" w:space="0" w:color="auto"/>
              <w:right w:val="single" w:sz="12" w:space="0" w:color="auto"/>
            </w:tcBorders>
          </w:tcPr>
          <w:p w14:paraId="61A147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469EB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Т-34 гаубичный. Проект завода № 9. Данные расчетные.</w:t>
      </w:r>
    </w:p>
    <w:p w14:paraId="4E7B2B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443E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 мая 1944 на СФ 46 шап до конца боевых действий на севере нанес 12 топмачтовых ударов и израсходовал 120 250-кг бомб. Потопил 20 плавединиц и повредил 5, т.е. на единицу 2.4 вылета и 4.8 бомб (4365).</w:t>
      </w:r>
    </w:p>
    <w:p w14:paraId="631554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74580E" w14:textId="77777777" w:rsidR="00564BE7" w:rsidRPr="00070ADE" w:rsidRDefault="00564B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на базе двух воздухоплаватель</w:t>
      </w:r>
      <w:r w:rsidRPr="00070ADE">
        <w:rPr>
          <w:rFonts w:ascii="Times New Roman" w:hAnsi="Times New Roman"/>
          <w:color w:val="000000" w:themeColor="text1"/>
          <w:sz w:val="16"/>
          <w:szCs w:val="16"/>
        </w:rPr>
        <w:softHyphen/>
        <w:t>ных отрядов 1-го ОВДААН сформировали 10-й ОВДААН, приданный 1-му Украинскому фрон</w:t>
      </w:r>
      <w:r w:rsidRPr="00070ADE">
        <w:rPr>
          <w:rFonts w:ascii="Times New Roman" w:hAnsi="Times New Roman"/>
          <w:color w:val="000000" w:themeColor="text1"/>
          <w:sz w:val="16"/>
          <w:szCs w:val="16"/>
        </w:rPr>
        <w:softHyphen/>
        <w:t>ту. Перед наступлением на львовском направ</w:t>
      </w:r>
      <w:r w:rsidRPr="00070ADE">
        <w:rPr>
          <w:rFonts w:ascii="Times New Roman" w:hAnsi="Times New Roman"/>
          <w:color w:val="000000" w:themeColor="text1"/>
          <w:sz w:val="16"/>
          <w:szCs w:val="16"/>
        </w:rPr>
        <w:softHyphen/>
        <w:t>лении один из его отрядов с артиллерийской батареей перебросили на второстепенное на</w:t>
      </w:r>
      <w:r w:rsidRPr="00070ADE">
        <w:rPr>
          <w:rFonts w:ascii="Times New Roman" w:hAnsi="Times New Roman"/>
          <w:color w:val="000000" w:themeColor="text1"/>
          <w:sz w:val="16"/>
          <w:szCs w:val="16"/>
        </w:rPr>
        <w:softHyphen/>
        <w:t>правление для демонстрации ложных подъёмов аэростата.</w:t>
      </w:r>
    </w:p>
    <w:p w14:paraId="0562F0A0" w14:textId="77777777" w:rsidR="00564BE7" w:rsidRPr="00070ADE" w:rsidRDefault="00564B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подготовки Львовско-Сандомир- ской операции воздушная разведка выполня</w:t>
      </w:r>
      <w:r w:rsidRPr="00070ADE">
        <w:rPr>
          <w:rFonts w:ascii="Times New Roman" w:hAnsi="Times New Roman"/>
          <w:color w:val="000000" w:themeColor="text1"/>
          <w:sz w:val="16"/>
          <w:szCs w:val="16"/>
        </w:rPr>
        <w:softHyphen/>
        <w:t>лась 118-м отдельным корректировочно-разве</w:t>
      </w:r>
      <w:r w:rsidRPr="00070ADE">
        <w:rPr>
          <w:rFonts w:ascii="Times New Roman" w:hAnsi="Times New Roman"/>
          <w:color w:val="000000" w:themeColor="text1"/>
          <w:sz w:val="16"/>
          <w:szCs w:val="16"/>
        </w:rPr>
        <w:softHyphen/>
        <w:t>дывательным авиационным полком. Подъёмы аэростатов производили в основном ночью. Когда требовалась разведка хорошо замаскиро</w:t>
      </w:r>
      <w:r w:rsidRPr="00070ADE">
        <w:rPr>
          <w:rFonts w:ascii="Times New Roman" w:hAnsi="Times New Roman"/>
          <w:color w:val="000000" w:themeColor="text1"/>
          <w:sz w:val="16"/>
          <w:szCs w:val="16"/>
        </w:rPr>
        <w:softHyphen/>
        <w:t>ванных целей на главных направлениях удара применялся уже описанный способ «уколов». За несколько дней до начала наступления отряды 10-го ОВДААН передали в расположение коман</w:t>
      </w:r>
      <w:r w:rsidRPr="00070ADE">
        <w:rPr>
          <w:rFonts w:ascii="Times New Roman" w:hAnsi="Times New Roman"/>
          <w:color w:val="000000" w:themeColor="text1"/>
          <w:sz w:val="16"/>
          <w:szCs w:val="16"/>
        </w:rPr>
        <w:softHyphen/>
        <w:t>дующего артиллерией 60-й армии, действовав</w:t>
      </w:r>
      <w:r w:rsidRPr="00070ADE">
        <w:rPr>
          <w:rFonts w:ascii="Times New Roman" w:hAnsi="Times New Roman"/>
          <w:color w:val="000000" w:themeColor="text1"/>
          <w:sz w:val="16"/>
          <w:szCs w:val="16"/>
        </w:rPr>
        <w:softHyphen/>
        <w:t>шей на направлении главного удара.</w:t>
      </w:r>
    </w:p>
    <w:p w14:paraId="3FB5CDF1" w14:textId="77777777" w:rsidR="00564BE7" w:rsidRPr="00070ADE" w:rsidRDefault="00564B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Утром 14 июля 1944 г. после мощной артилле</w:t>
      </w:r>
      <w:r w:rsidRPr="00070ADE">
        <w:rPr>
          <w:rFonts w:ascii="Times New Roman" w:hAnsi="Times New Roman"/>
          <w:color w:val="000000" w:themeColor="text1"/>
          <w:sz w:val="16"/>
          <w:szCs w:val="16"/>
        </w:rPr>
        <w:softHyphen/>
        <w:t>рийской подготовки и авиационной поддержки советские войска устремились вперёд. С первы</w:t>
      </w:r>
      <w:r w:rsidRPr="00070ADE">
        <w:rPr>
          <w:rFonts w:ascii="Times New Roman" w:hAnsi="Times New Roman"/>
          <w:color w:val="000000" w:themeColor="text1"/>
          <w:sz w:val="16"/>
          <w:szCs w:val="16"/>
        </w:rPr>
        <w:softHyphen/>
        <w:t>ми залпами «катюш» аэростаты поднялись в воз</w:t>
      </w:r>
      <w:r w:rsidRPr="00070ADE">
        <w:rPr>
          <w:rFonts w:ascii="Times New Roman" w:hAnsi="Times New Roman"/>
          <w:color w:val="000000" w:themeColor="text1"/>
          <w:sz w:val="16"/>
          <w:szCs w:val="16"/>
        </w:rPr>
        <w:softHyphen/>
        <w:t>дух. Началась корректировка огня по батареям врага, затруднявшим продвижение нашей пехо</w:t>
      </w:r>
      <w:r w:rsidRPr="00070ADE">
        <w:rPr>
          <w:rFonts w:ascii="Times New Roman" w:hAnsi="Times New Roman"/>
          <w:color w:val="000000" w:themeColor="text1"/>
          <w:sz w:val="16"/>
          <w:szCs w:val="16"/>
        </w:rPr>
        <w:softHyphen/>
        <w:t>ты. В районе Колтова советские войска прорвали вторую полосу обороны противника. Образовал</w:t>
      </w:r>
      <w:r w:rsidRPr="00070ADE">
        <w:rPr>
          <w:rFonts w:ascii="Times New Roman" w:hAnsi="Times New Roman"/>
          <w:color w:val="000000" w:themeColor="text1"/>
          <w:sz w:val="16"/>
          <w:szCs w:val="16"/>
        </w:rPr>
        <w:softHyphen/>
        <w:t>ся так называемый «колтовский коридор» длиной до 18 км и шириной 6 км. В эту узкую горловину бросили танковые армии, а для их поддержки — артиллерийские части вместе с приданными им отрядами ААН. Наращивая силы и развивая на</w:t>
      </w:r>
      <w:r w:rsidRPr="00070ADE">
        <w:rPr>
          <w:rFonts w:ascii="Times New Roman" w:hAnsi="Times New Roman"/>
          <w:color w:val="000000" w:themeColor="text1"/>
          <w:sz w:val="16"/>
          <w:szCs w:val="16"/>
        </w:rPr>
        <w:softHyphen/>
        <w:t>ступление, 18 июля советские войска ударами с севера и юга взяли в клещи в районе Золочев, Броды восемь дивизий врага. По окружённым войскам провели несколько успешных коррек</w:t>
      </w:r>
      <w:r w:rsidRPr="00070ADE">
        <w:rPr>
          <w:rFonts w:ascii="Times New Roman" w:hAnsi="Times New Roman"/>
          <w:color w:val="000000" w:themeColor="text1"/>
          <w:sz w:val="16"/>
          <w:szCs w:val="16"/>
        </w:rPr>
        <w:softHyphen/>
        <w:t>тировок артиллерийского огня. Во время одной из корректировок в районе с. Зозули (под Золо- чевым) мелкие группы противника пытались вырваться из окружения непосредственно через район подъёмной площадки аэростатов наблю</w:t>
      </w:r>
      <w:r w:rsidRPr="00070ADE">
        <w:rPr>
          <w:rFonts w:ascii="Times New Roman" w:hAnsi="Times New Roman"/>
          <w:color w:val="000000" w:themeColor="text1"/>
          <w:sz w:val="16"/>
          <w:szCs w:val="16"/>
        </w:rPr>
        <w:softHyphen/>
        <w:t>дения. Личный состав 1-го отряда (командир — капитан Н.П. Самойленко) вместе с другими ча</w:t>
      </w:r>
      <w:r w:rsidRPr="00070ADE">
        <w:rPr>
          <w:rFonts w:ascii="Times New Roman" w:hAnsi="Times New Roman"/>
          <w:color w:val="000000" w:themeColor="text1"/>
          <w:sz w:val="16"/>
          <w:szCs w:val="16"/>
        </w:rPr>
        <w:softHyphen/>
        <w:t>стями отразил атаки врага.</w:t>
      </w:r>
    </w:p>
    <w:p w14:paraId="3CAA69A6" w14:textId="77777777" w:rsidR="00564BE7" w:rsidRPr="00070ADE" w:rsidRDefault="00564B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Когда развернулись бои за Львов, воздухо</w:t>
      </w:r>
      <w:r w:rsidRPr="00070ADE">
        <w:rPr>
          <w:rFonts w:ascii="Times New Roman" w:hAnsi="Times New Roman"/>
          <w:color w:val="000000" w:themeColor="text1"/>
          <w:sz w:val="16"/>
          <w:szCs w:val="16"/>
        </w:rPr>
        <w:softHyphen/>
        <w:t>плаватели 10-го ОВДААН надёжно обеспечива</w:t>
      </w:r>
      <w:r w:rsidRPr="00070ADE">
        <w:rPr>
          <w:rFonts w:ascii="Times New Roman" w:hAnsi="Times New Roman"/>
          <w:color w:val="000000" w:themeColor="text1"/>
          <w:sz w:val="16"/>
          <w:szCs w:val="16"/>
        </w:rPr>
        <w:softHyphen/>
        <w:t>ли артиллеристов данными о противнике. Семь уничтоженных вражеских батарей — таков бое</w:t>
      </w:r>
      <w:r w:rsidRPr="00070ADE">
        <w:rPr>
          <w:rFonts w:ascii="Times New Roman" w:hAnsi="Times New Roman"/>
          <w:color w:val="000000" w:themeColor="text1"/>
          <w:sz w:val="16"/>
          <w:szCs w:val="16"/>
        </w:rPr>
        <w:softHyphen/>
        <w:t>вой счёт воздухоплавателей только за две недели июля 1944 г.</w:t>
      </w:r>
    </w:p>
    <w:p w14:paraId="70A3C9A3" w14:textId="77777777" w:rsidR="00564BE7" w:rsidRPr="00070ADE" w:rsidRDefault="00564BE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июля Львов был освобождён. 10-й ОВДА</w:t>
      </w:r>
      <w:r w:rsidRPr="00070ADE">
        <w:rPr>
          <w:rFonts w:ascii="Times New Roman" w:hAnsi="Times New Roman"/>
          <w:color w:val="000000" w:themeColor="text1"/>
          <w:sz w:val="16"/>
          <w:szCs w:val="16"/>
        </w:rPr>
        <w:softHyphen/>
        <w:t>АН (командир — майор В.А. Подъюров) был на</w:t>
      </w:r>
      <w:r w:rsidRPr="00070ADE">
        <w:rPr>
          <w:rFonts w:ascii="Times New Roman" w:hAnsi="Times New Roman"/>
          <w:color w:val="000000" w:themeColor="text1"/>
          <w:sz w:val="16"/>
          <w:szCs w:val="16"/>
        </w:rPr>
        <w:softHyphen/>
        <w:t>граждён орденом Красной Звезды и получил по</w:t>
      </w:r>
      <w:r w:rsidRPr="00070ADE">
        <w:rPr>
          <w:rFonts w:ascii="Times New Roman" w:hAnsi="Times New Roman"/>
          <w:color w:val="000000" w:themeColor="text1"/>
          <w:sz w:val="16"/>
          <w:szCs w:val="16"/>
        </w:rPr>
        <w:softHyphen/>
        <w:t>чётное наименование «Львовского» (20120).</w:t>
      </w:r>
    </w:p>
    <w:p w14:paraId="567B653B" w14:textId="77777777" w:rsidR="00564BE7" w:rsidRPr="00070ADE" w:rsidRDefault="00564BE7" w:rsidP="00B56F90">
      <w:pPr>
        <w:spacing w:after="0" w:line="240" w:lineRule="auto"/>
        <w:jc w:val="both"/>
        <w:rPr>
          <w:rFonts w:ascii="Times New Roman" w:hAnsi="Times New Roman"/>
          <w:color w:val="000000" w:themeColor="text1"/>
          <w:sz w:val="16"/>
          <w:szCs w:val="16"/>
        </w:rPr>
      </w:pPr>
    </w:p>
    <w:p w14:paraId="444CFE4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58C3AF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1E73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Бенеш подписал с СССР еще одно важное соглашение - о передаче гражданского управления на освобожденной чехословацкой территории чехословацкому правительству (3871).</w:t>
      </w:r>
    </w:p>
    <w:p w14:paraId="393201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62760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3255D9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852AB6" w14:textId="77777777" w:rsidR="00714AC7" w:rsidRPr="00070ADE" w:rsidRDefault="00714AC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года испытания Hs-117 "Schmetterling" показали значительные результаты, превосходящие даже достижения "Wasserfall". В момент сброса ускорителей скорость Hs-117 "Schmetterling" составляла 304 м/с, хотя потом понижалась до 210-270 м/с. Ракета поражала цели на высотах до 10,5 км и горизонтальной дальности до 32 км. Увеличение массы боеового заряда до 40 кг снизило показатели Hs-117 "Schmetterling" по высоте поражения до 5 км и дальности до 12 км. Испытания подтвердили готовность конструкции и, кроме того, выявили массу положительных характеристик. Ракета чрезвычайно легко управлялась и превосходила по маневренности любой самолет того времени. При этом время полета ЗУР составляло около 4-х минут, что было более чем достаточно. В виду неоспоримого превосходства проекта Hs-117 "Schmetterling" над всеми другими вариантами, уже в начале 1945 года Третий Рейх принял решение о развертывании массового производства этих ракет. К концу 1945 года планировалось иметь 600 батарей ракет для обороны воздушного пространства Германии на Западе. Однако этим планам не суждено было сбыться. Впоследствии Hs-117 "Schmetterling" под обозначением Р-105 испытывалась специалистами из НИИ ВВС РККА на полигоне Капустин Яр, где подтвердила свои высокие характеристики (15139).</w:t>
      </w:r>
    </w:p>
    <w:p w14:paraId="69C45897" w14:textId="77777777" w:rsidR="00714AC7" w:rsidRPr="00070ADE" w:rsidRDefault="00714AC7" w:rsidP="00B56F90">
      <w:pPr>
        <w:spacing w:after="0" w:line="240" w:lineRule="auto"/>
        <w:jc w:val="both"/>
        <w:rPr>
          <w:rFonts w:ascii="Times New Roman" w:hAnsi="Times New Roman"/>
          <w:color w:val="000000" w:themeColor="text1"/>
          <w:sz w:val="16"/>
          <w:szCs w:val="16"/>
        </w:rPr>
      </w:pPr>
    </w:p>
    <w:p w14:paraId="2C8775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1944-го в Травемюнде в Германии испытали Hs-129 c большого обтекателя для находящегося снизу орудия РаК 40 калибра 75 мм и испытания показали, что летать с таким большим наростом в общем можно. Заменив механический привод на пушке электрическим и установив мощный дульный тормоз, орудием, получившим обозначение ВК 7,5, оснастили небольшую серию Hs 129В-3/Wa. Штурмовики последней и самой грозной модификации получили в конце 1944-го две эскадрильи на "Восточном фронте, 12-кг снаряды калибра 75 мм были грозным оружием для любой бронетехники, но самолетов Hs 129B-3/ Wa выпустили немного, а полное превосходство советской авиации не позволяло немецким штурмовикам выполнять свои атаки безнаказанно (3039,31).</w:t>
      </w:r>
    </w:p>
    <w:p w14:paraId="63C0A2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664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в виде деревянного макета на стандартном Hs 129B-2 (зав.N.141258) в E-Stelle (испытательном отделе) в Травемюнде была испытана 75-мм пушка РаК 40, которую первоначально сконструировали как сухопутное противотанковое орудие. Она устанавливалась под фюзеляжем в большом обтекаемом контейнере. На задней части фюзеляжа и хвостового оперения этого подвергшегося интенсивным испытаниям самолета для аэродинамических исследования были закреплены кисточки из шерсти. Установка была намного лучше, чем такая же на Ju 88Р-1, поскольку отличительной особенностью последней было удаление выхлопных газов через оба борта установки, где они попадали в поток от воздушных винтов. В установке на Hs 129 газы удалялись назад, что являлось с технической стороны намного удовлетворительней. Во второй половине 1943 - первой половине 1944 на Hs 129 стали опробовать новое вооружение - 30-мм пушки МК 103 (та же МК 101 с сильно увеличенной дульной энергией), 37-мм ВК 3.7 и 50-мм ВК 5. Результаты этих испытаний привели к запуску в производство новой серии, обозначенной Hs 129В-2, которая была чисто пушечной со снятыми бомбодержателями. До появления этого подтипа, Hs 129B-1 были оснащены были оснащены 4-кг кумулятивными бомбами SD 4, способными пробить броню советских танков. Они использовались в боевых действиях вплоть до внедрения улучшенных Hs 129B-2. Были разработаны четыре подтипа Hs 129B-2, первый из которых Hs 129B-2.R1, кроме снятых бомбодержателей, имел два 13-мм пулемета MG 131, сменивших 7.9-мм MG 17. Hs 129B-2.R2 в дополнение к стандартному встроенному вооружению имел в подфюзеляжной гондоле 30-мм пушку МК 103. Hs 129B-2.R3 нес 37-мм противотанковую пушку ВК 3.7 под фюзеляжем, однако два MG 131 были сняты (3188).</w:t>
      </w:r>
    </w:p>
    <w:p w14:paraId="71A8B1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1A9E9C"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самолет Hs 129В-2 W.Nr.. 141258 был оборудован деревянным ма</w:t>
      </w:r>
      <w:r w:rsidRPr="00070ADE">
        <w:rPr>
          <w:rFonts w:ascii="Times New Roman" w:hAnsi="Times New Roman"/>
          <w:color w:val="000000" w:themeColor="text1"/>
          <w:sz w:val="16"/>
          <w:szCs w:val="16"/>
        </w:rPr>
        <w:softHyphen/>
        <w:t>кетом установки ВК 7,5. Машину направи</w:t>
      </w:r>
      <w:r w:rsidRPr="00070ADE">
        <w:rPr>
          <w:rFonts w:ascii="Times New Roman" w:hAnsi="Times New Roman"/>
          <w:color w:val="000000" w:themeColor="text1"/>
          <w:sz w:val="16"/>
          <w:szCs w:val="16"/>
        </w:rPr>
        <w:softHyphen/>
        <w:t>ли в испытательный центр E-Stelle в Тра</w:t>
      </w:r>
      <w:r w:rsidRPr="00070ADE">
        <w:rPr>
          <w:rFonts w:ascii="Times New Roman" w:hAnsi="Times New Roman"/>
          <w:color w:val="000000" w:themeColor="text1"/>
          <w:sz w:val="16"/>
          <w:szCs w:val="16"/>
        </w:rPr>
        <w:softHyphen/>
        <w:t>вемюнде, где исследовали влияние гро</w:t>
      </w:r>
      <w:r w:rsidRPr="00070ADE">
        <w:rPr>
          <w:rFonts w:ascii="Times New Roman" w:hAnsi="Times New Roman"/>
          <w:color w:val="000000" w:themeColor="text1"/>
          <w:sz w:val="16"/>
          <w:szCs w:val="16"/>
        </w:rPr>
        <w:softHyphen/>
        <w:t>моздкой установки на аэродинамику самолета. Заднюю часть фюзеляжа этого «хеншеля» окрасили в черный цвет и об</w:t>
      </w:r>
      <w:r w:rsidRPr="00070ADE">
        <w:rPr>
          <w:rFonts w:ascii="Times New Roman" w:hAnsi="Times New Roman"/>
          <w:color w:val="000000" w:themeColor="text1"/>
          <w:sz w:val="16"/>
          <w:szCs w:val="16"/>
        </w:rPr>
        <w:softHyphen/>
        <w:t>клеили узкими ленточками для визуализа</w:t>
      </w:r>
      <w:r w:rsidRPr="00070ADE">
        <w:rPr>
          <w:rFonts w:ascii="Times New Roman" w:hAnsi="Times New Roman"/>
          <w:color w:val="000000" w:themeColor="text1"/>
          <w:sz w:val="16"/>
          <w:szCs w:val="16"/>
        </w:rPr>
        <w:softHyphen/>
        <w:t>ции потока. Испытания на различных ре</w:t>
      </w:r>
      <w:r w:rsidRPr="00070ADE">
        <w:rPr>
          <w:rFonts w:ascii="Times New Roman" w:hAnsi="Times New Roman"/>
          <w:color w:val="000000" w:themeColor="text1"/>
          <w:sz w:val="16"/>
          <w:szCs w:val="16"/>
        </w:rPr>
        <w:softHyphen/>
        <w:t>жимах полета не выявили недопустимых ухудшений управляемости самолета, и было решено готовить серийное произ</w:t>
      </w:r>
      <w:r w:rsidRPr="00070ADE">
        <w:rPr>
          <w:rFonts w:ascii="Times New Roman" w:hAnsi="Times New Roman"/>
          <w:color w:val="000000" w:themeColor="text1"/>
          <w:sz w:val="16"/>
          <w:szCs w:val="16"/>
        </w:rPr>
        <w:softHyphen/>
        <w:t>водство Hs 129В, вооруженного орудием ВК 7,5. Такой вариант получил обозначе</w:t>
      </w:r>
      <w:r w:rsidRPr="00070ADE">
        <w:rPr>
          <w:rFonts w:ascii="Times New Roman" w:hAnsi="Times New Roman"/>
          <w:color w:val="000000" w:themeColor="text1"/>
          <w:sz w:val="16"/>
          <w:szCs w:val="16"/>
        </w:rPr>
        <w:softHyphen/>
        <w:t>ние Hs 129В-3, хотя в различных источни</w:t>
      </w:r>
      <w:r w:rsidRPr="00070ADE">
        <w:rPr>
          <w:rFonts w:ascii="Times New Roman" w:hAnsi="Times New Roman"/>
          <w:color w:val="000000" w:themeColor="text1"/>
          <w:sz w:val="16"/>
          <w:szCs w:val="16"/>
        </w:rPr>
        <w:softHyphen/>
        <w:t>ках встречаются индексы Hs 129B-3/Wa или Hs 129B-2/R4. В августе начались стрельбовые испытания ВК 7,5 на самоле</w:t>
      </w:r>
      <w:r w:rsidRPr="00070ADE">
        <w:rPr>
          <w:rFonts w:ascii="Times New Roman" w:hAnsi="Times New Roman"/>
          <w:color w:val="000000" w:themeColor="text1"/>
          <w:sz w:val="16"/>
          <w:szCs w:val="16"/>
        </w:rPr>
        <w:softHyphen/>
        <w:t>те W.Nr. 140494. В ходе них была показа</w:t>
      </w:r>
      <w:r w:rsidRPr="00070ADE">
        <w:rPr>
          <w:rFonts w:ascii="Times New Roman" w:hAnsi="Times New Roman"/>
          <w:color w:val="000000" w:themeColor="text1"/>
          <w:sz w:val="16"/>
          <w:szCs w:val="16"/>
        </w:rPr>
        <w:softHyphen/>
        <w:t>на высокая точность и хорошая кучность стрельбы, а обнаружившиеся незначи</w:t>
      </w:r>
      <w:r w:rsidRPr="00070ADE">
        <w:rPr>
          <w:rFonts w:ascii="Times New Roman" w:hAnsi="Times New Roman"/>
          <w:color w:val="000000" w:themeColor="text1"/>
          <w:sz w:val="16"/>
          <w:szCs w:val="16"/>
        </w:rPr>
        <w:softHyphen/>
        <w:t>тельные недостатки были легко устране</w:t>
      </w:r>
      <w:r w:rsidRPr="00070ADE">
        <w:rPr>
          <w:rFonts w:ascii="Times New Roman" w:hAnsi="Times New Roman"/>
          <w:color w:val="000000" w:themeColor="text1"/>
          <w:sz w:val="16"/>
          <w:szCs w:val="16"/>
        </w:rPr>
        <w:softHyphen/>
        <w:t>ны. Затем пушки ВК 7,5 получили первые три серийных самолета Hs 129В-3 (W.Nr. 162033-162035), прошедшие ускоренные испытания в Ekdo 26. В ходе испытаний стрельба производилась с пологого пики</w:t>
      </w:r>
      <w:r w:rsidRPr="00070ADE">
        <w:rPr>
          <w:rFonts w:ascii="Times New Roman" w:hAnsi="Times New Roman"/>
          <w:color w:val="000000" w:themeColor="text1"/>
          <w:sz w:val="16"/>
          <w:szCs w:val="16"/>
        </w:rPr>
        <w:softHyphen/>
        <w:t>рования. Поскольку скорость захода на цель у Hs 129В-3 была невелика, то начи</w:t>
      </w:r>
      <w:r w:rsidRPr="00070ADE">
        <w:rPr>
          <w:rFonts w:ascii="Times New Roman" w:hAnsi="Times New Roman"/>
          <w:color w:val="000000" w:themeColor="text1"/>
          <w:sz w:val="16"/>
          <w:szCs w:val="16"/>
        </w:rPr>
        <w:softHyphen/>
        <w:t>ная с дистанции 1000 м пилот успевал вы</w:t>
      </w:r>
      <w:r w:rsidRPr="00070ADE">
        <w:rPr>
          <w:rFonts w:ascii="Times New Roman" w:hAnsi="Times New Roman"/>
          <w:color w:val="000000" w:themeColor="text1"/>
          <w:sz w:val="16"/>
          <w:szCs w:val="16"/>
        </w:rPr>
        <w:softHyphen/>
        <w:t>пустить по одной цели четыре снаряда, причем последний - с расстояния всего 200 м. В общей сложности изготовили 25 таких самолетов. Таким образом, 75-мм орудие стало единственным образцом тя</w:t>
      </w:r>
      <w:r w:rsidRPr="00070ADE">
        <w:rPr>
          <w:rFonts w:ascii="Times New Roman" w:hAnsi="Times New Roman"/>
          <w:color w:val="000000" w:themeColor="text1"/>
          <w:sz w:val="16"/>
          <w:szCs w:val="16"/>
        </w:rPr>
        <w:softHyphen/>
        <w:t>желого противотанкового оружия для Hs 129В, доведенным до стадии серийного производства и боевого применения. Увы, горстка самолетов с нелепыми на вид длинными пушечными стволами никак не могла предотвратить неминуемый крах Третьего рейха... Тем не менее краткий опыт их фронтового применения оказался успешным - снаряд орудия ВК 7,5 произ</w:t>
      </w:r>
      <w:r w:rsidRPr="00070ADE">
        <w:rPr>
          <w:rFonts w:ascii="Times New Roman" w:hAnsi="Times New Roman"/>
          <w:color w:val="000000" w:themeColor="text1"/>
          <w:sz w:val="16"/>
          <w:szCs w:val="16"/>
        </w:rPr>
        <w:softHyphen/>
        <w:t>водил разрушения, сравнимые с эффек</w:t>
      </w:r>
      <w:r w:rsidRPr="00070ADE">
        <w:rPr>
          <w:rFonts w:ascii="Times New Roman" w:hAnsi="Times New Roman"/>
          <w:color w:val="000000" w:themeColor="text1"/>
          <w:sz w:val="16"/>
          <w:szCs w:val="16"/>
        </w:rPr>
        <w:softHyphen/>
        <w:t>том попадания 50-кг бомбы. Немецкие летчики прозвали Hs 129В-3 Buch- senoffner - «консервный нож».</w:t>
      </w:r>
    </w:p>
    <w:p w14:paraId="1943CF45"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Первые три Hs 129В-3 ещё сохранили прежние прицелы «Реви» C12/D. но на по</w:t>
      </w:r>
      <w:r w:rsidRPr="00070ADE">
        <w:rPr>
          <w:rFonts w:ascii="Times New Roman" w:hAnsi="Times New Roman"/>
          <w:color w:val="000000" w:themeColor="text1"/>
          <w:sz w:val="16"/>
          <w:szCs w:val="16"/>
        </w:rPr>
        <w:softHyphen/>
        <w:t>следующих машинах, вооруженных 75-мм пушками, установили более совершенные телескопические прицелы ZFR 3.</w:t>
      </w:r>
    </w:p>
    <w:p w14:paraId="597342A3"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1944 г. было произведено 225 само</w:t>
      </w:r>
      <w:r w:rsidRPr="00070ADE">
        <w:rPr>
          <w:rFonts w:ascii="Times New Roman" w:hAnsi="Times New Roman"/>
          <w:color w:val="000000" w:themeColor="text1"/>
          <w:sz w:val="16"/>
          <w:szCs w:val="16"/>
        </w:rPr>
        <w:softHyphen/>
        <w:t>летов Hs 129В-2 и Hs 129В-3, что довело общий объем производства штурмовиков «Хеншеля» до 859 единиц - капля в море на фоне десятков тысяч самолетов других типов, выпущенных в Германии в годы войны. При этом планеров Hs 129В изго</w:t>
      </w:r>
      <w:r w:rsidRPr="00070ADE">
        <w:rPr>
          <w:rFonts w:ascii="Times New Roman" w:hAnsi="Times New Roman"/>
          <w:color w:val="000000" w:themeColor="text1"/>
          <w:sz w:val="16"/>
          <w:szCs w:val="16"/>
        </w:rPr>
        <w:softHyphen/>
        <w:t>товили около 1200, но более четверти из них так и не было окончено из-за нехватки двигателей или же были уничтожены на заводах английскими и американскими бомбардировщиками. Подробная разбив</w:t>
      </w:r>
      <w:r w:rsidRPr="00070ADE">
        <w:rPr>
          <w:rFonts w:ascii="Times New Roman" w:hAnsi="Times New Roman"/>
          <w:color w:val="000000" w:themeColor="text1"/>
          <w:sz w:val="16"/>
          <w:szCs w:val="16"/>
        </w:rPr>
        <w:softHyphen/>
        <w:t>ка объема производства по месяцам при</w:t>
      </w:r>
      <w:r w:rsidRPr="00070ADE">
        <w:rPr>
          <w:rFonts w:ascii="Times New Roman" w:hAnsi="Times New Roman"/>
          <w:color w:val="000000" w:themeColor="text1"/>
          <w:sz w:val="16"/>
          <w:szCs w:val="16"/>
        </w:rPr>
        <w:softHyphen/>
        <w:t>ведена в таблице</w:t>
      </w:r>
    </w:p>
    <w:tbl>
      <w:tblPr>
        <w:tblOverlap w:val="never"/>
        <w:tblW w:w="0" w:type="auto"/>
        <w:tblLayout w:type="fixed"/>
        <w:tblCellMar>
          <w:left w:w="10" w:type="dxa"/>
          <w:right w:w="10" w:type="dxa"/>
        </w:tblCellMar>
        <w:tblLook w:val="04A0" w:firstRow="1" w:lastRow="0" w:firstColumn="1" w:lastColumn="0" w:noHBand="0" w:noVBand="1"/>
      </w:tblPr>
      <w:tblGrid>
        <w:gridCol w:w="600"/>
        <w:gridCol w:w="750"/>
        <w:gridCol w:w="760"/>
        <w:gridCol w:w="545"/>
        <w:gridCol w:w="755"/>
        <w:gridCol w:w="510"/>
        <w:gridCol w:w="610"/>
        <w:gridCol w:w="600"/>
        <w:gridCol w:w="710"/>
        <w:gridCol w:w="750"/>
        <w:gridCol w:w="765"/>
        <w:gridCol w:w="740"/>
        <w:gridCol w:w="840"/>
        <w:gridCol w:w="750"/>
      </w:tblGrid>
      <w:tr w:rsidR="00AF3688" w:rsidRPr="00070ADE" w14:paraId="7263AF66" w14:textId="77777777" w:rsidTr="004C5D62">
        <w:trPr>
          <w:trHeight w:val="240"/>
        </w:trPr>
        <w:tc>
          <w:tcPr>
            <w:tcW w:w="600" w:type="dxa"/>
            <w:tcBorders>
              <w:top w:val="single" w:sz="4" w:space="0" w:color="auto"/>
              <w:left w:val="single" w:sz="4" w:space="0" w:color="auto"/>
            </w:tcBorders>
          </w:tcPr>
          <w:p w14:paraId="35D04660" w14:textId="77777777" w:rsidR="00AF3688" w:rsidRPr="00070ADE" w:rsidRDefault="00AF3688" w:rsidP="00B56F90">
            <w:pPr>
              <w:spacing w:after="0" w:line="240" w:lineRule="auto"/>
              <w:jc w:val="both"/>
              <w:rPr>
                <w:rFonts w:ascii="Times New Roman" w:hAnsi="Times New Roman"/>
                <w:color w:val="000000" w:themeColor="text1"/>
                <w:sz w:val="16"/>
                <w:szCs w:val="16"/>
              </w:rPr>
            </w:pPr>
          </w:p>
        </w:tc>
        <w:tc>
          <w:tcPr>
            <w:tcW w:w="750" w:type="dxa"/>
            <w:tcBorders>
              <w:top w:val="single" w:sz="4" w:space="0" w:color="auto"/>
            </w:tcBorders>
            <w:vAlign w:val="bottom"/>
          </w:tcPr>
          <w:p w14:paraId="12289E94"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январь</w:t>
            </w:r>
          </w:p>
        </w:tc>
        <w:tc>
          <w:tcPr>
            <w:tcW w:w="760" w:type="dxa"/>
            <w:tcBorders>
              <w:top w:val="single" w:sz="4" w:space="0" w:color="auto"/>
            </w:tcBorders>
            <w:vAlign w:val="bottom"/>
          </w:tcPr>
          <w:p w14:paraId="3B58551B"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w:t>
            </w:r>
          </w:p>
        </w:tc>
        <w:tc>
          <w:tcPr>
            <w:tcW w:w="545" w:type="dxa"/>
            <w:tcBorders>
              <w:top w:val="single" w:sz="4" w:space="0" w:color="auto"/>
            </w:tcBorders>
            <w:vAlign w:val="bottom"/>
          </w:tcPr>
          <w:p w14:paraId="46C5AF45"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март</w:t>
            </w:r>
          </w:p>
        </w:tc>
        <w:tc>
          <w:tcPr>
            <w:tcW w:w="755" w:type="dxa"/>
            <w:tcBorders>
              <w:top w:val="single" w:sz="4" w:space="0" w:color="auto"/>
            </w:tcBorders>
            <w:vAlign w:val="bottom"/>
          </w:tcPr>
          <w:p w14:paraId="28E1C854"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апрель</w:t>
            </w:r>
          </w:p>
        </w:tc>
        <w:tc>
          <w:tcPr>
            <w:tcW w:w="510" w:type="dxa"/>
            <w:tcBorders>
              <w:top w:val="single" w:sz="4" w:space="0" w:color="auto"/>
            </w:tcBorders>
            <w:vAlign w:val="bottom"/>
          </w:tcPr>
          <w:p w14:paraId="78CF0552"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май</w:t>
            </w:r>
          </w:p>
        </w:tc>
        <w:tc>
          <w:tcPr>
            <w:tcW w:w="610" w:type="dxa"/>
            <w:tcBorders>
              <w:top w:val="single" w:sz="4" w:space="0" w:color="auto"/>
            </w:tcBorders>
            <w:vAlign w:val="bottom"/>
          </w:tcPr>
          <w:p w14:paraId="390C0D94"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июнь</w:t>
            </w:r>
          </w:p>
        </w:tc>
        <w:tc>
          <w:tcPr>
            <w:tcW w:w="600" w:type="dxa"/>
            <w:tcBorders>
              <w:top w:val="single" w:sz="4" w:space="0" w:color="auto"/>
            </w:tcBorders>
            <w:vAlign w:val="bottom"/>
          </w:tcPr>
          <w:p w14:paraId="1E71CB19"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июль</w:t>
            </w:r>
          </w:p>
        </w:tc>
        <w:tc>
          <w:tcPr>
            <w:tcW w:w="2225" w:type="dxa"/>
            <w:gridSpan w:val="3"/>
            <w:tcBorders>
              <w:top w:val="single" w:sz="4" w:space="0" w:color="auto"/>
            </w:tcBorders>
            <w:vAlign w:val="bottom"/>
          </w:tcPr>
          <w:p w14:paraId="0E8939E1"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август сентябрь октябрь</w:t>
            </w:r>
          </w:p>
        </w:tc>
        <w:tc>
          <w:tcPr>
            <w:tcW w:w="740" w:type="dxa"/>
            <w:tcBorders>
              <w:top w:val="single" w:sz="4" w:space="0" w:color="auto"/>
            </w:tcBorders>
            <w:vAlign w:val="bottom"/>
          </w:tcPr>
          <w:p w14:paraId="417E1E44"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ноябрь</w:t>
            </w:r>
          </w:p>
        </w:tc>
        <w:tc>
          <w:tcPr>
            <w:tcW w:w="840" w:type="dxa"/>
            <w:tcBorders>
              <w:top w:val="single" w:sz="4" w:space="0" w:color="auto"/>
            </w:tcBorders>
            <w:vAlign w:val="bottom"/>
          </w:tcPr>
          <w:p w14:paraId="1E5BF304"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w:t>
            </w:r>
          </w:p>
        </w:tc>
        <w:tc>
          <w:tcPr>
            <w:tcW w:w="750" w:type="dxa"/>
            <w:tcBorders>
              <w:top w:val="single" w:sz="4" w:space="0" w:color="auto"/>
              <w:right w:val="single" w:sz="4" w:space="0" w:color="auto"/>
            </w:tcBorders>
            <w:vAlign w:val="bottom"/>
          </w:tcPr>
          <w:p w14:paraId="4886B1E6"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tc>
      </w:tr>
      <w:tr w:rsidR="00AF3688" w:rsidRPr="00070ADE" w14:paraId="2A1BCAF7" w14:textId="77777777" w:rsidTr="004C5D62">
        <w:trPr>
          <w:trHeight w:val="195"/>
        </w:trPr>
        <w:tc>
          <w:tcPr>
            <w:tcW w:w="600" w:type="dxa"/>
            <w:tcBorders>
              <w:top w:val="single" w:sz="4" w:space="0" w:color="auto"/>
              <w:left w:val="single" w:sz="4" w:space="0" w:color="auto"/>
            </w:tcBorders>
            <w:vAlign w:val="center"/>
          </w:tcPr>
          <w:p w14:paraId="754CDD01"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1941</w:t>
            </w:r>
          </w:p>
        </w:tc>
        <w:tc>
          <w:tcPr>
            <w:tcW w:w="750" w:type="dxa"/>
            <w:tcBorders>
              <w:top w:val="single" w:sz="4" w:space="0" w:color="auto"/>
            </w:tcBorders>
            <w:vAlign w:val="center"/>
          </w:tcPr>
          <w:p w14:paraId="20C7606F"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60" w:type="dxa"/>
            <w:tcBorders>
              <w:top w:val="single" w:sz="4" w:space="0" w:color="auto"/>
            </w:tcBorders>
            <w:vAlign w:val="center"/>
          </w:tcPr>
          <w:p w14:paraId="1BCB398D"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545" w:type="dxa"/>
            <w:tcBorders>
              <w:top w:val="single" w:sz="4" w:space="0" w:color="auto"/>
            </w:tcBorders>
            <w:vAlign w:val="center"/>
          </w:tcPr>
          <w:p w14:paraId="5E6B84AD"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5" w:type="dxa"/>
            <w:tcBorders>
              <w:top w:val="single" w:sz="4" w:space="0" w:color="auto"/>
            </w:tcBorders>
          </w:tcPr>
          <w:p w14:paraId="5DCDD25D" w14:textId="77777777" w:rsidR="00AF3688" w:rsidRPr="00070ADE" w:rsidRDefault="00AF3688" w:rsidP="00B56F90">
            <w:pPr>
              <w:spacing w:after="0" w:line="240" w:lineRule="auto"/>
              <w:jc w:val="both"/>
              <w:rPr>
                <w:rFonts w:ascii="Times New Roman" w:hAnsi="Times New Roman"/>
                <w:color w:val="000000" w:themeColor="text1"/>
                <w:sz w:val="16"/>
                <w:szCs w:val="16"/>
              </w:rPr>
            </w:pPr>
          </w:p>
        </w:tc>
        <w:tc>
          <w:tcPr>
            <w:tcW w:w="510" w:type="dxa"/>
            <w:tcBorders>
              <w:top w:val="single" w:sz="4" w:space="0" w:color="auto"/>
            </w:tcBorders>
          </w:tcPr>
          <w:p w14:paraId="3C0C1ABE" w14:textId="77777777" w:rsidR="00AF3688" w:rsidRPr="00070ADE" w:rsidRDefault="00AF3688" w:rsidP="00B56F90">
            <w:pPr>
              <w:spacing w:after="0" w:line="240" w:lineRule="auto"/>
              <w:jc w:val="both"/>
              <w:rPr>
                <w:rFonts w:ascii="Times New Roman" w:hAnsi="Times New Roman"/>
                <w:color w:val="000000" w:themeColor="text1"/>
                <w:sz w:val="16"/>
                <w:szCs w:val="16"/>
              </w:rPr>
            </w:pPr>
          </w:p>
        </w:tc>
        <w:tc>
          <w:tcPr>
            <w:tcW w:w="610" w:type="dxa"/>
            <w:tcBorders>
              <w:top w:val="single" w:sz="4" w:space="0" w:color="auto"/>
            </w:tcBorders>
            <w:vAlign w:val="center"/>
          </w:tcPr>
          <w:p w14:paraId="376AC683"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600" w:type="dxa"/>
            <w:tcBorders>
              <w:top w:val="single" w:sz="4" w:space="0" w:color="auto"/>
            </w:tcBorders>
            <w:vAlign w:val="center"/>
          </w:tcPr>
          <w:p w14:paraId="164E611D"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10" w:type="dxa"/>
            <w:tcBorders>
              <w:top w:val="single" w:sz="4" w:space="0" w:color="auto"/>
            </w:tcBorders>
            <w:vAlign w:val="center"/>
          </w:tcPr>
          <w:p w14:paraId="57F060FD"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Borders>
              <w:top w:val="single" w:sz="4" w:space="0" w:color="auto"/>
            </w:tcBorders>
            <w:vAlign w:val="center"/>
          </w:tcPr>
          <w:p w14:paraId="3BC5A061"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65" w:type="dxa"/>
            <w:tcBorders>
              <w:top w:val="single" w:sz="4" w:space="0" w:color="auto"/>
            </w:tcBorders>
            <w:vAlign w:val="center"/>
          </w:tcPr>
          <w:p w14:paraId="27A6743E"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40" w:type="dxa"/>
            <w:tcBorders>
              <w:top w:val="single" w:sz="4" w:space="0" w:color="auto"/>
            </w:tcBorders>
            <w:vAlign w:val="center"/>
          </w:tcPr>
          <w:p w14:paraId="37C6418B"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40" w:type="dxa"/>
            <w:tcBorders>
              <w:top w:val="single" w:sz="4" w:space="0" w:color="auto"/>
            </w:tcBorders>
            <w:vAlign w:val="center"/>
          </w:tcPr>
          <w:p w14:paraId="4BCD553A"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750" w:type="dxa"/>
            <w:tcBorders>
              <w:top w:val="single" w:sz="4" w:space="0" w:color="auto"/>
              <w:right w:val="single" w:sz="4" w:space="0" w:color="auto"/>
            </w:tcBorders>
            <w:vAlign w:val="center"/>
          </w:tcPr>
          <w:p w14:paraId="1F4B62D8"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r>
      <w:tr w:rsidR="00AF3688" w:rsidRPr="00070ADE" w14:paraId="456B64FC" w14:textId="77777777" w:rsidTr="004C5D62">
        <w:trPr>
          <w:trHeight w:val="185"/>
        </w:trPr>
        <w:tc>
          <w:tcPr>
            <w:tcW w:w="600" w:type="dxa"/>
            <w:tcBorders>
              <w:left w:val="single" w:sz="4" w:space="0" w:color="auto"/>
            </w:tcBorders>
          </w:tcPr>
          <w:p w14:paraId="07463F0C"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1942</w:t>
            </w:r>
          </w:p>
        </w:tc>
        <w:tc>
          <w:tcPr>
            <w:tcW w:w="750" w:type="dxa"/>
          </w:tcPr>
          <w:p w14:paraId="2CED769E"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760" w:type="dxa"/>
          </w:tcPr>
          <w:p w14:paraId="2CEC5B46"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545" w:type="dxa"/>
          </w:tcPr>
          <w:p w14:paraId="02765809"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755" w:type="dxa"/>
          </w:tcPr>
          <w:p w14:paraId="111C0F50"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w:t>
            </w:r>
          </w:p>
        </w:tc>
        <w:tc>
          <w:tcPr>
            <w:tcW w:w="510" w:type="dxa"/>
          </w:tcPr>
          <w:p w14:paraId="7C8432D3"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w:t>
            </w:r>
          </w:p>
        </w:tc>
        <w:tc>
          <w:tcPr>
            <w:tcW w:w="610" w:type="dxa"/>
          </w:tcPr>
          <w:p w14:paraId="769EB36C"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w:t>
            </w:r>
          </w:p>
        </w:tc>
        <w:tc>
          <w:tcPr>
            <w:tcW w:w="600" w:type="dxa"/>
          </w:tcPr>
          <w:p w14:paraId="4156304B"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710" w:type="dxa"/>
          </w:tcPr>
          <w:p w14:paraId="2287830B"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tc>
        <w:tc>
          <w:tcPr>
            <w:tcW w:w="750" w:type="dxa"/>
          </w:tcPr>
          <w:p w14:paraId="43BAEFA6"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c>
          <w:tcPr>
            <w:tcW w:w="765" w:type="dxa"/>
          </w:tcPr>
          <w:p w14:paraId="7588850C"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w:t>
            </w:r>
          </w:p>
        </w:tc>
        <w:tc>
          <w:tcPr>
            <w:tcW w:w="740" w:type="dxa"/>
          </w:tcPr>
          <w:p w14:paraId="11652415"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tc>
        <w:tc>
          <w:tcPr>
            <w:tcW w:w="840" w:type="dxa"/>
          </w:tcPr>
          <w:p w14:paraId="702603E1"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tc>
        <w:tc>
          <w:tcPr>
            <w:tcW w:w="750" w:type="dxa"/>
            <w:tcBorders>
              <w:right w:val="single" w:sz="4" w:space="0" w:color="auto"/>
            </w:tcBorders>
          </w:tcPr>
          <w:p w14:paraId="7D6FCF29"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219</w:t>
            </w:r>
          </w:p>
        </w:tc>
      </w:tr>
      <w:tr w:rsidR="00AF3688" w:rsidRPr="00070ADE" w14:paraId="48489A93" w14:textId="77777777" w:rsidTr="004C5D62">
        <w:trPr>
          <w:trHeight w:val="175"/>
        </w:trPr>
        <w:tc>
          <w:tcPr>
            <w:tcW w:w="600" w:type="dxa"/>
            <w:tcBorders>
              <w:left w:val="single" w:sz="4" w:space="0" w:color="auto"/>
            </w:tcBorders>
          </w:tcPr>
          <w:p w14:paraId="440DF296"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1941</w:t>
            </w:r>
          </w:p>
        </w:tc>
        <w:tc>
          <w:tcPr>
            <w:tcW w:w="750" w:type="dxa"/>
          </w:tcPr>
          <w:p w14:paraId="66203291"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tc>
        <w:tc>
          <w:tcPr>
            <w:tcW w:w="760" w:type="dxa"/>
          </w:tcPr>
          <w:p w14:paraId="7C40C8DA"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w:t>
            </w:r>
          </w:p>
        </w:tc>
        <w:tc>
          <w:tcPr>
            <w:tcW w:w="545" w:type="dxa"/>
          </w:tcPr>
          <w:p w14:paraId="5C664DC7"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tc>
        <w:tc>
          <w:tcPr>
            <w:tcW w:w="755" w:type="dxa"/>
          </w:tcPr>
          <w:p w14:paraId="5BC2AB6D"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w:t>
            </w:r>
          </w:p>
        </w:tc>
        <w:tc>
          <w:tcPr>
            <w:tcW w:w="510" w:type="dxa"/>
          </w:tcPr>
          <w:p w14:paraId="56375029"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w:t>
            </w:r>
          </w:p>
        </w:tc>
        <w:tc>
          <w:tcPr>
            <w:tcW w:w="610" w:type="dxa"/>
          </w:tcPr>
          <w:p w14:paraId="230B0D63"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c>
          <w:tcPr>
            <w:tcW w:w="600" w:type="dxa"/>
          </w:tcPr>
          <w:p w14:paraId="7A0D564B"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c>
          <w:tcPr>
            <w:tcW w:w="710" w:type="dxa"/>
          </w:tcPr>
          <w:p w14:paraId="6CB47873"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c>
          <w:tcPr>
            <w:tcW w:w="750" w:type="dxa"/>
          </w:tcPr>
          <w:p w14:paraId="627DC1B2"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c>
          <w:tcPr>
            <w:tcW w:w="765" w:type="dxa"/>
          </w:tcPr>
          <w:p w14:paraId="0D7CB57D"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c>
          <w:tcPr>
            <w:tcW w:w="740" w:type="dxa"/>
          </w:tcPr>
          <w:p w14:paraId="044B3E80"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c>
          <w:tcPr>
            <w:tcW w:w="840" w:type="dxa"/>
          </w:tcPr>
          <w:p w14:paraId="55A96FEB"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tc>
        <w:tc>
          <w:tcPr>
            <w:tcW w:w="750" w:type="dxa"/>
            <w:tcBorders>
              <w:right w:val="single" w:sz="4" w:space="0" w:color="auto"/>
            </w:tcBorders>
          </w:tcPr>
          <w:p w14:paraId="603765C8"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414</w:t>
            </w:r>
          </w:p>
        </w:tc>
      </w:tr>
      <w:tr w:rsidR="00AF3688" w:rsidRPr="00070ADE" w14:paraId="22C4EBB9" w14:textId="77777777" w:rsidTr="004C5D62">
        <w:trPr>
          <w:trHeight w:val="235"/>
        </w:trPr>
        <w:tc>
          <w:tcPr>
            <w:tcW w:w="600" w:type="dxa"/>
            <w:tcBorders>
              <w:left w:val="single" w:sz="4" w:space="0" w:color="auto"/>
              <w:bottom w:val="single" w:sz="4" w:space="0" w:color="auto"/>
            </w:tcBorders>
          </w:tcPr>
          <w:p w14:paraId="245EC8FA"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w:t>
            </w:r>
          </w:p>
        </w:tc>
        <w:tc>
          <w:tcPr>
            <w:tcW w:w="750" w:type="dxa"/>
            <w:tcBorders>
              <w:bottom w:val="single" w:sz="4" w:space="0" w:color="auto"/>
            </w:tcBorders>
          </w:tcPr>
          <w:p w14:paraId="6350F4E9"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tc>
        <w:tc>
          <w:tcPr>
            <w:tcW w:w="760" w:type="dxa"/>
            <w:tcBorders>
              <w:bottom w:val="single" w:sz="4" w:space="0" w:color="auto"/>
            </w:tcBorders>
          </w:tcPr>
          <w:p w14:paraId="33D08389"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545" w:type="dxa"/>
            <w:tcBorders>
              <w:bottom w:val="single" w:sz="4" w:space="0" w:color="auto"/>
            </w:tcBorders>
          </w:tcPr>
          <w:p w14:paraId="6152E008"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tc>
        <w:tc>
          <w:tcPr>
            <w:tcW w:w="755" w:type="dxa"/>
            <w:tcBorders>
              <w:bottom w:val="single" w:sz="4" w:space="0" w:color="auto"/>
            </w:tcBorders>
          </w:tcPr>
          <w:p w14:paraId="436974C3"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tc>
        <w:tc>
          <w:tcPr>
            <w:tcW w:w="510" w:type="dxa"/>
            <w:tcBorders>
              <w:bottom w:val="single" w:sz="4" w:space="0" w:color="auto"/>
            </w:tcBorders>
          </w:tcPr>
          <w:p w14:paraId="3FB13F39"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tc>
        <w:tc>
          <w:tcPr>
            <w:tcW w:w="610" w:type="dxa"/>
            <w:tcBorders>
              <w:bottom w:val="single" w:sz="4" w:space="0" w:color="auto"/>
            </w:tcBorders>
          </w:tcPr>
          <w:p w14:paraId="0DD33425"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w:t>
            </w:r>
          </w:p>
        </w:tc>
        <w:tc>
          <w:tcPr>
            <w:tcW w:w="600" w:type="dxa"/>
            <w:tcBorders>
              <w:bottom w:val="single" w:sz="4" w:space="0" w:color="auto"/>
            </w:tcBorders>
          </w:tcPr>
          <w:p w14:paraId="7A841906"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w:t>
            </w:r>
          </w:p>
        </w:tc>
        <w:tc>
          <w:tcPr>
            <w:tcW w:w="710" w:type="dxa"/>
            <w:tcBorders>
              <w:bottom w:val="single" w:sz="4" w:space="0" w:color="auto"/>
            </w:tcBorders>
          </w:tcPr>
          <w:p w14:paraId="38C0F41D"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750" w:type="dxa"/>
            <w:tcBorders>
              <w:bottom w:val="single" w:sz="4" w:space="0" w:color="auto"/>
            </w:tcBorders>
          </w:tcPr>
          <w:p w14:paraId="5D61DCF7"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w:t>
            </w:r>
          </w:p>
        </w:tc>
        <w:tc>
          <w:tcPr>
            <w:tcW w:w="765" w:type="dxa"/>
            <w:tcBorders>
              <w:bottom w:val="single" w:sz="4" w:space="0" w:color="auto"/>
            </w:tcBorders>
          </w:tcPr>
          <w:p w14:paraId="0E66E72B"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40" w:type="dxa"/>
            <w:tcBorders>
              <w:bottom w:val="single" w:sz="4" w:space="0" w:color="auto"/>
            </w:tcBorders>
          </w:tcPr>
          <w:p w14:paraId="1CBF24A1"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40" w:type="dxa"/>
            <w:tcBorders>
              <w:bottom w:val="single" w:sz="4" w:space="0" w:color="auto"/>
            </w:tcBorders>
          </w:tcPr>
          <w:p w14:paraId="6BECFD51"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0" w:type="dxa"/>
            <w:tcBorders>
              <w:bottom w:val="single" w:sz="4" w:space="0" w:color="auto"/>
              <w:right w:val="single" w:sz="4" w:space="0" w:color="auto"/>
            </w:tcBorders>
          </w:tcPr>
          <w:p w14:paraId="7DBEFB8A"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225</w:t>
            </w:r>
          </w:p>
        </w:tc>
      </w:tr>
    </w:tbl>
    <w:p w14:paraId="7793E528"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(24189),</w:t>
      </w:r>
    </w:p>
    <w:p w14:paraId="7FCB1E46" w14:textId="77777777" w:rsidR="00AF3688" w:rsidRPr="00070ADE" w:rsidRDefault="00AF3688" w:rsidP="00B56F90">
      <w:pPr>
        <w:spacing w:after="0" w:line="240" w:lineRule="auto"/>
        <w:jc w:val="both"/>
        <w:rPr>
          <w:rFonts w:ascii="Times New Roman" w:hAnsi="Times New Roman"/>
          <w:color w:val="000000" w:themeColor="text1"/>
          <w:sz w:val="16"/>
          <w:szCs w:val="16"/>
        </w:rPr>
      </w:pPr>
    </w:p>
    <w:p w14:paraId="6FB1E5AA" w14:textId="77777777" w:rsidR="00822884" w:rsidRPr="00070ADE" w:rsidRDefault="00822884" w:rsidP="00B56F90">
      <w:pPr>
        <w:spacing w:after="0" w:line="240" w:lineRule="auto"/>
        <w:jc w:val="both"/>
        <w:rPr>
          <w:rFonts w:ascii="Times New Roman" w:hAnsi="Times New Roman"/>
          <w:color w:val="000000" w:themeColor="text1"/>
          <w:sz w:val="16"/>
          <w:szCs w:val="16"/>
          <w:shd w:val="clear" w:color="auto" w:fill="FFFFFF"/>
        </w:rPr>
      </w:pPr>
      <w:r w:rsidRPr="00070ADE">
        <w:rPr>
          <w:rFonts w:ascii="Times New Roman" w:hAnsi="Times New Roman"/>
          <w:color w:val="000000" w:themeColor="text1"/>
          <w:sz w:val="16"/>
          <w:szCs w:val="16"/>
          <w:shd w:val="clear" w:color="auto" w:fill="FFFFFF"/>
        </w:rPr>
        <w:t>В мае 1944 года Мессершмитт занялся разработкой оснащения перехватчика бомбодержателями. Был разработан вариант с установкой на фюзеляже Me-262 двух 250-кг или одной 500-кг бомбы. Но параллельно с проектом штурмовика-бомбардировщика конструкторы втайне от командования люфтваффе продолжали дорабатывать проект истребителя.</w:t>
      </w:r>
    </w:p>
    <w:p w14:paraId="16C495AF" w14:textId="77777777" w:rsidR="00822884" w:rsidRPr="00070ADE" w:rsidRDefault="00822884" w:rsidP="00B56F90">
      <w:pPr>
        <w:spacing w:after="0" w:line="240" w:lineRule="auto"/>
        <w:jc w:val="both"/>
        <w:rPr>
          <w:rFonts w:ascii="Times New Roman" w:hAnsi="Times New Roman"/>
          <w:color w:val="000000" w:themeColor="text1"/>
          <w:sz w:val="16"/>
          <w:szCs w:val="16"/>
          <w:shd w:val="clear" w:color="auto" w:fill="FFFFFF"/>
        </w:rPr>
      </w:pPr>
      <w:r w:rsidRPr="00070ADE">
        <w:rPr>
          <w:rFonts w:ascii="Times New Roman" w:hAnsi="Times New Roman"/>
          <w:color w:val="000000" w:themeColor="text1"/>
          <w:sz w:val="16"/>
          <w:szCs w:val="16"/>
          <w:shd w:val="clear" w:color="auto" w:fill="FFFFFF"/>
        </w:rPr>
        <w:t>В ходе инспекции, которая прошла в июле 1944 года, было установлено, что работы над проектом реактивного перехватчика не свернуты. Фюрер был в ярости, и итогом этого инцидента стал личный контроль Гитлера над проектом Me-262. Любое изменение в конструкции реактивного «мессершмитта» с этого момента мог утверждать только Гитлер.</w:t>
      </w:r>
    </w:p>
    <w:p w14:paraId="0EAF15D9" w14:textId="77777777" w:rsidR="00822884" w:rsidRPr="00070ADE" w:rsidRDefault="00822884" w:rsidP="00B56F90">
      <w:pPr>
        <w:spacing w:after="0" w:line="240" w:lineRule="auto"/>
        <w:jc w:val="both"/>
        <w:rPr>
          <w:rFonts w:ascii="Times New Roman" w:hAnsi="Times New Roman"/>
          <w:color w:val="000000" w:themeColor="text1"/>
          <w:sz w:val="16"/>
          <w:szCs w:val="16"/>
          <w:shd w:val="clear" w:color="auto" w:fill="FFFFFF"/>
        </w:rPr>
      </w:pPr>
      <w:r w:rsidRPr="00070ADE">
        <w:rPr>
          <w:rFonts w:ascii="Times New Roman" w:hAnsi="Times New Roman"/>
          <w:color w:val="000000" w:themeColor="text1"/>
          <w:sz w:val="16"/>
          <w:szCs w:val="16"/>
          <w:shd w:val="clear" w:color="auto" w:fill="FFFFFF"/>
        </w:rPr>
        <w:t>В июле 1944 года было создано подразделение Kommando Nowotny (Команда Новотны) под командованием немецкого аса Вальтера Новотны (258 сбитых самолетов противника). Оно оснащалось тридцатью Me-262, снабженными бомбодержателями.</w:t>
      </w:r>
    </w:p>
    <w:p w14:paraId="6DE5CCF1" w14:textId="77777777"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Перед «командой Новотны» была поставлена задача проверить штурмовик в боевых условиях. Новотны нарушил приказ и использовал реактивный самолет в качестве истребителя, в чем добился немалого успеха. После серии отчетов с фронта об удачном применении Me-262 в качестве перехватчика в ноябре Геринг решился отдать приказ о формировании истребительной части с реактивными «мессершмиттами». Также командующий люфтваффе сумел убедить фюрера пересмотреть свое мнение о новом самолете. В декабре 1944 года люфтваффе приняло на вооружение около трехсот истребителей Me-262, а проект производства штурмовиков был закрыт (19691).</w:t>
      </w:r>
    </w:p>
    <w:p w14:paraId="23F432B6" w14:textId="77777777" w:rsidR="00822884" w:rsidRPr="00070ADE" w:rsidRDefault="00822884" w:rsidP="00B56F90">
      <w:pPr>
        <w:spacing w:after="0" w:line="240" w:lineRule="auto"/>
        <w:jc w:val="both"/>
        <w:rPr>
          <w:rFonts w:ascii="Times New Roman" w:hAnsi="Times New Roman"/>
          <w:color w:val="000000" w:themeColor="text1"/>
          <w:sz w:val="16"/>
          <w:szCs w:val="16"/>
        </w:rPr>
      </w:pPr>
    </w:p>
    <w:p w14:paraId="6A4A3F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мая 1944 началось комплектование серийными Ме-163В-1а, оснащенных двумя 30-мм пушками МК 108 эскадрилий первой группы 400 истребительной эскадры. Всего построили до февраля 1945 237 Ме 163В (3973,21).</w:t>
      </w:r>
    </w:p>
    <w:p w14:paraId="3D6060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BF5A62"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г. Люфтваффе был принят первый М е.163В-1 и поступил в эскадрилью 1./JG400 (командир-ка</w:t>
      </w:r>
      <w:r w:rsidRPr="00070ADE">
        <w:rPr>
          <w:rFonts w:ascii="Times New Roman" w:hAnsi="Times New Roman"/>
          <w:color w:val="000000" w:themeColor="text1"/>
          <w:sz w:val="16"/>
          <w:szCs w:val="16"/>
        </w:rPr>
        <w:softHyphen/>
        <w:t>питан Роберт Олейник), созданную из персонала 16-й испытательной ко</w:t>
      </w:r>
      <w:r w:rsidRPr="00070ADE">
        <w:rPr>
          <w:rFonts w:ascii="Times New Roman" w:hAnsi="Times New Roman"/>
          <w:color w:val="000000" w:themeColor="text1"/>
          <w:sz w:val="16"/>
          <w:szCs w:val="16"/>
        </w:rPr>
        <w:softHyphen/>
        <w:t>манды и набранных летчиков. В кон</w:t>
      </w:r>
      <w:r w:rsidRPr="00070ADE">
        <w:rPr>
          <w:rFonts w:ascii="Times New Roman" w:hAnsi="Times New Roman"/>
          <w:color w:val="000000" w:themeColor="text1"/>
          <w:sz w:val="16"/>
          <w:szCs w:val="16"/>
        </w:rPr>
        <w:softHyphen/>
        <w:t>це июля эскадрилья была переведена на аэродром Брандис под Лейпцигом.</w:t>
      </w:r>
    </w:p>
    <w:p w14:paraId="2FFB07E4"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Преобладала следующая тактика применения ракетных перехватчиков: Ме.163В заходили на строй бомбарди</w:t>
      </w:r>
      <w:r w:rsidRPr="00070ADE">
        <w:rPr>
          <w:rFonts w:ascii="Times New Roman" w:hAnsi="Times New Roman"/>
          <w:color w:val="000000" w:themeColor="text1"/>
          <w:sz w:val="16"/>
          <w:szCs w:val="16"/>
        </w:rPr>
        <w:softHyphen/>
        <w:t>ровщиков при скорости 900-950 км/ч, вели огонь из МК 108 с эффективной дистанции ОКОЛО 600 М И ВЫХОДИЛИ ИЗ атаки на дистанции 200 м. У пилотов бьшо менее трех секунд, чтобы пора</w:t>
      </w:r>
      <w:r w:rsidRPr="00070ADE">
        <w:rPr>
          <w:rFonts w:ascii="Times New Roman" w:hAnsi="Times New Roman"/>
          <w:color w:val="000000" w:themeColor="text1"/>
          <w:sz w:val="16"/>
          <w:szCs w:val="16"/>
        </w:rPr>
        <w:softHyphen/>
        <w:t>зить цель из опушек, имевших неболь</w:t>
      </w:r>
      <w:r w:rsidRPr="00070ADE">
        <w:rPr>
          <w:rFonts w:ascii="Times New Roman" w:hAnsi="Times New Roman"/>
          <w:color w:val="000000" w:themeColor="text1"/>
          <w:sz w:val="16"/>
          <w:szCs w:val="16"/>
        </w:rPr>
        <w:softHyphen/>
        <w:t>шой темп стрельбы. Добиться результа</w:t>
      </w:r>
      <w:r w:rsidRPr="00070ADE">
        <w:rPr>
          <w:rFonts w:ascii="Times New Roman" w:hAnsi="Times New Roman"/>
          <w:color w:val="000000" w:themeColor="text1"/>
          <w:sz w:val="16"/>
          <w:szCs w:val="16"/>
        </w:rPr>
        <w:softHyphen/>
        <w:t>та позволяло лишь высокое мастерство.</w:t>
      </w:r>
    </w:p>
    <w:p w14:paraId="4C6A88B3" w14:textId="77777777" w:rsidR="00AF3688" w:rsidRPr="00070ADE" w:rsidRDefault="00AF368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июля Ме.163В из 1./JG400 впер</w:t>
      </w:r>
      <w:r w:rsidRPr="00070ADE">
        <w:rPr>
          <w:rFonts w:ascii="Times New Roman" w:hAnsi="Times New Roman"/>
          <w:color w:val="000000" w:themeColor="text1"/>
          <w:sz w:val="16"/>
          <w:szCs w:val="16"/>
        </w:rPr>
        <w:softHyphen/>
        <w:t>вые перехватили группу В-17. По отчету американцев, их атаковали пять само</w:t>
      </w:r>
      <w:r w:rsidRPr="00070ADE">
        <w:rPr>
          <w:rFonts w:ascii="Times New Roman" w:hAnsi="Times New Roman"/>
          <w:color w:val="000000" w:themeColor="text1"/>
          <w:sz w:val="16"/>
          <w:szCs w:val="16"/>
        </w:rPr>
        <w:softHyphen/>
        <w:t>летов, летевшие двумя группами, по два и по три, со скоростью 800-900 км/ч. Перехватчики сохраняли строй во вре</w:t>
      </w:r>
      <w:r w:rsidRPr="00070ADE">
        <w:rPr>
          <w:rFonts w:ascii="Times New Roman" w:hAnsi="Times New Roman"/>
          <w:color w:val="000000" w:themeColor="text1"/>
          <w:sz w:val="16"/>
          <w:szCs w:val="16"/>
        </w:rPr>
        <w:softHyphen/>
        <w:t>мя полета и во время атаки с пикирова</w:t>
      </w:r>
      <w:r w:rsidRPr="00070ADE">
        <w:rPr>
          <w:rFonts w:ascii="Times New Roman" w:hAnsi="Times New Roman"/>
          <w:color w:val="000000" w:themeColor="text1"/>
          <w:sz w:val="16"/>
          <w:szCs w:val="16"/>
        </w:rPr>
        <w:softHyphen/>
        <w:t>нием. Боестолкновение закончилось безрезультатно для обеих сторон (23388).</w:t>
      </w:r>
    </w:p>
    <w:p w14:paraId="2E0B10D2" w14:textId="77777777" w:rsidR="00AF3688" w:rsidRPr="00070ADE" w:rsidRDefault="00AF3688" w:rsidP="00B56F90">
      <w:pPr>
        <w:spacing w:after="0" w:line="240" w:lineRule="auto"/>
        <w:jc w:val="both"/>
        <w:rPr>
          <w:rFonts w:ascii="Times New Roman" w:hAnsi="Times New Roman"/>
          <w:color w:val="000000" w:themeColor="text1"/>
          <w:sz w:val="16"/>
          <w:szCs w:val="16"/>
        </w:rPr>
      </w:pPr>
    </w:p>
    <w:p w14:paraId="6DCBB234" w14:textId="77777777" w:rsidR="003A3DF1" w:rsidRPr="00070ADE" w:rsidRDefault="003A3D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немецкие Люфтваффе испытывает 50 ракет класса "воздух-воздух" Henschel Hs 117 Schmetterling (бабочка), некоторые из них сброшены с Heinkel He 111, чтобы проверить их возможности в качестве ракет класса "воздух-воздух". Более половины ракет выходят из строя, но серийное производство Hs 117 будет заказано в декабре (20373).</w:t>
      </w:r>
    </w:p>
    <w:p w14:paraId="3A806B0E" w14:textId="77777777" w:rsidR="003A3DF1" w:rsidRPr="00070ADE" w:rsidRDefault="003A3DF1" w:rsidP="00B56F90">
      <w:pPr>
        <w:spacing w:after="0" w:line="240" w:lineRule="auto"/>
        <w:jc w:val="both"/>
        <w:rPr>
          <w:rFonts w:ascii="Times New Roman" w:hAnsi="Times New Roman"/>
          <w:color w:val="000000" w:themeColor="text1"/>
          <w:sz w:val="16"/>
          <w:szCs w:val="16"/>
        </w:rPr>
      </w:pPr>
    </w:p>
    <w:p w14:paraId="6B97BCCB" w14:textId="77777777" w:rsidR="003A3DF1" w:rsidRPr="00070ADE" w:rsidRDefault="003A3D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союзники получили первый немецкий пилотируемый буксируемый автожир-змей Фокке-Achgelis 330, когда они захватывают подводную лодку U-852 нетронутым с Fa 330 уложенном на борту (20373).</w:t>
      </w:r>
    </w:p>
    <w:p w14:paraId="3732A73E" w14:textId="77777777" w:rsidR="003A3DF1" w:rsidRPr="00070ADE" w:rsidRDefault="003A3DF1" w:rsidP="00B56F90">
      <w:pPr>
        <w:spacing w:after="0" w:line="240" w:lineRule="auto"/>
        <w:jc w:val="both"/>
        <w:rPr>
          <w:rFonts w:ascii="Times New Roman" w:hAnsi="Times New Roman"/>
          <w:color w:val="000000" w:themeColor="text1"/>
          <w:sz w:val="16"/>
          <w:szCs w:val="16"/>
        </w:rPr>
      </w:pPr>
    </w:p>
    <w:p w14:paraId="31CB40B5" w14:textId="77777777" w:rsidR="002B0823" w:rsidRPr="00070ADE" w:rsidRDefault="002B0823"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мая 1944 года, готовя открытие Второго фронта, сотни бомбардировщиков, в основном типа «Галифакс» III, атаковали железнодорожные станции на путях снабжения гарнизонов «Западного Вала», системы оборонительных сооружений на берегу Ла-Манша и Северного моря. Одновременно «галифаксы» нанесли удары по позициям радаров и звукоулавливающих станций, чтобы лишить систему ПВО ее «глаз и ушей». Но когда перешли к бомбежке укрепрайонов, эффективность ночных ударов оказалась ничтожной, а жертвы среди французского мирного населения слишком велики, и после долгого перерыва пришлось вернуться к дневным операциям, которые проводились совместно с американцами под прикрытием истребителей Р-51 «Мустанг» и Р-47 «Тандерболт». Когда операция «Оверлорд» началась, Бомбардировочное Командование приступило и к действиям непосредственно в интересах сухопутных войск. Например, 30 июня 250 «ланкастеров» атаковали танки дивизий СС «Дас Райх» и «Хохенстауфен» в районе Кан — Вилле-Бокаж, где Союзники едва не потерпели поражение (22866).</w:t>
      </w:r>
    </w:p>
    <w:p w14:paraId="5D7E3E29" w14:textId="77777777" w:rsidR="002B0823" w:rsidRPr="00070ADE" w:rsidRDefault="002B0823" w:rsidP="00B56F90">
      <w:pPr>
        <w:shd w:val="clear" w:color="auto" w:fill="FFFFFF"/>
        <w:spacing w:after="0" w:line="240" w:lineRule="auto"/>
        <w:jc w:val="both"/>
        <w:rPr>
          <w:rFonts w:ascii="Times New Roman" w:hAnsi="Times New Roman"/>
          <w:color w:val="000000" w:themeColor="text1"/>
          <w:sz w:val="16"/>
          <w:szCs w:val="16"/>
        </w:rPr>
      </w:pPr>
    </w:p>
    <w:p w14:paraId="1379BDEA" w14:textId="77777777" w:rsidR="003A3DF1" w:rsidRPr="00070ADE" w:rsidRDefault="003A3DF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1944 американские самолеты провели четыре месяца интенсивных бомбардировок японских войск на атолле Мили, потеряв 26 самолетов (20373).</w:t>
      </w:r>
    </w:p>
    <w:p w14:paraId="40776398" w14:textId="77777777" w:rsidR="003A3DF1" w:rsidRPr="00070ADE" w:rsidRDefault="003A3DF1" w:rsidP="00B56F90">
      <w:pPr>
        <w:spacing w:after="0" w:line="240" w:lineRule="auto"/>
        <w:jc w:val="both"/>
        <w:rPr>
          <w:rFonts w:ascii="Times New Roman" w:hAnsi="Times New Roman"/>
          <w:color w:val="000000" w:themeColor="text1"/>
          <w:sz w:val="16"/>
          <w:szCs w:val="16"/>
        </w:rPr>
      </w:pPr>
    </w:p>
    <w:p w14:paraId="35651B3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2D157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0165D1" w14:textId="1D443F89" w:rsidR="009D7F3A" w:rsidRPr="00070ADE" w:rsidRDefault="009D7F3A" w:rsidP="00B56F90">
      <w:pPr>
        <w:pStyle w:val="ae"/>
        <w:spacing w:before="0" w:after="0"/>
        <w:jc w:val="both"/>
        <w:textAlignment w:val="baseline"/>
        <w:rPr>
          <w:color w:val="000000" w:themeColor="text1"/>
          <w:sz w:val="16"/>
          <w:szCs w:val="16"/>
          <w:bdr w:val="none" w:sz="0" w:space="0" w:color="auto" w:frame="1"/>
        </w:rPr>
      </w:pPr>
      <w:r w:rsidRPr="00070ADE">
        <w:rPr>
          <w:color w:val="000000" w:themeColor="text1"/>
          <w:sz w:val="16"/>
          <w:szCs w:val="16"/>
          <w:bdr w:val="none" w:sz="0" w:space="0" w:color="auto" w:frame="1"/>
        </w:rPr>
        <w:t>С мая 1944 г. по май 1945 г. в 3-й ВА моторы АМ-38ф наработали 40250 ч. В среднем</w:t>
      </w:r>
      <w:r w:rsidR="00B643A8" w:rsidRPr="00070ADE">
        <w:rPr>
          <w:color w:val="000000" w:themeColor="text1"/>
          <w:sz w:val="16"/>
          <w:szCs w:val="16"/>
          <w:bdr w:val="none" w:sz="0" w:space="0" w:color="auto" w:frame="1"/>
        </w:rPr>
        <w:t xml:space="preserve"> </w:t>
      </w:r>
      <w:r w:rsidRPr="00070ADE">
        <w:rPr>
          <w:color w:val="000000" w:themeColor="text1"/>
          <w:sz w:val="16"/>
          <w:szCs w:val="16"/>
          <w:bdr w:val="none" w:sz="0" w:space="0" w:color="auto" w:frame="1"/>
        </w:rPr>
        <w:t>ежемесячно действовало 350 моторов. За это же время было преждевременно снято по конструктивно-производственным дефектам 85 моторов (среднее время наработки 40 ч). В то же время установленный ресурс в 150 ч полностью выработали 105 моторов. Наработка на отказ моторов АМ-38ф в частях 5-й ВА в 1945 г. без учета моторов, поврежденных в бою и вышедших из строя по причине неграмотной эксплуатации, составила 90 ч.</w:t>
      </w:r>
    </w:p>
    <w:p w14:paraId="1DABD37A" w14:textId="7E306A36" w:rsidR="009D7F3A" w:rsidRPr="00070ADE" w:rsidRDefault="009D7F3A" w:rsidP="00B56F90">
      <w:pPr>
        <w:pStyle w:val="ae"/>
        <w:spacing w:before="0" w:after="0"/>
        <w:jc w:val="both"/>
        <w:textAlignment w:val="baseline"/>
        <w:rPr>
          <w:color w:val="000000" w:themeColor="text1"/>
          <w:sz w:val="16"/>
          <w:szCs w:val="16"/>
        </w:rPr>
      </w:pPr>
      <w:r w:rsidRPr="00070ADE">
        <w:rPr>
          <w:color w:val="000000" w:themeColor="text1"/>
          <w:sz w:val="16"/>
          <w:szCs w:val="16"/>
          <w:bdr w:val="none" w:sz="0" w:space="0" w:color="auto" w:frame="1"/>
        </w:rPr>
        <w:t>Несмотря на обширную номенклатуру дефектов, мотор АМ-38Ф, как показывает анализ</w:t>
      </w:r>
      <w:r w:rsidR="00B643A8" w:rsidRPr="00070ADE">
        <w:rPr>
          <w:color w:val="000000" w:themeColor="text1"/>
          <w:sz w:val="16"/>
          <w:szCs w:val="16"/>
          <w:bdr w:val="none" w:sz="0" w:space="0" w:color="auto" w:frame="1"/>
        </w:rPr>
        <w:t xml:space="preserve"> </w:t>
      </w:r>
      <w:r w:rsidRPr="00070ADE">
        <w:rPr>
          <w:color w:val="000000" w:themeColor="text1"/>
          <w:sz w:val="16"/>
          <w:szCs w:val="16"/>
          <w:bdr w:val="none" w:sz="0" w:space="0" w:color="auto" w:frame="1"/>
        </w:rPr>
        <w:t>документов инженерно-авиационной службы воздушных армий, по надежности занимал первое место среди остальных отечественных моторов, находящихся на снабжении ВВС КА.</w:t>
      </w:r>
      <w:r w:rsidR="00B643A8" w:rsidRPr="00070ADE">
        <w:rPr>
          <w:color w:val="000000" w:themeColor="text1"/>
          <w:sz w:val="16"/>
          <w:szCs w:val="16"/>
          <w:bdr w:val="none" w:sz="0" w:space="0" w:color="auto" w:frame="1"/>
        </w:rPr>
        <w:t xml:space="preserve"> </w:t>
      </w:r>
      <w:r w:rsidRPr="00070ADE">
        <w:rPr>
          <w:color w:val="000000" w:themeColor="text1"/>
          <w:sz w:val="16"/>
          <w:szCs w:val="16"/>
          <w:bdr w:val="none" w:sz="0" w:space="0" w:color="auto" w:frame="1"/>
        </w:rPr>
        <w:t>Действительно, например в 15-й ВА количество моторов АМ-38Ф, снятых в 1945 г. по выработке</w:t>
      </w:r>
      <w:r w:rsidR="00B643A8" w:rsidRPr="00070ADE">
        <w:rPr>
          <w:color w:val="000000" w:themeColor="text1"/>
          <w:sz w:val="16"/>
          <w:szCs w:val="16"/>
          <w:bdr w:val="none" w:sz="0" w:space="0" w:color="auto" w:frame="1"/>
        </w:rPr>
        <w:t xml:space="preserve"> </w:t>
      </w:r>
      <w:r w:rsidRPr="00070ADE">
        <w:rPr>
          <w:color w:val="000000" w:themeColor="text1"/>
          <w:sz w:val="16"/>
          <w:szCs w:val="16"/>
          <w:bdr w:val="none" w:sz="0" w:space="0" w:color="auto" w:frame="1"/>
        </w:rPr>
        <w:t>ресурса, увеличилось в 1,4 раза в сравнении с предыдущим годом, а количество снятых моторов до выработки ресурса, наоборот, уменьшилось в 5,5 раза. При этом наработка в часах на один отказ мотора АМ-38Ф возросла с 50,6 ч до 99 ч, что более чем вдвое было выше результата, показываемого любым другим отечественным мотором. Так, мотор М-105ПФ в 1944 г. нарабатывал 42,8 ч на один отказ, а в 1945 г. - 48,9 ч.</w:t>
      </w:r>
    </w:p>
    <w:p w14:paraId="63DCACE9" w14:textId="79B0540A" w:rsidR="009D7F3A" w:rsidRPr="00070ADE" w:rsidRDefault="009D7F3A" w:rsidP="00B56F90">
      <w:pPr>
        <w:pStyle w:val="ae"/>
        <w:shd w:val="clear" w:color="auto" w:fill="FBFCFC"/>
        <w:spacing w:before="0" w:after="0"/>
        <w:jc w:val="both"/>
        <w:textAlignment w:val="baseline"/>
        <w:rPr>
          <w:color w:val="000000" w:themeColor="text1"/>
          <w:sz w:val="16"/>
          <w:szCs w:val="16"/>
        </w:rPr>
      </w:pPr>
      <w:r w:rsidRPr="00070ADE">
        <w:rPr>
          <w:color w:val="000000" w:themeColor="text1"/>
          <w:sz w:val="16"/>
          <w:szCs w:val="16"/>
          <w:bdr w:val="none" w:sz="0" w:space="0" w:color="auto" w:frame="1"/>
        </w:rPr>
        <w:t>Если на каждые 100 моторов среднего парка свой ресурс полностью вырабатывали 11,5 моторов</w:t>
      </w:r>
      <w:r w:rsidR="00B643A8" w:rsidRPr="00070ADE">
        <w:rPr>
          <w:color w:val="000000" w:themeColor="text1"/>
          <w:sz w:val="16"/>
          <w:szCs w:val="16"/>
          <w:bdr w:val="none" w:sz="0" w:space="0" w:color="auto" w:frame="1"/>
        </w:rPr>
        <w:t xml:space="preserve"> </w:t>
      </w:r>
      <w:r w:rsidRPr="00070ADE">
        <w:rPr>
          <w:color w:val="000000" w:themeColor="text1"/>
          <w:sz w:val="16"/>
          <w:szCs w:val="16"/>
          <w:bdr w:val="none" w:sz="0" w:space="0" w:color="auto" w:frame="1"/>
        </w:rPr>
        <w:t>М-105ПФ, то АМ-38Ф - 16,5 моторов (20442).</w:t>
      </w:r>
    </w:p>
    <w:p w14:paraId="23E24C53" w14:textId="77777777" w:rsidR="009D7F3A" w:rsidRPr="00070ADE" w:rsidRDefault="009D7F3A" w:rsidP="00B56F90">
      <w:pPr>
        <w:spacing w:after="0" w:line="240" w:lineRule="auto"/>
        <w:jc w:val="both"/>
        <w:rPr>
          <w:rFonts w:ascii="Times New Roman" w:hAnsi="Times New Roman"/>
          <w:color w:val="000000" w:themeColor="text1"/>
          <w:sz w:val="16"/>
          <w:szCs w:val="16"/>
        </w:rPr>
      </w:pPr>
    </w:p>
    <w:p w14:paraId="34216E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мае-июле 1944 года на самолете Ил-6 установили опытные форсированные двигатели АЧ-30БФ, имевшие кроме обычного взлетного режима, на котором эти двигатели развивали мощность 1900 л.с., еще и так называемый боевой режим, на котором их мощность достигала 1500 л.с. на высоте 6000 м. Для повышения надежности работы АЧ-30БФ на этих режимах в двигателе осуществлялся двухфазный процесс смесеобразования. Первая фаза - впрыск в сжатый воздух, поступавший из нагнетателей турбокомпрессоров, обычного авиационного бензина, вторая - подача в образовавшуюся смесь порции дизельного топлива: тракторного керосина.</w:t>
      </w:r>
    </w:p>
    <w:p w14:paraId="01A630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Установка двигателей с проектной взлетной мощностью позволила произвести дооборудование Ил-6 бортовыми пушечными установками, усилить бронезащиту членов экипажа, находившихся в средней кабине. По результатам первых полетов в ЛИИ была изменена форма и уменьшена площадь руля высоты, а центровка самолета сдвинута назад с 23,4% до 26,4% САХ (9528).</w:t>
      </w:r>
    </w:p>
    <w:p w14:paraId="5F9ED1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D739EF" w14:textId="77777777" w:rsidR="009A4112" w:rsidRPr="00C94B78" w:rsidRDefault="009A411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мае-июле 1944 года на самолете Ил-6 установили опытные форсированные двигатели АЧ-30БФ, имевшие кроме обычного взлетного режима, на котором эти двигатели развивали мощность 1900 л.с, еще и так называемый боевой режим, на котором их мощность достигала 1500 л.с. на высоте 6000 м. Для повышения надежности работы АЧ-30БФ на этих режимах в двигателе осуществлялся двухфазный процесс смесеобразования. Первая фаза — впрыск в сжатый воздух, поступавший из нагнетателей турбокомпрессоров, обычного авиационного бензина, вторая — подача в образовавшуюся смесь порции дизельного топлива: тракторного керосина.</w:t>
      </w:r>
    </w:p>
    <w:p w14:paraId="02D67566" w14:textId="77777777" w:rsidR="009A4112" w:rsidRPr="00C94B78" w:rsidRDefault="009A411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Установка двигателей с проектной взлетной мощностью позволила произвести дооборудование Ил-6 бортовыми пушечными установками, усилить бронезащиту членов экипажа, находившихся в средней кабине. По результатам первых полетов в ЛИИ была изменена форма и уменьшена площадь руля высоты, а центровка самолета сдвинута назад с 23,4% до 26,4% САХ.</w:t>
      </w:r>
    </w:p>
    <w:p w14:paraId="786268EC" w14:textId="77777777" w:rsidR="009A4112" w:rsidRPr="00C94B78" w:rsidRDefault="009A411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Испытания доработанного Ил-6 возобновились в августе 1944 г. (25301).</w:t>
      </w:r>
    </w:p>
    <w:p w14:paraId="72601FA4" w14:textId="77777777" w:rsidR="009A4112" w:rsidRPr="00C94B78" w:rsidRDefault="009A4112" w:rsidP="00B56F90">
      <w:pPr>
        <w:spacing w:after="0" w:line="240" w:lineRule="auto"/>
        <w:jc w:val="both"/>
        <w:rPr>
          <w:rFonts w:ascii="Times New Roman" w:hAnsi="Times New Roman"/>
          <w:color w:val="0070C0"/>
          <w:sz w:val="16"/>
          <w:szCs w:val="16"/>
        </w:rPr>
      </w:pPr>
    </w:p>
    <w:p w14:paraId="6ADCB3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мая 1944 г. по 25 июля 1945 г. самолет ДВБ-102 в доработанном виде - т.е. с форсированными двигателями АШ-71Ф с турбокомпрессорами ТК-3, которые удалось получить лишь в 1944 г. и в соответствии с макетом дублера, с переделанной носовой кабиной, когда каплевидный, смещенный к левому борту фонарь летчика был заменен на новый, занимавший практически всю ширину фюзеляжа, что заметно улучшило обзор и дало возможность штурману подменять летчика в длительном полете - проходил совместные летные испытания. Ведущими летчиками на этом этапе от ОКБ-482 был Ф.Ф.Опадчий, а от ЛИИ - И.И.Шунейко. От заказчика ведущими по машине были инженер М.И.Ефимов, летчик В. И. Жданов, штурман Н.П.Цветков и инженер по силовой установке А.Ф.Абашин (3337).</w:t>
      </w:r>
    </w:p>
    <w:p w14:paraId="2FCCF8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7646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мае-июне 1944 проходили гос. испытания Пе-2И. Самолет одобрили и выпустили войсковую серию (4,173). Это была наша версия Москито и фюзеляж в нижней части сделали овальным, чтобы разместить сначала 1000 кг, а потом 2000 кг бомбу. В хвостовой части была электродистанционная установка под УБ. Двигатели ВК-107А с реактивными патрубками. Экипаж - 2 человека (1947,79). Это был первый этап. Летали и-м Г.В.Грибакин и м А.М.Хрипков, а ш был Ромашко. Скорость - от </w:t>
      </w:r>
      <w:r w:rsidRPr="00070ADE">
        <w:rPr>
          <w:rFonts w:ascii="Times New Roman" w:hAnsi="Times New Roman"/>
          <w:color w:val="000000" w:themeColor="text1"/>
          <w:sz w:val="16"/>
          <w:szCs w:val="16"/>
        </w:rPr>
        <w:lastRenderedPageBreak/>
        <w:t>556 км/час у земли и 656 км/час на второй границе высотности (2471,36).</w:t>
      </w:r>
    </w:p>
    <w:p w14:paraId="0578DB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9717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мае-июне 1944 г., когда Пе-2И уже летал, самолет Пе-2Б вновь попал в НИИ ВВС. И хотя по результатам госиспытаний Пе-2Б был рекомендован в серию, но НКАП отклонил это предложение, делая ставку на “суперпешку” - Пе-2И (4476).</w:t>
      </w:r>
    </w:p>
    <w:p w14:paraId="277268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DBE949" w14:textId="77777777" w:rsidR="00F06A46" w:rsidRPr="00C94B78" w:rsidRDefault="00F06A46"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мае- июне 1944 г. в НИИ ВВС, когда уже летал куда бо</w:t>
      </w:r>
      <w:r w:rsidRPr="00C94B78">
        <w:rPr>
          <w:rFonts w:ascii="Times New Roman" w:hAnsi="Times New Roman"/>
          <w:color w:val="0070C0"/>
          <w:sz w:val="16"/>
          <w:szCs w:val="16"/>
        </w:rPr>
        <w:softHyphen/>
        <w:t>лее совершенный Пе-2И, испытывался Пе-2Б, рекомендо</w:t>
      </w:r>
      <w:r w:rsidRPr="00C94B78">
        <w:rPr>
          <w:rFonts w:ascii="Times New Roman" w:hAnsi="Times New Roman"/>
          <w:color w:val="0070C0"/>
          <w:sz w:val="16"/>
          <w:szCs w:val="16"/>
        </w:rPr>
        <w:softHyphen/>
        <w:t>ванный военными в серию. Его собира</w:t>
      </w:r>
      <w:r w:rsidRPr="00C94B78">
        <w:rPr>
          <w:rFonts w:ascii="Times New Roman" w:hAnsi="Times New Roman"/>
          <w:color w:val="0070C0"/>
          <w:sz w:val="16"/>
          <w:szCs w:val="16"/>
        </w:rPr>
        <w:softHyphen/>
        <w:t>лись сделать эталоном вначале на весь 1944 г, а затем на его вторую половину. Руководство авиапромышленности сделало ставку на Пе-2И и ошиблось (34394).</w:t>
      </w:r>
    </w:p>
    <w:p w14:paraId="2091768E" w14:textId="77777777" w:rsidR="00F06A46" w:rsidRPr="00C94B78" w:rsidRDefault="00F06A46" w:rsidP="00B56F90">
      <w:pPr>
        <w:spacing w:after="0" w:line="240" w:lineRule="auto"/>
        <w:jc w:val="both"/>
        <w:rPr>
          <w:rFonts w:ascii="Times New Roman" w:hAnsi="Times New Roman"/>
          <w:color w:val="0070C0"/>
          <w:sz w:val="16"/>
          <w:szCs w:val="16"/>
        </w:rPr>
      </w:pPr>
    </w:p>
    <w:p w14:paraId="077DE1AF" w14:textId="77777777" w:rsidR="00F06A46" w:rsidRPr="00C94B78" w:rsidRDefault="00F06A46"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мае-июле 1944 г. в ходе первого этапа испытаний Пе-2И пришлось четыре раза менять моторы, но скорость дошла до 656 км/ч. В НИИ ВВС на нем летали майор A M Хрипков (летчик) и старший лейтенант Ромашко (штурман).</w:t>
      </w:r>
    </w:p>
    <w:p w14:paraId="03479D9E" w14:textId="77777777" w:rsidR="00F06A46" w:rsidRPr="00C94B78" w:rsidRDefault="00F06A46"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Коман</w:t>
      </w:r>
      <w:r w:rsidRPr="00C94B78">
        <w:rPr>
          <w:rFonts w:ascii="Times New Roman" w:hAnsi="Times New Roman"/>
          <w:color w:val="0070C0"/>
          <w:sz w:val="16"/>
          <w:szCs w:val="16"/>
        </w:rPr>
        <w:softHyphen/>
        <w:t>дующий ВВС маршал А.А. Новиков ре</w:t>
      </w:r>
      <w:r w:rsidRPr="00C94B78">
        <w:rPr>
          <w:rFonts w:ascii="Times New Roman" w:hAnsi="Times New Roman"/>
          <w:color w:val="0070C0"/>
          <w:sz w:val="16"/>
          <w:szCs w:val="16"/>
        </w:rPr>
        <w:softHyphen/>
        <w:t>комендовал запустить машину в серию, правда, после улучшения взлетно-поса</w:t>
      </w:r>
      <w:r w:rsidRPr="00C94B78">
        <w:rPr>
          <w:rFonts w:ascii="Times New Roman" w:hAnsi="Times New Roman"/>
          <w:color w:val="0070C0"/>
          <w:sz w:val="16"/>
          <w:szCs w:val="16"/>
        </w:rPr>
        <w:softHyphen/>
        <w:t>дочных качеств и усиления вооружения. Однако низкая надежность двигателей все портила.</w:t>
      </w:r>
    </w:p>
    <w:p w14:paraId="6D765BDC" w14:textId="77777777" w:rsidR="00F06A46" w:rsidRPr="00C94B78" w:rsidRDefault="00F06A46"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Заводу № 22 поручили построить малую серию из пяти Пе-2И. Но пе</w:t>
      </w:r>
      <w:r w:rsidRPr="00C94B78">
        <w:rPr>
          <w:rFonts w:ascii="Times New Roman" w:hAnsi="Times New Roman"/>
          <w:color w:val="0070C0"/>
          <w:sz w:val="16"/>
          <w:szCs w:val="16"/>
        </w:rPr>
        <w:softHyphen/>
        <w:t>регруженность предприятия серийной продукцией воспрепятствовала вы</w:t>
      </w:r>
      <w:r w:rsidRPr="00C94B78">
        <w:rPr>
          <w:rFonts w:ascii="Times New Roman" w:hAnsi="Times New Roman"/>
          <w:color w:val="0070C0"/>
          <w:sz w:val="16"/>
          <w:szCs w:val="16"/>
        </w:rPr>
        <w:softHyphen/>
        <w:t>полнению заказа в срок. Малую серию собирали в опытном цеху, не привле</w:t>
      </w:r>
      <w:r w:rsidRPr="00C94B78">
        <w:rPr>
          <w:rFonts w:ascii="Times New Roman" w:hAnsi="Times New Roman"/>
          <w:color w:val="0070C0"/>
          <w:sz w:val="16"/>
          <w:szCs w:val="16"/>
        </w:rPr>
        <w:softHyphen/>
        <w:t>кая основное производство. Первый самолет завершили в конце февраля 1944 г., четыре других выходили один за другим с интервалом примерно в де</w:t>
      </w:r>
      <w:r w:rsidRPr="00C94B78">
        <w:rPr>
          <w:rFonts w:ascii="Times New Roman" w:hAnsi="Times New Roman"/>
          <w:color w:val="0070C0"/>
          <w:sz w:val="16"/>
          <w:szCs w:val="16"/>
        </w:rPr>
        <w:softHyphen/>
        <w:t>сять дней. Дистанционно управляемые установки на них стояли, но работали крайне плохо. Ни один из выпущенных бомбардировщиков не довели до бое</w:t>
      </w:r>
      <w:r w:rsidRPr="00C94B78">
        <w:rPr>
          <w:rFonts w:ascii="Times New Roman" w:hAnsi="Times New Roman"/>
          <w:color w:val="0070C0"/>
          <w:sz w:val="16"/>
          <w:szCs w:val="16"/>
        </w:rPr>
        <w:softHyphen/>
        <w:t>способного состояния, ВВС их не при</w:t>
      </w:r>
      <w:r w:rsidRPr="00C94B78">
        <w:rPr>
          <w:rFonts w:ascii="Times New Roman" w:hAnsi="Times New Roman"/>
          <w:color w:val="0070C0"/>
          <w:sz w:val="16"/>
          <w:szCs w:val="16"/>
        </w:rPr>
        <w:softHyphen/>
        <w:t>нимали и не оплачивали. Предусмо</w:t>
      </w:r>
      <w:r w:rsidRPr="00C94B78">
        <w:rPr>
          <w:rFonts w:ascii="Times New Roman" w:hAnsi="Times New Roman"/>
          <w:color w:val="0070C0"/>
          <w:sz w:val="16"/>
          <w:szCs w:val="16"/>
        </w:rPr>
        <w:softHyphen/>
        <w:t>тренный приказом НКАП третий опыт</w:t>
      </w:r>
      <w:r w:rsidRPr="00C94B78">
        <w:rPr>
          <w:rFonts w:ascii="Times New Roman" w:hAnsi="Times New Roman"/>
          <w:color w:val="0070C0"/>
          <w:sz w:val="16"/>
          <w:szCs w:val="16"/>
        </w:rPr>
        <w:softHyphen/>
        <w:t>ный образец Пе-2И строить не стали.</w:t>
      </w:r>
    </w:p>
    <w:p w14:paraId="70AF003B" w14:textId="77777777" w:rsidR="00F06A46" w:rsidRPr="00C94B78" w:rsidRDefault="00F06A46"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Концепцию машины пришлось пе</w:t>
      </w:r>
      <w:r w:rsidRPr="00C94B78">
        <w:rPr>
          <w:rFonts w:ascii="Times New Roman" w:hAnsi="Times New Roman"/>
          <w:color w:val="0070C0"/>
          <w:sz w:val="16"/>
          <w:szCs w:val="16"/>
        </w:rPr>
        <w:softHyphen/>
        <w:t>ресмотреть в соответствии с пожела</w:t>
      </w:r>
      <w:r w:rsidRPr="00C94B78">
        <w:rPr>
          <w:rFonts w:ascii="Times New Roman" w:hAnsi="Times New Roman"/>
          <w:color w:val="0070C0"/>
          <w:sz w:val="16"/>
          <w:szCs w:val="16"/>
        </w:rPr>
        <w:softHyphen/>
        <w:t>ниями командования ВВС В резуль</w:t>
      </w:r>
      <w:r w:rsidRPr="00C94B78">
        <w:rPr>
          <w:rFonts w:ascii="Times New Roman" w:hAnsi="Times New Roman"/>
          <w:color w:val="0070C0"/>
          <w:sz w:val="16"/>
          <w:szCs w:val="16"/>
        </w:rPr>
        <w:softHyphen/>
        <w:t>тате появился Пе-2М - некий гибрид Пе-2И и серийного Пе-2. Он снова стал трехместным. В задней части кабины штурмана смонтировали под</w:t>
      </w:r>
      <w:r w:rsidRPr="00C94B78">
        <w:rPr>
          <w:rFonts w:ascii="Times New Roman" w:hAnsi="Times New Roman"/>
          <w:color w:val="0070C0"/>
          <w:sz w:val="16"/>
          <w:szCs w:val="16"/>
        </w:rPr>
        <w:softHyphen/>
        <w:t>вижную установку ВУ-5-20 с пушкой УБ-20 и боекомплектом в 200 патро</w:t>
      </w:r>
      <w:r w:rsidRPr="00C94B78">
        <w:rPr>
          <w:rFonts w:ascii="Times New Roman" w:hAnsi="Times New Roman"/>
          <w:color w:val="0070C0"/>
          <w:sz w:val="16"/>
          <w:szCs w:val="16"/>
        </w:rPr>
        <w:softHyphen/>
        <w:t>нов. Стрелок-радист также получил пушку УБ-20 с 200 патронами в лю</w:t>
      </w:r>
      <w:r w:rsidRPr="00C94B78">
        <w:rPr>
          <w:rFonts w:ascii="Times New Roman" w:hAnsi="Times New Roman"/>
          <w:color w:val="0070C0"/>
          <w:sz w:val="16"/>
          <w:szCs w:val="16"/>
        </w:rPr>
        <w:softHyphen/>
        <w:t>ковой установке ЛУС-20. Обе турели имели электромеханический привод. Третья пушка УБ-20 с боекомплектом 120 патронов размещалась неподвиж</w:t>
      </w:r>
      <w:r w:rsidRPr="00C94B78">
        <w:rPr>
          <w:rFonts w:ascii="Times New Roman" w:hAnsi="Times New Roman"/>
          <w:color w:val="0070C0"/>
          <w:sz w:val="16"/>
          <w:szCs w:val="16"/>
        </w:rPr>
        <w:softHyphen/>
        <w:t>но под сиденьем пилота, как у Пе-2И. Нормальная бомбовая нагрузка уве</w:t>
      </w:r>
      <w:r w:rsidRPr="00C94B78">
        <w:rPr>
          <w:rFonts w:ascii="Times New Roman" w:hAnsi="Times New Roman"/>
          <w:color w:val="0070C0"/>
          <w:sz w:val="16"/>
          <w:szCs w:val="16"/>
        </w:rPr>
        <w:softHyphen/>
        <w:t>личилась до 1000 кг. Для размещения на внутренней подвеске «необрезанной» бомбы ФАБ-1000М43 пришлось увеличить габариты отсека.</w:t>
      </w:r>
    </w:p>
    <w:p w14:paraId="04A8CB34" w14:textId="77777777" w:rsidR="00F06A46" w:rsidRPr="00C94B78" w:rsidRDefault="00F06A46"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 характеристикам Пе-2М заметно опережал серийные «Пешки», хотя и от</w:t>
      </w:r>
      <w:r w:rsidRPr="00C94B78">
        <w:rPr>
          <w:rFonts w:ascii="Times New Roman" w:hAnsi="Times New Roman"/>
          <w:color w:val="0070C0"/>
          <w:sz w:val="16"/>
          <w:szCs w:val="16"/>
        </w:rPr>
        <w:softHyphen/>
        <w:t>ставал от Пе-2И. Усиленное вооружение вызвало одобрение у военных. Руко</w:t>
      </w:r>
      <w:r w:rsidRPr="00C94B78">
        <w:rPr>
          <w:rFonts w:ascii="Times New Roman" w:hAnsi="Times New Roman"/>
          <w:color w:val="0070C0"/>
          <w:sz w:val="16"/>
          <w:szCs w:val="16"/>
        </w:rPr>
        <w:softHyphen/>
        <w:t>водство НКАП и главный конструктор ОКО-22 считали, что изменения не столь принципиальны и не требуют проведе</w:t>
      </w:r>
      <w:r w:rsidRPr="00C94B78">
        <w:rPr>
          <w:rFonts w:ascii="Times New Roman" w:hAnsi="Times New Roman"/>
          <w:color w:val="0070C0"/>
          <w:sz w:val="16"/>
          <w:szCs w:val="16"/>
        </w:rPr>
        <w:softHyphen/>
        <w:t>ния государственных испытаний нового варианта, поэтому малую серию Пе-2М заложили уже в феврале 1945 г.</w:t>
      </w:r>
      <w:r>
        <w:rPr>
          <w:rFonts w:ascii="Times New Roman" w:hAnsi="Times New Roman"/>
          <w:color w:val="0070C0"/>
          <w:sz w:val="16"/>
          <w:szCs w:val="16"/>
        </w:rPr>
        <w:t xml:space="preserve"> </w:t>
      </w:r>
      <w:r w:rsidRPr="00C94B78">
        <w:rPr>
          <w:rFonts w:ascii="Times New Roman" w:hAnsi="Times New Roman"/>
          <w:color w:val="0070C0"/>
          <w:sz w:val="16"/>
          <w:szCs w:val="16"/>
        </w:rPr>
        <w:t>(24934).</w:t>
      </w:r>
    </w:p>
    <w:p w14:paraId="5A882F6E" w14:textId="77777777" w:rsidR="00F06A46" w:rsidRPr="00C94B78" w:rsidRDefault="00F06A46" w:rsidP="00B56F90">
      <w:pPr>
        <w:spacing w:after="0" w:line="240" w:lineRule="auto"/>
        <w:jc w:val="both"/>
        <w:rPr>
          <w:rFonts w:ascii="Times New Roman" w:hAnsi="Times New Roman"/>
          <w:color w:val="0070C0"/>
          <w:sz w:val="16"/>
          <w:szCs w:val="16"/>
        </w:rPr>
      </w:pPr>
    </w:p>
    <w:p w14:paraId="6B28C7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мая 1944 по июнь 1945 на 153 заводе серийно выпускался Як-9М вплоть до освоения Як-9У с ВК-107А (65,140).</w:t>
      </w:r>
    </w:p>
    <w:p w14:paraId="1681B1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83AA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мае-июне 1944 проходили гос. испытания Як-9 N 0909 с М-105 ПФ N 325-2065. Летал Ю.А.Антипов (809,12).</w:t>
      </w:r>
    </w:p>
    <w:p w14:paraId="3E3AA8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6C54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мае-июне 1944 г. заводом N 166 было выпущено 30 самолетов Як-9 с ВК107А, предназначенных для переоборудования под высотный вариант по решению ГОКО, и они прибыли на завод N 301 в июле-августе 1944 г (2074,123).</w:t>
      </w:r>
    </w:p>
    <w:p w14:paraId="35F405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20C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мая по сентябрь 1944 на 153 заводе изготовили 399 Як-9ДД (65,138).</w:t>
      </w:r>
    </w:p>
    <w:p w14:paraId="3121CB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28970C" w14:textId="77777777" w:rsidR="009A1642" w:rsidRPr="00C94B78" w:rsidRDefault="009A164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период с мая 1944 года по сентябрь 1945 года было построено 399 Як</w:t>
      </w:r>
      <w:r w:rsidRPr="00C94B78">
        <w:rPr>
          <w:rFonts w:ascii="Times New Roman" w:hAnsi="Times New Roman"/>
          <w:color w:val="0070C0"/>
          <w:sz w:val="16"/>
          <w:szCs w:val="16"/>
        </w:rPr>
        <w:noBreakHyphen/>
        <w:t>9ДД (это дает средний темп производства – 25 самолетов в день).</w:t>
      </w:r>
    </w:p>
    <w:p w14:paraId="00375BAA" w14:textId="77777777" w:rsidR="009A1642" w:rsidRPr="00C94B78" w:rsidRDefault="009A164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Войсковые испытания, для оценки боевой ценности Як</w:t>
      </w:r>
      <w:r w:rsidRPr="00C94B78">
        <w:rPr>
          <w:rFonts w:ascii="Times New Roman" w:hAnsi="Times New Roman"/>
          <w:color w:val="0070C0"/>
          <w:sz w:val="16"/>
          <w:szCs w:val="16"/>
        </w:rPr>
        <w:noBreakHyphen/>
        <w:t>9ДД, были проведены с 9 марта по 25 апреля 1945 года. На новых машинах летали пилоты из 368 ИАП, 334 НАД и 6 БАК (Бомбардировочный авиационный корпус), который имел на вооружении Ту</w:t>
      </w:r>
      <w:r w:rsidRPr="00C94B78">
        <w:rPr>
          <w:rFonts w:ascii="Times New Roman" w:hAnsi="Times New Roman"/>
          <w:color w:val="0070C0"/>
          <w:sz w:val="16"/>
          <w:szCs w:val="16"/>
        </w:rPr>
        <w:noBreakHyphen/>
        <w:t>2. В испытаниях приняло участие 40 Як</w:t>
      </w:r>
      <w:r w:rsidRPr="00C94B78">
        <w:rPr>
          <w:rFonts w:ascii="Times New Roman" w:hAnsi="Times New Roman"/>
          <w:color w:val="0070C0"/>
          <w:sz w:val="16"/>
          <w:szCs w:val="16"/>
        </w:rPr>
        <w:noBreakHyphen/>
        <w:t>9ДД из 1</w:t>
      </w:r>
      <w:r w:rsidRPr="00C94B78">
        <w:rPr>
          <w:rFonts w:ascii="Times New Roman" w:hAnsi="Times New Roman"/>
          <w:color w:val="0070C0"/>
          <w:sz w:val="16"/>
          <w:szCs w:val="16"/>
        </w:rPr>
        <w:noBreakHyphen/>
        <w:t>й и 2</w:t>
      </w:r>
      <w:r w:rsidRPr="00C94B78">
        <w:rPr>
          <w:rFonts w:ascii="Times New Roman" w:hAnsi="Times New Roman"/>
          <w:color w:val="0070C0"/>
          <w:sz w:val="16"/>
          <w:szCs w:val="16"/>
        </w:rPr>
        <w:noBreakHyphen/>
        <w:t>й производственных серий, которые были изготовлены между маем и августом 1944 года (25077).</w:t>
      </w:r>
    </w:p>
    <w:p w14:paraId="66C433FD" w14:textId="77777777" w:rsidR="009A1642" w:rsidRPr="00C94B78" w:rsidRDefault="009A1642" w:rsidP="00B56F90">
      <w:pPr>
        <w:spacing w:after="0" w:line="240" w:lineRule="auto"/>
        <w:jc w:val="both"/>
        <w:rPr>
          <w:rFonts w:ascii="Times New Roman" w:hAnsi="Times New Roman"/>
          <w:color w:val="0070C0"/>
          <w:sz w:val="16"/>
          <w:szCs w:val="16"/>
        </w:rPr>
      </w:pPr>
    </w:p>
    <w:p w14:paraId="100B69B3" w14:textId="77777777" w:rsidR="009A1642" w:rsidRPr="00C94B78" w:rsidRDefault="009A1642"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период с мая 1944 г. по сентябрь 1945 г. было построено 399 истребителей Як-9ДД с повышенной дальностью полета, на которых увеличили запас горю</w:t>
      </w:r>
      <w:r w:rsidRPr="00C94B78">
        <w:rPr>
          <w:rStyle w:val="aff1"/>
          <w:rFonts w:ascii="Times New Roman" w:hAnsi="Times New Roman" w:cs="Times New Roman"/>
          <w:color w:val="0070C0"/>
          <w:spacing w:val="0"/>
          <w:sz w:val="16"/>
          <w:szCs w:val="16"/>
        </w:rPr>
        <w:softHyphen/>
        <w:t>чего вдвое, до 630 кг. Максимальная дальность полета такого истребителя на наивыгоднейшем режиме соста</w:t>
      </w:r>
      <w:r w:rsidRPr="00C94B78">
        <w:rPr>
          <w:rStyle w:val="aff1"/>
          <w:rFonts w:ascii="Times New Roman" w:hAnsi="Times New Roman" w:cs="Times New Roman"/>
          <w:color w:val="0070C0"/>
          <w:spacing w:val="0"/>
          <w:sz w:val="16"/>
          <w:szCs w:val="16"/>
        </w:rPr>
        <w:softHyphen/>
        <w:t>вила 2285 км. Расплатиться пришлось сокращением состава вооружения до одной моторной пушки ШВАК с боезапасом 120 патронов. Вскоре выяснилось, что для сопровождения американских бомбардировщи</w:t>
      </w:r>
      <w:r w:rsidRPr="00C94B78">
        <w:rPr>
          <w:rStyle w:val="aff1"/>
          <w:rFonts w:ascii="Times New Roman" w:hAnsi="Times New Roman" w:cs="Times New Roman"/>
          <w:color w:val="0070C0"/>
          <w:spacing w:val="0"/>
          <w:sz w:val="16"/>
          <w:szCs w:val="16"/>
        </w:rPr>
        <w:softHyphen/>
        <w:t>ков, совершавших «челночные» полеты из Англии и Италии в СССР, Як-9ДД малопригодны из-за недоста</w:t>
      </w:r>
      <w:r w:rsidRPr="00C94B78">
        <w:rPr>
          <w:rStyle w:val="aff1"/>
          <w:rFonts w:ascii="Times New Roman" w:hAnsi="Times New Roman" w:cs="Times New Roman"/>
          <w:color w:val="0070C0"/>
          <w:spacing w:val="0"/>
          <w:sz w:val="16"/>
          <w:szCs w:val="16"/>
        </w:rPr>
        <w:softHyphen/>
        <w:t>точной высотности мотора М-105ПФ. Летчики сдер</w:t>
      </w:r>
      <w:r w:rsidRPr="00C94B78">
        <w:rPr>
          <w:rStyle w:val="aff1"/>
          <w:rFonts w:ascii="Times New Roman" w:hAnsi="Times New Roman" w:cs="Times New Roman"/>
          <w:color w:val="0070C0"/>
          <w:spacing w:val="0"/>
          <w:sz w:val="16"/>
          <w:szCs w:val="16"/>
        </w:rPr>
        <w:softHyphen/>
        <w:t>жанно отзывались об этой машине, именуя ее обычно «летающей цистерной» (25141).</w:t>
      </w:r>
    </w:p>
    <w:p w14:paraId="20E2B266" w14:textId="77777777" w:rsidR="009A1642" w:rsidRPr="00C94B78" w:rsidRDefault="009A1642" w:rsidP="00B56F90">
      <w:pPr>
        <w:spacing w:after="0" w:line="240" w:lineRule="auto"/>
        <w:jc w:val="both"/>
        <w:rPr>
          <w:rFonts w:ascii="Times New Roman" w:hAnsi="Times New Roman"/>
          <w:color w:val="0070C0"/>
          <w:sz w:val="16"/>
          <w:szCs w:val="16"/>
        </w:rPr>
      </w:pPr>
    </w:p>
    <w:p w14:paraId="7897BDF8" w14:textId="77777777"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мае-июне 1944 г. из-под Куйбышева в Ленинград в полном составе вместе с оборудованием был переведен филиал завода № 327, который и составил ядро будущего коллектива (18297).</w:t>
      </w:r>
    </w:p>
    <w:p w14:paraId="705FD29E" w14:textId="77777777" w:rsidR="00822884" w:rsidRPr="00070ADE" w:rsidRDefault="00822884" w:rsidP="00B56F90">
      <w:pPr>
        <w:spacing w:after="0" w:line="240" w:lineRule="auto"/>
        <w:jc w:val="both"/>
        <w:rPr>
          <w:rFonts w:ascii="Times New Roman" w:hAnsi="Times New Roman"/>
          <w:color w:val="000000" w:themeColor="text1"/>
          <w:sz w:val="16"/>
          <w:szCs w:val="16"/>
        </w:rPr>
      </w:pPr>
    </w:p>
    <w:p w14:paraId="271FFD9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15096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A49D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 июне 1944 г. завод изготовил еще два опытных танка Объект 701: № 1 и № 2. После поли</w:t>
      </w:r>
      <w:r w:rsidRPr="00070ADE">
        <w:rPr>
          <w:rFonts w:ascii="Times New Roman" w:hAnsi="Times New Roman"/>
          <w:color w:val="000000" w:themeColor="text1"/>
          <w:sz w:val="16"/>
          <w:szCs w:val="16"/>
        </w:rPr>
        <w:softHyphen/>
        <w:t>гонных испытаний, проведенных Государственной комиссией в Челя</w:t>
      </w:r>
      <w:r w:rsidRPr="00070ADE">
        <w:rPr>
          <w:rFonts w:ascii="Times New Roman" w:hAnsi="Times New Roman"/>
          <w:color w:val="000000" w:themeColor="text1"/>
          <w:sz w:val="16"/>
          <w:szCs w:val="16"/>
        </w:rPr>
        <w:softHyphen/>
        <w:t>бинске, оба танка были демонтированы. С учетом замечаний Государст</w:t>
      </w:r>
      <w:r w:rsidRPr="00070ADE">
        <w:rPr>
          <w:rFonts w:ascii="Times New Roman" w:hAnsi="Times New Roman"/>
          <w:color w:val="000000" w:themeColor="text1"/>
          <w:sz w:val="16"/>
          <w:szCs w:val="16"/>
        </w:rPr>
        <w:softHyphen/>
        <w:t>венной комиссии в сентябре был изготовлен еще один опытный образец танка (№ 4), который после испытаний также был демонтирован. В но</w:t>
      </w:r>
      <w:r w:rsidRPr="00070ADE">
        <w:rPr>
          <w:rFonts w:ascii="Times New Roman" w:hAnsi="Times New Roman"/>
          <w:color w:val="000000" w:themeColor="text1"/>
          <w:sz w:val="16"/>
          <w:szCs w:val="16"/>
        </w:rPr>
        <w:softHyphen/>
        <w:t>ябре 1944 г. завод выпустил два новых опытных образца (№ 5 и 6), ко</w:t>
      </w:r>
      <w:r w:rsidRPr="00070ADE">
        <w:rPr>
          <w:rFonts w:ascii="Times New Roman" w:hAnsi="Times New Roman"/>
          <w:color w:val="000000" w:themeColor="text1"/>
          <w:sz w:val="16"/>
          <w:szCs w:val="16"/>
        </w:rPr>
        <w:softHyphen/>
        <w:t>торые успешно прошли полигонные испытания в декабре 1944 - янва</w:t>
      </w:r>
      <w:r w:rsidRPr="00070ADE">
        <w:rPr>
          <w:rFonts w:ascii="Times New Roman" w:hAnsi="Times New Roman"/>
          <w:color w:val="000000" w:themeColor="text1"/>
          <w:sz w:val="16"/>
          <w:szCs w:val="16"/>
        </w:rPr>
        <w:softHyphen/>
        <w:t>ре 1945 гг. и были рекомендованы к серийному производству (10703).</w:t>
      </w:r>
    </w:p>
    <w:p w14:paraId="554ADB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DC07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мая по август 1944 г. все конст</w:t>
      </w:r>
      <w:r w:rsidRPr="00070ADE">
        <w:rPr>
          <w:rFonts w:ascii="Times New Roman" w:hAnsi="Times New Roman"/>
          <w:color w:val="000000" w:themeColor="text1"/>
          <w:sz w:val="16"/>
          <w:szCs w:val="16"/>
        </w:rPr>
        <w:softHyphen/>
        <w:t>рукторы и рабочие опытного цеха, созданного на ЧКЗ весной 1944 г., были вовлечены в процесс проектирования, изготовления, испытания и доводки первых трех опытных танков "Объект 701" (10703).</w:t>
      </w:r>
    </w:p>
    <w:p w14:paraId="1B0B06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03A5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 июне 1944 г. по результатам испытаний был изготовлен второй опытный образец СУ-100 Объект-138, который стал головным образцом серийного производства. Серийное производство было организовано на УЗТМ с сентября 1944 г. по октябрь 1945 г. За время Великой Отечественной войны с сентября 1944 г. до 1 июня 1945 г. было выпущено 1560 самоходных установок, которые широко использовали в боях на заключительном этапе войны. Всего за время серийного производства выпустили 2495 самоходных установок СУ-100 (10703).</w:t>
      </w:r>
    </w:p>
    <w:p w14:paraId="53F2CD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B0E9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мае-июне 1944 г. новая САУ, получившая индекс С-59 (сна</w:t>
      </w:r>
      <w:r w:rsidRPr="00070ADE">
        <w:rPr>
          <w:rFonts w:ascii="Times New Roman" w:hAnsi="Times New Roman"/>
          <w:color w:val="000000" w:themeColor="text1"/>
          <w:sz w:val="16"/>
          <w:szCs w:val="16"/>
        </w:rPr>
        <w:softHyphen/>
        <w:t>чала проект шел под индексом С-56), была изготовлена и пе</w:t>
      </w:r>
      <w:r w:rsidRPr="00070ADE">
        <w:rPr>
          <w:rFonts w:ascii="Times New Roman" w:hAnsi="Times New Roman"/>
          <w:color w:val="000000" w:themeColor="text1"/>
          <w:sz w:val="16"/>
          <w:szCs w:val="16"/>
        </w:rPr>
        <w:softHyphen/>
        <w:t>редана для проведения полигонных испытаний. Конструк</w:t>
      </w:r>
      <w:r w:rsidRPr="00070ADE">
        <w:rPr>
          <w:rFonts w:ascii="Times New Roman" w:hAnsi="Times New Roman"/>
          <w:color w:val="000000" w:themeColor="text1"/>
          <w:sz w:val="16"/>
          <w:szCs w:val="16"/>
        </w:rPr>
        <w:softHyphen/>
        <w:t>тивно С-59 в целом повторяла С-51, но создавалась на шасси танка ИС-85 (здесь имеется разночтение данных ЦАКБ с данными полигона, так как в материалах по испытанию ука</w:t>
      </w:r>
      <w:r w:rsidRPr="00070ADE">
        <w:rPr>
          <w:rFonts w:ascii="Times New Roman" w:hAnsi="Times New Roman"/>
          <w:color w:val="000000" w:themeColor="text1"/>
          <w:sz w:val="16"/>
          <w:szCs w:val="16"/>
        </w:rPr>
        <w:softHyphen/>
        <w:t>зано «улучшенное шасси тяжелого танка КВ»). Не вполне понятно, почему установка даже на этапе эскизного проекта не была дополнена откидным сошником, как то рекомендо</w:t>
      </w:r>
      <w:r w:rsidRPr="00070ADE">
        <w:rPr>
          <w:rFonts w:ascii="Times New Roman" w:hAnsi="Times New Roman"/>
          <w:color w:val="000000" w:themeColor="text1"/>
          <w:sz w:val="16"/>
          <w:szCs w:val="16"/>
        </w:rPr>
        <w:softHyphen/>
        <w:t>валось по результатам предварительных испытаний С-51.</w:t>
      </w:r>
    </w:p>
    <w:p w14:paraId="31E876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проведении полигонных испытаний на АНИОП были выявлены недостатки, аналогичные тем, что были об</w:t>
      </w:r>
      <w:r w:rsidRPr="00070ADE">
        <w:rPr>
          <w:rFonts w:ascii="Times New Roman" w:hAnsi="Times New Roman"/>
          <w:color w:val="000000" w:themeColor="text1"/>
          <w:sz w:val="16"/>
          <w:szCs w:val="16"/>
        </w:rPr>
        <w:softHyphen/>
        <w:t>наружены при испытании С-51, причем отдача при стрельбе полным зарядом из 152-мм пушки оказалась еще большей. Но на вооружение САУ не рекомендовалась, и дальнейшие работы по данному типу САУ были прекращены (11417).</w:t>
      </w:r>
    </w:p>
    <w:p w14:paraId="3E1EA3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D327B7" w14:textId="77777777" w:rsidR="00BE1368" w:rsidRPr="00C94B78" w:rsidRDefault="00BE136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мая по август 1944 года все конструкторы и рабочие опытного цеха ЧКЗ занимались про</w:t>
      </w:r>
      <w:r w:rsidRPr="00C94B78">
        <w:rPr>
          <w:rFonts w:ascii="Times New Roman" w:hAnsi="Times New Roman"/>
          <w:color w:val="0070C0"/>
          <w:sz w:val="16"/>
          <w:szCs w:val="16"/>
        </w:rPr>
        <w:softHyphen/>
        <w:t>ектированием, изготовлением, испытаниями и доводкой первых трех опытных объектов 701. Лишь в конце июня, поняв, что довести 701-й в отведенные сроки не удается, руководство ЧКЗ активизировало работы по модернизации Иса (25001).</w:t>
      </w:r>
    </w:p>
    <w:p w14:paraId="07A790F1" w14:textId="77777777" w:rsidR="00BE1368" w:rsidRPr="00C94B78" w:rsidRDefault="00BE1368" w:rsidP="00B56F90">
      <w:pPr>
        <w:spacing w:after="0" w:line="240" w:lineRule="auto"/>
        <w:jc w:val="both"/>
        <w:rPr>
          <w:rFonts w:ascii="Times New Roman" w:hAnsi="Times New Roman"/>
          <w:color w:val="0070C0"/>
          <w:sz w:val="16"/>
          <w:szCs w:val="16"/>
        </w:rPr>
      </w:pPr>
    </w:p>
    <w:p w14:paraId="38852CFF" w14:textId="77777777" w:rsidR="00714AC7" w:rsidRPr="00070ADE" w:rsidRDefault="00714AC7" w:rsidP="00B56F90">
      <w:pPr>
        <w:pStyle w:val="a3"/>
        <w:rPr>
          <w:color w:val="000000" w:themeColor="text1"/>
          <w:lang w:val="ru-RU"/>
        </w:rPr>
      </w:pPr>
      <w:r w:rsidRPr="00070ADE">
        <w:rPr>
          <w:color w:val="000000" w:themeColor="text1"/>
          <w:lang w:val="ru-RU"/>
        </w:rPr>
        <w:t>В мае-июне 1944 г. выпустили остальные пять машин АТ-45 опытной партии. Таким образом, постановление ГОКО №5122 от 6 февраля 1944 г. было успешно выполнено в установлен</w:t>
      </w:r>
      <w:r w:rsidRPr="00070ADE">
        <w:rPr>
          <w:color w:val="000000" w:themeColor="text1"/>
          <w:lang w:val="ru-RU"/>
        </w:rPr>
        <w:softHyphen/>
        <w:t>ный срок.</w:t>
      </w:r>
    </w:p>
    <w:p w14:paraId="681C0C8C" w14:textId="77777777" w:rsidR="00714AC7" w:rsidRPr="00070ADE" w:rsidRDefault="00714AC7" w:rsidP="00B56F90">
      <w:pPr>
        <w:pStyle w:val="a3"/>
        <w:rPr>
          <w:color w:val="000000" w:themeColor="text1"/>
          <w:lang w:val="ru-RU"/>
        </w:rPr>
      </w:pPr>
      <w:r w:rsidRPr="00070ADE">
        <w:rPr>
          <w:color w:val="000000" w:themeColor="text1"/>
          <w:lang w:val="ru-RU"/>
        </w:rPr>
        <w:t>Быстроходный гусеничный артиллерий</w:t>
      </w:r>
      <w:r w:rsidRPr="00070ADE">
        <w:rPr>
          <w:color w:val="000000" w:themeColor="text1"/>
          <w:lang w:val="ru-RU"/>
        </w:rPr>
        <w:softHyphen/>
        <w:t>ский тягач АТ-45 большой мощности был раз</w:t>
      </w:r>
      <w:r w:rsidRPr="00070ADE">
        <w:rPr>
          <w:color w:val="000000" w:themeColor="text1"/>
          <w:lang w:val="ru-RU"/>
        </w:rPr>
        <w:softHyphen/>
        <w:t>работан с широким использованием узлов и механизмов ходовой части и трансмиссии танка Т-34 (унификация достигала 60%), что в значительной мере облегчало организацию его серийного производства, а также эксплу</w:t>
      </w:r>
      <w:r w:rsidRPr="00070ADE">
        <w:rPr>
          <w:color w:val="000000" w:themeColor="text1"/>
          <w:lang w:val="ru-RU"/>
        </w:rPr>
        <w:softHyphen/>
        <w:t>атацию и ремонт как в частях Красной Армии, так и в промышленности.</w:t>
      </w:r>
    </w:p>
    <w:p w14:paraId="171A55DE" w14:textId="77777777" w:rsidR="00714AC7" w:rsidRPr="00070ADE" w:rsidRDefault="00714AC7" w:rsidP="00B56F90">
      <w:pPr>
        <w:pStyle w:val="a3"/>
        <w:rPr>
          <w:color w:val="000000" w:themeColor="text1"/>
          <w:lang w:val="ru-RU"/>
        </w:rPr>
      </w:pPr>
      <w:r w:rsidRPr="00070ADE">
        <w:rPr>
          <w:color w:val="000000" w:themeColor="text1"/>
          <w:lang w:val="ru-RU"/>
        </w:rPr>
        <w:t>По аналогии с ранее выпускавшимися за</w:t>
      </w:r>
      <w:r w:rsidRPr="00070ADE">
        <w:rPr>
          <w:color w:val="000000" w:themeColor="text1"/>
          <w:lang w:val="ru-RU"/>
        </w:rPr>
        <w:softHyphen/>
        <w:t>водом №183 тягачами («Коминтерн», «Воро</w:t>
      </w:r>
      <w:r w:rsidRPr="00070ADE">
        <w:rPr>
          <w:color w:val="000000" w:themeColor="text1"/>
          <w:lang w:val="ru-RU"/>
        </w:rPr>
        <w:softHyphen/>
        <w:t>шиловец»), общая компоновка тягача АТ-45 была выполнена с передним расположением двигателя. Масса пустого АТ-45 оказалась на 2 т больше, чем у «Ворошиловца» (16500 кг), а в рабочем состоянии достигала 19 т (против 15500 кг у предшественника). С полной загруз</w:t>
      </w:r>
      <w:r w:rsidRPr="00070ADE">
        <w:rPr>
          <w:color w:val="000000" w:themeColor="text1"/>
          <w:lang w:val="ru-RU"/>
        </w:rPr>
        <w:softHyphen/>
        <w:t>кой в кузове масса АТ-45 равнялась 25 т.</w:t>
      </w:r>
    </w:p>
    <w:p w14:paraId="685CD48D" w14:textId="77777777" w:rsidR="00714AC7" w:rsidRPr="00070ADE" w:rsidRDefault="00714AC7" w:rsidP="00B56F90">
      <w:pPr>
        <w:pStyle w:val="a3"/>
        <w:rPr>
          <w:color w:val="000000" w:themeColor="text1"/>
          <w:lang w:val="ru-RU"/>
        </w:rPr>
      </w:pPr>
      <w:r w:rsidRPr="00070ADE">
        <w:rPr>
          <w:color w:val="000000" w:themeColor="text1"/>
          <w:lang w:val="ru-RU"/>
        </w:rPr>
        <w:t>Все агрегаты АТ-45 монтировались на сварной коробчатой раме (типа «башмак»), В ее передних углах были вварены кронштей</w:t>
      </w:r>
      <w:r w:rsidRPr="00070ADE">
        <w:rPr>
          <w:color w:val="000000" w:themeColor="text1"/>
          <w:lang w:val="ru-RU"/>
        </w:rPr>
        <w:softHyphen/>
        <w:t xml:space="preserve">ны ленивцев и коробки натяжных </w:t>
      </w:r>
      <w:r w:rsidRPr="00070ADE">
        <w:rPr>
          <w:color w:val="000000" w:themeColor="text1"/>
          <w:lang w:val="ru-RU"/>
        </w:rPr>
        <w:lastRenderedPageBreak/>
        <w:t>механизмов. Сверху в передней части находился секцион</w:t>
      </w:r>
      <w:r w:rsidRPr="00070ADE">
        <w:rPr>
          <w:color w:val="000000" w:themeColor="text1"/>
          <w:lang w:val="ru-RU"/>
        </w:rPr>
        <w:softHyphen/>
        <w:t>ный радиатор. Масляный радиатор состоял из трех секций (три левые секции по ходу тягача), смонтированных в общей раме водяного ради</w:t>
      </w:r>
      <w:r w:rsidRPr="00070ADE">
        <w:rPr>
          <w:color w:val="000000" w:themeColor="text1"/>
          <w:lang w:val="ru-RU"/>
        </w:rPr>
        <w:softHyphen/>
        <w:t>атора. Непосредственно за радиатором стояли два вентилятора с клиновым ременным приво</w:t>
      </w:r>
      <w:r w:rsidRPr="00070ADE">
        <w:rPr>
          <w:color w:val="000000" w:themeColor="text1"/>
          <w:lang w:val="ru-RU"/>
        </w:rPr>
        <w:softHyphen/>
        <w:t>дом от шкива на коленчатом валу двигателя.</w:t>
      </w:r>
    </w:p>
    <w:p w14:paraId="4C531A2F" w14:textId="77777777" w:rsidR="00714AC7" w:rsidRPr="00070ADE" w:rsidRDefault="00714AC7" w:rsidP="00B56F90">
      <w:pPr>
        <w:pStyle w:val="a3"/>
        <w:rPr>
          <w:color w:val="000000" w:themeColor="text1"/>
          <w:lang w:val="ru-RU"/>
        </w:rPr>
      </w:pPr>
      <w:r w:rsidRPr="00070ADE">
        <w:rPr>
          <w:color w:val="000000" w:themeColor="text1"/>
          <w:lang w:val="ru-RU"/>
        </w:rPr>
        <w:t>В передней части рамы размещался двигатель В2-45 с главным фрикционом, за</w:t>
      </w:r>
      <w:r w:rsidRPr="00070ADE">
        <w:rPr>
          <w:color w:val="000000" w:themeColor="text1"/>
          <w:lang w:val="ru-RU"/>
        </w:rPr>
        <w:softHyphen/>
        <w:t>имствованным от танка Т-34. По обеим сто</w:t>
      </w:r>
      <w:r w:rsidRPr="00070ADE">
        <w:rPr>
          <w:color w:val="000000" w:themeColor="text1"/>
          <w:lang w:val="ru-RU"/>
        </w:rPr>
        <w:softHyphen/>
        <w:t>ронам от двигателя в межрамном простран</w:t>
      </w:r>
      <w:r w:rsidRPr="00070ADE">
        <w:rPr>
          <w:color w:val="000000" w:themeColor="text1"/>
          <w:lang w:val="ru-RU"/>
        </w:rPr>
        <w:softHyphen/>
        <w:t>стве были установлены передний топливный (емкость 320 л) и масляный (разделенный перегородкой на дба отсека: рабочий емко</w:t>
      </w:r>
      <w:r w:rsidRPr="00070ADE">
        <w:rPr>
          <w:color w:val="000000" w:themeColor="text1"/>
          <w:lang w:val="ru-RU"/>
        </w:rPr>
        <w:softHyphen/>
        <w:t>стью 60 л и запасной, емкостью 190 л) баки. Позади них находились воздухоочистители типа «Мультициклон» (также от Т-34). Рядом с правым воздухоочистителем располагались четыре аккумулятора. Непосредственно за главным фрикционом размещался промежу</w:t>
      </w:r>
      <w:r w:rsidRPr="00070ADE">
        <w:rPr>
          <w:color w:val="000000" w:themeColor="text1"/>
          <w:lang w:val="ru-RU"/>
        </w:rPr>
        <w:softHyphen/>
        <w:t>точный вал, на картере которого монтировал</w:t>
      </w:r>
      <w:r w:rsidRPr="00070ADE">
        <w:rPr>
          <w:color w:val="000000" w:themeColor="text1"/>
          <w:lang w:val="ru-RU"/>
        </w:rPr>
        <w:softHyphen/>
        <w:t>ся электростартер.</w:t>
      </w:r>
    </w:p>
    <w:p w14:paraId="2B206BAC" w14:textId="77777777" w:rsidR="00714AC7" w:rsidRPr="00070ADE" w:rsidRDefault="00714AC7" w:rsidP="00B56F90">
      <w:pPr>
        <w:pStyle w:val="1a"/>
        <w:shd w:val="clear" w:color="auto" w:fill="auto"/>
        <w:spacing w:line="240" w:lineRule="auto"/>
        <w:jc w:val="both"/>
        <w:rPr>
          <w:rFonts w:ascii="Times New Roman" w:hAnsi="Times New Roman" w:cs="Times New Roman"/>
          <w:color w:val="000000" w:themeColor="text1"/>
          <w:sz w:val="16"/>
          <w:szCs w:val="16"/>
          <w:lang w:val="ru-RU"/>
        </w:rPr>
      </w:pPr>
      <w:r w:rsidRPr="00070ADE">
        <w:rPr>
          <w:rFonts w:ascii="Times New Roman" w:hAnsi="Times New Roman" w:cs="Times New Roman"/>
          <w:color w:val="000000" w:themeColor="text1"/>
          <w:sz w:val="16"/>
          <w:szCs w:val="16"/>
          <w:lang w:val="ru-RU"/>
        </w:rPr>
        <w:t>Рама тягача с вваренным задним мостом и кронштейнами торсионных валов в процессе монтажа элементов и узлов. Внизу - после установки двигателя ихоробки передач.</w:t>
      </w:r>
    </w:p>
    <w:p w14:paraId="15CF5CDC" w14:textId="77777777" w:rsidR="00714AC7" w:rsidRPr="00070ADE" w:rsidRDefault="00714AC7" w:rsidP="00B56F90">
      <w:pPr>
        <w:pStyle w:val="1a"/>
        <w:shd w:val="clear" w:color="auto" w:fill="auto"/>
        <w:spacing w:line="240" w:lineRule="auto"/>
        <w:jc w:val="both"/>
        <w:rPr>
          <w:rFonts w:ascii="Times New Roman" w:hAnsi="Times New Roman" w:cs="Times New Roman"/>
          <w:color w:val="000000" w:themeColor="text1"/>
          <w:sz w:val="16"/>
          <w:szCs w:val="16"/>
          <w:lang w:val="ru-RU"/>
        </w:rPr>
      </w:pPr>
      <w:r w:rsidRPr="00070ADE">
        <w:rPr>
          <w:rFonts w:ascii="Times New Roman" w:hAnsi="Times New Roman" w:cs="Times New Roman"/>
          <w:color w:val="000000" w:themeColor="text1"/>
          <w:sz w:val="16"/>
          <w:szCs w:val="16"/>
          <w:lang w:val="ru-RU"/>
        </w:rPr>
        <w:t>Ходовая часть тягача АТ-45 перед монтажом гусеницы. Ведущее колесо и опорные катки заимствованы от танка Т-34.</w:t>
      </w:r>
    </w:p>
    <w:p w14:paraId="4F2A2050" w14:textId="77777777" w:rsidR="00714AC7" w:rsidRPr="00070ADE" w:rsidRDefault="00714AC7" w:rsidP="00B56F90">
      <w:pPr>
        <w:pStyle w:val="a3"/>
        <w:rPr>
          <w:color w:val="000000" w:themeColor="text1"/>
          <w:lang w:val="ru-RU"/>
        </w:rPr>
      </w:pPr>
      <w:r w:rsidRPr="00070ADE">
        <w:rPr>
          <w:color w:val="000000" w:themeColor="text1"/>
          <w:lang w:val="ru-RU"/>
        </w:rPr>
        <w:t>В средней части рамы размещались два задних топливных бака общей емкостью 1100 л, между которыми проходил карданный вал, соединяющий промежуточный вал с ко</w:t>
      </w:r>
      <w:r w:rsidRPr="00070ADE">
        <w:rPr>
          <w:color w:val="000000" w:themeColor="text1"/>
          <w:lang w:val="ru-RU"/>
        </w:rPr>
        <w:softHyphen/>
        <w:t>робкой передач.</w:t>
      </w:r>
    </w:p>
    <w:p w14:paraId="1E268657" w14:textId="77777777" w:rsidR="00714AC7" w:rsidRPr="00070ADE" w:rsidRDefault="00714AC7" w:rsidP="00B56F90">
      <w:pPr>
        <w:pStyle w:val="a3"/>
        <w:rPr>
          <w:color w:val="000000" w:themeColor="text1"/>
          <w:lang w:val="ru-RU"/>
        </w:rPr>
      </w:pPr>
      <w:r w:rsidRPr="00070ADE">
        <w:rPr>
          <w:color w:val="000000" w:themeColor="text1"/>
          <w:lang w:val="ru-RU"/>
        </w:rPr>
        <w:t>В задней части рамы располагалась ко</w:t>
      </w:r>
      <w:r w:rsidRPr="00070ADE">
        <w:rPr>
          <w:color w:val="000000" w:themeColor="text1"/>
          <w:lang w:val="ru-RU"/>
        </w:rPr>
        <w:softHyphen/>
        <w:t>робка передач с бортовыми фрикционами и тормозами (их конструкция была полно</w:t>
      </w:r>
      <w:r w:rsidRPr="00070ADE">
        <w:rPr>
          <w:color w:val="000000" w:themeColor="text1"/>
          <w:lang w:val="ru-RU"/>
        </w:rPr>
        <w:softHyphen/>
        <w:t>стью взаимозаменяема с соответствующими агрегатами танка Т-34, за исключением под</w:t>
      </w:r>
      <w:r w:rsidRPr="00070ADE">
        <w:rPr>
          <w:color w:val="000000" w:themeColor="text1"/>
          <w:lang w:val="ru-RU"/>
        </w:rPr>
        <w:softHyphen/>
        <w:t>вески тормозных лент). В кормовой части рамы размещались бортовые передачи со съемными крышками картеров и прицепное устройство.</w:t>
      </w:r>
    </w:p>
    <w:p w14:paraId="46FC72F3" w14:textId="77777777" w:rsidR="00714AC7" w:rsidRPr="00070ADE" w:rsidRDefault="00714AC7" w:rsidP="00B56F90">
      <w:pPr>
        <w:pStyle w:val="a3"/>
        <w:rPr>
          <w:color w:val="000000" w:themeColor="text1"/>
          <w:lang w:val="ru-RU"/>
        </w:rPr>
      </w:pPr>
      <w:r w:rsidRPr="00070ADE">
        <w:rPr>
          <w:color w:val="000000" w:themeColor="text1"/>
          <w:lang w:val="ru-RU"/>
        </w:rPr>
        <w:t>Дизель В2-45 мощностью 350 л.с. (257,4 кВт) при 1400 об/мин (у «Ворошиловца» - 375 л.с. (275,7 кВт) при 1500 об/мин), по сути, являл</w:t>
      </w:r>
      <w:r w:rsidRPr="00070ADE">
        <w:rPr>
          <w:color w:val="000000" w:themeColor="text1"/>
          <w:lang w:val="ru-RU"/>
        </w:rPr>
        <w:softHyphen/>
        <w:t>ся дёфорсированным вариантом танкового 2В-34 и отличался от него, прежде всего, наличием всережимного регулятора, про- тарированного на заниженное число обо</w:t>
      </w:r>
      <w:r w:rsidRPr="00070ADE">
        <w:rPr>
          <w:color w:val="000000" w:themeColor="text1"/>
          <w:lang w:val="ru-RU"/>
        </w:rPr>
        <w:softHyphen/>
        <w:t>ротов, и измененной соединительной втул</w:t>
      </w:r>
      <w:r w:rsidRPr="00070ADE">
        <w:rPr>
          <w:color w:val="000000" w:themeColor="text1"/>
          <w:lang w:val="ru-RU"/>
        </w:rPr>
        <w:softHyphen/>
        <w:t>кой привода к вентилятору. Пуск двигателя осуществлялся электростартером, как и на «Ворошиловце». Имелась пневмосистема, обеспечивающая зарядку баллонов для пу</w:t>
      </w:r>
      <w:r w:rsidRPr="00070ADE">
        <w:rPr>
          <w:color w:val="000000" w:themeColor="text1"/>
          <w:lang w:val="ru-RU"/>
        </w:rPr>
        <w:softHyphen/>
        <w:t>ска двигателя. Максимальная скорость АТ-45 по шоссе составляла 35,2 км/ч - немногим меньше, чем у довоенной машины (36,2 км/ч). Среднее давление на грунт у АТ-45 с грузом в кузове было 0,7 кгс/см</w:t>
      </w:r>
      <w:r w:rsidRPr="00070ADE">
        <w:rPr>
          <w:color w:val="000000" w:themeColor="text1"/>
          <w:vertAlign w:val="superscript"/>
          <w:lang w:val="ru-RU"/>
        </w:rPr>
        <w:t>2</w:t>
      </w:r>
      <w:r w:rsidRPr="00070ADE">
        <w:rPr>
          <w:color w:val="000000" w:themeColor="text1"/>
          <w:lang w:val="ru-RU"/>
        </w:rPr>
        <w:t>, а у «Ворошилов</w:t>
      </w:r>
      <w:r w:rsidRPr="00070ADE">
        <w:rPr>
          <w:color w:val="000000" w:themeColor="text1"/>
          <w:lang w:val="ru-RU"/>
        </w:rPr>
        <w:softHyphen/>
        <w:t>ца» - 0,578 кгс/см</w:t>
      </w:r>
      <w:r w:rsidRPr="00070ADE">
        <w:rPr>
          <w:color w:val="000000" w:themeColor="text1"/>
          <w:vertAlign w:val="superscript"/>
          <w:lang w:val="ru-RU"/>
        </w:rPr>
        <w:t>2</w:t>
      </w:r>
      <w:r w:rsidRPr="00070ADE">
        <w:rPr>
          <w:color w:val="000000" w:themeColor="text1"/>
          <w:lang w:val="ru-RU"/>
        </w:rPr>
        <w:t>.</w:t>
      </w:r>
    </w:p>
    <w:p w14:paraId="5DD2A8B8" w14:textId="77777777" w:rsidR="00714AC7" w:rsidRPr="00070ADE" w:rsidRDefault="00714AC7" w:rsidP="00B56F90">
      <w:pPr>
        <w:pStyle w:val="a3"/>
        <w:rPr>
          <w:color w:val="000000" w:themeColor="text1"/>
          <w:lang w:val="ru-RU"/>
        </w:rPr>
      </w:pPr>
      <w:r w:rsidRPr="00070ADE">
        <w:rPr>
          <w:color w:val="000000" w:themeColor="text1"/>
          <w:lang w:val="ru-RU"/>
        </w:rPr>
        <w:t>Общая емкость топливной системы АТ-45 составляла 1420 л, что значительно превыша</w:t>
      </w:r>
      <w:r w:rsidRPr="00070ADE">
        <w:rPr>
          <w:color w:val="000000" w:themeColor="text1"/>
          <w:lang w:val="ru-RU"/>
        </w:rPr>
        <w:softHyphen/>
        <w:t>ло аналогичный показатель «Ворошиловца», два топливных бака которого вмещали всего 550 л. В результате, у нового тягача оказался выше и часовой запас хода топливу в 3 раза - 30 ч против 10 ч.</w:t>
      </w:r>
    </w:p>
    <w:p w14:paraId="759F8FE1" w14:textId="77777777" w:rsidR="00714AC7" w:rsidRPr="00070ADE" w:rsidRDefault="00714AC7" w:rsidP="00B56F90">
      <w:pPr>
        <w:pStyle w:val="a3"/>
        <w:rPr>
          <w:color w:val="000000" w:themeColor="text1"/>
          <w:lang w:val="ru-RU"/>
        </w:rPr>
      </w:pPr>
      <w:r w:rsidRPr="00070ADE">
        <w:rPr>
          <w:rStyle w:val="MSGothic"/>
          <w:rFonts w:ascii="Times New Roman" w:hAnsi="Times New Roman" w:cs="Times New Roman"/>
          <w:color w:val="000000" w:themeColor="text1"/>
          <w:sz w:val="16"/>
          <w:szCs w:val="16"/>
          <w:lang w:val="ru-RU"/>
        </w:rPr>
        <w:t>у</w:t>
      </w:r>
      <w:r w:rsidRPr="00070ADE">
        <w:rPr>
          <w:color w:val="000000" w:themeColor="text1"/>
          <w:lang w:val="ru-RU"/>
        </w:rPr>
        <w:t xml:space="preserve"> Жидкостная система охлаждения двига</w:t>
      </w:r>
      <w:r w:rsidRPr="00070ADE">
        <w:rPr>
          <w:color w:val="000000" w:themeColor="text1"/>
          <w:lang w:val="ru-RU"/>
        </w:rPr>
        <w:softHyphen/>
        <w:t>теля (с принуда|ельной циркуляцией через радиатор двигателя) обеспечивала эксплуа</w:t>
      </w:r>
      <w:r w:rsidRPr="00070ADE">
        <w:rPr>
          <w:color w:val="000000" w:themeColor="text1"/>
          <w:lang w:val="ru-RU"/>
        </w:rPr>
        <w:softHyphen/>
        <w:t>тацию тягача в условиях широкого диапазона температур окружающего воздуха. Заправоч</w:t>
      </w:r>
      <w:r w:rsidRPr="00070ADE">
        <w:rPr>
          <w:color w:val="000000" w:themeColor="text1"/>
          <w:lang w:val="ru-RU"/>
        </w:rPr>
        <w:softHyphen/>
        <w:t>ная емкость -100л.</w:t>
      </w:r>
    </w:p>
    <w:p w14:paraId="055FA04E" w14:textId="77777777" w:rsidR="00714AC7" w:rsidRPr="00070ADE" w:rsidRDefault="00714AC7" w:rsidP="00B56F90">
      <w:pPr>
        <w:pStyle w:val="a3"/>
        <w:rPr>
          <w:color w:val="000000" w:themeColor="text1"/>
          <w:lang w:val="ru-RU"/>
        </w:rPr>
      </w:pPr>
      <w:r w:rsidRPr="00070ADE">
        <w:rPr>
          <w:color w:val="000000" w:themeColor="text1"/>
          <w:lang w:val="ru-RU"/>
        </w:rPr>
        <w:t>Удельная мощность - 18,4 л.с./т (у «Воро- шиловца»-24,0л.с./т).</w:t>
      </w:r>
    </w:p>
    <w:p w14:paraId="409583AA" w14:textId="77777777" w:rsidR="00714AC7" w:rsidRPr="00070ADE" w:rsidRDefault="00714AC7" w:rsidP="00B56F90">
      <w:pPr>
        <w:pStyle w:val="a3"/>
        <w:rPr>
          <w:color w:val="000000" w:themeColor="text1"/>
          <w:lang w:val="ru-RU"/>
        </w:rPr>
      </w:pPr>
      <w:r w:rsidRPr="00070ADE">
        <w:rPr>
          <w:color w:val="000000" w:themeColor="text1"/>
          <w:lang w:val="ru-RU"/>
        </w:rPr>
        <w:t>Хрутящий момент двигателя передавал</w:t>
      </w:r>
      <w:r w:rsidRPr="00070ADE">
        <w:rPr>
          <w:color w:val="000000" w:themeColor="text1"/>
          <w:lang w:val="ru-RU"/>
        </w:rPr>
        <w:softHyphen/>
        <w:t>ся на гусеницы по следующей кинематической: схеме: «двигатель - главный фрикцион - про</w:t>
      </w:r>
      <w:r w:rsidRPr="00070ADE">
        <w:rPr>
          <w:color w:val="000000" w:themeColor="text1"/>
          <w:lang w:val="ru-RU"/>
        </w:rPr>
        <w:softHyphen/>
        <w:t>межуточный вал - карданный вал - коробка пе</w:t>
      </w:r>
      <w:r w:rsidRPr="00070ADE">
        <w:rPr>
          <w:color w:val="000000" w:themeColor="text1"/>
          <w:lang w:val="ru-RU"/>
        </w:rPr>
        <w:softHyphen/>
        <w:t>ремены передач - бортовые фрикционы - бор</w:t>
      </w:r>
      <w:r w:rsidRPr="00070ADE">
        <w:rPr>
          <w:color w:val="000000" w:themeColor="text1"/>
          <w:lang w:val="ru-RU"/>
        </w:rPr>
        <w:softHyphen/>
        <w:t>товые передачи - ведущие колеса - гусеницы».</w:t>
      </w:r>
    </w:p>
    <w:p w14:paraId="42E8D47E" w14:textId="77777777" w:rsidR="00714AC7" w:rsidRPr="00070ADE" w:rsidRDefault="00714AC7" w:rsidP="00B56F90">
      <w:pPr>
        <w:pStyle w:val="a3"/>
        <w:rPr>
          <w:color w:val="000000" w:themeColor="text1"/>
          <w:lang w:val="ru-RU"/>
        </w:rPr>
      </w:pPr>
      <w:r w:rsidRPr="00070ADE">
        <w:rPr>
          <w:color w:val="000000" w:themeColor="text1"/>
          <w:lang w:val="ru-RU"/>
        </w:rPr>
        <w:t>Ведомый барабан главного фрикциона со</w:t>
      </w:r>
      <w:r w:rsidRPr="00070ADE">
        <w:rPr>
          <w:color w:val="000000" w:themeColor="text1"/>
          <w:lang w:val="ru-RU"/>
        </w:rPr>
        <w:softHyphen/>
        <w:t>единялся с промежуточным валом при помощи зубчатой муфты танка Т-34. Промежуточный вал служил для уменьшения длины карданного вала и разгрузки главного фрикциона от</w:t>
      </w:r>
      <w:r w:rsidRPr="00070ADE">
        <w:rPr>
          <w:rStyle w:val="10pt"/>
          <w:rFonts w:ascii="Times New Roman" w:cs="Times New Roman"/>
          <w:color w:val="000000" w:themeColor="text1"/>
          <w:spacing w:val="0"/>
          <w:sz w:val="16"/>
          <w:szCs w:val="16"/>
          <w:lang w:val="ru-RU"/>
        </w:rPr>
        <w:t xml:space="preserve"> ради</w:t>
      </w:r>
      <w:r w:rsidRPr="00070ADE">
        <w:rPr>
          <w:rStyle w:val="10pt"/>
          <w:rFonts w:ascii="Times New Roman" w:cs="Times New Roman"/>
          <w:color w:val="000000" w:themeColor="text1"/>
          <w:spacing w:val="0"/>
          <w:sz w:val="16"/>
          <w:szCs w:val="16"/>
          <w:lang w:val="ru-RU"/>
        </w:rPr>
        <w:softHyphen/>
      </w:r>
      <w:r w:rsidRPr="00070ADE">
        <w:rPr>
          <w:color w:val="000000" w:themeColor="text1"/>
          <w:lang w:val="ru-RU"/>
        </w:rPr>
        <w:t>альных усилий; Карданный вал соединялся с промежуточным валом и первичным валом ко</w:t>
      </w:r>
      <w:r w:rsidRPr="00070ADE">
        <w:rPr>
          <w:color w:val="000000" w:themeColor="text1"/>
          <w:lang w:val="ru-RU"/>
        </w:rPr>
        <w:softHyphen/>
        <w:t>робки передач при помощи зубовых муфт.</w:t>
      </w:r>
    </w:p>
    <w:p w14:paraId="792CC767" w14:textId="77777777" w:rsidR="00714AC7" w:rsidRPr="00070ADE" w:rsidRDefault="00714AC7" w:rsidP="00B56F90">
      <w:pPr>
        <w:pStyle w:val="a3"/>
        <w:rPr>
          <w:color w:val="000000" w:themeColor="text1"/>
          <w:lang w:val="ru-RU"/>
        </w:rPr>
      </w:pPr>
      <w:r w:rsidRPr="00070ADE">
        <w:rPr>
          <w:color w:val="000000" w:themeColor="text1"/>
          <w:lang w:val="ru-RU"/>
        </w:rPr>
        <w:t>Установка коробки передач с бортовыми фрикционами в раме тягача была выполнена по аналогии с Т-34. Ведущая шестерня бор</w:t>
      </w:r>
      <w:r w:rsidRPr="00070ADE">
        <w:rPr>
          <w:color w:val="000000" w:themeColor="text1"/>
          <w:lang w:val="ru-RU"/>
        </w:rPr>
        <w:softHyphen/>
        <w:t>товой передачи вместе с опорными подшип</w:t>
      </w:r>
      <w:r w:rsidRPr="00070ADE">
        <w:rPr>
          <w:color w:val="000000" w:themeColor="text1"/>
          <w:lang w:val="ru-RU"/>
        </w:rPr>
        <w:softHyphen/>
        <w:t>никами заимствовалась также от танка. Ведо</w:t>
      </w:r>
      <w:r w:rsidRPr="00070ADE">
        <w:rPr>
          <w:color w:val="000000" w:themeColor="text1"/>
          <w:lang w:val="ru-RU"/>
        </w:rPr>
        <w:softHyphen/>
        <w:t>мая шестерня на АТ-45 имела 62 зуба вместо 57 Зубьев на шестерне бортовой передачи Т-34. Подшипники ведомого вала бортовой передачи были усилены по сравнению с под</w:t>
      </w:r>
      <w:r w:rsidRPr="00070ADE">
        <w:rPr>
          <w:color w:val="000000" w:themeColor="text1"/>
          <w:lang w:val="ru-RU"/>
        </w:rPr>
        <w:softHyphen/>
        <w:t>шипниками танка. Ведущие колеса заимство</w:t>
      </w:r>
      <w:r w:rsidRPr="00070ADE">
        <w:rPr>
          <w:color w:val="000000" w:themeColor="text1"/>
          <w:lang w:val="ru-RU"/>
        </w:rPr>
        <w:softHyphen/>
        <w:t>вались от «тридцатьчетверка.</w:t>
      </w:r>
    </w:p>
    <w:p w14:paraId="45EAAE42" w14:textId="77777777" w:rsidR="00714AC7" w:rsidRPr="00070ADE" w:rsidRDefault="00714AC7" w:rsidP="00B56F90">
      <w:pPr>
        <w:pStyle w:val="a3"/>
        <w:rPr>
          <w:color w:val="000000" w:themeColor="text1"/>
          <w:lang w:val="ru-RU"/>
        </w:rPr>
      </w:pPr>
      <w:r w:rsidRPr="00070ADE">
        <w:rPr>
          <w:color w:val="000000" w:themeColor="text1"/>
          <w:lang w:val="ru-RU"/>
        </w:rPr>
        <w:t>Пбдвеска тягача, в отличие от танка Т-34, была торсионная (с поперечным расположени</w:t>
      </w:r>
      <w:r w:rsidRPr="00070ADE">
        <w:rPr>
          <w:color w:val="000000" w:themeColor="text1"/>
          <w:lang w:val="ru-RU"/>
        </w:rPr>
        <w:softHyphen/>
        <w:t>ем</w:t>
      </w:r>
      <w:r w:rsidRPr="00070ADE">
        <w:rPr>
          <w:rStyle w:val="MSReferenceSansSerif"/>
          <w:rFonts w:ascii="Times New Roman" w:hAnsi="Times New Roman" w:cs="Times New Roman"/>
          <w:color w:val="000000" w:themeColor="text1"/>
          <w:sz w:val="16"/>
          <w:szCs w:val="16"/>
          <w:lang w:val="ru-RU"/>
        </w:rPr>
        <w:t xml:space="preserve"> ТОРСИОННЫХ</w:t>
      </w:r>
      <w:r w:rsidRPr="00070ADE">
        <w:rPr>
          <w:color w:val="000000" w:themeColor="text1"/>
          <w:lang w:val="ru-RU"/>
        </w:rPr>
        <w:t xml:space="preserve"> валОВ),</w:t>
      </w:r>
      <w:r w:rsidRPr="00070ADE">
        <w:rPr>
          <w:rStyle w:val="MSReferenceSansSerif"/>
          <w:rFonts w:ascii="Times New Roman" w:hAnsi="Times New Roman" w:cs="Times New Roman"/>
          <w:color w:val="000000" w:themeColor="text1"/>
          <w:sz w:val="16"/>
          <w:szCs w:val="16"/>
          <w:lang w:val="ru-RU"/>
        </w:rPr>
        <w:t xml:space="preserve"> ЧТО:</w:t>
      </w:r>
      <w:r w:rsidRPr="00070ADE">
        <w:rPr>
          <w:color w:val="000000" w:themeColor="text1"/>
          <w:lang w:val="ru-RU"/>
        </w:rPr>
        <w:t xml:space="preserve"> позволило, Помимо более плавного хода, использовать внутри- рамное пространство для размещения топлив</w:t>
      </w:r>
      <w:r w:rsidRPr="00070ADE">
        <w:rPr>
          <w:color w:val="000000" w:themeColor="text1"/>
          <w:lang w:val="ru-RU"/>
        </w:rPr>
        <w:softHyphen/>
        <w:t>ных баков большой емкости.</w:t>
      </w:r>
    </w:p>
    <w:p w14:paraId="572BECEC" w14:textId="77777777" w:rsidR="00714AC7" w:rsidRPr="00070ADE" w:rsidRDefault="00714AC7" w:rsidP="00B56F90">
      <w:pPr>
        <w:pStyle w:val="a3"/>
        <w:rPr>
          <w:color w:val="000000" w:themeColor="text1"/>
          <w:lang w:val="ru-RU"/>
        </w:rPr>
      </w:pPr>
      <w:r w:rsidRPr="00070ADE">
        <w:rPr>
          <w:color w:val="000000" w:themeColor="text1"/>
          <w:lang w:val="ru-RU"/>
        </w:rPr>
        <w:t>Сдвоенные опорные катки (пять на каждый борт) заимствовались от Т-34 без каких-либо изменений. Ленивец (также от Т-34) был смон</w:t>
      </w:r>
      <w:r w:rsidRPr="00070ADE">
        <w:rPr>
          <w:color w:val="000000" w:themeColor="text1"/>
          <w:lang w:val="ru-RU"/>
        </w:rPr>
        <w:softHyphen/>
        <w:t>тирован на кривошипе. Натяжение гусениц и фиксирование кривошипа ленивца осущест</w:t>
      </w:r>
      <w:r w:rsidRPr="00070ADE">
        <w:rPr>
          <w:color w:val="000000" w:themeColor="text1"/>
          <w:lang w:val="ru-RU"/>
        </w:rPr>
        <w:softHyphen/>
        <w:t>влялось при помощи винта.</w:t>
      </w:r>
    </w:p>
    <w:p w14:paraId="4B2CF67F" w14:textId="77777777" w:rsidR="00714AC7" w:rsidRPr="00070ADE" w:rsidRDefault="00714AC7" w:rsidP="00B56F90">
      <w:pPr>
        <w:pStyle w:val="a3"/>
        <w:rPr>
          <w:color w:val="000000" w:themeColor="text1"/>
          <w:lang w:val="ru-RU"/>
        </w:rPr>
      </w:pPr>
      <w:r w:rsidRPr="00070ADE">
        <w:rPr>
          <w:color w:val="000000" w:themeColor="text1"/>
          <w:lang w:val="ru-RU"/>
        </w:rPr>
        <w:t>Каждая гусеница состояла из 36 гребневых траков (от Т-34) и 36 Специальных безгреб</w:t>
      </w:r>
      <w:r w:rsidRPr="00070ADE">
        <w:rPr>
          <w:color w:val="000000" w:themeColor="text1"/>
          <w:lang w:val="ru-RU"/>
        </w:rPr>
        <w:softHyphen/>
        <w:t>невых траков, взаимозаменяемых с: безгреб- невыйй "траками ;танка.«Безгребневые траки ймейгпазы и^ ртдарййя-для (фепярмя доба</w:t>
      </w:r>
      <w:r w:rsidRPr="00070ADE">
        <w:rPr>
          <w:color w:val="000000" w:themeColor="text1"/>
          <w:lang w:val="ru-RU"/>
        </w:rPr>
        <w:softHyphen/>
        <w:t>вочных почВозацёпов оригинальной конструк</w:t>
      </w:r>
      <w:r w:rsidRPr="00070ADE">
        <w:rPr>
          <w:color w:val="000000" w:themeColor="text1"/>
          <w:lang w:val="ru-RU"/>
        </w:rPr>
        <w:softHyphen/>
        <w:t>ции, обеспечивавших сцепление гусеницы с грунтом при движении АТ-45 по плохим доро- гам. В ЗИП тягача входили 24 почвозацепа.</w:t>
      </w:r>
    </w:p>
    <w:p w14:paraId="16F93B09" w14:textId="77777777" w:rsidR="00714AC7" w:rsidRPr="00070ADE" w:rsidRDefault="00714AC7" w:rsidP="00B56F90">
      <w:pPr>
        <w:pStyle w:val="a3"/>
        <w:rPr>
          <w:color w:val="000000" w:themeColor="text1"/>
          <w:lang w:val="ru-RU"/>
        </w:rPr>
      </w:pPr>
      <w:r w:rsidRPr="00070ADE">
        <w:rPr>
          <w:color w:val="000000" w:themeColor="text1"/>
          <w:lang w:val="ru-RU"/>
        </w:rPr>
        <w:t>Прицепное устройство - с пружинным амортизатором (две буферные вагонные пру</w:t>
      </w:r>
      <w:r w:rsidRPr="00070ADE">
        <w:rPr>
          <w:color w:val="000000" w:themeColor="text1"/>
          <w:lang w:val="ru-RU"/>
        </w:rPr>
        <w:softHyphen/>
        <w:t>жины^ Для Вытаскивания застрявших или аварийных машин использовался полиспаст (количество</w:t>
      </w:r>
      <w:r w:rsidRPr="00070ADE">
        <w:rPr>
          <w:color w:val="000000" w:themeColor="text1"/>
          <w:vertAlign w:val="superscript"/>
          <w:lang w:val="ru-RU"/>
        </w:rPr>
        <w:t>1</w:t>
      </w:r>
      <w:r w:rsidRPr="00070ADE">
        <w:rPr>
          <w:color w:val="000000" w:themeColor="text1"/>
          <w:lang w:val="ru-RU"/>
        </w:rPr>
        <w:t xml:space="preserve"> параллельно работающих вет</w:t>
      </w:r>
      <w:r w:rsidRPr="00070ADE">
        <w:rPr>
          <w:color w:val="000000" w:themeColor="text1"/>
          <w:lang w:val="ru-RU"/>
        </w:rPr>
        <w:softHyphen/>
        <w:t>вей - до трех). Длина развернутого троса по</w:t>
      </w:r>
      <w:r w:rsidRPr="00070ADE">
        <w:rPr>
          <w:color w:val="000000" w:themeColor="text1"/>
          <w:lang w:val="ru-RU"/>
        </w:rPr>
        <w:softHyphen/>
        <w:t>лиспаста достигала 90 м, при этом тяговое усилие на тросе составляло 9 тс. Тяговое уси</w:t>
      </w:r>
      <w:r w:rsidRPr="00070ADE">
        <w:rPr>
          <w:color w:val="000000" w:themeColor="text1"/>
          <w:lang w:val="ru-RU"/>
        </w:rPr>
        <w:softHyphen/>
        <w:t>лие на блоке полиспаста25 тс.</w:t>
      </w:r>
    </w:p>
    <w:p w14:paraId="725A7406" w14:textId="77777777" w:rsidR="00714AC7" w:rsidRPr="00070ADE" w:rsidRDefault="00714AC7" w:rsidP="00B56F90">
      <w:pPr>
        <w:pStyle w:val="a3"/>
        <w:rPr>
          <w:color w:val="000000" w:themeColor="text1"/>
          <w:lang w:val="ru-RU"/>
        </w:rPr>
      </w:pPr>
      <w:r w:rsidRPr="00070ADE">
        <w:rPr>
          <w:color w:val="000000" w:themeColor="text1"/>
          <w:lang w:val="ru-RU"/>
        </w:rPr>
        <w:t>Кабина тягача АТ-45 автомобильного типа обеспечивала круговой обзор. Она рас</w:t>
      </w:r>
      <w:r w:rsidRPr="00070ADE">
        <w:rPr>
          <w:color w:val="000000" w:themeColor="text1"/>
          <w:lang w:val="ru-RU"/>
        </w:rPr>
        <w:softHyphen/>
        <w:t>полагалась над задней частью двигателя и крепилась через амортизаторы к специаль</w:t>
      </w:r>
      <w:r w:rsidRPr="00070ADE">
        <w:rPr>
          <w:color w:val="000000" w:themeColor="text1"/>
          <w:lang w:val="ru-RU"/>
        </w:rPr>
        <w:softHyphen/>
        <w:t>ным кронштейнам, приваренным к раме. За основу взяли стандартную кабину от ЗИС-5 и расширили ее за счет центральной вставки, чтобы разместить четырех человек экипажа, включая водителя (такое же решение будет использовано и позднее, уже после войны, при постройке первых опытных тягачей АТ-Т на заводе №75).</w:t>
      </w:r>
    </w:p>
    <w:p w14:paraId="13220D62" w14:textId="77777777" w:rsidR="00714AC7" w:rsidRPr="00070ADE" w:rsidRDefault="00714AC7" w:rsidP="00B56F90">
      <w:pPr>
        <w:pStyle w:val="a3"/>
        <w:rPr>
          <w:color w:val="000000" w:themeColor="text1"/>
          <w:lang w:val="ru-RU"/>
        </w:rPr>
      </w:pPr>
      <w:r w:rsidRPr="00070ADE">
        <w:rPr>
          <w:color w:val="000000" w:themeColor="text1"/>
          <w:lang w:val="ru-RU"/>
        </w:rPr>
        <w:t>Непосредственно за кабиной распола</w:t>
      </w:r>
      <w:r w:rsidRPr="00070ADE">
        <w:rPr>
          <w:color w:val="000000" w:themeColor="text1"/>
          <w:lang w:val="ru-RU"/>
        </w:rPr>
        <w:softHyphen/>
        <w:t>галась грузовая платформа (кузов) грузо</w:t>
      </w:r>
      <w:r w:rsidRPr="00070ADE">
        <w:rPr>
          <w:color w:val="000000" w:themeColor="text1"/>
          <w:lang w:val="ru-RU"/>
        </w:rPr>
        <w:softHyphen/>
        <w:t>подъемностью 6 т (у предшественника - 3 т) с откидными металлическими бортами, уси</w:t>
      </w:r>
      <w:r w:rsidRPr="00070ADE">
        <w:rPr>
          <w:color w:val="000000" w:themeColor="text1"/>
          <w:lang w:val="ru-RU"/>
        </w:rPr>
        <w:softHyphen/>
        <w:t>ленными ребрами жесткости. На штатных сиденьях платформы размещалось 18 чел., а максимально - до 30-35 чел. (у «Ворошиловца» - 11 чел, а максимально - 25). Имелся съемный тент, который монтировался на лег</w:t>
      </w:r>
      <w:r w:rsidRPr="00070ADE">
        <w:rPr>
          <w:color w:val="000000" w:themeColor="text1"/>
          <w:lang w:val="ru-RU"/>
        </w:rPr>
        <w:softHyphen/>
        <w:t>ком металлическом каркасе.</w:t>
      </w:r>
    </w:p>
    <w:p w14:paraId="1C681E2E" w14:textId="77777777" w:rsidR="00714AC7" w:rsidRPr="00070ADE" w:rsidRDefault="00714AC7" w:rsidP="00B56F90">
      <w:pPr>
        <w:pStyle w:val="a3"/>
        <w:rPr>
          <w:color w:val="000000" w:themeColor="text1"/>
          <w:lang w:val="ru-RU"/>
        </w:rPr>
      </w:pPr>
      <w:r w:rsidRPr="00070ADE">
        <w:rPr>
          <w:color w:val="000000" w:themeColor="text1"/>
          <w:lang w:val="ru-RU"/>
        </w:rPr>
        <w:t>Применение пружинных сервирующих устройств в системе управления АТ-45 обеспе</w:t>
      </w:r>
      <w:r w:rsidRPr="00070ADE">
        <w:rPr>
          <w:color w:val="000000" w:themeColor="text1"/>
          <w:lang w:val="ru-RU"/>
        </w:rPr>
        <w:softHyphen/>
        <w:t>чило достаточно легкое управление машиной. Усилие на рычагах управления составляло око</w:t>
      </w:r>
      <w:r w:rsidRPr="00070ADE">
        <w:rPr>
          <w:color w:val="000000" w:themeColor="text1"/>
          <w:lang w:val="ru-RU"/>
        </w:rPr>
        <w:softHyphen/>
        <w:t>ло 8 кгс и плавно увеличивалось до 30 кгс при полном торможении. Усилие на педали главно</w:t>
      </w:r>
      <w:r w:rsidRPr="00070ADE">
        <w:rPr>
          <w:color w:val="000000" w:themeColor="text1"/>
          <w:lang w:val="ru-RU"/>
        </w:rPr>
        <w:softHyphen/>
        <w:t>го фрикциона - около 15 кгс (15748).</w:t>
      </w:r>
    </w:p>
    <w:p w14:paraId="615A7951" w14:textId="77777777" w:rsidR="00714AC7" w:rsidRPr="00070ADE" w:rsidRDefault="00714AC7" w:rsidP="00B56F90">
      <w:pPr>
        <w:pStyle w:val="a3"/>
        <w:rPr>
          <w:color w:val="000000" w:themeColor="text1"/>
          <w:lang w:val="ru-RU"/>
        </w:rPr>
      </w:pPr>
    </w:p>
    <w:p w14:paraId="77E435E7" w14:textId="77777777" w:rsidR="00BE1368" w:rsidRPr="00C94B78" w:rsidRDefault="00BE1368"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мае - апреле 1944 года ремзавод № 8 вновь переехал в Киев из Казани (25020).</w:t>
      </w:r>
    </w:p>
    <w:p w14:paraId="08F4DA67" w14:textId="77777777" w:rsidR="00BE1368" w:rsidRPr="00C94B78" w:rsidRDefault="00BE1368" w:rsidP="00B56F90">
      <w:pPr>
        <w:spacing w:after="0" w:line="240" w:lineRule="auto"/>
        <w:jc w:val="both"/>
        <w:rPr>
          <w:rFonts w:ascii="Times New Roman" w:hAnsi="Times New Roman"/>
          <w:color w:val="0070C0"/>
          <w:sz w:val="16"/>
          <w:szCs w:val="16"/>
        </w:rPr>
      </w:pPr>
    </w:p>
    <w:p w14:paraId="66ECF183" w14:textId="77777777" w:rsidR="00822884" w:rsidRPr="00070ADE" w:rsidRDefault="00822884"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AFA2DAB" w14:textId="77777777" w:rsidR="00822884" w:rsidRPr="00070ADE" w:rsidRDefault="00822884"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B6D55B" w14:textId="77777777"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 июне 1944 года 14-й дивизион бронепоездов артиллерийским огнем поддерживал наступление 21-й армии на Сестрорецком направлении, затем до августа прикрывал восстановление станций и железной дороги от атак с воздуха (18626).</w:t>
      </w:r>
    </w:p>
    <w:p w14:paraId="3323F4E7" w14:textId="77777777" w:rsidR="00822884" w:rsidRPr="00070ADE" w:rsidRDefault="00822884" w:rsidP="00B56F90">
      <w:pPr>
        <w:spacing w:after="0" w:line="240" w:lineRule="auto"/>
        <w:jc w:val="both"/>
        <w:rPr>
          <w:rFonts w:ascii="Times New Roman" w:hAnsi="Times New Roman"/>
          <w:color w:val="000000" w:themeColor="text1"/>
          <w:sz w:val="16"/>
          <w:szCs w:val="16"/>
        </w:rPr>
      </w:pPr>
    </w:p>
    <w:p w14:paraId="05770A8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42DB90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526F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мае-июне 1944 состоялись тайные советско-польские переговоры в Лондоне. Советская сторона настаивала на линии Керзона, а также на обновлении польского правительства за счет включения в него "демократических" сил. Польскому правительству предписывалось также взять обратно обвинения насчет Катыни (3871).</w:t>
      </w:r>
    </w:p>
    <w:p w14:paraId="018647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7B875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904C2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B499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с целью повышения боевой живуче</w:t>
      </w:r>
      <w:r w:rsidRPr="00070ADE">
        <w:rPr>
          <w:rFonts w:ascii="Times New Roman" w:hAnsi="Times New Roman"/>
          <w:color w:val="000000" w:themeColor="text1"/>
          <w:sz w:val="16"/>
          <w:szCs w:val="16"/>
        </w:rPr>
        <w:softHyphen/>
        <w:t>сти Ил-2 и, в первую очередь, защиты стрелка в ОКБ С.В.Ильюшина был разработан удлиненный бронекорпус, включающий кабину стрелка с перераспределенной, в полном соот</w:t>
      </w:r>
      <w:r w:rsidRPr="00070ADE">
        <w:rPr>
          <w:rFonts w:ascii="Times New Roman" w:hAnsi="Times New Roman"/>
          <w:color w:val="000000" w:themeColor="text1"/>
          <w:sz w:val="16"/>
          <w:szCs w:val="16"/>
        </w:rPr>
        <w:softHyphen/>
        <w:t>ветствии с опытом боевого применения штурмовика на фронте, толщиной бро</w:t>
      </w:r>
      <w:r w:rsidRPr="00070ADE">
        <w:rPr>
          <w:rFonts w:ascii="Times New Roman" w:hAnsi="Times New Roman"/>
          <w:color w:val="000000" w:themeColor="text1"/>
          <w:sz w:val="16"/>
          <w:szCs w:val="16"/>
        </w:rPr>
        <w:softHyphen/>
        <w:t>ни. Вес бронедеталей самолета увели</w:t>
      </w:r>
      <w:r w:rsidRPr="00070ADE">
        <w:rPr>
          <w:rFonts w:ascii="Times New Roman" w:hAnsi="Times New Roman"/>
          <w:color w:val="000000" w:themeColor="text1"/>
          <w:sz w:val="16"/>
          <w:szCs w:val="16"/>
        </w:rPr>
        <w:softHyphen/>
        <w:t>чился до 1015 кг. Кроме этого, был пред</w:t>
      </w:r>
      <w:r w:rsidRPr="00070ADE">
        <w:rPr>
          <w:rFonts w:ascii="Times New Roman" w:hAnsi="Times New Roman"/>
          <w:color w:val="000000" w:themeColor="text1"/>
          <w:sz w:val="16"/>
          <w:szCs w:val="16"/>
        </w:rPr>
        <w:softHyphen/>
        <w:t>ложен и "ремонтный комплект" допол</w:t>
      </w:r>
      <w:r w:rsidRPr="00070ADE">
        <w:rPr>
          <w:rFonts w:ascii="Times New Roman" w:hAnsi="Times New Roman"/>
          <w:color w:val="000000" w:themeColor="text1"/>
          <w:sz w:val="16"/>
          <w:szCs w:val="16"/>
        </w:rPr>
        <w:softHyphen/>
        <w:t>нительного бронирования Ил-2 (6467).</w:t>
      </w:r>
    </w:p>
    <w:p w14:paraId="1982D2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4B01B8" w14:textId="77777777" w:rsidR="002B0823" w:rsidRPr="00070ADE" w:rsidRDefault="002B0823"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eastAsia="Times New Roman" w:hAnsi="Times New Roman"/>
          <w:color w:val="000000" w:themeColor="text1"/>
          <w:sz w:val="16"/>
          <w:szCs w:val="16"/>
        </w:rPr>
        <w:t>С целью повышения боевой живучести штурмовиков и, в первую очередь, защиты стрелка в ОКБ СВ. Ильюшина весной 1944 г. был разработан удлиненный бронекорпус, включающий кабину стрелка с перераспределенной, в полном соответствии с опытом боевого применения, толщиной брони.</w:t>
      </w:r>
    </w:p>
    <w:p w14:paraId="7D8DD3B8" w14:textId="77777777" w:rsidR="002B0823" w:rsidRPr="00070ADE" w:rsidRDefault="002B0823"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eastAsia="Times New Roman" w:hAnsi="Times New Roman"/>
          <w:color w:val="000000" w:themeColor="text1"/>
          <w:sz w:val="16"/>
          <w:szCs w:val="16"/>
        </w:rPr>
        <w:t>В связи с успешным окончанием государственных испытаний штурмовиков Ил-2 с улучшенным бронированием член Военного совета ВВС КА генерал Н.С. Шиманов 31 августа 1944 г. обратился к А.И. Шахурину с письмом, в котором просил дать все необходимые указания о внедрении в серийное производство модифицированного штурмовика с удлиненным бронекорпусом с перераспределенной толщиной брони, а также комплектов полевого варианта дополнительного бронирования кабины стрелка, как отве</w:t>
      </w:r>
      <w:r w:rsidRPr="00070ADE">
        <w:rPr>
          <w:rFonts w:ascii="Times New Roman" w:eastAsia="Times New Roman" w:hAnsi="Times New Roman"/>
          <w:color w:val="000000" w:themeColor="text1"/>
          <w:sz w:val="16"/>
          <w:szCs w:val="16"/>
        </w:rPr>
        <w:softHyphen/>
        <w:t>чающих требованиям ВВС и опыту воздушной войны</w:t>
      </w:r>
      <w:r w:rsidRPr="00070ADE">
        <w:rPr>
          <w:rFonts w:ascii="Times New Roman" w:eastAsia="Times New Roman" w:hAnsi="Times New Roman"/>
          <w:color w:val="000000" w:themeColor="text1"/>
          <w:sz w:val="16"/>
          <w:szCs w:val="16"/>
          <w:vertAlign w:val="superscript"/>
        </w:rPr>
        <w:t>2</w:t>
      </w:r>
      <w:r w:rsidRPr="00070ADE">
        <w:rPr>
          <w:rFonts w:ascii="Times New Roman" w:eastAsia="Times New Roman" w:hAnsi="Times New Roman"/>
          <w:color w:val="000000" w:themeColor="text1"/>
          <w:sz w:val="16"/>
          <w:szCs w:val="16"/>
        </w:rPr>
        <w:t>.</w:t>
      </w:r>
    </w:p>
    <w:p w14:paraId="45003EEB" w14:textId="77777777" w:rsidR="002B0823" w:rsidRPr="00070ADE" w:rsidRDefault="002B0823"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eastAsia="Times New Roman" w:hAnsi="Times New Roman"/>
          <w:color w:val="000000" w:themeColor="text1"/>
          <w:sz w:val="16"/>
          <w:szCs w:val="16"/>
        </w:rPr>
        <w:t>Несмотря на требование ВВС, решение о запуске Ил-2 с улучшенным бронированием в серийное производство так и не последовало. Наркомат авиапромышленности ограничился лишь распоряжением о налаживании производства ремонтных комплектов бронирования кабины.</w:t>
      </w:r>
    </w:p>
    <w:p w14:paraId="357A87A0" w14:textId="77777777" w:rsidR="002B0823" w:rsidRPr="00070ADE" w:rsidRDefault="002B0823"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eastAsia="Times New Roman" w:hAnsi="Times New Roman"/>
          <w:color w:val="000000" w:themeColor="text1"/>
          <w:sz w:val="16"/>
          <w:szCs w:val="16"/>
        </w:rPr>
        <w:t>Штурмовики продолжали выпускаться без удлиненного бронекорпуса. При этом часть из них комплектовались съемным комплектом бронирования. Однако комплекты дополнительного бронирования отправлялись в строевые части железнодорожными эшелонами. Последние же находились в пути до 2-3-х месяцев.</w:t>
      </w:r>
    </w:p>
    <w:p w14:paraId="38B1DF31" w14:textId="77777777" w:rsidR="002B0823" w:rsidRPr="00070ADE" w:rsidRDefault="002B0823"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eastAsia="Times New Roman" w:hAnsi="Times New Roman"/>
          <w:color w:val="000000" w:themeColor="text1"/>
          <w:sz w:val="16"/>
          <w:szCs w:val="16"/>
        </w:rPr>
        <w:t>По этому поводу в феврале 1945 г. начальник ГУЗ ВВС КА генерал Н.П. Селезнев в письме на имя Н.С. Шиманова писал, что «массовый выпуск Ил-2 с удлиненным бронекорпусом задерживается исключительно из-за отсутствия соответствующего приказа по НКАП. Отправка ремонтного варианта бронекорпуса в части по железной дороге является недопустимой»</w:t>
      </w:r>
      <w:r w:rsidRPr="00070ADE">
        <w:rPr>
          <w:rFonts w:ascii="Times New Roman" w:eastAsia="Times New Roman" w:hAnsi="Times New Roman"/>
          <w:color w:val="000000" w:themeColor="text1"/>
          <w:sz w:val="16"/>
          <w:szCs w:val="16"/>
          <w:vertAlign w:val="superscript"/>
        </w:rPr>
        <w:t>1</w:t>
      </w:r>
      <w:r w:rsidRPr="00070ADE">
        <w:rPr>
          <w:rFonts w:ascii="Times New Roman" w:eastAsia="Times New Roman" w:hAnsi="Times New Roman"/>
          <w:color w:val="000000" w:themeColor="text1"/>
          <w:sz w:val="16"/>
          <w:szCs w:val="16"/>
        </w:rPr>
        <w:t>.</w:t>
      </w:r>
    </w:p>
    <w:p w14:paraId="1ACC1B04" w14:textId="77777777" w:rsidR="002B0823" w:rsidRPr="00070ADE" w:rsidRDefault="002B0823"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eastAsia="Times New Roman" w:hAnsi="Times New Roman"/>
          <w:color w:val="000000" w:themeColor="text1"/>
          <w:sz w:val="16"/>
          <w:szCs w:val="16"/>
        </w:rPr>
        <w:lastRenderedPageBreak/>
        <w:t>К февралю 1945 г. авиазаводами было выпущено всего 800 комплектов ремонтного варианта бронекорпуса. В частях штурмовой авиации полевой вариант дополнительного бронирования был встречен с воодушевлением. Первые же бои показали его высокую эффективность. Броня хорошо защищала воздушного стрелка. Например, в 311-й шад 1-й В А был случай, когда в кабину стрелка попали два 20-мм снаряда, при этом стрелок остался жив.</w:t>
      </w:r>
    </w:p>
    <w:p w14:paraId="2335357B" w14:textId="77777777" w:rsidR="002B0823" w:rsidRPr="00070ADE" w:rsidRDefault="002B0823"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eastAsia="Times New Roman" w:hAnsi="Times New Roman"/>
          <w:color w:val="000000" w:themeColor="text1"/>
          <w:sz w:val="16"/>
          <w:szCs w:val="16"/>
        </w:rPr>
        <w:t>Однако только весной 1945 г. авиазаводы приступили к серийному выпуску Ил-2 с удлиненным бронекорпусом и к концу года сумели поставить в ВВС 593 модифицированных штурмовика.</w:t>
      </w:r>
    </w:p>
    <w:p w14:paraId="4B517F08" w14:textId="77777777" w:rsidR="002B0823" w:rsidRPr="00070ADE" w:rsidRDefault="002B0823"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eastAsia="Times New Roman" w:hAnsi="Times New Roman"/>
          <w:color w:val="000000" w:themeColor="text1"/>
          <w:sz w:val="16"/>
          <w:szCs w:val="16"/>
        </w:rPr>
        <w:t>Таким образом, по состоянию на 10.05.1945 г. в составе воздушных армий фронтов насчитывалось 3075 штурмовиков Ил-2 и Ил-2У, 146 Ил-10 и 214 Ил-2КР. Кроме этого, в ВВС ВМФ имелось 197 Ил-2 и 12 Ил-10 (ЦАМО РФ, ф. 480, оп. 7106, д. 214, л. 48.) (20120).</w:t>
      </w:r>
    </w:p>
    <w:p w14:paraId="10833D76" w14:textId="77777777" w:rsidR="002B0823" w:rsidRPr="00070ADE" w:rsidRDefault="002B0823" w:rsidP="00B56F90">
      <w:pPr>
        <w:shd w:val="clear" w:color="auto" w:fill="FFFFFF"/>
        <w:spacing w:after="0" w:line="240" w:lineRule="auto"/>
        <w:jc w:val="both"/>
        <w:rPr>
          <w:rFonts w:ascii="Times New Roman" w:hAnsi="Times New Roman"/>
          <w:color w:val="000000" w:themeColor="text1"/>
          <w:sz w:val="16"/>
          <w:szCs w:val="16"/>
        </w:rPr>
      </w:pPr>
    </w:p>
    <w:p w14:paraId="6D06378D" w14:textId="77777777" w:rsidR="00741C9C" w:rsidRPr="00070ADE" w:rsidRDefault="00741C9C"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весны 1944 г. проходили испытания АЧ-30БФ. С августа того же года два АЧ-ЗОБФ испытывались на опытном бомбардировщике Ил-6. АЧ-30БФ, форсированный вариант АЧ-ЗОБ с впрыском бензина по</w:t>
      </w:r>
      <w:r w:rsidRPr="00070ADE">
        <w:rPr>
          <w:rFonts w:ascii="Times New Roman" w:hAnsi="Times New Roman"/>
          <w:color w:val="000000" w:themeColor="text1"/>
          <w:sz w:val="16"/>
          <w:szCs w:val="16"/>
        </w:rPr>
        <w:softHyphen/>
        <w:t>сле турбонагнетателей. Проектировался с 1943 г. 100-часовые заводские испытания успешно завершили в марте 1945 г. В том же месяце начали госиспытания, на которых двигатель был забракован из-за плохой приемистости и сложной процедуры запу</w:t>
      </w:r>
      <w:r w:rsidRPr="00070ADE">
        <w:rPr>
          <w:rFonts w:ascii="Times New Roman" w:hAnsi="Times New Roman"/>
          <w:color w:val="000000" w:themeColor="text1"/>
          <w:sz w:val="16"/>
          <w:szCs w:val="16"/>
        </w:rPr>
        <w:softHyphen/>
        <w:t>ска. После некоторой доводки АЧ-ЗОБФ испытывались на самолете Ту-2. Работа над двигателем продолжалась до 1947 г. Мощность 1250/1900 л.с., вес 1280 кг. Всего переделано из АЧ-ЗОБ 17 экз. (11852).</w:t>
      </w:r>
    </w:p>
    <w:p w14:paraId="228E0CC4" w14:textId="77777777" w:rsidR="00741C9C" w:rsidRPr="00070ADE" w:rsidRDefault="00741C9C"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31097B" w14:textId="77777777" w:rsidR="00BE1368" w:rsidRPr="00070ADE" w:rsidRDefault="00BE136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в ОКБ Ильюшина было начато проектирование скоростного бомбардировщика на замену самолёту Ил-4. Самолёт, получивший обозна</w:t>
      </w:r>
      <w:r w:rsidRPr="00070ADE">
        <w:rPr>
          <w:rFonts w:ascii="Times New Roman" w:hAnsi="Times New Roman"/>
          <w:color w:val="000000" w:themeColor="text1"/>
          <w:sz w:val="16"/>
          <w:szCs w:val="16"/>
        </w:rPr>
        <w:softHyphen/>
        <w:t>чение Ил-14, представлял собой высокоплан с крылом большого удлинения. Облик самолёта был довольно необычен. Четыре двигателя жидкостного охлаждения АМ-43НВ А.А.Микулина устанавливались в тандем на концах центроплана: два с тянущими и два с толкающими винтами. Такая схема позволяла сделать «чистыми» консоли крыла и уменьшить разворачивающий момент в случае отказа одного из двигателей. В удлиненном носке центроплана крыла размещались водо- и маслорадиаторы системы охлаждения и смазки двигателей. Трёхопорное шасси включало носовую стойку, убирав</w:t>
      </w:r>
      <w:r w:rsidRPr="00070ADE">
        <w:rPr>
          <w:rFonts w:ascii="Times New Roman" w:hAnsi="Times New Roman"/>
          <w:color w:val="000000" w:themeColor="text1"/>
          <w:sz w:val="16"/>
          <w:szCs w:val="16"/>
        </w:rPr>
        <w:softHyphen/>
        <w:t>шуюся назад по полёту, и носовые стойки, убиравшиеся в отсеки мотогондол между двигателями. Задеванию концами задних воздушных винтов за поверхность земли при взлёте должна была помешать дополнительная стойка шасси с колесом в хвостовой части фюзеляжа. Конструкторы решили обойтись без оборонительного вооружения, полагаясь на большую скорость (свыше 700 км/час) (23907).</w:t>
      </w:r>
    </w:p>
    <w:p w14:paraId="7C458EFC" w14:textId="77777777" w:rsidR="00BE1368" w:rsidRPr="00070ADE" w:rsidRDefault="00BE1368" w:rsidP="00B56F90">
      <w:pPr>
        <w:spacing w:after="0" w:line="240" w:lineRule="auto"/>
        <w:jc w:val="both"/>
        <w:rPr>
          <w:rFonts w:ascii="Times New Roman" w:hAnsi="Times New Roman"/>
          <w:color w:val="000000" w:themeColor="text1"/>
          <w:sz w:val="16"/>
          <w:szCs w:val="16"/>
        </w:rPr>
      </w:pPr>
    </w:p>
    <w:p w14:paraId="46511769" w14:textId="77777777" w:rsidR="00BE1368" w:rsidRPr="00070ADE" w:rsidRDefault="00BE136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в ОКБ С. В. Ильюшина началась работа над проектом нового скоростного бомбардировщика Ил-14, способного превысить скорость 700 км/ч Исследования в аэродинамических трубах ЦАГИ подтвердили возможность достижения скорости 760 км/ч на высоте 9300 м и крейсерской скорости 500 км/ч. В начале 1945 г. выпустили рабочие чертежи и начали изготовление опытного самолета. Макетная комиссия состоялась в июне 1945 г., самолет получил положительное заключение военных, но работы все же решили прекратить (19727).</w:t>
      </w:r>
    </w:p>
    <w:p w14:paraId="2FFBF7E1" w14:textId="77777777" w:rsidR="00BE1368" w:rsidRPr="00070ADE" w:rsidRDefault="00BE1368" w:rsidP="00B56F90">
      <w:pPr>
        <w:spacing w:after="0" w:line="240" w:lineRule="auto"/>
        <w:jc w:val="both"/>
        <w:rPr>
          <w:rFonts w:ascii="Times New Roman" w:hAnsi="Times New Roman"/>
          <w:color w:val="000000" w:themeColor="text1"/>
          <w:sz w:val="16"/>
          <w:szCs w:val="16"/>
        </w:rPr>
      </w:pPr>
    </w:p>
    <w:p w14:paraId="3B9A67CF" w14:textId="77777777" w:rsidR="001D54E9" w:rsidRPr="00070ADE" w:rsidRDefault="001D54E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началась разработка бомбардировщика Ил-14 (первого самолета под таким обозначением), предназначавшегося для замены самолета Ил-4 и способного превысить скорость 700 км/ч (9528).</w:t>
      </w:r>
    </w:p>
    <w:p w14:paraId="2D8D318A" w14:textId="77777777" w:rsidR="001D54E9" w:rsidRPr="00070ADE" w:rsidRDefault="001D54E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4E5950" w14:textId="77777777" w:rsidR="008C5120" w:rsidRPr="00C94B78" w:rsidRDefault="008C512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Весной 1944 года С.В.И. начал работу над бомбардировщиком Ил-14. К этому времени стало очевидно, что Ил-4, несмотря на свою надёжность, морально устаревает: его скорость и потолок не позволяли эффективно действовать в условиях усиления вражеской ПВО и истребительной авиации. Требовался самолёт нового поколения — быстрый, как истребитель, и вооружённый, как бомбардировщик.</w:t>
      </w:r>
    </w:p>
    <w:p w14:paraId="1DC51008" w14:textId="77777777" w:rsidR="008C5120" w:rsidRPr="00C94B78" w:rsidRDefault="008C512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12 июля 1944 года С. В. Ильюшин утвердил общий вид первого варианта самолёта — двухместного, с лётчиком и штурманом, размещёнными в носовой части. Уже 19 июля проект был представлен в Наркомат авиационной промышленности (НКАП) и командованию ВВС. Военные сочли концепцию перспективной, но потребовали расширить боевые возможности: добавить оборонительное вооружение, увеличить экипаж и предусмотреть возможность кругового обстрела (25685).</w:t>
      </w:r>
    </w:p>
    <w:p w14:paraId="2C04BEB3" w14:textId="77777777" w:rsidR="008C5120" w:rsidRPr="00C94B78" w:rsidRDefault="008C5120" w:rsidP="00B56F90">
      <w:pPr>
        <w:spacing w:after="0" w:line="240" w:lineRule="auto"/>
        <w:jc w:val="both"/>
        <w:rPr>
          <w:rFonts w:ascii="Times New Roman" w:hAnsi="Times New Roman"/>
          <w:color w:val="0070C0"/>
          <w:sz w:val="16"/>
          <w:szCs w:val="16"/>
        </w:rPr>
      </w:pPr>
    </w:p>
    <w:p w14:paraId="69A884F3"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весны 1944 г. ТБ-7 дублер выполнил более 120 боевых вылетов (больше, чем любой другой), с него на головы немцев сбросили около 500 т бомб и почти миллион листовок. Летали на этой машине в глубокий тыл противника для выброса разведывательных и диверсионных групп. Апофеозом его карьеры стал пролёт в качестве флагмана парада над Москвой 1 мая 1945 г. Вскоре после войны "дублёр" списали и пустили на слом (11996).</w:t>
      </w:r>
    </w:p>
    <w:p w14:paraId="0101484E"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p>
    <w:p w14:paraId="293F8CA3" w14:textId="77777777" w:rsidR="001D54E9" w:rsidRPr="00070ADE" w:rsidRDefault="001D54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весны 1944 года официально производство Пе-8 прекратили и новые Пе-8 могли выпускать только за счет оставшегося на заводе №22 задела, то это количество, с учетом потерь, вскоре должно было резко сократиться (12726).</w:t>
      </w:r>
    </w:p>
    <w:p w14:paraId="06031AD1" w14:textId="77777777" w:rsidR="001D54E9" w:rsidRPr="00070ADE" w:rsidRDefault="001D54E9" w:rsidP="00B56F90">
      <w:pPr>
        <w:spacing w:after="0" w:line="240" w:lineRule="auto"/>
        <w:jc w:val="both"/>
        <w:rPr>
          <w:rFonts w:ascii="Times New Roman" w:hAnsi="Times New Roman"/>
          <w:color w:val="000000" w:themeColor="text1"/>
          <w:sz w:val="16"/>
          <w:szCs w:val="16"/>
        </w:rPr>
      </w:pPr>
    </w:p>
    <w:p w14:paraId="40287B7C" w14:textId="77777777" w:rsidR="001D54E9" w:rsidRPr="00070ADE" w:rsidRDefault="001D54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начались Поставки самолетов Пе-2 М-82 — по нескольку штук получили 48-й гвардейский ОДРАП Главного командования Красной Армии, 11-й ОРАП и 99-й гвардейский ОРАП ВВС, а также звено управления 4-й гвардейской БАД.</w:t>
      </w:r>
    </w:p>
    <w:p w14:paraId="6C16250A" w14:textId="77777777" w:rsidR="001D54E9" w:rsidRPr="00070ADE" w:rsidRDefault="001D54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было построено 32 «Пешки» с М-82Ф, из которых принято военной приемкой 24</w:t>
      </w:r>
    </w:p>
    <w:p w14:paraId="2897E2D3" w14:textId="77777777" w:rsidR="001D54E9" w:rsidRPr="00070ADE" w:rsidRDefault="001D54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Эксплуатация показала низкое качество изготовления маслорадиаторов, снятие курсового пулемета ШКАС и бортовых огневых установок также не получило одобрения экипажей. Производство Пе-2 2М-82 на заводе № 22 было прекращено Постановлением ГКО № 4552 от 12 ноября 1943 г. и приказом по НКАП № 685сс от 16 ноября формально в связи с запуском в серию многоцелевых Пе-3, а на деле потому, что не был получен ожидаемый прирост скорости. Что касается ненадежности моторов М-82 на Пе-2, то на многих других самолетах, к примеру, истребителях Ла-5 и Ла-7, бомбардировщиках Ту-2, Ил-4 и Пе-8, они работали нормально, следовательно, причину надо искать в дефектах всей силовой установки, спроектированной Л. Л. Селяковым для Пе-2, а не в моторах (22828).</w:t>
      </w:r>
    </w:p>
    <w:p w14:paraId="65E58B99" w14:textId="77777777" w:rsidR="001D54E9" w:rsidRPr="00070ADE" w:rsidRDefault="001D54E9" w:rsidP="00B56F90">
      <w:pPr>
        <w:shd w:val="clear" w:color="auto" w:fill="FFFFFF"/>
        <w:spacing w:after="0" w:line="240" w:lineRule="auto"/>
        <w:jc w:val="both"/>
        <w:rPr>
          <w:rFonts w:ascii="Times New Roman" w:hAnsi="Times New Roman"/>
          <w:color w:val="000000" w:themeColor="text1"/>
          <w:sz w:val="16"/>
          <w:szCs w:val="16"/>
        </w:rPr>
      </w:pPr>
    </w:p>
    <w:p w14:paraId="32294958" w14:textId="77777777" w:rsidR="001D54E9" w:rsidRPr="00070ADE" w:rsidRDefault="001D54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начались поставки самолетов Пе-2 2М-82Ф в части по несколько штук через 8-ю ЗАБ. Они были направлены в 39-й ОРАП, 48-й Гвардейский ОРАП, 99-й Гвардейский ОРАП, звено управления 4-й Гвардейской БАД и др. части.</w:t>
      </w:r>
    </w:p>
    <w:p w14:paraId="74EF89DC" w14:textId="77777777" w:rsidR="001D54E9" w:rsidRPr="00070ADE" w:rsidRDefault="001D54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было построено 32 самолета Пе-2 2М-82Ф, из которых принято военной приемкой 24.</w:t>
      </w:r>
    </w:p>
    <w:p w14:paraId="2488B569" w14:textId="77777777" w:rsidR="001D54E9" w:rsidRPr="00070ADE" w:rsidRDefault="001D54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Эксплуатация показала следующие основные КПН самолета:</w:t>
      </w:r>
    </w:p>
    <w:p w14:paraId="2BA4339E" w14:textId="77777777" w:rsidR="001D54E9" w:rsidRPr="00070ADE" w:rsidRDefault="001D54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низкое качество изготовления маслорадиаторов;</w:t>
      </w:r>
    </w:p>
    <w:p w14:paraId="555D1042" w14:textId="77777777" w:rsidR="001D54E9" w:rsidRPr="00070ADE" w:rsidRDefault="001D54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снятие курсового пулемета и бортовых пулеметных установок в эксплуатации оказалось необоснованным.</w:t>
      </w:r>
    </w:p>
    <w:p w14:paraId="6E45A856" w14:textId="77777777" w:rsidR="001D54E9" w:rsidRPr="00070ADE" w:rsidRDefault="001D54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самолетов Пе-2 2М-82 на заводе №22 было прекращено Постановлением ГКО №4552 от 12 ноября 1943 г. и приказом по НКАП №685сс от 16 ноября 1943 г. в связи с запуском в серию самолетов Пе-3.</w:t>
      </w:r>
    </w:p>
    <w:p w14:paraId="0157EED2" w14:textId="77777777" w:rsidR="001D54E9" w:rsidRPr="00070ADE" w:rsidRDefault="001D54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(23555).</w:t>
      </w:r>
    </w:p>
    <w:p w14:paraId="2571A045" w14:textId="77777777" w:rsidR="001D54E9" w:rsidRPr="00070ADE" w:rsidRDefault="001D54E9" w:rsidP="00B56F90">
      <w:pPr>
        <w:spacing w:after="0" w:line="240" w:lineRule="auto"/>
        <w:jc w:val="both"/>
        <w:rPr>
          <w:rFonts w:ascii="Times New Roman" w:hAnsi="Times New Roman"/>
          <w:color w:val="000000" w:themeColor="text1"/>
          <w:sz w:val="16"/>
          <w:szCs w:val="16"/>
        </w:rPr>
      </w:pPr>
    </w:p>
    <w:p w14:paraId="131E3077" w14:textId="77777777" w:rsidR="001D54E9" w:rsidRPr="00070ADE" w:rsidRDefault="001D54E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Пе-2 № 14/226, на котором проводили опыты с впрыском воды на М-105 (результаты оказались не впечатляющими), снова переоборудовали, но уже с другой целью. Сущность модификации заключалась в следующем:</w:t>
      </w:r>
    </w:p>
    <w:p w14:paraId="08360975" w14:textId="77777777" w:rsidR="001D54E9" w:rsidRPr="00070ADE" w:rsidRDefault="001D54E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носок консольной части крыла до 25 % хорды заменялся на профиль NACA-230;</w:t>
      </w:r>
    </w:p>
    <w:p w14:paraId="1C157C86" w14:textId="77777777" w:rsidR="001D54E9" w:rsidRPr="00070ADE" w:rsidRDefault="001D54E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переделывались законцовки консолей, в связи с чем размах крыла увеличивался на 0,92 м, а площадь - на 0,848 м2;</w:t>
      </w:r>
    </w:p>
    <w:p w14:paraId="7F56E68C" w14:textId="77777777" w:rsidR="001D54E9" w:rsidRPr="00070ADE" w:rsidRDefault="001D54E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изменялся передний лонжерон, средние части нервюр и входная часть тоннелей водорадиаторов (4476).</w:t>
      </w:r>
    </w:p>
    <w:p w14:paraId="43D78474" w14:textId="77777777" w:rsidR="001D54E9" w:rsidRPr="00070ADE" w:rsidRDefault="001D54E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01347A"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Пе-2 зав. № 14/226 снова переоборудовали, но уже с другой целью. Сущность модификации заключалась в следующем:</w:t>
      </w:r>
    </w:p>
    <w:p w14:paraId="4F46FA18"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носок консольной части крыла до 25% хорды заменялся профилем NACA 230;</w:t>
      </w:r>
    </w:p>
    <w:p w14:paraId="70F55963"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переделывались законцовки консолей, в связи с чем размах крыла возрастал на 0,92 м, а площадь на 0,848 м!;</w:t>
      </w:r>
    </w:p>
    <w:p w14:paraId="0F730FAC"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изменялся передний лонжерон, средние части нервюр и входная часть тоннелей водорадиаторов.</w:t>
      </w:r>
    </w:p>
    <w:p w14:paraId="4C2CF1C1"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испытаний, законченных в мае 1944 г., установили, что модифицированное крыло заметно улучшало летно-техниче- ские свойства "пешки", особенно на малых скоростях. Упростилось поведение самолета при посадке, он перестал валиться на крыло, уверенно летал на одном моторе. Новый профиль консолей плюс усовершенствованная технология отделки крыла в совокупности "добавили" машине 100 км дальности, способствовали увеличению потолка на 500 м и уменьшению длины разбега на 40 м.</w:t>
      </w:r>
    </w:p>
    <w:p w14:paraId="734362C2"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сожалению, и это техническое решение несмотря на положительную оценку НИИ ВВС, осталось не внедренным в серию. Причина все та же нежелание руководства наркомата авиапромышленности принимать назревшие, но "слишком радикальные" решения. Нарком А.И. Шахурин не отважился санкционировать переход на новое крыло, что неизбежно привело бы к замене части технологического оборудования и временному снижению темпов выпуска "пешек"...</w:t>
      </w:r>
    </w:p>
    <w:p w14:paraId="7B30B105"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Заметим, что нарком имел объективные причины опасаться за снабжение авиации КА фронтовыми бомбардировщиками. Летом 1943 г. правительство США в одностороннем порядке пересмотрело заказ фирме "Дуглас", поставлявшей для американских, английских и советских ВВС бомбардировщик-штурмовик А-20 (у нас его многочисленные варианты называли "Бостон", хотя сами американцы предпочитали другое наименование - "Хэвок"). Заокеанские предприятия перешли на выпуск преимущественно модификации A-20G, не соответствовавшей запросам ВВС КА в связи с отсутствием штурмана в составе экипажа. Накануне нового, 1944 г. в НКАП и ГКО оживленно обсуждалась возможность и целесообразность отказа от поставок "Бостонов" (12042).</w:t>
      </w:r>
    </w:p>
    <w:p w14:paraId="16041976"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p>
    <w:p w14:paraId="36517519" w14:textId="77777777" w:rsidR="001D54E9" w:rsidRPr="00070ADE" w:rsidRDefault="001D54E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Весной 1944 г. "пешку" оснастили опытным прицелом ППП-1 с движущейся сеткой. Испытания, проведенные летчиком капитаном П.И.Толузаровым, прошли успешно. Единственным ограничением было требование не превышать угол пикирования в 55°, иначе приборная скорость на выходе превосходила 700 км/час. Но этот прицел, как и многие другие новшества, не был внедрен в серию. Основное внимание уделялось наращиванию выпуска бомбардировщиков и устранению производственных дефектов (3542).</w:t>
      </w:r>
    </w:p>
    <w:p w14:paraId="6E060085" w14:textId="77777777" w:rsidR="001D54E9" w:rsidRPr="00070ADE" w:rsidRDefault="001D54E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4ED03F" w14:textId="77777777" w:rsidR="001D54E9" w:rsidRPr="00070ADE" w:rsidRDefault="001D54E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небольшими партиями (по 3-5 самолетов) Пе-2 М-82 стали направлять в строевые части. Такие самолеты имела, например, одна из эскадрилий 99-го гв. орап, летом 1944 г. три машины получил 39-й орап, причем в этих полках с самолетов снимали тормозные решетки. Имелись Пе-2 с М-82 и в обычных бомбардировочных полках, но они также применялись по большей части в качестве разведчиков. На такой машине летал в конце войны командир 4-й гв. бад Герой Советского Союза генерал-майор Ф.Котляр (3542).</w:t>
      </w:r>
    </w:p>
    <w:p w14:paraId="2597EA50" w14:textId="77777777" w:rsidR="001D54E9" w:rsidRPr="00070ADE" w:rsidRDefault="001D54E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04C86B" w14:textId="77777777" w:rsidR="001D54E9" w:rsidRPr="00070ADE" w:rsidRDefault="001D54E9"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года иркутские бомбардировщики Ер-2 стали поступать в строевые части. На бомбардировщиках начали применять «обниженные» кабины штурмана, что не только улучшило обзор на рулении и взлете, но ускорило и упростило технологию их изготовления. Поскольку была подготовлена оснастка для двух вариантов кабины, то и бомбардировщики выпускались двух видов. Гнутый фонарь пилота заменили на плоское переднее и боковое остекление. Вместо топливных баков, изготовленных с применением точечной сварки, стали устанавливать клепаные баки. Были внедрены и другие улучшения. Бомбардировщики окрашивались в трехцветный камуфляж из светло-коричневых, зеленых и черных пятен. Нижние поверхности покрывались черным цветом. Некоторые машины окрашивались в черный цвет полностью. Согласно приказу «об улучшении видимости опознавательных знаков на самолетах ВВС КА» от 3-го сентября 1943 года, на бомбардировщики наносили новые звезды с двумя окантовками: белого цвета – шириной 5 см и красного – шириной 1 см. На горизонтальном оперении красные звезды наносили по всей поверхности шайб (15223).</w:t>
      </w:r>
    </w:p>
    <w:p w14:paraId="6289840A" w14:textId="77777777" w:rsidR="001D54E9" w:rsidRPr="00070ADE" w:rsidRDefault="001D54E9" w:rsidP="00B56F90">
      <w:pPr>
        <w:shd w:val="clear" w:color="auto" w:fill="FFFFFF"/>
        <w:spacing w:after="0" w:line="240" w:lineRule="auto"/>
        <w:jc w:val="both"/>
        <w:rPr>
          <w:rFonts w:ascii="Times New Roman" w:hAnsi="Times New Roman"/>
          <w:color w:val="000000" w:themeColor="text1"/>
          <w:sz w:val="16"/>
          <w:szCs w:val="16"/>
        </w:rPr>
      </w:pPr>
    </w:p>
    <w:p w14:paraId="031B3CDA" w14:textId="77777777" w:rsidR="008C5120" w:rsidRPr="00C94B78" w:rsidRDefault="008C512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Весной 1944 г. вышло решение доработать самолет Пе-2 2М-1 №12/224 по типу Пе-2Б с учетом рекомендаций ЦАГИ, но моторы М-1 на замену выработавшим ресурс отсутствовали и это отменили, сосредоточившись на совершенствовании вариантов с моторами М-107А. Дальнейшие работы по самолету Пе-2 2М-1 прекращены (25430).</w:t>
      </w:r>
    </w:p>
    <w:p w14:paraId="46FA26A0" w14:textId="77777777" w:rsidR="008C5120" w:rsidRPr="00C94B78" w:rsidRDefault="008C5120" w:rsidP="00B56F90">
      <w:pPr>
        <w:spacing w:after="0" w:line="240" w:lineRule="auto"/>
        <w:jc w:val="both"/>
        <w:rPr>
          <w:rFonts w:ascii="Times New Roman" w:hAnsi="Times New Roman"/>
          <w:color w:val="0070C0"/>
          <w:sz w:val="16"/>
          <w:szCs w:val="16"/>
        </w:rPr>
      </w:pPr>
    </w:p>
    <w:p w14:paraId="05A8A125" w14:textId="77777777" w:rsidR="008C5120" w:rsidRPr="00C94B78" w:rsidRDefault="008C512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Весной 1944 г. один самолет Пе-2 выпуска завода №22 оснастили новым прицелом ППП-1 в кабине летчика для бомбометания с пикирования вместо ПБЛ-1.</w:t>
      </w:r>
    </w:p>
    <w:p w14:paraId="313ACAD4" w14:textId="77777777" w:rsidR="008C5120" w:rsidRPr="00C94B78" w:rsidRDefault="008C512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Испытания провел летчик П.И. Толузаров, в целом они прошли успешно, однако угол пикирования не должен был превышать 55°, иначе приборная скорость на выходе превосходила 700 км/час и прицел не работал.</w:t>
      </w:r>
    </w:p>
    <w:p w14:paraId="3783FE4F" w14:textId="77777777" w:rsidR="008C5120" w:rsidRPr="00C94B78" w:rsidRDefault="008C512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серию прицел не внедрялся – с того же 1944 г. вместо ПБЛ-1 на самолеты Пе-2 с сер. 327 ставится ПБЛ-2 (25430).</w:t>
      </w:r>
    </w:p>
    <w:p w14:paraId="5DBFE7A0" w14:textId="77777777" w:rsidR="008C5120" w:rsidRPr="00C94B78" w:rsidRDefault="008C5120" w:rsidP="00B56F90">
      <w:pPr>
        <w:spacing w:after="0" w:line="240" w:lineRule="auto"/>
        <w:jc w:val="both"/>
        <w:rPr>
          <w:rFonts w:ascii="Times New Roman" w:hAnsi="Times New Roman"/>
          <w:color w:val="0070C0"/>
          <w:sz w:val="16"/>
          <w:szCs w:val="16"/>
        </w:rPr>
      </w:pPr>
    </w:p>
    <w:p w14:paraId="6DB53F1B" w14:textId="77777777" w:rsidR="001D54E9" w:rsidRPr="00C94B78" w:rsidRDefault="001D54E9"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Весной 1944 г. самолёт «58» А.Н.Т. переделали в первый опытный скоростной дальний бомбардировщик СДБ (самолёт «63»), поставив двигатели АМ-39 (1870 л.с.) и сократив экипаж до двух человек. На втором СДБ с двига</w:t>
      </w:r>
      <w:r w:rsidRPr="00C94B78">
        <w:rPr>
          <w:rStyle w:val="aff1"/>
          <w:rFonts w:ascii="Times New Roman" w:hAnsi="Times New Roman" w:cs="Times New Roman"/>
          <w:color w:val="0070C0"/>
          <w:spacing w:val="0"/>
          <w:sz w:val="16"/>
          <w:szCs w:val="16"/>
        </w:rPr>
        <w:softHyphen/>
        <w:t>телями АМ-39ФНВ (1885 л.с.) вернулись к трёхчленному экипажу и конструкции фюзеляжа по типу серийного Ту-2; он испытывался с ноября 1944 г. по апрель 1945 г. и был забракован (25146).</w:t>
      </w:r>
    </w:p>
    <w:p w14:paraId="5D42E784" w14:textId="77777777" w:rsidR="001D54E9" w:rsidRPr="00C94B78" w:rsidRDefault="001D54E9" w:rsidP="00B56F90">
      <w:pPr>
        <w:spacing w:after="0" w:line="240" w:lineRule="auto"/>
        <w:jc w:val="both"/>
        <w:rPr>
          <w:rFonts w:ascii="Times New Roman" w:hAnsi="Times New Roman"/>
          <w:color w:val="0070C0"/>
          <w:sz w:val="16"/>
          <w:szCs w:val="16"/>
        </w:rPr>
      </w:pPr>
    </w:p>
    <w:p w14:paraId="5024033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года в ОКБ-115 предприняли попытку создания на базе Як-3 высотного истребителя-перехватчика. Практически одновременно велись работы по установке на самолет двигателей М-105ПВ и М-105ПД. К сожалению, точно сказать, чем отличался М-105П В от варианта "ПФ", не могу, но, судя по отрывочным архивным данным, - лишь опытным нагнетателем с большим наддувом. Но после установки нагнетателя Э-100 В.А. Доллежаля он превратился в М-105ПД. Видимо, поэтому в названии двигателя и появилась буква Д.</w:t>
      </w:r>
    </w:p>
    <w:p w14:paraId="109C59D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Поскольку главной целью установки на Як-3 новых моторов было повышение их высотности, спроектировали новой крыло увеличенного на 0,6 метра размаха. Его площадь при этом возросла на 0,5 м2. </w:t>
      </w:r>
    </w:p>
    <w:p w14:paraId="592EF5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М-105ПВ установили на доработанный серийный Як-3 №4419 (эталон 1945 г.) в сентябре 1944 года. Тогда же на самолете сократили вооружение, ограничившись одним орудием НС-23 (вес - 37 кг, вес снаряда - 0,2 кг, секундный залп - 1,85 кг, скорострельность - 550 выстрелов в минуту) с боезапасом 60 патронов. При этом машина полегчала по сравнению с предшественником на 7 кг, но ее центровка сместилась назад с 24,9 до 25,3% средней аэродинамической хорды. Сначала на машине стоял опытный винт ВИШ-105ТЛ-2, впоследствии замененный серийным ВИШ-105СВ-01.</w:t>
      </w:r>
    </w:p>
    <w:p w14:paraId="7995C6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Заводские испытания (ведущие - инженер Н.И. Макеев и летчик ВЛ. Расторгуев), проведенные с 29 сентября по 7 октября, преследовали одну цель - определение высотно-скоростных характеристик машины. Но из-за неустойчивой работы двигателя выполнили лишь шесть полетов, ограничившись снятием максимальных скоростей. При этом была достигнута скорость 656 км/ч на высоте 5525 метров (12047).</w:t>
      </w:r>
    </w:p>
    <w:p w14:paraId="02000A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A9E8687" w14:textId="77777777" w:rsidR="001D54E9" w:rsidRPr="00C94B78" w:rsidRDefault="001D54E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Весной 1944 г. на испытания вышел истребитель сопровождения Як-9ТД, у которого дальность возросла до 2300 км (правда, пришлось вместо 37-мм пушки поставить 20-мм пушку ШВАК).</w:t>
      </w:r>
    </w:p>
    <w:p w14:paraId="3E9BB745" w14:textId="77777777" w:rsidR="001D54E9" w:rsidRPr="00C94B78" w:rsidRDefault="001D54E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Як-9М</w:t>
      </w:r>
      <w:r w:rsidRPr="00C94B78">
        <w:rPr>
          <w:rFonts w:ascii="Times New Roman" w:hAnsi="Times New Roman"/>
          <w:b/>
          <w:bCs/>
          <w:color w:val="0070C0"/>
          <w:sz w:val="16"/>
          <w:szCs w:val="16"/>
        </w:rPr>
        <w:t xml:space="preserve"> </w:t>
      </w:r>
      <w:r w:rsidRPr="00C94B78">
        <w:rPr>
          <w:rFonts w:ascii="Times New Roman" w:hAnsi="Times New Roman"/>
          <w:color w:val="0070C0"/>
          <w:sz w:val="16"/>
          <w:szCs w:val="16"/>
        </w:rPr>
        <w:t>(модернизированный) имел крыло от Як-9Д с четырьмя баками, которое сочеталось с фюзеляжем от Як-9Т со смещённой назад кабиной; это позволило унифицировать фюзеляжи этих вариантов. Вооружение соответствовало Як-9Д (24932).</w:t>
      </w:r>
    </w:p>
    <w:p w14:paraId="76D29DD1" w14:textId="77777777" w:rsidR="001D54E9" w:rsidRPr="00C94B78" w:rsidRDefault="001D54E9" w:rsidP="00B56F90">
      <w:pPr>
        <w:spacing w:after="0" w:line="240" w:lineRule="auto"/>
        <w:jc w:val="both"/>
        <w:rPr>
          <w:rFonts w:ascii="Times New Roman" w:hAnsi="Times New Roman"/>
          <w:color w:val="0070C0"/>
          <w:sz w:val="16"/>
          <w:szCs w:val="16"/>
        </w:rPr>
      </w:pPr>
    </w:p>
    <w:p w14:paraId="08FD4D45" w14:textId="77777777" w:rsidR="001D54E9" w:rsidRPr="00C94B78" w:rsidRDefault="001D54E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Весной 1944 г. появился истребитель- бомбардировщик Як-9Б. Его отсек за кабиной вмещал четыре бомбы ФАБ-100 или кассеты со 128 противотан</w:t>
      </w:r>
      <w:r w:rsidRPr="00C94B78">
        <w:rPr>
          <w:rFonts w:ascii="Times New Roman" w:hAnsi="Times New Roman"/>
          <w:color w:val="0070C0"/>
          <w:sz w:val="16"/>
          <w:szCs w:val="16"/>
        </w:rPr>
        <w:softHyphen/>
        <w:t>ковыми бомбами ПТАБ-2,5-1,5; сброс бомб выполнялся через нижний люк. Партия из 109 машин проходила войсковые испытания с октября 1944 г. по февраль 1945 г. В целом Як-9Б признали неудачным - отсутствие бомбового прицела мешало точному бомбометанию (24932).</w:t>
      </w:r>
    </w:p>
    <w:p w14:paraId="788A0ABB" w14:textId="77777777" w:rsidR="001D54E9" w:rsidRPr="00C94B78" w:rsidRDefault="001D54E9" w:rsidP="00B56F90">
      <w:pPr>
        <w:spacing w:after="0" w:line="240" w:lineRule="auto"/>
        <w:jc w:val="both"/>
        <w:rPr>
          <w:rFonts w:ascii="Times New Roman" w:hAnsi="Times New Roman"/>
          <w:color w:val="0070C0"/>
          <w:sz w:val="16"/>
          <w:szCs w:val="16"/>
        </w:rPr>
      </w:pPr>
    </w:p>
    <w:p w14:paraId="62CAB0C0" w14:textId="77777777" w:rsidR="001D54E9" w:rsidRPr="00C94B78" w:rsidRDefault="001D54E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Весной 1944 года прорабатывался вариант установки пары ВРД сначала на само</w:t>
      </w:r>
      <w:r w:rsidRPr="00C94B78">
        <w:rPr>
          <w:rFonts w:ascii="Times New Roman" w:hAnsi="Times New Roman"/>
          <w:color w:val="0070C0"/>
          <w:sz w:val="16"/>
          <w:szCs w:val="16"/>
        </w:rPr>
        <w:softHyphen/>
        <w:t>лет «120», а затем — на «126», получивший с ПВРД обозначение «164» (24988).</w:t>
      </w:r>
    </w:p>
    <w:p w14:paraId="14EBA9AB" w14:textId="77777777" w:rsidR="001D54E9" w:rsidRPr="00C94B78" w:rsidRDefault="001D54E9" w:rsidP="00B56F90">
      <w:pPr>
        <w:spacing w:after="0" w:line="240" w:lineRule="auto"/>
        <w:jc w:val="both"/>
        <w:rPr>
          <w:rFonts w:ascii="Times New Roman" w:hAnsi="Times New Roman"/>
          <w:color w:val="0070C0"/>
          <w:sz w:val="16"/>
          <w:szCs w:val="16"/>
        </w:rPr>
      </w:pPr>
    </w:p>
    <w:p w14:paraId="20C0F6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Весной 1944 г. сначала прорабатывался вариант установки воздушно-реактивных двигателей ПВРД-430 на самолет "120", а затем на истребитель "126", проводившаяся под руководством М.М. Бондарюка. Разработка новых прямоточных, затянулась почти на два года. Вариант самолета “126” с ПВРД-430 получил собственное обозначение - самолет "164". </w:t>
      </w:r>
    </w:p>
    <w:p w14:paraId="25C264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Эта машина была построена. Ее летные испытания начались в июне 1946 г. За два месяца с небольшим летчики А.В. Давыдов и А.А. Попов совершили 34 полета; в 30 из них запускали ПВРД. Надежность усовершенствованных двигателей хоть и возросла, но они по-прежнему давали сбои в работе и требовали доводки. В то же время улучшение аэродинамики узлов сопряжения ПВРД с крылом в совокупности с возросшей тягой позволило довести прирост скорости (по сравнению с самолетом с отключенными ПВРД) до 104 - 109 км/ч - в зависимости от высоты полета. Но по отношению к самолету "126" без дополнительных двигателей этот прирост ограничивался 62 - 64 км/ч. Выигрыш оказался невелик, но подкупала простота эксплуатации машины, да и пилотажные характеристики с работающими ускорителями остались, как у самолета "126". Опыт работы над истребителем "164" позже использовали при проектировании других машин с ПВРД.</w:t>
      </w:r>
    </w:p>
    <w:p w14:paraId="2D83CC0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Сами самолеты "126" и "164", как и их предшественник "120", остались в разряде опытных. Однако старания коллектива Лавочкина не пропали даром. Технические решения, отработанные на этих истребителях, были востребованы при создании будущего Ла-9 или, как его еще сначала называли, "цельнометаллического Ла-7" (11990).</w:t>
      </w:r>
    </w:p>
    <w:p w14:paraId="343671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EB747D5" w14:textId="77777777" w:rsidR="001D54E9" w:rsidRPr="00070ADE" w:rsidRDefault="001D54E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в НИИ ВВС прошли гос. испытания головного серийного Ще-2 N 03147, подтвердившего полученные ранее характеристики. В 1944 построили 222, в 1945 - 285, в 1946 - 60, а всего 567 (576,4).</w:t>
      </w:r>
    </w:p>
    <w:p w14:paraId="384BB23C" w14:textId="77777777" w:rsidR="001D54E9" w:rsidRPr="00070ADE" w:rsidRDefault="001D54E9"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018B4D" w14:textId="77777777" w:rsidR="001D54E9" w:rsidRPr="00070ADE" w:rsidRDefault="001D54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в НИИ ВВС прошел государственные испытания серийный Ще-2 No.03147, которые подтвердил ранее полученные характеристики.</w:t>
      </w:r>
    </w:p>
    <w:p w14:paraId="1549EB35" w14:textId="77777777" w:rsidR="001D54E9" w:rsidRPr="00070ADE" w:rsidRDefault="001D54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серийном самолете по сравнению с опытным усилили пол фюзеляжа, улучшили осевую компенсацию элеронов, амортизацию шасси, ввели систему разжижения масла, изменили форму килей и увеличили размах крыла.</w:t>
      </w:r>
    </w:p>
    <w:p w14:paraId="4FD108C0" w14:textId="77777777" w:rsidR="001D54E9" w:rsidRPr="00070ADE" w:rsidRDefault="001D54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1944 г. построили 222 самолета, в 1945 г. 285, в 1946 г. - 60. Всего выпустили 567 самолетов в транспортном (общий вес нагрузки до 1150 кг), десантном (до 10 парашютистов и грузов) и учебном.</w:t>
      </w:r>
    </w:p>
    <w:p w14:paraId="214985F1" w14:textId="77777777" w:rsidR="001D54E9" w:rsidRPr="00070ADE" w:rsidRDefault="001D54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Учебный Ще-2 оснащался радиополукомпасами РПК-10, РПК-2 и радиостанцией РСБ-3бис. Он мог поднимать на борт группу из 5 - 8 курсантов с инструктором.</w:t>
      </w:r>
    </w:p>
    <w:p w14:paraId="1CA44060" w14:textId="77777777" w:rsidR="001D54E9" w:rsidRPr="00070ADE" w:rsidRDefault="001D54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1945 г. выпускался модифицированный Ще-2ТМ завода № 47. Он получил моторы М-11ФМ взлетной мощностью 145 л. с. Сократили размах центроплана, за счет этого уменьшился размах крыла. С самолета сняли закрылки и укоротили подкосы крыла. Уменьшили площадь горизонтального и вертикального оперения. Убрали передние бензобаки. Укоротили стойки шасси и диаметр колес. Выпуклые передние стекла фонаря кабины пилотов заменили на плоские. Облегчили перекрытие грузового пола между 9 и 10 шпангоутами.</w:t>
      </w:r>
    </w:p>
    <w:p w14:paraId="644663D6" w14:textId="77777777" w:rsidR="001D54E9" w:rsidRPr="00070ADE" w:rsidRDefault="001D54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Летные характеристики улучшились по сравнению с серийным образцом.</w:t>
      </w:r>
    </w:p>
    <w:p w14:paraId="7B70F516" w14:textId="77777777" w:rsidR="001D54E9" w:rsidRPr="00070ADE" w:rsidRDefault="001D54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не пошел в серию, поскольку его производство сворачивалось после войны. По той же причине на Ще-2 не поставили дизельные моторы (24202).</w:t>
      </w:r>
    </w:p>
    <w:p w14:paraId="37773FDC" w14:textId="77777777" w:rsidR="001D54E9" w:rsidRPr="00070ADE" w:rsidRDefault="001D54E9" w:rsidP="00B56F90">
      <w:pPr>
        <w:spacing w:after="0" w:line="240" w:lineRule="auto"/>
        <w:jc w:val="both"/>
        <w:rPr>
          <w:rFonts w:ascii="Times New Roman" w:hAnsi="Times New Roman"/>
          <w:color w:val="000000" w:themeColor="text1"/>
          <w:sz w:val="16"/>
          <w:szCs w:val="16"/>
        </w:rPr>
      </w:pPr>
    </w:p>
    <w:p w14:paraId="74D99FEE" w14:textId="77777777" w:rsidR="001D54E9" w:rsidRPr="00070ADE" w:rsidRDefault="001D54E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началось проектирова</w:t>
      </w:r>
      <w:r w:rsidRPr="00070ADE">
        <w:rPr>
          <w:rFonts w:ascii="Times New Roman" w:hAnsi="Times New Roman"/>
          <w:color w:val="000000" w:themeColor="text1"/>
          <w:sz w:val="16"/>
          <w:szCs w:val="16"/>
        </w:rPr>
        <w:softHyphen/>
        <w:t>ние шсстиместного пассажирского самолета Н.Н.П. под таким названием «Лиму</w:t>
      </w:r>
      <w:r w:rsidRPr="00070ADE">
        <w:rPr>
          <w:rFonts w:ascii="Times New Roman" w:hAnsi="Times New Roman"/>
          <w:color w:val="000000" w:themeColor="text1"/>
          <w:sz w:val="16"/>
          <w:szCs w:val="16"/>
        </w:rPr>
        <w:softHyphen/>
        <w:t>зин». Внутри КБ самолет имел шифр «Д». Во внешнем облике этой машины нетрудно раз</w:t>
      </w:r>
      <w:r w:rsidRPr="00070ADE">
        <w:rPr>
          <w:rFonts w:ascii="Times New Roman" w:hAnsi="Times New Roman"/>
          <w:color w:val="000000" w:themeColor="text1"/>
          <w:sz w:val="16"/>
          <w:szCs w:val="16"/>
        </w:rPr>
        <w:softHyphen/>
        <w:t>глядеть сходство с последними многомест</w:t>
      </w:r>
      <w:r w:rsidRPr="00070ADE">
        <w:rPr>
          <w:rFonts w:ascii="Times New Roman" w:hAnsi="Times New Roman"/>
          <w:color w:val="000000" w:themeColor="text1"/>
          <w:sz w:val="16"/>
          <w:szCs w:val="16"/>
        </w:rPr>
        <w:softHyphen/>
        <w:t>ными модификациями У-2, разработанными в КБ Поликарпова. Впрочем, в пояснитель</w:t>
      </w:r>
      <w:r w:rsidRPr="00070ADE">
        <w:rPr>
          <w:rFonts w:ascii="Times New Roman" w:hAnsi="Times New Roman"/>
          <w:color w:val="000000" w:themeColor="text1"/>
          <w:sz w:val="16"/>
          <w:szCs w:val="16"/>
        </w:rPr>
        <w:softHyphen/>
        <w:t>ной записке к эскизному проекту прямо го</w:t>
      </w:r>
      <w:r w:rsidRPr="00070ADE">
        <w:rPr>
          <w:rFonts w:ascii="Times New Roman" w:hAnsi="Times New Roman"/>
          <w:color w:val="000000" w:themeColor="text1"/>
          <w:sz w:val="16"/>
          <w:szCs w:val="16"/>
        </w:rPr>
        <w:softHyphen/>
        <w:t>ворилось, что данная работа является разви</w:t>
      </w:r>
      <w:r w:rsidRPr="00070ADE">
        <w:rPr>
          <w:rFonts w:ascii="Times New Roman" w:hAnsi="Times New Roman"/>
          <w:color w:val="000000" w:themeColor="text1"/>
          <w:sz w:val="16"/>
          <w:szCs w:val="16"/>
        </w:rPr>
        <w:softHyphen/>
        <w:t>тием полученного задания на У-2ШС. Кон</w:t>
      </w:r>
      <w:r w:rsidRPr="00070ADE">
        <w:rPr>
          <w:rFonts w:ascii="Times New Roman" w:hAnsi="Times New Roman"/>
          <w:color w:val="000000" w:themeColor="text1"/>
          <w:sz w:val="16"/>
          <w:szCs w:val="16"/>
        </w:rPr>
        <w:softHyphen/>
        <w:t>структор, как и все советские люди, жил в ожидании победы над врагом. Он предвидел послевоенные трудности, поэтому основным критерием целесообразности считал просто</w:t>
      </w:r>
      <w:r w:rsidRPr="00070ADE">
        <w:rPr>
          <w:rFonts w:ascii="Times New Roman" w:hAnsi="Times New Roman"/>
          <w:color w:val="000000" w:themeColor="text1"/>
          <w:sz w:val="16"/>
          <w:szCs w:val="16"/>
        </w:rPr>
        <w:softHyphen/>
        <w:t>ту и дешевизну производства при соблюде</w:t>
      </w:r>
      <w:r w:rsidRPr="00070ADE">
        <w:rPr>
          <w:rFonts w:ascii="Times New Roman" w:hAnsi="Times New Roman"/>
          <w:color w:val="000000" w:themeColor="text1"/>
          <w:sz w:val="16"/>
          <w:szCs w:val="16"/>
        </w:rPr>
        <w:softHyphen/>
        <w:t>нии необходимого уровня комфорта. «Лимузин», оснащенный двигателем М-11Ф 140 л.с. с винтом изменяемого шага, предполагался для использования в качест</w:t>
      </w:r>
      <w:r w:rsidRPr="00070ADE">
        <w:rPr>
          <w:rFonts w:ascii="Times New Roman" w:hAnsi="Times New Roman"/>
          <w:color w:val="000000" w:themeColor="text1"/>
          <w:sz w:val="16"/>
          <w:szCs w:val="16"/>
        </w:rPr>
        <w:softHyphen/>
        <w:t>ве штабного, санитарного, транспортного и учебного. В последнем варианте монтирова</w:t>
      </w:r>
      <w:r w:rsidRPr="00070ADE">
        <w:rPr>
          <w:rFonts w:ascii="Times New Roman" w:hAnsi="Times New Roman"/>
          <w:color w:val="000000" w:themeColor="text1"/>
          <w:sz w:val="16"/>
          <w:szCs w:val="16"/>
        </w:rPr>
        <w:softHyphen/>
        <w:t>лось второе управление. Основная компо</w:t>
      </w:r>
      <w:r w:rsidRPr="00070ADE">
        <w:rPr>
          <w:rFonts w:ascii="Times New Roman" w:hAnsi="Times New Roman"/>
          <w:color w:val="000000" w:themeColor="text1"/>
          <w:sz w:val="16"/>
          <w:szCs w:val="16"/>
        </w:rPr>
        <w:softHyphen/>
        <w:t>новка позволяла разместить 5 пассажиров (один рядом с пилотом) или двух раненых на стандартных армейских носилках и одно</w:t>
      </w:r>
      <w:r w:rsidRPr="00070ADE">
        <w:rPr>
          <w:rFonts w:ascii="Times New Roman" w:hAnsi="Times New Roman"/>
          <w:color w:val="000000" w:themeColor="text1"/>
          <w:sz w:val="16"/>
          <w:szCs w:val="16"/>
        </w:rPr>
        <w:softHyphen/>
        <w:t>го сопровождающего. При снятых креслах в образовавшемся грузовом отсеке устанав</w:t>
      </w:r>
      <w:r w:rsidRPr="00070ADE">
        <w:rPr>
          <w:rFonts w:ascii="Times New Roman" w:hAnsi="Times New Roman"/>
          <w:color w:val="000000" w:themeColor="text1"/>
          <w:sz w:val="16"/>
          <w:szCs w:val="16"/>
        </w:rPr>
        <w:softHyphen/>
        <w:t>ливались две стандартные бочки или 4 стан</w:t>
      </w:r>
      <w:r w:rsidRPr="00070ADE">
        <w:rPr>
          <w:rFonts w:ascii="Times New Roman" w:hAnsi="Times New Roman"/>
          <w:color w:val="000000" w:themeColor="text1"/>
          <w:sz w:val="16"/>
          <w:szCs w:val="16"/>
        </w:rPr>
        <w:softHyphen/>
        <w:t>дартных баллона - всего до 400 кг. Конструкция смешанная: фюзеляж де</w:t>
      </w:r>
      <w:r w:rsidRPr="00070ADE">
        <w:rPr>
          <w:rFonts w:ascii="Times New Roman" w:hAnsi="Times New Roman"/>
          <w:color w:val="000000" w:themeColor="text1"/>
          <w:sz w:val="16"/>
          <w:szCs w:val="16"/>
        </w:rPr>
        <w:softHyphen/>
        <w:t>ревянный с фанерной обшивкой, крыло ме</w:t>
      </w:r>
      <w:r w:rsidRPr="00070ADE">
        <w:rPr>
          <w:rFonts w:ascii="Times New Roman" w:hAnsi="Times New Roman"/>
          <w:color w:val="000000" w:themeColor="text1"/>
          <w:sz w:val="16"/>
          <w:szCs w:val="16"/>
        </w:rPr>
        <w:softHyphen/>
        <w:t>таллическое с полотняной обшивкой. В крыле два топливных бака емкостью по 120 литров. Шасси убираемое механическим приводом, колеса тормозные. Кабина пило</w:t>
      </w:r>
      <w:r w:rsidRPr="00070ADE">
        <w:rPr>
          <w:rFonts w:ascii="Times New Roman" w:hAnsi="Times New Roman"/>
          <w:color w:val="000000" w:themeColor="text1"/>
          <w:sz w:val="16"/>
          <w:szCs w:val="16"/>
        </w:rPr>
        <w:softHyphen/>
        <w:t>та с полным комплектом навигационных приборов, позволяющих осуществлять по</w:t>
      </w:r>
      <w:r w:rsidRPr="00070ADE">
        <w:rPr>
          <w:rFonts w:ascii="Times New Roman" w:hAnsi="Times New Roman"/>
          <w:color w:val="000000" w:themeColor="text1"/>
          <w:sz w:val="16"/>
          <w:szCs w:val="16"/>
        </w:rPr>
        <w:softHyphen/>
        <w:t>леты в условиях плохой видимости и но</w:t>
      </w:r>
      <w:r w:rsidRPr="00070ADE">
        <w:rPr>
          <w:rFonts w:ascii="Times New Roman" w:hAnsi="Times New Roman"/>
          <w:color w:val="000000" w:themeColor="text1"/>
          <w:sz w:val="16"/>
          <w:szCs w:val="16"/>
        </w:rPr>
        <w:softHyphen/>
        <w:t>чью. Центровка при нормальной загрузке 22,1% САХ. Весовая отдача 42%.</w:t>
      </w:r>
    </w:p>
    <w:p w14:paraId="5BD95277" w14:textId="77777777" w:rsidR="001D54E9" w:rsidRPr="00070ADE" w:rsidRDefault="001D54E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Особо отмечалась подготовленность конструкции для массового производства. Весь самолет технологически делился на отдельные агрегаты, изготовление которых предполагалось осуществлять на предпри</w:t>
      </w:r>
      <w:r w:rsidRPr="00070ADE">
        <w:rPr>
          <w:rFonts w:ascii="Times New Roman" w:hAnsi="Times New Roman"/>
          <w:color w:val="000000" w:themeColor="text1"/>
          <w:sz w:val="16"/>
          <w:szCs w:val="16"/>
        </w:rPr>
        <w:softHyphen/>
        <w:t>ятиях-смежниках.</w:t>
      </w:r>
    </w:p>
    <w:p w14:paraId="3B3D7360" w14:textId="77777777" w:rsidR="001D54E9" w:rsidRPr="00070ADE" w:rsidRDefault="001D54E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Расчетные характеристики моноплана «Лимузин»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1D54E9" w:rsidRPr="00070ADE" w14:paraId="2C24D98B" w14:textId="77777777" w:rsidTr="00D752DA">
        <w:tc>
          <w:tcPr>
            <w:tcW w:w="4788" w:type="dxa"/>
            <w:tcBorders>
              <w:top w:val="single" w:sz="12" w:space="0" w:color="auto"/>
            </w:tcBorders>
            <w:shd w:val="clear" w:color="auto" w:fill="FFFFFF"/>
          </w:tcPr>
          <w:p w14:paraId="3F80030A"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в линии полета (м)</w:t>
            </w:r>
          </w:p>
        </w:tc>
        <w:tc>
          <w:tcPr>
            <w:tcW w:w="4788" w:type="dxa"/>
            <w:tcBorders>
              <w:top w:val="single" w:sz="12" w:space="0" w:color="auto"/>
            </w:tcBorders>
            <w:shd w:val="clear" w:color="auto" w:fill="FFFFFF"/>
          </w:tcPr>
          <w:p w14:paraId="2D017651"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8,540</w:t>
            </w:r>
          </w:p>
        </w:tc>
      </w:tr>
      <w:tr w:rsidR="001D54E9" w:rsidRPr="00070ADE" w14:paraId="1B636F44" w14:textId="77777777" w:rsidTr="00D752DA">
        <w:tc>
          <w:tcPr>
            <w:tcW w:w="4788" w:type="dxa"/>
            <w:shd w:val="clear" w:color="auto" w:fill="FFFFFF"/>
          </w:tcPr>
          <w:p w14:paraId="1CBA745A"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Размах крыла (м)</w:t>
            </w:r>
          </w:p>
        </w:tc>
        <w:tc>
          <w:tcPr>
            <w:tcW w:w="4788" w:type="dxa"/>
            <w:shd w:val="clear" w:color="auto" w:fill="FFFFFF"/>
          </w:tcPr>
          <w:p w14:paraId="380E65C8"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11,50</w:t>
            </w:r>
          </w:p>
        </w:tc>
      </w:tr>
      <w:tr w:rsidR="001D54E9" w:rsidRPr="00070ADE" w14:paraId="790A6E55" w14:textId="77777777" w:rsidTr="00D752DA">
        <w:tc>
          <w:tcPr>
            <w:tcW w:w="4788" w:type="dxa"/>
            <w:shd w:val="clear" w:color="auto" w:fill="FFFFFF"/>
          </w:tcPr>
          <w:p w14:paraId="50B053BA"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Колея шасси (м)</w:t>
            </w:r>
          </w:p>
        </w:tc>
        <w:tc>
          <w:tcPr>
            <w:tcW w:w="4788" w:type="dxa"/>
            <w:shd w:val="clear" w:color="auto" w:fill="FFFFFF"/>
          </w:tcPr>
          <w:p w14:paraId="1788E01D"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3,500</w:t>
            </w:r>
          </w:p>
        </w:tc>
      </w:tr>
      <w:tr w:rsidR="001D54E9" w:rsidRPr="00070ADE" w14:paraId="687D45D0" w14:textId="77777777" w:rsidTr="00D752DA">
        <w:tc>
          <w:tcPr>
            <w:tcW w:w="4788" w:type="dxa"/>
            <w:shd w:val="clear" w:color="auto" w:fill="FFFFFF"/>
          </w:tcPr>
          <w:p w14:paraId="20379CC1"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Размах стабилизатора (м)</w:t>
            </w:r>
          </w:p>
        </w:tc>
        <w:tc>
          <w:tcPr>
            <w:tcW w:w="4788" w:type="dxa"/>
            <w:shd w:val="clear" w:color="auto" w:fill="FFFFFF"/>
          </w:tcPr>
          <w:p w14:paraId="108564EB"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3,200</w:t>
            </w:r>
          </w:p>
        </w:tc>
      </w:tr>
      <w:tr w:rsidR="001D54E9" w:rsidRPr="00070ADE" w14:paraId="654D20B2" w14:textId="77777777" w:rsidTr="00D752DA">
        <w:tc>
          <w:tcPr>
            <w:tcW w:w="4788" w:type="dxa"/>
            <w:shd w:val="clear" w:color="auto" w:fill="FFFFFF"/>
          </w:tcPr>
          <w:p w14:paraId="28EC307A"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(кг)</w:t>
            </w:r>
          </w:p>
        </w:tc>
        <w:tc>
          <w:tcPr>
            <w:tcW w:w="4788" w:type="dxa"/>
            <w:shd w:val="clear" w:color="auto" w:fill="FFFFFF"/>
          </w:tcPr>
          <w:p w14:paraId="080C9217"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798</w:t>
            </w:r>
          </w:p>
        </w:tc>
      </w:tr>
      <w:tr w:rsidR="001D54E9" w:rsidRPr="00070ADE" w14:paraId="6C6549CD" w14:textId="77777777" w:rsidTr="00D752DA">
        <w:tc>
          <w:tcPr>
            <w:tcW w:w="4788" w:type="dxa"/>
            <w:shd w:val="clear" w:color="auto" w:fill="FFFFFF"/>
          </w:tcPr>
          <w:p w14:paraId="5AEC2A2C"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 (кг)</w:t>
            </w:r>
          </w:p>
        </w:tc>
        <w:tc>
          <w:tcPr>
            <w:tcW w:w="4788" w:type="dxa"/>
            <w:shd w:val="clear" w:color="auto" w:fill="FFFFFF"/>
          </w:tcPr>
          <w:p w14:paraId="311ACE33"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1375</w:t>
            </w:r>
          </w:p>
        </w:tc>
      </w:tr>
      <w:tr w:rsidR="001D54E9" w:rsidRPr="00070ADE" w14:paraId="3E8604B8" w14:textId="77777777" w:rsidTr="00D752DA">
        <w:tc>
          <w:tcPr>
            <w:tcW w:w="4788" w:type="dxa"/>
            <w:shd w:val="clear" w:color="auto" w:fill="FFFFFF"/>
          </w:tcPr>
          <w:p w14:paraId="04CD1E0F"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(км/ч)</w:t>
            </w:r>
          </w:p>
        </w:tc>
        <w:tc>
          <w:tcPr>
            <w:tcW w:w="4788" w:type="dxa"/>
            <w:shd w:val="clear" w:color="auto" w:fill="FFFFFF"/>
          </w:tcPr>
          <w:p w14:paraId="4C06DE2B"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248</w:t>
            </w:r>
          </w:p>
        </w:tc>
      </w:tr>
      <w:tr w:rsidR="001D54E9" w:rsidRPr="00070ADE" w14:paraId="0F4DA705" w14:textId="77777777" w:rsidTr="00D752DA">
        <w:tc>
          <w:tcPr>
            <w:tcW w:w="4788" w:type="dxa"/>
            <w:shd w:val="clear" w:color="auto" w:fill="FFFFFF"/>
          </w:tcPr>
          <w:p w14:paraId="366FCC4E"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Крейсерская скорость (км/ч)</w:t>
            </w:r>
          </w:p>
        </w:tc>
        <w:tc>
          <w:tcPr>
            <w:tcW w:w="4788" w:type="dxa"/>
            <w:shd w:val="clear" w:color="auto" w:fill="FFFFFF"/>
          </w:tcPr>
          <w:p w14:paraId="79FD8E6B"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195</w:t>
            </w:r>
          </w:p>
        </w:tc>
      </w:tr>
      <w:tr w:rsidR="001D54E9" w:rsidRPr="00070ADE" w14:paraId="1380CE5C" w14:textId="77777777" w:rsidTr="00D752DA">
        <w:tc>
          <w:tcPr>
            <w:tcW w:w="4788" w:type="dxa"/>
            <w:shd w:val="clear" w:color="auto" w:fill="FFFFFF"/>
          </w:tcPr>
          <w:p w14:paraId="310D1FF1"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Посадочная скорость (км/ч)</w:t>
            </w:r>
          </w:p>
        </w:tc>
        <w:tc>
          <w:tcPr>
            <w:tcW w:w="4788" w:type="dxa"/>
            <w:shd w:val="clear" w:color="auto" w:fill="FFFFFF"/>
          </w:tcPr>
          <w:p w14:paraId="5F8F3212"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86</w:t>
            </w:r>
          </w:p>
        </w:tc>
      </w:tr>
      <w:tr w:rsidR="001D54E9" w:rsidRPr="00070ADE" w14:paraId="4383D461" w14:textId="77777777" w:rsidTr="00D752DA">
        <w:tc>
          <w:tcPr>
            <w:tcW w:w="4788" w:type="dxa"/>
            <w:shd w:val="clear" w:color="auto" w:fill="FFFFFF"/>
          </w:tcPr>
          <w:p w14:paraId="4F794F86"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Потолок (м)</w:t>
            </w:r>
          </w:p>
        </w:tc>
        <w:tc>
          <w:tcPr>
            <w:tcW w:w="4788" w:type="dxa"/>
            <w:shd w:val="clear" w:color="auto" w:fill="FFFFFF"/>
          </w:tcPr>
          <w:p w14:paraId="7BECB90B"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3750</w:t>
            </w:r>
          </w:p>
        </w:tc>
      </w:tr>
      <w:tr w:rsidR="001D54E9" w:rsidRPr="00070ADE" w14:paraId="0DE8D926" w14:textId="77777777" w:rsidTr="00D752DA">
        <w:tc>
          <w:tcPr>
            <w:tcW w:w="4788" w:type="dxa"/>
            <w:shd w:val="clear" w:color="auto" w:fill="FFFFFF"/>
          </w:tcPr>
          <w:p w14:paraId="337770F8"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разбега (м)</w:t>
            </w:r>
          </w:p>
        </w:tc>
        <w:tc>
          <w:tcPr>
            <w:tcW w:w="4788" w:type="dxa"/>
            <w:shd w:val="clear" w:color="auto" w:fill="FFFFFF"/>
          </w:tcPr>
          <w:p w14:paraId="0835AADF"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330</w:t>
            </w:r>
          </w:p>
        </w:tc>
      </w:tr>
      <w:tr w:rsidR="001D54E9" w:rsidRPr="00070ADE" w14:paraId="2AEB922C" w14:textId="77777777" w:rsidTr="00D752DA">
        <w:tc>
          <w:tcPr>
            <w:tcW w:w="4788" w:type="dxa"/>
            <w:shd w:val="clear" w:color="auto" w:fill="FFFFFF"/>
          </w:tcPr>
          <w:p w14:paraId="38DF39C2"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пробега (м)</w:t>
            </w:r>
          </w:p>
        </w:tc>
        <w:tc>
          <w:tcPr>
            <w:tcW w:w="4788" w:type="dxa"/>
            <w:shd w:val="clear" w:color="auto" w:fill="FFFFFF"/>
          </w:tcPr>
          <w:p w14:paraId="66B78EBB"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338</w:t>
            </w:r>
          </w:p>
        </w:tc>
      </w:tr>
      <w:tr w:rsidR="001D54E9" w:rsidRPr="00070ADE" w14:paraId="5CF5F550" w14:textId="77777777" w:rsidTr="00D752DA">
        <w:tc>
          <w:tcPr>
            <w:tcW w:w="4788" w:type="dxa"/>
            <w:shd w:val="clear" w:color="auto" w:fill="FFFFFF"/>
          </w:tcPr>
          <w:p w14:paraId="2A536D97"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нормальная (км)</w:t>
            </w:r>
          </w:p>
        </w:tc>
        <w:tc>
          <w:tcPr>
            <w:tcW w:w="4788" w:type="dxa"/>
            <w:shd w:val="clear" w:color="auto" w:fill="FFFFFF"/>
          </w:tcPr>
          <w:p w14:paraId="5D9FF7E5"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w:t>
            </w:r>
          </w:p>
        </w:tc>
      </w:tr>
      <w:tr w:rsidR="001D54E9" w:rsidRPr="00070ADE" w14:paraId="5C18E31F" w14:textId="77777777" w:rsidTr="00D752DA">
        <w:tc>
          <w:tcPr>
            <w:tcW w:w="4788" w:type="dxa"/>
            <w:tcBorders>
              <w:bottom w:val="single" w:sz="12" w:space="0" w:color="auto"/>
            </w:tcBorders>
            <w:shd w:val="clear" w:color="auto" w:fill="FFFFFF"/>
          </w:tcPr>
          <w:p w14:paraId="62D0F832"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максимальная (км)</w:t>
            </w:r>
          </w:p>
        </w:tc>
        <w:tc>
          <w:tcPr>
            <w:tcW w:w="4788" w:type="dxa"/>
            <w:tcBorders>
              <w:bottom w:val="single" w:sz="12" w:space="0" w:color="auto"/>
            </w:tcBorders>
            <w:shd w:val="clear" w:color="auto" w:fill="FFFFFF"/>
          </w:tcPr>
          <w:p w14:paraId="05CE72DB" w14:textId="77777777" w:rsidR="001D54E9" w:rsidRPr="00070ADE" w:rsidRDefault="001D54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1700</w:t>
            </w:r>
          </w:p>
        </w:tc>
      </w:tr>
    </w:tbl>
    <w:p w14:paraId="41CDF281" w14:textId="77777777" w:rsidR="001D54E9" w:rsidRPr="00070ADE" w:rsidRDefault="001D54E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(11085).</w:t>
      </w:r>
    </w:p>
    <w:p w14:paraId="14DD1B54" w14:textId="77777777" w:rsidR="001D54E9" w:rsidRPr="00070ADE" w:rsidRDefault="001D54E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6E1E8A" w14:textId="77777777" w:rsidR="001D54E9" w:rsidRPr="00070ADE" w:rsidRDefault="001D54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весны 1944 г. сохраня</w:t>
      </w:r>
      <w:r w:rsidRPr="00070ADE">
        <w:rPr>
          <w:rFonts w:ascii="Times New Roman" w:hAnsi="Times New Roman"/>
          <w:color w:val="000000" w:themeColor="text1"/>
          <w:sz w:val="16"/>
          <w:szCs w:val="16"/>
        </w:rPr>
        <w:softHyphen/>
        <w:t>лась надежда все-таки разрешить вопрос с «Албемарлами». На базе Эррол продол</w:t>
      </w:r>
      <w:r w:rsidRPr="00070ADE">
        <w:rPr>
          <w:rFonts w:ascii="Times New Roman" w:hAnsi="Times New Roman"/>
          <w:color w:val="000000" w:themeColor="text1"/>
          <w:sz w:val="16"/>
          <w:szCs w:val="16"/>
        </w:rPr>
        <w:softHyphen/>
        <w:t>жали находиться советские перегонщики. Тренировки там продолжались до 18 апре</w:t>
      </w:r>
      <w:r w:rsidRPr="00070ADE">
        <w:rPr>
          <w:rFonts w:ascii="Times New Roman" w:hAnsi="Times New Roman"/>
          <w:color w:val="000000" w:themeColor="text1"/>
          <w:sz w:val="16"/>
          <w:szCs w:val="16"/>
        </w:rPr>
        <w:softHyphen/>
        <w:t>ля 1944 г. (23513)</w:t>
      </w:r>
    </w:p>
    <w:p w14:paraId="7896505F" w14:textId="77777777" w:rsidR="001D54E9" w:rsidRPr="00070ADE" w:rsidRDefault="001D54E9" w:rsidP="00B56F90">
      <w:pPr>
        <w:spacing w:after="0" w:line="240" w:lineRule="auto"/>
        <w:jc w:val="both"/>
        <w:rPr>
          <w:rFonts w:ascii="Times New Roman" w:hAnsi="Times New Roman"/>
          <w:color w:val="000000" w:themeColor="text1"/>
          <w:sz w:val="16"/>
          <w:szCs w:val="16"/>
        </w:rPr>
      </w:pPr>
    </w:p>
    <w:p w14:paraId="39964E37" w14:textId="77777777" w:rsidR="001D54E9" w:rsidRPr="00C94B78" w:rsidRDefault="001D54E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Весной 1944 года на заводе № 51 началось проектиро</w:t>
      </w:r>
      <w:r w:rsidRPr="00C94B78">
        <w:rPr>
          <w:rFonts w:ascii="Times New Roman" w:hAnsi="Times New Roman"/>
          <w:color w:val="0070C0"/>
          <w:sz w:val="16"/>
          <w:szCs w:val="16"/>
        </w:rPr>
        <w:softHyphen/>
        <w:t>вание шестиместного пассажирского самоле</w:t>
      </w:r>
      <w:r w:rsidRPr="00C94B78">
        <w:rPr>
          <w:rFonts w:ascii="Times New Roman" w:hAnsi="Times New Roman"/>
          <w:color w:val="0070C0"/>
          <w:sz w:val="16"/>
          <w:szCs w:val="16"/>
        </w:rPr>
        <w:softHyphen/>
        <w:t>та У-2 «Лиму</w:t>
      </w:r>
      <w:r w:rsidRPr="00C94B78">
        <w:rPr>
          <w:rFonts w:ascii="Times New Roman" w:hAnsi="Times New Roman"/>
          <w:color w:val="0070C0"/>
          <w:sz w:val="16"/>
          <w:szCs w:val="16"/>
        </w:rPr>
        <w:softHyphen/>
        <w:t>зин» —, получившего внутри КБ шифр «Д». Во внешнем облике этой машины нетрудно разглядеть сходство с последними многомест</w:t>
      </w:r>
      <w:r w:rsidRPr="00C94B78">
        <w:rPr>
          <w:rFonts w:ascii="Times New Roman" w:hAnsi="Times New Roman"/>
          <w:color w:val="0070C0"/>
          <w:sz w:val="16"/>
          <w:szCs w:val="16"/>
        </w:rPr>
        <w:softHyphen/>
        <w:t>ными модификациями У-2, разработанными в КБ Поликарпова. Впрочем, в пояснительной записке к эскизному проекту прямо говори</w:t>
      </w:r>
      <w:r w:rsidRPr="00C94B78">
        <w:rPr>
          <w:rFonts w:ascii="Times New Roman" w:hAnsi="Times New Roman"/>
          <w:color w:val="0070C0"/>
          <w:sz w:val="16"/>
          <w:szCs w:val="16"/>
        </w:rPr>
        <w:softHyphen/>
        <w:t>лось, что данная работа является развитием полученного задания на У-2ШС. Конструк</w:t>
      </w:r>
      <w:r w:rsidRPr="00C94B78">
        <w:rPr>
          <w:rFonts w:ascii="Times New Roman" w:hAnsi="Times New Roman"/>
          <w:color w:val="0070C0"/>
          <w:sz w:val="16"/>
          <w:szCs w:val="16"/>
        </w:rPr>
        <w:softHyphen/>
        <w:t>тор, как и все советские люди, жил в ожида</w:t>
      </w:r>
      <w:r w:rsidRPr="00C94B78">
        <w:rPr>
          <w:rFonts w:ascii="Times New Roman" w:hAnsi="Times New Roman"/>
          <w:color w:val="0070C0"/>
          <w:sz w:val="16"/>
          <w:szCs w:val="16"/>
        </w:rPr>
        <w:softHyphen/>
        <w:t>нии победы над врагом. Он предвидел после</w:t>
      </w:r>
      <w:r w:rsidRPr="00C94B78">
        <w:rPr>
          <w:rFonts w:ascii="Times New Roman" w:hAnsi="Times New Roman"/>
          <w:color w:val="0070C0"/>
          <w:sz w:val="16"/>
          <w:szCs w:val="16"/>
        </w:rPr>
        <w:softHyphen/>
        <w:t>военные трудности, поэтому основным кри</w:t>
      </w:r>
      <w:r w:rsidRPr="00C94B78">
        <w:rPr>
          <w:rFonts w:ascii="Times New Roman" w:hAnsi="Times New Roman"/>
          <w:color w:val="0070C0"/>
          <w:sz w:val="16"/>
          <w:szCs w:val="16"/>
        </w:rPr>
        <w:softHyphen/>
        <w:t>терием целесообразности считал простоту и дешевизну производства при соблюдении необходимого уровня комфорта.</w:t>
      </w:r>
    </w:p>
    <w:p w14:paraId="5643632E" w14:textId="77777777" w:rsidR="001D54E9" w:rsidRPr="00C94B78" w:rsidRDefault="001D54E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«Лимузин», оснащенный двигателем М-11Ф 140 л.с. с винтом изменяемого шага, предполагался для использования в качестве штабного, санитарного, транспортного и учебного. В последнем варианте монтирова</w:t>
      </w:r>
      <w:r w:rsidRPr="00C94B78">
        <w:rPr>
          <w:rFonts w:ascii="Times New Roman" w:hAnsi="Times New Roman"/>
          <w:color w:val="0070C0"/>
          <w:sz w:val="16"/>
          <w:szCs w:val="16"/>
        </w:rPr>
        <w:softHyphen/>
        <w:t>лось второе управление. Основная компонов</w:t>
      </w:r>
      <w:r w:rsidRPr="00C94B78">
        <w:rPr>
          <w:rFonts w:ascii="Times New Roman" w:hAnsi="Times New Roman"/>
          <w:color w:val="0070C0"/>
          <w:sz w:val="16"/>
          <w:szCs w:val="16"/>
        </w:rPr>
        <w:softHyphen/>
        <w:t>ка допускала размещение пятерых пассажи</w:t>
      </w:r>
      <w:r w:rsidRPr="00C94B78">
        <w:rPr>
          <w:rFonts w:ascii="Times New Roman" w:hAnsi="Times New Roman"/>
          <w:color w:val="0070C0"/>
          <w:sz w:val="16"/>
          <w:szCs w:val="16"/>
        </w:rPr>
        <w:softHyphen/>
        <w:t>ров, включая одного рядом с пилотом, или двоих раненых на стандартных армейских носилках и одного сопровождающего. При снятых креслах в образовавшемся грузо</w:t>
      </w:r>
      <w:r w:rsidRPr="00C94B78">
        <w:rPr>
          <w:rFonts w:ascii="Times New Roman" w:hAnsi="Times New Roman"/>
          <w:color w:val="0070C0"/>
          <w:sz w:val="16"/>
          <w:szCs w:val="16"/>
        </w:rPr>
        <w:softHyphen/>
        <w:t>вом отсеке устанавливались две стандартные бочки с горючим, или четыре стандартных баллона, или любая другая полезная нагруз</w:t>
      </w:r>
      <w:r w:rsidRPr="00C94B78">
        <w:rPr>
          <w:rFonts w:ascii="Times New Roman" w:hAnsi="Times New Roman"/>
          <w:color w:val="0070C0"/>
          <w:sz w:val="16"/>
          <w:szCs w:val="16"/>
        </w:rPr>
        <w:softHyphen/>
        <w:t>ка — всего до 400 кг.</w:t>
      </w:r>
    </w:p>
    <w:p w14:paraId="7240B553" w14:textId="77777777" w:rsidR="001D54E9" w:rsidRPr="00C94B78" w:rsidRDefault="001D54E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Конструкция была смешанной: фюзеляж деревянный с фанерной обшивкой, крыло ме</w:t>
      </w:r>
      <w:r w:rsidRPr="00C94B78">
        <w:rPr>
          <w:rFonts w:ascii="Times New Roman" w:hAnsi="Times New Roman"/>
          <w:color w:val="0070C0"/>
          <w:sz w:val="16"/>
          <w:szCs w:val="16"/>
        </w:rPr>
        <w:softHyphen/>
        <w:t>таллическое с полотняной обшивкой. Два топ</w:t>
      </w:r>
      <w:r w:rsidRPr="00C94B78">
        <w:rPr>
          <w:rFonts w:ascii="Times New Roman" w:hAnsi="Times New Roman"/>
          <w:color w:val="0070C0"/>
          <w:sz w:val="16"/>
          <w:szCs w:val="16"/>
        </w:rPr>
        <w:softHyphen/>
        <w:t>ливных бака емкостью по 120 литров размещались в крыле. На самолете установили уби</w:t>
      </w:r>
      <w:r w:rsidRPr="00C94B78">
        <w:rPr>
          <w:rFonts w:ascii="Times New Roman" w:hAnsi="Times New Roman"/>
          <w:color w:val="0070C0"/>
          <w:sz w:val="16"/>
          <w:szCs w:val="16"/>
        </w:rPr>
        <w:softHyphen/>
        <w:t>раемое шасси с тормозными колесами и меха</w:t>
      </w:r>
      <w:r w:rsidRPr="00C94B78">
        <w:rPr>
          <w:rFonts w:ascii="Times New Roman" w:hAnsi="Times New Roman"/>
          <w:color w:val="0070C0"/>
          <w:sz w:val="16"/>
          <w:szCs w:val="16"/>
        </w:rPr>
        <w:softHyphen/>
        <w:t>ническим приводом. Кабину пилота оборудо</w:t>
      </w:r>
      <w:r w:rsidRPr="00C94B78">
        <w:rPr>
          <w:rFonts w:ascii="Times New Roman" w:hAnsi="Times New Roman"/>
          <w:color w:val="0070C0"/>
          <w:sz w:val="16"/>
          <w:szCs w:val="16"/>
        </w:rPr>
        <w:softHyphen/>
        <w:t>вали полным комплектом аэронавигационных приборов, позволявших выполнять поле</w:t>
      </w:r>
      <w:r w:rsidRPr="00C94B78">
        <w:rPr>
          <w:rFonts w:ascii="Times New Roman" w:hAnsi="Times New Roman"/>
          <w:color w:val="0070C0"/>
          <w:sz w:val="16"/>
          <w:szCs w:val="16"/>
        </w:rPr>
        <w:softHyphen/>
        <w:t>ты в условиях плохой видимости и ночью. Центровка при нормальной загрузке состави</w:t>
      </w:r>
      <w:r w:rsidRPr="00C94B78">
        <w:rPr>
          <w:rFonts w:ascii="Times New Roman" w:hAnsi="Times New Roman"/>
          <w:color w:val="0070C0"/>
          <w:sz w:val="16"/>
          <w:szCs w:val="16"/>
        </w:rPr>
        <w:softHyphen/>
        <w:t>ла 22,1% САХ, весовая отдача— 42%.</w:t>
      </w:r>
    </w:p>
    <w:p w14:paraId="37791449" w14:textId="77777777" w:rsidR="001D54E9" w:rsidRPr="00C94B78" w:rsidRDefault="001D54E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Достаточно высокая степень подготовлен</w:t>
      </w:r>
      <w:r w:rsidRPr="00C94B78">
        <w:rPr>
          <w:rFonts w:ascii="Times New Roman" w:hAnsi="Times New Roman"/>
          <w:color w:val="0070C0"/>
          <w:sz w:val="16"/>
          <w:szCs w:val="16"/>
        </w:rPr>
        <w:softHyphen/>
        <w:t>ности самолета к массовому производству, отмеченная в записке к проекту, была обусло</w:t>
      </w:r>
      <w:r w:rsidRPr="00C94B78">
        <w:rPr>
          <w:rFonts w:ascii="Times New Roman" w:hAnsi="Times New Roman"/>
          <w:color w:val="0070C0"/>
          <w:sz w:val="16"/>
          <w:szCs w:val="16"/>
        </w:rPr>
        <w:softHyphen/>
        <w:t>влена технологическим разделением конст</w:t>
      </w:r>
      <w:r w:rsidRPr="00C94B78">
        <w:rPr>
          <w:rFonts w:ascii="Times New Roman" w:hAnsi="Times New Roman"/>
          <w:color w:val="0070C0"/>
          <w:sz w:val="16"/>
          <w:szCs w:val="16"/>
        </w:rPr>
        <w:softHyphen/>
        <w:t>рукции на агрегаты, изготовление которых предполагалось осуществлять на предприяти</w:t>
      </w:r>
      <w:r w:rsidRPr="00C94B78">
        <w:rPr>
          <w:rFonts w:ascii="Times New Roman" w:hAnsi="Times New Roman"/>
          <w:color w:val="0070C0"/>
          <w:sz w:val="16"/>
          <w:szCs w:val="16"/>
        </w:rPr>
        <w:softHyphen/>
        <w:t>ях-смежниках (24969).</w:t>
      </w:r>
    </w:p>
    <w:p w14:paraId="3B0BF3FC" w14:textId="77777777" w:rsidR="001D54E9" w:rsidRPr="00C94B78" w:rsidRDefault="001D54E9" w:rsidP="00B56F90">
      <w:pPr>
        <w:spacing w:after="0" w:line="240" w:lineRule="auto"/>
        <w:jc w:val="both"/>
        <w:rPr>
          <w:rFonts w:ascii="Times New Roman" w:hAnsi="Times New Roman"/>
          <w:color w:val="0070C0"/>
          <w:sz w:val="16"/>
          <w:szCs w:val="16"/>
        </w:rPr>
      </w:pPr>
    </w:p>
    <w:p w14:paraId="068E30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В. П. Соколов организовал в МАИ студенческую конструкторскую группу (староста А. Бадягин) по разработке проекта истребителя с горизонтальным размещением летчика. Такое положение летчика позволяло вдвое увеличить переносимые в полете перегрузки, резко сократить время выполнения фигур в воздушном бою (не случайно в Германии еще до войны и вплоть до ее окончания велись работы по этой тематике, завершившиеся созданием реактивного истребителя-штурмовика Хеншель-132 и ряда других самолетов с горизонтальным расположением летчика). Кроме проекта самолета, группой был спроектирован и построен стенд для исследования обзора и усилий на рычагах летчика в положении лежа на груди. С помощью стенда было показано, что летчик удовлетворительно видит прямо-вверх до углов 60° (пилот располагался с наклоном 12° к оси кабины — стенда) (12075).</w:t>
      </w:r>
    </w:p>
    <w:p w14:paraId="17DB008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7B0B84D" w14:textId="77777777" w:rsidR="00222A2A" w:rsidRPr="00070ADE" w:rsidRDefault="00222A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В. П. Соколов в МАИ организовал студенческую конструкторскую группу (староста А. Бадягин) по разработке проекта истребителя с горизонтальным размещением летчика. Такое положение летчика позволяло вдвое увеличить переносимые в полете перегрузки, резко сократить время выполнения фигур в воздушном бою (не случайно в Германии еще до войны и вплоть до ее окончания велись работы по этой тематике, завершившиеся созданием реактивного истребителя-штурмовика Хеншель-132 и ряда других самолетов с горизонтальным расположением летчика). Кроме проекта самолета, группой был спроектирован и построен стенд для исследования обзора и усилий на рычагах летчика в положении лежа на груди. С помощью стенда было показано, что летчик удовлетворительно видит прямо-вверх до углов 60° (пилот располагался с наклоном 12° к оси кабины — стенда). Таким образом, в годы войны маевцы стояли не в последних рядах советских людей, кующих победу. Вся деятельность Московского авиационного института направлялась на оказание помощи фронту (15730).</w:t>
      </w:r>
    </w:p>
    <w:p w14:paraId="619B39B6" w14:textId="77777777" w:rsidR="00222A2A" w:rsidRPr="00070ADE" w:rsidRDefault="00222A2A" w:rsidP="00B56F90">
      <w:pPr>
        <w:spacing w:after="0" w:line="240" w:lineRule="auto"/>
        <w:jc w:val="both"/>
        <w:rPr>
          <w:rFonts w:ascii="Times New Roman" w:hAnsi="Times New Roman"/>
          <w:color w:val="000000" w:themeColor="text1"/>
          <w:sz w:val="16"/>
          <w:szCs w:val="16"/>
        </w:rPr>
      </w:pPr>
    </w:p>
    <w:p w14:paraId="350720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года проходили испытания АКАБ на A-20G-1. Для штурмовых ударов в Советском Союзе одни из "Бостонов" оснастили оригинальной подфюзеляжной батареей АКАБ. В бомбоотсеке монтировались две пушки ШВАК и два пулемета УБК. Их боезапас (440 патронов и 340 снарядов) размещался в бывшей кабине стрелка-радиста. Экипаж самолета состоял из двух человек: пилота и штурмана. Электромеханические приводы отслеживали положение выбранной цели и позволяли эффективно поражать ее даже при быстром перемещении самолета (3457,110).</w:t>
      </w:r>
    </w:p>
    <w:p w14:paraId="6D8945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2FC3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командование АДД заинтересовалось АКАБ - автоматической комбинированной артиллерийской установки Г.М.Можаровского, Веневидова и ГИ 266 завода в Казани А.А.Енгибаряна. Установка состояла из двух рам, со смонтированными ШВАК (170 снарядов) и УБК (220 патронов). АДД привлекалась к ударам во прифронтовой полосе по узлам обороны, коммуникациям и аэродромам. Использовали В-25 и А-20. АКАБ поставили на А-20G-1. Установка состояла из двух рам, со смонтированными ШВАК (250 снарядов) и УБК (300 патронов). На войсковые испытания машину передали в 27 гап ночных охотников-блокировщиков АДД пп М.П.Дедова-Дзядушинского (1726,4).</w:t>
      </w:r>
    </w:p>
    <w:p w14:paraId="315FDB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701B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была сделана еще одна попытка внедрить АКАБ на вооружение ВВС. В качестве носителя АКАБ был выбран довольно прочный и достаточно хорошо бронированный для бомбардировщика (вес брони -183 кг) самолет A-20G-1, поставлявшийся в СССР по ленд-лизу.</w:t>
      </w:r>
    </w:p>
    <w:p w14:paraId="78D693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 назначением A-20G-1 с АКАБ являлась блокировка аэродромов противника при действии по ним ночных бомбардировщиков авиации дальнего действия.</w:t>
      </w:r>
    </w:p>
    <w:p w14:paraId="5AEC4C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По-видимому, штурмовые действия ночью были единственным способом применения бомбардировщиков с АКАБ на фронте.</w:t>
      </w:r>
    </w:p>
    <w:p w14:paraId="363935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и в этом случае встают такие трудноразрешимые проблемы, как точное прицеливание по огневым точкам МЗА и ЗА, а также самолетам на аэродроме.</w:t>
      </w:r>
    </w:p>
    <w:p w14:paraId="4BCE89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Батарея АКАБ A-20G-1, также как и на Пе-2, состояла из двух пушек ШВАК и двух пулеметов УБК. Шесть доработанных под установку АКАБ самолетов A-20G-1 прошли войсковые испытания в составе 27-го гвардейского бап АДД.</w:t>
      </w:r>
    </w:p>
    <w:p w14:paraId="4D77C2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Как и следовало ожидать в первом же боевом вылете на блокировку аэродрома Барановичи в ночь на 28 июня 1944 г. A-20G-1 с АКАБ был настолько сильно поврежден огнем зенитной артиллерии, что дотянул до своего аэродрома только благодаря высокой живучести “американца”.</w:t>
      </w:r>
    </w:p>
    <w:p w14:paraId="067F81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докладам экипажей A-20G-1 с АКАБ в первой же атаке поджег два истребителя люфтваффе, стоявшие на старте. Однако второй атаки экипажу сделать уже не удалось.</w:t>
      </w:r>
    </w:p>
    <w:p w14:paraId="649065AD" w14:textId="22010865"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Справедливости ради,</w:t>
      </w:r>
      <w:r w:rsidR="007938E2"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необходимо отметить, что оружие АКАБ не было оснащено пламегасителями и при ночной стрельбе машина хорошо подсвечивалась пламенем из стволов батареи представляя собой прекрасную мишень для зенитных расчетов. Кроме того, тактика боевого применения АКАБ была далека от совершенства.</w:t>
      </w:r>
    </w:p>
    <w:p w14:paraId="12997D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то, что испытания были признаны вполне успешными, широкого распространения A-20G-1 с АКБ не получили, ввиду узости решаемых ими тактических задач (9649).</w:t>
      </w:r>
    </w:p>
    <w:p w14:paraId="2574826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534624"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на A-20G-1 проходили испытания оригинальной подфюзеляжной батареей АКАВ. В бомбоотсеке монтировались две пушки ШBAK и два пулемета УБК. Их бое</w:t>
      </w:r>
      <w:r w:rsidRPr="00070ADE">
        <w:rPr>
          <w:rFonts w:ascii="Times New Roman" w:hAnsi="Times New Roman"/>
          <w:color w:val="000000" w:themeColor="text1"/>
          <w:sz w:val="16"/>
          <w:szCs w:val="16"/>
        </w:rPr>
        <w:softHyphen/>
        <w:t>запас (440 патронов и 340 снарядов) разме</w:t>
      </w:r>
      <w:r w:rsidRPr="00070ADE">
        <w:rPr>
          <w:rFonts w:ascii="Times New Roman" w:hAnsi="Times New Roman"/>
          <w:color w:val="000000" w:themeColor="text1"/>
          <w:sz w:val="16"/>
          <w:szCs w:val="16"/>
        </w:rPr>
        <w:softHyphen/>
        <w:t>щался в бывшей кабине стрелка-радиста. Экипаж самолета состоял из двух человек: пилота и штурмана. Электромеханические приводы отслеживали положение выбран</w:t>
      </w:r>
      <w:r w:rsidRPr="00070ADE">
        <w:rPr>
          <w:rFonts w:ascii="Times New Roman" w:hAnsi="Times New Roman"/>
          <w:color w:val="000000" w:themeColor="text1"/>
          <w:sz w:val="16"/>
          <w:szCs w:val="16"/>
        </w:rPr>
        <w:softHyphen/>
        <w:t>ной цели и позволяли эффективно пора</w:t>
      </w:r>
      <w:r w:rsidRPr="00070ADE">
        <w:rPr>
          <w:rFonts w:ascii="Times New Roman" w:hAnsi="Times New Roman"/>
          <w:color w:val="000000" w:themeColor="text1"/>
          <w:sz w:val="16"/>
          <w:szCs w:val="16"/>
        </w:rPr>
        <w:softHyphen/>
        <w:t>жать ее даже при быстром перемещении самолета., а летом систе</w:t>
      </w:r>
      <w:r w:rsidRPr="00070ADE">
        <w:rPr>
          <w:rFonts w:ascii="Times New Roman" w:hAnsi="Times New Roman"/>
          <w:color w:val="000000" w:themeColor="text1"/>
          <w:sz w:val="16"/>
          <w:szCs w:val="16"/>
        </w:rPr>
        <w:softHyphen/>
        <w:t>му передали уже на войсковые испытания в 27-й гвардейский полк блокировщиков. В ночь на 28 июня этот «Бостон», управ</w:t>
      </w:r>
      <w:r w:rsidRPr="00070ADE">
        <w:rPr>
          <w:rFonts w:ascii="Times New Roman" w:hAnsi="Times New Roman"/>
          <w:color w:val="000000" w:themeColor="text1"/>
          <w:sz w:val="16"/>
          <w:szCs w:val="16"/>
        </w:rPr>
        <w:softHyphen/>
        <w:t>ляемый упоминавшимся ранее капитаном Крапивой, участвовал в налете на аэро</w:t>
      </w:r>
      <w:r w:rsidRPr="00070ADE">
        <w:rPr>
          <w:rFonts w:ascii="Times New Roman" w:hAnsi="Times New Roman"/>
          <w:color w:val="000000" w:themeColor="text1"/>
          <w:sz w:val="16"/>
          <w:szCs w:val="16"/>
        </w:rPr>
        <w:softHyphen/>
        <w:t>дром в Барановичах. Он поджег два немец</w:t>
      </w:r>
      <w:r w:rsidRPr="00070ADE">
        <w:rPr>
          <w:rFonts w:ascii="Times New Roman" w:hAnsi="Times New Roman"/>
          <w:color w:val="000000" w:themeColor="text1"/>
          <w:sz w:val="16"/>
          <w:szCs w:val="16"/>
        </w:rPr>
        <w:softHyphen/>
        <w:t>ких самолета, прежде чем сам был повре</w:t>
      </w:r>
      <w:r w:rsidRPr="00070ADE">
        <w:rPr>
          <w:rFonts w:ascii="Times New Roman" w:hAnsi="Times New Roman"/>
          <w:color w:val="000000" w:themeColor="text1"/>
          <w:sz w:val="16"/>
          <w:szCs w:val="16"/>
        </w:rPr>
        <w:softHyphen/>
        <w:t>жден зенитной артиллерией. Предписали вооружить АКАБ шесть A-20G, но это ре</w:t>
      </w:r>
      <w:r w:rsidRPr="00070ADE">
        <w:rPr>
          <w:rFonts w:ascii="Times New Roman" w:hAnsi="Times New Roman"/>
          <w:color w:val="000000" w:themeColor="text1"/>
          <w:sz w:val="16"/>
          <w:szCs w:val="16"/>
        </w:rPr>
        <w:softHyphen/>
        <w:t>шение, по-видимому, не было выполнено (23513).</w:t>
      </w:r>
    </w:p>
    <w:p w14:paraId="33B6B310" w14:textId="77777777" w:rsidR="007938E2" w:rsidRPr="00070ADE" w:rsidRDefault="007938E2" w:rsidP="00B56F90">
      <w:pPr>
        <w:spacing w:after="0" w:line="240" w:lineRule="auto"/>
        <w:jc w:val="both"/>
        <w:rPr>
          <w:rFonts w:ascii="Times New Roman" w:hAnsi="Times New Roman"/>
          <w:color w:val="000000" w:themeColor="text1"/>
          <w:sz w:val="16"/>
          <w:szCs w:val="16"/>
        </w:rPr>
      </w:pPr>
    </w:p>
    <w:p w14:paraId="638B0B7D" w14:textId="77777777" w:rsidR="001D54E9" w:rsidRPr="00C94B78" w:rsidRDefault="001D54E9"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Весной 1944-го в СССР поступил один из экземпляров «Москито» IV (номер DK 296). Моторы для данной модификации стандартные — «Мерлин» 21. Хотя самолет был и не новый (выпуск машины датировался 1942 годом), состояние его оказалось довольно хорошим. Видимо, несмотря на длительный срок службы, данный экземпляр имел не очень большой налет. В отличие от серийных «Москито» IV, на DK 296 в бомболюках были установлены дополнительные бензобаки емкостью 550 л и отсутствовали управление створками бомболюков, бомбодержатели, радиолокаторы и фотооборудование (25355).</w:t>
      </w:r>
    </w:p>
    <w:p w14:paraId="6844AD46" w14:textId="77777777" w:rsidR="001D54E9" w:rsidRPr="00C94B78" w:rsidRDefault="001D54E9" w:rsidP="00B56F90">
      <w:pPr>
        <w:spacing w:after="0" w:line="240" w:lineRule="auto"/>
        <w:jc w:val="both"/>
        <w:rPr>
          <w:rFonts w:ascii="Times New Roman" w:hAnsi="Times New Roman"/>
          <w:color w:val="0070C0"/>
          <w:sz w:val="16"/>
          <w:szCs w:val="16"/>
        </w:rPr>
      </w:pPr>
    </w:p>
    <w:p w14:paraId="31F6FE0B" w14:textId="77777777" w:rsidR="008C5120" w:rsidRPr="00C94B78" w:rsidRDefault="008C512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весны 1944 г. третий P-47D-10 использовали для изучения конструкции в Бюро новой тех</w:t>
      </w:r>
      <w:r w:rsidRPr="00C94B78">
        <w:rPr>
          <w:rFonts w:ascii="Times New Roman" w:hAnsi="Times New Roman"/>
          <w:color w:val="0070C0"/>
          <w:sz w:val="16"/>
          <w:szCs w:val="16"/>
        </w:rPr>
        <w:softHyphen/>
        <w:t>ники НКАП и ЦАГИ. Советским специа</w:t>
      </w:r>
      <w:r w:rsidRPr="00C94B78">
        <w:rPr>
          <w:rFonts w:ascii="Times New Roman" w:hAnsi="Times New Roman"/>
          <w:color w:val="0070C0"/>
          <w:sz w:val="16"/>
          <w:szCs w:val="16"/>
        </w:rPr>
        <w:softHyphen/>
        <w:t>листам понравились некоторые решения в конструкции американского самолета. Отмечалась технологичная конструкция крыла с широким применением открытых профилей, удобство обслуживания узлов и агрегатов через рационально разме</w:t>
      </w:r>
      <w:r w:rsidRPr="00C94B78">
        <w:rPr>
          <w:rFonts w:ascii="Times New Roman" w:hAnsi="Times New Roman"/>
          <w:color w:val="0070C0"/>
          <w:sz w:val="16"/>
          <w:szCs w:val="16"/>
        </w:rPr>
        <w:softHyphen/>
        <w:t>щенные лючки, оригинальное приспособ</w:t>
      </w:r>
      <w:r w:rsidRPr="00C94B78">
        <w:rPr>
          <w:rFonts w:ascii="Times New Roman" w:hAnsi="Times New Roman"/>
          <w:color w:val="0070C0"/>
          <w:sz w:val="16"/>
          <w:szCs w:val="16"/>
        </w:rPr>
        <w:softHyphen/>
        <w:t>ление в виде сварной рамы, упрятанной под обшивкой в нижней части машины, предохраняющее фюзеляж от поврежде</w:t>
      </w:r>
      <w:r w:rsidRPr="00C94B78">
        <w:rPr>
          <w:rFonts w:ascii="Times New Roman" w:hAnsi="Times New Roman"/>
          <w:color w:val="0070C0"/>
          <w:sz w:val="16"/>
          <w:szCs w:val="16"/>
        </w:rPr>
        <w:softHyphen/>
        <w:t>ний при посадке на «брюхо».</w:t>
      </w:r>
    </w:p>
    <w:p w14:paraId="6B7CCCA7" w14:textId="77777777" w:rsidR="008C5120" w:rsidRPr="00C94B78" w:rsidRDefault="008C512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Особое внимание советские инже</w:t>
      </w:r>
      <w:r w:rsidRPr="00C94B78">
        <w:rPr>
          <w:rFonts w:ascii="Times New Roman" w:hAnsi="Times New Roman"/>
          <w:color w:val="0070C0"/>
          <w:sz w:val="16"/>
          <w:szCs w:val="16"/>
        </w:rPr>
        <w:softHyphen/>
        <w:t>неры уделили системе турбонаддува, существенно отличавшейся от отечест</w:t>
      </w:r>
      <w:r w:rsidRPr="00C94B78">
        <w:rPr>
          <w:rFonts w:ascii="Times New Roman" w:hAnsi="Times New Roman"/>
          <w:color w:val="0070C0"/>
          <w:sz w:val="16"/>
          <w:szCs w:val="16"/>
        </w:rPr>
        <w:softHyphen/>
        <w:t>венных образцов и обладавшей куда большей надежностью.</w:t>
      </w:r>
    </w:p>
    <w:p w14:paraId="2DC408A6" w14:textId="77777777" w:rsidR="008C5120" w:rsidRPr="00C94B78" w:rsidRDefault="008C512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Ознакомление с «Тандерболтом» привело к разработке в конструкторском бюро А.И. Микояна оригинального про</w:t>
      </w:r>
      <w:r w:rsidRPr="00C94B78">
        <w:rPr>
          <w:rFonts w:ascii="Times New Roman" w:hAnsi="Times New Roman"/>
          <w:color w:val="0070C0"/>
          <w:sz w:val="16"/>
          <w:szCs w:val="16"/>
        </w:rPr>
        <w:softHyphen/>
        <w:t>екта, сочетавшего планер опытного ис</w:t>
      </w:r>
      <w:r w:rsidRPr="00C94B78">
        <w:rPr>
          <w:rFonts w:ascii="Times New Roman" w:hAnsi="Times New Roman"/>
          <w:color w:val="0070C0"/>
          <w:sz w:val="16"/>
          <w:szCs w:val="16"/>
        </w:rPr>
        <w:softHyphen/>
        <w:t>требителя-перехватчика МиГ-9Е (он же И-211), первоначально оснащавшегося мотором АШ-82ФН, с мотоустановкой от P-47D-10, то есть двигателем R-2800-63 и турбонагнетателем С-23 По расчетам, эта машина, намного более легкая и компактная, чем «Тандерболт», смогла бы достичь скорости 740 км/ч на высо</w:t>
      </w:r>
      <w:r w:rsidRPr="00C94B78">
        <w:rPr>
          <w:rFonts w:ascii="Times New Roman" w:hAnsi="Times New Roman"/>
          <w:color w:val="0070C0"/>
          <w:sz w:val="16"/>
          <w:szCs w:val="16"/>
        </w:rPr>
        <w:softHyphen/>
        <w:t>те 10 000 м. Предварительный проект представлялся на рассмотрение руко</w:t>
      </w:r>
      <w:r w:rsidRPr="00C94B78">
        <w:rPr>
          <w:rFonts w:ascii="Times New Roman" w:hAnsi="Times New Roman"/>
          <w:color w:val="0070C0"/>
          <w:sz w:val="16"/>
          <w:szCs w:val="16"/>
        </w:rPr>
        <w:softHyphen/>
        <w:t>водству НКАП 8 апреля 1944 г., однако интереса не вызвал и далее не прора</w:t>
      </w:r>
      <w:r w:rsidRPr="00C94B78">
        <w:rPr>
          <w:rFonts w:ascii="Times New Roman" w:hAnsi="Times New Roman"/>
          <w:color w:val="0070C0"/>
          <w:sz w:val="16"/>
          <w:szCs w:val="16"/>
        </w:rPr>
        <w:softHyphen/>
        <w:t>батывался (24942)</w:t>
      </w:r>
    </w:p>
    <w:p w14:paraId="548C8406" w14:textId="77777777" w:rsidR="008C5120" w:rsidRPr="00C94B78" w:rsidRDefault="008C5120" w:rsidP="00B56F90">
      <w:pPr>
        <w:spacing w:after="0" w:line="240" w:lineRule="auto"/>
        <w:jc w:val="both"/>
        <w:rPr>
          <w:rFonts w:ascii="Times New Roman" w:hAnsi="Times New Roman"/>
          <w:color w:val="0070C0"/>
          <w:sz w:val="16"/>
          <w:szCs w:val="16"/>
        </w:rPr>
      </w:pPr>
    </w:p>
    <w:p w14:paraId="29FFB445" w14:textId="77777777" w:rsidR="00741C9C" w:rsidRPr="00C94B78" w:rsidRDefault="00741C9C"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Весной 1944 г. сотрудникам Правительственной заку</w:t>
      </w:r>
      <w:r w:rsidRPr="00C94B78">
        <w:rPr>
          <w:rStyle w:val="aff1"/>
          <w:rFonts w:ascii="Times New Roman" w:hAnsi="Times New Roman" w:cs="Times New Roman"/>
          <w:color w:val="0070C0"/>
          <w:spacing w:val="0"/>
          <w:sz w:val="16"/>
          <w:szCs w:val="16"/>
        </w:rPr>
        <w:softHyphen/>
        <w:t>почной комиссии СССР в США удалось добиться от американского военного руководства разрешения на пере</w:t>
      </w:r>
      <w:r w:rsidRPr="00C94B78">
        <w:rPr>
          <w:rStyle w:val="aff1"/>
          <w:rFonts w:ascii="Times New Roman" w:hAnsi="Times New Roman" w:cs="Times New Roman"/>
          <w:color w:val="0070C0"/>
          <w:spacing w:val="0"/>
          <w:sz w:val="16"/>
          <w:szCs w:val="16"/>
        </w:rPr>
        <w:softHyphen/>
        <w:t>дачу но ленд-лизу крупной партии летающих лодок ПБН-1 фирмы «Консолидейтед». В авиации союзников они полу</w:t>
      </w:r>
      <w:r w:rsidRPr="00C94B78">
        <w:rPr>
          <w:rStyle w:val="aff1"/>
          <w:rFonts w:ascii="Times New Roman" w:hAnsi="Times New Roman" w:cs="Times New Roman"/>
          <w:color w:val="0070C0"/>
          <w:spacing w:val="0"/>
          <w:sz w:val="16"/>
          <w:szCs w:val="16"/>
        </w:rPr>
        <w:softHyphen/>
        <w:t>чили название «Каталина», хотя более точное наименование данной модификации «Номад» или «Кочевник». В отличие от базовой модели ПБУ-1, они имели увеличенную ёмкость топливных баков, более длинную и острую носовую часть. 20-градусный редан посередине и удлинённый на 1,5 метра задний редан, доработанные поплавки, законцовки крыла и руль поворота, а также увеличенное число огневых точек.</w:t>
      </w:r>
    </w:p>
    <w:p w14:paraId="51B3737D" w14:textId="77777777" w:rsidR="00741C9C" w:rsidRPr="00C94B78" w:rsidRDefault="00741C9C"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Для перегонки «Каталин» в Советском Союзе созда</w:t>
      </w:r>
      <w:r w:rsidRPr="00C94B78">
        <w:rPr>
          <w:rStyle w:val="aff1"/>
          <w:rFonts w:ascii="Times New Roman" w:hAnsi="Times New Roman" w:cs="Times New Roman"/>
          <w:color w:val="0070C0"/>
          <w:spacing w:val="0"/>
          <w:sz w:val="16"/>
          <w:szCs w:val="16"/>
        </w:rPr>
        <w:softHyphen/>
        <w:t>ли авиагруппу специального назначения из 26 экипажей авиации ВМФ, имевших опыт полётов на гидросамолётах МБР-2, ГСТ и Че-2. По 10 экипажей в неё выделили ВВС Северного и Тихоокеанского флотов, 6 экипажей - ВВС Черноморского флота. Командиром группы был назначен полковник В.Н. Васильев, а его заместителем северянин, гвардии майор Н.Ф. Пискарёв. В состав руководства так</w:t>
      </w:r>
      <w:r w:rsidRPr="00C94B78">
        <w:rPr>
          <w:rStyle w:val="aff1"/>
          <w:rFonts w:ascii="Times New Roman" w:hAnsi="Times New Roman" w:cs="Times New Roman"/>
          <w:color w:val="0070C0"/>
          <w:spacing w:val="0"/>
          <w:sz w:val="16"/>
          <w:szCs w:val="16"/>
        </w:rPr>
        <w:softHyphen/>
        <w:t>же вошли: флаг-штурман полковник Мосцеиан, штурман гвардии майор Фомин, инженер-подполковник Кокарев, инженер-майор Коробков н др.</w:t>
      </w:r>
    </w:p>
    <w:p w14:paraId="6C6253A1" w14:textId="77777777" w:rsidR="00741C9C" w:rsidRPr="00C94B78" w:rsidRDefault="00741C9C"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Лётные экипажи решили разделить на три группы и доставить на базу приёмки самолётов в г. Элизабет-Сити штата Северная Каролина. Недалеко от этой базы находи</w:t>
      </w:r>
      <w:r w:rsidRPr="00C94B78">
        <w:rPr>
          <w:rStyle w:val="aff1"/>
          <w:rFonts w:ascii="Times New Roman" w:hAnsi="Times New Roman" w:cs="Times New Roman"/>
          <w:color w:val="0070C0"/>
          <w:spacing w:val="0"/>
          <w:sz w:val="16"/>
          <w:szCs w:val="16"/>
        </w:rPr>
        <w:softHyphen/>
        <w:t>лось памятное место для авиации обелиск в честь братьев У. и О. Райт, впервые в истории совершивших полёт на самолёте с мотором.</w:t>
      </w:r>
    </w:p>
    <w:p w14:paraId="132F43CC" w14:textId="77777777" w:rsidR="00741C9C" w:rsidRDefault="00741C9C" w:rsidP="00B56F90">
      <w:pPr>
        <w:spacing w:after="0" w:line="240" w:lineRule="auto"/>
        <w:jc w:val="both"/>
        <w:rPr>
          <w:rStyle w:val="aff1"/>
          <w:rFonts w:ascii="Times New Roman" w:hAnsi="Times New Roman" w:cs="Times New Roman"/>
          <w:color w:val="0070C0"/>
          <w:spacing w:val="0"/>
          <w:sz w:val="16"/>
          <w:szCs w:val="16"/>
        </w:rPr>
      </w:pPr>
      <w:r w:rsidRPr="00C94B78">
        <w:rPr>
          <w:rStyle w:val="aff1"/>
          <w:rFonts w:ascii="Times New Roman" w:hAnsi="Times New Roman" w:cs="Times New Roman"/>
          <w:color w:val="0070C0"/>
          <w:spacing w:val="0"/>
          <w:sz w:val="16"/>
          <w:szCs w:val="16"/>
        </w:rPr>
        <w:t>Первая группа во главе с командиром была доставлена из Мурманска через Англию в США воздушным путём. Вторая, черноморская группа следовала поездом до Мур</w:t>
      </w:r>
      <w:r w:rsidRPr="00C94B78">
        <w:rPr>
          <w:rStyle w:val="aff1"/>
          <w:rFonts w:ascii="Times New Roman" w:hAnsi="Times New Roman" w:cs="Times New Roman"/>
          <w:color w:val="0070C0"/>
          <w:spacing w:val="0"/>
          <w:sz w:val="16"/>
          <w:szCs w:val="16"/>
        </w:rPr>
        <w:softHyphen/>
        <w:t>манска. а далее па судах морем. Третья группа добиралась с Тихого океана поездом до Красноярска, а затем на военно</w:t>
      </w:r>
      <w:r w:rsidRPr="00C94B78">
        <w:rPr>
          <w:rStyle w:val="aff1"/>
          <w:rFonts w:ascii="Times New Roman" w:hAnsi="Times New Roman" w:cs="Times New Roman"/>
          <w:color w:val="0070C0"/>
          <w:spacing w:val="0"/>
          <w:sz w:val="16"/>
          <w:szCs w:val="16"/>
        </w:rPr>
        <w:softHyphen/>
        <w:t>транспортных самолётах по трассам АЛСИБ (через Якутск, Сеймчан, Марково, Уэлькаль, Ном) до Фэрбенкса и АЛКАН - до конечной точки маршрута (25653).</w:t>
      </w:r>
    </w:p>
    <w:p w14:paraId="104CC4E6" w14:textId="77777777" w:rsidR="00741C9C" w:rsidRPr="00C94B78" w:rsidRDefault="00741C9C" w:rsidP="00B56F90">
      <w:pPr>
        <w:spacing w:after="0" w:line="240" w:lineRule="auto"/>
        <w:jc w:val="both"/>
        <w:rPr>
          <w:rFonts w:ascii="Times New Roman" w:hAnsi="Times New Roman"/>
          <w:color w:val="0070C0"/>
          <w:sz w:val="16"/>
          <w:szCs w:val="16"/>
        </w:rPr>
      </w:pPr>
    </w:p>
    <w:p w14:paraId="2BC3AB91" w14:textId="77777777" w:rsidR="001D54E9" w:rsidRPr="00070ADE" w:rsidRDefault="001D54E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был выполнен проект ГАМ-38Ф - катерного варианта АМ-38Ф. Имел измененные картер, коленвал, ПЦН. Введены реверс-муфта и дополнительный водяной насос. Опытный образец не из</w:t>
      </w:r>
      <w:r w:rsidRPr="00070ADE">
        <w:rPr>
          <w:rFonts w:ascii="Times New Roman" w:hAnsi="Times New Roman"/>
          <w:color w:val="000000" w:themeColor="text1"/>
          <w:sz w:val="16"/>
          <w:szCs w:val="16"/>
        </w:rPr>
        <w:softHyphen/>
        <w:t>готавливался (11852).</w:t>
      </w:r>
    </w:p>
    <w:p w14:paraId="0C99A7C1" w14:textId="77777777" w:rsidR="001D54E9" w:rsidRPr="00070ADE" w:rsidRDefault="001D54E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B1AB1B" w14:textId="77777777" w:rsidR="008C5120" w:rsidRPr="00070ADE" w:rsidRDefault="008C5120"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Весной 1944 г. в ЛИИ НКАП в целом успешно завершились совместные с ННИ ВВС государственные испытания системь НГ 1-й зоны на самолете Р-39 «Аэрокобра (зав. №220484). Их целью являлись: «...Проверка работы системы нейтральных газов 1-й зоны самолета Аэрокобра с мотором Аллисоь V-1710 и определение возможности ее эксплоатации на данном типе самолета». Система НГ-1 для Р-39 была «выполнена по типу схем НГ 1 -й зоны применяемых на отечественных самолетах».</w:t>
      </w:r>
    </w:p>
    <w:p w14:paraId="13FDE4E2" w14:textId="77777777" w:rsidR="008C5120" w:rsidRPr="00070ADE" w:rsidRDefault="008C5120"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Суммарный налет самолета с работающей системой НГ-1 составил 3 ч 25 мин. Работа системы была проверена до высоты 7000 м на режимах скороподъемности, максимальной и крейсерской скоростей и на фигурах пилотажа. В ходе полетов определялись: давление газов в бензобаках, температуры газа в различных точках системы, количество конденсата воды, отбираемое системой из выхлопных газов, концентрация кислорода и углекислого газа в бензобаках.</w:t>
      </w:r>
    </w:p>
    <w:p w14:paraId="0E425CD0" w14:textId="77777777" w:rsidR="008C5120" w:rsidRPr="00070ADE" w:rsidRDefault="008C5120"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Было установлено, что концентрация газов в бензобаках на практических режимах полета самолета соответствует тактико-техническим требованиям ВВС и находится в пределах: С0</w:t>
      </w:r>
      <w:r w:rsidRPr="00070ADE">
        <w:rPr>
          <w:rFonts w:ascii="Times New Roman" w:eastAsia="Times New Roman" w:hAnsi="Times New Roman"/>
          <w:color w:val="000000" w:themeColor="text1"/>
          <w:sz w:val="16"/>
          <w:szCs w:val="16"/>
          <w:shd w:val="clear" w:color="auto" w:fill="FFFFFF"/>
          <w:vertAlign w:val="subscript"/>
          <w:lang w:eastAsia="ru-RU"/>
        </w:rPr>
        <w:t>2</w:t>
      </w:r>
      <w:r w:rsidRPr="00070ADE">
        <w:rPr>
          <w:rFonts w:ascii="Times New Roman" w:eastAsia="Times New Roman" w:hAnsi="Times New Roman"/>
          <w:color w:val="000000" w:themeColor="text1"/>
          <w:sz w:val="16"/>
          <w:szCs w:val="16"/>
          <w:lang w:eastAsia="ru-RU"/>
        </w:rPr>
        <w:t xml:space="preserve"> - от 2,3 до 4,8%, а 0</w:t>
      </w:r>
      <w:r w:rsidRPr="00070ADE">
        <w:rPr>
          <w:rFonts w:ascii="Times New Roman" w:eastAsia="Times New Roman" w:hAnsi="Times New Roman"/>
          <w:color w:val="000000" w:themeColor="text1"/>
          <w:sz w:val="16"/>
          <w:szCs w:val="16"/>
          <w:shd w:val="clear" w:color="auto" w:fill="FFFFFF"/>
          <w:vertAlign w:val="subscript"/>
          <w:lang w:eastAsia="ru-RU"/>
        </w:rPr>
        <w:t>2</w:t>
      </w:r>
      <w:r w:rsidRPr="00070ADE">
        <w:rPr>
          <w:rFonts w:ascii="Times New Roman" w:eastAsia="Times New Roman" w:hAnsi="Times New Roman"/>
          <w:color w:val="000000" w:themeColor="text1"/>
          <w:sz w:val="16"/>
          <w:szCs w:val="16"/>
          <w:lang w:eastAsia="ru-RU"/>
        </w:rPr>
        <w:t xml:space="preserve"> - от 11,5 до 7,2%. Избыточное давление отработанных газов в бензобаках, в зависимости о режима и высоты полета, колебалось от 6 до 60 мм.рт.ст. Такое давление являлось «неопасным для прочности мягких баков самолета Аэрокобра и достаточным для нормального их заполнения газами». Температура газа перед фильтром и после фильтра находилась «в нормальном для эксплоатации диапазоне» и в полетах на различных режимах при температуре наружного воздуха до 30' мороза не превышала 20-18'С.</w:t>
      </w:r>
    </w:p>
    <w:p w14:paraId="22EF5F92" w14:textId="77777777" w:rsidR="008C5120" w:rsidRPr="00070ADE" w:rsidRDefault="008C5120"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Обезвоживание газов было также удовлетворительным. За 40-50 мин полета при температурах наружного воздуха до 30' мороза «в отстойнике фильтра откладывается 20-22 см</w:t>
      </w:r>
      <w:r w:rsidRPr="00070ADE">
        <w:rPr>
          <w:rFonts w:ascii="Times New Roman" w:eastAsia="Times New Roman" w:hAnsi="Times New Roman"/>
          <w:color w:val="000000" w:themeColor="text1"/>
          <w:sz w:val="16"/>
          <w:szCs w:val="16"/>
          <w:shd w:val="clear" w:color="auto" w:fill="FFFFFF"/>
          <w:vertAlign w:val="superscript"/>
          <w:lang w:eastAsia="ru-RU"/>
        </w:rPr>
        <w:t>3</w:t>
      </w:r>
      <w:r w:rsidRPr="00070ADE">
        <w:rPr>
          <w:rFonts w:ascii="Times New Roman" w:eastAsia="Times New Roman" w:hAnsi="Times New Roman"/>
          <w:color w:val="000000" w:themeColor="text1"/>
          <w:sz w:val="16"/>
          <w:szCs w:val="16"/>
          <w:lang w:eastAsia="ru-RU"/>
        </w:rPr>
        <w:t xml:space="preserve"> конденсата воды».</w:t>
      </w:r>
    </w:p>
    <w:p w14:paraId="54322CDE" w14:textId="77777777" w:rsidR="008C5120" w:rsidRPr="00070ADE" w:rsidRDefault="008C5120"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При выполнении всех фигур пилотажа, включая и сложный пилотаж, попадания топлива в систему нейтрального газа не наблюдалось.</w:t>
      </w:r>
    </w:p>
    <w:p w14:paraId="23F02FC5" w14:textId="77777777" w:rsidR="008C5120" w:rsidRPr="00070ADE" w:rsidRDefault="008C5120"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Отмечалось, что установка разработанной ЛИИ НКАП системы НГ-1 для самолета Р-39 «трудоемка и может быть выполнена в условиях ремонтных заводов, или, при условии поставки готовых комплектов системы, в частях ВВС Красной Армии специальными заводскими бригадами». Основной же вывод сводился к следующему: «Система НГ 1-й зоны /.../работает удовлетворительно и является приемлемой для эксплуатации» (17733).</w:t>
      </w:r>
    </w:p>
    <w:p w14:paraId="50655A5A" w14:textId="77777777" w:rsidR="008C5120" w:rsidRPr="00070ADE" w:rsidRDefault="008C5120" w:rsidP="00B56F90">
      <w:pPr>
        <w:spacing w:after="0" w:line="240" w:lineRule="auto"/>
        <w:jc w:val="both"/>
        <w:rPr>
          <w:rFonts w:ascii="Times New Roman" w:hAnsi="Times New Roman"/>
          <w:color w:val="000000" w:themeColor="text1"/>
          <w:sz w:val="16"/>
          <w:szCs w:val="16"/>
        </w:rPr>
      </w:pPr>
    </w:p>
    <w:p w14:paraId="632682C5" w14:textId="77777777" w:rsidR="001D54E9" w:rsidRPr="00070ADE" w:rsidRDefault="001D54E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года свечи АС-130 прошли войсковые испытания в час</w:t>
      </w:r>
      <w:r w:rsidRPr="00070ADE">
        <w:rPr>
          <w:rFonts w:ascii="Times New Roman" w:hAnsi="Times New Roman"/>
          <w:color w:val="000000" w:themeColor="text1"/>
          <w:sz w:val="16"/>
          <w:szCs w:val="16"/>
        </w:rPr>
        <w:softHyphen/>
        <w:t>тях 2-й ВА на семи самолетах Ла-5 с моторами АШ-82Ф и девяти самоле</w:t>
      </w:r>
      <w:r w:rsidRPr="00070ADE">
        <w:rPr>
          <w:rFonts w:ascii="Times New Roman" w:hAnsi="Times New Roman"/>
          <w:color w:val="000000" w:themeColor="text1"/>
          <w:sz w:val="16"/>
          <w:szCs w:val="16"/>
        </w:rPr>
        <w:softHyphen/>
        <w:t>тах Ла-5 с АШ-82ФН. Свечи отрабо</w:t>
      </w:r>
      <w:r w:rsidRPr="00070ADE">
        <w:rPr>
          <w:rFonts w:ascii="Times New Roman" w:hAnsi="Times New Roman"/>
          <w:color w:val="000000" w:themeColor="text1"/>
          <w:sz w:val="16"/>
          <w:szCs w:val="16"/>
        </w:rPr>
        <w:softHyphen/>
        <w:t>тали от 20 до 50 часов и в течение этого времени обеспечили нормаль</w:t>
      </w:r>
      <w:r w:rsidRPr="00070ADE">
        <w:rPr>
          <w:rFonts w:ascii="Times New Roman" w:hAnsi="Times New Roman"/>
          <w:color w:val="000000" w:themeColor="text1"/>
          <w:sz w:val="16"/>
          <w:szCs w:val="16"/>
        </w:rPr>
        <w:softHyphen/>
        <w:t>ную работу моторов на всех режи</w:t>
      </w:r>
      <w:r w:rsidRPr="00070ADE">
        <w:rPr>
          <w:rFonts w:ascii="Times New Roman" w:hAnsi="Times New Roman"/>
          <w:color w:val="000000" w:themeColor="text1"/>
          <w:sz w:val="16"/>
          <w:szCs w:val="16"/>
        </w:rPr>
        <w:softHyphen/>
        <w:t>мах. В результате было принято ре</w:t>
      </w:r>
      <w:r w:rsidRPr="00070ADE">
        <w:rPr>
          <w:rFonts w:ascii="Times New Roman" w:hAnsi="Times New Roman"/>
          <w:color w:val="000000" w:themeColor="text1"/>
          <w:sz w:val="16"/>
          <w:szCs w:val="16"/>
        </w:rPr>
        <w:softHyphen/>
        <w:t>шение организовать серийное про</w:t>
      </w:r>
      <w:r w:rsidRPr="00070ADE">
        <w:rPr>
          <w:rFonts w:ascii="Times New Roman" w:hAnsi="Times New Roman"/>
          <w:color w:val="000000" w:themeColor="text1"/>
          <w:sz w:val="16"/>
          <w:szCs w:val="16"/>
        </w:rPr>
        <w:softHyphen/>
        <w:t>изводство свечей АС-130. Таким образом, летом 1944 года острота про</w:t>
      </w:r>
      <w:r w:rsidRPr="00070ADE">
        <w:rPr>
          <w:rFonts w:ascii="Times New Roman" w:hAnsi="Times New Roman"/>
          <w:color w:val="000000" w:themeColor="text1"/>
          <w:sz w:val="16"/>
          <w:szCs w:val="16"/>
        </w:rPr>
        <w:softHyphen/>
        <w:t>блемы со свечами для мотора АШ-82ФН была снята, хотя и в дальней</w:t>
      </w:r>
      <w:r w:rsidRPr="00070ADE">
        <w:rPr>
          <w:rFonts w:ascii="Times New Roman" w:hAnsi="Times New Roman"/>
          <w:color w:val="000000" w:themeColor="text1"/>
          <w:sz w:val="16"/>
          <w:szCs w:val="16"/>
        </w:rPr>
        <w:softHyphen/>
        <w:t>шем срок службы свечей АС-130 вы</w:t>
      </w:r>
      <w:r w:rsidRPr="00070ADE">
        <w:rPr>
          <w:rFonts w:ascii="Times New Roman" w:hAnsi="Times New Roman"/>
          <w:color w:val="000000" w:themeColor="text1"/>
          <w:sz w:val="16"/>
          <w:szCs w:val="16"/>
        </w:rPr>
        <w:softHyphen/>
        <w:t>зывал нарекания (10714).</w:t>
      </w:r>
    </w:p>
    <w:p w14:paraId="5773BDF8" w14:textId="77777777" w:rsidR="001D54E9" w:rsidRPr="00070ADE" w:rsidRDefault="001D54E9"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4BBD58" w14:textId="77777777" w:rsidR="001D54E9" w:rsidRPr="00070ADE" w:rsidRDefault="001D54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свечи АС-130 прошли войсковые испытания в частях 2-й ВА на 7 Ла-5 с АШ-82Ф и 9 Ла-5 с АШ-82ФН. Свечи отработали от 20 до 50 часов и в течение это</w:t>
      </w:r>
      <w:r w:rsidRPr="00070ADE">
        <w:rPr>
          <w:rFonts w:ascii="Times New Roman" w:hAnsi="Times New Roman"/>
          <w:color w:val="000000" w:themeColor="text1"/>
          <w:sz w:val="16"/>
          <w:szCs w:val="16"/>
        </w:rPr>
        <w:softHyphen/>
        <w:t>го времени обеспечили нормальную работу моторов на всех режимах. В результате приняли решение организовать серийное производство свечей АС-130. Таким образом, летом 1944 г. остроту проблемы со свечами для АШ-82ФН сняли, хотя и в дальнейшем срок службы свечей АС-130 вызывал нарекания (15829).</w:t>
      </w:r>
    </w:p>
    <w:p w14:paraId="0AABA22D" w14:textId="77777777" w:rsidR="001D54E9" w:rsidRPr="00070ADE" w:rsidRDefault="001D54E9" w:rsidP="00B56F90">
      <w:pPr>
        <w:spacing w:after="0" w:line="240" w:lineRule="auto"/>
        <w:jc w:val="both"/>
        <w:rPr>
          <w:rFonts w:ascii="Times New Roman" w:hAnsi="Times New Roman"/>
          <w:color w:val="000000" w:themeColor="text1"/>
          <w:sz w:val="16"/>
          <w:szCs w:val="16"/>
        </w:rPr>
      </w:pPr>
    </w:p>
    <w:p w14:paraId="64998C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вышел приказ НКАП:</w:t>
      </w:r>
    </w:p>
    <w:p w14:paraId="71BB46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обеспечения опытных заводов НИИ и ОКБ 7-го гл. управления конструкторским оборудованием:</w:t>
      </w:r>
    </w:p>
    <w:p w14:paraId="3884C9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Директору завода № 482 Каневскому Я.М. передать заводу № 134 помещение бывш. филиала завода № 482 “Коопящик” для организации на нем деревообделочного филиала завода № 134 (8937).</w:t>
      </w:r>
    </w:p>
    <w:p w14:paraId="593E58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C596E3" w14:textId="645982CD"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завод № 261 (ГС Завод № 261 НКАП /г. Москва ул. Фабричная, 11 (р-н ст. Ростокино) (1939 г.)/ / г. Березовск;</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г. Верхний Нейвинск Свердловской обл./) в соответствиии приказом НКАП № 746с от 13 декабря 1943 г. во исполнение пост. ГКО № 4290 от 8.10.1943 г. для улучшения производственно-бытовых </w:t>
      </w:r>
      <w:r w:rsidRPr="00070ADE">
        <w:rPr>
          <w:rFonts w:ascii="Times New Roman" w:hAnsi="Times New Roman"/>
          <w:color w:val="000000" w:themeColor="text1"/>
          <w:sz w:val="16"/>
          <w:szCs w:val="16"/>
        </w:rPr>
        <w:lastRenderedPageBreak/>
        <w:t>условий работы с был переведен из Березовска 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Верхний Нейвинск на площадку завода № 484 НКАП. Оба завода были объединены в ГС завод № 261 2ГУ НКАП. Все помещения в</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Березовске были переданы в распоряжение НКЭС.</w:t>
      </w:r>
    </w:p>
    <w:p w14:paraId="023A4E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 293с от 11.07.1945 г. завод передан из 2ГУ в 9ГУ для организации производства металлургической продукции из легких сплавов.</w:t>
      </w:r>
    </w:p>
    <w:p w14:paraId="11F445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приказам № 483с/024с от 11.12.1945 г. и № 499с от 31.12.1945 г. завод № 261 расформирован, часть оборудования и личного состава передана заводу № 30 НКАП (цех шасси), часть - на новый завод № 268 НКАП. На тот момент завод состоял из одного действующего цеха и начатого строительства второго корпуса. Они в 1946 г. переданы в ПГУ СНК СССР, на их базе начато строительство комбината № 813.</w:t>
      </w:r>
    </w:p>
    <w:p w14:paraId="6308FB9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Производственные площади (1945 г.)- 14.200 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w:t>
      </w:r>
    </w:p>
    <w:p w14:paraId="6AA84C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(-1940-02.1942 г.-)- А.И. Пастер (одновременно директор завода № 120), (12.1943 г.)- Явиц.</w:t>
      </w:r>
    </w:p>
    <w:p w14:paraId="5579C4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бензо-, водо-, маслозаправщики самолетов (АРС на шасси ЗиС-6), бензобаки, форсунки, фильтры, контейнеры (1939-); агрегаты химвооружения (УХАП-250, УХАП-500, разливочные станции для ампул, аэродромные тележки для ВАП-500) (1941-); агрегаты шасси (ВОВ) (11982).</w:t>
      </w:r>
    </w:p>
    <w:p w14:paraId="3B8728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6F802B9" w14:textId="77777777" w:rsidR="00AE2452" w:rsidRPr="00C94B78" w:rsidRDefault="00AE245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Весной 1944 г. на базе завода N° 293 и НИИ-3 был орга</w:t>
      </w:r>
      <w:r w:rsidRPr="00C94B78">
        <w:rPr>
          <w:rFonts w:ascii="Times New Roman" w:hAnsi="Times New Roman"/>
          <w:color w:val="0070C0"/>
          <w:sz w:val="16"/>
          <w:szCs w:val="16"/>
        </w:rPr>
        <w:softHyphen/>
        <w:t>низован новый НИИ реактивной авиации (НИИ-1) НКАП. В.Ф. Болховитинов стал научным руководителем этого ин</w:t>
      </w:r>
      <w:r w:rsidRPr="00C94B78">
        <w:rPr>
          <w:rFonts w:ascii="Times New Roman" w:hAnsi="Times New Roman"/>
          <w:color w:val="0070C0"/>
          <w:sz w:val="16"/>
          <w:szCs w:val="16"/>
        </w:rPr>
        <w:softHyphen/>
        <w:t>ститута (24920).</w:t>
      </w:r>
    </w:p>
    <w:p w14:paraId="638D4B3F" w14:textId="77777777" w:rsidR="00AE2452" w:rsidRPr="00C94B78" w:rsidRDefault="00AE2452" w:rsidP="00B56F90">
      <w:pPr>
        <w:spacing w:after="0" w:line="240" w:lineRule="auto"/>
        <w:jc w:val="both"/>
        <w:rPr>
          <w:rFonts w:ascii="Times New Roman" w:hAnsi="Times New Roman"/>
          <w:color w:val="0070C0"/>
          <w:sz w:val="16"/>
          <w:szCs w:val="16"/>
        </w:rPr>
      </w:pPr>
    </w:p>
    <w:p w14:paraId="5DAB2375"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года в НИИ-1, куда вместе В.Ф. Болховитиновым был переведен и И.Ф. Флоров, под руководством Ильи Флорентьевича и началась разработка самолета «4302» (02) с двигателем РД-1 А.М. Исаева. Поскольку двигатель РД-1 в производстве был трудоемок, дорог и тя</w:t>
      </w:r>
      <w:r w:rsidRPr="00070ADE">
        <w:rPr>
          <w:rFonts w:ascii="Times New Roman" w:hAnsi="Times New Roman"/>
          <w:color w:val="000000" w:themeColor="text1"/>
          <w:sz w:val="16"/>
          <w:szCs w:val="16"/>
        </w:rPr>
        <w:softHyphen/>
        <w:t>жел (почти 100 кг), то почти одновремен</w:t>
      </w:r>
      <w:r w:rsidRPr="00070ADE">
        <w:rPr>
          <w:rFonts w:ascii="Times New Roman" w:hAnsi="Times New Roman"/>
          <w:color w:val="000000" w:themeColor="text1"/>
          <w:sz w:val="16"/>
          <w:szCs w:val="16"/>
        </w:rPr>
        <w:softHyphen/>
        <w:t>но с разработкой самолета «4302» при</w:t>
      </w:r>
      <w:r w:rsidRPr="00070ADE">
        <w:rPr>
          <w:rFonts w:ascii="Times New Roman" w:hAnsi="Times New Roman"/>
          <w:color w:val="000000" w:themeColor="text1"/>
          <w:sz w:val="16"/>
          <w:szCs w:val="16"/>
        </w:rPr>
        <w:softHyphen/>
        <w:t>ступили и к модернизации этого ЖРД в вариант РД-1М. Осенью 1945 года нашли горючее, с помощью которого удалось осуществить химическое зажигание (23462).</w:t>
      </w:r>
    </w:p>
    <w:p w14:paraId="097C2CC1" w14:textId="77777777" w:rsidR="007938E2" w:rsidRPr="00070ADE" w:rsidRDefault="007938E2" w:rsidP="00B56F90">
      <w:pPr>
        <w:spacing w:after="0" w:line="240" w:lineRule="auto"/>
        <w:jc w:val="both"/>
        <w:rPr>
          <w:rFonts w:ascii="Times New Roman" w:hAnsi="Times New Roman"/>
          <w:color w:val="000000" w:themeColor="text1"/>
          <w:sz w:val="16"/>
          <w:szCs w:val="16"/>
        </w:rPr>
      </w:pPr>
    </w:p>
    <w:p w14:paraId="4B21FE9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231DB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B2926E" w14:textId="77777777" w:rsidR="00481C9C" w:rsidRPr="00C94B78" w:rsidRDefault="00481C9C"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Весной 1944 г. несколько сотрудников ЦАКБ были направлены в Ленинград на завод «Большевик» для освоения серийного производства грабинской 100-мм пушки С-3. Не без участия Иванова ленинградская группа конструкторов постепенно усилилась. Постановлением Совнаркома от 27 мая 1944 г. для более успешного решения задач вооружения ВМФ был создан Ленинградский филиал ЦАКБ. Руководителем его, естественно, стал Иванов. В марте 1945 г. постановлением ГКО Ленинградский филиал ЦАКБ преобразован в самостоятельное предприятие — Морское Артиллерийское Центральное конструкторское бюро (МАЦКБ). Оно работало по-прежнему под началом Иванова. В своих воспоминаниях о Грабине АП. Худяков утверждает, что Грабин благожелательно относился к разделу ЦАКБ (25440):</w:t>
      </w:r>
    </w:p>
    <w:p w14:paraId="3FA85682" w14:textId="77777777" w:rsidR="00481C9C" w:rsidRPr="00C94B78" w:rsidRDefault="00481C9C" w:rsidP="00B56F90">
      <w:pPr>
        <w:spacing w:after="0" w:line="240" w:lineRule="auto"/>
        <w:jc w:val="both"/>
        <w:rPr>
          <w:rFonts w:ascii="Times New Roman" w:hAnsi="Times New Roman"/>
          <w:color w:val="0070C0"/>
          <w:sz w:val="16"/>
          <w:szCs w:val="16"/>
        </w:rPr>
      </w:pPr>
    </w:p>
    <w:p w14:paraId="7DC915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года ЦАКБ предложило проект САУ СУ-С-34-1, вооруженную 85-мм орудием С-34-IB. Орудие отличалось необычными боеприпасами - 85-мм снаряды с гильзой от 100-мм орудия (3862).</w:t>
      </w:r>
    </w:p>
    <w:p w14:paraId="2653F9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99AD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года под Москвой в два этапа были проведены сравнительные войсковые испытания всех трех разработанных вариантов пушки 37-мм противотанковой пушки: ЧК; ЗИВ-2; ЧК-М1. Первый этап, включавший в себя летные испытания, проходил с 26 марта по 2 апреля на аэродроме у Медвежьих озер на базе отдельной испытательной эскадрильи. Второй этап - стрельбы - проходил на курсах им. Ворошилова с 3 по 18 апреля.</w:t>
      </w:r>
    </w:p>
    <w:p w14:paraId="68967D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три варианта пушки имели легкий подрессоренных ход, предназначенный только для перевозки вручную расчетом пушки. Буксировка пушки автомобилем могла привести к разрушению лафета. Поэтому транспортировку пушки предполагалось производить в автомобилях "Виллис" (1 пушка), ГАЗ-64 (1 пушка), "Додж" (2 пушки) и ГАЗ-А (2 пушки), а также в коляске мотоцикла "Харлей Давидсон". Кроме того, в нештатных ситуациях можно было возить пушку в одноконной тележке.</w:t>
      </w:r>
    </w:p>
    <w:p w14:paraId="706AE0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войсковых испытаниях от 37-мм пушки отделяли щит и колесный ход, и она ставилась на трубчатую сварную раму (установки "Пигмей"), с которой можно было вести огонь с автомобилей "Виллис" и ГАЗ-64 с углами вертикального наведения от -5° до +5° и углом горизонтального наведения 30°. Остальные автомобили и мотоциклы на войсковых испытаниях использовались лишь для перевозки пушки. Однако позже, в том же 1944 году, к стрельбе был приспособлен и мотоцикл "Харлей Давидсон". На каждую пушку положено два мотоцикла. На одном - пушка, наводчик, заряжающий и водитель. На втором - командир, подносчик и водитель.</w:t>
      </w:r>
    </w:p>
    <w:p w14:paraId="4F2E51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Стрельбу можно было вести с ходу с мотоциклетной установки со скоростью до 10 км/час по ровной дороге.</w:t>
      </w:r>
    </w:p>
    <w:p w14:paraId="3EEA8C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летных испытаний производилось десантирование пушек в планерах А-7, Г-11 и БДП-2. В каждый планер грузилась одна пушка, 4 человека расчета и боекомплект (в А-7 - 191 выстрел, в Г-11 и БДП-2 - 222 выстрела). Любопытно, что в отчете о летных испытаниях пушка ЧК именуется ЧК-37, ЧК-М1 именуется ЧК-37-М1, зато ЗИВ-2 оставалась под прежним наименованием.</w:t>
      </w:r>
    </w:p>
    <w:p w14:paraId="472817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летных испытаний для парашютирования в самолет ЛИ-2 грузилась пушка, расчет и боекомплект. Условия сброса - высота 600 м, скорость 200 км/час.</w:t>
      </w:r>
    </w:p>
    <w:p w14:paraId="681EFA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доставке посадочным способом на летных испытаниях использовался бомбардировщик ТБ-3 с мотором М-17, под крылом которого подвешивалось два автомобиля "Виллис" или ГАЗ-64 с установленными на них 37-мм пушками.</w:t>
      </w:r>
    </w:p>
    <w:p w14:paraId="0777A6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"Временной инструкции по боевому применению 37-мм авиадесантной пушки", изданной в 1944 году, при транспортировке посадочным способом в самолет ЛИ-2 помещалось 2 мотоцикла, 1 пушка и 6 человек, всего 2227 кг, а в самолет С-47 все тоже, плюс еще пушка и патроны, всего 2894 кг.</w:t>
      </w:r>
    </w:p>
    <w:p w14:paraId="142F68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парашютировании пушка и мотоцикл размещались на внешней подвеске бомбардировщика ИЛ-4, а расчет и патроны - на ЛИ-2.</w:t>
      </w:r>
    </w:p>
    <w:p w14:paraId="79CB30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стрельб выяснилось, что бронепробиваемость 37-мм пушки калиберным снарядом на дистанции до 300-500 м не уступает 45-мм ПТП обр. 1937 г.</w:t>
      </w:r>
    </w:p>
    <w:p w14:paraId="030072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Кучность стрельбы по щиту бронебойными калиберными снарядами удовлетворительная, а осколочными по местности - неудовлетворительная (большое рассеивание). При стрельбе у пушки ЗИВ-2 разорвало ствол.</w:t>
      </w:r>
    </w:p>
    <w:p w14:paraId="432E5B6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результатам войсковых испытаний комиссия рекомендовала к принятию на вооружение пушку ЧК-М1, так как она проще в производстве и эксплуатации, легче, и не имеет гидравлического тормоза отката.</w:t>
      </w:r>
    </w:p>
    <w:p w14:paraId="647641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Пушка ЧК-М1 получила официальное название "37-мм авиадесантная пушка обр. 1944 г.".</w:t>
      </w:r>
    </w:p>
    <w:p w14:paraId="27C791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1944 году завод № 74 изготовил 290 пушек ЧК-М1, а завод № 79 - 25 пушек. В 1945 году завод № 79 изготовил 157 пушек, и на этом их производство завершилось. Всего было изготовлено 472 пушки ЧК-М1 (3861).</w:t>
      </w:r>
    </w:p>
    <w:p w14:paraId="2E2758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6F0959" w14:textId="78DE3BCC"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года система Д-10С считалась едва ли не идеальным вооружением для тяжёлых танков и САУ на базе Т-34. Основывался этот вывод на теоретической бронепробиваемости, которая получалась даже чуть выше, чем у Д-25. Всерьёз предлагалось перевооружить на данное орудие танк</w:t>
      </w:r>
      <w:r w:rsidR="00B643A8" w:rsidRPr="00070ADE">
        <w:rPr>
          <w:rFonts w:ascii="Times New Roman" w:hAnsi="Times New Roman"/>
          <w:color w:val="000000" w:themeColor="text1"/>
          <w:sz w:val="16"/>
          <w:szCs w:val="16"/>
        </w:rPr>
        <w:t xml:space="preserve"> </w:t>
      </w:r>
      <w:hyperlink r:id="rId157" w:history="1">
        <w:r w:rsidRPr="00070ADE">
          <w:rPr>
            <w:rStyle w:val="a5"/>
            <w:rFonts w:ascii="Times New Roman" w:hAnsi="Times New Roman"/>
            <w:color w:val="000000" w:themeColor="text1"/>
            <w:sz w:val="16"/>
            <w:szCs w:val="16"/>
          </w:rPr>
          <w:t>ИС-2</w:t>
        </w:r>
      </w:hyperlink>
      <w:r w:rsidRPr="00070ADE">
        <w:rPr>
          <w:rFonts w:ascii="Times New Roman" w:hAnsi="Times New Roman"/>
          <w:color w:val="000000" w:themeColor="text1"/>
          <w:sz w:val="16"/>
          <w:szCs w:val="16"/>
        </w:rPr>
        <w:t>. Правда, испытания показали, что на самом деле бронебойный снаряд Д-10 пробивал верхнюю лобовую деталь немецкого среднего танка Pz.Kpfw.Panther на дистанции 1300–1400 м, а бронебойный снаряд Д-25 делал то же самое на дистанции 2–2,5 км. Тем не менее для средней САУ Д-10С являлась оптимальной системой, обладавшей высокой скорострельностью и приличными данными по пробитию брони. Дело было за малым: доработать как само орудие, так и САУ для его установки (18252).</w:t>
      </w:r>
    </w:p>
    <w:p w14:paraId="5CC661FD" w14:textId="77777777" w:rsidR="00822884" w:rsidRPr="00070ADE" w:rsidRDefault="00822884" w:rsidP="00B56F90">
      <w:pPr>
        <w:spacing w:after="0" w:line="240" w:lineRule="auto"/>
        <w:jc w:val="both"/>
        <w:rPr>
          <w:rFonts w:ascii="Times New Roman" w:hAnsi="Times New Roman"/>
          <w:color w:val="000000" w:themeColor="text1"/>
          <w:sz w:val="16"/>
          <w:szCs w:val="16"/>
        </w:rPr>
      </w:pPr>
    </w:p>
    <w:p w14:paraId="41AA0B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года командирскую башенку с двухстворчатой крышкой люка перенесли ближе к корме танка и, кроме того, с этого времени все "тридцатьчетверки" оснащались новыми перископами МК-4. Радиостанцию перенесли из корпуса в башню танка. Эти изменения были введены еще до принятия на вооружение пушки ЗИС-С-53. На Т-34-85 самых ранних выпусков завода №112 еще сохранились четыре U-образных подъемных крюка башни, однако вскоре их заменили более простыми крюками нового типа, которые в дальнейшем использовались на всех заводах, производивших "тридцатьчетверки". Версии танков, вооруженные орудиями Д-5Т и ЗИС-С-53 легко отличить друг от друга по маске пушки. Орудие Д-5Т имело большую круглую маску такого же типа, что и самоходная установка СУ-85, а маска пушки ЗИС-С-53 отличалась небольшой броневой втулкой в месте соединения с орудием. Характеристики обеих пушек были примерно одинаковы; ЗИС-С-53 выбрали из-за лучшей технологичности и простоты обслуживания (3862).</w:t>
      </w:r>
    </w:p>
    <w:p w14:paraId="339224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8BB1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года к серийному выпуску Т-34/85 приступили еще два завода: №174 в Омске и №183 в Нижнем Тагиле. Крупнейшим производителем Т-34 стал завод №183, до мая 1945 года изготовивший 35000 "тридцатьчетверок"; на втором месте оказался завод №112 "Красное Сормово", который собрал за годы войны около 10000 этих средних танков (3862).</w:t>
      </w:r>
    </w:p>
    <w:p w14:paraId="72274D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Т-34/85 разных заводов были, в основном, одинаковы и отличались лишь формами башен и расположением дополнительного оборудования. Так, из-за различий в технологии производства литых танковых башен, появилось три типа последних, которые однако официально не утверждались. Наиболее сильные отличия от этих трех версий имела так называемая "составная" башня; остальные две в основном различались расположением сварных швов и мелкими конструктивными изменениями (3862).</w:t>
      </w:r>
    </w:p>
    <w:p w14:paraId="68C7D6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 мере налаживания крупномасштабного производства Т-34/85 в конструкцию танка вносить многочисленные изменения и улучшения. Со временем изменился способ соединения передней и верхней плиты корпуса: переход стал более резким. Спереди и по бокам корпуса, около кольца башни стали приваривать броневые уголки, предохранявшие механизм поворота башни. "Тридцатьчетверки" поздних выпусков оснащались дымовым оборудованием, которое представляло собой два цилиндрических бака, установленных на корме танка и оборудованных электрозапалами. Для проводов к электрозапалам дымовой системы было сделано небольшое отверстие в кормовой плите танка. Несколько изменились поручни для пехотинцев, а на некоторых машинах, кроме того, старые грязеотбойники круглой формы, </w:t>
      </w:r>
      <w:r w:rsidRPr="00070ADE">
        <w:rPr>
          <w:rFonts w:ascii="Times New Roman" w:hAnsi="Times New Roman"/>
          <w:color w:val="000000" w:themeColor="text1"/>
          <w:sz w:val="16"/>
          <w:szCs w:val="16"/>
        </w:rPr>
        <w:lastRenderedPageBreak/>
        <w:t>вызывавшие нарекания из-за постоянных повреждений при эксплуатации, заменили новыми, прямоугольной формы, которые при необходимости могли откидываться вверх. И наконец уже в 1945 году двухстворчатую крышку люка командирской башенки заменили одностворчатой, а также изменили расположение вентиляторов, что несколько улучшило условия работы экипажа танка (3862).</w:t>
      </w:r>
    </w:p>
    <w:p w14:paraId="558412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Серийное производство Т-34, вооруженного 85-мм пушкой, продолжалось и после войны, а до мая 1945 года заводы изготовили около 21000 Т-34/85 (3862).</w:t>
      </w:r>
    </w:p>
    <w:p w14:paraId="46B931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A9C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года в составе 1-ой Гвардейской танковой армии Т-34-85 впервые принял участи в боях. Во время наступления в Белоруссии и на Украине эти новые танки успешно противостояли многочисленным "Тиграм" и "Пантерам" (3862).</w:t>
      </w:r>
    </w:p>
    <w:p w14:paraId="3147D1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4ACB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завод № 183 по своей инициативе разработал и представил на испытания два модернизированных танка, получивших с чение Т-34-85М. Они отличались от серийных танков увеличенной толщиной броневых листов корпуса, а также конструктивными изменениями коробки передач и узлов ходовой части. На втором образце модернозированного танка топливные баки были перенесены в трансмиссионное отделение, что повлекло изменение конструкции броневого корпуса (10703).</w:t>
      </w:r>
    </w:p>
    <w:p w14:paraId="6F5C7B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F321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завод № 183 по своей инициативе разработал и представил на испытания два модернизированных танка, получивших обозначение Т-34-85М. Они отличались от серийных танков увеличенной толщиной броневых листов корпуса, а также конструктивными изменениями коробки передач и узлов ходовой части. На втором образце модернозированного танка топливные баки были перенесены в трансмиссионное отделение, что повлекло изменение конструкции броневого корпуса (10703).</w:t>
      </w:r>
    </w:p>
    <w:p w14:paraId="0F47AE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0759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СКБ НКСП был создан стабилизатор СТП-С-53 для 85-мм танковой пушки С-53, который получил условное наименование "Таран". В начале 1945 г. заводом № 112 для проведения полигонных ис</w:t>
      </w:r>
      <w:r w:rsidRPr="00070ADE">
        <w:rPr>
          <w:rFonts w:ascii="Times New Roman" w:hAnsi="Times New Roman"/>
          <w:color w:val="000000" w:themeColor="text1"/>
          <w:sz w:val="16"/>
          <w:szCs w:val="16"/>
        </w:rPr>
        <w:softHyphen/>
        <w:t>пытаний была выпущена опытная партия из пяти танков Т-34-85, осна</w:t>
      </w:r>
      <w:r w:rsidRPr="00070ADE">
        <w:rPr>
          <w:rFonts w:ascii="Times New Roman" w:hAnsi="Times New Roman"/>
          <w:color w:val="000000" w:themeColor="text1"/>
          <w:sz w:val="16"/>
          <w:szCs w:val="16"/>
        </w:rPr>
        <w:softHyphen/>
        <w:t>щенных этим одноплоскостным стабилизатором. Из-за больших разме</w:t>
      </w:r>
      <w:r w:rsidRPr="00070ADE">
        <w:rPr>
          <w:rFonts w:ascii="Times New Roman" w:hAnsi="Times New Roman"/>
          <w:color w:val="000000" w:themeColor="text1"/>
          <w:sz w:val="16"/>
          <w:szCs w:val="16"/>
        </w:rPr>
        <w:softHyphen/>
        <w:t>ров узлов и механизмов силовые стабилизаторы не были установлены в серийных танках (10703).</w:t>
      </w:r>
    </w:p>
    <w:p w14:paraId="50F90A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0482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СКБ НКСП был разработан новый стабилизатор для танковой пушки ЗИС-С-53 для танка Т-34-85 - СТП-С-53, получив</w:t>
      </w:r>
      <w:r w:rsidRPr="00070ADE">
        <w:rPr>
          <w:rFonts w:ascii="Times New Roman" w:hAnsi="Times New Roman"/>
          <w:color w:val="000000" w:themeColor="text1"/>
          <w:sz w:val="16"/>
          <w:szCs w:val="16"/>
        </w:rPr>
        <w:softHyphen/>
        <w:t>ший наименование "Таран". На основании постановления ГКО от 7 ноября 1944 г. заводом № 112 и НИИ-627 в начале 1945 г. для проведения всесторонних испытаний были изготовлены 4 опытных танка Т-34-85 со стабилизатором "Таран". Результаты испытаний были использованы уже после окончания Великой Отечественной войны при создании однопплоскостного стабилизатора "Горизонт" для 100-мм пушки среднего танка Т-54 (10703).</w:t>
      </w:r>
    </w:p>
    <w:p w14:paraId="311B9F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B5BE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был изготовлен опытный образец танка Т-34-85М (первый вариант), который был разработан в инициативном порядке в КБ-520 завода № 183 под руководством главного конструкто</w:t>
      </w:r>
      <w:r w:rsidRPr="00070ADE">
        <w:rPr>
          <w:rFonts w:ascii="Times New Roman" w:hAnsi="Times New Roman"/>
          <w:color w:val="000000" w:themeColor="text1"/>
          <w:sz w:val="16"/>
          <w:szCs w:val="16"/>
        </w:rPr>
        <w:softHyphen/>
        <w:t>ра А.А. Морозова и в период с 24 мая по 10 июня прошел испытания на НИБТ полигоне. На вооружение танк не принимался и в серийном производстве не состоял (10703).</w:t>
      </w:r>
    </w:p>
    <w:p w14:paraId="5668DF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61BD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был изготовлен опытный образец танка Т-34-85М (второй вариант), который был разработан в инициативном порядке в КБ-520 завода № 183 под руководством главного конструкто</w:t>
      </w:r>
      <w:r w:rsidRPr="00070ADE">
        <w:rPr>
          <w:rFonts w:ascii="Times New Roman" w:hAnsi="Times New Roman"/>
          <w:color w:val="000000" w:themeColor="text1"/>
          <w:sz w:val="16"/>
          <w:szCs w:val="16"/>
        </w:rPr>
        <w:softHyphen/>
        <w:t>ра А.А. Морозова и в период с 24 мая по 10 июня прошел испытания на НИБТ полигоне. На вооружение танк не принимался и в серийном производстве не состоял (10703).</w:t>
      </w:r>
    </w:p>
    <w:p w14:paraId="10B4FC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4A25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в КБ завода № 183 под руководством главного конструктора А.А. Морозова с учетом устранения недостатков присущих танку Т-44 первой модифи</w:t>
      </w:r>
      <w:r w:rsidRPr="00070ADE">
        <w:rPr>
          <w:rFonts w:ascii="Times New Roman" w:hAnsi="Times New Roman"/>
          <w:color w:val="000000" w:themeColor="text1"/>
          <w:sz w:val="16"/>
          <w:szCs w:val="16"/>
        </w:rPr>
        <w:softHyphen/>
        <w:t>кации был разработан Танк Т-44 (второй модификации). Два опытных образца машины были изготовлены заводом № 183 в мае 1944 г., один из которых прошел заводские испытания. В июне-июле 1944 г. второй опытный образец танка успешно прошел испыта</w:t>
      </w:r>
      <w:r w:rsidRPr="00070ADE">
        <w:rPr>
          <w:rFonts w:ascii="Times New Roman" w:hAnsi="Times New Roman"/>
          <w:color w:val="000000" w:themeColor="text1"/>
          <w:sz w:val="16"/>
          <w:szCs w:val="16"/>
        </w:rPr>
        <w:softHyphen/>
        <w:t>ния на НИБТ полигоне и был рекомендован для принятия на вооруже</w:t>
      </w:r>
      <w:r w:rsidRPr="00070ADE">
        <w:rPr>
          <w:rFonts w:ascii="Times New Roman" w:hAnsi="Times New Roman"/>
          <w:color w:val="000000" w:themeColor="text1"/>
          <w:sz w:val="16"/>
          <w:szCs w:val="16"/>
        </w:rPr>
        <w:softHyphen/>
        <w:t>ние РККА после устранения выявленных дефектов и реализации всех предложений комиссии. На вооружение танк не принимался и в серий</w:t>
      </w:r>
      <w:r w:rsidRPr="00070ADE">
        <w:rPr>
          <w:rFonts w:ascii="Times New Roman" w:hAnsi="Times New Roman"/>
          <w:color w:val="000000" w:themeColor="text1"/>
          <w:sz w:val="16"/>
          <w:szCs w:val="16"/>
        </w:rPr>
        <w:softHyphen/>
        <w:t>ном производстве не состоял. Явился прототипом предсерийного образ</w:t>
      </w:r>
      <w:r w:rsidRPr="00070ADE">
        <w:rPr>
          <w:rFonts w:ascii="Times New Roman" w:hAnsi="Times New Roman"/>
          <w:color w:val="000000" w:themeColor="text1"/>
          <w:sz w:val="16"/>
          <w:szCs w:val="16"/>
        </w:rPr>
        <w:softHyphen/>
        <w:t>ца танка Т-44А (10703).</w:t>
      </w:r>
    </w:p>
    <w:p w14:paraId="598071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052018" w14:textId="77777777" w:rsidR="00481C9C" w:rsidRPr="00C94B78" w:rsidRDefault="00481C9C"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Весной 1944 года началась вторых образцов Т-44 и воен</w:t>
      </w:r>
      <w:r w:rsidRPr="00C94B78">
        <w:rPr>
          <w:rFonts w:ascii="Times New Roman" w:hAnsi="Times New Roman"/>
          <w:color w:val="0070C0"/>
          <w:sz w:val="16"/>
          <w:szCs w:val="16"/>
        </w:rPr>
        <w:softHyphen/>
        <w:t>ных не устроило то, что в конструкции этих машин не учли требование об усилении ло</w:t>
      </w:r>
      <w:r w:rsidRPr="00C94B78">
        <w:rPr>
          <w:rFonts w:ascii="Times New Roman" w:hAnsi="Times New Roman"/>
          <w:color w:val="0070C0"/>
          <w:sz w:val="16"/>
          <w:szCs w:val="16"/>
        </w:rPr>
        <w:softHyphen/>
        <w:t>бовой брони корпуса (25012).</w:t>
      </w:r>
    </w:p>
    <w:p w14:paraId="7AAD28A9" w14:textId="77777777" w:rsidR="00481C9C" w:rsidRPr="00C94B78" w:rsidRDefault="00481C9C" w:rsidP="00B56F90">
      <w:pPr>
        <w:spacing w:after="0" w:line="240" w:lineRule="auto"/>
        <w:jc w:val="both"/>
        <w:rPr>
          <w:rFonts w:ascii="Times New Roman" w:hAnsi="Times New Roman"/>
          <w:color w:val="0070C0"/>
          <w:sz w:val="16"/>
          <w:szCs w:val="16"/>
        </w:rPr>
      </w:pPr>
    </w:p>
    <w:p w14:paraId="59394B95" w14:textId="77777777" w:rsidR="002D2C83" w:rsidRPr="00070ADE" w:rsidRDefault="002D2C83" w:rsidP="00B56F90">
      <w:pPr>
        <w:spacing w:after="0" w:line="240" w:lineRule="auto"/>
        <w:jc w:val="both"/>
        <w:rPr>
          <w:rStyle w:val="670"/>
          <w:rFonts w:ascii="Times New Roman" w:hAnsi="Times New Roman" w:cs="Times New Roman"/>
          <w:color w:val="000000" w:themeColor="text1"/>
          <w:sz w:val="16"/>
          <w:szCs w:val="16"/>
        </w:rPr>
      </w:pPr>
      <w:r w:rsidRPr="00070ADE">
        <w:rPr>
          <w:rStyle w:val="670"/>
          <w:rFonts w:ascii="Times New Roman" w:hAnsi="Times New Roman" w:cs="Times New Roman"/>
          <w:color w:val="000000" w:themeColor="text1"/>
          <w:sz w:val="16"/>
          <w:szCs w:val="16"/>
        </w:rPr>
        <w:t>Весной 1944 года объем изменений кон</w:t>
      </w:r>
      <w:r w:rsidRPr="00070ADE">
        <w:rPr>
          <w:rStyle w:val="670"/>
          <w:rFonts w:ascii="Times New Roman" w:hAnsi="Times New Roman" w:cs="Times New Roman"/>
          <w:color w:val="000000" w:themeColor="text1"/>
          <w:sz w:val="16"/>
          <w:szCs w:val="16"/>
        </w:rPr>
        <w:softHyphen/>
        <w:t>струкции СУ-85 стал постепенно снижаться. В марте 1944 года кромки под амбразуру ору</w:t>
      </w:r>
      <w:r w:rsidRPr="00070ADE">
        <w:rPr>
          <w:rStyle w:val="670"/>
          <w:rFonts w:ascii="Times New Roman" w:hAnsi="Times New Roman" w:cs="Times New Roman"/>
          <w:color w:val="000000" w:themeColor="text1"/>
          <w:sz w:val="16"/>
          <w:szCs w:val="16"/>
        </w:rPr>
        <w:softHyphen/>
        <w:t>дийной установки стали подрезать, а в отвер</w:t>
      </w:r>
      <w:r w:rsidRPr="00070ADE">
        <w:rPr>
          <w:rStyle w:val="670"/>
          <w:rFonts w:ascii="Times New Roman" w:hAnsi="Times New Roman" w:cs="Times New Roman"/>
          <w:color w:val="000000" w:themeColor="text1"/>
          <w:sz w:val="16"/>
          <w:szCs w:val="16"/>
        </w:rPr>
        <w:softHyphen/>
        <w:t>стиях под пистолетные порты появились фаски. Также с 10 марта улучшили конструк</w:t>
      </w:r>
      <w:r w:rsidRPr="00070ADE">
        <w:rPr>
          <w:rStyle w:val="670"/>
          <w:rFonts w:ascii="Times New Roman" w:hAnsi="Times New Roman" w:cs="Times New Roman"/>
          <w:color w:val="000000" w:themeColor="text1"/>
          <w:sz w:val="16"/>
          <w:szCs w:val="16"/>
        </w:rPr>
        <w:softHyphen/>
        <w:t>цию стопора люка механика-водителя. Более важным изменением стал переход от СУ-85 к СУ-85А. Причиной тому стало прекращение выпуска Д5-С-85. Помимо того, что выпуск сразу двух артиллерийских систем был лишен смысла, на заводе №9 наращивалось производство орудий Д-25 для тяжелых тан</w:t>
      </w:r>
      <w:r w:rsidRPr="00070ADE">
        <w:rPr>
          <w:rStyle w:val="670"/>
          <w:rFonts w:ascii="Times New Roman" w:hAnsi="Times New Roman" w:cs="Times New Roman"/>
          <w:color w:val="000000" w:themeColor="text1"/>
          <w:sz w:val="16"/>
          <w:szCs w:val="16"/>
        </w:rPr>
        <w:softHyphen/>
        <w:t>ков ИС-2. В марте УЗТМ получил 102 Д-5С85 и 89 Д-5С85А. При этом из 191 машины, сдан</w:t>
      </w:r>
      <w:r w:rsidRPr="00070ADE">
        <w:rPr>
          <w:rStyle w:val="670"/>
          <w:rFonts w:ascii="Times New Roman" w:hAnsi="Times New Roman" w:cs="Times New Roman"/>
          <w:color w:val="000000" w:themeColor="text1"/>
          <w:sz w:val="16"/>
          <w:szCs w:val="16"/>
        </w:rPr>
        <w:softHyphen/>
        <w:t>ных в марте 1944 года, 112 являлись СУ-85, а 79 - СУ-85А. Находящаяся в польском Джонуве самоходная установка с серийным номе</w:t>
      </w:r>
      <w:r w:rsidRPr="00070ADE">
        <w:rPr>
          <w:rStyle w:val="670"/>
          <w:rFonts w:ascii="Times New Roman" w:hAnsi="Times New Roman" w:cs="Times New Roman"/>
          <w:color w:val="000000" w:themeColor="text1"/>
          <w:sz w:val="16"/>
          <w:szCs w:val="16"/>
        </w:rPr>
        <w:softHyphen/>
        <w:t>ром СУ403462А как раз является СУ-85А. Из 200 сданных в апреле СУ-85 175 штук относи</w:t>
      </w:r>
      <w:r w:rsidRPr="00070ADE">
        <w:rPr>
          <w:rStyle w:val="670"/>
          <w:rFonts w:ascii="Times New Roman" w:hAnsi="Times New Roman" w:cs="Times New Roman"/>
          <w:color w:val="000000" w:themeColor="text1"/>
          <w:sz w:val="16"/>
          <w:szCs w:val="16"/>
        </w:rPr>
        <w:softHyphen/>
        <w:t>лись к версии СУ-85А, а уже с мая на УЗТМ выпускались исключительно СУ-85А. Что же касается других изменений, то они в апреле- мае 1944 года свелись к внутренним улучше</w:t>
      </w:r>
      <w:r w:rsidRPr="00070ADE">
        <w:rPr>
          <w:rStyle w:val="670"/>
          <w:rFonts w:ascii="Times New Roman" w:hAnsi="Times New Roman" w:cs="Times New Roman"/>
          <w:color w:val="000000" w:themeColor="text1"/>
          <w:sz w:val="16"/>
          <w:szCs w:val="16"/>
        </w:rPr>
        <w:softHyphen/>
        <w:t>ниям. Также на некоторых машинах выпуска весны 1944 года можно видеть фары с удли</w:t>
      </w:r>
      <w:r w:rsidRPr="00070ADE">
        <w:rPr>
          <w:rStyle w:val="670"/>
          <w:rFonts w:ascii="Times New Roman" w:hAnsi="Times New Roman" w:cs="Times New Roman"/>
          <w:color w:val="000000" w:themeColor="text1"/>
          <w:sz w:val="16"/>
          <w:szCs w:val="16"/>
        </w:rPr>
        <w:softHyphen/>
        <w:t>ненным корпусом и меньшего диаметра (192 мм вместо 230,6 у полусферических), по типу тех, что ставились на Т-34-85 выпуска завода №183. В июне 1944 г. ввели, наконец, элек</w:t>
      </w:r>
      <w:r w:rsidRPr="00070ADE">
        <w:rPr>
          <w:rStyle w:val="670"/>
          <w:rFonts w:ascii="Times New Roman" w:hAnsi="Times New Roman" w:cs="Times New Roman"/>
          <w:color w:val="000000" w:themeColor="text1"/>
          <w:sz w:val="16"/>
          <w:szCs w:val="16"/>
        </w:rPr>
        <w:softHyphen/>
        <w:t>троспуск орудия - со 117-й машины. Последним же внешним изменением СУ- 85А стало долгожданное появление вытяж</w:t>
      </w:r>
      <w:r w:rsidRPr="00070ADE">
        <w:rPr>
          <w:rStyle w:val="670"/>
          <w:rFonts w:ascii="Times New Roman" w:hAnsi="Times New Roman" w:cs="Times New Roman"/>
          <w:color w:val="000000" w:themeColor="text1"/>
          <w:sz w:val="16"/>
          <w:szCs w:val="16"/>
        </w:rPr>
        <w:softHyphen/>
        <w:t>ного вентилятора на крыше рубки. Нередко можно слышать версию о том, что он был на самых ранних машинах, но на самом деле их ставили, наоборот, на СУ-85А самого поздне</w:t>
      </w:r>
      <w:r w:rsidRPr="00070ADE">
        <w:rPr>
          <w:rStyle w:val="670"/>
          <w:rFonts w:ascii="Times New Roman" w:hAnsi="Times New Roman" w:cs="Times New Roman"/>
          <w:color w:val="000000" w:themeColor="text1"/>
          <w:sz w:val="16"/>
          <w:szCs w:val="16"/>
        </w:rPr>
        <w:softHyphen/>
        <w:t>го периода выпуска. Когда именно ввели вентилятор, неизвестно, можно лишь гово</w:t>
      </w:r>
      <w:r w:rsidRPr="00070ADE">
        <w:rPr>
          <w:rStyle w:val="670"/>
          <w:rFonts w:ascii="Times New Roman" w:hAnsi="Times New Roman" w:cs="Times New Roman"/>
          <w:color w:val="000000" w:themeColor="text1"/>
          <w:sz w:val="16"/>
          <w:szCs w:val="16"/>
        </w:rPr>
        <w:softHyphen/>
        <w:t>рить о том, что произошло это летом 1944 года. Попадаются машины с вытяжным вен</w:t>
      </w:r>
      <w:r w:rsidRPr="00070ADE">
        <w:rPr>
          <w:rStyle w:val="670"/>
          <w:rFonts w:ascii="Times New Roman" w:hAnsi="Times New Roman" w:cs="Times New Roman"/>
          <w:color w:val="000000" w:themeColor="text1"/>
          <w:sz w:val="16"/>
          <w:szCs w:val="16"/>
        </w:rPr>
        <w:softHyphen/>
        <w:t>тилятором очень редко (19889).</w:t>
      </w:r>
    </w:p>
    <w:p w14:paraId="061579A2" w14:textId="77777777" w:rsidR="002D2C83" w:rsidRPr="00070ADE" w:rsidRDefault="002D2C83" w:rsidP="00B56F90">
      <w:pPr>
        <w:spacing w:after="0" w:line="240" w:lineRule="auto"/>
        <w:jc w:val="both"/>
        <w:rPr>
          <w:rFonts w:ascii="Times New Roman" w:hAnsi="Times New Roman"/>
          <w:color w:val="000000" w:themeColor="text1"/>
          <w:sz w:val="16"/>
          <w:szCs w:val="16"/>
        </w:rPr>
      </w:pPr>
    </w:p>
    <w:p w14:paraId="6CE2C421"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весну 1944 года пришелся новый виток развития советских тяжелых танков. Поначалу существовало два направления - развитие тяжелого танка ИС-2 и создание нового тяжелого танка Объект 701. Далее число направлений увеличилось. Завод №100 занялся созданием тяжелого танка ИС-6, а модернизация ИС-2 легла на плечи СКБ-2 Челябинского Кировского Завода. В июле-сентябре 1944 года был разработан и построен опытный образец модернизированного ИС-2. Проснулись и на заводе №100, создав осенью 1944 года проект модернизации, получивший обозначение ИС-2У. Но фаворитом оказалась другая машина. Ей стал "Кировец-1", дальнейшее развитие темы модернизации ИС-2. Этот танк стал прямым предшественником ИС-3, также в его конструкции применили некоторые решения, позже реализованные в серийном ИС-4 (23473).</w:t>
      </w:r>
    </w:p>
    <w:p w14:paraId="528B0F69" w14:textId="77777777" w:rsidR="007938E2" w:rsidRPr="00070ADE" w:rsidRDefault="007938E2" w:rsidP="00B56F90">
      <w:pPr>
        <w:spacing w:after="0" w:line="240" w:lineRule="auto"/>
        <w:jc w:val="both"/>
        <w:rPr>
          <w:rFonts w:ascii="Times New Roman" w:hAnsi="Times New Roman"/>
          <w:color w:val="000000" w:themeColor="text1"/>
          <w:sz w:val="16"/>
          <w:szCs w:val="16"/>
        </w:rPr>
      </w:pPr>
    </w:p>
    <w:p w14:paraId="2F932D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началось восстановление ЛКЗ. В ходе блокады завод понес большие потери, были разрушены цеха, тысячи рабочих, которых не успели эвакуировать, умерли от голода и холода, погибли под бомба</w:t>
      </w:r>
      <w:r w:rsidRPr="00070ADE">
        <w:rPr>
          <w:rFonts w:ascii="Times New Roman" w:hAnsi="Times New Roman"/>
          <w:color w:val="000000" w:themeColor="text1"/>
          <w:sz w:val="16"/>
          <w:szCs w:val="16"/>
        </w:rPr>
        <w:softHyphen/>
        <w:t>ми и снарядами. Несмотря на это, преодолевая неимоверные трудности, коллектив ЛКЗ все же смог до 9 мая 1945 г. выпустить 5 танков ИС-2. Всего же в годы Великой Отечественной войны было выпущено 107 танков ИС-1 и 3385 танков ИС-2 (10703).</w:t>
      </w:r>
    </w:p>
    <w:p w14:paraId="3C4E6A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621F58" w14:textId="77777777" w:rsidR="00D4630C" w:rsidRPr="00070ADE" w:rsidRDefault="00D4630C" w:rsidP="00B56F90">
      <w:pPr>
        <w:pStyle w:val="ae"/>
        <w:shd w:val="clear" w:color="auto" w:fill="FFFFFF"/>
        <w:spacing w:before="0" w:after="0"/>
        <w:jc w:val="both"/>
        <w:rPr>
          <w:color w:val="000000" w:themeColor="text1"/>
          <w:sz w:val="16"/>
          <w:szCs w:val="16"/>
        </w:rPr>
      </w:pPr>
      <w:r w:rsidRPr="00070ADE">
        <w:rPr>
          <w:color w:val="000000" w:themeColor="text1"/>
          <w:sz w:val="16"/>
          <w:szCs w:val="16"/>
        </w:rPr>
        <w:t xml:space="preserve">Весной 1944 года коллектив завода №100 вместо того, чтобы работать над модернизацией ИС-2, начал разработку своего перспективного танка, позже получившего индекс ИС-6. Эта машина разрабатывалась в плотном взаимодействии с НИИ-48, который как раз и продвигал концепцию использования брони с рациональными углами наклона бронелистов. Чтобы информация по ИС-6 не «всплыла» раньше времени, работы шли в режиме строгой секретности. На заводе для них выделили специальную комнату, куда пускали только отдельных сотрудников КБ (Шашмурина, Нейдмана, Турчанинова, Мицкевича и других) и самого Котина. При этом туда не пускали, например, старшего военпреда завода №100 Вовка, который в апреле 1944 года поднял шум по этому поводу. Проект ИС-6 (Объект 252) с переработанным корпусом и башней, датирован концом ноября 1944 года. Именно он лег в основу будущего Объекта 257(17209). </w:t>
      </w:r>
    </w:p>
    <w:p w14:paraId="7A593367" w14:textId="77777777" w:rsidR="00D4630C" w:rsidRPr="00070ADE" w:rsidRDefault="00D4630C" w:rsidP="00B56F90">
      <w:pPr>
        <w:pStyle w:val="ae"/>
        <w:shd w:val="clear" w:color="auto" w:fill="FFFFFF"/>
        <w:spacing w:before="0" w:after="0"/>
        <w:jc w:val="both"/>
        <w:rPr>
          <w:color w:val="000000" w:themeColor="text1"/>
          <w:sz w:val="16"/>
          <w:szCs w:val="16"/>
        </w:rPr>
      </w:pPr>
    </w:p>
    <w:p w14:paraId="4B15FEB6" w14:textId="77777777" w:rsidR="00222A2A" w:rsidRPr="00070ADE" w:rsidRDefault="00222A2A"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Весной 1944 года на Кировском заводе в башне одного КВ-85 установили 122-мм пушку Д-25. Изготовление этого образца было связано с изучением вопроса о пере</w:t>
      </w:r>
      <w:r w:rsidRPr="00070ADE">
        <w:rPr>
          <w:rFonts w:ascii="Times New Roman" w:cs="Times New Roman"/>
          <w:color w:val="000000" w:themeColor="text1"/>
          <w:spacing w:val="0"/>
        </w:rPr>
        <w:softHyphen/>
        <w:t>вооружении танков КВ-85 более мощной артсистемой. Боекомплект этого танка, по</w:t>
      </w:r>
      <w:r w:rsidRPr="00070ADE">
        <w:rPr>
          <w:rFonts w:ascii="Times New Roman" w:cs="Times New Roman"/>
          <w:color w:val="000000" w:themeColor="text1"/>
          <w:spacing w:val="0"/>
        </w:rPr>
        <w:softHyphen/>
        <w:t xml:space="preserve">лучившего обозначение </w:t>
      </w:r>
      <w:r w:rsidRPr="00070ADE">
        <w:rPr>
          <w:rFonts w:ascii="Times New Roman" w:cs="Times New Roman"/>
          <w:color w:val="000000" w:themeColor="text1"/>
          <w:spacing w:val="0"/>
          <w:lang w:val="en-US"/>
        </w:rPr>
        <w:t>KB</w:t>
      </w:r>
      <w:r w:rsidRPr="00070ADE">
        <w:rPr>
          <w:rFonts w:ascii="Times New Roman" w:cs="Times New Roman"/>
          <w:color w:val="000000" w:themeColor="text1"/>
          <w:spacing w:val="0"/>
        </w:rPr>
        <w:t>-122, составлял 28 выстрелов раздельно-гильзового заряжа</w:t>
      </w:r>
      <w:r w:rsidRPr="00070ADE">
        <w:rPr>
          <w:rFonts w:ascii="Times New Roman" w:cs="Times New Roman"/>
          <w:color w:val="000000" w:themeColor="text1"/>
          <w:spacing w:val="0"/>
        </w:rPr>
        <w:softHyphen/>
        <w:t>ния, 37 дисков к пулемету ДТ (2331 патрон) и 25 гранат Ф-1. Углы обстрела артсистемы по вертикали составляли от -3 до +20 гра</w:t>
      </w:r>
      <w:r w:rsidRPr="00070ADE">
        <w:rPr>
          <w:rFonts w:ascii="Times New Roman" w:cs="Times New Roman"/>
          <w:color w:val="000000" w:themeColor="text1"/>
          <w:spacing w:val="0"/>
        </w:rPr>
        <w:softHyphen/>
        <w:t>дусов. После испытаний был сделан вывод о не</w:t>
      </w:r>
      <w:r w:rsidRPr="00070ADE">
        <w:rPr>
          <w:rFonts w:ascii="Times New Roman" w:cs="Times New Roman"/>
          <w:color w:val="000000" w:themeColor="text1"/>
          <w:spacing w:val="0"/>
        </w:rPr>
        <w:softHyphen/>
        <w:t>целесообразности перевооружения КВ-85 — для этого машины пришлось бы возвращать с фронта на завод. К тому же КВ-85 было из</w:t>
      </w:r>
      <w:r w:rsidRPr="00070ADE">
        <w:rPr>
          <w:rFonts w:ascii="Times New Roman" w:cs="Times New Roman"/>
          <w:color w:val="000000" w:themeColor="text1"/>
          <w:spacing w:val="0"/>
        </w:rPr>
        <w:softHyphen/>
        <w:t>готовлено немного, а Кировский завод к это</w:t>
      </w:r>
      <w:r w:rsidRPr="00070ADE">
        <w:rPr>
          <w:rFonts w:ascii="Times New Roman" w:cs="Times New Roman"/>
          <w:color w:val="000000" w:themeColor="text1"/>
          <w:spacing w:val="0"/>
        </w:rPr>
        <w:softHyphen/>
        <w:t>му времени серийно производил танки ИС-2 со 122-мм пушкой Д-25</w:t>
      </w:r>
    </w:p>
    <w:p w14:paraId="25D9758B" w14:textId="77777777" w:rsidR="00222A2A" w:rsidRPr="00070ADE" w:rsidRDefault="00222A2A" w:rsidP="00B56F90">
      <w:pPr>
        <w:spacing w:after="0" w:line="240" w:lineRule="auto"/>
        <w:jc w:val="both"/>
        <w:rPr>
          <w:rFonts w:ascii="Times New Roman" w:hAnsi="Times New Roman"/>
          <w:color w:val="000000" w:themeColor="text1"/>
          <w:sz w:val="16"/>
          <w:szCs w:val="16"/>
        </w:rPr>
      </w:pPr>
    </w:p>
    <w:p w14:paraId="227F1EC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весны 1944 г. даже в документах НКТП танки ИС-85 все чаще именовались ИС-1, а ИС-122 - ИС-2. Поэтому соз</w:t>
      </w:r>
      <w:r w:rsidRPr="00070ADE">
        <w:rPr>
          <w:rFonts w:ascii="Times New Roman" w:hAnsi="Times New Roman"/>
          <w:color w:val="000000" w:themeColor="text1"/>
          <w:sz w:val="16"/>
          <w:szCs w:val="16"/>
        </w:rPr>
        <w:softHyphen/>
        <w:t>даваемые танки должны были получить индексы ИС-3 («Объект 244») и ИС-4 («Объект 245»). Однако ЦАКБ не подало в срок 100-мм танковую пушку С-34, поэтому по ини</w:t>
      </w:r>
      <w:r w:rsidRPr="00070ADE">
        <w:rPr>
          <w:rFonts w:ascii="Times New Roman" w:hAnsi="Times New Roman"/>
          <w:color w:val="000000" w:themeColor="text1"/>
          <w:sz w:val="16"/>
          <w:szCs w:val="16"/>
        </w:rPr>
        <w:softHyphen/>
        <w:t>циативе ОКБ № 9 (Ф.Петров) Ж. Котин принял решение, что ИС-4 необходимо вооружить 100-мм танковой пушкой Д-10Т (которую в ОКБ завода № 9 уже переделали из само</w:t>
      </w:r>
      <w:r w:rsidRPr="00070ADE">
        <w:rPr>
          <w:rFonts w:ascii="Times New Roman" w:hAnsi="Times New Roman"/>
          <w:color w:val="000000" w:themeColor="text1"/>
          <w:sz w:val="16"/>
          <w:szCs w:val="16"/>
        </w:rPr>
        <w:softHyphen/>
        <w:t xml:space="preserve">ходной Д-10С и испытали), и потому в планы опытных работ включил именно эту машину под номером «объект 245». Вскоре из наркомата поступил запрос о ходе работ по танку ИС-4* с орудием С-34, которые, естественно, не начинались. Но несмотря на то что С-34 значительно опаздывала в сроке изготовления, после неизменных выяснений отношений </w:t>
      </w:r>
      <w:r w:rsidRPr="00070ADE">
        <w:rPr>
          <w:rFonts w:ascii="Times New Roman" w:hAnsi="Times New Roman"/>
          <w:color w:val="000000" w:themeColor="text1"/>
          <w:sz w:val="16"/>
          <w:szCs w:val="16"/>
        </w:rPr>
        <w:lastRenderedPageBreak/>
        <w:t>ЦАКБ и НКТП, для испытаний указанного орудия был так</w:t>
      </w:r>
      <w:r w:rsidRPr="00070ADE">
        <w:rPr>
          <w:rFonts w:ascii="Times New Roman" w:hAnsi="Times New Roman"/>
          <w:color w:val="000000" w:themeColor="text1"/>
          <w:sz w:val="16"/>
          <w:szCs w:val="16"/>
        </w:rPr>
        <w:softHyphen/>
        <w:t>же выделен танк ИС, а работы по нему включены в план опытных работ, но уже под индексом ИС-5 («Объект 248»).</w:t>
      </w:r>
    </w:p>
    <w:p w14:paraId="01CC84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изготовлением ИС-3 («Объект 244») никаких проблем не было. Один из опытных танков ИС-85 был оснащен ору</w:t>
      </w:r>
      <w:r w:rsidRPr="00070ADE">
        <w:rPr>
          <w:rFonts w:ascii="Times New Roman" w:hAnsi="Times New Roman"/>
          <w:color w:val="000000" w:themeColor="text1"/>
          <w:sz w:val="16"/>
          <w:szCs w:val="16"/>
        </w:rPr>
        <w:softHyphen/>
        <w:t>дием. Д-5Т-85БМ (по конструкции аналогичным Д-5С-85БМ) и отправлен на испытания. Но никаких практических преимуществ применение этого орудия в танке не дало, начальная скорость снаряда де-факто не превышала 900 м/с, и бронепробиваемость не достигла величины, указанной в за</w:t>
      </w:r>
      <w:r w:rsidRPr="00070ADE">
        <w:rPr>
          <w:rFonts w:ascii="Times New Roman" w:hAnsi="Times New Roman"/>
          <w:color w:val="000000" w:themeColor="text1"/>
          <w:sz w:val="16"/>
          <w:szCs w:val="16"/>
        </w:rPr>
        <w:softHyphen/>
        <w:t>дании. При стрельбе наблюдался надрыв дульной части гильз, прорыв газов назад через отверстие в капсюльной втулке, чрезмерная длина отката, вытекание стеола из накат</w:t>
      </w:r>
      <w:r w:rsidRPr="00070ADE">
        <w:rPr>
          <w:rFonts w:ascii="Times New Roman" w:hAnsi="Times New Roman"/>
          <w:color w:val="000000" w:themeColor="text1"/>
          <w:sz w:val="16"/>
          <w:szCs w:val="16"/>
        </w:rPr>
        <w:softHyphen/>
        <w:t>ника, резкий накат с ударом подвижной части орудия в его заключительной фазе. Танк был отвергнут.</w:t>
      </w:r>
    </w:p>
    <w:p w14:paraId="1E03CB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Следующие два танка в переписке по наркомату разраба</w:t>
      </w:r>
      <w:r w:rsidRPr="00070ADE">
        <w:rPr>
          <w:rFonts w:ascii="Times New Roman" w:hAnsi="Times New Roman"/>
          <w:color w:val="000000" w:themeColor="text1"/>
          <w:sz w:val="16"/>
          <w:szCs w:val="16"/>
        </w:rPr>
        <w:softHyphen/>
        <w:t>тывались под рабочим индексом ИС-100. Собственно перво</w:t>
      </w:r>
      <w:r w:rsidRPr="00070ADE">
        <w:rPr>
          <w:rFonts w:ascii="Times New Roman" w:hAnsi="Times New Roman"/>
          <w:color w:val="000000" w:themeColor="text1"/>
          <w:sz w:val="16"/>
          <w:szCs w:val="16"/>
        </w:rPr>
        <w:softHyphen/>
        <w:t>начально ГКО предполагало изготовить ИС-100, вооружен</w:t>
      </w:r>
      <w:r w:rsidRPr="00070ADE">
        <w:rPr>
          <w:rFonts w:ascii="Times New Roman" w:hAnsi="Times New Roman"/>
          <w:color w:val="000000" w:themeColor="text1"/>
          <w:sz w:val="16"/>
          <w:szCs w:val="16"/>
        </w:rPr>
        <w:softHyphen/>
        <w:t>ный орудием С-34 ЦАКБ, но В. Грабин, как обычно, увлекся улучшениями без предварительного согласования с танко</w:t>
      </w:r>
      <w:r w:rsidRPr="00070ADE">
        <w:rPr>
          <w:rFonts w:ascii="Times New Roman" w:hAnsi="Times New Roman"/>
          <w:color w:val="000000" w:themeColor="text1"/>
          <w:sz w:val="16"/>
          <w:szCs w:val="16"/>
        </w:rPr>
        <w:softHyphen/>
        <w:t>строителями. Для удобства заряжания он предусмотрел раз</w:t>
      </w:r>
      <w:r w:rsidRPr="00070ADE">
        <w:rPr>
          <w:rFonts w:ascii="Times New Roman" w:hAnsi="Times New Roman"/>
          <w:color w:val="000000" w:themeColor="text1"/>
          <w:sz w:val="16"/>
          <w:szCs w:val="16"/>
        </w:rPr>
        <w:softHyphen/>
        <w:t>мещение заряжающего слева от орудия, соответственно пе</w:t>
      </w:r>
      <w:r w:rsidRPr="00070ADE">
        <w:rPr>
          <w:rFonts w:ascii="Times New Roman" w:hAnsi="Times New Roman"/>
          <w:color w:val="000000" w:themeColor="text1"/>
          <w:sz w:val="16"/>
          <w:szCs w:val="16"/>
        </w:rPr>
        <w:softHyphen/>
        <w:t>ренеся наводчика направо и таким образом установка С-34 в башне танка ИС вдруг потребовала перекомпоновать все боевое отделение, так как место командира танка также дол</w:t>
      </w:r>
      <w:r w:rsidRPr="00070ADE">
        <w:rPr>
          <w:rFonts w:ascii="Times New Roman" w:hAnsi="Times New Roman"/>
          <w:color w:val="000000" w:themeColor="text1"/>
          <w:sz w:val="16"/>
          <w:szCs w:val="16"/>
        </w:rPr>
        <w:softHyphen/>
        <w:t>жно перекочевать с левого борта на правый. Для этого требовалось разработать новые приспособления и инструмент, из</w:t>
      </w:r>
      <w:r w:rsidRPr="00070ADE">
        <w:rPr>
          <w:rFonts w:ascii="Times New Roman" w:hAnsi="Times New Roman"/>
          <w:color w:val="000000" w:themeColor="text1"/>
          <w:sz w:val="16"/>
          <w:szCs w:val="16"/>
        </w:rPr>
        <w:softHyphen/>
        <w:t>менить литейную форму, разработать новое ВКУ. Понятно, что в условиях цейтнота все это танкостроителям категори</w:t>
      </w:r>
      <w:r w:rsidRPr="00070ADE">
        <w:rPr>
          <w:rFonts w:ascii="Times New Roman" w:hAnsi="Times New Roman"/>
          <w:color w:val="000000" w:themeColor="text1"/>
          <w:sz w:val="16"/>
          <w:szCs w:val="16"/>
        </w:rPr>
        <w:softHyphen/>
        <w:t>чески не нравилось. Тем более что доводка С-34 чрезмерно затянулась. Поэтому кировцы больше стояли за вооружение ИС-100 по предложению ОКБ завода № 9 100-мм уже испы</w:t>
      </w:r>
      <w:r w:rsidRPr="00070ADE">
        <w:rPr>
          <w:rFonts w:ascii="Times New Roman" w:hAnsi="Times New Roman"/>
          <w:color w:val="000000" w:themeColor="text1"/>
          <w:sz w:val="16"/>
          <w:szCs w:val="16"/>
        </w:rPr>
        <w:softHyphen/>
        <w:t>танным орудием Д-10Т. Но после некоторой не вполне веж</w:t>
      </w:r>
      <w:r w:rsidRPr="00070ADE">
        <w:rPr>
          <w:rFonts w:ascii="Times New Roman" w:hAnsi="Times New Roman"/>
          <w:color w:val="000000" w:themeColor="text1"/>
          <w:sz w:val="16"/>
          <w:szCs w:val="16"/>
        </w:rPr>
        <w:softHyphen/>
        <w:t>ливой переписки руководителя ЦАКБ с наркоматом, в кото</w:t>
      </w:r>
      <w:r w:rsidRPr="00070ADE">
        <w:rPr>
          <w:rFonts w:ascii="Times New Roman" w:hAnsi="Times New Roman"/>
          <w:color w:val="000000" w:themeColor="text1"/>
          <w:sz w:val="16"/>
          <w:szCs w:val="16"/>
        </w:rPr>
        <w:softHyphen/>
        <w:t>рую были включены и «силовые факторы» в лице куратора НКВ Л. Берия, им пришлось изготавливать оба варианта.</w:t>
      </w:r>
    </w:p>
    <w:p w14:paraId="12A51B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ИС-4 («Объект 245») представлял собой обычный серий</w:t>
      </w:r>
      <w:r w:rsidRPr="00070ADE">
        <w:rPr>
          <w:rFonts w:ascii="Times New Roman" w:hAnsi="Times New Roman"/>
          <w:color w:val="000000" w:themeColor="text1"/>
          <w:sz w:val="16"/>
          <w:szCs w:val="16"/>
        </w:rPr>
        <w:softHyphen/>
        <w:t>ный ИС-122, оснащенный 100-мм пушкой Д-1 ОТ был похож на конкурента ИС-5 («Объект 248») со 100-сс орудием С-34, как зеркальное отражение, так как у последнего маск-уста-новка орудия была «перевернута» (спаренный пулемет и ору</w:t>
      </w:r>
      <w:r w:rsidRPr="00070ADE">
        <w:rPr>
          <w:rFonts w:ascii="Times New Roman" w:hAnsi="Times New Roman"/>
          <w:color w:val="000000" w:themeColor="text1"/>
          <w:sz w:val="16"/>
          <w:szCs w:val="16"/>
        </w:rPr>
        <w:softHyphen/>
        <w:t>дийный прицел поменялись местами, так как наводчик раз</w:t>
      </w:r>
      <w:r w:rsidRPr="00070ADE">
        <w:rPr>
          <w:rFonts w:ascii="Times New Roman" w:hAnsi="Times New Roman"/>
          <w:color w:val="000000" w:themeColor="text1"/>
          <w:sz w:val="16"/>
          <w:szCs w:val="16"/>
        </w:rPr>
        <w:softHyphen/>
        <w:t>мещался теперь справа от казенной части), а также коман</w:t>
      </w:r>
      <w:r w:rsidRPr="00070ADE">
        <w:rPr>
          <w:rFonts w:ascii="Times New Roman" w:hAnsi="Times New Roman"/>
          <w:color w:val="000000" w:themeColor="text1"/>
          <w:sz w:val="16"/>
          <w:szCs w:val="16"/>
        </w:rPr>
        <w:softHyphen/>
        <w:t>дорская башенка с рабочим местом командира была тоже перенесена на правую сторону крыши башни. В башне помимо наводчика, командира и заряжающего, должен был размес</w:t>
      </w:r>
      <w:r w:rsidRPr="00070ADE">
        <w:rPr>
          <w:rFonts w:ascii="Times New Roman" w:hAnsi="Times New Roman"/>
          <w:color w:val="000000" w:themeColor="text1"/>
          <w:sz w:val="16"/>
          <w:szCs w:val="16"/>
        </w:rPr>
        <w:softHyphen/>
        <w:t>титься также механический досылатель выстрела, а впослед</w:t>
      </w:r>
      <w:r w:rsidRPr="00070ADE">
        <w:rPr>
          <w:rFonts w:ascii="Times New Roman" w:hAnsi="Times New Roman"/>
          <w:color w:val="000000" w:themeColor="text1"/>
          <w:sz w:val="16"/>
          <w:szCs w:val="16"/>
        </w:rPr>
        <w:softHyphen/>
        <w:t>ствии предполагалось установить и стабилизатор прицела. Но на испытания они поданы не были. Кроме того, выясни</w:t>
      </w:r>
      <w:r w:rsidRPr="00070ADE">
        <w:rPr>
          <w:rFonts w:ascii="Times New Roman" w:hAnsi="Times New Roman"/>
          <w:color w:val="000000" w:themeColor="text1"/>
          <w:sz w:val="16"/>
          <w:szCs w:val="16"/>
        </w:rPr>
        <w:softHyphen/>
        <w:t>лось, что для нормальной работы досылателя требовалось увеличить длину башни на 200-300 мм, против чего возражал не только завод, но и наркомат в целом. И хоть В. Грабин, требуя, чтобы танкостроители изготовили башню, специаль</w:t>
      </w:r>
      <w:r w:rsidRPr="00070ADE">
        <w:rPr>
          <w:rFonts w:ascii="Times New Roman" w:hAnsi="Times New Roman"/>
          <w:color w:val="000000" w:themeColor="text1"/>
          <w:sz w:val="16"/>
          <w:szCs w:val="16"/>
        </w:rPr>
        <w:softHyphen/>
        <w:t>но приспособленную для С-34, подключил «артиллерию» са</w:t>
      </w:r>
      <w:r w:rsidRPr="00070ADE">
        <w:rPr>
          <w:rFonts w:ascii="Times New Roman" w:hAnsi="Times New Roman"/>
          <w:color w:val="000000" w:themeColor="text1"/>
          <w:sz w:val="16"/>
          <w:szCs w:val="16"/>
        </w:rPr>
        <w:softHyphen/>
        <w:t>мого высокого ранга, анализ габаритов изделия показал, что башня-получалась чрезмерно большой, что не позволяло от</w:t>
      </w:r>
      <w:r w:rsidRPr="00070ADE">
        <w:rPr>
          <w:rFonts w:ascii="Times New Roman" w:hAnsi="Times New Roman"/>
          <w:color w:val="000000" w:themeColor="text1"/>
          <w:sz w:val="16"/>
          <w:szCs w:val="16"/>
        </w:rPr>
        <w:softHyphen/>
        <w:t>ливать ее без модернизации производства.</w:t>
      </w:r>
    </w:p>
    <w:p w14:paraId="631BB8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 не менее первые совместные испытания танков ИС-4 и ИС-5 оказались неудачными для обоих во всех от</w:t>
      </w:r>
      <w:r w:rsidRPr="00070ADE">
        <w:rPr>
          <w:rFonts w:ascii="Times New Roman" w:hAnsi="Times New Roman"/>
          <w:color w:val="000000" w:themeColor="text1"/>
          <w:sz w:val="16"/>
          <w:szCs w:val="16"/>
        </w:rPr>
        <w:softHyphen/>
        <w:t>ношениях. Конструкция орудийной люльки была недоста</w:t>
      </w:r>
      <w:r w:rsidRPr="00070ADE">
        <w:rPr>
          <w:rFonts w:ascii="Times New Roman" w:hAnsi="Times New Roman"/>
          <w:color w:val="000000" w:themeColor="text1"/>
          <w:sz w:val="16"/>
          <w:szCs w:val="16"/>
        </w:rPr>
        <w:softHyphen/>
        <w:t>точно прочной, «плакали» противооткатные приспособле</w:t>
      </w:r>
      <w:r w:rsidRPr="00070ADE">
        <w:rPr>
          <w:rFonts w:ascii="Times New Roman" w:hAnsi="Times New Roman"/>
          <w:color w:val="000000" w:themeColor="text1"/>
          <w:sz w:val="16"/>
          <w:szCs w:val="16"/>
        </w:rPr>
        <w:softHyphen/>
        <w:t>ния. Танки были забракованы, но работникам полигона больше понравился ИС-5, как обеспечивший лучшие усло</w:t>
      </w:r>
      <w:r w:rsidRPr="00070ADE">
        <w:rPr>
          <w:rFonts w:ascii="Times New Roman" w:hAnsi="Times New Roman"/>
          <w:color w:val="000000" w:themeColor="text1"/>
          <w:sz w:val="16"/>
          <w:szCs w:val="16"/>
        </w:rPr>
        <w:softHyphen/>
        <w:t>вия работы заряжающего (11135).</w:t>
      </w:r>
    </w:p>
    <w:p w14:paraId="397CA5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E9A1F0" w14:textId="77777777" w:rsidR="00443DE6" w:rsidRPr="00070ADE" w:rsidRDefault="00443DE6"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Весной 1944 года в последний раз была предпринята попытка усиления огневой мощи КВ-85. Эта работа велась в инициативном порядке, причём неизвестно, кто именно являлся идейным вдохновителем проекта. Документы по этой теме очень немногочисленны. Получившаяся машина известна под условным наименованием КВ-122, но присваивалось ли оно ей в реальности — не ясно. Согласно имеющимся данным, ведущим инженером-конструктором этого танка являлся А.С. Шнейдман. Рецепт его изготовления оказался простым: на шасси опытного образца Объекта 239 была установлена серийная башня от ИС-2 с пушкой Д-25, оснащённой клиновым затвором. Такие башни ИС-2 стали получать не раньше февраля 1943 года.</w:t>
      </w:r>
    </w:p>
    <w:p w14:paraId="06F67FB5" w14:textId="77777777" w:rsidR="00443DE6" w:rsidRPr="00070ADE" w:rsidRDefault="00443DE6"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Вызывает сомнения информация о массе перевооружённого КВ-85, согласно которой разница с Объектом 239 составляла всего полтонны. Если судить по разнице между ИС-1 и ИС-2, то в реальности боевая масса КВ-122 должна была составлять порядка 47 тонн.</w:t>
      </w:r>
    </w:p>
    <w:p w14:paraId="398DFE9F" w14:textId="77777777" w:rsidR="00443DE6" w:rsidRPr="00070ADE" w:rsidRDefault="00443DE6" w:rsidP="00B56F90">
      <w:pPr>
        <w:pStyle w:val="ae"/>
        <w:shd w:val="clear" w:color="auto" w:fill="FFFFFF"/>
        <w:spacing w:before="0" w:after="0"/>
        <w:jc w:val="both"/>
        <w:rPr>
          <w:color w:val="000000" w:themeColor="text1"/>
          <w:sz w:val="16"/>
          <w:szCs w:val="16"/>
        </w:rPr>
      </w:pPr>
      <w:r w:rsidRPr="00070ADE">
        <w:rPr>
          <w:color w:val="000000" w:themeColor="text1"/>
          <w:sz w:val="16"/>
          <w:szCs w:val="16"/>
        </w:rPr>
        <w:t>Эта инициатива с самого начала была обречена на провал. После переделки танка существенно увеличивалась его боевая масса, что повлекло за собой снижение подвижности и надёжности. Кроме того, особого смысла в таком перевооружении не было. К весне 1944 года было потеряно уже не менее половины построенных КВ-85, и начинать программу перевооружения небольшого числа оставшихся танков не имело никакого смысла. До Главного управления ремонта танков КА, которое обычно являлось заказчиком подобных переделок, КВ-122 даже не добрался.</w:t>
      </w:r>
    </w:p>
    <w:p w14:paraId="176DF8A0" w14:textId="77777777" w:rsidR="00443DE6" w:rsidRPr="00070ADE" w:rsidRDefault="00443DE6"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отличие от системы С-28, которой всерьёз планировалось перевооружать КВ-1с, о подобных планах в отношении инициативной разработки ЧКЗ нет ни строчки. Да и сколь-нибудь подробной информации о самой машине тоже не осталось. Согласно воспоминаниям Н.Ф, Шашмурина, Котин приказал изъять и уничтожить любую информацию по КВ-122.</w:t>
      </w:r>
    </w:p>
    <w:p w14:paraId="70E7C3F3" w14:textId="77777777" w:rsidR="00443DE6" w:rsidRPr="00070ADE" w:rsidRDefault="00443DE6" w:rsidP="00B56F90">
      <w:pPr>
        <w:pStyle w:val="ae"/>
        <w:shd w:val="clear" w:color="auto" w:fill="FFFFFF"/>
        <w:spacing w:before="0" w:after="0"/>
        <w:jc w:val="both"/>
        <w:rPr>
          <w:color w:val="000000" w:themeColor="text1"/>
          <w:sz w:val="16"/>
          <w:szCs w:val="16"/>
        </w:rPr>
      </w:pPr>
      <w:r w:rsidRPr="00070ADE">
        <w:rPr>
          <w:color w:val="000000" w:themeColor="text1"/>
          <w:sz w:val="16"/>
          <w:szCs w:val="16"/>
        </w:rPr>
        <w:t xml:space="preserve">В результате до наших дней дожило всего несколько фото и обрывки информации. И, как ни странно, сам КВ-122. Нижняя его часть в виде шасси </w:t>
      </w:r>
      <w:hyperlink r:id="rId158" w:history="1">
        <w:r w:rsidRPr="00070ADE">
          <w:rPr>
            <w:rStyle w:val="a5"/>
            <w:color w:val="000000" w:themeColor="text1"/>
            <w:sz w:val="16"/>
            <w:szCs w:val="16"/>
            <w:u w:val="none"/>
          </w:rPr>
          <w:t>Объекта 239</w:t>
        </w:r>
      </w:hyperlink>
      <w:r w:rsidRPr="00070ADE">
        <w:rPr>
          <w:color w:val="000000" w:themeColor="text1"/>
          <w:sz w:val="16"/>
          <w:szCs w:val="16"/>
        </w:rPr>
        <w:t xml:space="preserve"> стоит в районе Автово. А верхняя часть, то есть башня с вооружением, красуется на территории Кировского завода. Её поставили на шасси одного из </w:t>
      </w:r>
      <w:hyperlink r:id="rId159" w:history="1">
        <w:r w:rsidRPr="00070ADE">
          <w:rPr>
            <w:rStyle w:val="a5"/>
            <w:color w:val="000000" w:themeColor="text1"/>
            <w:sz w:val="16"/>
            <w:szCs w:val="16"/>
            <w:u w:val="none"/>
          </w:rPr>
          <w:t>Объектов 237</w:t>
        </w:r>
      </w:hyperlink>
      <w:r w:rsidRPr="00070ADE">
        <w:rPr>
          <w:color w:val="000000" w:themeColor="text1"/>
          <w:sz w:val="16"/>
          <w:szCs w:val="16"/>
        </w:rPr>
        <w:t>. Знал ли Котин, что каждый раз, проходя мимо этого «ИС-2» на постаменте, он видел башню той самой машины, информацию о которой он приказал уничтожить, — неизвестно (17722).</w:t>
      </w:r>
    </w:p>
    <w:p w14:paraId="06553977" w14:textId="77777777" w:rsidR="00443DE6" w:rsidRPr="00070ADE" w:rsidRDefault="00443DE6" w:rsidP="00B56F90">
      <w:pPr>
        <w:pStyle w:val="123"/>
        <w:shd w:val="clear" w:color="auto" w:fill="auto"/>
        <w:spacing w:after="0" w:line="240" w:lineRule="auto"/>
        <w:jc w:val="both"/>
        <w:rPr>
          <w:color w:val="000000" w:themeColor="text1"/>
          <w:sz w:val="16"/>
          <w:szCs w:val="16"/>
        </w:rPr>
      </w:pPr>
    </w:p>
    <w:p w14:paraId="7C411AA8" w14:textId="77777777" w:rsidR="00481C9C" w:rsidRPr="00C94B78" w:rsidRDefault="00481C9C"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Весной 1944 года на Кировском заводе в башне одного КВ-85 установили 122-мм пушку Д-25. Изготовление этого образца было связано с изучением вопроса о пере</w:t>
      </w:r>
      <w:r w:rsidRPr="00C94B78">
        <w:rPr>
          <w:rFonts w:ascii="Times New Roman" w:hAnsi="Times New Roman"/>
          <w:color w:val="0070C0"/>
          <w:sz w:val="16"/>
          <w:szCs w:val="16"/>
        </w:rPr>
        <w:softHyphen/>
        <w:t>вооружении танков КВ-85 более мощной артсистемой. Боекомплект этого танка, по</w:t>
      </w:r>
      <w:r w:rsidRPr="00C94B78">
        <w:rPr>
          <w:rFonts w:ascii="Times New Roman" w:hAnsi="Times New Roman"/>
          <w:color w:val="0070C0"/>
          <w:sz w:val="16"/>
          <w:szCs w:val="16"/>
        </w:rPr>
        <w:softHyphen/>
        <w:t>лучившего обозначение КВ-122, составлял 28 выстрелов раздельно-гильзового заряжа</w:t>
      </w:r>
      <w:r w:rsidRPr="00C94B78">
        <w:rPr>
          <w:rFonts w:ascii="Times New Roman" w:hAnsi="Times New Roman"/>
          <w:color w:val="0070C0"/>
          <w:sz w:val="16"/>
          <w:szCs w:val="16"/>
        </w:rPr>
        <w:softHyphen/>
        <w:t>ния, 37 дисков к пулемету ДТ (2331 патрон) и 25 гранат Ф-1. Углы обстрела артсистемы по вертикали составляли от -3 до +20 гра</w:t>
      </w:r>
      <w:r w:rsidRPr="00C94B78">
        <w:rPr>
          <w:rFonts w:ascii="Times New Roman" w:hAnsi="Times New Roman"/>
          <w:color w:val="0070C0"/>
          <w:sz w:val="16"/>
          <w:szCs w:val="16"/>
        </w:rPr>
        <w:softHyphen/>
        <w:t>дусов.</w:t>
      </w:r>
    </w:p>
    <w:p w14:paraId="68A89497" w14:textId="77777777" w:rsidR="00481C9C" w:rsidRPr="00C94B78" w:rsidRDefault="00481C9C"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После испытаний был сделан вывод о не</w:t>
      </w:r>
      <w:r w:rsidRPr="00C94B78">
        <w:rPr>
          <w:rFonts w:ascii="Times New Roman" w:hAnsi="Times New Roman"/>
          <w:color w:val="0070C0"/>
          <w:sz w:val="16"/>
          <w:szCs w:val="16"/>
        </w:rPr>
        <w:softHyphen/>
        <w:t>целесообразности перевооружения КВ-85 - для этого машины пришлось бы возвращать с фронта на завод. К тому же КВ-85 было из</w:t>
      </w:r>
      <w:r w:rsidRPr="00C94B78">
        <w:rPr>
          <w:rFonts w:ascii="Times New Roman" w:hAnsi="Times New Roman"/>
          <w:color w:val="0070C0"/>
          <w:sz w:val="16"/>
          <w:szCs w:val="16"/>
        </w:rPr>
        <w:softHyphen/>
        <w:t>готовлено немного, а Кировский завод к это</w:t>
      </w:r>
      <w:r w:rsidRPr="00C94B78">
        <w:rPr>
          <w:rFonts w:ascii="Times New Roman" w:hAnsi="Times New Roman"/>
          <w:color w:val="0070C0"/>
          <w:sz w:val="16"/>
          <w:szCs w:val="16"/>
        </w:rPr>
        <w:softHyphen/>
        <w:t>му времени серийно производил танки ИС-2 со 122-мм пушкой Д-25 (25011).</w:t>
      </w:r>
    </w:p>
    <w:p w14:paraId="265964E9" w14:textId="77777777" w:rsidR="00481C9C" w:rsidRPr="00C94B78" w:rsidRDefault="00481C9C" w:rsidP="00B56F90">
      <w:pPr>
        <w:spacing w:after="0" w:line="240" w:lineRule="auto"/>
        <w:jc w:val="both"/>
        <w:rPr>
          <w:rFonts w:ascii="Times New Roman" w:hAnsi="Times New Roman"/>
          <w:color w:val="0070C0"/>
          <w:sz w:val="16"/>
          <w:szCs w:val="16"/>
        </w:rPr>
      </w:pPr>
    </w:p>
    <w:p w14:paraId="4E810261" w14:textId="77777777" w:rsidR="00481C9C" w:rsidRPr="00C94B78" w:rsidRDefault="00481C9C"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shd w:val="clear" w:color="auto" w:fill="FFFFFF"/>
        </w:rPr>
        <w:t>Весной 1944 года шасси КВ-85 снова оказалось в центре внимания. На сей раз 122-мм система появилась на танке по совсем иным причинам. Рост броневой защиты немецких танков стал причиной того, что 85-мм орудия стало маловато. Решение проблемы напрашивалась сама собой - поменять башню.</w:t>
      </w:r>
    </w:p>
    <w:p w14:paraId="464524DF" w14:textId="77777777" w:rsidR="00481C9C" w:rsidRPr="00C94B78" w:rsidRDefault="00481C9C" w:rsidP="00B56F90">
      <w:pPr>
        <w:spacing w:after="0" w:line="240" w:lineRule="auto"/>
        <w:jc w:val="both"/>
        <w:rPr>
          <w:rFonts w:ascii="Times New Roman" w:hAnsi="Times New Roman"/>
          <w:color w:val="0070C0"/>
          <w:sz w:val="16"/>
          <w:szCs w:val="16"/>
          <w:shd w:val="clear" w:color="auto" w:fill="FFFFFF"/>
        </w:rPr>
      </w:pPr>
      <w:r w:rsidRPr="00C94B78">
        <w:rPr>
          <w:rFonts w:ascii="Times New Roman" w:hAnsi="Times New Roman"/>
          <w:color w:val="0070C0"/>
          <w:sz w:val="16"/>
          <w:szCs w:val="16"/>
          <w:shd w:val="clear" w:color="auto" w:fill="FFFFFF"/>
        </w:rPr>
        <w:t>В качестве испытательной лаборатории был использован опытный образец объекта 239, который с осени 1943 года стоял без дела. Работы по модернизации проводило не ОКБ завода №100, а СКБ-2 ЧКЗ, ведущим инженером машины стал А.С. Шнейдман, как один из ведущих специалистов по танковому вооружению. Чего-то существенно менять не потребовалось. С шасси Объекта 239 просто сняли башню, после чего водрузили на нее серийную башню ИС-2 производства завода №200 (г. Челябинск), вместе с орудием Д-25Т. Поскольку башенные погоны у КВ-85 и ИС-2 были одинаковыми, никаких проблем для установки не возникло.</w:t>
      </w:r>
    </w:p>
    <w:p w14:paraId="65A44C7C" w14:textId="77777777" w:rsidR="00481C9C" w:rsidRPr="00C94B78" w:rsidRDefault="00481C9C" w:rsidP="00B56F90">
      <w:pPr>
        <w:spacing w:after="0" w:line="240" w:lineRule="auto"/>
        <w:jc w:val="both"/>
        <w:rPr>
          <w:rFonts w:ascii="Times New Roman" w:hAnsi="Times New Roman"/>
          <w:color w:val="0070C0"/>
          <w:sz w:val="16"/>
          <w:szCs w:val="16"/>
          <w:shd w:val="clear" w:color="auto" w:fill="FFFFFF"/>
        </w:rPr>
      </w:pPr>
      <w:r w:rsidRPr="00C94B78">
        <w:rPr>
          <w:rFonts w:ascii="Times New Roman" w:hAnsi="Times New Roman"/>
          <w:color w:val="0070C0"/>
          <w:sz w:val="16"/>
          <w:szCs w:val="16"/>
          <w:shd w:val="clear" w:color="auto" w:fill="FFFFFF"/>
        </w:rPr>
        <w:t>Проблема скорее в другом. Сохранились фотографии КВ-122, но нет ни единой строчки переписки по нему. Неизвестно даже, когда точно был изготовлен этот танк (точнее, переделан из Объекта 239). Почему так произошло, можно понять из воспоминаний Николая Федоровича Шашмурина. По его словам, Ж.Я. Котин дал указание уничтожить все материалы, связанные с танком. Причины прозаичны: к тому моменту КВ-85 осталось слишком мало, а боевая масса КВ-122 достигла бы 47,5-48 тонн. Это уже многовато для такого шасси. К тому же работа была инициативной, шансы схлопотать неприятностей от Малышева выглядели совсем не нулевыми.</w:t>
      </w:r>
    </w:p>
    <w:p w14:paraId="6B172A34" w14:textId="77777777" w:rsidR="00481C9C" w:rsidRPr="00C94B78" w:rsidRDefault="00481C9C"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shd w:val="clear" w:color="auto" w:fill="FFFFFF"/>
        </w:rPr>
        <w:t>Самое интересное в том, что сам танк, в отличие от документов по нему, сохранился. Но по частям. После того, как КВ-122 перестал быть актуальной разработкой, башню с шасси Объекта 239 сняли, вернув на место родную "шляпу", ныне этот танк стоит в Автово. Что же касается башни ИС-2, то она пригодилась для другого танка. После окончания испытаний Объекта 248 (установка на шасси опытного танка Объект 240 башни со 100-мм пушкой С-34) его башню сняли, водрузив на ее место башню КВ-122. Такой вот круговорот бронешляп в Челябинске. Ныне данная комбинация стоит на территории Кировского завода и называется ИС-2. На постамент данная машина встала в 1947 году, причем к ее установке Шашмурин однозначно имел отношение. Иронично, что танк поставили на территории завода, где постоянно появлялся Котин. Вряд ли Жозеф Яковлевич догадывался, что ходит мимо башни танка, о котором он убрал все упоминания. Учитывая непростые отношения между Котиным и Шашмуриным, Николай Федорович вполне мог так "пошутить" (24911).</w:t>
      </w:r>
    </w:p>
    <w:p w14:paraId="72BB0213" w14:textId="77777777" w:rsidR="00481C9C" w:rsidRPr="00C94B78" w:rsidRDefault="00481C9C" w:rsidP="00B56F90">
      <w:pPr>
        <w:spacing w:after="0" w:line="240" w:lineRule="auto"/>
        <w:jc w:val="both"/>
        <w:rPr>
          <w:rFonts w:ascii="Times New Roman" w:hAnsi="Times New Roman"/>
          <w:color w:val="0070C0"/>
          <w:sz w:val="16"/>
          <w:szCs w:val="16"/>
        </w:rPr>
      </w:pPr>
    </w:p>
    <w:p w14:paraId="0E8A4B32" w14:textId="77777777" w:rsidR="00443DE6" w:rsidRPr="00070ADE" w:rsidRDefault="00443DE6"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Весной 1944 года, коллектив завода №100, вместо того чтобы работать над модернизацией ИС-2, начал разработку своего перспективного танка, позже получившего индекс ИС-6. Эта машина разрабатывалась в плотном взаимодействии с НИИ-48, который как раз и продвигал концепцию использования брони с рациональными углами наклона бронелистов. Чтобы информация по ИС-6 не «всплыла» раньше времени, работы шли в режиме строгой секретности. На заводе для них выделили специальную комнату, куда пускали только отдельных сотрудников КБ (Шашмурина, Нейдмана, Турчанинова, Мицкевича и других) и самого Котина. При этом туда не пускали, например, старшего военпреда завода №100 Вовка, который в апреле 1944 года поднял шум по этому поводу (16735).</w:t>
      </w:r>
    </w:p>
    <w:p w14:paraId="6A738325" w14:textId="77777777" w:rsidR="00443DE6" w:rsidRPr="00070ADE" w:rsidRDefault="00443DE6" w:rsidP="00B56F90">
      <w:pPr>
        <w:pStyle w:val="123"/>
        <w:shd w:val="clear" w:color="auto" w:fill="auto"/>
        <w:spacing w:after="0" w:line="240" w:lineRule="auto"/>
        <w:jc w:val="both"/>
        <w:rPr>
          <w:color w:val="000000" w:themeColor="text1"/>
          <w:sz w:val="16"/>
          <w:szCs w:val="16"/>
        </w:rPr>
      </w:pPr>
    </w:p>
    <w:p w14:paraId="3845B195" w14:textId="77777777" w:rsidR="00481C9C" w:rsidRPr="00C94B78" w:rsidRDefault="00481C9C"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Весной 1944 года началось проектирование нового тяжелого танка, полу</w:t>
      </w:r>
      <w:r w:rsidRPr="00C94B78">
        <w:rPr>
          <w:rFonts w:ascii="Times New Roman" w:hAnsi="Times New Roman"/>
          <w:color w:val="0070C0"/>
          <w:sz w:val="16"/>
          <w:szCs w:val="16"/>
        </w:rPr>
        <w:softHyphen/>
        <w:t>чившего позже наименование ИС-3. Побудительный мотив его создания вполне понятен - насущная необходимость модернизации ИС-2, особенно в части броневой защиты, и невозможность осуществить это в рамках существовавшей конструкции (25001).</w:t>
      </w:r>
    </w:p>
    <w:p w14:paraId="64BA653D" w14:textId="77777777" w:rsidR="00481C9C" w:rsidRPr="00C94B78" w:rsidRDefault="00481C9C" w:rsidP="00B56F90">
      <w:pPr>
        <w:spacing w:after="0" w:line="240" w:lineRule="auto"/>
        <w:jc w:val="both"/>
        <w:rPr>
          <w:rFonts w:ascii="Times New Roman" w:hAnsi="Times New Roman"/>
          <w:color w:val="0070C0"/>
          <w:sz w:val="16"/>
          <w:szCs w:val="16"/>
        </w:rPr>
      </w:pPr>
    </w:p>
    <w:p w14:paraId="5DCAB345" w14:textId="77777777" w:rsidR="00481C9C" w:rsidRPr="00C94B78" w:rsidRDefault="00481C9C"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Весной 1944 года постановлением ГКО Челябинскому Киров</w:t>
      </w:r>
      <w:r w:rsidRPr="00C94B78">
        <w:rPr>
          <w:rFonts w:ascii="Times New Roman" w:hAnsi="Times New Roman"/>
          <w:color w:val="0070C0"/>
          <w:sz w:val="16"/>
          <w:szCs w:val="16"/>
        </w:rPr>
        <w:softHyphen/>
        <w:t>скому заводу предписывалось увеличить произ</w:t>
      </w:r>
      <w:r w:rsidRPr="00C94B78">
        <w:rPr>
          <w:rFonts w:ascii="Times New Roman" w:hAnsi="Times New Roman"/>
          <w:color w:val="0070C0"/>
          <w:sz w:val="16"/>
          <w:szCs w:val="16"/>
        </w:rPr>
        <w:softHyphen/>
        <w:t>водство со 150 танков и САУ в феврале до 500 единиц в июле. А что такое 500 танков в месяц? Это 16 танков в день (работали без выходных), то есть каждые 1,5 часа из заводских ворот должен был выходить танк (работали в три смены) (25001).</w:t>
      </w:r>
    </w:p>
    <w:p w14:paraId="444C3D4D" w14:textId="77777777" w:rsidR="00481C9C" w:rsidRPr="00C94B78" w:rsidRDefault="00481C9C" w:rsidP="00B56F90">
      <w:pPr>
        <w:spacing w:after="0" w:line="240" w:lineRule="auto"/>
        <w:jc w:val="both"/>
        <w:rPr>
          <w:rFonts w:ascii="Times New Roman" w:hAnsi="Times New Roman"/>
          <w:color w:val="0070C0"/>
          <w:sz w:val="16"/>
          <w:szCs w:val="16"/>
        </w:rPr>
      </w:pPr>
    </w:p>
    <w:p w14:paraId="6C7B15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Весной 1944 г., когда в адрес ЧКЗ не шло из войск, каза</w:t>
      </w:r>
      <w:r w:rsidRPr="00070ADE">
        <w:rPr>
          <w:rFonts w:ascii="Times New Roman" w:hAnsi="Times New Roman"/>
          <w:color w:val="000000" w:themeColor="text1"/>
          <w:sz w:val="16"/>
          <w:szCs w:val="16"/>
        </w:rPr>
        <w:softHyphen/>
        <w:t>лось бы, ни одного доброго слова, сам по себе всплыл во</w:t>
      </w:r>
      <w:r w:rsidRPr="00070ADE">
        <w:rPr>
          <w:rFonts w:ascii="Times New Roman" w:hAnsi="Times New Roman"/>
          <w:color w:val="000000" w:themeColor="text1"/>
          <w:sz w:val="16"/>
          <w:szCs w:val="16"/>
        </w:rPr>
        <w:softHyphen/>
        <w:t>прос о необходимости модернизации ИС-2. Руководство Челябинского Кировского завода предложило вместо указанного танка проект своего танка «К». Но даже беглый взгляд на конструкцию и смету танка показывал, что он бу</w:t>
      </w:r>
      <w:r w:rsidRPr="00070ADE">
        <w:rPr>
          <w:rFonts w:ascii="Times New Roman" w:hAnsi="Times New Roman"/>
          <w:color w:val="000000" w:themeColor="text1"/>
          <w:sz w:val="16"/>
          <w:szCs w:val="16"/>
        </w:rPr>
        <w:softHyphen/>
        <w:t>дет излишне дорогим и не сможет стать основой всех фор</w:t>
      </w:r>
      <w:r w:rsidRPr="00070ADE">
        <w:rPr>
          <w:rFonts w:ascii="Times New Roman" w:hAnsi="Times New Roman"/>
          <w:color w:val="000000" w:themeColor="text1"/>
          <w:sz w:val="16"/>
          <w:szCs w:val="16"/>
        </w:rPr>
        <w:softHyphen/>
        <w:t>мируемых тяжелых танковых полков. Поэтому «модерниза</w:t>
      </w:r>
      <w:r w:rsidRPr="00070ADE">
        <w:rPr>
          <w:rFonts w:ascii="Times New Roman" w:hAnsi="Times New Roman"/>
          <w:color w:val="000000" w:themeColor="text1"/>
          <w:sz w:val="16"/>
          <w:szCs w:val="16"/>
        </w:rPr>
        <w:softHyphen/>
        <w:t>ция танка ИС первого варианта» была отклонена...(11135).</w:t>
      </w:r>
    </w:p>
    <w:p w14:paraId="48ED3C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3BF0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ОГК ЧКЗ под руководством главного конструк</w:t>
      </w:r>
      <w:r w:rsidRPr="00070ADE">
        <w:rPr>
          <w:rFonts w:ascii="Times New Roman" w:hAnsi="Times New Roman"/>
          <w:color w:val="000000" w:themeColor="text1"/>
          <w:sz w:val="16"/>
          <w:szCs w:val="16"/>
        </w:rPr>
        <w:softHyphen/>
        <w:t>тора Духова предложило модернизировать танк ИС по вто</w:t>
      </w:r>
      <w:r w:rsidRPr="00070ADE">
        <w:rPr>
          <w:rFonts w:ascii="Times New Roman" w:hAnsi="Times New Roman"/>
          <w:color w:val="000000" w:themeColor="text1"/>
          <w:sz w:val="16"/>
          <w:szCs w:val="16"/>
        </w:rPr>
        <w:softHyphen/>
        <w:t>рому варианту. В основу идеи этого варианта модерниза</w:t>
      </w:r>
      <w:r w:rsidRPr="00070ADE">
        <w:rPr>
          <w:rFonts w:ascii="Times New Roman" w:hAnsi="Times New Roman"/>
          <w:color w:val="000000" w:themeColor="text1"/>
          <w:sz w:val="16"/>
          <w:szCs w:val="16"/>
        </w:rPr>
        <w:softHyphen/>
        <w:t>ции были заложены минимизация расходов при устране</w:t>
      </w:r>
      <w:r w:rsidRPr="00070ADE">
        <w:rPr>
          <w:rFonts w:ascii="Times New Roman" w:hAnsi="Times New Roman"/>
          <w:color w:val="000000" w:themeColor="text1"/>
          <w:sz w:val="16"/>
          <w:szCs w:val="16"/>
        </w:rPr>
        <w:softHyphen/>
        <w:t>нии недостатков броневой защиты корпуса и башни.</w:t>
      </w:r>
    </w:p>
    <w:p w14:paraId="26950C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Суть модернизации состояла в следующем:</w:t>
      </w:r>
    </w:p>
    <w:p w14:paraId="3F163A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Резкое улучшение броневой защиты носовой части танка с курсовых углов +30° за счет введения носовой части корпуса сварной конструкции с большими углами наклона.</w:t>
      </w:r>
    </w:p>
    <w:p w14:paraId="52D7AE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Введение новой конструкции башни танка с диффе</w:t>
      </w:r>
      <w:r w:rsidRPr="00070ADE">
        <w:rPr>
          <w:rFonts w:ascii="Times New Roman" w:hAnsi="Times New Roman"/>
          <w:color w:val="000000" w:themeColor="text1"/>
          <w:sz w:val="16"/>
          <w:szCs w:val="16"/>
        </w:rPr>
        <w:softHyphen/>
        <w:t>ренцированным бронированием и надежно забронирован</w:t>
      </w:r>
      <w:r w:rsidRPr="00070ADE">
        <w:rPr>
          <w:rFonts w:ascii="Times New Roman" w:hAnsi="Times New Roman"/>
          <w:color w:val="000000" w:themeColor="text1"/>
          <w:sz w:val="16"/>
          <w:szCs w:val="16"/>
        </w:rPr>
        <w:softHyphen/>
        <w:t>ной лобовой частью.</w:t>
      </w:r>
    </w:p>
    <w:p w14:paraId="374ADE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Вынос топливных баков из отделения управления в моторно-трансмиссионное отделение. ^</w:t>
      </w:r>
    </w:p>
    <w:p w14:paraId="4E54B3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Применение двигателя мощностью 580-620 л.с.</w:t>
      </w:r>
    </w:p>
    <w:p w14:paraId="227BFE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Добавление двух аккумуляторных батарей.</w:t>
      </w:r>
    </w:p>
    <w:p w14:paraId="09D30A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Доработка конструкции главного фрикциона.</w:t>
      </w:r>
    </w:p>
    <w:p w14:paraId="004B3C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Добавление вентилятора обдува трансмиссии.</w:t>
      </w:r>
    </w:p>
    <w:p w14:paraId="6159B9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Бронирование танка предполагалось усилить за счет из</w:t>
      </w:r>
      <w:r w:rsidRPr="00070ADE">
        <w:rPr>
          <w:rFonts w:ascii="Times New Roman" w:hAnsi="Times New Roman"/>
          <w:color w:val="000000" w:themeColor="text1"/>
          <w:sz w:val="16"/>
          <w:szCs w:val="16"/>
        </w:rPr>
        <w:softHyphen/>
        <w:t>готовления полностью сварного корпуса. Его лобовая часть состояла из двух листов, верхнего толщиной 120 мм с углом наклона 60° к вертикали и нижнего - толщиной 90 мм также с углом наклона 60°, что делало нос неуязвимым для обстре</w:t>
      </w:r>
      <w:r w:rsidRPr="00070ADE">
        <w:rPr>
          <w:rFonts w:ascii="Times New Roman" w:hAnsi="Times New Roman"/>
          <w:color w:val="000000" w:themeColor="text1"/>
          <w:sz w:val="16"/>
          <w:szCs w:val="16"/>
        </w:rPr>
        <w:softHyphen/>
        <w:t>ла 88-мм орудия обр. 1943 г. Бортовая броня по конструкции также была подобна Т-34 с надкрылком толщиной 75 мм под углом 60° и экраном толщиной 15 мм. Нижняя же часть бор</w:t>
      </w:r>
      <w:r w:rsidRPr="00070ADE">
        <w:rPr>
          <w:rFonts w:ascii="Times New Roman" w:hAnsi="Times New Roman"/>
          <w:color w:val="000000" w:themeColor="text1"/>
          <w:sz w:val="16"/>
          <w:szCs w:val="16"/>
        </w:rPr>
        <w:softHyphen/>
        <w:t>та изготавливалась из вертикального листа толщиной 100мм. Кроме того, танк получал корытообразное дно толщиной 20 мм с 30-мм экранами по бортам. Конструкция же кормо</w:t>
      </w:r>
      <w:r w:rsidRPr="00070ADE">
        <w:rPr>
          <w:rFonts w:ascii="Times New Roman" w:hAnsi="Times New Roman"/>
          <w:color w:val="000000" w:themeColor="text1"/>
          <w:sz w:val="16"/>
          <w:szCs w:val="16"/>
        </w:rPr>
        <w:softHyphen/>
        <w:t>вой части предполагалась аналогичной ИС-122.</w:t>
      </w:r>
    </w:p>
    <w:p w14:paraId="4A36DAC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Башню предлагалось выполнить в виде шарового сег</w:t>
      </w:r>
      <w:r w:rsidRPr="00070ADE">
        <w:rPr>
          <w:rFonts w:ascii="Times New Roman" w:hAnsi="Times New Roman"/>
          <w:color w:val="000000" w:themeColor="text1"/>
          <w:sz w:val="16"/>
          <w:szCs w:val="16"/>
        </w:rPr>
        <w:softHyphen/>
        <w:t>мента с диаметром у основания 3000 мм и высотой 755 мм. Толщина брони во всех горизонтальных сечениях предпо</w:t>
      </w:r>
      <w:r w:rsidRPr="00070ADE">
        <w:rPr>
          <w:rFonts w:ascii="Times New Roman" w:hAnsi="Times New Roman"/>
          <w:color w:val="000000" w:themeColor="text1"/>
          <w:sz w:val="16"/>
          <w:szCs w:val="16"/>
        </w:rPr>
        <w:softHyphen/>
        <w:t>лагалась не менее 160 мм, а по оси, параллельной каналу ствола, - 360 мм. Крыша баши имела толщину 30 мм.</w:t>
      </w:r>
    </w:p>
    <w:p w14:paraId="3573F4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изготовление опытного образца модернизиро</w:t>
      </w:r>
      <w:r w:rsidRPr="00070ADE">
        <w:rPr>
          <w:rFonts w:ascii="Times New Roman" w:hAnsi="Times New Roman"/>
          <w:color w:val="000000" w:themeColor="text1"/>
          <w:sz w:val="16"/>
          <w:szCs w:val="16"/>
        </w:rPr>
        <w:softHyphen/>
        <w:t>ванного танка шло медленно. Завод всячески пытался заинтересовать заказчика своей новой машиной — танком «К», получившим заводской индекс «701» по номеру заказа. Лишь в июне 1944 г., поняв, что с «семьсот первым» выходит за</w:t>
      </w:r>
      <w:r w:rsidRPr="00070ADE">
        <w:rPr>
          <w:rFonts w:ascii="Times New Roman" w:hAnsi="Times New Roman"/>
          <w:color w:val="000000" w:themeColor="text1"/>
          <w:sz w:val="16"/>
          <w:szCs w:val="16"/>
        </w:rPr>
        <w:softHyphen/>
        <w:t>держка, а опытный завод № 100 готовит свой вариант модер</w:t>
      </w:r>
      <w:r w:rsidRPr="00070ADE">
        <w:rPr>
          <w:rFonts w:ascii="Times New Roman" w:hAnsi="Times New Roman"/>
          <w:color w:val="000000" w:themeColor="text1"/>
          <w:sz w:val="16"/>
          <w:szCs w:val="16"/>
        </w:rPr>
        <w:softHyphen/>
        <w:t>низации, интерес к модернизации ИС-2 возобновился (11135).</w:t>
      </w:r>
    </w:p>
    <w:p w14:paraId="3C67CA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C241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был готов Технический проект нового танка, получившего обозначение "тяже</w:t>
      </w:r>
      <w:r w:rsidRPr="00070ADE">
        <w:rPr>
          <w:rFonts w:ascii="Times New Roman" w:hAnsi="Times New Roman"/>
          <w:color w:val="000000" w:themeColor="text1"/>
          <w:sz w:val="16"/>
          <w:szCs w:val="16"/>
        </w:rPr>
        <w:softHyphen/>
        <w:t>лый танк типа "К" и для его рассмотрения ТУ ГБТУ была создана комиссия, которая пришла к заключению, что "по своим боевым качествам, вооружению, бронированию, узлам и агрега</w:t>
      </w:r>
      <w:r w:rsidRPr="00070ADE">
        <w:rPr>
          <w:rFonts w:ascii="Times New Roman" w:hAnsi="Times New Roman"/>
          <w:color w:val="000000" w:themeColor="text1"/>
          <w:sz w:val="16"/>
          <w:szCs w:val="16"/>
        </w:rPr>
        <w:softHyphen/>
        <w:t>там силовой установки и трансмиссии, механизмам управления танком и огнем танк конструкции Кировского завода безусловно заслуживает того, чтобы в кратчайший срок дать разрешение Кировскому заводу на изготовление двух опытных образцов" (10703).</w:t>
      </w:r>
    </w:p>
    <w:p w14:paraId="5B58ED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A2D5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группой Н.Ф. Шашмурина на основании ТТТ ГБТУ в НКТП был разработан проект тяжелого танка, получившего условное наименование ИС-2М. Эта машина отличалась от се</w:t>
      </w:r>
      <w:r w:rsidRPr="00070ADE">
        <w:rPr>
          <w:rFonts w:ascii="Times New Roman" w:hAnsi="Times New Roman"/>
          <w:color w:val="000000" w:themeColor="text1"/>
          <w:sz w:val="16"/>
          <w:szCs w:val="16"/>
        </w:rPr>
        <w:softHyphen/>
        <w:t>рийного образца нетрадиционной схемой компоновки, улучшенной броневой защитой лобовой проекции корпуса и башни. Компоновочная схема танка предусматривала размещение боевого отделения с вращаю</w:t>
      </w:r>
      <w:r w:rsidRPr="00070ADE">
        <w:rPr>
          <w:rFonts w:ascii="Times New Roman" w:hAnsi="Times New Roman"/>
          <w:color w:val="000000" w:themeColor="text1"/>
          <w:sz w:val="16"/>
          <w:szCs w:val="16"/>
        </w:rPr>
        <w:softHyphen/>
        <w:t>щейся башней и трансмиссионного отделения в кормовой части танка. Отделение управления располагалось в носовой части корпуса, мотор</w:t>
      </w:r>
      <w:r w:rsidRPr="00070ADE">
        <w:rPr>
          <w:rFonts w:ascii="Times New Roman" w:hAnsi="Times New Roman"/>
          <w:color w:val="000000" w:themeColor="text1"/>
          <w:sz w:val="16"/>
          <w:szCs w:val="16"/>
        </w:rPr>
        <w:softHyphen/>
        <w:t>ное отделение - в средней. В ходовой части использовались опорные катки увеличенного диаметра без поддерживающих катков и ведущие колеса кормового расположения. Крутящий момент от коленчатого ва</w:t>
      </w:r>
      <w:r w:rsidRPr="00070ADE">
        <w:rPr>
          <w:rFonts w:ascii="Times New Roman" w:hAnsi="Times New Roman"/>
          <w:color w:val="000000" w:themeColor="text1"/>
          <w:sz w:val="16"/>
          <w:szCs w:val="16"/>
        </w:rPr>
        <w:softHyphen/>
        <w:t>ла двигателя к агрегатам трансмиссии передавался с помощью кардан</w:t>
      </w:r>
      <w:r w:rsidRPr="00070ADE">
        <w:rPr>
          <w:rFonts w:ascii="Times New Roman" w:hAnsi="Times New Roman"/>
          <w:color w:val="000000" w:themeColor="text1"/>
          <w:sz w:val="16"/>
          <w:szCs w:val="16"/>
        </w:rPr>
        <w:softHyphen/>
        <w:t>ного вала, проходившего под полом боевого отделения. Расположение боевого отделения в кормовой части корпуса исключало возможность утыкания длинноствольной 122-мм пушки в грунт при преодолении препятствий и облегчало маневрирование машины в ограниченных проходах. Ввиду того, что в начале лета 1944 г. усилия КБ завода № 100 были направлены на разработку нового тяжелого танка ИС-6 ("Объект 252" и "Объект 253"), дальнейшая проработка варианта танка ИС-2М была прекращена. Параллельно с разработкой проектов новых тяжелых танков на Опытном заводе № 100 непрерывно велись работы по улучшению кон</w:t>
      </w:r>
      <w:r w:rsidRPr="00070ADE">
        <w:rPr>
          <w:rFonts w:ascii="Times New Roman" w:hAnsi="Times New Roman"/>
          <w:color w:val="000000" w:themeColor="text1"/>
          <w:sz w:val="16"/>
          <w:szCs w:val="16"/>
        </w:rPr>
        <w:softHyphen/>
        <w:t>струкции узлов и агрегатов серийно выпускавшихся танков ИС (10703).</w:t>
      </w:r>
    </w:p>
    <w:p w14:paraId="6AEB05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4FB0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в конструк</w:t>
      </w:r>
      <w:r w:rsidRPr="00070ADE">
        <w:rPr>
          <w:rFonts w:ascii="Times New Roman" w:hAnsi="Times New Roman"/>
          <w:color w:val="000000" w:themeColor="text1"/>
          <w:sz w:val="16"/>
          <w:szCs w:val="16"/>
        </w:rPr>
        <w:softHyphen/>
        <w:t>торском бюро ЧКЗ под общим руководством Ж.Я. Котина был создан Танк КВ-122 с пушкой Д-25. Ведущим инженером машины был А.С. Шнейдман. Изготовление опытного об</w:t>
      </w:r>
      <w:r w:rsidRPr="00070ADE">
        <w:rPr>
          <w:rFonts w:ascii="Times New Roman" w:hAnsi="Times New Roman"/>
          <w:color w:val="000000" w:themeColor="text1"/>
          <w:sz w:val="16"/>
          <w:szCs w:val="16"/>
        </w:rPr>
        <w:softHyphen/>
        <w:t>разца было связано с проработкой вопроса о возможности установки на тяжелом серийном танке КВ-85 более мощного оружия. По результатам испытаний было сделано заключение о том, что замена на танках КВ-85 пушки Д-5Т-85 на более мощную 122-мм пушку Д-25 нецелесообразно так как для этого танки с фронта необходимо было бы возвращать на за</w:t>
      </w:r>
      <w:r w:rsidRPr="00070ADE">
        <w:rPr>
          <w:rFonts w:ascii="Times New Roman" w:hAnsi="Times New Roman"/>
          <w:color w:val="000000" w:themeColor="text1"/>
          <w:sz w:val="16"/>
          <w:szCs w:val="16"/>
        </w:rPr>
        <w:softHyphen/>
        <w:t>вод (ЧКЗ), на котором в то время уже серийно изготавливались танки ИС-2. Опытный образец танка был создан на базе серийного танка КВ-85 и отличался от него установкой башни со 122-мм пушкой. Машина име</w:t>
      </w:r>
      <w:r w:rsidRPr="00070ADE">
        <w:rPr>
          <w:rFonts w:ascii="Times New Roman" w:hAnsi="Times New Roman"/>
          <w:color w:val="000000" w:themeColor="text1"/>
          <w:sz w:val="16"/>
          <w:szCs w:val="16"/>
        </w:rPr>
        <w:softHyphen/>
        <w:t>ла классическую схему общей компоновки. Экипаж машины состоял из четырех человек. Башня была заимствована у танка ИС-2 обр. 1944 г. первого выпус</w:t>
      </w:r>
      <w:r w:rsidRPr="00070ADE">
        <w:rPr>
          <w:rFonts w:ascii="Times New Roman" w:hAnsi="Times New Roman"/>
          <w:color w:val="000000" w:themeColor="text1"/>
          <w:sz w:val="16"/>
          <w:szCs w:val="16"/>
        </w:rPr>
        <w:softHyphen/>
        <w:t>ка. Вооружение танка состояло из 122-мм танковой пушки Д-25 конст</w:t>
      </w:r>
      <w:r w:rsidRPr="00070ADE">
        <w:rPr>
          <w:rFonts w:ascii="Times New Roman" w:hAnsi="Times New Roman"/>
          <w:color w:val="000000" w:themeColor="text1"/>
          <w:sz w:val="16"/>
          <w:szCs w:val="16"/>
        </w:rPr>
        <w:softHyphen/>
        <w:t>рукции и производства завода № 9 НКВ и трех 7,62-мм пулеметов ДТ, один из которых был спарен с пушкой. Пушка Д-25 с длиной ствола 48 калибров имела полуавтоматический клиновой горизонтальный затвор. При стрельбе из спаренной установки использовались танковый теле</w:t>
      </w:r>
      <w:r w:rsidRPr="00070ADE">
        <w:rPr>
          <w:rFonts w:ascii="Times New Roman" w:hAnsi="Times New Roman"/>
          <w:color w:val="000000" w:themeColor="text1"/>
          <w:sz w:val="16"/>
          <w:szCs w:val="16"/>
        </w:rPr>
        <w:softHyphen/>
        <w:t>скопический прицел ЮТ-17 и танковый перископический прицел ПТ4-17. При стрельбе с закрытых огневых позиций использовался бо</w:t>
      </w:r>
      <w:r w:rsidRPr="00070ADE">
        <w:rPr>
          <w:rFonts w:ascii="Times New Roman" w:hAnsi="Times New Roman"/>
          <w:color w:val="000000" w:themeColor="text1"/>
          <w:sz w:val="16"/>
          <w:szCs w:val="16"/>
        </w:rPr>
        <w:softHyphen/>
        <w:t>ковой уровень, устанавливавшийся на ограждении пушки, и башенный угломер (10703).</w:t>
      </w:r>
    </w:p>
    <w:p w14:paraId="6D3B1E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1EE1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проект 122-мм танкового орудия большой мощности С-34-И (или С-34-П) был выполнен в ЦАКБ для танка «К» на базе 100-мм танковой пушки С-34. Первоначально В: Грабин предлагал его на замену орудия Д-25Т в танке ИС. "Но поскольку баллистического решения для получения нач. скорости 1000 м/с летом 1944 г. получено не было, началь</w:t>
      </w:r>
      <w:r w:rsidRPr="00070ADE">
        <w:rPr>
          <w:rFonts w:ascii="Times New Roman" w:hAnsi="Times New Roman"/>
          <w:color w:val="000000" w:themeColor="text1"/>
          <w:sz w:val="16"/>
          <w:szCs w:val="16"/>
        </w:rPr>
        <w:softHyphen/>
        <w:t>ник ЦАКБ распорядился провести весь цикл работ, остано</w:t>
      </w:r>
      <w:r w:rsidRPr="00070ADE">
        <w:rPr>
          <w:rFonts w:ascii="Times New Roman" w:hAnsi="Times New Roman"/>
          <w:color w:val="000000" w:themeColor="text1"/>
          <w:sz w:val="16"/>
          <w:szCs w:val="16"/>
        </w:rPr>
        <w:softHyphen/>
        <w:t>вившись на баллистике 122-мм пушки А-19, или Д-25. Орудие С-34-П имело перед Д-25 ряд несомненных ; преимуществ. Его конструкция была более жесткой и пото</w:t>
      </w:r>
      <w:r w:rsidRPr="00070ADE">
        <w:rPr>
          <w:rFonts w:ascii="Times New Roman" w:hAnsi="Times New Roman"/>
          <w:color w:val="000000" w:themeColor="text1"/>
          <w:sz w:val="16"/>
          <w:szCs w:val="16"/>
        </w:rPr>
        <w:softHyphen/>
        <w:t>му кучность стрельбы на испытаниях оказалась более вы-сокой, чем таковая у Д-25Т. Отсутствие дульного тормоза уменьшало демаскирующий эффект при стрельбе, а также уменьшало риск поражения собственной пехоты и танкового десанта дульными газами. Кроме того, для орудия был разработан очередной вариант досылателя и система продувки канала ствола сжатым воздухом (по типу примененной на танках «Тигр-Б» и «Пантера-Г»). Тогда же конкурент В. Грабина, начальник ОКБ завода N690. Петров, заключил с заводом № 100 договор о разра-р более своей 122-мм пушки большой мощности для перспек-|г тивного танка «Объект 252». Ф. Петров поступил также как и его визави, и решил отработать конструкцию своего орудия Д-30, основываясь на баллистике Д-25. Его орудие также от</w:t>
      </w:r>
      <w:r w:rsidRPr="00070ADE">
        <w:rPr>
          <w:rFonts w:ascii="Times New Roman" w:hAnsi="Times New Roman"/>
          <w:color w:val="000000" w:themeColor="text1"/>
          <w:sz w:val="16"/>
          <w:szCs w:val="16"/>
        </w:rPr>
        <w:softHyphen/>
        <w:t>личалось наличием системы продувки канала ствола сжатым воздухом. При участии наркомата судостроения для орудия был разработан досылатель выстрела, увеличенную реакцию отдачи предполагалось скомпенсировать установкой дульно</w:t>
      </w:r>
      <w:r w:rsidRPr="00070ADE">
        <w:rPr>
          <w:rFonts w:ascii="Times New Roman" w:hAnsi="Times New Roman"/>
          <w:color w:val="000000" w:themeColor="text1"/>
          <w:sz w:val="16"/>
          <w:szCs w:val="16"/>
        </w:rPr>
        <w:softHyphen/>
        <w:t>го тормоза повышенной эффективности...</w:t>
      </w:r>
    </w:p>
    <w:p w14:paraId="0BC9AF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ЦАКБ и КБ завода № 9 занимались вопро</w:t>
      </w:r>
      <w:r w:rsidRPr="00070ADE">
        <w:rPr>
          <w:rFonts w:ascii="Times New Roman" w:hAnsi="Times New Roman"/>
          <w:color w:val="000000" w:themeColor="text1"/>
          <w:sz w:val="16"/>
          <w:szCs w:val="16"/>
        </w:rPr>
        <w:softHyphen/>
        <w:t>сом создания 85-мм танковой и самоходной пушек высокой мощности. По переданным им весной 1944 г. тактико-техни</w:t>
      </w:r>
      <w:r w:rsidRPr="00070ADE">
        <w:rPr>
          <w:rFonts w:ascii="Times New Roman" w:hAnsi="Times New Roman"/>
          <w:color w:val="000000" w:themeColor="text1"/>
          <w:sz w:val="16"/>
          <w:szCs w:val="16"/>
        </w:rPr>
        <w:softHyphen/>
        <w:t>ческим требованиям отечественные пушки должны были до</w:t>
      </w:r>
      <w:r w:rsidRPr="00070ADE">
        <w:rPr>
          <w:rFonts w:ascii="Times New Roman" w:hAnsi="Times New Roman"/>
          <w:color w:val="000000" w:themeColor="text1"/>
          <w:sz w:val="16"/>
          <w:szCs w:val="16"/>
        </w:rPr>
        <w:softHyphen/>
        <w:t>гнать немецкую 88-мм РаК 43. В частности, начальная ско</w:t>
      </w:r>
      <w:r w:rsidRPr="00070ADE">
        <w:rPr>
          <w:rFonts w:ascii="Times New Roman" w:hAnsi="Times New Roman"/>
          <w:color w:val="000000" w:themeColor="text1"/>
          <w:sz w:val="16"/>
          <w:szCs w:val="16"/>
        </w:rPr>
        <w:softHyphen/>
        <w:t>рость бронебойного снаряда орудия допускалась не ниже 1050 м/с (у немецкой РаК 43 по данным ГАУ, она составляла 1000 м/с). В феврале 1944 г. ЦАКБ предложило свое баллис</w:t>
      </w:r>
      <w:r w:rsidRPr="00070ADE">
        <w:rPr>
          <w:rFonts w:ascii="Times New Roman" w:hAnsi="Times New Roman"/>
          <w:color w:val="000000" w:themeColor="text1"/>
          <w:sz w:val="16"/>
          <w:szCs w:val="16"/>
        </w:rPr>
        <w:softHyphen/>
        <w:t>тическое решение для такого орудия с учетом использования гильзы от 122-мм пушки А-19, но для удешевления выстрела распоряжением техуправления НКВ разрешалось использо</w:t>
      </w:r>
      <w:r w:rsidRPr="00070ADE">
        <w:rPr>
          <w:rFonts w:ascii="Times New Roman" w:hAnsi="Times New Roman"/>
          <w:color w:val="000000" w:themeColor="text1"/>
          <w:sz w:val="16"/>
          <w:szCs w:val="16"/>
        </w:rPr>
        <w:softHyphen/>
        <w:t>вать только гильзу 100-мм орудия Б-34 с увеличенным «чис</w:t>
      </w:r>
      <w:r w:rsidRPr="00070ADE">
        <w:rPr>
          <w:rFonts w:ascii="Times New Roman" w:hAnsi="Times New Roman"/>
          <w:color w:val="000000" w:themeColor="text1"/>
          <w:sz w:val="16"/>
          <w:szCs w:val="16"/>
        </w:rPr>
        <w:softHyphen/>
        <w:t>лом заряжания» (с большим пороховым зарядом).</w:t>
      </w:r>
    </w:p>
    <w:p w14:paraId="535F5B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Предварительные расчеты показали, что применить в данной артсистеме существующий 85-мм бронебойный снаряд не удастся (требовалось, например, увеличение числа ведущих поясков). Поэтому нарком вооружения вре</w:t>
      </w:r>
      <w:r w:rsidRPr="00070ADE">
        <w:rPr>
          <w:rFonts w:ascii="Times New Roman" w:hAnsi="Times New Roman"/>
          <w:color w:val="000000" w:themeColor="text1"/>
          <w:sz w:val="16"/>
          <w:szCs w:val="16"/>
        </w:rPr>
        <w:softHyphen/>
        <w:t>менно разрешил создание «орудия увеличенной мощнос</w:t>
      </w:r>
      <w:r w:rsidRPr="00070ADE">
        <w:rPr>
          <w:rFonts w:ascii="Times New Roman" w:hAnsi="Times New Roman"/>
          <w:color w:val="000000" w:themeColor="text1"/>
          <w:sz w:val="16"/>
          <w:szCs w:val="16"/>
        </w:rPr>
        <w:softHyphen/>
        <w:t>ти» с начальной скоростью 950 м/с, если в нем можно будет использовать штатный бронебойный снаряд. Уже упоми</w:t>
      </w:r>
      <w:r w:rsidRPr="00070ADE">
        <w:rPr>
          <w:rFonts w:ascii="Times New Roman" w:hAnsi="Times New Roman"/>
          <w:color w:val="000000" w:themeColor="text1"/>
          <w:sz w:val="16"/>
          <w:szCs w:val="16"/>
        </w:rPr>
        <w:softHyphen/>
        <w:t>налось, что подобное орудие было создано весной 1944 г. в ОКБ № 9, причем сразу в двух вариантах - для средней САУ и танка ИС-3 «Объект 244». Летом же ОКБ-92 предло</w:t>
      </w:r>
      <w:r w:rsidRPr="00070ADE">
        <w:rPr>
          <w:rFonts w:ascii="Times New Roman" w:hAnsi="Times New Roman"/>
          <w:color w:val="000000" w:themeColor="text1"/>
          <w:sz w:val="16"/>
          <w:szCs w:val="16"/>
        </w:rPr>
        <w:softHyphen/>
        <w:t>жило свой вариант указанной пушки для танка Т-34-85. Орудие ЗИС-85ПМ, созданное на базе конструкции ЗИС-С-53, отличаясь от последнего, главным образом, увеличе</w:t>
      </w:r>
      <w:r w:rsidRPr="00070ADE">
        <w:rPr>
          <w:rFonts w:ascii="Times New Roman" w:hAnsi="Times New Roman"/>
          <w:color w:val="000000" w:themeColor="text1"/>
          <w:sz w:val="16"/>
          <w:szCs w:val="16"/>
        </w:rPr>
        <w:softHyphen/>
        <w:t>нием крутизны нарезки ствола до 30 калибров; увеличе</w:t>
      </w:r>
      <w:r w:rsidRPr="00070ADE">
        <w:rPr>
          <w:rFonts w:ascii="Times New Roman" w:hAnsi="Times New Roman"/>
          <w:color w:val="000000" w:themeColor="text1"/>
          <w:sz w:val="16"/>
          <w:szCs w:val="16"/>
        </w:rPr>
        <w:softHyphen/>
        <w:t>нием числа нарезов с 24 до 32; установкой на стволе глад</w:t>
      </w:r>
      <w:r w:rsidRPr="00070ADE">
        <w:rPr>
          <w:rFonts w:ascii="Times New Roman" w:hAnsi="Times New Roman"/>
          <w:color w:val="000000" w:themeColor="text1"/>
          <w:sz w:val="16"/>
          <w:szCs w:val="16"/>
        </w:rPr>
        <w:softHyphen/>
        <w:t>коствольной надставки длиной 1620 мм. Длина пушки, пе</w:t>
      </w:r>
      <w:r w:rsidRPr="00070ADE">
        <w:rPr>
          <w:rFonts w:ascii="Times New Roman" w:hAnsi="Times New Roman"/>
          <w:color w:val="000000" w:themeColor="text1"/>
          <w:sz w:val="16"/>
          <w:szCs w:val="16"/>
        </w:rPr>
        <w:softHyphen/>
        <w:t>реименованной перед испытаниями в ЗИС-1, с надставкой достигала 64 калибра, что вкупе с увеличением зарядного числа позволило достичь нач. скорость в 930-960 м/с. Но снаряд на стрельбах вел себя нестабильно. Время от време ни у него срывало ведущий поясок, происходило наруше</w:t>
      </w:r>
      <w:r w:rsidRPr="00070ADE">
        <w:rPr>
          <w:rFonts w:ascii="Times New Roman" w:hAnsi="Times New Roman"/>
          <w:color w:val="000000" w:themeColor="text1"/>
          <w:sz w:val="16"/>
          <w:szCs w:val="16"/>
        </w:rPr>
        <w:softHyphen/>
        <w:t>ние кучности. Правда, вскоре удалось добиться более или менее стабильной стрельбы с нач. скоростью 920 м/с, но этот выигрыш, по мнению правления НКТП, не оправды</w:t>
      </w:r>
      <w:r w:rsidRPr="00070ADE">
        <w:rPr>
          <w:rFonts w:ascii="Times New Roman" w:hAnsi="Times New Roman"/>
          <w:color w:val="000000" w:themeColor="text1"/>
          <w:sz w:val="16"/>
          <w:szCs w:val="16"/>
        </w:rPr>
        <w:softHyphen/>
        <w:t>вал применения указанных мероприятий.</w:t>
      </w:r>
    </w:p>
    <w:p w14:paraId="0C4CFE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Также неудачно закончились и сходные изыскания ЦАКБ (11135).</w:t>
      </w:r>
    </w:p>
    <w:p w14:paraId="00C48C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4F74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комиссия ТУ ГБТУ пришла к за</w:t>
      </w:r>
      <w:r w:rsidRPr="00070ADE">
        <w:rPr>
          <w:rFonts w:ascii="Times New Roman" w:hAnsi="Times New Roman"/>
          <w:color w:val="000000" w:themeColor="text1"/>
          <w:sz w:val="16"/>
          <w:szCs w:val="16"/>
        </w:rPr>
        <w:softHyphen/>
        <w:t>ключению, что «по своим основным боевым качествам, воору</w:t>
      </w:r>
      <w:r w:rsidRPr="00070ADE">
        <w:rPr>
          <w:rFonts w:ascii="Times New Roman" w:hAnsi="Times New Roman"/>
          <w:color w:val="000000" w:themeColor="text1"/>
          <w:sz w:val="16"/>
          <w:szCs w:val="16"/>
        </w:rPr>
        <w:softHyphen/>
        <w:t>жению, бронированию, узлам и агрегатам силовой установки и трансмиссии, механизмам управления танком и огнем, танк конструкции Кировского завода, безусловно, заслуживает то</w:t>
      </w:r>
      <w:r w:rsidRPr="00070ADE">
        <w:rPr>
          <w:rFonts w:ascii="Times New Roman" w:hAnsi="Times New Roman"/>
          <w:color w:val="000000" w:themeColor="text1"/>
          <w:sz w:val="16"/>
          <w:szCs w:val="16"/>
        </w:rPr>
        <w:softHyphen/>
        <w:t>го, чтобы в кратчайший срок дать разрешение Кировскому за</w:t>
      </w:r>
      <w:r w:rsidRPr="00070ADE">
        <w:rPr>
          <w:rFonts w:ascii="Times New Roman" w:hAnsi="Times New Roman"/>
          <w:color w:val="000000" w:themeColor="text1"/>
          <w:sz w:val="16"/>
          <w:szCs w:val="16"/>
        </w:rPr>
        <w:softHyphen/>
        <w:t>воду на изготовление двух опытных образцов (11135).</w:t>
      </w:r>
    </w:p>
    <w:p w14:paraId="7640B5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9098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Весной 1941 г. была разверну</w:t>
      </w:r>
      <w:r w:rsidRPr="00070ADE">
        <w:rPr>
          <w:rFonts w:ascii="Times New Roman" w:hAnsi="Times New Roman"/>
          <w:color w:val="000000" w:themeColor="text1"/>
          <w:sz w:val="16"/>
          <w:szCs w:val="16"/>
        </w:rPr>
        <w:softHyphen/>
        <w:t>та работа по установке электромеханической трансмиссии в тяжелый танк КВ-1 (ЭКВ). Проект установки электромеханической трансмис</w:t>
      </w:r>
      <w:r w:rsidRPr="00070ADE">
        <w:rPr>
          <w:rFonts w:ascii="Times New Roman" w:hAnsi="Times New Roman"/>
          <w:color w:val="000000" w:themeColor="text1"/>
          <w:sz w:val="16"/>
          <w:szCs w:val="16"/>
        </w:rPr>
        <w:softHyphen/>
        <w:t>сии в танк КВ-1 являлся переработкой проекта электромеханической трансмиссии, ранее разработанной заводом "Динамо" для танка КВ-3. В обоих случаях требовалось установить электромеханическую трансмис</w:t>
      </w:r>
      <w:r w:rsidRPr="00070ADE">
        <w:rPr>
          <w:rFonts w:ascii="Times New Roman" w:hAnsi="Times New Roman"/>
          <w:color w:val="000000" w:themeColor="text1"/>
          <w:sz w:val="16"/>
          <w:szCs w:val="16"/>
        </w:rPr>
        <w:softHyphen/>
        <w:t>сию в корпус серийного танка без существенных его переделок. Это тре</w:t>
      </w:r>
      <w:r w:rsidRPr="00070ADE">
        <w:rPr>
          <w:rFonts w:ascii="Times New Roman" w:hAnsi="Times New Roman"/>
          <w:color w:val="000000" w:themeColor="text1"/>
          <w:sz w:val="16"/>
          <w:szCs w:val="16"/>
        </w:rPr>
        <w:softHyphen/>
        <w:t>бование было выполнено, однако доступ к электрооборудованию и его обслуживание были затруднены из-за малых размеров трансмиссион</w:t>
      </w:r>
      <w:r w:rsidRPr="00070ADE">
        <w:rPr>
          <w:rFonts w:ascii="Times New Roman" w:hAnsi="Times New Roman"/>
          <w:color w:val="000000" w:themeColor="text1"/>
          <w:sz w:val="16"/>
          <w:szCs w:val="16"/>
        </w:rPr>
        <w:softHyphen/>
        <w:t>ного отделения танка КВ-1. В связи с передислокацией ВАММ им.Сталина и завода "Динамо", эта работа приняла затяжной характер и была возобновлена только в 1944 г. после издания 31 мая 1944 г. совместного приказа НКТП и НКЭП (народный комиссариат электропромышленнос</w:t>
      </w:r>
      <w:r w:rsidRPr="00070ADE">
        <w:rPr>
          <w:rFonts w:ascii="Times New Roman" w:hAnsi="Times New Roman"/>
          <w:color w:val="000000" w:themeColor="text1"/>
          <w:sz w:val="16"/>
          <w:szCs w:val="16"/>
        </w:rPr>
        <w:softHyphen/>
        <w:t>ти) "О продолжении ОКР по созданию электротрансмиссии для тяже</w:t>
      </w:r>
      <w:r w:rsidRPr="00070ADE">
        <w:rPr>
          <w:rFonts w:ascii="Times New Roman" w:hAnsi="Times New Roman"/>
          <w:color w:val="000000" w:themeColor="text1"/>
          <w:sz w:val="16"/>
          <w:szCs w:val="16"/>
        </w:rPr>
        <w:softHyphen/>
        <w:t>лых танков". Основным недостатком электромеханических трансмиссий явля</w:t>
      </w:r>
      <w:r w:rsidRPr="00070ADE">
        <w:rPr>
          <w:rFonts w:ascii="Times New Roman" w:hAnsi="Times New Roman"/>
          <w:color w:val="000000" w:themeColor="text1"/>
          <w:sz w:val="16"/>
          <w:szCs w:val="16"/>
        </w:rPr>
        <w:softHyphen/>
        <w:t>лась их большая масса и размеры по сравнению с механическими транс</w:t>
      </w:r>
      <w:r w:rsidRPr="00070ADE">
        <w:rPr>
          <w:rFonts w:ascii="Times New Roman" w:hAnsi="Times New Roman"/>
          <w:color w:val="000000" w:themeColor="text1"/>
          <w:sz w:val="16"/>
          <w:szCs w:val="16"/>
        </w:rPr>
        <w:softHyphen/>
        <w:t>миссиями. Масса электромеханической трансмиссии танка ИС-6 ("Объект 253") составляла 3850 кг в то время, как масса механической трансмиссии танка ИС-2 не превышала 980 кг (10703).</w:t>
      </w:r>
    </w:p>
    <w:p w14:paraId="6545EC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8E88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C весны 1944 года тяжелые самоходно-артиллерийские полки СУ-152 стали перевооружаться установками ИСУ-152 и ИСУ-122. Их переводили на новые штаты и всем присваивали звание гвардейских. Всего до конца войны было сформировано 53 таких полка с 21 машиной ИСУ-152 или ИСУ-122 в каждом (часть полков имела смешанный состав). (3862).</w:t>
      </w:r>
    </w:p>
    <w:p w14:paraId="650AD7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EBC9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года опытный образец танка Объект 244 прошел заводские и поли</w:t>
      </w:r>
      <w:r w:rsidRPr="00070ADE">
        <w:rPr>
          <w:rFonts w:ascii="Times New Roman" w:hAnsi="Times New Roman"/>
          <w:color w:val="000000" w:themeColor="text1"/>
          <w:sz w:val="16"/>
          <w:szCs w:val="16"/>
        </w:rPr>
        <w:softHyphen/>
        <w:t>гонные испытания на Гороховецком АНИОПе. На вооружение танк не принимался из-за недостаточной прочности ствола орудия. Опытный образец машины был создан на базе первого опытного об</w:t>
      </w:r>
      <w:r w:rsidRPr="00070ADE">
        <w:rPr>
          <w:rFonts w:ascii="Times New Roman" w:hAnsi="Times New Roman"/>
          <w:color w:val="000000" w:themeColor="text1"/>
          <w:sz w:val="16"/>
          <w:szCs w:val="16"/>
        </w:rPr>
        <w:softHyphen/>
        <w:t>разца танка "Объект 237" и отличался от него установкой в башне вме</w:t>
      </w:r>
      <w:r w:rsidRPr="00070ADE">
        <w:rPr>
          <w:rFonts w:ascii="Times New Roman" w:hAnsi="Times New Roman"/>
          <w:color w:val="000000" w:themeColor="text1"/>
          <w:sz w:val="16"/>
          <w:szCs w:val="16"/>
        </w:rPr>
        <w:softHyphen/>
        <w:t>сто 85-мм танковой пушки Д-5Т-85 опытной 85-мм пушки Д-5Т-85БМ, а также монтажом зенитной пулеметной установки. Экипаж машины состоял из четырех человек (10703).</w:t>
      </w:r>
    </w:p>
    <w:p w14:paraId="4FB076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BE0D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в конструкторском бюро УЗТМ были выполнены проектно-конструкторские работы по созданию средней САУ с электромеханической трансмиссии на создание такой установки предусматривали, что электроме-ческая трансмиссия должна обеспечивать: величину крутящего мо-I и скорость движения не меньшую, чем при механической транс-н, а также плавное изменение скорости от нуля до максимального ения. К выполнению этих работ совместно с УЗТМ был привлечен № 627. Проектными работами от конструкторского бюро УЗТМ Э.П. Страшинин, от завода № 627 - главный конструктор в. Летом 1944 г. проект САУ с электромеханической трансмиссии с кормовым расположением боевого отделения был закончен и ему был присвоен заводской индекс ЭСУ-100. На заводе приступили к из-лению деталей электрооборудования для новой машины (10703).</w:t>
      </w:r>
    </w:p>
    <w:p w14:paraId="79189F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AD92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w:t>
      </w:r>
      <w:r w:rsidRPr="00070ADE">
        <w:rPr>
          <w:rFonts w:ascii="Times New Roman" w:hAnsi="Times New Roman"/>
          <w:color w:val="000000" w:themeColor="text1"/>
          <w:sz w:val="16"/>
          <w:szCs w:val="16"/>
        </w:rPr>
        <w:softHyphen/>
        <w:t>ной 1944 г. ввиду дефицита кадров техотдел НКТП выдвинул КБ завода № 100 задание по усовершенствованию конструк</w:t>
      </w:r>
      <w:r w:rsidRPr="00070ADE">
        <w:rPr>
          <w:rFonts w:ascii="Times New Roman" w:hAnsi="Times New Roman"/>
          <w:color w:val="000000" w:themeColor="text1"/>
          <w:sz w:val="16"/>
          <w:szCs w:val="16"/>
        </w:rPr>
        <w:softHyphen/>
        <w:t>ции ИСУ-122 с целью исключения из экипажа замкового. Работы по модернизации ИСУ-122 велись в КБ опыт</w:t>
      </w:r>
      <w:r w:rsidRPr="00070ADE">
        <w:rPr>
          <w:rFonts w:ascii="Times New Roman" w:hAnsi="Times New Roman"/>
          <w:color w:val="000000" w:themeColor="text1"/>
          <w:sz w:val="16"/>
          <w:szCs w:val="16"/>
        </w:rPr>
        <w:softHyphen/>
        <w:t>ного завода № 100 под индексом «Объект 249» (11417).</w:t>
      </w:r>
    </w:p>
    <w:p w14:paraId="5DDE08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38DB06" w14:textId="77777777" w:rsidR="00481C9C" w:rsidRPr="00C94B78" w:rsidRDefault="00481C9C"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Весной 1944 года появилась идея о модернизации самоходной артиллерийской установке СУ-76М. Родила она на фоне запуска работ по установке в САУ-57 танковой пушки ЗИС-4. Логика подсказывала, что минимальные переделки СУ-76М позволят поставить в нее куда более мощное орудие - 85-мм систему Д-5С-85. Уже летом 1944 года на испытания вышла СУ-15А (СУ-85А). За счет проведенной модернизации машины задачу повышения мощи вооружения во многом удалось решить. Но дальше дело затянулось, в результате работы плавно перетекли на 1945 год. А вместо СУ-85А появилась СУ-85Б, последний представитель семейства СУ-76 (24993).</w:t>
      </w:r>
    </w:p>
    <w:p w14:paraId="27373672" w14:textId="77777777" w:rsidR="00481C9C" w:rsidRPr="00C94B78" w:rsidRDefault="00481C9C" w:rsidP="00B56F90">
      <w:pPr>
        <w:spacing w:after="0" w:line="240" w:lineRule="auto"/>
        <w:jc w:val="both"/>
        <w:rPr>
          <w:rFonts w:ascii="Times New Roman" w:hAnsi="Times New Roman"/>
          <w:color w:val="0070C0"/>
          <w:sz w:val="16"/>
          <w:szCs w:val="16"/>
        </w:rPr>
      </w:pPr>
    </w:p>
    <w:p w14:paraId="29FB8E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заводом № 40 был выпущен второй опытный образец ЗСУ-37, который отличался от своего прототипа силовой установкой, размера</w:t>
      </w:r>
      <w:r w:rsidRPr="00070ADE">
        <w:rPr>
          <w:rFonts w:ascii="Times New Roman" w:hAnsi="Times New Roman"/>
          <w:color w:val="000000" w:themeColor="text1"/>
          <w:sz w:val="16"/>
          <w:szCs w:val="16"/>
        </w:rPr>
        <w:softHyphen/>
        <w:t>ми и массой, а также конструкцией вращающейся башни. В июле 1944 г. этот образец прошел полигонные испытания на НИБТ полигоне. По ре</w:t>
      </w:r>
      <w:r w:rsidRPr="00070ADE">
        <w:rPr>
          <w:rFonts w:ascii="Times New Roman" w:hAnsi="Times New Roman"/>
          <w:color w:val="000000" w:themeColor="text1"/>
          <w:sz w:val="16"/>
          <w:szCs w:val="16"/>
        </w:rPr>
        <w:softHyphen/>
        <w:t>зультатам испытаний летом того же года был выпущен третий опытный образец самоходной установки, на котором была вновь использована силовая установка СУ-76М. В октябре - ноябре 1944 г. этот опытный образец успешно прошел полигонные испытания и был рекомендован к принятию на вооружение РККА. В 1945 - 1948 гг. ЗСУ производилась на заводе № 40 в г. Мытищи Московской области. В 1945 г. было изго</w:t>
      </w:r>
      <w:r w:rsidRPr="00070ADE">
        <w:rPr>
          <w:rFonts w:ascii="Times New Roman" w:hAnsi="Times New Roman"/>
          <w:color w:val="000000" w:themeColor="text1"/>
          <w:sz w:val="16"/>
          <w:szCs w:val="16"/>
        </w:rPr>
        <w:softHyphen/>
        <w:t>товлено 12 самоходных установок ЗСУ-37 (10703).</w:t>
      </w:r>
    </w:p>
    <w:p w14:paraId="329F26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8947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за</w:t>
      </w:r>
      <w:r w:rsidRPr="00070ADE">
        <w:rPr>
          <w:rFonts w:ascii="Times New Roman" w:hAnsi="Times New Roman"/>
          <w:color w:val="000000" w:themeColor="text1"/>
          <w:sz w:val="16"/>
          <w:szCs w:val="16"/>
        </w:rPr>
        <w:softHyphen/>
        <w:t>водом № 40 был выпущен второй опытный образец ЗСУ-37, который отличался от своего прототипа силовой установкой, размерами и массой, а также конструкцией вращающейся башни. В июле 1944 г. этот образец прошел полигонные испытания на НИБТ полигоне. По результатам испытаний летом того же года был выпущен третий опытный образец самоходной установки, на котором была вновь использована силовая установка СУ-76М. В октябре - ноябре 1944 г. этот опытный образец успешно прошел полигонные испытания и был рекомендован к принятию на во</w:t>
      </w:r>
      <w:r w:rsidRPr="00070ADE">
        <w:rPr>
          <w:rFonts w:ascii="Times New Roman" w:hAnsi="Times New Roman"/>
          <w:color w:val="000000" w:themeColor="text1"/>
          <w:sz w:val="16"/>
          <w:szCs w:val="16"/>
        </w:rPr>
        <w:softHyphen/>
        <w:t>оружение РККА (10703).</w:t>
      </w:r>
    </w:p>
    <w:p w14:paraId="1399EB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EA81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Горьковским автозаводом была начата разработка проекта безрамного бронеавтомобиля ГАЗ-69 с улучшенной компонов</w:t>
      </w:r>
      <w:r w:rsidRPr="00070ADE">
        <w:rPr>
          <w:rFonts w:ascii="Times New Roman" w:hAnsi="Times New Roman"/>
          <w:color w:val="000000" w:themeColor="text1"/>
          <w:sz w:val="16"/>
          <w:szCs w:val="16"/>
        </w:rPr>
        <w:softHyphen/>
        <w:t>кой. В новой боевой машине конструкторы попытались снизить распо</w:t>
      </w:r>
      <w:r w:rsidRPr="00070ADE">
        <w:rPr>
          <w:rFonts w:ascii="Times New Roman" w:hAnsi="Times New Roman"/>
          <w:color w:val="000000" w:themeColor="text1"/>
          <w:sz w:val="16"/>
          <w:szCs w:val="16"/>
        </w:rPr>
        <w:softHyphen/>
        <w:t>ложение центра тяжести с целью повышения устойчивости, уменьше</w:t>
      </w:r>
      <w:r w:rsidRPr="00070ADE">
        <w:rPr>
          <w:rFonts w:ascii="Times New Roman" w:hAnsi="Times New Roman"/>
          <w:color w:val="000000" w:themeColor="text1"/>
          <w:sz w:val="16"/>
          <w:szCs w:val="16"/>
        </w:rPr>
        <w:softHyphen/>
        <w:t>ния массы, увеличения внутреннего объема и улучшения ее развесовки. Это было достигнуто за счет смещения вперед двигателя и мест распо</w:t>
      </w:r>
      <w:r w:rsidRPr="00070ADE">
        <w:rPr>
          <w:rFonts w:ascii="Times New Roman" w:hAnsi="Times New Roman"/>
          <w:color w:val="000000" w:themeColor="text1"/>
          <w:sz w:val="16"/>
          <w:szCs w:val="16"/>
        </w:rPr>
        <w:softHyphen/>
        <w:t>ложения экипажа. В июне 1944 г. приступили к изготовлению посадоч</w:t>
      </w:r>
      <w:r w:rsidRPr="00070ADE">
        <w:rPr>
          <w:rFonts w:ascii="Times New Roman" w:hAnsi="Times New Roman"/>
          <w:color w:val="000000" w:themeColor="text1"/>
          <w:sz w:val="16"/>
          <w:szCs w:val="16"/>
        </w:rPr>
        <w:softHyphen/>
        <w:t>ного макета бронеавтомобиля БА-69 (такое условное обозначение было присвоено ГАЗ-69), но затем эта работа была приостановлена и в даль</w:t>
      </w:r>
      <w:r w:rsidRPr="00070ADE">
        <w:rPr>
          <w:rFonts w:ascii="Times New Roman" w:hAnsi="Times New Roman"/>
          <w:color w:val="000000" w:themeColor="text1"/>
          <w:sz w:val="16"/>
          <w:szCs w:val="16"/>
        </w:rPr>
        <w:softHyphen/>
        <w:t>нейшем не возобновлялась (10703).</w:t>
      </w:r>
    </w:p>
    <w:p w14:paraId="4968AD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D3D6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на Московском вагоно</w:t>
      </w:r>
      <w:r w:rsidRPr="00070ADE">
        <w:rPr>
          <w:rFonts w:ascii="Times New Roman" w:hAnsi="Times New Roman"/>
          <w:color w:val="000000" w:themeColor="text1"/>
          <w:sz w:val="16"/>
          <w:szCs w:val="16"/>
        </w:rPr>
        <w:softHyphen/>
        <w:t>ремонтном заводе им. Войтовича НКПС был создан Бронеавтомобиль БА-64Б ж-д путем установ</w:t>
      </w:r>
      <w:r w:rsidRPr="00070ADE">
        <w:rPr>
          <w:rFonts w:ascii="Times New Roman" w:hAnsi="Times New Roman"/>
          <w:color w:val="000000" w:themeColor="text1"/>
          <w:sz w:val="16"/>
          <w:szCs w:val="16"/>
        </w:rPr>
        <w:softHyphen/>
        <w:t>ки на серийные машины БА-64Б металлических дисков с бандажами и ребордами вместо колес. К 1 июня 1944 г. заводом было переоборудова</w:t>
      </w:r>
      <w:r w:rsidRPr="00070ADE">
        <w:rPr>
          <w:rFonts w:ascii="Times New Roman" w:hAnsi="Times New Roman"/>
          <w:color w:val="000000" w:themeColor="text1"/>
          <w:sz w:val="16"/>
          <w:szCs w:val="16"/>
        </w:rPr>
        <w:softHyphen/>
        <w:t>но 15 бронеавтомобилей БА-64Б. В дальнейшем завод им. Войтовича осуществлял мелкосерийное переоборудование БА-64Б на железнодо</w:t>
      </w:r>
      <w:r w:rsidRPr="00070ADE">
        <w:rPr>
          <w:rFonts w:ascii="Times New Roman" w:hAnsi="Times New Roman"/>
          <w:color w:val="000000" w:themeColor="text1"/>
          <w:sz w:val="16"/>
          <w:szCs w:val="16"/>
        </w:rPr>
        <w:softHyphen/>
        <w:t>рожный ход. Бронеавтомобили БА-64Б ж-д использовались на фронтах Великой Отечественной войны в составе бронепоездов в качестве бро</w:t>
      </w:r>
      <w:r w:rsidRPr="00070ADE">
        <w:rPr>
          <w:rFonts w:ascii="Times New Roman" w:hAnsi="Times New Roman"/>
          <w:color w:val="000000" w:themeColor="text1"/>
          <w:sz w:val="16"/>
          <w:szCs w:val="16"/>
        </w:rPr>
        <w:softHyphen/>
        <w:t>недрезин для ведения разведки. Боевые и технические характеристики машины были сохранены на уровне характеристик серийного образца бронеавтомобиля БА-64Б (10703).</w:t>
      </w:r>
    </w:p>
    <w:p w14:paraId="0CDF44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5594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на восстановленном в Харькове на территории 183 заводе 75 начали изготавливать опытные образцы тягача АТ-45 для буксировки орудий массой до 22 т. Он был спроектирован на базе агрегатов Т-34-85 с В-2 с мощностью, уменьшенной до 350 нр. В 1944 сделали 6 и 2 отправили в войска для испытаний. Прекратили выпуск в августе 1944 в связи с подготовкой производства Т-44 (4390).</w:t>
      </w:r>
    </w:p>
    <w:p w14:paraId="2A2798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18258B" w14:textId="77777777" w:rsidR="00443DE6" w:rsidRPr="00070ADE" w:rsidRDefault="00443DE6" w:rsidP="00B56F90">
      <w:pPr>
        <w:pStyle w:val="ae"/>
        <w:shd w:val="clear" w:color="auto" w:fill="FFFFFF"/>
        <w:spacing w:before="0" w:after="0"/>
        <w:jc w:val="both"/>
        <w:rPr>
          <w:color w:val="000000" w:themeColor="text1"/>
          <w:sz w:val="16"/>
          <w:szCs w:val="16"/>
        </w:rPr>
      </w:pPr>
      <w:r w:rsidRPr="00070ADE">
        <w:rPr>
          <w:color w:val="000000" w:themeColor="text1"/>
          <w:sz w:val="16"/>
          <w:szCs w:val="16"/>
        </w:rPr>
        <w:t xml:space="preserve">Весной 1944 года ремзавод №8 оказался в Киеве. За июль 1944 года завод отремонтировал и сдал 4 танка Т-80, а за август — 12. Летом 1944 года состоялось последнее боевое применение этих машин, снова они воевали в составе танковых полков при кавалерийских дивизиях. Например, в 61-м танковом полку было 4 Т-80, а в 58-м танковом полку — 2. После Львовско-Сандомирской операции эти танки использовались как учебные. По состоянию на 1946 год сохранилось около двух десятков этих машин, которые находились в Харьковском танковом училище. Увы, до наших дней они не сохранились. </w:t>
      </w:r>
      <w:hyperlink r:id="rId160" w:history="1">
        <w:r w:rsidRPr="00070ADE">
          <w:rPr>
            <w:rStyle w:val="a5"/>
            <w:color w:val="000000" w:themeColor="text1"/>
            <w:sz w:val="16"/>
            <w:szCs w:val="16"/>
            <w:u w:val="none"/>
          </w:rPr>
          <w:t>Зато сохранился один Т-80 в Кубинке, который можно увидеть в музейной экспозиции</w:t>
        </w:r>
      </w:hyperlink>
      <w:r w:rsidRPr="00070ADE">
        <w:rPr>
          <w:color w:val="000000" w:themeColor="text1"/>
          <w:sz w:val="16"/>
          <w:szCs w:val="16"/>
        </w:rPr>
        <w:t xml:space="preserve"> (17712).</w:t>
      </w:r>
    </w:p>
    <w:p w14:paraId="55652E65" w14:textId="77777777" w:rsidR="00443DE6" w:rsidRPr="00070ADE" w:rsidRDefault="00443DE6" w:rsidP="00B56F90">
      <w:pPr>
        <w:pStyle w:val="ae"/>
        <w:shd w:val="clear" w:color="auto" w:fill="FFFFFF"/>
        <w:spacing w:before="0" w:after="0"/>
        <w:jc w:val="both"/>
        <w:rPr>
          <w:color w:val="000000" w:themeColor="text1"/>
          <w:sz w:val="16"/>
          <w:szCs w:val="16"/>
        </w:rPr>
      </w:pPr>
    </w:p>
    <w:p w14:paraId="25B1BD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года в счет доли при разделе трофейных итальянских кораблей американцы временно предоставили СССР легкий крейсер "Милуоки" (3457,127).</w:t>
      </w:r>
    </w:p>
    <w:p w14:paraId="2ECFC9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AF3F4A"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в счет доли при разделе трофейных итальянских кора</w:t>
      </w:r>
      <w:r w:rsidRPr="00070ADE">
        <w:rPr>
          <w:rFonts w:ascii="Times New Roman" w:hAnsi="Times New Roman"/>
          <w:color w:val="000000" w:themeColor="text1"/>
          <w:sz w:val="16"/>
          <w:szCs w:val="16"/>
        </w:rPr>
        <w:softHyphen/>
        <w:t>блей американцы временно предоставили СССР легкий крейсер «Милуоки». 24 ав</w:t>
      </w:r>
      <w:r w:rsidRPr="00070ADE">
        <w:rPr>
          <w:rFonts w:ascii="Times New Roman" w:hAnsi="Times New Roman"/>
          <w:color w:val="000000" w:themeColor="text1"/>
          <w:sz w:val="16"/>
          <w:szCs w:val="16"/>
        </w:rPr>
        <w:softHyphen/>
        <w:t>густа 1944 г. «Милуоки», переименован</w:t>
      </w:r>
      <w:r w:rsidRPr="00070ADE">
        <w:rPr>
          <w:rFonts w:ascii="Times New Roman" w:hAnsi="Times New Roman"/>
          <w:color w:val="000000" w:themeColor="text1"/>
          <w:sz w:val="16"/>
          <w:szCs w:val="16"/>
        </w:rPr>
        <w:softHyphen/>
        <w:t>ный в «Мурманск», со смешанной совет</w:t>
      </w:r>
      <w:r w:rsidRPr="00070ADE">
        <w:rPr>
          <w:rFonts w:ascii="Times New Roman" w:hAnsi="Times New Roman"/>
          <w:color w:val="000000" w:themeColor="text1"/>
          <w:sz w:val="16"/>
          <w:szCs w:val="16"/>
        </w:rPr>
        <w:softHyphen/>
        <w:t>ско-американской командой прибыл на Северный флот. На борту крейсера име</w:t>
      </w:r>
      <w:r w:rsidRPr="00070ADE">
        <w:rPr>
          <w:rFonts w:ascii="Times New Roman" w:hAnsi="Times New Roman"/>
          <w:color w:val="000000" w:themeColor="text1"/>
          <w:sz w:val="16"/>
          <w:szCs w:val="16"/>
        </w:rPr>
        <w:softHyphen/>
        <w:t>лись два самолета модификации OS2U-3 с более мощным двигателем, протектированными бензобаками и бронезащитой для пилота и стрелка-радиста. Машина вооружалась двумя пулеметами и могла нести до 90 кг мелких бомб (23513).</w:t>
      </w:r>
    </w:p>
    <w:p w14:paraId="201BBFF1"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Прибывшие с крейсером американские специалисты вкратце ознакомили наших летчиков с конструкцией «Кингфишера» и особенностями его пилотирования. Далее освоение новой машины велось са</w:t>
      </w:r>
      <w:r w:rsidRPr="00070ADE">
        <w:rPr>
          <w:rFonts w:ascii="Times New Roman" w:hAnsi="Times New Roman"/>
          <w:color w:val="000000" w:themeColor="text1"/>
          <w:sz w:val="16"/>
          <w:szCs w:val="16"/>
        </w:rPr>
        <w:softHyphen/>
        <w:t>мостоятельно. Наши экипажи вполне ра-</w:t>
      </w:r>
    </w:p>
    <w:p w14:paraId="639F5405"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года Министерство ави</w:t>
      </w:r>
      <w:r w:rsidRPr="00070ADE">
        <w:rPr>
          <w:rFonts w:ascii="Times New Roman" w:hAnsi="Times New Roman"/>
          <w:color w:val="000000" w:themeColor="text1"/>
          <w:sz w:val="16"/>
          <w:szCs w:val="16"/>
        </w:rPr>
        <w:softHyphen/>
        <w:t>ации Германии разработало специфика</w:t>
      </w:r>
      <w:r w:rsidRPr="00070ADE">
        <w:rPr>
          <w:rFonts w:ascii="Times New Roman" w:hAnsi="Times New Roman"/>
          <w:color w:val="000000" w:themeColor="text1"/>
          <w:sz w:val="16"/>
          <w:szCs w:val="16"/>
        </w:rPr>
        <w:softHyphen/>
        <w:t>цию на небольшой скоростной истреби</w:t>
      </w:r>
      <w:r w:rsidRPr="00070ADE">
        <w:rPr>
          <w:rFonts w:ascii="Times New Roman" w:hAnsi="Times New Roman"/>
          <w:color w:val="000000" w:themeColor="text1"/>
          <w:sz w:val="16"/>
          <w:szCs w:val="16"/>
        </w:rPr>
        <w:softHyphen/>
        <w:t>тель-перехватчик. Для участия в конкурсе были представлены самолеты P.1104 ком</w:t>
      </w:r>
      <w:r w:rsidRPr="00070ADE">
        <w:rPr>
          <w:rFonts w:ascii="Times New Roman" w:hAnsi="Times New Roman"/>
          <w:color w:val="000000" w:themeColor="text1"/>
          <w:sz w:val="16"/>
          <w:szCs w:val="16"/>
        </w:rPr>
        <w:softHyphen/>
        <w:t>пании «Мессершмитт», P1077 «Юлия» фирмы «Хейнкель» и EF 126.</w:t>
      </w:r>
    </w:p>
    <w:p w14:paraId="72672AFD"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Один такой самолет с пульсирующим ВРД «Аргус-226» (советское обозначение Ю-226) осенью 1945 года доставили в СССР. К работе по его изучению и испы</w:t>
      </w:r>
      <w:r w:rsidRPr="00070ADE">
        <w:rPr>
          <w:rFonts w:ascii="Times New Roman" w:hAnsi="Times New Roman"/>
          <w:color w:val="000000" w:themeColor="text1"/>
          <w:sz w:val="16"/>
          <w:szCs w:val="16"/>
        </w:rPr>
        <w:softHyphen/>
        <w:t>таниям подключили немецких специали</w:t>
      </w:r>
      <w:r w:rsidRPr="00070ADE">
        <w:rPr>
          <w:rFonts w:ascii="Times New Roman" w:hAnsi="Times New Roman"/>
          <w:color w:val="000000" w:themeColor="text1"/>
          <w:sz w:val="16"/>
          <w:szCs w:val="16"/>
        </w:rPr>
        <w:softHyphen/>
        <w:t>стов, интернированных из Германии (23462).</w:t>
      </w:r>
    </w:p>
    <w:p w14:paraId="7AE930AE" w14:textId="77777777" w:rsidR="007938E2" w:rsidRPr="00070ADE" w:rsidRDefault="007938E2" w:rsidP="00B56F90">
      <w:pPr>
        <w:spacing w:after="0" w:line="240" w:lineRule="auto"/>
        <w:jc w:val="both"/>
        <w:rPr>
          <w:rFonts w:ascii="Times New Roman" w:hAnsi="Times New Roman"/>
          <w:color w:val="000000" w:themeColor="text1"/>
          <w:sz w:val="16"/>
          <w:szCs w:val="16"/>
        </w:rPr>
      </w:pPr>
    </w:p>
    <w:p w14:paraId="746F010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18797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BBA7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года личный состав 91-го иап (командир подполковник Ковалев) 256-й иад 5-го истребительного авиакорпуса (командир генерал-майор Галунов) 2-й воздушной армии переучился на Як-3 в 8-й запасном авиаполку (зап) в Багай-Баранов- ке и имел в своем составе 41 самолет (почти половина из числа построенных к июню 1944 года) производства завода №292. Командующий ВВС Красной Армии А.А. Новиков 12 июня подписал приказ о проведении в полку с 20 июля по 2 августа войсковых испытаний истребителя, совпавших с проведением Львовской наступательной операции.</w:t>
      </w:r>
    </w:p>
    <w:p w14:paraId="1F21D6B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Як-3 были укомплектованы двигателями ВК-105ПФ2, пушкой МП-20 и одним пулеметом БС.</w:t>
      </w:r>
    </w:p>
    <w:p w14:paraId="70360F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Перед полком, базировавшимся на травяных аэродромах Тарнополь и Куровицк, стояла задача завоевания господства в воздухе. К началу боевых действий полк имел 38 исправных самолетов. Остальные машины были поломаны при перебазировании на новые аэродромы, а два из них ввели в строй к середине войсковых испытаний.</w:t>
      </w:r>
    </w:p>
    <w:p w14:paraId="64EA76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Полк был полностью укомплектован летным и техническим составом, причем 41% летчиков участвовал в боях впервые. До начала боевых операций летный состав полка имел налет на Як-3 20-25 часов, что считалось хорошей подготовкой.</w:t>
      </w:r>
    </w:p>
    <w:p w14:paraId="11DF3D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Технический состав ранее эксплуатировал истребители Як-1, Я к-7 Б и Як-9 и имел соответствующий опыт.</w:t>
      </w:r>
    </w:p>
    <w:p w14:paraId="3C3CA9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войсковых испытаний полк выполнил 431 боевой самолето-вылет или 83 вылета группами от двух до восьми машин. Получается, что в среднем каждый летчик в день совершал не более одного вылета.</w:t>
      </w:r>
    </w:p>
    <w:p w14:paraId="7E39758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период войсковых испытаний, - говорилось в отчете, - встречи с самолетами противника происходили главным образом в случаях, когда Як-3 вызывались с командного пункта. В других случаях, когда &lt;...&gt; Як-3 вылетали на прикрытие наземных войск (или на свободную охоту) встреч с противником не происходило. Это можно было объяснить, с одной стороны, тем, что сразу же в начале операции противнику был нанесен достаточный удар в боях 14 - 15 июля, после которых активность его ВВС сразу сократилась. С другой стороны, применяя методы барражирования, &lt;... &gt; Як-3 могли находиться над объектом прикрытия не более 15-17 минут и при свободной охоте вести очень кратковременное выслеживание из-за малого запаса горючего, что в значительной степени сокращало вероятность встречи с противником".</w:t>
      </w:r>
    </w:p>
    <w:p w14:paraId="7D5F81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числа 83 группо-вылетов по 11 произвели для перехвата противника в районе аэродрома и на свободную охоту, 22 - по вызову командира корпуса для уничтожения самолетов противника над линией фронта и наращивания сил, 35 - для прикрытия наземных войск и четыре - для прикрытия своего аэродрома.</w:t>
      </w:r>
    </w:p>
    <w:p w14:paraId="53ED9A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испытаний было семь встреч с самолетами противника Ju87, Bfl09 и FW190. В пяти из них имели место воздушные бои, причем в двух случаях - крупные. В итоге было сбито три Ju87, 14 Bfl 09 и шесть FW190, но места их падения и документы, подтверждавшие факт сбитая, в отчете по результатам войсковых испытаний не приведены. При этом два Як-3 не вернулись с задания, у одного было повреждено остекление задней части фонаря, и у трех отмечено попадание в заднее бронестекло. Три самолета получили повреждения от огня зенитной артиллерии и совершили посадки вне аэродрома. Из всех самолетов два восстановили и один списали. Таким образом, наши потери составили пять машин.</w:t>
      </w:r>
    </w:p>
    <w:p w14:paraId="5D4F4F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Летчики отмечали, что Як-3 на высотах до 5000 метров превосходил Bfl09 и FW190 как на горизонталях (заходил в хвост истребителям противника на втором вираже), так и на вертикалях. Выше самолеты противника не поднимались. Догоняли противника и на пикировании, что раньше считалось невозможным.</w:t>
      </w:r>
    </w:p>
    <w:p w14:paraId="46BBA5C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"...Як-3, - говорилось в отчете - ввиду ограниченного запаса горючего наиболее целесообразно применять для борьбы с истребительной, а также бомбардировочной авиацией противника, по вызову станции наведения в район появления самолетов противника или по вызову для наращивания сил в воздушном бою.</w:t>
      </w:r>
    </w:p>
    <w:p w14:paraId="27D37E1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Выполнение других задач, как то: прикрытие наземных войск путем барражирования, сопровождение бомбардировщиков, ограничивается малым запасом горючего".</w:t>
      </w:r>
    </w:p>
    <w:p w14:paraId="7799E8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Воздушный бой 16 июля показал, что Як-3 могли успешно вести бой с численно превосходящим противником. Бой начался, когда десять наших истребителей встретились с восемью Bfl09 и четверкой FW190. Затем силы постепенно наращивались с обеих сторон. Под конец 18 Як-3 противостояли 24 самолетам противника. В итоге 18 "мессершмиттов" и "фокке- ров" остались лежать на нашей земле. Мы же потеряли одну машину, другой "як" получил повреждения.</w:t>
      </w:r>
    </w:p>
    <w:p w14:paraId="667BC7D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Лишь два примера. Майор Околелов встретился в бою с Bfl 09 на высоте 2700 метров. Немец, почувствовав опасность, стал уходить пикированием. Наш летчик, преследуя его на полном газу мотора, сократил дистанцию с 700-600 до 50 метров и, находясь на высоте 500 метров, когда пилот "мессершмитта" стал выходить в горизонтальный полет, одной очередью сбил противника.</w:t>
      </w:r>
    </w:p>
    <w:p w14:paraId="35AE296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тот же день старший лейтенант Чижиков догнал Bfl 09 на горке с высоты 1300 метров, но выпущенная пулеме гно-пушеч- ная очередь прошла мимо. Противник тем временем с переворота перешел в пикирование в надежде оторваться от преследования. Пикируя за неприятелем, Чижиков с дистанции 50 метров сбил его.</w:t>
      </w:r>
    </w:p>
    <w:p w14:paraId="7576DA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Эксплуатация Як-3 не представляла трудностей для технического состава, и переход, например с Як-9 на Як-3, не требовал длительного переучивания.</w:t>
      </w:r>
    </w:p>
    <w:p w14:paraId="6BAB9C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 же время был выявлен ряд конструктивных и производственных дефектов истребителя. В частности, зафиксировано 13 случаев поломки шасси. Тросов управления рулем поворота хватало лишь на 10- 15 часов налета, после чего их следовало менять. Сиденье пилота с трудом поддавалось регулировке по высоте. Пневмосисте- ма была недостаточно герметичной. Отмечались и другие дефекты, снижавшие боеготовность полка.</w:t>
      </w:r>
    </w:p>
    <w:p w14:paraId="319090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Подготовка одиночного самолета и пары к повторному боевому вылету с участием механика, моториста и оружейника (с одним бензозаправщиком на эскадрилью) и полным обеспечением другими техническими средствами занимала 35 - 40 минут, звена (четыре машины) - 35 - 40 минут, а эскадрильи и полка - до часа.</w:t>
      </w:r>
    </w:p>
    <w:p w14:paraId="1213A05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Три самолета вышли из строя из-за недоброкачественного проклея обшивки крыла к лонжеронам и нервюрам. Причем на одном из них (№02-08) сорвало обшивку во время воздушного боя при выводе из пикирования после атаки на скорости 580- 600 км/ч по прибору. Обшивку сорвало с обеих консолей крыла площадью по 1,5 м2. Тем не менее летчик смог совершить благополучную посадку на своем аэродроме.</w:t>
      </w:r>
    </w:p>
    <w:p w14:paraId="15FB33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осмотра самолетов полка на аэродроме отставание обшивки обнаружилось и на других машинах. Это был первый случай срыва обшивки на Як-3. Тогда же обнаружилось и растрескивание лакокрасочного покрытия на половине самолетов полка.</w:t>
      </w:r>
    </w:p>
    <w:p w14:paraId="60E70B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Средняя продолжительность полета на Як-3 с учетом 20% остатка горючего составляла 40-45 минут.</w:t>
      </w:r>
    </w:p>
    <w:p w14:paraId="1AB8E7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Отмечалось, что радиостанция PC И-4 на Як-3 работала лучше, чем на Як-1 и Як-9. При этом практическая дальность радиосвязи на высотах 3000 - 4000 метров с наземной радиостанцией РСБ составляла 50 - 60 км. В отдельных случаях она достигала ЮОкм.Связьмеждусамолетамиобеспечива- лась на расстоянии 15-20 км, а в отдельных случаях - 25-30 км. Но при работе автомата регулирования температуры двигателя АРТ-41 создавались сильные помехи, снижавшие слышимость почти в два раза.</w:t>
      </w:r>
    </w:p>
    <w:p w14:paraId="429EED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завершения войсковых испытаний в 91-й иап прибыли Як-3 №03-10, 40- 12, 19-13 и 24-13. Их летные данные оказались хуже, чем у машин, проходивших испытания. Так, максимальная скорость у земли снизилась до 540 км/ч по прибору (вместо 562 км/ч), ухудшились скороподъемность и управляемость. Связано это было главным образом с установкой второго пулемета БС. Негативно сказалась и плохая подгонка зализов крыла и оперения, а также плохая герметизация фюзеляжа (12047).</w:t>
      </w:r>
    </w:p>
    <w:p w14:paraId="661CE2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D3658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бывшие советские бомбардировщики атаковали советские же аэродромы Мергино и Кяху (10734,87).</w:t>
      </w:r>
    </w:p>
    <w:p w14:paraId="28FF20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98EBEC" w14:textId="77777777" w:rsidR="00822884" w:rsidRPr="00070ADE" w:rsidRDefault="0082288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года, в связи с прекращением производства Пе-8, вооружение полка 562 25-го гв. АПДД и 890-го АПДД бомбардировщиками Пе-8 отменили, а пере</w:t>
      </w:r>
      <w:r w:rsidRPr="00070ADE">
        <w:rPr>
          <w:rFonts w:ascii="Times New Roman" w:hAnsi="Times New Roman"/>
          <w:color w:val="000000" w:themeColor="text1"/>
          <w:sz w:val="16"/>
          <w:szCs w:val="16"/>
        </w:rPr>
        <w:softHyphen/>
        <w:t>данные бомбардировщики вернули прежним владельцам. Полк решили вооружить бомбардировщиками 8-25. На переданных четырех Пе-8 полк боевых вылетов не совершал (19559).</w:t>
      </w:r>
    </w:p>
    <w:p w14:paraId="2B9FAC14" w14:textId="77777777" w:rsidR="00822884" w:rsidRPr="00070ADE" w:rsidRDefault="00822884" w:rsidP="00B56F90">
      <w:pPr>
        <w:spacing w:after="0" w:line="240" w:lineRule="auto"/>
        <w:jc w:val="both"/>
        <w:rPr>
          <w:rFonts w:ascii="Times New Roman" w:hAnsi="Times New Roman"/>
          <w:color w:val="000000" w:themeColor="text1"/>
          <w:sz w:val="16"/>
          <w:szCs w:val="16"/>
        </w:rPr>
      </w:pPr>
    </w:p>
    <w:p w14:paraId="279951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“Чайки” с голубыми свастиками поменяли место дислокации и задачи боевого применения. Базируясь преимущественно на Вяртсиля, самолеты вошли в состав эскадрильи LeLv1 6 и совместно с подобными ветеранами (Аайсендер, Гладиатор, Фоккер С.Х) занимались обеспечением боевых действий в районе Онежского озера. Одним из последних боевых эпизодов стала встреча 29 июля 1944 г. пяти финских “Чаек” с двумя десятками советских “Аэрокобр”, при этом одна “Кобра” предположительно была сбита (6592).</w:t>
      </w:r>
    </w:p>
    <w:p w14:paraId="3FEA03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B48096"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на Украине начали обо</w:t>
      </w:r>
      <w:r w:rsidRPr="00070ADE">
        <w:rPr>
          <w:rFonts w:ascii="Times New Roman" w:hAnsi="Times New Roman"/>
          <w:color w:val="000000" w:themeColor="text1"/>
          <w:sz w:val="16"/>
          <w:szCs w:val="16"/>
        </w:rPr>
        <w:softHyphen/>
        <w:t>рудовать базы для американских тяжелых бомбардировщиков В-17 и В-24. Они по</w:t>
      </w:r>
      <w:r w:rsidRPr="00070ADE">
        <w:rPr>
          <w:rFonts w:ascii="Times New Roman" w:hAnsi="Times New Roman"/>
          <w:color w:val="000000" w:themeColor="text1"/>
          <w:sz w:val="16"/>
          <w:szCs w:val="16"/>
        </w:rPr>
        <w:softHyphen/>
        <w:t>зволили бы эффективно поражать те цели, до которых трудно было «дотянуться» из Англии или Италии. Схему называли «чел</w:t>
      </w:r>
      <w:r w:rsidRPr="00070ADE">
        <w:rPr>
          <w:rFonts w:ascii="Times New Roman" w:hAnsi="Times New Roman"/>
          <w:color w:val="000000" w:themeColor="text1"/>
          <w:sz w:val="16"/>
          <w:szCs w:val="16"/>
        </w:rPr>
        <w:softHyphen/>
        <w:t>ночной»: взлет с баз на западе, бомбомета</w:t>
      </w:r>
      <w:r w:rsidRPr="00070ADE">
        <w:rPr>
          <w:rFonts w:ascii="Times New Roman" w:hAnsi="Times New Roman"/>
          <w:color w:val="000000" w:themeColor="text1"/>
          <w:sz w:val="16"/>
          <w:szCs w:val="16"/>
        </w:rPr>
        <w:softHyphen/>
        <w:t>ние по объектам в Германии и посадка на советской территории. Там дозаправка, по</w:t>
      </w:r>
      <w:r w:rsidRPr="00070ADE">
        <w:rPr>
          <w:rFonts w:ascii="Times New Roman" w:hAnsi="Times New Roman"/>
          <w:color w:val="000000" w:themeColor="text1"/>
          <w:sz w:val="16"/>
          <w:szCs w:val="16"/>
        </w:rPr>
        <w:softHyphen/>
        <w:t>полнение боекомплекта, отдых экипажей и полет в обратную сторону опять с бомба</w:t>
      </w:r>
      <w:r w:rsidRPr="00070ADE">
        <w:rPr>
          <w:rFonts w:ascii="Times New Roman" w:hAnsi="Times New Roman"/>
          <w:color w:val="000000" w:themeColor="text1"/>
          <w:sz w:val="16"/>
          <w:szCs w:val="16"/>
        </w:rPr>
        <w:softHyphen/>
        <w:t>ми на головы врагам. Сопровождали бом</w:t>
      </w:r>
      <w:r w:rsidRPr="00070ADE">
        <w:rPr>
          <w:rFonts w:ascii="Times New Roman" w:hAnsi="Times New Roman"/>
          <w:color w:val="000000" w:themeColor="text1"/>
          <w:sz w:val="16"/>
          <w:szCs w:val="16"/>
        </w:rPr>
        <w:softHyphen/>
        <w:t>бардировщики истребители Р-38 и Р-51 с подвесными баками. Они садились у нас в Пирятине. В ходе «челночных операций», продолжавшихся до середины сентября, два «Мустанга» совершили вынужденные посадки на советской территории. Они заблудились в густой облачности 11 сентя</w:t>
      </w:r>
      <w:r w:rsidRPr="00070ADE">
        <w:rPr>
          <w:rFonts w:ascii="Times New Roman" w:hAnsi="Times New Roman"/>
          <w:color w:val="000000" w:themeColor="text1"/>
          <w:sz w:val="16"/>
          <w:szCs w:val="16"/>
        </w:rPr>
        <w:softHyphen/>
        <w:t>бря: один истребитель сел в Белой Церкви, а второй сжег весь бензин и приземлился прямо в поле на «брюхо».</w:t>
      </w:r>
    </w:p>
    <w:p w14:paraId="2FB5CFC3"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мере продвижения советских войск на запад наши солдаты находили все боль</w:t>
      </w:r>
      <w:r w:rsidRPr="00070ADE">
        <w:rPr>
          <w:rFonts w:ascii="Times New Roman" w:hAnsi="Times New Roman"/>
          <w:color w:val="000000" w:themeColor="text1"/>
          <w:sz w:val="16"/>
          <w:szCs w:val="16"/>
        </w:rPr>
        <w:softHyphen/>
        <w:t>ше брошенных «Мустангов». Они фикси</w:t>
      </w:r>
      <w:r w:rsidRPr="00070ADE">
        <w:rPr>
          <w:rFonts w:ascii="Times New Roman" w:hAnsi="Times New Roman"/>
          <w:color w:val="000000" w:themeColor="text1"/>
          <w:sz w:val="16"/>
          <w:szCs w:val="16"/>
        </w:rPr>
        <w:softHyphen/>
        <w:t>ровались в Польше, Венгрии, Румынии, Чехословакии. Всего к маю 1945 г. выяви</w:t>
      </w:r>
      <w:r w:rsidRPr="00070ADE">
        <w:rPr>
          <w:rFonts w:ascii="Times New Roman" w:hAnsi="Times New Roman"/>
          <w:color w:val="000000" w:themeColor="text1"/>
          <w:sz w:val="16"/>
          <w:szCs w:val="16"/>
        </w:rPr>
        <w:softHyphen/>
        <w:t>ли 14 машин разных модификаций в раз</w:t>
      </w:r>
      <w:r w:rsidRPr="00070ADE">
        <w:rPr>
          <w:rFonts w:ascii="Times New Roman" w:hAnsi="Times New Roman"/>
          <w:color w:val="000000" w:themeColor="text1"/>
          <w:sz w:val="16"/>
          <w:szCs w:val="16"/>
        </w:rPr>
        <w:softHyphen/>
        <w:t>ном состоянии.</w:t>
      </w:r>
    </w:p>
    <w:p w14:paraId="6CF03A70"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Данные истребителя Норт Америкэн Р-51 «Мустанг» по результатам испытаний в СССР</w:t>
      </w:r>
    </w:p>
    <w:tbl>
      <w:tblPr>
        <w:tblOverlap w:val="never"/>
        <w:tblW w:w="0" w:type="auto"/>
        <w:tblLayout w:type="fixed"/>
        <w:tblCellMar>
          <w:left w:w="10" w:type="dxa"/>
          <w:right w:w="10" w:type="dxa"/>
        </w:tblCellMar>
        <w:tblLook w:val="0000" w:firstRow="0" w:lastRow="0" w:firstColumn="0" w:lastColumn="0" w:noHBand="0" w:noVBand="0"/>
      </w:tblPr>
      <w:tblGrid>
        <w:gridCol w:w="4066"/>
        <w:gridCol w:w="4210"/>
      </w:tblGrid>
      <w:tr w:rsidR="007938E2" w:rsidRPr="00070ADE" w14:paraId="55018995" w14:textId="77777777" w:rsidTr="004C5D62">
        <w:trPr>
          <w:trHeight w:val="322"/>
        </w:trPr>
        <w:tc>
          <w:tcPr>
            <w:tcW w:w="4066" w:type="dxa"/>
            <w:tcBorders>
              <w:top w:val="single" w:sz="4" w:space="0" w:color="auto"/>
              <w:left w:val="single" w:sz="4" w:space="0" w:color="auto"/>
            </w:tcBorders>
            <w:vAlign w:val="bottom"/>
          </w:tcPr>
          <w:p w14:paraId="56FEC948"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м</w:t>
            </w:r>
          </w:p>
        </w:tc>
        <w:tc>
          <w:tcPr>
            <w:tcW w:w="4210" w:type="dxa"/>
            <w:tcBorders>
              <w:top w:val="single" w:sz="4" w:space="0" w:color="auto"/>
              <w:left w:val="single" w:sz="4" w:space="0" w:color="auto"/>
              <w:right w:val="single" w:sz="4" w:space="0" w:color="auto"/>
            </w:tcBorders>
            <w:vAlign w:val="bottom"/>
          </w:tcPr>
          <w:p w14:paraId="077CACE5"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9,82</w:t>
            </w:r>
          </w:p>
        </w:tc>
      </w:tr>
      <w:tr w:rsidR="007938E2" w:rsidRPr="00070ADE" w14:paraId="45249F12" w14:textId="77777777" w:rsidTr="004C5D62">
        <w:trPr>
          <w:trHeight w:val="307"/>
        </w:trPr>
        <w:tc>
          <w:tcPr>
            <w:tcW w:w="4066" w:type="dxa"/>
            <w:tcBorders>
              <w:top w:val="single" w:sz="4" w:space="0" w:color="auto"/>
              <w:left w:val="single" w:sz="4" w:space="0" w:color="auto"/>
            </w:tcBorders>
            <w:vAlign w:val="bottom"/>
          </w:tcPr>
          <w:p w14:paraId="37080267"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Размах, м</w:t>
            </w:r>
          </w:p>
        </w:tc>
        <w:tc>
          <w:tcPr>
            <w:tcW w:w="4210" w:type="dxa"/>
            <w:tcBorders>
              <w:top w:val="single" w:sz="4" w:space="0" w:color="auto"/>
              <w:left w:val="single" w:sz="4" w:space="0" w:color="auto"/>
              <w:right w:val="single" w:sz="4" w:space="0" w:color="auto"/>
            </w:tcBorders>
            <w:vAlign w:val="bottom"/>
          </w:tcPr>
          <w:p w14:paraId="49510B20"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11,3</w:t>
            </w:r>
          </w:p>
        </w:tc>
      </w:tr>
      <w:tr w:rsidR="007938E2" w:rsidRPr="00070ADE" w14:paraId="04FFDB54" w14:textId="77777777" w:rsidTr="004C5D62">
        <w:trPr>
          <w:trHeight w:val="302"/>
        </w:trPr>
        <w:tc>
          <w:tcPr>
            <w:tcW w:w="4066" w:type="dxa"/>
            <w:tcBorders>
              <w:top w:val="single" w:sz="4" w:space="0" w:color="auto"/>
              <w:left w:val="single" w:sz="4" w:space="0" w:color="auto"/>
            </w:tcBorders>
            <w:vAlign w:val="bottom"/>
          </w:tcPr>
          <w:p w14:paraId="28F74437"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 м</w:t>
            </w:r>
          </w:p>
        </w:tc>
        <w:tc>
          <w:tcPr>
            <w:tcW w:w="4210" w:type="dxa"/>
            <w:tcBorders>
              <w:top w:val="single" w:sz="4" w:space="0" w:color="auto"/>
              <w:left w:val="single" w:sz="4" w:space="0" w:color="auto"/>
              <w:right w:val="single" w:sz="4" w:space="0" w:color="auto"/>
            </w:tcBorders>
            <w:vAlign w:val="bottom"/>
          </w:tcPr>
          <w:p w14:paraId="3100C12E"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3,71</w:t>
            </w:r>
          </w:p>
        </w:tc>
      </w:tr>
      <w:tr w:rsidR="007938E2" w:rsidRPr="00070ADE" w14:paraId="1C346E73" w14:textId="77777777" w:rsidTr="004C5D62">
        <w:trPr>
          <w:trHeight w:val="1022"/>
        </w:trPr>
        <w:tc>
          <w:tcPr>
            <w:tcW w:w="4066" w:type="dxa"/>
            <w:tcBorders>
              <w:top w:val="single" w:sz="4" w:space="0" w:color="auto"/>
              <w:left w:val="single" w:sz="4" w:space="0" w:color="auto"/>
            </w:tcBorders>
            <w:vAlign w:val="bottom"/>
          </w:tcPr>
          <w:p w14:paraId="668DE248"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кг</w:t>
            </w:r>
          </w:p>
          <w:p w14:paraId="6C2EC9E8"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пустого</w:t>
            </w:r>
          </w:p>
          <w:p w14:paraId="5A04BCBF"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взлетный нормальный</w:t>
            </w:r>
          </w:p>
          <w:p w14:paraId="02C9C1C8"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взлетный максимальный</w:t>
            </w:r>
          </w:p>
        </w:tc>
        <w:tc>
          <w:tcPr>
            <w:tcW w:w="4210" w:type="dxa"/>
            <w:tcBorders>
              <w:top w:val="single" w:sz="4" w:space="0" w:color="auto"/>
              <w:left w:val="single" w:sz="4" w:space="0" w:color="auto"/>
              <w:right w:val="single" w:sz="4" w:space="0" w:color="auto"/>
            </w:tcBorders>
            <w:vAlign w:val="bottom"/>
          </w:tcPr>
          <w:p w14:paraId="111BD9B2"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28551</w:t>
            </w:r>
          </w:p>
          <w:p w14:paraId="747B3271"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3880</w:t>
            </w:r>
          </w:p>
          <w:p w14:paraId="354B1369"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39051</w:t>
            </w:r>
          </w:p>
        </w:tc>
      </w:tr>
      <w:tr w:rsidR="007938E2" w:rsidRPr="00070ADE" w14:paraId="7D1486D8" w14:textId="77777777" w:rsidTr="004C5D62">
        <w:trPr>
          <w:trHeight w:val="782"/>
        </w:trPr>
        <w:tc>
          <w:tcPr>
            <w:tcW w:w="4066" w:type="dxa"/>
            <w:tcBorders>
              <w:top w:val="single" w:sz="4" w:space="0" w:color="auto"/>
              <w:left w:val="single" w:sz="4" w:space="0" w:color="auto"/>
            </w:tcBorders>
            <w:vAlign w:val="bottom"/>
          </w:tcPr>
          <w:p w14:paraId="227DFA4F"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Скорость максимальная, км/ч у земли на высоте</w:t>
            </w:r>
          </w:p>
        </w:tc>
        <w:tc>
          <w:tcPr>
            <w:tcW w:w="4210" w:type="dxa"/>
            <w:tcBorders>
              <w:top w:val="single" w:sz="4" w:space="0" w:color="auto"/>
              <w:left w:val="single" w:sz="4" w:space="0" w:color="auto"/>
              <w:right w:val="single" w:sz="4" w:space="0" w:color="auto"/>
            </w:tcBorders>
            <w:vAlign w:val="bottom"/>
          </w:tcPr>
          <w:p w14:paraId="55F87BF2"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483</w:t>
            </w:r>
          </w:p>
          <w:p w14:paraId="38B7C530"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587</w:t>
            </w:r>
          </w:p>
        </w:tc>
      </w:tr>
      <w:tr w:rsidR="007938E2" w:rsidRPr="00070ADE" w14:paraId="54EF26FF" w14:textId="77777777" w:rsidTr="004C5D62">
        <w:trPr>
          <w:trHeight w:val="302"/>
        </w:trPr>
        <w:tc>
          <w:tcPr>
            <w:tcW w:w="4066" w:type="dxa"/>
            <w:tcBorders>
              <w:top w:val="single" w:sz="4" w:space="0" w:color="auto"/>
              <w:left w:val="single" w:sz="4" w:space="0" w:color="auto"/>
            </w:tcBorders>
            <w:vAlign w:val="bottom"/>
          </w:tcPr>
          <w:p w14:paraId="17860674"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Набор высоты 5000 м, мин</w:t>
            </w:r>
          </w:p>
        </w:tc>
        <w:tc>
          <w:tcPr>
            <w:tcW w:w="4210" w:type="dxa"/>
            <w:tcBorders>
              <w:top w:val="single" w:sz="4" w:space="0" w:color="auto"/>
              <w:left w:val="single" w:sz="4" w:space="0" w:color="auto"/>
              <w:right w:val="single" w:sz="4" w:space="0" w:color="auto"/>
            </w:tcBorders>
            <w:vAlign w:val="bottom"/>
          </w:tcPr>
          <w:p w14:paraId="0BB25EE5"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w:t>
            </w:r>
          </w:p>
        </w:tc>
      </w:tr>
      <w:tr w:rsidR="007938E2" w:rsidRPr="00070ADE" w14:paraId="65844F01" w14:textId="77777777" w:rsidTr="004C5D62">
        <w:trPr>
          <w:trHeight w:val="302"/>
        </w:trPr>
        <w:tc>
          <w:tcPr>
            <w:tcW w:w="4066" w:type="dxa"/>
            <w:tcBorders>
              <w:top w:val="single" w:sz="4" w:space="0" w:color="auto"/>
              <w:left w:val="single" w:sz="4" w:space="0" w:color="auto"/>
            </w:tcBorders>
            <w:vAlign w:val="bottom"/>
          </w:tcPr>
          <w:p w14:paraId="75B7DA20"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м</w:t>
            </w:r>
          </w:p>
        </w:tc>
        <w:tc>
          <w:tcPr>
            <w:tcW w:w="4210" w:type="dxa"/>
            <w:tcBorders>
              <w:top w:val="single" w:sz="4" w:space="0" w:color="auto"/>
              <w:left w:val="single" w:sz="4" w:space="0" w:color="auto"/>
              <w:right w:val="single" w:sz="4" w:space="0" w:color="auto"/>
            </w:tcBorders>
            <w:vAlign w:val="bottom"/>
          </w:tcPr>
          <w:p w14:paraId="2938077F"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8400</w:t>
            </w:r>
          </w:p>
        </w:tc>
      </w:tr>
      <w:tr w:rsidR="007938E2" w:rsidRPr="00070ADE" w14:paraId="29B75B61" w14:textId="77777777" w:rsidTr="004C5D62">
        <w:trPr>
          <w:trHeight w:val="307"/>
        </w:trPr>
        <w:tc>
          <w:tcPr>
            <w:tcW w:w="4066" w:type="dxa"/>
            <w:tcBorders>
              <w:top w:val="single" w:sz="4" w:space="0" w:color="auto"/>
              <w:left w:val="single" w:sz="4" w:space="0" w:color="auto"/>
            </w:tcBorders>
            <w:vAlign w:val="bottom"/>
          </w:tcPr>
          <w:p w14:paraId="1FD7B83A"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полета, км</w:t>
            </w:r>
          </w:p>
        </w:tc>
        <w:tc>
          <w:tcPr>
            <w:tcW w:w="4210" w:type="dxa"/>
            <w:tcBorders>
              <w:top w:val="single" w:sz="4" w:space="0" w:color="auto"/>
              <w:left w:val="single" w:sz="4" w:space="0" w:color="auto"/>
              <w:right w:val="single" w:sz="4" w:space="0" w:color="auto"/>
            </w:tcBorders>
            <w:vAlign w:val="bottom"/>
          </w:tcPr>
          <w:p w14:paraId="31C33AE6"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1620</w:t>
            </w:r>
          </w:p>
        </w:tc>
      </w:tr>
      <w:tr w:rsidR="007938E2" w:rsidRPr="00070ADE" w14:paraId="33C28F07" w14:textId="77777777" w:rsidTr="004C5D62">
        <w:trPr>
          <w:trHeight w:val="322"/>
        </w:trPr>
        <w:tc>
          <w:tcPr>
            <w:tcW w:w="4066" w:type="dxa"/>
            <w:tcBorders>
              <w:top w:val="single" w:sz="4" w:space="0" w:color="auto"/>
              <w:left w:val="single" w:sz="4" w:space="0" w:color="auto"/>
              <w:bottom w:val="single" w:sz="4" w:space="0" w:color="auto"/>
            </w:tcBorders>
            <w:vAlign w:val="bottom"/>
          </w:tcPr>
          <w:p w14:paraId="7A395933"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w:t>
            </w:r>
          </w:p>
        </w:tc>
        <w:tc>
          <w:tcPr>
            <w:tcW w:w="4210" w:type="dxa"/>
            <w:tcBorders>
              <w:top w:val="single" w:sz="4" w:space="0" w:color="auto"/>
              <w:left w:val="single" w:sz="4" w:space="0" w:color="auto"/>
              <w:bottom w:val="single" w:sz="4" w:space="0" w:color="auto"/>
              <w:right w:val="single" w:sz="4" w:space="0" w:color="auto"/>
            </w:tcBorders>
            <w:vAlign w:val="bottom"/>
          </w:tcPr>
          <w:p w14:paraId="051FE5E1"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4x12,7+4x7,62</w:t>
            </w:r>
          </w:p>
        </w:tc>
      </w:tr>
    </w:tbl>
    <w:p w14:paraId="49F5D26A"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 американским данным (23513).</w:t>
      </w:r>
    </w:p>
    <w:p w14:paraId="7696024C" w14:textId="77777777" w:rsidR="007938E2" w:rsidRPr="00070ADE" w:rsidRDefault="007938E2" w:rsidP="00B56F90">
      <w:pPr>
        <w:spacing w:after="0" w:line="240" w:lineRule="auto"/>
        <w:jc w:val="both"/>
        <w:rPr>
          <w:rFonts w:ascii="Times New Roman" w:hAnsi="Times New Roman"/>
          <w:color w:val="000000" w:themeColor="text1"/>
          <w:sz w:val="16"/>
          <w:szCs w:val="16"/>
        </w:rPr>
      </w:pPr>
    </w:p>
    <w:p w14:paraId="0FA4EE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была сформирована авиационная эскадрилья, вскоре развернутая в 1-й истребительный авиационный полк ВВС Чехословакии. Полк получил на вооружение истребители Ла-5ФН, переучивание чешские и словацкие пилоты проходили в Кубинке. Подготовка к боям продолжилась на аэродроме Проскуров после того как в июле 1944 г. полк вошел в состав 2-й воздушной армии. Боевое крещение 16 наиболее подготовленных летчиков во главе с командиром полка майором Франтишеком Файтлом приняли в небе своей Родины (4707).</w:t>
      </w:r>
    </w:p>
    <w:p w14:paraId="4564D4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3D51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весны 1944 года начавшееся оснащение еще одного 362 полка в составе 45-й дивизии самолетами Пе-8 было приостановлено, и полк начал получать и осваивать В-25. Более того, Пе-8 начали выводить из состава 890-го полка и заменять их на "Митчеллы". Пе-8 производилось не так много, всего 1-2 машины в месяц, в январе в 45-й дивизии имелось 20 Пе-8, к лету их число довели до 30 машин. Учитывая, что с весны 1944 года официально производство Пе-8 прекратили и новые Пе-8 могли выпускать только за счет оставшегося на заводе №22 задела, то это количество, с учетом потерь, вскоре должно было резко сократиться (7685).</w:t>
      </w:r>
    </w:p>
    <w:p w14:paraId="736298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91C1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весны 1944 г. оснащение Пе-8 третьего полка дивизии, 362-го, приостановили; он стал осваивать В-25. Начали выводить Пе-8 и из состава 890-го полка, заменяя теми же В-25. При этом тяжёлых бомбардировщиков имелось ещё довольно многа-в январе 1945 г. в дивизии насчитывалось 20 таких машин. Но они не летали. В 890-м полку практически все самолёты стояли на земле, в воздух поднимался только старенький "дублёр". К маю 1945 г. в строю имелось 32 Пе-8. Но 9 мая лишь одна машина из 890-го полка обеспечивала праздничный салют над Москвой (11996).</w:t>
      </w:r>
    </w:p>
    <w:p w14:paraId="7AB51EE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9421A04" w14:textId="77777777" w:rsidR="00974807" w:rsidRPr="00C94B78" w:rsidRDefault="0097480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Весной 1944 г. Пе</w:t>
      </w:r>
      <w:r w:rsidRPr="00C94B78">
        <w:rPr>
          <w:rFonts w:ascii="Times New Roman" w:hAnsi="Times New Roman"/>
          <w:color w:val="0070C0"/>
          <w:sz w:val="16"/>
          <w:szCs w:val="16"/>
        </w:rPr>
        <w:noBreakHyphen/>
        <w:t>2 с М</w:t>
      </w:r>
      <w:r w:rsidRPr="00C94B78">
        <w:rPr>
          <w:rFonts w:ascii="Times New Roman" w:hAnsi="Times New Roman"/>
          <w:color w:val="0070C0"/>
          <w:sz w:val="16"/>
          <w:szCs w:val="16"/>
        </w:rPr>
        <w:noBreakHyphen/>
        <w:t>82 поступили в 8</w:t>
      </w:r>
      <w:r w:rsidRPr="00C94B78">
        <w:rPr>
          <w:rFonts w:ascii="Times New Roman" w:hAnsi="Times New Roman"/>
          <w:color w:val="0070C0"/>
          <w:sz w:val="16"/>
          <w:szCs w:val="16"/>
        </w:rPr>
        <w:noBreakHyphen/>
        <w:t>ю резервную авиационную бригаду. Отсюда несколько самолетов передали во фронтовые бомбардировочные авиаполки. Известно, что один Пе</w:t>
      </w:r>
      <w:r w:rsidRPr="00C94B78">
        <w:rPr>
          <w:rFonts w:ascii="Times New Roman" w:hAnsi="Times New Roman"/>
          <w:color w:val="0070C0"/>
          <w:sz w:val="16"/>
          <w:szCs w:val="16"/>
        </w:rPr>
        <w:noBreakHyphen/>
        <w:t>2 с М</w:t>
      </w:r>
      <w:r w:rsidRPr="00C94B78">
        <w:rPr>
          <w:rFonts w:ascii="Times New Roman" w:hAnsi="Times New Roman"/>
          <w:color w:val="0070C0"/>
          <w:sz w:val="16"/>
          <w:szCs w:val="16"/>
        </w:rPr>
        <w:noBreakHyphen/>
        <w:t>82 использовал в качестве личного самолета командир 4</w:t>
      </w:r>
      <w:r w:rsidRPr="00C94B78">
        <w:rPr>
          <w:rFonts w:ascii="Times New Roman" w:hAnsi="Times New Roman"/>
          <w:color w:val="0070C0"/>
          <w:sz w:val="16"/>
          <w:szCs w:val="16"/>
        </w:rPr>
        <w:noBreakHyphen/>
        <w:t>й гвардейской бомбардировочной авиадивизии генерал Ф. Котляр. В конечном итоге, большинство Пе</w:t>
      </w:r>
      <w:r w:rsidRPr="00C94B78">
        <w:rPr>
          <w:rFonts w:ascii="Times New Roman" w:hAnsi="Times New Roman"/>
          <w:color w:val="0070C0"/>
          <w:sz w:val="16"/>
          <w:szCs w:val="16"/>
        </w:rPr>
        <w:noBreakHyphen/>
        <w:t>2 с М</w:t>
      </w:r>
      <w:r w:rsidRPr="00C94B78">
        <w:rPr>
          <w:rFonts w:ascii="Times New Roman" w:hAnsi="Times New Roman"/>
          <w:color w:val="0070C0"/>
          <w:sz w:val="16"/>
          <w:szCs w:val="16"/>
        </w:rPr>
        <w:noBreakHyphen/>
        <w:t>82 попали в разведывательные авиаполки, первым их получил 99</w:t>
      </w:r>
      <w:r w:rsidRPr="00C94B78">
        <w:rPr>
          <w:rFonts w:ascii="Times New Roman" w:hAnsi="Times New Roman"/>
          <w:color w:val="0070C0"/>
          <w:sz w:val="16"/>
          <w:szCs w:val="16"/>
        </w:rPr>
        <w:noBreakHyphen/>
        <w:t>й гвардейский дальний разведывательный авиационный полк. Эти самолеты имелись в 48</w:t>
      </w:r>
      <w:r w:rsidRPr="00C94B78">
        <w:rPr>
          <w:rFonts w:ascii="Times New Roman" w:hAnsi="Times New Roman"/>
          <w:color w:val="0070C0"/>
          <w:sz w:val="16"/>
          <w:szCs w:val="16"/>
        </w:rPr>
        <w:noBreakHyphen/>
        <w:t>м и 57</w:t>
      </w:r>
      <w:r w:rsidRPr="00C94B78">
        <w:rPr>
          <w:rFonts w:ascii="Times New Roman" w:hAnsi="Times New Roman"/>
          <w:color w:val="0070C0"/>
          <w:sz w:val="16"/>
          <w:szCs w:val="16"/>
        </w:rPr>
        <w:noBreakHyphen/>
        <w:t>м гвардейских дальних разведывательных авиационных полках, а также в 11</w:t>
      </w:r>
      <w:r w:rsidRPr="00C94B78">
        <w:rPr>
          <w:rFonts w:ascii="Times New Roman" w:hAnsi="Times New Roman"/>
          <w:color w:val="0070C0"/>
          <w:sz w:val="16"/>
          <w:szCs w:val="16"/>
        </w:rPr>
        <w:noBreakHyphen/>
        <w:t>м и 39</w:t>
      </w:r>
      <w:r w:rsidRPr="00C94B78">
        <w:rPr>
          <w:rFonts w:ascii="Times New Roman" w:hAnsi="Times New Roman"/>
          <w:color w:val="0070C0"/>
          <w:sz w:val="16"/>
          <w:szCs w:val="16"/>
        </w:rPr>
        <w:noBreakHyphen/>
        <w:t>м отдельных разведывательных авиационных полках. Даже несмотря на проблемы с двигателями, летчики с большим энтузиазмом относились к Пе</w:t>
      </w:r>
      <w:r w:rsidRPr="00C94B78">
        <w:rPr>
          <w:rFonts w:ascii="Times New Roman" w:hAnsi="Times New Roman"/>
          <w:color w:val="0070C0"/>
          <w:sz w:val="16"/>
          <w:szCs w:val="16"/>
        </w:rPr>
        <w:noBreakHyphen/>
        <w:t>2, оснащенным звездообразными моторами. На разведчиках снимались тормозные решетки. а в бомбоотсеках ставились аэрофотоаппараты (25072).</w:t>
      </w:r>
    </w:p>
    <w:p w14:paraId="17ECCA05" w14:textId="77777777" w:rsidR="00974807" w:rsidRPr="00C94B78" w:rsidRDefault="00974807" w:rsidP="00B56F90">
      <w:pPr>
        <w:spacing w:after="0" w:line="240" w:lineRule="auto"/>
        <w:jc w:val="both"/>
        <w:rPr>
          <w:rFonts w:ascii="Times New Roman" w:hAnsi="Times New Roman"/>
          <w:color w:val="0070C0"/>
          <w:sz w:val="16"/>
          <w:szCs w:val="16"/>
        </w:rPr>
      </w:pPr>
    </w:p>
    <w:p w14:paraId="720EEEFD" w14:textId="77777777" w:rsidR="00974807" w:rsidRPr="00C94B78" w:rsidRDefault="0097480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Весной 1944-го небольшими партиями (по 3-5 самолетов) Пе-2 М-82 стали направлять в строевые части — фактически для проведения войсковых иотытаний. Получали их в основном 8-я запасная авиабригада (а затем передавала маршевым полкам) и разведывательные авиаполки. Последние наиболее полно могли использовать скорость и потолок новой модификации «пешек». Их имела, например, одна из эскадрилий 99-го гвардейского отдельного разведполка. Летом 1944-го три машины получил 39-й ОРАП. В этих полках с самолетов снимали тормозные решетки.</w:t>
      </w:r>
    </w:p>
    <w:p w14:paraId="41F3638F" w14:textId="77777777" w:rsidR="00974807" w:rsidRPr="00C94B78" w:rsidRDefault="0097480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Имелись такие самолеты и в обычных бомбардировочных полках, но они также использовались как разведчики. На Пе-2 с М-82Ф летал в конце войны командир 4-й гвардейской бомбардировочт гай дивизии Герой Советского Союза генерал-майор Ф.Котляр, известный мастер авиаразведки.</w:t>
      </w:r>
    </w:p>
    <w:p w14:paraId="313F4456" w14:textId="77777777" w:rsidR="00974807" w:rsidRPr="00C94B78" w:rsidRDefault="0097480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Надо сказать, что на фронте недолюбливали эти машины. Надежность новых мотоустановок так и не достигла уровня старых. Поступали жалобы на неустойчивую работу моторов, тяжелый запуск. Двигатели глохли при переохлаждении на высоте, особенно зимой. Внедрение новых моторов принесло больше хлопот, чем пользы. Модификации Пе-2 с М-105ПФ и М-82 довольно существенно отличались своими узлами и агрегатами, что создавало немало трудностей в производстве и обслуживании. Недоведенность новой мотоустановки не позволяла полностью использовать ее преимущества. Исчезла и первоначальная причина создания модификации: М-105ПФ в достатке стали поступать с моторных заводов, а у М-82Ф нашлись другие массовые «потребители» — истребитель Ла-5 и бомбардировщик Ту-2. Не было никакого смысла ломать хорошо налаженный процесс выпуска Пе-2. Поэтому после изготовления 32 серийных машин с моторами воздушного охлаждения производство их прекратили и вернулись полностью к старой мотоустановке. Вместо производства Пе-2 с М-82 завод № 22 получил новое задание — восстановить выпуск Пе-3, но уже с моторами ВК-105ПФ (25305).</w:t>
      </w:r>
    </w:p>
    <w:p w14:paraId="632D537C" w14:textId="77777777" w:rsidR="00974807" w:rsidRPr="00C94B78" w:rsidRDefault="00974807" w:rsidP="00B56F90">
      <w:pPr>
        <w:spacing w:after="0" w:line="240" w:lineRule="auto"/>
        <w:jc w:val="both"/>
        <w:rPr>
          <w:rFonts w:ascii="Times New Roman" w:hAnsi="Times New Roman"/>
          <w:color w:val="0070C0"/>
          <w:sz w:val="16"/>
          <w:szCs w:val="16"/>
        </w:rPr>
      </w:pPr>
    </w:p>
    <w:p w14:paraId="5CE89762" w14:textId="77777777" w:rsidR="00974807" w:rsidRPr="00C94B78" w:rsidRDefault="0097480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Весной 1944 года в 7</w:t>
      </w:r>
      <w:r w:rsidRPr="00C94B78">
        <w:rPr>
          <w:rFonts w:ascii="Times New Roman" w:hAnsi="Times New Roman"/>
          <w:color w:val="0070C0"/>
          <w:sz w:val="16"/>
          <w:szCs w:val="16"/>
        </w:rPr>
        <w:noBreakHyphen/>
        <w:t>м ИАП Черноморского флота действовала одна эскадрилья, оснащенная МиГами. Несколько МиГов</w:t>
      </w:r>
      <w:r w:rsidRPr="00C94B78">
        <w:rPr>
          <w:rFonts w:ascii="Times New Roman" w:hAnsi="Times New Roman"/>
          <w:color w:val="0070C0"/>
          <w:sz w:val="16"/>
          <w:szCs w:val="16"/>
        </w:rPr>
        <w:noBreakHyphen/>
        <w:t>3 находилось в составе авиации Тихоокеанского флота. Несколько самолетов переделали в экспериментальные машины (25067).</w:t>
      </w:r>
    </w:p>
    <w:p w14:paraId="6204748C" w14:textId="77777777" w:rsidR="00974807" w:rsidRPr="00C94B78" w:rsidRDefault="00974807" w:rsidP="00B56F90">
      <w:pPr>
        <w:spacing w:after="0" w:line="240" w:lineRule="auto"/>
        <w:jc w:val="both"/>
        <w:rPr>
          <w:rFonts w:ascii="Times New Roman" w:hAnsi="Times New Roman"/>
          <w:color w:val="0070C0"/>
          <w:sz w:val="16"/>
          <w:szCs w:val="16"/>
        </w:rPr>
      </w:pPr>
    </w:p>
    <w:p w14:paraId="5FF818EA" w14:textId="77777777" w:rsidR="00974807" w:rsidRPr="00C94B78" w:rsidRDefault="0097480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весны 1944 года тяжелые самоходно</w:t>
      </w:r>
      <w:r w:rsidRPr="00C94B78">
        <w:rPr>
          <w:rFonts w:ascii="Times New Roman" w:hAnsi="Times New Roman"/>
          <w:color w:val="0070C0"/>
          <w:sz w:val="16"/>
          <w:szCs w:val="16"/>
        </w:rPr>
        <w:softHyphen/>
        <w:t>артиллерийские полки СУ-152 перевоору</w:t>
      </w:r>
      <w:r w:rsidRPr="00C94B78">
        <w:rPr>
          <w:rFonts w:ascii="Times New Roman" w:hAnsi="Times New Roman"/>
          <w:color w:val="0070C0"/>
          <w:sz w:val="16"/>
          <w:szCs w:val="16"/>
        </w:rPr>
        <w:softHyphen/>
        <w:t>жались установками ИСУ-152 и ИСУ-122. Их переводили на новые штаты и всем присваивали звание гвардейских. Всего до конца войны было сформировано 56 та</w:t>
      </w:r>
      <w:r w:rsidRPr="00C94B78">
        <w:rPr>
          <w:rFonts w:ascii="Times New Roman" w:hAnsi="Times New Roman"/>
          <w:color w:val="0070C0"/>
          <w:sz w:val="16"/>
          <w:szCs w:val="16"/>
        </w:rPr>
        <w:softHyphen/>
        <w:t>ких полков, в каждом имелась 21 машина ИСУ-152 или ИСУ-122 (часть из этих полков — смешанного состава). 1 марта 1945 года 143-я отдельная танковая Не</w:t>
      </w:r>
      <w:r w:rsidRPr="00C94B78">
        <w:rPr>
          <w:rFonts w:ascii="Times New Roman" w:hAnsi="Times New Roman"/>
          <w:color w:val="0070C0"/>
          <w:sz w:val="16"/>
          <w:szCs w:val="16"/>
        </w:rPr>
        <w:softHyphen/>
        <w:t>вельская бригада в Белорусско-Литовском военном округе была переформирована в 66-ю гвардейскую Невельскую тяжелую самоходно-артиллерийскую бригаду РВГК трехполкового состава (1804 человека, 65 ИСУ-122 и три СУ-76) (25000).</w:t>
      </w:r>
    </w:p>
    <w:p w14:paraId="4BE0C517" w14:textId="77777777" w:rsidR="00974807" w:rsidRPr="00C94B78" w:rsidRDefault="00974807" w:rsidP="00B56F90">
      <w:pPr>
        <w:spacing w:after="0" w:line="240" w:lineRule="auto"/>
        <w:jc w:val="both"/>
        <w:rPr>
          <w:rFonts w:ascii="Times New Roman" w:hAnsi="Times New Roman"/>
          <w:color w:val="0070C0"/>
          <w:sz w:val="16"/>
          <w:szCs w:val="16"/>
        </w:rPr>
      </w:pPr>
    </w:p>
    <w:p w14:paraId="08F5D568" w14:textId="77777777" w:rsidR="00974807" w:rsidRPr="00C94B78" w:rsidRDefault="0097480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весны 1944 г. начали формировать части с Ер-2 с моторами АЧ-30Б. Первыми стали 326-й и 330-й АП ДД. Поставки самолетов шли очень медленно, а их освоение летчиками мешали многочисленные проблемы мотоустановкой. В итоге, к декабрю 1944 г. числилось 7 полков Ер-2, но ни один не был полностью укомплектован и боеготов.</w:t>
      </w:r>
    </w:p>
    <w:p w14:paraId="5A08A649" w14:textId="77777777" w:rsidR="00974807" w:rsidRPr="00C94B78" w:rsidRDefault="0097480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Всего ЕР-2 АЧ-30Б совершили 5 126 боевых самолето-вылетов. То есть, участие было чисто символическим. А в войне против Японии они не участвовали (25443).</w:t>
      </w:r>
    </w:p>
    <w:p w14:paraId="18E01E81" w14:textId="77777777" w:rsidR="00974807" w:rsidRPr="00C94B78" w:rsidRDefault="00974807" w:rsidP="00B56F90">
      <w:pPr>
        <w:spacing w:after="0" w:line="240" w:lineRule="auto"/>
        <w:jc w:val="both"/>
        <w:rPr>
          <w:rFonts w:ascii="Times New Roman" w:hAnsi="Times New Roman"/>
          <w:color w:val="0070C0"/>
          <w:sz w:val="16"/>
          <w:szCs w:val="16"/>
        </w:rPr>
      </w:pPr>
    </w:p>
    <w:p w14:paraId="11703E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до весны 1944 г. на головы врага сбросили 13 ФАБ-5000. 1944 г. стал последним в боевой карьере Пе-8. Причин этому было несколько. Красная Армия стремительно приближалась к границам рейха. Теперь приходилось сталкиваться с мощной системой ПВО немцев, имевшей опыт борьбы с соединениями американских и английских бомбардировщиков. Командование решило сберечь на будущее немногочисленные советские "летающие крепости". Да и особой нужды в них не было - дальности Ил-4 и В-25 вполне хватало, чтобы "накрыть" остававшуюся у противника территорию. Кроме того, учли разрушения планёра Пе-8, описанные ранее (11996).</w:t>
      </w:r>
    </w:p>
    <w:p w14:paraId="1A24C8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03D49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поставки новых самолетов позволили сформировать в составе дивизии еще один полк - 362-й. В него поначалу передали 4 Пе-8, которые вместе с экипажами вывели из состава 25-го Гвардейского и 890- го авиаполков. Одновременно в дивизию стали поступать американские бомбардировщики Б-25, поэтому позднее 362-й дбап использовал эти самолеты, а четырехмоторные корабли вернул прежним владельцам. Американские Б-25 оказались надежными и вполне добротными самолетами. После того как 45-я дивизия начала перебазирование из Кратово на запад, их дальности вполне хватало практически для всех объектов бомбометания. Поставки Б-25 в Красную Армию продолжались, и ими впоследствии начали комплектовать и 890-й дбап (12025).</w:t>
      </w:r>
    </w:p>
    <w:p w14:paraId="1A3D45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B8FE9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105-й гвардейский и 13-й полки участвовали в операции "Звездочка" - вывозе детей из тыла противника. Воспитанников детских домов немцы использовали как принудительных доноров, выкачивая из них кровь. Партизаны разгромили созданные для детей лагеря и вывезли их в лес, откуда их начали забирать У-2 и Р-5. В ходе операции подвиг совершил лейтенант А. Мамкин. На борту его Р-5 находились девять детей, сопровождавшая их женщина и два раненых партизана. Немецкий ночной истребитель поджег самолет. На раненом Мамкине горела одежда, но он продолжал лететь через линию фронта. Выбрав площадку на замерзшем болоте, пилот пошел на посадку. При ударе о кочки его выбросило из кабины. Все пассажиры спаслись, Мамкин скончался от ран и ожогов (12034).</w:t>
      </w:r>
    </w:p>
    <w:p w14:paraId="1B00C0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6E165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года 36 полк ЧМФ полностью перевооружили с Б-3 на A-20G и превратили в мннно-торпедный полк, но в этом качестве в апреле тою же года перевели на Северный флот (3457,107).</w:t>
      </w:r>
    </w:p>
    <w:p w14:paraId="100CB4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7D68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вновь была увеличена численность личного состава полка СУ-85 до 318 чел. при численности машин 21 шт. (11417).</w:t>
      </w:r>
    </w:p>
    <w:p w14:paraId="3011AF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8C93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 весны 1944 года тяжелые самоходно-артиллерийские полки СУ-152 перевооружались установками ИСУ-152 и ИСУ-122. Их переводили на новые штаты и всем присваивали звание гвардейских. Всего до конца войны было сформировано 56 таких полков, в каждом имелась 21 машина ИСУ-152 или ИСУ-122 (часть из этих полков — смешанного состава). 1 марта 1945 года 143-я отдельная танковая Невельская бригада в Белорусско-литовском военном округе была переформирована в 66-ю гвардейскую Невельскую тяжелую самоходно-артиллерийскую бригаду РВГК трехполкового состава (1804 человека, 65 ИСУ-122, 3 СУ-76). </w:t>
      </w:r>
    </w:p>
    <w:p w14:paraId="790EFC2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Тяжелые самоходно-артиллерийские полки, приданные танковым и стрелковым частям и соединениям, в первую очередь использовались для поддержки пехоты и танков в наступлении. Следуя в их боевых порядках, САУ уничтожали огневые точки противника и обеспечивали пехоте и танкам успешное продвижение. В этой фазе наступления САУ становились одним из основных средств отражения танковых контратак. В ряде случаев им приходилось выдвигаться вперед боевых порядков своих войск и принимать удар на себя, обеспечивая тем самым свободу маневра поддерживаемых танков. </w:t>
      </w:r>
    </w:p>
    <w:p w14:paraId="4EEC7E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Так, например, 15 января 1945 года в Восточной Пруссии, в районе Борове, немцы силою до одного полка мотопехоты при поддержке танков и самоходных орудий контратаковали боевые порядки нашей наступавшей пехоты, вместе с которой действовал 390-й гвардейский тяжелый самоходно-артиллерийский полк. </w:t>
      </w:r>
    </w:p>
    <w:p w14:paraId="61CA14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Пехота под давлением превосходящих сил противника отошла за боевые порядки самоходчиков, встретивших удар немцев сосредоточенным огнем и прикрывших поддерживаемые подразделения. Контратака была отбита, и пехота вновь получила возможность продолжать свое наступление (11638).</w:t>
      </w:r>
    </w:p>
    <w:p w14:paraId="208281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9BD01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весне 1944 г. танк «Пантера» стал широко распространенной моделью на всех фронтах (11135).</w:t>
      </w:r>
    </w:p>
    <w:p w14:paraId="72DD72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7EE6E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036DFC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6E0B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ситуация в Синьцзяне обострилась еще больше. Попытка правительственных сил выселить казахское население из районов, приграничных с советским Казахстаном, привела к массовой миграции казахов на территорию Внешней Монголии. Преследуя их, китайские формирования продвинулись на монгольскую территорию. Произошло несколько вооруженных столкновений китайских сил с монгольскими формированиями. Советский Союз неофициально дал понять правительству Чан Кайши, что не остановится перед оказанием военной поддержки Монголии, если китайские войска окажутся на ее территории повторно. Попытки Чунцина повлиять на Москву через посредничество США ни к чему не привели. Американская администрация категорически отказалась вмешиваться в советско-китайские трения (3871).</w:t>
      </w:r>
    </w:p>
    <w:p w14:paraId="71CC54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DA0316" w14:textId="77777777" w:rsidR="00172E22" w:rsidRPr="00070ADE" w:rsidRDefault="00172E2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американские эксперты остановились на сумме 37 млрд долларов германских репараций с постепенной выплатой в течение 12 лет (в качестве альтернативы была предложена возможность выплаты 14 млрд долларов, но за более короткий срок). Осенью 1944 г. специалисты Управления по внешнеэкономической деятельности, опираясь на данные о немецких военных расходах в 1938 г., предположили, что Германия в состоянии заплатить более 200 млрд долларов в течение 12—15 лет (после покрытия расходов на оккупацию и финансирования импорта), однако это предложение было отвергнуто, как непомерно завышенное [Backer, 1981. S. 33ff.] 11 . Часть репараций предполагалось возместить за счет иностранных активов и демонтажа оборудования. Основной же объем обязательств мог быть покрыт за счет изъятий из действующего производства. В Вашингтоне думали о том, чтобы смягчить деструктивные для мировой экономики последствия репараций: германская промышленность должна была работать на послевоенное восстановление Европы [Karlsch, 1993(a). S. 18]. Другой неназываемой вслух причиной взимания репараций в виде поставок готовой продукции было стремление не допустить увеличения советского промышленного потенциала за счет немецкого, сохранить производство в Германии под межсоюзным (или американским) контролем (19850).</w:t>
      </w:r>
    </w:p>
    <w:p w14:paraId="34B53557" w14:textId="77777777" w:rsidR="00172E22" w:rsidRPr="00070ADE" w:rsidRDefault="00172E22" w:rsidP="00B56F90">
      <w:pPr>
        <w:spacing w:after="0" w:line="240" w:lineRule="auto"/>
        <w:jc w:val="both"/>
        <w:rPr>
          <w:rFonts w:ascii="Times New Roman" w:hAnsi="Times New Roman"/>
          <w:color w:val="000000" w:themeColor="text1"/>
          <w:sz w:val="16"/>
          <w:szCs w:val="16"/>
        </w:rPr>
      </w:pPr>
    </w:p>
    <w:p w14:paraId="26CC15FC" w14:textId="77777777" w:rsidR="00552857"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7E74340B" w14:textId="77777777" w:rsidR="00552857" w:rsidRPr="00070ADE" w:rsidRDefault="00552857"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FD7F7C" w14:textId="77777777" w:rsidR="00222A2A" w:rsidRPr="00070ADE" w:rsidRDefault="00222A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года RLM опубликовало спецификацию на небольшой скоростной истребитель-перехватчик. Для участия в конкурсе были представлены самолеты Messerschmitt P.1104, Heinkel P1077 Julia и Junkers EF 126 Dolly. Практически сразу был отвергнут проект EF.126 с пульсирующим воздушно-реактивным двигателем Argus. Взамен EF.126 был предложен проект EF.127 с ракетным двигателем Walter HWK. EF.127 был предложен RLM в рамках программы "Jager-Notprogramm". Весной 1945 года на заводах Junkers в Дассау был изготовлена полномасштабная модель самолета и началось производство первого прототипа. Завершению работ помешало окончание Второй Мировой войны. В октябре 1945 года советские военные осмотрев производственные мощности в Дассау и предложили специалистам фирмы Junkers окончить работы над прототипом. В 1946 году после проведения исследований модели самолета было заказано строительство пяти прототипов самолета. В мае 1946 года был закончен первый бездвигательный прототип самолета EF.126 V1. Впервые он "полетел" прикрепленный к Ju.88G6 под присмотром конструктора Ханса Шрейбера. Но уже 21 мая первый прототип был потерян. В аварии погиб пилот-испытатель фирмы Маттекус. Не смотря на аварию работы продолжались, и в июне 1946 года состоялся первый полет самолета (15139).</w:t>
      </w:r>
    </w:p>
    <w:p w14:paraId="7A108AB1" w14:textId="77777777" w:rsidR="00222A2A" w:rsidRPr="00070ADE" w:rsidRDefault="00222A2A" w:rsidP="00B56F90">
      <w:pPr>
        <w:spacing w:after="0" w:line="240" w:lineRule="auto"/>
        <w:jc w:val="both"/>
        <w:rPr>
          <w:rFonts w:ascii="Times New Roman" w:hAnsi="Times New Roman"/>
          <w:color w:val="000000" w:themeColor="text1"/>
          <w:sz w:val="16"/>
          <w:szCs w:val="16"/>
        </w:rPr>
      </w:pPr>
    </w:p>
    <w:p w14:paraId="67A58F8D" w14:textId="77777777" w:rsidR="00222A2A" w:rsidRPr="00070ADE" w:rsidRDefault="00222A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1944г. были проведены первые успешные испытания безмоторного прототипа будущего Go.229. Начались работы над второй машиной. Из-за неготовности к этому времени турбореактивных двигателей ВМW-003 на втором опытном самолете было решено установить Jumo-004, что потребовало внести в конструкцию некоторые изменения. Но-IX-V2 был спроектирован из расчета на перегрузку 7, что с запасом прочности 1.8 давало разрушающую перегрузку 12.6. Центроплан сварной из стальных труб с фанерной обшивкой (за исключением района выхлопных сопел моторов, обшитого стальным листом). Консоли цельнодеревянной конструкции с металлическими законцовками. Передняя кромка выполнялась из так называемого литого дерева, представлявшего собой прессованый с резиной опилки. Остальная поверхность крыла обшивалась фанерой. Крыло с одним основным лонжероном и одним вспомогательным, к которому крепились рулевые поверхности. Баков в каждом крыле было четыре - по два за и перед лонжероном. Два ТРД Jumo-004В монтировались близко к линии симметрии. Шасси трехстоечное; носовое колесо убиралось назад, основные стойки - к линии симметрии. Для сокращения пробега был предусмотрен тормозной парашют. Продольная и поперечная управляемость обеспечивалась элевонами, которые вместе с закрылками занимали всю заднюю кромку крыла. Закрылки были связаны со спойлерами, расположенными сразу за стойками шасси. Управление по курсу осуществлялось спойлерами на консолях сразу за главным лонжероном. При этом использовалась пара спойлеров разной длины на верхней и нижней поверхности крыла. Таким образом обеспечивалось нормальное управление самолета на малых и больших скоростях. На стадии полного производства работ и подключилась "Готаер вагонфабрик", получившая задание довести конструкцию до серийного производства. Дальнейшие работы по самолету были переданы конструкторскому бюро ГВФ. Самолет получил обозначение Go.229, и в начале лета 1944г. был выдан контракт на семь опытных и 20 предсерийных самолетов. Конструктора "Готы" практически не изменили конструкции, но переделали кабину, оснастив ее простейшим катапультируемым сиденьем. Была введена система обдува холодным воздухом обшивки в районе сопел двигателей. Предусматривалась установка четырех пушек МК-103 или МК-108 рядом с двигателями. Под центроплан можно было подвесить две 1000кг бомбы или два 1250л бака. Была спроектирована и двухместная всепогодная версия Go.229b под локатор сантиметрового диапазона FuG-244 "Бремен" в удлиненном носовом обтекателе. Второй и третий самолеты постройки ГВФ - V4 и V5 были прототипами этой серии. Пока на ГВФ разворачивалось серийное производство, в Геттингене в январе 1945г. был закончен Но-IХ-V2, перевезенный в Ораниенберг для летных испытаний. На первые полеты носовая стойка шасси была заблокирована в выпущенном положении. При нормальном взлетном весе скорость отрыва была 150км/ч при разбеге в 500 м. Управляемость оправдала самые оптимистичные предположения. В марте носовое колесо стали убирать в полете. Была достигнута скорость 795км/ч, но во время посадки правый двигатель заглох. Пилот лейтенант Циллер катапультировался, самолет перевернулся, упал на землю и сгорел. Всего опытный самолет налетал два часа. Сборка следующего опытного самолета в Фридрихсроде уже заканчивалась. Go.229-VЗ должен был стать первым прототипом серийного Go.229a. V4 и V5 были прототипами Go.229b - двухместного всепогодного истребителя. V6 был вторым опытным самолетом серии А с пушками МК-103 вместо МК-108. V7 должен был стать учебным двухместным вариантом (15139).</w:t>
      </w:r>
    </w:p>
    <w:p w14:paraId="5580F9C0" w14:textId="77777777" w:rsidR="00222A2A" w:rsidRPr="00070ADE" w:rsidRDefault="00222A2A" w:rsidP="00B56F90">
      <w:pPr>
        <w:spacing w:after="0" w:line="240" w:lineRule="auto"/>
        <w:jc w:val="both"/>
        <w:rPr>
          <w:rFonts w:ascii="Times New Roman" w:hAnsi="Times New Roman"/>
          <w:color w:val="000000" w:themeColor="text1"/>
          <w:sz w:val="16"/>
          <w:szCs w:val="16"/>
        </w:rPr>
      </w:pPr>
    </w:p>
    <w:p w14:paraId="6723B6C5" w14:textId="77777777" w:rsidR="00497945" w:rsidRPr="00070ADE" w:rsidRDefault="00497945"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весны 1944 года скорость He.111 в 480 км/ч была явно недостаточной. Фирма не оставляла попыток спасти безнадежно устаревший самолет, используя все возможности, но тщетно. Ни высотный He.111V32 с моторами DB 603U с турбокомпрессорами TK 9AC, ни фантастический сдвоенный He.111Z «Цвилинг», который проектировали для буксировки сверхтяжелых десантных планеров, но который в частях пытались использовать и как стратегический бомбардировщик, не смогли ничего изменить (22822).</w:t>
      </w:r>
    </w:p>
    <w:p w14:paraId="602796E1" w14:textId="77777777" w:rsidR="00497945" w:rsidRPr="00070ADE" w:rsidRDefault="00497945" w:rsidP="00B56F90">
      <w:pPr>
        <w:shd w:val="clear" w:color="auto" w:fill="FFFFFF"/>
        <w:spacing w:after="0" w:line="240" w:lineRule="auto"/>
        <w:jc w:val="both"/>
        <w:rPr>
          <w:rFonts w:ascii="Times New Roman" w:hAnsi="Times New Roman"/>
          <w:color w:val="000000" w:themeColor="text1"/>
          <w:sz w:val="16"/>
          <w:szCs w:val="16"/>
        </w:rPr>
      </w:pPr>
    </w:p>
    <w:p w14:paraId="6327BE29"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первый опытный Me.163D V1 испы</w:t>
      </w:r>
      <w:r w:rsidRPr="00070ADE">
        <w:rPr>
          <w:rFonts w:ascii="Times New Roman" w:hAnsi="Times New Roman"/>
          <w:color w:val="000000" w:themeColor="text1"/>
          <w:sz w:val="16"/>
          <w:szCs w:val="16"/>
        </w:rPr>
        <w:softHyphen/>
        <w:t>тывался в планерном полете, но у Мессершмитта не хватало людей закончить эту работу. В результа</w:t>
      </w:r>
      <w:r w:rsidRPr="00070ADE">
        <w:rPr>
          <w:rFonts w:ascii="Times New Roman" w:hAnsi="Times New Roman"/>
          <w:color w:val="000000" w:themeColor="text1"/>
          <w:sz w:val="16"/>
          <w:szCs w:val="16"/>
        </w:rPr>
        <w:softHyphen/>
        <w:t>те самолет передали на фирму Юнкерса и переделали. Предсерийный образец, названный Ju.248 V1, был закончен в августе 1944 г. и испытан в планерном варианте. К сентябрю на нем установи</w:t>
      </w:r>
      <w:r w:rsidRPr="00070ADE">
        <w:rPr>
          <w:rFonts w:ascii="Times New Roman" w:hAnsi="Times New Roman"/>
          <w:color w:val="000000" w:themeColor="text1"/>
          <w:sz w:val="16"/>
          <w:szCs w:val="16"/>
        </w:rPr>
        <w:softHyphen/>
        <w:t>ли двухкамерный двигатель 109-509.С и планировали передать в серию. Минис</w:t>
      </w:r>
      <w:r w:rsidRPr="00070ADE">
        <w:rPr>
          <w:rFonts w:ascii="Times New Roman" w:hAnsi="Times New Roman"/>
          <w:color w:val="000000" w:themeColor="text1"/>
          <w:sz w:val="16"/>
          <w:szCs w:val="16"/>
        </w:rPr>
        <w:softHyphen/>
        <w:t>терство авиации настояло на возвраще</w:t>
      </w:r>
      <w:r w:rsidRPr="00070ADE">
        <w:rPr>
          <w:rFonts w:ascii="Times New Roman" w:hAnsi="Times New Roman"/>
          <w:color w:val="000000" w:themeColor="text1"/>
          <w:sz w:val="16"/>
          <w:szCs w:val="16"/>
        </w:rPr>
        <w:softHyphen/>
        <w:t>нии к названию Ме. 263; кроме того, планировали заменить исходный двига</w:t>
      </w:r>
      <w:r w:rsidRPr="00070ADE">
        <w:rPr>
          <w:rFonts w:ascii="Times New Roman" w:hAnsi="Times New Roman"/>
          <w:color w:val="000000" w:themeColor="text1"/>
          <w:sz w:val="16"/>
          <w:szCs w:val="16"/>
        </w:rPr>
        <w:softHyphen/>
        <w:t>тель на ВММ 708, работавший на азот</w:t>
      </w:r>
      <w:r w:rsidRPr="00070ADE">
        <w:rPr>
          <w:rFonts w:ascii="Times New Roman" w:hAnsi="Times New Roman"/>
          <w:color w:val="000000" w:themeColor="text1"/>
          <w:sz w:val="16"/>
          <w:szCs w:val="16"/>
        </w:rPr>
        <w:softHyphen/>
        <w:t>ной кислоте. Однако ухудшенне положе</w:t>
      </w:r>
      <w:r w:rsidRPr="00070ADE">
        <w:rPr>
          <w:rFonts w:ascii="Times New Roman" w:hAnsi="Times New Roman"/>
          <w:color w:val="000000" w:themeColor="text1"/>
          <w:sz w:val="16"/>
          <w:szCs w:val="16"/>
        </w:rPr>
        <w:softHyphen/>
        <w:t>ния на фронте не позволило завершить подготовку серийного производства.</w:t>
      </w:r>
    </w:p>
    <w:p w14:paraId="06B705F0"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Опытный Ме. 263 V1 так и остался в единственном экземпляре. Он был зах</w:t>
      </w:r>
      <w:r w:rsidRPr="00070ADE">
        <w:rPr>
          <w:rFonts w:ascii="Times New Roman" w:hAnsi="Times New Roman"/>
          <w:color w:val="000000" w:themeColor="text1"/>
          <w:sz w:val="16"/>
          <w:szCs w:val="16"/>
        </w:rPr>
        <w:softHyphen/>
        <w:t>вачен Красной Армией в Дессау и отп</w:t>
      </w:r>
      <w:r w:rsidRPr="00070ADE">
        <w:rPr>
          <w:rFonts w:ascii="Times New Roman" w:hAnsi="Times New Roman"/>
          <w:color w:val="000000" w:themeColor="text1"/>
          <w:sz w:val="16"/>
          <w:szCs w:val="16"/>
        </w:rPr>
        <w:softHyphen/>
        <w:t>равлен в СССР. В феврале 1946 г. ОКБ Артема Ивановича Микояна было пору</w:t>
      </w:r>
      <w:r w:rsidRPr="00070ADE">
        <w:rPr>
          <w:rFonts w:ascii="Times New Roman" w:hAnsi="Times New Roman"/>
          <w:color w:val="000000" w:themeColor="text1"/>
          <w:sz w:val="16"/>
          <w:szCs w:val="16"/>
        </w:rPr>
        <w:softHyphen/>
        <w:t>чено создать на его основе истребитель И-270 для защиты с воздуха крупных промышленных объектов и военных баз (23388).</w:t>
      </w:r>
    </w:p>
    <w:p w14:paraId="366B6FE7" w14:textId="77777777" w:rsidR="007938E2" w:rsidRPr="00070ADE" w:rsidRDefault="007938E2" w:rsidP="00B56F90">
      <w:pPr>
        <w:spacing w:after="0" w:line="240" w:lineRule="auto"/>
        <w:jc w:val="both"/>
        <w:rPr>
          <w:rFonts w:ascii="Times New Roman" w:hAnsi="Times New Roman"/>
          <w:color w:val="000000" w:themeColor="text1"/>
          <w:sz w:val="16"/>
          <w:szCs w:val="16"/>
        </w:rPr>
      </w:pPr>
    </w:p>
    <w:p w14:paraId="52B0AEBC"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 весны 1944 г. началось проектирова</w:t>
      </w:r>
      <w:r w:rsidRPr="00070ADE">
        <w:rPr>
          <w:rFonts w:ascii="Times New Roman" w:hAnsi="Times New Roman"/>
          <w:color w:val="000000" w:themeColor="text1"/>
          <w:sz w:val="16"/>
          <w:szCs w:val="16"/>
        </w:rPr>
        <w:softHyphen/>
        <w:t>ние установки на штурмовик Hs 129 75-мм проти</w:t>
      </w:r>
      <w:r w:rsidRPr="00070ADE">
        <w:rPr>
          <w:rFonts w:ascii="Times New Roman" w:hAnsi="Times New Roman"/>
          <w:color w:val="000000" w:themeColor="text1"/>
          <w:sz w:val="16"/>
          <w:szCs w:val="16"/>
        </w:rPr>
        <w:softHyphen/>
        <w:t>вотанкового орудия Рак 40. Пушка, полу</w:t>
      </w:r>
      <w:r w:rsidRPr="00070ADE">
        <w:rPr>
          <w:rFonts w:ascii="Times New Roman" w:hAnsi="Times New Roman"/>
          <w:color w:val="000000" w:themeColor="text1"/>
          <w:sz w:val="16"/>
          <w:szCs w:val="16"/>
        </w:rPr>
        <w:softHyphen/>
        <w:t>чившая в авиационном варианте обозна</w:t>
      </w:r>
      <w:r w:rsidRPr="00070ADE">
        <w:rPr>
          <w:rFonts w:ascii="Times New Roman" w:hAnsi="Times New Roman"/>
          <w:color w:val="000000" w:themeColor="text1"/>
          <w:sz w:val="16"/>
          <w:szCs w:val="16"/>
        </w:rPr>
        <w:softHyphen/>
        <w:t>чение ВК 7,5 (или же Рак 40L), имела длину 6,165 м и массу 447 кг. Вес всей же системы с боекомплектом и механизмом подачи снарядов достигал 750 кг. Снаряд весом 6,8 кг на дистанции 1000 м при по</w:t>
      </w:r>
      <w:r w:rsidRPr="00070ADE">
        <w:rPr>
          <w:rFonts w:ascii="Times New Roman" w:hAnsi="Times New Roman"/>
          <w:color w:val="000000" w:themeColor="text1"/>
          <w:sz w:val="16"/>
          <w:szCs w:val="16"/>
        </w:rPr>
        <w:softHyphen/>
        <w:t>падании под прямым углом пробивал бро</w:t>
      </w:r>
      <w:r w:rsidRPr="00070ADE">
        <w:rPr>
          <w:rFonts w:ascii="Times New Roman" w:hAnsi="Times New Roman"/>
          <w:color w:val="000000" w:themeColor="text1"/>
          <w:sz w:val="16"/>
          <w:szCs w:val="16"/>
        </w:rPr>
        <w:softHyphen/>
        <w:t>ню толщиной 97 мм. Пушка размещалась в подфюзеляжном контейнере, а бое</w:t>
      </w:r>
      <w:r w:rsidRPr="00070ADE">
        <w:rPr>
          <w:rFonts w:ascii="Times New Roman" w:hAnsi="Times New Roman"/>
          <w:color w:val="000000" w:themeColor="text1"/>
          <w:sz w:val="16"/>
          <w:szCs w:val="16"/>
        </w:rPr>
        <w:softHyphen/>
        <w:t>комплект, составлявший 12 патронов ве</w:t>
      </w:r>
      <w:r w:rsidRPr="00070ADE">
        <w:rPr>
          <w:rFonts w:ascii="Times New Roman" w:hAnsi="Times New Roman"/>
          <w:color w:val="000000" w:themeColor="text1"/>
          <w:sz w:val="16"/>
          <w:szCs w:val="16"/>
        </w:rPr>
        <w:softHyphen/>
        <w:t>сом по 12 кг, - в барабане в фюзеляже. Подача снарядов к орудию осуществля</w:t>
      </w:r>
      <w:r w:rsidRPr="00070ADE">
        <w:rPr>
          <w:rFonts w:ascii="Times New Roman" w:hAnsi="Times New Roman"/>
          <w:color w:val="000000" w:themeColor="text1"/>
          <w:sz w:val="16"/>
          <w:szCs w:val="16"/>
        </w:rPr>
        <w:softHyphen/>
        <w:t>лась посредством электропневматическо- го механизма, позволяющего производить выстрелы с интервалом 1,5 секунды. При установке ВК 7,5 приходилось снимать обе 20-мм пушки - их место в фюзеляже занимал механизм заряжания 75-мм ору</w:t>
      </w:r>
      <w:r w:rsidRPr="00070ADE">
        <w:rPr>
          <w:rFonts w:ascii="Times New Roman" w:hAnsi="Times New Roman"/>
          <w:color w:val="000000" w:themeColor="text1"/>
          <w:sz w:val="16"/>
          <w:szCs w:val="16"/>
        </w:rPr>
        <w:softHyphen/>
        <w:t>дия. Некоторые источники утверждают, что демонтировались и фюзеляжные пу</w:t>
      </w:r>
      <w:r w:rsidRPr="00070ADE">
        <w:rPr>
          <w:rFonts w:ascii="Times New Roman" w:hAnsi="Times New Roman"/>
          <w:color w:val="000000" w:themeColor="text1"/>
          <w:sz w:val="16"/>
          <w:szCs w:val="16"/>
        </w:rPr>
        <w:softHyphen/>
        <w:t>леметы, но, вероятно, на практике этого делать не приходилось, поскольку они не мешали размещению боекомплекта к ору</w:t>
      </w:r>
      <w:r w:rsidRPr="00070ADE">
        <w:rPr>
          <w:rFonts w:ascii="Times New Roman" w:hAnsi="Times New Roman"/>
          <w:color w:val="000000" w:themeColor="text1"/>
          <w:sz w:val="16"/>
          <w:szCs w:val="16"/>
        </w:rPr>
        <w:softHyphen/>
        <w:t>дию. Во всяком случае, в техническом описании, изданном штабом люфтваффе, вооружение самолета указывается в со</w:t>
      </w:r>
      <w:r w:rsidRPr="00070ADE">
        <w:rPr>
          <w:rFonts w:ascii="Times New Roman" w:hAnsi="Times New Roman"/>
          <w:color w:val="000000" w:themeColor="text1"/>
          <w:sz w:val="16"/>
          <w:szCs w:val="16"/>
        </w:rPr>
        <w:softHyphen/>
        <w:t>ставе одной пушки ВК 7,5 и двух пулеме</w:t>
      </w:r>
      <w:r w:rsidRPr="00070ADE">
        <w:rPr>
          <w:rFonts w:ascii="Times New Roman" w:hAnsi="Times New Roman"/>
          <w:color w:val="000000" w:themeColor="text1"/>
          <w:sz w:val="16"/>
          <w:szCs w:val="16"/>
        </w:rPr>
        <w:softHyphen/>
        <w:t>тов MG 17.</w:t>
      </w:r>
    </w:p>
    <w:p w14:paraId="5F2C3684"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Поскольку полет с 75-мм орудием при одном отказавшем двигателе был невоз</w:t>
      </w:r>
      <w:r w:rsidRPr="00070ADE">
        <w:rPr>
          <w:rFonts w:ascii="Times New Roman" w:hAnsi="Times New Roman"/>
          <w:color w:val="000000" w:themeColor="text1"/>
          <w:sz w:val="16"/>
          <w:szCs w:val="16"/>
        </w:rPr>
        <w:softHyphen/>
        <w:t>можен, конструкторы предусмотрели воз</w:t>
      </w:r>
      <w:r w:rsidRPr="00070ADE">
        <w:rPr>
          <w:rFonts w:ascii="Times New Roman" w:hAnsi="Times New Roman"/>
          <w:color w:val="000000" w:themeColor="text1"/>
          <w:sz w:val="16"/>
          <w:szCs w:val="16"/>
        </w:rPr>
        <w:softHyphen/>
        <w:t>можность аварийного сброса подфюзе</w:t>
      </w:r>
      <w:r w:rsidRPr="00070ADE">
        <w:rPr>
          <w:rFonts w:ascii="Times New Roman" w:hAnsi="Times New Roman"/>
          <w:color w:val="000000" w:themeColor="text1"/>
          <w:sz w:val="16"/>
          <w:szCs w:val="16"/>
        </w:rPr>
        <w:softHyphen/>
        <w:t>ляжной пушечной установки. Такая воз</w:t>
      </w:r>
      <w:r w:rsidRPr="00070ADE">
        <w:rPr>
          <w:rFonts w:ascii="Times New Roman" w:hAnsi="Times New Roman"/>
          <w:color w:val="000000" w:themeColor="text1"/>
          <w:sz w:val="16"/>
          <w:szCs w:val="16"/>
        </w:rPr>
        <w:softHyphen/>
        <w:t>можность была необходимой и в случае вынужденной посадки с убранным шасси (24189).</w:t>
      </w:r>
    </w:p>
    <w:p w14:paraId="3E344616" w14:textId="77777777" w:rsidR="007938E2" w:rsidRPr="00070ADE" w:rsidRDefault="007938E2" w:rsidP="00B56F90">
      <w:pPr>
        <w:spacing w:after="0" w:line="240" w:lineRule="auto"/>
        <w:jc w:val="both"/>
        <w:rPr>
          <w:rFonts w:ascii="Times New Roman" w:hAnsi="Times New Roman"/>
          <w:color w:val="000000" w:themeColor="text1"/>
          <w:sz w:val="16"/>
          <w:szCs w:val="16"/>
        </w:rPr>
      </w:pPr>
    </w:p>
    <w:p w14:paraId="69D4247B" w14:textId="77777777" w:rsidR="00497945" w:rsidRPr="00070ADE" w:rsidRDefault="00497945"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года первые постановщики помех были направлены в 199-ю эскадрилью, к лету на выполнение задач радиоэлектронной борьбы (РЭБ) была подготовлена вся 100-я авиагруппа Бомбардировочного Командования, а впервые новая тактика, получившая наименование «Виндоуз» (самолеты РЭБ должны были пробивать «окна» во вражеском радиолокационном поле), была использована в «день Д» пятого июня 1944, когда началась высадка Союзников в Нормандии и освобождение Северо-Западной Европы. Вслед за 199-й к «прорубанию окон» подключились 214-я, 223-я и другие эскадрильи «стирлингов», они обеспечивали проход соединений тяжелых бомбардировщиков В-17, В-24, «Ланкастер» и «Галифакс» сквозь рубежи ПВО.</w:t>
      </w:r>
    </w:p>
    <w:p w14:paraId="0A886E5C" w14:textId="77777777" w:rsidR="00497945" w:rsidRPr="00070ADE" w:rsidRDefault="00497945"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Оборудование РЭБ «Мэндрил» было громоздким, и огромный бомбоотсек «Стирлинга» как нельзя лучше подходил для его размещения. Под фюзеляжем поставили 8 антенн приемников и патрубки для выброса фольги, а также антенны системы «свой — чужой» и системы наведения «Джи», а на хвостовой части смонтировали антенну РЛС заднего обзора «Моника», предназначенную для своевременного обнаружения атакующих ночных перехватчиков (22923).</w:t>
      </w:r>
    </w:p>
    <w:p w14:paraId="2EFE7393" w14:textId="77777777" w:rsidR="00497945" w:rsidRPr="00070ADE" w:rsidRDefault="00497945" w:rsidP="00B56F90">
      <w:pPr>
        <w:shd w:val="clear" w:color="auto" w:fill="FFFFFF"/>
        <w:spacing w:after="0" w:line="240" w:lineRule="auto"/>
        <w:jc w:val="both"/>
        <w:rPr>
          <w:rFonts w:ascii="Times New Roman" w:hAnsi="Times New Roman"/>
          <w:color w:val="000000" w:themeColor="text1"/>
          <w:sz w:val="16"/>
          <w:szCs w:val="16"/>
        </w:rPr>
      </w:pPr>
    </w:p>
    <w:p w14:paraId="72A4920F" w14:textId="77777777" w:rsidR="00497945" w:rsidRPr="00070ADE" w:rsidRDefault="00497945"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года благодаря усилиям Правительства США снабжение носовыми стрелковыми точками Эмерсон А-15 возобновилось и из стали ставить со 181-го серийного самолета В-24 в Сан-Диего и с 41-го в Форт-Уорсе. Тогда же было внедрено еще более важное улучшение — вместо старого автопилота А-5 стали ставить новый Хониуэлл С-1, который имел электрические рулевые машины с малым временем реакции и высокой точностью отработки команд. Автопилот С-1 позволял штурману-бомбардиру вносить поправки в курс в ходе прицеливания и дал возможность заменить устаревший бомбардировочный прицел Сперри S-1 высокоточным Норден М-1. Филиал «Консолидейтед Валти Модификейшн Сентер» на базе узлов спаренной установки Белл М-6 спроектировал для В-24 облегченную хвостовую турель М-6А «Стингер». Благодаря применению легких и конструктивно простых обратимых гидроусилителей вместо гидромоторов она была по сравнению со стандартной А-6А легче на 91 кг, а обзор для стрелка стал шире (22865).</w:t>
      </w:r>
    </w:p>
    <w:p w14:paraId="2E844A7A" w14:textId="77777777" w:rsidR="00497945" w:rsidRPr="00070ADE" w:rsidRDefault="00497945" w:rsidP="00B56F90">
      <w:pPr>
        <w:shd w:val="clear" w:color="auto" w:fill="FFFFFF"/>
        <w:spacing w:after="0" w:line="240" w:lineRule="auto"/>
        <w:jc w:val="both"/>
        <w:rPr>
          <w:rFonts w:ascii="Times New Roman" w:hAnsi="Times New Roman"/>
          <w:color w:val="000000" w:themeColor="text1"/>
          <w:sz w:val="16"/>
          <w:szCs w:val="16"/>
        </w:rPr>
      </w:pPr>
    </w:p>
    <w:p w14:paraId="34163731" w14:textId="77777777" w:rsidR="00497945" w:rsidRPr="00070ADE" w:rsidRDefault="00497945" w:rsidP="00B56F90">
      <w:pPr>
        <w:pStyle w:val="115"/>
        <w:shd w:val="clear" w:color="auto" w:fill="auto"/>
        <w:spacing w:after="0" w:line="240" w:lineRule="auto"/>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Весной 1944 г. «Толлбой» был готов к использованию. Первый налет с этими бомбами был совершен 8 июня на важный железнодорожный тоннель Сомюр во Франции. Германская танковая дивизия выдвигалась по железной дороге из Бордо к плацдарму союзников. Поезда с бронетехникой должны были проследовать через тоннель Сомюр, лежащий в сотне миль от берега. Надо было заблокировать тоннель, прежде чем поезда пройдут через него (22888).</w:t>
      </w:r>
    </w:p>
    <w:p w14:paraId="53501AF5" w14:textId="77777777" w:rsidR="00497945" w:rsidRPr="00070ADE" w:rsidRDefault="00497945" w:rsidP="00B56F90">
      <w:pPr>
        <w:pStyle w:val="115"/>
        <w:shd w:val="clear" w:color="auto" w:fill="auto"/>
        <w:spacing w:after="0" w:line="240" w:lineRule="auto"/>
        <w:jc w:val="both"/>
        <w:rPr>
          <w:rFonts w:ascii="Times New Roman" w:hAnsi="Times New Roman" w:cs="Times New Roman"/>
          <w:color w:val="000000" w:themeColor="text1"/>
          <w:sz w:val="16"/>
          <w:szCs w:val="16"/>
        </w:rPr>
      </w:pPr>
    </w:p>
    <w:p w14:paraId="4FFA194F" w14:textId="77777777" w:rsidR="00222A2A" w:rsidRPr="00070ADE" w:rsidRDefault="00222A2A"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Весной 1944 года в следующий раз вспомнили о «Кромвелях» (15737).</w:t>
      </w:r>
    </w:p>
    <w:p w14:paraId="48A9CE61" w14:textId="77777777" w:rsidR="00222A2A" w:rsidRPr="00070ADE" w:rsidRDefault="00222A2A" w:rsidP="00B56F90">
      <w:pPr>
        <w:pStyle w:val="ae"/>
        <w:shd w:val="clear" w:color="auto" w:fill="FFFFFF"/>
        <w:spacing w:before="0" w:after="0"/>
        <w:jc w:val="both"/>
        <w:rPr>
          <w:color w:val="000000" w:themeColor="text1"/>
          <w:sz w:val="16"/>
          <w:szCs w:val="16"/>
        </w:rPr>
      </w:pPr>
    </w:p>
    <w:p w14:paraId="355F418C"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 на территорию Мон</w:t>
      </w:r>
      <w:r w:rsidRPr="00070ADE">
        <w:rPr>
          <w:rFonts w:ascii="Times New Roman" w:hAnsi="Times New Roman"/>
          <w:color w:val="000000" w:themeColor="text1"/>
          <w:sz w:val="16"/>
          <w:szCs w:val="16"/>
        </w:rPr>
        <w:softHyphen/>
        <w:t>голии из Китая перебрались казахские повстанцы, возглавляемые Осман-Баатаром. Преследуя их, границу перешли китайские войска. Против них выступили монголы. Пехоту и кавалерию поддержи</w:t>
      </w:r>
      <w:r w:rsidRPr="00070ADE">
        <w:rPr>
          <w:rFonts w:ascii="Times New Roman" w:hAnsi="Times New Roman"/>
          <w:color w:val="000000" w:themeColor="text1"/>
          <w:sz w:val="16"/>
          <w:szCs w:val="16"/>
        </w:rPr>
        <w:softHyphen/>
        <w:t>вали два авиационных подразделения, укомплектованных И-15бис, Р-5 и во</w:t>
      </w:r>
      <w:r w:rsidRPr="00070ADE">
        <w:rPr>
          <w:rFonts w:ascii="Times New Roman" w:hAnsi="Times New Roman"/>
          <w:color w:val="000000" w:themeColor="text1"/>
          <w:sz w:val="16"/>
          <w:szCs w:val="16"/>
        </w:rPr>
        <w:softHyphen/>
        <w:t>оружёнными У-2. С утра 11 апреля они начали бомбить и обстреливать китай</w:t>
      </w:r>
      <w:r w:rsidRPr="00070ADE">
        <w:rPr>
          <w:rFonts w:ascii="Times New Roman" w:hAnsi="Times New Roman"/>
          <w:color w:val="000000" w:themeColor="text1"/>
          <w:sz w:val="16"/>
          <w:szCs w:val="16"/>
        </w:rPr>
        <w:softHyphen/>
        <w:t>ские войска. Всего монгольские лётчики совершили 57 (по другим данным - 59) боевых вылетов. Китайские войска ото</w:t>
      </w:r>
      <w:r w:rsidRPr="00070ADE">
        <w:rPr>
          <w:rFonts w:ascii="Times New Roman" w:hAnsi="Times New Roman"/>
          <w:color w:val="000000" w:themeColor="text1"/>
          <w:sz w:val="16"/>
          <w:szCs w:val="16"/>
        </w:rPr>
        <w:softHyphen/>
        <w:t>шли, а правительство Чан Кайши за</w:t>
      </w:r>
      <w:r w:rsidRPr="00070ADE">
        <w:rPr>
          <w:rFonts w:ascii="Times New Roman" w:hAnsi="Times New Roman"/>
          <w:color w:val="000000" w:themeColor="text1"/>
          <w:sz w:val="16"/>
          <w:szCs w:val="16"/>
        </w:rPr>
        <w:softHyphen/>
        <w:t>явило протест, мотивируя это тем, что боевые действия, дескать, велись на китайской территории.</w:t>
      </w:r>
    </w:p>
    <w:p w14:paraId="22625753" w14:textId="77777777" w:rsidR="00552857" w:rsidRPr="00070ADE" w:rsidRDefault="0055285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 эскадрилья монгольских «бисов» в августе 1945 г. участвовала в операциях против Квантунской армии японцев (12294).</w:t>
      </w:r>
    </w:p>
    <w:p w14:paraId="31BCDF39" w14:textId="77777777" w:rsidR="00552857" w:rsidRPr="00070ADE" w:rsidRDefault="00552857" w:rsidP="00B56F90">
      <w:pPr>
        <w:spacing w:after="0" w:line="240" w:lineRule="auto"/>
        <w:jc w:val="both"/>
        <w:rPr>
          <w:rFonts w:ascii="Times New Roman" w:hAnsi="Times New Roman"/>
          <w:color w:val="000000" w:themeColor="text1"/>
          <w:sz w:val="16"/>
          <w:szCs w:val="16"/>
        </w:rPr>
      </w:pPr>
    </w:p>
    <w:p w14:paraId="56A06B90" w14:textId="77777777" w:rsidR="00974807" w:rsidRPr="00070ADE" w:rsidRDefault="00974807"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34B4D73" w14:textId="77777777" w:rsidR="00974807" w:rsidRPr="00070ADE" w:rsidRDefault="00974807"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AFCAC0" w14:textId="77777777" w:rsidR="00974807" w:rsidRPr="00C94B78" w:rsidRDefault="00974807"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Весной-летом 1944 г. госиспытания серийного Ер-2 2АЧ-30Б зав. № 7013901, проведенные в НИИ ВВС, закончились провалом. Серьезным недостатком дизельного бомбардировщика по-прежнему оставалась недостаточная надежность моторов, определявшаяся не столько прецизионными узлами, сколько элемен</w:t>
      </w:r>
      <w:r w:rsidRPr="00C94B78">
        <w:rPr>
          <w:rStyle w:val="aff1"/>
          <w:rFonts w:ascii="Times New Roman" w:hAnsi="Times New Roman" w:cs="Times New Roman"/>
          <w:color w:val="0070C0"/>
          <w:spacing w:val="0"/>
          <w:sz w:val="16"/>
          <w:szCs w:val="16"/>
        </w:rPr>
        <w:softHyphen/>
        <w:t>тарными нарушениями технологии при изготовлении обычных деталей. Это заставило НКАП с апреля 1944 г. подключить к выпуску авиадизелей серийный завод № 45, считавшийся одним из передовых в отрасли (25145).</w:t>
      </w:r>
    </w:p>
    <w:p w14:paraId="5B01CF50" w14:textId="77777777" w:rsidR="00974807" w:rsidRPr="00C94B78" w:rsidRDefault="00974807" w:rsidP="00B56F90">
      <w:pPr>
        <w:spacing w:after="0" w:line="240" w:lineRule="auto"/>
        <w:jc w:val="both"/>
        <w:rPr>
          <w:rFonts w:ascii="Times New Roman" w:hAnsi="Times New Roman"/>
          <w:color w:val="0070C0"/>
          <w:sz w:val="16"/>
          <w:szCs w:val="16"/>
        </w:rPr>
      </w:pPr>
    </w:p>
    <w:p w14:paraId="35CC5FE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C8804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2A04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Весной-летом 1944 г. прошли испытания стабилизатора 85-мм танковой пушки в вертикальной плоскости. Этот стабилизатор был разработан специаль</w:t>
      </w:r>
      <w:r w:rsidRPr="00070ADE">
        <w:rPr>
          <w:rFonts w:ascii="Times New Roman" w:hAnsi="Times New Roman"/>
          <w:color w:val="000000" w:themeColor="text1"/>
          <w:sz w:val="16"/>
          <w:szCs w:val="16"/>
        </w:rPr>
        <w:softHyphen/>
        <w:t>ным конструкторским бюро Наркомата судостроения под руководством А. Атовмьяна по теме «Таран». Особенностями его конструкции было то, что собственно гироскоп, раскручиваемый трехфазным асинхронным двигателем, не располагался на орудии, но управлял цепями питания пом</w:t>
      </w:r>
      <w:r w:rsidRPr="00070ADE">
        <w:rPr>
          <w:rFonts w:ascii="Times New Roman" w:hAnsi="Times New Roman"/>
          <w:color w:val="000000" w:themeColor="text1"/>
          <w:sz w:val="16"/>
          <w:szCs w:val="16"/>
        </w:rPr>
        <w:softHyphen/>
        <w:t>пы гидравлического привода силовой части. Для питания ; гироскопа в танке устанавливался преобразователь посто-; янного тока ГКЗ-Т на основе электродвигателя постоянно-: го тока на 24 В и генератора трехфазной сети напряжением В и частотой 275 Гц. Потребляемая мощность стабилиза</w:t>
      </w:r>
      <w:r w:rsidRPr="00070ADE">
        <w:rPr>
          <w:rFonts w:ascii="Times New Roman" w:hAnsi="Times New Roman"/>
          <w:color w:val="000000" w:themeColor="text1"/>
          <w:sz w:val="16"/>
          <w:szCs w:val="16"/>
        </w:rPr>
        <w:softHyphen/>
        <w:t>тора составляла 550 Вт, время запуска — 4,5 мин. Первые испытания макетного образца состоялись в марте-апреле 1944 г. в Кубинке, но закончились не вполне удачно, так как орудие ЗИС-С-53 имело больший вес, нежели С-53 (у С-53 бьши более тонкие стенки ствола) и потому больший момент инерции, что увеличивало время реакции испол</w:t>
      </w:r>
      <w:r w:rsidRPr="00070ADE">
        <w:rPr>
          <w:rFonts w:ascii="Times New Roman" w:hAnsi="Times New Roman"/>
          <w:color w:val="000000" w:themeColor="text1"/>
          <w:sz w:val="16"/>
          <w:szCs w:val="16"/>
        </w:rPr>
        <w:softHyphen/>
        <w:t>нительных механизмов и ухудшало результаты стрельбы.</w:t>
      </w:r>
    </w:p>
    <w:p w14:paraId="2C0CAC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этого стабилизатор СТП-С-53 «Таран» был дора</w:t>
      </w:r>
      <w:r w:rsidRPr="00070ADE">
        <w:rPr>
          <w:rFonts w:ascii="Times New Roman" w:hAnsi="Times New Roman"/>
          <w:color w:val="000000" w:themeColor="text1"/>
          <w:sz w:val="16"/>
          <w:szCs w:val="16"/>
        </w:rPr>
        <w:softHyphen/>
        <w:t>ботан и в конце 1944 г. им бьши оснащены 4 специально пе</w:t>
      </w:r>
      <w:r w:rsidRPr="00070ADE">
        <w:rPr>
          <w:rFonts w:ascii="Times New Roman" w:hAnsi="Times New Roman"/>
          <w:color w:val="000000" w:themeColor="text1"/>
          <w:sz w:val="16"/>
          <w:szCs w:val="16"/>
        </w:rPr>
        <w:softHyphen/>
        <w:t>реоборудованные танка (названные разработчиком Т-34-85-СТ), проходившие испытания в начале 1945 г. Испытания показали многообещающие результаты. Стабилизатор облег</w:t>
      </w:r>
      <w:r w:rsidRPr="00070ADE">
        <w:rPr>
          <w:rFonts w:ascii="Times New Roman" w:hAnsi="Times New Roman"/>
          <w:color w:val="000000" w:themeColor="text1"/>
          <w:sz w:val="16"/>
          <w:szCs w:val="16"/>
        </w:rPr>
        <w:softHyphen/>
        <w:t>чал наводчику операцию вертикальной наводки орудия в движении по слабопересеченной местности, а условия про</w:t>
      </w:r>
      <w:r w:rsidRPr="00070ADE">
        <w:rPr>
          <w:rFonts w:ascii="Times New Roman" w:hAnsi="Times New Roman"/>
          <w:color w:val="000000" w:themeColor="text1"/>
          <w:sz w:val="16"/>
          <w:szCs w:val="16"/>
        </w:rPr>
        <w:softHyphen/>
        <w:t>ведения стрельб на ходу приближались к таковым с места.</w:t>
      </w:r>
    </w:p>
    <w:p w14:paraId="7D4B3C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стабилизатор работал еще не вполне надежно, а его эксплуатация была под силу только подготовленному экипажу. Поэтому на вооружение он не принимался (11135).</w:t>
      </w:r>
    </w:p>
    <w:p w14:paraId="4A5263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4F53F5" w14:textId="77777777" w:rsidR="007938E2" w:rsidRPr="00070ADE" w:rsidRDefault="007938E2"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Весной-летом 1944 года произошел переход на ИСУ-152, а полки стали гвардейскими. Тем не менее, СУ-152 самым активным образом сражалась на советско-германском фронте. Сражались они и во время Львовско-Сандомирской операции, и в Прибалтике. К началу 1945 года в строю всё еще находилось 304 САУ данного типа, из них 127 во фронтовых частях. На фоне 974 ИСУ-152 (из них 545 на фронте) это было совсем немного, тем не менее, провоевали СУ-152 дол конца войны. Увы, далее их судьба оказалась незавидной. После окончания Великой Отечественной войны было решено сократить парк советской бронетанковой техники. СУ-152, вместе с другими боевыми машинами семейства КВ, списали и порезали в металл. Ныне известно всего 3 таких САУ - одна в парке "Патриот" (на ходу) и две в Джонуве (Польша) (23476).</w:t>
      </w:r>
    </w:p>
    <w:p w14:paraId="0254C915" w14:textId="77777777" w:rsidR="007938E2" w:rsidRPr="00070ADE" w:rsidRDefault="007938E2" w:rsidP="00B56F90">
      <w:pPr>
        <w:spacing w:after="0" w:line="240" w:lineRule="auto"/>
        <w:jc w:val="both"/>
        <w:rPr>
          <w:rFonts w:ascii="Times New Roman" w:hAnsi="Times New Roman"/>
          <w:color w:val="000000" w:themeColor="text1"/>
          <w:sz w:val="16"/>
          <w:szCs w:val="16"/>
        </w:rPr>
      </w:pPr>
    </w:p>
    <w:p w14:paraId="55AEA5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Весной—осенью 1944 г. обе САУ - ОСА-76 и КСП-76 испытывались как раз</w:t>
      </w:r>
      <w:r w:rsidRPr="00070ADE">
        <w:rPr>
          <w:rFonts w:ascii="Times New Roman" w:hAnsi="Times New Roman"/>
          <w:color w:val="000000" w:themeColor="text1"/>
          <w:sz w:val="16"/>
          <w:szCs w:val="16"/>
        </w:rPr>
        <w:softHyphen/>
        <w:t>дельно, так и совместно. Несмотря на то, что изначально артиллеристы отдавали большее предпочтение машине КСП, как более привычной в эксплуатации и ремонте (ко</w:t>
      </w:r>
      <w:r w:rsidRPr="00070ADE">
        <w:rPr>
          <w:rFonts w:ascii="Times New Roman" w:hAnsi="Times New Roman"/>
          <w:color w:val="000000" w:themeColor="text1"/>
          <w:sz w:val="16"/>
          <w:szCs w:val="16"/>
        </w:rPr>
        <w:softHyphen/>
        <w:t>лесный движитель), в ходе испытаний их мнение измени</w:t>
      </w:r>
      <w:r w:rsidRPr="00070ADE">
        <w:rPr>
          <w:rFonts w:ascii="Times New Roman" w:hAnsi="Times New Roman"/>
          <w:color w:val="000000" w:themeColor="text1"/>
          <w:sz w:val="16"/>
          <w:szCs w:val="16"/>
        </w:rPr>
        <w:softHyphen/>
        <w:t>лось, так как КСП-76 явно проигрывала машине завода 38 ввиду большой массы (более 5т.), больших габаритов, чем ОСА-76, при чрезвычайно слабой проходимости по пересе</w:t>
      </w:r>
      <w:r w:rsidRPr="00070ADE">
        <w:rPr>
          <w:rFonts w:ascii="Times New Roman" w:hAnsi="Times New Roman"/>
          <w:color w:val="000000" w:themeColor="text1"/>
          <w:sz w:val="16"/>
          <w:szCs w:val="16"/>
        </w:rPr>
        <w:softHyphen/>
        <w:t>ченной местности. Более того, ее применение вне дорог бы</w:t>
      </w:r>
      <w:r w:rsidRPr="00070ADE">
        <w:rPr>
          <w:rFonts w:ascii="Times New Roman" w:hAnsi="Times New Roman"/>
          <w:color w:val="000000" w:themeColor="text1"/>
          <w:sz w:val="16"/>
          <w:szCs w:val="16"/>
        </w:rPr>
        <w:softHyphen/>
        <w:t>ло признано невозможным. А проведение стрельб из орудия показало еще и лучшую устойчивость гусеничной версии.</w:t>
      </w:r>
    </w:p>
    <w:p w14:paraId="280DB0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ОСА-76 завода № 38 была рекомендована для принятия на вооружение при условии ликвидации отмеченных в хо</w:t>
      </w:r>
      <w:r w:rsidRPr="00070ADE">
        <w:rPr>
          <w:rFonts w:ascii="Times New Roman" w:hAnsi="Times New Roman"/>
          <w:color w:val="000000" w:themeColor="text1"/>
          <w:sz w:val="16"/>
          <w:szCs w:val="16"/>
        </w:rPr>
        <w:softHyphen/>
        <w:t>де испытаний недостатков.</w:t>
      </w:r>
    </w:p>
    <w:p w14:paraId="304B20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Предполагалось использовать эту машину «своим хо</w:t>
      </w:r>
      <w:r w:rsidRPr="00070ADE">
        <w:rPr>
          <w:rFonts w:ascii="Times New Roman" w:hAnsi="Times New Roman"/>
          <w:color w:val="000000" w:themeColor="text1"/>
          <w:sz w:val="16"/>
          <w:szCs w:val="16"/>
        </w:rPr>
        <w:softHyphen/>
        <w:t>дом» только на поле боя, но проведенные испытания дли</w:t>
      </w:r>
      <w:r w:rsidRPr="00070ADE">
        <w:rPr>
          <w:rFonts w:ascii="Times New Roman" w:hAnsi="Times New Roman"/>
          <w:color w:val="000000" w:themeColor="text1"/>
          <w:sz w:val="16"/>
          <w:szCs w:val="16"/>
        </w:rPr>
        <w:softHyphen/>
        <w:t>тельным пробегом в составе колонны СУ-76 показали, что машина имеет очень неплохие ходовые качества не только на пересеченной местности, но и на шоссе. Ее запас хода превышал 220 км, что было достаточно даже для легких са</w:t>
      </w:r>
      <w:r w:rsidRPr="00070ADE">
        <w:rPr>
          <w:rFonts w:ascii="Times New Roman" w:hAnsi="Times New Roman"/>
          <w:color w:val="000000" w:themeColor="text1"/>
          <w:sz w:val="16"/>
          <w:szCs w:val="16"/>
        </w:rPr>
        <w:softHyphen/>
        <w:t>моходных установок, а применение для питания «Осы» бензина второго сорта, в том числе и трофейного синтети</w:t>
      </w:r>
      <w:r w:rsidRPr="00070ADE">
        <w:rPr>
          <w:rFonts w:ascii="Times New Roman" w:hAnsi="Times New Roman"/>
          <w:color w:val="000000" w:themeColor="text1"/>
          <w:sz w:val="16"/>
          <w:szCs w:val="16"/>
        </w:rPr>
        <w:softHyphen/>
        <w:t>ческого, трудно было переоценить (СУ-76 потребляла бен</w:t>
      </w:r>
      <w:r w:rsidRPr="00070ADE">
        <w:rPr>
          <w:rFonts w:ascii="Times New Roman" w:hAnsi="Times New Roman"/>
          <w:color w:val="000000" w:themeColor="text1"/>
          <w:sz w:val="16"/>
          <w:szCs w:val="16"/>
        </w:rPr>
        <w:softHyphen/>
        <w:t>зин не хуже Грозненского). Малый вес САУ обеспечивал ей прекрасную проходимость и привлекал к ней внимание не только артиллеристов, но также танкистов и десантников (11417).</w:t>
      </w:r>
    </w:p>
    <w:p w14:paraId="4D399B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2F7DC0" w14:textId="0DCF1FEF" w:rsidR="00497945" w:rsidRPr="00070ADE" w:rsidRDefault="00497945"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70ADE">
        <w:rPr>
          <w:rFonts w:ascii="Times New Roman" w:hAnsi="Times New Roman"/>
          <w:i/>
          <w:iCs/>
          <w:color w:val="000000" w:themeColor="text1"/>
          <w:sz w:val="16"/>
          <w:szCs w:val="16"/>
        </w:rPr>
        <w:t>За рубежом:</w:t>
      </w:r>
    </w:p>
    <w:p w14:paraId="394B850F" w14:textId="77777777" w:rsidR="00497945" w:rsidRPr="00070ADE" w:rsidRDefault="00497945"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E08BDB5" w14:textId="77777777" w:rsidR="00497945" w:rsidRPr="00070ADE" w:rsidRDefault="00497945"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 весны 1944 года по август 1945 года Бомбардировочное Командование Королевских ВВС Великобритании (RAF), которое ранее упорно не желали пускать закупаемые в США «либерейторы» на боевые операции над Европой и использовали их только в качестве морских патрульных и транспортных машин, приобрели 1600 «либерейторов» в двух больших партиях, которые разбивались на меньшие лоты. Первая партия, как и купленные ранее B-24G, получила общее наименование </w:t>
      </w:r>
      <w:r w:rsidRPr="00070ADE">
        <w:rPr>
          <w:rFonts w:ascii="Times New Roman" w:hAnsi="Times New Roman"/>
          <w:color w:val="000000" w:themeColor="text1"/>
          <w:sz w:val="16"/>
          <w:szCs w:val="16"/>
        </w:rPr>
        <w:lastRenderedPageBreak/>
        <w:t>«Либерейтор» Mk. VI. Она включала 40 самолетов В-24Н, далее 411 машин B-24J поставил в Англию завод «Консолидейтед» в Сан-Диего, параллельно еще 500 изготовило предприятие в Форт-Уорсе. Они соответствовали самолетам B-24J первых серийных блоков, как и первые 239 «Либерейтор» Mk.VIII второй партии, экспортных вариантов B-24J производства завода «Консолидейтед» в городе ФортУорс. Лишь последние 441 экземпляр Mk.VIII были действительно новыми самолетами (22865).</w:t>
      </w:r>
    </w:p>
    <w:p w14:paraId="1062B734" w14:textId="77777777" w:rsidR="00497945" w:rsidRPr="00070ADE" w:rsidRDefault="00497945" w:rsidP="00B56F90">
      <w:pPr>
        <w:shd w:val="clear" w:color="auto" w:fill="FFFFFF"/>
        <w:spacing w:after="0" w:line="240" w:lineRule="auto"/>
        <w:jc w:val="both"/>
        <w:rPr>
          <w:rFonts w:ascii="Times New Roman" w:hAnsi="Times New Roman"/>
          <w:color w:val="000000" w:themeColor="text1"/>
          <w:sz w:val="16"/>
          <w:szCs w:val="16"/>
        </w:rPr>
      </w:pPr>
    </w:p>
    <w:p w14:paraId="361EB4ED" w14:textId="25F8150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30FB0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03633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лету 1944 г. на опытном заводе № 156из машины "103" был выполнен двухместный вариант СДБ. В декабре 1943 года командование ВВС предложило НКАП создать на базе машины "103" с двигателями АМ-37 скоростной дневной бомбардировщик СДБ (АНТ-63), но с моторами АМ-39.</w:t>
      </w:r>
    </w:p>
    <w:p w14:paraId="49021D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этом сохранилась компоновка предшественника. В угоду скорости его стрелковое вооружение ограничили лишь двумя неподвижными орудиями ШBAK в центроплане крыла с боезапасом по 150 патронов на ствол.</w:t>
      </w:r>
    </w:p>
    <w:p w14:paraId="712467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Первый полет "СДБ" выполнил летчик- испытатель А.Д. Перелет 21 мая 1944 года и спустя десять дней машину передали в НИИ ВВС. Государственные испытания (ведущий летчик М.А. Нюхтиков), начавшиеся 5 июня, заняли месяц. Хотя самолет и продемонстрировал высокую скорость (633 км/ч) и хорошую маневренность, испытания он не выдержал. Главные дефекты машины были связаны с плохой работой моторов и недостаточным запасом путевой устойчивости. Военные пожелали ввести в экипаж воздушного стрелка.</w:t>
      </w:r>
    </w:p>
    <w:p w14:paraId="1C9A3A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Особенностями второго экземпляра машины "63" по сравнению с предшественником был не только экипаж, возросший до трех человек (дополнительно ввели стрелка в задней кабине), но и створки шасси закрывавшиеся как при убранном, так и выпущенном положении основных опор. Управление винтами было секторное, а моторы имели Скоростной дневной дополнительные контуры для охлаждения бомбардировщик ("СДБ") воздуха после нагнетателя перед поступле- на заводских испытаниях нием в двигатель.</w:t>
      </w:r>
    </w:p>
    <w:p w14:paraId="63D16C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помимо двух неподвижных пушек ШВАК с общим боезапасом 300 патронов для стрельбы вперед включало и два пулемета Березина для защиты задней полусферы. Нормальная бомбовая нагрузка - 1000 кг (при полной заправке топливом исходя из прочности колес) в грузовом отсеке, максимально допустимая - 4000 кг.</w:t>
      </w:r>
    </w:p>
    <w:p w14:paraId="743995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Первый полет на трехместном "СДБ" также выполнил А.Д. Перелет, и в декабре 1944 года машину передали на государственные испытания. 30 декабря 1944 года А. Кузнецов (должность в документе не указана) докладывал наркому А.И. Шахурину:</w:t>
      </w:r>
    </w:p>
    <w:p w14:paraId="602DD08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СДБ с моторами АМ-39 является модификацией самолета "103" с АМ-37, построенного в 1941 г. Самолет испытан в НИИ ВВС в июле 1944 г.</w:t>
      </w:r>
    </w:p>
    <w:p w14:paraId="58A678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установлено:</w:t>
      </w:r>
    </w:p>
    <w:p w14:paraId="056316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Путевая устойчивость недостаточна.</w:t>
      </w:r>
    </w:p>
    <w:p w14:paraId="456F23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 скорости менее 350 км/ч по прибору самолет неустойчив:</w:t>
      </w:r>
    </w:p>
    <w:p w14:paraId="53BC203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продольная устойчивость недостаточная, во время выдерживания заданной скорости набора высоты имеют место переменные нагрузки на штурвале от руля высоты.</w:t>
      </w:r>
    </w:p>
    <w:p w14:paraId="732CF4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изменение нагрузок на штурвале от руля высоты сопровождается значительным рысканием и появляются переменные нагрузки на педали.</w:t>
      </w:r>
    </w:p>
    <w:p w14:paraId="1EAD1C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Поперечная устойчивость относительно путевой избыточна. Самолет имеет тенденцию к раскачиванию с крыла на крыло.</w:t>
      </w:r>
    </w:p>
    <w:p w14:paraId="721FF6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4. Управление рулем поворота слишком легкое, что может привести к передаче (большему отклонению педали - прим. авт.) ноги на виражах и разворотах. </w:t>
      </w:r>
    </w:p>
    <w:p w14:paraId="4F34A6F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Автоматы управления заслонками во- дорадиаторов при работе создают значительный аэродинамический момент &lt;...&gt; и усложняют технику пилотирования.</w:t>
      </w:r>
    </w:p>
    <w:p w14:paraId="31F550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Пневматические тормоза не эффективны.</w:t>
      </w:r>
    </w:p>
    <w:p w14:paraId="2B11CC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Винто-моторная группа не доведенная и имеет те же дефекты, что и на самолете "ЮЗ" с АМ-37.</w:t>
      </w:r>
    </w:p>
    <w:p w14:paraId="64DA6C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Длительная (1,5 часа) и неудобная заправка бензином.</w:t>
      </w:r>
    </w:p>
    <w:p w14:paraId="2A86D3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Попадание в кабину летчика горячего воздуха.</w:t>
      </w:r>
    </w:p>
    <w:p w14:paraId="117656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Габариты кабины по высоте малы...</w:t>
      </w:r>
    </w:p>
    <w:p w14:paraId="03E0451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Моторы АМ-39 на 2-й скорости нагнетателя работали неудовлетворительно...</w:t>
      </w:r>
    </w:p>
    <w:p w14:paraId="4DC8254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Построен второй экземпляр СДБ, переданный в НИИ ВВС в октябре. Он имеет экипаж вместо двух - три человека. Новая носовая часть фюзеляжа с измененным обзором. Дополнительно установлены люковая и верхняя стрелковые установки. Объем бензина увеличен до 2400 л.</w:t>
      </w:r>
    </w:p>
    <w:p w14:paraId="1249FF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Изменена маслосхема, предусмотрено новое бронирование экипажа. Взлетный вес возрос на 650 кг.</w:t>
      </w:r>
    </w:p>
    <w:p w14:paraId="3BDD0B3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"63" на 27 декабря 1944 г. сделано два полета. Во втором полете на высоте 8000 м (15 декабря) вышел из строя мотор".</w:t>
      </w:r>
    </w:p>
    <w:p w14:paraId="2A039A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Государственные испытания второго экземпляра "СДБ" завершились утверждением 28 июня 1945 года акта по их результатам. </w:t>
      </w:r>
    </w:p>
    <w:p w14:paraId="675CBDB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Основ'ными дефектами "СДБ" были: недостаточная прочность колес размером 1000x350 мм, малоэффективные и ненадежные пневматические тормоза, падение давления масла в двигателях на высотах 5000-7000 метров и отсутствие противо- пыльных фильтров на всасывающих патрубках моторов. Кроме этого, размещение рамки радиополукомпаса РПК-10 под металлической обшивкой самолета, снижало его чувствительность.</w:t>
      </w:r>
    </w:p>
    <w:p w14:paraId="6BE7C4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заключение же специалисты НИИ ВВС, в частности, отметили: "Самолет "63" &lt;...&gt; по своим летно-тактическим данным превосходит однотипные отечественные и иностранные самолеты, но недостаточность обзора штурмана вперед, что затрудняет для него ориентировки, отыскание цели и вывод самолета на цель при бомбометании, значительно снижает его качество как бомбардировщика.</w:t>
      </w:r>
    </w:p>
    <w:p w14:paraId="3569DE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не может быть рекомендован на вооружение Красной Армии в качестве бомбардировщика".</w:t>
      </w:r>
    </w:p>
    <w:p w14:paraId="398AC94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Примерно в то же время в НИИ ВВС ис- пытывался другой скоростной бомбардировщик Пе-2М, представлявший собой второй экземпляр Пе-2И "Москито" с иным оборонительным вооружением. Государственные испытания Пе-2М с моторами жидкостного охлаждения М-107А, завершившиеся на два месяца позже "СДБ", показали, что максимальная скорость у земли при работе моторов на номинальном режиме на 21 км/ч больше, чем у "СДБ", но на второй границе высотности (5600 метров) она не превышала 630 км/ч, что на 10 км/ч было меньше чем у самолета "63". Правда, не надо забывать, что самолет Туполева имел более слабое оборонительное вооружение по сравнению с Пе-2М (три пушки Б-20 калибра 20 мм, одна из которых неподвижная для стрельбы вперед, другая - у штурмана и третья - люковая). При этом максимальная бомбовая нагрузка Пе-2М была вдвое ниже, чем у "СДБ".</w:t>
      </w:r>
    </w:p>
    <w:p w14:paraId="1C5828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Сделать же вывод, какой из этих самолетов предпочтительней, должны были, прежде всего, военные. Но этого не произошло, поскольку обе машины государственные испытания не выдержали (12035).</w:t>
      </w:r>
    </w:p>
    <w:p w14:paraId="7D278D5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27341D3" w14:textId="77777777" w:rsidR="00974807" w:rsidRPr="00C94B78" w:rsidRDefault="0097480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лету 1944 года на опытном заводе № 156 был построен в двухместном варианте и без тормозных решеток под крылом скоростной дневной бомбардировщик СДБ (АНТ-63) с двигателями АМ-39.</w:t>
      </w:r>
    </w:p>
    <w:p w14:paraId="3AB0FE0A" w14:textId="77777777" w:rsidR="00974807" w:rsidRPr="00C94B78" w:rsidRDefault="0097480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Оборонительное вооружение, в угоду скорости, сократили до двух неподвижных пушек ШВАК для стрельбы вперед Первый полет на СДБ выполнил А Д. Перелет 21 мая 1944 года, и 1 июня машину передали в НИИ ВВС (24991) (24991).</w:t>
      </w:r>
    </w:p>
    <w:p w14:paraId="330E9CED" w14:textId="77777777" w:rsidR="00974807" w:rsidRPr="00C94B78" w:rsidRDefault="00974807" w:rsidP="00B56F90">
      <w:pPr>
        <w:spacing w:after="0" w:line="240" w:lineRule="auto"/>
        <w:jc w:val="both"/>
        <w:rPr>
          <w:rFonts w:ascii="Times New Roman" w:hAnsi="Times New Roman"/>
          <w:color w:val="0070C0"/>
          <w:sz w:val="16"/>
          <w:szCs w:val="16"/>
        </w:rPr>
      </w:pPr>
    </w:p>
    <w:p w14:paraId="716598F1" w14:textId="77777777" w:rsidR="00222A2A" w:rsidRPr="00070ADE" w:rsidRDefault="00222A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лету нового 1944 г. снова ждали очередного повышения ЛТД наших истребителей. ОКБ С.А. Лавочкина не могло остаться в стороне. Весь опыт, накопленный в 1942-1943 гг., и ответы на новые требования воплотили в опытной машине «ЗБ», также называемой «эталон Ла-5 1944 года», вышедшей на аэро</w:t>
      </w:r>
      <w:r w:rsidRPr="00070ADE">
        <w:rPr>
          <w:rFonts w:ascii="Times New Roman" w:hAnsi="Times New Roman"/>
          <w:color w:val="000000" w:themeColor="text1"/>
          <w:sz w:val="16"/>
          <w:szCs w:val="16"/>
        </w:rPr>
        <w:softHyphen/>
        <w:t>дром в январе 1944 г. Первоначально эту машину проектировали в двух вариантах: с се</w:t>
      </w:r>
      <w:r w:rsidRPr="00070ADE">
        <w:rPr>
          <w:rFonts w:ascii="Times New Roman" w:hAnsi="Times New Roman"/>
          <w:color w:val="000000" w:themeColor="text1"/>
          <w:sz w:val="16"/>
          <w:szCs w:val="16"/>
        </w:rPr>
        <w:softHyphen/>
        <w:t>рийным М-82ФН и с улучшенным М-82ФНА (последний был длиннее на 30 мм). Но вскоре стало ясно, что рассчитывать можно лишь на серийный мотор.</w:t>
      </w:r>
    </w:p>
    <w:p w14:paraId="61A9560D" w14:textId="77777777" w:rsidR="00222A2A" w:rsidRPr="00070ADE" w:rsidRDefault="00222A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Принято считать, повышение лётных данных нового истребителя достигалось только за счёт изменения кон</w:t>
      </w:r>
      <w:r w:rsidRPr="00070ADE">
        <w:rPr>
          <w:rFonts w:ascii="Times New Roman" w:hAnsi="Times New Roman"/>
          <w:color w:val="000000" w:themeColor="text1"/>
          <w:sz w:val="16"/>
          <w:szCs w:val="16"/>
        </w:rPr>
        <w:softHyphen/>
        <w:t>струкции самого само</w:t>
      </w:r>
      <w:r w:rsidRPr="00070ADE">
        <w:rPr>
          <w:rFonts w:ascii="Times New Roman" w:hAnsi="Times New Roman"/>
          <w:color w:val="000000" w:themeColor="text1"/>
          <w:sz w:val="16"/>
          <w:szCs w:val="16"/>
        </w:rPr>
        <w:softHyphen/>
        <w:t>лёта, то есть улучшени</w:t>
      </w:r>
      <w:r w:rsidRPr="00070ADE">
        <w:rPr>
          <w:rFonts w:ascii="Times New Roman" w:hAnsi="Times New Roman"/>
          <w:color w:val="000000" w:themeColor="text1"/>
          <w:sz w:val="16"/>
          <w:szCs w:val="16"/>
        </w:rPr>
        <w:softHyphen/>
        <w:t>ем аэродинамики и сни</w:t>
      </w:r>
      <w:r w:rsidRPr="00070ADE">
        <w:rPr>
          <w:rFonts w:ascii="Times New Roman" w:hAnsi="Times New Roman"/>
          <w:color w:val="000000" w:themeColor="text1"/>
          <w:sz w:val="16"/>
          <w:szCs w:val="16"/>
        </w:rPr>
        <w:softHyphen/>
        <w:t>жением веса. Это так и не совсем так.</w:t>
      </w:r>
    </w:p>
    <w:p w14:paraId="38571E58" w14:textId="77777777" w:rsidR="00222A2A" w:rsidRPr="00070ADE" w:rsidRDefault="00222A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уже указывалось, снижение веса путём замены деревянных лон</w:t>
      </w:r>
      <w:r w:rsidRPr="00070ADE">
        <w:rPr>
          <w:rFonts w:ascii="Times New Roman" w:hAnsi="Times New Roman"/>
          <w:color w:val="000000" w:themeColor="text1"/>
          <w:sz w:val="16"/>
          <w:szCs w:val="16"/>
        </w:rPr>
        <w:softHyphen/>
        <w:t>жеронов крыла на ме</w:t>
      </w:r>
      <w:r w:rsidRPr="00070ADE">
        <w:rPr>
          <w:rFonts w:ascii="Times New Roman" w:hAnsi="Times New Roman"/>
          <w:color w:val="000000" w:themeColor="text1"/>
          <w:sz w:val="16"/>
          <w:szCs w:val="16"/>
        </w:rPr>
        <w:softHyphen/>
        <w:t>таллические ОКБ осу</w:t>
      </w:r>
      <w:r w:rsidRPr="00070ADE">
        <w:rPr>
          <w:rFonts w:ascii="Times New Roman" w:hAnsi="Times New Roman"/>
          <w:color w:val="000000" w:themeColor="text1"/>
          <w:sz w:val="16"/>
          <w:szCs w:val="16"/>
        </w:rPr>
        <w:softHyphen/>
        <w:t>ществило ещё в начале 1943 г. на опытном Ла- 5ФН «Дублер». Но вне</w:t>
      </w:r>
      <w:r w:rsidRPr="00070ADE">
        <w:rPr>
          <w:rFonts w:ascii="Times New Roman" w:hAnsi="Times New Roman"/>
          <w:color w:val="000000" w:themeColor="text1"/>
          <w:sz w:val="16"/>
          <w:szCs w:val="16"/>
        </w:rPr>
        <w:softHyphen/>
        <w:t>дрение в серию этого мероприятия отложили до весны 1944 г., так как только в это время завод № 21 полу</w:t>
      </w:r>
      <w:r w:rsidRPr="00070ADE">
        <w:rPr>
          <w:rFonts w:ascii="Times New Roman" w:hAnsi="Times New Roman"/>
          <w:color w:val="000000" w:themeColor="text1"/>
          <w:sz w:val="16"/>
          <w:szCs w:val="16"/>
        </w:rPr>
        <w:softHyphen/>
        <w:t>чил необходимое металлорежущее оборудование. Металлические лонжероны пошли в серию в марте 1944 г. ещё на Ла-5ФН тип 41, их той весной построили 89 штук. Так что металлические лонжероны будущий Ла-7 получил, так сказать, по наследству.</w:t>
      </w:r>
    </w:p>
    <w:p w14:paraId="0133E5D9" w14:textId="77777777" w:rsidR="00222A2A" w:rsidRPr="00070ADE" w:rsidRDefault="00222A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вот на аэродинамических улучшениях следует остановиться поподробнее. Ещё в начале 1943 г., после проведения тщательных исследований Ла-5 в аэродинамических трубах, ЦАГИ выдал ОКБ Лавочкина целый ряд рекомендаций по неиспользованным резервам в области аэродинамики. Часть из них успели внедрить в серию тогда же на Ла-5ФН: это улучшенные всасывающий и выхлопные патрубки. Но на самом деле ре</w:t>
      </w:r>
      <w:r w:rsidRPr="00070ADE">
        <w:rPr>
          <w:rFonts w:ascii="Times New Roman" w:hAnsi="Times New Roman"/>
          <w:color w:val="000000" w:themeColor="text1"/>
          <w:sz w:val="16"/>
          <w:szCs w:val="16"/>
        </w:rPr>
        <w:softHyphen/>
        <w:t>комендации ЦАГИ оказались гораздо шире. Так, учёные показали, что расположение маслорадиатора под фюзеляжем (за 5-м шпангоутом) в специально спрофилированном туннеле снижает его лобовое сопротивление в 2 раза и обеспечивает расход воздуха через радиатор на 25-30% больший, чем при серийном варианте.</w:t>
      </w:r>
    </w:p>
    <w:p w14:paraId="3F055B12" w14:textId="77777777" w:rsidR="00222A2A" w:rsidRPr="00070ADE" w:rsidRDefault="00222A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Кроме того, для устранения преждевременного срыва обтекания с центроплана и улучшения маневренных качеств самолёта ЦАГИ рекомендовал изменить конструкцию боковых створок капота, восстановить ранее принятый при проектировании профиль </w:t>
      </w:r>
      <w:r w:rsidRPr="00070ADE">
        <w:rPr>
          <w:rFonts w:ascii="Times New Roman" w:hAnsi="Times New Roman"/>
          <w:color w:val="000000" w:themeColor="text1"/>
          <w:sz w:val="16"/>
          <w:szCs w:val="16"/>
          <w:lang w:val="en-US"/>
        </w:rPr>
        <w:t>NACA</w:t>
      </w:r>
      <w:r w:rsidRPr="00070ADE">
        <w:rPr>
          <w:rFonts w:ascii="Times New Roman" w:hAnsi="Times New Roman"/>
          <w:color w:val="000000" w:themeColor="text1"/>
          <w:sz w:val="16"/>
          <w:szCs w:val="16"/>
        </w:rPr>
        <w:t>-230 в центроплане путём спрямления носка и улучшить сопряжение крыла с фю</w:t>
      </w:r>
      <w:r w:rsidRPr="00070ADE">
        <w:rPr>
          <w:rFonts w:ascii="Times New Roman" w:hAnsi="Times New Roman"/>
          <w:color w:val="000000" w:themeColor="text1"/>
          <w:sz w:val="16"/>
          <w:szCs w:val="16"/>
        </w:rPr>
        <w:softHyphen/>
        <w:t>зеляжем увеличением зализа. При изменении створок капота требовалось увеличить расстояние между створками и верхней поверхностью крыла. Поскольку эти изменения вызывали большие переделки, весной 1943 г. их отложили на будущее (15829).</w:t>
      </w:r>
    </w:p>
    <w:p w14:paraId="4B83A5F2" w14:textId="77777777" w:rsidR="00222A2A" w:rsidRPr="00070ADE" w:rsidRDefault="00222A2A" w:rsidP="00B56F90">
      <w:pPr>
        <w:spacing w:after="0" w:line="240" w:lineRule="auto"/>
        <w:jc w:val="both"/>
        <w:rPr>
          <w:rFonts w:ascii="Times New Roman" w:hAnsi="Times New Roman"/>
          <w:color w:val="000000" w:themeColor="text1"/>
          <w:sz w:val="16"/>
          <w:szCs w:val="16"/>
        </w:rPr>
      </w:pPr>
    </w:p>
    <w:p w14:paraId="5A294F02" w14:textId="77777777" w:rsidR="00974807" w:rsidRPr="00070ADE" w:rsidRDefault="00974807"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lastRenderedPageBreak/>
        <w:t>Другие оборонные отрасли:</w:t>
      </w:r>
    </w:p>
    <w:p w14:paraId="7DC8E241" w14:textId="77777777" w:rsidR="00974807" w:rsidRPr="00070ADE" w:rsidRDefault="00974807"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C8E1B2" w14:textId="77777777" w:rsidR="00974807" w:rsidRPr="00C94B78" w:rsidRDefault="0097480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лету 1944 года чудом уцелели несколько Т-28 и всего один Т-35 (24998).</w:t>
      </w:r>
    </w:p>
    <w:p w14:paraId="1F876D51" w14:textId="77777777" w:rsidR="00974807" w:rsidRPr="00C94B78" w:rsidRDefault="00974807" w:rsidP="00B56F90">
      <w:pPr>
        <w:spacing w:after="0" w:line="240" w:lineRule="auto"/>
        <w:jc w:val="both"/>
        <w:rPr>
          <w:rFonts w:ascii="Times New Roman" w:hAnsi="Times New Roman"/>
          <w:color w:val="0070C0"/>
          <w:sz w:val="16"/>
          <w:szCs w:val="16"/>
        </w:rPr>
      </w:pPr>
    </w:p>
    <w:p w14:paraId="29797573" w14:textId="77777777" w:rsidR="00974807" w:rsidRPr="00C94B78" w:rsidRDefault="0097480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лету 1944 года ОКБ челябинского Опытного завода №100 под общим руководством директора предприятия Ж.Я. Котина подготовило чертежи двух вариантов эскизного проекта в соответствии с ТТТ тяжёлого танка с ЭМТ, предоставленными военными заказчиками, с индексом ИС-6, компоновку которой, в отличие от ЭСУ-100, сделали «классической». Рабочие изготовили деревянный макет будущего танка, в корпусе которого разместили настоящий дизельный двигатель и элементы ЭМТ (25579).</w:t>
      </w:r>
    </w:p>
    <w:p w14:paraId="339B7905" w14:textId="77777777" w:rsidR="00974807" w:rsidRPr="00C94B78" w:rsidRDefault="00974807" w:rsidP="00B56F90">
      <w:pPr>
        <w:spacing w:after="0" w:line="240" w:lineRule="auto"/>
        <w:jc w:val="both"/>
        <w:rPr>
          <w:rFonts w:ascii="Times New Roman" w:hAnsi="Times New Roman"/>
          <w:color w:val="0070C0"/>
          <w:sz w:val="16"/>
          <w:szCs w:val="16"/>
        </w:rPr>
      </w:pPr>
    </w:p>
    <w:p w14:paraId="6E7E9027" w14:textId="77777777" w:rsidR="00974807" w:rsidRPr="00C94B78" w:rsidRDefault="0097480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лету 1944 г. на заводе № 75 (вскоре ставшем ХТЗМ — Харьковским заводом транспортного машиностроения), восстановленном на месте ХПЗ, построили шесть (по некоторым данным — восемь) опытных образцов АТ-45, два из которых отправили для проверки на фронт, а другие — для испытаний на НИБТПолИгон ГБТУ КА в подмосковную Кубинку. Однако в августе 1944 г. в связи с трудностями в освоении нового среднего танка Т-44 («объект 136») работы по АТ-45 были прекращены. Сразу две новые машины на восстанавливаемом заводе в Харькове осилить не смогли, к тому же база тягача (средний Т-34) устарела и ее снимали с производства (25585).</w:t>
      </w:r>
    </w:p>
    <w:p w14:paraId="086D121F" w14:textId="77777777" w:rsidR="00974807" w:rsidRPr="00C94B78" w:rsidRDefault="00974807" w:rsidP="00B56F90">
      <w:pPr>
        <w:spacing w:after="0" w:line="240" w:lineRule="auto"/>
        <w:jc w:val="both"/>
        <w:rPr>
          <w:rFonts w:ascii="Times New Roman" w:hAnsi="Times New Roman"/>
          <w:color w:val="0070C0"/>
          <w:sz w:val="16"/>
          <w:szCs w:val="16"/>
        </w:rPr>
      </w:pPr>
    </w:p>
    <w:p w14:paraId="39D2D391" w14:textId="4CF58162" w:rsidR="00497945" w:rsidRPr="00070ADE" w:rsidRDefault="00497945"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70ADE">
        <w:rPr>
          <w:rFonts w:ascii="Times New Roman" w:hAnsi="Times New Roman"/>
          <w:i/>
          <w:iCs/>
          <w:color w:val="000000" w:themeColor="text1"/>
          <w:sz w:val="16"/>
          <w:szCs w:val="16"/>
        </w:rPr>
        <w:t>Армия:</w:t>
      </w:r>
    </w:p>
    <w:p w14:paraId="0FE6206D" w14:textId="77777777" w:rsidR="00497945" w:rsidRPr="00070ADE" w:rsidRDefault="00497945"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17167A5" w14:textId="77777777" w:rsidR="00497945" w:rsidRPr="00070ADE" w:rsidRDefault="00497945"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лету 1944 года в составе Люфтваффе на Восточном фронте числилось 440 самолетов Не.111, но лишь 260 из них были боеспособны. В 1944 году немецкая промышленность сдала только 714 самолетов Не.111, их выпуск был прекращен с принятием «чрезвычайной истребительной программы», ознаменовавшей конец наступательной стратегии Люфтваффе и переход к «глухой обороне». Всего было построено 7585 экземпляров Не.111, в том числе 6615 в вариантах Р и Н. В 1944 году, стремясь вовлечь старого союзника в Войну, Гитлер распорядился передать Испании лицензии на различное вооружение, в т.ч. и на Не.111Н, но в серию на Пиренеях этот самолет пошел уже после войны, мало того, испанский вариант CASA С. 2111 в конце концов получил английские моторы…(22822).</w:t>
      </w:r>
    </w:p>
    <w:p w14:paraId="76A1CCA7" w14:textId="77777777" w:rsidR="00497945" w:rsidRPr="00070ADE" w:rsidRDefault="00497945" w:rsidP="00B56F90">
      <w:pPr>
        <w:shd w:val="clear" w:color="auto" w:fill="FFFFFF"/>
        <w:spacing w:after="0" w:line="240" w:lineRule="auto"/>
        <w:jc w:val="both"/>
        <w:rPr>
          <w:rFonts w:ascii="Times New Roman" w:hAnsi="Times New Roman"/>
          <w:color w:val="000000" w:themeColor="text1"/>
          <w:sz w:val="16"/>
          <w:szCs w:val="16"/>
        </w:rPr>
      </w:pPr>
    </w:p>
    <w:p w14:paraId="14820324" w14:textId="680B2DBA" w:rsidR="00D60B5B" w:rsidRPr="00070ADE" w:rsidRDefault="00D60B5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5ABF47D4" w14:textId="77777777" w:rsidR="00D60B5B" w:rsidRPr="00070ADE" w:rsidRDefault="00D60B5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33825A" w14:textId="77777777" w:rsidR="00D60B5B" w:rsidRPr="00070ADE" w:rsidRDefault="00D60B5B" w:rsidP="00B56F90">
      <w:pPr>
        <w:pStyle w:val="ae"/>
        <w:shd w:val="clear" w:color="auto" w:fill="FFFFFF"/>
        <w:spacing w:before="0" w:after="0"/>
        <w:jc w:val="both"/>
        <w:rPr>
          <w:color w:val="000000" w:themeColor="text1"/>
          <w:sz w:val="16"/>
          <w:szCs w:val="16"/>
        </w:rPr>
      </w:pPr>
      <w:r w:rsidRPr="00070ADE">
        <w:rPr>
          <w:color w:val="000000" w:themeColor="text1"/>
          <w:sz w:val="16"/>
          <w:szCs w:val="16"/>
        </w:rPr>
        <w:t xml:space="preserve">К лету 1944 года западные союзники перестали использовать Valentine с трёхместными башнями. Между тем на советско-германском фронте у них словно открылось второе дыхание. Некоторое количество этих танков использовалось в отдельных танковых полках при кавалерийских дивизиях. Например, 87-й ОТП получил 26 ноября 1944 года 5 Valentine V. В составе 3-го гвардейского кавалерийского корпуса по состоянию на 22 июня 1944 года находилось 30 Valentine III. 151-й отдельный танковый полк в феврале 1945 года получил 6 </w:t>
      </w:r>
      <w:r w:rsidRPr="00070ADE">
        <w:rPr>
          <w:color w:val="000000" w:themeColor="text1"/>
          <w:sz w:val="16"/>
          <w:szCs w:val="16"/>
          <w:lang w:val="en-US"/>
        </w:rPr>
        <w:t>Valentine</w:t>
      </w:r>
      <w:r w:rsidRPr="00070ADE">
        <w:rPr>
          <w:color w:val="000000" w:themeColor="text1"/>
          <w:sz w:val="16"/>
          <w:szCs w:val="16"/>
        </w:rPr>
        <w:t xml:space="preserve"> </w:t>
      </w:r>
      <w:r w:rsidRPr="00070ADE">
        <w:rPr>
          <w:color w:val="000000" w:themeColor="text1"/>
          <w:sz w:val="16"/>
          <w:szCs w:val="16"/>
          <w:lang w:val="en-US"/>
        </w:rPr>
        <w:t>III</w:t>
      </w:r>
      <w:r w:rsidRPr="00070ADE">
        <w:rPr>
          <w:color w:val="000000" w:themeColor="text1"/>
          <w:sz w:val="16"/>
          <w:szCs w:val="16"/>
        </w:rPr>
        <w:t xml:space="preserve"> и 4 </w:t>
      </w:r>
      <w:r w:rsidRPr="00070ADE">
        <w:rPr>
          <w:color w:val="000000" w:themeColor="text1"/>
          <w:sz w:val="16"/>
          <w:szCs w:val="16"/>
          <w:lang w:val="en-US"/>
        </w:rPr>
        <w:t>Valentine</w:t>
      </w:r>
      <w:r w:rsidRPr="00070ADE">
        <w:rPr>
          <w:color w:val="000000" w:themeColor="text1"/>
          <w:sz w:val="16"/>
          <w:szCs w:val="16"/>
        </w:rPr>
        <w:t xml:space="preserve"> </w:t>
      </w:r>
      <w:r w:rsidRPr="00070ADE">
        <w:rPr>
          <w:color w:val="000000" w:themeColor="text1"/>
          <w:sz w:val="16"/>
          <w:szCs w:val="16"/>
          <w:lang w:val="en-US"/>
        </w:rPr>
        <w:t>IX</w:t>
      </w:r>
      <w:r w:rsidRPr="00070ADE">
        <w:rPr>
          <w:color w:val="000000" w:themeColor="text1"/>
          <w:sz w:val="16"/>
          <w:szCs w:val="16"/>
        </w:rPr>
        <w:t>. Часть этих машин воевала до самого конца войны.</w:t>
      </w:r>
    </w:p>
    <w:p w14:paraId="0E1CBDF2" w14:textId="77777777" w:rsidR="00D60B5B" w:rsidRPr="00070ADE" w:rsidRDefault="00D60B5B" w:rsidP="00B56F90">
      <w:pPr>
        <w:pStyle w:val="ae"/>
        <w:shd w:val="clear" w:color="auto" w:fill="FFFFFF"/>
        <w:spacing w:before="0" w:after="0"/>
        <w:jc w:val="both"/>
        <w:rPr>
          <w:color w:val="000000" w:themeColor="text1"/>
          <w:sz w:val="16"/>
          <w:szCs w:val="16"/>
        </w:rPr>
      </w:pPr>
      <w:r w:rsidRPr="00070ADE">
        <w:rPr>
          <w:color w:val="000000" w:themeColor="text1"/>
          <w:sz w:val="16"/>
          <w:szCs w:val="16"/>
        </w:rPr>
        <w:t>О том, что пушка «Валентайнов» очень слабая, говорилось неоднократно. Больше того, в адрес Центрального артиллерийского конструкторского бюро поступали утопические указания о перевооружении английских машин 76-мм пушками Ф-34 и даже 85-мм пушками С-53. Тем не менее машины эти умудрились повоевать даже против японцев. Например, Valentine III имелись в составе воевавшего на Дальнем Востоке 267-го танкового полка, который также взаимодействовал с кавалеристами (17702).</w:t>
      </w:r>
    </w:p>
    <w:p w14:paraId="7FAF9B24" w14:textId="77777777" w:rsidR="00D60B5B" w:rsidRPr="00070ADE" w:rsidRDefault="00D60B5B" w:rsidP="00B56F90">
      <w:pPr>
        <w:pStyle w:val="123"/>
        <w:shd w:val="clear" w:color="auto" w:fill="auto"/>
        <w:spacing w:after="0" w:line="240" w:lineRule="auto"/>
        <w:jc w:val="both"/>
        <w:rPr>
          <w:color w:val="000000" w:themeColor="text1"/>
          <w:sz w:val="16"/>
          <w:szCs w:val="16"/>
        </w:rPr>
      </w:pPr>
    </w:p>
    <w:p w14:paraId="68576B41" w14:textId="77777777" w:rsidR="00497945" w:rsidRPr="00070ADE" w:rsidRDefault="00497945"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лету 1944 года благодаря работа технологических служб по снижению трудоемкости и цены B-17G пул B.V.D. вышел на темп 16 машин в сутки, или одной в каждые полтора часа. Летом 1943 года B-17G выпуска завода «Боинг» в Сиэтле обходился налогоплательщику в 374000 долларов, в середине 1944-го — 238329, к рождеству — 204307, а весной цена была снижена до 187742$ (22893).</w:t>
      </w:r>
    </w:p>
    <w:p w14:paraId="7CBA8882" w14:textId="77777777" w:rsidR="00497945" w:rsidRPr="00070ADE" w:rsidRDefault="00497945" w:rsidP="00B56F90">
      <w:pPr>
        <w:shd w:val="clear" w:color="auto" w:fill="FFFFFF"/>
        <w:spacing w:after="0" w:line="240" w:lineRule="auto"/>
        <w:jc w:val="both"/>
        <w:rPr>
          <w:rFonts w:ascii="Times New Roman" w:hAnsi="Times New Roman"/>
          <w:color w:val="000000" w:themeColor="text1"/>
          <w:sz w:val="16"/>
          <w:szCs w:val="16"/>
        </w:rPr>
      </w:pPr>
    </w:p>
    <w:p w14:paraId="0EDFB70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77E5B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778F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июню 1944 завод № 18 вышел на плановый уровень производства Ил-2 с металлическим крылом «со стрел</w:t>
      </w:r>
      <w:r w:rsidRPr="00070ADE">
        <w:rPr>
          <w:rFonts w:ascii="Times New Roman" w:hAnsi="Times New Roman"/>
          <w:color w:val="000000" w:themeColor="text1"/>
          <w:sz w:val="16"/>
          <w:szCs w:val="16"/>
        </w:rPr>
        <w:softHyphen/>
        <w:t>кой», а 1-й и 30-й заводы — к сентябрю 1944 г. Всего к концу года в ВВС поступило 7377 Ил-2 «крыло со стрел</w:t>
      </w:r>
      <w:r w:rsidRPr="00070ADE">
        <w:rPr>
          <w:rFonts w:ascii="Times New Roman" w:hAnsi="Times New Roman"/>
          <w:color w:val="000000" w:themeColor="text1"/>
          <w:sz w:val="16"/>
          <w:szCs w:val="16"/>
        </w:rPr>
        <w:softHyphen/>
        <w:t>кой». При этом авиазаводы № 1 и № 30 выпускали самолеты и с металлическим, и с деревянным крылом. Все самолеты имели «стандартное» для 1944 г. наступательное вооружение: пушки ВЯ, пулеметы ШКАС, «эрэсы» и бомбы. Пушки НС-37 на них никогда не устанавливались (11474,311).</w:t>
      </w:r>
    </w:p>
    <w:p w14:paraId="56C398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BE9622" w14:textId="77777777" w:rsidR="00822884" w:rsidRPr="00070ADE" w:rsidRDefault="00822884" w:rsidP="00B56F90">
      <w:pPr>
        <w:pStyle w:val="184"/>
        <w:shd w:val="clear" w:color="auto" w:fill="auto"/>
        <w:spacing w:before="0" w:after="0" w:line="240" w:lineRule="auto"/>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К июню 1944 завод №18 вышел на плановый уровень про</w:t>
      </w:r>
      <w:r w:rsidRPr="00070ADE">
        <w:rPr>
          <w:rFonts w:ascii="Times New Roman" w:hAnsi="Times New Roman" w:cs="Times New Roman"/>
          <w:color w:val="000000" w:themeColor="text1"/>
          <w:sz w:val="16"/>
          <w:szCs w:val="16"/>
        </w:rPr>
        <w:softHyphen/>
        <w:t>изводства Ил-2 с металлическим кры</w:t>
      </w:r>
      <w:r w:rsidRPr="00070ADE">
        <w:rPr>
          <w:rFonts w:ascii="Times New Roman" w:hAnsi="Times New Roman" w:cs="Times New Roman"/>
          <w:color w:val="000000" w:themeColor="text1"/>
          <w:sz w:val="16"/>
          <w:szCs w:val="16"/>
        </w:rPr>
        <w:softHyphen/>
        <w:t>лом «со стрелкой», а 1-й и 30-й заводы - к сентябрю 1944 г. Всего к концу года в ВВС поступило 7377 Ил-2 «крыло со стрелкой». При этом авиаза</w:t>
      </w:r>
      <w:r w:rsidRPr="00070ADE">
        <w:rPr>
          <w:rFonts w:ascii="Times New Roman" w:hAnsi="Times New Roman" w:cs="Times New Roman"/>
          <w:color w:val="000000" w:themeColor="text1"/>
          <w:sz w:val="16"/>
          <w:szCs w:val="16"/>
        </w:rPr>
        <w:softHyphen/>
        <w:t>воды №1 и №30 выпускали самолеты и с металлическим, и с деревянным кры</w:t>
      </w:r>
      <w:r w:rsidRPr="00070ADE">
        <w:rPr>
          <w:rFonts w:ascii="Times New Roman" w:hAnsi="Times New Roman" w:cs="Times New Roman"/>
          <w:color w:val="000000" w:themeColor="text1"/>
          <w:sz w:val="16"/>
          <w:szCs w:val="16"/>
        </w:rPr>
        <w:softHyphen/>
        <w:t>лом. Все самолеты имели «стандартное» для 1944 г. наступательное вооружение: пушки ВЯ, пулеметы ШКАС, «эрэсы» и бомбы. Пушки 11П калибра 37 мм на них никогда не устанавливались (19558).</w:t>
      </w:r>
    </w:p>
    <w:p w14:paraId="32926733" w14:textId="77777777" w:rsidR="00822884" w:rsidRPr="00070ADE" w:rsidRDefault="00822884" w:rsidP="00B56F90">
      <w:pPr>
        <w:pStyle w:val="184"/>
        <w:shd w:val="clear" w:color="auto" w:fill="auto"/>
        <w:spacing w:before="0" w:after="0" w:line="240" w:lineRule="auto"/>
        <w:rPr>
          <w:rFonts w:ascii="Times New Roman" w:hAnsi="Times New Roman" w:cs="Times New Roman"/>
          <w:color w:val="000000" w:themeColor="text1"/>
          <w:sz w:val="16"/>
          <w:szCs w:val="16"/>
        </w:rPr>
      </w:pPr>
    </w:p>
    <w:p w14:paraId="522FDAB2" w14:textId="77777777" w:rsidR="00974807" w:rsidRPr="00C94B78" w:rsidRDefault="0097480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июню 1944 г. старший инженер-кон</w:t>
      </w:r>
      <w:r w:rsidRPr="00C94B78">
        <w:rPr>
          <w:rFonts w:ascii="Times New Roman" w:hAnsi="Times New Roman"/>
          <w:color w:val="0070C0"/>
          <w:sz w:val="16"/>
          <w:szCs w:val="16"/>
        </w:rPr>
        <w:softHyphen/>
        <w:t>структор ОКБ-16 А.А. Рихтер уже разработал к НС-23С синхронный ударно-отрывной меха</w:t>
      </w:r>
      <w:r w:rsidRPr="00C94B78">
        <w:rPr>
          <w:rFonts w:ascii="Times New Roman" w:hAnsi="Times New Roman"/>
          <w:color w:val="0070C0"/>
          <w:sz w:val="16"/>
          <w:szCs w:val="16"/>
        </w:rPr>
        <w:softHyphen/>
        <w:t>низм, «который без существенных переделок моторной пушки позволил устанавливать ее на самолет для стрельбы через винт» (24971).</w:t>
      </w:r>
    </w:p>
    <w:p w14:paraId="10E5AFAA" w14:textId="77777777" w:rsidR="00974807" w:rsidRPr="00C94B78" w:rsidRDefault="00974807" w:rsidP="00B56F90">
      <w:pPr>
        <w:spacing w:after="0" w:line="240" w:lineRule="auto"/>
        <w:jc w:val="both"/>
        <w:rPr>
          <w:rFonts w:ascii="Times New Roman" w:hAnsi="Times New Roman"/>
          <w:color w:val="0070C0"/>
          <w:sz w:val="16"/>
          <w:szCs w:val="16"/>
        </w:rPr>
      </w:pPr>
    </w:p>
    <w:p w14:paraId="358DE8F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20302D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4D1C39" w14:textId="77777777" w:rsidR="00222A2A" w:rsidRPr="00070ADE" w:rsidRDefault="00222A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июню 1944 г. (с 1942) в США было построено 10 каталитических установок термофорной системы и находилось в процессе строительства еще шесть. В январе 1943 г. впервые была введена в эксплу</w:t>
      </w:r>
      <w:r w:rsidRPr="00070ADE">
        <w:rPr>
          <w:rFonts w:ascii="Times New Roman" w:hAnsi="Times New Roman"/>
          <w:color w:val="000000" w:themeColor="text1"/>
          <w:sz w:val="16"/>
          <w:szCs w:val="16"/>
        </w:rPr>
        <w:softHyphen/>
        <w:t>атацию установка каталитического кре</w:t>
      </w:r>
      <w:r w:rsidRPr="00070ADE">
        <w:rPr>
          <w:rFonts w:ascii="Times New Roman" w:hAnsi="Times New Roman"/>
          <w:color w:val="000000" w:themeColor="text1"/>
          <w:sz w:val="16"/>
          <w:szCs w:val="16"/>
        </w:rPr>
        <w:softHyphen/>
        <w:t>кинга системы «Флюид» (с подвижным катализатором). До июня 1943 г. в США было введено в эксплуатацию 26 уста</w:t>
      </w:r>
      <w:r w:rsidRPr="00070ADE">
        <w:rPr>
          <w:rFonts w:ascii="Times New Roman" w:hAnsi="Times New Roman"/>
          <w:color w:val="000000" w:themeColor="text1"/>
          <w:sz w:val="16"/>
          <w:szCs w:val="16"/>
        </w:rPr>
        <w:softHyphen/>
        <w:t>новок этого типа. Себестоимость одной установки «Флюид» в США составляла около 6 млн долл.Так что на момент начала строитель</w:t>
      </w:r>
      <w:r w:rsidRPr="00070ADE">
        <w:rPr>
          <w:rFonts w:ascii="Times New Roman" w:hAnsi="Times New Roman"/>
          <w:color w:val="000000" w:themeColor="text1"/>
          <w:sz w:val="16"/>
          <w:szCs w:val="16"/>
        </w:rPr>
        <w:softHyphen/>
        <w:t>ства «Гудри» были технологией семи</w:t>
      </w:r>
      <w:r w:rsidRPr="00070ADE">
        <w:rPr>
          <w:rFonts w:ascii="Times New Roman" w:hAnsi="Times New Roman"/>
          <w:color w:val="000000" w:themeColor="text1"/>
          <w:sz w:val="16"/>
          <w:szCs w:val="16"/>
        </w:rPr>
        <w:softHyphen/>
        <w:t>летней, а на момент окончания — деся</w:t>
      </w:r>
      <w:r w:rsidRPr="00070ADE">
        <w:rPr>
          <w:rFonts w:ascii="Times New Roman" w:hAnsi="Times New Roman"/>
          <w:color w:val="000000" w:themeColor="text1"/>
          <w:sz w:val="16"/>
          <w:szCs w:val="16"/>
        </w:rPr>
        <w:softHyphen/>
        <w:t>тилетней давности.Финансирование разработки новых технологий в значительной мере взяло на себя правительство США. Руково</w:t>
      </w:r>
      <w:r w:rsidRPr="00070ADE">
        <w:rPr>
          <w:rFonts w:ascii="Times New Roman" w:hAnsi="Times New Roman"/>
          <w:color w:val="000000" w:themeColor="text1"/>
          <w:sz w:val="16"/>
          <w:szCs w:val="16"/>
        </w:rPr>
        <w:softHyphen/>
        <w:t>дитель администрации по делам нефти г-н. Икес признал, что «с началом вой</w:t>
      </w:r>
      <w:r w:rsidRPr="00070ADE">
        <w:rPr>
          <w:rFonts w:ascii="Times New Roman" w:hAnsi="Times New Roman"/>
          <w:color w:val="000000" w:themeColor="text1"/>
          <w:sz w:val="16"/>
          <w:szCs w:val="16"/>
        </w:rPr>
        <w:softHyphen/>
        <w:t>ны и до конца 1944 г. капиталовложе</w:t>
      </w:r>
      <w:r w:rsidRPr="00070ADE">
        <w:rPr>
          <w:rFonts w:ascii="Times New Roman" w:hAnsi="Times New Roman"/>
          <w:color w:val="000000" w:themeColor="text1"/>
          <w:sz w:val="16"/>
          <w:szCs w:val="16"/>
        </w:rPr>
        <w:softHyphen/>
        <w:t>ния в производство стооктанового бензина составили 760 млн долл. Из этой суммы частные компании вложили 550 млн долл. и государство — 210 млн долл» (15488).</w:t>
      </w:r>
    </w:p>
    <w:p w14:paraId="7040A96B" w14:textId="77777777" w:rsidR="00222A2A" w:rsidRPr="00070ADE" w:rsidRDefault="00222A2A" w:rsidP="00B56F90">
      <w:pPr>
        <w:spacing w:after="0" w:line="240" w:lineRule="auto"/>
        <w:jc w:val="both"/>
        <w:rPr>
          <w:rFonts w:ascii="Times New Roman" w:hAnsi="Times New Roman"/>
          <w:color w:val="000000" w:themeColor="text1"/>
          <w:sz w:val="16"/>
          <w:szCs w:val="16"/>
        </w:rPr>
      </w:pPr>
    </w:p>
    <w:p w14:paraId="7BB071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июню 1944 г. группа проектировщиков в Николаеве достиг</w:t>
      </w:r>
      <w:r w:rsidRPr="00070ADE">
        <w:rPr>
          <w:rFonts w:ascii="Times New Roman" w:hAnsi="Times New Roman"/>
          <w:color w:val="000000" w:themeColor="text1"/>
          <w:sz w:val="16"/>
          <w:szCs w:val="16"/>
        </w:rPr>
        <w:softHyphen/>
        <w:t>ла 34 человек (в 1945 г. на ее основе бьш создан Николаевский филиал ГСПИ-2), и восстановительные работы развернулись широким фронтом (3898).</w:t>
      </w:r>
    </w:p>
    <w:p w14:paraId="3B059A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02BB7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0DF8D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42ED0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июню 1944 г. в составе ВВС БВФ числилось 33 МБР-2, которые использовались достаточно интенсивно. В 1944 г. они выполнили 905, а в 1945 г. - 259 вылетов на воздушную разведку и поиск подводных лодок в Белом море. Одновременно начался закономерный процесс списания отработавшей своё техники. Но экипажи МБР-2 (имевшие к этому времени солидный боевой опыт), несмотря на все недостатки своих изрядно устаревших машин, при случае, могли преподнести неприятные "сюрпризы" немецким подводникам.</w:t>
      </w:r>
    </w:p>
    <w:p w14:paraId="318B83A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1943 - 1944 гг. накал борьбы на полярных коммуникациях всё усиливался. Немецкие подводные лодки от одиночных атак перешли к своей знаменитой тактике "волчьей стаи". Гидросамолёты BV 138 стали регулярно появляться в Карском море и вести воздушную разведку вплоть до пролива Вилькицкого. "U-боты" получили на вооружение новейшие акустические и маневрирующие торпеды, по опыту действий в Атлантике усиливалось и зенитное вооружение субмарин. Разница в боевых возможностях МБР-2 и его противников была очень велика, поэтому эффективным противолодочным самолётом ни на одном из наших флотов "амбарчик" так и не стал. Прежде всего, из-за отсутствия радиолокационной станции (что, впрочем, вообще являлось "больным местом" советского ВМФ в годы войны), к 1943 - 1944 гг. ставшей непременным атрибутом самолёта ПЛО. Тем не менее, основную тяжесть противолодочной борьбы в 1943 г. вынесли именно МБР-2. Из 130 боевых вылетов в интересах ПЛО, выполненных самолетами БВФ, - 73 (более половины!) на счету "амбарчиков".</w:t>
      </w:r>
    </w:p>
    <w:p w14:paraId="504759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Учитывая сложившуюся обстановку, МБР-2 в Арктике и Баренцевом море заменялись ленд-лизовскими "Каталинами", а за бериевскими лодками оставалось Белое море. Там они вели воздушную и ледовую разведку, проводили конвои, продолжали поиск субмарин, особенно в районах мысов Святой Нос и Канин Нос (12003).</w:t>
      </w:r>
    </w:p>
    <w:p w14:paraId="5C4C815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E0A89B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55345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9DDC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К 1 июня 1944 г. были разработаны удли</w:t>
      </w:r>
      <w:r w:rsidRPr="00070ADE">
        <w:rPr>
          <w:rFonts w:ascii="Times New Roman" w:hAnsi="Times New Roman"/>
          <w:color w:val="000000" w:themeColor="text1"/>
          <w:sz w:val="16"/>
          <w:szCs w:val="16"/>
        </w:rPr>
        <w:softHyphen/>
        <w:t>ненный бронекорпус Ил-2 с перераспределенной толщиной брони, включающий кабину стрелка, и ремонтный комплект дополнительной брони стрелка. Ремкомплект предполагалось устанавливать на уже выпущенные Ил-2 «крыло со стрелкой» с обычным бронекорпусом силами техсостава строевых частей.</w:t>
      </w:r>
    </w:p>
    <w:p w14:paraId="411559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Верхняя передняя часть нового бронекорпуса выполнялась из дюра-люминовых листов, поскольку, как по</w:t>
      </w:r>
      <w:r w:rsidRPr="00070ADE">
        <w:rPr>
          <w:rFonts w:ascii="Times New Roman" w:hAnsi="Times New Roman"/>
          <w:color w:val="000000" w:themeColor="text1"/>
          <w:sz w:val="16"/>
          <w:szCs w:val="16"/>
        </w:rPr>
        <w:softHyphen/>
        <w:t>казал боевой опыт, она практически не поражалась в воздушных боях. Вертикальная бронеплита под капотом и бронедиск за втулкой винта заменя</w:t>
      </w:r>
      <w:r w:rsidRPr="00070ADE">
        <w:rPr>
          <w:rFonts w:ascii="Times New Roman" w:hAnsi="Times New Roman"/>
          <w:color w:val="000000" w:themeColor="text1"/>
          <w:sz w:val="16"/>
          <w:szCs w:val="16"/>
        </w:rPr>
        <w:softHyphen/>
        <w:t>лись дюралевыми. Толщина нижних боковых стенок капота мотора увели</w:t>
      </w:r>
      <w:r w:rsidRPr="00070ADE">
        <w:rPr>
          <w:rFonts w:ascii="Times New Roman" w:hAnsi="Times New Roman"/>
          <w:color w:val="000000" w:themeColor="text1"/>
          <w:sz w:val="16"/>
          <w:szCs w:val="16"/>
        </w:rPr>
        <w:softHyphen/>
        <w:t>чивалась до 6 и 8 мм, а толщина боко</w:t>
      </w:r>
      <w:r w:rsidRPr="00070ADE">
        <w:rPr>
          <w:rFonts w:ascii="Times New Roman" w:hAnsi="Times New Roman"/>
          <w:color w:val="000000" w:themeColor="text1"/>
          <w:sz w:val="16"/>
          <w:szCs w:val="16"/>
        </w:rPr>
        <w:softHyphen/>
        <w:t>вых стенок кабины пилота, наоборот, уменьшалась до 4 и 5 мм. Кабина стрел</w:t>
      </w:r>
      <w:r w:rsidRPr="00070ADE">
        <w:rPr>
          <w:rFonts w:ascii="Times New Roman" w:hAnsi="Times New Roman"/>
          <w:color w:val="000000" w:themeColor="text1"/>
          <w:sz w:val="16"/>
          <w:szCs w:val="16"/>
        </w:rPr>
        <w:softHyphen/>
        <w:t>ка целиком имела 5-мм броню. Пере</w:t>
      </w:r>
      <w:r w:rsidRPr="00070ADE">
        <w:rPr>
          <w:rFonts w:ascii="Times New Roman" w:hAnsi="Times New Roman"/>
          <w:color w:val="000000" w:themeColor="text1"/>
          <w:sz w:val="16"/>
          <w:szCs w:val="16"/>
        </w:rPr>
        <w:softHyphen/>
        <w:t>дняя и средняя части бронекорпуса, как и ранее, выполнялись из броневых ли</w:t>
      </w:r>
      <w:r w:rsidRPr="00070ADE">
        <w:rPr>
          <w:rFonts w:ascii="Times New Roman" w:hAnsi="Times New Roman"/>
          <w:color w:val="000000" w:themeColor="text1"/>
          <w:sz w:val="16"/>
          <w:szCs w:val="16"/>
        </w:rPr>
        <w:softHyphen/>
        <w:t>стов толщиной от 4 до б мм. В сравне</w:t>
      </w:r>
      <w:r w:rsidRPr="00070ADE">
        <w:rPr>
          <w:rFonts w:ascii="Times New Roman" w:hAnsi="Times New Roman"/>
          <w:color w:val="000000" w:themeColor="text1"/>
          <w:sz w:val="16"/>
          <w:szCs w:val="16"/>
        </w:rPr>
        <w:softHyphen/>
        <w:t>нии с серийным Ил-2 общий вес метал</w:t>
      </w:r>
      <w:r w:rsidRPr="00070ADE">
        <w:rPr>
          <w:rFonts w:ascii="Times New Roman" w:hAnsi="Times New Roman"/>
          <w:color w:val="000000" w:themeColor="text1"/>
          <w:sz w:val="16"/>
          <w:szCs w:val="16"/>
        </w:rPr>
        <w:softHyphen/>
        <w:t>лической брони увеличился на 55 кг.</w:t>
      </w:r>
    </w:p>
    <w:p w14:paraId="6B2606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Ремкомплект включал в себя девять бронеплит толщиной по 5 мм каждая, соединенных между собой уголками и болтами. Их сборка проводилась по заранее просверленным отверстиям. Два подготовленных техника монтиро</w:t>
      </w:r>
      <w:r w:rsidRPr="00070ADE">
        <w:rPr>
          <w:rFonts w:ascii="Times New Roman" w:hAnsi="Times New Roman"/>
          <w:color w:val="000000" w:themeColor="text1"/>
          <w:sz w:val="16"/>
          <w:szCs w:val="16"/>
        </w:rPr>
        <w:softHyphen/>
        <w:t>вали кабину стрелка за два дня. Вес бронедеталей с креплением не превы</w:t>
      </w:r>
      <w:r w:rsidRPr="00070ADE">
        <w:rPr>
          <w:rFonts w:ascii="Times New Roman" w:hAnsi="Times New Roman"/>
          <w:color w:val="000000" w:themeColor="text1"/>
          <w:sz w:val="16"/>
          <w:szCs w:val="16"/>
        </w:rPr>
        <w:softHyphen/>
        <w:t>шал 41 кг.</w:t>
      </w:r>
    </w:p>
    <w:p w14:paraId="2CCB76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Вооружение </w:t>
      </w:r>
      <w:r w:rsidRPr="00070ADE">
        <w:rPr>
          <w:rFonts w:ascii="Times New Roman" w:hAnsi="Times New Roman"/>
          <w:iCs/>
          <w:color w:val="000000" w:themeColor="text1"/>
          <w:sz w:val="16"/>
          <w:szCs w:val="16"/>
        </w:rPr>
        <w:t xml:space="preserve">в </w:t>
      </w:r>
      <w:r w:rsidRPr="00070ADE">
        <w:rPr>
          <w:rFonts w:ascii="Times New Roman" w:hAnsi="Times New Roman"/>
          <w:color w:val="000000" w:themeColor="text1"/>
          <w:sz w:val="16"/>
          <w:szCs w:val="16"/>
        </w:rPr>
        <w:t>целом соответство</w:t>
      </w:r>
      <w:r w:rsidRPr="00070ADE">
        <w:rPr>
          <w:rFonts w:ascii="Times New Roman" w:hAnsi="Times New Roman"/>
          <w:color w:val="000000" w:themeColor="text1"/>
          <w:sz w:val="16"/>
          <w:szCs w:val="16"/>
        </w:rPr>
        <w:softHyphen/>
        <w:t>вало серийным вариантам Ил-2 с обыч</w:t>
      </w:r>
      <w:r w:rsidRPr="00070ADE">
        <w:rPr>
          <w:rFonts w:ascii="Times New Roman" w:hAnsi="Times New Roman"/>
          <w:color w:val="000000" w:themeColor="text1"/>
          <w:sz w:val="16"/>
          <w:szCs w:val="16"/>
        </w:rPr>
        <w:softHyphen/>
        <w:t>ным бронекорпусом, но бомбовая на</w:t>
      </w:r>
      <w:r w:rsidRPr="00070ADE">
        <w:rPr>
          <w:rFonts w:ascii="Times New Roman" w:hAnsi="Times New Roman"/>
          <w:color w:val="000000" w:themeColor="text1"/>
          <w:sz w:val="16"/>
          <w:szCs w:val="16"/>
        </w:rPr>
        <w:softHyphen/>
        <w:t>грузка ограничивалась 400 кг (11215).</w:t>
      </w:r>
    </w:p>
    <w:p w14:paraId="1496D2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25C2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 июня 1944 г., в связи с тем, что с появлением Ил-2 "крыло со стрелкой" появилась возможность улучшить защиту воздушного стрелка, были разработаны удлиненный бронекорпус с перераспределенной толщиной брони, включающий кабину стрелка, и ремонтный комплект дополнительной брони стрелка. Ремкомплект предполагалось устанавливать на все выпущенные Ил-2 "крыло со стрелкой" с обычным бронекорпусом силами тех- состава строевых частей.</w:t>
      </w:r>
    </w:p>
    <w:p w14:paraId="389560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Верхняя передняя часть нового броне- корпуса выполнялась из дюралюминевых листов, поскольку, как показал боевой опыт, она практически не поражалась в воздушных боях. Вертикальная бронеплита под капотом и бронедиск за втулкой винта заменялись дюралевыми. Толщина нижних боковых стенок капота мотора увеличивалась до 6 и 8 мм, а толщина боковых стенок кабины пилота, наоборот, уменьшалась до 4 и 5 мм. Кабина стрелка целиком имела 5-мм броню. Передняя и средняя части бронекорпуса, как и ранее, выполнялись из броневых листов толщиной от 4 до 6 мм. В сравнении с серийным Ил-2 общий вес металлической брони увеличился на 55 кг.</w:t>
      </w:r>
    </w:p>
    <w:p w14:paraId="55A3F9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Ремкомплект включал в себя девять бро- неплит толщиной по 5 мм каждая, соединенных между собой уголками и болтами. Их сборка проводилась по заранее просверленным отверстиям. Два подготовленных техника монтировали кабину стрелка за два дня. Вес бронедеталей с креплением не превышал 41 кг.</w:t>
      </w:r>
    </w:p>
    <w:p w14:paraId="0EB0054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установке удлиненного бронекорпуса деревянная часть фюзеляжа укорачивалась на 1135 мм. Монтаж дополнительной брони изменений в конструкции самолета не требовал.</w:t>
      </w:r>
    </w:p>
    <w:p w14:paraId="11C72A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в целом соответствовало серийным вариантам Ил-2 с обычным броне- корпусом, но бомбовая нагрузка ограничивалась 400 кг.</w:t>
      </w:r>
    </w:p>
    <w:p w14:paraId="20C26C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Модифицированный самолет Ил-2 производства завода № 30 с "длинным" бронекорпусом успешно отлетал программу государственных испытаний в период с 14 по 28 августа, а серийный Ил-2 этого же завода с дополнительной броней стрелка - с 16 по 18 сентября 1944 г. Оба самолета испытывались одной и той же бригадой.</w:t>
      </w:r>
    </w:p>
    <w:p w14:paraId="5DC32C5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показали хорошую управляемость и продольную устойчивость. Однако отмечалось, что более задняя центровка самолета Ил-2 с дополнительным бронированием кабины стрелка ухудшила его продольную устойчивость. Ведущий летчик-испытатель инженер-майор Синельников в разделе "Летная оценка самолета" указывал: "прогрессивное увеличение веса самолета Ил-2 до 6355 кг считаю ненормальным и крайне нежелательным, так как, в конце концов, это приведет к резкому ухудшению взлетных свойств и усложнению техники пилотирования". Тем не менее, в заключение отчета делался вывод: "эксплуатацию такого самолета считать возможным".</w:t>
      </w:r>
    </w:p>
    <w:p w14:paraId="238893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отношении самолета с удлиненным бронекорпусом никаких недостатков в части управляемости не отмечалось, поскольку вследствие перераспределения толщины брони центровка самолета даже сместилась несколько вперед в сравнении с серийным самолетом.</w:t>
      </w:r>
    </w:p>
    <w:p w14:paraId="499C8C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 дожидаясь окончания испытаний, генерал-полковник Шиманов обратился к Шахурину с просьбой ускорить внедрение в серийное производство штурмовиков Ил-2 с новым бронекорпусом, а также комплектов полевого варианта дополнительного бронирования кабины стрелка, "как отвечающих требованиям ВВС и опыту воздушной войны".</w:t>
      </w:r>
    </w:p>
    <w:p w14:paraId="15C9CBB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требование ВВС, решение о запуске Ил-2 с улучшенным бронированием в серийное производство так и не последовало. Наркомат авиапромышленности ограничился лишь распоряжением о налаживании производства полевых комплектов дополнительного бронирования стрелка. Надо полагать, ставка была сделана на быструю организацию массового выпуска скоростного штурмовика Ил-10 АМ-42, имевшего полностью бронированную кабину стрелка.</w:t>
      </w:r>
    </w:p>
    <w:p w14:paraId="79988C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Ил-2 продолжали выпускаться авиазаводами со старым вариантом бронекорпуса. При этом часть штурмовиков комплектовались дополнительной броней кабины стрелка. В общей сложности к февралю 1945 г. было выпущено 800 комплектов дополнительной брони.</w:t>
      </w:r>
    </w:p>
    <w:p w14:paraId="6C48BD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это ни странно, но комплекты дополнительного бронирования отправлялись в действующую армию железнодорожными эшелонами, которые находились в пути до 2-3-х (!) месяцев...</w:t>
      </w:r>
    </w:p>
    <w:p w14:paraId="3D98D5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этому поводу генерал-лейтенант Селезнев докладывал Шиманову: "...массовый выпуск Ил-2 с удлиненным бронекорпусом задерживается исключительно из-за отсутствия соответствующего приказа по НКАП... отправка ремонтного варианта бронекорпуса в части по железной дороге является нетерпимой..." (12020).</w:t>
      </w:r>
    </w:p>
    <w:p w14:paraId="2B33DE5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FE5D3FF" w14:textId="77777777" w:rsidR="00DC6FB3" w:rsidRPr="00070ADE" w:rsidRDefault="00DC6FB3" w:rsidP="00B56F90">
      <w:pPr>
        <w:pStyle w:val="184"/>
        <w:shd w:val="clear" w:color="auto" w:fill="auto"/>
        <w:spacing w:before="0" w:after="0" w:line="240" w:lineRule="auto"/>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К 1 июня 1944 в связи с тем, что с появлением Ил-2 «крыло со стрел</w:t>
      </w:r>
      <w:r w:rsidRPr="00070ADE">
        <w:rPr>
          <w:rFonts w:ascii="Times New Roman" w:hAnsi="Times New Roman" w:cs="Times New Roman"/>
          <w:color w:val="000000" w:themeColor="text1"/>
          <w:sz w:val="16"/>
          <w:szCs w:val="16"/>
        </w:rPr>
        <w:softHyphen/>
        <w:t>кой» появилась возможность улучшить за</w:t>
      </w:r>
      <w:r w:rsidRPr="00070ADE">
        <w:rPr>
          <w:rFonts w:ascii="Times New Roman" w:hAnsi="Times New Roman" w:cs="Times New Roman"/>
          <w:color w:val="000000" w:themeColor="text1"/>
          <w:sz w:val="16"/>
          <w:szCs w:val="16"/>
        </w:rPr>
        <w:softHyphen/>
        <w:t>щиту воздушного стрелка, были разработаны удлиненный бронекорпус с кабиной стрелка, и ремонтный комплект дополнительной брони стрелка для уста</w:t>
      </w:r>
      <w:r w:rsidRPr="00070ADE">
        <w:rPr>
          <w:rFonts w:ascii="Times New Roman" w:hAnsi="Times New Roman" w:cs="Times New Roman"/>
          <w:color w:val="000000" w:themeColor="text1"/>
          <w:sz w:val="16"/>
          <w:szCs w:val="16"/>
        </w:rPr>
        <w:softHyphen/>
        <w:t>новки в полках.</w:t>
      </w:r>
    </w:p>
    <w:p w14:paraId="2F02CB68" w14:textId="77777777" w:rsidR="00DC6FB3" w:rsidRPr="00070ADE" w:rsidRDefault="00DC6FB3" w:rsidP="00B56F90">
      <w:pPr>
        <w:pStyle w:val="184"/>
        <w:shd w:val="clear" w:color="auto" w:fill="auto"/>
        <w:spacing w:before="0" w:after="0" w:line="240" w:lineRule="auto"/>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Серийный Ил-2 зав. №304783 произ</w:t>
      </w:r>
      <w:r w:rsidRPr="00070ADE">
        <w:rPr>
          <w:rFonts w:ascii="Times New Roman" w:hAnsi="Times New Roman" w:cs="Times New Roman"/>
          <w:color w:val="000000" w:themeColor="text1"/>
          <w:sz w:val="16"/>
          <w:szCs w:val="16"/>
        </w:rPr>
        <w:softHyphen/>
        <w:t>водства московского завода №30 с до</w:t>
      </w:r>
      <w:r w:rsidRPr="00070ADE">
        <w:rPr>
          <w:rFonts w:ascii="Times New Roman" w:hAnsi="Times New Roman" w:cs="Times New Roman"/>
          <w:color w:val="000000" w:themeColor="text1"/>
          <w:sz w:val="16"/>
          <w:szCs w:val="16"/>
        </w:rPr>
        <w:softHyphen/>
        <w:t>полнительной броней стрелка успешно отлетал программу государственных ис</w:t>
      </w:r>
      <w:r w:rsidRPr="00070ADE">
        <w:rPr>
          <w:rFonts w:ascii="Times New Roman" w:hAnsi="Times New Roman" w:cs="Times New Roman"/>
          <w:color w:val="000000" w:themeColor="text1"/>
          <w:sz w:val="16"/>
          <w:szCs w:val="16"/>
        </w:rPr>
        <w:softHyphen/>
        <w:t>пытаний в период с 29 по 30 июня, а Ил-2 зав. №305395 этого же завода с «длин</w:t>
      </w:r>
      <w:r w:rsidRPr="00070ADE">
        <w:rPr>
          <w:rFonts w:ascii="Times New Roman" w:hAnsi="Times New Roman" w:cs="Times New Roman"/>
          <w:color w:val="000000" w:themeColor="text1"/>
          <w:sz w:val="16"/>
          <w:szCs w:val="16"/>
        </w:rPr>
        <w:softHyphen/>
        <w:t>ным» бронекорпусом - с 14 по 28 авгу</w:t>
      </w:r>
      <w:r w:rsidRPr="00070ADE">
        <w:rPr>
          <w:rFonts w:ascii="Times New Roman" w:hAnsi="Times New Roman" w:cs="Times New Roman"/>
          <w:color w:val="000000" w:themeColor="text1"/>
          <w:sz w:val="16"/>
          <w:szCs w:val="16"/>
        </w:rPr>
        <w:softHyphen/>
        <w:t>ста 1944 г.</w:t>
      </w:r>
    </w:p>
    <w:p w14:paraId="194232AB" w14:textId="77777777" w:rsidR="00DC6FB3" w:rsidRPr="00070ADE" w:rsidRDefault="00DC6FB3" w:rsidP="00B56F90">
      <w:pPr>
        <w:pStyle w:val="184"/>
        <w:shd w:val="clear" w:color="auto" w:fill="auto"/>
        <w:spacing w:before="0" w:after="0" w:line="240" w:lineRule="auto"/>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Вооружение самолетов в целом соот</w:t>
      </w:r>
      <w:r w:rsidRPr="00070ADE">
        <w:rPr>
          <w:rFonts w:ascii="Times New Roman" w:hAnsi="Times New Roman" w:cs="Times New Roman"/>
          <w:color w:val="000000" w:themeColor="text1"/>
          <w:sz w:val="16"/>
          <w:szCs w:val="16"/>
        </w:rPr>
        <w:softHyphen/>
        <w:t>ветствовало серийным вариантам Ил-2 с обычным бронекорпусом, но макси</w:t>
      </w:r>
      <w:r w:rsidRPr="00070ADE">
        <w:rPr>
          <w:rFonts w:ascii="Times New Roman" w:hAnsi="Times New Roman" w:cs="Times New Roman"/>
          <w:color w:val="000000" w:themeColor="text1"/>
          <w:sz w:val="16"/>
          <w:szCs w:val="16"/>
        </w:rPr>
        <w:softHyphen/>
        <w:t>мальная бомбовая нагрузка ограничива</w:t>
      </w:r>
      <w:r w:rsidRPr="00070ADE">
        <w:rPr>
          <w:rFonts w:ascii="Times New Roman" w:hAnsi="Times New Roman" w:cs="Times New Roman"/>
          <w:color w:val="000000" w:themeColor="text1"/>
          <w:sz w:val="16"/>
          <w:szCs w:val="16"/>
        </w:rPr>
        <w:softHyphen/>
        <w:t>лась 400 кг.</w:t>
      </w:r>
    </w:p>
    <w:p w14:paraId="1B9E9474" w14:textId="77777777" w:rsidR="00DC6FB3" w:rsidRPr="00070ADE" w:rsidRDefault="00DC6FB3" w:rsidP="00B56F90">
      <w:pPr>
        <w:pStyle w:val="184"/>
        <w:shd w:val="clear" w:color="auto" w:fill="auto"/>
        <w:spacing w:before="0" w:after="0" w:line="240" w:lineRule="auto"/>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 сравнению с серийным Ил-2 об</w:t>
      </w:r>
      <w:r w:rsidRPr="00070ADE">
        <w:rPr>
          <w:rFonts w:ascii="Times New Roman" w:hAnsi="Times New Roman" w:cs="Times New Roman"/>
          <w:color w:val="000000" w:themeColor="text1"/>
          <w:sz w:val="16"/>
          <w:szCs w:val="16"/>
        </w:rPr>
        <w:softHyphen/>
        <w:t>щий вес металлической брони на само</w:t>
      </w:r>
      <w:r w:rsidRPr="00070ADE">
        <w:rPr>
          <w:rFonts w:ascii="Times New Roman" w:hAnsi="Times New Roman" w:cs="Times New Roman"/>
          <w:color w:val="000000" w:themeColor="text1"/>
          <w:sz w:val="16"/>
          <w:szCs w:val="16"/>
        </w:rPr>
        <w:softHyphen/>
        <w:t>лете с удлиненным бронекорпусом уве</w:t>
      </w:r>
      <w:r w:rsidRPr="00070ADE">
        <w:rPr>
          <w:rFonts w:ascii="Times New Roman" w:hAnsi="Times New Roman" w:cs="Times New Roman"/>
          <w:color w:val="000000" w:themeColor="text1"/>
          <w:sz w:val="16"/>
          <w:szCs w:val="16"/>
        </w:rPr>
        <w:softHyphen/>
        <w:t>личился на 58 кг (1015 кг вместо 957 кг), а деревянная часть фюзеляжа - укорачива</w:t>
      </w:r>
      <w:r w:rsidRPr="00070ADE">
        <w:rPr>
          <w:rFonts w:ascii="Times New Roman" w:hAnsi="Times New Roman" w:cs="Times New Roman"/>
          <w:color w:val="000000" w:themeColor="text1"/>
          <w:sz w:val="16"/>
          <w:szCs w:val="16"/>
        </w:rPr>
        <w:softHyphen/>
        <w:t>лась на 1135 мм.</w:t>
      </w:r>
    </w:p>
    <w:p w14:paraId="2DB1E0D0" w14:textId="77777777" w:rsidR="00DC6FB3" w:rsidRPr="00070ADE" w:rsidRDefault="00DC6FB3" w:rsidP="00B56F90">
      <w:pPr>
        <w:pStyle w:val="184"/>
        <w:shd w:val="clear" w:color="auto" w:fill="auto"/>
        <w:spacing w:before="0" w:after="0" w:line="240" w:lineRule="auto"/>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Отметим, что в переписке Ил-2 с уд</w:t>
      </w:r>
      <w:r w:rsidRPr="00070ADE">
        <w:rPr>
          <w:rFonts w:ascii="Times New Roman" w:hAnsi="Times New Roman" w:cs="Times New Roman"/>
          <w:color w:val="000000" w:themeColor="text1"/>
          <w:sz w:val="16"/>
          <w:szCs w:val="16"/>
        </w:rPr>
        <w:softHyphen/>
        <w:t>линенным бронекорпусом иногда обозна</w:t>
      </w:r>
      <w:r w:rsidRPr="00070ADE">
        <w:rPr>
          <w:rFonts w:ascii="Times New Roman" w:hAnsi="Times New Roman" w:cs="Times New Roman"/>
          <w:color w:val="000000" w:themeColor="text1"/>
          <w:sz w:val="16"/>
          <w:szCs w:val="16"/>
        </w:rPr>
        <w:softHyphen/>
        <w:t>чался как Ил-2У,то есть улучшенный.</w:t>
      </w:r>
    </w:p>
    <w:p w14:paraId="1C0A47A8" w14:textId="77777777" w:rsidR="00DC6FB3" w:rsidRPr="00070ADE" w:rsidRDefault="00DC6FB3" w:rsidP="00B56F90">
      <w:pPr>
        <w:pStyle w:val="184"/>
        <w:shd w:val="clear" w:color="auto" w:fill="auto"/>
        <w:spacing w:before="0" w:after="0" w:line="240" w:lineRule="auto"/>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ходе испытаний оба самолета по</w:t>
      </w:r>
      <w:r w:rsidRPr="00070ADE">
        <w:rPr>
          <w:rFonts w:ascii="Times New Roman" w:hAnsi="Times New Roman" w:cs="Times New Roman"/>
          <w:color w:val="000000" w:themeColor="text1"/>
          <w:sz w:val="16"/>
          <w:szCs w:val="16"/>
        </w:rPr>
        <w:softHyphen/>
        <w:t>казали хорошую управляемость и про</w:t>
      </w:r>
      <w:r w:rsidRPr="00070ADE">
        <w:rPr>
          <w:rFonts w:ascii="Times New Roman" w:hAnsi="Times New Roman" w:cs="Times New Roman"/>
          <w:color w:val="000000" w:themeColor="text1"/>
          <w:sz w:val="16"/>
          <w:szCs w:val="16"/>
        </w:rPr>
        <w:softHyphen/>
        <w:t>дольную устойчивость. Однако указы</w:t>
      </w:r>
      <w:r w:rsidRPr="00070ADE">
        <w:rPr>
          <w:rFonts w:ascii="Times New Roman" w:hAnsi="Times New Roman" w:cs="Times New Roman"/>
          <w:color w:val="000000" w:themeColor="text1"/>
          <w:sz w:val="16"/>
          <w:szCs w:val="16"/>
        </w:rPr>
        <w:softHyphen/>
        <w:t>валось, что более задняя центровка са</w:t>
      </w:r>
      <w:r w:rsidRPr="00070ADE">
        <w:rPr>
          <w:rFonts w:ascii="Times New Roman" w:hAnsi="Times New Roman" w:cs="Times New Roman"/>
          <w:color w:val="000000" w:themeColor="text1"/>
          <w:sz w:val="16"/>
          <w:szCs w:val="16"/>
        </w:rPr>
        <w:softHyphen/>
        <w:t>молета Ил-2 с дополнительным брони</w:t>
      </w:r>
      <w:r w:rsidRPr="00070ADE">
        <w:rPr>
          <w:rFonts w:ascii="Times New Roman" w:hAnsi="Times New Roman" w:cs="Times New Roman"/>
          <w:color w:val="000000" w:themeColor="text1"/>
          <w:sz w:val="16"/>
          <w:szCs w:val="16"/>
        </w:rPr>
        <w:softHyphen/>
        <w:t>рованием кабины стрелка ухудшила его продольную устойчивость. На всем экс</w:t>
      </w:r>
      <w:r w:rsidRPr="00070ADE">
        <w:rPr>
          <w:rFonts w:ascii="Times New Roman" w:hAnsi="Times New Roman" w:cs="Times New Roman"/>
          <w:color w:val="000000" w:themeColor="text1"/>
          <w:sz w:val="16"/>
          <w:szCs w:val="16"/>
        </w:rPr>
        <w:softHyphen/>
        <w:t>плуатационном диапазоне центровок и режимах полета «самолет имеет динами</w:t>
      </w:r>
      <w:r w:rsidRPr="00070ADE">
        <w:rPr>
          <w:rFonts w:ascii="Times New Roman" w:hAnsi="Times New Roman" w:cs="Times New Roman"/>
          <w:color w:val="000000" w:themeColor="text1"/>
          <w:sz w:val="16"/>
          <w:szCs w:val="16"/>
        </w:rPr>
        <w:softHyphen/>
        <w:t>ческую устойчивость, близкую к нейтраль</w:t>
      </w:r>
      <w:r w:rsidRPr="00070ADE">
        <w:rPr>
          <w:rFonts w:ascii="Times New Roman" w:hAnsi="Times New Roman" w:cs="Times New Roman"/>
          <w:color w:val="000000" w:themeColor="text1"/>
          <w:sz w:val="16"/>
          <w:szCs w:val="16"/>
        </w:rPr>
        <w:softHyphen/>
        <w:t>ной, в сторону отрицательной». Ведущий летчик-испытатель инженер-майор Сине</w:t>
      </w:r>
      <w:r w:rsidRPr="00070ADE">
        <w:rPr>
          <w:rFonts w:ascii="Times New Roman" w:hAnsi="Times New Roman" w:cs="Times New Roman"/>
          <w:color w:val="000000" w:themeColor="text1"/>
          <w:sz w:val="16"/>
          <w:szCs w:val="16"/>
        </w:rPr>
        <w:softHyphen/>
        <w:t>льников в разделе «Летная оценка само</w:t>
      </w:r>
      <w:r w:rsidRPr="00070ADE">
        <w:rPr>
          <w:rFonts w:ascii="Times New Roman" w:hAnsi="Times New Roman" w:cs="Times New Roman"/>
          <w:color w:val="000000" w:themeColor="text1"/>
          <w:sz w:val="16"/>
          <w:szCs w:val="16"/>
        </w:rPr>
        <w:softHyphen/>
        <w:t>лета» указывал: «прогрессивное увеличе</w:t>
      </w:r>
      <w:r w:rsidRPr="00070ADE">
        <w:rPr>
          <w:rFonts w:ascii="Times New Roman" w:hAnsi="Times New Roman" w:cs="Times New Roman"/>
          <w:color w:val="000000" w:themeColor="text1"/>
          <w:sz w:val="16"/>
          <w:szCs w:val="16"/>
        </w:rPr>
        <w:softHyphen/>
        <w:t>ние веса самолета Ил-2 до 6355 кг счи</w:t>
      </w:r>
      <w:r w:rsidRPr="00070ADE">
        <w:rPr>
          <w:rFonts w:ascii="Times New Roman" w:hAnsi="Times New Roman" w:cs="Times New Roman"/>
          <w:color w:val="000000" w:themeColor="text1"/>
          <w:sz w:val="16"/>
          <w:szCs w:val="16"/>
        </w:rPr>
        <w:softHyphen/>
        <w:t>таю ненормальным и крайне нежелатель</w:t>
      </w:r>
      <w:r w:rsidRPr="00070ADE">
        <w:rPr>
          <w:rFonts w:ascii="Times New Roman" w:hAnsi="Times New Roman" w:cs="Times New Roman"/>
          <w:color w:val="000000" w:themeColor="text1"/>
          <w:sz w:val="16"/>
          <w:szCs w:val="16"/>
        </w:rPr>
        <w:softHyphen/>
        <w:t>ным, так как, в конце концов, это приведет к резкому ухудшению взлетных свойств и усложнением техники пилотирова</w:t>
      </w:r>
      <w:r w:rsidRPr="00070ADE">
        <w:rPr>
          <w:rFonts w:ascii="Times New Roman" w:hAnsi="Times New Roman" w:cs="Times New Roman"/>
          <w:color w:val="000000" w:themeColor="text1"/>
          <w:sz w:val="16"/>
          <w:szCs w:val="16"/>
        </w:rPr>
        <w:softHyphen/>
        <w:t>ния». Тем не менее, был сделан вывод, что «установка дополнительной брони улуч</w:t>
      </w:r>
      <w:r w:rsidRPr="00070ADE">
        <w:rPr>
          <w:rFonts w:ascii="Times New Roman" w:hAnsi="Times New Roman" w:cs="Times New Roman"/>
          <w:color w:val="000000" w:themeColor="text1"/>
          <w:sz w:val="16"/>
          <w:szCs w:val="16"/>
        </w:rPr>
        <w:softHyphen/>
        <w:t>шает защиту стрелка, является целесоо</w:t>
      </w:r>
      <w:r w:rsidRPr="00070ADE">
        <w:rPr>
          <w:rFonts w:ascii="Times New Roman" w:hAnsi="Times New Roman" w:cs="Times New Roman"/>
          <w:color w:val="000000" w:themeColor="text1"/>
          <w:sz w:val="16"/>
          <w:szCs w:val="16"/>
        </w:rPr>
        <w:softHyphen/>
        <w:t>бразной и может быть рекомендована на самолетах с увеличенной стрельчатостью крыла для строевых частей ВВС КА».</w:t>
      </w:r>
    </w:p>
    <w:p w14:paraId="516BC56E" w14:textId="77777777" w:rsidR="00DC6FB3" w:rsidRPr="00070ADE" w:rsidRDefault="00DC6FB3" w:rsidP="00B56F90">
      <w:pPr>
        <w:pStyle w:val="184"/>
        <w:shd w:val="clear" w:color="auto" w:fill="auto"/>
        <w:spacing w:before="0" w:after="0" w:line="240" w:lineRule="auto"/>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отношении самолета с удлиненным бронекорпусом никаких недостатков в части управляемости не отмечалось, по</w:t>
      </w:r>
      <w:r w:rsidRPr="00070ADE">
        <w:rPr>
          <w:rFonts w:ascii="Times New Roman" w:hAnsi="Times New Roman" w:cs="Times New Roman"/>
          <w:color w:val="000000" w:themeColor="text1"/>
          <w:sz w:val="16"/>
          <w:szCs w:val="16"/>
        </w:rPr>
        <w:softHyphen/>
        <w:t>скольку вследствие перераспределения толщины брони центровка самолета даже сместилась несколько вперед в сравне</w:t>
      </w:r>
      <w:r w:rsidRPr="00070ADE">
        <w:rPr>
          <w:rFonts w:ascii="Times New Roman" w:hAnsi="Times New Roman" w:cs="Times New Roman"/>
          <w:color w:val="000000" w:themeColor="text1"/>
          <w:sz w:val="16"/>
          <w:szCs w:val="16"/>
        </w:rPr>
        <w:softHyphen/>
        <w:t>нии с серийным самолетом (19558).</w:t>
      </w:r>
    </w:p>
    <w:p w14:paraId="2E81FF27" w14:textId="77777777" w:rsidR="00DC6FB3" w:rsidRPr="00070ADE" w:rsidRDefault="00DC6FB3" w:rsidP="00B56F90">
      <w:pPr>
        <w:spacing w:after="0" w:line="240" w:lineRule="auto"/>
        <w:jc w:val="both"/>
        <w:rPr>
          <w:rFonts w:ascii="Times New Roman" w:hAnsi="Times New Roman"/>
          <w:color w:val="000000" w:themeColor="text1"/>
          <w:sz w:val="16"/>
          <w:szCs w:val="16"/>
        </w:rPr>
      </w:pPr>
    </w:p>
    <w:p w14:paraId="4C264E1D" w14:textId="63C0F389" w:rsidR="006B3C37" w:rsidRPr="00070ADE" w:rsidRDefault="006B3C37" w:rsidP="00B56F90">
      <w:pPr>
        <w:pStyle w:val="ae"/>
        <w:spacing w:before="0" w:after="0"/>
        <w:jc w:val="both"/>
        <w:textAlignment w:val="baseline"/>
        <w:rPr>
          <w:color w:val="000000" w:themeColor="text1"/>
          <w:sz w:val="16"/>
          <w:szCs w:val="16"/>
        </w:rPr>
      </w:pPr>
      <w:r w:rsidRPr="00070ADE">
        <w:rPr>
          <w:color w:val="000000" w:themeColor="text1"/>
          <w:sz w:val="16"/>
          <w:szCs w:val="16"/>
        </w:rPr>
        <w:t>К 1 июня 1944</w:t>
      </w:r>
      <w:r w:rsidR="00B643A8" w:rsidRPr="00070ADE">
        <w:rPr>
          <w:color w:val="000000" w:themeColor="text1"/>
          <w:sz w:val="16"/>
          <w:szCs w:val="16"/>
        </w:rPr>
        <w:t xml:space="preserve"> </w:t>
      </w:r>
      <w:r w:rsidRPr="00070ADE">
        <w:rPr>
          <w:color w:val="000000" w:themeColor="text1"/>
          <w:sz w:val="16"/>
          <w:szCs w:val="16"/>
        </w:rPr>
        <w:t>г. общая численность штурмовиков Ил-2 на фронте достигла 3797, а по состоянию на 1 января 1945</w:t>
      </w:r>
      <w:r w:rsidR="00B643A8" w:rsidRPr="00070ADE">
        <w:rPr>
          <w:color w:val="000000" w:themeColor="text1"/>
          <w:sz w:val="16"/>
          <w:szCs w:val="16"/>
        </w:rPr>
        <w:t xml:space="preserve"> </w:t>
      </w:r>
      <w:r w:rsidRPr="00070ADE">
        <w:rPr>
          <w:color w:val="000000" w:themeColor="text1"/>
          <w:sz w:val="16"/>
          <w:szCs w:val="16"/>
        </w:rPr>
        <w:t>г. вышла на максимальный за войну показатель: 4171 самолет. Тем не менее потери штурмовых полков по-прежнему оставались огромными и в предпоследний год войны достигли цифры 3344 машины (19522).</w:t>
      </w:r>
    </w:p>
    <w:p w14:paraId="748F8B4B" w14:textId="77777777" w:rsidR="006B3C37" w:rsidRPr="00070ADE" w:rsidRDefault="006B3C37" w:rsidP="00B56F90">
      <w:pPr>
        <w:pStyle w:val="ae"/>
        <w:spacing w:before="0" w:after="0"/>
        <w:jc w:val="both"/>
        <w:textAlignment w:val="baseline"/>
        <w:rPr>
          <w:color w:val="000000" w:themeColor="text1"/>
          <w:sz w:val="16"/>
          <w:szCs w:val="16"/>
        </w:rPr>
      </w:pPr>
    </w:p>
    <w:p w14:paraId="1E2E8F25" w14:textId="0EFC3431" w:rsidR="00AC5DD0" w:rsidRPr="00070ADE" w:rsidRDefault="00AC5D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 июня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общая численность штурмовиков Ил</w:t>
      </w:r>
      <w:r w:rsidRPr="00070ADE">
        <w:rPr>
          <w:rFonts w:ascii="Times New Roman" w:hAnsi="Times New Roman"/>
          <w:color w:val="000000" w:themeColor="text1"/>
          <w:sz w:val="16"/>
          <w:szCs w:val="16"/>
        </w:rPr>
        <w:noBreakHyphen/>
        <w:t>2 на фронте достигла 3797, а по состоянию на 1 января 1945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вышла на максимальный за войну показатель: 4171 самолет. Тем не менее потери штурмовых полков по</w:t>
      </w:r>
      <w:r w:rsidRPr="00070ADE">
        <w:rPr>
          <w:rFonts w:ascii="Times New Roman" w:hAnsi="Times New Roman"/>
          <w:color w:val="000000" w:themeColor="text1"/>
          <w:sz w:val="16"/>
          <w:szCs w:val="16"/>
        </w:rPr>
        <w:noBreakHyphen/>
        <w:t>прежнему оставались огромными и в предпоследний год войны достигли цифры 3344 машины. Только в 1945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когда из</w:t>
      </w:r>
      <w:r w:rsidRPr="00070ADE">
        <w:rPr>
          <w:rFonts w:ascii="Times New Roman" w:hAnsi="Times New Roman"/>
          <w:color w:val="000000" w:themeColor="text1"/>
          <w:sz w:val="16"/>
          <w:szCs w:val="16"/>
        </w:rPr>
        <w:noBreakHyphen/>
        <w:t>за значительного ослабления сил люфтваффе немецкие истребители в небе стали редкостью, а наземная противовоздушная оборона также значительно ослабла, «черная смерть» наконец смогла продемонстрировать все свои боевые возможности (23199).</w:t>
      </w:r>
    </w:p>
    <w:p w14:paraId="7B364C4A" w14:textId="77777777" w:rsidR="00AC5DD0" w:rsidRPr="00070ADE" w:rsidRDefault="00AC5DD0" w:rsidP="00B56F90">
      <w:pPr>
        <w:spacing w:after="0" w:line="240" w:lineRule="auto"/>
        <w:jc w:val="both"/>
        <w:rPr>
          <w:rFonts w:ascii="Times New Roman" w:hAnsi="Times New Roman"/>
          <w:color w:val="000000" w:themeColor="text1"/>
          <w:sz w:val="16"/>
          <w:szCs w:val="16"/>
        </w:rPr>
      </w:pPr>
    </w:p>
    <w:p w14:paraId="41DFB7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после завершения 31 мая 1944 л-и А.Д.Перелет и ви Б.Н.Гроздов заводских испытаний СДБ А.Н.Т. (63/1), сделанного на основе 103 2АМ-37, машина была передана на гос. испытания в НИИ ВВС (1835,56).</w:t>
      </w:r>
    </w:p>
    <w:p w14:paraId="3E8FA2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42C3D2" w14:textId="77777777" w:rsidR="00974807" w:rsidRPr="00C94B78" w:rsidRDefault="0097480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 июня 1944 г. скоростной дневной бомбардировщик СДБ (АНТ-63) с двигателями АМ-39 передали в НИИ ВВС (24991) (24991).</w:t>
      </w:r>
    </w:p>
    <w:p w14:paraId="5E5F2827" w14:textId="77777777" w:rsidR="00974807" w:rsidRPr="00C94B78" w:rsidRDefault="00974807" w:rsidP="00B56F90">
      <w:pPr>
        <w:spacing w:after="0" w:line="240" w:lineRule="auto"/>
        <w:jc w:val="both"/>
        <w:rPr>
          <w:rFonts w:ascii="Times New Roman" w:hAnsi="Times New Roman"/>
          <w:color w:val="0070C0"/>
          <w:sz w:val="16"/>
          <w:szCs w:val="16"/>
        </w:rPr>
      </w:pPr>
    </w:p>
    <w:p w14:paraId="2748FD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 июня по 16 сентября 1944 г. самолет ТИС (МА) проходил летные испытания (9649).</w:t>
      </w:r>
    </w:p>
    <w:p w14:paraId="36287E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Поскольку моторы АМ-39 к началу испытаний так и не были готовы, самолет испытывался с моторами АМ-38Ф. Полеты проходили вполне успешно. Серийные моторы АМ-38Ф работали нормально. Полученные летные данные практически не отличались от расчетных.</w:t>
      </w:r>
    </w:p>
    <w:p w14:paraId="4A8437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полетном весе 8280 кг максимальная скорость у земли составила 514 км/ч, а на высоте 7400 м - до 535 км/ч. Время набора высоты 5000 м -9,2 мин.</w:t>
      </w:r>
    </w:p>
    <w:p w14:paraId="4D4F77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выводах по испытаниям подчеркивалось, что по технике пилотирования и взлетно-посадочным свойствам самолет доступен для летчиков средней квалификации.</w:t>
      </w:r>
    </w:p>
    <w:p w14:paraId="7C9598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существу, можно считать, что с низковысотными моторами самолет ТИС (МА) испытывался именно в варианте воздушного истребителя танков.</w:t>
      </w:r>
    </w:p>
    <w:p w14:paraId="11FC4B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Необходимо было лишь усилить бронирование, что вполне было возможно сделать, практически не изменяя взлетного веса, за счет снижения запаса топлива </w:t>
      </w:r>
      <w:r w:rsidRPr="00070ADE">
        <w:rPr>
          <w:rFonts w:ascii="Times New Roman" w:hAnsi="Times New Roman"/>
          <w:color w:val="000000" w:themeColor="text1"/>
          <w:sz w:val="16"/>
          <w:szCs w:val="16"/>
        </w:rPr>
        <w:lastRenderedPageBreak/>
        <w:t>(дальность в 2000 км в этом варианте была излишней) и за счет облегчения конструкции (большие перегрузки - Акр=12 самолету в варианте ВИТ выдерживать было незачем).</w:t>
      </w:r>
    </w:p>
    <w:p w14:paraId="16D8BF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к этому времени проблема противотанкового самолета уже не рассматривалась столь остро. К тому же вскоре не стало и Поликарпова.</w:t>
      </w:r>
    </w:p>
    <w:p w14:paraId="1427AF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сожалению, и на этот раз достаточно хорошо отработанный самолет так и не нашел практического воплощения в виде воздушного истребителя танков.</w:t>
      </w:r>
    </w:p>
    <w:p w14:paraId="517602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Поскольку самолет ТИС AM был логическим развитием самолета ВИТ-1, и преемником самолетов ВИТ-2, СПБ 2М-105, и при его создании использовался опыт проектирования самолетов ПБ-1, ТИС А и СПБ с моторами АМ-37, М-120, М-81 и М-71, то при анализе степени соответствия самолетов ВИТ-1 и ТИС требованиям к противотанковому самолету периода Великой Отечественной войны воспользуемся соответствующими результатами проведенных испытаний и расчетов.</w:t>
      </w:r>
    </w:p>
    <w:p w14:paraId="375C9B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воспользуемся результатами ориентировочных расчетов, связанных с введением дополнительного бронирования, некоторыми изменениями вооружения и с возможным использованием низковысотных моторов М-71Ф, АМ-42 и М-82ФН ИР.</w:t>
      </w:r>
    </w:p>
    <w:p w14:paraId="76BC67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соответствующей доработки самолеты ТИС могли практически полностью удовлетворять требованиям к самолету поля боя: использование пушек калибра 37 и 45 мм, постановка дополнительного бронирования, за счет применения невысотного мотора, уменьшения запаса топлива и масла, а также уменьшения веса конструкции за счет существенного снижения требований к запасу прочности.</w:t>
      </w:r>
    </w:p>
    <w:p w14:paraId="34D69D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этом случае, при использовании моторов АМ-38 вполне могла быть получена максимальная скорость у земли не менее 500 км/ч, с моторами АМ-38Ф реально была получена скорость 514 км/ч, с моторами АМ-42 скорость могла быть не менее 540 км/ч, с М-82ФН ИР - не менее 520 км/ч, а с моторами М-71ф - не менее 547 км/ч. Вертикальная скорость самолета у земли должна была быть, соответственно, не менее 12,17,17,4,16 и 19 м/с. Вполне приемлемыми были бы и взлетно-посадочные характеристики. Дальность полета в 1600 км могла быть гарантированно обеспечена.</w:t>
      </w:r>
    </w:p>
    <w:p w14:paraId="28579B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Оценки показывают, что в типовых условиях боев летчик с хорошей летной и стрелковой подготовкой на самолете ТИС (МА) с противотанковым вариантом вооружения (две НС-45, 2 ШВАК) уже в первой атаке мог обеспечить вероятность поражения немецкого среднего танка типа Pz. IV Ausf G (атака сбоку, угол планирования 25-30°, дистанция открытия огня 300-400 м) порядка 0,18-0,25, а бронетранспортера типа Sd Kfz 250 - 0,9.</w:t>
      </w:r>
    </w:p>
    <w:p w14:paraId="43F6C3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Если еще учесть 1000 кг авиабомб, то ТИС в каждом боевом вылете мог га-рантированно поражать один-два средних танков вермахта, конечно, при наличии таковых на поле боя.</w:t>
      </w:r>
    </w:p>
    <w:p w14:paraId="6CBF21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Мы уже упоминали, что при рассмотрении эскизного проекта ТИС (МА) специалисты НИИ ВВС КА указывали на необходимость использования его в качестве противотанкового самолета.</w:t>
      </w:r>
    </w:p>
    <w:p w14:paraId="7B6FDD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Можно сожалеть, что после успешного испытания скоростного истребителя с низковысотными моторами АМ-38Ф, Поликарпов не вышел с инициативой о запуске противотанкового варианта самолета в серию (9649).</w:t>
      </w:r>
    </w:p>
    <w:p w14:paraId="0D9072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7FC9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 по 5 июня 1944 в Москве проходили наземные испытания ТИС (МА), но первый полет выполнил только 13 июня 1944 (10535,34).</w:t>
      </w:r>
    </w:p>
    <w:p w14:paraId="36578A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66D8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г. начались наземные испытания ТИС (МА). К 5 ию</w:t>
      </w:r>
      <w:r w:rsidRPr="00070ADE">
        <w:rPr>
          <w:rFonts w:ascii="Times New Roman" w:hAnsi="Times New Roman"/>
          <w:color w:val="000000" w:themeColor="text1"/>
          <w:sz w:val="16"/>
          <w:szCs w:val="16"/>
        </w:rPr>
        <w:softHyphen/>
        <w:t>ня ТИС (МА) был готов к проведению летных испыта</w:t>
      </w:r>
      <w:r w:rsidRPr="00070ADE">
        <w:rPr>
          <w:rFonts w:ascii="Times New Roman" w:hAnsi="Times New Roman"/>
          <w:color w:val="000000" w:themeColor="text1"/>
          <w:sz w:val="16"/>
          <w:szCs w:val="16"/>
        </w:rPr>
        <w:softHyphen/>
        <w:t>ний, но разрешение заместителя наркома А.С.Яковлева на первый вылет удалось получить только к 13 июня. В этот день летчик-испытатель полковник Н.В.Гаврилов поднял машину в воздух (10667).</w:t>
      </w:r>
    </w:p>
    <w:p w14:paraId="1F9C1D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32608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C 1 июня 1944 по 16 сентября 1944 состоялись испытания ТИС (МА), построенного в конце 1943, с АМ-38 (228,157). Это были моторы АМ-38Ф, т.к. планировавшиеся АМ-39 достать не удалось (2349,27).</w:t>
      </w:r>
    </w:p>
    <w:p w14:paraId="2512C1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91E647"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июня</w:t>
      </w:r>
      <w:r w:rsidRPr="00070ADE">
        <w:rPr>
          <w:rFonts w:ascii="Times New Roman" w:hAnsi="Times New Roman"/>
          <w:color w:val="000000" w:themeColor="text1"/>
          <w:sz w:val="16"/>
          <w:szCs w:val="16"/>
        </w:rPr>
        <w:t xml:space="preserve"> в 1944 году начались испытания тяжелого истребителя сопровождения </w:t>
      </w:r>
      <w:hyperlink r:id="rId161" w:tgtFrame="_blank" w:history="1">
        <w:r w:rsidRPr="00070ADE">
          <w:rPr>
            <w:rFonts w:ascii="Times New Roman" w:hAnsi="Times New Roman"/>
            <w:color w:val="000000" w:themeColor="text1"/>
            <w:sz w:val="16"/>
            <w:szCs w:val="16"/>
          </w:rPr>
          <w:t xml:space="preserve">«ТИС». </w:t>
        </w:r>
      </w:hyperlink>
      <w:r w:rsidRPr="00070ADE">
        <w:rPr>
          <w:rFonts w:ascii="Times New Roman" w:hAnsi="Times New Roman"/>
          <w:color w:val="000000" w:themeColor="text1"/>
          <w:sz w:val="16"/>
          <w:szCs w:val="16"/>
        </w:rPr>
        <w:t>К 5 июня «ТИС» («МА») был готов к проведению летных испытаний, но разрешение заместителя наркома А.С.Яковлева на первый вылет удалось получить только 13 июня. В тот же день летчик-испытатель полковник Н.В.Гаврилов поднял машину в воздух. Самолет потерпел аварию 29 июня 1944 г. - в конце пробега отказали тормоза. Ремонт продолжался целый месяц (с 30 июня по 30 июля), 14 августа летные испытания возобновились в ЛИИ и продолжались до 16 сентября (14909).</w:t>
      </w:r>
    </w:p>
    <w:p w14:paraId="073C208A" w14:textId="77777777" w:rsidR="001E5A47" w:rsidRPr="00070ADE" w:rsidRDefault="001E5A47" w:rsidP="00B56F90">
      <w:pPr>
        <w:spacing w:after="0" w:line="240" w:lineRule="auto"/>
        <w:jc w:val="both"/>
        <w:rPr>
          <w:rFonts w:ascii="Times New Roman" w:hAnsi="Times New Roman"/>
          <w:color w:val="000000" w:themeColor="text1"/>
          <w:sz w:val="16"/>
          <w:szCs w:val="16"/>
        </w:rPr>
      </w:pPr>
    </w:p>
    <w:p w14:paraId="28B91371" w14:textId="71E8D5E8" w:rsidR="00D54008" w:rsidRPr="00070ADE" w:rsidRDefault="00D54008"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К 1 июня 1944 г. ТИС (МА) достиг летной готовности</w:t>
      </w:r>
      <w:r w:rsidR="000D462F" w:rsidRPr="00070ADE">
        <w:rPr>
          <w:color w:val="000000" w:themeColor="text1"/>
          <w:sz w:val="16"/>
          <w:szCs w:val="16"/>
        </w:rPr>
        <w:t>.</w:t>
      </w:r>
      <w:r w:rsidRPr="00070ADE">
        <w:rPr>
          <w:color w:val="000000" w:themeColor="text1"/>
          <w:sz w:val="16"/>
          <w:szCs w:val="16"/>
        </w:rPr>
        <w:t xml:space="preserve"> К этому дню выполнили рулежки и подлеты. Поведение самолета было вполне нормальным. По</w:t>
      </w:r>
      <w:r w:rsidRPr="00070ADE">
        <w:rPr>
          <w:color w:val="000000" w:themeColor="text1"/>
          <w:sz w:val="16"/>
          <w:szCs w:val="16"/>
        </w:rPr>
        <w:softHyphen/>
        <w:t>сле регулировки моторов и устранения некоторых мелких производственных дефектов ОКБ офици</w:t>
      </w:r>
      <w:r w:rsidRPr="00070ADE">
        <w:rPr>
          <w:color w:val="000000" w:themeColor="text1"/>
          <w:sz w:val="16"/>
          <w:szCs w:val="16"/>
        </w:rPr>
        <w:softHyphen/>
        <w:t>ально доложило о готовности самолета ТИС (МА) совершить первый испытательный полет 8 июня. Необходимые документы, подтверждающие готов</w:t>
      </w:r>
      <w:r w:rsidRPr="00070ADE">
        <w:rPr>
          <w:color w:val="000000" w:themeColor="text1"/>
          <w:sz w:val="16"/>
          <w:szCs w:val="16"/>
        </w:rPr>
        <w:softHyphen/>
        <w:t>ность машины, вместе с запросом на полет бы</w:t>
      </w:r>
      <w:r w:rsidRPr="00070ADE">
        <w:rPr>
          <w:color w:val="000000" w:themeColor="text1"/>
          <w:sz w:val="16"/>
          <w:szCs w:val="16"/>
        </w:rPr>
        <w:softHyphen/>
        <w:t>ли направлены в НКАП. Разрешение заместителя наркома А. С. Яковлева на первый вылет было по</w:t>
      </w:r>
      <w:r w:rsidRPr="00070ADE">
        <w:rPr>
          <w:color w:val="000000" w:themeColor="text1"/>
          <w:sz w:val="16"/>
          <w:szCs w:val="16"/>
        </w:rPr>
        <w:softHyphen/>
        <w:t>лучено только 13 июня. В этот же день летчик-ис</w:t>
      </w:r>
      <w:r w:rsidRPr="00070ADE">
        <w:rPr>
          <w:color w:val="000000" w:themeColor="text1"/>
          <w:sz w:val="16"/>
          <w:szCs w:val="16"/>
        </w:rPr>
        <w:softHyphen/>
        <w:t>пытатель Н. В. Гаврилов поднял машину в воздух. Полет прошел без происшествий, строго по плану. Температуры воды и масла в полете были в преде</w:t>
      </w:r>
      <w:r w:rsidRPr="00070ADE">
        <w:rPr>
          <w:color w:val="000000" w:themeColor="text1"/>
          <w:sz w:val="16"/>
          <w:szCs w:val="16"/>
        </w:rPr>
        <w:softHyphen/>
        <w:t>лах нормы. Посадка была выполнена на повышен</w:t>
      </w:r>
      <w:r w:rsidRPr="00070ADE">
        <w:rPr>
          <w:color w:val="000000" w:themeColor="text1"/>
          <w:sz w:val="16"/>
          <w:szCs w:val="16"/>
        </w:rPr>
        <w:softHyphen/>
        <w:t>ной скорости примерно 250—270 км/ч. По заявле</w:t>
      </w:r>
      <w:r w:rsidRPr="00070ADE">
        <w:rPr>
          <w:color w:val="000000" w:themeColor="text1"/>
          <w:sz w:val="16"/>
          <w:szCs w:val="16"/>
        </w:rPr>
        <w:softHyphen/>
        <w:t>нию летчика, «рулей высоты на посадку хватило, но без запаса. Остальные рули эффективны. По</w:t>
      </w:r>
      <w:r w:rsidRPr="00070ADE">
        <w:rPr>
          <w:color w:val="000000" w:themeColor="text1"/>
          <w:sz w:val="16"/>
          <w:szCs w:val="16"/>
        </w:rPr>
        <w:softHyphen/>
        <w:t>перечная устойчивость самолета больше продоль</w:t>
      </w:r>
      <w:r w:rsidRPr="00070ADE">
        <w:rPr>
          <w:color w:val="000000" w:themeColor="text1"/>
          <w:sz w:val="16"/>
          <w:szCs w:val="16"/>
        </w:rPr>
        <w:softHyphen/>
        <w:t>ной, что делает самолет неприятным в пилотиро</w:t>
      </w:r>
      <w:r w:rsidRPr="00070ADE">
        <w:rPr>
          <w:color w:val="000000" w:themeColor="text1"/>
          <w:sz w:val="16"/>
          <w:szCs w:val="16"/>
        </w:rPr>
        <w:softHyphen/>
        <w:t>вании».</w:t>
      </w:r>
    </w:p>
    <w:p w14:paraId="5F2BB090" w14:textId="77777777" w:rsidR="00D54008" w:rsidRPr="00070ADE" w:rsidRDefault="00D54008"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ходе очередного испытательного полета 21 июня не убралась левая стойка шасси. Как выяс</w:t>
      </w:r>
      <w:r w:rsidRPr="00070ADE">
        <w:rPr>
          <w:color w:val="000000" w:themeColor="text1"/>
          <w:sz w:val="16"/>
          <w:szCs w:val="16"/>
        </w:rPr>
        <w:softHyphen/>
        <w:t>нилось, сработалась собачка замка шасси. Самолет встал в ремонт. 29 июня при посадке без щитков (Н. В. Гаврилов забыл выпустить их) в конце пробе</w:t>
      </w:r>
      <w:r w:rsidRPr="00070ADE">
        <w:rPr>
          <w:color w:val="000000" w:themeColor="text1"/>
          <w:sz w:val="16"/>
          <w:szCs w:val="16"/>
        </w:rPr>
        <w:softHyphen/>
        <w:t>га отказали тормоза, самолет выкатился за пределы аэродрома, попал в канаву и подломал левую стой</w:t>
      </w:r>
      <w:r w:rsidRPr="00070ADE">
        <w:rPr>
          <w:color w:val="000000" w:themeColor="text1"/>
          <w:sz w:val="16"/>
          <w:szCs w:val="16"/>
        </w:rPr>
        <w:softHyphen/>
        <w:t>ку основного шасси. Очередной ремонт самолета продолжался до 30 июля. Пришлось ремонтиро</w:t>
      </w:r>
      <w:r w:rsidRPr="00070ADE">
        <w:rPr>
          <w:color w:val="000000" w:themeColor="text1"/>
          <w:sz w:val="16"/>
          <w:szCs w:val="16"/>
        </w:rPr>
        <w:softHyphen/>
        <w:t>вать фюзеляж, крыло, шасси и оперение. Заменили левую мотораму, оба мотора и винты. Одновремен</w:t>
      </w:r>
      <w:r w:rsidRPr="00070ADE">
        <w:rPr>
          <w:color w:val="000000" w:themeColor="text1"/>
          <w:sz w:val="16"/>
          <w:szCs w:val="16"/>
        </w:rPr>
        <w:softHyphen/>
        <w:t>но для увеличения запаса рулей высоты на посадке изменили угол установки стабилизатора на —2°30'. При первых же пробежках после ремонта 30 июля обнаружилось, что тормоза колес шасси работают все так же недостаточно эффективно и посадка на Центральном аэродроме возможна лишь в од</w:t>
      </w:r>
      <w:r w:rsidRPr="00070ADE">
        <w:rPr>
          <w:color w:val="000000" w:themeColor="text1"/>
          <w:sz w:val="16"/>
          <w:szCs w:val="16"/>
        </w:rPr>
        <w:softHyphen/>
        <w:t>ном направлении. По этой причине было приня</w:t>
      </w:r>
      <w:r w:rsidRPr="00070ADE">
        <w:rPr>
          <w:color w:val="000000" w:themeColor="text1"/>
          <w:sz w:val="16"/>
          <w:szCs w:val="16"/>
        </w:rPr>
        <w:softHyphen/>
        <w:t>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в целом завершить программу заводских летных испытаний. К сожа</w:t>
      </w:r>
      <w:r w:rsidRPr="00070ADE">
        <w:rPr>
          <w:color w:val="000000" w:themeColor="text1"/>
          <w:sz w:val="16"/>
          <w:szCs w:val="16"/>
        </w:rPr>
        <w:softHyphen/>
        <w:t>лению, в этот день при взлете произошел обрыв ушка крепления цилиндра подъема шасси с обры</w:t>
      </w:r>
      <w:r w:rsidRPr="00070ADE">
        <w:rPr>
          <w:color w:val="000000" w:themeColor="text1"/>
          <w:sz w:val="16"/>
          <w:szCs w:val="16"/>
        </w:rPr>
        <w:softHyphen/>
        <w:t>вом воздушной проводки, в результате чего шасси осталось в незафиксированном положении. При посадке на аэродром Раменское шасси сложилось. Помялись нижние капоты моторов и маслорадиато- ры. Погнулись оба винта. Но главное, деформиро</w:t>
      </w:r>
      <w:r w:rsidRPr="00070ADE">
        <w:rPr>
          <w:color w:val="000000" w:themeColor="text1"/>
          <w:sz w:val="16"/>
          <w:szCs w:val="16"/>
        </w:rPr>
        <w:softHyphen/>
        <w:t>вался фюзеляж. Самолету требовался длительный ремонт (17500).</w:t>
      </w:r>
    </w:p>
    <w:p w14:paraId="2A216E56" w14:textId="77777777" w:rsidR="00D54008" w:rsidRPr="00070ADE" w:rsidRDefault="00D54008" w:rsidP="00B56F90">
      <w:pPr>
        <w:spacing w:after="0" w:line="240" w:lineRule="auto"/>
        <w:jc w:val="both"/>
        <w:rPr>
          <w:rFonts w:ascii="Times New Roman" w:eastAsia="Times New Roman" w:hAnsi="Times New Roman"/>
          <w:color w:val="000000" w:themeColor="text1"/>
          <w:sz w:val="16"/>
          <w:szCs w:val="16"/>
          <w:lang w:eastAsia="ru-RU"/>
        </w:rPr>
      </w:pPr>
    </w:p>
    <w:p w14:paraId="76821F47" w14:textId="77777777" w:rsidR="00974807" w:rsidRPr="00C94B78" w:rsidRDefault="0097480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 июня 1944 г. начались наземные испытания ТИС (МА). К 5 июня ТИС (МА) был готов к проведению летных испытаний, но разрешение заместителя наркома А. С. Яковлева на первый вылет удалось получить только к 13 июня. В этот день летчик-испытатель полковник Н. В. Гаврилов поднял машину в воздух.</w:t>
      </w:r>
    </w:p>
    <w:p w14:paraId="78F6D0E3" w14:textId="77777777" w:rsidR="00974807" w:rsidRPr="00C94B78" w:rsidRDefault="0097480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29 июня 1944 г. в конце пробега отказали тормоза и самолет потерпел аварию. Ремонт продолжался целый месяц — с 30 июня по 30 июля (25035).</w:t>
      </w:r>
    </w:p>
    <w:p w14:paraId="2FB89C76" w14:textId="77777777" w:rsidR="00974807" w:rsidRPr="00C94B78" w:rsidRDefault="00974807" w:rsidP="00B56F90">
      <w:pPr>
        <w:spacing w:after="0" w:line="240" w:lineRule="auto"/>
        <w:jc w:val="both"/>
        <w:rPr>
          <w:rFonts w:ascii="Times New Roman" w:hAnsi="Times New Roman"/>
          <w:color w:val="0070C0"/>
          <w:sz w:val="16"/>
          <w:szCs w:val="16"/>
        </w:rPr>
      </w:pPr>
    </w:p>
    <w:p w14:paraId="5857286B" w14:textId="77777777" w:rsidR="00974807" w:rsidRPr="00C94B78" w:rsidRDefault="0097480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 июня 1944 г. начались наземные испытания ТИС (МА). К 5 июня ТИС (МА) был готов к проведению летных испытаний, но разрешение заместителя наркома А.С. Яковлева на первый вылет удалось получить только 13 июня. В тот же день летчик-испытатель полковник Н.В. Гаврилов поднял машину в воздух (25337).</w:t>
      </w:r>
    </w:p>
    <w:p w14:paraId="22B66AA3" w14:textId="77777777" w:rsidR="00974807" w:rsidRPr="00C94B78" w:rsidRDefault="00974807" w:rsidP="00B56F90">
      <w:pPr>
        <w:spacing w:after="0" w:line="240" w:lineRule="auto"/>
        <w:jc w:val="both"/>
        <w:rPr>
          <w:rFonts w:ascii="Times New Roman" w:hAnsi="Times New Roman"/>
          <w:color w:val="0070C0"/>
          <w:sz w:val="16"/>
          <w:szCs w:val="16"/>
        </w:rPr>
      </w:pPr>
    </w:p>
    <w:p w14:paraId="5F92B3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 июня по 12 июня 1944 продолжились гос. испытания модифицированного ЛаГГ-3 дублера с ВК-105ПФ-2 с винтом ВИШ-105СВ (N 105-2 производства 31 завода (февраль), ГК В.П.Горбунов с ВЯ-23 - 85 патр.), которые начались 10 мая (самолет поступил 4) и были остановлены 12 мая для смены двигателя. Отв. испытатель Ф.М.Шишкин, вед. л Дзюба. 15 полетов продолжительностью 8 час. 40 мин. (764,2).</w:t>
      </w:r>
    </w:p>
    <w:p w14:paraId="1A0C9C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А.E.Репин утвердил акт по гос. испытаниям модифицированного ЛаГГ-3 дублера с ВК-105ПФ-2 с винтом ВИШ-105СВ (N 105-2 производства 31 завода (февраль), ГК В.П.Горбунов с ВЯ-23</w:t>
      </w:r>
    </w:p>
    <w:p w14:paraId="70EB36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 исполнитель вед. инж. З-да ви п/п Ф.М.Шишкин</w:t>
      </w:r>
    </w:p>
    <w:p w14:paraId="0A8995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 л 3 отд. НИИ ВВС гсс гм Дзюба</w:t>
      </w:r>
    </w:p>
    <w:p w14:paraId="5B2F36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 Шишкин</w:t>
      </w:r>
    </w:p>
    <w:p w14:paraId="3D5CEB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Цель испытаний:</w:t>
      </w:r>
    </w:p>
    <w:p w14:paraId="30BB40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Определить ЛТД с-та</w:t>
      </w:r>
    </w:p>
    <w:p w14:paraId="1AB517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Дать оценку эксплуатационным свойствам с-та, ВМГ, вооружения и спецоборудования</w:t>
      </w:r>
    </w:p>
    <w:p w14:paraId="3052D3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Оценить производственное и конструктивное выполнение с-та</w:t>
      </w:r>
    </w:p>
    <w:p w14:paraId="74934A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Объект испытаний: предъявленная на госиспытания машина завода № 31 выпуска февраля 1944</w:t>
      </w:r>
    </w:p>
    <w:p w14:paraId="518D40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ранее испытывавшимся ЛаГГ-3 с мотором ВК-105ПФ (первый экз. С-та № 105-1)с-т дублер № 105-2 имеет следующие отличия:</w:t>
      </w:r>
    </w:p>
    <w:p w14:paraId="32F6DF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планеру - изменена конструкция 4 и 5 шпангоутов фюзеляжа. В нижней ферме 4-го шпангоута произведено два круглых отверстия под тоннуль маслорадиатора, в шп. 5 изменен нижний ... под установку фермы для крепления сидения пилота и качалки управления РВ</w:t>
      </w:r>
    </w:p>
    <w:p w14:paraId="43F762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 нижней части фюзеляжа перед тоннелем водорадиатора установлено два заборника воздуха для охлаждения маслорадиатора</w:t>
      </w:r>
    </w:p>
    <w:p w14:paraId="048E79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увеличено плечо качалки управления элеронами для уменьшения давления на ручку управления с-том</w:t>
      </w:r>
    </w:p>
    <w:p w14:paraId="68DF94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изменены форма и конструкция ручки управления с-том по типу ручки стандартной кабины</w:t>
      </w:r>
    </w:p>
    <w:p w14:paraId="643DCB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установлен дополнительный кронштейн для крепления лафета пушки ВЯ-23</w:t>
      </w:r>
    </w:p>
    <w:p w14:paraId="31AB04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 ВМГ: установлен мотор ВК-105ПФ-2, установлен винт типа ВИШ-105СВ с профилированной комлевой частью лопастей, маслорадиатор типа ОП-352 заменен </w:t>
      </w:r>
      <w:r w:rsidRPr="00070ADE">
        <w:rPr>
          <w:rFonts w:ascii="Times New Roman" w:hAnsi="Times New Roman"/>
          <w:color w:val="000000" w:themeColor="text1"/>
          <w:sz w:val="16"/>
          <w:szCs w:val="16"/>
        </w:rPr>
        <w:lastRenderedPageBreak/>
        <w:t>двумя последовательно соединенными рядами типа ВМС-8 с трубкой К-4, толщиной 0,1 мм</w:t>
      </w:r>
    </w:p>
    <w:p w14:paraId="08D4DF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 туннель маслорадиатора, который установлен в фюзеляже</w:t>
      </w:r>
    </w:p>
    <w:p w14:paraId="698C23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изменена конструкция и перекомпоновыны ряд коробов и крышек капота мотора и управление заслонками маслорадиатора</w:t>
      </w:r>
    </w:p>
    <w:p w14:paraId="40417D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общая емкость б/б уменьшена на 28 л с 405 до 377 л</w:t>
      </w:r>
    </w:p>
    <w:p w14:paraId="2B855A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на носок вала редуктора установлен центробежный маслоотражатель типа ЛИИ НКАП</w:t>
      </w:r>
    </w:p>
    <w:p w14:paraId="35E7FF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 дренаж трубки суфлера бака</w:t>
      </w:r>
    </w:p>
    <w:p w14:paraId="204ED0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выхлопные патрубки изготовлены по типу с-та Як-3 (рекомендация ЦАГИ)</w:t>
      </w:r>
    </w:p>
    <w:p w14:paraId="0A9F6A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вооружению: установлена пушка ВЯ-23 с боезапасом 85 патронов вместо пушки МП-20 с б/з 160 патронов, пулемет УБС с б/з 185 патронов вместо 200 патронов</w:t>
      </w:r>
    </w:p>
    <w:p w14:paraId="20B716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установкой пушки ВЯ-23 изменено крепление пушки, форма и конструкция патронных коробок и гильзоотвода</w:t>
      </w:r>
    </w:p>
    <w:p w14:paraId="2AF0CE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установлен звеньесборник для пушки ВЯ-23</w:t>
      </w:r>
    </w:p>
    <w:p w14:paraId="733826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механизм управления оружием переведен на пневматику</w:t>
      </w:r>
    </w:p>
    <w:p w14:paraId="4C311B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Спецприборы с-та 105-2 дублер такие же, как на с-те 105-1</w:t>
      </w:r>
    </w:p>
    <w:p w14:paraId="1300CC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улучшения ЛТД проведены следующие мероприятия:</w:t>
      </w:r>
    </w:p>
    <w:p w14:paraId="20B779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улучшена внешняя отделка и введена полировка передней кромки крыла</w:t>
      </w:r>
    </w:p>
    <w:p w14:paraId="39CC9A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козырьку кабины пилота придана сферическая форма</w:t>
      </w:r>
    </w:p>
    <w:p w14:paraId="7948D1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улучшена герметизация противопожарной перегородки, крыла, кабины пилота и хвостовой части фюзеляжа</w:t>
      </w:r>
    </w:p>
    <w:p w14:paraId="799AA8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данным завода прочность с-та 105-2 и его основных агрегатов: фюзеляжа, крыла, центроплана, шасси удовлетворяет действующим нормам прочности.</w:t>
      </w:r>
    </w:p>
    <w:p w14:paraId="3D4766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Расчет завода по флаттеру крыла серийного с-та ЛаГГ-3 в облегченном варианте произведен в ЦАГИ и получено разрешение на эксплуатацию на скорости до 700 км/час по прибору</w:t>
      </w:r>
    </w:p>
    <w:p w14:paraId="773D87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испытаний:</w:t>
      </w:r>
    </w:p>
    <w:p w14:paraId="0E7F4D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пибыл в НИИ 4 мая. Испытания начаты 10 мая, приостановлены по просьбе ГК с-та В.П.Горбунова для осмотра с-та и мотора и доводки тепловых режимов ВМГ 12 мая. Возобновлены 1 июня и закончены 12 июня. Выполнено 15 полетов с налетом 8:40</w:t>
      </w:r>
    </w:p>
    <w:p w14:paraId="44CC5F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2285 22,5% САХ, угол капотирования 26:40</w:t>
      </w:r>
    </w:p>
    <w:p w14:paraId="6F6CD0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полетный 2875 22.2% САХ, угол капотирования 28:40</w:t>
      </w:r>
    </w:p>
    <w:p w14:paraId="3C79B9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Нормальная нагрузка:</w:t>
      </w:r>
    </w:p>
    <w:p w14:paraId="24D943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- 90</w:t>
      </w:r>
    </w:p>
    <w:p w14:paraId="3E02BD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горючее (074 г,см3) - 280</w:t>
      </w:r>
    </w:p>
    <w:p w14:paraId="0A1CEE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масло - 27</w:t>
      </w:r>
    </w:p>
    <w:p w14:paraId="1305DB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 пушка ВЯ-23 - 73, УБС - 21,5, б/з пушки (85) - 47, б/з пулемета (185) - 31,0</w:t>
      </w:r>
    </w:p>
    <w:p w14:paraId="62CA3C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связное оборудование - 20,5</w:t>
      </w:r>
    </w:p>
    <w:p w14:paraId="0378C4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- 590</w:t>
      </w:r>
    </w:p>
    <w:p w14:paraId="4B18EF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 изменения веса 105-2 по сравнению с 105-1, проходившим испытания в НИИ в октябре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708"/>
        <w:gridCol w:w="709"/>
        <w:gridCol w:w="709"/>
      </w:tblGrid>
      <w:tr w:rsidR="004D4663" w:rsidRPr="00070ADE" w14:paraId="1C5EA628" w14:textId="77777777">
        <w:tc>
          <w:tcPr>
            <w:tcW w:w="2802" w:type="dxa"/>
            <w:tcBorders>
              <w:top w:val="single" w:sz="12" w:space="0" w:color="auto"/>
            </w:tcBorders>
          </w:tcPr>
          <w:p w14:paraId="16A9B8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w:t>
            </w:r>
          </w:p>
        </w:tc>
        <w:tc>
          <w:tcPr>
            <w:tcW w:w="708" w:type="dxa"/>
            <w:tcBorders>
              <w:top w:val="single" w:sz="12" w:space="0" w:color="auto"/>
            </w:tcBorders>
          </w:tcPr>
          <w:p w14:paraId="080A8D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105-2 дублер</w:t>
            </w:r>
          </w:p>
        </w:tc>
        <w:tc>
          <w:tcPr>
            <w:tcW w:w="709" w:type="dxa"/>
            <w:tcBorders>
              <w:top w:val="single" w:sz="12" w:space="0" w:color="auto"/>
            </w:tcBorders>
          </w:tcPr>
          <w:p w14:paraId="17D5FA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105-1 первый</w:t>
            </w:r>
          </w:p>
        </w:tc>
        <w:tc>
          <w:tcPr>
            <w:tcW w:w="709" w:type="dxa"/>
            <w:tcBorders>
              <w:top w:val="single" w:sz="12" w:space="0" w:color="auto"/>
            </w:tcBorders>
          </w:tcPr>
          <w:p w14:paraId="0709C1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Разница</w:t>
            </w:r>
          </w:p>
        </w:tc>
      </w:tr>
      <w:tr w:rsidR="004D4663" w:rsidRPr="00070ADE" w14:paraId="190CF332" w14:textId="77777777">
        <w:tc>
          <w:tcPr>
            <w:tcW w:w="2802" w:type="dxa"/>
          </w:tcPr>
          <w:p w14:paraId="76191D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 полетный вес</w:t>
            </w:r>
          </w:p>
        </w:tc>
        <w:tc>
          <w:tcPr>
            <w:tcW w:w="708" w:type="dxa"/>
          </w:tcPr>
          <w:p w14:paraId="3C9A2A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2875</w:t>
            </w:r>
          </w:p>
        </w:tc>
        <w:tc>
          <w:tcPr>
            <w:tcW w:w="709" w:type="dxa"/>
          </w:tcPr>
          <w:p w14:paraId="016DA8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2818</w:t>
            </w:r>
          </w:p>
        </w:tc>
        <w:tc>
          <w:tcPr>
            <w:tcW w:w="709" w:type="dxa"/>
          </w:tcPr>
          <w:p w14:paraId="66F67C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w:t>
            </w:r>
          </w:p>
        </w:tc>
      </w:tr>
      <w:tr w:rsidR="004D4663" w:rsidRPr="00070ADE" w14:paraId="59C60231" w14:textId="77777777">
        <w:tc>
          <w:tcPr>
            <w:tcW w:w="2802" w:type="dxa"/>
          </w:tcPr>
          <w:p w14:paraId="20DA7F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w:t>
            </w:r>
          </w:p>
        </w:tc>
        <w:tc>
          <w:tcPr>
            <w:tcW w:w="708" w:type="dxa"/>
          </w:tcPr>
          <w:p w14:paraId="794A32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2285</w:t>
            </w:r>
          </w:p>
        </w:tc>
        <w:tc>
          <w:tcPr>
            <w:tcW w:w="709" w:type="dxa"/>
          </w:tcPr>
          <w:p w14:paraId="2E71EC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2234</w:t>
            </w:r>
          </w:p>
        </w:tc>
        <w:tc>
          <w:tcPr>
            <w:tcW w:w="709" w:type="dxa"/>
          </w:tcPr>
          <w:p w14:paraId="6380A8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w:t>
            </w:r>
          </w:p>
        </w:tc>
      </w:tr>
      <w:tr w:rsidR="004D4663" w:rsidRPr="00070ADE" w14:paraId="25640DCC" w14:textId="77777777">
        <w:tc>
          <w:tcPr>
            <w:tcW w:w="2802" w:type="dxa"/>
          </w:tcPr>
          <w:p w14:paraId="1C4EF8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нагрузки</w:t>
            </w:r>
          </w:p>
        </w:tc>
        <w:tc>
          <w:tcPr>
            <w:tcW w:w="708" w:type="dxa"/>
          </w:tcPr>
          <w:p w14:paraId="1CA6ED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590</w:t>
            </w:r>
          </w:p>
        </w:tc>
        <w:tc>
          <w:tcPr>
            <w:tcW w:w="709" w:type="dxa"/>
          </w:tcPr>
          <w:p w14:paraId="4AFB9D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584</w:t>
            </w:r>
          </w:p>
        </w:tc>
        <w:tc>
          <w:tcPr>
            <w:tcW w:w="709" w:type="dxa"/>
          </w:tcPr>
          <w:p w14:paraId="31DA79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r>
      <w:tr w:rsidR="004D4663" w:rsidRPr="00070ADE" w14:paraId="1B01BE7A" w14:textId="77777777">
        <w:tc>
          <w:tcPr>
            <w:tcW w:w="2802" w:type="dxa"/>
          </w:tcPr>
          <w:p w14:paraId="0A7205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Центровка при нормальном полетном весе</w:t>
            </w:r>
          </w:p>
        </w:tc>
        <w:tc>
          <w:tcPr>
            <w:tcW w:w="708" w:type="dxa"/>
          </w:tcPr>
          <w:p w14:paraId="534BE6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w:t>
            </w:r>
          </w:p>
        </w:tc>
        <w:tc>
          <w:tcPr>
            <w:tcW w:w="709" w:type="dxa"/>
          </w:tcPr>
          <w:p w14:paraId="21C8A6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23,7</w:t>
            </w:r>
          </w:p>
        </w:tc>
        <w:tc>
          <w:tcPr>
            <w:tcW w:w="709" w:type="dxa"/>
          </w:tcPr>
          <w:p w14:paraId="29A787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r>
      <w:tr w:rsidR="004D4663" w:rsidRPr="00070ADE" w14:paraId="44BBFC22" w14:textId="77777777">
        <w:tc>
          <w:tcPr>
            <w:tcW w:w="2802" w:type="dxa"/>
          </w:tcPr>
          <w:p w14:paraId="2CF51C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Предельная передняя эксплуатационная центровка</w:t>
            </w:r>
          </w:p>
        </w:tc>
        <w:tc>
          <w:tcPr>
            <w:tcW w:w="708" w:type="dxa"/>
          </w:tcPr>
          <w:p w14:paraId="524693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23,9</w:t>
            </w:r>
          </w:p>
        </w:tc>
        <w:tc>
          <w:tcPr>
            <w:tcW w:w="709" w:type="dxa"/>
          </w:tcPr>
          <w:p w14:paraId="788C2B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22,3</w:t>
            </w:r>
          </w:p>
        </w:tc>
        <w:tc>
          <w:tcPr>
            <w:tcW w:w="709" w:type="dxa"/>
          </w:tcPr>
          <w:p w14:paraId="346FEB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r>
      <w:tr w:rsidR="004D4663" w:rsidRPr="00070ADE" w14:paraId="3014E686" w14:textId="77777777">
        <w:tc>
          <w:tcPr>
            <w:tcW w:w="2802" w:type="dxa"/>
            <w:tcBorders>
              <w:bottom w:val="single" w:sz="12" w:space="0" w:color="auto"/>
            </w:tcBorders>
          </w:tcPr>
          <w:p w14:paraId="7AC46D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Запас горючего 4Б-78</w:t>
            </w:r>
          </w:p>
        </w:tc>
        <w:tc>
          <w:tcPr>
            <w:tcW w:w="708" w:type="dxa"/>
            <w:tcBorders>
              <w:bottom w:val="single" w:sz="12" w:space="0" w:color="auto"/>
            </w:tcBorders>
          </w:tcPr>
          <w:p w14:paraId="5CBA2B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w:t>
            </w:r>
          </w:p>
        </w:tc>
        <w:tc>
          <w:tcPr>
            <w:tcW w:w="709" w:type="dxa"/>
            <w:tcBorders>
              <w:bottom w:val="single" w:sz="12" w:space="0" w:color="auto"/>
            </w:tcBorders>
          </w:tcPr>
          <w:p w14:paraId="6D250C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tc>
        <w:tc>
          <w:tcPr>
            <w:tcW w:w="709" w:type="dxa"/>
            <w:tcBorders>
              <w:bottom w:val="single" w:sz="12" w:space="0" w:color="auto"/>
            </w:tcBorders>
          </w:tcPr>
          <w:p w14:paraId="414FDE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r>
    </w:tbl>
    <w:p w14:paraId="2CDC5D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причины, вызвавшие увеличение веса - установка пушки ВЯ-23, усиления и конструкционные изменения</w:t>
      </w:r>
    </w:p>
    <w:p w14:paraId="1D0A20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ЛД</w:t>
      </w:r>
    </w:p>
    <w:p w14:paraId="289C55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у земли - 554</w:t>
      </w:r>
    </w:p>
    <w:p w14:paraId="10766F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1-й гр. высотности (1400) - 590</w:t>
      </w:r>
    </w:p>
    <w:p w14:paraId="2A9764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2-й гр. высотности (3400) - 618</w:t>
      </w:r>
    </w:p>
    <w:p w14:paraId="0CF203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5000 - 593</w:t>
      </w:r>
    </w:p>
    <w:p w14:paraId="3B7942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6000 - 578</w:t>
      </w:r>
    </w:p>
    <w:p w14:paraId="35E829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5000 м - 4,8</w:t>
      </w:r>
    </w:p>
    <w:p w14:paraId="269728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Потолок 10750</w:t>
      </w:r>
    </w:p>
    <w:p w14:paraId="10036B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Граница переключения нагнетателя - 2000 на скорости 542</w:t>
      </w:r>
    </w:p>
    <w:p w14:paraId="6E3368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Скорости вертикальные</w:t>
      </w:r>
    </w:p>
    <w:p w14:paraId="454B36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 - 18,1</w:t>
      </w:r>
    </w:p>
    <w:p w14:paraId="718290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гр. 650 - 18,9</w:t>
      </w:r>
    </w:p>
    <w:p w14:paraId="38EF18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перекл. - 17,0</w:t>
      </w:r>
    </w:p>
    <w:p w14:paraId="4792A7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 гр. (2500) - 19,2</w:t>
      </w:r>
    </w:p>
    <w:p w14:paraId="602EB1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5000 - 13,6</w:t>
      </w:r>
    </w:p>
    <w:p w14:paraId="7A52F9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6000 - 11,3</w:t>
      </w:r>
    </w:p>
    <w:p w14:paraId="5C3DA3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ВК-105ПФ-2 наработал с начала испытаний 44:02 и был снят из-за течи воды из блока через уплотнение гильзы</w:t>
      </w:r>
    </w:p>
    <w:p w14:paraId="43B035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Производилось сравнение с 105-1, Як-3 дублер, Ла-7 (испытанном в апреле 1944), с Ме-109G (январь 1943) и ФВ-190 А-4 (июль 1943).</w:t>
      </w:r>
    </w:p>
    <w:p w14:paraId="59F2AB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4D98BB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ВМГ работает неудовлетворительно</w:t>
      </w:r>
    </w:p>
    <w:p w14:paraId="775C58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наборе высоты с полностью отурытым туннелем водорадиатора температура воды 116 гр, в горизонтальном полете - 115 (макс. допустимо - 110)</w:t>
      </w:r>
    </w:p>
    <w:p w14:paraId="2CA943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Установленное пулеметно-пушечное вооружение не доведено.</w:t>
      </w:r>
    </w:p>
    <w:p w14:paraId="748133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Искажение видимости предметов через сферическую часть козырька кабины пилота</w:t>
      </w:r>
    </w:p>
    <w:p w14:paraId="1B9A54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с-те отсутствует аварийный сброс фонаря</w:t>
      </w:r>
    </w:p>
    <w:p w14:paraId="0A9E696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w:t>
      </w:r>
    </w:p>
    <w:p w14:paraId="7A3F36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Модифицированный с-т 1-5-2 дублер конструкции т. Горбунова постройки ОКБ завода № 31 госиспытания не выдержал по причине:</w:t>
      </w:r>
    </w:p>
    <w:p w14:paraId="660AF2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низкие ЛТД для с-та большой модификации</w:t>
      </w:r>
    </w:p>
    <w:p w14:paraId="4D0F03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неудовлетворительная работа ВМГ и вооружения</w:t>
      </w:r>
    </w:p>
    <w:p w14:paraId="53F95F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Считать нецелесообразной продолжение работы по дальнейшей модификации с-та ЛаГГ-3 с мотором ВК-105ПФ-2</w:t>
      </w:r>
    </w:p>
    <w:p w14:paraId="20D2FF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дублер подлежит сдаче на завод № 31</w:t>
      </w:r>
    </w:p>
    <w:p w14:paraId="59A3D7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Подписали с 20 по 24 июня (764,2).</w:t>
      </w:r>
    </w:p>
    <w:p w14:paraId="7D9A1F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4E6C1E"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удалось возобновить испытания самолета 105-2, который был построен 31-м заводом в феврале 1944 года, а 4 мая после непродолжительных заводских испытаний поступил в НИИ ВВС на госиспытания Больше сюрпризов 105-2 не подкидывал, и уже 12 июня программа испытаний была завершена. Всего было выполнено 15 полетов общей продолжительностью 8 часов 40 минут.</w:t>
      </w:r>
    </w:p>
    <w:p w14:paraId="0A96AC58"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105-2 продемонстрировал неплохие результаты. У земли максимальная скорость составила 554 км/ч, на 1-й границе высотности (1400 метров) – 590 км/ч, на 2-й границе (3400 метров) – 618 км/ч, а на высотах в 5 и 6 километров самолет разгонялся, соответственно, до 593 и 578 километров в час. Время набора 5000 метров – 4,8 минуты. Потолок – 10750 метров. Оружие работало надежно. После отстрела в тире было выполнено три полета со стрельбой. Один – с ведением огня в горизонтальном полете на различных режимах работы двигателя и два – с прицельной стрельбой по наземным целям с пикирования. Было израсходовано два боекомплекта пулемета УБС и один – пушки ВЯ. Задержек не было. Помимо майора Дзюбы, самолет 105-2 облетали майоры Антипов и Прошаков.</w:t>
      </w:r>
    </w:p>
    <w:p w14:paraId="515E5FBE"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Испытатели отмечали неплохое производственное исполнение машины, хорошую внешнюю отделку. Воздушная система уборки-выпуска шасси оказалась проще и надежнее гидравлической, работала безотказно и требовала меньшего ухода. Перенос маслорадиаторов сдвинул центр тяжести самолета назад, что привело к увеличению противокапотажного угла и повысило эффективность торможения. На рулении 105-2 был устойчив, на взлете прост, в полете имел хорошую управляемость. Однако на этом достоинства новой машины заканчивались.</w:t>
      </w:r>
    </w:p>
    <w:p w14:paraId="2C8BE992"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Минусов у 105-2 оказалось больше. Главным, конечно, были худшие высотно-скоростные характеристики, причем, не только по сравнению с Як-3, но и с Як-9У с мотором М-105ПФ2, испытанного в НИИ ВВС в марте 1944 года. Тепловые режимы мотоустановки оставляли желать лучшего. Горизонтальный полет на максимальной скорости был возможен в течение 3-4 минут, после чего температура воды и масла выходила за установленные пределы. Летчики не очень одобряли перенос маслорадиаторов практически в кабину – при вынужденной посадке это грозило серьезными ожогами из-за разрыва трубопроводов. Не смотря на простую технику пилотирования 105-2, при резкой даче газа и энергичном подъеме хвоста самолет стремился к правому развороту. Усилия на элероны в полете по-прежнему оставались велики. Летчик имел плохой обзор вперед из-за искажений видимости сферическим козырьком – по заявлениям испытателей, при взгляде сквозь козырек предметы буквально двоились. Отсутствовал аварийный сброс створки фонаря. Качество радиосвязи оценивалось как отвратительное. Девиация магнитного компаса вдвое превышала установленные нормы. Компоновка приборного оборудования сохранилась практически без изменений с самолетов 60-й серии и не соответствовала требованиям на стандартную кабину истребителя, введенным в 1943 году. Несмотря на отсутствие отказов, пользоваться вооружением было неудобно – усилия на гашетках были слишком велики. Для УБС – 14-15 кг, а для пушки ВЯ и того больше – 20- 22 кг. При залповой стрельбе огонь можно было вести только двумя руками. Предохранитель гашеток работал ненадежно. При стрельбе могло произойти самопроизвольное стопорение гашеток, а при энергичном торможении рычаг тормоза заедал гашетки, что приводило к самопроизвольной стрельбе. Был зафиксирован один случай такой стрельбы из пушки очередью в 20 патронов. Выброс гильз пулемета за левый борт не обеспечивал безопасного ведения огня – стреляные гильзы царапали крыло и борт фюзеляжа. Для демонтажа пушки предварительно требовалось снять маслобак, звеньесборник пушки, звеньеотвод, патронный рукав и лючок противопожарной перегородки. При замене мотора снималась вся пушечная установка вместе с лафетом. Заключение к отчету было лаконичным:</w:t>
      </w:r>
    </w:p>
    <w:p w14:paraId="0E8C4EF3"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Модифицированный самолет 105-2 с мотором ВК-105ПФ2 «Дублер» конструкции тов. Горбунова В.П. постройки ОКБ завода № 31 государственные испытания НЕ ВЫДЕРЖАЛ по причине:</w:t>
      </w:r>
    </w:p>
    <w:p w14:paraId="37BD69A3"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низких летно-технических данных для самолета большой модификации,</w:t>
      </w:r>
    </w:p>
    <w:p w14:paraId="788A763E"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недоведенности винто-моторной группы и вооружения.</w:t>
      </w:r>
    </w:p>
    <w:p w14:paraId="72E7152B"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Считать нецелесообразной продолжение работы по дальнейшей модификации самолета ЛаГГ-3 с мотором ВК-105ПФ2</w:t>
      </w:r>
    </w:p>
    <w:p w14:paraId="2623FB26"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Самолет 105-2 с мотором ВК-105ПФ2 «Дублер» подлежит сдаче на завод № 31» (23197).</w:t>
      </w:r>
    </w:p>
    <w:p w14:paraId="4D66A344" w14:textId="77777777" w:rsidR="00781F94" w:rsidRPr="00070ADE" w:rsidRDefault="00781F94" w:rsidP="00B56F90">
      <w:pPr>
        <w:spacing w:after="0" w:line="240" w:lineRule="auto"/>
        <w:jc w:val="both"/>
        <w:rPr>
          <w:rFonts w:ascii="Times New Roman" w:hAnsi="Times New Roman"/>
          <w:color w:val="000000" w:themeColor="text1"/>
          <w:sz w:val="16"/>
          <w:szCs w:val="16"/>
        </w:rPr>
      </w:pPr>
    </w:p>
    <w:p w14:paraId="1CCA5B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июня 1944 состояние опытного строительства на 21 заводе было следующим:</w:t>
      </w:r>
    </w:p>
    <w:p w14:paraId="1A2A92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Закончены испытания Ла-5ФН с автоматикой. С-т подготавлимвается для отправки в НИИ ВВС. Срок отправки - 3 июня.</w:t>
      </w:r>
    </w:p>
    <w:p w14:paraId="6E523F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Продолжается проектирование облегчения Ла-7 (он будет именоваться № 113). Расчитывают получить облегчение на 130-150 кг. Фюзеляж с 1 до 7 шпангоута - металлический и деревянный - от 7. Кабина - стандартного типа. Вооружение - 3х23 Нудельмана с б/к 100-100 на каждую.Конструкционная схема - аналогична Ла-7 (738,23).</w:t>
      </w:r>
    </w:p>
    <w:p w14:paraId="646453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D43E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А.E.Репин утвердил акт по гос. испытаниям Ла-5 в двухместном варианте УТИ с АШ-82Ф и винтом ВИШ-105В (серийного N 37210813 21 завода, модифицированного ПАМ-30 1-й ВА, которые проводились с 5 мая по 14 июня 1944 - 17 полетов с налетом 3:50</w:t>
      </w:r>
    </w:p>
    <w:p w14:paraId="247231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Ответственные исполнители: ик Алексеенко, м-р Кубышкин</w:t>
      </w:r>
    </w:p>
    <w:p w14:paraId="4BE689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Летали Стефановский, Прошин, Дзюба, Антипов, Седов, Модестов</w:t>
      </w:r>
    </w:p>
    <w:p w14:paraId="66449D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 С-т Ла-5ф, модифицированный ПАМ-30 1ВА в двухместный учебно-тренировочный и с двойным управлением, госиспытания не выдержал и не может быть рекомендован для вывозки и тренировки летного состава ВВС КА.</w:t>
      </w:r>
    </w:p>
    <w:p w14:paraId="7150E3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Запретить ремонтным организациям ВВС КА производить переделкуодноместных с-тов Ла-5 в двухместные.</w:t>
      </w:r>
    </w:p>
    <w:p w14:paraId="4733D9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Наблюдались существенные вибрации хвостового оперения, пилотаж сложен, по производственному выполнению существенно уступает с-ту такого эе типа производства з-да № 163 (763,2).</w:t>
      </w:r>
    </w:p>
    <w:p w14:paraId="2B3DFB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EDDE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Зам. Нач. 7ГУ Алексеев подготовил сводку № 7211 о ходе испытаний высотных самолетов на 31 мая 1944 по Як-9 М-105ПД, Ла-5 АШ-82ФН и 2ТК-3, МиГ АМ-39А и 2ТК-2Б (1825).</w:t>
      </w:r>
    </w:p>
    <w:p w14:paraId="577D40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ИСТРЕБИТЕЛЬ ЯК-9 С ВК-105ПФ И ДВУХСТУПЕНЧАТЫМ НАГНЕТАТЕЛЕМ</w:t>
      </w:r>
    </w:p>
    <w:p w14:paraId="7B2B8E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находится не в летном состоянии, из-за отсутствия мотора.</w:t>
      </w:r>
    </w:p>
    <w:p w14:paraId="5100EE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ВЫСОТНЫЙ ИСТРЕБИТЕЛЬ ЛА-5 С АШ-82ФН и 2ТК-3.</w:t>
      </w:r>
    </w:p>
    <w:p w14:paraId="2BB892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Сведений о ходе летных испытаний самолета с заво</w:t>
      </w:r>
      <w:r w:rsidRPr="00070ADE">
        <w:rPr>
          <w:rFonts w:ascii="Times New Roman" w:hAnsi="Times New Roman"/>
          <w:color w:val="000000" w:themeColor="text1"/>
          <w:sz w:val="16"/>
          <w:szCs w:val="16"/>
        </w:rPr>
        <w:softHyphen/>
        <w:t>да № 21 не поступило. Главному конструктору тов. ЛАВОЧКИНУ послано указание об обязательности ежедневного представления сообщений по "ВЧ".</w:t>
      </w:r>
    </w:p>
    <w:p w14:paraId="62E98F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ВЫСОТНЫЙ ИСТРЕБИТЕЛЬ МИГ С АМ-39Б И 2ТК-2Б.</w:t>
      </w:r>
    </w:p>
    <w:p w14:paraId="352490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находится не в летном состоянии. Вшедшие из строя ТК еще находятся в ЦИАМе. По сообщению Заместителя Начальника ЦИАМ тов. ВЛАДИМИРОВА исправленные турбокомпрессоры будут поданы заводу № 155 1 июня с.г. (1825)</w:t>
      </w:r>
    </w:p>
    <w:p w14:paraId="56BDAD2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A79D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г. вышел приказ НКАП №372, в котором для проведения заводских испытаний самолета И-222 были утверждены ведущий инженер К.П.Ковалевский и летчик-испытатель А.П.Якимов (5852,38).</w:t>
      </w:r>
    </w:p>
    <w:p w14:paraId="4A4BB7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D01E42"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июня</w:t>
      </w:r>
      <w:r w:rsidRPr="00070ADE">
        <w:rPr>
          <w:rFonts w:ascii="Times New Roman" w:hAnsi="Times New Roman"/>
          <w:color w:val="000000" w:themeColor="text1"/>
          <w:sz w:val="16"/>
          <w:szCs w:val="16"/>
        </w:rPr>
        <w:t xml:space="preserve"> в 1944 году для проведения заводских испытаний самолета </w:t>
      </w:r>
      <w:hyperlink r:id="rId162" w:tgtFrame="_blank" w:history="1">
        <w:r w:rsidRPr="00070ADE">
          <w:rPr>
            <w:rFonts w:ascii="Times New Roman" w:hAnsi="Times New Roman"/>
            <w:color w:val="000000" w:themeColor="text1"/>
            <w:sz w:val="16"/>
            <w:szCs w:val="16"/>
          </w:rPr>
          <w:t xml:space="preserve">«И-222», </w:t>
        </w:r>
      </w:hyperlink>
      <w:r w:rsidRPr="00070ADE">
        <w:rPr>
          <w:rFonts w:ascii="Times New Roman" w:hAnsi="Times New Roman"/>
          <w:color w:val="000000" w:themeColor="text1"/>
          <w:sz w:val="16"/>
          <w:szCs w:val="16"/>
        </w:rPr>
        <w:t>в соответствии с приказом НКАП №372, были утверждены ведущий инженер К.П.Ковалевский и летчик-испытатель А.П.Якимов. Первоначально на «И-222» стоял трехлопастный винт серии «АВ-5Л», который в дальнейшем заменили на четырехлопастный «АВ-9Л-230». В ходе испытаний была выполнена продувка машины в натурной аэродинамической трубе ЦАГИ в период с 26 июля по 9 августа 1944 г. По результатам продувки произвели доработку самолета: установили новые предкрылки и увеличенный воздухо-воздушный радиатор. 1 сентября «И-222» выполнил контрольный полет с внесенными улучшениями (14909).</w:t>
      </w:r>
    </w:p>
    <w:p w14:paraId="2C25BF77" w14:textId="77777777" w:rsidR="001E5A47" w:rsidRPr="00070ADE" w:rsidRDefault="001E5A47" w:rsidP="00B56F90">
      <w:pPr>
        <w:spacing w:after="0" w:line="240" w:lineRule="auto"/>
        <w:jc w:val="both"/>
        <w:rPr>
          <w:rFonts w:ascii="Times New Roman" w:hAnsi="Times New Roman"/>
          <w:color w:val="000000" w:themeColor="text1"/>
          <w:sz w:val="16"/>
          <w:szCs w:val="16"/>
        </w:rPr>
      </w:pPr>
    </w:p>
    <w:p w14:paraId="5814F937" w14:textId="77777777" w:rsidR="00FE39E5" w:rsidRPr="00C94B78" w:rsidRDefault="00FE39E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 июня 1944 г. для проведения заводских испытаний самолета И-222 в соответствии с приказом НКАП №372 были утверждены ведущий инженер К.П.Ковалевский и летчик-испытатель А.П.Якимов. И-222</w:t>
      </w:r>
      <w:r>
        <w:rPr>
          <w:rFonts w:ascii="Times New Roman" w:hAnsi="Times New Roman"/>
          <w:color w:val="0070C0"/>
          <w:sz w:val="16"/>
          <w:szCs w:val="16"/>
        </w:rPr>
        <w:t xml:space="preserve"> </w:t>
      </w:r>
      <w:r w:rsidRPr="00C94B78">
        <w:rPr>
          <w:rFonts w:ascii="Times New Roman" w:hAnsi="Times New Roman"/>
          <w:color w:val="0070C0"/>
          <w:sz w:val="16"/>
          <w:szCs w:val="16"/>
        </w:rPr>
        <w:t>выполнили первый вылет еще 7 мая 1944 г. (25230).</w:t>
      </w:r>
    </w:p>
    <w:p w14:paraId="37A98913" w14:textId="77777777" w:rsidR="00FE39E5" w:rsidRPr="00C94B78" w:rsidRDefault="00FE39E5" w:rsidP="00B56F90">
      <w:pPr>
        <w:spacing w:after="0" w:line="240" w:lineRule="auto"/>
        <w:jc w:val="both"/>
        <w:rPr>
          <w:rFonts w:ascii="Times New Roman" w:hAnsi="Times New Roman"/>
          <w:color w:val="0070C0"/>
          <w:sz w:val="16"/>
          <w:szCs w:val="16"/>
        </w:rPr>
      </w:pPr>
    </w:p>
    <w:p w14:paraId="3F2F0AE0"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июня 1944 г. в частяъ ПВО было 711 Харрикейнов. Они прослужили там всю войну, на их боевом счету 252 самолета врага (15129).</w:t>
      </w:r>
    </w:p>
    <w:p w14:paraId="0AC11AA1"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1944 г. часть "Харрикейнов" использовалась в ПВО как самолеты осветители при отражении ночных налетов. Обычно машина этого типа брала по две осветительных бомбы САБ100 и сбрасывала их, находясь на 2000-2500 м выше вражеских бомбардировщиков. Атаку выполняла ударная группа. В разных полках ПВО для этой цели держали по два-четыре "Харрикейна" (15129).</w:t>
      </w:r>
    </w:p>
    <w:p w14:paraId="2D275181" w14:textId="77777777" w:rsidR="001E5A47" w:rsidRPr="00070ADE" w:rsidRDefault="001E5A47" w:rsidP="00B56F90">
      <w:pPr>
        <w:spacing w:after="0" w:line="240" w:lineRule="auto"/>
        <w:jc w:val="both"/>
        <w:rPr>
          <w:rFonts w:ascii="Times New Roman" w:hAnsi="Times New Roman"/>
          <w:color w:val="000000" w:themeColor="text1"/>
          <w:sz w:val="16"/>
          <w:szCs w:val="16"/>
        </w:rPr>
      </w:pPr>
    </w:p>
    <w:p w14:paraId="586E927C" w14:textId="77777777" w:rsidR="006B3C37" w:rsidRPr="00070ADE" w:rsidRDefault="006B3C37" w:rsidP="00B56F90">
      <w:pPr>
        <w:pStyle w:val="rtejustify"/>
        <w:shd w:val="clear" w:color="auto" w:fill="FFFFFF"/>
        <w:spacing w:before="0" w:after="0"/>
        <w:rPr>
          <w:color w:val="000000" w:themeColor="text1"/>
          <w:sz w:val="16"/>
          <w:szCs w:val="16"/>
        </w:rPr>
      </w:pPr>
      <w:r w:rsidRPr="00070ADE">
        <w:rPr>
          <w:color w:val="000000" w:themeColor="text1"/>
          <w:sz w:val="16"/>
          <w:szCs w:val="16"/>
        </w:rPr>
        <w:t>К 1 июня 1944 г. в строю осталось девять ПС-43, к концу года — восемь. Три самолета в январе 1945 г. базировались в Львове. Они перевозили почту на 1-й и 4-й Украинский, а также – на 1-й Белорусский фронты. По одной машине находилось в Каунасе и Минске. Они работали для 1-го Прибалтийского, 2-го и 3-го Белорусского фронтов (19199).</w:t>
      </w:r>
    </w:p>
    <w:p w14:paraId="24F689F9" w14:textId="77777777" w:rsidR="006B3C37" w:rsidRPr="00070ADE" w:rsidRDefault="006B3C37" w:rsidP="00B56F90">
      <w:pPr>
        <w:pStyle w:val="rtejustify"/>
        <w:shd w:val="clear" w:color="auto" w:fill="FFFFFF"/>
        <w:spacing w:before="0" w:after="0"/>
        <w:rPr>
          <w:color w:val="000000" w:themeColor="text1"/>
          <w:sz w:val="16"/>
          <w:szCs w:val="16"/>
        </w:rPr>
      </w:pPr>
    </w:p>
    <w:p w14:paraId="674AE46A" w14:textId="77777777" w:rsidR="00FE39E5" w:rsidRPr="00C94B78" w:rsidRDefault="00FE39E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1 июня 1944 г. в строю осталось девять ПС-43, к концу года — восемь. Три самолета в январе 1945 г. базировались в Львове. Они перевозили почту на 1-й и 4-й Украинский, а также – на 1-й Белорусский фронты. По одной машине находилось в Каунасе и Минске. Они работали для 1-го Прибалтийского, 2-го и 3-го Белорусского фронтов.</w:t>
      </w:r>
    </w:p>
    <w:p w14:paraId="3F29B07E" w14:textId="77777777" w:rsidR="00FE39E5" w:rsidRPr="00C94B78" w:rsidRDefault="00FE39E5"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начала 1945 г. в 3-ю дивизию связи стали поступать более современные самолеты А-20 и В-25. Это позволило списать старые и крайне изношенные ПС-43. К сентябрю ни одной такой машины в Советском Союзе уже не осталось (25245).</w:t>
      </w:r>
    </w:p>
    <w:p w14:paraId="3D64A086" w14:textId="77777777" w:rsidR="00FE39E5" w:rsidRPr="00C94B78" w:rsidRDefault="00FE39E5" w:rsidP="00B56F90">
      <w:pPr>
        <w:spacing w:after="0" w:line="240" w:lineRule="auto"/>
        <w:jc w:val="both"/>
        <w:rPr>
          <w:rFonts w:ascii="Times New Roman" w:hAnsi="Times New Roman"/>
          <w:color w:val="0070C0"/>
          <w:sz w:val="16"/>
          <w:szCs w:val="16"/>
        </w:rPr>
      </w:pPr>
    </w:p>
    <w:p w14:paraId="2117D0A7" w14:textId="77777777" w:rsidR="006B3C37" w:rsidRPr="00070ADE" w:rsidRDefault="006B3C3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На 1 июня 1944 года имелось тридцать Ю-52, на 1 января 1945 года – тридцать один. Согласно постановлению Государственного комитета обороны от 12 декабря 1944 года все трофейные Ю-52 и запчасти к ним полагалось сдавать в распоряжение ГУ ГВФ (19686).</w:t>
      </w:r>
    </w:p>
    <w:p w14:paraId="29AC5D2D" w14:textId="77777777" w:rsidR="006B3C37" w:rsidRPr="00070ADE" w:rsidRDefault="006B3C37" w:rsidP="00B56F90">
      <w:pPr>
        <w:spacing w:after="0" w:line="240" w:lineRule="auto"/>
        <w:jc w:val="both"/>
        <w:rPr>
          <w:rFonts w:ascii="Times New Roman" w:hAnsi="Times New Roman"/>
          <w:color w:val="000000" w:themeColor="text1"/>
          <w:sz w:val="16"/>
          <w:szCs w:val="16"/>
        </w:rPr>
      </w:pPr>
    </w:p>
    <w:p w14:paraId="547F5E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июня 1944 мелось 30 Ю-52 (6393).</w:t>
      </w:r>
    </w:p>
    <w:p w14:paraId="355025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FC7F4E" w14:textId="77777777" w:rsidR="00781F94" w:rsidRPr="00070ADE" w:rsidRDefault="00781F94"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lastRenderedPageBreak/>
        <w:t>На 1 июня 1944 г. в ГВФ имелось 30 Ю-52, на 1 января 1945 г. - 31.</w:t>
      </w:r>
    </w:p>
    <w:p w14:paraId="3EAC902E" w14:textId="77777777" w:rsidR="00781F94" w:rsidRPr="00070ADE" w:rsidRDefault="00781F94"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Согласно постановлению ГКО от 12 декабря 1944 г. все трофейные Ю-52 подлежали сдаче в ГВФ. Но имелись и исключения. Один "юнкере" довольно долго служил в санитарном отряде ВВС Балтийского флота. Три летающих тральщика эксплуатировапись после войны на Черном море. Они уничтожали магнитные мины у побережья Крыма, в районе Одессы и в устье Дуная.</w:t>
      </w:r>
    </w:p>
    <w:p w14:paraId="7D23FB11" w14:textId="77777777" w:rsidR="00781F94" w:rsidRPr="00070ADE" w:rsidRDefault="00781F94"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Но большая часть трофеев все-таки поступала в гражданскую авиацию. После капитуляции Германии в Советский Союз эшелонами погнали самолеты, моторы, различное оборудование и запасные части. К 1 октября 1945 г. парк ГВФ насчитывал уже 37 "юнкерсов". Из них пять совершенно исправных самолетов прибыли из Румынии - их изъяли по распоряжению союзной контрольной комиссии (21550).</w:t>
      </w:r>
    </w:p>
    <w:p w14:paraId="6863AA84" w14:textId="77777777" w:rsidR="00781F94" w:rsidRPr="00070ADE" w:rsidRDefault="00781F94" w:rsidP="00B56F90">
      <w:pPr>
        <w:shd w:val="clear" w:color="auto" w:fill="FFFFFF"/>
        <w:spacing w:after="0" w:line="240" w:lineRule="auto"/>
        <w:jc w:val="both"/>
        <w:rPr>
          <w:rFonts w:ascii="Times New Roman" w:hAnsi="Times New Roman"/>
          <w:color w:val="000000" w:themeColor="text1"/>
          <w:sz w:val="16"/>
          <w:szCs w:val="16"/>
        </w:rPr>
      </w:pPr>
    </w:p>
    <w:p w14:paraId="5EAE29D3"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г. Приказ директора завода № 16 М. М. Лукина о создании конструкторского бюро реактивных двигателей</w:t>
      </w:r>
    </w:p>
    <w:p w14:paraId="5A8769A1"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исполнение приказа от 18 апреля 1944 г. по НКВД СССР и НКАП о передаче конструкторского бюро по реактивным двигателям приказываю:</w:t>
      </w:r>
    </w:p>
    <w:p w14:paraId="17EC277F"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w:t>
      </w:r>
    </w:p>
    <w:p w14:paraId="59B3FD17"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Организовать на заводе № 16 конструкторское бюро реактивных двигателей (КБ-РД), с непосредственным подчинением директору завода № 16 и начальнику 4-го спецотдела НКВД СССР.</w:t>
      </w:r>
    </w:p>
    <w:p w14:paraId="69013FE8"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2.</w:t>
      </w:r>
    </w:p>
    <w:p w14:paraId="6FFD9E57"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Начальником опытного производства по реактивным двигателям и и. о. начальника КБ-РД назначить тов. Артамонова Н. Н.</w:t>
      </w:r>
    </w:p>
    <w:p w14:paraId="6FB0617E"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3.</w:t>
      </w:r>
    </w:p>
    <w:p w14:paraId="5C992292"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о. помощника главного конструктора КБ-РД по административно-хозяйственным вопросам назначить тов. Костина С. А.</w:t>
      </w:r>
    </w:p>
    <w:p w14:paraId="79D0285B"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4.</w:t>
      </w:r>
    </w:p>
    <w:p w14:paraId="41A92BC9"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Главному конструктору КБ-РД инженеру Глушко В. П. и и. о. начальника КБ-РД тов. Артамонову Н. Н. произвести расстановку всего личного состава, в соответствии с данным приказом и утвержденной мною схемой, составить план работы по РД-1 и РД-3, а также мероприятия, обеспечивающие выполнение их, и представить мне на утверждение к 5 июня с. г.</w:t>
      </w:r>
    </w:p>
    <w:p w14:paraId="12019A42"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5.</w:t>
      </w:r>
    </w:p>
    <w:p w14:paraId="6287A074"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особо напряженной работой КБ-РД по выполнению постановления ГОКО по двигателям РД-1 и РД-3, запрещаю переброску, командирование и т. п. работников КБ-РД без моего разрешения.</w:t>
      </w:r>
    </w:p>
    <w:p w14:paraId="0823711D"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6.</w:t>
      </w:r>
    </w:p>
    <w:p w14:paraId="52B71962"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повышенной вредностью работы в лаборатории РД с азотной кислотой, начальнику ООТ тов. Шапиро с 31 июня 1944 г. обеспечить спецпитанием работников лаборатории РД, а также работников сборки РД, связанных с переборкой двигателей.</w:t>
      </w:r>
    </w:p>
    <w:p w14:paraId="5555B91D"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завода № 16 М. Лукин (15494).</w:t>
      </w:r>
    </w:p>
    <w:p w14:paraId="54AB78AF" w14:textId="77777777" w:rsidR="001E5A47" w:rsidRPr="00070ADE" w:rsidRDefault="001E5A47" w:rsidP="00B56F90">
      <w:pPr>
        <w:spacing w:after="0" w:line="240" w:lineRule="auto"/>
        <w:jc w:val="both"/>
        <w:rPr>
          <w:rFonts w:ascii="Times New Roman" w:hAnsi="Times New Roman"/>
          <w:color w:val="000000" w:themeColor="text1"/>
          <w:sz w:val="16"/>
          <w:szCs w:val="16"/>
        </w:rPr>
      </w:pPr>
    </w:p>
    <w:p w14:paraId="0C631FA5"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г. вышел Приказ директора завода № 16 М. М. Лукина о создании конструкторского бюро реактивных двигателей</w:t>
      </w:r>
    </w:p>
    <w:p w14:paraId="51C1A1E1"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исполнение приказа от 18 апреля 1944 г. по НКВД СССР и НКАП о передаче конструкторского бюро по реактивным двигателям приказываю:</w:t>
      </w:r>
    </w:p>
    <w:p w14:paraId="0C6C23A3"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w:t>
      </w:r>
    </w:p>
    <w:p w14:paraId="2B9FD119"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Организовать на заводе № 16 конструкторское бюро реактивных двигателей (КБ-РД), с непосредственным подчинением директору завода № 16 и начальнику 4-го спецотдела НКВД СССР.</w:t>
      </w:r>
    </w:p>
    <w:p w14:paraId="2D257E5B"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2.</w:t>
      </w:r>
    </w:p>
    <w:p w14:paraId="126D2D79"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Начальником опытного производства по реактивным двигателям и и. о. начальника КБ-РД назначить тов. Артамонова Н. Н.</w:t>
      </w:r>
    </w:p>
    <w:p w14:paraId="01762838"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3.</w:t>
      </w:r>
    </w:p>
    <w:p w14:paraId="2CF194BB"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о. помощника главного конструктора КБ-РД по административно -хозяйственным вопросам назначить тов. Костина С. А.</w:t>
      </w:r>
    </w:p>
    <w:p w14:paraId="4AE3A01A"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4.</w:t>
      </w:r>
    </w:p>
    <w:p w14:paraId="1981E671"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Главному конструктору КБ-РД инженеру Глушко В. П. и и. о. начальника КБ-РД тов. Артамонову Н. Н. произвести расстановку всего личного состава, в соответствии с данным приказом и утвержденной мною схемой, составить план работы по РД-1 и РД-3, а также мероприятия, обеспечивающие выполнение их, и</w:t>
      </w:r>
    </w:p>
    <w:p w14:paraId="277248E1"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представить мне на утверждение к 5 июня с. г.</w:t>
      </w:r>
    </w:p>
    <w:p w14:paraId="6662B2AF"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5.</w:t>
      </w:r>
    </w:p>
    <w:p w14:paraId="736DC055"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особо напряженной работой КБ-РД по выполнению постановления ГОКО по двигателям РД-1 и РД-3, запрещаю переброску, командирование и т. п. работников КБ-РД без моего разрешения.</w:t>
      </w:r>
    </w:p>
    <w:p w14:paraId="54787823"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б</w:t>
      </w:r>
    </w:p>
    <w:p w14:paraId="2CA5A8EA"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повышенной вредностью работы в лаборатории РД с азотной кислотой, начальнику ООТ тов. Шапиро с 31 июня 1944 г. обеспечить спецпитанием работников лаборатории РД, а также работников сборки РД, связанных с переборкой двигателей.</w:t>
      </w:r>
    </w:p>
    <w:p w14:paraId="6A4DD672"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завода № 16 М. Лукин</w:t>
      </w:r>
    </w:p>
    <w:p w14:paraId="4728D185"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РТ Ф. P-5940. On. 1. Д. 159. Л. 39. Подлинник (23767).</w:t>
      </w:r>
    </w:p>
    <w:p w14:paraId="03FAA9B2" w14:textId="77777777" w:rsidR="000D462F" w:rsidRPr="00070ADE" w:rsidRDefault="000D462F" w:rsidP="00B56F90">
      <w:pPr>
        <w:spacing w:after="0" w:line="240" w:lineRule="auto"/>
        <w:jc w:val="both"/>
        <w:rPr>
          <w:rFonts w:ascii="Times New Roman" w:hAnsi="Times New Roman"/>
          <w:color w:val="000000" w:themeColor="text1"/>
          <w:sz w:val="16"/>
          <w:szCs w:val="16"/>
        </w:rPr>
      </w:pPr>
    </w:p>
    <w:p w14:paraId="2B575E4D"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г. состоялся последний вылет ПС—35, входившего в состав 87-го Гвардейского Сталинград</w:t>
      </w:r>
      <w:r w:rsidRPr="00070ADE">
        <w:rPr>
          <w:rFonts w:ascii="Times New Roman" w:hAnsi="Times New Roman"/>
          <w:color w:val="000000" w:themeColor="text1"/>
          <w:sz w:val="16"/>
          <w:szCs w:val="16"/>
        </w:rPr>
        <w:softHyphen/>
        <w:t xml:space="preserve">ского авиационного полка (23474). </w:t>
      </w:r>
    </w:p>
    <w:p w14:paraId="51C9720F" w14:textId="77777777" w:rsidR="000D462F" w:rsidRPr="00070ADE" w:rsidRDefault="000D462F" w:rsidP="00B56F90">
      <w:pPr>
        <w:spacing w:after="0" w:line="240" w:lineRule="auto"/>
        <w:jc w:val="both"/>
        <w:rPr>
          <w:rFonts w:ascii="Times New Roman" w:hAnsi="Times New Roman"/>
          <w:color w:val="000000" w:themeColor="text1"/>
          <w:sz w:val="16"/>
          <w:szCs w:val="16"/>
        </w:rPr>
      </w:pPr>
    </w:p>
    <w:p w14:paraId="0FE1CC1F"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июня 1944 г. 588 из 859 гидропланов по состоянию на 22 июня 1941 г. уже были потеряны. Наибольший ущерб пришелся на долю трех западных флотов. Так, в январе 1944 г. на Черном море уцелело всего 15 летающих лодок, на Балтике — ни одной. Тяжелые потери первых лет войны практически ни</w:t>
      </w:r>
      <w:r w:rsidRPr="00070ADE">
        <w:rPr>
          <w:rFonts w:ascii="Times New Roman" w:hAnsi="Times New Roman"/>
          <w:color w:val="000000" w:themeColor="text1"/>
          <w:sz w:val="16"/>
          <w:szCs w:val="16"/>
        </w:rPr>
        <w:softHyphen/>
        <w:t>как не возмещались промышленностью. За всю войну советские заводы изготовили всего 39 самолетов Че-2 и КОР-2 (Бе-4). Из авиашкол и гражданской авиации получи</w:t>
      </w:r>
      <w:r w:rsidRPr="00070ADE">
        <w:rPr>
          <w:rFonts w:ascii="Times New Roman" w:hAnsi="Times New Roman"/>
          <w:color w:val="000000" w:themeColor="text1"/>
          <w:sz w:val="16"/>
          <w:szCs w:val="16"/>
        </w:rPr>
        <w:softHyphen/>
        <w:t>ли еще 141 машину (в основном МБР-2) (23513).</w:t>
      </w:r>
    </w:p>
    <w:p w14:paraId="646085E5" w14:textId="77777777" w:rsidR="000D462F" w:rsidRPr="00070ADE" w:rsidRDefault="000D462F" w:rsidP="00B56F90">
      <w:pPr>
        <w:spacing w:after="0" w:line="240" w:lineRule="auto"/>
        <w:jc w:val="both"/>
        <w:rPr>
          <w:rFonts w:ascii="Times New Roman" w:hAnsi="Times New Roman"/>
          <w:color w:val="000000" w:themeColor="text1"/>
          <w:sz w:val="16"/>
          <w:szCs w:val="16"/>
        </w:rPr>
      </w:pPr>
    </w:p>
    <w:p w14:paraId="5141A1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вышел приказ НКАП № 377:</w:t>
      </w:r>
    </w:p>
    <w:p w14:paraId="5DE423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исполнение распоряжения СНК от 26 мая 1944 № 11410-рс:</w:t>
      </w:r>
    </w:p>
    <w:p w14:paraId="14459F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Присвоить бывшим з-м треста Оргавиапром следующие номера: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7927844C" w14:textId="77777777">
        <w:tc>
          <w:tcPr>
            <w:tcW w:w="5636" w:type="dxa"/>
          </w:tcPr>
          <w:p w14:paraId="4DFDAA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5636" w:type="dxa"/>
          </w:tcPr>
          <w:p w14:paraId="177B88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491</w:t>
            </w:r>
          </w:p>
        </w:tc>
      </w:tr>
      <w:tr w:rsidR="004D4663" w:rsidRPr="00070ADE" w14:paraId="7FA93050" w14:textId="77777777">
        <w:tc>
          <w:tcPr>
            <w:tcW w:w="5636" w:type="dxa"/>
          </w:tcPr>
          <w:p w14:paraId="7C0B51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5636" w:type="dxa"/>
          </w:tcPr>
          <w:p w14:paraId="594323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492</w:t>
            </w:r>
          </w:p>
        </w:tc>
      </w:tr>
      <w:tr w:rsidR="004D4663" w:rsidRPr="00070ADE" w14:paraId="501DF3BD" w14:textId="77777777">
        <w:tc>
          <w:tcPr>
            <w:tcW w:w="5636" w:type="dxa"/>
          </w:tcPr>
          <w:p w14:paraId="18AF6B6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5636" w:type="dxa"/>
          </w:tcPr>
          <w:p w14:paraId="1CB7BE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495</w:t>
            </w:r>
          </w:p>
        </w:tc>
      </w:tr>
      <w:tr w:rsidR="004D4663" w:rsidRPr="00070ADE" w14:paraId="0F7F330A" w14:textId="77777777">
        <w:tc>
          <w:tcPr>
            <w:tcW w:w="5636" w:type="dxa"/>
          </w:tcPr>
          <w:p w14:paraId="281C7C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5636" w:type="dxa"/>
          </w:tcPr>
          <w:p w14:paraId="67E677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493</w:t>
            </w:r>
          </w:p>
        </w:tc>
      </w:tr>
      <w:tr w:rsidR="004D4663" w:rsidRPr="00070ADE" w14:paraId="6640C517" w14:textId="77777777">
        <w:tc>
          <w:tcPr>
            <w:tcW w:w="5636" w:type="dxa"/>
          </w:tcPr>
          <w:p w14:paraId="1DD5B5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165</w:t>
            </w:r>
          </w:p>
        </w:tc>
        <w:tc>
          <w:tcPr>
            <w:tcW w:w="5636" w:type="dxa"/>
          </w:tcPr>
          <w:p w14:paraId="2AADBD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165</w:t>
            </w:r>
          </w:p>
        </w:tc>
      </w:tr>
    </w:tbl>
    <w:p w14:paraId="5DD5E2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Подчинить указанные з-ды Управлению оборудования</w:t>
      </w:r>
    </w:p>
    <w:p w14:paraId="71628F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Шахурин (1673, 93).</w:t>
      </w:r>
    </w:p>
    <w:p w14:paraId="6D28EB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D62C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года по решению Правительства приказом по НКАП за № 377 2-й инструментальный завод Оргавиапрома в Кимрах был передан в управление оборудования НКАП и стал именоваться завод № 491.</w:t>
      </w:r>
    </w:p>
    <w:p w14:paraId="146C75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491 ГКАТ, в основном, имеет профиль мелкосерийного и индивидуального спецстанкостроения и притом завод имеет свое КБ, которое производит опытное конструирование новых видов станков и машин, необходимых авиапромышленности.</w:t>
      </w:r>
    </w:p>
    <w:p w14:paraId="1FD28F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Директора: С июня 1943 года по 30 мая 1946 года – Поленов П.С. С 30 мая 1946 года – Панков И.А.</w:t>
      </w:r>
    </w:p>
    <w:p w14:paraId="6BD107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 Панков</w:t>
      </w:r>
    </w:p>
    <w:p w14:paraId="4D138A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Кимры Калининской области, п/я 4 (9858).</w:t>
      </w:r>
    </w:p>
    <w:p w14:paraId="01B6CC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D94B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года Приказом по НКАП за № 377 завод № 3 Оргавиапрома был переименован в завод № 492.</w:t>
      </w:r>
    </w:p>
    <w:p w14:paraId="1723C3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Поскольку завод № 492 организован лишь на территории ранее занимаемой 3-м инструментальным заводом и никакой организационной связи с этим заводом не имел, то официальной датой организации завода № 492 следует считать 17 декабря 1941 года. В 1951 году завод был реорганизован под выпуск пневматического инструмента.</w:t>
      </w:r>
    </w:p>
    <w:p w14:paraId="52158A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Постановлением от 2 сентября 1957 года за № 5 завод № 492 был передан из Управления авиапромышленности Мосгорсовнархоза в Управление межотраслевых организаций и производств с сохранением производства пневматического инструмента.</w:t>
      </w:r>
    </w:p>
    <w:p w14:paraId="1F7115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 А. Терехин</w:t>
      </w:r>
    </w:p>
    <w:p w14:paraId="50526D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Адрес: Москва, Большой Трехгорный пер., д. 3 (9859).</w:t>
      </w:r>
    </w:p>
    <w:p w14:paraId="054167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2BA86F" w14:textId="50BCD502"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г. по приказу № 377с завод № 3 ОАП НКАП переименован в завод № 492 ОАП НКАП (Завод № 492 НКАП, Завод № 3 ОАП НКАП, Московский завод пневмоинстументов, ОАО «Московский завод «Пневмоинструмент» (МЗПИ) /123007</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Москва 4-я Магистральная ул., 13 тел. 256-75-10/).</w:t>
      </w:r>
    </w:p>
    <w:p w14:paraId="5AE980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1951 г. освоен выпуск ручного пневматического инструмента, который поставлялся затем на все предприятия авиационно-космической промышленности. К 1968 г. выпускал пневмогайковерты, прессы, кусачки, машины: фрезерные, отрезные; ножницы: по металлу, дисковые; рубанки, дисковые пилы, сабельные ножовки, пылесосы, отвертки, стамески.</w:t>
      </w:r>
    </w:p>
    <w:p w14:paraId="4AF3374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(2002 г.): ручной пневматический инструмент вращательного, ударного действия, пневматические прессы, вспомогательный инструмент для авиапрмышленности (клепальные многоударные молотки, сверлильные машины, резьбонарезные и резьбозавертывающие машины, шлифовальные и зачистные машины, инструмент для одностронней безударной клепки, отрезные и фрезерные машины, кусачки).</w:t>
      </w:r>
    </w:p>
    <w:p w14:paraId="6F9C0F35" w14:textId="1ABB5B3B"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ОАО МЗПИ - головное предприятие (2000-е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авиакосмической отрасли по производству ручного пневмоинструмента.</w:t>
      </w:r>
    </w:p>
    <w:p w14:paraId="510046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129CE1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(2002 г.)- около 100 чел.</w:t>
      </w:r>
    </w:p>
    <w:p w14:paraId="279639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Гендиректор (-2000-02 г.-&gt; В.Н. Кузьмин.</w:t>
      </w:r>
    </w:p>
    <w:p w14:paraId="4922B2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по производству и обеспечению (2002 г.)- В.И. Суворов.</w:t>
      </w:r>
    </w:p>
    <w:p w14:paraId="532D31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отдела кадров (2002 г.)- Т.А. Зикрань.</w:t>
      </w:r>
      <w:r w:rsidRPr="00070ADE">
        <w:rPr>
          <w:rFonts w:ascii="Times New Roman" w:hAnsi="Times New Roman"/>
          <w:color w:val="000000" w:themeColor="text1"/>
          <w:sz w:val="16"/>
          <w:szCs w:val="16"/>
          <w:vertAlign w:val="superscript"/>
        </w:rPr>
        <w:t>69</w:t>
      </w:r>
    </w:p>
    <w:p w14:paraId="07DD2E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клепальные молотки: КМ1, КМ2, КМЗ (1952); шлифмашины ШР0,6, ШР2 (1952) (11982).</w:t>
      </w:r>
    </w:p>
    <w:p w14:paraId="4B3EECCB" w14:textId="77777777" w:rsidR="001E5A47" w:rsidRPr="00070ADE" w:rsidRDefault="001E5A47" w:rsidP="00B56F90">
      <w:pPr>
        <w:autoSpaceDE w:val="0"/>
        <w:autoSpaceDN w:val="0"/>
        <w:adjustRightInd w:val="0"/>
        <w:spacing w:after="0" w:line="240" w:lineRule="auto"/>
        <w:jc w:val="both"/>
        <w:rPr>
          <w:rFonts w:ascii="Times New Roman" w:hAnsi="Times New Roman"/>
          <w:color w:val="000000" w:themeColor="text1"/>
          <w:sz w:val="16"/>
          <w:szCs w:val="16"/>
        </w:rPr>
      </w:pPr>
    </w:p>
    <w:p w14:paraId="480F14E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г. по приказу № 377с завод № 5 ОАП НКАП переименован в завод № 495 НКАП (Завод № 495 НКАП, НКПС /г. Тавда Свердловской обл./). Инструментальное производство.</w:t>
      </w:r>
    </w:p>
    <w:p w14:paraId="05A247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 847цз/459 от 3.12.1945 г. завод передан в НКПС (Свердловской ж/д) (11982).</w:t>
      </w:r>
    </w:p>
    <w:p w14:paraId="3DA9417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14047D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3A1101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24F072" w14:textId="77777777" w:rsidR="00FE39E5" w:rsidRPr="00C94B78" w:rsidRDefault="00FE39E5"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 1 по 6 июня 1944 г. были продолжены совместные испытания 100 мм танковых пушек - петровской пушки Д-10Т в танке ИС-4 и грабинской С-34 в танке ИС-5 на Гороховецком полигоне. Эти испытания показали более надежную работу механизмов пушки Д-10Т, но был отмечен ее недостаточный боекомплект (30 выстрелов), большая загазованность боевого отделения, а также трудности в работе заряжающего. У пушки С-34 вновь возникали неполадки, и, кроме того, откатывающаяся при выстрелах казенная часть орудия могла задеть командира танка, рабочее место которого рекомендовалось перенести правее (25440).</w:t>
      </w:r>
    </w:p>
    <w:p w14:paraId="4428FF69" w14:textId="77777777" w:rsidR="00FE39E5" w:rsidRPr="00C94B78" w:rsidRDefault="00FE39E5" w:rsidP="00B56F90">
      <w:pPr>
        <w:spacing w:after="0" w:line="240" w:lineRule="auto"/>
        <w:jc w:val="both"/>
        <w:rPr>
          <w:rFonts w:ascii="Times New Roman" w:hAnsi="Times New Roman"/>
          <w:color w:val="0070C0"/>
          <w:sz w:val="16"/>
          <w:szCs w:val="16"/>
        </w:rPr>
      </w:pPr>
    </w:p>
    <w:p w14:paraId="396E02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 июня 1944 заводу № 200 надлежало перейти на новую конструкцию броневого корпуса. Фактически же, производство танков со старой и но</w:t>
      </w:r>
      <w:r w:rsidRPr="00070ADE">
        <w:rPr>
          <w:rFonts w:ascii="Times New Roman" w:hAnsi="Times New Roman"/>
          <w:color w:val="000000" w:themeColor="text1"/>
          <w:sz w:val="16"/>
          <w:szCs w:val="16"/>
        </w:rPr>
        <w:softHyphen/>
        <w:t>вой конструкцией корпуса продолжалось параллельно до полного ис</w:t>
      </w:r>
      <w:r w:rsidRPr="00070ADE">
        <w:rPr>
          <w:rFonts w:ascii="Times New Roman" w:hAnsi="Times New Roman"/>
          <w:color w:val="000000" w:themeColor="text1"/>
          <w:sz w:val="16"/>
          <w:szCs w:val="16"/>
        </w:rPr>
        <w:softHyphen/>
        <w:t>пользования уже имевшегося задела. Окончательный переход на вы</w:t>
      </w:r>
      <w:r w:rsidRPr="00070ADE">
        <w:rPr>
          <w:rFonts w:ascii="Times New Roman" w:hAnsi="Times New Roman"/>
          <w:color w:val="000000" w:themeColor="text1"/>
          <w:sz w:val="16"/>
          <w:szCs w:val="16"/>
        </w:rPr>
        <w:softHyphen/>
        <w:t>пуск новых корпусов был осуществлен в июле 1944 г. (10703).</w:t>
      </w:r>
    </w:p>
    <w:p w14:paraId="4C6BB7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74DE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г. был подготовлен ПРОЕКТ ПЛАНА ПОСТАВКИ ТАНКОВ И САМОХОДНЫХ АРТУСТАНОВОК НА III КВАРТАЛ 1944 г.</w:t>
      </w:r>
    </w:p>
    <w:tbl>
      <w:tblPr>
        <w:tblW w:w="0" w:type="auto"/>
        <w:tblInd w:w="40" w:type="dxa"/>
        <w:tblLayout w:type="fixed"/>
        <w:tblCellMar>
          <w:left w:w="40" w:type="dxa"/>
          <w:right w:w="40" w:type="dxa"/>
        </w:tblCellMar>
        <w:tblLook w:val="0000" w:firstRow="0" w:lastRow="0" w:firstColumn="0" w:lastColumn="0" w:noHBand="0" w:noVBand="0"/>
      </w:tblPr>
      <w:tblGrid>
        <w:gridCol w:w="1286"/>
        <w:gridCol w:w="1094"/>
        <w:gridCol w:w="2045"/>
        <w:gridCol w:w="1075"/>
        <w:gridCol w:w="624"/>
        <w:gridCol w:w="614"/>
        <w:gridCol w:w="710"/>
        <w:gridCol w:w="2189"/>
      </w:tblGrid>
      <w:tr w:rsidR="004D4663" w:rsidRPr="00070ADE" w14:paraId="676BC616" w14:textId="77777777">
        <w:trPr>
          <w:trHeight w:val="326"/>
        </w:trPr>
        <w:tc>
          <w:tcPr>
            <w:tcW w:w="1286" w:type="dxa"/>
            <w:tcBorders>
              <w:top w:val="single" w:sz="6" w:space="0" w:color="auto"/>
              <w:left w:val="single" w:sz="6" w:space="0" w:color="auto"/>
              <w:bottom w:val="single" w:sz="6" w:space="0" w:color="auto"/>
              <w:right w:val="single" w:sz="6" w:space="0" w:color="auto"/>
            </w:tcBorders>
          </w:tcPr>
          <w:p w14:paraId="2D96EB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D93D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nil"/>
              <w:right w:val="single" w:sz="6" w:space="0" w:color="auto"/>
            </w:tcBorders>
          </w:tcPr>
          <w:p w14:paraId="561C06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4343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nil"/>
              <w:right w:val="single" w:sz="6" w:space="0" w:color="auto"/>
            </w:tcBorders>
          </w:tcPr>
          <w:p w14:paraId="0B902A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Было во II кв. согл. Постанов.</w:t>
            </w:r>
          </w:p>
          <w:p w14:paraId="34B615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nil"/>
              <w:right w:val="single" w:sz="6" w:space="0" w:color="auto"/>
            </w:tcBorders>
          </w:tcPr>
          <w:p w14:paraId="487299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Проект плана на III кв.</w:t>
            </w:r>
          </w:p>
          <w:p w14:paraId="6F6778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8" w:type="dxa"/>
            <w:gridSpan w:val="3"/>
            <w:tcBorders>
              <w:top w:val="single" w:sz="6" w:space="0" w:color="auto"/>
              <w:left w:val="single" w:sz="6" w:space="0" w:color="auto"/>
              <w:bottom w:val="single" w:sz="6" w:space="0" w:color="auto"/>
              <w:right w:val="single" w:sz="6" w:space="0" w:color="auto"/>
            </w:tcBorders>
          </w:tcPr>
          <w:p w14:paraId="6F8761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т.ч. по месяцам</w:t>
            </w:r>
          </w:p>
          <w:p w14:paraId="37B46D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nil"/>
              <w:right w:val="single" w:sz="6" w:space="0" w:color="auto"/>
            </w:tcBorders>
          </w:tcPr>
          <w:p w14:paraId="1FEAE6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9049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3F7798E" w14:textId="77777777">
        <w:trPr>
          <w:trHeight w:val="269"/>
        </w:trPr>
        <w:tc>
          <w:tcPr>
            <w:tcW w:w="1286" w:type="dxa"/>
            <w:tcBorders>
              <w:top w:val="single" w:sz="6" w:space="0" w:color="auto"/>
              <w:left w:val="single" w:sz="6" w:space="0" w:color="auto"/>
              <w:bottom w:val="single" w:sz="6" w:space="0" w:color="auto"/>
              <w:right w:val="single" w:sz="6" w:space="0" w:color="auto"/>
            </w:tcBorders>
          </w:tcPr>
          <w:p w14:paraId="2C9B35E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изготовитель</w:t>
            </w:r>
          </w:p>
          <w:p w14:paraId="597089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single" w:sz="6" w:space="0" w:color="auto"/>
              <w:right w:val="single" w:sz="6" w:space="0" w:color="auto"/>
            </w:tcBorders>
          </w:tcPr>
          <w:p w14:paraId="4D4C94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E493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single" w:sz="6" w:space="0" w:color="auto"/>
              <w:right w:val="single" w:sz="6" w:space="0" w:color="auto"/>
            </w:tcBorders>
          </w:tcPr>
          <w:p w14:paraId="14E8FB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9.04.44 г.</w:t>
            </w:r>
          </w:p>
          <w:p w14:paraId="4904A7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single" w:sz="6" w:space="0" w:color="auto"/>
              <w:right w:val="single" w:sz="6" w:space="0" w:color="auto"/>
            </w:tcBorders>
          </w:tcPr>
          <w:p w14:paraId="529F8E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 г.</w:t>
            </w:r>
          </w:p>
          <w:p w14:paraId="4E23E0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17763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июль</w:t>
            </w:r>
          </w:p>
          <w:p w14:paraId="6C2CE7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1CCCD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авщст</w:t>
            </w:r>
          </w:p>
          <w:p w14:paraId="790777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2E7FFE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сентябрь</w:t>
            </w:r>
          </w:p>
          <w:p w14:paraId="7F414A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single" w:sz="6" w:space="0" w:color="auto"/>
              <w:right w:val="single" w:sz="6" w:space="0" w:color="auto"/>
            </w:tcBorders>
          </w:tcPr>
          <w:p w14:paraId="06C2CA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1римсчанш;</w:t>
            </w:r>
          </w:p>
          <w:p w14:paraId="79CE8C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A959DDC" w14:textId="77777777">
        <w:trPr>
          <w:trHeight w:val="202"/>
        </w:trPr>
        <w:tc>
          <w:tcPr>
            <w:tcW w:w="1286" w:type="dxa"/>
            <w:tcBorders>
              <w:top w:val="single" w:sz="6" w:space="0" w:color="auto"/>
              <w:left w:val="single" w:sz="6" w:space="0" w:color="auto"/>
              <w:bottom w:val="nil"/>
              <w:right w:val="single" w:sz="6" w:space="0" w:color="auto"/>
            </w:tcBorders>
          </w:tcPr>
          <w:p w14:paraId="47FEF2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 завод</w:t>
            </w:r>
          </w:p>
          <w:p w14:paraId="1AB3E2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nil"/>
              <w:right w:val="single" w:sz="6" w:space="0" w:color="auto"/>
            </w:tcBorders>
          </w:tcPr>
          <w:p w14:paraId="0211BD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ИС-2</w:t>
            </w:r>
          </w:p>
          <w:p w14:paraId="7D9FB3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nil"/>
              <w:right w:val="single" w:sz="6" w:space="0" w:color="auto"/>
            </w:tcBorders>
          </w:tcPr>
          <w:p w14:paraId="72AB05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525</w:t>
            </w:r>
          </w:p>
          <w:p w14:paraId="25ED73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nil"/>
              <w:right w:val="single" w:sz="6" w:space="0" w:color="auto"/>
            </w:tcBorders>
          </w:tcPr>
          <w:p w14:paraId="2172F7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p w14:paraId="5296FC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nil"/>
              <w:right w:val="single" w:sz="6" w:space="0" w:color="auto"/>
            </w:tcBorders>
          </w:tcPr>
          <w:p w14:paraId="055827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225</w:t>
            </w:r>
          </w:p>
          <w:p w14:paraId="21EA64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nil"/>
              <w:right w:val="single" w:sz="6" w:space="0" w:color="auto"/>
            </w:tcBorders>
          </w:tcPr>
          <w:p w14:paraId="380E89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225</w:t>
            </w:r>
          </w:p>
          <w:p w14:paraId="20B4D7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54B8AB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225</w:t>
            </w:r>
          </w:p>
          <w:p w14:paraId="4B9B8E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nil"/>
              <w:right w:val="single" w:sz="6" w:space="0" w:color="auto"/>
            </w:tcBorders>
          </w:tcPr>
          <w:p w14:paraId="29B7C6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Постановлен*) ГОКО</w:t>
            </w:r>
          </w:p>
          <w:p w14:paraId="0A4B01E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40321AB" w14:textId="77777777">
        <w:trPr>
          <w:trHeight w:val="192"/>
        </w:trPr>
        <w:tc>
          <w:tcPr>
            <w:tcW w:w="1286" w:type="dxa"/>
            <w:tcBorders>
              <w:top w:val="nil"/>
              <w:left w:val="single" w:sz="6" w:space="0" w:color="auto"/>
              <w:bottom w:val="nil"/>
              <w:right w:val="single" w:sz="6" w:space="0" w:color="auto"/>
            </w:tcBorders>
          </w:tcPr>
          <w:p w14:paraId="58D60D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 завод</w:t>
            </w:r>
          </w:p>
          <w:p w14:paraId="26BF05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095193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ИСУ-152</w:t>
            </w:r>
          </w:p>
          <w:p w14:paraId="198EE5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nil"/>
              <w:right w:val="single" w:sz="6" w:space="0" w:color="auto"/>
            </w:tcBorders>
          </w:tcPr>
          <w:p w14:paraId="19FD7D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385</w:t>
            </w:r>
          </w:p>
          <w:p w14:paraId="2CD3BC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51F302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p w14:paraId="72BD0C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nil"/>
              <w:right w:val="single" w:sz="6" w:space="0" w:color="auto"/>
            </w:tcBorders>
          </w:tcPr>
          <w:p w14:paraId="59868D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p w14:paraId="19E5AC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nil"/>
              <w:right w:val="single" w:sz="6" w:space="0" w:color="auto"/>
            </w:tcBorders>
          </w:tcPr>
          <w:p w14:paraId="1B1701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5CB050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730A8C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76BE58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nil"/>
              <w:right w:val="single" w:sz="6" w:space="0" w:color="auto"/>
            </w:tcBorders>
          </w:tcPr>
          <w:p w14:paraId="7F4DAD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5378с от 12.03.1944 г.</w:t>
            </w:r>
          </w:p>
          <w:p w14:paraId="620139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31905A5" w14:textId="77777777">
        <w:trPr>
          <w:trHeight w:val="211"/>
        </w:trPr>
        <w:tc>
          <w:tcPr>
            <w:tcW w:w="1286" w:type="dxa"/>
            <w:tcBorders>
              <w:top w:val="nil"/>
              <w:left w:val="single" w:sz="6" w:space="0" w:color="auto"/>
              <w:bottom w:val="single" w:sz="6" w:space="0" w:color="auto"/>
              <w:right w:val="single" w:sz="6" w:space="0" w:color="auto"/>
            </w:tcBorders>
          </w:tcPr>
          <w:p w14:paraId="672F78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 завод</w:t>
            </w:r>
          </w:p>
          <w:p w14:paraId="232A2A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single" w:sz="6" w:space="0" w:color="auto"/>
              <w:right w:val="single" w:sz="6" w:space="0" w:color="auto"/>
            </w:tcBorders>
          </w:tcPr>
          <w:p w14:paraId="23B06D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ИСУ-122</w:t>
            </w:r>
          </w:p>
          <w:p w14:paraId="4276B2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single" w:sz="6" w:space="0" w:color="auto"/>
              <w:right w:val="single" w:sz="6" w:space="0" w:color="auto"/>
            </w:tcBorders>
          </w:tcPr>
          <w:p w14:paraId="5EA163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290</w:t>
            </w:r>
          </w:p>
          <w:p w14:paraId="7074B5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single" w:sz="6" w:space="0" w:color="auto"/>
              <w:right w:val="single" w:sz="6" w:space="0" w:color="auto"/>
            </w:tcBorders>
          </w:tcPr>
          <w:p w14:paraId="4875C9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575</w:t>
            </w:r>
          </w:p>
          <w:p w14:paraId="69B4AF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single" w:sz="6" w:space="0" w:color="auto"/>
              <w:right w:val="single" w:sz="6" w:space="0" w:color="auto"/>
            </w:tcBorders>
          </w:tcPr>
          <w:p w14:paraId="53AF33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175</w:t>
            </w:r>
          </w:p>
          <w:p w14:paraId="034FA7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single" w:sz="6" w:space="0" w:color="auto"/>
              <w:right w:val="single" w:sz="6" w:space="0" w:color="auto"/>
            </w:tcBorders>
          </w:tcPr>
          <w:p w14:paraId="21E632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1739AF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1B1F53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1BCF0EE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nil"/>
              <w:right w:val="single" w:sz="6" w:space="0" w:color="auto"/>
            </w:tcBorders>
          </w:tcPr>
          <w:p w14:paraId="717C6D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Тяжелые танки и СУ на июнь и</w:t>
            </w:r>
          </w:p>
          <w:p w14:paraId="4D871A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8A0C317" w14:textId="77777777">
        <w:trPr>
          <w:trHeight w:val="192"/>
        </w:trPr>
        <w:tc>
          <w:tcPr>
            <w:tcW w:w="1286" w:type="dxa"/>
            <w:tcBorders>
              <w:top w:val="single" w:sz="6" w:space="0" w:color="auto"/>
              <w:left w:val="single" w:sz="6" w:space="0" w:color="auto"/>
              <w:bottom w:val="single" w:sz="6" w:space="0" w:color="auto"/>
              <w:right w:val="single" w:sz="6" w:space="0" w:color="auto"/>
            </w:tcBorders>
          </w:tcPr>
          <w:p w14:paraId="01FA6E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7F5AAE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54E236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ИСиИСУ</w:t>
            </w:r>
          </w:p>
          <w:p w14:paraId="055013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6C09E0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1200</w:t>
            </w:r>
          </w:p>
          <w:p w14:paraId="51F7AD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5DA31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w:t>
            </w:r>
          </w:p>
          <w:p w14:paraId="3EA23C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710638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16AF08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3E920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318F0A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5798CD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1C0845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single" w:sz="6" w:space="0" w:color="auto"/>
              <w:right w:val="single" w:sz="6" w:space="0" w:color="auto"/>
            </w:tcBorders>
          </w:tcPr>
          <w:p w14:paraId="046BCD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август и средние танки и СУ на июль.</w:t>
            </w:r>
          </w:p>
          <w:p w14:paraId="36C402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CF3C030" w14:textId="77777777">
        <w:trPr>
          <w:trHeight w:val="230"/>
        </w:trPr>
        <w:tc>
          <w:tcPr>
            <w:tcW w:w="1286" w:type="dxa"/>
            <w:tcBorders>
              <w:top w:val="single" w:sz="6" w:space="0" w:color="auto"/>
              <w:left w:val="single" w:sz="6" w:space="0" w:color="auto"/>
              <w:bottom w:val="nil"/>
              <w:right w:val="single" w:sz="6" w:space="0" w:color="auto"/>
            </w:tcBorders>
          </w:tcPr>
          <w:p w14:paraId="6A6913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№183</w:t>
            </w:r>
          </w:p>
          <w:p w14:paraId="5C3081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nil"/>
              <w:right w:val="single" w:sz="6" w:space="0" w:color="auto"/>
            </w:tcBorders>
          </w:tcPr>
          <w:p w14:paraId="4BD521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Т-34-85</w:t>
            </w:r>
          </w:p>
          <w:p w14:paraId="4A6C62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nil"/>
              <w:right w:val="single" w:sz="6" w:space="0" w:color="auto"/>
            </w:tcBorders>
          </w:tcPr>
          <w:p w14:paraId="3B0860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2100</w:t>
            </w:r>
          </w:p>
          <w:p w14:paraId="4B6F34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nil"/>
              <w:right w:val="single" w:sz="6" w:space="0" w:color="auto"/>
            </w:tcBorders>
          </w:tcPr>
          <w:p w14:paraId="0435B8C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2160</w:t>
            </w:r>
          </w:p>
          <w:p w14:paraId="1BFE5F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nil"/>
              <w:right w:val="single" w:sz="6" w:space="0" w:color="auto"/>
            </w:tcBorders>
          </w:tcPr>
          <w:p w14:paraId="0893DD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715</w:t>
            </w:r>
          </w:p>
          <w:p w14:paraId="2BB50F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nil"/>
              <w:right w:val="single" w:sz="6" w:space="0" w:color="auto"/>
            </w:tcBorders>
          </w:tcPr>
          <w:p w14:paraId="5C239C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720</w:t>
            </w:r>
          </w:p>
          <w:p w14:paraId="5D2844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6CCC24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725</w:t>
            </w:r>
          </w:p>
          <w:p w14:paraId="6EA8C3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nil"/>
              <w:right w:val="single" w:sz="6" w:space="0" w:color="auto"/>
            </w:tcBorders>
          </w:tcPr>
          <w:p w14:paraId="5B57D2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29FD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87BEC07" w14:textId="77777777">
        <w:trPr>
          <w:trHeight w:val="202"/>
        </w:trPr>
        <w:tc>
          <w:tcPr>
            <w:tcW w:w="1286" w:type="dxa"/>
            <w:tcBorders>
              <w:top w:val="nil"/>
              <w:left w:val="single" w:sz="6" w:space="0" w:color="auto"/>
              <w:bottom w:val="nil"/>
              <w:right w:val="single" w:sz="6" w:space="0" w:color="auto"/>
            </w:tcBorders>
          </w:tcPr>
          <w:p w14:paraId="7E20BB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№112</w:t>
            </w:r>
          </w:p>
          <w:p w14:paraId="48D30F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63F75D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Т-34-85</w:t>
            </w:r>
          </w:p>
          <w:p w14:paraId="23BD22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nil"/>
              <w:right w:val="single" w:sz="6" w:space="0" w:color="auto"/>
            </w:tcBorders>
          </w:tcPr>
          <w:p w14:paraId="29D686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910</w:t>
            </w:r>
          </w:p>
          <w:p w14:paraId="25F873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4760F2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6D3E9D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nil"/>
              <w:right w:val="single" w:sz="6" w:space="0" w:color="auto"/>
            </w:tcBorders>
          </w:tcPr>
          <w:p w14:paraId="161C99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325</w:t>
            </w:r>
          </w:p>
          <w:p w14:paraId="624234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nil"/>
              <w:right w:val="single" w:sz="6" w:space="0" w:color="auto"/>
            </w:tcBorders>
          </w:tcPr>
          <w:p w14:paraId="20E450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335</w:t>
            </w:r>
          </w:p>
          <w:p w14:paraId="71F3842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262165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340</w:t>
            </w:r>
          </w:p>
          <w:p w14:paraId="6A3F7B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nil"/>
              <w:right w:val="single" w:sz="6" w:space="0" w:color="auto"/>
            </w:tcBorders>
          </w:tcPr>
          <w:p w14:paraId="2080FA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101E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C47E19B" w14:textId="77777777">
        <w:trPr>
          <w:trHeight w:val="182"/>
        </w:trPr>
        <w:tc>
          <w:tcPr>
            <w:tcW w:w="1286" w:type="dxa"/>
            <w:tcBorders>
              <w:top w:val="nil"/>
              <w:left w:val="single" w:sz="6" w:space="0" w:color="auto"/>
              <w:bottom w:val="nil"/>
              <w:right w:val="single" w:sz="6" w:space="0" w:color="auto"/>
            </w:tcBorders>
          </w:tcPr>
          <w:p w14:paraId="451AC5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том числе:</w:t>
            </w:r>
          </w:p>
          <w:p w14:paraId="2F0A1F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326132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Т-34-85 с РСБ</w:t>
            </w:r>
          </w:p>
          <w:p w14:paraId="55ECBF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nil"/>
              <w:right w:val="single" w:sz="6" w:space="0" w:color="auto"/>
            </w:tcBorders>
          </w:tcPr>
          <w:p w14:paraId="767AFA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66DA5D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2490E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p w14:paraId="27BCC9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nil"/>
              <w:right w:val="single" w:sz="6" w:space="0" w:color="auto"/>
            </w:tcBorders>
          </w:tcPr>
          <w:p w14:paraId="10962D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p w14:paraId="6C4BA1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nil"/>
              <w:right w:val="single" w:sz="6" w:space="0" w:color="auto"/>
            </w:tcBorders>
          </w:tcPr>
          <w:p w14:paraId="2C70E1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p w14:paraId="019070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1D40F5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601C9A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nil"/>
              <w:right w:val="single" w:sz="6" w:space="0" w:color="auto"/>
            </w:tcBorders>
          </w:tcPr>
          <w:p w14:paraId="4464CF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8285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B71325F" w14:textId="77777777">
        <w:trPr>
          <w:trHeight w:val="211"/>
        </w:trPr>
        <w:tc>
          <w:tcPr>
            <w:tcW w:w="1286" w:type="dxa"/>
            <w:tcBorders>
              <w:top w:val="nil"/>
              <w:left w:val="single" w:sz="6" w:space="0" w:color="auto"/>
              <w:bottom w:val="nil"/>
              <w:right w:val="single" w:sz="6" w:space="0" w:color="auto"/>
            </w:tcBorders>
          </w:tcPr>
          <w:p w14:paraId="5CA6BE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№174</w:t>
            </w:r>
          </w:p>
          <w:p w14:paraId="03F7EF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59BB4E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01B6E0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nil"/>
              <w:right w:val="single" w:sz="6" w:space="0" w:color="auto"/>
            </w:tcBorders>
          </w:tcPr>
          <w:p w14:paraId="5FBEEA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550</w:t>
            </w:r>
          </w:p>
          <w:p w14:paraId="3A25FA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5E1806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640</w:t>
            </w:r>
          </w:p>
          <w:p w14:paraId="5ABB63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nil"/>
              <w:right w:val="single" w:sz="6" w:space="0" w:color="auto"/>
            </w:tcBorders>
          </w:tcPr>
          <w:p w14:paraId="61E538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31C41A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nil"/>
              <w:right w:val="single" w:sz="6" w:space="0" w:color="auto"/>
            </w:tcBorders>
          </w:tcPr>
          <w:p w14:paraId="4B4AEF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w:t>
            </w:r>
          </w:p>
          <w:p w14:paraId="14C7CC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4FEAE1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230</w:t>
            </w:r>
          </w:p>
          <w:p w14:paraId="00CAF4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nil"/>
              <w:right w:val="single" w:sz="6" w:space="0" w:color="auto"/>
            </w:tcBorders>
          </w:tcPr>
          <w:p w14:paraId="051A1E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0BBD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89E23B4" w14:textId="77777777">
        <w:trPr>
          <w:trHeight w:val="202"/>
        </w:trPr>
        <w:tc>
          <w:tcPr>
            <w:tcW w:w="1286" w:type="dxa"/>
            <w:tcBorders>
              <w:top w:val="nil"/>
              <w:left w:val="single" w:sz="6" w:space="0" w:color="auto"/>
              <w:bottom w:val="nil"/>
              <w:right w:val="single" w:sz="6" w:space="0" w:color="auto"/>
            </w:tcBorders>
          </w:tcPr>
          <w:p w14:paraId="60A625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том числе:</w:t>
            </w:r>
          </w:p>
          <w:p w14:paraId="60F79C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164706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Т-034</w:t>
            </w:r>
          </w:p>
          <w:p w14:paraId="3DDC54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nil"/>
              <w:right w:val="single" w:sz="6" w:space="0" w:color="auto"/>
            </w:tcBorders>
          </w:tcPr>
          <w:p w14:paraId="48A508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75+75</w:t>
            </w:r>
          </w:p>
          <w:p w14:paraId="7E4BCC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3D00F9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225</w:t>
            </w:r>
          </w:p>
          <w:p w14:paraId="6973BB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nil"/>
              <w:right w:val="single" w:sz="6" w:space="0" w:color="auto"/>
            </w:tcBorders>
          </w:tcPr>
          <w:p w14:paraId="17EEAB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3A3045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nil"/>
              <w:right w:val="single" w:sz="6" w:space="0" w:color="auto"/>
            </w:tcBorders>
          </w:tcPr>
          <w:p w14:paraId="68EFEC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576214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68ADAD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69F5A5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nil"/>
              <w:right w:val="single" w:sz="6" w:space="0" w:color="auto"/>
            </w:tcBorders>
          </w:tcPr>
          <w:p w14:paraId="0FCCA2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сентябре Т-034-85</w:t>
            </w:r>
          </w:p>
          <w:p w14:paraId="3883F0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4EF6285" w14:textId="77777777">
        <w:trPr>
          <w:trHeight w:val="202"/>
        </w:trPr>
        <w:tc>
          <w:tcPr>
            <w:tcW w:w="1286" w:type="dxa"/>
            <w:tcBorders>
              <w:top w:val="nil"/>
              <w:left w:val="single" w:sz="6" w:space="0" w:color="auto"/>
              <w:bottom w:val="nil"/>
              <w:right w:val="single" w:sz="6" w:space="0" w:color="auto"/>
            </w:tcBorders>
          </w:tcPr>
          <w:p w14:paraId="25CC94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6C79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4074B9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Т-34-85"</w:t>
            </w:r>
          </w:p>
          <w:p w14:paraId="58EE42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nil"/>
              <w:right w:val="single" w:sz="6" w:space="0" w:color="auto"/>
            </w:tcBorders>
          </w:tcPr>
          <w:p w14:paraId="4782FE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p w14:paraId="077552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3AF30D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355</w:t>
            </w:r>
          </w:p>
          <w:p w14:paraId="1952F0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nil"/>
              <w:right w:val="single" w:sz="6" w:space="0" w:color="auto"/>
            </w:tcBorders>
          </w:tcPr>
          <w:p w14:paraId="1DE65B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p w14:paraId="295615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nil"/>
              <w:right w:val="single" w:sz="6" w:space="0" w:color="auto"/>
            </w:tcBorders>
          </w:tcPr>
          <w:p w14:paraId="6673F8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w:t>
            </w:r>
          </w:p>
          <w:p w14:paraId="0A1FD4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022E3A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155</w:t>
            </w:r>
          </w:p>
          <w:p w14:paraId="4276CD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nil"/>
              <w:right w:val="single" w:sz="6" w:space="0" w:color="auto"/>
            </w:tcBorders>
          </w:tcPr>
          <w:p w14:paraId="62AB50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НКГП 236с</w:t>
            </w:r>
          </w:p>
          <w:p w14:paraId="612C20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10B2EF3" w14:textId="77777777">
        <w:trPr>
          <w:trHeight w:val="250"/>
        </w:trPr>
        <w:tc>
          <w:tcPr>
            <w:tcW w:w="1286" w:type="dxa"/>
            <w:tcBorders>
              <w:top w:val="nil"/>
              <w:left w:val="single" w:sz="6" w:space="0" w:color="auto"/>
              <w:bottom w:val="single" w:sz="6" w:space="0" w:color="auto"/>
              <w:right w:val="single" w:sz="6" w:space="0" w:color="auto"/>
            </w:tcBorders>
          </w:tcPr>
          <w:p w14:paraId="1EA36C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Уралмашзавод</w:t>
            </w:r>
          </w:p>
          <w:p w14:paraId="7E9757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single" w:sz="6" w:space="0" w:color="auto"/>
              <w:right w:val="single" w:sz="6" w:space="0" w:color="auto"/>
            </w:tcBorders>
          </w:tcPr>
          <w:p w14:paraId="0F0A96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СУ-85</w:t>
            </w:r>
          </w:p>
          <w:p w14:paraId="2438ED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single" w:sz="6" w:space="0" w:color="auto"/>
              <w:right w:val="single" w:sz="6" w:space="0" w:color="auto"/>
            </w:tcBorders>
          </w:tcPr>
          <w:p w14:paraId="3700BE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615</w:t>
            </w:r>
          </w:p>
          <w:p w14:paraId="329681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single" w:sz="6" w:space="0" w:color="auto"/>
              <w:right w:val="single" w:sz="6" w:space="0" w:color="auto"/>
            </w:tcBorders>
          </w:tcPr>
          <w:p w14:paraId="52FB17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645</w:t>
            </w:r>
          </w:p>
          <w:p w14:paraId="05C946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single" w:sz="6" w:space="0" w:color="auto"/>
              <w:right w:val="single" w:sz="6" w:space="0" w:color="auto"/>
            </w:tcBorders>
          </w:tcPr>
          <w:p w14:paraId="15A2B5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w:t>
            </w:r>
          </w:p>
          <w:p w14:paraId="1E0E6C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single" w:sz="6" w:space="0" w:color="auto"/>
              <w:right w:val="single" w:sz="6" w:space="0" w:color="auto"/>
            </w:tcBorders>
          </w:tcPr>
          <w:p w14:paraId="2A6FBC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215</w:t>
            </w:r>
          </w:p>
          <w:p w14:paraId="1B9D5D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7F15C3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w:t>
            </w:r>
          </w:p>
          <w:p w14:paraId="00F2AE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single" w:sz="6" w:space="0" w:color="auto"/>
              <w:right w:val="single" w:sz="6" w:space="0" w:color="auto"/>
            </w:tcBorders>
          </w:tcPr>
          <w:p w14:paraId="790C08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15.04. 1944 г.</w:t>
            </w:r>
          </w:p>
          <w:p w14:paraId="5DAB55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203A892" w14:textId="77777777">
        <w:trPr>
          <w:trHeight w:val="240"/>
        </w:trPr>
        <w:tc>
          <w:tcPr>
            <w:tcW w:w="2380" w:type="dxa"/>
            <w:gridSpan w:val="2"/>
            <w:tcBorders>
              <w:top w:val="single" w:sz="6" w:space="0" w:color="auto"/>
              <w:left w:val="single" w:sz="6" w:space="0" w:color="auto"/>
              <w:bottom w:val="single" w:sz="6" w:space="0" w:color="auto"/>
              <w:right w:val="single" w:sz="6" w:space="0" w:color="auto"/>
            </w:tcBorders>
          </w:tcPr>
          <w:p w14:paraId="7514E4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Средних танков и СУ</w:t>
            </w:r>
          </w:p>
          <w:p w14:paraId="3D87A8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184CB6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4175</w:t>
            </w:r>
          </w:p>
          <w:p w14:paraId="51FB43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F482C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4445</w:t>
            </w:r>
          </w:p>
          <w:p w14:paraId="7EE7CD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DB83F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1450</w:t>
            </w:r>
          </w:p>
          <w:p w14:paraId="406CA6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331CA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1480</w:t>
            </w:r>
          </w:p>
          <w:p w14:paraId="4824ED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BC364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1515</w:t>
            </w:r>
          </w:p>
          <w:p w14:paraId="21EDC8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3A2668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7964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C1AC1E2" w14:textId="77777777">
        <w:trPr>
          <w:trHeight w:val="202"/>
        </w:trPr>
        <w:tc>
          <w:tcPr>
            <w:tcW w:w="1286" w:type="dxa"/>
            <w:tcBorders>
              <w:top w:val="single" w:sz="6" w:space="0" w:color="auto"/>
              <w:left w:val="single" w:sz="6" w:space="0" w:color="auto"/>
              <w:bottom w:val="nil"/>
              <w:right w:val="single" w:sz="6" w:space="0" w:color="auto"/>
            </w:tcBorders>
          </w:tcPr>
          <w:p w14:paraId="2166CD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№38</w:t>
            </w:r>
          </w:p>
          <w:p w14:paraId="7FECF0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nil"/>
              <w:right w:val="single" w:sz="6" w:space="0" w:color="auto"/>
            </w:tcBorders>
          </w:tcPr>
          <w:p w14:paraId="3FDE3C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СУ-76</w:t>
            </w:r>
          </w:p>
          <w:p w14:paraId="4BCEEF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nil"/>
              <w:right w:val="single" w:sz="6" w:space="0" w:color="auto"/>
            </w:tcBorders>
          </w:tcPr>
          <w:p w14:paraId="5CBDF4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525</w:t>
            </w:r>
          </w:p>
          <w:p w14:paraId="7E55A7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nil"/>
              <w:right w:val="single" w:sz="6" w:space="0" w:color="auto"/>
            </w:tcBorders>
          </w:tcPr>
          <w:p w14:paraId="371046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673B5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nil"/>
              <w:right w:val="single" w:sz="6" w:space="0" w:color="auto"/>
            </w:tcBorders>
          </w:tcPr>
          <w:p w14:paraId="1FFF71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5B0AC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nil"/>
              <w:right w:val="single" w:sz="6" w:space="0" w:color="auto"/>
            </w:tcBorders>
          </w:tcPr>
          <w:p w14:paraId="05E72A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04FF3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662DAE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19F26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nil"/>
              <w:right w:val="single" w:sz="6" w:space="0" w:color="auto"/>
            </w:tcBorders>
          </w:tcPr>
          <w:p w14:paraId="51A27E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DE66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8FF5F8D" w14:textId="77777777">
        <w:trPr>
          <w:trHeight w:val="192"/>
        </w:trPr>
        <w:tc>
          <w:tcPr>
            <w:tcW w:w="1286" w:type="dxa"/>
            <w:tcBorders>
              <w:top w:val="nil"/>
              <w:left w:val="single" w:sz="6" w:space="0" w:color="auto"/>
              <w:bottom w:val="nil"/>
              <w:right w:val="single" w:sz="6" w:space="0" w:color="auto"/>
            </w:tcBorders>
          </w:tcPr>
          <w:p w14:paraId="198CB4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№40</w:t>
            </w:r>
          </w:p>
          <w:p w14:paraId="4600CA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276D38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СУ-76</w:t>
            </w:r>
          </w:p>
          <w:p w14:paraId="240A45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nil"/>
              <w:right w:val="single" w:sz="6" w:space="0" w:color="auto"/>
            </w:tcBorders>
          </w:tcPr>
          <w:p w14:paraId="391235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260</w:t>
            </w:r>
          </w:p>
          <w:p w14:paraId="0A8DF5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0306A1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385</w:t>
            </w:r>
          </w:p>
          <w:p w14:paraId="306F3C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nil"/>
              <w:right w:val="single" w:sz="6" w:space="0" w:color="auto"/>
            </w:tcBorders>
          </w:tcPr>
          <w:p w14:paraId="3663F0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w:t>
            </w:r>
          </w:p>
          <w:p w14:paraId="3316D5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nil"/>
              <w:right w:val="single" w:sz="6" w:space="0" w:color="auto"/>
            </w:tcBorders>
          </w:tcPr>
          <w:p w14:paraId="0E05B5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w:t>
            </w:r>
          </w:p>
          <w:p w14:paraId="0C0AE4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18ED2C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w:t>
            </w:r>
          </w:p>
          <w:p w14:paraId="5DD17C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nil"/>
              <w:right w:val="single" w:sz="6" w:space="0" w:color="auto"/>
            </w:tcBorders>
          </w:tcPr>
          <w:p w14:paraId="48B15F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9DBA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1EAAAD8" w14:textId="77777777">
        <w:trPr>
          <w:trHeight w:val="202"/>
        </w:trPr>
        <w:tc>
          <w:tcPr>
            <w:tcW w:w="1286" w:type="dxa"/>
            <w:tcBorders>
              <w:top w:val="nil"/>
              <w:left w:val="single" w:sz="6" w:space="0" w:color="auto"/>
              <w:bottom w:val="nil"/>
              <w:right w:val="single" w:sz="6" w:space="0" w:color="auto"/>
            </w:tcBorders>
          </w:tcPr>
          <w:p w14:paraId="58017B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ГАЗ им. Молотоеа</w:t>
            </w:r>
          </w:p>
          <w:p w14:paraId="4BE962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5361DD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СУ-76</w:t>
            </w:r>
          </w:p>
          <w:p w14:paraId="6C723A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nil"/>
              <w:right w:val="single" w:sz="6" w:space="0" w:color="auto"/>
            </w:tcBorders>
          </w:tcPr>
          <w:p w14:paraId="754737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1100"</w:t>
            </w:r>
          </w:p>
          <w:p w14:paraId="483644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64DF12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w:t>
            </w:r>
          </w:p>
          <w:p w14:paraId="5CD4B0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nil"/>
              <w:right w:val="single" w:sz="6" w:space="0" w:color="auto"/>
            </w:tcBorders>
          </w:tcPr>
          <w:p w14:paraId="667B8B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2CA1BE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nil"/>
              <w:right w:val="single" w:sz="6" w:space="0" w:color="auto"/>
            </w:tcBorders>
          </w:tcPr>
          <w:p w14:paraId="5404DB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5967A0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7783D2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173B70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nil"/>
              <w:right w:val="single" w:sz="6" w:space="0" w:color="auto"/>
            </w:tcBorders>
          </w:tcPr>
          <w:p w14:paraId="5E611A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Вт. ч. дляНКМВФ15шт.</w:t>
            </w:r>
          </w:p>
          <w:p w14:paraId="4E4401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37DA785" w14:textId="77777777">
        <w:trPr>
          <w:trHeight w:val="192"/>
        </w:trPr>
        <w:tc>
          <w:tcPr>
            <w:tcW w:w="1286" w:type="dxa"/>
            <w:tcBorders>
              <w:top w:val="nil"/>
              <w:left w:val="single" w:sz="6" w:space="0" w:color="auto"/>
              <w:bottom w:val="nil"/>
              <w:right w:val="single" w:sz="6" w:space="0" w:color="auto"/>
            </w:tcBorders>
          </w:tcPr>
          <w:p w14:paraId="42A8F1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665868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68B67E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СУ-76</w:t>
            </w:r>
          </w:p>
          <w:p w14:paraId="3C0E10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nil"/>
              <w:right w:val="single" w:sz="6" w:space="0" w:color="auto"/>
            </w:tcBorders>
          </w:tcPr>
          <w:p w14:paraId="02A110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1885</w:t>
            </w:r>
          </w:p>
          <w:p w14:paraId="77F8B1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1ABF58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1885</w:t>
            </w:r>
          </w:p>
          <w:p w14:paraId="39BF33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nil"/>
              <w:right w:val="single" w:sz="6" w:space="0" w:color="auto"/>
            </w:tcBorders>
          </w:tcPr>
          <w:p w14:paraId="77278C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625</w:t>
            </w:r>
          </w:p>
          <w:p w14:paraId="434E32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nil"/>
              <w:right w:val="single" w:sz="6" w:space="0" w:color="auto"/>
            </w:tcBorders>
          </w:tcPr>
          <w:p w14:paraId="29FFD9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630</w:t>
            </w:r>
          </w:p>
          <w:p w14:paraId="5737E9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16F54D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630</w:t>
            </w:r>
          </w:p>
          <w:p w14:paraId="5BB2B7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nil"/>
              <w:right w:val="single" w:sz="6" w:space="0" w:color="auto"/>
            </w:tcBorders>
          </w:tcPr>
          <w:p w14:paraId="722449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2C67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05C23E6" w14:textId="77777777">
        <w:trPr>
          <w:trHeight w:val="192"/>
        </w:trPr>
        <w:tc>
          <w:tcPr>
            <w:tcW w:w="1286" w:type="dxa"/>
            <w:tcBorders>
              <w:top w:val="nil"/>
              <w:left w:val="single" w:sz="6" w:space="0" w:color="auto"/>
              <w:bottom w:val="nil"/>
              <w:right w:val="single" w:sz="6" w:space="0" w:color="auto"/>
            </w:tcBorders>
          </w:tcPr>
          <w:p w14:paraId="469072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 танков</w:t>
            </w:r>
          </w:p>
          <w:p w14:paraId="2E7C18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nil"/>
              <w:right w:val="single" w:sz="6" w:space="0" w:color="auto"/>
            </w:tcBorders>
          </w:tcPr>
          <w:p w14:paraId="69CE88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5AF8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nil"/>
              <w:right w:val="single" w:sz="6" w:space="0" w:color="auto"/>
            </w:tcBorders>
          </w:tcPr>
          <w:p w14:paraId="440D51E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4085</w:t>
            </w:r>
          </w:p>
          <w:p w14:paraId="4E0CCE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nil"/>
              <w:right w:val="single" w:sz="6" w:space="0" w:color="auto"/>
            </w:tcBorders>
          </w:tcPr>
          <w:p w14:paraId="5C4DC5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4475</w:t>
            </w:r>
          </w:p>
          <w:p w14:paraId="2E96DC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nil"/>
              <w:right w:val="single" w:sz="6" w:space="0" w:color="auto"/>
            </w:tcBorders>
          </w:tcPr>
          <w:p w14:paraId="6C9A2B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1465</w:t>
            </w:r>
          </w:p>
          <w:p w14:paraId="7170B9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nil"/>
              <w:right w:val="single" w:sz="6" w:space="0" w:color="auto"/>
            </w:tcBorders>
          </w:tcPr>
          <w:p w14:paraId="0C8952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1490</w:t>
            </w:r>
          </w:p>
          <w:p w14:paraId="0B27E02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13CEA2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1520</w:t>
            </w:r>
          </w:p>
          <w:p w14:paraId="793A88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nil"/>
              <w:right w:val="single" w:sz="6" w:space="0" w:color="auto"/>
            </w:tcBorders>
          </w:tcPr>
          <w:p w14:paraId="55A543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11A7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AFE8974" w14:textId="77777777">
        <w:trPr>
          <w:trHeight w:val="202"/>
        </w:trPr>
        <w:tc>
          <w:tcPr>
            <w:tcW w:w="1286" w:type="dxa"/>
            <w:tcBorders>
              <w:top w:val="nil"/>
              <w:left w:val="single" w:sz="6" w:space="0" w:color="auto"/>
              <w:bottom w:val="single" w:sz="6" w:space="0" w:color="auto"/>
              <w:right w:val="single" w:sz="6" w:space="0" w:color="auto"/>
            </w:tcBorders>
          </w:tcPr>
          <w:p w14:paraId="69D9F1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 СУ</w:t>
            </w:r>
          </w:p>
          <w:p w14:paraId="6905C4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single" w:sz="6" w:space="0" w:color="auto"/>
              <w:right w:val="single" w:sz="6" w:space="0" w:color="auto"/>
            </w:tcBorders>
          </w:tcPr>
          <w:p w14:paraId="1D4E89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FC15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nil"/>
              <w:left w:val="single" w:sz="6" w:space="0" w:color="auto"/>
              <w:bottom w:val="single" w:sz="6" w:space="0" w:color="auto"/>
              <w:right w:val="single" w:sz="6" w:space="0" w:color="auto"/>
            </w:tcBorders>
          </w:tcPr>
          <w:p w14:paraId="29E06A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3175</w:t>
            </w:r>
          </w:p>
          <w:p w14:paraId="216D08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single" w:sz="6" w:space="0" w:color="auto"/>
              <w:right w:val="single" w:sz="6" w:space="0" w:color="auto"/>
            </w:tcBorders>
          </w:tcPr>
          <w:p w14:paraId="6EE9C1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3355</w:t>
            </w:r>
          </w:p>
          <w:p w14:paraId="18A0D0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nil"/>
              <w:left w:val="single" w:sz="6" w:space="0" w:color="auto"/>
              <w:bottom w:val="single" w:sz="6" w:space="0" w:color="auto"/>
              <w:right w:val="single" w:sz="6" w:space="0" w:color="auto"/>
            </w:tcBorders>
          </w:tcPr>
          <w:p w14:paraId="6C6E1C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1110</w:t>
            </w:r>
          </w:p>
          <w:p w14:paraId="57453B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nil"/>
              <w:left w:val="single" w:sz="6" w:space="0" w:color="auto"/>
              <w:bottom w:val="single" w:sz="6" w:space="0" w:color="auto"/>
              <w:right w:val="single" w:sz="6" w:space="0" w:color="auto"/>
            </w:tcBorders>
          </w:tcPr>
          <w:p w14:paraId="160C00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1120</w:t>
            </w:r>
          </w:p>
          <w:p w14:paraId="657AFC0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3A2332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1125</w:t>
            </w:r>
          </w:p>
          <w:p w14:paraId="735119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nil"/>
              <w:left w:val="single" w:sz="6" w:space="0" w:color="auto"/>
              <w:bottom w:val="single" w:sz="6" w:space="0" w:color="auto"/>
              <w:right w:val="single" w:sz="6" w:space="0" w:color="auto"/>
            </w:tcBorders>
          </w:tcPr>
          <w:p w14:paraId="095477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6D7A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8B01973" w14:textId="77777777">
        <w:trPr>
          <w:trHeight w:val="250"/>
        </w:trPr>
        <w:tc>
          <w:tcPr>
            <w:tcW w:w="2380" w:type="dxa"/>
            <w:gridSpan w:val="2"/>
            <w:tcBorders>
              <w:top w:val="single" w:sz="6" w:space="0" w:color="auto"/>
              <w:left w:val="single" w:sz="6" w:space="0" w:color="auto"/>
              <w:bottom w:val="single" w:sz="6" w:space="0" w:color="auto"/>
              <w:right w:val="single" w:sz="6" w:space="0" w:color="auto"/>
            </w:tcBorders>
          </w:tcPr>
          <w:p w14:paraId="41EC09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 танков и СУ</w:t>
            </w:r>
          </w:p>
          <w:p w14:paraId="173620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127DA8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7260</w:t>
            </w:r>
          </w:p>
          <w:p w14:paraId="79B079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23250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7830</w:t>
            </w:r>
          </w:p>
          <w:p w14:paraId="5F55D4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7ABBA5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2575</w:t>
            </w:r>
          </w:p>
          <w:p w14:paraId="0BB663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F0744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2610</w:t>
            </w:r>
          </w:p>
          <w:p w14:paraId="04E976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B7016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2645</w:t>
            </w:r>
          </w:p>
          <w:p w14:paraId="660F7E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7B66CA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7821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6CD2E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1 отдела ТУ ГБТУ КА инженер-подполковник Егоров</w:t>
      </w:r>
    </w:p>
    <w:p w14:paraId="487B5A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1 отдела УСА ГБТУ КА инженер-подполковник Лепендин</w:t>
      </w:r>
    </w:p>
    <w:p w14:paraId="3F4AC15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11355а. Д. 361д. Л. 92. Подлинник (11420).</w:t>
      </w:r>
    </w:p>
    <w:p w14:paraId="31E87B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EC493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 июня 1944 г. Московским вагоно</w:t>
      </w:r>
      <w:r w:rsidRPr="00070ADE">
        <w:rPr>
          <w:rFonts w:ascii="Times New Roman" w:hAnsi="Times New Roman"/>
          <w:color w:val="000000" w:themeColor="text1"/>
          <w:sz w:val="16"/>
          <w:szCs w:val="16"/>
        </w:rPr>
        <w:softHyphen/>
        <w:t>ремонтном заводом им. Войтовича было переоборудова</w:t>
      </w:r>
      <w:r w:rsidRPr="00070ADE">
        <w:rPr>
          <w:rFonts w:ascii="Times New Roman" w:hAnsi="Times New Roman"/>
          <w:color w:val="000000" w:themeColor="text1"/>
          <w:sz w:val="16"/>
          <w:szCs w:val="16"/>
        </w:rPr>
        <w:softHyphen/>
        <w:t>но 15 бронеавтомобилей БА-64Б. В дальнейшем завод им. Войтовича осуществлял мелкосерийное переоборудование БА-64Б на железнодо</w:t>
      </w:r>
      <w:r w:rsidRPr="00070ADE">
        <w:rPr>
          <w:rFonts w:ascii="Times New Roman" w:hAnsi="Times New Roman"/>
          <w:color w:val="000000" w:themeColor="text1"/>
          <w:sz w:val="16"/>
          <w:szCs w:val="16"/>
        </w:rPr>
        <w:softHyphen/>
        <w:t>рожный ход. Бронеавтомобили БА-64Б ж-д использовались на фронтах Великой Отечественной войны в составе бронепоездов в качестве бро</w:t>
      </w:r>
      <w:r w:rsidRPr="00070ADE">
        <w:rPr>
          <w:rFonts w:ascii="Times New Roman" w:hAnsi="Times New Roman"/>
          <w:color w:val="000000" w:themeColor="text1"/>
          <w:sz w:val="16"/>
          <w:szCs w:val="16"/>
        </w:rPr>
        <w:softHyphen/>
        <w:t>недрезин для ведения разведки. Боевые и технические характеристики машины были сохранены на уровне характеристик серийного образца бронеавтомобиля БА-64Б (10703).</w:t>
      </w:r>
    </w:p>
    <w:p w14:paraId="165BC5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B4D9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июня 1944 года в резерве командующе</w:t>
      </w:r>
      <w:r w:rsidRPr="00070ADE">
        <w:rPr>
          <w:rFonts w:ascii="Times New Roman" w:hAnsi="Times New Roman"/>
          <w:color w:val="000000" w:themeColor="text1"/>
          <w:sz w:val="16"/>
          <w:szCs w:val="16"/>
        </w:rPr>
        <w:softHyphen/>
        <w:t>го бронетанковыми и механизированными войсками Ле</w:t>
      </w:r>
      <w:r w:rsidRPr="00070ADE">
        <w:rPr>
          <w:rFonts w:ascii="Times New Roman" w:hAnsi="Times New Roman"/>
          <w:color w:val="000000" w:themeColor="text1"/>
          <w:sz w:val="16"/>
          <w:szCs w:val="16"/>
        </w:rPr>
        <w:softHyphen/>
        <w:t>нинградского фронта числилось: «БА-10 — 6 (в командировке), БА-20 — 1, Т-50 — 1, БА-10 ЗИС-5 — 2 (в командировке)» (11284).</w:t>
      </w:r>
    </w:p>
    <w:p w14:paraId="0A0AE1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77A97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вышло Постановление ГКО № 5974 О восстановлении Перекопского и Сакского бромных заводов Наркомхимпрома. РГАНИР, Фонд ГКО, д. 257, лл. 176-178 (11012).</w:t>
      </w:r>
    </w:p>
    <w:p w14:paraId="2FADB01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5487A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вышло Постановление ГКО № 5975 Об изготовлении опытного образца электромагнитного трала. РГАНИР, Фонд ГКО, д. 257, лл. 179-180 (11012).</w:t>
      </w:r>
    </w:p>
    <w:p w14:paraId="38A1C9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1B6F61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вышло Постановление ГКО № 5976 О фондах по автобензину на июнь 1944 г. (7236, 181,182-187).</w:t>
      </w:r>
    </w:p>
    <w:p w14:paraId="530C7DA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3CE4E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Закончены государственные сдаточные испытания головного стотонника, построенного на Петрозаводе. Спущен на воду 15-й МБК, в постройке находилось 7 МБК (10671).</w:t>
      </w:r>
    </w:p>
    <w:p w14:paraId="38255F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CD0BAC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3E9A7A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66C745"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июня</w:t>
      </w:r>
      <w:r w:rsidRPr="00070ADE">
        <w:rPr>
          <w:rFonts w:ascii="Times New Roman" w:hAnsi="Times New Roman"/>
          <w:color w:val="000000" w:themeColor="text1"/>
          <w:sz w:val="16"/>
          <w:szCs w:val="16"/>
        </w:rPr>
        <w:t xml:space="preserve"> в 1944 году оперативная сводка Совинформбюро:</w:t>
      </w:r>
    </w:p>
    <w:p w14:paraId="4CF77B01"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 июня в районе севернее Яссы наши войска успешно отбили все атаки пехоты и танков противника. По предварительным данным, за день боя наши войска уничтожили 18 немецких танков и 15 самолётов.</w:t>
      </w:r>
    </w:p>
    <w:p w14:paraId="4D36C681"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уточнённым данным, в районе севернее Яссы за два дня боёв, 30 и 31 мая, наши войска подбили и уничтожили 148 немецких танков. В воздушных боях и огнём зенитной артиллерии сбито 197 самолётов противника.</w:t>
      </w:r>
    </w:p>
    <w:p w14:paraId="496A2758"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остальных участках фронта — без существенных изменений.</w:t>
      </w:r>
    </w:p>
    <w:p w14:paraId="087424B4"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31 мая наши войска на всех фронтах подбили и уничтожили 56 немецких танков. В воздушных боях и огнём зенитной артиллерии сбито 110 самолётов противника.</w:t>
      </w:r>
    </w:p>
    <w:p w14:paraId="6AB0B6AD"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города Яссы наши войска продолжали вести ожесточённые бои с крупными силами танков и пехоты противника. Советские части артиллерийско-миномётным и пулемётным огнём отбили все атаки немцев. На отдельных участках советские танки и пехота предприняли несколько успешных контратак. Бойцы Н-ской части отбили одну за другой три атаки гитлеровцев. На поле боя осталось до 800 вражеских трупов, 17 сгоревших танков и 5 бронетранспортёров противника. На другом участке полк румынской пехоты атаковал наши позиции. Советские бойцы, измотав наступавшего противника, перешли в контратаку. Румыны не выдержали удара и обратились в бегство. Их встретил огнём из автоматов и пулемётов немецкий заградительный отряд. Сотни румын погибли от немецких пуль.</w:t>
      </w:r>
    </w:p>
    <w:p w14:paraId="185CE7E9"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батальон немецкой пехоты при поддержке танков атаковал наши позиции. После двухчасового боя, неоднократно переходившего в рукопашные схватки, противник был отброшен. Артиллерийским огнём подбито 6 немецких танков. На поле боя осталось более 100 трупов вражеских солдат и офицеров.</w:t>
      </w:r>
    </w:p>
    <w:p w14:paraId="3F39A00C"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Тирасполь артиллеристы и миномётчики Н-ского соединения вели огонь по обнаруженным целям в расположении противника. Уничтожено 5 немецких орудий и 8 пулемётных точек.</w:t>
      </w:r>
    </w:p>
    <w:p w14:paraId="20BDD45D"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Снайперы одного нашего подразделения за пять дней истребили 30 немецких солдат и офицеров. Рядовой Мельников убил 13 гитлеровцев, снайпер Левадный — 5, снайпер Зинаида Архипова уничтожила 4 немцев.</w:t>
      </w:r>
    </w:p>
    <w:p w14:paraId="2D88ABC2"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Витебск разведчики лейтенанта Рябова днём ворвались в траншеи противника. Ошеломлённые внезапным налётом, немцы не сумели оказать сопротивления. Наши бойцы огнём из автоматов уничтожили группу гитлеровцев и, захватив пленного, вернулись в свою часть. Группа снайперов во главе с гвардии старшиной Сметнёвым за три дня, находясь в засаде, истребила 14 немцев. Молодой снайпер т. Данилов убил 4 немецких солдата, снайперы тт. Камынин и Шеретнев уничтожили по два немца каждый.</w:t>
      </w:r>
    </w:p>
    <w:p w14:paraId="6F31FF40"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Группа латвийских партизан из отряда «Лачплесис» напала на автоколонну немцев, направлявшуюся к линии фронта. Огнём из автоматов и ручного пулемёта советские патриоты подожгли легковую автомашину и убили находившихся в ней трёх немецких офицеров. В завязавшейся затем перестрелке с противником уничтожено 15 немецких солдат. Латвийский партизанский отряд «Виестурс» за три дня пустил под откос 4 немецких воинских эшелона. В результате действий партизан движение поездов на важном участке железной дороги было прекращено на пять суток.</w:t>
      </w:r>
    </w:p>
    <w:p w14:paraId="6C1A28EB"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одном участке 2 Украинского фронта взят в плен унтер-офицер 512 полка 293 немецкой пехотной дивизии Вальтер Фатернамм. Пленный — фашист, матёрый головорез и палач с большим стажем. Как установлено, Фатернамм в 1937 году поступил на службу в гестапо и руководил отделением по выявлению неблагонадёжных в районе Александерплац (Берлин). По его доносам был замучен рабочий завода «Телефункен» Фриц Шульце, проживавший в Берлине — Целендорф, Паулюсштрассе 25, — рабочий Пауль Гизе, проживавший в Нойкельне по Иоганн-штрассе 23/3, и многие другие. Попав на советско-германский фронт, Фатернамм продолжал работать в гестапо, предавая солдат, которые высказывались против войны.</w:t>
      </w:r>
    </w:p>
    <w:p w14:paraId="42A0A426" w14:textId="77777777" w:rsidR="001E5A47" w:rsidRPr="00070ADE" w:rsidRDefault="001E5A4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Фашистский мерзавец расстрелял многих советских граждан. Этот душегуб не щадил ни стариков, ни женщин, ни детей. На допросе он показал: «При отступлении из района Орла мы подожгли деревню Александровка и приказали всему населению эвакуироваться на запад. Три крестьянина заявили, что они останутся в сгоревшей деревне и никуда не пойдут. По приказу командира роты капитана Штейнмеца я их пристрелил. В другом месте при отступлении из деревни мы вывели всё гражданское население, включая стариков и детей. По дороге дети начали отставать и некоторые падали. Два малыша, лет четырёх, упали и уже не могли подняться. Капитан Штейнмец приказал пристрелить их, что и было выполнено унтер-офицером Леопольдом. Через некоторое время упало ещё трое ребят. Я получил приказ застрелить этих детей и тут же выполнил этот приказ». Далее Фатернамм припоминает убийства, совершённые им вместе с обер-фельдфебелем Шоерманом, обер-фельдфебелем Райманом, капитаном Райхгюльтом и другими в районе Брянска, в Софиевке, в Терновой Балке, в районе Бобринца и в других местах. Вальтер Фатернамм — это не солдат, а убийца женщин, стариков и детей. Таких мерзавцев мог породить только гитлеровский режим.» (14909).</w:t>
      </w:r>
    </w:p>
    <w:p w14:paraId="27C62B7C" w14:textId="77777777" w:rsidR="001E5A47" w:rsidRPr="00070ADE" w:rsidRDefault="001E5A47" w:rsidP="00B56F90">
      <w:pPr>
        <w:spacing w:after="0" w:line="240" w:lineRule="auto"/>
        <w:jc w:val="both"/>
        <w:rPr>
          <w:rFonts w:ascii="Times New Roman" w:hAnsi="Times New Roman"/>
          <w:color w:val="000000" w:themeColor="text1"/>
          <w:sz w:val="16"/>
          <w:szCs w:val="16"/>
        </w:rPr>
      </w:pPr>
    </w:p>
    <w:p w14:paraId="787EFA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года в Феодосии 36-й полк на "Бостонах" уничтожил 11 судов), но иногда достигались успехи и в открытом море (3457,106).</w:t>
      </w:r>
    </w:p>
    <w:p w14:paraId="3A5091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DD41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командир звена иап ст.л. И.М.Поляков вылетел на перехват разведчика, возвращавшегося из нашего тыла, нагнал его на 8000 м, вступил в бой. расстрелял боеприпасы и таранил, погибнув. Стал ГСС (438,905).</w:t>
      </w:r>
    </w:p>
    <w:p w14:paraId="263753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F7109D"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года советское командование выпустило приказ, согласно которому чехословацкая эскадрилья была преобразована в 1-й чехословацкий автономный истребительный полк. На момент создания он имел две эскадрильи (perute) по десять самолетов и два истребителя штабного звена. Третью эскадрилью предполагалось организовать по прибытии пополнения из Вязников. В конце июня полк все еще базировался в Кубинке и имел на вооружении 22 Ла-5ФН и три поликарповских биплана По-2. Два «Лавочкиных» из первоначального парка 128-й эскадрильи к тому времени уже заменили новыми машинами.</w:t>
      </w:r>
    </w:p>
    <w:p w14:paraId="494542C8"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Начиная с 6 июня и до конца месяца, пилоты полка рвались на фронт. По общему мнению советского и чехословацкого командования, истребительный полк должен был обеспечивать воздушное прикрытие 1-го чехословацкого армейского корпуса, формирование бригад которого в то время завершалось в советском тылу. Поэтому 20 июля 1944 года полк был переведен на аэродром Проскуров, где в это время проходила подготовку 2-я чехословацкая десантная бригада. Полк завершил перебазирование к 22 июля, перегнав в Проскуров все свои Ла-5ФН (По-2 остались в Кубинке). На новом месте подразделение находилось до 7 сентября, когда 1-я эскадрилья во главе с командиром полка перелетела на прифронтовой аэродром Стубно. Четыре дня спустя за ней последовала 2-я эскадрилья, которой командовал надпоручик (лейтенант) Ф. Чабера.</w:t>
      </w:r>
    </w:p>
    <w:p w14:paraId="011FD424"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отдельный истребительный полк вошел в состав 2-ой Воздушной Армии под командованием генерал-полковника Красовского. Подразделение приступило к боевой работе 10 сентября 1944 года, когда пятерка Ла-5ФН отправилась патрулировать по маршруту Стубно — Пршемысл — Кросно — Санок — Пршемысл — Стубно. Пять дней спустя командир полка, его заместитель и оба командира эскадрилий отбыли по приказу Красовского в Словакию, где 29 августа 1944 года началось народное восстание. Они должны были на месте оценить возможность переброски полка на аэродромы, располагавшиеся на территории, контролируемой словацкими патриотами, срочно нуждавшимися в авиационной поддержке.</w:t>
      </w:r>
    </w:p>
    <w:p w14:paraId="3D1A289E"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15 сентября 1944 года в 18:55 по Москве (15:55 по Гринвичу) четыре Ла-5ФН приземлились на аэродроме Три Дуби, их пилоты стали первыми авиаторами сил Свободной Чехословакии, вернувшимися на территорию своей Родины. На следующий день надпоручик Чабера выполнил с этого аэродрома патрульный полет на своем Ла-5ФН б/н 02, а в 11:00 тройка истребителей отправилась в обратный полет. Командир 1-ой эскадрильи надпоручик И. Стехлик остался в Три Дуби из-за </w:t>
      </w:r>
      <w:r w:rsidRPr="00070ADE">
        <w:rPr>
          <w:rFonts w:ascii="Times New Roman" w:hAnsi="Times New Roman"/>
          <w:color w:val="000000" w:themeColor="text1"/>
          <w:sz w:val="16"/>
          <w:szCs w:val="16"/>
        </w:rPr>
        <w:lastRenderedPageBreak/>
        <w:t>ушиба ноги вместе с Ла-5ФН б/н 39 заместителя командира полка штабс-капитана Клана, который поменялся со Стехликом самолетами. В тот же день командир полка доложил генералу Красовскому о положительных результатах «полевой разведки».</w:t>
      </w:r>
    </w:p>
    <w:p w14:paraId="2F951070"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сентября 1944 года 21 Ла-5ФН отправился из Стубно на аэродром Зольна рядом с Зволеном. Во время промежуточной посадки в Кросно поручик Рудольф Боровец случайно убрал шасси своего Ла-5ФН б/н 95, и поврежденную машину пришлось отправить в ремонт. В этот же день оставшиеся двадцать истребителей прибыли в Зольну, а позднее, в 18:55, подпоручик Крута взлетел на перехват вражеского самолета. В послевоенные годы 17 сентября — день прибытия 1-го отдельного истребительного полка в Словакию — отмечался как День чехословацких ВВС (23547).</w:t>
      </w:r>
    </w:p>
    <w:p w14:paraId="04A4723B" w14:textId="77777777" w:rsidR="000D462F" w:rsidRPr="00070ADE" w:rsidRDefault="000D462F" w:rsidP="00B56F90">
      <w:pPr>
        <w:spacing w:after="0" w:line="240" w:lineRule="auto"/>
        <w:jc w:val="both"/>
        <w:rPr>
          <w:rFonts w:ascii="Times New Roman" w:hAnsi="Times New Roman"/>
          <w:color w:val="000000" w:themeColor="text1"/>
          <w:sz w:val="16"/>
          <w:szCs w:val="16"/>
        </w:rPr>
      </w:pPr>
    </w:p>
    <w:p w14:paraId="338E21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июня 1944 группировка “пешек” на ЧФ насчитывала 78 самолетов. Сюда перебросили с Севера 29-й бап, получил пополнение и 40-й бап. Эти полки вместе с 6-м иап на самолетах Як-9 и 43-м иап на "Аэрокобрах" свели в 13-ю Севастопольскую авиадивизию под командованием Героя Советского Союза полковника И.Е. Корзунова. Все они 20 августа 1944 г. приняли участие в массированном ударе по румынской военно-морской базе Констанца. В этот день по кораблям в порту и береговым сооружениям отработали 59 Пе-2; причем все удары выполнялись с пикирования. Основные цели - румынские боевые корабли - "пешки" атаковали шестерками, сбрасывая бомбы по командам ведущего или (когда гавань еще не скрыли клубы дыма и пыли от разрывов) одиночно. По официальным данным ВВС ЧФ, в этот день противник лишился миноносца, подлодки, двух десятков других кораблей и судов. Получили повреждения два эсминца, пять подлодок, вспомогательный крейсер, а также ряд транспортов.</w:t>
      </w:r>
    </w:p>
    <w:p w14:paraId="6EB617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Удар, нанесенный по Констанце, замечателен тем, что в нем участвовала авиадивизия в полном составе из четырех авиаполков (два бап и два иап), следовавшая к цели компактной группой в общем боевом порядке. Над целью самолеты дивизии находились всего 20 мин. Этот удар стал первым опытом применения массированных групп авиации не только в ВВС ЧФ. но и в военно-воздушных силах ВМФ в целом (12042).</w:t>
      </w:r>
    </w:p>
    <w:p w14:paraId="5AC2422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970FA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июня 1944 на флотах:</w:t>
      </w:r>
    </w:p>
    <w:p w14:paraId="2E3C93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Данные о числе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4D4663" w:rsidRPr="00070ADE" w14:paraId="7BB6B811" w14:textId="77777777">
        <w:tc>
          <w:tcPr>
            <w:tcW w:w="1401" w:type="dxa"/>
            <w:tcBorders>
              <w:top w:val="single" w:sz="12" w:space="0" w:color="auto"/>
            </w:tcBorders>
          </w:tcPr>
          <w:p w14:paraId="64EEEA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3C9F3B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1.05.42</w:t>
            </w:r>
          </w:p>
        </w:tc>
        <w:tc>
          <w:tcPr>
            <w:tcW w:w="1401" w:type="dxa"/>
            <w:tcBorders>
              <w:top w:val="single" w:sz="12" w:space="0" w:color="auto"/>
            </w:tcBorders>
          </w:tcPr>
          <w:p w14:paraId="43B3D7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1.07.42</w:t>
            </w:r>
          </w:p>
        </w:tc>
        <w:tc>
          <w:tcPr>
            <w:tcW w:w="1401" w:type="dxa"/>
            <w:tcBorders>
              <w:top w:val="single" w:sz="12" w:space="0" w:color="auto"/>
            </w:tcBorders>
          </w:tcPr>
          <w:p w14:paraId="656185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18.11.42</w:t>
            </w:r>
          </w:p>
        </w:tc>
        <w:tc>
          <w:tcPr>
            <w:tcW w:w="1401" w:type="dxa"/>
            <w:tcBorders>
              <w:top w:val="single" w:sz="12" w:space="0" w:color="auto"/>
            </w:tcBorders>
          </w:tcPr>
          <w:p w14:paraId="693F15B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1.07.43</w:t>
            </w:r>
          </w:p>
        </w:tc>
        <w:tc>
          <w:tcPr>
            <w:tcW w:w="1401" w:type="dxa"/>
            <w:tcBorders>
              <w:top w:val="single" w:sz="12" w:space="0" w:color="auto"/>
            </w:tcBorders>
          </w:tcPr>
          <w:p w14:paraId="34301B4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1.01.44</w:t>
            </w:r>
          </w:p>
        </w:tc>
        <w:tc>
          <w:tcPr>
            <w:tcW w:w="1401" w:type="dxa"/>
            <w:tcBorders>
              <w:top w:val="single" w:sz="12" w:space="0" w:color="auto"/>
            </w:tcBorders>
          </w:tcPr>
          <w:p w14:paraId="3493C6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1.06.44</w:t>
            </w:r>
          </w:p>
        </w:tc>
        <w:tc>
          <w:tcPr>
            <w:tcW w:w="1401" w:type="dxa"/>
            <w:tcBorders>
              <w:top w:val="single" w:sz="12" w:space="0" w:color="auto"/>
            </w:tcBorders>
          </w:tcPr>
          <w:p w14:paraId="243761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1.01.45</w:t>
            </w:r>
          </w:p>
        </w:tc>
      </w:tr>
      <w:tr w:rsidR="004D4663" w:rsidRPr="00070ADE" w14:paraId="385CAD05" w14:textId="77777777">
        <w:tc>
          <w:tcPr>
            <w:tcW w:w="1401" w:type="dxa"/>
          </w:tcPr>
          <w:p w14:paraId="2BC054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ВВС СФ</w:t>
            </w:r>
          </w:p>
        </w:tc>
        <w:tc>
          <w:tcPr>
            <w:tcW w:w="1401" w:type="dxa"/>
          </w:tcPr>
          <w:p w14:paraId="0C84A9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12/3</w:t>
            </w:r>
          </w:p>
        </w:tc>
        <w:tc>
          <w:tcPr>
            <w:tcW w:w="1401" w:type="dxa"/>
          </w:tcPr>
          <w:p w14:paraId="586E5A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w:t>
            </w:r>
          </w:p>
        </w:tc>
        <w:tc>
          <w:tcPr>
            <w:tcW w:w="1401" w:type="dxa"/>
          </w:tcPr>
          <w:p w14:paraId="1C991F8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10/6</w:t>
            </w:r>
          </w:p>
        </w:tc>
        <w:tc>
          <w:tcPr>
            <w:tcW w:w="1401" w:type="dxa"/>
          </w:tcPr>
          <w:p w14:paraId="395B23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1401" w:type="dxa"/>
          </w:tcPr>
          <w:p w14:paraId="786E05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c>
          <w:tcPr>
            <w:tcW w:w="1401" w:type="dxa"/>
          </w:tcPr>
          <w:p w14:paraId="2FC945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w:t>
            </w:r>
          </w:p>
        </w:tc>
        <w:tc>
          <w:tcPr>
            <w:tcW w:w="1401" w:type="dxa"/>
          </w:tcPr>
          <w:p w14:paraId="578585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r>
      <w:tr w:rsidR="004D4663" w:rsidRPr="00070ADE" w14:paraId="2A064CE7" w14:textId="77777777">
        <w:tc>
          <w:tcPr>
            <w:tcW w:w="1401" w:type="dxa"/>
          </w:tcPr>
          <w:p w14:paraId="56666D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ВВС КБФ</w:t>
            </w:r>
          </w:p>
        </w:tc>
        <w:tc>
          <w:tcPr>
            <w:tcW w:w="1401" w:type="dxa"/>
          </w:tcPr>
          <w:p w14:paraId="328031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52/17</w:t>
            </w:r>
          </w:p>
        </w:tc>
        <w:tc>
          <w:tcPr>
            <w:tcW w:w="1401" w:type="dxa"/>
          </w:tcPr>
          <w:p w14:paraId="7B01A6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23/7</w:t>
            </w:r>
          </w:p>
        </w:tc>
        <w:tc>
          <w:tcPr>
            <w:tcW w:w="1401" w:type="dxa"/>
          </w:tcPr>
          <w:p w14:paraId="095ACAB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28/11</w:t>
            </w:r>
          </w:p>
        </w:tc>
        <w:tc>
          <w:tcPr>
            <w:tcW w:w="1401" w:type="dxa"/>
          </w:tcPr>
          <w:p w14:paraId="7B1E9E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21/3</w:t>
            </w:r>
          </w:p>
        </w:tc>
        <w:tc>
          <w:tcPr>
            <w:tcW w:w="1401" w:type="dxa"/>
          </w:tcPr>
          <w:p w14:paraId="60A6EE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w:t>
            </w:r>
          </w:p>
        </w:tc>
        <w:tc>
          <w:tcPr>
            <w:tcW w:w="1401" w:type="dxa"/>
          </w:tcPr>
          <w:p w14:paraId="7F2503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01" w:type="dxa"/>
          </w:tcPr>
          <w:p w14:paraId="4A0E84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89C9EEA" w14:textId="77777777">
        <w:tc>
          <w:tcPr>
            <w:tcW w:w="1401" w:type="dxa"/>
          </w:tcPr>
          <w:p w14:paraId="4EC10D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ВВС ЧФ</w:t>
            </w:r>
          </w:p>
        </w:tc>
        <w:tc>
          <w:tcPr>
            <w:tcW w:w="1401" w:type="dxa"/>
          </w:tcPr>
          <w:p w14:paraId="5F2B762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w:t>
            </w:r>
          </w:p>
        </w:tc>
        <w:tc>
          <w:tcPr>
            <w:tcW w:w="1401" w:type="dxa"/>
          </w:tcPr>
          <w:p w14:paraId="216021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14/8</w:t>
            </w:r>
          </w:p>
        </w:tc>
        <w:tc>
          <w:tcPr>
            <w:tcW w:w="1401" w:type="dxa"/>
          </w:tcPr>
          <w:p w14:paraId="7FF18D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w:t>
            </w:r>
          </w:p>
        </w:tc>
        <w:tc>
          <w:tcPr>
            <w:tcW w:w="1401" w:type="dxa"/>
          </w:tcPr>
          <w:p w14:paraId="70C0FB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w:t>
            </w:r>
          </w:p>
        </w:tc>
        <w:tc>
          <w:tcPr>
            <w:tcW w:w="1401" w:type="dxa"/>
          </w:tcPr>
          <w:p w14:paraId="368580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w:t>
            </w:r>
          </w:p>
        </w:tc>
        <w:tc>
          <w:tcPr>
            <w:tcW w:w="1401" w:type="dxa"/>
          </w:tcPr>
          <w:p w14:paraId="3AA788E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1401" w:type="dxa"/>
          </w:tcPr>
          <w:p w14:paraId="483AF3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D2880DC" w14:textId="77777777">
        <w:tc>
          <w:tcPr>
            <w:tcW w:w="1401" w:type="dxa"/>
            <w:tcBorders>
              <w:bottom w:val="single" w:sz="12" w:space="0" w:color="auto"/>
            </w:tcBorders>
          </w:tcPr>
          <w:p w14:paraId="4B8944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tc>
        <w:tc>
          <w:tcPr>
            <w:tcW w:w="1401" w:type="dxa"/>
            <w:tcBorders>
              <w:bottom w:val="single" w:sz="12" w:space="0" w:color="auto"/>
            </w:tcBorders>
          </w:tcPr>
          <w:p w14:paraId="6C265B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91/27</w:t>
            </w:r>
          </w:p>
        </w:tc>
        <w:tc>
          <w:tcPr>
            <w:tcW w:w="1401" w:type="dxa"/>
            <w:tcBorders>
              <w:bottom w:val="single" w:sz="12" w:space="0" w:color="auto"/>
            </w:tcBorders>
          </w:tcPr>
          <w:p w14:paraId="168077A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45/18</w:t>
            </w:r>
          </w:p>
        </w:tc>
        <w:tc>
          <w:tcPr>
            <w:tcW w:w="1401" w:type="dxa"/>
            <w:tcBorders>
              <w:bottom w:val="single" w:sz="12" w:space="0" w:color="auto"/>
            </w:tcBorders>
          </w:tcPr>
          <w:p w14:paraId="597A87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46/19</w:t>
            </w:r>
          </w:p>
        </w:tc>
        <w:tc>
          <w:tcPr>
            <w:tcW w:w="1401" w:type="dxa"/>
            <w:tcBorders>
              <w:bottom w:val="single" w:sz="12" w:space="0" w:color="auto"/>
            </w:tcBorders>
          </w:tcPr>
          <w:p w14:paraId="4CB69A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29/4 1</w:t>
            </w:r>
          </w:p>
        </w:tc>
        <w:tc>
          <w:tcPr>
            <w:tcW w:w="1401" w:type="dxa"/>
            <w:tcBorders>
              <w:bottom w:val="single" w:sz="12" w:space="0" w:color="auto"/>
            </w:tcBorders>
          </w:tcPr>
          <w:p w14:paraId="14626F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9/4</w:t>
            </w:r>
          </w:p>
        </w:tc>
        <w:tc>
          <w:tcPr>
            <w:tcW w:w="1401" w:type="dxa"/>
            <w:tcBorders>
              <w:bottom w:val="single" w:sz="12" w:space="0" w:color="auto"/>
            </w:tcBorders>
          </w:tcPr>
          <w:p w14:paraId="1F5E85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15/1</w:t>
            </w:r>
          </w:p>
        </w:tc>
        <w:tc>
          <w:tcPr>
            <w:tcW w:w="1401" w:type="dxa"/>
            <w:tcBorders>
              <w:bottom w:val="single" w:sz="12" w:space="0" w:color="auto"/>
            </w:tcBorders>
          </w:tcPr>
          <w:p w14:paraId="082C0E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r>
    </w:tbl>
    <w:p w14:paraId="35E4275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числителе - всего машин; в знаменателе - в том числе неисправных на данный момент (12015).</w:t>
      </w:r>
    </w:p>
    <w:p w14:paraId="0CC680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64497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 июня 1944 г. в строю осталось девять ПС-43, к концу года - восемь. Три самолета в январе 1945 г. базировались в Львове. Они перевозили почту на 1 -й и 4-й Украинский, а также - на 1 -й Белорусский фронты. По одной машине находилось в Каунасе и Минске. Они работали для 1 -го Прибалтийского, 2-го и 3-го Белорусского фронтов. С начала 1945 г. в 3-ю дивизию связи стали поступать более современные самолеты А-20 и В-25. Это позволило списать старые и крайне изношенные ПС-43. К сентябрю ни одной такой машины в Советском Союзе уже не осталось (11470).</w:t>
      </w:r>
    </w:p>
    <w:p w14:paraId="0082D9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6E459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НК ВМФ приказал сформировать на ЧФ 24-ю отдельную эскадрилью корабельной авиации (24 оаэ). Помимо КОР-2 в нее вошли 10 Спитфайров MK.VB в разной степени исправности. Базировались на сухопутном аэродроме Альма-Токмак в 30 км от Севастополя (9079,37).</w:t>
      </w:r>
    </w:p>
    <w:p w14:paraId="7138ED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FBA855"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г. народный комиссар Воен</w:t>
      </w:r>
      <w:r w:rsidRPr="00070ADE">
        <w:rPr>
          <w:rFonts w:ascii="Times New Roman" w:hAnsi="Times New Roman"/>
          <w:color w:val="000000" w:themeColor="text1"/>
          <w:sz w:val="16"/>
          <w:szCs w:val="16"/>
        </w:rPr>
        <w:softHyphen/>
        <w:t>но-морского флота Советского Союза при</w:t>
      </w:r>
      <w:r w:rsidRPr="00070ADE">
        <w:rPr>
          <w:rFonts w:ascii="Times New Roman" w:hAnsi="Times New Roman"/>
          <w:color w:val="000000" w:themeColor="text1"/>
          <w:sz w:val="16"/>
          <w:szCs w:val="16"/>
        </w:rPr>
        <w:softHyphen/>
        <w:t>казал сформировать на Черноморском фло</w:t>
      </w:r>
      <w:r w:rsidRPr="00070ADE">
        <w:rPr>
          <w:rFonts w:ascii="Times New Roman" w:hAnsi="Times New Roman"/>
          <w:color w:val="000000" w:themeColor="text1"/>
          <w:sz w:val="16"/>
          <w:szCs w:val="16"/>
        </w:rPr>
        <w:softHyphen/>
        <w:t>те 24-ю отдельную эскадрилью корабельной авиации (24-я оаэ). Далее, по инициативе ко</w:t>
      </w:r>
      <w:r w:rsidRPr="00070ADE">
        <w:rPr>
          <w:rFonts w:ascii="Times New Roman" w:hAnsi="Times New Roman"/>
          <w:color w:val="000000" w:themeColor="text1"/>
          <w:sz w:val="16"/>
          <w:szCs w:val="16"/>
        </w:rPr>
        <w:softHyphen/>
        <w:t>мандующего ВВС Черноморского флота ге</w:t>
      </w:r>
      <w:r w:rsidRPr="00070ADE">
        <w:rPr>
          <w:rFonts w:ascii="Times New Roman" w:hAnsi="Times New Roman"/>
          <w:color w:val="000000" w:themeColor="text1"/>
          <w:sz w:val="16"/>
          <w:szCs w:val="16"/>
        </w:rPr>
        <w:softHyphen/>
        <w:t>нерал-полковника Ермаченкова начали фор</w:t>
      </w:r>
      <w:r w:rsidRPr="00070ADE">
        <w:rPr>
          <w:rFonts w:ascii="Times New Roman" w:hAnsi="Times New Roman"/>
          <w:color w:val="000000" w:themeColor="text1"/>
          <w:sz w:val="16"/>
          <w:szCs w:val="16"/>
        </w:rPr>
        <w:softHyphen/>
        <w:t>мировать специальный отряд, в который во</w:t>
      </w:r>
      <w:r w:rsidRPr="00070ADE">
        <w:rPr>
          <w:rFonts w:ascii="Times New Roman" w:hAnsi="Times New Roman"/>
          <w:color w:val="000000" w:themeColor="text1"/>
          <w:sz w:val="16"/>
          <w:szCs w:val="16"/>
        </w:rPr>
        <w:softHyphen/>
        <w:t>шли истребители «Спитфайр», звено «Бо</w:t>
      </w:r>
      <w:r w:rsidRPr="00070ADE">
        <w:rPr>
          <w:rFonts w:ascii="Times New Roman" w:hAnsi="Times New Roman"/>
          <w:color w:val="000000" w:themeColor="text1"/>
          <w:sz w:val="16"/>
          <w:szCs w:val="16"/>
        </w:rPr>
        <w:softHyphen/>
        <w:t>стон» А-20Ж, два По-2 и один УТИ-4.</w:t>
      </w:r>
    </w:p>
    <w:p w14:paraId="64758923"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1945 г. на Черноморском флоте удалось набрать 10 самолетов «Спитфайр» МК.УВ в разной степени исправности со следующими серийными номерами: №№ ВМ -185, ВМ-450. ВМ-771. ЕР-185, ЕР-256, ЕР-307, ЕР-358, ЕР- 400. ЕР-502, ЕР-758. Девять из них вошли в со</w:t>
      </w:r>
      <w:r w:rsidRPr="00070ADE">
        <w:rPr>
          <w:rFonts w:ascii="Times New Roman" w:hAnsi="Times New Roman"/>
          <w:color w:val="000000" w:themeColor="text1"/>
          <w:sz w:val="16"/>
          <w:szCs w:val="16"/>
        </w:rPr>
        <w:softHyphen/>
        <w:t>став 24-й оаэ, причем в начале 1945 г. в строю находилось 4 истребителя, 4 ремонтировались в 20 самолетных авиамастерских в Евпатории, и еще один имелся в ремонтном поезде в ме</w:t>
      </w:r>
      <w:r w:rsidRPr="00070ADE">
        <w:rPr>
          <w:rFonts w:ascii="Times New Roman" w:hAnsi="Times New Roman"/>
          <w:color w:val="000000" w:themeColor="text1"/>
          <w:sz w:val="16"/>
          <w:szCs w:val="16"/>
        </w:rPr>
        <w:softHyphen/>
        <w:t>стечке Сарабуз. В процессе ремонта на истре</w:t>
      </w:r>
      <w:r w:rsidRPr="00070ADE">
        <w:rPr>
          <w:rFonts w:ascii="Times New Roman" w:hAnsi="Times New Roman"/>
          <w:color w:val="000000" w:themeColor="text1"/>
          <w:sz w:val="16"/>
          <w:szCs w:val="16"/>
        </w:rPr>
        <w:softHyphen/>
        <w:t>бителях частично поменяли обшивку, перебра</w:t>
      </w:r>
      <w:r w:rsidRPr="00070ADE">
        <w:rPr>
          <w:rFonts w:ascii="Times New Roman" w:hAnsi="Times New Roman"/>
          <w:color w:val="000000" w:themeColor="text1"/>
          <w:sz w:val="16"/>
          <w:szCs w:val="16"/>
        </w:rPr>
        <w:softHyphen/>
        <w:t>ли шасси и перекрасили. Кроме этого, устано</w:t>
      </w:r>
      <w:r w:rsidRPr="00070ADE">
        <w:rPr>
          <w:rFonts w:ascii="Times New Roman" w:hAnsi="Times New Roman"/>
          <w:color w:val="000000" w:themeColor="text1"/>
          <w:sz w:val="16"/>
          <w:szCs w:val="16"/>
        </w:rPr>
        <w:softHyphen/>
        <w:t>вили некоторое советское оборудование и пи</w:t>
      </w:r>
      <w:r w:rsidRPr="00070ADE">
        <w:rPr>
          <w:rFonts w:ascii="Times New Roman" w:hAnsi="Times New Roman"/>
          <w:color w:val="000000" w:themeColor="text1"/>
          <w:sz w:val="16"/>
          <w:szCs w:val="16"/>
        </w:rPr>
        <w:softHyphen/>
        <w:t>лотажные приборы. На нескольких машинах оборудовали узлы для крепления на катапуль</w:t>
      </w:r>
      <w:r w:rsidRPr="00070ADE">
        <w:rPr>
          <w:rFonts w:ascii="Times New Roman" w:hAnsi="Times New Roman"/>
          <w:color w:val="000000" w:themeColor="text1"/>
          <w:sz w:val="16"/>
          <w:szCs w:val="16"/>
        </w:rPr>
        <w:softHyphen/>
        <w:t>те. Самолеты базировались на сухопутном аэ</w:t>
      </w:r>
      <w:r w:rsidRPr="00070ADE">
        <w:rPr>
          <w:rFonts w:ascii="Times New Roman" w:hAnsi="Times New Roman"/>
          <w:color w:val="000000" w:themeColor="text1"/>
          <w:sz w:val="16"/>
          <w:szCs w:val="16"/>
        </w:rPr>
        <w:softHyphen/>
        <w:t>родроме Альма-Токмак в 30 км от Севастопо</w:t>
      </w:r>
      <w:r w:rsidRPr="00070ADE">
        <w:rPr>
          <w:rFonts w:ascii="Times New Roman" w:hAnsi="Times New Roman"/>
          <w:color w:val="000000" w:themeColor="text1"/>
          <w:sz w:val="16"/>
          <w:szCs w:val="16"/>
        </w:rPr>
        <w:softHyphen/>
        <w:t>ля. Известно, что эксплуатация английских ис</w:t>
      </w:r>
      <w:r w:rsidRPr="00070ADE">
        <w:rPr>
          <w:rFonts w:ascii="Times New Roman" w:hAnsi="Times New Roman"/>
          <w:color w:val="000000" w:themeColor="text1"/>
          <w:sz w:val="16"/>
          <w:szCs w:val="16"/>
        </w:rPr>
        <w:softHyphen/>
        <w:t>требителей осуществлялась в течение двух лет. за это время три самолета вышли из строя по причине аварий.</w:t>
      </w:r>
    </w:p>
    <w:p w14:paraId="0C1AEFC4"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1946 г., по крайней мере, один «Спитфайр» использовался совместно с КОР-2 для стартов с катапульты крейсера «Молотов». За проведе</w:t>
      </w:r>
      <w:r w:rsidRPr="00070ADE">
        <w:rPr>
          <w:rFonts w:ascii="Times New Roman" w:hAnsi="Times New Roman"/>
          <w:color w:val="000000" w:themeColor="text1"/>
          <w:sz w:val="16"/>
          <w:szCs w:val="16"/>
        </w:rPr>
        <w:softHyphen/>
        <w:t>ние удачных испытаний летчики ст. лейтенант В.Ф.Соколов, ст. лейтенант А.А.Пилюк и мл. лейтенант И.И.Шевченко были награждены командованием флота часами «Лонжин» (12301).</w:t>
      </w:r>
    </w:p>
    <w:p w14:paraId="006CE2D6" w14:textId="77777777" w:rsidR="000340E9" w:rsidRPr="00070ADE" w:rsidRDefault="000340E9" w:rsidP="00B56F90">
      <w:pPr>
        <w:spacing w:after="0" w:line="240" w:lineRule="auto"/>
        <w:jc w:val="both"/>
        <w:rPr>
          <w:rFonts w:ascii="Times New Roman" w:hAnsi="Times New Roman"/>
          <w:color w:val="000000" w:themeColor="text1"/>
          <w:sz w:val="16"/>
          <w:szCs w:val="16"/>
        </w:rPr>
      </w:pPr>
    </w:p>
    <w:p w14:paraId="6C46DA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июня 1944 в СА было 6500 тыс. чел., 83200 пушек и минометов, 8000 т и САУ и 11800 самолетов. В 1 полугодии сделали 14000 т и 16000 с</w:t>
      </w:r>
    </w:p>
    <w:p w14:paraId="7544A0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н было 4000 тыс., 49000, 5200 т, 2800 с (340,166).</w:t>
      </w:r>
    </w:p>
    <w:p w14:paraId="64D3CB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267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г. была подготовлена ДОКЛАДНАЯ ЗАПИСКА ЗАМЕСТИТЕЛЯ НАЧАЛЬНИКА ТЫЛА КА ЗАМЕСТИТЕЛЮ НАРКОМА ОБОРОНЫ Г. К. ЖУКОВУ О НЕОБХОДИМОСТИ СОЗДАНИЯ НАУЧНО-ИСПЫТАТЕЛЬНОГО АВТОМОБИЛЬНОГО ИНСТИТУТА КРАСНОЙ АРМИИ №1202997</w:t>
      </w:r>
    </w:p>
    <w:p w14:paraId="0A936D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Парк автомашин Красной Армии в период Отечественной войны возрос до 530 000 штук. На</w:t>
      </w:r>
      <w:r w:rsidRPr="00070ADE">
        <w:rPr>
          <w:rFonts w:ascii="Times New Roman" w:hAnsi="Times New Roman"/>
          <w:color w:val="000000" w:themeColor="text1"/>
          <w:sz w:val="16"/>
          <w:szCs w:val="16"/>
        </w:rPr>
        <w:softHyphen/>
        <w:t>ряду с отечественными автомашинами в Красной Армии освоено большое количество иностранных марок.</w:t>
      </w:r>
    </w:p>
    <w:p w14:paraId="54DF49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Части Красной Армии все время оснащаются новой техникой и, как правило, для монтажа и транспортировки ее используются автомашины.</w:t>
      </w:r>
    </w:p>
    <w:p w14:paraId="151AC2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правильного использования зависит и сохранность автомашин. Это в свою очередь требует научного обоснования и расчетов. Опытную работу можно производить, с одной стороны, при экс</w:t>
      </w:r>
      <w:r w:rsidRPr="00070ADE">
        <w:rPr>
          <w:rFonts w:ascii="Times New Roman" w:hAnsi="Times New Roman"/>
          <w:color w:val="000000" w:themeColor="text1"/>
          <w:sz w:val="16"/>
          <w:szCs w:val="16"/>
        </w:rPr>
        <w:softHyphen/>
        <w:t>плуатации автомашин на практической работе, а, с другой стороны, исключительно научно-опыт</w:t>
      </w:r>
      <w:r w:rsidRPr="00070ADE">
        <w:rPr>
          <w:rFonts w:ascii="Times New Roman" w:hAnsi="Times New Roman"/>
          <w:color w:val="000000" w:themeColor="text1"/>
          <w:sz w:val="16"/>
          <w:szCs w:val="16"/>
        </w:rPr>
        <w:softHyphen/>
        <w:t>ным путем в соответствующих испытательных институтах.</w:t>
      </w:r>
    </w:p>
    <w:p w14:paraId="3E9144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Полагаю, что обобщения опыта эксплуатации автомашин на фронтах, испытания автомашин в полевых и лабораторных условиях и научного обоснования выгодности применения той или дру</w:t>
      </w:r>
      <w:r w:rsidRPr="00070ADE">
        <w:rPr>
          <w:rFonts w:ascii="Times New Roman" w:hAnsi="Times New Roman"/>
          <w:color w:val="000000" w:themeColor="text1"/>
          <w:sz w:val="16"/>
          <w:szCs w:val="16"/>
        </w:rPr>
        <w:softHyphen/>
        <w:t>гой марки автомашин, а также сбора и обработки всех по эксплуатации автотранспорта в период Отечественной войны, необходимо при Главном автомобильном управлении создать научно-испы</w:t>
      </w:r>
      <w:r w:rsidRPr="00070ADE">
        <w:rPr>
          <w:rFonts w:ascii="Times New Roman" w:hAnsi="Times New Roman"/>
          <w:color w:val="000000" w:themeColor="text1"/>
          <w:sz w:val="16"/>
          <w:szCs w:val="16"/>
        </w:rPr>
        <w:softHyphen/>
        <w:t>тательный автомобильный институт Красной Армии и специальную роту научно-испытательного автомобильного института Красной Армии.</w:t>
      </w:r>
    </w:p>
    <w:p w14:paraId="65FA0B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Вашего распоряжения о сформировании:</w:t>
      </w:r>
    </w:p>
    <w:p w14:paraId="4494E6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Научно-испытательного автомобильного института Красной Армии по прилагаемому штату численностью 99 человек военнослужащих и 8 человек вольнонаемных.</w:t>
      </w:r>
    </w:p>
    <w:p w14:paraId="1F504D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Специальной роты научно-испытательного автомобильного института Красной Армии по прилагаемому штату, численностью 207 человек.</w:t>
      </w:r>
    </w:p>
    <w:p w14:paraId="66A7F4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Формирование и укомплектование возложить на начальника Главного автомобильного управ</w:t>
      </w:r>
      <w:r w:rsidRPr="00070ADE">
        <w:rPr>
          <w:rFonts w:ascii="Times New Roman" w:hAnsi="Times New Roman"/>
          <w:color w:val="000000" w:themeColor="text1"/>
          <w:sz w:val="16"/>
          <w:szCs w:val="16"/>
        </w:rPr>
        <w:softHyphen/>
        <w:t>ления Красной Армии, для чего использовать личный состав и материальную часть 203-го авто</w:t>
      </w:r>
      <w:r w:rsidRPr="00070ADE">
        <w:rPr>
          <w:rFonts w:ascii="Times New Roman" w:hAnsi="Times New Roman"/>
          <w:color w:val="000000" w:themeColor="text1"/>
          <w:sz w:val="16"/>
          <w:szCs w:val="16"/>
        </w:rPr>
        <w:softHyphen/>
        <w:t>транспортного батальона. Батальон после сформирования института считать расформированным.</w:t>
      </w:r>
    </w:p>
    <w:p w14:paraId="5450A0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начальника тыла КА генерал-полковник Белокосков</w:t>
      </w:r>
    </w:p>
    <w:p w14:paraId="342348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ШТАТ №</w:t>
      </w:r>
    </w:p>
    <w:p w14:paraId="489E40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w:t>
      </w:r>
    </w:p>
    <w:p w14:paraId="7A2BFC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Проект</w:t>
      </w:r>
    </w:p>
    <w:p w14:paraId="047A62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Научно-испытательного автомобильного института Красной Армии</w:t>
      </w:r>
    </w:p>
    <w:p w14:paraId="662A23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(военного времени)</w:t>
      </w:r>
    </w:p>
    <w:p w14:paraId="79AA87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 Организация</w:t>
      </w:r>
    </w:p>
    <w:p w14:paraId="1E0C7C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Управление:</w:t>
      </w:r>
    </w:p>
    <w:p w14:paraId="601EA3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Командование</w:t>
      </w:r>
    </w:p>
    <w:p w14:paraId="127D77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Общий отдел</w:t>
      </w:r>
    </w:p>
    <w:p w14:paraId="72627A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Секретная часть</w:t>
      </w:r>
    </w:p>
    <w:p w14:paraId="47066B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Научно-испытательные отделы:</w:t>
      </w:r>
    </w:p>
    <w:p w14:paraId="5C55A8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Отдел автомобильных конструкций</w:t>
      </w:r>
    </w:p>
    <w:p w14:paraId="5D2BEC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Отдел ремонта автомобилей</w:t>
      </w:r>
    </w:p>
    <w:p w14:paraId="7923FC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Отдел эксплуатации автомобилей</w:t>
      </w:r>
    </w:p>
    <w:p w14:paraId="749B59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Лабораторный отдел</w:t>
      </w:r>
    </w:p>
    <w:p w14:paraId="06BEAB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Отдел изучения и обобщения опыта использования автотранспорта в Отечественной войне.</w:t>
      </w:r>
    </w:p>
    <w:p w14:paraId="5BBDB2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3. Опытный автомобильный полигон</w:t>
      </w:r>
    </w:p>
    <w:p w14:paraId="17819E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Опытные экспериментальные мастерские</w:t>
      </w:r>
    </w:p>
    <w:p w14:paraId="62A091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Планово-финансовый отдел</w:t>
      </w:r>
    </w:p>
    <w:p w14:paraId="450296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Отдел оформления работ</w:t>
      </w:r>
    </w:p>
    <w:p w14:paraId="0F5F62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Отдел материально-технического обеспечения</w:t>
      </w:r>
    </w:p>
    <w:p w14:paraId="59464B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Гараж 9 Санчасть</w:t>
      </w:r>
    </w:p>
    <w:p w14:paraId="78C321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Генерал — 1</w:t>
      </w:r>
    </w:p>
    <w:p w14:paraId="70F3F5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Офицерский состав — 97 Всего военнослужащих — 98</w:t>
      </w:r>
    </w:p>
    <w:p w14:paraId="5A2EAA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Легковых автомашин — 5 Грузовых автомашин — 20 Специальных автомашин — 10 Всего - 35</w:t>
      </w:r>
    </w:p>
    <w:p w14:paraId="4B4E6C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 Личный состав</w:t>
      </w:r>
    </w:p>
    <w:p w14:paraId="1AA818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III. Автотранспорт</w:t>
      </w:r>
    </w:p>
    <w:p w14:paraId="3DD2CC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ГАВТУ КА генерал-лейтенант технических войск Тягунов</w:t>
      </w:r>
    </w:p>
    <w:p w14:paraId="5AFEB4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Врид начальника штаба ГАВТУ КА генерал-майор инженерной службы Мизонов</w:t>
      </w:r>
    </w:p>
    <w:p w14:paraId="786A62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41.Оп. 11584. Д. 568. Л. 76-79. Подлинник (11420).</w:t>
      </w:r>
    </w:p>
    <w:p w14:paraId="24482C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FD7A9E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0F9D3A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D008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июня 1944 года в составе ГУЛАГ имеется ИТЛ - 56, республиканских, краевых, областных Управлений и отделов ИТЛиК - 69, отдельных лагерных подразделений в составе ИТЛ - 910, ИТК - 424, штатная численность работников ГУЛАГ составляет 85.000 ед. (без ВОХР) (8983).</w:t>
      </w:r>
    </w:p>
    <w:p w14:paraId="50EEAE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99675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B1F78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5BF5AD"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г. первый Ju 87D-5 постройки словацкого завода в Тренчанске Бискупице был передан словац</w:t>
      </w:r>
      <w:r w:rsidRPr="00070ADE">
        <w:rPr>
          <w:rFonts w:ascii="Times New Roman" w:hAnsi="Times New Roman"/>
          <w:color w:val="000000" w:themeColor="text1"/>
          <w:sz w:val="16"/>
          <w:szCs w:val="16"/>
        </w:rPr>
        <w:softHyphen/>
        <w:t>ким ВВС Всего до начала сло</w:t>
      </w:r>
      <w:r w:rsidRPr="00070ADE">
        <w:rPr>
          <w:rFonts w:ascii="Times New Roman" w:hAnsi="Times New Roman"/>
          <w:color w:val="000000" w:themeColor="text1"/>
          <w:sz w:val="16"/>
          <w:szCs w:val="16"/>
        </w:rPr>
        <w:softHyphen/>
        <w:t>вацкого национального восстания успели построить 5 машин, еще 7 немцы передали из собственных резервов. Один из самолетов потерпел аварию при перелете на аэродром базирования 11-й эскадрильи. Все «юнкер- сы» до конца августа еще не получили воору</w:t>
      </w:r>
      <w:r w:rsidRPr="00070ADE">
        <w:rPr>
          <w:rFonts w:ascii="Times New Roman" w:hAnsi="Times New Roman"/>
          <w:color w:val="000000" w:themeColor="text1"/>
          <w:sz w:val="16"/>
          <w:szCs w:val="16"/>
        </w:rPr>
        <w:softHyphen/>
        <w:t>жения и некоторых приборов, а их экипажи не закончили курса подготовки. В ходе вос</w:t>
      </w:r>
      <w:r w:rsidRPr="00070ADE">
        <w:rPr>
          <w:rFonts w:ascii="Times New Roman" w:hAnsi="Times New Roman"/>
          <w:color w:val="000000" w:themeColor="text1"/>
          <w:sz w:val="16"/>
          <w:szCs w:val="16"/>
        </w:rPr>
        <w:softHyphen/>
        <w:t>стания многие летчики оказались в числе настроенных антигитлеровски патриотов, но применить свои «штуки» для борьбы с немцами они не смогли.</w:t>
      </w:r>
    </w:p>
    <w:p w14:paraId="0AECB8C8" w14:textId="77777777" w:rsidR="000D462F" w:rsidRPr="00070ADE" w:rsidRDefault="000D46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Точное количество «штук», построенных словаками, неизвестно, поскольку докумен</w:t>
      </w:r>
      <w:r w:rsidRPr="00070ADE">
        <w:rPr>
          <w:rFonts w:ascii="Times New Roman" w:hAnsi="Times New Roman"/>
          <w:color w:val="000000" w:themeColor="text1"/>
          <w:sz w:val="16"/>
          <w:szCs w:val="16"/>
        </w:rPr>
        <w:softHyphen/>
        <w:t>ты завода в Тренчанске Бискупице не сохра</w:t>
      </w:r>
      <w:r w:rsidRPr="00070ADE">
        <w:rPr>
          <w:rFonts w:ascii="Times New Roman" w:hAnsi="Times New Roman"/>
          <w:color w:val="000000" w:themeColor="text1"/>
          <w:sz w:val="16"/>
          <w:szCs w:val="16"/>
        </w:rPr>
        <w:softHyphen/>
        <w:t>нились. После подавления восстания само</w:t>
      </w:r>
      <w:r w:rsidRPr="00070ADE">
        <w:rPr>
          <w:rFonts w:ascii="Times New Roman" w:hAnsi="Times New Roman"/>
          <w:color w:val="000000" w:themeColor="text1"/>
          <w:sz w:val="16"/>
          <w:szCs w:val="16"/>
        </w:rPr>
        <w:softHyphen/>
        <w:t>леты попали в руки немцев, но часть из них погибла в результате налета американских бомбардировщиков. Сами машины не име</w:t>
      </w:r>
      <w:r w:rsidRPr="00070ADE">
        <w:rPr>
          <w:rFonts w:ascii="Times New Roman" w:hAnsi="Times New Roman"/>
          <w:color w:val="000000" w:themeColor="text1"/>
          <w:sz w:val="16"/>
          <w:szCs w:val="16"/>
        </w:rPr>
        <w:softHyphen/>
        <w:t>ли каких-либо особенностей, их камуфляж</w:t>
      </w:r>
      <w:r w:rsidRPr="00070ADE">
        <w:rPr>
          <w:rFonts w:ascii="Times New Roman" w:hAnsi="Times New Roman"/>
          <w:color w:val="000000" w:themeColor="text1"/>
          <w:sz w:val="16"/>
          <w:szCs w:val="16"/>
        </w:rPr>
        <w:softHyphen/>
        <w:t>ная окраска соответствовала германскому стандарту. Эти машины несли словацкие знаки национальной принадлежности и «гражданские» пятибуквенные регистраци</w:t>
      </w:r>
      <w:r w:rsidRPr="00070ADE">
        <w:rPr>
          <w:rFonts w:ascii="Times New Roman" w:hAnsi="Times New Roman"/>
          <w:color w:val="000000" w:themeColor="text1"/>
          <w:sz w:val="16"/>
          <w:szCs w:val="16"/>
        </w:rPr>
        <w:softHyphen/>
        <w:t>онные номера, поскольку официально они не были приняты на вооружение. Судьба уцелевших самолетов, реквизированных немцами, остается неясной. После войны Ju 87D состояли на вооружении чехословац</w:t>
      </w:r>
      <w:r w:rsidRPr="00070ADE">
        <w:rPr>
          <w:rFonts w:ascii="Times New Roman" w:hAnsi="Times New Roman"/>
          <w:color w:val="000000" w:themeColor="text1"/>
          <w:sz w:val="16"/>
          <w:szCs w:val="16"/>
        </w:rPr>
        <w:softHyphen/>
        <w:t>ких ВВС. Новые хозяева дали им наимено</w:t>
      </w:r>
      <w:r w:rsidRPr="00070ADE">
        <w:rPr>
          <w:rFonts w:ascii="Times New Roman" w:hAnsi="Times New Roman"/>
          <w:color w:val="000000" w:themeColor="text1"/>
          <w:sz w:val="16"/>
          <w:szCs w:val="16"/>
        </w:rPr>
        <w:softHyphen/>
        <w:t>вание В-36 (24187).</w:t>
      </w:r>
    </w:p>
    <w:p w14:paraId="36797659" w14:textId="77777777" w:rsidR="000D462F" w:rsidRPr="00070ADE" w:rsidRDefault="000D462F" w:rsidP="00B56F90">
      <w:pPr>
        <w:spacing w:after="0" w:line="240" w:lineRule="auto"/>
        <w:jc w:val="both"/>
        <w:rPr>
          <w:rFonts w:ascii="Times New Roman" w:hAnsi="Times New Roman"/>
          <w:color w:val="000000" w:themeColor="text1"/>
          <w:sz w:val="16"/>
          <w:szCs w:val="16"/>
        </w:rPr>
      </w:pPr>
    </w:p>
    <w:p w14:paraId="31509B47"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 июня</w:t>
      </w:r>
      <w:r w:rsidRPr="00070ADE">
        <w:rPr>
          <w:rFonts w:ascii="Times New Roman" w:hAnsi="Times New Roman"/>
          <w:color w:val="000000" w:themeColor="text1"/>
          <w:sz w:val="16"/>
          <w:szCs w:val="16"/>
        </w:rPr>
        <w:t xml:space="preserve"> в 1944 году с ракетного полигона Пенемюнде (Германия) осуществлен испытательный пуск ракеты "Фау-2". Ракета сбилась с курса и упала на территории Швеции. Впоследствии фрагменты ракеты были вывезены в Великобританию для изучения (14909).</w:t>
      </w:r>
    </w:p>
    <w:p w14:paraId="7C61AE0F" w14:textId="77777777" w:rsidR="00FE2608" w:rsidRPr="00070ADE" w:rsidRDefault="00FE2608" w:rsidP="00B56F90">
      <w:pPr>
        <w:spacing w:after="0" w:line="240" w:lineRule="auto"/>
        <w:jc w:val="both"/>
        <w:rPr>
          <w:rFonts w:ascii="Times New Roman" w:hAnsi="Times New Roman"/>
          <w:color w:val="000000" w:themeColor="text1"/>
          <w:sz w:val="16"/>
          <w:szCs w:val="16"/>
        </w:rPr>
      </w:pPr>
    </w:p>
    <w:p w14:paraId="4A5F69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1 1944 Airships of ZP-14, assigned to antisubmarine operations around Gibraltar, completed the first crossing of the Atlantic by non-rigid airships. The flight began 29 May from South Weymouth, Mass., and ended at Port Lyautey, French Morocco, covering a distance of 3,145 nautical miles in 58 hours. Including time for stopovers at Argentia and the Azores, the airships moved their area of operations across the Atlantic in 80 hours (1090).</w:t>
      </w:r>
    </w:p>
    <w:p w14:paraId="49570E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BE0B7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rPr>
        <w:t xml:space="preserve">1 июня 1944 нежесткий дирижабль ZP-14, предназначенный для противолодочных операций в районе Гибралтара, впервые для нежестких дирижаблей пересек Атлантику. Полет начался 29 мая из South Weymouth, Mass. и закончился в Port Lyautey, French Marocco. Дальность составила 3145 морских миль и путь занял 58 час. Включая время на остановку в Аргентине и на Азорах путь занял 80 час. </w:t>
      </w:r>
      <w:r w:rsidRPr="00070ADE">
        <w:rPr>
          <w:rFonts w:ascii="Times New Roman" w:hAnsi="Times New Roman"/>
          <w:color w:val="000000" w:themeColor="text1"/>
          <w:sz w:val="16"/>
          <w:szCs w:val="16"/>
          <w:lang w:val="en-US"/>
        </w:rPr>
        <w:t>(1090).</w:t>
      </w:r>
    </w:p>
    <w:p w14:paraId="66F722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1E75D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1st, 1944: In the West, Allied air forces continue to carry out heavy attacks against strategic bridges and rail lines in France. In Italy, the British Eighth Army (Alexander) captures Frosinone SE of Rome (3819).</w:t>
      </w:r>
    </w:p>
    <w:p w14:paraId="13FD13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EECE1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ВВС союзников продолжили удары по стратегическим мостам и ж/д во Франции. В Италии британская 8А заняла Фрозинон (3819).</w:t>
      </w:r>
    </w:p>
    <w:p w14:paraId="10A269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8B5F8A"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(ночь) 1944 167 британских бомбардировщиков совершили налет на немецкие цели во Франции, без потерь нанеся удар по радиостанции в Ферме д'Юрвиль и железнодорожному узлу в Сомюре. Атака д'Юрвиль безуспешна, но рейд на Сомюр наносит серьезный урон (20373).</w:t>
      </w:r>
    </w:p>
    <w:p w14:paraId="32DD0115" w14:textId="77777777" w:rsidR="00781F94" w:rsidRPr="00070ADE" w:rsidRDefault="00781F94" w:rsidP="00B56F90">
      <w:pPr>
        <w:spacing w:after="0" w:line="240" w:lineRule="auto"/>
        <w:jc w:val="both"/>
        <w:rPr>
          <w:rFonts w:ascii="Times New Roman" w:hAnsi="Times New Roman"/>
          <w:color w:val="000000" w:themeColor="text1"/>
          <w:sz w:val="16"/>
          <w:szCs w:val="16"/>
        </w:rPr>
      </w:pPr>
    </w:p>
    <w:p w14:paraId="219179E0"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два дирижабля ВМС США класса K из 14-й патрульной эскадрильи дирижаблей (ZP-14), K-123 и K-130 прибывают на поле Craw Field в Порт-Лиоти, Французское Марокко, чтобы совершить первый трансатлантический полет на нежестком. дирижабли. Вылетев из Южного Уэймута, штат Массачусетс, 28 мая 1944 года они пересекли границу военно-морской базы Арджентия в Доминионе Ньюфаундленда и Лагенс-Филд на Азорских островах (20373).</w:t>
      </w:r>
    </w:p>
    <w:p w14:paraId="64FD562C" w14:textId="77777777" w:rsidR="00781F94" w:rsidRPr="00070ADE" w:rsidRDefault="00781F94" w:rsidP="00B56F90">
      <w:pPr>
        <w:spacing w:after="0" w:line="240" w:lineRule="auto"/>
        <w:jc w:val="both"/>
        <w:rPr>
          <w:rFonts w:ascii="Times New Roman" w:hAnsi="Times New Roman"/>
          <w:color w:val="000000" w:themeColor="text1"/>
          <w:sz w:val="16"/>
          <w:szCs w:val="16"/>
        </w:rPr>
      </w:pPr>
    </w:p>
    <w:p w14:paraId="41A6E7BB" w14:textId="77777777" w:rsidR="00FE2608" w:rsidRPr="00070ADE" w:rsidRDefault="00FE2608"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июня 1944 на Би-Би-Си передано четверостишие Верлена - знак французскому Сопротивлению о предстоящем вторжении в Нормандию (4962).</w:t>
      </w:r>
    </w:p>
    <w:p w14:paraId="3B14D03E" w14:textId="77777777" w:rsidR="00FE2608" w:rsidRPr="00070ADE" w:rsidRDefault="00FE2608"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85B62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2CAA22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F4C0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после опробования винтомоторной группы на земле, произведен контрольный полет МИГ С АМ-39Б И 2ТК-2Б после установки ТК. Продолжительность полета - 15 мин, высота - 1500 мт. Винтомоторная группа в полете работала нормально (1825).</w:t>
      </w:r>
    </w:p>
    <w:p w14:paraId="6980EE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422A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Зам. Нач. 7ГУ Алексеев подготовил сводку г-7 № 7294 о ходе испытаний высотных самолетов на 1 июня 1944 по Як-9 М-105ПД, Ла-5 АШ-82ФН и 2ТК-3, МиГ АМ-39А и 2ТК-2Б (1825).</w:t>
      </w:r>
    </w:p>
    <w:p w14:paraId="0F6480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ИСТРЕБИТЕЛЬ ЯК-9 С ВК-105ПФ И ДВУХСТУПЕНЧАТЫМ НАГНЕТАТЕЛЕМ</w:t>
      </w:r>
    </w:p>
    <w:p w14:paraId="1DB039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ускорения доводок системы схлаждения, на самолете будет временно установлен мотор с пониженной высотностью. После установки мотора, самолет будет передан ЦАГИ для продувки в трубе с работающим мотором. ЦИАМ предполагает подать мотор ЛИИ 3 июня с. г.</w:t>
      </w:r>
    </w:p>
    <w:p w14:paraId="0C88E2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ВЫСОТНЫЙ ИСТРЕБИТЕЛЬ ЛА-5 С АШ-82ФН и 2ТК-3.</w:t>
      </w:r>
    </w:p>
    <w:p w14:paraId="7A5A36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Полетов не производилось из-за неблаго</w:t>
      </w:r>
      <w:r w:rsidRPr="00070ADE">
        <w:rPr>
          <w:rFonts w:ascii="Times New Roman" w:hAnsi="Times New Roman"/>
          <w:color w:val="000000" w:themeColor="text1"/>
          <w:sz w:val="16"/>
          <w:szCs w:val="16"/>
        </w:rPr>
        <w:softHyphen/>
        <w:t>приятных метеорологических-условий для высотных полетов.</w:t>
      </w:r>
    </w:p>
    <w:p w14:paraId="71D8C9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ВЫСОТНЫЙ ИСТРЕБИТЕЛЬ МИГ С АМ-39Б И 2ТК-2Б.</w:t>
      </w:r>
    </w:p>
    <w:p w14:paraId="24B6E4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Заводом № 155 получены из ЦИАМ исправленные турбскомпресссры и в течение дня производились работы по установке их на самолете. На 2 июня с.г. назначена отработка винтомоториой группы на земле (1825).</w:t>
      </w:r>
    </w:p>
    <w:p w14:paraId="17605B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9874F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г. по приказу НКАП № 377с завод № 6 ОАП НКАП был переименован в ГС завод № 493 НКАП. 18 октября 1941 г. инструментальный завод № 6 (Завод № 6 Оргавиапрома НКАП /г. Москва; г. Кемерово/), созданный 4 ноября 1940 г. на базе экспериментальных сварочных мастерских, в совю очередь, созданных 19 августа 1939 г. на территории одного из цехов (№ 5) комбината «Дирижаблестрой», который размещался на ул. Большой Никитской с 1933 г., был эвакуирован в г. Киселевск Новосибирской обл. на территорию мастерских «Шахтстроя», однако уже на месте выяснилось, что площади не приспособлены для размещения, и принято решение об отправке завода в г. Кемерово. Эшелон с оборудованием завода прибыл в г. Кемерово на площадку недостроенного коксохимического завода в 11.1941 г. Предприятие размещено в части здания ВОХР: на первом этаже - производственные цеха, на втором и третьем - лаборатории и управление. Сюда же эвакуирован завод №307 НКАП. В годы войны - производство газовых горелок для сварки, сварочных трансформаторов, машин стыковой сварки. С 05.1941 г. завод получил статус Государственного Союзного завода.</w:t>
      </w:r>
    </w:p>
    <w:p w14:paraId="01CC31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(1941 г.)- 213 чел., (1942 г.)- 250-270 чел.</w:t>
      </w:r>
    </w:p>
    <w:p w14:paraId="11837D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(1939-40 г.)- М.М. Сакаллы, (1940-42 г.)- А.Г. Иванов, (1942-46 г.)- В.В. Дьяченко (11982).</w:t>
      </w:r>
    </w:p>
    <w:p w14:paraId="7C7AD130" w14:textId="77777777" w:rsidR="00FE2608" w:rsidRPr="00070ADE" w:rsidRDefault="00FE2608" w:rsidP="00B56F90">
      <w:pPr>
        <w:autoSpaceDE w:val="0"/>
        <w:autoSpaceDN w:val="0"/>
        <w:adjustRightInd w:val="0"/>
        <w:spacing w:after="0" w:line="240" w:lineRule="auto"/>
        <w:jc w:val="both"/>
        <w:rPr>
          <w:rFonts w:ascii="Times New Roman" w:hAnsi="Times New Roman"/>
          <w:color w:val="000000" w:themeColor="text1"/>
          <w:sz w:val="16"/>
          <w:szCs w:val="16"/>
        </w:rPr>
      </w:pPr>
    </w:p>
    <w:p w14:paraId="0EB80B03" w14:textId="14EE1B0D"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 июня 1944 г. ГС по приказу № 377с завод № 6 ОАП НКАП переименован в ГС завод № 493 НКАП (ГС Завод № 493 НКАП, МАП, ГКАТ, н/я 80, РэДевский электромеханический завод МАП, Производственно-конструкторское объединение (ПКО) «Электромеханика», Ржевское ПО (РПО) «Электромеханика», ГП «РПО «Электромеханика», АООТ, ОАО «Электромеханика» /г. Кемерово;</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Ржев Калининской обл./ /171250 (172386)</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Ржев Тверской обл. Заводское ш., 2 тел. 08232) 20-606/).</w:t>
      </w:r>
    </w:p>
    <w:p w14:paraId="458B2D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493 НКАП по приказу № 297с от 12.07.1945 г. с оборудованием и личным составом перебазирован из Кемерово во Ржев на площадку эвакуированного завода № 307 НКАП (р-н Троицкого парка). Первый эшелон прибыл на новое место 20.09.1945 г. Площадка в Кемерово передана в НКХП.</w:t>
      </w:r>
    </w:p>
    <w:p w14:paraId="0752302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03.1946 г. завод № 493, предприятие «п/я 80» - в системе Управления оборудования МАП, затем- Техуправления ГКАТ.</w:t>
      </w:r>
    </w:p>
    <w:p w14:paraId="770E49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оборудования для сварки, установок для плазменного напыления, термического и литейного оборудования, источников питания для них.</w:t>
      </w:r>
    </w:p>
    <w:p w14:paraId="7A2934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02.1953 г. на заводе создан СКО. В 11.1957 г. создано ОКБ (начальник- М.И. Баранов). С 11.1957 г. завод- в ведении Технического управления ГКАТ.</w:t>
      </w:r>
    </w:p>
    <w:p w14:paraId="19C120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1.01.1967 г. завод переименован в Ржевский электромеханический завод МАП. Для объединения конструкторского и производственного циклов на одном предприятии 4.11.1974 г. на базе завода и НИО-62 НИАТ образовано Ржевское ПКО «Электромеханика», 16.03.1979 г. преобразованное в Ржевское ПО «Электромеханика». С начала 1993 г. преобразовано в ГП «РПО «Электромеханика». 22.02.1993 г. предприятие акционировано и преобразовано в АООТ, а с 4.10.1996 г.- ОАО «Электромеханика».</w:t>
      </w:r>
    </w:p>
    <w:p w14:paraId="2116A08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Разработка и производство (1990-е-2002 г.): технологическое, сварочное оборудование для авиапрома разработки НИАТ; оборудование для электрохимической обработки; универсальный гидравлический инструмент для ремонтных, строительно-монтажных и авиапредприятий.</w:t>
      </w:r>
    </w:p>
    <w:p w14:paraId="7C18C6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(-1946 г.)- В.В. Дьяченко, (1946-49 г.)- И.А. Исаков, (1949-50 г.)- Н.И. Горьковенко, (1950-56 г.)- М. Г. Миронов, (1956-73 г.)- И.А. Верещагин. Гендиректор (1973-95 г.; 2002 г.)- М.П. Кулешов, (12.1995 г.-)- В.В. Константинов.</w:t>
      </w:r>
    </w:p>
    <w:p w14:paraId="5D8FF1C0" w14:textId="77777777" w:rsidR="00595BFB" w:rsidRPr="00070ADE" w:rsidRDefault="00595BFB" w:rsidP="00B56F90">
      <w:pPr>
        <w:tabs>
          <w:tab w:val="left" w:pos="8974"/>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(1990-е-2002 г.-)- В.Ф. Жуков.</w:t>
      </w:r>
      <w:r w:rsidRPr="00070ADE">
        <w:rPr>
          <w:rFonts w:ascii="Times New Roman" w:hAnsi="Times New Roman"/>
          <w:color w:val="000000" w:themeColor="text1"/>
          <w:sz w:val="16"/>
          <w:szCs w:val="16"/>
        </w:rPr>
        <w:tab/>
        <w:t>i</w:t>
      </w:r>
    </w:p>
    <w:p w14:paraId="763A4B0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отдела зарубежных связей (2002 г.)- В.В. Константинов (11982).</w:t>
      </w:r>
    </w:p>
    <w:p w14:paraId="355C7A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7C1FA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года была подготовлена справка Вопросы гражданской авиации СССР:</w:t>
      </w:r>
    </w:p>
    <w:p w14:paraId="27A244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Накануне Отечественной войны гражданский воздушный флот располагал самолетным парком, состоящим из 3000 самолетов, из этого количества 329 самолетов были многомоторными типа Ли-2, Г-2, Г-1, ПС-7 и им подобные.</w:t>
      </w:r>
    </w:p>
    <w:p w14:paraId="173906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Протяженность воздушных линий союзного, местного и международного значения составляла 148217 км.</w:t>
      </w:r>
    </w:p>
    <w:p w14:paraId="01C63C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подготовки инженерных, летных и технических кадров ГВФ располагал ВТУЗ"ами, летными и техническими школами.</w:t>
      </w:r>
    </w:p>
    <w:p w14:paraId="2D17D1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ВТУЗ"ы выпускали специалистов по эксплуатации и ремонту материальной части, по проектированию, строительству и эксплуатации аэропортов и аэродромов, инженеров-экономистов.</w:t>
      </w:r>
    </w:p>
    <w:p w14:paraId="05D4AD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Исследовательскую работу в области гражданской авиации проводил НИИ ГВФ, располагавший лабораторным корпусом, аэродромом с ангарами и моторо-испытательной станцией.</w:t>
      </w:r>
    </w:p>
    <w:p w14:paraId="4B13C0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системе ГВФ было 10 авиаремонтных заводов, 2 завода по изготовлению аэродромного и испытательного оборудования и большое количество авиаремонтных мастерских.</w:t>
      </w:r>
    </w:p>
    <w:p w14:paraId="4FC583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Изыскание и проектирование новых воздушных линий, аэропортов и аэродромов и других сооружений проводила проектная организация при Гл. управлении ГВФ - Аэропроект.</w:t>
      </w:r>
    </w:p>
    <w:p w14:paraId="675B0E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Накануне войны и в начале войны работа ГВФ, связанная обеспечением дальнейшего развития гражданской авиации, была свернута и выполнялась только работа, обеспечивающая текущие потребности Красной армии и народного хозяйства. Все летные школы нормального типа были переданы ВВС (Балашевская, Тамбовская, Батайская). В ВВС отошли ремонтные заводы N 86, N 87, N 88 и авиатехникумы в Москве, Харькове и Саратове. Ленинградский авиаинститут был преобразован в Воздушную академию ВВС.</w:t>
      </w:r>
    </w:p>
    <w:p w14:paraId="2B4FAF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площади, ангар и ангарные постройки научно-исследовательского института ГВФ были переданы заводам N 82 и N 500 НКАП. Наркомавиапрому отошли заводы ГВФ N 82, N 89, N 240, N 241 и крупные авиамастерские в Омске.</w:t>
      </w:r>
    </w:p>
    <w:p w14:paraId="2B0272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Площади завода N 243 в Ташкенте были переданы заводу N 84 НКАП.</w:t>
      </w:r>
    </w:p>
    <w:p w14:paraId="17E413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эвакуации был расформирован последний из оставшихся в системе ГВФ институт - Киевский.</w:t>
      </w:r>
    </w:p>
    <w:p w14:paraId="23D964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Состояние ГВФ в настоящее время характеризуется следующим.</w:t>
      </w:r>
    </w:p>
    <w:p w14:paraId="65FD4D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Самолетный парк состоит из 2514 машин, из которых 1134 самолета легкого типа. В числе 380 транспортных многомоторных самолетов - 116 шт. Ли-2, 95 шт. - Си-47, остальные..69 самолетов принадлежат к устаревшим типам, давно снятых с серийного производства (ТБ-3, ТБ-1, СБ и т.д.).</w:t>
      </w:r>
    </w:p>
    <w:p w14:paraId="4189EB0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Ли-2 и СИ-47 смогут удовлетворительно обеспечить перелеты по воздушным линиям средних дистанций (800-1000 км), при полетах на более коротких линиях местного значения (внутри областей) смогут с успехом использоваться самолеты типа Ще-2. Для полетов по внутрисоюзным и международным авиамагистралям большой протяженности потребуются двух и четырехмоторные самолеты с большими скоростями, высотностью, комфортабельностью и полезной загрузкой. Следует решить вопрос о целесообразности использования в ГВФ гидросамолетов на трассах с наличием водных пространств. Учитывая, что Сов. Союз в основном континентальная страна, возможно, что следует ограничиться производством или закупкой только небольшого количества гидросамолетов. Задачи обслуживания сельского хозяйства(аэросев, борьба с вредителями с/х), патрулирования лесов и борьба с лесными пожарами, ледовой разведки, аэросъемки, полетов по коротким трассам, но с горным профилем, выдвигают задачи производства самолетов специального назначения. При конструировании транспортных и специальных самолетов любого применения должна быть предусмотрена возможность их эффективного применения в военных условиях.</w:t>
      </w:r>
    </w:p>
    <w:p w14:paraId="630AC7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НИИ ГВФ в настоящее время разрабатывает летно-технические требования на постройку для ГВФ транспортных самолетов. По их утверждении, конструирование и производство самолетов должны проводиться в соответствии с этими требованиями.</w:t>
      </w:r>
    </w:p>
    <w:p w14:paraId="2F92B1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Должны быть также решены вопросы производства авиамоторов для транспортной авиации.</w:t>
      </w:r>
    </w:p>
    <w:p w14:paraId="29BA73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Требования к моторам для транспортной авиации отличаются от требований к моторам для военной. Для моторов ГВФ требуется большой межремонтный срок (600-700 часов) и небольшой расход горючего. помимо этого у нас отсутствуют моторы средних мощностей, базируясь на которых можно было бы создать скоростной и экономичный в эксплуатации самолет.</w:t>
      </w:r>
    </w:p>
    <w:p w14:paraId="70DB06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Наибольшие работы предстоят в области строительства и технического оснащения аэропортов, аэродромов и воздушных линий. Из 605 аэродромов ГВФ только 18 имеют взлетно-посадочные полосы с искусственным покрытием. Подавляющее большинство аэродромов представляют собой природные луга, могущие обеспечить взлет и посадку самолетов легкого типа. Самолеты Ли-2, Си-47 располагают приборами, обеспечивающими полеты в любое время суток, однако, при современном состоянии аэродромов ГВФ взлет и посадка этих же самолетов в ночное время и в дневное при плохой видимости, большинство аэродромов не может обеспечить. Только лишь единичные аэропорты (по линии Москва-Красноярск и Москва-Ташкент) имеют светооборудование для производства ночных посадок, причем это светооборудование не полное, устаревшее, могущее обеспечить ночные полеты при хорошей погоде. Ночной старт осуществляется при помощи примитивных "Летучих мышей".</w:t>
      </w:r>
    </w:p>
    <w:p w14:paraId="1D95DA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сравнения укажем, что в США свыше 50000 км воздушных линий имеет световое оборудование, световые маяки расположены в среднем на расстоянии 23 км один от другого.</w:t>
      </w:r>
    </w:p>
    <w:p w14:paraId="18E3DE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ночных полетов оборудованы более 900 аэропортов.</w:t>
      </w:r>
    </w:p>
    <w:p w14:paraId="78D75A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Световое оборудование аэропортов состоит из вращающихся светомаяков, сигнального кодового маяка, пограничных огней, прожекторов для освещения старта, освещенного ветроуказателя, посадочных и заградительных огней.</w:t>
      </w:r>
    </w:p>
    <w:p w14:paraId="78C428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Электропромышленность СССР до войны выпускала светооборудование для аэропортов и воздушных линий, необходимо на основе изучения усовершенствования в области светотехники Гражданской авиации США и Англии разработать наиболее совершенные образцы светового оборудования. В частности светотехники ГВФ (проф. Соколов) предлагают импортировать наиболее совершенное светооборудование из США, оборудовать им опытную трассу и на этой трассе отработать требования как к отдельным образцам светотехники, так и требования к светооборудованию в целом воздушных линий.</w:t>
      </w:r>
    </w:p>
    <w:p w14:paraId="185FB8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Более благополучным является радиооборудование воздушных трасс. Как и до войны, так и во время войны ГВФ сам конструировал и производил радиопеленгаторные станции. Так, например, вся Красноярская трасса была оборудована такими станциями. Однако, и здесь предстоит большая работа как по разработке и выпуску совершенных средств радиосвязи и радиопеленгации с тем, чтобы вся наиболее важная в экономическом отношении территория Советского Союза была перекрыта радионавигационными средствами, обеспечивающих уверенное вождение самолетов по воздушным трассам и вне их.</w:t>
      </w:r>
    </w:p>
    <w:p w14:paraId="2B30B6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Ремонтные базы и авиамастерские ГВФ удовлетворительно обеспечивают ремонт самолетомоторного парка, однако, они по своим площадям, оборудованию и дислокации не смогут обеспечить ремонт при предстоящем пополнении ГВФ транспортными самолетами.</w:t>
      </w:r>
    </w:p>
    <w:p w14:paraId="06C8E5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Решением этого вопроса будет новое строительство, отстройка разрушенного завода в Харькове и передача в систему ГВФ некоторых заводов и авиамастерских, отошедших в ВВС,... и НКАП.</w:t>
      </w:r>
    </w:p>
    <w:p w14:paraId="6413E9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Должны быть также решены вопросы подготовки летных, инженерных и технических кадров для гражданской авиации и строительства научно-исследовательского института ГВФ.</w:t>
      </w:r>
    </w:p>
    <w:p w14:paraId="6AF33B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Считаем также, что учитывая задачи перспективного и оперативного планирования развития ГВФ и обеспечения этого развития материальными ресурсами, в </w:t>
      </w:r>
      <w:r w:rsidRPr="00070ADE">
        <w:rPr>
          <w:rFonts w:ascii="Times New Roman" w:hAnsi="Times New Roman"/>
          <w:color w:val="000000" w:themeColor="text1"/>
          <w:sz w:val="16"/>
          <w:szCs w:val="16"/>
        </w:rPr>
        <w:lastRenderedPageBreak/>
        <w:t>Госплане СССР должен быть создан самостоятельный отдел Гражданской авиации. В настоящее время эти вопросы сосредоточены в отделе авиатранспорта и автодорожного хозяйства. Объединение вопросов автомобильного авиационного транспорта в одном отделе очень условно.</w:t>
      </w:r>
    </w:p>
    <w:p w14:paraId="103625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Учитывая большое оборонное и народнохозяйственное значение развития ГВФ считаем целесообразным проведение следующих мероприятий:</w:t>
      </w:r>
    </w:p>
    <w:p w14:paraId="0846B2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Разработать перспективный план развития ГВФ.</w:t>
      </w:r>
    </w:p>
    <w:p w14:paraId="1B3D5B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Закончить разработку летно-технических требований на постройку новых транспортных самолетов.</w:t>
      </w:r>
    </w:p>
    <w:p w14:paraId="1BDB4E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Вновь сформировать при ГУГВФ Аэропроект.</w:t>
      </w:r>
    </w:p>
    <w:p w14:paraId="4759AE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Специализировать ГУАС НКВД на строительство, помимо аэродромов, всего комплекса сооружений аэропортов и воздушных линий.5. Командировать в США комиссию ГВФ, НКАП, ГУАС НКВД и... для изучения вопросов гражданской авиации, транспортного авиастроения, производства средств радио и светотехники, средств механизации обслуживания эксплуатации, строительства аэропортов и радио-светооборудования воздушных линий и аэропортов.</w:t>
      </w:r>
    </w:p>
    <w:p w14:paraId="5695F1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Включить в состав закупочной комиссии в США представителей ГВФ.</w:t>
      </w:r>
    </w:p>
    <w:p w14:paraId="515BFC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Создать в НКАП Главк по транспортному авиастроению.</w:t>
      </w:r>
    </w:p>
    <w:p w14:paraId="50E158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Создать одно-два опытных конструкторских бюро с опытными заводами по конструированию опытных транспортных самолетов.</w:t>
      </w:r>
    </w:p>
    <w:p w14:paraId="700F5D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Решить вопрос о целесообразности и возможности покупки... лицензий лучших транспортных самолетов и моторов.</w:t>
      </w:r>
    </w:p>
    <w:p w14:paraId="189565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Решить вопрос о строительстве для НИИ ГВФ.</w:t>
      </w:r>
    </w:p>
    <w:p w14:paraId="367476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Передать обратно в систему ГВФ завод N....</w:t>
      </w:r>
    </w:p>
    <w:p w14:paraId="2CF26C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Выпускать самолеты Ли-2 только в транспортном и пассажирском вариантах.</w:t>
      </w:r>
    </w:p>
    <w:p w14:paraId="6B2B1C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Создать при факультетах Ленинградской Академии ВВС специализации по подготовке инженеров для служб ГВФ с перспективой передачи Академии обратно в систему ГВФ.</w:t>
      </w:r>
    </w:p>
    <w:p w14:paraId="6FE5FE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Создать при электрофизическом факультете МЭИ НКЭП им. Молотова специализацию по светотехнике гражданской авиации.</w:t>
      </w:r>
    </w:p>
    <w:p w14:paraId="6561B8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Просим под Вашим руководством созвать совещание по затронутым в докладе вопросам (1822,9).</w:t>
      </w:r>
    </w:p>
    <w:p w14:paraId="70F8F9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9086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ГРУ подготовило для Г.М.М. доклад по развитию ГА в США и Англии и 10 июня этот материал был расписан А.И.Ш. (1822).</w:t>
      </w:r>
    </w:p>
    <w:p w14:paraId="359005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26F4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2-го июня 1944 стало известно, что УВВС приняло на вооружение и НКБ поставило на производство новые авиабомбы: ФАБ-250М-43, ФАБ-500М-43, ФАБ-1000М-43 и ФАБ-2000М-43. Предварительная проверка по плазам бомбоотсека самолета Ту-2 показала, что бомбы ФАБ-500М-43 и ФАБ-1000М-43, из-за отличных размеров и очертаний носовой части от серийных бомб, входит в бомбоотсек Ту-2 с минимальными зазорами, недопустимыми для боевой эксплуатации. В ближайшее время будет проведена проверка подвески этих бомб на самолете Ту-2. Приведенные факты происходили потому, что УВВС не выполняли решение СНК N 1672-700сс от 19 июня 1941 г. о том, что утверждение технических проектов образцов авиационного оружия, боеприпасов и установок должно производиться Наркоматами вооружения, боеприпасов, авиационной промышленности и УВВС. Все изменения по подвесной системе авиабомб, а также ввод на вооружение новых бомб, производилось ВВС без согласования с НКАП (1825,110).</w:t>
      </w:r>
    </w:p>
    <w:p w14:paraId="7E8429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461D7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2FE4F1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05968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вышло Постановление ГКО № 5977 Об обеспечении рабочей силой восстанавливаемых предприятий Наркомчермета. РГАНИР, Фонд ГКО, д. 257, лл. 188-189 (11012).</w:t>
      </w:r>
    </w:p>
    <w:p w14:paraId="5A6D907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84B04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вышло Постановление ГКО № 5978 О строительстве Сухумской гидроэлектростанции в Грузинской ССР. РГАНИР, Фонд ГКО, д. 257, лл. 190-193,194-198 (11012).</w:t>
      </w:r>
    </w:p>
    <w:p w14:paraId="30ED58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C5D421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вышло Постановление ГКО № 5979 Об общем плане перевозок грузов по железнодорожному и водному транспорту на июнь 1944 г. (7236, 199).</w:t>
      </w:r>
    </w:p>
    <w:p w14:paraId="40BC601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BF2B0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вышло Постановление ГКО № 5980 О плане перевозок народнохозяйственных грузов по железнодорожному и водному транспорту на июнь 1944 г. (7237, 1-7,8-289).</w:t>
      </w:r>
    </w:p>
    <w:p w14:paraId="61E14DE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768BE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вышло Постановление ГКО № 5981 О мерах по усилению разведочных работ и вводу в эксплуатацию простаивающих скважин в Азнефтекомбинате. (7238, 1-14,15-22).</w:t>
      </w:r>
    </w:p>
    <w:p w14:paraId="2DE1255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620B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вышло Постановление ГКО № 5982 О восстановлении электростанций и электросетей системы Ленэнерго Наркомата электростанций. РГАНИР, Фонд ГКО, д. 261, лл. 23-27,28-49 (11012).</w:t>
      </w:r>
    </w:p>
    <w:p w14:paraId="196468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C14F6A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вышло Постановление ГКО № 5983 О мерах по обеспечению предприятий Наркомрезинпрома газовой сажей. РГАНИР, Фонд ГКО, д. 261, лл. 50-52,53-63 (11012).</w:t>
      </w:r>
    </w:p>
    <w:p w14:paraId="0B476C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E2363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вышло Постановление ГКО № 5985 О частичном восстановлении Дубровской ГРЭС имени С.М.Кирова Наркомата электростанций. РГАНИР, Фонд ГКО, д. 261, лл. 69-72,73-98 (11012).</w:t>
      </w:r>
    </w:p>
    <w:p w14:paraId="3E9DD1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77A513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вышло Постановление ГКО № 5986 О восстановлении электростанций и электросетей для Криворожского железорудного бассейна и Никопольских марганцевых рудников. РГАНИР, Фонд ГКО, д. 261, лл. 99-101,102-121 (11012).</w:t>
      </w:r>
    </w:p>
    <w:p w14:paraId="3A8BB7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D0B8CA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вышло Постановление ГКО № 5987 О мерах помощи Наркомбумпрому в деле ликвидации отставания целлюлозной и бумажной промышленности. (7238, 122-123,124-153).</w:t>
      </w:r>
    </w:p>
    <w:p w14:paraId="5F1EE23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DA31A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вышло Постановление ГКО № 5989 О работе генерал-лейтенанта тов. Бокова ф.Е. РГАНИР, Фонд ГКО, д. 261, лл. 155 (11012).</w:t>
      </w:r>
    </w:p>
    <w:p w14:paraId="53AE9D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CDADB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вышло Постановление ГКО № 5990 О т.т. Мжаванадзе В.П., Хмель А.Е., Коновалове П.Г., Шевякове М.В., Холостове. РГАНИР, Фонд ГКО, д. И. и Писклюкове В.Т. РГАНИР, Фонд ГКО, д. 261, лл. 156 (11012).</w:t>
      </w:r>
    </w:p>
    <w:p w14:paraId="2322D8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AE99F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вышло Распоряжение ГКО № 5991. О задании НКТП представить к 1 января 1945 г. предложения о проведении подготовительных работ по развитию станкостроения на заводах НКТП. РГАНИР, Фонд ГКО, д. 261, лл. 157 (11012).</w:t>
      </w:r>
    </w:p>
    <w:p w14:paraId="3F874E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4E4E8D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вышло Постановление ГКО № 5992 Об обеспечении вывоза импортных грузов с Закавказской и Орджоникидзевской железных дорог в июне 1944 г. (7238, 158-159).</w:t>
      </w:r>
    </w:p>
    <w:p w14:paraId="1CC5C98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D08A0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вышло Распоряжение ГКО № 5993 [О сдаче 200 лошадей НКО институтам эпидемиологии и микробиологии для производства лечебных сывороток для КА и населения.] (7238, 160).</w:t>
      </w:r>
    </w:p>
    <w:p w14:paraId="5D4BBD1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A18B6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вышло Распоряжение ГКО № 5994 [О мобилизации 50 возчиков с лошадьми в Чувашской АССР на вывозку дров для завода № 494 НКАП.] (7238, 161).</w:t>
      </w:r>
    </w:p>
    <w:p w14:paraId="796D877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F1ED8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вышло Распоряжение ГКО № 5995 [О мобилизации 600 возчиков с подводами в Смоленской обл. для работы на предприятиях треста "Запсплавлес" по вывозке пиловочника для заводов стандартного домостроения.] (7238, 162).</w:t>
      </w:r>
    </w:p>
    <w:p w14:paraId="5131B75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53957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вышло Постановление ГКО № 5996 О завозе хлебопродуктов в Свердловскую область в июне 1944 г. (7238, 163-164,165-166).</w:t>
      </w:r>
    </w:p>
    <w:p w14:paraId="5098EE2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F57A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года приказом НКБ за № 6020 Шосткинский капсюльный завод № 53 был введен в число действующих предприятий.</w:t>
      </w:r>
    </w:p>
    <w:p w14:paraId="055B18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Шостка Сумской области, п/я 13</w:t>
      </w:r>
    </w:p>
    <w:p w14:paraId="12CDC8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Начальник завода – П. Трошин (10026).</w:t>
      </w:r>
    </w:p>
    <w:p w14:paraId="7B95F1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6CD2C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3DDE8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291998"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 июня</w:t>
      </w:r>
      <w:r w:rsidRPr="00070ADE">
        <w:rPr>
          <w:rFonts w:ascii="Times New Roman" w:hAnsi="Times New Roman"/>
          <w:color w:val="000000" w:themeColor="text1"/>
          <w:sz w:val="16"/>
          <w:szCs w:val="16"/>
        </w:rPr>
        <w:t xml:space="preserve"> в 1944 году оперативная сводка Совинформбюро:</w:t>
      </w:r>
    </w:p>
    <w:p w14:paraId="6AC7D12E"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 июня в районе северо-западнее и севернее города Яссы наши войска отбивали атаки крупных сил пехоты и танков противника. Северо-западнее Яссы противнику, ценою больших потерь в живой силе и технике, удалось незначительно вклиниться в нашу оборону. Севернее Яссы наши войска успешно отбили все атаки пехоты и танков противника. По предварительным данным, за день боя уничтожено 25 немецких танков.</w:t>
      </w:r>
    </w:p>
    <w:p w14:paraId="0EB0C04F"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остальных участках фронта — без существенных изменений.</w:t>
      </w:r>
    </w:p>
    <w:p w14:paraId="2DCE4E13"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1 июня наши войска подбили и уничтожили 27 немецких танков. В воздушных боях и огнём зенитной артиллерии сбито 47 самолётов противника.</w:t>
      </w:r>
    </w:p>
    <w:p w14:paraId="5E95EB4B"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районе города Яссы противник утром атаковал наши позиции, бросив в бой крупные силы пехоты и танков. Встреченные мощным огнём, немцы были вынуждены откатываться назад, не достигнув советских позиций. Лишь во второй половине дня северо-западнее Яссы противнику ценой тяжёлых потерь удалось незначительно вклиниться в нашу оборону. Севернее Яссы все атаки немцев отбиты. Подступы к нашим позициям усеяны вражескими трупами. Только на одном участке уничтожено 900 гитлеровцев, 7 танков и 3 самоходных орудия. Взята в плен значительная группа немецких солдат и офицеров.</w:t>
      </w:r>
    </w:p>
    <w:p w14:paraId="38708585"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противник четыре раза атаковал наши позиции. Не добившись никакого успеха, немцы отошли на исходный рубеж. На поле боя осталось более 200 вражеских трупов. Сожжены самоходное орудие и два бронетранспортёра противника.</w:t>
      </w:r>
    </w:p>
    <w:p w14:paraId="4FBF2106"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Витебск происходила перестрелка с противником. Группа снайперов под командованием лейтенанта Мусатова за последнее время истребила 147 немецких солдат и офицера. Снайпер Ислам Гайсин уничтожил 27, а снайпер Катков — 25 немцев.</w:t>
      </w:r>
    </w:p>
    <w:p w14:paraId="7262B79F"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Севере бойцы подразделения капитана Юсупова в результате стремительной атаки разгромили до роты гитлеровцев. Захвачены пленные, 7 пулемётов, радиостанция и другие трофей. Группа бойцов во главе с лейтенантом Козловым ночью совершила вылазку в расположение белофиннов. Гранатами и огнём из автоматов разведчики уничтожили 36 солдат противника.</w:t>
      </w:r>
    </w:p>
    <w:p w14:paraId="502B43CD"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корабли, действующие на коммуникациях противника у северного побережья Норвегии, потопили немецкий транспорт водоизмещением в 4 тысячи тонн. Другому транспорту противника нанесены серьёзные повреждения.</w:t>
      </w:r>
    </w:p>
    <w:p w14:paraId="26D4DED3"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Авиационная разведка Краснознамённого Балтийского флота вечером 30 мая обнаружила в Нарвском заливе группу немецких кораблей. Торпедные катера под командованием Героя Советского Союза капитана 3 ранга Осипова атаковали противника. Прорвавшись через завесу артиллерийского огня, торпедные катера потопили три сторожевых корабля и нанесли серьёзные повреждения двум быстроходным десантным судам. Все наши катера вернулись на свою базу.</w:t>
      </w:r>
    </w:p>
    <w:p w14:paraId="4F7505D7"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Белорусский партизанский отряд напал на немецкий гарнизон, расположенный в одном населённом пункте Вилейской области. В ожесточённой рукопашной схватке партизаны истребили 40 немцев. Взяты пленные. Захвачены у немцев станковый пулемёт, 55 винтовок и много боеприпасов. Партизанский отряд «За Советскую Белоруссию» за месяц пустил под откос 18 немецких воинских эшелонов.</w:t>
      </w:r>
    </w:p>
    <w:p w14:paraId="576DE3FE" w14:textId="77777777" w:rsidR="00FE2608" w:rsidRPr="00070ADE" w:rsidRDefault="00FE2608" w:rsidP="00B56F90">
      <w:pPr>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rPr>
        <w:t>На сторону Красной Армии перешла группа солдат и офицеров 18 полка 18 румынской горнострелковой дивизии. Пленный лейтенант Георге Л. рассказал: «Нашей дивизией командует генерал Бэлдеску — отъявленный предатель родины. В угоду немцам он готов сжечь всю Румынию от края до края и уничтожить всё население от мала до велика. Особенно свирепствовал Бэлдеску на оккупированной советской территории. Офицеры рассказывают, что он активно участвовал в грабежах и расстрелах мирных жителей». Далее лейтенант заявил: «В Румынии царит паника. Многие видные чиновники, нажившие за время войны крупные состояния, переводят свои капиталы за границу. Так, например, Памфилий Шейкару продал своё имущество и акции газеты «Курентул» и купил фабрику в Лиссабоне. Некоторые чиновники уже бежали за границу. Правительство явно не справилось с эвакуацией населения из прифронтовой полосы. Потоки беженцев дезорганизовали железнодорожный транспорт. Правительство загоняет беженцев в уезды Аржеш, Дембовица и в Ольтенью. Из-за наплыва огромного числа беженцев в этих районах возникли продовольственные трудности. Многие живут под открытым небом. За последнее время имели место стихийные антинемецкие выступления. Правительство беспощадно расправляется с противниками гитлеровской Германии. Однако, несмотря на все драконовские меры, Антонеску не удалось подавить антифашистское движение. Встранерастётпартизанскоедвижение</w:t>
      </w:r>
      <w:r w:rsidRPr="00070ADE">
        <w:rPr>
          <w:rFonts w:ascii="Times New Roman" w:hAnsi="Times New Roman"/>
          <w:color w:val="000000" w:themeColor="text1"/>
          <w:sz w:val="16"/>
          <w:szCs w:val="16"/>
          <w:lang w:val="en-US"/>
        </w:rPr>
        <w:t>» (14910).</w:t>
      </w:r>
    </w:p>
    <w:p w14:paraId="2DD06DC7" w14:textId="77777777" w:rsidR="00FE2608" w:rsidRPr="00070ADE" w:rsidRDefault="00FE2608" w:rsidP="00B56F90">
      <w:pPr>
        <w:spacing w:after="0" w:line="240" w:lineRule="auto"/>
        <w:jc w:val="both"/>
        <w:rPr>
          <w:rFonts w:ascii="Times New Roman" w:hAnsi="Times New Roman"/>
          <w:color w:val="000000" w:themeColor="text1"/>
          <w:sz w:val="16"/>
          <w:szCs w:val="16"/>
          <w:lang w:val="en-US"/>
        </w:rPr>
      </w:pPr>
    </w:p>
    <w:p w14:paraId="301031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2nd, 1944: First shuttle raid (Operation Frantic) by 130 B-17s of the US 15th Air Force based at Tripoli that attack railyards at Debrecen&lt; Hungary, and then fly on to Soviet airfields at Poltava in the Ukraine. Beginning of secret negotiations between the Rumanian government of Marshal Antonescu and representatives of the Soviet Union at Stockholm, Sweden, while the Bulgarian government seeks terms of surrender rom the Western Allies (3819).</w:t>
      </w:r>
    </w:p>
    <w:p w14:paraId="78421D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B65BB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2 1944 United States Fifteenth Air Force begins shuttle bombing between Italian and Soviet bases (1037).</w:t>
      </w:r>
    </w:p>
    <w:p w14:paraId="28D46F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8D233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2, 1944. The first shuttle bombing mission using Russia as the eastern terminus is flown. Lt. Gen. Ira C. Eaker, head of Mediterranean Allied Air Forces, flies in one of the B-17s (1089).</w:t>
      </w:r>
    </w:p>
    <w:p w14:paraId="331E58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E2590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ВВС США начали челночные бомбардировки между Италией и СССР. На одном из В-17 в СССР прилетел Lt. Gen. Ira C. Eaker (1037;1089).</w:t>
      </w:r>
    </w:p>
    <w:p w14:paraId="7214BA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4CA0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была первая челночная операция, подготовка которых у нас началась с 4 февраля. Прилетело 128 В-17 и 64 Р-51 (340,188).</w:t>
      </w:r>
    </w:p>
    <w:p w14:paraId="36C879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DE86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750 машин в 6:55 вылетели из Италии на бомбежку Венгрии и часть с посадкой в СССР. Сели 64 Б-17 в Полтаве, 65 - в Миргороде и 64 Мустанга в Пирятине. Операция Frantic I (1364,39).</w:t>
      </w:r>
    </w:p>
    <w:p w14:paraId="4AD3EE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622E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года провели первый "челночный" рейд. В тот день на Украине приземлились 128 В-17 О и 64 истребителя сопровождения (3457,112).</w:t>
      </w:r>
    </w:p>
    <w:p w14:paraId="348C2F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AE1980" w14:textId="2BFA5905"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Открытие в Полтаве авиационной базы особого назначения для челночных полетов бомбардировщиков США, командир базы - А.Р.Перминов (22473).</w:t>
      </w:r>
    </w:p>
    <w:p w14:paraId="57154127" w14:textId="77777777" w:rsidR="00781F94" w:rsidRPr="00070ADE" w:rsidRDefault="00781F94" w:rsidP="00B56F90">
      <w:pPr>
        <w:spacing w:after="0" w:line="240" w:lineRule="auto"/>
        <w:jc w:val="both"/>
        <w:rPr>
          <w:rFonts w:ascii="Times New Roman" w:hAnsi="Times New Roman"/>
          <w:color w:val="000000" w:themeColor="text1"/>
          <w:sz w:val="16"/>
          <w:szCs w:val="16"/>
        </w:rPr>
      </w:pPr>
    </w:p>
    <w:p w14:paraId="011028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года в Пирятине сели 64 P-51D из 325-й истребительной группы США, а последний раз Р-51D приземлялись в Пирятине 18 сентября 1944 - тогда их было 62. Всего в "челночных" операциях приняли участие 395 "Мустангов" ВВС армии США. При этом поврежденные по пути машины иногда совершали вынужденные посадки на нашей территории. Поэтому самолеты более поздних модификаций В, С, D с высотными английскими моторами "Мерлин", выпускавшимися в США по лицензии фирмой "Паккард", которые в СССР официально не поступали, в СССР имелись (3457,88).</w:t>
      </w:r>
    </w:p>
    <w:p w14:paraId="63F9EA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A09382"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 июня</w:t>
      </w:r>
      <w:r w:rsidRPr="00070ADE">
        <w:rPr>
          <w:rFonts w:ascii="Times New Roman" w:hAnsi="Times New Roman"/>
          <w:color w:val="000000" w:themeColor="text1"/>
          <w:sz w:val="16"/>
          <w:szCs w:val="16"/>
        </w:rPr>
        <w:t xml:space="preserve"> в 1944 году американское командование начало операцию Frantic по "челночным" стратегическим бомбардировкам с использованием баз в Северной Италии и СССР (14910).</w:t>
      </w:r>
    </w:p>
    <w:p w14:paraId="7C47971F" w14:textId="77777777" w:rsidR="00FE2608" w:rsidRPr="00070ADE" w:rsidRDefault="00FE2608" w:rsidP="00B56F90">
      <w:pPr>
        <w:spacing w:after="0" w:line="240" w:lineRule="auto"/>
        <w:jc w:val="both"/>
        <w:rPr>
          <w:rFonts w:ascii="Times New Roman" w:hAnsi="Times New Roman"/>
          <w:color w:val="000000" w:themeColor="text1"/>
          <w:sz w:val="16"/>
          <w:szCs w:val="16"/>
        </w:rPr>
      </w:pPr>
    </w:p>
    <w:p w14:paraId="76A5F2BF" w14:textId="260D87F1" w:rsidR="004D183C" w:rsidRPr="00070ADE" w:rsidRDefault="004D18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г. провели первый «челноч</w:t>
      </w:r>
      <w:r w:rsidRPr="00070ADE">
        <w:rPr>
          <w:rFonts w:ascii="Times New Roman" w:hAnsi="Times New Roman"/>
          <w:color w:val="000000" w:themeColor="text1"/>
          <w:sz w:val="16"/>
          <w:szCs w:val="16"/>
        </w:rPr>
        <w:softHyphen/>
        <w:t>ный» рейд</w:t>
      </w:r>
      <w:r w:rsidR="007755A2">
        <w:rPr>
          <w:rFonts w:ascii="Times New Roman" w:hAnsi="Times New Roman"/>
          <w:color w:val="000000" w:themeColor="text1"/>
          <w:sz w:val="16"/>
          <w:szCs w:val="16"/>
        </w:rPr>
        <w:t>.</w:t>
      </w:r>
      <w:r w:rsidRPr="00070ADE">
        <w:rPr>
          <w:rFonts w:ascii="Times New Roman" w:hAnsi="Times New Roman"/>
          <w:color w:val="000000" w:themeColor="text1"/>
          <w:sz w:val="16"/>
          <w:szCs w:val="16"/>
        </w:rPr>
        <w:t xml:space="preserve"> В тот день на Украине приземлились 128 B-17G и 64 истребителя сопровождения.</w:t>
      </w:r>
    </w:p>
    <w:p w14:paraId="575E7EE0" w14:textId="77777777" w:rsidR="004D183C" w:rsidRPr="00070ADE" w:rsidRDefault="004D18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Немцы пытались помешать работе баз. 22 июня они организовали массирован</w:t>
      </w:r>
      <w:r w:rsidRPr="00070ADE">
        <w:rPr>
          <w:rFonts w:ascii="Times New Roman" w:hAnsi="Times New Roman"/>
          <w:color w:val="000000" w:themeColor="text1"/>
          <w:sz w:val="16"/>
          <w:szCs w:val="16"/>
        </w:rPr>
        <w:softHyphen/>
        <w:t>ный ночной налет на Полтаву, а на сле</w:t>
      </w:r>
      <w:r w:rsidRPr="00070ADE">
        <w:rPr>
          <w:rFonts w:ascii="Times New Roman" w:hAnsi="Times New Roman"/>
          <w:color w:val="000000" w:themeColor="text1"/>
          <w:sz w:val="16"/>
          <w:szCs w:val="16"/>
        </w:rPr>
        <w:softHyphen/>
        <w:t>дующую ночь — на Миргород. В Полтаве были уничтожены 44 «Крепости» и еще 24 повреждены. Все машины, признан</w:t>
      </w:r>
      <w:r w:rsidRPr="00070ADE">
        <w:rPr>
          <w:rFonts w:ascii="Times New Roman" w:hAnsi="Times New Roman"/>
          <w:color w:val="000000" w:themeColor="text1"/>
          <w:sz w:val="16"/>
          <w:szCs w:val="16"/>
        </w:rPr>
        <w:softHyphen/>
        <w:t>ные непригодными для восстановления, впоследствии бросили на аэродромах. «Челночные» операции продолжались до 19 сентября, когда фронт уже ушел далеко на запад и использование баз на Украине стало нецелесообразным (23513).</w:t>
      </w:r>
    </w:p>
    <w:p w14:paraId="5F362A05" w14:textId="77777777" w:rsidR="004D183C" w:rsidRPr="00070ADE" w:rsidRDefault="004D183C" w:rsidP="00B56F90">
      <w:pPr>
        <w:spacing w:after="0" w:line="240" w:lineRule="auto"/>
        <w:jc w:val="both"/>
        <w:rPr>
          <w:rFonts w:ascii="Times New Roman" w:hAnsi="Times New Roman"/>
          <w:color w:val="000000" w:themeColor="text1"/>
          <w:sz w:val="16"/>
          <w:szCs w:val="16"/>
        </w:rPr>
      </w:pPr>
    </w:p>
    <w:p w14:paraId="2E993F63" w14:textId="77777777" w:rsidR="007755A2" w:rsidRPr="00C94B78" w:rsidRDefault="007755A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 июня 1944 г. в первом челночном рейде принимало участие 128 «Летающих крепостей» и 64 истребителя «Мустанг». Самолеты взлетели с расположенной в Италии авиабазе, отбомбились по венгерскому железнодорожному узлу Дебрецен и приземлились на украинских аэродромах Полтава и Миргород. ПВО советских баз обеспечивал 210</w:t>
      </w:r>
      <w:r w:rsidRPr="00C94B78">
        <w:rPr>
          <w:rFonts w:ascii="Times New Roman" w:hAnsi="Times New Roman"/>
          <w:color w:val="0070C0"/>
          <w:sz w:val="16"/>
          <w:szCs w:val="16"/>
        </w:rPr>
        <w:noBreakHyphen/>
        <w:t>й истребительный авиаполк ПВО, оснащенный самолетами Ла</w:t>
      </w:r>
      <w:r w:rsidRPr="00C94B78">
        <w:rPr>
          <w:rFonts w:ascii="Times New Roman" w:hAnsi="Times New Roman"/>
          <w:color w:val="0070C0"/>
          <w:sz w:val="16"/>
          <w:szCs w:val="16"/>
        </w:rPr>
        <w:noBreakHyphen/>
        <w:t>5Ф, в Полтаве и Миргороде базировались и другие авиаполки, вооруженные Ла</w:t>
      </w:r>
      <w:r w:rsidRPr="00C94B78">
        <w:rPr>
          <w:rFonts w:ascii="Times New Roman" w:hAnsi="Times New Roman"/>
          <w:color w:val="0070C0"/>
          <w:sz w:val="16"/>
          <w:szCs w:val="16"/>
        </w:rPr>
        <w:noBreakHyphen/>
        <w:t>5Ф (25068).</w:t>
      </w:r>
    </w:p>
    <w:p w14:paraId="48217FD9" w14:textId="77777777" w:rsidR="007755A2" w:rsidRPr="00C94B78" w:rsidRDefault="007755A2" w:rsidP="00B56F90">
      <w:pPr>
        <w:spacing w:after="0" w:line="240" w:lineRule="auto"/>
        <w:jc w:val="both"/>
        <w:rPr>
          <w:rFonts w:ascii="Times New Roman" w:hAnsi="Times New Roman"/>
          <w:color w:val="0070C0"/>
          <w:sz w:val="16"/>
          <w:szCs w:val="16"/>
        </w:rPr>
      </w:pPr>
    </w:p>
    <w:p w14:paraId="48327B3A" w14:textId="77777777" w:rsidR="007755A2" w:rsidRPr="00C94B78" w:rsidRDefault="007755A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 июня 1944 г. утром началась операция «Фрэнтик», когда самолёты 15-й американской воздушной армии взлетели с аэродромов Южной Италии и через Адриатическое море двинулись на Венгрию. В головном В-17 с надписью на борту «Янки Дудл II» летел командующий армией генерал Эйкер.</w:t>
      </w:r>
    </w:p>
    <w:p w14:paraId="53AE4047" w14:textId="77777777" w:rsidR="007755A2" w:rsidRPr="00C94B78" w:rsidRDefault="007755A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Сто тридцать «летающих крепостей» В-17 в сопровождении семидесяти истребителей «мустанг» атаковали венгерский железнодорожный узел Дебрецен. На него было сброшено 1030 пятисотфунтовых (227-кг) бомб. Американцы потеряли при этом всего один В-17, а шесть «мустангов» из-за технических неполадок возвратились в Италию.</w:t>
      </w:r>
    </w:p>
    <w:p w14:paraId="5EE4C652" w14:textId="77777777" w:rsidR="007755A2" w:rsidRPr="00C94B78" w:rsidRDefault="007755A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конце концов «летающие крепости» и «мустанги» приземлились на советской земле: 64 бомбардировщика – в Полтаве, 65 бомбардировщиков – в Миргороде и 64 истребителя сели в Пирятине (25184).</w:t>
      </w:r>
    </w:p>
    <w:p w14:paraId="09993286" w14:textId="77777777" w:rsidR="007755A2" w:rsidRPr="00C94B78" w:rsidRDefault="007755A2" w:rsidP="00B56F90">
      <w:pPr>
        <w:spacing w:after="0" w:line="240" w:lineRule="auto"/>
        <w:jc w:val="both"/>
        <w:rPr>
          <w:rFonts w:ascii="Times New Roman" w:hAnsi="Times New Roman"/>
          <w:color w:val="0070C0"/>
          <w:sz w:val="16"/>
          <w:szCs w:val="16"/>
        </w:rPr>
      </w:pPr>
    </w:p>
    <w:p w14:paraId="617D899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2814D7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909BD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вышло Постановление ГКО № 5984 [О выселении с территории Крыма 37 тыс. болгар, греков и армян.] (7238, 64-66,67-68).</w:t>
      </w:r>
    </w:p>
    <w:p w14:paraId="40B7588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CD041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Сталин распорядился депортировать из Крыма болгар, греков и армян (4962).</w:t>
      </w:r>
    </w:p>
    <w:p w14:paraId="5822012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92199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вышло Постановление ГКО № 5988 [Об объявлении благодарности коллективу Мосметростроя за успешную работу по строительству III очереди метрополитена.] (7238, 154).</w:t>
      </w:r>
    </w:p>
    <w:p w14:paraId="1EED98F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11278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59260E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0A27DF"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 июня</w:t>
      </w:r>
      <w:r w:rsidRPr="00070ADE">
        <w:rPr>
          <w:rFonts w:ascii="Times New Roman" w:hAnsi="Times New Roman"/>
          <w:color w:val="000000" w:themeColor="text1"/>
          <w:sz w:val="16"/>
          <w:szCs w:val="16"/>
        </w:rPr>
        <w:t xml:space="preserve"> в 1944 году в Венцендорфе проведен второй полет планера-истребителя </w:t>
      </w:r>
      <w:hyperlink r:id="rId163" w:tgtFrame="_blank" w:history="1">
        <w:r w:rsidRPr="00070ADE">
          <w:rPr>
            <w:rFonts w:ascii="Times New Roman" w:hAnsi="Times New Roman"/>
            <w:color w:val="000000" w:themeColor="text1"/>
            <w:sz w:val="16"/>
            <w:szCs w:val="16"/>
          </w:rPr>
          <w:t xml:space="preserve">«ВV.40-V1». </w:t>
        </w:r>
      </w:hyperlink>
      <w:r w:rsidRPr="00070ADE">
        <w:rPr>
          <w:rFonts w:ascii="Times New Roman" w:hAnsi="Times New Roman"/>
          <w:color w:val="000000" w:themeColor="text1"/>
          <w:sz w:val="16"/>
          <w:szCs w:val="16"/>
        </w:rPr>
        <w:t>Отличительной чертой «ВV.40» было применение недефицитных материалов, которые обрабатывались плотниками, столярами, сварщиками и слесарями, не имевшими опыта авиастроителей. Кабина, в которой полулежа на подушке размещался пилот, была сварена из стальных листов. Передний лист толщиной 20мм, боковые и сбрасываемая верхняя панель - З мм, дно - 5мм. Лобовое бронестекло было толщиной 120 мм, а две сдвижные бронированные панели закрывали боковые окна. Hоги пилота были защищены 8 мм броней. Центральная секция фюзеляжа из клепаного металла скреплялась болтами с деревянным хвостом. Крыло и оперение также деревянной конструкции. Крыло с одним коробчатым главный лонжероном из фанеры и двумя вспомогательными сзади и спереди от главного. Оно обшивалось 4мм фанерой и крепилось к фюзеляжу четыремя болтами. Для взлета использовалась сбрасываемая двухколесная тележка, а для посадки полуубирающаяся лыжа. Точность посадки обеспечивалась закрылками, опускаемыми на 80°. Первоначально Фогт планировал ограничить вооружение одной пушкой «МК-108» с 70 снарядами. Он полагал, что если после первой атаки высота позволяла сделать второй заход, то должен был использоваться "Герат шлинге" (петлевой снаряд) - кабель, спущенный с планера с небольшим зарядом взрывчатки. Тем не менее, сошлись на мнении, что планер должен был вести атаку в лоб на скорости 400км/ч, сближаясь с целью на 800км/ч, так что пилот едва ли мог успеть сделать больше одной очереди, которая должна была быть максимально мощной. В результате было решено при том же боезапасе установить две пушки, а "петлевой снаряд" снять (14910).</w:t>
      </w:r>
    </w:p>
    <w:p w14:paraId="34A86344" w14:textId="77777777" w:rsidR="00FE2608" w:rsidRPr="00070ADE" w:rsidRDefault="00FE2608" w:rsidP="00B56F90">
      <w:pPr>
        <w:spacing w:after="0" w:line="240" w:lineRule="auto"/>
        <w:jc w:val="both"/>
        <w:rPr>
          <w:rFonts w:ascii="Times New Roman" w:hAnsi="Times New Roman"/>
          <w:color w:val="000000" w:themeColor="text1"/>
          <w:sz w:val="16"/>
          <w:szCs w:val="16"/>
        </w:rPr>
      </w:pPr>
    </w:p>
    <w:p w14:paraId="3AF4E598" w14:textId="77777777" w:rsidR="006B3C37" w:rsidRPr="00070ADE" w:rsidRDefault="006B3C3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г. 130 В-17, сопровождаемые 70 истребителями Р-51, бомбили город Дебрецен. Конечно же, как обычно, аме</w:t>
      </w:r>
      <w:r w:rsidRPr="00070ADE">
        <w:rPr>
          <w:rFonts w:ascii="Times New Roman" w:hAnsi="Times New Roman"/>
          <w:color w:val="000000" w:themeColor="text1"/>
          <w:sz w:val="16"/>
          <w:szCs w:val="16"/>
        </w:rPr>
        <w:softHyphen/>
        <w:t>риканцы бомбили не город, а только железнодорожные пути и вокзал... Ну а город сами венгры разрушили? В пропагандистских целях? После атаки В-17 сели на аэродроме в Миргороде, а Р-51 - в Пирятине. Это был челночный налет по программе «Фрэнтик» (19083).</w:t>
      </w:r>
    </w:p>
    <w:p w14:paraId="6018D368" w14:textId="77777777" w:rsidR="006B3C37" w:rsidRPr="00070ADE" w:rsidRDefault="006B3C37" w:rsidP="00B56F90">
      <w:pPr>
        <w:spacing w:after="0" w:line="240" w:lineRule="auto"/>
        <w:jc w:val="both"/>
        <w:rPr>
          <w:rFonts w:ascii="Times New Roman" w:hAnsi="Times New Roman"/>
          <w:color w:val="000000" w:themeColor="text1"/>
          <w:sz w:val="16"/>
          <w:szCs w:val="16"/>
        </w:rPr>
      </w:pPr>
    </w:p>
    <w:p w14:paraId="46282BBC"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июня (с ночь) 1944 235 британских бомбардировщиков атакуют железнодорожные станции в Трапе, Франция, и немецкую станцию постановки радиолокационных помех в Бернваль-ле-Гран, Франция. Рейд на Трапп был успешным лишь частично и потери составили 16 бомбардировщиков (12,5 процента отправленных туда сил), в то время как удар Бернваль-ле-Гран очень точен и возвращается без потерь (20373).</w:t>
      </w:r>
    </w:p>
    <w:p w14:paraId="0E229DDF" w14:textId="77777777" w:rsidR="00781F94" w:rsidRPr="00070ADE" w:rsidRDefault="00781F94" w:rsidP="00B56F90">
      <w:pPr>
        <w:spacing w:after="0" w:line="240" w:lineRule="auto"/>
        <w:jc w:val="both"/>
        <w:rPr>
          <w:rFonts w:ascii="Times New Roman" w:hAnsi="Times New Roman"/>
          <w:color w:val="000000" w:themeColor="text1"/>
          <w:sz w:val="16"/>
          <w:szCs w:val="16"/>
        </w:rPr>
      </w:pPr>
    </w:p>
    <w:p w14:paraId="610F2DEE"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июня (с ночь) 1944 чтобы отвлечь внимание немцев от побережья Нормандии, где состоится предстоящее вторжение, 271 британский бомбардировщик атакует четыре немецких береговых артиллерийских орудия в Па-де-Кале, при этом один из налетов точно поразил цель. Один бомбардировщик не возвращается (20373).</w:t>
      </w:r>
    </w:p>
    <w:p w14:paraId="1E61ECF6" w14:textId="77777777" w:rsidR="00781F94" w:rsidRPr="00070ADE" w:rsidRDefault="00781F94" w:rsidP="00B56F90">
      <w:pPr>
        <w:spacing w:after="0" w:line="240" w:lineRule="auto"/>
        <w:jc w:val="both"/>
        <w:rPr>
          <w:rFonts w:ascii="Times New Roman" w:hAnsi="Times New Roman"/>
          <w:color w:val="000000" w:themeColor="text1"/>
          <w:sz w:val="16"/>
          <w:szCs w:val="16"/>
        </w:rPr>
      </w:pPr>
    </w:p>
    <w:p w14:paraId="337318C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в Алжире генерал Шарль де Голль сформировал временное правительство Франции (4962).</w:t>
      </w:r>
    </w:p>
    <w:p w14:paraId="618AFFA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4D00BC"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54 японских самолета атакуют десант США у берегов Биака, потеряв 12 из них и почти не нанеся повреждений (20373).</w:t>
      </w:r>
    </w:p>
    <w:p w14:paraId="7822150B" w14:textId="77777777" w:rsidR="00781F94" w:rsidRPr="00070ADE" w:rsidRDefault="00781F94" w:rsidP="00B56F90">
      <w:pPr>
        <w:spacing w:after="0" w:line="240" w:lineRule="auto"/>
        <w:jc w:val="both"/>
        <w:rPr>
          <w:rFonts w:ascii="Times New Roman" w:hAnsi="Times New Roman"/>
          <w:color w:val="000000" w:themeColor="text1"/>
          <w:sz w:val="16"/>
          <w:szCs w:val="16"/>
        </w:rPr>
      </w:pPr>
    </w:p>
    <w:p w14:paraId="2C7FB1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июня 1944 в Алжире на базе Комитета национального освобождения было создано Временное правительство Французской республики во главе с Ш. де Голем (3481).</w:t>
      </w:r>
    </w:p>
    <w:p w14:paraId="39CAFA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FC253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62C3E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6632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июня 1944 г. вышел акт по результатам госиспытаний Ил-10, в котором отмечалось, что " 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 на границе высотности на 147 км/ч Время набора высоты 3000 м меньше на 3 мин Дальность горизонтального полета на высоте 500 м возросла на 120 км 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 В эксплуатации самолет прост, его производство может базироваться на технологии серийного производства Ил-2. Самолет Ил-10 является классическим образцом самолета-штурмовика (7442).</w:t>
      </w:r>
    </w:p>
    <w:p w14:paraId="5DA2B0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54EE4C" w14:textId="7E0EC79B"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июня 1944 Зам. Нач. 12 ГУ НКАП Соколов писал письмо № Д-1/1466 Нач. ПГУ НКХП</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С.Я.Файнштейну:</w:t>
      </w:r>
    </w:p>
    <w:p w14:paraId="6646C5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Направляю чертежи на бронестекло самолета Ил-10. </w:t>
      </w:r>
    </w:p>
    <w:p w14:paraId="442234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рассмотреть чертежи и дать к ним Ваши замечания.</w:t>
      </w:r>
    </w:p>
    <w:p w14:paraId="6F4A1A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чертежи №№ Б-0400-2, Б-0400-1 в 1 экз. (10532,11)</w:t>
      </w:r>
    </w:p>
    <w:p w14:paraId="08DEA6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AF09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июня 1944 Зам. Нач. 7ГУ Алексеев подготовил сводку г-7 № 7331 о ходе испытаний высотных самолетов на 2 июня 1944 по Як-9 М-105ПД, Ла-5 АШ-82ФН и 2ТК-3, МиГ АМ-39А и 2ТК-2Б (1825).</w:t>
      </w:r>
    </w:p>
    <w:p w14:paraId="360C95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C478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июня 1944 на Ла-5 АШ-82ФН + 2ТК-3 был выполнен полет на 8000 м с ТК, перегрелись головки и полет прекратили (1825).</w:t>
      </w:r>
    </w:p>
    <w:p w14:paraId="5B462E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6C28C1"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июня 1944 после нескольких дней нелётной погоды состоялся полёт Ла-5А до высоты 8000 м с работающими турбокомпрессорами. Вновь падение давление бензина и высокие темпе</w:t>
      </w:r>
      <w:r w:rsidRPr="00070ADE">
        <w:rPr>
          <w:rFonts w:ascii="Times New Roman" w:hAnsi="Times New Roman"/>
          <w:color w:val="000000" w:themeColor="text1"/>
          <w:sz w:val="16"/>
          <w:szCs w:val="16"/>
        </w:rPr>
        <w:softHyphen/>
        <w:t>ратуры головок цилиндров мотора привели к прекращению полёта. На самолёте заме</w:t>
      </w:r>
      <w:r w:rsidRPr="00070ADE">
        <w:rPr>
          <w:rFonts w:ascii="Times New Roman" w:hAnsi="Times New Roman"/>
          <w:color w:val="000000" w:themeColor="text1"/>
          <w:sz w:val="16"/>
          <w:szCs w:val="16"/>
        </w:rPr>
        <w:softHyphen/>
        <w:t>нили центральный бензобак и эжекторную помпу, улучшили дефлектирование головок цилиндров и изменили боковые крышки капотов. Однако 8 июня контрольный полёт при</w:t>
      </w:r>
      <w:r w:rsidRPr="00070ADE">
        <w:rPr>
          <w:rFonts w:ascii="Times New Roman" w:hAnsi="Times New Roman"/>
          <w:color w:val="000000" w:themeColor="text1"/>
          <w:sz w:val="16"/>
          <w:szCs w:val="16"/>
        </w:rPr>
        <w:softHyphen/>
        <w:t>шлось прекратить из-за течи масла. Наконец, 11 июня 1944 г. в полёте на определение потолка на первой скорости нагнетателя с включенными турбокомпрессорами достигли высоты 11000 м. На высоте 3000 м включилась система впрыска воды, и температура го</w:t>
      </w:r>
      <w:r w:rsidRPr="00070ADE">
        <w:rPr>
          <w:rFonts w:ascii="Times New Roman" w:hAnsi="Times New Roman"/>
          <w:color w:val="000000" w:themeColor="text1"/>
          <w:sz w:val="16"/>
          <w:szCs w:val="16"/>
        </w:rPr>
        <w:softHyphen/>
        <w:t>ловок цилиндров на протяжении полёта сохранялась нормальной, на высоте 7000 м сработала система нейтрального газа, обеспечившая поддержание нормального давления бензина. Однако течь масла в соединениях мотора и высокая температура масла на вы</w:t>
      </w:r>
      <w:r w:rsidRPr="00070ADE">
        <w:rPr>
          <w:rFonts w:ascii="Times New Roman" w:hAnsi="Times New Roman"/>
          <w:color w:val="000000" w:themeColor="text1"/>
          <w:sz w:val="16"/>
          <w:szCs w:val="16"/>
        </w:rPr>
        <w:softHyphen/>
        <w:t>ходе — 90°С, привели к прекращению полёта. Для снижения температуры масла на са</w:t>
      </w:r>
      <w:r w:rsidRPr="00070ADE">
        <w:rPr>
          <w:rFonts w:ascii="Times New Roman" w:hAnsi="Times New Roman"/>
          <w:color w:val="000000" w:themeColor="text1"/>
          <w:sz w:val="16"/>
          <w:szCs w:val="16"/>
        </w:rPr>
        <w:softHyphen/>
        <w:t>молёте установили радиатор с трубкой диаметром 4 мм, вместо прежнего радиатора с трубкой 5 мм, а также приспособление для защиты радиатора от попадания масла из за- моторного пространства. 13 июня 1944 г. произвели два полёта: первый до высоты 9500 м, второй — до 4500 м, и оба пришлось прекратить из-за выброса масла из мотора. Как по</w:t>
      </w:r>
      <w:r w:rsidRPr="00070ADE">
        <w:rPr>
          <w:rFonts w:ascii="Times New Roman" w:hAnsi="Times New Roman"/>
          <w:color w:val="000000" w:themeColor="text1"/>
          <w:sz w:val="16"/>
          <w:szCs w:val="16"/>
        </w:rPr>
        <w:softHyphen/>
        <w:t>казали произведенные при участии представителя завода N9 19 испытания и осмотр, течь происходила из кольцевого уплотнения нагнетателя. Сделали однозначный вывод, что для проведения высотных полётов требуются моторы специальной сборки.</w:t>
      </w:r>
    </w:p>
    <w:p w14:paraId="06643E99"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как такие моторы завод № 19 мог изготовить лишь к 1 июля, ему дали указание отгрузить заводу № 21 два мотора обычной сборки, но с улучшенным дефлектирова- нием. К 25 июня, после установки на месте пушки дополнительного маслобака, само</w:t>
      </w:r>
      <w:r w:rsidRPr="00070ADE">
        <w:rPr>
          <w:rFonts w:ascii="Times New Roman" w:hAnsi="Times New Roman"/>
          <w:color w:val="000000" w:themeColor="text1"/>
          <w:sz w:val="16"/>
          <w:szCs w:val="16"/>
        </w:rPr>
        <w:softHyphen/>
        <w:t>лёт снова подготовили к продолжению испытаний. Во время состоявшихся 3-4 июля полётов до высоты 7800 м температура масла на входе поднялась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 помпу — агрегат № 180, и произвели отсос масла из суфлёрного бачка. Однако в кон</w:t>
      </w:r>
      <w:r w:rsidRPr="00070ADE">
        <w:rPr>
          <w:rFonts w:ascii="Times New Roman" w:hAnsi="Times New Roman"/>
          <w:color w:val="000000" w:themeColor="text1"/>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4EC215D3"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070ADE">
        <w:rPr>
          <w:rFonts w:ascii="Times New Roman" w:hAnsi="Times New Roman"/>
          <w:color w:val="000000" w:themeColor="text1"/>
          <w:sz w:val="16"/>
          <w:szCs w:val="16"/>
        </w:rPr>
        <w:softHyphen/>
        <w:t>поладок регулятора смеси. На следующий день для скорейшей отработки винтомотор</w:t>
      </w:r>
      <w:r w:rsidRPr="00070ADE">
        <w:rPr>
          <w:rFonts w:ascii="Times New Roman" w:hAnsi="Times New Roman"/>
          <w:color w:val="000000" w:themeColor="text1"/>
          <w:sz w:val="16"/>
          <w:szCs w:val="16"/>
        </w:rPr>
        <w:softHyphen/>
        <w:t xml:space="preserve">ной группы на больших высотах при участии сотрудников лаборатории ЛИИ самолёт перегнали на аэродром «Раменское». При перелёте мотор </w:t>
      </w:r>
      <w:r w:rsidRPr="00070ADE">
        <w:rPr>
          <w:rFonts w:ascii="Times New Roman" w:hAnsi="Times New Roman"/>
          <w:color w:val="000000" w:themeColor="text1"/>
          <w:sz w:val="16"/>
          <w:szCs w:val="16"/>
        </w:rPr>
        <w:lastRenderedPageBreak/>
        <w:t>работал «богато», и на сред</w:t>
      </w:r>
      <w:r w:rsidRPr="00070ADE">
        <w:rPr>
          <w:rFonts w:ascii="Times New Roman" w:hAnsi="Times New Roman"/>
          <w:color w:val="000000" w:themeColor="text1"/>
          <w:sz w:val="16"/>
          <w:szCs w:val="16"/>
        </w:rPr>
        <w:softHyphen/>
        <w:t>них режимах его трясло. В ЛИИ лётные испытания продолжили. 21 сентября в конт</w:t>
      </w:r>
      <w:r w:rsidRPr="00070ADE">
        <w:rPr>
          <w:rFonts w:ascii="Times New Roman" w:hAnsi="Times New Roman"/>
          <w:color w:val="000000" w:themeColor="text1"/>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070ADE">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070ADE">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06CC19DF"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070ADE">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070ADE">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070ADE">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070ADE">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070ADE">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070ADE">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070ADE">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070ADE">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070ADE">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070ADE">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070ADE">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070ADE">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5F0927CC"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070ADE">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070ADE">
        <w:rPr>
          <w:rFonts w:ascii="Times New Roman" w:hAnsi="Times New Roman"/>
          <w:color w:val="000000" w:themeColor="text1"/>
          <w:sz w:val="16"/>
          <w:szCs w:val="16"/>
        </w:rPr>
        <w:softHyphen/>
        <w:t>жар, и на высоте 9000 м покинул самолёт (15830).</w:t>
      </w:r>
    </w:p>
    <w:p w14:paraId="7D48A841" w14:textId="77777777" w:rsidR="00FE2608" w:rsidRPr="00070ADE" w:rsidRDefault="00FE2608" w:rsidP="00B56F90">
      <w:pPr>
        <w:spacing w:after="0" w:line="240" w:lineRule="auto"/>
        <w:jc w:val="both"/>
        <w:rPr>
          <w:rFonts w:ascii="Times New Roman" w:hAnsi="Times New Roman"/>
          <w:color w:val="000000" w:themeColor="text1"/>
          <w:sz w:val="16"/>
          <w:szCs w:val="16"/>
        </w:rPr>
      </w:pPr>
    </w:p>
    <w:p w14:paraId="676BBC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3-го июня 1944 на ЛА-5 С АШ-82ФН и 2ТК-3 был произведен полет до высоты 8000 мт с работа</w:t>
      </w:r>
      <w:r w:rsidRPr="00070ADE">
        <w:rPr>
          <w:rFonts w:ascii="Times New Roman" w:hAnsi="Times New Roman"/>
          <w:color w:val="000000" w:themeColor="text1"/>
          <w:sz w:val="16"/>
          <w:szCs w:val="16"/>
        </w:rPr>
        <w:softHyphen/>
        <w:t>ющим ТК; из-за падения давления бензина и высоких температур головок цилиндров мотора, полет был прекращен (1825).</w:t>
      </w:r>
    </w:p>
    <w:p w14:paraId="2B1B05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AE450E"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июня 1944 г. Приказ директора завода № 16 М. М. Лукина о создании реактивного двигателя РД-3 и внедрении двигателя РД-1</w:t>
      </w:r>
    </w:p>
    <w:p w14:paraId="269C1037"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постановления ГОКО важнейшей задачей Наркомавиапрома является создание реактивного двигателя РД-3 и внедрение в авиацию двигателя РД-1.</w:t>
      </w:r>
    </w:p>
    <w:p w14:paraId="4C26D78F"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Выполнение этой задачи поручено заводу № 16. Для обеспечения выполнения этого постановления в части проведения доводочно-экспериментальных работ по насосным агрегатам, редукторам и форсункам двигателей РД-3 и серийным двигателям РД-1 приказываю:</w:t>
      </w:r>
    </w:p>
    <w:p w14:paraId="09287107"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w:t>
      </w:r>
    </w:p>
    <w:p w14:paraId="6F84D87B"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Начальнику лаборатории тов. Клисанич Н. П. выполнять работы для КБ-РД по утвержденным мною планам доводочно-экспериментальных работ, ежемесячно спускаемым лаборатории.</w:t>
      </w:r>
    </w:p>
    <w:p w14:paraId="5671D6B3"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Полную ответственность за обеспечение и проведение работ, предусматриваемых этими планами, возлагаю на тов. Клисанич.</w:t>
      </w:r>
    </w:p>
    <w:p w14:paraId="68468025"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2.</w:t>
      </w:r>
    </w:p>
    <w:p w14:paraId="73AEF397"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целью обеспечения своевременного технологического испытания серийных насосных агрегатов и форсунок двигателя РД-1, начальнику лаборатории тов. Клисанич Н. П. провести подготовительную работу и дооборудование водомасляного кабинета, а также подготовить и прикрепить к этому кабинету обслуживающий персонал к 20 июня с. г.</w:t>
      </w:r>
    </w:p>
    <w:p w14:paraId="19C3D421"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3.</w:t>
      </w:r>
    </w:p>
    <w:p w14:paraId="08ADBB9A"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Заместителю главного конструктора КБ РД по экспериментальной части инженеру Севрук Д. Д. к 5 июня с. г. выдать начальнику лаборатории технические условия и инструкции по испытанию агрегатов серийных двигателей РД-1, своевременно обеспечивать программами испытаний доводочные работы по РД-1 и РД-3.</w:t>
      </w:r>
    </w:p>
    <w:p w14:paraId="0C02AC9C"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завода № 16 М. М. Лукин</w:t>
      </w:r>
    </w:p>
    <w:p w14:paraId="5DA48FD9"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РТ. Ф. Р-5940. Оп. 1. Д. 159. Л. 43. Подлинник (15494).</w:t>
      </w:r>
    </w:p>
    <w:p w14:paraId="0D2F53FF" w14:textId="77777777" w:rsidR="00FE2608" w:rsidRPr="00070ADE" w:rsidRDefault="00FE2608" w:rsidP="00B56F90">
      <w:pPr>
        <w:spacing w:after="0" w:line="240" w:lineRule="auto"/>
        <w:jc w:val="both"/>
        <w:rPr>
          <w:rFonts w:ascii="Times New Roman" w:hAnsi="Times New Roman"/>
          <w:color w:val="000000" w:themeColor="text1"/>
          <w:sz w:val="16"/>
          <w:szCs w:val="16"/>
        </w:rPr>
      </w:pPr>
    </w:p>
    <w:p w14:paraId="39FD40F0" w14:textId="77777777" w:rsidR="004D183C" w:rsidRPr="00070ADE" w:rsidRDefault="004D18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июня 1944 г. вышел Приказ директора завода № 16 М. М. Лукина о создании реактивного двигателя РД-3 и внедрении двигателя РД-1</w:t>
      </w:r>
    </w:p>
    <w:p w14:paraId="43B11BE4" w14:textId="0BA91DE4" w:rsidR="004D183C" w:rsidRPr="00070ADE" w:rsidRDefault="004D18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постановления ГОКО, важнейшей задачей Наркомавиапрома является создание реактивного двигателя РД-3 и внедрение в авиацию двигателя РД-1.</w:t>
      </w:r>
    </w:p>
    <w:p w14:paraId="7C87D876" w14:textId="77777777" w:rsidR="004D183C" w:rsidRPr="00070ADE" w:rsidRDefault="004D18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Выполнение этой задачи поручено заводу № 16. Для обеспечения выполнения этого постановления в части проведения доводочно-экспериментальных работ по насосным агрегатам, редукторам и форсункам двигателей РД-3 и серийным двигателям РД-1 приказываю:</w:t>
      </w:r>
    </w:p>
    <w:p w14:paraId="02881085" w14:textId="77777777" w:rsidR="004D183C" w:rsidRPr="00070ADE" w:rsidRDefault="004D18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w:t>
      </w:r>
    </w:p>
    <w:p w14:paraId="38EE764A" w14:textId="77777777" w:rsidR="004D183C" w:rsidRPr="00070ADE" w:rsidRDefault="004D18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Начальнику лаборатории тов. Клисанич Н. П. выполнять работы для КБ-РД по утвержденным мною планам доводочно-экспериментальных работ, ежемесячно спускаемым лаборатории.</w:t>
      </w:r>
    </w:p>
    <w:p w14:paraId="2F3CC2A9" w14:textId="77777777" w:rsidR="004D183C" w:rsidRPr="00070ADE" w:rsidRDefault="004D18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Полную ответственность за обеспечение и проведение работ, предусматриваемых этими планами, возлагаю на тов. Клисанич.</w:t>
      </w:r>
    </w:p>
    <w:p w14:paraId="4904ACB4" w14:textId="77777777" w:rsidR="004D183C" w:rsidRPr="00070ADE" w:rsidRDefault="004D18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2.</w:t>
      </w:r>
    </w:p>
    <w:p w14:paraId="53625107" w14:textId="77777777" w:rsidR="004D183C" w:rsidRPr="00070ADE" w:rsidRDefault="004D18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 целью обеспечения своевременного технологического испытания серийных насосных агрегатов и форсунок двигателя РД-1, начальнику лаборатории тов. Клисанич Н. П. провести подготовительную работу и дооборудование водомасляного кабинета, а также подготовить и прикрепить к этому кабинету обслуживающий </w:t>
      </w:r>
    </w:p>
    <w:p w14:paraId="7DCB5900" w14:textId="77777777" w:rsidR="004D183C" w:rsidRPr="00070ADE" w:rsidRDefault="004D18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персонал к 20 июня с. г.</w:t>
      </w:r>
    </w:p>
    <w:p w14:paraId="7D223E92" w14:textId="77777777" w:rsidR="004D183C" w:rsidRPr="00070ADE" w:rsidRDefault="004D18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3.</w:t>
      </w:r>
    </w:p>
    <w:p w14:paraId="25C764B2" w14:textId="77777777" w:rsidR="004D183C" w:rsidRPr="00070ADE" w:rsidRDefault="004D18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Заместителю главного конструктора КБ-РД по экспериментальной части инженеру Севрук Д. Д. к 5 июня с. г. выдать начальнику лаборатории технические условия и инструкции по испытанию агрегатов серийных двигателей РД-1, своевременно обеспечивать программами испытаний доводочные работы по РД-1 и РД-3.</w:t>
      </w:r>
    </w:p>
    <w:p w14:paraId="6D6ECBAA" w14:textId="77777777" w:rsidR="004D183C" w:rsidRPr="00070ADE" w:rsidRDefault="004D18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завода № 16 М. М. Лукин</w:t>
      </w:r>
    </w:p>
    <w:p w14:paraId="4E883224" w14:textId="77777777" w:rsidR="004D183C" w:rsidRPr="00070ADE" w:rsidRDefault="004D18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РТ Ф. Р-5940. Оп. 7. К 159. Л. 43. Подлинник (23767).</w:t>
      </w:r>
    </w:p>
    <w:p w14:paraId="59F872CE" w14:textId="77777777" w:rsidR="004D183C" w:rsidRPr="00070ADE" w:rsidRDefault="004D183C" w:rsidP="00B56F90">
      <w:pPr>
        <w:spacing w:after="0" w:line="240" w:lineRule="auto"/>
        <w:jc w:val="both"/>
        <w:rPr>
          <w:rFonts w:ascii="Times New Roman" w:hAnsi="Times New Roman"/>
          <w:color w:val="000000" w:themeColor="text1"/>
          <w:sz w:val="16"/>
          <w:szCs w:val="16"/>
        </w:rPr>
      </w:pPr>
    </w:p>
    <w:p w14:paraId="6BB6212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5227B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E9EA3F" w14:textId="304BA84A"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июня 1944 г. по приказу НКВ из состава завода (Завод № 711 НКВ, Климовский штамповочный завод (КШЗ), АООТ, ОАО «КШЗ» РАВ, ЗАО «Климовский специализированный патронный завод» (КСПЗ) РАВ /142181</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Климовск Московской обл. ул. Заводская, 2/) бывшее отделение выделилось в самостоятельное ЦКБ-3 (КБАЛ им. Л.H. Кошкина) (11982).</w:t>
      </w:r>
    </w:p>
    <w:p w14:paraId="66CC448E" w14:textId="1F1A80AF"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ЦКБ-3 НКВ, КБ автоматических линий (КБАЛ) им. JI.H. Кошкина, ОАО «КБАЛ им. Л.Н. Кошкина» /142184</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Климовск Московской обл. пр. 50-летия Октября, 21А/</w:t>
      </w:r>
    </w:p>
    <w:p w14:paraId="456EFB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приказу НКВ от 3.06.1944 г. отделение Климовского завода № 711 выделилось в самостоятельное ЦКБ-3. Разработка роторных линий для производства патронов.</w:t>
      </w:r>
    </w:p>
    <w:p w14:paraId="4DAD06D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Являлось головной конструкторско-технологической организацией патронной промышленности.</w:t>
      </w:r>
    </w:p>
    <w:p w14:paraId="01EBE5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(11982).</w:t>
      </w:r>
    </w:p>
    <w:p w14:paraId="51C215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DB91867"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 июня</w:t>
      </w:r>
      <w:r w:rsidRPr="00070ADE">
        <w:rPr>
          <w:rFonts w:ascii="Times New Roman" w:hAnsi="Times New Roman"/>
          <w:color w:val="000000" w:themeColor="text1"/>
          <w:sz w:val="16"/>
          <w:szCs w:val="16"/>
        </w:rPr>
        <w:t xml:space="preserve"> в 1944 году по Приказу Наркома вооружений Д.Ф.Устинова образовано Центральное конструкторское бюро №3 (переименованное в 1966 г. в КБАЛ) создано, являясь головной конструкторско-технологической организацией патронной промышленности. Проведенные Л.Н.Кошкиным работы патронной промышленности послужили весомым аргументом для создания КБ под его руководством, которое после преобразования в ОАО КБАЛ в 1994 г. стало носить его имя (ОАО "КБ автоматических линий имени Л.Н.Кошкина"). В период 1960-1980 гг. осуществленна полная реконструкция патронной промышленности, создано более 250 типов и изготовлено более 7000 АРЛ (14911).</w:t>
      </w:r>
    </w:p>
    <w:p w14:paraId="60E9EC93" w14:textId="77777777" w:rsidR="00FE2608" w:rsidRPr="00070ADE" w:rsidRDefault="00FE2608" w:rsidP="00B56F90">
      <w:pPr>
        <w:spacing w:after="0" w:line="240" w:lineRule="auto"/>
        <w:jc w:val="both"/>
        <w:rPr>
          <w:rFonts w:ascii="Times New Roman" w:hAnsi="Times New Roman"/>
          <w:color w:val="000000" w:themeColor="text1"/>
          <w:sz w:val="16"/>
          <w:szCs w:val="16"/>
        </w:rPr>
      </w:pPr>
    </w:p>
    <w:p w14:paraId="01C2AE8B" w14:textId="77777777" w:rsidR="004D183C" w:rsidRPr="00070ADE" w:rsidRDefault="004D18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июня 1944 г. Приказом наркома В.А. Малышева № 369сс на ленинградские предприятия «без ущерба производству» переводилось 900 квалифицированных рабочих и 300 инженерно-технических работников для Кировского завода и 300 квалифицированных рабочих и 100 ИТР для Ижорского завода.</w:t>
      </w:r>
    </w:p>
    <w:p w14:paraId="24AEBAC0" w14:textId="77777777" w:rsidR="004D183C" w:rsidRPr="00070ADE" w:rsidRDefault="004D18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1944 г. на восстанавливаемые предприятия (СТЗ, завод им. Ильича, ленинградский Кировский и Ижорский заводы) на инженерно</w:t>
      </w:r>
      <w:r w:rsidRPr="00070ADE">
        <w:rPr>
          <w:rFonts w:ascii="Times New Roman" w:hAnsi="Times New Roman"/>
          <w:color w:val="000000" w:themeColor="text1"/>
          <w:sz w:val="16"/>
          <w:szCs w:val="16"/>
        </w:rPr>
        <w:softHyphen/>
        <w:t>технические должности было направлено 2336 человек. Кстати, примерно столько же уже находилось там по состоянию на 1 января 1944 г. - 2555 человек. Из всего количества направленных в течение 1944 г. 266 человек - бывшие работники этих заводов, которые были ранее эвакуированы и до сего момента работали на предприятиях других наркоматов; 220 человек - выпускники ВУЗов и техникумов; 497 человек были офицерами из числа ограниченно годных к военной службе в резервных частях НКО; 150 человек ранее работали не по специальности на других заводах НКТП. Остальные были специалистами, возвращающимися в рамках реэвакуации, или переводились с других заводов по приказам и распоряжениям наркомата[827].</w:t>
      </w:r>
    </w:p>
    <w:p w14:paraId="5E3F30B1" w14:textId="77777777" w:rsidR="004D183C" w:rsidRPr="00070ADE" w:rsidRDefault="004D18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 этом важно, что общее количество инженерно-технических работников по НКТП в целом за 1944 г. увеличилось с 29 508 до 31 726, т. е. на 2218 человек[828]. В течение года количественно рос только контингент восстанавливаемых заводов. Остальные предприятия, хоть и в рамках статистической погрешности, но сокращали </w:t>
      </w:r>
      <w:r w:rsidRPr="00070ADE">
        <w:rPr>
          <w:rFonts w:ascii="Times New Roman" w:hAnsi="Times New Roman"/>
          <w:color w:val="000000" w:themeColor="text1"/>
          <w:sz w:val="16"/>
          <w:szCs w:val="16"/>
        </w:rPr>
        <w:lastRenderedPageBreak/>
        <w:t>и рабочих, и ИТР (см. таблицу 5.15 приложения). Следовательно, рост контингента восстанавливаемых предприятий хоть и шел в том числе за счет восточных заводов, но не имел серьезных последствий для последних (23536).</w:t>
      </w:r>
    </w:p>
    <w:p w14:paraId="393BD815" w14:textId="77777777" w:rsidR="004D183C" w:rsidRPr="00070ADE" w:rsidRDefault="004D183C" w:rsidP="00B56F90">
      <w:pPr>
        <w:spacing w:after="0" w:line="240" w:lineRule="auto"/>
        <w:jc w:val="both"/>
        <w:rPr>
          <w:rFonts w:ascii="Times New Roman" w:hAnsi="Times New Roman"/>
          <w:color w:val="000000" w:themeColor="text1"/>
          <w:sz w:val="16"/>
          <w:szCs w:val="16"/>
        </w:rPr>
      </w:pPr>
    </w:p>
    <w:p w14:paraId="0925B65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июня 1944 вышло Постановление ГКО № 5997 Об изготовлении танковых противоминных тралов. РГАНИР, Фонд ГКО, д. 261, лл. 167-169,170-171 (11012).</w:t>
      </w:r>
    </w:p>
    <w:p w14:paraId="06D119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EDA59E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июня 1944 вышло Распоряжение ГКО № 5998 [Об освобождении от призыва в КА студентов вузов и техникумов Наркомлеса СССР.] (7238, 172).</w:t>
      </w:r>
    </w:p>
    <w:p w14:paraId="39B8B1B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8774E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июня 1944 вышло Распоряжение ГКО № 5999 [О порядке накладных расходов, авансирования работ, освобождении от мобилизации рабочих и ИТР, размерах зарплаты на строящихся гидроэлектростанциях в Туркменской ССР.] (7238, 173).</w:t>
      </w:r>
    </w:p>
    <w:p w14:paraId="509D9D0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9F37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июня 1944 года была подготовлена справка:</w:t>
      </w:r>
    </w:p>
    <w:p w14:paraId="7C125E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объединенного приказа наркома минометного вооружения и Комитета по делам искусств при СНК от 5 мая 1944 года № 216/239 Ташкентский завод грампластинок передается Комитету по делам искусств при СНК (8660,1).</w:t>
      </w:r>
    </w:p>
    <w:p w14:paraId="67C418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EFCF7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2F7D3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7C1D66"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 июня</w:t>
      </w:r>
      <w:r w:rsidRPr="00070ADE">
        <w:rPr>
          <w:rFonts w:ascii="Times New Roman" w:hAnsi="Times New Roman"/>
          <w:color w:val="000000" w:themeColor="text1"/>
          <w:sz w:val="16"/>
          <w:szCs w:val="16"/>
        </w:rPr>
        <w:t xml:space="preserve"> в 1944 году оперативная сводка Совинформбюро:</w:t>
      </w:r>
    </w:p>
    <w:p w14:paraId="1C807C9E"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3 июня северо-западнее и севернее города Яссы наши войска успешно отбивали атаки крупных сил пехоты и танков противника. По уточнённым данным, в боях за 2 июня в этом районе нашими войсками уничтожено 48 немецких танков. В воздушных боях и огнём зенитной артиллерии сбито 24 самолёта противника.</w:t>
      </w:r>
    </w:p>
    <w:p w14:paraId="08397379"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без перемен.</w:t>
      </w:r>
    </w:p>
    <w:p w14:paraId="1F0F93AB"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2 июня на всех фронтах в воздушных боях и огнём зенитной артиллерии сбито 37 самолётов противника.</w:t>
      </w:r>
    </w:p>
    <w:p w14:paraId="33A0CF21"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севернее города Яссы продолжались ожесточённые бои. Немцы усилили свою группировку танковыми частями и непрерывно атаковали наши позиции. Советские войска мощным огнём из всех видов оружия успешно отбивали атаки противника и нанесли ему большой урон в живой силе и технике. Части Н-ского соединения в течение дня уничтожили до полка немецкой пехоты, сожгли и подбили 17 танков и самоходных орудий, 8 бронетранспортеров и 3 бронемашины. В результате успешных контратак захвачены пленные и трофеи. Взятый в плен командир роты 103 немецкого моторизованного полка сообщил, что немецко-румынские войска в ходе боёв несут тяжёлые потери. В ротах 103 полка осталось по 10—15 человек. Остальные убиты или ранены.</w:t>
      </w:r>
    </w:p>
    <w:p w14:paraId="3B36EDD2"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районе города Яссы происходят непрерывные воздушные схватки. На рассвете шесть наших истребителей под командованием Героя Советского Союза Гулаева встретили 30 немецких бомбардировщиков, шедших под прикрытием истребителей. Наши лётчики атаковали противника. Гулаев зашёл в хвост немецкому истребителю и первой же очередью сбил его. Выходя из атаки, тов. Гулаев сбил ещё один самолёт противника. В этом бою шесть советских лётчиков сбили 7 немецких самолётов. Всего за время войны Герой Советского Союза Гулаев уничтожил 50 самолётов противника.</w:t>
      </w:r>
    </w:p>
    <w:p w14:paraId="454E5A0B"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рота пехоты и 6 танков противника пытались разведать наши позиции. Впереди вражеских разведчиков двигались 7 танкеток-торпед, начинённых взрывчатыми материалами. Метким огнём бойцы Н-ского подразделения рассеяли немецких разведчиков. Все немецкие танкетки-торпеды подорвались на нашем минном поле.</w:t>
      </w:r>
    </w:p>
    <w:p w14:paraId="69E14025"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Витебск группа бойцов под командованием лейтенанта Кузнецова провела успешную разведку обороны противника. Под прикрытием артиллерийского и миномётного огня наши бойцы ворвались в немецкие траншеи. В рукопашной схватке уничтожено 40 гитлеровцев. Захватив пленного и трофеи, разведчики вернулись в свою часть.</w:t>
      </w:r>
    </w:p>
    <w:p w14:paraId="0166B7B8"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Группа немецких самолётов в составе 30 бомбардировщиков и нескольких истребителей пыталась произвести налёт на наши военные объекты в Нарвском заливе. Советские истребители рассеяли самолёты противника и не допустили их к цели. В воздушных боях сбито 5 немецких самолётов.</w:t>
      </w:r>
    </w:p>
    <w:p w14:paraId="5CA2AD03"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имени Котовского, действующий в Львовской области, за две недели пустил под откос 8 воинских эшелонов противника. За это же время партизаны уничтожили два немецких танка, 4 грузовые машины с боеприпасами, 5 повозок и истребили 30 гитлеровцев. Группа партизан из отряда, действующего в Станиславской области, 14 мая пулемётным огнём обстреляла следовавшее по шоссе подразделение противника. Убито и ранено 28 немецко-фашистских оккупантов.</w:t>
      </w:r>
    </w:p>
    <w:p w14:paraId="67D43B82" w14:textId="77777777" w:rsidR="00FE2608" w:rsidRPr="00070ADE" w:rsidRDefault="00FE26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Перешедший на сторону Красной Армии немецкий обер-лейтенант Вильгельм Л. рассказал: «В первые годы войны немецкие офицеры и солдаты с нетерпением ожидали наступления весны. С ней мы связывали надежды на скорую и успешную развязку войны на Востоке. На весну нынешнего года, как и на дето, мы уже не возлагаем никаких надежд. Офицеры с тревогой думают о завтрашнем дне. Теперь уже многие убедились в том, что, начав войну против России, Гитлер толкнул немецкую армию в пропасть. Теперь нет даже надежды закончить войну «вничью». В России немецкая армия потеряла свои главные и лучшие силы. Чтобы восполнить эти потери, нужны многие годы. В прошлом немецкие офицеры тешили себя надеждой, что второго фронта на Западе не будет. Сегодня стало очевидно, что скоро, очень скоро Германии придётся воевать и на Востоке и на Западе. В некоторых офицерских кругах часто говорят о том, что, может быть, удастся поссорить Россию с ее союзниками. Однако здравомыслящие и трезвые люди понимают, что эти расчёты построены на песке. Немецкая армия катится навстречу своей гибели» (14911).</w:t>
      </w:r>
    </w:p>
    <w:p w14:paraId="53FBD35A" w14:textId="77777777" w:rsidR="00FE2608" w:rsidRPr="00070ADE" w:rsidRDefault="00FE2608" w:rsidP="00B56F90">
      <w:pPr>
        <w:spacing w:after="0" w:line="240" w:lineRule="auto"/>
        <w:jc w:val="both"/>
        <w:rPr>
          <w:rFonts w:ascii="Times New Roman" w:hAnsi="Times New Roman"/>
          <w:color w:val="000000" w:themeColor="text1"/>
          <w:sz w:val="16"/>
          <w:szCs w:val="16"/>
        </w:rPr>
      </w:pPr>
    </w:p>
    <w:p w14:paraId="7EE7F7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3 июня 1944 немцы задумали массированный удар по узловым пунктам советской обороны, со</w:t>
      </w:r>
      <w:r w:rsidRPr="00070ADE">
        <w:rPr>
          <w:rFonts w:ascii="Times New Roman" w:hAnsi="Times New Roman"/>
          <w:color w:val="000000" w:themeColor="text1"/>
          <w:sz w:val="16"/>
          <w:szCs w:val="16"/>
        </w:rPr>
        <w:softHyphen/>
        <w:t>брав для этого 290 бомбардировщиков и штурмо</w:t>
      </w:r>
      <w:r w:rsidRPr="00070ADE">
        <w:rPr>
          <w:rFonts w:ascii="Times New Roman" w:hAnsi="Times New Roman"/>
          <w:color w:val="000000" w:themeColor="text1"/>
          <w:sz w:val="16"/>
          <w:szCs w:val="16"/>
        </w:rPr>
        <w:softHyphen/>
        <w:t>виков. Но приближающуюся армаду засекла радио</w:t>
      </w:r>
      <w:r w:rsidRPr="00070ADE">
        <w:rPr>
          <w:rFonts w:ascii="Times New Roman" w:hAnsi="Times New Roman"/>
          <w:color w:val="000000" w:themeColor="text1"/>
          <w:sz w:val="16"/>
          <w:szCs w:val="16"/>
        </w:rPr>
        <w:softHyphen/>
        <w:t>локационная станция «Редут», недавно поступив</w:t>
      </w:r>
      <w:r w:rsidRPr="00070ADE">
        <w:rPr>
          <w:rFonts w:ascii="Times New Roman" w:hAnsi="Times New Roman"/>
          <w:color w:val="000000" w:themeColor="text1"/>
          <w:sz w:val="16"/>
          <w:szCs w:val="16"/>
        </w:rPr>
        <w:softHyphen/>
        <w:t>шая на КП 4-го ИАК. Ее расчет выполнил наведение 29 групп истребителей Ла-5 из 302-й ИАД, которые не допустили противника до пози</w:t>
      </w:r>
      <w:r w:rsidRPr="00070ADE">
        <w:rPr>
          <w:rFonts w:ascii="Times New Roman" w:hAnsi="Times New Roman"/>
          <w:color w:val="000000" w:themeColor="text1"/>
          <w:sz w:val="16"/>
          <w:szCs w:val="16"/>
        </w:rPr>
        <w:softHyphen/>
        <w:t>ций своих войск. Особо отличился 240-й ИАП, в ко</w:t>
      </w:r>
      <w:r w:rsidRPr="00070ADE">
        <w:rPr>
          <w:rFonts w:ascii="Times New Roman" w:hAnsi="Times New Roman"/>
          <w:color w:val="000000" w:themeColor="text1"/>
          <w:sz w:val="16"/>
          <w:szCs w:val="16"/>
        </w:rPr>
        <w:softHyphen/>
        <w:t xml:space="preserve">тором воевал И.Н. Кожедуб. Приказом НКО от 02.07.1944 г. 302-я ИАД была преобразована в 14-ю ГИАД, а 240-й ИАП стал 178-м гвардейским (11123). Советские летчики смогли к 5 июня захватить господство в воздухе, что помогло остановить наступающего врага. На следующий день он был вынужден перебросить часть своей авиации на другие участки Восточного фронта и на </w:t>
      </w:r>
      <w:r w:rsidRPr="00070ADE">
        <w:rPr>
          <w:rFonts w:ascii="Times New Roman" w:hAnsi="Times New Roman"/>
          <w:iCs/>
          <w:color w:val="000000" w:themeColor="text1"/>
          <w:sz w:val="16"/>
          <w:szCs w:val="16"/>
        </w:rPr>
        <w:t xml:space="preserve">запад, </w:t>
      </w:r>
      <w:r w:rsidRPr="00070ADE">
        <w:rPr>
          <w:rFonts w:ascii="Times New Roman" w:hAnsi="Times New Roman"/>
          <w:color w:val="000000" w:themeColor="text1"/>
          <w:sz w:val="16"/>
          <w:szCs w:val="16"/>
        </w:rPr>
        <w:t>где началась высадка союзников в Нормандии.. (11123).</w:t>
      </w:r>
    </w:p>
    <w:p w14:paraId="240D6C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1841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 июня 1944 А.С.Шорников на С-47 перелетел из Бари в Югославию и вывез Тито со штабом, а также начальников британской, американской и советской миссий. Потом повторил (438,906).</w:t>
      </w:r>
    </w:p>
    <w:p w14:paraId="6790B6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BEAF8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июня 1944 в составе 43 машин 1-й иап "Варшава" перебазировался на аэродром Гостомель под Киевом. В ходе непосредственной подготовки к боевым действиям 7 июня полк получил еще 15 Як-1, а в конце июля сдал такое же количество выработавших ресурс самолетов.</w:t>
      </w:r>
    </w:p>
    <w:p w14:paraId="6F616D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июля 1944 г. полк выполнил первое задание: пара "Яков" сопровождала Л и-2. Чтобы помочь составу "Варшавы" освоиться в боевой обстановке 22 июля к ним прибыли 10 советских летчиков из 233-го иап "Минск", которые вылетали на задания вместе с поляками. Первый боевой вылет состоялся 23 августа 1944 г. Для сопровождения и прикрытия двух штурмовиков Ил-2 из польского 3-го шап вылетели две пары 1-го и одна пара 233-го иап. К этому времени 1-й иап Архив Л. Угрюмова "Варшава" состоял из трех эскадрилий по 12 самолетов, трех машин управления полка и двух запасных. Всего 41 самолет Як-1.</w:t>
      </w:r>
    </w:p>
    <w:p w14:paraId="07B725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процессе боевых действий польские летчики выполняли задания по прикрытию штурмовиков, атаке наземных целей, ведению воздушной разведки. В связи с малой активностью немецкой авиации полку "Варшава" практически не приходилось вести воздушных боев. Единственным сбитым Як-1 немецким самолетом был FW. 189 (отличился капитан М. Конечный). До 22 января 1945 г. (когда полк начал переучиваться на Як-9) на истребителях Як-1 было выполнено 620 боевых вылетов, в том числе: на прикрытие штурмовиков - 275, на разведку - 125, на прикрытие войск и переправ - 139, на фоторазведку (для этого на некоторых самолетах установили АФА-1М) - 54, на другие задания - 27 вылетов. Свои потери составили шесть машин, из которых одна сгорела в учебном полете при пожаре в воздухе, две были сбиты зенитной артиллерией, а остальные подбиты ею и разбиты при вынужденных посадках. Последний боевой вылет на Як-1 зафиксирован 3 мая 1945 г. К этому времени в полку оставалось 23 самолета такого типа. После войны они постепенно списывались по износу или сдавались в ремонтные части. Во второй половине 1946 г. часть из них возвратилась из ремонта, но вскоре их заменили новыми Як-9М и Як-9Т.</w:t>
      </w:r>
    </w:p>
    <w:p w14:paraId="1825CC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Непродолжительное время Як-1 находился на вооружении других польских авиационных частей. В конце сентября - начале октября 1944 г. такие самолеты получили сформированные на основе советских 248-го и 246-го иап польские 9-й и 10-й иап (13 и 25 самолетов соответственно). Но меньше чем через месяц эти полки перевооружили самолетами Як-9. С января по май 1945 г. один Як-1 числился в управлении польского 1-го смешанного авиационного корпуса и до 24 машин находилось в составе 15-го отдельного зап, сформированного на базе советского 18-го утап. От 10 до 15 машин было в октябре 1945 г. в военном авиационном училище. С октября 1945 г. по февраль 1946 г. один Як-1 находился в 1-м смешанном утап, а в 1946 г. по одному Як-1 было в управлениях польских авиационных дивизий: 1-й бад, 2-й шад, 3-й над. 4-й сад. Один из списанных в январе 1946 г. самолетов Як-1 (№ 01189) несколько лет экспонировался в Музее Войска Польского (12048).</w:t>
      </w:r>
    </w:p>
    <w:p w14:paraId="7D30B9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15BDC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мая 1944 ВД батальон СС в 7 час. утра был высажен в Дарвре с заданием уничтожить штаб И.Б.Тито. В 10 час. И.Б.Т. оставили базу и за ним гнались до 3 июня 1944, когда он был вывезен на Ли-2 вместе с советскими и английскими советниками в Москву (2112).</w:t>
      </w:r>
    </w:p>
    <w:p w14:paraId="4C355F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A19C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3 июня 1944 в ходе беседы Гарримана с В.М.М. зашла речь о том, что американская норма укладки - 10 ярдов металлического покрытия в день, а украинские женщины </w:t>
      </w:r>
      <w:r w:rsidRPr="00070ADE">
        <w:rPr>
          <w:rFonts w:ascii="Times New Roman" w:hAnsi="Times New Roman"/>
          <w:color w:val="000000" w:themeColor="text1"/>
          <w:sz w:val="16"/>
          <w:szCs w:val="16"/>
        </w:rPr>
        <w:lastRenderedPageBreak/>
        <w:t>делают 12 м (1261,24).</w:t>
      </w:r>
    </w:p>
    <w:p w14:paraId="70F0F5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12FE6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5EB5DC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E95C7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июня 1944 в Литве фашисты сожгли деревню Пирчюпис вместе с 119 жителями (4962).</w:t>
      </w:r>
    </w:p>
    <w:p w14:paraId="708C4DE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95F54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00F0A6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2E5FF2" w14:textId="77777777" w:rsidR="005A7F17" w:rsidRPr="00070ADE" w:rsidRDefault="005A7F1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 июня</w:t>
      </w:r>
      <w:r w:rsidRPr="00070ADE">
        <w:rPr>
          <w:rFonts w:ascii="Times New Roman" w:hAnsi="Times New Roman"/>
          <w:color w:val="000000" w:themeColor="text1"/>
          <w:sz w:val="16"/>
          <w:szCs w:val="16"/>
        </w:rPr>
        <w:t xml:space="preserve"> в 1944 году завершена постройка прототипа </w:t>
      </w:r>
      <w:hyperlink r:id="rId164" w:tgtFrame="_blank" w:history="1">
        <w:r w:rsidRPr="00070ADE">
          <w:rPr>
            <w:rFonts w:ascii="Times New Roman" w:hAnsi="Times New Roman"/>
            <w:color w:val="000000" w:themeColor="text1"/>
            <w:sz w:val="16"/>
            <w:szCs w:val="16"/>
          </w:rPr>
          <w:t xml:space="preserve">«ХР-80А» </w:t>
        </w:r>
      </w:hyperlink>
      <w:r w:rsidRPr="00070ADE">
        <w:rPr>
          <w:rFonts w:ascii="Times New Roman" w:hAnsi="Times New Roman"/>
          <w:color w:val="000000" w:themeColor="text1"/>
          <w:sz w:val="16"/>
          <w:szCs w:val="16"/>
        </w:rPr>
        <w:t>американского истребителя-бомбардировщика «F-80A» «Shooting Star». Окрашенный серой краской, он получил собственное имя "Серое привидение". Самолет был доставлен на Мюрок через 138 дней после официального одобрения начала работ. Впервые «ХР-80А» № 44-83021 был поднят в воздух 10 июня 1944 года под управлением Тони Левьера (14911).</w:t>
      </w:r>
    </w:p>
    <w:p w14:paraId="2D239C69" w14:textId="77777777" w:rsidR="005A7F17" w:rsidRPr="00070ADE" w:rsidRDefault="005A7F17" w:rsidP="00B56F90">
      <w:pPr>
        <w:spacing w:after="0" w:line="240" w:lineRule="auto"/>
        <w:jc w:val="both"/>
        <w:rPr>
          <w:rFonts w:ascii="Times New Roman" w:hAnsi="Times New Roman"/>
          <w:color w:val="000000" w:themeColor="text1"/>
          <w:sz w:val="16"/>
          <w:szCs w:val="16"/>
        </w:rPr>
      </w:pPr>
    </w:p>
    <w:p w14:paraId="4A3430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3rd, 1944: In Italy, German forces withdraw from Rome which has been declared an 'open city' (3819).</w:t>
      </w:r>
    </w:p>
    <w:p w14:paraId="4F407F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87779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июня 1944 немецкие войска были выведены из Рима и он был объявлен открытым городом (3819).</w:t>
      </w:r>
    </w:p>
    <w:p w14:paraId="1A8AEE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7D5BA7"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 июня (ночь) 1944 100 британских бомбардировщиков уничтожили немецкую радиостанцию Ферме д'Юрвиль, Франция, при этом ни одного самолета не было потеряно (20373).</w:t>
      </w:r>
    </w:p>
    <w:p w14:paraId="13320CE2" w14:textId="77777777" w:rsidR="00781F94" w:rsidRPr="00070ADE" w:rsidRDefault="00781F94" w:rsidP="00B56F90">
      <w:pPr>
        <w:spacing w:after="0" w:line="240" w:lineRule="auto"/>
        <w:jc w:val="both"/>
        <w:rPr>
          <w:rFonts w:ascii="Times New Roman" w:hAnsi="Times New Roman"/>
          <w:color w:val="000000" w:themeColor="text1"/>
          <w:sz w:val="16"/>
          <w:szCs w:val="16"/>
        </w:rPr>
      </w:pPr>
    </w:p>
    <w:p w14:paraId="0224ED48"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 июня (ночь) 1944 135 британских бомбардировщиков совершают точные атаки на немецкие объекты береговой артиллерии в Па-де-Кале и Вимерё без потерь для себя (20373).</w:t>
      </w:r>
    </w:p>
    <w:p w14:paraId="5DAF98F4" w14:textId="77777777" w:rsidR="00781F94" w:rsidRPr="00070ADE" w:rsidRDefault="00781F94" w:rsidP="00B56F90">
      <w:pPr>
        <w:spacing w:after="0" w:line="240" w:lineRule="auto"/>
        <w:jc w:val="both"/>
        <w:rPr>
          <w:rFonts w:ascii="Times New Roman" w:hAnsi="Times New Roman"/>
          <w:color w:val="000000" w:themeColor="text1"/>
          <w:sz w:val="16"/>
          <w:szCs w:val="16"/>
        </w:rPr>
      </w:pPr>
    </w:p>
    <w:p w14:paraId="7E7A3F55"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июня 1944 воздушные атаки в поддержку предстоящих высадок американских десантников на Марианских островах начинаются с налета наземных самолетов юго-западной части Тихого океана на Палау (20373).</w:t>
      </w:r>
    </w:p>
    <w:p w14:paraId="32DC88B4" w14:textId="77777777" w:rsidR="00781F94" w:rsidRPr="00070ADE" w:rsidRDefault="00781F94" w:rsidP="00B56F90">
      <w:pPr>
        <w:spacing w:after="0" w:line="240" w:lineRule="auto"/>
        <w:jc w:val="both"/>
        <w:rPr>
          <w:rFonts w:ascii="Times New Roman" w:hAnsi="Times New Roman"/>
          <w:color w:val="000000" w:themeColor="text1"/>
          <w:sz w:val="16"/>
          <w:szCs w:val="16"/>
        </w:rPr>
      </w:pPr>
    </w:p>
    <w:p w14:paraId="51753FB9"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июня 1944 41 японский самолет атаковал американские десантные войска у побережья Биака, потеряв 11 из них, не причинив серьезного ущерба (20373).</w:t>
      </w:r>
    </w:p>
    <w:p w14:paraId="1A1A9059" w14:textId="77777777" w:rsidR="00781F94" w:rsidRPr="00070ADE" w:rsidRDefault="00781F94" w:rsidP="00B56F90">
      <w:pPr>
        <w:spacing w:after="0" w:line="240" w:lineRule="auto"/>
        <w:jc w:val="both"/>
        <w:rPr>
          <w:rFonts w:ascii="Times New Roman" w:hAnsi="Times New Roman"/>
          <w:color w:val="000000" w:themeColor="text1"/>
          <w:sz w:val="16"/>
          <w:szCs w:val="16"/>
        </w:rPr>
      </w:pPr>
    </w:p>
    <w:p w14:paraId="02E9CA47"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3 - 4 июня 1944 японские самолеты атакуют оперативную группу союзников, состоящую из крейсеров и эсминцев, когда она приближается к Биаку, но наносят лишь небольшой урон. Еще четверо за ночь наносят торпедный удар, но промахиваются (20373).</w:t>
      </w:r>
    </w:p>
    <w:p w14:paraId="5E01C5A1" w14:textId="77777777" w:rsidR="00781F94" w:rsidRPr="00070ADE" w:rsidRDefault="00781F94" w:rsidP="00B56F90">
      <w:pPr>
        <w:spacing w:after="0" w:line="240" w:lineRule="auto"/>
        <w:jc w:val="both"/>
        <w:rPr>
          <w:rFonts w:ascii="Times New Roman" w:hAnsi="Times New Roman"/>
          <w:color w:val="000000" w:themeColor="text1"/>
          <w:sz w:val="16"/>
          <w:szCs w:val="16"/>
        </w:rPr>
      </w:pPr>
    </w:p>
    <w:p w14:paraId="5EFCB3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июня 1944 Французский комитет национального освобождения а Алжире провозгласил себя Временным правительством Французской Республики (3907,249).</w:t>
      </w:r>
    </w:p>
    <w:p w14:paraId="1F7628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F2CBF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78846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1418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июня 1944 Зам НКХП А.Касаткин писал письмо № К1852 Зам. НКАП т. П.В.Дементьеву</w:t>
      </w:r>
    </w:p>
    <w:p w14:paraId="280676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Ваш № Н-38/2425 от 13 мая 1944 г.</w:t>
      </w:r>
    </w:p>
    <w:p w14:paraId="1B0F77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 5 технических условий 1944 г. на прозрачную авиаброню чертежи для изготовления и приемки комплектов авиаброни должны быть подписаны Главным конструктором самолета, согласованы с 1-м Главным Управлением НКХП, утверждены 12-м Главным Управлением НКАП и ГУЗ ВВС КА.</w:t>
      </w:r>
    </w:p>
    <w:p w14:paraId="3B621D9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Вашем письме № Д-2/517 ст 25/11-44 г., 1-м Главным Управлением НКХП действительно были получены для согласования в 2-х экземплярах чертежи бронестекол для самолетов ЯК-1 и Ла-5. В письме также было упомянуто, что чертежи на бронестекла для самолета ИЛ-2, действовавшие в 1943 года пролонгированы на 1944 год.</w:t>
      </w:r>
    </w:p>
    <w:p w14:paraId="3E172E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вследствие, изменения технологии производства авиаброни на протяжении 1943 г. и отсутствия необходимых допусков на старых чертежах, последние /в том числе и прис</w:t>
      </w:r>
      <w:r w:rsidRPr="00070ADE">
        <w:rPr>
          <w:rFonts w:ascii="Times New Roman" w:hAnsi="Times New Roman"/>
          <w:color w:val="000000" w:themeColor="text1"/>
          <w:sz w:val="16"/>
          <w:szCs w:val="16"/>
        </w:rPr>
        <w:softHyphen/>
        <w:t>ные для согласования чертежи брони ЯК-1 и Ла-5/ требовали внесения кероектив.</w:t>
      </w:r>
    </w:p>
    <w:p w14:paraId="1A6011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и марте чертежи были просмотрены совместно Главным Управлением НИИ и ГУЗ ВВС КА и разработаны были коррективы, с необходимостью внесения которых согласились и ГУЗ ВВС КА. Однако, до сего времени эти измения не сформлены и утверждениня чертежей НКХП не получены тогда, как переговоры по этому вопросу ведутся с февраля месяца с/г.</w:t>
      </w:r>
    </w:p>
    <w:p w14:paraId="728F71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Вторично прошу Вас обязать 12-е Гл. Упразление НКАП в кратчайший срок представить Наркомхимпрому чертежи прозрачной авиаброни, утвержденные ГУЗ ВВС КА в количестве не менее 5 экземпляров.</w:t>
      </w:r>
    </w:p>
    <w:p w14:paraId="0405C6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Отсутствие окончательно отработанных чертежей авиаброни сдерживает составление чертежей на стекло "сталинит" и введение в действие технических условий 1944 года (10532).</w:t>
      </w:r>
    </w:p>
    <w:p w14:paraId="6CA4FC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ABB8DD2" w14:textId="77777777" w:rsidR="004D183C" w:rsidRPr="00070ADE" w:rsidRDefault="004D18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июня 1944 г. первые четыре PBN-1 сели в губе Грязной. На одном из самолетов в конце полета кончился спирт в бачках антиобледени</w:t>
      </w:r>
      <w:r w:rsidRPr="00070ADE">
        <w:rPr>
          <w:rFonts w:ascii="Times New Roman" w:hAnsi="Times New Roman"/>
          <w:color w:val="000000" w:themeColor="text1"/>
          <w:sz w:val="16"/>
          <w:szCs w:val="16"/>
        </w:rPr>
        <w:softHyphen/>
        <w:t>телей. Скрепя сердце, решили слить туда виски и ром, выданные на дорогу.</w:t>
      </w:r>
    </w:p>
    <w:p w14:paraId="183C7E9E" w14:textId="77777777" w:rsidR="004D183C" w:rsidRPr="00070ADE" w:rsidRDefault="004D18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третий день после посадки пере</w:t>
      </w:r>
      <w:r w:rsidRPr="00070ADE">
        <w:rPr>
          <w:rFonts w:ascii="Times New Roman" w:hAnsi="Times New Roman"/>
          <w:color w:val="000000" w:themeColor="text1"/>
          <w:sz w:val="16"/>
          <w:szCs w:val="16"/>
        </w:rPr>
        <w:softHyphen/>
        <w:t>гонщики, отдохнув, совершили полет с инспектором по пилотированию ВВС Северного флота майором Макаровым. Три из четырех первых лодок перегнали затем в Лахту для авиации Беломорской флотилии. В тот же день на одном PBN-1 вылетел экипаж командира полка С.М. Рубана (23513).</w:t>
      </w:r>
    </w:p>
    <w:p w14:paraId="63D23841" w14:textId="77777777" w:rsidR="004D183C" w:rsidRPr="00070ADE" w:rsidRDefault="004D183C" w:rsidP="00B56F90">
      <w:pPr>
        <w:spacing w:after="0" w:line="240" w:lineRule="auto"/>
        <w:jc w:val="both"/>
        <w:rPr>
          <w:rFonts w:ascii="Times New Roman" w:hAnsi="Times New Roman"/>
          <w:color w:val="000000" w:themeColor="text1"/>
          <w:sz w:val="16"/>
          <w:szCs w:val="16"/>
        </w:rPr>
      </w:pPr>
    </w:p>
    <w:p w14:paraId="107A5F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июня 1944 в Ступино Нач. парашютно-десантной службы м А.С.Гамрекегашвили сделал подряд 94 прыжка с парашютом с привязного аэростата с высоты 250 м за 9:40 для испытания организма на выносливость (438,906).</w:t>
      </w:r>
    </w:p>
    <w:p w14:paraId="41B56C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19FA1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79BEC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DBCA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июня 1944 года на пермском заводе № 172 приступили к изготовлению первых экземпляров 100-мм пушки обр.1944 года БС-3 (11268).</w:t>
      </w:r>
    </w:p>
    <w:p w14:paraId="6205001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4E0BD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июня 1944 вышло Распоряжение ГКО № 6000. О мерах по обеспечению кислородом производства корпусов тяжелых танков и артсамоходов на УЗТМ НКТП. РГАНИР, Фонд ГКО, д. 261, лл. 174-175 (11012).</w:t>
      </w:r>
    </w:p>
    <w:p w14:paraId="6CC582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034A8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июня 1944 вышло Распоряжение ГКО № 6001. Об уменьшении числа буровых бригад и количества бурового оборудования, перебрасываемых из Казахстан- и Молотовнефтикомбинатов в другие комбинаты. РГАНИР, Фонд ГКО, д. 261, лл. 176-177 (11012).</w:t>
      </w:r>
    </w:p>
    <w:p w14:paraId="2F4195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20EE7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июня 1944 На головном ТЩ типа МТ-1 Петрозавода поднят флаг ВМФ СССР (построен за 10 мес.). Продолжалась постройка 22 БМО (10671).</w:t>
      </w:r>
    </w:p>
    <w:p w14:paraId="10E4E4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82CC3B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85DDE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38968B" w14:textId="77777777" w:rsidR="005A7F17" w:rsidRPr="00070ADE" w:rsidRDefault="005A7F1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4 июня</w:t>
      </w:r>
      <w:r w:rsidRPr="00070ADE">
        <w:rPr>
          <w:rFonts w:ascii="Times New Roman" w:hAnsi="Times New Roman"/>
          <w:color w:val="000000" w:themeColor="text1"/>
          <w:sz w:val="16"/>
          <w:szCs w:val="16"/>
        </w:rPr>
        <w:t xml:space="preserve"> в 1944 году оперативная сводка Совинформбюро:</w:t>
      </w:r>
    </w:p>
    <w:p w14:paraId="79F41DF2" w14:textId="77777777" w:rsidR="005A7F17" w:rsidRPr="00070ADE" w:rsidRDefault="005A7F1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4 июня в районе северо-западнее и севернее города Яссы наши войска успешно отбили все атаки крупных сил пехоты и танков противника и нанесли ему большие потери в живой силе и технике. За 3 июня в этом районе нашими войсками подбито и уничтожено 29 немецких танков. В воздушных боях и огнём зенитной артиллерии сбито 44 самолёта противника.</w:t>
      </w:r>
    </w:p>
    <w:p w14:paraId="252DC9BF" w14:textId="77777777" w:rsidR="005A7F17" w:rsidRPr="00070ADE" w:rsidRDefault="005A7F1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без перемен.</w:t>
      </w:r>
    </w:p>
    <w:p w14:paraId="68A16F8A" w14:textId="77777777" w:rsidR="005A7F17" w:rsidRPr="00070ADE" w:rsidRDefault="005A7F1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3 июня на всех фронтах в воздушных боях и огнём зенитной артиллерии сбито 53 немецких самолёта.</w:t>
      </w:r>
    </w:p>
    <w:p w14:paraId="1440E218" w14:textId="77777777" w:rsidR="005A7F17" w:rsidRPr="00070ADE" w:rsidRDefault="005A7F1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севернее города Яссы крупные силы танков и пехоты противника продолжали атаковать наши позиции. В ожесточённых боях, переходивших в рукопашные схватки, советские войска нанесли врагу тяжёлый урон. Бойцы Н-ской части в течение дня уничтожили до батальона гитлеровцев, подбили 9 танков и 3 бронетранспортёра. Другая наша часть успешно отбила четыре атаки противника, истребив при этом свыше 1.000 немцев.</w:t>
      </w:r>
    </w:p>
    <w:p w14:paraId="182E67D8" w14:textId="77777777" w:rsidR="005A7F17" w:rsidRPr="00070ADE" w:rsidRDefault="005A7F1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огневые позиции орудийных расчётов сержантов Сингаевского и Сухарева двигалась большая группа танков противника. Наши артиллеристы меткими выстрелами выводили из строя один немецкий танк за другим. Отважные бойцы бились с противником до тех пор, пока не вышли из строя оба орудия. В итоге боя два артиллерийских расчёта подбили и сожгли 20 немецких танков.</w:t>
      </w:r>
    </w:p>
    <w:p w14:paraId="47529AFE" w14:textId="77777777" w:rsidR="005A7F17" w:rsidRPr="00070ADE" w:rsidRDefault="005A7F1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Лётчики-истребители во главе со старшим лейтенантом Егоровым на самолётах «Аэрокобра» атаковали группу немецких бомбардировщиков. В завязавшемся воздушном бою старший лейтенант Егоров сбил 4 немецких самолёта, Герой Советского Союза капитан Кожедуб и капитан Евстигнеев уничтожили по одному самолёту противника.</w:t>
      </w:r>
    </w:p>
    <w:p w14:paraId="4710CDBA" w14:textId="77777777" w:rsidR="005A7F17" w:rsidRPr="00070ADE" w:rsidRDefault="005A7F1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Новоржев пятнадцать советских разведчиков во главе с гвардии старшиной Озерницковским выполняли боевое задание. В нейтральной зоне наши бойцы встретились с немецкой разведкой. Советские разведчики залегли и пропустили противника. Двигаясь вслед за немцами, разведчики смелым броском атаковали их с тыла. В результате боя убит 31 немецкий солдат. Захвачено 12 пленных. Наша разведывательная группа потерь не имела.</w:t>
      </w:r>
    </w:p>
    <w:p w14:paraId="6AB12F09" w14:textId="77777777" w:rsidR="005A7F17" w:rsidRPr="00070ADE" w:rsidRDefault="005A7F1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Витебск наши отряды в одном населённом пункте освободили 8 тысяч мирных жителей, согнанных гитлеровцами в концентрационный лагерь. Голодные и измученные в фашистской неволе советские граждане — старики, женщины и дети — со слезами радости на глазах встретили воинов Красной Армии.</w:t>
      </w:r>
    </w:p>
    <w:p w14:paraId="2A665DA3" w14:textId="77777777" w:rsidR="005A7F17" w:rsidRPr="00070ADE" w:rsidRDefault="005A7F1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Финском заливе наш самолёт-торпедоносец атаковал крупный немецкий транспорт. Лётчик старший лейтенант Большаков прямым попаданием торпеды потопил транспорт противника.</w:t>
      </w:r>
    </w:p>
    <w:p w14:paraId="3423093D" w14:textId="77777777" w:rsidR="005A7F17" w:rsidRPr="00070ADE" w:rsidRDefault="005A7F1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Волынской области, атаковал немецкое подразделение. В двухчасовом бою партизаны уничтожили 60 вражеских солдат и офицеров и взорвали 8 грузовых автомашин. Отряд партизан, действующий в Станиславской области, пустил под откос два немецких воинских эшелона. Разбиты два паровоза и 30 платформ с автомашинами. Немецкая охрана поездов уничтожена. Движение поездов на этом участке железной дороги было прервано на трое суток.</w:t>
      </w:r>
    </w:p>
    <w:p w14:paraId="3F262687" w14:textId="77777777" w:rsidR="005A7F17" w:rsidRPr="00070ADE" w:rsidRDefault="005A7F1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2-м Украинском фронте на сторону Красной Армии перешли 14 солдат 1 румынской дивизии. Перебежчик Ион Т. рассказал: «С тех пор, как немцы вступили на нашу территорию, Румыния фактически стала германской колонией. Еще, будучи в тылу, я понял, что мы должны бороться не с русскими, а вместе с ними против немцев. В начале мая, когда меня послали на фронт, в пути я убеждал солдат моего отделения сдаться в плен русским. Пробыв несколько недель на передовых позициях, мы, наконец, наметили план перехода. В условленный день и час собралась вся группа. Вдруг неожиданно появился помощник командира взвода Виктор Вынке. Я заявил ему о нашем намерении и пригласил его пойти с нами. Он осыпал меня бранью, схватил автомат и начал угрожать расправой. Тогда один из солдат очередью из пулемёта уложил Вынке. Расправившись с предателем, мы захватили три пулемёта, винтовки, патроны и ушли к русским. Мы готовы сделать всё возможное, чтобы ускорить изгнание немцев из Румынии». В другом районе сдалась в плен группа солдат 14 румынской пехотной дивизии. Перебежчик солдат Василе С. сообщил: «Два месяца тому назад я дезертировал из части. В лесу я встретил старшего лейтенанта и сержанта. Вскоре к нам присоединились ещё четыре солдата. В середине мая сержант убил одного немецкого майора. Немцы подняли всех на ноги, но не могли напасть на наш след. Мы благополучно достигли русских позиций и сдались в плен» (14912).</w:t>
      </w:r>
    </w:p>
    <w:p w14:paraId="35A0D9D1" w14:textId="77777777" w:rsidR="005A7F17" w:rsidRPr="00070ADE" w:rsidRDefault="005A7F17" w:rsidP="00B56F90">
      <w:pPr>
        <w:spacing w:after="0" w:line="240" w:lineRule="auto"/>
        <w:jc w:val="both"/>
        <w:rPr>
          <w:rFonts w:ascii="Times New Roman" w:hAnsi="Times New Roman"/>
          <w:color w:val="000000" w:themeColor="text1"/>
          <w:sz w:val="16"/>
          <w:szCs w:val="16"/>
        </w:rPr>
      </w:pPr>
    </w:p>
    <w:p w14:paraId="76D0F9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июня 1944 экипаж А.С.Шорникова вывез на С-47 из района окруженного немцами города Дрвар Верховный штаб во главе с маршалом Тито (3457,135).</w:t>
      </w:r>
    </w:p>
    <w:p w14:paraId="49FD7D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C6517B" w14:textId="77777777" w:rsidR="005A7F17" w:rsidRPr="00070ADE" w:rsidRDefault="005A7F1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4 июня</w:t>
      </w:r>
      <w:r w:rsidRPr="00070ADE">
        <w:rPr>
          <w:rFonts w:ascii="Times New Roman" w:hAnsi="Times New Roman"/>
          <w:color w:val="000000" w:themeColor="text1"/>
          <w:sz w:val="16"/>
          <w:szCs w:val="16"/>
        </w:rPr>
        <w:t xml:space="preserve"> в 1944 году экипаж А.С.Шорникова на </w:t>
      </w:r>
      <w:hyperlink r:id="rId165" w:tgtFrame="_blank" w:history="1">
        <w:r w:rsidRPr="00070ADE">
          <w:rPr>
            <w:rFonts w:ascii="Times New Roman" w:hAnsi="Times New Roman"/>
            <w:color w:val="000000" w:themeColor="text1"/>
            <w:sz w:val="16"/>
            <w:szCs w:val="16"/>
          </w:rPr>
          <w:t xml:space="preserve">«С-47» </w:t>
        </w:r>
      </w:hyperlink>
      <w:r w:rsidRPr="00070ADE">
        <w:rPr>
          <w:rFonts w:ascii="Times New Roman" w:hAnsi="Times New Roman"/>
          <w:color w:val="000000" w:themeColor="text1"/>
          <w:sz w:val="16"/>
          <w:szCs w:val="16"/>
        </w:rPr>
        <w:t>вывез из района окруженного немцами города Дрвар Верховный штаб во главе с маршалом Тито. Летом 1944 г. двенадцать «С-47» перелетели с территории СССР в итальянский город Бари. Оттуда начала действовать авиагруппа под командованием генерал-майора В.И.Щелкунова. Ее самолеты обеспечивали боевую деятельность Народно-освободительной армии Югославии:туда везли боеприпасы, оружие, медикаменты, обратно - раненых. Из Советского Союза в Бари транспортники доставили четыре разобранных «У-2» - их потом передали югославам (14912).</w:t>
      </w:r>
    </w:p>
    <w:p w14:paraId="7F30AB8E" w14:textId="77777777" w:rsidR="005A7F17" w:rsidRPr="00070ADE" w:rsidRDefault="005A7F17" w:rsidP="00B56F90">
      <w:pPr>
        <w:spacing w:after="0" w:line="240" w:lineRule="auto"/>
        <w:jc w:val="both"/>
        <w:rPr>
          <w:rFonts w:ascii="Times New Roman" w:hAnsi="Times New Roman"/>
          <w:color w:val="000000" w:themeColor="text1"/>
          <w:sz w:val="16"/>
          <w:szCs w:val="16"/>
        </w:rPr>
      </w:pPr>
    </w:p>
    <w:p w14:paraId="093258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июня 1944 года первые четыре PBN-1 сели в губе Грязной. На одном из самолетов в конце полета кончился спирт в бачках антиобледенителей. Скрепя сердце пришлось слить туда виски и ром, выданные на дорогу (3457,127).</w:t>
      </w:r>
    </w:p>
    <w:p w14:paraId="6B7BFD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C0AC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июня 1944 вышло Постановление ГКО № 6002 Об организации шести Суворовских военных училищ. РГАНИР, Фонд ГКО, д. 261, лл. 178-179 (11012).</w:t>
      </w:r>
    </w:p>
    <w:p w14:paraId="1097F0E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001F7B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5688A5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34D78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июня 1944 войска союзников взяли Рим (4962).</w:t>
      </w:r>
    </w:p>
    <w:p w14:paraId="2D3D5AB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CEF8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4 June 1944 Allied liberation of Rome (270).</w:t>
      </w:r>
    </w:p>
    <w:p w14:paraId="102B98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390EE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июня 1944 союзники освободили Рим (270).</w:t>
      </w:r>
    </w:p>
    <w:p w14:paraId="1A2D8B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44BFCA" w14:textId="77777777" w:rsidR="00A609E4" w:rsidRPr="00070ADE" w:rsidRDefault="00A609E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4 июня</w:t>
      </w:r>
      <w:r w:rsidRPr="00070ADE">
        <w:rPr>
          <w:rFonts w:ascii="Times New Roman" w:hAnsi="Times New Roman"/>
          <w:color w:val="000000" w:themeColor="text1"/>
          <w:sz w:val="16"/>
          <w:szCs w:val="16"/>
        </w:rPr>
        <w:t xml:space="preserve"> в 1944 году союзные войска вступили в столицу Италии — Рим, покинутый германскими войсками, которые организованно отступили за Тибр. Первоначальные англо-американские планы кампании на итальянском фронте в 1944 году предусматривали взятие Рима еще в январе (14912).</w:t>
      </w:r>
    </w:p>
    <w:p w14:paraId="487E8D89" w14:textId="77777777" w:rsidR="00A609E4" w:rsidRPr="00070ADE" w:rsidRDefault="00A609E4" w:rsidP="00B56F90">
      <w:pPr>
        <w:spacing w:after="0" w:line="240" w:lineRule="auto"/>
        <w:jc w:val="both"/>
        <w:rPr>
          <w:rFonts w:ascii="Times New Roman" w:hAnsi="Times New Roman"/>
          <w:color w:val="000000" w:themeColor="text1"/>
          <w:sz w:val="16"/>
          <w:szCs w:val="16"/>
        </w:rPr>
      </w:pPr>
    </w:p>
    <w:p w14:paraId="017FEB5A"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июня (ночь) 1944 259 британских бомбардировщиков совершают налет на три немецкие береговые артиллерийские позиции в Па-де-Кале и одну на Мези в Нормандии в целях прямой поддержки неминуемого вторжения. Рейду Мези и двум из них в Па-де-Кале мешает облачный покров, но атака на огневую позицию в Кале точна. Все бомбардировщики благополучно возвращаются (20373).</w:t>
      </w:r>
    </w:p>
    <w:p w14:paraId="237487FB" w14:textId="77777777" w:rsidR="00781F94" w:rsidRPr="00070ADE" w:rsidRDefault="00781F94" w:rsidP="00B56F90">
      <w:pPr>
        <w:spacing w:after="0" w:line="240" w:lineRule="auto"/>
        <w:jc w:val="both"/>
        <w:rPr>
          <w:rFonts w:ascii="Times New Roman" w:hAnsi="Times New Roman"/>
          <w:color w:val="000000" w:themeColor="text1"/>
          <w:sz w:val="16"/>
          <w:szCs w:val="16"/>
        </w:rPr>
      </w:pPr>
    </w:p>
    <w:p w14:paraId="3A08A2D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июня 1944 союзниками впервые захвачена немецкая подводная лодка (4962).</w:t>
      </w:r>
    </w:p>
    <w:p w14:paraId="785C561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609D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4th, 1944: The US Fifth Army (Clark) enters Rome. U-505, patroling off Cape Blanco on the West African coast is forced to the surface by depth-charges from the US destroyer escort Chatelain, captured intact and towed to Bermuda by the escort carrier Guadalcanal (3819).</w:t>
      </w:r>
    </w:p>
    <w:p w14:paraId="5A8097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22EB6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июня 1944 американцы захватили первую немецкую подводную лодку - U-505 (2100).</w:t>
      </w:r>
    </w:p>
    <w:p w14:paraId="251CD1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8BC2AC" w14:textId="77777777" w:rsidR="00A609E4" w:rsidRPr="00070ADE" w:rsidRDefault="00A609E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4 июня</w:t>
      </w:r>
      <w:r w:rsidRPr="00070ADE">
        <w:rPr>
          <w:rFonts w:ascii="Times New Roman" w:hAnsi="Times New Roman"/>
          <w:color w:val="000000" w:themeColor="text1"/>
          <w:sz w:val="16"/>
          <w:szCs w:val="16"/>
        </w:rPr>
        <w:t xml:space="preserve"> в 1944 году Захват немецкой подводной лодки «U-505» кораблями и самолетами оперативно-тактической группы ВМС США во главе с авианосецем «Guadalcanal» (14912).</w:t>
      </w:r>
    </w:p>
    <w:p w14:paraId="55B8251D" w14:textId="77777777" w:rsidR="00A609E4" w:rsidRPr="00070ADE" w:rsidRDefault="00A609E4" w:rsidP="00B56F90">
      <w:pPr>
        <w:spacing w:after="0" w:line="240" w:lineRule="auto"/>
        <w:jc w:val="both"/>
        <w:rPr>
          <w:rFonts w:ascii="Times New Roman" w:hAnsi="Times New Roman"/>
          <w:color w:val="000000" w:themeColor="text1"/>
          <w:sz w:val="16"/>
          <w:szCs w:val="16"/>
        </w:rPr>
      </w:pPr>
    </w:p>
    <w:p w14:paraId="1474A134" w14:textId="77777777" w:rsidR="00A609E4" w:rsidRPr="00070ADE" w:rsidRDefault="00A609E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4 июня</w:t>
      </w:r>
      <w:r w:rsidRPr="00070ADE">
        <w:rPr>
          <w:rFonts w:ascii="Times New Roman" w:hAnsi="Times New Roman"/>
          <w:color w:val="000000" w:themeColor="text1"/>
          <w:sz w:val="16"/>
          <w:szCs w:val="16"/>
        </w:rPr>
        <w:t xml:space="preserve"> в 1944 году Иосип Броз Тито и другие руководители партизанского движения в Югославии переброшены советскими самолетами из Югославии в Бари (14912).</w:t>
      </w:r>
    </w:p>
    <w:p w14:paraId="59590F4C" w14:textId="77777777" w:rsidR="00A609E4" w:rsidRPr="00070ADE" w:rsidRDefault="00A609E4" w:rsidP="00B56F90">
      <w:pPr>
        <w:spacing w:after="0" w:line="240" w:lineRule="auto"/>
        <w:jc w:val="both"/>
        <w:rPr>
          <w:rFonts w:ascii="Times New Roman" w:hAnsi="Times New Roman"/>
          <w:color w:val="000000" w:themeColor="text1"/>
          <w:sz w:val="16"/>
          <w:szCs w:val="16"/>
        </w:rPr>
      </w:pPr>
    </w:p>
    <w:p w14:paraId="48ACB46B" w14:textId="77777777" w:rsidR="00A609E4" w:rsidRPr="00070ADE" w:rsidRDefault="00A609E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4 июня</w:t>
      </w:r>
      <w:r w:rsidRPr="00070ADE">
        <w:rPr>
          <w:rFonts w:ascii="Times New Roman" w:hAnsi="Times New Roman"/>
          <w:color w:val="000000" w:themeColor="text1"/>
          <w:sz w:val="16"/>
          <w:szCs w:val="16"/>
        </w:rPr>
        <w:t xml:space="preserve"> в 1944 году французский генерал Де Голль прибывает в Лондон (14912).</w:t>
      </w:r>
    </w:p>
    <w:p w14:paraId="24925699" w14:textId="77777777" w:rsidR="00A609E4" w:rsidRPr="00070ADE" w:rsidRDefault="00A609E4" w:rsidP="00B56F90">
      <w:pPr>
        <w:spacing w:after="0" w:line="240" w:lineRule="auto"/>
        <w:jc w:val="both"/>
        <w:rPr>
          <w:rFonts w:ascii="Times New Roman" w:hAnsi="Times New Roman"/>
          <w:color w:val="000000" w:themeColor="text1"/>
          <w:sz w:val="16"/>
          <w:szCs w:val="16"/>
        </w:rPr>
      </w:pPr>
    </w:p>
    <w:p w14:paraId="1D10EA60" w14:textId="77777777" w:rsidR="00A609E4" w:rsidRPr="00070ADE" w:rsidRDefault="00A609E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4 июня</w:t>
      </w:r>
      <w:r w:rsidRPr="00070ADE">
        <w:rPr>
          <w:rFonts w:ascii="Times New Roman" w:hAnsi="Times New Roman"/>
          <w:color w:val="000000" w:themeColor="text1"/>
          <w:sz w:val="16"/>
          <w:szCs w:val="16"/>
        </w:rPr>
        <w:t xml:space="preserve"> в 1944 году во время учебных торпедных стрельб вблизи Перл Харбора погибла американская подводная лодка «S-28». В 17.30 «S-28» погрузилась для выхода в атаку на сторожевой катер «Рилайенс». В 18.20, находясь па расстоянии около 23 кабельтовых от подводной лодки, катер потерял с ней гидролокационный контакт. После безуспешных попыток восстановить контакт была объявлена тревога, а затем развернуты поиски пропавшей лодки. На вторые сутки в полдень на поверхности моря обнаружили масляное пятно. Так как глубина океана в этом районе составляла 2600 м, спасательные операции были бессмысленны. Комиссия, расследовавшая катастрофу, к определенным выводам о ее причинах прийти не смогла. В ее заключении констатировалось лишь, что сообщения об аварии (по звукоподводной связи) с борта «S-28» не поступало, а акустики «Рилайенса» не зафиксировали подводного взрыва (14912).</w:t>
      </w:r>
    </w:p>
    <w:p w14:paraId="2CFC2098" w14:textId="77777777" w:rsidR="00A609E4" w:rsidRPr="00070ADE" w:rsidRDefault="00A609E4" w:rsidP="00B56F90">
      <w:pPr>
        <w:spacing w:after="0" w:line="240" w:lineRule="auto"/>
        <w:jc w:val="both"/>
        <w:rPr>
          <w:rFonts w:ascii="Times New Roman" w:hAnsi="Times New Roman"/>
          <w:color w:val="000000" w:themeColor="text1"/>
          <w:sz w:val="16"/>
          <w:szCs w:val="16"/>
        </w:rPr>
      </w:pPr>
    </w:p>
    <w:p w14:paraId="5F7B382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5259D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187B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года директор ОКБ-15 НКВ Шпитальный писал письмо N 382с Шахурину.</w:t>
      </w:r>
    </w:p>
    <w:p w14:paraId="494CF0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Универсальная облегченная 20 мм пушка ОКБ-15 идущая под литером "Ш-20" прошла положенные государственные испытания как на земле, так и в воздухе в вариантах: турельном, моторном и синхронном на самолетах ИЛ-10 и ЯК-9Т.</w:t>
      </w:r>
    </w:p>
    <w:p w14:paraId="27BD58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Ввиду того, что отдельные работники Наркомата вооружения желают убедиться в полной универсальности пушки "Ш-20", прошу Ваших указаний заводу N 381, в Москве, об установке двух пушек "Ш-20" на один из самолетов системы Лавочкина. При нашей производственной помощи завод N 381, очевидно, успеет эту установку закончить в те же самые сроки, в какие он устанавливает и другие аналогичные системы (1821).</w:t>
      </w:r>
    </w:p>
    <w:p w14:paraId="25E71A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DE40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года директор ОКБ-15 НКВ Шпитальный писал письмо N 381с Шахурину.</w:t>
      </w:r>
    </w:p>
    <w:p w14:paraId="4256C2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Коллектив ОКБ-15 НКВ разработал, путем переделки пушки "Ш-20" - универсальную пушку калибра 23х20х14,5 мм под литером "Ш-23" со следующими ориентировочными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D4663" w:rsidRPr="00070ADE" w14:paraId="25FBD743" w14:textId="77777777">
        <w:tc>
          <w:tcPr>
            <w:tcW w:w="5636" w:type="dxa"/>
          </w:tcPr>
          <w:p w14:paraId="157B84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калибр</w:t>
            </w:r>
          </w:p>
        </w:tc>
        <w:tc>
          <w:tcPr>
            <w:tcW w:w="5636" w:type="dxa"/>
          </w:tcPr>
          <w:p w14:paraId="3EA6F46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23х20х14,5</w:t>
            </w:r>
          </w:p>
        </w:tc>
      </w:tr>
      <w:tr w:rsidR="004D4663" w:rsidRPr="00070ADE" w14:paraId="7ECBD720" w14:textId="77777777">
        <w:tc>
          <w:tcPr>
            <w:tcW w:w="5636" w:type="dxa"/>
          </w:tcPr>
          <w:p w14:paraId="497DDA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вес</w:t>
            </w:r>
          </w:p>
        </w:tc>
        <w:tc>
          <w:tcPr>
            <w:tcW w:w="5636" w:type="dxa"/>
          </w:tcPr>
          <w:p w14:paraId="7C3E583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28-28,5-29 кг</w:t>
            </w:r>
          </w:p>
        </w:tc>
      </w:tr>
      <w:tr w:rsidR="004D4663" w:rsidRPr="00070ADE" w14:paraId="09D13FE6" w14:textId="77777777">
        <w:tc>
          <w:tcPr>
            <w:tcW w:w="5636" w:type="dxa"/>
          </w:tcPr>
          <w:p w14:paraId="6D08E5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темп стрельбы</w:t>
            </w:r>
          </w:p>
        </w:tc>
        <w:tc>
          <w:tcPr>
            <w:tcW w:w="5636" w:type="dxa"/>
          </w:tcPr>
          <w:p w14:paraId="094727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800-850-1000 выстр/мин.</w:t>
            </w:r>
          </w:p>
        </w:tc>
      </w:tr>
    </w:tbl>
    <w:p w14:paraId="3B8D22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Основная задача, которую решает ОКБ-15 в этой пушке, это возможность стрельбы через винт снарядом калибра 23 мм.</w:t>
      </w:r>
    </w:p>
    <w:p w14:paraId="307697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установившимся взаимоотношениям, чертежи этой пушки мы в первую очередь посылаем Яковлеву, для его самолетов.</w:t>
      </w:r>
    </w:p>
    <w:p w14:paraId="508C39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самолетов Яковлева, эта пушка может быть применена для самолетов Лавочкина, для стрельбы через винт. Установка пушки "Ш-23" значительно повышает огневую мощь самолета Лавочкина, не увеличивая в то же время общего веса самолета.</w:t>
      </w:r>
    </w:p>
    <w:p w14:paraId="2E76E9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вышеизложенным и на основании договоренности с Вами, прошу Вашего указания заводу N 381 об установке, совместно с ОКБ-15, двух пушек "Ш-23" на один из самолетов системы Лавочкина (1821).</w:t>
      </w:r>
    </w:p>
    <w:p w14:paraId="22E955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89B1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5 июня по 18 июля 1944 г. проходили государственные испытания в НИИ ВВС ПТАБ-10-2,5. Легко пробивала танковую броню толщиной до 160 мм при углах встречи до 30 и обеспечивала пробитие 40-мм брони, расположенной на расстоянии 500 мм от 20-мм бронево</w:t>
      </w:r>
      <w:r w:rsidRPr="00070ADE">
        <w:rPr>
          <w:rFonts w:ascii="Times New Roman" w:hAnsi="Times New Roman"/>
          <w:color w:val="000000" w:themeColor="text1"/>
          <w:sz w:val="16"/>
          <w:szCs w:val="16"/>
        </w:rPr>
        <w:softHyphen/>
        <w:t>го экрана. К сожалению, в силу конструктивных недостатков как самой бомбы, так и бомбоотсеков штурмовиков Ил-2 ПТАБ-10-2,5 не была принята на вооружение ВВС КА как не выдержавшая вой</w:t>
      </w:r>
      <w:r w:rsidRPr="00070ADE">
        <w:rPr>
          <w:rFonts w:ascii="Times New Roman" w:hAnsi="Times New Roman"/>
          <w:color w:val="000000" w:themeColor="text1"/>
          <w:sz w:val="16"/>
          <w:szCs w:val="16"/>
        </w:rPr>
        <w:softHyphen/>
        <w:t>сковых испытаний. В акте по войсковым испытаниям от 28 сен</w:t>
      </w:r>
      <w:r w:rsidRPr="00070ADE">
        <w:rPr>
          <w:rFonts w:ascii="Times New Roman" w:hAnsi="Times New Roman"/>
          <w:color w:val="000000" w:themeColor="text1"/>
          <w:sz w:val="16"/>
          <w:szCs w:val="16"/>
        </w:rPr>
        <w:softHyphen/>
        <w:t>тября 1945 г. указывалось: «Для принятия окончательного реше</w:t>
      </w:r>
      <w:r w:rsidRPr="00070ADE">
        <w:rPr>
          <w:rFonts w:ascii="Times New Roman" w:hAnsi="Times New Roman"/>
          <w:color w:val="000000" w:themeColor="text1"/>
          <w:sz w:val="16"/>
          <w:szCs w:val="16"/>
        </w:rPr>
        <w:softHyphen/>
        <w:t>ния по авиабомбам ПТАБ-10-2, 5, показавшим на испытаниях высокую эффективность, считать необходимым доработать кон</w:t>
      </w:r>
      <w:r w:rsidRPr="00070ADE">
        <w:rPr>
          <w:rFonts w:ascii="Times New Roman" w:hAnsi="Times New Roman"/>
          <w:color w:val="000000" w:themeColor="text1"/>
          <w:sz w:val="16"/>
          <w:szCs w:val="16"/>
        </w:rPr>
        <w:softHyphen/>
        <w:t>струкцию ПТАБ-10-2,5 в части увеличения жесткости стабилиза</w:t>
      </w:r>
      <w:r w:rsidRPr="00070ADE">
        <w:rPr>
          <w:rFonts w:ascii="Times New Roman" w:hAnsi="Times New Roman"/>
          <w:color w:val="000000" w:themeColor="text1"/>
          <w:sz w:val="16"/>
          <w:szCs w:val="16"/>
        </w:rPr>
        <w:softHyphen/>
        <w:t>тора и его крепления к корпусу бомбы». Дальнейшая доработка и совершенствование противотан</w:t>
      </w:r>
      <w:r w:rsidRPr="00070ADE">
        <w:rPr>
          <w:rFonts w:ascii="Times New Roman" w:hAnsi="Times New Roman"/>
          <w:color w:val="000000" w:themeColor="text1"/>
          <w:sz w:val="16"/>
          <w:szCs w:val="16"/>
        </w:rPr>
        <w:softHyphen/>
        <w:t>ковых авиабомб этого типа привело к принятию на вооруже</w:t>
      </w:r>
      <w:r w:rsidRPr="00070ADE">
        <w:rPr>
          <w:rFonts w:ascii="Times New Roman" w:hAnsi="Times New Roman"/>
          <w:color w:val="000000" w:themeColor="text1"/>
          <w:sz w:val="16"/>
          <w:szCs w:val="16"/>
        </w:rPr>
        <w:softHyphen/>
        <w:t>ние ВВС КА авиабомбы ПТАБ-2,5 (в габаритах 2,5 кг весом 2,5 кг). Но это было уже после войны (11474,360).</w:t>
      </w:r>
    </w:p>
    <w:p w14:paraId="797251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AD8D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5 июня по 6 июля 1944 проводились совместные испытания первого СДБ А.Н.Т. (4,180) - 63/1, а по другим данным - гос. испытания (2397,54).</w:t>
      </w:r>
    </w:p>
    <w:p w14:paraId="6A2A31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CA75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начались Государственные испытания (ведущий летчик М.А. Нюхтиков) "СДБ" и заняли месяц. Хотя самолет и продемонстрировал высокую скорость (633 км/ч) и хорошую маневренность, испытания он не выдержал. Главные дефекты машины были связаны с плохой работой моторов и недостаточным запасом путевой устойчивости. Военные пожелали ввести в экипаж воздушного стрелка.</w:t>
      </w:r>
    </w:p>
    <w:p w14:paraId="44FEAAB3" w14:textId="3C9DF2A9"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мая 1944 года, через 10 дней после того, как</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летчик- испытатель А.Д. Перелет выполнил первый полет, "СДБ" передали в НИИ ВВС.</w:t>
      </w:r>
    </w:p>
    <w:p w14:paraId="78E75D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лету 1944 г. на опытном заводе № 156 из машины "103" был выполнен двухместный вариант СДБ. В декабре 1943 года командование ВВС предложило НКАП создать на базе машины "103" с двигателями АМ-37 скоростной дневной бомбардировщик СДБ (АНТ-63), но с моторами АМ-39.</w:t>
      </w:r>
    </w:p>
    <w:p w14:paraId="5EE8EB1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этом сохранилась компоновка предшественника. В угоду скорости его стрелковое вооружение ограничили лишь двумя неподвижными орудиями ШBAK в центроплане крыла с боезапасом по 150 патронов на ствол.</w:t>
      </w:r>
    </w:p>
    <w:p w14:paraId="28900D3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Особенностями второго экземпляра машины "63" по сравнению с предшественником был не только экипаж, возросший до трех человек (дополнительно ввели стрелка в задней кабине), но и створки шасси закрывавшиеся как при убранном, так и выпущенном положении основных опор. Управление винтами было секторное, а моторы имели Скоростной дневной дополнительные контуры для охлаждения бомбардировщик ("СДБ") воздуха после нагнетателя перед поступле- на заводских испытаниях нием в двигатель.</w:t>
      </w:r>
    </w:p>
    <w:p w14:paraId="395745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помимо двух неподвижных пушек ШВАК с общим боезапасом 300 патронов для стрельбы вперед включало и два пулемета Березина для защиты задней полусферы. Нормальная бомбовая нагрузка - 1000 кг (при полной заправке топливом исходя из прочности колес) в грузовом отсеке, максимально допустимая - 4000 кг.</w:t>
      </w:r>
    </w:p>
    <w:p w14:paraId="6418EA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Первый полет на трехместном "СДБ" также выполнил А.Д. Перелет, и в декабре 1944 года машину передали на государственные испытания. 30 декабря 1944 года А. Кузнецов (должность в документе не указана) докладывал наркому А.И. Шахурину:</w:t>
      </w:r>
    </w:p>
    <w:p w14:paraId="2ADA6C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СДБ с моторами АМ-39 является модификацией самолета "103" с АМ-37, построенного в 1941 г. Самолет испытан в НИИ ВВС в июле 1944 г.</w:t>
      </w:r>
    </w:p>
    <w:p w14:paraId="188C97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установлено:</w:t>
      </w:r>
    </w:p>
    <w:p w14:paraId="649003E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Путевая устойчивость недостаточна.</w:t>
      </w:r>
    </w:p>
    <w:p w14:paraId="03F32A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 скорости менее 350 км/ч по прибору самолет неустойчив:</w:t>
      </w:r>
    </w:p>
    <w:p w14:paraId="22A52D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продольная устойчивость недостаточная, во время выдерживания заданной скорости набора высоты имеют место переменные нагрузки на штурвале от руля высоты.</w:t>
      </w:r>
    </w:p>
    <w:p w14:paraId="35DFBE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изменение нагрузок на штурвале от руля высоты сопровождается значительным рысканием и появляются переменные нагрузки на педали.</w:t>
      </w:r>
    </w:p>
    <w:p w14:paraId="639959E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Поперечная устойчивость относительно путевой избыточна. Самолет имеет тенденцию к раскачиванию с крыла на крыло.</w:t>
      </w:r>
    </w:p>
    <w:p w14:paraId="0D1BBC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4. Управление рулем поворота слишком легкое, что может привести к передаче (большему отклонению педали - прим. авт.) ноги на виражах и разворотах. </w:t>
      </w:r>
    </w:p>
    <w:p w14:paraId="7C16A2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Автоматы управления заслонками во- дорадиаторов при работе создают значительный аэродинамический момент &lt;...&gt; и усложняют технику пилотирования.</w:t>
      </w:r>
    </w:p>
    <w:p w14:paraId="0B6759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Пневматические тормоза не эффективны.</w:t>
      </w:r>
    </w:p>
    <w:p w14:paraId="16E2B3E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Винто-моторная группа не доведенная и имеет те же дефекты, что и на самолете "ЮЗ" с АМ-37.</w:t>
      </w:r>
    </w:p>
    <w:p w14:paraId="121CD5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Длительная (1,5 часа) и неудобная заправка бензином.</w:t>
      </w:r>
    </w:p>
    <w:p w14:paraId="772435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Попадание в кабину летчика горячего воздуха.</w:t>
      </w:r>
    </w:p>
    <w:p w14:paraId="431D655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Габариты кабины по высоте малы...</w:t>
      </w:r>
    </w:p>
    <w:p w14:paraId="59C5DEC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Моторы АМ-39 на 2-й скорости нагнетателя работали неудовлетворительно...</w:t>
      </w:r>
    </w:p>
    <w:p w14:paraId="17002A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Построен второй экземпляр СДБ, переданный в НИИ ВВС в октябре. Он имеет экипаж вместо двух - три человека. Новая носовая часть фюзеляжа с измененным обзором. Дополнительно установлены люковая и верхняя стрелковые установки. Объем бензина увеличен до 2400 л.</w:t>
      </w:r>
    </w:p>
    <w:p w14:paraId="7C7697E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Изменена маслосхема, предусмотрено новое бронирование экипажа. Взлетный вес возрос на 650 кг.</w:t>
      </w:r>
    </w:p>
    <w:p w14:paraId="6CAEFAF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"63" на 27 декабря 1944 г. сделано два полета. Во втором полете на высоте 8000 м (15 декабря) вышел из строя мотор".</w:t>
      </w:r>
    </w:p>
    <w:p w14:paraId="0FDEEB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Государственные испытания второго экземпляра "СДБ" завершились утверждением 28 июня 1945 года акта по их результатам. </w:t>
      </w:r>
    </w:p>
    <w:p w14:paraId="76095D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Основ'ными дефектами "СДБ" были: недостаточная прочность колес размером 1000x350 мм, малоэффективные и ненадежные пневматические тормоза, падение давления масла в двигателях на высотах 5000-7000 метров и отсутствие противо- пыльных фильтров на всасывающих патрубках моторов. Кроме этого, размещение рамки радиополукомпаса РПК-10 под металлической обшивкой самолета, снижало его чувствительность.</w:t>
      </w:r>
    </w:p>
    <w:p w14:paraId="6060A0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заключение же специалисты НИИ ВВС, в частности, отметили: "Самолет "63" &lt;...&gt; по своим летно-тактическим данным превосходит однотипные отечественные и иностранные самолеты, но недостаточность обзора штурмана вперед, что затрудняет для него ориентировки, отыскание цели и вывод самолета на цель при бомбометании, значительно снижает его качество как бомбардировщика.</w:t>
      </w:r>
    </w:p>
    <w:p w14:paraId="75F906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не может быть рекомендован на вооружение Красной Армии в качестве бомбардировщика".</w:t>
      </w:r>
    </w:p>
    <w:p w14:paraId="6D7BD7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Примерно в то же время в НИИ ВВС ис- пытывался другой скоростной бомбардировщик Пе-2М, представлявший собой второй экземпляр Пе-2И "Москито" с иным оборонительным вооружением. Государственные испытания Пе-2М с моторами жидкостного охлаждения М-107А, завершившиеся на два месяца позже "СДБ", показали, что максимальная скорость у земли при работе моторов на номинальном режиме на 21 км/ч больше, чем у "СДБ", но на второй границе высотности (5600 метров) она не превышала 630 км/ч, что на 10 км/ч было меньше чем у самолета "63". Правда, не надо забывать, что самолет Туполева имел более слабое оборонительное вооружение по сравнению с Пе-2М (три пушки Б-20 калибра 20 мм, одна из которых неподвижная для стрельбы вперед, другая - у штурмана и третья - люковая). При этом максимальная бомбовая нагрузка Пе-2М была вдвое ниже, чем у "СДБ".</w:t>
      </w:r>
    </w:p>
    <w:p w14:paraId="4307833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Сделать же вывод, какой из этих самолетов предпочтительней, должны были, прежде всего, военные. Но этого не произошло, поскольку обе машины государственные испытания не выдержали (12035).</w:t>
      </w:r>
    </w:p>
    <w:p w14:paraId="1242EC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1845267" w14:textId="77777777" w:rsidR="008E6982" w:rsidRPr="00C94B78" w:rsidRDefault="008E698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5 июня по 6 июля 1944 года проходили государственные испытании СДБ (скоростной дневной бомбардировщик) на базе Ту-2.</w:t>
      </w:r>
    </w:p>
    <w:p w14:paraId="1C59F909" w14:textId="77777777" w:rsidR="008E6982" w:rsidRPr="00C94B78" w:rsidRDefault="008E698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Самолет показал следующие характеристики:</w:t>
      </w:r>
    </w:p>
    <w:p w14:paraId="42B389EA" w14:textId="77777777" w:rsidR="008E6982" w:rsidRPr="00C94B78" w:rsidRDefault="008E698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Взлетная масса: 10100 кг</w:t>
      </w:r>
    </w:p>
    <w:p w14:paraId="7CBE9FF5" w14:textId="77777777" w:rsidR="008E6982" w:rsidRPr="00C94B78" w:rsidRDefault="008E698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Нормальная бомбовая нагрузка: 1000 кг</w:t>
      </w:r>
    </w:p>
    <w:p w14:paraId="380B84EC" w14:textId="77777777" w:rsidR="008E6982" w:rsidRPr="00C94B78" w:rsidRDefault="008E698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Максимальная бомбовая нагрузка: 2000 кг</w:t>
      </w:r>
    </w:p>
    <w:p w14:paraId="2CF72295" w14:textId="77777777" w:rsidR="008E6982" w:rsidRPr="00C94B78" w:rsidRDefault="008E698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Максимальная скорость: 645 км/ч на высоте 6650 м</w:t>
      </w:r>
    </w:p>
    <w:p w14:paraId="1FF68798" w14:textId="77777777" w:rsidR="008E6982" w:rsidRPr="00C94B78" w:rsidRDefault="008E698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Скороподъемность: 5000 м за 7,45 мин</w:t>
      </w:r>
    </w:p>
    <w:p w14:paraId="4FBCA769" w14:textId="77777777" w:rsidR="008E6982" w:rsidRPr="00C94B78" w:rsidRDefault="008E698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Техническая дальность полета: 1830 км</w:t>
      </w:r>
    </w:p>
    <w:p w14:paraId="136F5524" w14:textId="77777777" w:rsidR="008E6982" w:rsidRPr="00C94B78" w:rsidRDefault="008E698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целом самолет удовлетворил требования к нему, но потребовалось внести в его конструкцию несколько незначительных изменений. Пожелания военных учли во втором прототипе, который получил обозначение «63/2» (25073).</w:t>
      </w:r>
    </w:p>
    <w:p w14:paraId="3122126E" w14:textId="77777777" w:rsidR="008E6982" w:rsidRPr="00C94B78" w:rsidRDefault="008E6982" w:rsidP="00B56F90">
      <w:pPr>
        <w:spacing w:after="0" w:line="240" w:lineRule="auto"/>
        <w:jc w:val="both"/>
        <w:rPr>
          <w:rFonts w:ascii="Times New Roman" w:hAnsi="Times New Roman"/>
          <w:color w:val="0070C0"/>
          <w:sz w:val="16"/>
          <w:szCs w:val="16"/>
        </w:rPr>
      </w:pPr>
    </w:p>
    <w:p w14:paraId="2C83DB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Зам. Нач. 7ГУ Алексеев подготовил сводку о ходе испытаний высотных самолетов на 3 июня 1944 по Як-9 М-105ПД, Ла-5 АШ-82ФН и 2ТК-3, МиГ АМ-39А и 2ТК-2Б (1825).</w:t>
      </w:r>
    </w:p>
    <w:p w14:paraId="597951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 ВЫСОТНЫЙ ИСТРЕБИТЕЛЬ ЯК-9 С ВК-105ПФ И ДВУХСТУПЕНЧАТЫМ НАГНЕТАТЕЛЕМ</w:t>
      </w:r>
    </w:p>
    <w:p w14:paraId="1E4152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производились работы по установке мотора с пониженной высотностью, полученного из ЦИАМ вечером 3 июня с.г. После окончания работ самолет будет передан ЦАГИ для продувок в трубе.</w:t>
      </w:r>
    </w:p>
    <w:p w14:paraId="4AFCF0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ВЫСОТНЫЙ ИСТРЕБИТЕЛЬ ЛА-5 С АШ-82ФН и 2ТК-3.</w:t>
      </w:r>
    </w:p>
    <w:p w14:paraId="649634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3-го июня произведен пслет до высоты 8000 мт с работа</w:t>
      </w:r>
      <w:r w:rsidRPr="00070ADE">
        <w:rPr>
          <w:rFonts w:ascii="Times New Roman" w:hAnsi="Times New Roman"/>
          <w:color w:val="000000" w:themeColor="text1"/>
          <w:sz w:val="16"/>
          <w:szCs w:val="16"/>
        </w:rPr>
        <w:softHyphen/>
        <w:t>ющим ТК; из-за падения давления бензина и высоких температур головок цилиндров мотора, полет был прекращен.</w:t>
      </w:r>
    </w:p>
    <w:p w14:paraId="71634A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производятся следующие работы: смена центрального бензобака и эжекторной помпы, улучшение дефлектирования головок и изменение боковых крышек капотов. Окончание этих работ и продолжение испытаний предполагается 8-го июня с. г.</w:t>
      </w:r>
    </w:p>
    <w:p w14:paraId="092510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оказания консультации по системе охлавдения в ОКБ ТОВ. ЛАВОЧКИНА командирован инженер ЦАГИ тов. ЗАК.</w:t>
      </w:r>
    </w:p>
    <w:p w14:paraId="6DEE84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ВЫСОТНЫЙ ИСТРЕБИТЕЛЬ МИГ С АМ-39Б И 2ТК-2Б.</w:t>
      </w:r>
    </w:p>
    <w:p w14:paraId="725D32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Полеты не производились, из-за отсутствия метеороло</w:t>
      </w:r>
      <w:r w:rsidRPr="00070ADE">
        <w:rPr>
          <w:rFonts w:ascii="Times New Roman" w:hAnsi="Times New Roman"/>
          <w:color w:val="000000" w:themeColor="text1"/>
          <w:sz w:val="16"/>
          <w:szCs w:val="16"/>
        </w:rPr>
        <w:softHyphen/>
        <w:t>гических условий для высотных полетов. Самолет в летнем состоянии (1825).</w:t>
      </w:r>
    </w:p>
    <w:p w14:paraId="7C74E3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3C64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Нач. ЛИИ Чесалов писал А.С.Я. письмо N 379с:</w:t>
      </w:r>
    </w:p>
    <w:p w14:paraId="46D563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"Направляю Вам список основных работ, выполняемых ЛИИ за январь-май 1944:</w:t>
      </w:r>
    </w:p>
    <w:p w14:paraId="036205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за период январь-май 1944 года ЛИИ выполнено 142 работы:</w:t>
      </w:r>
    </w:p>
    <w:p w14:paraId="628016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Наиболее характерными из выполненных работ являются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495"/>
        <w:gridCol w:w="4961"/>
      </w:tblGrid>
      <w:tr w:rsidR="004D4663" w:rsidRPr="00070ADE" w14:paraId="5D1F75AF" w14:textId="77777777">
        <w:tc>
          <w:tcPr>
            <w:tcW w:w="5495" w:type="dxa"/>
          </w:tcPr>
          <w:p w14:paraId="66FDAA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2C8DF5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NN отчета</w:t>
            </w:r>
          </w:p>
        </w:tc>
      </w:tr>
      <w:tr w:rsidR="004D4663" w:rsidRPr="00070ADE" w14:paraId="56CF4F13" w14:textId="77777777">
        <w:tc>
          <w:tcPr>
            <w:tcW w:w="5495" w:type="dxa"/>
          </w:tcPr>
          <w:p w14:paraId="1AF2A1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Руководство для конструкторов том N 2.</w:t>
            </w:r>
          </w:p>
        </w:tc>
        <w:tc>
          <w:tcPr>
            <w:tcW w:w="4961" w:type="dxa"/>
          </w:tcPr>
          <w:p w14:paraId="6928A1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47AACDB" w14:textId="77777777">
        <w:tc>
          <w:tcPr>
            <w:tcW w:w="5495" w:type="dxa"/>
          </w:tcPr>
          <w:p w14:paraId="6A1974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Исследование причин выхода из строя</w:t>
            </w:r>
          </w:p>
        </w:tc>
        <w:tc>
          <w:tcPr>
            <w:tcW w:w="4961" w:type="dxa"/>
          </w:tcPr>
          <w:p w14:paraId="6DA881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BD49BC9" w14:textId="77777777">
        <w:tc>
          <w:tcPr>
            <w:tcW w:w="5495" w:type="dxa"/>
          </w:tcPr>
          <w:p w14:paraId="214641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анероидов регулятора смеси РС-2 на моторе</w:t>
            </w:r>
          </w:p>
        </w:tc>
        <w:tc>
          <w:tcPr>
            <w:tcW w:w="4961" w:type="dxa"/>
          </w:tcPr>
          <w:p w14:paraId="1F4A98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F35213E" w14:textId="77777777">
        <w:tc>
          <w:tcPr>
            <w:tcW w:w="5495" w:type="dxa"/>
          </w:tcPr>
          <w:p w14:paraId="766921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М-82ФН</w:t>
            </w:r>
          </w:p>
        </w:tc>
        <w:tc>
          <w:tcPr>
            <w:tcW w:w="4961" w:type="dxa"/>
          </w:tcPr>
          <w:p w14:paraId="3A2597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44-63 с.</w:t>
            </w:r>
          </w:p>
        </w:tc>
      </w:tr>
      <w:tr w:rsidR="004D4663" w:rsidRPr="00070ADE" w14:paraId="0235AA25" w14:textId="77777777">
        <w:tc>
          <w:tcPr>
            <w:tcW w:w="5495" w:type="dxa"/>
          </w:tcPr>
          <w:p w14:paraId="444939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Исследование причин поломки пружины</w:t>
            </w:r>
          </w:p>
        </w:tc>
        <w:tc>
          <w:tcPr>
            <w:tcW w:w="4961" w:type="dxa"/>
          </w:tcPr>
          <w:p w14:paraId="483DB4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E65B184" w14:textId="77777777">
        <w:tc>
          <w:tcPr>
            <w:tcW w:w="5495" w:type="dxa"/>
          </w:tcPr>
          <w:p w14:paraId="5FCCFC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редукционного клапана регулятора числа</w:t>
            </w:r>
          </w:p>
        </w:tc>
        <w:tc>
          <w:tcPr>
            <w:tcW w:w="4961" w:type="dxa"/>
          </w:tcPr>
          <w:p w14:paraId="560810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3B1EE35" w14:textId="77777777">
        <w:tc>
          <w:tcPr>
            <w:tcW w:w="5495" w:type="dxa"/>
          </w:tcPr>
          <w:p w14:paraId="6E57C5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оборотов Р-7</w:t>
            </w:r>
          </w:p>
        </w:tc>
        <w:tc>
          <w:tcPr>
            <w:tcW w:w="4961" w:type="dxa"/>
          </w:tcPr>
          <w:p w14:paraId="38327B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44-39</w:t>
            </w:r>
          </w:p>
        </w:tc>
      </w:tr>
      <w:tr w:rsidR="004D4663" w:rsidRPr="00070ADE" w14:paraId="399A6B5D" w14:textId="77777777">
        <w:tc>
          <w:tcPr>
            <w:tcW w:w="5495" w:type="dxa"/>
          </w:tcPr>
          <w:p w14:paraId="5C0C0C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Улучшение характеристик полета</w:t>
            </w:r>
          </w:p>
        </w:tc>
        <w:tc>
          <w:tcPr>
            <w:tcW w:w="4961" w:type="dxa"/>
          </w:tcPr>
          <w:p w14:paraId="554B02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ACCA2F6" w14:textId="77777777">
        <w:tc>
          <w:tcPr>
            <w:tcW w:w="5495" w:type="dxa"/>
          </w:tcPr>
          <w:p w14:paraId="7415A2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самолетов Пе-2 и Ли-2 на одном моторе</w:t>
            </w:r>
          </w:p>
        </w:tc>
        <w:tc>
          <w:tcPr>
            <w:tcW w:w="4961" w:type="dxa"/>
          </w:tcPr>
          <w:p w14:paraId="7D185D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081BE89" w14:textId="77777777">
        <w:tc>
          <w:tcPr>
            <w:tcW w:w="5495" w:type="dxa"/>
          </w:tcPr>
          <w:p w14:paraId="079477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путем затяжеления винта на неработающем</w:t>
            </w:r>
          </w:p>
        </w:tc>
        <w:tc>
          <w:tcPr>
            <w:tcW w:w="4961" w:type="dxa"/>
          </w:tcPr>
          <w:p w14:paraId="65AB1C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88C5BA1" w14:textId="77777777">
        <w:tc>
          <w:tcPr>
            <w:tcW w:w="5495" w:type="dxa"/>
          </w:tcPr>
          <w:p w14:paraId="3C7773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моторе</w:t>
            </w:r>
          </w:p>
        </w:tc>
        <w:tc>
          <w:tcPr>
            <w:tcW w:w="4961" w:type="dxa"/>
          </w:tcPr>
          <w:p w14:paraId="4D8669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44-40</w:t>
            </w:r>
          </w:p>
        </w:tc>
      </w:tr>
      <w:tr w:rsidR="004D4663" w:rsidRPr="00070ADE" w14:paraId="55236D1C" w14:textId="77777777">
        <w:tc>
          <w:tcPr>
            <w:tcW w:w="5495" w:type="dxa"/>
          </w:tcPr>
          <w:p w14:paraId="7BA410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Летные испытания самолета Ил-4 с</w:t>
            </w:r>
          </w:p>
        </w:tc>
        <w:tc>
          <w:tcPr>
            <w:tcW w:w="4961" w:type="dxa"/>
          </w:tcPr>
          <w:p w14:paraId="602060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D4FE49A" w14:textId="77777777">
        <w:tc>
          <w:tcPr>
            <w:tcW w:w="5495" w:type="dxa"/>
          </w:tcPr>
          <w:p w14:paraId="4B1DBE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2М-88Б в полете на одном моторе с</w:t>
            </w:r>
          </w:p>
        </w:tc>
        <w:tc>
          <w:tcPr>
            <w:tcW w:w="4961" w:type="dxa"/>
          </w:tcPr>
          <w:p w14:paraId="4F132A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5D77A97" w14:textId="77777777">
        <w:tc>
          <w:tcPr>
            <w:tcW w:w="5495" w:type="dxa"/>
          </w:tcPr>
          <w:p w14:paraId="6D01C0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серийными винтами ВИШ-23 без упоров</w:t>
            </w:r>
          </w:p>
        </w:tc>
        <w:tc>
          <w:tcPr>
            <w:tcW w:w="4961" w:type="dxa"/>
          </w:tcPr>
          <w:p w14:paraId="77460F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064D3E1" w14:textId="77777777">
        <w:tc>
          <w:tcPr>
            <w:tcW w:w="5495" w:type="dxa"/>
          </w:tcPr>
          <w:p w14:paraId="4686C9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большого шага на регуляторе постоянных</w:t>
            </w:r>
          </w:p>
        </w:tc>
        <w:tc>
          <w:tcPr>
            <w:tcW w:w="4961" w:type="dxa"/>
          </w:tcPr>
          <w:p w14:paraId="3BDDA0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649A25C" w14:textId="77777777">
        <w:tc>
          <w:tcPr>
            <w:tcW w:w="5495" w:type="dxa"/>
          </w:tcPr>
          <w:p w14:paraId="772141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оборотов</w:t>
            </w:r>
          </w:p>
        </w:tc>
        <w:tc>
          <w:tcPr>
            <w:tcW w:w="4961" w:type="dxa"/>
          </w:tcPr>
          <w:p w14:paraId="51D4A8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44-143</w:t>
            </w:r>
          </w:p>
        </w:tc>
      </w:tr>
      <w:tr w:rsidR="004D4663" w:rsidRPr="00070ADE" w14:paraId="2F4AEA47" w14:textId="77777777">
        <w:tc>
          <w:tcPr>
            <w:tcW w:w="5495" w:type="dxa"/>
          </w:tcPr>
          <w:p w14:paraId="31E67E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Летные испытания самолетов Як-9 с</w:t>
            </w:r>
          </w:p>
        </w:tc>
        <w:tc>
          <w:tcPr>
            <w:tcW w:w="4961" w:type="dxa"/>
          </w:tcPr>
          <w:p w14:paraId="727FE3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6AA0001" w14:textId="77777777">
        <w:tc>
          <w:tcPr>
            <w:tcW w:w="5495" w:type="dxa"/>
          </w:tcPr>
          <w:p w14:paraId="680A78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мотором М-107А по исследованию характера</w:t>
            </w:r>
          </w:p>
        </w:tc>
        <w:tc>
          <w:tcPr>
            <w:tcW w:w="4961" w:type="dxa"/>
          </w:tcPr>
          <w:p w14:paraId="74AFC8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D3F5D3A" w14:textId="77777777">
        <w:tc>
          <w:tcPr>
            <w:tcW w:w="5495" w:type="dxa"/>
          </w:tcPr>
          <w:p w14:paraId="12CEF5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причин вибрации моторной установки</w:t>
            </w:r>
          </w:p>
        </w:tc>
        <w:tc>
          <w:tcPr>
            <w:tcW w:w="4961" w:type="dxa"/>
          </w:tcPr>
          <w:p w14:paraId="28AF6E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44-79</w:t>
            </w:r>
          </w:p>
        </w:tc>
      </w:tr>
      <w:tr w:rsidR="004D4663" w:rsidRPr="00070ADE" w14:paraId="79C9F82B" w14:textId="77777777">
        <w:tc>
          <w:tcPr>
            <w:tcW w:w="5495" w:type="dxa"/>
          </w:tcPr>
          <w:p w14:paraId="32E85F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7. Войсковые испытания и внедрение на </w:t>
            </w:r>
          </w:p>
        </w:tc>
        <w:tc>
          <w:tcPr>
            <w:tcW w:w="4961" w:type="dxa"/>
          </w:tcPr>
          <w:p w14:paraId="17B0EE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236DC72" w14:textId="77777777">
        <w:tc>
          <w:tcPr>
            <w:tcW w:w="5495" w:type="dxa"/>
          </w:tcPr>
          <w:p w14:paraId="54428B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заводах системы газового запуска</w:t>
            </w:r>
          </w:p>
        </w:tc>
        <w:tc>
          <w:tcPr>
            <w:tcW w:w="4961" w:type="dxa"/>
          </w:tcPr>
          <w:p w14:paraId="17E1F3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A680D08" w14:textId="77777777">
        <w:tc>
          <w:tcPr>
            <w:tcW w:w="5495" w:type="dxa"/>
          </w:tcPr>
          <w:p w14:paraId="1DB3D2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 подогретых авиационных моторов</w:t>
            </w:r>
          </w:p>
        </w:tc>
        <w:tc>
          <w:tcPr>
            <w:tcW w:w="4961" w:type="dxa"/>
          </w:tcPr>
          <w:p w14:paraId="16962D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44-117</w:t>
            </w:r>
          </w:p>
        </w:tc>
      </w:tr>
      <w:tr w:rsidR="004D4663" w:rsidRPr="00070ADE" w14:paraId="09204F69" w14:textId="77777777">
        <w:tc>
          <w:tcPr>
            <w:tcW w:w="5495" w:type="dxa"/>
          </w:tcPr>
          <w:p w14:paraId="24C8B3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Выявление резервов дальности</w:t>
            </w:r>
          </w:p>
        </w:tc>
        <w:tc>
          <w:tcPr>
            <w:tcW w:w="4961" w:type="dxa"/>
          </w:tcPr>
          <w:p w14:paraId="429C81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A33C891" w14:textId="77777777">
        <w:tc>
          <w:tcPr>
            <w:tcW w:w="5495" w:type="dxa"/>
          </w:tcPr>
          <w:p w14:paraId="37932F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серийных самолетов</w:t>
            </w:r>
          </w:p>
        </w:tc>
        <w:tc>
          <w:tcPr>
            <w:tcW w:w="4961" w:type="dxa"/>
          </w:tcPr>
          <w:p w14:paraId="248129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76128C0" w14:textId="77777777">
        <w:tc>
          <w:tcPr>
            <w:tcW w:w="5495" w:type="dxa"/>
          </w:tcPr>
          <w:p w14:paraId="7FA222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Испытания на дальность транспортного</w:t>
            </w:r>
          </w:p>
        </w:tc>
        <w:tc>
          <w:tcPr>
            <w:tcW w:w="4961" w:type="dxa"/>
          </w:tcPr>
          <w:p w14:paraId="0A0D32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09A0511" w14:textId="77777777">
        <w:tc>
          <w:tcPr>
            <w:tcW w:w="5495" w:type="dxa"/>
          </w:tcPr>
          <w:p w14:paraId="256513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самолета Ли-2</w:t>
            </w:r>
          </w:p>
        </w:tc>
        <w:tc>
          <w:tcPr>
            <w:tcW w:w="4961" w:type="dxa"/>
          </w:tcPr>
          <w:p w14:paraId="31A1A0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44-54</w:t>
            </w:r>
          </w:p>
        </w:tc>
      </w:tr>
      <w:tr w:rsidR="004D4663" w:rsidRPr="00070ADE" w14:paraId="6075AC27" w14:textId="77777777">
        <w:tc>
          <w:tcPr>
            <w:tcW w:w="5495" w:type="dxa"/>
          </w:tcPr>
          <w:p w14:paraId="4FC112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Испытания на дальность самолета Пе-2</w:t>
            </w:r>
          </w:p>
        </w:tc>
        <w:tc>
          <w:tcPr>
            <w:tcW w:w="4961" w:type="dxa"/>
          </w:tcPr>
          <w:p w14:paraId="3CF364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E37CF2E" w14:textId="77777777">
        <w:tc>
          <w:tcPr>
            <w:tcW w:w="5495" w:type="dxa"/>
          </w:tcPr>
          <w:p w14:paraId="1D5A2C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N 12/275</w:t>
            </w:r>
          </w:p>
        </w:tc>
        <w:tc>
          <w:tcPr>
            <w:tcW w:w="4961" w:type="dxa"/>
          </w:tcPr>
          <w:p w14:paraId="275BF7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44-128</w:t>
            </w:r>
          </w:p>
        </w:tc>
      </w:tr>
      <w:tr w:rsidR="004D4663" w:rsidRPr="00070ADE" w14:paraId="79017C31" w14:textId="77777777">
        <w:tc>
          <w:tcPr>
            <w:tcW w:w="5495" w:type="dxa"/>
          </w:tcPr>
          <w:p w14:paraId="0E13DC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Исследование возможностей уменьшения</w:t>
            </w:r>
          </w:p>
        </w:tc>
        <w:tc>
          <w:tcPr>
            <w:tcW w:w="4961" w:type="dxa"/>
          </w:tcPr>
          <w:p w14:paraId="2B01A4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632F2BC" w14:textId="77777777">
        <w:tc>
          <w:tcPr>
            <w:tcW w:w="5495" w:type="dxa"/>
          </w:tcPr>
          <w:p w14:paraId="490662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силы отдачи пушки НС-37 конструкции</w:t>
            </w:r>
          </w:p>
        </w:tc>
        <w:tc>
          <w:tcPr>
            <w:tcW w:w="4961" w:type="dxa"/>
          </w:tcPr>
          <w:p w14:paraId="1500AE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3CE4EB6" w14:textId="77777777">
        <w:tc>
          <w:tcPr>
            <w:tcW w:w="5495" w:type="dxa"/>
          </w:tcPr>
          <w:p w14:paraId="7B9703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ОКБ-16</w:t>
            </w:r>
          </w:p>
        </w:tc>
        <w:tc>
          <w:tcPr>
            <w:tcW w:w="4961" w:type="dxa"/>
          </w:tcPr>
          <w:p w14:paraId="6B785E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44-102с</w:t>
            </w:r>
          </w:p>
        </w:tc>
      </w:tr>
      <w:tr w:rsidR="004D4663" w:rsidRPr="00070ADE" w14:paraId="422ADCC9" w14:textId="77777777">
        <w:tc>
          <w:tcPr>
            <w:tcW w:w="5495" w:type="dxa"/>
          </w:tcPr>
          <w:p w14:paraId="1CAE59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Сравнительные испытания системы</w:t>
            </w:r>
          </w:p>
        </w:tc>
        <w:tc>
          <w:tcPr>
            <w:tcW w:w="4961" w:type="dxa"/>
          </w:tcPr>
          <w:p w14:paraId="67ABBA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339C45F" w14:textId="77777777">
        <w:tc>
          <w:tcPr>
            <w:tcW w:w="5495" w:type="dxa"/>
          </w:tcPr>
          <w:p w14:paraId="0164E4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заполнения бензобаков нейтральными газами</w:t>
            </w:r>
          </w:p>
        </w:tc>
        <w:tc>
          <w:tcPr>
            <w:tcW w:w="4961" w:type="dxa"/>
          </w:tcPr>
          <w:p w14:paraId="16987E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DCE5E5B" w14:textId="77777777">
        <w:tc>
          <w:tcPr>
            <w:tcW w:w="5495" w:type="dxa"/>
          </w:tcPr>
          <w:p w14:paraId="0A2F6D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самолетах Як-7, Як-9</w:t>
            </w:r>
          </w:p>
        </w:tc>
        <w:tc>
          <w:tcPr>
            <w:tcW w:w="4961" w:type="dxa"/>
          </w:tcPr>
          <w:p w14:paraId="589B02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44-4с</w:t>
            </w:r>
          </w:p>
        </w:tc>
      </w:tr>
      <w:tr w:rsidR="004D4663" w:rsidRPr="00070ADE" w14:paraId="6CCC6B64" w14:textId="77777777">
        <w:tc>
          <w:tcPr>
            <w:tcW w:w="5495" w:type="dxa"/>
          </w:tcPr>
          <w:p w14:paraId="010696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Испытание системы НГ на самолете</w:t>
            </w:r>
          </w:p>
        </w:tc>
        <w:tc>
          <w:tcPr>
            <w:tcW w:w="4961" w:type="dxa"/>
          </w:tcPr>
          <w:p w14:paraId="74CCB8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197CC47" w14:textId="77777777">
        <w:tc>
          <w:tcPr>
            <w:tcW w:w="5495" w:type="dxa"/>
          </w:tcPr>
          <w:p w14:paraId="7940C4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Аэрокобра</w:t>
            </w:r>
          </w:p>
        </w:tc>
        <w:tc>
          <w:tcPr>
            <w:tcW w:w="4961" w:type="dxa"/>
          </w:tcPr>
          <w:p w14:paraId="44BD69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44-138</w:t>
            </w:r>
          </w:p>
        </w:tc>
      </w:tr>
      <w:tr w:rsidR="004D4663" w:rsidRPr="00070ADE" w14:paraId="6CF3BA4C" w14:textId="77777777">
        <w:tc>
          <w:tcPr>
            <w:tcW w:w="5495" w:type="dxa"/>
          </w:tcPr>
          <w:p w14:paraId="278490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Выяснение условий необходимых для</w:t>
            </w:r>
          </w:p>
        </w:tc>
        <w:tc>
          <w:tcPr>
            <w:tcW w:w="4961" w:type="dxa"/>
          </w:tcPr>
          <w:p w14:paraId="23AADD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9BA682D" w14:textId="77777777">
        <w:tc>
          <w:tcPr>
            <w:tcW w:w="5495" w:type="dxa"/>
          </w:tcPr>
          <w:p w14:paraId="5D3EE3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воспламенения и горения бензина на</w:t>
            </w:r>
          </w:p>
        </w:tc>
        <w:tc>
          <w:tcPr>
            <w:tcW w:w="4961" w:type="dxa"/>
          </w:tcPr>
          <w:p w14:paraId="50A01E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41A4D24" w14:textId="77777777">
        <w:tc>
          <w:tcPr>
            <w:tcW w:w="5495" w:type="dxa"/>
          </w:tcPr>
          <w:p w14:paraId="6F3B40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больших высотах</w:t>
            </w:r>
          </w:p>
        </w:tc>
        <w:tc>
          <w:tcPr>
            <w:tcW w:w="4961" w:type="dxa"/>
          </w:tcPr>
          <w:p w14:paraId="4F1D5A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44-132</w:t>
            </w:r>
          </w:p>
        </w:tc>
      </w:tr>
      <w:tr w:rsidR="004D4663" w:rsidRPr="00070ADE" w14:paraId="086BEB61" w14:textId="77777777">
        <w:tc>
          <w:tcPr>
            <w:tcW w:w="5495" w:type="dxa"/>
          </w:tcPr>
          <w:p w14:paraId="700E26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Испытания модифицированных самолетов:</w:t>
            </w:r>
          </w:p>
        </w:tc>
        <w:tc>
          <w:tcPr>
            <w:tcW w:w="4961" w:type="dxa"/>
          </w:tcPr>
          <w:p w14:paraId="69DAC2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4F0ACF1" w14:textId="77777777">
        <w:tc>
          <w:tcPr>
            <w:tcW w:w="5495" w:type="dxa"/>
          </w:tcPr>
          <w:p w14:paraId="2F318B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 Летные испытания самолета Ла-5 </w:t>
            </w:r>
          </w:p>
        </w:tc>
        <w:tc>
          <w:tcPr>
            <w:tcW w:w="4961" w:type="dxa"/>
          </w:tcPr>
          <w:p w14:paraId="1AAE89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8F13949" w14:textId="77777777">
        <w:tc>
          <w:tcPr>
            <w:tcW w:w="5495" w:type="dxa"/>
          </w:tcPr>
          <w:p w14:paraId="102760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модифицированного ЦАГИ</w:t>
            </w:r>
          </w:p>
        </w:tc>
        <w:tc>
          <w:tcPr>
            <w:tcW w:w="4961" w:type="dxa"/>
          </w:tcPr>
          <w:p w14:paraId="51BF74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44-43с</w:t>
            </w:r>
          </w:p>
        </w:tc>
      </w:tr>
      <w:tr w:rsidR="004D4663" w:rsidRPr="00070ADE" w14:paraId="0A52ED9A" w14:textId="77777777">
        <w:tc>
          <w:tcPr>
            <w:tcW w:w="5495" w:type="dxa"/>
          </w:tcPr>
          <w:p w14:paraId="192F8A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Испытания самолета Пе-2 N 19/205</w:t>
            </w:r>
          </w:p>
        </w:tc>
        <w:tc>
          <w:tcPr>
            <w:tcW w:w="4961" w:type="dxa"/>
          </w:tcPr>
          <w:p w14:paraId="4FE7CA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0B5E40D" w14:textId="77777777">
        <w:tc>
          <w:tcPr>
            <w:tcW w:w="5495" w:type="dxa"/>
          </w:tcPr>
          <w:p w14:paraId="2A71E7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модифицированного ЦАГИ</w:t>
            </w:r>
          </w:p>
        </w:tc>
        <w:tc>
          <w:tcPr>
            <w:tcW w:w="4961" w:type="dxa"/>
          </w:tcPr>
          <w:p w14:paraId="6EB855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44-30</w:t>
            </w:r>
          </w:p>
        </w:tc>
      </w:tr>
      <w:tr w:rsidR="004D4663" w:rsidRPr="00070ADE" w14:paraId="106D72A6" w14:textId="77777777">
        <w:tc>
          <w:tcPr>
            <w:tcW w:w="5495" w:type="dxa"/>
          </w:tcPr>
          <w:p w14:paraId="4CFA8F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Летные испытания самолета Ил-2 </w:t>
            </w:r>
          </w:p>
        </w:tc>
        <w:tc>
          <w:tcPr>
            <w:tcW w:w="4961" w:type="dxa"/>
          </w:tcPr>
          <w:p w14:paraId="4364E3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6E54975" w14:textId="77777777">
        <w:tc>
          <w:tcPr>
            <w:tcW w:w="5495" w:type="dxa"/>
          </w:tcPr>
          <w:p w14:paraId="51D410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модифицированного заводом N 30 по</w:t>
            </w:r>
          </w:p>
        </w:tc>
        <w:tc>
          <w:tcPr>
            <w:tcW w:w="4961" w:type="dxa"/>
          </w:tcPr>
          <w:p w14:paraId="4F8D32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F33408D" w14:textId="77777777">
        <w:tc>
          <w:tcPr>
            <w:tcW w:w="5495" w:type="dxa"/>
          </w:tcPr>
          <w:p w14:paraId="554013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рекомендации ЦАГИ </w:t>
            </w:r>
          </w:p>
        </w:tc>
        <w:tc>
          <w:tcPr>
            <w:tcW w:w="4961" w:type="dxa"/>
          </w:tcPr>
          <w:p w14:paraId="163520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44-46с</w:t>
            </w:r>
          </w:p>
        </w:tc>
      </w:tr>
      <w:tr w:rsidR="004D4663" w:rsidRPr="00070ADE" w14:paraId="1EBC45D5" w14:textId="77777777">
        <w:tc>
          <w:tcPr>
            <w:tcW w:w="5495" w:type="dxa"/>
          </w:tcPr>
          <w:p w14:paraId="3C4021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Испытания модифицированного самолета</w:t>
            </w:r>
          </w:p>
        </w:tc>
        <w:tc>
          <w:tcPr>
            <w:tcW w:w="4961" w:type="dxa"/>
          </w:tcPr>
          <w:p w14:paraId="034F92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FE7791C" w14:textId="77777777">
        <w:tc>
          <w:tcPr>
            <w:tcW w:w="5495" w:type="dxa"/>
          </w:tcPr>
          <w:p w14:paraId="37CFBD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Ил-2 N 3316 производства завода N 30</w:t>
            </w:r>
          </w:p>
        </w:tc>
        <w:tc>
          <w:tcPr>
            <w:tcW w:w="4961" w:type="dxa"/>
          </w:tcPr>
          <w:p w14:paraId="37A855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39CB0FC" w14:textId="77777777">
        <w:tc>
          <w:tcPr>
            <w:tcW w:w="5495" w:type="dxa"/>
          </w:tcPr>
          <w:p w14:paraId="7E1E14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 стреловидными крыльями</w:t>
            </w:r>
          </w:p>
        </w:tc>
        <w:tc>
          <w:tcPr>
            <w:tcW w:w="4961" w:type="dxa"/>
          </w:tcPr>
          <w:p w14:paraId="630220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44-116с</w:t>
            </w:r>
          </w:p>
        </w:tc>
      </w:tr>
      <w:tr w:rsidR="004D4663" w:rsidRPr="00070ADE" w14:paraId="5DAD19C0" w14:textId="77777777">
        <w:tc>
          <w:tcPr>
            <w:tcW w:w="5495" w:type="dxa"/>
          </w:tcPr>
          <w:p w14:paraId="0D3E9D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Испытания опытных объектов</w:t>
            </w:r>
          </w:p>
        </w:tc>
        <w:tc>
          <w:tcPr>
            <w:tcW w:w="4961" w:type="dxa"/>
          </w:tcPr>
          <w:p w14:paraId="361BA5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7E02D1A" w14:textId="77777777">
        <w:tc>
          <w:tcPr>
            <w:tcW w:w="5495" w:type="dxa"/>
          </w:tcPr>
          <w:p w14:paraId="54C1D0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Совместные государственные и заводские</w:t>
            </w:r>
          </w:p>
        </w:tc>
        <w:tc>
          <w:tcPr>
            <w:tcW w:w="4961" w:type="dxa"/>
          </w:tcPr>
          <w:p w14:paraId="2A7865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1EFD36F" w14:textId="77777777">
        <w:tc>
          <w:tcPr>
            <w:tcW w:w="5495" w:type="dxa"/>
          </w:tcPr>
          <w:p w14:paraId="1E2F27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планера А-7М конструкции</w:t>
            </w:r>
          </w:p>
        </w:tc>
        <w:tc>
          <w:tcPr>
            <w:tcW w:w="4961" w:type="dxa"/>
          </w:tcPr>
          <w:p w14:paraId="11FF80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6E70EF8" w14:textId="77777777">
        <w:tc>
          <w:tcPr>
            <w:tcW w:w="5495" w:type="dxa"/>
          </w:tcPr>
          <w:p w14:paraId="388F15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Антонова</w:t>
            </w:r>
          </w:p>
        </w:tc>
        <w:tc>
          <w:tcPr>
            <w:tcW w:w="4961" w:type="dxa"/>
          </w:tcPr>
          <w:p w14:paraId="6433EB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44-84с</w:t>
            </w:r>
          </w:p>
        </w:tc>
      </w:tr>
      <w:tr w:rsidR="004D4663" w:rsidRPr="00070ADE" w14:paraId="5EBE441A" w14:textId="77777777">
        <w:tc>
          <w:tcPr>
            <w:tcW w:w="5495" w:type="dxa"/>
          </w:tcPr>
          <w:p w14:paraId="593616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Летные испытания опытного самолета</w:t>
            </w:r>
          </w:p>
        </w:tc>
        <w:tc>
          <w:tcPr>
            <w:tcW w:w="4961" w:type="dxa"/>
          </w:tcPr>
          <w:p w14:paraId="0AFB1E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290270A" w14:textId="77777777">
        <w:tc>
          <w:tcPr>
            <w:tcW w:w="5495" w:type="dxa"/>
          </w:tcPr>
          <w:p w14:paraId="44477A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Ил-6 с двумя моторами АЧ-305 на</w:t>
            </w:r>
          </w:p>
        </w:tc>
        <w:tc>
          <w:tcPr>
            <w:tcW w:w="4961" w:type="dxa"/>
          </w:tcPr>
          <w:p w14:paraId="0543BC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987F40B" w14:textId="77777777">
        <w:tc>
          <w:tcPr>
            <w:tcW w:w="5495" w:type="dxa"/>
          </w:tcPr>
          <w:p w14:paraId="3F3678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устойчивость и управляемость</w:t>
            </w:r>
          </w:p>
        </w:tc>
        <w:tc>
          <w:tcPr>
            <w:tcW w:w="4961" w:type="dxa"/>
          </w:tcPr>
          <w:p w14:paraId="27C19B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8A46CDD" w14:textId="77777777">
        <w:tc>
          <w:tcPr>
            <w:tcW w:w="5495" w:type="dxa"/>
          </w:tcPr>
          <w:p w14:paraId="7FAA2A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Испытания самолета УТ-1 с закрылками</w:t>
            </w:r>
          </w:p>
        </w:tc>
        <w:tc>
          <w:tcPr>
            <w:tcW w:w="4961" w:type="dxa"/>
          </w:tcPr>
          <w:p w14:paraId="3E1F0F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9CADEAA" w14:textId="77777777">
        <w:tc>
          <w:tcPr>
            <w:tcW w:w="5495" w:type="dxa"/>
          </w:tcPr>
          <w:p w14:paraId="66F12F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ЦАГИ</w:t>
            </w:r>
          </w:p>
        </w:tc>
        <w:tc>
          <w:tcPr>
            <w:tcW w:w="4961" w:type="dxa"/>
          </w:tcPr>
          <w:p w14:paraId="4DBA29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A55A549" w14:textId="77777777">
        <w:tc>
          <w:tcPr>
            <w:tcW w:w="5495" w:type="dxa"/>
          </w:tcPr>
          <w:p w14:paraId="76CD23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Испытания иностранных самолетов:</w:t>
            </w:r>
          </w:p>
        </w:tc>
        <w:tc>
          <w:tcPr>
            <w:tcW w:w="4961" w:type="dxa"/>
          </w:tcPr>
          <w:p w14:paraId="36E56B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AA1F274" w14:textId="77777777">
        <w:tc>
          <w:tcPr>
            <w:tcW w:w="5495" w:type="dxa"/>
          </w:tcPr>
          <w:p w14:paraId="62B29F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Испытание самолета Москито</w:t>
            </w:r>
          </w:p>
        </w:tc>
        <w:tc>
          <w:tcPr>
            <w:tcW w:w="4961" w:type="dxa"/>
          </w:tcPr>
          <w:p w14:paraId="79A5D9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44-126</w:t>
            </w:r>
          </w:p>
        </w:tc>
      </w:tr>
      <w:tr w:rsidR="004D4663" w:rsidRPr="00070ADE" w14:paraId="578C88B3" w14:textId="77777777">
        <w:tc>
          <w:tcPr>
            <w:tcW w:w="5495" w:type="dxa"/>
          </w:tcPr>
          <w:p w14:paraId="61DF29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Испытания самолета Тандерболт</w:t>
            </w:r>
          </w:p>
        </w:tc>
        <w:tc>
          <w:tcPr>
            <w:tcW w:w="4961" w:type="dxa"/>
          </w:tcPr>
          <w:p w14:paraId="494AD9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44-121</w:t>
            </w:r>
          </w:p>
        </w:tc>
      </w:tr>
      <w:tr w:rsidR="004D4663" w:rsidRPr="00070ADE" w14:paraId="779CFDE2" w14:textId="77777777">
        <w:tc>
          <w:tcPr>
            <w:tcW w:w="5495" w:type="dxa"/>
          </w:tcPr>
          <w:p w14:paraId="45651B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Контрольные испытания серийных</w:t>
            </w:r>
          </w:p>
        </w:tc>
        <w:tc>
          <w:tcPr>
            <w:tcW w:w="4961" w:type="dxa"/>
          </w:tcPr>
          <w:p w14:paraId="52D2AF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E1E6572" w14:textId="77777777">
        <w:tc>
          <w:tcPr>
            <w:tcW w:w="5495" w:type="dxa"/>
          </w:tcPr>
          <w:p w14:paraId="5CC4B5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самолетов за период январь-май 1944 г.</w:t>
            </w:r>
          </w:p>
        </w:tc>
        <w:tc>
          <w:tcPr>
            <w:tcW w:w="4961" w:type="dxa"/>
          </w:tcPr>
          <w:p w14:paraId="01672C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E9CE42F" w14:textId="77777777">
        <w:tc>
          <w:tcPr>
            <w:tcW w:w="5495" w:type="dxa"/>
          </w:tcPr>
          <w:p w14:paraId="1F26A8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Проведены контрольные испытания 16</w:t>
            </w:r>
          </w:p>
        </w:tc>
        <w:tc>
          <w:tcPr>
            <w:tcW w:w="4961" w:type="dxa"/>
          </w:tcPr>
          <w:p w14:paraId="292C2B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0B4C485" w14:textId="77777777">
        <w:tc>
          <w:tcPr>
            <w:tcW w:w="5495" w:type="dxa"/>
          </w:tcPr>
          <w:p w14:paraId="03EA99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серийных самолетов завода N 21 - 3</w:t>
            </w:r>
          </w:p>
        </w:tc>
        <w:tc>
          <w:tcPr>
            <w:tcW w:w="4961" w:type="dxa"/>
          </w:tcPr>
          <w:p w14:paraId="5A0D70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EBB38EF" w14:textId="77777777">
        <w:tc>
          <w:tcPr>
            <w:tcW w:w="5495" w:type="dxa"/>
          </w:tcPr>
          <w:p w14:paraId="41E413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65BA14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N 153 - 5</w:t>
            </w:r>
          </w:p>
        </w:tc>
      </w:tr>
      <w:tr w:rsidR="004D4663" w:rsidRPr="00070ADE" w14:paraId="179F7C81" w14:textId="77777777">
        <w:tc>
          <w:tcPr>
            <w:tcW w:w="5495" w:type="dxa"/>
          </w:tcPr>
          <w:p w14:paraId="5F83F6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6489DA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N 292 - 1</w:t>
            </w:r>
          </w:p>
        </w:tc>
      </w:tr>
      <w:tr w:rsidR="004D4663" w:rsidRPr="00070ADE" w14:paraId="43C3E1EB" w14:textId="77777777">
        <w:tc>
          <w:tcPr>
            <w:tcW w:w="5495" w:type="dxa"/>
          </w:tcPr>
          <w:p w14:paraId="5C7817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06213A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N 166 - 1</w:t>
            </w:r>
          </w:p>
        </w:tc>
      </w:tr>
      <w:tr w:rsidR="004D4663" w:rsidRPr="00070ADE" w14:paraId="192CDEE7" w14:textId="77777777">
        <w:tc>
          <w:tcPr>
            <w:tcW w:w="5495" w:type="dxa"/>
          </w:tcPr>
          <w:p w14:paraId="4CBED1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4F6CBA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N 31 - 2</w:t>
            </w:r>
          </w:p>
        </w:tc>
      </w:tr>
      <w:tr w:rsidR="004D4663" w:rsidRPr="00070ADE" w14:paraId="381EF941" w14:textId="77777777">
        <w:tc>
          <w:tcPr>
            <w:tcW w:w="5495" w:type="dxa"/>
          </w:tcPr>
          <w:p w14:paraId="696FFA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07F409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N 82 - 1</w:t>
            </w:r>
          </w:p>
        </w:tc>
      </w:tr>
      <w:tr w:rsidR="004D4663" w:rsidRPr="00070ADE" w14:paraId="3951EC4D" w14:textId="77777777">
        <w:tc>
          <w:tcPr>
            <w:tcW w:w="5495" w:type="dxa"/>
          </w:tcPr>
          <w:p w14:paraId="174D11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02ACC6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N 381 - 1</w:t>
            </w:r>
          </w:p>
        </w:tc>
      </w:tr>
      <w:tr w:rsidR="004D4663" w:rsidRPr="00070ADE" w14:paraId="3F167025" w14:textId="77777777">
        <w:tc>
          <w:tcPr>
            <w:tcW w:w="5495" w:type="dxa"/>
          </w:tcPr>
          <w:p w14:paraId="16E308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1EB920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N 22 - 1</w:t>
            </w:r>
          </w:p>
        </w:tc>
      </w:tr>
      <w:tr w:rsidR="004D4663" w:rsidRPr="00070ADE" w14:paraId="149E9583" w14:textId="77777777">
        <w:tc>
          <w:tcPr>
            <w:tcW w:w="5495" w:type="dxa"/>
          </w:tcPr>
          <w:p w14:paraId="5AD906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1" w:type="dxa"/>
          </w:tcPr>
          <w:p w14:paraId="52E775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N 1 - 1</w:t>
            </w:r>
          </w:p>
        </w:tc>
      </w:tr>
      <w:tr w:rsidR="004D4663" w:rsidRPr="00070ADE" w14:paraId="0DCD17B9" w14:textId="77777777">
        <w:tc>
          <w:tcPr>
            <w:tcW w:w="5495" w:type="dxa"/>
          </w:tcPr>
          <w:p w14:paraId="22DA6E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Испытания флюгерных винтов</w:t>
            </w:r>
          </w:p>
        </w:tc>
        <w:tc>
          <w:tcPr>
            <w:tcW w:w="4961" w:type="dxa"/>
          </w:tcPr>
          <w:p w14:paraId="30DC48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A84A7B9" w14:textId="77777777">
        <w:tc>
          <w:tcPr>
            <w:tcW w:w="5495" w:type="dxa"/>
          </w:tcPr>
          <w:p w14:paraId="1013BE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Летные испытания флюгерного винта</w:t>
            </w:r>
          </w:p>
        </w:tc>
        <w:tc>
          <w:tcPr>
            <w:tcW w:w="4961" w:type="dxa"/>
          </w:tcPr>
          <w:p w14:paraId="607EC6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5231066" w14:textId="77777777">
        <w:tc>
          <w:tcPr>
            <w:tcW w:w="5495" w:type="dxa"/>
          </w:tcPr>
          <w:p w14:paraId="4E2351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УФ-61 ИФ производства завода N 28 на</w:t>
            </w:r>
          </w:p>
        </w:tc>
        <w:tc>
          <w:tcPr>
            <w:tcW w:w="4961" w:type="dxa"/>
          </w:tcPr>
          <w:p w14:paraId="3BEA43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9CC6FB8" w14:textId="77777777">
        <w:tc>
          <w:tcPr>
            <w:tcW w:w="5495" w:type="dxa"/>
          </w:tcPr>
          <w:p w14:paraId="4D38CF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самолете Ил-4 с 2М-88Б</w:t>
            </w:r>
          </w:p>
        </w:tc>
        <w:tc>
          <w:tcPr>
            <w:tcW w:w="4961" w:type="dxa"/>
          </w:tcPr>
          <w:p w14:paraId="1772CA6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44-130</w:t>
            </w:r>
          </w:p>
        </w:tc>
      </w:tr>
      <w:tr w:rsidR="004D4663" w:rsidRPr="00070ADE" w14:paraId="4BF6978B" w14:textId="77777777">
        <w:tc>
          <w:tcPr>
            <w:tcW w:w="5495" w:type="dxa"/>
          </w:tcPr>
          <w:p w14:paraId="22E6C1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Наземные испытания флюгерного</w:t>
            </w:r>
          </w:p>
        </w:tc>
        <w:tc>
          <w:tcPr>
            <w:tcW w:w="4961" w:type="dxa"/>
          </w:tcPr>
          <w:p w14:paraId="099C4B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BAE76AD" w14:textId="77777777">
        <w:tc>
          <w:tcPr>
            <w:tcW w:w="5495" w:type="dxa"/>
          </w:tcPr>
          <w:p w14:paraId="4E2087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винта УФ-61 ПФ на самолете Пе-2 после</w:t>
            </w:r>
          </w:p>
        </w:tc>
        <w:tc>
          <w:tcPr>
            <w:tcW w:w="4961" w:type="dxa"/>
          </w:tcPr>
          <w:p w14:paraId="50EB3D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8D42A2B" w14:textId="77777777">
        <w:tc>
          <w:tcPr>
            <w:tcW w:w="5495" w:type="dxa"/>
          </w:tcPr>
          <w:p w14:paraId="1F0BB4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конструктивных изменений</w:t>
            </w:r>
          </w:p>
        </w:tc>
        <w:tc>
          <w:tcPr>
            <w:tcW w:w="4961" w:type="dxa"/>
          </w:tcPr>
          <w:p w14:paraId="1F0CCA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44-81</w:t>
            </w:r>
          </w:p>
        </w:tc>
      </w:tr>
      <w:tr w:rsidR="004D4663" w:rsidRPr="00070ADE" w14:paraId="5FA67450" w14:textId="77777777">
        <w:tc>
          <w:tcPr>
            <w:tcW w:w="5495" w:type="dxa"/>
          </w:tcPr>
          <w:p w14:paraId="0E62A0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Испытание самолета Ту-2 с моторами</w:t>
            </w:r>
          </w:p>
        </w:tc>
        <w:tc>
          <w:tcPr>
            <w:tcW w:w="4961" w:type="dxa"/>
          </w:tcPr>
          <w:p w14:paraId="78BF58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0056B01" w14:textId="77777777">
        <w:tc>
          <w:tcPr>
            <w:tcW w:w="5495" w:type="dxa"/>
          </w:tcPr>
          <w:p w14:paraId="0FC903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М-82ФН с винтами АВ-5В-21 и В5-5-167А</w:t>
            </w:r>
          </w:p>
        </w:tc>
        <w:tc>
          <w:tcPr>
            <w:tcW w:w="4961" w:type="dxa"/>
          </w:tcPr>
          <w:p w14:paraId="2D9033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44-58с</w:t>
            </w:r>
          </w:p>
        </w:tc>
      </w:tr>
      <w:tr w:rsidR="004D4663" w:rsidRPr="00070ADE" w14:paraId="6F6D2661" w14:textId="77777777">
        <w:tc>
          <w:tcPr>
            <w:tcW w:w="5495" w:type="dxa"/>
          </w:tcPr>
          <w:p w14:paraId="3AE6B0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Летные испытания фильтров</w:t>
            </w:r>
          </w:p>
        </w:tc>
        <w:tc>
          <w:tcPr>
            <w:tcW w:w="4961" w:type="dxa"/>
          </w:tcPr>
          <w:p w14:paraId="3F1A4F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B19E0EE" w14:textId="77777777">
        <w:tc>
          <w:tcPr>
            <w:tcW w:w="5495" w:type="dxa"/>
          </w:tcPr>
          <w:p w14:paraId="49664A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пылеуловителей конструкции ОКБ-115 на</w:t>
            </w:r>
          </w:p>
        </w:tc>
        <w:tc>
          <w:tcPr>
            <w:tcW w:w="4961" w:type="dxa"/>
          </w:tcPr>
          <w:p w14:paraId="7435B2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8A636A4" w14:textId="77777777">
        <w:tc>
          <w:tcPr>
            <w:tcW w:w="5495" w:type="dxa"/>
          </w:tcPr>
          <w:p w14:paraId="3AD6DE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самолетах Як-9Т N 1115 и N 1120</w:t>
            </w:r>
          </w:p>
        </w:tc>
        <w:tc>
          <w:tcPr>
            <w:tcW w:w="4961" w:type="dxa"/>
          </w:tcPr>
          <w:p w14:paraId="6026B9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0EFFF66" w14:textId="77777777">
        <w:tc>
          <w:tcPr>
            <w:tcW w:w="5495" w:type="dxa"/>
          </w:tcPr>
          <w:p w14:paraId="2B8B09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производства завода 153</w:t>
            </w:r>
          </w:p>
        </w:tc>
        <w:tc>
          <w:tcPr>
            <w:tcW w:w="4961" w:type="dxa"/>
          </w:tcPr>
          <w:p w14:paraId="0FFFBC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44-110</w:t>
            </w:r>
          </w:p>
        </w:tc>
      </w:tr>
      <w:tr w:rsidR="004D4663" w:rsidRPr="00070ADE" w14:paraId="36021837" w14:textId="77777777">
        <w:tc>
          <w:tcPr>
            <w:tcW w:w="5495" w:type="dxa"/>
          </w:tcPr>
          <w:p w14:paraId="7225D8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Летные испытания карбюраторов</w:t>
            </w:r>
          </w:p>
        </w:tc>
        <w:tc>
          <w:tcPr>
            <w:tcW w:w="4961" w:type="dxa"/>
          </w:tcPr>
          <w:p w14:paraId="30DD54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EF9955E" w14:textId="77777777">
        <w:tc>
          <w:tcPr>
            <w:tcW w:w="5495" w:type="dxa"/>
          </w:tcPr>
          <w:p w14:paraId="0967D2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завода N 33 К-107А серии ОП-8 на</w:t>
            </w:r>
          </w:p>
        </w:tc>
        <w:tc>
          <w:tcPr>
            <w:tcW w:w="4961" w:type="dxa"/>
          </w:tcPr>
          <w:p w14:paraId="6EF598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633AC85" w14:textId="77777777">
        <w:tc>
          <w:tcPr>
            <w:tcW w:w="5495" w:type="dxa"/>
          </w:tcPr>
          <w:p w14:paraId="27E410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моторе ВК-107А N 337-29 на с-те Як-9</w:t>
            </w:r>
          </w:p>
        </w:tc>
        <w:tc>
          <w:tcPr>
            <w:tcW w:w="4961" w:type="dxa"/>
          </w:tcPr>
          <w:p w14:paraId="736C8B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F35E51D" w14:textId="77777777">
        <w:tc>
          <w:tcPr>
            <w:tcW w:w="5495" w:type="dxa"/>
          </w:tcPr>
          <w:p w14:paraId="276E38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N 53</w:t>
            </w:r>
          </w:p>
        </w:tc>
        <w:tc>
          <w:tcPr>
            <w:tcW w:w="4961" w:type="dxa"/>
          </w:tcPr>
          <w:p w14:paraId="4A7ED8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44-124</w:t>
            </w:r>
          </w:p>
        </w:tc>
      </w:tr>
      <w:tr w:rsidR="004D4663" w:rsidRPr="00070ADE" w14:paraId="462FEE2F" w14:textId="77777777">
        <w:tc>
          <w:tcPr>
            <w:tcW w:w="5495" w:type="dxa"/>
          </w:tcPr>
          <w:p w14:paraId="51A391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Летные испытания самолета Ил-4</w:t>
            </w:r>
          </w:p>
        </w:tc>
        <w:tc>
          <w:tcPr>
            <w:tcW w:w="4961" w:type="dxa"/>
          </w:tcPr>
          <w:p w14:paraId="0B047C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32CD374" w14:textId="77777777">
        <w:tc>
          <w:tcPr>
            <w:tcW w:w="5495" w:type="dxa"/>
          </w:tcPr>
          <w:p w14:paraId="37D16C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2М-88Б в полете на одном моторе с</w:t>
            </w:r>
          </w:p>
        </w:tc>
        <w:tc>
          <w:tcPr>
            <w:tcW w:w="4961" w:type="dxa"/>
          </w:tcPr>
          <w:p w14:paraId="782EB6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8237E02" w14:textId="77777777">
        <w:tc>
          <w:tcPr>
            <w:tcW w:w="5495" w:type="dxa"/>
          </w:tcPr>
          <w:p w14:paraId="59B8E0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серийными винтами ВИШ-23 без упоров</w:t>
            </w:r>
          </w:p>
        </w:tc>
        <w:tc>
          <w:tcPr>
            <w:tcW w:w="4961" w:type="dxa"/>
          </w:tcPr>
          <w:p w14:paraId="24980C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AA119FF" w14:textId="77777777">
        <w:tc>
          <w:tcPr>
            <w:tcW w:w="5495" w:type="dxa"/>
          </w:tcPr>
          <w:p w14:paraId="04A5FC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большого шага на регуляторе</w:t>
            </w:r>
          </w:p>
        </w:tc>
        <w:tc>
          <w:tcPr>
            <w:tcW w:w="4961" w:type="dxa"/>
          </w:tcPr>
          <w:p w14:paraId="6EE10C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B7BFDB8" w14:textId="77777777">
        <w:tc>
          <w:tcPr>
            <w:tcW w:w="5495" w:type="dxa"/>
          </w:tcPr>
          <w:p w14:paraId="216F1E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постоянных оборотов</w:t>
            </w:r>
          </w:p>
        </w:tc>
        <w:tc>
          <w:tcPr>
            <w:tcW w:w="4961" w:type="dxa"/>
          </w:tcPr>
          <w:p w14:paraId="3EF516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44-124</w:t>
            </w:r>
          </w:p>
        </w:tc>
      </w:tr>
      <w:tr w:rsidR="004D4663" w:rsidRPr="00070ADE" w14:paraId="5EF3338E" w14:textId="77777777">
        <w:tc>
          <w:tcPr>
            <w:tcW w:w="5495" w:type="dxa"/>
          </w:tcPr>
          <w:p w14:paraId="3EC174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Испытания автокорректора АК-3М</w:t>
            </w:r>
          </w:p>
        </w:tc>
        <w:tc>
          <w:tcPr>
            <w:tcW w:w="4961" w:type="dxa"/>
          </w:tcPr>
          <w:p w14:paraId="1E9897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897B0C0" w14:textId="77777777">
        <w:tc>
          <w:tcPr>
            <w:tcW w:w="5495" w:type="dxa"/>
          </w:tcPr>
          <w:p w14:paraId="330DC2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ЯК-1</w:t>
            </w:r>
          </w:p>
        </w:tc>
        <w:tc>
          <w:tcPr>
            <w:tcW w:w="4961" w:type="dxa"/>
          </w:tcPr>
          <w:p w14:paraId="31FCC1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44-127 (1821)</w:t>
            </w:r>
          </w:p>
        </w:tc>
      </w:tr>
    </w:tbl>
    <w:p w14:paraId="7E6495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Летные испытания самолета Ил-4 с 2М-88Б в полете на одном моторе с серийными винтами ВИШ-23 без упоров большого шага на регуляторе постоянных оборотов.</w:t>
      </w:r>
    </w:p>
    <w:p w14:paraId="73C87B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p w14:paraId="6D2F72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Летные испытания самолета Ил-2, модифицированного заводом 30 по рекомендациям ЦАГИ</w:t>
      </w:r>
    </w:p>
    <w:p w14:paraId="5056A1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Испытания модифицированного самолета Ил-2 N 3316 производства завода 30 со стреловидным крылом.</w:t>
      </w:r>
    </w:p>
    <w:p w14:paraId="267F09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w:t>
      </w:r>
    </w:p>
    <w:p w14:paraId="72AE07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Летные испытания опытного самолета Ил-6 с 2-мя моторами АЧ-30Б на устойчивость и управляемость.</w:t>
      </w:r>
    </w:p>
    <w:p w14:paraId="195D9B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Летные испытания самолета Ил-4 с 2М-88Б в полете на одном моторе с серийными винтами ВИШ-23 без упоров большого шага на регуляторе постоянных оборотов." (1821,233).</w:t>
      </w:r>
    </w:p>
    <w:p w14:paraId="372955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B91E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вышли донесения штурманов облета к Ковычева, к Васильева, п-п Цветкова (воздушный бой с Ла-5), к Горбунова по результатам облета в ходе испытаний пулеметно-пушечного и бомбардировочного вооружения самолета Ил-2 с мотором АМ-38Ф (самолет N 304128 производства завода 30 марта 1944), которые проходили с 17 по 31 мая 1944. Отв. исполнители: ви и-м А.Ф.Толпышкин, вл ст.л. Г.А.Тиняков, вш к Т.Ф.Горбунов. Испытывали характеристики задней ограниченно подвижной установки УБШ под УБТ-12.7 мм (завод 487 с 4 магазинами по 50 патронов) и целесообразность установки на Ил-2 взамен ВУБ-3. Решили, что обороноспособность понизилась (1861).</w:t>
      </w:r>
    </w:p>
    <w:p w14:paraId="23DC4C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AE60EF" w14:textId="77777777" w:rsidR="008E6982" w:rsidRPr="00C94B78" w:rsidRDefault="008E698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5 июня ТИС (МА) был готов к проведению летных испытаний, но разрешение заместителя наркома А. С. Яковлева на первый вылет удалось получить только к 13 июня. В этот день летчик-испытатель полковник Н. В. Гаврилов поднял машину в воздух.</w:t>
      </w:r>
    </w:p>
    <w:p w14:paraId="23C96115" w14:textId="77777777" w:rsidR="008E6982" w:rsidRPr="00C94B78" w:rsidRDefault="008E698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29 июня 1944 г. в конце пробега отказали тормоза и самолет потерпел аварию. Ремонт продолжался целый месяц — с 30 июня по 30 июля (25035).</w:t>
      </w:r>
    </w:p>
    <w:p w14:paraId="7F9E1534" w14:textId="77777777" w:rsidR="008E6982" w:rsidRPr="00C94B78" w:rsidRDefault="008E6982" w:rsidP="00B56F90">
      <w:pPr>
        <w:spacing w:after="0" w:line="240" w:lineRule="auto"/>
        <w:jc w:val="both"/>
        <w:rPr>
          <w:rFonts w:ascii="Times New Roman" w:hAnsi="Times New Roman"/>
          <w:color w:val="0070C0"/>
          <w:sz w:val="16"/>
          <w:szCs w:val="16"/>
        </w:rPr>
      </w:pPr>
    </w:p>
    <w:p w14:paraId="6EA05D08" w14:textId="77777777" w:rsidR="008E6982" w:rsidRPr="00C94B78" w:rsidRDefault="008E698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5 июня ТИС (МА) был готов к проведению летных испытаний, но разрешение заместителя наркома А.С. Яковлева на первый вылет удалось получить только 13 июня. В тот же день летчик-испытатель полковник Н.В. Гаврилов поднял машину в воздух (25337).</w:t>
      </w:r>
    </w:p>
    <w:p w14:paraId="191DE08A" w14:textId="77777777" w:rsidR="008E6982" w:rsidRPr="00C94B78" w:rsidRDefault="008E6982" w:rsidP="00B56F90">
      <w:pPr>
        <w:spacing w:after="0" w:line="240" w:lineRule="auto"/>
        <w:jc w:val="both"/>
        <w:rPr>
          <w:rFonts w:ascii="Times New Roman" w:hAnsi="Times New Roman"/>
          <w:color w:val="0070C0"/>
          <w:sz w:val="16"/>
          <w:szCs w:val="16"/>
        </w:rPr>
      </w:pPr>
    </w:p>
    <w:p w14:paraId="557C9F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В.П.Кузнецов подготовил для А.И.Ш. сводку по выполнению постановления по повышению высотности самолетов по состоянию на 5 июня 1944 и были упомянуты МиГ-3 с АМ-39Б-01, Ла-5 М-82 с ТК-3 и Як-9 с ВК-105ПД (1824).</w:t>
      </w:r>
    </w:p>
    <w:p w14:paraId="28F967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1021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ип Сидоренко подписал и 7 июня 1944 Нач. 5 отд. НИИ ВВС ип Князев утвердил Отчет о командировке в строевые части 4 ВА (обобщение опыта боевой эксплуатации матчасти ВВС КА)</w:t>
      </w:r>
    </w:p>
    <w:p w14:paraId="1CD699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Анализ дефектов моторов типа ВК-105 (П, ПА, Р, РА и ПФ), поступивших для ремонта в 14 ПАМ за время с 1 октября 1941 по 1 октября 1943 показывает следующие причины съемки моторов с самолетов:</w:t>
      </w:r>
    </w:p>
    <w:p w14:paraId="6FD6A2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 вине эксплуатации - 291 (43,3%)</w:t>
      </w:r>
    </w:p>
    <w:p w14:paraId="181DD6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 вине производства - 131 (19,7%)</w:t>
      </w:r>
    </w:p>
    <w:p w14:paraId="4BB2BF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боевые повреждения - 101 (15%)</w:t>
      </w:r>
    </w:p>
    <w:p w14:paraId="235E24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выработанный ресурс - 33 (4,9%)</w:t>
      </w:r>
    </w:p>
    <w:p w14:paraId="6DA851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причины не установлены - 70 (10,4)</w:t>
      </w:r>
    </w:p>
    <w:p w14:paraId="6D3B19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- 671</w:t>
      </w:r>
    </w:p>
    <w:p w14:paraId="0F5A77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АМ-38 (в 9 полках 4ВА) выработало свой ресурс 5,15%</w:t>
      </w:r>
    </w:p>
    <w:p w14:paraId="1CB711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АШ-82Ф (2 ап 49 КИАП и 272 ИАП 309 иад)</w:t>
      </w:r>
    </w:p>
    <w:p w14:paraId="36316A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дефекты - задир цилиндров, прогар поршней и выбивание масла (за время 4-х месячной эксплуатации в 2-х полках в январе-апреле 1944).</w:t>
      </w:r>
    </w:p>
    <w:p w14:paraId="20C29E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Живучесть матчасти в боевых условиях:</w:t>
      </w:r>
    </w:p>
    <w:p w14:paraId="65498A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С-ты типа Як-1, Як-7, Як-9 - два истребительных полка имеющие эти с-ты с 1 февраля 1943 по 1 мая 1944 имели 4532 б/вылета с общим налетом 4294:03. Проведено 310 в/боев, сбито 213 с-то противника всех типов, свои потери (не вернулис с б/задания) - 52</w:t>
      </w:r>
    </w:p>
    <w:p w14:paraId="51530C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на одну потерю своего с-та типа Як приходилось 187 с/вылетов или 178 часов налета. На 1 сбитый с-т проивника - 93 с/выдлета или 90 часлв налета. На одну б/потерю своего с-та от огня ЗА противника пришлось 4304 с/выдлета или 4050 часов налета. Средняя живучесть с-та по сроку его эксплуатации в частях в условиях напряженной боевой работы составляет: Як-1 - 54 часа, Як-7Б - 42 часа, Як-9 - 13 час.</w:t>
      </w:r>
    </w:p>
    <w:p w14:paraId="7A254F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среднем же по всем с-там типа Як живучесть составила 36,3 час.</w:t>
      </w:r>
    </w:p>
    <w:p w14:paraId="0479E1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Наиболее частыми боевыми повреждениями с-тов типа Як являются:</w:t>
      </w:r>
    </w:p>
    <w:p w14:paraId="52BB37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 Повреждение плоскостей и консолей со срывом фанерного покрытия площадью до 1,5 м2 - 34</w:t>
      </w:r>
    </w:p>
    <w:p w14:paraId="735BF7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Повреждение в/радиаторов - 13</w:t>
      </w:r>
    </w:p>
    <w:p w14:paraId="2A4402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Повреждения б/баков от пулевых пробоин и разрывов снарядов - 28</w:t>
      </w:r>
    </w:p>
    <w:p w14:paraId="0E11EE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Повреждение мотора от пуль и снарядов - 14</w:t>
      </w:r>
    </w:p>
    <w:p w14:paraId="60F66C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Повреждение фюзеляжа со срывом полотняного покрытия размером до 1 м2 - 22</w:t>
      </w:r>
    </w:p>
    <w:p w14:paraId="68BD99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Повреждение хвостового оперения - 25</w:t>
      </w:r>
    </w:p>
    <w:p w14:paraId="4CAA9F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Повреждение лопастей винта и щшасси - 16</w:t>
      </w:r>
    </w:p>
    <w:p w14:paraId="48A877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всех отмеченных выше случаях с-ты возвращались с б/задания благополучно и производили посадки на своем аэродроме. Т.о. основными поражаемыми местами с-та Як являлись:</w:t>
      </w:r>
    </w:p>
    <w:p w14:paraId="01F99B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центальная часть с-та</w:t>
      </w:r>
    </w:p>
    <w:p w14:paraId="5FC621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фюзеляжное покрытие кабины л (особенно левая рука л) и другие места с-та, ведущего боевой разворот.</w:t>
      </w:r>
    </w:p>
    <w:p w14:paraId="4F111B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с-тах тпа Як высказываются пожелания улучшить с-т за счет:</w:t>
      </w:r>
    </w:p>
    <w:p w14:paraId="5E4AA6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усиления обшивки верхней части крыла между 1 и 4 нервюрами за задним лонжероном</w:t>
      </w:r>
    </w:p>
    <w:p w14:paraId="70D495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поставить указатели расхода б/припасов и работы вооружения</w:t>
      </w:r>
    </w:p>
    <w:p w14:paraId="266B16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поставить перегородки между б/баками</w:t>
      </w:r>
    </w:p>
    <w:p w14:paraId="755730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поставить автомат стопора костыля</w:t>
      </w:r>
    </w:p>
    <w:p w14:paraId="2CE70A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плоскость сделать разъемной</w:t>
      </w:r>
    </w:p>
    <w:p w14:paraId="368A72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Живучесть с-та Ла-5</w:t>
      </w:r>
    </w:p>
    <w:p w14:paraId="784F7E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истребительных полка, имеющих на вооружении с-ты Ла-5Ф и Ла-5ФН за время с 1 февраля 1943 по 1 мая 1944 имели 4161 боевых вылета с общим налетом 3723 час. За это время произведено 270 воздушных боев при которых сбито 177 с-тов противника различного типа. Свои потери (не вернулись с боевого задания) от ИА противника - 27 с-тов и от огня ЗА - 3.</w:t>
      </w:r>
    </w:p>
    <w:p w14:paraId="1CA21F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одну боевую потерю своего с-та от ИА приходится 153 боевых вылета или 138 час. и на одну потерю от ЗА - 1378 или 1235 часов.</w:t>
      </w:r>
    </w:p>
    <w:p w14:paraId="12B12F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Средняя живучесть Ла-5 - 69 часов</w:t>
      </w:r>
    </w:p>
    <w:p w14:paraId="327FF8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боевых повареждений с-та имели место 410 случаев поврежджения деталей с-та и 164 случая повреждения мотора</w:t>
      </w:r>
    </w:p>
    <w:p w14:paraId="727077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Наиболее часто повреждениям были подвержены:</w:t>
      </w:r>
    </w:p>
    <w:p w14:paraId="5FA237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Нижние капоты мотора и капот радиатора, что приводит к повреждениям маслопроводов, м/отстойника и м/радиатора - 17</w:t>
      </w:r>
    </w:p>
    <w:p w14:paraId="6D3494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Бензобаки - 35</w:t>
      </w:r>
    </w:p>
    <w:p w14:paraId="1534DF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Переднее и заднее бронестекла - 5</w:t>
      </w:r>
    </w:p>
    <w:p w14:paraId="285C49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Центроплан и плоскости - 70</w:t>
      </w:r>
    </w:p>
    <w:p w14:paraId="7781B9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Элероны, лонжероны, нервюры, стрингера, обшивка элеронов, управление элеронами и щитками - 55</w:t>
      </w:r>
    </w:p>
    <w:p w14:paraId="46C945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востовое управление, тяги оперениягидросистема, воздухосистема, система н/газа, кимлородное оборудование, костыль - 10</w:t>
      </w:r>
    </w:p>
    <w:p w14:paraId="328C6A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Лопасти винта - 2</w:t>
      </w:r>
    </w:p>
    <w:p w14:paraId="4FD686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всех перечисленных случаях поврежденные с-ты возвращались из боевых заданий и благополучно производили посадку на свой аэродром.</w:t>
      </w:r>
    </w:p>
    <w:p w14:paraId="740132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с-ты восстанавливались силами полков и ПАРМ-1 в течение 3-10 суток.</w:t>
      </w:r>
    </w:p>
    <w:p w14:paraId="6CEB79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недостаткам конструкции с-та Ла-5 относятся:</w:t>
      </w:r>
    </w:p>
    <w:p w14:paraId="20A947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Узкое переднее б/стекло</w:t>
      </w:r>
    </w:p>
    <w:p w14:paraId="193874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Сзади-сверху голова л не защищена - нужен бронезаголовник</w:t>
      </w:r>
    </w:p>
    <w:p w14:paraId="25E607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Низ с-та не защищен. Если попаждание в мотор не выводит его из строя, то попадание в фюзеляж или плоскотьв большинстве случаев выводит с-т из строя. Л в этих слукчаях покидает с-т. При попадании снаряда в плоскость плоскость вскрывается вся целиком и с-т становится неуправляемым. При попадании снаряда в фюзеляж в большинстве случаев отваливается хвост.</w:t>
      </w:r>
    </w:p>
    <w:p w14:paraId="04C480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Летный и технический состав высказывает пожелания улучшить с-т Ла-5 за счет:</w:t>
      </w:r>
    </w:p>
    <w:p w14:paraId="017560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Автоматизации ВМГ</w:t>
      </w:r>
    </w:p>
    <w:p w14:paraId="0F10D7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Полного закрытия уюбранных колес</w:t>
      </w:r>
    </w:p>
    <w:p w14:paraId="142AD0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Всасывающий патрубок перенести вниз для улучшения обзора. Патрубок закрывает нижнюю сетку прицела</w:t>
      </w:r>
    </w:p>
    <w:p w14:paraId="497E9F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Перенести выше управление триммером РВ</w:t>
      </w:r>
    </w:p>
    <w:p w14:paraId="19C7FA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Повысить эффективность руля глубины для посадки на 3 точки</w:t>
      </w:r>
    </w:p>
    <w:p w14:paraId="27D28F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 эе недостатком с-та Ла-5 является его деревянная конструкция. При грубых посадках имеет место поломка фюзеляжа. Весьма жедлательно каркас фюзеляжа по кабину делать металлическим, что существенно повысит живучесть с-та.</w:t>
      </w:r>
    </w:p>
    <w:p w14:paraId="53DA52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Живучесть с-та Ил-2</w:t>
      </w:r>
    </w:p>
    <w:p w14:paraId="798F00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отчета, а именно с 1 сентября 1941 по 1 мая 1944 три полка 233 шад на самолетах Ил-2 выполнили 7472 самолетовылетов и налетали 7511 часов. За это время потеряли 220, что в среднем составляет на 1 потерю своего с-та 35 часов. Средняя живучесть за 7 месяцев наиболее напряженной работы составляла 30 часов.</w:t>
      </w:r>
    </w:p>
    <w:p w14:paraId="7E1AE5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Живучесть с-та Бостон Ш</w:t>
      </w:r>
    </w:p>
    <w:p w14:paraId="68DDF0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с 1 января 1943 по 1 декабря 1943 в 3-х бап количество вылетов составило 2995 с налетом 7506. Потеряно 33 с-та. Количество вылетов на 1 потерю - 84, налет - 177,6 или 1.1% от количества вылетов.</w:t>
      </w:r>
    </w:p>
    <w:p w14:paraId="256EEE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Средняя живучесть с-та при выполнении боевых заданий ночью - 98 б/вылетов на 1 потерюи днем - 77.</w:t>
      </w:r>
    </w:p>
    <w:p w14:paraId="2BC78E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каждые 100 час. средняя б/потеря достиганет 0,45 (11444).</w:t>
      </w:r>
    </w:p>
    <w:p w14:paraId="21B5D0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033D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на МиГ АМ-39Б + 2ТК-2Б был произведен полет на определение границы высотности на 1-й скорости продолжительностью 0:35, но на 8000 м полет прекратили, т.к. плохо работала бензопомпа (1825,76).</w:t>
      </w:r>
    </w:p>
    <w:p w14:paraId="325D58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1F30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на МИГ С АМ-39Б И 2ТК-2Б был произведен полет на определенле границы вы</w:t>
      </w:r>
      <w:r w:rsidRPr="00070ADE">
        <w:rPr>
          <w:rFonts w:ascii="Times New Roman" w:hAnsi="Times New Roman"/>
          <w:color w:val="000000" w:themeColor="text1"/>
          <w:sz w:val="16"/>
          <w:szCs w:val="16"/>
        </w:rPr>
        <w:softHyphen/>
        <w:t>сотности на 1-й скорости нагнетателя с включенным ТК. Продолжительность полета - 35 мин; высота-8000 мт. Начиная с высоты 4000 мт, давление бензина произвольно изменялось, то падало, то повышалось. После полета сменена бензопомпа и самолет подготовлен к очередному полету (1825).</w:t>
      </w:r>
    </w:p>
    <w:p w14:paraId="419C0C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9F5E42" w14:textId="77777777" w:rsidR="00D70979" w:rsidRPr="00070ADE" w:rsidRDefault="00D70979"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С 5 июня по 18 июля 1944 г. проходили госу</w:t>
      </w:r>
      <w:r w:rsidRPr="00070ADE">
        <w:rPr>
          <w:rFonts w:ascii="Times New Roman" w:cs="Times New Roman"/>
          <w:color w:val="000000" w:themeColor="text1"/>
          <w:spacing w:val="0"/>
        </w:rPr>
        <w:softHyphen/>
        <w:t>дарственные испытания в ГК НИИ ВВС ПТАБ-10-2,5. Бомба уверенно пробивала танковую броню толщиной до 160 мм при углах встречи до 30° и обеспечивала пробитие 40-мм брони, расположен</w:t>
      </w:r>
      <w:r w:rsidRPr="00070ADE">
        <w:rPr>
          <w:rFonts w:ascii="Times New Roman" w:cs="Times New Roman"/>
          <w:color w:val="000000" w:themeColor="text1"/>
          <w:spacing w:val="0"/>
        </w:rPr>
        <w:softHyphen/>
        <w:t>ной на расстоянии 500 мм от броневого экрана тол</w:t>
      </w:r>
      <w:r w:rsidRPr="00070ADE">
        <w:rPr>
          <w:rFonts w:ascii="Times New Roman" w:cs="Times New Roman"/>
          <w:color w:val="000000" w:themeColor="text1"/>
          <w:spacing w:val="0"/>
        </w:rPr>
        <w:softHyphen/>
        <w:t>щиной до 20 мм. Кроме того, был сделан вывод, что ПТАБ-10-2,5 способны с большой эффективностью поражать материальную часть артиллерии всех ка</w:t>
      </w:r>
      <w:r w:rsidRPr="00070ADE">
        <w:rPr>
          <w:rFonts w:ascii="Times New Roman" w:cs="Times New Roman"/>
          <w:color w:val="000000" w:themeColor="text1"/>
          <w:spacing w:val="0"/>
        </w:rPr>
        <w:softHyphen/>
        <w:t>либров и самолеты на аэро</w:t>
      </w:r>
      <w:r w:rsidRPr="00070ADE">
        <w:rPr>
          <w:rFonts w:ascii="Times New Roman" w:cs="Times New Roman"/>
          <w:color w:val="000000" w:themeColor="text1"/>
          <w:spacing w:val="0"/>
        </w:rPr>
        <w:softHyphen/>
        <w:t>дромах, железнодорожные объекты (ж.д. узлы, эшело</w:t>
      </w:r>
      <w:r w:rsidRPr="00070ADE">
        <w:rPr>
          <w:rFonts w:ascii="Times New Roman" w:cs="Times New Roman"/>
          <w:color w:val="000000" w:themeColor="text1"/>
          <w:spacing w:val="0"/>
        </w:rPr>
        <w:softHyphen/>
        <w:t>ны, паровозы, цистерны), мотомехчасти и автотран</w:t>
      </w:r>
      <w:r w:rsidRPr="00070ADE">
        <w:rPr>
          <w:rFonts w:ascii="Times New Roman" w:cs="Times New Roman"/>
          <w:color w:val="000000" w:themeColor="text1"/>
          <w:spacing w:val="0"/>
        </w:rPr>
        <w:softHyphen/>
        <w:t>спорт, а также надводные переправы, наземные ре</w:t>
      </w:r>
      <w:r w:rsidRPr="00070ADE">
        <w:rPr>
          <w:rFonts w:ascii="Times New Roman" w:cs="Times New Roman"/>
          <w:color w:val="000000" w:themeColor="text1"/>
          <w:spacing w:val="0"/>
        </w:rPr>
        <w:softHyphen/>
        <w:t>зервуары с нефтепродукта</w:t>
      </w:r>
      <w:r w:rsidRPr="00070ADE">
        <w:rPr>
          <w:rFonts w:ascii="Times New Roman" w:cs="Times New Roman"/>
          <w:color w:val="000000" w:themeColor="text1"/>
          <w:spacing w:val="0"/>
        </w:rPr>
        <w:softHyphen/>
        <w:t>ми и склады боеприпасов. Бомбу рекомендовали при</w:t>
      </w:r>
      <w:r w:rsidRPr="00070ADE">
        <w:rPr>
          <w:rFonts w:ascii="Times New Roman" w:cs="Times New Roman"/>
          <w:color w:val="000000" w:themeColor="text1"/>
          <w:spacing w:val="0"/>
        </w:rPr>
        <w:softHyphen/>
        <w:t>нять на вооружение ВВС КА после устранения всех вы</w:t>
      </w:r>
      <w:r w:rsidRPr="00070ADE">
        <w:rPr>
          <w:rFonts w:ascii="Times New Roman" w:cs="Times New Roman"/>
          <w:color w:val="000000" w:themeColor="text1"/>
          <w:spacing w:val="0"/>
        </w:rPr>
        <w:softHyphen/>
        <w:t>явленных в ходе испытаний недостатков и проведения войсковых испытаний (12739).</w:t>
      </w:r>
    </w:p>
    <w:p w14:paraId="6EEFC4CB" w14:textId="77777777" w:rsidR="00D70979" w:rsidRPr="00070ADE" w:rsidRDefault="00D70979" w:rsidP="00B56F90">
      <w:pPr>
        <w:spacing w:after="0" w:line="240" w:lineRule="auto"/>
        <w:jc w:val="both"/>
        <w:rPr>
          <w:rFonts w:ascii="Times New Roman" w:hAnsi="Times New Roman"/>
          <w:color w:val="000000" w:themeColor="text1"/>
          <w:sz w:val="16"/>
          <w:szCs w:val="16"/>
        </w:rPr>
      </w:pPr>
    </w:p>
    <w:p w14:paraId="7F5D9023" w14:textId="77777777" w:rsidR="00D54008" w:rsidRPr="00070ADE" w:rsidRDefault="00D54008"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С 5 июня по 18 июля 1944 г. на государственных испытаниях в ГК НИИ ВВС ПТАБ-10-2,5 уверенно пробива</w:t>
      </w:r>
      <w:r w:rsidRPr="00070ADE">
        <w:rPr>
          <w:color w:val="000000" w:themeColor="text1"/>
          <w:sz w:val="16"/>
          <w:szCs w:val="16"/>
        </w:rPr>
        <w:softHyphen/>
        <w:t>ла танковую броню толщиной до 160 мм при углах встречи до 30° и обеспечивала пробитие 40-мм брони, расположенной на расстоянии 500 мм от броневого экрана толщиной до 20 мм. Кроме то</w:t>
      </w:r>
      <w:r w:rsidRPr="00070ADE">
        <w:rPr>
          <w:color w:val="000000" w:themeColor="text1"/>
          <w:sz w:val="16"/>
          <w:szCs w:val="16"/>
        </w:rPr>
        <w:softHyphen/>
        <w:t>го, был сделан вывод, что ПТАБ-10-2,5 способны с большой эффективностью поражать материаль</w:t>
      </w:r>
      <w:r w:rsidRPr="00070ADE">
        <w:rPr>
          <w:color w:val="000000" w:themeColor="text1"/>
          <w:sz w:val="16"/>
          <w:szCs w:val="16"/>
        </w:rPr>
        <w:softHyphen/>
        <w:t>ную часть артиллерии всех калибров и самолеты на аэродромах, железнодорожные объекты (ж.-д. узлы, эшелоны, паровозы, цистерны), мотомехчасти и автотранспорт, а также надводные переправы, на</w:t>
      </w:r>
      <w:r w:rsidRPr="00070ADE">
        <w:rPr>
          <w:color w:val="000000" w:themeColor="text1"/>
          <w:sz w:val="16"/>
          <w:szCs w:val="16"/>
        </w:rPr>
        <w:softHyphen/>
        <w:t>земные резервуары с нефтепродуктами и склады боеприпасов. Бомбу рекомендовали принять на во</w:t>
      </w:r>
      <w:r w:rsidRPr="00070ADE">
        <w:rPr>
          <w:color w:val="000000" w:themeColor="text1"/>
          <w:sz w:val="16"/>
          <w:szCs w:val="16"/>
        </w:rPr>
        <w:softHyphen/>
        <w:t>оружение ВВС КА после устранения всех выявлен</w:t>
      </w:r>
      <w:r w:rsidRPr="00070ADE">
        <w:rPr>
          <w:color w:val="000000" w:themeColor="text1"/>
          <w:sz w:val="16"/>
          <w:szCs w:val="16"/>
        </w:rPr>
        <w:softHyphen/>
        <w:t>ных в ходе испытаний недостатков и проведения войсковых испытаний.</w:t>
      </w:r>
    </w:p>
    <w:p w14:paraId="436F7A3D" w14:textId="77777777" w:rsidR="00D54008" w:rsidRPr="00070ADE" w:rsidRDefault="00D54008"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Учитывая результаты государственных испыта</w:t>
      </w:r>
      <w:r w:rsidRPr="00070ADE">
        <w:rPr>
          <w:color w:val="000000" w:themeColor="text1"/>
          <w:sz w:val="16"/>
          <w:szCs w:val="16"/>
        </w:rPr>
        <w:softHyphen/>
        <w:t>ний и крайнюю необходимость в мощном противо</w:t>
      </w:r>
      <w:r w:rsidRPr="00070ADE">
        <w:rPr>
          <w:color w:val="000000" w:themeColor="text1"/>
          <w:sz w:val="16"/>
          <w:szCs w:val="16"/>
        </w:rPr>
        <w:softHyphen/>
        <w:t>танковом боеприпасе, Военный совет ВВС КА 5 ок</w:t>
      </w:r>
      <w:r w:rsidRPr="00070ADE">
        <w:rPr>
          <w:color w:val="000000" w:themeColor="text1"/>
          <w:sz w:val="16"/>
          <w:szCs w:val="16"/>
        </w:rPr>
        <w:softHyphen/>
        <w:t>тября 1944 г. принял решение «произвести сроч ный заказ ПТАБ-10-2,5 в количестве 100—150 тысяч штук для проведения войсковых испытаний» (17500).</w:t>
      </w:r>
    </w:p>
    <w:p w14:paraId="26B142D0" w14:textId="77777777" w:rsidR="00D54008" w:rsidRPr="00070ADE" w:rsidRDefault="00D54008" w:rsidP="00B56F90">
      <w:pPr>
        <w:spacing w:after="0" w:line="240" w:lineRule="auto"/>
        <w:jc w:val="both"/>
        <w:rPr>
          <w:rFonts w:ascii="Times New Roman" w:eastAsia="Times New Roman" w:hAnsi="Times New Roman"/>
          <w:color w:val="000000" w:themeColor="text1"/>
          <w:sz w:val="16"/>
          <w:szCs w:val="16"/>
          <w:lang w:eastAsia="ru-RU"/>
        </w:rPr>
      </w:pPr>
    </w:p>
    <w:p w14:paraId="5194FBD8" w14:textId="77777777" w:rsidR="008E6982" w:rsidRPr="00C94B78" w:rsidRDefault="008E698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5 июня 1944 г. Шпитальный, который в инициативном порядке переделал свою опытную пушку Ш-20 под патрон уменьшен</w:t>
      </w:r>
      <w:r w:rsidRPr="00C94B78">
        <w:rPr>
          <w:rFonts w:ascii="Times New Roman" w:hAnsi="Times New Roman"/>
          <w:color w:val="0070C0"/>
          <w:sz w:val="16"/>
          <w:szCs w:val="16"/>
        </w:rPr>
        <w:softHyphen/>
        <w:t>ной баллистики калибра 23 мм, договорился с Шахуриным об установ</w:t>
      </w:r>
      <w:r w:rsidRPr="00C94B78">
        <w:rPr>
          <w:rFonts w:ascii="Times New Roman" w:hAnsi="Times New Roman"/>
          <w:color w:val="0070C0"/>
          <w:sz w:val="16"/>
          <w:szCs w:val="16"/>
        </w:rPr>
        <w:softHyphen/>
        <w:t>ке этой пушки (Ш-23) на истребители Яков</w:t>
      </w:r>
      <w:r w:rsidRPr="00C94B78">
        <w:rPr>
          <w:rFonts w:ascii="Times New Roman" w:hAnsi="Times New Roman"/>
          <w:color w:val="0070C0"/>
          <w:sz w:val="16"/>
          <w:szCs w:val="16"/>
        </w:rPr>
        <w:softHyphen/>
        <w:t>лева и Лавочкина в моторном и синхрон</w:t>
      </w:r>
      <w:r w:rsidRPr="00C94B78">
        <w:rPr>
          <w:rFonts w:ascii="Times New Roman" w:hAnsi="Times New Roman"/>
          <w:color w:val="0070C0"/>
          <w:sz w:val="16"/>
          <w:szCs w:val="16"/>
        </w:rPr>
        <w:softHyphen/>
        <w:t>ном вариантах. По ориентировочным дан</w:t>
      </w:r>
      <w:r w:rsidRPr="00C94B78">
        <w:rPr>
          <w:rFonts w:ascii="Times New Roman" w:hAnsi="Times New Roman"/>
          <w:color w:val="0070C0"/>
          <w:sz w:val="16"/>
          <w:szCs w:val="16"/>
        </w:rPr>
        <w:softHyphen/>
        <w:t>ным ОКБ-15, Ш-23 при весе 28-29 кг имела темп стрельбы 800-1000 выстр./мин. Пред</w:t>
      </w:r>
      <w:r w:rsidRPr="00C94B78">
        <w:rPr>
          <w:rFonts w:ascii="Times New Roman" w:hAnsi="Times New Roman"/>
          <w:color w:val="0070C0"/>
          <w:sz w:val="16"/>
          <w:szCs w:val="16"/>
        </w:rPr>
        <w:softHyphen/>
        <w:t>полагалось, что при производственной по</w:t>
      </w:r>
      <w:r w:rsidRPr="00C94B78">
        <w:rPr>
          <w:rFonts w:ascii="Times New Roman" w:hAnsi="Times New Roman"/>
          <w:color w:val="0070C0"/>
          <w:sz w:val="16"/>
          <w:szCs w:val="16"/>
        </w:rPr>
        <w:softHyphen/>
        <w:t xml:space="preserve">мощи ОКБ-15 заводы НКАП сумеют быстро </w:t>
      </w:r>
      <w:r w:rsidRPr="00C94B78">
        <w:rPr>
          <w:rFonts w:ascii="Times New Roman" w:hAnsi="Times New Roman"/>
          <w:i/>
          <w:iCs/>
          <w:color w:val="0070C0"/>
          <w:sz w:val="16"/>
          <w:szCs w:val="16"/>
        </w:rPr>
        <w:t>«эту установку закончить»</w:t>
      </w:r>
      <w:r w:rsidRPr="00C94B78">
        <w:rPr>
          <w:rFonts w:ascii="Times New Roman" w:hAnsi="Times New Roman"/>
          <w:color w:val="0070C0"/>
          <w:sz w:val="16"/>
          <w:szCs w:val="16"/>
        </w:rPr>
        <w:t>. Однако практиче</w:t>
      </w:r>
      <w:r w:rsidRPr="00C94B78">
        <w:rPr>
          <w:rFonts w:ascii="Times New Roman" w:hAnsi="Times New Roman"/>
          <w:color w:val="0070C0"/>
          <w:sz w:val="16"/>
          <w:szCs w:val="16"/>
        </w:rPr>
        <w:softHyphen/>
        <w:t>ской реализации эта инициатива не получила. К тому же пушка требовала доводки.</w:t>
      </w:r>
    </w:p>
    <w:p w14:paraId="5B8E6895" w14:textId="77777777" w:rsidR="008E6982" w:rsidRPr="00C94B78" w:rsidRDefault="008E698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Можно предположить, что прекращение работ по ВЯ и Ш-23 под патрон уменьшенной баллистики обуславливалось как положитель</w:t>
      </w:r>
      <w:r w:rsidRPr="00C94B78">
        <w:rPr>
          <w:rFonts w:ascii="Times New Roman" w:hAnsi="Times New Roman"/>
          <w:color w:val="0070C0"/>
          <w:sz w:val="16"/>
          <w:szCs w:val="16"/>
        </w:rPr>
        <w:softHyphen/>
        <w:t>ными результатами, полученными по пушке НС-23М, так и перспективами создания син</w:t>
      </w:r>
      <w:r w:rsidRPr="00C94B78">
        <w:rPr>
          <w:rFonts w:ascii="Times New Roman" w:hAnsi="Times New Roman"/>
          <w:color w:val="0070C0"/>
          <w:sz w:val="16"/>
          <w:szCs w:val="16"/>
        </w:rPr>
        <w:softHyphen/>
        <w:t>хронного варианта этой пушки - НС-23С (24971).</w:t>
      </w:r>
    </w:p>
    <w:p w14:paraId="014EF12D" w14:textId="77777777" w:rsidR="008E6982" w:rsidRPr="00C94B78" w:rsidRDefault="008E6982" w:rsidP="00B56F90">
      <w:pPr>
        <w:spacing w:after="0" w:line="240" w:lineRule="auto"/>
        <w:jc w:val="both"/>
        <w:rPr>
          <w:rFonts w:ascii="Times New Roman" w:hAnsi="Times New Roman"/>
          <w:color w:val="0070C0"/>
          <w:sz w:val="16"/>
          <w:szCs w:val="16"/>
        </w:rPr>
      </w:pPr>
    </w:p>
    <w:p w14:paraId="795CF86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EB390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ACA7FD" w14:textId="77777777" w:rsidR="006B3C37" w:rsidRPr="00070ADE" w:rsidRDefault="006B3C3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w:t>
      </w:r>
    </w:p>
    <w:p w14:paraId="7FB56DB2" w14:textId="77777777" w:rsidR="006B3C37" w:rsidRPr="00070ADE" w:rsidRDefault="006B3C3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Справка на имя председателя КПК А.А.Андреева «О предоставлении директором завода № 60 очковтирательских сведений о выполнении плана за апрель месяц 1944 г. в НКВ СССР», подготовленная уполномоченным КПК по Киргизской ССР Сотсковым 05.06.1944 (18627).</w:t>
      </w:r>
    </w:p>
    <w:p w14:paraId="6E3E4F3B" w14:textId="77777777" w:rsidR="006B3C37" w:rsidRPr="00070ADE" w:rsidRDefault="006B3C37" w:rsidP="00B56F90">
      <w:pPr>
        <w:spacing w:after="0" w:line="240" w:lineRule="auto"/>
        <w:jc w:val="both"/>
        <w:rPr>
          <w:rFonts w:ascii="Times New Roman" w:hAnsi="Times New Roman"/>
          <w:color w:val="000000" w:themeColor="text1"/>
          <w:sz w:val="16"/>
          <w:szCs w:val="16"/>
        </w:rPr>
      </w:pPr>
    </w:p>
    <w:p w14:paraId="677277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г. начались испытания опытного образца улучшенной ИСУ-122, которые показали, что он стал на 450 кг легче, чем Серийная САУ, что давало ему ряд эксплуа</w:t>
      </w:r>
      <w:r w:rsidRPr="00070ADE">
        <w:rPr>
          <w:rFonts w:ascii="Times New Roman" w:hAnsi="Times New Roman"/>
          <w:color w:val="000000" w:themeColor="text1"/>
          <w:sz w:val="16"/>
          <w:szCs w:val="16"/>
        </w:rPr>
        <w:softHyphen/>
        <w:t>тационных преимуществ. Наличие клинового полуавтомати</w:t>
      </w:r>
      <w:r w:rsidRPr="00070ADE">
        <w:rPr>
          <w:rFonts w:ascii="Times New Roman" w:hAnsi="Times New Roman"/>
          <w:color w:val="000000" w:themeColor="text1"/>
          <w:sz w:val="16"/>
          <w:szCs w:val="16"/>
        </w:rPr>
        <w:softHyphen/>
        <w:t>ческого затвора с электроспуском облегчало процесс стрель</w:t>
      </w:r>
      <w:r w:rsidRPr="00070ADE">
        <w:rPr>
          <w:rFonts w:ascii="Times New Roman" w:hAnsi="Times New Roman"/>
          <w:color w:val="000000" w:themeColor="text1"/>
          <w:sz w:val="16"/>
          <w:szCs w:val="16"/>
        </w:rPr>
        <w:softHyphen/>
        <w:t>бы из орудия, так как механизированный спуск орудий А-19 был недостаточно надежным. Исключение из состава экипа</w:t>
      </w:r>
      <w:r w:rsidRPr="00070ADE">
        <w:rPr>
          <w:rFonts w:ascii="Times New Roman" w:hAnsi="Times New Roman"/>
          <w:color w:val="000000" w:themeColor="text1"/>
          <w:sz w:val="16"/>
          <w:szCs w:val="16"/>
        </w:rPr>
        <w:softHyphen/>
        <w:t>жа замкового, несмотря на наличие полуавтоматического за</w:t>
      </w:r>
      <w:r w:rsidRPr="00070ADE">
        <w:rPr>
          <w:rFonts w:ascii="Times New Roman" w:hAnsi="Times New Roman"/>
          <w:color w:val="000000" w:themeColor="text1"/>
          <w:sz w:val="16"/>
          <w:szCs w:val="16"/>
        </w:rPr>
        <w:softHyphen/>
        <w:t>твора, привело к тому, что реальная скорострельность САУ снизилась (с 4-5 выстр./мин до 3,5 выстр./мин), но выиг</w:t>
      </w:r>
      <w:r w:rsidRPr="00070ADE">
        <w:rPr>
          <w:rFonts w:ascii="Times New Roman" w:hAnsi="Times New Roman"/>
          <w:color w:val="000000" w:themeColor="text1"/>
          <w:sz w:val="16"/>
          <w:szCs w:val="16"/>
        </w:rPr>
        <w:softHyphen/>
        <w:t>рыш в массе и сокращение экипажа были очень привлека</w:t>
      </w:r>
      <w:r w:rsidRPr="00070ADE">
        <w:rPr>
          <w:rFonts w:ascii="Times New Roman" w:hAnsi="Times New Roman"/>
          <w:color w:val="000000" w:themeColor="text1"/>
          <w:sz w:val="16"/>
          <w:szCs w:val="16"/>
        </w:rPr>
        <w:softHyphen/>
        <w:t>тельными для тяжелых САП Красной Армии (11417).</w:t>
      </w:r>
    </w:p>
    <w:p w14:paraId="2D5202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E3A12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г. была подготовлена ДОКЛАДНАЯ ЗАПИСКА ЗАМЕСТИТЕЛЯ НАЧАЛЬНИКА ГБТУ КА ПРЕДСЕДАТЕЛЮ ТЕХСОВЕТА НКВ О РАЗРАБОТКЕ К 85, 100 И 1 22-мм ТАНКОВЫМ И САМОХОДНЫМ ПУШКАМ ПРИСПОСОБЛЕНИЯ ДЛЯ ПРОДУВКИ СТВОЛА № 586240</w:t>
      </w:r>
    </w:p>
    <w:p w14:paraId="54D73D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интенсивной стрельбе из пушек в боевом отделении танков и самоходных артиллерийских установок накапливается большое количество пороховых газов, которые сильно утомляют экипаж и снижают эффективность стрельбы.</w:t>
      </w:r>
    </w:p>
    <w:p w14:paraId="6070A7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Установленные в машинах вентиляторы при неработающем моторе задачу устранения порохо</w:t>
      </w:r>
      <w:r w:rsidRPr="00070ADE">
        <w:rPr>
          <w:rFonts w:ascii="Times New Roman" w:hAnsi="Times New Roman"/>
          <w:color w:val="000000" w:themeColor="text1"/>
          <w:sz w:val="16"/>
          <w:szCs w:val="16"/>
        </w:rPr>
        <w:softHyphen/>
        <w:t>вых газов из боевого отделения полностью не решают.</w:t>
      </w:r>
    </w:p>
    <w:p w14:paraId="5CC4E5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создания лучших условий работы экипажа прошу Вашего распоряжения КБ заводов разработать к 83, 100 и 122-мм танковым и самоходным пушкам приспособления для продувки ствола после выстрела.</w:t>
      </w:r>
    </w:p>
    <w:p w14:paraId="08A91C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решении этого вопроса желательно спроектировать компрессор, использующий энергию отката и наката ствола.</w:t>
      </w:r>
    </w:p>
    <w:p w14:paraId="5AC6F9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Вапгем решении прошу сообщить.</w:t>
      </w:r>
    </w:p>
    <w:p w14:paraId="1E6EC6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1ABF08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УСА ГБТУ КА генерал-майор инженерно-танковой службы Алымов</w:t>
      </w:r>
    </w:p>
    <w:p w14:paraId="2DB447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11369. Д. 492. Л. 34. Копия (11420).</w:t>
      </w:r>
    </w:p>
    <w:p w14:paraId="782A88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2C0960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вышло Постановление ГКО № 6003 [О разрешении НКВТ и НКМФ отправлять суда с грузами оборудования и металлов из США через пролив Лаперуза во Владивосток, а с грузом военной техники и оборудования нефтезаводов - через Татарский пролив.] (7238, 180).</w:t>
      </w:r>
    </w:p>
    <w:p w14:paraId="0147D7D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2F47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вышло Распоряжение ГКО № 6004. О поставках оборудования для судов с заводов № 718 НКМВ и № 112 НКТП. РГАНИР, Фонд ГКО, д. 261, лл. 181 (11012).</w:t>
      </w:r>
    </w:p>
    <w:p w14:paraId="7CE5BC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48E1097" w14:textId="77777777" w:rsidR="00072A8C"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вышло Распоряжение ГКО № 6005. О подготовке восстановления производства на заводе № 232 НКВ корпусов морских бронебойных снарядов крупных калибров. РГАНИР, Фонд ГКО, д. 261, лл. 182 (11012).</w:t>
      </w:r>
    </w:p>
    <w:p w14:paraId="291F3CC2" w14:textId="77777777" w:rsidR="00072A8C" w:rsidRPr="00070ADE" w:rsidRDefault="00072A8C" w:rsidP="00B56F90">
      <w:pPr>
        <w:autoSpaceDE w:val="0"/>
        <w:autoSpaceDN w:val="0"/>
        <w:adjustRightInd w:val="0"/>
        <w:spacing w:after="0" w:line="240" w:lineRule="auto"/>
        <w:jc w:val="both"/>
        <w:rPr>
          <w:rFonts w:ascii="Times New Roman" w:hAnsi="Times New Roman"/>
          <w:color w:val="000000" w:themeColor="text1"/>
          <w:sz w:val="16"/>
          <w:szCs w:val="16"/>
        </w:rPr>
      </w:pPr>
    </w:p>
    <w:p w14:paraId="2E6AB864" w14:textId="77777777" w:rsidR="00072A8C"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г. вышло:</w:t>
      </w:r>
    </w:p>
    <w:p w14:paraId="4F30ACF8" w14:textId="77777777" w:rsidR="00072A8C"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 ГОСУДАРСТВЕННОГО КОМИТЕТА ОБОРОНЫ № 6005сс</w:t>
      </w:r>
    </w:p>
    <w:p w14:paraId="19687B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восстановлении производства морских снарядов крупных калибров на заводе № 232 НКВооружения СССР.</w:t>
      </w:r>
    </w:p>
    <w:p w14:paraId="58516D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РАСПОРЯЖЕНИЕ № 6005с</w:t>
      </w:r>
    </w:p>
    <w:p w14:paraId="46DE37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Москва,Кремль Обязать Наркомвооружения (тов. Устинова):</w:t>
      </w:r>
    </w:p>
    <w:p w14:paraId="55F856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Прекратить с 8 июня производство корпусов 130мм осколочно-фугасных снарядов на заводе № 232, закончив и сдав имеющиеся заделы.</w:t>
      </w:r>
    </w:p>
    <w:p w14:paraId="332A98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Предусмотреть в плане восстановления завода № 232 восстановление производства корпусов морских бронебойных снарядов крупных калибров, обеспечив к 1.7.45 г. создание мощностей на следующий годовой выпуск:</w:t>
      </w:r>
    </w:p>
    <w:p w14:paraId="0421F7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корпусов 406 мм бронебойных снарядов - 100 шт.</w:t>
      </w:r>
    </w:p>
    <w:p w14:paraId="2632ED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корпусов 356 мм бронебойных снарядов - 250 шт.</w:t>
      </w:r>
    </w:p>
    <w:p w14:paraId="0AC138B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корпусов 305 мм бронебойных снарядов - 750 шт.</w:t>
      </w:r>
    </w:p>
    <w:p w14:paraId="31A920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корпусов 180 мм бронебойных снарядов - 10000 шт.</w:t>
      </w:r>
    </w:p>
    <w:p w14:paraId="403FFB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Председателя Государственного Комитета Обороны (Л.Берия)</w:t>
      </w:r>
    </w:p>
    <w:p w14:paraId="719B6B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Молотову, Берия (2 экз.), Вознесенскому, Устинову, Кузнецову (НКВМФ), Борисову, Мафневу, Чадаеву </w:t>
      </w:r>
    </w:p>
    <w:p w14:paraId="72777D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СЕКРИТАРИАТ ЗАМ. ПРЕДСЕДАТЕЛЯ СНК СОЮЗА ССР</w:t>
      </w:r>
    </w:p>
    <w:p w14:paraId="6D17FC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ТОВ. Л. П. БЕРИЯ</w:t>
      </w:r>
    </w:p>
    <w:p w14:paraId="4C503D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№2133 "5" июня 1944 г.</w:t>
      </w:r>
    </w:p>
    <w:p w14:paraId="3D54A3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Товарищу ПОСКРЕБЫШЕВУ А.Н.</w:t>
      </w:r>
    </w:p>
    <w:p w14:paraId="731DE2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Посылаю на выпуск подписанные товарищем БЕРИЯ Л.П. распоряжения ГОКО:</w:t>
      </w:r>
    </w:p>
    <w:p w14:paraId="5C8D8E1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 изменении Постановления ГОКО № 5140 от 10.II -44 г. в части поставки НКСП и НКРФ коленчатых валов;</w:t>
      </w:r>
    </w:p>
    <w:p w14:paraId="3D91E03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 восстановлении производства морских снарядов крупных калибров на заводе № 232 НКВ;</w:t>
      </w:r>
    </w:p>
    <w:p w14:paraId="2052F3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 изготовлении индивидуальных броневых щитков на заводе № 50 НКТП.</w:t>
      </w:r>
    </w:p>
    <w:p w14:paraId="2951497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Ордынцев) (11813).</w:t>
      </w:r>
    </w:p>
    <w:p w14:paraId="2E7CC5F5" w14:textId="77777777" w:rsidR="00072A8C" w:rsidRPr="00070ADE" w:rsidRDefault="00072A8C" w:rsidP="00B56F90">
      <w:pPr>
        <w:autoSpaceDE w:val="0"/>
        <w:autoSpaceDN w:val="0"/>
        <w:adjustRightInd w:val="0"/>
        <w:spacing w:after="0" w:line="240" w:lineRule="auto"/>
        <w:jc w:val="both"/>
        <w:rPr>
          <w:rFonts w:ascii="Times New Roman" w:hAnsi="Times New Roman"/>
          <w:color w:val="000000" w:themeColor="text1"/>
          <w:sz w:val="16"/>
          <w:szCs w:val="16"/>
        </w:rPr>
      </w:pPr>
    </w:p>
    <w:p w14:paraId="03C30C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вышло Распоряжение ГКО № 6006. Об испытании бронежилетов. РГАНИР, Фонд ГКО, д. 261, лл. 183 (11012).</w:t>
      </w:r>
    </w:p>
    <w:p w14:paraId="6CC012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F844A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года начальник 5-го гл. управления НКМВ Петухов писал письмо № 80-б-9/30 зам. наркома минометного вооружения Козлову</w:t>
      </w:r>
    </w:p>
    <w:p w14:paraId="31340A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 что объединенный приказ наркома и председателя Комитета по делам искусств при СНК от 5 мая 1944 года № 216/239 о передаче Дома звукозаписи, Апрелевского завода грампластинок и Ташкентского строит. завода грампластинок Комитету по делам искусств при СНК мною выполнен (8660,18).</w:t>
      </w:r>
    </w:p>
    <w:p w14:paraId="34931C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B494A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CB67A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81437D"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5 июня</w:t>
      </w:r>
      <w:r w:rsidRPr="00070ADE">
        <w:rPr>
          <w:rFonts w:ascii="Times New Roman" w:hAnsi="Times New Roman"/>
          <w:color w:val="000000" w:themeColor="text1"/>
          <w:sz w:val="16"/>
          <w:szCs w:val="16"/>
        </w:rPr>
        <w:t xml:space="preserve"> в 1944 году оперативная сводка Совинформбюро:</w:t>
      </w:r>
    </w:p>
    <w:p w14:paraId="6D06D5FE"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5 июня в районе северо-западнее и севернее города ЯССЫ наши войска успешно отбивали атаки крупных сил пехоты и танков противника. За 4 июня в этом районе уничтожен 41 немецкий танк и сбито 33 самолёта противника.</w:t>
      </w:r>
    </w:p>
    <w:p w14:paraId="3A4C6B55"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без перемен.</w:t>
      </w:r>
    </w:p>
    <w:p w14:paraId="20BE71AD"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4 июня на всех фронтах в воздушных боях и огнём зенитной артиллерии сбито 39 самолётов противника.»</w:t>
      </w:r>
    </w:p>
    <w:p w14:paraId="451BAC80"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Массированный налёт нашей авиации на железнодорожный узел Кишинёв и военные объекты города Кишинёва:</w:t>
      </w:r>
    </w:p>
    <w:p w14:paraId="51B57C3F"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5 июня наша авиация произвела массированный налёт на железнодорожный узел Кишинёв и военные объекты города Кишинёва. В момент налёта на железнодорожном узле находилось много воинских эшелонов противника. В результате бомбардировки возникли десятки пожаров, сопровождавшихся взрывами. Горели паровозы, железнодорожные вагоны и платформы с военной техникой, цистерны с горючим, а также военные склады.</w:t>
      </w:r>
    </w:p>
    <w:p w14:paraId="3A6C5D3F"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Один наш самолёт не вернулся на свой аэродром.»</w:t>
      </w:r>
    </w:p>
    <w:p w14:paraId="6A4203FD"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севернее города Яссы противник продолжал атаковать наши позиции. Особенно ожесточённые бои развернулись во второй половине дня, когда немцы ввели в бой свежие силы пехоты и танков. Гитлеровцам вначале удалось приблизиться к нашим позициям, но последовавшим затем контрударом советские танки и пехота отбросили противника. Успешно вели огонь советские артиллеристы, уничтожившие много танков и живой силы противника. Части Н-ского соединения за день истребили свыше 600 гитлеровцев, подбили и сожгли 21 немецкий танк.</w:t>
      </w:r>
    </w:p>
    <w:p w14:paraId="019FF368"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воздушных боях снова отличился Герой Советского Союза Иван Кожедуб. За два дня т. Кожедуб сбил 5 немецких самолётов.</w:t>
      </w:r>
    </w:p>
    <w:p w14:paraId="70497EDF"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Северо-западнее города Тирасполь отряд противника пытался на пяти лодках переправиться через Днестр. Наше боевое охранение обстреляло гитлеровцев пулемётным огнём. Многие немцы были убиты или утонули в реке. На одном участке противник направил к нашему переднему краю танкетку-торпеду. Младший лейтенант Донцов с группой смельчаков выдвинулся навстречу танкетке и перерезал тянувшиеся за ней провода. Немецкая танкетка была доставлена на командный пункт. Все другие попытки немцев применить танкетки-торпеды не дали никаких результатов. Наши артиллеристы расстреливают танкетки-торпеды, не давая им приблизиться к переднему краю советской обороны.</w:t>
      </w:r>
    </w:p>
    <w:p w14:paraId="4E9523A7"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Витебск группы разведчиков старшего сержанта Васильева и младшего лейтенанта Дроздова ночью пробрались в расположение немцев. Советские бойцы внезапно ворвались в траншеи противника и в ожесточённой схватке истребили 30 гитлеровцев. Захватив пленных и трофеи, разведчики вернулись в свою часть.</w:t>
      </w:r>
    </w:p>
    <w:p w14:paraId="4A859F99"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Шесть снайперов Н-ской части в мае истребили 53 немецких солдата и офицера. Младший сержант Скрылин и рядовой. Кабанов уничтожили по 12 немцев, рядовые Гоголев и Батурин — по 10, рядовые Русаков и Хотин уничтожили 9 немцев.</w:t>
      </w:r>
    </w:p>
    <w:p w14:paraId="034899EF"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Литовский партизанский отряд «Вперёд» совершил налёт на немецкую тюрьму в большом населённом пункте. Советские патриоты уничтожили охрану и освободили 27 советских граждан, находившихся в немецком застенке. Партизанами захвачен в плен немецкий начальник тюрьмы. Партизанские отряды «Смерть оккупантам» и «Жальгирис» пустили под откос 4 воинских эшелона противника, следовавших к линии фронта. Разбиты 2 паровоза и 29. вагонов. Убито и ранено 80 вражеских солдат и офицеров.</w:t>
      </w:r>
    </w:p>
    <w:p w14:paraId="13462824"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юге на сторону Красной Армии перелетел немецкий лётчик. Он заявил: «Для меня стало ясно, что война для Германии проиграна и скоро наступит позорный крах. Некоторые немецкие солдаты и офицеры ещё питают надежду на какое-то чудо. Я в чудеса не верю. Солдат без веры в победу, без надежды на успех — это не полноценный солдат, а только четверть солдата. Когда я понял, что немецкая армия обречена, я перелетел к русским и сдался в плен».</w:t>
      </w:r>
    </w:p>
    <w:p w14:paraId="057E970B"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лейтенант дивизии СС «Великая Германия» Готфрид Кунце рассказал: «За истекший год настроение офицерского корпуса резко ухудшилось. Из тех офицеров, которых я близко знал, ни один не верит в благоприятный для Германии исход войны. Высшие офицеры выражают недовольство командованием немецкой армии и критикуют его действия. Например, полковник фон Нацмер заявил, что командиры дивизий и корпусов лишены самостоятельности, инициативы и вынуждены выполнять нелепые приказы. Гитлер предоставляет генералам только одно право— подставлять себя под удары русских. Кроме меня, при этом разговоре присутствовало ещё несколько офицеров. Никто не возразил полковнику. Мы все молча согласились с ним» (14913).</w:t>
      </w:r>
    </w:p>
    <w:p w14:paraId="647540AF" w14:textId="77777777" w:rsidR="00072A8C" w:rsidRPr="00070ADE" w:rsidRDefault="00072A8C" w:rsidP="00B56F90">
      <w:pPr>
        <w:spacing w:after="0" w:line="240" w:lineRule="auto"/>
        <w:jc w:val="both"/>
        <w:rPr>
          <w:rFonts w:ascii="Times New Roman" w:hAnsi="Times New Roman"/>
          <w:color w:val="000000" w:themeColor="text1"/>
          <w:sz w:val="16"/>
          <w:szCs w:val="16"/>
        </w:rPr>
      </w:pPr>
    </w:p>
    <w:p w14:paraId="013F62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5-11 июля 1944 была закончена Минская операция по окружению южной группировки (2438,406).</w:t>
      </w:r>
    </w:p>
    <w:p w14:paraId="77B481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Минской операции противник пытался с помощью авиации вывезти из окружения генеральский и офицерский состав и советская авиация использовала воздушную блокаду войск противника (518,174).</w:t>
      </w:r>
    </w:p>
    <w:p w14:paraId="62C7DB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операции на уничтожение окруженной группировки противника было затрачено 18-19% самолето-вылетов (518,181).</w:t>
      </w:r>
    </w:p>
    <w:p w14:paraId="282A01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Именно в ходе боев Минской операции появилось донесение Секр. ЦК КПБ П.К.Пономарева ВГ: "На днях мы обнаружили и осмотрели в лесах юго-восточнее Минска огромный укрепленный лагерь немцев, полностью уничтоженный нашей ш авиацией. Этот район оставляет потрясающее впечатление по масштабам разгрома и по демонстрации мощи нашего воздушного флота... В лагере на момент осмотра еще лежало более 5000 трупов немецких солдат и офицеров, сожженных и убитых, более 5 тыс. автомашин, большое количество боеприпасов... Весь лагерь представляет картину грандиозного побоища врага и его техники." (518,181).</w:t>
      </w:r>
    </w:p>
    <w:p w14:paraId="6E7E8A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9CEE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американцы отметили, что подготовка базы в Полтаве - лучше, чем в Италии и сделано все было быстрее (1261,35).</w:t>
      </w:r>
    </w:p>
    <w:p w14:paraId="2A6E7C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A373A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7897E9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EAFF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Американское посольство информировала нас, что поставок В-29 не будет (1103,141).</w:t>
      </w:r>
    </w:p>
    <w:p w14:paraId="305FC4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1379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посол США А.Гарриман заявил, что В-17 не могут использоваться против Финляндии. И.В.С. ответил "В таком случае обойдемся без помощи союзников" (2200,26).</w:t>
      </w:r>
    </w:p>
    <w:p w14:paraId="371C26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07CCE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1C4C67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19385B"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5 июня</w:t>
      </w:r>
      <w:r w:rsidRPr="00070ADE">
        <w:rPr>
          <w:rFonts w:ascii="Times New Roman" w:hAnsi="Times New Roman"/>
          <w:color w:val="000000" w:themeColor="text1"/>
          <w:sz w:val="16"/>
          <w:szCs w:val="16"/>
        </w:rPr>
        <w:t xml:space="preserve"> в 1944 году первое применение бортовой системы РЭБ перед началом вторжения союзников во Францию. Сброс фольги (диполных отражателей) для подавления боковые лепестки разверток германских РЛС раннего оповещения. Но тогда, кроме германских РЛС, попутно оказались подавлены и собственные системы навигации и связи. Впоследствии для патрулирования "Стирлингов" с системами РЭБ отводили воздушное пространство над Северным морем, вдали от действий войск союзников (14913).</w:t>
      </w:r>
    </w:p>
    <w:p w14:paraId="7493D977" w14:textId="77777777" w:rsidR="00072A8C" w:rsidRPr="00070ADE" w:rsidRDefault="00072A8C" w:rsidP="00B56F90">
      <w:pPr>
        <w:spacing w:after="0" w:line="240" w:lineRule="auto"/>
        <w:jc w:val="both"/>
        <w:rPr>
          <w:rFonts w:ascii="Times New Roman" w:hAnsi="Times New Roman"/>
          <w:color w:val="000000" w:themeColor="text1"/>
          <w:sz w:val="16"/>
          <w:szCs w:val="16"/>
        </w:rPr>
      </w:pPr>
    </w:p>
    <w:p w14:paraId="468DEE0A"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 июня (ночь) 1944 Бомбардировочное командование отправляет 1012 британских бомбардировщиков для нанесения ударов по многочисленным позициям немецкой береговой артиллерии во Франции в прямую поддержку вторжения в Нормандию, запланированного на утро 6 июня. Из них 946 выполняют бомбардировки, сбросив 5 080 метрических тонн бомб, самый большой тоннаж бомб, который самолеты бомбардировочного командования сбросил за одну ночь во время Второй мировой войны. Самолетам приходится бомбить сквозь облака во всех местах, кроме двух. Еще 168 бомбардировщиков выполняют различные диверсионные и вспомогательные задачи. Общие потери бомбардировочного командования за ночь составляют восемь самолетов (20373).</w:t>
      </w:r>
    </w:p>
    <w:p w14:paraId="4DF1E13B" w14:textId="77777777" w:rsidR="00781F94" w:rsidRPr="00070ADE" w:rsidRDefault="00781F94" w:rsidP="00B56F90">
      <w:pPr>
        <w:spacing w:after="0" w:line="240" w:lineRule="auto"/>
        <w:jc w:val="both"/>
        <w:rPr>
          <w:rFonts w:ascii="Times New Roman" w:hAnsi="Times New Roman"/>
          <w:color w:val="000000" w:themeColor="text1"/>
          <w:sz w:val="16"/>
          <w:szCs w:val="16"/>
        </w:rPr>
      </w:pPr>
    </w:p>
    <w:p w14:paraId="670AA5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5th, 1944: Operation Overlord, the Allied invasion of France, is postponed for one day because of rough seas in the English Channel. The RAF carries out heavy night raids against German coastal batteries and fortifications in Normandy (3819).</w:t>
      </w:r>
    </w:p>
    <w:p w14:paraId="1E75BE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62810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операция Оверлорд была отложена на один день из-за волнения на море. Королевские ВВС совершили массированный налет на немецкие батареи и укрепления на побережье Нормандии (3819).</w:t>
      </w:r>
    </w:p>
    <w:p w14:paraId="6A0763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8F376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немецкий фельдмаршал Роммель покинул свои части во Франции и самовольно поехал в Германию, чтобы отпраздновать день рождения своей жены (4962).</w:t>
      </w:r>
    </w:p>
    <w:p w14:paraId="694E537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E615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June 5 1944 Allies enter Rome (1050).</w:t>
      </w:r>
    </w:p>
    <w:p w14:paraId="21D33A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873E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союзники вошли в Рим (1050).</w:t>
      </w:r>
    </w:p>
    <w:p w14:paraId="4287EA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C499D4"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группа STAG-1 на борту эскортного авианосца «Маркус» с пятью десятками TDR прибыла на остров Banik. Через три недели после прибытия начались учебные полеты, итогом которых стала атака полузатопленного и покинутого экипажем японского транспортного судна Yamazuki Маru у мыса Эсперанс. Утром 30 июля четыре TDR и четыре Avenger приступили к сдаче экзамена. Первыми взлетели четыре Avenger, вслед за «аистами» начался подъем «собак». Два ТDR-1 взлетели удачно. У третьего подломилась передняя стойка шасси, и он скапотировал. Его быстро заменили на запасной борт, который отправили в полет. Четвертый также взлетел удачно. Ударная группа собралась в воздухе над островом, TDR сбросили шасси и отправились к цели. В семи милях от Yamazuki Маru операторы накрылись в своих кабинах черной тканью и включили телевизионные приемники, начав наведение. Один за другим «собаки» атаковали. Первый TDR прошел на 30 футов выше судна, упал в прибрежный участок джунглей и взорвался. Второй круто спикировал прямо в центр палубы и взорвался. Третий врезался в воду рядом с судном, но его бомба не взорвалась. Последняя «собака» также поразила цель прямым попаданием. Руководство было в восторге от 50 % вероятности поражения цели! Несмотря на успех, адмирал Нимиц относился к беспилотным самолетам скептически, и над программой «Вариант» нависла угроза закрытия. Только благодаря героическим усилиям капитана Смита расформирование STAG-1 было отложено и получено разрешение на проведение испытаний в боевых условиях по целям на Соломоновых островах. В период с 27 сентября по 26 октября 1944 г. группа провела серию атак — впервые в истории войн в бою использовались управляемые ударные беспилотные самолеты. В результате были уничтожены позиция зенитной артиллерии на затопленном торговом судне, огневые позиции, пещеры и укрытия на островах, а также маяк. Группа STAG-1 израсходовала 26 TDR-1 из 47. Пять из них по разным причинам до целей не долетели, шесть были сбиты зенитками, три попали в цель, но не взорвались. Остальные поразили цели. При этом была подтверждена вероятность прямых попаданий 50 %. Это был хороший результат. Тем более что группа не потеряла в боевых вылетах ни одного человека и ни одного из 30 «аистов», которые даже не подверглись обстрелу. Несмотря на хорошие результаты, решение о расформировании группы было принято, а 12 беспилотников сброшены в лагуну. Оставшиеся произведенные TDR-1 использовались как опытные и как летающие мишени для тренировки зенитчиков (22758).</w:t>
      </w:r>
    </w:p>
    <w:p w14:paraId="7B4E47EF" w14:textId="77777777" w:rsidR="00781F94" w:rsidRPr="00070ADE" w:rsidRDefault="00781F94" w:rsidP="00B56F90">
      <w:pPr>
        <w:spacing w:after="0" w:line="240" w:lineRule="auto"/>
        <w:jc w:val="both"/>
        <w:rPr>
          <w:rFonts w:ascii="Times New Roman" w:hAnsi="Times New Roman"/>
          <w:color w:val="000000" w:themeColor="text1"/>
          <w:sz w:val="16"/>
          <w:szCs w:val="16"/>
        </w:rPr>
      </w:pPr>
    </w:p>
    <w:p w14:paraId="733121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5 июня 1944 78 В-29 впервые вылетели на боевое задание из Индии и летали бомбить Бангкок (1820 км). 14 вернулись из-за проблем с двигателями, а 5 - разбились при посадке, а 42 сели на запасных. Попало всего 18 бомб (1051,25).</w:t>
      </w:r>
    </w:p>
    <w:p w14:paraId="3ED7D2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2547C7"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B-29 Superfortress вылетает свою первую боевую задачу; 98 B-29 взлетают с баз в Индии и атакуют железнодорожные депо в Бангкоке, Таиланд. Пять потеряны, ни одного из-за действий врага (20373).</w:t>
      </w:r>
    </w:p>
    <w:p w14:paraId="523F4FF2" w14:textId="77777777" w:rsidR="00781F94" w:rsidRPr="00070ADE" w:rsidRDefault="00781F94" w:rsidP="00B56F90">
      <w:pPr>
        <w:spacing w:after="0" w:line="240" w:lineRule="auto"/>
        <w:jc w:val="both"/>
        <w:rPr>
          <w:rFonts w:ascii="Times New Roman" w:hAnsi="Times New Roman"/>
          <w:color w:val="000000" w:themeColor="text1"/>
          <w:sz w:val="16"/>
          <w:szCs w:val="16"/>
        </w:rPr>
      </w:pPr>
    </w:p>
    <w:p w14:paraId="510C41A6" w14:textId="77777777" w:rsidR="00781F94" w:rsidRPr="00070ADE" w:rsidRDefault="00781F9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июня 1944 два японских бомбардировщика нанесли сокрушительный удар по примерно сотне самолетов союзников в Вакде, выведя базу из строя на несколько дней (20373).</w:t>
      </w:r>
    </w:p>
    <w:p w14:paraId="5E3F6FB8" w14:textId="77777777" w:rsidR="00781F94" w:rsidRPr="00070ADE" w:rsidRDefault="00781F94" w:rsidP="00B56F90">
      <w:pPr>
        <w:spacing w:after="0" w:line="240" w:lineRule="auto"/>
        <w:jc w:val="both"/>
        <w:rPr>
          <w:rFonts w:ascii="Times New Roman" w:hAnsi="Times New Roman"/>
          <w:color w:val="000000" w:themeColor="text1"/>
          <w:sz w:val="16"/>
          <w:szCs w:val="16"/>
        </w:rPr>
      </w:pPr>
    </w:p>
    <w:p w14:paraId="78A139F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C39E0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6ED5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вышел приказ НКАП N 382сс "Об отработке высотных истребителей":</w:t>
      </w:r>
    </w:p>
    <w:p w14:paraId="3E1397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ускорения отработки высотных истребителей и обеспечения ими частей ПВО:</w:t>
      </w:r>
    </w:p>
    <w:p w14:paraId="109CBF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 высотным истребителям Ла-5 и Ла-7:</w:t>
      </w:r>
    </w:p>
    <w:p w14:paraId="6873CC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ГК завода 21 С.А.Л.:</w:t>
      </w:r>
    </w:p>
    <w:p w14:paraId="3D6C24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закончить заводские летные испытания высотного истребителя Ла-5 с увеличенной площадью крыла с АШ-82ФН и ТК-3 к 15 июля 1944, организовав их проведение на заводе 81</w:t>
      </w:r>
    </w:p>
    <w:p w14:paraId="78BA5F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выпустить к 1 октября 1944 на летные испытания самолет Ла-7 с АШ-82ФН и ТК-3 с полетным весом 3100 кг</w:t>
      </w:r>
    </w:p>
    <w:p w14:paraId="20EB48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Директору завода 381 Журавлеву и ГК СА.А.Л. изготовить для эксплуатации в частях ПВО 10 самолетов ла-7, оборудованных АШ-82ФН с ТК-3:</w:t>
      </w:r>
    </w:p>
    <w:p w14:paraId="7D48BB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 к 25 июля 1944</w:t>
      </w:r>
    </w:p>
    <w:p w14:paraId="6A4655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 к 10 августа 1944</w:t>
      </w:r>
    </w:p>
    <w:p w14:paraId="2742A2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 высотному истребителю Як-9</w:t>
      </w:r>
    </w:p>
    <w:p w14:paraId="4272C8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4885B0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к 15 августа 1944 провести контрольные летные испытания высотного самолета Як-9 после проведения доводочных работ в ЦАГИ</w:t>
      </w:r>
    </w:p>
    <w:p w14:paraId="4BCB5D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Нач ПГУ - зам. наркома Воронину и директору завода 82 Климовицкому выпустить 10 высотных истребителей Як-9 по образцу, прошедшему испытания в ЛИИ, из них:</w:t>
      </w:r>
    </w:p>
    <w:p w14:paraId="53D5FF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 к 15 сентября 1944</w:t>
      </w:r>
    </w:p>
    <w:p w14:paraId="53B6E3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к 1 ноября 1944</w:t>
      </w:r>
    </w:p>
    <w:p w14:paraId="2A4872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 высотному истребителю МиГ</w:t>
      </w:r>
    </w:p>
    <w:p w14:paraId="386DF8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Директору и ГК завода 155 А.И.М. закончить к 15 июля 1944 заводские испытания самолета МиГ с АМ-39Б и 2ТК-2Б</w:t>
      </w:r>
    </w:p>
    <w:p w14:paraId="6DE59F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1D352B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Зам. Наркома А.С.Я выдать задание ГК Н.Н.П., П.О.С. и А.М.Я. на составление эскизных проектов специального высотного истребителя с потолком и продолжительностью пребывания на больших высотах, большей, чем у существующих самолетов. Эскизные проекты разработать и представить на заключительную экспертизу комиссии НКАП в месячный срок (1672,16).</w:t>
      </w:r>
    </w:p>
    <w:p w14:paraId="1BCCF7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CFAFD6" w14:textId="77777777" w:rsidR="004D183C" w:rsidRPr="00070ADE" w:rsidRDefault="004D18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года вышел приказ НКАП № 382сс «Об от</w:t>
      </w:r>
      <w:r w:rsidRPr="00070ADE">
        <w:rPr>
          <w:rFonts w:ascii="Times New Roman" w:hAnsi="Times New Roman"/>
          <w:color w:val="000000" w:themeColor="text1"/>
          <w:sz w:val="16"/>
          <w:szCs w:val="16"/>
        </w:rPr>
        <w:softHyphen/>
        <w:t>работке высотных истребителей». В целях ускорения отработки высотных истребителей и обеспечения ими частей ПВО Главному кон</w:t>
      </w:r>
      <w:r w:rsidRPr="00070ADE">
        <w:rPr>
          <w:rFonts w:ascii="Times New Roman" w:hAnsi="Times New Roman"/>
          <w:color w:val="000000" w:themeColor="text1"/>
          <w:sz w:val="16"/>
          <w:szCs w:val="16"/>
        </w:rPr>
        <w:softHyphen/>
        <w:t>структору завода № 21 т. Лавочкину поруча</w:t>
      </w:r>
      <w:r w:rsidRPr="00070ADE">
        <w:rPr>
          <w:rFonts w:ascii="Times New Roman" w:hAnsi="Times New Roman"/>
          <w:color w:val="000000" w:themeColor="text1"/>
          <w:sz w:val="16"/>
          <w:szCs w:val="16"/>
        </w:rPr>
        <w:softHyphen/>
        <w:t>лось закончить заводские летные испытания высотного истребителя Ла-5 с увеличенной площадью крыла с АШ-82ФН и ТК-3 к 15 июля 1944 года, организовав их проведение на за</w:t>
      </w:r>
      <w:r w:rsidRPr="00070ADE">
        <w:rPr>
          <w:rFonts w:ascii="Times New Roman" w:hAnsi="Times New Roman"/>
          <w:color w:val="000000" w:themeColor="text1"/>
          <w:sz w:val="16"/>
          <w:szCs w:val="16"/>
        </w:rPr>
        <w:softHyphen/>
        <w:t>воде 81. Однако на деле доводка самолета за</w:t>
      </w:r>
      <w:r w:rsidRPr="00070ADE">
        <w:rPr>
          <w:rFonts w:ascii="Times New Roman" w:hAnsi="Times New Roman"/>
          <w:color w:val="000000" w:themeColor="text1"/>
          <w:sz w:val="16"/>
          <w:szCs w:val="16"/>
        </w:rPr>
        <w:softHyphen/>
        <w:t>тянулась до осени. 5 октября выполнялся полет на замер расхода горючего и проверку работы мотора с включенным впрыском воды для охлаждения головок цилиндров. Самолет пилотировал летчик-испытатель Сергей Нико</w:t>
      </w:r>
      <w:r w:rsidRPr="00070ADE">
        <w:rPr>
          <w:rFonts w:ascii="Times New Roman" w:hAnsi="Times New Roman"/>
          <w:color w:val="000000" w:themeColor="text1"/>
          <w:sz w:val="16"/>
          <w:szCs w:val="16"/>
        </w:rPr>
        <w:softHyphen/>
        <w:t>лаевич Анохин. В горизонтальном полете на высоте 3000 метров при нормальной работе мотора без впрыска воды и при нормальных показаниях всех контрольных приборов по</w:t>
      </w:r>
      <w:r w:rsidRPr="00070ADE">
        <w:rPr>
          <w:rFonts w:ascii="Times New Roman" w:hAnsi="Times New Roman"/>
          <w:color w:val="000000" w:themeColor="text1"/>
          <w:sz w:val="16"/>
          <w:szCs w:val="16"/>
        </w:rPr>
        <w:softHyphen/>
        <w:t>явилось «факеление» на выхлопе. Мотор при</w:t>
      </w:r>
      <w:r w:rsidRPr="00070ADE">
        <w:rPr>
          <w:rFonts w:ascii="Times New Roman" w:hAnsi="Times New Roman"/>
          <w:color w:val="000000" w:themeColor="text1"/>
          <w:sz w:val="16"/>
          <w:szCs w:val="16"/>
        </w:rPr>
        <w:softHyphen/>
        <w:t>шлось выключить. Факеление вызвало силь</w:t>
      </w:r>
      <w:r w:rsidRPr="00070ADE">
        <w:rPr>
          <w:rFonts w:ascii="Times New Roman" w:hAnsi="Times New Roman"/>
          <w:color w:val="000000" w:themeColor="text1"/>
          <w:sz w:val="16"/>
          <w:szCs w:val="16"/>
        </w:rPr>
        <w:softHyphen/>
        <w:t>ный нагрев бортов фюзеляжа и дымление фа</w:t>
      </w:r>
      <w:r w:rsidRPr="00070ADE">
        <w:rPr>
          <w:rFonts w:ascii="Times New Roman" w:hAnsi="Times New Roman"/>
          <w:color w:val="000000" w:themeColor="text1"/>
          <w:sz w:val="16"/>
          <w:szCs w:val="16"/>
        </w:rPr>
        <w:softHyphen/>
        <w:t>нерной обшивки от высокой температуры. Планируя с выключенным мотором, летчик ус</w:t>
      </w:r>
      <w:r w:rsidRPr="00070ADE">
        <w:rPr>
          <w:rFonts w:ascii="Times New Roman" w:hAnsi="Times New Roman"/>
          <w:color w:val="000000" w:themeColor="text1"/>
          <w:sz w:val="16"/>
          <w:szCs w:val="16"/>
        </w:rPr>
        <w:softHyphen/>
        <w:t>пешно посадил самолет. При осмотре самоле</w:t>
      </w:r>
      <w:r w:rsidRPr="00070ADE">
        <w:rPr>
          <w:rFonts w:ascii="Times New Roman" w:hAnsi="Times New Roman"/>
          <w:color w:val="000000" w:themeColor="text1"/>
          <w:sz w:val="16"/>
          <w:szCs w:val="16"/>
        </w:rPr>
        <w:softHyphen/>
        <w:t>та на земле было обнаружено, что обшивка правого борта обгорела. При вскрытии об</w:t>
      </w:r>
      <w:r w:rsidRPr="00070ADE">
        <w:rPr>
          <w:rFonts w:ascii="Times New Roman" w:hAnsi="Times New Roman"/>
          <w:color w:val="000000" w:themeColor="text1"/>
          <w:sz w:val="16"/>
          <w:szCs w:val="16"/>
        </w:rPr>
        <w:softHyphen/>
        <w:t>шивки оказалось, что теплоизоляция между жаропрочными листами обшивки и деревян</w:t>
      </w:r>
      <w:r w:rsidRPr="00070ADE">
        <w:rPr>
          <w:rFonts w:ascii="Times New Roman" w:hAnsi="Times New Roman"/>
          <w:color w:val="000000" w:themeColor="text1"/>
          <w:sz w:val="16"/>
          <w:szCs w:val="16"/>
        </w:rPr>
        <w:softHyphen/>
        <w:t>ной частью фюзеляжа недостаточна и не обес</w:t>
      </w:r>
      <w:r w:rsidRPr="00070ADE">
        <w:rPr>
          <w:rFonts w:ascii="Times New Roman" w:hAnsi="Times New Roman"/>
          <w:color w:val="000000" w:themeColor="text1"/>
          <w:sz w:val="16"/>
          <w:szCs w:val="16"/>
        </w:rPr>
        <w:softHyphen/>
        <w:t>печивает предохранение деревянных частей от температурных влияний при факелении турбокомпрессора. Самолет отправили в ре</w:t>
      </w:r>
      <w:r w:rsidRPr="00070ADE">
        <w:rPr>
          <w:rFonts w:ascii="Times New Roman" w:hAnsi="Times New Roman"/>
          <w:color w:val="000000" w:themeColor="text1"/>
          <w:sz w:val="16"/>
          <w:szCs w:val="16"/>
        </w:rPr>
        <w:softHyphen/>
        <w:t>монт на завод № 81, где он находили до начала декабря. Хотя ремонт был успешно завершен, информация о продолжении испытаний отсут</w:t>
      </w:r>
      <w:r w:rsidRPr="00070ADE">
        <w:rPr>
          <w:rFonts w:ascii="Times New Roman" w:hAnsi="Times New Roman"/>
          <w:color w:val="000000" w:themeColor="text1"/>
          <w:sz w:val="16"/>
          <w:szCs w:val="16"/>
        </w:rPr>
        <w:softHyphen/>
        <w:t>ствует. Видимо дальнейшие работы выполня</w:t>
      </w:r>
      <w:r w:rsidRPr="00070ADE">
        <w:rPr>
          <w:rFonts w:ascii="Times New Roman" w:hAnsi="Times New Roman"/>
          <w:color w:val="000000" w:themeColor="text1"/>
          <w:sz w:val="16"/>
          <w:szCs w:val="16"/>
        </w:rPr>
        <w:softHyphen/>
        <w:t>ли уже на Ла-7ТК (24536).</w:t>
      </w:r>
    </w:p>
    <w:p w14:paraId="12997A2A" w14:textId="77777777" w:rsidR="004D183C" w:rsidRPr="00070ADE" w:rsidRDefault="004D183C" w:rsidP="00B56F90">
      <w:pPr>
        <w:spacing w:after="0" w:line="240" w:lineRule="auto"/>
        <w:jc w:val="both"/>
        <w:rPr>
          <w:rFonts w:ascii="Times New Roman" w:hAnsi="Times New Roman"/>
          <w:color w:val="000000" w:themeColor="text1"/>
          <w:sz w:val="16"/>
          <w:szCs w:val="16"/>
        </w:rPr>
      </w:pPr>
    </w:p>
    <w:p w14:paraId="212DD7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Зам. Нач. 7ГУ Алексеев подготовил сводку г-7 № 7465 о ходе испытаний высотных самолетов на 5 июня 1944 по Як-9 М-105ПД, Ла-5 АШ-82ФН и 2ТК-3, МиГ АМ-39А и 2ТК-2Б (1825).</w:t>
      </w:r>
    </w:p>
    <w:p w14:paraId="76BEC0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ИСТРЕБИТЕЛЬ ЯК-9 С ВК-105ПФ И ДВУХСТУПЕНЧАТЫМ НАГНЕТАТЕЛЕМ</w:t>
      </w:r>
    </w:p>
    <w:p w14:paraId="0EE253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Продолжались работы по установке штора с пошшенной высотностью. Окончание работы но уста</w:t>
      </w:r>
      <w:r w:rsidRPr="00070ADE">
        <w:rPr>
          <w:rFonts w:ascii="Times New Roman" w:hAnsi="Times New Roman"/>
          <w:color w:val="000000" w:themeColor="text1"/>
          <w:sz w:val="16"/>
          <w:szCs w:val="16"/>
        </w:rPr>
        <w:softHyphen/>
        <w:t>новке шэтсра намечено на 10 июня 2. ВЫСОТНЫЙ ИСТРЕБИТЕЛЬ ЛА-5 С АШ-82ФН и 2ТК-3.</w:t>
      </w:r>
    </w:p>
    <w:p w14:paraId="1BA3B5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Производились работы по улучшению дефлектирования мотора, замене центрального бенаобака и эжекторной бензопомпы.</w:t>
      </w:r>
    </w:p>
    <w:p w14:paraId="72871A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ВЫСОТНЫЙ ИСТРЕБИТЕЛЬ МИГ С АМ-39Б И 2ТК-2Б.</w:t>
      </w:r>
    </w:p>
    <w:p w14:paraId="442255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Произведен полет на определенле границы вы</w:t>
      </w:r>
      <w:r w:rsidRPr="00070ADE">
        <w:rPr>
          <w:rFonts w:ascii="Times New Roman" w:hAnsi="Times New Roman"/>
          <w:color w:val="000000" w:themeColor="text1"/>
          <w:sz w:val="16"/>
          <w:szCs w:val="16"/>
        </w:rPr>
        <w:softHyphen/>
        <w:t>сотности на 1-й скорости нагнетателя с вкдюченным ТК.</w:t>
      </w:r>
    </w:p>
    <w:p w14:paraId="743F1B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Продолжительность полета - 35 мин; высота-8000 мт.</w:t>
      </w:r>
    </w:p>
    <w:p w14:paraId="34029B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Начиная с высоты 4000 мт, давление бензина произвольно изменялось, то падало, то повышалось.</w:t>
      </w:r>
    </w:p>
    <w:p w14:paraId="6310F3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полета сменена бензопомпа и самолет подготовлен к очередному полету (1825).</w:t>
      </w:r>
    </w:p>
    <w:p w14:paraId="1C6C4F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2D1C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г. НКАП издал приказ о постройке на заводе № 381 малой серии из десяти Ла-7 с улучшенными высотными характеристиками. Лавочкин продолжал работы над самолётами с турбонаддувом, начатые на Ла-5. Летом того же года начались лётные испытания первого Ла-7 (изделие "116") с турбокомпрессорами. На нём опять столкнулись практически со всеми дефектами, встреченными ранее на Ла-5 с турбонаддувом. Первый полёт самолёта "116" с включением турбокомпрессоров состоялся 25 июля. К 11 августа в Горьком удалось сделать четыре полёта и "снять площадки" до высоты 8000 м, а также выполнить километраж у земли. Выше 8500 м самолёту подняться не удавалось из-за масляного голодания мотора. Спустя одиннадцать дней лётчик Г.М. Шиянов перегнал машину в Москву, и по распоряжению Лавочкина её отправили в аэродинамическую трубу. Исследования в ЦАГИ и последующие доработки истребителя заняли ещё четыре месяца. В 1945 г. с высотным Ла-7 ещё немного повозились, но расчётных данных так и не достигли. Вдобавок, первый экземпляр в конце 1945 г. потерпел катастрофу. К тому времени построили вторую машину. Её успели облетать, но с наступлением следующего 1946 г. года все работы в этом направлении прекратили (11986).</w:t>
      </w:r>
    </w:p>
    <w:p w14:paraId="17B93D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868E63C"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6 июня</w:t>
      </w:r>
      <w:r w:rsidRPr="00070ADE">
        <w:rPr>
          <w:rFonts w:ascii="Times New Roman" w:hAnsi="Times New Roman"/>
          <w:color w:val="000000" w:themeColor="text1"/>
          <w:sz w:val="16"/>
          <w:szCs w:val="16"/>
        </w:rPr>
        <w:t xml:space="preserve"> в 1944 году приказ НКАП в котором КБ Лавочкина поручили выпустить десять высотных </w:t>
      </w:r>
      <w:hyperlink r:id="rId166" w:tgtFrame="_blank" w:history="1">
        <w:r w:rsidRPr="00070ADE">
          <w:rPr>
            <w:rFonts w:ascii="Times New Roman" w:hAnsi="Times New Roman"/>
            <w:color w:val="000000" w:themeColor="text1"/>
            <w:sz w:val="16"/>
            <w:szCs w:val="16"/>
          </w:rPr>
          <w:t xml:space="preserve">«Ла-7» </w:t>
        </w:r>
      </w:hyperlink>
      <w:r w:rsidRPr="00070ADE">
        <w:rPr>
          <w:rFonts w:ascii="Times New Roman" w:hAnsi="Times New Roman"/>
          <w:color w:val="000000" w:themeColor="text1"/>
          <w:sz w:val="16"/>
          <w:szCs w:val="16"/>
        </w:rPr>
        <w:t>с двигателями «АШ-82ФН» и двумя турбокомпрессорами «ТК-3». Турбокомпрессор «ТК-3» был изготовлен в Центральном Авиамоторном Институте (ЦИАМ). В отличии от серийных истребителей с пропеллерами «ВИШ-105» «Ла-7ТК» был оборудован пропеллером «ВИШ-105В». Результаты испытаний обнадеживали - установка «ТК-3» на «Ла-7» обеспечила улучшение летных характеристик самолета - увеличение скорости истребителя до 676 км/ч на высоте 8 тысяч метров вместо 6 тысяч метров (без ТК) и увеличение практического потолка до 11800 метров, что на 1000 метров больше чем у серийного «Ла-7». Было построено всего 10 самолетов, вооруженных одной 20-мм пушкой. Они использовались для перехвата высотных немецких разведывательных самолетов (14914).</w:t>
      </w:r>
    </w:p>
    <w:p w14:paraId="2B555E98" w14:textId="77777777" w:rsidR="00072A8C" w:rsidRPr="00070ADE" w:rsidRDefault="00072A8C" w:rsidP="00B56F90">
      <w:pPr>
        <w:spacing w:after="0" w:line="240" w:lineRule="auto"/>
        <w:jc w:val="both"/>
        <w:rPr>
          <w:rFonts w:ascii="Times New Roman" w:hAnsi="Times New Roman"/>
          <w:color w:val="000000" w:themeColor="text1"/>
          <w:sz w:val="16"/>
          <w:szCs w:val="16"/>
        </w:rPr>
      </w:pPr>
    </w:p>
    <w:p w14:paraId="051ABC0C" w14:textId="77777777" w:rsidR="006B3C37" w:rsidRPr="00070ADE" w:rsidRDefault="006B3C3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г. НКАП издал приказ о постройке малой серии из десяти истребителей Ла-7 с улучшенными высотными характеристиками. Летом того же года начались летные испытания первого самолета Ла-7 (изделие «116») с турбокомпрессорами. Первый полет с включением турбокомпрессоров состоялся 25 июля. К 11 августа в Горьком удалось сделать четыре полета, выше 8500 м самолету подняться не удавалось из-за масляного голодания мотора. Спустя одиннадцать дней летчик-испытатель Г. М. Шиянов перегнал машину в Москву, и по распоряжению С. А. Лавочкина отправили в аэродинамическую трубу. На основании продувок в трубе Т-101 выработали рекомендации по улучшению аэродинамики машины и выхлопной системы турбокомпрессора. Исследования и последующие доработки истребителя заняли еще четыре месяца. В 1945 г. с высотным Ла-7 еще немного повозились, но расчетных данных так и не достигли. Вдобавок, первый экземпляр в конце 1945 г. потерпел катастрофу. К тому времени построили вторую машину. Ее успели облетать, но с наступлением следующего 1946 г. года все работы в этом направлении прекратили (19727).</w:t>
      </w:r>
    </w:p>
    <w:p w14:paraId="6DACCF21" w14:textId="77777777" w:rsidR="006B3C37" w:rsidRPr="00070ADE" w:rsidRDefault="006B3C37" w:rsidP="00B56F90">
      <w:pPr>
        <w:spacing w:after="0" w:line="240" w:lineRule="auto"/>
        <w:jc w:val="both"/>
        <w:rPr>
          <w:rFonts w:ascii="Times New Roman" w:hAnsi="Times New Roman"/>
          <w:color w:val="000000" w:themeColor="text1"/>
          <w:sz w:val="16"/>
          <w:szCs w:val="16"/>
        </w:rPr>
      </w:pPr>
    </w:p>
    <w:p w14:paraId="09A7356D" w14:textId="77777777" w:rsidR="00BA6F4D" w:rsidRPr="00C94B78" w:rsidRDefault="00BA6F4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6 июня 1944 года Приказом НКАП ОКБ Лавочкина обязали выпустить десять высотных Ла-7 с двигателями АШ-82ФН и двумя турбокомпрессорами ТК-3. Опыт</w:t>
      </w:r>
      <w:r w:rsidRPr="00C94B78">
        <w:rPr>
          <w:rFonts w:ascii="Times New Roman" w:hAnsi="Times New Roman"/>
          <w:color w:val="0070C0"/>
          <w:sz w:val="16"/>
          <w:szCs w:val="16"/>
        </w:rPr>
        <w:softHyphen/>
        <w:t>ный экземпляр высотного истребителя получил обозначение Ла-7ТК, или само</w:t>
      </w:r>
      <w:r w:rsidRPr="00C94B78">
        <w:rPr>
          <w:rFonts w:ascii="Times New Roman" w:hAnsi="Times New Roman"/>
          <w:color w:val="0070C0"/>
          <w:sz w:val="16"/>
          <w:szCs w:val="16"/>
        </w:rPr>
        <w:softHyphen/>
        <w:t>лет «116». Его первый полет с включением турбокомпрессоров состоялся 25 июля 1944 года. 22 августа Шиянов перегнал машину в Москву на 81-й завод (24988).</w:t>
      </w:r>
    </w:p>
    <w:p w14:paraId="6EB9492C" w14:textId="77777777" w:rsidR="00BA6F4D" w:rsidRPr="00C94B78" w:rsidRDefault="00BA6F4D" w:rsidP="00B56F90">
      <w:pPr>
        <w:spacing w:after="0" w:line="240" w:lineRule="auto"/>
        <w:jc w:val="both"/>
        <w:rPr>
          <w:rFonts w:ascii="Times New Roman" w:hAnsi="Times New Roman"/>
          <w:color w:val="0070C0"/>
          <w:sz w:val="16"/>
          <w:szCs w:val="16"/>
        </w:rPr>
      </w:pPr>
    </w:p>
    <w:p w14:paraId="55390E20" w14:textId="77777777" w:rsidR="00BA6F4D" w:rsidRPr="00C94B78" w:rsidRDefault="00BA6F4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6 июня 1944 года по приказу НКАП С.А. Лавочкина обязали построить десять стратосфер</w:t>
      </w:r>
      <w:r w:rsidRPr="00C94B78">
        <w:rPr>
          <w:rFonts w:ascii="Times New Roman" w:hAnsi="Times New Roman"/>
          <w:color w:val="0070C0"/>
          <w:sz w:val="16"/>
          <w:szCs w:val="16"/>
        </w:rPr>
        <w:softHyphen/>
        <w:t>ных Ла-7, и работы в этом направлении не прекращались до 1946 год (25030).</w:t>
      </w:r>
    </w:p>
    <w:p w14:paraId="08DFC642" w14:textId="77777777" w:rsidR="00BA6F4D" w:rsidRPr="00C94B78" w:rsidRDefault="00BA6F4D" w:rsidP="00B56F90">
      <w:pPr>
        <w:spacing w:after="0" w:line="240" w:lineRule="auto"/>
        <w:jc w:val="both"/>
        <w:rPr>
          <w:rFonts w:ascii="Times New Roman" w:hAnsi="Times New Roman"/>
          <w:color w:val="0070C0"/>
          <w:sz w:val="16"/>
          <w:szCs w:val="16"/>
        </w:rPr>
      </w:pPr>
    </w:p>
    <w:p w14:paraId="6B0753A0" w14:textId="77777777" w:rsidR="00BA6F4D" w:rsidRPr="00C94B78" w:rsidRDefault="00BA6F4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6 июня 1944 года приказом НКАП №328 и июньским письмом А.С.Я., П.О. Сухому предлагалось в месячный срок</w:t>
      </w:r>
      <w:r w:rsidRPr="00C94B78">
        <w:rPr>
          <w:rFonts w:ascii="Times New Roman" w:eastAsia="Times New Roman" w:hAnsi="Times New Roman"/>
          <w:color w:val="0070C0"/>
          <w:sz w:val="16"/>
          <w:szCs w:val="16"/>
          <w:lang w:eastAsia="ru-RU"/>
        </w:rPr>
        <w:t xml:space="preserve"> </w:t>
      </w:r>
      <w:r w:rsidRPr="00C94B78">
        <w:rPr>
          <w:rFonts w:ascii="Times New Roman" w:hAnsi="Times New Roman"/>
          <w:color w:val="0070C0"/>
          <w:sz w:val="16"/>
          <w:szCs w:val="16"/>
        </w:rPr>
        <w:t>«разработать и представить эскизный проект высотного истребителя со следующими данными:</w:t>
      </w:r>
    </w:p>
    <w:p w14:paraId="13200156" w14:textId="77777777" w:rsidR="00BA6F4D" w:rsidRPr="00C94B78" w:rsidRDefault="00BA6F4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Практический потолок -15000 м;</w:t>
      </w:r>
    </w:p>
    <w:p w14:paraId="4DDFFC69" w14:textId="36994AF4" w:rsidR="00BA6F4D" w:rsidRPr="00C94B78" w:rsidRDefault="00BA6F4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Рабочая высота баражирования на которой самолет должен обладать вертикальной скоростью не менее 4м/с — 14000 м;</w:t>
      </w:r>
    </w:p>
    <w:p w14:paraId="24E31C84" w14:textId="31DD3208" w:rsidR="00BA6F4D" w:rsidRPr="00C94B78" w:rsidRDefault="00BA6F4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Время баражирования но высоте 14000 м не менее — 1,5 час;</w:t>
      </w:r>
    </w:p>
    <w:p w14:paraId="37C9BBA9" w14:textId="77777777" w:rsidR="00BA6F4D" w:rsidRPr="00C94B78" w:rsidRDefault="00BA6F4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Максимальная скорость на Н=13000-14000 м — 670 км/ч;</w:t>
      </w:r>
    </w:p>
    <w:p w14:paraId="513115B7" w14:textId="77777777" w:rsidR="00BA6F4D" w:rsidRPr="00C94B78" w:rsidRDefault="00BA6F4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Вооружение: одна 20-мм пушка с боезапасом 120 патронов. На самолете предусмотреть возможность установки второй пушки того же калибра и с тем же боезапасом.</w:t>
      </w:r>
    </w:p>
    <w:p w14:paraId="631AE6B8" w14:textId="77777777" w:rsidR="00BA6F4D" w:rsidRPr="00C94B78" w:rsidRDefault="00BA6F4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При проектировании самолета необходимо удовлетворить в первую очередь требования по потолку и времени барражирования, являющимися основными в данном задании».</w:t>
      </w:r>
    </w:p>
    <w:p w14:paraId="1A120780" w14:textId="77777777" w:rsidR="00BA6F4D" w:rsidRPr="00C94B78" w:rsidRDefault="00BA6F4D"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Какой-либо информации о работе над данным проектом не обнаружено (25264).</w:t>
      </w:r>
    </w:p>
    <w:p w14:paraId="40B66722" w14:textId="77777777" w:rsidR="00BA6F4D" w:rsidRPr="00C94B78" w:rsidRDefault="00BA6F4D" w:rsidP="00B56F90">
      <w:pPr>
        <w:spacing w:after="0" w:line="240" w:lineRule="auto"/>
        <w:jc w:val="both"/>
        <w:rPr>
          <w:rFonts w:ascii="Times New Roman" w:hAnsi="Times New Roman"/>
          <w:color w:val="0070C0"/>
          <w:sz w:val="16"/>
          <w:szCs w:val="16"/>
        </w:rPr>
      </w:pPr>
    </w:p>
    <w:p w14:paraId="19931C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л А.Г.Кочеткову и и Ф.П.Супруну в США дали посидеть в ЭР-59 Эркомет (172,171).</w:t>
      </w:r>
    </w:p>
    <w:p w14:paraId="3BC1C9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51EF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зам. наркома Авиапрома Дементьева за N Н-35/2762 дал быв. заводу N 89 указание изготовить и сдать ВЭИ НКЭП 20 штук летающих авиабомб со сроком сдачи 10 июля с.г. (2562,99).</w:t>
      </w:r>
    </w:p>
    <w:p w14:paraId="265BAA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A5F26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A5185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822E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г. ТТЗ на технический проект танка ИС-6 было утверждено наркомом танковой промышленности В.А. Малышевым. Согласно ; этому заданию КБ завода № 100 необходимо было разработать танк с боевой массой до 50 т с электромеханической трансмиссией и до 48 т -с механической. Экипаж танка должен был состоять из пяти человек. ; Вооружение - 122-мм пушка с начальной скоростью бронебойного сна- ; ряда 850 - 900 м/с. Броневая защита литой башни и сварного корпуса должны были обеспечить надежную защиту экипажа от снарядов 88-мм пушки с начальной скоростью 1300 - 1400 м/с. Двигатель В-11У или В-12 мощностью 620 - 700 л.с. (456 - 515 кВт) должен был обеспечить максимальную скорость движения 42 км/ч. На первом этапе создания танка на Опытном заводе № 100, с целью ; сокращения времени, планировалось установить агрегаты и механизмы ; трансмиссии от серийного танка ИС-2. При этом была предусмотрена возможность монтажа электромеханической трансмиссии в корпус танка. Графиком работ по танку ИС-6 планировалось завершить сборку и монтаж двух танков ("Объект 253") к 1 ноября 1944 г. Заводские испы</w:t>
      </w:r>
      <w:r w:rsidRPr="00070ADE">
        <w:rPr>
          <w:rFonts w:ascii="Times New Roman" w:hAnsi="Times New Roman"/>
          <w:color w:val="000000" w:themeColor="text1"/>
          <w:sz w:val="16"/>
          <w:szCs w:val="16"/>
        </w:rPr>
        <w:softHyphen/>
        <w:t>тания должны были начаться не позднее 1 декабря 1944 г. Корпус танка ИС-6, сваренный из катаных броневых листов из ста</w:t>
      </w:r>
      <w:r w:rsidRPr="00070ADE">
        <w:rPr>
          <w:rFonts w:ascii="Times New Roman" w:hAnsi="Times New Roman"/>
          <w:color w:val="000000" w:themeColor="text1"/>
          <w:sz w:val="16"/>
          <w:szCs w:val="16"/>
        </w:rPr>
        <w:softHyphen/>
        <w:t>ли средней твердости, с опозданием на два месяца поступил на сборку 21 сентября 1944 г. Толщина броневых листов корпуса составляла: лобовой верхний лист - 100 мм/65", нижний - 120 мм/52°. Литая башня ; была изготовлена из броневой стали высокой твердости с толщиной стенок до 150 мм (10703).</w:t>
      </w:r>
    </w:p>
    <w:p w14:paraId="213A85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1D6A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г. вышло уточненное тактико-техническое задание на танк ИС-6, согласно которому его масса ограничивалась на уровне 50 т (эскизное проектирование предлагало танк массой 52 т), при этом броневая защита должна была снимать подкалиберный снаряд 88-мм пушки обр. 1943 г. с дистанции от 500 м. Вооружение танка должно было состоять из 122-мм пушки с нач. скоростью бронебойного снаряда 900—950 (до 1000) м/с с досылателем выстрела с суммарной ско рострельностью не менее 6 выстр./мин с компрессором продувки канала ствола. Двигатель дизель-мотор типа В-11 или В-12 мощностью 620 или 700 л.с. В числе спец</w:t>
      </w:r>
      <w:r w:rsidRPr="00070ADE">
        <w:rPr>
          <w:rFonts w:ascii="Times New Roman" w:hAnsi="Times New Roman"/>
          <w:color w:val="000000" w:themeColor="text1"/>
          <w:sz w:val="16"/>
          <w:szCs w:val="16"/>
        </w:rPr>
        <w:softHyphen/>
        <w:t>оборудования — система автоматизированного пожароту</w:t>
      </w:r>
      <w:r w:rsidRPr="00070ADE">
        <w:rPr>
          <w:rFonts w:ascii="Times New Roman" w:hAnsi="Times New Roman"/>
          <w:color w:val="000000" w:themeColor="text1"/>
          <w:sz w:val="16"/>
          <w:szCs w:val="16"/>
        </w:rPr>
        <w:softHyphen/>
        <w:t>шения и оборудование для преодоления глубоких бродов по типу танка «Тигр».</w:t>
      </w:r>
    </w:p>
    <w:p w14:paraId="4C9C1F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утвержденному плану проведения работ сборка двух опытных образцов ИС-6 должна была закон</w:t>
      </w:r>
      <w:r w:rsidRPr="00070ADE">
        <w:rPr>
          <w:rFonts w:ascii="Times New Roman" w:hAnsi="Times New Roman"/>
          <w:color w:val="000000" w:themeColor="text1"/>
          <w:sz w:val="16"/>
          <w:szCs w:val="16"/>
        </w:rPr>
        <w:softHyphen/>
        <w:t>читься к 1 ноября 1944 г. Для ускорения работ разрешалось использовать в изготовлении машины узлы серийно про</w:t>
      </w:r>
      <w:r w:rsidRPr="00070ADE">
        <w:rPr>
          <w:rFonts w:ascii="Times New Roman" w:hAnsi="Times New Roman"/>
          <w:color w:val="000000" w:themeColor="text1"/>
          <w:sz w:val="16"/>
          <w:szCs w:val="16"/>
        </w:rPr>
        <w:softHyphen/>
        <w:t>изводимых танков ИС-2.</w:t>
      </w:r>
    </w:p>
    <w:p w14:paraId="1C705E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корпус танка был подан на сборку с опозданием поч</w:t>
      </w:r>
      <w:r w:rsidRPr="00070ADE">
        <w:rPr>
          <w:rFonts w:ascii="Times New Roman" w:hAnsi="Times New Roman"/>
          <w:color w:val="000000" w:themeColor="text1"/>
          <w:sz w:val="16"/>
          <w:szCs w:val="16"/>
        </w:rPr>
        <w:softHyphen/>
        <w:t>ти на два месяца. Он имел бронирование 100 мм в верхней части лба, 120-мм в нижней, литая башня с толщиной стенок до 150 мм была изготовлена из брони высокой твердости...</w:t>
      </w:r>
    </w:p>
    <w:p w14:paraId="1DDA53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Сварной макет корпуса танка ИС-6 был испытан об</w:t>
      </w:r>
      <w:r w:rsidRPr="00070ADE">
        <w:rPr>
          <w:rFonts w:ascii="Times New Roman" w:hAnsi="Times New Roman"/>
          <w:color w:val="000000" w:themeColor="text1"/>
          <w:sz w:val="16"/>
          <w:szCs w:val="16"/>
        </w:rPr>
        <w:softHyphen/>
        <w:t>стрелом из немецкой противотанковой пушки обр. 1943 г. с начальной скоростью снаряда около 1000 м/с и 105-мм корпусной пушки обр. 18с начальной скоростью снаряда 877 м/с. В ходе многочисленных экспериментов было доказано, что с лобовой проекции указанные орудия брони корпуса не пробивают даже с дистанции 50 м. Пробоина была обнаружена лишь в месте расположения броневых де</w:t>
      </w:r>
      <w:r w:rsidRPr="00070ADE">
        <w:rPr>
          <w:rFonts w:ascii="Times New Roman" w:hAnsi="Times New Roman"/>
          <w:color w:val="000000" w:themeColor="text1"/>
          <w:sz w:val="16"/>
          <w:szCs w:val="16"/>
        </w:rPr>
        <w:softHyphen/>
        <w:t>талей толщиной 120 мм, Под углом 45° (11135).</w:t>
      </w:r>
    </w:p>
    <w:p w14:paraId="5BC5C7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791A8B" w14:textId="77777777" w:rsidR="006B3C37" w:rsidRPr="00070ADE" w:rsidRDefault="006B3C37"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6 июня 1944 года Малышев подписал приказ по НКТП №379сс. В нём новый танк ОКБ завода 100 получил обозначение ИС-6. Согласно приказу, к работам по опытному танку ИС-6 подключался УЗТМ, где изготовлялись корпуса и башни для данной машины. К 1 июля ожидалось изготовление рабочей документации по корпусам и башням танка с механической трансмиссии, а к 15 числу — чертежи оставшихся агрегатов. Два комплекта корпусов и башне УЗТМ сдавал к 25 июля, а сборка машин завершалась 25 августа. К 10 сентября ожидалось завершение заводских испытаний, к 20 числу составлялся отчёт по ним. Танк с электромеханической трансмиссией ожидался позже. Рабочую документацию выпускали к 25 августа, два комплекта корпусов и башен — к 10 октября, постройка двух образцов танка планировалась к 1 ноября, а испытания проводились до 1 декабря.</w:t>
      </w:r>
    </w:p>
    <w:p w14:paraId="39FC26DB" w14:textId="77777777" w:rsidR="006B3C37" w:rsidRPr="00070ADE" w:rsidRDefault="006B3C37"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В ГБТУ КА по-своему оценили ИС-6. По мнению комиссии, которая рассматривала проект, данный танк по основным характеристикам не представлял собой шаг вперёд по сравнению с Объектом 701. С другой стороны, он существенно превосходил ИС-2 — особенно по броневой защите. Например, броневая защита корпуса за счёт рациональных углов наклона превосходила ИС-2, но при этом уступала Объекту 701. Примерно та же ситуация складывалась с броневой защитой башни — она явно превосходила ИС-2, имея максимальную толщину 150 мм. С другой стороны, башня Объекта 701 была не только толще (до 160 мм), но и имела меньший размер бронировки орудийной маски, а, значит, и меньшую уязвимость. Правда, в ходе испытаний выяснилось, что выступ под прицел справа от маски уязвим, поэтому финальный вариант танка имел более широкую бронировку орудийной маски. Установка вооружения также вызвала неоднозначную реакцию. На тот момент в ГБТУ КА считали 122-мм пушку С-34 лучшим вариантом. На ИС-6 предлагалось установить модернизированную версию Д-25 с увеличенной на 50 м/с начальной скоростью снаряда. Установку данного орудия подвергли критике. Также было предложено поставить полик для улучшения работы расчёта башни. Для орудия требовались досылатель и система продувки канала ствола. Не вызвала особого энтузиазма и ходовая часть с опорными катками большого диаметра (19150).</w:t>
      </w:r>
    </w:p>
    <w:p w14:paraId="196B69AA" w14:textId="77777777" w:rsidR="006B3C37" w:rsidRPr="00070ADE" w:rsidRDefault="006B3C37" w:rsidP="00B56F90">
      <w:pPr>
        <w:pStyle w:val="ae"/>
        <w:shd w:val="clear" w:color="auto" w:fill="FFFFFF"/>
        <w:spacing w:before="0" w:after="0"/>
        <w:jc w:val="both"/>
        <w:textAlignment w:val="baseline"/>
        <w:rPr>
          <w:color w:val="000000" w:themeColor="text1"/>
          <w:sz w:val="16"/>
          <w:szCs w:val="16"/>
        </w:rPr>
      </w:pPr>
    </w:p>
    <w:p w14:paraId="10DC42DD" w14:textId="77777777" w:rsidR="00166890" w:rsidRPr="00C94B78" w:rsidRDefault="0016689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6 июня 1944 года Малышев подписал приказ по НКТП №379сс, в котором новый тяжелый танк впервые официально именовался как ИС-6. По планам, 1 июля ожидалось изготовление рабочей документации по корпусам и башням танка с механической трансмиссии, а к 15 числу – чертежи оставшихся агрегатов. Корпусным производством занимался УЗТМ, который к 25 июля 1944 года подавал два корпуса и две башни. Сроком изготовления танков указывалось 25 августа 1944 года.</w:t>
      </w:r>
    </w:p>
    <w:p w14:paraId="6CFDD50D" w14:textId="77777777" w:rsidR="00166890" w:rsidRPr="00C94B78" w:rsidRDefault="00166890"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Мнение ГБТУ КА по поводу нового танка несколько отличалось от руководства НКТП. Там ИС-6 рассматривали не как достойного противника Объекта 701, а скорее в качестве потенциальной замены ИС-2. То есть всё той же "большой модернизацией", что близко к истине. Броневая защита ИС-6 превосходила ИС-2, но уступала Объекту 701. Установка вооружения также вызвала неоднозначную реакцию. На тот момент в ГБТУ КА считали 122-мм пушку С-34 лучшим вариантом. На ИС-6 предлагалось установить модернизированную версию Д-25 с увеличенной на 50 м/с начальной скоростью снаряда. Установку данного орудия подвергли критике. Также было предложено поставить полик для улучшения работы расчета башни. Для орудия требовались досылатель и система продувки канала ствола. Не вызвала большого энтузиазма и ходовая часть с опорными катками большого диаметра. (25682).</w:t>
      </w:r>
    </w:p>
    <w:p w14:paraId="60E33979" w14:textId="77777777" w:rsidR="00166890" w:rsidRPr="00C94B78" w:rsidRDefault="00166890" w:rsidP="00B56F90">
      <w:pPr>
        <w:spacing w:after="0" w:line="240" w:lineRule="auto"/>
        <w:jc w:val="both"/>
        <w:rPr>
          <w:rFonts w:ascii="Times New Roman" w:hAnsi="Times New Roman"/>
          <w:color w:val="0070C0"/>
          <w:sz w:val="16"/>
          <w:szCs w:val="16"/>
        </w:rPr>
      </w:pPr>
    </w:p>
    <w:p w14:paraId="48C16A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г. была подготовлена ДОКЛАДНАЯ ЗАПИСКА НАЧАЛЬНИКА ТУ ГБТУ КА ЗАМЕСТИТЕЛЮ НАРКОМА ТАНКОВОЙ ПРОМЫШЛЕННОСТИ СССР П.ЗЕРНОВУ О МЕРОПРИЯТИЯХ ПО УСТРАНЕНИЮ ДЕФЕКТА НАБЕГАНИЯ ЗУБЬЕВ ЗВЕЗДОЧКИ НА ТРАКИ ГУСЕНИЦЫ ТАНКА №522521</w:t>
      </w:r>
    </w:p>
    <w:p w14:paraId="3F2E4E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тяжелых танках и артсамоходах продолжают иметь место набегание зубьев звездочки веду</w:t>
      </w:r>
      <w:r w:rsidRPr="00070ADE">
        <w:rPr>
          <w:rFonts w:ascii="Times New Roman" w:hAnsi="Times New Roman"/>
          <w:color w:val="000000" w:themeColor="text1"/>
          <w:sz w:val="16"/>
          <w:szCs w:val="16"/>
        </w:rPr>
        <w:softHyphen/>
        <w:t>щего колеса на траки гусеницы и увод машины в сторону.</w:t>
      </w:r>
    </w:p>
    <w:p w14:paraId="6E9680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предотвращения дефекта набегания зубьев звездочки на траки Кировским заводом наря</w:t>
      </w:r>
      <w:r w:rsidRPr="00070ADE">
        <w:rPr>
          <w:rFonts w:ascii="Times New Roman" w:hAnsi="Times New Roman"/>
          <w:color w:val="000000" w:themeColor="text1"/>
          <w:sz w:val="16"/>
          <w:szCs w:val="16"/>
        </w:rPr>
        <w:softHyphen/>
        <w:t>ду с технологическими мероприятиями изготовляется новая звездочка ведущего колеса с корреги-рованным зубом.</w:t>
      </w:r>
    </w:p>
    <w:p w14:paraId="1EB9C9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Вашего указания директору Кировского завода срочно испытать новую звездочку и внедрить ее в производство не позднее 15 июня с. г.</w:t>
      </w:r>
    </w:p>
    <w:p w14:paraId="58735E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Одновременно высылаю Вам копии актов обмера корпуса танка ИС на заводе №200, в которых от</w:t>
      </w:r>
      <w:r w:rsidRPr="00070ADE">
        <w:rPr>
          <w:rFonts w:ascii="Times New Roman" w:hAnsi="Times New Roman"/>
          <w:color w:val="000000" w:themeColor="text1"/>
          <w:sz w:val="16"/>
          <w:szCs w:val="16"/>
        </w:rPr>
        <w:softHyphen/>
        <w:t>мечается полное соответствие изготовляемых корпусов утвержденным чертежам и тех. условиям, и сни</w:t>
      </w:r>
      <w:r w:rsidRPr="00070ADE">
        <w:rPr>
          <w:rFonts w:ascii="Times New Roman" w:hAnsi="Times New Roman"/>
          <w:color w:val="000000" w:themeColor="text1"/>
          <w:sz w:val="16"/>
          <w:szCs w:val="16"/>
        </w:rPr>
        <w:softHyphen/>
        <w:t>мается предположение, что увод машины в сторону обусловлен неправильной геометрией корпуса.</w:t>
      </w:r>
    </w:p>
    <w:p w14:paraId="5CF002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Ваших соответствующих указаний директору Кировского завода.</w:t>
      </w:r>
    </w:p>
    <w:p w14:paraId="7EA22C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Приложение': акты на 2 листах.</w:t>
      </w:r>
    </w:p>
    <w:p w14:paraId="2E9DFC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о. начальника ТУ ГБТУ КА инженер-подполковник Егоров</w:t>
      </w:r>
    </w:p>
    <w:p w14:paraId="7DE247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начальника 1 отдела ТУ ГБТУ КА инженер-майор Мирошников</w:t>
      </w:r>
    </w:p>
    <w:p w14:paraId="6CD0E7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2509. Л. 10. Копия (11420).</w:t>
      </w:r>
    </w:p>
    <w:p w14:paraId="253BF0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788388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вышло Распоряжение ГКО № 6007 [О мобилизации 2,9 тыс. рабочих и 600 возчиков с лошадьми в Кировской обл. для работ по строительству вторых путей на участке железной дороги Яр - Поздино ж.-д. линии Киров-Пермь.] (7238, 184).</w:t>
      </w:r>
    </w:p>
    <w:p w14:paraId="0FEE3F3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FBA0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Адмиралтейцами спущен на воду 12-й МБК (10671).</w:t>
      </w:r>
    </w:p>
    <w:p w14:paraId="6D52F7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2EA552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2D29E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06387B"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6 июня</w:t>
      </w:r>
      <w:r w:rsidRPr="00070ADE">
        <w:rPr>
          <w:rFonts w:ascii="Times New Roman" w:hAnsi="Times New Roman"/>
          <w:color w:val="000000" w:themeColor="text1"/>
          <w:sz w:val="16"/>
          <w:szCs w:val="16"/>
        </w:rPr>
        <w:t xml:space="preserve"> в 1944 году оперативная сводка Совинформбюро:</w:t>
      </w:r>
    </w:p>
    <w:p w14:paraId="4AB1A5C4"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6 июня в районе северо-западнее и севернее города Яссы наши войска успешно отбили все атаки пехоты и танков противника. За 5 июня в этом районе подбито и уничтожено 49 немецких танков и сбито 42 самолёта. На других участках фронта — без перемен.</w:t>
      </w:r>
    </w:p>
    <w:p w14:paraId="1C313D4D"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5 июня на всех фронтах в воздушных боях и огнём зенитной артиллерии сбито 48 самолётов противника.»</w:t>
      </w:r>
    </w:p>
    <w:p w14:paraId="2809786F"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Массированный налёт нашей авиации на железнодорожный узел и военные объекты города Яссы:</w:t>
      </w:r>
    </w:p>
    <w:p w14:paraId="0E5DFC6A"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6 июня наша авиация дальнего действия произвела массированный налёт на железнодорожный узел и военные объекты города Яссы (Румыния). В результате бомбардировки возникло до 90 очагов пожара. Горели железнодорожные составы, станционные здания и военные склады противника. Пожары сопровождались сильными взрывами. Пулемётно-пушечным огнем обстреляно и подожжено несколько эшелонов на ближайших к городу Яссы железнодорожных станциях. Пламя пожаров наши летчики наблюдали при уходе от цели с расстояния более 100 километров.</w:t>
      </w:r>
    </w:p>
    <w:p w14:paraId="46A929ED"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наши самолеты вернулись на свои базы.»</w:t>
      </w:r>
    </w:p>
    <w:p w14:paraId="62BA4482"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севернее города Яссы наши войска продолжали вести бои с противником. Немцы, понёсшие за последние дни большие потеря, сегодня ввели в бой сравнительно меньшие силы танков и пехоты. Советские части успешно отбили все атаки гитлеровцев. Ожесточённый бой произошёл лишь на участке, который обороняет Н-ское соединение. В течение дня немцы в этом районе дважды переходили в атаку, но не добились никаких результатов. Перед нашими позициями осталось несколько подбитых немецких, танков и бронетранспортёров и до 300 вражеских трупов.</w:t>
      </w:r>
    </w:p>
    <w:p w14:paraId="1EE32025"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Тирасполь тридцать семь снайперов Н-ской части за последние пять дней истребили 158 немцев. Снайпер т. Никулин убил 13 немецких солдат, снайпер т. Лапин — 8, снайпер т. Рябушенко — 7, снайпер т. Климентьев уничтожил 5 немцев.</w:t>
      </w:r>
    </w:p>
    <w:p w14:paraId="0A54FB05"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Витебск разведывательный отряд под командование капитана Герасименко рано утром ворвался в расположение противника. Советские бойцы взорвали три землянки, уничтожили 20 гитлеровцев и, захватив 6 пленных, вернулись в свою часть.</w:t>
      </w:r>
    </w:p>
    <w:p w14:paraId="792E9E8B"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Авиацией Краснознамённого Балтийского флота в ночь на 5 июня потоплены в Балтийском море три немецких транспорта общим водоизмещением в 11 тысяч тонн.</w:t>
      </w:r>
    </w:p>
    <w:p w14:paraId="0C852F63"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 немецких самолётов вчера пытались произвести налёт на один из наших военных объектов в Финском заливе. Самолёты противника были встречены истребителями части подполковника Корешкова. В ожесточённых воздушных боях лётчики-балтийцы сбили 20 немецких самолётов. Ни один вражеский самолёт не был допущен к цели. В воздушных боях особенно отличились лётчики: старший лейтенант Черненко, старший лейтенант Камышников, лейтенант Жучков я лейтенант Шестопалов.</w:t>
      </w:r>
    </w:p>
    <w:p w14:paraId="6C77AA3A"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Партизаны отряда, действующего в Минской области, узнали, что в одном населённом пункте немцы грабят мирных жителей. Советские патриоты устроили засаду и напали на гитлеровцев, возвращавшихся с разбойничьего набега. Партизаны убили 69 немецких солдат и офицеров и захватили в плен двух унтер-офицеров. Имущество, награбленное гитлеровцами у советских граждан, возвращено населению. Партизаны отряда имени Щорса пустили под откос воинский эшелон противника. Разбиты паровоз и 10 вагонов. Убито и ранено до 200 немецких солдат и офицеров.</w:t>
      </w:r>
    </w:p>
    <w:p w14:paraId="45CA54ED"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командир 3 роты 12 полка 15 румынской пехотной дивизии капитан Николай Александреску рассказал: «Осенью 1941 года наша дивизия была разбита под Одессой. Её остатки были отведены в тыл на переформирование. Примерно через год дивизию перебросили в район Клетской, где она за два месяца потеряла 12 тысяч человек. Дивизия в третий раз была заново сформирована и опять направлена на фронт. Дивизией командует бригадный генерал Штефан Бардан. При штабе дивизии находятся немецкий майор Вендт, его помощник обер-лейтенант Грезе и несколько немецких писарей. Немец Вендт — фактический хозяин. Он бесцеремонно отменяет приказы командира дивизии и делает всё по своему усмотрению. Румынские солдаты не хотят воевать за Гитлера. В этом я ещё раз убедился в последнем бою. Небольшая группа русских солдат на трёх лодках незаметно переправилась через реку, вышла на берег и с криками «ура» бросилась к нашим позициям. Эти позиции обороняла румынская рота, имевшая несколько станковых пулемётов. Когда наши солдаты услышали крики «ура», они сразу же разбежались. Несколькими бросками русские достигли командного пункта. Увидев, что сопротивление бесполезно, я встал и поднял руки. Вместе со мной сдались в плен лейтенант Леху, старший лейтенант Рошка и лейтенант Рыжкану» (14914).</w:t>
      </w:r>
    </w:p>
    <w:p w14:paraId="7E28EAA0" w14:textId="77777777" w:rsidR="00072A8C" w:rsidRPr="00070ADE" w:rsidRDefault="00072A8C" w:rsidP="00B56F90">
      <w:pPr>
        <w:spacing w:after="0" w:line="240" w:lineRule="auto"/>
        <w:jc w:val="both"/>
        <w:rPr>
          <w:rFonts w:ascii="Times New Roman" w:hAnsi="Times New Roman"/>
          <w:color w:val="000000" w:themeColor="text1"/>
          <w:sz w:val="16"/>
          <w:szCs w:val="16"/>
        </w:rPr>
      </w:pPr>
    </w:p>
    <w:p w14:paraId="02BDF6DD" w14:textId="77777777" w:rsidR="006B3C37" w:rsidRPr="00070ADE" w:rsidRDefault="006B3C3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года командующий артиллерией Красной Армии Главный маршал артиллерии Н.Н.Воронов утвердил инструкцию по организации и проведению огневого вала. Идея «огневого вала» появилась у советских артиллеристов еще в советско-финскую войну, а приняла четкие очертания в битве за Сталинград. Руководил этой работой тогда именно Николай Николаевич Воронов (19542).</w:t>
      </w:r>
    </w:p>
    <w:p w14:paraId="4CB41DC7" w14:textId="77777777" w:rsidR="006B3C37" w:rsidRPr="00070ADE" w:rsidRDefault="006B3C37" w:rsidP="00B56F90">
      <w:pPr>
        <w:spacing w:after="0" w:line="240" w:lineRule="auto"/>
        <w:jc w:val="both"/>
        <w:rPr>
          <w:rFonts w:ascii="Times New Roman" w:hAnsi="Times New Roman"/>
          <w:color w:val="000000" w:themeColor="text1"/>
          <w:sz w:val="16"/>
          <w:szCs w:val="16"/>
        </w:rPr>
      </w:pPr>
    </w:p>
    <w:p w14:paraId="34E73C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имел место первый ночной поиск с использованием РЛС “Гнейс-2М”, установленной на Ил-4 5-го гв. мтап. Но нашли лишь несколь</w:t>
      </w:r>
      <w:r w:rsidRPr="00070ADE">
        <w:rPr>
          <w:rFonts w:ascii="Times New Roman" w:hAnsi="Times New Roman"/>
          <w:color w:val="000000" w:themeColor="text1"/>
          <w:sz w:val="16"/>
          <w:szCs w:val="16"/>
        </w:rPr>
        <w:softHyphen/>
        <w:t>ко рыболовецких судов у румынского берега, на которые не стоило тратить торпеду. И все последующие боевые вылеты с РЛС закончились безрезультатно. На Балтике такие же радары ста</w:t>
      </w:r>
      <w:r w:rsidRPr="00070ADE">
        <w:rPr>
          <w:rFonts w:ascii="Times New Roman" w:hAnsi="Times New Roman"/>
          <w:color w:val="000000" w:themeColor="text1"/>
          <w:sz w:val="16"/>
          <w:szCs w:val="16"/>
        </w:rPr>
        <w:softHyphen/>
        <w:t>вили на А-20, их применение было бо</w:t>
      </w:r>
      <w:r w:rsidRPr="00070ADE">
        <w:rPr>
          <w:rFonts w:ascii="Times New Roman" w:hAnsi="Times New Roman"/>
          <w:color w:val="000000" w:themeColor="text1"/>
          <w:sz w:val="16"/>
          <w:szCs w:val="16"/>
        </w:rPr>
        <w:softHyphen/>
        <w:t>лее удачным (10734,85).</w:t>
      </w:r>
    </w:p>
    <w:p w14:paraId="260AD5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A2CA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в авиаполку Нормандия произошла трагедия: нови</w:t>
      </w:r>
      <w:r w:rsidRPr="00070ADE">
        <w:rPr>
          <w:rFonts w:ascii="Times New Roman" w:hAnsi="Times New Roman"/>
          <w:color w:val="000000" w:themeColor="text1"/>
          <w:sz w:val="16"/>
          <w:szCs w:val="16"/>
        </w:rPr>
        <w:softHyphen/>
        <w:t>чок младший лейтенант Морис Шалль (это был его первый боевой вылет) по ошибке сбил одного из лучших пилотов 18-го гвардейского авиаполка старше</w:t>
      </w:r>
      <w:r w:rsidRPr="00070ADE">
        <w:rPr>
          <w:rFonts w:ascii="Times New Roman" w:hAnsi="Times New Roman"/>
          <w:color w:val="000000" w:themeColor="text1"/>
          <w:sz w:val="16"/>
          <w:szCs w:val="16"/>
        </w:rPr>
        <w:softHyphen/>
        <w:t>го лейтенанта В.И.Архипова. Шалль тя</w:t>
      </w:r>
      <w:r w:rsidRPr="00070ADE">
        <w:rPr>
          <w:rFonts w:ascii="Times New Roman" w:hAnsi="Times New Roman"/>
          <w:color w:val="000000" w:themeColor="text1"/>
          <w:sz w:val="16"/>
          <w:szCs w:val="16"/>
        </w:rPr>
        <w:softHyphen/>
        <w:t>жело переживал случившееся, ожидал отправки во Францию и даже трибуна</w:t>
      </w:r>
      <w:r w:rsidRPr="00070ADE">
        <w:rPr>
          <w:rFonts w:ascii="Times New Roman" w:hAnsi="Times New Roman"/>
          <w:color w:val="000000" w:themeColor="text1"/>
          <w:sz w:val="16"/>
          <w:szCs w:val="16"/>
        </w:rPr>
        <w:softHyphen/>
        <w:t>ла, но инцидент замяли. Двадцать дней спустя Шалль, искупая вину, сбил сразу двух немцев: это были Bf109 и FW190 (3956).</w:t>
      </w:r>
    </w:p>
    <w:p w14:paraId="682DD5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6ED5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112 Б-17 и 47 Р-51 первой челночной операции отправились из СССР на бомбежку Галаца в Румынии, хотя сначала хотели Минск, но потом отказались из-за плохой погоды. Опять вернулись в СССР (1364,42).</w:t>
      </w:r>
    </w:p>
    <w:p w14:paraId="53F743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E564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согласно сообщению Совинформбюро летчики АДД совершили массированный налет на ст. г Яссы и возникло 90 пожаров. Все вернулись (438,907).</w:t>
      </w:r>
    </w:p>
    <w:p w14:paraId="2E3F56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D31C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6 июня 1944 финскую эскадрилью на ДБ-3 перевели в Риссалу, откуда самолеты стали летать на Вуосалми (10734,87).</w:t>
      </w:r>
    </w:p>
    <w:p w14:paraId="13ED1D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88FD5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446BD6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1311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Никишов направил туда еще одну телеграмму Берии:</w:t>
      </w:r>
    </w:p>
    <w:p w14:paraId="0E9813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Магадана Наркому внутренних дел СССР товарищу Берия. В дополнение моей телеграммы о пребывании Уоллеса в городе Магадан и на предприятиях Дальстроя, докладываю: на протяжении всех трех суток пребывания Уоллес, в основном, интересовался следующими вопросами:</w:t>
      </w:r>
    </w:p>
    <w:p w14:paraId="7B3595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При первой встрече со мной задал вопрос, как я считаю, целесообразно ли на территории Чукотки и Колымы иметь железную дорогу или же использовать авиацию. На что я ответил: при большом количестве перевозок грузов и движения людей одной авиацией обойтись нельзя, основную роль все же будет играть либо железнодорожный транспорт, либо автотранспорт, а на больших расстояниях, когда не везде является необходимость строить дорогу, целесообразно использовать авиацию (7560).</w:t>
      </w:r>
    </w:p>
    <w:p w14:paraId="51A9A8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Несколько раз задавался вопрос, какое количество людей работает в Дальстрое (7560).</w:t>
      </w:r>
    </w:p>
    <w:p w14:paraId="74B53B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Считаю ли я необходимой добычу золота во время войны и нужно ли будет золото после войны. На это я ответил, что если этот вопрос относится к добыче золота в Дальстрое, то в работе Дальстроя золото является не основным. Основная деятельность Дальстроя - строительство аэродромов, дорог, геолого-поисковые работы, рыбная ловля, эксплуатация Колымского речного транспорта, эксплуатация Нагаевского торгового порта. Указания по добыче золота Дальстрой получает от правительства и, если правительство дает указание по добыче золота, то, стало быть, золото нужно. Что касается, нужно ли будет золото после войны, полагаю, что золото своего значения и своей роли не изживет еще долго, и оно нужно как во время войны, нужно будет и после войны не только СССР, но и всем странам (7560).</w:t>
      </w:r>
    </w:p>
    <w:p w14:paraId="67A7B3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4. Упорно на протяжении двух суток во всевозможных вариантах задавались вопросы мне: сколько добывается золота Дальстроем. Первый вопрос был задан после пребывания на Колыме на прииске Фрунзе после того, как посмотрели съемку золота на промприборе. Сколько Дальстрой в сутки добывает золота? На это я ответил: вот с этого промприбора 3-4 килограмма. После поездки на Чай-Урьинскую долину был задан вопрос, а сколько промприборов в Дальстрое. Я ответил: на этой долине </w:t>
      </w:r>
      <w:r w:rsidRPr="00070ADE">
        <w:rPr>
          <w:rFonts w:ascii="Times New Roman" w:hAnsi="Times New Roman"/>
          <w:color w:val="000000" w:themeColor="text1"/>
          <w:sz w:val="16"/>
          <w:szCs w:val="16"/>
        </w:rPr>
        <w:lastRenderedPageBreak/>
        <w:t>50-60 промприборов. Затем был задан вопрос, а сколько было добыто золота Дальстроем в 1943 году, на что я ответил: так как химическая обработка золота в Дальстрое не производится, а производится на аффинажном заводе в Москве, поэтому я этих данных не имею, тогда задается вопрос, а все же, примерно сколько? На что я ответил: процентов на 7-8 больше, чем в 1942 году. Больше вопросов не задавалось. И, наконец, в гостинице аэропорта в Сеймчане при разговоре со мной и с тов. Гоглидзе в присутствии его спутников и наших товарищей выразился так: “О Дальстрое мы слышали в Америке и знали, что это большой трест. Здесь, побывав на территории треста Дальстроя, мы убедились в этом и должны заявить, что в Америке таких мощных трестов, охватывающих столь много работ и разностороннего характера, нет и, я думаю, что Дальстрой будет давать государству большую часть золота, чем остальные предприятия вашей страны”. На это ни тов. Гоглидзе, ни я ничего не ответили (7560).</w:t>
      </w:r>
    </w:p>
    <w:p w14:paraId="27B025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Следующий вопрос, по моему мнению, который интересовал Уоллеса и спутников, это увидеть лагерь заключенных, но так как они нигде не видели не только лагерь, но даже и отдельных заключенных, то в этом вопросе они были разочарованы. Перед отлетом в Якутск утром 27 мая с. г. на аэродроме в Нижнем Сеймчане перед посадкой в самолет Уоллес на прощанье, пожимая мне руку, благодарил меня за то, что я ему показал в Дальстрое все, что он видел, ему понравилось, а также благодарил за теплый прием его и его спутников и снова заявил многократно, что мы в Америке знаем Дальстрой, много о нем слышали, но то, что я увидел лично сам, это превзошло все наши представления о Дальстрое. На это я ему ответил, что в Советском Союзе такая мощная и крупная хозяйственная организация, как Дальстрой, не единична. На это Уоллес сказал следующее: “Я надеюсь, что после войны Дальстрой будет еще больше развиваться, а это еще больше укрепит дружбу США и Советского Союза”. 25 июня вечером в городе Магадане Уоллес со своими сотрудниками и 4 офицерами в присутствии тов. Гоглидзе, представителя НКВД, начальника особой воздушной трассы генерала Семенова, полковника Мазурука осмотрели Магаданский дом культуры, осмотрели выставку изобразительного искусства и изобретательства. В книге посетителей сделал следующую надпись: “Выдающееся художественное выражение сильного народа, который первый начал освоение этого края. Генри Уоллес” (7560).</w:t>
      </w:r>
    </w:p>
    <w:p w14:paraId="2B9416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осмотра дома культуры присутствовали все на концерте. Концертом Уоллес остался доволен. Особенно большое впечатление концерт произвел на спутников Уоллеса и офицеров, сопровождавших его. При осмотре художественной выставки Уоллесу понравились две картины, он изъявил желание их купить. Посоветовавшись с тов. Гоглидзе, мы решили ему их подарить. Картины Уоллес принял с большой благодарностью. Больше каких-либо особых моментов за время пребывания Уоллеса в Магадане и на предприятиях Дальстроя не было” (7560).</w:t>
      </w:r>
    </w:p>
    <w:p w14:paraId="6B422F0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Обе телеграммы Никишова были доложены Сталину и Молотову (7560).</w:t>
      </w:r>
    </w:p>
    <w:p w14:paraId="651371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FB86B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0D6B97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997F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на территорию совхоза «Красный партизан» Жирновского района Саратовской области были сброшены несколько тысяч листовок. Хотя шел 44-й год, Саратовский обком ВКП(б) был до того напуган этой вражеской пропагандистской акцией, что его секретарь П. Комаров написал по этому проводу письмо секретарю ЦК ВКП(б) Г. М. Маленкову, а в район были откомандированы два ответственных работника для «организации политической работы среди населения» (11742).</w:t>
      </w:r>
    </w:p>
    <w:p w14:paraId="62CE98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CE459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464FBA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BB0606"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6 июня</w:t>
      </w:r>
      <w:r w:rsidRPr="00070ADE">
        <w:rPr>
          <w:rFonts w:ascii="Times New Roman" w:hAnsi="Times New Roman"/>
          <w:color w:val="000000" w:themeColor="text1"/>
          <w:sz w:val="16"/>
          <w:szCs w:val="16"/>
        </w:rPr>
        <w:t xml:space="preserve"> в 1944 году боевой реактивный истребитель (Messerschmitt) "Ме-163B-0 V18" "VA+SP" из состава ErpKdo-16 развил рекордную скорость для своего времени - 1130 км/ч, хотя руль управления был разрушен флаттером, пилот сумел посадить машину (14914).</w:t>
      </w:r>
    </w:p>
    <w:p w14:paraId="50E30492" w14:textId="77777777" w:rsidR="00C074FF" w:rsidRPr="00070ADE" w:rsidRDefault="00C074FF" w:rsidP="00B56F90">
      <w:pPr>
        <w:spacing w:after="0" w:line="240" w:lineRule="auto"/>
        <w:jc w:val="both"/>
        <w:rPr>
          <w:rFonts w:ascii="Times New Roman" w:hAnsi="Times New Roman"/>
          <w:color w:val="000000" w:themeColor="text1"/>
          <w:sz w:val="16"/>
          <w:szCs w:val="16"/>
        </w:rPr>
      </w:pPr>
    </w:p>
    <w:p w14:paraId="30334090"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6 июня</w:t>
      </w:r>
      <w:r w:rsidRPr="00070ADE">
        <w:rPr>
          <w:rFonts w:ascii="Times New Roman" w:hAnsi="Times New Roman"/>
          <w:color w:val="000000" w:themeColor="text1"/>
          <w:sz w:val="16"/>
          <w:szCs w:val="16"/>
        </w:rPr>
        <w:t xml:space="preserve"> в 1944 году с аэродрома Бербан на авиабазу Мурок в первый полет отправился </w:t>
      </w:r>
      <w:hyperlink r:id="rId167" w:tgtFrame="_blank" w:history="1">
        <w:r w:rsidRPr="00070ADE">
          <w:rPr>
            <w:rFonts w:ascii="Times New Roman" w:hAnsi="Times New Roman"/>
            <w:color w:val="000000" w:themeColor="text1"/>
            <w:sz w:val="16"/>
            <w:szCs w:val="16"/>
          </w:rPr>
          <w:t xml:space="preserve">«ХР-58». </w:t>
        </w:r>
      </w:hyperlink>
      <w:r w:rsidRPr="00070ADE">
        <w:rPr>
          <w:rFonts w:ascii="Times New Roman" w:hAnsi="Times New Roman"/>
          <w:color w:val="000000" w:themeColor="text1"/>
          <w:sz w:val="16"/>
          <w:szCs w:val="16"/>
        </w:rPr>
        <w:t>Управлял самолётом тест-пилот Джо Тоул. На самолете установили рядный 12-цилиндровый двигатель «Allison» «V-3420-11\13» с турбокомпрессорами, максимальной мощностью 3000 л.с. на высоте 9333 метров. Единственный прототип «ХР-58» (фирменное обозначение «Model 20-86», с\н 41-2670) был построен именно с ними и предъявлен на испытания в июне 1944 года. От Р-38 полученный истребитель сохранил только двухбалочную схему и взаимозаменяемую носовую часть с мощным вооружение. Все остальное было сделано заново. Самолёт вырос в геометрических размерах, были также увеличены воздухозаборники и установлены форкили для улучшения продольной устойчивости в полете. Поскольку масса истребителя поднялась до предельно допустимой пришлось, в дополнение ко всему, полностью переделывать шасси. На «ХР-58» установили усиленные стойки со спаренными колесами, что увеличило взлетный вес ещё на несколько десятков килограмм. Опытный образец был, в общем-то, полуготовым самолётом, мало похожим на боевой. Герметичные кабины отсутствовали, носовое вооружение не устанавливалось, а вместо оборонительных башен установили только их макеты (14914).</w:t>
      </w:r>
    </w:p>
    <w:p w14:paraId="3940A0E4" w14:textId="77777777" w:rsidR="00C074FF" w:rsidRPr="00070ADE" w:rsidRDefault="00C074FF" w:rsidP="00B56F90">
      <w:pPr>
        <w:spacing w:after="0" w:line="240" w:lineRule="auto"/>
        <w:jc w:val="both"/>
        <w:rPr>
          <w:rFonts w:ascii="Times New Roman" w:hAnsi="Times New Roman"/>
          <w:color w:val="000000" w:themeColor="text1"/>
          <w:sz w:val="16"/>
          <w:szCs w:val="16"/>
        </w:rPr>
      </w:pPr>
    </w:p>
    <w:p w14:paraId="4FED4E25" w14:textId="77777777" w:rsidR="006A61CD" w:rsidRPr="00070ADE" w:rsidRDefault="006A61C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первый полет Lockheed XP-58 Chain Lightning (20373).</w:t>
      </w:r>
    </w:p>
    <w:p w14:paraId="5DDBBD01" w14:textId="77777777" w:rsidR="006A61CD" w:rsidRPr="00070ADE" w:rsidRDefault="006A61CD" w:rsidP="00B56F90">
      <w:pPr>
        <w:spacing w:after="0" w:line="240" w:lineRule="auto"/>
        <w:jc w:val="both"/>
        <w:rPr>
          <w:rFonts w:ascii="Times New Roman" w:hAnsi="Times New Roman"/>
          <w:color w:val="000000" w:themeColor="text1"/>
          <w:sz w:val="16"/>
          <w:szCs w:val="16"/>
        </w:rPr>
      </w:pPr>
    </w:p>
    <w:p w14:paraId="7F6916BA" w14:textId="10CCCA1F" w:rsidR="006B3C37" w:rsidRPr="00070ADE" w:rsidRDefault="006B3C3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6 июня 1944 года состоялось применение авиадесантного танка </w:t>
      </w:r>
      <w:hyperlink r:id="rId168" w:history="1">
        <w:r w:rsidRPr="00070ADE">
          <w:rPr>
            <w:rStyle w:val="a5"/>
            <w:rFonts w:ascii="Times New Roman" w:hAnsi="Times New Roman"/>
            <w:color w:val="000000" w:themeColor="text1"/>
            <w:sz w:val="16"/>
            <w:szCs w:val="16"/>
          </w:rPr>
          <w:t>Tetrarch I</w:t>
        </w:r>
      </w:hyperlink>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которое как и применение</w:t>
      </w:r>
      <w:r w:rsidR="00B643A8" w:rsidRPr="00070ADE">
        <w:rPr>
          <w:rFonts w:ascii="Times New Roman" w:hAnsi="Times New Roman"/>
          <w:color w:val="000000" w:themeColor="text1"/>
          <w:sz w:val="16"/>
          <w:szCs w:val="16"/>
        </w:rPr>
        <w:t xml:space="preserve"> </w:t>
      </w:r>
      <w:hyperlink r:id="rId169" w:history="1">
        <w:r w:rsidRPr="00070ADE">
          <w:rPr>
            <w:rStyle w:val="a5"/>
            <w:rFonts w:ascii="Times New Roman" w:hAnsi="Times New Roman"/>
            <w:color w:val="000000" w:themeColor="text1"/>
            <w:sz w:val="16"/>
            <w:szCs w:val="16"/>
          </w:rPr>
          <w:t>Locust I</w:t>
        </w:r>
      </w:hyperlink>
      <w:r w:rsidRPr="00070ADE">
        <w:rPr>
          <w:rFonts w:ascii="Times New Roman" w:hAnsi="Times New Roman"/>
          <w:color w:val="000000" w:themeColor="text1"/>
          <w:sz w:val="16"/>
          <w:szCs w:val="16"/>
        </w:rPr>
        <w:t xml:space="preserve"> в марте 1945 года трудно назвать успехом. С точки зрения боевой эффективности авиадесантные танки безнадёжно устарели, что особенно показало боевое применение Locust 24 марта 1945 года. Фактически единственным случаем эффективного использования авиации для транспортировки бронетехники стало применение немцами военно-транспортных самолётов Messerschmitt Me 323 Gigant для снабжения Африканского корпуса. Эти могучие машины могли перевозить лёгкие танки и самоходные установки на их базе. Что же касается СССР, то там к концу 1943 года задумались о создании специализированных боевых машин для нужд воздушно-десантных частей. Первая такая машина (ОСУ-76) появилась в 1944 году (18244).</w:t>
      </w:r>
    </w:p>
    <w:p w14:paraId="7D99DDD8" w14:textId="77777777" w:rsidR="006B3C37" w:rsidRPr="00070ADE" w:rsidRDefault="006B3C37" w:rsidP="00B56F90">
      <w:pPr>
        <w:spacing w:after="0" w:line="240" w:lineRule="auto"/>
        <w:jc w:val="both"/>
        <w:rPr>
          <w:rFonts w:ascii="Times New Roman" w:hAnsi="Times New Roman"/>
          <w:color w:val="000000" w:themeColor="text1"/>
          <w:sz w:val="16"/>
          <w:szCs w:val="16"/>
        </w:rPr>
      </w:pPr>
    </w:p>
    <w:p w14:paraId="12E0A67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началась высадка войск союзников в Нормандии, открыт Второй фронт (День “Д”) (4962).</w:t>
      </w:r>
    </w:p>
    <w:p w14:paraId="4F5F454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F270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6 June 1944 D-Day landings on the Normandy beach-heads in France begin (270).</w:t>
      </w:r>
    </w:p>
    <w:p w14:paraId="33D448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1F240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началась высадка в Нормандии - день Д (270).</w:t>
      </w:r>
    </w:p>
    <w:p w14:paraId="759E28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713983" w14:textId="77777777" w:rsidR="006A61CD" w:rsidRPr="00070ADE" w:rsidRDefault="006A61C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«День Д » - вторжение союзников во Францию начинается с высадки парашютистов и высадки десантных планеров. Люфтваффе не оказывает практически никакого сопротивления вторжению (20373).</w:t>
      </w:r>
    </w:p>
    <w:p w14:paraId="19B815D5" w14:textId="77777777" w:rsidR="006A61CD" w:rsidRPr="00070ADE" w:rsidRDefault="006A61CD" w:rsidP="00B56F90">
      <w:pPr>
        <w:spacing w:after="0" w:line="240" w:lineRule="auto"/>
        <w:jc w:val="both"/>
        <w:rPr>
          <w:rFonts w:ascii="Times New Roman" w:hAnsi="Times New Roman"/>
          <w:color w:val="000000" w:themeColor="text1"/>
          <w:sz w:val="16"/>
          <w:szCs w:val="16"/>
        </w:rPr>
      </w:pPr>
    </w:p>
    <w:p w14:paraId="462A4B8B" w14:textId="77777777" w:rsidR="006A61CD" w:rsidRPr="00070ADE" w:rsidRDefault="006A61C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 июня (ночь) 1944 1067 британских самолетов бомбардировочного командования атакуют немецкие линии связи за районом вторжения в Нормандию, потеряв 11 бомбардировщиков. Бомбардировщики совершают налеты на несколько французских городов, и большой ущерб нанесен железным дорогам и центрам городов, где дороги заблокированы завалами (20373).</w:t>
      </w:r>
    </w:p>
    <w:p w14:paraId="5FA0F20E" w14:textId="77777777" w:rsidR="006A61CD" w:rsidRPr="00070ADE" w:rsidRDefault="006A61CD" w:rsidP="00B56F90">
      <w:pPr>
        <w:spacing w:after="0" w:line="240" w:lineRule="auto"/>
        <w:jc w:val="both"/>
        <w:rPr>
          <w:rFonts w:ascii="Times New Roman" w:hAnsi="Times New Roman"/>
          <w:color w:val="000000" w:themeColor="text1"/>
          <w:sz w:val="16"/>
          <w:szCs w:val="16"/>
        </w:rPr>
      </w:pPr>
    </w:p>
    <w:p w14:paraId="4F7568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г., после длительных приготовлений, союзники высадились в Нормандии. Второй фронт был открыт. Началось освобождение Франции.</w:t>
      </w:r>
    </w:p>
    <w:p w14:paraId="6638D3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крупная политическая проблема, - кто возьмет власть в свои руки во Франции, - оставалась. К этому времени генерал де Голль окончательно испортил отношения с Лондоном; в Вашингтоне не переносили его уже давно. Тем не менее де Голль был самый авторитетный лидер в антифашистском движении Франции, и заполнить политический вакуум больше было некому. Однако Черчиль и в еще большей степени Рузвельт шли на официальное признание его роли крайне неохотно.</w:t>
      </w:r>
    </w:p>
    <w:p w14:paraId="2D23F1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тому же де Голль, обеспокоенный стремлением Сирии и Ливана воспользоваться войной и завоевать независимость, а также возможным проникновением Великобритании в эти страны, избрал путь не диалога, а конфронтации с местными национальными лидерами. Это вызывало дополнительные трения на Ближнем Востоке и создавало де Голлю заслуженный, но незавидный ореол французского националиста. И все же Франция, расколотая политическими противоречиями, озлобленная оккупацией и коллаборационизмом, с сильными правыми и левыми партиями, безусловно, нуждалась в эффективном переходном правительстве.</w:t>
      </w:r>
    </w:p>
    <w:p w14:paraId="56F52B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Накануне высадки в Нормандии де Голля пригласили в Лондон. Черчиль информировал его о военных планах союзников и посоветовал отправиться в Вашингтон и просить встречи с президентом. Де Голль согласился с тем, чтобы отряды Сопротивления выполняли приказы Эйзенхауэра, он согласился выступить по радио перед соотечественниками, но он требовал, чтобы американцы присоединились к политическим переговорам о будущем Франции (3871).</w:t>
      </w:r>
    </w:p>
    <w:p w14:paraId="16A3B8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E3716B" w14:textId="77777777" w:rsidR="00072A8C" w:rsidRPr="00070ADE" w:rsidRDefault="00072A8C"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6 июня</w:t>
      </w:r>
      <w:r w:rsidRPr="00070ADE">
        <w:rPr>
          <w:rFonts w:ascii="Times New Roman" w:hAnsi="Times New Roman"/>
          <w:color w:val="000000" w:themeColor="text1"/>
          <w:sz w:val="16"/>
          <w:szCs w:val="16"/>
        </w:rPr>
        <w:t xml:space="preserve"> в 1944 году началась операция «Оверлорд» - открытие второго фронта в Западной Европе. Окончательно военные планы антигитлеровской коалиции были согласованы во время Тегеранской конференции глав правительств трех союзных во второй мировой войне держав - СССР, США и Великобритании. В принятой 1 декабря 1943 года участниками конференции «Декларации трех держав» говорилось о полном их согласии «относительно масштаба и сроков операций, которые будут предприняты с востока, запада и юга». К июню 1944 года союзное командование сосредоточило на британских островах 25 пехотных, 10 бронетанковых и 4 воздушно-десантных дивизий. Вся эта группировка предназначалась для высадки на побережье Франции с целью открытия второго фронта против немцев. Высадку обеспечивали 6000 кораблей и судов, 11000 боевых и 2400 транспортных самолетов, 850 десантных планеров. Общая численность экспедиционных сил достигла 2876000 человек. Немецкие войска во Франции насчитывали 60 дивизий с некомплектом в 20-30 процентов по людям и гораздо большим по технике. В танковых </w:t>
      </w:r>
      <w:r w:rsidRPr="00070ADE">
        <w:rPr>
          <w:rFonts w:ascii="Times New Roman" w:hAnsi="Times New Roman"/>
          <w:color w:val="000000" w:themeColor="text1"/>
          <w:sz w:val="16"/>
          <w:szCs w:val="16"/>
        </w:rPr>
        <w:lastRenderedPageBreak/>
        <w:t>дивизиях было 90-100 танков. 6 июня 1944 года началось вторжение в Нормандию войск союзников по антигитлеровской коалиции (операция получила название «Оверлорд»). Несмотря на серьезные испытания, через которые прошел СССР к лету 1944 года, это было крупным успехом советской дипломатии. Открытие второго фронта оттянуло на себя часть немецких дивизий, снизило военный потенциал Германии, который мог быть направлен против СССР. Англо-американский десант в Нормандии стал одним из крупнейших в военной истории. Союзникам пришлось преодолеть отчаянные контратаки противника. Порой казалось, что операция «Оверлорд» просто обречена. Но в поддержку союзников 10 июня 1944 года советские войска начали гигантское наступление на Восточном фронте, которое гитлеровцам удалось приостановить только у Варшавы. Взаимодействие союзнических армий на Западе и Востоке стало важнейшим фактором окончательного изменения военно-стратегической ситуации в Европе и пользу антигитлеровской коалиции. В сентябре 1944 года против Германии выступили уже ее бывшие партнеры: Румыния, Финляндия, Болгария (14914).</w:t>
      </w:r>
    </w:p>
    <w:p w14:paraId="2D82D5DC" w14:textId="77777777" w:rsidR="00072A8C" w:rsidRPr="00070ADE" w:rsidRDefault="00072A8C" w:rsidP="00B56F90">
      <w:pPr>
        <w:spacing w:after="0" w:line="240" w:lineRule="auto"/>
        <w:jc w:val="both"/>
        <w:rPr>
          <w:rFonts w:ascii="Times New Roman" w:hAnsi="Times New Roman"/>
          <w:color w:val="000000" w:themeColor="text1"/>
          <w:sz w:val="16"/>
          <w:szCs w:val="16"/>
        </w:rPr>
      </w:pPr>
    </w:p>
    <w:p w14:paraId="0F533769"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6 июня</w:t>
      </w:r>
      <w:r w:rsidRPr="00070ADE">
        <w:rPr>
          <w:rFonts w:ascii="Times New Roman" w:hAnsi="Times New Roman"/>
          <w:color w:val="000000" w:themeColor="text1"/>
          <w:sz w:val="16"/>
          <w:szCs w:val="16"/>
        </w:rPr>
        <w:t xml:space="preserve"> в 1944 году (6–13 июня) атаки германских миноносцев, торпедных и быстроходных катеров, а также подводных лодок на район высадки у побережья Нормандии отбиты с большими потерями (14914).</w:t>
      </w:r>
    </w:p>
    <w:p w14:paraId="06816C7F" w14:textId="77777777" w:rsidR="00C074FF" w:rsidRPr="00070ADE" w:rsidRDefault="00C074FF" w:rsidP="00B56F90">
      <w:pPr>
        <w:spacing w:after="0" w:line="240" w:lineRule="auto"/>
        <w:jc w:val="both"/>
        <w:rPr>
          <w:rFonts w:ascii="Times New Roman" w:hAnsi="Times New Roman"/>
          <w:color w:val="000000" w:themeColor="text1"/>
          <w:sz w:val="16"/>
          <w:szCs w:val="16"/>
        </w:rPr>
      </w:pPr>
    </w:p>
    <w:p w14:paraId="2E2C04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6, 1944. Allied pilots fly approximately 15,000 sorties on D-Day. It is an effort unprecedented in concentration and size (1089).</w:t>
      </w:r>
    </w:p>
    <w:p w14:paraId="69A9FD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9815D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 xml:space="preserve">6 </w:t>
      </w:r>
      <w:r w:rsidRPr="00070ADE">
        <w:rPr>
          <w:rFonts w:ascii="Times New Roman" w:hAnsi="Times New Roman"/>
          <w:color w:val="000000" w:themeColor="text1"/>
          <w:sz w:val="16"/>
          <w:szCs w:val="16"/>
        </w:rPr>
        <w:t>июня</w:t>
      </w:r>
      <w:r w:rsidRPr="00070ADE">
        <w:rPr>
          <w:rFonts w:ascii="Times New Roman" w:hAnsi="Times New Roman"/>
          <w:color w:val="000000" w:themeColor="text1"/>
          <w:sz w:val="16"/>
          <w:szCs w:val="16"/>
          <w:lang w:val="en-US"/>
        </w:rPr>
        <w:t xml:space="preserve"> 1944 </w:t>
      </w:r>
      <w:r w:rsidRPr="00070ADE">
        <w:rPr>
          <w:rFonts w:ascii="Times New Roman" w:hAnsi="Times New Roman"/>
          <w:color w:val="000000" w:themeColor="text1"/>
          <w:sz w:val="16"/>
          <w:szCs w:val="16"/>
        </w:rPr>
        <w:t>союзникивыполнилиоколо</w:t>
      </w:r>
      <w:r w:rsidRPr="00070ADE">
        <w:rPr>
          <w:rFonts w:ascii="Times New Roman" w:hAnsi="Times New Roman"/>
          <w:color w:val="000000" w:themeColor="text1"/>
          <w:sz w:val="16"/>
          <w:szCs w:val="16"/>
          <w:lang w:val="en-US"/>
        </w:rPr>
        <w:t xml:space="preserve"> 15 </w:t>
      </w:r>
      <w:r w:rsidRPr="00070ADE">
        <w:rPr>
          <w:rFonts w:ascii="Times New Roman" w:hAnsi="Times New Roman"/>
          <w:color w:val="000000" w:themeColor="text1"/>
          <w:sz w:val="16"/>
          <w:szCs w:val="16"/>
        </w:rPr>
        <w:t>тыс</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самолетовылетов</w:t>
      </w:r>
      <w:r w:rsidRPr="00070ADE">
        <w:rPr>
          <w:rFonts w:ascii="Times New Roman" w:hAnsi="Times New Roman"/>
          <w:color w:val="000000" w:themeColor="text1"/>
          <w:sz w:val="16"/>
          <w:szCs w:val="16"/>
          <w:lang w:val="en-US"/>
        </w:rPr>
        <w:t xml:space="preserve"> (1089).</w:t>
      </w:r>
    </w:p>
    <w:p w14:paraId="32F75B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686F6DD" w14:textId="77777777" w:rsidR="000340E9" w:rsidRPr="00070ADE" w:rsidRDefault="000340E9"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июня 1944 г., в день начала вторжения в Нормандии, группа «Мустангов» из 334-й американской эскадрильи осуществляла патрулирование к востоку от Руана. При возвращении назад по неизвестной причине на аэродроме Камбрэ-Зюд совершил вынужденную посадку Р-51В, который пилотировал лейтенант Т. Фрэзер. Самолет привели в порядок, нанесли на него черные кресты и уже 7 июня переправили в испытательный центр в Рехлине. Это был первый исправный «Мустанг», доставшийся немцам.С 19 июня в Рехлине провели цикл испытаний, в ходе которых с трофейными «Мустангом» и «Тандерболтом» воздушные бои вели Bf 109G-6, Bf 109G-6/AS, FW 190А-8. Машины пилотировали опытные летчики: командир группы I/JG 52 майор И. Визе, командир эскадры JG 4 майор Г. Шепфель и начальник летного училища майор Г. Михальски. Меняясь, они пересаживались со своих истребителей на вражеские.</w:t>
      </w:r>
    </w:p>
    <w:p w14:paraId="12B965A3" w14:textId="77777777" w:rsidR="000340E9" w:rsidRPr="00070ADE" w:rsidRDefault="000340E9"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достоинств «Мустанга» они отметили просторную кабину, простоту и легкость управления, надежную работу нагнетателя. У земли Р-51В имел примерно ту же скорость, что и «фокке-вульф», но с подъемом на высоту начинал все больше отставать от него. Немецкие машины отличались лучшей маневренностью, но чем выше, тем более неповоротливыми становились. «Мустанг» же, наоборот, на высоте приходил в «пик формы».</w:t>
      </w:r>
    </w:p>
    <w:p w14:paraId="6D7CE086" w14:textId="77777777" w:rsidR="000340E9" w:rsidRPr="00070ADE" w:rsidRDefault="000340E9"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недостатков немецкие летчики указали на недостаточную боевую живучесть американского истребителя. Слабая броня фактически прикрывала только летчика. Двигатель и система охлаждения «Мустанга» были весьма уязвимы. Надо сказать, что с точки зрения немцев «Мерлин» вообще плохо переносил боевые повреждения, а в сочетании с длинными магистралями системы охлаждения и сосредоточением всех радиаторов в одном месте его уязвимость существенно возрастала.</w:t>
      </w:r>
    </w:p>
    <w:p w14:paraId="6ABE6B5D" w14:textId="77777777" w:rsidR="000340E9" w:rsidRPr="00070ADE" w:rsidRDefault="000340E9" w:rsidP="00B56F90">
      <w:pPr>
        <w:pStyle w:val="rtejustify"/>
        <w:shd w:val="clear" w:color="auto" w:fill="FFFFFF"/>
        <w:spacing w:before="0" w:after="0"/>
        <w:rPr>
          <w:color w:val="000000" w:themeColor="text1"/>
          <w:sz w:val="16"/>
          <w:szCs w:val="16"/>
        </w:rPr>
      </w:pPr>
      <w:r w:rsidRPr="00070ADE">
        <w:rPr>
          <w:color w:val="000000" w:themeColor="text1"/>
          <w:sz w:val="16"/>
          <w:szCs w:val="16"/>
        </w:rPr>
        <w:t>http://alternathistory.org.ua/ispytano-v-germanii-istrebitel-north-american-p-51С другой стороны, очень высокую оценку получила аэродинамика американского самолета. Именно она позволяла ему одерживать верх над «фокке-вульфом» со значительно более мощным мотором. Проанализировав результаты, инженеры рехлинского центра сделали неутешительный вывод — достойного противника «Мустангу» Люфтваффе не имеет и в ближайшее время иметь не будет. Один из руководителей центра даже высказал предложение скопировать Р-51В и запустить его в производство в Германии.</w:t>
      </w:r>
    </w:p>
    <w:p w14:paraId="2629C433" w14:textId="77777777" w:rsidR="00072A8C" w:rsidRPr="00070ADE" w:rsidRDefault="000340E9"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Эта идея в условиях постоянных поражений выглядела малореальной. А вот другое предложение: ознакомить немецких летчиков-истребителей с «Мустангом» и научить их с ним бороться, реализовали. В конце июля 1944 г. трофейный Р-51В передали «цирку Розариуса». Официально это подразделение именовалось 2-й эскадрильей экспериментального центра Верховного командования Люфтваффе, а командовал им капитан Т. Розариус, опытный летчик-испытатель. Дислоцировался «цирк» в Геттингене. В его составе имелись несколько «Спитфайров» разных модификаций, «Темпест», «Москито», два Р-47, два «Лайтнинга» (истребитель и фоторазведчик), Як-3 и Як-9. Теперь к ним добавился и «Мустанг». В августе 1944 г. «цирк» перевели на аэродром Бад-Верисхофен.</w:t>
      </w:r>
    </w:p>
    <w:p w14:paraId="2B58A435" w14:textId="77777777" w:rsidR="000340E9" w:rsidRPr="00070ADE" w:rsidRDefault="000340E9"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Задача подразделения Розариуса сводилась к облету трофейных истребителей, изучению их достоинств и недостатков и выработке тактики борьбы с ними. Все самолеты перекрасили. У «Мустанга» верх трогать не стали, и даже оставили красной носовую часть фюзеляжа (эмблема 4-й истребительной группы), но низ и хвостовое оперение сделали ярко-желтыми, чтобы у летчиков и зенитчиков не сработал «условный рефлекс». На истребителях изобразили полный комплект обозначений Люфтваффе, включая свастики на вертикальном оперении.</w:t>
      </w:r>
    </w:p>
    <w:p w14:paraId="02A04A44" w14:textId="77777777" w:rsidR="000340E9" w:rsidRPr="00070ADE" w:rsidRDefault="000340E9"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«Циркачи» перелетали на своих машинах в строевые части, демонстрировали их на земле и в воздухе, проводили учебные бои. Опытных летчиков инструктировали и давали самим полетать на истребителях противника. Интересно, что с американскими машинами немцы дали познакомиться и своим союзникам венграм.</w:t>
      </w:r>
    </w:p>
    <w:p w14:paraId="5A4DD158" w14:textId="77777777" w:rsidR="000340E9" w:rsidRPr="00070ADE" w:rsidRDefault="000340E9"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декабря 1944 г. четверка «Мустангов» 318-й эскадрильи вылетела из Сан-Северо в Италии на сопровождение фоторазведчика, который должен был снять с высоты окрестности Праги. До цели добрались благополучно, но на обратном пути столкнулись с сильным встречным ветром. В облачности истребители разбрелись, горючее было на исходе. Капитан Т. Тодд на Р-51С и лейтенант Н. Уирс на P-51D приземлились возле Нойштадта у австрийско-венгерской границы. Эти машины тоже попали к Розариусу. Интересно, что Р-51С немцы перекрасили полностью (черно-зеленый верх — желтые низ и оперение), а Р-51D остался сверкать полированным металлом.</w:t>
      </w:r>
    </w:p>
    <w:p w14:paraId="7664F11D"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1945 г. американские войска подошли к Геттингену. «Цирк» перегнали подальше — на аэродром Швангау. К этому времени у Розариуса имелись четыре «Мустанга», три «Тандерболта», три «Спитфайра» (все разные), два «Тайфуна», два «Темпеста», два «Москито», учебный «Гарвард» и три советских истребителя — Як-3, Як-9 и ЛаГГ-3. Из этого парка один P-51D там же, в Швангау, разбили; другую такую же машину успели перегнать в Гослар, где она опять вернулась к американцам. Куда делись остальные «Мустанги» — неизвестно (12691).</w:t>
      </w:r>
    </w:p>
    <w:p w14:paraId="1982D5B5" w14:textId="77777777" w:rsidR="00072A8C" w:rsidRPr="00070ADE" w:rsidRDefault="00072A8C"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4D311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B60D2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D7F021"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В начале июня 1944 года в НИИ ВВС завершились кон</w:t>
      </w:r>
      <w:r w:rsidRPr="00C94B78">
        <w:rPr>
          <w:rStyle w:val="aff1"/>
          <w:rFonts w:ascii="Times New Roman" w:hAnsi="Times New Roman" w:cs="Times New Roman"/>
          <w:color w:val="0070C0"/>
          <w:spacing w:val="0"/>
          <w:sz w:val="16"/>
          <w:szCs w:val="16"/>
        </w:rPr>
        <w:softHyphen/>
        <w:t>трольные испытания серийного Ил-10 № 1894604 завода № 18. По сравнению с опытной машиной на ней установи</w:t>
      </w:r>
      <w:r w:rsidRPr="00C94B78">
        <w:rPr>
          <w:rStyle w:val="aff1"/>
          <w:rFonts w:ascii="Times New Roman" w:hAnsi="Times New Roman" w:cs="Times New Roman"/>
          <w:color w:val="0070C0"/>
          <w:spacing w:val="0"/>
          <w:sz w:val="16"/>
          <w:szCs w:val="16"/>
        </w:rPr>
        <w:softHyphen/>
        <w:t>ли воздушные демпферы в системе уборки и выпуска кос</w:t>
      </w:r>
      <w:r w:rsidRPr="00C94B78">
        <w:rPr>
          <w:rStyle w:val="aff1"/>
          <w:rFonts w:ascii="Times New Roman" w:hAnsi="Times New Roman" w:cs="Times New Roman"/>
          <w:color w:val="0070C0"/>
          <w:spacing w:val="0"/>
          <w:sz w:val="16"/>
          <w:szCs w:val="16"/>
        </w:rPr>
        <w:softHyphen/>
        <w:t>тыля, вентиляцию в кабинах экипажа, механизм блоки</w:t>
      </w:r>
      <w:r w:rsidRPr="00C94B78">
        <w:rPr>
          <w:rStyle w:val="aff1"/>
          <w:rFonts w:ascii="Times New Roman" w:hAnsi="Times New Roman" w:cs="Times New Roman"/>
          <w:color w:val="0070C0"/>
          <w:spacing w:val="0"/>
          <w:sz w:val="16"/>
          <w:szCs w:val="16"/>
        </w:rPr>
        <w:softHyphen/>
        <w:t>ровки «винт-газ», противопожарный чехол на верхний бензобак, узел крепления фотокинопулемета ПАУ-22, пе</w:t>
      </w:r>
      <w:r w:rsidRPr="00C94B78">
        <w:rPr>
          <w:rStyle w:val="aff1"/>
          <w:rFonts w:ascii="Times New Roman" w:hAnsi="Times New Roman" w:cs="Times New Roman"/>
          <w:color w:val="0070C0"/>
          <w:spacing w:val="0"/>
          <w:sz w:val="16"/>
          <w:szCs w:val="16"/>
        </w:rPr>
        <w:softHyphen/>
        <w:t>реговорное устройство СПУ-2ММ вместо СПУФ-2 , а на руле высоты - управляемый триммер-флетнер. Кроме этого, подобрали более подходящую для радиополукомпаса РПК-10 антенну.</w:t>
      </w:r>
    </w:p>
    <w:p w14:paraId="3E242380"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Однако самолет испытания не выдержал. Причинами тому были, в частности, высокая температура масла на вхо</w:t>
      </w:r>
      <w:r w:rsidRPr="00C94B78">
        <w:rPr>
          <w:rStyle w:val="aff1"/>
          <w:rFonts w:ascii="Times New Roman" w:hAnsi="Times New Roman" w:cs="Times New Roman"/>
          <w:color w:val="0070C0"/>
          <w:spacing w:val="0"/>
          <w:sz w:val="16"/>
          <w:szCs w:val="16"/>
        </w:rPr>
        <w:softHyphen/>
        <w:t>де в мотор при наборе высоты с полностью открытыми за</w:t>
      </w:r>
      <w:r w:rsidRPr="00C94B78">
        <w:rPr>
          <w:rStyle w:val="aff1"/>
          <w:rFonts w:ascii="Times New Roman" w:hAnsi="Times New Roman" w:cs="Times New Roman"/>
          <w:color w:val="0070C0"/>
          <w:spacing w:val="0"/>
          <w:sz w:val="16"/>
          <w:szCs w:val="16"/>
        </w:rPr>
        <w:softHyphen/>
        <w:t>слонками радиаторов, отсутствие пылефильтра на всасываюшей системе мотора, большие усилия на штурвале ле</w:t>
      </w:r>
      <w:r w:rsidRPr="00C94B78">
        <w:rPr>
          <w:rStyle w:val="aff1"/>
          <w:rFonts w:ascii="Times New Roman" w:hAnsi="Times New Roman" w:cs="Times New Roman"/>
          <w:color w:val="0070C0"/>
          <w:spacing w:val="0"/>
          <w:sz w:val="16"/>
          <w:szCs w:val="16"/>
        </w:rPr>
        <w:softHyphen/>
        <w:t>бедки при закрытии створок бомбового отсека. Военные испытатели отметили и несоответствие усилий, приклады</w:t>
      </w:r>
      <w:r w:rsidRPr="00C94B78">
        <w:rPr>
          <w:rStyle w:val="aff1"/>
          <w:rFonts w:ascii="Times New Roman" w:hAnsi="Times New Roman" w:cs="Times New Roman"/>
          <w:color w:val="0070C0"/>
          <w:spacing w:val="0"/>
          <w:sz w:val="16"/>
          <w:szCs w:val="16"/>
        </w:rPr>
        <w:softHyphen/>
        <w:t>ваемых при закрытии створок бомбоотсеков и для подвес</w:t>
      </w:r>
      <w:r w:rsidRPr="00C94B78">
        <w:rPr>
          <w:rStyle w:val="aff1"/>
          <w:rFonts w:ascii="Times New Roman" w:hAnsi="Times New Roman" w:cs="Times New Roman"/>
          <w:color w:val="0070C0"/>
          <w:spacing w:val="0"/>
          <w:sz w:val="16"/>
          <w:szCs w:val="16"/>
        </w:rPr>
        <w:softHyphen/>
        <w:t>ки бомб ФАБ-I00М-43, и диаметров использовавшихся тросов (25091).</w:t>
      </w:r>
    </w:p>
    <w:p w14:paraId="0B72BC7F" w14:textId="77777777" w:rsidR="00BA3A2B" w:rsidRPr="00C94B78" w:rsidRDefault="00BA3A2B" w:rsidP="00B56F90">
      <w:pPr>
        <w:spacing w:after="0" w:line="240" w:lineRule="auto"/>
        <w:jc w:val="both"/>
        <w:rPr>
          <w:rFonts w:ascii="Times New Roman" w:hAnsi="Times New Roman"/>
          <w:color w:val="0070C0"/>
          <w:sz w:val="16"/>
          <w:szCs w:val="16"/>
        </w:rPr>
      </w:pPr>
    </w:p>
    <w:p w14:paraId="7C79BE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июня 1944 на самолете Су-6 установили новый мотор АМ-42 и после нескольких полетов испыта</w:t>
      </w:r>
      <w:r w:rsidRPr="00070ADE">
        <w:rPr>
          <w:rFonts w:ascii="Times New Roman" w:hAnsi="Times New Roman"/>
          <w:color w:val="000000" w:themeColor="text1"/>
          <w:sz w:val="16"/>
          <w:szCs w:val="16"/>
        </w:rPr>
        <w:softHyphen/>
        <w:t>ния прекратили (11845).</w:t>
      </w:r>
    </w:p>
    <w:p w14:paraId="659930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5A4144"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июня 1944 г. в ОКБ П.О.С. приступили к проектированию са</w:t>
      </w:r>
      <w:r w:rsidRPr="00C94B78">
        <w:rPr>
          <w:rFonts w:ascii="Times New Roman" w:hAnsi="Times New Roman"/>
          <w:color w:val="0070C0"/>
          <w:sz w:val="16"/>
          <w:szCs w:val="16"/>
        </w:rPr>
        <w:softHyphen/>
        <w:t>молета, первоначально получившего обозначение И-107, или «Д», а уже в процессе заводских летных испытаний ему было дано обозначение Су-5.</w:t>
      </w:r>
    </w:p>
    <w:p w14:paraId="2886A958"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За основу был принят второй вариант эскизного проекта одноместного истребителя с М-107А и ВРДК ЦИАМ, который после доработки был предъявлен на рассмотрение руководству НКАП и ВВС.</w:t>
      </w:r>
    </w:p>
    <w:p w14:paraId="511B4E10"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Параллельно с эскизным проектированием велись работы по техническому проекту и постройке макета. В июле, еще до полного изготовления чертежей, приступили к постройке эк</w:t>
      </w:r>
      <w:r w:rsidRPr="00C94B78">
        <w:rPr>
          <w:rFonts w:ascii="Times New Roman" w:hAnsi="Times New Roman"/>
          <w:color w:val="0070C0"/>
          <w:sz w:val="16"/>
          <w:szCs w:val="16"/>
        </w:rPr>
        <w:softHyphen/>
        <w:t>земпляра самолета для статических испытаний (24920).</w:t>
      </w:r>
    </w:p>
    <w:p w14:paraId="1F8EA564" w14:textId="77777777" w:rsidR="00BA3A2B" w:rsidRPr="00C94B78" w:rsidRDefault="00BA3A2B" w:rsidP="00B56F90">
      <w:pPr>
        <w:spacing w:after="0" w:line="240" w:lineRule="auto"/>
        <w:jc w:val="both"/>
        <w:rPr>
          <w:rFonts w:ascii="Times New Roman" w:hAnsi="Times New Roman"/>
          <w:color w:val="0070C0"/>
          <w:sz w:val="16"/>
          <w:szCs w:val="16"/>
        </w:rPr>
      </w:pPr>
    </w:p>
    <w:p w14:paraId="40DF3A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июня 1944 в КБ П.О.С. приступили к проектированию самолета, первона</w:t>
      </w:r>
      <w:r w:rsidRPr="00070ADE">
        <w:rPr>
          <w:rFonts w:ascii="Times New Roman" w:hAnsi="Times New Roman"/>
          <w:color w:val="000000" w:themeColor="text1"/>
          <w:sz w:val="16"/>
          <w:szCs w:val="16"/>
        </w:rPr>
        <w:softHyphen/>
        <w:t>чально получившего обозначение И-107, или «Д», а уже в процессе за</w:t>
      </w:r>
      <w:r w:rsidRPr="00070ADE">
        <w:rPr>
          <w:rFonts w:ascii="Times New Roman" w:hAnsi="Times New Roman"/>
          <w:color w:val="000000" w:themeColor="text1"/>
          <w:sz w:val="16"/>
          <w:szCs w:val="16"/>
        </w:rPr>
        <w:softHyphen/>
        <w:t>водских летных испытаний - Су-5. За основу приняли 2-й вариант эс</w:t>
      </w:r>
      <w:r w:rsidRPr="00070ADE">
        <w:rPr>
          <w:rFonts w:ascii="Times New Roman" w:hAnsi="Times New Roman"/>
          <w:color w:val="000000" w:themeColor="text1"/>
          <w:sz w:val="16"/>
          <w:szCs w:val="16"/>
        </w:rPr>
        <w:softHyphen/>
        <w:t>кизного проекта одноместного истре</w:t>
      </w:r>
      <w:r w:rsidRPr="00070ADE">
        <w:rPr>
          <w:rFonts w:ascii="Times New Roman" w:hAnsi="Times New Roman"/>
          <w:color w:val="000000" w:themeColor="text1"/>
          <w:sz w:val="16"/>
          <w:szCs w:val="16"/>
        </w:rPr>
        <w:softHyphen/>
        <w:t>бителя с М-107А и ВРДК ЦИАМ, кото</w:t>
      </w:r>
      <w:r w:rsidRPr="00070ADE">
        <w:rPr>
          <w:rFonts w:ascii="Times New Roman" w:hAnsi="Times New Roman"/>
          <w:color w:val="000000" w:themeColor="text1"/>
          <w:sz w:val="16"/>
          <w:szCs w:val="16"/>
        </w:rPr>
        <w:softHyphen/>
        <w:t>рый после доработки предъявили на рассмотрение руководству НКАП СССР и ВВС КА. Параллельно с эскизным проекти</w:t>
      </w:r>
      <w:r w:rsidRPr="00070ADE">
        <w:rPr>
          <w:rFonts w:ascii="Times New Roman" w:hAnsi="Times New Roman"/>
          <w:color w:val="000000" w:themeColor="text1"/>
          <w:sz w:val="16"/>
          <w:szCs w:val="16"/>
        </w:rPr>
        <w:softHyphen/>
        <w:t>рованием велись работы по техничес</w:t>
      </w:r>
      <w:r w:rsidRPr="00070ADE">
        <w:rPr>
          <w:rFonts w:ascii="Times New Roman" w:hAnsi="Times New Roman"/>
          <w:color w:val="000000" w:themeColor="text1"/>
          <w:sz w:val="16"/>
          <w:szCs w:val="16"/>
        </w:rPr>
        <w:softHyphen/>
        <w:t>кому проекту и постройке макета. Что</w:t>
      </w:r>
      <w:r w:rsidRPr="00070ADE">
        <w:rPr>
          <w:rFonts w:ascii="Times New Roman" w:hAnsi="Times New Roman"/>
          <w:color w:val="000000" w:themeColor="text1"/>
          <w:sz w:val="16"/>
          <w:szCs w:val="16"/>
        </w:rPr>
        <w:softHyphen/>
        <w:t>бы уложиться в установленные прави</w:t>
      </w:r>
      <w:r w:rsidRPr="00070ADE">
        <w:rPr>
          <w:rFonts w:ascii="Times New Roman" w:hAnsi="Times New Roman"/>
          <w:color w:val="000000" w:themeColor="text1"/>
          <w:sz w:val="16"/>
          <w:szCs w:val="16"/>
        </w:rPr>
        <w:softHyphen/>
        <w:t>тельством сроки, в июле, еще до полно</w:t>
      </w:r>
      <w:r w:rsidRPr="00070ADE">
        <w:rPr>
          <w:rFonts w:ascii="Times New Roman" w:hAnsi="Times New Roman"/>
          <w:color w:val="000000" w:themeColor="text1"/>
          <w:sz w:val="16"/>
          <w:szCs w:val="16"/>
        </w:rPr>
        <w:softHyphen/>
        <w:t>го изготовления чертежей, приступили к постройке экземпляра самолета для статических испытаний (10669).</w:t>
      </w:r>
    </w:p>
    <w:p w14:paraId="4ECCF35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9F459E" w14:textId="77777777" w:rsidR="006B3C37" w:rsidRPr="00070ADE" w:rsidRDefault="006B3C3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начале июня 1944 в ОКБ Сухого приступили к проектированию са молета, первоначально получившего обозначение И-107, или «Д», а уже в процессе заводских летных испытаний ему было дано обозначение Су-5.</w:t>
      </w:r>
    </w:p>
    <w:p w14:paraId="243E740D" w14:textId="77777777" w:rsidR="006B3C37" w:rsidRPr="00070ADE" w:rsidRDefault="006B3C3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За основу был принят второй вариант эскизного проекта одноместного истребителя с М-107А и ВРДК ЦИАМ, который после доработки был предъявлен на рассмотрение руководству НКАП и ВВС.</w:t>
      </w:r>
    </w:p>
    <w:p w14:paraId="0AF6CC4D" w14:textId="77777777" w:rsidR="006B3C37" w:rsidRPr="00070ADE" w:rsidRDefault="006B3C3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Параллельно с эскизным проектированием велись работы по техническому проекту и постройке макета. В июле, еще до полного изготовления чертежей, приступили к постройке эк земпляра самолета для статических испытаний (19586).</w:t>
      </w:r>
    </w:p>
    <w:p w14:paraId="39085494" w14:textId="77777777" w:rsidR="006B3C37" w:rsidRPr="00070ADE" w:rsidRDefault="006B3C37" w:rsidP="00B56F90">
      <w:pPr>
        <w:pStyle w:val="ae"/>
        <w:shd w:val="clear" w:color="auto" w:fill="FFFFFF"/>
        <w:spacing w:before="0" w:after="0"/>
        <w:jc w:val="both"/>
        <w:rPr>
          <w:color w:val="000000" w:themeColor="text1"/>
          <w:sz w:val="16"/>
          <w:szCs w:val="16"/>
        </w:rPr>
      </w:pPr>
    </w:p>
    <w:p w14:paraId="5B78F85D"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В начале июня 1944 года в КБ Сухого приступили к проектированию самолёта, изначально получившего обозначение И-107 или «Д», и только в процессе прохождения заводских лётных испытаний-Су-5. За основу приняли второй вариант эскизного проекта.</w:t>
      </w:r>
    </w:p>
    <w:p w14:paraId="4ADCEC43"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Утверждение заключения по эскизному проекту и протокола макетной комиссии совпало с завершением работ по статическому экземпляру самолета, который был передан на испытания в ЦАГИ. Постройка летного экземпляра сильно затянулась из-за несвоевременной поставки силовой установки. Первый полет на самолете, получившем обозначение Су-5, заводской летчик-испытатель Г.Н. Комаров выполнил 6 апреля 1945 г. Заводские испытания с перерывом продолжались до конца октября. За этот период было выполнено 42 полета, из них - одиннадцать с включением ВРДК. Полученная максимальная скорость оказалась на 18-20% ниже расчетной. Поэтому второй летный экземпляр самолета по завершению постройки передали в ЦАГИ для аэродинамических исследований в трубе Т- 101. В ноябре 1946 г. постановлением правительства были прекращены работы по ряду самолетов, потерявших актуальность, среди них оказался и Су-5 (24925).</w:t>
      </w:r>
    </w:p>
    <w:p w14:paraId="1860B66F" w14:textId="77777777" w:rsidR="00BA3A2B" w:rsidRPr="00C94B78" w:rsidRDefault="00BA3A2B" w:rsidP="00B56F90">
      <w:pPr>
        <w:spacing w:after="0" w:line="240" w:lineRule="auto"/>
        <w:jc w:val="both"/>
        <w:rPr>
          <w:rFonts w:ascii="Times New Roman" w:hAnsi="Times New Roman"/>
          <w:color w:val="0070C0"/>
          <w:sz w:val="16"/>
          <w:szCs w:val="16"/>
        </w:rPr>
      </w:pPr>
    </w:p>
    <w:p w14:paraId="0FA18ADC" w14:textId="77777777" w:rsidR="00D4630C"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358CC46" w14:textId="77777777" w:rsidR="00D4630C" w:rsidRPr="00070ADE" w:rsidRDefault="00D4630C"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A175AB" w14:textId="77777777" w:rsidR="00D4630C" w:rsidRPr="00070ADE" w:rsidRDefault="00D4630C"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начале июня 1944 года был предложен технический проект ИС-6, который оказался крайне неоднозначным. Попытка сделать танк в весовой нише ИС-2 не удалась. Реально ИС-6 получался массой больше 50 тонн. При этом толщина его брони больше соответствовала не Объекту 701, а ИС-2. Постройку машины в двух вариантах (Объект 252 с механической и Объект 253 с электромеханической трансмиссиями) Котину все же удалось продавить, но итоги испытаний оказались противоречивыми. У танков имелись проблемы с ходовой частью, скорость их передвижения была даже чуть ниже, чем у более тяжелого конкурента. Крайне ненадежной показала себя электромеханическая трансмиссия. И, что самое главное, преимуществ перед танком разработки СКБ-2 ЧКЗ эта машина не имела. Тем не менее, Котин смог добиться отправки ИС-6 в Москву для демонстрации, в которой также участвовал Объект 701. На судьбу ИС-6, впрочем, это уже особо повлиять не могло (17209).</w:t>
      </w:r>
    </w:p>
    <w:p w14:paraId="0D2BEB9A" w14:textId="77777777" w:rsidR="00D4630C" w:rsidRPr="00070ADE" w:rsidRDefault="00D4630C" w:rsidP="00B56F90">
      <w:pPr>
        <w:pStyle w:val="ae"/>
        <w:shd w:val="clear" w:color="auto" w:fill="FFFFFF"/>
        <w:spacing w:before="0" w:after="0"/>
        <w:jc w:val="both"/>
        <w:rPr>
          <w:color w:val="000000" w:themeColor="text1"/>
          <w:sz w:val="16"/>
          <w:szCs w:val="16"/>
        </w:rPr>
      </w:pPr>
    </w:p>
    <w:p w14:paraId="68FA3B8C" w14:textId="77777777" w:rsidR="0078764F" w:rsidRPr="00070ADE" w:rsidRDefault="0078764F"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В начале июня 1944 года был представлен Технический проект ИС-6, который оказался крайне неоднозначным. Попытка сделать танк в весовой нише ИС-2 не удалась. Реально ИС-6 получался массой больше 50 тонн. При этом толщина его брони больше соответствовала не Объекту 701, а ИС-2. Постройку машины в двух вариантах (Объект 252 с механической и Объект 253 с электромеханической трансмиссиями) Котину всё же удалось продавить, но итоги испытаний оказались противоречивыми. У танков имелись проблемы с ходовой частью, скорость их передвижения была даже чуть ниже, чем у более тяжёлого конкурента. Крайне ненадёжной показала себя электромеханическая трансмиссия. И, что самое главное, преимуществ перед танком разработки СКБ-2 ЧКЗ эта машина не имела. Тем не менее, Котин смог добиться отправки ИС-6 в Москву для демонстрации, в которой также участвовал Объект 701. На судьбу ИС-6, впрочем, это уже особо повлиять не могло (16735).</w:t>
      </w:r>
    </w:p>
    <w:p w14:paraId="62CB6A6F" w14:textId="77777777" w:rsidR="0078764F" w:rsidRPr="00070ADE" w:rsidRDefault="0078764F" w:rsidP="00B56F90">
      <w:pPr>
        <w:spacing w:after="0" w:line="240" w:lineRule="auto"/>
        <w:jc w:val="both"/>
        <w:rPr>
          <w:rStyle w:val="77"/>
          <w:rFonts w:eastAsiaTheme="minorHAnsi"/>
          <w:color w:val="000000" w:themeColor="text1"/>
          <w:sz w:val="16"/>
          <w:szCs w:val="16"/>
        </w:rPr>
      </w:pPr>
    </w:p>
    <w:p w14:paraId="1B591658"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начале июня 1944 г. проект ИС-6 был представлен в НКТП. Подход Котина оказался верным: к тому моменту эскизный проект танка был достаточно серьёзно проработан. Изменилось и вооружение: предусматривалась более мощная орудийная система. Как и Д-25Т, она имела калибр 122 мм, но должна была иметь начальную скорость 850-900 м/с. Правда, на тот момент таких орудий в наличии еще не было, тем не менее, в планах повышение начальной скорости 122-мм орудий вполне имелось. 6 июня 1944 года Малышев подписал приказ по НКТП №379сс, в котором он впервые официально именовался как ИС-6. По планам, 1 июля ожидалось изготовление рабочей документации по корпусам и башням танка с механической трансмиссии, а к 15 числу – чертежи оставшихся агрегатов. Корпусным производством занимался УЗТМ, который к 25 июля 1944 года подавал два корпуса и две башни. Сроком изготовления танков указывалось 25 августа 1944 года (25682).</w:t>
      </w:r>
    </w:p>
    <w:p w14:paraId="43BAF680" w14:textId="77777777" w:rsidR="00BA3A2B" w:rsidRPr="00C94B78" w:rsidRDefault="00BA3A2B" w:rsidP="00B56F90">
      <w:pPr>
        <w:spacing w:after="0" w:line="240" w:lineRule="auto"/>
        <w:jc w:val="both"/>
        <w:rPr>
          <w:rFonts w:ascii="Times New Roman" w:hAnsi="Times New Roman"/>
          <w:color w:val="0070C0"/>
          <w:sz w:val="16"/>
          <w:szCs w:val="16"/>
        </w:rPr>
      </w:pPr>
    </w:p>
    <w:p w14:paraId="30BF18D7" w14:textId="77777777" w:rsidR="006B3C37" w:rsidRPr="00070ADE" w:rsidRDefault="006B3C37"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В начале июня 1944 года в НКТП был прислан проект нового тяжёлого танка ОКБ завода 100. Благодаря довольно высокой степени проработки Малышев дал зелёный свет дальнейшим работам (19150).</w:t>
      </w:r>
    </w:p>
    <w:p w14:paraId="2E28B4E4" w14:textId="77777777" w:rsidR="006B3C37" w:rsidRPr="00070ADE" w:rsidRDefault="006B3C37" w:rsidP="00B56F90">
      <w:pPr>
        <w:pStyle w:val="ae"/>
        <w:shd w:val="clear" w:color="auto" w:fill="FFFFFF"/>
        <w:spacing w:before="0" w:after="0"/>
        <w:jc w:val="both"/>
        <w:textAlignment w:val="baseline"/>
        <w:rPr>
          <w:color w:val="000000" w:themeColor="text1"/>
          <w:sz w:val="16"/>
          <w:szCs w:val="16"/>
        </w:rPr>
      </w:pPr>
    </w:p>
    <w:p w14:paraId="6AB05EE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B368A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7034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июня 1944 вышла директива командующего ВВС по итогам действия ВВС зимой-весной 1944 и задачах на лето. Проанализировали недостатки, вскрыли причины. Л поручили изучать объекты действий. Управление ш авиации на поле боя рекомендовали строить по принципам и авиации. Командующими ВА запретили управлять вылетами и действиями групп. Должны были ставить задачи ак и ад. Для борьбы с вражеской авиации в ВА д.б. выделен ак и поручено было не ограничиваться воздушными боями, а действовать и по аэродромам (340,167).</w:t>
      </w:r>
    </w:p>
    <w:p w14:paraId="599524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93155" w14:textId="77777777" w:rsidR="000340E9"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7AD67579" w14:textId="77777777" w:rsidR="000340E9" w:rsidRPr="00070ADE" w:rsidRDefault="000340E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659CDE" w14:textId="77777777" w:rsidR="000340E9" w:rsidRPr="00070ADE" w:rsidRDefault="000340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июня 1944 года в Лондоне было получено донесение о том, что на французское побережье Ла-Манша доставлены немецкие управляемые снаряды. Английские летчики сообщали, что вокруг двух сооружений, напоминавших лыжи, замечена большая активность противника. Вечером 12 июня немецкие дальнобойные пушки начали обстрел английской территории через Ла-Манш, вероятно, с целью отвлечь внимание англичан от подготовки к запуску самолетов-снарядов. В 4 часа ночи обстрел прекратился. Через несколько минут над наблюдательным пунктом в Кенте был замечен странный «самолет», издававший резкий свистящий звук и испускавший яркий свет из хвостовой части. Через 18 минут «самолет» с оглушительным взрывом упал на землю в Суонскоуме, близ Грейвсенда. В течение последующего часа еще три таких «самолета» упали в Какфилде, Бетнал-Грине и в Плэтте. В результате взрывов в Бетнал-Грине было убито шесть и ранено девять человек. Кроме того, был разрушен железнодорожный мост.</w:t>
      </w:r>
    </w:p>
    <w:p w14:paraId="253FB882" w14:textId="77777777" w:rsidR="000340E9" w:rsidRPr="00070ADE" w:rsidRDefault="000340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стало началом так называемого «Роботблица» – войны механизмов.</w:t>
      </w:r>
    </w:p>
    <w:p w14:paraId="18960E1F" w14:textId="77777777" w:rsidR="000340E9" w:rsidRPr="00070ADE" w:rsidRDefault="000340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этой войны по Англии было выпущено 8070 (по другим источникам – 9017) самолетов-снарядов «V-1». Из этого количества 7488 штук были замечены службой наблюдения, а 2420 (по другим источникам – 2340) достигли района целей. Истребители английской ПВО уничтожили 1847 «V-1», расстреливая их бортовым оружием или сбивая спутным потоком. Зенитная артиллерия уничтожила 1878 самолетов-снарядов. Об аэростаты заграждения разбилось 232 снаряда. В целом было сбито почти 53% всех самолетов-снарядов «V-1», выпущенных по Лондону, и только 32% (по другим источникам – 25,9%) наблюдаемых самолетов-снарядов прорвалось к району целей.</w:t>
      </w:r>
    </w:p>
    <w:p w14:paraId="4FA88C42" w14:textId="77777777" w:rsidR="000340E9" w:rsidRPr="00070ADE" w:rsidRDefault="000340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даже этим количеством самолетов-снарядов немцы нанесли Англии большой ущерб. Было уничтожено 24 491 жилое здание, 52 293 постройки стали непригодными для жилья. Погибли 5864 человека, 17 197 были тяжело ранены.</w:t>
      </w:r>
    </w:p>
    <w:p w14:paraId="1019A761" w14:textId="77777777" w:rsidR="000340E9" w:rsidRPr="00070ADE" w:rsidRDefault="000340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Общие данные о перехваченных самолетах-снарядах не могут дать полного представления о масштабах борьбы, развернувшейся против немецких реактивных снарядов. В течение первого периода «Роботблица» англичане фактически не знали, как защищаться от нового оружия, не было у них и соответствующей организации. Зенитной артиллерии и истребителям приходилось действовать против самолетов-снарядов осторожно, чтобы не мешать друг другу. В конце концов на артиллерию была возложена задача прикрытия внешнего оборонительного пояса, а на истребительную авиацию – внутреннего.</w:t>
      </w:r>
    </w:p>
    <w:p w14:paraId="43370131" w14:textId="77777777" w:rsidR="000340E9" w:rsidRPr="00070ADE" w:rsidRDefault="000340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Последний самолет-снаряд «V-1», запущенный с французской территории, упал на Англию 1 сентября 1944 года. Англо-американские войска, высадившись во Франции, уничтожили установки для запуска ракет (11688).</w:t>
      </w:r>
    </w:p>
    <w:p w14:paraId="30357D2F" w14:textId="77777777" w:rsidR="000340E9" w:rsidRPr="00070ADE" w:rsidRDefault="000340E9" w:rsidP="00B56F90">
      <w:pPr>
        <w:autoSpaceDE w:val="0"/>
        <w:autoSpaceDN w:val="0"/>
        <w:adjustRightInd w:val="0"/>
        <w:spacing w:after="0" w:line="240" w:lineRule="auto"/>
        <w:jc w:val="both"/>
        <w:rPr>
          <w:rFonts w:ascii="Times New Roman" w:hAnsi="Times New Roman"/>
          <w:color w:val="000000" w:themeColor="text1"/>
          <w:sz w:val="16"/>
          <w:szCs w:val="16"/>
        </w:rPr>
      </w:pPr>
    </w:p>
    <w:p w14:paraId="0F10396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C763F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6025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Нач. 5 отд. НИИ ВВС ип Князев утвердил Отчет о командировке в строевые части 4 ВА (обобщение опыта боевой эксплуатации матчасти ВВС КА), подготовленный Сидоренко. С 1 сентября 1941 по 1 мая 1944 три полка 233 шад на самолетах Ил-2 выполнили 7472 самолетовылетов и налетали 7511 часов. Потеряли 220, то есть 1 на 35 часов. Средняя живучесть за 7 месяцев наиболее напряженной работы составляла 30 часов.</w:t>
      </w:r>
    </w:p>
    <w:p w14:paraId="068DB9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Ответственный исполнитель ип Сидоренко</w:t>
      </w:r>
    </w:p>
    <w:p w14:paraId="06196D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Отпечатан и подписан 5 июня 1944</w:t>
      </w:r>
    </w:p>
    <w:p w14:paraId="188ABC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Анализ дефектов моторов типа ВК-105 (П, ПА, Р, РА и ПФ), поступивших для ремонта в 14 ПАМ за время с 1 октября 1941 по 1 октября 1943 показывает следующие причины съемки моторов с самолетов:</w:t>
      </w:r>
    </w:p>
    <w:p w14:paraId="1D6169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 вине эксплуатации - 291 (43,3%)</w:t>
      </w:r>
    </w:p>
    <w:p w14:paraId="3D2B8A0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 вине производства - 131 (19,7%)</w:t>
      </w:r>
    </w:p>
    <w:p w14:paraId="4A5B82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боевые повреждения - 101 (15%)</w:t>
      </w:r>
    </w:p>
    <w:p w14:paraId="33B935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выработанный ресурс - 33 (4,9%)</w:t>
      </w:r>
    </w:p>
    <w:p w14:paraId="6352C7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причины не установлены - 70 (10,4)</w:t>
      </w:r>
    </w:p>
    <w:p w14:paraId="79AB31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- 671</w:t>
      </w:r>
    </w:p>
    <w:p w14:paraId="378515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АМ-38 (в 9 полках 4ВА) выработало свой ресурс 5,15%</w:t>
      </w:r>
    </w:p>
    <w:p w14:paraId="0783FF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АШ-82Ф (2 ап 49 КИАП и 272 ИАП 309 иад)</w:t>
      </w:r>
    </w:p>
    <w:p w14:paraId="6DFD76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дефекты - задир цилиндров, прогар поршней и выбивание масла (за время 4-х месячной эксплуатации в 2-х полках в январе-апреле 1944).</w:t>
      </w:r>
    </w:p>
    <w:p w14:paraId="2FA858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Живучесть матчасти в боевых условиях:</w:t>
      </w:r>
    </w:p>
    <w:p w14:paraId="685801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С-ты типа Як-1, Як-7, Як-9 - два истребительных полка имеющие эти с-ты с 1 февраля 1943 по 1 мая 1944 имели 4532 б/вылета с общим налетом 4294:03. Проведено 310 в/боев, сбито 213 с-то противника всех типов, свои потери (не вернулис с б/задания) - 52</w:t>
      </w:r>
    </w:p>
    <w:p w14:paraId="135118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на одну потерю своего с-та типа Як приходилось 187 с/вылетов или 178 часов налета. На 1 сбитый с-т проивника - 93 с/выдлета или 90 часлв налета. На одну б/потерю своего с-та от огня ЗА противника пришлось 4304 с/выдлета или 4050 часов налета. Средняя живучесть с-та по сроку его эксплуатации в частях в условиях напряженной боевой работы составляет: Як-1 - 54 часа, Як-7Б - 42 часа, Як-9 - 13 час.</w:t>
      </w:r>
    </w:p>
    <w:p w14:paraId="292325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среднем же по всем с-там типа Як живучесть составила 36,3 час.</w:t>
      </w:r>
    </w:p>
    <w:p w14:paraId="446D19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Наиболее частыми боевыми повреждениями с-тов типа Як являются:</w:t>
      </w:r>
    </w:p>
    <w:p w14:paraId="288218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Повреждение плоскостей и консолей со срывом фанерного покрытия площадью до 1,5 м2 - 34</w:t>
      </w:r>
    </w:p>
    <w:p w14:paraId="21FFE9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Повреждение в/радиаторов - 13</w:t>
      </w:r>
    </w:p>
    <w:p w14:paraId="71AD44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Повреждения б/баков от пулевых пробоин и разрывов снарядов - 28</w:t>
      </w:r>
    </w:p>
    <w:p w14:paraId="1F1BE9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Повреждение мотора от пуль и снарядов - 14</w:t>
      </w:r>
    </w:p>
    <w:p w14:paraId="0CE722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Повреждение фюзеляжа со срывом полотняного покрытия размером до 1 м2 - 22</w:t>
      </w:r>
    </w:p>
    <w:p w14:paraId="1A3079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Повреждение хвостового оперения - 25</w:t>
      </w:r>
    </w:p>
    <w:p w14:paraId="50AC7D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Повреждение лопастей винта и щшасси - 16</w:t>
      </w:r>
    </w:p>
    <w:p w14:paraId="045502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всех отмеченных выше случаях с-ты возвращались с б/задания благополучно и производили посадки на своем аэродроме. Т.о. основными поражаемыми местами с-та Як являлись:</w:t>
      </w:r>
    </w:p>
    <w:p w14:paraId="4C467B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центальная часть с-та</w:t>
      </w:r>
    </w:p>
    <w:p w14:paraId="470164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фюзеляжное покрытие кабины л (особенно левая рука л) и другие места с-та, ведущего боевой разворот.</w:t>
      </w:r>
    </w:p>
    <w:p w14:paraId="1B7264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с-тах тпа Як высказываются пожелания улучшить с-т за счет:</w:t>
      </w:r>
    </w:p>
    <w:p w14:paraId="0E7E8E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усиления обшивки верхней части крыла между 1 и 4 нервюрами за задним лонжероном</w:t>
      </w:r>
    </w:p>
    <w:p w14:paraId="282E9F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поставить указатели расхода б/припасов и работы вооружения</w:t>
      </w:r>
    </w:p>
    <w:p w14:paraId="1FA985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поставить перегородки между б/баками</w:t>
      </w:r>
    </w:p>
    <w:p w14:paraId="4570B2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поставить автомат стопора костыля</w:t>
      </w:r>
    </w:p>
    <w:p w14:paraId="0F8D83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плоскость сделать разъемной</w:t>
      </w:r>
    </w:p>
    <w:p w14:paraId="42EEDF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Живучесть с-та Ла-5</w:t>
      </w:r>
    </w:p>
    <w:p w14:paraId="60F266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истребительных полка, имеющих на вооружении с-ты Ла-5Ф и Ла-5ФН за время с 1 февраля 1943 по 1 мая 1944 имели 4161 боевых вылета с общим налетом 3723 час. За это время произведено 270 воздушных боев при которых сбито 177 с-тов противника различного типа. Свои потери (не вернулись с боевого задания) от ИА противника - 27 с-тов и от огня ЗА - 3.</w:t>
      </w:r>
    </w:p>
    <w:p w14:paraId="4E5140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одну боевую потерю своего с-та от ИА приходится 153 боевых вылета или 138 час. и на одну потерю от ЗА - 1378 или 1235 часов.</w:t>
      </w:r>
    </w:p>
    <w:p w14:paraId="1E3143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Средняя живучесть Ла-5 - 69 часов</w:t>
      </w:r>
    </w:p>
    <w:p w14:paraId="62FC7B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боевых повареждений с-та имели место 410 случаев поврежджения деталей с-та и 164 случая повреждения мотора</w:t>
      </w:r>
    </w:p>
    <w:p w14:paraId="0B128C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Наиболее часто повреждениям были подвержены:</w:t>
      </w:r>
    </w:p>
    <w:p w14:paraId="61AF0E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Нижние капоты мотора и капот радиатора, что приводит к повреждениям маслопроводов, м/отстойника и м/радиатора - 17</w:t>
      </w:r>
    </w:p>
    <w:p w14:paraId="13CFE3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Бензобаки - 35</w:t>
      </w:r>
    </w:p>
    <w:p w14:paraId="29629E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Переднее и заднее бронестекла - 5</w:t>
      </w:r>
    </w:p>
    <w:p w14:paraId="47774B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Центроплан и плоскости - 70</w:t>
      </w:r>
    </w:p>
    <w:p w14:paraId="46938F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Элероны, лонжероны, нервюры, стрингера, обшивка элеронов, управление элеронами и щитками - 55</w:t>
      </w:r>
    </w:p>
    <w:p w14:paraId="26060A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востовое управление, тяги оперениягидросистема, воздухосистема, система н/газа, кимлородное оборудование, костыль - 10</w:t>
      </w:r>
    </w:p>
    <w:p w14:paraId="50C379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Лопасти винта - 2</w:t>
      </w:r>
    </w:p>
    <w:p w14:paraId="760734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всех перечисленных случаях поврежденные с-ты возвращались из боевых заданий и благополучно производили посадку на свой аэродром.</w:t>
      </w:r>
    </w:p>
    <w:p w14:paraId="0D8615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с-ты восстанавливались силами полков и ПАРМ-1 в течение 3-10 суток.</w:t>
      </w:r>
    </w:p>
    <w:p w14:paraId="6BFC72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недостаткам конструкции с-та Ла-5 относятся:</w:t>
      </w:r>
    </w:p>
    <w:p w14:paraId="4EB756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Узкое переднее б/стекло</w:t>
      </w:r>
    </w:p>
    <w:p w14:paraId="6A8597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Сзади-сверху голова л не защищена - нужен бронезаголовник</w:t>
      </w:r>
    </w:p>
    <w:p w14:paraId="2213A8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Низ с-та не защищен. Если попаждание в мотор не выводит его из строя, то попадание в фюзеляж или плоскотьв большинстве случаев выводит с-т из строя. Л в этих слукчаях покидает с-т. При попадании снаряда в плоскость плоскость вскрывается вся целиком и с-т становится неуправляемым. При попадании снаряда в фюзеляж в большинстве случаев отваливается хвост.</w:t>
      </w:r>
    </w:p>
    <w:p w14:paraId="6725E4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Летный и технический состав высказывает пожелания улучшить с-т Ла-5 за счет:</w:t>
      </w:r>
    </w:p>
    <w:p w14:paraId="33C5E0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Автоматизации ВМГ</w:t>
      </w:r>
    </w:p>
    <w:p w14:paraId="4940DD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Полного закрытия уюбранных колес</w:t>
      </w:r>
    </w:p>
    <w:p w14:paraId="5882CC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Всасывающий патрубок перенести вниз для улучшения обзора. Патрубок закрывает нижнюю сетку прицела</w:t>
      </w:r>
    </w:p>
    <w:p w14:paraId="2CEEAC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Перенести выше управление триммером РВ</w:t>
      </w:r>
    </w:p>
    <w:p w14:paraId="5B4FD1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Повысить эффективность руля глубины для посадки на 3 точки</w:t>
      </w:r>
    </w:p>
    <w:p w14:paraId="20169A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 эе недостатком с-та Ла-5 является его деревянная конструкция. При грубых посадках имеет место поломка фюзеляжа. Весьма жедлательно каркас фюзеляжа по кабину делать металлическим, что существенно повысит живучесть с-та.</w:t>
      </w:r>
    </w:p>
    <w:p w14:paraId="1E3FA2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Живучесть с-та Ил-2</w:t>
      </w:r>
    </w:p>
    <w:p w14:paraId="0A46BB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отчета, а именно с 1 сентября 1941 по 1 мая 1944 три полка 233 шад на самолетах Ил-2 выполнили 7472 самолетовылетов и налетали 7511 часов. За это время потеряли 220, что в среднем составляет на 1 потерю своего с-та 35 часов. Средняя живучесть за 7 месяцев наиболее напряженной работы составляла 30 часов.</w:t>
      </w:r>
    </w:p>
    <w:p w14:paraId="568326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Живучесть с-та Бостон Ш</w:t>
      </w:r>
    </w:p>
    <w:p w14:paraId="006DFC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с 1 января 1943 по 1 декабря 1943 в 3-х бап количество вылетов составило 2995 с налетом 7506. Потеряно 33 с-та. Количество вылетов на 1 потерю - 84, налет - 177,6 или 1.1% от количества вылетов.</w:t>
      </w:r>
    </w:p>
    <w:p w14:paraId="167036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Средняя живучесть с-та при выполнении боевых заданий ночью - 98 б/вылетов на 1 потерюи днем - 77.</w:t>
      </w:r>
    </w:p>
    <w:p w14:paraId="69EF17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каждые 100 час. средняя б/потеря достиганет 0,45 (11444).</w:t>
      </w:r>
    </w:p>
    <w:p w14:paraId="14589D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8E0E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вышел приказ НКАП N 386сс во исполнение постановления ГКО N 5679с от 19 апреля 1944 о переходе в течение 1944 на выпуск самолетов Пе-2, Ил-2 и Як-9 с фибровыми протектированными баками.</w:t>
      </w:r>
    </w:p>
    <w:p w14:paraId="32D804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Директору завода 153 Лисицину перейти с 15 июня 1944 на выпуск 75% самолетов Як-9 с М-105ПФ, оборудованных фибровыми протектированными баками</w:t>
      </w:r>
    </w:p>
    <w:p w14:paraId="242A25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Директору завода 18 Белянскому перейти с 15 июня 1944 на выпуск 60% самолетов Ил-2, оборудованных фибровыми протектированными баками</w:t>
      </w:r>
    </w:p>
    <w:p w14:paraId="7FEDF21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Директору завода 22 Окулову:</w:t>
      </w:r>
    </w:p>
    <w:p w14:paraId="666E7F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обеспечить выпуск 50% самолетов Пе-2, оборудованных фибровыми протектированными баками N 2 и N 3 с 1 августа 1944 (1672,78).</w:t>
      </w:r>
    </w:p>
    <w:p w14:paraId="3829D5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E058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закончились летные испытания НС-23 на Як-9 и 10 октября пушка и патрон на основе 14.5 мм ПТР были приняты на вооружение (3996, 136).</w:t>
      </w:r>
    </w:p>
    <w:p w14:paraId="34BF5A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385D16" w14:textId="77777777" w:rsidR="006913EA" w:rsidRPr="00C94B78" w:rsidRDefault="006913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7 июня 1944 г. пушка НС-23 в моторном варианте и к ней новый патрон успешно вы</w:t>
      </w:r>
      <w:r w:rsidRPr="00C94B78">
        <w:rPr>
          <w:rFonts w:ascii="Times New Roman" w:hAnsi="Times New Roman"/>
          <w:color w:val="0070C0"/>
          <w:sz w:val="16"/>
          <w:szCs w:val="16"/>
        </w:rPr>
        <w:softHyphen/>
        <w:t>держали государственные наземные и летные испытания на самолете Як-9Т.</w:t>
      </w:r>
    </w:p>
    <w:p w14:paraId="3F5805E9" w14:textId="77777777" w:rsidR="006913EA" w:rsidRPr="00C94B78" w:rsidRDefault="006913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Как и ожидалось, «траектория 23 мм сна</w:t>
      </w:r>
      <w:r w:rsidRPr="00C94B78">
        <w:rPr>
          <w:rFonts w:ascii="Times New Roman" w:hAnsi="Times New Roman"/>
          <w:color w:val="0070C0"/>
          <w:sz w:val="16"/>
          <w:szCs w:val="16"/>
        </w:rPr>
        <w:softHyphen/>
        <w:t>ряда НС-23 и 20 мм пушки ШВАК с 800 м/с на дальностях до 600 м близко совпадают, то есть принятое /.../уменьшение начальной скорости практически не сказывается на ве</w:t>
      </w:r>
      <w:r w:rsidRPr="00C94B78">
        <w:rPr>
          <w:rFonts w:ascii="Times New Roman" w:hAnsi="Times New Roman"/>
          <w:color w:val="0070C0"/>
          <w:sz w:val="16"/>
          <w:szCs w:val="16"/>
        </w:rPr>
        <w:softHyphen/>
        <w:t>роятности попадания одним снарядов в цель с дистанций, на которых обычно ведется воз</w:t>
      </w:r>
      <w:r w:rsidRPr="00C94B78">
        <w:rPr>
          <w:rFonts w:ascii="Times New Roman" w:hAnsi="Times New Roman"/>
          <w:color w:val="0070C0"/>
          <w:sz w:val="16"/>
          <w:szCs w:val="16"/>
        </w:rPr>
        <w:softHyphen/>
        <w:t>душный бой». При этом «осколочно-фугасное действие снаряда примерно равно действию снаряда пушки ВЯ, а пробивное действие выше, чем у ШВАК».</w:t>
      </w:r>
    </w:p>
    <w:p w14:paraId="2EE78B38" w14:textId="77777777" w:rsidR="006913EA" w:rsidRPr="00C94B78" w:rsidRDefault="006913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Пушка НС-23 и патрон рекомендовались на вооружение ВВС КА. В выводах отчета 4-го Управления ГК НИИ ВВС по результатам испытаний указывалось: «23 мм пушка НС-23, сохраняя штатный снаряд от 23 мм пуш</w:t>
      </w:r>
      <w:r w:rsidRPr="00C94B78">
        <w:rPr>
          <w:rFonts w:ascii="Times New Roman" w:hAnsi="Times New Roman"/>
          <w:color w:val="0070C0"/>
          <w:sz w:val="16"/>
          <w:szCs w:val="16"/>
        </w:rPr>
        <w:softHyphen/>
        <w:t>ки ВЯ, приобрела наиболее рациональные ха</w:t>
      </w:r>
      <w:r w:rsidRPr="00C94B78">
        <w:rPr>
          <w:rFonts w:ascii="Times New Roman" w:hAnsi="Times New Roman"/>
          <w:color w:val="0070C0"/>
          <w:sz w:val="16"/>
          <w:szCs w:val="16"/>
        </w:rPr>
        <w:softHyphen/>
        <w:t>рактеристики по сравнению с существующи</w:t>
      </w:r>
      <w:r w:rsidRPr="00C94B78">
        <w:rPr>
          <w:rFonts w:ascii="Times New Roman" w:hAnsi="Times New Roman"/>
          <w:color w:val="0070C0"/>
          <w:sz w:val="16"/>
          <w:szCs w:val="16"/>
        </w:rPr>
        <w:softHyphen/>
        <w:t>ми пушками ВЯ и ШВАК, которые могут обес</w:t>
      </w:r>
      <w:r w:rsidRPr="00C94B78">
        <w:rPr>
          <w:rFonts w:ascii="Times New Roman" w:hAnsi="Times New Roman"/>
          <w:color w:val="0070C0"/>
          <w:sz w:val="16"/>
          <w:szCs w:val="16"/>
        </w:rPr>
        <w:softHyphen/>
        <w:t>печить широкое ее применение на всех сов</w:t>
      </w:r>
      <w:r w:rsidRPr="00C94B78">
        <w:rPr>
          <w:rFonts w:ascii="Times New Roman" w:hAnsi="Times New Roman"/>
          <w:color w:val="0070C0"/>
          <w:sz w:val="16"/>
          <w:szCs w:val="16"/>
        </w:rPr>
        <w:softHyphen/>
        <w:t>ременных самолетах, что резко повысит их огневую мощь» (24971).</w:t>
      </w:r>
    </w:p>
    <w:p w14:paraId="03D4B971" w14:textId="77777777" w:rsidR="006913EA" w:rsidRPr="00C94B78" w:rsidRDefault="006913EA" w:rsidP="00B56F90">
      <w:pPr>
        <w:spacing w:after="0" w:line="240" w:lineRule="auto"/>
        <w:jc w:val="both"/>
        <w:rPr>
          <w:rFonts w:ascii="Times New Roman" w:hAnsi="Times New Roman"/>
          <w:color w:val="0070C0"/>
          <w:sz w:val="16"/>
          <w:szCs w:val="16"/>
        </w:rPr>
      </w:pPr>
    </w:p>
    <w:p w14:paraId="12DACC37" w14:textId="77777777" w:rsidR="006913EA" w:rsidRPr="00C94B78" w:rsidRDefault="006913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7 июня 1944 года были завершены летные испытания пушки НС-23, установленной в моторном исполнении на истребителе Як-9УТ. После чего 10 октября 1944 года решением Государственного Комитета Обороны НС-23 и патрон к ней были приняты на вооружение с организацией производства на заводе №2 в Коврове.</w:t>
      </w:r>
    </w:p>
    <w:p w14:paraId="6ED91B3E" w14:textId="77777777" w:rsidR="006913EA" w:rsidRPr="00C94B78" w:rsidRDefault="006913EA"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До конца 1944 года было выпущено около 300 пушек, в 1945-м еще 600 штук. Первоначальная версия пушки предполагала лишь крыльевое и моторное исполнение. Под обозначением НС-23КМ ее «примеряли» для вооружения штурмовиков Ил-8 и Ил-10 (25272).</w:t>
      </w:r>
    </w:p>
    <w:p w14:paraId="19F6FB62" w14:textId="77777777" w:rsidR="006913EA" w:rsidRPr="00C94B78" w:rsidRDefault="006913EA" w:rsidP="00B56F90">
      <w:pPr>
        <w:spacing w:after="0" w:line="240" w:lineRule="auto"/>
        <w:jc w:val="both"/>
        <w:rPr>
          <w:rFonts w:ascii="Times New Roman" w:hAnsi="Times New Roman"/>
          <w:color w:val="0070C0"/>
          <w:sz w:val="16"/>
          <w:szCs w:val="16"/>
        </w:rPr>
      </w:pPr>
    </w:p>
    <w:p w14:paraId="2BF91C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в ходе испытаний Як-9ДД Ю.А. Антипов выполнил полет по маршруту Чкаловская - Сталинград - Чкаловская протяженностью по прямой 1800 км, следуя на высоте 1030 м со скоростью 351 км/ч.</w:t>
      </w:r>
    </w:p>
    <w:p w14:paraId="0EB939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2DE606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г. были завершены и летные испытания НС-23 на Як-9 (10695).</w:t>
      </w:r>
    </w:p>
    <w:p w14:paraId="5824FE8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E462471"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7 июня 1944 г. пушка НС-23 в моторном варианте с успехом прошла государственные летные испытания на самолете Як-9 и поста</w:t>
      </w:r>
      <w:r w:rsidRPr="00070ADE">
        <w:rPr>
          <w:rFonts w:ascii="Times New Roman" w:hAnsi="Times New Roman"/>
          <w:color w:val="000000" w:themeColor="text1"/>
          <w:sz w:val="16"/>
          <w:szCs w:val="16"/>
        </w:rPr>
        <w:softHyphen/>
        <w:t>новлением ГОКО от 10 октября была запущена в серийное производство. В дальнейшем пуш</w:t>
      </w:r>
      <w:r w:rsidRPr="00070ADE">
        <w:rPr>
          <w:rFonts w:ascii="Times New Roman" w:hAnsi="Times New Roman"/>
          <w:color w:val="000000" w:themeColor="text1"/>
          <w:sz w:val="16"/>
          <w:szCs w:val="16"/>
        </w:rPr>
        <w:softHyphen/>
        <w:t>ки этого типа в синхронном и крыльевом вари</w:t>
      </w:r>
      <w:r w:rsidRPr="00070ADE">
        <w:rPr>
          <w:rFonts w:ascii="Times New Roman" w:hAnsi="Times New Roman"/>
          <w:color w:val="000000" w:themeColor="text1"/>
          <w:sz w:val="16"/>
          <w:szCs w:val="16"/>
        </w:rPr>
        <w:softHyphen/>
        <w:t>антах устанавливались на поршневых истреби</w:t>
      </w:r>
      <w:r w:rsidRPr="00070ADE">
        <w:rPr>
          <w:rFonts w:ascii="Times New Roman" w:hAnsi="Times New Roman"/>
          <w:color w:val="000000" w:themeColor="text1"/>
          <w:sz w:val="16"/>
          <w:szCs w:val="16"/>
        </w:rPr>
        <w:softHyphen/>
        <w:t>телях Ла-9, Ла-11 и штурмовиках Ил-10, а так</w:t>
      </w:r>
      <w:r w:rsidRPr="00070ADE">
        <w:rPr>
          <w:rFonts w:ascii="Times New Roman" w:hAnsi="Times New Roman"/>
          <w:color w:val="000000" w:themeColor="text1"/>
          <w:sz w:val="16"/>
          <w:szCs w:val="16"/>
        </w:rPr>
        <w:softHyphen/>
        <w:t>же на реактивных истребителях МиГ-9, Ла-15 и МиГ-15. За создание НС-23 коллективу раз</w:t>
      </w:r>
      <w:r w:rsidRPr="00070ADE">
        <w:rPr>
          <w:rFonts w:ascii="Times New Roman" w:hAnsi="Times New Roman"/>
          <w:color w:val="000000" w:themeColor="text1"/>
          <w:sz w:val="16"/>
          <w:szCs w:val="16"/>
        </w:rPr>
        <w:softHyphen/>
        <w:t>работчиков во главе с А.Э. Нудельманом по</w:t>
      </w:r>
      <w:r w:rsidRPr="00070ADE">
        <w:rPr>
          <w:rFonts w:ascii="Times New Roman" w:hAnsi="Times New Roman"/>
          <w:color w:val="000000" w:themeColor="text1"/>
          <w:sz w:val="16"/>
          <w:szCs w:val="16"/>
        </w:rPr>
        <w:softHyphen/>
        <w:t>становлением Совета Министров СССР от 26 июня 1946 г. была присуждена Сталинская премия второй степени (15763).</w:t>
      </w:r>
    </w:p>
    <w:p w14:paraId="03F0C5E4" w14:textId="77777777" w:rsidR="00C074FF" w:rsidRPr="00070ADE" w:rsidRDefault="00C074FF" w:rsidP="00B56F90">
      <w:pPr>
        <w:spacing w:after="0" w:line="240" w:lineRule="auto"/>
        <w:jc w:val="both"/>
        <w:rPr>
          <w:rFonts w:ascii="Times New Roman" w:hAnsi="Times New Roman"/>
          <w:color w:val="000000" w:themeColor="text1"/>
          <w:sz w:val="16"/>
          <w:szCs w:val="16"/>
        </w:rPr>
      </w:pPr>
    </w:p>
    <w:p w14:paraId="46E47034" w14:textId="77777777" w:rsidR="00C074FF" w:rsidRPr="00070ADE" w:rsidRDefault="00C074FF" w:rsidP="00B56F90">
      <w:pPr>
        <w:shd w:val="clear" w:color="auto" w:fill="FFFFFF"/>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7 июня 1944 г. были завершены летные испытания пушки НС-23 на истребителе Як-9. Пушка НС-23 с новым патроном получила поддержку командования ВВС (15979).</w:t>
      </w:r>
    </w:p>
    <w:p w14:paraId="44B15375" w14:textId="77777777" w:rsidR="00C074FF" w:rsidRPr="00070ADE" w:rsidRDefault="00C074FF" w:rsidP="00B56F90">
      <w:pPr>
        <w:shd w:val="clear" w:color="auto" w:fill="FFFFFF"/>
        <w:spacing w:after="0" w:line="240" w:lineRule="auto"/>
        <w:jc w:val="both"/>
        <w:rPr>
          <w:rFonts w:ascii="Times New Roman" w:eastAsia="Times New Roman" w:hAnsi="Times New Roman"/>
          <w:color w:val="000000" w:themeColor="text1"/>
          <w:sz w:val="16"/>
          <w:szCs w:val="16"/>
        </w:rPr>
      </w:pPr>
    </w:p>
    <w:p w14:paraId="61DB7DC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3C761A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E5A7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вышло Постановление ГКО № 6008 О плане производства и поставок пистолетов-пулеметов Шпагина и ПП-43 в июне 1944 года. РГАНИР, Фонд ГКО, д. 262, лл. 1-5,6-11 (11012).</w:t>
      </w:r>
    </w:p>
    <w:p w14:paraId="1A636B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31048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вышло Постановление ГКО № 6009 О поставке НКО и НКВМФ боеприпасов в июне 1944 г. РГАНИР, Фонд ГКО, д. 262, лл. 12-23,24-60 (11012).</w:t>
      </w:r>
    </w:p>
    <w:p w14:paraId="52C27BE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A175A0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вышло Постановление ГКО № 6010 О плане производства и поставок НКО и НКВМФ артиллерийского, минометного и стрелкового вооружения и военных приборов на июнь 1944 года. РГАНИР, Фонд ГКО, д. 262, лл. 61-78,79-87 (11012).</w:t>
      </w:r>
    </w:p>
    <w:p w14:paraId="3CE693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4B427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вышло Постановление ГКО № 6011 О плане производства и ремонта танков, самоходных артиллерийских установок, дизелей и производства запасных частей к ним на июнь 1944 года. РГАНИР, Фонд ГКО, д. 262, лл. 88-92,93-111 (11012).</w:t>
      </w:r>
    </w:p>
    <w:p w14:paraId="3E6BA36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2699C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вышло Постановление ГКО № 6012 О плане добычи угля и сланца на июнь 1944 года по Наркомуглю. РГАНИР, Фонд ГКО, д. 262, лл. 112-126,127-138 (11012).</w:t>
      </w:r>
    </w:p>
    <w:p w14:paraId="68B84A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103CB3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вышло Постановление ГКО № 6013 О плане производства и поставок патронов Наркоматом вооружения в июне 1944 года. РГАНИР, Фонд ГКО, д. 262, лл. 139-144,145-149 (11012).</w:t>
      </w:r>
    </w:p>
    <w:p w14:paraId="0997CF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FFC74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вышло Постановление ГКО № 6014 О добыче нефти и выработке нефтепродуктов в июне 1944 года. РГАНИР, Фонд ГКО, д. 262, лл. 150-155,156-159 (11012).</w:t>
      </w:r>
    </w:p>
    <w:p w14:paraId="33185A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844B5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вышло Постановление ГКО № 6015 О плане производства синтетического каучука, автомобильных и специальных шин, а также других резинотехнических изделий в июне 1944 г. по Наркомрезинпрому. РГАНИР, Фонд ГКО, д. 262, лл. 160-166 (11012).</w:t>
      </w:r>
    </w:p>
    <w:p w14:paraId="0EFE62D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02244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вышло Постановление ГКО № 6016 О плане производства Наркомбумпромом целлюлозы, бумаги и картона в июне 1944 г. РГАНИР, Фонд ГКО, д. 262, лл. 167-172,173-176 (11012).</w:t>
      </w:r>
    </w:p>
    <w:p w14:paraId="4DB506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4CDA47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вышло Постановление ГКО № 6017 О неотложных мерах по расширению и восстановлению производства средств пожаротушения. (7239, 177-183,184-197).</w:t>
      </w:r>
    </w:p>
    <w:p w14:paraId="502A401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EA9A2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вышло Распоряжение ГКО № 6018 Об организации Зуевского энергетического техникума Наркомата электростанций. (7239, 198-200).</w:t>
      </w:r>
    </w:p>
    <w:p w14:paraId="6628F9D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06DE4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вышло Распоряжение ГКО № 6019 [О закладке в госрезерв 250 дизелей В-2.] (7239, 201).</w:t>
      </w:r>
    </w:p>
    <w:p w14:paraId="1B89B30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A571E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вышло Постановление ГКО № 6020 Об обеспечении железных дорог углем в июне 1944 г. (7239, 202-205,206-207).</w:t>
      </w:r>
    </w:p>
    <w:p w14:paraId="420F6F6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319D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вышло Постановление ГКО № 6021 Об использовании для производства спецукупорки всей пригодной древесины, поступающей водой в г.Москву. РГАНИР, Фонд ГКО, д. 262, лл. 208-209 (11012).</w:t>
      </w:r>
    </w:p>
    <w:p w14:paraId="3B61205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823199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вышло Постановление ГКО № 6022 О дноуглубительных работах Наркомморфлота и Наркомречфлота на Дальнем Востоке. (7239, 210-213,214-216).</w:t>
      </w:r>
    </w:p>
    <w:p w14:paraId="1599FAE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3BD84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вышло Постановление ГКО № 6023 О восстановлении ленинградских заводов Наркомрезинпрома. РГАНИР, Фонд ГКО, д. 262, лл. 217-223,224-231 (11012).</w:t>
      </w:r>
    </w:p>
    <w:p w14:paraId="45E4B3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1BA6C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Начаты государственные сдаточные испытания головного ТЩ типа МТ-1 ждановцев и 13-го МБК адмиралтейцев (10671).</w:t>
      </w:r>
    </w:p>
    <w:p w14:paraId="17D71E0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2A8B41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D108D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0D55C0"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7 июня</w:t>
      </w:r>
      <w:r w:rsidRPr="00070ADE">
        <w:rPr>
          <w:rFonts w:ascii="Times New Roman" w:hAnsi="Times New Roman"/>
          <w:color w:val="000000" w:themeColor="text1"/>
          <w:sz w:val="16"/>
          <w:szCs w:val="16"/>
        </w:rPr>
        <w:t xml:space="preserve"> в 1944 году оперативная сводка Совинформбюро:</w:t>
      </w:r>
    </w:p>
    <w:p w14:paraId="4D9F7C78"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7 июня в районе северо-западнее и севернее города Яссы наши войска отбили атаки небольших сил пехоты и танков противника. По уточнённым данным, в результате боёв с 30 мая по 6 июня наши войска нанесли противнику следующие потери в живой силе и технике: подбито и сожжено 315 немецких танков и самоходных орудий, уничтожено 29 бронемашин и бронетранспортёров, 62 полевых орудия разного калибра, 240 пулемётов и до 400 автомашин. В воздушных боях и огнём зенитной артиллерии сбит 451 самолёт противника. Противник потерял только убитыми свыше 10.000 своих солдат и офицеров.</w:t>
      </w:r>
    </w:p>
    <w:p w14:paraId="7A76D9A3"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без перемен.</w:t>
      </w:r>
    </w:p>
    <w:p w14:paraId="3C883E72"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6 июня на всех фронтах в воздушных боях и огнём зенитной артиллерии сбито 54 самолёта противника.»</w:t>
      </w:r>
    </w:p>
    <w:p w14:paraId="51D07B8C"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Бомбардировка нашей авиацией железнодорожного узла и военных объектов города Яссы:</w:t>
      </w:r>
    </w:p>
    <w:p w14:paraId="4620856C"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7 июня наша авиация дальнего действия вновь произвела массированный налёт на железнодорожный узел и военные объекты города Яссы (Румыния). Прямыми попаданиями бомб разбито несколько железнодорожных эшелонов противника. В результате бомбардировки возникли пожары. Горели вагоны, платформы, цистерны и военные склады. Пожары сопровождались сильными взрывами.</w:t>
      </w:r>
    </w:p>
    <w:p w14:paraId="68AB58B9"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наших самолёта не вернулись на свои аэродромы.»</w:t>
      </w:r>
    </w:p>
    <w:p w14:paraId="10779EE8"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севернее города Яссы активность противника значительно снизилась. Лишь на отдельных участках немецкая пехота, усиленная танками, предприняла несколько атак. Части Н-ского соединения, отбивая атаки противника, истребили более 200 немецких и румынских солдат и офицеров, сожгли 5 танков, самоходное орудие и 3 бронетранспортёра. Сегодня утром одна наша часть нанесла противнику контрудар и, продвигаясь вперёд, овладела двумя высотами. В этом районе сдалась в плен рота румынских солдат.</w:t>
      </w:r>
    </w:p>
    <w:p w14:paraId="5817DAC2"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Тирасполь наши наблюдатели заметили два замаскированных танка противника. Орудийный расчёт сержанта Никольского выдвинулся на открытые позиции и метким огнём поджёг немецкие танки.</w:t>
      </w:r>
    </w:p>
    <w:p w14:paraId="26303253"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Витебск три группы гитлеровцев атаковали наше боевое охранение. В результате ожесточённой схватки противник был отброшен. На поле боя осталось 60 вражеских трупов.</w:t>
      </w:r>
    </w:p>
    <w:p w14:paraId="22075892"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Снайперы Н-ской части старшина Алексей Русаков и сержант Джуман Эсиркеев за день истребили 8 немцев. Снайпер красноармеец Шумбасов за шесть дней уничтожил 13 солдат противника.</w:t>
      </w:r>
    </w:p>
    <w:p w14:paraId="0EDD9848"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Ночью 5 июня две группы торпедных катеров Краснознамённого Балтийского флота вышли на поиск кораблей противника. Группа катеров под командованием капитана 3 ранга т. Свердлова обнаружила и атаковала четыре немецких тральщика. Второй отряд катеров под командованием капитана 3 ранга т. Старого обнаружил другую группу кораблей противника и атаковал их с предельно короткой дистанции. В результате действий обеих групп торпедных катеров потоплены пять немецких тральщиков.</w:t>
      </w:r>
    </w:p>
    <w:p w14:paraId="6627C152"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Станиславской области, напал на пехотное подразделение противника, расположившееся на отдых в одном селе. Советские патриоты убили 22 немца и захватили 10 пленных. Другой партизанский отряд четыре дня вёл бои против карательной немецко-венгерской экспедиции. Гитлеровцы окружили отряд и пытались его уничтожить. Партизаны прорвали окружение и вышли из боя. Через несколько дней группа партизан этого отряда взорвала железнодорожный мост, когда по нему проходил немецкий воинский эшелон. Паровоз и 1 платформ с орудиями свалились в реку.</w:t>
      </w:r>
    </w:p>
    <w:p w14:paraId="1E30455A"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юге советский истребитель принудил к посадке на нашей территории немецкий бомбардировщик «Юнкерс-88». Взятый в плен стрелок 1 отряда 100-группы дальних разведчиков Макс Дробиш рассказал: «На высоте 7 тысяч метров мы заметили, что к нам на полной скорости приближается русский истребитель. Мы уклонились от боя. Однако истребитель быстро настиг нас и вынудил совершить посадку. За одну неделю наш отряд потерял 3 самолёта. Два из них были сбиты русскими истребителями, а один — зенитной артиллерией. В последнее время немецкие лётчики крайне неохотно поднимаются в воздух. Дело в том, что мы опасаемся истребителей и огня русских зениток».</w:t>
      </w:r>
    </w:p>
    <w:p w14:paraId="3CE14A03"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командир 2 взвода 5 роты 39 полка 14 румынской пехотной дивизии лейтенант Константин Лечинте рассказал: «В первой половине апреля наш полк был разгромлен. Многие солдаты, не желавшие драться за немцев, разбежались. Только остаткам 3 батальона удалось переправиться через реку Днестр. Командир полка полковник Маринеску был снят с должности и отдан под суд. Нашу дивизию пополнили и снова отправили на передний край. На днях 5 рота получила приказ захватить участок шоссейной дороги. Нас заверили, что мы без потерь захватим русские позиции, так как их обороняют всего лишь 60 солдат. Во время атаки всё перепуталось. Мы попали под перекрёстный ружейно-пулемётный огонь русских. Атака стоила нам многих жертв, но не дала никаких результатов. Я отбился от своих и был взят в плен» (14915).</w:t>
      </w:r>
    </w:p>
    <w:p w14:paraId="29E13766" w14:textId="77777777" w:rsidR="00C074FF" w:rsidRPr="00070ADE" w:rsidRDefault="00C074FF" w:rsidP="00B56F90">
      <w:pPr>
        <w:spacing w:after="0" w:line="240" w:lineRule="auto"/>
        <w:jc w:val="both"/>
        <w:rPr>
          <w:rFonts w:ascii="Times New Roman" w:hAnsi="Times New Roman"/>
          <w:color w:val="000000" w:themeColor="text1"/>
          <w:sz w:val="16"/>
          <w:szCs w:val="16"/>
        </w:rPr>
      </w:pPr>
    </w:p>
    <w:p w14:paraId="401703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FW-200 Кондор взлетел с аэродрома в Банаке и взял курс на Землю Франца-Иосифа, где тайной немецкой радиостанции требовалась помощь. При посадке повредили шасси и потребовалась помощь лл BV-222V-2 Викинг, который вылетел 8 июня и 11 июня вернулся, доставив все необходимое для ремонта Кондора (3078,26).</w:t>
      </w:r>
    </w:p>
    <w:p w14:paraId="4DEED9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167D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на третий день после посадки перегонщики PBN-1, отдохнув, совершили полет с инспектором по пилотированию ВВС Северного флота майором Макаровым. Три из четырех первых лодок перегнали затем в Лахту для авиации Беломорской флотилии. В тот же день на одном PBN-1 вылетел экипаж командира полка С.М. Рубана (3457,127).</w:t>
      </w:r>
    </w:p>
    <w:p w14:paraId="7CCC71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32B7C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16C0CF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414CBB" w14:textId="77777777" w:rsidR="006A61CD" w:rsidRPr="00070ADE" w:rsidRDefault="006A61C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 июня (ночь) 1944 337 британских бомбардировщиков точно поражают французские железнодорожные станции в Ашере, Жювизи, Масси-Палезо и Версале. Немецкие ночные истребители перехватывают их, и 28 бомбардировщиков (8,3% сил) потеряны (20373).</w:t>
      </w:r>
    </w:p>
    <w:p w14:paraId="63295F73" w14:textId="77777777" w:rsidR="006A61CD" w:rsidRPr="00070ADE" w:rsidRDefault="006A61CD" w:rsidP="00B56F90">
      <w:pPr>
        <w:spacing w:after="0" w:line="240" w:lineRule="auto"/>
        <w:jc w:val="both"/>
        <w:rPr>
          <w:rFonts w:ascii="Times New Roman" w:hAnsi="Times New Roman"/>
          <w:color w:val="000000" w:themeColor="text1"/>
          <w:sz w:val="16"/>
          <w:szCs w:val="16"/>
        </w:rPr>
      </w:pPr>
    </w:p>
    <w:p w14:paraId="453F9D7D" w14:textId="77777777" w:rsidR="006A61CD" w:rsidRPr="00070ADE" w:rsidRDefault="006A61C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7–8 июня (ночь) 1944 122 британских бомбардировщика совершили налет на транспортную развязку с шестью полосами движения в Нормандии, потеряв два самолета. Рейд точный (20373).</w:t>
      </w:r>
    </w:p>
    <w:p w14:paraId="34898EAA" w14:textId="77777777" w:rsidR="006A61CD" w:rsidRPr="00070ADE" w:rsidRDefault="006A61CD" w:rsidP="00B56F90">
      <w:pPr>
        <w:spacing w:after="0" w:line="240" w:lineRule="auto"/>
        <w:jc w:val="both"/>
        <w:rPr>
          <w:rFonts w:ascii="Times New Roman" w:hAnsi="Times New Roman"/>
          <w:color w:val="000000" w:themeColor="text1"/>
          <w:sz w:val="16"/>
          <w:szCs w:val="16"/>
        </w:rPr>
      </w:pPr>
    </w:p>
    <w:p w14:paraId="7DD2AD1B"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7 июня</w:t>
      </w:r>
      <w:r w:rsidRPr="00070ADE">
        <w:rPr>
          <w:rFonts w:ascii="Times New Roman" w:hAnsi="Times New Roman"/>
          <w:color w:val="000000" w:themeColor="text1"/>
          <w:sz w:val="16"/>
          <w:szCs w:val="16"/>
        </w:rPr>
        <w:t xml:space="preserve"> в 1944 году Й.Геббельс призвал немецкое гражданское население расправляться с американскими и британскими летчиками, чьи самолеты сбиты над Германией (14915).</w:t>
      </w:r>
    </w:p>
    <w:p w14:paraId="1647F127" w14:textId="77777777" w:rsidR="00C074FF" w:rsidRPr="00070ADE" w:rsidRDefault="00C074FF" w:rsidP="00B56F90">
      <w:pPr>
        <w:spacing w:after="0" w:line="240" w:lineRule="auto"/>
        <w:jc w:val="both"/>
        <w:rPr>
          <w:rFonts w:ascii="Times New Roman" w:hAnsi="Times New Roman"/>
          <w:color w:val="000000" w:themeColor="text1"/>
          <w:sz w:val="16"/>
          <w:szCs w:val="16"/>
        </w:rPr>
      </w:pPr>
    </w:p>
    <w:p w14:paraId="60FB20E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бельгийский король Леопольд III арестован нацистами и перевезен в Дрезден (4962).</w:t>
      </w:r>
    </w:p>
    <w:p w14:paraId="1D29756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89376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в Нормандии солдатами дивизии СС “Гитлер-югенд” казнены 34 канадских пленных (4962).</w:t>
      </w:r>
    </w:p>
    <w:p w14:paraId="5D1F152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7A5AF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во время высадки союзников в Нормандии совершена самая массовая спасательная операция без потери жизней - спасены все 2689 человек, находившихся на тонущем корабле “Сюзан Энтони” (4962).</w:t>
      </w:r>
    </w:p>
    <w:p w14:paraId="4D01B17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0211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7th, 1944: In the West, US forces landed in Normandy link up with elements of the British 6th Airborne Division South of Caen (3819).</w:t>
      </w:r>
    </w:p>
    <w:p w14:paraId="4B606B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D0839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июня 1944 силы США соединились с британскими десантниками к югу от Кайена (3819).</w:t>
      </w:r>
    </w:p>
    <w:p w14:paraId="4FA431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0D443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CFDC3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3271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июня 1944 Зам. Нач. 7ГУ Алексеев подготовил сводку г-7 № 7591 о ходе испытаний высотных самолетов на 7 июня 1944 по Як-9 М-105ПД, Ла-5 АШ-82ФН и 2ТК-3, МиГ АМ-39А и 2ТК-2Б (1825).</w:t>
      </w:r>
    </w:p>
    <w:p w14:paraId="20473F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ИСТРЕБИТЕЛЬ ЯК-9 С ВК-105ПФ И ДВУХСТУПЕНЧАТЫМ НАГНЕТАТЕЛЕМ</w:t>
      </w:r>
    </w:p>
    <w:p w14:paraId="684A6A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Производились работы по установке мотора с уменьшенной высотностью.</w:t>
      </w:r>
    </w:p>
    <w:p w14:paraId="09DDF0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ВЫСОТНЫЙ ИСТРЕБИТЕЛЬ ЛА-5 С АШ-82ФН и 2ТК-3.</w:t>
      </w:r>
    </w:p>
    <w:p w14:paraId="225F81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Производились работы по замене центрального бензобака, эжекторной псмпы и улчшению дефлектирования.</w:t>
      </w:r>
    </w:p>
    <w:p w14:paraId="4509AE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ВЫСОТНЫЙ ИСТРЕБИТЕЛЬ МИГ С АМ-39Б И 2ТК-2Б.</w:t>
      </w:r>
    </w:p>
    <w:p w14:paraId="1F673A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Прсизводились работы по установке приборов и замеру давлений в бензосистеме самолета при работе винтомоторной группы на земле. По показа</w:t>
      </w:r>
      <w:r w:rsidRPr="00070ADE">
        <w:rPr>
          <w:rFonts w:ascii="Times New Roman" w:hAnsi="Times New Roman"/>
          <w:color w:val="000000" w:themeColor="text1"/>
          <w:sz w:val="16"/>
          <w:szCs w:val="16"/>
        </w:rPr>
        <w:softHyphen/>
        <w:t>нию приборов давления бензина в бензосистеме - нориальное.</w:t>
      </w:r>
    </w:p>
    <w:p w14:paraId="5634BF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подготовлен к полетам на 8 июня с. г. (1825).</w:t>
      </w:r>
    </w:p>
    <w:p w14:paraId="40AD9E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A9DF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июня 1944 на Ла-5 АШ-82ФН + 2ТК-3 был выполнен контрольный полет до 4500 после замены центрального бензобака, а на МиГ АМ-39Б _ 2ТК-2Б был выполнен полет на замер давления в бензосистеме. летали 0:40 до 7000 м и начиная с 3000 м падало давление бензина (1825).</w:t>
      </w:r>
    </w:p>
    <w:p w14:paraId="12E740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AD86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июля 1944 был произведен полет МИГ С АМ-39Б И 2ТК-2Б на замер давлений в бензосистеме самолета. Продолжительность полета - 40 мин, высота - 7000 мт. Начиная с высоты - 3000 мт началось падение давле</w:t>
      </w:r>
      <w:r w:rsidRPr="00070ADE">
        <w:rPr>
          <w:rFonts w:ascii="Times New Roman" w:hAnsi="Times New Roman"/>
          <w:color w:val="000000" w:themeColor="text1"/>
          <w:sz w:val="16"/>
          <w:szCs w:val="16"/>
        </w:rPr>
        <w:softHyphen/>
        <w:t>ния бензина и с высоты - 7000 мт давление бензина стало падать более резко. Причиной падения давле</w:t>
      </w:r>
      <w:r w:rsidRPr="00070ADE">
        <w:rPr>
          <w:rFonts w:ascii="Times New Roman" w:hAnsi="Times New Roman"/>
          <w:color w:val="000000" w:themeColor="text1"/>
          <w:sz w:val="16"/>
          <w:szCs w:val="16"/>
        </w:rPr>
        <w:softHyphen/>
        <w:t>ния бензина на высоте является неудовлетворитель</w:t>
      </w:r>
      <w:r w:rsidRPr="00070ADE">
        <w:rPr>
          <w:rFonts w:ascii="Times New Roman" w:hAnsi="Times New Roman"/>
          <w:color w:val="000000" w:themeColor="text1"/>
          <w:sz w:val="16"/>
          <w:szCs w:val="16"/>
        </w:rPr>
        <w:softHyphen/>
        <w:t>ная работа эжекторной помпы, которая по техничес</w:t>
      </w:r>
      <w:r w:rsidRPr="00070ADE">
        <w:rPr>
          <w:rFonts w:ascii="Times New Roman" w:hAnsi="Times New Roman"/>
          <w:color w:val="000000" w:themeColor="text1"/>
          <w:sz w:val="16"/>
          <w:szCs w:val="16"/>
        </w:rPr>
        <w:softHyphen/>
        <w:t>ким условиям должна обеспечивать нормальное пита</w:t>
      </w:r>
      <w:r w:rsidRPr="00070ADE">
        <w:rPr>
          <w:rFonts w:ascii="Times New Roman" w:hAnsi="Times New Roman"/>
          <w:color w:val="000000" w:themeColor="text1"/>
          <w:sz w:val="16"/>
          <w:szCs w:val="16"/>
        </w:rPr>
        <w:softHyphen/>
        <w:t>ние топливом до высоты 11000-12000 мт (1825).</w:t>
      </w:r>
    </w:p>
    <w:p w14:paraId="3815BB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BC6202" w14:textId="77777777" w:rsidR="000340E9" w:rsidRPr="00070ADE" w:rsidRDefault="000340E9" w:rsidP="00B56F90">
      <w:pPr>
        <w:spacing w:after="0" w:line="240" w:lineRule="auto"/>
        <w:jc w:val="both"/>
        <w:rPr>
          <w:rFonts w:ascii="Times New Roman" w:hAnsi="Times New Roman"/>
          <w:color w:val="000000" w:themeColor="text1"/>
          <w:sz w:val="16"/>
          <w:szCs w:val="16"/>
        </w:rPr>
      </w:pPr>
      <w:bookmarkStart w:id="66" w:name="p7"/>
      <w:r w:rsidRPr="00070ADE">
        <w:rPr>
          <w:rFonts w:ascii="Times New Roman" w:hAnsi="Times New Roman"/>
          <w:color w:val="000000" w:themeColor="text1"/>
          <w:sz w:val="16"/>
          <w:szCs w:val="16"/>
        </w:rPr>
        <w:t xml:space="preserve">8 июня 1944 г. Акт по испытаиям винтов </w:t>
      </w:r>
      <w:bookmarkEnd w:id="66"/>
      <w:r w:rsidRPr="00070ADE">
        <w:rPr>
          <w:rFonts w:ascii="Times New Roman" w:hAnsi="Times New Roman"/>
          <w:color w:val="000000" w:themeColor="text1"/>
          <w:sz w:val="16"/>
          <w:szCs w:val="16"/>
        </w:rPr>
        <w:t xml:space="preserve">ВИШ-327-Д25 </w:t>
      </w:r>
    </w:p>
    <w:tbl>
      <w:tblPr>
        <w:tblW w:w="4800" w:type="pct"/>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4A0" w:firstRow="1" w:lastRow="0" w:firstColumn="1" w:lastColumn="0" w:noHBand="0" w:noVBand="1"/>
      </w:tblPr>
      <w:tblGrid>
        <w:gridCol w:w="2630"/>
        <w:gridCol w:w="709"/>
        <w:gridCol w:w="1521"/>
        <w:gridCol w:w="6015"/>
      </w:tblGrid>
      <w:tr w:rsidR="004D4663" w:rsidRPr="00070ADE" w14:paraId="7BEA56B1" w14:textId="77777777" w:rsidTr="004703C2">
        <w:trPr>
          <w:tblCellSpacing w:w="7" w:type="dxa"/>
          <w:jc w:val="center"/>
        </w:trPr>
        <w:tc>
          <w:tcPr>
            <w:tcW w:w="0" w:type="auto"/>
            <w:gridSpan w:val="4"/>
            <w:vAlign w:val="center"/>
            <w:hideMark/>
          </w:tcPr>
          <w:p w14:paraId="3A08BA92" w14:textId="74D097A1"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Винт ВИШ-327-Д25.</w:t>
            </w:r>
            <w:r w:rsidR="00C63BA9">
              <w:rPr>
                <w:rFonts w:ascii="Times New Roman" w:hAnsi="Times New Roman"/>
                <w:bCs/>
                <w:color w:val="000000" w:themeColor="text1"/>
                <w:sz w:val="16"/>
                <w:szCs w:val="16"/>
              </w:rPr>
              <w:t xml:space="preserve">  </w:t>
            </w:r>
            <w:r w:rsidRPr="00070ADE">
              <w:rPr>
                <w:rFonts w:ascii="Times New Roman" w:hAnsi="Times New Roman"/>
                <w:bCs/>
                <w:color w:val="000000" w:themeColor="text1"/>
                <w:sz w:val="16"/>
                <w:szCs w:val="16"/>
              </w:rPr>
              <w:t>Производство завода № 27 и № 383.</w:t>
            </w:r>
            <w:r w:rsidR="00C63BA9">
              <w:rPr>
                <w:rFonts w:ascii="Times New Roman" w:hAnsi="Times New Roman"/>
                <w:bCs/>
                <w:color w:val="000000" w:themeColor="text1"/>
                <w:sz w:val="16"/>
                <w:szCs w:val="16"/>
              </w:rPr>
              <w:t xml:space="preserve">  </w:t>
            </w:r>
            <w:r w:rsidRPr="00070ADE">
              <w:rPr>
                <w:rFonts w:ascii="Times New Roman" w:hAnsi="Times New Roman"/>
                <w:bCs/>
                <w:color w:val="000000" w:themeColor="text1"/>
                <w:sz w:val="16"/>
                <w:szCs w:val="16"/>
              </w:rPr>
              <w:t>Конструктор Заславский, Бас-Дубов и Гришин.</w:t>
            </w:r>
          </w:p>
        </w:tc>
      </w:tr>
      <w:tr w:rsidR="004D4663" w:rsidRPr="00070ADE" w14:paraId="7CCDAAB1" w14:textId="77777777" w:rsidTr="004703C2">
        <w:trPr>
          <w:tblCellSpacing w:w="7" w:type="dxa"/>
          <w:jc w:val="center"/>
        </w:trPr>
        <w:tc>
          <w:tcPr>
            <w:tcW w:w="0" w:type="auto"/>
            <w:vAlign w:val="center"/>
            <w:hideMark/>
          </w:tcPr>
          <w:p w14:paraId="680CB477"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винта</w:t>
            </w:r>
          </w:p>
        </w:tc>
        <w:tc>
          <w:tcPr>
            <w:tcW w:w="0" w:type="auto"/>
            <w:vAlign w:val="center"/>
            <w:hideMark/>
          </w:tcPr>
          <w:p w14:paraId="4A743649"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механич.</w:t>
            </w:r>
          </w:p>
        </w:tc>
        <w:tc>
          <w:tcPr>
            <w:tcW w:w="0" w:type="auto"/>
            <w:vMerge w:val="restart"/>
            <w:vAlign w:val="center"/>
            <w:hideMark/>
          </w:tcPr>
          <w:p w14:paraId="67536E6D"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Предназначен для</w:t>
            </w:r>
          </w:p>
          <w:p w14:paraId="06C0389F"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установки на самолетах</w:t>
            </w:r>
          </w:p>
        </w:tc>
        <w:tc>
          <w:tcPr>
            <w:tcW w:w="0" w:type="auto"/>
            <w:vMerge w:val="restart"/>
            <w:vAlign w:val="center"/>
            <w:hideMark/>
          </w:tcPr>
          <w:p w14:paraId="1748EA41"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Ще-2 с моторами М-11Д,</w:t>
            </w:r>
          </w:p>
          <w:p w14:paraId="634F85D2"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Як-6 с моторами М-11Д.</w:t>
            </w:r>
          </w:p>
        </w:tc>
      </w:tr>
      <w:tr w:rsidR="004D4663" w:rsidRPr="00070ADE" w14:paraId="2EE161AA" w14:textId="77777777" w:rsidTr="004703C2">
        <w:trPr>
          <w:tblCellSpacing w:w="7" w:type="dxa"/>
          <w:jc w:val="center"/>
        </w:trPr>
        <w:tc>
          <w:tcPr>
            <w:tcW w:w="0" w:type="auto"/>
            <w:vAlign w:val="center"/>
            <w:hideMark/>
          </w:tcPr>
          <w:p w14:paraId="791A4D98"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Схема действия</w:t>
            </w:r>
          </w:p>
        </w:tc>
        <w:tc>
          <w:tcPr>
            <w:tcW w:w="0" w:type="auto"/>
            <w:vAlign w:val="center"/>
            <w:hideMark/>
          </w:tcPr>
          <w:p w14:paraId="011FC5D2"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0" w:type="auto"/>
            <w:vMerge/>
            <w:vAlign w:val="center"/>
            <w:hideMark/>
          </w:tcPr>
          <w:p w14:paraId="3AF4B7AC" w14:textId="77777777" w:rsidR="000340E9" w:rsidRPr="00070ADE" w:rsidRDefault="000340E9" w:rsidP="00B56F90">
            <w:pPr>
              <w:spacing w:after="0" w:line="240" w:lineRule="auto"/>
              <w:jc w:val="both"/>
              <w:rPr>
                <w:rFonts w:ascii="Times New Roman" w:hAnsi="Times New Roman"/>
                <w:color w:val="000000" w:themeColor="text1"/>
                <w:sz w:val="16"/>
                <w:szCs w:val="16"/>
              </w:rPr>
            </w:pPr>
          </w:p>
        </w:tc>
        <w:tc>
          <w:tcPr>
            <w:tcW w:w="0" w:type="auto"/>
            <w:vMerge/>
            <w:vAlign w:val="center"/>
            <w:hideMark/>
          </w:tcPr>
          <w:p w14:paraId="593705AB" w14:textId="77777777" w:rsidR="000340E9" w:rsidRPr="00070ADE" w:rsidRDefault="000340E9" w:rsidP="00B56F90">
            <w:pPr>
              <w:spacing w:after="0" w:line="240" w:lineRule="auto"/>
              <w:jc w:val="both"/>
              <w:rPr>
                <w:rFonts w:ascii="Times New Roman" w:hAnsi="Times New Roman"/>
                <w:color w:val="000000" w:themeColor="text1"/>
                <w:sz w:val="16"/>
                <w:szCs w:val="16"/>
              </w:rPr>
            </w:pPr>
          </w:p>
        </w:tc>
      </w:tr>
      <w:tr w:rsidR="004D4663" w:rsidRPr="00070ADE" w14:paraId="4D8A6457" w14:textId="77777777" w:rsidTr="004703C2">
        <w:trPr>
          <w:tblCellSpacing w:w="7" w:type="dxa"/>
          <w:jc w:val="center"/>
        </w:trPr>
        <w:tc>
          <w:tcPr>
            <w:tcW w:w="0" w:type="auto"/>
            <w:vAlign w:val="center"/>
            <w:hideMark/>
          </w:tcPr>
          <w:p w14:paraId="176C89DB"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Число лопастей</w:t>
            </w:r>
          </w:p>
        </w:tc>
        <w:tc>
          <w:tcPr>
            <w:tcW w:w="0" w:type="auto"/>
            <w:vAlign w:val="center"/>
            <w:hideMark/>
          </w:tcPr>
          <w:p w14:paraId="39F15AE5"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0" w:type="auto"/>
            <w:gridSpan w:val="2"/>
            <w:vMerge w:val="restart"/>
            <w:vAlign w:val="center"/>
            <w:hideMark/>
          </w:tcPr>
          <w:p w14:paraId="7B38CFD7" w14:textId="77777777" w:rsidR="000340E9" w:rsidRPr="00070ADE" w:rsidRDefault="000340E9" w:rsidP="00B56F90">
            <w:pPr>
              <w:spacing w:after="0" w:line="240" w:lineRule="auto"/>
              <w:jc w:val="both"/>
              <w:rPr>
                <w:rFonts w:ascii="Times New Roman" w:hAnsi="Times New Roman"/>
                <w:color w:val="000000" w:themeColor="text1"/>
                <w:sz w:val="16"/>
                <w:szCs w:val="16"/>
              </w:rPr>
            </w:pPr>
          </w:p>
        </w:tc>
      </w:tr>
      <w:tr w:rsidR="004D4663" w:rsidRPr="00070ADE" w14:paraId="370D165C" w14:textId="77777777" w:rsidTr="004703C2">
        <w:trPr>
          <w:tblCellSpacing w:w="7" w:type="dxa"/>
          <w:jc w:val="center"/>
        </w:trPr>
        <w:tc>
          <w:tcPr>
            <w:tcW w:w="0" w:type="auto"/>
            <w:vAlign w:val="center"/>
            <w:hideMark/>
          </w:tcPr>
          <w:p w14:paraId="5138338C"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Материал лопастей</w:t>
            </w:r>
          </w:p>
        </w:tc>
        <w:tc>
          <w:tcPr>
            <w:tcW w:w="0" w:type="auto"/>
            <w:vAlign w:val="center"/>
            <w:hideMark/>
          </w:tcPr>
          <w:p w14:paraId="741E68CF"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дерево</w:t>
            </w:r>
          </w:p>
        </w:tc>
        <w:tc>
          <w:tcPr>
            <w:tcW w:w="0" w:type="auto"/>
            <w:gridSpan w:val="2"/>
            <w:vMerge/>
            <w:vAlign w:val="center"/>
            <w:hideMark/>
          </w:tcPr>
          <w:p w14:paraId="4DA7BD11" w14:textId="77777777" w:rsidR="000340E9" w:rsidRPr="00070ADE" w:rsidRDefault="000340E9" w:rsidP="00B56F90">
            <w:pPr>
              <w:spacing w:after="0" w:line="240" w:lineRule="auto"/>
              <w:jc w:val="both"/>
              <w:rPr>
                <w:rFonts w:ascii="Times New Roman" w:hAnsi="Times New Roman"/>
                <w:color w:val="000000" w:themeColor="text1"/>
                <w:sz w:val="16"/>
                <w:szCs w:val="16"/>
              </w:rPr>
            </w:pPr>
          </w:p>
        </w:tc>
      </w:tr>
      <w:tr w:rsidR="004D4663" w:rsidRPr="00070ADE" w14:paraId="1F1A9F21" w14:textId="77777777" w:rsidTr="004703C2">
        <w:trPr>
          <w:tblCellSpacing w:w="7" w:type="dxa"/>
          <w:jc w:val="center"/>
        </w:trPr>
        <w:tc>
          <w:tcPr>
            <w:tcW w:w="0" w:type="auto"/>
            <w:vAlign w:val="center"/>
            <w:hideMark/>
          </w:tcPr>
          <w:p w14:paraId="0C1F9174"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Диаметр винта (м)</w:t>
            </w:r>
          </w:p>
        </w:tc>
        <w:tc>
          <w:tcPr>
            <w:tcW w:w="0" w:type="auto"/>
            <w:vAlign w:val="center"/>
            <w:hideMark/>
          </w:tcPr>
          <w:p w14:paraId="321BD44D"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0" w:type="auto"/>
            <w:gridSpan w:val="2"/>
            <w:vMerge/>
            <w:vAlign w:val="center"/>
            <w:hideMark/>
          </w:tcPr>
          <w:p w14:paraId="70AC5A8C" w14:textId="77777777" w:rsidR="000340E9" w:rsidRPr="00070ADE" w:rsidRDefault="000340E9" w:rsidP="00B56F90">
            <w:pPr>
              <w:spacing w:after="0" w:line="240" w:lineRule="auto"/>
              <w:jc w:val="both"/>
              <w:rPr>
                <w:rFonts w:ascii="Times New Roman" w:hAnsi="Times New Roman"/>
                <w:color w:val="000000" w:themeColor="text1"/>
                <w:sz w:val="16"/>
                <w:szCs w:val="16"/>
              </w:rPr>
            </w:pPr>
          </w:p>
        </w:tc>
      </w:tr>
      <w:tr w:rsidR="004D4663" w:rsidRPr="00070ADE" w14:paraId="1D2CDE55" w14:textId="77777777" w:rsidTr="004703C2">
        <w:trPr>
          <w:tblCellSpacing w:w="7" w:type="dxa"/>
          <w:jc w:val="center"/>
        </w:trPr>
        <w:tc>
          <w:tcPr>
            <w:tcW w:w="0" w:type="auto"/>
            <w:vAlign w:val="center"/>
            <w:hideMark/>
          </w:tcPr>
          <w:p w14:paraId="5B57689D"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ширина лопасти (мм)</w:t>
            </w:r>
          </w:p>
        </w:tc>
        <w:tc>
          <w:tcPr>
            <w:tcW w:w="0" w:type="auto"/>
            <w:vAlign w:val="center"/>
            <w:hideMark/>
          </w:tcPr>
          <w:p w14:paraId="43552EA5"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237</w:t>
            </w:r>
          </w:p>
        </w:tc>
        <w:tc>
          <w:tcPr>
            <w:tcW w:w="0" w:type="auto"/>
            <w:gridSpan w:val="2"/>
            <w:vMerge/>
            <w:vAlign w:val="center"/>
            <w:hideMark/>
          </w:tcPr>
          <w:p w14:paraId="35EB4117" w14:textId="77777777" w:rsidR="000340E9" w:rsidRPr="00070ADE" w:rsidRDefault="000340E9" w:rsidP="00B56F90">
            <w:pPr>
              <w:spacing w:after="0" w:line="240" w:lineRule="auto"/>
              <w:jc w:val="both"/>
              <w:rPr>
                <w:rFonts w:ascii="Times New Roman" w:hAnsi="Times New Roman"/>
                <w:color w:val="000000" w:themeColor="text1"/>
                <w:sz w:val="16"/>
                <w:szCs w:val="16"/>
              </w:rPr>
            </w:pPr>
          </w:p>
        </w:tc>
      </w:tr>
      <w:tr w:rsidR="004D4663" w:rsidRPr="00070ADE" w14:paraId="31F7D204" w14:textId="77777777" w:rsidTr="004703C2">
        <w:trPr>
          <w:tblCellSpacing w:w="7" w:type="dxa"/>
          <w:jc w:val="center"/>
        </w:trPr>
        <w:tc>
          <w:tcPr>
            <w:tcW w:w="0" w:type="auto"/>
            <w:vAlign w:val="center"/>
            <w:hideMark/>
          </w:tcPr>
          <w:p w14:paraId="5D5A2796"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Относительная толщина лопасти на 0,9 r (%)</w:t>
            </w:r>
          </w:p>
        </w:tc>
        <w:tc>
          <w:tcPr>
            <w:tcW w:w="0" w:type="auto"/>
            <w:vAlign w:val="center"/>
            <w:hideMark/>
          </w:tcPr>
          <w:p w14:paraId="66AD94FC"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w:t>
            </w:r>
          </w:p>
        </w:tc>
        <w:tc>
          <w:tcPr>
            <w:tcW w:w="0" w:type="auto"/>
            <w:gridSpan w:val="2"/>
            <w:vMerge/>
            <w:vAlign w:val="center"/>
            <w:hideMark/>
          </w:tcPr>
          <w:p w14:paraId="2C396C2D" w14:textId="77777777" w:rsidR="000340E9" w:rsidRPr="00070ADE" w:rsidRDefault="000340E9" w:rsidP="00B56F90">
            <w:pPr>
              <w:spacing w:after="0" w:line="240" w:lineRule="auto"/>
              <w:jc w:val="both"/>
              <w:rPr>
                <w:rFonts w:ascii="Times New Roman" w:hAnsi="Times New Roman"/>
                <w:color w:val="000000" w:themeColor="text1"/>
                <w:sz w:val="16"/>
                <w:szCs w:val="16"/>
              </w:rPr>
            </w:pPr>
          </w:p>
        </w:tc>
      </w:tr>
      <w:tr w:rsidR="004D4663" w:rsidRPr="00070ADE" w14:paraId="7FCF742E" w14:textId="77777777" w:rsidTr="004703C2">
        <w:trPr>
          <w:tblCellSpacing w:w="7" w:type="dxa"/>
          <w:jc w:val="center"/>
        </w:trPr>
        <w:tc>
          <w:tcPr>
            <w:tcW w:w="0" w:type="auto"/>
            <w:vAlign w:val="center"/>
            <w:hideMark/>
          </w:tcPr>
          <w:p w14:paraId="0B40AADD"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Профиль сечения лопасти</w:t>
            </w:r>
          </w:p>
        </w:tc>
        <w:tc>
          <w:tcPr>
            <w:tcW w:w="0" w:type="auto"/>
            <w:vAlign w:val="center"/>
            <w:hideMark/>
          </w:tcPr>
          <w:p w14:paraId="4AE797BB"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0" w:type="auto"/>
            <w:gridSpan w:val="2"/>
            <w:vMerge/>
            <w:vAlign w:val="center"/>
            <w:hideMark/>
          </w:tcPr>
          <w:p w14:paraId="31B4CAA9" w14:textId="77777777" w:rsidR="000340E9" w:rsidRPr="00070ADE" w:rsidRDefault="000340E9" w:rsidP="00B56F90">
            <w:pPr>
              <w:spacing w:after="0" w:line="240" w:lineRule="auto"/>
              <w:jc w:val="both"/>
              <w:rPr>
                <w:rFonts w:ascii="Times New Roman" w:hAnsi="Times New Roman"/>
                <w:color w:val="000000" w:themeColor="text1"/>
                <w:sz w:val="16"/>
                <w:szCs w:val="16"/>
              </w:rPr>
            </w:pPr>
          </w:p>
        </w:tc>
      </w:tr>
      <w:tr w:rsidR="004D4663" w:rsidRPr="00070ADE" w14:paraId="3660185E" w14:textId="77777777" w:rsidTr="004703C2">
        <w:trPr>
          <w:tblCellSpacing w:w="7" w:type="dxa"/>
          <w:jc w:val="center"/>
        </w:trPr>
        <w:tc>
          <w:tcPr>
            <w:tcW w:w="0" w:type="auto"/>
            <w:vAlign w:val="center"/>
            <w:hideMark/>
          </w:tcPr>
          <w:p w14:paraId="54A91128"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Диапазон поворота лопастей (град.)</w:t>
            </w:r>
          </w:p>
        </w:tc>
        <w:tc>
          <w:tcPr>
            <w:tcW w:w="0" w:type="auto"/>
            <w:vAlign w:val="center"/>
            <w:hideMark/>
          </w:tcPr>
          <w:p w14:paraId="7503FC87"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tc>
        <w:tc>
          <w:tcPr>
            <w:tcW w:w="0" w:type="auto"/>
            <w:gridSpan w:val="2"/>
            <w:vMerge/>
            <w:vAlign w:val="center"/>
            <w:hideMark/>
          </w:tcPr>
          <w:p w14:paraId="34FBAE72" w14:textId="77777777" w:rsidR="000340E9" w:rsidRPr="00070ADE" w:rsidRDefault="000340E9" w:rsidP="00B56F90">
            <w:pPr>
              <w:spacing w:after="0" w:line="240" w:lineRule="auto"/>
              <w:jc w:val="both"/>
              <w:rPr>
                <w:rFonts w:ascii="Times New Roman" w:hAnsi="Times New Roman"/>
                <w:color w:val="000000" w:themeColor="text1"/>
                <w:sz w:val="16"/>
                <w:szCs w:val="16"/>
              </w:rPr>
            </w:pPr>
          </w:p>
        </w:tc>
      </w:tr>
      <w:tr w:rsidR="004D4663" w:rsidRPr="00070ADE" w14:paraId="7E333A45" w14:textId="77777777" w:rsidTr="004703C2">
        <w:trPr>
          <w:tblCellSpacing w:w="7" w:type="dxa"/>
          <w:jc w:val="center"/>
        </w:trPr>
        <w:tc>
          <w:tcPr>
            <w:tcW w:w="0" w:type="auto"/>
            <w:vAlign w:val="center"/>
            <w:hideMark/>
          </w:tcPr>
          <w:p w14:paraId="1F939688"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Минимальный установочный угол</w:t>
            </w:r>
          </w:p>
          <w:p w14:paraId="7C02A4B6"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лопастей (град.)</w:t>
            </w:r>
          </w:p>
        </w:tc>
        <w:tc>
          <w:tcPr>
            <w:tcW w:w="0" w:type="auto"/>
            <w:vAlign w:val="center"/>
            <w:hideMark/>
          </w:tcPr>
          <w:p w14:paraId="0C75DAFF"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tc>
        <w:tc>
          <w:tcPr>
            <w:tcW w:w="0" w:type="auto"/>
            <w:gridSpan w:val="2"/>
            <w:vMerge/>
            <w:vAlign w:val="center"/>
            <w:hideMark/>
          </w:tcPr>
          <w:p w14:paraId="205F2C4D" w14:textId="77777777" w:rsidR="000340E9" w:rsidRPr="00070ADE" w:rsidRDefault="000340E9" w:rsidP="00B56F90">
            <w:pPr>
              <w:spacing w:after="0" w:line="240" w:lineRule="auto"/>
              <w:jc w:val="both"/>
              <w:rPr>
                <w:rFonts w:ascii="Times New Roman" w:hAnsi="Times New Roman"/>
                <w:color w:val="000000" w:themeColor="text1"/>
                <w:sz w:val="16"/>
                <w:szCs w:val="16"/>
              </w:rPr>
            </w:pPr>
          </w:p>
        </w:tc>
      </w:tr>
      <w:tr w:rsidR="004D4663" w:rsidRPr="00070ADE" w14:paraId="2B532589" w14:textId="77777777" w:rsidTr="004703C2">
        <w:trPr>
          <w:tblCellSpacing w:w="7" w:type="dxa"/>
          <w:jc w:val="center"/>
        </w:trPr>
        <w:tc>
          <w:tcPr>
            <w:tcW w:w="0" w:type="auto"/>
            <w:vAlign w:val="center"/>
            <w:hideMark/>
          </w:tcPr>
          <w:p w14:paraId="0E4F6108"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лопасти (кг)</w:t>
            </w:r>
          </w:p>
        </w:tc>
        <w:tc>
          <w:tcPr>
            <w:tcW w:w="0" w:type="auto"/>
            <w:vAlign w:val="center"/>
            <w:hideMark/>
          </w:tcPr>
          <w:p w14:paraId="164A1C0B"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0" w:type="auto"/>
            <w:gridSpan w:val="2"/>
            <w:vMerge/>
            <w:vAlign w:val="center"/>
            <w:hideMark/>
          </w:tcPr>
          <w:p w14:paraId="342284F3" w14:textId="77777777" w:rsidR="000340E9" w:rsidRPr="00070ADE" w:rsidRDefault="000340E9" w:rsidP="00B56F90">
            <w:pPr>
              <w:spacing w:after="0" w:line="240" w:lineRule="auto"/>
              <w:jc w:val="both"/>
              <w:rPr>
                <w:rFonts w:ascii="Times New Roman" w:hAnsi="Times New Roman"/>
                <w:color w:val="000000" w:themeColor="text1"/>
                <w:sz w:val="16"/>
                <w:szCs w:val="16"/>
              </w:rPr>
            </w:pPr>
          </w:p>
        </w:tc>
      </w:tr>
      <w:tr w:rsidR="004D4663" w:rsidRPr="00070ADE" w14:paraId="71C88DAD" w14:textId="77777777" w:rsidTr="004703C2">
        <w:trPr>
          <w:tblCellSpacing w:w="7" w:type="dxa"/>
          <w:jc w:val="center"/>
        </w:trPr>
        <w:tc>
          <w:tcPr>
            <w:tcW w:w="0" w:type="auto"/>
            <w:vAlign w:val="center"/>
            <w:hideMark/>
          </w:tcPr>
          <w:p w14:paraId="2FD3C8A5"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винта (кг)</w:t>
            </w:r>
          </w:p>
        </w:tc>
        <w:tc>
          <w:tcPr>
            <w:tcW w:w="0" w:type="auto"/>
            <w:vAlign w:val="center"/>
            <w:hideMark/>
          </w:tcPr>
          <w:p w14:paraId="6AC52D8B"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42,6</w:t>
            </w:r>
          </w:p>
        </w:tc>
        <w:tc>
          <w:tcPr>
            <w:tcW w:w="0" w:type="auto"/>
            <w:gridSpan w:val="2"/>
            <w:vMerge/>
            <w:vAlign w:val="center"/>
            <w:hideMark/>
          </w:tcPr>
          <w:p w14:paraId="297111E7" w14:textId="77777777" w:rsidR="000340E9" w:rsidRPr="00070ADE" w:rsidRDefault="000340E9" w:rsidP="00B56F90">
            <w:pPr>
              <w:spacing w:after="0" w:line="240" w:lineRule="auto"/>
              <w:jc w:val="both"/>
              <w:rPr>
                <w:rFonts w:ascii="Times New Roman" w:hAnsi="Times New Roman"/>
                <w:color w:val="000000" w:themeColor="text1"/>
                <w:sz w:val="16"/>
                <w:szCs w:val="16"/>
              </w:rPr>
            </w:pPr>
          </w:p>
        </w:tc>
      </w:tr>
      <w:tr w:rsidR="004D4663" w:rsidRPr="00070ADE" w14:paraId="4BB69536" w14:textId="77777777" w:rsidTr="004703C2">
        <w:trPr>
          <w:tblCellSpacing w:w="7" w:type="dxa"/>
          <w:jc w:val="center"/>
        </w:trPr>
        <w:tc>
          <w:tcPr>
            <w:tcW w:w="0" w:type="auto"/>
            <w:vAlign w:val="center"/>
            <w:hideMark/>
          </w:tcPr>
          <w:p w14:paraId="35F01FFB"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Номинальное число оборотов мотора (об/мин)</w:t>
            </w:r>
          </w:p>
        </w:tc>
        <w:tc>
          <w:tcPr>
            <w:tcW w:w="0" w:type="auto"/>
            <w:vAlign w:val="center"/>
            <w:hideMark/>
          </w:tcPr>
          <w:p w14:paraId="5807BD05"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1700</w:t>
            </w:r>
          </w:p>
        </w:tc>
        <w:tc>
          <w:tcPr>
            <w:tcW w:w="0" w:type="auto"/>
            <w:gridSpan w:val="2"/>
            <w:vMerge/>
            <w:vAlign w:val="center"/>
            <w:hideMark/>
          </w:tcPr>
          <w:p w14:paraId="3BEB44AE" w14:textId="77777777" w:rsidR="000340E9" w:rsidRPr="00070ADE" w:rsidRDefault="000340E9" w:rsidP="00B56F90">
            <w:pPr>
              <w:spacing w:after="0" w:line="240" w:lineRule="auto"/>
              <w:jc w:val="both"/>
              <w:rPr>
                <w:rFonts w:ascii="Times New Roman" w:hAnsi="Times New Roman"/>
                <w:color w:val="000000" w:themeColor="text1"/>
                <w:sz w:val="16"/>
                <w:szCs w:val="16"/>
              </w:rPr>
            </w:pPr>
          </w:p>
        </w:tc>
      </w:tr>
      <w:tr w:rsidR="004D4663" w:rsidRPr="00070ADE" w14:paraId="34151929" w14:textId="77777777" w:rsidTr="004703C2">
        <w:trPr>
          <w:tblCellSpacing w:w="7" w:type="dxa"/>
          <w:jc w:val="center"/>
        </w:trPr>
        <w:tc>
          <w:tcPr>
            <w:tcW w:w="0" w:type="auto"/>
            <w:vAlign w:val="center"/>
            <w:hideMark/>
          </w:tcPr>
          <w:p w14:paraId="368715D4"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Редукция мотора</w:t>
            </w:r>
          </w:p>
        </w:tc>
        <w:tc>
          <w:tcPr>
            <w:tcW w:w="0" w:type="auto"/>
            <w:vAlign w:val="center"/>
            <w:hideMark/>
          </w:tcPr>
          <w:p w14:paraId="775D3E5A"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0" w:type="auto"/>
            <w:gridSpan w:val="2"/>
            <w:vMerge/>
            <w:vAlign w:val="center"/>
            <w:hideMark/>
          </w:tcPr>
          <w:p w14:paraId="4F2E08D1" w14:textId="77777777" w:rsidR="000340E9" w:rsidRPr="00070ADE" w:rsidRDefault="000340E9" w:rsidP="00B56F90">
            <w:pPr>
              <w:spacing w:after="0" w:line="240" w:lineRule="auto"/>
              <w:jc w:val="both"/>
              <w:rPr>
                <w:rFonts w:ascii="Times New Roman" w:hAnsi="Times New Roman"/>
                <w:color w:val="000000" w:themeColor="text1"/>
                <w:sz w:val="16"/>
                <w:szCs w:val="16"/>
              </w:rPr>
            </w:pPr>
          </w:p>
        </w:tc>
      </w:tr>
      <w:tr w:rsidR="004D4663" w:rsidRPr="00070ADE" w14:paraId="032CEAF4" w14:textId="77777777" w:rsidTr="004703C2">
        <w:trPr>
          <w:tblCellSpacing w:w="7" w:type="dxa"/>
          <w:jc w:val="center"/>
        </w:trPr>
        <w:tc>
          <w:tcPr>
            <w:tcW w:w="0" w:type="auto"/>
            <w:vAlign w:val="center"/>
            <w:hideMark/>
          </w:tcPr>
          <w:p w14:paraId="28730E91"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Направление вращения винта</w:t>
            </w:r>
          </w:p>
        </w:tc>
        <w:tc>
          <w:tcPr>
            <w:tcW w:w="0" w:type="auto"/>
            <w:vAlign w:val="center"/>
            <w:hideMark/>
          </w:tcPr>
          <w:p w14:paraId="61028DE4"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правое</w:t>
            </w:r>
          </w:p>
        </w:tc>
        <w:tc>
          <w:tcPr>
            <w:tcW w:w="0" w:type="auto"/>
            <w:vMerge w:val="restart"/>
            <w:vAlign w:val="center"/>
            <w:hideMark/>
          </w:tcPr>
          <w:p w14:paraId="3A0A4D07"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Состояние</w:t>
            </w:r>
          </w:p>
          <w:p w14:paraId="3839E048"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винта</w:t>
            </w:r>
          </w:p>
        </w:tc>
        <w:tc>
          <w:tcPr>
            <w:tcW w:w="0" w:type="auto"/>
            <w:vMerge w:val="restart"/>
            <w:vAlign w:val="center"/>
            <w:hideMark/>
          </w:tcPr>
          <w:p w14:paraId="1F5E02B9"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Винт испытания на с-те Ще-2 прошел удовлетворительно.</w:t>
            </w:r>
          </w:p>
          <w:p w14:paraId="749B4181"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Лопасти Д-25 увеличили летные данные незачительно и не могут бутьь признаны удачными для данного самолета.</w:t>
            </w:r>
          </w:p>
        </w:tc>
      </w:tr>
      <w:tr w:rsidR="004D4663" w:rsidRPr="00070ADE" w14:paraId="770F1CF4" w14:textId="77777777" w:rsidTr="004703C2">
        <w:trPr>
          <w:tblCellSpacing w:w="7" w:type="dxa"/>
          <w:jc w:val="center"/>
        </w:trPr>
        <w:tc>
          <w:tcPr>
            <w:tcW w:w="0" w:type="auto"/>
            <w:vAlign w:val="center"/>
            <w:hideMark/>
          </w:tcPr>
          <w:p w14:paraId="6D3E3422"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регулятора оборотов</w:t>
            </w:r>
          </w:p>
        </w:tc>
        <w:tc>
          <w:tcPr>
            <w:tcW w:w="0" w:type="auto"/>
            <w:vAlign w:val="center"/>
            <w:hideMark/>
          </w:tcPr>
          <w:p w14:paraId="0662DD9D"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0" w:type="auto"/>
            <w:vMerge/>
            <w:vAlign w:val="center"/>
            <w:hideMark/>
          </w:tcPr>
          <w:p w14:paraId="19DC91C0" w14:textId="77777777" w:rsidR="000340E9" w:rsidRPr="00070ADE" w:rsidRDefault="000340E9" w:rsidP="00B56F90">
            <w:pPr>
              <w:spacing w:after="0" w:line="240" w:lineRule="auto"/>
              <w:jc w:val="both"/>
              <w:rPr>
                <w:rFonts w:ascii="Times New Roman" w:hAnsi="Times New Roman"/>
                <w:color w:val="000000" w:themeColor="text1"/>
                <w:sz w:val="16"/>
                <w:szCs w:val="16"/>
              </w:rPr>
            </w:pPr>
          </w:p>
        </w:tc>
        <w:tc>
          <w:tcPr>
            <w:tcW w:w="0" w:type="auto"/>
            <w:vMerge/>
            <w:vAlign w:val="center"/>
            <w:hideMark/>
          </w:tcPr>
          <w:p w14:paraId="3DD031B1" w14:textId="77777777" w:rsidR="000340E9" w:rsidRPr="00070ADE" w:rsidRDefault="000340E9" w:rsidP="00B56F90">
            <w:pPr>
              <w:spacing w:after="0" w:line="240" w:lineRule="auto"/>
              <w:jc w:val="both"/>
              <w:rPr>
                <w:rFonts w:ascii="Times New Roman" w:hAnsi="Times New Roman"/>
                <w:color w:val="000000" w:themeColor="text1"/>
                <w:sz w:val="16"/>
                <w:szCs w:val="16"/>
              </w:rPr>
            </w:pPr>
          </w:p>
        </w:tc>
      </w:tr>
      <w:tr w:rsidR="004D4663" w:rsidRPr="00070ADE" w14:paraId="7E575BF2" w14:textId="77777777" w:rsidTr="004703C2">
        <w:trPr>
          <w:tblCellSpacing w:w="7" w:type="dxa"/>
          <w:jc w:val="center"/>
        </w:trPr>
        <w:tc>
          <w:tcPr>
            <w:tcW w:w="0" w:type="auto"/>
            <w:vAlign w:val="center"/>
            <w:hideMark/>
          </w:tcPr>
          <w:p w14:paraId="19D6ABB0"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Носок вала редуктора мотора</w:t>
            </w:r>
          </w:p>
        </w:tc>
        <w:tc>
          <w:tcPr>
            <w:tcW w:w="0" w:type="auto"/>
            <w:vAlign w:val="center"/>
            <w:hideMark/>
          </w:tcPr>
          <w:p w14:paraId="5B8539E8"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0" w:type="auto"/>
            <w:vMerge/>
            <w:vAlign w:val="center"/>
            <w:hideMark/>
          </w:tcPr>
          <w:p w14:paraId="210B5140" w14:textId="77777777" w:rsidR="000340E9" w:rsidRPr="00070ADE" w:rsidRDefault="000340E9" w:rsidP="00B56F90">
            <w:pPr>
              <w:spacing w:after="0" w:line="240" w:lineRule="auto"/>
              <w:jc w:val="both"/>
              <w:rPr>
                <w:rFonts w:ascii="Times New Roman" w:hAnsi="Times New Roman"/>
                <w:color w:val="000000" w:themeColor="text1"/>
                <w:sz w:val="16"/>
                <w:szCs w:val="16"/>
              </w:rPr>
            </w:pPr>
          </w:p>
        </w:tc>
        <w:tc>
          <w:tcPr>
            <w:tcW w:w="0" w:type="auto"/>
            <w:vMerge/>
            <w:vAlign w:val="center"/>
            <w:hideMark/>
          </w:tcPr>
          <w:p w14:paraId="4A38C12B" w14:textId="77777777" w:rsidR="000340E9" w:rsidRPr="00070ADE" w:rsidRDefault="000340E9" w:rsidP="00B56F90">
            <w:pPr>
              <w:spacing w:after="0" w:line="240" w:lineRule="auto"/>
              <w:jc w:val="both"/>
              <w:rPr>
                <w:rFonts w:ascii="Times New Roman" w:hAnsi="Times New Roman"/>
                <w:color w:val="000000" w:themeColor="text1"/>
                <w:sz w:val="16"/>
                <w:szCs w:val="16"/>
              </w:rPr>
            </w:pPr>
          </w:p>
        </w:tc>
      </w:tr>
      <w:tr w:rsidR="004D4663" w:rsidRPr="00070ADE" w14:paraId="65D4DC2C" w14:textId="77777777" w:rsidTr="004703C2">
        <w:trPr>
          <w:tblCellSpacing w:w="7" w:type="dxa"/>
          <w:jc w:val="center"/>
        </w:trPr>
        <w:tc>
          <w:tcPr>
            <w:tcW w:w="0" w:type="auto"/>
            <w:vAlign w:val="center"/>
            <w:hideMark/>
          </w:tcPr>
          <w:p w14:paraId="786F3E22" w14:textId="77777777" w:rsidR="000340E9" w:rsidRPr="00070ADE" w:rsidRDefault="000340E9" w:rsidP="00B56F90">
            <w:pPr>
              <w:spacing w:after="0" w:line="240" w:lineRule="auto"/>
              <w:jc w:val="both"/>
              <w:rPr>
                <w:rFonts w:ascii="Times New Roman" w:hAnsi="Times New Roman"/>
                <w:color w:val="000000" w:themeColor="text1"/>
                <w:sz w:val="16"/>
                <w:szCs w:val="16"/>
              </w:rPr>
            </w:pPr>
          </w:p>
        </w:tc>
        <w:tc>
          <w:tcPr>
            <w:tcW w:w="0" w:type="auto"/>
            <w:vAlign w:val="center"/>
            <w:hideMark/>
          </w:tcPr>
          <w:p w14:paraId="5EAF9BDB" w14:textId="77777777" w:rsidR="000340E9" w:rsidRPr="00070ADE" w:rsidRDefault="000340E9" w:rsidP="00B56F90">
            <w:pPr>
              <w:spacing w:after="0" w:line="240" w:lineRule="auto"/>
              <w:jc w:val="both"/>
              <w:rPr>
                <w:rFonts w:ascii="Times New Roman" w:hAnsi="Times New Roman"/>
                <w:color w:val="000000" w:themeColor="text1"/>
                <w:sz w:val="16"/>
                <w:szCs w:val="16"/>
              </w:rPr>
            </w:pPr>
          </w:p>
        </w:tc>
        <w:tc>
          <w:tcPr>
            <w:tcW w:w="0" w:type="auto"/>
            <w:gridSpan w:val="2"/>
            <w:vAlign w:val="center"/>
            <w:hideMark/>
          </w:tcPr>
          <w:p w14:paraId="11FB03FE"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Источник сведений: Акт по испытаиям винтов от 8.6.44 г.</w:t>
            </w:r>
          </w:p>
        </w:tc>
      </w:tr>
    </w:tbl>
    <w:p w14:paraId="320F66F7"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(12227).</w:t>
      </w:r>
    </w:p>
    <w:p w14:paraId="13EDE98D" w14:textId="77777777" w:rsidR="000340E9" w:rsidRPr="00070ADE" w:rsidRDefault="000340E9" w:rsidP="00B56F90">
      <w:pPr>
        <w:spacing w:after="0" w:line="240" w:lineRule="auto"/>
        <w:jc w:val="both"/>
        <w:rPr>
          <w:rFonts w:ascii="Times New Roman" w:hAnsi="Times New Roman"/>
          <w:color w:val="000000" w:themeColor="text1"/>
          <w:sz w:val="16"/>
          <w:szCs w:val="16"/>
        </w:rPr>
      </w:pPr>
    </w:p>
    <w:p w14:paraId="292575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июня 1944 года вышел приказ НКАП</w:t>
      </w:r>
    </w:p>
    <w:p w14:paraId="1D0E21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 директором завода № 36 Григорьева Г.М., освободить Сова С.М. (8926).</w:t>
      </w:r>
    </w:p>
    <w:p w14:paraId="42266F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91A902"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8 июня 1944 года появилось заключение начальника 8-го отдела НИИ спецслужб ВВС КА подполковника медицинской службы А.И. Демидова по «каске для лётного состава» майора медицинской службы профессора В.И. Спасского, капитана медицинской службы В. Левашёва и инженера доцента А. Минкевича. В заключении он отмечал, что каска заслуживает внимания как средство защиты воздушных стрелков экипажей штурмовиков Ил-2. В качестве защиты головы пилотов истребительной и штурмовой авиации в ней нет нужды, потому что кабины этих самолётов имеют достаточную бронезащиту, и дополнительный вес в 0,8 килограмма на голове пилота будет вызывать его излишнее утомление. Использование каски в бомбардировочной авиации не рассматривалось.</w:t>
      </w:r>
    </w:p>
    <w:p w14:paraId="190D73E4"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После этого заключения дальнейшего хода изобретению дано не было (25414).</w:t>
      </w:r>
    </w:p>
    <w:p w14:paraId="3423B437" w14:textId="77777777" w:rsidR="00BA3A2B" w:rsidRPr="00C94B78" w:rsidRDefault="00BA3A2B" w:rsidP="00B56F90">
      <w:pPr>
        <w:spacing w:after="0" w:line="240" w:lineRule="auto"/>
        <w:jc w:val="both"/>
        <w:rPr>
          <w:rFonts w:ascii="Times New Roman" w:hAnsi="Times New Roman"/>
          <w:color w:val="0070C0"/>
          <w:sz w:val="16"/>
          <w:szCs w:val="16"/>
        </w:rPr>
      </w:pPr>
    </w:p>
    <w:p w14:paraId="57A2A7E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61134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1F6556" w14:textId="6EFC7E1B"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июня 1944 года В. Малышев подписал приказ по наркомату танковой промышленности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379, в котором говорилось:</w:t>
      </w:r>
    </w:p>
    <w:p w14:paraId="287F5176" w14:textId="05E15F23"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«Заводом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100 (т.т. Котин, Ермолаев) совместно с ЦНИИ-48 (т.т. Завьялов, Копырин) разработан эскизный проект нового тяжелого танка ИС-6, имеющего значительное преимущество в мощности бронирования по сравнению с серийным ИС-2.</w:t>
      </w:r>
    </w:p>
    <w:p w14:paraId="3764DEB4" w14:textId="7777777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обеспечения своевременного изготовления и испытания опытных образцов новых танков ИС-6, приказываю:</w:t>
      </w:r>
    </w:p>
    <w:p w14:paraId="33C07A21" w14:textId="7AE99DFF"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Утвердить тактико-технические требования на проектирование изготовление тяжелых танков ИС-6 с механической и электрической трансмиссией…</w:t>
      </w:r>
    </w:p>
    <w:p w14:paraId="7A1A1C8D" w14:textId="35547F1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Главному конструктору НКТП тов. Котину обеспечить необходимое руководство проектированием опытных танков ИС-6.</w:t>
      </w:r>
    </w:p>
    <w:p w14:paraId="56C641E3" w14:textId="5A10CD0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И.о. директора завода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100 тов. Солодухину и главному конструктору завода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100 тов. Ермолаеву, совместно с директором Уралмашзавода тов. Музруковым и главным конструктором тов. Горлицким обеспечить проектирование, изготовление и испытание опытных образцов танков ИС-6. Тов. Музрукову выделить для участия в проектировании и разработке технологического процесса необходимое количество конструкторов и технологов».</w:t>
      </w:r>
    </w:p>
    <w:p w14:paraId="0EDA7444" w14:textId="0CF36E45"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этом документе интересен момент привлечения к работам по ИС-6 Уралмашзавода. Дело в том, что опытный завод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100, находившийся в Челябинске, имел очень слабую производственную базу. Это предприятие, созданное по инициативе Ж. Котина в 1942 году, фактически являлось своеобразным научно-исследовательским институтом по вопросам танкостроения. Естественно, имевшееся здесь оборудование не позволяло самостоятельно изготовить опытный образец танка. А вот Уралмаш являлся крупным предприятием, которое занималось выпуском танков и самоходных установок. Поэтому привлечение Малышевым этого завода в помощь заводу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100 было вполне разумным шагом.</w:t>
      </w:r>
    </w:p>
    <w:p w14:paraId="6DAAFD29" w14:textId="77D67B79"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в связи с большой загрузкой обеих предприятий, работы по ИС-6 шли довольно медленно: чертежи танка были готовы лишь к осени 1944 года. Для проверки бронестойкости корпуса ИС-6, Уралмаш изготовил специальную броневую конструкцию, которая именовалась в документах как «макет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15». Она представляла собой следующее: «Конструкция опытного макета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15 при установке верхнего пояса на нижний представляет собой корпус особой конструкции, где кормовая часть верхнего пояса как по углам наклона, так и по соединениям, аналогична запроектированной конструкции носа корпуса ИС-6. Что касается нижней кормовой детали, то ее отличие от фактической конструкции корпуса заключается в увеличении угла наклона от вертикали на 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град., а соединение вместо четверти сделано в шип.</w:t>
      </w:r>
    </w:p>
    <w:p w14:paraId="53BF1165" w14:textId="46008D8B"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Конструкция подкрылков макета также аналогична конструкции корпуса ИС-6 с тем лишь дополнением, что с правой стороны днище было установлено под углом наклона 10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град, с целью уменьшения ширины подкрылка (уменьшение веса) при одновременном увеличении угла наклона подкрылка.</w:t>
      </w:r>
    </w:p>
    <w:p w14:paraId="640B2123" w14:textId="7777777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Конструкция лобовой части верхнего пояса опытного макета характерна тем, что расположение деталей между собой дало возможность выбрать оптимальные углы наклона брони, запроектировать простые и надежные соединения, удобные в изготовлении.</w:t>
      </w:r>
    </w:p>
    <w:p w14:paraId="1A032691" w14:textId="7777777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Такая конструкция лобовой части (корпуса) запроектирована впервые в танкостроении, и благодаря благоприятному расположению брони создала предпосылки полной его тактической неуязвимости при применении противником ПТА калибром до 105 мм включительно…</w:t>
      </w:r>
    </w:p>
    <w:p w14:paraId="05EB3CE8" w14:textId="078F2178" w:rsidR="00CD73D6" w:rsidRPr="00070ADE" w:rsidRDefault="00CD73D6" w:rsidP="00B56F90">
      <w:pPr>
        <w:pStyle w:val="ae"/>
        <w:spacing w:before="0" w:after="0"/>
        <w:jc w:val="both"/>
        <w:rPr>
          <w:color w:val="000000" w:themeColor="text1"/>
          <w:sz w:val="16"/>
          <w:szCs w:val="16"/>
        </w:rPr>
      </w:pPr>
      <w:r w:rsidRPr="00070ADE">
        <w:rPr>
          <w:color w:val="000000" w:themeColor="text1"/>
          <w:sz w:val="16"/>
          <w:szCs w:val="16"/>
        </w:rPr>
        <w:t>Опытный макет №</w:t>
      </w:r>
      <w:r w:rsidR="00B643A8" w:rsidRPr="00070ADE">
        <w:rPr>
          <w:color w:val="000000" w:themeColor="text1"/>
          <w:sz w:val="16"/>
          <w:szCs w:val="16"/>
        </w:rPr>
        <w:t xml:space="preserve"> </w:t>
      </w:r>
      <w:r w:rsidRPr="00070ADE">
        <w:rPr>
          <w:color w:val="000000" w:themeColor="text1"/>
          <w:sz w:val="16"/>
          <w:szCs w:val="16"/>
        </w:rPr>
        <w:t>15 целиком изготовлен из катаной брони средней твердости, при этом основные детали толщиной 90 мм и тонколистовые 20 и 30 мм использовались серийной поставки листов ММК</w:t>
      </w:r>
      <w:hyperlink r:id="rId170" w:anchor="n_4" w:history="1">
        <w:r w:rsidRPr="00070ADE">
          <w:rPr>
            <w:rStyle w:val="a5"/>
            <w:rFonts w:eastAsia="Times New Roman"/>
            <w:color w:val="000000" w:themeColor="text1"/>
            <w:sz w:val="16"/>
            <w:szCs w:val="16"/>
            <w:u w:val="none"/>
          </w:rPr>
          <w:t>[4]</w:t>
        </w:r>
      </w:hyperlink>
      <w:r w:rsidRPr="00070ADE">
        <w:rPr>
          <w:color w:val="000000" w:themeColor="text1"/>
          <w:sz w:val="16"/>
          <w:szCs w:val="16"/>
        </w:rPr>
        <w:t xml:space="preserve"> Уралмашзаводу марок стали 42СМ и 2П, а детали толщиной 120 мм из листов ЦНИИ-48 поставки ММК, марка стали 66Л».</w:t>
      </w:r>
    </w:p>
    <w:p w14:paraId="2C8C348C" w14:textId="3E852DD9" w:rsidR="00CD73D6" w:rsidRPr="00070ADE" w:rsidRDefault="00CD73D6" w:rsidP="00B56F90">
      <w:pPr>
        <w:pStyle w:val="ae"/>
        <w:spacing w:before="0" w:after="0"/>
        <w:jc w:val="both"/>
        <w:rPr>
          <w:color w:val="000000" w:themeColor="text1"/>
          <w:sz w:val="16"/>
          <w:szCs w:val="16"/>
        </w:rPr>
      </w:pPr>
      <w:r w:rsidRPr="00070ADE">
        <w:rPr>
          <w:color w:val="000000" w:themeColor="text1"/>
          <w:sz w:val="16"/>
          <w:szCs w:val="16"/>
        </w:rPr>
        <w:t>Испытания макета №</w:t>
      </w:r>
      <w:r w:rsidR="00B643A8" w:rsidRPr="00070ADE">
        <w:rPr>
          <w:color w:val="000000" w:themeColor="text1"/>
          <w:sz w:val="16"/>
          <w:szCs w:val="16"/>
        </w:rPr>
        <w:t xml:space="preserve"> </w:t>
      </w:r>
      <w:r w:rsidRPr="00070ADE">
        <w:rPr>
          <w:color w:val="000000" w:themeColor="text1"/>
          <w:sz w:val="16"/>
          <w:szCs w:val="16"/>
        </w:rPr>
        <w:t>15 обстрелом провели с 4 по 6 сентября 1944 года на полигоне в Свердловской области. Обстрел велся бронебойными снарядами 88 и 105-мм немецких пушек, а также 85-мм отечественными бронебойными и подкалиберными снарядами. Результаты были следующими:</w:t>
      </w:r>
    </w:p>
    <w:p w14:paraId="19C8B567" w14:textId="67149662" w:rsidR="00CD73D6" w:rsidRPr="00070ADE" w:rsidRDefault="00CD73D6" w:rsidP="00B56F90">
      <w:pPr>
        <w:pStyle w:val="ae"/>
        <w:spacing w:before="0" w:after="0"/>
        <w:jc w:val="both"/>
        <w:rPr>
          <w:color w:val="000000" w:themeColor="text1"/>
          <w:sz w:val="16"/>
          <w:szCs w:val="16"/>
        </w:rPr>
      </w:pPr>
      <w:r w:rsidRPr="00070ADE">
        <w:rPr>
          <w:color w:val="000000" w:themeColor="text1"/>
          <w:sz w:val="16"/>
          <w:szCs w:val="16"/>
        </w:rPr>
        <w:t>«1.</w:t>
      </w:r>
      <w:r w:rsidR="00B643A8" w:rsidRPr="00070ADE">
        <w:rPr>
          <w:color w:val="000000" w:themeColor="text1"/>
          <w:sz w:val="16"/>
          <w:szCs w:val="16"/>
        </w:rPr>
        <w:t xml:space="preserve"> </w:t>
      </w:r>
      <w:r w:rsidRPr="00070ADE">
        <w:rPr>
          <w:color w:val="000000" w:themeColor="text1"/>
          <w:sz w:val="16"/>
          <w:szCs w:val="16"/>
        </w:rPr>
        <w:t>Кормовая проекция верхнего пояса макета №</w:t>
      </w:r>
      <w:r w:rsidR="00B643A8" w:rsidRPr="00070ADE">
        <w:rPr>
          <w:color w:val="000000" w:themeColor="text1"/>
          <w:sz w:val="16"/>
          <w:szCs w:val="16"/>
        </w:rPr>
        <w:t xml:space="preserve"> </w:t>
      </w:r>
      <w:r w:rsidRPr="00070ADE">
        <w:rPr>
          <w:color w:val="000000" w:themeColor="text1"/>
          <w:sz w:val="16"/>
          <w:szCs w:val="16"/>
        </w:rPr>
        <w:t>15, изготовленная соответственно форме носовой проекции нового танка ИС-6 при толщине брони 90 мм полностью снимает:</w:t>
      </w:r>
    </w:p>
    <w:p w14:paraId="43E40264" w14:textId="6B4574F9" w:rsidR="00CD73D6" w:rsidRPr="00070ADE" w:rsidRDefault="00CD73D6" w:rsidP="00B56F90">
      <w:pPr>
        <w:pStyle w:val="ae"/>
        <w:spacing w:before="0" w:after="0"/>
        <w:jc w:val="both"/>
        <w:rPr>
          <w:color w:val="000000" w:themeColor="text1"/>
          <w:sz w:val="16"/>
          <w:szCs w:val="16"/>
        </w:rPr>
      </w:pPr>
      <w:r w:rsidRPr="00070ADE">
        <w:rPr>
          <w:color w:val="000000" w:themeColor="text1"/>
          <w:sz w:val="16"/>
          <w:szCs w:val="16"/>
        </w:rPr>
        <w:t>а)</w:t>
      </w:r>
      <w:r w:rsidR="00B643A8" w:rsidRPr="00070ADE">
        <w:rPr>
          <w:color w:val="000000" w:themeColor="text1"/>
          <w:sz w:val="16"/>
          <w:szCs w:val="16"/>
        </w:rPr>
        <w:t xml:space="preserve"> </w:t>
      </w:r>
      <w:r w:rsidRPr="00070ADE">
        <w:rPr>
          <w:color w:val="000000" w:themeColor="text1"/>
          <w:sz w:val="16"/>
          <w:szCs w:val="16"/>
        </w:rPr>
        <w:t>немецкие бронебойные снаряды калибра 105 мм с начальной скоростью 830</w:t>
      </w:r>
      <w:r w:rsidR="00B643A8" w:rsidRPr="00070ADE">
        <w:rPr>
          <w:color w:val="000000" w:themeColor="text1"/>
          <w:sz w:val="16"/>
          <w:szCs w:val="16"/>
        </w:rPr>
        <w:t xml:space="preserve"> </w:t>
      </w:r>
      <w:r w:rsidRPr="00070ADE">
        <w:rPr>
          <w:color w:val="000000" w:themeColor="text1"/>
          <w:sz w:val="16"/>
          <w:szCs w:val="16"/>
        </w:rPr>
        <w:t>м/с;</w:t>
      </w:r>
    </w:p>
    <w:p w14:paraId="1D3C853B" w14:textId="42919A1A" w:rsidR="00CD73D6" w:rsidRPr="00070ADE" w:rsidRDefault="00CD73D6" w:rsidP="00B56F90">
      <w:pPr>
        <w:pStyle w:val="ae"/>
        <w:spacing w:before="0" w:after="0"/>
        <w:jc w:val="both"/>
        <w:rPr>
          <w:color w:val="000000" w:themeColor="text1"/>
          <w:sz w:val="16"/>
          <w:szCs w:val="16"/>
        </w:rPr>
      </w:pPr>
      <w:r w:rsidRPr="00070ADE">
        <w:rPr>
          <w:color w:val="000000" w:themeColor="text1"/>
          <w:sz w:val="16"/>
          <w:szCs w:val="16"/>
        </w:rPr>
        <w:t>б)</w:t>
      </w:r>
      <w:r w:rsidR="00B643A8" w:rsidRPr="00070ADE">
        <w:rPr>
          <w:color w:val="000000" w:themeColor="text1"/>
          <w:sz w:val="16"/>
          <w:szCs w:val="16"/>
        </w:rPr>
        <w:t xml:space="preserve"> </w:t>
      </w:r>
      <w:r w:rsidRPr="00070ADE">
        <w:rPr>
          <w:color w:val="000000" w:themeColor="text1"/>
          <w:sz w:val="16"/>
          <w:szCs w:val="16"/>
        </w:rPr>
        <w:t>немецкие бронебойные снаряды калибра 88 мм с начальной скоростью 1000</w:t>
      </w:r>
      <w:r w:rsidR="00B643A8" w:rsidRPr="00070ADE">
        <w:rPr>
          <w:color w:val="000000" w:themeColor="text1"/>
          <w:sz w:val="16"/>
          <w:szCs w:val="16"/>
        </w:rPr>
        <w:t xml:space="preserve"> </w:t>
      </w:r>
      <w:r w:rsidRPr="00070ADE">
        <w:rPr>
          <w:color w:val="000000" w:themeColor="text1"/>
          <w:sz w:val="16"/>
          <w:szCs w:val="16"/>
        </w:rPr>
        <w:t>м/с;</w:t>
      </w:r>
    </w:p>
    <w:p w14:paraId="35CFE62D" w14:textId="12EAB79D" w:rsidR="00CD73D6" w:rsidRPr="00070ADE" w:rsidRDefault="00CD73D6" w:rsidP="00B56F90">
      <w:pPr>
        <w:pStyle w:val="ae"/>
        <w:spacing w:before="0" w:after="0"/>
        <w:jc w:val="both"/>
        <w:rPr>
          <w:color w:val="000000" w:themeColor="text1"/>
          <w:sz w:val="16"/>
          <w:szCs w:val="16"/>
        </w:rPr>
      </w:pPr>
      <w:r w:rsidRPr="00070ADE">
        <w:rPr>
          <w:color w:val="000000" w:themeColor="text1"/>
          <w:sz w:val="16"/>
          <w:szCs w:val="16"/>
        </w:rPr>
        <w:t>в)</w:t>
      </w:r>
      <w:r w:rsidR="00B643A8" w:rsidRPr="00070ADE">
        <w:rPr>
          <w:color w:val="000000" w:themeColor="text1"/>
          <w:sz w:val="16"/>
          <w:szCs w:val="16"/>
        </w:rPr>
        <w:t xml:space="preserve"> </w:t>
      </w:r>
      <w:r w:rsidRPr="00070ADE">
        <w:rPr>
          <w:color w:val="000000" w:themeColor="text1"/>
          <w:sz w:val="16"/>
          <w:szCs w:val="16"/>
        </w:rPr>
        <w:t>отечественные подкалиберные снаряды калибра 85 мм с начальной скоростью 1020</w:t>
      </w:r>
      <w:r w:rsidR="00B643A8" w:rsidRPr="00070ADE">
        <w:rPr>
          <w:color w:val="000000" w:themeColor="text1"/>
          <w:sz w:val="16"/>
          <w:szCs w:val="16"/>
        </w:rPr>
        <w:t xml:space="preserve"> </w:t>
      </w:r>
      <w:r w:rsidRPr="00070ADE">
        <w:rPr>
          <w:color w:val="000000" w:themeColor="text1"/>
          <w:sz w:val="16"/>
          <w:szCs w:val="16"/>
        </w:rPr>
        <w:t>м/с;</w:t>
      </w:r>
    </w:p>
    <w:p w14:paraId="03BE199A" w14:textId="7CBFD171" w:rsidR="00CD73D6" w:rsidRPr="00070ADE" w:rsidRDefault="00CD73D6" w:rsidP="00B56F90">
      <w:pPr>
        <w:pStyle w:val="ae"/>
        <w:spacing w:before="0" w:after="0"/>
        <w:jc w:val="both"/>
        <w:rPr>
          <w:color w:val="000000" w:themeColor="text1"/>
          <w:sz w:val="16"/>
          <w:szCs w:val="16"/>
        </w:rPr>
      </w:pPr>
      <w:r w:rsidRPr="00070ADE">
        <w:rPr>
          <w:color w:val="000000" w:themeColor="text1"/>
          <w:sz w:val="16"/>
          <w:szCs w:val="16"/>
        </w:rPr>
        <w:t>2.</w:t>
      </w:r>
      <w:r w:rsidR="00B643A8" w:rsidRPr="00070ADE">
        <w:rPr>
          <w:color w:val="000000" w:themeColor="text1"/>
          <w:sz w:val="16"/>
          <w:szCs w:val="16"/>
        </w:rPr>
        <w:t xml:space="preserve"> </w:t>
      </w:r>
      <w:r w:rsidRPr="00070ADE">
        <w:rPr>
          <w:color w:val="000000" w:themeColor="text1"/>
          <w:sz w:val="16"/>
          <w:szCs w:val="16"/>
        </w:rPr>
        <w:t>Носовая проекция верхнего пояса макета №</w:t>
      </w:r>
      <w:r w:rsidR="00B643A8" w:rsidRPr="00070ADE">
        <w:rPr>
          <w:color w:val="000000" w:themeColor="text1"/>
          <w:sz w:val="16"/>
          <w:szCs w:val="16"/>
        </w:rPr>
        <w:t xml:space="preserve"> </w:t>
      </w:r>
      <w:r w:rsidRPr="00070ADE">
        <w:rPr>
          <w:color w:val="000000" w:themeColor="text1"/>
          <w:sz w:val="16"/>
          <w:szCs w:val="16"/>
        </w:rPr>
        <w:t>15 при толщине брони 90 мм полностью снимает:</w:t>
      </w:r>
    </w:p>
    <w:p w14:paraId="2EE8E6D6" w14:textId="031CFF85" w:rsidR="00CD73D6" w:rsidRPr="00070ADE" w:rsidRDefault="00CD73D6" w:rsidP="00B56F90">
      <w:pPr>
        <w:pStyle w:val="ae"/>
        <w:spacing w:before="0" w:after="0"/>
        <w:jc w:val="both"/>
        <w:rPr>
          <w:color w:val="000000" w:themeColor="text1"/>
          <w:sz w:val="16"/>
          <w:szCs w:val="16"/>
        </w:rPr>
      </w:pPr>
      <w:r w:rsidRPr="00070ADE">
        <w:rPr>
          <w:color w:val="000000" w:themeColor="text1"/>
          <w:sz w:val="16"/>
          <w:szCs w:val="16"/>
        </w:rPr>
        <w:t>а)</w:t>
      </w:r>
      <w:r w:rsidR="00B643A8" w:rsidRPr="00070ADE">
        <w:rPr>
          <w:color w:val="000000" w:themeColor="text1"/>
          <w:sz w:val="16"/>
          <w:szCs w:val="16"/>
        </w:rPr>
        <w:t xml:space="preserve"> </w:t>
      </w:r>
      <w:r w:rsidRPr="00070ADE">
        <w:rPr>
          <w:color w:val="000000" w:themeColor="text1"/>
          <w:sz w:val="16"/>
          <w:szCs w:val="16"/>
        </w:rPr>
        <w:t>немецкие бронебойные снаряды калибра 105 мм с начальной скоростью 830</w:t>
      </w:r>
      <w:r w:rsidR="00B643A8" w:rsidRPr="00070ADE">
        <w:rPr>
          <w:color w:val="000000" w:themeColor="text1"/>
          <w:sz w:val="16"/>
          <w:szCs w:val="16"/>
        </w:rPr>
        <w:t xml:space="preserve"> </w:t>
      </w:r>
      <w:r w:rsidRPr="00070ADE">
        <w:rPr>
          <w:color w:val="000000" w:themeColor="text1"/>
          <w:sz w:val="16"/>
          <w:szCs w:val="16"/>
        </w:rPr>
        <w:t>м/с;</w:t>
      </w:r>
    </w:p>
    <w:p w14:paraId="37EC7AEE" w14:textId="7CDEEAAB" w:rsidR="00CD73D6" w:rsidRPr="00070ADE" w:rsidRDefault="00CD73D6" w:rsidP="00B56F90">
      <w:pPr>
        <w:pStyle w:val="ae"/>
        <w:spacing w:before="0" w:after="0"/>
        <w:jc w:val="both"/>
        <w:rPr>
          <w:color w:val="000000" w:themeColor="text1"/>
          <w:sz w:val="16"/>
          <w:szCs w:val="16"/>
        </w:rPr>
      </w:pPr>
      <w:r w:rsidRPr="00070ADE">
        <w:rPr>
          <w:color w:val="000000" w:themeColor="text1"/>
          <w:sz w:val="16"/>
          <w:szCs w:val="16"/>
        </w:rPr>
        <w:t>б)</w:t>
      </w:r>
      <w:r w:rsidR="00B643A8" w:rsidRPr="00070ADE">
        <w:rPr>
          <w:color w:val="000000" w:themeColor="text1"/>
          <w:sz w:val="16"/>
          <w:szCs w:val="16"/>
        </w:rPr>
        <w:t xml:space="preserve"> </w:t>
      </w:r>
      <w:r w:rsidRPr="00070ADE">
        <w:rPr>
          <w:color w:val="000000" w:themeColor="text1"/>
          <w:sz w:val="16"/>
          <w:szCs w:val="16"/>
        </w:rPr>
        <w:t>немецкие бронебойные снаряды калибра 88 мм с начальной скоростью 1000</w:t>
      </w:r>
      <w:r w:rsidR="00B643A8" w:rsidRPr="00070ADE">
        <w:rPr>
          <w:color w:val="000000" w:themeColor="text1"/>
          <w:sz w:val="16"/>
          <w:szCs w:val="16"/>
        </w:rPr>
        <w:t xml:space="preserve"> </w:t>
      </w:r>
      <w:r w:rsidRPr="00070ADE">
        <w:rPr>
          <w:color w:val="000000" w:themeColor="text1"/>
          <w:sz w:val="16"/>
          <w:szCs w:val="16"/>
        </w:rPr>
        <w:t>м/с;</w:t>
      </w:r>
    </w:p>
    <w:p w14:paraId="0634D87A" w14:textId="07D41C1A" w:rsidR="00CD73D6" w:rsidRPr="00070ADE" w:rsidRDefault="00CD73D6" w:rsidP="00B56F90">
      <w:pPr>
        <w:pStyle w:val="ae"/>
        <w:spacing w:before="0" w:after="0"/>
        <w:jc w:val="both"/>
        <w:rPr>
          <w:color w:val="000000" w:themeColor="text1"/>
          <w:sz w:val="16"/>
          <w:szCs w:val="16"/>
        </w:rPr>
      </w:pPr>
      <w:r w:rsidRPr="00070ADE">
        <w:rPr>
          <w:color w:val="000000" w:themeColor="text1"/>
          <w:sz w:val="16"/>
          <w:szCs w:val="16"/>
        </w:rPr>
        <w:t>в)</w:t>
      </w:r>
      <w:r w:rsidR="00B643A8" w:rsidRPr="00070ADE">
        <w:rPr>
          <w:color w:val="000000" w:themeColor="text1"/>
          <w:sz w:val="16"/>
          <w:szCs w:val="16"/>
        </w:rPr>
        <w:t xml:space="preserve"> </w:t>
      </w:r>
      <w:r w:rsidRPr="00070ADE">
        <w:rPr>
          <w:color w:val="000000" w:themeColor="text1"/>
          <w:sz w:val="16"/>
          <w:szCs w:val="16"/>
        </w:rPr>
        <w:t>отечественные бронебойные остроголовые снаряды калибра 85 мм с начальной скоростью 800</w:t>
      </w:r>
      <w:r w:rsidR="00B643A8" w:rsidRPr="00070ADE">
        <w:rPr>
          <w:color w:val="000000" w:themeColor="text1"/>
          <w:sz w:val="16"/>
          <w:szCs w:val="16"/>
        </w:rPr>
        <w:t xml:space="preserve"> </w:t>
      </w:r>
      <w:r w:rsidRPr="00070ADE">
        <w:rPr>
          <w:color w:val="000000" w:themeColor="text1"/>
          <w:sz w:val="16"/>
          <w:szCs w:val="16"/>
        </w:rPr>
        <w:t>м/с;</w:t>
      </w:r>
    </w:p>
    <w:p w14:paraId="346175E5" w14:textId="4F35C64F" w:rsidR="00CD73D6" w:rsidRPr="00070ADE" w:rsidRDefault="00CD73D6" w:rsidP="00B56F90">
      <w:pPr>
        <w:pStyle w:val="ae"/>
        <w:spacing w:before="0" w:after="0"/>
        <w:jc w:val="both"/>
        <w:rPr>
          <w:color w:val="000000" w:themeColor="text1"/>
          <w:sz w:val="16"/>
          <w:szCs w:val="16"/>
        </w:rPr>
      </w:pPr>
      <w:r w:rsidRPr="00070ADE">
        <w:rPr>
          <w:color w:val="000000" w:themeColor="text1"/>
          <w:sz w:val="16"/>
          <w:szCs w:val="16"/>
        </w:rPr>
        <w:t>3.</w:t>
      </w:r>
      <w:r w:rsidR="00B643A8" w:rsidRPr="00070ADE">
        <w:rPr>
          <w:color w:val="000000" w:themeColor="text1"/>
          <w:sz w:val="16"/>
          <w:szCs w:val="16"/>
        </w:rPr>
        <w:t xml:space="preserve"> </w:t>
      </w:r>
      <w:r w:rsidRPr="00070ADE">
        <w:rPr>
          <w:color w:val="000000" w:themeColor="text1"/>
          <w:sz w:val="16"/>
          <w:szCs w:val="16"/>
        </w:rPr>
        <w:t>Носовая и кормовая проекция нижнего пояса макета №</w:t>
      </w:r>
      <w:r w:rsidR="00B643A8" w:rsidRPr="00070ADE">
        <w:rPr>
          <w:color w:val="000000" w:themeColor="text1"/>
          <w:sz w:val="16"/>
          <w:szCs w:val="16"/>
        </w:rPr>
        <w:t xml:space="preserve"> </w:t>
      </w:r>
      <w:r w:rsidRPr="00070ADE">
        <w:rPr>
          <w:color w:val="000000" w:themeColor="text1"/>
          <w:sz w:val="16"/>
          <w:szCs w:val="16"/>
        </w:rPr>
        <w:t>15 полностью снимает:</w:t>
      </w:r>
    </w:p>
    <w:p w14:paraId="19F4A72A" w14:textId="1595D9D4" w:rsidR="00CD73D6" w:rsidRPr="00070ADE" w:rsidRDefault="00CD73D6" w:rsidP="00B56F90">
      <w:pPr>
        <w:pStyle w:val="ae"/>
        <w:spacing w:before="0" w:after="0"/>
        <w:jc w:val="both"/>
        <w:rPr>
          <w:color w:val="000000" w:themeColor="text1"/>
          <w:sz w:val="16"/>
          <w:szCs w:val="16"/>
        </w:rPr>
      </w:pPr>
      <w:r w:rsidRPr="00070ADE">
        <w:rPr>
          <w:color w:val="000000" w:themeColor="text1"/>
          <w:sz w:val="16"/>
          <w:szCs w:val="16"/>
        </w:rPr>
        <w:t>а)</w:t>
      </w:r>
      <w:r w:rsidR="00B643A8" w:rsidRPr="00070ADE">
        <w:rPr>
          <w:color w:val="000000" w:themeColor="text1"/>
          <w:sz w:val="16"/>
          <w:szCs w:val="16"/>
        </w:rPr>
        <w:t xml:space="preserve"> </w:t>
      </w:r>
      <w:r w:rsidRPr="00070ADE">
        <w:rPr>
          <w:color w:val="000000" w:themeColor="text1"/>
          <w:sz w:val="16"/>
          <w:szCs w:val="16"/>
        </w:rPr>
        <w:t>немецкие бронебойные снаряды калибра 105 мм с начальной скоростью 830</w:t>
      </w:r>
      <w:r w:rsidR="00B643A8" w:rsidRPr="00070ADE">
        <w:rPr>
          <w:color w:val="000000" w:themeColor="text1"/>
          <w:sz w:val="16"/>
          <w:szCs w:val="16"/>
        </w:rPr>
        <w:t xml:space="preserve"> </w:t>
      </w:r>
      <w:r w:rsidRPr="00070ADE">
        <w:rPr>
          <w:color w:val="000000" w:themeColor="text1"/>
          <w:sz w:val="16"/>
          <w:szCs w:val="16"/>
        </w:rPr>
        <w:t>м/с;</w:t>
      </w:r>
    </w:p>
    <w:p w14:paraId="59BDA8FC" w14:textId="7E7D186C" w:rsidR="00CD73D6" w:rsidRPr="00070ADE" w:rsidRDefault="00CD73D6" w:rsidP="00B56F90">
      <w:pPr>
        <w:pStyle w:val="ae"/>
        <w:spacing w:before="0" w:after="0"/>
        <w:jc w:val="both"/>
        <w:rPr>
          <w:color w:val="000000" w:themeColor="text1"/>
          <w:sz w:val="16"/>
          <w:szCs w:val="16"/>
        </w:rPr>
      </w:pPr>
      <w:r w:rsidRPr="00070ADE">
        <w:rPr>
          <w:color w:val="000000" w:themeColor="text1"/>
          <w:sz w:val="16"/>
          <w:szCs w:val="16"/>
        </w:rPr>
        <w:t>б)</w:t>
      </w:r>
      <w:r w:rsidR="00B643A8" w:rsidRPr="00070ADE">
        <w:rPr>
          <w:color w:val="000000" w:themeColor="text1"/>
          <w:sz w:val="16"/>
          <w:szCs w:val="16"/>
        </w:rPr>
        <w:t xml:space="preserve"> </w:t>
      </w:r>
      <w:r w:rsidRPr="00070ADE">
        <w:rPr>
          <w:color w:val="000000" w:themeColor="text1"/>
          <w:sz w:val="16"/>
          <w:szCs w:val="16"/>
        </w:rPr>
        <w:t>отечественные подкалиберные снаряды калибра 85 мм с начальной скоростью 1020</w:t>
      </w:r>
      <w:r w:rsidR="00B643A8" w:rsidRPr="00070ADE">
        <w:rPr>
          <w:color w:val="000000" w:themeColor="text1"/>
          <w:sz w:val="16"/>
          <w:szCs w:val="16"/>
        </w:rPr>
        <w:t xml:space="preserve"> </w:t>
      </w:r>
      <w:r w:rsidRPr="00070ADE">
        <w:rPr>
          <w:color w:val="000000" w:themeColor="text1"/>
          <w:sz w:val="16"/>
          <w:szCs w:val="16"/>
        </w:rPr>
        <w:t>м/с…</w:t>
      </w:r>
    </w:p>
    <w:p w14:paraId="5C08A443" w14:textId="7D82C38C" w:rsidR="00CD73D6" w:rsidRPr="00070ADE" w:rsidRDefault="00CD73D6" w:rsidP="00B56F90">
      <w:pPr>
        <w:pStyle w:val="ae"/>
        <w:spacing w:before="0" w:after="0"/>
        <w:jc w:val="both"/>
        <w:rPr>
          <w:color w:val="000000" w:themeColor="text1"/>
          <w:sz w:val="16"/>
          <w:szCs w:val="16"/>
        </w:rPr>
      </w:pPr>
      <w:r w:rsidRPr="00070ADE">
        <w:rPr>
          <w:color w:val="000000" w:themeColor="text1"/>
          <w:sz w:val="16"/>
          <w:szCs w:val="16"/>
        </w:rPr>
        <w:t>4.</w:t>
      </w:r>
      <w:r w:rsidR="00B643A8" w:rsidRPr="00070ADE">
        <w:rPr>
          <w:color w:val="000000" w:themeColor="text1"/>
          <w:sz w:val="16"/>
          <w:szCs w:val="16"/>
        </w:rPr>
        <w:t xml:space="preserve"> </w:t>
      </w:r>
      <w:r w:rsidRPr="00070ADE">
        <w:rPr>
          <w:color w:val="000000" w:themeColor="text1"/>
          <w:sz w:val="16"/>
          <w:szCs w:val="16"/>
        </w:rPr>
        <w:t>Бортовая проекция верхнего пояса макета №</w:t>
      </w:r>
      <w:r w:rsidR="00B643A8" w:rsidRPr="00070ADE">
        <w:rPr>
          <w:color w:val="000000" w:themeColor="text1"/>
          <w:sz w:val="16"/>
          <w:szCs w:val="16"/>
        </w:rPr>
        <w:t xml:space="preserve"> </w:t>
      </w:r>
      <w:r w:rsidRPr="00070ADE">
        <w:rPr>
          <w:color w:val="000000" w:themeColor="text1"/>
          <w:sz w:val="16"/>
          <w:szCs w:val="16"/>
        </w:rPr>
        <w:t>15, изготовленная соответственно форме корпуса нового танка ИС-6 при толщине брони подкрылков 120 мм, угле наклона 45</w:t>
      </w:r>
      <w:r w:rsidR="00B643A8" w:rsidRPr="00070ADE">
        <w:rPr>
          <w:color w:val="000000" w:themeColor="text1"/>
          <w:sz w:val="16"/>
          <w:szCs w:val="16"/>
        </w:rPr>
        <w:t xml:space="preserve"> </w:t>
      </w:r>
      <w:r w:rsidRPr="00070ADE">
        <w:rPr>
          <w:color w:val="000000" w:themeColor="text1"/>
          <w:sz w:val="16"/>
          <w:szCs w:val="16"/>
        </w:rPr>
        <w:t>град, и остальной броне толщиной 90 мм полностью снимает:</w:t>
      </w:r>
    </w:p>
    <w:p w14:paraId="52927A93" w14:textId="6823391F" w:rsidR="00CD73D6" w:rsidRPr="00070ADE" w:rsidRDefault="00CD73D6" w:rsidP="00B56F90">
      <w:pPr>
        <w:pStyle w:val="ae"/>
        <w:spacing w:before="0" w:after="0"/>
        <w:jc w:val="both"/>
        <w:rPr>
          <w:color w:val="000000" w:themeColor="text1"/>
          <w:sz w:val="16"/>
          <w:szCs w:val="16"/>
        </w:rPr>
      </w:pPr>
      <w:r w:rsidRPr="00070ADE">
        <w:rPr>
          <w:color w:val="000000" w:themeColor="text1"/>
          <w:sz w:val="16"/>
          <w:szCs w:val="16"/>
        </w:rPr>
        <w:t>а)</w:t>
      </w:r>
      <w:r w:rsidR="00B643A8" w:rsidRPr="00070ADE">
        <w:rPr>
          <w:color w:val="000000" w:themeColor="text1"/>
          <w:sz w:val="16"/>
          <w:szCs w:val="16"/>
        </w:rPr>
        <w:t xml:space="preserve"> </w:t>
      </w:r>
      <w:r w:rsidRPr="00070ADE">
        <w:rPr>
          <w:color w:val="000000" w:themeColor="text1"/>
          <w:sz w:val="16"/>
          <w:szCs w:val="16"/>
        </w:rPr>
        <w:t>немецкие бронебойные снаряды калибра 105 мм с начальной скоростью 830</w:t>
      </w:r>
      <w:r w:rsidR="00B643A8" w:rsidRPr="00070ADE">
        <w:rPr>
          <w:color w:val="000000" w:themeColor="text1"/>
          <w:sz w:val="16"/>
          <w:szCs w:val="16"/>
        </w:rPr>
        <w:t xml:space="preserve"> </w:t>
      </w:r>
      <w:r w:rsidRPr="00070ADE">
        <w:rPr>
          <w:color w:val="000000" w:themeColor="text1"/>
          <w:sz w:val="16"/>
          <w:szCs w:val="16"/>
        </w:rPr>
        <w:t>м/с;</w:t>
      </w:r>
    </w:p>
    <w:p w14:paraId="58754A3E" w14:textId="22EBDC50" w:rsidR="00CD73D6" w:rsidRPr="00070ADE" w:rsidRDefault="00CD73D6" w:rsidP="00B56F90">
      <w:pPr>
        <w:pStyle w:val="ae"/>
        <w:spacing w:before="0" w:after="0"/>
        <w:jc w:val="both"/>
        <w:rPr>
          <w:color w:val="000000" w:themeColor="text1"/>
          <w:sz w:val="16"/>
          <w:szCs w:val="16"/>
        </w:rPr>
      </w:pPr>
      <w:r w:rsidRPr="00070ADE">
        <w:rPr>
          <w:color w:val="000000" w:themeColor="text1"/>
          <w:sz w:val="16"/>
          <w:szCs w:val="16"/>
        </w:rPr>
        <w:t>б)</w:t>
      </w:r>
      <w:r w:rsidR="00B643A8" w:rsidRPr="00070ADE">
        <w:rPr>
          <w:color w:val="000000" w:themeColor="text1"/>
          <w:sz w:val="16"/>
          <w:szCs w:val="16"/>
        </w:rPr>
        <w:t xml:space="preserve"> </w:t>
      </w:r>
      <w:r w:rsidRPr="00070ADE">
        <w:rPr>
          <w:color w:val="000000" w:themeColor="text1"/>
          <w:sz w:val="16"/>
          <w:szCs w:val="16"/>
        </w:rPr>
        <w:t>отечественные бронебойные остроголовые снаряды калибра 85 мм с начальной скоростью 800</w:t>
      </w:r>
      <w:r w:rsidR="00B643A8" w:rsidRPr="00070ADE">
        <w:rPr>
          <w:color w:val="000000" w:themeColor="text1"/>
          <w:sz w:val="16"/>
          <w:szCs w:val="16"/>
        </w:rPr>
        <w:t xml:space="preserve"> </w:t>
      </w:r>
      <w:r w:rsidRPr="00070ADE">
        <w:rPr>
          <w:color w:val="000000" w:themeColor="text1"/>
          <w:sz w:val="16"/>
          <w:szCs w:val="16"/>
        </w:rPr>
        <w:t>м/с;</w:t>
      </w:r>
    </w:p>
    <w:p w14:paraId="26AE1B7E" w14:textId="2230BAC7" w:rsidR="00CD73D6" w:rsidRPr="00070ADE" w:rsidRDefault="00CD73D6" w:rsidP="00B56F90">
      <w:pPr>
        <w:pStyle w:val="ae"/>
        <w:spacing w:before="0" w:after="0"/>
        <w:jc w:val="both"/>
        <w:rPr>
          <w:color w:val="000000" w:themeColor="text1"/>
          <w:sz w:val="16"/>
          <w:szCs w:val="16"/>
        </w:rPr>
      </w:pPr>
      <w:r w:rsidRPr="00070ADE">
        <w:rPr>
          <w:color w:val="000000" w:themeColor="text1"/>
          <w:sz w:val="16"/>
          <w:szCs w:val="16"/>
        </w:rPr>
        <w:t>в)</w:t>
      </w:r>
      <w:r w:rsidR="00B643A8" w:rsidRPr="00070ADE">
        <w:rPr>
          <w:color w:val="000000" w:themeColor="text1"/>
          <w:sz w:val="16"/>
          <w:szCs w:val="16"/>
        </w:rPr>
        <w:t xml:space="preserve"> </w:t>
      </w:r>
      <w:r w:rsidRPr="00070ADE">
        <w:rPr>
          <w:color w:val="000000" w:themeColor="text1"/>
          <w:sz w:val="16"/>
          <w:szCs w:val="16"/>
        </w:rPr>
        <w:t>отечественные подкалиберные снаряды калибра 85 мм с начальной скоростью 1020</w:t>
      </w:r>
      <w:r w:rsidR="00B643A8" w:rsidRPr="00070ADE">
        <w:rPr>
          <w:color w:val="000000" w:themeColor="text1"/>
          <w:sz w:val="16"/>
          <w:szCs w:val="16"/>
        </w:rPr>
        <w:t xml:space="preserve"> </w:t>
      </w:r>
      <w:r w:rsidRPr="00070ADE">
        <w:rPr>
          <w:color w:val="000000" w:themeColor="text1"/>
          <w:sz w:val="16"/>
          <w:szCs w:val="16"/>
        </w:rPr>
        <w:t>м/с…».</w:t>
      </w:r>
    </w:p>
    <w:p w14:paraId="00618AFE" w14:textId="7777777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видно из приведенных данных, советским конструкторам действительно удалось создать корпус, который оказался достаточно стойким при обстреле бронебойными снарядами немецких пушек 88 — 105-мм калибра.</w:t>
      </w:r>
    </w:p>
    <w:p w14:paraId="391DDA10" w14:textId="7777777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Первый корпус ИС-6 поступил на сборку 21 сентября 1944 года — по первоначальному плану это должно было произойти на два месяца раньше. 8 ноября первый ИС-6 («объект 252» с механической трансмиссией) вышел на заводские испытания.</w:t>
      </w:r>
    </w:p>
    <w:p w14:paraId="49435C99" w14:textId="63786083"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Тяжелый танк ИС-6 имел классическую компоновку с формой корпуса и башни, близкой к танку ИС-4. Боевая масса танка составила 51,5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т, превысив заданную техзаданием на 3,5 тонны. Корпус ИС-6 собирался из катаных бронелистов толщиной 120, 100, 60, 50 и 20 мм, сваренных между собой. Лобовые, кормовые и верхние бортовые листы устанавливались под большими углами наклона к вертикали, что обеспечивало высокую снарядостойкость. Днище имело корытообразную форму.</w:t>
      </w:r>
    </w:p>
    <w:p w14:paraId="38443811" w14:textId="7777777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Башня танка — литая, закаленная на высокую твердость. Она имела толщину лобовой и бортовой частей 150 мм, кормовой 100 мм, крыши (вварные листы) — 30 мм.</w:t>
      </w:r>
    </w:p>
    <w:p w14:paraId="2C27BFE4" w14:textId="7777777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Отделение управления находилось в передней части корпуса. В нем размещалось место механика-водителя, рычаги и педали приводов управления танком, щитки контрольно-измерительных приборов, топливный распределительный кран, ручной топливоподкачивающий насос, баллоны со сжатым воздухом для запуска двигателя, аккумуляторные батареи и часть боекомплекта. Для посадки механика-водителя в лобовом листе корпуса имелся прямоугольный люк. Наблюдение за дорогой осуществлялось при помощи двух смотровых приборов МК-4. В днище за местом механика-водителя имелся аварийный люк-лаз.</w:t>
      </w:r>
    </w:p>
    <w:p w14:paraId="0BF94DE5" w14:textId="7777777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Боевое отделение находилось в средней части корпуса и башне.</w:t>
      </w:r>
    </w:p>
    <w:p w14:paraId="762E0947" w14:textId="7777777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Здесь размещались вооружение, приборы наблюдения и прицеливания, радиостанция, ТПУ, часть электрооборудования с вращающимся контактным устройством, рабочие места наводчика, заряжающего и командира танка. Для наблюдения за полем боя над местом командира имелось два прибора МК-4, и еще один — над местом заряжающего.</w:t>
      </w:r>
    </w:p>
    <w:p w14:paraId="5F26E6BF" w14:textId="7777777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ИС-6 состояло из 122-мм танковой пушки Д-30, спаренной с 7,62-мм пулеметом Горюнова ГВТ. На крыше башни, на турели, размещенной над люком заряжающего, поместили зенитную турель с 12,7-мм пулеметом ДШК. Пушка Д-30 отличалась от Д-25 наличием досылателя и системой продувки канала ствола сжатым воздухом после выстрела. Для стрельбы использовался телескопический танковый прицел ТБШ, а при ведении огня с закрытых позиций — башенный угломер. Наведение установки на цель осуществлялось подъемным механизмом секторного типа и планетарным поворотным механизмом башни с ручным и электрическим приводами.</w:t>
      </w:r>
    </w:p>
    <w:p w14:paraId="726F1443" w14:textId="7777777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Боекомплект ИС-6 состоял из 30 выстрелов раздельного заряжания, 1200 патронов калибра 7,62-мм и 500 патронов калибра 12,7-мм к зенитному пулемету. Зенитный пулемет снабжался коллиматорным прицелом К8-Т.</w:t>
      </w:r>
    </w:p>
    <w:p w14:paraId="2A69373E" w14:textId="7777777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моторном отделении, расположенном за боевым и разделенным с ним перегородкой, находился дизельный двигатель В-12 мощностью 700 л.с. с центробежным нагнетателем, справа и слева от него — три топливных и масляный баки, а в бортовых нишах корпуса — четыре осевых вентилятора (по два с каждой стороны), водяной и масляный радиаторы.</w:t>
      </w:r>
    </w:p>
    <w:p w14:paraId="21790464" w14:textId="7777777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Пуск двигателя производился электростартером мощностью 15 л.с. или сжатым воздухом. Для облегчения пуска в зимнее время имелся пародинамический обогреватель, установленный в масляном баке. Емкость внутренних топливных баков составляла 640 л. Кроме того, на бортах корпуса предусматривалась установка еще четырех внешних баков.</w:t>
      </w:r>
    </w:p>
    <w:p w14:paraId="3AAA3304" w14:textId="7777777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системе очистки воздуха использовались два воздухоочистителя «Мультициклон» установленных по бортам у моторной перегородки.</w:t>
      </w:r>
    </w:p>
    <w:p w14:paraId="2E73ED42" w14:textId="7777777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трансмиссионном отделении, в корме машины, размещались элементы механической трансмиссии: многодисковый главный фрикцион, восьмиступенчатая коробка перемены передач с синхронизаторами, два планетарных механизма поворота с ленточными тормозами и два бортовых редуктора. Также в трансмиссионном отделении находился электрический стартер.</w:t>
      </w:r>
    </w:p>
    <w:p w14:paraId="3061B76C" w14:textId="7777777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Подвеска танка — индивидуальная торсионная. Она включала (применительно к одному борту) шесть опорных катков большого диаметра, ведущее и направляющее колеса.</w:t>
      </w:r>
    </w:p>
    <w:p w14:paraId="2FC677C9" w14:textId="7777777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Электрооборудование «объекта 252» выполнялось по однопроводной схеме, напряжение бортовой сети — 24 В. Источники электроэнергии — четыре аккумуляторные батареи и генератор мощностью 1,5 кВт.</w:t>
      </w:r>
    </w:p>
    <w:p w14:paraId="6BEE33C8" w14:textId="7777777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внешней связи ИС-6 оснащался радиостанцией ЮР (в нише башни), для внутренней — танковое переговорное устройство ТПУ-4-БИС.</w:t>
      </w:r>
    </w:p>
    <w:p w14:paraId="2C4570B9" w14:textId="36465ED1"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конца ноября 1944 года «объект 252» прошел заводские испытания в объеме 825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 Максимальная скорость составила 35,4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а средняя скорость движения от 115 до 22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км/ч, в зависимости от дорожных условий. Машина продемонстрировала хорошую управляемость и легко поворачивалась. Однако оказались слишком большими усилия для включения главного фрикциона — 65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а также сильно грелась коробка перемены передач.</w:t>
      </w:r>
    </w:p>
    <w:p w14:paraId="7F0246CA" w14:textId="3957D3BB"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больше всего дефектов выявилось в ходовой части — опорные катки большого диаметра оказались слабыми, их ресурс не превышал 200–300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км (за испытания пришлось сменить 14 штук). Поэтому пришлось дорабатывать их конструкцию и «переобувать» танк на усиленные катки.</w:t>
      </w:r>
    </w:p>
    <w:p w14:paraId="1562AE91" w14:textId="7777777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заводских испытаний дальнейшие работы по танку «Объект 252» прекратили.</w:t>
      </w:r>
    </w:p>
    <w:p w14:paraId="05CFBBD5" w14:textId="6DC431B3"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Второй образец ИС-6 («объект 253» с электромеханической трансмиссией) был собран в ноябре 1944 года. От «объекта 252» он отличался использованием в ходовой части опорных катков малого диаметра (от ИС-2), а также трансмиссией. В состав последней входили главный генератор ДК-305А мощностью 385 кВт и массой 1740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установленный соосно с двигателем В-12У. В одном блоке с главным генератором на общем валу находился синхронный генератор трехфазного тока СГ-1А, предназначенный для питания моторов-вентиляторов системы охлаждения тяговых двигателей и дизеля, а также для привода подзарядного агрегата АКБ. На дизеле были смонтированы два малых генератора постоянного тока Г-73, которые питали цепи возбуждения генераторов ДК-305А и СГ-1А. Тяговые электродвигатели ДК-302А и ДК-302Б реверсивного действия через бортовые передачи соединялись с ведущими колесами танка. Регулировка силы тяги производилась изменением возбуждения главного генератора. Рабочий ток достигал 960 А, при движении по шоссе он составлял 490 А, на местности — 740 А. Напряжение в цепи 500 В. Следует сказать, что масса трансмиссии составляла 3850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 в четыре раза тяжелее трансмиссии ИС-2 (980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В результате, масса «объекта 253» составила 54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т, превысив проектную на четыре тонны.</w:t>
      </w:r>
    </w:p>
    <w:p w14:paraId="0D6594FA" w14:textId="7777777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Установкой электротрансмиссии конструкторы ИС-6 пытались улучшить управляемость тяжелого танка, а также повысить его маневренные качества.</w:t>
      </w:r>
    </w:p>
    <w:p w14:paraId="0D10EFF3" w14:textId="7777777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выяснить так ли это, не удалось — при первом же выезде в трансмиссионном отделении «объекта 253» возник пожар, и машина вышла из строя. Дальнейшие работы по ней прекратили.</w:t>
      </w:r>
    </w:p>
    <w:p w14:paraId="5DD1E86F" w14:textId="77777777" w:rsidR="00CD73D6" w:rsidRPr="00070ADE" w:rsidRDefault="00CD73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то, что испытания танков ИС-6 оказались весьма кратковременными, полученный опыт (особенно, в части разработки бронекорпуса) пригодился конструкторам при проектировании нового тяжелого танка ИС-7 (17434).</w:t>
      </w:r>
    </w:p>
    <w:p w14:paraId="58CEDC24" w14:textId="77777777" w:rsidR="00CD73D6" w:rsidRPr="00070ADE" w:rsidRDefault="00CD73D6" w:rsidP="00B56F90">
      <w:pPr>
        <w:spacing w:after="0" w:line="240" w:lineRule="auto"/>
        <w:jc w:val="both"/>
        <w:rPr>
          <w:rFonts w:ascii="Times New Roman" w:hAnsi="Times New Roman"/>
          <w:color w:val="000000" w:themeColor="text1"/>
          <w:sz w:val="16"/>
          <w:szCs w:val="16"/>
        </w:rPr>
      </w:pPr>
    </w:p>
    <w:p w14:paraId="2CD0BCCB"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8 июня 1944 года в соответствии с приказом Государственного Комитета Обороны, к работе ОКБ челябинского Опытного завода №100 под общим руководством директора предприятия Ж.Я. Котина над эскизным проектом тяжелого танка в соответствии с ТТТ тяжёлого танка с ЭМТ, предоставленными военными заказчиками, подключились конструкторы «Уралмаша», которые уже наработали определённый опыт при создании своей САУ. Инженеров ЧКЗ к этому проекту не привлекали по причине их занятости работами над «Объектом 701» (будущим танком ИС-4). Одновременную разработку ИС-6 и ИС-4 можно рассматривать как конкурентную гонку, в которой конструкторские коллективы «Уралмаша» и завода №100, с одной стороны, и ЧКЗ – с другой боролись за «место под солнцем» для своих детищ.</w:t>
      </w:r>
    </w:p>
    <w:p w14:paraId="5EE77842"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Основные проектные работы были уже выполнены в конструкторском бюро завода №100 (его возглавлял А.С. Ермолаев), кроме того, значительная их часть пришлась на долю конструкторов «Уралмаша», так как выпуск рабочих чертежей производился именно там. Изготовлением корпуса и большей части агрегатов занимался завод №100, окончательной сборкой машины – «Уралмаш».</w:t>
      </w:r>
    </w:p>
    <w:p w14:paraId="70FD64E0"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Всего уральские предприятия собрали два прототипа ИС-6, которые значительно отличались друг от друга, фактически являясь разными машинами (под одним войсковым индексом они проходили исключительно из-за одинаковой конструкции корпусов). Первый экземпляр, обозначавшийся как «Объект 253» (ведущий инженер машины – М.И. Креславский), был снабжен ЭМТ, на втором («Объекте 252») – установили обычную механику. Конструкция корпуса, башни и ходовой части каждого из них во многом повторяла решения, использованные челябинскими инженерами при создании других машин. Корпуса обоих прототипов ничем не отличались друг от друга, поэтому внешне танки выглядели «братьями-близнецами» (25579).</w:t>
      </w:r>
    </w:p>
    <w:p w14:paraId="4413CA9A" w14:textId="77777777" w:rsidR="00BA3A2B" w:rsidRPr="00C94B78" w:rsidRDefault="00BA3A2B" w:rsidP="00B56F90">
      <w:pPr>
        <w:spacing w:after="0" w:line="240" w:lineRule="auto"/>
        <w:jc w:val="both"/>
        <w:rPr>
          <w:rFonts w:ascii="Times New Roman" w:hAnsi="Times New Roman"/>
          <w:color w:val="0070C0"/>
          <w:sz w:val="16"/>
          <w:szCs w:val="16"/>
        </w:rPr>
      </w:pPr>
    </w:p>
    <w:p w14:paraId="12E0278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июня 1944 вышло Постановление ГКО № 6024 О первоочередных мероприятиях по восстановлению речного флота в Северо-Западном бассейне. (7240, 1-8,9-24).</w:t>
      </w:r>
    </w:p>
    <w:p w14:paraId="3C59F0D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7A21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июня 1944 вышло Распоряжение ГКО № 6025. О поставках материалов и направлении 300 военнообязанных, не годных к строевой службе, на строительство метизного филиала СТЗ. РГАНИР, Фонд ГКО, д. 263, лл. 25-26 (11012).</w:t>
      </w:r>
    </w:p>
    <w:p w14:paraId="255C91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B3609F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июня 1944 вышло Постановление ГКО № 6026 О сооружении линии электропередач к тяговым подстанциям HКПС на участке Златоуст - Челябинск Южно-Уральской железной дороги. (7240, 27-29,30-31).</w:t>
      </w:r>
    </w:p>
    <w:p w14:paraId="132881C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0762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июня 1944 вышло Распоряжение ГКО № 6027. О поставках металла НКНП. РГАНИР, Фонд ГКО, д. 263, лл. 32 (11012).</w:t>
      </w:r>
    </w:p>
    <w:p w14:paraId="7A53B20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7E10F3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01130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770842"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8 июня</w:t>
      </w:r>
      <w:r w:rsidRPr="00070ADE">
        <w:rPr>
          <w:rFonts w:ascii="Times New Roman" w:hAnsi="Times New Roman"/>
          <w:color w:val="000000" w:themeColor="text1"/>
          <w:sz w:val="16"/>
          <w:szCs w:val="16"/>
        </w:rPr>
        <w:t xml:space="preserve"> в 1944 году оперативная сводка Совинформбюро:</w:t>
      </w:r>
    </w:p>
    <w:p w14:paraId="3784C9B5"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8 июня на фронтах существенных изменений не произошло. За 7 июня наши войска подбили и уничтожили 15 немецких танков. В воздушных боях и огнём зенитной артиллерии сбито 22 самолёта противника.</w:t>
      </w:r>
    </w:p>
    <w:p w14:paraId="7C3AF6CC"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Северо-западнее и севернее города Яссы наши подразделения вели бои заулучшение своих позиций. Бойцы Н-ской части овладели одной высотой, имеющейважное значение. Попытки немцев восстановить положение успеха не имели.Уничтожено до 200 немецких солдат в офицеров и несколько танков противника.Взято в плен 150 гитлеровцев.</w:t>
      </w:r>
    </w:p>
    <w:p w14:paraId="7D1AEC56"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Тирасполь наши разведчики стремительно ворвались в траншеипротивника и овладели ими. В бою за эти позиция истреблено до роты немецкойпехоты. На другом участке сорок вражеских разведчиков форсировали реку Днестр.Бойцы Н-ской части подпустили гитлеровцев на близкое расстояние, а затем открылипулемётный и минометный огонь. 38 гитлеровцев убито. Два немца взяты в плен.</w:t>
      </w:r>
    </w:p>
    <w:p w14:paraId="0CE9A5BE"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Витебск происходила редкая артиллерийская иружейно-пулемётная перестрелка. Наши артиллеристы уничтожили 4 немецких орудия и7 пулемётных точек. Восемь снайперов Н-ской части за последние дни истребили 57гитлеровцев. Снайпер Фёдор Исаев уничтожил 12 немцев, снайпер Иван Пичугин — 9,снайпер Петр Чагин убил 7 солдат противника.</w:t>
      </w:r>
    </w:p>
    <w:p w14:paraId="7A881F4B"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штурмовики-«охотники» на одной из железнодорожных станций сожглинемецкий эшелон с горючим.</w:t>
      </w:r>
    </w:p>
    <w:p w14:paraId="53258611"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Севере Н-ское подразделение атаковало опорный пункт противника. Немцы,ошеломлённые внезапностью нападения, не смогли оказать серьёзного сопротивления.Бойцы под командованием лейтенанта Калистратова уничтожили несколько десятковгитлеровцев и, захватив пленных, благополучно вернулись в своё расположение.</w:t>
      </w:r>
    </w:p>
    <w:p w14:paraId="619523E6"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Витебской области, в одном населённомпункте ночью истребил 20 гитлеровцев и уничтожил 27 автомашин. Ружейно-пулемётным огнём подбит немецкий бомбардировщик «Юнкерс-87». Самолётсовершил вынужденную посадку. Партизаны сожгли вражеский бомбардировщик,предварительно сняв с него пулемёты и радиостанцию. Отряд вилейских партизанорганизовал засаду у дороги, по которой следовала рота немцев. Советскиепатриоты пропустили вперёд разведку противника, а затем открыли сильныйружейно-пулемётный огонь. Убито и ранено 40 немецких солдат.</w:t>
      </w:r>
    </w:p>
    <w:p w14:paraId="318F13B6"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Солдаты и офицеры противника, захваченные в плен в районе северо-западнее исевернее города Яссы, сообщают, что немецко-румынские войска в последних бояхпонесли чрезвычайно тяжёлые потери. Пленный командир 10 роты 2 мотополкатанковой дивизии СС «Великая Германия» лейтенант Ганс Эвид рассказал: «Немецкоекомандование сосредоточило на небольшом участке сильный кулак. Перед танковыми ипехотными соединениями была поставлена задача: внезапным, стремительным ударомпрорвать линию обороны русских, а затем отбросить их за реку Прут. Мы встретилиорганизованное и упорное сопротивление. Особенно мощной оказалась русскаяпротивотанковая оборона. Уже в первые дни стало ясно, что начатое в районе Ясснаступление обречено на провал. Попытки прорвать оборону русских стоили намочень дорого. Танковая дивизия СС «Великая Германия» потеряла почти половинусвоих танков. Большие потери понесла пехота. Например, второй батальон 3 полка11 дивизии полностью уничтожен. Его накрыл огонь русской артиллерии. Погиблооколо 600 солдат и офицеров; 4 пехотный полк 3 румынской пехотной дивизии заодин день потерял три четверти своего личного состава» (14916).</w:t>
      </w:r>
    </w:p>
    <w:p w14:paraId="58F3E8D5" w14:textId="77777777" w:rsidR="00C074FF" w:rsidRPr="00070ADE" w:rsidRDefault="00C074FF" w:rsidP="00B56F90">
      <w:pPr>
        <w:spacing w:after="0" w:line="240" w:lineRule="auto"/>
        <w:jc w:val="both"/>
        <w:rPr>
          <w:rFonts w:ascii="Times New Roman" w:hAnsi="Times New Roman"/>
          <w:color w:val="000000" w:themeColor="text1"/>
          <w:sz w:val="16"/>
          <w:szCs w:val="16"/>
        </w:rPr>
      </w:pPr>
    </w:p>
    <w:p w14:paraId="20382A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июня 1944 г. начались действия авиации в Карелии. Самолеты нанесли удары по железнодорожным узлам, мостам, штабам и скоплениям войск противника. Летали группами по семь-девять машин. Прикрытие истребителями осуществлялось только у передовой. На маршруте защиту должны были обеспечить скорость и мощное оборонительное вооружение. Затем Ту-2 также начали работать по оборонительным сооружениям, включая бетонные форты. Летчик 12-го бап И.И. Ширкин вспоминал: "Бомбили скопления войск противника, танковые группировки, железнодорожные узлы, совершая в день по два, а то и по три вылета". Против укреплений использовали фугасные бомбы крупного калибра, а также специальные бетонобойные бомбы серии ДС с ракетными ускорителями, поступившие на вооружение перед самой войной. Их из-за большой длины (более 2 м) размещали на наружной подвеске; при этом еще четыре ФАБ-250 грузили в бомбоотсек. Такие боеприпасы, в частности, применяли в районе Лодейного Поля.</w:t>
      </w:r>
    </w:p>
    <w:p w14:paraId="25C99C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ВВС маршал Новиков докладывал Сталину о первых днях боев: "334 БАД потерь не имела, летала днем и работала отлично". Ту-2 действовали днем, крупными группами. Так, в налете на железнодорожный узел в Выборге 15 июня участвовали 23 самолета, 17 июня - 59. Кроме бомбардировки сил противника, Ту-2 использовали и как разведчики. Советские ВВС достигли превосходства в воздухе, поэтому потери в этой операции были небольшими. Например, 12-й бап лишился всего одного самолета - командира 2-й эскадрильи А.А. Шумейко.</w:t>
      </w:r>
    </w:p>
    <w:p w14:paraId="4279D4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Наступление было успешным. 21 июня советские войска взяли Выборг.</w:t>
      </w:r>
    </w:p>
    <w:p w14:paraId="56E85D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Пребывание 334-й дивизии на Ленинградском фронте было кратковременным. В конце июня соединение перебросили на 3-й Белорусский фронт, в 4-ю воздушную армию, где оно приняло участие в операции "Багратион" по освобождению Белоруссии. Ту-2 использовались с большой интенсивностью, совершая до двух вылетов день. Они наносили удары по войскам на передовой и в ближнем тылу противника, по железнодорожным узлам и складам. Летая "на коротком плече", командир 12-го бап М.П. Васякин довел бомбовую нагрузку своего самолета до предела - 3000 кг. Он же применил групповой взлет - Ту-2 стартовали с аэродрома Улла звеньями, сокращая время на сбор группы в воздухе.</w:t>
      </w:r>
    </w:p>
    <w:p w14:paraId="2B53416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июле 334-я дивизия опять сменила место. По приказу командования она перешла в подчинение 3-й воздушной армии на 1-м Прибалтийском фронте. Ту-2 летали на бомбежку немецких войск в районах Митавы, Шяуляя, Тильзита, атаковали порты в Либаве и Клайпеде, вели воздушную разведку.</w:t>
      </w:r>
    </w:p>
    <w:p w14:paraId="340208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Ту-2 применяли против наиболее важных узлов сопротивления немцев. Бомбили их днем, с горизонтального полета, действуя крупными группами до полка, а несколько вылетов совершили полным составом дивизии (около 100 самолетов). Летали с плотным прикрытием истребителями Як-9 и Р-39. Наиболее удаленные цели располагались в 300 - 500 км от аэродромов базирования, средняя бомбовая нагрузка составляла 1350 кг.</w:t>
      </w:r>
    </w:p>
    <w:p w14:paraId="4CFCCF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участие в прорыве обороны противника на р. Западная Двина юго-восточнее Риги 132-й полк был удостоен ордена Кутузова 3-й степени. Но сопротивление немцев было упорным; дивизия понесла потери и от истребителей, и от зенитной артиллерии. За три месяца боев в Прибалтике только истребители сбили 10 и повредили еще 16 бомбардировщиков.</w:t>
      </w:r>
    </w:p>
    <w:p w14:paraId="19AE01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июля в районе Тукумса в Латвии был сбит и погиб Васякин, который вел свой полк на бомбежку позиций немцев. Как правило, истребители противника атаковали ведомых, пользуясь фактором неожиданности. Еще семь Ту-2 уничтожили немецкие зенитчики.</w:t>
      </w:r>
    </w:p>
    <w:p w14:paraId="43871B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Сменивший Васякина майор И.С. Полевой погиб 20 августа. Он повел 27 самолетов бомбить железнодорожный узел. Бомбардировщики столкнулись с сильным огнем зенитной артиллерии. Ту-2 Полевого был подбит, сам пилот - ранен. Но экипаж сбросил бомбы на цель. На обратном пути бомбардировщик совершил вынужденную посадку на лес. Стрелок вытащил командира из кабины, но тот вскоре скончался.</w:t>
      </w:r>
    </w:p>
    <w:p w14:paraId="312AEF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Дивизия воевала в Прибалтике до конца 1944 г. В целом Ту-2 показал себя очень неплохо. Командир 132-го бап подполковник Бугай писал в своем рапорте: "Летный состав полка высоко ценит самолет Ту-2 и успешно ведет работу на этой новой материальной части". В среднем, на один утраченный бомбардировщик приходилось 465 самолето-вылетов. За 1944 г. советские ВВС лишились 77 самолетов этого типа; при этом около 60% машин - непосредственно боевые потери. Доля техники, потерянной в авариях и катастрофах, оказалась меньше, чем у всех других типов фронтовых бомбардировщиков (11988).</w:t>
      </w:r>
    </w:p>
    <w:p w14:paraId="5740823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0D07A21" w14:textId="77777777" w:rsidR="00C074FF"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38EA3162" w14:textId="77777777" w:rsidR="00C074FF" w:rsidRPr="00070ADE" w:rsidRDefault="00C074FF"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755DF0"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8 июня</w:t>
      </w:r>
      <w:r w:rsidRPr="00070ADE">
        <w:rPr>
          <w:rFonts w:ascii="Times New Roman" w:hAnsi="Times New Roman"/>
          <w:color w:val="000000" w:themeColor="text1"/>
          <w:sz w:val="16"/>
          <w:szCs w:val="16"/>
        </w:rPr>
        <w:t xml:space="preserve"> в 1944 году пеpвые 20 машин yстановочной сеpии </w:t>
      </w:r>
      <w:hyperlink r:id="rId171" w:tgtFrame="_blank" w:history="1">
        <w:r w:rsidRPr="00070ADE">
          <w:rPr>
            <w:rFonts w:ascii="Times New Roman" w:hAnsi="Times New Roman"/>
            <w:color w:val="000000" w:themeColor="text1"/>
            <w:sz w:val="16"/>
            <w:szCs w:val="16"/>
          </w:rPr>
          <w:t xml:space="preserve">«Ar 234В-0», </w:t>
        </w:r>
      </w:hyperlink>
      <w:r w:rsidRPr="00070ADE">
        <w:rPr>
          <w:rFonts w:ascii="Times New Roman" w:hAnsi="Times New Roman"/>
          <w:color w:val="000000" w:themeColor="text1"/>
          <w:sz w:val="16"/>
          <w:szCs w:val="16"/>
        </w:rPr>
        <w:t>покинyли сбоpочный завод в Альт-Леневиц на чешско-геpманской гpанице (14916).</w:t>
      </w:r>
    </w:p>
    <w:p w14:paraId="30A171CB" w14:textId="77777777" w:rsidR="00C074FF" w:rsidRPr="00070ADE" w:rsidRDefault="00C074FF" w:rsidP="00B56F90">
      <w:pPr>
        <w:spacing w:after="0" w:line="240" w:lineRule="auto"/>
        <w:jc w:val="both"/>
        <w:rPr>
          <w:rFonts w:ascii="Times New Roman" w:hAnsi="Times New Roman"/>
          <w:color w:val="000000" w:themeColor="text1"/>
          <w:sz w:val="16"/>
          <w:szCs w:val="16"/>
        </w:rPr>
      </w:pPr>
    </w:p>
    <w:p w14:paraId="1AD0EDC3" w14:textId="5193B4B6" w:rsidR="006A61CD" w:rsidRPr="00070ADE" w:rsidRDefault="006A61C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июня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Первый полёт первого серийного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Ar 234В-0 Blitz (из установочной серии 20 машин) (22467).</w:t>
      </w:r>
    </w:p>
    <w:p w14:paraId="5C3E0EC1" w14:textId="77777777" w:rsidR="006A61CD" w:rsidRPr="00070ADE" w:rsidRDefault="006A61CD" w:rsidP="00B56F90">
      <w:pPr>
        <w:spacing w:after="0" w:line="240" w:lineRule="auto"/>
        <w:jc w:val="both"/>
        <w:rPr>
          <w:rFonts w:ascii="Times New Roman" w:hAnsi="Times New Roman"/>
          <w:color w:val="000000" w:themeColor="text1"/>
          <w:sz w:val="16"/>
          <w:szCs w:val="16"/>
        </w:rPr>
      </w:pPr>
    </w:p>
    <w:p w14:paraId="3C9735AA"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8 июня</w:t>
      </w:r>
      <w:r w:rsidRPr="00070ADE">
        <w:rPr>
          <w:rFonts w:ascii="Times New Roman" w:hAnsi="Times New Roman"/>
          <w:color w:val="000000" w:themeColor="text1"/>
          <w:sz w:val="16"/>
          <w:szCs w:val="16"/>
        </w:rPr>
        <w:t xml:space="preserve"> в 1944 году в Германии проведен испытательный полет турбореактивного самолета «Мессершмитт» (Messerschmitt) "Me-262" в варианте бомбардировщика (14916).</w:t>
      </w:r>
    </w:p>
    <w:p w14:paraId="0FF28816" w14:textId="77777777" w:rsidR="00C074FF" w:rsidRPr="00070ADE" w:rsidRDefault="00C074FF" w:rsidP="00B56F90">
      <w:pPr>
        <w:spacing w:after="0" w:line="240" w:lineRule="auto"/>
        <w:jc w:val="both"/>
        <w:rPr>
          <w:rFonts w:ascii="Times New Roman" w:hAnsi="Times New Roman"/>
          <w:color w:val="000000" w:themeColor="text1"/>
          <w:sz w:val="16"/>
          <w:szCs w:val="16"/>
        </w:rPr>
      </w:pPr>
    </w:p>
    <w:p w14:paraId="0497FCBF" w14:textId="77777777" w:rsidR="006A61CD" w:rsidRPr="00070ADE" w:rsidRDefault="006A61CD" w:rsidP="00B56F90">
      <w:pPr>
        <w:pStyle w:val="115"/>
        <w:shd w:val="clear" w:color="auto" w:fill="auto"/>
        <w:spacing w:after="0" w:line="240" w:lineRule="auto"/>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8 июня 1944 бомбы Толбой были впервые использованы для атаки на важный железнодорожный тоннель Сомюр во Франции. Германская танковая дивизия выдвигалась по железной дороге из Бордо к плацдарму союзников. Поезда с бронетехникой должны были проследовать через тоннель Сомюр, лежащий в сотне миль от берега. Надо было заблокировать тоннель, прежде чем поезда пройдут через него.</w:t>
      </w:r>
    </w:p>
    <w:p w14:paraId="55C7EDEC" w14:textId="77777777" w:rsidR="006A61CD" w:rsidRPr="00070ADE" w:rsidRDefault="006A61CD" w:rsidP="00B56F90">
      <w:pPr>
        <w:pStyle w:val="115"/>
        <w:shd w:val="clear" w:color="auto" w:fill="auto"/>
        <w:spacing w:after="0" w:line="240" w:lineRule="auto"/>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полном составе 617-я эскадрилья поднялась в воздух сразу после заката, а чуть после полуночи летчики увидели место, где рельсы исчезают в тоннеле, уходящем вглубь холма Сомюр. Через 90 секунд «Ланкастеры» начали ложиться на боевой курс. А еще через пару минут впервые «бомбы-землетрясения» полетели на цель. В 6 км наверху экипажи испытали легкое разочарование. «Толлбои» не производили яркой вспышки при попадании. Появлялся только тусклый красный светлячок, когда бомба врезалась в землю, и взрыв происходил на глубине почти 30 м.</w:t>
      </w:r>
    </w:p>
    <w:p w14:paraId="71FF5BF6" w14:textId="5A01AE7E" w:rsidR="006A61CD" w:rsidRPr="00070ADE" w:rsidRDefault="006A61CD" w:rsidP="00B56F90">
      <w:pPr>
        <w:pStyle w:val="115"/>
        <w:shd w:val="clear" w:color="auto" w:fill="auto"/>
        <w:spacing w:after="0" w:line="240" w:lineRule="auto"/>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Утром прилетел фоторазведчик «Москито» с фотографиями, которые сами произвели эффект разорвавшейся бомбы, и разочарования у летчиков как не бывало. За одним исключением, огромные кратеры легли вокруг горла тоннеля. Причем две бомбы взорвались рядом прямо на рельсах. Железнодорожная насыпь была полностью уничтожена. Но особенно потрясла всех бомба, которая упала в 60 м от горла тоннеля. В том месте, где упала бомба, холм уже сформировался и 21 м плотного грунта и известняка прикрывали тоннель. Тяжелый «Толлбой» пробил свод и взорвался прямо в тоннеле. Около 10</w:t>
      </w:r>
      <w:r w:rsidR="00B643A8" w:rsidRPr="00070ADE">
        <w:rPr>
          <w:rFonts w:ascii="Times New Roman" w:hAnsi="Times New Roman" w:cs="Times New Roman"/>
          <w:color w:val="000000" w:themeColor="text1"/>
          <w:sz w:val="16"/>
          <w:szCs w:val="16"/>
        </w:rPr>
        <w:t xml:space="preserve"> </w:t>
      </w:r>
      <w:r w:rsidRPr="00070ADE">
        <w:rPr>
          <w:rFonts w:ascii="Times New Roman" w:hAnsi="Times New Roman" w:cs="Times New Roman"/>
          <w:color w:val="000000" w:themeColor="text1"/>
          <w:sz w:val="16"/>
          <w:szCs w:val="16"/>
        </w:rPr>
        <w:t>000 т земли и мела взлетели в воздух, и гора обрушилась в тоннель. Это было одно из самых впечатляющих прямых попаданий за все время войны. Летчики могли гордиться результатом</w:t>
      </w:r>
      <w:r w:rsidR="00C63BA9">
        <w:rPr>
          <w:rFonts w:ascii="Times New Roman" w:hAnsi="Times New Roman" w:cs="Times New Roman"/>
          <w:color w:val="000000" w:themeColor="text1"/>
          <w:sz w:val="16"/>
          <w:szCs w:val="16"/>
        </w:rPr>
        <w:t xml:space="preserve"> </w:t>
      </w:r>
      <w:r w:rsidRPr="00070ADE">
        <w:rPr>
          <w:rFonts w:ascii="Times New Roman" w:hAnsi="Times New Roman" w:cs="Times New Roman"/>
          <w:color w:val="000000" w:themeColor="text1"/>
          <w:sz w:val="16"/>
          <w:szCs w:val="16"/>
        </w:rPr>
        <w:t>— всего 617-я эскадрилья сбросила 19 грозных снарядов. Все они легли достаточно точно. Одна из бомб попала в вершину холма прямо над тоннелем, глубоко вошла в меловой массив и взорвалась, похоронив тоннель. Бомбы оставляли воронки диаметром около 24 м и глубиной 7,6 м (22888).</w:t>
      </w:r>
    </w:p>
    <w:p w14:paraId="6C77D56A" w14:textId="77777777" w:rsidR="006A61CD" w:rsidRPr="00070ADE" w:rsidRDefault="006A61CD" w:rsidP="00B56F90">
      <w:pPr>
        <w:spacing w:after="0" w:line="240" w:lineRule="auto"/>
        <w:jc w:val="both"/>
        <w:rPr>
          <w:rFonts w:ascii="Times New Roman" w:hAnsi="Times New Roman"/>
          <w:color w:val="000000" w:themeColor="text1"/>
          <w:sz w:val="16"/>
          <w:szCs w:val="16"/>
        </w:rPr>
      </w:pPr>
    </w:p>
    <w:p w14:paraId="08CD8B3D" w14:textId="77777777" w:rsidR="00841BB4" w:rsidRPr="00070ADE" w:rsidRDefault="00841BB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8–9 июня (ночью) 1944 483 английских бомбардировщиков успешно громя французских железнодорожные станции на Alençon, Фужер, Майен, Pontabault и Ренне, чтобы остановить немецкие наземные подкреплений от приближения к зоне вторжения в Нормандии; потерял четыре самолета. Royal Air Force использует 12000 фунтов (5443 кг) бомбу«комод» впервые в наспех организованной атаке на 25 Ланкастеров бомбардировочной авиации No. 617 Squadron - поддерживаемых семью другими бомбардировщиками - по железнодорожному туннелю возле Сомюра, Франция, чтобы заблокировать его использование немецкими танковыми частями. Одна проникает через крышу туннеля, который на длительное время заблокирован. Tallboy отличается от более ранней бомбы RAF массой 12 000 фунтов (5 443 кг), представленной в 1943 году, тем, что она имеет гораздо более прочный корпус, который позволяет ей проникать в землю перед взрывом (29373).</w:t>
      </w:r>
    </w:p>
    <w:p w14:paraId="50635B35" w14:textId="77777777" w:rsidR="00841BB4" w:rsidRPr="00070ADE" w:rsidRDefault="00841BB4" w:rsidP="00B56F90">
      <w:pPr>
        <w:spacing w:after="0" w:line="240" w:lineRule="auto"/>
        <w:jc w:val="both"/>
        <w:rPr>
          <w:rFonts w:ascii="Times New Roman" w:hAnsi="Times New Roman"/>
          <w:color w:val="000000" w:themeColor="text1"/>
          <w:sz w:val="16"/>
          <w:szCs w:val="16"/>
        </w:rPr>
      </w:pPr>
    </w:p>
    <w:p w14:paraId="71FE68DE" w14:textId="77777777" w:rsidR="006A61CD" w:rsidRPr="00070ADE" w:rsidRDefault="006A61C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июня 1944 десять самолетов B-25 Mitchells в сопровождении P-38 Lightnings атакуют силы из шести японских эсминцев к северо-западу от Маноквари, Новая Гвинея, потопив один и повредив три (20373).</w:t>
      </w:r>
    </w:p>
    <w:p w14:paraId="4809FEC4" w14:textId="77777777" w:rsidR="006A61CD" w:rsidRPr="00070ADE" w:rsidRDefault="006A61CD" w:rsidP="00B56F90">
      <w:pPr>
        <w:spacing w:after="0" w:line="240" w:lineRule="auto"/>
        <w:jc w:val="both"/>
        <w:rPr>
          <w:rFonts w:ascii="Times New Roman" w:hAnsi="Times New Roman"/>
          <w:color w:val="000000" w:themeColor="text1"/>
          <w:sz w:val="16"/>
          <w:szCs w:val="16"/>
        </w:rPr>
      </w:pPr>
    </w:p>
    <w:p w14:paraId="427F7141" w14:textId="77777777" w:rsidR="006A61CD" w:rsidRPr="00070ADE" w:rsidRDefault="006A61C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июня 1944 в Нормандии немецкий Heinkel He 177 сильно повредил эсминец ВМС США USS Meredith (DD-726), который на следующий день раскололся пополам и затонул (20373).</w:t>
      </w:r>
    </w:p>
    <w:p w14:paraId="2E28B277" w14:textId="77777777" w:rsidR="006A61CD" w:rsidRPr="00070ADE" w:rsidRDefault="006A61CD" w:rsidP="00B56F90">
      <w:pPr>
        <w:spacing w:after="0" w:line="240" w:lineRule="auto"/>
        <w:jc w:val="both"/>
        <w:rPr>
          <w:rFonts w:ascii="Times New Roman" w:hAnsi="Times New Roman"/>
          <w:color w:val="000000" w:themeColor="text1"/>
          <w:sz w:val="16"/>
          <w:szCs w:val="16"/>
        </w:rPr>
      </w:pPr>
    </w:p>
    <w:p w14:paraId="6A534FA0" w14:textId="77777777" w:rsidR="006A61CD" w:rsidRPr="00070ADE" w:rsidRDefault="006A61C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июня 1944 ас Люфтваффе Херберт Хапперц сбит и погиб над Нормандии близ Кана, Франция. Ему приписывают 68 воздушных побед (20373).</w:t>
      </w:r>
    </w:p>
    <w:p w14:paraId="1922A982" w14:textId="77777777" w:rsidR="006A61CD" w:rsidRPr="00070ADE" w:rsidRDefault="006A61CD" w:rsidP="00B56F90">
      <w:pPr>
        <w:spacing w:after="0" w:line="240" w:lineRule="auto"/>
        <w:jc w:val="both"/>
        <w:rPr>
          <w:rFonts w:ascii="Times New Roman" w:hAnsi="Times New Roman"/>
          <w:color w:val="000000" w:themeColor="text1"/>
          <w:sz w:val="16"/>
          <w:szCs w:val="16"/>
        </w:rPr>
      </w:pPr>
    </w:p>
    <w:p w14:paraId="665B78D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E381A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5458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июня 1944 г Акт по государственным испытаниям Ил-10 АМ-42 был утвержден генералом А.И.Репиным (7489).</w:t>
      </w:r>
    </w:p>
    <w:p w14:paraId="23DCAF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Машина была рекомендована для постановки серийного производства при условии устранения выявленных дефектов, связанных главным образом с ненадежной работой винтомоторной группы. В этой связи штурмовик был возвращен в ОКБ на завод № 240 для доводки (7489).</w:t>
      </w:r>
    </w:p>
    <w:p w14:paraId="64583D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доводочных работ на опытном Ил-10 подвижная установка стрелка ВУ-7 с пушкой Ш-20, ввиду задержки развертывания серийного выпуска последней, была заменена на установку ВУ-8 с пулеметом УБК, который уже давно устанавливался на боевых машинах (7489).</w:t>
      </w:r>
    </w:p>
    <w:p w14:paraId="2833816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F7C6CC" w14:textId="77777777" w:rsidR="00C074FF" w:rsidRPr="00070ADE" w:rsidRDefault="00C074FF" w:rsidP="00B56F90">
      <w:pPr>
        <w:spacing w:after="0" w:line="240" w:lineRule="auto"/>
        <w:jc w:val="both"/>
        <w:rPr>
          <w:rFonts w:ascii="Times New Roman" w:hAnsi="Times New Roman"/>
          <w:bCs/>
          <w:color w:val="000000" w:themeColor="text1"/>
          <w:sz w:val="16"/>
          <w:szCs w:val="16"/>
        </w:rPr>
      </w:pPr>
      <w:r w:rsidRPr="00070ADE">
        <w:rPr>
          <w:rFonts w:ascii="Times New Roman" w:hAnsi="Times New Roman"/>
          <w:bCs/>
          <w:color w:val="000000" w:themeColor="text1"/>
          <w:sz w:val="16"/>
          <w:szCs w:val="16"/>
        </w:rPr>
        <w:t>9 июня</w:t>
      </w:r>
      <w:r w:rsidRPr="00070ADE">
        <w:rPr>
          <w:rFonts w:ascii="Times New Roman" w:hAnsi="Times New Roman"/>
          <w:color w:val="000000" w:themeColor="text1"/>
          <w:sz w:val="16"/>
          <w:szCs w:val="16"/>
        </w:rPr>
        <w:t xml:space="preserve"> в 1944 году ГИ ВВС РККА генералом А.И.Репиным утвержден Акт по государственным испытаниям </w:t>
      </w:r>
      <w:hyperlink r:id="rId172" w:tgtFrame="_blank" w:history="1">
        <w:r w:rsidRPr="00070ADE">
          <w:rPr>
            <w:rFonts w:ascii="Times New Roman" w:hAnsi="Times New Roman"/>
            <w:color w:val="000000" w:themeColor="text1"/>
            <w:sz w:val="16"/>
            <w:szCs w:val="16"/>
          </w:rPr>
          <w:t xml:space="preserve">«Ил-10» </w:t>
        </w:r>
      </w:hyperlink>
      <w:r w:rsidRPr="00070ADE">
        <w:rPr>
          <w:rFonts w:ascii="Times New Roman" w:hAnsi="Times New Roman"/>
          <w:color w:val="000000" w:themeColor="text1"/>
          <w:sz w:val="16"/>
          <w:szCs w:val="16"/>
        </w:rPr>
        <w:t>«АМ-42». По мнению А.Долгова и летчиков облета ГК НИИ ВВС (А.Синельникова, М.Субботина, А.Живописцева и Г.Тинякова), новый штурмовик "по технике пилотирования прост и не требует специального переучивания для перехода на него летчиков, летающих на серийных самолетах «Ил-2». Устойчивость и управляемость хорошие. Путевая устойчивость несколько велика. Нагрузки от рулей нормальные по величине и направлению. Нагрузки от рулей высоты несколько велики. На рулежке устойчивость самолета недостаточна". В выводах акта по результатам госиспытаний Ил-10 от 03.06.44 г. отмечалось, что "самолёт «Ил-10», по сравнению с «Ил-2», несмотря на ухудшение взлетно-посадочных свойств, имеет явное преимущество, в частности, максимальная скорость больше: у земли на 123 км/ч, на границе высотности на 147 км/ч. Время набора высоты 3000 м меньше на 3 мин Дальность горизонтального полета на высоте 500 м возросла на 120 км Высокая скорость полета, хорошая устойчивость и управляемость при аналогичном с самолетом «Ил-2» оружии активного нападения позволяют самолету «Ил-10» более эффективно осуществлять штурмовые действия, а повышенная обороноспособность и лучшее бронирование способствуют большему эффекту при ведении воздушного боя с истребителями противника. В эксплуатации самолет прост, его производство может базироваться на технологии серийного производства «Ил-2». Самолет «Ил-10» является классическим образцом самолета-штурмовика"</w:t>
      </w:r>
    </w:p>
    <w:p w14:paraId="6E926868" w14:textId="77777777" w:rsidR="00C074FF" w:rsidRPr="00070ADE" w:rsidRDefault="00C074FF" w:rsidP="00B56F90">
      <w:pPr>
        <w:spacing w:after="0" w:line="240" w:lineRule="auto"/>
        <w:jc w:val="both"/>
        <w:rPr>
          <w:rFonts w:ascii="Times New Roman" w:hAnsi="Times New Roman"/>
          <w:bCs/>
          <w:color w:val="000000" w:themeColor="text1"/>
          <w:sz w:val="16"/>
          <w:szCs w:val="16"/>
        </w:rPr>
      </w:pPr>
    </w:p>
    <w:p w14:paraId="01BC57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июня 1944 закончились гос. испытания и был запущен в серию Ил-10 (438,907).</w:t>
      </w:r>
    </w:p>
    <w:p w14:paraId="318868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232C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июня 1944 ГИ ВВС КА г-п ИАС А.Репин подписал "Акт по результатам гос. испытаний опытного двухместного бронированного штурмовика Ил-10 с мотором АМ-42 и винтом АВ-5Л-24 конструкции С.В.И." (производство завода 18, сборка завода 240) (Тема N 15 - 1944). Ви и-м П.Т.Аброщенко, Пом. ви и-к С.Г.Фролов, Вл пп А.К.Долгов (1866)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4D4663" w:rsidRPr="00070ADE" w14:paraId="5028F297" w14:textId="77777777">
        <w:tc>
          <w:tcPr>
            <w:tcW w:w="3757" w:type="dxa"/>
          </w:tcPr>
          <w:p w14:paraId="356962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у земли</w:t>
            </w:r>
          </w:p>
        </w:tc>
        <w:tc>
          <w:tcPr>
            <w:tcW w:w="3757" w:type="dxa"/>
          </w:tcPr>
          <w:p w14:paraId="26E8E8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507 км/час</w:t>
            </w:r>
          </w:p>
        </w:tc>
      </w:tr>
      <w:tr w:rsidR="004D4663" w:rsidRPr="00070ADE" w14:paraId="26149949" w14:textId="77777777">
        <w:tc>
          <w:tcPr>
            <w:tcW w:w="3757" w:type="dxa"/>
          </w:tcPr>
          <w:p w14:paraId="4DEF5A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2800 м</w:t>
            </w:r>
          </w:p>
        </w:tc>
        <w:tc>
          <w:tcPr>
            <w:tcW w:w="3757" w:type="dxa"/>
          </w:tcPr>
          <w:p w14:paraId="7275A3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551 км/час</w:t>
            </w:r>
          </w:p>
        </w:tc>
      </w:tr>
      <w:tr w:rsidR="004D4663" w:rsidRPr="00070ADE" w14:paraId="7DAA4A5E" w14:textId="77777777">
        <w:tc>
          <w:tcPr>
            <w:tcW w:w="3757" w:type="dxa"/>
          </w:tcPr>
          <w:p w14:paraId="7F4947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подъема на 3000 м</w:t>
            </w:r>
          </w:p>
        </w:tc>
        <w:tc>
          <w:tcPr>
            <w:tcW w:w="3757" w:type="dxa"/>
          </w:tcPr>
          <w:p w14:paraId="395B46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 м</w:t>
            </w:r>
          </w:p>
        </w:tc>
      </w:tr>
      <w:tr w:rsidR="004D4663" w:rsidRPr="00070ADE" w14:paraId="0CD5A284" w14:textId="77777777">
        <w:tc>
          <w:tcPr>
            <w:tcW w:w="3757" w:type="dxa"/>
          </w:tcPr>
          <w:p w14:paraId="08F3F8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Потолок</w:t>
            </w:r>
          </w:p>
        </w:tc>
        <w:tc>
          <w:tcPr>
            <w:tcW w:w="3757" w:type="dxa"/>
          </w:tcPr>
          <w:p w14:paraId="129F85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7480 м</w:t>
            </w:r>
          </w:p>
        </w:tc>
      </w:tr>
      <w:tr w:rsidR="004D4663" w:rsidRPr="00070ADE" w14:paraId="00D47B6A" w14:textId="77777777">
        <w:tc>
          <w:tcPr>
            <w:tcW w:w="3757" w:type="dxa"/>
          </w:tcPr>
          <w:p w14:paraId="7AC86A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полета с 400 кг</w:t>
            </w:r>
          </w:p>
        </w:tc>
        <w:tc>
          <w:tcPr>
            <w:tcW w:w="3757" w:type="dxa"/>
          </w:tcPr>
          <w:p w14:paraId="75ACCA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53FFCE3" w14:textId="77777777">
        <w:tc>
          <w:tcPr>
            <w:tcW w:w="3757" w:type="dxa"/>
          </w:tcPr>
          <w:p w14:paraId="728F30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 на 0.62 макс.</w:t>
            </w:r>
          </w:p>
        </w:tc>
        <w:tc>
          <w:tcPr>
            <w:tcW w:w="3757" w:type="dxa"/>
          </w:tcPr>
          <w:p w14:paraId="7A316D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 км</w:t>
            </w:r>
          </w:p>
        </w:tc>
      </w:tr>
      <w:tr w:rsidR="004D4663" w:rsidRPr="00070ADE" w14:paraId="3C455D9E" w14:textId="77777777">
        <w:tc>
          <w:tcPr>
            <w:tcW w:w="3757" w:type="dxa"/>
          </w:tcPr>
          <w:p w14:paraId="12D567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 с 400 кг бомб</w:t>
            </w:r>
          </w:p>
        </w:tc>
        <w:tc>
          <w:tcPr>
            <w:tcW w:w="3757" w:type="dxa"/>
          </w:tcPr>
          <w:p w14:paraId="200008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6335 кг</w:t>
            </w:r>
          </w:p>
        </w:tc>
      </w:tr>
      <w:tr w:rsidR="004D4663" w:rsidRPr="00070ADE" w14:paraId="093C4A37" w14:textId="77777777">
        <w:tc>
          <w:tcPr>
            <w:tcW w:w="3757" w:type="dxa"/>
          </w:tcPr>
          <w:p w14:paraId="4C2538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600 кг</w:t>
            </w:r>
          </w:p>
        </w:tc>
        <w:tc>
          <w:tcPr>
            <w:tcW w:w="3757" w:type="dxa"/>
          </w:tcPr>
          <w:p w14:paraId="4AFA8E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6535 кг</w:t>
            </w:r>
          </w:p>
        </w:tc>
      </w:tr>
      <w:tr w:rsidR="004D4663" w:rsidRPr="00070ADE" w14:paraId="3375B5F3" w14:textId="77777777">
        <w:tc>
          <w:tcPr>
            <w:tcW w:w="3757" w:type="dxa"/>
          </w:tcPr>
          <w:p w14:paraId="68F7C4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w:t>
            </w:r>
          </w:p>
        </w:tc>
        <w:tc>
          <w:tcPr>
            <w:tcW w:w="3757" w:type="dxa"/>
          </w:tcPr>
          <w:p w14:paraId="044A5A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r>
      <w:tr w:rsidR="004D4663" w:rsidRPr="00070ADE" w14:paraId="1B1BF079" w14:textId="77777777">
        <w:tc>
          <w:tcPr>
            <w:tcW w:w="3757" w:type="dxa"/>
          </w:tcPr>
          <w:p w14:paraId="45D1FD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Бомбовая нагрузка</w:t>
            </w:r>
          </w:p>
        </w:tc>
        <w:tc>
          <w:tcPr>
            <w:tcW w:w="3757" w:type="dxa"/>
          </w:tcPr>
          <w:p w14:paraId="23F8CE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400/600</w:t>
            </w:r>
          </w:p>
        </w:tc>
      </w:tr>
      <w:tr w:rsidR="004D4663" w:rsidRPr="00070ADE" w14:paraId="4498543A" w14:textId="77777777">
        <w:tc>
          <w:tcPr>
            <w:tcW w:w="3757" w:type="dxa"/>
          </w:tcPr>
          <w:p w14:paraId="19E520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w:t>
            </w:r>
          </w:p>
        </w:tc>
        <w:tc>
          <w:tcPr>
            <w:tcW w:w="3757" w:type="dxa"/>
          </w:tcPr>
          <w:p w14:paraId="062495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838A2B6" w14:textId="77777777">
        <w:tc>
          <w:tcPr>
            <w:tcW w:w="3757" w:type="dxa"/>
          </w:tcPr>
          <w:p w14:paraId="22E418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вперед</w:t>
            </w:r>
          </w:p>
        </w:tc>
        <w:tc>
          <w:tcPr>
            <w:tcW w:w="3757" w:type="dxa"/>
          </w:tcPr>
          <w:p w14:paraId="238FA1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2х762 мм</w:t>
            </w:r>
          </w:p>
        </w:tc>
      </w:tr>
      <w:tr w:rsidR="004D4663" w:rsidRPr="00070ADE" w14:paraId="6C5695A4" w14:textId="77777777">
        <w:tc>
          <w:tcPr>
            <w:tcW w:w="3757" w:type="dxa"/>
          </w:tcPr>
          <w:p w14:paraId="0FC6F8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F30C0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2х23 мм</w:t>
            </w:r>
          </w:p>
        </w:tc>
      </w:tr>
      <w:tr w:rsidR="005106D0" w:rsidRPr="00070ADE" w14:paraId="78E3489E" w14:textId="77777777">
        <w:tc>
          <w:tcPr>
            <w:tcW w:w="3757" w:type="dxa"/>
          </w:tcPr>
          <w:p w14:paraId="50B7A0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назад</w:t>
            </w:r>
          </w:p>
        </w:tc>
        <w:tc>
          <w:tcPr>
            <w:tcW w:w="3757" w:type="dxa"/>
          </w:tcPr>
          <w:p w14:paraId="2FA570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1х12.7 мм (1880,165)</w:t>
            </w:r>
          </w:p>
        </w:tc>
      </w:tr>
    </w:tbl>
    <w:p w14:paraId="4265D1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250DAD"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 xml:space="preserve">9 июня 1944 года Акт по государственным испытаниям самолета Ил-10 был утвержден главным инженером ВВС генерал-полковником А. К. Репиным. Самолет был возвращен на завод № 240 для замены мотора, выработавшего ресурс, и устранения дефектов. После этого предлагалось вновь предъявить самолет в </w:t>
      </w:r>
      <w:r w:rsidRPr="00070ADE">
        <w:rPr>
          <w:rStyle w:val="BodytextSpacing-1pt"/>
          <w:rFonts w:eastAsiaTheme="minorHAnsi"/>
          <w:color w:val="000000" w:themeColor="text1"/>
          <w:spacing w:val="0"/>
          <w:sz w:val="16"/>
          <w:szCs w:val="16"/>
        </w:rPr>
        <w:t>НИИ</w:t>
      </w:r>
      <w:r w:rsidRPr="00070ADE">
        <w:rPr>
          <w:rStyle w:val="77"/>
          <w:rFonts w:eastAsiaTheme="minorHAnsi"/>
          <w:color w:val="000000" w:themeColor="text1"/>
          <w:sz w:val="16"/>
          <w:szCs w:val="16"/>
        </w:rPr>
        <w:t xml:space="preserve"> ВВС для производства дополнительных испытаний.</w:t>
      </w:r>
    </w:p>
    <w:p w14:paraId="438A7E90"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В списке рассылки акта значились: А. И. Шахурин, генерал-полковник Н С. Шиманов - ЦК ВКП (б), генерал-полковник А. К. Репин, генерал-лейтенант Н П. Селезнев - начальник ГУЗ ВВС, начальники 7-го и 10-го ГУ НКАП, начальник ЛИИ НКАП профессор А. В. Чесалов и С. В. Ильюшин.</w:t>
      </w:r>
    </w:p>
    <w:p w14:paraId="3326368D"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К этому времени уже завершились государственные испытания штурмовика Ил-8 АМ-42 и были получены основные летные данные опытного самолета Су-6 АМ-42.</w:t>
      </w:r>
    </w:p>
    <w:p w14:paraId="5C0789B3"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Таким образом, и военным, и НКАП, и руководству страны было из чего выбирать. Поначалу сравнение опытных боевых самолетов проводилось между Ил-8 и Су-6, затем к ним «присоединили» Ил-10.</w:t>
      </w:r>
    </w:p>
    <w:p w14:paraId="283A86FF"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Отмечалось, что Ил-8 при худших скоростных данных, маневренности и скороподъемности имеет существенное преимущество при использовании его в качестве дневного бомбардировщика. Самолет допускал подвеску под крылом двух бомб ФАБ -500. Для действий по хорошо укрепленным оборонительным районам и трудноуязвимым целям это было важно. По технике пилотирования Ил-8 уступал своим конкурентам, но незначительно.</w:t>
      </w:r>
    </w:p>
    <w:p w14:paraId="6859BED9"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Необходимо подчеркнуть, что при одинаковой боевой нагрузке 600 кг взлетный вес Ил-8 получился на 1000 кг больше, чем у Су-6 с АМ-42, то есть весовая отдача самолета была существенно ниже. По этому показателю Су-6 превосходил и Ил-10, взлетный вес которого с 600 кг бомб составлял 6500 кг, на 300 кг превышая вес машины Сухого.</w:t>
      </w:r>
    </w:p>
    <w:p w14:paraId="55FB7F58"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Дальность полета на высоте 1000 м при скорости 308 км/ч у Ил-8 составляла 980 км (с баком на 1020 л), а у Су-6 и Ил-10 - по 790 км, при скорости полета 339 и 330 км/ч соответственно. Причем дальность для Су-6 была получена путем расчета по замеренному при испытаниях расходу топлива.</w:t>
      </w:r>
    </w:p>
    <w:p w14:paraId="2C513E1E"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Однако здесь следует учитывать, что установленный на Су -6 мотор имел невыгодную регулировку с точки зрения расхода топлива: топливная смесь была переобогащенной. С «нормальным» мотором результаты по дальности полета должны быть выше - сопоставимые с Ил-8.</w:t>
      </w:r>
    </w:p>
    <w:p w14:paraId="43C8D4FF"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Согласно аэродинамическому расчету самолета Су-6 АМ-42, выполненному в ОКБ Сухого на основе фактических летных данных Су-6 с М-71ф, полученных в ходе государственных испытаний, максимальная дальность полета на высоте 1000 м оценивалась в 1025 км при скорости полета 341 км/ч.</w:t>
      </w:r>
    </w:p>
    <w:p w14:paraId="0AA01B26"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Качество этих расчетов характеризуется следующими цифрами. Максимальная скорость полета Су-6 АМ-42 у земли, замеренная при испытании, составила 492 км/ч, а по расчету получилась равной 490 км/ч.</w:t>
      </w:r>
    </w:p>
    <w:p w14:paraId="3B3E327C"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Сравнение летных свойств Су-6 и Ил-10 оказалось не в пользу первого. По большинству определяющих характеристик «сухой» уступал «десятке». При полетном весе 6300 кг Ил-10 превосходил Су-6 с полетным весом 6200 кг по горизонтальной скорости почти на всех высотах боевого применения на 10-20 км/ч (в зависимости от состава вооружения Су-6 - с пушками 11П или ВЯ). По скороподъемности на «рабочих» высотах Су-6 также проигрывал «десятке», хотя и незначительно. Маневренность самолетов в горизонтальной плоскости оценивалась примерно равной, но Ил-10 имел небольшое преимущество из-за несколько меньшей нагрузки на крыло.</w:t>
      </w:r>
    </w:p>
    <w:p w14:paraId="5C2382EE"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Ведущий летчик по самолету генерал-майор А. И. Кабанов отмечал, что «по сравнению с однотипным самолетом Ил-10, в летном отношении самолет Су-6 преимуществ не имеет. Самолет Ил-10 более приятен и прост в пилотировании, чем самолет Су-6, а главное, прост на взлете и посадке».</w:t>
      </w:r>
    </w:p>
    <w:p w14:paraId="5962D407"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lastRenderedPageBreak/>
        <w:t>По мнению второго ведущего летчика инженер -майора А. В. Синельникова, Су-6 в сравнении с Ил-10 «а) несколько сложней в технике пилотирования (главным образом на взлете и посадке); б) имеет худшую управляемость; в) обладает более низкими летными данными».</w:t>
      </w:r>
    </w:p>
    <w:p w14:paraId="3F6CFC24"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Штурман-испытатель 5-го отдела 1-го управления института капитан Ковынев указывал: «Кабина стрелка, как по своим габаритам, бронированию, так же как и удобству работы в ней, является лучшей кабиной среди имеющихся штурмовиков».</w:t>
      </w:r>
    </w:p>
    <w:p w14:paraId="5311C49F"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Итоговый вывод сводился к тому, что по своим летным данным, технике пилотирования и управляемости Су -6 уступает Ил-10. К тому же Су-6 АМ-42 формально государственных испытаний не прошел. Это обстоятельство сыграло далеко не последнюю роль в принятии решения о постановке Ил-10 АМ-42 на снабжение ВВС КА.</w:t>
      </w:r>
    </w:p>
    <w:p w14:paraId="6BB0F5E7"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В отличие от Су-6 с мотором М-71ф на машине с АМ-42 отсутствовали автоматические предкрылки. Дело в том, что в ходе госиспытаний отмечался несколько неравномерный выход предкрылков, и военные потребовали их доработать либо снять. Поэтому с целью экономии времени решили ограничиться установкой на крыле только щитков Шренка, а предкрылки внедрить на втором экземпляре Су-6 с АМ-42. Учитывая, что ни Ил-8, ни Ил-10 автоматическими предкрылками не оснащались, это был явный «шаг назад», так как серьезно уменьшал главное преимущество Су-6 - отличные маневренность и управляемость на больших углах атаки. Это и произошло. При сопоставимых в целом летных данных преимущество Су-6 в управляемости и устойчивости было утеряно.</w:t>
      </w:r>
    </w:p>
    <w:p w14:paraId="7ED69F91"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Здесь стоит указать на некоторую некорректность проведенного в НИИ ВВС сравнения летных данных опытных самолетов.</w:t>
      </w:r>
    </w:p>
    <w:p w14:paraId="0AB4793C"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Не были приняты во внимание такие показатели самолетов, как средняя скорость установившегося пикирования и значение маневренной перегрузки, хотя к этому времени в НИИ ВВС уже были выполнены соответствующие теоретические и практические работы по обоснованию важности этих характеристик для боевых самолетов.</w:t>
      </w:r>
    </w:p>
    <w:p w14:paraId="489BBA81" w14:textId="77777777" w:rsidR="00D54008" w:rsidRPr="00070ADE" w:rsidRDefault="00D54008" w:rsidP="00B56F90">
      <w:pPr>
        <w:spacing w:after="0" w:line="240" w:lineRule="auto"/>
        <w:jc w:val="both"/>
        <w:rPr>
          <w:rStyle w:val="77"/>
          <w:rFonts w:eastAsiaTheme="minorHAnsi"/>
          <w:color w:val="000000" w:themeColor="text1"/>
          <w:sz w:val="16"/>
          <w:szCs w:val="16"/>
        </w:rPr>
      </w:pPr>
      <w:r w:rsidRPr="00070ADE">
        <w:rPr>
          <w:rStyle w:val="77"/>
          <w:rFonts w:eastAsiaTheme="minorHAnsi"/>
          <w:color w:val="000000" w:themeColor="text1"/>
          <w:sz w:val="16"/>
          <w:szCs w:val="16"/>
        </w:rPr>
        <w:t>Как известно, чем меньше скорость самолета-штурмовика на пикировании, тем лучшие условия создаются при стрельбе из пушек и бомбометанию по наземным целям, а более высокие средние значения маневренной перегрузки позволяют выполнять боевое маневрирование с меньшей потерей энергии и с меньшим пространственным размахом, повысить эффективность противозенитного маневра и т. д.</w:t>
      </w:r>
    </w:p>
    <w:p w14:paraId="194EBA30"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Если провести сравнение по этим показателям, то получается следующая картина: Су-6 незначительно (на 2-6 %) превосходил Ил-10 по маневренной перегрузке и скорости пикирования, а Ил-8 имел некоторое преимущество перед Су-6 и Ил-10 в скорости пикирования (на 11-17 %), но проигрывал им в значении маневренной перегрузки (на 13-15 %).</w:t>
      </w:r>
    </w:p>
    <w:p w14:paraId="7C49764F"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 xml:space="preserve">В ходе государственных испытаний бомбовая нагрузка Су-6 и Ил-8 составляла 600 кг, а Ил-10 - 400 кг. С уменьшенной на 200 кг бомбовой нагрузкой удельные параметры Су-6 и Ил-8 становились заметно выше (нагрузка на крыло - 209,8 и 213,3 кг/м </w:t>
      </w:r>
      <w:r w:rsidRPr="00070ADE">
        <w:rPr>
          <w:rStyle w:val="77"/>
          <w:rFonts w:eastAsiaTheme="minorHAnsi"/>
          <w:color w:val="000000" w:themeColor="text1"/>
          <w:sz w:val="16"/>
          <w:szCs w:val="16"/>
          <w:vertAlign w:val="superscript"/>
        </w:rPr>
        <w:t>2</w:t>
      </w:r>
      <w:r w:rsidRPr="00070ADE">
        <w:rPr>
          <w:rStyle w:val="77"/>
          <w:rFonts w:eastAsiaTheme="minorHAnsi"/>
          <w:color w:val="000000" w:themeColor="text1"/>
          <w:sz w:val="16"/>
          <w:szCs w:val="16"/>
        </w:rPr>
        <w:t xml:space="preserve">, нагрузка на мощность - 3,0 и 3,53 кг/л. с. соответственно). Управляемость самолетов на взлете, посадке и при боевом маневрировании улучшалась. «Разрыв» между Су -6 и Ил-10 по маневренной перегрузке и скорости пикирования увеличивался еще более. «Восьмерка» получала дополнительное преимущество в скорости пикирования и несколько сокращала отставание от конкурентов по маневренной перегрузке. Если же «нагрузить» Ил-10 до отказа (600 кг), то сравнение с Су-6 по всем летным данным шло уже не в пользу первого - вертикальная и горизонтальная маневренность становилась хуже, равно как и управляемость (нагрузка на крыло - 212,3 кг/м </w:t>
      </w:r>
      <w:r w:rsidRPr="00070ADE">
        <w:rPr>
          <w:rStyle w:val="77"/>
          <w:rFonts w:eastAsiaTheme="minorHAnsi"/>
          <w:color w:val="000000" w:themeColor="text1"/>
          <w:sz w:val="16"/>
          <w:szCs w:val="16"/>
          <w:vertAlign w:val="superscript"/>
        </w:rPr>
        <w:t>2</w:t>
      </w:r>
      <w:r w:rsidRPr="00070ADE">
        <w:rPr>
          <w:rStyle w:val="77"/>
          <w:rFonts w:eastAsiaTheme="minorHAnsi"/>
          <w:color w:val="000000" w:themeColor="text1"/>
          <w:sz w:val="16"/>
          <w:szCs w:val="16"/>
        </w:rPr>
        <w:t>, нагрузка на мощность - 3,27 кг/л. с.). Резко усложнялась техника пилотирования, особенно на больших углах атаки. Не случайно при принятии решения о постановке Ил-10 на вооружение ВВС КА было особо оговорено ограничение нормального взлетного веса, который не должен был превышать 6300 кг.</w:t>
      </w:r>
    </w:p>
    <w:p w14:paraId="294CC1B7"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Сегодня остается только догадываться, по каким причинам Су-6 с АМ-42 предъявили на государственные испытания в варианте с максимальной бомбовой нагрузкой (400 кг в варианте с пушками 11П и 600 кг - с пушками ВЯ). Удивляет другое, почему специалисты НИИ ВВС не провели дополнительные испытания Су-6 и в отчетные материалы не включили сравнительный анализ летных данных Су-6 и Ил-10 (как однотипных) с равной нагрузкой в 400 кг бомб (или 600 кг). Возможно, выводы отличались бы от тех, что появились в итоговом заключении.</w:t>
      </w:r>
    </w:p>
    <w:p w14:paraId="00B05DA1"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Нет в документе и серьезного анализа боевых свойств Ил-8, Ил-10 и Су-6 (вооружение, прицельный комплекс, боевая живучесть, удобство и простота эксплуатации оружия и самолета). Хотя, казалось бы, именно возможности новых штурмовиков по поражению разнообразных целей на поле боя, их выживаемости в бою, а также подготовки к повторному вылету и должны были сравниваться в первую очередь.</w:t>
      </w:r>
    </w:p>
    <w:p w14:paraId="09049C4B"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Действительно, с точки зрения общевойскового командира, важным является, ни с какой максимальной скоростью летает штурмовик, а какой ущерб штурмовик может нанести противнику при выполнении поставленной боевой задачи в интересах наземных войск. То есть ключевыми факторами являются состав и вес боевой нагрузки штурмовика (калибры и количество бомб, ракетных снарядов, пушечных и пулеметных стволов и боекомплекта к ним), эффективность применяемых боеприпасов при действии по конкретным целям, точность бомбометания и стрельбы.</w:t>
      </w:r>
    </w:p>
    <w:p w14:paraId="10ECA292"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 другой стороны, штурмовик решает боевую задачу в условиях противодействия истребительной авиации и зенитной артиллерии противника. И с этих позиций приоритетными являются скорость, маневренность, эффективность оборонительного вооружения, боевая живучесть самолета и т. д.</w:t>
      </w:r>
    </w:p>
    <w:p w14:paraId="6125784B" w14:textId="77777777" w:rsidR="00D54008" w:rsidRPr="00070ADE" w:rsidRDefault="00D54008" w:rsidP="00B56F90">
      <w:pPr>
        <w:spacing w:after="0" w:line="240" w:lineRule="auto"/>
        <w:jc w:val="both"/>
        <w:rPr>
          <w:rStyle w:val="77"/>
          <w:rFonts w:eastAsiaTheme="minorHAnsi"/>
          <w:color w:val="000000" w:themeColor="text1"/>
          <w:sz w:val="16"/>
          <w:szCs w:val="16"/>
        </w:rPr>
      </w:pPr>
      <w:r w:rsidRPr="00070ADE">
        <w:rPr>
          <w:rStyle w:val="77"/>
          <w:rFonts w:eastAsiaTheme="minorHAnsi"/>
          <w:color w:val="000000" w:themeColor="text1"/>
          <w:sz w:val="16"/>
          <w:szCs w:val="16"/>
        </w:rPr>
        <w:t>Если провести анализ эффективности системы вооружения самолетов, то оказывается, что вооружение Су -6 в большей степени соответствовало задачам непосредственной поддержки войск и распределению типовых наземных целей (артиллерия и минометы на позиции, автомашины, легкая бронетехника, пехота и т. д.), против которых приходилось действовать штурмовой авиации в ходе войны.</w:t>
      </w:r>
    </w:p>
    <w:p w14:paraId="7584AEBF"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Боевой опыт показывал, что для обеспечения высокой вероятности поражения таких целей штурмовик должен нести максимально большое количество осколочных бомб калибра 25 и 50 кг, фугасных бомб калибра 50 кг, а также мелких осколочных и противотанковых бомб калибра 2,5 кг.</w:t>
      </w:r>
    </w:p>
    <w:p w14:paraId="7E30C148"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 учетом этого бомбардировочное вооружение Ил-10 значительно уступало и Ил-8, и Су-6, возможности которых в этом отношении были примерно равными. «Восьмерка» и «сухой» несли больше мелких бомб: АО-2,5 сч - на 12 %, ПТАБ-2,5-1,5 - на 50 %, ПТАБ-10-2,5 - на 58 %, АО-25 сч - на 50 %, ФАБ-50 - на 33 %. Нормальная бомбовая нагрузка в 400 кг на Ил-10 обеспечивалась лишь при подвеске четырех бомб ФАБ-100. При том, что Су-6 и Ил-8 поднимали по шесть «соток».</w:t>
      </w:r>
    </w:p>
    <w:p w14:paraId="2F73D693"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Заметным преимуществом бомбардировочного вооружения Ил-8 и Су-6 считалась загрузка бомб калибра до 100 кг прямо на створки бомбовых отсеков, что упрощало снаряжение самолета и сокращало время подготовки к боевому вылету.</w:t>
      </w:r>
    </w:p>
    <w:p w14:paraId="09FBA324"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Поскольку специальным бомбардировочным прицелом ОПБ-1р, установленным на Ил-8, пользоваться все равно было нельзя (отсутствие обзора у штурмана и забрызгивание оптики прицела маслом), то возможности прицельных устройств на всех трех самолетах при бомбометании с горизонтального полета и пикирования можно считать равными (одинаково плохими).</w:t>
      </w:r>
    </w:p>
    <w:p w14:paraId="15AE5879"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Стрелково-пушечное вооружение «десятки» и «восьмерки» было таким же, как и у Ил-2 последних серий и Су-6 с пушками ВЯ, но уступало тому же Су-6 с пушками 11П калибра 37 мм.</w:t>
      </w:r>
    </w:p>
    <w:p w14:paraId="5C84DCDE"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Если к этому добавить, что на Ил-10 и Ил-8 не предусматривалось ракетное оружие, то эффективность «десятки» и «восьмерки» при действиях по типовым наземным целям была даже ниже, чем у двухместного Ил-2, имевшего четыре ракетных орудия РО-82, не говоря уже о Су-6, на котором устанавливались 6 РО-132.</w:t>
      </w:r>
    </w:p>
    <w:p w14:paraId="701A125A"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Надо полагать, отсутствие ракетных орудий на «илах» явилось все же следствием не столько определенных «настроений» среди военных, сколько желанием ОКБ-240 получить максимальные летные данные самолетов, которые, безусловно, улучшались без подвески реактивных снарядов (выигрыш в скорости составлял как минимум 8-9 км/ч).</w:t>
      </w:r>
    </w:p>
    <w:p w14:paraId="333F0181"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К достоинству систем вооружения Ил-10 и Ил-8 следует отнести оборонительные стрелковые установки ВУ-7 и ВУ-8, обеспечивавшие более широкий сектор стрельбы по сравнению с БЛУБ на Су-6. Кроме того, установка на ВУ-7 пушки Ш-20 заметно повышала ее эффективность в сравнении с ВУ-8 и БЛУБ, где стояли пулеметы УБК.</w:t>
      </w:r>
    </w:p>
    <w:p w14:paraId="1329809E" w14:textId="77777777" w:rsidR="00D54008" w:rsidRPr="00070ADE" w:rsidRDefault="00D54008" w:rsidP="00B56F90">
      <w:pPr>
        <w:spacing w:after="0" w:line="240" w:lineRule="auto"/>
        <w:jc w:val="both"/>
        <w:rPr>
          <w:rStyle w:val="77"/>
          <w:rFonts w:eastAsiaTheme="minorHAnsi"/>
          <w:color w:val="000000" w:themeColor="text1"/>
          <w:sz w:val="16"/>
          <w:szCs w:val="16"/>
        </w:rPr>
      </w:pPr>
      <w:r w:rsidRPr="00070ADE">
        <w:rPr>
          <w:rStyle w:val="77"/>
          <w:rFonts w:eastAsiaTheme="minorHAnsi"/>
          <w:color w:val="000000" w:themeColor="text1"/>
          <w:sz w:val="16"/>
          <w:szCs w:val="16"/>
        </w:rPr>
        <w:t>Схемы бронирования самолетов в целом можно принять равноценными, но с некоторым преимуществом самолета Ил-10 в связи с применением на нем экранированной брони. Другое дело, что из-за недостатка времени в ОКБ Сухого спроектировали бронекапот с равной толщиной брони в 4 мм по всей поверхности. Специалисты НИИ ВВС вполне справедливо рекомендовали перераспределить броню более рационально. Однако стрелок на Су-6 был лучше защищен («за счет надголовника и прозрачной брони на блистерной установке») от огня со стороны верхней задней полусферы, чем на Ил-10 и Ил-8, на которых стрелки, несмотря почти на тонну брони, продолжали оставаться «голыми» по пояс.</w:t>
      </w:r>
    </w:p>
    <w:p w14:paraId="3A37DD34"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 xml:space="preserve">Исходя из опыта боевого применения самолета Ил-2, крыло «восьмерки», где использовался тот же профиль, что и у «двойки», должно было обеспечить более высокие показатели живучести в бою в сравнении с Ил-10 и Су-6. В то же время выбранный для Ил-10 «истребительный» профиль крыла типа </w:t>
      </w:r>
      <w:r w:rsidRPr="00070ADE">
        <w:rPr>
          <w:rStyle w:val="77"/>
          <w:rFonts w:eastAsiaTheme="minorHAnsi"/>
          <w:color w:val="000000" w:themeColor="text1"/>
          <w:sz w:val="16"/>
          <w:szCs w:val="16"/>
          <w:lang w:val="en-US"/>
        </w:rPr>
        <w:t>NACA</w:t>
      </w:r>
      <w:r w:rsidRPr="00070ADE">
        <w:rPr>
          <w:rStyle w:val="77"/>
          <w:rFonts w:eastAsiaTheme="minorHAnsi"/>
          <w:color w:val="000000" w:themeColor="text1"/>
          <w:sz w:val="16"/>
          <w:szCs w:val="16"/>
        </w:rPr>
        <w:t xml:space="preserve"> оказался совершенно неудачным. Даже при небольших повреждениях крыла «десятка» теряла управляемость, и на вынужденных посадках самолеты бились. В ходе войсковых испытаний процент списанных штурмовиков Ил-10, поврежденных в бою и выполнивших вынужденные посадки, оказался в 2-2,5 раза выше, чем у Ил-2. Штурмовик Су-6 в боях не участвовал, но по аналогии с Ил-10 можно с уверенностью утверждать, что этот же недостаток - потеря крылом при повреждении обшивки своих несущих свойств - имел бы место и для «сухого».</w:t>
      </w:r>
    </w:p>
    <w:p w14:paraId="0C2DE963"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Попутно отметим, что именно по этим причинам в 1951 году при создании штурмовика Ил-10М АМ-42, который представлял собой глубокую модернизацию «десятки», было разработано новое крыло, на котором вновь перешли к менее скоростному профилю крыла, как на само лете Ил-2. Живучесть оказалась превыше скорости.</w:t>
      </w:r>
    </w:p>
    <w:p w14:paraId="585F381B"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Боевая живучесть ильюшинских машин оказывалась в значительной степени сниженной и по причине отсутствия на них системы заполнения бензобаков нейтральным газом. На Су-6 такая система имелась и работала нормально.</w:t>
      </w:r>
    </w:p>
    <w:p w14:paraId="57F8460A"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Кроме этого, в отличие от Су-6 и Ил-8, на Ил-10 не было предусмотрено дублирование в системе управления самолетом, в первую очередь рулями высоты и направления. Это серьезно снижало боевую живучесть самолета.</w:t>
      </w:r>
    </w:p>
    <w:p w14:paraId="6AA3CC7D"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lastRenderedPageBreak/>
        <w:t>К достоинству Ил-8 и Ил-10 следует отнести применение на них воздушной системы выпуска и уборки шасси, которая в пожарном отношении была лучше гидравлической системы, стоявшей на Су-6.</w:t>
      </w:r>
    </w:p>
    <w:p w14:paraId="28E8D5F7"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Таким образом, получается так, что фактически единственное преимущество Ил-10 в бою перед Су-6 на тот момент заключалось в его более высокой подвижности и обороноспособности.</w:t>
      </w:r>
    </w:p>
    <w:p w14:paraId="0765368E"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К сожалению, в то время задача достижения конкретных показателей боевой эффективности в требованиях к перспективным самолетам не ставилась, поскольку представление о них у большинства специалистов ВВС, НКАП и авиационных НИИ было весьма смутным. Если оценивать конкурировавшие машины по современным методикам, то можно сделать неутешительный вывод: на вооружение ВВС приняли далеко не с амую удачную из них. Лучшим по боевой эффективности из числа самолетов поля боя, прошедших испытания весной - летом 1944 года, при решении задач авиационной поддержки войск (в обороне и в наступлении) был штурмовик Су -6 АМ-42 с 37-мм пушками 11П. При сопоставимых с Ил-10 летных и маневренных данных «сухой» имел преимущества по своему вооружению и почти в 1,6 раза превосходил «десятку» по боевой эффективности.</w:t>
      </w:r>
    </w:p>
    <w:p w14:paraId="50EAA68C"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Однако важным преимуществом Ил-10 перед Су-6 была относительная простота налаживания его массового производства - сказывалась преемственность по технологии и многим принципиальным решениям с Ил-2. Во всяком случае, так в то время считали. Скорее всего, это и оказалось решающим фактором.</w:t>
      </w:r>
    </w:p>
    <w:p w14:paraId="55043534"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Кроме этого, на мнение ВВС определенную роль, несомненно, повлияла и вышеупомянутая позиция НКАП в отношении «удобства» запуска в серию самолета Ил-8 и мотора АМ-42. Военные все же пошли на некоторые уступки наркомату авиапромышленности. Как тогда казалось, из двух зол выбрали меньшее.</w:t>
      </w:r>
    </w:p>
    <w:p w14:paraId="1D79FEC2"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Здесь необходимо иметь в виду, что взаимоотношения ВВС и НКАП на протяжении всей войны представляли собой весьма сложный сгусток противоречий и компромиссов практически по всем вопросам опытного и серийного самолето - и моторостроения.</w:t>
      </w:r>
    </w:p>
    <w:p w14:paraId="6C2F1D69"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Действительно, требуя от НКАП подачи на вооружение хорошо доведенных самолетов, полностью отвечающих предъявляемым к ним требованиям, руководство ВВС и НИИ ВВС рисковали получить в свой адрес обвинения, будто бы они специально затягивают переоснащение ВВС современной авиационной техникой. Если же принимать все, что производилось НКАП, то в случае обнаружения в строевых частях серьезных недостатков или дефектов матчасти можно было с уверенностью ожидать обвинений в постановке на вооружение заведомо негодных боевых самолетов. Весной 1944 года еще были свежи в памяти события годичной давности, когда в авиачастях действующей армии выявился массовый дефект обшивки самолетов. Тогда удалось доказать, что основная вина лежит все же на промышленности - при расследовании были выявлены серьезные нарушения технологии на авиазаводах и отсутствие должного контроля качества на всех технологических этапах производства самолетов.</w:t>
      </w:r>
    </w:p>
    <w:p w14:paraId="6688232D"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Вот и приходилось военным проявлять исключительную осторожность, дипломатичность и договариваться с НКАП по большинству вопросов. При этом старались «не выносить сор из избы», так как оба ведомства прекрасно понимали, что в их работе имеются серьезные упущения и в случае скандала все это может аукнуться вполне конкретными последствиями. К тому же некоторые специалисты попросту предпочитали «не высовываться».</w:t>
      </w:r>
    </w:p>
    <w:p w14:paraId="0FBA740E"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Отметим, что в ходе доводки Ил-10 подвижную установку ВУ-7 с пушкой Ш-20 заменили на ВУ-8 с пулеметом УБК. Оборонительные возможности самолета понизились до уровня Ил-8 и Су-6.</w:t>
      </w:r>
    </w:p>
    <w:p w14:paraId="7F02F67A" w14:textId="77777777" w:rsidR="00D54008" w:rsidRPr="00070ADE" w:rsidRDefault="00D54008" w:rsidP="00B56F90">
      <w:pPr>
        <w:spacing w:after="0" w:line="240" w:lineRule="auto"/>
        <w:jc w:val="both"/>
        <w:rPr>
          <w:rFonts w:ascii="Times New Roman" w:hAnsi="Times New Roman"/>
          <w:color w:val="000000" w:themeColor="text1"/>
          <w:sz w:val="16"/>
          <w:szCs w:val="16"/>
        </w:rPr>
      </w:pPr>
      <w:r w:rsidRPr="00070ADE">
        <w:rPr>
          <w:rStyle w:val="77"/>
          <w:rFonts w:eastAsiaTheme="minorHAnsi"/>
          <w:color w:val="000000" w:themeColor="text1"/>
          <w:sz w:val="16"/>
          <w:szCs w:val="16"/>
        </w:rPr>
        <w:t>Пушка Ш-20 была опытной и в плане постановки на вооружение конкурировала с пушками Б-20 (М Е. Березин) и В-20 (С. В. Владимиров). После сравнительных испытаний постановлением ГКО № 6681сс от 10 октября 1944 г. на снабжение ВВС КА приняли пушку Б-20. В дальнейшем в ОКБ-240 была сконструирована подвижная установка ВУ-9 с пушкой Б-20 и затем внедрена на Ил-10. Но это было уже после войны.</w:t>
      </w:r>
    </w:p>
    <w:p w14:paraId="2FB6ABC5" w14:textId="77777777" w:rsidR="00D54008" w:rsidRPr="00070ADE" w:rsidRDefault="00D54008" w:rsidP="00B56F90">
      <w:pPr>
        <w:spacing w:after="0" w:line="240" w:lineRule="auto"/>
        <w:jc w:val="both"/>
        <w:rPr>
          <w:rStyle w:val="77"/>
          <w:rFonts w:eastAsiaTheme="minorHAnsi"/>
          <w:color w:val="000000" w:themeColor="text1"/>
          <w:sz w:val="16"/>
          <w:szCs w:val="16"/>
        </w:rPr>
      </w:pPr>
      <w:r w:rsidRPr="00070ADE">
        <w:rPr>
          <w:rStyle w:val="77"/>
          <w:rFonts w:eastAsiaTheme="minorHAnsi"/>
          <w:color w:val="000000" w:themeColor="text1"/>
          <w:sz w:val="16"/>
          <w:szCs w:val="16"/>
        </w:rPr>
        <w:t>Доработанный Ил-10 в июле - августе 1944 года успешно прошел государственные испытания по дополнительной программе. Вес пустой машины составил 4650 кг. Перегрузочный взлетный вес ограничили 6500 кг. Ракетное вооружение по-прежнему отсутствовало. Данные в целом соответствовали полученным ранее (17480).</w:t>
      </w:r>
    </w:p>
    <w:p w14:paraId="0DE86B61" w14:textId="77777777" w:rsidR="00D54008" w:rsidRPr="00070ADE" w:rsidRDefault="00D54008" w:rsidP="00B56F90">
      <w:pPr>
        <w:spacing w:after="0" w:line="240" w:lineRule="auto"/>
        <w:jc w:val="both"/>
        <w:rPr>
          <w:rFonts w:ascii="Times New Roman" w:hAnsi="Times New Roman"/>
          <w:color w:val="000000" w:themeColor="text1"/>
          <w:sz w:val="16"/>
          <w:szCs w:val="16"/>
        </w:rPr>
      </w:pPr>
    </w:p>
    <w:p w14:paraId="286C0E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июня 1944 года зам. начальника 7-го гл. управления НКАП Залесский писал письмо Шахурину.</w:t>
      </w:r>
    </w:p>
    <w:p w14:paraId="546D84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вопросу об авиабомбах докладываю:</w:t>
      </w:r>
    </w:p>
    <w:p w14:paraId="087960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последнее время ГУ ВВС совместно с Наркоматом минометного вооружения приняли решение о введении ушка из прутковой стали, привариваемого к бугелю взамен фрезерованного ушка, который прикрепляется к бугелю.</w:t>
      </w:r>
    </w:p>
    <w:p w14:paraId="3369A9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Внедрение приварного ушка вызвано необходимостью упрощения технологии и сокращения станко-часов, необходимых для механической обработки ушков. Аналогичные конструкции ушков применяются на немецких и американских бомбах.</w:t>
      </w:r>
    </w:p>
    <w:p w14:paraId="77A6F9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Испытаниями в НИИ АВ и графической проверкой в ОКБ-43 установлено:</w:t>
      </w:r>
    </w:p>
    <w:p w14:paraId="5BAD39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Бомбы ФАБ-50 и ФАБ-100 с новыми ушками не подвешиваются на вертикальный кассетный держатель Дер-34 самолета СБ;</w:t>
      </w:r>
    </w:p>
    <w:p w14:paraId="1F7711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 замках Дер-6, Дер-7 самолета У-2 и на замках Дер-21 самолета ДБ-3 выпуска до 1938 г. для подвески бомб ФАБ-50 и ФАБ-100 требуется произвести распиловку окна бомбодержателя;</w:t>
      </w:r>
    </w:p>
    <w:p w14:paraId="35E8E3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 бомбодержателях Дер-13, 15, 16, Дер-23, 25 и 26 самолета ТБ-3 также необходимо произвести распиловку окна для обеспечения подвески бомб ФАБ-250, 500 и 1000;</w:t>
      </w:r>
    </w:p>
    <w:p w14:paraId="425B56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На замках Дер-20 и Дер-20у самолетов Ту-2, Ил-4, Ер-2 и Пе-8 требуется произвести подпиловку крючка для того, чтобы гарантировать подвеску бомб ФАБ-1000 и 2000, так как толщина ушков этих бомб соответствует размеру зева крючка по не проходному калибру, так что бомбы подвешиваются только за счет наличия люфтов и натяга;</w:t>
      </w:r>
    </w:p>
    <w:p w14:paraId="4515DC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У бомбы ФАБ-2000 новое ушко по ширине плотно охватывает крючок замка без зазора, что может привести к заклинению и зависанию бомбы.</w:t>
      </w:r>
    </w:p>
    <w:p w14:paraId="72AAF9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всем этим вопросам издан бюллетень для частей ВВС.</w:t>
      </w:r>
    </w:p>
    <w:p w14:paraId="2425A0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 бомбах ФАБ-250 и выше имеются 2 бугеля - основной (передний) и дополнительный (задний). На дополнительном бугеле ушко было шарнирное, откидывающееся, а приварное ушко может ударять по выступающим частям замков. Поэтому необходимо провести дополнительные испытания бомбометанием на пикировании с замков Дер-19 и 20 самолета Ту-2 и Д-3-40 самолета Пе-2.</w:t>
      </w:r>
    </w:p>
    <w:p w14:paraId="529B17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Наряду с введением ушков, привариваемых к бугелю, ГУ ВВС и НКБ приняли решение об аннулировании бугеля на бомбе ФАБ-100 сталистого чугуна. Ушко отливается вместе с корпусом бомбы на расстоянии 395-400 мм от головного среза, вследствие чего эти бомбы не подвешиваются в мотогондольных отсеках самолета Пе-2.</w:t>
      </w:r>
    </w:p>
    <w:p w14:paraId="22D363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Наркоматом боеприпасов также поднимался вопрос об аннулировании бугелей на бомбах ФАБ-250 и выше; такие бомбы нельзя будет подвешивать на импортных самолетах Бостон Б-3 и Б-25, так как расстояние между ушками на наших бомбах равно 250+(-) 1 мм, а на американских замках расстояние между крючками равно 355 мм.</w:t>
      </w:r>
    </w:p>
    <w:p w14:paraId="22951C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Дополнительно сообщаю:</w:t>
      </w:r>
    </w:p>
    <w:p w14:paraId="4D6C5B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2-го июня с.г. стало известно, что УВВС приняло на вооружение и НКБ поставило на производство новые авиабомбы: ФАБ-250М-43, ФАБ-500М-43, ФАБ-1000М-43 и ФАБ-2000М-43. Предварительная проверка по плазам бомбоотсека самолета Ту-2 показала, что бомбы ФАБ-500М-43 и ФАБ-1000М-43, из-за отличных размеров и очертаний носовой части от серийных бомб, входит в бомбоотсек Ту-2 с минимальными зазорами, недопустимыми для боевой эксплуатации. В ближайшее время будет проведена проверка подвески этих бомб на самолете Ту-2.</w:t>
      </w:r>
    </w:p>
    <w:p w14:paraId="50EF71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Приведенные факты происходят потому, что УВВС не выполняют решение СНК N 1672-700сс от 19 июня 1941 г. о том, что утверждение технических проектов образцов авиационного оружия, боеприпасов и установок должно производиться Наркоматами вооружения, боеприпасов, авиационной промышленности и УВВС. Все изменения по подвесной системе авиабомб, а также ввод на вооружение новых бомб, производилось ВВС без согласования с НКАП (1825,110).</w:t>
      </w:r>
    </w:p>
    <w:p w14:paraId="0CDD38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09B376" w14:textId="77777777" w:rsidR="002D2C83" w:rsidRPr="00070ADE" w:rsidRDefault="002D2C8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9 по 17 июня 1944 Су-6 с новым мотором АМ-42 зав. №4277 и крупнокалиберными пушками 11П, замененными пушками ВЯ (240 снарядов) было выполнено 6 полетов (3 ч 55 мин) по про</w:t>
      </w:r>
      <w:r w:rsidRPr="00070ADE">
        <w:rPr>
          <w:rFonts w:ascii="Times New Roman" w:hAnsi="Times New Roman"/>
          <w:color w:val="000000" w:themeColor="text1"/>
          <w:sz w:val="16"/>
          <w:szCs w:val="16"/>
        </w:rPr>
        <w:softHyphen/>
        <w:t>грамме госиспытаний. Летали</w:t>
      </w:r>
      <w:r w:rsidRPr="00070ADE">
        <w:rPr>
          <w:rStyle w:val="9pt80"/>
          <w:rFonts w:ascii="Times New Roman" w:hAnsi="Times New Roman" w:cs="Times New Roman"/>
          <w:i w:val="0"/>
          <w:iCs w:val="0"/>
          <w:color w:val="000000" w:themeColor="text1"/>
          <w:w w:val="100"/>
          <w:sz w:val="16"/>
          <w:szCs w:val="16"/>
        </w:rPr>
        <w:t xml:space="preserve"> «на про</w:t>
      </w:r>
      <w:r w:rsidRPr="00070ADE">
        <w:rPr>
          <w:rStyle w:val="9pt80"/>
          <w:rFonts w:ascii="Times New Roman" w:hAnsi="Times New Roman" w:cs="Times New Roman"/>
          <w:i w:val="0"/>
          <w:iCs w:val="0"/>
          <w:color w:val="000000" w:themeColor="text1"/>
          <w:w w:val="100"/>
          <w:sz w:val="16"/>
          <w:szCs w:val="16"/>
        </w:rPr>
        <w:softHyphen/>
        <w:t>верку работы винтомоторной группы, ки</w:t>
      </w:r>
      <w:r w:rsidRPr="00070ADE">
        <w:rPr>
          <w:rStyle w:val="9pt80"/>
          <w:rFonts w:ascii="Times New Roman" w:hAnsi="Times New Roman" w:cs="Times New Roman"/>
          <w:i w:val="0"/>
          <w:iCs w:val="0"/>
          <w:color w:val="000000" w:themeColor="text1"/>
          <w:w w:val="100"/>
          <w:sz w:val="16"/>
          <w:szCs w:val="16"/>
        </w:rPr>
        <w:softHyphen/>
        <w:t>лометраж, подбор границы высотности и определение дальности радиосвязи».</w:t>
      </w:r>
      <w:r w:rsidRPr="00070ADE">
        <w:rPr>
          <w:rFonts w:ascii="Times New Roman" w:hAnsi="Times New Roman"/>
          <w:color w:val="000000" w:themeColor="text1"/>
          <w:sz w:val="16"/>
          <w:szCs w:val="16"/>
        </w:rPr>
        <w:t xml:space="preserve"> Сум</w:t>
      </w:r>
      <w:r w:rsidRPr="00070ADE">
        <w:rPr>
          <w:rFonts w:ascii="Times New Roman" w:hAnsi="Times New Roman"/>
          <w:color w:val="000000" w:themeColor="text1"/>
          <w:sz w:val="16"/>
          <w:szCs w:val="16"/>
        </w:rPr>
        <w:softHyphen/>
        <w:t>марная наработка мотора составила 18 ч 10 мин, из них 12 ч 30 мин - на стенде на заводе №24.</w:t>
      </w:r>
    </w:p>
    <w:p w14:paraId="01368226" w14:textId="77777777" w:rsidR="002D2C83" w:rsidRPr="00070ADE" w:rsidRDefault="002D2C8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«новой редакции» работал так же неважно, как и «старый» мотор зав. №4252. Имело место «</w:t>
      </w:r>
      <w:r w:rsidRPr="00070ADE">
        <w:rPr>
          <w:rStyle w:val="9pt80"/>
          <w:rFonts w:ascii="Times New Roman" w:hAnsi="Times New Roman" w:cs="Times New Roman"/>
          <w:i w:val="0"/>
          <w:iCs w:val="0"/>
          <w:color w:val="000000" w:themeColor="text1"/>
          <w:w w:val="100"/>
          <w:sz w:val="16"/>
          <w:szCs w:val="16"/>
        </w:rPr>
        <w:t>выбрасывание боль</w:t>
      </w:r>
      <w:r w:rsidRPr="00070ADE">
        <w:rPr>
          <w:rStyle w:val="9pt80"/>
          <w:rFonts w:ascii="Times New Roman" w:hAnsi="Times New Roman" w:cs="Times New Roman"/>
          <w:i w:val="0"/>
          <w:iCs w:val="0"/>
          <w:color w:val="000000" w:themeColor="text1"/>
          <w:w w:val="100"/>
          <w:sz w:val="16"/>
          <w:szCs w:val="16"/>
        </w:rPr>
        <w:softHyphen/>
        <w:t>шого количества масла»</w:t>
      </w:r>
      <w:r w:rsidRPr="00070ADE">
        <w:rPr>
          <w:rFonts w:ascii="Times New Roman" w:hAnsi="Times New Roman"/>
          <w:color w:val="000000" w:themeColor="text1"/>
          <w:sz w:val="16"/>
          <w:szCs w:val="16"/>
        </w:rPr>
        <w:t xml:space="preserve"> из соединения колонки приводов передних агрегатов с картером мотора, из-под фланцев водомасляного агрегата и других соедине</w:t>
      </w:r>
      <w:r w:rsidRPr="00070ADE">
        <w:rPr>
          <w:rFonts w:ascii="Times New Roman" w:hAnsi="Times New Roman"/>
          <w:color w:val="000000" w:themeColor="text1"/>
          <w:sz w:val="16"/>
          <w:szCs w:val="16"/>
        </w:rPr>
        <w:softHyphen/>
        <w:t>ний мотора, а также ненормальная работа бензопомпы БНК-10</w:t>
      </w:r>
      <w:r w:rsidRPr="00070ADE">
        <w:rPr>
          <w:rStyle w:val="9pt80"/>
          <w:rFonts w:ascii="Times New Roman" w:hAnsi="Times New Roman" w:cs="Times New Roman"/>
          <w:i w:val="0"/>
          <w:iCs w:val="0"/>
          <w:color w:val="000000" w:themeColor="text1"/>
          <w:w w:val="100"/>
          <w:sz w:val="16"/>
          <w:szCs w:val="16"/>
        </w:rPr>
        <w:t xml:space="preserve"> («падение давления бензина при полном открытии дроссель</w:t>
      </w:r>
      <w:r w:rsidRPr="00070ADE">
        <w:rPr>
          <w:rStyle w:val="9pt80"/>
          <w:rFonts w:ascii="Times New Roman" w:hAnsi="Times New Roman" w:cs="Times New Roman"/>
          <w:i w:val="0"/>
          <w:iCs w:val="0"/>
          <w:color w:val="000000" w:themeColor="text1"/>
          <w:w w:val="100"/>
          <w:sz w:val="16"/>
          <w:szCs w:val="16"/>
        </w:rPr>
        <w:softHyphen/>
        <w:t>ной заслонки карбюраторов»),</w:t>
      </w:r>
    </w:p>
    <w:p w14:paraId="232B9BD6" w14:textId="77777777" w:rsidR="002D2C83" w:rsidRPr="00070ADE" w:rsidRDefault="002D2C8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 17 июня вновь обнаружился опасный дефект - загорание топливной смеси во всасывающих патрубках.Только теперь в полете. В обоих случаях по</w:t>
      </w:r>
      <w:r w:rsidRPr="00070ADE">
        <w:rPr>
          <w:rFonts w:ascii="Times New Roman" w:hAnsi="Times New Roman"/>
          <w:color w:val="000000" w:themeColor="text1"/>
          <w:sz w:val="16"/>
          <w:szCs w:val="16"/>
        </w:rPr>
        <w:softHyphen/>
        <w:t>жар не привел к аварии или катастрофе только потому, что произошел на плани</w:t>
      </w:r>
      <w:r w:rsidRPr="00070ADE">
        <w:rPr>
          <w:rFonts w:ascii="Times New Roman" w:hAnsi="Times New Roman"/>
          <w:color w:val="000000" w:themeColor="text1"/>
          <w:sz w:val="16"/>
          <w:szCs w:val="16"/>
        </w:rPr>
        <w:softHyphen/>
        <w:t>ровании, при заходе самолета на посадку.</w:t>
      </w:r>
    </w:p>
    <w:p w14:paraId="5B0624C7" w14:textId="77777777" w:rsidR="002D2C83" w:rsidRPr="00070ADE" w:rsidRDefault="002D2C83" w:rsidP="00B56F90">
      <w:pPr>
        <w:pStyle w:val="121"/>
        <w:shd w:val="clear" w:color="auto" w:fill="auto"/>
        <w:spacing w:line="240" w:lineRule="auto"/>
        <w:jc w:val="both"/>
        <w:rPr>
          <w:rFonts w:ascii="Times New Roman" w:hAnsi="Times New Roman" w:cs="Times New Roman"/>
          <w:b w:val="0"/>
          <w:bCs w:val="0"/>
          <w:color w:val="000000" w:themeColor="text1"/>
          <w:sz w:val="16"/>
          <w:szCs w:val="16"/>
        </w:rPr>
      </w:pPr>
      <w:r w:rsidRPr="00070ADE">
        <w:rPr>
          <w:rStyle w:val="128pt100"/>
          <w:rFonts w:ascii="Times New Roman" w:hAnsi="Times New Roman" w:cs="Times New Roman"/>
          <w:b w:val="0"/>
          <w:bCs w:val="0"/>
          <w:i w:val="0"/>
          <w:iCs w:val="0"/>
          <w:color w:val="000000" w:themeColor="text1"/>
        </w:rPr>
        <w:t>Как докладывал начальник ГК НИИ ВВС генерал-лейтенант Лосюков:</w:t>
      </w:r>
      <w:r w:rsidRPr="00070ADE">
        <w:rPr>
          <w:rFonts w:ascii="Times New Roman" w:hAnsi="Times New Roman" w:cs="Times New Roman"/>
          <w:b w:val="0"/>
          <w:bCs w:val="0"/>
          <w:color w:val="000000" w:themeColor="text1"/>
          <w:sz w:val="16"/>
          <w:szCs w:val="16"/>
        </w:rPr>
        <w:t xml:space="preserve"> «При</w:t>
      </w:r>
      <w:r w:rsidRPr="00070ADE">
        <w:rPr>
          <w:rFonts w:ascii="Times New Roman" w:hAnsi="Times New Roman" w:cs="Times New Roman"/>
          <w:b w:val="0"/>
          <w:bCs w:val="0"/>
          <w:color w:val="000000" w:themeColor="text1"/>
          <w:sz w:val="16"/>
          <w:szCs w:val="16"/>
        </w:rPr>
        <w:softHyphen/>
        <w:t>чиной пожара во всасывающих патруб</w:t>
      </w:r>
      <w:r w:rsidRPr="00070ADE">
        <w:rPr>
          <w:rFonts w:ascii="Times New Roman" w:hAnsi="Times New Roman" w:cs="Times New Roman"/>
          <w:b w:val="0"/>
          <w:bCs w:val="0"/>
          <w:color w:val="000000" w:themeColor="text1"/>
          <w:sz w:val="16"/>
          <w:szCs w:val="16"/>
        </w:rPr>
        <w:softHyphen/>
        <w:t>ках мотора АМ-42 является наличие в них сборников конденсата, в которых при обратной вспышке в карбюраторе воспла</w:t>
      </w:r>
      <w:r w:rsidRPr="00070ADE">
        <w:rPr>
          <w:rFonts w:ascii="Times New Roman" w:hAnsi="Times New Roman" w:cs="Times New Roman"/>
          <w:b w:val="0"/>
          <w:bCs w:val="0"/>
          <w:color w:val="000000" w:themeColor="text1"/>
          <w:sz w:val="16"/>
          <w:szCs w:val="16"/>
        </w:rPr>
        <w:softHyphen/>
        <w:t>меняется конденсат. При воспламенении смеси во всасывающем патрубке, он нака</w:t>
      </w:r>
      <w:r w:rsidRPr="00070ADE">
        <w:rPr>
          <w:rFonts w:ascii="Times New Roman" w:hAnsi="Times New Roman" w:cs="Times New Roman"/>
          <w:b w:val="0"/>
          <w:bCs w:val="0"/>
          <w:color w:val="000000" w:themeColor="text1"/>
          <w:sz w:val="16"/>
          <w:szCs w:val="16"/>
        </w:rPr>
        <w:softHyphen/>
        <w:t>ляется до белого каления, вследствие чего обгорают проводники зажигания, что в свою очередь, может привести к отказу мотора или пожару самолета».</w:t>
      </w:r>
    </w:p>
    <w:p w14:paraId="15BDC8F0" w14:textId="77777777" w:rsidR="002D2C83" w:rsidRPr="00070ADE" w:rsidRDefault="002D2C8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Главный инженер ВВС КА генерал- полковник Репин запретил полеты на Су-6 с этим мотором. Быстро заменить мотор не удалось, так как</w:t>
      </w:r>
      <w:r w:rsidRPr="00070ADE">
        <w:rPr>
          <w:rStyle w:val="9pt80"/>
          <w:rFonts w:ascii="Times New Roman" w:hAnsi="Times New Roman" w:cs="Times New Roman"/>
          <w:i w:val="0"/>
          <w:iCs w:val="0"/>
          <w:color w:val="000000" w:themeColor="text1"/>
          <w:w w:val="100"/>
          <w:sz w:val="16"/>
          <w:szCs w:val="16"/>
        </w:rPr>
        <w:t xml:space="preserve"> «завод №24 за</w:t>
      </w:r>
      <w:r w:rsidRPr="00070ADE">
        <w:rPr>
          <w:rStyle w:val="9pt80"/>
          <w:rFonts w:ascii="Times New Roman" w:hAnsi="Times New Roman" w:cs="Times New Roman"/>
          <w:i w:val="0"/>
          <w:iCs w:val="0"/>
          <w:color w:val="000000" w:themeColor="text1"/>
          <w:w w:val="100"/>
          <w:sz w:val="16"/>
          <w:szCs w:val="16"/>
        </w:rPr>
        <w:softHyphen/>
        <w:t>держивал его поставку».</w:t>
      </w:r>
      <w:r w:rsidRPr="00070ADE">
        <w:rPr>
          <w:rFonts w:ascii="Times New Roman" w:hAnsi="Times New Roman"/>
          <w:color w:val="000000" w:themeColor="text1"/>
          <w:sz w:val="16"/>
          <w:szCs w:val="16"/>
        </w:rPr>
        <w:t xml:space="preserve"> Сухой обратился за помощью к наркому Шахурину. Но тот ничем не помог.</w:t>
      </w:r>
    </w:p>
    <w:p w14:paraId="2CD26ADE" w14:textId="77777777" w:rsidR="002D2C83" w:rsidRPr="00070ADE" w:rsidRDefault="002D2C8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общей сложности ко времени офи</w:t>
      </w:r>
      <w:r w:rsidRPr="00070ADE">
        <w:rPr>
          <w:rFonts w:ascii="Times New Roman" w:hAnsi="Times New Roman"/>
          <w:color w:val="000000" w:themeColor="text1"/>
          <w:sz w:val="16"/>
          <w:szCs w:val="16"/>
        </w:rPr>
        <w:softHyphen/>
        <w:t>циального прекращения испытаний 2 июля опытный Су-6 выполнил 24 полёта с суммарным налетом 10 ч 25 мин.</w:t>
      </w:r>
    </w:p>
    <w:p w14:paraId="1F5A8BA9" w14:textId="77777777" w:rsidR="002D2C83" w:rsidRPr="00070ADE" w:rsidRDefault="002D2C8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полетном весе 6200 кг (600 кг бомб, боекомплект к пушкам ВЯ и пу</w:t>
      </w:r>
      <w:r w:rsidRPr="00070ADE">
        <w:rPr>
          <w:rFonts w:ascii="Times New Roman" w:hAnsi="Times New Roman"/>
          <w:color w:val="000000" w:themeColor="text1"/>
          <w:sz w:val="16"/>
          <w:szCs w:val="16"/>
        </w:rPr>
        <w:softHyphen/>
        <w:t>леметам) скорость полета составила 492 км/ч - у земли, и 521 км/ч - на вы</w:t>
      </w:r>
      <w:r w:rsidRPr="00070ADE">
        <w:rPr>
          <w:rFonts w:ascii="Times New Roman" w:hAnsi="Times New Roman"/>
          <w:color w:val="000000" w:themeColor="text1"/>
          <w:sz w:val="16"/>
          <w:szCs w:val="16"/>
        </w:rPr>
        <w:softHyphen/>
        <w:t>соте 1860 м. Максимальная дальность по</w:t>
      </w:r>
      <w:r w:rsidRPr="00070ADE">
        <w:rPr>
          <w:rFonts w:ascii="Times New Roman" w:hAnsi="Times New Roman"/>
          <w:color w:val="000000" w:themeColor="text1"/>
          <w:sz w:val="16"/>
          <w:szCs w:val="16"/>
        </w:rPr>
        <w:softHyphen/>
        <w:t>лета оценивалась в 790 км.</w:t>
      </w:r>
    </w:p>
    <w:p w14:paraId="6FAC9108" w14:textId="77777777" w:rsidR="002D2C83" w:rsidRPr="00070ADE" w:rsidRDefault="002D2C8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Следует обратить внимание на то, что летные данные Су-6 были получены при невыгодной регулировке мотора с точки зрения расхода топлива: он имел переобогащенную топливную смесь. При нормально работающем моторе даль</w:t>
      </w:r>
      <w:r w:rsidRPr="00070ADE">
        <w:rPr>
          <w:rFonts w:ascii="Times New Roman" w:hAnsi="Times New Roman"/>
          <w:color w:val="000000" w:themeColor="text1"/>
          <w:sz w:val="16"/>
          <w:szCs w:val="16"/>
        </w:rPr>
        <w:softHyphen/>
        <w:t>ность должна была быть выше. С уче</w:t>
      </w:r>
      <w:r w:rsidRPr="00070ADE">
        <w:rPr>
          <w:rFonts w:ascii="Times New Roman" w:hAnsi="Times New Roman"/>
          <w:color w:val="000000" w:themeColor="text1"/>
          <w:sz w:val="16"/>
          <w:szCs w:val="16"/>
        </w:rPr>
        <w:softHyphen/>
        <w:t>том этого специалисты ГК НИИ ВВС рас</w:t>
      </w:r>
      <w:r w:rsidRPr="00070ADE">
        <w:rPr>
          <w:rFonts w:ascii="Times New Roman" w:hAnsi="Times New Roman"/>
          <w:color w:val="000000" w:themeColor="text1"/>
          <w:sz w:val="16"/>
          <w:szCs w:val="16"/>
        </w:rPr>
        <w:softHyphen/>
        <w:t>считали дальность полета Су-6 исходя из расходов топлива, взятых из матери</w:t>
      </w:r>
      <w:r w:rsidRPr="00070ADE">
        <w:rPr>
          <w:rFonts w:ascii="Times New Roman" w:hAnsi="Times New Roman"/>
          <w:color w:val="000000" w:themeColor="text1"/>
          <w:sz w:val="16"/>
          <w:szCs w:val="16"/>
        </w:rPr>
        <w:softHyphen/>
        <w:t>алов по государственным испытаниям Ил-Юс АМ-42.</w:t>
      </w:r>
    </w:p>
    <w:p w14:paraId="4A44DA6A" w14:textId="77777777" w:rsidR="002D2C83" w:rsidRPr="00070ADE" w:rsidRDefault="002D2C8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Между тем, согласно аэродинамиче</w:t>
      </w:r>
      <w:r w:rsidRPr="00070ADE">
        <w:rPr>
          <w:rFonts w:ascii="Times New Roman" w:hAnsi="Times New Roman"/>
          <w:color w:val="000000" w:themeColor="text1"/>
          <w:sz w:val="16"/>
          <w:szCs w:val="16"/>
        </w:rPr>
        <w:softHyphen/>
        <w:t>скому расчету самолета Су-6 АМ-42, вы</w:t>
      </w:r>
      <w:r w:rsidRPr="00070ADE">
        <w:rPr>
          <w:rFonts w:ascii="Times New Roman" w:hAnsi="Times New Roman"/>
          <w:color w:val="000000" w:themeColor="text1"/>
          <w:sz w:val="16"/>
          <w:szCs w:val="16"/>
        </w:rPr>
        <w:softHyphen/>
        <w:t>полненному в ОКБ Сухого на основе фак</w:t>
      </w:r>
      <w:r w:rsidRPr="00070ADE">
        <w:rPr>
          <w:rFonts w:ascii="Times New Roman" w:hAnsi="Times New Roman"/>
          <w:color w:val="000000" w:themeColor="text1"/>
          <w:sz w:val="16"/>
          <w:szCs w:val="16"/>
        </w:rPr>
        <w:softHyphen/>
        <w:t>тических летных данных Су-6 с М-71ф, максимальная дальность полета на высоте 1000 м оценивалась в 1025 км при скоро</w:t>
      </w:r>
      <w:r w:rsidRPr="00070ADE">
        <w:rPr>
          <w:rFonts w:ascii="Times New Roman" w:hAnsi="Times New Roman"/>
          <w:color w:val="000000" w:themeColor="text1"/>
          <w:sz w:val="16"/>
          <w:szCs w:val="16"/>
        </w:rPr>
        <w:softHyphen/>
        <w:t>сти полета 341 км/ч.</w:t>
      </w:r>
    </w:p>
    <w:p w14:paraId="4E7BEDBF" w14:textId="77777777" w:rsidR="002D2C83" w:rsidRPr="00070ADE" w:rsidRDefault="002D2C8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точности этих расчетов можно су</w:t>
      </w:r>
      <w:r w:rsidRPr="00070ADE">
        <w:rPr>
          <w:rFonts w:ascii="Times New Roman" w:hAnsi="Times New Roman"/>
          <w:color w:val="000000" w:themeColor="text1"/>
          <w:sz w:val="16"/>
          <w:szCs w:val="16"/>
        </w:rPr>
        <w:softHyphen/>
        <w:t>дить, например, по значению максималь</w:t>
      </w:r>
      <w:r w:rsidRPr="00070ADE">
        <w:rPr>
          <w:rFonts w:ascii="Times New Roman" w:hAnsi="Times New Roman"/>
          <w:color w:val="000000" w:themeColor="text1"/>
          <w:sz w:val="16"/>
          <w:szCs w:val="16"/>
        </w:rPr>
        <w:softHyphen/>
        <w:t>ной скорости у земли, которая согласно расчетов получалась равной 490 км/ч, а по факту - 492 км/ч.</w:t>
      </w:r>
    </w:p>
    <w:p w14:paraId="035C9F0B" w14:textId="77777777" w:rsidR="002D2C83" w:rsidRPr="00070ADE" w:rsidRDefault="002D2C8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пулеметно-пушечное и бомбар</w:t>
      </w:r>
      <w:r w:rsidRPr="00070ADE">
        <w:rPr>
          <w:rFonts w:ascii="Times New Roman" w:hAnsi="Times New Roman"/>
          <w:color w:val="000000" w:themeColor="text1"/>
          <w:sz w:val="16"/>
          <w:szCs w:val="16"/>
        </w:rPr>
        <w:softHyphen/>
        <w:t>дировочное вооружение было успешно проверено работой на земле и в воздухе, за исключением пушек ВЯ, которые от</w:t>
      </w:r>
      <w:r w:rsidRPr="00070ADE">
        <w:rPr>
          <w:rFonts w:ascii="Times New Roman" w:hAnsi="Times New Roman"/>
          <w:color w:val="000000" w:themeColor="text1"/>
          <w:sz w:val="16"/>
          <w:szCs w:val="16"/>
        </w:rPr>
        <w:softHyphen/>
        <w:t>стреливались только на земле. Приняли во внимание, что такие же установки в 1942 г. прошли государственные испыта</w:t>
      </w:r>
      <w:r w:rsidRPr="00070ADE">
        <w:rPr>
          <w:rFonts w:ascii="Times New Roman" w:hAnsi="Times New Roman"/>
          <w:color w:val="000000" w:themeColor="text1"/>
          <w:sz w:val="16"/>
          <w:szCs w:val="16"/>
        </w:rPr>
        <w:softHyphen/>
        <w:t>ния на одноместном Су-6 М-71.</w:t>
      </w:r>
    </w:p>
    <w:p w14:paraId="134E16A1" w14:textId="77777777" w:rsidR="002D2C83" w:rsidRPr="00070ADE" w:rsidRDefault="002D2C83" w:rsidP="00B56F90">
      <w:pPr>
        <w:pStyle w:val="121"/>
        <w:shd w:val="clear" w:color="auto" w:fill="auto"/>
        <w:spacing w:line="240" w:lineRule="auto"/>
        <w:jc w:val="both"/>
        <w:rPr>
          <w:rFonts w:ascii="Times New Roman" w:hAnsi="Times New Roman" w:cs="Times New Roman"/>
          <w:b w:val="0"/>
          <w:bCs w:val="0"/>
          <w:color w:val="000000" w:themeColor="text1"/>
          <w:sz w:val="16"/>
          <w:szCs w:val="16"/>
        </w:rPr>
      </w:pPr>
      <w:r w:rsidRPr="00070ADE">
        <w:rPr>
          <w:rStyle w:val="128pt100"/>
          <w:rFonts w:ascii="Times New Roman" w:hAnsi="Times New Roman" w:cs="Times New Roman"/>
          <w:b w:val="0"/>
          <w:bCs w:val="0"/>
          <w:i w:val="0"/>
          <w:iCs w:val="0"/>
          <w:color w:val="000000" w:themeColor="text1"/>
        </w:rPr>
        <w:t>В летной оценке самолета Су-6 АМ-42 от 2 июля второй ведущий летчик инженер-майор Синельников указывал: «</w:t>
      </w:r>
      <w:r w:rsidRPr="00070ADE">
        <w:rPr>
          <w:rFonts w:ascii="Times New Roman" w:hAnsi="Times New Roman" w:cs="Times New Roman"/>
          <w:b w:val="0"/>
          <w:bCs w:val="0"/>
          <w:color w:val="000000" w:themeColor="text1"/>
          <w:sz w:val="16"/>
          <w:szCs w:val="16"/>
        </w:rPr>
        <w:t>Уве</w:t>
      </w:r>
      <w:r w:rsidRPr="00070ADE">
        <w:rPr>
          <w:rFonts w:ascii="Times New Roman" w:hAnsi="Times New Roman" w:cs="Times New Roman"/>
          <w:b w:val="0"/>
          <w:bCs w:val="0"/>
          <w:color w:val="000000" w:themeColor="text1"/>
          <w:sz w:val="16"/>
          <w:szCs w:val="16"/>
        </w:rPr>
        <w:softHyphen/>
        <w:t>личение площади крыла и снятие пред</w:t>
      </w:r>
      <w:r w:rsidRPr="00070ADE">
        <w:rPr>
          <w:rFonts w:ascii="Times New Roman" w:hAnsi="Times New Roman" w:cs="Times New Roman"/>
          <w:b w:val="0"/>
          <w:bCs w:val="0"/>
          <w:color w:val="000000" w:themeColor="text1"/>
          <w:sz w:val="16"/>
          <w:szCs w:val="16"/>
        </w:rPr>
        <w:softHyphen/>
        <w:t>крылков значительно упростили технику пилотирования самолета на взлете и по</w:t>
      </w:r>
      <w:r w:rsidRPr="00070ADE">
        <w:rPr>
          <w:rFonts w:ascii="Times New Roman" w:hAnsi="Times New Roman" w:cs="Times New Roman"/>
          <w:b w:val="0"/>
          <w:bCs w:val="0"/>
          <w:color w:val="000000" w:themeColor="text1"/>
          <w:sz w:val="16"/>
          <w:szCs w:val="16"/>
        </w:rPr>
        <w:softHyphen/>
        <w:t>садке по сравнению с самолетом Су-6 с мо</w:t>
      </w:r>
      <w:r w:rsidRPr="00070ADE">
        <w:rPr>
          <w:rFonts w:ascii="Times New Roman" w:hAnsi="Times New Roman" w:cs="Times New Roman"/>
          <w:b w:val="0"/>
          <w:bCs w:val="0"/>
          <w:color w:val="000000" w:themeColor="text1"/>
          <w:sz w:val="16"/>
          <w:szCs w:val="16"/>
        </w:rPr>
        <w:softHyphen/>
        <w:t>тором М-71ф. В целом самолет Су-6 с мо</w:t>
      </w:r>
      <w:r w:rsidRPr="00070ADE">
        <w:rPr>
          <w:rFonts w:ascii="Times New Roman" w:hAnsi="Times New Roman" w:cs="Times New Roman"/>
          <w:b w:val="0"/>
          <w:bCs w:val="0"/>
          <w:color w:val="000000" w:themeColor="text1"/>
          <w:sz w:val="16"/>
          <w:szCs w:val="16"/>
        </w:rPr>
        <w:softHyphen/>
        <w:t>тором АМ-42 доступен летчикам средней квалификации. Недостатками самолета, усложняющими технику пилотирования, являются:</w:t>
      </w:r>
    </w:p>
    <w:p w14:paraId="35C6E9B8" w14:textId="77777777" w:rsidR="002D2C83" w:rsidRPr="00070ADE" w:rsidRDefault="002D2C83" w:rsidP="00B56F90">
      <w:pPr>
        <w:pStyle w:val="121"/>
        <w:shd w:val="clear" w:color="auto" w:fill="auto"/>
        <w:tabs>
          <w:tab w:val="left" w:pos="486"/>
        </w:tabs>
        <w:spacing w:line="240" w:lineRule="auto"/>
        <w:jc w:val="both"/>
        <w:rPr>
          <w:rFonts w:ascii="Times New Roman" w:hAnsi="Times New Roman" w:cs="Times New Roman"/>
          <w:b w:val="0"/>
          <w:bCs w:val="0"/>
          <w:color w:val="000000" w:themeColor="text1"/>
          <w:sz w:val="16"/>
          <w:szCs w:val="16"/>
        </w:rPr>
      </w:pPr>
      <w:r w:rsidRPr="00070ADE">
        <w:rPr>
          <w:rFonts w:ascii="Times New Roman" w:hAnsi="Times New Roman" w:cs="Times New Roman"/>
          <w:b w:val="0"/>
          <w:bCs w:val="0"/>
          <w:color w:val="000000" w:themeColor="text1"/>
          <w:sz w:val="16"/>
          <w:szCs w:val="16"/>
        </w:rPr>
        <w:t>а)</w:t>
      </w:r>
      <w:r w:rsidRPr="00070ADE">
        <w:rPr>
          <w:rFonts w:ascii="Times New Roman" w:hAnsi="Times New Roman" w:cs="Times New Roman"/>
          <w:b w:val="0"/>
          <w:bCs w:val="0"/>
          <w:color w:val="000000" w:themeColor="text1"/>
          <w:sz w:val="16"/>
          <w:szCs w:val="16"/>
        </w:rPr>
        <w:tab/>
        <w:t>большая (сравнительно с аналогич</w:t>
      </w:r>
      <w:r w:rsidRPr="00070ADE">
        <w:rPr>
          <w:rFonts w:ascii="Times New Roman" w:hAnsi="Times New Roman" w:cs="Times New Roman"/>
          <w:b w:val="0"/>
          <w:bCs w:val="0"/>
          <w:color w:val="000000" w:themeColor="text1"/>
          <w:sz w:val="16"/>
          <w:szCs w:val="16"/>
        </w:rPr>
        <w:softHyphen/>
        <w:t>ными типами самолетов) длина разбега и взлетной дистанции;</w:t>
      </w:r>
    </w:p>
    <w:p w14:paraId="2B00F968" w14:textId="77777777" w:rsidR="002D2C83" w:rsidRPr="00070ADE" w:rsidRDefault="002D2C83" w:rsidP="00B56F90">
      <w:pPr>
        <w:pStyle w:val="121"/>
        <w:shd w:val="clear" w:color="auto" w:fill="auto"/>
        <w:tabs>
          <w:tab w:val="left" w:pos="486"/>
        </w:tabs>
        <w:spacing w:line="240" w:lineRule="auto"/>
        <w:jc w:val="both"/>
        <w:rPr>
          <w:rFonts w:ascii="Times New Roman" w:hAnsi="Times New Roman" w:cs="Times New Roman"/>
          <w:b w:val="0"/>
          <w:bCs w:val="0"/>
          <w:color w:val="000000" w:themeColor="text1"/>
          <w:sz w:val="16"/>
          <w:szCs w:val="16"/>
        </w:rPr>
      </w:pPr>
      <w:r w:rsidRPr="00070ADE">
        <w:rPr>
          <w:rFonts w:ascii="Times New Roman" w:hAnsi="Times New Roman" w:cs="Times New Roman"/>
          <w:b w:val="0"/>
          <w:bCs w:val="0"/>
          <w:color w:val="000000" w:themeColor="text1"/>
          <w:sz w:val="16"/>
          <w:szCs w:val="16"/>
        </w:rPr>
        <w:t>б)</w:t>
      </w:r>
      <w:r w:rsidRPr="00070ADE">
        <w:rPr>
          <w:rFonts w:ascii="Times New Roman" w:hAnsi="Times New Roman" w:cs="Times New Roman"/>
          <w:b w:val="0"/>
          <w:bCs w:val="0"/>
          <w:color w:val="000000" w:themeColor="text1"/>
          <w:sz w:val="16"/>
          <w:szCs w:val="16"/>
        </w:rPr>
        <w:tab/>
        <w:t>большие нагрузки на элероны и руль высоты, особенно на максимальных скоро</w:t>
      </w:r>
      <w:r w:rsidRPr="00070ADE">
        <w:rPr>
          <w:rFonts w:ascii="Times New Roman" w:hAnsi="Times New Roman" w:cs="Times New Roman"/>
          <w:b w:val="0"/>
          <w:bCs w:val="0"/>
          <w:color w:val="000000" w:themeColor="text1"/>
          <w:sz w:val="16"/>
          <w:szCs w:val="16"/>
        </w:rPr>
        <w:softHyphen/>
        <w:t>стях, вираже и при выводе из пикирования;</w:t>
      </w:r>
    </w:p>
    <w:p w14:paraId="5F6CE225" w14:textId="77777777" w:rsidR="002D2C83" w:rsidRPr="00070ADE" w:rsidRDefault="002D2C83" w:rsidP="00B56F90">
      <w:pPr>
        <w:pStyle w:val="121"/>
        <w:shd w:val="clear" w:color="auto" w:fill="auto"/>
        <w:tabs>
          <w:tab w:val="left" w:pos="473"/>
        </w:tabs>
        <w:spacing w:line="240" w:lineRule="auto"/>
        <w:jc w:val="both"/>
        <w:rPr>
          <w:rFonts w:ascii="Times New Roman" w:hAnsi="Times New Roman" w:cs="Times New Roman"/>
          <w:b w:val="0"/>
          <w:bCs w:val="0"/>
          <w:color w:val="000000" w:themeColor="text1"/>
          <w:sz w:val="16"/>
          <w:szCs w:val="16"/>
        </w:rPr>
      </w:pPr>
      <w:r w:rsidRPr="00070ADE">
        <w:rPr>
          <w:rFonts w:ascii="Times New Roman" w:hAnsi="Times New Roman" w:cs="Times New Roman"/>
          <w:b w:val="0"/>
          <w:bCs w:val="0"/>
          <w:color w:val="000000" w:themeColor="text1"/>
          <w:sz w:val="16"/>
          <w:szCs w:val="16"/>
        </w:rPr>
        <w:t>в)</w:t>
      </w:r>
      <w:r w:rsidRPr="00070ADE">
        <w:rPr>
          <w:rFonts w:ascii="Times New Roman" w:hAnsi="Times New Roman" w:cs="Times New Roman"/>
          <w:b w:val="0"/>
          <w:bCs w:val="0"/>
          <w:color w:val="000000" w:themeColor="text1"/>
          <w:sz w:val="16"/>
          <w:szCs w:val="16"/>
        </w:rPr>
        <w:tab/>
        <w:t>крутая глиссада планирования.</w:t>
      </w:r>
    </w:p>
    <w:p w14:paraId="6F2C9DB3" w14:textId="77777777" w:rsidR="002D2C83" w:rsidRPr="00070ADE" w:rsidRDefault="002D2C83" w:rsidP="00B56F90">
      <w:pPr>
        <w:pStyle w:val="121"/>
        <w:shd w:val="clear" w:color="auto" w:fill="auto"/>
        <w:spacing w:line="240" w:lineRule="auto"/>
        <w:jc w:val="both"/>
        <w:rPr>
          <w:rFonts w:ascii="Times New Roman" w:hAnsi="Times New Roman" w:cs="Times New Roman"/>
          <w:b w:val="0"/>
          <w:bCs w:val="0"/>
          <w:color w:val="000000" w:themeColor="text1"/>
          <w:sz w:val="16"/>
          <w:szCs w:val="16"/>
        </w:rPr>
      </w:pPr>
      <w:r w:rsidRPr="00070ADE">
        <w:rPr>
          <w:rFonts w:ascii="Times New Roman" w:hAnsi="Times New Roman" w:cs="Times New Roman"/>
          <w:b w:val="0"/>
          <w:bCs w:val="0"/>
          <w:color w:val="000000" w:themeColor="text1"/>
          <w:sz w:val="16"/>
          <w:szCs w:val="16"/>
        </w:rPr>
        <w:t>По сравнению с однотипным опытным самолетом Ил-10 с АМ-42 самолет Су-6 с АМ-42:</w:t>
      </w:r>
    </w:p>
    <w:p w14:paraId="1DAACA53" w14:textId="77777777" w:rsidR="002D2C83" w:rsidRPr="00070ADE" w:rsidRDefault="002D2C83" w:rsidP="00B56F90">
      <w:pPr>
        <w:pStyle w:val="121"/>
        <w:shd w:val="clear" w:color="auto" w:fill="auto"/>
        <w:tabs>
          <w:tab w:val="left" w:pos="486"/>
        </w:tabs>
        <w:spacing w:line="240" w:lineRule="auto"/>
        <w:jc w:val="both"/>
        <w:rPr>
          <w:rFonts w:ascii="Times New Roman" w:hAnsi="Times New Roman" w:cs="Times New Roman"/>
          <w:b w:val="0"/>
          <w:bCs w:val="0"/>
          <w:color w:val="000000" w:themeColor="text1"/>
          <w:sz w:val="16"/>
          <w:szCs w:val="16"/>
        </w:rPr>
      </w:pPr>
      <w:r w:rsidRPr="00070ADE">
        <w:rPr>
          <w:rFonts w:ascii="Times New Roman" w:hAnsi="Times New Roman" w:cs="Times New Roman"/>
          <w:b w:val="0"/>
          <w:bCs w:val="0"/>
          <w:color w:val="000000" w:themeColor="text1"/>
          <w:sz w:val="16"/>
          <w:szCs w:val="16"/>
        </w:rPr>
        <w:t>а)</w:t>
      </w:r>
      <w:r w:rsidRPr="00070ADE">
        <w:rPr>
          <w:rFonts w:ascii="Times New Roman" w:hAnsi="Times New Roman" w:cs="Times New Roman"/>
          <w:b w:val="0"/>
          <w:bCs w:val="0"/>
          <w:color w:val="000000" w:themeColor="text1"/>
          <w:sz w:val="16"/>
          <w:szCs w:val="16"/>
        </w:rPr>
        <w:tab/>
        <w:t>несколько сложней в технике пило</w:t>
      </w:r>
      <w:r w:rsidRPr="00070ADE">
        <w:rPr>
          <w:rFonts w:ascii="Times New Roman" w:hAnsi="Times New Roman" w:cs="Times New Roman"/>
          <w:b w:val="0"/>
          <w:bCs w:val="0"/>
          <w:color w:val="000000" w:themeColor="text1"/>
          <w:sz w:val="16"/>
          <w:szCs w:val="16"/>
        </w:rPr>
        <w:softHyphen/>
        <w:t>тирования (главным образом на взлете и посадке);</w:t>
      </w:r>
    </w:p>
    <w:p w14:paraId="3C209404" w14:textId="77777777" w:rsidR="002D2C83" w:rsidRPr="00070ADE" w:rsidRDefault="002D2C83" w:rsidP="00B56F90">
      <w:pPr>
        <w:pStyle w:val="121"/>
        <w:shd w:val="clear" w:color="auto" w:fill="auto"/>
        <w:tabs>
          <w:tab w:val="left" w:pos="502"/>
        </w:tabs>
        <w:spacing w:line="240" w:lineRule="auto"/>
        <w:jc w:val="both"/>
        <w:rPr>
          <w:rFonts w:ascii="Times New Roman" w:hAnsi="Times New Roman" w:cs="Times New Roman"/>
          <w:b w:val="0"/>
          <w:bCs w:val="0"/>
          <w:color w:val="000000" w:themeColor="text1"/>
          <w:sz w:val="16"/>
          <w:szCs w:val="16"/>
        </w:rPr>
      </w:pPr>
      <w:r w:rsidRPr="00070ADE">
        <w:rPr>
          <w:rFonts w:ascii="Times New Roman" w:hAnsi="Times New Roman" w:cs="Times New Roman"/>
          <w:b w:val="0"/>
          <w:bCs w:val="0"/>
          <w:color w:val="000000" w:themeColor="text1"/>
          <w:sz w:val="16"/>
          <w:szCs w:val="16"/>
        </w:rPr>
        <w:t>б)</w:t>
      </w:r>
      <w:r w:rsidRPr="00070ADE">
        <w:rPr>
          <w:rFonts w:ascii="Times New Roman" w:hAnsi="Times New Roman" w:cs="Times New Roman"/>
          <w:b w:val="0"/>
          <w:bCs w:val="0"/>
          <w:color w:val="000000" w:themeColor="text1"/>
          <w:sz w:val="16"/>
          <w:szCs w:val="16"/>
        </w:rPr>
        <w:tab/>
        <w:t>имеет худшую управляемость;</w:t>
      </w:r>
    </w:p>
    <w:p w14:paraId="48DB2A54" w14:textId="77777777" w:rsidR="002D2C83" w:rsidRPr="00070ADE" w:rsidRDefault="002D2C83" w:rsidP="00B56F90">
      <w:pPr>
        <w:pStyle w:val="121"/>
        <w:shd w:val="clear" w:color="auto" w:fill="auto"/>
        <w:tabs>
          <w:tab w:val="left" w:pos="481"/>
        </w:tabs>
        <w:spacing w:line="240" w:lineRule="auto"/>
        <w:jc w:val="both"/>
        <w:rPr>
          <w:rFonts w:ascii="Times New Roman" w:hAnsi="Times New Roman" w:cs="Times New Roman"/>
          <w:b w:val="0"/>
          <w:bCs w:val="0"/>
          <w:color w:val="000000" w:themeColor="text1"/>
          <w:sz w:val="16"/>
          <w:szCs w:val="16"/>
        </w:rPr>
      </w:pPr>
      <w:r w:rsidRPr="00070ADE">
        <w:rPr>
          <w:rFonts w:ascii="Times New Roman" w:hAnsi="Times New Roman" w:cs="Times New Roman"/>
          <w:b w:val="0"/>
          <w:bCs w:val="0"/>
          <w:color w:val="000000" w:themeColor="text1"/>
          <w:sz w:val="16"/>
          <w:szCs w:val="16"/>
        </w:rPr>
        <w:t>в)</w:t>
      </w:r>
      <w:r w:rsidRPr="00070ADE">
        <w:rPr>
          <w:rFonts w:ascii="Times New Roman" w:hAnsi="Times New Roman" w:cs="Times New Roman"/>
          <w:b w:val="0"/>
          <w:bCs w:val="0"/>
          <w:color w:val="000000" w:themeColor="text1"/>
          <w:sz w:val="16"/>
          <w:szCs w:val="16"/>
        </w:rPr>
        <w:tab/>
        <w:t>обладает более низкими летными данными».</w:t>
      </w:r>
    </w:p>
    <w:p w14:paraId="1AF3C04B" w14:textId="77777777" w:rsidR="002D2C83" w:rsidRPr="00070ADE" w:rsidRDefault="002D2C83" w:rsidP="00B56F90">
      <w:pPr>
        <w:spacing w:after="0" w:line="240" w:lineRule="auto"/>
        <w:jc w:val="both"/>
        <w:rPr>
          <w:rFonts w:ascii="Times New Roman" w:hAnsi="Times New Roman"/>
          <w:color w:val="000000" w:themeColor="text1"/>
          <w:sz w:val="16"/>
          <w:szCs w:val="16"/>
        </w:rPr>
      </w:pPr>
      <w:r w:rsidRPr="00070ADE">
        <w:rPr>
          <w:rStyle w:val="128pt100"/>
          <w:rFonts w:ascii="Times New Roman" w:hAnsi="Times New Roman" w:cs="Times New Roman"/>
          <w:i w:val="0"/>
          <w:iCs w:val="0"/>
          <w:color w:val="000000" w:themeColor="text1"/>
        </w:rPr>
        <w:t>Примерно также оценил самолет и ве</w:t>
      </w:r>
      <w:r w:rsidRPr="00070ADE">
        <w:rPr>
          <w:rStyle w:val="128pt100"/>
          <w:rFonts w:ascii="Times New Roman" w:hAnsi="Times New Roman" w:cs="Times New Roman"/>
          <w:i w:val="0"/>
          <w:iCs w:val="0"/>
          <w:color w:val="000000" w:themeColor="text1"/>
        </w:rPr>
        <w:softHyphen/>
        <w:t xml:space="preserve">дущий летчик генерал-майор Кабанов: </w:t>
      </w:r>
      <w:r w:rsidRPr="00070ADE">
        <w:rPr>
          <w:rFonts w:ascii="Times New Roman" w:hAnsi="Times New Roman"/>
          <w:color w:val="000000" w:themeColor="text1"/>
          <w:sz w:val="16"/>
          <w:szCs w:val="16"/>
        </w:rPr>
        <w:t>«Замена мотора (АМ-42 вместо М-71ф) мало чем изменила впечатление от пове</w:t>
      </w:r>
      <w:r w:rsidRPr="00070ADE">
        <w:rPr>
          <w:rFonts w:ascii="Times New Roman" w:hAnsi="Times New Roman"/>
          <w:color w:val="000000" w:themeColor="text1"/>
          <w:sz w:val="16"/>
          <w:szCs w:val="16"/>
        </w:rPr>
        <w:softHyphen/>
        <w:t>дения самолета в воздухе. По сравнению с однотипным самолетом Ил-10 в летном отношении самолет Су-6 преимуществ не имеет. Самолет Ил-10 более приятен в пилотировании, чем самолет Су-6, а глав</w:t>
      </w:r>
      <w:r w:rsidRPr="00070ADE">
        <w:rPr>
          <w:rFonts w:ascii="Times New Roman" w:hAnsi="Times New Roman"/>
          <w:color w:val="000000" w:themeColor="text1"/>
          <w:sz w:val="16"/>
          <w:szCs w:val="16"/>
        </w:rPr>
        <w:softHyphen/>
        <w:t>ное более прост на взлете и посадке».</w:t>
      </w:r>
    </w:p>
    <w:p w14:paraId="1424C6AE" w14:textId="77777777" w:rsidR="002D2C83" w:rsidRPr="00070ADE" w:rsidRDefault="002D2C83" w:rsidP="00B56F90">
      <w:pPr>
        <w:pStyle w:val="121"/>
        <w:shd w:val="clear" w:color="auto" w:fill="auto"/>
        <w:spacing w:line="240" w:lineRule="auto"/>
        <w:jc w:val="both"/>
        <w:rPr>
          <w:rFonts w:ascii="Times New Roman" w:hAnsi="Times New Roman" w:cs="Times New Roman"/>
          <w:b w:val="0"/>
          <w:bCs w:val="0"/>
          <w:color w:val="000000" w:themeColor="text1"/>
          <w:sz w:val="16"/>
          <w:szCs w:val="16"/>
        </w:rPr>
      </w:pPr>
      <w:r w:rsidRPr="00070ADE">
        <w:rPr>
          <w:rStyle w:val="128pt100"/>
          <w:rFonts w:ascii="Times New Roman" w:hAnsi="Times New Roman" w:cs="Times New Roman"/>
          <w:b w:val="0"/>
          <w:bCs w:val="0"/>
          <w:i w:val="0"/>
          <w:iCs w:val="0"/>
          <w:color w:val="000000" w:themeColor="text1"/>
        </w:rPr>
        <w:t>Мнение летчика облета подпол</w:t>
      </w:r>
      <w:r w:rsidRPr="00070ADE">
        <w:rPr>
          <w:rStyle w:val="128pt100"/>
          <w:rFonts w:ascii="Times New Roman" w:hAnsi="Times New Roman" w:cs="Times New Roman"/>
          <w:b w:val="0"/>
          <w:bCs w:val="0"/>
          <w:i w:val="0"/>
          <w:iCs w:val="0"/>
          <w:color w:val="000000" w:themeColor="text1"/>
        </w:rPr>
        <w:softHyphen/>
        <w:t>ковника Долгова в целом было таким же:</w:t>
      </w:r>
      <w:r w:rsidRPr="00070ADE">
        <w:rPr>
          <w:rFonts w:ascii="Times New Roman" w:hAnsi="Times New Roman" w:cs="Times New Roman"/>
          <w:b w:val="0"/>
          <w:bCs w:val="0"/>
          <w:color w:val="000000" w:themeColor="text1"/>
          <w:sz w:val="16"/>
          <w:szCs w:val="16"/>
        </w:rPr>
        <w:t xml:space="preserve"> «Опытный самолет Су-6 с мотором АМ-42, в отличие от самолета Су-6 с мо</w:t>
      </w:r>
      <w:r w:rsidRPr="00070ADE">
        <w:rPr>
          <w:rFonts w:ascii="Times New Roman" w:hAnsi="Times New Roman" w:cs="Times New Roman"/>
          <w:b w:val="0"/>
          <w:bCs w:val="0"/>
          <w:color w:val="000000" w:themeColor="text1"/>
          <w:sz w:val="16"/>
          <w:szCs w:val="16"/>
        </w:rPr>
        <w:softHyphen/>
        <w:t>тором М-71ф, по технике пилотирова</w:t>
      </w:r>
      <w:r w:rsidRPr="00070ADE">
        <w:rPr>
          <w:rFonts w:ascii="Times New Roman" w:hAnsi="Times New Roman" w:cs="Times New Roman"/>
          <w:b w:val="0"/>
          <w:bCs w:val="0"/>
          <w:color w:val="000000" w:themeColor="text1"/>
          <w:sz w:val="16"/>
          <w:szCs w:val="16"/>
        </w:rPr>
        <w:softHyphen/>
        <w:t>ния проще, особенно на посадке. Устой</w:t>
      </w:r>
      <w:r w:rsidRPr="00070ADE">
        <w:rPr>
          <w:rFonts w:ascii="Times New Roman" w:hAnsi="Times New Roman" w:cs="Times New Roman"/>
          <w:b w:val="0"/>
          <w:bCs w:val="0"/>
          <w:color w:val="000000" w:themeColor="text1"/>
          <w:sz w:val="16"/>
          <w:szCs w:val="16"/>
        </w:rPr>
        <w:softHyphen/>
        <w:t>чивость самолета по всем осям хорошая, несколько велика путевая устойчивость, что сказывается на управляемости само</w:t>
      </w:r>
      <w:r w:rsidRPr="00070ADE">
        <w:rPr>
          <w:rFonts w:ascii="Times New Roman" w:hAnsi="Times New Roman" w:cs="Times New Roman"/>
          <w:b w:val="0"/>
          <w:bCs w:val="0"/>
          <w:color w:val="000000" w:themeColor="text1"/>
          <w:sz w:val="16"/>
          <w:szCs w:val="16"/>
        </w:rPr>
        <w:softHyphen/>
        <w:t>лета. Нагрузки от руля высоты велики, особенно это чувствуется на взлете и виражах. Обзор на земле удовлетвори</w:t>
      </w:r>
      <w:r w:rsidRPr="00070ADE">
        <w:rPr>
          <w:rFonts w:ascii="Times New Roman" w:hAnsi="Times New Roman" w:cs="Times New Roman"/>
          <w:b w:val="0"/>
          <w:bCs w:val="0"/>
          <w:color w:val="000000" w:themeColor="text1"/>
          <w:sz w:val="16"/>
          <w:szCs w:val="16"/>
        </w:rPr>
        <w:softHyphen/>
        <w:t>тельный, в воздухе хороший. По сравне</w:t>
      </w:r>
      <w:r w:rsidRPr="00070ADE">
        <w:rPr>
          <w:rFonts w:ascii="Times New Roman" w:hAnsi="Times New Roman" w:cs="Times New Roman"/>
          <w:b w:val="0"/>
          <w:bCs w:val="0"/>
          <w:color w:val="000000" w:themeColor="text1"/>
          <w:sz w:val="16"/>
          <w:szCs w:val="16"/>
        </w:rPr>
        <w:softHyphen/>
        <w:t>нию с опытным самолетом Ил-10 с АМ- 42 самолет Су-6 с АМ-42 несколько слож</w:t>
      </w:r>
      <w:r w:rsidRPr="00070ADE">
        <w:rPr>
          <w:rFonts w:ascii="Times New Roman" w:hAnsi="Times New Roman" w:cs="Times New Roman"/>
          <w:b w:val="0"/>
          <w:bCs w:val="0"/>
          <w:color w:val="000000" w:themeColor="text1"/>
          <w:sz w:val="16"/>
          <w:szCs w:val="16"/>
        </w:rPr>
        <w:softHyphen/>
        <w:t>нее в технике пилотирования, особенно на взлете и посадке, хуже по управляемо</w:t>
      </w:r>
      <w:r w:rsidRPr="00070ADE">
        <w:rPr>
          <w:rFonts w:ascii="Times New Roman" w:hAnsi="Times New Roman" w:cs="Times New Roman"/>
          <w:b w:val="0"/>
          <w:bCs w:val="0"/>
          <w:color w:val="000000" w:themeColor="text1"/>
          <w:sz w:val="16"/>
          <w:szCs w:val="16"/>
        </w:rPr>
        <w:softHyphen/>
        <w:t>сти и отстает по максимальным скоро</w:t>
      </w:r>
      <w:r w:rsidRPr="00070ADE">
        <w:rPr>
          <w:rFonts w:ascii="Times New Roman" w:hAnsi="Times New Roman" w:cs="Times New Roman"/>
          <w:b w:val="0"/>
          <w:bCs w:val="0"/>
          <w:color w:val="000000" w:themeColor="text1"/>
          <w:sz w:val="16"/>
          <w:szCs w:val="16"/>
        </w:rPr>
        <w:softHyphen/>
        <w:t>стям, в связи с этим постройка опытного самолета Су-6 с АМ-42 является нецеле</w:t>
      </w:r>
      <w:r w:rsidRPr="00070ADE">
        <w:rPr>
          <w:rFonts w:ascii="Times New Roman" w:hAnsi="Times New Roman" w:cs="Times New Roman"/>
          <w:b w:val="0"/>
          <w:bCs w:val="0"/>
          <w:color w:val="000000" w:themeColor="text1"/>
          <w:sz w:val="16"/>
          <w:szCs w:val="16"/>
        </w:rPr>
        <w:softHyphen/>
        <w:t>сообразной».</w:t>
      </w:r>
    </w:p>
    <w:p w14:paraId="61E6B4FC" w14:textId="77777777" w:rsidR="002D2C83" w:rsidRPr="00070ADE" w:rsidRDefault="002D2C8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Итоговый вывод сводился к тому, что по своим летным данным, технике пило</w:t>
      </w:r>
      <w:r w:rsidRPr="00070ADE">
        <w:rPr>
          <w:rFonts w:ascii="Times New Roman" w:hAnsi="Times New Roman"/>
          <w:color w:val="000000" w:themeColor="text1"/>
          <w:sz w:val="16"/>
          <w:szCs w:val="16"/>
        </w:rPr>
        <w:softHyphen/>
        <w:t>тирования и управляемости Су-6 уступает Ил-10. К тому же государственные испы</w:t>
      </w:r>
      <w:r w:rsidRPr="00070ADE">
        <w:rPr>
          <w:rFonts w:ascii="Times New Roman" w:hAnsi="Times New Roman"/>
          <w:color w:val="000000" w:themeColor="text1"/>
          <w:sz w:val="16"/>
          <w:szCs w:val="16"/>
        </w:rPr>
        <w:softHyphen/>
        <w:t>тания Су-6 АМ-42 еще не окончились, и официального акта НИИ ВВС подготов</w:t>
      </w:r>
      <w:r w:rsidRPr="00070ADE">
        <w:rPr>
          <w:rFonts w:ascii="Times New Roman" w:hAnsi="Times New Roman"/>
          <w:color w:val="000000" w:themeColor="text1"/>
          <w:sz w:val="16"/>
          <w:szCs w:val="16"/>
        </w:rPr>
        <w:softHyphen/>
        <w:t>лено не было (19853).</w:t>
      </w:r>
    </w:p>
    <w:p w14:paraId="6ABA1517" w14:textId="77777777" w:rsidR="002D2C83" w:rsidRPr="00070ADE" w:rsidRDefault="002D2C83" w:rsidP="00B56F90">
      <w:pPr>
        <w:spacing w:after="0" w:line="240" w:lineRule="auto"/>
        <w:jc w:val="both"/>
        <w:rPr>
          <w:rFonts w:ascii="Times New Roman" w:hAnsi="Times New Roman"/>
          <w:color w:val="000000" w:themeColor="text1"/>
          <w:sz w:val="16"/>
          <w:szCs w:val="16"/>
        </w:rPr>
      </w:pPr>
    </w:p>
    <w:p w14:paraId="1DCF80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июня 1944 Зам. Нач. 7ГУ Алексеев подготовил сводку г-7 № 7671 о ходе испытаний высотных самолетов на 8 июня 1944 по Як-9 М-105ПД, Ла-5 АШ-82ФН и 2ТК-3, МиГ АМ-39А и 2ТК-2Б (1825).</w:t>
      </w:r>
    </w:p>
    <w:p w14:paraId="3C8BCF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ИСТРЕБИТЕЛЬ ЯК-9 С ВК-105ПФ И ДВУХСТУПЕНЧАТЫМ НАГНЕТАТЕЛЕМ</w:t>
      </w:r>
    </w:p>
    <w:p w14:paraId="5AA7E5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Продолжались работы по установке мотора с понижениой высотностью. Самолет будет передан в ЦАГИ для продувок в трубе 10 июня с.г.</w:t>
      </w:r>
    </w:p>
    <w:p w14:paraId="762576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ВЫСОТНЫЙ ИСТРЕБИТЕЛЬ ЛА-5 С АШ-82ФН и 2ТК-3.</w:t>
      </w:r>
    </w:p>
    <w:p w14:paraId="1643BD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Произведен контрсльный полет до 4000 мт после замены центрального бензобака, знжкторной помпы и улучшения дефлектирования головок цилиндров. Из-за течи масла, полет был прекращен. Причины течи масла выясняются.</w:t>
      </w:r>
    </w:p>
    <w:p w14:paraId="3FD707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ВЫСОТНЫЙ ИСТРЕБИТЕЛЬ МИГ С АМ-39Б И 2ТК-2Б.</w:t>
      </w:r>
    </w:p>
    <w:p w14:paraId="3753E2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Произведен полет на замер давлений в бензосистеме самолета.</w:t>
      </w:r>
    </w:p>
    <w:p w14:paraId="283462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Продолжительность полета - 40 мин, высота - 7000 мт. Начиная с высоты - 3000 мт началось падение давле</w:t>
      </w:r>
      <w:r w:rsidRPr="00070ADE">
        <w:rPr>
          <w:rFonts w:ascii="Times New Roman" w:hAnsi="Times New Roman"/>
          <w:color w:val="000000" w:themeColor="text1"/>
          <w:sz w:val="16"/>
          <w:szCs w:val="16"/>
        </w:rPr>
        <w:softHyphen/>
        <w:t>ния бензина и с высоты - 7000 мт давление бензина стало падать более резко. Причиной падения давле</w:t>
      </w:r>
      <w:r w:rsidRPr="00070ADE">
        <w:rPr>
          <w:rFonts w:ascii="Times New Roman" w:hAnsi="Times New Roman"/>
          <w:color w:val="000000" w:themeColor="text1"/>
          <w:sz w:val="16"/>
          <w:szCs w:val="16"/>
        </w:rPr>
        <w:softHyphen/>
        <w:t>ния бензина на высоте является неудовлетворитель</w:t>
      </w:r>
      <w:r w:rsidRPr="00070ADE">
        <w:rPr>
          <w:rFonts w:ascii="Times New Roman" w:hAnsi="Times New Roman"/>
          <w:color w:val="000000" w:themeColor="text1"/>
          <w:sz w:val="16"/>
          <w:szCs w:val="16"/>
        </w:rPr>
        <w:softHyphen/>
        <w:t>ная работа эжекторной помпы, которая по техничес</w:t>
      </w:r>
      <w:r w:rsidRPr="00070ADE">
        <w:rPr>
          <w:rFonts w:ascii="Times New Roman" w:hAnsi="Times New Roman"/>
          <w:color w:val="000000" w:themeColor="text1"/>
          <w:sz w:val="16"/>
          <w:szCs w:val="16"/>
        </w:rPr>
        <w:softHyphen/>
        <w:t>ким условиям должна обеспечивать нормальное пита</w:t>
      </w:r>
      <w:r w:rsidRPr="00070ADE">
        <w:rPr>
          <w:rFonts w:ascii="Times New Roman" w:hAnsi="Times New Roman"/>
          <w:color w:val="000000" w:themeColor="text1"/>
          <w:sz w:val="16"/>
          <w:szCs w:val="16"/>
        </w:rPr>
        <w:softHyphen/>
        <w:t>ние топливом до высоты 11000-12000 мт. Для сохранения давления бензина на высоте, на са</w:t>
      </w:r>
      <w:r w:rsidRPr="00070ADE">
        <w:rPr>
          <w:rFonts w:ascii="Times New Roman" w:hAnsi="Times New Roman"/>
          <w:color w:val="000000" w:themeColor="text1"/>
          <w:sz w:val="16"/>
          <w:szCs w:val="16"/>
        </w:rPr>
        <w:softHyphen/>
        <w:t>молете монтируется система нейтрального газа для заполнения бензобаков, с давлением 0,1 атм (1825).</w:t>
      </w:r>
    </w:p>
    <w:p w14:paraId="7CBB62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B974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июня 1944 состоялось заседание коллегии НКАП по вопросам о результатах работы заводов НКАП за май 1944 (1743).</w:t>
      </w:r>
    </w:p>
    <w:p w14:paraId="54C4E5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96E8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июня 1944 на вооружение СА была принята система залпового огня БМ-31-12, разработанная В.П.Барминым в СКБ Компрессор (2528).</w:t>
      </w:r>
    </w:p>
    <w:p w14:paraId="5857A6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91D365"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9 июня 1944 года </w:t>
      </w:r>
      <w:r w:rsidRPr="00070ADE">
        <w:rPr>
          <w:rFonts w:ascii="Times New Roman" w:eastAsia="Times New Roman" w:hAnsi="Times New Roman"/>
          <w:color w:val="000000" w:themeColor="text1"/>
          <w:sz w:val="16"/>
          <w:szCs w:val="16"/>
        </w:rPr>
        <w:t>Постановлением ГОКО</w:t>
      </w:r>
      <w:r w:rsidRPr="00070ADE">
        <w:rPr>
          <w:rFonts w:ascii="Times New Roman" w:hAnsi="Times New Roman"/>
          <w:color w:val="000000" w:themeColor="text1"/>
          <w:sz w:val="16"/>
          <w:szCs w:val="16"/>
        </w:rPr>
        <w:t xml:space="preserve"> "О принятии на вооружение Красной Армии боевых установок М-31 и перевооружении 12-ти дивизионов М-31" на вооружение Гвардейских минометных частей Красной Армии была принята двенадцатизарядная установка М-31 конструкции Бармина, смонтированная на автошасси для стрельбы снарядами М-31 улучшенной кучности. Постановлением также устанавливался план производства боевых установок М-31 на 2-й квартал 1944 года в количестве 250 штук. В приложении к постановлению указывается ее марка - БМ-31-12.</w:t>
      </w:r>
    </w:p>
    <w:p w14:paraId="3667A3FB" w14:textId="77777777" w:rsidR="00C074FF" w:rsidRPr="00070ADE" w:rsidRDefault="00C074FF"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Преимуществами установки БМ-31-12 по сравнению со станками М30 и М31 были:</w:t>
      </w:r>
    </w:p>
    <w:p w14:paraId="410AA94D" w14:textId="77777777" w:rsidR="00C074FF" w:rsidRPr="00070ADE" w:rsidRDefault="00C074FF"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маневренность (возможность пережвижения);</w:t>
      </w:r>
    </w:p>
    <w:p w14:paraId="510DD600" w14:textId="77777777" w:rsidR="00C074FF" w:rsidRPr="00070ADE" w:rsidRDefault="00C074FF"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возможность стрельбы в диапазоне углов возвышения от +10 до +45°;</w:t>
      </w:r>
    </w:p>
    <w:p w14:paraId="1AD78E7A" w14:textId="77777777" w:rsidR="00C074FF" w:rsidRPr="00070ADE" w:rsidRDefault="00C074FF"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лучшая кучность стрельбы;</w:t>
      </w:r>
    </w:p>
    <w:p w14:paraId="5A8194F1" w14:textId="77777777" w:rsidR="00C074FF" w:rsidRPr="00070ADE" w:rsidRDefault="00C074FF"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возможность выезда на позицию заряженной;</w:t>
      </w:r>
    </w:p>
    <w:p w14:paraId="383BCB5A" w14:textId="77777777" w:rsidR="00C074FF" w:rsidRPr="00070ADE" w:rsidRDefault="00C074FF"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более удобное и быстрое заряжание при меньшем числе номеров расчета;</w:t>
      </w:r>
    </w:p>
    <w:p w14:paraId="68F50174" w14:textId="77777777" w:rsidR="00C074FF" w:rsidRPr="00070ADE" w:rsidRDefault="00C074FF"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 исключение схода снаряда с увлечением за собой направляющих укупорок [102].</w:t>
      </w:r>
    </w:p>
    <w:p w14:paraId="1A459D1A" w14:textId="77777777" w:rsidR="00C074FF" w:rsidRPr="00070ADE" w:rsidRDefault="00C074FF"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В дальнейшем установка использовалась для пуска реактивных снарядов М-13УК калибра 132 мм (15981).</w:t>
      </w:r>
    </w:p>
    <w:p w14:paraId="7BA8BFBD" w14:textId="77777777" w:rsidR="00C074FF" w:rsidRPr="00070ADE" w:rsidRDefault="00C074FF" w:rsidP="00B56F90">
      <w:pPr>
        <w:spacing w:after="0" w:line="240" w:lineRule="auto"/>
        <w:jc w:val="both"/>
        <w:rPr>
          <w:rFonts w:ascii="Times New Roman" w:eastAsia="Times New Roman" w:hAnsi="Times New Roman"/>
          <w:color w:val="000000" w:themeColor="text1"/>
          <w:sz w:val="16"/>
          <w:szCs w:val="16"/>
        </w:rPr>
      </w:pPr>
    </w:p>
    <w:p w14:paraId="13D0B8F0"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9 июня</w:t>
      </w:r>
      <w:r w:rsidRPr="00070ADE">
        <w:rPr>
          <w:rFonts w:ascii="Times New Roman" w:hAnsi="Times New Roman"/>
          <w:color w:val="000000" w:themeColor="text1"/>
          <w:sz w:val="16"/>
          <w:szCs w:val="16"/>
        </w:rPr>
        <w:t xml:space="preserve"> в 1944 году на вооружение принята РСЗО «БМ-31-12» ("Катюша"), разработанная под руководством В.П.Бармина в СКБ "Компрессор". Ракеты «М-30» и «М-31калибра» 300 мм во время войны получили название "Андрюши" и "Ванюши". Это было мощное оружие. Прямое попадание «М-30» разрушало любые полевые укрепления, даже многонакатные блиндажи и ДЗОТы; железобетонные сооружения выдерживали, но землей забивало щели и амбразуры, а гарнизон тяжело контузило. Пусковые установки монтировались на шасси «Studebaker US6» («БМ-31-12») или «ЗИС-6». Практиковали также стрельбу с наземных станков ("сараев") (14917).</w:t>
      </w:r>
    </w:p>
    <w:p w14:paraId="49538BA8" w14:textId="77777777" w:rsidR="00C074FF" w:rsidRPr="00070ADE" w:rsidRDefault="00C074FF" w:rsidP="00B56F90">
      <w:pPr>
        <w:spacing w:after="0" w:line="240" w:lineRule="auto"/>
        <w:jc w:val="both"/>
        <w:rPr>
          <w:rFonts w:ascii="Times New Roman" w:hAnsi="Times New Roman"/>
          <w:color w:val="000000" w:themeColor="text1"/>
          <w:sz w:val="16"/>
          <w:szCs w:val="16"/>
        </w:rPr>
      </w:pPr>
    </w:p>
    <w:p w14:paraId="570D826C"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9 июня 1944 г. постановлением ГКО №6029сс установка М-31 была принята на вооружение. Её использовали для подавления и разрушения опорных узлов противника и сопровождения наступающих войск в глубине вражеской обороны. Подразделения, оперировавшие М-31, обладали высокой манёвренностью, быстрым переходом в боеготовое состояние и способностью перезаряжать установки за 10-15 минут. Более того, в октябре специалисты СКБ завода «Компрессор» разработали специальную вставку для стрельбы трофейными немецкими снарядами калибра 300 мм с помощью М-31: та надевалась на снаряд и легко вставлялась вместе с ним в направляющую через казённую часть.</w:t>
      </w:r>
    </w:p>
    <w:p w14:paraId="3C515C66"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Дивизионы, перевооружённые установками М-31, получили в бригадах первые номера и название «штурмовые». Кроме того, на их комплектование выделялись лучшие командиры батарей и орудий, электрики и водители. Всё это превратило гвардейские миномётные части в эффективный инструмент по взлому вражеской обороны, что стало особенно актуальным при наступлении на европейском театре военных действий (25403).</w:t>
      </w:r>
    </w:p>
    <w:p w14:paraId="185295DD" w14:textId="77777777" w:rsidR="00BA3A2B" w:rsidRPr="00C94B78" w:rsidRDefault="00BA3A2B" w:rsidP="00B56F90">
      <w:pPr>
        <w:spacing w:after="0" w:line="240" w:lineRule="auto"/>
        <w:jc w:val="both"/>
        <w:rPr>
          <w:rFonts w:ascii="Times New Roman" w:hAnsi="Times New Roman"/>
          <w:color w:val="0070C0"/>
          <w:sz w:val="16"/>
          <w:szCs w:val="16"/>
        </w:rPr>
      </w:pPr>
    </w:p>
    <w:p w14:paraId="252175E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FB549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C7314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июня 1944 вышло Распоряжение ГКО № 6028. О мобилизации 3 тыс. чел. на Украине на строительство полевого оборонительного рубежа в Ровенской обл. РГАНИР, Фонд ГКО, д. 263, лл. 33 (11012).</w:t>
      </w:r>
    </w:p>
    <w:p w14:paraId="4CB955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D1C2128" w14:textId="77777777" w:rsidR="00C074FF"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июня 1944 вышло Постановление ГКО № 6029 О принятии на вооружение Красной Армии боевых установок М-31 и перевооружении 12 дивизионов М-31. РГАНИР, Фонд ГКО, д. 263, лл. 34,35-59 (11012).</w:t>
      </w:r>
    </w:p>
    <w:p w14:paraId="3B30FD62" w14:textId="77777777" w:rsidR="00C074FF" w:rsidRPr="00070ADE" w:rsidRDefault="00C074FF" w:rsidP="00B56F90">
      <w:pPr>
        <w:autoSpaceDE w:val="0"/>
        <w:autoSpaceDN w:val="0"/>
        <w:adjustRightInd w:val="0"/>
        <w:spacing w:after="0" w:line="240" w:lineRule="auto"/>
        <w:jc w:val="both"/>
        <w:rPr>
          <w:rFonts w:ascii="Times New Roman" w:hAnsi="Times New Roman"/>
          <w:color w:val="000000" w:themeColor="text1"/>
          <w:sz w:val="16"/>
          <w:szCs w:val="16"/>
        </w:rPr>
      </w:pPr>
    </w:p>
    <w:p w14:paraId="61756A32" w14:textId="77777777" w:rsidR="00C074FF" w:rsidRPr="00070ADE" w:rsidRDefault="000340E9"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июня 1944 ГОСУДАРСТВЕННЫЙ КОМИТЕТ ОБОРОНЫ</w:t>
      </w:r>
    </w:p>
    <w:p w14:paraId="7077F8F2" w14:textId="77777777" w:rsidR="000340E9" w:rsidRPr="00070ADE" w:rsidRDefault="000340E9" w:rsidP="00B56F90">
      <w:pPr>
        <w:autoSpaceDE w:val="0"/>
        <w:autoSpaceDN w:val="0"/>
        <w:adjustRightInd w:val="0"/>
        <w:spacing w:after="0" w:line="240" w:lineRule="auto"/>
        <w:jc w:val="both"/>
        <w:rPr>
          <w:rFonts w:ascii="Times New Roman" w:hAnsi="Times New Roman"/>
          <w:b/>
          <w:color w:val="000000" w:themeColor="text1"/>
          <w:sz w:val="16"/>
          <w:szCs w:val="16"/>
        </w:rPr>
      </w:pPr>
      <w:r w:rsidRPr="00070ADE">
        <w:rPr>
          <w:rFonts w:ascii="Times New Roman" w:hAnsi="Times New Roman"/>
          <w:color w:val="000000" w:themeColor="text1"/>
          <w:sz w:val="16"/>
          <w:szCs w:val="16"/>
        </w:rPr>
        <w:lastRenderedPageBreak/>
        <w:t>ПОСТАНОВЛЕНИЕ № ГКО-6029сс</w:t>
      </w:r>
    </w:p>
    <w:p w14:paraId="459654A0"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г. Москва, Кремль </w:t>
      </w:r>
    </w:p>
    <w:p w14:paraId="33394994"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принятии на вооружение Красной Армии боевых установок М-31 и перевооружении 12 дивизионов М-31</w:t>
      </w:r>
    </w:p>
    <w:p w14:paraId="37C8893C"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 Принять на вооружение Гвардейских минометных частей Красной Армии двенадцатизарядную установку М-31‚ конструкции Бармина, смонтированную на автошасси для стрельбы снарядами М-31 улучшенной кучности. </w:t>
      </w:r>
    </w:p>
    <w:p w14:paraId="23458DCD"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 Установить план производства боевых установок М-31 на 2-ой квартал 1944 года в количестве 250 штук. </w:t>
      </w:r>
    </w:p>
    <w:p w14:paraId="3E5DC47E" w14:textId="18AC063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Обязать Командующего Гвардейскими минометными частями тов. Дегтярева в течение июня 1944 года вооружить в 12-ти бригадах М-31 по одному дивизиону боевыми установками</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 М-31. </w:t>
      </w:r>
    </w:p>
    <w:p w14:paraId="2E47F981"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4. Обязать НКО (т.т. Хрулева и Карпоносова) предусмотреть в плане распределения автомашин выделение на июнь 1944 года целевым назначением для доукомплектования перевооружаемых 12-ти дивизионов М-31 и под монтаж боевых установок М-31 400 автомашин грузоподъемностью 2.5 - 3 тонны. </w:t>
      </w:r>
    </w:p>
    <w:p w14:paraId="1A3B9AA3" w14:textId="25166E3C"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Утвердить мероприятия по производству во 2-м квартале 1944 года боевых установок</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 М-31, М-13 и М-8 и пусковых рам М-31. </w:t>
      </w:r>
    </w:p>
    <w:p w14:paraId="7BA831B5"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ГОСУДАРСТВЕННОГО КОМИТЕТА ОБОРОНЫ И. СТАЛИН</w:t>
      </w:r>
    </w:p>
    <w:p w14:paraId="7E87EC6E"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Выписки посланы: </w:t>
      </w:r>
    </w:p>
    <w:p w14:paraId="3F862595"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т.т. Молотову, Маленкову, Берия, Дегтяреву, Гайдукову, Антонову - все; </w:t>
      </w:r>
    </w:p>
    <w:p w14:paraId="185C9515"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Хрулеву, Карпоносову - п. 4 (12641).</w:t>
      </w:r>
    </w:p>
    <w:p w14:paraId="32CFF2D6" w14:textId="77777777" w:rsidR="000340E9" w:rsidRPr="00070ADE" w:rsidRDefault="000340E9" w:rsidP="00B56F90">
      <w:pPr>
        <w:spacing w:after="0" w:line="240" w:lineRule="auto"/>
        <w:jc w:val="both"/>
        <w:rPr>
          <w:rFonts w:ascii="Times New Roman" w:hAnsi="Times New Roman"/>
          <w:color w:val="000000" w:themeColor="text1"/>
          <w:sz w:val="16"/>
          <w:szCs w:val="16"/>
        </w:rPr>
      </w:pPr>
    </w:p>
    <w:p w14:paraId="6EA3DC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июня 1944 вышло Постановление ГКО № 6030 О мероприятиях по обеспечению базирования и ремонта вновь поступающих кораблей на Северный военно-морской флот. РГАНИР, Фонд ГКО, д. 263, лл. 60-73,74-96 (11012).</w:t>
      </w:r>
    </w:p>
    <w:p w14:paraId="1F3CBB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7F8D275"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июня 1944 г. Доклад директора завода № 237 А. Ф. Соловьева народному комиссару вооружения СССР Д. Ф. Устинову о выпускаемой заводом продукции для Военно-Морского Флота за три года Великой Отечественной войны</w:t>
      </w:r>
    </w:p>
    <w:p w14:paraId="1FAEC0F3"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г. - День Военно-Морского Флота СССР, дата, позволяющая подвести итоги и оценить работу нашего завода, как основного предприятия по созданию, изготовлению и монтажу на объектах ВМФ морских оптических приборов.</w:t>
      </w:r>
    </w:p>
    <w:p w14:paraId="0E2CFA3B"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годы сталинских пятилеток, предшествовавших второй Отечественной войне, заводом спроектированы, выполнены в образцах, испытаны, а затем выпущены в серийном порядке и смонтированы на кораблях и береговых укреплениях ВМФ СССР десятки наименований сложнейших оптических приборов.</w:t>
      </w:r>
    </w:p>
    <w:p w14:paraId="6E8855A4"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Три года Отечественной войны показали, что продукция завода с честью выдержала этот ответственный экзамен, подтвердив ее высокие качества, прочность, безотказность действия, соответствие тактике современного морского боя. Успешно выдержала экзамен в период Отечественной войны и работа монтажных бригад завода на всех флотах ВМФ. Монтажные бригады завода наряду с установкой приборов на новых кораблях, обеспечили ремонт кораблей в холодных условиях, в условиях отсутствия мастерских и постоянных ремонтных баз и сложной боевой обстановки Мурманска, Севастополя, Ленинграда, Ладоги, Волги и других зон боевых операций ВМФ. На боевом посту в Мурманске погиб инженер-монтажник завода тов. Жданов О. В круг деятельности монтажных бригад вошел, помимо установочно-монтажных работ, ремонт приборов, поврежденных в боевых операциях, обучение личного состава кораблей обращению и ремонту приборов, организация оптических мастерских на новых базах, передача опыта ремонта личному составу этих мастерских. Деятельность монтажных бригад распространялась на приборы как нашего завода, так и других заводов Союза и иностранную технику, находящуюся на вооружении ВМФ СССР. Безукоризненная работа монтажных бригад многими приказами и награждениями высоко оценена командующими флотов и артотделов флотов.</w:t>
      </w:r>
    </w:p>
    <w:p w14:paraId="7F4A54DC"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дает Военно-Морскому Флоту СССР приборы по всем разделам оптического приборостроения: дальномеры, перископы, визиры, прицелы, учебно-тренировочные приборы и ряд специальных приборов и установок. На боевых объектах ВМФ работают и непрерывно поставляются сотни дальномеров ДМ-0,7; ДМ-1,5; ДМ-3; ДМ-6; ДМ-8; ДМ-12 и к ним антивибрационные подцапфенники, тумбы и суппорта, АВТ-2, АТ-3, АПТ-3, А4-Б12, А6, АПБ-12, АПБ-20, АПБ-43, СД-12 и др. Сотни перископов – командирских ПА-7,6; ПА-8,5; ПА-9 и зенитных ПЗ-7, ПЗ-7,5, ПЗ-8,5, ПЗ-9; десятки визиров ВМЦ-2; ГО; ГГ; ГУ и др., никлинометров, компасов ГОН; машинок для осушки ТО-б; труб для осмотра каналов орудий РВП; сотни учебно-тренировочных приборов ДОР-3, ПУ-1, ДОД, ПОВ и др. Для улучшения качества и модернизации приборов заводом проведены десятки исследовательских работ с целью повышения их измерительных свойств, теплоустойчивости, герметичности, стойкости от вибраций и сотрясений, светопропускания и качества изображения, устранения отпотеваний и обледенений.</w:t>
      </w:r>
    </w:p>
    <w:p w14:paraId="61A6657E"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настоящий момент, наряду с улучшением и модернизацией серийной продукции, в широких масштабах производится проектирование новых приборов, основанных на глубоком анализе опыта войны, изучении лучших образцов иностранных приборов и использовании творческих и изобретательских предложений работников завода. Эта работа уже дает реальные результаты выпуском образцов новых приборов – подцапфенников типа АПТ, перископов ПАО, ДМ-1,5 с конвертором, машинки для осушки ТО-б, модернизированных перископов ПЗ-ВАК и пр. и большого числа проектов новых сложных приборов по всем основным разделам морского оптического приборостроения – дальномерам, визирам и перископам.</w:t>
      </w:r>
    </w:p>
    <w:p w14:paraId="4790906E"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создании этого огромного количества приборов на заводе выросли кадры квалифицированных инженерно-технических работников – конструкторов, исследователей, оптиков, монтажников и рабочих: сборщиков-монтажников и механиков. Их самоотверженным, настойчивым трудом созданы и смонтированы эти приборы.</w:t>
      </w:r>
    </w:p>
    <w:p w14:paraId="100196E4"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Творческая инициатива, высокие знания, огромный напряженный труд, успешные результаты работы наиболее отличившихся инженеров, техников и рабочих, непосредственно создававших приборы, руководящих работой по их проектированию, устанавливавших приборы на кораблях и батареях ВМФ, заслуживают быть отмеченными и награжденными.</w:t>
      </w:r>
    </w:p>
    <w:p w14:paraId="280674E2"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Ходатайствуем о награждении наиболее отличившихся работников завода, труд которых послужил созданию морского оптического приборостроения и которые своим производственным и общественным лицом наиболее достойны этого награждения.</w:t>
      </w:r>
    </w:p>
    <w:p w14:paraId="1ABEC397"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завода № 237 Соловьев</w:t>
      </w:r>
    </w:p>
    <w:p w14:paraId="23624841"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РТ. Ф. Р-6600. Оп. 1. Д. 70. Л. 3-3 об. Отпуск (15494).</w:t>
      </w:r>
    </w:p>
    <w:p w14:paraId="0C7ABBA2" w14:textId="77777777" w:rsidR="00C074FF" w:rsidRPr="00070ADE" w:rsidRDefault="00C074FF" w:rsidP="00B56F90">
      <w:pPr>
        <w:spacing w:after="0" w:line="240" w:lineRule="auto"/>
        <w:jc w:val="both"/>
        <w:rPr>
          <w:rFonts w:ascii="Times New Roman" w:hAnsi="Times New Roman"/>
          <w:color w:val="000000" w:themeColor="text1"/>
          <w:sz w:val="16"/>
          <w:szCs w:val="16"/>
        </w:rPr>
      </w:pPr>
    </w:p>
    <w:p w14:paraId="5B7CFD6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5126A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8D9E87"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9 июня</w:t>
      </w:r>
      <w:r w:rsidRPr="00070ADE">
        <w:rPr>
          <w:rFonts w:ascii="Times New Roman" w:hAnsi="Times New Roman"/>
          <w:color w:val="000000" w:themeColor="text1"/>
          <w:sz w:val="16"/>
          <w:szCs w:val="16"/>
        </w:rPr>
        <w:t xml:space="preserve"> в 1944 году оперативная сводка Совинформбюро:</w:t>
      </w:r>
    </w:p>
    <w:p w14:paraId="6A076094"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9 июня на фронтах существенных изменений не произошло.</w:t>
      </w:r>
    </w:p>
    <w:p w14:paraId="38110F2B"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8 июня наши войска на всех фронтах подбили и уничтожили 25 немецких танков. В воздушных боях и огнём зенитной артиллерии сбито 27 самолётов противника.</w:t>
      </w:r>
    </w:p>
    <w:p w14:paraId="017FB2B3"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Тарнополь полк немецкой пехоты, усиленный танками, атаковал позиции Н-ской части. Ценою больших потерь противнику удалось ворваться в населённый пункт. Ночью наши бойцы перешли в контратаку и выбили немцев из населённого пункта. Подбито и сожжено 10 немецких танков и 2 самоходных орудия. Захвачены трофеи и пленные.</w:t>
      </w:r>
    </w:p>
    <w:p w14:paraId="1AF73AD9"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Северо-восточнее города Станислав над одним участком нашей обороны появилось 12 немецких истребителей «Фокке-Вульф-190». Зенитная батарея старшего лейтенанта Кузнецова открыла огонь и сбила 4 самолёта противника.</w:t>
      </w:r>
    </w:p>
    <w:p w14:paraId="199944B1"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города Яссы подразделения Н-ской части в результате боя овладели одной высотой и улучшили свои позиции. Уничтожено более роты гитлеровцев. Взято 60 пленных. На другом участке разведывательный отряд противника просочился в тыл советских частей. Наши автоматчики отрезали немецкому отряду пути отхода и полностью его ликвидировали.</w:t>
      </w:r>
    </w:p>
    <w:p w14:paraId="27ECFF93"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северного побережья Норвегия лётчиками флота потоплены две самоходные баржи, шхуна и два мотобота противника.</w:t>
      </w:r>
    </w:p>
    <w:p w14:paraId="4A156E40"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8 июня группа сторожевых кораблей и катеров противника запала на наши тральщики, производившие траление в Нарвском заливе. На помощь тральщикам вышли торпедные катера. Атаковав противника, наши катера потопили 2 немецких сторожевых корабля.</w:t>
      </w:r>
    </w:p>
    <w:p w14:paraId="33336627"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Волынской области, в течение четырёх дней отбивал атаки батальона эсэсовцев. Партизаны убили и ранили до 100 гитлеровцев, уничтожили 2 бронемашины и 17 автомашин. В другом районе советские патриоты организовали крушение двух немецких железнодорожных эшелонов. В одном из этих эшелонов во время крушения произошло несколько сильных взрывов.</w:t>
      </w:r>
    </w:p>
    <w:p w14:paraId="55E2C0AE"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сторону Красной Армии за последнее время переходят мелкими группами и в одиночку десятки солдат различных немецких штрафных батальонов. Перебежчик солдат 14 немецкого штрафного батальона Эвадьд Т. рассказал: «Я просидел полгода в военной тюрьме в крепости Торгау. Эта огромная тюрьма битком набита заключёнными. Военные тюрьмы в Гермерсгейме-на-Рейне, в Грауденце, Вене, Кельне, Анкламе и других городах также переполнены. Задолго до истечения срока заключения меня отправили на Восточный фронт в штрафной батальон. На фронте я вместе с другими солдатами бежал и перешёл на сторону русских».</w:t>
      </w:r>
    </w:p>
    <w:p w14:paraId="7706BD3B"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Перебежчик солдат 9 штрафного батальона Альфред Л. рассказал: «Условия в батальоне невыносимые. Многие штрафники предпочитают умереть, чем оставаться в нём. Нередко происходят групповые побеги. Беглецы скрываются в лесах. Из 2 роты бежало больше 20 штрафников вместе с охранявшими их солдатами. Кроме того, 19 штрафников из этой же роты бежали в одиночку».</w:t>
      </w:r>
    </w:p>
    <w:p w14:paraId="58968175"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Перебежчик солдат 561 штрафного батальона Курт Н. сообщил: «С последним пополнением в наш батальон прибыло много заключённых из различных тюрем. Многие из них отбывали наказание за неверие в победу Германии. В составе пополнения были разжалованные офицеры: майор, два обер-лейтенанта, несколько лейтенантов, два старших врача, интенданты и военные чиновники» (14917).</w:t>
      </w:r>
    </w:p>
    <w:p w14:paraId="20F15D9E" w14:textId="77777777" w:rsidR="00C074FF" w:rsidRPr="00070ADE" w:rsidRDefault="00C074FF" w:rsidP="00B56F90">
      <w:pPr>
        <w:spacing w:after="0" w:line="240" w:lineRule="auto"/>
        <w:jc w:val="both"/>
        <w:rPr>
          <w:rFonts w:ascii="Times New Roman" w:hAnsi="Times New Roman"/>
          <w:color w:val="000000" w:themeColor="text1"/>
          <w:sz w:val="16"/>
          <w:szCs w:val="16"/>
        </w:rPr>
      </w:pPr>
    </w:p>
    <w:p w14:paraId="66A130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9th, 1944: The Red Army begins an offensive against Finnish positions in the Karelian Isthmus N of Leningrad. In Normandy, US forces advancing from Utah Beach capture St. Mere-Eglise (3819).</w:t>
      </w:r>
    </w:p>
    <w:p w14:paraId="50CA5C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E56CA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9 1944 Russians launch offensive against Finns on Karelian Isthmus (1037).</w:t>
      </w:r>
    </w:p>
    <w:p w14:paraId="62994E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E69CF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июня 1944 началась Выборгская операция и в ней приняла участие 334 БАД из трех полков 12, 132 и 454 на Ту-2. И.В.С. берег их (1835,30). Это был четвертый сталинский удар (2200,25).</w:t>
      </w:r>
    </w:p>
    <w:p w14:paraId="2C53D6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АДД нанесла удары по аэродромам (518,65).</w:t>
      </w:r>
    </w:p>
    <w:p w14:paraId="2749D6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 наступлением фронтовая авиация ударила по укреплениям и коммуникациям (430,202).</w:t>
      </w:r>
    </w:p>
    <w:p w14:paraId="56B4D1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 делали по 3-4 вылета в день. Ш А.И.Сухиненко уничтожили эшелон (430,203).</w:t>
      </w:r>
    </w:p>
    <w:p w14:paraId="71CE0A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Комкор г М.Ф.Тихонов писал: "действия авиации на участке 108 ск проведены хорошо. Стрелковые части, наступающие в полосе корпуса, в лице авиации встретили хорошую поддержку." (518,142).</w:t>
      </w:r>
    </w:p>
    <w:p w14:paraId="086587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преследовании отступающих войск авиация была перенацелена на дезорганизацию отхода и уничтожение войск и боевой техники в сотрудничестве фронтовой авиации и АДД (518,163).</w:t>
      </w:r>
    </w:p>
    <w:p w14:paraId="3A0517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Силы флота были временно оперативно подчинены командующему фронтом и он являлся организатором взаимодействия, ставя задачи не только флоту, но и авиации, авиации флота и АДД, а также определял районы их боевых действий (518,183).</w:t>
      </w:r>
    </w:p>
    <w:p w14:paraId="70654F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операции на поддержку и прикрытие сухопутных войск ВВС флота выделяли 42% самолетовылетов (518,183).</w:t>
      </w:r>
    </w:p>
    <w:p w14:paraId="79BA9F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976E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9 на 10 июня 1944 почти половина всех полков АДД получили приказ разрушить жд узел в Выборге, но из-за погоды получили приказ вернуться и смогли это сделать (2200,26).</w:t>
      </w:r>
    </w:p>
    <w:p w14:paraId="5771E9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подготовке Выборгской операции на воздушную разведку ВА затрачивалось до 25-30% всех самолетовылетов (518,121).</w:t>
      </w:r>
    </w:p>
    <w:p w14:paraId="481526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этой операции велась активная борьба авиации с подходящими резервами противника (518,165).</w:t>
      </w:r>
    </w:p>
    <w:p w14:paraId="6E77F0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51CA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июня 1944 г. за сутки до перехода войск в наступление на Карельском перешейке (Выборгская операция) 13-я ВА силами 225 бомбардировщиков (бО-Ту-2, 85-Пе-2 и 80 Ил-2) и 148 штурмовиков Ил-2 под прикрытием истребителей нанесла массированные удары по опорным пунктам противника в районе Старый Белоостров (цель № 12), озеро Светлое (цель № 14) и станция Райяйоки (цель № 21). Штурмовики двумя группами, по 80 и 68 машин каждая, нанесли сосредоточенные удары по главным целям - № 12 и № 14.</w:t>
      </w:r>
    </w:p>
    <w:p w14:paraId="7EE090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этим же целям действовали 85 Пе-2 (цель № 12) и 80 Ил-4 (цель № 14), которые "работали" в общей колонне полков, а полки - в колонне эскадрилий с интервалами 750-1000 м и 300-500 м, соответственно. Сбрасывание авиабомб бомбардировщиками (в основном ФАБ-250 и ОФАБ-250) производилось с высот 1800-2500 м по сигналу ведущего.</w:t>
      </w:r>
    </w:p>
    <w:p w14:paraId="080F71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Штурмовые авиадивизии наносили удары в боевом порядке полков с одного захода через 5-10 минут после удара по этим целям бомбардировщиков. "Илами" в основном применялись АО-25 и ОФАБ-100.</w:t>
      </w:r>
    </w:p>
    <w:p w14:paraId="538868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Плотность бомбовых ударов достигала 80-100 тонн на 1 км2 площади целей.</w:t>
      </w:r>
    </w:p>
    <w:p w14:paraId="333090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в течение 9 июня бомбардировщики 13-й ВА совершили 510 боевых вылетов, а Ил-2 воздушной армии и ВВС КБФ - 235 боевых самолетовылетов. В результате нанесенных ударов, как отмечается в донесениях наземных войск, "многие оборонительные сооружения и заграждения были уничтожены, а минные поля подорваны" (9887).</w:t>
      </w:r>
    </w:p>
    <w:p w14:paraId="692EAD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CCBD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9 июня 1944 года началась Выборгская операция. Первый налет был совершен по целям в районах Старова Белоострова, озера Светлого и станции Райяйоки. В нем участвовало 215 бомбардировщиков Ту-2С и Ил-4. </w:t>
      </w:r>
    </w:p>
    <w:p w14:paraId="4F86F3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лета 1944 года, вспоминал А.А. Новиков, Ту-2 в боях использовался редко. В основном он выполнял функции воздушного разведчика и как таковой был незаменим. Иногда, как это было на Курской дуге, мы привлекали Ту-2, но в очень малом количестве, и к боевым действиям (18 Ту-2 воевали тогда в составе 285-й бад полковника В.А. Сандалова)... Действия по долговременной обороне противника на Карельском перешейке послужили бы для Ту-2 отличным экзаменом на зрелость.</w:t>
      </w:r>
    </w:p>
    <w:p w14:paraId="074904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Сталин вначале воспротивился этому. Он категорически не хотел, чтобы гитлеровцы до Белорусской операции узнали о том, что у нас имеется целое соединение Ту-2. Но, выслушав наши соображения относительно самого бомбардировщика и плана усиления 13-й воздушной армии, Верховный отменил свой запрет. Он предупредил только, чтобы мы берегли 334-ю дивизию как зеницу ока" (12035).</w:t>
      </w:r>
    </w:p>
    <w:p w14:paraId="1731D8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1944 года в состав 3-й ВА вошла 336-я бад, в ней числилось 54 Ту-2С.</w:t>
      </w:r>
    </w:p>
    <w:p w14:paraId="6E4AF8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Освоение бомбардировщика сопровождалось выявлением все новых и новых дефектов. Штурманы жаловались на неудовлетворительный обзор, затруднявший детальную ориентировку, плохо просматривались цели при подходе к ним. Все это сказывалось на результатах бомбометания. Недостаточная путевая устойчивость (этот дефект сопровождал Ту-2 на протяжении всего периода его эксплуатации) усложняла пилотирование в сложных метеоусловиях и ночью.</w:t>
      </w:r>
    </w:p>
    <w:p w14:paraId="4D2626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Летчики отмечали неудачную конструкцию фонаря, переплеты которого ограничивали обзор и неудовлетворительное освещение приборов. Посадка экипажа в переднюю кабину по складной стремянке требовала остановки моторов и была сопряжена с опасностью. Отмечались раскрутка винтов АВ-5-167А обратной схемы с регулятором P-7, частые разрушения покрышек костыльного колеса и неудобная установка пулемета БС у штурмана. А медленная заправка машины горючим затягивала ее подготовку к повторному вылету.</w:t>
      </w:r>
    </w:p>
    <w:p w14:paraId="4B8CCC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оперативно доработали. Достаточно сказать, что к маю 1944 года в строевые части передали пять машин с улучшенным обзором. С этого же месяца на них стали устанавливать воздушные винты прямой схемы АВ-5В-167А, а с четвертой серии завод № 23 сократил время заправки топливом до I часа 20 минут.</w:t>
      </w:r>
    </w:p>
    <w:p w14:paraId="7395F5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контрольных испытаний Ту-2 № 18/11 и 24/32, а также при эксплуатации в строевых частях выявились разрушения выхлопных коллекторов двигателей, недостаточная прочность коков воздушных винтов и разрушение всасывающих патрубков (12035).</w:t>
      </w:r>
    </w:p>
    <w:p w14:paraId="5AEA91E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3EB9EA2" w14:textId="19A437CF"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9-10 июня 1944 г. в Выборгской наступательной операции крупные калибры НИМАПа произвели Последнюю стрельбу. В его задачу входило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разрушение важных оборонительных сооружении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противника (15132).</w:t>
      </w:r>
    </w:p>
    <w:p w14:paraId="31319FA5" w14:textId="77777777" w:rsidR="00C074FF" w:rsidRPr="00070ADE" w:rsidRDefault="00C074FF" w:rsidP="00B56F90">
      <w:pPr>
        <w:spacing w:after="0" w:line="240" w:lineRule="auto"/>
        <w:jc w:val="both"/>
        <w:rPr>
          <w:rFonts w:ascii="Times New Roman" w:hAnsi="Times New Roman"/>
          <w:color w:val="000000" w:themeColor="text1"/>
          <w:sz w:val="16"/>
          <w:szCs w:val="16"/>
        </w:rPr>
      </w:pPr>
    </w:p>
    <w:p w14:paraId="57C63AE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ACEB8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867895"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9 июня</w:t>
      </w:r>
      <w:r w:rsidRPr="00070ADE">
        <w:rPr>
          <w:rFonts w:ascii="Times New Roman" w:hAnsi="Times New Roman"/>
          <w:color w:val="000000" w:themeColor="text1"/>
          <w:sz w:val="16"/>
          <w:szCs w:val="16"/>
        </w:rPr>
        <w:t xml:space="preserve"> в 1944 году с аэродрома "Рингуэй" близ Манчестера впервые поднялся в воздух первый прототип английского стратегического бомбардировщика </w:t>
      </w:r>
      <w:hyperlink r:id="rId173" w:tgtFrame="_blank" w:history="1">
        <w:r w:rsidRPr="00070ADE">
          <w:rPr>
            <w:rFonts w:ascii="Times New Roman" w:hAnsi="Times New Roman"/>
            <w:color w:val="000000" w:themeColor="text1"/>
            <w:sz w:val="16"/>
            <w:szCs w:val="16"/>
          </w:rPr>
          <w:t xml:space="preserve">"Линкольна" </w:t>
        </w:r>
      </w:hyperlink>
      <w:r w:rsidRPr="00070ADE">
        <w:rPr>
          <w:rFonts w:ascii="Times New Roman" w:hAnsi="Times New Roman"/>
          <w:color w:val="000000" w:themeColor="text1"/>
          <w:sz w:val="16"/>
          <w:szCs w:val="16"/>
        </w:rPr>
        <w:t>(с/н PW925), пилотируемый экипажем под управлением капитана Г.Брауна. Самолет вышел на испытания без вооружения и штатных пропеллеров (вместо предусмотренных проектом четырехлопастных винтов изменяемого шага "Ротол" или "Де Хэвилленд", на нем установили трехлопастные "Хэмилтон Хайдроматик"). С 15 по 23 июля самолет прошел в испытательном центре "Боскомб Даун" предварительные государственные испытания, показав хорошую управляемость и удовлетворительные летные характеристики. Единственным изменением, внесенным в конструкцию по результатам испытаний, стало некоторое увеличение площади рулей направления (14917).</w:t>
      </w:r>
    </w:p>
    <w:p w14:paraId="1CCCA228" w14:textId="77777777" w:rsidR="00C074FF" w:rsidRPr="00070ADE" w:rsidRDefault="00C074FF" w:rsidP="00B56F90">
      <w:pPr>
        <w:spacing w:after="0" w:line="240" w:lineRule="auto"/>
        <w:jc w:val="both"/>
        <w:rPr>
          <w:rFonts w:ascii="Times New Roman" w:hAnsi="Times New Roman"/>
          <w:color w:val="000000" w:themeColor="text1"/>
          <w:sz w:val="16"/>
          <w:szCs w:val="16"/>
        </w:rPr>
      </w:pPr>
    </w:p>
    <w:p w14:paraId="49C91BF1" w14:textId="77777777" w:rsidR="00212D83" w:rsidRPr="00070ADE" w:rsidRDefault="00212D8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июня 1944 первый полет Авро Линкольн (20373).</w:t>
      </w:r>
    </w:p>
    <w:p w14:paraId="4341C99D" w14:textId="77777777" w:rsidR="00212D83" w:rsidRPr="00070ADE" w:rsidRDefault="00212D83" w:rsidP="00B56F90">
      <w:pPr>
        <w:spacing w:after="0" w:line="240" w:lineRule="auto"/>
        <w:jc w:val="both"/>
        <w:rPr>
          <w:rFonts w:ascii="Times New Roman" w:hAnsi="Times New Roman"/>
          <w:color w:val="000000" w:themeColor="text1"/>
          <w:sz w:val="16"/>
          <w:szCs w:val="16"/>
        </w:rPr>
      </w:pPr>
    </w:p>
    <w:p w14:paraId="3A916E87" w14:textId="5FF3D93B" w:rsidR="00212D83" w:rsidRPr="00070ADE" w:rsidRDefault="00212D8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9 июня 1944 года — первый полёт тяжёлого бомбардировщика</w:t>
      </w:r>
      <w:r w:rsidR="00B643A8" w:rsidRPr="00070ADE">
        <w:rPr>
          <w:rFonts w:ascii="Times New Roman" w:hAnsi="Times New Roman"/>
          <w:color w:val="000000" w:themeColor="text1"/>
          <w:sz w:val="16"/>
          <w:szCs w:val="16"/>
          <w:shd w:val="clear" w:color="auto" w:fill="FFFFFF"/>
        </w:rPr>
        <w:t xml:space="preserve"> </w:t>
      </w:r>
      <w:r w:rsidRPr="00070ADE">
        <w:rPr>
          <w:rFonts w:ascii="Times New Roman" w:hAnsi="Times New Roman"/>
          <w:color w:val="000000" w:themeColor="text1"/>
          <w:sz w:val="16"/>
          <w:szCs w:val="16"/>
          <w:shd w:val="clear" w:color="auto" w:fill="FFFFFF"/>
        </w:rPr>
        <w:t xml:space="preserve">Avro Lincoln. </w:t>
      </w:r>
      <w:r w:rsidRPr="00070ADE">
        <w:rPr>
          <w:rFonts w:ascii="Times New Roman" w:hAnsi="Times New Roman"/>
          <w:color w:val="000000" w:themeColor="text1"/>
          <w:sz w:val="16"/>
          <w:szCs w:val="16"/>
        </w:rPr>
        <w:t>/Великобритания/</w:t>
      </w:r>
    </w:p>
    <w:p w14:paraId="7849F1C7" w14:textId="6B45F998" w:rsidR="00212D83" w:rsidRPr="00070ADE" w:rsidRDefault="00212D8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Ещё в 1942 году началось усовершенствование дальнего бомбардировщика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Avro Lancaster</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для увеличения дальности полёта — готовились к боевым действиям на Дальнем Востоке. Сменив несколько имён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Type 694, Lancaster IV</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V</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новый самолёт получил обозначение "Lincoln".</w:t>
      </w:r>
    </w:p>
    <w:p w14:paraId="47CD5D19" w14:textId="5B0083D1" w:rsidR="00212D83" w:rsidRPr="00070ADE" w:rsidRDefault="00212D8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и его предшественник, Lincoln был четырёхмоторным цельнодюралевым среднепланом. Носовую часть сделали «двухэтажной» для улучшения обзора штурману-бомбардиру, фюзеляж удлинили и установили новое шасси. Много элементов взяли от «Ланкастера». Вооружение — по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 × 12,7-мм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пулемёта в 3 турелях + до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6350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 бомб.</w:t>
      </w:r>
    </w:p>
    <w:p w14:paraId="2C796106" w14:textId="1A725A18" w:rsidR="00212D83" w:rsidRPr="00070ADE" w:rsidRDefault="00212D8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Выпустили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604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единицы Avro Lincoln, которые стояли на вооружении Королевских ВВС Великобритании (до 1963 года) и Аргентины (до 1967). Самолёты никогда не применялись для дальних бомбардировочных рейдов, но повоевали в малых войнах. Использовались также для воздушной разведки, различных испытаний и дозаправки в воздухе (22300).</w:t>
      </w:r>
    </w:p>
    <w:p w14:paraId="478BEDF5" w14:textId="77777777" w:rsidR="00212D83" w:rsidRPr="00070ADE" w:rsidRDefault="00212D83" w:rsidP="00B56F90">
      <w:pPr>
        <w:spacing w:after="0" w:line="240" w:lineRule="auto"/>
        <w:jc w:val="both"/>
        <w:rPr>
          <w:rFonts w:ascii="Times New Roman" w:hAnsi="Times New Roman"/>
          <w:color w:val="000000" w:themeColor="text1"/>
          <w:sz w:val="16"/>
          <w:szCs w:val="16"/>
        </w:rPr>
      </w:pPr>
    </w:p>
    <w:p w14:paraId="71758A95" w14:textId="77777777" w:rsidR="00C074FF" w:rsidRPr="00070ADE" w:rsidRDefault="00C074F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июня 1944 американцы получили обломки неразорвавшейся V-1 и сделали свой, который назвали В-2 и до конца войны сделали 1200 (1608,24).</w:t>
      </w:r>
    </w:p>
    <w:p w14:paraId="45525CDB" w14:textId="77777777" w:rsidR="00C074FF" w:rsidRPr="00070ADE" w:rsidRDefault="00C074F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C118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9, 1944. Allied units begin operations from bases in France (1089).</w:t>
      </w:r>
    </w:p>
    <w:p w14:paraId="21D973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E36D8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июня 1944 союзники начали операции из баз, созданных во Франции (1089).</w:t>
      </w:r>
    </w:p>
    <w:p w14:paraId="091163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2FE8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июня 1944 экипажи 617 эскадрильи на Ланкастерах бросали сверхтяжелые бомбы Tallboy на железнодорожный туннель под Саумюром. Разбили. Потом их пытались бросать на Тирпиц (1144,28).</w:t>
      </w:r>
    </w:p>
    <w:p w14:paraId="7805B4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FB33D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9 июня 1944 г. специально подготовленные «Ланкастеры» 617-й эскадрильи сбросили несколько сверхтяжелых бомб «Таллбой» весом 5448 кг. на железнодорожный туннель под Саумюром, по которому немцы перебрасывали войска в Нормандию. Новое оружие оказалось очень эффективным - туннель после атаки был полностью заблокирован. В сентябре бомбы «Таллбой» понадобились для операции «Параван», проводимой совместно советским и английским командованием. Намечалось уничтожение немецкого линкора «Тирпиц», стоявшего в Альтен-фьорде у побережья Норвегии. Тридцать восемь «Ланкастеров» Мк1 и МкШ из 617-й и 9-й эскадрилий направились на аэродром Ягодник под Архангельском, откуда и намеревались атаковать линкор. Утром 12 сентября английские самолеты стали садится под Архангельском, однако по разным причинам 10 бомбардировщиков совершили вынужденные посадки в Онеге, Беломорске, Кегоострове, Молотовске и просто в тундре. Причем семь «авро» были серьезно повреждены и лишь один удалось отремонтировать. Атака на линкор состоялась 15 сентября. Бомбардировщики наводились советскими штурманами. На цель вышли 27 «Ланкастеров», из которых 21 нес бомбу «Таллбой», а в шесть машин загрузили обычные бомбы. «Тирпиц» потопить не удалось, англичане вернулись домой, а шесть поврежденных бомбардировщиков-один Мк1 и пять МкШ-остались под Архангельском. Два самолета советские специалисты восстановили до летного состояния. Они использовались в качестве грузовых в 16-ом транспортном отряде ВВС Беломорской флотилии и 70-ом транспортном полку ВВС Северного флота. Поврежденный, но уцелевший «Тирпиц» перебазировался к острову Хаак в районе Тромсе, где немцы использовали линкор как плавучую батарею. Бомбардировщики 9-й и 617-й эскадрилий с конца октября совершили две безуспешные атаки на стоянку немецкого рейдера. Наконец, в третьей и последней атаке с «Тирпицем» было покончено - в линейный корабль попали 3 сверхтяжелые бомбы и он затонул. Для того, чтобы «Ланкастеры» смогли долететь до Норвегии и вернуться обратно, на самолетах установили дополнительные баки, сняв верхнюю турель и доведя емкость топливной системы до 10938 литров. До конца войны экипажи 9-й и 617-й эскадрилий оставались главными специалистами по применению бомб «Таллбой», сбросив в общей сложности 854 «пятитонки». Когда английские конструкторы закончили разработку новой сверхмощной десятитонной «Грэнд Слэм» (9988 кг), первыми ее испытали летчики 617-й эскадрильи. Для самой большой бомбы второй мировой войны «Ланкастер» с двигателями «Мерлин» 24 специально доработали, и он получил обозначение В MkI (Special). Ненужные створки бомболюка сняли, а впереди и сзади выступающей бомбы ставились обтекатели, Для облегчения веса снималось все ненужное оборудование, включая верхнюю и нижнюю турели. Первый испытательный сброс супероружия состоялся 13 марта 1945 г. А уже на следующий день четырнадцать «Ланкастеров», из которых 13 несли «Таллбой» и один «Грэнд Слэм», отправились на атаку виадука у Билефель-да, по которому проходили основные коммуникации из Рура по всей Германии. «Де-сятитонка» разрушила два пролета моста, а тринадцать «Таллбоев» разметали обходной путь, который немцы построили еще после первых налетов на виадук. До конца войны прогремело 40 разрушительных взрывов «Большого шлема», наводящих самый настоящий ужас на немецкие войска (11860).</w:t>
      </w:r>
    </w:p>
    <w:p w14:paraId="7900215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47716AA" w14:textId="34F7EE01" w:rsidR="00EC51C4" w:rsidRPr="00070ADE" w:rsidRDefault="00EC51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июня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С аэродрома "Рингуэй" близ Манчестера впервые поднялся в воздух первый прототип английского стратегического бомбардировщика "Линкольн" (с/н PW925), пилотируемый экипажем под управлением капитана Г. Брауна. Самолет вышел на испытания без вооружения и штатных пропеллеров (вместо предусмотренных проектом четырехлопастных винтов изменяемого шага "Ротол" или "Де Хэвилленд", на нем установили трехлопастные "Хэмилтон Хайдроматик"). С 15 по 23 июля самолет прошел в испытательном центре "Боскомб Даун" предварительные государственные испытания, показав хорошую управляемость и удовлетворительные летные характеристики. Единственным изменением, внесенным в конструкцию по результатам испытаний, стало некоторое увеличение площади рулей направления (22466).</w:t>
      </w:r>
    </w:p>
    <w:p w14:paraId="07AD3B92" w14:textId="77777777" w:rsidR="00EC51C4" w:rsidRPr="00070ADE" w:rsidRDefault="00EC51C4" w:rsidP="00B56F90">
      <w:pPr>
        <w:spacing w:after="0" w:line="240" w:lineRule="auto"/>
        <w:jc w:val="both"/>
        <w:rPr>
          <w:rFonts w:ascii="Times New Roman" w:hAnsi="Times New Roman"/>
          <w:color w:val="000000" w:themeColor="text1"/>
          <w:sz w:val="16"/>
          <w:szCs w:val="16"/>
        </w:rPr>
      </w:pPr>
    </w:p>
    <w:p w14:paraId="1BD31247" w14:textId="0F9DC108" w:rsidR="00EC51C4" w:rsidRPr="00070ADE" w:rsidRDefault="00EC51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июня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Железнодорожный туннель Сомюр, через который немецкие подкрепления перебрасывались на фронт в Нормандию, был успешно заблокирован бомбардировщиками «Ланкастеры» применившими обтекаемую 5448-кг бомбу "Тэллбой", сконструированную Бэйрнсом Уоллисом (Barnes Wallis). Одна из этих бомб проломила свод тоннеля и разорвалась внутри него (22466).</w:t>
      </w:r>
    </w:p>
    <w:p w14:paraId="0B70F727" w14:textId="77777777" w:rsidR="00EC51C4" w:rsidRPr="00070ADE" w:rsidRDefault="00EC51C4" w:rsidP="00B56F90">
      <w:pPr>
        <w:spacing w:after="0" w:line="240" w:lineRule="auto"/>
        <w:jc w:val="both"/>
        <w:rPr>
          <w:rFonts w:ascii="Times New Roman" w:hAnsi="Times New Roman"/>
          <w:color w:val="000000" w:themeColor="text1"/>
          <w:sz w:val="16"/>
          <w:szCs w:val="16"/>
        </w:rPr>
      </w:pPr>
    </w:p>
    <w:p w14:paraId="07C63FFB" w14:textId="77777777" w:rsidR="00EC51C4" w:rsidRPr="00070ADE" w:rsidRDefault="00EC51C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9–10 июня (ночь) 1944 410 британских бомбардировщиков наносят точные удары по немецким аэродромам в Флерсе, Ле-Мане, Лавале и Ренне, Франция, потеряв два самолета. Еще 112 бомбардировщиков совершают налет на железнодорожный узел в Этампе, Франция, но безуспешно, потому что их бомбы падают на город. Шесть бомбардировщиков потеряны во время налета на Этамп (20373).</w:t>
      </w:r>
    </w:p>
    <w:p w14:paraId="5B91251F" w14:textId="77777777" w:rsidR="00EC51C4" w:rsidRPr="00070ADE" w:rsidRDefault="00EC51C4" w:rsidP="00B56F90">
      <w:pPr>
        <w:spacing w:after="0" w:line="240" w:lineRule="auto"/>
        <w:jc w:val="both"/>
        <w:rPr>
          <w:rFonts w:ascii="Times New Roman" w:hAnsi="Times New Roman"/>
          <w:color w:val="000000" w:themeColor="text1"/>
          <w:sz w:val="16"/>
          <w:szCs w:val="16"/>
        </w:rPr>
      </w:pPr>
    </w:p>
    <w:p w14:paraId="4BB1B446" w14:textId="77777777" w:rsidR="00212D83" w:rsidRPr="00070ADE" w:rsidRDefault="00212D8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июня 1944 авиация союзников наносит удары по японским аэродромам на Пелелиу, Волеи и Япе (20373).</w:t>
      </w:r>
    </w:p>
    <w:p w14:paraId="7B5DAF34" w14:textId="77777777" w:rsidR="00212D83" w:rsidRPr="00070ADE" w:rsidRDefault="00212D83" w:rsidP="00B56F90">
      <w:pPr>
        <w:spacing w:after="0" w:line="240" w:lineRule="auto"/>
        <w:jc w:val="both"/>
        <w:rPr>
          <w:rFonts w:ascii="Times New Roman" w:hAnsi="Times New Roman"/>
          <w:color w:val="000000" w:themeColor="text1"/>
          <w:sz w:val="16"/>
          <w:szCs w:val="16"/>
        </w:rPr>
      </w:pPr>
    </w:p>
    <w:p w14:paraId="150C9BF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FC923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6504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1944 В.П.Кузнецов подготовил для А.И.Ш. сводку по выполнению постановления по повышению высотности самолетов по состоянию на 10 июня 1944 и были упомянуты МиГ-3 с АМ-39Б-01, Ла-5 М-82 с ТК-3 и Як-9 с ВК-105ПД (1824).</w:t>
      </w:r>
    </w:p>
    <w:p w14:paraId="7868AD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C6C6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10 июня 1944 состояние опытного строительства на 21 заводе было следующим:</w:t>
      </w:r>
    </w:p>
    <w:p w14:paraId="7EC467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смены мотора произведен полет Ла-5 АШ-83</w:t>
      </w:r>
    </w:p>
    <w:p w14:paraId="4FB733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Ла-7 АШ-71 - произведено взвешивание - 3508 кг. Произведен первый полет. Чувствуется передняя центровка. Сильно греется мотор (738,23).</w:t>
      </w:r>
    </w:p>
    <w:p w14:paraId="425166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C584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1944 МиГ АМ-39Б + 2ТК-2Б выполнил полет на проверку давления бензина после установки системы нейтрального газа. летали 0:35 до 7000 м (1825).</w:t>
      </w:r>
    </w:p>
    <w:p w14:paraId="7F6A93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A286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1944 на МИГ С АМ-39Б И 2ТК-2Б был произведен полет на проверку давле</w:t>
      </w:r>
      <w:r w:rsidRPr="00070ADE">
        <w:rPr>
          <w:rFonts w:ascii="Times New Roman" w:hAnsi="Times New Roman"/>
          <w:color w:val="000000" w:themeColor="text1"/>
          <w:sz w:val="16"/>
          <w:szCs w:val="16"/>
        </w:rPr>
        <w:softHyphen/>
        <w:t>ния бензина после установки системы нейтрального газа. Продолжительность полета - 35 мин., высота -7000 мт. Полет прекращен из-за падения давления бензина, которое началось с высоты 4000 мт. Причиной падения давления бензина, как устано</w:t>
      </w:r>
      <w:r w:rsidRPr="00070ADE">
        <w:rPr>
          <w:rFonts w:ascii="Times New Roman" w:hAnsi="Times New Roman"/>
          <w:color w:val="000000" w:themeColor="text1"/>
          <w:sz w:val="16"/>
          <w:szCs w:val="16"/>
        </w:rPr>
        <w:softHyphen/>
        <w:t>вили представители ЛИИ и ЦИАМа, является неудов</w:t>
      </w:r>
      <w:r w:rsidRPr="00070ADE">
        <w:rPr>
          <w:rFonts w:ascii="Times New Roman" w:hAnsi="Times New Roman"/>
          <w:color w:val="000000" w:themeColor="text1"/>
          <w:sz w:val="16"/>
          <w:szCs w:val="16"/>
        </w:rPr>
        <w:softHyphen/>
        <w:t>летворительная работа эжекторной помпы № 178 (1825).</w:t>
      </w:r>
    </w:p>
    <w:p w14:paraId="140EFB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A35A24" w14:textId="77777777" w:rsidR="004D183C" w:rsidRPr="00070ADE" w:rsidRDefault="004D18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1944 г. после получения и установки на са</w:t>
      </w:r>
      <w:r w:rsidRPr="00070ADE">
        <w:rPr>
          <w:rFonts w:ascii="Times New Roman" w:hAnsi="Times New Roman"/>
          <w:color w:val="000000" w:themeColor="text1"/>
          <w:sz w:val="16"/>
          <w:szCs w:val="16"/>
        </w:rPr>
        <w:softHyphen/>
        <w:t>молет очередного мотора на ИТП (М-2) были выполнены два проб</w:t>
      </w:r>
      <w:r w:rsidRPr="00070ADE">
        <w:rPr>
          <w:rFonts w:ascii="Times New Roman" w:hAnsi="Times New Roman"/>
          <w:color w:val="000000" w:themeColor="text1"/>
          <w:sz w:val="16"/>
          <w:szCs w:val="16"/>
        </w:rPr>
        <w:softHyphen/>
        <w:t>ных полета. Во время пробежки после второй посадки, самопроизвольно сло</w:t>
      </w:r>
      <w:r w:rsidRPr="00070ADE">
        <w:rPr>
          <w:rFonts w:ascii="Times New Roman" w:hAnsi="Times New Roman"/>
          <w:color w:val="000000" w:themeColor="text1"/>
          <w:sz w:val="16"/>
          <w:szCs w:val="16"/>
        </w:rPr>
        <w:softHyphen/>
        <w:t>жился костыль, «в результате чего была поломана нижняя часть хвоста фюзеля</w:t>
      </w:r>
      <w:r w:rsidRPr="00070ADE">
        <w:rPr>
          <w:rFonts w:ascii="Times New Roman" w:hAnsi="Times New Roman"/>
          <w:color w:val="000000" w:themeColor="text1"/>
          <w:sz w:val="16"/>
          <w:szCs w:val="16"/>
        </w:rPr>
        <w:softHyphen/>
        <w:t>жа». Причину установить не удалось. Че</w:t>
      </w:r>
      <w:r w:rsidRPr="00070ADE">
        <w:rPr>
          <w:rFonts w:ascii="Times New Roman" w:hAnsi="Times New Roman"/>
          <w:color w:val="000000" w:themeColor="text1"/>
          <w:sz w:val="16"/>
          <w:szCs w:val="16"/>
        </w:rPr>
        <w:softHyphen/>
        <w:t>рез два дня самолет отремонтировали и продолжили заводские испытания (24308).</w:t>
      </w:r>
    </w:p>
    <w:p w14:paraId="3FC5F5CA" w14:textId="77777777" w:rsidR="004D183C" w:rsidRPr="00070ADE" w:rsidRDefault="004D183C" w:rsidP="00B56F90">
      <w:pPr>
        <w:spacing w:after="0" w:line="240" w:lineRule="auto"/>
        <w:jc w:val="both"/>
        <w:rPr>
          <w:rFonts w:ascii="Times New Roman" w:hAnsi="Times New Roman"/>
          <w:color w:val="000000" w:themeColor="text1"/>
          <w:sz w:val="16"/>
          <w:szCs w:val="16"/>
        </w:rPr>
      </w:pPr>
    </w:p>
    <w:p w14:paraId="1DCA82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10 июня по 28 июля 1944 в 118 отд. Кор.-разв. Эскадрилье 1УФ ы 100 км восточнее Львова прошли войсковые испытания пяти экз. У-2НАК (ночного арткорректировщика), разработанного ОКБ Н.Н.П. на основе У-2ВС ЛНБ. 20 октября 1943 ГК НИИ ВВС утвердил образец У-2НАК (ночного арткорректировщика). Добавили РСИ-4, СПУ, генератор, УФО, кольцевой коллектор с плямягасителями, сделали металлизацию. Леталми с аэродрома подскока Зарубище и с площадки у с Старо-Алексеевка. Потеряли все, но не в результате боя. Прошел (4542, 16).</w:t>
      </w:r>
    </w:p>
    <w:p w14:paraId="7CF57D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E1BCC5"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10 июня по 28 июля 1944 г. в 118-м отдельном полку 2-й воздушной армии в 100 км восточнее Львова проходили войсковые испытания войсковая серия из пяти машин У-2НАК (ночной артиллерийский корректировщик). Машина строилась серийно (25035).</w:t>
      </w:r>
    </w:p>
    <w:p w14:paraId="2313B66C" w14:textId="77777777" w:rsidR="00BA3A2B" w:rsidRPr="00C94B78" w:rsidRDefault="00BA3A2B" w:rsidP="00B56F90">
      <w:pPr>
        <w:spacing w:after="0" w:line="240" w:lineRule="auto"/>
        <w:jc w:val="both"/>
        <w:rPr>
          <w:rFonts w:ascii="Times New Roman" w:hAnsi="Times New Roman"/>
          <w:color w:val="0070C0"/>
          <w:sz w:val="16"/>
          <w:szCs w:val="16"/>
        </w:rPr>
      </w:pPr>
    </w:p>
    <w:p w14:paraId="464A1371"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С 10 по 20 июня 1944 г. 37‑мм пушка Н‑37 ОКБ‑16 успешно прошла заводские испытания в ГК НИИ ВВС, а с 1 по 25 августа – государ</w:t>
      </w:r>
      <w:r w:rsidRPr="00C94B78">
        <w:rPr>
          <w:rStyle w:val="aff1"/>
          <w:rFonts w:ascii="Times New Roman" w:hAnsi="Times New Roman" w:cs="Times New Roman"/>
          <w:color w:val="0070C0"/>
          <w:spacing w:val="0"/>
          <w:sz w:val="16"/>
          <w:szCs w:val="16"/>
        </w:rPr>
        <w:softHyphen/>
        <w:t>ственные наземные испытания. Одновременно испытывались патроны.</w:t>
      </w:r>
    </w:p>
    <w:p w14:paraId="22D8B776"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lastRenderedPageBreak/>
        <w:t>Патрон пониженной баллистики к Н‑37 со</w:t>
      </w:r>
      <w:r w:rsidRPr="00C94B78">
        <w:rPr>
          <w:rStyle w:val="aff1"/>
          <w:rFonts w:ascii="Times New Roman" w:hAnsi="Times New Roman" w:cs="Times New Roman"/>
          <w:color w:val="0070C0"/>
          <w:spacing w:val="0"/>
          <w:sz w:val="16"/>
          <w:szCs w:val="16"/>
        </w:rPr>
        <w:softHyphen/>
        <w:t>стоял из осколочно‑зажигательно‑трассирую</w:t>
      </w:r>
      <w:r w:rsidRPr="00C94B78">
        <w:rPr>
          <w:rStyle w:val="aff1"/>
          <w:rFonts w:ascii="Times New Roman" w:hAnsi="Times New Roman" w:cs="Times New Roman"/>
          <w:color w:val="0070C0"/>
          <w:spacing w:val="0"/>
          <w:sz w:val="16"/>
          <w:szCs w:val="16"/>
        </w:rPr>
        <w:softHyphen/>
        <w:t>щего снаряда (с взрывателем МГ‑8) или бро</w:t>
      </w:r>
      <w:r w:rsidRPr="00C94B78">
        <w:rPr>
          <w:rStyle w:val="aff1"/>
          <w:rFonts w:ascii="Times New Roman" w:hAnsi="Times New Roman" w:cs="Times New Roman"/>
          <w:color w:val="0070C0"/>
          <w:spacing w:val="0"/>
          <w:sz w:val="16"/>
          <w:szCs w:val="16"/>
        </w:rPr>
        <w:softHyphen/>
        <w:t>небойно‑зажигательно‑трассирующего снаря</w:t>
      </w:r>
      <w:r w:rsidRPr="00C94B78">
        <w:rPr>
          <w:rStyle w:val="aff1"/>
          <w:rFonts w:ascii="Times New Roman" w:hAnsi="Times New Roman" w:cs="Times New Roman"/>
          <w:color w:val="0070C0"/>
          <w:spacing w:val="0"/>
          <w:sz w:val="16"/>
          <w:szCs w:val="16"/>
        </w:rPr>
        <w:softHyphen/>
        <w:t>да к пушке 11П, латунной гильзы (изготавлива</w:t>
      </w:r>
      <w:r w:rsidRPr="00C94B78">
        <w:rPr>
          <w:rStyle w:val="aff1"/>
          <w:rFonts w:ascii="Times New Roman" w:hAnsi="Times New Roman" w:cs="Times New Roman"/>
          <w:color w:val="0070C0"/>
          <w:spacing w:val="0"/>
          <w:sz w:val="16"/>
          <w:szCs w:val="16"/>
        </w:rPr>
        <w:softHyphen/>
        <w:t>лась из заготовки валовой гильзы к зенитной пушке 61К путем ее укорочения, переобжатия и переделки закраины) и серийной капсюль</w:t>
      </w:r>
      <w:r w:rsidRPr="00C94B78">
        <w:rPr>
          <w:rStyle w:val="aff1"/>
          <w:rFonts w:ascii="Times New Roman" w:hAnsi="Times New Roman" w:cs="Times New Roman"/>
          <w:color w:val="0070C0"/>
          <w:spacing w:val="0"/>
          <w:sz w:val="16"/>
          <w:szCs w:val="16"/>
        </w:rPr>
        <w:softHyphen/>
        <w:t>ной втулки КВ‑2. Звенья использовались штат</w:t>
      </w:r>
      <w:r w:rsidRPr="00C94B78">
        <w:rPr>
          <w:rStyle w:val="aff1"/>
          <w:rFonts w:ascii="Times New Roman" w:hAnsi="Times New Roman" w:cs="Times New Roman"/>
          <w:color w:val="0070C0"/>
          <w:spacing w:val="0"/>
          <w:sz w:val="16"/>
          <w:szCs w:val="16"/>
        </w:rPr>
        <w:softHyphen/>
        <w:t>ные – от 11П.</w:t>
      </w:r>
    </w:p>
    <w:p w14:paraId="6F02E26F"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По сравнению с патроном к 11П объем камеры гильзы патрона к Н‑37 уменьшился</w:t>
      </w:r>
    </w:p>
    <w:p w14:paraId="5CB5C1D8"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до 162 см</w:t>
      </w:r>
      <w:r w:rsidRPr="00C94B78">
        <w:rPr>
          <w:rStyle w:val="aff1"/>
          <w:rFonts w:ascii="Times New Roman" w:hAnsi="Times New Roman" w:cs="Times New Roman"/>
          <w:color w:val="0070C0"/>
          <w:spacing w:val="0"/>
          <w:sz w:val="16"/>
          <w:szCs w:val="16"/>
          <w:vertAlign w:val="superscript"/>
        </w:rPr>
        <w:t>3</w:t>
      </w:r>
      <w:r w:rsidRPr="00C94B78">
        <w:rPr>
          <w:rStyle w:val="aff1"/>
          <w:rFonts w:ascii="Times New Roman" w:hAnsi="Times New Roman" w:cs="Times New Roman"/>
          <w:color w:val="0070C0"/>
          <w:spacing w:val="0"/>
          <w:sz w:val="16"/>
          <w:szCs w:val="16"/>
        </w:rPr>
        <w:t xml:space="preserve"> (вместо 607 см</w:t>
      </w:r>
      <w:r w:rsidRPr="00C94B78">
        <w:rPr>
          <w:rStyle w:val="aff1"/>
          <w:rFonts w:ascii="Times New Roman" w:hAnsi="Times New Roman" w:cs="Times New Roman"/>
          <w:color w:val="0070C0"/>
          <w:spacing w:val="0"/>
          <w:sz w:val="16"/>
          <w:szCs w:val="16"/>
          <w:vertAlign w:val="superscript"/>
        </w:rPr>
        <w:t>3</w:t>
      </w:r>
      <w:r w:rsidRPr="00C94B78">
        <w:rPr>
          <w:rStyle w:val="aff1"/>
          <w:rFonts w:ascii="Times New Roman" w:hAnsi="Times New Roman" w:cs="Times New Roman"/>
          <w:color w:val="0070C0"/>
          <w:spacing w:val="0"/>
          <w:sz w:val="16"/>
          <w:szCs w:val="16"/>
        </w:rPr>
        <w:t>), а вес порохово</w:t>
      </w:r>
      <w:r w:rsidRPr="00C94B78">
        <w:rPr>
          <w:rStyle w:val="aff1"/>
          <w:rFonts w:ascii="Times New Roman" w:hAnsi="Times New Roman" w:cs="Times New Roman"/>
          <w:color w:val="0070C0"/>
          <w:spacing w:val="0"/>
          <w:sz w:val="16"/>
          <w:szCs w:val="16"/>
        </w:rPr>
        <w:softHyphen/>
        <w:t>го заряда – до 122,3 г (вместо 212 г). Соответ</w:t>
      </w:r>
      <w:r w:rsidRPr="00C94B78">
        <w:rPr>
          <w:rStyle w:val="aff1"/>
          <w:rFonts w:ascii="Times New Roman" w:hAnsi="Times New Roman" w:cs="Times New Roman"/>
          <w:color w:val="0070C0"/>
          <w:spacing w:val="0"/>
          <w:sz w:val="16"/>
          <w:szCs w:val="16"/>
        </w:rPr>
        <w:softHyphen/>
        <w:t>ственно, начальная скорость снаряда Н‑37 со</w:t>
      </w:r>
      <w:r w:rsidRPr="00C94B78">
        <w:rPr>
          <w:rStyle w:val="aff1"/>
          <w:rFonts w:ascii="Times New Roman" w:hAnsi="Times New Roman" w:cs="Times New Roman"/>
          <w:color w:val="0070C0"/>
          <w:spacing w:val="0"/>
          <w:sz w:val="16"/>
          <w:szCs w:val="16"/>
        </w:rPr>
        <w:softHyphen/>
        <w:t>ставила около 700 м/с (вместо 900 м/с), темп стрельбы вырос до 320 выстр./мин (вместо 250 выстр./мин), а усилие отдачи при стрель</w:t>
      </w:r>
      <w:r w:rsidRPr="00C94B78">
        <w:rPr>
          <w:rStyle w:val="aff1"/>
          <w:rFonts w:ascii="Times New Roman" w:hAnsi="Times New Roman" w:cs="Times New Roman"/>
          <w:color w:val="0070C0"/>
          <w:spacing w:val="0"/>
          <w:sz w:val="16"/>
          <w:szCs w:val="16"/>
        </w:rPr>
        <w:softHyphen/>
        <w:t>бе снизилось до 2180 кг (вместо 5500 кг). При этом вес и габариты пушки уменьшились до 96 кг (вместо 152,25 кг) и 2485 мм (вместо 3140 мм) соответственно.</w:t>
      </w:r>
    </w:p>
    <w:p w14:paraId="43DA6FAF"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Одним из следствий применения патрона уменьшенной баллистики стала повышенная живучесть ствола. Ствол Н‑37 №1 не исчерпал своей живучести после 3500 выстрелов, тогда как живучесть ствола серийной 11П не превы</w:t>
      </w:r>
      <w:r w:rsidRPr="00C94B78">
        <w:rPr>
          <w:rStyle w:val="aff1"/>
          <w:rFonts w:ascii="Times New Roman" w:hAnsi="Times New Roman" w:cs="Times New Roman"/>
          <w:color w:val="0070C0"/>
          <w:spacing w:val="0"/>
          <w:sz w:val="16"/>
          <w:szCs w:val="16"/>
        </w:rPr>
        <w:softHyphen/>
        <w:t>шала 1500–2000 выстрелов.</w:t>
      </w:r>
    </w:p>
    <w:p w14:paraId="2DFB5BDA"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Для снижения силы отдачи при стрель</w:t>
      </w:r>
      <w:r w:rsidRPr="00C94B78">
        <w:rPr>
          <w:rStyle w:val="aff1"/>
          <w:rFonts w:ascii="Times New Roman" w:hAnsi="Times New Roman" w:cs="Times New Roman"/>
          <w:color w:val="0070C0"/>
          <w:spacing w:val="0"/>
          <w:sz w:val="16"/>
          <w:szCs w:val="16"/>
        </w:rPr>
        <w:softHyphen/>
        <w:t>бе в пушке применили мощный дульный тор</w:t>
      </w:r>
      <w:r w:rsidRPr="00C94B78">
        <w:rPr>
          <w:rStyle w:val="aff1"/>
          <w:rFonts w:ascii="Times New Roman" w:hAnsi="Times New Roman" w:cs="Times New Roman"/>
          <w:color w:val="0070C0"/>
          <w:spacing w:val="0"/>
          <w:sz w:val="16"/>
          <w:szCs w:val="16"/>
        </w:rPr>
        <w:softHyphen/>
        <w:t>моз и регулируемый гидротормоз, амортизи</w:t>
      </w:r>
      <w:r w:rsidRPr="00C94B78">
        <w:rPr>
          <w:rStyle w:val="aff1"/>
          <w:rFonts w:ascii="Times New Roman" w:hAnsi="Times New Roman" w:cs="Times New Roman"/>
          <w:color w:val="0070C0"/>
          <w:spacing w:val="0"/>
          <w:sz w:val="16"/>
          <w:szCs w:val="16"/>
        </w:rPr>
        <w:softHyphen/>
        <w:t>ровавший откат и накат ствола. Регулировка гидротормоза позволяла «очень просто от</w:t>
      </w:r>
      <w:r w:rsidRPr="00C94B78">
        <w:rPr>
          <w:rStyle w:val="aff1"/>
          <w:rFonts w:ascii="Times New Roman" w:hAnsi="Times New Roman" w:cs="Times New Roman"/>
          <w:color w:val="0070C0"/>
          <w:spacing w:val="0"/>
          <w:sz w:val="16"/>
          <w:szCs w:val="16"/>
        </w:rPr>
        <w:softHyphen/>
        <w:t>лаживать пушки на заводе и эксплуатировать в частях».</w:t>
      </w:r>
    </w:p>
    <w:p w14:paraId="1EFF746B"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Поскольку Н‑37 создавалась на основе се</w:t>
      </w:r>
      <w:r w:rsidRPr="00C94B78">
        <w:rPr>
          <w:rStyle w:val="aff1"/>
          <w:rFonts w:ascii="Times New Roman" w:hAnsi="Times New Roman" w:cs="Times New Roman"/>
          <w:color w:val="0070C0"/>
          <w:spacing w:val="0"/>
          <w:sz w:val="16"/>
          <w:szCs w:val="16"/>
        </w:rPr>
        <w:softHyphen/>
        <w:t>рийной 11П, то сохранялась технологическая преемственность. Это улучшало условия вне</w:t>
      </w:r>
      <w:r w:rsidRPr="00C94B78">
        <w:rPr>
          <w:rStyle w:val="aff1"/>
          <w:rFonts w:ascii="Times New Roman" w:hAnsi="Times New Roman" w:cs="Times New Roman"/>
          <w:color w:val="0070C0"/>
          <w:spacing w:val="0"/>
          <w:sz w:val="16"/>
          <w:szCs w:val="16"/>
        </w:rPr>
        <w:softHyphen/>
        <w:t>дрения пушки в массовое производство и ее освоение в войсках (25101).</w:t>
      </w:r>
    </w:p>
    <w:p w14:paraId="4921E584" w14:textId="77777777" w:rsidR="00BA3A2B" w:rsidRPr="00C94B78" w:rsidRDefault="00BA3A2B" w:rsidP="00B56F90">
      <w:pPr>
        <w:spacing w:after="0" w:line="240" w:lineRule="auto"/>
        <w:jc w:val="both"/>
        <w:rPr>
          <w:rFonts w:ascii="Times New Roman" w:hAnsi="Times New Roman"/>
          <w:color w:val="0070C0"/>
          <w:sz w:val="16"/>
          <w:szCs w:val="16"/>
        </w:rPr>
      </w:pPr>
    </w:p>
    <w:p w14:paraId="70DFFD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1944 года вышел приказ НКАП</w:t>
      </w:r>
    </w:p>
    <w:p w14:paraId="5C1A28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 директором завода № 119 Аржакова М.П. (директора завода № 34) (8926)</w:t>
      </w:r>
    </w:p>
    <w:p w14:paraId="728519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1944 года вышел приказ НКАП</w:t>
      </w:r>
    </w:p>
    <w:p w14:paraId="7731F4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 директором завода № 34 Муромцева М.И. (8926)</w:t>
      </w:r>
    </w:p>
    <w:p w14:paraId="5285D6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8FBF2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CA565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35D48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1944 вышло Распоряжение ГКО № 6031. О замене пришедших в аварийное состояние деревянных ферм перекрытий кузнечно-прессового цеха и заготовительного отделения завода № 78 НКБ. РГАНИР, Фонд ГКО, д. 263, лл. 97-98,99 (11012).</w:t>
      </w:r>
    </w:p>
    <w:p w14:paraId="4C26ED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C7AB24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1944 вышло Постановление ГКО № 6032 О мероприятиях по обеспечению заводов Наркомрезинпрома негашеной известью для производства антифриза. РГАНИР, Фонд ГКО, д. 263, лл. 100-101 (11012).</w:t>
      </w:r>
    </w:p>
    <w:p w14:paraId="5A15AF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CF2D33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1944 вышло Распоряжение ГКО № 6033. О поставках импортного оборудования Главвоенпромстрою при СНК СССР. РГАНИР, Фонд ГКО, д. 263, лл. 102 (11012).</w:t>
      </w:r>
    </w:p>
    <w:p w14:paraId="5A9DF8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9596C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1944 вышло Постановление ГКО № 6035 О строительстве цеха по переработке "кислых вод" газогенераторной станции завода № 71 Наркомвооружения на Ижевском лесохимическом заводе Наркомлеса СССР. РГАНИР, Фонд ГКО, д. 263, лл. 104-107,108-111 (11012).</w:t>
      </w:r>
    </w:p>
    <w:p w14:paraId="7695BD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98DE24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032FEE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EEE2F3"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10 июня</w:t>
      </w:r>
      <w:r w:rsidRPr="00070ADE">
        <w:rPr>
          <w:rFonts w:ascii="Times New Roman" w:hAnsi="Times New Roman"/>
          <w:color w:val="000000" w:themeColor="text1"/>
          <w:sz w:val="16"/>
          <w:szCs w:val="16"/>
        </w:rPr>
        <w:t xml:space="preserve"> в 1944 году оперативная сводка Совинформбюро:</w:t>
      </w:r>
    </w:p>
    <w:p w14:paraId="47857C17"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10 июня на фронтах существенных изменений не произошло. За 9 июня в воздушных боях и огнём зенитной артиллерии сбито 14 самолётов противника.</w:t>
      </w:r>
    </w:p>
    <w:p w14:paraId="66F659D7"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батальон пехоты и танки противника вчера атаковали позиции Н-ской части. Бойцы роты старшего лейтенанта Буцынова фланговым огнём отсекли вражеских пехотинцев от танков. Советские артиллеристы подбили три немецких танка. Два других танка противника подорвались на нашем минном поле. Немецкая пехота, оставшаяся без танкового прикрытия, с большими потерями была отброшена на исходный рубеж.</w:t>
      </w:r>
    </w:p>
    <w:p w14:paraId="13E184FE"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города Яссы наши подразделения в результате атаки улучшили свои позиции. В течение дня уничтожено 4 немецких орудия и 18 пулемётов. Противник потерял убитыми и ранеными 150 солдат и офицеров. На одном участке расчёт противотанкового орудия подразделения старшего лейтенанта Юркова, находясь в боевых порядках пехоты; вступил в бой с танками противника. Вскоре весь расчёт, за исключением командира орудия сержанта Афанасьева, выбыл из строя. Немецкие автоматчики пытались окружить сержанта и взять его в плен. На помощь Афанасьеву пришла оказавшаяся поблизости телефонистка тов. Мирошниченко. Она стала подносить снаряды. Метким огнём тов. Афанасьев рассеял немецких автоматчиков, подбил два танка и один бронетранспортёр противника.</w:t>
      </w:r>
    </w:p>
    <w:p w14:paraId="4DB7CFBA"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Тирасполь группа наших разведчиков проникла в расположение немцев. Разведчики захватили в плен находившихся в боевом охранении гитлеровцев и вернулись в свою часть. Бронебойщик рядовой Андроников выследил на переднем крае обороны немцев искусно замаскированный танк. Несколькими выстрелами из противотанкового ружья Андроников поджёг немецкий танк.</w:t>
      </w:r>
    </w:p>
    <w:p w14:paraId="1FA8E90A"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Витебск снайперы Н-ского соединения за месяц уничтожили много немецких солдат и офицеров. Снайпер ефрейтор Малыш за это время убил 17 немцев, сержант Лычко — 17, старший сержант Танина — 15, сержант Коспырев уничтожил 13 гитлеровцев. Немцы, взятые в плен на этом участке, сообщили: «От снайперского огня наш полк ежедневно терял нескольких солдат и офицеров. Русские снайперы всё время держат нас в постоянном страхе. Мы боимся высунуть голову из траншеи».</w:t>
      </w:r>
    </w:p>
    <w:p w14:paraId="2E00EFA3"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имени Суворова, действующий в Дрогобычской области, внезапно напал на немцев, охранявших железнодорожную станцию. Гитлеровцы укрылись в каменных зданиях и оказывали ожесточённое сопротивление. В результате упорной схватки советские патриоты истребили 40 вражеских солдат и овладели станцией. Партизаны взорвали железнодорожные пути, сожгли два военных склада и отошли на свою базу. Партизаны другого дрогобычского отряда с 20 по 26 мая пустили под откос 4 немецких воинских эшелона, в том числе один состав с горючим.</w:t>
      </w:r>
    </w:p>
    <w:p w14:paraId="74F6133C"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Перешедший на сторону Красной Армии ефрейтор 164 полка Пауль Т. рассказал: «В конце января меня в составе маршевого батальона послали на фронт на пополнение 57 дивизии. Почти 20 дней мы находились в пути, не вылезая из вагонов. Но дивизия так и не дождалась пополнения. В феврале она попала в окружение в районе Корсунь-Шевченковский и была целиком уничтожена. После этого батальон отправили в гор. Мелец (Польша). Здесь началось формирование новой дивизии, которой присвоили номер 57. В конце апреля заново сформированная 57 пехотная дивизия выехала на фронт по маршруту Брест-Литовск — Минск — Орша».</w:t>
      </w:r>
    </w:p>
    <w:p w14:paraId="1F4CC887" w14:textId="77777777" w:rsidR="00C074FF" w:rsidRPr="00070ADE" w:rsidRDefault="00C074F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ефрейтор 217 полка той же дивизии Лео Кламбер сообщил: «С первого же дня пребывания на фронте мы чувствовали себя очень неуверенно. Солдаты говорили: «Русские уже уничтожили одну 57 дивизию в районе Корсунь-Шевченковский, они доберутся и до нас». Дело дошло до того, что офицеры запретили нам говорить о прошлом дивизии и упоминать название Корсунь-Шевченковский. Русские разведчики часто незаметно проникали в расположение нашего батальона, захватывали солдат в плен и уносили наши пулемёты. На днях нам приказали привязать все пулемёты, чтобы русские не могли их утащить. Солдаты смеялись над этим приказом и говорили: «Если русские доберутся до пулемёта, то верёвки их не задержат». Ночью два русских разведчика подкрались к нам, ранили командира опорного пункта унтер-офицера Тормейера, а меня и пулемёт уволокли с собой» (14918).</w:t>
      </w:r>
    </w:p>
    <w:p w14:paraId="5FB5B3E4" w14:textId="77777777" w:rsidR="00C074FF" w:rsidRPr="00070ADE" w:rsidRDefault="00C074FF" w:rsidP="00B56F90">
      <w:pPr>
        <w:spacing w:after="0" w:line="240" w:lineRule="auto"/>
        <w:jc w:val="both"/>
        <w:rPr>
          <w:rFonts w:ascii="Times New Roman" w:hAnsi="Times New Roman"/>
          <w:color w:val="000000" w:themeColor="text1"/>
          <w:sz w:val="16"/>
          <w:szCs w:val="16"/>
        </w:rPr>
      </w:pPr>
    </w:p>
    <w:p w14:paraId="58C30B4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1944 советские войска начали Выборгско-Петрозаводскую наступательную операцию против финских войск (4962).</w:t>
      </w:r>
    </w:p>
    <w:p w14:paraId="4D95117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CAE3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10 по 20 июня 1944 состоялась Выборгская операция против финнов (2438,157).</w:t>
      </w:r>
    </w:p>
    <w:p w14:paraId="048D7C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FE6D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C 10 июня по 9 августа 1944 состоялась Выборгско-Петрозаводская операция против финнов (2438,159).</w:t>
      </w:r>
    </w:p>
    <w:p w14:paraId="35BCE7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0FC5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1944 Ленинградский фронт начал наступление в направлении Линии Маннергейма (271,220).</w:t>
      </w:r>
    </w:p>
    <w:p w14:paraId="1707D7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D0BD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1944 началась атака финских укреплений на Карельском перешейке и 20 июня освободили Выборг (2079,180).</w:t>
      </w:r>
    </w:p>
    <w:p w14:paraId="3CFCD3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5268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1944, в период артиллерийской подготовки атаки наземных войск за 30 минут до начала атаки 13-я ВА совместно с авиацией Балтфлота вновь нанесла мощный массированный удар силами трех бомбардировочных авиадивизий (202 Ил-4, Ту-2 и Пе-2) по сооружениям трех ОП (цели №№ 12, 14 и 21), а вслед за ними силами двух штурмовых авиадивизий (138 Ил-2) по двум ОП в полосе главного удара (цель № 12 атаковали 76 "Илов", а цель № 14-62 "ильюшина").</w:t>
      </w:r>
    </w:p>
    <w:p w14:paraId="56705A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данным фоторазведки и донесениям сухопутных войск в результате этих ударов до 70% полевых укреплений противника (траншея, деревоземляные ДОТ - 3-4 наката, плотность 6,3 ДЗОТ на 1 км фронта, всего 30 ДЗОТ) были полностью разрушены. В то же время практически вся огневая система обороны противника была полностью дезорганизована и подавлена штурмовиками,</w:t>
      </w:r>
    </w:p>
    <w:p w14:paraId="2F48FA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Эффективность бомбоштурмовых ударов и максимальное приближение их по времени к моменту перехода войск в атаку в значительной степени содействовали прорыву обороны противника.</w:t>
      </w:r>
    </w:p>
    <w:p w14:paraId="1DC4E5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Как показал опыт дальнейших боев (например, 1-я и 2-я Восточно-Прусские, Кенигсбергская и Берлинская операции), чтобы добиться такой же эффективности при прорыве УР с оборонительными сооружениями большей прочности (примерно в 2 раза), необходимо было увеличить плотность бомбовых ударов до 200 тонн/км фронта...</w:t>
      </w:r>
    </w:p>
    <w:p w14:paraId="25AC3E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окончании артиллерийской и авиационной подготовки прорыва УР "Илы" часто обеспечивали постановку дымовой завесы перед фронтом наступления наземных войск. Сложность и опасность этой задачи заключалась в том, что дым-завеса должна быть поставлена своевременно и точно в назначенном месте, чтобы ослепить противника на время, необходимое пехоте для захвата траншей Главной полосы. При постановке же последней штурмовикам нельзя было маневрировать. Ил-2 должны были лететь без маневра по прямой и на предельно малой высоте. В противном случае завеса получалась рваной, не сплошной, а значит - большие потери в наступающих частях.</w:t>
      </w:r>
    </w:p>
    <w:p w14:paraId="5BE932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выполнения таких заданий, ввиду их исключительной сложности и опасности, группы штурмовиков формировались, как правило, на добровольных началах и только из летчиков, имеющих большой боевой опыт...(8687).</w:t>
      </w:r>
    </w:p>
    <w:p w14:paraId="1C3A42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1AF1DC"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10 июня</w:t>
      </w:r>
      <w:r w:rsidRPr="00070ADE">
        <w:rPr>
          <w:rFonts w:ascii="Times New Roman" w:hAnsi="Times New Roman"/>
          <w:color w:val="000000" w:themeColor="text1"/>
          <w:sz w:val="16"/>
          <w:szCs w:val="16"/>
        </w:rPr>
        <w:t xml:space="preserve"> в 1944 году началась очередная операция авиации и подводных лодок Северного флота на морских. коммуникациях противника. Началась Выборгско-Петрозаводская стратегическая наступательная операция войск правого крыла Ленинградского и левого крыла Карельского фронтов во взаимодействии с Балтийским флотом, Ладожской и Онежской флотилиями, продолжавшаяся до 9 августа. Войска 21-й Армии при поддержке Балтийского флота перешли в наступление на главном направлении (на Выборг), прорвали первую полосу обороны и форсировали реку Сестру (14918).</w:t>
      </w:r>
    </w:p>
    <w:p w14:paraId="5EBD3074" w14:textId="77777777" w:rsidR="004421A7" w:rsidRPr="00070ADE" w:rsidRDefault="004421A7" w:rsidP="00B56F90">
      <w:pPr>
        <w:spacing w:after="0" w:line="240" w:lineRule="auto"/>
        <w:jc w:val="both"/>
        <w:rPr>
          <w:rFonts w:ascii="Times New Roman" w:hAnsi="Times New Roman"/>
          <w:color w:val="000000" w:themeColor="text1"/>
          <w:sz w:val="16"/>
          <w:szCs w:val="16"/>
        </w:rPr>
      </w:pPr>
    </w:p>
    <w:p w14:paraId="1AF8C0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1944 вышло Постановление ГКО № 6034 О возвращении из Самарканда в Москву Артиллерийской академии им. Дзержинского. РГАНИР, Фонд ГКО, д. 263, лл. 103 (11012).</w:t>
      </w:r>
    </w:p>
    <w:p w14:paraId="53FB618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DDA486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A1833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748D9A" w14:textId="77777777" w:rsidR="00F4385E" w:rsidRPr="00070ADE" w:rsidRDefault="00F4385E"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10 июня</w:t>
      </w:r>
      <w:r w:rsidRPr="00070ADE">
        <w:rPr>
          <w:rFonts w:ascii="Times New Roman" w:hAnsi="Times New Roman"/>
          <w:color w:val="000000" w:themeColor="text1"/>
          <w:sz w:val="16"/>
          <w:szCs w:val="16"/>
        </w:rPr>
        <w:t xml:space="preserve"> в 1944 году впервые поднят в воздух под управлением Тони Левьера прототип истребителя-бомбардировщика </w:t>
      </w:r>
      <w:hyperlink r:id="rId174" w:tgtFrame="_blank" w:history="1">
        <w:r w:rsidRPr="00070ADE">
          <w:rPr>
            <w:rFonts w:ascii="Times New Roman" w:hAnsi="Times New Roman"/>
            <w:color w:val="000000" w:themeColor="text1"/>
            <w:sz w:val="16"/>
            <w:szCs w:val="16"/>
          </w:rPr>
          <w:t xml:space="preserve">«ХР-80А» </w:t>
        </w:r>
      </w:hyperlink>
      <w:r w:rsidRPr="00070ADE">
        <w:rPr>
          <w:rFonts w:ascii="Times New Roman" w:hAnsi="Times New Roman"/>
          <w:color w:val="000000" w:themeColor="text1"/>
          <w:sz w:val="16"/>
          <w:szCs w:val="16"/>
        </w:rPr>
        <w:t>№ 44-83021 с двигателем «I-40» фирмы «Дженерал электрик». После 35 минут полета самолет сел с одним выпущенным закрылком! Левьер также отметил продольную неустойчивость самолета. Система кондиционирования гнала в кабину воздух, нагретый до 120 гр., как в сауне! Двигатель был все еще не доведен - максимальный режим разрешался только на разбеге. Серьезной проблемой оказалась тряска элеронов, начинавшаяся на скорости М=0,8 - сказывался эффект сжимаемости воздуха. Дальнейшее увеличение скорости грозило разрушением элеронов (14918).</w:t>
      </w:r>
    </w:p>
    <w:p w14:paraId="3B69201E" w14:textId="77777777" w:rsidR="00F4385E" w:rsidRPr="00070ADE" w:rsidRDefault="00F4385E" w:rsidP="00B56F90">
      <w:pPr>
        <w:spacing w:after="0" w:line="240" w:lineRule="auto"/>
        <w:jc w:val="both"/>
        <w:rPr>
          <w:rFonts w:ascii="Times New Roman" w:hAnsi="Times New Roman"/>
          <w:color w:val="000000" w:themeColor="text1"/>
          <w:sz w:val="16"/>
          <w:szCs w:val="16"/>
        </w:rPr>
      </w:pPr>
    </w:p>
    <w:p w14:paraId="50EB1727" w14:textId="77777777" w:rsidR="001F1AD3" w:rsidRPr="00070ADE" w:rsidRDefault="001F1AD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1944 года к первому самолету XР-80 присоединяется второй опытный образец. Испытания шли довольно успешно, и фирма Lockheed готовилась к серийному производству. Единственным серьезным препятствием являлся двигатель. Allis Chalmers затягивала сроки поставки партии двигателей — и вся программа оказалась под угрозой срыва. Lockheed принимает решение ставить на серийные самолеты двигатели I-40 фирмы General Electric. Впоследствии их производство передадут на фирму Allison и они будут известны под обозначением J-33.</w:t>
      </w:r>
    </w:p>
    <w:p w14:paraId="65E40E0E" w14:textId="77777777" w:rsidR="001F1AD3" w:rsidRPr="00070ADE" w:rsidRDefault="001F1AD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пока один из опытных образцов начали переделывать под новую силовую установку. Длину фюзеляжа увеличили на 51 см, изменили форму воздухозаборников и перед входом в него поставили отсекатель пограничного слоя. Размах крыла увеличили на 60 см. По требованию военных в состав вооружения добавили еще один пулемет. До этого на XР-80 стояло пять пулеметов М2 калибром 12,7 мм. Для увеличения дальности полета на концах крыла предусмотрели подвеску дополнительных топливных баков. Новый двигатель обладал более высокими характеристиками. Его максимальная тяга составляла 1750 кг, что на 580 кг больше, чем у Н.1В. Первый полет модернизированного самолета состоялся 16 февраля 1944 года. Взлетный вес машины возрос на 25% и составил 5000 кг. По образцу модернизированного опытного самолета построили заказанные тринадцать предсерийных самолетов YP-80A. Первый из них поднялся в воздух 13 сентября 1944 года. Испытания проходили успешно, а на фронте пилоты все чаще стали встречаться с немецкими реактивными самолетами. ВВС начали торопить фирму с серийным производством необходимого для фронта самолета, получившего название Shooting Star (22848).</w:t>
      </w:r>
    </w:p>
    <w:p w14:paraId="78FC1596" w14:textId="77777777" w:rsidR="001F1AD3" w:rsidRPr="00070ADE" w:rsidRDefault="001F1AD3" w:rsidP="00B56F90">
      <w:pPr>
        <w:spacing w:after="0" w:line="240" w:lineRule="auto"/>
        <w:jc w:val="both"/>
        <w:rPr>
          <w:rFonts w:ascii="Times New Roman" w:hAnsi="Times New Roman"/>
          <w:color w:val="000000" w:themeColor="text1"/>
          <w:sz w:val="16"/>
          <w:szCs w:val="16"/>
        </w:rPr>
      </w:pPr>
    </w:p>
    <w:p w14:paraId="4B01EA33" w14:textId="77777777" w:rsidR="00F4385E" w:rsidRPr="00070ADE" w:rsidRDefault="00F4385E"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10 июня</w:t>
      </w:r>
      <w:r w:rsidRPr="00070ADE">
        <w:rPr>
          <w:rFonts w:ascii="Times New Roman" w:hAnsi="Times New Roman"/>
          <w:color w:val="000000" w:themeColor="text1"/>
          <w:sz w:val="16"/>
          <w:szCs w:val="16"/>
        </w:rPr>
        <w:t xml:space="preserve"> в 1944 году руководством «RLM» было принято решение, что транспортный самолет «Ar-432» будет серийно строиться с октября 1944 года. К сожалению, не известно, были ли два первых прототипа закончены. По крайней мере, несколько отдельных собранных агрегатов «Ar-432» были обнаружены в конце войны в Егере. Между тем, «Ar-432» был официально занесен в список экспонатов последней немецкой авиационной крупномасштабной выставки в Лярце, проходившей 12 -13 июня 1944-го. Но, скорее всего, там выставлялся «Ar-232В-020», которому возможно дали временное обозначение «Ar-232С-01» или «Ar-432V1» (14918).</w:t>
      </w:r>
    </w:p>
    <w:p w14:paraId="2382956C" w14:textId="77777777" w:rsidR="00F4385E" w:rsidRPr="00070ADE" w:rsidRDefault="00F4385E" w:rsidP="00B56F90">
      <w:pPr>
        <w:spacing w:after="0" w:line="240" w:lineRule="auto"/>
        <w:jc w:val="both"/>
        <w:rPr>
          <w:rFonts w:ascii="Times New Roman" w:hAnsi="Times New Roman"/>
          <w:color w:val="000000" w:themeColor="text1"/>
          <w:sz w:val="16"/>
          <w:szCs w:val="16"/>
        </w:rPr>
      </w:pPr>
    </w:p>
    <w:p w14:paraId="63AB237A" w14:textId="77777777" w:rsidR="00F4385E" w:rsidRPr="00070ADE" w:rsidRDefault="00F4385E" w:rsidP="00B56F90">
      <w:pPr>
        <w:spacing w:after="0" w:line="240" w:lineRule="auto"/>
        <w:jc w:val="both"/>
        <w:rPr>
          <w:rFonts w:ascii="Times New Roman" w:hAnsi="Times New Roman"/>
          <w:bCs/>
          <w:color w:val="000000" w:themeColor="text1"/>
          <w:sz w:val="16"/>
          <w:szCs w:val="16"/>
        </w:rPr>
      </w:pPr>
      <w:r w:rsidRPr="00070ADE">
        <w:rPr>
          <w:rFonts w:ascii="Times New Roman" w:hAnsi="Times New Roman"/>
          <w:bCs/>
          <w:color w:val="000000" w:themeColor="text1"/>
          <w:sz w:val="16"/>
          <w:szCs w:val="16"/>
        </w:rPr>
        <w:t>10 июня</w:t>
      </w:r>
      <w:r w:rsidRPr="00070ADE">
        <w:rPr>
          <w:rFonts w:ascii="Times New Roman" w:hAnsi="Times New Roman"/>
          <w:color w:val="000000" w:themeColor="text1"/>
          <w:sz w:val="16"/>
          <w:szCs w:val="16"/>
        </w:rPr>
        <w:t xml:space="preserve"> в 1944 году первый полет шведского опытного пикирующего бомбардировщика </w:t>
      </w:r>
      <w:hyperlink r:id="rId175" w:tgtFrame="_blank" w:history="1">
        <w:r w:rsidRPr="00070ADE">
          <w:rPr>
            <w:rFonts w:ascii="Times New Roman" w:hAnsi="Times New Roman"/>
            <w:color w:val="000000" w:themeColor="text1"/>
            <w:sz w:val="16"/>
            <w:szCs w:val="16"/>
          </w:rPr>
          <w:t>«SAAB» «18В».</w:t>
        </w:r>
      </w:hyperlink>
    </w:p>
    <w:p w14:paraId="377CF7F5" w14:textId="77777777" w:rsidR="00F4385E" w:rsidRPr="00070ADE" w:rsidRDefault="00F4385E" w:rsidP="00B56F90">
      <w:pPr>
        <w:spacing w:after="0" w:line="240" w:lineRule="auto"/>
        <w:jc w:val="both"/>
        <w:rPr>
          <w:rFonts w:ascii="Times New Roman" w:hAnsi="Times New Roman"/>
          <w:bCs/>
          <w:color w:val="000000" w:themeColor="text1"/>
          <w:sz w:val="16"/>
          <w:szCs w:val="16"/>
        </w:rPr>
      </w:pPr>
    </w:p>
    <w:p w14:paraId="1ED20FF0" w14:textId="3AB6807A" w:rsidR="001F1AD3" w:rsidRPr="00070ADE" w:rsidRDefault="001F1AD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Первый полёт реактивного F-80A Shooting Star с двигателем I-40 фирмы "Дженерал электрик". После 35 минут полёта самолёт сел с одним выпущенным закрылком! Лётчик также отметил продольную неустойчивость машины. Система кондиционирования гнала в кабину воздух, нагретый до 120 гр., как в сауне! Двигатель был ещё не доведен - максимальный режим разрешался только на разбеге. Серьезной проблемой оказалась тряска элеронов, начинавшаяся на скорости М=0,8 - сказывался эффект сжимаемости воздуха. Дальнейшее увеличение скорости грозило разрушением элеронов (22465).</w:t>
      </w:r>
    </w:p>
    <w:p w14:paraId="7BBA357D" w14:textId="77777777" w:rsidR="001F1AD3" w:rsidRPr="00070ADE" w:rsidRDefault="001F1AD3" w:rsidP="00B56F90">
      <w:pPr>
        <w:spacing w:after="0" w:line="240" w:lineRule="auto"/>
        <w:jc w:val="both"/>
        <w:rPr>
          <w:rFonts w:ascii="Times New Roman" w:hAnsi="Times New Roman"/>
          <w:color w:val="000000" w:themeColor="text1"/>
          <w:sz w:val="16"/>
          <w:szCs w:val="16"/>
        </w:rPr>
      </w:pPr>
    </w:p>
    <w:p w14:paraId="31A2EB4E" w14:textId="77777777" w:rsidR="001F1AD3" w:rsidRPr="00070ADE" w:rsidRDefault="001F1AD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1944 46 истребителей P-38 Lightning 82-й истребительной группы ВВС США, вылетевшие из Италии, неся по одной 454-килограммовой бомбе каждый, нанесли очень дальний удар для истребителей-бомбардировщиков по румыно-американскому нефтеперерабатывающкму заводу в Плоешти, Румыния . Они уничтожили 23 немецких самолета в обмен на потерю 22 P-38 (20373).</w:t>
      </w:r>
    </w:p>
    <w:p w14:paraId="5229E295" w14:textId="77777777" w:rsidR="001F1AD3" w:rsidRPr="00070ADE" w:rsidRDefault="001F1AD3" w:rsidP="00B56F90">
      <w:pPr>
        <w:spacing w:after="0" w:line="240" w:lineRule="auto"/>
        <w:jc w:val="both"/>
        <w:rPr>
          <w:rFonts w:ascii="Times New Roman" w:hAnsi="Times New Roman"/>
          <w:color w:val="000000" w:themeColor="text1"/>
          <w:sz w:val="16"/>
          <w:szCs w:val="16"/>
        </w:rPr>
      </w:pPr>
    </w:p>
    <w:p w14:paraId="2BE64067" w14:textId="77777777" w:rsidR="001F1AD3" w:rsidRPr="00070ADE" w:rsidRDefault="001F1AD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1944 вторая тактическая атака Королевских ВВС с использованием от 40 до 42 тайфунов Hawker и 61 североамериканских Mitchells на штаб западной танковой группы немецкой армии в Ла-Каине, Нормандия , ранила командира, генерала танковой группы Лео Гейра фон Швеппенбурга, и убивает своего начальника штаба генерал - майора Сигизмунда-Гельмута фон Даванса и 17 других штабных офицеров. Тридцать три Spitfire сопровождают атакующие самолеты (20373).</w:t>
      </w:r>
    </w:p>
    <w:p w14:paraId="3B4173D4" w14:textId="77777777" w:rsidR="001F1AD3" w:rsidRPr="00070ADE" w:rsidRDefault="001F1AD3" w:rsidP="00B56F90">
      <w:pPr>
        <w:spacing w:after="0" w:line="240" w:lineRule="auto"/>
        <w:jc w:val="both"/>
        <w:rPr>
          <w:rFonts w:ascii="Times New Roman" w:hAnsi="Times New Roman"/>
          <w:color w:val="000000" w:themeColor="text1"/>
          <w:sz w:val="16"/>
          <w:szCs w:val="16"/>
        </w:rPr>
      </w:pPr>
    </w:p>
    <w:p w14:paraId="59055FA2" w14:textId="77777777" w:rsidR="001F1AD3" w:rsidRPr="00070ADE" w:rsidRDefault="001F1AD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10–11 июня 1944 432 британских бомбардировщика атакуют французские железнодорожные объекты в Ашере, Дре, Орлеане и Версале, Франция, потеряв 18 самолетов (20373).</w:t>
      </w:r>
    </w:p>
    <w:p w14:paraId="3E32BEF7" w14:textId="77777777" w:rsidR="001F1AD3" w:rsidRPr="00070ADE" w:rsidRDefault="001F1AD3" w:rsidP="00B56F90">
      <w:pPr>
        <w:spacing w:after="0" w:line="240" w:lineRule="auto"/>
        <w:jc w:val="both"/>
        <w:rPr>
          <w:rFonts w:ascii="Times New Roman" w:hAnsi="Times New Roman"/>
          <w:color w:val="000000" w:themeColor="text1"/>
          <w:sz w:val="16"/>
          <w:szCs w:val="16"/>
        </w:rPr>
      </w:pPr>
    </w:p>
    <w:p w14:paraId="5041366A" w14:textId="77777777" w:rsidR="006B3C37" w:rsidRPr="00070ADE" w:rsidRDefault="006B3C37" w:rsidP="00B56F90">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070ADE">
        <w:rPr>
          <w:rFonts w:ascii="Times New Roman" w:hAnsi="Times New Roman" w:cs="Times New Roman"/>
          <w:color w:val="000000" w:themeColor="text1"/>
          <w:spacing w:val="0"/>
          <w:sz w:val="16"/>
          <w:szCs w:val="16"/>
        </w:rPr>
        <w:t>Утром 10 июня 1944 г. с аэродрома Винченцо (Северная Италия) на Плоешти вылетели 46 истребителей Р-38. Каж</w:t>
      </w:r>
      <w:r w:rsidRPr="00070ADE">
        <w:rPr>
          <w:rFonts w:ascii="Times New Roman" w:hAnsi="Times New Roman" w:cs="Times New Roman"/>
          <w:color w:val="000000" w:themeColor="text1"/>
          <w:spacing w:val="0"/>
          <w:sz w:val="16"/>
          <w:szCs w:val="16"/>
        </w:rPr>
        <w:softHyphen/>
        <w:t>дый из них нес по одной 1000-фунтовой (454-кг) бомбе и дополнительный топливный бак. Их сопровождали 48 «Лайт- нингов» в истребительном варианте. В перелете через Адри</w:t>
      </w:r>
      <w:r w:rsidRPr="00070ADE">
        <w:rPr>
          <w:rFonts w:ascii="Times New Roman" w:hAnsi="Times New Roman" w:cs="Times New Roman"/>
          <w:color w:val="000000" w:themeColor="text1"/>
          <w:spacing w:val="0"/>
          <w:sz w:val="16"/>
          <w:szCs w:val="16"/>
        </w:rPr>
        <w:softHyphen/>
        <w:t>атическое море 12 самолетов из-за технических неполадок повернули обратно. «Лайтнинги» летели на высоте всего 50 метров, но, тем не менее, на подходе к Бухаресту были об</w:t>
      </w:r>
      <w:r w:rsidRPr="00070ADE">
        <w:rPr>
          <w:rFonts w:ascii="Times New Roman" w:hAnsi="Times New Roman" w:cs="Times New Roman"/>
          <w:color w:val="000000" w:themeColor="text1"/>
          <w:spacing w:val="0"/>
          <w:sz w:val="16"/>
          <w:szCs w:val="16"/>
        </w:rPr>
        <w:softHyphen/>
        <w:t>наружены германскими РЛС. В ходе упорного боя с герман</w:t>
      </w:r>
      <w:r w:rsidRPr="00070ADE">
        <w:rPr>
          <w:rFonts w:ascii="Times New Roman" w:hAnsi="Times New Roman" w:cs="Times New Roman"/>
          <w:color w:val="000000" w:themeColor="text1"/>
          <w:spacing w:val="0"/>
          <w:sz w:val="16"/>
          <w:szCs w:val="16"/>
        </w:rPr>
        <w:softHyphen/>
        <w:t>скими и румынскими истребителями американцы потеряли 24 Р-38. В свою очередь им удалось сбить 5 румынских и один германский истребитель. Кроме того, американцы «по пути» сбили Ме-410 и бомбардировщик Хе-111 (19080).</w:t>
      </w:r>
    </w:p>
    <w:p w14:paraId="70D15420" w14:textId="77777777" w:rsidR="006B3C37" w:rsidRPr="00070ADE" w:rsidRDefault="006B3C37" w:rsidP="00B56F90">
      <w:pPr>
        <w:pStyle w:val="101"/>
        <w:shd w:val="clear" w:color="auto" w:fill="auto"/>
        <w:spacing w:after="0" w:line="240" w:lineRule="auto"/>
        <w:jc w:val="both"/>
        <w:rPr>
          <w:rFonts w:ascii="Times New Roman" w:hAnsi="Times New Roman" w:cs="Times New Roman"/>
          <w:color w:val="000000" w:themeColor="text1"/>
          <w:spacing w:val="0"/>
          <w:sz w:val="16"/>
          <w:szCs w:val="16"/>
        </w:rPr>
      </w:pPr>
    </w:p>
    <w:p w14:paraId="299544BD" w14:textId="77777777" w:rsidR="00F4385E" w:rsidRPr="00070ADE" w:rsidRDefault="00F4385E"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10 июня</w:t>
      </w:r>
      <w:r w:rsidRPr="00070ADE">
        <w:rPr>
          <w:rFonts w:ascii="Times New Roman" w:hAnsi="Times New Roman"/>
          <w:color w:val="000000" w:themeColor="text1"/>
          <w:sz w:val="16"/>
          <w:szCs w:val="16"/>
        </w:rPr>
        <w:t xml:space="preserve"> в 1944 году четверка "Москито" «FB.XVIII» вооруженных 57-мм пушками удачно атаковала вражескую подлодку «U-821», в результате чего ее покинул экипаж. Лодку добил "Либерейтор" из 206-й эскадрильи, однако именно два попадания 57-мм снарядов с «FB.XVIII» (заводской номер NT225) воспрепятствовали ее срочному погружению. Продолжались исследования, направленные на повышение эффективности боевого применения "Мосси" по морским целям. На одном из «FB.VI», принадлежавшем 248-й эскадрилье, проверялась возможность подвески, транспортировки и сбрасывания авиационных мин «А.VIII» и глубинных бомб «Mk.XI». Впервые 25-фунтовые (11,2-килограммовые) глубинные бомбы в боевых условиях "Москито" применили 22 июня 1944 года по объекту, принятому за перископ вражеской подлодки (14918).</w:t>
      </w:r>
    </w:p>
    <w:p w14:paraId="5E7ADCE7" w14:textId="77777777" w:rsidR="00F4385E" w:rsidRPr="00070ADE" w:rsidRDefault="00F4385E" w:rsidP="00B56F90">
      <w:pPr>
        <w:spacing w:after="0" w:line="240" w:lineRule="auto"/>
        <w:jc w:val="both"/>
        <w:rPr>
          <w:rFonts w:ascii="Times New Roman" w:hAnsi="Times New Roman"/>
          <w:color w:val="000000" w:themeColor="text1"/>
          <w:sz w:val="16"/>
          <w:szCs w:val="16"/>
        </w:rPr>
      </w:pPr>
    </w:p>
    <w:p w14:paraId="2A79666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1944 фашистами уничтожен французский городок Орадур (4962).</w:t>
      </w:r>
    </w:p>
    <w:p w14:paraId="0E5976A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2894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10 1944 Nazis liquidate the town of Oradour-sur-Glane in France (1050).</w:t>
      </w:r>
    </w:p>
    <w:p w14:paraId="44D0B5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5CF40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1944 нацисты уничтожили французский город Oradour-sur-Glane (1050).</w:t>
      </w:r>
    </w:p>
    <w:p w14:paraId="4AD6ED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5BAB99" w14:textId="77777777" w:rsidR="00F4385E" w:rsidRPr="00070ADE" w:rsidRDefault="00F4385E"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10 июня</w:t>
      </w:r>
      <w:r w:rsidRPr="00070ADE">
        <w:rPr>
          <w:rFonts w:ascii="Times New Roman" w:hAnsi="Times New Roman"/>
          <w:color w:val="000000" w:themeColor="text1"/>
          <w:sz w:val="16"/>
          <w:szCs w:val="16"/>
        </w:rPr>
        <w:t xml:space="preserve"> в 1944 году гитлеровские оккупанты уничтожили поселок Орадур-сюр-Глан (департамент Верхняя Вольта, Франция). 642 человека из 648 жителей, в том числе 207 детей, были расстреляны. 16 июля 1999 г. на месте трагедии был открыт мемориал жертвам фашизма (14918).</w:t>
      </w:r>
    </w:p>
    <w:p w14:paraId="01D2DEA2" w14:textId="77777777" w:rsidR="00F4385E" w:rsidRPr="00070ADE" w:rsidRDefault="00F4385E" w:rsidP="00B56F90">
      <w:pPr>
        <w:spacing w:after="0" w:line="240" w:lineRule="auto"/>
        <w:jc w:val="both"/>
        <w:rPr>
          <w:rFonts w:ascii="Times New Roman" w:hAnsi="Times New Roman"/>
          <w:color w:val="000000" w:themeColor="text1"/>
          <w:sz w:val="16"/>
          <w:szCs w:val="16"/>
        </w:rPr>
      </w:pPr>
    </w:p>
    <w:p w14:paraId="11B39C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lastRenderedPageBreak/>
        <w:t>June 10th, 1944: In the West, German counterattacks against Allied invasion forces are unsuccessful for lack of armored reserves in the area (3819).</w:t>
      </w:r>
    </w:p>
    <w:p w14:paraId="32822F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7539D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1944 германские контратаки против высадившихся союзников окончились неудачей из-за недостатка танков (3819).</w:t>
      </w:r>
    </w:p>
    <w:p w14:paraId="6DD2DA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2065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10 по 8 июля 1944 состоялась битва при Кане в Нормандии. Англичане сконцентрировали 6 пехотных и 7 танковых дивизий (670 танков) и шесть бронетанковых бригад (1350 танков) (2438,273).</w:t>
      </w:r>
    </w:p>
    <w:p w14:paraId="6ED567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DF4E6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0D019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70A5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июня 1944 актом НИИ ВВС N 066 самолет Ил-10 АМ-42 был рекомендован в серию (2217).</w:t>
      </w:r>
    </w:p>
    <w:p w14:paraId="6E8D5F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8C32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июня 1944 Нач. НИИ ВВС г-л ИАС Лосюков и Зам. нач. штаба НИИ ВВС и-пп Понуров направили А.И.Ш. с письмом N 066 (вход. 7742-52 от 11 июня 1944) "Акт по результатам гос. испытаний опытного двухместного бронированного штурмовика Ил-10 с мотором АМ-42 и винтом АВ-5Л-24 конструкции С.В.И. (производство завода 18, сборка завода 240) (1866).</w:t>
      </w:r>
    </w:p>
    <w:p w14:paraId="5D85DB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D64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июня 1944 на Ла-5 АШ-82ФН + 2ТК-3 был выполнен полет на определение потолка на 1-й скорости нагнетателя с ТК. Достигли 11000 м и летали 0:35. Прекратили из-за течи масла (1825).</w:t>
      </w:r>
    </w:p>
    <w:p w14:paraId="7B1231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0BFE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июня 1944 на ЛА-5 С АШ-82ФН и 2ТК-3 был произведен-полет на спределение потолка на первой скорости нагнетателя с включенными ТК. Достигнута высота 11000 мт по прибору, продолжительность полета - 35 мин. Полет прекращен из-за течи масла в соединениях мотора и высокой температуры масла на входе (90 гр.). На высоте 9000 мт наблюдалась тряска мотора из-за плохой работы свечей ВГ-25. С высоты 7000 мт включалась система нейтрального газа, что поддерживало давление бензина нормальным (1825).</w:t>
      </w:r>
    </w:p>
    <w:p w14:paraId="5B2B72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E51989"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июня 1944 г. в полёте на определение потолка на первой скорости нагнетателя с включенными турбокомпрессорами на Ла-5Ф достигли высоты 11000 м. На высоте 3000 м включилась система впрыска воды, и температура го</w:t>
      </w:r>
      <w:r w:rsidRPr="00070ADE">
        <w:rPr>
          <w:rFonts w:ascii="Times New Roman" w:hAnsi="Times New Roman"/>
          <w:color w:val="000000" w:themeColor="text1"/>
          <w:sz w:val="16"/>
          <w:szCs w:val="16"/>
        </w:rPr>
        <w:softHyphen/>
        <w:t>ловок цилиндров на протяжении полёта сохранялась нормальной, на высоте 7000 м сработала система нейтрального газа, обеспечившая поддержание нормального давления бензина. Однако течь масла в соединениях мотора и высокая температура масла на вы</w:t>
      </w:r>
      <w:r w:rsidRPr="00070ADE">
        <w:rPr>
          <w:rFonts w:ascii="Times New Roman" w:hAnsi="Times New Roman"/>
          <w:color w:val="000000" w:themeColor="text1"/>
          <w:sz w:val="16"/>
          <w:szCs w:val="16"/>
        </w:rPr>
        <w:softHyphen/>
        <w:t>ходе — 90°С, привели к прекращению полёта. Для снижения температуры масла на са</w:t>
      </w:r>
      <w:r w:rsidRPr="00070ADE">
        <w:rPr>
          <w:rFonts w:ascii="Times New Roman" w:hAnsi="Times New Roman"/>
          <w:color w:val="000000" w:themeColor="text1"/>
          <w:sz w:val="16"/>
          <w:szCs w:val="16"/>
        </w:rPr>
        <w:softHyphen/>
        <w:t>молёте установили радиатор с трубкой диаметром 4 мм, вместо прежнего радиатора с трубкой 5 мм, а также приспособление для защиты радиатора от попадания масла из за- моторного пространства. 13 июня 1944 г. произвели два полёта: первый до высоты 9500 м, второй — до 4500 м, и оба пришлось прекратить из-за выброса масла из мотора. Как по</w:t>
      </w:r>
      <w:r w:rsidRPr="00070ADE">
        <w:rPr>
          <w:rFonts w:ascii="Times New Roman" w:hAnsi="Times New Roman"/>
          <w:color w:val="000000" w:themeColor="text1"/>
          <w:sz w:val="16"/>
          <w:szCs w:val="16"/>
        </w:rPr>
        <w:softHyphen/>
        <w:t>казали произведенные при участии представителя завода N9 19 испытания и осмотр, течь происходила из кольцевого уплотнения нагнетателя. Сделали однозначный вывод, что для проведения высотных полётов требуются моторы специальной сборки.</w:t>
      </w:r>
    </w:p>
    <w:p w14:paraId="6C116705"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как такие моторы завод № 19 мог изготовить лишь к 1 июля, ему дали указание отгрузить заводу № 21 два мотора обычной сборки, но с улучшенным дефлектирова- нием. К 25 июня, после установки на месте пушки дополнительного маслобака, само</w:t>
      </w:r>
      <w:r w:rsidRPr="00070ADE">
        <w:rPr>
          <w:rFonts w:ascii="Times New Roman" w:hAnsi="Times New Roman"/>
          <w:color w:val="000000" w:themeColor="text1"/>
          <w:sz w:val="16"/>
          <w:szCs w:val="16"/>
        </w:rPr>
        <w:softHyphen/>
        <w:t>лёт снова подготовили к продолжению испытаний. Во время состоявшихся 3-4 июля полётов до высоты 7800 м температура масла на входе поднялась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 помпу — агрегат № 180, и произвели отсос масла из суфлёрного бачка. Однако в кон</w:t>
      </w:r>
      <w:r w:rsidRPr="00070ADE">
        <w:rPr>
          <w:rFonts w:ascii="Times New Roman" w:hAnsi="Times New Roman"/>
          <w:color w:val="000000" w:themeColor="text1"/>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72AA2B3E"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070ADE">
        <w:rPr>
          <w:rFonts w:ascii="Times New Roman" w:hAnsi="Times New Roman"/>
          <w:color w:val="000000" w:themeColor="text1"/>
          <w:sz w:val="16"/>
          <w:szCs w:val="16"/>
        </w:rPr>
        <w:softHyphen/>
        <w:t>поладок регулятора смеси. На следующий день для скорейшей отработки винтомотор</w:t>
      </w:r>
      <w:r w:rsidRPr="00070ADE">
        <w:rPr>
          <w:rFonts w:ascii="Times New Roman" w:hAnsi="Times New Roman"/>
          <w:color w:val="000000" w:themeColor="text1"/>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070ADE">
        <w:rPr>
          <w:rFonts w:ascii="Times New Roman" w:hAnsi="Times New Roman"/>
          <w:color w:val="000000" w:themeColor="text1"/>
          <w:sz w:val="16"/>
          <w:szCs w:val="16"/>
        </w:rPr>
        <w:softHyphen/>
        <w:t>них режимах его трясло. В ЛИИ лётные испытания продолжили. 21 сентября в конт</w:t>
      </w:r>
      <w:r w:rsidRPr="00070ADE">
        <w:rPr>
          <w:rFonts w:ascii="Times New Roman" w:hAnsi="Times New Roman"/>
          <w:color w:val="000000" w:themeColor="text1"/>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070ADE">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070ADE">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0549D041"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070ADE">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070ADE">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070ADE">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070ADE">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070ADE">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070ADE">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070ADE">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070ADE">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070ADE">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070ADE">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070ADE">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070ADE">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7BC70249"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070ADE">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070ADE">
        <w:rPr>
          <w:rFonts w:ascii="Times New Roman" w:hAnsi="Times New Roman"/>
          <w:color w:val="000000" w:themeColor="text1"/>
          <w:sz w:val="16"/>
          <w:szCs w:val="16"/>
        </w:rPr>
        <w:softHyphen/>
        <w:t>жар, и на высоте 9000 м покинул самолёт (15830).</w:t>
      </w:r>
    </w:p>
    <w:p w14:paraId="1CAF9EF6" w14:textId="77777777" w:rsidR="004421A7" w:rsidRPr="00070ADE" w:rsidRDefault="004421A7" w:rsidP="00B56F90">
      <w:pPr>
        <w:spacing w:after="0" w:line="240" w:lineRule="auto"/>
        <w:jc w:val="both"/>
        <w:rPr>
          <w:rFonts w:ascii="Times New Roman" w:hAnsi="Times New Roman"/>
          <w:color w:val="000000" w:themeColor="text1"/>
          <w:sz w:val="16"/>
          <w:szCs w:val="16"/>
        </w:rPr>
      </w:pPr>
    </w:p>
    <w:p w14:paraId="1872015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8A9FC0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36BD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июня 1944 г. вышел ПРИКАЗ КОМАНДУЮЩЕГО БТ и МВ КА ОБ ОТПРАВКЕ В ГБТУ КА МАКЕТОВ ОТЕЧЕСТВЕННОЙ БРОНЕТЕХНИКИ №0112</w:t>
      </w:r>
    </w:p>
    <w:p w14:paraId="3B03AA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сосредоточения моделей отечественных танков в ГБТУ КА ПРИКАЗЫВАЮ: Начальнику Военной ордена Ленина академии бронетанковых и механизированных войск Красной Армии им. Сталина, начальникам танковых и танкотехнических училищ БТ и МВ КА, ко</w:t>
      </w:r>
      <w:r w:rsidRPr="00070ADE">
        <w:rPr>
          <w:rFonts w:ascii="Times New Roman" w:hAnsi="Times New Roman"/>
          <w:color w:val="000000" w:themeColor="text1"/>
          <w:sz w:val="16"/>
          <w:szCs w:val="16"/>
        </w:rPr>
        <w:softHyphen/>
        <w:t>мандирам учебных танковых полков к 1 июля 1944 года выслать с нарочным в Главное бронетанко</w:t>
      </w:r>
      <w:r w:rsidRPr="00070ADE">
        <w:rPr>
          <w:rFonts w:ascii="Times New Roman" w:hAnsi="Times New Roman"/>
          <w:color w:val="000000" w:themeColor="text1"/>
          <w:sz w:val="16"/>
          <w:szCs w:val="16"/>
        </w:rPr>
        <w:softHyphen/>
        <w:t>вое управление Красной Армии по одному экземпляру имеющихся в академии, училищах и учеб</w:t>
      </w:r>
      <w:r w:rsidRPr="00070ADE">
        <w:rPr>
          <w:rFonts w:ascii="Times New Roman" w:hAnsi="Times New Roman"/>
          <w:color w:val="000000" w:themeColor="text1"/>
          <w:sz w:val="16"/>
          <w:szCs w:val="16"/>
        </w:rPr>
        <w:softHyphen/>
        <w:t>ных танковых полках моделей (деревянных и металлических) отечественных танков, самоходных артиллерийских установок всех типов, исполненных в масштабе не более 1:10 натуры. Исполнение доложить по телеграфу.</w:t>
      </w:r>
    </w:p>
    <w:p w14:paraId="16A584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командующего БТ и МВ КА генерал-полковник танковых войск Коробков</w:t>
      </w:r>
    </w:p>
    <w:p w14:paraId="66E0B1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 военного совета БТ и МВ КА генерал-полковник танковых войск Бирюков</w:t>
      </w:r>
    </w:p>
    <w:p w14:paraId="5514B8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штаба БТ и МВ КА генерал-майор танковых войск Марков</w:t>
      </w:r>
    </w:p>
    <w:p w14:paraId="1708A6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11369. Д. 257. Л. 74. Копия (11420).</w:t>
      </w:r>
    </w:p>
    <w:p w14:paraId="41E2ED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9CFEEB4" w14:textId="77777777" w:rsidR="006B3776" w:rsidRPr="00070ADE" w:rsidRDefault="006B3776" w:rsidP="00B56F90">
      <w:pPr>
        <w:spacing w:after="0" w:line="240" w:lineRule="auto"/>
        <w:jc w:val="both"/>
        <w:rPr>
          <w:rFonts w:ascii="Times New Roman" w:hAnsi="Times New Roman"/>
          <w:color w:val="000000" w:themeColor="text1"/>
          <w:sz w:val="16"/>
          <w:szCs w:val="16"/>
          <w:shd w:val="clear" w:color="auto" w:fill="FFFFFF"/>
        </w:rPr>
      </w:pPr>
      <w:r w:rsidRPr="00070ADE">
        <w:rPr>
          <w:rFonts w:ascii="Times New Roman" w:hAnsi="Times New Roman"/>
          <w:color w:val="000000" w:themeColor="text1"/>
          <w:sz w:val="16"/>
          <w:szCs w:val="16"/>
          <w:shd w:val="clear" w:color="auto" w:fill="FFFFFF"/>
        </w:rPr>
        <w:t>11 июня 1944 года газета Правда поместила знаменательный материал на всю полосу: «О поставках Советскому Союзу вооружения, стратегического сырья, промышленного оборудования и продовольствия Соединенными Штатами Америки, Великобританией и Канадой.</w:t>
      </w:r>
    </w:p>
    <w:p w14:paraId="79053E49" w14:textId="77777777" w:rsidR="006B3776" w:rsidRPr="00070ADE" w:rsidRDefault="006B3776" w:rsidP="00B56F90">
      <w:pPr>
        <w:spacing w:after="0" w:line="240" w:lineRule="auto"/>
        <w:jc w:val="both"/>
        <w:rPr>
          <w:rFonts w:ascii="Times New Roman" w:hAnsi="Times New Roman"/>
          <w:color w:val="000000" w:themeColor="text1"/>
          <w:sz w:val="16"/>
          <w:szCs w:val="16"/>
          <w:shd w:val="clear" w:color="auto" w:fill="FFFFFF"/>
        </w:rPr>
      </w:pPr>
      <w:r w:rsidRPr="00070ADE">
        <w:rPr>
          <w:rFonts w:ascii="Times New Roman" w:hAnsi="Times New Roman"/>
          <w:color w:val="000000" w:themeColor="text1"/>
          <w:sz w:val="16"/>
          <w:szCs w:val="16"/>
          <w:shd w:val="clear" w:color="auto" w:fill="FFFFFF"/>
        </w:rPr>
        <w:t>В нем подробно сообщалось, сколько всего нам было послано и сколько грузов в тоннах плывет морем на момент выхода газеты. Перечислялись не только танки, пушки и самолеты, но и каучук, медь, цинк, рельсы, мука, электромоторы и прессы, портальные краны и технические алмазы! Армейской обуви – 15 млн. пар, 6491 металлорежущий станок и много чего еще. Интересно, что в сообщении делалось точное разделение, сколько куплено за наличный расчет, то есть до принятия программы ленд-лиза, и сколько прислано уже после.. Многое оплачивалось «обратным ленд-лизом» – сырьем, однако расчет был отложен до конца войны, поскольку все, что уничтожалось в ходе военных действий, оплате не подлежало! (19832).</w:t>
      </w:r>
    </w:p>
    <w:p w14:paraId="593380FC" w14:textId="77777777" w:rsidR="006B3776" w:rsidRPr="00070ADE" w:rsidRDefault="006B3776" w:rsidP="00B56F90">
      <w:pPr>
        <w:spacing w:after="0" w:line="240" w:lineRule="auto"/>
        <w:jc w:val="both"/>
        <w:rPr>
          <w:rFonts w:ascii="Times New Roman" w:hAnsi="Times New Roman"/>
          <w:color w:val="000000" w:themeColor="text1"/>
          <w:sz w:val="16"/>
          <w:szCs w:val="16"/>
          <w:shd w:val="clear" w:color="auto" w:fill="FFFFFF"/>
        </w:rPr>
      </w:pPr>
    </w:p>
    <w:p w14:paraId="27E8372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29904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4100FF"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lastRenderedPageBreak/>
        <w:t>11 июня</w:t>
      </w:r>
      <w:r w:rsidRPr="00070ADE">
        <w:rPr>
          <w:rFonts w:ascii="Times New Roman" w:hAnsi="Times New Roman"/>
          <w:color w:val="000000" w:themeColor="text1"/>
          <w:sz w:val="16"/>
          <w:szCs w:val="16"/>
        </w:rPr>
        <w:t xml:space="preserve"> в 1944 году оперативная сводка Совинформбюро:</w:t>
      </w:r>
    </w:p>
    <w:p w14:paraId="3FCFEC49"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Ленинградского фронта вчера, 10 июня, перешли в наступление на Карельском перешейке севернее Ленинграда и при поддержке массированных ударов артиллерии и авиации прорвали сильно укреплённую, развитую в глубину долговременную оборону финнов и за два дня наступательных боёв продвинулись вперёд до 24 километров, расширив прорыв до 40 километров по фронту. В ходе наступления войска фронта овладели городом и крупной железнодорожной станцией Терийоки, важным опорным пунктом обороны противника Яппиля и с боями заняли более 80 других населённых пунктов, в том числе крупные населённые пункты Камешки, Старый Белоостров, Александровна, Раяйоки, Каллелово, Старый и Новый Алакуль, Куоккала, Хиреля, Нарвала, Иоут-Сельня, Хапала, Келломяки, Пухтола и железнодорожные станции Раяйоки, Оллила, Куоккала, Келломяки.</w:t>
      </w:r>
    </w:p>
    <w:p w14:paraId="26A88875"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в течение 11 июня существенных изменений не произошло.</w:t>
      </w:r>
    </w:p>
    <w:p w14:paraId="2A87C579"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10 июня на всех фронтах в воздушных боях и огнём зенитной артиллерии сбито 15 самолётов противника.</w:t>
      </w:r>
    </w:p>
    <w:p w14:paraId="35AF8C0C"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Карельском перешейке, севернее Ленинграда, наши войска перешли в наступление. Свыше трёх часов советские артиллеристы разрушали многочисленные оборонительные сооружения. Наша авиация наносила массированные удары по позициям противника. Только на одном участке уничтожено 270 дотов, дзотов, бетонированных блиндажей и других сооружений белофиннов. Вслед за огневым валом в атаку двинулись пехота и танки. Мощным ударом наши бойцы прорвали сильно укреплённую долговременную оборону финнов. Ломая сопротивление противника, наши войска успешно продвигаются вперёд. Части Н-ского соединения с хода переправились через реку Сестра и стремительным обходным ударом овладели городом и крупной железнодорожной станцией Терийоки. Нашими войсками занято более 80 других населённых пунктов. Противник несёт большие потери в живой силе и технике. В траншеях, окопах и блиндажах остались тысячи трупов вражеских солдат, убитых в результате бомбардировки и артиллерийского обстрела. Захвачены пленные и много трофеев. Корабли Краснознамённого Балтийского флота своим огнём содействуют наступлению наших войск.</w:t>
      </w:r>
    </w:p>
    <w:p w14:paraId="2A9C8113"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Витебск наши разведывательные отряды переправились через водный рубеж и атаковали противника. Преодолев сильный огонь артиллерии и пехоты, разведчики ворвались в населённый пункт и в результате ожесточённого уличного боя овладели им. Уничтожено свыше роты гитлеровцев. Захвачены трофеи и пленные.</w:t>
      </w:r>
    </w:p>
    <w:p w14:paraId="51109223"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немцы атаковали взвод младшего лейтенанта Анисимова, находившийся в боевом охранении. После артиллерийского налёта гитлеровцы кинулись к нашим траншеям. Завязалась рукопашная схватка. Наши бойцы убили 20 немцев и вынудили противника отступить. На другом участке группа бойцов во главе с лейтенантом Лаврентьевым ночью пробралась в тыл противника и заминировала дороги, ведущие к линии фронта. Утром на одной дороге подорвался тяжёлый немецкий танк. На другой дороге на минах подорвалось пять вражеских автомашин с грузами.</w:t>
      </w:r>
    </w:p>
    <w:p w14:paraId="03C33990"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Разведчики-партизаны отряда, действующего в Калининской области, установили местонахождение крупного немецкого артиллерийского склада. Ночью партизанский отряд, бесшумно сняв часовых, поджёг артиллерийский склад. Пожар продолжался несколько часов. Взрывами уничтожено несколько штабелей и до 500 ящиков снарядов. За две недели калининские партизаны пустили под откос 18 воинских эшелонов противника и один бронепоезд.</w:t>
      </w:r>
    </w:p>
    <w:p w14:paraId="7383EB8D"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лётчик 7 отряда 3 группы 5 немецкой истребительной эскадры фельдфебель Артур Бет рассказал: «В своё время лётчики 7 отряда — лейтенант Бодо Хельме и унтер-офицеры Курт Филипп и Вернер Шумахер на трёх самолётах перелетели на сторону русских. Это событие всполошило всё начальство. Расследование производили тогдашний заместитель командующего воздушным флотом «Норд» полковник Холле и личный представитель Геринга. Немецкая авиация на Восточном фронте понесла огромные потери. За год 3 группа потеряла более 90 самолётов. Это значит, что она была трижды полностью уничтожена. В военных кругах говорят о нехватке лётных кадров. Когда выяснилось, что существующие лётные школы не могут восполнить огромные потери в людях, началась ускоренная подготовка лётчиков. Однако нехватка лётчиков-всё время даёт себя чувствовать. Вот почему в качестве пополнения нам присылают теперь ефрейторов, т. е. людей, прослуживших в армии непродолжительное время. Раньше ефрейторы не могли быть пилотами в истребительной авиации. Теперь же это ограничение отменено. Недавно наш аэродром инспектировал командующий воздушным флотом «Норд» генерал авиации Шульц. В беседе с лётчиками он заявил, что Германия переживает серьёзный кризис. Его заявление произвело на нас угнетающее впечатление» (14919).</w:t>
      </w:r>
    </w:p>
    <w:p w14:paraId="26F080CD" w14:textId="77777777" w:rsidR="004421A7" w:rsidRPr="00070ADE" w:rsidRDefault="004421A7" w:rsidP="00B56F90">
      <w:pPr>
        <w:spacing w:after="0" w:line="240" w:lineRule="auto"/>
        <w:jc w:val="both"/>
        <w:rPr>
          <w:rFonts w:ascii="Times New Roman" w:hAnsi="Times New Roman"/>
          <w:color w:val="000000" w:themeColor="text1"/>
          <w:sz w:val="16"/>
          <w:szCs w:val="16"/>
        </w:rPr>
      </w:pPr>
    </w:p>
    <w:p w14:paraId="738A06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июня 1944 был взят в плен Генерал-майор Инзель Иоахим - командир 65-й пехотной дивизии, который в своих показаниях дал следующую оценку действиям штурмовой авиации Красной Армии: "В настоящих ('терапиях русских войск и в их успехе авиация сыграла первостепенную роль. Она повлияла на ход всей компании на данном участке фронта. Применяемые в большом количестве самолеты-штурмовики являлись эффективным средством, нарушившим планомерный отход наших войск по дороге на новые оборонительные рубежи. Расстроив нормальное движение отходящих колонн и вызвав панику, русская авиация не дала возможности нашим войскам оказать организованное сопротивление на таком мощном и естественном рубеже, как Березина. Моральное действие авиации исключительно большое. Наше командование было бессильно бороться с таким превосходством в воздухе " (8687).</w:t>
      </w:r>
    </w:p>
    <w:p w14:paraId="112CEC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8976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июня 1944 американцы на 129 Б-17 и 61 Мустанге вновь летали бомбить аэродромы немцев в Фокшанах из СССР и опять вернулись. В одном из сбитых Б-17 немцы нашли 500 фото и опознали базы (1364,42).</w:t>
      </w:r>
    </w:p>
    <w:p w14:paraId="4BA2F7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F5083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070ADE">
        <w:rPr>
          <w:rFonts w:ascii="Times New Roman" w:hAnsi="Times New Roman"/>
          <w:i/>
          <w:iCs/>
          <w:color w:val="000000" w:themeColor="text1"/>
          <w:sz w:val="16"/>
          <w:szCs w:val="16"/>
        </w:rPr>
        <w:t>За</w:t>
      </w:r>
      <w:r w:rsidRPr="00070ADE">
        <w:rPr>
          <w:rFonts w:ascii="Times New Roman" w:hAnsi="Times New Roman"/>
          <w:i/>
          <w:iCs/>
          <w:color w:val="000000" w:themeColor="text1"/>
          <w:sz w:val="16"/>
          <w:szCs w:val="16"/>
          <w:lang w:val="en-US"/>
        </w:rPr>
        <w:t xml:space="preserve"> </w:t>
      </w:r>
      <w:r w:rsidRPr="00070ADE">
        <w:rPr>
          <w:rFonts w:ascii="Times New Roman" w:hAnsi="Times New Roman"/>
          <w:i/>
          <w:iCs/>
          <w:color w:val="000000" w:themeColor="text1"/>
          <w:sz w:val="16"/>
          <w:szCs w:val="16"/>
        </w:rPr>
        <w:t>рубежом</w:t>
      </w:r>
      <w:r w:rsidRPr="00070ADE">
        <w:rPr>
          <w:rFonts w:ascii="Times New Roman" w:hAnsi="Times New Roman"/>
          <w:i/>
          <w:iCs/>
          <w:color w:val="000000" w:themeColor="text1"/>
          <w:sz w:val="16"/>
          <w:szCs w:val="16"/>
          <w:lang w:val="en-US"/>
        </w:rPr>
        <w:t>:</w:t>
      </w:r>
    </w:p>
    <w:p w14:paraId="644984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735C68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11 - 10 August 1944 Occupation of the Marianas 1944 Task Force 58 (Vice Admiral M. A. Mitscher), built around seven heavy and eight light carriers, opened the campaign to occupy the Marianas Islands with a late afternoon fighter sweep (11 June) that destroyed one-third of the defending air force. In bombing and strafing attacks on shore installations and on shipping in the immediate area on succeeding days, this force prepared the way for the amphibious assault of Saipan (15 June), supported operations ashore with daily offensive missions, kept the area isolated with attacks on airfields and shipping in the Bonin and Volcano Islands to the north (15-16, 24 June, 3-4 July, 4-5 Aug), and successfully defended the operation against an attack by major fleet forces in the Battle of the Philippine Sea (19-20 June). On the first day (19 June) TF 58 repelled a day-long air attack from carriers and shore bases, destroying 402 enemy planes, and the next day (20 June) launched an air attack late in the afternoon on the retreating Japanese Fleet, sinking the carrier Hiyo and two fleet oilers. Air cover for assault and close air support for operations ashore was provided by aircraft from an initial force of 11 escort carriers attached to Attack Forces. A Navy seaplane squadron VP-16, moved into the area (16 June) and began operations from the open sea. Garrison aircraft were ferried in by escort carriers to operate from captured airfields. First to arrive were Marine observation planes of VMO-4 (17 June), AAF P-47's (22 June), and Marine Corps Night Fighter Squadron 532 (12 July). After organized resistance ended on Saipan (9 July), troops landed on Guam (21 July) and on Tinian (24 July). As the campaign neared successful completion, three groups of Task Force 58 left the area temporarily for Strikes on the Western Carolines (25-28 July). Palau, Yap, Ulithi and other islands were taken under attack while photographic planes obtained intelligence of enemy defenses. This done, the groups steamed north for the fourth side of the campaign on the Bonins and Volcanoes. When Guam was secure (10 Aug), carrier aircraft had accounted for 110,000 tons of enemy shipping sunk and 1,223 aircraft destroyed. In this campaign, groups of the fast carrier force retired in turn to advanced fleet bases for brief periods of rest and replenishment, thus initiating a practice that became standard operating procedure during all future extended periods of action (1090).</w:t>
      </w:r>
    </w:p>
    <w:p w14:paraId="3B2983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2B140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11 июня по 10 августа 1944 американцы оккупировали Марианские острова (1090).</w:t>
      </w:r>
    </w:p>
    <w:p w14:paraId="250D45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FCF4FD" w14:textId="77777777" w:rsidR="00F51797" w:rsidRPr="00070ADE" w:rsidRDefault="00F5179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июня 1944 216 самолетов с 15 авианосцев 58-й оперативной группы ВМС США атакуют японские базы на Гуаме, Сайпане и Тиниане, уничтожив 36 японских самолетов. В течение следующих шести недель Тиниан будет почти ежедневно подвергаться воздушным атакам США (20373).</w:t>
      </w:r>
    </w:p>
    <w:p w14:paraId="514F5432" w14:textId="77777777" w:rsidR="00F51797" w:rsidRPr="00070ADE" w:rsidRDefault="00F51797" w:rsidP="00B56F90">
      <w:pPr>
        <w:spacing w:after="0" w:line="240" w:lineRule="auto"/>
        <w:jc w:val="both"/>
        <w:rPr>
          <w:rFonts w:ascii="Times New Roman" w:hAnsi="Times New Roman"/>
          <w:color w:val="000000" w:themeColor="text1"/>
          <w:sz w:val="16"/>
          <w:szCs w:val="16"/>
        </w:rPr>
      </w:pPr>
    </w:p>
    <w:p w14:paraId="6B5DDB2D" w14:textId="77777777" w:rsidR="00F51797" w:rsidRPr="00070ADE" w:rsidRDefault="00F5179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11–12 июня (ночь) 1933 329 британских бомбардировщиков атакуют французские железнодорожные объекты в Эвре, Масси-Палезо, Нанте и Туре, Франция, потеряв четыре самолета (20373).</w:t>
      </w:r>
    </w:p>
    <w:p w14:paraId="0AAE4576" w14:textId="77777777" w:rsidR="00F51797" w:rsidRPr="00070ADE" w:rsidRDefault="00F51797" w:rsidP="00B56F90">
      <w:pPr>
        <w:spacing w:after="0" w:line="240" w:lineRule="auto"/>
        <w:jc w:val="both"/>
        <w:rPr>
          <w:rFonts w:ascii="Times New Roman" w:hAnsi="Times New Roman"/>
          <w:color w:val="000000" w:themeColor="text1"/>
          <w:sz w:val="16"/>
          <w:szCs w:val="16"/>
        </w:rPr>
      </w:pPr>
    </w:p>
    <w:p w14:paraId="092320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11th, 1944: US forces landed at Utah Beach capture Carentan (3819).</w:t>
      </w:r>
    </w:p>
    <w:p w14:paraId="239214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633DF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июня 1944 высадившиеся американские части заняли Карентан (3819).</w:t>
      </w:r>
    </w:p>
    <w:p w14:paraId="7F17B6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C031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июня 1944 Рузвельт предложил Черчилю некий консультационный механизм, который бы предотвратил тенденцию к установлению в мире сфер исключительного влияния какой-то одной державы.</w:t>
      </w:r>
    </w:p>
    <w:p w14:paraId="273C8F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Черчиль отвечал Рузвельту, что прямые договоренности были гораздо эффективнее любого консультационного комитета (3871).</w:t>
      </w:r>
    </w:p>
    <w:p w14:paraId="5962D3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4B26F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12249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759A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1944 на совещании у Заместителя наркома АП тов. Кузнецова с представителями ВВС КА от были приняты следующие решения:</w:t>
      </w:r>
    </w:p>
    <w:p w14:paraId="49B441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Обязать директора завода 125 тов. Свет подать заводу 240 N 30 три удлиненных бронекорпуса с перераспределенной броней по чертежам ГК С.В.И. к 1 июля 1944.</w:t>
      </w:r>
    </w:p>
    <w:p w14:paraId="2335CC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 Директору завода 30 тов. Смирнову:</w:t>
      </w:r>
    </w:p>
    <w:p w14:paraId="62003E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передать заводу 125 до 16 июня с.г. три комплекта всех новых деталей (стальных и дюралевых) для изготовления первых трех удлиненных корпусов Ил-2</w:t>
      </w:r>
    </w:p>
    <w:p w14:paraId="3E64F2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изготовить 3 самолета Ил-2 с новым удлиненным бронекорпусом с перераспределенной броней по чертежам ГК С.В.И. и передать первый самолет на гос. испытания в НИИ ВВС к 15 июля 1944.</w:t>
      </w:r>
    </w:p>
    <w:p w14:paraId="41AEDF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 процессе сборки первых 3-х самолетов отработать чертежи, оснастку и установить объем работ для внедрения в серию.</w:t>
      </w:r>
    </w:p>
    <w:p w14:paraId="6CD1CD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ГК С.В.И. в двухдневный срок передать чертежи на удлиненный бронекорпус с перераспределенной броней заводу 125 и 30.</w:t>
      </w:r>
    </w:p>
    <w:p w14:paraId="47CE6D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с целью улучшения бронезащиты стрелка на серийно выпускаемых заводами НКАП самолетах Ил-2 эти же совещанием директор завода 30 тов. Смирнов был обязан к 18 июня с7 г. передать на гос. испытания в НИИ ВВС один самолет Ил-2 с дополнительным съемным бронированием кабины стрелка, выполненным по чертежам ГК С.В.И. (1817,248).</w:t>
      </w:r>
    </w:p>
    <w:p w14:paraId="553B72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AC46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1944 г. на совещании у за</w:t>
      </w:r>
      <w:r w:rsidRPr="00070ADE">
        <w:rPr>
          <w:rFonts w:ascii="Times New Roman" w:hAnsi="Times New Roman"/>
          <w:color w:val="000000" w:themeColor="text1"/>
          <w:sz w:val="16"/>
          <w:szCs w:val="16"/>
        </w:rPr>
        <w:softHyphen/>
        <w:t>местителя наркома авиапромышленно</w:t>
      </w:r>
      <w:r w:rsidRPr="00070ADE">
        <w:rPr>
          <w:rFonts w:ascii="Times New Roman" w:hAnsi="Times New Roman"/>
          <w:color w:val="000000" w:themeColor="text1"/>
          <w:sz w:val="16"/>
          <w:szCs w:val="16"/>
        </w:rPr>
        <w:softHyphen/>
        <w:t>сти Кузнецова совместно с представи</w:t>
      </w:r>
      <w:r w:rsidRPr="00070ADE">
        <w:rPr>
          <w:rFonts w:ascii="Times New Roman" w:hAnsi="Times New Roman"/>
          <w:color w:val="000000" w:themeColor="text1"/>
          <w:sz w:val="16"/>
          <w:szCs w:val="16"/>
        </w:rPr>
        <w:softHyphen/>
        <w:t xml:space="preserve">телями ВВС КА было принято решение, согласно которому директор завода № 125 </w:t>
      </w:r>
      <w:r w:rsidRPr="00070ADE">
        <w:rPr>
          <w:rFonts w:ascii="Times New Roman" w:hAnsi="Times New Roman"/>
          <w:iCs/>
          <w:color w:val="000000" w:themeColor="text1"/>
          <w:sz w:val="16"/>
          <w:szCs w:val="16"/>
        </w:rPr>
        <w:t>"тов. Свет"</w:t>
      </w:r>
      <w:r w:rsidRPr="00070ADE">
        <w:rPr>
          <w:rFonts w:ascii="Times New Roman" w:hAnsi="Times New Roman"/>
          <w:color w:val="000000" w:themeColor="text1"/>
          <w:sz w:val="16"/>
          <w:szCs w:val="16"/>
        </w:rPr>
        <w:t xml:space="preserve"> обязывался </w:t>
      </w:r>
      <w:r w:rsidRPr="00070ADE">
        <w:rPr>
          <w:rFonts w:ascii="Times New Roman" w:hAnsi="Times New Roman"/>
          <w:iCs/>
          <w:color w:val="000000" w:themeColor="text1"/>
          <w:sz w:val="16"/>
          <w:szCs w:val="16"/>
        </w:rPr>
        <w:t>"...подать заводу № 30 три удлиненных бронекорпуса с перераспределенной броней по чертежам Главного конструктора тов. Ильюшина к 1.7.44 г."</w:t>
      </w:r>
      <w:r w:rsidRPr="00070ADE">
        <w:rPr>
          <w:rFonts w:ascii="Times New Roman" w:hAnsi="Times New Roman"/>
          <w:color w:val="000000" w:themeColor="text1"/>
          <w:sz w:val="16"/>
          <w:szCs w:val="16"/>
        </w:rPr>
        <w:t xml:space="preserve"> В свою очередь, директор 30-го авиазавода должен был </w:t>
      </w:r>
      <w:r w:rsidRPr="00070ADE">
        <w:rPr>
          <w:rFonts w:ascii="Times New Roman" w:hAnsi="Times New Roman"/>
          <w:iCs/>
          <w:color w:val="000000" w:themeColor="text1"/>
          <w:sz w:val="16"/>
          <w:szCs w:val="16"/>
        </w:rPr>
        <w:t>"...подать заводу No 125до 16.06 с.г. три комплекта всех новых деталей (сталь</w:t>
      </w:r>
      <w:r w:rsidRPr="00070ADE">
        <w:rPr>
          <w:rFonts w:ascii="Times New Roman" w:hAnsi="Times New Roman"/>
          <w:iCs/>
          <w:color w:val="000000" w:themeColor="text1"/>
          <w:sz w:val="16"/>
          <w:szCs w:val="16"/>
        </w:rPr>
        <w:softHyphen/>
        <w:t>ных и дюралевых) для изготовления первых трех удлиненных корпусов Ил-2; изготовить 3 самолета Ил-2 с новым удлиненным бронекорпусом с перерас</w:t>
      </w:r>
      <w:r w:rsidRPr="00070ADE">
        <w:rPr>
          <w:rFonts w:ascii="Times New Roman" w:hAnsi="Times New Roman"/>
          <w:iCs/>
          <w:color w:val="000000" w:themeColor="text1"/>
          <w:sz w:val="16"/>
          <w:szCs w:val="16"/>
        </w:rPr>
        <w:softHyphen/>
        <w:t>пределенной броней по чертежам Глав</w:t>
      </w:r>
      <w:r w:rsidRPr="00070ADE">
        <w:rPr>
          <w:rFonts w:ascii="Times New Roman" w:hAnsi="Times New Roman"/>
          <w:iCs/>
          <w:color w:val="000000" w:themeColor="text1"/>
          <w:sz w:val="16"/>
          <w:szCs w:val="16"/>
        </w:rPr>
        <w:softHyphen/>
        <w:t>ного конструктора тов. Ильюшина и пе</w:t>
      </w:r>
      <w:r w:rsidRPr="00070ADE">
        <w:rPr>
          <w:rFonts w:ascii="Times New Roman" w:hAnsi="Times New Roman"/>
          <w:iCs/>
          <w:color w:val="000000" w:themeColor="text1"/>
          <w:sz w:val="16"/>
          <w:szCs w:val="16"/>
        </w:rPr>
        <w:softHyphen/>
        <w:t>редать первый самолет на гос. испытания в НИИ ВВС КА к 15.7.44 г... "</w:t>
      </w:r>
      <w:r w:rsidRPr="00070ADE">
        <w:rPr>
          <w:rFonts w:ascii="Times New Roman" w:hAnsi="Times New Roman"/>
          <w:color w:val="000000" w:themeColor="text1"/>
          <w:sz w:val="16"/>
          <w:szCs w:val="16"/>
        </w:rPr>
        <w:t xml:space="preserve"> Кроме того, этим же решением </w:t>
      </w:r>
      <w:r w:rsidRPr="00070ADE">
        <w:rPr>
          <w:rFonts w:ascii="Times New Roman" w:hAnsi="Times New Roman"/>
          <w:iCs/>
          <w:color w:val="000000" w:themeColor="text1"/>
          <w:sz w:val="16"/>
          <w:szCs w:val="16"/>
        </w:rPr>
        <w:t>"с целью улуч</w:t>
      </w:r>
      <w:r w:rsidRPr="00070ADE">
        <w:rPr>
          <w:rFonts w:ascii="Times New Roman" w:hAnsi="Times New Roman"/>
          <w:iCs/>
          <w:color w:val="000000" w:themeColor="text1"/>
          <w:sz w:val="16"/>
          <w:szCs w:val="16"/>
        </w:rPr>
        <w:softHyphen/>
        <w:t>шения бронезащиты стрелка на серий</w:t>
      </w:r>
      <w:r w:rsidRPr="00070ADE">
        <w:rPr>
          <w:rFonts w:ascii="Times New Roman" w:hAnsi="Times New Roman"/>
          <w:iCs/>
          <w:color w:val="000000" w:themeColor="text1"/>
          <w:sz w:val="16"/>
          <w:szCs w:val="16"/>
        </w:rPr>
        <w:softHyphen/>
        <w:t>но выпускаемых заводами НКАП само</w:t>
      </w:r>
      <w:r w:rsidRPr="00070ADE">
        <w:rPr>
          <w:rFonts w:ascii="Times New Roman" w:hAnsi="Times New Roman"/>
          <w:iCs/>
          <w:color w:val="000000" w:themeColor="text1"/>
          <w:sz w:val="16"/>
          <w:szCs w:val="16"/>
        </w:rPr>
        <w:softHyphen/>
        <w:t>летах Ил-2... директор завода № 30 тов. Смирнов был обязан к 18.6.44 г. пе</w:t>
      </w:r>
      <w:r w:rsidRPr="00070ADE">
        <w:rPr>
          <w:rFonts w:ascii="Times New Roman" w:hAnsi="Times New Roman"/>
          <w:iCs/>
          <w:color w:val="000000" w:themeColor="text1"/>
          <w:sz w:val="16"/>
          <w:szCs w:val="16"/>
        </w:rPr>
        <w:softHyphen/>
        <w:t>редать на гос. испытания в НИИ ВВС КА один самолет Ил-2 с дополнительным съемным бронированием кабины стрел</w:t>
      </w:r>
      <w:r w:rsidRPr="00070ADE">
        <w:rPr>
          <w:rFonts w:ascii="Times New Roman" w:hAnsi="Times New Roman"/>
          <w:iCs/>
          <w:color w:val="000000" w:themeColor="text1"/>
          <w:sz w:val="16"/>
          <w:szCs w:val="16"/>
        </w:rPr>
        <w:softHyphen/>
        <w:t>ка, выполненным по чертежам Главного конструктора тов. Ильюшина".</w:t>
      </w:r>
    </w:p>
    <w:p w14:paraId="401762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1F0FC0" w14:textId="77777777" w:rsidR="002E135C" w:rsidRPr="00070ADE" w:rsidRDefault="002E135C" w:rsidP="00B56F90">
      <w:pPr>
        <w:pStyle w:val="27"/>
        <w:shd w:val="clear" w:color="auto" w:fill="auto"/>
        <w:spacing w:after="0" w:line="240" w:lineRule="auto"/>
        <w:ind w:firstLine="0"/>
        <w:rPr>
          <w:rStyle w:val="aff7"/>
          <w:rFonts w:ascii="Times New Roman" w:hAnsi="Times New Roman" w:cs="Times New Roman"/>
          <w:i w:val="0"/>
          <w:color w:val="000000" w:themeColor="text1"/>
          <w:spacing w:val="0"/>
        </w:rPr>
      </w:pPr>
      <w:r w:rsidRPr="00070ADE">
        <w:rPr>
          <w:rFonts w:ascii="Times New Roman" w:cs="Times New Roman"/>
          <w:color w:val="000000" w:themeColor="text1"/>
          <w:spacing w:val="0"/>
        </w:rPr>
        <w:t>12 июня 1944 г. у заместителя наркома авиапромышленности А.И. Кузнецова состо</w:t>
      </w:r>
      <w:r w:rsidRPr="00070ADE">
        <w:rPr>
          <w:rFonts w:ascii="Times New Roman" w:cs="Times New Roman"/>
          <w:color w:val="000000" w:themeColor="text1"/>
          <w:spacing w:val="0"/>
        </w:rPr>
        <w:softHyphen/>
        <w:t>ялось совещание по вопросу перераспреде</w:t>
      </w:r>
      <w:r w:rsidRPr="00070ADE">
        <w:rPr>
          <w:rFonts w:ascii="Times New Roman" w:cs="Times New Roman"/>
          <w:color w:val="000000" w:themeColor="text1"/>
          <w:spacing w:val="0"/>
        </w:rPr>
        <w:softHyphen/>
        <w:t>ления брони Ил-2. Было принято решение строить два варианта самолета с улучшенным бронированием - серийный Ил-2 с дополни</w:t>
      </w:r>
      <w:r w:rsidRPr="00070ADE">
        <w:rPr>
          <w:rFonts w:ascii="Times New Roman" w:cs="Times New Roman"/>
          <w:color w:val="000000" w:themeColor="text1"/>
          <w:spacing w:val="0"/>
        </w:rPr>
        <w:softHyphen/>
        <w:t>тельной броней, установленной внутри кабины стрелка, и новый штурмовик</w:t>
      </w:r>
      <w:r w:rsidRPr="00070ADE">
        <w:rPr>
          <w:rStyle w:val="aff7"/>
          <w:rFonts w:ascii="Times New Roman" w:hAnsi="Times New Roman" w:cs="Times New Roman"/>
          <w:i w:val="0"/>
          <w:color w:val="000000" w:themeColor="text1"/>
          <w:spacing w:val="0"/>
        </w:rPr>
        <w:t xml:space="preserve"> «с удлинением су</w:t>
      </w:r>
      <w:r w:rsidRPr="00070ADE">
        <w:rPr>
          <w:rStyle w:val="aff7"/>
          <w:rFonts w:ascii="Times New Roman" w:hAnsi="Times New Roman" w:cs="Times New Roman"/>
          <w:i w:val="0"/>
          <w:color w:val="000000" w:themeColor="text1"/>
          <w:spacing w:val="0"/>
        </w:rPr>
        <w:softHyphen/>
        <w:t xml:space="preserve">ществующего бронекорпуса». </w:t>
      </w:r>
    </w:p>
    <w:p w14:paraId="2EAC0EB2" w14:textId="77777777" w:rsidR="002E135C" w:rsidRPr="00070ADE" w:rsidRDefault="002E135C"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Завод №30 обязывался к 18 июня 1944 г. передать на государственные испытания в НИИ ВВС</w:t>
      </w:r>
      <w:r w:rsidRPr="00070ADE">
        <w:rPr>
          <w:rStyle w:val="aff7"/>
          <w:rFonts w:ascii="Times New Roman" w:hAnsi="Times New Roman" w:cs="Times New Roman"/>
          <w:i w:val="0"/>
          <w:color w:val="000000" w:themeColor="text1"/>
          <w:spacing w:val="0"/>
        </w:rPr>
        <w:t xml:space="preserve"> «один серийный самолет Ил-2, оформленный по бою, с постановкой внутри кабины съемных плит по чертежам Главного конструктора т. Ильюшина»,</w:t>
      </w:r>
      <w:r w:rsidRPr="00070ADE">
        <w:rPr>
          <w:rFonts w:ascii="Times New Roman" w:cs="Times New Roman"/>
          <w:color w:val="000000" w:themeColor="text1"/>
          <w:spacing w:val="0"/>
        </w:rPr>
        <w:t xml:space="preserve"> а НИИ ВВС - в пя</w:t>
      </w:r>
      <w:r w:rsidRPr="00070ADE">
        <w:rPr>
          <w:rFonts w:ascii="Times New Roman" w:cs="Times New Roman"/>
          <w:color w:val="000000" w:themeColor="text1"/>
          <w:spacing w:val="0"/>
        </w:rPr>
        <w:softHyphen/>
        <w:t>тидневный срок дать заключение о его внедре</w:t>
      </w:r>
      <w:r w:rsidRPr="00070ADE">
        <w:rPr>
          <w:rFonts w:ascii="Times New Roman" w:cs="Times New Roman"/>
          <w:color w:val="000000" w:themeColor="text1"/>
          <w:spacing w:val="0"/>
        </w:rPr>
        <w:softHyphen/>
        <w:t>нии в серию.</w:t>
      </w:r>
    </w:p>
    <w:p w14:paraId="19BC8341" w14:textId="77777777" w:rsidR="002E135C" w:rsidRPr="00070ADE" w:rsidRDefault="002E135C" w:rsidP="00B56F90">
      <w:pPr>
        <w:pStyle w:val="27"/>
        <w:shd w:val="clear" w:color="auto" w:fill="auto"/>
        <w:spacing w:after="0" w:line="240" w:lineRule="auto"/>
        <w:ind w:firstLine="0"/>
        <w:rPr>
          <w:rStyle w:val="aff7"/>
          <w:rFonts w:ascii="Times New Roman" w:hAnsi="Times New Roman" w:cs="Times New Roman"/>
          <w:i w:val="0"/>
          <w:color w:val="000000" w:themeColor="text1"/>
          <w:spacing w:val="0"/>
        </w:rPr>
      </w:pPr>
      <w:r w:rsidRPr="00070ADE">
        <w:rPr>
          <w:rFonts w:ascii="Times New Roman" w:cs="Times New Roman"/>
          <w:color w:val="000000" w:themeColor="text1"/>
          <w:spacing w:val="0"/>
        </w:rPr>
        <w:t>От завода N9125 требовалось подать заво</w:t>
      </w:r>
      <w:r w:rsidRPr="00070ADE">
        <w:rPr>
          <w:rFonts w:ascii="Times New Roman" w:cs="Times New Roman"/>
          <w:color w:val="000000" w:themeColor="text1"/>
          <w:spacing w:val="0"/>
        </w:rPr>
        <w:softHyphen/>
        <w:t>ду №30 три удлиненных бронекфпуса к 1 июля 1944 г. При этом разрешалось</w:t>
      </w:r>
      <w:r w:rsidRPr="00070ADE">
        <w:rPr>
          <w:rStyle w:val="aff7"/>
          <w:rFonts w:ascii="Times New Roman" w:hAnsi="Times New Roman" w:cs="Times New Roman"/>
          <w:i w:val="0"/>
          <w:color w:val="000000" w:themeColor="text1"/>
          <w:spacing w:val="0"/>
        </w:rPr>
        <w:t xml:space="preserve"> «изготовить эти три корпуса с применением железа на новые детали».</w:t>
      </w:r>
      <w:r w:rsidRPr="00070ADE">
        <w:rPr>
          <w:rFonts w:ascii="Times New Roman" w:cs="Times New Roman"/>
          <w:color w:val="000000" w:themeColor="text1"/>
          <w:spacing w:val="0"/>
        </w:rPr>
        <w:t xml:space="preserve"> Одновременно завод №30 должен был передать заводу №125 до 16 июня три комплекта всех новых деталей (стальных и дюралевых) для изготовления первых трех уд</w:t>
      </w:r>
      <w:r w:rsidRPr="00070ADE">
        <w:rPr>
          <w:rFonts w:ascii="Times New Roman" w:cs="Times New Roman"/>
          <w:color w:val="000000" w:themeColor="text1"/>
          <w:spacing w:val="0"/>
        </w:rPr>
        <w:softHyphen/>
        <w:t>линенных корпусов Ил-2, а также собрать три самолета с новыми бронекорпусами, из кото</w:t>
      </w:r>
      <w:r w:rsidRPr="00070ADE">
        <w:rPr>
          <w:rFonts w:ascii="Times New Roman" w:cs="Times New Roman"/>
          <w:color w:val="000000" w:themeColor="text1"/>
          <w:spacing w:val="0"/>
        </w:rPr>
        <w:softHyphen/>
        <w:t>рых один к 15 июля предъявить в НИИ ВВС на государственные испытания. Предполагалось, что в процессе подготовки первых трех машин будут отработаны чертежи, оснастка и уста</w:t>
      </w:r>
      <w:r w:rsidRPr="00070ADE">
        <w:rPr>
          <w:rFonts w:ascii="Times New Roman" w:cs="Times New Roman"/>
          <w:color w:val="000000" w:themeColor="text1"/>
          <w:spacing w:val="0"/>
        </w:rPr>
        <w:softHyphen/>
        <w:t>новлен объем работ для внедрения в серию. В свою очередь, Ильюшину необходимо было «в</w:t>
      </w:r>
      <w:r w:rsidRPr="00070ADE">
        <w:rPr>
          <w:rStyle w:val="aff7"/>
          <w:rFonts w:ascii="Times New Roman" w:hAnsi="Times New Roman" w:cs="Times New Roman"/>
          <w:i w:val="0"/>
          <w:color w:val="000000" w:themeColor="text1"/>
          <w:spacing w:val="0"/>
        </w:rPr>
        <w:t xml:space="preserve"> двухдневный срок передать чертежи на уд</w:t>
      </w:r>
      <w:r w:rsidRPr="00070ADE">
        <w:rPr>
          <w:rStyle w:val="aff7"/>
          <w:rFonts w:ascii="Times New Roman" w:hAnsi="Times New Roman" w:cs="Times New Roman"/>
          <w:i w:val="0"/>
          <w:color w:val="000000" w:themeColor="text1"/>
          <w:spacing w:val="0"/>
        </w:rPr>
        <w:softHyphen/>
        <w:t>линенный бронекорпус с перераспределенной броней заводу № 125 и №30» (17478).</w:t>
      </w:r>
    </w:p>
    <w:p w14:paraId="70041E1E" w14:textId="77777777" w:rsidR="002E135C" w:rsidRPr="00070ADE" w:rsidRDefault="002E135C" w:rsidP="00B56F90">
      <w:pPr>
        <w:pStyle w:val="27"/>
        <w:shd w:val="clear" w:color="auto" w:fill="auto"/>
        <w:spacing w:after="0" w:line="240" w:lineRule="auto"/>
        <w:ind w:firstLine="0"/>
        <w:rPr>
          <w:rFonts w:ascii="Times New Roman" w:cs="Times New Roman"/>
          <w:color w:val="000000" w:themeColor="text1"/>
          <w:spacing w:val="0"/>
        </w:rPr>
      </w:pPr>
    </w:p>
    <w:p w14:paraId="69044601" w14:textId="637088EA" w:rsidR="00262E37" w:rsidRPr="00070ADE" w:rsidRDefault="00262E3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 17 июня 1944 в полетах Су-6 обнаружился опасный дефект вновь установленного на самолет мотора АМ-42 зав.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4277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загорание топливной смеси во всасывающих патрубках в полете. Главный инженер ВВС КА генерал-полковник Репин запретил полеты на Су-6 с этим мотором. Быстро заменить мотор не удалось, так как завод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24 задерживал его поставку. Сухой обратился за помощью к наркому Шахурину в получении кондиционного мотора АМ-42. Но тот ничем не помог. Ко времени официального прекращения испытаний 2 июля опытный Су-6 выполнил 24 полета с суммарным налетом 10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 25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мин. (17490)</w:t>
      </w:r>
    </w:p>
    <w:p w14:paraId="63FE7DC9" w14:textId="77777777" w:rsidR="00262E37" w:rsidRPr="00070ADE" w:rsidRDefault="00262E37" w:rsidP="00B56F90">
      <w:pPr>
        <w:spacing w:after="0" w:line="240" w:lineRule="auto"/>
        <w:jc w:val="both"/>
        <w:rPr>
          <w:rFonts w:ascii="Times New Roman" w:hAnsi="Times New Roman"/>
          <w:color w:val="000000" w:themeColor="text1"/>
          <w:sz w:val="16"/>
          <w:szCs w:val="16"/>
        </w:rPr>
      </w:pPr>
    </w:p>
    <w:p w14:paraId="352C77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1944 закончились гос. испытания модифицированного ЛаГГ-3 дублера с ВК-105ПФ-2 с винтом ВИШ-105СВ (N 105-2 производства 31 завода (февраль), которые начались 10 мая (самолет поступил 4), 12 мая были прерваны и с 1 июня 1944 продолжены (764,2).</w:t>
      </w:r>
    </w:p>
    <w:p w14:paraId="05F780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А.E.Репин утвердил акт по гос. испытаниям модифицированного ЛаГГ-3 дублера с ВК-105ПФ-2 с винтом ВИШ-105СВ (N 105-2 производства 31 завода (февраль), ГК В.П.Горбунов с ВЯ-23</w:t>
      </w:r>
    </w:p>
    <w:p w14:paraId="031B2C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 исполнитель вед. инж. З-да ви п/п Ф.М.Шишкин</w:t>
      </w:r>
    </w:p>
    <w:p w14:paraId="44922F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 л 3 отд. НИИ ВВС гсс гм Дзюба</w:t>
      </w:r>
    </w:p>
    <w:p w14:paraId="374487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 Шишкин</w:t>
      </w:r>
    </w:p>
    <w:p w14:paraId="5B1642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Цель испытаний:</w:t>
      </w:r>
    </w:p>
    <w:p w14:paraId="00003B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Определить ЛТД с-та</w:t>
      </w:r>
    </w:p>
    <w:p w14:paraId="2409A5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Дать оценку эксплуатационным свойствам с-та, ВМГ, вооружения и спецоборудования</w:t>
      </w:r>
    </w:p>
    <w:p w14:paraId="211F55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Оценить производственное и конструктивное выполнение с-та</w:t>
      </w:r>
    </w:p>
    <w:p w14:paraId="4A147F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Объект испытаний: предъявленная на госиспытания машина завода № 31 выпуска февраля 1944</w:t>
      </w:r>
    </w:p>
    <w:p w14:paraId="0F6C93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ранее испытывавшимся ЛаГГ-3 с мотором ВК-105ПФ (первый экз. С-та № 105-1)с-т дублер № 105-2 имеет следующие отличия:</w:t>
      </w:r>
    </w:p>
    <w:p w14:paraId="535D46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планеру - изменена конструкция 4 и 5 шпангоутов фюзеляжа. В нижней ферме 4-го шпангоута произведено два круглых отверстия под тоннуль маслорадиатора, в шп. 5 изменен нижний ... под установку фермы для крепления сидения пилота и качалки управления РВ</w:t>
      </w:r>
    </w:p>
    <w:p w14:paraId="3C70EF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 нижней части фюзеляжа перед тоннелем водорадиатора установлено два заборника воздуха для охлаждения маслорадиатора</w:t>
      </w:r>
    </w:p>
    <w:p w14:paraId="539DE5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увеличено плечо качалки управления элеронами для уменьшения давления на ручку управления с-том</w:t>
      </w:r>
    </w:p>
    <w:p w14:paraId="6B8365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изменены форма и конструкция ручки управления с-том по типу ручки стандартной кабины</w:t>
      </w:r>
    </w:p>
    <w:p w14:paraId="2AE8BA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установлен дополнительный кронштейн для крепления лафета пушки ВЯ-23</w:t>
      </w:r>
    </w:p>
    <w:p w14:paraId="3D4ECA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ВМГ: установлен мотор ВК-105ПФ-2, установлен винт типа ВИШ-105СВ с профилированной комлевой частью лопастей, маслорадиатор типа ОП-352 заменен двумя последовательно соединенными рядами типа ВМС-8 с трубкой К-4, толщиной 0,1 мм</w:t>
      </w:r>
    </w:p>
    <w:p w14:paraId="12B2E5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 туннель маслорадиатора, который установлен в фюзеляже</w:t>
      </w:r>
    </w:p>
    <w:p w14:paraId="741D31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изменена конструкция и перекомпоновыны ряд коробов и крышек капота мотора и управление заслонками маслорадиатора</w:t>
      </w:r>
    </w:p>
    <w:p w14:paraId="1EF96A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общая емкость б/б уменьшена на 28 л с 405 до 377 л</w:t>
      </w:r>
    </w:p>
    <w:p w14:paraId="6174E9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на носок вала редуктора установлен центробежный маслоотражатель типа ЛИИ НКАП</w:t>
      </w:r>
    </w:p>
    <w:p w14:paraId="5D3986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 дренаж трубки суфлера бака</w:t>
      </w:r>
    </w:p>
    <w:p w14:paraId="02DA9B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выхлопные патрубки изготовлены по типу с-та Як-3 (рекомендация ЦАГИ)</w:t>
      </w:r>
    </w:p>
    <w:p w14:paraId="178FCB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вооружению: установлена пушка ВЯ-23 с боезапасом 85 патронов вместо пушки МП-20 с б/з 160 патронов, пулемет УБС с б/з 185 патронов вместо 200 патронов</w:t>
      </w:r>
    </w:p>
    <w:p w14:paraId="0275E0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установкой пушки ВЯ-23 изменено крепление пушки, форма и конструкция патронных коробок и гильзоотвода</w:t>
      </w:r>
    </w:p>
    <w:p w14:paraId="7F371A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установлен звеньесборник для пушки ВЯ-23</w:t>
      </w:r>
    </w:p>
    <w:p w14:paraId="7FFA48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механизм управления оружием переведен на пневматику</w:t>
      </w:r>
    </w:p>
    <w:p w14:paraId="3FC155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Спецприборы с-та 105-2 дублер такие же, как на с-те 105-1</w:t>
      </w:r>
    </w:p>
    <w:p w14:paraId="76F16A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улучшения ЛТД проведены следующие мероприятия:</w:t>
      </w:r>
    </w:p>
    <w:p w14:paraId="2688AA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улучшена внешняя отделка и введена полировка передней кромки крыла</w:t>
      </w:r>
    </w:p>
    <w:p w14:paraId="63FBFB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козырьку кабины пилота придана сферическая форма</w:t>
      </w:r>
    </w:p>
    <w:p w14:paraId="54DF44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улучшена герметизация противопожарной перегородки, крыла, кабины пилота и хвостовой части фюзеляжа</w:t>
      </w:r>
    </w:p>
    <w:p w14:paraId="1445D0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данным завода прочность с-та 105-2 и его основных агрегатов: фюзеляжа, крыла, центроплана, шасси удовлетворяет действующим нормам прочности.</w:t>
      </w:r>
    </w:p>
    <w:p w14:paraId="5554EE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Расчет завода по флаттеру крыла серийного с-та ЛаГГ-3 в облегченном варианте произведен в ЦАГИ и получено разрешение на эксплуатацию на скорости до 700 км/час по прибору</w:t>
      </w:r>
    </w:p>
    <w:p w14:paraId="3659AC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испытаний:</w:t>
      </w:r>
    </w:p>
    <w:p w14:paraId="294AD4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пибыл в НИИ 4 мая. Испытания начаты 10 мая, приостановлены по просьбе ГК с-та В.П.Горбунова для осмотра с-та и мотора и доводки тепловых режимов ВМГ 12 мая. Возобновлены 1 июня и закончены 12 июня. Выполнено 15 полетов с налетом 8:40</w:t>
      </w:r>
    </w:p>
    <w:p w14:paraId="36C781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2285 22,5% САХ, угол капотирования 26:40</w:t>
      </w:r>
    </w:p>
    <w:p w14:paraId="1EAFAD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полетный 2875 22.2% САХ, угол капотирования 28:40</w:t>
      </w:r>
    </w:p>
    <w:p w14:paraId="54AAE9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Нормальная нагрузка:</w:t>
      </w:r>
    </w:p>
    <w:p w14:paraId="3BD98D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- 90</w:t>
      </w:r>
    </w:p>
    <w:p w14:paraId="240B1B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горючее (074 г,см3) - 280</w:t>
      </w:r>
    </w:p>
    <w:p w14:paraId="592F75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масло - 27</w:t>
      </w:r>
    </w:p>
    <w:p w14:paraId="0CC65D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 пушка ВЯ-23 - 73, УБС - 21,5, б/з пушки (85) - 47, б/з пулемета (185) - 31,0</w:t>
      </w:r>
    </w:p>
    <w:p w14:paraId="30F96F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связное оборудование - 20,5</w:t>
      </w:r>
    </w:p>
    <w:p w14:paraId="6C4078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- 590</w:t>
      </w:r>
    </w:p>
    <w:p w14:paraId="004E6F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 изменения веса 105-2 по сравнению с 105-1, проходившим испытания в НИИ в октябре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708"/>
        <w:gridCol w:w="709"/>
        <w:gridCol w:w="709"/>
      </w:tblGrid>
      <w:tr w:rsidR="004D4663" w:rsidRPr="00070ADE" w14:paraId="7A15579D" w14:textId="77777777">
        <w:tc>
          <w:tcPr>
            <w:tcW w:w="2802" w:type="dxa"/>
            <w:tcBorders>
              <w:top w:val="single" w:sz="12" w:space="0" w:color="auto"/>
            </w:tcBorders>
          </w:tcPr>
          <w:p w14:paraId="5C259F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w:t>
            </w:r>
          </w:p>
        </w:tc>
        <w:tc>
          <w:tcPr>
            <w:tcW w:w="708" w:type="dxa"/>
            <w:tcBorders>
              <w:top w:val="single" w:sz="12" w:space="0" w:color="auto"/>
            </w:tcBorders>
          </w:tcPr>
          <w:p w14:paraId="2A55053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105-2 дублер</w:t>
            </w:r>
          </w:p>
        </w:tc>
        <w:tc>
          <w:tcPr>
            <w:tcW w:w="709" w:type="dxa"/>
            <w:tcBorders>
              <w:top w:val="single" w:sz="12" w:space="0" w:color="auto"/>
            </w:tcBorders>
          </w:tcPr>
          <w:p w14:paraId="1AB6826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105-1 первый</w:t>
            </w:r>
          </w:p>
        </w:tc>
        <w:tc>
          <w:tcPr>
            <w:tcW w:w="709" w:type="dxa"/>
            <w:tcBorders>
              <w:top w:val="single" w:sz="12" w:space="0" w:color="auto"/>
            </w:tcBorders>
          </w:tcPr>
          <w:p w14:paraId="66B648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Разница</w:t>
            </w:r>
          </w:p>
        </w:tc>
      </w:tr>
      <w:tr w:rsidR="004D4663" w:rsidRPr="00070ADE" w14:paraId="52D47167" w14:textId="77777777">
        <w:tc>
          <w:tcPr>
            <w:tcW w:w="2802" w:type="dxa"/>
          </w:tcPr>
          <w:p w14:paraId="1FCF17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 полетный вес</w:t>
            </w:r>
          </w:p>
        </w:tc>
        <w:tc>
          <w:tcPr>
            <w:tcW w:w="708" w:type="dxa"/>
          </w:tcPr>
          <w:p w14:paraId="66C082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2875</w:t>
            </w:r>
          </w:p>
        </w:tc>
        <w:tc>
          <w:tcPr>
            <w:tcW w:w="709" w:type="dxa"/>
          </w:tcPr>
          <w:p w14:paraId="02643D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2818</w:t>
            </w:r>
          </w:p>
        </w:tc>
        <w:tc>
          <w:tcPr>
            <w:tcW w:w="709" w:type="dxa"/>
          </w:tcPr>
          <w:p w14:paraId="5A92F5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w:t>
            </w:r>
          </w:p>
        </w:tc>
      </w:tr>
      <w:tr w:rsidR="004D4663" w:rsidRPr="00070ADE" w14:paraId="4212857B" w14:textId="77777777">
        <w:tc>
          <w:tcPr>
            <w:tcW w:w="2802" w:type="dxa"/>
          </w:tcPr>
          <w:p w14:paraId="3B0F53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w:t>
            </w:r>
          </w:p>
        </w:tc>
        <w:tc>
          <w:tcPr>
            <w:tcW w:w="708" w:type="dxa"/>
          </w:tcPr>
          <w:p w14:paraId="560E17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2285</w:t>
            </w:r>
          </w:p>
        </w:tc>
        <w:tc>
          <w:tcPr>
            <w:tcW w:w="709" w:type="dxa"/>
          </w:tcPr>
          <w:p w14:paraId="75B85A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2234</w:t>
            </w:r>
          </w:p>
        </w:tc>
        <w:tc>
          <w:tcPr>
            <w:tcW w:w="709" w:type="dxa"/>
          </w:tcPr>
          <w:p w14:paraId="3C6D24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w:t>
            </w:r>
          </w:p>
        </w:tc>
      </w:tr>
      <w:tr w:rsidR="004D4663" w:rsidRPr="00070ADE" w14:paraId="61398A32" w14:textId="77777777">
        <w:tc>
          <w:tcPr>
            <w:tcW w:w="2802" w:type="dxa"/>
          </w:tcPr>
          <w:p w14:paraId="5B9788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нагрузки</w:t>
            </w:r>
          </w:p>
        </w:tc>
        <w:tc>
          <w:tcPr>
            <w:tcW w:w="708" w:type="dxa"/>
          </w:tcPr>
          <w:p w14:paraId="5F4BB9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590</w:t>
            </w:r>
          </w:p>
        </w:tc>
        <w:tc>
          <w:tcPr>
            <w:tcW w:w="709" w:type="dxa"/>
          </w:tcPr>
          <w:p w14:paraId="7717A4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584</w:t>
            </w:r>
          </w:p>
        </w:tc>
        <w:tc>
          <w:tcPr>
            <w:tcW w:w="709" w:type="dxa"/>
          </w:tcPr>
          <w:p w14:paraId="6110EB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r>
      <w:tr w:rsidR="004D4663" w:rsidRPr="00070ADE" w14:paraId="112D6D23" w14:textId="77777777">
        <w:tc>
          <w:tcPr>
            <w:tcW w:w="2802" w:type="dxa"/>
          </w:tcPr>
          <w:p w14:paraId="777778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Центровка при нормальном полетном весе</w:t>
            </w:r>
          </w:p>
        </w:tc>
        <w:tc>
          <w:tcPr>
            <w:tcW w:w="708" w:type="dxa"/>
          </w:tcPr>
          <w:p w14:paraId="3D5F6C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w:t>
            </w:r>
          </w:p>
        </w:tc>
        <w:tc>
          <w:tcPr>
            <w:tcW w:w="709" w:type="dxa"/>
          </w:tcPr>
          <w:p w14:paraId="10C80C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23,7</w:t>
            </w:r>
          </w:p>
        </w:tc>
        <w:tc>
          <w:tcPr>
            <w:tcW w:w="709" w:type="dxa"/>
          </w:tcPr>
          <w:p w14:paraId="6597F2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r>
      <w:tr w:rsidR="004D4663" w:rsidRPr="00070ADE" w14:paraId="55279814" w14:textId="77777777">
        <w:tc>
          <w:tcPr>
            <w:tcW w:w="2802" w:type="dxa"/>
          </w:tcPr>
          <w:p w14:paraId="16C082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Предельная передняя эксплуатационная центровка</w:t>
            </w:r>
          </w:p>
        </w:tc>
        <w:tc>
          <w:tcPr>
            <w:tcW w:w="708" w:type="dxa"/>
          </w:tcPr>
          <w:p w14:paraId="7263D7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23,9</w:t>
            </w:r>
          </w:p>
        </w:tc>
        <w:tc>
          <w:tcPr>
            <w:tcW w:w="709" w:type="dxa"/>
          </w:tcPr>
          <w:p w14:paraId="7B3F45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22,3</w:t>
            </w:r>
          </w:p>
        </w:tc>
        <w:tc>
          <w:tcPr>
            <w:tcW w:w="709" w:type="dxa"/>
          </w:tcPr>
          <w:p w14:paraId="4561D4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r>
      <w:tr w:rsidR="004D4663" w:rsidRPr="00070ADE" w14:paraId="4849CEAD" w14:textId="77777777">
        <w:tc>
          <w:tcPr>
            <w:tcW w:w="2802" w:type="dxa"/>
            <w:tcBorders>
              <w:bottom w:val="single" w:sz="12" w:space="0" w:color="auto"/>
            </w:tcBorders>
          </w:tcPr>
          <w:p w14:paraId="6B0224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Запас горючего 4Б-78</w:t>
            </w:r>
          </w:p>
        </w:tc>
        <w:tc>
          <w:tcPr>
            <w:tcW w:w="708" w:type="dxa"/>
            <w:tcBorders>
              <w:bottom w:val="single" w:sz="12" w:space="0" w:color="auto"/>
            </w:tcBorders>
          </w:tcPr>
          <w:p w14:paraId="4C4B08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w:t>
            </w:r>
          </w:p>
        </w:tc>
        <w:tc>
          <w:tcPr>
            <w:tcW w:w="709" w:type="dxa"/>
            <w:tcBorders>
              <w:bottom w:val="single" w:sz="12" w:space="0" w:color="auto"/>
            </w:tcBorders>
          </w:tcPr>
          <w:p w14:paraId="7590B3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tc>
        <w:tc>
          <w:tcPr>
            <w:tcW w:w="709" w:type="dxa"/>
            <w:tcBorders>
              <w:bottom w:val="single" w:sz="12" w:space="0" w:color="auto"/>
            </w:tcBorders>
          </w:tcPr>
          <w:p w14:paraId="4B3EEE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r>
    </w:tbl>
    <w:p w14:paraId="528AAB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причины, вызвавшие увеличение веса - установка пушки ВЯ-23, усиления и конструкционные изменения</w:t>
      </w:r>
    </w:p>
    <w:p w14:paraId="2CE5E3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ЛД</w:t>
      </w:r>
    </w:p>
    <w:p w14:paraId="0A63D3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у земли - 554</w:t>
      </w:r>
    </w:p>
    <w:p w14:paraId="32AE23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1-й гр. высотности (1400) - 590</w:t>
      </w:r>
    </w:p>
    <w:p w14:paraId="5D9074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2-й гр. высотности (3400) - 618</w:t>
      </w:r>
    </w:p>
    <w:p w14:paraId="09DE46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5000 - 593</w:t>
      </w:r>
    </w:p>
    <w:p w14:paraId="2F3CB4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6000 - 578</w:t>
      </w:r>
    </w:p>
    <w:p w14:paraId="46D8C3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5000 м - 4,8</w:t>
      </w:r>
    </w:p>
    <w:p w14:paraId="04D270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Потолок 10750</w:t>
      </w:r>
    </w:p>
    <w:p w14:paraId="184149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Граница переключения нагнетателя - 2000 на скорости 542</w:t>
      </w:r>
    </w:p>
    <w:p w14:paraId="1BA2CF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Скорости вертикальные</w:t>
      </w:r>
    </w:p>
    <w:p w14:paraId="4FF57E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 - 18,1</w:t>
      </w:r>
    </w:p>
    <w:p w14:paraId="181318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гр. 650 - 18,9</w:t>
      </w:r>
    </w:p>
    <w:p w14:paraId="2F9334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перекл. - 17,0</w:t>
      </w:r>
    </w:p>
    <w:p w14:paraId="3D4503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 гр. (2500) - 19,2</w:t>
      </w:r>
    </w:p>
    <w:p w14:paraId="1BA33F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5000 - 13,6</w:t>
      </w:r>
    </w:p>
    <w:p w14:paraId="60C620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6000 - 11,3</w:t>
      </w:r>
    </w:p>
    <w:p w14:paraId="2BE171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ВК-105ПФ-2 наработал с начала испытаний 44:02 и был снят из-за течи воды из блока через уплотнение гильзы</w:t>
      </w:r>
    </w:p>
    <w:p w14:paraId="02DAB2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Производилось сравнение с 105-1, Як-3 дублер, Ла-7 (испытанном в апреле 1944), с Ме-109G (январь 1943) и ФВ-190 А-4 (июль 1943).</w:t>
      </w:r>
    </w:p>
    <w:p w14:paraId="1AFC23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55DDF0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ВМГ работает неудовлетворительно</w:t>
      </w:r>
    </w:p>
    <w:p w14:paraId="3E5111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наборе высоты с полностью отурытым туннелем водорадиатора температура воды 116 гр, в горизонтальном полете - 115 (макс. допустимо - 110)</w:t>
      </w:r>
    </w:p>
    <w:p w14:paraId="470EBA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Установленное пулеметно-пушечное вооружение не доведено.</w:t>
      </w:r>
    </w:p>
    <w:p w14:paraId="1B19B2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Искажение видимости предметов через сферическую часть козырька кабины пилота</w:t>
      </w:r>
    </w:p>
    <w:p w14:paraId="43E7DB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с-те отсутствует аварийный сброс фонаря</w:t>
      </w:r>
    </w:p>
    <w:p w14:paraId="30EB22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w:t>
      </w:r>
    </w:p>
    <w:p w14:paraId="47957C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Модифицированный с-т 1-5-2 дублер конструкции т. Горбунова постройки ОКБ завода № 31 госиспытания не выдержал по причине:</w:t>
      </w:r>
    </w:p>
    <w:p w14:paraId="4CCABC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низкие ЛТД для с-та большой модификации</w:t>
      </w:r>
    </w:p>
    <w:p w14:paraId="18A853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неудовлетворительная работа ВМГ и вооружения</w:t>
      </w:r>
    </w:p>
    <w:p w14:paraId="0C9A7B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Считать нецелесообразной продолжение работы по дальнейшей модификации с-та ЛаГГ-3 с мотором ВК-105ПФ-2</w:t>
      </w:r>
    </w:p>
    <w:p w14:paraId="1D8A56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дублер подлежит сдаче на завод № 31</w:t>
      </w:r>
    </w:p>
    <w:p w14:paraId="5F2C3A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Подписали с 20 по 24 июня (764,2).</w:t>
      </w:r>
    </w:p>
    <w:p w14:paraId="3ECF68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ED92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1944 года закончились государственные испытания ЛаГГ-3 «105-2», которые начались 10 мая. Машина с двигателем М-105ПФ-2 стартовой мощностью 1290 л.с. и рабочей мощностью 1310 л.с. на высоте 2000 м. Емкость топливных баков сократили с 405 до 377 л, пушку ШВАК заменили пушкой ВЯ-23 с боекомплектом 85 выстрелов. Пулемет БС имел боекомплект 185 выстрелов. Закончились они отрицательно. У самолета отметили недоработки в конструкции винтомоторной группы, слабое вооружение и низкие летные параметры. Самолет «105-2» значительно уступал по возможностям немецким истребителям Bf-109G-6 и Fw-190D-9. В результате в НИИ ВВС признали бесперспективным дальнейшее совершенствование ЛаГГа-3 и подняли вопрос о прекращении его серийного выпуска. Дальнейшие планы тбилисских конструкторов так и не были реализованы. В частности они предполагали оснастить самолет эластичными самогерметизирующимися баками. В отличие от жестких баков с резиновой обшивкой, у мягких баков сами стенки были сделаны из самозатягивающейся резины (11749).</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49"/>
        <w:gridCol w:w="850"/>
        <w:gridCol w:w="850"/>
        <w:gridCol w:w="850"/>
        <w:gridCol w:w="756"/>
        <w:gridCol w:w="850"/>
        <w:gridCol w:w="850"/>
        <w:gridCol w:w="856"/>
      </w:tblGrid>
      <w:tr w:rsidR="004D4663" w:rsidRPr="00070ADE" w14:paraId="14E3D4B2" w14:textId="77777777" w:rsidTr="00595BFB">
        <w:tc>
          <w:tcPr>
            <w:tcW w:w="1749" w:type="dxa"/>
            <w:gridSpan w:val="8"/>
            <w:tcBorders>
              <w:top w:val="single" w:sz="12" w:space="0" w:color="auto"/>
            </w:tcBorders>
          </w:tcPr>
          <w:p w14:paraId="761814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Характеристики</w:t>
            </w:r>
          </w:p>
        </w:tc>
      </w:tr>
      <w:tr w:rsidR="004D4663" w:rsidRPr="00070ADE" w14:paraId="2A37385D" w14:textId="77777777" w:rsidTr="00595BFB">
        <w:tc>
          <w:tcPr>
            <w:tcW w:w="1749" w:type="dxa"/>
          </w:tcPr>
          <w:p w14:paraId="036375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9ABEC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И-301</w:t>
            </w:r>
          </w:p>
        </w:tc>
        <w:tc>
          <w:tcPr>
            <w:tcW w:w="850" w:type="dxa"/>
          </w:tcPr>
          <w:p w14:paraId="73925F5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ЛаГГ-3</w:t>
            </w:r>
          </w:p>
          <w:p w14:paraId="5160402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3121715</w:t>
            </w:r>
          </w:p>
        </w:tc>
        <w:tc>
          <w:tcPr>
            <w:tcW w:w="850" w:type="dxa"/>
          </w:tcPr>
          <w:p w14:paraId="748A17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ЛаГГ-3</w:t>
            </w:r>
          </w:p>
          <w:p w14:paraId="70A7C8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3121855</w:t>
            </w:r>
          </w:p>
        </w:tc>
        <w:tc>
          <w:tcPr>
            <w:tcW w:w="756" w:type="dxa"/>
          </w:tcPr>
          <w:p w14:paraId="6FBA345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ЛаГГ-3</w:t>
            </w:r>
          </w:p>
          <w:p w14:paraId="5577AA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31212912</w:t>
            </w:r>
          </w:p>
        </w:tc>
        <w:tc>
          <w:tcPr>
            <w:tcW w:w="850" w:type="dxa"/>
          </w:tcPr>
          <w:p w14:paraId="6AC2AB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ЛаГГ-3</w:t>
            </w:r>
          </w:p>
          <w:p w14:paraId="492A04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6011</w:t>
            </w:r>
          </w:p>
        </w:tc>
        <w:tc>
          <w:tcPr>
            <w:tcW w:w="850" w:type="dxa"/>
          </w:tcPr>
          <w:p w14:paraId="6BFFFFE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ЛаГГ-3</w:t>
            </w:r>
          </w:p>
          <w:p w14:paraId="57085CD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7166</w:t>
            </w:r>
          </w:p>
        </w:tc>
        <w:tc>
          <w:tcPr>
            <w:tcW w:w="856" w:type="dxa"/>
          </w:tcPr>
          <w:p w14:paraId="76DD7D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105-2</w:t>
            </w:r>
          </w:p>
        </w:tc>
      </w:tr>
      <w:tr w:rsidR="004D4663" w:rsidRPr="00070ADE" w14:paraId="2533F5F6" w14:textId="77777777" w:rsidTr="00595BFB">
        <w:tc>
          <w:tcPr>
            <w:tcW w:w="1749" w:type="dxa"/>
          </w:tcPr>
          <w:p w14:paraId="237A1F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Размах крыла (мм)</w:t>
            </w:r>
          </w:p>
        </w:tc>
        <w:tc>
          <w:tcPr>
            <w:tcW w:w="850" w:type="dxa"/>
          </w:tcPr>
          <w:p w14:paraId="1F184C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9810</w:t>
            </w:r>
          </w:p>
        </w:tc>
        <w:tc>
          <w:tcPr>
            <w:tcW w:w="850" w:type="dxa"/>
          </w:tcPr>
          <w:p w14:paraId="02387E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9810</w:t>
            </w:r>
          </w:p>
        </w:tc>
        <w:tc>
          <w:tcPr>
            <w:tcW w:w="850" w:type="dxa"/>
          </w:tcPr>
          <w:p w14:paraId="4C5C1E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9810</w:t>
            </w:r>
          </w:p>
        </w:tc>
        <w:tc>
          <w:tcPr>
            <w:tcW w:w="756" w:type="dxa"/>
          </w:tcPr>
          <w:p w14:paraId="04F993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9810</w:t>
            </w:r>
          </w:p>
        </w:tc>
        <w:tc>
          <w:tcPr>
            <w:tcW w:w="850" w:type="dxa"/>
          </w:tcPr>
          <w:p w14:paraId="75AF5B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9810</w:t>
            </w:r>
          </w:p>
        </w:tc>
        <w:tc>
          <w:tcPr>
            <w:tcW w:w="850" w:type="dxa"/>
          </w:tcPr>
          <w:p w14:paraId="635FC4D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9810</w:t>
            </w:r>
          </w:p>
        </w:tc>
        <w:tc>
          <w:tcPr>
            <w:tcW w:w="856" w:type="dxa"/>
          </w:tcPr>
          <w:p w14:paraId="6C0F621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9810</w:t>
            </w:r>
          </w:p>
        </w:tc>
      </w:tr>
      <w:tr w:rsidR="004D4663" w:rsidRPr="00070ADE" w14:paraId="7B7246F1" w14:textId="77777777" w:rsidTr="00595BFB">
        <w:tc>
          <w:tcPr>
            <w:tcW w:w="1749" w:type="dxa"/>
          </w:tcPr>
          <w:p w14:paraId="556FA8E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Длина(мм)</w:t>
            </w:r>
          </w:p>
        </w:tc>
        <w:tc>
          <w:tcPr>
            <w:tcW w:w="850" w:type="dxa"/>
          </w:tcPr>
          <w:p w14:paraId="37B0354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8810</w:t>
            </w:r>
          </w:p>
        </w:tc>
        <w:tc>
          <w:tcPr>
            <w:tcW w:w="850" w:type="dxa"/>
          </w:tcPr>
          <w:p w14:paraId="7DF9ED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8810</w:t>
            </w:r>
          </w:p>
        </w:tc>
        <w:tc>
          <w:tcPr>
            <w:tcW w:w="850" w:type="dxa"/>
          </w:tcPr>
          <w:p w14:paraId="7824534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8810</w:t>
            </w:r>
          </w:p>
        </w:tc>
        <w:tc>
          <w:tcPr>
            <w:tcW w:w="756" w:type="dxa"/>
          </w:tcPr>
          <w:p w14:paraId="249B65B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8810</w:t>
            </w:r>
          </w:p>
        </w:tc>
        <w:tc>
          <w:tcPr>
            <w:tcW w:w="850" w:type="dxa"/>
          </w:tcPr>
          <w:p w14:paraId="789919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8810</w:t>
            </w:r>
          </w:p>
        </w:tc>
        <w:tc>
          <w:tcPr>
            <w:tcW w:w="850" w:type="dxa"/>
          </w:tcPr>
          <w:p w14:paraId="2469D5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8810</w:t>
            </w:r>
          </w:p>
        </w:tc>
        <w:tc>
          <w:tcPr>
            <w:tcW w:w="856" w:type="dxa"/>
          </w:tcPr>
          <w:p w14:paraId="0B3B42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8950</w:t>
            </w:r>
          </w:p>
        </w:tc>
      </w:tr>
      <w:tr w:rsidR="004D4663" w:rsidRPr="00070ADE" w14:paraId="6641375F" w14:textId="77777777" w:rsidTr="00595BFB">
        <w:tc>
          <w:tcPr>
            <w:tcW w:w="1749" w:type="dxa"/>
          </w:tcPr>
          <w:p w14:paraId="6A1878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Высота(мм)</w:t>
            </w:r>
          </w:p>
        </w:tc>
        <w:tc>
          <w:tcPr>
            <w:tcW w:w="850" w:type="dxa"/>
          </w:tcPr>
          <w:p w14:paraId="47DC1DB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4400</w:t>
            </w:r>
          </w:p>
        </w:tc>
        <w:tc>
          <w:tcPr>
            <w:tcW w:w="850" w:type="dxa"/>
          </w:tcPr>
          <w:p w14:paraId="626C94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4400</w:t>
            </w:r>
          </w:p>
        </w:tc>
        <w:tc>
          <w:tcPr>
            <w:tcW w:w="850" w:type="dxa"/>
          </w:tcPr>
          <w:p w14:paraId="7A7894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4400</w:t>
            </w:r>
          </w:p>
        </w:tc>
        <w:tc>
          <w:tcPr>
            <w:tcW w:w="756" w:type="dxa"/>
          </w:tcPr>
          <w:p w14:paraId="7EEFAE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4400</w:t>
            </w:r>
          </w:p>
        </w:tc>
        <w:tc>
          <w:tcPr>
            <w:tcW w:w="850" w:type="dxa"/>
          </w:tcPr>
          <w:p w14:paraId="4C0F87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4400</w:t>
            </w:r>
          </w:p>
        </w:tc>
        <w:tc>
          <w:tcPr>
            <w:tcW w:w="850" w:type="dxa"/>
          </w:tcPr>
          <w:p w14:paraId="0ADFD9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4400</w:t>
            </w:r>
          </w:p>
        </w:tc>
        <w:tc>
          <w:tcPr>
            <w:tcW w:w="856" w:type="dxa"/>
          </w:tcPr>
          <w:p w14:paraId="48AB14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4400</w:t>
            </w:r>
          </w:p>
        </w:tc>
      </w:tr>
      <w:tr w:rsidR="004D4663" w:rsidRPr="00070ADE" w14:paraId="5017796E" w14:textId="77777777" w:rsidTr="00595BFB">
        <w:tc>
          <w:tcPr>
            <w:tcW w:w="1749" w:type="dxa"/>
          </w:tcPr>
          <w:p w14:paraId="6EF62D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w:t>
            </w:r>
          </w:p>
        </w:tc>
        <w:tc>
          <w:tcPr>
            <w:tcW w:w="850" w:type="dxa"/>
          </w:tcPr>
          <w:p w14:paraId="754BAA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w:t>
            </w:r>
          </w:p>
        </w:tc>
        <w:tc>
          <w:tcPr>
            <w:tcW w:w="850" w:type="dxa"/>
          </w:tcPr>
          <w:p w14:paraId="72C936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w:t>
            </w:r>
          </w:p>
        </w:tc>
        <w:tc>
          <w:tcPr>
            <w:tcW w:w="850" w:type="dxa"/>
          </w:tcPr>
          <w:p w14:paraId="2C4E1F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w:t>
            </w:r>
          </w:p>
        </w:tc>
        <w:tc>
          <w:tcPr>
            <w:tcW w:w="756" w:type="dxa"/>
          </w:tcPr>
          <w:p w14:paraId="4C1D809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М-105ПФ</w:t>
            </w:r>
          </w:p>
        </w:tc>
        <w:tc>
          <w:tcPr>
            <w:tcW w:w="850" w:type="dxa"/>
          </w:tcPr>
          <w:p w14:paraId="22DB4A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М-105ПФ</w:t>
            </w:r>
          </w:p>
        </w:tc>
        <w:tc>
          <w:tcPr>
            <w:tcW w:w="850" w:type="dxa"/>
          </w:tcPr>
          <w:p w14:paraId="51CB66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М-105ПФ</w:t>
            </w:r>
          </w:p>
        </w:tc>
        <w:tc>
          <w:tcPr>
            <w:tcW w:w="856" w:type="dxa"/>
          </w:tcPr>
          <w:p w14:paraId="032225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М-105ПФ-2</w:t>
            </w:r>
          </w:p>
        </w:tc>
      </w:tr>
      <w:tr w:rsidR="004D4663" w:rsidRPr="00070ADE" w14:paraId="12D5A14C" w14:textId="77777777" w:rsidTr="00595BFB">
        <w:tc>
          <w:tcPr>
            <w:tcW w:w="1749" w:type="dxa"/>
          </w:tcPr>
          <w:p w14:paraId="2F9A3E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Мощность взлетная, л.с.</w:t>
            </w:r>
          </w:p>
        </w:tc>
        <w:tc>
          <w:tcPr>
            <w:tcW w:w="850" w:type="dxa"/>
          </w:tcPr>
          <w:p w14:paraId="4B65B7F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1020</w:t>
            </w:r>
          </w:p>
        </w:tc>
        <w:tc>
          <w:tcPr>
            <w:tcW w:w="850" w:type="dxa"/>
          </w:tcPr>
          <w:p w14:paraId="184F80B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1020</w:t>
            </w:r>
          </w:p>
        </w:tc>
        <w:tc>
          <w:tcPr>
            <w:tcW w:w="850" w:type="dxa"/>
          </w:tcPr>
          <w:p w14:paraId="3D0A656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1020</w:t>
            </w:r>
          </w:p>
        </w:tc>
        <w:tc>
          <w:tcPr>
            <w:tcW w:w="756" w:type="dxa"/>
          </w:tcPr>
          <w:p w14:paraId="52E096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1210</w:t>
            </w:r>
          </w:p>
        </w:tc>
        <w:tc>
          <w:tcPr>
            <w:tcW w:w="850" w:type="dxa"/>
          </w:tcPr>
          <w:p w14:paraId="0D09F3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1210</w:t>
            </w:r>
          </w:p>
        </w:tc>
        <w:tc>
          <w:tcPr>
            <w:tcW w:w="850" w:type="dxa"/>
          </w:tcPr>
          <w:p w14:paraId="51C149A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1210</w:t>
            </w:r>
          </w:p>
        </w:tc>
        <w:tc>
          <w:tcPr>
            <w:tcW w:w="856" w:type="dxa"/>
          </w:tcPr>
          <w:p w14:paraId="7F34420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1290</w:t>
            </w:r>
          </w:p>
        </w:tc>
      </w:tr>
      <w:tr w:rsidR="004D4663" w:rsidRPr="00070ADE" w14:paraId="17826657" w14:textId="77777777" w:rsidTr="00595BFB">
        <w:tc>
          <w:tcPr>
            <w:tcW w:w="1749" w:type="dxa"/>
          </w:tcPr>
          <w:p w14:paraId="28998E3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Мощность на высоте, л.с./м</w:t>
            </w:r>
          </w:p>
          <w:p w14:paraId="25F2AB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1-я скорость нагнетателя</w:t>
            </w:r>
          </w:p>
        </w:tc>
        <w:tc>
          <w:tcPr>
            <w:tcW w:w="850" w:type="dxa"/>
          </w:tcPr>
          <w:p w14:paraId="69B3CC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1100/2000</w:t>
            </w:r>
          </w:p>
        </w:tc>
        <w:tc>
          <w:tcPr>
            <w:tcW w:w="850" w:type="dxa"/>
          </w:tcPr>
          <w:p w14:paraId="31BFE0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1100/2000</w:t>
            </w:r>
          </w:p>
        </w:tc>
        <w:tc>
          <w:tcPr>
            <w:tcW w:w="850" w:type="dxa"/>
          </w:tcPr>
          <w:p w14:paraId="29096FE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1100/2000</w:t>
            </w:r>
          </w:p>
        </w:tc>
        <w:tc>
          <w:tcPr>
            <w:tcW w:w="756" w:type="dxa"/>
          </w:tcPr>
          <w:p w14:paraId="6A15D2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1260/700</w:t>
            </w:r>
          </w:p>
        </w:tc>
        <w:tc>
          <w:tcPr>
            <w:tcW w:w="850" w:type="dxa"/>
          </w:tcPr>
          <w:p w14:paraId="623FD2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1260/700</w:t>
            </w:r>
          </w:p>
        </w:tc>
        <w:tc>
          <w:tcPr>
            <w:tcW w:w="850" w:type="dxa"/>
          </w:tcPr>
          <w:p w14:paraId="45756D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1260/700</w:t>
            </w:r>
          </w:p>
        </w:tc>
        <w:tc>
          <w:tcPr>
            <w:tcW w:w="856" w:type="dxa"/>
          </w:tcPr>
          <w:p w14:paraId="44EB72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1310/2000</w:t>
            </w:r>
          </w:p>
        </w:tc>
      </w:tr>
      <w:tr w:rsidR="004D4663" w:rsidRPr="00070ADE" w14:paraId="02163E17" w14:textId="77777777" w:rsidTr="00595BFB">
        <w:tc>
          <w:tcPr>
            <w:tcW w:w="1749" w:type="dxa"/>
          </w:tcPr>
          <w:p w14:paraId="009CCB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Мощность на высоте, л.с./м</w:t>
            </w:r>
          </w:p>
          <w:p w14:paraId="1A3335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2-я скорость нагнетателя</w:t>
            </w:r>
          </w:p>
        </w:tc>
        <w:tc>
          <w:tcPr>
            <w:tcW w:w="850" w:type="dxa"/>
          </w:tcPr>
          <w:p w14:paraId="39A328E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1050/4000</w:t>
            </w:r>
          </w:p>
        </w:tc>
        <w:tc>
          <w:tcPr>
            <w:tcW w:w="850" w:type="dxa"/>
          </w:tcPr>
          <w:p w14:paraId="4365E75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1050/4000</w:t>
            </w:r>
          </w:p>
        </w:tc>
        <w:tc>
          <w:tcPr>
            <w:tcW w:w="850" w:type="dxa"/>
          </w:tcPr>
          <w:p w14:paraId="376827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1050/4000</w:t>
            </w:r>
          </w:p>
        </w:tc>
        <w:tc>
          <w:tcPr>
            <w:tcW w:w="756" w:type="dxa"/>
          </w:tcPr>
          <w:p w14:paraId="31BD7D5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1180/700</w:t>
            </w:r>
          </w:p>
        </w:tc>
        <w:tc>
          <w:tcPr>
            <w:tcW w:w="850" w:type="dxa"/>
          </w:tcPr>
          <w:p w14:paraId="4D7ED0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1180/2700</w:t>
            </w:r>
          </w:p>
        </w:tc>
        <w:tc>
          <w:tcPr>
            <w:tcW w:w="850" w:type="dxa"/>
          </w:tcPr>
          <w:p w14:paraId="1501FF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1170/2700</w:t>
            </w:r>
          </w:p>
        </w:tc>
        <w:tc>
          <w:tcPr>
            <w:tcW w:w="856" w:type="dxa"/>
          </w:tcPr>
          <w:p w14:paraId="08C17E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1240/2100</w:t>
            </w:r>
          </w:p>
        </w:tc>
      </w:tr>
      <w:tr w:rsidR="004D4663" w:rsidRPr="00070ADE" w14:paraId="5AF4DF04" w14:textId="77777777" w:rsidTr="00595BFB">
        <w:tc>
          <w:tcPr>
            <w:tcW w:w="1749" w:type="dxa"/>
          </w:tcPr>
          <w:p w14:paraId="2A58B9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Масса боевая, кг</w:t>
            </w:r>
          </w:p>
        </w:tc>
        <w:tc>
          <w:tcPr>
            <w:tcW w:w="850" w:type="dxa"/>
          </w:tcPr>
          <w:p w14:paraId="28C1A5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2968</w:t>
            </w:r>
          </w:p>
        </w:tc>
        <w:tc>
          <w:tcPr>
            <w:tcW w:w="850" w:type="dxa"/>
          </w:tcPr>
          <w:p w14:paraId="27EA05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3280</w:t>
            </w:r>
          </w:p>
        </w:tc>
        <w:tc>
          <w:tcPr>
            <w:tcW w:w="850" w:type="dxa"/>
          </w:tcPr>
          <w:p w14:paraId="57EBEA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3380</w:t>
            </w:r>
          </w:p>
        </w:tc>
        <w:tc>
          <w:tcPr>
            <w:tcW w:w="756" w:type="dxa"/>
          </w:tcPr>
          <w:p w14:paraId="10A12F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3160</w:t>
            </w:r>
          </w:p>
        </w:tc>
        <w:tc>
          <w:tcPr>
            <w:tcW w:w="850" w:type="dxa"/>
          </w:tcPr>
          <w:p w14:paraId="12A1E5E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3006</w:t>
            </w:r>
          </w:p>
        </w:tc>
        <w:tc>
          <w:tcPr>
            <w:tcW w:w="850" w:type="dxa"/>
          </w:tcPr>
          <w:p w14:paraId="67FD01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2983</w:t>
            </w:r>
          </w:p>
        </w:tc>
        <w:tc>
          <w:tcPr>
            <w:tcW w:w="856" w:type="dxa"/>
          </w:tcPr>
          <w:p w14:paraId="7035CC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2875</w:t>
            </w:r>
          </w:p>
        </w:tc>
      </w:tr>
      <w:tr w:rsidR="004D4663" w:rsidRPr="00070ADE" w14:paraId="38EA2D18" w14:textId="77777777" w:rsidTr="00595BFB">
        <w:tc>
          <w:tcPr>
            <w:tcW w:w="1749" w:type="dxa"/>
          </w:tcPr>
          <w:p w14:paraId="7F1C73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Масса пустого, кг</w:t>
            </w:r>
          </w:p>
        </w:tc>
        <w:tc>
          <w:tcPr>
            <w:tcW w:w="850" w:type="dxa"/>
          </w:tcPr>
          <w:p w14:paraId="017FF2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2380</w:t>
            </w:r>
          </w:p>
        </w:tc>
        <w:tc>
          <w:tcPr>
            <w:tcW w:w="850" w:type="dxa"/>
          </w:tcPr>
          <w:p w14:paraId="247741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2610</w:t>
            </w:r>
          </w:p>
        </w:tc>
        <w:tc>
          <w:tcPr>
            <w:tcW w:w="850" w:type="dxa"/>
          </w:tcPr>
          <w:p w14:paraId="0E105A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6" w:type="dxa"/>
          </w:tcPr>
          <w:p w14:paraId="2474477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Pr>
          <w:p w14:paraId="1BE5F4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Pr>
          <w:p w14:paraId="5FEAAC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6" w:type="dxa"/>
          </w:tcPr>
          <w:p w14:paraId="48E29E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2285</w:t>
            </w:r>
          </w:p>
        </w:tc>
      </w:tr>
      <w:tr w:rsidR="004D4663" w:rsidRPr="00070ADE" w14:paraId="7C542C07" w14:textId="77777777" w:rsidTr="00595BFB">
        <w:tc>
          <w:tcPr>
            <w:tcW w:w="1749" w:type="dxa"/>
          </w:tcPr>
          <w:p w14:paraId="0AD0B45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Масса топлива, кг</w:t>
            </w:r>
          </w:p>
        </w:tc>
        <w:tc>
          <w:tcPr>
            <w:tcW w:w="850" w:type="dxa"/>
          </w:tcPr>
          <w:p w14:paraId="03A2E6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850" w:type="dxa"/>
          </w:tcPr>
          <w:p w14:paraId="1B79B9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340</w:t>
            </w:r>
          </w:p>
        </w:tc>
        <w:tc>
          <w:tcPr>
            <w:tcW w:w="850" w:type="dxa"/>
          </w:tcPr>
          <w:p w14:paraId="27BCCE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6" w:type="dxa"/>
          </w:tcPr>
          <w:p w14:paraId="114C3B0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w:t>
            </w:r>
          </w:p>
        </w:tc>
        <w:tc>
          <w:tcPr>
            <w:tcW w:w="850" w:type="dxa"/>
          </w:tcPr>
          <w:p w14:paraId="3482676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Pr>
          <w:p w14:paraId="09C5695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6" w:type="dxa"/>
          </w:tcPr>
          <w:p w14:paraId="75669A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w:t>
            </w:r>
          </w:p>
        </w:tc>
      </w:tr>
      <w:tr w:rsidR="004D4663" w:rsidRPr="00070ADE" w14:paraId="049C6BB7" w14:textId="77777777" w:rsidTr="00595BFB">
        <w:tc>
          <w:tcPr>
            <w:tcW w:w="1749" w:type="dxa"/>
          </w:tcPr>
          <w:p w14:paraId="442A063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у земли, км/ч</w:t>
            </w:r>
          </w:p>
        </w:tc>
        <w:tc>
          <w:tcPr>
            <w:tcW w:w="850" w:type="dxa"/>
          </w:tcPr>
          <w:p w14:paraId="1B3C9D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515</w:t>
            </w:r>
          </w:p>
        </w:tc>
        <w:tc>
          <w:tcPr>
            <w:tcW w:w="850" w:type="dxa"/>
          </w:tcPr>
          <w:p w14:paraId="7F743D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474</w:t>
            </w:r>
          </w:p>
        </w:tc>
        <w:tc>
          <w:tcPr>
            <w:tcW w:w="850" w:type="dxa"/>
          </w:tcPr>
          <w:p w14:paraId="296562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462</w:t>
            </w:r>
          </w:p>
        </w:tc>
        <w:tc>
          <w:tcPr>
            <w:tcW w:w="756" w:type="dxa"/>
          </w:tcPr>
          <w:p w14:paraId="317A01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507</w:t>
            </w:r>
          </w:p>
        </w:tc>
        <w:tc>
          <w:tcPr>
            <w:tcW w:w="850" w:type="dxa"/>
          </w:tcPr>
          <w:p w14:paraId="309326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545</w:t>
            </w:r>
          </w:p>
        </w:tc>
        <w:tc>
          <w:tcPr>
            <w:tcW w:w="850" w:type="dxa"/>
          </w:tcPr>
          <w:p w14:paraId="182F3A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532</w:t>
            </w:r>
          </w:p>
        </w:tc>
        <w:tc>
          <w:tcPr>
            <w:tcW w:w="856" w:type="dxa"/>
          </w:tcPr>
          <w:p w14:paraId="66E1EF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554</w:t>
            </w:r>
          </w:p>
        </w:tc>
      </w:tr>
      <w:tr w:rsidR="004D4663" w:rsidRPr="00070ADE" w14:paraId="1175C529" w14:textId="77777777" w:rsidTr="00595BFB">
        <w:tc>
          <w:tcPr>
            <w:tcW w:w="1749" w:type="dxa"/>
          </w:tcPr>
          <w:p w14:paraId="7FDD02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высоте, км/ч/м</w:t>
            </w:r>
          </w:p>
        </w:tc>
        <w:tc>
          <w:tcPr>
            <w:tcW w:w="850" w:type="dxa"/>
          </w:tcPr>
          <w:p w14:paraId="5CB4E89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605/4950</w:t>
            </w:r>
          </w:p>
        </w:tc>
        <w:tc>
          <w:tcPr>
            <w:tcW w:w="850" w:type="dxa"/>
          </w:tcPr>
          <w:p w14:paraId="234C0D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549/5000</w:t>
            </w:r>
          </w:p>
        </w:tc>
        <w:tc>
          <w:tcPr>
            <w:tcW w:w="850" w:type="dxa"/>
          </w:tcPr>
          <w:p w14:paraId="37A237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554/4850</w:t>
            </w:r>
          </w:p>
        </w:tc>
        <w:tc>
          <w:tcPr>
            <w:tcW w:w="756" w:type="dxa"/>
          </w:tcPr>
          <w:p w14:paraId="6542FB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566/3850</w:t>
            </w:r>
          </w:p>
        </w:tc>
        <w:tc>
          <w:tcPr>
            <w:tcW w:w="850" w:type="dxa"/>
          </w:tcPr>
          <w:p w14:paraId="55C882A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595/3400</w:t>
            </w:r>
          </w:p>
        </w:tc>
        <w:tc>
          <w:tcPr>
            <w:tcW w:w="850" w:type="dxa"/>
          </w:tcPr>
          <w:p w14:paraId="08481C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586/3600</w:t>
            </w:r>
          </w:p>
        </w:tc>
        <w:tc>
          <w:tcPr>
            <w:tcW w:w="856" w:type="dxa"/>
          </w:tcPr>
          <w:p w14:paraId="5185B4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618/3400</w:t>
            </w:r>
          </w:p>
        </w:tc>
      </w:tr>
      <w:tr w:rsidR="004D4663" w:rsidRPr="00070ADE" w14:paraId="783FE205" w14:textId="77777777" w:rsidTr="00595BFB">
        <w:tc>
          <w:tcPr>
            <w:tcW w:w="1749" w:type="dxa"/>
          </w:tcPr>
          <w:p w14:paraId="6E1981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Скороподъемность у земли, м/с</w:t>
            </w:r>
          </w:p>
        </w:tc>
        <w:tc>
          <w:tcPr>
            <w:tcW w:w="850" w:type="dxa"/>
          </w:tcPr>
          <w:p w14:paraId="638CA9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Pr>
          <w:p w14:paraId="264C06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w:t>
            </w:r>
          </w:p>
        </w:tc>
        <w:tc>
          <w:tcPr>
            <w:tcW w:w="850" w:type="dxa"/>
          </w:tcPr>
          <w:p w14:paraId="4D9793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6" w:type="dxa"/>
          </w:tcPr>
          <w:p w14:paraId="4B0EB45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Pr>
          <w:p w14:paraId="0E2900F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Pr>
          <w:p w14:paraId="5615CB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w:t>
            </w:r>
          </w:p>
        </w:tc>
        <w:tc>
          <w:tcPr>
            <w:tcW w:w="856" w:type="dxa"/>
          </w:tcPr>
          <w:p w14:paraId="1D37944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w:t>
            </w:r>
          </w:p>
        </w:tc>
      </w:tr>
      <w:tr w:rsidR="004D4663" w:rsidRPr="00070ADE" w14:paraId="047CBC01" w14:textId="77777777" w:rsidTr="00595BFB">
        <w:tc>
          <w:tcPr>
            <w:tcW w:w="1749" w:type="dxa"/>
          </w:tcPr>
          <w:p w14:paraId="45CEDA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Скороподъемность на высоте 5000м, м/с</w:t>
            </w:r>
          </w:p>
        </w:tc>
        <w:tc>
          <w:tcPr>
            <w:tcW w:w="850" w:type="dxa"/>
          </w:tcPr>
          <w:p w14:paraId="2BA2E2B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5,85</w:t>
            </w:r>
          </w:p>
        </w:tc>
        <w:tc>
          <w:tcPr>
            <w:tcW w:w="850" w:type="dxa"/>
          </w:tcPr>
          <w:p w14:paraId="22E110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8,6</w:t>
            </w:r>
          </w:p>
        </w:tc>
        <w:tc>
          <w:tcPr>
            <w:tcW w:w="850" w:type="dxa"/>
          </w:tcPr>
          <w:p w14:paraId="2F4D6A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w:t>
            </w:r>
          </w:p>
        </w:tc>
        <w:tc>
          <w:tcPr>
            <w:tcW w:w="756" w:type="dxa"/>
          </w:tcPr>
          <w:p w14:paraId="480AD3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w:t>
            </w:r>
          </w:p>
        </w:tc>
        <w:tc>
          <w:tcPr>
            <w:tcW w:w="850" w:type="dxa"/>
          </w:tcPr>
          <w:p w14:paraId="626AFA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Pr>
          <w:p w14:paraId="3D2129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6" w:type="dxa"/>
          </w:tcPr>
          <w:p w14:paraId="3C46D5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97E6D7E" w14:textId="77777777" w:rsidTr="00595BFB">
        <w:tc>
          <w:tcPr>
            <w:tcW w:w="1749" w:type="dxa"/>
          </w:tcPr>
          <w:p w14:paraId="404524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Потолок, м</w:t>
            </w:r>
          </w:p>
        </w:tc>
        <w:tc>
          <w:tcPr>
            <w:tcW w:w="850" w:type="dxa"/>
          </w:tcPr>
          <w:p w14:paraId="37847DE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9600</w:t>
            </w:r>
          </w:p>
        </w:tc>
        <w:tc>
          <w:tcPr>
            <w:tcW w:w="850" w:type="dxa"/>
          </w:tcPr>
          <w:p w14:paraId="70DE10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9300</w:t>
            </w:r>
          </w:p>
        </w:tc>
        <w:tc>
          <w:tcPr>
            <w:tcW w:w="850" w:type="dxa"/>
          </w:tcPr>
          <w:p w14:paraId="12246BF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6" w:type="dxa"/>
          </w:tcPr>
          <w:p w14:paraId="1A4D83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10 000</w:t>
            </w:r>
          </w:p>
        </w:tc>
        <w:tc>
          <w:tcPr>
            <w:tcW w:w="850" w:type="dxa"/>
          </w:tcPr>
          <w:p w14:paraId="2AB59B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9400</w:t>
            </w:r>
          </w:p>
        </w:tc>
        <w:tc>
          <w:tcPr>
            <w:tcW w:w="850" w:type="dxa"/>
          </w:tcPr>
          <w:p w14:paraId="141366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6" w:type="dxa"/>
          </w:tcPr>
          <w:p w14:paraId="47516AE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10750</w:t>
            </w:r>
          </w:p>
        </w:tc>
      </w:tr>
      <w:tr w:rsidR="004D4663" w:rsidRPr="00070ADE" w14:paraId="0CF83E70" w14:textId="77777777" w:rsidTr="00595BFB">
        <w:tc>
          <w:tcPr>
            <w:tcW w:w="1749" w:type="dxa"/>
          </w:tcPr>
          <w:p w14:paraId="223B4B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выполнения виража, сек</w:t>
            </w:r>
          </w:p>
        </w:tc>
        <w:tc>
          <w:tcPr>
            <w:tcW w:w="850" w:type="dxa"/>
          </w:tcPr>
          <w:p w14:paraId="57C28C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tc>
        <w:tc>
          <w:tcPr>
            <w:tcW w:w="850" w:type="dxa"/>
          </w:tcPr>
          <w:p w14:paraId="5DA330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20-21</w:t>
            </w:r>
          </w:p>
        </w:tc>
        <w:tc>
          <w:tcPr>
            <w:tcW w:w="850" w:type="dxa"/>
          </w:tcPr>
          <w:p w14:paraId="589461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6" w:type="dxa"/>
          </w:tcPr>
          <w:p w14:paraId="4F6664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w:t>
            </w:r>
          </w:p>
        </w:tc>
        <w:tc>
          <w:tcPr>
            <w:tcW w:w="850" w:type="dxa"/>
          </w:tcPr>
          <w:p w14:paraId="2633EB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Pr>
          <w:p w14:paraId="30CD08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6" w:type="dxa"/>
          </w:tcPr>
          <w:p w14:paraId="44C321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32152AD" w14:textId="77777777" w:rsidTr="00595BFB">
        <w:tc>
          <w:tcPr>
            <w:tcW w:w="1749" w:type="dxa"/>
          </w:tcPr>
          <w:p w14:paraId="2A8005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Дальность макс, км</w:t>
            </w:r>
          </w:p>
        </w:tc>
        <w:tc>
          <w:tcPr>
            <w:tcW w:w="850" w:type="dxa"/>
          </w:tcPr>
          <w:p w14:paraId="0C6F90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556</w:t>
            </w:r>
          </w:p>
        </w:tc>
        <w:tc>
          <w:tcPr>
            <w:tcW w:w="850" w:type="dxa"/>
          </w:tcPr>
          <w:p w14:paraId="2F05F0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705</w:t>
            </w:r>
          </w:p>
        </w:tc>
        <w:tc>
          <w:tcPr>
            <w:tcW w:w="850" w:type="dxa"/>
          </w:tcPr>
          <w:p w14:paraId="11E3C0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6" w:type="dxa"/>
          </w:tcPr>
          <w:p w14:paraId="695F096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Pr>
          <w:p w14:paraId="7DF9DF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537-832</w:t>
            </w:r>
          </w:p>
        </w:tc>
        <w:tc>
          <w:tcPr>
            <w:tcW w:w="850" w:type="dxa"/>
          </w:tcPr>
          <w:p w14:paraId="75F4E6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6" w:type="dxa"/>
          </w:tcPr>
          <w:p w14:paraId="4F2B17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3A609F3" w14:textId="77777777" w:rsidTr="00595BFB">
        <w:tc>
          <w:tcPr>
            <w:tcW w:w="1749" w:type="dxa"/>
          </w:tcPr>
          <w:p w14:paraId="706D8C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Разбег, м</w:t>
            </w:r>
          </w:p>
        </w:tc>
        <w:tc>
          <w:tcPr>
            <w:tcW w:w="850" w:type="dxa"/>
          </w:tcPr>
          <w:p w14:paraId="35BC28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355</w:t>
            </w:r>
          </w:p>
        </w:tc>
        <w:tc>
          <w:tcPr>
            <w:tcW w:w="850" w:type="dxa"/>
          </w:tcPr>
          <w:p w14:paraId="0E692A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480-543</w:t>
            </w:r>
          </w:p>
        </w:tc>
        <w:tc>
          <w:tcPr>
            <w:tcW w:w="850" w:type="dxa"/>
          </w:tcPr>
          <w:p w14:paraId="73A0D42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w:t>
            </w:r>
          </w:p>
        </w:tc>
        <w:tc>
          <w:tcPr>
            <w:tcW w:w="756" w:type="dxa"/>
          </w:tcPr>
          <w:p w14:paraId="7BF811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370</w:t>
            </w:r>
          </w:p>
        </w:tc>
        <w:tc>
          <w:tcPr>
            <w:tcW w:w="850" w:type="dxa"/>
          </w:tcPr>
          <w:p w14:paraId="76CC9E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Pr>
          <w:p w14:paraId="22DD18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6" w:type="dxa"/>
          </w:tcPr>
          <w:p w14:paraId="17041B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27F4B375" w14:textId="77777777" w:rsidTr="00595BFB">
        <w:tc>
          <w:tcPr>
            <w:tcW w:w="1749" w:type="dxa"/>
          </w:tcPr>
          <w:p w14:paraId="63D863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Пробег, м</w:t>
            </w:r>
          </w:p>
        </w:tc>
        <w:tc>
          <w:tcPr>
            <w:tcW w:w="850" w:type="dxa"/>
          </w:tcPr>
          <w:p w14:paraId="7F7995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tc>
        <w:tc>
          <w:tcPr>
            <w:tcW w:w="850" w:type="dxa"/>
          </w:tcPr>
          <w:p w14:paraId="767B5D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450-460</w:t>
            </w:r>
          </w:p>
        </w:tc>
        <w:tc>
          <w:tcPr>
            <w:tcW w:w="850" w:type="dxa"/>
          </w:tcPr>
          <w:p w14:paraId="75CD54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756" w:type="dxa"/>
          </w:tcPr>
          <w:p w14:paraId="61273C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Pr>
          <w:p w14:paraId="394410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0" w:type="dxa"/>
          </w:tcPr>
          <w:p w14:paraId="032E993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856" w:type="dxa"/>
          </w:tcPr>
          <w:p w14:paraId="2DB8DCA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7BB2A8B" w14:textId="77777777" w:rsidTr="00595BFB">
        <w:tc>
          <w:tcPr>
            <w:tcW w:w="1749" w:type="dxa"/>
            <w:tcBorders>
              <w:bottom w:val="single" w:sz="12" w:space="0" w:color="auto"/>
            </w:tcBorders>
          </w:tcPr>
          <w:p w14:paraId="719545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w:t>
            </w:r>
          </w:p>
        </w:tc>
        <w:tc>
          <w:tcPr>
            <w:tcW w:w="850" w:type="dxa"/>
            <w:tcBorders>
              <w:bottom w:val="single" w:sz="12" w:space="0" w:color="auto"/>
            </w:tcBorders>
          </w:tcPr>
          <w:p w14:paraId="068505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1х23</w:t>
            </w:r>
          </w:p>
          <w:p w14:paraId="382B9E1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2х12,7</w:t>
            </w:r>
          </w:p>
        </w:tc>
        <w:tc>
          <w:tcPr>
            <w:tcW w:w="850" w:type="dxa"/>
            <w:tcBorders>
              <w:bottom w:val="single" w:sz="12" w:space="0" w:color="auto"/>
            </w:tcBorders>
          </w:tcPr>
          <w:p w14:paraId="7C5BF7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1х20</w:t>
            </w:r>
          </w:p>
          <w:p w14:paraId="6F401B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2х12,7</w:t>
            </w:r>
          </w:p>
          <w:p w14:paraId="096AAA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2х7,62</w:t>
            </w:r>
          </w:p>
        </w:tc>
        <w:tc>
          <w:tcPr>
            <w:tcW w:w="850" w:type="dxa"/>
            <w:tcBorders>
              <w:bottom w:val="single" w:sz="12" w:space="0" w:color="auto"/>
            </w:tcBorders>
          </w:tcPr>
          <w:p w14:paraId="5C0D7E3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1х20</w:t>
            </w:r>
          </w:p>
          <w:p w14:paraId="0CB0EA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2х12,7</w:t>
            </w:r>
          </w:p>
          <w:p w14:paraId="7A2463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2х7,62</w:t>
            </w:r>
          </w:p>
          <w:p w14:paraId="60F976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8хРС-82</w:t>
            </w:r>
          </w:p>
        </w:tc>
        <w:tc>
          <w:tcPr>
            <w:tcW w:w="756" w:type="dxa"/>
            <w:tcBorders>
              <w:bottom w:val="single" w:sz="12" w:space="0" w:color="auto"/>
            </w:tcBorders>
          </w:tcPr>
          <w:p w14:paraId="5D4668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1х20</w:t>
            </w:r>
          </w:p>
          <w:p w14:paraId="711195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2х12,7</w:t>
            </w:r>
          </w:p>
        </w:tc>
        <w:tc>
          <w:tcPr>
            <w:tcW w:w="850" w:type="dxa"/>
            <w:tcBorders>
              <w:bottom w:val="single" w:sz="12" w:space="0" w:color="auto"/>
            </w:tcBorders>
          </w:tcPr>
          <w:p w14:paraId="4AAA01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1х20</w:t>
            </w:r>
          </w:p>
          <w:p w14:paraId="7714BB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2х12,7</w:t>
            </w:r>
          </w:p>
        </w:tc>
        <w:tc>
          <w:tcPr>
            <w:tcW w:w="850" w:type="dxa"/>
            <w:tcBorders>
              <w:bottom w:val="single" w:sz="12" w:space="0" w:color="auto"/>
            </w:tcBorders>
          </w:tcPr>
          <w:p w14:paraId="717800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1х20</w:t>
            </w:r>
          </w:p>
          <w:p w14:paraId="23BEBC3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2х12,7</w:t>
            </w:r>
          </w:p>
        </w:tc>
        <w:tc>
          <w:tcPr>
            <w:tcW w:w="856" w:type="dxa"/>
            <w:tcBorders>
              <w:bottom w:val="single" w:sz="12" w:space="0" w:color="auto"/>
            </w:tcBorders>
          </w:tcPr>
          <w:p w14:paraId="6746B1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1х23</w:t>
            </w:r>
          </w:p>
          <w:p w14:paraId="1E1F743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2х12,7</w:t>
            </w:r>
          </w:p>
        </w:tc>
      </w:tr>
    </w:tbl>
    <w:p w14:paraId="225BDC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(11749)</w:t>
      </w:r>
    </w:p>
    <w:p w14:paraId="39376669" w14:textId="77777777" w:rsidR="00595BFB" w:rsidRPr="00070ADE" w:rsidRDefault="00595BFB" w:rsidP="00B56F90">
      <w:pPr>
        <w:autoSpaceDE w:val="0"/>
        <w:autoSpaceDN w:val="0"/>
        <w:adjustRightInd w:val="0"/>
        <w:spacing w:after="0" w:line="240" w:lineRule="auto"/>
        <w:jc w:val="both"/>
        <w:rPr>
          <w:rFonts w:ascii="Times New Roman" w:hAnsi="Times New Roman"/>
          <w:iCs/>
          <w:color w:val="000000" w:themeColor="text1"/>
          <w:sz w:val="16"/>
          <w:szCs w:val="16"/>
        </w:rPr>
      </w:pPr>
    </w:p>
    <w:p w14:paraId="6DB4E9CA" w14:textId="77777777" w:rsidR="00F51797" w:rsidRPr="00070ADE" w:rsidRDefault="00F5179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1941 была завершена программа госиспытаний самолета 105-2, который был построен 31-м заводом в феврале 1944 года, а 4 мая после непродолжительных заводских испытаний поступил в НИИ ВВС на госиспытания. Всего было выполнено 15 полетов общей продолжительностью 8 часов 40 минут.</w:t>
      </w:r>
    </w:p>
    <w:p w14:paraId="5079E45E" w14:textId="77777777" w:rsidR="00F51797" w:rsidRPr="00070ADE" w:rsidRDefault="00F5179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105-2 продемонстрировал неплохие результаты. У земли максимальная скорость составила 554 км/ч, на 1-й границе высотности (1400 метров) – 590 км/ч, на 2-й границе (3400 метров) – 618 км/ч, а на высотах в 5 и 6 километров самолет разгонялся, соответственно, до 593 и 578 километров в час. Время набора 5000 метров – 4,8 минуты. Потолок – 10750 метров. Оружие работало надежно. После отстрела в тире было выполнено три полета со стрельбой. Один – с ведением огня в горизонтальном полете на различных режимах работы двигателя и два – с прицельной стрельбой по наземным целям с пикирования. Было израсходовано два боекомплекта пулемета УБС и один – пушки ВЯ. Задержек не было. Помимо майора Дзюбы, самолет 105-2 облетали майоры Антипов и Прошаков.</w:t>
      </w:r>
    </w:p>
    <w:p w14:paraId="6F3AB8E5" w14:textId="77777777" w:rsidR="00F51797" w:rsidRPr="00070ADE" w:rsidRDefault="00F5179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Испытатели отмечали неплохое производственное исполнение машины, хорошую внешнюю отделку. Воздушная система уборки-выпуска шасси оказалась проще и надежнее гидравлической, работала безотказно и требовала меньшего ухода. Перенос маслорадиаторов сдвинул центр тяжести самолета назад, что привело к увеличению противокапотажного угла и повысило эффективность торможения. На рулении 105-2 был устойчив, на взлете прост, в полете имел хорошую управляемость. Однако на этом достоинства новой машины заканчивались.</w:t>
      </w:r>
    </w:p>
    <w:p w14:paraId="3AD425B9" w14:textId="77777777" w:rsidR="00F51797" w:rsidRPr="00070ADE" w:rsidRDefault="00F5179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Минусов у 105-2 оказалось больше. Главным, конечно, были худшие высотно-скоростные характеристики, причем, не только по сравнению с Як-3, но и с Як-9У с мотором М-105ПФ2, испытанного в НИИ ВВС в марте 1944 года. Тепловые режимы мотоустановки оставляли желать лучшего. Горизонтальный полет на максимальной скорости был возможен в течение 3-4 минут, после чего температура воды и масла выходила за установленные пределы. Летчики не очень одобряли перенос маслорадиаторов практически в кабину – при вынужденной посадке это грозило серьезными ожогами из-за разрыва трубопроводов. Не смотря на простую технику пилотирования 105-2, при резкой даче газа и энергичном подъеме хвоста самолет стремился к правому развороту. Усилия на элероны в полете по-прежнему оставались велики. Летчик имел плохой обзор вперед из-за искажений видимости сферическим козырьком – по заявлениям испытателей, при взгляде сквозь козырек предметы буквально двоились. Отсутствовал аварийный сброс створки фонаря. Качество радиосвязи оценивалось как отвратительное. Девиация магнитного компаса вдвое превышала установленные нормы. Компоновка приборного оборудования сохранилась практически без изменений с самолетов 60-й серии и не соответствовала требованиям на стандартную кабину истребителя, введенным в 1943 году. Несмотря на отсутствие отказов, пользоваться вооружением было неудобно – усилия на гашетках были слишком велики. Для УБС – 14-15 кг, а для пушки ВЯ и того больше – 20- 22 кг. При залповой стрельбе огонь можно было вести только двумя руками. Предохранитель гашеток работал ненадежно. При стрельбе могло произойти самопроизвольное стопорение гашеток, а при энергичном торможении рычаг тормоза заедал гашетки, что приводило к самопроизвольной стрельбе. Был зафиксирован один случай такой стрельбы из пушки очередью в 20 патронов. Выброс гильз пулемета за левый борт не обеспечивал безопасного ведения огня – стреляные гильзы царапали крыло и борт фюзеляжа. Для демонтажа пушки предварительно требовалось снять маслобак, звеньесборник пушки, звеньеотвод, патронный рукав и лючек противопожарной перегородки. При замене мотора снималась вся пушечная установка вместе с лафетом. Заключение к отчету было лаконичным:</w:t>
      </w:r>
    </w:p>
    <w:p w14:paraId="77B7FFD9" w14:textId="77777777" w:rsidR="00F51797" w:rsidRPr="00070ADE" w:rsidRDefault="00F5179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Модифицированный самолет 105-2 с мотором ВК-105ПФ2 «Дублер» конструкции тов. Горбунова В.П. постройки ОКБ завода № 31 государственные испытания НЕ ВЫДЕРЖАЛ по причине:</w:t>
      </w:r>
    </w:p>
    <w:p w14:paraId="68DF1945" w14:textId="77777777" w:rsidR="00F51797" w:rsidRPr="00070ADE" w:rsidRDefault="00F5179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низких летно-технических данных для самолета большой модификации,</w:t>
      </w:r>
    </w:p>
    <w:p w14:paraId="51D96C91" w14:textId="77777777" w:rsidR="00F51797" w:rsidRPr="00070ADE" w:rsidRDefault="00F5179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недоведенности винто-моторной группы и вооружения.</w:t>
      </w:r>
    </w:p>
    <w:p w14:paraId="1D26E439" w14:textId="77777777" w:rsidR="00F51797" w:rsidRPr="00070ADE" w:rsidRDefault="00F5179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Считать нецелесообразной продолжение работы по дальнейшей модификации самолета ЛаГГ-3 с мотором ВК-105ПФ2</w:t>
      </w:r>
    </w:p>
    <w:p w14:paraId="780E279C" w14:textId="77777777" w:rsidR="00F51797" w:rsidRPr="00070ADE" w:rsidRDefault="00F5179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Самолет 105-2 с мотором ВК-105ПФ2 «Дублер» подлежит сдаче на завод № 31» (23197).</w:t>
      </w:r>
    </w:p>
    <w:p w14:paraId="521281C2" w14:textId="77777777" w:rsidR="00F51797" w:rsidRPr="00070ADE" w:rsidRDefault="00F51797" w:rsidP="00B56F90">
      <w:pPr>
        <w:spacing w:after="0" w:line="240" w:lineRule="auto"/>
        <w:jc w:val="both"/>
        <w:rPr>
          <w:rFonts w:ascii="Times New Roman" w:hAnsi="Times New Roman"/>
          <w:color w:val="000000" w:themeColor="text1"/>
          <w:sz w:val="16"/>
          <w:szCs w:val="16"/>
        </w:rPr>
      </w:pPr>
    </w:p>
    <w:p w14:paraId="1D609C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1944 Командующий ВВС Красной Армии А.А. Новиков подписал приказ о проведении в 91-го иап (командир подполковник Ковалев) 256-й иад 5-го истребительного авиакорпуса (командир генерал-майор Галунов) 2-й воздушной армии с 20 июля по 2 августа войсковых испытаний истребителя Як-3, совпавших с проведением Львовской наступательной операции.</w:t>
      </w:r>
    </w:p>
    <w:p w14:paraId="1E68F8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1944 года личный состав переучился на Як-3 в 8-й запасном авиаполку (зап) в Багай-Баранов- ке и имел в своем составе 41 самолет (почти половина из числа построенных к июню 1944 года) производства завода №292.</w:t>
      </w:r>
    </w:p>
    <w:p w14:paraId="3C1C3A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Як-3 были укомплектованы двигателями ВК-105ПФ2, пушкой МП-20 и одним пулеметом БС.</w:t>
      </w:r>
    </w:p>
    <w:p w14:paraId="21F6EB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 полком, базировавшимся на травяных аэродромах Тарнополь и Куровицк, стояла задача завоевания господства в воздухе. К началу боевых действий полк имел 38 исправных самолетов. Остальные машины были поломаны при перебазировании на новые аэродромы, а два из них ввели в строй к середине войсковых испытаний.</w:t>
      </w:r>
    </w:p>
    <w:p w14:paraId="18C2F8A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Полк был полностью укомплектован летным и техническим составом, причем 41% летчиков участвовал в боях впервые. До начала боевых операций летный состав полка имел налет на Як-3 20-25 часов, что считалось хорошей подготовкой.</w:t>
      </w:r>
    </w:p>
    <w:p w14:paraId="0AC97B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Технический состав ранее эксплуатировал истребители Як-1, Я к-7 Б и Як-9 и имел соответствующий опыт.</w:t>
      </w:r>
    </w:p>
    <w:p w14:paraId="6E8EFC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войсковых испытаний полк выполнил 431 боевой самолето-вылет или 83 вылета группами от двух до восьми машин. Получается, что в среднем каждый летчик в день совершал не более одного вылета.</w:t>
      </w:r>
    </w:p>
    <w:p w14:paraId="7E87DF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период войсковых испытаний, - говорилось в отчете, - встречи с самолетами противника происходили главным образом в случаях, когда Як-3 вызывались с командного пункта. В других случаях, когда &lt;...&gt; Як-3 вылетали на прикрытие наземных войск (или на свободную охоту) встреч с противником не происходило. Это можно было объяснить, с одной стороны, тем, что сразу же в начале операции противнику был нанесен достаточный удар в боях 14 - 15 июля, после которых активность его ВВС сразу сократилась. С другой стороны, применяя методы барражирования, &lt;... &gt; Як-3 могли находиться над объектом прикрытия не более 15-17 минут и при свободной охоте вести очень кратковременное выслеживание из-за малого запаса горючего, что в значительной степени сокращало вероятность встречи с противником".</w:t>
      </w:r>
    </w:p>
    <w:p w14:paraId="3D9773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числа 83 группо-вылетов по 11 произвели для перехвата противника в районе аэродрома и на свободную охоту, 22 - по вызову командира корпуса для уничтожения самолетов противника над линией фронта и наращивания сил, 35 - для прикрытия наземных войск и четыре - для прикрытия своего аэродрома.</w:t>
      </w:r>
    </w:p>
    <w:p w14:paraId="763A6C8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испытаний было семь встреч с самолетами противника Ju87, Bfl09 и FW190. В пяти из них имели место воздушные бои, причем в двух случаях - крупные. В итоге было сбито три Ju87, 14 Bfl 09 и шесть FW190, но места их падения и документы, подтверждавшие факт сбитая, в отчете по результатам войсковых испытаний не приведены. При этом два Як-3 не вернулись с задания, у одного было повреждено остекление задней части фонаря, и у трех отмечено попадание в заднее бронестекло. Три самолета получили повреждения от огня зенитной артиллерии и совершили посадки вне аэродрома. Из всех самолетов два восстановили и один списали. Таким образом, наши потери составили пять машин.</w:t>
      </w:r>
    </w:p>
    <w:p w14:paraId="3A6351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Летчики отмечали, что Як-3 на высотах до 5000 метров превосходил Bfl09 и FW190 как на горизонталях (заходил в хвост истребителям противника на втором вираже), так и на вертикалях. Выше самолеты противника не поднимались. Догоняли противника и на пикировании, что раньше считалось невозможным.</w:t>
      </w:r>
    </w:p>
    <w:p w14:paraId="0F35253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"...Як-3, - говорилось в отчете - ввиду ограниченного запаса горючего наиболее целесообразно применять для борьбы с истребительной, а также бомбардировочной авиацией противника, по вызову станции наведения в район появления самолетов противника или по вызову для наращивания сил в воздушном бою.</w:t>
      </w:r>
    </w:p>
    <w:p w14:paraId="04E287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Выполнение других задач, как то: прикрытие наземных войск путем барражирования, сопровождение бомбардировщиков, ограничивается малым запасом горючего".</w:t>
      </w:r>
    </w:p>
    <w:p w14:paraId="018099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Воздушный бой 16 июля показал, что Як-3 могли успешно вести бой с численно превосходящим противником. Бой начался, когда десять наших истребителей встретились с восемью Bfl09 и четверкой FW190. Затем силы постепенно наращивались с обеих сторон. Под конец 18 Як-3 противостояли 24 самолетам противника. В итоге 18 "мессершмиттов" и "фокке- ров" остались лежать на нашей земле. Мы же потеряли одну машину, другой "як" получил повреждения.</w:t>
      </w:r>
    </w:p>
    <w:p w14:paraId="3D9B9D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Лишь два примера. Майор Околелов встретился в бою с Bfl 09 на высоте 2700 метров. Немец, почувствовав опасность, стал уходить пикированием. Наш летчик, преследуя его на полном газу мотора, сократил дистанцию с 700-600 до 50 метров и, находясь на высоте 500 метров, когда пилот "мессершмитта" стал выходить в горизонтальный полет, одной очередью сбил противника.</w:t>
      </w:r>
    </w:p>
    <w:p w14:paraId="15FD19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тот же день старший лейтенант Чижиков догнал Bfl 09 на горке с высоты 1300 метров, но выпущенная пулеме гно-пушеч- ная очередь прошла мимо. Противник тем временем с переворота перешел в пикирование в надежде оторваться от преследования. Пикируя за неприятелем, Чижиков с дистанции 50 метров сбил его.</w:t>
      </w:r>
    </w:p>
    <w:p w14:paraId="29D070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Эксплуатация Як-3 не представляла трудностей для технического состава, и переход, например с Як-9 на Як-3, не требовал длительного переучивания.</w:t>
      </w:r>
    </w:p>
    <w:p w14:paraId="3C7106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то же время был выявлен ряд конструктивных и производственных дефектов истребителя. В частности, зафиксировано 13 случаев поломки шасси. Тросов управления рулем поворота хватало лишь на 10- 15 часов налета, после чего их следовало менять. Сиденье пилота с трудом поддавалось регулировке по высоте. Пневмосисте- ма была недостаточно герметичной. Отмечались и другие дефекты, снижавшие боеготовность полка.</w:t>
      </w:r>
    </w:p>
    <w:p w14:paraId="57099BA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Подготовка одиночного самолета и пары к повторному боевому вылету с участием механика, моториста и оружейника (с одним бензозаправщиком на эскадрилью) и полным обеспечением другими техническими средствами занимала 35 - 40 минут, звена (четыре машины) - 35 - 40 минут, а эскадрильи и полка - до часа.</w:t>
      </w:r>
    </w:p>
    <w:p w14:paraId="26A4CC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Три самолета вышли из строя из-за недоброкачественного проклея обшивки крыла к лонжеронам и нервюрам. Причем на одном из них (№02-08) сорвало обшивку во время воздушного боя при выводе из пикирования после атаки на скорости 580- 600 км/ч по прибору. Обшивку сорвало с обеих консолей крыла площадью по 1,5 м2. Тем не менее летчик смог совершить благополучную посадку на своем аэродроме.</w:t>
      </w:r>
    </w:p>
    <w:p w14:paraId="1B5869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осмотра самолетов полка на аэродроме отставание обшивки обнаружилось и на других машинах. Это был первый случай срыва обшивки на Як-3. Тогда же обнаружилось и растрескивание лакокрасочного покрытия на половине самолетов полка.</w:t>
      </w:r>
    </w:p>
    <w:p w14:paraId="29E5E5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Средняя продолжительность полета на Як-3 с учетом 20% остатка горючего составляла 40-45 минут.</w:t>
      </w:r>
    </w:p>
    <w:p w14:paraId="73AABE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Отмечалось, что радиостанция PC И-4 на Як-3 работала лучше, чем на Як-1 и Як-9. При этом практическая дальность радиосвязи на высотах 3000 - 4000 метров с наземной радиостанцией РСБ составляла 50 - 60 км. В отдельных случаях она достигала ЮОкм.Связьмеждусамолетамиобеспечива- лась на расстоянии 15-20 км, а в отдельных случаях - 25-30 км. Но при работе автомата регулирования температуры двигателя АРТ-41 создавались сильные помехи, снижавшие слышимость почти в два раза.</w:t>
      </w:r>
    </w:p>
    <w:p w14:paraId="785B1B9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завершения войсковых испытаний в 91-й иап прибыли Як-3 №03-10, 40- 12, 19-13 и 24-13. Их летные данные оказались хуже, чем у машин, проходивших испытания. Так, максимальная скорость у земли снизилась до 540 км/ч по прибору (вместо 562 км/ч), ухудшились скороподъемность и управляемость. Связано это было главным образом с установкой второго пулемета БС. Негативно сказалась и плохая подгонка зализов крыла и оперения, а также плохая герметизация фюзеляжа (12047).</w:t>
      </w:r>
    </w:p>
    <w:p w14:paraId="5A3EBA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38140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1944 Зам. Нач. 7ГУ Алексеев подготовил сводку г-7 № 7804 о ходе испытаний высотных самолетов на 10 и 11 июня 1944 по Як-9 М-105ПД, Ла-5 АШ-82ФН и 2ТК-3, МиГ АМ-39А и 2ТК-2Б (1825).</w:t>
      </w:r>
    </w:p>
    <w:p w14:paraId="00A3CF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ИСТРЕБИТЕЛЬ ЯК-9 С ВК-105ПФ И ДВУХСТУПЕНЧАТЫМ НАГНЕТАТЕЛЕМ</w:t>
      </w:r>
    </w:p>
    <w:p w14:paraId="274B56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передан в ЦАГИ для отработки системы охлаждения воды и масла в аэродинамической трубе.</w:t>
      </w:r>
    </w:p>
    <w:p w14:paraId="1052B2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ВЫСОТНЫЙ ИСТРЕБИТЕЛЬ ЛА-5 С АШ-82ФН и 2ТК-3.</w:t>
      </w:r>
    </w:p>
    <w:p w14:paraId="4F8ADC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нелетная погода</w:t>
      </w:r>
    </w:p>
    <w:p w14:paraId="1D4B41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июня произведен-полет на спределение потолка на первой скорости нагнетателя с включенными ТК.</w:t>
      </w:r>
    </w:p>
    <w:p w14:paraId="6B2F51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Достигнута высота 11000 мт по прибору, продолжительность полета - 35 мин.</w:t>
      </w:r>
    </w:p>
    <w:p w14:paraId="115DB1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 прекращен из-за течи масла в соединениях мотора и высокой температуры масла на входе (90 гр.)</w:t>
      </w:r>
    </w:p>
    <w:p w14:paraId="526C1F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 9000 мт наблюдалась тряска мотора из-за плохой работы свечей ВГ-25.</w:t>
      </w:r>
    </w:p>
    <w:p w14:paraId="190806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высоты 7000 мт включалась система нейтрального газа, что поддерживало давление бензина нормальным.</w:t>
      </w:r>
    </w:p>
    <w:p w14:paraId="63ECDC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Температура головок цилиндров в полете сохраня</w:t>
      </w:r>
      <w:r w:rsidRPr="00070ADE">
        <w:rPr>
          <w:rFonts w:ascii="Times New Roman" w:hAnsi="Times New Roman"/>
          <w:color w:val="000000" w:themeColor="text1"/>
          <w:sz w:val="16"/>
          <w:szCs w:val="16"/>
        </w:rPr>
        <w:softHyphen/>
        <w:t>лась нормальнои.при этом система впрыска воды вклю</w:t>
      </w:r>
      <w:r w:rsidRPr="00070ADE">
        <w:rPr>
          <w:rFonts w:ascii="Times New Roman" w:hAnsi="Times New Roman"/>
          <w:color w:val="000000" w:themeColor="text1"/>
          <w:sz w:val="16"/>
          <w:szCs w:val="16"/>
        </w:rPr>
        <w:softHyphen/>
        <w:t>чалась с высоты 3000 мт.</w:t>
      </w:r>
    </w:p>
    <w:p w14:paraId="10C74E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снижения температуры масла на самолете произ</w:t>
      </w:r>
      <w:r w:rsidRPr="00070ADE">
        <w:rPr>
          <w:rFonts w:ascii="Times New Roman" w:hAnsi="Times New Roman"/>
          <w:color w:val="000000" w:themeColor="text1"/>
          <w:sz w:val="16"/>
          <w:szCs w:val="16"/>
        </w:rPr>
        <w:softHyphen/>
        <w:t>водятся работы по установке радиатора с трубкой диа</w:t>
      </w:r>
      <w:r w:rsidRPr="00070ADE">
        <w:rPr>
          <w:rFonts w:ascii="Times New Roman" w:hAnsi="Times New Roman"/>
          <w:color w:val="000000" w:themeColor="text1"/>
          <w:sz w:val="16"/>
          <w:szCs w:val="16"/>
        </w:rPr>
        <w:softHyphen/>
        <w:t>метром 4 мм, вместо ранее стоявшего радиатора с труб</w:t>
      </w:r>
      <w:r w:rsidRPr="00070ADE">
        <w:rPr>
          <w:rFonts w:ascii="Times New Roman" w:hAnsi="Times New Roman"/>
          <w:color w:val="000000" w:themeColor="text1"/>
          <w:sz w:val="16"/>
          <w:szCs w:val="16"/>
        </w:rPr>
        <w:softHyphen/>
        <w:t>кой 5 мм и устанавливается приспособление для защиты радиатора от попадания масла из замоторного пространства.</w:t>
      </w:r>
    </w:p>
    <w:p w14:paraId="492573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 намечен на 12 июня с.г.</w:t>
      </w:r>
    </w:p>
    <w:p w14:paraId="3CC5DA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ВЫСОТНЫЙ ИСТРЕБИТЕЛЬ МИГ С АМ-39Б И 2ТК-2Б.</w:t>
      </w:r>
    </w:p>
    <w:p w14:paraId="0D5CEF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июня с.г. произведен полет на проверку давле</w:t>
      </w:r>
      <w:r w:rsidRPr="00070ADE">
        <w:rPr>
          <w:rFonts w:ascii="Times New Roman" w:hAnsi="Times New Roman"/>
          <w:color w:val="000000" w:themeColor="text1"/>
          <w:sz w:val="16"/>
          <w:szCs w:val="16"/>
        </w:rPr>
        <w:softHyphen/>
        <w:t>ния бензина после установки системы нейтрального газа. Продолжительность полета - 35 мин., высота -7000 мт.</w:t>
      </w:r>
    </w:p>
    <w:p w14:paraId="416EB3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 прекращен из-за падения давления бензина, которое началось с высоты 4000 мт.</w:t>
      </w:r>
    </w:p>
    <w:p w14:paraId="4EF43D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Причиной падения давления бензина, как устано</w:t>
      </w:r>
      <w:r w:rsidRPr="00070ADE">
        <w:rPr>
          <w:rFonts w:ascii="Times New Roman" w:hAnsi="Times New Roman"/>
          <w:color w:val="000000" w:themeColor="text1"/>
          <w:sz w:val="16"/>
          <w:szCs w:val="16"/>
        </w:rPr>
        <w:softHyphen/>
        <w:t>вили представители ЛИИ и ЦИАМа, является неудов</w:t>
      </w:r>
      <w:r w:rsidRPr="00070ADE">
        <w:rPr>
          <w:rFonts w:ascii="Times New Roman" w:hAnsi="Times New Roman"/>
          <w:color w:val="000000" w:themeColor="text1"/>
          <w:sz w:val="16"/>
          <w:szCs w:val="16"/>
        </w:rPr>
        <w:softHyphen/>
        <w:t>летворительная работа эжекторной помпы № 178.</w:t>
      </w:r>
    </w:p>
    <w:p w14:paraId="0ADAC2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Принято решение заменить бензопомпу и ввести дополнительный подпор путей включения-добавочного давления сжатым воздуха (1825).</w:t>
      </w:r>
    </w:p>
    <w:p w14:paraId="057037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0160C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8E9E1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6F2D25" w14:textId="77777777" w:rsidR="00A3754D" w:rsidRPr="00070ADE" w:rsidRDefault="00A3754D"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12 июня 1944 в адрес Малышева было направлено письмо от маршала Федоренко, в котором он предлагал доработать проект танка ИС-6 по прилагавшимся к письму тактико-техническим требованиям. Как раз к этим тактико-техническим требованиям возникла масса вопросов. В ГБТУ КА идеалом тяжёлого танка нового поколения была машина с боевой массой 50-55 т, корпус и башня которой не пробивались бы в лоб 105-мм пушкой с начальной скоростью снаряда 1200 м/с. Такой пушки не было ни в одном немецком танке или самоходке, но в ГАБТУ решили действовать на опережение, и это только начало. 105-мм пушка с начальной скоростью 1000 м/с не должна была пробивать новый танк в борта. Также в танк устанавливалась 122-мм пушка с начальной скоростью 1000-1100 м/с и скорострельностью 4-6 выстрелов в минуту. Максимальная скорость машины оценивалась в 40 км/ч, а средняя — в 24 км/ч. В качестве силовой установки предлагался двигатель с мощностью 1000 л.с., который работал в спарке с электромеханической трансмиссией.</w:t>
      </w:r>
    </w:p>
    <w:p w14:paraId="2723C314" w14:textId="77777777" w:rsidR="00A3754D" w:rsidRPr="00070ADE" w:rsidRDefault="00A3754D"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В НКТП подсчитали желания «танкистов» по броне, выдав неоднозначный результат. Исходя из того, что хотели военные, и из углов наклона листов корпуса и башни ИС-6, получалось, что толщина лба корпуса вырастала до 130 мм, а бортов — до 170-207 мм. В результате боевая масса танка составила бы 75-80 т. Также в НКТП с недоумением отмечали, что ни столь мощной пушки, ни столь мощного мотора нет даже в проекте. Идею с унитарным заряжанием там также приняли с недоумением — такой выстрел имел бы массу 45 кг, не говоря уже о длине сильно больше метра. Пикировка по данному вопросу шла не один месяц, в итоге ИС-6 всё же удалось отстоять в том виде, как его спроектировали изначально. (19150).</w:t>
      </w:r>
    </w:p>
    <w:p w14:paraId="21FF998E" w14:textId="77777777" w:rsidR="00A3754D" w:rsidRPr="00070ADE" w:rsidRDefault="00A3754D" w:rsidP="00B56F90">
      <w:pPr>
        <w:pStyle w:val="ae"/>
        <w:shd w:val="clear" w:color="auto" w:fill="FFFFFF"/>
        <w:spacing w:before="0" w:after="0"/>
        <w:jc w:val="both"/>
        <w:textAlignment w:val="baseline"/>
        <w:rPr>
          <w:color w:val="000000" w:themeColor="text1"/>
          <w:sz w:val="16"/>
          <w:szCs w:val="16"/>
        </w:rPr>
      </w:pPr>
    </w:p>
    <w:p w14:paraId="4E71707C"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12 июня 1944 года была предпринята попытка сделать из ИС-6 аналог Объекта 701. В тот день из ГБТУ КА в НКТП прибыло письмо, в котором предлагалось ИС-6 доработать согласно приложенным ТТТ. Боевая масса возрастала до 50-55 тонн, корпус и башня которой не пробивалась бы в лоб 105-мм пушкой с начальной скоростью снаряда 1200 м/с. 105-мм пушка с начальной скоростью 1000 м/с не должна была пробивать новый танк в борта. Также в танк устанавливалась 122-мм пушка с начальной скоростью 1000-1100 м/с и скорострельностью 4-6 выстрелов в минуту. Максимальная скорость машины оценивалась в 40 км/ч, а средняя – 24 км/ч. Предполагалось ставить двигатель мощностью 1000 л.с., который работал совместно с электромеханической трансмиссией.</w:t>
      </w:r>
    </w:p>
    <w:p w14:paraId="70F525DA"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Присланные требования вызвали полемику, поскольку в НКТП не очень понимали, против кого в ГБТУ КА собирались использовать танк с такой броней. Исходя из того, что хотели в ГБТУ КА, и из углов наклона листов корпуса и башни ИС-6, получалось, что толщина лба корпуса вырастала до 130 мм, а бортов до 170-207-мм. В результате боевая масса танка составила бы 75-80 тонн. Идею с унитарным заряжанием встретили в штыки, ибо уже имелся отрицательный опыт на Т-44 со 122 мм орудием Д-25-44. Также в НКТП отмечали, что ни столь мощной пушки, ни столь мощного мотора не было даже в проекте.</w:t>
      </w:r>
    </w:p>
    <w:p w14:paraId="07BA101D"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Запрос о более надежной броневой защите услышали. Завод №100, НИИ-48 и УЗТМ весьма плодотворно трудились с точки зрения броневой защиты, за счет придания корпусу более рациональной формы. Со стороны НИИ-48 данную тему курировал заместитель главного инженера Г.И. Капырин. К началу августа 1944 года были подготовлены проекты специальных макетов, которые имитировали лобовые и передние бортовые листы корпуса танка. Их обозначили как "макет №15" и "макет №16". Разница оказалась в способе соединения листов. Приоритетным, с точки зрения НИИ-48, являлся макет №15, имевший соединение листов в шип. Макет №16 имел листы, соединенные в четверть, с "замком" в месте соединения верхнего и нижнего лобовых листов. С точки зрения ОКБ завода №100, более подходящим являлся вариант именно с таким соединением листов носовой части корпуса (25682).</w:t>
      </w:r>
    </w:p>
    <w:p w14:paraId="0808DC04" w14:textId="77777777" w:rsidR="00BA3A2B" w:rsidRPr="00C94B78" w:rsidRDefault="00BA3A2B" w:rsidP="00B56F90">
      <w:pPr>
        <w:spacing w:after="0" w:line="240" w:lineRule="auto"/>
        <w:jc w:val="both"/>
        <w:rPr>
          <w:rFonts w:ascii="Times New Roman" w:hAnsi="Times New Roman"/>
          <w:color w:val="0070C0"/>
          <w:sz w:val="16"/>
          <w:szCs w:val="16"/>
        </w:rPr>
      </w:pPr>
    </w:p>
    <w:p w14:paraId="65B2946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1944 года вышел приказ № 280с НКВ</w:t>
      </w:r>
    </w:p>
    <w:p w14:paraId="0EF43FF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распоряжением СНК за № 11504рс от 27 мая 1944 года:</w:t>
      </w:r>
    </w:p>
    <w:p w14:paraId="4B47771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Организовать в Ленинграде филиал Центрального артиллерийского КБ НКВ (Л.Ф. ЦАКБ НКВ), возложив на него конструирование и научно-исследовательские работы по морской и береговой артиллерии (6423, 33).</w:t>
      </w:r>
    </w:p>
    <w:p w14:paraId="0FB0B7A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83272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1944 вышло Постановление ГКО № 6036 Об обеспечении буксирными средствами перевода крейсера "Каганович" из Комсомольска во Владивосток. (7240, 112).</w:t>
      </w:r>
    </w:p>
    <w:p w14:paraId="07823C6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53A2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1944 вышло Распоряжение ГКО № 6037. Об освобождении Главвоенпромстроя от изготовления и ремонта оборудования для Доргомиловского завода НКХП. РГАНИР, Фонд ГКО, д. 263, лл. 113 (11012).</w:t>
      </w:r>
    </w:p>
    <w:p w14:paraId="65981C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780EE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1944 вышло Распоряжение ГКО № 6038. О поставках для НКСП 30 комплектов танковых башен Т-34 сверх плана. РГАНИР, Фонд ГКО, д. 263, лл. 114 (11012).</w:t>
      </w:r>
    </w:p>
    <w:p w14:paraId="485480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CC1BBC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1944 вышло Распоряжение ГКО № 6039 [О мерах по электрификации участка Москва - Нахабино Калининской ж.д.] (7240, 115-116,117-120).</w:t>
      </w:r>
    </w:p>
    <w:p w14:paraId="5F4CC21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BDCFD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1944 вышло Распоряжение ГКО № 6040. О поставке НКО 152 мм снарядов и производстве корпусов для них в июне 1944 г. РГАНИР, Фонд ГКО, д. 263, лл. 121-123,124-126 (11012).</w:t>
      </w:r>
    </w:p>
    <w:p w14:paraId="72DAE70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2DF0B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1944 Начат аварийно-боевой ремонт БМО (бортовой номер 518) (10671).</w:t>
      </w:r>
    </w:p>
    <w:p w14:paraId="51CE0F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946F62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25D3E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3F577A"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12 июня</w:t>
      </w:r>
      <w:r w:rsidRPr="00070ADE">
        <w:rPr>
          <w:rFonts w:ascii="Times New Roman" w:hAnsi="Times New Roman"/>
          <w:color w:val="000000" w:themeColor="text1"/>
          <w:sz w:val="16"/>
          <w:szCs w:val="16"/>
        </w:rPr>
        <w:t xml:space="preserve"> в 1944 году оперативная сводка Совинформбюро:</w:t>
      </w:r>
    </w:p>
    <w:p w14:paraId="4F0BB9B6"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12 июня на Карельском перешейке севернее города Ленинграда наши войска, преодолевая сопротивление и инженерные заграждения противника на лесных дорогах и межозёрных дефиле, продолжали вести наступательные бои, в ходе которых овладели важными узлами обороны финнов Кивеннапа, Райвола, а также заняли более 30 других населённых пунктов и среди них Термолово, Хартонен, Мултала, Тирттула, Икола, Тюрисевя, Ваммелсу и железнодорожные станции Тюрисевя, Райвола.</w:t>
      </w:r>
    </w:p>
    <w:p w14:paraId="0FE06585"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без перемен.</w:t>
      </w:r>
    </w:p>
    <w:p w14:paraId="2EA35019"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11 июня на всех фронтах в воздушных боях и огнём зенитной артиллерии: сбито 20 самолётов противника.</w:t>
      </w:r>
    </w:p>
    <w:p w14:paraId="4A448C13"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Карельском перешейке, севернее Ленинграда, наши войска продолжали наступление. Противник спешно подводит свежие резервы и, опираясь на многочисленные долговременные оборонительные сооружения, оказывает упорное сопротивление. Пересечённая лесистая местность, болота и многочисленные озёра представляют собой чрезвычайно удобный для обороны плацдарм. Советская пехота и танки, преодолевая различные преграды, успешно продвигаются вперёд, громя и уничтожая вражеские войска. В результате ожесточённых боёв наши войска сегодня овладели важными узлами обороны финнов Кивеннапа и Райвола и заняли свыше 30 других населённых пунктов. Советские артиллеристы непрерывно поддерживают своим огнём пехоту и танки. Н-ский гвардейский самоходный артиллерийский полк за день разбил 34 дзота, уничтожил 28 орудий, 30 пулемётных точек и истребил до батальона белофиннов. Паши лётчики разрушали коммуникации противника и наносили удары по его подходящим резервам.</w:t>
      </w:r>
    </w:p>
    <w:p w14:paraId="42BE8932"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воины сражаются с беззаветной храбростью и мужеством. Гвардии красноармеец т. Дмуха первым ворвался в траншеи противника, уничтожил трёх финнов, а одного взял в плен. Разведчики гвардии красноармейцы тт. Примак и Артёмов гранатами уничтожили несколько вражеских солдат и взяли в плен пять финнов, в том числе одного финского офицера. Группа бойцов во главе с сержантом т. Горбатневым штурмом овладела железобетонным дотом и захватила в плен 11 финских солдат.</w:t>
      </w:r>
    </w:p>
    <w:p w14:paraId="22A22A44"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Новосокольников рота советской пехоты в целях разведки внезапно атаковала противника. Преодолевая ожесточённое сопротивление немцев, наши бойцы выбили их из траншей. Гитлеровцы пытались восстановить положение и предприняли одну за другой несколько контратак. Пехотный батальон немцев, усиленный танками, не сумел потеснить нашу роту. Советские бойцы отбили все атаки противника и прочно удерживают занятый рубеж. За день уничтожено 200 гитлеровцев. Захвачено у немцев 8 пулемётов, 40 автоматов, 60 винтовок и радиостанция. Взято в плен 10 немцев.</w:t>
      </w:r>
    </w:p>
    <w:p w14:paraId="423C4A25"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города Яссы подразделения противника атаковали позиции Н-ской части. Советские бойцы не подпустили немцев к своим окопам. Метким огнём и штыковым ударом они отбросили их на исходный рубеж. На поле боя осталось до-100 вражеских трупов. На другом участке артиллеристы, которыми командует т. Романенко, подбили танк, уничтожили 3 орудия и 7 пулемётов противника.</w:t>
      </w:r>
    </w:p>
    <w:p w14:paraId="1DF5464F"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могилёвских партизанских отрядов совершили налёт на гарнизон, противника, расположенный в крупном населённом пункте. В результате стремительной атаки партизаны разгромили запасный учебный батальон 134 немецкой, пехотной дивизии. Убито более 200 и взято в плен 25 гитлеровцев. Партизанский отряд, действующий в Белостокской области, напал на немцев, грабивших мирных жителей. В ожесточённой схватке советские патриоты уничтожили 60 бандитов-эсэсовцев, отбили 80 голов скота и 10 повозок с награбленным немцами добром. Имущество и скот возвращены населению.</w:t>
      </w:r>
    </w:p>
    <w:p w14:paraId="65970882"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первый день боёв на Карельском участке Ленинградского фронта захвачено в плен много финских солдат и офицеров. Пленный капрал 2 роты 1 полка 10 финской пехотной дивизии Салонен рассказал: «На нашем фронте очень долгое время царило полное затишье. Многие думали, что исход войны решится где-то в других районах, без нашего участия. И вдруг мы снова увидели войну со всеми её ужасами. Русская артиллерия вела бешеный огонь. Кругом творилось что-то ужасное. Если ад существует, то и в нём не может быть хуже того, что мы пережили. Снаряды сравнивали укрепления с землёй, опустошали наши ряды. Целые подразделения были уничтожены. Всё пошло вверх дном. Два отделения нашего взвода бросили оружие и побежали, куда глаза глядят. Мы остались в блиндаже, вывесили белый флаг, дождались прихода русских и сдались в плен». Пленный солдат того же 1 пехотного полка Лаури Юлёнен сообщил: «В самом начале боя первый батальон полка понёс огромные потери, а второй батальон полностью уничтожен».</w:t>
      </w:r>
    </w:p>
    <w:p w14:paraId="6E2E4BD3"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Перешедший на сторону Красной Армии солдат Юхо М. заявил: «Огонь русской артиллерии был убийственный. Когда все блиндажи были разрушены, мы кое-как добрались до командного пункта роты и укрылись в офицерской землянке. В землянке набилось много солдат. Капитан Юссила приказал нам покинуть землянку, но все остались на месте. Никто не хотел идти на верную гибель. Нечего было и думать, что нам удастся удержать свои позиции. Вскоре русские начали забрасывать землянку гранатами. Я заметил, что вокруг меня больше убитых солдат, чем живых, выскочил из землянки и с поднятыми руками побежал к русским» (14920).</w:t>
      </w:r>
    </w:p>
    <w:p w14:paraId="011FCD60" w14:textId="77777777" w:rsidR="004421A7" w:rsidRPr="00070ADE" w:rsidRDefault="004421A7" w:rsidP="00B56F90">
      <w:pPr>
        <w:spacing w:after="0" w:line="240" w:lineRule="auto"/>
        <w:jc w:val="both"/>
        <w:rPr>
          <w:rFonts w:ascii="Times New Roman" w:hAnsi="Times New Roman"/>
          <w:color w:val="000000" w:themeColor="text1"/>
          <w:sz w:val="16"/>
          <w:szCs w:val="16"/>
        </w:rPr>
      </w:pPr>
    </w:p>
    <w:p w14:paraId="3C1688C2"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12 июня</w:t>
      </w:r>
      <w:r w:rsidRPr="00070ADE">
        <w:rPr>
          <w:rFonts w:ascii="Times New Roman" w:hAnsi="Times New Roman"/>
          <w:color w:val="000000" w:themeColor="text1"/>
          <w:sz w:val="16"/>
          <w:szCs w:val="16"/>
        </w:rPr>
        <w:t xml:space="preserve"> в 1944 году на Карельском перешейке севернее города Ленинграда наши войска, преодолевая сопротивление и инженерные заграждения противника на лесных дорогах и межозерных дефиле, продолжали вести наступательные бои, в ходе которых овладели важными узлами обороны финнов Кивеннапа, Райвола, а также заняли более 30 других населенных пунктов и среди них Термолово, Хартонен, Мултала, Тирттула, Икола, Тюрисевя, Ваммелсу и железнодорожные станции Тюрисевя, Райвола. На других участках фронта - без перемен (14920).</w:t>
      </w:r>
    </w:p>
    <w:p w14:paraId="47894CC0" w14:textId="77777777" w:rsidR="004421A7" w:rsidRPr="00070ADE" w:rsidRDefault="004421A7" w:rsidP="00B56F90">
      <w:pPr>
        <w:spacing w:after="0" w:line="240" w:lineRule="auto"/>
        <w:jc w:val="both"/>
        <w:rPr>
          <w:rFonts w:ascii="Times New Roman" w:hAnsi="Times New Roman"/>
          <w:color w:val="000000" w:themeColor="text1"/>
          <w:sz w:val="16"/>
          <w:szCs w:val="16"/>
        </w:rPr>
      </w:pPr>
    </w:p>
    <w:p w14:paraId="7952319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1944 в небе Астраханской области появился еще один Ju-290. Сначала с самолета была выброшена группа парашютистов и 20 тюков с грузами, а затем 50-тонный транспортник сел около поселка Яшкуль. Опергруппы НКВД начали захват «Юнкерса». Однако контрразведчики опять сработали плоховато. В результате боя двое пилотов погибли, один застрелился, остальным летчикам удалось убежать! Тем не менее в результате этой авантюры KG200 потеряла сразу два четырехмоторных самолета, и о секретной эскадре стало известно органам НКГБ. Весной 1944 г. немецких агентов выловили на территории Саратовской и Куйбышевской областей. Задачу по формированию бандитских групп для совершения диверсий и актов террора имели участники разведгруппы, обезвреженной в апреле на территории Сенглиеевского района Ульяновской области. В их экипировку входили оружие, взрывчатка и запас продовольствия. Группа была быстро поймана и практических действий совершить не успела. Летом немецкая авиация вела усиленную заброску агентов-парашютистов на территорию Сталинградской области. Органам контрразведки удалось арестовать здесь в общей сложности 50 человек. Все они имели похожие задания: сколачивать бандгруппы из числа уголовных элементов, дезертиров и лиц, уклоняющихся от призыва в Красную Армию (11744).</w:t>
      </w:r>
    </w:p>
    <w:p w14:paraId="614692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B77CE0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E2892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873BCB" w14:textId="77777777" w:rsidR="004421A7" w:rsidRPr="00070ADE" w:rsidRDefault="004421A7" w:rsidP="00B56F90">
      <w:pPr>
        <w:pStyle w:val="book"/>
        <w:ind w:firstLine="0"/>
        <w:jc w:val="both"/>
        <w:rPr>
          <w:color w:val="000000" w:themeColor="text1"/>
          <w:sz w:val="16"/>
          <w:szCs w:val="16"/>
        </w:rPr>
      </w:pPr>
      <w:r w:rsidRPr="00070ADE">
        <w:rPr>
          <w:color w:val="000000" w:themeColor="text1"/>
          <w:sz w:val="16"/>
          <w:szCs w:val="16"/>
        </w:rPr>
        <w:t xml:space="preserve">12—13 июня 1944 г. после первого боевого применения в добавление к фабричной марке Fi-103 самолету-снаряду было дано обозначение ФАУ-1 (V-1, где V (фау) — первая буква слова Vergeltung — расплата, возмездие). Крылатая управляемая ракета (самолет-снаряд) ФАУ-1 была спроектирована для пуска с наземных установок. В ходе войны подавляющее большинство ракет ФАУ-1 было запущено с наземных пусковых установок. Поэтому о ней я расскажу вкратце, сделав упор на применение ракет с воздушного носителя. Самолет-снаряд Fi-103 был создан за очень короткое время в 1942 г. самолетостроительной фирмой «Физелер» в Касселе под руководством Управления германских ВВС и испытан на опытном полигоне Пенемюнде-Вест. Для сохранения в тайне всех работ по его созданию он был условно назван «Киршкерн» и получил кодовое наименование FZG 76. Боевая часть ракеты имела три контактных взрывателя. Ракета была оснащена пульсирующим двигателем Argus 109—014, развивавшим тягу 2,35—3,29 кН. В качестве топлива использовался низкосортный бензин. Маршевая скорость полета около 160 м/с (580 км/час). Дальность стрельбы около 250 км. У нескольких поздних серийных ракет дальность стрельбы была увеличена до 370 км. Ракеты ФАУ-1 оснащались инерциальной системой наведения. Для большей части снарядов курс задавался направлением старта и оставался на все время полета неизменным. Но к концу войны отдельные образцы стали снабжаться устройствами разворота, так что ракеты после старта могли выполнять вираж по программе. Высота полета могла устанавливаться по барометрическому высотомеру в диапазоне 200—3000 м. Для определения расстояния до цели в носовой части объекта размещался приводимый в движение небольшим воздушным винтом счетчик пути («воздушный лаг»). По достижении предварительно рассчитанного расстояния от места старта счетчик пути отключал двигатель, одновременно подавал команду на руль высоты, и ракета переводилась в пикирующий полет. Часть ракет ФАУ-1 снабжалась радиопередающими устройствами, так что с помощью перекрестной пеленгации можно было проследить за траекторией полета и определить место падения снаряда (по прекращению работы передатчика). Точность попадания по проекту 4 x 4 км при дальности полета 250 км. Таким образом, ракета могла эффективно действовать по крупным городам. В июне—августе 1944 г. ракеты ФАУ-1 запускались только по Лондону и только с наземных стационарных катапульт. Для защиты Лондона союзники бросили против нового немецкого оружия огромные силы. Сотни тяжелых бомбардировщиков чуть ли не ежедневно бомбили стартовые позиции ФАУ-1. Только за </w:t>
      </w:r>
      <w:r w:rsidRPr="00070ADE">
        <w:rPr>
          <w:color w:val="000000" w:themeColor="text1"/>
          <w:sz w:val="16"/>
          <w:szCs w:val="16"/>
        </w:rPr>
        <w:lastRenderedPageBreak/>
        <w:t>первую неделю августа на них было сброшено 15 000 тонн бомб. С учетом небольшой дальности стрельбы ФАУ-1 при стрельбе по Лондону ракеты могли пересекать побережье Англии на очень узком участке — менее 100 км. К середине августа в этом секторе англичане сосредоточили 596 тяжелых и 922 легких зенитных орудий, около 600 пусковых установок зенитных неуправляемых ракет, а также 2015 аэростатов заграждения. Вблизи английского побережья над морем непрерывно патрулировали истребители (15 эскадрилий ночных и 6 эскадрилий дневных истребителей). Все эти меры привели к тому, что число сбитых ракет к сентябрю достигло 50 процентов. Наконец, к 5 сентября большая часть немецких стартовых площадок была захвачена союзными войсками, и запуск ракет ФАУ-1 на Англию временно прекратился. В связи с этим немцы переоборудовали несколько десятков бомбардировщиков Не 111, Ju 88, Me 111 и FW 200 «Кондор». Проблема переоборудования самолетов для немцев была облегчена тем, что еще в период испытаний Fi-ЮЗ часть из них запускалась с самолета Me 111 (15225).</w:t>
      </w:r>
    </w:p>
    <w:p w14:paraId="500D9185" w14:textId="77777777" w:rsidR="004421A7" w:rsidRPr="00070ADE" w:rsidRDefault="004421A7" w:rsidP="00B56F90">
      <w:pPr>
        <w:pStyle w:val="book"/>
        <w:ind w:firstLine="0"/>
        <w:jc w:val="both"/>
        <w:rPr>
          <w:color w:val="000000" w:themeColor="text1"/>
          <w:sz w:val="16"/>
          <w:szCs w:val="16"/>
        </w:rPr>
      </w:pPr>
    </w:p>
    <w:p w14:paraId="33946CB1" w14:textId="77777777" w:rsidR="004421A7" w:rsidRPr="00070ADE" w:rsidRDefault="004421A7"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1944 состоялся первый налет V-1 Fi-103 (647,161).</w:t>
      </w:r>
    </w:p>
    <w:p w14:paraId="601A7FD1" w14:textId="77777777" w:rsidR="004421A7" w:rsidRPr="00070ADE" w:rsidRDefault="004421A7"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A653A2" w14:textId="77777777" w:rsidR="004421A7" w:rsidRPr="00070ADE" w:rsidRDefault="004421A7"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другим данным вечером 12 июня немцы из пушек, расположенных в районе Кале, начали обстреливать Англию через Ла-Манш чтобы отвлечь внимание от пуска V-1. в 4 ночи обстрел прекратился и пошли V-1 - начало Robotblitz (1227,21).</w:t>
      </w:r>
    </w:p>
    <w:p w14:paraId="4EE35E78" w14:textId="77777777" w:rsidR="004421A7" w:rsidRPr="00070ADE" w:rsidRDefault="004421A7"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 не полет, а начало использования и до 20 июня выпустили 8 тыс. (2247,5).</w:t>
      </w:r>
    </w:p>
    <w:p w14:paraId="03ABFBBD" w14:textId="77777777" w:rsidR="004421A7" w:rsidRPr="00070ADE" w:rsidRDefault="004421A7"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E5227A" w14:textId="77777777" w:rsidR="004421A7" w:rsidRPr="00070ADE" w:rsidRDefault="004421A7"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Вечером 12 июня 1944 немецкие дальнобойные пушки начали обстрел английской территории через Ла-Манш, вероятно, с целью отвлечь внимание англичан от подготовки к запуску самолетов-снарядов. В 4 часа ночи обстрел прекратился. Через несколько минут над наблюдательным пунктом в Кенте был замечен странный «самолет», издававший резкий свистящий звук и испускавший яркий свет из хвостовой части. Через 18 минут «самолет» с оглушительным взрывом упал на землю в Суонскоуме, близ Грейвсенда. В течение последующего часа еще три таких «самолета» упали в Какфилде, Бетнал-Грине и в Плэтте. В результате взрывов в Бетнал-Грине было убито шесть и ранено девять человек. Кроме того, был разрушен железнодорожный мост.</w:t>
      </w:r>
    </w:p>
    <w:p w14:paraId="2C689197" w14:textId="77777777" w:rsidR="004421A7" w:rsidRPr="00070ADE" w:rsidRDefault="004421A7"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стало началом так называемого «Роботблица» – войны механизмов.</w:t>
      </w:r>
    </w:p>
    <w:p w14:paraId="42A61DA7" w14:textId="77777777" w:rsidR="004421A7" w:rsidRPr="00070ADE" w:rsidRDefault="004421A7"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этой войны по Англии было выпущено 8070 (по другим источникам – 9017) самолетов-снарядов «V-1». Из этого количества 7488 штук были замечены службой наблюдения, а 2420 (по другим источникам – 2340) достигли района целей. Истребители английской ПВО уничтожили 1847 «V-1», расстреливая их бортовым оружием или сбивая спутным потоком. Зенитная артиллерия уничтожила 1878 самолетов-снарядов. Об аэростаты заграждения разбилось 232 снаряда. В целом было сбито почти 53% всех самолетов-снарядов «V-1», выпущенных по Лондону, и только 32% (по другим источникам – 25,9%) наблюдаемых самолетов-снарядов прорвалось к району целей.</w:t>
      </w:r>
    </w:p>
    <w:p w14:paraId="79CC7AAA" w14:textId="77777777" w:rsidR="004421A7" w:rsidRPr="00070ADE" w:rsidRDefault="004421A7"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даже этим количеством самолетов-снарядов немцы нанесли Англии большой ущерб. Было уничтожено 24 491 жилое здание, 52 293 постройки стали непригодными для жилья. Погибли 5864 человека, 17 197 были тяжело ранены.</w:t>
      </w:r>
    </w:p>
    <w:p w14:paraId="348AB449" w14:textId="77777777" w:rsidR="004421A7" w:rsidRPr="00070ADE" w:rsidRDefault="004421A7"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Общие данные о перехваченных самолетах-снарядах не могут дать полного представления о масштабах борьбы, развернувшейся против немецких реактивных снарядов. В течение первого периода «Роботблица» англичане фактически не знали, как защищаться от нового оружия, не было у них и соответствующей организации. Зенитной артиллерии и истребителям приходилось действовать против самолетов-снарядов осторожно, чтобы не мешать друг другу. В конце концов на артиллерию была возложена задача прикрытия внешнего оборонительного пояса, а на истребительную авиацию – внутреннего.</w:t>
      </w:r>
    </w:p>
    <w:p w14:paraId="483316FB" w14:textId="77777777" w:rsidR="004421A7" w:rsidRPr="00070ADE" w:rsidRDefault="004421A7"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Последний самолет-снаряд «V-1», запущенный с французской территории, упал на Англию 1 сентября 1944 года. Англо-американские войска, высадившись во Франции, уничтожили установки для запуска ракет (11688).</w:t>
      </w:r>
    </w:p>
    <w:p w14:paraId="6B057971" w14:textId="77777777" w:rsidR="004421A7" w:rsidRPr="00070ADE" w:rsidRDefault="004421A7" w:rsidP="00B56F90">
      <w:pPr>
        <w:autoSpaceDE w:val="0"/>
        <w:autoSpaceDN w:val="0"/>
        <w:adjustRightInd w:val="0"/>
        <w:spacing w:after="0" w:line="240" w:lineRule="auto"/>
        <w:jc w:val="both"/>
        <w:rPr>
          <w:rFonts w:ascii="Times New Roman" w:hAnsi="Times New Roman"/>
          <w:color w:val="000000" w:themeColor="text1"/>
          <w:sz w:val="16"/>
          <w:szCs w:val="16"/>
        </w:rPr>
      </w:pPr>
    </w:p>
    <w:p w14:paraId="4C10D1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1944 5 плацдармов высадки союзников соединились и всего было высажено 326 тыс. чел. и 54 тыс. транспортных средств (3819).</w:t>
      </w:r>
    </w:p>
    <w:p w14:paraId="3C3744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05B404" w14:textId="77777777" w:rsidR="007133A1" w:rsidRPr="00070ADE" w:rsidRDefault="007133A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12–13 июня (ночь) 1944 671 британский бомбардировщик совершили налет на линии связи в Амьене, Аррасе, Кане, Камбре и Пуатье, Франция, потеряв 23 самолета. Рейды против Амьена, Арраса и особенно Пуатье являются точными, рейд на Камбре ошибочно поражает город в дополнение к цели, а рейд в Кан - неэффективен. В рейде на Камбре, канадский пилот сотрудник Минарски, Эндрю из Королевской канадской ВВС страдает от фатальных ожогов во время неудачной попытки освободить наводчик их хвоста его Ланкастера после атаки немецкого ночного истребителя Юнкерс Ju 88C и посмертно награжден Крестом Виктории (20373).</w:t>
      </w:r>
    </w:p>
    <w:p w14:paraId="7ED7CED2" w14:textId="77777777" w:rsidR="007133A1" w:rsidRPr="00070ADE" w:rsidRDefault="007133A1" w:rsidP="00B56F90">
      <w:pPr>
        <w:spacing w:after="0" w:line="240" w:lineRule="auto"/>
        <w:jc w:val="both"/>
        <w:rPr>
          <w:rFonts w:ascii="Times New Roman" w:hAnsi="Times New Roman"/>
          <w:color w:val="000000" w:themeColor="text1"/>
          <w:sz w:val="16"/>
          <w:szCs w:val="16"/>
        </w:rPr>
      </w:pPr>
    </w:p>
    <w:p w14:paraId="38265888" w14:textId="77777777" w:rsidR="007133A1" w:rsidRPr="00070ADE" w:rsidRDefault="007133A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12–13 июня (ночь) 1944 Командование бомбардировщиков Королевских ВВС совершает свой первый налет в рамках новой кампании союзников по стратегическим бомбардировкам нефтяной промышленности Германии, когда 303 бомбардировщика наносят удар по заводу синтетического горючего Nordstern в Гельзенкирхене, Германия, в результате чего производство на заводе прекращается на несколько недель. Семнадцать бомбардировщиков (6,1 процента сил) потеряны (29373).</w:t>
      </w:r>
    </w:p>
    <w:p w14:paraId="321F3831" w14:textId="77777777" w:rsidR="007133A1" w:rsidRPr="00070ADE" w:rsidRDefault="007133A1" w:rsidP="00B56F90">
      <w:pPr>
        <w:spacing w:after="0" w:line="240" w:lineRule="auto"/>
        <w:jc w:val="both"/>
        <w:rPr>
          <w:rFonts w:ascii="Times New Roman" w:hAnsi="Times New Roman"/>
          <w:color w:val="000000" w:themeColor="text1"/>
          <w:sz w:val="16"/>
          <w:szCs w:val="16"/>
        </w:rPr>
      </w:pPr>
    </w:p>
    <w:p w14:paraId="4A852B1C" w14:textId="77777777" w:rsidR="007133A1" w:rsidRPr="00070ADE" w:rsidRDefault="007133A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1944 японские самолеты повредили американский эсминец в районе Биака. Американские авианосные самолеты из оперативной группы 58 атаковали японский конвой к северо-северо-западу от Сайпана, потопив 10 из 12 торговых судов, торпедный катер, лхльгтка за подводными лодками и несколько рыболовецких судов (20373).</w:t>
      </w:r>
    </w:p>
    <w:p w14:paraId="71D3A4CA" w14:textId="77777777" w:rsidR="007133A1" w:rsidRPr="00070ADE" w:rsidRDefault="007133A1" w:rsidP="00B56F90">
      <w:pPr>
        <w:spacing w:after="0" w:line="240" w:lineRule="auto"/>
        <w:jc w:val="both"/>
        <w:rPr>
          <w:rFonts w:ascii="Times New Roman" w:hAnsi="Times New Roman"/>
          <w:color w:val="000000" w:themeColor="text1"/>
          <w:sz w:val="16"/>
          <w:szCs w:val="16"/>
        </w:rPr>
      </w:pPr>
    </w:p>
    <w:p w14:paraId="5F65CE7F" w14:textId="77777777" w:rsidR="007133A1" w:rsidRPr="00070ADE" w:rsidRDefault="007133A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1944 Японская подводная лодка I-10 использует гидросамолет Йокосука E14Y (в отчетности Allied название «Глен»), хранящийся в разобранном виде в контейнерах на ее палубе. Он ничего не находит и брошен после крушения при возвращении на I-10 (20373).</w:t>
      </w:r>
    </w:p>
    <w:p w14:paraId="5FAFB461" w14:textId="77777777" w:rsidR="007133A1" w:rsidRPr="00070ADE" w:rsidRDefault="007133A1" w:rsidP="00B56F90">
      <w:pPr>
        <w:spacing w:after="0" w:line="240" w:lineRule="auto"/>
        <w:jc w:val="both"/>
        <w:rPr>
          <w:rFonts w:ascii="Times New Roman" w:hAnsi="Times New Roman"/>
          <w:color w:val="000000" w:themeColor="text1"/>
          <w:sz w:val="16"/>
          <w:szCs w:val="16"/>
        </w:rPr>
      </w:pPr>
    </w:p>
    <w:p w14:paraId="72A7C9B2" w14:textId="77777777" w:rsidR="007133A1" w:rsidRPr="00070ADE" w:rsidRDefault="007133A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1944 Англия страдает от первых атак летающих бомб V-1 (20373).</w:t>
      </w:r>
    </w:p>
    <w:p w14:paraId="29F1B76A" w14:textId="77777777" w:rsidR="007133A1" w:rsidRPr="00070ADE" w:rsidRDefault="007133A1" w:rsidP="00B56F90">
      <w:pPr>
        <w:spacing w:after="0" w:line="240" w:lineRule="auto"/>
        <w:jc w:val="both"/>
        <w:rPr>
          <w:rFonts w:ascii="Times New Roman" w:hAnsi="Times New Roman"/>
          <w:color w:val="000000" w:themeColor="text1"/>
          <w:sz w:val="16"/>
          <w:szCs w:val="16"/>
        </w:rPr>
      </w:pPr>
    </w:p>
    <w:p w14:paraId="391619D3" w14:textId="77777777" w:rsidR="007133A1" w:rsidRPr="00070ADE" w:rsidRDefault="007133A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1944 немецкий генерал Артиллерии Эрих Маркс, командующий LXXXIV корпусом немецкой армии , смертельно ранен в результате атаки истребителей-бомбардировщиков союзников во Франции. Он умирает позже в тот же день (20373).</w:t>
      </w:r>
    </w:p>
    <w:p w14:paraId="1FE995F6" w14:textId="77777777" w:rsidR="007133A1" w:rsidRPr="00070ADE" w:rsidRDefault="007133A1" w:rsidP="00B56F90">
      <w:pPr>
        <w:spacing w:after="0" w:line="240" w:lineRule="auto"/>
        <w:jc w:val="both"/>
        <w:rPr>
          <w:rFonts w:ascii="Times New Roman" w:hAnsi="Times New Roman"/>
          <w:color w:val="000000" w:themeColor="text1"/>
          <w:sz w:val="16"/>
          <w:szCs w:val="16"/>
        </w:rPr>
      </w:pPr>
    </w:p>
    <w:p w14:paraId="5F2ABDD4" w14:textId="77777777" w:rsidR="007133A1" w:rsidRPr="00070ADE" w:rsidRDefault="007133A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12–13 июня 1944 самолеты вианосной оперативной группы 58 атаковали Гуам, Сайпан и Тиниан, уничтожив там почти все японские самолеты, потопив вспомогательное военно-морское судно и целую флотилию сампанов и повредив грузовой корабль (20373).</w:t>
      </w:r>
    </w:p>
    <w:p w14:paraId="05C16874" w14:textId="77777777" w:rsidR="007133A1" w:rsidRPr="00070ADE" w:rsidRDefault="007133A1" w:rsidP="00B56F90">
      <w:pPr>
        <w:spacing w:after="0" w:line="240" w:lineRule="auto"/>
        <w:jc w:val="both"/>
        <w:rPr>
          <w:rFonts w:ascii="Times New Roman" w:hAnsi="Times New Roman"/>
          <w:color w:val="000000" w:themeColor="text1"/>
          <w:sz w:val="16"/>
          <w:szCs w:val="16"/>
        </w:rPr>
      </w:pPr>
    </w:p>
    <w:p w14:paraId="2F40908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1944 лидер коммунистов Китая Мао Цзедун неожиданно заявил о своей поддержки правительства Чан Кайши в борьбе против Японии (4962).</w:t>
      </w:r>
    </w:p>
    <w:p w14:paraId="5AF64F4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4B6F3E" w14:textId="77777777" w:rsidR="004421A7" w:rsidRPr="00070ADE" w:rsidRDefault="004421A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12 июня</w:t>
      </w:r>
      <w:r w:rsidRPr="00070ADE">
        <w:rPr>
          <w:rFonts w:ascii="Times New Roman" w:hAnsi="Times New Roman"/>
          <w:color w:val="000000" w:themeColor="text1"/>
          <w:sz w:val="16"/>
          <w:szCs w:val="16"/>
        </w:rPr>
        <w:t xml:space="preserve"> в 1944 году лидер коммунистов Китая Мао Цзедун неожиданно заявил о своей поддержки правительства Чан Кайши в борьбе против Японии (14920).</w:t>
      </w:r>
    </w:p>
    <w:p w14:paraId="06F77651" w14:textId="77777777" w:rsidR="004421A7" w:rsidRPr="00070ADE" w:rsidRDefault="004421A7" w:rsidP="00B56F90">
      <w:pPr>
        <w:spacing w:after="0" w:line="240" w:lineRule="auto"/>
        <w:jc w:val="both"/>
        <w:rPr>
          <w:rFonts w:ascii="Times New Roman" w:hAnsi="Times New Roman"/>
          <w:color w:val="000000" w:themeColor="text1"/>
          <w:sz w:val="16"/>
          <w:szCs w:val="16"/>
        </w:rPr>
      </w:pPr>
    </w:p>
    <w:p w14:paraId="5E82BE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1944 И-16 отбили от японцев американскую Вентуру и посадили ее на свой аэродром (1808,42).</w:t>
      </w:r>
    </w:p>
    <w:p w14:paraId="58CA23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BDD5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12 (13 - 2100) 1944 In the first deployment of a guided missile unit into a combat theater, elements of Special Task Air Group 1 arrived in the Russell Islands in the South Pacific (1090).</w:t>
      </w:r>
    </w:p>
    <w:p w14:paraId="56B765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4BC19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12-13 июня 1944 американцы впервые применили управляемые ракеты (1090).</w:t>
      </w:r>
    </w:p>
    <w:p w14:paraId="4F27BE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B736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12th, 1944: The five Allied beachheads in Normandy link up together; thus far, 326,000 men and 54,000 vehicles have been landed (3819).</w:t>
      </w:r>
    </w:p>
    <w:p w14:paraId="09A3BC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98CA66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3D9A8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3138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 года Сандлер писал письмо N Н-10/2881 зам. начальника 10 гл. управления НКАП Вахтель.</w:t>
      </w:r>
    </w:p>
    <w:p w14:paraId="5B4BA26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Распоряжением СНК N 11058рс от 20 мая 1944 года разрешено списать с балансов заводов NN 18, 39, 126 ценности, потерявшие производственное значение всего на сумму - руб. 6240591-07, в т.ч.:</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7780"/>
      </w:tblGrid>
      <w:tr w:rsidR="004D4663" w:rsidRPr="00070ADE" w14:paraId="6FA2EB80" w14:textId="77777777">
        <w:tc>
          <w:tcPr>
            <w:tcW w:w="2818" w:type="dxa"/>
          </w:tcPr>
          <w:p w14:paraId="7FA1E4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заводу N 18</w:t>
            </w:r>
          </w:p>
        </w:tc>
        <w:tc>
          <w:tcPr>
            <w:tcW w:w="7780" w:type="dxa"/>
          </w:tcPr>
          <w:p w14:paraId="00C3B9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Лыжи к самолету ИЛ-2 руб. 41381359</w:t>
            </w:r>
          </w:p>
        </w:tc>
      </w:tr>
      <w:tr w:rsidR="004D4663" w:rsidRPr="00070ADE" w14:paraId="0F18C6E4" w14:textId="77777777">
        <w:tc>
          <w:tcPr>
            <w:tcW w:w="2818" w:type="dxa"/>
          </w:tcPr>
          <w:p w14:paraId="583181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N 39</w:t>
            </w:r>
          </w:p>
        </w:tc>
        <w:tc>
          <w:tcPr>
            <w:tcW w:w="7780" w:type="dxa"/>
          </w:tcPr>
          <w:p w14:paraId="7E4744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Заделы и агрегаты деревянного</w:t>
            </w:r>
          </w:p>
        </w:tc>
      </w:tr>
      <w:tr w:rsidR="004D4663" w:rsidRPr="00070ADE" w14:paraId="3CA2A351" w14:textId="77777777">
        <w:tc>
          <w:tcPr>
            <w:tcW w:w="2818" w:type="dxa"/>
          </w:tcPr>
          <w:p w14:paraId="4492E2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80" w:type="dxa"/>
          </w:tcPr>
          <w:p w14:paraId="5212F7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варианта ИЛ-4 руб. 125699871</w:t>
            </w:r>
          </w:p>
        </w:tc>
      </w:tr>
      <w:tr w:rsidR="004D4663" w:rsidRPr="00070ADE" w14:paraId="2A26C926" w14:textId="77777777">
        <w:tc>
          <w:tcPr>
            <w:tcW w:w="2818" w:type="dxa"/>
          </w:tcPr>
          <w:p w14:paraId="466025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N 126</w:t>
            </w:r>
          </w:p>
        </w:tc>
        <w:tc>
          <w:tcPr>
            <w:tcW w:w="7780" w:type="dxa"/>
          </w:tcPr>
          <w:p w14:paraId="719CDF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Деревянные носки и хвостовые коки</w:t>
            </w:r>
          </w:p>
        </w:tc>
      </w:tr>
      <w:tr w:rsidR="004D4663" w:rsidRPr="00070ADE" w14:paraId="4D47309C" w14:textId="77777777">
        <w:tc>
          <w:tcPr>
            <w:tcW w:w="2818" w:type="dxa"/>
          </w:tcPr>
          <w:p w14:paraId="2CFF8A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80" w:type="dxa"/>
          </w:tcPr>
          <w:p w14:paraId="626B66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фюзеляжа руб. 4111280</w:t>
            </w:r>
          </w:p>
        </w:tc>
      </w:tr>
      <w:tr w:rsidR="004D4663" w:rsidRPr="00070ADE" w14:paraId="27C6159F" w14:textId="77777777">
        <w:tc>
          <w:tcPr>
            <w:tcW w:w="2818" w:type="dxa"/>
          </w:tcPr>
          <w:p w14:paraId="3F20A5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80" w:type="dxa"/>
          </w:tcPr>
          <w:p w14:paraId="62851D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Инструмент, штампы и приспособления</w:t>
            </w:r>
          </w:p>
        </w:tc>
      </w:tr>
      <w:tr w:rsidR="004D4663" w:rsidRPr="00070ADE" w14:paraId="22B18D2E" w14:textId="77777777">
        <w:tc>
          <w:tcPr>
            <w:tcW w:w="2818" w:type="dxa"/>
          </w:tcPr>
          <w:p w14:paraId="75382B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80" w:type="dxa"/>
          </w:tcPr>
          <w:p w14:paraId="06E538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руб. 45849877</w:t>
            </w:r>
          </w:p>
        </w:tc>
      </w:tr>
      <w:tr w:rsidR="004D4663" w:rsidRPr="00070ADE" w14:paraId="5722FB8C" w14:textId="77777777">
        <w:tc>
          <w:tcPr>
            <w:tcW w:w="2818" w:type="dxa"/>
          </w:tcPr>
          <w:p w14:paraId="1081D5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7780" w:type="dxa"/>
          </w:tcPr>
          <w:p w14:paraId="5FE108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руб. 624059107</w:t>
            </w:r>
          </w:p>
        </w:tc>
      </w:tr>
    </w:tbl>
    <w:p w14:paraId="74190C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Предлагаю оформить указанное списание и проверить дополнительно возможность использования отдельных частей и деталей, списываемых изделий в любой оценке, вплоть до цены лома (1823,41).</w:t>
      </w:r>
    </w:p>
    <w:p w14:paraId="0008AC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C23E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 тов. Малышев писал письмо тов. Г.М.М. о том, что не хочет заниматься удлиненными бронекорпусами для Ил-2 (1817,248).</w:t>
      </w:r>
    </w:p>
    <w:p w14:paraId="21E27E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0F2E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 на Ла-5 АШ-82ФН + 2ТК-3 было выполнено 2 полета. Первый до 9500 м и второй до 4500 м. Опять выбрасывало масло (1825).</w:t>
      </w:r>
    </w:p>
    <w:p w14:paraId="2678FB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4FDE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 на ЛА-5 С АШ-82ФН и 2ТК-3 были произведены два полета: первый полет до выесоты 9500 мт и второй полет до высоты 4500 мт. Как и впредыдущих полетах, имело месте выбрасывание масла из мото</w:t>
      </w:r>
      <w:r w:rsidRPr="00070ADE">
        <w:rPr>
          <w:rFonts w:ascii="Times New Roman" w:hAnsi="Times New Roman"/>
          <w:color w:val="000000" w:themeColor="text1"/>
          <w:sz w:val="16"/>
          <w:szCs w:val="16"/>
        </w:rPr>
        <w:softHyphen/>
        <w:t>ра и по этой причине полеты прекращались и задания оставалась невыполненными. Испытаниями и осмотром с участием представителя завода № 19 установлено, что течь масла происходит из суфлера кольцевого уплотнения нагнетателя и что для высотных полетов необходимы моторы специальной сборки, предусмотренные приказом № 382сс от 6 июня с. г.Так как эти моторы могут быть изготовлены заводом № 19 лишь к 1 июля с. г., то для. продолжения летных испытаний по просьбе 7 Главного Управления, Замнаркома тов. КУЗНЕЦОВЫМ В.П. дано указание заводу № 19 о срочной отгрузке тов. ЛАВОЧКИНЫМ двух моторов АШ-82ФН обычной сборки, но с улучшенным дефлектированием цилиндров (1825).</w:t>
      </w:r>
    </w:p>
    <w:p w14:paraId="350851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2E7535" w14:textId="77777777" w:rsidR="001F06C5" w:rsidRPr="00070ADE" w:rsidRDefault="001F06C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 г. на Ла-5А произвели два полёта: первый до высоты 9500 м, второй — до 4500 м, и оба пришлось прекратить из-за выброса масла из мотора. Как по</w:t>
      </w:r>
      <w:r w:rsidRPr="00070ADE">
        <w:rPr>
          <w:rFonts w:ascii="Times New Roman" w:hAnsi="Times New Roman"/>
          <w:color w:val="000000" w:themeColor="text1"/>
          <w:sz w:val="16"/>
          <w:szCs w:val="16"/>
        </w:rPr>
        <w:softHyphen/>
        <w:t>казали произведенные при участии представителя завода N9 19 испытания и осмотр, течь происходила из кольцевого уплотнения нагнетателя. Сделали однозначный вывод, что для проведения высотных полётов требуются моторы специальной сборки.</w:t>
      </w:r>
    </w:p>
    <w:p w14:paraId="60532EF2" w14:textId="77777777" w:rsidR="001F06C5" w:rsidRPr="00070ADE" w:rsidRDefault="001F06C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как такие моторы завод № 19 мог изготовить лишь к 1 июля, ему дали указание отгрузить заводу № 21 два мотора обычной сборки, но с улучшенным дефлектированием. К 25 июня, после установки на месте пушки дополнительного маслобака, само</w:t>
      </w:r>
      <w:r w:rsidRPr="00070ADE">
        <w:rPr>
          <w:rFonts w:ascii="Times New Roman" w:hAnsi="Times New Roman"/>
          <w:color w:val="000000" w:themeColor="text1"/>
          <w:sz w:val="16"/>
          <w:szCs w:val="16"/>
        </w:rPr>
        <w:softHyphen/>
        <w:t>лёт снова подготовили к продолжению испытаний. Во время состоявшихся 3-4 июля полётов до высоты 7800 м температура масла на входе поднялась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 помпу — агрегат № 180, и произвели отсос масла из суфлёрного бачка. Однако в кон</w:t>
      </w:r>
      <w:r w:rsidRPr="00070ADE">
        <w:rPr>
          <w:rFonts w:ascii="Times New Roman" w:hAnsi="Times New Roman"/>
          <w:color w:val="000000" w:themeColor="text1"/>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723CD8B2" w14:textId="77777777" w:rsidR="001F06C5" w:rsidRPr="00070ADE" w:rsidRDefault="001F06C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070ADE">
        <w:rPr>
          <w:rFonts w:ascii="Times New Roman" w:hAnsi="Times New Roman"/>
          <w:color w:val="000000" w:themeColor="text1"/>
          <w:sz w:val="16"/>
          <w:szCs w:val="16"/>
        </w:rPr>
        <w:softHyphen/>
        <w:t>поладок регулятора смеси. На следующий день для скорейшей отработки винтомотор</w:t>
      </w:r>
      <w:r w:rsidRPr="00070ADE">
        <w:rPr>
          <w:rFonts w:ascii="Times New Roman" w:hAnsi="Times New Roman"/>
          <w:color w:val="000000" w:themeColor="text1"/>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070ADE">
        <w:rPr>
          <w:rFonts w:ascii="Times New Roman" w:hAnsi="Times New Roman"/>
          <w:color w:val="000000" w:themeColor="text1"/>
          <w:sz w:val="16"/>
          <w:szCs w:val="16"/>
        </w:rPr>
        <w:softHyphen/>
        <w:t>них режимах его трясло. В ЛИИ лётные испытания продолжили. 21 сентября в конт</w:t>
      </w:r>
      <w:r w:rsidRPr="00070ADE">
        <w:rPr>
          <w:rFonts w:ascii="Times New Roman" w:hAnsi="Times New Roman"/>
          <w:color w:val="000000" w:themeColor="text1"/>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070ADE">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070ADE">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23521C40" w14:textId="77777777" w:rsidR="001F06C5" w:rsidRPr="00070ADE" w:rsidRDefault="001F06C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070ADE">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070ADE">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070ADE">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070ADE">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070ADE">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070ADE">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070ADE">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070ADE">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070ADE">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070ADE">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070ADE">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070ADE">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20129932" w14:textId="77777777" w:rsidR="001F06C5" w:rsidRPr="00070ADE" w:rsidRDefault="001F06C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070ADE">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070ADE">
        <w:rPr>
          <w:rFonts w:ascii="Times New Roman" w:hAnsi="Times New Roman"/>
          <w:color w:val="000000" w:themeColor="text1"/>
          <w:sz w:val="16"/>
          <w:szCs w:val="16"/>
        </w:rPr>
        <w:softHyphen/>
        <w:t>жар, и на высоте 9000 м покинул самолёт (15830).</w:t>
      </w:r>
    </w:p>
    <w:p w14:paraId="048BD3C2" w14:textId="77777777" w:rsidR="001F06C5" w:rsidRPr="00070ADE" w:rsidRDefault="001F06C5" w:rsidP="00B56F90">
      <w:pPr>
        <w:spacing w:after="0" w:line="240" w:lineRule="auto"/>
        <w:jc w:val="both"/>
        <w:rPr>
          <w:rFonts w:ascii="Times New Roman" w:hAnsi="Times New Roman"/>
          <w:color w:val="000000" w:themeColor="text1"/>
          <w:sz w:val="16"/>
          <w:szCs w:val="16"/>
        </w:rPr>
      </w:pPr>
    </w:p>
    <w:p w14:paraId="03475C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 на летном поле завода 301 в Химках состоялась передача 12 самолетов Як-9Л для эскадрильи Москва 130 иад. Машины Як-9Б были изготовлены в Новосибирске на 153 заводе и на 301 были переделаны в Як-9Л. Снимали. Потом перелетели на аэродром в Старой Торопе. В мае 1944 для освоения и войсковых испытаний Як-9Л (люкового или Як-9Б с бомбоотсеком на 4 ФАБ-100) создали 130 иад (п, ГСС Ф.И.Шинкаренко) в составе 168 иап, выведенного из 303 иад, и не имевшего боевого опыта 409 и 909 иап. 168 иап была подарена эскадрилья Москва (3950,38).</w:t>
      </w:r>
    </w:p>
    <w:p w14:paraId="63B8FA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6F10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 года начальник самолетного отдела 7-го гл. управления НКАП Бендерский писал письмо N 1275 в Секретариат наркома Гильзину.</w:t>
      </w:r>
    </w:p>
    <w:p w14:paraId="21D0C7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получением на заводских испытаниях данных по дальности, направляю статкарту самолета Як-9ТД-ВК105ПФ маш. N 2992, исх. N 369, фото N 2900 взамен ранее посланной статкарты N 2409, которую прошу вернуть в 7 гл. управление (1825).</w:t>
      </w:r>
    </w:p>
    <w:p w14:paraId="61757F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B305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 Зам. Нач. 7ГУ Алексеев подготовил сводку г-7 № 7877 о ходе испытаний высотных самолетов на 12 июня 1944 по Як-9 М-105ПД, Ла-5 АШ-82ФН и 2ТК-3, МиГ АМ-39А и 2ТК-2Б (1825).</w:t>
      </w:r>
    </w:p>
    <w:p w14:paraId="35EF78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ИСТРЕБИТЕЛЬ ЯК-9 С ВК-105ПФ И ДВУХСТУПЕНЧАТЫМ НАГНЕТАТЕЛЕМ</w:t>
      </w:r>
    </w:p>
    <w:p w14:paraId="3EF46E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находится в ЦИГИ. Производилась подготовка самолета к установке в аэродинамическую трубу.</w:t>
      </w:r>
    </w:p>
    <w:p w14:paraId="424475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ВЫСОТНЫЙ ИСТРЕБИТЕЛЬ ЛА-5 С АШ-82ФН и 2ТК-3.</w:t>
      </w:r>
    </w:p>
    <w:p w14:paraId="576E8B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Полетов не производилось из-за течи нового маслора-диатора при гонке мотора на земле. Ремонт радиато</w:t>
      </w:r>
      <w:r w:rsidRPr="00070ADE">
        <w:rPr>
          <w:rFonts w:ascii="Times New Roman" w:hAnsi="Times New Roman"/>
          <w:color w:val="000000" w:themeColor="text1"/>
          <w:sz w:val="16"/>
          <w:szCs w:val="16"/>
        </w:rPr>
        <w:softHyphen/>
        <w:t>ра производится на заводе № 469 и будет окончен 13 июня.</w:t>
      </w:r>
    </w:p>
    <w:p w14:paraId="46E5CB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ВЫСОТНЫЙ ИСТРЕБИТЕЛЬ МИГ С АМ-39Б И 2ТК-2Б.</w:t>
      </w:r>
    </w:p>
    <w:p w14:paraId="78B7F2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Полетов не производилось. Проведено совещание по бензосистеме самолета с представителями ЛИИ, завода № 300 и ЦИАМ, на котором принято решение провести отработку бензосистемы самолета с помпой “173” на стенде ЦИАМа. До стендовой отработки на самолете будут временно производиться полеты с бензопомпой БНК-10 и с установкой системы нейтрального газа от выхлопа, что должно обеспечить нормальные полеты до высоты 11000-12000 мт. Очередной полет намечен на 14 июня с.г. (1825).</w:t>
      </w:r>
    </w:p>
    <w:p w14:paraId="43D07D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7358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 г. состоялся первый полет ТИС-МА, на котором из-за отсутствия АМ-39 поставили АМ-38Ф В ходе испытаний были получены высокие летные данные, подтвердившие правильность предварительных расчетов. После переоснащения моторами АМ-39А ожидалось получение максимальной скорости у земли на форсированном режиме 564 км/ч, а на высоте 8500 м - 677 км/ч. (9032).</w:t>
      </w:r>
    </w:p>
    <w:p w14:paraId="541EC3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5094A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 летчик-испытатель полковник Н.В.Гаврилов поднял машину ТИС (МА) в воздух (10667).</w:t>
      </w:r>
    </w:p>
    <w:p w14:paraId="1D638D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F43E816" w14:textId="77777777" w:rsidR="00941A2A" w:rsidRPr="00070ADE" w:rsidRDefault="00941A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13 июня</w:t>
      </w:r>
      <w:r w:rsidRPr="00070ADE">
        <w:rPr>
          <w:rFonts w:ascii="Times New Roman" w:hAnsi="Times New Roman"/>
          <w:color w:val="000000" w:themeColor="text1"/>
          <w:sz w:val="16"/>
          <w:szCs w:val="16"/>
        </w:rPr>
        <w:t xml:space="preserve"> в 1944 году летчик-испытатель полковник Н.В.Гаврилов впервые поднял </w:t>
      </w:r>
      <w:hyperlink r:id="rId176" w:tgtFrame="_blank" w:history="1">
        <w:r w:rsidRPr="00070ADE">
          <w:rPr>
            <w:rFonts w:ascii="Times New Roman" w:hAnsi="Times New Roman"/>
            <w:color w:val="000000" w:themeColor="text1"/>
            <w:sz w:val="16"/>
            <w:szCs w:val="16"/>
          </w:rPr>
          <w:t xml:space="preserve">«ТИС» («МА») </w:t>
        </w:r>
      </w:hyperlink>
      <w:r w:rsidRPr="00070ADE">
        <w:rPr>
          <w:rFonts w:ascii="Times New Roman" w:hAnsi="Times New Roman"/>
          <w:color w:val="000000" w:themeColor="text1"/>
          <w:sz w:val="16"/>
          <w:szCs w:val="16"/>
        </w:rPr>
        <w:t>в воздух для летных испытаний (14921).</w:t>
      </w:r>
    </w:p>
    <w:p w14:paraId="3B2B5C13" w14:textId="77777777" w:rsidR="00941A2A" w:rsidRPr="00070ADE" w:rsidRDefault="00941A2A" w:rsidP="00B56F90">
      <w:pPr>
        <w:spacing w:after="0" w:line="240" w:lineRule="auto"/>
        <w:jc w:val="both"/>
        <w:rPr>
          <w:rFonts w:ascii="Times New Roman" w:hAnsi="Times New Roman"/>
          <w:color w:val="000000" w:themeColor="text1"/>
          <w:sz w:val="16"/>
          <w:szCs w:val="16"/>
        </w:rPr>
      </w:pPr>
    </w:p>
    <w:p w14:paraId="097814B4" w14:textId="77777777" w:rsidR="004421A7" w:rsidRPr="00070ADE" w:rsidRDefault="004421A7"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13 июня 1944 было получено разрешение заместителя наркома А.С. Яковлева на первый вылет ТИС (МА). В этот же день летчик-испытатель Н.В. Гаврилов поднял машину в воздух. Полет про</w:t>
      </w:r>
      <w:r w:rsidRPr="00070ADE">
        <w:rPr>
          <w:rFonts w:ascii="Times New Roman" w:cs="Times New Roman"/>
          <w:color w:val="000000" w:themeColor="text1"/>
          <w:spacing w:val="0"/>
        </w:rPr>
        <w:softHyphen/>
        <w:t>шел без происшествий, строго по пла</w:t>
      </w:r>
      <w:r w:rsidRPr="00070ADE">
        <w:rPr>
          <w:rFonts w:ascii="Times New Roman" w:cs="Times New Roman"/>
          <w:color w:val="000000" w:themeColor="text1"/>
          <w:spacing w:val="0"/>
        </w:rPr>
        <w:softHyphen/>
        <w:t>ну. В ходе очередного испытательного полета 21 июня не убралась левая стой</w:t>
      </w:r>
      <w:r w:rsidRPr="00070ADE">
        <w:rPr>
          <w:rFonts w:ascii="Times New Roman" w:cs="Times New Roman"/>
          <w:color w:val="000000" w:themeColor="text1"/>
          <w:spacing w:val="0"/>
        </w:rPr>
        <w:softHyphen/>
        <w:t>ка шасси. Как выяснилось, сработалась собачка замка шасси. Самолет встал в ремонт. 29 июня при посадке без щит</w:t>
      </w:r>
      <w:r w:rsidRPr="00070ADE">
        <w:rPr>
          <w:rFonts w:ascii="Times New Roman" w:cs="Times New Roman"/>
          <w:color w:val="000000" w:themeColor="text1"/>
          <w:spacing w:val="0"/>
        </w:rPr>
        <w:softHyphen/>
        <w:t>ков (Н.В. Гаврилов забыл их выпустить) в конце пробега отказали тормоза, са</w:t>
      </w:r>
      <w:r w:rsidRPr="00070ADE">
        <w:rPr>
          <w:rFonts w:ascii="Times New Roman" w:cs="Times New Roman"/>
          <w:color w:val="000000" w:themeColor="text1"/>
          <w:spacing w:val="0"/>
        </w:rPr>
        <w:softHyphen/>
        <w:t>молет выкатился за пределы аэродро</w:t>
      </w:r>
      <w:r w:rsidRPr="00070ADE">
        <w:rPr>
          <w:rFonts w:ascii="Times New Roman" w:cs="Times New Roman"/>
          <w:color w:val="000000" w:themeColor="text1"/>
          <w:spacing w:val="0"/>
        </w:rPr>
        <w:softHyphen/>
        <w:t>ма, попал в канаву и подломал левую стойку шасси. Очередной ремонт са</w:t>
      </w:r>
      <w:r w:rsidRPr="00070ADE">
        <w:rPr>
          <w:rFonts w:ascii="Times New Roman" w:cs="Times New Roman"/>
          <w:color w:val="000000" w:themeColor="text1"/>
          <w:spacing w:val="0"/>
        </w:rPr>
        <w:softHyphen/>
        <w:t>молета продолжался до 30 июля. При</w:t>
      </w:r>
      <w:r w:rsidRPr="00070ADE">
        <w:rPr>
          <w:rFonts w:ascii="Times New Roman" w:cs="Times New Roman"/>
          <w:color w:val="000000" w:themeColor="text1"/>
          <w:spacing w:val="0"/>
        </w:rPr>
        <w:softHyphen/>
        <w:t>шлось ремонтировать фюзеляж, крыло, шасси и оперение. Заменили моторы и винты. Одновременно для увеличения запаса рулей высоты на посадке изме</w:t>
      </w:r>
      <w:r w:rsidRPr="00070ADE">
        <w:rPr>
          <w:rFonts w:ascii="Times New Roman" w:cs="Times New Roman"/>
          <w:color w:val="000000" w:themeColor="text1"/>
          <w:spacing w:val="0"/>
        </w:rPr>
        <w:softHyphen/>
        <w:t>нили угол установки стабилизатора на -2°30'. При первых же пробежках после ремонта обнаружилось, что тормоза ко</w:t>
      </w:r>
      <w:r w:rsidRPr="00070ADE">
        <w:rPr>
          <w:rFonts w:ascii="Times New Roman" w:cs="Times New Roman"/>
          <w:color w:val="000000" w:themeColor="text1"/>
          <w:spacing w:val="0"/>
        </w:rPr>
        <w:softHyphen/>
        <w:t>лес шасси работают все так же недо</w:t>
      </w:r>
      <w:r w:rsidRPr="00070ADE">
        <w:rPr>
          <w:rFonts w:ascii="Times New Roman" w:cs="Times New Roman"/>
          <w:color w:val="000000" w:themeColor="text1"/>
          <w:spacing w:val="0"/>
        </w:rPr>
        <w:softHyphen/>
        <w:t>статочно эффективно</w:t>
      </w:r>
      <w:r w:rsidRPr="00070ADE">
        <w:rPr>
          <w:rStyle w:val="aff7"/>
          <w:rFonts w:ascii="Times New Roman" w:eastAsia="Arial Narrow" w:hAnsi="Times New Roman" w:cs="Times New Roman"/>
          <w:i w:val="0"/>
          <w:color w:val="000000" w:themeColor="text1"/>
          <w:spacing w:val="0"/>
        </w:rPr>
        <w:t xml:space="preserve"> </w:t>
      </w:r>
      <w:r w:rsidRPr="00070ADE">
        <w:rPr>
          <w:rStyle w:val="aff7"/>
          <w:rFonts w:ascii="Times New Roman" w:eastAsia="Arial Narrow" w:hAnsi="Times New Roman" w:cs="Times New Roman"/>
          <w:i w:val="0"/>
          <w:color w:val="000000" w:themeColor="text1"/>
          <w:spacing w:val="0"/>
        </w:rPr>
        <w:lastRenderedPageBreak/>
        <w:t>и</w:t>
      </w:r>
      <w:r w:rsidRPr="00070ADE">
        <w:rPr>
          <w:rFonts w:ascii="Times New Roman" w:cs="Times New Roman"/>
          <w:color w:val="000000" w:themeColor="text1"/>
          <w:spacing w:val="0"/>
        </w:rPr>
        <w:t xml:space="preserve"> посадка на Цен</w:t>
      </w:r>
      <w:r w:rsidRPr="00070ADE">
        <w:rPr>
          <w:rFonts w:ascii="Times New Roman" w:cs="Times New Roman"/>
          <w:color w:val="000000" w:themeColor="text1"/>
          <w:spacing w:val="0"/>
        </w:rPr>
        <w:softHyphen/>
        <w:t>тральном аэродроме возможна лишь в одном направлении. По этой причи</w:t>
      </w:r>
      <w:r w:rsidRPr="00070ADE">
        <w:rPr>
          <w:rFonts w:ascii="Times New Roman" w:cs="Times New Roman"/>
          <w:color w:val="000000" w:themeColor="text1"/>
          <w:spacing w:val="0"/>
        </w:rPr>
        <w:softHyphen/>
        <w:t>не было принято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завершить программу заводских летных испытаний (15758).</w:t>
      </w:r>
    </w:p>
    <w:p w14:paraId="5EBF0206" w14:textId="77777777" w:rsidR="004421A7" w:rsidRPr="00070ADE" w:rsidRDefault="004421A7" w:rsidP="00B56F90">
      <w:pPr>
        <w:spacing w:after="0" w:line="240" w:lineRule="auto"/>
        <w:jc w:val="both"/>
        <w:rPr>
          <w:rFonts w:ascii="Times New Roman" w:hAnsi="Times New Roman"/>
          <w:color w:val="000000" w:themeColor="text1"/>
          <w:sz w:val="16"/>
          <w:szCs w:val="16"/>
        </w:rPr>
      </w:pPr>
    </w:p>
    <w:p w14:paraId="60BD88B4" w14:textId="77777777" w:rsidR="00262E37" w:rsidRPr="00070ADE" w:rsidRDefault="00262E3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13 июня 1944 летчик-ис</w:t>
      </w:r>
      <w:r w:rsidRPr="00070ADE">
        <w:rPr>
          <w:color w:val="000000" w:themeColor="text1"/>
          <w:sz w:val="16"/>
          <w:szCs w:val="16"/>
        </w:rPr>
        <w:softHyphen/>
        <w:t>пытатель Н. В. Гаврилов поднял машину ТИС (МА) в воздух. Полет прошел без происшествий, строго по плану. Температуры воды и масла в полете были в преде</w:t>
      </w:r>
      <w:r w:rsidRPr="00070ADE">
        <w:rPr>
          <w:color w:val="000000" w:themeColor="text1"/>
          <w:sz w:val="16"/>
          <w:szCs w:val="16"/>
        </w:rPr>
        <w:softHyphen/>
        <w:t>лах нормы. Посадка была выполнена на повышен</w:t>
      </w:r>
      <w:r w:rsidRPr="00070ADE">
        <w:rPr>
          <w:color w:val="000000" w:themeColor="text1"/>
          <w:sz w:val="16"/>
          <w:szCs w:val="16"/>
        </w:rPr>
        <w:softHyphen/>
        <w:t>ной скорости примерно 250—270 км/ч. По заявле</w:t>
      </w:r>
      <w:r w:rsidRPr="00070ADE">
        <w:rPr>
          <w:color w:val="000000" w:themeColor="text1"/>
          <w:sz w:val="16"/>
          <w:szCs w:val="16"/>
        </w:rPr>
        <w:softHyphen/>
        <w:t>нию летчика, «рулей высоты на посадку хватило, но без запаса. Остальные рули эффективны. По</w:t>
      </w:r>
      <w:r w:rsidRPr="00070ADE">
        <w:rPr>
          <w:color w:val="000000" w:themeColor="text1"/>
          <w:sz w:val="16"/>
          <w:szCs w:val="16"/>
        </w:rPr>
        <w:softHyphen/>
        <w:t>перечная устойчивость самолета больше продоль</w:t>
      </w:r>
      <w:r w:rsidRPr="00070ADE">
        <w:rPr>
          <w:color w:val="000000" w:themeColor="text1"/>
          <w:sz w:val="16"/>
          <w:szCs w:val="16"/>
        </w:rPr>
        <w:softHyphen/>
        <w:t>ной, что делает самолет неприятным в пилотиро</w:t>
      </w:r>
      <w:r w:rsidRPr="00070ADE">
        <w:rPr>
          <w:color w:val="000000" w:themeColor="text1"/>
          <w:sz w:val="16"/>
          <w:szCs w:val="16"/>
        </w:rPr>
        <w:softHyphen/>
        <w:t>вании».</w:t>
      </w:r>
    </w:p>
    <w:p w14:paraId="62324A23" w14:textId="77777777" w:rsidR="00262E37" w:rsidRPr="00070ADE" w:rsidRDefault="00262E3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ходе очередного испытательного полета 21 июня не убралась левая стойка шасси. Как выяс</w:t>
      </w:r>
      <w:r w:rsidRPr="00070ADE">
        <w:rPr>
          <w:color w:val="000000" w:themeColor="text1"/>
          <w:sz w:val="16"/>
          <w:szCs w:val="16"/>
        </w:rPr>
        <w:softHyphen/>
        <w:t>нилось, сработалась собачка замка шасси. Самолет встал в ремонт. 29 июня при посадке без щитков (Н. В. Гаврилов забыл выпустить их) в конце пробе</w:t>
      </w:r>
      <w:r w:rsidRPr="00070ADE">
        <w:rPr>
          <w:color w:val="000000" w:themeColor="text1"/>
          <w:sz w:val="16"/>
          <w:szCs w:val="16"/>
        </w:rPr>
        <w:softHyphen/>
        <w:t>га отказали тормоза, самолет выкатился за пределы аэродрома, попал в канаву и подломал левую стой</w:t>
      </w:r>
      <w:r w:rsidRPr="00070ADE">
        <w:rPr>
          <w:color w:val="000000" w:themeColor="text1"/>
          <w:sz w:val="16"/>
          <w:szCs w:val="16"/>
        </w:rPr>
        <w:softHyphen/>
        <w:t>ку основного шасси. Очередной ремонт самолета продолжался до 30 июля. Пришлось ремонтиро</w:t>
      </w:r>
      <w:r w:rsidRPr="00070ADE">
        <w:rPr>
          <w:color w:val="000000" w:themeColor="text1"/>
          <w:sz w:val="16"/>
          <w:szCs w:val="16"/>
        </w:rPr>
        <w:softHyphen/>
        <w:t>вать фюзеляж, крыло, шасси и оперение. Заменили левую мотораму, оба мотора и винты. Одновремен</w:t>
      </w:r>
      <w:r w:rsidRPr="00070ADE">
        <w:rPr>
          <w:color w:val="000000" w:themeColor="text1"/>
          <w:sz w:val="16"/>
          <w:szCs w:val="16"/>
        </w:rPr>
        <w:softHyphen/>
        <w:t>но для увеличения запаса рулей высоты на посадке изменили угол установки стабилизатора на —2°30'. При первых же пробежках после ремонта 30 июля обнаружилось, что тормоза колес шасси работают все так же недостаточно эффективно и посадка на Центральном аэродроме возможна лишь в од</w:t>
      </w:r>
      <w:r w:rsidRPr="00070ADE">
        <w:rPr>
          <w:color w:val="000000" w:themeColor="text1"/>
          <w:sz w:val="16"/>
          <w:szCs w:val="16"/>
        </w:rPr>
        <w:softHyphen/>
        <w:t>ном направлении. По этой причине было приня</w:t>
      </w:r>
      <w:r w:rsidRPr="00070ADE">
        <w:rPr>
          <w:color w:val="000000" w:themeColor="text1"/>
          <w:sz w:val="16"/>
          <w:szCs w:val="16"/>
        </w:rPr>
        <w:softHyphen/>
        <w:t>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в целом завершить программу заводских летных испытаний. К сожа</w:t>
      </w:r>
      <w:r w:rsidRPr="00070ADE">
        <w:rPr>
          <w:color w:val="000000" w:themeColor="text1"/>
          <w:sz w:val="16"/>
          <w:szCs w:val="16"/>
        </w:rPr>
        <w:softHyphen/>
        <w:t>лению, в этот день при взлете произошел обрыв ушка крепления цилиндра подъема шасси с обры</w:t>
      </w:r>
      <w:r w:rsidRPr="00070ADE">
        <w:rPr>
          <w:color w:val="000000" w:themeColor="text1"/>
          <w:sz w:val="16"/>
          <w:szCs w:val="16"/>
        </w:rPr>
        <w:softHyphen/>
        <w:t>вом воздушной проводки, в результате чего шасси осталось в незафиксированном положении. При посадке на аэродром Раменское шасси сложилось. Помялись нижние капоты моторов и маслорадиато- ры. Погнулись оба винта. Но главное, деформиро</w:t>
      </w:r>
      <w:r w:rsidRPr="00070ADE">
        <w:rPr>
          <w:color w:val="000000" w:themeColor="text1"/>
          <w:sz w:val="16"/>
          <w:szCs w:val="16"/>
        </w:rPr>
        <w:softHyphen/>
        <w:t>вался фюзеляж. Самолету требовался длительный ремонт (17500).</w:t>
      </w:r>
    </w:p>
    <w:p w14:paraId="3E531E5F" w14:textId="77777777" w:rsidR="00262E37" w:rsidRPr="00070ADE" w:rsidRDefault="00262E37" w:rsidP="00B56F90">
      <w:pPr>
        <w:spacing w:after="0" w:line="240" w:lineRule="auto"/>
        <w:jc w:val="both"/>
        <w:rPr>
          <w:rFonts w:ascii="Times New Roman" w:eastAsia="Times New Roman" w:hAnsi="Times New Roman"/>
          <w:color w:val="000000" w:themeColor="text1"/>
          <w:sz w:val="16"/>
          <w:szCs w:val="16"/>
          <w:lang w:eastAsia="ru-RU"/>
        </w:rPr>
      </w:pPr>
    </w:p>
    <w:p w14:paraId="1A064F79" w14:textId="77777777" w:rsidR="00D244E0" w:rsidRPr="00070ADE" w:rsidRDefault="00D244E0"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 состоялся первый вылет ТИС (МА) (4,200). Л Н.В.Гаврилов (10535,34).</w:t>
      </w:r>
    </w:p>
    <w:p w14:paraId="7F239D42" w14:textId="77777777" w:rsidR="00D244E0" w:rsidRPr="00070ADE" w:rsidRDefault="00D244E0"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12F3B6" w14:textId="77777777" w:rsidR="00D564FE" w:rsidRPr="00070ADE" w:rsidRDefault="00D564F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 г. Начальник 7-го ГУ НКАП Шишкин в письме на имя наркома Шахурина сообщил, что предложенный Прокофьевым и Бабулиным проект газогенераторного самолёта не имеет серьёзного практического значения и реализация его нецелесообразна». [РГАЭ Ф. 8044 оп. 1 д. 1196 лл. 164-1652] Практически дословно пересказав содержание Заключения, Шишкин заканчивал своё письмо словами: «Из вышеизложенного следует, что предложенный т.т ПРОКОФЬЕВЫМ и БАБУЛИНЫМ проект газогенераторного самолёта не имеет серьёзного практического значения и реализация его нецелесообразна». Он добавлял к этому: «Для экономии бензина, на данном этапе видимо было бы целесообразнее перевести на газогенераторное топливо весь автотранспорт». Как следует понимать, нарком с такой позицией согласился. Основания для отклонения проекта выглядели достаточно серьёзно, однако авторы идеи попытались оспорить полученный отказ. (23190).</w:t>
      </w:r>
    </w:p>
    <w:p w14:paraId="2F1C82C2" w14:textId="77777777" w:rsidR="00D564FE" w:rsidRPr="00070ADE" w:rsidRDefault="00D564FE" w:rsidP="00B56F90">
      <w:pPr>
        <w:spacing w:after="0" w:line="240" w:lineRule="auto"/>
        <w:jc w:val="both"/>
        <w:rPr>
          <w:rFonts w:ascii="Times New Roman" w:hAnsi="Times New Roman"/>
          <w:color w:val="000000" w:themeColor="text1"/>
          <w:sz w:val="16"/>
          <w:szCs w:val="16"/>
        </w:rPr>
      </w:pPr>
    </w:p>
    <w:p w14:paraId="558691EC"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13 июня 1944 г. летчик-испытатель полковник Н. В. Гаврилов поднял ТИС (МА) в воздух.</w:t>
      </w:r>
    </w:p>
    <w:p w14:paraId="2698DD02"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29 июня 1944 г. в конце пробега отказали тормоза и самолет потерпел аварию. Ремонт продолжался целый месяц — с 30 июня по 30 июля (25035).</w:t>
      </w:r>
    </w:p>
    <w:p w14:paraId="51635A23" w14:textId="77777777" w:rsidR="00BA3A2B" w:rsidRPr="00C94B78" w:rsidRDefault="00BA3A2B" w:rsidP="00B56F90">
      <w:pPr>
        <w:spacing w:after="0" w:line="240" w:lineRule="auto"/>
        <w:jc w:val="both"/>
        <w:rPr>
          <w:rFonts w:ascii="Times New Roman" w:hAnsi="Times New Roman"/>
          <w:color w:val="0070C0"/>
          <w:sz w:val="16"/>
          <w:szCs w:val="16"/>
        </w:rPr>
      </w:pPr>
    </w:p>
    <w:p w14:paraId="6B85C455"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13 июня 1944 г. удалось получить разрешение заместителя наркома А. С. Яковлева на первый вылет только. В этот день летчик-испытатель полковник Н. В. Гаврилов поднял машину в воздух (25337).</w:t>
      </w:r>
    </w:p>
    <w:p w14:paraId="05C9E5FF" w14:textId="77777777" w:rsidR="00BA3A2B" w:rsidRPr="00C94B78" w:rsidRDefault="00BA3A2B" w:rsidP="00B56F90">
      <w:pPr>
        <w:spacing w:after="0" w:line="240" w:lineRule="auto"/>
        <w:jc w:val="both"/>
        <w:rPr>
          <w:rFonts w:ascii="Times New Roman" w:hAnsi="Times New Roman"/>
          <w:color w:val="0070C0"/>
          <w:sz w:val="16"/>
          <w:szCs w:val="16"/>
        </w:rPr>
      </w:pPr>
    </w:p>
    <w:p w14:paraId="15C0ED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 А.И.Шахурина, А.А.Новикова и В.Н.Челомея вызвали в ГКО и поставили задачу создания беспилотной техники. Вышло решение ГКО. В декабре 1944 десятки снарядов 10Х были испытаны на Пе-8 (ТБ-7), позднее - на Ту-2 и Ту-4. В начале 1945 были готовы применить их (6,197), но ЦК и правительство приняли специальное решение не делать этого, так как стрельба по площадям не требовалась.</w:t>
      </w:r>
    </w:p>
    <w:p w14:paraId="73B6CBF5" w14:textId="77777777" w:rsidR="00D244E0" w:rsidRPr="00070ADE" w:rsidRDefault="00D244E0"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7BE174" w14:textId="77777777" w:rsidR="00D244E0" w:rsidRPr="00070ADE" w:rsidRDefault="00D244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13 на 14 июня 1944г. Народный комиссар авиационной промышленности СССР А.И.Шахурин, командующий ВВС А.А.Новиков и начальник 6-го отдела Центрального института авиационного моторостроения (ЦИАМ) В.Н.Челомей были вызваны на заседание Государственного комитета обороны. На нем В.Н.Челомей доложил о результатах разработок пульсирующих воздушно-реактивных двигателей (ПуВРД), которые он проводил в ЦИАМ с 1941г. Результатом заседания явилось поручение Наркомату авиационной промышленности СССР приступить к созданию беспилотного самолета-снаряда с ПуВРД (19823).</w:t>
      </w:r>
    </w:p>
    <w:p w14:paraId="0684DA30" w14:textId="77777777" w:rsidR="00D244E0" w:rsidRPr="00070ADE" w:rsidRDefault="00D244E0" w:rsidP="00B56F90">
      <w:pPr>
        <w:spacing w:after="0" w:line="240" w:lineRule="auto"/>
        <w:jc w:val="both"/>
        <w:rPr>
          <w:rFonts w:ascii="Times New Roman" w:hAnsi="Times New Roman"/>
          <w:color w:val="000000" w:themeColor="text1"/>
          <w:sz w:val="16"/>
          <w:szCs w:val="16"/>
        </w:rPr>
      </w:pPr>
    </w:p>
    <w:p w14:paraId="2DF42102" w14:textId="77777777" w:rsidR="001F06C5" w:rsidRPr="00070ADE" w:rsidRDefault="001F06C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 года В. Н. Челомей, который работая начальником 6-го отдела Центрального института авиационного моторостроения — ЦИАМа и занимался разработкой пульсирующего воздушно-реактивного двигателя (ПуВРД), делал доклад на заседании ГКО о результатах своих работ и это послужило принятию решения об его назначении главным конструктором по разработке у нас самолетов-снарядов с ПуВРД, аналогичных применявшимся Германией для обстрела Англии. Немцы успели запустить в сторону Англии более восьми тысяч Фау-1, из которых около двух с половиной тысяч долетели до Лондона и его окрестностей, произведя большие разрушения и вызвав жертвы среди мирного населения (15134).</w:t>
      </w:r>
    </w:p>
    <w:p w14:paraId="09A31FBF" w14:textId="77777777" w:rsidR="001F06C5" w:rsidRPr="00070ADE" w:rsidRDefault="001F06C5" w:rsidP="00B56F90">
      <w:pPr>
        <w:pStyle w:val="heading3"/>
        <w:spacing w:before="0" w:after="0"/>
        <w:jc w:val="both"/>
        <w:rPr>
          <w:rFonts w:ascii="Times New Roman" w:hAnsi="Times New Roman" w:cs="Times New Roman"/>
          <w:b w:val="0"/>
          <w:color w:val="000000" w:themeColor="text1"/>
          <w:sz w:val="16"/>
          <w:szCs w:val="16"/>
        </w:rPr>
      </w:pPr>
    </w:p>
    <w:p w14:paraId="5205A9F1" w14:textId="77777777" w:rsidR="001F06C5" w:rsidRPr="00070ADE" w:rsidRDefault="001F06C5" w:rsidP="00B56F90">
      <w:pPr>
        <w:pStyle w:val="36"/>
        <w:shd w:val="clear" w:color="auto" w:fill="auto"/>
        <w:tabs>
          <w:tab w:val="left" w:pos="3098"/>
        </w:tabs>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13 июня 1944 года, Шахурина, А.А. Новикова и В.Н. Челомея вызвали в Государ</w:t>
      </w:r>
      <w:r w:rsidRPr="00070ADE">
        <w:rPr>
          <w:rFonts w:ascii="Times New Roman" w:cs="Times New Roman"/>
          <w:color w:val="000000" w:themeColor="text1"/>
          <w:spacing w:val="0"/>
          <w:sz w:val="16"/>
          <w:szCs w:val="16"/>
        </w:rPr>
        <w:softHyphen/>
        <w:t>ственный Комитет Обороны и поставили задачу: создать новое оружие — беспилотную боевую технику. Появилось соответствующее решение ГКО. Владимир Николаевич Челомей был назна</w:t>
      </w:r>
      <w:r w:rsidRPr="00070ADE">
        <w:rPr>
          <w:rFonts w:ascii="Times New Roman" w:cs="Times New Roman"/>
          <w:color w:val="000000" w:themeColor="text1"/>
          <w:spacing w:val="0"/>
          <w:sz w:val="16"/>
          <w:szCs w:val="16"/>
        </w:rPr>
        <w:softHyphen/>
        <w:t>чен главным конструктором и директором соот</w:t>
      </w:r>
      <w:r w:rsidRPr="00070ADE">
        <w:rPr>
          <w:rFonts w:ascii="Times New Roman" w:cs="Times New Roman"/>
          <w:color w:val="000000" w:themeColor="text1"/>
          <w:spacing w:val="0"/>
          <w:sz w:val="16"/>
          <w:szCs w:val="16"/>
        </w:rPr>
        <w:softHyphen/>
        <w:t>ветствующего завода. Уже в декабре 1944 года десятки отечественных самолётов-снарядов были испытаны с помо</w:t>
      </w:r>
      <w:r w:rsidRPr="00070ADE">
        <w:rPr>
          <w:rFonts w:ascii="Times New Roman" w:cs="Times New Roman"/>
          <w:color w:val="000000" w:themeColor="text1"/>
          <w:spacing w:val="0"/>
          <w:sz w:val="16"/>
          <w:szCs w:val="16"/>
        </w:rPr>
        <w:softHyphen/>
        <w:t>щью самолётов Пе-8, а позже на самолётах Ту-2 и Ту-4. Эффект их применения оказался чрезвычайно сильным. Если учесть, что при ударе по противнику сохранялись дорогостоящие самолёты и первоклассные лётчики, а также то, что стоимость изготовления подобных снарядов была весьма невелика, и мо</w:t>
      </w:r>
      <w:r w:rsidRPr="00070ADE">
        <w:rPr>
          <w:rFonts w:ascii="Times New Roman" w:cs="Times New Roman"/>
          <w:color w:val="000000" w:themeColor="text1"/>
          <w:spacing w:val="0"/>
          <w:sz w:val="16"/>
          <w:szCs w:val="16"/>
        </w:rPr>
        <w:softHyphen/>
        <w:t>жно было наладить их массовое производство, то понятно, какое дополнительное ору</w:t>
      </w:r>
      <w:r w:rsidRPr="00070ADE">
        <w:rPr>
          <w:rFonts w:ascii="Times New Roman" w:cs="Times New Roman"/>
          <w:color w:val="000000" w:themeColor="text1"/>
          <w:spacing w:val="0"/>
          <w:sz w:val="16"/>
          <w:szCs w:val="16"/>
        </w:rPr>
        <w:softHyphen/>
        <w:t>жие получали Вооруженные Силы для скорейшего разгрома врага. В начале 1945 года мы были уже готовы применить его.</w:t>
      </w:r>
    </w:p>
    <w:p w14:paraId="3E556E4C" w14:textId="77777777" w:rsidR="001F06C5" w:rsidRPr="00070ADE" w:rsidRDefault="001F06C5"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Но ЦК ВКП(б), Советское правительство приняли решение отказаться от применения этого оружия. Не менее сильное и, пожалуй, более эффективное, чем у врага, оружие у нас было, и гитлеровцы знали о нем. Но мы не стали уподобляться фашистским варва</w:t>
      </w:r>
      <w:r w:rsidRPr="00070ADE">
        <w:rPr>
          <w:rFonts w:ascii="Times New Roman" w:cs="Times New Roman"/>
          <w:color w:val="000000" w:themeColor="text1"/>
          <w:spacing w:val="0"/>
          <w:sz w:val="16"/>
          <w:szCs w:val="16"/>
        </w:rPr>
        <w:softHyphen/>
        <w:t>рам, «воевавшим» с помощью своих ФАУ с мирными жителями Британских островов. Ведь наибольший эффект приносило применение самолётов-снарядов по городам, где было много мирного населения. А советский народ сражался только с гитлеровской ар</w:t>
      </w:r>
      <w:r w:rsidRPr="00070ADE">
        <w:rPr>
          <w:rFonts w:ascii="Times New Roman" w:cs="Times New Roman"/>
          <w:color w:val="000000" w:themeColor="text1"/>
          <w:spacing w:val="0"/>
          <w:sz w:val="16"/>
          <w:szCs w:val="16"/>
        </w:rPr>
        <w:softHyphen/>
        <w:t>мией, а не с мирными жителями Германии. Поэтому готовые к бою эскадрильи тяжелых бомбардировщиков с подвешенными к ним снарядами, получившими наименование «10Х10Х» (десятая модификация неизвестного оружия), так и не взлетели со своих аэ</w:t>
      </w:r>
      <w:r w:rsidRPr="00070ADE">
        <w:rPr>
          <w:rFonts w:ascii="Times New Roman" w:cs="Times New Roman"/>
          <w:color w:val="000000" w:themeColor="text1"/>
          <w:spacing w:val="0"/>
          <w:sz w:val="16"/>
          <w:szCs w:val="16"/>
        </w:rPr>
        <w:softHyphen/>
        <w:t>родромов для нанесения боевых ударов (15790).</w:t>
      </w:r>
    </w:p>
    <w:p w14:paraId="6E753B17" w14:textId="77777777" w:rsidR="001F06C5" w:rsidRPr="00070ADE" w:rsidRDefault="001F06C5" w:rsidP="00B56F90">
      <w:pPr>
        <w:pStyle w:val="36"/>
        <w:shd w:val="clear" w:color="auto" w:fill="auto"/>
        <w:spacing w:after="0" w:line="240" w:lineRule="auto"/>
        <w:jc w:val="both"/>
        <w:rPr>
          <w:rFonts w:ascii="Times New Roman" w:cs="Times New Roman"/>
          <w:color w:val="000000" w:themeColor="text1"/>
          <w:spacing w:val="0"/>
          <w:sz w:val="16"/>
          <w:szCs w:val="16"/>
        </w:rPr>
      </w:pPr>
    </w:p>
    <w:p w14:paraId="0FB5B267" w14:textId="77777777" w:rsidR="00B93A71" w:rsidRPr="0076577C" w:rsidRDefault="00B93A71" w:rsidP="00B93A71">
      <w:pPr>
        <w:shd w:val="clear" w:color="auto" w:fill="FFFFFF"/>
        <w:spacing w:after="0" w:line="240" w:lineRule="auto"/>
        <w:jc w:val="both"/>
        <w:rPr>
          <w:rStyle w:val="641"/>
          <w:rFonts w:ascii="Times New Roman" w:hAnsi="Times New Roman" w:cs="Times New Roman"/>
          <w:color w:val="000000" w:themeColor="text1"/>
          <w:sz w:val="16"/>
          <w:szCs w:val="16"/>
        </w:rPr>
      </w:pPr>
      <w:r w:rsidRPr="0076577C">
        <w:rPr>
          <w:rFonts w:ascii="Times New Roman" w:hAnsi="Times New Roman"/>
          <w:color w:val="000000" w:themeColor="text1"/>
          <w:sz w:val="16"/>
          <w:szCs w:val="16"/>
        </w:rPr>
        <w:t>В ночь с 13 на 14 июня 1944 г. Народный комиссар авиационной промышленности СССР А. И. Шахурин, командующий ВВС А. А. Новиков и начальник 6-го отдела Центрального института авиационного моторостроения (ЦИАМ) В. Н. Челомей были вызваны на заседание Государственного комитета обороны. На нем В. Н. Челомей доложил о результатах разработок пульсирующих воздушно-реактивных двигателей (ПуВРД), которые он проводил в ЦИАМ с 1941 г. Результатом заседания явилось поручение Наркомату авиационной промышленности СССР приступить к созданию беспилотного самолета-снаряда с ПуВРД (22746).</w:t>
      </w:r>
    </w:p>
    <w:p w14:paraId="4889D895" w14:textId="77777777" w:rsidR="00B93A71" w:rsidRPr="0076577C" w:rsidRDefault="00B93A71" w:rsidP="00B93A71">
      <w:pPr>
        <w:shd w:val="clear" w:color="auto" w:fill="FFFFFF"/>
        <w:spacing w:after="0" w:line="240" w:lineRule="auto"/>
        <w:jc w:val="both"/>
        <w:rPr>
          <w:rStyle w:val="641"/>
          <w:rFonts w:ascii="Times New Roman" w:hAnsi="Times New Roman" w:cs="Times New Roman"/>
          <w:color w:val="000000" w:themeColor="text1"/>
          <w:sz w:val="16"/>
          <w:szCs w:val="16"/>
        </w:rPr>
      </w:pPr>
    </w:p>
    <w:p w14:paraId="2268C74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28B10A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DA09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 г. во время проведения испытаний на танке "Объект 701" № 1 вышли из строя бортовые редукторы и его испытания были прекращены. Средняя скорость машины за время испытаний составила 21 км/ч. Вторая машина продолжала ходовые испытания, во время ко</w:t>
      </w:r>
      <w:r w:rsidRPr="00070ADE">
        <w:rPr>
          <w:rFonts w:ascii="Times New Roman" w:hAnsi="Times New Roman"/>
          <w:color w:val="000000" w:themeColor="text1"/>
          <w:sz w:val="16"/>
          <w:szCs w:val="16"/>
        </w:rPr>
        <w:softHyphen/>
        <w:t>торых трансмиссия танка работала удовлетворительно, но был зафик</w:t>
      </w:r>
      <w:r w:rsidRPr="00070ADE">
        <w:rPr>
          <w:rFonts w:ascii="Times New Roman" w:hAnsi="Times New Roman"/>
          <w:color w:val="000000" w:themeColor="text1"/>
          <w:sz w:val="16"/>
          <w:szCs w:val="16"/>
        </w:rPr>
        <w:softHyphen/>
        <w:t>сирован повышенный тепловой режим работы двигателя, затруднен де</w:t>
      </w:r>
      <w:r w:rsidRPr="00070ADE">
        <w:rPr>
          <w:rFonts w:ascii="Times New Roman" w:hAnsi="Times New Roman"/>
          <w:color w:val="000000" w:themeColor="text1"/>
          <w:sz w:val="16"/>
          <w:szCs w:val="16"/>
        </w:rPr>
        <w:softHyphen/>
        <w:t>монтаж крыши трансмиссии и смотровые приборы механика-водителя не обеспечивали хорошей обзорности. В ходовой части было необходи</w:t>
      </w:r>
      <w:r w:rsidRPr="00070ADE">
        <w:rPr>
          <w:rFonts w:ascii="Times New Roman" w:hAnsi="Times New Roman"/>
          <w:color w:val="000000" w:themeColor="text1"/>
          <w:sz w:val="16"/>
          <w:szCs w:val="16"/>
        </w:rPr>
        <w:softHyphen/>
        <w:t>мо усилить диски опорных и поддерживающих катков. Средняя ско</w:t>
      </w:r>
      <w:r w:rsidRPr="00070ADE">
        <w:rPr>
          <w:rFonts w:ascii="Times New Roman" w:hAnsi="Times New Roman"/>
          <w:color w:val="000000" w:themeColor="text1"/>
          <w:sz w:val="16"/>
          <w:szCs w:val="16"/>
        </w:rPr>
        <w:softHyphen/>
        <w:t>рость движения машины составила 24 км/ч. По завершении испытаний башню с танка "Объект 701" № 1 устано</w:t>
      </w:r>
      <w:r w:rsidRPr="00070ADE">
        <w:rPr>
          <w:rFonts w:ascii="Times New Roman" w:hAnsi="Times New Roman"/>
          <w:color w:val="000000" w:themeColor="text1"/>
          <w:sz w:val="16"/>
          <w:szCs w:val="16"/>
        </w:rPr>
        <w:softHyphen/>
        <w:t>вили на образец № 0 и отправили его на Гороховецкий АНИОП для проведения артиллерийских испытаний, а башню с танка "Объект 701" № 0 установили на танк "Объект 701" № 1 (10703).</w:t>
      </w:r>
    </w:p>
    <w:p w14:paraId="09AC64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8DB2E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8160E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2CC900" w14:textId="77777777" w:rsidR="00941A2A" w:rsidRPr="00070ADE" w:rsidRDefault="00941A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13 июня</w:t>
      </w:r>
      <w:r w:rsidRPr="00070ADE">
        <w:rPr>
          <w:rFonts w:ascii="Times New Roman" w:hAnsi="Times New Roman"/>
          <w:color w:val="000000" w:themeColor="text1"/>
          <w:sz w:val="16"/>
          <w:szCs w:val="16"/>
        </w:rPr>
        <w:t xml:space="preserve"> в 1944 году оперативная сводка Совинформбюро:</w:t>
      </w:r>
    </w:p>
    <w:p w14:paraId="4E27B720" w14:textId="77777777" w:rsidR="00941A2A" w:rsidRPr="00070ADE" w:rsidRDefault="00941A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13 июня на Карельском перешейке наши войска продолжали вести наступательные бои, в ходе которых овладели несколькими опорными пунктами противника и среди них Стеклянная, Кекрола, Роннукюля, Вехмаинен, Сийранмяки.</w:t>
      </w:r>
    </w:p>
    <w:p w14:paraId="64A93451" w14:textId="77777777" w:rsidR="00941A2A" w:rsidRPr="00070ADE" w:rsidRDefault="00941A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остальных участках фронта — без перемен.</w:t>
      </w:r>
    </w:p>
    <w:p w14:paraId="4A4904A1" w14:textId="77777777" w:rsidR="00941A2A" w:rsidRPr="00070ADE" w:rsidRDefault="00941A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12 июня на всех фронтах в воздушных боях и огнём зенитной артиллерии сбито 12 самолётов противника.</w:t>
      </w:r>
    </w:p>
    <w:p w14:paraId="6E438255" w14:textId="77777777" w:rsidR="00941A2A" w:rsidRPr="00070ADE" w:rsidRDefault="00941A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 Карельском перешейке наши войска продолжали наступление. Советские части, подавляя сопротивление финнов, засевших в долговременных оборонительных сооружениях и широко развитых полевых укреплениях, с боями продвигались вперёд. Части Н-ского соединения, овладев несколькими опорными пунктами, захватили 34 орудия, 48 миномётов, 44 пулемёта, 500 винтовок, 11 складов с боеприпасами и продовольствием и другие трофеи. Рассеяно и частью уничтожено до </w:t>
      </w:r>
      <w:r w:rsidRPr="00070ADE">
        <w:rPr>
          <w:rFonts w:ascii="Times New Roman" w:hAnsi="Times New Roman"/>
          <w:color w:val="000000" w:themeColor="text1"/>
          <w:sz w:val="16"/>
          <w:szCs w:val="16"/>
        </w:rPr>
        <w:lastRenderedPageBreak/>
        <w:t>полка пехоты противника. На другом участке подразделение старшего лейтенанта Мартынова обошло сильно укреплённые позиции. Ударами с фланга и с фронта эти позиции очищены от финнов.</w:t>
      </w:r>
    </w:p>
    <w:p w14:paraId="2EEBDBA9" w14:textId="77777777" w:rsidR="00941A2A" w:rsidRPr="00070ADE" w:rsidRDefault="00941A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в неблагоприятных метеорологических условиях продолжала наносить удары по коммуникациям и подходящим к линии фронта резервам финнов. В течение дня советские лётчики разбили 2 паровоза, 70 вагонов, уничтожили более 80 автомашин и подавили огонь 12 артиллерийских батарей противника.</w:t>
      </w:r>
    </w:p>
    <w:p w14:paraId="2956A1B6" w14:textId="77777777" w:rsidR="00941A2A" w:rsidRPr="00070ADE" w:rsidRDefault="00941A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Новосокольники разведывательный отряд под командованием капитана Климчука после короткого артиллерийского налёта ворвался в расположение немцев. В ожесточённом бою советские разведчики истребили более роты гитлеровцев, уничтожили 2 орудия, взорвали два блиндажа и наблюдательный пункт. Разведчики захватили в плен 12 немцев и вернулись в своё расположение.</w:t>
      </w:r>
    </w:p>
    <w:p w14:paraId="7B86893F" w14:textId="77777777" w:rsidR="00941A2A" w:rsidRPr="00070ADE" w:rsidRDefault="00941A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теперь стало известно, в боях в районе севернее города Яссы отличился красноармеец Смищук Роман Семёнович. 4 июня на одном участке наше подразделение атаковали 25 танков противника. Создалось очень трудное положение. Тов. Смищук под огнём противника выбежал из траншеи навстречу немецким танкам. Метко бросив одну за другой несколько противотанковых гранат, он подбил три немецких танка. Остальные вражеские танки отошли, но затем вторично атаковали позиции подразделения. Красноармеец Смищук во время этой атаки гранатами подбил ещё три танка. Таким образом, всего в ходе боя т. Смищук уничтожил 6 немецких танков.</w:t>
      </w:r>
    </w:p>
    <w:p w14:paraId="734C36B0" w14:textId="77777777" w:rsidR="00941A2A" w:rsidRPr="00070ADE" w:rsidRDefault="00941A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нашего флота обнаружила и потопила у северного побережья Норвегии три немецких мотобота.</w:t>
      </w:r>
    </w:p>
    <w:p w14:paraId="4DDAE111" w14:textId="77777777" w:rsidR="00941A2A" w:rsidRPr="00070ADE" w:rsidRDefault="00941A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Группа партизанских отрядов, действующих в Львовской области, в течение недели пустила под откос 9 воинских эшелонов противника. Разбито много вагонов и платформ. Отряд волынских партизан на днях вёл ожесточённый бой против батальона немецкой пехоты. Советские патриоты нанесли противнику большой урон, а затем умелым манёвром вышли из боя.</w:t>
      </w:r>
    </w:p>
    <w:p w14:paraId="60F92F00" w14:textId="77777777" w:rsidR="00941A2A" w:rsidRPr="00070ADE" w:rsidRDefault="00941A2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солдат 10 финской пехотной дивизии Олави Тийхонен рассказал: «Правительство Финляндии завело страну в тупик. Начав преступную войну против Советского Союза на стороне Германии, господа из Хельсинки много шумели о создании «Великой Финляндии». Нам говорили, что после победы каждый участник войны, который этого пожелает, получит большой участок земли и леса в Карелии. С прошлого года об этом перестали говорить. Всем уже стало ясно, что Германия войну проиграла. Солдаты считают дальнейшее сопротивление бесполезным и бессмысленным. Мирные условия, предложенные советским правительством правительству Финляндии, широко обсуждались в солдатской среде. Большинство солдат нашего батальона считало, что эти условия вполне приемлемы. Мы надеялись, что финское правительство воспользуется удобным случаем, порвет с Германией и заключит мир. Однако наши надежды не оправдались. Господа из Хельсинки предали свою страну и финский народ. Отклонение советских условий мира вызвало глухое недовольство солдат» (14921).</w:t>
      </w:r>
    </w:p>
    <w:p w14:paraId="528D0D6F" w14:textId="77777777" w:rsidR="00941A2A" w:rsidRPr="00070ADE" w:rsidRDefault="00941A2A" w:rsidP="00B56F90">
      <w:pPr>
        <w:spacing w:after="0" w:line="240" w:lineRule="auto"/>
        <w:jc w:val="both"/>
        <w:rPr>
          <w:rFonts w:ascii="Times New Roman" w:hAnsi="Times New Roman"/>
          <w:color w:val="000000" w:themeColor="text1"/>
          <w:sz w:val="16"/>
          <w:szCs w:val="16"/>
        </w:rPr>
      </w:pPr>
    </w:p>
    <w:p w14:paraId="08492D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13-18 июня 1944 АДД в рамках подготовки к Белорусской операции бомбила 7 аэродромов: в Бресте, Белостоке, Орше, Минске, Барановичах, Бобруйске, Лунинце, где базировалось до 60% самолетов 6ВФ. выполнили 1472 (340,170).</w:t>
      </w:r>
    </w:p>
    <w:p w14:paraId="7A642B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D71C0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2A5A20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0C0E64" w14:textId="3CC5AA72" w:rsidR="00D564FE" w:rsidRPr="00070ADE" w:rsidRDefault="00D564F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Немецкий Ju-88G-l (W.Nr.712273, 4R+UR) совершавший патрулирование над Северным морем по ошибке приземлился на английском аэродроме Вудбридж. Самолет был оснащен радаром SN-2. По немецкой версии имела место ошибка навигации, но, скорее всего пилот самолета был завербован английской разведкой. Испытания радара позволили англичанам разработать более эффективную систему постановки помех Window.</w:t>
      </w:r>
    </w:p>
    <w:p w14:paraId="2C90E2A7" w14:textId="77777777" w:rsidR="00D564FE" w:rsidRPr="00070ADE" w:rsidRDefault="00D564F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Радар FuG200 "Hohentwiel" работал на частоте 490 МГц (0,5 м). Это был морской радар импульсного типа.</w:t>
      </w:r>
    </w:p>
    <w:p w14:paraId="4D53EFB8" w14:textId="77777777" w:rsidR="00D564FE" w:rsidRPr="00070ADE" w:rsidRDefault="00D564F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Радары FuG 220 SN2 и FuG 212 C1 использовали одновременно, поэтому ночные истребители несли антенны двух типов. Для FuG 220 SN2 требовались более большие антенны "Hirschgeweih" ("оленьи рога"), а для FuG 212 С-1 меньшие антенны "Matratzen" ("матрас"). Для постановки помех немецким радарам, англичане сбрасывали полоски станиоли. Впрочем это оказалось малоэффективным (22462).</w:t>
      </w:r>
    </w:p>
    <w:p w14:paraId="28203186" w14:textId="77777777" w:rsidR="00D564FE" w:rsidRPr="00070ADE" w:rsidRDefault="00D564FE" w:rsidP="00B56F90">
      <w:pPr>
        <w:spacing w:after="0" w:line="240" w:lineRule="auto"/>
        <w:jc w:val="both"/>
        <w:rPr>
          <w:rFonts w:ascii="Times New Roman" w:hAnsi="Times New Roman"/>
          <w:color w:val="000000" w:themeColor="text1"/>
          <w:sz w:val="16"/>
          <w:szCs w:val="16"/>
        </w:rPr>
      </w:pPr>
    </w:p>
    <w:p w14:paraId="5EA9AC4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 начался обстрел Лондона первыми немецкими ракетами "ФАУ-1" (4962).</w:t>
      </w:r>
    </w:p>
    <w:p w14:paraId="2E43A63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4B83AF" w14:textId="77777777" w:rsidR="00A3754D" w:rsidRPr="00070ADE" w:rsidRDefault="00A375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 года были запущены пятнадцать крылатых ракет Фау-1 — их целью был Лондон. Пуски продолжались ежедневно, и за две недели число погибших от «оружия возмездия» достигло 2400 человек.</w:t>
      </w:r>
    </w:p>
    <w:p w14:paraId="1007C145" w14:textId="77777777" w:rsidR="00A3754D" w:rsidRPr="00070ADE" w:rsidRDefault="00A3754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изготовленных 30000 самолетов-снарядов около 9500 были запущены в Англию, и только 2500 из них долетели до столицы Великобритании. 3800 были сбиты истребителями и артиллерией противовоздушной обороны, а 2700 Фау-1 упали в Ла-Манш. Немецкие крылатые ракеты уничтожили порядка 20000 домов, около 18000 человек было ранено и 6400 убито (19627).</w:t>
      </w:r>
    </w:p>
    <w:p w14:paraId="148E2EBD" w14:textId="77777777" w:rsidR="00A3754D" w:rsidRPr="00070ADE" w:rsidRDefault="00A3754D" w:rsidP="00B56F90">
      <w:pPr>
        <w:spacing w:after="0" w:line="240" w:lineRule="auto"/>
        <w:jc w:val="both"/>
        <w:rPr>
          <w:rFonts w:ascii="Times New Roman" w:hAnsi="Times New Roman"/>
          <w:color w:val="000000" w:themeColor="text1"/>
          <w:sz w:val="16"/>
          <w:szCs w:val="16"/>
        </w:rPr>
      </w:pPr>
    </w:p>
    <w:p w14:paraId="45E5C336" w14:textId="62A35698" w:rsidR="00D564FE" w:rsidRPr="00070ADE" w:rsidRDefault="00D564F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Первый обстрел Лондона немецкими самолетами-снарядами Фау-1.</w:t>
      </w:r>
    </w:p>
    <w:p w14:paraId="1A7EB6ED" w14:textId="77777777" w:rsidR="00D564FE" w:rsidRPr="00070ADE" w:rsidRDefault="00D564F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Начался первый этап "Роботблица"- обстрела Англии крылатыми ракетам "Фау-1"/V-1. В течение ночи с семи стартовых позиций было пущено 10 ракет, из которых лишь 4 достигли Англии. Первая крылатая ракета "Фау-1" взорвалась на территории Англии вблизи города Грейвсенд. В результате взрывами четырёх ракет было убито шесть и ранено девять человек, кроме того, был разрушен железнодорожный мост. Начиная с ночи 12-13 июня 1944 года немцы запустили на Великобританию более чем 6700 самолетов-снарядов V-1 (22462).</w:t>
      </w:r>
    </w:p>
    <w:p w14:paraId="0A3C6BE8" w14:textId="77777777" w:rsidR="00D564FE" w:rsidRPr="00070ADE" w:rsidRDefault="00D564FE" w:rsidP="00B56F90">
      <w:pPr>
        <w:spacing w:after="0" w:line="240" w:lineRule="auto"/>
        <w:jc w:val="both"/>
        <w:rPr>
          <w:rFonts w:ascii="Times New Roman" w:hAnsi="Times New Roman"/>
          <w:color w:val="000000" w:themeColor="text1"/>
          <w:sz w:val="16"/>
          <w:szCs w:val="16"/>
        </w:rPr>
      </w:pPr>
    </w:p>
    <w:p w14:paraId="4B045389" w14:textId="77777777" w:rsidR="00D564FE" w:rsidRPr="00070ADE" w:rsidRDefault="00D564F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 при испытании радиокомандной системы на «Агрегате А-4» в результате ошибки опе</w:t>
      </w:r>
      <w:r w:rsidRPr="00070ADE">
        <w:rPr>
          <w:rFonts w:ascii="Times New Roman" w:hAnsi="Times New Roman"/>
          <w:color w:val="000000" w:themeColor="text1"/>
          <w:sz w:val="16"/>
          <w:szCs w:val="16"/>
        </w:rPr>
        <w:softHyphen/>
        <w:t>ратора ракета изменила траекторию и через 5 минут взорвалась в воздухе над юго-за</w:t>
      </w:r>
      <w:r w:rsidRPr="00070ADE">
        <w:rPr>
          <w:rFonts w:ascii="Times New Roman" w:hAnsi="Times New Roman"/>
          <w:color w:val="000000" w:themeColor="text1"/>
          <w:sz w:val="16"/>
          <w:szCs w:val="16"/>
        </w:rPr>
        <w:softHyphen/>
        <w:t>падной частью Швеции, вблизи города Кальмара. 31 июля англичане обменяли 12 контейнеров с обломками упавшей ракеты на несколько передвижных радиолокато</w:t>
      </w:r>
      <w:r w:rsidRPr="00070ADE">
        <w:rPr>
          <w:rFonts w:ascii="Times New Roman" w:hAnsi="Times New Roman"/>
          <w:color w:val="000000" w:themeColor="text1"/>
          <w:sz w:val="16"/>
          <w:szCs w:val="16"/>
        </w:rPr>
        <w:softHyphen/>
        <w:t>ров. Примерно через месяц в Лондон до</w:t>
      </w:r>
      <w:r w:rsidRPr="00070ADE">
        <w:rPr>
          <w:rFonts w:ascii="Times New Roman" w:hAnsi="Times New Roman"/>
          <w:color w:val="000000" w:themeColor="text1"/>
          <w:sz w:val="16"/>
          <w:szCs w:val="16"/>
        </w:rPr>
        <w:softHyphen/>
        <w:t>ставили и фрагменты одной из серийных ракет, добытых польскими партизанами (22798).</w:t>
      </w:r>
    </w:p>
    <w:p w14:paraId="000587B7" w14:textId="77777777" w:rsidR="00D564FE" w:rsidRPr="00070ADE" w:rsidRDefault="00D564FE" w:rsidP="00B56F90">
      <w:pPr>
        <w:spacing w:after="0" w:line="240" w:lineRule="auto"/>
        <w:jc w:val="both"/>
        <w:rPr>
          <w:rFonts w:ascii="Times New Roman" w:hAnsi="Times New Roman"/>
          <w:color w:val="000000" w:themeColor="text1"/>
          <w:sz w:val="16"/>
          <w:szCs w:val="16"/>
        </w:rPr>
      </w:pPr>
    </w:p>
    <w:p w14:paraId="2DA3C4C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 при испытании над Швецией разбилась немецкая ракета “ФАУ-2”, останки которой вскоре попали союзникам (4962).</w:t>
      </w:r>
    </w:p>
    <w:p w14:paraId="7EBFED8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07AC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13th, 1944: Launching of the first V-1 robot bombs from the Pas de Calais against London causing shock and near-panick among the civilian population. In the battle for Caen, a single Tiger tank from 12.SS-Panzerdivision (Obstuf. Wittmann) destroys 25 tanks and other vehicles of the British 7th Armoured Division near Villers-Bocage (3819).</w:t>
      </w:r>
    </w:p>
    <w:p w14:paraId="557C47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BD3BB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13 June 1944 (13-14-June) Start of German V1 flying bomb offensive against Britain (270), launched from France against England with 4 of the 11 striking London (1038).</w:t>
      </w:r>
    </w:p>
    <w:p w14:paraId="24D4E3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V - Vergeltungwaffe (1087,28).</w:t>
      </w:r>
    </w:p>
    <w:p w14:paraId="162E29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F817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13-14 июня 1944 началось массовое применение снарядов Фау-1 против Англии (270). 4 из 11, выпущенных из Франции, поражали Лондон (1038).</w:t>
      </w:r>
    </w:p>
    <w:p w14:paraId="5FA7D9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43D4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13 июня по 5 сентября 1944 выпустили 9017 V-1 (1608,21).</w:t>
      </w:r>
    </w:p>
    <w:p w14:paraId="5639A9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37B4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Утром 13 июня 1944 г. на территории Англии разорвалась первая V1. К этому времени из 80 построенных стартовых позиций крылатых ракет только 55 были подготовлены и только 18 из них опробованы к пуску V1. Общий боекомплект, имевшийся на стартовых позициях, составлял 873 ракеты. За 15 минут до боевых пусков выяснилось, что ни одна позиция не оборудована средствами техники безопасности. Телефонная связь с командным пунктом работала с перебоями, радио в целях обеспечения внезапности удара не использовали, солдаты были измотаны круглосуточной работой по разгрузке ракет и оборудованию позиций.</w:t>
      </w:r>
    </w:p>
    <w:p w14:paraId="5D2394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Стартовые команды не прошли тренинг в пусках боевых ракет.</w:t>
      </w:r>
    </w:p>
    <w:p w14:paraId="39160D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итоге первый пуск состоялся не 12 июня в 23 часа 40 минут, как говорилось в приказе, а 13 июня в 3 часа 30 минут. В течение ночи из семи пусковых установок было выпущено всего 10 ракет (планировалось 500 шт.). Из 10 ракет только четыре достигло Англии. Перед ракетным ударом сверхдальнобойная артиллерия произвела артиллерийский налет по английскому побережью.</w:t>
      </w:r>
    </w:p>
    <w:p w14:paraId="1E112F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Цель поразили только 33 снаряда. Авиация участия в массированном ударе не приняла, так как наносила удары по войскам союзников во Франции. Таким образом, 65-й армейский корпус не смог выполнить приказ от 16 мая 1944 г. по организации внезапного ракетного массированного удара по Лондону во взаимодействии с дальнобойной артиллерией и бомбардировочной авиацией.</w:t>
      </w:r>
    </w:p>
    <w:p w14:paraId="144EDA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Была назначена комиссия для расследования причин первого неудачного ракетного удара. За двое суток расследования были определены главные причины провала: необеспеченность ракетных подразделений горючим и транспортом, недостаток времени на приведение пусковых установок в боевую готовность, отсутствие вспомогательного персонала для сборки катапульт, разгрузки ракет и подвоза их на позиции. Полковник Вахтель, которому грозил военно-полевой суд, был оправдан (11686).</w:t>
      </w:r>
    </w:p>
    <w:p w14:paraId="302362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89193C2" w14:textId="77777777" w:rsidR="002F0C11" w:rsidRPr="00070ADE" w:rsidRDefault="002F0C1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13 июня</w:t>
      </w:r>
      <w:r w:rsidRPr="00070ADE">
        <w:rPr>
          <w:rFonts w:ascii="Times New Roman" w:hAnsi="Times New Roman"/>
          <w:color w:val="000000" w:themeColor="text1"/>
          <w:sz w:val="16"/>
          <w:szCs w:val="16"/>
        </w:rPr>
        <w:t xml:space="preserve"> в 1944 году германские ракетные части приступили к началу первого этапа так называемого "Роботблица"- обстрела Англии крылатыми ракетам "Фау-1"/V-1. В течение ночи с семи стартовых позиций было пущено 10 ракет, из которых лишь 4 достигли Англии. Первая крылатая ракета "Фау-1" взорвалась на территории </w:t>
      </w:r>
      <w:r w:rsidRPr="00070ADE">
        <w:rPr>
          <w:rFonts w:ascii="Times New Roman" w:hAnsi="Times New Roman"/>
          <w:color w:val="000000" w:themeColor="text1"/>
          <w:sz w:val="16"/>
          <w:szCs w:val="16"/>
        </w:rPr>
        <w:lastRenderedPageBreak/>
        <w:t>Англии вблизи города Грейвсенд. В течение первого периода англичане фактически не знали, как защищаться от нового оружия. Обстрелы будут продолжаться с перерывами до марта 1945. С 8 сентября 1944 авиацией начнут использоваться баллистические ракеты «Фау-2» (14921).</w:t>
      </w:r>
    </w:p>
    <w:p w14:paraId="63DE520A" w14:textId="77777777" w:rsidR="002F0C11" w:rsidRPr="00070ADE" w:rsidRDefault="002F0C11" w:rsidP="00B56F90">
      <w:pPr>
        <w:spacing w:after="0" w:line="240" w:lineRule="auto"/>
        <w:jc w:val="both"/>
        <w:rPr>
          <w:rFonts w:ascii="Times New Roman" w:hAnsi="Times New Roman"/>
          <w:color w:val="000000" w:themeColor="text1"/>
          <w:sz w:val="16"/>
          <w:szCs w:val="16"/>
        </w:rPr>
      </w:pPr>
    </w:p>
    <w:p w14:paraId="62FE3E4B" w14:textId="77777777" w:rsidR="002F0C11" w:rsidRPr="00070ADE" w:rsidRDefault="002F0C1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13 июня</w:t>
      </w:r>
      <w:r w:rsidRPr="00070ADE">
        <w:rPr>
          <w:rFonts w:ascii="Times New Roman" w:hAnsi="Times New Roman"/>
          <w:color w:val="000000" w:themeColor="text1"/>
          <w:sz w:val="16"/>
          <w:szCs w:val="16"/>
        </w:rPr>
        <w:t xml:space="preserve"> в 1944 году первый обстрел Лондона немецкими самолетами-снарядами «Фау-1». Начался первый этап "Роботблица"- обстрела Англии крылатыми ракетам "Фау-1"/V-1. В течение ночи с семи стартовых позиций было пущено 10 ракет, из которых лишь 4 достигли Англии. Первая крылатая ракета "Фау-1" взорвалась на территории Англии вблизи города Грейвсенд. В результате взрывами четырёх ракет было убито шесть и ранено девять человек, кроме того, был разрушен железнодорожный мост. Начиная с ночи 12-13 июня 1944 года немцы запустили на Великобританию более чем 6700 самолетов-снарядов «V-1» (14921).</w:t>
      </w:r>
    </w:p>
    <w:p w14:paraId="4EA8BC54" w14:textId="77777777" w:rsidR="002F0C11" w:rsidRPr="00070ADE" w:rsidRDefault="002F0C11" w:rsidP="00B56F90">
      <w:pPr>
        <w:spacing w:after="0" w:line="240" w:lineRule="auto"/>
        <w:jc w:val="both"/>
        <w:rPr>
          <w:rFonts w:ascii="Times New Roman" w:hAnsi="Times New Roman"/>
          <w:color w:val="000000" w:themeColor="text1"/>
          <w:sz w:val="16"/>
          <w:szCs w:val="16"/>
        </w:rPr>
      </w:pPr>
    </w:p>
    <w:p w14:paraId="3A4DD0BC" w14:textId="77777777" w:rsidR="002F0C11" w:rsidRPr="00070ADE" w:rsidRDefault="002F0C1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13 июня</w:t>
      </w:r>
      <w:r w:rsidRPr="00070ADE">
        <w:rPr>
          <w:rFonts w:ascii="Times New Roman" w:hAnsi="Times New Roman"/>
          <w:color w:val="000000" w:themeColor="text1"/>
          <w:sz w:val="16"/>
          <w:szCs w:val="16"/>
        </w:rPr>
        <w:t xml:space="preserve"> в 1944 году немецкий </w:t>
      </w:r>
      <w:hyperlink r:id="rId177" w:tgtFrame="_blank" w:history="1">
        <w:r w:rsidRPr="00070ADE">
          <w:rPr>
            <w:rFonts w:ascii="Times New Roman" w:hAnsi="Times New Roman"/>
            <w:color w:val="000000" w:themeColor="text1"/>
            <w:sz w:val="16"/>
            <w:szCs w:val="16"/>
          </w:rPr>
          <w:t xml:space="preserve">«Ju-88G-l» </w:t>
        </w:r>
      </w:hyperlink>
      <w:r w:rsidRPr="00070ADE">
        <w:rPr>
          <w:rFonts w:ascii="Times New Roman" w:hAnsi="Times New Roman"/>
          <w:color w:val="000000" w:themeColor="text1"/>
          <w:sz w:val="16"/>
          <w:szCs w:val="16"/>
        </w:rPr>
        <w:t>(W.Nr.712273, 4R+UR) совершавший патрулирование над Северным морем по ошибке приземлился на английском аэродроме Вудбридж. Самолет был оснащен радаром «SN-2». По немецкой версии имела место ошибка навигации, но, скорее всего пилот самолета был завербован английской разведкой. Испытания радара позволили англичанам разработать более эффективную систему постановки помех «Window». Радар «FuG200» "Hohentwiel" работал на частоте 490 МГц (0,5 м). Это был морской радар импульсного типа. Радары «FuG 220» «SN2» и «FuG 212» «C1» использовали одновременно, поэтому ночные истребители несли антенны двух типов. Для «FuG 220» «SN2» требовались более большие антенны "Hirschgeweih" ("оленьи рога"), а для «FuG 212» «С-1» меньшие антенны "Matratzen" ("матрас"). Для постановки помех немецким радарам, англичане сбрасывали полоски станиоли. Впрочем это оказалось малоэффективным (14921).</w:t>
      </w:r>
    </w:p>
    <w:p w14:paraId="564D9D8E" w14:textId="77777777" w:rsidR="002F0C11" w:rsidRPr="00070ADE" w:rsidRDefault="002F0C11" w:rsidP="00B56F90">
      <w:pPr>
        <w:spacing w:after="0" w:line="240" w:lineRule="auto"/>
        <w:jc w:val="both"/>
        <w:rPr>
          <w:rFonts w:ascii="Times New Roman" w:hAnsi="Times New Roman"/>
          <w:color w:val="000000" w:themeColor="text1"/>
          <w:sz w:val="16"/>
          <w:szCs w:val="16"/>
        </w:rPr>
      </w:pPr>
    </w:p>
    <w:p w14:paraId="7AA221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 при испытании видеокомандной системы А-4 в результате ошибки оператора ракета изменила траекторию и взорвалась над Швецией. 31 июня англичане обменяли 12 контейнеров обломков на РЛС. Через месяц получили еще из Польши (2469,18).</w:t>
      </w:r>
    </w:p>
    <w:p w14:paraId="38EF38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58865B" w14:textId="77777777" w:rsidR="002F0C11" w:rsidRPr="00070ADE" w:rsidRDefault="002F0C1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13 июня</w:t>
      </w:r>
      <w:r w:rsidRPr="00070ADE">
        <w:rPr>
          <w:rFonts w:ascii="Times New Roman" w:hAnsi="Times New Roman"/>
          <w:color w:val="000000" w:themeColor="text1"/>
          <w:sz w:val="16"/>
          <w:szCs w:val="16"/>
        </w:rPr>
        <w:t xml:space="preserve"> в 1944 году при испытании над Швецией разбилась немецкая ракета «ФАУ-2», останки которой вскоре попали союзникам (14921).</w:t>
      </w:r>
    </w:p>
    <w:p w14:paraId="7B273FCD" w14:textId="77777777" w:rsidR="002F0C11" w:rsidRPr="00070ADE" w:rsidRDefault="002F0C11" w:rsidP="00B56F90">
      <w:pPr>
        <w:spacing w:after="0" w:line="240" w:lineRule="auto"/>
        <w:jc w:val="both"/>
        <w:rPr>
          <w:rFonts w:ascii="Times New Roman" w:hAnsi="Times New Roman"/>
          <w:color w:val="000000" w:themeColor="text1"/>
          <w:sz w:val="16"/>
          <w:szCs w:val="16"/>
        </w:rPr>
      </w:pPr>
    </w:p>
    <w:p w14:paraId="2BC787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 в СЗФ американские войска заняли п/о Котантен и 27 июня освободили Шербур (3907,249).</w:t>
      </w:r>
    </w:p>
    <w:p w14:paraId="2098710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350A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 в битве у Кайена один Тигр 12ТД СС уничтожил 25 танков британской 7ТД (3819).</w:t>
      </w:r>
    </w:p>
    <w:p w14:paraId="74E200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32CF0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июня 1944 президент Американской медицинской ассоциации Г. Кретчмер осудил повсеместно использование витаминов как дорогое и бесполезное занятие (4962).</w:t>
      </w:r>
    </w:p>
    <w:p w14:paraId="413D5B5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E5247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6B4D4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4CFC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закончились гос. испытания Ла-5 в двухместном варианте УТИ с АШ-82Ф и винтом ВИШ-105В (серийного N 37210813 21 завода, модифицированного ПАМ-30 1-й ВА, которые начались 5 мая 1944 (763,2).</w:t>
      </w:r>
    </w:p>
    <w:p w14:paraId="4E90CA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B26A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на МиГ АМ-39Б + 2ТК-2Б было выполнено 2 полета после установки системы нейтрального газа и бензопомпы БНК-10. Первый - 0:40 до 8000 м, 2-й - 0:30 до 8000 м (1825).</w:t>
      </w:r>
    </w:p>
    <w:p w14:paraId="0EA8AA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AAEC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на МИГ С АМ-39Б И 2ТК-2Б были произведены два полета после установки системы нейтрального газа и бензопомпы взамен инжекторной помпы "178”.</w:t>
      </w:r>
    </w:p>
    <w:p w14:paraId="734A592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полет - продолжительностью 40 мин. до высоты 3000 мт, на 1-й скорости нагнетателя.</w:t>
      </w:r>
    </w:p>
    <w:p w14:paraId="064ACB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полете давление бензина у земли - 0.3 атм и на высоте 3000 мт - 0,23 атм, обороты ТК при переходе на горизонтальный полет - 17000 об/мин, давление нейтрального газа в бензобаке - 0,15 атм. Винтомотор</w:t>
      </w:r>
      <w:r w:rsidRPr="00070ADE">
        <w:rPr>
          <w:rFonts w:ascii="Times New Roman" w:hAnsi="Times New Roman"/>
          <w:color w:val="000000" w:themeColor="text1"/>
          <w:sz w:val="16"/>
          <w:szCs w:val="16"/>
        </w:rPr>
        <w:softHyphen/>
        <w:t>ная группа работала удовлетворительно. После полета произведено увеличение диаметров отверстий в дозиру</w:t>
      </w:r>
      <w:r w:rsidRPr="00070ADE">
        <w:rPr>
          <w:rFonts w:ascii="Times New Roman" w:hAnsi="Times New Roman"/>
          <w:color w:val="000000" w:themeColor="text1"/>
          <w:sz w:val="16"/>
          <w:szCs w:val="16"/>
        </w:rPr>
        <w:softHyphen/>
        <w:t>ющей шайбе клапана нейтрального газа для увеличения давления нейтрального газа в бензобаке и изменена регулировка давления бензина.</w:t>
      </w:r>
    </w:p>
    <w:p w14:paraId="7E7F8F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2-й полет - продолжительностью 30 мин, высота 3000 мт. на 1-й скорости нагнетахеля.</w:t>
      </w:r>
    </w:p>
    <w:p w14:paraId="7EAC75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полете давление бензина на высоте 3000 мт - 0,25 атм, давление нейтрального газа в бензобаке - 0,2 атм, обоорты ТК при переходе на горизонтальный полет - 17500об/мин. Винтомоторная группа работала удовлетворительно. После полета на самолете проводятся рабо</w:t>
      </w:r>
      <w:r w:rsidRPr="00070ADE">
        <w:rPr>
          <w:rFonts w:ascii="Times New Roman" w:hAnsi="Times New Roman"/>
          <w:color w:val="000000" w:themeColor="text1"/>
          <w:sz w:val="16"/>
          <w:szCs w:val="16"/>
        </w:rPr>
        <w:softHyphen/>
        <w:t>ты по увеличению давления нейтрального газа в бензо</w:t>
      </w:r>
      <w:r w:rsidRPr="00070ADE">
        <w:rPr>
          <w:rFonts w:ascii="Times New Roman" w:hAnsi="Times New Roman"/>
          <w:color w:val="000000" w:themeColor="text1"/>
          <w:sz w:val="16"/>
          <w:szCs w:val="16"/>
        </w:rPr>
        <w:softHyphen/>
        <w:t>баке (1825).</w:t>
      </w:r>
    </w:p>
    <w:p w14:paraId="392378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E1F6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14 по 24 июня 1944 проводились гос. испытания И-220 МиГ с АМ-39, но прекратились из за выхода из строя двигателя (4,249).</w:t>
      </w:r>
    </w:p>
    <w:p w14:paraId="17BD82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июля 1944 л-и А.П.Якимов подписал отчет по результатам заводских летных испытаний с-та И-220 с мотором АМ-39, редукция 0,732 и винтом АВ5Л126А</w:t>
      </w:r>
    </w:p>
    <w:p w14:paraId="5C482A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июля 1944 Зам. ГК Гуревич и ст. в/п на заводе 155 Савин утвердили Акт по результатам заводских летных испытаний с-та И-220 с мотором АМ-39, редукция 0,732 и винтом АВ5Л126А</w:t>
      </w:r>
    </w:p>
    <w:p w14:paraId="57A3D6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 испытатель ви с-та Брунов</w:t>
      </w:r>
    </w:p>
    <w:p w14:paraId="435F8E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 Якимов</w:t>
      </w:r>
    </w:p>
    <w:p w14:paraId="43DB33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Цель испытаний: контрольные испытания для проверки лд с серийным мотором АМ-39, проверка и доводка матчасти и ВМГ. На с-те установлено 4хШВАК 20 мм с б/з по 100 патронов на каждую.</w:t>
      </w:r>
    </w:p>
    <w:p w14:paraId="4B41FE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с-та 9,5, размах - 11,0, площадь крыла 20,38, профиль NACA-230, угол установки 1 гр.</w:t>
      </w:r>
    </w:p>
    <w:p w14:paraId="3DC560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2 гр в боевом режжииме при 2150 и Рк 1175 на 7000 - 695, на номинальном на 7200 - 690</w:t>
      </w:r>
    </w:p>
    <w:p w14:paraId="5806C1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1 гр. на боевом Рк 1200 на 2700 - 625, на номинальном на 2400 - 624</w:t>
      </w:r>
    </w:p>
    <w:p w14:paraId="1634D6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пикирования - 685 по рибору.</w:t>
      </w:r>
    </w:p>
    <w:p w14:paraId="041C15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- 2-й</w:t>
      </w:r>
    </w:p>
    <w:p w14:paraId="446BA5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первом в консоли крыла были поставлены противофлаттерные грузы общим весом 28 кг</w:t>
      </w:r>
    </w:p>
    <w:p w14:paraId="70C401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 - 3845, в т.ч.</w:t>
      </w:r>
    </w:p>
    <w:p w14:paraId="2A7BC5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- 90</w:t>
      </w:r>
    </w:p>
    <w:p w14:paraId="695D4C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горючее - 350</w:t>
      </w:r>
    </w:p>
    <w:p w14:paraId="3B416C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масло - 45</w:t>
      </w:r>
    </w:p>
    <w:p w14:paraId="57F46B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оружие - 156</w:t>
      </w:r>
    </w:p>
    <w:p w14:paraId="56D43C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б/з - 93</w:t>
      </w:r>
    </w:p>
    <w:p w14:paraId="27227E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Съемное оборудование - 16</w:t>
      </w:r>
    </w:p>
    <w:p w14:paraId="715339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750</w:t>
      </w:r>
    </w:p>
    <w:p w14:paraId="20E3A0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Отзывы л</w:t>
      </w:r>
    </w:p>
    <w:p w14:paraId="5785E5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АМ-39 с беспоплавковым карбюратором на форсаже работает плохо. На номинале - хорошо.</w:t>
      </w:r>
    </w:p>
    <w:p w14:paraId="46B893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Значительной помехой в полете является обильный выброс масла из носка мотора. Масло нагоняет на козырек и затрудняет полет</w:t>
      </w:r>
    </w:p>
    <w:p w14:paraId="31FE97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Бензоочистеители козырька не в состоянии справиться с натекающим маслом из носка мотора</w:t>
      </w:r>
    </w:p>
    <w:p w14:paraId="0EFD23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Велики нагрузки на элероны и РВ, особенно на большой скорости</w:t>
      </w:r>
    </w:p>
    <w:p w14:paraId="203E46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Слабый обзор назад</w:t>
      </w:r>
    </w:p>
    <w:p w14:paraId="1023D7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Крайне передняя центровка, особенно у машины, заправленной горючим</w:t>
      </w:r>
    </w:p>
    <w:p w14:paraId="4A0FF1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устранении недостатков с-т может быть принят на вооружение. Несомненно будет легко освоен л</w:t>
      </w:r>
    </w:p>
    <w:p w14:paraId="60B22E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 А.П.Якимов 5 июля 1944</w:t>
      </w:r>
    </w:p>
    <w:p w14:paraId="2EA9DA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подлежит передаче в НИИ ВВС для продолжения испытаний</w:t>
      </w:r>
    </w:p>
    <w:p w14:paraId="452812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Брунов (11472,2).</w:t>
      </w:r>
    </w:p>
    <w:p w14:paraId="2D5361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5E8DB3" w14:textId="77777777" w:rsidR="004D183C" w:rsidRPr="00070ADE" w:rsidRDefault="004D183C"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г. появляются дан</w:t>
      </w:r>
      <w:r w:rsidRPr="00070ADE">
        <w:rPr>
          <w:rFonts w:ascii="Times New Roman" w:hAnsi="Times New Roman"/>
          <w:color w:val="000000" w:themeColor="text1"/>
          <w:sz w:val="16"/>
          <w:szCs w:val="16"/>
        </w:rPr>
        <w:softHyphen/>
        <w:t>ные о возобновлении Государственных испытаний И-220 №02 с мотором АМ-39 и полным вооружением. Оно очевидно было таким же, как и на первой машине - две боковые пушки СП-20 и две верхние УБС-20. Но уже 24 июня полеты были прерва</w:t>
      </w:r>
      <w:r w:rsidRPr="00070ADE">
        <w:rPr>
          <w:rFonts w:ascii="Times New Roman" w:hAnsi="Times New Roman"/>
          <w:color w:val="000000" w:themeColor="text1"/>
          <w:sz w:val="16"/>
          <w:szCs w:val="16"/>
        </w:rPr>
        <w:softHyphen/>
        <w:t>ны из-за выхода из строя мотора АМ-39 и больше не возобновлялись (23401).</w:t>
      </w:r>
    </w:p>
    <w:p w14:paraId="626EF826" w14:textId="77777777" w:rsidR="004D183C" w:rsidRPr="00070ADE" w:rsidRDefault="004D183C" w:rsidP="00B56F90">
      <w:pPr>
        <w:spacing w:after="0" w:line="240" w:lineRule="auto"/>
        <w:jc w:val="both"/>
        <w:rPr>
          <w:rFonts w:ascii="Times New Roman" w:hAnsi="Times New Roman"/>
          <w:color w:val="000000" w:themeColor="text1"/>
          <w:sz w:val="16"/>
          <w:szCs w:val="16"/>
        </w:rPr>
      </w:pPr>
    </w:p>
    <w:p w14:paraId="72C4CF12" w14:textId="6A83F4ED"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(сентября) 1944 г. по приказу № 0152 ГУ ГВФ основан Завод № 411 МГА, Авиаремонтные мастерскне № 38, АООТ, ОАО «Завод № 411 ГА», ООО «АвиаЦентр-411» /357310</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Минеральные Воды Ставропольского кр., Авиагородок-2; ул. Кнышевского, 69 тел. 3-03-44/ как АРМ-38. Приказом № 0178 от 12.10.1946 г. преобразованы в АРБ № 411 ГВФ. Приказом МГА № 124 от 3.03.1962 г. переименована в завод № 411 ГА. В 2008 г. ОАО «Завод № 411 ГА» являлось банкротом. Численность персонала (2002 г.)- 1350 чел.</w:t>
      </w:r>
    </w:p>
    <w:p w14:paraId="0348D4D0" w14:textId="55D044E3"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Директор (1944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Г.Ф. Карнаухов, Н.А. Бессарабов, С.А. Коцарь. Гендиректор (1990-е)-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Г. Игнатьев, Н.Н. Гридин, (-1998-2002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Г.В. Рой.</w:t>
      </w:r>
      <w:r w:rsidRPr="00070ADE">
        <w:rPr>
          <w:rFonts w:ascii="Times New Roman" w:hAnsi="Times New Roman"/>
          <w:color w:val="000000" w:themeColor="text1"/>
          <w:sz w:val="16"/>
          <w:szCs w:val="16"/>
          <w:vertAlign w:val="superscript"/>
        </w:rPr>
        <w:t xml:space="preserve">49 </w:t>
      </w:r>
      <w:r w:rsidRPr="00070ADE">
        <w:rPr>
          <w:rFonts w:ascii="Times New Roman" w:hAnsi="Times New Roman"/>
          <w:color w:val="000000" w:themeColor="text1"/>
          <w:sz w:val="16"/>
          <w:szCs w:val="16"/>
        </w:rPr>
        <w:t>Гл. инженер (2002 г.)- В.М. Русанов.</w:t>
      </w:r>
    </w:p>
    <w:p w14:paraId="1C18D9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Технический директор (2002 г.)- В.М. Русанов. Директор по экономике (2002 г.)- Е.В. Науменко. </w:t>
      </w:r>
      <w:r w:rsidRPr="00070ADE">
        <w:rPr>
          <w:rFonts w:ascii="Times New Roman" w:hAnsi="Times New Roman"/>
          <w:iCs/>
          <w:color w:val="000000" w:themeColor="text1"/>
          <w:sz w:val="16"/>
          <w:szCs w:val="16"/>
        </w:rPr>
        <w:t>Ремонт: самолеты:</w:t>
      </w:r>
      <w:r w:rsidRPr="00070ADE">
        <w:rPr>
          <w:rFonts w:ascii="Times New Roman" w:hAnsi="Times New Roman"/>
          <w:color w:val="000000" w:themeColor="text1"/>
          <w:sz w:val="16"/>
          <w:szCs w:val="16"/>
        </w:rPr>
        <w:t xml:space="preserve"> Ли-2 (1950-76)- 3771, Як-40 (1972-84)- 1240, Ан-2 (1959-60; -2000-04-), Ту-154, Ту-154-М (1980-2000-04-)- более 600, Ту-204 (1993-2002-); вертолеты: Ми-1 (1957-73)- 1655, Ми-2 (1970-87)- 3428; </w:t>
      </w:r>
      <w:r w:rsidRPr="00070ADE">
        <w:rPr>
          <w:rFonts w:ascii="Times New Roman" w:hAnsi="Times New Roman"/>
          <w:iCs/>
          <w:color w:val="000000" w:themeColor="text1"/>
          <w:sz w:val="16"/>
          <w:szCs w:val="16"/>
        </w:rPr>
        <w:t>двигатели:</w:t>
      </w:r>
      <w:r w:rsidRPr="00070ADE">
        <w:rPr>
          <w:rFonts w:ascii="Times New Roman" w:hAnsi="Times New Roman"/>
          <w:color w:val="000000" w:themeColor="text1"/>
          <w:sz w:val="16"/>
          <w:szCs w:val="16"/>
        </w:rPr>
        <w:t xml:space="preserve"> М-11 (1946-48)- 333, АШ-62ИР (1948-2004-)- более 63000, АИ-26В (1958-79)- 9573, М-14П (1979-89)- 1547, ТА-12 (1994-2004-), ТА-6А (-2000-04-); в/винт АВ-2 (11982).</w:t>
      </w:r>
    </w:p>
    <w:p w14:paraId="004999A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297DB6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36C7F7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7EFF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г. вышел ПРИКАЗ НАЧАЛЬНИКА ГБТУ КА ОБ ИСПЫТАНИИ ОПЫТНЫХ ОБРАЗЦОВ МОТОЦИКЛОВ ПОВЫШЕННОЙ ПРОХОДИМОСТИ В ЛЕТНИХ УСЛОВИЯХ №034</w:t>
      </w:r>
    </w:p>
    <w:p w14:paraId="13128D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целью установления возможности использования в Красной Армии представленных Главмо-товелопромом опытных образцов мотоциклов повышенной проходимости модели ТМЗ-53 ПРИКАЗЫВАЮ:</w:t>
      </w:r>
    </w:p>
    <w:p w14:paraId="49C070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76B4C2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с 20 июня по 10 июля 1944 г. провести дорожные испытания опытных образцов мото</w:t>
      </w:r>
      <w:r w:rsidRPr="00070ADE">
        <w:rPr>
          <w:rFonts w:ascii="Times New Roman" w:hAnsi="Times New Roman"/>
          <w:color w:val="000000" w:themeColor="text1"/>
          <w:sz w:val="16"/>
          <w:szCs w:val="16"/>
        </w:rPr>
        <w:softHyphen/>
        <w:t>циклов ТМЗ-53 в летних условиях.</w:t>
      </w:r>
    </w:p>
    <w:p w14:paraId="0F9FAB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7B72A6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проведения испытания назначить комиссию:</w:t>
      </w:r>
    </w:p>
    <w:p w14:paraId="786202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Члены: 1. Председатель управления бронепоездов и бронемашин ГБТУ КА ст. техник-лейте</w:t>
      </w:r>
      <w:r w:rsidRPr="00070ADE">
        <w:rPr>
          <w:rFonts w:ascii="Times New Roman" w:hAnsi="Times New Roman"/>
          <w:color w:val="000000" w:themeColor="text1"/>
          <w:sz w:val="16"/>
          <w:szCs w:val="16"/>
        </w:rPr>
        <w:softHyphen/>
        <w:t>нант Силантьев В. Н.</w:t>
      </w:r>
    </w:p>
    <w:p w14:paraId="630E98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Начальник технического отдела Главмотовелопрома инженер Карибов И. X.</w:t>
      </w:r>
    </w:p>
    <w:p w14:paraId="4201CE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Главный конструктор ВКБ Главмотовелопрома инженер Коганов.</w:t>
      </w:r>
    </w:p>
    <w:p w14:paraId="5A5CBE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От управления эксплуатации танков майор Смирнов.</w:t>
      </w:r>
    </w:p>
    <w:p w14:paraId="33031E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19B489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мотоциклов провести по специальной программе, утвержденной ГБТУ КА.</w:t>
      </w:r>
    </w:p>
    <w:p w14:paraId="3DFE99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6B5E1D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Материально-техническое обеспечение испытаний, размещение и обеспечение питанием комис</w:t>
      </w:r>
      <w:r w:rsidRPr="00070ADE">
        <w:rPr>
          <w:rFonts w:ascii="Times New Roman" w:hAnsi="Times New Roman"/>
          <w:color w:val="000000" w:themeColor="text1"/>
          <w:sz w:val="16"/>
          <w:szCs w:val="16"/>
        </w:rPr>
        <w:softHyphen/>
        <w:t>сии и водителей возлагаю на начальника НИБТ полигона генерал-майора танковых войск т. Романова.</w:t>
      </w:r>
    </w:p>
    <w:p w14:paraId="149A64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02167C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 по испытанию опытных образцов представить в ГБТУ КА 15 июля 1944 г. и полный отчет к 20 июля 1944 г.</w:t>
      </w:r>
    </w:p>
    <w:p w14:paraId="33BE80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ГБТУ КА генерал-лейтенант танковых войск Вершинин</w:t>
      </w:r>
    </w:p>
    <w:p w14:paraId="2E5148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 1 362. Д. 77. Л. 79. Копия (11420).</w:t>
      </w:r>
    </w:p>
    <w:p w14:paraId="7F50F6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064A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г. было подготовлено СООБЩЕНИЕ НАЧАЛЬНИКА ТАНКОВОГО УПРАВЛЕНИЯ ГБТУ КА ЗАМЕСТИТЕЛЮ НАРОДНОГО КОМИССАРА ТАНКОВОЙ ПРОМЫШЛЕННОСТИ П. ЗЕРНОВУ ОБ ИСПЫТАНИЯХ АМЕРИКАНСКОЙ САМОХОДНОЙ УСТАНОВКИ Т-70 №1522636</w:t>
      </w:r>
    </w:p>
    <w:p w14:paraId="6C670E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адрес народного комиссара танковой промышленности НИБТ полигоном ГБТУ КА послан от</w:t>
      </w:r>
      <w:r w:rsidRPr="00070ADE">
        <w:rPr>
          <w:rFonts w:ascii="Times New Roman" w:hAnsi="Times New Roman"/>
          <w:color w:val="000000" w:themeColor="text1"/>
          <w:sz w:val="16"/>
          <w:szCs w:val="16"/>
        </w:rPr>
        <w:softHyphen/>
        <w:t>чет по испытаниям американской самоходной установки Т-70.</w:t>
      </w:r>
    </w:p>
    <w:p w14:paraId="48992B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отчета видно, что отдельные агрегаты и узлы СУ-Т-70 представляют технически оригиналь</w:t>
      </w:r>
      <w:r w:rsidRPr="00070ADE">
        <w:rPr>
          <w:rFonts w:ascii="Times New Roman" w:hAnsi="Times New Roman"/>
          <w:color w:val="000000" w:themeColor="text1"/>
          <w:sz w:val="16"/>
          <w:szCs w:val="16"/>
        </w:rPr>
        <w:softHyphen/>
        <w:t>ные конструкции.</w:t>
      </w:r>
    </w:p>
    <w:p w14:paraId="372C46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Считаю целесообразным ознакомить отдельных работников (из числа инженерно-техническо</w:t>
      </w:r>
      <w:r w:rsidRPr="00070ADE">
        <w:rPr>
          <w:rFonts w:ascii="Times New Roman" w:hAnsi="Times New Roman"/>
          <w:color w:val="000000" w:themeColor="text1"/>
          <w:sz w:val="16"/>
          <w:szCs w:val="16"/>
        </w:rPr>
        <w:softHyphen/>
        <w:t>го состава) НКТП и заводов.</w:t>
      </w:r>
    </w:p>
    <w:p w14:paraId="38A751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Ваше решение прошу сообщить с тем, чтобы можно было предупредить НИБТ полигон ГБТУ КА о подготовке и ознакомлении с СУ-Т-70 и другими импортными СУ и трофейными.</w:t>
      </w:r>
    </w:p>
    <w:p w14:paraId="05F4EE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ТУ ГБТУ КА генерал-майор инженерно-танковой службы Афонин</w:t>
      </w:r>
    </w:p>
    <w:p w14:paraId="20726F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2190. Л. 100. Копия (11420).</w:t>
      </w:r>
    </w:p>
    <w:p w14:paraId="6139B2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8FE3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г. была подготовлена ДОКЛАДНАЯ ЗАПИСКА КОМАНДУЮЩЕГО БТ и МВ КА ЗАМЕСТИТЕЛЮ ПРЕДСЕДАТЕЛЯ ГКО СССР Л.П. БЕРИИ О РАБОТЕ ГОРЬКОВСКОГО АВТОЗАВОДА ПО ПРОИЗВОДСТВУ САМОХОДНЫХ АРТУСТАНОВОК СУ-76</w:t>
      </w:r>
    </w:p>
    <w:p w14:paraId="1407A7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 о неудовлетворительной работе Горьковского автозавода им. Молотова по произ</w:t>
      </w:r>
      <w:r w:rsidRPr="00070ADE">
        <w:rPr>
          <w:rFonts w:ascii="Times New Roman" w:hAnsi="Times New Roman"/>
          <w:color w:val="000000" w:themeColor="text1"/>
          <w:sz w:val="16"/>
          <w:szCs w:val="16"/>
        </w:rPr>
        <w:softHyphen/>
        <w:t>водству самоходных артиллерийских установок СУ-76.</w:t>
      </w:r>
    </w:p>
    <w:p w14:paraId="04A517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Начиная с февраля месяца с. г. завод работает с большими перебоями; вся основная работа по производству СУ-76 происходит в последние две декады месяца, так как в течение 1-й декады время уходит на завершение программы прошедшего месяца и заготовку заделов на текущий ме</w:t>
      </w:r>
      <w:r w:rsidRPr="00070ADE">
        <w:rPr>
          <w:rFonts w:ascii="Times New Roman" w:hAnsi="Times New Roman"/>
          <w:color w:val="000000" w:themeColor="text1"/>
          <w:sz w:val="16"/>
          <w:szCs w:val="16"/>
        </w:rPr>
        <w:softHyphen/>
        <w:t>сяц.</w:t>
      </w:r>
    </w:p>
    <w:p w14:paraId="4C7AE5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Штурмовщина к концу каждого месяца вошла в систему работы завода, а это отражается на ка</w:t>
      </w:r>
      <w:r w:rsidRPr="00070ADE">
        <w:rPr>
          <w:rFonts w:ascii="Times New Roman" w:hAnsi="Times New Roman"/>
          <w:color w:val="000000" w:themeColor="text1"/>
          <w:sz w:val="16"/>
          <w:szCs w:val="16"/>
        </w:rPr>
        <w:softHyphen/>
        <w:t>честве СУ-76, о чем свидетельствуют проводимые ежемесячно гарантийные испытания машин на 1000км.</w:t>
      </w:r>
    </w:p>
    <w:p w14:paraId="21D259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6 штук СУ-76, подвергнутых испытанию на гарантийный километраж, в течение 5 месяцев 1944 г. только 2 штуки СУ-76 выдержали испытания.</w:t>
      </w:r>
    </w:p>
    <w:p w14:paraId="1DC574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состоянии производства СУ-76 на ГАЗ им. Молотова подробно изложено в докладе старшего военпреда ГБТУ КА инженер-подполковника т. Окунева, копию которого прилагаю.</w:t>
      </w:r>
    </w:p>
    <w:p w14:paraId="3B1B7A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Ваших указаний народному комиссару среднего машиностроения т. Акопову о приня</w:t>
      </w:r>
      <w:r w:rsidRPr="00070ADE">
        <w:rPr>
          <w:rFonts w:ascii="Times New Roman" w:hAnsi="Times New Roman"/>
          <w:color w:val="000000" w:themeColor="text1"/>
          <w:sz w:val="16"/>
          <w:szCs w:val="16"/>
        </w:rPr>
        <w:softHyphen/>
        <w:t>тии срочных мер по устранению указанных недостатков.</w:t>
      </w:r>
    </w:p>
    <w:p w14:paraId="283D41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копия доклада старшего военпреда на ГАЗе им. Молотова на 5 листах'.</w:t>
      </w:r>
    </w:p>
    <w:p w14:paraId="50FDBD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БТ и МВ КА маршал бронетанковых войск Я. Федоренко</w:t>
      </w:r>
    </w:p>
    <w:p w14:paraId="3158AB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 военного совета генерал-полковник танковых войск Н. Бирюков</w:t>
      </w:r>
    </w:p>
    <w:p w14:paraId="31B480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11369. Д. 404. Л. 28-29. Подлинник (11420).</w:t>
      </w:r>
    </w:p>
    <w:p w14:paraId="74A2948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C28ABE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вышло Постановление ГКО № 6041 О мерах по дальнейшему увеличению добычи угля в Подмосковном бассейне. (7240, 127-151,152-191).</w:t>
      </w:r>
    </w:p>
    <w:p w14:paraId="5F58757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9E61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вышло Постановление ГКО № 6042 Об организации производства 100 мм снарядов к пушкам БС-3 и артсамоходам СУ-100 и поставке их НКО в июне-декабре 1944 года. РГАНИР, Фонд ГКО, д. 263, лл. 192-197,198-200 (11012).</w:t>
      </w:r>
    </w:p>
    <w:p w14:paraId="5A1A783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483D80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вышло Постановление ГКО № 6043 Об организации производства коробчатых магазинов к пистолетам-пулеметам Шпагина из стального листа толщиною 1 мм. РГАНИР, Фонд ГКО, д. 263, лл. 201-203,204 (11012).</w:t>
      </w:r>
    </w:p>
    <w:p w14:paraId="1102BD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135BC8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вышло Постановление ГКО № 6044 Об установлении дополнительного переходящего Красного знамени ЦК ВКП(б) и трех премий для заводов Наркомата вооружения, участников Всесоюзного социалистического соревнования. РГАНИР, Фонд ГКО, д. 263, лл. 205 (11012).</w:t>
      </w:r>
    </w:p>
    <w:p w14:paraId="758F2C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0A0F0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вышло Постановление ГКО № 6045 О мероприятиях по восстановлению производства тротила на заводах № 64 (г. Горловка ) и № 20 (г. Рубежная) Наркомбоеприпасов. РГАНИР, Фонд ГКО, д. 263, лл. 206-209,210-217 (11012).</w:t>
      </w:r>
    </w:p>
    <w:p w14:paraId="094213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6F5F6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вышло Постановление ГКО № 6046 О принятии на вооружение Красной Армии 37 мм авиадесантной пушки. РГАНИР, Фонд ГКО, д. 263, лл. 218-221 (11012).</w:t>
      </w:r>
    </w:p>
    <w:p w14:paraId="64F794A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90EEE5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вышло Распоряжение ГКО № 6047 [О мобилизации в Тульской и Калининской обл. возчиков с лошадьми на вывозку дров для госпиталей, школ, больниц и детских учреждений.] (7240, 222).</w:t>
      </w:r>
    </w:p>
    <w:p w14:paraId="1CD9418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B31F3F" w14:textId="77777777" w:rsidR="002F0C11"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вышло Постановление ГКО № 6048 О мероприятиях по обеспечению восстановления первоочередных объектов главной военно-морской базы Черноморского флота в г. Севастополь. РГАНИР, Фонд ГКО, д. 263, лл. 223-224,225-243 (11012).</w:t>
      </w:r>
    </w:p>
    <w:p w14:paraId="53C299DD" w14:textId="77777777" w:rsidR="002F0C11"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г. вышло ПОСТАНОВЛЕНИЕ ГОСУДАРСТВЕННОГО КОМИТЕТА ОБОРОНЫ № 6048сс</w:t>
      </w:r>
    </w:p>
    <w:p w14:paraId="6B95954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мероприятиях по обеспечению восстановления первоочередных объектов главной военно-морской базы Черноморского флота в г. Севастополе.</w:t>
      </w:r>
    </w:p>
    <w:p w14:paraId="648D283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дополнение к Постановлению ГСКО от 26 апреля 1944 г. № 5744сс о восстановлении главной военно-морской базы Черноморского флота в г. Севастополе, Государственный Комитат Обороны ПОСТАНОВЛЯЕТ:</w:t>
      </w:r>
    </w:p>
    <w:p w14:paraId="164C112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Утвердить на 1944 год объем первоочередных капитальных работ и сроки ввода в действие восстанавливаемых Наркомстроем и Наркомвоенморфлотом объектов по главной военно-морской базе Черноморского флота в г. Севастополе, согласно приложениям №№ 1 и 2</w:t>
      </w:r>
    </w:p>
    <w:p w14:paraId="7F3B03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 Утвердить на 1944 год объём первоочередных капитальных работ: сроки ввода в действие восстанавливаемых Наркомасудпромом и Наркомстроем объектов по судоремонтному заводу Наркомасудпрома согласно приложению №3.</w:t>
      </w:r>
    </w:p>
    <w:p w14:paraId="15F682F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Обязать Наркомвоенморфлот (т. Кузнецова), до окончания восстановления Севастопольской военно-морской базы, оборудовать бухту Балаклава для базирования кореблей черноморского флота.</w:t>
      </w:r>
    </w:p>
    <w:p w14:paraId="2D09E8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Обязать Наркомстрой (т.Гинзбурга) выполнить в 1944 толу капитальные работы по оборудованию бухты Балаклава в объёме в сроки, согласно приложений № 4.</w:t>
      </w:r>
    </w:p>
    <w:p w14:paraId="703158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Установить на 1944 год дополнительный объем капитальных работ:</w:t>
      </w:r>
    </w:p>
    <w:p w14:paraId="301AEE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 Наркомвоенморфлоту для восстановления Севастопольской военно-морской базы и оборудования бухт, Балаклава в сумме 55,0 млн. рублей, в том числе на объекты, выполняемые Наркомстроем согласно приложениям №№ 1 и 4 в сумме 28,2 или .рублей., и на объекты, выполняемые Наркомвоенморфлотом по обеспечению береговой обороны, проектирование и изыскательские работы, согласно приложению № 2 в сумме 4 млн. рублей;</w:t>
      </w:r>
    </w:p>
    <w:p w14:paraId="143A6D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 Наркомсудпрому для восстановления Севастопольского судоремонтного завода в сумме 18,6 млн. рублей, в том числе на объекты наполняемые Наркомстроем, согласно приложению № 3, в сумме 10,0 млн. рублей.</w:t>
      </w:r>
    </w:p>
    <w:p w14:paraId="2098B1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Утвердить дополнительные мероприятия по обеспечению восстановления главной военно-морской база Наркомфлота и судоремонтного завода Наркомсудпрома г.Севастополе, согласно приложению № 5.</w:t>
      </w:r>
    </w:p>
    <w:p w14:paraId="1CD605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ГОСУДАРСТВЕННОГО КОМИТЕТА ОБОРОНЫ (И. Сталин) (11813).</w:t>
      </w:r>
    </w:p>
    <w:p w14:paraId="599355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Верно </w:t>
      </w:r>
    </w:p>
    <w:p w14:paraId="043FB6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№1</w:t>
      </w:r>
    </w:p>
    <w:p w14:paraId="1B4BBF5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постановлению № 6048сс от "14" июня 1944 г.</w:t>
      </w:r>
    </w:p>
    <w:p w14:paraId="43F7CD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ПЕРЕЧЕНЬ</w:t>
      </w:r>
    </w:p>
    <w:p w14:paraId="1493E5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объектов Главной Военно-морской базы Черноморского флота в Севастополе, восстанавливаемых Наркомстроем в 1944 г. </w:t>
      </w:r>
    </w:p>
    <w:p w14:paraId="08E46A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тыс. руб.)</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95"/>
        <w:gridCol w:w="3525"/>
        <w:gridCol w:w="1080"/>
        <w:gridCol w:w="2220"/>
        <w:gridCol w:w="2280"/>
        <w:gridCol w:w="1080"/>
      </w:tblGrid>
      <w:tr w:rsidR="004D4663" w:rsidRPr="00070ADE" w14:paraId="5A93545E" w14:textId="77777777" w:rsidTr="00595BFB">
        <w:trPr>
          <w:jc w:val="center"/>
        </w:trPr>
        <w:tc>
          <w:tcPr>
            <w:tcW w:w="795" w:type="dxa"/>
            <w:tcBorders>
              <w:top w:val="single" w:sz="12" w:space="0" w:color="auto"/>
            </w:tcBorders>
          </w:tcPr>
          <w:p w14:paraId="3DE404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пп</w:t>
            </w:r>
          </w:p>
        </w:tc>
        <w:tc>
          <w:tcPr>
            <w:tcW w:w="3525" w:type="dxa"/>
            <w:tcBorders>
              <w:top w:val="single" w:sz="12" w:space="0" w:color="auto"/>
            </w:tcBorders>
          </w:tcPr>
          <w:p w14:paraId="6F8FDA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 объектов</w:t>
            </w:r>
          </w:p>
        </w:tc>
        <w:tc>
          <w:tcPr>
            <w:tcW w:w="1080" w:type="dxa"/>
            <w:tcBorders>
              <w:top w:val="single" w:sz="12" w:space="0" w:color="auto"/>
            </w:tcBorders>
          </w:tcPr>
          <w:p w14:paraId="7CB3118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объем</w:t>
            </w:r>
          </w:p>
        </w:tc>
        <w:tc>
          <w:tcPr>
            <w:tcW w:w="2220" w:type="dxa"/>
            <w:gridSpan w:val="2"/>
            <w:tcBorders>
              <w:top w:val="single" w:sz="12" w:space="0" w:color="auto"/>
            </w:tcBorders>
          </w:tcPr>
          <w:p w14:paraId="7CB510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том числе</w:t>
            </w:r>
          </w:p>
        </w:tc>
        <w:tc>
          <w:tcPr>
            <w:tcW w:w="1080" w:type="dxa"/>
            <w:tcBorders>
              <w:top w:val="single" w:sz="12" w:space="0" w:color="auto"/>
            </w:tcBorders>
          </w:tcPr>
          <w:p w14:paraId="4936E8F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ввода в действие</w:t>
            </w:r>
          </w:p>
        </w:tc>
      </w:tr>
      <w:tr w:rsidR="004D4663" w:rsidRPr="00070ADE" w14:paraId="07B95F15" w14:textId="77777777">
        <w:trPr>
          <w:jc w:val="center"/>
        </w:trPr>
        <w:tc>
          <w:tcPr>
            <w:tcW w:w="795" w:type="dxa"/>
          </w:tcPr>
          <w:p w14:paraId="61188C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25" w:type="dxa"/>
          </w:tcPr>
          <w:p w14:paraId="05DDF7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F7751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2220" w:type="dxa"/>
          </w:tcPr>
          <w:p w14:paraId="0F77DAA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строительно-монтажных работ</w:t>
            </w:r>
          </w:p>
        </w:tc>
        <w:tc>
          <w:tcPr>
            <w:tcW w:w="2280" w:type="dxa"/>
          </w:tcPr>
          <w:p w14:paraId="040C42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оборудование</w:t>
            </w:r>
          </w:p>
        </w:tc>
        <w:tc>
          <w:tcPr>
            <w:tcW w:w="1080" w:type="dxa"/>
          </w:tcPr>
          <w:p w14:paraId="655BA4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04FF8E5" w14:textId="77777777">
        <w:trPr>
          <w:jc w:val="center"/>
        </w:trPr>
        <w:tc>
          <w:tcPr>
            <w:tcW w:w="795" w:type="dxa"/>
          </w:tcPr>
          <w:p w14:paraId="6D8159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3525" w:type="dxa"/>
          </w:tcPr>
          <w:p w14:paraId="165B4D9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База охраны водного района бухта Стрелецкая</w:t>
            </w:r>
          </w:p>
          <w:p w14:paraId="47BD90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Восстановление оградительного мола, причальной набережной механических мастерских, складов горючего с насосной и коммуникациями, служебных и жилых зданий, дорог и инженерных сетей. Постройка причала механической мастерской, склада технического имущества и столовой-камбуза</w:t>
            </w:r>
          </w:p>
        </w:tc>
        <w:tc>
          <w:tcPr>
            <w:tcW w:w="1080" w:type="dxa"/>
          </w:tcPr>
          <w:p w14:paraId="4E65D9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2240</w:t>
            </w:r>
          </w:p>
        </w:tc>
        <w:tc>
          <w:tcPr>
            <w:tcW w:w="2220" w:type="dxa"/>
          </w:tcPr>
          <w:p w14:paraId="345145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1820</w:t>
            </w:r>
          </w:p>
        </w:tc>
        <w:tc>
          <w:tcPr>
            <w:tcW w:w="2280" w:type="dxa"/>
          </w:tcPr>
          <w:p w14:paraId="2CEC51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420</w:t>
            </w:r>
          </w:p>
        </w:tc>
        <w:tc>
          <w:tcPr>
            <w:tcW w:w="1080" w:type="dxa"/>
          </w:tcPr>
          <w:p w14:paraId="00FBA0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Ноябрь</w:t>
            </w:r>
          </w:p>
        </w:tc>
      </w:tr>
      <w:tr w:rsidR="004D4663" w:rsidRPr="00070ADE" w14:paraId="0DB4519F" w14:textId="77777777">
        <w:trPr>
          <w:jc w:val="center"/>
        </w:trPr>
        <w:tc>
          <w:tcPr>
            <w:tcW w:w="795" w:type="dxa"/>
          </w:tcPr>
          <w:p w14:paraId="270C40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3525" w:type="dxa"/>
          </w:tcPr>
          <w:p w14:paraId="1C072B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База торпедных катеров бухта Карантинная</w:t>
            </w:r>
          </w:p>
          <w:p w14:paraId="5A2E2A8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Восстановление набережной, причала, эллинга, дизельной, аккумуляторной, судоремонтных мастерских, склада горючего с коммуникациями, складских, служебных и жилых зданий, дорог и инженерных сетей, Постройка компрессорной и радиостанции</w:t>
            </w:r>
          </w:p>
        </w:tc>
        <w:tc>
          <w:tcPr>
            <w:tcW w:w="1080" w:type="dxa"/>
          </w:tcPr>
          <w:p w14:paraId="38222C5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2620</w:t>
            </w:r>
          </w:p>
        </w:tc>
        <w:tc>
          <w:tcPr>
            <w:tcW w:w="2220" w:type="dxa"/>
          </w:tcPr>
          <w:p w14:paraId="120B37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2670</w:t>
            </w:r>
          </w:p>
        </w:tc>
        <w:tc>
          <w:tcPr>
            <w:tcW w:w="2280" w:type="dxa"/>
          </w:tcPr>
          <w:p w14:paraId="5352AC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950</w:t>
            </w:r>
          </w:p>
        </w:tc>
        <w:tc>
          <w:tcPr>
            <w:tcW w:w="1080" w:type="dxa"/>
          </w:tcPr>
          <w:p w14:paraId="25AD8A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w:t>
            </w:r>
          </w:p>
        </w:tc>
      </w:tr>
      <w:tr w:rsidR="004D4663" w:rsidRPr="00070ADE" w14:paraId="25091790" w14:textId="77777777">
        <w:trPr>
          <w:jc w:val="center"/>
        </w:trPr>
        <w:tc>
          <w:tcPr>
            <w:tcW w:w="795" w:type="dxa"/>
          </w:tcPr>
          <w:p w14:paraId="59ABE9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3525" w:type="dxa"/>
          </w:tcPr>
          <w:p w14:paraId="3324CC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База эсминцев в Южной бухте</w:t>
            </w:r>
          </w:p>
          <w:p w14:paraId="25C95FA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Восстановление причального фронта, расходных складов, инженерных сетей и дорог</w:t>
            </w:r>
          </w:p>
        </w:tc>
        <w:tc>
          <w:tcPr>
            <w:tcW w:w="1080" w:type="dxa"/>
          </w:tcPr>
          <w:p w14:paraId="39663B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686</w:t>
            </w:r>
          </w:p>
        </w:tc>
        <w:tc>
          <w:tcPr>
            <w:tcW w:w="2220" w:type="dxa"/>
          </w:tcPr>
          <w:p w14:paraId="220142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646</w:t>
            </w:r>
          </w:p>
        </w:tc>
        <w:tc>
          <w:tcPr>
            <w:tcW w:w="2280" w:type="dxa"/>
          </w:tcPr>
          <w:p w14:paraId="2573F8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c>
          <w:tcPr>
            <w:tcW w:w="1080" w:type="dxa"/>
          </w:tcPr>
          <w:p w14:paraId="6CFF9B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w:t>
            </w:r>
          </w:p>
        </w:tc>
      </w:tr>
      <w:tr w:rsidR="004D4663" w:rsidRPr="00070ADE" w14:paraId="78894D03" w14:textId="77777777">
        <w:trPr>
          <w:jc w:val="center"/>
        </w:trPr>
        <w:tc>
          <w:tcPr>
            <w:tcW w:w="795" w:type="dxa"/>
          </w:tcPr>
          <w:p w14:paraId="68D9AE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3525" w:type="dxa"/>
          </w:tcPr>
          <w:p w14:paraId="01FBDD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База подводных лодок – Восточная сторона Южной бухты</w:t>
            </w:r>
          </w:p>
          <w:p w14:paraId="36695E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Восстановление причалов, судоремонтной мастерской, аккумуляторной, опреснительной, дистиляторной и котельной, компрессорной, складов БЗО, артбоезапаса, горючего, служебных и жилых зданий,</w:t>
            </w:r>
          </w:p>
          <w:p w14:paraId="0368D8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инженерных сетей, дорог й связи, постройка мастерской приготовленья торпед к зарядовой станции</w:t>
            </w:r>
          </w:p>
        </w:tc>
        <w:tc>
          <w:tcPr>
            <w:tcW w:w="1080" w:type="dxa"/>
          </w:tcPr>
          <w:p w14:paraId="684172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2358</w:t>
            </w:r>
          </w:p>
        </w:tc>
        <w:tc>
          <w:tcPr>
            <w:tcW w:w="2220" w:type="dxa"/>
          </w:tcPr>
          <w:p w14:paraId="31DA34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1727</w:t>
            </w:r>
          </w:p>
        </w:tc>
        <w:tc>
          <w:tcPr>
            <w:tcW w:w="2280" w:type="dxa"/>
          </w:tcPr>
          <w:p w14:paraId="1B0D21E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631</w:t>
            </w:r>
          </w:p>
        </w:tc>
        <w:tc>
          <w:tcPr>
            <w:tcW w:w="1080" w:type="dxa"/>
          </w:tcPr>
          <w:p w14:paraId="61D9B8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Ноябрь</w:t>
            </w:r>
          </w:p>
        </w:tc>
      </w:tr>
      <w:tr w:rsidR="004D4663" w:rsidRPr="00070ADE" w14:paraId="14B355A0" w14:textId="77777777">
        <w:trPr>
          <w:jc w:val="center"/>
        </w:trPr>
        <w:tc>
          <w:tcPr>
            <w:tcW w:w="795" w:type="dxa"/>
          </w:tcPr>
          <w:p w14:paraId="465C65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3525" w:type="dxa"/>
          </w:tcPr>
          <w:p w14:paraId="61BC161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Причалы для вспомогательных плавсредств в Южной бухте</w:t>
            </w:r>
          </w:p>
          <w:p w14:paraId="07A9400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Восстановление причалов, пирсов и ремонт набережной и подъездных путей</w:t>
            </w:r>
          </w:p>
        </w:tc>
        <w:tc>
          <w:tcPr>
            <w:tcW w:w="1080" w:type="dxa"/>
          </w:tcPr>
          <w:p w14:paraId="030A698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290</w:t>
            </w:r>
          </w:p>
        </w:tc>
        <w:tc>
          <w:tcPr>
            <w:tcW w:w="2220" w:type="dxa"/>
          </w:tcPr>
          <w:p w14:paraId="417EDB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290</w:t>
            </w:r>
          </w:p>
        </w:tc>
        <w:tc>
          <w:tcPr>
            <w:tcW w:w="2280" w:type="dxa"/>
          </w:tcPr>
          <w:p w14:paraId="3AB3A7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080" w:type="dxa"/>
          </w:tcPr>
          <w:p w14:paraId="193B583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Ноябрь</w:t>
            </w:r>
          </w:p>
        </w:tc>
      </w:tr>
      <w:tr w:rsidR="004D4663" w:rsidRPr="00070ADE" w14:paraId="57821742" w14:textId="77777777">
        <w:trPr>
          <w:jc w:val="center"/>
        </w:trPr>
        <w:tc>
          <w:tcPr>
            <w:tcW w:w="795" w:type="dxa"/>
          </w:tcPr>
          <w:p w14:paraId="3EE89E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3525" w:type="dxa"/>
          </w:tcPr>
          <w:p w14:paraId="7D0F20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Базовые мастерские Технического отдела в Южной бухте</w:t>
            </w:r>
          </w:p>
          <w:p w14:paraId="485D12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Восстановление цехов: электромеханического, электро-моторного, измерительных приборов, литейного, кузницы, котельной, Устройство высоковольтных сетей и трансформаторных киосков</w:t>
            </w:r>
          </w:p>
        </w:tc>
        <w:tc>
          <w:tcPr>
            <w:tcW w:w="1080" w:type="dxa"/>
          </w:tcPr>
          <w:p w14:paraId="35A81F4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1080</w:t>
            </w:r>
          </w:p>
        </w:tc>
        <w:tc>
          <w:tcPr>
            <w:tcW w:w="2220" w:type="dxa"/>
          </w:tcPr>
          <w:p w14:paraId="0DC43B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1030</w:t>
            </w:r>
          </w:p>
        </w:tc>
        <w:tc>
          <w:tcPr>
            <w:tcW w:w="2280" w:type="dxa"/>
          </w:tcPr>
          <w:p w14:paraId="3C365D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tc>
        <w:tc>
          <w:tcPr>
            <w:tcW w:w="1080" w:type="dxa"/>
          </w:tcPr>
          <w:p w14:paraId="0CBA05E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w:t>
            </w:r>
          </w:p>
        </w:tc>
      </w:tr>
      <w:tr w:rsidR="004D4663" w:rsidRPr="00070ADE" w14:paraId="1D4C011F" w14:textId="77777777">
        <w:trPr>
          <w:jc w:val="center"/>
        </w:trPr>
        <w:tc>
          <w:tcPr>
            <w:tcW w:w="795" w:type="dxa"/>
          </w:tcPr>
          <w:p w14:paraId="34C327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3525" w:type="dxa"/>
          </w:tcPr>
          <w:p w14:paraId="3DD7E1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Судоремонтные мастерские технического отдела в Килен – бухте</w:t>
            </w:r>
          </w:p>
          <w:p w14:paraId="1E00A6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Восстановление причала, кислородной станции, кузницы и цехов: корпусного, литейного, медницкого, механосборочного и прокладка инженерных сетей</w:t>
            </w:r>
          </w:p>
        </w:tc>
        <w:tc>
          <w:tcPr>
            <w:tcW w:w="1080" w:type="dxa"/>
          </w:tcPr>
          <w:p w14:paraId="19F558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1805</w:t>
            </w:r>
          </w:p>
        </w:tc>
        <w:tc>
          <w:tcPr>
            <w:tcW w:w="2220" w:type="dxa"/>
          </w:tcPr>
          <w:p w14:paraId="743F12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1345</w:t>
            </w:r>
          </w:p>
        </w:tc>
        <w:tc>
          <w:tcPr>
            <w:tcW w:w="2280" w:type="dxa"/>
          </w:tcPr>
          <w:p w14:paraId="32BF6C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460</w:t>
            </w:r>
          </w:p>
        </w:tc>
        <w:tc>
          <w:tcPr>
            <w:tcW w:w="1080" w:type="dxa"/>
          </w:tcPr>
          <w:p w14:paraId="74C0A3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w:t>
            </w:r>
          </w:p>
        </w:tc>
      </w:tr>
      <w:tr w:rsidR="004D4663" w:rsidRPr="00070ADE" w14:paraId="6A27B2C2" w14:textId="77777777">
        <w:trPr>
          <w:jc w:val="center"/>
        </w:trPr>
        <w:tc>
          <w:tcPr>
            <w:tcW w:w="795" w:type="dxa"/>
          </w:tcPr>
          <w:p w14:paraId="07D3C3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3525" w:type="dxa"/>
          </w:tcPr>
          <w:p w14:paraId="6200CD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Мастерские и склады минно-торпедного отдела в Троицкой балке</w:t>
            </w:r>
          </w:p>
          <w:p w14:paraId="53D9E32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Восстановление причалов, торпедной мастерской с компрессорной, тоннельных складов торпед и БЗО, кузницы, служебного здания, инженерных сетей, дорог. Устройство связи и сигнализации.</w:t>
            </w:r>
          </w:p>
        </w:tc>
        <w:tc>
          <w:tcPr>
            <w:tcW w:w="1080" w:type="dxa"/>
          </w:tcPr>
          <w:p w14:paraId="68EC159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795</w:t>
            </w:r>
          </w:p>
        </w:tc>
        <w:tc>
          <w:tcPr>
            <w:tcW w:w="2220" w:type="dxa"/>
          </w:tcPr>
          <w:p w14:paraId="440584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510</w:t>
            </w:r>
          </w:p>
        </w:tc>
        <w:tc>
          <w:tcPr>
            <w:tcW w:w="2280" w:type="dxa"/>
          </w:tcPr>
          <w:p w14:paraId="22C817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285</w:t>
            </w:r>
          </w:p>
        </w:tc>
        <w:tc>
          <w:tcPr>
            <w:tcW w:w="1080" w:type="dxa"/>
          </w:tcPr>
          <w:p w14:paraId="714474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w:t>
            </w:r>
          </w:p>
        </w:tc>
      </w:tr>
      <w:tr w:rsidR="004D4663" w:rsidRPr="00070ADE" w14:paraId="6077E385" w14:textId="77777777">
        <w:trPr>
          <w:jc w:val="center"/>
        </w:trPr>
        <w:tc>
          <w:tcPr>
            <w:tcW w:w="795" w:type="dxa"/>
          </w:tcPr>
          <w:p w14:paraId="1001B3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tc>
        <w:tc>
          <w:tcPr>
            <w:tcW w:w="3525" w:type="dxa"/>
          </w:tcPr>
          <w:p w14:paraId="2C40417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Склады жидкого топлива Клеопиной балке</w:t>
            </w:r>
          </w:p>
          <w:p w14:paraId="381B35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Восстановление штолен для мазута, соляра, бензина, цистерн для бензина и масел, насосных для нефте продуктов и масла с коммуникациями, котельной, сливных и приемных устройств, пирсов, инженерных сетей и связи</w:t>
            </w:r>
          </w:p>
        </w:tc>
        <w:tc>
          <w:tcPr>
            <w:tcW w:w="1080" w:type="dxa"/>
          </w:tcPr>
          <w:p w14:paraId="06DFC1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4355</w:t>
            </w:r>
          </w:p>
        </w:tc>
        <w:tc>
          <w:tcPr>
            <w:tcW w:w="2220" w:type="dxa"/>
          </w:tcPr>
          <w:p w14:paraId="50FDAB8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2925</w:t>
            </w:r>
          </w:p>
        </w:tc>
        <w:tc>
          <w:tcPr>
            <w:tcW w:w="2280" w:type="dxa"/>
          </w:tcPr>
          <w:p w14:paraId="2EA9F6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1430</w:t>
            </w:r>
          </w:p>
        </w:tc>
        <w:tc>
          <w:tcPr>
            <w:tcW w:w="1080" w:type="dxa"/>
          </w:tcPr>
          <w:p w14:paraId="4951C1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w:t>
            </w:r>
          </w:p>
        </w:tc>
      </w:tr>
      <w:tr w:rsidR="004D4663" w:rsidRPr="00070ADE" w14:paraId="0B62736F" w14:textId="77777777">
        <w:trPr>
          <w:jc w:val="center"/>
        </w:trPr>
        <w:tc>
          <w:tcPr>
            <w:tcW w:w="795" w:type="dxa"/>
          </w:tcPr>
          <w:p w14:paraId="726057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3525" w:type="dxa"/>
          </w:tcPr>
          <w:p w14:paraId="751288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Склады минно-торпедного отдела в Сухарной балке</w:t>
            </w:r>
          </w:p>
          <w:p w14:paraId="631657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Восстановление причала, тоннельных складов мин, минной мастерской, и жилых зданий</w:t>
            </w:r>
          </w:p>
        </w:tc>
        <w:tc>
          <w:tcPr>
            <w:tcW w:w="1080" w:type="dxa"/>
          </w:tcPr>
          <w:p w14:paraId="6B2A39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1045</w:t>
            </w:r>
          </w:p>
        </w:tc>
        <w:tc>
          <w:tcPr>
            <w:tcW w:w="2220" w:type="dxa"/>
          </w:tcPr>
          <w:p w14:paraId="4DF49B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958</w:t>
            </w:r>
          </w:p>
        </w:tc>
        <w:tc>
          <w:tcPr>
            <w:tcW w:w="2280" w:type="dxa"/>
          </w:tcPr>
          <w:p w14:paraId="3BEC90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87</w:t>
            </w:r>
          </w:p>
        </w:tc>
        <w:tc>
          <w:tcPr>
            <w:tcW w:w="1080" w:type="dxa"/>
          </w:tcPr>
          <w:p w14:paraId="7D7BA4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w:t>
            </w:r>
          </w:p>
        </w:tc>
      </w:tr>
      <w:tr w:rsidR="004D4663" w:rsidRPr="00070ADE" w14:paraId="09BDAEDB" w14:textId="77777777">
        <w:trPr>
          <w:jc w:val="center"/>
        </w:trPr>
        <w:tc>
          <w:tcPr>
            <w:tcW w:w="795" w:type="dxa"/>
          </w:tcPr>
          <w:p w14:paraId="5AF30D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11</w:t>
            </w:r>
          </w:p>
        </w:tc>
        <w:tc>
          <w:tcPr>
            <w:tcW w:w="3525" w:type="dxa"/>
          </w:tcPr>
          <w:p w14:paraId="396B8F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Мастерские артиллеристского отдела в Сухарной балке</w:t>
            </w:r>
          </w:p>
          <w:p w14:paraId="6E769C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Восстановление цеха №1, снаряжательной, зарядной и патронной мастерских, хранилищ боезапаса химлаборатории, котельной, столовой, инженерных сетей, дорог, связи и постройка пирса для катеров</w:t>
            </w:r>
          </w:p>
        </w:tc>
        <w:tc>
          <w:tcPr>
            <w:tcW w:w="1080" w:type="dxa"/>
          </w:tcPr>
          <w:p w14:paraId="575DEB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829</w:t>
            </w:r>
          </w:p>
        </w:tc>
        <w:tc>
          <w:tcPr>
            <w:tcW w:w="2220" w:type="dxa"/>
          </w:tcPr>
          <w:p w14:paraId="491EBA2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699</w:t>
            </w:r>
          </w:p>
        </w:tc>
        <w:tc>
          <w:tcPr>
            <w:tcW w:w="2280" w:type="dxa"/>
          </w:tcPr>
          <w:p w14:paraId="3AD82B0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w:t>
            </w:r>
          </w:p>
        </w:tc>
        <w:tc>
          <w:tcPr>
            <w:tcW w:w="1080" w:type="dxa"/>
          </w:tcPr>
          <w:p w14:paraId="11F89D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w:t>
            </w:r>
          </w:p>
        </w:tc>
      </w:tr>
      <w:tr w:rsidR="004D4663" w:rsidRPr="00070ADE" w14:paraId="0790B882" w14:textId="77777777">
        <w:trPr>
          <w:jc w:val="center"/>
        </w:trPr>
        <w:tc>
          <w:tcPr>
            <w:tcW w:w="795" w:type="dxa"/>
          </w:tcPr>
          <w:p w14:paraId="4CE9CC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tc>
        <w:tc>
          <w:tcPr>
            <w:tcW w:w="3525" w:type="dxa"/>
          </w:tcPr>
          <w:p w14:paraId="40487C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Склады минно-торпедного отдела в маячной бухте</w:t>
            </w:r>
          </w:p>
          <w:p w14:paraId="37DB5B0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Восстановление набережной, тоннельных хранилищ, жилого дома, дорог, инженерных сетей и устройство связи и сигнализации</w:t>
            </w:r>
          </w:p>
        </w:tc>
        <w:tc>
          <w:tcPr>
            <w:tcW w:w="1080" w:type="dxa"/>
          </w:tcPr>
          <w:p w14:paraId="753F59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474</w:t>
            </w:r>
          </w:p>
        </w:tc>
        <w:tc>
          <w:tcPr>
            <w:tcW w:w="2220" w:type="dxa"/>
          </w:tcPr>
          <w:p w14:paraId="1A4670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410</w:t>
            </w:r>
          </w:p>
        </w:tc>
        <w:tc>
          <w:tcPr>
            <w:tcW w:w="2280" w:type="dxa"/>
          </w:tcPr>
          <w:p w14:paraId="1B4A4F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64</w:t>
            </w:r>
          </w:p>
        </w:tc>
        <w:tc>
          <w:tcPr>
            <w:tcW w:w="1080" w:type="dxa"/>
          </w:tcPr>
          <w:p w14:paraId="0CC89F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w:t>
            </w:r>
          </w:p>
        </w:tc>
      </w:tr>
      <w:tr w:rsidR="004D4663" w:rsidRPr="00070ADE" w14:paraId="56E0C35E" w14:textId="77777777">
        <w:trPr>
          <w:jc w:val="center"/>
        </w:trPr>
        <w:tc>
          <w:tcPr>
            <w:tcW w:w="795" w:type="dxa"/>
          </w:tcPr>
          <w:p w14:paraId="5602F7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tc>
        <w:tc>
          <w:tcPr>
            <w:tcW w:w="3525" w:type="dxa"/>
          </w:tcPr>
          <w:p w14:paraId="4AD1F3D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Склады и мастерские № 12 минно-торпедного отдела в инженерной балке</w:t>
            </w:r>
          </w:p>
          <w:p w14:paraId="738414D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Восстановление причала, подъездных путей, складов тралов, мастерских, котельной, инженерных сетей и связи и ремонт служебных помещений </w:t>
            </w:r>
          </w:p>
        </w:tc>
        <w:tc>
          <w:tcPr>
            <w:tcW w:w="1080" w:type="dxa"/>
          </w:tcPr>
          <w:p w14:paraId="2D2023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1040</w:t>
            </w:r>
          </w:p>
        </w:tc>
        <w:tc>
          <w:tcPr>
            <w:tcW w:w="2220" w:type="dxa"/>
          </w:tcPr>
          <w:p w14:paraId="44F10E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705</w:t>
            </w:r>
          </w:p>
        </w:tc>
        <w:tc>
          <w:tcPr>
            <w:tcW w:w="2280" w:type="dxa"/>
          </w:tcPr>
          <w:p w14:paraId="6EC01FE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335</w:t>
            </w:r>
          </w:p>
        </w:tc>
        <w:tc>
          <w:tcPr>
            <w:tcW w:w="1080" w:type="dxa"/>
          </w:tcPr>
          <w:p w14:paraId="5B93F9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w:t>
            </w:r>
          </w:p>
        </w:tc>
      </w:tr>
      <w:tr w:rsidR="004D4663" w:rsidRPr="00070ADE" w14:paraId="466662BF" w14:textId="77777777">
        <w:trPr>
          <w:jc w:val="center"/>
        </w:trPr>
        <w:tc>
          <w:tcPr>
            <w:tcW w:w="795" w:type="dxa"/>
          </w:tcPr>
          <w:p w14:paraId="07B3C2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w:t>
            </w:r>
          </w:p>
        </w:tc>
        <w:tc>
          <w:tcPr>
            <w:tcW w:w="3525" w:type="dxa"/>
          </w:tcPr>
          <w:p w14:paraId="1641D0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Оптические мастерские артиллерийского отдела в инженерной балке</w:t>
            </w:r>
          </w:p>
          <w:p w14:paraId="75F9FE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Восстановление железо-бетонного пирса, оптической и перископной мастерских, хранилищ материальной части, инженерных сетей и постройка щитовой мастерской</w:t>
            </w:r>
          </w:p>
        </w:tc>
        <w:tc>
          <w:tcPr>
            <w:tcW w:w="1080" w:type="dxa"/>
          </w:tcPr>
          <w:p w14:paraId="12AEEA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425</w:t>
            </w:r>
          </w:p>
        </w:tc>
        <w:tc>
          <w:tcPr>
            <w:tcW w:w="2220" w:type="dxa"/>
          </w:tcPr>
          <w:p w14:paraId="5B799A4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340</w:t>
            </w:r>
          </w:p>
        </w:tc>
        <w:tc>
          <w:tcPr>
            <w:tcW w:w="2280" w:type="dxa"/>
          </w:tcPr>
          <w:p w14:paraId="6320F3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w:t>
            </w:r>
          </w:p>
        </w:tc>
        <w:tc>
          <w:tcPr>
            <w:tcW w:w="1080" w:type="dxa"/>
          </w:tcPr>
          <w:p w14:paraId="0227A8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w:t>
            </w:r>
          </w:p>
        </w:tc>
      </w:tr>
      <w:tr w:rsidR="004D4663" w:rsidRPr="00070ADE" w14:paraId="5C1CEB72" w14:textId="77777777">
        <w:trPr>
          <w:jc w:val="center"/>
        </w:trPr>
        <w:tc>
          <w:tcPr>
            <w:tcW w:w="795" w:type="dxa"/>
            <w:tcBorders>
              <w:bottom w:val="single" w:sz="12" w:space="0" w:color="auto"/>
            </w:tcBorders>
          </w:tcPr>
          <w:p w14:paraId="60E70E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15 </w:t>
            </w:r>
          </w:p>
        </w:tc>
        <w:tc>
          <w:tcPr>
            <w:tcW w:w="3525" w:type="dxa"/>
            <w:tcBorders>
              <w:bottom w:val="single" w:sz="12" w:space="0" w:color="auto"/>
            </w:tcBorders>
          </w:tcPr>
          <w:p w14:paraId="1B2189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Артиллерийский ремонтный завод № 1127 – Южная бухта (Западная сторона)</w:t>
            </w:r>
          </w:p>
          <w:p w14:paraId="709276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Восстановление причала, мастерских вооружения, инженерных сетей и постройка кузницы</w:t>
            </w:r>
          </w:p>
        </w:tc>
        <w:tc>
          <w:tcPr>
            <w:tcW w:w="1080" w:type="dxa"/>
            <w:tcBorders>
              <w:bottom w:val="single" w:sz="12" w:space="0" w:color="auto"/>
            </w:tcBorders>
          </w:tcPr>
          <w:p w14:paraId="3DE0DB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1110</w:t>
            </w:r>
          </w:p>
        </w:tc>
        <w:tc>
          <w:tcPr>
            <w:tcW w:w="2220" w:type="dxa"/>
            <w:tcBorders>
              <w:bottom w:val="single" w:sz="12" w:space="0" w:color="auto"/>
            </w:tcBorders>
          </w:tcPr>
          <w:p w14:paraId="7645AD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690</w:t>
            </w:r>
          </w:p>
        </w:tc>
        <w:tc>
          <w:tcPr>
            <w:tcW w:w="2280" w:type="dxa"/>
            <w:tcBorders>
              <w:bottom w:val="single" w:sz="12" w:space="0" w:color="auto"/>
            </w:tcBorders>
          </w:tcPr>
          <w:p w14:paraId="6A27C5D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420</w:t>
            </w:r>
          </w:p>
        </w:tc>
        <w:tc>
          <w:tcPr>
            <w:tcW w:w="1080" w:type="dxa"/>
            <w:tcBorders>
              <w:bottom w:val="single" w:sz="12" w:space="0" w:color="auto"/>
            </w:tcBorders>
          </w:tcPr>
          <w:p w14:paraId="12DDA5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w:t>
            </w:r>
          </w:p>
        </w:tc>
      </w:tr>
    </w:tbl>
    <w:p w14:paraId="5C8163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 Секретно</w:t>
      </w:r>
    </w:p>
    <w:p w14:paraId="6ACE80D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 3</w:t>
      </w:r>
    </w:p>
    <w:p w14:paraId="0F30A0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Постановлению ГОКО № 6048 сс От "14" июня 1944 г.</w:t>
      </w:r>
    </w:p>
    <w:p w14:paraId="5779E4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ТИТУЛЬНЫЙ СПИСОК</w:t>
      </w:r>
    </w:p>
    <w:p w14:paraId="7A3176B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работ, выполняемых Наркомстроем в 1944 г. По Севастопольскому судоремонтному заводу Наркомсудпрома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45"/>
        <w:gridCol w:w="3180"/>
        <w:gridCol w:w="1920"/>
        <w:gridCol w:w="1920"/>
        <w:gridCol w:w="1920"/>
      </w:tblGrid>
      <w:tr w:rsidR="004D4663" w:rsidRPr="00070ADE" w14:paraId="5E1D21EB" w14:textId="77777777">
        <w:trPr>
          <w:jc w:val="center"/>
        </w:trPr>
        <w:tc>
          <w:tcPr>
            <w:tcW w:w="645" w:type="dxa"/>
            <w:tcBorders>
              <w:top w:val="single" w:sz="12" w:space="0" w:color="auto"/>
            </w:tcBorders>
          </w:tcPr>
          <w:p w14:paraId="56A340B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FF578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ПП</w:t>
            </w:r>
          </w:p>
        </w:tc>
        <w:tc>
          <w:tcPr>
            <w:tcW w:w="3180" w:type="dxa"/>
            <w:tcBorders>
              <w:top w:val="single" w:sz="12" w:space="0" w:color="auto"/>
            </w:tcBorders>
          </w:tcPr>
          <w:p w14:paraId="1719DB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 объектов</w:t>
            </w:r>
          </w:p>
        </w:tc>
        <w:tc>
          <w:tcPr>
            <w:tcW w:w="1920" w:type="dxa"/>
            <w:tcBorders>
              <w:top w:val="single" w:sz="12" w:space="0" w:color="auto"/>
            </w:tcBorders>
          </w:tcPr>
          <w:p w14:paraId="55FEA3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Полная стоимость стр. монтажных работ в тыс. руб.</w:t>
            </w:r>
          </w:p>
        </w:tc>
        <w:tc>
          <w:tcPr>
            <w:tcW w:w="1920" w:type="dxa"/>
            <w:tcBorders>
              <w:top w:val="single" w:sz="12" w:space="0" w:color="auto"/>
            </w:tcBorders>
          </w:tcPr>
          <w:p w14:paraId="24C370D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 ч. на 1944 г. В т. руб.</w:t>
            </w:r>
          </w:p>
        </w:tc>
        <w:tc>
          <w:tcPr>
            <w:tcW w:w="1920" w:type="dxa"/>
            <w:tcBorders>
              <w:top w:val="single" w:sz="12" w:space="0" w:color="auto"/>
            </w:tcBorders>
          </w:tcPr>
          <w:p w14:paraId="78CCA68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выполнения</w:t>
            </w:r>
          </w:p>
        </w:tc>
      </w:tr>
      <w:tr w:rsidR="004D4663" w:rsidRPr="00070ADE" w14:paraId="250D6B1E" w14:textId="77777777" w:rsidTr="00595BFB">
        <w:trPr>
          <w:jc w:val="center"/>
        </w:trPr>
        <w:tc>
          <w:tcPr>
            <w:tcW w:w="645" w:type="dxa"/>
            <w:gridSpan w:val="5"/>
          </w:tcPr>
          <w:p w14:paraId="1EAB19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Гидротехнические сооружения</w:t>
            </w:r>
          </w:p>
        </w:tc>
      </w:tr>
      <w:tr w:rsidR="004D4663" w:rsidRPr="00070ADE" w14:paraId="25EE2195" w14:textId="77777777">
        <w:trPr>
          <w:jc w:val="center"/>
        </w:trPr>
        <w:tc>
          <w:tcPr>
            <w:tcW w:w="645" w:type="dxa"/>
          </w:tcPr>
          <w:p w14:paraId="0ED31A3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3180" w:type="dxa"/>
          </w:tcPr>
          <w:p w14:paraId="53A192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Северный док с насосной станцией</w:t>
            </w:r>
          </w:p>
        </w:tc>
        <w:tc>
          <w:tcPr>
            <w:tcW w:w="1920" w:type="dxa"/>
          </w:tcPr>
          <w:p w14:paraId="7875E0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2250</w:t>
            </w:r>
          </w:p>
        </w:tc>
        <w:tc>
          <w:tcPr>
            <w:tcW w:w="1920" w:type="dxa"/>
          </w:tcPr>
          <w:p w14:paraId="5D2C8A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2250</w:t>
            </w:r>
          </w:p>
        </w:tc>
        <w:tc>
          <w:tcPr>
            <w:tcW w:w="1920" w:type="dxa"/>
          </w:tcPr>
          <w:p w14:paraId="10C663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w:t>
            </w:r>
          </w:p>
        </w:tc>
      </w:tr>
      <w:tr w:rsidR="004D4663" w:rsidRPr="00070ADE" w14:paraId="5630CB95" w14:textId="77777777">
        <w:trPr>
          <w:jc w:val="center"/>
        </w:trPr>
        <w:tc>
          <w:tcPr>
            <w:tcW w:w="645" w:type="dxa"/>
          </w:tcPr>
          <w:p w14:paraId="3B8B20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3180" w:type="dxa"/>
          </w:tcPr>
          <w:p w14:paraId="636F8F9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Набережные Северного дока</w:t>
            </w:r>
          </w:p>
        </w:tc>
        <w:tc>
          <w:tcPr>
            <w:tcW w:w="1920" w:type="dxa"/>
          </w:tcPr>
          <w:p w14:paraId="49E54C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w:t>
            </w:r>
          </w:p>
        </w:tc>
        <w:tc>
          <w:tcPr>
            <w:tcW w:w="1920" w:type="dxa"/>
          </w:tcPr>
          <w:p w14:paraId="7CBB96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w:t>
            </w:r>
          </w:p>
        </w:tc>
        <w:tc>
          <w:tcPr>
            <w:tcW w:w="1920" w:type="dxa"/>
          </w:tcPr>
          <w:p w14:paraId="4388123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 г.</w:t>
            </w:r>
          </w:p>
        </w:tc>
      </w:tr>
      <w:tr w:rsidR="004D4663" w:rsidRPr="00070ADE" w14:paraId="582D5B91" w14:textId="77777777">
        <w:trPr>
          <w:jc w:val="center"/>
        </w:trPr>
        <w:tc>
          <w:tcPr>
            <w:tcW w:w="645" w:type="dxa"/>
          </w:tcPr>
          <w:p w14:paraId="28FF05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180" w:type="dxa"/>
          </w:tcPr>
          <w:p w14:paraId="5A706E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920" w:type="dxa"/>
          </w:tcPr>
          <w:p w14:paraId="26427A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2700</w:t>
            </w:r>
          </w:p>
        </w:tc>
        <w:tc>
          <w:tcPr>
            <w:tcW w:w="1920" w:type="dxa"/>
          </w:tcPr>
          <w:p w14:paraId="5F622D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2700</w:t>
            </w:r>
          </w:p>
        </w:tc>
        <w:tc>
          <w:tcPr>
            <w:tcW w:w="1920" w:type="dxa"/>
          </w:tcPr>
          <w:p w14:paraId="54799A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4A1FA11" w14:textId="77777777" w:rsidTr="00595BFB">
        <w:trPr>
          <w:jc w:val="center"/>
        </w:trPr>
        <w:tc>
          <w:tcPr>
            <w:tcW w:w="645" w:type="dxa"/>
            <w:gridSpan w:val="5"/>
          </w:tcPr>
          <w:p w14:paraId="5F1E9E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Промышленные здания</w:t>
            </w:r>
          </w:p>
        </w:tc>
      </w:tr>
      <w:tr w:rsidR="004D4663" w:rsidRPr="00070ADE" w14:paraId="1A7103DA" w14:textId="77777777">
        <w:trPr>
          <w:jc w:val="center"/>
        </w:trPr>
        <w:tc>
          <w:tcPr>
            <w:tcW w:w="645" w:type="dxa"/>
          </w:tcPr>
          <w:p w14:paraId="450331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3180" w:type="dxa"/>
          </w:tcPr>
          <w:p w14:paraId="268EAE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Механический цех</w:t>
            </w:r>
          </w:p>
        </w:tc>
        <w:tc>
          <w:tcPr>
            <w:tcW w:w="1920" w:type="dxa"/>
          </w:tcPr>
          <w:p w14:paraId="4AC47F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w:t>
            </w:r>
          </w:p>
        </w:tc>
        <w:tc>
          <w:tcPr>
            <w:tcW w:w="1920" w:type="dxa"/>
          </w:tcPr>
          <w:p w14:paraId="6F5D32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w:t>
            </w:r>
          </w:p>
        </w:tc>
        <w:tc>
          <w:tcPr>
            <w:tcW w:w="1920" w:type="dxa"/>
          </w:tcPr>
          <w:p w14:paraId="655574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161E589" w14:textId="77777777">
        <w:trPr>
          <w:jc w:val="center"/>
        </w:trPr>
        <w:tc>
          <w:tcPr>
            <w:tcW w:w="645" w:type="dxa"/>
          </w:tcPr>
          <w:p w14:paraId="7CAD73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3180" w:type="dxa"/>
          </w:tcPr>
          <w:p w14:paraId="25293D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Чугунно-литейный цех</w:t>
            </w:r>
          </w:p>
        </w:tc>
        <w:tc>
          <w:tcPr>
            <w:tcW w:w="1920" w:type="dxa"/>
          </w:tcPr>
          <w:p w14:paraId="3A26469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tc>
        <w:tc>
          <w:tcPr>
            <w:tcW w:w="1920" w:type="dxa"/>
          </w:tcPr>
          <w:p w14:paraId="696F71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tc>
        <w:tc>
          <w:tcPr>
            <w:tcW w:w="1920" w:type="dxa"/>
          </w:tcPr>
          <w:p w14:paraId="73543AD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CE08730" w14:textId="77777777">
        <w:trPr>
          <w:jc w:val="center"/>
        </w:trPr>
        <w:tc>
          <w:tcPr>
            <w:tcW w:w="645" w:type="dxa"/>
          </w:tcPr>
          <w:p w14:paraId="23AF58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3180" w:type="dxa"/>
          </w:tcPr>
          <w:p w14:paraId="18E1A0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Бронзолитейных " "</w:t>
            </w:r>
          </w:p>
        </w:tc>
        <w:tc>
          <w:tcPr>
            <w:tcW w:w="1920" w:type="dxa"/>
          </w:tcPr>
          <w:p w14:paraId="22DEE5B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1920" w:type="dxa"/>
          </w:tcPr>
          <w:p w14:paraId="5C1F17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1920" w:type="dxa"/>
          </w:tcPr>
          <w:p w14:paraId="2FD36B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D3FD4C0" w14:textId="77777777">
        <w:trPr>
          <w:jc w:val="center"/>
        </w:trPr>
        <w:tc>
          <w:tcPr>
            <w:tcW w:w="645" w:type="dxa"/>
          </w:tcPr>
          <w:p w14:paraId="2CAF34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3180" w:type="dxa"/>
          </w:tcPr>
          <w:p w14:paraId="58857E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Деревообделочный "</w:t>
            </w:r>
          </w:p>
        </w:tc>
        <w:tc>
          <w:tcPr>
            <w:tcW w:w="1920" w:type="dxa"/>
          </w:tcPr>
          <w:p w14:paraId="146465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c>
          <w:tcPr>
            <w:tcW w:w="1920" w:type="dxa"/>
          </w:tcPr>
          <w:p w14:paraId="6A8C554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c>
          <w:tcPr>
            <w:tcW w:w="1920" w:type="dxa"/>
          </w:tcPr>
          <w:p w14:paraId="24B19F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0CE576D" w14:textId="77777777">
        <w:trPr>
          <w:jc w:val="center"/>
        </w:trPr>
        <w:tc>
          <w:tcPr>
            <w:tcW w:w="645" w:type="dxa"/>
          </w:tcPr>
          <w:p w14:paraId="24D1A3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3180" w:type="dxa"/>
          </w:tcPr>
          <w:p w14:paraId="1989290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Цех …МТ "а</w:t>
            </w:r>
          </w:p>
        </w:tc>
        <w:tc>
          <w:tcPr>
            <w:tcW w:w="1920" w:type="dxa"/>
          </w:tcPr>
          <w:p w14:paraId="3DF720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tc>
        <w:tc>
          <w:tcPr>
            <w:tcW w:w="1920" w:type="dxa"/>
          </w:tcPr>
          <w:p w14:paraId="4CB9A65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tc>
        <w:tc>
          <w:tcPr>
            <w:tcW w:w="1920" w:type="dxa"/>
          </w:tcPr>
          <w:p w14:paraId="092FFB7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23269971" w14:textId="77777777">
        <w:trPr>
          <w:jc w:val="center"/>
        </w:trPr>
        <w:tc>
          <w:tcPr>
            <w:tcW w:w="645" w:type="dxa"/>
          </w:tcPr>
          <w:p w14:paraId="56FCB29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3180" w:type="dxa"/>
          </w:tcPr>
          <w:p w14:paraId="375CE5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Административные здания</w:t>
            </w:r>
          </w:p>
        </w:tc>
        <w:tc>
          <w:tcPr>
            <w:tcW w:w="1920" w:type="dxa"/>
          </w:tcPr>
          <w:p w14:paraId="01DCA5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550</w:t>
            </w:r>
          </w:p>
        </w:tc>
        <w:tc>
          <w:tcPr>
            <w:tcW w:w="1920" w:type="dxa"/>
          </w:tcPr>
          <w:p w14:paraId="08C90F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1920" w:type="dxa"/>
          </w:tcPr>
          <w:p w14:paraId="245D1C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294127A" w14:textId="77777777">
        <w:trPr>
          <w:jc w:val="center"/>
        </w:trPr>
        <w:tc>
          <w:tcPr>
            <w:tcW w:w="645" w:type="dxa"/>
          </w:tcPr>
          <w:p w14:paraId="1AD938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3180" w:type="dxa"/>
          </w:tcPr>
          <w:p w14:paraId="1A5516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Лесосушилка</w:t>
            </w:r>
          </w:p>
        </w:tc>
        <w:tc>
          <w:tcPr>
            <w:tcW w:w="1920" w:type="dxa"/>
          </w:tcPr>
          <w:p w14:paraId="4D4292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tc>
        <w:tc>
          <w:tcPr>
            <w:tcW w:w="1920" w:type="dxa"/>
          </w:tcPr>
          <w:p w14:paraId="0DFF63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tc>
        <w:tc>
          <w:tcPr>
            <w:tcW w:w="1920" w:type="dxa"/>
          </w:tcPr>
          <w:p w14:paraId="199BA19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390DC10" w14:textId="77777777">
        <w:trPr>
          <w:jc w:val="center"/>
        </w:trPr>
        <w:tc>
          <w:tcPr>
            <w:tcW w:w="645" w:type="dxa"/>
          </w:tcPr>
          <w:p w14:paraId="0595914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3180" w:type="dxa"/>
          </w:tcPr>
          <w:p w14:paraId="55F280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Турбо-дизельный цех</w:t>
            </w:r>
          </w:p>
        </w:tc>
        <w:tc>
          <w:tcPr>
            <w:tcW w:w="1920" w:type="dxa"/>
          </w:tcPr>
          <w:p w14:paraId="534B964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w:t>
            </w:r>
          </w:p>
        </w:tc>
        <w:tc>
          <w:tcPr>
            <w:tcW w:w="1920" w:type="dxa"/>
          </w:tcPr>
          <w:p w14:paraId="15D243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w:t>
            </w:r>
          </w:p>
        </w:tc>
        <w:tc>
          <w:tcPr>
            <w:tcW w:w="1920" w:type="dxa"/>
          </w:tcPr>
          <w:p w14:paraId="3E8370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2E81A18D" w14:textId="77777777">
        <w:trPr>
          <w:jc w:val="center"/>
        </w:trPr>
        <w:tc>
          <w:tcPr>
            <w:tcW w:w="645" w:type="dxa"/>
          </w:tcPr>
          <w:p w14:paraId="77573E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tc>
        <w:tc>
          <w:tcPr>
            <w:tcW w:w="3180" w:type="dxa"/>
          </w:tcPr>
          <w:p w14:paraId="68F5978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Медницкий и монтажный цехи</w:t>
            </w:r>
          </w:p>
          <w:p w14:paraId="30C2DF1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Северного дока</w:t>
            </w:r>
          </w:p>
        </w:tc>
        <w:tc>
          <w:tcPr>
            <w:tcW w:w="1920" w:type="dxa"/>
          </w:tcPr>
          <w:p w14:paraId="3EF59F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260</w:t>
            </w:r>
          </w:p>
        </w:tc>
        <w:tc>
          <w:tcPr>
            <w:tcW w:w="1920" w:type="dxa"/>
          </w:tcPr>
          <w:p w14:paraId="6FFE17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260</w:t>
            </w:r>
          </w:p>
        </w:tc>
        <w:tc>
          <w:tcPr>
            <w:tcW w:w="1920" w:type="dxa"/>
          </w:tcPr>
          <w:p w14:paraId="01E44D9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875592F" w14:textId="77777777">
        <w:trPr>
          <w:jc w:val="center"/>
        </w:trPr>
        <w:tc>
          <w:tcPr>
            <w:tcW w:w="645" w:type="dxa"/>
          </w:tcPr>
          <w:p w14:paraId="3E1F76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3180" w:type="dxa"/>
          </w:tcPr>
          <w:p w14:paraId="580609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Столовая Северного дока</w:t>
            </w:r>
          </w:p>
        </w:tc>
        <w:tc>
          <w:tcPr>
            <w:tcW w:w="1920" w:type="dxa"/>
          </w:tcPr>
          <w:p w14:paraId="7AAFC2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w:t>
            </w:r>
          </w:p>
        </w:tc>
        <w:tc>
          <w:tcPr>
            <w:tcW w:w="1920" w:type="dxa"/>
          </w:tcPr>
          <w:p w14:paraId="43C43B4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w:t>
            </w:r>
          </w:p>
        </w:tc>
        <w:tc>
          <w:tcPr>
            <w:tcW w:w="1920" w:type="dxa"/>
          </w:tcPr>
          <w:p w14:paraId="5A22E9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A9F4377" w14:textId="77777777">
        <w:trPr>
          <w:jc w:val="center"/>
        </w:trPr>
        <w:tc>
          <w:tcPr>
            <w:tcW w:w="645" w:type="dxa"/>
          </w:tcPr>
          <w:p w14:paraId="18EB0E0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180" w:type="dxa"/>
          </w:tcPr>
          <w:p w14:paraId="0C8523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920" w:type="dxa"/>
          </w:tcPr>
          <w:p w14:paraId="6AAE63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4940</w:t>
            </w:r>
          </w:p>
        </w:tc>
        <w:tc>
          <w:tcPr>
            <w:tcW w:w="1920" w:type="dxa"/>
          </w:tcPr>
          <w:p w14:paraId="3F32965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3590</w:t>
            </w:r>
          </w:p>
        </w:tc>
        <w:tc>
          <w:tcPr>
            <w:tcW w:w="1920" w:type="dxa"/>
          </w:tcPr>
          <w:p w14:paraId="12BEBE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9394EAA" w14:textId="77777777" w:rsidTr="00595BFB">
        <w:trPr>
          <w:jc w:val="center"/>
        </w:trPr>
        <w:tc>
          <w:tcPr>
            <w:tcW w:w="645" w:type="dxa"/>
            <w:gridSpan w:val="5"/>
          </w:tcPr>
          <w:p w14:paraId="0AEBF5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Энергетические объекты</w:t>
            </w:r>
          </w:p>
        </w:tc>
      </w:tr>
      <w:tr w:rsidR="004D4663" w:rsidRPr="00070ADE" w14:paraId="2EFB1A3F" w14:textId="77777777">
        <w:trPr>
          <w:jc w:val="center"/>
        </w:trPr>
        <w:tc>
          <w:tcPr>
            <w:tcW w:w="645" w:type="dxa"/>
          </w:tcPr>
          <w:p w14:paraId="468B9B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3180" w:type="dxa"/>
          </w:tcPr>
          <w:p w14:paraId="74C87D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Подстанция № 1,2 с сетями</w:t>
            </w:r>
          </w:p>
          <w:p w14:paraId="4A7D6C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Низкого и высокого напряжения </w:t>
            </w:r>
          </w:p>
        </w:tc>
        <w:tc>
          <w:tcPr>
            <w:tcW w:w="1920" w:type="dxa"/>
          </w:tcPr>
          <w:p w14:paraId="48AD4C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520</w:t>
            </w:r>
          </w:p>
        </w:tc>
        <w:tc>
          <w:tcPr>
            <w:tcW w:w="1920" w:type="dxa"/>
          </w:tcPr>
          <w:p w14:paraId="3B55FD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tc>
        <w:tc>
          <w:tcPr>
            <w:tcW w:w="1920" w:type="dxa"/>
          </w:tcPr>
          <w:p w14:paraId="6CFA09B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Ноябрь</w:t>
            </w:r>
          </w:p>
          <w:p w14:paraId="4F529A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 г.</w:t>
            </w:r>
          </w:p>
        </w:tc>
      </w:tr>
      <w:tr w:rsidR="004D4663" w:rsidRPr="00070ADE" w14:paraId="3C9E5A37" w14:textId="77777777">
        <w:trPr>
          <w:jc w:val="center"/>
        </w:trPr>
        <w:tc>
          <w:tcPr>
            <w:tcW w:w="645" w:type="dxa"/>
          </w:tcPr>
          <w:p w14:paraId="722AA3C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3180" w:type="dxa"/>
          </w:tcPr>
          <w:p w14:paraId="68D9C8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Подстанция Северного дока</w:t>
            </w:r>
          </w:p>
          <w:p w14:paraId="05E64F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цехе № 18 и при котельной с электросетями.</w:t>
            </w:r>
          </w:p>
        </w:tc>
        <w:tc>
          <w:tcPr>
            <w:tcW w:w="1920" w:type="dxa"/>
          </w:tcPr>
          <w:p w14:paraId="6F80C79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335</w:t>
            </w:r>
          </w:p>
        </w:tc>
        <w:tc>
          <w:tcPr>
            <w:tcW w:w="1920" w:type="dxa"/>
          </w:tcPr>
          <w:p w14:paraId="3A757C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335</w:t>
            </w:r>
          </w:p>
        </w:tc>
        <w:tc>
          <w:tcPr>
            <w:tcW w:w="1920" w:type="dxa"/>
          </w:tcPr>
          <w:p w14:paraId="48388D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33E464B" w14:textId="77777777">
        <w:trPr>
          <w:jc w:val="center"/>
        </w:trPr>
        <w:tc>
          <w:tcPr>
            <w:tcW w:w="645" w:type="dxa"/>
          </w:tcPr>
          <w:p w14:paraId="21F7CC1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3180" w:type="dxa"/>
          </w:tcPr>
          <w:p w14:paraId="3A5C8B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Компрессорная станция и сети:</w:t>
            </w:r>
          </w:p>
          <w:p w14:paraId="0B50757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 основной площадке</w:t>
            </w:r>
          </w:p>
          <w:p w14:paraId="28B7A2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Северного дока</w:t>
            </w:r>
          </w:p>
        </w:tc>
        <w:tc>
          <w:tcPr>
            <w:tcW w:w="1920" w:type="dxa"/>
          </w:tcPr>
          <w:p w14:paraId="27ECCE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330</w:t>
            </w:r>
          </w:p>
          <w:p w14:paraId="42AFDB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1920" w:type="dxa"/>
          </w:tcPr>
          <w:p w14:paraId="6F88E2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330</w:t>
            </w:r>
          </w:p>
          <w:p w14:paraId="7161CD5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1920" w:type="dxa"/>
          </w:tcPr>
          <w:p w14:paraId="500ECF9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3B3A959" w14:textId="77777777">
        <w:trPr>
          <w:jc w:val="center"/>
        </w:trPr>
        <w:tc>
          <w:tcPr>
            <w:tcW w:w="645" w:type="dxa"/>
          </w:tcPr>
          <w:p w14:paraId="671B89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3180" w:type="dxa"/>
          </w:tcPr>
          <w:p w14:paraId="2682868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Кислородная станция</w:t>
            </w:r>
          </w:p>
        </w:tc>
        <w:tc>
          <w:tcPr>
            <w:tcW w:w="1920" w:type="dxa"/>
          </w:tcPr>
          <w:p w14:paraId="786F58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1920" w:type="dxa"/>
          </w:tcPr>
          <w:p w14:paraId="6299C1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1920" w:type="dxa"/>
          </w:tcPr>
          <w:p w14:paraId="3FACCF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2BEC812F" w14:textId="77777777">
        <w:trPr>
          <w:jc w:val="center"/>
        </w:trPr>
        <w:tc>
          <w:tcPr>
            <w:tcW w:w="645" w:type="dxa"/>
          </w:tcPr>
          <w:p w14:paraId="7E749B0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3180" w:type="dxa"/>
          </w:tcPr>
          <w:p w14:paraId="5A6BC0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Ацетиленовая " </w:t>
            </w:r>
          </w:p>
        </w:tc>
        <w:tc>
          <w:tcPr>
            <w:tcW w:w="1920" w:type="dxa"/>
          </w:tcPr>
          <w:p w14:paraId="72C76B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tc>
        <w:tc>
          <w:tcPr>
            <w:tcW w:w="1920" w:type="dxa"/>
          </w:tcPr>
          <w:p w14:paraId="6782F5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tc>
        <w:tc>
          <w:tcPr>
            <w:tcW w:w="1920" w:type="dxa"/>
          </w:tcPr>
          <w:p w14:paraId="26086A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9AD6B8E" w14:textId="77777777">
        <w:trPr>
          <w:jc w:val="center"/>
        </w:trPr>
        <w:tc>
          <w:tcPr>
            <w:tcW w:w="645" w:type="dxa"/>
          </w:tcPr>
          <w:p w14:paraId="2B24B9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3180" w:type="dxa"/>
          </w:tcPr>
          <w:p w14:paraId="3AE84E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Водопровод морской воды:</w:t>
            </w:r>
          </w:p>
          <w:p w14:paraId="7D1568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основной площадки</w:t>
            </w:r>
          </w:p>
          <w:p w14:paraId="39461E0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северного дока</w:t>
            </w:r>
          </w:p>
        </w:tc>
        <w:tc>
          <w:tcPr>
            <w:tcW w:w="1920" w:type="dxa"/>
          </w:tcPr>
          <w:p w14:paraId="51FBDC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w:t>
            </w:r>
          </w:p>
          <w:p w14:paraId="465347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tc>
        <w:tc>
          <w:tcPr>
            <w:tcW w:w="1920" w:type="dxa"/>
          </w:tcPr>
          <w:p w14:paraId="03D95A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w:t>
            </w:r>
          </w:p>
          <w:p w14:paraId="4468EAC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tc>
        <w:tc>
          <w:tcPr>
            <w:tcW w:w="1920" w:type="dxa"/>
          </w:tcPr>
          <w:p w14:paraId="080382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452A322" w14:textId="77777777">
        <w:trPr>
          <w:jc w:val="center"/>
        </w:trPr>
        <w:tc>
          <w:tcPr>
            <w:tcW w:w="645" w:type="dxa"/>
          </w:tcPr>
          <w:p w14:paraId="5D03CF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3180" w:type="dxa"/>
          </w:tcPr>
          <w:p w14:paraId="76393B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Водопровод пресной воды:</w:t>
            </w:r>
          </w:p>
          <w:p w14:paraId="0CB9D6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основной площадки</w:t>
            </w:r>
          </w:p>
          <w:p w14:paraId="507881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 северного дока </w:t>
            </w:r>
          </w:p>
        </w:tc>
        <w:tc>
          <w:tcPr>
            <w:tcW w:w="1920" w:type="dxa"/>
          </w:tcPr>
          <w:p w14:paraId="3A012F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5A7DE2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1920" w:type="dxa"/>
          </w:tcPr>
          <w:p w14:paraId="2A7A0E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277AED0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1920" w:type="dxa"/>
          </w:tcPr>
          <w:p w14:paraId="31E334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753CA11" w14:textId="77777777">
        <w:trPr>
          <w:jc w:val="center"/>
        </w:trPr>
        <w:tc>
          <w:tcPr>
            <w:tcW w:w="645" w:type="dxa"/>
          </w:tcPr>
          <w:p w14:paraId="2149397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3180" w:type="dxa"/>
          </w:tcPr>
          <w:p w14:paraId="112DD2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Фекальная канализация Северного дока </w:t>
            </w:r>
          </w:p>
        </w:tc>
        <w:tc>
          <w:tcPr>
            <w:tcW w:w="1920" w:type="dxa"/>
          </w:tcPr>
          <w:p w14:paraId="25EDD39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w:t>
            </w:r>
          </w:p>
        </w:tc>
        <w:tc>
          <w:tcPr>
            <w:tcW w:w="1920" w:type="dxa"/>
          </w:tcPr>
          <w:p w14:paraId="2FDC4D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w:t>
            </w:r>
          </w:p>
        </w:tc>
        <w:tc>
          <w:tcPr>
            <w:tcW w:w="1920" w:type="dxa"/>
          </w:tcPr>
          <w:p w14:paraId="319835C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0DE76D0" w14:textId="77777777">
        <w:trPr>
          <w:jc w:val="center"/>
        </w:trPr>
        <w:tc>
          <w:tcPr>
            <w:tcW w:w="645" w:type="dxa"/>
          </w:tcPr>
          <w:p w14:paraId="247BBF8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tc>
        <w:tc>
          <w:tcPr>
            <w:tcW w:w="3180" w:type="dxa"/>
          </w:tcPr>
          <w:p w14:paraId="3A7041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Котельная с водоочисткой и сетями:</w:t>
            </w:r>
          </w:p>
          <w:p w14:paraId="7F96CE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основной площадки</w:t>
            </w:r>
          </w:p>
          <w:p w14:paraId="5777DC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 северного дока </w:t>
            </w:r>
          </w:p>
        </w:tc>
        <w:tc>
          <w:tcPr>
            <w:tcW w:w="1920" w:type="dxa"/>
          </w:tcPr>
          <w:p w14:paraId="2C5D25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…00</w:t>
            </w:r>
          </w:p>
          <w:p w14:paraId="0C6E68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w:t>
            </w:r>
          </w:p>
        </w:tc>
        <w:tc>
          <w:tcPr>
            <w:tcW w:w="1920" w:type="dxa"/>
          </w:tcPr>
          <w:p w14:paraId="029E69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1231CD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w:t>
            </w:r>
          </w:p>
        </w:tc>
        <w:tc>
          <w:tcPr>
            <w:tcW w:w="1920" w:type="dxa"/>
          </w:tcPr>
          <w:p w14:paraId="1BAA572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DEEB75C" w14:textId="77777777">
        <w:trPr>
          <w:jc w:val="center"/>
        </w:trPr>
        <w:tc>
          <w:tcPr>
            <w:tcW w:w="645" w:type="dxa"/>
          </w:tcPr>
          <w:p w14:paraId="21810F3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180" w:type="dxa"/>
          </w:tcPr>
          <w:p w14:paraId="6F324C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Итого: </w:t>
            </w:r>
          </w:p>
        </w:tc>
        <w:tc>
          <w:tcPr>
            <w:tcW w:w="1920" w:type="dxa"/>
          </w:tcPr>
          <w:p w14:paraId="77AB1D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3180</w:t>
            </w:r>
          </w:p>
        </w:tc>
        <w:tc>
          <w:tcPr>
            <w:tcW w:w="1920" w:type="dxa"/>
          </w:tcPr>
          <w:p w14:paraId="7AA26B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2960</w:t>
            </w:r>
          </w:p>
        </w:tc>
        <w:tc>
          <w:tcPr>
            <w:tcW w:w="1920" w:type="dxa"/>
          </w:tcPr>
          <w:p w14:paraId="43FE4D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7D62EB4" w14:textId="77777777" w:rsidTr="00595BFB">
        <w:trPr>
          <w:jc w:val="center"/>
        </w:trPr>
        <w:tc>
          <w:tcPr>
            <w:tcW w:w="645" w:type="dxa"/>
            <w:gridSpan w:val="5"/>
          </w:tcPr>
          <w:p w14:paraId="19FCF1D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Транспорт</w:t>
            </w:r>
          </w:p>
        </w:tc>
      </w:tr>
      <w:tr w:rsidR="004D4663" w:rsidRPr="00070ADE" w14:paraId="153AC681" w14:textId="77777777">
        <w:trPr>
          <w:jc w:val="center"/>
        </w:trPr>
        <w:tc>
          <w:tcPr>
            <w:tcW w:w="645" w:type="dxa"/>
          </w:tcPr>
          <w:p w14:paraId="0ECA7D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3180" w:type="dxa"/>
          </w:tcPr>
          <w:p w14:paraId="093662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Железнодорожные пути по двум площадкам </w:t>
            </w:r>
          </w:p>
        </w:tc>
        <w:tc>
          <w:tcPr>
            <w:tcW w:w="1920" w:type="dxa"/>
          </w:tcPr>
          <w:p w14:paraId="067416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tc>
        <w:tc>
          <w:tcPr>
            <w:tcW w:w="1920" w:type="dxa"/>
          </w:tcPr>
          <w:p w14:paraId="2E93318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c>
          <w:tcPr>
            <w:tcW w:w="1920" w:type="dxa"/>
          </w:tcPr>
          <w:p w14:paraId="5FDF51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w:t>
            </w:r>
          </w:p>
        </w:tc>
      </w:tr>
      <w:tr w:rsidR="004D4663" w:rsidRPr="00070ADE" w14:paraId="453790BB" w14:textId="77777777">
        <w:trPr>
          <w:jc w:val="center"/>
        </w:trPr>
        <w:tc>
          <w:tcPr>
            <w:tcW w:w="645" w:type="dxa"/>
          </w:tcPr>
          <w:p w14:paraId="0ADE067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3180" w:type="dxa"/>
          </w:tcPr>
          <w:p w14:paraId="02AA3D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Автогужевые дороги </w:t>
            </w:r>
          </w:p>
        </w:tc>
        <w:tc>
          <w:tcPr>
            <w:tcW w:w="1920" w:type="dxa"/>
          </w:tcPr>
          <w:p w14:paraId="580520A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1920" w:type="dxa"/>
          </w:tcPr>
          <w:p w14:paraId="57C35E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1920" w:type="dxa"/>
          </w:tcPr>
          <w:p w14:paraId="7D1C640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 г.</w:t>
            </w:r>
          </w:p>
        </w:tc>
      </w:tr>
      <w:tr w:rsidR="004D4663" w:rsidRPr="00070ADE" w14:paraId="5658A442" w14:textId="77777777" w:rsidTr="00595BFB">
        <w:trPr>
          <w:jc w:val="center"/>
        </w:trPr>
        <w:tc>
          <w:tcPr>
            <w:tcW w:w="645" w:type="dxa"/>
            <w:gridSpan w:val="5"/>
          </w:tcPr>
          <w:p w14:paraId="7FB824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Жилстроительство</w:t>
            </w:r>
          </w:p>
        </w:tc>
      </w:tr>
      <w:tr w:rsidR="004D4663" w:rsidRPr="00070ADE" w14:paraId="318E760B" w14:textId="77777777">
        <w:trPr>
          <w:jc w:val="center"/>
        </w:trPr>
        <w:tc>
          <w:tcPr>
            <w:tcW w:w="645" w:type="dxa"/>
          </w:tcPr>
          <w:p w14:paraId="21A25E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3180" w:type="dxa"/>
          </w:tcPr>
          <w:p w14:paraId="6D00FB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Жилые дома </w:t>
            </w:r>
          </w:p>
        </w:tc>
        <w:tc>
          <w:tcPr>
            <w:tcW w:w="1920" w:type="dxa"/>
          </w:tcPr>
          <w:p w14:paraId="59B8ED0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2000</w:t>
            </w:r>
          </w:p>
        </w:tc>
        <w:tc>
          <w:tcPr>
            <w:tcW w:w="1920" w:type="dxa"/>
          </w:tcPr>
          <w:p w14:paraId="266A7E0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1920" w:type="dxa"/>
          </w:tcPr>
          <w:p w14:paraId="5E7109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2861764" w14:textId="77777777">
        <w:trPr>
          <w:jc w:val="center"/>
        </w:trPr>
        <w:tc>
          <w:tcPr>
            <w:tcW w:w="645" w:type="dxa"/>
            <w:tcBorders>
              <w:bottom w:val="single" w:sz="12" w:space="0" w:color="auto"/>
            </w:tcBorders>
          </w:tcPr>
          <w:p w14:paraId="41533F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180" w:type="dxa"/>
            <w:tcBorders>
              <w:bottom w:val="single" w:sz="12" w:space="0" w:color="auto"/>
            </w:tcBorders>
          </w:tcPr>
          <w:p w14:paraId="31AC014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tc>
        <w:tc>
          <w:tcPr>
            <w:tcW w:w="1920" w:type="dxa"/>
            <w:tcBorders>
              <w:bottom w:val="single" w:sz="12" w:space="0" w:color="auto"/>
            </w:tcBorders>
          </w:tcPr>
          <w:p w14:paraId="2EBB0A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14320</w:t>
            </w:r>
          </w:p>
        </w:tc>
        <w:tc>
          <w:tcPr>
            <w:tcW w:w="1920" w:type="dxa"/>
            <w:tcBorders>
              <w:bottom w:val="single" w:sz="12" w:space="0" w:color="auto"/>
            </w:tcBorders>
          </w:tcPr>
          <w:p w14:paraId="58931D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10000</w:t>
            </w:r>
          </w:p>
        </w:tc>
        <w:tc>
          <w:tcPr>
            <w:tcW w:w="1920" w:type="dxa"/>
            <w:tcBorders>
              <w:bottom w:val="single" w:sz="12" w:space="0" w:color="auto"/>
            </w:tcBorders>
          </w:tcPr>
          <w:p w14:paraId="1EECEE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bl>
    <w:p w14:paraId="6D3C12F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 Секретно</w:t>
      </w:r>
    </w:p>
    <w:p w14:paraId="34B0A4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Приложение № 4 </w:t>
      </w:r>
    </w:p>
    <w:p w14:paraId="77A04B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к Постановлению ГОКО № 6048сс от "14" июня 1944 г.</w:t>
      </w:r>
    </w:p>
    <w:p w14:paraId="5B8500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ПЕРЕЧЕНЬ</w:t>
      </w:r>
    </w:p>
    <w:p w14:paraId="185EB2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Объектов, выполняемых Наркомстроем в 1944 году по бухте Балаклава</w:t>
      </w:r>
    </w:p>
    <w:p w14:paraId="03F3E8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тыс. рублей) </w:t>
      </w:r>
    </w:p>
    <w:tbl>
      <w:tblPr>
        <w:tblW w:w="0" w:type="auto"/>
        <w:jc w:val="center"/>
        <w:tblLayout w:type="fixed"/>
        <w:tblCellMar>
          <w:left w:w="0" w:type="dxa"/>
          <w:right w:w="0" w:type="dxa"/>
        </w:tblCellMar>
        <w:tblLook w:val="0000" w:firstRow="0" w:lastRow="0" w:firstColumn="0" w:lastColumn="0" w:noHBand="0" w:noVBand="0"/>
      </w:tblPr>
      <w:tblGrid>
        <w:gridCol w:w="645"/>
        <w:gridCol w:w="3180"/>
        <w:gridCol w:w="1920"/>
        <w:gridCol w:w="1920"/>
        <w:gridCol w:w="1920"/>
      </w:tblGrid>
      <w:tr w:rsidR="004D4663" w:rsidRPr="00070ADE" w14:paraId="4B9DFFBE" w14:textId="77777777">
        <w:trPr>
          <w:jc w:val="center"/>
        </w:trPr>
        <w:tc>
          <w:tcPr>
            <w:tcW w:w="645" w:type="dxa"/>
            <w:tcBorders>
              <w:top w:val="single" w:sz="12" w:space="0" w:color="auto"/>
              <w:left w:val="single" w:sz="12" w:space="0" w:color="auto"/>
              <w:bottom w:val="single" w:sz="6" w:space="0" w:color="auto"/>
              <w:right w:val="single" w:sz="6" w:space="0" w:color="auto"/>
            </w:tcBorders>
          </w:tcPr>
          <w:p w14:paraId="3F358D7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04817F3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ПП</w:t>
            </w:r>
          </w:p>
        </w:tc>
        <w:tc>
          <w:tcPr>
            <w:tcW w:w="3180" w:type="dxa"/>
            <w:tcBorders>
              <w:top w:val="single" w:sz="12" w:space="0" w:color="auto"/>
              <w:left w:val="single" w:sz="6" w:space="0" w:color="auto"/>
              <w:bottom w:val="single" w:sz="6" w:space="0" w:color="auto"/>
              <w:right w:val="single" w:sz="6" w:space="0" w:color="auto"/>
            </w:tcBorders>
          </w:tcPr>
          <w:p w14:paraId="76F9A75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 объектов</w:t>
            </w:r>
          </w:p>
        </w:tc>
        <w:tc>
          <w:tcPr>
            <w:tcW w:w="1920" w:type="dxa"/>
            <w:tcBorders>
              <w:top w:val="single" w:sz="12" w:space="0" w:color="auto"/>
              <w:left w:val="single" w:sz="6" w:space="0" w:color="auto"/>
              <w:bottom w:val="single" w:sz="6" w:space="0" w:color="auto"/>
              <w:right w:val="single" w:sz="6" w:space="0" w:color="auto"/>
            </w:tcBorders>
          </w:tcPr>
          <w:p w14:paraId="62965A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Полная стоимость стр. монтажных работ в тыс. руб.</w:t>
            </w:r>
          </w:p>
        </w:tc>
        <w:tc>
          <w:tcPr>
            <w:tcW w:w="1920" w:type="dxa"/>
            <w:tcBorders>
              <w:top w:val="single" w:sz="12" w:space="0" w:color="auto"/>
              <w:left w:val="single" w:sz="6" w:space="0" w:color="auto"/>
              <w:bottom w:val="single" w:sz="6" w:space="0" w:color="auto"/>
              <w:right w:val="single" w:sz="6" w:space="0" w:color="auto"/>
            </w:tcBorders>
          </w:tcPr>
          <w:p w14:paraId="3D19BD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 ч. на 1944 г. В т. руб.</w:t>
            </w:r>
          </w:p>
        </w:tc>
        <w:tc>
          <w:tcPr>
            <w:tcW w:w="1920" w:type="dxa"/>
            <w:tcBorders>
              <w:top w:val="single" w:sz="12" w:space="0" w:color="auto"/>
              <w:left w:val="single" w:sz="6" w:space="0" w:color="auto"/>
              <w:bottom w:val="single" w:sz="6" w:space="0" w:color="auto"/>
              <w:right w:val="single" w:sz="12" w:space="0" w:color="auto"/>
            </w:tcBorders>
          </w:tcPr>
          <w:p w14:paraId="1F77A2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выполнения</w:t>
            </w:r>
          </w:p>
        </w:tc>
      </w:tr>
      <w:tr w:rsidR="004D4663" w:rsidRPr="00070ADE" w14:paraId="5EE3E585" w14:textId="77777777" w:rsidTr="00595BFB">
        <w:trPr>
          <w:jc w:val="center"/>
        </w:trPr>
        <w:tc>
          <w:tcPr>
            <w:tcW w:w="645" w:type="dxa"/>
            <w:gridSpan w:val="5"/>
            <w:tcBorders>
              <w:top w:val="single" w:sz="6" w:space="0" w:color="auto"/>
              <w:left w:val="single" w:sz="12" w:space="0" w:color="auto"/>
              <w:bottom w:val="single" w:sz="6" w:space="0" w:color="auto"/>
              <w:right w:val="single" w:sz="12" w:space="0" w:color="auto"/>
            </w:tcBorders>
          </w:tcPr>
          <w:p w14:paraId="0768E9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Гидротехнические сооружения</w:t>
            </w:r>
          </w:p>
        </w:tc>
      </w:tr>
      <w:tr w:rsidR="004D4663" w:rsidRPr="00070ADE" w14:paraId="0E2F24C4"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67E8FB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3180" w:type="dxa"/>
            <w:tcBorders>
              <w:top w:val="single" w:sz="6" w:space="0" w:color="auto"/>
              <w:left w:val="single" w:sz="6" w:space="0" w:color="auto"/>
              <w:bottom w:val="single" w:sz="6" w:space="0" w:color="auto"/>
              <w:right w:val="single" w:sz="6" w:space="0" w:color="auto"/>
            </w:tcBorders>
          </w:tcPr>
          <w:p w14:paraId="700FE0A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Северный док с насосной станцией</w:t>
            </w:r>
          </w:p>
        </w:tc>
        <w:tc>
          <w:tcPr>
            <w:tcW w:w="1920" w:type="dxa"/>
            <w:tcBorders>
              <w:top w:val="single" w:sz="6" w:space="0" w:color="auto"/>
              <w:left w:val="single" w:sz="6" w:space="0" w:color="auto"/>
              <w:bottom w:val="single" w:sz="6" w:space="0" w:color="auto"/>
              <w:right w:val="single" w:sz="6" w:space="0" w:color="auto"/>
            </w:tcBorders>
          </w:tcPr>
          <w:p w14:paraId="2C2B2F7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2250</w:t>
            </w:r>
          </w:p>
        </w:tc>
        <w:tc>
          <w:tcPr>
            <w:tcW w:w="1920" w:type="dxa"/>
            <w:tcBorders>
              <w:top w:val="single" w:sz="6" w:space="0" w:color="auto"/>
              <w:left w:val="single" w:sz="6" w:space="0" w:color="auto"/>
              <w:bottom w:val="single" w:sz="6" w:space="0" w:color="auto"/>
              <w:right w:val="single" w:sz="6" w:space="0" w:color="auto"/>
            </w:tcBorders>
          </w:tcPr>
          <w:p w14:paraId="0FC8507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2250</w:t>
            </w:r>
          </w:p>
        </w:tc>
        <w:tc>
          <w:tcPr>
            <w:tcW w:w="1920" w:type="dxa"/>
            <w:tcBorders>
              <w:top w:val="single" w:sz="6" w:space="0" w:color="auto"/>
              <w:left w:val="single" w:sz="6" w:space="0" w:color="auto"/>
              <w:bottom w:val="single" w:sz="6" w:space="0" w:color="auto"/>
              <w:right w:val="single" w:sz="12" w:space="0" w:color="auto"/>
            </w:tcBorders>
          </w:tcPr>
          <w:p w14:paraId="12C442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w:t>
            </w:r>
          </w:p>
        </w:tc>
      </w:tr>
      <w:tr w:rsidR="004D4663" w:rsidRPr="00070ADE" w14:paraId="1F2D2C3D"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41A222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3180" w:type="dxa"/>
            <w:tcBorders>
              <w:top w:val="single" w:sz="6" w:space="0" w:color="auto"/>
              <w:left w:val="single" w:sz="6" w:space="0" w:color="auto"/>
              <w:bottom w:val="single" w:sz="6" w:space="0" w:color="auto"/>
              <w:right w:val="single" w:sz="6" w:space="0" w:color="auto"/>
            </w:tcBorders>
          </w:tcPr>
          <w:p w14:paraId="04149A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Набережные Северного дока</w:t>
            </w:r>
          </w:p>
        </w:tc>
        <w:tc>
          <w:tcPr>
            <w:tcW w:w="1920" w:type="dxa"/>
            <w:tcBorders>
              <w:top w:val="single" w:sz="6" w:space="0" w:color="auto"/>
              <w:left w:val="single" w:sz="6" w:space="0" w:color="auto"/>
              <w:bottom w:val="single" w:sz="6" w:space="0" w:color="auto"/>
              <w:right w:val="single" w:sz="6" w:space="0" w:color="auto"/>
            </w:tcBorders>
          </w:tcPr>
          <w:p w14:paraId="2564A1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w:t>
            </w:r>
          </w:p>
        </w:tc>
        <w:tc>
          <w:tcPr>
            <w:tcW w:w="1920" w:type="dxa"/>
            <w:tcBorders>
              <w:top w:val="single" w:sz="6" w:space="0" w:color="auto"/>
              <w:left w:val="single" w:sz="6" w:space="0" w:color="auto"/>
              <w:bottom w:val="single" w:sz="6" w:space="0" w:color="auto"/>
              <w:right w:val="single" w:sz="6" w:space="0" w:color="auto"/>
            </w:tcBorders>
          </w:tcPr>
          <w:p w14:paraId="2094B1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w:t>
            </w:r>
          </w:p>
        </w:tc>
        <w:tc>
          <w:tcPr>
            <w:tcW w:w="1920" w:type="dxa"/>
            <w:tcBorders>
              <w:top w:val="single" w:sz="6" w:space="0" w:color="auto"/>
              <w:left w:val="single" w:sz="6" w:space="0" w:color="auto"/>
              <w:bottom w:val="single" w:sz="6" w:space="0" w:color="auto"/>
              <w:right w:val="single" w:sz="12" w:space="0" w:color="auto"/>
            </w:tcBorders>
          </w:tcPr>
          <w:p w14:paraId="03779F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 г.</w:t>
            </w:r>
          </w:p>
        </w:tc>
      </w:tr>
      <w:tr w:rsidR="004D4663" w:rsidRPr="00070ADE" w14:paraId="27C03C0D"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2306E6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180" w:type="dxa"/>
            <w:tcBorders>
              <w:top w:val="single" w:sz="6" w:space="0" w:color="auto"/>
              <w:left w:val="single" w:sz="6" w:space="0" w:color="auto"/>
              <w:bottom w:val="single" w:sz="6" w:space="0" w:color="auto"/>
              <w:right w:val="single" w:sz="6" w:space="0" w:color="auto"/>
            </w:tcBorders>
          </w:tcPr>
          <w:p w14:paraId="5ACEE4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920" w:type="dxa"/>
            <w:tcBorders>
              <w:top w:val="single" w:sz="6" w:space="0" w:color="auto"/>
              <w:left w:val="single" w:sz="6" w:space="0" w:color="auto"/>
              <w:bottom w:val="single" w:sz="6" w:space="0" w:color="auto"/>
              <w:right w:val="single" w:sz="6" w:space="0" w:color="auto"/>
            </w:tcBorders>
          </w:tcPr>
          <w:p w14:paraId="4E3088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2700</w:t>
            </w:r>
          </w:p>
        </w:tc>
        <w:tc>
          <w:tcPr>
            <w:tcW w:w="1920" w:type="dxa"/>
            <w:tcBorders>
              <w:top w:val="single" w:sz="6" w:space="0" w:color="auto"/>
              <w:left w:val="single" w:sz="6" w:space="0" w:color="auto"/>
              <w:bottom w:val="single" w:sz="6" w:space="0" w:color="auto"/>
              <w:right w:val="single" w:sz="6" w:space="0" w:color="auto"/>
            </w:tcBorders>
          </w:tcPr>
          <w:p w14:paraId="370399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2700</w:t>
            </w:r>
          </w:p>
        </w:tc>
        <w:tc>
          <w:tcPr>
            <w:tcW w:w="1920" w:type="dxa"/>
            <w:tcBorders>
              <w:top w:val="single" w:sz="6" w:space="0" w:color="auto"/>
              <w:left w:val="single" w:sz="6" w:space="0" w:color="auto"/>
              <w:bottom w:val="single" w:sz="6" w:space="0" w:color="auto"/>
              <w:right w:val="single" w:sz="12" w:space="0" w:color="auto"/>
            </w:tcBorders>
          </w:tcPr>
          <w:p w14:paraId="202432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5EC162C" w14:textId="77777777" w:rsidTr="00595BFB">
        <w:trPr>
          <w:jc w:val="center"/>
        </w:trPr>
        <w:tc>
          <w:tcPr>
            <w:tcW w:w="645" w:type="dxa"/>
            <w:gridSpan w:val="5"/>
            <w:tcBorders>
              <w:top w:val="single" w:sz="6" w:space="0" w:color="auto"/>
              <w:left w:val="single" w:sz="12" w:space="0" w:color="auto"/>
              <w:bottom w:val="single" w:sz="6" w:space="0" w:color="auto"/>
              <w:right w:val="single" w:sz="12" w:space="0" w:color="auto"/>
            </w:tcBorders>
          </w:tcPr>
          <w:p w14:paraId="14CC8A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Промышленные здания</w:t>
            </w:r>
          </w:p>
        </w:tc>
      </w:tr>
      <w:tr w:rsidR="004D4663" w:rsidRPr="00070ADE" w14:paraId="355CB078"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4D1B4C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3180" w:type="dxa"/>
            <w:tcBorders>
              <w:top w:val="single" w:sz="6" w:space="0" w:color="auto"/>
              <w:left w:val="single" w:sz="6" w:space="0" w:color="auto"/>
              <w:bottom w:val="single" w:sz="6" w:space="0" w:color="auto"/>
              <w:right w:val="single" w:sz="6" w:space="0" w:color="auto"/>
            </w:tcBorders>
          </w:tcPr>
          <w:p w14:paraId="2B4E20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Механический цех</w:t>
            </w:r>
          </w:p>
        </w:tc>
        <w:tc>
          <w:tcPr>
            <w:tcW w:w="1920" w:type="dxa"/>
            <w:tcBorders>
              <w:top w:val="single" w:sz="6" w:space="0" w:color="auto"/>
              <w:left w:val="single" w:sz="6" w:space="0" w:color="auto"/>
              <w:bottom w:val="single" w:sz="6" w:space="0" w:color="auto"/>
              <w:right w:val="single" w:sz="6" w:space="0" w:color="auto"/>
            </w:tcBorders>
          </w:tcPr>
          <w:p w14:paraId="6F417A4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w:t>
            </w:r>
          </w:p>
        </w:tc>
        <w:tc>
          <w:tcPr>
            <w:tcW w:w="1920" w:type="dxa"/>
            <w:tcBorders>
              <w:top w:val="single" w:sz="6" w:space="0" w:color="auto"/>
              <w:left w:val="single" w:sz="6" w:space="0" w:color="auto"/>
              <w:bottom w:val="single" w:sz="6" w:space="0" w:color="auto"/>
              <w:right w:val="single" w:sz="6" w:space="0" w:color="auto"/>
            </w:tcBorders>
          </w:tcPr>
          <w:p w14:paraId="3DFC12D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w:t>
            </w:r>
          </w:p>
        </w:tc>
        <w:tc>
          <w:tcPr>
            <w:tcW w:w="1920" w:type="dxa"/>
            <w:tcBorders>
              <w:top w:val="single" w:sz="6" w:space="0" w:color="auto"/>
              <w:left w:val="single" w:sz="6" w:space="0" w:color="auto"/>
              <w:bottom w:val="single" w:sz="6" w:space="0" w:color="auto"/>
              <w:right w:val="single" w:sz="12" w:space="0" w:color="auto"/>
            </w:tcBorders>
          </w:tcPr>
          <w:p w14:paraId="0A6A918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F25BAB4"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FEAC4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3180" w:type="dxa"/>
            <w:tcBorders>
              <w:top w:val="single" w:sz="6" w:space="0" w:color="auto"/>
              <w:left w:val="single" w:sz="6" w:space="0" w:color="auto"/>
              <w:bottom w:val="single" w:sz="6" w:space="0" w:color="auto"/>
              <w:right w:val="single" w:sz="6" w:space="0" w:color="auto"/>
            </w:tcBorders>
          </w:tcPr>
          <w:p w14:paraId="2C88464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Чугунно-литейный цех</w:t>
            </w:r>
          </w:p>
        </w:tc>
        <w:tc>
          <w:tcPr>
            <w:tcW w:w="1920" w:type="dxa"/>
            <w:tcBorders>
              <w:top w:val="single" w:sz="6" w:space="0" w:color="auto"/>
              <w:left w:val="single" w:sz="6" w:space="0" w:color="auto"/>
              <w:bottom w:val="single" w:sz="6" w:space="0" w:color="auto"/>
              <w:right w:val="single" w:sz="6" w:space="0" w:color="auto"/>
            </w:tcBorders>
          </w:tcPr>
          <w:p w14:paraId="02FD61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tc>
        <w:tc>
          <w:tcPr>
            <w:tcW w:w="1920" w:type="dxa"/>
            <w:tcBorders>
              <w:top w:val="single" w:sz="6" w:space="0" w:color="auto"/>
              <w:left w:val="single" w:sz="6" w:space="0" w:color="auto"/>
              <w:bottom w:val="single" w:sz="6" w:space="0" w:color="auto"/>
              <w:right w:val="single" w:sz="6" w:space="0" w:color="auto"/>
            </w:tcBorders>
          </w:tcPr>
          <w:p w14:paraId="4D83AC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tc>
        <w:tc>
          <w:tcPr>
            <w:tcW w:w="1920" w:type="dxa"/>
            <w:tcBorders>
              <w:top w:val="single" w:sz="6" w:space="0" w:color="auto"/>
              <w:left w:val="single" w:sz="6" w:space="0" w:color="auto"/>
              <w:bottom w:val="single" w:sz="6" w:space="0" w:color="auto"/>
              <w:right w:val="single" w:sz="12" w:space="0" w:color="auto"/>
            </w:tcBorders>
          </w:tcPr>
          <w:p w14:paraId="4F86BD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4641A62"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657876D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3180" w:type="dxa"/>
            <w:tcBorders>
              <w:top w:val="single" w:sz="6" w:space="0" w:color="auto"/>
              <w:left w:val="single" w:sz="6" w:space="0" w:color="auto"/>
              <w:bottom w:val="single" w:sz="6" w:space="0" w:color="auto"/>
              <w:right w:val="single" w:sz="6" w:space="0" w:color="auto"/>
            </w:tcBorders>
          </w:tcPr>
          <w:p w14:paraId="5973DB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Бронзолитейных " "</w:t>
            </w:r>
          </w:p>
        </w:tc>
        <w:tc>
          <w:tcPr>
            <w:tcW w:w="1920" w:type="dxa"/>
            <w:tcBorders>
              <w:top w:val="single" w:sz="6" w:space="0" w:color="auto"/>
              <w:left w:val="single" w:sz="6" w:space="0" w:color="auto"/>
              <w:bottom w:val="single" w:sz="6" w:space="0" w:color="auto"/>
              <w:right w:val="single" w:sz="6" w:space="0" w:color="auto"/>
            </w:tcBorders>
          </w:tcPr>
          <w:p w14:paraId="4CC68B3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1920" w:type="dxa"/>
            <w:tcBorders>
              <w:top w:val="single" w:sz="6" w:space="0" w:color="auto"/>
              <w:left w:val="single" w:sz="6" w:space="0" w:color="auto"/>
              <w:bottom w:val="single" w:sz="6" w:space="0" w:color="auto"/>
              <w:right w:val="single" w:sz="6" w:space="0" w:color="auto"/>
            </w:tcBorders>
          </w:tcPr>
          <w:p w14:paraId="77D8C1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1920" w:type="dxa"/>
            <w:tcBorders>
              <w:top w:val="single" w:sz="6" w:space="0" w:color="auto"/>
              <w:left w:val="single" w:sz="6" w:space="0" w:color="auto"/>
              <w:bottom w:val="single" w:sz="6" w:space="0" w:color="auto"/>
              <w:right w:val="single" w:sz="12" w:space="0" w:color="auto"/>
            </w:tcBorders>
          </w:tcPr>
          <w:p w14:paraId="517804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5E23D74"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0F54C5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3180" w:type="dxa"/>
            <w:tcBorders>
              <w:top w:val="single" w:sz="6" w:space="0" w:color="auto"/>
              <w:left w:val="single" w:sz="6" w:space="0" w:color="auto"/>
              <w:bottom w:val="single" w:sz="6" w:space="0" w:color="auto"/>
              <w:right w:val="single" w:sz="6" w:space="0" w:color="auto"/>
            </w:tcBorders>
          </w:tcPr>
          <w:p w14:paraId="421AED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Деревообделочный "</w:t>
            </w:r>
          </w:p>
        </w:tc>
        <w:tc>
          <w:tcPr>
            <w:tcW w:w="1920" w:type="dxa"/>
            <w:tcBorders>
              <w:top w:val="single" w:sz="6" w:space="0" w:color="auto"/>
              <w:left w:val="single" w:sz="6" w:space="0" w:color="auto"/>
              <w:bottom w:val="single" w:sz="6" w:space="0" w:color="auto"/>
              <w:right w:val="single" w:sz="6" w:space="0" w:color="auto"/>
            </w:tcBorders>
          </w:tcPr>
          <w:p w14:paraId="1E1582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c>
          <w:tcPr>
            <w:tcW w:w="1920" w:type="dxa"/>
            <w:tcBorders>
              <w:top w:val="single" w:sz="6" w:space="0" w:color="auto"/>
              <w:left w:val="single" w:sz="6" w:space="0" w:color="auto"/>
              <w:bottom w:val="single" w:sz="6" w:space="0" w:color="auto"/>
              <w:right w:val="single" w:sz="6" w:space="0" w:color="auto"/>
            </w:tcBorders>
          </w:tcPr>
          <w:p w14:paraId="3A4A49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c>
          <w:tcPr>
            <w:tcW w:w="1920" w:type="dxa"/>
            <w:tcBorders>
              <w:top w:val="single" w:sz="6" w:space="0" w:color="auto"/>
              <w:left w:val="single" w:sz="6" w:space="0" w:color="auto"/>
              <w:bottom w:val="single" w:sz="6" w:space="0" w:color="auto"/>
              <w:right w:val="single" w:sz="12" w:space="0" w:color="auto"/>
            </w:tcBorders>
          </w:tcPr>
          <w:p w14:paraId="4EFE1E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0CAF2AB"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535C36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3180" w:type="dxa"/>
            <w:tcBorders>
              <w:top w:val="single" w:sz="6" w:space="0" w:color="auto"/>
              <w:left w:val="single" w:sz="6" w:space="0" w:color="auto"/>
              <w:bottom w:val="single" w:sz="6" w:space="0" w:color="auto"/>
              <w:right w:val="single" w:sz="6" w:space="0" w:color="auto"/>
            </w:tcBorders>
          </w:tcPr>
          <w:p w14:paraId="139BF3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Цех …МТ "а</w:t>
            </w:r>
          </w:p>
        </w:tc>
        <w:tc>
          <w:tcPr>
            <w:tcW w:w="1920" w:type="dxa"/>
            <w:tcBorders>
              <w:top w:val="single" w:sz="6" w:space="0" w:color="auto"/>
              <w:left w:val="single" w:sz="6" w:space="0" w:color="auto"/>
              <w:bottom w:val="single" w:sz="6" w:space="0" w:color="auto"/>
              <w:right w:val="single" w:sz="6" w:space="0" w:color="auto"/>
            </w:tcBorders>
          </w:tcPr>
          <w:p w14:paraId="60D673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tc>
        <w:tc>
          <w:tcPr>
            <w:tcW w:w="1920" w:type="dxa"/>
            <w:tcBorders>
              <w:top w:val="single" w:sz="6" w:space="0" w:color="auto"/>
              <w:left w:val="single" w:sz="6" w:space="0" w:color="auto"/>
              <w:bottom w:val="single" w:sz="6" w:space="0" w:color="auto"/>
              <w:right w:val="single" w:sz="6" w:space="0" w:color="auto"/>
            </w:tcBorders>
          </w:tcPr>
          <w:p w14:paraId="1E091E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tc>
        <w:tc>
          <w:tcPr>
            <w:tcW w:w="1920" w:type="dxa"/>
            <w:tcBorders>
              <w:top w:val="single" w:sz="6" w:space="0" w:color="auto"/>
              <w:left w:val="single" w:sz="6" w:space="0" w:color="auto"/>
              <w:bottom w:val="single" w:sz="6" w:space="0" w:color="auto"/>
              <w:right w:val="single" w:sz="12" w:space="0" w:color="auto"/>
            </w:tcBorders>
          </w:tcPr>
          <w:p w14:paraId="5ED79D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A55B81E"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54CC34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3180" w:type="dxa"/>
            <w:tcBorders>
              <w:top w:val="single" w:sz="6" w:space="0" w:color="auto"/>
              <w:left w:val="single" w:sz="6" w:space="0" w:color="auto"/>
              <w:bottom w:val="single" w:sz="6" w:space="0" w:color="auto"/>
              <w:right w:val="single" w:sz="6" w:space="0" w:color="auto"/>
            </w:tcBorders>
          </w:tcPr>
          <w:p w14:paraId="390817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Административные здания</w:t>
            </w:r>
          </w:p>
        </w:tc>
        <w:tc>
          <w:tcPr>
            <w:tcW w:w="1920" w:type="dxa"/>
            <w:tcBorders>
              <w:top w:val="single" w:sz="6" w:space="0" w:color="auto"/>
              <w:left w:val="single" w:sz="6" w:space="0" w:color="auto"/>
              <w:bottom w:val="single" w:sz="6" w:space="0" w:color="auto"/>
              <w:right w:val="single" w:sz="6" w:space="0" w:color="auto"/>
            </w:tcBorders>
          </w:tcPr>
          <w:p w14:paraId="0689D2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550</w:t>
            </w:r>
          </w:p>
        </w:tc>
        <w:tc>
          <w:tcPr>
            <w:tcW w:w="1920" w:type="dxa"/>
            <w:tcBorders>
              <w:top w:val="single" w:sz="6" w:space="0" w:color="auto"/>
              <w:left w:val="single" w:sz="6" w:space="0" w:color="auto"/>
              <w:bottom w:val="single" w:sz="6" w:space="0" w:color="auto"/>
              <w:right w:val="single" w:sz="6" w:space="0" w:color="auto"/>
            </w:tcBorders>
          </w:tcPr>
          <w:p w14:paraId="70530F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w:t>
            </w:r>
          </w:p>
        </w:tc>
        <w:tc>
          <w:tcPr>
            <w:tcW w:w="1920" w:type="dxa"/>
            <w:tcBorders>
              <w:top w:val="single" w:sz="6" w:space="0" w:color="auto"/>
              <w:left w:val="single" w:sz="6" w:space="0" w:color="auto"/>
              <w:bottom w:val="single" w:sz="6" w:space="0" w:color="auto"/>
              <w:right w:val="single" w:sz="12" w:space="0" w:color="auto"/>
            </w:tcBorders>
          </w:tcPr>
          <w:p w14:paraId="3D755B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18A5663"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2585493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3180" w:type="dxa"/>
            <w:tcBorders>
              <w:top w:val="single" w:sz="6" w:space="0" w:color="auto"/>
              <w:left w:val="single" w:sz="6" w:space="0" w:color="auto"/>
              <w:bottom w:val="single" w:sz="6" w:space="0" w:color="auto"/>
              <w:right w:val="single" w:sz="6" w:space="0" w:color="auto"/>
            </w:tcBorders>
          </w:tcPr>
          <w:p w14:paraId="05578A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Лесосушилка</w:t>
            </w:r>
          </w:p>
        </w:tc>
        <w:tc>
          <w:tcPr>
            <w:tcW w:w="1920" w:type="dxa"/>
            <w:tcBorders>
              <w:top w:val="single" w:sz="6" w:space="0" w:color="auto"/>
              <w:left w:val="single" w:sz="6" w:space="0" w:color="auto"/>
              <w:bottom w:val="single" w:sz="6" w:space="0" w:color="auto"/>
              <w:right w:val="single" w:sz="6" w:space="0" w:color="auto"/>
            </w:tcBorders>
          </w:tcPr>
          <w:p w14:paraId="0A579C8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tc>
        <w:tc>
          <w:tcPr>
            <w:tcW w:w="1920" w:type="dxa"/>
            <w:tcBorders>
              <w:top w:val="single" w:sz="6" w:space="0" w:color="auto"/>
              <w:left w:val="single" w:sz="6" w:space="0" w:color="auto"/>
              <w:bottom w:val="single" w:sz="6" w:space="0" w:color="auto"/>
              <w:right w:val="single" w:sz="6" w:space="0" w:color="auto"/>
            </w:tcBorders>
          </w:tcPr>
          <w:p w14:paraId="5E1C49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tc>
        <w:tc>
          <w:tcPr>
            <w:tcW w:w="1920" w:type="dxa"/>
            <w:tcBorders>
              <w:top w:val="single" w:sz="6" w:space="0" w:color="auto"/>
              <w:left w:val="single" w:sz="6" w:space="0" w:color="auto"/>
              <w:bottom w:val="single" w:sz="6" w:space="0" w:color="auto"/>
              <w:right w:val="single" w:sz="12" w:space="0" w:color="auto"/>
            </w:tcBorders>
          </w:tcPr>
          <w:p w14:paraId="7E403DA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E629E82"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320CD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3180" w:type="dxa"/>
            <w:tcBorders>
              <w:top w:val="single" w:sz="6" w:space="0" w:color="auto"/>
              <w:left w:val="single" w:sz="6" w:space="0" w:color="auto"/>
              <w:bottom w:val="single" w:sz="6" w:space="0" w:color="auto"/>
              <w:right w:val="single" w:sz="6" w:space="0" w:color="auto"/>
            </w:tcBorders>
          </w:tcPr>
          <w:p w14:paraId="0C7041A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Турбо-дизельный цех</w:t>
            </w:r>
          </w:p>
        </w:tc>
        <w:tc>
          <w:tcPr>
            <w:tcW w:w="1920" w:type="dxa"/>
            <w:tcBorders>
              <w:top w:val="single" w:sz="6" w:space="0" w:color="auto"/>
              <w:left w:val="single" w:sz="6" w:space="0" w:color="auto"/>
              <w:bottom w:val="single" w:sz="6" w:space="0" w:color="auto"/>
              <w:right w:val="single" w:sz="6" w:space="0" w:color="auto"/>
            </w:tcBorders>
          </w:tcPr>
          <w:p w14:paraId="4992E0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w:t>
            </w:r>
          </w:p>
        </w:tc>
        <w:tc>
          <w:tcPr>
            <w:tcW w:w="1920" w:type="dxa"/>
            <w:tcBorders>
              <w:top w:val="single" w:sz="6" w:space="0" w:color="auto"/>
              <w:left w:val="single" w:sz="6" w:space="0" w:color="auto"/>
              <w:bottom w:val="single" w:sz="6" w:space="0" w:color="auto"/>
              <w:right w:val="single" w:sz="6" w:space="0" w:color="auto"/>
            </w:tcBorders>
          </w:tcPr>
          <w:p w14:paraId="22BE14C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w:t>
            </w:r>
          </w:p>
        </w:tc>
        <w:tc>
          <w:tcPr>
            <w:tcW w:w="1920" w:type="dxa"/>
            <w:tcBorders>
              <w:top w:val="single" w:sz="6" w:space="0" w:color="auto"/>
              <w:left w:val="single" w:sz="6" w:space="0" w:color="auto"/>
              <w:bottom w:val="single" w:sz="6" w:space="0" w:color="auto"/>
              <w:right w:val="single" w:sz="12" w:space="0" w:color="auto"/>
            </w:tcBorders>
          </w:tcPr>
          <w:p w14:paraId="712FB5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AD9CA24"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867CC9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tc>
        <w:tc>
          <w:tcPr>
            <w:tcW w:w="3180" w:type="dxa"/>
            <w:tcBorders>
              <w:top w:val="single" w:sz="6" w:space="0" w:color="auto"/>
              <w:left w:val="single" w:sz="6" w:space="0" w:color="auto"/>
              <w:bottom w:val="single" w:sz="6" w:space="0" w:color="auto"/>
              <w:right w:val="single" w:sz="6" w:space="0" w:color="auto"/>
            </w:tcBorders>
          </w:tcPr>
          <w:p w14:paraId="0120EE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Медницкий и монтажный цехи</w:t>
            </w:r>
          </w:p>
          <w:p w14:paraId="676DC4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Северного дока</w:t>
            </w:r>
          </w:p>
        </w:tc>
        <w:tc>
          <w:tcPr>
            <w:tcW w:w="1920" w:type="dxa"/>
            <w:tcBorders>
              <w:top w:val="single" w:sz="6" w:space="0" w:color="auto"/>
              <w:left w:val="single" w:sz="6" w:space="0" w:color="auto"/>
              <w:bottom w:val="single" w:sz="6" w:space="0" w:color="auto"/>
              <w:right w:val="single" w:sz="6" w:space="0" w:color="auto"/>
            </w:tcBorders>
          </w:tcPr>
          <w:p w14:paraId="791D7A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260</w:t>
            </w:r>
          </w:p>
        </w:tc>
        <w:tc>
          <w:tcPr>
            <w:tcW w:w="1920" w:type="dxa"/>
            <w:tcBorders>
              <w:top w:val="single" w:sz="6" w:space="0" w:color="auto"/>
              <w:left w:val="single" w:sz="6" w:space="0" w:color="auto"/>
              <w:bottom w:val="single" w:sz="6" w:space="0" w:color="auto"/>
              <w:right w:val="single" w:sz="6" w:space="0" w:color="auto"/>
            </w:tcBorders>
          </w:tcPr>
          <w:p w14:paraId="7AECC6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260</w:t>
            </w:r>
          </w:p>
        </w:tc>
        <w:tc>
          <w:tcPr>
            <w:tcW w:w="1920" w:type="dxa"/>
            <w:tcBorders>
              <w:top w:val="single" w:sz="6" w:space="0" w:color="auto"/>
              <w:left w:val="single" w:sz="6" w:space="0" w:color="auto"/>
              <w:bottom w:val="single" w:sz="6" w:space="0" w:color="auto"/>
              <w:right w:val="single" w:sz="12" w:space="0" w:color="auto"/>
            </w:tcBorders>
          </w:tcPr>
          <w:p w14:paraId="688394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2ACFB4D"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02C77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3180" w:type="dxa"/>
            <w:tcBorders>
              <w:top w:val="single" w:sz="6" w:space="0" w:color="auto"/>
              <w:left w:val="single" w:sz="6" w:space="0" w:color="auto"/>
              <w:bottom w:val="single" w:sz="6" w:space="0" w:color="auto"/>
              <w:right w:val="single" w:sz="6" w:space="0" w:color="auto"/>
            </w:tcBorders>
          </w:tcPr>
          <w:p w14:paraId="34F090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Столовая Северного дока</w:t>
            </w:r>
          </w:p>
        </w:tc>
        <w:tc>
          <w:tcPr>
            <w:tcW w:w="1920" w:type="dxa"/>
            <w:tcBorders>
              <w:top w:val="single" w:sz="6" w:space="0" w:color="auto"/>
              <w:left w:val="single" w:sz="6" w:space="0" w:color="auto"/>
              <w:bottom w:val="single" w:sz="6" w:space="0" w:color="auto"/>
              <w:right w:val="single" w:sz="6" w:space="0" w:color="auto"/>
            </w:tcBorders>
          </w:tcPr>
          <w:p w14:paraId="0BE6A6D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w:t>
            </w:r>
          </w:p>
        </w:tc>
        <w:tc>
          <w:tcPr>
            <w:tcW w:w="1920" w:type="dxa"/>
            <w:tcBorders>
              <w:top w:val="single" w:sz="6" w:space="0" w:color="auto"/>
              <w:left w:val="single" w:sz="6" w:space="0" w:color="auto"/>
              <w:bottom w:val="single" w:sz="6" w:space="0" w:color="auto"/>
              <w:right w:val="single" w:sz="6" w:space="0" w:color="auto"/>
            </w:tcBorders>
          </w:tcPr>
          <w:p w14:paraId="2A9BB8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w:t>
            </w:r>
          </w:p>
        </w:tc>
        <w:tc>
          <w:tcPr>
            <w:tcW w:w="1920" w:type="dxa"/>
            <w:tcBorders>
              <w:top w:val="single" w:sz="6" w:space="0" w:color="auto"/>
              <w:left w:val="single" w:sz="6" w:space="0" w:color="auto"/>
              <w:bottom w:val="single" w:sz="6" w:space="0" w:color="auto"/>
              <w:right w:val="single" w:sz="12" w:space="0" w:color="auto"/>
            </w:tcBorders>
          </w:tcPr>
          <w:p w14:paraId="32F100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697EDDD"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213199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180" w:type="dxa"/>
            <w:tcBorders>
              <w:top w:val="single" w:sz="6" w:space="0" w:color="auto"/>
              <w:left w:val="single" w:sz="6" w:space="0" w:color="auto"/>
              <w:bottom w:val="single" w:sz="6" w:space="0" w:color="auto"/>
              <w:right w:val="single" w:sz="6" w:space="0" w:color="auto"/>
            </w:tcBorders>
          </w:tcPr>
          <w:p w14:paraId="06E55B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920" w:type="dxa"/>
            <w:tcBorders>
              <w:top w:val="single" w:sz="6" w:space="0" w:color="auto"/>
              <w:left w:val="single" w:sz="6" w:space="0" w:color="auto"/>
              <w:bottom w:val="single" w:sz="6" w:space="0" w:color="auto"/>
              <w:right w:val="single" w:sz="6" w:space="0" w:color="auto"/>
            </w:tcBorders>
          </w:tcPr>
          <w:p w14:paraId="27E8DA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4940</w:t>
            </w:r>
          </w:p>
        </w:tc>
        <w:tc>
          <w:tcPr>
            <w:tcW w:w="1920" w:type="dxa"/>
            <w:tcBorders>
              <w:top w:val="single" w:sz="6" w:space="0" w:color="auto"/>
              <w:left w:val="single" w:sz="6" w:space="0" w:color="auto"/>
              <w:bottom w:val="single" w:sz="6" w:space="0" w:color="auto"/>
              <w:right w:val="single" w:sz="6" w:space="0" w:color="auto"/>
            </w:tcBorders>
          </w:tcPr>
          <w:p w14:paraId="2B00BC8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3590</w:t>
            </w:r>
          </w:p>
        </w:tc>
        <w:tc>
          <w:tcPr>
            <w:tcW w:w="1920" w:type="dxa"/>
            <w:tcBorders>
              <w:top w:val="single" w:sz="6" w:space="0" w:color="auto"/>
              <w:left w:val="single" w:sz="6" w:space="0" w:color="auto"/>
              <w:bottom w:val="single" w:sz="6" w:space="0" w:color="auto"/>
              <w:right w:val="single" w:sz="12" w:space="0" w:color="auto"/>
            </w:tcBorders>
          </w:tcPr>
          <w:p w14:paraId="564D17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C013A51" w14:textId="77777777" w:rsidTr="00595BFB">
        <w:trPr>
          <w:jc w:val="center"/>
        </w:trPr>
        <w:tc>
          <w:tcPr>
            <w:tcW w:w="645" w:type="dxa"/>
            <w:gridSpan w:val="5"/>
            <w:tcBorders>
              <w:top w:val="single" w:sz="6" w:space="0" w:color="auto"/>
              <w:left w:val="single" w:sz="12" w:space="0" w:color="auto"/>
              <w:bottom w:val="single" w:sz="6" w:space="0" w:color="auto"/>
              <w:right w:val="single" w:sz="12" w:space="0" w:color="auto"/>
            </w:tcBorders>
          </w:tcPr>
          <w:p w14:paraId="6D8D2CE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Энергетические объекты</w:t>
            </w:r>
          </w:p>
        </w:tc>
      </w:tr>
      <w:tr w:rsidR="004D4663" w:rsidRPr="00070ADE" w14:paraId="6523B299"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62714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3180" w:type="dxa"/>
            <w:tcBorders>
              <w:top w:val="single" w:sz="6" w:space="0" w:color="auto"/>
              <w:left w:val="single" w:sz="6" w:space="0" w:color="auto"/>
              <w:bottom w:val="single" w:sz="6" w:space="0" w:color="auto"/>
              <w:right w:val="single" w:sz="6" w:space="0" w:color="auto"/>
            </w:tcBorders>
          </w:tcPr>
          <w:p w14:paraId="144AAC5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Подстанция № 1,2 с сетями</w:t>
            </w:r>
          </w:p>
          <w:p w14:paraId="0FC1B1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Низкого и высокого напряжения </w:t>
            </w:r>
          </w:p>
        </w:tc>
        <w:tc>
          <w:tcPr>
            <w:tcW w:w="1920" w:type="dxa"/>
            <w:tcBorders>
              <w:top w:val="single" w:sz="6" w:space="0" w:color="auto"/>
              <w:left w:val="single" w:sz="6" w:space="0" w:color="auto"/>
              <w:bottom w:val="single" w:sz="6" w:space="0" w:color="auto"/>
              <w:right w:val="single" w:sz="6" w:space="0" w:color="auto"/>
            </w:tcBorders>
          </w:tcPr>
          <w:p w14:paraId="14C796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520</w:t>
            </w:r>
          </w:p>
        </w:tc>
        <w:tc>
          <w:tcPr>
            <w:tcW w:w="1920" w:type="dxa"/>
            <w:tcBorders>
              <w:top w:val="single" w:sz="6" w:space="0" w:color="auto"/>
              <w:left w:val="single" w:sz="6" w:space="0" w:color="auto"/>
              <w:bottom w:val="single" w:sz="6" w:space="0" w:color="auto"/>
              <w:right w:val="single" w:sz="6" w:space="0" w:color="auto"/>
            </w:tcBorders>
          </w:tcPr>
          <w:p w14:paraId="47D7050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tc>
        <w:tc>
          <w:tcPr>
            <w:tcW w:w="1920" w:type="dxa"/>
            <w:tcBorders>
              <w:top w:val="single" w:sz="6" w:space="0" w:color="auto"/>
              <w:left w:val="single" w:sz="6" w:space="0" w:color="auto"/>
              <w:bottom w:val="single" w:sz="6" w:space="0" w:color="auto"/>
              <w:right w:val="single" w:sz="12" w:space="0" w:color="auto"/>
            </w:tcBorders>
          </w:tcPr>
          <w:p w14:paraId="1EE952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Ноябрь</w:t>
            </w:r>
          </w:p>
          <w:p w14:paraId="780B50B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 г.</w:t>
            </w:r>
          </w:p>
        </w:tc>
      </w:tr>
      <w:tr w:rsidR="004D4663" w:rsidRPr="00070ADE" w14:paraId="74ED2375"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258794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3180" w:type="dxa"/>
            <w:tcBorders>
              <w:top w:val="single" w:sz="6" w:space="0" w:color="auto"/>
              <w:left w:val="single" w:sz="6" w:space="0" w:color="auto"/>
              <w:bottom w:val="single" w:sz="6" w:space="0" w:color="auto"/>
              <w:right w:val="single" w:sz="6" w:space="0" w:color="auto"/>
            </w:tcBorders>
          </w:tcPr>
          <w:p w14:paraId="5D4CD1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Подстанция Северного дока</w:t>
            </w:r>
          </w:p>
          <w:p w14:paraId="671D43F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цехе № 18 и при котельной с электросетями.</w:t>
            </w:r>
          </w:p>
        </w:tc>
        <w:tc>
          <w:tcPr>
            <w:tcW w:w="1920" w:type="dxa"/>
            <w:tcBorders>
              <w:top w:val="single" w:sz="6" w:space="0" w:color="auto"/>
              <w:left w:val="single" w:sz="6" w:space="0" w:color="auto"/>
              <w:bottom w:val="single" w:sz="6" w:space="0" w:color="auto"/>
              <w:right w:val="single" w:sz="6" w:space="0" w:color="auto"/>
            </w:tcBorders>
          </w:tcPr>
          <w:p w14:paraId="68C430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335</w:t>
            </w:r>
          </w:p>
        </w:tc>
        <w:tc>
          <w:tcPr>
            <w:tcW w:w="1920" w:type="dxa"/>
            <w:tcBorders>
              <w:top w:val="single" w:sz="6" w:space="0" w:color="auto"/>
              <w:left w:val="single" w:sz="6" w:space="0" w:color="auto"/>
              <w:bottom w:val="single" w:sz="6" w:space="0" w:color="auto"/>
              <w:right w:val="single" w:sz="6" w:space="0" w:color="auto"/>
            </w:tcBorders>
          </w:tcPr>
          <w:p w14:paraId="4990B7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335</w:t>
            </w:r>
          </w:p>
        </w:tc>
        <w:tc>
          <w:tcPr>
            <w:tcW w:w="1920" w:type="dxa"/>
            <w:tcBorders>
              <w:top w:val="single" w:sz="6" w:space="0" w:color="auto"/>
              <w:left w:val="single" w:sz="6" w:space="0" w:color="auto"/>
              <w:bottom w:val="single" w:sz="6" w:space="0" w:color="auto"/>
              <w:right w:val="single" w:sz="12" w:space="0" w:color="auto"/>
            </w:tcBorders>
          </w:tcPr>
          <w:p w14:paraId="4FCC8A9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66828F4"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48763B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3180" w:type="dxa"/>
            <w:tcBorders>
              <w:top w:val="single" w:sz="6" w:space="0" w:color="auto"/>
              <w:left w:val="single" w:sz="6" w:space="0" w:color="auto"/>
              <w:bottom w:val="single" w:sz="6" w:space="0" w:color="auto"/>
              <w:right w:val="single" w:sz="6" w:space="0" w:color="auto"/>
            </w:tcBorders>
          </w:tcPr>
          <w:p w14:paraId="7AD8BB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Компрессорная станция и сети:</w:t>
            </w:r>
          </w:p>
          <w:p w14:paraId="679F73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 основной площадке</w:t>
            </w:r>
          </w:p>
          <w:p w14:paraId="6B0BA7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Северного дока</w:t>
            </w:r>
          </w:p>
        </w:tc>
        <w:tc>
          <w:tcPr>
            <w:tcW w:w="1920" w:type="dxa"/>
            <w:tcBorders>
              <w:top w:val="single" w:sz="6" w:space="0" w:color="auto"/>
              <w:left w:val="single" w:sz="6" w:space="0" w:color="auto"/>
              <w:bottom w:val="single" w:sz="6" w:space="0" w:color="auto"/>
              <w:right w:val="single" w:sz="6" w:space="0" w:color="auto"/>
            </w:tcBorders>
          </w:tcPr>
          <w:p w14:paraId="39179EE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330</w:t>
            </w:r>
          </w:p>
          <w:p w14:paraId="5A384F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1920" w:type="dxa"/>
            <w:tcBorders>
              <w:top w:val="single" w:sz="6" w:space="0" w:color="auto"/>
              <w:left w:val="single" w:sz="6" w:space="0" w:color="auto"/>
              <w:bottom w:val="single" w:sz="6" w:space="0" w:color="auto"/>
              <w:right w:val="single" w:sz="6" w:space="0" w:color="auto"/>
            </w:tcBorders>
          </w:tcPr>
          <w:p w14:paraId="3D5468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330</w:t>
            </w:r>
          </w:p>
          <w:p w14:paraId="6A3C9E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1920" w:type="dxa"/>
            <w:tcBorders>
              <w:top w:val="single" w:sz="6" w:space="0" w:color="auto"/>
              <w:left w:val="single" w:sz="6" w:space="0" w:color="auto"/>
              <w:bottom w:val="single" w:sz="6" w:space="0" w:color="auto"/>
              <w:right w:val="single" w:sz="12" w:space="0" w:color="auto"/>
            </w:tcBorders>
          </w:tcPr>
          <w:p w14:paraId="328654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F1CDEBD"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44F7FB6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3180" w:type="dxa"/>
            <w:tcBorders>
              <w:top w:val="single" w:sz="6" w:space="0" w:color="auto"/>
              <w:left w:val="single" w:sz="6" w:space="0" w:color="auto"/>
              <w:bottom w:val="single" w:sz="6" w:space="0" w:color="auto"/>
              <w:right w:val="single" w:sz="6" w:space="0" w:color="auto"/>
            </w:tcBorders>
          </w:tcPr>
          <w:p w14:paraId="78743A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Кислородная станция</w:t>
            </w:r>
          </w:p>
        </w:tc>
        <w:tc>
          <w:tcPr>
            <w:tcW w:w="1920" w:type="dxa"/>
            <w:tcBorders>
              <w:top w:val="single" w:sz="6" w:space="0" w:color="auto"/>
              <w:left w:val="single" w:sz="6" w:space="0" w:color="auto"/>
              <w:bottom w:val="single" w:sz="6" w:space="0" w:color="auto"/>
              <w:right w:val="single" w:sz="6" w:space="0" w:color="auto"/>
            </w:tcBorders>
          </w:tcPr>
          <w:p w14:paraId="1E06F77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1920" w:type="dxa"/>
            <w:tcBorders>
              <w:top w:val="single" w:sz="6" w:space="0" w:color="auto"/>
              <w:left w:val="single" w:sz="6" w:space="0" w:color="auto"/>
              <w:bottom w:val="single" w:sz="6" w:space="0" w:color="auto"/>
              <w:right w:val="single" w:sz="6" w:space="0" w:color="auto"/>
            </w:tcBorders>
          </w:tcPr>
          <w:p w14:paraId="0C4F58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1920" w:type="dxa"/>
            <w:tcBorders>
              <w:top w:val="single" w:sz="6" w:space="0" w:color="auto"/>
              <w:left w:val="single" w:sz="6" w:space="0" w:color="auto"/>
              <w:bottom w:val="single" w:sz="6" w:space="0" w:color="auto"/>
              <w:right w:val="single" w:sz="12" w:space="0" w:color="auto"/>
            </w:tcBorders>
          </w:tcPr>
          <w:p w14:paraId="5AF4DF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25ACDCE3"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1199F8A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3180" w:type="dxa"/>
            <w:tcBorders>
              <w:top w:val="single" w:sz="6" w:space="0" w:color="auto"/>
              <w:left w:val="single" w:sz="6" w:space="0" w:color="auto"/>
              <w:bottom w:val="single" w:sz="6" w:space="0" w:color="auto"/>
              <w:right w:val="single" w:sz="6" w:space="0" w:color="auto"/>
            </w:tcBorders>
          </w:tcPr>
          <w:p w14:paraId="5AE468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Ацетиленовая " </w:t>
            </w:r>
          </w:p>
        </w:tc>
        <w:tc>
          <w:tcPr>
            <w:tcW w:w="1920" w:type="dxa"/>
            <w:tcBorders>
              <w:top w:val="single" w:sz="6" w:space="0" w:color="auto"/>
              <w:left w:val="single" w:sz="6" w:space="0" w:color="auto"/>
              <w:bottom w:val="single" w:sz="6" w:space="0" w:color="auto"/>
              <w:right w:val="single" w:sz="6" w:space="0" w:color="auto"/>
            </w:tcBorders>
          </w:tcPr>
          <w:p w14:paraId="0783DD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tc>
        <w:tc>
          <w:tcPr>
            <w:tcW w:w="1920" w:type="dxa"/>
            <w:tcBorders>
              <w:top w:val="single" w:sz="6" w:space="0" w:color="auto"/>
              <w:left w:val="single" w:sz="6" w:space="0" w:color="auto"/>
              <w:bottom w:val="single" w:sz="6" w:space="0" w:color="auto"/>
              <w:right w:val="single" w:sz="6" w:space="0" w:color="auto"/>
            </w:tcBorders>
          </w:tcPr>
          <w:p w14:paraId="68DDCF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tc>
        <w:tc>
          <w:tcPr>
            <w:tcW w:w="1920" w:type="dxa"/>
            <w:tcBorders>
              <w:top w:val="single" w:sz="6" w:space="0" w:color="auto"/>
              <w:left w:val="single" w:sz="6" w:space="0" w:color="auto"/>
              <w:bottom w:val="single" w:sz="6" w:space="0" w:color="auto"/>
              <w:right w:val="single" w:sz="12" w:space="0" w:color="auto"/>
            </w:tcBorders>
          </w:tcPr>
          <w:p w14:paraId="2066E0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59F8B387"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73A2A5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3180" w:type="dxa"/>
            <w:tcBorders>
              <w:top w:val="single" w:sz="6" w:space="0" w:color="auto"/>
              <w:left w:val="single" w:sz="6" w:space="0" w:color="auto"/>
              <w:bottom w:val="single" w:sz="6" w:space="0" w:color="auto"/>
              <w:right w:val="single" w:sz="6" w:space="0" w:color="auto"/>
            </w:tcBorders>
          </w:tcPr>
          <w:p w14:paraId="41AEC3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Водопровод морской воды:</w:t>
            </w:r>
          </w:p>
          <w:p w14:paraId="68990E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основной площадки</w:t>
            </w:r>
          </w:p>
          <w:p w14:paraId="52BE8B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северного дока</w:t>
            </w:r>
          </w:p>
        </w:tc>
        <w:tc>
          <w:tcPr>
            <w:tcW w:w="1920" w:type="dxa"/>
            <w:tcBorders>
              <w:top w:val="single" w:sz="6" w:space="0" w:color="auto"/>
              <w:left w:val="single" w:sz="6" w:space="0" w:color="auto"/>
              <w:bottom w:val="single" w:sz="6" w:space="0" w:color="auto"/>
              <w:right w:val="single" w:sz="6" w:space="0" w:color="auto"/>
            </w:tcBorders>
          </w:tcPr>
          <w:p w14:paraId="72E8835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w:t>
            </w:r>
          </w:p>
          <w:p w14:paraId="5D03FE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tc>
        <w:tc>
          <w:tcPr>
            <w:tcW w:w="1920" w:type="dxa"/>
            <w:tcBorders>
              <w:top w:val="single" w:sz="6" w:space="0" w:color="auto"/>
              <w:left w:val="single" w:sz="6" w:space="0" w:color="auto"/>
              <w:bottom w:val="single" w:sz="6" w:space="0" w:color="auto"/>
              <w:right w:val="single" w:sz="6" w:space="0" w:color="auto"/>
            </w:tcBorders>
          </w:tcPr>
          <w:p w14:paraId="7D48F5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w:t>
            </w:r>
          </w:p>
          <w:p w14:paraId="72F4D75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tc>
        <w:tc>
          <w:tcPr>
            <w:tcW w:w="1920" w:type="dxa"/>
            <w:tcBorders>
              <w:top w:val="single" w:sz="6" w:space="0" w:color="auto"/>
              <w:left w:val="single" w:sz="6" w:space="0" w:color="auto"/>
              <w:bottom w:val="single" w:sz="6" w:space="0" w:color="auto"/>
              <w:right w:val="single" w:sz="12" w:space="0" w:color="auto"/>
            </w:tcBorders>
          </w:tcPr>
          <w:p w14:paraId="35F6D93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3423122A"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50C2E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3180" w:type="dxa"/>
            <w:tcBorders>
              <w:top w:val="single" w:sz="6" w:space="0" w:color="auto"/>
              <w:left w:val="single" w:sz="6" w:space="0" w:color="auto"/>
              <w:bottom w:val="single" w:sz="6" w:space="0" w:color="auto"/>
              <w:right w:val="single" w:sz="6" w:space="0" w:color="auto"/>
            </w:tcBorders>
          </w:tcPr>
          <w:p w14:paraId="2F737D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Водопровод пресной воды:</w:t>
            </w:r>
          </w:p>
          <w:p w14:paraId="7CADC56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основной площадки</w:t>
            </w:r>
          </w:p>
          <w:p w14:paraId="317C3A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 северного дока </w:t>
            </w:r>
          </w:p>
        </w:tc>
        <w:tc>
          <w:tcPr>
            <w:tcW w:w="1920" w:type="dxa"/>
            <w:tcBorders>
              <w:top w:val="single" w:sz="6" w:space="0" w:color="auto"/>
              <w:left w:val="single" w:sz="6" w:space="0" w:color="auto"/>
              <w:bottom w:val="single" w:sz="6" w:space="0" w:color="auto"/>
              <w:right w:val="single" w:sz="6" w:space="0" w:color="auto"/>
            </w:tcBorders>
          </w:tcPr>
          <w:p w14:paraId="05E587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5187423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1920" w:type="dxa"/>
            <w:tcBorders>
              <w:top w:val="single" w:sz="6" w:space="0" w:color="auto"/>
              <w:left w:val="single" w:sz="6" w:space="0" w:color="auto"/>
              <w:bottom w:val="single" w:sz="6" w:space="0" w:color="auto"/>
              <w:right w:val="single" w:sz="6" w:space="0" w:color="auto"/>
            </w:tcBorders>
          </w:tcPr>
          <w:p w14:paraId="4D0532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5B72C4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1920" w:type="dxa"/>
            <w:tcBorders>
              <w:top w:val="single" w:sz="6" w:space="0" w:color="auto"/>
              <w:left w:val="single" w:sz="6" w:space="0" w:color="auto"/>
              <w:bottom w:val="single" w:sz="6" w:space="0" w:color="auto"/>
              <w:right w:val="single" w:sz="12" w:space="0" w:color="auto"/>
            </w:tcBorders>
          </w:tcPr>
          <w:p w14:paraId="5CEABB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E360885"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407CA94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3180" w:type="dxa"/>
            <w:tcBorders>
              <w:top w:val="single" w:sz="6" w:space="0" w:color="auto"/>
              <w:left w:val="single" w:sz="6" w:space="0" w:color="auto"/>
              <w:bottom w:val="single" w:sz="6" w:space="0" w:color="auto"/>
              <w:right w:val="single" w:sz="6" w:space="0" w:color="auto"/>
            </w:tcBorders>
          </w:tcPr>
          <w:p w14:paraId="0975ED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Фекальная канализация Северного дока </w:t>
            </w:r>
          </w:p>
        </w:tc>
        <w:tc>
          <w:tcPr>
            <w:tcW w:w="1920" w:type="dxa"/>
            <w:tcBorders>
              <w:top w:val="single" w:sz="6" w:space="0" w:color="auto"/>
              <w:left w:val="single" w:sz="6" w:space="0" w:color="auto"/>
              <w:bottom w:val="single" w:sz="6" w:space="0" w:color="auto"/>
              <w:right w:val="single" w:sz="6" w:space="0" w:color="auto"/>
            </w:tcBorders>
          </w:tcPr>
          <w:p w14:paraId="0C32390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w:t>
            </w:r>
          </w:p>
        </w:tc>
        <w:tc>
          <w:tcPr>
            <w:tcW w:w="1920" w:type="dxa"/>
            <w:tcBorders>
              <w:top w:val="single" w:sz="6" w:space="0" w:color="auto"/>
              <w:left w:val="single" w:sz="6" w:space="0" w:color="auto"/>
              <w:bottom w:val="single" w:sz="6" w:space="0" w:color="auto"/>
              <w:right w:val="single" w:sz="6" w:space="0" w:color="auto"/>
            </w:tcBorders>
          </w:tcPr>
          <w:p w14:paraId="7DC2BF4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w:t>
            </w:r>
          </w:p>
        </w:tc>
        <w:tc>
          <w:tcPr>
            <w:tcW w:w="1920" w:type="dxa"/>
            <w:tcBorders>
              <w:top w:val="single" w:sz="6" w:space="0" w:color="auto"/>
              <w:left w:val="single" w:sz="6" w:space="0" w:color="auto"/>
              <w:bottom w:val="single" w:sz="6" w:space="0" w:color="auto"/>
              <w:right w:val="single" w:sz="12" w:space="0" w:color="auto"/>
            </w:tcBorders>
          </w:tcPr>
          <w:p w14:paraId="3330B2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2D23BBB3"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29F1C5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tc>
        <w:tc>
          <w:tcPr>
            <w:tcW w:w="3180" w:type="dxa"/>
            <w:tcBorders>
              <w:top w:val="single" w:sz="6" w:space="0" w:color="auto"/>
              <w:left w:val="single" w:sz="6" w:space="0" w:color="auto"/>
              <w:bottom w:val="single" w:sz="6" w:space="0" w:color="auto"/>
              <w:right w:val="single" w:sz="6" w:space="0" w:color="auto"/>
            </w:tcBorders>
          </w:tcPr>
          <w:p w14:paraId="3B32FB5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Котельная с водоочисткой и сетями:</w:t>
            </w:r>
          </w:p>
          <w:p w14:paraId="2DE147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основной площадки</w:t>
            </w:r>
          </w:p>
          <w:p w14:paraId="367236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 северного дока </w:t>
            </w:r>
          </w:p>
        </w:tc>
        <w:tc>
          <w:tcPr>
            <w:tcW w:w="1920" w:type="dxa"/>
            <w:tcBorders>
              <w:top w:val="single" w:sz="6" w:space="0" w:color="auto"/>
              <w:left w:val="single" w:sz="6" w:space="0" w:color="auto"/>
              <w:bottom w:val="single" w:sz="6" w:space="0" w:color="auto"/>
              <w:right w:val="single" w:sz="6" w:space="0" w:color="auto"/>
            </w:tcBorders>
          </w:tcPr>
          <w:p w14:paraId="5694FB8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…00</w:t>
            </w:r>
          </w:p>
          <w:p w14:paraId="2C81E6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w:t>
            </w:r>
          </w:p>
        </w:tc>
        <w:tc>
          <w:tcPr>
            <w:tcW w:w="1920" w:type="dxa"/>
            <w:tcBorders>
              <w:top w:val="single" w:sz="6" w:space="0" w:color="auto"/>
              <w:left w:val="single" w:sz="6" w:space="0" w:color="auto"/>
              <w:bottom w:val="single" w:sz="6" w:space="0" w:color="auto"/>
              <w:right w:val="single" w:sz="6" w:space="0" w:color="auto"/>
            </w:tcBorders>
          </w:tcPr>
          <w:p w14:paraId="0E6FA8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6C937B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w:t>
            </w:r>
          </w:p>
        </w:tc>
        <w:tc>
          <w:tcPr>
            <w:tcW w:w="1920" w:type="dxa"/>
            <w:tcBorders>
              <w:top w:val="single" w:sz="6" w:space="0" w:color="auto"/>
              <w:left w:val="single" w:sz="6" w:space="0" w:color="auto"/>
              <w:bottom w:val="single" w:sz="6" w:space="0" w:color="auto"/>
              <w:right w:val="single" w:sz="12" w:space="0" w:color="auto"/>
            </w:tcBorders>
          </w:tcPr>
          <w:p w14:paraId="710021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4EC503C6" w14:textId="77777777">
        <w:trPr>
          <w:jc w:val="center"/>
        </w:trPr>
        <w:tc>
          <w:tcPr>
            <w:tcW w:w="645" w:type="dxa"/>
            <w:tcBorders>
              <w:top w:val="single" w:sz="6" w:space="0" w:color="auto"/>
              <w:left w:val="single" w:sz="12" w:space="0" w:color="auto"/>
              <w:bottom w:val="nil"/>
              <w:right w:val="single" w:sz="6" w:space="0" w:color="auto"/>
            </w:tcBorders>
          </w:tcPr>
          <w:p w14:paraId="4EE49A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180" w:type="dxa"/>
            <w:tcBorders>
              <w:top w:val="single" w:sz="6" w:space="0" w:color="auto"/>
              <w:left w:val="single" w:sz="6" w:space="0" w:color="auto"/>
              <w:bottom w:val="nil"/>
              <w:right w:val="single" w:sz="6" w:space="0" w:color="auto"/>
            </w:tcBorders>
          </w:tcPr>
          <w:p w14:paraId="32F768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Итого: </w:t>
            </w:r>
          </w:p>
        </w:tc>
        <w:tc>
          <w:tcPr>
            <w:tcW w:w="1920" w:type="dxa"/>
            <w:tcBorders>
              <w:top w:val="single" w:sz="6" w:space="0" w:color="auto"/>
              <w:left w:val="single" w:sz="6" w:space="0" w:color="auto"/>
              <w:bottom w:val="nil"/>
              <w:right w:val="single" w:sz="6" w:space="0" w:color="auto"/>
            </w:tcBorders>
          </w:tcPr>
          <w:p w14:paraId="586DE6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3180</w:t>
            </w:r>
          </w:p>
        </w:tc>
        <w:tc>
          <w:tcPr>
            <w:tcW w:w="1920" w:type="dxa"/>
            <w:tcBorders>
              <w:top w:val="single" w:sz="6" w:space="0" w:color="auto"/>
              <w:left w:val="single" w:sz="6" w:space="0" w:color="auto"/>
              <w:bottom w:val="nil"/>
              <w:right w:val="single" w:sz="6" w:space="0" w:color="auto"/>
            </w:tcBorders>
          </w:tcPr>
          <w:p w14:paraId="0B3C321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2960</w:t>
            </w:r>
          </w:p>
        </w:tc>
        <w:tc>
          <w:tcPr>
            <w:tcW w:w="1920" w:type="dxa"/>
            <w:tcBorders>
              <w:top w:val="single" w:sz="6" w:space="0" w:color="auto"/>
              <w:left w:val="single" w:sz="6" w:space="0" w:color="auto"/>
              <w:bottom w:val="nil"/>
              <w:right w:val="single" w:sz="12" w:space="0" w:color="auto"/>
            </w:tcBorders>
          </w:tcPr>
          <w:p w14:paraId="1F59B0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2524276" w14:textId="77777777" w:rsidTr="00595BFB">
        <w:trPr>
          <w:jc w:val="center"/>
        </w:trPr>
        <w:tc>
          <w:tcPr>
            <w:tcW w:w="645" w:type="dxa"/>
            <w:gridSpan w:val="5"/>
            <w:tcBorders>
              <w:top w:val="single" w:sz="12" w:space="0" w:color="auto"/>
              <w:left w:val="single" w:sz="12" w:space="0" w:color="auto"/>
              <w:bottom w:val="single" w:sz="6" w:space="0" w:color="auto"/>
              <w:right w:val="single" w:sz="12" w:space="0" w:color="auto"/>
            </w:tcBorders>
          </w:tcPr>
          <w:p w14:paraId="772E9D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Транспорт</w:t>
            </w:r>
          </w:p>
        </w:tc>
      </w:tr>
      <w:tr w:rsidR="004D4663" w:rsidRPr="00070ADE" w14:paraId="3501E21B"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8CC8F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3180" w:type="dxa"/>
            <w:tcBorders>
              <w:top w:val="single" w:sz="6" w:space="0" w:color="auto"/>
              <w:left w:val="single" w:sz="6" w:space="0" w:color="auto"/>
              <w:bottom w:val="single" w:sz="6" w:space="0" w:color="auto"/>
              <w:right w:val="single" w:sz="6" w:space="0" w:color="auto"/>
            </w:tcBorders>
          </w:tcPr>
          <w:p w14:paraId="1AB914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Железнодорожные пути по двум площадкам </w:t>
            </w:r>
          </w:p>
        </w:tc>
        <w:tc>
          <w:tcPr>
            <w:tcW w:w="1920" w:type="dxa"/>
            <w:tcBorders>
              <w:top w:val="single" w:sz="6" w:space="0" w:color="auto"/>
              <w:left w:val="single" w:sz="6" w:space="0" w:color="auto"/>
              <w:bottom w:val="single" w:sz="6" w:space="0" w:color="auto"/>
              <w:right w:val="single" w:sz="6" w:space="0" w:color="auto"/>
            </w:tcBorders>
          </w:tcPr>
          <w:p w14:paraId="495A9A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tc>
        <w:tc>
          <w:tcPr>
            <w:tcW w:w="1920" w:type="dxa"/>
            <w:tcBorders>
              <w:top w:val="single" w:sz="6" w:space="0" w:color="auto"/>
              <w:left w:val="single" w:sz="6" w:space="0" w:color="auto"/>
              <w:bottom w:val="single" w:sz="6" w:space="0" w:color="auto"/>
              <w:right w:val="single" w:sz="6" w:space="0" w:color="auto"/>
            </w:tcBorders>
          </w:tcPr>
          <w:p w14:paraId="33EF54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c>
          <w:tcPr>
            <w:tcW w:w="1920" w:type="dxa"/>
            <w:tcBorders>
              <w:top w:val="single" w:sz="6" w:space="0" w:color="auto"/>
              <w:left w:val="single" w:sz="6" w:space="0" w:color="auto"/>
              <w:bottom w:val="single" w:sz="6" w:space="0" w:color="auto"/>
              <w:right w:val="single" w:sz="12" w:space="0" w:color="auto"/>
            </w:tcBorders>
          </w:tcPr>
          <w:p w14:paraId="7F95E8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w:t>
            </w:r>
          </w:p>
        </w:tc>
      </w:tr>
      <w:tr w:rsidR="004D4663" w:rsidRPr="00070ADE" w14:paraId="038C443E"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244BF7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3180" w:type="dxa"/>
            <w:tcBorders>
              <w:top w:val="single" w:sz="6" w:space="0" w:color="auto"/>
              <w:left w:val="single" w:sz="6" w:space="0" w:color="auto"/>
              <w:bottom w:val="single" w:sz="6" w:space="0" w:color="auto"/>
              <w:right w:val="single" w:sz="6" w:space="0" w:color="auto"/>
            </w:tcBorders>
          </w:tcPr>
          <w:p w14:paraId="115963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Автогужевые дороги </w:t>
            </w:r>
          </w:p>
        </w:tc>
        <w:tc>
          <w:tcPr>
            <w:tcW w:w="1920" w:type="dxa"/>
            <w:tcBorders>
              <w:top w:val="single" w:sz="6" w:space="0" w:color="auto"/>
              <w:left w:val="single" w:sz="6" w:space="0" w:color="auto"/>
              <w:bottom w:val="single" w:sz="6" w:space="0" w:color="auto"/>
              <w:right w:val="single" w:sz="6" w:space="0" w:color="auto"/>
            </w:tcBorders>
          </w:tcPr>
          <w:p w14:paraId="2D4980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tc>
        <w:tc>
          <w:tcPr>
            <w:tcW w:w="1920" w:type="dxa"/>
            <w:tcBorders>
              <w:top w:val="single" w:sz="6" w:space="0" w:color="auto"/>
              <w:left w:val="single" w:sz="6" w:space="0" w:color="auto"/>
              <w:bottom w:val="single" w:sz="6" w:space="0" w:color="auto"/>
              <w:right w:val="single" w:sz="6" w:space="0" w:color="auto"/>
            </w:tcBorders>
          </w:tcPr>
          <w:p w14:paraId="77D1D3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c>
          <w:tcPr>
            <w:tcW w:w="1920" w:type="dxa"/>
            <w:tcBorders>
              <w:top w:val="single" w:sz="6" w:space="0" w:color="auto"/>
              <w:left w:val="single" w:sz="6" w:space="0" w:color="auto"/>
              <w:bottom w:val="single" w:sz="6" w:space="0" w:color="auto"/>
              <w:right w:val="single" w:sz="12" w:space="0" w:color="auto"/>
            </w:tcBorders>
          </w:tcPr>
          <w:p w14:paraId="479D95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 г.</w:t>
            </w:r>
          </w:p>
        </w:tc>
      </w:tr>
      <w:tr w:rsidR="004D4663" w:rsidRPr="00070ADE" w14:paraId="487B2287" w14:textId="77777777" w:rsidTr="00595BFB">
        <w:trPr>
          <w:jc w:val="center"/>
        </w:trPr>
        <w:tc>
          <w:tcPr>
            <w:tcW w:w="645" w:type="dxa"/>
            <w:gridSpan w:val="5"/>
            <w:tcBorders>
              <w:top w:val="single" w:sz="6" w:space="0" w:color="auto"/>
              <w:left w:val="single" w:sz="12" w:space="0" w:color="auto"/>
              <w:bottom w:val="single" w:sz="6" w:space="0" w:color="auto"/>
              <w:right w:val="single" w:sz="12" w:space="0" w:color="auto"/>
            </w:tcBorders>
          </w:tcPr>
          <w:p w14:paraId="3722AE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Жилстроительство</w:t>
            </w:r>
          </w:p>
        </w:tc>
      </w:tr>
      <w:tr w:rsidR="004D4663" w:rsidRPr="00070ADE" w14:paraId="0A7ADA5B" w14:textId="77777777">
        <w:trPr>
          <w:jc w:val="center"/>
        </w:trPr>
        <w:tc>
          <w:tcPr>
            <w:tcW w:w="645" w:type="dxa"/>
            <w:tcBorders>
              <w:top w:val="single" w:sz="6" w:space="0" w:color="auto"/>
              <w:left w:val="single" w:sz="12" w:space="0" w:color="auto"/>
              <w:bottom w:val="single" w:sz="6" w:space="0" w:color="auto"/>
              <w:right w:val="single" w:sz="6" w:space="0" w:color="auto"/>
            </w:tcBorders>
          </w:tcPr>
          <w:p w14:paraId="36E862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3180" w:type="dxa"/>
            <w:tcBorders>
              <w:top w:val="single" w:sz="6" w:space="0" w:color="auto"/>
              <w:left w:val="single" w:sz="6" w:space="0" w:color="auto"/>
              <w:bottom w:val="single" w:sz="6" w:space="0" w:color="auto"/>
              <w:right w:val="single" w:sz="6" w:space="0" w:color="auto"/>
            </w:tcBorders>
          </w:tcPr>
          <w:p w14:paraId="0C1E1A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Жилые дома </w:t>
            </w:r>
          </w:p>
        </w:tc>
        <w:tc>
          <w:tcPr>
            <w:tcW w:w="1920" w:type="dxa"/>
            <w:tcBorders>
              <w:top w:val="single" w:sz="6" w:space="0" w:color="auto"/>
              <w:left w:val="single" w:sz="6" w:space="0" w:color="auto"/>
              <w:bottom w:val="single" w:sz="6" w:space="0" w:color="auto"/>
              <w:right w:val="single" w:sz="6" w:space="0" w:color="auto"/>
            </w:tcBorders>
          </w:tcPr>
          <w:p w14:paraId="79F90A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2000</w:t>
            </w:r>
          </w:p>
        </w:tc>
        <w:tc>
          <w:tcPr>
            <w:tcW w:w="1920" w:type="dxa"/>
            <w:tcBorders>
              <w:top w:val="single" w:sz="6" w:space="0" w:color="auto"/>
              <w:left w:val="single" w:sz="6" w:space="0" w:color="auto"/>
              <w:bottom w:val="single" w:sz="6" w:space="0" w:color="auto"/>
              <w:right w:val="single" w:sz="6" w:space="0" w:color="auto"/>
            </w:tcBorders>
          </w:tcPr>
          <w:p w14:paraId="6206E4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1920" w:type="dxa"/>
            <w:tcBorders>
              <w:top w:val="single" w:sz="6" w:space="0" w:color="auto"/>
              <w:left w:val="single" w:sz="6" w:space="0" w:color="auto"/>
              <w:bottom w:val="single" w:sz="6" w:space="0" w:color="auto"/>
              <w:right w:val="single" w:sz="12" w:space="0" w:color="auto"/>
            </w:tcBorders>
          </w:tcPr>
          <w:p w14:paraId="3D8AA2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5C6271D" w14:textId="77777777">
        <w:trPr>
          <w:jc w:val="center"/>
        </w:trPr>
        <w:tc>
          <w:tcPr>
            <w:tcW w:w="645" w:type="dxa"/>
            <w:tcBorders>
              <w:top w:val="single" w:sz="6" w:space="0" w:color="auto"/>
              <w:left w:val="single" w:sz="12" w:space="0" w:color="auto"/>
              <w:bottom w:val="single" w:sz="12" w:space="0" w:color="auto"/>
              <w:right w:val="single" w:sz="6" w:space="0" w:color="auto"/>
            </w:tcBorders>
          </w:tcPr>
          <w:p w14:paraId="26178D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180" w:type="dxa"/>
            <w:tcBorders>
              <w:top w:val="single" w:sz="6" w:space="0" w:color="auto"/>
              <w:left w:val="single" w:sz="6" w:space="0" w:color="auto"/>
              <w:bottom w:val="single" w:sz="12" w:space="0" w:color="auto"/>
              <w:right w:val="single" w:sz="6" w:space="0" w:color="auto"/>
            </w:tcBorders>
          </w:tcPr>
          <w:p w14:paraId="708A39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tc>
        <w:tc>
          <w:tcPr>
            <w:tcW w:w="1920" w:type="dxa"/>
            <w:tcBorders>
              <w:top w:val="single" w:sz="6" w:space="0" w:color="auto"/>
              <w:left w:val="single" w:sz="6" w:space="0" w:color="auto"/>
              <w:bottom w:val="single" w:sz="12" w:space="0" w:color="auto"/>
              <w:right w:val="single" w:sz="6" w:space="0" w:color="auto"/>
            </w:tcBorders>
          </w:tcPr>
          <w:p w14:paraId="01D3B6E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14320</w:t>
            </w:r>
          </w:p>
        </w:tc>
        <w:tc>
          <w:tcPr>
            <w:tcW w:w="1920" w:type="dxa"/>
            <w:tcBorders>
              <w:top w:val="single" w:sz="6" w:space="0" w:color="auto"/>
              <w:left w:val="single" w:sz="6" w:space="0" w:color="auto"/>
              <w:bottom w:val="single" w:sz="12" w:space="0" w:color="auto"/>
              <w:right w:val="single" w:sz="6" w:space="0" w:color="auto"/>
            </w:tcBorders>
          </w:tcPr>
          <w:p w14:paraId="321BBA8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10000</w:t>
            </w:r>
          </w:p>
        </w:tc>
        <w:tc>
          <w:tcPr>
            <w:tcW w:w="1920" w:type="dxa"/>
            <w:tcBorders>
              <w:top w:val="single" w:sz="6" w:space="0" w:color="auto"/>
              <w:left w:val="single" w:sz="6" w:space="0" w:color="auto"/>
              <w:bottom w:val="single" w:sz="12" w:space="0" w:color="auto"/>
              <w:right w:val="single" w:sz="12" w:space="0" w:color="auto"/>
            </w:tcBorders>
          </w:tcPr>
          <w:p w14:paraId="6CCF3F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r>
    </w:tbl>
    <w:p w14:paraId="7DD77F8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 5</w:t>
      </w:r>
    </w:p>
    <w:p w14:paraId="4F44C2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Постановлению ГОКО № 6048сс от "14" июня 1944 года</w:t>
      </w:r>
    </w:p>
    <w:p w14:paraId="1BE95B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МЕРОПРИЯТИЯ</w:t>
      </w:r>
    </w:p>
    <w:p w14:paraId="6269AAA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дополнительном обеспечении восстановления Севастопольской военно-морской базы и судоремонтного завода Наркомсудпрома</w:t>
      </w:r>
    </w:p>
    <w:p w14:paraId="0AC59E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Обязать Наркомсудпром (т. Носенко) немедленно приступить к проектированию восстановления Севастопольского судоремонтного завода с учетом подготовки завода к судоремонту всех классов кораблей военно-морского флота.</w:t>
      </w:r>
    </w:p>
    <w:p w14:paraId="5A4FB49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Обязать НКПС (т. Кагановича):</w:t>
      </w:r>
    </w:p>
    <w:p w14:paraId="3ED11B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своими силами и средствами восстановить в июне с.г. железнодорожную ветку от ст. Инкерман до Балаклавы и закончить к 15 июля с.г. восстановление железнодорожной линии от ст. Бельбек до ст. Севастополь;</w:t>
      </w:r>
    </w:p>
    <w:p w14:paraId="772401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передать с июня 1944 г. в арендное пользование Севастопольскому судоремонтному заводу Наркомсудпрома паровоз типа 0-3-0, мотовоз № 14-3/2 и 9 железнодорожных платформ.</w:t>
      </w:r>
    </w:p>
    <w:p w14:paraId="3B4851E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Обязать Наркомавиапром (т. Вахурина) передать Наркомвоенморфлоту территорию и здания завода № 45.</w:t>
      </w:r>
    </w:p>
    <w:p w14:paraId="607B7F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Обязать Главнефтеснаб при Совнаркоме СССР (т. Широкова) передать Наркомвоенморфлоту разрушенные нефтебазы в Клеопиной балке и Стрелецкой бухте для использования их при восстановлении складов топлива Севастопольской военно-морской базы.</w:t>
      </w:r>
    </w:p>
    <w:p w14:paraId="7CCDED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Обязать Наркомчермет (т. Тевосяна) и Главметаллосбыт (т. Цырень) до утверждения на III квартал 1944 г. плана распределения металла занарядить:</w:t>
      </w:r>
    </w:p>
    <w:p w14:paraId="031C4D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Наркомстрою для работ по восстановлению главной военно-морской базы и судоремонтного завода в Севастополе:</w:t>
      </w:r>
    </w:p>
    <w:p w14:paraId="6FDF45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рядового проката - 1000 тонн</w:t>
      </w:r>
    </w:p>
    <w:p w14:paraId="637CB9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труб разных - 150 "</w:t>
      </w:r>
    </w:p>
    <w:p w14:paraId="42F19EA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труб чугунных - 100 "</w:t>
      </w:r>
    </w:p>
    <w:p w14:paraId="4A6066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старогодних рельс норм. колеи - 300 "</w:t>
      </w:r>
    </w:p>
    <w:p w14:paraId="6F37E4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рельс узкой колеи - 50 "</w:t>
      </w:r>
    </w:p>
    <w:p w14:paraId="4E4406E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б) для изготовления судоподъемных понтонов сортового металла - </w:t>
      </w:r>
    </w:p>
    <w:p w14:paraId="22CA11A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Наркомсудпрому - 60 тонн</w:t>
      </w:r>
    </w:p>
    <w:p w14:paraId="3D141AE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Наркомморфлоту - 20 "</w:t>
      </w:r>
    </w:p>
    <w:p w14:paraId="47598E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Заводу аварийно-спасательного управления НКВМФ - 20 "</w:t>
      </w:r>
    </w:p>
    <w:p w14:paraId="51C62C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Указанный металл отгрузить в течение июля-августа 1944 г. за счет фондов на III квартал 1944 г. Наркомстроя, Наркомсудпрома, Наркомморфлота и НКВМФ.</w:t>
      </w:r>
    </w:p>
    <w:p w14:paraId="3AA1236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Разрешить Наркомсудпрому (т. Носенко) расходовать на работы по восстановлению Севастопольского судоремонтного завода металл, имеющийся в наличии на заводе.</w:t>
      </w:r>
    </w:p>
    <w:p w14:paraId="52D93AE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7. Обязать Главснаблес при Совнаркоме СССР (т. Лопухова) отгрузить в III кв. 1944 г. для ОСМЧ Севастопольстрой Наркомстроя в счет фондов Наркомстроя 200 вагонов круглого леса, 60 вагонов пиломатериалов и 5 вагонов фанеры. Отгрузку производить впереди других потребителей равными партиями по месяцам до 20 числа каждого месяца. </w:t>
      </w:r>
    </w:p>
    <w:p w14:paraId="72B4B69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8. Обязать Главлесоохрану при Совнаркоме СССР (т. Мотовилова) выделить Наркомстрою и закрепить сроком на 5 лет в Овручском лесхозе Житомирской обл. УССР лесосечный фонд для ежегодной заготовки 24 тыс. куб. мет. деловой древесины и 6 тыс. куб. мт. дров.</w:t>
      </w:r>
    </w:p>
    <w:p w14:paraId="19CE55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Отвод лесосек произвести за счет лесосечного фонда, выделяемого Наркострою по постановлению ГОКО от 7 мая 1944 г. № 5843с.</w:t>
      </w:r>
    </w:p>
    <w:p w14:paraId="1BB6504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Обязать уполномоченного Госплана СССР (т. Иванова) передать ОСМЧ Севастопольстроя весь сваленный груглый лес, находящийся в Ялте и на склонах горы Ай-Петри, из них до 20% Наркомвоенморфлоту.</w:t>
      </w:r>
    </w:p>
    <w:p w14:paraId="3C33A0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Обязать Наркомсредмаш (т. Акопова) поставить в июле и августе 1944 года:</w:t>
      </w:r>
    </w:p>
    <w:p w14:paraId="23B4164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Норкомстрою для ОСМЧ Севастопольстроя 25 грузовых автомобилей ЗИС-5 и 10 автоприцепов 1-АП-3;</w:t>
      </w:r>
    </w:p>
    <w:p w14:paraId="4EC6774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Наркомсудпрому для судоремонтного завода в г. Севастополе 10 грузовых автомобилей и 3 автоприцепа 1-АП-3.</w:t>
      </w:r>
    </w:p>
    <w:p w14:paraId="2ED9E8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Обязать НКО СССР (т. Хрулева) передать в 10-дневный срок из числа трофеев:</w:t>
      </w:r>
    </w:p>
    <w:p w14:paraId="78C9D70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Наркомстрою дополнительно 200 повозок со сбруей;</w:t>
      </w:r>
    </w:p>
    <w:p w14:paraId="724A852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Наркосудпрому грузовых автомашин 50 шт., тракторов 5 шт.</w:t>
      </w:r>
    </w:p>
    <w:p w14:paraId="2FE2F4C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Обязать НКО СССР (т. Буденного) передать в 10-дневный срок обозных лошадей для использования в г. Севастополе на работах по восстановлению военно-морской базы и судоремотного завода, Наркомстрою 200 лошадей и Наркомсудпрому 50 лошадей.</w:t>
      </w:r>
    </w:p>
    <w:p w14:paraId="30D50E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Обязать Главнефтеснаб при Совнаркоме СССР (т. Широкова) поставлять:</w:t>
      </w:r>
    </w:p>
    <w:p w14:paraId="7888AC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Черноморскому техническому флоту Наркомстроя для работ по восстановлению Севастопольской военно-морской базы ежемесячно, начиная с июня 1944 года, 70 тонн флотского мазута, 70 тонн моторной нефти, произведя поставку в июне с.г. за счет уменьшения остатков на базах Главнефтеснаба при Совнаркоме СССР;</w:t>
      </w:r>
    </w:p>
    <w:p w14:paraId="2E3EBE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Севастопольскому судоремонтному заводу Наркомсудпрома ежемесячно во втором полугодии 1944 года солярового масла 35 тонн, бензина 15 тонн и керосина 12 тонн.</w:t>
      </w:r>
    </w:p>
    <w:p w14:paraId="380C09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Обязать Комитет по учеты и распределению рабочей силы при Совнаркоме СССР (т. Погребного) мобилизовать в III квартале 1944 г. 800 рабочих и направить их для работ на Севастопольский судоремонтный завод Наркомсудпрома.</w:t>
      </w:r>
    </w:p>
    <w:p w14:paraId="40D544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Обязать Наркомсудпром изготовить в III квартале 1944 г. для Черноморского технического флота Наркомстроя, занятого на восстановлении Севастопольской военно-морской базы и судоремонтного завода 30 штук 9-метровых понтонов, 15 паровых баб весом от 3 до 6 тонн каждая и 4 понтона (размером 20х20 метров) для свайных копров.</w:t>
      </w:r>
    </w:p>
    <w:p w14:paraId="50C002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Обязать Наркомвнешторг (т. Микояна) поставить в июне-июле 1944 г. из импортных поступлений целевым назначением для изготовления в III квартале 1944 г. судоподъемных понтонов строительству Севастопольской военно-морской базы и судоремонтного завода Наркомсудпрома для аварийно-спасательного управления Наркомвоенморфлота в счет предусмотренных постановлением ГОКО от 9 февраля 1944 г. № 5133. листового металла: Наркомсудпрому 400 тонн, Наркомморфлоту 100 тонн; заводу аварийно-спасательного управления Наркомвоенморфлота 100 тонн.</w:t>
      </w:r>
    </w:p>
    <w:p w14:paraId="713BC3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Обязать Наркомтяжмаш (т. Казакова) поставить аварийно-спасательное управление Накомвоенморфлота в III квартале 1944 г. одну передвижную кислородную станцию типа АК-05.</w:t>
      </w:r>
    </w:p>
    <w:p w14:paraId="1CC94F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18. Обязать Наркострой (т. Гинзбурга) выделить в III квартале 1944 г. ОСМЧ СЕвастопольстрой 5 вертикальных паровых котлов из фондов Наркомстроя за счет передвижки поставок указанного количества котлов по ранее вынесенным решениям правительства. </w:t>
      </w:r>
    </w:p>
    <w:p w14:paraId="71F763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Обязать нижеуказанные наркоматы изготовить и поставить в III квартале 1944 г. литье для ОСМЧ Севастопольстрой по его спецификации:</w:t>
      </w:r>
    </w:p>
    <w:p w14:paraId="3AA1C9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Наркомстанкостроения (т. Евремова) с завода "ЦЕнтролит" в г. Тбилиси 16 тонн стального литья развесок отливок по до 1 тонны;</w:t>
      </w:r>
    </w:p>
    <w:p w14:paraId="6BCEDE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Наркомнефть (т. Седина) с завода им. Шмидта в г. Баку 16 тонн стального литья развесок отливок свыше 1,% тонны;</w:t>
      </w:r>
    </w:p>
    <w:p w14:paraId="7A341A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Норкомсудпром (т. Носенко) с завода № 201 чугунного литья 50 тонн.</w:t>
      </w:r>
    </w:p>
    <w:p w14:paraId="3BDD0C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Обязать Наркомчермет (т. Тевосяна) и Главметаллосбыт (т. Цырень) отгрузить до 1 июля 1944 г. заводу № 201 Наркомсудпрома 20 тонн литейного чугуна.</w:t>
      </w:r>
    </w:p>
    <w:p w14:paraId="2A2D21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Обязать Наркомчермет (т. Тевосяна) изготовить из материала заказчика до 15 июля 1944 г. отгрузить ОСМЧ Севастопольстрой Наркомстроя 10 тыс. железных кроватей с сетками.</w:t>
      </w:r>
    </w:p>
    <w:p w14:paraId="206D71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22. Обязать Наркомместпром РСФСР (т. Смиряева) изготовить из материала заказчика и поставить в июле и августе 1944 г. Гаркомстрою для ОСМЧ Севастопольстрою 20 тыс. штук армейских котелков. </w:t>
      </w:r>
    </w:p>
    <w:p w14:paraId="21A31E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Обязать Наркомэлектропром (т. Кабанова) поставить в июне 1944 года Севастопольскому судоремонтного заводу Наркомсудпрома один телефонный коммутатор МБ и телефонные аппараты МБ в количестве 25 штук. За счет фонда Наркомсудпрома.</w:t>
      </w:r>
    </w:p>
    <w:p w14:paraId="09C6CE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Обязать Наркомтекстиль СССР (т. Акимова) и Наркомлегпром СССР (т. Лукина) отгрузить до 25 июля 1944.%</w:t>
      </w:r>
    </w:p>
    <w:p w14:paraId="2AE9CC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ОСМЧ Севастопольстрой за счет фондов Наркомстроя хлопчатобумажных тканей для постельных принадлежностей (включая одеяла) на 500 тыс. рублей, хлопчатобумажных тканей для пошива спецодежды 50 тыс. метров и обуви кожаной 3000 пар;</w:t>
      </w:r>
    </w:p>
    <w:p w14:paraId="664B4E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Севастопольскому заводу Наркомсудпрома за счет фондов Наркомсудпрома хлопчатобумажных тканей для постельных принадлежностей (включая одеяла) на 50 тыс. рублей, хлопчатобумажных тканей для пошива спецодежды 5 тыс. метров и обуви кожаной 500 пар;</w:t>
      </w:r>
    </w:p>
    <w:p w14:paraId="72027D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Обязать Наркомторг СССР (т. Любимова):</w:t>
      </w:r>
    </w:p>
    <w:p w14:paraId="648F7B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выделять НКО СССР и Наркомфоенморфлоту фонды на питание прикомандированных к ОСМЧ Севастопольстрой строительных отрядов и строительных батальонов по Постановлению ГОКО от 26 апреля 1944 г. № 5744сс по нормам, установленным Постановлением Совнаркома СССР от 19 октября 1941 г. № 2148 для предприятий особого списка на 4 тыс. человек.</w:t>
      </w:r>
    </w:p>
    <w:p w14:paraId="6F90113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Отпускать с июня 1944 года второе горячее питание без вырезки талонов из продкарточек для рабочих, выполняющих и перевыполняющих нормы выработки, строительных отрядов и строительных батальонов прикомандированных к ОСМЧ Севастопольстрой;</w:t>
      </w:r>
    </w:p>
    <w:p w14:paraId="04F191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снабжать продовольственными товарами рабочих и инженерно-технических работников, занятых на восстановлении Севастопольского судоремонтного завода и южных предприятий Электромортреста Наркомсудпром по нормам, установленным Постановлением Совнаркома СССР от 19 октября 1941 г. № 2148 для предприятий особого списка.</w:t>
      </w:r>
    </w:p>
    <w:p w14:paraId="425B1A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отпускать с июня 1944 года второе горячее питание без вырезки талонов из продовольственных карточек для рабочих, выполняющих и перевыполняющих нормы выработки и инженерно-технических работников, занятых на восстановлении Севастопольского судоремонтного завода и южных предприятиях Электромортреста Наркомсудпрома в количестве 1000 человек.</w:t>
      </w:r>
    </w:p>
    <w:p w14:paraId="3C0DDE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Выделить Наркомсудпромом для руководящих инженерно-технических работников, указанных предприятий в г. Севастополе дополнительно 75 обедов по специальным обеденным карточкам, установленным</w:t>
      </w:r>
    </w:p>
    <w:p w14:paraId="7B0DB61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Постановлением Совнаркома СССР от 17 сентября 1942 г. № 1548-724с, а также литерное питание на 20 человек с сухими пайками.</w:t>
      </w:r>
    </w:p>
    <w:p w14:paraId="580FE1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Обязать Наркомторг СССР (т. Любимова) выделить в III квартале 1944 г. Севастопольскому судоремонтному заводу Наркомсудпрома:</w:t>
      </w:r>
    </w:p>
    <w:p w14:paraId="744CE3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табачных изделий на 30 тыс. рублей, хозяйственного мыла 2 тонны, а также различных промтоваров на 90 тыс. рублей, за счет рыночных фондов Наркомсудпрома по плану III квартала 1944 г.;</w:t>
      </w:r>
    </w:p>
    <w:p w14:paraId="44CCC3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водочных изделий 200 дкл за счет рыночных фондов.</w:t>
      </w:r>
    </w:p>
    <w:p w14:paraId="7E8671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Обязать НКО СССР (т. Хрулева) передать Наркомстрою из числа трофеев, находящихся в Севастополе, сухого картофеля и капусты 20 тонн и круп 15 тонн.</w:t>
      </w:r>
    </w:p>
    <w:p w14:paraId="06C60A1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Обязать Наркомзаг (т. Субботина) отпускать Наркомстрою целевым назначением для лошадей, занятых на работах по восстановлению главной военно-морской базы и судоремонтного завода в г. Севастополе, зернофураж из расчета 3 килограмм в сутки.</w:t>
      </w:r>
    </w:p>
    <w:p w14:paraId="767D27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Разрешить:</w:t>
      </w:r>
    </w:p>
    <w:p w14:paraId="3A551D5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Наркомсудпрому организовать при Севастопольском судоремонтном заводе отдел рабочего снабжения (ОРС);</w:t>
      </w:r>
    </w:p>
    <w:p w14:paraId="6E52DEA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Наркомстрою организовать отдел рабочего снабжения при ОСМЧ № 5 с филиалами при его управлениях.</w:t>
      </w:r>
    </w:p>
    <w:p w14:paraId="7C3597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Обязать Крымский обком ВКП (б) и местные советские организации:</w:t>
      </w:r>
    </w:p>
    <w:p w14:paraId="2F0C43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передать ОСМЧ Севастопольстроя, для заселения ИТР и служащих, 400 квартир с обстановкой, в том числе: в г. Севастополе и его окрестностях 300 квартир, Симферополе - 50 квартир, Евпатории - 20 квартир, Феодосии - 30 квартир, а также 4-этажный дом в г. Севастополе по ул. Ленина, 86, закрепив эти помещения за Норкостроем на время строительства;</w:t>
      </w:r>
    </w:p>
    <w:p w14:paraId="04826A0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закрепить за Севастопольским судоремонтным заводом и южными предприятиями Электромортреста Наркомсудпрома все жилые дома, культурно-бытовые и служебные помещения (клуб, ясли, детсады и др.), ранее принадлежащие им и запретить кому бы то ни было занимать их;</w:t>
      </w:r>
    </w:p>
    <w:p w14:paraId="1A29B3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возвратить на Севастопольской судоремонтный завод и южные предприятия Электромортреста всех рабочих и ИТР, работавших до войны на этих предприятиях и в настоящее время работающих в других предприятиях и организациях Крыма;</w:t>
      </w:r>
    </w:p>
    <w:p w14:paraId="4CCFA1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выделить Наркомсудпрому районы для проведения децентрализованных заготовок незерновых сельхозпродуктов.</w:t>
      </w:r>
    </w:p>
    <w:p w14:paraId="54811A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Обязать Крымский обком ВКП (б) и местные советские организации совместно с Наркомсудпромом в 10-дневный срок представить на утверждение Совнаркома СССР предложения о выделении одного совхоза орсу Севастопольского судоремонтного завода.</w:t>
      </w:r>
    </w:p>
    <w:p w14:paraId="77D29B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 Обязать Совнарком УССР отгружать, начиная с июля 1944 года, ОСМЧ Севастопольстрой ежемесячно по 300 тонн алебастра и 80 тонн мела.</w:t>
      </w:r>
    </w:p>
    <w:p w14:paraId="65A191D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33. Разрешить Наркомстрою на строительстве главной военно-морской базы и судоремонтного завода в г. Севастополе применять тарифы на автогужевые перевозки, производимые собственным транспортом по производственным калькуляциям, согласованным Наркомстроем с Наркомвоенморфлотом и Наркомсудпромом по принадлежности, а также с Промбанком.</w:t>
      </w:r>
    </w:p>
    <w:p w14:paraId="0264DF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 Обязать Наркомвоенморфлот (т. Кузнецова) и Наркомсудпром (т. Носенко) предусмотреть в сметно-финансовых расчетах по восстановлению главной военно-морской базы и судоремонтного завода средства на покрытие Наркомстрою дополнительных расходов по переброске стройуправлений, материалов и оборудования с других строек Наркомстроя.</w:t>
      </w:r>
    </w:p>
    <w:p w14:paraId="72CC64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 Установить для ОСМЧ Севастопольстрой Наркомстроя собственные оборотные средства в размере 18%.</w:t>
      </w:r>
    </w:p>
    <w:p w14:paraId="262E2C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 Распространить пп.40 и 42 Постановления ГОКО от 26 апреля 1944 г. № 5744сс на работы Наркомстроя по восстановлению судоремонтного завода Наркомсудпрома в Севастополе.</w:t>
      </w:r>
    </w:p>
    <w:p w14:paraId="545E341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 Разрешить Наркомстрою (т. Гинзбургу) распространить условия оплаты за обучение рабочих, установленные Постановлением ГОКО от 13 мая 1943 г. № 3361, на рабочих, занятых на строительстве осуществляемом Наркомстроем в г. Севастополе.</w:t>
      </w:r>
    </w:p>
    <w:p w14:paraId="3D021A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 Разрешить Наркомстрою, дополнительно к утвержденному количеству персональных окладов Постановлением ГОКО от 26 апреля 1944 г. № 5744сс, установить для работников, занятых на восстановлении главной военно-морской базы и судоремонтного завода 5 персональных окладов до 3 тыс. рублей.</w:t>
      </w:r>
    </w:p>
    <w:p w14:paraId="14BF4B7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39. Обязать Цекомбанк (т. Добровольского) выделить Наркомсудпрому за счет резерва по кредитному плану на 1944 год 3 млн. рублей для кредитования на индивидуальное жилищное строительство и восстановление жилищ рабочих, ИТР и служащих Севастопольского завода и Электромортреста. </w:t>
      </w:r>
    </w:p>
    <w:p w14:paraId="09BDBE3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 Разрешить Наркомсудпрому и Наркомстрою выдавать наиболее нуждающимся застройщикам отходы строительных материалов и оказывать помощь транспортом с оплатой по себестоимости.</w:t>
      </w:r>
    </w:p>
    <w:p w14:paraId="4F37E6A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 Разрешить Наркомсудпрому израсходовать на премирование наиболее отличившихся рабочих, ИТР и служащих Севастопольского завода, занятых на восстановительных работах, до 1,5% от объема выполненных работ, включив в расходы по премированию в сметно-финансовые расчеты по восстановлению.</w:t>
      </w:r>
    </w:p>
    <w:p w14:paraId="2E9778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42. Обязать Наркомбумпром (т. Орлова) отгружать ОСМЧ Севастопольстрой Наркомстроя ежемесячно, начиная с июля месяца по 3 тонны оберточной бумаги для кирпичного производства за счет фондов Наркомстроя. </w:t>
      </w:r>
    </w:p>
    <w:p w14:paraId="03F18B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 Обязать Наркомвоенморфлот (т. Кузнецова) организовать работы по привидению районов строительства Севастопольской главной военно-морской базы, а также города в надлежащее санитарное состояние (уборка трупов и другие мероприятия).</w:t>
      </w:r>
    </w:p>
    <w:p w14:paraId="648A801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Командующему Отдельной Приморской Армией (т. Мельник) оказать всемерную помощь Наркомвоенморфлоту в проведении этого мероприятия. </w:t>
      </w:r>
    </w:p>
    <w:p w14:paraId="3061CA0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 Обязать Наркомхимпром (т. Первухина) отгрузить в июне 1944 года Наркомвоенморфлоту 200 тонн хлорной извести, в том числе 150 тонн за счет поставок ГВХУ КА и 50 тонн за счет поставок Химуправлению Наркомвоенморфлота.</w:t>
      </w:r>
    </w:p>
    <w:p w14:paraId="329135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Обязать Наркомздрав СССР (т. Митерева) на позднее июля 1944 года организовать при ОСМЧ Севастопольстрой сеть медико-санитарных учреждений укомплектовав указанную сеть необходимым количеством медперсонала, медикаментами, инструментом и медсанимуществом.</w:t>
      </w:r>
    </w:p>
    <w:p w14:paraId="07C52F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Наркомстрою (т. Гинзбургу) предоставить для этой цели необходимые помещения.</w:t>
      </w:r>
    </w:p>
    <w:p w14:paraId="32C3B78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 Разрешить Наркомстрою сохранить на 1944 год первую категорию для ОСМЧ № 5 и увеличить штаты Спецстройснаба Главспецстроя Наркомстроя на 10 человек.</w:t>
      </w:r>
    </w:p>
    <w:p w14:paraId="196567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47. Распространить Постановление ГОКО от 10 февраля 1944 г. № 5140 о бронировании рабочих, ИТР и служащих Наркомсудпрома на Севастопольский судоремонтный завод и южные предприятия Электромортреста. </w:t>
      </w:r>
    </w:p>
    <w:p w14:paraId="62472E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 Контроль за выполнением настоящего Постановления возложить на Наркомат Государственного Контроля, лично на т. Попова.</w:t>
      </w:r>
    </w:p>
    <w:p w14:paraId="5FC8A4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Государственного Комитета Обороны И. СТАЛИН (11813).</w:t>
      </w:r>
    </w:p>
    <w:p w14:paraId="2F58E2FC" w14:textId="77777777" w:rsidR="002F0C11" w:rsidRPr="00070ADE" w:rsidRDefault="002F0C11" w:rsidP="00B56F90">
      <w:pPr>
        <w:autoSpaceDE w:val="0"/>
        <w:autoSpaceDN w:val="0"/>
        <w:adjustRightInd w:val="0"/>
        <w:spacing w:after="0" w:line="240" w:lineRule="auto"/>
        <w:jc w:val="both"/>
        <w:rPr>
          <w:rFonts w:ascii="Times New Roman" w:hAnsi="Times New Roman"/>
          <w:color w:val="000000" w:themeColor="text1"/>
          <w:sz w:val="16"/>
          <w:szCs w:val="16"/>
        </w:rPr>
      </w:pPr>
    </w:p>
    <w:p w14:paraId="00089AE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вышло Постановление ГКО № 6049 О восстановлении Грозненского завода авиамасел № 3 Наркомнефти. РГАНИР, Фонд ГКО, д. 264, лл. 1-6,7-9 (11012).</w:t>
      </w:r>
    </w:p>
    <w:p w14:paraId="652BD3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D6872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вышло Постановление ГКО № 6050 О неотложных мероприятиях по восстановлению производства боеприпасов на заводах НКБ в гор. Ленинграде. РГАНИР, Фонд ГКО, д. 264, лл. 10-24,25-50 (11012).</w:t>
      </w:r>
    </w:p>
    <w:p w14:paraId="0AF029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A6653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вышло Постановление ГКО № 6051 О строительстве II очереди производства тротила на заводе № 15 Наркомбоеприпасов. РГАНИР, Фонд ГКО, д. 264, лл. 51-57,58-68 (11012).</w:t>
      </w:r>
    </w:p>
    <w:p w14:paraId="02A867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1902B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Поднят флаг ВМФ СССР на 24-м и 26-м БМО (10671).</w:t>
      </w:r>
    </w:p>
    <w:p w14:paraId="62D333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B7B2E7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FB337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6F498C" w14:textId="77777777" w:rsidR="002F0C11" w:rsidRPr="00070ADE" w:rsidRDefault="002F0C1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14 июня</w:t>
      </w:r>
      <w:r w:rsidRPr="00070ADE">
        <w:rPr>
          <w:rFonts w:ascii="Times New Roman" w:hAnsi="Times New Roman"/>
          <w:color w:val="000000" w:themeColor="text1"/>
          <w:sz w:val="16"/>
          <w:szCs w:val="16"/>
        </w:rPr>
        <w:t xml:space="preserve"> в 1944 году оперативная сводка Совинформбюро:</w:t>
      </w:r>
    </w:p>
    <w:p w14:paraId="7D65568C" w14:textId="77777777" w:rsidR="002F0C11" w:rsidRPr="00070ADE" w:rsidRDefault="002F0C1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14 июня на Карельском перешейке наши войска, преодолевая сопротивление противника, продолжали вести наступательные бои, в ходе которых овладели сильно укреплёнными опорными пунктами обороны финнов Кутерселькя, Ярви, Мусталово, Ривалимяки, Мюллюмяки, Маселька, Корпикюля.</w:t>
      </w:r>
    </w:p>
    <w:p w14:paraId="33B63F22" w14:textId="77777777" w:rsidR="002F0C11" w:rsidRPr="00070ADE" w:rsidRDefault="002F0C1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без перемен.</w:t>
      </w:r>
    </w:p>
    <w:p w14:paraId="71A0C202" w14:textId="77777777" w:rsidR="002F0C11" w:rsidRPr="00070ADE" w:rsidRDefault="002F0C1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13 июня на всех фронтах в воздушных боях и огнём зенитной артиллерии, сбито 13 самолётов противника.»</w:t>
      </w:r>
    </w:p>
    <w:p w14:paraId="3F3FAB95" w14:textId="77777777" w:rsidR="002F0C11" w:rsidRPr="00070ADE" w:rsidRDefault="002F0C1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Удары нашей авиации по аэродромам противника:</w:t>
      </w:r>
    </w:p>
    <w:p w14:paraId="08A6397E" w14:textId="77777777" w:rsidR="002F0C11" w:rsidRPr="00070ADE" w:rsidRDefault="002F0C1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13 и в ночь на 14 июня наша авиация дальнего действия наносила массированные удары по аэродромам противника. Бомбардировке были подвергнуты аэродромы немцев в районах Бреста, Белостока, Баранович, Пинска, Минска, Бобруйска, Орши. В момент налёта нашей авиации на аэродромах находилось много немецких самолётов. В результате бомбардировки возникли многочисленные пожары. Горели самолёты, склады горючего и боеприпасов. Пожары сопровождались сильными взрывами. В результате налётов нашей авиации уничтожено большое число самолётов противника.</w:t>
      </w:r>
    </w:p>
    <w:p w14:paraId="6BF83963" w14:textId="77777777" w:rsidR="002F0C11" w:rsidRPr="00070ADE" w:rsidRDefault="002F0C1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Восемь наших самолётов не вернулись на свои базы.»</w:t>
      </w:r>
    </w:p>
    <w:p w14:paraId="2CBE8806" w14:textId="77777777" w:rsidR="002F0C11" w:rsidRPr="00070ADE" w:rsidRDefault="002F0C1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Карельском перешейке наши войска продолжали наступление. Противник ввёл в бой свежие силы и оказывал сопротивление, опираясь на многочисленные оборонительные сооружения, расположенные между озёрами. Наши пехотные и танковые части, поддержанные артиллерией и авиацией, сломили сопротивление противника и овладели несколькими опорными пунктами обороны финнов. Особенно ожесточённые бои происходили сегодня в районе Кутерселькя и Ярви. К исходу дня наши войска овладели этими сильно укреплёнными опорными пунктами. Н-ское соединение за три дня уничтожило свыше трёх тысяч вражеских солдат и офицеров, 30 орудий, 25 миномётов и 80 пулемётов. По неполным данным, бойцы этого соединения захватили у финнов 70 орудий, 40 миномётов, 126 пулемётов и 10 складов с боеприпасами, продовольствием и военным имуществом. Взято много пленных.</w:t>
      </w:r>
    </w:p>
    <w:p w14:paraId="247507CD" w14:textId="77777777" w:rsidR="002F0C11" w:rsidRPr="00070ADE" w:rsidRDefault="002F0C1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наносила бомбово-штурмовые удары по опорным пунктам и коммуникациям противника. Советские лётчики сожгли железнодорожный эшелон, разгромили автоколонну, уничтожили 6 артиллерийских батарей и взорвали 3 крупных склада с боеприпасами.</w:t>
      </w:r>
    </w:p>
    <w:p w14:paraId="38B91119" w14:textId="77777777" w:rsidR="002F0C11" w:rsidRPr="00070ADE" w:rsidRDefault="002F0C1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города Яссы ненецкое самоходное орудие «Фердинанд» приблизилось к нашим позициям и открыло огонь. Рядовые Тындерында и Волошин незаметно подползли к орудию и бросили несколько гранат и бутылок с горючей смесью. «Фердинанд» остановился. На нём загорелся брезент. Три немца выскочили из машины и пытались загасить пламя, но тут же были убиты нашими бойцами. Тем временем к орудию подоспели красноармейцы Черных и Антропченко. Антропченко быстро забрался в машину, сел на место водителя и завёл мотор. Трофейный «Фердинанд» доставлен в. наше расположение.</w:t>
      </w:r>
    </w:p>
    <w:p w14:paraId="2ED1CCD1" w14:textId="77777777" w:rsidR="002F0C11" w:rsidRPr="00070ADE" w:rsidRDefault="002F0C1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противник предпринял разведку боем. К советскому переднему краю обороны устремились две роты немецкой пехоты, 4 танка и 6 танкеток-торпед. Наши бойцы отбили атаку немцев, не подпустив их к своим укреплениям. На поле боя осталось 80 вражеских трупов. Уничтожены 2 немецких танка и все 6 танкеток-торпед.</w:t>
      </w:r>
    </w:p>
    <w:p w14:paraId="41AB3482" w14:textId="77777777" w:rsidR="002F0C11" w:rsidRPr="00070ADE" w:rsidRDefault="002F0C1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Вилейской области, заминировал участок шоссе и расположился в засаде, неподалёку от дороги. По этому шоссе двигалась немецкая автоколонна. Как только передняя автомашина налетела на мину и взорвалась, советские патриоты открыли огонь из винтовок, автоматов и пулемётов. Охваченные паникой, гитлеровцы обратились в бегство. Партизаны уничтожили 6 автомашин с грузами и истребили 49 немцев, в том числе трёх офицеров.</w:t>
      </w:r>
    </w:p>
    <w:p w14:paraId="600A3D1C" w14:textId="77777777" w:rsidR="002F0C11" w:rsidRPr="00070ADE" w:rsidRDefault="002F0C1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Группа разведчиков Витебского партизанского отряда проникла в крупный населённый пункт и бросила две гранаты в автобус, переполненный немцами. Убито 9 и ранено 13 гитлеровцев.</w:t>
      </w:r>
    </w:p>
    <w:p w14:paraId="03D74BDE" w14:textId="77777777" w:rsidR="002F0C11" w:rsidRPr="00070ADE" w:rsidRDefault="002F0C1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Дезертирство из румынской армии принимает всё более широкие размеры. Даже в самых отборных румынских войсках, как, например, в румынской гвардии, отмечается рост дезертирства. В захваченном нашими войсками приказе по 1 румынской гвардейской дивизии за № 2265 от 23 апреля 1944 года перечисляется много фактов дезертирства, а также перехода солдат на сторону Красной Армии. Обращаясь к командирам частей и подразделений, командир дивизии указывает: «В последний раз предупреждаю, что пойманные дезертиры будут приговорены к смертной казни. Настоящий приказ довести до сведения всех солдат». В другом приказе командира 1 румынской гвардейской дивизии от 29 апреля 1944 года говорится: «В последнее время наблюдаются многочисленные случаи членовредительства. Виновные будут приговорены к смертной казни. Приговоры военного суда приводить в исполнение немедленно». Эти документы заслуживают внимания. Они </w:t>
      </w:r>
      <w:r w:rsidRPr="00070ADE">
        <w:rPr>
          <w:rFonts w:ascii="Times New Roman" w:hAnsi="Times New Roman"/>
          <w:color w:val="000000" w:themeColor="text1"/>
          <w:sz w:val="16"/>
          <w:szCs w:val="16"/>
        </w:rPr>
        <w:lastRenderedPageBreak/>
        <w:t>свидетельствуют о том, что даже румынская гвардия не хочет воевать и умирать за Гитлера. Перебежчики показывают, что часть румынских солдат открыто выражает своё желание расправиться с немцами, поработившими их родину (14922).</w:t>
      </w:r>
    </w:p>
    <w:p w14:paraId="75863E50" w14:textId="77777777" w:rsidR="002F0C11" w:rsidRPr="00070ADE" w:rsidRDefault="002F0C11" w:rsidP="00B56F90">
      <w:pPr>
        <w:spacing w:after="0" w:line="240" w:lineRule="auto"/>
        <w:jc w:val="both"/>
        <w:rPr>
          <w:rFonts w:ascii="Times New Roman" w:hAnsi="Times New Roman"/>
          <w:color w:val="000000" w:themeColor="text1"/>
          <w:sz w:val="16"/>
          <w:szCs w:val="16"/>
        </w:rPr>
      </w:pPr>
    </w:p>
    <w:p w14:paraId="3A118BE2" w14:textId="77777777" w:rsidR="002F0C11" w:rsidRPr="00070ADE" w:rsidRDefault="002F0C11"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14 июня</w:t>
      </w:r>
      <w:r w:rsidRPr="00070ADE">
        <w:rPr>
          <w:rFonts w:ascii="Times New Roman" w:hAnsi="Times New Roman"/>
          <w:color w:val="000000" w:themeColor="text1"/>
          <w:sz w:val="16"/>
          <w:szCs w:val="16"/>
        </w:rPr>
        <w:t xml:space="preserve"> в 1944 году на Карельском перешейке наши войска продолжали вести наступательные бои, в ходе которых овладели сильно укрепленными опорными пунктами финнов Кутерселькя, Ярви, Мусталово, Ривалимяки, Мюллюмяки, Маселька, Корпикюля. На других участках фронта — без перемен (14922).</w:t>
      </w:r>
    </w:p>
    <w:p w14:paraId="4E302AA7" w14:textId="77777777" w:rsidR="002F0C11" w:rsidRPr="00070ADE" w:rsidRDefault="002F0C11" w:rsidP="00B56F90">
      <w:pPr>
        <w:spacing w:after="0" w:line="240" w:lineRule="auto"/>
        <w:jc w:val="both"/>
        <w:rPr>
          <w:rFonts w:ascii="Times New Roman" w:hAnsi="Times New Roman"/>
          <w:color w:val="000000" w:themeColor="text1"/>
          <w:sz w:val="16"/>
          <w:szCs w:val="16"/>
        </w:rPr>
      </w:pPr>
    </w:p>
    <w:p w14:paraId="28E122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 15 июня 1944 командующие 1БФ в присутствии Г.К.Ж. разыграли операцию 65 и 28А (340,171).</w:t>
      </w:r>
    </w:p>
    <w:p w14:paraId="5FF2C7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CA350D" w14:textId="77777777" w:rsidR="009B6D3A" w:rsidRPr="00070ADE" w:rsidRDefault="009B6D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14 июня</w:t>
      </w:r>
      <w:r w:rsidRPr="00070ADE">
        <w:rPr>
          <w:rFonts w:ascii="Times New Roman" w:hAnsi="Times New Roman"/>
          <w:color w:val="000000" w:themeColor="text1"/>
          <w:sz w:val="16"/>
          <w:szCs w:val="16"/>
        </w:rPr>
        <w:t xml:space="preserve"> в 1944 году опубликовано сообщение ЧГК об истреблении немецко-румынскими захватчиками в Одесской области более 200 тысяч советских граждан (14922).</w:t>
      </w:r>
    </w:p>
    <w:p w14:paraId="0B6227F1" w14:textId="77777777" w:rsidR="009B6D3A" w:rsidRPr="00070ADE" w:rsidRDefault="009B6D3A" w:rsidP="00B56F90">
      <w:pPr>
        <w:spacing w:after="0" w:line="240" w:lineRule="auto"/>
        <w:jc w:val="both"/>
        <w:rPr>
          <w:rFonts w:ascii="Times New Roman" w:hAnsi="Times New Roman"/>
          <w:color w:val="000000" w:themeColor="text1"/>
          <w:sz w:val="16"/>
          <w:szCs w:val="16"/>
        </w:rPr>
      </w:pPr>
    </w:p>
    <w:p w14:paraId="4FA2F189" w14:textId="77777777" w:rsidR="009B6D3A"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3918FC52" w14:textId="77777777" w:rsidR="009B6D3A" w:rsidRPr="00070ADE" w:rsidRDefault="009B6D3A"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94B0AE" w14:textId="77777777" w:rsidR="009B6D3A" w:rsidRPr="00070ADE" w:rsidRDefault="009B6D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14 июня</w:t>
      </w:r>
      <w:r w:rsidRPr="00070ADE">
        <w:rPr>
          <w:rFonts w:ascii="Times New Roman" w:hAnsi="Times New Roman"/>
          <w:color w:val="000000" w:themeColor="text1"/>
          <w:sz w:val="16"/>
          <w:szCs w:val="16"/>
        </w:rPr>
        <w:t xml:space="preserve"> в 1944 году состоялось открытие православного Богословского института и Богословско-пастырских курсов (с 31 августа 1946 году переименованы в Московскую духовную академию и духовную семинарию) (14922).</w:t>
      </w:r>
    </w:p>
    <w:p w14:paraId="794AC359" w14:textId="77777777" w:rsidR="009B6D3A" w:rsidRPr="00070ADE" w:rsidRDefault="009B6D3A" w:rsidP="00B56F90">
      <w:pPr>
        <w:spacing w:after="0" w:line="240" w:lineRule="auto"/>
        <w:jc w:val="both"/>
        <w:rPr>
          <w:rFonts w:ascii="Times New Roman" w:hAnsi="Times New Roman"/>
          <w:color w:val="000000" w:themeColor="text1"/>
          <w:sz w:val="16"/>
          <w:szCs w:val="16"/>
        </w:rPr>
      </w:pPr>
    </w:p>
    <w:p w14:paraId="443519C1" w14:textId="77777777" w:rsidR="009B6D3A" w:rsidRPr="00070ADE" w:rsidRDefault="009B6D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14 июня</w:t>
      </w:r>
      <w:r w:rsidRPr="00070ADE">
        <w:rPr>
          <w:rFonts w:ascii="Times New Roman" w:hAnsi="Times New Roman"/>
          <w:color w:val="000000" w:themeColor="text1"/>
          <w:sz w:val="16"/>
          <w:szCs w:val="16"/>
        </w:rPr>
        <w:t xml:space="preserve"> в 1944 году СНК СССР предложил всем государственным учреждениям отметить 14 июня как день демонстрации солидарности Объединенных Наций и поднять на своих зданиях Государственный флаг СССР (14922).</w:t>
      </w:r>
    </w:p>
    <w:p w14:paraId="4429D4A9" w14:textId="77777777" w:rsidR="009B6D3A" w:rsidRPr="00070ADE" w:rsidRDefault="009B6D3A" w:rsidP="00B56F90">
      <w:pPr>
        <w:spacing w:after="0" w:line="240" w:lineRule="auto"/>
        <w:jc w:val="both"/>
        <w:rPr>
          <w:rFonts w:ascii="Times New Roman" w:hAnsi="Times New Roman"/>
          <w:color w:val="000000" w:themeColor="text1"/>
          <w:sz w:val="16"/>
          <w:szCs w:val="16"/>
        </w:rPr>
      </w:pPr>
    </w:p>
    <w:p w14:paraId="13D01F2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3248DB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1ED15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в СССР всенародно отмечен День демонстрации солидарности Объединенных Наций (4962).</w:t>
      </w:r>
    </w:p>
    <w:p w14:paraId="295190E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30E4C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23C49D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CBB1E1" w14:textId="77777777" w:rsidR="009B6D3A" w:rsidRPr="00070ADE" w:rsidRDefault="009B6D3A" w:rsidP="00B56F90">
      <w:pPr>
        <w:pStyle w:val="36"/>
        <w:shd w:val="clear" w:color="auto" w:fill="auto"/>
        <w:spacing w:after="0" w:line="240" w:lineRule="auto"/>
        <w:jc w:val="both"/>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14 июня 1944 г. первый самолёт-снаряд, получивший от министра пропаганды Геббельса третье, наиболее известное наимено</w:t>
      </w:r>
      <w:r w:rsidRPr="00070ADE">
        <w:rPr>
          <w:rFonts w:ascii="Times New Roman" w:cs="Times New Roman"/>
          <w:color w:val="000000" w:themeColor="text1"/>
          <w:spacing w:val="0"/>
          <w:sz w:val="16"/>
          <w:szCs w:val="16"/>
        </w:rPr>
        <w:softHyphen/>
        <w:t xml:space="preserve">вание — </w:t>
      </w:r>
      <w:r w:rsidRPr="00070ADE">
        <w:rPr>
          <w:rFonts w:ascii="Times New Roman" w:cs="Times New Roman"/>
          <w:color w:val="000000" w:themeColor="text1"/>
          <w:spacing w:val="0"/>
          <w:sz w:val="16"/>
          <w:szCs w:val="16"/>
          <w:lang w:val="en-US"/>
        </w:rPr>
        <w:t>V</w:t>
      </w:r>
      <w:r w:rsidRPr="00070ADE">
        <w:rPr>
          <w:rFonts w:ascii="Times New Roman" w:cs="Times New Roman"/>
          <w:color w:val="000000" w:themeColor="text1"/>
          <w:spacing w:val="0"/>
          <w:sz w:val="16"/>
          <w:szCs w:val="16"/>
        </w:rPr>
        <w:t>-1 (от «</w:t>
      </w:r>
      <w:r w:rsidRPr="00070ADE">
        <w:rPr>
          <w:rFonts w:ascii="Times New Roman" w:cs="Times New Roman"/>
          <w:color w:val="000000" w:themeColor="text1"/>
          <w:spacing w:val="0"/>
          <w:sz w:val="16"/>
          <w:szCs w:val="16"/>
          <w:lang w:val="en-US"/>
        </w:rPr>
        <w:t>Vergeltungwaffe</w:t>
      </w:r>
      <w:r w:rsidRPr="00070ADE">
        <w:rPr>
          <w:rFonts w:ascii="Times New Roman" w:cs="Times New Roman"/>
          <w:color w:val="000000" w:themeColor="text1"/>
          <w:spacing w:val="0"/>
          <w:sz w:val="16"/>
          <w:szCs w:val="16"/>
        </w:rPr>
        <w:t>» — оружие возмездия, в русской транскрипции — Фау-1), спикировал на английскую столицу. Интенсивность воздушных ударов достигла максимума 2 августа 1944 г,, когда с 38 катапультных установок запу</w:t>
      </w:r>
      <w:r w:rsidRPr="00070ADE">
        <w:rPr>
          <w:rFonts w:ascii="Times New Roman" w:cs="Times New Roman"/>
          <w:color w:val="000000" w:themeColor="text1"/>
          <w:spacing w:val="0"/>
          <w:sz w:val="16"/>
          <w:szCs w:val="16"/>
        </w:rPr>
        <w:softHyphen/>
        <w:t>стили 316 самолётов-снарядов (15790).</w:t>
      </w:r>
    </w:p>
    <w:p w14:paraId="4973F0DC" w14:textId="77777777" w:rsidR="009B6D3A" w:rsidRPr="00070ADE" w:rsidRDefault="009B6D3A" w:rsidP="00B56F90">
      <w:pPr>
        <w:pStyle w:val="36"/>
        <w:shd w:val="clear" w:color="auto" w:fill="auto"/>
        <w:spacing w:after="0" w:line="240" w:lineRule="auto"/>
        <w:jc w:val="both"/>
        <w:rPr>
          <w:rFonts w:ascii="Times New Roman" w:cs="Times New Roman"/>
          <w:color w:val="000000" w:themeColor="text1"/>
          <w:spacing w:val="0"/>
          <w:sz w:val="16"/>
          <w:szCs w:val="16"/>
        </w:rPr>
      </w:pPr>
    </w:p>
    <w:p w14:paraId="47DA56E3" w14:textId="17EBE458" w:rsidR="00001380" w:rsidRPr="00070ADE" w:rsidRDefault="0000138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г. ракета А-4 с</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серийным номером MW 17809, запущенная с полигона Хайделагер (Близна), вышла в ближний космос. В этом полете А4 поднялась на 140 км, намного выше условной границы космоса. А через неделю (20 июня) ракета с серийным номером MW 18014, взлетевшая с</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острова Грайфсвальдер-Ойе, достигла рекордной высоты 174,6 км (если верить утверждению Дорнбергера, то даже 188 км). Ракету непрерывно совершенствовали. За время испытаний и серийного производства в ней было сделано около 60 тысяч (!) изменений, хотя сама она состояла примерно из 30 тысяч деталей. И всё же довести ракету до уровня полной безотказности не удалось. До самого конца боевого применения А4 оставалась «сырым» изделием (23372).</w:t>
      </w:r>
    </w:p>
    <w:p w14:paraId="1E4425F9" w14:textId="77777777" w:rsidR="00001380" w:rsidRPr="00070ADE" w:rsidRDefault="00001380" w:rsidP="00B56F90">
      <w:pPr>
        <w:spacing w:after="0" w:line="240" w:lineRule="auto"/>
        <w:jc w:val="both"/>
        <w:rPr>
          <w:rFonts w:ascii="Times New Roman" w:hAnsi="Times New Roman"/>
          <w:color w:val="000000" w:themeColor="text1"/>
          <w:sz w:val="16"/>
          <w:szCs w:val="16"/>
        </w:rPr>
      </w:pPr>
    </w:p>
    <w:p w14:paraId="6C60B8CF"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14 июня 1944 г. планер на базе ДС-3 - XCG-17 совершил свой первый полёт и успешно прошёл испытания. Двигатели были демон</w:t>
      </w:r>
      <w:r w:rsidRPr="00C94B78">
        <w:rPr>
          <w:rFonts w:ascii="Times New Roman" w:hAnsi="Times New Roman"/>
          <w:color w:val="0070C0"/>
          <w:sz w:val="16"/>
          <w:szCs w:val="16"/>
        </w:rPr>
        <w:softHyphen/>
        <w:t>тированы, и на их месте установлены полусферические обтекатели. Ненужное оборудование было снято. Лайнер мог взять на борт 40 десантников в полном снаряжении. Буксировщиком должен был служить четырёхмоторный транспортный самолёт Douglas C-54 (25757).</w:t>
      </w:r>
    </w:p>
    <w:p w14:paraId="559EC2BA" w14:textId="77777777" w:rsidR="00BA3A2B" w:rsidRPr="00C94B78" w:rsidRDefault="00BA3A2B" w:rsidP="00B56F90">
      <w:pPr>
        <w:spacing w:after="0" w:line="240" w:lineRule="auto"/>
        <w:jc w:val="both"/>
        <w:rPr>
          <w:rFonts w:ascii="Times New Roman" w:hAnsi="Times New Roman"/>
          <w:color w:val="0070C0"/>
          <w:sz w:val="16"/>
          <w:szCs w:val="16"/>
        </w:rPr>
      </w:pPr>
    </w:p>
    <w:p w14:paraId="22797A9E" w14:textId="77777777" w:rsidR="00741660" w:rsidRPr="00070ADE" w:rsidRDefault="007416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в качестве эксперимента бомбардировочное командование Королевских ВВС пытается совершить свой первый дневной налет с мая 1943 года, когда 234 бомбардировщика совершат вечернюю атаку на гавань в Гавре, Франция, имея 1250 метрических тонн бомб, включая 22 12 000-фунтовые (5 443 кг) бомбы Tallboy, сброшенные 617-й эскадрильей на стоянки подлодок - для предотвращения атак малых немецких военно-морских судов на силы вторжения в Нормандию. В ходе рейда потоплены немецкие торпедные катера Falke, Jaguar и Möwe, 10 S-катеров, 15 R-катеров , несколько патрульных и портовых судов и 11 других малых судов, а также нанесен серьезный ущерб другим судам. Истребители Spitfire сопровождают бомбардировщики, и сбит только один бомбардировщик (20373).</w:t>
      </w:r>
    </w:p>
    <w:p w14:paraId="2961CDC6" w14:textId="77777777" w:rsidR="00741660" w:rsidRPr="00070ADE" w:rsidRDefault="00741660" w:rsidP="00B56F90">
      <w:pPr>
        <w:spacing w:after="0" w:line="240" w:lineRule="auto"/>
        <w:jc w:val="both"/>
        <w:rPr>
          <w:rFonts w:ascii="Times New Roman" w:hAnsi="Times New Roman"/>
          <w:color w:val="000000" w:themeColor="text1"/>
          <w:sz w:val="16"/>
          <w:szCs w:val="16"/>
        </w:rPr>
      </w:pPr>
    </w:p>
    <w:p w14:paraId="077932C6" w14:textId="77777777" w:rsidR="00741660" w:rsidRPr="00070ADE" w:rsidRDefault="007416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14–15 июня (ночь) 1944, управляя Москитом из 605-й эскадрильи, лейтенант Королевских ВВС Дж. Г. Масгрейв становится первым пилотом, сбившим летающую бомбу Фау-1 (20373).</w:t>
      </w:r>
    </w:p>
    <w:p w14:paraId="4F9D7D1E" w14:textId="77777777" w:rsidR="00741660" w:rsidRPr="00070ADE" w:rsidRDefault="00741660" w:rsidP="00B56F90">
      <w:pPr>
        <w:spacing w:after="0" w:line="240" w:lineRule="auto"/>
        <w:jc w:val="both"/>
        <w:rPr>
          <w:rFonts w:ascii="Times New Roman" w:hAnsi="Times New Roman"/>
          <w:color w:val="000000" w:themeColor="text1"/>
          <w:sz w:val="16"/>
          <w:szCs w:val="16"/>
        </w:rPr>
      </w:pPr>
    </w:p>
    <w:p w14:paraId="67D5C1A9" w14:textId="77777777" w:rsidR="00741660" w:rsidRPr="00070ADE" w:rsidRDefault="007416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14–15 июня (ночь) 1944 337 британских бомбардировщиков атаковали французские железнодорожные станции в Камбре, Дуэ и Сен-Поль, потеряв четыре самолета, а еще 330 без потерь наносят наспех подготовленный удар по скоплениям немецких войск и технике в Оне-сюр-Одон и Эвреси в Нормандии. Облачность и дымка мешают атакам железных дорог, но атаки против немецких войск успешны (20373).</w:t>
      </w:r>
    </w:p>
    <w:p w14:paraId="0E736177" w14:textId="77777777" w:rsidR="00741660" w:rsidRPr="00070ADE" w:rsidRDefault="00741660" w:rsidP="00B56F90">
      <w:pPr>
        <w:spacing w:after="0" w:line="240" w:lineRule="auto"/>
        <w:jc w:val="both"/>
        <w:rPr>
          <w:rFonts w:ascii="Times New Roman" w:hAnsi="Times New Roman"/>
          <w:color w:val="000000" w:themeColor="text1"/>
          <w:sz w:val="16"/>
          <w:szCs w:val="16"/>
        </w:rPr>
      </w:pPr>
    </w:p>
    <w:p w14:paraId="7FEC05E1" w14:textId="77777777" w:rsidR="00A3754D" w:rsidRPr="00070ADE" w:rsidRDefault="00A3754D" w:rsidP="00B56F90">
      <w:pPr>
        <w:pStyle w:val="115"/>
        <w:shd w:val="clear" w:color="auto" w:fill="auto"/>
        <w:spacing w:after="0" w:line="240" w:lineRule="auto"/>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14 июня 1944 660 американских стратегических бомбардиров</w:t>
      </w:r>
      <w:r w:rsidRPr="00070ADE">
        <w:rPr>
          <w:rFonts w:ascii="Times New Roman" w:hAnsi="Times New Roman" w:cs="Times New Roman"/>
          <w:color w:val="000000" w:themeColor="text1"/>
          <w:sz w:val="16"/>
          <w:szCs w:val="16"/>
        </w:rPr>
        <w:softHyphen/>
        <w:t xml:space="preserve">щиков бомбили Венгрию и Чехословакию - Будапешт, Комарно, Сисак. Соединение истребителей Р-38 атаковало венгерский аэродром Кешкемет. На перехват врага поднялись 38 венгерских истребителей </w:t>
      </w:r>
      <w:r w:rsidRPr="00070ADE">
        <w:rPr>
          <w:rFonts w:ascii="Times New Roman" w:hAnsi="Times New Roman" w:cs="Times New Roman"/>
          <w:color w:val="000000" w:themeColor="text1"/>
          <w:sz w:val="16"/>
          <w:szCs w:val="16"/>
          <w:lang w:val="en-US"/>
        </w:rPr>
        <w:t>Bf</w:t>
      </w:r>
      <w:r w:rsidRPr="00070ADE">
        <w:rPr>
          <w:rFonts w:ascii="Times New Roman" w:hAnsi="Times New Roman" w:cs="Times New Roman"/>
          <w:color w:val="000000" w:themeColor="text1"/>
          <w:sz w:val="16"/>
          <w:szCs w:val="16"/>
        </w:rPr>
        <w:t xml:space="preserve"> 109 и 80 немецких </w:t>
      </w:r>
      <w:r w:rsidRPr="00070ADE">
        <w:rPr>
          <w:rFonts w:ascii="Times New Roman" w:hAnsi="Times New Roman" w:cs="Times New Roman"/>
          <w:color w:val="000000" w:themeColor="text1"/>
          <w:sz w:val="16"/>
          <w:szCs w:val="16"/>
          <w:lang w:val="en-US"/>
        </w:rPr>
        <w:t>Bf</w:t>
      </w:r>
      <w:r w:rsidRPr="00070ADE">
        <w:rPr>
          <w:rFonts w:ascii="Times New Roman" w:hAnsi="Times New Roman" w:cs="Times New Roman"/>
          <w:color w:val="000000" w:themeColor="text1"/>
          <w:sz w:val="16"/>
          <w:szCs w:val="16"/>
        </w:rPr>
        <w:t xml:space="preserve"> 109 и </w:t>
      </w:r>
      <w:r w:rsidRPr="00070ADE">
        <w:rPr>
          <w:rFonts w:ascii="Times New Roman" w:hAnsi="Times New Roman" w:cs="Times New Roman"/>
          <w:color w:val="000000" w:themeColor="text1"/>
          <w:sz w:val="16"/>
          <w:szCs w:val="16"/>
          <w:lang w:val="en-US"/>
        </w:rPr>
        <w:t>Fw</w:t>
      </w:r>
      <w:r w:rsidRPr="00070ADE">
        <w:rPr>
          <w:rFonts w:ascii="Times New Roman" w:hAnsi="Times New Roman" w:cs="Times New Roman"/>
          <w:color w:val="000000" w:themeColor="text1"/>
          <w:sz w:val="16"/>
          <w:szCs w:val="16"/>
        </w:rPr>
        <w:t xml:space="preserve"> 190. Всего было сбито 20 американских истребителей и бомбардировщиков. Из них венгры сбили 8, потеряв два своих (по другим данным потери составили 3 машины) (19083).</w:t>
      </w:r>
    </w:p>
    <w:p w14:paraId="1CAA8067" w14:textId="77777777" w:rsidR="00A3754D" w:rsidRPr="00070ADE" w:rsidRDefault="00A3754D" w:rsidP="00B56F90">
      <w:pPr>
        <w:pStyle w:val="115"/>
        <w:shd w:val="clear" w:color="auto" w:fill="auto"/>
        <w:spacing w:after="0" w:line="240" w:lineRule="auto"/>
        <w:jc w:val="both"/>
        <w:rPr>
          <w:rFonts w:ascii="Times New Roman" w:hAnsi="Times New Roman" w:cs="Times New Roman"/>
          <w:color w:val="000000" w:themeColor="text1"/>
          <w:sz w:val="16"/>
          <w:szCs w:val="16"/>
        </w:rPr>
      </w:pPr>
    </w:p>
    <w:p w14:paraId="540CA60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Приказ командования НОАА о переходе армии в решительное наступление против немецких оккупантов (7594).</w:t>
      </w:r>
    </w:p>
    <w:p w14:paraId="044AB7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6BE3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Де Голь вернулся во Францию (2247,5).</w:t>
      </w:r>
    </w:p>
    <w:p w14:paraId="62F37A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B2C42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французский генерал Шарль де Голль высадился в Нормандии с тем, чтобы возглавить французские военные подразделения, двигающиеся на Париж (4962).</w:t>
      </w:r>
    </w:p>
    <w:p w14:paraId="321BE91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C987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14th, 1944: The RAF launches heavy attacks (600 bombers) against Le Havre and Boulogne (3819).</w:t>
      </w:r>
    </w:p>
    <w:p w14:paraId="155093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F4922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Королевские ВВС выполнили массовый (600 бомбардировщиков) налет на Гавр и Болонь (3819).</w:t>
      </w:r>
    </w:p>
    <w:p w14:paraId="43AE22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62E7CE" w14:textId="77777777" w:rsidR="009B6D3A" w:rsidRPr="00070ADE" w:rsidRDefault="009B6D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14 июня</w:t>
      </w:r>
      <w:r w:rsidRPr="00070ADE">
        <w:rPr>
          <w:rFonts w:ascii="Times New Roman" w:hAnsi="Times New Roman"/>
          <w:color w:val="000000" w:themeColor="text1"/>
          <w:sz w:val="16"/>
          <w:szCs w:val="16"/>
        </w:rPr>
        <w:t xml:space="preserve"> в 1944 году американские бомбардировщики «Б-29» совершили первый налет на Японию (14922).</w:t>
      </w:r>
    </w:p>
    <w:p w14:paraId="0F63852F" w14:textId="77777777" w:rsidR="009B6D3A" w:rsidRPr="00070ADE" w:rsidRDefault="009B6D3A" w:rsidP="00B56F90">
      <w:pPr>
        <w:spacing w:after="0" w:line="240" w:lineRule="auto"/>
        <w:jc w:val="both"/>
        <w:rPr>
          <w:rFonts w:ascii="Times New Roman" w:hAnsi="Times New Roman"/>
          <w:color w:val="000000" w:themeColor="text1"/>
          <w:sz w:val="16"/>
          <w:szCs w:val="16"/>
        </w:rPr>
      </w:pPr>
    </w:p>
    <w:p w14:paraId="337F2D71" w14:textId="77777777" w:rsidR="00741660" w:rsidRPr="00070ADE" w:rsidRDefault="007416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14–15 июня 1944 авианосец оперативной группы 58 наносит удар по вулканическим островам - Гуаму, Сайпану и Тиниану (20373).</w:t>
      </w:r>
    </w:p>
    <w:p w14:paraId="30FF0831" w14:textId="77777777" w:rsidR="00741660" w:rsidRPr="00070ADE" w:rsidRDefault="00741660" w:rsidP="00B56F90">
      <w:pPr>
        <w:spacing w:after="0" w:line="240" w:lineRule="auto"/>
        <w:jc w:val="both"/>
        <w:rPr>
          <w:rFonts w:ascii="Times New Roman" w:hAnsi="Times New Roman"/>
          <w:color w:val="000000" w:themeColor="text1"/>
          <w:sz w:val="16"/>
          <w:szCs w:val="16"/>
        </w:rPr>
      </w:pPr>
    </w:p>
    <w:p w14:paraId="77F90A2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 июня 1944 по иску Свидетелей Иеговы Верховный суд США признал незаконной обязательную процедуру отдания салюта американскому флагу (4962).</w:t>
      </w:r>
    </w:p>
    <w:p w14:paraId="28076F3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42139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1F6E2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5BFD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июня 1944 Зам. Нач. 7ГУ Алексеев подготовил сводку г-7 № 7923 о ходе испытаний высотных самолетов на 13 июня 1944 по Як-9 М-105ПД, Ла-5 АШ-82ФН и 2ТК-3, МиГ АМ-39А и 2ТК-2Б (1825).</w:t>
      </w:r>
    </w:p>
    <w:p w14:paraId="5F06B5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ИСТРЕБИТЕЛЬ ЯК-9 С ВК-105ПФ И ДВУХСТУПЕНЧАТЫМ НАГНЕТАТЕЛЕМ</w:t>
      </w:r>
    </w:p>
    <w:p w14:paraId="1F74C0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Производилась подготовка самолета для установки в аэродинамическую трубу.</w:t>
      </w:r>
    </w:p>
    <w:p w14:paraId="5D0EDA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ВЫСОТНЫЙ ИСТРЕБИТЕЛЬ ЛА-5 С АШ-82ФН и 2ТК-3.</w:t>
      </w:r>
    </w:p>
    <w:p w14:paraId="1DDA62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Произведены два полета: первый полет до выесоты 9500 мт и второй полет до высоты 4500 мт. Как и впредыдущих полетах, имело месте выбрасывание масла из мото</w:t>
      </w:r>
      <w:r w:rsidRPr="00070ADE">
        <w:rPr>
          <w:rFonts w:ascii="Times New Roman" w:hAnsi="Times New Roman"/>
          <w:color w:val="000000" w:themeColor="text1"/>
          <w:sz w:val="16"/>
          <w:szCs w:val="16"/>
        </w:rPr>
        <w:softHyphen/>
        <w:t>ра и по этой причине полеты прекращались и задания оставалась невыполненными.</w:t>
      </w:r>
    </w:p>
    <w:p w14:paraId="5E137C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Испытаниями и осмотром с участием представителя завода № 19 установлено, что течь масла происходит из суфлера кольцевого уплотнения нагнетателя и что для высотных полетов необходимы моторы специальной сборки, предусмотренные приказом № 382сс от 6 июня с. г.Так как эти моторы могут быть изготовлены заводом </w:t>
      </w:r>
      <w:r w:rsidRPr="00070ADE">
        <w:rPr>
          <w:rFonts w:ascii="Times New Roman" w:hAnsi="Times New Roman"/>
          <w:color w:val="000000" w:themeColor="text1"/>
          <w:sz w:val="16"/>
          <w:szCs w:val="16"/>
        </w:rPr>
        <w:lastRenderedPageBreak/>
        <w:t>№ 19 лишь к 1 июля с. г., то для. продолжения летных испытаний по просьбе 7 Главного Управления, Замнаркома тов. КУЗНЕЦОВЫМ В.П. дано указание заводу № 19 о срочной отгрузке тов. ЛАВОЧКИНЫМ двух моторов АШ-82ФН обычной сборки, но с улучшенным дефлектированием цилиндров.</w:t>
      </w:r>
    </w:p>
    <w:p w14:paraId="2C8E45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ВЫСОТНЫЙ ИСТРЕБИТЕЛЬ МИГ С АМ-39Б И 2ТК-2Б.</w:t>
      </w:r>
    </w:p>
    <w:p w14:paraId="691973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Выполнялись работы по установке на самолет бензопомпы БНК-10.</w:t>
      </w:r>
    </w:p>
    <w:p w14:paraId="107DBD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 назначен на 14 июня с. г. (1825).</w:t>
      </w:r>
    </w:p>
    <w:p w14:paraId="42E7FC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CAD0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июня 1944 на МиГ АМ-39А и 2ТК-2Б было выполнено 2 полета после доводки бензопомпы: 1-й 0:40 до 9000 м, 2-й - 0:40 до 11000 м (1825).</w:t>
      </w:r>
    </w:p>
    <w:p w14:paraId="77AC1E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2B3E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июня 1944 В.П.Кузнецов подготовил для А.И.Ш. сводку по выполнению постановления по повышению высотности самолетов по состоянию на 15 июня 1944 и были упомянуты МиГ-3 с АМ-39Б-01, Ла-5 М-82 с ТК-3 и Як-9 с ВК-105ПД (1824).</w:t>
      </w:r>
    </w:p>
    <w:p w14:paraId="1310E8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C6FF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июня и 3 июля 1944 прошли заседания макетных комиссий по самолету Д Н.Н.П (шестиместный лимузин - под М-11Ф) и макет моноплана был утвержден. С 7 июля работы остановили в связи с подготовкой серийных чертежей У-2ШС. С 15 мая после заверения эскизного проектирования, начатого в апреле 1944, вели техническое проектирование (4542, 21).</w:t>
      </w:r>
    </w:p>
    <w:p w14:paraId="0F518A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D96400"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15 июня 1944 года заседа</w:t>
      </w:r>
      <w:r w:rsidRPr="00C94B78">
        <w:rPr>
          <w:rFonts w:ascii="Times New Roman" w:hAnsi="Times New Roman"/>
          <w:color w:val="0070C0"/>
          <w:sz w:val="16"/>
          <w:szCs w:val="16"/>
        </w:rPr>
        <w:softHyphen/>
        <w:t>ла макетная комиссия по У-2 «Лимузину». Признавалось, что с дви</w:t>
      </w:r>
      <w:r w:rsidRPr="00C94B78">
        <w:rPr>
          <w:rFonts w:ascii="Times New Roman" w:hAnsi="Times New Roman"/>
          <w:color w:val="0070C0"/>
          <w:sz w:val="16"/>
          <w:szCs w:val="16"/>
        </w:rPr>
        <w:softHyphen/>
        <w:t>гателем М-11Ф скороподъемность и взлетно</w:t>
      </w:r>
      <w:r w:rsidRPr="00C94B78">
        <w:rPr>
          <w:rFonts w:ascii="Times New Roman" w:hAnsi="Times New Roman"/>
          <w:color w:val="0070C0"/>
          <w:sz w:val="16"/>
          <w:szCs w:val="16"/>
        </w:rPr>
        <w:softHyphen/>
        <w:t>посадочные характеристики самолета не соот</w:t>
      </w:r>
      <w:r w:rsidRPr="00C94B78">
        <w:rPr>
          <w:rFonts w:ascii="Times New Roman" w:hAnsi="Times New Roman"/>
          <w:color w:val="0070C0"/>
          <w:sz w:val="16"/>
          <w:szCs w:val="16"/>
        </w:rPr>
        <w:softHyphen/>
        <w:t>ветствуют современным требованиям. Реко</w:t>
      </w:r>
      <w:r w:rsidRPr="00C94B78">
        <w:rPr>
          <w:rFonts w:ascii="Times New Roman" w:hAnsi="Times New Roman"/>
          <w:color w:val="0070C0"/>
          <w:sz w:val="16"/>
          <w:szCs w:val="16"/>
        </w:rPr>
        <w:softHyphen/>
        <w:t>мендовалось проработать возможность заме</w:t>
      </w:r>
      <w:r w:rsidRPr="00C94B78">
        <w:rPr>
          <w:rFonts w:ascii="Times New Roman" w:hAnsi="Times New Roman"/>
          <w:color w:val="0070C0"/>
          <w:sz w:val="16"/>
          <w:szCs w:val="16"/>
        </w:rPr>
        <w:softHyphen/>
        <w:t>ны на двигатель М-12 или МГ-31Ф, предусмот</w:t>
      </w:r>
      <w:r w:rsidRPr="00C94B78">
        <w:rPr>
          <w:rFonts w:ascii="Times New Roman" w:hAnsi="Times New Roman"/>
          <w:color w:val="0070C0"/>
          <w:sz w:val="16"/>
          <w:szCs w:val="16"/>
        </w:rPr>
        <w:softHyphen/>
        <w:t>реть пневмо- или гидроуборку шасси, увели</w:t>
      </w:r>
      <w:r w:rsidRPr="00C94B78">
        <w:rPr>
          <w:rFonts w:ascii="Times New Roman" w:hAnsi="Times New Roman"/>
          <w:color w:val="0070C0"/>
          <w:sz w:val="16"/>
          <w:szCs w:val="16"/>
        </w:rPr>
        <w:softHyphen/>
        <w:t>чить габариты кабины по высоте на 50 мм.</w:t>
      </w:r>
    </w:p>
    <w:p w14:paraId="76DE3794"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Предлагалось также утвердить задание на «Лимузин», построить его в короткие сроки и к 15 сентября 1944 года провести испытания.</w:t>
      </w:r>
    </w:p>
    <w:p w14:paraId="460711F7"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сожалению, проект «Лимузин» продолжения не получил — в развитие событий вме</w:t>
      </w:r>
      <w:r w:rsidRPr="00C94B78">
        <w:rPr>
          <w:rFonts w:ascii="Times New Roman" w:hAnsi="Times New Roman"/>
          <w:color w:val="0070C0"/>
          <w:sz w:val="16"/>
          <w:szCs w:val="16"/>
        </w:rPr>
        <w:softHyphen/>
        <w:t>шалась болезнь главного конструктора (24969).</w:t>
      </w:r>
    </w:p>
    <w:p w14:paraId="18490B79" w14:textId="77777777" w:rsidR="00BA3A2B" w:rsidRPr="00C94B78" w:rsidRDefault="00BA3A2B" w:rsidP="00B56F90">
      <w:pPr>
        <w:spacing w:after="0" w:line="240" w:lineRule="auto"/>
        <w:jc w:val="both"/>
        <w:rPr>
          <w:rFonts w:ascii="Times New Roman" w:hAnsi="Times New Roman"/>
          <w:color w:val="0070C0"/>
          <w:sz w:val="16"/>
          <w:szCs w:val="16"/>
        </w:rPr>
      </w:pPr>
    </w:p>
    <w:p w14:paraId="464DC2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июня 1944 г. за</w:t>
      </w:r>
      <w:r w:rsidRPr="00070ADE">
        <w:rPr>
          <w:rFonts w:ascii="Times New Roman" w:hAnsi="Times New Roman"/>
          <w:color w:val="000000" w:themeColor="text1"/>
          <w:sz w:val="16"/>
          <w:szCs w:val="16"/>
        </w:rPr>
        <w:softHyphen/>
        <w:t>седала макетная комиссия по «Лимузину» Признавалось, что с двигателем М-11Ф скороподъемность и взлетно-посадочные характеристики само</w:t>
      </w:r>
      <w:r w:rsidRPr="00070ADE">
        <w:rPr>
          <w:rFonts w:ascii="Times New Roman" w:hAnsi="Times New Roman"/>
          <w:color w:val="000000" w:themeColor="text1"/>
          <w:sz w:val="16"/>
          <w:szCs w:val="16"/>
        </w:rPr>
        <w:softHyphen/>
        <w:t>лета не соответствуют современным требо</w:t>
      </w:r>
      <w:r w:rsidRPr="00070ADE">
        <w:rPr>
          <w:rFonts w:ascii="Times New Roman" w:hAnsi="Times New Roman"/>
          <w:color w:val="000000" w:themeColor="text1"/>
          <w:sz w:val="16"/>
          <w:szCs w:val="16"/>
        </w:rPr>
        <w:softHyphen/>
        <w:t>ваниям. Предлагалось рассмотреть воз</w:t>
      </w:r>
      <w:r w:rsidRPr="00070ADE">
        <w:rPr>
          <w:rFonts w:ascii="Times New Roman" w:hAnsi="Times New Roman"/>
          <w:color w:val="000000" w:themeColor="text1"/>
          <w:sz w:val="16"/>
          <w:szCs w:val="16"/>
        </w:rPr>
        <w:softHyphen/>
        <w:t>можность замены на двигатель М-12 или МГ-31Ф, предусмотреть пневмо- или гид</w:t>
      </w:r>
      <w:r w:rsidRPr="00070ADE">
        <w:rPr>
          <w:rFonts w:ascii="Times New Roman" w:hAnsi="Times New Roman"/>
          <w:color w:val="000000" w:themeColor="text1"/>
          <w:sz w:val="16"/>
          <w:szCs w:val="16"/>
        </w:rPr>
        <w:softHyphen/>
        <w:t>роуборку шасси, увеличить габариты каби</w:t>
      </w:r>
      <w:r w:rsidRPr="00070ADE">
        <w:rPr>
          <w:rFonts w:ascii="Times New Roman" w:hAnsi="Times New Roman"/>
          <w:color w:val="000000" w:themeColor="text1"/>
          <w:sz w:val="16"/>
          <w:szCs w:val="16"/>
        </w:rPr>
        <w:softHyphen/>
        <w:t>ны но высоте на 50 мм. Далее предлагалось утвердить задание на «Лимузин», постро</w:t>
      </w:r>
      <w:r w:rsidRPr="00070ADE">
        <w:rPr>
          <w:rFonts w:ascii="Times New Roman" w:hAnsi="Times New Roman"/>
          <w:color w:val="000000" w:themeColor="text1"/>
          <w:sz w:val="16"/>
          <w:szCs w:val="16"/>
        </w:rPr>
        <w:softHyphen/>
        <w:t>ить его в короткие сроки и к 15 сентября 1944 г. провести испытания. К сожалению, развития событий в отно</w:t>
      </w:r>
      <w:r w:rsidRPr="00070ADE">
        <w:rPr>
          <w:rFonts w:ascii="Times New Roman" w:hAnsi="Times New Roman"/>
          <w:color w:val="000000" w:themeColor="text1"/>
          <w:sz w:val="16"/>
          <w:szCs w:val="16"/>
        </w:rPr>
        <w:softHyphen/>
        <w:t>шении «Лимузина» не последовало. Вес</w:t>
      </w:r>
      <w:r w:rsidRPr="00070ADE">
        <w:rPr>
          <w:rFonts w:ascii="Times New Roman" w:hAnsi="Times New Roman"/>
          <w:color w:val="000000" w:themeColor="text1"/>
          <w:sz w:val="16"/>
          <w:szCs w:val="16"/>
        </w:rPr>
        <w:softHyphen/>
        <w:t>ной 1944 г. Н. Н. Поликарпов впервые по</w:t>
      </w:r>
      <w:r w:rsidRPr="00070ADE">
        <w:rPr>
          <w:rFonts w:ascii="Times New Roman" w:hAnsi="Times New Roman"/>
          <w:color w:val="000000" w:themeColor="text1"/>
          <w:sz w:val="16"/>
          <w:szCs w:val="16"/>
        </w:rPr>
        <w:softHyphen/>
        <w:t>чувствовал себя плохо. Врачи диагности</w:t>
      </w:r>
      <w:r w:rsidRPr="00070ADE">
        <w:rPr>
          <w:rFonts w:ascii="Times New Roman" w:hAnsi="Times New Roman"/>
          <w:color w:val="000000" w:themeColor="text1"/>
          <w:sz w:val="16"/>
          <w:szCs w:val="16"/>
        </w:rPr>
        <w:softHyphen/>
        <w:t>ровали рак; болезнь прогрессировала, и 30 июля 1944 г. великий русский конструктор скончался. На следующий день после его смерти решением правительства с целью увековечивания памяти Н. Н. Поликарпо</w:t>
      </w:r>
      <w:r w:rsidRPr="00070ADE">
        <w:rPr>
          <w:rFonts w:ascii="Times New Roman" w:hAnsi="Times New Roman"/>
          <w:color w:val="000000" w:themeColor="text1"/>
          <w:sz w:val="16"/>
          <w:szCs w:val="16"/>
        </w:rPr>
        <w:softHyphen/>
        <w:t>ва самолет У-2 решено было далее имено</w:t>
      </w:r>
      <w:r w:rsidRPr="00070ADE">
        <w:rPr>
          <w:rFonts w:ascii="Times New Roman" w:hAnsi="Times New Roman"/>
          <w:color w:val="000000" w:themeColor="text1"/>
          <w:sz w:val="16"/>
          <w:szCs w:val="16"/>
        </w:rPr>
        <w:softHyphen/>
        <w:t>вать По-2 - «Поликарпов-2» (11085).</w:t>
      </w:r>
    </w:p>
    <w:p w14:paraId="3018A6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FB7B33" w14:textId="57AFF75A" w:rsidR="00985F73" w:rsidRPr="00070ADE" w:rsidRDefault="00985F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июня 1944 г. после налета на Шумшу первые машины Локхид PV-1, базировавшие</w:t>
      </w:r>
      <w:r w:rsidRPr="00070ADE">
        <w:rPr>
          <w:rFonts w:ascii="Times New Roman" w:hAnsi="Times New Roman"/>
          <w:color w:val="000000" w:themeColor="text1"/>
          <w:sz w:val="16"/>
          <w:szCs w:val="16"/>
        </w:rPr>
        <w:softHyphen/>
        <w:t>ся на Алеутах,</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из эскадрильи VB-135, приземлились на аэродроме Елизово. Сначала сел PV-1 Р. Бона с поврежденным двигателем. Чуть позже И-16 привел к аэ</w:t>
      </w:r>
      <w:r w:rsidRPr="00070ADE">
        <w:rPr>
          <w:rFonts w:ascii="Times New Roman" w:hAnsi="Times New Roman"/>
          <w:color w:val="000000" w:themeColor="text1"/>
          <w:sz w:val="16"/>
          <w:szCs w:val="16"/>
        </w:rPr>
        <w:softHyphen/>
        <w:t>родрому самолет летчика Шуэтта, блу</w:t>
      </w:r>
      <w:r w:rsidRPr="00070ADE">
        <w:rPr>
          <w:rFonts w:ascii="Times New Roman" w:hAnsi="Times New Roman"/>
          <w:color w:val="000000" w:themeColor="text1"/>
          <w:sz w:val="16"/>
          <w:szCs w:val="16"/>
        </w:rPr>
        <w:softHyphen/>
        <w:t>ждавший в поисках места для посадки. У него были пробиты баки и горючего не хватило бы на обратный путь к острову Атту.</w:t>
      </w:r>
    </w:p>
    <w:p w14:paraId="26B1FFA9" w14:textId="77777777" w:rsidR="00985F73" w:rsidRPr="00070ADE" w:rsidRDefault="00985F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Затем «Вентуры» появлялись довольно часто. 24 июля самолет Дж. Вивиана дотя</w:t>
      </w:r>
      <w:r w:rsidRPr="00070ADE">
        <w:rPr>
          <w:rFonts w:ascii="Times New Roman" w:hAnsi="Times New Roman"/>
          <w:color w:val="000000" w:themeColor="text1"/>
          <w:sz w:val="16"/>
          <w:szCs w:val="16"/>
        </w:rPr>
        <w:softHyphen/>
        <w:t>нул до Камчатки на одном моторе, отбива</w:t>
      </w:r>
      <w:r w:rsidRPr="00070ADE">
        <w:rPr>
          <w:rFonts w:ascii="Times New Roman" w:hAnsi="Times New Roman"/>
          <w:color w:val="000000" w:themeColor="text1"/>
          <w:sz w:val="16"/>
          <w:szCs w:val="16"/>
        </w:rPr>
        <w:softHyphen/>
        <w:t>ясь от японских истребителей. Советские И-16 отогнали японцев и довели PV-1 до Елизова.</w:t>
      </w:r>
    </w:p>
    <w:p w14:paraId="15A9CFB6" w14:textId="77777777" w:rsidR="00985F73" w:rsidRPr="00070ADE" w:rsidRDefault="00985F7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не всем везло. 20 июля самолет из VB-135. не долетел до аэродрома и сел прямо в лесу. 13 августа К. Линделл из VB-136 дотянул до посадочной площадки, но, садясь на одном моторе, промахнул</w:t>
      </w:r>
      <w:r w:rsidRPr="00070ADE">
        <w:rPr>
          <w:rFonts w:ascii="Times New Roman" w:hAnsi="Times New Roman"/>
          <w:color w:val="000000" w:themeColor="text1"/>
          <w:sz w:val="16"/>
          <w:szCs w:val="16"/>
        </w:rPr>
        <w:softHyphen/>
        <w:t>ся и врезался в деревья. 28 августа у Дж. Дингла при посадке не выпустились за</w:t>
      </w:r>
      <w:r w:rsidRPr="00070ADE">
        <w:rPr>
          <w:rFonts w:ascii="Times New Roman" w:hAnsi="Times New Roman"/>
          <w:color w:val="000000" w:themeColor="text1"/>
          <w:sz w:val="16"/>
          <w:szCs w:val="16"/>
        </w:rPr>
        <w:softHyphen/>
        <w:t>крылки (пулями пробило гидросистему, его обстреляли японские истребители над островом Онекотан), и он потерпел аварию. 20 августа Дж. Коулс (VB-136) при двух поврежденных моторах и про</w:t>
      </w:r>
      <w:r w:rsidRPr="00070ADE">
        <w:rPr>
          <w:rFonts w:ascii="Times New Roman" w:hAnsi="Times New Roman"/>
          <w:color w:val="000000" w:themeColor="text1"/>
          <w:sz w:val="16"/>
          <w:szCs w:val="16"/>
        </w:rPr>
        <w:softHyphen/>
        <w:t>битой гидросистеме приземлился «на брюхо» в тундре — при посадке его само</w:t>
      </w:r>
      <w:r w:rsidRPr="00070ADE">
        <w:rPr>
          <w:rFonts w:ascii="Times New Roman" w:hAnsi="Times New Roman"/>
          <w:color w:val="000000" w:themeColor="text1"/>
          <w:sz w:val="16"/>
          <w:szCs w:val="16"/>
        </w:rPr>
        <w:softHyphen/>
        <w:t>лет взорвался, экипаж успел выскочить. 11 сентября Д. Макдональд из VB-135 на самолете, подбитом истребителями, сел в Петропавловске, но стойка шасси подло</w:t>
      </w:r>
      <w:r w:rsidRPr="00070ADE">
        <w:rPr>
          <w:rFonts w:ascii="Times New Roman" w:hAnsi="Times New Roman"/>
          <w:color w:val="000000" w:themeColor="text1"/>
          <w:sz w:val="16"/>
          <w:szCs w:val="16"/>
        </w:rPr>
        <w:softHyphen/>
        <w:t>милась и машина скапотировала (23513).</w:t>
      </w:r>
    </w:p>
    <w:p w14:paraId="2E924060" w14:textId="77777777" w:rsidR="00985F73" w:rsidRPr="00070ADE" w:rsidRDefault="00985F73" w:rsidP="00B56F90">
      <w:pPr>
        <w:spacing w:after="0" w:line="240" w:lineRule="auto"/>
        <w:jc w:val="both"/>
        <w:rPr>
          <w:rFonts w:ascii="Times New Roman" w:hAnsi="Times New Roman"/>
          <w:color w:val="000000" w:themeColor="text1"/>
          <w:sz w:val="16"/>
          <w:szCs w:val="16"/>
        </w:rPr>
      </w:pPr>
    </w:p>
    <w:p w14:paraId="3CA962C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93F47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ABD570"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[15-16 июня] 1944 г. из СПРАВКИ ПРЕДСЕДАТЕЛЯ КОМИССИИ ПО ОХРАНЕ ТРУДА СТАРЦЕВА О СОСТОЯНИИ ТЕХНИКИ БЕЗОПАСНОСТИ И ОХРАНЫ ТРУДА НА ОРДЕНА ЛЕНИНА КОМБИНАТЕ № 179»</w:t>
      </w:r>
    </w:p>
    <w:p w14:paraId="2A27FD62"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Состояние техники безопасности и охраны труда продолжает оставаться явно неудовлетворительным: травматизм увеличивается. За 12 месяцев 1943 года было зарегистрировано 7 смертельных случаев. За 5,5 месяца 1944 года имеем 6 случаев, за пять месяцев 1943 года было зарегистрировано 295 случаев с-потерей 6 152 рабочих дней, за этот же период в 1944 году имелся 671 случай с потерей 8 043 рабочих дней. Особенно рост травматизма имеет место в цехах, где начальники Чалый, Бовтручук, Шмелев, Багаев и Яковлев. Показатели травматизма по месяцам за 5 месяцев по комбинату и по цехам см. таблицы № 1, 2 и списки смертельных и тяжелых случаев. Причина роста травматизма - грубое нарушение и несоблюдение существующих правил техники безопасности и норм по охране труда, несмотря на неоднократные предписания главным инженерам: тов. Ка-кунину — 3 марта 1943 г., тов. Лаврентьеву — 26 ноября 1943 г., тов. Ярополову - 15 мая 1944 г. и 11 июня 1944 г., а также директору комбината тов. Саханицкому, первое - 20 августа 1943 г., второе - 6 июня 1944 г., третье - 7 июня 1944 г. Ацетиленовые установки не испытаны, к сдаче не предъявлены, и до сего времени временные ацетиленовые установки не испробованы, аппараты применяются на постоянных работах, от последствий которых имели место взрывы в 8, 12-м цехах в 1943 г. и 28 апреля 1944 г. взрыв со смертельным исходом — см. акт комиссии от 28 апреля с.г. и 7 июня с.г., см. объяснение мастера цеха № 8 тов. Высоцкого. Подъемные механизмы, их приспособления и сосуды под давлением по цехам № 1, 8, 12, 18, 58 и другим в большинстве не испытаны и к сдаче инспектору котлонадзора не предъявлены, несмотря на тяжелый случай в цехе № 18 15 июня 1944 г. с рабочим ...", которого, вследствие обрыва троса, придавило кузовом вагонетки, нагруженной землей, все же в цехе № 18 продолжают работать на этих механизмах без испытаний и надлежащего оформления через инспектора котлонадзора. Штат работников ОТБ не укомплектован, тот, далеко недостающий штат, используется не по назначению: в большинстве заняты на производственных работах. Кабинет техбезопасности не организован, инструкции, плакаты в цехах отсутствуют, вводный инструктаж по ТБ с рабочими проводится формально, а инструктаж на рабочем месте проводится от случая к случаю; по цехам № 17, 27 рабочие не проинструктированы и учет охвата инструктажем не организован. Ременные, цепные передачи и опасные части механизмов, в частности по цехам № 3, 4, 5, 6, 17, 18, 27, в большинстве не ограждены, а имеющиеся ограждения сняты, часть используется вместо подставок на рабочих местах, а большинство выброшены. Рабочие места и проходы по цехам первого объекта сильно захламлены разными отходами, браком, стружка убирается нерегулярно, подставки-решетки на рабочих местах в большинстве поломаны, и пригодных можно встретить как исключение. Начальники цехов к вопросам профилактики, к своевременному оформлению актами несчастных случаев в надлежащей форме уделяют внимание недостаточно, акты составляются небрежно, безграмотно и несвоевременно, имеет место непредставление актов на случаи, происшедшие в марте месяце. Вентустановки в цехе № 18 и заточных отделениях цехов № 51, 59, 12 не работают, а в ряде других неисправны, и рабочие повседневно работают в пыли и газе. Рабочие цеха № 18, занятые на горячих работах, лишены пользования газированной водой, а рабочие цехов № 1-2 и 8 снабжаются нерегулярно. Начальник отдела снабжения тов. Мовенко доставку углекислоты обещал вначале к 1 июня, потом к 15-20 июня, и до сего времени таковой цеха в необходимой мере не имеют, а цех № 18 не получал за 3 мес. ни одного салона. Рабочие спецодеждой обеспечиваются нерегулярно, спецодежда низкого качества, в частности ботинки: при норме износа 1—2 года выдерживают не более 2-3 месяцев, а рукавицы вместо 1-2 месяцев -3-4 дня. И еще хуже обстоит дело с получением последней, пример: рабочим 25-го цеха отделом охраны труда была завизирована спецодежда - 36 костюмов и 30 пар ботинок в апреле месяце, на этом же списке имеется виза зам. директора тов. Горюнова принять на обеспечение, что считается предварительной визой, а окончательной визы на выдачу цех, добиваясь до июня месяца, пока не добился. Такие факты не единичны, и вследствие этого рабочие ходят голые и босые. Открытие поликлиники было намечено к 1 мая 1944 г., на 70 % провели ремонт помещения, и на этом дело заглохло и перспектив на открытие в ближайшее время не видно. Крайне затянулось открытие дома отдыха, так что потеряна всякая надежда открыть на летний сезон. Руководство комбината, зная обо всех перечисленных безобразиях, совершенно не реагирует, от вопросов сохранения кадров и создания безопасных, здоровых условий труда самоустранилось и поставило работу далеко недостаточных имеющихся кадров на износ. Вопросы тех-безопасности и охраны труда на данный момент пущены руководством на произвол. При наличии чрезвычайно большого роста травматизма и участившихся смертельных и тяжелых несчастных случаев руководством комбината ни один из виновников не наказан, что послужило причиной окончательного ослабления дисциплины по вопросам техбезопасности и охраны труда. По несчастным случаям, происшедшим по вине администрации цехов, за время нетрудоспособности рабочих выплачено соцстрахом по больничным листкам 52 934 рубля. Кроме того, за невыполнение предписаний и нарушение трудового законодательства техническим инспектором ЦК союза РПБ СССР были подвергнуты административным взысканиям и штрафу 26 человек. Для привлечения к уголовной ответственности передано 9 дел прокурору Кировского района (см. приложение «Список дел, переданных прокурору»), но переданные дела как за 1943 год, так и за 1944 год, в прокуратуре лежат, и ни по одному делу виновники до сего времени не наказаны, что также способствует расхолаживанию руководства и администрации цехов, потворствует росту травматизма. Такое положение завком дальше считает нетерпимым и просит райком ВКП(б) обратить серьезное внимание на все перечисленные выше безобразия и принять срочные меры по предотвращению травматизма, созданию безопасных здоровых условий работ, обеспечивающих высокий рост производительности труда и выпуск максимального количества боеприпасов.</w:t>
      </w:r>
    </w:p>
    <w:p w14:paraId="5B306E51"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Предзавкома ордена Ленина комбината Котляревский</w:t>
      </w:r>
    </w:p>
    <w:p w14:paraId="6C0511D5"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Председатель комиссии охраны труда Старцев</w:t>
      </w:r>
    </w:p>
    <w:p w14:paraId="198A149D"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ГАНО. Ф. П-4. Оп. 8. Д. 491. Л. 68-70. Подлинник.</w:t>
      </w:r>
    </w:p>
    <w:p w14:paraId="614584CE"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Подпись-автограф Старцева красным карандашом, подпись Котляревского в документе отсутствует. Таблица 2 опушена (Там. Л. 74).</w:t>
      </w:r>
    </w:p>
    <w:p w14:paraId="4304AE66"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w:t>
      </w:r>
    </w:p>
    <w:p w14:paraId="25A3578C"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Список дел, переданных прокурору в 1944 году, для привлечения конкретных виновников, нарушивших трудовое законодательство и правила по технике безопасности</w:t>
      </w:r>
    </w:p>
    <w:p w14:paraId="06625D32"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Тов. Смирнова — энергетика цеха № 18 и электромастера Марти-ненко, по вине которых произошел смертельный случай со смазчиком Юриным, дело было передано в прокуратуру 25 января 1944 г., виновники не привлечены.</w:t>
      </w:r>
    </w:p>
    <w:p w14:paraId="069DF7A6"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Тов. Вайнгрута - начальника погрузочного бюро комбината, по вине которого произошел смертельный случай с грузчиком Альясовым. Дело передано в прокуратуру 31 февраля 1944 г., виновник не привлечен.</w:t>
      </w:r>
    </w:p>
    <w:p w14:paraId="75323C6C"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Тов. Тасьвы - начальника цеха № 2 комбината и Гончарова -начальника смены, по вине которых произошел смертельный случай со шлаковщиком Богдановым, дело передано в прокуратуру 11 апреля 1944 г., виновники не привлечены.</w:t>
      </w:r>
    </w:p>
    <w:p w14:paraId="2344E004"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Второй раз тов. Тасьву — начальника цеха № 21 , по вине которого произошел несчастный случай со смертельным исходом с угляр-щиком Воробьевым, дело передано в прокуратуру 16 мая 1944 г. (дело не рассматривалось).</w:t>
      </w:r>
    </w:p>
    <w:p w14:paraId="2452B8C5"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Тов. Лаврентьева — главного инженера комбината и начальника участка Акулинич, по вине которых произошел смертельный случай с заправщицей ацетиленового аппарата Новгородцевой, дело передано в прокуратуру 16 мая 1944 года. Дело не рассмотрено.</w:t>
      </w:r>
    </w:p>
    <w:p w14:paraId="148723B4"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Тов. Карелина - энергетика цеха № 12, по вине которого произошел тяжелый случай с крановщицей Лецман, дело передано в прокуратуру 16 мая 1944 г., дело не рассмотрено.</w:t>
      </w:r>
    </w:p>
    <w:p w14:paraId="1F716478"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Тов. Ендовицкого - мастера цеха М 51, по вине которого произошел тяжелый случай с переломом рук токарю Ермаковой, дело передано в прокуратуру 16 мая 1944 г. (дело не рассмотрено).</w:t>
      </w:r>
    </w:p>
    <w:p w14:paraId="5C280C49"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Тов. Сатонина - начальника участка 28-го цеха и тов. Молчанова - начальника цеха № 28, по вине которых произошел смертельный случай с формовщиком Соколовым, дело передано в прокуратуру 15 июня 1944 г. (дело не рассмотрено) (12194).</w:t>
      </w:r>
    </w:p>
    <w:p w14:paraId="076C2B4F" w14:textId="77777777" w:rsidR="000340E9" w:rsidRPr="00070ADE" w:rsidRDefault="000340E9" w:rsidP="00B56F90">
      <w:pPr>
        <w:spacing w:after="0" w:line="240" w:lineRule="auto"/>
        <w:jc w:val="both"/>
        <w:rPr>
          <w:rFonts w:ascii="Times New Roman" w:hAnsi="Times New Roman"/>
          <w:color w:val="000000" w:themeColor="text1"/>
          <w:sz w:val="16"/>
          <w:szCs w:val="16"/>
        </w:rPr>
      </w:pPr>
    </w:p>
    <w:p w14:paraId="5BC620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15 июня 1944 г. танк Объект-701 был подвергнут длительным заводским испытаниям. В апреле - мае 1944 г. ЧКЗ изготовил два новых образца танка (№ 1 и 2) и к 1 июля предъявил их на полигонные испытания, ко</w:t>
      </w:r>
      <w:r w:rsidRPr="00070ADE">
        <w:rPr>
          <w:rFonts w:ascii="Times New Roman" w:hAnsi="Times New Roman"/>
          <w:color w:val="000000" w:themeColor="text1"/>
          <w:sz w:val="16"/>
          <w:szCs w:val="16"/>
        </w:rPr>
        <w:softHyphen/>
        <w:t>торые проходили в районе Челябинска с 1 июля по 15 августа 1944 г. под председательством начальника ГБТУ генерал-лейтенанта танковых войск Б.Г. Вершинина (10703).</w:t>
      </w:r>
    </w:p>
    <w:p w14:paraId="5ADBE3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C288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15 ию</w:t>
      </w:r>
      <w:r w:rsidRPr="00070ADE">
        <w:rPr>
          <w:rFonts w:ascii="Times New Roman" w:hAnsi="Times New Roman"/>
          <w:color w:val="000000" w:themeColor="text1"/>
          <w:sz w:val="16"/>
          <w:szCs w:val="16"/>
        </w:rPr>
        <w:softHyphen/>
        <w:t>ня 1944 г. с целью повышения бронестойкости нижнего лобового листа корпу</w:t>
      </w:r>
      <w:r w:rsidRPr="00070ADE">
        <w:rPr>
          <w:rFonts w:ascii="Times New Roman" w:hAnsi="Times New Roman"/>
          <w:color w:val="000000" w:themeColor="text1"/>
          <w:sz w:val="16"/>
          <w:szCs w:val="16"/>
        </w:rPr>
        <w:softHyphen/>
        <w:t>са (толщиной 90 мм для катаной или 130 мм для литой) на нем стали устанавливаться шесть запасных траков. У корпусов со спрямленной носовой частью в левом борту располагался круглый люк для загрузки боеприпасов, закрывавшийся броневой крышкой на петле (10703).</w:t>
      </w:r>
    </w:p>
    <w:p w14:paraId="02062A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F3B5E8"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15 июня 1944 года был изготовлен заводом №200 первый корпус модернизированного ИСа и отгружен в адрес ЧКЗ.</w:t>
      </w:r>
    </w:p>
    <w:p w14:paraId="2096359D"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Бронирование танка предполагалось уси</w:t>
      </w:r>
      <w:r w:rsidRPr="00C94B78">
        <w:rPr>
          <w:rFonts w:ascii="Times New Roman" w:hAnsi="Times New Roman"/>
          <w:color w:val="0070C0"/>
          <w:sz w:val="16"/>
          <w:szCs w:val="16"/>
        </w:rPr>
        <w:softHyphen/>
        <w:t>лить за счет использования полностью сварного корпуса. Его лобовая часть состояла из двух листов: верхнего толщиной 120 мм с углом наклона 60° к вертикали и нижнего—толщиной 90 мм, также с углом наклона 60°. Это делало лобовую часть корпуса неуязвимой для обстре</w:t>
      </w:r>
      <w:r w:rsidRPr="00C94B78">
        <w:rPr>
          <w:rFonts w:ascii="Times New Roman" w:hAnsi="Times New Roman"/>
          <w:color w:val="0070C0"/>
          <w:sz w:val="16"/>
          <w:szCs w:val="16"/>
        </w:rPr>
        <w:softHyphen/>
        <w:t>ла из 88-мм пушки обр. 1943 г. Бортовая броня по конструкции была подобна таковой у Т-34 и имела надкрылок толщиной 75 мм, расположен</w:t>
      </w:r>
      <w:r w:rsidRPr="00C94B78">
        <w:rPr>
          <w:rFonts w:ascii="Times New Roman" w:hAnsi="Times New Roman"/>
          <w:color w:val="0070C0"/>
          <w:sz w:val="16"/>
          <w:szCs w:val="16"/>
        </w:rPr>
        <w:softHyphen/>
        <w:t>ный под углом 60° к вертикали и экран толщиной 15 мм. Нижняя же часть борта изготавливалась из вертикального листа толщиной 100 мм. Кро</w:t>
      </w:r>
      <w:r w:rsidRPr="00C94B78">
        <w:rPr>
          <w:rFonts w:ascii="Times New Roman" w:hAnsi="Times New Roman"/>
          <w:color w:val="0070C0"/>
          <w:sz w:val="16"/>
          <w:szCs w:val="16"/>
        </w:rPr>
        <w:softHyphen/>
        <w:t>ме того, танк получил корытообразное днище толщиной 20 мм с 30-мм экранами по бортам. Конструкция кормовой части предполагалась аналогичной ИС-2.</w:t>
      </w:r>
    </w:p>
    <w:p w14:paraId="3D938195"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Башня с увеличенной до 130 мм лобовой броней не была изготовлена из-за отсутствия модели. Предполагалось, что последняя будет изготовлена на ЧКЗ не ранее 18 июня. Однако, на ЧКЗ не торопились. Причем, не торопились настолько, что сорвали сроки, указанные в совместном приказе НКТП и ГБТУ. В чем же дело? По мнению военпредов причина заключалась в том, что «руководство Кировского завода не было заинтересовано в модернизации танка ИС и не желало проводить какие-либо рабо</w:t>
      </w:r>
      <w:r w:rsidRPr="00C94B78">
        <w:rPr>
          <w:rFonts w:ascii="Times New Roman" w:hAnsi="Times New Roman"/>
          <w:color w:val="0070C0"/>
          <w:sz w:val="16"/>
          <w:szCs w:val="16"/>
        </w:rPr>
        <w:softHyphen/>
        <w:t>ты, связанные с этим». Все внимание руководства ЧКЗ было приковано к созданию собственного образца тяжелого танка «К» (или объект 701), которым завод занимался с осени 1943 года. Улучшать характеристики «чужой» машины, а ИС-2 как известно был разработан Опытным заводом №100, им не хотелось.</w:t>
      </w:r>
    </w:p>
    <w:p w14:paraId="5EDF0349"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Ленинградцы из СКБ-2 работали и в КБ завода №100 и в КБ ЧКЗ. Первое возглавлял А.С.Ермолаев, второе - Н.Л.Духов. Общее же руководство обоими коллективами осущест</w:t>
      </w:r>
      <w:r w:rsidRPr="00C94B78">
        <w:rPr>
          <w:rFonts w:ascii="Times New Roman" w:hAnsi="Times New Roman"/>
          <w:color w:val="0070C0"/>
          <w:sz w:val="16"/>
          <w:szCs w:val="16"/>
        </w:rPr>
        <w:softHyphen/>
        <w:t>влял Ж.Я.Котин. Более того, все эти разборки «свое - чужое» проходили под боком наркомата, который находился тут же, в Челябинске (25001).</w:t>
      </w:r>
    </w:p>
    <w:p w14:paraId="2C8DFB0F" w14:textId="77777777" w:rsidR="00BA3A2B" w:rsidRPr="00C94B78" w:rsidRDefault="00BA3A2B" w:rsidP="00B56F90">
      <w:pPr>
        <w:spacing w:after="0" w:line="240" w:lineRule="auto"/>
        <w:jc w:val="both"/>
        <w:rPr>
          <w:rFonts w:ascii="Times New Roman" w:hAnsi="Times New Roman"/>
          <w:color w:val="0070C0"/>
          <w:sz w:val="16"/>
          <w:szCs w:val="16"/>
        </w:rPr>
      </w:pPr>
    </w:p>
    <w:p w14:paraId="418C48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июня 1944 г. была подготовлена СПРАВКА ЗАМЕСТИТЕЛЯ НАЧАЛЬНИКА ГБТУ КА ПО КАЧЕСТВУ ТАНКОВ, ВЫПУЩЕННЫХ ЗАВОДАМИ № 522656</w:t>
      </w:r>
    </w:p>
    <w:p w14:paraId="3DB311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апрель-декабрь месяцы 1943 г.</w:t>
      </w:r>
    </w:p>
    <w:p w14:paraId="19B062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 апреля по декабрь 1943 г. танки, подвергнутые приемо-сдаточным пробеговым испытани</w:t>
      </w:r>
      <w:r w:rsidRPr="00070ADE">
        <w:rPr>
          <w:rFonts w:ascii="Times New Roman" w:hAnsi="Times New Roman"/>
          <w:color w:val="000000" w:themeColor="text1"/>
          <w:sz w:val="16"/>
          <w:szCs w:val="16"/>
        </w:rPr>
        <w:softHyphen/>
        <w:t>ям на 50 км, дали следующие результаты:</w:t>
      </w:r>
    </w:p>
    <w:tbl>
      <w:tblPr>
        <w:tblW w:w="0" w:type="auto"/>
        <w:tblInd w:w="40" w:type="dxa"/>
        <w:tblLayout w:type="fixed"/>
        <w:tblCellMar>
          <w:left w:w="40" w:type="dxa"/>
          <w:right w:w="40" w:type="dxa"/>
        </w:tblCellMar>
        <w:tblLook w:val="0000" w:firstRow="0" w:lastRow="0" w:firstColumn="0" w:lastColumn="0" w:noHBand="0" w:noVBand="0"/>
      </w:tblPr>
      <w:tblGrid>
        <w:gridCol w:w="1123"/>
        <w:gridCol w:w="960"/>
        <w:gridCol w:w="1661"/>
        <w:gridCol w:w="1757"/>
        <w:gridCol w:w="1930"/>
        <w:gridCol w:w="2093"/>
      </w:tblGrid>
      <w:tr w:rsidR="004D4663" w:rsidRPr="00070ADE" w14:paraId="3FFE42A5" w14:textId="77777777">
        <w:trPr>
          <w:trHeight w:val="240"/>
        </w:trPr>
        <w:tc>
          <w:tcPr>
            <w:tcW w:w="1123" w:type="dxa"/>
            <w:tcBorders>
              <w:top w:val="single" w:sz="6" w:space="0" w:color="auto"/>
              <w:left w:val="single" w:sz="6" w:space="0" w:color="auto"/>
              <w:bottom w:val="nil"/>
              <w:right w:val="single" w:sz="6" w:space="0" w:color="auto"/>
            </w:tcBorders>
          </w:tcPr>
          <w:p w14:paraId="1ECE3B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танка</w:t>
            </w:r>
          </w:p>
          <w:p w14:paraId="68C363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01" w:type="dxa"/>
            <w:gridSpan w:val="5"/>
            <w:tcBorders>
              <w:top w:val="single" w:sz="6" w:space="0" w:color="auto"/>
              <w:left w:val="single" w:sz="6" w:space="0" w:color="auto"/>
              <w:bottom w:val="single" w:sz="6" w:space="0" w:color="auto"/>
              <w:right w:val="single" w:sz="6" w:space="0" w:color="auto"/>
            </w:tcBorders>
          </w:tcPr>
          <w:p w14:paraId="2AC97B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танков принятых после:</w:t>
            </w:r>
          </w:p>
          <w:p w14:paraId="0E892F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4FE5823" w14:textId="77777777">
        <w:trPr>
          <w:trHeight w:val="365"/>
        </w:trPr>
        <w:tc>
          <w:tcPr>
            <w:tcW w:w="1123" w:type="dxa"/>
            <w:tcBorders>
              <w:top w:val="nil"/>
              <w:left w:val="single" w:sz="6" w:space="0" w:color="auto"/>
              <w:bottom w:val="single" w:sz="6" w:space="0" w:color="auto"/>
              <w:right w:val="single" w:sz="6" w:space="0" w:color="auto"/>
            </w:tcBorders>
          </w:tcPr>
          <w:p w14:paraId="184F9C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13269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61899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Первого пробега</w:t>
            </w:r>
          </w:p>
          <w:p w14:paraId="38C4A8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6B776B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Одного контрольного пробега</w:t>
            </w:r>
          </w:p>
          <w:p w14:paraId="5F5C50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73957F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Двух контрольных пробегов</w:t>
            </w:r>
          </w:p>
          <w:p w14:paraId="493DAB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5DE873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Трех и более контрольных пробегов</w:t>
            </w:r>
          </w:p>
          <w:p w14:paraId="39A43C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6CB7F1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танков, назначенных в контрольный пробег</w:t>
            </w:r>
          </w:p>
          <w:p w14:paraId="67BC11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BF77EF2" w14:textId="77777777">
        <w:trPr>
          <w:trHeight w:val="682"/>
        </w:trPr>
        <w:tc>
          <w:tcPr>
            <w:tcW w:w="1123" w:type="dxa"/>
            <w:tcBorders>
              <w:top w:val="single" w:sz="6" w:space="0" w:color="auto"/>
              <w:left w:val="single" w:sz="6" w:space="0" w:color="auto"/>
              <w:bottom w:val="single" w:sz="6" w:space="0" w:color="auto"/>
              <w:right w:val="single" w:sz="6" w:space="0" w:color="auto"/>
            </w:tcBorders>
          </w:tcPr>
          <w:p w14:paraId="1C8805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КВ Т-34 Т-70</w:t>
            </w:r>
          </w:p>
          <w:p w14:paraId="29381D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8BF19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70,0 87,6 54,7</w:t>
            </w:r>
          </w:p>
          <w:p w14:paraId="06328F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5CB23D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23,4 10,5 31,5</w:t>
            </w:r>
          </w:p>
          <w:p w14:paraId="3CE193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34EF2E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5,6 1,3 9,5</w:t>
            </w:r>
          </w:p>
          <w:p w14:paraId="56D701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116DA6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1,0 0,6 4,3</w:t>
            </w:r>
          </w:p>
          <w:p w14:paraId="369F85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20C8AD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30,0 12,4 45,3</w:t>
            </w:r>
          </w:p>
          <w:p w14:paraId="4DA708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0CDCA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танков Т-34, назначенных в повторные контрольные пробеги, по заводам изготовителям со</w:t>
      </w:r>
      <w:r w:rsidRPr="00070ADE">
        <w:rPr>
          <w:rFonts w:ascii="Times New Roman" w:hAnsi="Times New Roman"/>
          <w:color w:val="000000" w:themeColor="text1"/>
          <w:sz w:val="16"/>
          <w:szCs w:val="16"/>
        </w:rPr>
        <w:softHyphen/>
        <w:t>ставил: Кировский завод - 11,7%, завод №183-10,8%, завод №112-17,7%, завод №174-11,8% и Уралмашзавод — 18,5%.</w:t>
      </w:r>
    </w:p>
    <w:p w14:paraId="71D021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приемо-сдаточных пробеговых испытаниях было обнаружено большое количество следую</w:t>
      </w:r>
      <w:r w:rsidRPr="00070ADE">
        <w:rPr>
          <w:rFonts w:ascii="Times New Roman" w:hAnsi="Times New Roman"/>
          <w:color w:val="000000" w:themeColor="text1"/>
          <w:sz w:val="16"/>
          <w:szCs w:val="16"/>
        </w:rPr>
        <w:softHyphen/>
        <w:t>щих основных дефектов:</w:t>
      </w:r>
    </w:p>
    <w:p w14:paraId="588F65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Течь через сальниковые уплотнения.</w:t>
      </w:r>
    </w:p>
    <w:p w14:paraId="10415C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Частые разрегулировки приводов управления.</w:t>
      </w:r>
    </w:p>
    <w:p w14:paraId="368BBA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Выход из строя контрольных приборов.</w:t>
      </w:r>
    </w:p>
    <w:p w14:paraId="296C45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Разрушение шестерен коробки перемены передач (особенно на танках завода №174) и дру</w:t>
      </w:r>
      <w:r w:rsidRPr="00070ADE">
        <w:rPr>
          <w:rFonts w:ascii="Times New Roman" w:hAnsi="Times New Roman"/>
          <w:color w:val="000000" w:themeColor="text1"/>
          <w:sz w:val="16"/>
          <w:szCs w:val="16"/>
        </w:rPr>
        <w:softHyphen/>
        <w:t>гие.</w:t>
      </w:r>
    </w:p>
    <w:p w14:paraId="39BBF0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Испытания танков пробегом на 300 км за период апрель-декабрь 1943 года дали следующие результаты:</w:t>
      </w:r>
    </w:p>
    <w:tbl>
      <w:tblPr>
        <w:tblW w:w="0" w:type="auto"/>
        <w:tblInd w:w="40" w:type="dxa"/>
        <w:tblLayout w:type="fixed"/>
        <w:tblCellMar>
          <w:left w:w="40" w:type="dxa"/>
          <w:right w:w="40" w:type="dxa"/>
        </w:tblCellMar>
        <w:tblLook w:val="0000" w:firstRow="0" w:lastRow="0" w:firstColumn="0" w:lastColumn="0" w:noHBand="0" w:noVBand="0"/>
      </w:tblPr>
      <w:tblGrid>
        <w:gridCol w:w="1987"/>
        <w:gridCol w:w="1430"/>
        <w:gridCol w:w="1440"/>
        <w:gridCol w:w="1200"/>
        <w:gridCol w:w="1286"/>
        <w:gridCol w:w="2198"/>
      </w:tblGrid>
      <w:tr w:rsidR="004D4663" w:rsidRPr="00070ADE" w14:paraId="19F749DB" w14:textId="77777777">
        <w:trPr>
          <w:trHeight w:val="240"/>
        </w:trPr>
        <w:tc>
          <w:tcPr>
            <w:tcW w:w="1987" w:type="dxa"/>
            <w:tcBorders>
              <w:top w:val="single" w:sz="6" w:space="0" w:color="auto"/>
              <w:left w:val="single" w:sz="6" w:space="0" w:color="auto"/>
              <w:bottom w:val="nil"/>
              <w:right w:val="single" w:sz="6" w:space="0" w:color="auto"/>
            </w:tcBorders>
          </w:tcPr>
          <w:p w14:paraId="7A0DCD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изготовитель</w:t>
            </w:r>
          </w:p>
          <w:p w14:paraId="7E9A5C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Borders>
              <w:top w:val="single" w:sz="6" w:space="0" w:color="auto"/>
              <w:left w:val="single" w:sz="6" w:space="0" w:color="auto"/>
              <w:bottom w:val="nil"/>
              <w:right w:val="single" w:sz="6" w:space="0" w:color="auto"/>
            </w:tcBorders>
          </w:tcPr>
          <w:p w14:paraId="02D94F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танка</w:t>
            </w:r>
          </w:p>
          <w:p w14:paraId="65C2B3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795BE1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испытанных танков</w:t>
            </w:r>
          </w:p>
          <w:p w14:paraId="54DE2C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86" w:type="dxa"/>
            <w:gridSpan w:val="2"/>
            <w:tcBorders>
              <w:top w:val="single" w:sz="6" w:space="0" w:color="auto"/>
              <w:left w:val="single" w:sz="6" w:space="0" w:color="auto"/>
              <w:bottom w:val="single" w:sz="6" w:space="0" w:color="auto"/>
              <w:right w:val="single" w:sz="6" w:space="0" w:color="auto"/>
            </w:tcBorders>
          </w:tcPr>
          <w:p w14:paraId="6A5723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них испытания:</w:t>
            </w:r>
          </w:p>
          <w:p w14:paraId="2BEF2E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nil"/>
              <w:right w:val="single" w:sz="6" w:space="0" w:color="auto"/>
            </w:tcBorders>
          </w:tcPr>
          <w:p w14:paraId="11E91A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танков, не выдержавших испытания</w:t>
            </w:r>
          </w:p>
          <w:p w14:paraId="3698AB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AF6DBAC" w14:textId="77777777">
        <w:trPr>
          <w:trHeight w:val="182"/>
        </w:trPr>
        <w:tc>
          <w:tcPr>
            <w:tcW w:w="1987" w:type="dxa"/>
            <w:tcBorders>
              <w:top w:val="nil"/>
              <w:left w:val="single" w:sz="6" w:space="0" w:color="auto"/>
              <w:bottom w:val="single" w:sz="6" w:space="0" w:color="auto"/>
              <w:right w:val="single" w:sz="6" w:space="0" w:color="auto"/>
            </w:tcBorders>
          </w:tcPr>
          <w:p w14:paraId="3ED904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690F6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Borders>
              <w:top w:val="nil"/>
              <w:left w:val="single" w:sz="6" w:space="0" w:color="auto"/>
              <w:bottom w:val="single" w:sz="6" w:space="0" w:color="auto"/>
              <w:right w:val="single" w:sz="6" w:space="0" w:color="auto"/>
            </w:tcBorders>
          </w:tcPr>
          <w:p w14:paraId="2248E0E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0E996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7C51B5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59DC7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70EE87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Выдержали</w:t>
            </w:r>
          </w:p>
          <w:p w14:paraId="09E157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24EB8E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 выдержали</w:t>
            </w:r>
          </w:p>
          <w:p w14:paraId="7BCF94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nil"/>
              <w:left w:val="single" w:sz="6" w:space="0" w:color="auto"/>
              <w:bottom w:val="single" w:sz="6" w:space="0" w:color="auto"/>
              <w:right w:val="single" w:sz="6" w:space="0" w:color="auto"/>
            </w:tcBorders>
          </w:tcPr>
          <w:p w14:paraId="658369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7134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91AC09C" w14:textId="77777777">
        <w:trPr>
          <w:trHeight w:val="202"/>
        </w:trPr>
        <w:tc>
          <w:tcPr>
            <w:tcW w:w="1987" w:type="dxa"/>
            <w:tcBorders>
              <w:top w:val="single" w:sz="6" w:space="0" w:color="auto"/>
              <w:left w:val="single" w:sz="6" w:space="0" w:color="auto"/>
              <w:bottom w:val="nil"/>
              <w:right w:val="single" w:sz="6" w:space="0" w:color="auto"/>
            </w:tcBorders>
          </w:tcPr>
          <w:p w14:paraId="6B564D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 завод апрель-август</w:t>
            </w:r>
          </w:p>
          <w:p w14:paraId="68F720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Borders>
              <w:top w:val="single" w:sz="6" w:space="0" w:color="auto"/>
              <w:left w:val="single" w:sz="6" w:space="0" w:color="auto"/>
              <w:bottom w:val="nil"/>
              <w:right w:val="single" w:sz="6" w:space="0" w:color="auto"/>
            </w:tcBorders>
          </w:tcPr>
          <w:p w14:paraId="6B989F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КВ-1с</w:t>
            </w:r>
          </w:p>
          <w:p w14:paraId="59271C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4C854F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p w14:paraId="313E41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nil"/>
              <w:right w:val="single" w:sz="6" w:space="0" w:color="auto"/>
            </w:tcBorders>
          </w:tcPr>
          <w:p w14:paraId="3C7644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202BE8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nil"/>
              <w:right w:val="single" w:sz="6" w:space="0" w:color="auto"/>
            </w:tcBorders>
          </w:tcPr>
          <w:p w14:paraId="4F7BE8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p w14:paraId="5FA4B2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nil"/>
              <w:right w:val="single" w:sz="6" w:space="0" w:color="auto"/>
            </w:tcBorders>
          </w:tcPr>
          <w:p w14:paraId="4C6889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6181BC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F1BDAA3" w14:textId="77777777">
        <w:trPr>
          <w:trHeight w:val="202"/>
        </w:trPr>
        <w:tc>
          <w:tcPr>
            <w:tcW w:w="1987" w:type="dxa"/>
            <w:tcBorders>
              <w:top w:val="nil"/>
              <w:left w:val="single" w:sz="6" w:space="0" w:color="auto"/>
              <w:bottom w:val="nil"/>
              <w:right w:val="single" w:sz="6" w:space="0" w:color="auto"/>
            </w:tcBorders>
          </w:tcPr>
          <w:p w14:paraId="225C08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 завод апрель-август</w:t>
            </w:r>
          </w:p>
          <w:p w14:paraId="3FB44D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Borders>
              <w:top w:val="nil"/>
              <w:left w:val="single" w:sz="6" w:space="0" w:color="auto"/>
              <w:bottom w:val="nil"/>
              <w:right w:val="single" w:sz="6" w:space="0" w:color="auto"/>
            </w:tcBorders>
          </w:tcPr>
          <w:p w14:paraId="0311A6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5735CD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46107D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p w14:paraId="019EFF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nil"/>
              <w:left w:val="single" w:sz="6" w:space="0" w:color="auto"/>
              <w:bottom w:val="nil"/>
              <w:right w:val="single" w:sz="6" w:space="0" w:color="auto"/>
            </w:tcBorders>
          </w:tcPr>
          <w:p w14:paraId="4BAFC3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p w14:paraId="30EFC0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78B957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p w14:paraId="795FAC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nil"/>
              <w:left w:val="single" w:sz="6" w:space="0" w:color="auto"/>
              <w:bottom w:val="nil"/>
              <w:right w:val="single" w:sz="6" w:space="0" w:color="auto"/>
            </w:tcBorders>
          </w:tcPr>
          <w:p w14:paraId="665B89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p w14:paraId="60AFB0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C74B0C6" w14:textId="77777777">
        <w:trPr>
          <w:trHeight w:val="182"/>
        </w:trPr>
        <w:tc>
          <w:tcPr>
            <w:tcW w:w="1987" w:type="dxa"/>
            <w:tcBorders>
              <w:top w:val="nil"/>
              <w:left w:val="single" w:sz="6" w:space="0" w:color="auto"/>
              <w:bottom w:val="nil"/>
              <w:right w:val="single" w:sz="6" w:space="0" w:color="auto"/>
            </w:tcBorders>
          </w:tcPr>
          <w:p w14:paraId="7A9F7D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№183</w:t>
            </w:r>
          </w:p>
          <w:p w14:paraId="53ABD7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Borders>
              <w:top w:val="nil"/>
              <w:left w:val="single" w:sz="6" w:space="0" w:color="auto"/>
              <w:bottom w:val="nil"/>
              <w:right w:val="single" w:sz="6" w:space="0" w:color="auto"/>
            </w:tcBorders>
          </w:tcPr>
          <w:p w14:paraId="027668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138155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63BD70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w:t>
            </w:r>
          </w:p>
          <w:p w14:paraId="7592C0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nil"/>
              <w:left w:val="single" w:sz="6" w:space="0" w:color="auto"/>
              <w:bottom w:val="nil"/>
              <w:right w:val="single" w:sz="6" w:space="0" w:color="auto"/>
            </w:tcBorders>
          </w:tcPr>
          <w:p w14:paraId="19EB6B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77892B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644497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w:t>
            </w:r>
          </w:p>
          <w:p w14:paraId="367852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nil"/>
              <w:left w:val="single" w:sz="6" w:space="0" w:color="auto"/>
              <w:bottom w:val="nil"/>
              <w:right w:val="single" w:sz="6" w:space="0" w:color="auto"/>
            </w:tcBorders>
          </w:tcPr>
          <w:p w14:paraId="4114E3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57,0</w:t>
            </w:r>
          </w:p>
          <w:p w14:paraId="597B5B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A09718D" w14:textId="77777777">
        <w:trPr>
          <w:trHeight w:val="202"/>
        </w:trPr>
        <w:tc>
          <w:tcPr>
            <w:tcW w:w="1987" w:type="dxa"/>
            <w:tcBorders>
              <w:top w:val="nil"/>
              <w:left w:val="single" w:sz="6" w:space="0" w:color="auto"/>
              <w:bottom w:val="nil"/>
              <w:right w:val="single" w:sz="6" w:space="0" w:color="auto"/>
            </w:tcBorders>
          </w:tcPr>
          <w:p w14:paraId="53AE99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№112</w:t>
            </w:r>
          </w:p>
          <w:p w14:paraId="6C4C9A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Borders>
              <w:top w:val="nil"/>
              <w:left w:val="single" w:sz="6" w:space="0" w:color="auto"/>
              <w:bottom w:val="nil"/>
              <w:right w:val="single" w:sz="6" w:space="0" w:color="auto"/>
            </w:tcBorders>
          </w:tcPr>
          <w:p w14:paraId="51C5E0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2F533B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272A98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p w14:paraId="282CC6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nil"/>
              <w:left w:val="single" w:sz="6" w:space="0" w:color="auto"/>
              <w:bottom w:val="nil"/>
              <w:right w:val="single" w:sz="6" w:space="0" w:color="auto"/>
            </w:tcBorders>
          </w:tcPr>
          <w:p w14:paraId="58CCC5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w:t>
            </w:r>
          </w:p>
          <w:p w14:paraId="42D24B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18A91F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p w14:paraId="2B1798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nil"/>
              <w:left w:val="single" w:sz="6" w:space="0" w:color="auto"/>
              <w:bottom w:val="nil"/>
              <w:right w:val="single" w:sz="6" w:space="0" w:color="auto"/>
            </w:tcBorders>
          </w:tcPr>
          <w:p w14:paraId="4335A0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41,6</w:t>
            </w:r>
          </w:p>
          <w:p w14:paraId="7B6AC4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B3046C3" w14:textId="77777777">
        <w:trPr>
          <w:trHeight w:val="202"/>
        </w:trPr>
        <w:tc>
          <w:tcPr>
            <w:tcW w:w="1987" w:type="dxa"/>
            <w:tcBorders>
              <w:top w:val="nil"/>
              <w:left w:val="single" w:sz="6" w:space="0" w:color="auto"/>
              <w:bottom w:val="nil"/>
              <w:right w:val="single" w:sz="6" w:space="0" w:color="auto"/>
            </w:tcBorders>
          </w:tcPr>
          <w:p w14:paraId="67561C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№174</w:t>
            </w:r>
          </w:p>
          <w:p w14:paraId="6D997B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Borders>
              <w:top w:val="nil"/>
              <w:left w:val="single" w:sz="6" w:space="0" w:color="auto"/>
              <w:bottom w:val="nil"/>
              <w:right w:val="single" w:sz="6" w:space="0" w:color="auto"/>
            </w:tcBorders>
          </w:tcPr>
          <w:p w14:paraId="342EDB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049E5B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4A3A65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p w14:paraId="3D53B7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nil"/>
              <w:left w:val="single" w:sz="6" w:space="0" w:color="auto"/>
              <w:bottom w:val="nil"/>
              <w:right w:val="single" w:sz="6" w:space="0" w:color="auto"/>
            </w:tcBorders>
          </w:tcPr>
          <w:p w14:paraId="4FC24C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6C030C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4C1159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p w14:paraId="50A6F7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nil"/>
              <w:left w:val="single" w:sz="6" w:space="0" w:color="auto"/>
              <w:bottom w:val="nil"/>
              <w:right w:val="single" w:sz="6" w:space="0" w:color="auto"/>
            </w:tcBorders>
          </w:tcPr>
          <w:p w14:paraId="307F6C0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69,2</w:t>
            </w:r>
          </w:p>
          <w:p w14:paraId="235FBF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4B0AE80" w14:textId="77777777">
        <w:trPr>
          <w:trHeight w:val="192"/>
        </w:trPr>
        <w:tc>
          <w:tcPr>
            <w:tcW w:w="1987" w:type="dxa"/>
            <w:tcBorders>
              <w:top w:val="nil"/>
              <w:left w:val="single" w:sz="6" w:space="0" w:color="auto"/>
              <w:bottom w:val="nil"/>
              <w:right w:val="single" w:sz="6" w:space="0" w:color="auto"/>
            </w:tcBorders>
          </w:tcPr>
          <w:p w14:paraId="76176A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7B690A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Borders>
              <w:top w:val="nil"/>
              <w:left w:val="single" w:sz="6" w:space="0" w:color="auto"/>
              <w:bottom w:val="nil"/>
              <w:right w:val="single" w:sz="6" w:space="0" w:color="auto"/>
            </w:tcBorders>
          </w:tcPr>
          <w:p w14:paraId="07CA43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758EF3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08246A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115</w:t>
            </w:r>
          </w:p>
          <w:p w14:paraId="781C97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nil"/>
              <w:left w:val="single" w:sz="6" w:space="0" w:color="auto"/>
              <w:bottom w:val="nil"/>
              <w:right w:val="single" w:sz="6" w:space="0" w:color="auto"/>
            </w:tcBorders>
          </w:tcPr>
          <w:p w14:paraId="7BFA8A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w:t>
            </w:r>
          </w:p>
          <w:p w14:paraId="55AC61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511B88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w:t>
            </w:r>
          </w:p>
          <w:p w14:paraId="2849BB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nil"/>
              <w:left w:val="single" w:sz="6" w:space="0" w:color="auto"/>
              <w:bottom w:val="nil"/>
              <w:right w:val="single" w:sz="6" w:space="0" w:color="auto"/>
            </w:tcBorders>
          </w:tcPr>
          <w:p w14:paraId="2F9FBF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43,0</w:t>
            </w:r>
          </w:p>
          <w:p w14:paraId="1E70B3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3CCB143" w14:textId="77777777">
        <w:trPr>
          <w:trHeight w:val="240"/>
        </w:trPr>
        <w:tc>
          <w:tcPr>
            <w:tcW w:w="1987" w:type="dxa"/>
            <w:tcBorders>
              <w:top w:val="nil"/>
              <w:left w:val="single" w:sz="6" w:space="0" w:color="auto"/>
              <w:bottom w:val="single" w:sz="6" w:space="0" w:color="auto"/>
              <w:right w:val="single" w:sz="6" w:space="0" w:color="auto"/>
            </w:tcBorders>
          </w:tcPr>
          <w:p w14:paraId="69234B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ГАЗ им. Молотова апрель-август</w:t>
            </w:r>
          </w:p>
          <w:p w14:paraId="0A126A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tcBorders>
              <w:top w:val="nil"/>
              <w:left w:val="single" w:sz="6" w:space="0" w:color="auto"/>
              <w:bottom w:val="single" w:sz="6" w:space="0" w:color="auto"/>
              <w:right w:val="single" w:sz="6" w:space="0" w:color="auto"/>
            </w:tcBorders>
          </w:tcPr>
          <w:p w14:paraId="7F921D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Т-70</w:t>
            </w:r>
          </w:p>
          <w:p w14:paraId="23713E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4A826E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p w14:paraId="08D12C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nil"/>
              <w:left w:val="single" w:sz="6" w:space="0" w:color="auto"/>
              <w:bottom w:val="single" w:sz="6" w:space="0" w:color="auto"/>
              <w:right w:val="single" w:sz="6" w:space="0" w:color="auto"/>
            </w:tcBorders>
          </w:tcPr>
          <w:p w14:paraId="5B9393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p w14:paraId="4794A9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single" w:sz="6" w:space="0" w:color="auto"/>
              <w:right w:val="single" w:sz="6" w:space="0" w:color="auto"/>
            </w:tcBorders>
          </w:tcPr>
          <w:p w14:paraId="2D2F4F2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0AFB77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nil"/>
              <w:left w:val="single" w:sz="6" w:space="0" w:color="auto"/>
              <w:bottom w:val="single" w:sz="6" w:space="0" w:color="auto"/>
              <w:right w:val="single" w:sz="6" w:space="0" w:color="auto"/>
            </w:tcBorders>
          </w:tcPr>
          <w:p w14:paraId="6C1B09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33,3</w:t>
            </w:r>
          </w:p>
          <w:p w14:paraId="6451DE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EB92D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результатов испытаний танков пробегами на 300 км видно, что большая часть танков испы</w:t>
      </w:r>
      <w:r w:rsidRPr="00070ADE">
        <w:rPr>
          <w:rFonts w:ascii="Times New Roman" w:hAnsi="Times New Roman"/>
          <w:color w:val="000000" w:themeColor="text1"/>
          <w:sz w:val="16"/>
          <w:szCs w:val="16"/>
        </w:rPr>
        <w:softHyphen/>
        <w:t>таний не выдержала.</w:t>
      </w:r>
    </w:p>
    <w:p w14:paraId="3113A9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этих испытаниях имели место как дефекты, обнаруженные в приемо-сдаточных пробегах на 50 км, так и более серьезные дефекты узлов агрегатов: выход из строя главных фрикционов, ко</w:t>
      </w:r>
      <w:r w:rsidRPr="00070ADE">
        <w:rPr>
          <w:rFonts w:ascii="Times New Roman" w:hAnsi="Times New Roman"/>
          <w:color w:val="000000" w:themeColor="text1"/>
          <w:sz w:val="16"/>
          <w:szCs w:val="16"/>
        </w:rPr>
        <w:softHyphen/>
        <w:t>робок перемены передач (особенно на танках изготовления завода №174), осей роликов ведущих колес и другие.</w:t>
      </w:r>
    </w:p>
    <w:p w14:paraId="5A62DB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Испытания танков на гарантийный километраж за период апрель-декабрь 1943 года дали сле</w:t>
      </w:r>
      <w:r w:rsidRPr="00070ADE">
        <w:rPr>
          <w:rFonts w:ascii="Times New Roman" w:hAnsi="Times New Roman"/>
          <w:color w:val="000000" w:themeColor="text1"/>
          <w:sz w:val="16"/>
          <w:szCs w:val="16"/>
        </w:rPr>
        <w:softHyphen/>
        <w:t>дующие результаты:</w:t>
      </w:r>
    </w:p>
    <w:tbl>
      <w:tblPr>
        <w:tblW w:w="0" w:type="auto"/>
        <w:tblInd w:w="40" w:type="dxa"/>
        <w:tblLayout w:type="fixed"/>
        <w:tblCellMar>
          <w:left w:w="40" w:type="dxa"/>
          <w:right w:w="40" w:type="dxa"/>
        </w:tblCellMar>
        <w:tblLook w:val="0000" w:firstRow="0" w:lastRow="0" w:firstColumn="0" w:lastColumn="0" w:noHBand="0" w:noVBand="0"/>
      </w:tblPr>
      <w:tblGrid>
        <w:gridCol w:w="2102"/>
        <w:gridCol w:w="1440"/>
        <w:gridCol w:w="1440"/>
        <w:gridCol w:w="1171"/>
        <w:gridCol w:w="1325"/>
        <w:gridCol w:w="2160"/>
      </w:tblGrid>
      <w:tr w:rsidR="004D4663" w:rsidRPr="00070ADE" w14:paraId="403BF53D" w14:textId="77777777">
        <w:trPr>
          <w:trHeight w:val="250"/>
        </w:trPr>
        <w:tc>
          <w:tcPr>
            <w:tcW w:w="2102" w:type="dxa"/>
            <w:tcBorders>
              <w:top w:val="single" w:sz="6" w:space="0" w:color="auto"/>
              <w:left w:val="single" w:sz="6" w:space="0" w:color="auto"/>
              <w:bottom w:val="nil"/>
              <w:right w:val="single" w:sz="6" w:space="0" w:color="auto"/>
            </w:tcBorders>
          </w:tcPr>
          <w:p w14:paraId="1D85C7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изготовитель</w:t>
            </w:r>
          </w:p>
          <w:p w14:paraId="3045BE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7E9D76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танка</w:t>
            </w:r>
          </w:p>
          <w:p w14:paraId="79CB6E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0C4E4E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испытанных танков</w:t>
            </w:r>
          </w:p>
          <w:p w14:paraId="333786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96" w:type="dxa"/>
            <w:gridSpan w:val="2"/>
            <w:tcBorders>
              <w:top w:val="single" w:sz="6" w:space="0" w:color="auto"/>
              <w:left w:val="single" w:sz="6" w:space="0" w:color="auto"/>
              <w:bottom w:val="single" w:sz="6" w:space="0" w:color="auto"/>
              <w:right w:val="single" w:sz="6" w:space="0" w:color="auto"/>
            </w:tcBorders>
          </w:tcPr>
          <w:p w14:paraId="742964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них испытания:</w:t>
            </w:r>
          </w:p>
          <w:p w14:paraId="730981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nil"/>
              <w:right w:val="single" w:sz="6" w:space="0" w:color="auto"/>
            </w:tcBorders>
          </w:tcPr>
          <w:p w14:paraId="4EB1F8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танков, не выдержавших испытания</w:t>
            </w:r>
          </w:p>
          <w:p w14:paraId="1C9FF9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30D3FF0" w14:textId="77777777">
        <w:trPr>
          <w:trHeight w:val="182"/>
        </w:trPr>
        <w:tc>
          <w:tcPr>
            <w:tcW w:w="2102" w:type="dxa"/>
            <w:tcBorders>
              <w:top w:val="nil"/>
              <w:left w:val="single" w:sz="6" w:space="0" w:color="auto"/>
              <w:bottom w:val="single" w:sz="6" w:space="0" w:color="auto"/>
              <w:right w:val="single" w:sz="6" w:space="0" w:color="auto"/>
            </w:tcBorders>
          </w:tcPr>
          <w:p w14:paraId="573C06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4D1E7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73B420F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0608A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72BC9E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91D2A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EF9FE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Выдержали</w:t>
            </w:r>
          </w:p>
          <w:p w14:paraId="57B264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1C4BB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 выдержали</w:t>
            </w:r>
          </w:p>
          <w:p w14:paraId="234C17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single" w:sz="6" w:space="0" w:color="auto"/>
              <w:right w:val="single" w:sz="6" w:space="0" w:color="auto"/>
            </w:tcBorders>
          </w:tcPr>
          <w:p w14:paraId="392929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1B58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444DC78" w14:textId="77777777">
        <w:trPr>
          <w:trHeight w:val="192"/>
        </w:trPr>
        <w:tc>
          <w:tcPr>
            <w:tcW w:w="2102" w:type="dxa"/>
            <w:tcBorders>
              <w:top w:val="single" w:sz="6" w:space="0" w:color="auto"/>
              <w:left w:val="single" w:sz="6" w:space="0" w:color="auto"/>
              <w:bottom w:val="nil"/>
              <w:right w:val="single" w:sz="6" w:space="0" w:color="auto"/>
            </w:tcBorders>
          </w:tcPr>
          <w:p w14:paraId="0E5ABE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 завод</w:t>
            </w:r>
          </w:p>
          <w:p w14:paraId="4A5CEF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6A5675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КВ-1с</w:t>
            </w:r>
          </w:p>
          <w:p w14:paraId="11E2F5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4AEAED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319DEB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nil"/>
              <w:right w:val="single" w:sz="6" w:space="0" w:color="auto"/>
            </w:tcBorders>
          </w:tcPr>
          <w:p w14:paraId="126CE3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765FB9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nil"/>
              <w:right w:val="single" w:sz="6" w:space="0" w:color="auto"/>
            </w:tcBorders>
          </w:tcPr>
          <w:p w14:paraId="5165F3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4F3401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nil"/>
              <w:right w:val="single" w:sz="6" w:space="0" w:color="auto"/>
            </w:tcBorders>
          </w:tcPr>
          <w:p w14:paraId="192D69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7E3437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EA76533" w14:textId="77777777">
        <w:trPr>
          <w:trHeight w:val="202"/>
        </w:trPr>
        <w:tc>
          <w:tcPr>
            <w:tcW w:w="2102" w:type="dxa"/>
            <w:tcBorders>
              <w:top w:val="nil"/>
              <w:left w:val="single" w:sz="6" w:space="0" w:color="auto"/>
              <w:bottom w:val="nil"/>
              <w:right w:val="single" w:sz="6" w:space="0" w:color="auto"/>
            </w:tcBorders>
          </w:tcPr>
          <w:p w14:paraId="50CAA7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 завод</w:t>
            </w:r>
          </w:p>
          <w:p w14:paraId="099A3C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7D21BD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126435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2971D9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0FBFB0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nil"/>
              <w:left w:val="single" w:sz="6" w:space="0" w:color="auto"/>
              <w:bottom w:val="nil"/>
              <w:right w:val="single" w:sz="6" w:space="0" w:color="auto"/>
            </w:tcBorders>
          </w:tcPr>
          <w:p w14:paraId="47E5E7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59F1A2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25F9DF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7E121E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181EC8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w:t>
            </w:r>
          </w:p>
          <w:p w14:paraId="6FF615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38B21D5" w14:textId="77777777">
        <w:trPr>
          <w:trHeight w:val="192"/>
        </w:trPr>
        <w:tc>
          <w:tcPr>
            <w:tcW w:w="2102" w:type="dxa"/>
            <w:tcBorders>
              <w:top w:val="nil"/>
              <w:left w:val="single" w:sz="6" w:space="0" w:color="auto"/>
              <w:bottom w:val="nil"/>
              <w:right w:val="single" w:sz="6" w:space="0" w:color="auto"/>
            </w:tcBorders>
          </w:tcPr>
          <w:p w14:paraId="06E22E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№183</w:t>
            </w:r>
          </w:p>
          <w:p w14:paraId="2E1D7C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3C392C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787FD6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5B41B4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p w14:paraId="02A3B4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nil"/>
              <w:left w:val="single" w:sz="6" w:space="0" w:color="auto"/>
              <w:bottom w:val="nil"/>
              <w:right w:val="single" w:sz="6" w:space="0" w:color="auto"/>
            </w:tcBorders>
          </w:tcPr>
          <w:p w14:paraId="5D45E6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5DA660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52E180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2FFEFF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649E05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55,6</w:t>
            </w:r>
          </w:p>
          <w:p w14:paraId="1D4BE4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0B12A01" w14:textId="77777777">
        <w:trPr>
          <w:trHeight w:val="202"/>
        </w:trPr>
        <w:tc>
          <w:tcPr>
            <w:tcW w:w="2102" w:type="dxa"/>
            <w:tcBorders>
              <w:top w:val="nil"/>
              <w:left w:val="single" w:sz="6" w:space="0" w:color="auto"/>
              <w:bottom w:val="nil"/>
              <w:right w:val="single" w:sz="6" w:space="0" w:color="auto"/>
            </w:tcBorders>
          </w:tcPr>
          <w:p w14:paraId="0B9D95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№112</w:t>
            </w:r>
          </w:p>
          <w:p w14:paraId="377C9D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42A872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532EBD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432E27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5C9FDB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nil"/>
              <w:left w:val="single" w:sz="6" w:space="0" w:color="auto"/>
              <w:bottom w:val="nil"/>
              <w:right w:val="single" w:sz="6" w:space="0" w:color="auto"/>
            </w:tcBorders>
          </w:tcPr>
          <w:p w14:paraId="7BBC63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054220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54F544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604E72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3C7AF5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p w14:paraId="5416FB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8D2DC19" w14:textId="77777777">
        <w:trPr>
          <w:trHeight w:val="202"/>
        </w:trPr>
        <w:tc>
          <w:tcPr>
            <w:tcW w:w="2102" w:type="dxa"/>
            <w:tcBorders>
              <w:top w:val="nil"/>
              <w:left w:val="single" w:sz="6" w:space="0" w:color="auto"/>
              <w:bottom w:val="nil"/>
              <w:right w:val="single" w:sz="6" w:space="0" w:color="auto"/>
            </w:tcBorders>
          </w:tcPr>
          <w:p w14:paraId="77A52F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№174</w:t>
            </w:r>
          </w:p>
          <w:p w14:paraId="172956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27DE94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20F644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22BA93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6ABEB7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nil"/>
              <w:left w:val="single" w:sz="6" w:space="0" w:color="auto"/>
              <w:bottom w:val="nil"/>
              <w:right w:val="single" w:sz="6" w:space="0" w:color="auto"/>
            </w:tcBorders>
          </w:tcPr>
          <w:p w14:paraId="3189B0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0A526C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17161A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460F84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5C5B85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w:t>
            </w:r>
          </w:p>
          <w:p w14:paraId="3E1BBA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C3EBBBB" w14:textId="77777777">
        <w:trPr>
          <w:trHeight w:val="192"/>
        </w:trPr>
        <w:tc>
          <w:tcPr>
            <w:tcW w:w="2102" w:type="dxa"/>
            <w:tcBorders>
              <w:top w:val="nil"/>
              <w:left w:val="single" w:sz="6" w:space="0" w:color="auto"/>
              <w:bottom w:val="nil"/>
              <w:right w:val="single" w:sz="6" w:space="0" w:color="auto"/>
            </w:tcBorders>
          </w:tcPr>
          <w:p w14:paraId="5C5274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Уралмашзавод апрель-июль</w:t>
            </w:r>
          </w:p>
          <w:p w14:paraId="6246DF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540BBC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6144F7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2DD3DA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337E91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nil"/>
              <w:left w:val="single" w:sz="6" w:space="0" w:color="auto"/>
              <w:bottom w:val="nil"/>
              <w:right w:val="single" w:sz="6" w:space="0" w:color="auto"/>
            </w:tcBorders>
          </w:tcPr>
          <w:p w14:paraId="1993E1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5931A0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5FF11B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3FB9D6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5773FD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17C85A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2CDED82" w14:textId="77777777">
        <w:trPr>
          <w:trHeight w:val="202"/>
        </w:trPr>
        <w:tc>
          <w:tcPr>
            <w:tcW w:w="2102" w:type="dxa"/>
            <w:tcBorders>
              <w:top w:val="nil"/>
              <w:left w:val="single" w:sz="6" w:space="0" w:color="auto"/>
              <w:bottom w:val="nil"/>
              <w:right w:val="single" w:sz="6" w:space="0" w:color="auto"/>
            </w:tcBorders>
          </w:tcPr>
          <w:p w14:paraId="0DB4E6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6FE86B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42742E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w:t>
            </w:r>
          </w:p>
          <w:p w14:paraId="7E217E3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65F3E4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w:t>
            </w:r>
          </w:p>
          <w:p w14:paraId="58A2A6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nil"/>
              <w:left w:val="single" w:sz="6" w:space="0" w:color="auto"/>
              <w:bottom w:val="nil"/>
              <w:right w:val="single" w:sz="6" w:space="0" w:color="auto"/>
            </w:tcBorders>
          </w:tcPr>
          <w:p w14:paraId="72E6CC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p w14:paraId="1B3137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4A3471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w:t>
            </w:r>
          </w:p>
          <w:p w14:paraId="58F9EB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06BE90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65,4</w:t>
            </w:r>
          </w:p>
          <w:p w14:paraId="57AC29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E3DC4E5" w14:textId="77777777">
        <w:trPr>
          <w:trHeight w:val="240"/>
        </w:trPr>
        <w:tc>
          <w:tcPr>
            <w:tcW w:w="2102" w:type="dxa"/>
            <w:tcBorders>
              <w:top w:val="nil"/>
              <w:left w:val="single" w:sz="6" w:space="0" w:color="auto"/>
              <w:bottom w:val="single" w:sz="6" w:space="0" w:color="auto"/>
              <w:right w:val="single" w:sz="6" w:space="0" w:color="auto"/>
            </w:tcBorders>
          </w:tcPr>
          <w:p w14:paraId="311D43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ГАЗ им. Молотова</w:t>
            </w:r>
          </w:p>
          <w:p w14:paraId="4AC1FC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0F06BB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Т-70</w:t>
            </w:r>
          </w:p>
          <w:p w14:paraId="105EC0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1DFB59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4E9C60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nil"/>
              <w:left w:val="single" w:sz="6" w:space="0" w:color="auto"/>
              <w:bottom w:val="single" w:sz="6" w:space="0" w:color="auto"/>
              <w:right w:val="single" w:sz="6" w:space="0" w:color="auto"/>
            </w:tcBorders>
          </w:tcPr>
          <w:p w14:paraId="603547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76FA64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single" w:sz="6" w:space="0" w:color="auto"/>
              <w:right w:val="single" w:sz="6" w:space="0" w:color="auto"/>
            </w:tcBorders>
          </w:tcPr>
          <w:p w14:paraId="7EE964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5ABBDA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single" w:sz="6" w:space="0" w:color="auto"/>
              <w:right w:val="single" w:sz="6" w:space="0" w:color="auto"/>
            </w:tcBorders>
          </w:tcPr>
          <w:p w14:paraId="73C548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7270D8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2B781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 танков КВ и Т-70, 65% танков Т-34 не выдержало испытаний на гарантийный километраж, вследствие выхода из строя основных агрегатов.</w:t>
      </w:r>
    </w:p>
    <w:p w14:paraId="64E44C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Рекламация качества танков из войск</w:t>
      </w:r>
    </w:p>
    <w:p w14:paraId="255E90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1943 год из танковых частей получено актов-рекламаций по танкам КВ-1с, КВ-85 -109 шт., по танкам Т-34-2563 и по танкам Т-70 -144 шт.</w:t>
      </w:r>
    </w:p>
    <w:p w14:paraId="37CD9D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заводам изготовителям рекламации распределяются:</w:t>
      </w:r>
    </w:p>
    <w:tbl>
      <w:tblPr>
        <w:tblW w:w="0" w:type="auto"/>
        <w:tblInd w:w="40" w:type="dxa"/>
        <w:tblLayout w:type="fixed"/>
        <w:tblCellMar>
          <w:left w:w="40" w:type="dxa"/>
          <w:right w:w="40" w:type="dxa"/>
        </w:tblCellMar>
        <w:tblLook w:val="0000" w:firstRow="0" w:lastRow="0" w:firstColumn="0" w:lastColumn="0" w:noHBand="0" w:noVBand="0"/>
      </w:tblPr>
      <w:tblGrid>
        <w:gridCol w:w="1056"/>
        <w:gridCol w:w="538"/>
        <w:gridCol w:w="816"/>
        <w:gridCol w:w="605"/>
        <w:gridCol w:w="797"/>
        <w:gridCol w:w="557"/>
        <w:gridCol w:w="739"/>
        <w:gridCol w:w="624"/>
        <w:gridCol w:w="758"/>
        <w:gridCol w:w="739"/>
        <w:gridCol w:w="854"/>
        <w:gridCol w:w="739"/>
        <w:gridCol w:w="826"/>
      </w:tblGrid>
      <w:tr w:rsidR="004D4663" w:rsidRPr="00070ADE" w14:paraId="5DDD4930" w14:textId="77777777">
        <w:trPr>
          <w:trHeight w:val="250"/>
        </w:trPr>
        <w:tc>
          <w:tcPr>
            <w:tcW w:w="1056" w:type="dxa"/>
            <w:tcBorders>
              <w:top w:val="single" w:sz="6" w:space="0" w:color="auto"/>
              <w:left w:val="single" w:sz="6" w:space="0" w:color="auto"/>
              <w:bottom w:val="nil"/>
              <w:right w:val="single" w:sz="6" w:space="0" w:color="auto"/>
            </w:tcBorders>
          </w:tcPr>
          <w:p w14:paraId="66110C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танка</w:t>
            </w:r>
          </w:p>
          <w:p w14:paraId="3720D4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92" w:type="dxa"/>
            <w:gridSpan w:val="12"/>
            <w:tcBorders>
              <w:top w:val="single" w:sz="6" w:space="0" w:color="auto"/>
              <w:left w:val="single" w:sz="6" w:space="0" w:color="auto"/>
              <w:bottom w:val="single" w:sz="6" w:space="0" w:color="auto"/>
              <w:right w:val="single" w:sz="6" w:space="0" w:color="auto"/>
            </w:tcBorders>
          </w:tcPr>
          <w:p w14:paraId="017659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Заводы изготовители</w:t>
            </w:r>
          </w:p>
          <w:p w14:paraId="344F36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3F68CE9" w14:textId="77777777">
        <w:trPr>
          <w:trHeight w:val="182"/>
        </w:trPr>
        <w:tc>
          <w:tcPr>
            <w:tcW w:w="1056" w:type="dxa"/>
            <w:tcBorders>
              <w:top w:val="nil"/>
              <w:left w:val="single" w:sz="6" w:space="0" w:color="auto"/>
              <w:bottom w:val="nil"/>
              <w:right w:val="single" w:sz="6" w:space="0" w:color="auto"/>
            </w:tcBorders>
          </w:tcPr>
          <w:p w14:paraId="0D4DA5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6D9709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EC0C7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Кировский</w:t>
            </w:r>
          </w:p>
          <w:p w14:paraId="14AC2B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gridSpan w:val="2"/>
            <w:tcBorders>
              <w:top w:val="single" w:sz="6" w:space="0" w:color="auto"/>
              <w:left w:val="single" w:sz="6" w:space="0" w:color="auto"/>
              <w:bottom w:val="single" w:sz="6" w:space="0" w:color="auto"/>
              <w:right w:val="single" w:sz="6" w:space="0" w:color="auto"/>
            </w:tcBorders>
          </w:tcPr>
          <w:p w14:paraId="2C1CE1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№183</w:t>
            </w:r>
          </w:p>
          <w:p w14:paraId="6B031E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gridSpan w:val="2"/>
            <w:tcBorders>
              <w:top w:val="single" w:sz="6" w:space="0" w:color="auto"/>
              <w:left w:val="single" w:sz="6" w:space="0" w:color="auto"/>
              <w:bottom w:val="single" w:sz="6" w:space="0" w:color="auto"/>
              <w:right w:val="single" w:sz="6" w:space="0" w:color="auto"/>
            </w:tcBorders>
          </w:tcPr>
          <w:p w14:paraId="71A68C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№112</w:t>
            </w:r>
          </w:p>
          <w:p w14:paraId="1D797D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gridSpan w:val="2"/>
            <w:tcBorders>
              <w:top w:val="single" w:sz="6" w:space="0" w:color="auto"/>
              <w:left w:val="single" w:sz="6" w:space="0" w:color="auto"/>
              <w:bottom w:val="single" w:sz="6" w:space="0" w:color="auto"/>
              <w:right w:val="single" w:sz="6" w:space="0" w:color="auto"/>
            </w:tcBorders>
          </w:tcPr>
          <w:p w14:paraId="58CB89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№174</w:t>
            </w:r>
          </w:p>
          <w:p w14:paraId="13685F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3" w:type="dxa"/>
            <w:gridSpan w:val="2"/>
            <w:tcBorders>
              <w:top w:val="single" w:sz="6" w:space="0" w:color="auto"/>
              <w:left w:val="single" w:sz="6" w:space="0" w:color="auto"/>
              <w:bottom w:val="single" w:sz="6" w:space="0" w:color="auto"/>
              <w:right w:val="single" w:sz="6" w:space="0" w:color="auto"/>
            </w:tcBorders>
          </w:tcPr>
          <w:p w14:paraId="262F3D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Уралмаш завод</w:t>
            </w:r>
          </w:p>
          <w:p w14:paraId="7D5DA3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5" w:type="dxa"/>
            <w:gridSpan w:val="2"/>
            <w:tcBorders>
              <w:top w:val="single" w:sz="6" w:space="0" w:color="auto"/>
              <w:left w:val="single" w:sz="6" w:space="0" w:color="auto"/>
              <w:bottom w:val="single" w:sz="6" w:space="0" w:color="auto"/>
              <w:right w:val="single" w:sz="6" w:space="0" w:color="auto"/>
            </w:tcBorders>
          </w:tcPr>
          <w:p w14:paraId="0C66E7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ГАЗ им. Молотова</w:t>
            </w:r>
          </w:p>
          <w:p w14:paraId="62C67E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4CB7EC0" w14:textId="77777777">
        <w:trPr>
          <w:trHeight w:val="432"/>
        </w:trPr>
        <w:tc>
          <w:tcPr>
            <w:tcW w:w="1056" w:type="dxa"/>
            <w:tcBorders>
              <w:top w:val="nil"/>
              <w:left w:val="single" w:sz="6" w:space="0" w:color="auto"/>
              <w:bottom w:val="single" w:sz="6" w:space="0" w:color="auto"/>
              <w:right w:val="single" w:sz="6" w:space="0" w:color="auto"/>
            </w:tcBorders>
          </w:tcPr>
          <w:p w14:paraId="5488AD3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A6A30D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76DF4B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кол-во</w:t>
            </w:r>
          </w:p>
          <w:p w14:paraId="6F60EA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40C8C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 выпуску</w:t>
            </w:r>
          </w:p>
          <w:p w14:paraId="2087BD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2729B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кол-во</w:t>
            </w:r>
          </w:p>
          <w:p w14:paraId="51BECA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F702A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 выпуску</w:t>
            </w:r>
          </w:p>
          <w:p w14:paraId="2D186A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1CB393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кол-во</w:t>
            </w:r>
          </w:p>
          <w:p w14:paraId="303402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6452F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 выпуску</w:t>
            </w:r>
          </w:p>
          <w:p w14:paraId="373D0F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C7865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кол-во</w:t>
            </w:r>
          </w:p>
          <w:p w14:paraId="71DDCD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521DF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 выпуску</w:t>
            </w:r>
          </w:p>
          <w:p w14:paraId="5F9755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BAA37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кол-во</w:t>
            </w:r>
          </w:p>
          <w:p w14:paraId="5C0F84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A4AEB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 выпуску</w:t>
            </w:r>
          </w:p>
          <w:p w14:paraId="073D41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413DF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кол-во</w:t>
            </w:r>
          </w:p>
          <w:p w14:paraId="1974D7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28205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 выпуску</w:t>
            </w:r>
          </w:p>
          <w:p w14:paraId="412A09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BE7A24D" w14:textId="77777777">
        <w:trPr>
          <w:trHeight w:val="614"/>
        </w:trPr>
        <w:tc>
          <w:tcPr>
            <w:tcW w:w="1056" w:type="dxa"/>
            <w:tcBorders>
              <w:top w:val="single" w:sz="6" w:space="0" w:color="auto"/>
              <w:left w:val="single" w:sz="6" w:space="0" w:color="auto"/>
              <w:bottom w:val="single" w:sz="6" w:space="0" w:color="auto"/>
              <w:right w:val="single" w:sz="6" w:space="0" w:color="auto"/>
            </w:tcBorders>
          </w:tcPr>
          <w:p w14:paraId="0DCA41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КВ-1сиКВ-85 Т-34 Т-70</w:t>
            </w:r>
          </w:p>
          <w:p w14:paraId="2338E2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584798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109 579</w:t>
            </w:r>
          </w:p>
          <w:p w14:paraId="4DAC8D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6FB9D1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17,6 16,1</w:t>
            </w:r>
          </w:p>
          <w:p w14:paraId="46A267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F5959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1033</w:t>
            </w:r>
          </w:p>
          <w:p w14:paraId="01C6EC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7756E0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13,9</w:t>
            </w:r>
          </w:p>
          <w:p w14:paraId="7F0AA1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55EAC9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511</w:t>
            </w:r>
          </w:p>
          <w:p w14:paraId="2B4287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26386E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w:t>
            </w:r>
          </w:p>
          <w:p w14:paraId="2F3BF0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99236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307</w:t>
            </w:r>
          </w:p>
          <w:p w14:paraId="69485F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8938D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22,8</w:t>
            </w:r>
          </w:p>
          <w:p w14:paraId="6FB712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D3CA6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133</w:t>
            </w:r>
          </w:p>
          <w:p w14:paraId="7ABB7A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561B1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30,4</w:t>
            </w:r>
          </w:p>
          <w:p w14:paraId="0FF3D3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80D44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144</w:t>
            </w:r>
          </w:p>
          <w:p w14:paraId="5009F7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97580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p w14:paraId="1BD315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04A0D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Т-70.</w:t>
      </w:r>
    </w:p>
    <w:p w14:paraId="43FCB9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1943 г. были рекламированы войсками 17,6% танков КВ-1с и КВ-85, 6,4% - Т-34 и 4,5% танков</w:t>
      </w:r>
    </w:p>
    <w:p w14:paraId="515C17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I.</w:t>
      </w:r>
    </w:p>
    <w:p w14:paraId="54F9CE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Танки рекламировались по следующим дефектам:</w:t>
      </w:r>
    </w:p>
    <w:tbl>
      <w:tblPr>
        <w:tblW w:w="0" w:type="auto"/>
        <w:tblInd w:w="40" w:type="dxa"/>
        <w:tblLayout w:type="fixed"/>
        <w:tblCellMar>
          <w:left w:w="40" w:type="dxa"/>
          <w:right w:w="40" w:type="dxa"/>
        </w:tblCellMar>
        <w:tblLook w:val="0000" w:firstRow="0" w:lastRow="0" w:firstColumn="0" w:lastColumn="0" w:noHBand="0" w:noVBand="0"/>
      </w:tblPr>
      <w:tblGrid>
        <w:gridCol w:w="1248"/>
        <w:gridCol w:w="1699"/>
        <w:gridCol w:w="1795"/>
        <w:gridCol w:w="1363"/>
        <w:gridCol w:w="1958"/>
        <w:gridCol w:w="1584"/>
      </w:tblGrid>
      <w:tr w:rsidR="004D4663" w:rsidRPr="00070ADE" w14:paraId="253DB9E7" w14:textId="77777777">
        <w:trPr>
          <w:trHeight w:val="240"/>
        </w:trPr>
        <w:tc>
          <w:tcPr>
            <w:tcW w:w="1248" w:type="dxa"/>
            <w:tcBorders>
              <w:top w:val="single" w:sz="6" w:space="0" w:color="auto"/>
              <w:left w:val="single" w:sz="6" w:space="0" w:color="auto"/>
              <w:bottom w:val="nil"/>
              <w:right w:val="single" w:sz="6" w:space="0" w:color="auto"/>
            </w:tcBorders>
          </w:tcPr>
          <w:p w14:paraId="0E735A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танка</w:t>
            </w:r>
          </w:p>
          <w:p w14:paraId="7A6824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399" w:type="dxa"/>
            <w:gridSpan w:val="5"/>
            <w:tcBorders>
              <w:top w:val="single" w:sz="6" w:space="0" w:color="auto"/>
              <w:left w:val="single" w:sz="6" w:space="0" w:color="auto"/>
              <w:bottom w:val="single" w:sz="6" w:space="0" w:color="auto"/>
              <w:right w:val="single" w:sz="6" w:space="0" w:color="auto"/>
            </w:tcBorders>
          </w:tcPr>
          <w:p w14:paraId="08522E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Дефекты (количество танков)</w:t>
            </w:r>
          </w:p>
          <w:p w14:paraId="53CAC6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F58B5DF" w14:textId="77777777">
        <w:trPr>
          <w:trHeight w:val="355"/>
        </w:trPr>
        <w:tc>
          <w:tcPr>
            <w:tcW w:w="1248" w:type="dxa"/>
            <w:tcBorders>
              <w:top w:val="nil"/>
              <w:left w:val="single" w:sz="6" w:space="0" w:color="auto"/>
              <w:bottom w:val="single" w:sz="6" w:space="0" w:color="auto"/>
              <w:right w:val="single" w:sz="6" w:space="0" w:color="auto"/>
            </w:tcBorders>
          </w:tcPr>
          <w:p w14:paraId="4C11A3E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BCA2F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6899C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Коробки перемены передачи</w:t>
            </w:r>
          </w:p>
          <w:p w14:paraId="183633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726121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Главного фрикциона</w:t>
            </w:r>
          </w:p>
          <w:p w14:paraId="135645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FB0C8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Ходовой части</w:t>
            </w:r>
          </w:p>
          <w:p w14:paraId="6C17E2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6B5AB0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Электрооборудования контрольных приборов</w:t>
            </w:r>
          </w:p>
          <w:p w14:paraId="114385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665F28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Остальных узлов и агрегатов</w:t>
            </w:r>
          </w:p>
          <w:p w14:paraId="6B9FDFC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38026EE" w14:textId="77777777">
        <w:trPr>
          <w:trHeight w:val="605"/>
        </w:trPr>
        <w:tc>
          <w:tcPr>
            <w:tcW w:w="1248" w:type="dxa"/>
            <w:tcBorders>
              <w:top w:val="single" w:sz="6" w:space="0" w:color="auto"/>
              <w:left w:val="single" w:sz="6" w:space="0" w:color="auto"/>
              <w:bottom w:val="single" w:sz="6" w:space="0" w:color="auto"/>
              <w:right w:val="single" w:sz="6" w:space="0" w:color="auto"/>
            </w:tcBorders>
          </w:tcPr>
          <w:p w14:paraId="394631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КВ- 1с и КВ-85 Т-34 Т-70</w:t>
            </w:r>
          </w:p>
          <w:p w14:paraId="54E442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3DEB3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37 402 107</w:t>
            </w:r>
          </w:p>
          <w:p w14:paraId="219068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3C0FBC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6 97 8</w:t>
            </w:r>
          </w:p>
          <w:p w14:paraId="42C46A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43FD7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16 650 11</w:t>
            </w:r>
          </w:p>
          <w:p w14:paraId="2034CF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25107D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5 848 7</w:t>
            </w:r>
          </w:p>
          <w:p w14:paraId="04B662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4" w:type="dxa"/>
            <w:tcBorders>
              <w:top w:val="single" w:sz="6" w:space="0" w:color="auto"/>
              <w:left w:val="single" w:sz="6" w:space="0" w:color="auto"/>
              <w:bottom w:val="single" w:sz="6" w:space="0" w:color="auto"/>
              <w:right w:val="single" w:sz="6" w:space="0" w:color="auto"/>
            </w:tcBorders>
          </w:tcPr>
          <w:p w14:paraId="63F1C5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45 566 11</w:t>
            </w:r>
          </w:p>
          <w:p w14:paraId="4D2AF1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66220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Основными дефектами танков КВ-1с, Т-34 и Т-70, повторяющимися при испытаниях и при экс</w:t>
      </w:r>
      <w:r w:rsidRPr="00070ADE">
        <w:rPr>
          <w:rFonts w:ascii="Times New Roman" w:hAnsi="Times New Roman"/>
          <w:color w:val="000000" w:themeColor="text1"/>
          <w:sz w:val="16"/>
          <w:szCs w:val="16"/>
        </w:rPr>
        <w:softHyphen/>
        <w:t>плуатации их в войсках, являлись:</w:t>
      </w:r>
    </w:p>
    <w:tbl>
      <w:tblPr>
        <w:tblW w:w="0" w:type="auto"/>
        <w:tblInd w:w="40" w:type="dxa"/>
        <w:tblLayout w:type="fixed"/>
        <w:tblCellMar>
          <w:left w:w="40" w:type="dxa"/>
          <w:right w:w="40" w:type="dxa"/>
        </w:tblCellMar>
        <w:tblLook w:val="0000" w:firstRow="0" w:lastRow="0" w:firstColumn="0" w:lastColumn="0" w:noHBand="0" w:noVBand="0"/>
      </w:tblPr>
      <w:tblGrid>
        <w:gridCol w:w="3850"/>
        <w:gridCol w:w="5798"/>
      </w:tblGrid>
      <w:tr w:rsidR="004D4663" w:rsidRPr="00070ADE" w14:paraId="4150B9DA" w14:textId="77777777">
        <w:trPr>
          <w:trHeight w:val="269"/>
        </w:trPr>
        <w:tc>
          <w:tcPr>
            <w:tcW w:w="3850" w:type="dxa"/>
            <w:tcBorders>
              <w:top w:val="single" w:sz="6" w:space="0" w:color="auto"/>
              <w:left w:val="single" w:sz="6" w:space="0" w:color="auto"/>
              <w:bottom w:val="single" w:sz="6" w:space="0" w:color="auto"/>
              <w:right w:val="single" w:sz="6" w:space="0" w:color="auto"/>
            </w:tcBorders>
          </w:tcPr>
          <w:p w14:paraId="5D98BA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Узел</w:t>
            </w:r>
          </w:p>
          <w:p w14:paraId="4740D8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98" w:type="dxa"/>
            <w:tcBorders>
              <w:top w:val="single" w:sz="6" w:space="0" w:color="auto"/>
              <w:left w:val="single" w:sz="6" w:space="0" w:color="auto"/>
              <w:bottom w:val="single" w:sz="6" w:space="0" w:color="auto"/>
              <w:right w:val="single" w:sz="6" w:space="0" w:color="auto"/>
            </w:tcBorders>
          </w:tcPr>
          <w:p w14:paraId="1DB5D9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Дефекты</w:t>
            </w:r>
          </w:p>
          <w:p w14:paraId="646CE9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8B21CB8" w14:textId="77777777">
        <w:trPr>
          <w:trHeight w:val="624"/>
        </w:trPr>
        <w:tc>
          <w:tcPr>
            <w:tcW w:w="3850" w:type="dxa"/>
            <w:tcBorders>
              <w:top w:val="single" w:sz="6" w:space="0" w:color="auto"/>
              <w:left w:val="single" w:sz="6" w:space="0" w:color="auto"/>
              <w:bottom w:val="single" w:sz="6" w:space="0" w:color="auto"/>
              <w:right w:val="single" w:sz="6" w:space="0" w:color="auto"/>
            </w:tcBorders>
          </w:tcPr>
          <w:p w14:paraId="50F6BC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танку КВ- 1с</w:t>
            </w:r>
          </w:p>
          <w:p w14:paraId="249C39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Коробка перемены передач Ходовая часть</w:t>
            </w:r>
          </w:p>
          <w:p w14:paraId="184FD7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98" w:type="dxa"/>
            <w:tcBorders>
              <w:top w:val="single" w:sz="6" w:space="0" w:color="auto"/>
              <w:left w:val="single" w:sz="6" w:space="0" w:color="auto"/>
              <w:bottom w:val="single" w:sz="6" w:space="0" w:color="auto"/>
              <w:right w:val="single" w:sz="6" w:space="0" w:color="auto"/>
            </w:tcBorders>
          </w:tcPr>
          <w:p w14:paraId="4A19AB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Заедание шестерен на шпицах валов 2. Сколы, поломки зубьев шестерен</w:t>
            </w:r>
          </w:p>
          <w:p w14:paraId="55D35D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40487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танку Т-34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6804"/>
      </w:tblGrid>
      <w:tr w:rsidR="004D4663" w:rsidRPr="00070ADE" w14:paraId="2FD57647" w14:textId="77777777">
        <w:tc>
          <w:tcPr>
            <w:tcW w:w="2943" w:type="dxa"/>
            <w:tcBorders>
              <w:top w:val="single" w:sz="12" w:space="0" w:color="auto"/>
            </w:tcBorders>
          </w:tcPr>
          <w:p w14:paraId="4CCD20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Главный фрикцион</w:t>
            </w:r>
          </w:p>
        </w:tc>
        <w:tc>
          <w:tcPr>
            <w:tcW w:w="6804" w:type="dxa"/>
            <w:tcBorders>
              <w:top w:val="single" w:sz="12" w:space="0" w:color="auto"/>
            </w:tcBorders>
          </w:tcPr>
          <w:p w14:paraId="74777E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Коробление дисков.</w:t>
            </w:r>
          </w:p>
          <w:p w14:paraId="2739E0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Износ лунок колец выключения.</w:t>
            </w:r>
          </w:p>
          <w:p w14:paraId="7261DF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BA53F40" w14:textId="77777777">
        <w:tc>
          <w:tcPr>
            <w:tcW w:w="2943" w:type="dxa"/>
          </w:tcPr>
          <w:p w14:paraId="2B2751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Коробка перемены передач</w:t>
            </w:r>
          </w:p>
        </w:tc>
        <w:tc>
          <w:tcPr>
            <w:tcW w:w="6804" w:type="dxa"/>
          </w:tcPr>
          <w:p w14:paraId="1E77B8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Сколы и поломка зубьев цилиндрических шестерен.</w:t>
            </w:r>
          </w:p>
          <w:p w14:paraId="71F17F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Разрушение конических шестерен.</w:t>
            </w:r>
          </w:p>
          <w:p w14:paraId="58B53A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Разрушение подшипников №567 блока шестерен заднего хода.</w:t>
            </w:r>
          </w:p>
        </w:tc>
      </w:tr>
      <w:tr w:rsidR="004D4663" w:rsidRPr="00070ADE" w14:paraId="185C85D9" w14:textId="77777777">
        <w:tc>
          <w:tcPr>
            <w:tcW w:w="2943" w:type="dxa"/>
          </w:tcPr>
          <w:p w14:paraId="4D7842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Бортовая передача</w:t>
            </w:r>
          </w:p>
        </w:tc>
        <w:tc>
          <w:tcPr>
            <w:tcW w:w="6804" w:type="dxa"/>
          </w:tcPr>
          <w:p w14:paraId="199586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Разрушение подшипника №7526.</w:t>
            </w:r>
          </w:p>
        </w:tc>
      </w:tr>
      <w:tr w:rsidR="004D4663" w:rsidRPr="00070ADE" w14:paraId="6EEE36D0" w14:textId="77777777">
        <w:tc>
          <w:tcPr>
            <w:tcW w:w="2943" w:type="dxa"/>
          </w:tcPr>
          <w:p w14:paraId="308797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Ходовая часть</w:t>
            </w:r>
          </w:p>
        </w:tc>
        <w:tc>
          <w:tcPr>
            <w:tcW w:w="6804" w:type="dxa"/>
          </w:tcPr>
          <w:p w14:paraId="5CDED4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Разрушение осей роликов и самих роликов ведущих колес.</w:t>
            </w:r>
          </w:p>
          <w:p w14:paraId="6B78C1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Разрушение резины опорных катков.</w:t>
            </w:r>
          </w:p>
          <w:p w14:paraId="12A309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Разрушение подшипника №317 ленивца.</w:t>
            </w:r>
          </w:p>
          <w:p w14:paraId="13BF15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Заедание кривошипов ленивцев в кронштейне.</w:t>
            </w:r>
          </w:p>
          <w:p w14:paraId="24A950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Поломка траков и износ пальцев траков.</w:t>
            </w:r>
          </w:p>
          <w:p w14:paraId="0E8DBF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48544D9" w14:textId="77777777">
        <w:tc>
          <w:tcPr>
            <w:tcW w:w="2943" w:type="dxa"/>
          </w:tcPr>
          <w:p w14:paraId="43B9B7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Система охлаждения, питания и смазки</w:t>
            </w:r>
          </w:p>
        </w:tc>
        <w:tc>
          <w:tcPr>
            <w:tcW w:w="6804" w:type="dxa"/>
          </w:tcPr>
          <w:p w14:paraId="46C0D5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Течи масла, топлива и воды через соединения трубопроводов и в местах пайки.</w:t>
            </w:r>
          </w:p>
          <w:p w14:paraId="6ECB9E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6E175AD" w14:textId="77777777">
        <w:tc>
          <w:tcPr>
            <w:tcW w:w="2943" w:type="dxa"/>
          </w:tcPr>
          <w:p w14:paraId="57AEED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Электрооборудование</w:t>
            </w:r>
          </w:p>
        </w:tc>
        <w:tc>
          <w:tcPr>
            <w:tcW w:w="6804" w:type="dxa"/>
          </w:tcPr>
          <w:p w14:paraId="6CEBA1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Преждевременный выход из строя стартеров и пригорание контактов пускового реле.</w:t>
            </w:r>
          </w:p>
          <w:p w14:paraId="26A083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C0DDF4E" w14:textId="77777777">
        <w:tc>
          <w:tcPr>
            <w:tcW w:w="2943" w:type="dxa"/>
          </w:tcPr>
          <w:p w14:paraId="426C66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танку Т-70</w:t>
            </w:r>
          </w:p>
        </w:tc>
        <w:tc>
          <w:tcPr>
            <w:tcW w:w="6804" w:type="dxa"/>
          </w:tcPr>
          <w:p w14:paraId="5398E8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FDF0D1C" w14:textId="77777777">
        <w:tc>
          <w:tcPr>
            <w:tcW w:w="2943" w:type="dxa"/>
          </w:tcPr>
          <w:p w14:paraId="2B3C78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Коробка перемены передач</w:t>
            </w:r>
          </w:p>
        </w:tc>
        <w:tc>
          <w:tcPr>
            <w:tcW w:w="6804" w:type="dxa"/>
          </w:tcPr>
          <w:p w14:paraId="49E1AC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Скручивание первичного валика.</w:t>
            </w:r>
          </w:p>
          <w:p w14:paraId="71B5A0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48B7CE1" w14:textId="77777777">
        <w:tc>
          <w:tcPr>
            <w:tcW w:w="2943" w:type="dxa"/>
          </w:tcPr>
          <w:p w14:paraId="0B06CB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Ходовая часть</w:t>
            </w:r>
          </w:p>
        </w:tc>
        <w:tc>
          <w:tcPr>
            <w:tcW w:w="6804" w:type="dxa"/>
          </w:tcPr>
          <w:p w14:paraId="1EA6CB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Разрушение подшипников опорных катков.</w:t>
            </w:r>
          </w:p>
          <w:p w14:paraId="7FD68A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9B04D80" w14:textId="77777777">
        <w:tc>
          <w:tcPr>
            <w:tcW w:w="2943" w:type="dxa"/>
          </w:tcPr>
          <w:p w14:paraId="5642A8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Система охлаждения, питания и смазка.</w:t>
            </w:r>
          </w:p>
        </w:tc>
        <w:tc>
          <w:tcPr>
            <w:tcW w:w="6804" w:type="dxa"/>
          </w:tcPr>
          <w:p w14:paraId="564D75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Течи масла, топлива и воды через соединения трубопроводов.</w:t>
            </w:r>
          </w:p>
          <w:p w14:paraId="7499C1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D0D9895" w14:textId="77777777">
        <w:tc>
          <w:tcPr>
            <w:tcW w:w="2943" w:type="dxa"/>
            <w:tcBorders>
              <w:bottom w:val="single" w:sz="12" w:space="0" w:color="auto"/>
            </w:tcBorders>
          </w:tcPr>
          <w:p w14:paraId="0B9A03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Электрооборудование</w:t>
            </w:r>
          </w:p>
        </w:tc>
        <w:tc>
          <w:tcPr>
            <w:tcW w:w="6804" w:type="dxa"/>
            <w:tcBorders>
              <w:bottom w:val="single" w:sz="12" w:space="0" w:color="auto"/>
            </w:tcBorders>
          </w:tcPr>
          <w:p w14:paraId="2E7735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Пробой изоляции проводов высокого напряжения и сгорание обмоток бобин.</w:t>
            </w:r>
          </w:p>
          <w:p w14:paraId="2E3FC2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Разрушение изоляторов запальных свечей.</w:t>
            </w:r>
          </w:p>
          <w:p w14:paraId="5F17BF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DA35C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Характерными для всех типов танков являлись:</w:t>
      </w:r>
    </w:p>
    <w:p w14:paraId="7F18DD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Большое количество дефектов контрольных приборов.</w:t>
      </w:r>
    </w:p>
    <w:p w14:paraId="77F458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Ненадежность регулировок приводов управления.</w:t>
      </w:r>
    </w:p>
    <w:p w14:paraId="73FE6F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Ослабление крепежных деталей.</w:t>
      </w:r>
    </w:p>
    <w:p w14:paraId="02FE19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Наличие этих дефектов в значительной мере снижало километраж безостановочного движе</w:t>
      </w:r>
      <w:r w:rsidRPr="00070ADE">
        <w:rPr>
          <w:rFonts w:ascii="Times New Roman" w:hAnsi="Times New Roman"/>
          <w:color w:val="000000" w:themeColor="text1"/>
          <w:sz w:val="16"/>
          <w:szCs w:val="16"/>
        </w:rPr>
        <w:softHyphen/>
        <w:t>ния и маршевую скорость танков.</w:t>
      </w:r>
    </w:p>
    <w:p w14:paraId="69215E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танков Т-34 имеются серьезные недостатки в установке вооружения, а именно:</w:t>
      </w:r>
    </w:p>
    <w:p w14:paraId="403B1A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Большие люфты в механизмах наведения, доходящие: люфт башни до 20 тысячных и люфт пушки до 5 тысячных.</w:t>
      </w:r>
    </w:p>
    <w:p w14:paraId="3682DB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Большие усилия на педали ножного спуска пушки, доходящие до 30 — 40 кг вместо положен</w:t>
      </w:r>
      <w:r w:rsidRPr="00070ADE">
        <w:rPr>
          <w:rFonts w:ascii="Times New Roman" w:hAnsi="Times New Roman"/>
          <w:color w:val="000000" w:themeColor="text1"/>
          <w:sz w:val="16"/>
          <w:szCs w:val="16"/>
        </w:rPr>
        <w:softHyphen/>
        <w:t>ных по тех. условиям 8 кг.</w:t>
      </w:r>
    </w:p>
    <w:p w14:paraId="5519FC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Большие усилия на рукоятке подъемного механизма пушки, доходящие до 15 — 20 кг вместо положенных по тех. условиям 4 — 7 кг.</w:t>
      </w:r>
    </w:p>
    <w:p w14:paraId="60F4D9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Недопустимо большое усилие на рукоятке поворотного механизма башни, доходящее до 15 кг при крене танка 5°, до 25 — 30 кг при крене танка 10°.</w:t>
      </w:r>
    </w:p>
    <w:p w14:paraId="2C3E6F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Большие люфты башен и большие усилия на рукоятках подъемного и поворотного механизмов и на педалях ножного спуска затрудняют наводку пушки, снижают скорострельность, а на ходу и особен</w:t>
      </w:r>
      <w:r w:rsidRPr="00070ADE">
        <w:rPr>
          <w:rFonts w:ascii="Times New Roman" w:hAnsi="Times New Roman"/>
          <w:color w:val="000000" w:themeColor="text1"/>
          <w:sz w:val="16"/>
          <w:szCs w:val="16"/>
        </w:rPr>
        <w:softHyphen/>
        <w:t>но при крене более 5° делают почти невозможным наводку оружия и ведение из него прицельного огня.</w:t>
      </w:r>
    </w:p>
    <w:p w14:paraId="7253A3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Основными причинами большого количества дефектов являются: нарушение технологии изго</w:t>
      </w:r>
      <w:r w:rsidRPr="00070ADE">
        <w:rPr>
          <w:rFonts w:ascii="Times New Roman" w:hAnsi="Times New Roman"/>
          <w:color w:val="000000" w:themeColor="text1"/>
          <w:sz w:val="16"/>
          <w:szCs w:val="16"/>
        </w:rPr>
        <w:softHyphen/>
        <w:t>товления деталей, перепутывание материалов при их изготовлении, пропуск на сборку деталей с от</w:t>
      </w:r>
      <w:r w:rsidRPr="00070ADE">
        <w:rPr>
          <w:rFonts w:ascii="Times New Roman" w:hAnsi="Times New Roman"/>
          <w:color w:val="000000" w:themeColor="text1"/>
          <w:sz w:val="16"/>
          <w:szCs w:val="16"/>
        </w:rPr>
        <w:softHyphen/>
        <w:t>клонением от чертежей и технических условий и низкая культура монтажа узлов и танков в целом.</w:t>
      </w:r>
    </w:p>
    <w:p w14:paraId="0DC390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22908E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начальника ТУ ГБТУ КА инженер-полковник Муравич</w:t>
      </w:r>
    </w:p>
    <w:p w14:paraId="1EAC95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2515. Л. 231 -238. Копия (11420).</w:t>
      </w:r>
    </w:p>
    <w:p w14:paraId="5DDDAD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28E7A70" w14:textId="77777777" w:rsidR="00741660" w:rsidRPr="00070ADE" w:rsidRDefault="007416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15 июня по 17 июля 1944 года в НИИБТ (другой Т-44 второго варианта, окон</w:t>
      </w:r>
      <w:r w:rsidRPr="00070ADE">
        <w:rPr>
          <w:rFonts w:ascii="Times New Roman" w:hAnsi="Times New Roman"/>
          <w:color w:val="000000" w:themeColor="text1"/>
          <w:sz w:val="16"/>
          <w:szCs w:val="16"/>
        </w:rPr>
        <w:softHyphen/>
        <w:t>ченный позже, испытывался на заводе №183) провели Полигонные испытания Т-44 второго вари</w:t>
      </w:r>
      <w:r w:rsidRPr="00070ADE">
        <w:rPr>
          <w:rFonts w:ascii="Times New Roman" w:hAnsi="Times New Roman"/>
          <w:color w:val="000000" w:themeColor="text1"/>
          <w:sz w:val="16"/>
          <w:szCs w:val="16"/>
        </w:rPr>
        <w:softHyphen/>
        <w:t xml:space="preserve">анта. Заключение комиссии по их результатам было негативным </w:t>
      </w:r>
      <w:r w:rsidRPr="00070ADE">
        <w:rPr>
          <w:rStyle w:val="344"/>
          <w:rFonts w:ascii="Times New Roman" w:hAnsi="Times New Roman" w:cs="Times New Roman"/>
          <w:color w:val="000000" w:themeColor="text1"/>
          <w:sz w:val="16"/>
          <w:szCs w:val="16"/>
        </w:rPr>
        <w:t xml:space="preserve">- </w:t>
      </w:r>
      <w:r w:rsidRPr="00070ADE">
        <w:rPr>
          <w:rFonts w:ascii="Times New Roman" w:hAnsi="Times New Roman"/>
          <w:color w:val="000000" w:themeColor="text1"/>
          <w:sz w:val="16"/>
          <w:szCs w:val="16"/>
        </w:rPr>
        <w:t>танк испытаний не выдержал из-за низкой надежности работы механизмов и большого количества дефектов. Принимать на вооружение Красной Армии и запускать в производство Т-44 рекомендовалось только после доработки: «... считать необходимым срочно изготовить и предъявить на государст</w:t>
      </w:r>
      <w:r w:rsidRPr="00070ADE">
        <w:rPr>
          <w:rFonts w:ascii="Times New Roman" w:hAnsi="Times New Roman"/>
          <w:color w:val="000000" w:themeColor="text1"/>
          <w:sz w:val="16"/>
          <w:szCs w:val="16"/>
        </w:rPr>
        <w:softHyphen/>
        <w:t>венные испытания образец танка Т-44А, изго</w:t>
      </w:r>
      <w:r w:rsidRPr="00070ADE">
        <w:rPr>
          <w:rFonts w:ascii="Times New Roman" w:hAnsi="Times New Roman"/>
          <w:color w:val="000000" w:themeColor="text1"/>
          <w:sz w:val="16"/>
          <w:szCs w:val="16"/>
        </w:rPr>
        <w:softHyphen/>
        <w:t>товленный в соответствии с замечаниями комиссии». Наиболее существенным требова</w:t>
      </w:r>
      <w:r w:rsidRPr="00070ADE">
        <w:rPr>
          <w:rFonts w:ascii="Times New Roman" w:hAnsi="Times New Roman"/>
          <w:color w:val="000000" w:themeColor="text1"/>
          <w:sz w:val="16"/>
          <w:szCs w:val="16"/>
        </w:rPr>
        <w:softHyphen/>
        <w:t>нием военных было усиление лобовой брони корпуса до 90 мм для обеспечения защиты от поражения снарядами противника калибра 75 и 88 мм (19935).</w:t>
      </w:r>
    </w:p>
    <w:p w14:paraId="7EFBD9B3" w14:textId="77777777" w:rsidR="00741660" w:rsidRPr="00070ADE" w:rsidRDefault="00741660" w:rsidP="00B56F90">
      <w:pPr>
        <w:spacing w:after="0" w:line="240" w:lineRule="auto"/>
        <w:jc w:val="both"/>
        <w:rPr>
          <w:rFonts w:ascii="Times New Roman" w:hAnsi="Times New Roman"/>
          <w:color w:val="000000" w:themeColor="text1"/>
          <w:sz w:val="16"/>
          <w:szCs w:val="16"/>
        </w:rPr>
      </w:pPr>
    </w:p>
    <w:p w14:paraId="1C6026F3" w14:textId="5FF54A23"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15 июня по 17 июля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1944 г. в соответствии с приказом Народного Комиссара Танковой Промышленности Союза ССР и Командующего БТ и МВ Красной Армии № 366/098были проведены полигонные испытания второго опытного образца танка Т-44, конструкции завода № 183 НКТП от 31 января 1944.</w:t>
      </w:r>
    </w:p>
    <w:p w14:paraId="2FC2FD9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Представленный на испытания опытный образец танка Т-44 выполнен с учетом замечаний комиссии по полигонным испытаниям первого опытного образца, проведенным в феврале-марте 1944 года.</w:t>
      </w:r>
    </w:p>
    <w:p w14:paraId="66873E0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проведены по программе, утвержденной Заместителем Народного Комиссара Танковой Промышленности и Начальником ГБТУ Красной Армии.</w:t>
      </w:r>
    </w:p>
    <w:p w14:paraId="6D62966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проводились на НИБТ Полигоне ГБТУ КА, в районе ст.Кубинка, Западной ж.д. (18276)</w:t>
      </w:r>
    </w:p>
    <w:p w14:paraId="7A302EA0" w14:textId="112E75B4"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СРАВНИТЕЛЬНАЯ</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ТАКТИКО-ТЕХНИЧЕСКАЯ</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ХАРАКТЕРИСТИКА</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ТАНКОВ</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Т-44</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и</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Т-34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85.</w:t>
      </w:r>
    </w:p>
    <w:p w14:paraId="2579A83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ОБЩИЕ ДАННЫЕ.</w:t>
      </w:r>
    </w:p>
    <w:tbl>
      <w:tblPr>
        <w:tblW w:w="4750" w:type="pct"/>
        <w:jc w:val="center"/>
        <w:tblCellMar>
          <w:left w:w="0" w:type="dxa"/>
          <w:right w:w="0" w:type="dxa"/>
        </w:tblCellMar>
        <w:tblLook w:val="04A0" w:firstRow="1" w:lastRow="0" w:firstColumn="1" w:lastColumn="0" w:noHBand="0" w:noVBand="1"/>
      </w:tblPr>
      <w:tblGrid>
        <w:gridCol w:w="940"/>
        <w:gridCol w:w="4294"/>
        <w:gridCol w:w="2774"/>
        <w:gridCol w:w="6"/>
        <w:gridCol w:w="2738"/>
      </w:tblGrid>
      <w:tr w:rsidR="004D4663" w:rsidRPr="00070ADE" w14:paraId="7A9083A0" w14:textId="77777777" w:rsidTr="00C54063">
        <w:trPr>
          <w:trHeight w:val="430"/>
          <w:jc w:val="center"/>
        </w:trPr>
        <w:tc>
          <w:tcPr>
            <w:tcW w:w="953"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4737E63B" w14:textId="73CBEEDB"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п/п</w:t>
            </w:r>
          </w:p>
        </w:tc>
        <w:tc>
          <w:tcPr>
            <w:tcW w:w="4394" w:type="dxa"/>
            <w:vMerge w:val="restart"/>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4688368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w:t>
            </w:r>
          </w:p>
        </w:tc>
        <w:tc>
          <w:tcPr>
            <w:tcW w:w="5629" w:type="dxa"/>
            <w:gridSpan w:val="3"/>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729FE13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Марка танка</w:t>
            </w:r>
          </w:p>
        </w:tc>
      </w:tr>
      <w:tr w:rsidR="004D4663" w:rsidRPr="00070ADE" w14:paraId="3CC64059" w14:textId="77777777" w:rsidTr="00C54063">
        <w:trPr>
          <w:trHeight w:val="430"/>
          <w:jc w:val="center"/>
        </w:trPr>
        <w:tc>
          <w:tcPr>
            <w:tcW w:w="953" w:type="dxa"/>
            <w:vMerge/>
            <w:tcBorders>
              <w:top w:val="single" w:sz="8" w:space="0" w:color="000000"/>
              <w:left w:val="single" w:sz="8" w:space="0" w:color="000000"/>
              <w:bottom w:val="single" w:sz="8" w:space="0" w:color="000000"/>
              <w:right w:val="single" w:sz="8" w:space="0" w:color="000000"/>
            </w:tcBorders>
            <w:vAlign w:val="center"/>
            <w:hideMark/>
          </w:tcPr>
          <w:p w14:paraId="1516803F"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394" w:type="dxa"/>
            <w:vMerge/>
            <w:tcBorders>
              <w:top w:val="single" w:sz="8" w:space="0" w:color="000000"/>
              <w:left w:val="nil"/>
              <w:bottom w:val="single" w:sz="8" w:space="0" w:color="000000"/>
              <w:right w:val="single" w:sz="8" w:space="0" w:color="000000"/>
            </w:tcBorders>
            <w:vAlign w:val="center"/>
            <w:hideMark/>
          </w:tcPr>
          <w:p w14:paraId="1B42B2C0"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2830" w:type="dxa"/>
            <w:tcBorders>
              <w:top w:val="nil"/>
              <w:left w:val="nil"/>
              <w:bottom w:val="single" w:sz="8" w:space="0" w:color="000000"/>
              <w:right w:val="single" w:sz="8" w:space="0" w:color="000000"/>
            </w:tcBorders>
            <w:tcMar>
              <w:top w:w="0" w:type="dxa"/>
              <w:left w:w="108" w:type="dxa"/>
              <w:bottom w:w="0" w:type="dxa"/>
              <w:right w:w="108" w:type="dxa"/>
            </w:tcMar>
            <w:hideMark/>
          </w:tcPr>
          <w:p w14:paraId="68D03CA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Т-44</w:t>
            </w:r>
          </w:p>
        </w:tc>
        <w:tc>
          <w:tcPr>
            <w:tcW w:w="2799" w:type="dxa"/>
            <w:gridSpan w:val="2"/>
            <w:tcBorders>
              <w:top w:val="nil"/>
              <w:left w:val="nil"/>
              <w:bottom w:val="single" w:sz="8" w:space="0" w:color="000000"/>
              <w:right w:val="single" w:sz="8" w:space="0" w:color="000000"/>
            </w:tcBorders>
            <w:tcMar>
              <w:top w:w="0" w:type="dxa"/>
              <w:left w:w="108" w:type="dxa"/>
              <w:bottom w:w="0" w:type="dxa"/>
              <w:right w:w="108" w:type="dxa"/>
            </w:tcMar>
            <w:hideMark/>
          </w:tcPr>
          <w:p w14:paraId="17B2ADE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Т-34-85</w:t>
            </w:r>
          </w:p>
        </w:tc>
      </w:tr>
      <w:tr w:rsidR="004D4663" w:rsidRPr="00070ADE" w14:paraId="7AA3F418" w14:textId="77777777" w:rsidTr="00C54063">
        <w:trPr>
          <w:jc w:val="center"/>
        </w:trPr>
        <w:tc>
          <w:tcPr>
            <w:tcW w:w="953" w:type="dxa"/>
            <w:tcBorders>
              <w:top w:val="nil"/>
              <w:left w:val="single" w:sz="8" w:space="0" w:color="000000"/>
              <w:bottom w:val="single" w:sz="8" w:space="0" w:color="auto"/>
              <w:right w:val="single" w:sz="8" w:space="0" w:color="000000"/>
            </w:tcBorders>
            <w:tcMar>
              <w:top w:w="0" w:type="dxa"/>
              <w:left w:w="108" w:type="dxa"/>
              <w:bottom w:w="0" w:type="dxa"/>
              <w:right w:w="108" w:type="dxa"/>
            </w:tcMar>
            <w:vAlign w:val="center"/>
            <w:hideMark/>
          </w:tcPr>
          <w:p w14:paraId="1C9F707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439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2BAA992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283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4AC1C2F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2799" w:type="dxa"/>
            <w:gridSpan w:val="2"/>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06620D4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r>
      <w:tr w:rsidR="004D4663" w:rsidRPr="00070ADE" w14:paraId="15C4765C"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ED8295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4394" w:type="dxa"/>
            <w:tcBorders>
              <w:top w:val="nil"/>
              <w:left w:val="nil"/>
              <w:bottom w:val="nil"/>
              <w:right w:val="single" w:sz="8" w:space="0" w:color="000000"/>
            </w:tcBorders>
            <w:tcMar>
              <w:top w:w="0" w:type="dxa"/>
              <w:left w:w="108" w:type="dxa"/>
              <w:bottom w:w="0" w:type="dxa"/>
              <w:right w:w="108" w:type="dxa"/>
            </w:tcMar>
            <w:hideMark/>
          </w:tcPr>
          <w:p w14:paraId="45B7BD4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танка</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34E6688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Гусеничный</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0644BAF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Гусеничный</w:t>
            </w:r>
          </w:p>
        </w:tc>
      </w:tr>
      <w:tr w:rsidR="004D4663" w:rsidRPr="00070ADE" w14:paraId="49B6346C"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CFD73D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4394" w:type="dxa"/>
            <w:tcBorders>
              <w:top w:val="nil"/>
              <w:left w:val="nil"/>
              <w:bottom w:val="nil"/>
              <w:right w:val="single" w:sz="8" w:space="0" w:color="000000"/>
            </w:tcBorders>
            <w:tcMar>
              <w:top w:w="0" w:type="dxa"/>
              <w:left w:w="108" w:type="dxa"/>
              <w:bottom w:w="0" w:type="dxa"/>
              <w:right w:w="108" w:type="dxa"/>
            </w:tcMar>
            <w:hideMark/>
          </w:tcPr>
          <w:p w14:paraId="1252302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Марка двигателя</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760E770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Дизель В2-ИС</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23FA059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Дизель В2-34</w:t>
            </w:r>
          </w:p>
        </w:tc>
      </w:tr>
      <w:tr w:rsidR="004D4663" w:rsidRPr="00070ADE" w14:paraId="1AD82678"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E05EBA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4394" w:type="dxa"/>
            <w:tcBorders>
              <w:top w:val="nil"/>
              <w:left w:val="nil"/>
              <w:bottom w:val="nil"/>
              <w:right w:val="single" w:sz="8" w:space="0" w:color="000000"/>
            </w:tcBorders>
            <w:tcMar>
              <w:top w:w="0" w:type="dxa"/>
              <w:left w:w="108" w:type="dxa"/>
              <w:bottom w:w="0" w:type="dxa"/>
              <w:right w:w="108" w:type="dxa"/>
            </w:tcMar>
            <w:hideMark/>
          </w:tcPr>
          <w:p w14:paraId="742E260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Боевой вес с экипажем</w:t>
            </w:r>
          </w:p>
          <w:p w14:paraId="2975DBF2" w14:textId="53CE33D4"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2983A11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31300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39C6CDF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32200</w:t>
            </w:r>
          </w:p>
        </w:tc>
      </w:tr>
      <w:tr w:rsidR="004D4663" w:rsidRPr="00070ADE" w14:paraId="3C66898C"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14883B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4394" w:type="dxa"/>
            <w:tcBorders>
              <w:top w:val="nil"/>
              <w:left w:val="nil"/>
              <w:bottom w:val="nil"/>
              <w:right w:val="single" w:sz="8" w:space="0" w:color="000000"/>
            </w:tcBorders>
            <w:tcMar>
              <w:top w:w="0" w:type="dxa"/>
              <w:left w:w="108" w:type="dxa"/>
              <w:bottom w:w="0" w:type="dxa"/>
              <w:right w:w="108" w:type="dxa"/>
            </w:tcMar>
            <w:hideMark/>
          </w:tcPr>
          <w:p w14:paraId="05F2C1B4" w14:textId="32CDECEB"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Мощность на 1 тонну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ве-</w:t>
            </w:r>
          </w:p>
          <w:p w14:paraId="4CFDDA5A" w14:textId="19244E85"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танка в л.с.</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41AE7ED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16,10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5E45F21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15,52</w:t>
            </w:r>
          </w:p>
        </w:tc>
      </w:tr>
      <w:tr w:rsidR="004D4663" w:rsidRPr="00070ADE" w14:paraId="154C2E31"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4B7841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4394" w:type="dxa"/>
            <w:tcBorders>
              <w:top w:val="nil"/>
              <w:left w:val="nil"/>
              <w:bottom w:val="nil"/>
              <w:right w:val="single" w:sz="8" w:space="0" w:color="000000"/>
            </w:tcBorders>
            <w:tcMar>
              <w:top w:w="0" w:type="dxa"/>
              <w:left w:w="108" w:type="dxa"/>
              <w:bottom w:w="0" w:type="dxa"/>
              <w:right w:w="108" w:type="dxa"/>
            </w:tcMar>
            <w:hideMark/>
          </w:tcPr>
          <w:p w14:paraId="4F545EF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Удельное давление на</w:t>
            </w:r>
          </w:p>
          <w:p w14:paraId="72CB40E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грунт без погружения</w:t>
            </w:r>
          </w:p>
          <w:p w14:paraId="7A85D9B2" w14:textId="0F304850"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гусениц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кг/см²</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7BFD848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0,840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47D36EB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0,836</w:t>
            </w:r>
          </w:p>
        </w:tc>
      </w:tr>
      <w:tr w:rsidR="004D4663" w:rsidRPr="00070ADE" w14:paraId="0F7EAAEA"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694C60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4394" w:type="dxa"/>
            <w:tcBorders>
              <w:top w:val="nil"/>
              <w:left w:val="nil"/>
              <w:bottom w:val="nil"/>
              <w:right w:val="single" w:sz="8" w:space="0" w:color="000000"/>
            </w:tcBorders>
            <w:tcMar>
              <w:top w:w="0" w:type="dxa"/>
              <w:left w:w="108" w:type="dxa"/>
              <w:bottom w:w="0" w:type="dxa"/>
              <w:right w:w="108" w:type="dxa"/>
            </w:tcMar>
            <w:hideMark/>
          </w:tcPr>
          <w:p w14:paraId="347CAA5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2D9EC7B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чел.</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3F6136C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чел.</w:t>
            </w:r>
          </w:p>
        </w:tc>
      </w:tr>
      <w:tr w:rsidR="004D4663" w:rsidRPr="00070ADE" w14:paraId="1561E1EA" w14:textId="77777777" w:rsidTr="00811C95">
        <w:trPr>
          <w:trHeight w:val="746"/>
          <w:jc w:val="center"/>
        </w:trPr>
        <w:tc>
          <w:tcPr>
            <w:tcW w:w="10976" w:type="dxa"/>
            <w:gridSpan w:val="5"/>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096F7ED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ГАБАРИТЫ:</w:t>
            </w:r>
          </w:p>
        </w:tc>
      </w:tr>
      <w:tr w:rsidR="004D4663" w:rsidRPr="00070ADE" w14:paraId="59263A78"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7247F6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4394" w:type="dxa"/>
            <w:tcBorders>
              <w:top w:val="nil"/>
              <w:left w:val="nil"/>
              <w:bottom w:val="nil"/>
              <w:right w:val="single" w:sz="8" w:space="0" w:color="000000"/>
            </w:tcBorders>
            <w:tcMar>
              <w:top w:w="0" w:type="dxa"/>
              <w:left w:w="108" w:type="dxa"/>
              <w:bottom w:w="0" w:type="dxa"/>
              <w:right w:w="108" w:type="dxa"/>
            </w:tcMar>
            <w:hideMark/>
          </w:tcPr>
          <w:p w14:paraId="7E37C756" w14:textId="677235FE"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с пушкой вперед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3CE72E4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7900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0BE7DD6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8100</w:t>
            </w:r>
          </w:p>
        </w:tc>
      </w:tr>
      <w:tr w:rsidR="004D4663" w:rsidRPr="00070ADE" w14:paraId="10319112"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A9DFD5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4394" w:type="dxa"/>
            <w:tcBorders>
              <w:top w:val="nil"/>
              <w:left w:val="nil"/>
              <w:bottom w:val="nil"/>
              <w:right w:val="single" w:sz="8" w:space="0" w:color="000000"/>
            </w:tcBorders>
            <w:tcMar>
              <w:top w:w="0" w:type="dxa"/>
              <w:left w:w="108" w:type="dxa"/>
              <w:bottom w:w="0" w:type="dxa"/>
              <w:right w:w="108" w:type="dxa"/>
            </w:tcMar>
            <w:hideMark/>
          </w:tcPr>
          <w:p w14:paraId="0A0BB93D" w14:textId="22E1A923"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с пушкой назад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7ECDFE1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7400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3F99F3F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15C78B1"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8970B7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4394" w:type="dxa"/>
            <w:tcBorders>
              <w:top w:val="nil"/>
              <w:left w:val="nil"/>
              <w:bottom w:val="nil"/>
              <w:right w:val="single" w:sz="8" w:space="0" w:color="000000"/>
            </w:tcBorders>
            <w:tcMar>
              <w:top w:w="0" w:type="dxa"/>
              <w:left w:w="108" w:type="dxa"/>
              <w:bottom w:w="0" w:type="dxa"/>
              <w:right w:w="108" w:type="dxa"/>
            </w:tcMar>
            <w:hideMark/>
          </w:tcPr>
          <w:p w14:paraId="359EFF30" w14:textId="30776D74"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по корпусу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2FB0A80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5870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272C163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6100</w:t>
            </w:r>
          </w:p>
        </w:tc>
      </w:tr>
      <w:tr w:rsidR="004D4663" w:rsidRPr="00070ADE" w14:paraId="75A1519C"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38F1A2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4394" w:type="dxa"/>
            <w:tcBorders>
              <w:top w:val="nil"/>
              <w:left w:val="nil"/>
              <w:bottom w:val="nil"/>
              <w:right w:val="single" w:sz="8" w:space="0" w:color="000000"/>
            </w:tcBorders>
            <w:tcMar>
              <w:top w:w="0" w:type="dxa"/>
              <w:left w:w="108" w:type="dxa"/>
              <w:bottom w:w="0" w:type="dxa"/>
              <w:right w:w="108" w:type="dxa"/>
            </w:tcMar>
            <w:hideMark/>
          </w:tcPr>
          <w:p w14:paraId="13EB540A" w14:textId="7D69FBA5"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Ширина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4603BF8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3130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18D6705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3000</w:t>
            </w:r>
          </w:p>
        </w:tc>
      </w:tr>
      <w:tr w:rsidR="004D4663" w:rsidRPr="00070ADE" w14:paraId="1E9B7E18"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8C4C5D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4394" w:type="dxa"/>
            <w:tcBorders>
              <w:top w:val="nil"/>
              <w:left w:val="nil"/>
              <w:bottom w:val="nil"/>
              <w:right w:val="single" w:sz="8" w:space="0" w:color="000000"/>
            </w:tcBorders>
            <w:tcMar>
              <w:top w:w="0" w:type="dxa"/>
              <w:left w:w="108" w:type="dxa"/>
              <w:bottom w:w="0" w:type="dxa"/>
              <w:right w:w="108" w:type="dxa"/>
            </w:tcMar>
            <w:hideMark/>
          </w:tcPr>
          <w:p w14:paraId="3FE749E3" w14:textId="0E9CEE89"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Общая высота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мм</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270A4F7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2290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5196BB4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2700</w:t>
            </w:r>
          </w:p>
        </w:tc>
      </w:tr>
      <w:tr w:rsidR="004D4663" w:rsidRPr="00070ADE" w14:paraId="7BF5ABB6"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E41166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4394" w:type="dxa"/>
            <w:tcBorders>
              <w:top w:val="nil"/>
              <w:left w:val="nil"/>
              <w:bottom w:val="nil"/>
              <w:right w:val="single" w:sz="8" w:space="0" w:color="000000"/>
            </w:tcBorders>
            <w:tcMar>
              <w:top w:w="0" w:type="dxa"/>
              <w:left w:w="108" w:type="dxa"/>
              <w:bottom w:w="0" w:type="dxa"/>
              <w:right w:w="108" w:type="dxa"/>
            </w:tcMar>
            <w:hideMark/>
          </w:tcPr>
          <w:p w14:paraId="3204D29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 корпуса (от полот-</w:t>
            </w:r>
          </w:p>
          <w:p w14:paraId="7E0FEA0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дороги) в мм</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439131E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передней</w:t>
            </w:r>
          </w:p>
          <w:p w14:paraId="3435642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части 1280.</w:t>
            </w:r>
          </w:p>
          <w:p w14:paraId="7F51280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задней час-</w:t>
            </w:r>
          </w:p>
          <w:p w14:paraId="677A77C7" w14:textId="4AEEBA09"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1420.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6051ED4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передней</w:t>
            </w:r>
          </w:p>
          <w:p w14:paraId="42088A6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части 1558.</w:t>
            </w:r>
          </w:p>
          <w:p w14:paraId="5CB30B9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задней час-</w:t>
            </w:r>
          </w:p>
          <w:p w14:paraId="5BD0FFE4" w14:textId="63C48968"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1683.</w:t>
            </w:r>
          </w:p>
        </w:tc>
      </w:tr>
      <w:tr w:rsidR="004D4663" w:rsidRPr="00070ADE" w14:paraId="3542E049"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AC955D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4394" w:type="dxa"/>
            <w:tcBorders>
              <w:top w:val="nil"/>
              <w:left w:val="nil"/>
              <w:bottom w:val="nil"/>
              <w:right w:val="single" w:sz="8" w:space="0" w:color="000000"/>
            </w:tcBorders>
            <w:tcMar>
              <w:top w:w="0" w:type="dxa"/>
              <w:left w:w="108" w:type="dxa"/>
              <w:bottom w:w="0" w:type="dxa"/>
              <w:right w:w="108" w:type="dxa"/>
            </w:tcMar>
            <w:hideMark/>
          </w:tcPr>
          <w:p w14:paraId="38EDC73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Ширина колеи (расстояние между серединами гусениц)</w:t>
            </w:r>
          </w:p>
          <w:p w14:paraId="150104E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мм</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63256C3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2610</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2DB5DF4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2460</w:t>
            </w:r>
          </w:p>
        </w:tc>
      </w:tr>
      <w:tr w:rsidR="004D4663" w:rsidRPr="00070ADE" w14:paraId="1895B733"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1A32D4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4394" w:type="dxa"/>
            <w:tcBorders>
              <w:top w:val="nil"/>
              <w:left w:val="nil"/>
              <w:bottom w:val="nil"/>
              <w:right w:val="single" w:sz="8" w:space="0" w:color="000000"/>
            </w:tcBorders>
            <w:tcMar>
              <w:top w:w="0" w:type="dxa"/>
              <w:left w:w="108" w:type="dxa"/>
              <w:bottom w:w="0" w:type="dxa"/>
              <w:right w:w="108" w:type="dxa"/>
            </w:tcMar>
            <w:hideMark/>
          </w:tcPr>
          <w:p w14:paraId="4C0CF80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Клиренс на твердом грунте</w:t>
            </w:r>
          </w:p>
        </w:tc>
        <w:tc>
          <w:tcPr>
            <w:tcW w:w="2830" w:type="dxa"/>
            <w:tcBorders>
              <w:top w:val="nil"/>
              <w:left w:val="nil"/>
              <w:bottom w:val="nil"/>
              <w:right w:val="single" w:sz="8" w:space="0" w:color="000000"/>
            </w:tcBorders>
            <w:tcMar>
              <w:top w:w="0" w:type="dxa"/>
              <w:left w:w="108" w:type="dxa"/>
              <w:bottom w:w="0" w:type="dxa"/>
              <w:right w:w="108" w:type="dxa"/>
            </w:tcMar>
            <w:vAlign w:val="center"/>
            <w:hideMark/>
          </w:tcPr>
          <w:p w14:paraId="2894DCD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450/368</w:t>
            </w:r>
          </w:p>
        </w:tc>
        <w:tc>
          <w:tcPr>
            <w:tcW w:w="2799" w:type="dxa"/>
            <w:gridSpan w:val="2"/>
            <w:tcBorders>
              <w:top w:val="nil"/>
              <w:left w:val="nil"/>
              <w:bottom w:val="nil"/>
              <w:right w:val="single" w:sz="8" w:space="0" w:color="000000"/>
            </w:tcBorders>
            <w:tcMar>
              <w:top w:w="0" w:type="dxa"/>
              <w:left w:w="108" w:type="dxa"/>
              <w:bottom w:w="0" w:type="dxa"/>
              <w:right w:w="108" w:type="dxa"/>
            </w:tcMar>
            <w:vAlign w:val="center"/>
            <w:hideMark/>
          </w:tcPr>
          <w:p w14:paraId="71E9274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380-410</w:t>
            </w:r>
          </w:p>
        </w:tc>
      </w:tr>
      <w:tr w:rsidR="004D4663" w:rsidRPr="00070ADE" w14:paraId="3E0413A0"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42A1EDAD" w14:textId="52CC24E8"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r w:rsidR="00811C95" w:rsidRPr="00070ADE">
              <w:rPr>
                <w:rFonts w:ascii="Times New Roman" w:hAnsi="Times New Roman"/>
                <w:color w:val="000000" w:themeColor="text1"/>
                <w:sz w:val="16"/>
                <w:szCs w:val="16"/>
              </w:rPr>
              <w:t>9.</w:t>
            </w:r>
          </w:p>
        </w:tc>
        <w:tc>
          <w:tcPr>
            <w:tcW w:w="4394" w:type="dxa"/>
            <w:tcBorders>
              <w:top w:val="nil"/>
              <w:left w:val="nil"/>
              <w:bottom w:val="nil"/>
              <w:right w:val="single" w:sz="8" w:space="0" w:color="000000"/>
            </w:tcBorders>
            <w:tcMar>
              <w:top w:w="0" w:type="dxa"/>
              <w:left w:w="108" w:type="dxa"/>
              <w:bottom w:w="0" w:type="dxa"/>
              <w:right w:w="108" w:type="dxa"/>
            </w:tcMar>
            <w:hideMark/>
          </w:tcPr>
          <w:p w14:paraId="5927F0F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опорной поверхности</w:t>
            </w:r>
          </w:p>
          <w:p w14:paraId="6C5536B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без погружения в мм</w:t>
            </w:r>
          </w:p>
        </w:tc>
        <w:tc>
          <w:tcPr>
            <w:tcW w:w="2836" w:type="dxa"/>
            <w:gridSpan w:val="2"/>
            <w:tcBorders>
              <w:top w:val="nil"/>
              <w:left w:val="nil"/>
              <w:bottom w:val="nil"/>
              <w:right w:val="single" w:sz="8" w:space="0" w:color="000000"/>
            </w:tcBorders>
            <w:tcMar>
              <w:top w:w="0" w:type="dxa"/>
              <w:left w:w="108" w:type="dxa"/>
              <w:bottom w:w="0" w:type="dxa"/>
              <w:right w:w="108" w:type="dxa"/>
            </w:tcMar>
            <w:vAlign w:val="center"/>
            <w:hideMark/>
          </w:tcPr>
          <w:p w14:paraId="1C21AAC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3840</w:t>
            </w:r>
          </w:p>
        </w:tc>
        <w:tc>
          <w:tcPr>
            <w:tcW w:w="2793" w:type="dxa"/>
            <w:tcBorders>
              <w:top w:val="nil"/>
              <w:left w:val="nil"/>
              <w:bottom w:val="nil"/>
              <w:right w:val="single" w:sz="8" w:space="0" w:color="000000"/>
            </w:tcBorders>
            <w:tcMar>
              <w:top w:w="0" w:type="dxa"/>
              <w:left w:w="108" w:type="dxa"/>
              <w:bottom w:w="0" w:type="dxa"/>
              <w:right w:w="108" w:type="dxa"/>
            </w:tcMar>
            <w:vAlign w:val="center"/>
            <w:hideMark/>
          </w:tcPr>
          <w:p w14:paraId="52A278E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3850</w:t>
            </w:r>
          </w:p>
        </w:tc>
      </w:tr>
      <w:tr w:rsidR="004D4663" w:rsidRPr="00070ADE" w14:paraId="4F4C8F6F"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D71AA5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4394" w:type="dxa"/>
            <w:tcBorders>
              <w:top w:val="nil"/>
              <w:left w:val="nil"/>
              <w:bottom w:val="nil"/>
              <w:right w:val="single" w:sz="8" w:space="0" w:color="000000"/>
            </w:tcBorders>
            <w:tcMar>
              <w:top w:w="0" w:type="dxa"/>
              <w:left w:w="108" w:type="dxa"/>
              <w:bottom w:w="0" w:type="dxa"/>
              <w:right w:w="108" w:type="dxa"/>
            </w:tcMar>
            <w:hideMark/>
          </w:tcPr>
          <w:p w14:paraId="4CA0441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Диаметр погона в свету в мм</w:t>
            </w:r>
          </w:p>
        </w:tc>
        <w:tc>
          <w:tcPr>
            <w:tcW w:w="2836" w:type="dxa"/>
            <w:gridSpan w:val="2"/>
            <w:tcBorders>
              <w:top w:val="nil"/>
              <w:left w:val="nil"/>
              <w:bottom w:val="nil"/>
              <w:right w:val="single" w:sz="8" w:space="0" w:color="000000"/>
            </w:tcBorders>
            <w:tcMar>
              <w:top w:w="0" w:type="dxa"/>
              <w:left w:w="108" w:type="dxa"/>
              <w:bottom w:w="0" w:type="dxa"/>
              <w:right w:w="108" w:type="dxa"/>
            </w:tcMar>
            <w:vAlign w:val="center"/>
            <w:hideMark/>
          </w:tcPr>
          <w:p w14:paraId="3B61E01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1600</w:t>
            </w:r>
          </w:p>
        </w:tc>
        <w:tc>
          <w:tcPr>
            <w:tcW w:w="2793" w:type="dxa"/>
            <w:tcBorders>
              <w:top w:val="nil"/>
              <w:left w:val="nil"/>
              <w:bottom w:val="nil"/>
              <w:right w:val="single" w:sz="8" w:space="0" w:color="000000"/>
            </w:tcBorders>
            <w:tcMar>
              <w:top w:w="0" w:type="dxa"/>
              <w:left w:w="108" w:type="dxa"/>
              <w:bottom w:w="0" w:type="dxa"/>
              <w:right w:w="108" w:type="dxa"/>
            </w:tcMar>
            <w:vAlign w:val="center"/>
            <w:hideMark/>
          </w:tcPr>
          <w:p w14:paraId="34DE4D6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1600</w:t>
            </w:r>
          </w:p>
        </w:tc>
      </w:tr>
      <w:tr w:rsidR="004D4663" w:rsidRPr="00070ADE" w14:paraId="19E51FA8"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7276A7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4394" w:type="dxa"/>
            <w:tcBorders>
              <w:top w:val="nil"/>
              <w:left w:val="nil"/>
              <w:bottom w:val="nil"/>
              <w:right w:val="single" w:sz="8" w:space="0" w:color="000000"/>
            </w:tcBorders>
            <w:tcMar>
              <w:top w:w="0" w:type="dxa"/>
              <w:left w:w="108" w:type="dxa"/>
              <w:bottom w:w="0" w:type="dxa"/>
              <w:right w:w="108" w:type="dxa"/>
            </w:tcMar>
            <w:hideMark/>
          </w:tcPr>
          <w:p w14:paraId="4E2B581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Ширина боевого отделения</w:t>
            </w:r>
          </w:p>
          <w:p w14:paraId="6FDEC7B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корпусе) в мм</w:t>
            </w:r>
          </w:p>
        </w:tc>
        <w:tc>
          <w:tcPr>
            <w:tcW w:w="2836" w:type="dxa"/>
            <w:gridSpan w:val="2"/>
            <w:tcBorders>
              <w:top w:val="nil"/>
              <w:left w:val="nil"/>
              <w:bottom w:val="nil"/>
              <w:right w:val="single" w:sz="8" w:space="0" w:color="000000"/>
            </w:tcBorders>
            <w:tcMar>
              <w:top w:w="0" w:type="dxa"/>
              <w:left w:w="108" w:type="dxa"/>
              <w:bottom w:w="0" w:type="dxa"/>
              <w:right w:w="108" w:type="dxa"/>
            </w:tcMar>
            <w:vAlign w:val="center"/>
            <w:hideMark/>
          </w:tcPr>
          <w:p w14:paraId="50A17AA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1850</w:t>
            </w:r>
          </w:p>
        </w:tc>
        <w:tc>
          <w:tcPr>
            <w:tcW w:w="2793" w:type="dxa"/>
            <w:tcBorders>
              <w:top w:val="nil"/>
              <w:left w:val="nil"/>
              <w:bottom w:val="nil"/>
              <w:right w:val="single" w:sz="8" w:space="0" w:color="000000"/>
            </w:tcBorders>
            <w:tcMar>
              <w:top w:w="0" w:type="dxa"/>
              <w:left w:w="108" w:type="dxa"/>
              <w:bottom w:w="0" w:type="dxa"/>
              <w:right w:w="108" w:type="dxa"/>
            </w:tcMar>
            <w:vAlign w:val="center"/>
            <w:hideMark/>
          </w:tcPr>
          <w:p w14:paraId="5DEAF5D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1420</w:t>
            </w:r>
          </w:p>
        </w:tc>
      </w:tr>
      <w:tr w:rsidR="004D4663" w:rsidRPr="00070ADE" w14:paraId="28D61FF1"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5FC238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tc>
        <w:tc>
          <w:tcPr>
            <w:tcW w:w="4394" w:type="dxa"/>
            <w:tcBorders>
              <w:top w:val="nil"/>
              <w:left w:val="nil"/>
              <w:bottom w:val="nil"/>
              <w:right w:val="single" w:sz="8" w:space="0" w:color="000000"/>
            </w:tcBorders>
            <w:tcMar>
              <w:top w:w="0" w:type="dxa"/>
              <w:left w:w="108" w:type="dxa"/>
              <w:bottom w:w="0" w:type="dxa"/>
              <w:right w:w="108" w:type="dxa"/>
            </w:tcMar>
            <w:hideMark/>
          </w:tcPr>
          <w:p w14:paraId="34EB03E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боевого отделения (от</w:t>
            </w:r>
          </w:p>
          <w:p w14:paraId="370167F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спинки сидения водителя до</w:t>
            </w:r>
          </w:p>
          <w:p w14:paraId="4BFD7D2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перегородки моторного отделения) в мм</w:t>
            </w:r>
          </w:p>
        </w:tc>
        <w:tc>
          <w:tcPr>
            <w:tcW w:w="2836" w:type="dxa"/>
            <w:gridSpan w:val="2"/>
            <w:tcBorders>
              <w:top w:val="nil"/>
              <w:left w:val="nil"/>
              <w:bottom w:val="nil"/>
              <w:right w:val="single" w:sz="8" w:space="0" w:color="000000"/>
            </w:tcBorders>
            <w:tcMar>
              <w:top w:w="0" w:type="dxa"/>
              <w:left w:w="108" w:type="dxa"/>
              <w:bottom w:w="0" w:type="dxa"/>
              <w:right w:w="108" w:type="dxa"/>
            </w:tcMar>
            <w:vAlign w:val="center"/>
            <w:hideMark/>
          </w:tcPr>
          <w:p w14:paraId="56B699D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1550</w:t>
            </w:r>
          </w:p>
        </w:tc>
        <w:tc>
          <w:tcPr>
            <w:tcW w:w="2793" w:type="dxa"/>
            <w:tcBorders>
              <w:top w:val="nil"/>
              <w:left w:val="nil"/>
              <w:bottom w:val="nil"/>
              <w:right w:val="single" w:sz="8" w:space="0" w:color="000000"/>
            </w:tcBorders>
            <w:tcMar>
              <w:top w:w="0" w:type="dxa"/>
              <w:left w:w="108" w:type="dxa"/>
              <w:bottom w:w="0" w:type="dxa"/>
              <w:right w:w="108" w:type="dxa"/>
            </w:tcMar>
            <w:vAlign w:val="center"/>
            <w:hideMark/>
          </w:tcPr>
          <w:p w14:paraId="36384C5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1450</w:t>
            </w:r>
          </w:p>
        </w:tc>
      </w:tr>
      <w:tr w:rsidR="004D4663" w:rsidRPr="00070ADE" w14:paraId="4DBA7B24" w14:textId="77777777" w:rsidTr="00C54063">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9943512" w14:textId="77777777" w:rsidR="00811C95" w:rsidRPr="00070ADE" w:rsidRDefault="00811C95" w:rsidP="00B56F90">
            <w:pPr>
              <w:spacing w:after="0" w:line="240" w:lineRule="auto"/>
              <w:jc w:val="both"/>
              <w:rPr>
                <w:rFonts w:ascii="Times New Roman" w:hAnsi="Times New Roman"/>
                <w:color w:val="000000" w:themeColor="text1"/>
                <w:sz w:val="16"/>
                <w:szCs w:val="16"/>
              </w:rPr>
            </w:pPr>
            <w:bookmarkStart w:id="67" w:name="_Hlk536816680"/>
            <w:r w:rsidRPr="00070ADE">
              <w:rPr>
                <w:rFonts w:ascii="Times New Roman" w:hAnsi="Times New Roman"/>
                <w:color w:val="000000" w:themeColor="text1"/>
                <w:sz w:val="16"/>
                <w:szCs w:val="16"/>
              </w:rPr>
              <w:t>13.</w:t>
            </w:r>
            <w:bookmarkEnd w:id="67"/>
          </w:p>
        </w:tc>
        <w:tc>
          <w:tcPr>
            <w:tcW w:w="4394" w:type="dxa"/>
            <w:tcBorders>
              <w:top w:val="nil"/>
              <w:left w:val="nil"/>
              <w:bottom w:val="nil"/>
              <w:right w:val="single" w:sz="8" w:space="0" w:color="000000"/>
            </w:tcBorders>
            <w:tcMar>
              <w:top w:w="0" w:type="dxa"/>
              <w:left w:w="108" w:type="dxa"/>
              <w:bottom w:w="0" w:type="dxa"/>
              <w:right w:w="108" w:type="dxa"/>
            </w:tcMar>
            <w:hideMark/>
          </w:tcPr>
          <w:p w14:paraId="05C4C93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 боевого отделения в мм</w:t>
            </w:r>
          </w:p>
        </w:tc>
        <w:tc>
          <w:tcPr>
            <w:tcW w:w="2836" w:type="dxa"/>
            <w:gridSpan w:val="2"/>
            <w:tcBorders>
              <w:top w:val="nil"/>
              <w:left w:val="nil"/>
              <w:bottom w:val="nil"/>
              <w:right w:val="single" w:sz="8" w:space="0" w:color="000000"/>
            </w:tcBorders>
            <w:tcMar>
              <w:top w:w="0" w:type="dxa"/>
              <w:left w:w="108" w:type="dxa"/>
              <w:bottom w:w="0" w:type="dxa"/>
              <w:right w:w="108" w:type="dxa"/>
            </w:tcMar>
            <w:vAlign w:val="center"/>
            <w:hideMark/>
          </w:tcPr>
          <w:p w14:paraId="6966DB2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1555</w:t>
            </w:r>
          </w:p>
        </w:tc>
        <w:tc>
          <w:tcPr>
            <w:tcW w:w="2793" w:type="dxa"/>
            <w:tcBorders>
              <w:top w:val="nil"/>
              <w:left w:val="nil"/>
              <w:bottom w:val="nil"/>
              <w:right w:val="single" w:sz="8" w:space="0" w:color="000000"/>
            </w:tcBorders>
            <w:tcMar>
              <w:top w:w="0" w:type="dxa"/>
              <w:left w:w="108" w:type="dxa"/>
              <w:bottom w:w="0" w:type="dxa"/>
              <w:right w:w="108" w:type="dxa"/>
            </w:tcMar>
            <w:vAlign w:val="center"/>
            <w:hideMark/>
          </w:tcPr>
          <w:p w14:paraId="29F2412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1585</w:t>
            </w:r>
          </w:p>
        </w:tc>
      </w:tr>
    </w:tbl>
    <w:p w14:paraId="0612E53B" w14:textId="163975CE"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ТОЛЩИНА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 НАКЛОНЫ БРОНЕВЫХ ЛИСТОВ КОРПУСА И БАШНИ.</w:t>
      </w:r>
    </w:p>
    <w:tbl>
      <w:tblPr>
        <w:tblW w:w="4750" w:type="pct"/>
        <w:jc w:val="center"/>
        <w:tblCellMar>
          <w:left w:w="0" w:type="dxa"/>
          <w:right w:w="0" w:type="dxa"/>
        </w:tblCellMar>
        <w:tblLook w:val="04A0" w:firstRow="1" w:lastRow="0" w:firstColumn="1" w:lastColumn="0" w:noHBand="0" w:noVBand="1"/>
      </w:tblPr>
      <w:tblGrid>
        <w:gridCol w:w="665"/>
        <w:gridCol w:w="3799"/>
        <w:gridCol w:w="1575"/>
        <w:gridCol w:w="1574"/>
        <w:gridCol w:w="1575"/>
        <w:gridCol w:w="1574"/>
      </w:tblGrid>
      <w:tr w:rsidR="004D4663" w:rsidRPr="00070ADE" w14:paraId="500FD586" w14:textId="77777777" w:rsidTr="00C54063">
        <w:trPr>
          <w:jc w:val="center"/>
        </w:trPr>
        <w:tc>
          <w:tcPr>
            <w:tcW w:w="4515" w:type="dxa"/>
            <w:gridSpan w:val="2"/>
            <w:tcBorders>
              <w:top w:val="nil"/>
              <w:left w:val="nil"/>
              <w:bottom w:val="single" w:sz="8" w:space="0" w:color="auto"/>
              <w:right w:val="single" w:sz="8" w:space="0" w:color="000000"/>
            </w:tcBorders>
            <w:hideMark/>
          </w:tcPr>
          <w:p w14:paraId="1DF0B10C" w14:textId="6864E1A7" w:rsidR="00811C95" w:rsidRPr="00070ADE" w:rsidRDefault="00C63BA9" w:rsidP="00B56F9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35C4DE12" w14:textId="4E469619"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1589" w:type="dxa"/>
            <w:tcBorders>
              <w:top w:val="single" w:sz="8" w:space="0" w:color="auto"/>
              <w:left w:val="nil"/>
              <w:bottom w:val="single" w:sz="8" w:space="0" w:color="auto"/>
              <w:right w:val="single" w:sz="8" w:space="0" w:color="000000"/>
            </w:tcBorders>
            <w:tcMar>
              <w:top w:w="0" w:type="dxa"/>
              <w:left w:w="108" w:type="dxa"/>
              <w:bottom w:w="0" w:type="dxa"/>
              <w:right w:w="108" w:type="dxa"/>
            </w:tcMar>
            <w:hideMark/>
          </w:tcPr>
          <w:p w14:paraId="5C8821A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Толщи-</w:t>
            </w:r>
          </w:p>
          <w:p w14:paraId="6D8081BF" w14:textId="6660C5D5"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w:t>
            </w:r>
            <w:r w:rsidR="00B643A8" w:rsidRPr="00070ADE">
              <w:rPr>
                <w:rFonts w:ascii="Times New Roman" w:hAnsi="Times New Roman"/>
                <w:color w:val="000000" w:themeColor="text1"/>
                <w:sz w:val="16"/>
                <w:szCs w:val="16"/>
              </w:rPr>
              <w:t xml:space="preserve"> </w:t>
            </w:r>
          </w:p>
          <w:p w14:paraId="75FE7A6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мм</w:t>
            </w:r>
          </w:p>
        </w:tc>
        <w:tc>
          <w:tcPr>
            <w:tcW w:w="1590" w:type="dxa"/>
            <w:tcBorders>
              <w:top w:val="single" w:sz="8" w:space="0" w:color="auto"/>
              <w:left w:val="nil"/>
              <w:bottom w:val="single" w:sz="8" w:space="0" w:color="000000"/>
              <w:right w:val="single" w:sz="8" w:space="0" w:color="000000"/>
            </w:tcBorders>
            <w:tcMar>
              <w:top w:w="0" w:type="dxa"/>
              <w:left w:w="108" w:type="dxa"/>
              <w:bottom w:w="0" w:type="dxa"/>
              <w:right w:w="108" w:type="dxa"/>
            </w:tcMar>
            <w:vAlign w:val="center"/>
            <w:hideMark/>
          </w:tcPr>
          <w:p w14:paraId="3EAB226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Угол</w:t>
            </w:r>
          </w:p>
          <w:p w14:paraId="46549B6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накло-</w:t>
            </w:r>
          </w:p>
          <w:p w14:paraId="36DB405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 к</w:t>
            </w:r>
          </w:p>
          <w:p w14:paraId="143F6B9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верти-</w:t>
            </w:r>
          </w:p>
          <w:p w14:paraId="600E9B7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кали</w:t>
            </w:r>
          </w:p>
        </w:tc>
        <w:tc>
          <w:tcPr>
            <w:tcW w:w="1590" w:type="dxa"/>
            <w:tcBorders>
              <w:top w:val="single" w:sz="8" w:space="0" w:color="auto"/>
              <w:left w:val="nil"/>
              <w:bottom w:val="single" w:sz="8" w:space="0" w:color="000000"/>
              <w:right w:val="single" w:sz="8" w:space="0" w:color="000000"/>
            </w:tcBorders>
            <w:tcMar>
              <w:top w:w="0" w:type="dxa"/>
              <w:left w:w="108" w:type="dxa"/>
              <w:bottom w:w="0" w:type="dxa"/>
              <w:right w:w="108" w:type="dxa"/>
            </w:tcMar>
            <w:hideMark/>
          </w:tcPr>
          <w:p w14:paraId="2B6E7BB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Толщи-</w:t>
            </w:r>
          </w:p>
          <w:p w14:paraId="488C2B3D" w14:textId="6EAEEC41"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w:t>
            </w:r>
            <w:r w:rsidR="00B643A8" w:rsidRPr="00070ADE">
              <w:rPr>
                <w:rFonts w:ascii="Times New Roman" w:hAnsi="Times New Roman"/>
                <w:color w:val="000000" w:themeColor="text1"/>
                <w:sz w:val="16"/>
                <w:szCs w:val="16"/>
              </w:rPr>
              <w:t xml:space="preserve"> </w:t>
            </w:r>
          </w:p>
          <w:p w14:paraId="4463994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мм</w:t>
            </w:r>
          </w:p>
        </w:tc>
        <w:tc>
          <w:tcPr>
            <w:tcW w:w="1590" w:type="dxa"/>
            <w:tcBorders>
              <w:top w:val="single" w:sz="8" w:space="0" w:color="auto"/>
              <w:left w:val="nil"/>
              <w:bottom w:val="single" w:sz="8" w:space="0" w:color="000000"/>
              <w:right w:val="single" w:sz="8" w:space="0" w:color="000000"/>
            </w:tcBorders>
            <w:tcMar>
              <w:top w:w="0" w:type="dxa"/>
              <w:left w:w="108" w:type="dxa"/>
              <w:bottom w:w="0" w:type="dxa"/>
              <w:right w:w="108" w:type="dxa"/>
            </w:tcMar>
            <w:vAlign w:val="center"/>
            <w:hideMark/>
          </w:tcPr>
          <w:p w14:paraId="3BFB212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Угол</w:t>
            </w:r>
          </w:p>
          <w:p w14:paraId="2C33235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накло-</w:t>
            </w:r>
          </w:p>
          <w:p w14:paraId="40DFA27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 к</w:t>
            </w:r>
          </w:p>
          <w:p w14:paraId="5E686B3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верти-</w:t>
            </w:r>
          </w:p>
          <w:p w14:paraId="66E73CA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кали</w:t>
            </w:r>
          </w:p>
        </w:tc>
      </w:tr>
      <w:tr w:rsidR="004D4663" w:rsidRPr="00070ADE" w14:paraId="4C1A0D40"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0A7F484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w:t>
            </w:r>
          </w:p>
        </w:tc>
        <w:tc>
          <w:tcPr>
            <w:tcW w:w="3845" w:type="dxa"/>
            <w:tcBorders>
              <w:top w:val="nil"/>
              <w:left w:val="nil"/>
              <w:bottom w:val="nil"/>
              <w:right w:val="single" w:sz="8" w:space="0" w:color="000000"/>
            </w:tcBorders>
            <w:tcMar>
              <w:top w:w="0" w:type="dxa"/>
              <w:left w:w="108" w:type="dxa"/>
              <w:bottom w:w="0" w:type="dxa"/>
              <w:right w:w="108" w:type="dxa"/>
            </w:tcMar>
            <w:hideMark/>
          </w:tcPr>
          <w:p w14:paraId="50039F8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Носовой лист верхний</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360C0DE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77E4D8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1371227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7644E53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tc>
      </w:tr>
      <w:tr w:rsidR="004D4663" w:rsidRPr="00070ADE" w14:paraId="17788CBB"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1E7B38C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3845" w:type="dxa"/>
            <w:tcBorders>
              <w:top w:val="nil"/>
              <w:left w:val="nil"/>
              <w:bottom w:val="nil"/>
              <w:right w:val="single" w:sz="8" w:space="0" w:color="000000"/>
            </w:tcBorders>
            <w:tcMar>
              <w:top w:w="0" w:type="dxa"/>
              <w:left w:w="108" w:type="dxa"/>
              <w:bottom w:w="0" w:type="dxa"/>
              <w:right w:w="108" w:type="dxa"/>
            </w:tcMar>
            <w:hideMark/>
          </w:tcPr>
          <w:p w14:paraId="783DECA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Носовой лист нижний</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7AADA68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72D96DD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1A58B0B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578153C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w:t>
            </w:r>
          </w:p>
        </w:tc>
      </w:tr>
      <w:tr w:rsidR="004D4663" w:rsidRPr="00070ADE" w14:paraId="0A38B609"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06BBB0B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3845" w:type="dxa"/>
            <w:tcBorders>
              <w:top w:val="nil"/>
              <w:left w:val="nil"/>
              <w:bottom w:val="nil"/>
              <w:right w:val="single" w:sz="8" w:space="0" w:color="000000"/>
            </w:tcBorders>
            <w:tcMar>
              <w:top w:w="0" w:type="dxa"/>
              <w:left w:w="108" w:type="dxa"/>
              <w:bottom w:w="0" w:type="dxa"/>
              <w:right w:w="108" w:type="dxa"/>
            </w:tcMar>
            <w:hideMark/>
          </w:tcPr>
          <w:p w14:paraId="6975FFB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Бортовые листы нижней</w:t>
            </w:r>
          </w:p>
          <w:p w14:paraId="6EE0F18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части корпуса</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469E387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3EE8C2B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283852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A9827B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tc>
      </w:tr>
      <w:tr w:rsidR="004D4663" w:rsidRPr="00070ADE" w14:paraId="46E38FBE"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3CAC28D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3845" w:type="dxa"/>
            <w:tcBorders>
              <w:top w:val="nil"/>
              <w:left w:val="nil"/>
              <w:bottom w:val="nil"/>
              <w:right w:val="single" w:sz="8" w:space="0" w:color="000000"/>
            </w:tcBorders>
            <w:tcMar>
              <w:top w:w="0" w:type="dxa"/>
              <w:left w:w="108" w:type="dxa"/>
              <w:bottom w:w="0" w:type="dxa"/>
              <w:right w:w="108" w:type="dxa"/>
            </w:tcMar>
            <w:hideMark/>
          </w:tcPr>
          <w:p w14:paraId="33A87A4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Бортовые листы верхней</w:t>
            </w:r>
          </w:p>
          <w:p w14:paraId="6168FB5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части корпуса</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137F463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14B5B7B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1A5604D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710423F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r>
      <w:tr w:rsidR="004D4663" w:rsidRPr="00070ADE" w14:paraId="30D8E293"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230E590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3845" w:type="dxa"/>
            <w:tcBorders>
              <w:top w:val="nil"/>
              <w:left w:val="nil"/>
              <w:bottom w:val="nil"/>
              <w:right w:val="single" w:sz="8" w:space="0" w:color="000000"/>
            </w:tcBorders>
            <w:tcMar>
              <w:top w:w="0" w:type="dxa"/>
              <w:left w:w="108" w:type="dxa"/>
              <w:bottom w:w="0" w:type="dxa"/>
              <w:right w:w="108" w:type="dxa"/>
            </w:tcMar>
            <w:hideMark/>
          </w:tcPr>
          <w:p w14:paraId="787ADFD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Верхний лист кормы</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1CEA746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698074E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011817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3AA0408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47°40´</w:t>
            </w:r>
          </w:p>
        </w:tc>
      </w:tr>
      <w:tr w:rsidR="004D4663" w:rsidRPr="00070ADE" w14:paraId="366BD3A5"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0B78ECD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3845" w:type="dxa"/>
            <w:tcBorders>
              <w:top w:val="nil"/>
              <w:left w:val="nil"/>
              <w:bottom w:val="nil"/>
              <w:right w:val="single" w:sz="8" w:space="0" w:color="000000"/>
            </w:tcBorders>
            <w:tcMar>
              <w:top w:w="0" w:type="dxa"/>
              <w:left w:w="108" w:type="dxa"/>
              <w:bottom w:w="0" w:type="dxa"/>
              <w:right w:w="108" w:type="dxa"/>
            </w:tcMar>
            <w:hideMark/>
          </w:tcPr>
          <w:p w14:paraId="3923640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Нижняя часть кормы</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1DC12B8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16B06CE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94DD77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A4FE75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w:t>
            </w:r>
          </w:p>
        </w:tc>
      </w:tr>
      <w:tr w:rsidR="004D4663" w:rsidRPr="00070ADE" w14:paraId="60DD1255"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61A33A4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3845" w:type="dxa"/>
            <w:tcBorders>
              <w:top w:val="nil"/>
              <w:left w:val="nil"/>
              <w:bottom w:val="nil"/>
              <w:right w:val="single" w:sz="8" w:space="0" w:color="000000"/>
            </w:tcBorders>
            <w:tcMar>
              <w:top w:w="0" w:type="dxa"/>
              <w:left w:w="108" w:type="dxa"/>
              <w:bottom w:w="0" w:type="dxa"/>
              <w:right w:w="108" w:type="dxa"/>
            </w:tcMar>
            <w:hideMark/>
          </w:tcPr>
          <w:p w14:paraId="4DFEBD3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Листы крыши</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40AE76A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 20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00B701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51D7E06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61C86BD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w:t>
            </w:r>
          </w:p>
        </w:tc>
      </w:tr>
      <w:tr w:rsidR="004D4663" w:rsidRPr="00070ADE" w14:paraId="68E014EB"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1C1525D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3845" w:type="dxa"/>
            <w:tcBorders>
              <w:top w:val="nil"/>
              <w:left w:val="nil"/>
              <w:bottom w:val="nil"/>
              <w:right w:val="single" w:sz="8" w:space="0" w:color="000000"/>
            </w:tcBorders>
            <w:tcMar>
              <w:top w:w="0" w:type="dxa"/>
              <w:left w:w="108" w:type="dxa"/>
              <w:bottom w:w="0" w:type="dxa"/>
              <w:right w:w="108" w:type="dxa"/>
            </w:tcMar>
            <w:hideMark/>
          </w:tcPr>
          <w:p w14:paraId="72587BB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Днище</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478F35E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5C13ED0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37A21E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7F728EE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w:t>
            </w:r>
          </w:p>
        </w:tc>
      </w:tr>
      <w:tr w:rsidR="004D4663" w:rsidRPr="00070ADE" w14:paraId="1786F179"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778F6AC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tc>
        <w:tc>
          <w:tcPr>
            <w:tcW w:w="3845" w:type="dxa"/>
            <w:tcBorders>
              <w:top w:val="nil"/>
              <w:left w:val="nil"/>
              <w:bottom w:val="nil"/>
              <w:right w:val="single" w:sz="8" w:space="0" w:color="000000"/>
            </w:tcBorders>
            <w:tcMar>
              <w:top w:w="0" w:type="dxa"/>
              <w:left w:w="108" w:type="dxa"/>
              <w:bottom w:w="0" w:type="dxa"/>
              <w:right w:w="108" w:type="dxa"/>
            </w:tcMar>
            <w:hideMark/>
          </w:tcPr>
          <w:p w14:paraId="5400A50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Корпус башни литой</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37C872E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Лоб.115</w:t>
            </w:r>
          </w:p>
          <w:p w14:paraId="1FEE0FC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Борт.90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0AE0B7D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69F9657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Лоб.90</w:t>
            </w:r>
          </w:p>
          <w:p w14:paraId="1FB615B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Борт.52</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276CE48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r>
      <w:tr w:rsidR="004D4663" w:rsidRPr="00070ADE" w14:paraId="24A2A028"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2EEA62C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3845" w:type="dxa"/>
            <w:tcBorders>
              <w:top w:val="nil"/>
              <w:left w:val="nil"/>
              <w:bottom w:val="nil"/>
              <w:right w:val="single" w:sz="8" w:space="0" w:color="000000"/>
            </w:tcBorders>
            <w:tcMar>
              <w:top w:w="0" w:type="dxa"/>
              <w:left w:w="108" w:type="dxa"/>
              <w:bottom w:w="0" w:type="dxa"/>
              <w:right w:w="108" w:type="dxa"/>
            </w:tcMar>
            <w:hideMark/>
          </w:tcPr>
          <w:p w14:paraId="70DD6D5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Крыша башни</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79B8DA7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43A270E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49D348F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49A39BF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w:t>
            </w:r>
          </w:p>
        </w:tc>
      </w:tr>
      <w:tr w:rsidR="004D4663" w:rsidRPr="00070ADE" w14:paraId="0B9089CD" w14:textId="77777777" w:rsidTr="00C54063">
        <w:trPr>
          <w:jc w:val="center"/>
        </w:trPr>
        <w:tc>
          <w:tcPr>
            <w:tcW w:w="670" w:type="dxa"/>
            <w:tcBorders>
              <w:top w:val="nil"/>
              <w:left w:val="single" w:sz="8" w:space="0" w:color="000000"/>
              <w:bottom w:val="nil"/>
              <w:right w:val="single" w:sz="8" w:space="0" w:color="000000"/>
            </w:tcBorders>
            <w:tcMar>
              <w:top w:w="0" w:type="dxa"/>
              <w:left w:w="108" w:type="dxa"/>
              <w:bottom w:w="0" w:type="dxa"/>
              <w:right w:w="108" w:type="dxa"/>
            </w:tcMar>
            <w:hideMark/>
          </w:tcPr>
          <w:p w14:paraId="0DE6E11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3845" w:type="dxa"/>
            <w:tcBorders>
              <w:top w:val="nil"/>
              <w:left w:val="nil"/>
              <w:bottom w:val="nil"/>
              <w:right w:val="single" w:sz="8" w:space="0" w:color="000000"/>
            </w:tcBorders>
            <w:tcMar>
              <w:top w:w="0" w:type="dxa"/>
              <w:left w:w="108" w:type="dxa"/>
              <w:bottom w:w="0" w:type="dxa"/>
              <w:right w:w="108" w:type="dxa"/>
            </w:tcMar>
            <w:hideMark/>
          </w:tcPr>
          <w:p w14:paraId="6D552E6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Командирская башенка</w:t>
            </w:r>
          </w:p>
          <w:p w14:paraId="77E20E7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(литая)</w:t>
            </w:r>
          </w:p>
        </w:tc>
        <w:tc>
          <w:tcPr>
            <w:tcW w:w="1589" w:type="dxa"/>
            <w:tcBorders>
              <w:top w:val="nil"/>
              <w:left w:val="nil"/>
              <w:bottom w:val="nil"/>
              <w:right w:val="single" w:sz="8" w:space="0" w:color="000000"/>
            </w:tcBorders>
            <w:tcMar>
              <w:top w:w="0" w:type="dxa"/>
              <w:left w:w="108" w:type="dxa"/>
              <w:bottom w:w="0" w:type="dxa"/>
              <w:right w:w="108" w:type="dxa"/>
            </w:tcMar>
            <w:vAlign w:val="center"/>
            <w:hideMark/>
          </w:tcPr>
          <w:p w14:paraId="3651DE8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7DD3695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bookmarkStart w:id="68" w:name="OLE_LINK117"/>
            <w:bookmarkStart w:id="69" w:name="OLE_LINK116"/>
            <w:bookmarkEnd w:id="68"/>
            <w:bookmarkEnd w:id="69"/>
            <w:r w:rsidRPr="00070ADE">
              <w:rPr>
                <w:rFonts w:ascii="Times New Roman" w:hAnsi="Times New Roman"/>
                <w:color w:val="000000" w:themeColor="text1"/>
                <w:sz w:val="16"/>
                <w:szCs w:val="16"/>
              </w:rPr>
              <w:t>°</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327C14B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w:t>
            </w:r>
          </w:p>
        </w:tc>
        <w:tc>
          <w:tcPr>
            <w:tcW w:w="1590" w:type="dxa"/>
            <w:tcBorders>
              <w:top w:val="nil"/>
              <w:left w:val="nil"/>
              <w:bottom w:val="nil"/>
              <w:right w:val="single" w:sz="8" w:space="0" w:color="000000"/>
            </w:tcBorders>
            <w:tcMar>
              <w:top w:w="0" w:type="dxa"/>
              <w:left w:w="108" w:type="dxa"/>
              <w:bottom w:w="0" w:type="dxa"/>
              <w:right w:w="108" w:type="dxa"/>
            </w:tcMar>
            <w:vAlign w:val="center"/>
            <w:hideMark/>
          </w:tcPr>
          <w:p w14:paraId="5D3313E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tc>
      </w:tr>
    </w:tbl>
    <w:p w14:paraId="43032602" w14:textId="6D4832C7" w:rsidR="00811C95" w:rsidRPr="00070ADE" w:rsidRDefault="00C63BA9" w:rsidP="00B56F9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bl>
      <w:tblPr>
        <w:tblW w:w="4750" w:type="pct"/>
        <w:jc w:val="center"/>
        <w:tblCellMar>
          <w:left w:w="0" w:type="dxa"/>
          <w:right w:w="0" w:type="dxa"/>
        </w:tblCellMar>
        <w:tblLook w:val="04A0" w:firstRow="1" w:lastRow="0" w:firstColumn="1" w:lastColumn="0" w:noHBand="0" w:noVBand="1"/>
      </w:tblPr>
      <w:tblGrid>
        <w:gridCol w:w="1216"/>
        <w:gridCol w:w="4028"/>
        <w:gridCol w:w="2911"/>
        <w:gridCol w:w="2597"/>
      </w:tblGrid>
      <w:tr w:rsidR="004D4663" w:rsidRPr="00070ADE" w14:paraId="36C91615" w14:textId="77777777" w:rsidTr="00C54063">
        <w:trPr>
          <w:trHeight w:val="430"/>
          <w:jc w:val="center"/>
        </w:trPr>
        <w:tc>
          <w:tcPr>
            <w:tcW w:w="1237"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6AD5FED4" w14:textId="1DD9E6C2"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п/п</w:t>
            </w:r>
          </w:p>
        </w:tc>
        <w:tc>
          <w:tcPr>
            <w:tcW w:w="4111" w:type="dxa"/>
            <w:vMerge w:val="restart"/>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2E9DFEA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w:t>
            </w:r>
          </w:p>
        </w:tc>
        <w:tc>
          <w:tcPr>
            <w:tcW w:w="5628"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7E3E4AD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Марка танка</w:t>
            </w:r>
          </w:p>
        </w:tc>
      </w:tr>
      <w:tr w:rsidR="004D4663" w:rsidRPr="00070ADE" w14:paraId="4C6A54CF" w14:textId="77777777" w:rsidTr="00C54063">
        <w:trPr>
          <w:trHeight w:val="430"/>
          <w:jc w:val="center"/>
        </w:trPr>
        <w:tc>
          <w:tcPr>
            <w:tcW w:w="1237" w:type="dxa"/>
            <w:vMerge/>
            <w:tcBorders>
              <w:top w:val="single" w:sz="8" w:space="0" w:color="000000"/>
              <w:left w:val="single" w:sz="8" w:space="0" w:color="000000"/>
              <w:bottom w:val="single" w:sz="8" w:space="0" w:color="000000"/>
              <w:right w:val="single" w:sz="8" w:space="0" w:color="000000"/>
            </w:tcBorders>
            <w:vAlign w:val="center"/>
            <w:hideMark/>
          </w:tcPr>
          <w:p w14:paraId="5B60FBAB"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111" w:type="dxa"/>
            <w:vMerge/>
            <w:tcBorders>
              <w:top w:val="single" w:sz="8" w:space="0" w:color="000000"/>
              <w:left w:val="nil"/>
              <w:bottom w:val="single" w:sz="8" w:space="0" w:color="000000"/>
              <w:right w:val="single" w:sz="8" w:space="0" w:color="000000"/>
            </w:tcBorders>
            <w:vAlign w:val="center"/>
            <w:hideMark/>
          </w:tcPr>
          <w:p w14:paraId="32A3B95F"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2976" w:type="dxa"/>
            <w:tcBorders>
              <w:top w:val="nil"/>
              <w:left w:val="nil"/>
              <w:bottom w:val="single" w:sz="8" w:space="0" w:color="000000"/>
              <w:right w:val="single" w:sz="8" w:space="0" w:color="000000"/>
            </w:tcBorders>
            <w:tcMar>
              <w:top w:w="0" w:type="dxa"/>
              <w:left w:w="108" w:type="dxa"/>
              <w:bottom w:w="0" w:type="dxa"/>
              <w:right w:w="108" w:type="dxa"/>
            </w:tcMar>
            <w:hideMark/>
          </w:tcPr>
          <w:p w14:paraId="4E0B3AB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Т-44</w:t>
            </w:r>
          </w:p>
        </w:tc>
        <w:tc>
          <w:tcPr>
            <w:tcW w:w="2652" w:type="dxa"/>
            <w:tcBorders>
              <w:top w:val="nil"/>
              <w:left w:val="nil"/>
              <w:bottom w:val="single" w:sz="8" w:space="0" w:color="000000"/>
              <w:right w:val="single" w:sz="8" w:space="0" w:color="000000"/>
            </w:tcBorders>
            <w:tcMar>
              <w:top w:w="0" w:type="dxa"/>
              <w:left w:w="108" w:type="dxa"/>
              <w:bottom w:w="0" w:type="dxa"/>
              <w:right w:w="108" w:type="dxa"/>
            </w:tcMar>
            <w:hideMark/>
          </w:tcPr>
          <w:p w14:paraId="1FD86A1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Т-34-85</w:t>
            </w:r>
          </w:p>
        </w:tc>
      </w:tr>
      <w:tr w:rsidR="004D4663" w:rsidRPr="00070ADE" w14:paraId="3C862CDC" w14:textId="77777777" w:rsidTr="00C54063">
        <w:trPr>
          <w:jc w:val="center"/>
        </w:trPr>
        <w:tc>
          <w:tcPr>
            <w:tcW w:w="1237" w:type="dxa"/>
            <w:tcBorders>
              <w:top w:val="nil"/>
              <w:left w:val="single" w:sz="8" w:space="0" w:color="000000"/>
              <w:bottom w:val="single" w:sz="8" w:space="0" w:color="auto"/>
              <w:right w:val="single" w:sz="8" w:space="0" w:color="000000"/>
            </w:tcBorders>
            <w:tcMar>
              <w:top w:w="0" w:type="dxa"/>
              <w:left w:w="108" w:type="dxa"/>
              <w:bottom w:w="0" w:type="dxa"/>
              <w:right w:w="108" w:type="dxa"/>
            </w:tcMar>
            <w:vAlign w:val="center"/>
            <w:hideMark/>
          </w:tcPr>
          <w:p w14:paraId="2644775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411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2BA3454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297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31A4CA1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265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19E9E1B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r>
      <w:tr w:rsidR="004D4663" w:rsidRPr="00070ADE" w14:paraId="30223E15" w14:textId="77777777" w:rsidTr="00C54063">
        <w:trPr>
          <w:trHeight w:val="746"/>
          <w:jc w:val="center"/>
        </w:trPr>
        <w:tc>
          <w:tcPr>
            <w:tcW w:w="10976" w:type="dxa"/>
            <w:gridSpan w:val="4"/>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0273D0E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ВООРУЖЕНИЕ.</w:t>
            </w:r>
          </w:p>
        </w:tc>
      </w:tr>
      <w:tr w:rsidR="004D4663" w:rsidRPr="00070ADE" w14:paraId="708B4506"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2CB4716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4111" w:type="dxa"/>
            <w:tcBorders>
              <w:top w:val="nil"/>
              <w:left w:val="nil"/>
              <w:bottom w:val="nil"/>
              <w:right w:val="single" w:sz="8" w:space="0" w:color="000000"/>
            </w:tcBorders>
            <w:tcMar>
              <w:top w:w="0" w:type="dxa"/>
              <w:left w:w="108" w:type="dxa"/>
              <w:bottom w:w="0" w:type="dxa"/>
              <w:right w:w="108" w:type="dxa"/>
            </w:tcMar>
            <w:hideMark/>
          </w:tcPr>
          <w:p w14:paraId="216ED7E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пушка:</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(марка)</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345E8DB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ЗИС-С-53</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A6E9D0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ЗИС-С-53</w:t>
            </w:r>
          </w:p>
        </w:tc>
      </w:tr>
      <w:tr w:rsidR="004D4663" w:rsidRPr="00070ADE" w14:paraId="704494FE"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29E3E075" w14:textId="16C45AB4"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2626A3E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калибр в мм</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336B702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3BBA2C5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w:t>
            </w:r>
          </w:p>
        </w:tc>
      </w:tr>
      <w:tr w:rsidR="004D4663" w:rsidRPr="00070ADE" w14:paraId="2E420800"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1214D0BC" w14:textId="57DEE647"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4398648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горизонтальный угол</w:t>
            </w:r>
          </w:p>
          <w:p w14:paraId="4855A40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обстрела</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188171B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38F51C0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360°</w:t>
            </w:r>
          </w:p>
        </w:tc>
      </w:tr>
      <w:tr w:rsidR="004D4663" w:rsidRPr="00070ADE" w14:paraId="6722A90B"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3639A358" w14:textId="188A6653"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5C3C3B6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максимальный угол возвышения</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0DC0203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1E9F7A4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w:t>
            </w:r>
          </w:p>
        </w:tc>
      </w:tr>
      <w:tr w:rsidR="004D4663" w:rsidRPr="00070ADE" w14:paraId="63585F98"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37BBEE21" w14:textId="3E78B0BC"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3FAB2761" w14:textId="033F748B"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максимальный угол</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сни-</w:t>
            </w:r>
          </w:p>
          <w:p w14:paraId="2412815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жения</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74F8BCE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05748D2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r>
      <w:tr w:rsidR="004D4663" w:rsidRPr="00070ADE" w14:paraId="18848BEE"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5058342B" w14:textId="6005F678"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62D6295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возимый запас снарядов</w:t>
            </w:r>
          </w:p>
          <w:p w14:paraId="4CFBDE25" w14:textId="6006E64D"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2976" w:type="dxa"/>
            <w:tcBorders>
              <w:top w:val="nil"/>
              <w:left w:val="nil"/>
              <w:bottom w:val="nil"/>
              <w:right w:val="single" w:sz="8" w:space="0" w:color="000000"/>
            </w:tcBorders>
            <w:tcMar>
              <w:top w:w="0" w:type="dxa"/>
              <w:left w:w="108" w:type="dxa"/>
              <w:bottom w:w="0" w:type="dxa"/>
              <w:right w:w="108" w:type="dxa"/>
            </w:tcMar>
            <w:hideMark/>
          </w:tcPr>
          <w:p w14:paraId="7586037C" w14:textId="2D8D1536"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шт</w:t>
            </w:r>
          </w:p>
        </w:tc>
        <w:tc>
          <w:tcPr>
            <w:tcW w:w="2652" w:type="dxa"/>
            <w:tcBorders>
              <w:top w:val="nil"/>
              <w:left w:val="nil"/>
              <w:bottom w:val="nil"/>
              <w:right w:val="single" w:sz="8" w:space="0" w:color="000000"/>
            </w:tcBorders>
            <w:tcMar>
              <w:top w:w="0" w:type="dxa"/>
              <w:left w:w="108" w:type="dxa"/>
              <w:bottom w:w="0" w:type="dxa"/>
              <w:right w:w="108" w:type="dxa"/>
            </w:tcMar>
            <w:hideMark/>
          </w:tcPr>
          <w:p w14:paraId="3140A847" w14:textId="2475E7CD"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шт</w:t>
            </w:r>
          </w:p>
        </w:tc>
      </w:tr>
      <w:tr w:rsidR="004D4663" w:rsidRPr="00070ADE" w14:paraId="19D89820"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2FF8DEA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4111" w:type="dxa"/>
            <w:tcBorders>
              <w:top w:val="nil"/>
              <w:left w:val="nil"/>
              <w:bottom w:val="nil"/>
              <w:right w:val="single" w:sz="8" w:space="0" w:color="000000"/>
            </w:tcBorders>
            <w:tcMar>
              <w:top w:w="0" w:type="dxa"/>
              <w:left w:w="108" w:type="dxa"/>
              <w:bottom w:w="0" w:type="dxa"/>
              <w:right w:w="108" w:type="dxa"/>
            </w:tcMar>
            <w:hideMark/>
          </w:tcPr>
          <w:p w14:paraId="7982D1E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пулеметы</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(марка)</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ABAB8C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ДТ</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585040F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ДТ</w:t>
            </w:r>
          </w:p>
        </w:tc>
      </w:tr>
      <w:tr w:rsidR="004D4663" w:rsidRPr="00070ADE" w14:paraId="38E014CC"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2550C20B" w14:textId="70F0BA35"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2630DF3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количество</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3BF0E65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3C0DCB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r>
      <w:tr w:rsidR="004D4663" w:rsidRPr="00070ADE" w14:paraId="1B01694B"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078AB86B" w14:textId="353F2604"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6FD1A05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размещение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5800D75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Один в башне,</w:t>
            </w:r>
          </w:p>
          <w:p w14:paraId="3350EA6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один у води-</w:t>
            </w:r>
          </w:p>
          <w:p w14:paraId="423D898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теля</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4DD1A92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Один в башне,</w:t>
            </w:r>
          </w:p>
          <w:p w14:paraId="7F5418D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один в носу</w:t>
            </w:r>
          </w:p>
          <w:p w14:paraId="58499C6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корпуса.</w:t>
            </w:r>
          </w:p>
        </w:tc>
      </w:tr>
      <w:tr w:rsidR="004D4663" w:rsidRPr="00070ADE" w14:paraId="2866DD8A"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2031283B" w14:textId="35ACCC0C"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18E12BF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возимый запас пулемет-</w:t>
            </w:r>
          </w:p>
          <w:p w14:paraId="115F5B20" w14:textId="07DFC9DE"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ных</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дисков</w:t>
            </w:r>
          </w:p>
          <w:p w14:paraId="1237924D" w14:textId="29193889"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78F445DF" w14:textId="10D600A3"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шт</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4E297B2A" w14:textId="33B9F1D3"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шт</w:t>
            </w:r>
          </w:p>
        </w:tc>
      </w:tr>
      <w:tr w:rsidR="004D4663" w:rsidRPr="00070ADE" w14:paraId="6CA95A1A"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0D4DC47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4111" w:type="dxa"/>
            <w:tcBorders>
              <w:top w:val="nil"/>
              <w:left w:val="nil"/>
              <w:bottom w:val="nil"/>
              <w:right w:val="single" w:sz="8" w:space="0" w:color="000000"/>
            </w:tcBorders>
            <w:tcMar>
              <w:top w:w="0" w:type="dxa"/>
              <w:left w:w="108" w:type="dxa"/>
              <w:bottom w:w="0" w:type="dxa"/>
              <w:right w:w="108" w:type="dxa"/>
            </w:tcMar>
            <w:hideMark/>
          </w:tcPr>
          <w:p w14:paraId="7B76A7B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гранат (Ф-1)</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120D61A4" w14:textId="42FD72BE"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шт</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66786C1" w14:textId="62149E78"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шт</w:t>
            </w:r>
          </w:p>
        </w:tc>
      </w:tr>
      <w:tr w:rsidR="004D4663" w:rsidRPr="00070ADE" w14:paraId="6BA3073F" w14:textId="77777777" w:rsidTr="00C54063">
        <w:trPr>
          <w:trHeight w:val="736"/>
          <w:jc w:val="center"/>
        </w:trPr>
        <w:tc>
          <w:tcPr>
            <w:tcW w:w="10976" w:type="dxa"/>
            <w:gridSpan w:val="4"/>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37F275E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СКОРОСТИ ДВИЖЕНИЯ.</w:t>
            </w:r>
          </w:p>
        </w:tc>
      </w:tr>
      <w:tr w:rsidR="004D4663" w:rsidRPr="00070ADE" w14:paraId="4029A0C8"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6859E94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4111" w:type="dxa"/>
            <w:tcBorders>
              <w:top w:val="nil"/>
              <w:left w:val="nil"/>
              <w:bottom w:val="nil"/>
              <w:right w:val="single" w:sz="8" w:space="0" w:color="000000"/>
            </w:tcBorders>
            <w:tcMar>
              <w:top w:w="0" w:type="dxa"/>
              <w:left w:w="108" w:type="dxa"/>
              <w:bottom w:w="0" w:type="dxa"/>
              <w:right w:w="108" w:type="dxa"/>
            </w:tcMar>
            <w:hideMark/>
          </w:tcPr>
          <w:p w14:paraId="5C57507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w:t>
            </w:r>
          </w:p>
          <w:p w14:paraId="1CB7A36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км/час</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4C037D2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51,6</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3CE534D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55,0</w:t>
            </w:r>
          </w:p>
        </w:tc>
      </w:tr>
      <w:tr w:rsidR="004D4663" w:rsidRPr="00070ADE" w14:paraId="07310D32"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1809EFB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4111" w:type="dxa"/>
            <w:tcBorders>
              <w:top w:val="nil"/>
              <w:left w:val="nil"/>
              <w:bottom w:val="nil"/>
              <w:right w:val="single" w:sz="8" w:space="0" w:color="000000"/>
            </w:tcBorders>
            <w:tcMar>
              <w:top w:w="0" w:type="dxa"/>
              <w:left w:w="108" w:type="dxa"/>
              <w:bottom w:w="0" w:type="dxa"/>
              <w:right w:w="108" w:type="dxa"/>
            </w:tcMar>
            <w:hideMark/>
          </w:tcPr>
          <w:p w14:paraId="503E6898" w14:textId="289F0226"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Средние скорости движения</w:t>
            </w:r>
            <w:r w:rsidR="00B643A8" w:rsidRPr="00070ADE">
              <w:rPr>
                <w:rFonts w:ascii="Times New Roman" w:hAnsi="Times New Roman"/>
                <w:color w:val="000000" w:themeColor="text1"/>
                <w:sz w:val="16"/>
                <w:szCs w:val="16"/>
              </w:rPr>
              <w:t xml:space="preserve"> </w:t>
            </w:r>
          </w:p>
          <w:p w14:paraId="053F67A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км/час:</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6C779893" w14:textId="7721B045"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432540BB" w14:textId="1DF6A0D2"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r>
      <w:tr w:rsidR="004D4663" w:rsidRPr="00070ADE" w14:paraId="42F84046"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7FD3E0AC" w14:textId="0688EB48"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7E5F187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 шоссе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139D84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432A25C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33,0</w:t>
            </w:r>
          </w:p>
        </w:tc>
      </w:tr>
      <w:tr w:rsidR="004D4663" w:rsidRPr="00070ADE" w14:paraId="24E8789B"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48C6965F" w14:textId="78DC7FCF"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0583854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 проселочной дороге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19D4C5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13,8</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A87558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17,5</w:t>
            </w:r>
          </w:p>
        </w:tc>
      </w:tr>
      <w:tr w:rsidR="004D4663" w:rsidRPr="00070ADE" w14:paraId="435093AA"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05678903" w14:textId="70BE0021"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6FFFDC2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 целине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45ACC5F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1034594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0C5A435C"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053DA91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4111" w:type="dxa"/>
            <w:tcBorders>
              <w:top w:val="nil"/>
              <w:left w:val="nil"/>
              <w:bottom w:val="nil"/>
              <w:right w:val="single" w:sz="8" w:space="0" w:color="000000"/>
            </w:tcBorders>
            <w:tcMar>
              <w:top w:w="0" w:type="dxa"/>
              <w:left w:w="108" w:type="dxa"/>
              <w:bottom w:w="0" w:type="dxa"/>
              <w:right w:w="108" w:type="dxa"/>
            </w:tcMar>
            <w:hideMark/>
          </w:tcPr>
          <w:p w14:paraId="298BAF85" w14:textId="620CDDA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Зачетная максимальная</w:t>
            </w:r>
            <w:r w:rsidR="00B643A8" w:rsidRPr="00070ADE">
              <w:rPr>
                <w:rFonts w:ascii="Times New Roman" w:hAnsi="Times New Roman"/>
                <w:color w:val="000000" w:themeColor="text1"/>
                <w:sz w:val="16"/>
                <w:szCs w:val="16"/>
              </w:rPr>
              <w:t xml:space="preserve"> </w:t>
            </w:r>
          </w:p>
          <w:p w14:paraId="6ED9399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движения, при</w:t>
            </w:r>
          </w:p>
          <w:p w14:paraId="1E831925" w14:textId="76E94070"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максимальных оборотах</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дви-</w:t>
            </w:r>
          </w:p>
          <w:p w14:paraId="2668586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гателя</w:t>
            </w:r>
          </w:p>
        </w:tc>
        <w:tc>
          <w:tcPr>
            <w:tcW w:w="2976" w:type="dxa"/>
            <w:tcBorders>
              <w:top w:val="nil"/>
              <w:left w:val="nil"/>
              <w:bottom w:val="nil"/>
              <w:right w:val="single" w:sz="8" w:space="0" w:color="000000"/>
            </w:tcBorders>
            <w:tcMar>
              <w:top w:w="0" w:type="dxa"/>
              <w:left w:w="108" w:type="dxa"/>
              <w:bottom w:w="0" w:type="dxa"/>
              <w:right w:w="108" w:type="dxa"/>
            </w:tcMar>
            <w:vAlign w:val="bottom"/>
            <w:hideMark/>
          </w:tcPr>
          <w:p w14:paraId="0C14A84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60,5</w:t>
            </w:r>
          </w:p>
        </w:tc>
        <w:tc>
          <w:tcPr>
            <w:tcW w:w="2652" w:type="dxa"/>
            <w:tcBorders>
              <w:top w:val="nil"/>
              <w:left w:val="nil"/>
              <w:bottom w:val="nil"/>
              <w:right w:val="single" w:sz="8" w:space="0" w:color="000000"/>
            </w:tcBorders>
            <w:tcMar>
              <w:top w:w="0" w:type="dxa"/>
              <w:left w:w="108" w:type="dxa"/>
              <w:bottom w:w="0" w:type="dxa"/>
              <w:right w:w="108" w:type="dxa"/>
            </w:tcMar>
            <w:vAlign w:val="bottom"/>
            <w:hideMark/>
          </w:tcPr>
          <w:p w14:paraId="0F88C0D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58,2</w:t>
            </w:r>
          </w:p>
        </w:tc>
      </w:tr>
      <w:tr w:rsidR="004D4663" w:rsidRPr="00070ADE" w14:paraId="32E85255"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7DD6D8B1" w14:textId="390F83EA" w:rsidR="00811C95" w:rsidRPr="00070ADE" w:rsidRDefault="00C63BA9" w:rsidP="00B56F9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811C95" w:rsidRPr="00070ADE">
              <w:rPr>
                <w:rFonts w:ascii="Times New Roman" w:hAnsi="Times New Roman"/>
                <w:color w:val="000000" w:themeColor="text1"/>
                <w:sz w:val="16"/>
                <w:szCs w:val="16"/>
              </w:rPr>
              <w:t>4.</w:t>
            </w:r>
          </w:p>
        </w:tc>
        <w:tc>
          <w:tcPr>
            <w:tcW w:w="4111" w:type="dxa"/>
            <w:tcBorders>
              <w:top w:val="nil"/>
              <w:left w:val="nil"/>
              <w:bottom w:val="nil"/>
              <w:right w:val="single" w:sz="8" w:space="0" w:color="000000"/>
            </w:tcBorders>
            <w:tcMar>
              <w:top w:w="0" w:type="dxa"/>
              <w:left w:w="108" w:type="dxa"/>
              <w:bottom w:w="0" w:type="dxa"/>
              <w:right w:w="108" w:type="dxa"/>
            </w:tcMar>
            <w:hideMark/>
          </w:tcPr>
          <w:p w14:paraId="3643E7F3" w14:textId="4978F3B5"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Расчетные скорости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движе-</w:t>
            </w:r>
          </w:p>
          <w:p w14:paraId="6626339C" w14:textId="313BEA89"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при 1700 об/мин. вала</w:t>
            </w:r>
          </w:p>
          <w:p w14:paraId="6296DBC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мотора:</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507B82DE" w14:textId="64D60513"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D58635B" w14:textId="2F906457"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r>
      <w:tr w:rsidR="004D4663" w:rsidRPr="00070ADE" w14:paraId="2D0B12ED"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15AB4A2B" w14:textId="572267D7"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67490B7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 первой передаче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7848D44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7,01 км/час</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1D03922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6,63 км/час</w:t>
            </w:r>
          </w:p>
        </w:tc>
      </w:tr>
      <w:tr w:rsidR="004D4663" w:rsidRPr="00070ADE" w14:paraId="4D18A654" w14:textId="77777777" w:rsidTr="00C54063">
        <w:trPr>
          <w:trHeight w:val="430"/>
          <w:jc w:val="center"/>
        </w:trPr>
        <w:tc>
          <w:tcPr>
            <w:tcW w:w="1237" w:type="dxa"/>
            <w:vMerge w:val="restart"/>
            <w:tcBorders>
              <w:top w:val="nil"/>
              <w:left w:val="single" w:sz="8" w:space="0" w:color="000000"/>
              <w:bottom w:val="nil"/>
              <w:right w:val="single" w:sz="8" w:space="0" w:color="000000"/>
            </w:tcBorders>
            <w:tcMar>
              <w:top w:w="0" w:type="dxa"/>
              <w:left w:w="108" w:type="dxa"/>
              <w:bottom w:w="0" w:type="dxa"/>
              <w:right w:w="108" w:type="dxa"/>
            </w:tcMar>
            <w:hideMark/>
          </w:tcPr>
          <w:p w14:paraId="1CE1D462" w14:textId="5529B5D1"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1E9D759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 второй передаче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19B5E2DA" w14:textId="3D313EC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15,16</w:t>
            </w:r>
            <w:r w:rsidR="00B643A8" w:rsidRPr="00070ADE">
              <w:rPr>
                <w:rFonts w:ascii="Times New Roman" w:hAnsi="Times New Roman"/>
                <w:color w:val="000000" w:themeColor="text1"/>
                <w:sz w:val="16"/>
                <w:szCs w:val="16"/>
              </w:rPr>
              <w:t xml:space="preserve"> </w:t>
            </w:r>
            <w:bookmarkStart w:id="70" w:name="OLE_LINK125"/>
            <w:bookmarkStart w:id="71" w:name="OLE_LINK124"/>
            <w:bookmarkEnd w:id="70"/>
            <w:bookmarkEnd w:id="71"/>
            <w:r w:rsidRPr="00070ADE">
              <w:rPr>
                <w:rFonts w:ascii="Times New Roman" w:hAnsi="Times New Roman"/>
                <w:color w:val="000000" w:themeColor="text1"/>
                <w:sz w:val="16"/>
                <w:szCs w:val="16"/>
              </w:rPr>
              <w:t>-"-</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71CC7E5D" w14:textId="7925218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14,20</w:t>
            </w:r>
            <w:bookmarkStart w:id="72" w:name="OLE_LINK127"/>
            <w:bookmarkStart w:id="73" w:name="OLE_LINK126"/>
            <w:bookmarkEnd w:id="72"/>
            <w:bookmarkEnd w:id="73"/>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w:t>
            </w:r>
          </w:p>
        </w:tc>
      </w:tr>
      <w:tr w:rsidR="004D4663" w:rsidRPr="00070ADE" w14:paraId="439D4B85" w14:textId="77777777" w:rsidTr="00C54063">
        <w:trPr>
          <w:trHeight w:val="430"/>
          <w:jc w:val="center"/>
        </w:trPr>
        <w:tc>
          <w:tcPr>
            <w:tcW w:w="1237" w:type="dxa"/>
            <w:vMerge/>
            <w:tcBorders>
              <w:top w:val="nil"/>
              <w:left w:val="single" w:sz="8" w:space="0" w:color="000000"/>
              <w:bottom w:val="nil"/>
              <w:right w:val="single" w:sz="8" w:space="0" w:color="000000"/>
            </w:tcBorders>
            <w:vAlign w:val="center"/>
            <w:hideMark/>
          </w:tcPr>
          <w:p w14:paraId="45B1B7C3"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111" w:type="dxa"/>
            <w:tcBorders>
              <w:top w:val="nil"/>
              <w:left w:val="nil"/>
              <w:bottom w:val="nil"/>
              <w:right w:val="single" w:sz="8" w:space="0" w:color="000000"/>
            </w:tcBorders>
            <w:tcMar>
              <w:top w:w="0" w:type="dxa"/>
              <w:left w:w="108" w:type="dxa"/>
              <w:bottom w:w="0" w:type="dxa"/>
              <w:right w:w="108" w:type="dxa"/>
            </w:tcMar>
            <w:hideMark/>
          </w:tcPr>
          <w:p w14:paraId="4DE3861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 третьей передаче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C9CCAF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21,25 -"-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1622798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19,89 -"-</w:t>
            </w:r>
          </w:p>
        </w:tc>
      </w:tr>
      <w:tr w:rsidR="004D4663" w:rsidRPr="00070ADE" w14:paraId="20890547"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0467037D" w14:textId="09499343"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7EFD818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на четвертой передаче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5E5F6EA3" w14:textId="1EB0B61B"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29,79</w:t>
            </w:r>
            <w:r w:rsidR="00B643A8" w:rsidRPr="00070ADE">
              <w:rPr>
                <w:rFonts w:ascii="Times New Roman" w:hAnsi="Times New Roman"/>
                <w:color w:val="000000" w:themeColor="text1"/>
                <w:sz w:val="16"/>
                <w:szCs w:val="16"/>
              </w:rPr>
              <w:t xml:space="preserve"> </w:t>
            </w:r>
            <w:bookmarkStart w:id="74" w:name="OLE_LINK129"/>
            <w:bookmarkStart w:id="75" w:name="OLE_LINK128"/>
            <w:bookmarkEnd w:id="74"/>
            <w:bookmarkEnd w:id="75"/>
            <w:r w:rsidRPr="00070ADE">
              <w:rPr>
                <w:rFonts w:ascii="Times New Roman" w:hAnsi="Times New Roman"/>
                <w:color w:val="000000" w:themeColor="text1"/>
                <w:sz w:val="16"/>
                <w:szCs w:val="16"/>
              </w:rPr>
              <w:t>-"-</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0E24457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30,35 -"-</w:t>
            </w:r>
          </w:p>
        </w:tc>
      </w:tr>
      <w:tr w:rsidR="004D4663" w:rsidRPr="00070ADE" w14:paraId="38526FEA"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439C269F" w14:textId="46986033"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5882739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на пятой передаче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1F99027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46,75 -"-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4C00087D" w14:textId="07F51723"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48,30</w:t>
            </w:r>
            <w:bookmarkStart w:id="76" w:name="OLE_LINK131"/>
            <w:bookmarkStart w:id="77" w:name="OLE_LINK130"/>
            <w:bookmarkEnd w:id="76"/>
            <w:bookmarkEnd w:id="77"/>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w:t>
            </w:r>
          </w:p>
        </w:tc>
      </w:tr>
      <w:tr w:rsidR="004D4663" w:rsidRPr="00070ADE" w14:paraId="202023A7"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4D9C28F1" w14:textId="7356F4D6"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7ADB839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 на передаче заднего хода</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5253E9C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7,01 -"-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783B906A" w14:textId="15FF95F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7,45</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w:t>
            </w:r>
          </w:p>
        </w:tc>
      </w:tr>
      <w:tr w:rsidR="004D4663" w:rsidRPr="00070ADE" w14:paraId="2313577E" w14:textId="77777777" w:rsidTr="00C54063">
        <w:trPr>
          <w:trHeight w:val="736"/>
          <w:jc w:val="center"/>
        </w:trPr>
        <w:tc>
          <w:tcPr>
            <w:tcW w:w="10976" w:type="dxa"/>
            <w:gridSpan w:val="4"/>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0C047BF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РАСХОД ТОПЛИВА СМАЗКИ И ЗАПАС ХОДА.</w:t>
            </w:r>
          </w:p>
        </w:tc>
      </w:tr>
      <w:tr w:rsidR="004D4663" w:rsidRPr="00070ADE" w14:paraId="6D89255E"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3810442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4111" w:type="dxa"/>
            <w:tcBorders>
              <w:top w:val="nil"/>
              <w:left w:val="nil"/>
              <w:bottom w:val="nil"/>
              <w:right w:val="single" w:sz="8" w:space="0" w:color="000000"/>
            </w:tcBorders>
            <w:tcMar>
              <w:top w:w="0" w:type="dxa"/>
              <w:left w:w="108" w:type="dxa"/>
              <w:bottom w:w="0" w:type="dxa"/>
              <w:right w:w="108" w:type="dxa"/>
            </w:tcMar>
            <w:hideMark/>
          </w:tcPr>
          <w:p w14:paraId="6314768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Расход топлива в литрах</w:t>
            </w:r>
          </w:p>
          <w:p w14:paraId="2313B60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100 км пути:</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463B82C9" w14:textId="4B4FB4B2"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74153B19" w14:textId="19AD617F"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r>
      <w:tr w:rsidR="004D4663" w:rsidRPr="00070ADE" w14:paraId="5DBAA0EC"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416B6795" w14:textId="385020FD"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5071904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 шоссе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FB8C2C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158</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5E14C44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136</w:t>
            </w:r>
          </w:p>
        </w:tc>
      </w:tr>
      <w:tr w:rsidR="004D4663" w:rsidRPr="00070ADE" w14:paraId="0AAD17D9"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5BBC625D" w14:textId="4058597D"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6516617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 проселочной дороге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6A5668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325BE6A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326</w:t>
            </w:r>
          </w:p>
        </w:tc>
      </w:tr>
      <w:tr w:rsidR="004D4663" w:rsidRPr="00070ADE" w14:paraId="254863EA"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2D789EA0" w14:textId="4A61BAB3"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076A1BD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 целине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0CBAFE6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295</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7CBE22C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16E9B90F"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652DD02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4111" w:type="dxa"/>
            <w:tcBorders>
              <w:top w:val="nil"/>
              <w:left w:val="nil"/>
              <w:bottom w:val="nil"/>
              <w:right w:val="single" w:sz="8" w:space="0" w:color="000000"/>
            </w:tcBorders>
            <w:tcMar>
              <w:top w:w="0" w:type="dxa"/>
              <w:left w:w="108" w:type="dxa"/>
              <w:bottom w:w="0" w:type="dxa"/>
              <w:right w:w="108" w:type="dxa"/>
            </w:tcMar>
            <w:hideMark/>
          </w:tcPr>
          <w:p w14:paraId="2997B20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Расход топлива в литрах</w:t>
            </w:r>
          </w:p>
          <w:p w14:paraId="3B95770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час работы двигателя:</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70053CFC" w14:textId="2FB6961D"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140174C7" w14:textId="29E8EFAC"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r>
      <w:tr w:rsidR="004D4663" w:rsidRPr="00070ADE" w14:paraId="46BE1D4C"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1F6D21DC" w14:textId="60C5BC09"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38B8AB3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 шоссе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1F8E5DD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55,5</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33B1CAC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44,4</w:t>
            </w:r>
          </w:p>
        </w:tc>
      </w:tr>
      <w:tr w:rsidR="004D4663" w:rsidRPr="00070ADE" w14:paraId="6B82D8E3"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0676CBFF" w14:textId="48E043ED"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167CB1E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 проселочной дороге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48C0E01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49,5</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A6122D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56,9</w:t>
            </w:r>
          </w:p>
        </w:tc>
      </w:tr>
      <w:tr w:rsidR="004D4663" w:rsidRPr="00070ADE" w14:paraId="31AB9E02"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15C7788D" w14:textId="70052DE4"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206864E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 целине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5FF3EE2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C0407C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6B920886"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1FD9937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4111" w:type="dxa"/>
            <w:tcBorders>
              <w:top w:val="nil"/>
              <w:left w:val="nil"/>
              <w:bottom w:val="nil"/>
              <w:right w:val="single" w:sz="8" w:space="0" w:color="000000"/>
            </w:tcBorders>
            <w:tcMar>
              <w:top w:w="0" w:type="dxa"/>
              <w:left w:w="108" w:type="dxa"/>
              <w:bottom w:w="0" w:type="dxa"/>
              <w:right w:w="108" w:type="dxa"/>
            </w:tcMar>
            <w:hideMark/>
          </w:tcPr>
          <w:p w14:paraId="78FADC7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Запас хода в км. по основ-</w:t>
            </w:r>
          </w:p>
          <w:p w14:paraId="4AE805AA" w14:textId="53FBC2BD"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ным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топливным бакам:</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422E1529" w14:textId="25AA09D5"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7CEEADE4" w14:textId="709D64F2"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r>
      <w:tr w:rsidR="004D4663" w:rsidRPr="00070ADE" w14:paraId="75D4665E"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5C5DF0E4" w14:textId="04E9DA7F"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1AEF508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 шоссе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69F1A5A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280÷300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766E057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380</w:t>
            </w:r>
          </w:p>
        </w:tc>
      </w:tr>
      <w:tr w:rsidR="004D4663" w:rsidRPr="00070ADE" w14:paraId="0FEED2DB"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70681091" w14:textId="52F2D218"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6350849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 проселочной дороге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2FB365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140÷150</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1A60D59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w:t>
            </w:r>
          </w:p>
        </w:tc>
      </w:tr>
      <w:tr w:rsidR="004D4663" w:rsidRPr="00070ADE" w14:paraId="2CAD39D6" w14:textId="77777777" w:rsidTr="00C54063">
        <w:trPr>
          <w:jc w:val="center"/>
        </w:trPr>
        <w:tc>
          <w:tcPr>
            <w:tcW w:w="1237" w:type="dxa"/>
            <w:tcBorders>
              <w:top w:val="nil"/>
              <w:left w:val="single" w:sz="8" w:space="0" w:color="000000"/>
              <w:bottom w:val="nil"/>
              <w:right w:val="single" w:sz="8" w:space="0" w:color="000000"/>
            </w:tcBorders>
            <w:tcMar>
              <w:top w:w="0" w:type="dxa"/>
              <w:left w:w="108" w:type="dxa"/>
              <w:bottom w:w="0" w:type="dxa"/>
              <w:right w:w="108" w:type="dxa"/>
            </w:tcMar>
            <w:hideMark/>
          </w:tcPr>
          <w:p w14:paraId="581BDC98" w14:textId="7681970E"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111" w:type="dxa"/>
            <w:tcBorders>
              <w:top w:val="nil"/>
              <w:left w:val="nil"/>
              <w:bottom w:val="nil"/>
              <w:right w:val="single" w:sz="8" w:space="0" w:color="000000"/>
            </w:tcBorders>
            <w:tcMar>
              <w:top w:w="0" w:type="dxa"/>
              <w:left w:w="108" w:type="dxa"/>
              <w:bottom w:w="0" w:type="dxa"/>
              <w:right w:w="108" w:type="dxa"/>
            </w:tcMar>
            <w:hideMark/>
          </w:tcPr>
          <w:p w14:paraId="3FEAA68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 целине</w:t>
            </w:r>
          </w:p>
        </w:tc>
        <w:tc>
          <w:tcPr>
            <w:tcW w:w="2976" w:type="dxa"/>
            <w:tcBorders>
              <w:top w:val="nil"/>
              <w:left w:val="nil"/>
              <w:bottom w:val="nil"/>
              <w:right w:val="single" w:sz="8" w:space="0" w:color="000000"/>
            </w:tcBorders>
            <w:tcMar>
              <w:top w:w="0" w:type="dxa"/>
              <w:left w:w="108" w:type="dxa"/>
              <w:bottom w:w="0" w:type="dxa"/>
              <w:right w:w="108" w:type="dxa"/>
            </w:tcMar>
            <w:vAlign w:val="center"/>
            <w:hideMark/>
          </w:tcPr>
          <w:p w14:paraId="28039E2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155</w:t>
            </w:r>
          </w:p>
        </w:tc>
        <w:tc>
          <w:tcPr>
            <w:tcW w:w="2652" w:type="dxa"/>
            <w:tcBorders>
              <w:top w:val="nil"/>
              <w:left w:val="nil"/>
              <w:bottom w:val="nil"/>
              <w:right w:val="single" w:sz="8" w:space="0" w:color="000000"/>
            </w:tcBorders>
            <w:tcMar>
              <w:top w:w="0" w:type="dxa"/>
              <w:left w:w="108" w:type="dxa"/>
              <w:bottom w:w="0" w:type="dxa"/>
              <w:right w:w="108" w:type="dxa"/>
            </w:tcMar>
            <w:vAlign w:val="center"/>
            <w:hideMark/>
          </w:tcPr>
          <w:p w14:paraId="2DD7037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bl>
    <w:p w14:paraId="0C908A68" w14:textId="21C31785"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Расход масла не определен, вследствие течи</w:t>
      </w:r>
      <w:r w:rsidR="00B643A8" w:rsidRPr="00070ADE">
        <w:rPr>
          <w:rFonts w:ascii="Times New Roman" w:hAnsi="Times New Roman"/>
          <w:color w:val="000000" w:themeColor="text1"/>
          <w:sz w:val="16"/>
          <w:szCs w:val="16"/>
        </w:rPr>
        <w:t xml:space="preserve"> </w:t>
      </w:r>
    </w:p>
    <w:p w14:paraId="201A6C15" w14:textId="00C62CEA"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масла из системы смазки двигателя и гитары</w:t>
      </w:r>
      <w:r w:rsidR="00B643A8" w:rsidRPr="00070ADE">
        <w:rPr>
          <w:rFonts w:ascii="Times New Roman" w:hAnsi="Times New Roman"/>
          <w:color w:val="000000" w:themeColor="text1"/>
          <w:sz w:val="16"/>
          <w:szCs w:val="16"/>
        </w:rPr>
        <w:t xml:space="preserve"> </w:t>
      </w:r>
    </w:p>
    <w:p w14:paraId="30B1333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каждом пробеге</w:t>
      </w:r>
    </w:p>
    <w:tbl>
      <w:tblPr>
        <w:tblW w:w="4750" w:type="pct"/>
        <w:jc w:val="center"/>
        <w:tblCellMar>
          <w:left w:w="0" w:type="dxa"/>
          <w:right w:w="0" w:type="dxa"/>
        </w:tblCellMar>
        <w:tblLook w:val="04A0" w:firstRow="1" w:lastRow="0" w:firstColumn="1" w:lastColumn="0" w:noHBand="0" w:noVBand="1"/>
      </w:tblPr>
      <w:tblGrid>
        <w:gridCol w:w="937"/>
        <w:gridCol w:w="4138"/>
        <w:gridCol w:w="10"/>
        <w:gridCol w:w="14"/>
        <w:gridCol w:w="2782"/>
        <w:gridCol w:w="2871"/>
      </w:tblGrid>
      <w:tr w:rsidR="004D4663" w:rsidRPr="00070ADE" w14:paraId="41D69914" w14:textId="77777777" w:rsidTr="008053EA">
        <w:trPr>
          <w:trHeight w:val="430"/>
          <w:jc w:val="center"/>
        </w:trPr>
        <w:tc>
          <w:tcPr>
            <w:tcW w:w="953"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19070A7E" w14:textId="50024E1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п/п</w:t>
            </w:r>
          </w:p>
        </w:tc>
        <w:tc>
          <w:tcPr>
            <w:tcW w:w="4252" w:type="dxa"/>
            <w:gridSpan w:val="3"/>
            <w:vMerge w:val="restart"/>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3E2A561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w:t>
            </w:r>
          </w:p>
        </w:tc>
        <w:tc>
          <w:tcPr>
            <w:tcW w:w="5771"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7936AEA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Марка танка</w:t>
            </w:r>
          </w:p>
        </w:tc>
      </w:tr>
      <w:tr w:rsidR="004D4663" w:rsidRPr="00070ADE" w14:paraId="2E4E9958" w14:textId="77777777" w:rsidTr="008053EA">
        <w:trPr>
          <w:trHeight w:val="430"/>
          <w:jc w:val="center"/>
        </w:trPr>
        <w:tc>
          <w:tcPr>
            <w:tcW w:w="953" w:type="dxa"/>
            <w:vMerge/>
            <w:tcBorders>
              <w:top w:val="single" w:sz="8" w:space="0" w:color="000000"/>
              <w:left w:val="single" w:sz="8" w:space="0" w:color="000000"/>
              <w:bottom w:val="single" w:sz="8" w:space="0" w:color="000000"/>
              <w:right w:val="single" w:sz="8" w:space="0" w:color="000000"/>
            </w:tcBorders>
            <w:vAlign w:val="center"/>
            <w:hideMark/>
          </w:tcPr>
          <w:p w14:paraId="60BB6377"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252" w:type="dxa"/>
            <w:gridSpan w:val="3"/>
            <w:vMerge/>
            <w:tcBorders>
              <w:top w:val="single" w:sz="8" w:space="0" w:color="000000"/>
              <w:left w:val="nil"/>
              <w:bottom w:val="single" w:sz="8" w:space="0" w:color="000000"/>
              <w:right w:val="single" w:sz="8" w:space="0" w:color="000000"/>
            </w:tcBorders>
            <w:vAlign w:val="center"/>
            <w:hideMark/>
          </w:tcPr>
          <w:p w14:paraId="0FE3A5D9"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2836" w:type="dxa"/>
            <w:tcBorders>
              <w:top w:val="nil"/>
              <w:left w:val="nil"/>
              <w:bottom w:val="single" w:sz="8" w:space="0" w:color="000000"/>
              <w:right w:val="single" w:sz="8" w:space="0" w:color="000000"/>
            </w:tcBorders>
            <w:tcMar>
              <w:top w:w="0" w:type="dxa"/>
              <w:left w:w="108" w:type="dxa"/>
              <w:bottom w:w="0" w:type="dxa"/>
              <w:right w:w="108" w:type="dxa"/>
            </w:tcMar>
            <w:hideMark/>
          </w:tcPr>
          <w:p w14:paraId="2B5E329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Т-44</w:t>
            </w:r>
          </w:p>
        </w:tc>
        <w:tc>
          <w:tcPr>
            <w:tcW w:w="2935" w:type="dxa"/>
            <w:tcBorders>
              <w:top w:val="nil"/>
              <w:left w:val="nil"/>
              <w:bottom w:val="single" w:sz="8" w:space="0" w:color="000000"/>
              <w:right w:val="single" w:sz="8" w:space="0" w:color="000000"/>
            </w:tcBorders>
            <w:tcMar>
              <w:top w:w="0" w:type="dxa"/>
              <w:left w:w="108" w:type="dxa"/>
              <w:bottom w:w="0" w:type="dxa"/>
              <w:right w:w="108" w:type="dxa"/>
            </w:tcMar>
            <w:hideMark/>
          </w:tcPr>
          <w:p w14:paraId="57C7FD5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Т-34-85</w:t>
            </w:r>
          </w:p>
        </w:tc>
      </w:tr>
      <w:tr w:rsidR="004D4663" w:rsidRPr="00070ADE" w14:paraId="2180B45A" w14:textId="77777777" w:rsidTr="008053EA">
        <w:trPr>
          <w:jc w:val="center"/>
        </w:trPr>
        <w:tc>
          <w:tcPr>
            <w:tcW w:w="953" w:type="dxa"/>
            <w:tcBorders>
              <w:top w:val="nil"/>
              <w:left w:val="single" w:sz="8" w:space="0" w:color="000000"/>
              <w:bottom w:val="single" w:sz="8" w:space="0" w:color="auto"/>
              <w:right w:val="single" w:sz="8" w:space="0" w:color="000000"/>
            </w:tcBorders>
            <w:tcMar>
              <w:top w:w="0" w:type="dxa"/>
              <w:left w:w="108" w:type="dxa"/>
              <w:bottom w:w="0" w:type="dxa"/>
              <w:right w:w="108" w:type="dxa"/>
            </w:tcMar>
            <w:vAlign w:val="center"/>
            <w:hideMark/>
          </w:tcPr>
          <w:p w14:paraId="185D9B4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4252" w:type="dxa"/>
            <w:gridSpan w:val="3"/>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A1B22F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283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E189F8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2935"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71AD541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r>
      <w:tr w:rsidR="004D4663" w:rsidRPr="00070ADE" w14:paraId="043F5601" w14:textId="77777777" w:rsidTr="008053EA">
        <w:trPr>
          <w:trHeight w:val="746"/>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6193B609" w14:textId="1508CEAE"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10023" w:type="dxa"/>
            <w:gridSpan w:val="5"/>
            <w:tcBorders>
              <w:top w:val="nil"/>
              <w:left w:val="nil"/>
              <w:bottom w:val="nil"/>
              <w:right w:val="single" w:sz="8" w:space="0" w:color="000000"/>
            </w:tcBorders>
            <w:tcMar>
              <w:top w:w="0" w:type="dxa"/>
              <w:left w:w="108" w:type="dxa"/>
              <w:bottom w:w="0" w:type="dxa"/>
              <w:right w:w="108" w:type="dxa"/>
            </w:tcMar>
            <w:vAlign w:val="center"/>
            <w:hideMark/>
          </w:tcPr>
          <w:p w14:paraId="7ABB733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Преодолеваемые</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препятствия.</w:t>
            </w:r>
          </w:p>
        </w:tc>
      </w:tr>
      <w:tr w:rsidR="004D4663" w:rsidRPr="00070ADE" w14:paraId="55F0127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CD31C3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9ED1D47" w14:textId="72194128"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Максимально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преодолева-</w:t>
            </w:r>
          </w:p>
          <w:p w14:paraId="3888FD57" w14:textId="78DFB7B8"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емый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подъем (в градусах)</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7A6BD68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длиной</w:t>
            </w:r>
          </w:p>
          <w:p w14:paraId="161311A1" w14:textId="172F2D41"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преодо-</w:t>
            </w:r>
          </w:p>
          <w:p w14:paraId="749813B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лен без шпор.</w:t>
            </w:r>
          </w:p>
        </w:tc>
        <w:tc>
          <w:tcPr>
            <w:tcW w:w="2935" w:type="dxa"/>
            <w:tcBorders>
              <w:top w:val="nil"/>
              <w:left w:val="nil"/>
              <w:bottom w:val="nil"/>
              <w:right w:val="single" w:sz="8" w:space="0" w:color="000000"/>
            </w:tcBorders>
            <w:tcMar>
              <w:top w:w="0" w:type="dxa"/>
              <w:left w:w="108" w:type="dxa"/>
              <w:bottom w:w="0" w:type="dxa"/>
              <w:right w:w="108" w:type="dxa"/>
            </w:tcMar>
            <w:hideMark/>
          </w:tcPr>
          <w:p w14:paraId="0938751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w:t>
            </w:r>
          </w:p>
        </w:tc>
      </w:tr>
      <w:tr w:rsidR="004D4663" w:rsidRPr="00070ADE" w14:paraId="0F578CEE"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6018B1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442CB9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Спуск (в градусах)</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0189945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 преодолен</w:t>
            </w:r>
          </w:p>
          <w:p w14:paraId="160D56D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без шпор.</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18C9C35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w:t>
            </w:r>
          </w:p>
        </w:tc>
      </w:tr>
      <w:tr w:rsidR="004D4663" w:rsidRPr="00070ADE" w14:paraId="4B801491"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CC637A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4B51D1C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Косогор (в градусах)</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1CEA9CA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 преодолен</w:t>
            </w:r>
          </w:p>
          <w:p w14:paraId="6F884F2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без шпор.</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B50F2D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w:t>
            </w:r>
          </w:p>
        </w:tc>
      </w:tr>
      <w:tr w:rsidR="004D4663" w:rsidRPr="00070ADE" w14:paraId="5A4CB983" w14:textId="77777777" w:rsidTr="00D03418">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0BA1D3F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ДВИГАТЕЛЬ.</w:t>
            </w:r>
          </w:p>
        </w:tc>
      </w:tr>
      <w:tr w:rsidR="004D4663" w:rsidRPr="00070ADE" w14:paraId="41448DC6"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C75C52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D1A79C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Расположение двигателя</w:t>
            </w:r>
          </w:p>
          <w:p w14:paraId="5BBFDCF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корпусе</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A8C65E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Перпендикулярно к продольной оси корпуса</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272EA3B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Параллельно продольной</w:t>
            </w:r>
          </w:p>
          <w:p w14:paraId="434B77E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оси корпуса.</w:t>
            </w:r>
          </w:p>
        </w:tc>
      </w:tr>
      <w:tr w:rsidR="004D4663" w:rsidRPr="00070ADE" w14:paraId="17A3238E"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DFFB42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5AE2F9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мощность</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16650A1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520 л.с. при</w:t>
            </w:r>
          </w:p>
          <w:p w14:paraId="3D4060A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2000 об/мин.</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69C8DA2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 л.с. при</w:t>
            </w:r>
          </w:p>
          <w:p w14:paraId="596520A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1800 об/мин.</w:t>
            </w:r>
          </w:p>
        </w:tc>
      </w:tr>
      <w:tr w:rsidR="004D4663" w:rsidRPr="00070ADE" w14:paraId="0F06850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897B37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ECD7F08" w14:textId="61E1CA4B"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Максимальное число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оборо-</w:t>
            </w:r>
          </w:p>
          <w:p w14:paraId="4C8F075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261A29C4" w14:textId="4BB4CF5C"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об/мин.</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4C119C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2050 об/мин.</w:t>
            </w:r>
          </w:p>
        </w:tc>
      </w:tr>
      <w:tr w:rsidR="004D4663" w:rsidRPr="00070ADE" w14:paraId="780F88B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82AAEB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87E8E4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Минимальные устойчивые</w:t>
            </w:r>
          </w:p>
          <w:p w14:paraId="5A244EA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обороты</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DE9F38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 об/мин.</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3301E8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 об/мин.</w:t>
            </w:r>
          </w:p>
        </w:tc>
      </w:tr>
      <w:tr w:rsidR="004D4663" w:rsidRPr="00070ADE" w14:paraId="6F79B8F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6FBC6D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409011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Максимальный крутящий</w:t>
            </w:r>
          </w:p>
          <w:p w14:paraId="687BFCBD" w14:textId="44CE5063"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момент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кг.м.</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779BC4A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230</w:t>
            </w:r>
          </w:p>
          <w:p w14:paraId="2DD3833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1150 об/мин.</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265DEBA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w:t>
            </w:r>
          </w:p>
          <w:p w14:paraId="7C2696F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1150 об/мин.</w:t>
            </w:r>
          </w:p>
        </w:tc>
      </w:tr>
      <w:tr w:rsidR="004D4663" w:rsidRPr="00070ADE" w14:paraId="6CD6F64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BBA1A6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D9485B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Удельный расход топлива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5DA8735" w14:textId="6D7D9E6B"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185 гр.</w:t>
            </w:r>
          </w:p>
          <w:p w14:paraId="0B81F24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л.с./час.</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1337F7C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 ÷ 170 гр.</w:t>
            </w:r>
          </w:p>
          <w:p w14:paraId="6528E49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л.с./час.</w:t>
            </w:r>
          </w:p>
        </w:tc>
      </w:tr>
      <w:tr w:rsidR="004D4663" w:rsidRPr="00070ADE" w14:paraId="596C7DB4"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DB4130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04B0E1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Число цилиндров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A698A8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6DF48A5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tc>
      </w:tr>
      <w:tr w:rsidR="004D4663" w:rsidRPr="00070ADE" w14:paraId="437B3067"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21F488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52DDFE5" w14:textId="592DD52F"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Направление вращения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ва-</w:t>
            </w:r>
          </w:p>
          <w:p w14:paraId="7BF33C4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 если смотреть со</w:t>
            </w:r>
          </w:p>
          <w:p w14:paraId="3D5BE21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стороны передачи на рас-</w:t>
            </w:r>
          </w:p>
          <w:p w14:paraId="08FD1055" w14:textId="2FA3A3F6"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пределительный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валик</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F68320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часовой</w:t>
            </w:r>
          </w:p>
          <w:p w14:paraId="0B54AD6F" w14:textId="2D6303FE"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r w:rsidR="00811C95" w:rsidRPr="00070ADE">
              <w:rPr>
                <w:rFonts w:ascii="Times New Roman" w:hAnsi="Times New Roman"/>
                <w:color w:val="000000" w:themeColor="text1"/>
                <w:sz w:val="16"/>
                <w:szCs w:val="16"/>
              </w:rPr>
              <w:t>стрелке.</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4A8E424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часовой</w:t>
            </w:r>
          </w:p>
          <w:p w14:paraId="4E919E85" w14:textId="02DEF71E"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r w:rsidR="00811C95" w:rsidRPr="00070ADE">
              <w:rPr>
                <w:rFonts w:ascii="Times New Roman" w:hAnsi="Times New Roman"/>
                <w:color w:val="000000" w:themeColor="text1"/>
                <w:sz w:val="16"/>
                <w:szCs w:val="16"/>
              </w:rPr>
              <w:t>стрелке.</w:t>
            </w:r>
          </w:p>
        </w:tc>
      </w:tr>
      <w:tr w:rsidR="004D4663" w:rsidRPr="00070ADE" w14:paraId="1F918EC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7FCC25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6B7BAFF" w14:textId="2559603B"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Рабочий объем всех</w:t>
            </w:r>
            <w:r w:rsidR="00B643A8" w:rsidRPr="00070ADE">
              <w:rPr>
                <w:rFonts w:ascii="Times New Roman" w:hAnsi="Times New Roman"/>
                <w:color w:val="000000" w:themeColor="text1"/>
                <w:sz w:val="16"/>
                <w:szCs w:val="16"/>
              </w:rPr>
              <w:t xml:space="preserve"> </w:t>
            </w:r>
          </w:p>
          <w:p w14:paraId="318DC87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цилиндров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2750526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36,8 л.</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4F76E73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36,8 л.</w:t>
            </w:r>
          </w:p>
        </w:tc>
      </w:tr>
      <w:tr w:rsidR="004D4663" w:rsidRPr="00070ADE" w14:paraId="605C6CE1"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E1F926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C3F7985" w14:textId="168D9BA9"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сухого двигателя с</w:t>
            </w:r>
            <w:r w:rsidR="00B643A8" w:rsidRPr="00070ADE">
              <w:rPr>
                <w:rFonts w:ascii="Times New Roman" w:hAnsi="Times New Roman"/>
                <w:color w:val="000000" w:themeColor="text1"/>
                <w:sz w:val="16"/>
                <w:szCs w:val="16"/>
              </w:rPr>
              <w:t xml:space="preserve"> </w:t>
            </w:r>
          </w:p>
          <w:p w14:paraId="7A25947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электрогенератором, без</w:t>
            </w:r>
          </w:p>
          <w:p w14:paraId="0EBD9F6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выхлопных коллекторов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1B99FEB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 кг.</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7DCDEF2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 кг.</w:t>
            </w:r>
          </w:p>
        </w:tc>
      </w:tr>
      <w:tr w:rsidR="004D4663" w:rsidRPr="00070ADE" w14:paraId="5E9B2485" w14:textId="77777777" w:rsidTr="00D03418">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54C9D91E" w14:textId="03AB103D"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r w:rsidR="00811C95" w:rsidRPr="00070ADE">
              <w:rPr>
                <w:rFonts w:ascii="Times New Roman" w:hAnsi="Times New Roman"/>
                <w:color w:val="000000" w:themeColor="text1"/>
                <w:sz w:val="16"/>
                <w:szCs w:val="16"/>
              </w:rPr>
              <w:t>9.</w:t>
            </w:r>
            <w:r w:rsidR="00811C95" w:rsidRPr="00070ADE">
              <w:rPr>
                <w:rFonts w:ascii="Times New Roman" w:hAnsi="Times New Roman"/>
                <w:color w:val="000000" w:themeColor="text1"/>
                <w:sz w:val="16"/>
                <w:szCs w:val="16"/>
              </w:rPr>
              <w:t> </w:t>
            </w:r>
            <w:r w:rsidR="00811C95" w:rsidRPr="00070ADE">
              <w:rPr>
                <w:rFonts w:ascii="Times New Roman" w:hAnsi="Times New Roman"/>
                <w:color w:val="000000" w:themeColor="text1"/>
                <w:sz w:val="16"/>
                <w:szCs w:val="16"/>
              </w:rPr>
              <w:t>СИСТЕМАДВИГАТЕЛЯ.</w:t>
            </w:r>
            <w:r w:rsidR="00811C95" w:rsidRPr="00070ADE">
              <w:rPr>
                <w:rFonts w:ascii="Times New Roman" w:hAnsi="Times New Roman"/>
                <w:color w:val="000000" w:themeColor="text1"/>
                <w:sz w:val="16"/>
                <w:szCs w:val="16"/>
              </w:rPr>
              <w:t> </w:t>
            </w:r>
            <w:r w:rsidR="00811C95" w:rsidRPr="00070ADE">
              <w:rPr>
                <w:rFonts w:ascii="Times New Roman" w:hAnsi="Times New Roman"/>
                <w:color w:val="000000" w:themeColor="text1"/>
                <w:sz w:val="16"/>
                <w:szCs w:val="16"/>
              </w:rPr>
              <w:t>ПУСКА</w:t>
            </w:r>
            <w:r w:rsidR="00811C95" w:rsidRPr="00070ADE">
              <w:rPr>
                <w:rFonts w:ascii="Times New Roman" w:hAnsi="Times New Roman"/>
                <w:color w:val="000000" w:themeColor="text1"/>
                <w:sz w:val="16"/>
                <w:szCs w:val="16"/>
              </w:rPr>
              <w:t> </w:t>
            </w:r>
          </w:p>
        </w:tc>
      </w:tr>
      <w:tr w:rsidR="004D4663" w:rsidRPr="00070ADE" w14:paraId="31A1EFC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0D4ED3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39E1EB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Электрическая</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40D3F5A" w14:textId="4B0FB60B"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электро-</w:t>
            </w:r>
          </w:p>
          <w:p w14:paraId="6B44421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стартера</w:t>
            </w:r>
          </w:p>
          <w:p w14:paraId="34A901A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СТ-15</w:t>
            </w:r>
          </w:p>
        </w:tc>
        <w:tc>
          <w:tcPr>
            <w:tcW w:w="2935" w:type="dxa"/>
            <w:tcBorders>
              <w:top w:val="nil"/>
              <w:left w:val="nil"/>
              <w:bottom w:val="nil"/>
              <w:right w:val="single" w:sz="8" w:space="0" w:color="000000"/>
            </w:tcBorders>
            <w:tcMar>
              <w:top w:w="0" w:type="dxa"/>
              <w:left w:w="108" w:type="dxa"/>
              <w:bottom w:w="0" w:type="dxa"/>
              <w:right w:w="108" w:type="dxa"/>
            </w:tcMar>
            <w:hideMark/>
          </w:tcPr>
          <w:p w14:paraId="52B1BA56" w14:textId="697D66B9"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электростар-</w:t>
            </w:r>
          </w:p>
          <w:p w14:paraId="07465E72" w14:textId="01E249B5"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тера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СТ-700</w:t>
            </w:r>
          </w:p>
        </w:tc>
      </w:tr>
      <w:tr w:rsidR="004D4663" w:rsidRPr="00070ADE" w14:paraId="5E99D62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C78F0F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6C0689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Пневматическая</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0E78C87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баллонов</w:t>
            </w:r>
          </w:p>
          <w:p w14:paraId="4AB02B4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отработан-</w:t>
            </w:r>
          </w:p>
          <w:p w14:paraId="6378B0F5" w14:textId="6119BC02"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ными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газами</w:t>
            </w:r>
          </w:p>
          <w:p w14:paraId="28299E5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зарядкой</w:t>
            </w:r>
          </w:p>
          <w:p w14:paraId="5FAD3D2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двигателя.</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1411276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баллонов с</w:t>
            </w:r>
          </w:p>
          <w:p w14:paraId="7120EFB5" w14:textId="63295ADF"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сжатыми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возду-</w:t>
            </w:r>
          </w:p>
          <w:p w14:paraId="1798DE6E" w14:textId="42B15B85"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хом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без</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доза-рядки</w:t>
            </w:r>
          </w:p>
        </w:tc>
      </w:tr>
      <w:tr w:rsidR="004D4663" w:rsidRPr="00070ADE" w14:paraId="40A92A8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EBABA1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C80F4B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Число баллонов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2A3908D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691408F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r>
      <w:tr w:rsidR="004D4663" w:rsidRPr="00070ADE" w14:paraId="7800204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4D0358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2A1A13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Емкость баллонов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7DB3289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л</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D288EE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л</w:t>
            </w:r>
          </w:p>
        </w:tc>
      </w:tr>
      <w:tr w:rsidR="004D4663" w:rsidRPr="00070ADE" w14:paraId="37C823BC" w14:textId="77777777" w:rsidTr="00D03418">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37E3C34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ТОПЛИВНАЯ</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СИСТЕМА.</w:t>
            </w:r>
          </w:p>
        </w:tc>
      </w:tr>
      <w:tr w:rsidR="004D4663" w:rsidRPr="00070ADE" w14:paraId="20A73B28"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40FB71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9EEE3D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Сорт топлива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1CA8633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Дизельное</w:t>
            </w:r>
          </w:p>
          <w:p w14:paraId="02F2E4D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"ДТ" или</w:t>
            </w:r>
          </w:p>
          <w:p w14:paraId="3B42A86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газойль "Э"</w:t>
            </w:r>
          </w:p>
        </w:tc>
        <w:tc>
          <w:tcPr>
            <w:tcW w:w="2935" w:type="dxa"/>
            <w:tcBorders>
              <w:top w:val="nil"/>
              <w:left w:val="nil"/>
              <w:bottom w:val="nil"/>
              <w:right w:val="single" w:sz="8" w:space="0" w:color="000000"/>
            </w:tcBorders>
            <w:tcMar>
              <w:top w:w="0" w:type="dxa"/>
              <w:left w:w="108" w:type="dxa"/>
              <w:bottom w:w="0" w:type="dxa"/>
              <w:right w:w="108" w:type="dxa"/>
            </w:tcMar>
            <w:hideMark/>
          </w:tcPr>
          <w:p w14:paraId="074296F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Дизельное "ДТ" или газойль "Э"</w:t>
            </w:r>
          </w:p>
        </w:tc>
      </w:tr>
      <w:tr w:rsidR="004D4663" w:rsidRPr="00070ADE" w14:paraId="1B326668"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A953FC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ABD863F" w14:textId="0315ADFF"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основных</w:t>
            </w:r>
          </w:p>
          <w:p w14:paraId="33D3F28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топливных баков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50B33F9" w14:textId="0A6068D8"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шт</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79D5D3FC" w14:textId="1522AF81"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шт</w:t>
            </w:r>
          </w:p>
        </w:tc>
      </w:tr>
      <w:tr w:rsidR="004D4663" w:rsidRPr="00070ADE" w14:paraId="25F3EEB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78F60F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288FFD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запасных</w:t>
            </w:r>
          </w:p>
          <w:p w14:paraId="6CCB8F7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топливных баков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584C3A3F" w14:textId="7BC2A59E"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шт</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7F6377B2" w14:textId="6481436A"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шт</w:t>
            </w:r>
          </w:p>
        </w:tc>
      </w:tr>
      <w:tr w:rsidR="004D4663" w:rsidRPr="00070ADE" w14:paraId="3C8BE0C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A1895B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C33E3F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Общая емкость основных</w:t>
            </w:r>
          </w:p>
          <w:p w14:paraId="2DBD892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топливных баков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5B441BE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460 л</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EF01CC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550 л</w:t>
            </w:r>
          </w:p>
        </w:tc>
      </w:tr>
      <w:tr w:rsidR="004D4663" w:rsidRPr="00070ADE" w14:paraId="544805B4"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D3BACE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565F07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Общая емкость запасных</w:t>
            </w:r>
          </w:p>
          <w:p w14:paraId="42C7D6E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топливных баков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078D5B6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 л</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4F84A5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 л</w:t>
            </w:r>
          </w:p>
        </w:tc>
      </w:tr>
      <w:tr w:rsidR="004D4663" w:rsidRPr="00070ADE" w14:paraId="4A59340C"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A0FA30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4EE3F2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Первоначальная подача</w:t>
            </w:r>
          </w:p>
          <w:p w14:paraId="72FA6FF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топлива из баков к под-</w:t>
            </w:r>
          </w:p>
          <w:p w14:paraId="0CA58596" w14:textId="0F1BFB5A"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качивающей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помпе</w:t>
            </w:r>
          </w:p>
        </w:tc>
        <w:tc>
          <w:tcPr>
            <w:tcW w:w="2836" w:type="dxa"/>
            <w:tcBorders>
              <w:top w:val="nil"/>
              <w:left w:val="nil"/>
              <w:bottom w:val="nil"/>
              <w:right w:val="single" w:sz="8" w:space="0" w:color="000000"/>
            </w:tcBorders>
            <w:tcMar>
              <w:top w:w="0" w:type="dxa"/>
              <w:left w:w="108" w:type="dxa"/>
              <w:bottom w:w="0" w:type="dxa"/>
              <w:right w:w="108" w:type="dxa"/>
            </w:tcMar>
            <w:vAlign w:val="bottom"/>
            <w:hideMark/>
          </w:tcPr>
          <w:p w14:paraId="450289E8" w14:textId="1F09C329"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Ручным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насосом "Альвейер"</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0D716EE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Давлением в баке, создаваемым</w:t>
            </w:r>
          </w:p>
          <w:p w14:paraId="53B7B9A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воздушным насосом</w:t>
            </w:r>
          </w:p>
        </w:tc>
      </w:tr>
      <w:tr w:rsidR="004D4663" w:rsidRPr="00070ADE" w14:paraId="0F2100FC"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B2E930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4CBC8F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Топливоподкачивающая</w:t>
            </w:r>
          </w:p>
          <w:p w14:paraId="38E8850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помпа – тип</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4B43BE8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Коловратная</w:t>
            </w:r>
          </w:p>
          <w:p w14:paraId="00F0ECE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БНК-12</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35BC312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Коловратная</w:t>
            </w:r>
          </w:p>
          <w:p w14:paraId="0FB7897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БНК-12</w:t>
            </w:r>
          </w:p>
        </w:tc>
      </w:tr>
      <w:tr w:rsidR="004D4663" w:rsidRPr="00070ADE" w14:paraId="5EF547D1"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02F6ED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6BCA0F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Давление топлива по-</w:t>
            </w:r>
          </w:p>
          <w:p w14:paraId="7D775880" w14:textId="010CE706"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фильтра –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атмос-</w:t>
            </w:r>
          </w:p>
          <w:p w14:paraId="668B270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ферах</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036418A0" w14:textId="77777777" w:rsidR="00811C95" w:rsidRPr="00070ADE" w:rsidRDefault="00811C95" w:rsidP="00B56F90">
            <w:pPr>
              <w:spacing w:after="0" w:line="240" w:lineRule="auto"/>
              <w:jc w:val="both"/>
              <w:rPr>
                <w:rFonts w:ascii="Times New Roman" w:hAnsi="Times New Roman"/>
                <w:color w:val="000000" w:themeColor="text1"/>
                <w:sz w:val="16"/>
                <w:szCs w:val="16"/>
              </w:rPr>
            </w:pPr>
            <w:bookmarkStart w:id="78" w:name="OLE_LINK54"/>
            <w:bookmarkStart w:id="79" w:name="OLE_LINK53"/>
            <w:bookmarkEnd w:id="78"/>
            <w:bookmarkEnd w:id="79"/>
            <w:r w:rsidRPr="00070ADE">
              <w:rPr>
                <w:rFonts w:ascii="Times New Roman" w:hAnsi="Times New Roman"/>
                <w:color w:val="000000" w:themeColor="text1"/>
                <w:sz w:val="16"/>
                <w:szCs w:val="16"/>
              </w:rPr>
              <w:t>0,5÷0,7</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32115BA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0,5÷0,7</w:t>
            </w:r>
          </w:p>
        </w:tc>
      </w:tr>
      <w:tr w:rsidR="004D4663" w:rsidRPr="00070ADE" w14:paraId="0A042EB4"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2D1015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72CDCA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топливного</w:t>
            </w:r>
          </w:p>
          <w:p w14:paraId="7F19535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фильтра.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099F710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Войлочный</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44BFB80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Войлочный</w:t>
            </w:r>
          </w:p>
        </w:tc>
      </w:tr>
      <w:tr w:rsidR="004D4663" w:rsidRPr="00070ADE" w14:paraId="37DDE33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D80656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1BF6BE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Топливный насос</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479C237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НК-1</w:t>
            </w:r>
          </w:p>
          <w:p w14:paraId="4C0940D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всережимным</w:t>
            </w:r>
          </w:p>
          <w:p w14:paraId="1A08F27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регулятором и</w:t>
            </w:r>
          </w:p>
          <w:p w14:paraId="644B675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корректором</w:t>
            </w:r>
          </w:p>
          <w:p w14:paraId="3BC8952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подачи.</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190FC30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НК-1</w:t>
            </w:r>
          </w:p>
          <w:p w14:paraId="0CB8C72C" w14:textId="24AD0766"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регулято-</w:t>
            </w:r>
          </w:p>
          <w:p w14:paraId="27BD933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ром макси-</w:t>
            </w:r>
          </w:p>
          <w:p w14:paraId="2EC6641A" w14:textId="6173BEA6"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мальных</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обо-</w:t>
            </w:r>
          </w:p>
          <w:p w14:paraId="0BFB043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ротов.</w:t>
            </w:r>
          </w:p>
        </w:tc>
      </w:tr>
      <w:tr w:rsidR="004D4663" w:rsidRPr="00070ADE" w14:paraId="4040B06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661722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365AB4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топливного насоса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1E685321" w14:textId="4F9F428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12-ти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плун-</w:t>
            </w:r>
          </w:p>
          <w:p w14:paraId="2349E38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жерный.</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64AB1B11" w14:textId="36CFD02D"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12-ти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плун-</w:t>
            </w:r>
          </w:p>
          <w:p w14:paraId="133A57A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жерный.</w:t>
            </w:r>
          </w:p>
        </w:tc>
      </w:tr>
      <w:tr w:rsidR="004D4663" w:rsidRPr="00070ADE" w14:paraId="05C0225C" w14:textId="77777777" w:rsidTr="00D03418">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0CBB3A8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СИСТЕМАСМАЗКИ.</w:t>
            </w:r>
            <w:r w:rsidRPr="00070ADE">
              <w:rPr>
                <w:rFonts w:ascii="Times New Roman" w:hAnsi="Times New Roman"/>
                <w:color w:val="000000" w:themeColor="text1"/>
                <w:sz w:val="16"/>
                <w:szCs w:val="16"/>
              </w:rPr>
              <w:t> </w:t>
            </w:r>
          </w:p>
        </w:tc>
      </w:tr>
      <w:tr w:rsidR="004D4663" w:rsidRPr="00070ADE" w14:paraId="6B8DC91E"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6F2DF7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E72B87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системы смазки</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21C3CF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Циркуляцион-</w:t>
            </w:r>
          </w:p>
          <w:p w14:paraId="005CD536" w14:textId="7FC467DF"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под</w:t>
            </w:r>
          </w:p>
          <w:p w14:paraId="046C328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давлением</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45DB9B4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Циркуляцион-</w:t>
            </w:r>
          </w:p>
          <w:p w14:paraId="14E084B1" w14:textId="0AD159C3"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под дав-</w:t>
            </w:r>
          </w:p>
          <w:p w14:paraId="044F26B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лением</w:t>
            </w:r>
          </w:p>
        </w:tc>
      </w:tr>
      <w:tr w:rsidR="004D4663" w:rsidRPr="00070ADE" w14:paraId="1EEDF4CE"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969876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07C258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Сорт масла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55B78A5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Авиамасло</w:t>
            </w:r>
          </w:p>
          <w:p w14:paraId="7D4352E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МК, МС, МЗС,</w:t>
            </w:r>
          </w:p>
          <w:p w14:paraId="1AD0F25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МСГ.</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CEEB05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Авиамасло</w:t>
            </w:r>
          </w:p>
          <w:p w14:paraId="4BEF587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МК, МС, МЗС,</w:t>
            </w:r>
          </w:p>
          <w:p w14:paraId="3822824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МСГ.</w:t>
            </w:r>
          </w:p>
        </w:tc>
      </w:tr>
      <w:tr w:rsidR="004D4663" w:rsidRPr="00070ADE" w14:paraId="1DB24EC7"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9D5501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76E403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масляных</w:t>
            </w:r>
          </w:p>
          <w:p w14:paraId="5BA38C1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баков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2C4190F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шт.</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6A641CD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шт.</w:t>
            </w:r>
          </w:p>
        </w:tc>
      </w:tr>
      <w:tr w:rsidR="004D4663" w:rsidRPr="00070ADE" w14:paraId="10A6C7D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C84DB6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FE186E2" w14:textId="24B7C5E3"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Заправочная емкость</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мас-</w:t>
            </w:r>
          </w:p>
          <w:p w14:paraId="3A007A19" w14:textId="687DDB28"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ляных</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баков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F58DD6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 л</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4F33C8A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 л</w:t>
            </w:r>
          </w:p>
        </w:tc>
      </w:tr>
      <w:tr w:rsidR="004D4663" w:rsidRPr="00070ADE" w14:paraId="69EAEF1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94DCDB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8D99EF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Способ охлаждения масла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7FB3B65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Трубчатым радиатором.</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2C669D7E" w14:textId="1B68EC4F"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Трубчатым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ра-</w:t>
            </w:r>
          </w:p>
          <w:p w14:paraId="77B4B0A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диатором.</w:t>
            </w:r>
          </w:p>
        </w:tc>
      </w:tr>
      <w:tr w:rsidR="004D4663" w:rsidRPr="00070ADE" w14:paraId="703FB424"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4E3CE3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26B64BB" w14:textId="2B302ED1"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Емкость масляного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радиа-</w:t>
            </w:r>
          </w:p>
          <w:p w14:paraId="4D0435D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тора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59380F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2,82 л.</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76C7F645" w14:textId="541D1C7D"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r>
      <w:tr w:rsidR="004D4663" w:rsidRPr="00070ADE" w14:paraId="5E96610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6EECBA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2089CC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Поверхность радиатора,</w:t>
            </w:r>
          </w:p>
          <w:p w14:paraId="3F72DAC7" w14:textId="12F23D64"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омываемая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маслом</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43FDA6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1,807 м²</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10A9D67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2,104 м²</w:t>
            </w:r>
          </w:p>
        </w:tc>
      </w:tr>
      <w:tr w:rsidR="004D4663" w:rsidRPr="00070ADE" w14:paraId="434F45E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A15782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4AE460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Поверхность радиатора,</w:t>
            </w:r>
          </w:p>
          <w:p w14:paraId="1CC0812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омываемая воздухом</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2027D1D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8,024 м²</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32AA1E0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7,374 м²</w:t>
            </w:r>
          </w:p>
        </w:tc>
      </w:tr>
      <w:tr w:rsidR="004D4663" w:rsidRPr="00070ADE" w14:paraId="14F7A8E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533A0B8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4D84A79" w14:textId="49D9AF3C"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Заполнение маслом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нера-</w:t>
            </w:r>
          </w:p>
          <w:p w14:paraId="28ADF267" w14:textId="70AEDCD2"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ботающего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двигателя</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439295E" w14:textId="462D37E1"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Ручным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подкачивающим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насосом.</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0FF4CDB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Ручным под-</w:t>
            </w:r>
          </w:p>
          <w:p w14:paraId="3D84EC2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качивающим</w:t>
            </w:r>
          </w:p>
          <w:p w14:paraId="2F63712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насосом.</w:t>
            </w:r>
          </w:p>
        </w:tc>
      </w:tr>
      <w:tr w:rsidR="004D4663" w:rsidRPr="00070ADE" w14:paraId="7F7B2E82"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C16617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1A5954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Температура выходящего</w:t>
            </w:r>
          </w:p>
          <w:p w14:paraId="485D960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масла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4952137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100°С</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6CC2928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100°С</w:t>
            </w:r>
          </w:p>
        </w:tc>
      </w:tr>
      <w:tr w:rsidR="004D4663" w:rsidRPr="00070ADE" w14:paraId="7EF8ADF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3B434B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357950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Удельный расход масла</w:t>
            </w:r>
          </w:p>
          <w:p w14:paraId="71FCA54C" w14:textId="7E7EAAA2"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эксплоатационных</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ре-</w:t>
            </w:r>
          </w:p>
          <w:p w14:paraId="045E559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жимах работы двигателя</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2054004" w14:textId="15596196"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гр/л.с</w:t>
            </w:r>
            <w:r w:rsidR="00B643A8" w:rsidRPr="00070ADE">
              <w:rPr>
                <w:rFonts w:ascii="Times New Roman" w:hAnsi="Times New Roman"/>
                <w:color w:val="000000" w:themeColor="text1"/>
                <w:sz w:val="16"/>
                <w:szCs w:val="16"/>
              </w:rPr>
              <w:t xml:space="preserve"> </w:t>
            </w:r>
          </w:p>
          <w:p w14:paraId="0E75B6F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час.</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4F8EF94" w14:textId="70B4FA38"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гр/л.с.</w:t>
            </w:r>
            <w:r w:rsidR="00B643A8" w:rsidRPr="00070ADE">
              <w:rPr>
                <w:rFonts w:ascii="Times New Roman" w:hAnsi="Times New Roman"/>
                <w:color w:val="000000" w:themeColor="text1"/>
                <w:sz w:val="16"/>
                <w:szCs w:val="16"/>
              </w:rPr>
              <w:t xml:space="preserve"> </w:t>
            </w:r>
          </w:p>
          <w:p w14:paraId="6D0BF66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час.</w:t>
            </w:r>
          </w:p>
        </w:tc>
      </w:tr>
      <w:tr w:rsidR="004D4663" w:rsidRPr="00070ADE" w14:paraId="59F1120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538151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38DB3C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Давление масла при мини-</w:t>
            </w:r>
          </w:p>
          <w:p w14:paraId="1E378BE7" w14:textId="739CA4D2"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мальных</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оборотах</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двигате-</w:t>
            </w:r>
          </w:p>
          <w:p w14:paraId="53FEDAE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ля</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731FF241" w14:textId="5B58ED3F"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кг/см²</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2B9DA5D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кг/см²</w:t>
            </w:r>
          </w:p>
        </w:tc>
      </w:tr>
      <w:tr w:rsidR="004D4663" w:rsidRPr="00070ADE" w14:paraId="51A88093"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104DBBB0" w14:textId="74F73D81"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r w:rsidR="00811C95" w:rsidRPr="00070ADE">
              <w:rPr>
                <w:rFonts w:ascii="Times New Roman" w:hAnsi="Times New Roman"/>
                <w:color w:val="000000" w:themeColor="text1"/>
                <w:sz w:val="16"/>
                <w:szCs w:val="16"/>
              </w:rPr>
              <w:t>13.</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11260F4E" w14:textId="24015F03"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Давление масла на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эксплоа-</w:t>
            </w:r>
          </w:p>
          <w:p w14:paraId="7C25D7EF" w14:textId="0C454B88"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тационных</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режимах</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52D9D94B" w14:textId="7F2658FB"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 9</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кг/см²</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0A71FAA0" w14:textId="4E0A8FAD"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 9</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кг/см²</w:t>
            </w:r>
          </w:p>
        </w:tc>
      </w:tr>
      <w:tr w:rsidR="004D4663" w:rsidRPr="00070ADE" w14:paraId="5004604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485966F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28CECF5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Производительность масля-</w:t>
            </w:r>
          </w:p>
          <w:p w14:paraId="20F61C3F" w14:textId="28313AD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ного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насоса при 1600 об/мин.</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1CA66139" w14:textId="77777777" w:rsidR="00811C95" w:rsidRPr="00070ADE" w:rsidRDefault="00811C95" w:rsidP="00B56F90">
            <w:pPr>
              <w:spacing w:after="0" w:line="240" w:lineRule="auto"/>
              <w:jc w:val="both"/>
              <w:rPr>
                <w:rFonts w:ascii="Times New Roman" w:hAnsi="Times New Roman"/>
                <w:color w:val="000000" w:themeColor="text1"/>
                <w:sz w:val="16"/>
                <w:szCs w:val="16"/>
              </w:rPr>
            </w:pPr>
            <w:bookmarkStart w:id="80" w:name="OLE_LINK146"/>
            <w:bookmarkStart w:id="81" w:name="OLE_LINK145"/>
            <w:bookmarkEnd w:id="80"/>
            <w:bookmarkEnd w:id="81"/>
            <w:r w:rsidRPr="00070ADE">
              <w:rPr>
                <w:rFonts w:ascii="Times New Roman" w:hAnsi="Times New Roman"/>
                <w:color w:val="000000" w:themeColor="text1"/>
                <w:sz w:val="16"/>
                <w:szCs w:val="16"/>
              </w:rPr>
              <w:t>3750 л/час.</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35EC945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3750 л/час.</w:t>
            </w:r>
          </w:p>
        </w:tc>
      </w:tr>
      <w:tr w:rsidR="004D4663" w:rsidRPr="00070ADE" w14:paraId="33EE9FA6" w14:textId="77777777" w:rsidTr="00D03418">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52EEF30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СИСТЕМАОХЛАЖДЕНИЯ.</w:t>
            </w:r>
            <w:r w:rsidRPr="00070ADE">
              <w:rPr>
                <w:rFonts w:ascii="Times New Roman" w:hAnsi="Times New Roman"/>
                <w:color w:val="000000" w:themeColor="text1"/>
                <w:sz w:val="16"/>
                <w:szCs w:val="16"/>
              </w:rPr>
              <w:t> </w:t>
            </w:r>
          </w:p>
        </w:tc>
      </w:tr>
      <w:tr w:rsidR="004D4663" w:rsidRPr="00070ADE" w14:paraId="1976315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46F750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2EA541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охлаждения</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12A873B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Водяное при-</w:t>
            </w:r>
          </w:p>
          <w:p w14:paraId="636CBF6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нудительное,</w:t>
            </w:r>
          </w:p>
          <w:p w14:paraId="5DF8810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закрытого</w:t>
            </w:r>
          </w:p>
          <w:p w14:paraId="217BC25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типа.</w:t>
            </w:r>
          </w:p>
        </w:tc>
        <w:tc>
          <w:tcPr>
            <w:tcW w:w="2935" w:type="dxa"/>
            <w:tcBorders>
              <w:top w:val="nil"/>
              <w:left w:val="nil"/>
              <w:bottom w:val="nil"/>
              <w:right w:val="single" w:sz="8" w:space="0" w:color="000000"/>
            </w:tcBorders>
            <w:tcMar>
              <w:top w:w="0" w:type="dxa"/>
              <w:left w:w="108" w:type="dxa"/>
              <w:bottom w:w="0" w:type="dxa"/>
              <w:right w:w="108" w:type="dxa"/>
            </w:tcMar>
            <w:hideMark/>
          </w:tcPr>
          <w:p w14:paraId="23DC402E" w14:textId="57CB29DE"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Водяное -</w:t>
            </w:r>
            <w:r w:rsidR="00B643A8" w:rsidRPr="00070ADE">
              <w:rPr>
                <w:rFonts w:ascii="Times New Roman" w:hAnsi="Times New Roman"/>
                <w:color w:val="000000" w:themeColor="text1"/>
                <w:sz w:val="16"/>
                <w:szCs w:val="16"/>
              </w:rPr>
              <w:t xml:space="preserve"> </w:t>
            </w:r>
          </w:p>
          <w:p w14:paraId="5396E8B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принудитель-</w:t>
            </w:r>
          </w:p>
          <w:p w14:paraId="5F6BBE87" w14:textId="5A529395"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закры-</w:t>
            </w:r>
          </w:p>
          <w:p w14:paraId="4379246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того типа.</w:t>
            </w:r>
          </w:p>
        </w:tc>
      </w:tr>
      <w:tr w:rsidR="004D4663" w:rsidRPr="00070ADE" w14:paraId="47339BE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6500A6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27AD1BC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Емкость системы охлаждения</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370F071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 л.</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568F015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 л.</w:t>
            </w:r>
          </w:p>
        </w:tc>
      </w:tr>
      <w:tr w:rsidR="004D4663" w:rsidRPr="00070ADE" w14:paraId="7A5B734E"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1F1E92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588B5CE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Температура выходящей воды</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7577156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105°</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747CFF4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105°</w:t>
            </w:r>
          </w:p>
        </w:tc>
      </w:tr>
      <w:tr w:rsidR="004D4663" w:rsidRPr="00070ADE" w14:paraId="37428045"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163700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7ECE47C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Производительность насоса</w:t>
            </w:r>
          </w:p>
          <w:p w14:paraId="4AA5CD0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1500 об/мин</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55B7770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 л/мин.</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7A5F5B6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 л/мин.</w:t>
            </w:r>
          </w:p>
        </w:tc>
      </w:tr>
      <w:tr w:rsidR="004D4663" w:rsidRPr="00070ADE" w14:paraId="09648985"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D3FA8AB" w14:textId="77777777" w:rsidR="00811C95" w:rsidRPr="00070ADE" w:rsidRDefault="00811C95" w:rsidP="00B56F90">
            <w:pPr>
              <w:spacing w:after="0" w:line="240" w:lineRule="auto"/>
              <w:jc w:val="both"/>
              <w:rPr>
                <w:rFonts w:ascii="Times New Roman" w:hAnsi="Times New Roman"/>
                <w:color w:val="000000" w:themeColor="text1"/>
                <w:sz w:val="16"/>
                <w:szCs w:val="16"/>
              </w:rPr>
            </w:pPr>
            <w:bookmarkStart w:id="82" w:name="_Hlk66402"/>
            <w:r w:rsidRPr="00070ADE">
              <w:rPr>
                <w:rFonts w:ascii="Times New Roman" w:hAnsi="Times New Roman"/>
                <w:color w:val="000000" w:themeColor="text1"/>
                <w:sz w:val="16"/>
                <w:szCs w:val="16"/>
              </w:rPr>
              <w:t>5.</w:t>
            </w:r>
            <w:bookmarkEnd w:id="82"/>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5E36542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радиатора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5483B0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Трубчатый</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1F0E79D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Трубчатый</w:t>
            </w:r>
          </w:p>
        </w:tc>
      </w:tr>
      <w:tr w:rsidR="004D4663" w:rsidRPr="00070ADE" w14:paraId="6D0E03B3"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0FC5C1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1C653DE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радиаторов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7304FAF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шт.</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211CE87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шт.</w:t>
            </w:r>
          </w:p>
        </w:tc>
      </w:tr>
      <w:tr w:rsidR="004D4663" w:rsidRPr="00070ADE" w14:paraId="5FD2BA2D"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DB0E34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160B574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Расположение радиаторов</w:t>
            </w:r>
          </w:p>
          <w:p w14:paraId="4C204C1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корпусе</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0E1497A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кормовой</w:t>
            </w:r>
          </w:p>
          <w:p w14:paraId="470BA8F4" w14:textId="42117114"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части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кор-</w:t>
            </w:r>
          </w:p>
          <w:p w14:paraId="255D821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пуса.</w:t>
            </w:r>
          </w:p>
        </w:tc>
        <w:tc>
          <w:tcPr>
            <w:tcW w:w="2935" w:type="dxa"/>
            <w:tcBorders>
              <w:top w:val="nil"/>
              <w:left w:val="nil"/>
              <w:bottom w:val="nil"/>
              <w:right w:val="single" w:sz="8" w:space="0" w:color="000000"/>
            </w:tcBorders>
            <w:tcMar>
              <w:top w:w="0" w:type="dxa"/>
              <w:left w:w="108" w:type="dxa"/>
              <w:bottom w:w="0" w:type="dxa"/>
              <w:right w:w="108" w:type="dxa"/>
            </w:tcMar>
            <w:hideMark/>
          </w:tcPr>
          <w:p w14:paraId="0F538F7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моторном</w:t>
            </w:r>
          </w:p>
          <w:p w14:paraId="13B347B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отделении</w:t>
            </w:r>
          </w:p>
        </w:tc>
      </w:tr>
      <w:tr w:rsidR="004D4663" w:rsidRPr="00070ADE" w14:paraId="241DCF83"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23D3ED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72A1A16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Поверхность охлаждения</w:t>
            </w:r>
          </w:p>
          <w:p w14:paraId="3DBA466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радиатора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2E2B069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 м²</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43A8219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107,36 м²</w:t>
            </w:r>
          </w:p>
        </w:tc>
      </w:tr>
      <w:tr w:rsidR="004D4663" w:rsidRPr="00070ADE" w14:paraId="670E96F5"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6AEA1C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tc>
        <w:tc>
          <w:tcPr>
            <w:tcW w:w="4252" w:type="dxa"/>
            <w:gridSpan w:val="3"/>
            <w:tcBorders>
              <w:top w:val="nil"/>
              <w:left w:val="nil"/>
              <w:bottom w:val="nil"/>
              <w:right w:val="single" w:sz="8" w:space="0" w:color="000000"/>
            </w:tcBorders>
            <w:tcMar>
              <w:top w:w="0" w:type="dxa"/>
              <w:left w:w="108" w:type="dxa"/>
              <w:bottom w:w="0" w:type="dxa"/>
              <w:right w:w="108" w:type="dxa"/>
            </w:tcMar>
            <w:vAlign w:val="center"/>
            <w:hideMark/>
          </w:tcPr>
          <w:p w14:paraId="1480B97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вентилятора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2958CFB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Центробеж-</w:t>
            </w:r>
          </w:p>
          <w:p w14:paraId="4F25A17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ный</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71B0CB2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Центробеж-</w:t>
            </w:r>
          </w:p>
          <w:p w14:paraId="266E0DA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ный</w:t>
            </w:r>
          </w:p>
        </w:tc>
      </w:tr>
      <w:tr w:rsidR="004D4663" w:rsidRPr="00070ADE" w14:paraId="00287913"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5C2264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443FDA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Расположение вентилятора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6F67243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кормовой</w:t>
            </w:r>
          </w:p>
          <w:p w14:paraId="62E6556F" w14:textId="5A5AFDA4"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части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корпу-</w:t>
            </w:r>
          </w:p>
          <w:p w14:paraId="3968675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w:t>
            </w:r>
          </w:p>
        </w:tc>
        <w:tc>
          <w:tcPr>
            <w:tcW w:w="2935" w:type="dxa"/>
            <w:tcBorders>
              <w:top w:val="nil"/>
              <w:left w:val="nil"/>
              <w:bottom w:val="nil"/>
              <w:right w:val="single" w:sz="8" w:space="0" w:color="000000"/>
            </w:tcBorders>
            <w:tcMar>
              <w:top w:w="0" w:type="dxa"/>
              <w:left w:w="108" w:type="dxa"/>
              <w:bottom w:w="0" w:type="dxa"/>
              <w:right w:w="108" w:type="dxa"/>
            </w:tcMar>
            <w:hideMark/>
          </w:tcPr>
          <w:p w14:paraId="7551D45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моторном</w:t>
            </w:r>
          </w:p>
          <w:p w14:paraId="5F4BF5F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отделении.</w:t>
            </w:r>
          </w:p>
        </w:tc>
      </w:tr>
      <w:tr w:rsidR="004D4663" w:rsidRPr="00070ADE" w14:paraId="4CF5F194"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BB98E0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88B020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привода вентилятора</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57DAB4F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Системой</w:t>
            </w:r>
          </w:p>
          <w:p w14:paraId="7C5C63E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шестерен и</w:t>
            </w:r>
          </w:p>
          <w:p w14:paraId="7F728E4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карданным</w:t>
            </w:r>
          </w:p>
          <w:p w14:paraId="68C849E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валом, от</w:t>
            </w:r>
          </w:p>
          <w:p w14:paraId="66C8DBB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гитары с</w:t>
            </w:r>
          </w:p>
          <w:p w14:paraId="42A2EF4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передаточ-</w:t>
            </w:r>
          </w:p>
          <w:p w14:paraId="7FC235CE" w14:textId="69F457D2"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ным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числом</w:t>
            </w:r>
          </w:p>
          <w:p w14:paraId="589716D2" w14:textId="1116A6DD"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двигате-</w:t>
            </w:r>
          </w:p>
          <w:p w14:paraId="3753613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ля =1,193.</w:t>
            </w:r>
          </w:p>
        </w:tc>
        <w:tc>
          <w:tcPr>
            <w:tcW w:w="2935" w:type="dxa"/>
            <w:tcBorders>
              <w:top w:val="nil"/>
              <w:left w:val="nil"/>
              <w:bottom w:val="nil"/>
              <w:right w:val="single" w:sz="8" w:space="0" w:color="000000"/>
            </w:tcBorders>
            <w:tcMar>
              <w:top w:w="0" w:type="dxa"/>
              <w:left w:w="108" w:type="dxa"/>
              <w:bottom w:w="0" w:type="dxa"/>
              <w:right w:w="108" w:type="dxa"/>
            </w:tcMar>
            <w:hideMark/>
          </w:tcPr>
          <w:p w14:paraId="14C5362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Вентилятор</w:t>
            </w:r>
          </w:p>
          <w:p w14:paraId="6CBC22D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w:t>
            </w:r>
          </w:p>
          <w:p w14:paraId="0892027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непосредст-</w:t>
            </w:r>
          </w:p>
          <w:p w14:paraId="6475D0C5" w14:textId="46E5F998"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венно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на</w:t>
            </w:r>
          </w:p>
          <w:p w14:paraId="16D6F63A" w14:textId="7DDB71A2"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носке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двига-</w:t>
            </w:r>
          </w:p>
          <w:p w14:paraId="4FB0CEA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теля.</w:t>
            </w:r>
          </w:p>
        </w:tc>
      </w:tr>
      <w:tr w:rsidR="004D4663" w:rsidRPr="00070ADE" w14:paraId="3731C0C6" w14:textId="77777777" w:rsidTr="008053EA">
        <w:trPr>
          <w:trHeight w:val="736"/>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241AB16" w14:textId="7DF9D589" w:rsidR="00811C95" w:rsidRPr="00070ADE" w:rsidRDefault="00C63BA9" w:rsidP="00B56F9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lastRenderedPageBreak/>
              <w:t xml:space="preserve"> </w:t>
            </w:r>
          </w:p>
        </w:tc>
        <w:tc>
          <w:tcPr>
            <w:tcW w:w="10023" w:type="dxa"/>
            <w:gridSpan w:val="5"/>
            <w:tcBorders>
              <w:top w:val="nil"/>
              <w:left w:val="nil"/>
              <w:bottom w:val="nil"/>
              <w:right w:val="single" w:sz="8" w:space="0" w:color="000000"/>
            </w:tcBorders>
            <w:tcMar>
              <w:top w:w="0" w:type="dxa"/>
              <w:left w:w="108" w:type="dxa"/>
              <w:bottom w:w="0" w:type="dxa"/>
              <w:right w:w="108" w:type="dxa"/>
            </w:tcMar>
            <w:vAlign w:val="center"/>
            <w:hideMark/>
          </w:tcPr>
          <w:p w14:paraId="7C4D292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bookmarkStart w:id="83" w:name="OLE_LINK183"/>
            <w:bookmarkStart w:id="84" w:name="OLE_LINK182"/>
            <w:bookmarkEnd w:id="83"/>
            <w:bookmarkEnd w:id="84"/>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ТОРМОЗЫ.</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И</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ФРИКЦИОНЫ</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БОРТОВЫЕ</w:t>
            </w:r>
          </w:p>
        </w:tc>
      </w:tr>
      <w:tr w:rsidR="004D4663" w:rsidRPr="00070ADE" w14:paraId="697C66B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ABD378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80840D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Расположение</w:t>
            </w:r>
          </w:p>
        </w:tc>
        <w:tc>
          <w:tcPr>
            <w:tcW w:w="2836" w:type="dxa"/>
            <w:tcBorders>
              <w:top w:val="nil"/>
              <w:left w:val="nil"/>
              <w:bottom w:val="nil"/>
              <w:right w:val="single" w:sz="8" w:space="0" w:color="000000"/>
            </w:tcBorders>
            <w:tcMar>
              <w:top w:w="0" w:type="dxa"/>
              <w:left w:w="108" w:type="dxa"/>
              <w:bottom w:w="0" w:type="dxa"/>
              <w:right w:w="108" w:type="dxa"/>
            </w:tcMar>
            <w:hideMark/>
          </w:tcPr>
          <w:p w14:paraId="0FAB2E5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хвостовике</w:t>
            </w:r>
          </w:p>
          <w:p w14:paraId="351CF9EC" w14:textId="242CFD4A"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ведущей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шес-</w:t>
            </w:r>
          </w:p>
          <w:p w14:paraId="33ACAF6C" w14:textId="6020B0B1"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терни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борто-</w:t>
            </w:r>
          </w:p>
          <w:p w14:paraId="02D2902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 передачи.</w:t>
            </w:r>
          </w:p>
        </w:tc>
        <w:tc>
          <w:tcPr>
            <w:tcW w:w="2935" w:type="dxa"/>
            <w:tcBorders>
              <w:top w:val="nil"/>
              <w:left w:val="nil"/>
              <w:bottom w:val="nil"/>
              <w:right w:val="single" w:sz="8" w:space="0" w:color="000000"/>
            </w:tcBorders>
            <w:tcMar>
              <w:top w:w="0" w:type="dxa"/>
              <w:left w:w="108" w:type="dxa"/>
              <w:bottom w:w="0" w:type="dxa"/>
              <w:right w:w="108" w:type="dxa"/>
            </w:tcMar>
            <w:hideMark/>
          </w:tcPr>
          <w:p w14:paraId="62F14B2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главном</w:t>
            </w:r>
          </w:p>
          <w:p w14:paraId="5DDC5A2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валу КПП.</w:t>
            </w:r>
          </w:p>
        </w:tc>
      </w:tr>
      <w:tr w:rsidR="004D4663" w:rsidRPr="00070ADE" w14:paraId="5A5E4EE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47E13D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3CBD4E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w:t>
            </w:r>
          </w:p>
        </w:tc>
        <w:tc>
          <w:tcPr>
            <w:tcW w:w="2836" w:type="dxa"/>
            <w:tcBorders>
              <w:top w:val="nil"/>
              <w:left w:val="nil"/>
              <w:bottom w:val="nil"/>
              <w:right w:val="single" w:sz="8" w:space="0" w:color="000000"/>
            </w:tcBorders>
            <w:tcMar>
              <w:top w:w="0" w:type="dxa"/>
              <w:left w:w="108" w:type="dxa"/>
              <w:bottom w:w="0" w:type="dxa"/>
              <w:right w:w="108" w:type="dxa"/>
            </w:tcMar>
            <w:hideMark/>
          </w:tcPr>
          <w:p w14:paraId="4DB38BC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Многодисковый</w:t>
            </w:r>
          </w:p>
          <w:p w14:paraId="7C06B77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сухой</w:t>
            </w:r>
          </w:p>
        </w:tc>
        <w:tc>
          <w:tcPr>
            <w:tcW w:w="2935" w:type="dxa"/>
            <w:tcBorders>
              <w:top w:val="nil"/>
              <w:left w:val="nil"/>
              <w:bottom w:val="nil"/>
              <w:right w:val="single" w:sz="8" w:space="0" w:color="000000"/>
            </w:tcBorders>
            <w:tcMar>
              <w:top w:w="0" w:type="dxa"/>
              <w:left w:w="108" w:type="dxa"/>
              <w:bottom w:w="0" w:type="dxa"/>
              <w:right w:w="108" w:type="dxa"/>
            </w:tcMar>
            <w:hideMark/>
          </w:tcPr>
          <w:p w14:paraId="28B976C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Многодиско-</w:t>
            </w:r>
          </w:p>
          <w:p w14:paraId="6E0F41D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вый сухой.</w:t>
            </w:r>
          </w:p>
        </w:tc>
      </w:tr>
      <w:tr w:rsidR="004D4663" w:rsidRPr="00070ADE" w14:paraId="6AC56B0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F06579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15C6F3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Материал трущихся</w:t>
            </w:r>
          </w:p>
          <w:p w14:paraId="32226B2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поверхностей</w:t>
            </w:r>
          </w:p>
        </w:tc>
        <w:tc>
          <w:tcPr>
            <w:tcW w:w="2836" w:type="dxa"/>
            <w:tcBorders>
              <w:top w:val="nil"/>
              <w:left w:val="nil"/>
              <w:bottom w:val="nil"/>
              <w:right w:val="single" w:sz="8" w:space="0" w:color="000000"/>
            </w:tcBorders>
            <w:tcMar>
              <w:top w:w="0" w:type="dxa"/>
              <w:left w:w="108" w:type="dxa"/>
              <w:bottom w:w="0" w:type="dxa"/>
              <w:right w:w="108" w:type="dxa"/>
            </w:tcMar>
            <w:hideMark/>
          </w:tcPr>
          <w:p w14:paraId="6D76053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Сталь по стали</w:t>
            </w:r>
          </w:p>
        </w:tc>
        <w:tc>
          <w:tcPr>
            <w:tcW w:w="2935" w:type="dxa"/>
            <w:tcBorders>
              <w:top w:val="nil"/>
              <w:left w:val="nil"/>
              <w:bottom w:val="nil"/>
              <w:right w:val="single" w:sz="8" w:space="0" w:color="000000"/>
            </w:tcBorders>
            <w:tcMar>
              <w:top w:w="0" w:type="dxa"/>
              <w:left w:w="108" w:type="dxa"/>
              <w:bottom w:w="0" w:type="dxa"/>
              <w:right w:w="108" w:type="dxa"/>
            </w:tcMar>
            <w:hideMark/>
          </w:tcPr>
          <w:p w14:paraId="63B322D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Сталь по</w:t>
            </w:r>
          </w:p>
          <w:p w14:paraId="6A4B6DE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стали.</w:t>
            </w:r>
          </w:p>
        </w:tc>
      </w:tr>
      <w:tr w:rsidR="004D4663" w:rsidRPr="00070ADE" w14:paraId="22D4095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2A6BE8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41E8580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ведущих</w:t>
            </w:r>
          </w:p>
          <w:p w14:paraId="0985B83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дисков</w:t>
            </w:r>
          </w:p>
        </w:tc>
        <w:tc>
          <w:tcPr>
            <w:tcW w:w="2836" w:type="dxa"/>
            <w:tcBorders>
              <w:top w:val="nil"/>
              <w:left w:val="nil"/>
              <w:bottom w:val="nil"/>
              <w:right w:val="single" w:sz="8" w:space="0" w:color="000000"/>
            </w:tcBorders>
            <w:tcMar>
              <w:top w:w="0" w:type="dxa"/>
              <w:left w:w="108" w:type="dxa"/>
              <w:bottom w:w="0" w:type="dxa"/>
              <w:right w:w="108" w:type="dxa"/>
            </w:tcMar>
            <w:hideMark/>
          </w:tcPr>
          <w:p w14:paraId="69FA0919" w14:textId="3BF549DB" w:rsidR="00811C95" w:rsidRPr="00070ADE" w:rsidRDefault="00811C95" w:rsidP="00B56F90">
            <w:pPr>
              <w:spacing w:after="0" w:line="240" w:lineRule="auto"/>
              <w:jc w:val="both"/>
              <w:rPr>
                <w:rFonts w:ascii="Times New Roman" w:hAnsi="Times New Roman"/>
                <w:color w:val="000000" w:themeColor="text1"/>
                <w:sz w:val="16"/>
                <w:szCs w:val="16"/>
              </w:rPr>
            </w:pPr>
            <w:bookmarkStart w:id="85" w:name="OLE_LINK185"/>
            <w:bookmarkStart w:id="86" w:name="OLE_LINK184"/>
            <w:bookmarkEnd w:id="85"/>
            <w:bookmarkEnd w:id="86"/>
            <w:r w:rsidRPr="00070ADE">
              <w:rPr>
                <w:rFonts w:ascii="Times New Roman" w:hAnsi="Times New Roman"/>
                <w:color w:val="000000" w:themeColor="text1"/>
                <w:sz w:val="16"/>
                <w:szCs w:val="16"/>
              </w:rPr>
              <w:t>14÷17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шт</w:t>
            </w:r>
          </w:p>
          <w:p w14:paraId="383BF77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зависимости</w:t>
            </w:r>
          </w:p>
          <w:p w14:paraId="6F91AC4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толщины.</w:t>
            </w:r>
          </w:p>
        </w:tc>
        <w:tc>
          <w:tcPr>
            <w:tcW w:w="2935" w:type="dxa"/>
            <w:tcBorders>
              <w:top w:val="nil"/>
              <w:left w:val="nil"/>
              <w:bottom w:val="nil"/>
              <w:right w:val="single" w:sz="8" w:space="0" w:color="000000"/>
            </w:tcBorders>
            <w:tcMar>
              <w:top w:w="0" w:type="dxa"/>
              <w:left w:w="108" w:type="dxa"/>
              <w:bottom w:w="0" w:type="dxa"/>
              <w:right w:w="108" w:type="dxa"/>
            </w:tcMar>
            <w:hideMark/>
          </w:tcPr>
          <w:p w14:paraId="428C13E3" w14:textId="6112676F" w:rsidR="00811C95" w:rsidRPr="00070ADE" w:rsidRDefault="00811C95" w:rsidP="00B56F90">
            <w:pPr>
              <w:spacing w:after="0" w:line="240" w:lineRule="auto"/>
              <w:jc w:val="both"/>
              <w:rPr>
                <w:rFonts w:ascii="Times New Roman" w:hAnsi="Times New Roman"/>
                <w:color w:val="000000" w:themeColor="text1"/>
                <w:sz w:val="16"/>
                <w:szCs w:val="16"/>
              </w:rPr>
            </w:pPr>
            <w:bookmarkStart w:id="87" w:name="OLE_LINK187"/>
            <w:bookmarkStart w:id="88" w:name="OLE_LINK186"/>
            <w:bookmarkEnd w:id="87"/>
            <w:bookmarkEnd w:id="88"/>
            <w:r w:rsidRPr="00070ADE">
              <w:rPr>
                <w:rFonts w:ascii="Times New Roman" w:hAnsi="Times New Roman"/>
                <w:color w:val="000000" w:themeColor="text1"/>
                <w:sz w:val="16"/>
                <w:szCs w:val="16"/>
              </w:rPr>
              <w:t>17÷21</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шт</w:t>
            </w:r>
          </w:p>
          <w:p w14:paraId="12E3C681" w14:textId="007D5095"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зависимос-</w:t>
            </w:r>
          </w:p>
          <w:p w14:paraId="474310F0" w14:textId="406CA635"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от толщи-</w:t>
            </w:r>
          </w:p>
          <w:p w14:paraId="72EDAB5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ны.</w:t>
            </w:r>
          </w:p>
        </w:tc>
      </w:tr>
      <w:tr w:rsidR="004D4663" w:rsidRPr="00070ADE" w14:paraId="095141F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B783B4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E8714B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ведомых</w:t>
            </w:r>
          </w:p>
          <w:p w14:paraId="6F32AF5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дисков</w:t>
            </w:r>
          </w:p>
        </w:tc>
        <w:tc>
          <w:tcPr>
            <w:tcW w:w="2836" w:type="dxa"/>
            <w:tcBorders>
              <w:top w:val="nil"/>
              <w:left w:val="nil"/>
              <w:bottom w:val="nil"/>
              <w:right w:val="single" w:sz="8" w:space="0" w:color="000000"/>
            </w:tcBorders>
            <w:tcMar>
              <w:top w:w="0" w:type="dxa"/>
              <w:left w:w="108" w:type="dxa"/>
              <w:bottom w:w="0" w:type="dxa"/>
              <w:right w:w="108" w:type="dxa"/>
            </w:tcMar>
            <w:hideMark/>
          </w:tcPr>
          <w:p w14:paraId="067D3D94" w14:textId="2B8E770F"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bookmarkStart w:id="89" w:name="OLE_LINK188"/>
            <w:r w:rsidRPr="00070ADE">
              <w:rPr>
                <w:rFonts w:ascii="Times New Roman" w:hAnsi="Times New Roman"/>
                <w:color w:val="000000" w:themeColor="text1"/>
                <w:sz w:val="16"/>
                <w:szCs w:val="16"/>
              </w:rPr>
              <w:t>÷</w:t>
            </w:r>
            <w:bookmarkEnd w:id="89"/>
            <w:r w:rsidRPr="00070ADE">
              <w:rPr>
                <w:rFonts w:ascii="Times New Roman" w:hAnsi="Times New Roman"/>
                <w:color w:val="000000" w:themeColor="text1"/>
                <w:sz w:val="16"/>
                <w:szCs w:val="16"/>
              </w:rPr>
              <w:t>16</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шт</w:t>
            </w:r>
          </w:p>
          <w:p w14:paraId="0DB0073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зависимости</w:t>
            </w:r>
          </w:p>
          <w:p w14:paraId="3512C35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толщины.</w:t>
            </w:r>
          </w:p>
        </w:tc>
        <w:tc>
          <w:tcPr>
            <w:tcW w:w="2935" w:type="dxa"/>
            <w:tcBorders>
              <w:top w:val="nil"/>
              <w:left w:val="nil"/>
              <w:bottom w:val="nil"/>
              <w:right w:val="single" w:sz="8" w:space="0" w:color="000000"/>
            </w:tcBorders>
            <w:tcMar>
              <w:top w:w="0" w:type="dxa"/>
              <w:left w:w="108" w:type="dxa"/>
              <w:bottom w:w="0" w:type="dxa"/>
              <w:right w:w="108" w:type="dxa"/>
            </w:tcMar>
            <w:hideMark/>
          </w:tcPr>
          <w:p w14:paraId="2BDDD1E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18÷22 шт.</w:t>
            </w:r>
          </w:p>
          <w:p w14:paraId="77CB56B3" w14:textId="54F823F6"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зависимос-</w:t>
            </w:r>
          </w:p>
          <w:p w14:paraId="4EC9F68E" w14:textId="6573FC58"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от толщи-</w:t>
            </w:r>
          </w:p>
          <w:p w14:paraId="3504843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ны.</w:t>
            </w:r>
          </w:p>
        </w:tc>
      </w:tr>
      <w:tr w:rsidR="004D4663" w:rsidRPr="00070ADE" w14:paraId="559D13C6"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D5D8B76" w14:textId="77777777" w:rsidR="00811C95" w:rsidRPr="00070ADE" w:rsidRDefault="00811C95" w:rsidP="00B56F90">
            <w:pPr>
              <w:spacing w:after="0" w:line="240" w:lineRule="auto"/>
              <w:jc w:val="both"/>
              <w:rPr>
                <w:rFonts w:ascii="Times New Roman" w:hAnsi="Times New Roman"/>
                <w:color w:val="000000" w:themeColor="text1"/>
                <w:sz w:val="16"/>
                <w:szCs w:val="16"/>
              </w:rPr>
            </w:pPr>
            <w:bookmarkStart w:id="90" w:name="_Hlk86396"/>
            <w:r w:rsidRPr="00070ADE">
              <w:rPr>
                <w:rFonts w:ascii="Times New Roman" w:hAnsi="Times New Roman"/>
                <w:color w:val="000000" w:themeColor="text1"/>
                <w:sz w:val="16"/>
                <w:szCs w:val="16"/>
              </w:rPr>
              <w:t>6.</w:t>
            </w:r>
            <w:bookmarkEnd w:id="90"/>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58BBEDB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Толщина диска</w:t>
            </w:r>
          </w:p>
        </w:tc>
        <w:tc>
          <w:tcPr>
            <w:tcW w:w="2836" w:type="dxa"/>
            <w:tcBorders>
              <w:top w:val="nil"/>
              <w:left w:val="nil"/>
              <w:bottom w:val="nil"/>
              <w:right w:val="single" w:sz="8" w:space="0" w:color="000000"/>
            </w:tcBorders>
            <w:tcMar>
              <w:top w:w="0" w:type="dxa"/>
              <w:left w:w="108" w:type="dxa"/>
              <w:bottom w:w="0" w:type="dxa"/>
              <w:right w:w="108" w:type="dxa"/>
            </w:tcMar>
            <w:hideMark/>
          </w:tcPr>
          <w:p w14:paraId="3C9B094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 ÷ 4,0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22C0B2E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 ÷ 4,0 мм</w:t>
            </w:r>
          </w:p>
        </w:tc>
      </w:tr>
      <w:tr w:rsidR="004D4663" w:rsidRPr="00070ADE" w14:paraId="75CDD968"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60C7F6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2881530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пружин</w:t>
            </w:r>
          </w:p>
        </w:tc>
        <w:tc>
          <w:tcPr>
            <w:tcW w:w="2836" w:type="dxa"/>
            <w:tcBorders>
              <w:top w:val="nil"/>
              <w:left w:val="nil"/>
              <w:bottom w:val="nil"/>
              <w:right w:val="single" w:sz="8" w:space="0" w:color="000000"/>
            </w:tcBorders>
            <w:tcMar>
              <w:top w:w="0" w:type="dxa"/>
              <w:left w:w="108" w:type="dxa"/>
              <w:bottom w:w="0" w:type="dxa"/>
              <w:right w:w="108" w:type="dxa"/>
            </w:tcMar>
            <w:hideMark/>
          </w:tcPr>
          <w:p w14:paraId="045B635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шт.</w:t>
            </w:r>
          </w:p>
        </w:tc>
        <w:tc>
          <w:tcPr>
            <w:tcW w:w="2935" w:type="dxa"/>
            <w:tcBorders>
              <w:top w:val="nil"/>
              <w:left w:val="nil"/>
              <w:bottom w:val="nil"/>
              <w:right w:val="single" w:sz="8" w:space="0" w:color="000000"/>
            </w:tcBorders>
            <w:tcMar>
              <w:top w:w="0" w:type="dxa"/>
              <w:left w:w="108" w:type="dxa"/>
              <w:bottom w:w="0" w:type="dxa"/>
              <w:right w:w="108" w:type="dxa"/>
            </w:tcMar>
            <w:hideMark/>
          </w:tcPr>
          <w:p w14:paraId="40FE45F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шт.</w:t>
            </w:r>
          </w:p>
        </w:tc>
      </w:tr>
      <w:tr w:rsidR="004D4663" w:rsidRPr="00070ADE" w14:paraId="46104D1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51A671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0F19E0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выключения</w:t>
            </w:r>
          </w:p>
        </w:tc>
        <w:tc>
          <w:tcPr>
            <w:tcW w:w="2836" w:type="dxa"/>
            <w:tcBorders>
              <w:top w:val="nil"/>
              <w:left w:val="nil"/>
              <w:bottom w:val="nil"/>
              <w:right w:val="single" w:sz="8" w:space="0" w:color="000000"/>
            </w:tcBorders>
            <w:tcMar>
              <w:top w:w="0" w:type="dxa"/>
              <w:left w:w="108" w:type="dxa"/>
              <w:bottom w:w="0" w:type="dxa"/>
              <w:right w:w="108" w:type="dxa"/>
            </w:tcMar>
            <w:hideMark/>
          </w:tcPr>
          <w:p w14:paraId="2047F65E" w14:textId="1F810773" w:rsidR="00811C95" w:rsidRPr="00070ADE" w:rsidRDefault="00811C95" w:rsidP="00B56F90">
            <w:pPr>
              <w:spacing w:after="0" w:line="240" w:lineRule="auto"/>
              <w:jc w:val="both"/>
              <w:rPr>
                <w:rFonts w:ascii="Times New Roman" w:hAnsi="Times New Roman"/>
                <w:color w:val="000000" w:themeColor="text1"/>
                <w:sz w:val="16"/>
                <w:szCs w:val="16"/>
              </w:rPr>
            </w:pPr>
            <w:bookmarkStart w:id="91" w:name="OLE_LINK192"/>
            <w:bookmarkStart w:id="92" w:name="OLE_LINK191"/>
            <w:bookmarkEnd w:id="91"/>
            <w:bookmarkEnd w:id="92"/>
            <w:r w:rsidRPr="00070ADE">
              <w:rPr>
                <w:rFonts w:ascii="Times New Roman" w:hAnsi="Times New Roman"/>
                <w:color w:val="000000" w:themeColor="text1"/>
                <w:sz w:val="16"/>
                <w:szCs w:val="16"/>
              </w:rPr>
              <w:t>Шариковый,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хра-</w:t>
            </w:r>
          </w:p>
          <w:p w14:paraId="03C331BE" w14:textId="1FE6AA66"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повиковый,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замк-</w:t>
            </w:r>
          </w:p>
          <w:p w14:paraId="7258055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нутый.</w:t>
            </w:r>
          </w:p>
        </w:tc>
        <w:tc>
          <w:tcPr>
            <w:tcW w:w="2935" w:type="dxa"/>
            <w:tcBorders>
              <w:top w:val="nil"/>
              <w:left w:val="nil"/>
              <w:bottom w:val="nil"/>
              <w:right w:val="single" w:sz="8" w:space="0" w:color="000000"/>
            </w:tcBorders>
            <w:tcMar>
              <w:top w:w="0" w:type="dxa"/>
              <w:left w:w="108" w:type="dxa"/>
              <w:bottom w:w="0" w:type="dxa"/>
              <w:right w:w="108" w:type="dxa"/>
            </w:tcMar>
            <w:hideMark/>
          </w:tcPr>
          <w:p w14:paraId="35D1A0BD" w14:textId="492BDAC2"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Шариковый,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храповиковый, замкнутый.</w:t>
            </w:r>
          </w:p>
        </w:tc>
      </w:tr>
      <w:tr w:rsidR="004D4663" w:rsidRPr="00070ADE" w14:paraId="5C04D22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A6A9B2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6CE6C7F" w14:textId="2DF5017E"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Коэфициент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запаса</w:t>
            </w:r>
          </w:p>
          <w:p w14:paraId="18253BC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фрикциона</w:t>
            </w:r>
          </w:p>
        </w:tc>
        <w:tc>
          <w:tcPr>
            <w:tcW w:w="2836" w:type="dxa"/>
            <w:tcBorders>
              <w:top w:val="nil"/>
              <w:left w:val="nil"/>
              <w:bottom w:val="nil"/>
              <w:right w:val="single" w:sz="8" w:space="0" w:color="000000"/>
            </w:tcBorders>
            <w:tcMar>
              <w:top w:w="0" w:type="dxa"/>
              <w:left w:w="108" w:type="dxa"/>
              <w:bottom w:w="0" w:type="dxa"/>
              <w:right w:w="108" w:type="dxa"/>
            </w:tcMar>
            <w:hideMark/>
          </w:tcPr>
          <w:p w14:paraId="6773DE0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0,83</w:t>
            </w:r>
          </w:p>
        </w:tc>
        <w:tc>
          <w:tcPr>
            <w:tcW w:w="2935" w:type="dxa"/>
            <w:tcBorders>
              <w:top w:val="nil"/>
              <w:left w:val="nil"/>
              <w:bottom w:val="nil"/>
              <w:right w:val="single" w:sz="8" w:space="0" w:color="000000"/>
            </w:tcBorders>
            <w:tcMar>
              <w:top w:w="0" w:type="dxa"/>
              <w:left w:w="108" w:type="dxa"/>
              <w:bottom w:w="0" w:type="dxa"/>
              <w:right w:w="108" w:type="dxa"/>
            </w:tcMar>
            <w:hideMark/>
          </w:tcPr>
          <w:p w14:paraId="631948A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0,80</w:t>
            </w:r>
          </w:p>
        </w:tc>
      </w:tr>
      <w:tr w:rsidR="004D4663" w:rsidRPr="00070ADE" w14:paraId="31004CF7"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00032A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2A4523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Удельное давление на</w:t>
            </w:r>
          </w:p>
          <w:p w14:paraId="54F2D32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диски трения в кг/см²</w:t>
            </w:r>
          </w:p>
        </w:tc>
        <w:tc>
          <w:tcPr>
            <w:tcW w:w="2836" w:type="dxa"/>
            <w:tcBorders>
              <w:top w:val="nil"/>
              <w:left w:val="nil"/>
              <w:bottom w:val="nil"/>
              <w:right w:val="single" w:sz="8" w:space="0" w:color="000000"/>
            </w:tcBorders>
            <w:tcMar>
              <w:top w:w="0" w:type="dxa"/>
              <w:left w:w="108" w:type="dxa"/>
              <w:bottom w:w="0" w:type="dxa"/>
              <w:right w:w="108" w:type="dxa"/>
            </w:tcMar>
            <w:vAlign w:val="center"/>
            <w:hideMark/>
          </w:tcPr>
          <w:p w14:paraId="029AA05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0104D23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3,17</w:t>
            </w:r>
          </w:p>
        </w:tc>
      </w:tr>
      <w:tr w:rsidR="004D4663" w:rsidRPr="00070ADE" w14:paraId="2D9372D1"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3955BD0" w14:textId="77777777" w:rsidR="00811C95" w:rsidRPr="00070ADE" w:rsidRDefault="00811C95" w:rsidP="00B56F90">
            <w:pPr>
              <w:spacing w:after="0" w:line="240" w:lineRule="auto"/>
              <w:jc w:val="both"/>
              <w:rPr>
                <w:rFonts w:ascii="Times New Roman" w:hAnsi="Times New Roman"/>
                <w:color w:val="000000" w:themeColor="text1"/>
                <w:sz w:val="16"/>
                <w:szCs w:val="16"/>
              </w:rPr>
            </w:pPr>
            <w:bookmarkStart w:id="93" w:name="_Hlk86527"/>
            <w:r w:rsidRPr="00070ADE">
              <w:rPr>
                <w:rFonts w:ascii="Times New Roman" w:hAnsi="Times New Roman"/>
                <w:color w:val="000000" w:themeColor="text1"/>
                <w:sz w:val="16"/>
                <w:szCs w:val="16"/>
              </w:rPr>
              <w:t>11.</w:t>
            </w:r>
            <w:bookmarkEnd w:id="93"/>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43F0418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тормозов</w:t>
            </w:r>
          </w:p>
        </w:tc>
        <w:tc>
          <w:tcPr>
            <w:tcW w:w="2836" w:type="dxa"/>
            <w:tcBorders>
              <w:top w:val="nil"/>
              <w:left w:val="nil"/>
              <w:bottom w:val="nil"/>
              <w:right w:val="single" w:sz="8" w:space="0" w:color="000000"/>
            </w:tcBorders>
            <w:tcMar>
              <w:top w:w="0" w:type="dxa"/>
              <w:left w:w="108" w:type="dxa"/>
              <w:bottom w:w="0" w:type="dxa"/>
              <w:right w:w="108" w:type="dxa"/>
            </w:tcMar>
            <w:hideMark/>
          </w:tcPr>
          <w:p w14:paraId="730F673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Плавающие -</w:t>
            </w:r>
          </w:p>
          <w:p w14:paraId="30F743C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ленточные с</w:t>
            </w:r>
          </w:p>
          <w:p w14:paraId="18F110E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чугунными</w:t>
            </w:r>
          </w:p>
          <w:p w14:paraId="73212F7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колодками.</w:t>
            </w:r>
          </w:p>
        </w:tc>
        <w:tc>
          <w:tcPr>
            <w:tcW w:w="2935" w:type="dxa"/>
            <w:tcBorders>
              <w:top w:val="nil"/>
              <w:left w:val="nil"/>
              <w:bottom w:val="nil"/>
              <w:right w:val="single" w:sz="8" w:space="0" w:color="000000"/>
            </w:tcBorders>
            <w:tcMar>
              <w:top w:w="0" w:type="dxa"/>
              <w:left w:w="108" w:type="dxa"/>
              <w:bottom w:w="0" w:type="dxa"/>
              <w:right w:w="108" w:type="dxa"/>
            </w:tcMar>
            <w:hideMark/>
          </w:tcPr>
          <w:p w14:paraId="5B2632F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Плавающие -</w:t>
            </w:r>
          </w:p>
          <w:p w14:paraId="637DB54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ленточные с</w:t>
            </w:r>
          </w:p>
          <w:p w14:paraId="68A10BB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чугунными</w:t>
            </w:r>
          </w:p>
          <w:p w14:paraId="054B1C9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колодками.</w:t>
            </w:r>
          </w:p>
        </w:tc>
      </w:tr>
      <w:tr w:rsidR="004D4663" w:rsidRPr="00070ADE" w14:paraId="175C6C5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CA87FB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73937E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Поверхность действия</w:t>
            </w:r>
          </w:p>
          <w:p w14:paraId="29223BE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тормозных лент</w:t>
            </w:r>
          </w:p>
        </w:tc>
        <w:tc>
          <w:tcPr>
            <w:tcW w:w="2836" w:type="dxa"/>
            <w:tcBorders>
              <w:top w:val="nil"/>
              <w:left w:val="nil"/>
              <w:bottom w:val="nil"/>
              <w:right w:val="single" w:sz="8" w:space="0" w:color="000000"/>
            </w:tcBorders>
            <w:tcMar>
              <w:top w:w="0" w:type="dxa"/>
              <w:left w:w="108" w:type="dxa"/>
              <w:bottom w:w="0" w:type="dxa"/>
              <w:right w:w="108" w:type="dxa"/>
            </w:tcMar>
            <w:hideMark/>
          </w:tcPr>
          <w:p w14:paraId="21612CD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Наружные бара-</w:t>
            </w:r>
          </w:p>
          <w:p w14:paraId="2801193B" w14:textId="5FEA2354"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баны</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бортовых</w:t>
            </w:r>
          </w:p>
          <w:p w14:paraId="4D31B4F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фикционов</w:t>
            </w:r>
          </w:p>
        </w:tc>
        <w:tc>
          <w:tcPr>
            <w:tcW w:w="2935" w:type="dxa"/>
            <w:tcBorders>
              <w:top w:val="nil"/>
              <w:left w:val="nil"/>
              <w:bottom w:val="nil"/>
              <w:right w:val="single" w:sz="8" w:space="0" w:color="000000"/>
            </w:tcBorders>
            <w:tcMar>
              <w:top w:w="0" w:type="dxa"/>
              <w:left w:w="108" w:type="dxa"/>
              <w:bottom w:w="0" w:type="dxa"/>
              <w:right w:w="108" w:type="dxa"/>
            </w:tcMar>
            <w:hideMark/>
          </w:tcPr>
          <w:p w14:paraId="06F83AF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Наружные ба-</w:t>
            </w:r>
          </w:p>
          <w:p w14:paraId="7BFB5B17" w14:textId="04454179"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рабаны</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бор-</w:t>
            </w:r>
          </w:p>
          <w:p w14:paraId="74E26C20" w14:textId="027167D4"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товых</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фикцио-</w:t>
            </w:r>
          </w:p>
          <w:p w14:paraId="2D5B01A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w:t>
            </w:r>
          </w:p>
        </w:tc>
      </w:tr>
      <w:tr w:rsidR="004D4663" w:rsidRPr="00070ADE" w14:paraId="77E47A2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FB62B2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AA2BC0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Диаметр тормозного</w:t>
            </w:r>
          </w:p>
          <w:p w14:paraId="701352B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барабана</w:t>
            </w:r>
          </w:p>
        </w:tc>
        <w:tc>
          <w:tcPr>
            <w:tcW w:w="2836" w:type="dxa"/>
            <w:tcBorders>
              <w:top w:val="nil"/>
              <w:left w:val="nil"/>
              <w:bottom w:val="nil"/>
              <w:right w:val="single" w:sz="8" w:space="0" w:color="000000"/>
            </w:tcBorders>
            <w:tcMar>
              <w:top w:w="0" w:type="dxa"/>
              <w:left w:w="108" w:type="dxa"/>
              <w:bottom w:w="0" w:type="dxa"/>
              <w:right w:w="108" w:type="dxa"/>
            </w:tcMar>
            <w:hideMark/>
          </w:tcPr>
          <w:p w14:paraId="30594D5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6CF7C24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 мм</w:t>
            </w:r>
          </w:p>
        </w:tc>
      </w:tr>
      <w:tr w:rsidR="004D4663" w:rsidRPr="00070ADE" w14:paraId="4280B9E5"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32E0C2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894BE4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Ширина ленты</w:t>
            </w:r>
          </w:p>
        </w:tc>
        <w:tc>
          <w:tcPr>
            <w:tcW w:w="2836" w:type="dxa"/>
            <w:tcBorders>
              <w:top w:val="nil"/>
              <w:left w:val="nil"/>
              <w:bottom w:val="nil"/>
              <w:right w:val="single" w:sz="8" w:space="0" w:color="000000"/>
            </w:tcBorders>
            <w:tcMar>
              <w:top w:w="0" w:type="dxa"/>
              <w:left w:w="108" w:type="dxa"/>
              <w:bottom w:w="0" w:type="dxa"/>
              <w:right w:w="108" w:type="dxa"/>
            </w:tcMar>
            <w:hideMark/>
          </w:tcPr>
          <w:p w14:paraId="2D54BE0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2709EAC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 мм</w:t>
            </w:r>
          </w:p>
        </w:tc>
      </w:tr>
      <w:tr w:rsidR="004D4663" w:rsidRPr="00070ADE" w14:paraId="43F95067" w14:textId="77777777" w:rsidTr="008053EA">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5F686BB8" w14:textId="1212201B"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bookmarkStart w:id="94" w:name="OLE_LINK205"/>
            <w:bookmarkStart w:id="95" w:name="OLE_LINK204"/>
            <w:bookmarkEnd w:id="94"/>
            <w:bookmarkEnd w:id="95"/>
            <w:r w:rsidR="00811C95" w:rsidRPr="00070ADE">
              <w:rPr>
                <w:rFonts w:ascii="Times New Roman" w:hAnsi="Times New Roman"/>
                <w:color w:val="000000" w:themeColor="text1"/>
                <w:sz w:val="16"/>
                <w:szCs w:val="16"/>
              </w:rPr>
              <w:t>17.ПЕРЕДАЧИ.</w:t>
            </w:r>
            <w:r w:rsidR="00811C95" w:rsidRPr="00070ADE">
              <w:rPr>
                <w:rFonts w:ascii="Times New Roman" w:hAnsi="Times New Roman"/>
                <w:color w:val="000000" w:themeColor="text1"/>
                <w:sz w:val="16"/>
                <w:szCs w:val="16"/>
              </w:rPr>
              <w:t> </w:t>
            </w:r>
            <w:r w:rsidR="00811C95" w:rsidRPr="00070ADE">
              <w:rPr>
                <w:rFonts w:ascii="Times New Roman" w:hAnsi="Times New Roman"/>
                <w:color w:val="000000" w:themeColor="text1"/>
                <w:sz w:val="16"/>
                <w:szCs w:val="16"/>
              </w:rPr>
              <w:t>БОРТОВЫЕ</w:t>
            </w:r>
            <w:r w:rsidR="00811C95" w:rsidRPr="00070ADE">
              <w:rPr>
                <w:rFonts w:ascii="Times New Roman" w:hAnsi="Times New Roman"/>
                <w:color w:val="000000" w:themeColor="text1"/>
                <w:sz w:val="16"/>
                <w:szCs w:val="16"/>
              </w:rPr>
              <w:t> </w:t>
            </w:r>
          </w:p>
        </w:tc>
      </w:tr>
      <w:tr w:rsidR="004D4663" w:rsidRPr="00070ADE" w14:paraId="31A762F3"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E8E621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4229" w:type="dxa"/>
            <w:tcBorders>
              <w:top w:val="nil"/>
              <w:left w:val="nil"/>
              <w:bottom w:val="nil"/>
              <w:right w:val="single" w:sz="8" w:space="0" w:color="000000"/>
            </w:tcBorders>
            <w:tcMar>
              <w:top w:w="0" w:type="dxa"/>
              <w:left w:w="108" w:type="dxa"/>
              <w:bottom w:w="0" w:type="dxa"/>
              <w:right w:w="108" w:type="dxa"/>
            </w:tcMar>
            <w:hideMark/>
          </w:tcPr>
          <w:p w14:paraId="47563B63" w14:textId="77777777" w:rsidR="00811C95" w:rsidRPr="00070ADE" w:rsidRDefault="00811C95" w:rsidP="00B56F90">
            <w:pPr>
              <w:spacing w:after="0" w:line="240" w:lineRule="auto"/>
              <w:jc w:val="both"/>
              <w:rPr>
                <w:rFonts w:ascii="Times New Roman" w:hAnsi="Times New Roman"/>
                <w:color w:val="000000" w:themeColor="text1"/>
                <w:sz w:val="16"/>
                <w:szCs w:val="16"/>
              </w:rPr>
            </w:pPr>
            <w:bookmarkStart w:id="96" w:name="OLE_LINK221"/>
            <w:bookmarkStart w:id="97" w:name="OLE_LINK220"/>
            <w:bookmarkEnd w:id="96"/>
            <w:bookmarkEnd w:id="97"/>
            <w:r w:rsidRPr="00070ADE">
              <w:rPr>
                <w:rFonts w:ascii="Times New Roman" w:hAnsi="Times New Roman"/>
                <w:color w:val="000000" w:themeColor="text1"/>
                <w:sz w:val="16"/>
                <w:szCs w:val="16"/>
              </w:rPr>
              <w:t>Тип</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52312ACB" w14:textId="77777777" w:rsidR="00811C95" w:rsidRPr="00070ADE" w:rsidRDefault="00811C95" w:rsidP="00B56F90">
            <w:pPr>
              <w:spacing w:after="0" w:line="240" w:lineRule="auto"/>
              <w:jc w:val="both"/>
              <w:rPr>
                <w:rFonts w:ascii="Times New Roman" w:hAnsi="Times New Roman"/>
                <w:color w:val="000000" w:themeColor="text1"/>
                <w:sz w:val="16"/>
                <w:szCs w:val="16"/>
              </w:rPr>
            </w:pPr>
            <w:bookmarkStart w:id="98" w:name="OLE_LINK200"/>
            <w:bookmarkStart w:id="99" w:name="OLE_LINK199"/>
            <w:bookmarkEnd w:id="98"/>
            <w:bookmarkEnd w:id="99"/>
            <w:r w:rsidRPr="00070ADE">
              <w:rPr>
                <w:rFonts w:ascii="Times New Roman" w:hAnsi="Times New Roman"/>
                <w:color w:val="000000" w:themeColor="text1"/>
                <w:sz w:val="16"/>
                <w:szCs w:val="16"/>
              </w:rPr>
              <w:t>Одноступенча-</w:t>
            </w:r>
          </w:p>
          <w:p w14:paraId="434381D1" w14:textId="5E59A594"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тый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понижаю-</w:t>
            </w:r>
          </w:p>
          <w:p w14:paraId="0FD80120" w14:textId="09E42F6C"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щий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редуктор</w:t>
            </w:r>
          </w:p>
        </w:tc>
        <w:tc>
          <w:tcPr>
            <w:tcW w:w="2935" w:type="dxa"/>
            <w:tcBorders>
              <w:top w:val="nil"/>
              <w:left w:val="nil"/>
              <w:bottom w:val="nil"/>
              <w:right w:val="single" w:sz="8" w:space="0" w:color="000000"/>
            </w:tcBorders>
            <w:tcMar>
              <w:top w:w="0" w:type="dxa"/>
              <w:left w:w="108" w:type="dxa"/>
              <w:bottom w:w="0" w:type="dxa"/>
              <w:right w:w="108" w:type="dxa"/>
            </w:tcMar>
            <w:hideMark/>
          </w:tcPr>
          <w:p w14:paraId="6CAFE61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Одноступенча-</w:t>
            </w:r>
          </w:p>
          <w:p w14:paraId="3319F1EB" w14:textId="0986FEDF"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тый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понижаю-</w:t>
            </w:r>
          </w:p>
          <w:p w14:paraId="056292D3" w14:textId="7A0E7E9F"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щий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редуктор</w:t>
            </w:r>
          </w:p>
        </w:tc>
      </w:tr>
      <w:tr w:rsidR="004D4663" w:rsidRPr="00070ADE" w14:paraId="57D18F6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D8BC3E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4229" w:type="dxa"/>
            <w:tcBorders>
              <w:top w:val="nil"/>
              <w:left w:val="nil"/>
              <w:bottom w:val="nil"/>
              <w:right w:val="single" w:sz="8" w:space="0" w:color="000000"/>
            </w:tcBorders>
            <w:tcMar>
              <w:top w:w="0" w:type="dxa"/>
              <w:left w:w="108" w:type="dxa"/>
              <w:bottom w:w="0" w:type="dxa"/>
              <w:right w:w="108" w:type="dxa"/>
            </w:tcMar>
            <w:hideMark/>
          </w:tcPr>
          <w:p w14:paraId="75E6E3D5" w14:textId="78FDCDE4"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Передаточное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отноше-</w:t>
            </w:r>
          </w:p>
          <w:p w14:paraId="35BF52B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ние</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07D45B4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7,11</w:t>
            </w:r>
          </w:p>
        </w:tc>
        <w:tc>
          <w:tcPr>
            <w:tcW w:w="2935" w:type="dxa"/>
            <w:tcBorders>
              <w:top w:val="nil"/>
              <w:left w:val="nil"/>
              <w:bottom w:val="nil"/>
              <w:right w:val="single" w:sz="8" w:space="0" w:color="000000"/>
            </w:tcBorders>
            <w:tcMar>
              <w:top w:w="0" w:type="dxa"/>
              <w:left w:w="108" w:type="dxa"/>
              <w:bottom w:w="0" w:type="dxa"/>
              <w:right w:w="108" w:type="dxa"/>
            </w:tcMar>
            <w:hideMark/>
          </w:tcPr>
          <w:p w14:paraId="78BF23E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5,70</w:t>
            </w:r>
          </w:p>
        </w:tc>
      </w:tr>
      <w:tr w:rsidR="004D4663" w:rsidRPr="00070ADE" w14:paraId="16FEC35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D77B36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4229" w:type="dxa"/>
            <w:tcBorders>
              <w:top w:val="nil"/>
              <w:left w:val="nil"/>
              <w:bottom w:val="nil"/>
              <w:right w:val="single" w:sz="8" w:space="0" w:color="000000"/>
            </w:tcBorders>
            <w:tcMar>
              <w:top w:w="0" w:type="dxa"/>
              <w:left w:w="108" w:type="dxa"/>
              <w:bottom w:w="0" w:type="dxa"/>
              <w:right w:w="108" w:type="dxa"/>
            </w:tcMar>
            <w:hideMark/>
          </w:tcPr>
          <w:p w14:paraId="1429F40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смазки</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288344D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Разбрызгива-</w:t>
            </w:r>
          </w:p>
          <w:p w14:paraId="4EF51B4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нием.</w:t>
            </w:r>
          </w:p>
        </w:tc>
        <w:tc>
          <w:tcPr>
            <w:tcW w:w="2935" w:type="dxa"/>
            <w:tcBorders>
              <w:top w:val="nil"/>
              <w:left w:val="nil"/>
              <w:bottom w:val="nil"/>
              <w:right w:val="single" w:sz="8" w:space="0" w:color="000000"/>
            </w:tcBorders>
            <w:tcMar>
              <w:top w:w="0" w:type="dxa"/>
              <w:left w:w="108" w:type="dxa"/>
              <w:bottom w:w="0" w:type="dxa"/>
              <w:right w:w="108" w:type="dxa"/>
            </w:tcMar>
            <w:hideMark/>
          </w:tcPr>
          <w:p w14:paraId="2C24B34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Разбрызгива-нием</w:t>
            </w:r>
          </w:p>
        </w:tc>
      </w:tr>
      <w:tr w:rsidR="004D4663" w:rsidRPr="00070ADE" w14:paraId="784BBD88"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699004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4229" w:type="dxa"/>
            <w:tcBorders>
              <w:top w:val="nil"/>
              <w:left w:val="nil"/>
              <w:bottom w:val="nil"/>
              <w:right w:val="single" w:sz="8" w:space="0" w:color="000000"/>
            </w:tcBorders>
            <w:tcMar>
              <w:top w:w="0" w:type="dxa"/>
              <w:left w:w="108" w:type="dxa"/>
              <w:bottom w:w="0" w:type="dxa"/>
              <w:right w:w="108" w:type="dxa"/>
            </w:tcMar>
            <w:hideMark/>
          </w:tcPr>
          <w:p w14:paraId="76AC808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Сорт смазки (смесь)</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52CC9C7B" w14:textId="4D8DC019" w:rsidR="00811C95" w:rsidRPr="00070ADE" w:rsidRDefault="00811C95" w:rsidP="00B56F90">
            <w:pPr>
              <w:spacing w:after="0" w:line="240" w:lineRule="auto"/>
              <w:jc w:val="both"/>
              <w:rPr>
                <w:rFonts w:ascii="Times New Roman" w:hAnsi="Times New Roman"/>
                <w:color w:val="000000" w:themeColor="text1"/>
                <w:sz w:val="16"/>
                <w:szCs w:val="16"/>
              </w:rPr>
            </w:pPr>
            <w:bookmarkStart w:id="100" w:name="OLE_LINK203"/>
            <w:bookmarkStart w:id="101" w:name="OLE_LINK202"/>
            <w:bookmarkStart w:id="102" w:name="OLE_LINK201"/>
            <w:bookmarkEnd w:id="100"/>
            <w:bookmarkEnd w:id="101"/>
            <w:bookmarkEnd w:id="102"/>
            <w:r w:rsidRPr="00070ADE">
              <w:rPr>
                <w:rFonts w:ascii="Times New Roman" w:hAnsi="Times New Roman"/>
                <w:color w:val="000000" w:themeColor="text1"/>
                <w:sz w:val="16"/>
                <w:szCs w:val="16"/>
              </w:rPr>
              <w:t>Констал.</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- 30%</w:t>
            </w:r>
          </w:p>
          <w:p w14:paraId="0E9BECE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Авиамасло - 70%</w:t>
            </w:r>
          </w:p>
        </w:tc>
        <w:tc>
          <w:tcPr>
            <w:tcW w:w="2935" w:type="dxa"/>
            <w:tcBorders>
              <w:top w:val="nil"/>
              <w:left w:val="nil"/>
              <w:bottom w:val="nil"/>
              <w:right w:val="single" w:sz="8" w:space="0" w:color="000000"/>
            </w:tcBorders>
            <w:tcMar>
              <w:top w:w="0" w:type="dxa"/>
              <w:left w:w="108" w:type="dxa"/>
              <w:bottom w:w="0" w:type="dxa"/>
              <w:right w:w="108" w:type="dxa"/>
            </w:tcMar>
            <w:hideMark/>
          </w:tcPr>
          <w:p w14:paraId="0EDB578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Констал. - 30%</w:t>
            </w:r>
          </w:p>
          <w:p w14:paraId="0FBA473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Авиамасло-70%</w:t>
            </w:r>
          </w:p>
        </w:tc>
      </w:tr>
      <w:tr w:rsidR="004D4663" w:rsidRPr="00070ADE" w14:paraId="3F4F5D86"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CB30A7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4229" w:type="dxa"/>
            <w:tcBorders>
              <w:top w:val="nil"/>
              <w:left w:val="nil"/>
              <w:bottom w:val="nil"/>
              <w:right w:val="single" w:sz="8" w:space="0" w:color="000000"/>
            </w:tcBorders>
            <w:tcMar>
              <w:top w:w="0" w:type="dxa"/>
              <w:left w:w="108" w:type="dxa"/>
              <w:bottom w:w="0" w:type="dxa"/>
              <w:right w:w="108" w:type="dxa"/>
            </w:tcMar>
            <w:hideMark/>
          </w:tcPr>
          <w:p w14:paraId="4BA514A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смазки</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1717197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кг.</w:t>
            </w:r>
          </w:p>
        </w:tc>
        <w:tc>
          <w:tcPr>
            <w:tcW w:w="2935" w:type="dxa"/>
            <w:tcBorders>
              <w:top w:val="nil"/>
              <w:left w:val="nil"/>
              <w:bottom w:val="nil"/>
              <w:right w:val="single" w:sz="8" w:space="0" w:color="000000"/>
            </w:tcBorders>
            <w:tcMar>
              <w:top w:w="0" w:type="dxa"/>
              <w:left w:w="108" w:type="dxa"/>
              <w:bottom w:w="0" w:type="dxa"/>
              <w:right w:w="108" w:type="dxa"/>
            </w:tcMar>
            <w:hideMark/>
          </w:tcPr>
          <w:p w14:paraId="6C381A2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 кг.</w:t>
            </w:r>
          </w:p>
        </w:tc>
      </w:tr>
      <w:tr w:rsidR="004D4663" w:rsidRPr="00070ADE" w14:paraId="073C53D3" w14:textId="77777777" w:rsidTr="008053EA">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62C3A92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18.КОЛЕСА:</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ВЕДУЩИЕ</w:t>
            </w:r>
            <w:r w:rsidRPr="00070ADE">
              <w:rPr>
                <w:rFonts w:ascii="Times New Roman" w:hAnsi="Times New Roman"/>
                <w:color w:val="000000" w:themeColor="text1"/>
                <w:sz w:val="16"/>
                <w:szCs w:val="16"/>
              </w:rPr>
              <w:t> </w:t>
            </w:r>
          </w:p>
        </w:tc>
      </w:tr>
      <w:tr w:rsidR="004D4663" w:rsidRPr="00070ADE" w14:paraId="49920E35"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0686A4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4229" w:type="dxa"/>
            <w:tcBorders>
              <w:top w:val="nil"/>
              <w:left w:val="nil"/>
              <w:bottom w:val="nil"/>
              <w:right w:val="single" w:sz="8" w:space="0" w:color="000000"/>
            </w:tcBorders>
            <w:tcMar>
              <w:top w:w="0" w:type="dxa"/>
              <w:left w:w="108" w:type="dxa"/>
              <w:bottom w:w="0" w:type="dxa"/>
              <w:right w:w="108" w:type="dxa"/>
            </w:tcMar>
            <w:hideMark/>
          </w:tcPr>
          <w:p w14:paraId="30C2924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зацепления</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33721E6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Гребневое с</w:t>
            </w:r>
          </w:p>
          <w:p w14:paraId="3C06591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помощью роли-</w:t>
            </w:r>
          </w:p>
          <w:p w14:paraId="5A94E69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ков.</w:t>
            </w:r>
          </w:p>
        </w:tc>
        <w:tc>
          <w:tcPr>
            <w:tcW w:w="2935" w:type="dxa"/>
            <w:tcBorders>
              <w:top w:val="nil"/>
              <w:left w:val="nil"/>
              <w:bottom w:val="nil"/>
              <w:right w:val="single" w:sz="8" w:space="0" w:color="000000"/>
            </w:tcBorders>
            <w:tcMar>
              <w:top w:w="0" w:type="dxa"/>
              <w:left w:w="108" w:type="dxa"/>
              <w:bottom w:w="0" w:type="dxa"/>
              <w:right w:w="108" w:type="dxa"/>
            </w:tcMar>
            <w:hideMark/>
          </w:tcPr>
          <w:p w14:paraId="1D5E951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Гребневое с</w:t>
            </w:r>
          </w:p>
          <w:p w14:paraId="508A0DE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помощью роли-</w:t>
            </w:r>
          </w:p>
          <w:p w14:paraId="5B438D5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ков.</w:t>
            </w:r>
          </w:p>
        </w:tc>
      </w:tr>
      <w:tr w:rsidR="004D4663" w:rsidRPr="00070ADE" w14:paraId="0140624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337EBA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4229" w:type="dxa"/>
            <w:tcBorders>
              <w:top w:val="nil"/>
              <w:left w:val="nil"/>
              <w:bottom w:val="nil"/>
              <w:right w:val="single" w:sz="8" w:space="0" w:color="000000"/>
            </w:tcBorders>
            <w:tcMar>
              <w:top w:w="0" w:type="dxa"/>
              <w:left w:w="108" w:type="dxa"/>
              <w:bottom w:w="0" w:type="dxa"/>
              <w:right w:w="108" w:type="dxa"/>
            </w:tcMar>
            <w:hideMark/>
          </w:tcPr>
          <w:p w14:paraId="1358752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Расположение</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4393534E" w14:textId="348DA7FB"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шлицах</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ва-</w:t>
            </w:r>
          </w:p>
          <w:p w14:paraId="05EFA4AA" w14:textId="69E6797B"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без пере-</w:t>
            </w:r>
          </w:p>
          <w:p w14:paraId="558CD29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дач.</w:t>
            </w:r>
          </w:p>
        </w:tc>
        <w:tc>
          <w:tcPr>
            <w:tcW w:w="2935" w:type="dxa"/>
            <w:tcBorders>
              <w:top w:val="nil"/>
              <w:left w:val="nil"/>
              <w:bottom w:val="nil"/>
              <w:right w:val="single" w:sz="8" w:space="0" w:color="000000"/>
            </w:tcBorders>
            <w:tcMar>
              <w:top w:w="0" w:type="dxa"/>
              <w:left w:w="108" w:type="dxa"/>
              <w:bottom w:w="0" w:type="dxa"/>
              <w:right w:w="108" w:type="dxa"/>
            </w:tcMar>
            <w:hideMark/>
          </w:tcPr>
          <w:p w14:paraId="1678CE78" w14:textId="305819C1"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шлицах</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ва-</w:t>
            </w:r>
          </w:p>
          <w:p w14:paraId="3395879E" w14:textId="53847114"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без пере-</w:t>
            </w:r>
          </w:p>
          <w:p w14:paraId="0A8090D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дач.</w:t>
            </w:r>
          </w:p>
        </w:tc>
      </w:tr>
      <w:tr w:rsidR="004D4663" w:rsidRPr="00070ADE" w14:paraId="3B921B7C"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E078BD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4229" w:type="dxa"/>
            <w:tcBorders>
              <w:top w:val="nil"/>
              <w:left w:val="nil"/>
              <w:bottom w:val="nil"/>
              <w:right w:val="single" w:sz="8" w:space="0" w:color="000000"/>
            </w:tcBorders>
            <w:tcMar>
              <w:top w:w="0" w:type="dxa"/>
              <w:left w:w="108" w:type="dxa"/>
              <w:bottom w:w="0" w:type="dxa"/>
              <w:right w:w="108" w:type="dxa"/>
            </w:tcMar>
            <w:hideMark/>
          </w:tcPr>
          <w:p w14:paraId="228CCAF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Наружный диаметр</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0E524CF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0660686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634 мм</w:t>
            </w:r>
          </w:p>
        </w:tc>
      </w:tr>
      <w:tr w:rsidR="004D4663" w:rsidRPr="00070ADE" w14:paraId="7DD80FDD"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6F3540F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4229" w:type="dxa"/>
            <w:tcBorders>
              <w:top w:val="nil"/>
              <w:left w:val="nil"/>
              <w:bottom w:val="nil"/>
              <w:right w:val="single" w:sz="8" w:space="0" w:color="000000"/>
            </w:tcBorders>
            <w:tcMar>
              <w:top w:w="0" w:type="dxa"/>
              <w:left w:w="108" w:type="dxa"/>
              <w:bottom w:w="0" w:type="dxa"/>
              <w:right w:w="108" w:type="dxa"/>
            </w:tcMar>
            <w:hideMark/>
          </w:tcPr>
          <w:p w14:paraId="690B49C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роликов</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711B55A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шт.</w:t>
            </w:r>
          </w:p>
        </w:tc>
        <w:tc>
          <w:tcPr>
            <w:tcW w:w="2935" w:type="dxa"/>
            <w:tcBorders>
              <w:top w:val="nil"/>
              <w:left w:val="nil"/>
              <w:bottom w:val="nil"/>
              <w:right w:val="single" w:sz="8" w:space="0" w:color="000000"/>
            </w:tcBorders>
            <w:tcMar>
              <w:top w:w="0" w:type="dxa"/>
              <w:left w:w="108" w:type="dxa"/>
              <w:bottom w:w="0" w:type="dxa"/>
              <w:right w:w="108" w:type="dxa"/>
            </w:tcMar>
            <w:hideMark/>
          </w:tcPr>
          <w:p w14:paraId="40B1BE2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шт.</w:t>
            </w:r>
          </w:p>
        </w:tc>
      </w:tr>
      <w:tr w:rsidR="004D4663" w:rsidRPr="00070ADE" w14:paraId="571C4DF2" w14:textId="77777777" w:rsidTr="008053EA">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64E5989B" w14:textId="752FF76F"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НАПРАВЛЯЮЩЕЕ КОЛЕСО И НАТЯЖНОЙ МЕХАНИЗМ.</w:t>
            </w:r>
          </w:p>
        </w:tc>
      </w:tr>
      <w:tr w:rsidR="004D4663" w:rsidRPr="00070ADE" w14:paraId="73DB340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3E71C5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4229" w:type="dxa"/>
            <w:tcBorders>
              <w:top w:val="nil"/>
              <w:left w:val="nil"/>
              <w:bottom w:val="nil"/>
              <w:right w:val="single" w:sz="8" w:space="0" w:color="000000"/>
            </w:tcBorders>
            <w:tcMar>
              <w:top w:w="0" w:type="dxa"/>
              <w:left w:w="108" w:type="dxa"/>
              <w:bottom w:w="0" w:type="dxa"/>
              <w:right w:w="108" w:type="dxa"/>
            </w:tcMar>
            <w:hideMark/>
          </w:tcPr>
          <w:p w14:paraId="0438521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Обод колеса</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7FB1ED4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Металличес-</w:t>
            </w:r>
          </w:p>
          <w:p w14:paraId="67E8D47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кий</w:t>
            </w:r>
          </w:p>
        </w:tc>
        <w:tc>
          <w:tcPr>
            <w:tcW w:w="2935" w:type="dxa"/>
            <w:tcBorders>
              <w:top w:val="nil"/>
              <w:left w:val="nil"/>
              <w:bottom w:val="nil"/>
              <w:right w:val="single" w:sz="8" w:space="0" w:color="000000"/>
            </w:tcBorders>
            <w:tcMar>
              <w:top w:w="0" w:type="dxa"/>
              <w:left w:w="108" w:type="dxa"/>
              <w:bottom w:w="0" w:type="dxa"/>
              <w:right w:w="108" w:type="dxa"/>
            </w:tcMar>
            <w:hideMark/>
          </w:tcPr>
          <w:p w14:paraId="6A2B0BD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Металличес-</w:t>
            </w:r>
          </w:p>
          <w:p w14:paraId="1071ABD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кий</w:t>
            </w:r>
          </w:p>
        </w:tc>
      </w:tr>
      <w:tr w:rsidR="004D4663" w:rsidRPr="00070ADE" w14:paraId="061CBF85"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B68866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4229" w:type="dxa"/>
            <w:tcBorders>
              <w:top w:val="nil"/>
              <w:left w:val="nil"/>
              <w:bottom w:val="nil"/>
              <w:right w:val="single" w:sz="8" w:space="0" w:color="000000"/>
            </w:tcBorders>
            <w:tcMar>
              <w:top w:w="0" w:type="dxa"/>
              <w:left w:w="108" w:type="dxa"/>
              <w:bottom w:w="0" w:type="dxa"/>
              <w:right w:w="108" w:type="dxa"/>
            </w:tcMar>
            <w:hideMark/>
          </w:tcPr>
          <w:p w14:paraId="33F7FEC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Наружный диаметр</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4BF69D7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4F04CC4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 мм</w:t>
            </w:r>
          </w:p>
        </w:tc>
      </w:tr>
      <w:tr w:rsidR="004D4663" w:rsidRPr="00070ADE" w14:paraId="3887728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7EC05F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4229" w:type="dxa"/>
            <w:tcBorders>
              <w:top w:val="nil"/>
              <w:left w:val="nil"/>
              <w:bottom w:val="nil"/>
              <w:right w:val="single" w:sz="8" w:space="0" w:color="000000"/>
            </w:tcBorders>
            <w:tcMar>
              <w:top w:w="0" w:type="dxa"/>
              <w:left w:w="108" w:type="dxa"/>
              <w:bottom w:w="0" w:type="dxa"/>
              <w:right w:w="108" w:type="dxa"/>
            </w:tcMar>
            <w:hideMark/>
          </w:tcPr>
          <w:p w14:paraId="54AEAF5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Способ поворота криво-</w:t>
            </w:r>
          </w:p>
          <w:p w14:paraId="4C89CD83" w14:textId="0C26618F"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шипа для натяжения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гу-</w:t>
            </w:r>
          </w:p>
          <w:p w14:paraId="5D9DEECF" w14:textId="487B5280"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сеничной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цепи</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0EDF5B5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Червячная пара</w:t>
            </w:r>
          </w:p>
        </w:tc>
        <w:tc>
          <w:tcPr>
            <w:tcW w:w="2935" w:type="dxa"/>
            <w:tcBorders>
              <w:top w:val="nil"/>
              <w:left w:val="nil"/>
              <w:bottom w:val="nil"/>
              <w:right w:val="single" w:sz="8" w:space="0" w:color="000000"/>
            </w:tcBorders>
            <w:tcMar>
              <w:top w:w="0" w:type="dxa"/>
              <w:left w:w="108" w:type="dxa"/>
              <w:bottom w:w="0" w:type="dxa"/>
              <w:right w:w="108" w:type="dxa"/>
            </w:tcMar>
            <w:hideMark/>
          </w:tcPr>
          <w:p w14:paraId="29BFA77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Червячная пара</w:t>
            </w:r>
          </w:p>
        </w:tc>
      </w:tr>
      <w:tr w:rsidR="004D4663" w:rsidRPr="00070ADE" w14:paraId="596EAA43"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F4205D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4229" w:type="dxa"/>
            <w:tcBorders>
              <w:top w:val="nil"/>
              <w:left w:val="nil"/>
              <w:bottom w:val="nil"/>
              <w:right w:val="single" w:sz="8" w:space="0" w:color="000000"/>
            </w:tcBorders>
            <w:tcMar>
              <w:top w:w="0" w:type="dxa"/>
              <w:left w:w="108" w:type="dxa"/>
              <w:bottom w:w="0" w:type="dxa"/>
              <w:right w:w="108" w:type="dxa"/>
            </w:tcMar>
            <w:hideMark/>
          </w:tcPr>
          <w:p w14:paraId="62E66CDB" w14:textId="57DD15B3"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Способ закрепления</w:t>
            </w:r>
            <w:r w:rsidR="00B643A8" w:rsidRPr="00070ADE">
              <w:rPr>
                <w:rFonts w:ascii="Times New Roman" w:hAnsi="Times New Roman"/>
                <w:color w:val="000000" w:themeColor="text1"/>
                <w:sz w:val="16"/>
                <w:szCs w:val="16"/>
              </w:rPr>
              <w:t xml:space="preserve"> </w:t>
            </w:r>
          </w:p>
          <w:p w14:paraId="3CEAFB6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кривошипа на корпусе</w:t>
            </w:r>
          </w:p>
        </w:tc>
        <w:tc>
          <w:tcPr>
            <w:tcW w:w="2859" w:type="dxa"/>
            <w:gridSpan w:val="3"/>
            <w:tcBorders>
              <w:top w:val="nil"/>
              <w:left w:val="nil"/>
              <w:bottom w:val="nil"/>
              <w:right w:val="single" w:sz="8" w:space="0" w:color="000000"/>
            </w:tcBorders>
            <w:tcMar>
              <w:top w:w="0" w:type="dxa"/>
              <w:left w:w="108" w:type="dxa"/>
              <w:bottom w:w="0" w:type="dxa"/>
              <w:right w:w="108" w:type="dxa"/>
            </w:tcMar>
            <w:hideMark/>
          </w:tcPr>
          <w:p w14:paraId="1DBB833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Гайкой сна-</w:t>
            </w:r>
          </w:p>
          <w:p w14:paraId="3DA4FAC4" w14:textId="3FD6858C"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ружи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корпуса</w:t>
            </w:r>
          </w:p>
        </w:tc>
        <w:tc>
          <w:tcPr>
            <w:tcW w:w="2935" w:type="dxa"/>
            <w:tcBorders>
              <w:top w:val="nil"/>
              <w:left w:val="nil"/>
              <w:bottom w:val="nil"/>
              <w:right w:val="single" w:sz="8" w:space="0" w:color="000000"/>
            </w:tcBorders>
            <w:tcMar>
              <w:top w:w="0" w:type="dxa"/>
              <w:left w:w="108" w:type="dxa"/>
              <w:bottom w:w="0" w:type="dxa"/>
              <w:right w:w="108" w:type="dxa"/>
            </w:tcMar>
            <w:hideMark/>
          </w:tcPr>
          <w:p w14:paraId="7D3516B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Гайкой из-</w:t>
            </w:r>
          </w:p>
          <w:p w14:paraId="78B5E27D" w14:textId="3835626E"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нутри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корпу-</w:t>
            </w:r>
          </w:p>
          <w:p w14:paraId="74BEDE9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w:t>
            </w:r>
          </w:p>
        </w:tc>
      </w:tr>
      <w:tr w:rsidR="004D4663" w:rsidRPr="00070ADE" w14:paraId="1B3FF1C3" w14:textId="77777777" w:rsidTr="008053EA">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0586B0F9" w14:textId="789B7E4E"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bookmarkStart w:id="103" w:name="OLE_LINK219"/>
            <w:bookmarkStart w:id="104" w:name="OLE_LINK218"/>
            <w:bookmarkEnd w:id="103"/>
            <w:bookmarkEnd w:id="104"/>
            <w:r w:rsidR="00811C95" w:rsidRPr="00070ADE">
              <w:rPr>
                <w:rFonts w:ascii="Times New Roman" w:hAnsi="Times New Roman"/>
                <w:color w:val="000000" w:themeColor="text1"/>
                <w:sz w:val="16"/>
                <w:szCs w:val="16"/>
              </w:rPr>
              <w:t>20.</w:t>
            </w:r>
            <w:bookmarkStart w:id="105" w:name="OLE_LINK217"/>
            <w:bookmarkStart w:id="106" w:name="OLE_LINK216"/>
            <w:bookmarkEnd w:id="105"/>
            <w:bookmarkEnd w:id="106"/>
            <w:r w:rsidR="00811C95" w:rsidRPr="00070ADE">
              <w:rPr>
                <w:rFonts w:ascii="Times New Roman" w:hAnsi="Times New Roman"/>
                <w:color w:val="000000" w:themeColor="text1"/>
                <w:sz w:val="16"/>
                <w:szCs w:val="16"/>
              </w:rPr>
              <w:t> </w:t>
            </w:r>
            <w:r w:rsidR="00811C95" w:rsidRPr="00070ADE">
              <w:rPr>
                <w:rFonts w:ascii="Times New Roman" w:hAnsi="Times New Roman"/>
                <w:color w:val="000000" w:themeColor="text1"/>
                <w:sz w:val="16"/>
                <w:szCs w:val="16"/>
              </w:rPr>
              <w:t>ПОДВЕСКА:</w:t>
            </w:r>
            <w:r w:rsidR="00811C95" w:rsidRPr="00070ADE">
              <w:rPr>
                <w:rFonts w:ascii="Times New Roman" w:hAnsi="Times New Roman"/>
                <w:color w:val="000000" w:themeColor="text1"/>
                <w:sz w:val="16"/>
                <w:szCs w:val="16"/>
              </w:rPr>
              <w:t> </w:t>
            </w:r>
            <w:r w:rsidR="00811C95" w:rsidRPr="00070ADE">
              <w:rPr>
                <w:rFonts w:ascii="Times New Roman" w:hAnsi="Times New Roman"/>
                <w:color w:val="000000" w:themeColor="text1"/>
                <w:sz w:val="16"/>
                <w:szCs w:val="16"/>
              </w:rPr>
              <w:t>И</w:t>
            </w:r>
            <w:r w:rsidR="00811C95" w:rsidRPr="00070ADE">
              <w:rPr>
                <w:rFonts w:ascii="Times New Roman" w:hAnsi="Times New Roman"/>
                <w:color w:val="000000" w:themeColor="text1"/>
                <w:sz w:val="16"/>
                <w:szCs w:val="16"/>
              </w:rPr>
              <w:t> </w:t>
            </w:r>
            <w:r w:rsidR="00811C95" w:rsidRPr="00070ADE">
              <w:rPr>
                <w:rFonts w:ascii="Times New Roman" w:hAnsi="Times New Roman"/>
                <w:color w:val="000000" w:themeColor="text1"/>
                <w:sz w:val="16"/>
                <w:szCs w:val="16"/>
              </w:rPr>
              <w:t>КАТКИ</w:t>
            </w:r>
            <w:r w:rsidR="00811C95" w:rsidRPr="00070ADE">
              <w:rPr>
                <w:rFonts w:ascii="Times New Roman" w:hAnsi="Times New Roman"/>
                <w:color w:val="000000" w:themeColor="text1"/>
                <w:sz w:val="16"/>
                <w:szCs w:val="16"/>
              </w:rPr>
              <w:t> </w:t>
            </w:r>
            <w:r w:rsidR="00811C95" w:rsidRPr="00070ADE">
              <w:rPr>
                <w:rFonts w:ascii="Times New Roman" w:hAnsi="Times New Roman"/>
                <w:color w:val="000000" w:themeColor="text1"/>
                <w:sz w:val="16"/>
                <w:szCs w:val="16"/>
              </w:rPr>
              <w:t>ОПОРНЫЕ</w:t>
            </w:r>
          </w:p>
        </w:tc>
      </w:tr>
      <w:tr w:rsidR="004D4663" w:rsidRPr="00070ADE" w14:paraId="0ACD2E97"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F2A8D3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1E7987B3" w14:textId="1D1620BA"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p w14:paraId="3757A164" w14:textId="0DADF01D"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 xml:space="preserve"> </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37D7381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Тип катков</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5690B8FB" w14:textId="77777777" w:rsidR="00811C95" w:rsidRPr="00070ADE" w:rsidRDefault="00811C95" w:rsidP="00B56F90">
            <w:pPr>
              <w:spacing w:after="0" w:line="240" w:lineRule="auto"/>
              <w:jc w:val="both"/>
              <w:rPr>
                <w:rFonts w:ascii="Times New Roman" w:hAnsi="Times New Roman"/>
                <w:color w:val="000000" w:themeColor="text1"/>
                <w:sz w:val="16"/>
                <w:szCs w:val="16"/>
              </w:rPr>
            </w:pPr>
            <w:bookmarkStart w:id="107" w:name="OLE_LINK223"/>
            <w:bookmarkStart w:id="108" w:name="OLE_LINK222"/>
            <w:bookmarkEnd w:id="107"/>
            <w:bookmarkEnd w:id="108"/>
            <w:r w:rsidRPr="00070ADE">
              <w:rPr>
                <w:rFonts w:ascii="Times New Roman" w:hAnsi="Times New Roman"/>
                <w:color w:val="000000" w:themeColor="text1"/>
                <w:sz w:val="16"/>
                <w:szCs w:val="16"/>
              </w:rPr>
              <w:t>С наружной</w:t>
            </w:r>
          </w:p>
          <w:p w14:paraId="0915461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амортизаций</w:t>
            </w:r>
          </w:p>
        </w:tc>
        <w:tc>
          <w:tcPr>
            <w:tcW w:w="2935" w:type="dxa"/>
            <w:tcBorders>
              <w:top w:val="nil"/>
              <w:left w:val="nil"/>
              <w:bottom w:val="nil"/>
              <w:right w:val="single" w:sz="8" w:space="0" w:color="000000"/>
            </w:tcBorders>
            <w:tcMar>
              <w:top w:w="0" w:type="dxa"/>
              <w:left w:w="108" w:type="dxa"/>
              <w:bottom w:w="0" w:type="dxa"/>
              <w:right w:w="108" w:type="dxa"/>
            </w:tcMar>
            <w:hideMark/>
          </w:tcPr>
          <w:p w14:paraId="102F5A3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наружной</w:t>
            </w:r>
          </w:p>
          <w:p w14:paraId="03A5CD9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амортизаций</w:t>
            </w:r>
          </w:p>
        </w:tc>
      </w:tr>
      <w:tr w:rsidR="004D4663" w:rsidRPr="00070ADE" w14:paraId="6D4C2AA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C811FA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00A96BB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Наружный диаметр катков</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7E954D8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40CC00E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830 мм</w:t>
            </w:r>
          </w:p>
        </w:tc>
      </w:tr>
      <w:tr w:rsidR="004D4663" w:rsidRPr="00070ADE" w14:paraId="008908AC"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E0E6A5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2A11914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Ширина одного обода</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7EFE065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7245F30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 мм</w:t>
            </w:r>
          </w:p>
        </w:tc>
      </w:tr>
      <w:tr w:rsidR="004D4663" w:rsidRPr="00070ADE" w14:paraId="7E15DA1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41E59B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p w14:paraId="3B64BA44" w14:textId="32E16D12"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224AA08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опорных катков</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23FE1B4A" w14:textId="6E35379F"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шт</w:t>
            </w:r>
          </w:p>
        </w:tc>
        <w:tc>
          <w:tcPr>
            <w:tcW w:w="2935" w:type="dxa"/>
            <w:tcBorders>
              <w:top w:val="nil"/>
              <w:left w:val="nil"/>
              <w:bottom w:val="nil"/>
              <w:right w:val="single" w:sz="8" w:space="0" w:color="000000"/>
            </w:tcBorders>
            <w:tcMar>
              <w:top w:w="0" w:type="dxa"/>
              <w:left w:w="108" w:type="dxa"/>
              <w:bottom w:w="0" w:type="dxa"/>
              <w:right w:w="108" w:type="dxa"/>
            </w:tcMar>
            <w:hideMark/>
          </w:tcPr>
          <w:p w14:paraId="6669A618" w14:textId="453CDA09"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шт</w:t>
            </w:r>
          </w:p>
        </w:tc>
      </w:tr>
      <w:tr w:rsidR="004D4663" w:rsidRPr="00070ADE" w14:paraId="404E4D8A"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75D338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3D8E5CF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подвески</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19906B6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Индивидуаль-</w:t>
            </w:r>
          </w:p>
          <w:p w14:paraId="54755729" w14:textId="799BDF51"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торсион-</w:t>
            </w:r>
          </w:p>
          <w:p w14:paraId="349DACB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ная.</w:t>
            </w:r>
          </w:p>
        </w:tc>
        <w:tc>
          <w:tcPr>
            <w:tcW w:w="2935" w:type="dxa"/>
            <w:tcBorders>
              <w:top w:val="nil"/>
              <w:left w:val="nil"/>
              <w:bottom w:val="nil"/>
              <w:right w:val="single" w:sz="8" w:space="0" w:color="000000"/>
            </w:tcBorders>
            <w:tcMar>
              <w:top w:w="0" w:type="dxa"/>
              <w:left w:w="108" w:type="dxa"/>
              <w:bottom w:w="0" w:type="dxa"/>
              <w:right w:w="108" w:type="dxa"/>
            </w:tcMar>
            <w:hideMark/>
          </w:tcPr>
          <w:p w14:paraId="1FF6D24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Индивидуаль-</w:t>
            </w:r>
          </w:p>
          <w:p w14:paraId="5AECB3D2" w14:textId="1CB4B4BA"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пружин-</w:t>
            </w:r>
          </w:p>
          <w:p w14:paraId="45BB5F9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ная</w:t>
            </w:r>
          </w:p>
        </w:tc>
      </w:tr>
      <w:tr w:rsidR="004D4663" w:rsidRPr="00070ADE" w14:paraId="26A719C1"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701776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2E4DB2A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Ход опорных катков вверх</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75CCB35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490A2E8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 мм</w:t>
            </w:r>
          </w:p>
        </w:tc>
      </w:tr>
      <w:tr w:rsidR="004D4663" w:rsidRPr="00070ADE" w14:paraId="0541534D"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393C37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06BFDCC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Ход опорных катков вниз</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098622C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79EFF2C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 ÷ 110 мм</w:t>
            </w:r>
          </w:p>
        </w:tc>
      </w:tr>
      <w:tr w:rsidR="004D4663" w:rsidRPr="00070ADE" w14:paraId="523270F8" w14:textId="77777777" w:rsidTr="008053EA">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36255B7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21.ЦЕПЬ.</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ГУСЕНИЧНАЯ</w:t>
            </w:r>
            <w:r w:rsidRPr="00070ADE">
              <w:rPr>
                <w:rFonts w:ascii="Times New Roman" w:hAnsi="Times New Roman"/>
                <w:color w:val="000000" w:themeColor="text1"/>
                <w:sz w:val="16"/>
                <w:szCs w:val="16"/>
              </w:rPr>
              <w:t> </w:t>
            </w:r>
          </w:p>
        </w:tc>
      </w:tr>
      <w:tr w:rsidR="004D4663" w:rsidRPr="00070ADE" w14:paraId="75C220F4"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424AF49" w14:textId="77777777" w:rsidR="00811C95" w:rsidRPr="00070ADE" w:rsidRDefault="00811C95" w:rsidP="00B56F90">
            <w:pPr>
              <w:spacing w:after="0" w:line="240" w:lineRule="auto"/>
              <w:jc w:val="both"/>
              <w:rPr>
                <w:rFonts w:ascii="Times New Roman" w:hAnsi="Times New Roman"/>
                <w:color w:val="000000" w:themeColor="text1"/>
                <w:sz w:val="16"/>
                <w:szCs w:val="16"/>
              </w:rPr>
            </w:pPr>
            <w:bookmarkStart w:id="109" w:name="_Hlk92744"/>
            <w:r w:rsidRPr="00070ADE">
              <w:rPr>
                <w:rFonts w:ascii="Times New Roman" w:hAnsi="Times New Roman"/>
                <w:color w:val="000000" w:themeColor="text1"/>
                <w:sz w:val="16"/>
                <w:szCs w:val="16"/>
              </w:rPr>
              <w:t>1.</w:t>
            </w:r>
            <w:bookmarkEnd w:id="109"/>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3E65718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54C0A14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Мелкозвенча-</w:t>
            </w:r>
          </w:p>
          <w:p w14:paraId="7CF90AB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тая –литая</w:t>
            </w:r>
          </w:p>
        </w:tc>
        <w:tc>
          <w:tcPr>
            <w:tcW w:w="2935" w:type="dxa"/>
            <w:tcBorders>
              <w:top w:val="nil"/>
              <w:left w:val="nil"/>
              <w:bottom w:val="nil"/>
              <w:right w:val="single" w:sz="8" w:space="0" w:color="000000"/>
            </w:tcBorders>
            <w:tcMar>
              <w:top w:w="0" w:type="dxa"/>
              <w:left w:w="108" w:type="dxa"/>
              <w:bottom w:w="0" w:type="dxa"/>
              <w:right w:w="108" w:type="dxa"/>
            </w:tcMar>
            <w:hideMark/>
          </w:tcPr>
          <w:p w14:paraId="791C34F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Мелкозвенча-</w:t>
            </w:r>
          </w:p>
          <w:p w14:paraId="4A27D92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тая –литая.</w:t>
            </w:r>
          </w:p>
        </w:tc>
      </w:tr>
      <w:tr w:rsidR="004D4663" w:rsidRPr="00070ADE" w14:paraId="7DB738B8"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377198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7B1BA85C" w14:textId="3DCAD460"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6F16BA7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зацепления</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55FC80E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Гребневое</w:t>
            </w:r>
          </w:p>
        </w:tc>
        <w:tc>
          <w:tcPr>
            <w:tcW w:w="2935" w:type="dxa"/>
            <w:tcBorders>
              <w:top w:val="nil"/>
              <w:left w:val="nil"/>
              <w:bottom w:val="nil"/>
              <w:right w:val="single" w:sz="8" w:space="0" w:color="000000"/>
            </w:tcBorders>
            <w:tcMar>
              <w:top w:w="0" w:type="dxa"/>
              <w:left w:w="108" w:type="dxa"/>
              <w:bottom w:w="0" w:type="dxa"/>
              <w:right w:w="108" w:type="dxa"/>
            </w:tcMar>
            <w:hideMark/>
          </w:tcPr>
          <w:p w14:paraId="52EA331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Гребневое</w:t>
            </w:r>
          </w:p>
        </w:tc>
      </w:tr>
      <w:tr w:rsidR="004D4663" w:rsidRPr="00070ADE" w14:paraId="516F178B"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907E79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p w14:paraId="3F4CC30E" w14:textId="6E6BB622"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p w14:paraId="7EE3CE44" w14:textId="1E57E3D3"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p w14:paraId="046D1346" w14:textId="21A4E084"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p w14:paraId="67890E9D" w14:textId="0D44AE06"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100280F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траков в ленте</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4B1B4F96" w14:textId="3C146A45"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греб-</w:t>
            </w:r>
          </w:p>
          <w:p w14:paraId="71C919FC" w14:textId="364D73BE"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невых, 37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шт</w:t>
            </w:r>
          </w:p>
          <w:p w14:paraId="4AF6D95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без гребне-</w:t>
            </w:r>
          </w:p>
          <w:p w14:paraId="7AFD0E7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вых</w:t>
            </w:r>
          </w:p>
        </w:tc>
        <w:tc>
          <w:tcPr>
            <w:tcW w:w="2935" w:type="dxa"/>
            <w:tcBorders>
              <w:top w:val="nil"/>
              <w:left w:val="nil"/>
              <w:bottom w:val="nil"/>
              <w:right w:val="single" w:sz="8" w:space="0" w:color="000000"/>
            </w:tcBorders>
            <w:tcMar>
              <w:top w:w="0" w:type="dxa"/>
              <w:left w:w="108" w:type="dxa"/>
              <w:bottom w:w="0" w:type="dxa"/>
              <w:right w:w="108" w:type="dxa"/>
            </w:tcMar>
            <w:hideMark/>
          </w:tcPr>
          <w:p w14:paraId="5920AA9E" w14:textId="63BB494D"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греб-</w:t>
            </w:r>
          </w:p>
          <w:p w14:paraId="553E6303" w14:textId="1F3D5C1C"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невых, 35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шт</w:t>
            </w:r>
          </w:p>
          <w:p w14:paraId="55694E5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без гребне-</w:t>
            </w:r>
          </w:p>
          <w:p w14:paraId="43EF612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вых</w:t>
            </w:r>
          </w:p>
        </w:tc>
      </w:tr>
      <w:tr w:rsidR="004D4663" w:rsidRPr="00070ADE" w14:paraId="4CF07D48"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DE70B6F" w14:textId="77777777" w:rsidR="00811C95" w:rsidRPr="00070ADE" w:rsidRDefault="00811C95" w:rsidP="00B56F90">
            <w:pPr>
              <w:spacing w:after="0" w:line="240" w:lineRule="auto"/>
              <w:jc w:val="both"/>
              <w:rPr>
                <w:rFonts w:ascii="Times New Roman" w:hAnsi="Times New Roman"/>
                <w:color w:val="000000" w:themeColor="text1"/>
                <w:sz w:val="16"/>
                <w:szCs w:val="16"/>
              </w:rPr>
            </w:pPr>
            <w:bookmarkStart w:id="110" w:name="_Hlk92715"/>
            <w:r w:rsidRPr="00070ADE">
              <w:rPr>
                <w:rFonts w:ascii="Times New Roman" w:hAnsi="Times New Roman"/>
                <w:color w:val="000000" w:themeColor="text1"/>
                <w:sz w:val="16"/>
                <w:szCs w:val="16"/>
              </w:rPr>
              <w:t>4.</w:t>
            </w:r>
            <w:bookmarkEnd w:id="110"/>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13AE764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соединения</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26FCF456" w14:textId="6F22E824"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Шарнирное -</w:t>
            </w:r>
            <w:r w:rsidR="00B643A8" w:rsidRPr="00070ADE">
              <w:rPr>
                <w:rFonts w:ascii="Times New Roman" w:hAnsi="Times New Roman"/>
                <w:color w:val="000000" w:themeColor="text1"/>
                <w:sz w:val="16"/>
                <w:szCs w:val="16"/>
              </w:rPr>
              <w:t xml:space="preserve"> </w:t>
            </w:r>
          </w:p>
          <w:p w14:paraId="51365FF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пальцами с</w:t>
            </w:r>
          </w:p>
          <w:p w14:paraId="2E0C163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головками</w:t>
            </w:r>
          </w:p>
          <w:p w14:paraId="20BE130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б/шпл.</w:t>
            </w:r>
          </w:p>
        </w:tc>
        <w:tc>
          <w:tcPr>
            <w:tcW w:w="2935" w:type="dxa"/>
            <w:tcBorders>
              <w:top w:val="nil"/>
              <w:left w:val="nil"/>
              <w:bottom w:val="nil"/>
              <w:right w:val="single" w:sz="8" w:space="0" w:color="000000"/>
            </w:tcBorders>
            <w:tcMar>
              <w:top w:w="0" w:type="dxa"/>
              <w:left w:w="108" w:type="dxa"/>
              <w:bottom w:w="0" w:type="dxa"/>
              <w:right w:w="108" w:type="dxa"/>
            </w:tcMar>
            <w:hideMark/>
          </w:tcPr>
          <w:p w14:paraId="36EBD5F8" w14:textId="483E59E4"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Шарнирное -</w:t>
            </w:r>
            <w:r w:rsidR="00B643A8" w:rsidRPr="00070ADE">
              <w:rPr>
                <w:rFonts w:ascii="Times New Roman" w:hAnsi="Times New Roman"/>
                <w:color w:val="000000" w:themeColor="text1"/>
                <w:sz w:val="16"/>
                <w:szCs w:val="16"/>
              </w:rPr>
              <w:t xml:space="preserve"> </w:t>
            </w:r>
          </w:p>
          <w:p w14:paraId="107C655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пальцами с</w:t>
            </w:r>
          </w:p>
          <w:p w14:paraId="0F4755D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головками</w:t>
            </w:r>
          </w:p>
          <w:p w14:paraId="3EB550F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б/шпл.</w:t>
            </w:r>
          </w:p>
        </w:tc>
      </w:tr>
      <w:tr w:rsidR="004D4663" w:rsidRPr="00070ADE" w14:paraId="435763B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10313A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2E1638C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Шаг</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258DD45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172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4D1896A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172 мм</w:t>
            </w:r>
          </w:p>
        </w:tc>
      </w:tr>
      <w:tr w:rsidR="004D4663" w:rsidRPr="00070ADE" w14:paraId="48F22B80"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A9983C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3E604AE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Ширина трака</w:t>
            </w:r>
          </w:p>
        </w:tc>
        <w:tc>
          <w:tcPr>
            <w:tcW w:w="2849" w:type="dxa"/>
            <w:gridSpan w:val="2"/>
            <w:tcBorders>
              <w:top w:val="nil"/>
              <w:left w:val="nil"/>
              <w:bottom w:val="nil"/>
              <w:right w:val="single" w:sz="8" w:space="0" w:color="000000"/>
            </w:tcBorders>
            <w:tcMar>
              <w:top w:w="0" w:type="dxa"/>
              <w:left w:w="108" w:type="dxa"/>
              <w:bottom w:w="0" w:type="dxa"/>
              <w:right w:w="108" w:type="dxa"/>
            </w:tcMar>
            <w:hideMark/>
          </w:tcPr>
          <w:p w14:paraId="0F260D7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 мм</w:t>
            </w:r>
          </w:p>
        </w:tc>
        <w:tc>
          <w:tcPr>
            <w:tcW w:w="2935" w:type="dxa"/>
            <w:tcBorders>
              <w:top w:val="nil"/>
              <w:left w:val="nil"/>
              <w:bottom w:val="nil"/>
              <w:right w:val="single" w:sz="8" w:space="0" w:color="000000"/>
            </w:tcBorders>
            <w:tcMar>
              <w:top w:w="0" w:type="dxa"/>
              <w:left w:w="108" w:type="dxa"/>
              <w:bottom w:w="0" w:type="dxa"/>
              <w:right w:w="108" w:type="dxa"/>
            </w:tcMar>
            <w:hideMark/>
          </w:tcPr>
          <w:p w14:paraId="41DFFCC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 мм</w:t>
            </w:r>
          </w:p>
        </w:tc>
      </w:tr>
      <w:tr w:rsidR="004D4663" w:rsidRPr="00070ADE" w14:paraId="21EFF91E"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0D7B9DF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c>
          <w:tcPr>
            <w:tcW w:w="4239" w:type="dxa"/>
            <w:gridSpan w:val="2"/>
            <w:tcBorders>
              <w:top w:val="nil"/>
              <w:left w:val="nil"/>
              <w:bottom w:val="nil"/>
              <w:right w:val="single" w:sz="8" w:space="0" w:color="000000"/>
            </w:tcBorders>
            <w:tcMar>
              <w:top w:w="0" w:type="dxa"/>
              <w:left w:w="108" w:type="dxa"/>
              <w:bottom w:w="0" w:type="dxa"/>
              <w:right w:w="108" w:type="dxa"/>
            </w:tcMar>
            <w:hideMark/>
          </w:tcPr>
          <w:p w14:paraId="5A68367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 гребня по беговой</w:t>
            </w:r>
          </w:p>
          <w:p w14:paraId="6AFD76D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дорожке</w:t>
            </w:r>
          </w:p>
        </w:tc>
        <w:tc>
          <w:tcPr>
            <w:tcW w:w="2849" w:type="dxa"/>
            <w:gridSpan w:val="2"/>
            <w:tcBorders>
              <w:top w:val="nil"/>
              <w:left w:val="nil"/>
              <w:bottom w:val="nil"/>
              <w:right w:val="single" w:sz="8" w:space="0" w:color="000000"/>
            </w:tcBorders>
            <w:tcMar>
              <w:top w:w="0" w:type="dxa"/>
              <w:left w:w="108" w:type="dxa"/>
              <w:bottom w:w="0" w:type="dxa"/>
              <w:right w:w="108" w:type="dxa"/>
            </w:tcMar>
            <w:vAlign w:val="bottom"/>
            <w:hideMark/>
          </w:tcPr>
          <w:p w14:paraId="18C54EF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136 мм</w:t>
            </w:r>
          </w:p>
        </w:tc>
        <w:tc>
          <w:tcPr>
            <w:tcW w:w="2935" w:type="dxa"/>
            <w:tcBorders>
              <w:top w:val="nil"/>
              <w:left w:val="nil"/>
              <w:bottom w:val="nil"/>
              <w:right w:val="single" w:sz="8" w:space="0" w:color="000000"/>
            </w:tcBorders>
            <w:tcMar>
              <w:top w:w="0" w:type="dxa"/>
              <w:left w:w="108" w:type="dxa"/>
              <w:bottom w:w="0" w:type="dxa"/>
              <w:right w:w="108" w:type="dxa"/>
            </w:tcMar>
            <w:vAlign w:val="bottom"/>
            <w:hideMark/>
          </w:tcPr>
          <w:p w14:paraId="6472C4A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136 мм</w:t>
            </w:r>
          </w:p>
        </w:tc>
      </w:tr>
      <w:tr w:rsidR="004D4663" w:rsidRPr="00070ADE" w14:paraId="14DDA15C" w14:textId="77777777" w:rsidTr="008053EA">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0E34A654" w14:textId="1CDDADE9"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bookmarkStart w:id="111" w:name="OLE_LINK239"/>
            <w:bookmarkStart w:id="112" w:name="OLE_LINK238"/>
            <w:bookmarkEnd w:id="111"/>
            <w:bookmarkEnd w:id="112"/>
            <w:r w:rsidR="00811C95" w:rsidRPr="00070ADE">
              <w:rPr>
                <w:rFonts w:ascii="Times New Roman" w:hAnsi="Times New Roman"/>
                <w:color w:val="000000" w:themeColor="text1"/>
                <w:sz w:val="16"/>
                <w:szCs w:val="16"/>
              </w:rPr>
              <w:t>22.ЭЛЕКТРООБОРУДОВАНИЕ.</w:t>
            </w:r>
            <w:r w:rsidR="00811C95" w:rsidRPr="00070ADE">
              <w:rPr>
                <w:rFonts w:ascii="Times New Roman" w:hAnsi="Times New Roman"/>
                <w:color w:val="000000" w:themeColor="text1"/>
                <w:sz w:val="16"/>
                <w:szCs w:val="16"/>
              </w:rPr>
              <w:t> </w:t>
            </w:r>
          </w:p>
        </w:tc>
      </w:tr>
      <w:tr w:rsidR="004D4663" w:rsidRPr="00070ADE" w14:paraId="10B2DE76"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5840CC8" w14:textId="77777777" w:rsidR="00811C95" w:rsidRPr="00070ADE" w:rsidRDefault="00811C95" w:rsidP="00B56F90">
            <w:pPr>
              <w:spacing w:after="0" w:line="240" w:lineRule="auto"/>
              <w:jc w:val="both"/>
              <w:rPr>
                <w:rFonts w:ascii="Times New Roman" w:hAnsi="Times New Roman"/>
                <w:color w:val="000000" w:themeColor="text1"/>
                <w:sz w:val="16"/>
                <w:szCs w:val="16"/>
              </w:rPr>
            </w:pPr>
            <w:bookmarkStart w:id="113" w:name="_Hlk93375"/>
            <w:r w:rsidRPr="00070ADE">
              <w:rPr>
                <w:rFonts w:ascii="Times New Roman" w:hAnsi="Times New Roman"/>
                <w:color w:val="000000" w:themeColor="text1"/>
                <w:sz w:val="16"/>
                <w:szCs w:val="16"/>
              </w:rPr>
              <w:t>1.</w:t>
            </w:r>
            <w:bookmarkEnd w:id="113"/>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5EB1DA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Система проводки</w:t>
            </w:r>
          </w:p>
        </w:tc>
        <w:tc>
          <w:tcPr>
            <w:tcW w:w="2836" w:type="dxa"/>
            <w:tcBorders>
              <w:top w:val="nil"/>
              <w:left w:val="nil"/>
              <w:bottom w:val="nil"/>
              <w:right w:val="single" w:sz="8" w:space="0" w:color="000000"/>
            </w:tcBorders>
            <w:tcMar>
              <w:top w:w="0" w:type="dxa"/>
              <w:left w:w="108" w:type="dxa"/>
              <w:bottom w:w="0" w:type="dxa"/>
              <w:right w:w="108" w:type="dxa"/>
            </w:tcMar>
            <w:hideMark/>
          </w:tcPr>
          <w:p w14:paraId="27DCCCE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Однопроводная</w:t>
            </w:r>
          </w:p>
        </w:tc>
        <w:tc>
          <w:tcPr>
            <w:tcW w:w="2935" w:type="dxa"/>
            <w:tcBorders>
              <w:top w:val="nil"/>
              <w:left w:val="nil"/>
              <w:bottom w:val="nil"/>
              <w:right w:val="single" w:sz="8" w:space="0" w:color="000000"/>
            </w:tcBorders>
            <w:tcMar>
              <w:top w:w="0" w:type="dxa"/>
              <w:left w:w="108" w:type="dxa"/>
              <w:bottom w:w="0" w:type="dxa"/>
              <w:right w:w="108" w:type="dxa"/>
            </w:tcMar>
            <w:hideMark/>
          </w:tcPr>
          <w:p w14:paraId="5CADC03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Однопроводная</w:t>
            </w:r>
          </w:p>
        </w:tc>
      </w:tr>
      <w:tr w:rsidR="004D4663" w:rsidRPr="00070ADE" w14:paraId="37AF31C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390D135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45AC76A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Напряжение в сети</w:t>
            </w:r>
          </w:p>
        </w:tc>
        <w:tc>
          <w:tcPr>
            <w:tcW w:w="2836" w:type="dxa"/>
            <w:tcBorders>
              <w:top w:val="nil"/>
              <w:left w:val="nil"/>
              <w:bottom w:val="nil"/>
              <w:right w:val="single" w:sz="8" w:space="0" w:color="000000"/>
            </w:tcBorders>
            <w:tcMar>
              <w:top w:w="0" w:type="dxa"/>
              <w:left w:w="108" w:type="dxa"/>
              <w:bottom w:w="0" w:type="dxa"/>
              <w:right w:w="108" w:type="dxa"/>
            </w:tcMar>
            <w:hideMark/>
          </w:tcPr>
          <w:p w14:paraId="044FDFE6" w14:textId="71FF58C9"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 24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V</w:t>
            </w:r>
          </w:p>
        </w:tc>
        <w:tc>
          <w:tcPr>
            <w:tcW w:w="2935" w:type="dxa"/>
            <w:tcBorders>
              <w:top w:val="nil"/>
              <w:left w:val="nil"/>
              <w:bottom w:val="nil"/>
              <w:right w:val="single" w:sz="8" w:space="0" w:color="000000"/>
            </w:tcBorders>
            <w:tcMar>
              <w:top w:w="0" w:type="dxa"/>
              <w:left w:w="108" w:type="dxa"/>
              <w:bottom w:w="0" w:type="dxa"/>
              <w:right w:w="108" w:type="dxa"/>
            </w:tcMar>
            <w:hideMark/>
          </w:tcPr>
          <w:p w14:paraId="074D3321" w14:textId="0BFC0C68"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 24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V</w:t>
            </w:r>
          </w:p>
        </w:tc>
      </w:tr>
      <w:tr w:rsidR="004D4663" w:rsidRPr="00070ADE" w14:paraId="1370F17B" w14:textId="77777777" w:rsidTr="008053EA">
        <w:trPr>
          <w:jc w:val="center"/>
        </w:trPr>
        <w:tc>
          <w:tcPr>
            <w:tcW w:w="953" w:type="dxa"/>
            <w:vMerge w:val="restart"/>
            <w:tcBorders>
              <w:top w:val="nil"/>
              <w:left w:val="single" w:sz="8" w:space="0" w:color="000000"/>
              <w:bottom w:val="nil"/>
              <w:right w:val="single" w:sz="8" w:space="0" w:color="000000"/>
            </w:tcBorders>
            <w:tcMar>
              <w:top w:w="0" w:type="dxa"/>
              <w:left w:w="108" w:type="dxa"/>
              <w:bottom w:w="0" w:type="dxa"/>
              <w:right w:w="108" w:type="dxa"/>
            </w:tcMar>
            <w:hideMark/>
          </w:tcPr>
          <w:p w14:paraId="5715B9B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782AF8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Электрогенератор – марка</w:t>
            </w:r>
          </w:p>
        </w:tc>
        <w:tc>
          <w:tcPr>
            <w:tcW w:w="2836" w:type="dxa"/>
            <w:tcBorders>
              <w:top w:val="nil"/>
              <w:left w:val="nil"/>
              <w:bottom w:val="nil"/>
              <w:right w:val="single" w:sz="8" w:space="0" w:color="000000"/>
            </w:tcBorders>
            <w:tcMar>
              <w:top w:w="0" w:type="dxa"/>
              <w:left w:w="108" w:type="dxa"/>
              <w:bottom w:w="0" w:type="dxa"/>
              <w:right w:w="108" w:type="dxa"/>
            </w:tcMar>
            <w:hideMark/>
          </w:tcPr>
          <w:p w14:paraId="6B95505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ГТ-4563 А</w:t>
            </w:r>
          </w:p>
        </w:tc>
        <w:tc>
          <w:tcPr>
            <w:tcW w:w="2935" w:type="dxa"/>
            <w:tcBorders>
              <w:top w:val="nil"/>
              <w:left w:val="nil"/>
              <w:bottom w:val="nil"/>
              <w:right w:val="single" w:sz="8" w:space="0" w:color="000000"/>
            </w:tcBorders>
            <w:tcMar>
              <w:top w:w="0" w:type="dxa"/>
              <w:left w:w="108" w:type="dxa"/>
              <w:bottom w:w="0" w:type="dxa"/>
              <w:right w:w="108" w:type="dxa"/>
            </w:tcMar>
            <w:hideMark/>
          </w:tcPr>
          <w:p w14:paraId="5A37381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ГТ-4563 А</w:t>
            </w:r>
          </w:p>
        </w:tc>
      </w:tr>
      <w:tr w:rsidR="004D4663" w:rsidRPr="00070ADE" w14:paraId="03589909"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6EECA498"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7733BC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мощность</w:t>
            </w:r>
          </w:p>
        </w:tc>
        <w:tc>
          <w:tcPr>
            <w:tcW w:w="2836" w:type="dxa"/>
            <w:tcBorders>
              <w:top w:val="nil"/>
              <w:left w:val="nil"/>
              <w:bottom w:val="nil"/>
              <w:right w:val="single" w:sz="8" w:space="0" w:color="000000"/>
            </w:tcBorders>
            <w:tcMar>
              <w:top w:w="0" w:type="dxa"/>
              <w:left w:w="108" w:type="dxa"/>
              <w:bottom w:w="0" w:type="dxa"/>
              <w:right w:w="108" w:type="dxa"/>
            </w:tcMar>
            <w:hideMark/>
          </w:tcPr>
          <w:p w14:paraId="6ACA068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 W</w:t>
            </w:r>
          </w:p>
        </w:tc>
        <w:tc>
          <w:tcPr>
            <w:tcW w:w="2935" w:type="dxa"/>
            <w:tcBorders>
              <w:top w:val="nil"/>
              <w:left w:val="nil"/>
              <w:bottom w:val="nil"/>
              <w:right w:val="single" w:sz="8" w:space="0" w:color="000000"/>
            </w:tcBorders>
            <w:tcMar>
              <w:top w:w="0" w:type="dxa"/>
              <w:left w:w="108" w:type="dxa"/>
              <w:bottom w:w="0" w:type="dxa"/>
              <w:right w:w="108" w:type="dxa"/>
            </w:tcMar>
            <w:hideMark/>
          </w:tcPr>
          <w:p w14:paraId="636A62A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 W</w:t>
            </w:r>
          </w:p>
        </w:tc>
      </w:tr>
      <w:tr w:rsidR="004D4663" w:rsidRPr="00070ADE" w14:paraId="5F79AB7A"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78F3B05A"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7C174D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напряжение</w:t>
            </w:r>
          </w:p>
        </w:tc>
        <w:tc>
          <w:tcPr>
            <w:tcW w:w="2836" w:type="dxa"/>
            <w:tcBorders>
              <w:top w:val="nil"/>
              <w:left w:val="nil"/>
              <w:bottom w:val="nil"/>
              <w:right w:val="single" w:sz="8" w:space="0" w:color="000000"/>
            </w:tcBorders>
            <w:tcMar>
              <w:top w:w="0" w:type="dxa"/>
              <w:left w:w="108" w:type="dxa"/>
              <w:bottom w:w="0" w:type="dxa"/>
              <w:right w:w="108" w:type="dxa"/>
            </w:tcMar>
            <w:hideMark/>
          </w:tcPr>
          <w:p w14:paraId="13AC3799" w14:textId="1C41C0A1"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V</w:t>
            </w:r>
          </w:p>
        </w:tc>
        <w:tc>
          <w:tcPr>
            <w:tcW w:w="2935" w:type="dxa"/>
            <w:tcBorders>
              <w:top w:val="nil"/>
              <w:left w:val="nil"/>
              <w:bottom w:val="nil"/>
              <w:right w:val="single" w:sz="8" w:space="0" w:color="000000"/>
            </w:tcBorders>
            <w:tcMar>
              <w:top w:w="0" w:type="dxa"/>
              <w:left w:w="108" w:type="dxa"/>
              <w:bottom w:w="0" w:type="dxa"/>
              <w:right w:w="108" w:type="dxa"/>
            </w:tcMar>
            <w:hideMark/>
          </w:tcPr>
          <w:p w14:paraId="50DD93BD" w14:textId="6B9A2180"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V</w:t>
            </w:r>
          </w:p>
        </w:tc>
      </w:tr>
      <w:tr w:rsidR="004D4663" w:rsidRPr="00070ADE" w14:paraId="26209B03" w14:textId="77777777" w:rsidTr="008053EA">
        <w:trPr>
          <w:jc w:val="center"/>
        </w:trPr>
        <w:tc>
          <w:tcPr>
            <w:tcW w:w="953" w:type="dxa"/>
            <w:vMerge w:val="restart"/>
            <w:tcBorders>
              <w:top w:val="nil"/>
              <w:left w:val="single" w:sz="8" w:space="0" w:color="000000"/>
              <w:bottom w:val="nil"/>
              <w:right w:val="single" w:sz="8" w:space="0" w:color="000000"/>
            </w:tcBorders>
            <w:tcMar>
              <w:top w:w="0" w:type="dxa"/>
              <w:left w:w="108" w:type="dxa"/>
              <w:bottom w:w="0" w:type="dxa"/>
              <w:right w:w="108" w:type="dxa"/>
            </w:tcMar>
            <w:hideMark/>
          </w:tcPr>
          <w:p w14:paraId="59B43DC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2B3396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Аккумуляторные батареи</w:t>
            </w:r>
          </w:p>
          <w:p w14:paraId="60AD5DF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w:t>
            </w:r>
          </w:p>
        </w:tc>
        <w:tc>
          <w:tcPr>
            <w:tcW w:w="2836" w:type="dxa"/>
            <w:tcBorders>
              <w:top w:val="nil"/>
              <w:left w:val="nil"/>
              <w:bottom w:val="nil"/>
              <w:right w:val="single" w:sz="8" w:space="0" w:color="000000"/>
            </w:tcBorders>
            <w:tcMar>
              <w:top w:w="0" w:type="dxa"/>
              <w:left w:w="108" w:type="dxa"/>
              <w:bottom w:w="0" w:type="dxa"/>
              <w:right w:w="108" w:type="dxa"/>
            </w:tcMar>
            <w:hideMark/>
          </w:tcPr>
          <w:p w14:paraId="75FB704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6СТЭ-12</w:t>
            </w:r>
          </w:p>
          <w:p w14:paraId="4A0F249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(свинц.)</w:t>
            </w:r>
          </w:p>
        </w:tc>
        <w:tc>
          <w:tcPr>
            <w:tcW w:w="2935" w:type="dxa"/>
            <w:tcBorders>
              <w:top w:val="nil"/>
              <w:left w:val="nil"/>
              <w:bottom w:val="nil"/>
              <w:right w:val="single" w:sz="8" w:space="0" w:color="000000"/>
            </w:tcBorders>
            <w:tcMar>
              <w:top w:w="0" w:type="dxa"/>
              <w:left w:w="108" w:type="dxa"/>
              <w:bottom w:w="0" w:type="dxa"/>
              <w:right w:w="108" w:type="dxa"/>
            </w:tcMar>
            <w:hideMark/>
          </w:tcPr>
          <w:p w14:paraId="41FAA15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6СТЭ-12</w:t>
            </w:r>
          </w:p>
          <w:p w14:paraId="470BAE0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(свинц.)</w:t>
            </w:r>
          </w:p>
        </w:tc>
      </w:tr>
      <w:tr w:rsidR="004D4663" w:rsidRPr="00070ADE" w14:paraId="5D9FE3B1"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4BE792B6"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DF43B0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емкость</w:t>
            </w:r>
          </w:p>
        </w:tc>
        <w:tc>
          <w:tcPr>
            <w:tcW w:w="2836" w:type="dxa"/>
            <w:tcBorders>
              <w:top w:val="nil"/>
              <w:left w:val="nil"/>
              <w:bottom w:val="nil"/>
              <w:right w:val="single" w:sz="8" w:space="0" w:color="000000"/>
            </w:tcBorders>
            <w:tcMar>
              <w:top w:w="0" w:type="dxa"/>
              <w:left w:w="108" w:type="dxa"/>
              <w:bottom w:w="0" w:type="dxa"/>
              <w:right w:w="108" w:type="dxa"/>
            </w:tcMar>
            <w:hideMark/>
          </w:tcPr>
          <w:p w14:paraId="6D89D03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128 А/час</w:t>
            </w:r>
          </w:p>
        </w:tc>
        <w:tc>
          <w:tcPr>
            <w:tcW w:w="2935" w:type="dxa"/>
            <w:tcBorders>
              <w:top w:val="nil"/>
              <w:left w:val="nil"/>
              <w:bottom w:val="nil"/>
              <w:right w:val="single" w:sz="8" w:space="0" w:color="000000"/>
            </w:tcBorders>
            <w:tcMar>
              <w:top w:w="0" w:type="dxa"/>
              <w:left w:w="108" w:type="dxa"/>
              <w:bottom w:w="0" w:type="dxa"/>
              <w:right w:w="108" w:type="dxa"/>
            </w:tcMar>
            <w:hideMark/>
          </w:tcPr>
          <w:p w14:paraId="5B04AE4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128 А/час</w:t>
            </w:r>
          </w:p>
        </w:tc>
      </w:tr>
      <w:tr w:rsidR="004D4663" w:rsidRPr="00070ADE" w14:paraId="744FCC51"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59EED2B8"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A16B96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напряжение</w:t>
            </w:r>
          </w:p>
        </w:tc>
        <w:tc>
          <w:tcPr>
            <w:tcW w:w="2836" w:type="dxa"/>
            <w:tcBorders>
              <w:top w:val="nil"/>
              <w:left w:val="nil"/>
              <w:bottom w:val="nil"/>
              <w:right w:val="single" w:sz="8" w:space="0" w:color="000000"/>
            </w:tcBorders>
            <w:tcMar>
              <w:top w:w="0" w:type="dxa"/>
              <w:left w:w="108" w:type="dxa"/>
              <w:bottom w:w="0" w:type="dxa"/>
              <w:right w:w="108" w:type="dxa"/>
            </w:tcMar>
            <w:hideMark/>
          </w:tcPr>
          <w:p w14:paraId="14D2A49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12V</w:t>
            </w:r>
          </w:p>
        </w:tc>
        <w:tc>
          <w:tcPr>
            <w:tcW w:w="2935" w:type="dxa"/>
            <w:tcBorders>
              <w:top w:val="nil"/>
              <w:left w:val="nil"/>
              <w:bottom w:val="nil"/>
              <w:right w:val="single" w:sz="8" w:space="0" w:color="000000"/>
            </w:tcBorders>
            <w:tcMar>
              <w:top w:w="0" w:type="dxa"/>
              <w:left w:w="108" w:type="dxa"/>
              <w:bottom w:w="0" w:type="dxa"/>
              <w:right w:w="108" w:type="dxa"/>
            </w:tcMar>
            <w:hideMark/>
          </w:tcPr>
          <w:p w14:paraId="7001135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12V</w:t>
            </w:r>
          </w:p>
        </w:tc>
      </w:tr>
      <w:tr w:rsidR="004D4663" w:rsidRPr="00070ADE" w14:paraId="44AAF17C"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345E25DB"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1ADF01B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количество</w:t>
            </w:r>
          </w:p>
        </w:tc>
        <w:tc>
          <w:tcPr>
            <w:tcW w:w="2836" w:type="dxa"/>
            <w:tcBorders>
              <w:top w:val="nil"/>
              <w:left w:val="nil"/>
              <w:bottom w:val="nil"/>
              <w:right w:val="single" w:sz="8" w:space="0" w:color="000000"/>
            </w:tcBorders>
            <w:tcMar>
              <w:top w:w="0" w:type="dxa"/>
              <w:left w:w="108" w:type="dxa"/>
              <w:bottom w:w="0" w:type="dxa"/>
              <w:right w:w="108" w:type="dxa"/>
            </w:tcMar>
            <w:hideMark/>
          </w:tcPr>
          <w:p w14:paraId="7851F4C3" w14:textId="200241AD"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шт</w:t>
            </w:r>
          </w:p>
        </w:tc>
        <w:tc>
          <w:tcPr>
            <w:tcW w:w="2935" w:type="dxa"/>
            <w:tcBorders>
              <w:top w:val="nil"/>
              <w:left w:val="nil"/>
              <w:bottom w:val="nil"/>
              <w:right w:val="single" w:sz="8" w:space="0" w:color="000000"/>
            </w:tcBorders>
            <w:tcMar>
              <w:top w:w="0" w:type="dxa"/>
              <w:left w:w="108" w:type="dxa"/>
              <w:bottom w:w="0" w:type="dxa"/>
              <w:right w:w="108" w:type="dxa"/>
            </w:tcMar>
            <w:hideMark/>
          </w:tcPr>
          <w:p w14:paraId="7B27E5E1" w14:textId="02C81B1B"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шт</w:t>
            </w:r>
          </w:p>
        </w:tc>
      </w:tr>
      <w:tr w:rsidR="004D4663" w:rsidRPr="00070ADE" w14:paraId="70AB07DB"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6CFEE88D"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A2C668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начало зарядки</w:t>
            </w:r>
          </w:p>
        </w:tc>
        <w:tc>
          <w:tcPr>
            <w:tcW w:w="2836" w:type="dxa"/>
            <w:tcBorders>
              <w:top w:val="nil"/>
              <w:left w:val="nil"/>
              <w:bottom w:val="nil"/>
              <w:right w:val="single" w:sz="8" w:space="0" w:color="000000"/>
            </w:tcBorders>
            <w:tcMar>
              <w:top w:w="0" w:type="dxa"/>
              <w:left w:w="108" w:type="dxa"/>
              <w:bottom w:w="0" w:type="dxa"/>
              <w:right w:w="108" w:type="dxa"/>
            </w:tcMar>
            <w:hideMark/>
          </w:tcPr>
          <w:p w14:paraId="6465315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600-650</w:t>
            </w:r>
          </w:p>
          <w:p w14:paraId="1921AAB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об/мин. вала</w:t>
            </w:r>
          </w:p>
          <w:p w14:paraId="3B9F3AD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двигателя</w:t>
            </w:r>
          </w:p>
        </w:tc>
        <w:tc>
          <w:tcPr>
            <w:tcW w:w="2935" w:type="dxa"/>
            <w:tcBorders>
              <w:top w:val="nil"/>
              <w:left w:val="nil"/>
              <w:bottom w:val="nil"/>
              <w:right w:val="single" w:sz="8" w:space="0" w:color="000000"/>
            </w:tcBorders>
            <w:tcMar>
              <w:top w:w="0" w:type="dxa"/>
              <w:left w:w="108" w:type="dxa"/>
              <w:bottom w:w="0" w:type="dxa"/>
              <w:right w:w="108" w:type="dxa"/>
            </w:tcMar>
            <w:hideMark/>
          </w:tcPr>
          <w:p w14:paraId="66A06C4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600-650</w:t>
            </w:r>
          </w:p>
          <w:p w14:paraId="33676991" w14:textId="7E95E10A"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об/мин.</w:t>
            </w:r>
            <w:r w:rsidR="00B643A8" w:rsidRPr="00070ADE">
              <w:rPr>
                <w:rFonts w:ascii="Times New Roman" w:hAnsi="Times New Roman"/>
                <w:color w:val="000000" w:themeColor="text1"/>
                <w:sz w:val="16"/>
                <w:szCs w:val="16"/>
              </w:rPr>
              <w:t xml:space="preserve"> </w:t>
            </w:r>
          </w:p>
          <w:p w14:paraId="21499DDE" w14:textId="022697B2"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вала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дви-</w:t>
            </w:r>
          </w:p>
          <w:p w14:paraId="203A1E5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гателя.</w:t>
            </w:r>
          </w:p>
        </w:tc>
      </w:tr>
      <w:tr w:rsidR="004D4663" w:rsidRPr="00070ADE" w14:paraId="2CE0064E"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6C59605B"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BD2706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размещение</w:t>
            </w:r>
          </w:p>
        </w:tc>
        <w:tc>
          <w:tcPr>
            <w:tcW w:w="2836" w:type="dxa"/>
            <w:tcBorders>
              <w:top w:val="nil"/>
              <w:left w:val="nil"/>
              <w:bottom w:val="nil"/>
              <w:right w:val="single" w:sz="8" w:space="0" w:color="000000"/>
            </w:tcBorders>
            <w:tcMar>
              <w:top w:w="0" w:type="dxa"/>
              <w:left w:w="108" w:type="dxa"/>
              <w:bottom w:w="0" w:type="dxa"/>
              <w:right w:w="108" w:type="dxa"/>
            </w:tcMar>
            <w:hideMark/>
          </w:tcPr>
          <w:p w14:paraId="132E13A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отделении</w:t>
            </w:r>
          </w:p>
          <w:p w14:paraId="69B5B6E7" w14:textId="29BAAAFC"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водителя -</w:t>
            </w:r>
            <w:r w:rsidR="00B643A8" w:rsidRPr="00070ADE">
              <w:rPr>
                <w:rFonts w:ascii="Times New Roman" w:hAnsi="Times New Roman"/>
                <w:color w:val="000000" w:themeColor="text1"/>
                <w:sz w:val="16"/>
                <w:szCs w:val="16"/>
              </w:rPr>
              <w:t xml:space="preserve"> </w:t>
            </w:r>
          </w:p>
          <w:p w14:paraId="7B369AB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справа.</w:t>
            </w:r>
          </w:p>
        </w:tc>
        <w:tc>
          <w:tcPr>
            <w:tcW w:w="2935" w:type="dxa"/>
            <w:tcBorders>
              <w:top w:val="nil"/>
              <w:left w:val="nil"/>
              <w:bottom w:val="nil"/>
              <w:right w:val="single" w:sz="8" w:space="0" w:color="000000"/>
            </w:tcBorders>
            <w:tcMar>
              <w:top w:w="0" w:type="dxa"/>
              <w:left w:w="108" w:type="dxa"/>
              <w:bottom w:w="0" w:type="dxa"/>
              <w:right w:w="108" w:type="dxa"/>
            </w:tcMar>
            <w:hideMark/>
          </w:tcPr>
          <w:p w14:paraId="78D9BC9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моторном</w:t>
            </w:r>
          </w:p>
          <w:p w14:paraId="5425A8F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отделении</w:t>
            </w:r>
          </w:p>
          <w:p w14:paraId="43D065D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обеих сторон двигателя.</w:t>
            </w:r>
          </w:p>
        </w:tc>
      </w:tr>
      <w:tr w:rsidR="004D4663" w:rsidRPr="00070ADE" w14:paraId="6D461BEE" w14:textId="77777777" w:rsidTr="008053EA">
        <w:trPr>
          <w:jc w:val="center"/>
        </w:trPr>
        <w:tc>
          <w:tcPr>
            <w:tcW w:w="953" w:type="dxa"/>
            <w:vMerge w:val="restart"/>
            <w:tcBorders>
              <w:top w:val="nil"/>
              <w:left w:val="single" w:sz="8" w:space="0" w:color="000000"/>
              <w:bottom w:val="nil"/>
              <w:right w:val="single" w:sz="8" w:space="0" w:color="000000"/>
            </w:tcBorders>
            <w:tcMar>
              <w:top w:w="0" w:type="dxa"/>
              <w:left w:w="108" w:type="dxa"/>
              <w:bottom w:w="0" w:type="dxa"/>
              <w:right w:w="108" w:type="dxa"/>
            </w:tcMar>
            <w:hideMark/>
          </w:tcPr>
          <w:p w14:paraId="295EBB5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245229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Электростартер – тип</w:t>
            </w:r>
          </w:p>
        </w:tc>
        <w:tc>
          <w:tcPr>
            <w:tcW w:w="2836" w:type="dxa"/>
            <w:tcBorders>
              <w:top w:val="nil"/>
              <w:left w:val="nil"/>
              <w:bottom w:val="nil"/>
              <w:right w:val="single" w:sz="8" w:space="0" w:color="000000"/>
            </w:tcBorders>
            <w:tcMar>
              <w:top w:w="0" w:type="dxa"/>
              <w:left w:w="108" w:type="dxa"/>
              <w:bottom w:w="0" w:type="dxa"/>
              <w:right w:w="108" w:type="dxa"/>
            </w:tcMar>
            <w:hideMark/>
          </w:tcPr>
          <w:p w14:paraId="214CC09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СТ-15</w:t>
            </w:r>
          </w:p>
        </w:tc>
        <w:tc>
          <w:tcPr>
            <w:tcW w:w="2935" w:type="dxa"/>
            <w:tcBorders>
              <w:top w:val="nil"/>
              <w:left w:val="nil"/>
              <w:bottom w:val="nil"/>
              <w:right w:val="single" w:sz="8" w:space="0" w:color="000000"/>
            </w:tcBorders>
            <w:tcMar>
              <w:top w:w="0" w:type="dxa"/>
              <w:left w:w="108" w:type="dxa"/>
              <w:bottom w:w="0" w:type="dxa"/>
              <w:right w:w="108" w:type="dxa"/>
            </w:tcMar>
            <w:hideMark/>
          </w:tcPr>
          <w:p w14:paraId="188624F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СТ-700</w:t>
            </w:r>
          </w:p>
        </w:tc>
      </w:tr>
      <w:tr w:rsidR="004D4663" w:rsidRPr="00070ADE" w14:paraId="1177869E"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35AA7CBC"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8801B20" w14:textId="77777777" w:rsidR="00811C95" w:rsidRPr="00070ADE" w:rsidRDefault="00811C95" w:rsidP="00B56F90">
            <w:pPr>
              <w:spacing w:after="0" w:line="240" w:lineRule="auto"/>
              <w:jc w:val="both"/>
              <w:rPr>
                <w:rFonts w:ascii="Times New Roman" w:hAnsi="Times New Roman"/>
                <w:color w:val="000000" w:themeColor="text1"/>
                <w:sz w:val="16"/>
                <w:szCs w:val="16"/>
              </w:rPr>
            </w:pPr>
            <w:bookmarkStart w:id="114" w:name="_Hlk93538"/>
            <w:bookmarkEnd w:id="114"/>
            <w:r w:rsidRPr="00070ADE">
              <w:rPr>
                <w:rFonts w:ascii="Times New Roman" w:hAnsi="Times New Roman"/>
                <w:color w:val="000000" w:themeColor="text1"/>
                <w:sz w:val="16"/>
                <w:szCs w:val="16"/>
              </w:rPr>
              <w:t>а) мощность</w:t>
            </w:r>
          </w:p>
        </w:tc>
        <w:tc>
          <w:tcPr>
            <w:tcW w:w="2836" w:type="dxa"/>
            <w:tcBorders>
              <w:top w:val="nil"/>
              <w:left w:val="nil"/>
              <w:bottom w:val="nil"/>
              <w:right w:val="single" w:sz="8" w:space="0" w:color="000000"/>
            </w:tcBorders>
            <w:tcMar>
              <w:top w:w="0" w:type="dxa"/>
              <w:left w:w="108" w:type="dxa"/>
              <w:bottom w:w="0" w:type="dxa"/>
              <w:right w:w="108" w:type="dxa"/>
            </w:tcMar>
            <w:hideMark/>
          </w:tcPr>
          <w:p w14:paraId="159D8AD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л.с.</w:t>
            </w:r>
          </w:p>
        </w:tc>
        <w:tc>
          <w:tcPr>
            <w:tcW w:w="2935" w:type="dxa"/>
            <w:tcBorders>
              <w:top w:val="nil"/>
              <w:left w:val="nil"/>
              <w:bottom w:val="nil"/>
              <w:right w:val="single" w:sz="8" w:space="0" w:color="000000"/>
            </w:tcBorders>
            <w:tcMar>
              <w:top w:w="0" w:type="dxa"/>
              <w:left w:w="108" w:type="dxa"/>
              <w:bottom w:w="0" w:type="dxa"/>
              <w:right w:w="108" w:type="dxa"/>
            </w:tcMar>
            <w:hideMark/>
          </w:tcPr>
          <w:p w14:paraId="57E5443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л.с.</w:t>
            </w:r>
          </w:p>
        </w:tc>
      </w:tr>
      <w:tr w:rsidR="004D4663" w:rsidRPr="00070ADE" w14:paraId="2C9A6C2D"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3174268D"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4FF7D02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напряжение</w:t>
            </w:r>
          </w:p>
        </w:tc>
        <w:tc>
          <w:tcPr>
            <w:tcW w:w="2836" w:type="dxa"/>
            <w:tcBorders>
              <w:top w:val="nil"/>
              <w:left w:val="nil"/>
              <w:bottom w:val="nil"/>
              <w:right w:val="single" w:sz="8" w:space="0" w:color="000000"/>
            </w:tcBorders>
            <w:tcMar>
              <w:top w:w="0" w:type="dxa"/>
              <w:left w:w="108" w:type="dxa"/>
              <w:bottom w:w="0" w:type="dxa"/>
              <w:right w:w="108" w:type="dxa"/>
            </w:tcMar>
            <w:hideMark/>
          </w:tcPr>
          <w:p w14:paraId="70FA5032" w14:textId="6523D592"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V</w:t>
            </w:r>
          </w:p>
        </w:tc>
        <w:tc>
          <w:tcPr>
            <w:tcW w:w="2935" w:type="dxa"/>
            <w:tcBorders>
              <w:top w:val="nil"/>
              <w:left w:val="nil"/>
              <w:bottom w:val="nil"/>
              <w:right w:val="single" w:sz="8" w:space="0" w:color="000000"/>
            </w:tcBorders>
            <w:tcMar>
              <w:top w:w="0" w:type="dxa"/>
              <w:left w:w="108" w:type="dxa"/>
              <w:bottom w:w="0" w:type="dxa"/>
              <w:right w:w="108" w:type="dxa"/>
            </w:tcMar>
            <w:hideMark/>
          </w:tcPr>
          <w:p w14:paraId="4DE3860C" w14:textId="6A912CF4"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V</w:t>
            </w:r>
          </w:p>
        </w:tc>
      </w:tr>
      <w:tr w:rsidR="004D4663" w:rsidRPr="00070ADE" w14:paraId="24513796"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3B34D0D1"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743BACE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расположение</w:t>
            </w:r>
          </w:p>
        </w:tc>
        <w:tc>
          <w:tcPr>
            <w:tcW w:w="2836" w:type="dxa"/>
            <w:tcBorders>
              <w:top w:val="nil"/>
              <w:left w:val="nil"/>
              <w:bottom w:val="nil"/>
              <w:right w:val="single" w:sz="8" w:space="0" w:color="000000"/>
            </w:tcBorders>
            <w:tcMar>
              <w:top w:w="0" w:type="dxa"/>
              <w:left w:w="108" w:type="dxa"/>
              <w:bottom w:w="0" w:type="dxa"/>
              <w:right w:w="108" w:type="dxa"/>
            </w:tcMar>
            <w:hideMark/>
          </w:tcPr>
          <w:p w14:paraId="3065F97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Укреплен на</w:t>
            </w:r>
          </w:p>
          <w:p w14:paraId="5320C76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гитаре.</w:t>
            </w:r>
          </w:p>
          <w:p w14:paraId="2B8EFE4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Действует на</w:t>
            </w:r>
          </w:p>
          <w:p w14:paraId="27BDE2A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коленчатый</w:t>
            </w:r>
          </w:p>
          <w:p w14:paraId="3AACF9FC" w14:textId="046AD321"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вал</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двигате-</w:t>
            </w:r>
          </w:p>
          <w:p w14:paraId="18FEFFC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ля через</w:t>
            </w:r>
          </w:p>
          <w:p w14:paraId="09A851B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венец на</w:t>
            </w:r>
          </w:p>
          <w:p w14:paraId="19537EB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фрикцион и</w:t>
            </w:r>
          </w:p>
          <w:p w14:paraId="33313D4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гитару.</w:t>
            </w:r>
          </w:p>
        </w:tc>
        <w:tc>
          <w:tcPr>
            <w:tcW w:w="2935" w:type="dxa"/>
            <w:tcBorders>
              <w:top w:val="nil"/>
              <w:left w:val="nil"/>
              <w:bottom w:val="nil"/>
              <w:right w:val="single" w:sz="8" w:space="0" w:color="000000"/>
            </w:tcBorders>
            <w:tcMar>
              <w:top w:w="0" w:type="dxa"/>
              <w:left w:w="108" w:type="dxa"/>
              <w:bottom w:w="0" w:type="dxa"/>
              <w:right w:w="108" w:type="dxa"/>
            </w:tcMar>
            <w:hideMark/>
          </w:tcPr>
          <w:p w14:paraId="0307830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Укреплен</w:t>
            </w:r>
          </w:p>
          <w:p w14:paraId="5239DDD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КПП.</w:t>
            </w:r>
          </w:p>
          <w:p w14:paraId="11011D9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Действует</w:t>
            </w:r>
          </w:p>
          <w:p w14:paraId="72D9CE99" w14:textId="5075D0DE"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коленча-</w:t>
            </w:r>
          </w:p>
          <w:p w14:paraId="28D7B720" w14:textId="2DC8DC0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тый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вал</w:t>
            </w:r>
          </w:p>
          <w:p w14:paraId="7698FDB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двигателя</w:t>
            </w:r>
          </w:p>
          <w:p w14:paraId="664982E8" w14:textId="5DD1E94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через</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ве-</w:t>
            </w:r>
          </w:p>
          <w:p w14:paraId="2D2FF83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нец.</w:t>
            </w:r>
          </w:p>
        </w:tc>
      </w:tr>
      <w:tr w:rsidR="004D4663" w:rsidRPr="00070ADE" w14:paraId="57439409" w14:textId="77777777" w:rsidTr="008053EA">
        <w:trPr>
          <w:jc w:val="center"/>
        </w:trPr>
        <w:tc>
          <w:tcPr>
            <w:tcW w:w="953" w:type="dxa"/>
            <w:vMerge w:val="restart"/>
            <w:tcBorders>
              <w:top w:val="nil"/>
              <w:left w:val="single" w:sz="8" w:space="0" w:color="000000"/>
              <w:bottom w:val="nil"/>
              <w:right w:val="single" w:sz="8" w:space="0" w:color="000000"/>
            </w:tcBorders>
            <w:tcMar>
              <w:top w:w="0" w:type="dxa"/>
              <w:left w:w="108" w:type="dxa"/>
              <w:bottom w:w="0" w:type="dxa"/>
              <w:right w:w="108" w:type="dxa"/>
            </w:tcMar>
            <w:hideMark/>
          </w:tcPr>
          <w:p w14:paraId="5ACE296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217C2F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Электромотор поворотного</w:t>
            </w:r>
          </w:p>
          <w:p w14:paraId="54A04AF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механизма башни – тип</w:t>
            </w:r>
          </w:p>
        </w:tc>
        <w:tc>
          <w:tcPr>
            <w:tcW w:w="2836" w:type="dxa"/>
            <w:tcBorders>
              <w:top w:val="nil"/>
              <w:left w:val="nil"/>
              <w:bottom w:val="nil"/>
              <w:right w:val="single" w:sz="8" w:space="0" w:color="000000"/>
            </w:tcBorders>
            <w:tcMar>
              <w:top w:w="0" w:type="dxa"/>
              <w:left w:w="108" w:type="dxa"/>
              <w:bottom w:w="0" w:type="dxa"/>
              <w:right w:w="108" w:type="dxa"/>
            </w:tcMar>
            <w:vAlign w:val="bottom"/>
            <w:hideMark/>
          </w:tcPr>
          <w:p w14:paraId="2467A9A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МБ-20 К</w:t>
            </w:r>
          </w:p>
        </w:tc>
        <w:tc>
          <w:tcPr>
            <w:tcW w:w="2935" w:type="dxa"/>
            <w:tcBorders>
              <w:top w:val="nil"/>
              <w:left w:val="nil"/>
              <w:bottom w:val="nil"/>
              <w:right w:val="single" w:sz="8" w:space="0" w:color="000000"/>
            </w:tcBorders>
            <w:tcMar>
              <w:top w:w="0" w:type="dxa"/>
              <w:left w:w="108" w:type="dxa"/>
              <w:bottom w:w="0" w:type="dxa"/>
              <w:right w:w="108" w:type="dxa"/>
            </w:tcMar>
            <w:vAlign w:val="bottom"/>
            <w:hideMark/>
          </w:tcPr>
          <w:p w14:paraId="37E4956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БМ-20 К</w:t>
            </w:r>
          </w:p>
        </w:tc>
      </w:tr>
      <w:tr w:rsidR="004D4663" w:rsidRPr="00070ADE" w14:paraId="52899697"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56930964"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61DC1F4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мощность</w:t>
            </w:r>
          </w:p>
        </w:tc>
        <w:tc>
          <w:tcPr>
            <w:tcW w:w="2836" w:type="dxa"/>
            <w:tcBorders>
              <w:top w:val="nil"/>
              <w:left w:val="nil"/>
              <w:bottom w:val="nil"/>
              <w:right w:val="single" w:sz="8" w:space="0" w:color="000000"/>
            </w:tcBorders>
            <w:tcMar>
              <w:top w:w="0" w:type="dxa"/>
              <w:left w:w="108" w:type="dxa"/>
              <w:bottom w:w="0" w:type="dxa"/>
              <w:right w:w="108" w:type="dxa"/>
            </w:tcMar>
            <w:hideMark/>
          </w:tcPr>
          <w:p w14:paraId="54A92B2E" w14:textId="688C3878"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W</w:t>
            </w:r>
          </w:p>
        </w:tc>
        <w:tc>
          <w:tcPr>
            <w:tcW w:w="2935" w:type="dxa"/>
            <w:tcBorders>
              <w:top w:val="nil"/>
              <w:left w:val="nil"/>
              <w:bottom w:val="nil"/>
              <w:right w:val="single" w:sz="8" w:space="0" w:color="000000"/>
            </w:tcBorders>
            <w:tcMar>
              <w:top w:w="0" w:type="dxa"/>
              <w:left w:w="108" w:type="dxa"/>
              <w:bottom w:w="0" w:type="dxa"/>
              <w:right w:w="108" w:type="dxa"/>
            </w:tcMar>
            <w:hideMark/>
          </w:tcPr>
          <w:p w14:paraId="78EA609E" w14:textId="71B70F6F"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W</w:t>
            </w:r>
          </w:p>
        </w:tc>
      </w:tr>
      <w:tr w:rsidR="004D4663" w:rsidRPr="00070ADE" w14:paraId="19ED58B8"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03630F2D"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0A49EF8B" w14:textId="77777777" w:rsidR="00811C95" w:rsidRPr="00070ADE" w:rsidRDefault="00811C95" w:rsidP="00B56F90">
            <w:pPr>
              <w:spacing w:after="0" w:line="240" w:lineRule="auto"/>
              <w:jc w:val="both"/>
              <w:rPr>
                <w:rFonts w:ascii="Times New Roman" w:hAnsi="Times New Roman"/>
                <w:color w:val="000000" w:themeColor="text1"/>
                <w:sz w:val="16"/>
                <w:szCs w:val="16"/>
              </w:rPr>
            </w:pPr>
            <w:bookmarkStart w:id="115" w:name="_Hlk93237"/>
            <w:bookmarkEnd w:id="115"/>
            <w:r w:rsidRPr="00070ADE">
              <w:rPr>
                <w:rFonts w:ascii="Times New Roman" w:hAnsi="Times New Roman"/>
                <w:color w:val="000000" w:themeColor="text1"/>
                <w:sz w:val="16"/>
                <w:szCs w:val="16"/>
              </w:rPr>
              <w:t>б) напряжение</w:t>
            </w:r>
          </w:p>
        </w:tc>
        <w:tc>
          <w:tcPr>
            <w:tcW w:w="2836" w:type="dxa"/>
            <w:tcBorders>
              <w:top w:val="nil"/>
              <w:left w:val="nil"/>
              <w:bottom w:val="nil"/>
              <w:right w:val="single" w:sz="8" w:space="0" w:color="000000"/>
            </w:tcBorders>
            <w:tcMar>
              <w:top w:w="0" w:type="dxa"/>
              <w:left w:w="108" w:type="dxa"/>
              <w:bottom w:w="0" w:type="dxa"/>
              <w:right w:w="108" w:type="dxa"/>
            </w:tcMar>
            <w:hideMark/>
          </w:tcPr>
          <w:p w14:paraId="517751D4" w14:textId="79E9F75B"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V</w:t>
            </w:r>
          </w:p>
        </w:tc>
        <w:tc>
          <w:tcPr>
            <w:tcW w:w="2935" w:type="dxa"/>
            <w:tcBorders>
              <w:top w:val="nil"/>
              <w:left w:val="nil"/>
              <w:bottom w:val="nil"/>
              <w:right w:val="single" w:sz="8" w:space="0" w:color="000000"/>
            </w:tcBorders>
            <w:tcMar>
              <w:top w:w="0" w:type="dxa"/>
              <w:left w:w="108" w:type="dxa"/>
              <w:bottom w:w="0" w:type="dxa"/>
              <w:right w:w="108" w:type="dxa"/>
            </w:tcMar>
            <w:hideMark/>
          </w:tcPr>
          <w:p w14:paraId="698B23E8" w14:textId="25B35A20"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V</w:t>
            </w:r>
          </w:p>
        </w:tc>
      </w:tr>
      <w:tr w:rsidR="004D4663" w:rsidRPr="00070ADE" w14:paraId="75D51249"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417151BA"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252" w:type="dxa"/>
            <w:gridSpan w:val="3"/>
            <w:tcBorders>
              <w:top w:val="nil"/>
              <w:left w:val="nil"/>
              <w:bottom w:val="nil"/>
              <w:right w:val="single" w:sz="8" w:space="0" w:color="000000"/>
            </w:tcBorders>
            <w:tcMar>
              <w:top w:w="0" w:type="dxa"/>
              <w:left w:w="108" w:type="dxa"/>
              <w:bottom w:w="0" w:type="dxa"/>
              <w:right w:w="108" w:type="dxa"/>
            </w:tcMar>
            <w:hideMark/>
          </w:tcPr>
          <w:p w14:paraId="33591FF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количество</w:t>
            </w:r>
          </w:p>
        </w:tc>
        <w:tc>
          <w:tcPr>
            <w:tcW w:w="2836" w:type="dxa"/>
            <w:tcBorders>
              <w:top w:val="nil"/>
              <w:left w:val="nil"/>
              <w:bottom w:val="nil"/>
              <w:right w:val="single" w:sz="8" w:space="0" w:color="000000"/>
            </w:tcBorders>
            <w:tcMar>
              <w:top w:w="0" w:type="dxa"/>
              <w:left w:w="108" w:type="dxa"/>
              <w:bottom w:w="0" w:type="dxa"/>
              <w:right w:w="108" w:type="dxa"/>
            </w:tcMar>
            <w:hideMark/>
          </w:tcPr>
          <w:p w14:paraId="7D2C26E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шт.</w:t>
            </w:r>
          </w:p>
        </w:tc>
        <w:tc>
          <w:tcPr>
            <w:tcW w:w="2935" w:type="dxa"/>
            <w:tcBorders>
              <w:top w:val="nil"/>
              <w:left w:val="nil"/>
              <w:bottom w:val="nil"/>
              <w:right w:val="single" w:sz="8" w:space="0" w:color="000000"/>
            </w:tcBorders>
            <w:tcMar>
              <w:top w:w="0" w:type="dxa"/>
              <w:left w:w="108" w:type="dxa"/>
              <w:bottom w:w="0" w:type="dxa"/>
              <w:right w:w="108" w:type="dxa"/>
            </w:tcMar>
            <w:hideMark/>
          </w:tcPr>
          <w:p w14:paraId="21DEA7B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шт.</w:t>
            </w:r>
          </w:p>
        </w:tc>
      </w:tr>
      <w:tr w:rsidR="004D4663" w:rsidRPr="00070ADE" w14:paraId="02372BF5" w14:textId="77777777" w:rsidTr="008053EA">
        <w:trPr>
          <w:jc w:val="center"/>
        </w:trPr>
        <w:tc>
          <w:tcPr>
            <w:tcW w:w="953" w:type="dxa"/>
            <w:vMerge w:val="restart"/>
            <w:tcBorders>
              <w:top w:val="nil"/>
              <w:left w:val="single" w:sz="8" w:space="0" w:color="000000"/>
              <w:bottom w:val="nil"/>
              <w:right w:val="single" w:sz="8" w:space="0" w:color="000000"/>
            </w:tcBorders>
            <w:tcMar>
              <w:top w:w="0" w:type="dxa"/>
              <w:left w:w="108" w:type="dxa"/>
              <w:bottom w:w="0" w:type="dxa"/>
              <w:right w:w="108" w:type="dxa"/>
            </w:tcMar>
            <w:hideMark/>
          </w:tcPr>
          <w:p w14:paraId="0A2B6F90" w14:textId="350A8747"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r w:rsidR="00811C95" w:rsidRPr="00070ADE">
              <w:rPr>
                <w:rFonts w:ascii="Times New Roman" w:hAnsi="Times New Roman"/>
                <w:color w:val="000000" w:themeColor="text1"/>
                <w:sz w:val="16"/>
                <w:szCs w:val="16"/>
              </w:rPr>
              <w:t>7.</w:t>
            </w: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3F63904C" w14:textId="135E3E33"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Электромотор</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вентилято-</w:t>
            </w:r>
          </w:p>
          <w:p w14:paraId="69A39B28" w14:textId="01961A6B"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башни – тип</w:t>
            </w:r>
          </w:p>
        </w:tc>
        <w:tc>
          <w:tcPr>
            <w:tcW w:w="2835" w:type="dxa"/>
            <w:tcBorders>
              <w:top w:val="nil"/>
              <w:left w:val="nil"/>
              <w:bottom w:val="nil"/>
              <w:right w:val="single" w:sz="8" w:space="0" w:color="000000"/>
            </w:tcBorders>
            <w:tcMar>
              <w:top w:w="0" w:type="dxa"/>
              <w:left w:w="108" w:type="dxa"/>
              <w:bottom w:w="0" w:type="dxa"/>
              <w:right w:w="108" w:type="dxa"/>
            </w:tcMar>
            <w:vAlign w:val="center"/>
            <w:hideMark/>
          </w:tcPr>
          <w:p w14:paraId="44844EC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МВ-12</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22CF352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МВ-12</w:t>
            </w:r>
          </w:p>
        </w:tc>
      </w:tr>
      <w:tr w:rsidR="004D4663" w:rsidRPr="00070ADE" w14:paraId="20140356"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199E031D"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5DEA3059" w14:textId="77777777" w:rsidR="00811C95" w:rsidRPr="00070ADE" w:rsidRDefault="00811C95" w:rsidP="00B56F90">
            <w:pPr>
              <w:spacing w:after="0" w:line="240" w:lineRule="auto"/>
              <w:jc w:val="both"/>
              <w:rPr>
                <w:rFonts w:ascii="Times New Roman" w:hAnsi="Times New Roman"/>
                <w:color w:val="000000" w:themeColor="text1"/>
                <w:sz w:val="16"/>
                <w:szCs w:val="16"/>
              </w:rPr>
            </w:pPr>
            <w:bookmarkStart w:id="116" w:name="_Hlk93910"/>
            <w:bookmarkEnd w:id="116"/>
            <w:r w:rsidRPr="00070ADE">
              <w:rPr>
                <w:rFonts w:ascii="Times New Roman" w:hAnsi="Times New Roman"/>
                <w:color w:val="000000" w:themeColor="text1"/>
                <w:sz w:val="16"/>
                <w:szCs w:val="16"/>
              </w:rPr>
              <w:t>а) мощность</w:t>
            </w:r>
          </w:p>
        </w:tc>
        <w:tc>
          <w:tcPr>
            <w:tcW w:w="2835" w:type="dxa"/>
            <w:tcBorders>
              <w:top w:val="nil"/>
              <w:left w:val="nil"/>
              <w:bottom w:val="nil"/>
              <w:right w:val="single" w:sz="8" w:space="0" w:color="000000"/>
            </w:tcBorders>
            <w:tcMar>
              <w:top w:w="0" w:type="dxa"/>
              <w:left w:w="108" w:type="dxa"/>
              <w:bottom w:w="0" w:type="dxa"/>
              <w:right w:w="108" w:type="dxa"/>
            </w:tcMar>
            <w:hideMark/>
          </w:tcPr>
          <w:p w14:paraId="7C4DBBBE" w14:textId="2E621F4D"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W</w:t>
            </w:r>
          </w:p>
        </w:tc>
        <w:tc>
          <w:tcPr>
            <w:tcW w:w="2935" w:type="dxa"/>
            <w:tcBorders>
              <w:top w:val="nil"/>
              <w:left w:val="nil"/>
              <w:bottom w:val="nil"/>
              <w:right w:val="single" w:sz="8" w:space="0" w:color="000000"/>
            </w:tcBorders>
            <w:tcMar>
              <w:top w:w="0" w:type="dxa"/>
              <w:left w:w="108" w:type="dxa"/>
              <w:bottom w:w="0" w:type="dxa"/>
              <w:right w:w="108" w:type="dxa"/>
            </w:tcMar>
            <w:hideMark/>
          </w:tcPr>
          <w:p w14:paraId="4D285A10" w14:textId="0AFE3566"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W</w:t>
            </w:r>
          </w:p>
        </w:tc>
      </w:tr>
      <w:tr w:rsidR="004D4663" w:rsidRPr="00070ADE" w14:paraId="1A10FE88"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3AD0C6D2"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7668323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напряжение</w:t>
            </w:r>
          </w:p>
        </w:tc>
        <w:tc>
          <w:tcPr>
            <w:tcW w:w="2835" w:type="dxa"/>
            <w:tcBorders>
              <w:top w:val="nil"/>
              <w:left w:val="nil"/>
              <w:bottom w:val="nil"/>
              <w:right w:val="single" w:sz="8" w:space="0" w:color="000000"/>
            </w:tcBorders>
            <w:tcMar>
              <w:top w:w="0" w:type="dxa"/>
              <w:left w:w="108" w:type="dxa"/>
              <w:bottom w:w="0" w:type="dxa"/>
              <w:right w:w="108" w:type="dxa"/>
            </w:tcMar>
            <w:hideMark/>
          </w:tcPr>
          <w:p w14:paraId="165A5BB8" w14:textId="7577DB8F"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V</w:t>
            </w:r>
          </w:p>
        </w:tc>
        <w:tc>
          <w:tcPr>
            <w:tcW w:w="2935" w:type="dxa"/>
            <w:tcBorders>
              <w:top w:val="nil"/>
              <w:left w:val="nil"/>
              <w:bottom w:val="nil"/>
              <w:right w:val="single" w:sz="8" w:space="0" w:color="000000"/>
            </w:tcBorders>
            <w:tcMar>
              <w:top w:w="0" w:type="dxa"/>
              <w:left w:w="108" w:type="dxa"/>
              <w:bottom w:w="0" w:type="dxa"/>
              <w:right w:w="108" w:type="dxa"/>
            </w:tcMar>
            <w:hideMark/>
          </w:tcPr>
          <w:p w14:paraId="237D541F" w14:textId="2D28F025"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V</w:t>
            </w:r>
          </w:p>
        </w:tc>
      </w:tr>
      <w:tr w:rsidR="004D4663" w:rsidRPr="00070ADE" w14:paraId="72B0FAC7"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19017602"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6818F2F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число оборотов</w:t>
            </w:r>
          </w:p>
        </w:tc>
        <w:tc>
          <w:tcPr>
            <w:tcW w:w="2835" w:type="dxa"/>
            <w:tcBorders>
              <w:top w:val="nil"/>
              <w:left w:val="nil"/>
              <w:bottom w:val="nil"/>
              <w:right w:val="single" w:sz="8" w:space="0" w:color="000000"/>
            </w:tcBorders>
            <w:tcMar>
              <w:top w:w="0" w:type="dxa"/>
              <w:left w:w="108" w:type="dxa"/>
              <w:bottom w:w="0" w:type="dxa"/>
              <w:right w:w="108" w:type="dxa"/>
            </w:tcMar>
            <w:hideMark/>
          </w:tcPr>
          <w:p w14:paraId="202D7EB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2300 об/мин.</w:t>
            </w:r>
          </w:p>
        </w:tc>
        <w:tc>
          <w:tcPr>
            <w:tcW w:w="2935" w:type="dxa"/>
            <w:tcBorders>
              <w:top w:val="nil"/>
              <w:left w:val="nil"/>
              <w:bottom w:val="nil"/>
              <w:right w:val="single" w:sz="8" w:space="0" w:color="000000"/>
            </w:tcBorders>
            <w:tcMar>
              <w:top w:w="0" w:type="dxa"/>
              <w:left w:w="108" w:type="dxa"/>
              <w:bottom w:w="0" w:type="dxa"/>
              <w:right w:w="108" w:type="dxa"/>
            </w:tcMar>
            <w:hideMark/>
          </w:tcPr>
          <w:p w14:paraId="0C63FB6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2300 об/мин.</w:t>
            </w:r>
          </w:p>
        </w:tc>
      </w:tr>
      <w:tr w:rsidR="004D4663" w:rsidRPr="00070ADE" w14:paraId="5A41F3C1"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0A91AC5E"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118E403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потребляемая сила</w:t>
            </w:r>
          </w:p>
          <w:p w14:paraId="1942E61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тока</w:t>
            </w:r>
          </w:p>
        </w:tc>
        <w:tc>
          <w:tcPr>
            <w:tcW w:w="2835" w:type="dxa"/>
            <w:tcBorders>
              <w:top w:val="nil"/>
              <w:left w:val="nil"/>
              <w:bottom w:val="nil"/>
              <w:right w:val="single" w:sz="8" w:space="0" w:color="000000"/>
            </w:tcBorders>
            <w:tcMar>
              <w:top w:w="0" w:type="dxa"/>
              <w:left w:w="108" w:type="dxa"/>
              <w:bottom w:w="0" w:type="dxa"/>
              <w:right w:w="108" w:type="dxa"/>
            </w:tcMar>
            <w:vAlign w:val="center"/>
            <w:hideMark/>
          </w:tcPr>
          <w:p w14:paraId="36828F5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49C3092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r>
      <w:tr w:rsidR="004D4663" w:rsidRPr="00070ADE" w14:paraId="79FBD191"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2F3118D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w:t>
            </w: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0993C9C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Электросигнал</w:t>
            </w:r>
          </w:p>
        </w:tc>
        <w:tc>
          <w:tcPr>
            <w:tcW w:w="2835" w:type="dxa"/>
            <w:tcBorders>
              <w:top w:val="nil"/>
              <w:left w:val="nil"/>
              <w:bottom w:val="nil"/>
              <w:right w:val="single" w:sz="8" w:space="0" w:color="000000"/>
            </w:tcBorders>
            <w:tcMar>
              <w:top w:w="0" w:type="dxa"/>
              <w:left w:w="108" w:type="dxa"/>
              <w:bottom w:w="0" w:type="dxa"/>
              <w:right w:w="108" w:type="dxa"/>
            </w:tcMar>
            <w:vAlign w:val="center"/>
            <w:hideMark/>
          </w:tcPr>
          <w:p w14:paraId="05AFA11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СМ-06</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3DC2EC9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ГФ-12Т</w:t>
            </w:r>
          </w:p>
        </w:tc>
      </w:tr>
      <w:tr w:rsidR="004D4663" w:rsidRPr="00070ADE" w14:paraId="1B9EEDA0" w14:textId="77777777" w:rsidTr="00811C95">
        <w:trPr>
          <w:trHeight w:val="736"/>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CA3B105" w14:textId="66EB416D"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c>
          <w:tcPr>
            <w:tcW w:w="7088" w:type="dxa"/>
            <w:gridSpan w:val="4"/>
            <w:tcBorders>
              <w:top w:val="nil"/>
              <w:left w:val="nil"/>
              <w:bottom w:val="nil"/>
              <w:right w:val="single" w:sz="8" w:space="0" w:color="000000"/>
            </w:tcBorders>
            <w:tcMar>
              <w:top w:w="0" w:type="dxa"/>
              <w:left w:w="108" w:type="dxa"/>
              <w:bottom w:w="0" w:type="dxa"/>
              <w:right w:w="108" w:type="dxa"/>
            </w:tcMar>
            <w:vAlign w:val="center"/>
            <w:hideMark/>
          </w:tcPr>
          <w:p w14:paraId="3ECAE4B5" w14:textId="35B9B6E1" w:rsidR="00811C95" w:rsidRPr="00070ADE" w:rsidRDefault="00C63BA9" w:rsidP="00B56F90">
            <w:pPr>
              <w:spacing w:after="0" w:line="240" w:lineRule="auto"/>
              <w:jc w:val="both"/>
              <w:rPr>
                <w:rFonts w:ascii="Times New Roman" w:hAnsi="Times New Roman"/>
                <w:color w:val="000000" w:themeColor="text1"/>
                <w:sz w:val="16"/>
                <w:szCs w:val="16"/>
              </w:rPr>
            </w:pPr>
            <w:bookmarkStart w:id="117" w:name="OLE_LINK245"/>
            <w:bookmarkStart w:id="118" w:name="OLE_LINK244"/>
            <w:bookmarkEnd w:id="117"/>
            <w:bookmarkEnd w:id="118"/>
            <w:r>
              <w:rPr>
                <w:rFonts w:ascii="Times New Roman" w:hAnsi="Times New Roman"/>
                <w:color w:val="000000" w:themeColor="text1"/>
                <w:sz w:val="16"/>
                <w:szCs w:val="16"/>
              </w:rPr>
              <w:t xml:space="preserve"> </w:t>
            </w:r>
            <w:r w:rsidR="00811C95" w:rsidRPr="00070ADE">
              <w:rPr>
                <w:rFonts w:ascii="Times New Roman" w:hAnsi="Times New Roman"/>
                <w:color w:val="000000" w:themeColor="text1"/>
                <w:sz w:val="16"/>
                <w:szCs w:val="16"/>
              </w:rPr>
              <w:t>23.</w:t>
            </w:r>
            <w:bookmarkStart w:id="119" w:name="OLE_LINK241"/>
            <w:bookmarkStart w:id="120" w:name="OLE_LINK240"/>
            <w:bookmarkEnd w:id="119"/>
            <w:bookmarkEnd w:id="120"/>
            <w:r w:rsidR="00811C95" w:rsidRPr="00070ADE">
              <w:rPr>
                <w:rFonts w:ascii="Times New Roman" w:hAnsi="Times New Roman"/>
                <w:color w:val="000000" w:themeColor="text1"/>
                <w:sz w:val="16"/>
                <w:szCs w:val="16"/>
              </w:rPr>
              <w:t> </w:t>
            </w:r>
            <w:r w:rsidR="00811C95" w:rsidRPr="00070ADE">
              <w:rPr>
                <w:rFonts w:ascii="Times New Roman" w:hAnsi="Times New Roman"/>
                <w:color w:val="000000" w:themeColor="text1"/>
                <w:sz w:val="16"/>
                <w:szCs w:val="16"/>
              </w:rPr>
              <w:t>СВЯЗИ:</w:t>
            </w:r>
            <w:r w:rsidR="00811C95" w:rsidRPr="00070ADE">
              <w:rPr>
                <w:rFonts w:ascii="Times New Roman" w:hAnsi="Times New Roman"/>
                <w:color w:val="000000" w:themeColor="text1"/>
                <w:sz w:val="16"/>
                <w:szCs w:val="16"/>
              </w:rPr>
              <w:t> </w:t>
            </w:r>
            <w:r w:rsidR="00811C95" w:rsidRPr="00070ADE">
              <w:rPr>
                <w:rFonts w:ascii="Times New Roman" w:hAnsi="Times New Roman"/>
                <w:color w:val="000000" w:themeColor="text1"/>
                <w:sz w:val="16"/>
                <w:szCs w:val="16"/>
              </w:rPr>
              <w:t>СРЕДСТВА</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08B4D012" w14:textId="529E7B13"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r>
      <w:tr w:rsidR="004D4663" w:rsidRPr="00070ADE" w14:paraId="3A2B6130" w14:textId="77777777" w:rsidTr="008053EA">
        <w:trPr>
          <w:jc w:val="center"/>
        </w:trPr>
        <w:tc>
          <w:tcPr>
            <w:tcW w:w="953" w:type="dxa"/>
            <w:vMerge w:val="restart"/>
            <w:tcBorders>
              <w:top w:val="nil"/>
              <w:left w:val="single" w:sz="8" w:space="0" w:color="000000"/>
              <w:bottom w:val="nil"/>
              <w:right w:val="single" w:sz="8" w:space="0" w:color="000000"/>
            </w:tcBorders>
            <w:tcMar>
              <w:top w:w="0" w:type="dxa"/>
              <w:left w:w="108" w:type="dxa"/>
              <w:bottom w:w="0" w:type="dxa"/>
              <w:right w:w="108" w:type="dxa"/>
            </w:tcMar>
            <w:hideMark/>
          </w:tcPr>
          <w:p w14:paraId="3B0ED79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4372564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Внешняя связь:</w:t>
            </w:r>
          </w:p>
        </w:tc>
        <w:tc>
          <w:tcPr>
            <w:tcW w:w="2835" w:type="dxa"/>
            <w:tcBorders>
              <w:top w:val="nil"/>
              <w:left w:val="nil"/>
              <w:bottom w:val="nil"/>
              <w:right w:val="single" w:sz="8" w:space="0" w:color="000000"/>
            </w:tcBorders>
            <w:tcMar>
              <w:top w:w="0" w:type="dxa"/>
              <w:left w:w="108" w:type="dxa"/>
              <w:bottom w:w="0" w:type="dxa"/>
              <w:right w:w="108" w:type="dxa"/>
            </w:tcMar>
            <w:hideMark/>
          </w:tcPr>
          <w:p w14:paraId="146412F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Радиостанция</w:t>
            </w:r>
          </w:p>
        </w:tc>
        <w:tc>
          <w:tcPr>
            <w:tcW w:w="2935" w:type="dxa"/>
            <w:tcBorders>
              <w:top w:val="nil"/>
              <w:left w:val="nil"/>
              <w:bottom w:val="nil"/>
              <w:right w:val="single" w:sz="8" w:space="0" w:color="000000"/>
            </w:tcBorders>
            <w:tcMar>
              <w:top w:w="0" w:type="dxa"/>
              <w:left w:w="108" w:type="dxa"/>
              <w:bottom w:w="0" w:type="dxa"/>
              <w:right w:w="108" w:type="dxa"/>
            </w:tcMar>
            <w:hideMark/>
          </w:tcPr>
          <w:p w14:paraId="5E388AA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Радиостанция</w:t>
            </w:r>
          </w:p>
        </w:tc>
      </w:tr>
      <w:tr w:rsidR="004D4663" w:rsidRPr="00070ADE" w14:paraId="5C47EDA9"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2D3C3D57"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7B09F05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тип радиостанции</w:t>
            </w:r>
          </w:p>
        </w:tc>
        <w:tc>
          <w:tcPr>
            <w:tcW w:w="2835" w:type="dxa"/>
            <w:tcBorders>
              <w:top w:val="nil"/>
              <w:left w:val="nil"/>
              <w:bottom w:val="nil"/>
              <w:right w:val="single" w:sz="8" w:space="0" w:color="000000"/>
            </w:tcBorders>
            <w:tcMar>
              <w:top w:w="0" w:type="dxa"/>
              <w:left w:w="108" w:type="dxa"/>
              <w:bottom w:w="0" w:type="dxa"/>
              <w:right w:w="108" w:type="dxa"/>
            </w:tcMar>
            <w:hideMark/>
          </w:tcPr>
          <w:p w14:paraId="4756539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9РУ</w:t>
            </w:r>
          </w:p>
        </w:tc>
        <w:tc>
          <w:tcPr>
            <w:tcW w:w="2935" w:type="dxa"/>
            <w:tcBorders>
              <w:top w:val="nil"/>
              <w:left w:val="nil"/>
              <w:bottom w:val="nil"/>
              <w:right w:val="single" w:sz="8" w:space="0" w:color="000000"/>
            </w:tcBorders>
            <w:tcMar>
              <w:top w:w="0" w:type="dxa"/>
              <w:left w:w="108" w:type="dxa"/>
              <w:bottom w:w="0" w:type="dxa"/>
              <w:right w:w="108" w:type="dxa"/>
            </w:tcMar>
            <w:hideMark/>
          </w:tcPr>
          <w:p w14:paraId="55D15F7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9РМ</w:t>
            </w:r>
          </w:p>
        </w:tc>
      </w:tr>
      <w:tr w:rsidR="004D4663" w:rsidRPr="00070ADE" w14:paraId="367EEA17"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4E754449"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03C980D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радиус действия</w:t>
            </w:r>
          </w:p>
        </w:tc>
        <w:tc>
          <w:tcPr>
            <w:tcW w:w="2835" w:type="dxa"/>
            <w:tcBorders>
              <w:top w:val="nil"/>
              <w:left w:val="nil"/>
              <w:bottom w:val="nil"/>
              <w:right w:val="single" w:sz="8" w:space="0" w:color="000000"/>
            </w:tcBorders>
            <w:tcMar>
              <w:top w:w="0" w:type="dxa"/>
              <w:left w:w="108" w:type="dxa"/>
              <w:bottom w:w="0" w:type="dxa"/>
              <w:right w:w="108" w:type="dxa"/>
            </w:tcMar>
            <w:hideMark/>
          </w:tcPr>
          <w:p w14:paraId="64603CD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bookmarkStart w:id="121" w:name="OLE_LINK247"/>
            <w:bookmarkStart w:id="122" w:name="OLE_LINK246"/>
            <w:bookmarkEnd w:id="121"/>
            <w:bookmarkEnd w:id="122"/>
            <w:r w:rsidRPr="00070ADE">
              <w:rPr>
                <w:rFonts w:ascii="Times New Roman" w:hAnsi="Times New Roman"/>
                <w:color w:val="000000" w:themeColor="text1"/>
                <w:sz w:val="16"/>
                <w:szCs w:val="16"/>
              </w:rPr>
              <w:t>÷22 км</w:t>
            </w:r>
          </w:p>
        </w:tc>
        <w:tc>
          <w:tcPr>
            <w:tcW w:w="2935" w:type="dxa"/>
            <w:tcBorders>
              <w:top w:val="nil"/>
              <w:left w:val="nil"/>
              <w:bottom w:val="nil"/>
              <w:right w:val="single" w:sz="8" w:space="0" w:color="000000"/>
            </w:tcBorders>
            <w:tcMar>
              <w:top w:w="0" w:type="dxa"/>
              <w:left w:w="108" w:type="dxa"/>
              <w:bottom w:w="0" w:type="dxa"/>
              <w:right w:w="108" w:type="dxa"/>
            </w:tcMar>
            <w:hideMark/>
          </w:tcPr>
          <w:p w14:paraId="5B0A558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 17 км.</w:t>
            </w:r>
          </w:p>
        </w:tc>
      </w:tr>
      <w:tr w:rsidR="004D4663" w:rsidRPr="00070ADE" w14:paraId="099A0F22" w14:textId="77777777" w:rsidTr="008053EA">
        <w:trPr>
          <w:jc w:val="center"/>
        </w:trPr>
        <w:tc>
          <w:tcPr>
            <w:tcW w:w="953" w:type="dxa"/>
            <w:vMerge/>
            <w:tcBorders>
              <w:top w:val="nil"/>
              <w:left w:val="single" w:sz="8" w:space="0" w:color="000000"/>
              <w:bottom w:val="nil"/>
              <w:right w:val="single" w:sz="8" w:space="0" w:color="000000"/>
            </w:tcBorders>
            <w:vAlign w:val="center"/>
            <w:hideMark/>
          </w:tcPr>
          <w:p w14:paraId="3DE73EFC" w14:textId="77777777" w:rsidR="00811C95" w:rsidRPr="00070ADE" w:rsidRDefault="00811C95" w:rsidP="00B56F90">
            <w:pPr>
              <w:spacing w:after="0" w:line="240" w:lineRule="auto"/>
              <w:jc w:val="both"/>
              <w:rPr>
                <w:rFonts w:ascii="Times New Roman" w:hAnsi="Times New Roman"/>
                <w:color w:val="000000" w:themeColor="text1"/>
                <w:sz w:val="16"/>
                <w:szCs w:val="16"/>
              </w:rPr>
            </w:pP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6B68201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размещение</w:t>
            </w:r>
          </w:p>
        </w:tc>
        <w:tc>
          <w:tcPr>
            <w:tcW w:w="2835" w:type="dxa"/>
            <w:tcBorders>
              <w:top w:val="nil"/>
              <w:left w:val="nil"/>
              <w:bottom w:val="nil"/>
              <w:right w:val="single" w:sz="8" w:space="0" w:color="000000"/>
            </w:tcBorders>
            <w:tcMar>
              <w:top w:w="0" w:type="dxa"/>
              <w:left w:w="108" w:type="dxa"/>
              <w:bottom w:w="0" w:type="dxa"/>
              <w:right w:w="108" w:type="dxa"/>
            </w:tcMar>
            <w:hideMark/>
          </w:tcPr>
          <w:p w14:paraId="14A3E454" w14:textId="67F3EE4A"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башне 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ле-</w:t>
            </w:r>
          </w:p>
          <w:p w14:paraId="6E7B399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вой стороны</w:t>
            </w:r>
          </w:p>
          <w:p w14:paraId="085C3B5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командира.</w:t>
            </w:r>
          </w:p>
        </w:tc>
        <w:tc>
          <w:tcPr>
            <w:tcW w:w="2935" w:type="dxa"/>
            <w:tcBorders>
              <w:top w:val="nil"/>
              <w:left w:val="nil"/>
              <w:bottom w:val="nil"/>
              <w:right w:val="single" w:sz="8" w:space="0" w:color="000000"/>
            </w:tcBorders>
            <w:tcMar>
              <w:top w:w="0" w:type="dxa"/>
              <w:left w:w="108" w:type="dxa"/>
              <w:bottom w:w="0" w:type="dxa"/>
              <w:right w:w="108" w:type="dxa"/>
            </w:tcMar>
            <w:hideMark/>
          </w:tcPr>
          <w:p w14:paraId="555DD73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башне с</w:t>
            </w:r>
          </w:p>
          <w:p w14:paraId="0C164BE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левой стороны</w:t>
            </w:r>
          </w:p>
          <w:p w14:paraId="4E6B68A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командира.</w:t>
            </w:r>
          </w:p>
        </w:tc>
      </w:tr>
      <w:tr w:rsidR="004D4663" w:rsidRPr="00070ADE" w14:paraId="40690799"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6433DA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w:t>
            </w: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0CA01EC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Внутренняя связь</w:t>
            </w:r>
          </w:p>
        </w:tc>
        <w:tc>
          <w:tcPr>
            <w:tcW w:w="2835" w:type="dxa"/>
            <w:tcBorders>
              <w:top w:val="nil"/>
              <w:left w:val="nil"/>
              <w:bottom w:val="nil"/>
              <w:right w:val="single" w:sz="8" w:space="0" w:color="000000"/>
            </w:tcBorders>
            <w:tcMar>
              <w:top w:w="0" w:type="dxa"/>
              <w:left w:w="108" w:type="dxa"/>
              <w:bottom w:w="0" w:type="dxa"/>
              <w:right w:w="108" w:type="dxa"/>
            </w:tcMar>
            <w:hideMark/>
          </w:tcPr>
          <w:p w14:paraId="75C8C739" w14:textId="77777777" w:rsidR="00811C95" w:rsidRPr="00070ADE" w:rsidRDefault="00811C95" w:rsidP="00B56F90">
            <w:pPr>
              <w:spacing w:after="0" w:line="240" w:lineRule="auto"/>
              <w:jc w:val="both"/>
              <w:rPr>
                <w:rFonts w:ascii="Times New Roman" w:hAnsi="Times New Roman"/>
                <w:color w:val="000000" w:themeColor="text1"/>
                <w:sz w:val="16"/>
                <w:szCs w:val="16"/>
              </w:rPr>
            </w:pPr>
            <w:bookmarkStart w:id="123" w:name="OLE_LINK249"/>
            <w:bookmarkStart w:id="124" w:name="OLE_LINK248"/>
            <w:bookmarkEnd w:id="123"/>
            <w:bookmarkEnd w:id="124"/>
            <w:r w:rsidRPr="00070ADE">
              <w:rPr>
                <w:rFonts w:ascii="Times New Roman" w:hAnsi="Times New Roman"/>
                <w:color w:val="000000" w:themeColor="text1"/>
                <w:sz w:val="16"/>
                <w:szCs w:val="16"/>
              </w:rPr>
              <w:t>ТПУ-3-БИС-Ф</w:t>
            </w:r>
          </w:p>
          <w:p w14:paraId="328FD23D" w14:textId="4A6599F8"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стреляющ.</w:t>
            </w:r>
          </w:p>
          <w:p w14:paraId="528143C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2-у командира.</w:t>
            </w:r>
          </w:p>
          <w:p w14:paraId="441300E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3-у водителя.</w:t>
            </w:r>
          </w:p>
        </w:tc>
        <w:tc>
          <w:tcPr>
            <w:tcW w:w="2935" w:type="dxa"/>
            <w:tcBorders>
              <w:top w:val="nil"/>
              <w:left w:val="nil"/>
              <w:bottom w:val="nil"/>
              <w:right w:val="single" w:sz="8" w:space="0" w:color="000000"/>
            </w:tcBorders>
            <w:tcMar>
              <w:top w:w="0" w:type="dxa"/>
              <w:left w:w="108" w:type="dxa"/>
              <w:bottom w:w="0" w:type="dxa"/>
              <w:right w:w="108" w:type="dxa"/>
            </w:tcMar>
            <w:vAlign w:val="center"/>
            <w:hideMark/>
          </w:tcPr>
          <w:p w14:paraId="2816EB0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ТПУ-3-БИС-Ф</w:t>
            </w:r>
          </w:p>
          <w:p w14:paraId="12421840" w14:textId="7D56A5AC"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стреляю-щего.</w:t>
            </w:r>
          </w:p>
          <w:p w14:paraId="0CA8FA0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2-укомандира.</w:t>
            </w:r>
          </w:p>
          <w:p w14:paraId="498CFA3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3-у водителя.</w:t>
            </w:r>
          </w:p>
        </w:tc>
      </w:tr>
      <w:tr w:rsidR="004D4663" w:rsidRPr="00070ADE" w14:paraId="19C6C7C0" w14:textId="77777777" w:rsidTr="00811C95">
        <w:trPr>
          <w:trHeight w:val="736"/>
          <w:jc w:val="center"/>
        </w:trPr>
        <w:tc>
          <w:tcPr>
            <w:tcW w:w="10976" w:type="dxa"/>
            <w:gridSpan w:val="6"/>
            <w:tcBorders>
              <w:top w:val="nil"/>
              <w:left w:val="single" w:sz="8" w:space="0" w:color="000000"/>
              <w:bottom w:val="nil"/>
              <w:right w:val="single" w:sz="8" w:space="0" w:color="000000"/>
            </w:tcBorders>
            <w:tcMar>
              <w:top w:w="0" w:type="dxa"/>
              <w:left w:w="108" w:type="dxa"/>
              <w:bottom w:w="0" w:type="dxa"/>
              <w:right w:w="108" w:type="dxa"/>
            </w:tcMar>
            <w:vAlign w:val="center"/>
            <w:hideMark/>
          </w:tcPr>
          <w:p w14:paraId="185541B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24.НАБЛЮДЕНИЯ.</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СРЕДСТВА</w:t>
            </w:r>
            <w:r w:rsidRPr="00070ADE">
              <w:rPr>
                <w:rFonts w:ascii="Times New Roman" w:hAnsi="Times New Roman"/>
                <w:color w:val="000000" w:themeColor="text1"/>
                <w:sz w:val="16"/>
                <w:szCs w:val="16"/>
              </w:rPr>
              <w:t> </w:t>
            </w:r>
          </w:p>
        </w:tc>
      </w:tr>
      <w:tr w:rsidR="004D4663" w:rsidRPr="00070ADE" w14:paraId="4A223712"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79E9C20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17C65A7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Водителя</w:t>
            </w:r>
          </w:p>
        </w:tc>
        <w:tc>
          <w:tcPr>
            <w:tcW w:w="2835" w:type="dxa"/>
            <w:tcBorders>
              <w:top w:val="nil"/>
              <w:left w:val="nil"/>
              <w:bottom w:val="nil"/>
              <w:right w:val="single" w:sz="8" w:space="0" w:color="000000"/>
            </w:tcBorders>
            <w:tcMar>
              <w:top w:w="0" w:type="dxa"/>
              <w:left w:w="108" w:type="dxa"/>
              <w:bottom w:w="0" w:type="dxa"/>
              <w:right w:w="108" w:type="dxa"/>
            </w:tcMar>
            <w:hideMark/>
          </w:tcPr>
          <w:p w14:paraId="2F8A71A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Смотровой люк</w:t>
            </w:r>
          </w:p>
          <w:p w14:paraId="6D372AB9" w14:textId="6DAE343F"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392-75 в носовом листе, снабжен щелью 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триплек-сом. Вращающая башенка 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смот-ровым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прибором</w:t>
            </w:r>
          </w:p>
          <w:p w14:paraId="786EDC3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типа "МК-IV".</w:t>
            </w:r>
          </w:p>
          <w:p w14:paraId="5003F2B1" w14:textId="70605B33"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Щелевой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смотро-вой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прибор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ле-вом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борту с</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приз-моймногократ-ного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отражения</w:t>
            </w:r>
          </w:p>
        </w:tc>
        <w:tc>
          <w:tcPr>
            <w:tcW w:w="2935" w:type="dxa"/>
            <w:tcBorders>
              <w:top w:val="nil"/>
              <w:left w:val="nil"/>
              <w:bottom w:val="nil"/>
              <w:right w:val="single" w:sz="8" w:space="0" w:color="000000"/>
            </w:tcBorders>
            <w:tcMar>
              <w:top w:w="0" w:type="dxa"/>
              <w:left w:w="108" w:type="dxa"/>
              <w:bottom w:w="0" w:type="dxa"/>
              <w:right w:w="108" w:type="dxa"/>
            </w:tcMar>
            <w:hideMark/>
          </w:tcPr>
          <w:p w14:paraId="428244B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Смотровой</w:t>
            </w:r>
          </w:p>
          <w:p w14:paraId="1A94221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люк лаз с</w:t>
            </w:r>
          </w:p>
          <w:p w14:paraId="3FEB8F0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дублирующим</w:t>
            </w:r>
          </w:p>
          <w:p w14:paraId="4ADA3FB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примененным</w:t>
            </w:r>
          </w:p>
          <w:p w14:paraId="31CABF8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прибором.</w:t>
            </w:r>
          </w:p>
        </w:tc>
      </w:tr>
      <w:tr w:rsidR="004D4663" w:rsidRPr="00070ADE" w14:paraId="59C702FF"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1DA77AA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3D18BBE5" w14:textId="77777777" w:rsidR="00811C95" w:rsidRPr="00070ADE" w:rsidRDefault="00811C95" w:rsidP="00B56F90">
            <w:pPr>
              <w:spacing w:after="0" w:line="240" w:lineRule="auto"/>
              <w:jc w:val="both"/>
              <w:rPr>
                <w:rFonts w:ascii="Times New Roman" w:hAnsi="Times New Roman"/>
                <w:color w:val="000000" w:themeColor="text1"/>
                <w:sz w:val="16"/>
                <w:szCs w:val="16"/>
              </w:rPr>
            </w:pPr>
            <w:bookmarkStart w:id="125" w:name="OLE_LINK253"/>
            <w:bookmarkStart w:id="126" w:name="OLE_LINK252"/>
            <w:bookmarkEnd w:id="125"/>
            <w:bookmarkEnd w:id="126"/>
            <w:r w:rsidRPr="00070ADE">
              <w:rPr>
                <w:rFonts w:ascii="Times New Roman" w:hAnsi="Times New Roman"/>
                <w:color w:val="000000" w:themeColor="text1"/>
                <w:sz w:val="16"/>
                <w:szCs w:val="16"/>
              </w:rPr>
              <w:t>Командира</w:t>
            </w:r>
          </w:p>
        </w:tc>
        <w:tc>
          <w:tcPr>
            <w:tcW w:w="2835" w:type="dxa"/>
            <w:tcBorders>
              <w:top w:val="nil"/>
              <w:left w:val="nil"/>
              <w:bottom w:val="nil"/>
              <w:right w:val="single" w:sz="8" w:space="0" w:color="000000"/>
            </w:tcBorders>
            <w:tcMar>
              <w:top w:w="0" w:type="dxa"/>
              <w:left w:w="108" w:type="dxa"/>
              <w:bottom w:w="0" w:type="dxa"/>
              <w:right w:w="108" w:type="dxa"/>
            </w:tcMar>
            <w:hideMark/>
          </w:tcPr>
          <w:p w14:paraId="78ED239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Командирская башен-</w:t>
            </w:r>
          </w:p>
          <w:p w14:paraId="3C7C6606" w14:textId="4563E3DA"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 смотровым</w:t>
            </w:r>
          </w:p>
          <w:p w14:paraId="0B62D75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прибором типа</w:t>
            </w:r>
          </w:p>
          <w:p w14:paraId="69EAD773" w14:textId="5608B808"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МК-IV</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на вращаю-</w:t>
            </w:r>
          </w:p>
          <w:p w14:paraId="71584A3D" w14:textId="1EFA5BFA"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щемся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люке и 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ще-</w:t>
            </w:r>
          </w:p>
          <w:p w14:paraId="632502D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левыми приборами,</w:t>
            </w:r>
          </w:p>
          <w:p w14:paraId="1DEAD58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оборудованными приз-</w:t>
            </w:r>
          </w:p>
          <w:p w14:paraId="550EC408" w14:textId="003611C5"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мами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многократного</w:t>
            </w:r>
          </w:p>
          <w:p w14:paraId="328349E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отражения.</w:t>
            </w:r>
          </w:p>
        </w:tc>
        <w:tc>
          <w:tcPr>
            <w:tcW w:w="2935" w:type="dxa"/>
            <w:tcBorders>
              <w:top w:val="nil"/>
              <w:left w:val="nil"/>
              <w:bottom w:val="nil"/>
              <w:right w:val="single" w:sz="8" w:space="0" w:color="000000"/>
            </w:tcBorders>
            <w:tcMar>
              <w:top w:w="0" w:type="dxa"/>
              <w:left w:w="108" w:type="dxa"/>
              <w:bottom w:w="0" w:type="dxa"/>
              <w:right w:w="108" w:type="dxa"/>
            </w:tcMar>
            <w:hideMark/>
          </w:tcPr>
          <w:p w14:paraId="71B66147" w14:textId="021DA2B3"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Командирская</w:t>
            </w:r>
            <w:r w:rsidR="00B643A8" w:rsidRPr="00070ADE">
              <w:rPr>
                <w:rFonts w:ascii="Times New Roman" w:hAnsi="Times New Roman"/>
                <w:color w:val="000000" w:themeColor="text1"/>
                <w:sz w:val="16"/>
                <w:szCs w:val="16"/>
              </w:rPr>
              <w:t xml:space="preserve"> </w:t>
            </w:r>
          </w:p>
          <w:p w14:paraId="7CBEDC7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башенка с смотровым при-</w:t>
            </w:r>
          </w:p>
          <w:p w14:paraId="411DF02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бором типа</w:t>
            </w:r>
          </w:p>
          <w:p w14:paraId="34928698" w14:textId="5BC72343"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МК-IV</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 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ще-</w:t>
            </w:r>
          </w:p>
          <w:p w14:paraId="7442562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левыми прибора-</w:t>
            </w:r>
          </w:p>
          <w:p w14:paraId="2FF0D7D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 Призменный</w:t>
            </w:r>
          </w:p>
          <w:p w14:paraId="4594FE5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вращающийся</w:t>
            </w:r>
          </w:p>
          <w:p w14:paraId="7FEE220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прибор и телес-</w:t>
            </w:r>
          </w:p>
          <w:p w14:paraId="6D9C38E3" w14:textId="0D78D6D4"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копический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шар-</w:t>
            </w:r>
          </w:p>
          <w:p w14:paraId="1D3F4E49" w14:textId="09C70800"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нирный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прицел</w:t>
            </w:r>
          </w:p>
          <w:p w14:paraId="20AAF6B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ТШ-13.</w:t>
            </w:r>
          </w:p>
        </w:tc>
      </w:tr>
      <w:tr w:rsidR="004D4663" w:rsidRPr="00070ADE" w14:paraId="071880A4" w14:textId="77777777" w:rsidTr="008053EA">
        <w:trPr>
          <w:jc w:val="center"/>
        </w:trPr>
        <w:tc>
          <w:tcPr>
            <w:tcW w:w="953" w:type="dxa"/>
            <w:tcBorders>
              <w:top w:val="nil"/>
              <w:left w:val="single" w:sz="8" w:space="0" w:color="000000"/>
              <w:bottom w:val="nil"/>
              <w:right w:val="single" w:sz="8" w:space="0" w:color="000000"/>
            </w:tcBorders>
            <w:tcMar>
              <w:top w:w="0" w:type="dxa"/>
              <w:left w:w="108" w:type="dxa"/>
              <w:bottom w:w="0" w:type="dxa"/>
              <w:right w:w="108" w:type="dxa"/>
            </w:tcMar>
            <w:hideMark/>
          </w:tcPr>
          <w:p w14:paraId="42CAE5E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p>
        </w:tc>
        <w:tc>
          <w:tcPr>
            <w:tcW w:w="4253" w:type="dxa"/>
            <w:gridSpan w:val="3"/>
            <w:tcBorders>
              <w:top w:val="nil"/>
              <w:left w:val="nil"/>
              <w:bottom w:val="nil"/>
              <w:right w:val="single" w:sz="8" w:space="0" w:color="000000"/>
            </w:tcBorders>
            <w:tcMar>
              <w:top w:w="0" w:type="dxa"/>
              <w:left w:w="108" w:type="dxa"/>
              <w:bottom w:w="0" w:type="dxa"/>
              <w:right w:w="108" w:type="dxa"/>
            </w:tcMar>
            <w:hideMark/>
          </w:tcPr>
          <w:p w14:paraId="7CE28CA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Стреляющего</w:t>
            </w:r>
          </w:p>
        </w:tc>
        <w:tc>
          <w:tcPr>
            <w:tcW w:w="2835" w:type="dxa"/>
            <w:tcBorders>
              <w:top w:val="nil"/>
              <w:left w:val="nil"/>
              <w:bottom w:val="nil"/>
              <w:right w:val="single" w:sz="8" w:space="0" w:color="000000"/>
            </w:tcBorders>
            <w:tcMar>
              <w:top w:w="0" w:type="dxa"/>
              <w:left w:w="108" w:type="dxa"/>
              <w:bottom w:w="0" w:type="dxa"/>
              <w:right w:w="108" w:type="dxa"/>
            </w:tcMar>
            <w:hideMark/>
          </w:tcPr>
          <w:p w14:paraId="1A3AFCA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Смотровой прибор</w:t>
            </w:r>
          </w:p>
          <w:p w14:paraId="63FB2A45" w14:textId="674D6B0F"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типа МК-IV</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 телес-</w:t>
            </w:r>
          </w:p>
          <w:p w14:paraId="35917B39" w14:textId="4A2291BD"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копический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шарнир-</w:t>
            </w:r>
          </w:p>
          <w:p w14:paraId="2931119A" w14:textId="7F634E71"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ный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прицел.</w:t>
            </w:r>
          </w:p>
        </w:tc>
        <w:tc>
          <w:tcPr>
            <w:tcW w:w="2935" w:type="dxa"/>
            <w:tcBorders>
              <w:top w:val="nil"/>
              <w:left w:val="nil"/>
              <w:bottom w:val="nil"/>
              <w:right w:val="single" w:sz="8" w:space="0" w:color="000000"/>
            </w:tcBorders>
            <w:tcMar>
              <w:top w:w="0" w:type="dxa"/>
              <w:left w:w="108" w:type="dxa"/>
              <w:bottom w:w="0" w:type="dxa"/>
              <w:right w:w="108" w:type="dxa"/>
            </w:tcMar>
            <w:hideMark/>
          </w:tcPr>
          <w:p w14:paraId="5A7CF6E4" w14:textId="704EC5B7" w:rsidR="00811C95"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p>
        </w:tc>
      </w:tr>
      <w:tr w:rsidR="004D4663" w:rsidRPr="00070ADE" w14:paraId="65EAF23A" w14:textId="77777777" w:rsidTr="008053EA">
        <w:trPr>
          <w:jc w:val="center"/>
        </w:trPr>
        <w:tc>
          <w:tcPr>
            <w:tcW w:w="953" w:type="dxa"/>
            <w:tcBorders>
              <w:top w:val="nil"/>
              <w:left w:val="single" w:sz="8" w:space="0" w:color="000000"/>
              <w:bottom w:val="single" w:sz="8" w:space="0" w:color="auto"/>
              <w:right w:val="single" w:sz="8" w:space="0" w:color="000000"/>
            </w:tcBorders>
            <w:tcMar>
              <w:top w:w="0" w:type="dxa"/>
              <w:left w:w="108" w:type="dxa"/>
              <w:bottom w:w="0" w:type="dxa"/>
              <w:right w:w="108" w:type="dxa"/>
            </w:tcMar>
            <w:hideMark/>
          </w:tcPr>
          <w:p w14:paraId="520BD81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w:t>
            </w:r>
          </w:p>
        </w:tc>
        <w:tc>
          <w:tcPr>
            <w:tcW w:w="4253" w:type="dxa"/>
            <w:gridSpan w:val="3"/>
            <w:tcBorders>
              <w:top w:val="nil"/>
              <w:left w:val="nil"/>
              <w:bottom w:val="single" w:sz="8" w:space="0" w:color="auto"/>
              <w:right w:val="single" w:sz="8" w:space="0" w:color="000000"/>
            </w:tcBorders>
            <w:tcMar>
              <w:top w:w="0" w:type="dxa"/>
              <w:left w:w="108" w:type="dxa"/>
              <w:bottom w:w="0" w:type="dxa"/>
              <w:right w:w="108" w:type="dxa"/>
            </w:tcMar>
            <w:hideMark/>
          </w:tcPr>
          <w:p w14:paraId="2B6CB86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Заряжающего</w:t>
            </w:r>
          </w:p>
        </w:tc>
        <w:tc>
          <w:tcPr>
            <w:tcW w:w="2835" w:type="dxa"/>
            <w:tcBorders>
              <w:top w:val="nil"/>
              <w:left w:val="nil"/>
              <w:bottom w:val="single" w:sz="8" w:space="0" w:color="auto"/>
              <w:right w:val="single" w:sz="8" w:space="0" w:color="000000"/>
            </w:tcBorders>
            <w:tcMar>
              <w:top w:w="0" w:type="dxa"/>
              <w:left w:w="108" w:type="dxa"/>
              <w:bottom w:w="0" w:type="dxa"/>
              <w:right w:w="108" w:type="dxa"/>
            </w:tcMar>
            <w:hideMark/>
          </w:tcPr>
          <w:p w14:paraId="04EB120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Смотровой прибор</w:t>
            </w:r>
          </w:p>
          <w:p w14:paraId="49202CE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типа МК-IV.</w:t>
            </w:r>
          </w:p>
        </w:tc>
        <w:tc>
          <w:tcPr>
            <w:tcW w:w="2935" w:type="dxa"/>
            <w:tcBorders>
              <w:top w:val="nil"/>
              <w:left w:val="nil"/>
              <w:bottom w:val="single" w:sz="8" w:space="0" w:color="auto"/>
              <w:right w:val="single" w:sz="8" w:space="0" w:color="000000"/>
            </w:tcBorders>
            <w:tcMar>
              <w:top w:w="0" w:type="dxa"/>
              <w:left w:w="108" w:type="dxa"/>
              <w:bottom w:w="0" w:type="dxa"/>
              <w:right w:w="108" w:type="dxa"/>
            </w:tcMar>
            <w:hideMark/>
          </w:tcPr>
          <w:p w14:paraId="72676BE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Вращающийся</w:t>
            </w:r>
          </w:p>
          <w:p w14:paraId="04A2D8B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призменный</w:t>
            </w:r>
          </w:p>
          <w:p w14:paraId="76613BBF" w14:textId="49645188"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прибор 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щеле-</w:t>
            </w:r>
          </w:p>
          <w:p w14:paraId="0B3E08F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 прибор.</w:t>
            </w:r>
          </w:p>
        </w:tc>
      </w:tr>
    </w:tbl>
    <w:p w14:paraId="015B76A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УСЛОВИЯ ИСПЫТАНИЙ.</w:t>
      </w:r>
    </w:p>
    <w:p w14:paraId="2CE2FD5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ходовые, так и специальные испытания танк проходил с полным боевым комплектом снарядов и патронов, а также возимым комплектом инструмента и запасных частей.</w:t>
      </w:r>
    </w:p>
    <w:p w14:paraId="1B1DE04E" w14:textId="40AFD10E"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танка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эксплоатировался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на дизельном топливе и авиамасле МК.</w:t>
      </w:r>
    </w:p>
    <w:p w14:paraId="6432CC5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Смазка агрегатов трансмиссии и ходовой части производилась маслами рекомендуемыми заводом.</w:t>
      </w:r>
    </w:p>
    <w:p w14:paraId="0BD5158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Ходовые испытания проводились:</w:t>
      </w:r>
    </w:p>
    <w:p w14:paraId="08A8CDB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асфальтовому шоссе – Москва-Минск:</w:t>
      </w:r>
    </w:p>
    <w:p w14:paraId="4EE9ADB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разбитой танками проселочной дороге (колонный танковый путь) с глубокими выбоинами и ухабами, подъемами и спусками до 10°, крутыми поворотами.</w:t>
      </w:r>
    </w:p>
    <w:p w14:paraId="75BB22F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Испытательный участок проходил по пересеченной местности - перерезанной тремя речками, глубиной 0,5-1,0 м шириной 4-5 м. Маршрут, на 30-35% проходит по лесным участкам:</w:t>
      </w:r>
    </w:p>
    <w:p w14:paraId="27387E59" w14:textId="7706E65A"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проходили при температуре окружающего воздуха от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15°С до ÷</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40°С.</w:t>
      </w:r>
    </w:p>
    <w:p w14:paraId="3D53ED7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пробеги проведены на максимально возможных, по дорожным условиям и тепловому режиму работы двигателя, скоростях.</w:t>
      </w:r>
    </w:p>
    <w:p w14:paraId="57CA56A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испытании управление танком производилось заводскими водителями.</w:t>
      </w:r>
    </w:p>
    <w:p w14:paraId="086B561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Испытание вооружения отстрелом производилось инженером-артиллеристом НИБТ Полигона.</w:t>
      </w:r>
    </w:p>
    <w:p w14:paraId="18D312F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Периодичность технических осмотров и обслуживание проводилось в соответствии с указаниями заводских представителей.</w:t>
      </w:r>
    </w:p>
    <w:p w14:paraId="748A65D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Ремонт танка производился мастерскими НИБТ Полигона и экипажем танка.</w:t>
      </w:r>
    </w:p>
    <w:p w14:paraId="7C70DA9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VIII. ВЫВОДЫ.</w:t>
      </w:r>
    </w:p>
    <w:p w14:paraId="107EC0C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проведенных испытании второго опытного образца танка Т-44, комиссия пришла к следующим выводам:</w:t>
      </w:r>
    </w:p>
    <w:p w14:paraId="69B657C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Танк Т-44, по сравнению с танком Т-34-35 имеет следующие преимущества:</w:t>
      </w:r>
    </w:p>
    <w:p w14:paraId="1351493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усиленную броневую защиту, при сохранении веса серийного танка Т-34-85;</w:t>
      </w:r>
    </w:p>
    <w:p w14:paraId="30720B4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более просторное и удобное боевое отделение;</w:t>
      </w:r>
    </w:p>
    <w:p w14:paraId="2228B11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меньшую высоту наиболее поражаемой части танка;</w:t>
      </w:r>
    </w:p>
    <w:p w14:paraId="0E1F701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более совершенную подвеску.</w:t>
      </w:r>
    </w:p>
    <w:p w14:paraId="671BF1E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Конструкция танка Т-44 позволяет осуществить усиление его броневой защиты и разместить более мощное вооружение.</w:t>
      </w:r>
    </w:p>
    <w:p w14:paraId="361D0D8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За время полигонных испытаний выявлены следующие основное дефекты снизившие надежность работы механизмов танка:</w:t>
      </w:r>
    </w:p>
    <w:p w14:paraId="139DCF1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гитаре:</w:t>
      </w:r>
    </w:p>
    <w:p w14:paraId="281F4CCD" w14:textId="74F7DC8C"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неправильная посадка наружных обойм подшипников шестерен, вызвавшая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двухкратное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разрушение подшипников ведомой шестерни.</w:t>
      </w:r>
    </w:p>
    <w:p w14:paraId="53D20FF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вторичной замены подшипников, и изменения их посадки, гитара отработала без дефектов стороны подшипников 1061 км.</w:t>
      </w:r>
    </w:p>
    <w:p w14:paraId="3CBB591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повышенный нагрев масла в гитаре, из-за недостаточной производительности масляного насоса.</w:t>
      </w:r>
    </w:p>
    <w:p w14:paraId="7A5673F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неудовлетворительная устойчивость при вибрации трубок масляной системы гитары, послужившая причиной пятикратного разрушения их;</w:t>
      </w:r>
    </w:p>
    <w:p w14:paraId="61ABC10A" w14:textId="353728C4"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недостаточная надежность текстолитовых прокладок в муфте между гитарой и двигателем, вызвавшая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двухкратное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продавливание болтами тонкой текстолитовой прокладки и смятие концов болтов;</w:t>
      </w:r>
    </w:p>
    <w:p w14:paraId="151995A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недостаточная надежность болтов в муфте между гитарой и КПП, вызвавшая обрывы головок на 4-х болтах.</w:t>
      </w:r>
    </w:p>
    <w:p w14:paraId="118E9BD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главному фрикциону.</w:t>
      </w:r>
    </w:p>
    <w:p w14:paraId="26FCF96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Эллиптичность дисков главного фрикциона, вызвавшая их заедание на внутреннем барабане. После зачистки дисков, заедание их было устранено и в дальнейшем не повторялось.</w:t>
      </w:r>
    </w:p>
    <w:p w14:paraId="51F8685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коробке перемены передач:</w:t>
      </w:r>
    </w:p>
    <w:p w14:paraId="41C6AFF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под&lt;резка&gt; вертикального валика вилки переключения 2 и 3 передач, в месте перехода с большего диаметра к меньшему, вызвавшая излом валика в этом месте;</w:t>
      </w:r>
    </w:p>
    <w:p w14:paraId="7E5A381A" w14:textId="7D1D1805"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прослабление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посадочного места под подшипник средней опоры главного вала, вызвавшее разрушение подшипника и прогиб вала.</w:t>
      </w:r>
    </w:p>
    <w:p w14:paraId="66272A50" w14:textId="2815E553"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замены валика, с галтелью в месте перехода и установки нового подшипника на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нахромированную</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шейку вала, КПП проработала без поломок 1097 км.</w:t>
      </w:r>
    </w:p>
    <w:p w14:paraId="078F3C6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поломка сухарика и повышенный износ гнезд и стопоров фиксаторов 2 и 3 передач, вызвавшие случаи неполного включения передач.</w:t>
      </w:r>
    </w:p>
    <w:p w14:paraId="1D0DAA4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приводу вентилятора:</w:t>
      </w:r>
    </w:p>
    <w:p w14:paraId="304AB56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недостаточная износоустойчивость чугунных дисков фрикциона вентилятора и плохое его уплотнение, вызвавшее чрезмерный износ чугунных дисков. В результате этого, вентилятор дважды работал с большими пробуксовками, что приводило к перегреву двигателя.</w:t>
      </w:r>
    </w:p>
    <w:p w14:paraId="3D1EB03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кулисе:</w:t>
      </w:r>
    </w:p>
    <w:p w14:paraId="5D5B593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отсутствие уплотнения кулисы, приводившее к однократному заеданию валиков из-за попадания в кулису грязи и пыли.</w:t>
      </w:r>
    </w:p>
    <w:p w14:paraId="1479888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ведущим колесам:</w:t>
      </w:r>
    </w:p>
    <w:p w14:paraId="1576F00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разрушение 2-х роликов ведущих колес.</w:t>
      </w:r>
    </w:p>
    <w:p w14:paraId="0EE2AEE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По натяжным механизмам ленивцев:</w:t>
      </w:r>
    </w:p>
    <w:p w14:paraId="295CD1E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заедание и тугое проворачивание по резьбе опорной гайки ленивца.</w:t>
      </w:r>
    </w:p>
    <w:p w14:paraId="68EC3ED0" w14:textId="52BE5B51"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опорным каткам:</w:t>
      </w:r>
      <w:r w:rsidR="00C63BA9">
        <w:rPr>
          <w:rFonts w:ascii="Times New Roman" w:hAnsi="Times New Roman"/>
          <w:color w:val="000000" w:themeColor="text1"/>
          <w:sz w:val="16"/>
          <w:szCs w:val="16"/>
        </w:rPr>
        <w:t xml:space="preserve">  </w:t>
      </w:r>
    </w:p>
    <w:p w14:paraId="4A32937E" w14:textId="4672A5DB"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несоответствие качества резины нагрузкам на катки, вызвавшее массовое разрушение резинового массива, в ряде случаев, с последующим разрушением подшипников при движении без</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обрезинки.</w:t>
      </w:r>
    </w:p>
    <w:p w14:paraId="1151322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электрооборудованию:</w:t>
      </w:r>
    </w:p>
    <w:p w14:paraId="72FCB7E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недостаточная длина собачки реле стартера СТ-15, вызвавшая неоднократные ее заскакивания.</w:t>
      </w:r>
    </w:p>
    <w:p w14:paraId="64294282" w14:textId="520939CB"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произведенным дефектам, особенно отразившимся на режиме испытаний и надежности работы танка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вцелом, следует, кроме того, отнести недоброкачественный монтаж системы смазки двигателя, как по вине моторостроительного, так и по вине танкового заводов.</w:t>
      </w:r>
    </w:p>
    <w:p w14:paraId="1DE96AA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Помимо указанных выше дефектов в работе механизмов танка имеется ряд недостатков по корпусу и. установке отдельных агрегатов танка, непосредственно не сразившихся на работоспособности механизмов при испытаниях, но резко снижающих его боевые качества.</w:t>
      </w:r>
    </w:p>
    <w:p w14:paraId="1EACE14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этим недостаткам, в первую очередь, относятся следующие:</w:t>
      </w:r>
    </w:p>
    <w:p w14:paraId="694A65F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плохое качество соединений броневых листов корпуса;</w:t>
      </w:r>
    </w:p>
    <w:p w14:paraId="6637598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неудовлетворительная конструкция крепления гитары к борту танка, а вентилятора к корме, приводящая к выходу танка из строя при первом же попадании в борт или корму осколочно-фугасного снаряда;</w:t>
      </w:r>
    </w:p>
    <w:p w14:paraId="74734A5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неудачная конструкция кормы.</w:t>
      </w:r>
    </w:p>
    <w:p w14:paraId="05F8D151" w14:textId="7E0ACA13"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Для повышения надежности работы механизмов танка Т-44 и улучшения его боевых 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эксплоатационных</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качества, комиссия считает необходимым реализацию следующих мероприятий:</w:t>
      </w:r>
    </w:p>
    <w:p w14:paraId="3582C9E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моторной установке:</w:t>
      </w:r>
    </w:p>
    <w:p w14:paraId="75883C3E" w14:textId="50DB6BDB"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воизбежание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выхода из строя вентилятора при попадании в корму танка осколочно-фугасного снаряда, снять крепление вентилятора с кормового листа корпуса.</w:t>
      </w:r>
    </w:p>
    <w:p w14:paraId="067BFF80" w14:textId="123D11C3"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защитить радиатор от попадания на него масла и</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топлива из трансмиссионного отделения;</w:t>
      </w:r>
    </w:p>
    <w:p w14:paraId="5E05976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защитить фрикцион вентилятора от попадания в него пыли и повысить износоустойчивость дисков фрикциона;</w:t>
      </w:r>
    </w:p>
    <w:p w14:paraId="178E5CA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увеличить емкость основных топливных баков, минимум до 550 л;</w:t>
      </w:r>
    </w:p>
    <w:p w14:paraId="4B864844" w14:textId="48738EC1"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оборудовать машину средствами зимнего запуска, рекомендовав установку термосифонного подогревателя типа "Пантера'" 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маслоразжижающего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устройства с ложным бачком;</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 .</w:t>
      </w:r>
    </w:p>
    <w:p w14:paraId="798F365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 устранить возможность замерзания смазки в трубопроводах, размещенных на днище танка.</w:t>
      </w:r>
    </w:p>
    <w:p w14:paraId="0625699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главному фрикциону.</w:t>
      </w:r>
    </w:p>
    <w:p w14:paraId="644FF38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исключить возможность заедания дисков главного фрикциона;</w:t>
      </w:r>
    </w:p>
    <w:p w14:paraId="6A3DAA8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обеспечить возможность более легкой разборки и замены дисков главного фрикциона в танке.</w:t>
      </w:r>
    </w:p>
    <w:p w14:paraId="5AC3D0E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гитаре:</w:t>
      </w:r>
    </w:p>
    <w:p w14:paraId="2531781F" w14:textId="0F1C3DB8"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воизбежание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выхода из строя гитары при попадании в борт танка осколочно-фугасного снаряда, снять крепление гитары с борта танка;</w:t>
      </w:r>
    </w:p>
    <w:p w14:paraId="75DA071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усилить подшипники гитары и изменить их посадку;</w:t>
      </w:r>
    </w:p>
    <w:p w14:paraId="484DEDC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для обеспечения нормального температурного режима гитары, увеличить производительность ее масляного насоса в 2-2,5 раза;</w:t>
      </w:r>
    </w:p>
    <w:p w14:paraId="70A85DA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обеспечить надежную работу системы смазки гитары, рекомендовав замену масляных трубок гитары сверлениями в картере;</w:t>
      </w:r>
    </w:p>
    <w:p w14:paraId="061EF3B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устранить продавливание текстолитовых прокладок муфт полужесткого соединения гитары с двигателем и усилить болты муфты соединения гитары с КПП.</w:t>
      </w:r>
    </w:p>
    <w:p w14:paraId="6C78981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коробке перемены передач:</w:t>
      </w:r>
    </w:p>
    <w:p w14:paraId="697041D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усилить вертикальные валики переключения передач;</w:t>
      </w:r>
    </w:p>
    <w:p w14:paraId="129A9CAA" w14:textId="02E6F0ED"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исключить возможность поломки 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выпадания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сухарей. Повысить износоустойчивость сухарей, гнезд и стопоров фиксаторов КПП;</w:t>
      </w:r>
    </w:p>
    <w:p w14:paraId="5078EB2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облегчить доступ к масленке привода спидометра.</w:t>
      </w:r>
    </w:p>
    <w:p w14:paraId="49E1A58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приводам управления.</w:t>
      </w:r>
    </w:p>
    <w:p w14:paraId="709944D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защитить кулису от попадания пыли и грязи и усилить фиксацию включения передач в кулисе;</w:t>
      </w:r>
    </w:p>
    <w:p w14:paraId="42F33A3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 тягах бортовых и главного фрикционов установить стрелки - указатели, а на борту метки для упрощенной проверки регулировки приводов.</w:t>
      </w:r>
    </w:p>
    <w:p w14:paraId="080DDDF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опорным каткам:</w:t>
      </w:r>
    </w:p>
    <w:p w14:paraId="1708781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повысить качество резинового массива опорных катков;</w:t>
      </w:r>
    </w:p>
    <w:p w14:paraId="3AF2CDE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разработать мероприятия по снижению удельных давлений на катки, за счет их уширения и по перераспределению нагрузок, за счет разгрузки задних катков;</w:t>
      </w:r>
    </w:p>
    <w:p w14:paraId="0FD2442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ленивцу:</w:t>
      </w:r>
    </w:p>
    <w:p w14:paraId="108D643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повысить износоустойчивость втулок дисков ленивцев и увеличить плотность сальников;</w:t>
      </w:r>
    </w:p>
    <w:p w14:paraId="1B4A2F8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исключить смятие и заедание резьбы гайки натяжного механизма ленивца и предотвратить проникновение грязи и пыли к стопорной гайке;</w:t>
      </w:r>
    </w:p>
    <w:p w14:paraId="080D311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предотвратить образование наминов на шейках кривошипов ленивцев.</w:t>
      </w:r>
    </w:p>
    <w:p w14:paraId="7D2044C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корпусу и башне:</w:t>
      </w:r>
    </w:p>
    <w:p w14:paraId="59FB337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для защиты лобового листа корпуса от поражений артиллерией калибра 75 мм и 88 мм, со всех дистанций, увеличить толщину лобового листа до 90 мм;</w:t>
      </w:r>
    </w:p>
    <w:p w14:paraId="14F2972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усилить броневую защиту бортов;</w:t>
      </w:r>
    </w:p>
    <w:p w14:paraId="399E7A9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корму танка сделать наклонной;</w:t>
      </w:r>
    </w:p>
    <w:p w14:paraId="0FD25D4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улучшить качество соединении броневых листов корпуса;</w:t>
      </w:r>
    </w:p>
    <w:p w14:paraId="145260B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защитить шариковую опору люка командира танка и водителя от попадания пыли;</w:t>
      </w:r>
    </w:p>
    <w:p w14:paraId="3755FF9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 изменить конструкцию люка водителя, обеспечив возможность выхода водителя при любом положении башни;</w:t>
      </w:r>
    </w:p>
    <w:p w14:paraId="793BF26A" w14:textId="75402132"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 облегчить снятие и установку</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надмоторного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люка;</w:t>
      </w:r>
    </w:p>
    <w:p w14:paraId="0BCFB82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 уплотнить люки башни и места установки смотровых приборов, защитив экипаж от попадания внутрь танка дождевой воды;</w:t>
      </w:r>
    </w:p>
    <w:p w14:paraId="3AD9974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уплотнить отверстия под торсионы и погон башни, для увеличения преодолеваемого брода;</w:t>
      </w:r>
    </w:p>
    <w:p w14:paraId="488E2F9A" w14:textId="693C3045"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изменить конструкцию лобовой части башни, обеспечив перекрытие бронировкой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артсистемы</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щек баши;</w:t>
      </w:r>
    </w:p>
    <w:p w14:paraId="11C4FD7E"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 переднюю часть крыши башни сделать жесткой, исключив возможность прогиба ее;</w:t>
      </w:r>
    </w:p>
    <w:p w14:paraId="4D3D766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 уменьшить люфт башни, доведя его до 4-х тысячных;</w:t>
      </w:r>
    </w:p>
    <w:p w14:paraId="49F35C8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 улучшить конструкцию замков люков башни и корпуса;</w:t>
      </w:r>
    </w:p>
    <w:p w14:paraId="18307E9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усилить болты крепления погона башни;</w:t>
      </w:r>
    </w:p>
    <w:p w14:paraId="1775CD9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 в носовой части днища танка сделать спускную пробку для слива грязи;</w:t>
      </w:r>
    </w:p>
    <w:p w14:paraId="1D5BCB35" w14:textId="0CBA7012"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 над</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воздухопритоками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танка сделать козырьки защиты</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воздухопритоков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от проникновения горючей жидкости и уменьшения проникновения воды при преодолении брода;</w:t>
      </w:r>
    </w:p>
    <w:p w14:paraId="658F651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на корпусе танка предусмотреть ящики для личных вещей экипажа и места для крепления бревен самовытаскивания, а внутри корпуса – места для укладки одного ППШ с четырьмя дисками и 4-х противогазов;</w:t>
      </w:r>
    </w:p>
    <w:p w14:paraId="49258C4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 командиру танка обеспечить возможность сигнализации флажками, не выходя из танка, при закрытых люках.</w:t>
      </w:r>
    </w:p>
    <w:p w14:paraId="40835BB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электрооборудованию:</w:t>
      </w:r>
    </w:p>
    <w:p w14:paraId="0A62E9E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повысить надежность работы стартера СТ-15, исключив заскакивание собачки привода;</w:t>
      </w:r>
    </w:p>
    <w:p w14:paraId="0FB41C0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проработать вопрос о возможности уменьшения длины стартера на 40 мм;</w:t>
      </w:r>
    </w:p>
    <w:p w14:paraId="0BA3517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предусмотреть устройство для световой сигнализации из танка.</w:t>
      </w:r>
    </w:p>
    <w:p w14:paraId="1378384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рабочим местам экипажа.</w:t>
      </w:r>
    </w:p>
    <w:p w14:paraId="0614395E" w14:textId="6B7F6D43"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сидение водителя сделать подымающимся для возможности вождения танка на маршах, с наблюдением через открытый люк (по типу танка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M5A1);</w:t>
      </w:r>
    </w:p>
    <w:p w14:paraId="50E96D6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тахометр, манометр, аэротермометры и спидометр расположить на общем щитке;</w:t>
      </w:r>
    </w:p>
    <w:p w14:paraId="26166F8B" w14:textId="2834C344"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устранить уклон сидения стреляющего влево и сделать его поворачивающимся (по типу танка "ИС");</w:t>
      </w:r>
      <w:r w:rsidR="00B643A8" w:rsidRPr="00070ADE">
        <w:rPr>
          <w:rFonts w:ascii="Times New Roman" w:hAnsi="Times New Roman"/>
          <w:color w:val="000000" w:themeColor="text1"/>
          <w:sz w:val="16"/>
          <w:szCs w:val="16"/>
        </w:rPr>
        <w:t xml:space="preserve"> </w:t>
      </w:r>
    </w:p>
    <w:p w14:paraId="45C1F5A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увеличить высоту рабочего места водителя;</w:t>
      </w:r>
    </w:p>
    <w:p w14:paraId="3CF9A61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сидение командира танка сместить влево на 5-6 см и назад на 4-5 см;</w:t>
      </w:r>
    </w:p>
    <w:p w14:paraId="5065907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 увеличить высоту командирской башенки на 3-4 см для удобного расположения головы командира танка, при наблюдении через щели.</w:t>
      </w:r>
    </w:p>
    <w:p w14:paraId="636392A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установке вооружения:</w:t>
      </w:r>
    </w:p>
    <w:p w14:paraId="7DFDC25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увеличить боекомплект 85 мм выстрелов, доведя его, минимум до 65 выстрелов;</w:t>
      </w:r>
    </w:p>
    <w:p w14:paraId="0B159438" w14:textId="5D1A7190"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установить дублирующий ножной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электроспуск</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у командира орудия;</w:t>
      </w:r>
    </w:p>
    <w:p w14:paraId="55E3F1B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улучшить вентиляцию боевого отделения;</w:t>
      </w:r>
    </w:p>
    <w:p w14:paraId="24BC333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г) изменить конструкцию рукоятки включения механического и электрического приводов механизма поворота башни, т.к.существующая конструкция неудобна в пользовании, из-за необходимости затраты большого времени на переключение;</w:t>
      </w:r>
    </w:p>
    <w:p w14:paraId="6304F6D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усилить крепление патронов в нише башни и крепление укладки патронов в носу корпуса танка.</w:t>
      </w:r>
    </w:p>
    <w:p w14:paraId="507E11E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дальнейшего повышения боевых качеств танка Т-44, комиссия считает необходимым разработать:</w:t>
      </w:r>
    </w:p>
    <w:p w14:paraId="0F81EAE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Установку более мощной пушки.</w:t>
      </w:r>
    </w:p>
    <w:p w14:paraId="061CFF1A"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Усиленную лобовую защиту корпуса с толщиной брони 120 мм.</w:t>
      </w:r>
    </w:p>
    <w:p w14:paraId="21734CD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Установку поворотного механизма башни, с электроприводом, обеспечивающим плавное наведение пушки и с дублирующим переключателем у командира танка.</w:t>
      </w:r>
    </w:p>
    <w:p w14:paraId="5F58412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Установку стабилизатора пушки.</w:t>
      </w:r>
    </w:p>
    <w:p w14:paraId="57C9507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Конструкцию коробки перемены передач с синхронизаторами.</w:t>
      </w:r>
    </w:p>
    <w:p w14:paraId="6120950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Особое мнение членов комиссии от НКТП и завода № 183 к выводам по результатам испытаний танка Т-44 в период Июнь - Июль 1944 г.</w:t>
      </w:r>
    </w:p>
    <w:p w14:paraId="3A024FC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Вопросы отмеченные Комиссией в выводах:</w:t>
      </w:r>
    </w:p>
    <w:p w14:paraId="05BACF5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Увеличить емкость основных топливных баков до 550 литров;</w:t>
      </w:r>
    </w:p>
    <w:p w14:paraId="6AB1453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Оборудовать танк средствами зимнего запуска;</w:t>
      </w:r>
    </w:p>
    <w:p w14:paraId="2DB8946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Увеличить боекомплект до 65 снарядов;</w:t>
      </w:r>
    </w:p>
    <w:p w14:paraId="1D217228" w14:textId="50DE2479"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Изменить конструкцию</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лобовины</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башни в части перекрытия бронировкой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артсистемы</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щек башни;</w:t>
      </w:r>
    </w:p>
    <w:p w14:paraId="27253A5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Усилить броневую защиту бортов;</w:t>
      </w:r>
    </w:p>
    <w:p w14:paraId="5A3C760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Требуют предварительной глубокой конструктивной проработки и не могут быть реализованы до запуска танка Т-44 в серийное производство.</w:t>
      </w:r>
    </w:p>
    <w:p w14:paraId="5C888A2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 указанные вопросы могут быть реализованы в январе-феврале 1945 г.</w:t>
      </w:r>
    </w:p>
    <w:p w14:paraId="7D2939C2" w14:textId="5057BAE2"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Приведенные доводы в поверочном расчете полигона</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 недостаточной работоспособности подшипников гитары не соответствуют истинному положению, что подтверждается надежной работой подшипников /после проведения правильного монтажа/ на протяжении 1060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клм. и их осмотром по окончании испытаний.</w:t>
      </w:r>
    </w:p>
    <w:p w14:paraId="3199B2C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НКТП –</w:t>
      </w:r>
    </w:p>
    <w:p w14:paraId="706C33F6" w14:textId="44DD186C"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Ст.ВЕДУЩИЙ ИНЖЕНЕР ОГК -</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 (ЮРАСОВ)</w:t>
      </w:r>
    </w:p>
    <w:p w14:paraId="02126300" w14:textId="4A3CD73B"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з-да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183 –</w:t>
      </w:r>
    </w:p>
    <w:p w14:paraId="166CA994" w14:textId="1F72F91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ГЛ. КОНСТРУКТОРА -</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 (КУЧЕРЕНКО)</w:t>
      </w:r>
    </w:p>
    <w:p w14:paraId="61B25D8B" w14:textId="1F6B2F9F"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Зам.Н-КА ОТДЕЛА 540 -</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 (ФЕДОТОВ)</w:t>
      </w:r>
    </w:p>
    <w:p w14:paraId="12BB98FB"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w:t>
      </w:r>
    </w:p>
    <w:p w14:paraId="41E895D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Учитывая преимущества танка Т-44, по сравнению с танком Т-34-85, считать целесообразным, рекомендовать средний танк Т-44 на вооружение Красной Армии.</w:t>
      </w:r>
    </w:p>
    <w:p w14:paraId="12C9764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Считать необходимым, до начала серийного производства танков Т-44 устранить все дефекты и реализовать предложения, отмеченные в выводах комиссии, после чего образец предъявить на государственные испытания.</w:t>
      </w:r>
    </w:p>
    <w:p w14:paraId="55CC6B5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КОМИССИИ</w:t>
      </w:r>
    </w:p>
    <w:p w14:paraId="1E3E1297"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ГЕНЕРАЛ-МАЙОР ИНЖЕРЕНО-ТАНКОВОЙ</w:t>
      </w:r>
    </w:p>
    <w:p w14:paraId="4E5BF09D" w14:textId="57FDEDD5"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СЛУЖБЫ:-</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(ПАВЛОВСКИЙ)</w:t>
      </w:r>
    </w:p>
    <w:p w14:paraId="382A94FF"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ЗАМ.ПРЕДСЕДАТЕЛЯ</w:t>
      </w:r>
    </w:p>
    <w:p w14:paraId="54A2CBEF" w14:textId="1CF2C3A3"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ИНЖЕНЕР-ПОЛКОВНИК:-</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(СЫЧ)</w:t>
      </w:r>
    </w:p>
    <w:p w14:paraId="04766CB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ЧЛЕНЫ:</w:t>
      </w:r>
    </w:p>
    <w:p w14:paraId="4E364B2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ГБТУ КА</w:t>
      </w:r>
    </w:p>
    <w:p w14:paraId="13ECFADF" w14:textId="6F4BCC8F"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 - КАПИТАН:-</w:t>
      </w:r>
      <w:r w:rsidR="00C63BA9">
        <w:rPr>
          <w:rFonts w:ascii="Times New Roman" w:hAnsi="Times New Roman"/>
          <w:color w:val="000000" w:themeColor="text1"/>
          <w:sz w:val="16"/>
          <w:szCs w:val="16"/>
        </w:rPr>
        <w:t xml:space="preserve">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(РОЗЕНГАРТ)</w:t>
      </w:r>
    </w:p>
    <w:p w14:paraId="0560F43D" w14:textId="56A215C2"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 - КАПИТАН:-</w:t>
      </w:r>
      <w:r w:rsidR="00C63BA9">
        <w:rPr>
          <w:rFonts w:ascii="Times New Roman" w:hAnsi="Times New Roman"/>
          <w:color w:val="000000" w:themeColor="text1"/>
          <w:sz w:val="16"/>
          <w:szCs w:val="16"/>
        </w:rPr>
        <w:t xml:space="preserve">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(ПАРФЕНОВ)</w:t>
      </w:r>
    </w:p>
    <w:p w14:paraId="7386769D" w14:textId="0B085AA5"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 - ПОДПОЛКОВНИК:-</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(ИВАНОВ А.Ф.)</w:t>
      </w:r>
    </w:p>
    <w:p w14:paraId="0881568E" w14:textId="4438DDD1"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 - МАЙОР:-</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(БАВЫКИН)</w:t>
      </w:r>
    </w:p>
    <w:p w14:paraId="64E24041" w14:textId="6E3800D6"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ТЕХНИК - ЛЕЙТЕНАНТ:-</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 (ПОДДУЕВ)</w:t>
      </w:r>
    </w:p>
    <w:p w14:paraId="56C7E011" w14:textId="0C7BA92F"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 - ПОДПОЛКОВНИК:-</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(БУМШТЕЙН)</w:t>
      </w:r>
    </w:p>
    <w:p w14:paraId="4CEBDFF1" w14:textId="1E2A05C3"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ГВ. ИНЖЕНЕР - КАПИТАН:-</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(РЯБЦЕВ)</w:t>
      </w:r>
    </w:p>
    <w:p w14:paraId="0FFAEC6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ГУФ И БП БТ И МВ КА</w:t>
      </w:r>
    </w:p>
    <w:p w14:paraId="284B1830" w14:textId="6487EB89"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ПОДПОЛКОВНИК:-</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(КОЛПАКОВ)</w:t>
      </w:r>
    </w:p>
    <w:p w14:paraId="63EB9FD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АКАДЕМИИ БТ И МВ КА</w:t>
      </w:r>
    </w:p>
    <w:p w14:paraId="615FA9A2" w14:textId="2443C47E"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 - ПОДПОЛКОВНИК:-</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 (АНТОНОВ)</w:t>
      </w:r>
    </w:p>
    <w:p w14:paraId="2DFBA45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ВЕДУЩИЙ</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 xml:space="preserve">СТ. </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НКТП</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ОТ</w:t>
      </w:r>
    </w:p>
    <w:p w14:paraId="29DC5414" w14:textId="2B077478"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ОГК:-</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(ЮРАСОВ)</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ИНЖЕНЕР</w:t>
      </w:r>
    </w:p>
    <w:p w14:paraId="04925F22"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183</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ЗАВОДА</w:t>
      </w:r>
      <w:r w:rsidRPr="00070ADE">
        <w:rPr>
          <w:rFonts w:ascii="Times New Roman" w:hAnsi="Times New Roman"/>
          <w:color w:val="000000" w:themeColor="text1"/>
          <w:sz w:val="16"/>
          <w:szCs w:val="16"/>
        </w:rPr>
        <w:t> </w:t>
      </w:r>
      <w:r w:rsidRPr="00070ADE">
        <w:rPr>
          <w:rFonts w:ascii="Times New Roman" w:hAnsi="Times New Roman"/>
          <w:color w:val="000000" w:themeColor="text1"/>
          <w:sz w:val="16"/>
          <w:szCs w:val="16"/>
        </w:rPr>
        <w:t>ОТ</w:t>
      </w:r>
    </w:p>
    <w:p w14:paraId="7E5842FC" w14:textId="391D035C"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ЗАМ.ГЛАВНОГО КОНСТРУКТОРА:-</w:t>
      </w:r>
      <w:r w:rsidR="00C63BA9">
        <w:rPr>
          <w:rFonts w:ascii="Times New Roman" w:hAnsi="Times New Roman"/>
          <w:color w:val="000000" w:themeColor="text1"/>
          <w:sz w:val="16"/>
          <w:szCs w:val="16"/>
        </w:rPr>
        <w:t xml:space="preserve">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(КУЧЕРЕНКО)</w:t>
      </w:r>
    </w:p>
    <w:p w14:paraId="1B0EC120"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ОПЫТНОГО</w:t>
      </w:r>
    </w:p>
    <w:p w14:paraId="20139A9B" w14:textId="65B587E0"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ОТДЕЛА:-</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 (ФЕДОТОВ)</w:t>
      </w:r>
    </w:p>
    <w:p w14:paraId="2B1EE5B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&lt;...&gt; 6-ти экз.</w:t>
      </w:r>
    </w:p>
    <w:p w14:paraId="5B5F0979"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Малышеву.</w:t>
      </w:r>
    </w:p>
    <w:p w14:paraId="67FB540D"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Федоренко.</w:t>
      </w:r>
    </w:p>
    <w:p w14:paraId="2FD4628C"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Вершинину.</w:t>
      </w:r>
    </w:p>
    <w:p w14:paraId="01D556F3"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- 183</w:t>
      </w:r>
    </w:p>
    <w:p w14:paraId="707563B1"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- 75</w:t>
      </w:r>
    </w:p>
    <w:p w14:paraId="627E7F14"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НИБТ Полигону.</w:t>
      </w:r>
    </w:p>
    <w:p w14:paraId="29DE03E6"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&lt;...&gt;.44 г.</w:t>
      </w:r>
    </w:p>
    <w:p w14:paraId="45485C08"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&lt;...&gt;А.С.</w:t>
      </w:r>
    </w:p>
    <w:p w14:paraId="03FF71B5" w14:textId="77777777" w:rsidR="00811C95" w:rsidRPr="00070ADE" w:rsidRDefault="00811C9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(18276).</w:t>
      </w:r>
    </w:p>
    <w:p w14:paraId="79B9D536" w14:textId="77777777" w:rsidR="00811C95" w:rsidRPr="00070ADE" w:rsidRDefault="00811C95" w:rsidP="00B56F90">
      <w:pPr>
        <w:spacing w:after="0" w:line="240" w:lineRule="auto"/>
        <w:jc w:val="both"/>
        <w:rPr>
          <w:rFonts w:ascii="Times New Roman" w:hAnsi="Times New Roman"/>
          <w:color w:val="000000" w:themeColor="text1"/>
          <w:sz w:val="16"/>
          <w:szCs w:val="16"/>
        </w:rPr>
      </w:pPr>
    </w:p>
    <w:p w14:paraId="682FC64D"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С 15 июня по 17 июля 1944 года в подмосковной Кубинке испытывал один образец Т-44 второго варианта.</w:t>
      </w:r>
    </w:p>
    <w:p w14:paraId="0BD76EBD"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ходе пробегов танк показал максималь</w:t>
      </w:r>
      <w:r w:rsidRPr="00C94B78">
        <w:rPr>
          <w:rFonts w:ascii="Times New Roman" w:hAnsi="Times New Roman"/>
          <w:color w:val="0070C0"/>
          <w:sz w:val="16"/>
          <w:szCs w:val="16"/>
        </w:rPr>
        <w:softHyphen/>
        <w:t>ную скорость по шоссе 51,6 км/ч, среднюю 35 км/ч и среднюю скорость по разбитой грязной лесной дороге - 17 км/ч. Во время испытаний у машины несколько раз разру</w:t>
      </w:r>
      <w:r w:rsidRPr="00C94B78">
        <w:rPr>
          <w:rFonts w:ascii="Times New Roman" w:hAnsi="Times New Roman"/>
          <w:color w:val="0070C0"/>
          <w:sz w:val="16"/>
          <w:szCs w:val="16"/>
        </w:rPr>
        <w:softHyphen/>
        <w:t>шался подшипник ведомой шестерни гита</w:t>
      </w:r>
      <w:r w:rsidRPr="00C94B78">
        <w:rPr>
          <w:rFonts w:ascii="Times New Roman" w:hAnsi="Times New Roman"/>
          <w:color w:val="0070C0"/>
          <w:sz w:val="16"/>
          <w:szCs w:val="16"/>
        </w:rPr>
        <w:softHyphen/>
        <w:t>ры, а также ролики ведущего колеса, наблю</w:t>
      </w:r>
      <w:r w:rsidRPr="00C94B78">
        <w:rPr>
          <w:rFonts w:ascii="Times New Roman" w:hAnsi="Times New Roman"/>
          <w:color w:val="0070C0"/>
          <w:sz w:val="16"/>
          <w:szCs w:val="16"/>
        </w:rPr>
        <w:softHyphen/>
        <w:t>дался износ дисков фрикциона вентиля</w:t>
      </w:r>
      <w:r w:rsidRPr="00C94B78">
        <w:rPr>
          <w:rFonts w:ascii="Times New Roman" w:hAnsi="Times New Roman"/>
          <w:color w:val="0070C0"/>
          <w:sz w:val="16"/>
          <w:szCs w:val="16"/>
        </w:rPr>
        <w:softHyphen/>
        <w:t>тора, а также наблюдался неоднократный выход из строя резиновых бандажей опор</w:t>
      </w:r>
      <w:r w:rsidRPr="00C94B78">
        <w:rPr>
          <w:rFonts w:ascii="Times New Roman" w:hAnsi="Times New Roman"/>
          <w:color w:val="0070C0"/>
          <w:sz w:val="16"/>
          <w:szCs w:val="16"/>
        </w:rPr>
        <w:softHyphen/>
        <w:t>ных катков.</w:t>
      </w:r>
    </w:p>
    <w:p w14:paraId="62BFF850"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заключении комиссии по результатам испытаний говорилось следующее:</w:t>
      </w:r>
    </w:p>
    <w:p w14:paraId="79A602FB"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 Предъявленный образец танка Т-44 по надежности работы... механизмов поли</w:t>
      </w:r>
      <w:r w:rsidRPr="00C94B78">
        <w:rPr>
          <w:rFonts w:ascii="Times New Roman" w:hAnsi="Times New Roman"/>
          <w:color w:val="0070C0"/>
          <w:sz w:val="16"/>
          <w:szCs w:val="16"/>
        </w:rPr>
        <w:softHyphen/>
        <w:t>гонных испытаний не выдержал вследствие конструктивной недоработки ряда узлов (ги</w:t>
      </w:r>
      <w:r w:rsidRPr="00C94B78">
        <w:rPr>
          <w:rFonts w:ascii="Times New Roman" w:hAnsi="Times New Roman"/>
          <w:color w:val="0070C0"/>
          <w:sz w:val="16"/>
          <w:szCs w:val="16"/>
        </w:rPr>
        <w:softHyphen/>
        <w:t>тара, фрикцион вентилятора, вертикальные валики переключения скоростей КПП, тру</w:t>
      </w:r>
      <w:r w:rsidRPr="00C94B78">
        <w:rPr>
          <w:rFonts w:ascii="Times New Roman" w:hAnsi="Times New Roman"/>
          <w:color w:val="0070C0"/>
          <w:sz w:val="16"/>
          <w:szCs w:val="16"/>
        </w:rPr>
        <w:softHyphen/>
        <w:t>бопроводы системы смазки) и низкого каче</w:t>
      </w:r>
      <w:r w:rsidRPr="00C94B78">
        <w:rPr>
          <w:rFonts w:ascii="Times New Roman" w:hAnsi="Times New Roman"/>
          <w:color w:val="0070C0"/>
          <w:sz w:val="16"/>
          <w:szCs w:val="16"/>
        </w:rPr>
        <w:softHyphen/>
        <w:t>ства изготовления и монтажа, особенно мас</w:t>
      </w:r>
      <w:r w:rsidRPr="00C94B78">
        <w:rPr>
          <w:rFonts w:ascii="Times New Roman" w:hAnsi="Times New Roman"/>
          <w:color w:val="0070C0"/>
          <w:sz w:val="16"/>
          <w:szCs w:val="16"/>
        </w:rPr>
        <w:softHyphen/>
        <w:t>ляной системы.</w:t>
      </w:r>
    </w:p>
    <w:p w14:paraId="70CD42EE" w14:textId="77777777" w:rsidR="00BA3A2B" w:rsidRPr="00C94B78" w:rsidRDefault="00BA3A2B" w:rsidP="00B56F90">
      <w:pPr>
        <w:widowControl w:val="0"/>
        <w:tabs>
          <w:tab w:val="left" w:pos="441"/>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 Танк Т-44 по сравнению с танком Т-34 обладает следующими основными преиму</w:t>
      </w:r>
      <w:r w:rsidRPr="00C94B78">
        <w:rPr>
          <w:rFonts w:ascii="Times New Roman" w:hAnsi="Times New Roman"/>
          <w:color w:val="0070C0"/>
          <w:sz w:val="16"/>
          <w:szCs w:val="16"/>
        </w:rPr>
        <w:softHyphen/>
        <w:t>ществами:</w:t>
      </w:r>
    </w:p>
    <w:p w14:paraId="0D8D8619" w14:textId="77777777" w:rsidR="00BA3A2B" w:rsidRPr="00C94B78" w:rsidRDefault="00BA3A2B" w:rsidP="00B56F90">
      <w:pPr>
        <w:tabs>
          <w:tab w:val="left" w:pos="455"/>
        </w:tabs>
        <w:spacing w:after="0" w:line="240" w:lineRule="auto"/>
        <w:jc w:val="both"/>
        <w:rPr>
          <w:rFonts w:ascii="Times New Roman" w:hAnsi="Times New Roman"/>
          <w:color w:val="0070C0"/>
          <w:sz w:val="16"/>
          <w:szCs w:val="16"/>
        </w:rPr>
      </w:pPr>
      <w:bookmarkStart w:id="127" w:name="bookmark164"/>
      <w:r w:rsidRPr="00C94B78">
        <w:rPr>
          <w:rFonts w:ascii="Times New Roman" w:hAnsi="Times New Roman"/>
          <w:color w:val="0070C0"/>
          <w:sz w:val="16"/>
          <w:szCs w:val="16"/>
        </w:rPr>
        <w:t>а</w:t>
      </w:r>
      <w:bookmarkEnd w:id="127"/>
      <w:r w:rsidRPr="00C94B78">
        <w:rPr>
          <w:rFonts w:ascii="Times New Roman" w:hAnsi="Times New Roman"/>
          <w:color w:val="0070C0"/>
          <w:sz w:val="16"/>
          <w:szCs w:val="16"/>
        </w:rPr>
        <w:t>). Усиленной броневой защитой, при со</w:t>
      </w:r>
      <w:r w:rsidRPr="00C94B78">
        <w:rPr>
          <w:rFonts w:ascii="Times New Roman" w:hAnsi="Times New Roman"/>
          <w:color w:val="0070C0"/>
          <w:sz w:val="16"/>
          <w:szCs w:val="16"/>
        </w:rPr>
        <w:softHyphen/>
        <w:t>хранении веса серийного танка Т-34;</w:t>
      </w:r>
    </w:p>
    <w:p w14:paraId="095E1446" w14:textId="77777777" w:rsidR="00BA3A2B" w:rsidRPr="00C94B78" w:rsidRDefault="00BA3A2B" w:rsidP="00B56F90">
      <w:pPr>
        <w:tabs>
          <w:tab w:val="left" w:pos="482"/>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б). Более просторным боевым отделением;</w:t>
      </w:r>
    </w:p>
    <w:p w14:paraId="793C74D4" w14:textId="77777777" w:rsidR="00BA3A2B" w:rsidRPr="00C94B78" w:rsidRDefault="00BA3A2B" w:rsidP="00B56F90">
      <w:pPr>
        <w:tabs>
          <w:tab w:val="left" w:pos="455"/>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Меньшей высотой наиболее поражае</w:t>
      </w:r>
      <w:r w:rsidRPr="00C94B78">
        <w:rPr>
          <w:rFonts w:ascii="Times New Roman" w:hAnsi="Times New Roman"/>
          <w:color w:val="0070C0"/>
          <w:sz w:val="16"/>
          <w:szCs w:val="16"/>
        </w:rPr>
        <w:softHyphen/>
        <w:t>мой части корпуса;</w:t>
      </w:r>
    </w:p>
    <w:p w14:paraId="1F5ADA16" w14:textId="77777777" w:rsidR="00BA3A2B" w:rsidRPr="00C94B78" w:rsidRDefault="00BA3A2B" w:rsidP="00B56F90">
      <w:pPr>
        <w:tabs>
          <w:tab w:val="left" w:pos="482"/>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г). Более совершенной подвеской.</w:t>
      </w:r>
    </w:p>
    <w:p w14:paraId="7B6D3536"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Исходя из указанных выше преимуществ, следует считать целесообразным рекомендо</w:t>
      </w:r>
      <w:r w:rsidRPr="00C94B78">
        <w:rPr>
          <w:rFonts w:ascii="Times New Roman" w:hAnsi="Times New Roman"/>
          <w:color w:val="0070C0"/>
          <w:sz w:val="16"/>
          <w:szCs w:val="16"/>
        </w:rPr>
        <w:softHyphen/>
        <w:t>вать танк Т-44 принять на производство и во</w:t>
      </w:r>
      <w:r w:rsidRPr="00C94B78">
        <w:rPr>
          <w:rFonts w:ascii="Times New Roman" w:hAnsi="Times New Roman"/>
          <w:color w:val="0070C0"/>
          <w:sz w:val="16"/>
          <w:szCs w:val="16"/>
        </w:rPr>
        <w:softHyphen/>
        <w:t>оружение Красной Армии с доработкой сле</w:t>
      </w:r>
      <w:r w:rsidRPr="00C94B78">
        <w:rPr>
          <w:rFonts w:ascii="Times New Roman" w:hAnsi="Times New Roman"/>
          <w:color w:val="0070C0"/>
          <w:sz w:val="16"/>
          <w:szCs w:val="16"/>
        </w:rPr>
        <w:softHyphen/>
        <w:t>дующих узлов и агрегатов:</w:t>
      </w:r>
    </w:p>
    <w:p w14:paraId="279F53CD" w14:textId="77777777" w:rsidR="00BA3A2B" w:rsidRPr="00C94B78" w:rsidRDefault="00BA3A2B" w:rsidP="00B56F90">
      <w:pPr>
        <w:widowControl w:val="0"/>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 Корпус и башня.</w:t>
      </w:r>
    </w:p>
    <w:p w14:paraId="265EAAA1" w14:textId="77777777" w:rsidR="00BA3A2B" w:rsidRPr="00C94B78" w:rsidRDefault="00BA3A2B" w:rsidP="00B56F90">
      <w:pPr>
        <w:tabs>
          <w:tab w:val="left" w:pos="455"/>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а). Усилить лобовую броню корпуса до 90 мм для обеспечения защиты от пораже</w:t>
      </w:r>
      <w:r w:rsidRPr="00C94B78">
        <w:rPr>
          <w:rFonts w:ascii="Times New Roman" w:hAnsi="Times New Roman"/>
          <w:color w:val="0070C0"/>
          <w:sz w:val="16"/>
          <w:szCs w:val="16"/>
        </w:rPr>
        <w:softHyphen/>
        <w:t>ния артснарядами противника калибра 75 и 88 мм;</w:t>
      </w:r>
    </w:p>
    <w:p w14:paraId="18C49D16"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б). Улучшить конструкцию крепления бро</w:t>
      </w:r>
      <w:r w:rsidRPr="00C94B78">
        <w:rPr>
          <w:rFonts w:ascii="Times New Roman" w:hAnsi="Times New Roman"/>
          <w:color w:val="0070C0"/>
          <w:sz w:val="16"/>
          <w:szCs w:val="16"/>
        </w:rPr>
        <w:softHyphen/>
        <w:t>невых листов корпуса и изменить конфигу</w:t>
      </w:r>
      <w:r w:rsidRPr="00C94B78">
        <w:rPr>
          <w:rFonts w:ascii="Times New Roman" w:hAnsi="Times New Roman"/>
          <w:color w:val="0070C0"/>
          <w:sz w:val="16"/>
          <w:szCs w:val="16"/>
        </w:rPr>
        <w:softHyphen/>
        <w:t>рацию кормы, сделав ее наклонной</w:t>
      </w:r>
    </w:p>
    <w:p w14:paraId="49CB0A1E" w14:textId="77777777" w:rsidR="00BA3A2B" w:rsidRPr="00C94B78" w:rsidRDefault="00BA3A2B" w:rsidP="00B56F90">
      <w:pPr>
        <w:spacing w:after="0" w:line="240" w:lineRule="auto"/>
        <w:jc w:val="both"/>
        <w:rPr>
          <w:rFonts w:ascii="Times New Roman" w:hAnsi="Times New Roman"/>
          <w:color w:val="0070C0"/>
          <w:sz w:val="16"/>
          <w:szCs w:val="16"/>
        </w:rPr>
      </w:pPr>
      <w:bookmarkStart w:id="128" w:name="bookmark171"/>
      <w:r w:rsidRPr="00C94B78">
        <w:rPr>
          <w:rFonts w:ascii="Times New Roman" w:hAnsi="Times New Roman"/>
          <w:color w:val="0070C0"/>
          <w:sz w:val="16"/>
          <w:szCs w:val="16"/>
        </w:rPr>
        <w:t>в</w:t>
      </w:r>
      <w:bookmarkEnd w:id="128"/>
      <w:r w:rsidRPr="00C94B78">
        <w:rPr>
          <w:rFonts w:ascii="Times New Roman" w:hAnsi="Times New Roman"/>
          <w:color w:val="0070C0"/>
          <w:sz w:val="16"/>
          <w:szCs w:val="16"/>
        </w:rPr>
        <w:t>). Изменить конструкцию лобовой части башни, обеспечив перекрытие бронировкой артсистемы щек башни.</w:t>
      </w:r>
    </w:p>
    <w:p w14:paraId="0D4FF26D" w14:textId="77777777" w:rsidR="00BA3A2B" w:rsidRPr="00C94B78" w:rsidRDefault="00BA3A2B" w:rsidP="00B56F90">
      <w:pPr>
        <w:widowControl w:val="0"/>
        <w:tabs>
          <w:tab w:val="left" w:pos="501"/>
        </w:tabs>
        <w:spacing w:after="0" w:line="240" w:lineRule="auto"/>
        <w:jc w:val="both"/>
        <w:rPr>
          <w:rFonts w:ascii="Times New Roman" w:hAnsi="Times New Roman"/>
          <w:color w:val="0070C0"/>
          <w:sz w:val="16"/>
          <w:szCs w:val="16"/>
        </w:rPr>
      </w:pPr>
      <w:bookmarkStart w:id="129" w:name="bookmark172"/>
      <w:bookmarkEnd w:id="129"/>
      <w:r w:rsidRPr="00C94B78">
        <w:rPr>
          <w:rFonts w:ascii="Times New Roman" w:hAnsi="Times New Roman"/>
          <w:color w:val="0070C0"/>
          <w:sz w:val="16"/>
          <w:szCs w:val="16"/>
        </w:rPr>
        <w:t>2). Моторная установка.</w:t>
      </w:r>
    </w:p>
    <w:p w14:paraId="4F13E4B0" w14:textId="77777777" w:rsidR="00BA3A2B" w:rsidRPr="00C94B78" w:rsidRDefault="00BA3A2B" w:rsidP="00B56F90">
      <w:pPr>
        <w:tabs>
          <w:tab w:val="left" w:pos="479"/>
        </w:tabs>
        <w:spacing w:after="0" w:line="240" w:lineRule="auto"/>
        <w:jc w:val="both"/>
        <w:rPr>
          <w:rFonts w:ascii="Times New Roman" w:hAnsi="Times New Roman"/>
          <w:color w:val="0070C0"/>
          <w:sz w:val="16"/>
          <w:szCs w:val="16"/>
        </w:rPr>
      </w:pPr>
      <w:bookmarkStart w:id="130" w:name="bookmark173"/>
      <w:r w:rsidRPr="00C94B78">
        <w:rPr>
          <w:rFonts w:ascii="Times New Roman" w:hAnsi="Times New Roman"/>
          <w:color w:val="0070C0"/>
          <w:sz w:val="16"/>
          <w:szCs w:val="16"/>
        </w:rPr>
        <w:t>а</w:t>
      </w:r>
      <w:bookmarkEnd w:id="130"/>
      <w:r w:rsidRPr="00C94B78">
        <w:rPr>
          <w:rFonts w:ascii="Times New Roman" w:hAnsi="Times New Roman"/>
          <w:color w:val="0070C0"/>
          <w:sz w:val="16"/>
          <w:szCs w:val="16"/>
        </w:rPr>
        <w:t>). Обеспечить надежное крепление и сое</w:t>
      </w:r>
      <w:r w:rsidRPr="00C94B78">
        <w:rPr>
          <w:rFonts w:ascii="Times New Roman" w:hAnsi="Times New Roman"/>
          <w:color w:val="0070C0"/>
          <w:sz w:val="16"/>
          <w:szCs w:val="16"/>
        </w:rPr>
        <w:softHyphen/>
        <w:t>динение трубопроводов и защитить их от пе</w:t>
      </w:r>
      <w:r w:rsidRPr="00C94B78">
        <w:rPr>
          <w:rFonts w:ascii="Times New Roman" w:hAnsi="Times New Roman"/>
          <w:color w:val="0070C0"/>
          <w:sz w:val="16"/>
          <w:szCs w:val="16"/>
        </w:rPr>
        <w:softHyphen/>
        <w:t>ретирания тягами приводов управления;</w:t>
      </w:r>
    </w:p>
    <w:p w14:paraId="49390A68" w14:textId="77777777" w:rsidR="00BA3A2B" w:rsidRPr="00C94B78" w:rsidRDefault="00BA3A2B" w:rsidP="00B56F90">
      <w:pPr>
        <w:tabs>
          <w:tab w:val="left" w:pos="483"/>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lastRenderedPageBreak/>
        <w:t>б). Устранить возможность замерза</w:t>
      </w:r>
      <w:r w:rsidRPr="00C94B78">
        <w:rPr>
          <w:rFonts w:ascii="Times New Roman" w:hAnsi="Times New Roman"/>
          <w:color w:val="0070C0"/>
          <w:sz w:val="16"/>
          <w:szCs w:val="16"/>
        </w:rPr>
        <w:softHyphen/>
        <w:t>ния смазки в трубопроводах, размещенных на днище танка;</w:t>
      </w:r>
    </w:p>
    <w:p w14:paraId="2C5102C9" w14:textId="77777777" w:rsidR="00BA3A2B" w:rsidRPr="00C94B78" w:rsidRDefault="00BA3A2B" w:rsidP="00B56F90">
      <w:pPr>
        <w:tabs>
          <w:tab w:val="left" w:pos="479"/>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Рекомендовать установку термосифон</w:t>
      </w:r>
      <w:r w:rsidRPr="00C94B78">
        <w:rPr>
          <w:rFonts w:ascii="Times New Roman" w:hAnsi="Times New Roman"/>
          <w:color w:val="0070C0"/>
          <w:sz w:val="16"/>
          <w:szCs w:val="16"/>
        </w:rPr>
        <w:softHyphen/>
        <w:t>ных подогревателей по типу танка «Пантера».</w:t>
      </w:r>
    </w:p>
    <w:p w14:paraId="3AE4AC0A" w14:textId="77777777" w:rsidR="00BA3A2B" w:rsidRPr="00C94B78" w:rsidRDefault="00BA3A2B" w:rsidP="00B56F90">
      <w:pPr>
        <w:widowControl w:val="0"/>
        <w:tabs>
          <w:tab w:val="left" w:pos="501"/>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3). Коробка перемены передач.</w:t>
      </w:r>
    </w:p>
    <w:p w14:paraId="71A8DF5C" w14:textId="77777777" w:rsidR="00BA3A2B" w:rsidRPr="00C94B78" w:rsidRDefault="00BA3A2B" w:rsidP="00B56F90">
      <w:pPr>
        <w:tabs>
          <w:tab w:val="left" w:pos="469"/>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а). Усилить вертикальные валики переклю</w:t>
      </w:r>
      <w:r w:rsidRPr="00C94B78">
        <w:rPr>
          <w:rFonts w:ascii="Times New Roman" w:hAnsi="Times New Roman"/>
          <w:color w:val="0070C0"/>
          <w:sz w:val="16"/>
          <w:szCs w:val="16"/>
        </w:rPr>
        <w:softHyphen/>
        <w:t>чения скоростей;</w:t>
      </w:r>
    </w:p>
    <w:p w14:paraId="768DC38E" w14:textId="77777777" w:rsidR="00BA3A2B" w:rsidRPr="00C94B78" w:rsidRDefault="00BA3A2B" w:rsidP="00B56F90">
      <w:pPr>
        <w:tabs>
          <w:tab w:val="left" w:pos="479"/>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б). Повысить твердость сухарей, а также гнезд и стопоров в КПП.</w:t>
      </w:r>
    </w:p>
    <w:p w14:paraId="37941799" w14:textId="77777777" w:rsidR="00BA3A2B" w:rsidRPr="00C94B78" w:rsidRDefault="00BA3A2B" w:rsidP="00B56F90">
      <w:pPr>
        <w:widowControl w:val="0"/>
        <w:tabs>
          <w:tab w:val="left" w:pos="501"/>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4). Кулиса.</w:t>
      </w:r>
    </w:p>
    <w:p w14:paraId="475A098B"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а). Тщательно защитить кулису и валики от попадания грязи и усилить фиксацию включения передач.</w:t>
      </w:r>
    </w:p>
    <w:p w14:paraId="642D05D7" w14:textId="77777777" w:rsidR="00BA3A2B" w:rsidRPr="00C94B78" w:rsidRDefault="00BA3A2B" w:rsidP="00B56F90">
      <w:pPr>
        <w:widowControl w:val="0"/>
        <w:tabs>
          <w:tab w:val="left" w:pos="501"/>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5). Вентилятор и радиатор.</w:t>
      </w:r>
    </w:p>
    <w:p w14:paraId="2E45FBF9" w14:textId="77777777" w:rsidR="00BA3A2B" w:rsidRPr="00C94B78" w:rsidRDefault="00BA3A2B" w:rsidP="00B56F90">
      <w:pPr>
        <w:tabs>
          <w:tab w:val="left" w:pos="464"/>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а). Повысить износоустойчивость дисков фрикциона вентилятора...</w:t>
      </w:r>
    </w:p>
    <w:p w14:paraId="4DE04464" w14:textId="77777777" w:rsidR="00BA3A2B" w:rsidRPr="00C94B78" w:rsidRDefault="00BA3A2B" w:rsidP="00B56F90">
      <w:pPr>
        <w:widowControl w:val="0"/>
        <w:tabs>
          <w:tab w:val="left" w:pos="479"/>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6). Предотвратить возможность забрасыва</w:t>
      </w:r>
      <w:r w:rsidRPr="00C94B78">
        <w:rPr>
          <w:rFonts w:ascii="Times New Roman" w:hAnsi="Times New Roman"/>
          <w:color w:val="0070C0"/>
          <w:sz w:val="16"/>
          <w:szCs w:val="16"/>
        </w:rPr>
        <w:softHyphen/>
        <w:t>ния радиатора маслом и пылью.</w:t>
      </w:r>
    </w:p>
    <w:p w14:paraId="2FAC8E5D" w14:textId="77777777" w:rsidR="00BA3A2B" w:rsidRPr="00C94B78" w:rsidRDefault="00BA3A2B" w:rsidP="00B56F90">
      <w:pPr>
        <w:tabs>
          <w:tab w:val="left" w:pos="496"/>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6). Гитара.</w:t>
      </w:r>
    </w:p>
    <w:p w14:paraId="09DE5E0E"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а). Во избежание разрушения гитары при попаданиях осколочно-фугасного сна</w:t>
      </w:r>
      <w:r w:rsidRPr="00C94B78">
        <w:rPr>
          <w:rFonts w:ascii="Times New Roman" w:hAnsi="Times New Roman"/>
          <w:color w:val="0070C0"/>
          <w:sz w:val="16"/>
          <w:szCs w:val="16"/>
        </w:rPr>
        <w:softHyphen/>
        <w:t>ряда в борт корпуса танка перенести место крепления картера гитары с борта на подмо</w:t>
      </w:r>
      <w:r w:rsidRPr="00C94B78">
        <w:rPr>
          <w:rFonts w:ascii="Times New Roman" w:hAnsi="Times New Roman"/>
          <w:color w:val="0070C0"/>
          <w:sz w:val="16"/>
          <w:szCs w:val="16"/>
        </w:rPr>
        <w:softHyphen/>
        <w:t>торную раму или картер КПП.</w:t>
      </w:r>
    </w:p>
    <w:p w14:paraId="32CAF184" w14:textId="77777777" w:rsidR="00BA3A2B" w:rsidRPr="00C94B78" w:rsidRDefault="00BA3A2B" w:rsidP="00B56F90">
      <w:pPr>
        <w:widowControl w:val="0"/>
        <w:tabs>
          <w:tab w:val="left" w:pos="479"/>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б). Усилить подшипники гитары.</w:t>
      </w:r>
    </w:p>
    <w:p w14:paraId="2EA011CC"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Повысить производительность масля</w:t>
      </w:r>
      <w:r w:rsidRPr="00C94B78">
        <w:rPr>
          <w:rFonts w:ascii="Times New Roman" w:hAnsi="Times New Roman"/>
          <w:color w:val="0070C0"/>
          <w:sz w:val="16"/>
          <w:szCs w:val="16"/>
        </w:rPr>
        <w:softHyphen/>
        <w:t>ного насоса гитары.</w:t>
      </w:r>
    </w:p>
    <w:p w14:paraId="4DD78577" w14:textId="77777777" w:rsidR="00BA3A2B" w:rsidRPr="00C94B78" w:rsidRDefault="00BA3A2B" w:rsidP="00B56F90">
      <w:pPr>
        <w:widowControl w:val="0"/>
        <w:tabs>
          <w:tab w:val="left" w:pos="479"/>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7). Опорные катки.</w:t>
      </w:r>
    </w:p>
    <w:p w14:paraId="60281593" w14:textId="77777777" w:rsidR="00BA3A2B" w:rsidRPr="00C94B78" w:rsidRDefault="00BA3A2B" w:rsidP="00B56F90">
      <w:pPr>
        <w:tabs>
          <w:tab w:val="left" w:pos="442"/>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а). Улучшить качество изготовления и кре</w:t>
      </w:r>
      <w:r w:rsidRPr="00C94B78">
        <w:rPr>
          <w:rFonts w:ascii="Times New Roman" w:hAnsi="Times New Roman"/>
          <w:color w:val="0070C0"/>
          <w:sz w:val="16"/>
          <w:szCs w:val="16"/>
        </w:rPr>
        <w:softHyphen/>
        <w:t>пления резинового массива к ободу колеса;</w:t>
      </w:r>
    </w:p>
    <w:p w14:paraId="7CD07F17" w14:textId="77777777" w:rsidR="00BA3A2B" w:rsidRPr="00C94B78" w:rsidRDefault="00BA3A2B" w:rsidP="00B56F90">
      <w:pPr>
        <w:tabs>
          <w:tab w:val="left" w:pos="457"/>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б). Обеспечить возможность установки на машину серийных опорных катков с рези</w:t>
      </w:r>
      <w:r w:rsidRPr="00C94B78">
        <w:rPr>
          <w:rFonts w:ascii="Times New Roman" w:hAnsi="Times New Roman"/>
          <w:color w:val="0070C0"/>
          <w:sz w:val="16"/>
          <w:szCs w:val="16"/>
        </w:rPr>
        <w:softHyphen/>
        <w:t>новым массивом нормальной высоты.</w:t>
      </w:r>
    </w:p>
    <w:p w14:paraId="65A89BA0" w14:textId="77777777" w:rsidR="00BA3A2B" w:rsidRPr="00C94B78" w:rsidRDefault="00BA3A2B" w:rsidP="00B56F90">
      <w:pPr>
        <w:widowControl w:val="0"/>
        <w:tabs>
          <w:tab w:val="left" w:pos="433"/>
        </w:tabs>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3. Ввиду того, что в предъявленном образце танка Т-44 выявлено большое количество де</w:t>
      </w:r>
      <w:r w:rsidRPr="00C94B78">
        <w:rPr>
          <w:rFonts w:ascii="Times New Roman" w:hAnsi="Times New Roman"/>
          <w:color w:val="0070C0"/>
          <w:sz w:val="16"/>
          <w:szCs w:val="16"/>
        </w:rPr>
        <w:softHyphen/>
        <w:t>фектов, значительно снизивших темп и ин</w:t>
      </w:r>
      <w:r w:rsidRPr="00C94B78">
        <w:rPr>
          <w:rFonts w:ascii="Times New Roman" w:hAnsi="Times New Roman"/>
          <w:color w:val="0070C0"/>
          <w:sz w:val="16"/>
          <w:szCs w:val="16"/>
        </w:rPr>
        <w:softHyphen/>
        <w:t>тенсивность испытаний, считать необходи</w:t>
      </w:r>
      <w:r w:rsidRPr="00C94B78">
        <w:rPr>
          <w:rFonts w:ascii="Times New Roman" w:hAnsi="Times New Roman"/>
          <w:color w:val="0070C0"/>
          <w:sz w:val="16"/>
          <w:szCs w:val="16"/>
        </w:rPr>
        <w:softHyphen/>
        <w:t>мым срочно изготовить и предъявить на го</w:t>
      </w:r>
      <w:r w:rsidRPr="00C94B78">
        <w:rPr>
          <w:rFonts w:ascii="Times New Roman" w:hAnsi="Times New Roman"/>
          <w:color w:val="0070C0"/>
          <w:sz w:val="16"/>
          <w:szCs w:val="16"/>
        </w:rPr>
        <w:softHyphen/>
        <w:t>сударственные испытания образец танка Т-44А, изготовленный в соответствии с за</w:t>
      </w:r>
      <w:r w:rsidRPr="00C94B78">
        <w:rPr>
          <w:rFonts w:ascii="Times New Roman" w:hAnsi="Times New Roman"/>
          <w:color w:val="0070C0"/>
          <w:sz w:val="16"/>
          <w:szCs w:val="16"/>
        </w:rPr>
        <w:softHyphen/>
        <w:t>мечаниями комиссии» (25012).</w:t>
      </w:r>
    </w:p>
    <w:p w14:paraId="10673626" w14:textId="77777777" w:rsidR="00BA3A2B" w:rsidRPr="00C94B78" w:rsidRDefault="00BA3A2B" w:rsidP="00B56F90">
      <w:pPr>
        <w:spacing w:after="0" w:line="240" w:lineRule="auto"/>
        <w:jc w:val="both"/>
        <w:rPr>
          <w:rFonts w:ascii="Times New Roman" w:hAnsi="Times New Roman"/>
          <w:color w:val="0070C0"/>
          <w:sz w:val="16"/>
          <w:szCs w:val="16"/>
        </w:rPr>
      </w:pPr>
    </w:p>
    <w:p w14:paraId="69357C1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июня 1944 вышло Распоряжение ГКО № 6052 [О мерах по доставке материалов на важнейшие стройки НКЧМ, НКЦМ, НКТП, НКБ, НКВ, НКТМ, НКСМ и заводских электростанций.] (7241, 69,70-72).</w:t>
      </w:r>
    </w:p>
    <w:p w14:paraId="43E75C5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CE86D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июня 1944 вышло Распоряжение ГКО № 6053 [Об обеспечении поставки балансов и дров Камскому и Соликамскому бумкомбинатам водным путем.] (7241, 73).</w:t>
      </w:r>
    </w:p>
    <w:p w14:paraId="1716DA8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C9C49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июня 1944 Адмиралтейцы отремонтировали и передали флоту шесть МБК (10671).</w:t>
      </w:r>
    </w:p>
    <w:p w14:paraId="71875E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147BE7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8625D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ABDC57" w14:textId="77777777" w:rsidR="009B6D3A" w:rsidRPr="00070ADE" w:rsidRDefault="009B6D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15 июня</w:t>
      </w:r>
      <w:r w:rsidRPr="00070ADE">
        <w:rPr>
          <w:rFonts w:ascii="Times New Roman" w:hAnsi="Times New Roman"/>
          <w:color w:val="000000" w:themeColor="text1"/>
          <w:sz w:val="16"/>
          <w:szCs w:val="16"/>
        </w:rPr>
        <w:t xml:space="preserve"> в 1944 году оперативная сводка Совинформбюро:</w:t>
      </w:r>
    </w:p>
    <w:p w14:paraId="7C30C194" w14:textId="77777777" w:rsidR="009B6D3A" w:rsidRPr="00070ADE" w:rsidRDefault="009B6D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Карельском перешейке войска Ленинградского фронта, продолжая развивать наступление, прорвали в районе Мустамяки—Кутерселькя вторую сильно укреплённую долговременную оборонительную полосу финнов. В течение 15 июня войска фронта овладели сильно укреплёнными опорными пунктами обороны противника Мустамяки, Каннелярви, Сюкияля, Неувола, Ваммелярви, Расватту, Мятсякюля, Лаутаранта, фортом Ино, Инонкюля, Марттиланмяки, Хиекканиеми, Сиркиянсари, Леппясенмяки, Троицкое, Ристолово, Малое Кайдалово и железнодорожными станциями Мустамяки и Ино.</w:t>
      </w:r>
    </w:p>
    <w:p w14:paraId="757F5202" w14:textId="77777777" w:rsidR="009B6D3A" w:rsidRPr="00070ADE" w:rsidRDefault="009B6D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итоге шестидневных наступательных боёв войска Ленинградского фронта прорвали две сильно укреплённые долговременные оборонительные полосы финнов, продвинулись вперёд до 40 километров, расширив прорыв до 75 километров по фронту. В ходе прорыва первой и второй оборонительных полос противника войсками фронта уничтожено и захвачено более 500 долговременных оборонительных сооружений, преодолены три мощных полосы противотанковых и противопехотных заграждений (эскарпы, рвы, надолбы) и глубоко эшелонированные минные поля. Только в трёх узлах сопротивления второй оборонительной полосы противника Мустамяки, Кутерселькя, Сахакюля захвачено более 50 железобетонных и броневых артиллерийских и пулемётных сооружений.</w:t>
      </w:r>
    </w:p>
    <w:p w14:paraId="307A11AF" w14:textId="77777777" w:rsidR="009B6D3A" w:rsidRPr="00070ADE" w:rsidRDefault="009B6D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предварительным данным, за пять дней наступательных боёв, с 10 по 14 июня, войска фронта захватили следующие трофеи: орудий разного калибра — 235, миномётов — 180, пулемётов — 400. Кроме того, уничтожено орудий разного калибра более 200 и пулемётов более 450. Противник понёс огромные потери в живой силе. На других участках фронта — без перемен.</w:t>
      </w:r>
    </w:p>
    <w:p w14:paraId="56054342" w14:textId="77777777" w:rsidR="009B6D3A" w:rsidRPr="00070ADE" w:rsidRDefault="009B6D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14 июня на всех фронтах в воздушных боях и огнём зенитной артиллерии сбито 12 самолётов противника.»</w:t>
      </w:r>
    </w:p>
    <w:p w14:paraId="22F22F44" w14:textId="77777777" w:rsidR="009B6D3A" w:rsidRPr="00070ADE" w:rsidRDefault="009B6D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Бомбардировка нашей авиацией аэродромов противника:</w:t>
      </w:r>
    </w:p>
    <w:p w14:paraId="400C19F2" w14:textId="77777777" w:rsidR="009B6D3A" w:rsidRPr="00070ADE" w:rsidRDefault="009B6D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15 июня наша авиация дальнего действия продолжала наносить массированные удары по аэродромам противника. Бомбардировке были подвергнуты аэродромы немцев в районах Белостока, Баранович, Лунинца. В результате бомбардировки возникли большие пожары, сопровождавшиеся взрывами. Горели немецкие самолёты и склады с горючим.</w:t>
      </w:r>
    </w:p>
    <w:p w14:paraId="2B4C3561" w14:textId="77777777" w:rsidR="009B6D3A" w:rsidRPr="00070ADE" w:rsidRDefault="009B6D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Три наших самолёта не вернулись на свои базы.»</w:t>
      </w:r>
    </w:p>
    <w:p w14:paraId="25A88343" w14:textId="77777777" w:rsidR="009B6D3A" w:rsidRPr="00070ADE" w:rsidRDefault="009B6D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Карельском перешейке наши войска прорвали в районе Мустамяки — Кутерселькя вторую сильно укреплённую полосу обороны финнов, до предела насыщенную долговременными сооружениями. Части Н-ского соединения только в боях за один мощный опорный пункт разгромили до полка финской пехоты. Захвачено много пленных.</w:t>
      </w:r>
    </w:p>
    <w:p w14:paraId="4CC05D95" w14:textId="77777777" w:rsidR="009B6D3A" w:rsidRPr="00070ADE" w:rsidRDefault="009B6D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Бойцы и офицеры Красной Армии в боях на Карельском перешейке показывают примеры доблести и героизма. Шесть гвардейцев во главе с гвардии старшиной Дубновым обнаружили гаубичную батарею, которая вела огонь по нашим боевым порядкам. Гвардейцы пробрались в тыл противника и внезапно напали на финских артиллеристов. Огнём из автоматов и гранатами наши бойцы истребили несколько десятков финнов и захватили 4 исправных орудия и оклад боеприпасов. Отбивая вражескую контратаку, пулемётчики гвардии рядовой Белоножкин и гвардии старший сержант Шилов истребили 40 белофиннов. Снайпер Изосимов, прочёсывая лес, встретился с пятью финнами. Двух из них Изосимов застрелил, а трёх взял в плен. Танкист старший лейтенант Струченков уничтожил два финских дзота, 4 пулемётные точки и истребил более взвода солдат противника. Сапёр старшина Каналов за два дня обезвредил свыше тысячи мин.</w:t>
      </w:r>
    </w:p>
    <w:p w14:paraId="0AD2F878" w14:textId="77777777" w:rsidR="009B6D3A" w:rsidRPr="00070ADE" w:rsidRDefault="009B6D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поддерживал наступление войск Ленинградского фронта, наносила массированные удары по оборонительным сооружениям, артиллерийским позициям и коммуникациям финнов. В течение дня наши лётчики взорвали железнодорожный эшелон, разрушили десятки дзотов, уничтожили до 80 автомашин и подавили огонь 24 артиллерийских и миномётных батарей противника.</w:t>
      </w:r>
    </w:p>
    <w:p w14:paraId="5A92D72E" w14:textId="77777777" w:rsidR="009B6D3A" w:rsidRPr="00070ADE" w:rsidRDefault="009B6D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Витебск разведгруппа под командованием лейтенанта Богачёва атаковала позиции противника. Наши бойцы ворвались в траншеи и в рукопашной схватке истребили 25 немцев. Разведчики взорвали блиндаж, уничтожили орудие и, захватив пленного, вернулись в свою часть.</w:t>
      </w:r>
    </w:p>
    <w:p w14:paraId="4E55D368" w14:textId="77777777" w:rsidR="009B6D3A" w:rsidRPr="00070ADE" w:rsidRDefault="009B6D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Станислав противник при поддержке артиллерийского огня пытался вести разведку боем. Впереди наступавших немцев двигалось 18 танкеток-торпед. Наши подразделения не допустили врага до переднего края. Большинство танкеток-торпед подбито огнём нашей артиллерии. Пехота противника, встреченная ружейно-пулемётным и миномётным огнём, откатилась на исходные позиции.</w:t>
      </w:r>
    </w:p>
    <w:p w14:paraId="4D9C1280" w14:textId="77777777" w:rsidR="009B6D3A" w:rsidRPr="00070ADE" w:rsidRDefault="009B6D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 самолёт-торпедоносец потопил в Финском заливе немецкий транспорт водоизмещением в 1.500 тонн.</w:t>
      </w:r>
    </w:p>
    <w:p w14:paraId="777E8A8B" w14:textId="77777777" w:rsidR="009B6D3A" w:rsidRPr="00070ADE" w:rsidRDefault="009B6D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Партизаны, действующие в Дрогобычской области, в конце мая сожгли несколько нефтяных вышек и 16 резервуаров, в которых находилось около трёх тысяч тонн нефти. Пожар на нефтепромыслах продолжался два дня. Группа партизан, действующая на железнодорожных коммуникациях, с 28 по 31 мая пустила под откос 6 немецких воинских эшелонов. Во время крушений убито и ранено много солдат противника.</w:t>
      </w:r>
    </w:p>
    <w:p w14:paraId="4C95F2BA" w14:textId="77777777" w:rsidR="009B6D3A" w:rsidRPr="00070ADE" w:rsidRDefault="009B6D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сторону Красной Армии перешла группа солдат отдельного румынского батальона охраны железных дорог. Перебежчик Павел Л. рассказал: «Немцы, по-видимому, понимают, что им недолго осталось хозяйничать в Румынии. Они стараются вывезти из Румынии как можно больше продовольствия, сырья и нефти. Население очень озлоблено против немцев и открыто называет их грабителями. Патрулируя вдоль железнодорожного полотна, мы часто обнаруживали на рельсах завалы из брёвен и камней. Эхо делали жители окрестных сёл с целью вызвать крушения поездов и помешать немца» увозить награбленное. В ряде районов действуют партизанские отряды, известные под названием «Зелёных батальонов». Впервые эти батальоны появились в 1942 году. Спасаясь от верной гибели, солдаты убегали с фронта и уходили в леса и горы Ардяла и Баната. Некоторые батальоны хорошо вооружены и причиняют немцам большие неприятности. Мелкие отряды полиции и жандармерий совершенно бессильны против партизан» (14923).</w:t>
      </w:r>
    </w:p>
    <w:p w14:paraId="2F8DA9B4" w14:textId="77777777" w:rsidR="009B6D3A" w:rsidRPr="00070ADE" w:rsidRDefault="009B6D3A" w:rsidP="00B56F90">
      <w:pPr>
        <w:spacing w:after="0" w:line="240" w:lineRule="auto"/>
        <w:jc w:val="both"/>
        <w:rPr>
          <w:rFonts w:ascii="Times New Roman" w:hAnsi="Times New Roman"/>
          <w:color w:val="000000" w:themeColor="text1"/>
          <w:sz w:val="16"/>
          <w:szCs w:val="16"/>
        </w:rPr>
      </w:pPr>
    </w:p>
    <w:p w14:paraId="68B439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июня 1944 советские войска вышли к Линии Маннергейма (2247,5).</w:t>
      </w:r>
    </w:p>
    <w:p w14:paraId="65201E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30C5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июня 1944 объекты полтавского аэроузла принимала специальная американская комиссия (1261,35).</w:t>
      </w:r>
    </w:p>
    <w:p w14:paraId="161CA1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694D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15 июня 1944 г. генерал-майор И.С.Полбин лично возглавил группу из 25 бомбардировщиков, получивших во время Львовско-Сандомирской операции задание уничтожить скопление танков и артиллерии противника. Механизм "полбинской вертушки" был отлажен очень четко. Когда ведущий выходил из пикирования, следующий за ним самолет заходил на цель, строго выдерживая дистанцию. Выйдя из пикирования, первый бомбардировщик боевым разворотом пристраивался к </w:t>
      </w:r>
      <w:r w:rsidRPr="00070ADE">
        <w:rPr>
          <w:rFonts w:ascii="Times New Roman" w:hAnsi="Times New Roman"/>
          <w:color w:val="000000" w:themeColor="text1"/>
          <w:sz w:val="16"/>
          <w:szCs w:val="16"/>
        </w:rPr>
        <w:lastRenderedPageBreak/>
        <w:t>замыкающему и образовывал кольцо. По докладам летчиков, за пять заходов группа Полбина уничтожила 180 автомашин, 9 танков, десятки полевых орудий, другую технику. При этом истребители прикрытия непрерывно барражировали выше и ниже группы "петляковых", отгоняя FW190 и ВП09. По результатам этого и других подобных ударов было установлено, что оптимальным составом "вертушки" были 12-15 Пе-2. За время Львовско-Сандомирской операции при бомбежке из замкнутого круга бомбардировщики не потеряли ни одного экипажа. Зенитчикам было трудно вести прицельный огонь по самолетам, у которых постоянно менялся курс, высота и скорость. В дальнейшем экипажи корпуса стали использовать усложненный тактический прием, проводя атаки не с одного, а с различных направлений (3542).</w:t>
      </w:r>
    </w:p>
    <w:p w14:paraId="59C95A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A0B99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5CFB88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C2EA28" w14:textId="77777777" w:rsidR="00741660" w:rsidRPr="00070ADE" w:rsidRDefault="007416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июня 1944 во время дневного налета 297 самолетов бомбардировочного командования Королевских ВВС в сумерках нанесли удар по гавани в Булони, Франция, в результате чего один бомбардировщик был поттеряно, но потоплено 25 немецких R-катеров и малых судов и повреждено 10 других, что завершило разрушение немецких надводных военно-морских сил, угрожающие высадке союзников в Нормандии. Сообщается, что гавань и прилегающие районы сильно пострадали в результате того, что французы называют самым разрушительным рейдом на Булонь во время Второй мировой войны (20373).</w:t>
      </w:r>
    </w:p>
    <w:p w14:paraId="0B9DECBB" w14:textId="77777777" w:rsidR="00741660" w:rsidRPr="00070ADE" w:rsidRDefault="00741660" w:rsidP="00B56F90">
      <w:pPr>
        <w:spacing w:after="0" w:line="240" w:lineRule="auto"/>
        <w:jc w:val="both"/>
        <w:rPr>
          <w:rFonts w:ascii="Times New Roman" w:hAnsi="Times New Roman"/>
          <w:color w:val="000000" w:themeColor="text1"/>
          <w:sz w:val="16"/>
          <w:szCs w:val="16"/>
        </w:rPr>
      </w:pPr>
    </w:p>
    <w:p w14:paraId="448F8080" w14:textId="77777777" w:rsidR="00741660" w:rsidRPr="00070ADE" w:rsidRDefault="007416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15–16 июня (ночь) 1944 451 британский бомбардировщик атакует немецкие склады снабжения в Фуйяре и Шательро, Франция, и железнодорожные станции в Лансе и Валансьене, Франция, потеряв 11 самолетов. Рейды поражают все или часть их целей, и два рейда на железных дорогах особенно успешны (20373).</w:t>
      </w:r>
    </w:p>
    <w:p w14:paraId="50417BAD" w14:textId="77777777" w:rsidR="00741660" w:rsidRPr="00070ADE" w:rsidRDefault="00741660" w:rsidP="00B56F90">
      <w:pPr>
        <w:spacing w:after="0" w:line="240" w:lineRule="auto"/>
        <w:jc w:val="both"/>
        <w:rPr>
          <w:rFonts w:ascii="Times New Roman" w:hAnsi="Times New Roman"/>
          <w:color w:val="000000" w:themeColor="text1"/>
          <w:sz w:val="16"/>
          <w:szCs w:val="16"/>
        </w:rPr>
      </w:pPr>
    </w:p>
    <w:p w14:paraId="604CEB08" w14:textId="1EB82F0B" w:rsidR="00741660" w:rsidRPr="00070ADE" w:rsidRDefault="007416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июня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Германские ракетные части провели первый массированный ракетный удар по Лондону. В течение 14-ти часов с 55-ти стартовых позиций было пущено 294 крылатых ракет "Фау-1"/V-1, из них 244 по Лондону и 50 по Саутгемптону. На этот раз 73 ракеты взорвались в черте Большого Лондона, 100 ракет разрушились в воздухе, 22 ракеты были сбиты системой ПВО Англии (22460).</w:t>
      </w:r>
    </w:p>
    <w:p w14:paraId="01E1715E" w14:textId="77777777" w:rsidR="00741660" w:rsidRPr="00070ADE" w:rsidRDefault="00741660" w:rsidP="00B56F90">
      <w:pPr>
        <w:spacing w:after="0" w:line="240" w:lineRule="auto"/>
        <w:jc w:val="both"/>
        <w:rPr>
          <w:rFonts w:ascii="Times New Roman" w:hAnsi="Times New Roman"/>
          <w:color w:val="000000" w:themeColor="text1"/>
          <w:sz w:val="16"/>
          <w:szCs w:val="16"/>
        </w:rPr>
      </w:pPr>
    </w:p>
    <w:p w14:paraId="40C6E65C" w14:textId="77777777" w:rsidR="00741660" w:rsidRPr="00070ADE" w:rsidRDefault="007416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июня 1944 штаб ХХ ВС запланировал первый удар по Японии — 94 «сверхкрепости» направились к городу Явата, где размещался металлургический комбинат. В августе 1944 г. командующим ХХ ВС был назначен генералмайор Кертисс Ле-Мей, и 8-го числа он лично возглавил удар по металлургическому заводу «Сьова» в г. Аньшань в Маньчжурии. Из ста В-29 девяносто пять прицельно отбомбились по цели, и выпуск продукции заводом сократился на треть. Потери составили 4 машины. Экипажи ХХ ВС выполняли с индийских баз удары по целям в Китае, Бирме, Малайе, Сингапуре, Таиланде, во Французском Индокитае (23005).</w:t>
      </w:r>
    </w:p>
    <w:p w14:paraId="29802EA4" w14:textId="77777777" w:rsidR="00741660" w:rsidRPr="00070ADE" w:rsidRDefault="00741660" w:rsidP="00B56F90">
      <w:pPr>
        <w:spacing w:after="0" w:line="240" w:lineRule="auto"/>
        <w:jc w:val="both"/>
        <w:rPr>
          <w:rFonts w:ascii="Times New Roman" w:hAnsi="Times New Roman"/>
          <w:color w:val="000000" w:themeColor="text1"/>
          <w:sz w:val="16"/>
          <w:szCs w:val="16"/>
        </w:rPr>
      </w:pPr>
    </w:p>
    <w:p w14:paraId="2FA5CC82"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Style w:val="aff1"/>
          <w:rFonts w:ascii="Times New Roman" w:hAnsi="Times New Roman" w:cs="Times New Roman"/>
          <w:color w:val="0070C0"/>
          <w:spacing w:val="0"/>
          <w:sz w:val="16"/>
          <w:szCs w:val="16"/>
        </w:rPr>
        <w:t>15 июня 1944 г. состоялся первый налет В-29 на Японию из Ченгу, с недавно построенных взлетных полос для В-29 в Китае. В октябре 1944 г. первые В-29 прибыли на новые авиабазы, только что отвоеванные у врага на Марианских островах, на Сайпане и Руаме. Их количество росло так быстро, насколько мощно</w:t>
      </w:r>
      <w:r w:rsidRPr="00C94B78">
        <w:rPr>
          <w:rStyle w:val="aff1"/>
          <w:rFonts w:ascii="Times New Roman" w:hAnsi="Times New Roman" w:cs="Times New Roman"/>
          <w:color w:val="0070C0"/>
          <w:spacing w:val="0"/>
          <w:sz w:val="16"/>
          <w:szCs w:val="16"/>
        </w:rPr>
        <w:softHyphen/>
        <w:t>сти заводов позволяли выпускать В-29. Генерал Кертис Лимей принял решение о ночных маловысотных бомбежках Токио с нагрузкой полностью из зажигательных бомб. Было много по</w:t>
      </w:r>
      <w:r w:rsidRPr="00C94B78">
        <w:rPr>
          <w:rStyle w:val="aff1"/>
          <w:rFonts w:ascii="Times New Roman" w:hAnsi="Times New Roman" w:cs="Times New Roman"/>
          <w:color w:val="0070C0"/>
          <w:spacing w:val="0"/>
          <w:sz w:val="16"/>
          <w:szCs w:val="16"/>
        </w:rPr>
        <w:softHyphen/>
        <w:t>водов для такого решения, но главными были увеличение на</w:t>
      </w:r>
      <w:r w:rsidRPr="00C94B78">
        <w:rPr>
          <w:rStyle w:val="aff1"/>
          <w:rFonts w:ascii="Times New Roman" w:hAnsi="Times New Roman" w:cs="Times New Roman"/>
          <w:color w:val="0070C0"/>
          <w:spacing w:val="0"/>
          <w:sz w:val="16"/>
          <w:szCs w:val="16"/>
        </w:rPr>
        <w:softHyphen/>
        <w:t>грузки и устранение ошибок бомбометания, связанных с влия</w:t>
      </w:r>
      <w:r w:rsidRPr="00C94B78">
        <w:rPr>
          <w:rStyle w:val="aff1"/>
          <w:rFonts w:ascii="Times New Roman" w:hAnsi="Times New Roman" w:cs="Times New Roman"/>
          <w:color w:val="0070C0"/>
          <w:spacing w:val="0"/>
          <w:sz w:val="16"/>
          <w:szCs w:val="16"/>
        </w:rPr>
        <w:softHyphen/>
        <w:t>нием ветра. Эта стратегия привела к самым большим огненным смерчам в истории и к самым катастрофическим последствиям от воздушных атак (25675).</w:t>
      </w:r>
    </w:p>
    <w:p w14:paraId="06A3750A" w14:textId="77777777" w:rsidR="00BA3A2B" w:rsidRPr="00C94B78" w:rsidRDefault="00BA3A2B" w:rsidP="00B56F90">
      <w:pPr>
        <w:spacing w:after="0" w:line="240" w:lineRule="auto"/>
        <w:jc w:val="both"/>
        <w:rPr>
          <w:rFonts w:ascii="Times New Roman" w:hAnsi="Times New Roman"/>
          <w:color w:val="0070C0"/>
          <w:sz w:val="16"/>
          <w:szCs w:val="16"/>
        </w:rPr>
      </w:pPr>
    </w:p>
    <w:p w14:paraId="38AF8EE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исходу 15 июня 1944 подразделения 155-го полка получили в достаточном количестве все необходимое для ведения боевых действий. В ночь на 16 июня немцы возобновили ракетные удары по Англии. На этот раз с 55 пусковых установок в течение 14 часов было запущено 294 V1. Из них 244 ракеты было направлено на Лондон и 50 – на Саутгемптон. 100 ракет разрушилось в воздухе, не долетев до побережья, остальные упали в различных местах Англии, 73 V1 разорвались в черте Большого Лондона. Немецкое командование оценило второй ракетный удар как успех.</w:t>
      </w:r>
    </w:p>
    <w:p w14:paraId="420930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«…Речь идет не об одноактной демонстрации, а о непрерывном и продолжительном применении “оружия возмездия”», – было объявлено по радио и напечатано во многих германских газетах и средствах массовой информации некоторых нейтральных стран (Орлов А.С. «Чудо-оружие»: обманутые надежды фюрера. Смоленск: Русич, 1999.) (11686).</w:t>
      </w:r>
    </w:p>
    <w:p w14:paraId="75935B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11DB3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июня 1944 г. началось масштабное использование V1. Самолеты-снаряды наземного базирования наносили удары по Лондону, южной Англии, Антверпену и Льежу. Так продолжалось до 29 марта 1945 г. Ведомство Геббельса через листовки распространило заявление среди солдат союзников, сражающихся в Северной Франции (Ненахов Ю.Ю. Чудо-оружие Третьего рейха. Минск: ХАРВЕСТ, 1999.): «Солдаты союзных войск! Вы угодили в западню... Вы сражаетесь на узкой полоске суши, площадь которой была заранее установлена нами. Тем временем наши самолеты-роботы сеют смерть и опустошение в городах и гаванях, откуда вы получаете продовольствие и снабжение. Ваши коммуникации перерезаны...» Налеты ракет вызывали у англичан большой страх. Немецкие крылатые и баллистические ракеты воспринимались союзниками как самая большая угроза Великобритании (Запольскис А.А. Реактивные самолеты люфтваффе. Минск: ХАРВЕСТ, 1999.). Но еще сильнее было их психологическое воздействие. V1 приближался к цели в горизонтальном полете с оглушительным ревом, напоминающим рев современных реактивных истребителей, который вкупе с бесконечными воздушными тревогами сильно действовал на лондонцев (11686).</w:t>
      </w:r>
    </w:p>
    <w:p w14:paraId="5B6F99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3604FF0" w14:textId="77777777" w:rsidR="009B6D3A" w:rsidRPr="00070ADE" w:rsidRDefault="009B6D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15 июня</w:t>
      </w:r>
      <w:r w:rsidRPr="00070ADE">
        <w:rPr>
          <w:rFonts w:ascii="Times New Roman" w:hAnsi="Times New Roman"/>
          <w:color w:val="000000" w:themeColor="text1"/>
          <w:sz w:val="16"/>
          <w:szCs w:val="16"/>
        </w:rPr>
        <w:t xml:space="preserve"> в 1944 году германские ракетные части провели первый массированный ракетный удар по Лондону. В течение 14-ти часов с 55-ти стартовых позиций было пущено 294 крылатых ракет "Фау-1"/V-1, из них 244 по Лондону и 50 по Саутгемптону. На этот раз 73 ракеты взорвались в черте Большого Лондона, 100 ракет разрушились в воздухе, 22 ракеты были сбиты системой ПВО Англии (14923).</w:t>
      </w:r>
    </w:p>
    <w:p w14:paraId="00E789E0" w14:textId="77777777" w:rsidR="009B6D3A" w:rsidRPr="00070ADE" w:rsidRDefault="009B6D3A" w:rsidP="00B56F90">
      <w:pPr>
        <w:spacing w:after="0" w:line="240" w:lineRule="auto"/>
        <w:jc w:val="both"/>
        <w:rPr>
          <w:rFonts w:ascii="Times New Roman" w:hAnsi="Times New Roman"/>
          <w:color w:val="000000" w:themeColor="text1"/>
          <w:sz w:val="16"/>
          <w:szCs w:val="16"/>
        </w:rPr>
      </w:pPr>
    </w:p>
    <w:p w14:paraId="4DA10820" w14:textId="77777777" w:rsidR="009B6D3A" w:rsidRPr="00070ADE" w:rsidRDefault="009B6D3A"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15th, 1944: Heavy V-1 attacks on London (3819).</w:t>
      </w:r>
    </w:p>
    <w:p w14:paraId="35C1A4D8" w14:textId="77777777" w:rsidR="009B6D3A" w:rsidRPr="00070ADE" w:rsidRDefault="009B6D3A"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0DDC304" w14:textId="77777777" w:rsidR="009B6D3A" w:rsidRPr="00070ADE" w:rsidRDefault="009B6D3A"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июня 1944 был массовый налет Фау-1 на Лондон (3819).</w:t>
      </w:r>
    </w:p>
    <w:p w14:paraId="368F5469" w14:textId="77777777" w:rsidR="009B6D3A" w:rsidRPr="00070ADE" w:rsidRDefault="009B6D3A"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A5FF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июня 1944 британским истребителем был сбит первый Fi-103 (2703,5).</w:t>
      </w:r>
    </w:p>
    <w:p w14:paraId="024618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1392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15 (14 - 2100) June 1944 First B-29 bomber raid on Japan (270).</w:t>
      </w:r>
    </w:p>
    <w:p w14:paraId="47E5B5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27A2F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июня 1944 американцы высадились на Сайпане, Марианские острова (2247,5).</w:t>
      </w:r>
    </w:p>
    <w:p w14:paraId="348906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E33948" w14:textId="77777777" w:rsidR="00741660" w:rsidRPr="00070ADE" w:rsidRDefault="007416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июня 1944 самолеты Объединенной двадцатой армии ВВС начинает стратегические бомбардировки в рамках наступления против Японии их Китая используя B-29 СуперФортреса и атакуют Yawata (теперь Китакюсюйский ) на Kyūshū. Это второй воздушный налет на Японские острова в истории и первый после рейда Дулиттла в апреле 1942 года (20373).</w:t>
      </w:r>
    </w:p>
    <w:p w14:paraId="3C195181" w14:textId="77777777" w:rsidR="00741660" w:rsidRPr="00070ADE" w:rsidRDefault="00741660" w:rsidP="00B56F90">
      <w:pPr>
        <w:spacing w:after="0" w:line="240" w:lineRule="auto"/>
        <w:jc w:val="both"/>
        <w:rPr>
          <w:rFonts w:ascii="Times New Roman" w:hAnsi="Times New Roman"/>
          <w:color w:val="000000" w:themeColor="text1"/>
          <w:sz w:val="16"/>
          <w:szCs w:val="16"/>
        </w:rPr>
      </w:pPr>
    </w:p>
    <w:p w14:paraId="32588D3E" w14:textId="77777777" w:rsidR="00741660" w:rsidRPr="00070ADE" w:rsidRDefault="0074166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июня 1944 американские войска высадились на Сайпане . Самолеты авианорсцев оперативных групп ВМС США 58.1 и 58.4 нанесли удар по Чичи-Дзиме, Хаха-Джиме и Иводзиме, сбив 10 японских самолетов, уничтожив семь на земле и 21 гидросамолет на воде, и подожгли три небольших грузовых корабля и ангар. Три американских самолета потеряны. Японские бомбардировщики-торпедоносцы атакуют Task Force 58, не нанеся повреждений и неся большие потери (20373).</w:t>
      </w:r>
    </w:p>
    <w:p w14:paraId="0A2F5307" w14:textId="77777777" w:rsidR="00741660" w:rsidRPr="00070ADE" w:rsidRDefault="00741660" w:rsidP="00B56F90">
      <w:pPr>
        <w:spacing w:after="0" w:line="240" w:lineRule="auto"/>
        <w:jc w:val="both"/>
        <w:rPr>
          <w:rFonts w:ascii="Times New Roman" w:hAnsi="Times New Roman"/>
          <w:color w:val="000000" w:themeColor="text1"/>
          <w:sz w:val="16"/>
          <w:szCs w:val="16"/>
        </w:rPr>
      </w:pPr>
    </w:p>
    <w:p w14:paraId="07D397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15, 1944. Forty-seven B-29 crews based in India and staging through Chengdu, China, attack steel mills at Yawata in the first B-29 strike against Japan (1089).</w:t>
      </w:r>
    </w:p>
    <w:p w14:paraId="5B6C22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E763D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(14) июня 1944 В-29 впервые совершили налет на Японию (270) из Китая (2247,5), вернее из Индии через Китай и бомбили сталелитейные заводы в Явате (1089).</w:t>
      </w:r>
    </w:p>
    <w:p w14:paraId="792C20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 В-29 вылетели 14 июня и 18 сошли с задания, а один разбился на старте. В районе цели упала 1 бомба в 1.2 км от точки прицеливания (1051,25).</w:t>
      </w:r>
    </w:p>
    <w:p w14:paraId="2CEF82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6BF60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7C94C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4B5ED9" w14:textId="77777777" w:rsidR="00D41808" w:rsidRPr="00070ADE" w:rsidRDefault="00D418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середине июня 1944 г. на ИТП (М-2) АМ-39была получена мак</w:t>
      </w:r>
      <w:r w:rsidRPr="00070ADE">
        <w:rPr>
          <w:rFonts w:ascii="Times New Roman" w:hAnsi="Times New Roman"/>
          <w:color w:val="000000" w:themeColor="text1"/>
          <w:sz w:val="16"/>
          <w:szCs w:val="16"/>
        </w:rPr>
        <w:softHyphen/>
        <w:t>симальная скорость полета у земли - 540 км/ч (600 км/ч на форсаже), на высо</w:t>
      </w:r>
      <w:r w:rsidRPr="00070ADE">
        <w:rPr>
          <w:rFonts w:ascii="Times New Roman" w:hAnsi="Times New Roman"/>
          <w:color w:val="000000" w:themeColor="text1"/>
          <w:sz w:val="16"/>
          <w:szCs w:val="16"/>
        </w:rPr>
        <w:softHyphen/>
        <w:t>те 2500 м - 570 км/ч (650 км/ч на фор</w:t>
      </w:r>
      <w:r w:rsidRPr="00070ADE">
        <w:rPr>
          <w:rFonts w:ascii="Times New Roman" w:hAnsi="Times New Roman"/>
          <w:color w:val="000000" w:themeColor="text1"/>
          <w:sz w:val="16"/>
          <w:szCs w:val="16"/>
        </w:rPr>
        <w:softHyphen/>
        <w:t>саже), и на высоте 5000 м - 560 км/ч. Практический потолок - 11500 м. Время подъема на высоту 5000 м - 6 мин.</w:t>
      </w:r>
    </w:p>
    <w:p w14:paraId="79827DB3" w14:textId="77777777" w:rsidR="00D41808" w:rsidRPr="00070ADE" w:rsidRDefault="00D418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Необходимо отметить, что из-за недо- веденности мотора летные данные самоле</w:t>
      </w:r>
      <w:r w:rsidRPr="00070ADE">
        <w:rPr>
          <w:rFonts w:ascii="Times New Roman" w:hAnsi="Times New Roman"/>
          <w:color w:val="000000" w:themeColor="text1"/>
          <w:sz w:val="16"/>
          <w:szCs w:val="16"/>
        </w:rPr>
        <w:softHyphen/>
        <w:t>та определялись только на первой скоро</w:t>
      </w:r>
      <w:r w:rsidRPr="00070ADE">
        <w:rPr>
          <w:rFonts w:ascii="Times New Roman" w:hAnsi="Times New Roman"/>
          <w:color w:val="000000" w:themeColor="text1"/>
          <w:sz w:val="16"/>
          <w:szCs w:val="16"/>
        </w:rPr>
        <w:softHyphen/>
        <w:t>сти нагнетателя. При этом фактически по</w:t>
      </w:r>
      <w:r w:rsidRPr="00070ADE">
        <w:rPr>
          <w:rFonts w:ascii="Times New Roman" w:hAnsi="Times New Roman"/>
          <w:color w:val="000000" w:themeColor="text1"/>
          <w:sz w:val="16"/>
          <w:szCs w:val="16"/>
        </w:rPr>
        <w:softHyphen/>
        <w:t>лученные летные данные ИТП (М-2), хотя и были ниже на номинальном режиме рабо</w:t>
      </w:r>
      <w:r w:rsidRPr="00070ADE">
        <w:rPr>
          <w:rFonts w:ascii="Times New Roman" w:hAnsi="Times New Roman"/>
          <w:color w:val="000000" w:themeColor="text1"/>
          <w:sz w:val="16"/>
          <w:szCs w:val="16"/>
        </w:rPr>
        <w:softHyphen/>
        <w:t>ты мотора, но хорошо совпадали с расчет</w:t>
      </w:r>
      <w:r w:rsidRPr="00070ADE">
        <w:rPr>
          <w:rFonts w:ascii="Times New Roman" w:hAnsi="Times New Roman"/>
          <w:color w:val="000000" w:themeColor="text1"/>
          <w:sz w:val="16"/>
          <w:szCs w:val="16"/>
        </w:rPr>
        <w:softHyphen/>
        <w:t>ными значениями до 1-й расчетной высо</w:t>
      </w:r>
      <w:r w:rsidRPr="00070ADE">
        <w:rPr>
          <w:rFonts w:ascii="Times New Roman" w:hAnsi="Times New Roman"/>
          <w:color w:val="000000" w:themeColor="text1"/>
          <w:sz w:val="16"/>
          <w:szCs w:val="16"/>
        </w:rPr>
        <w:softHyphen/>
        <w:t>ты при форсажном режиме работы мото</w:t>
      </w:r>
      <w:r w:rsidRPr="00070ADE">
        <w:rPr>
          <w:rFonts w:ascii="Times New Roman" w:hAnsi="Times New Roman"/>
          <w:color w:val="000000" w:themeColor="text1"/>
          <w:sz w:val="16"/>
          <w:szCs w:val="16"/>
        </w:rPr>
        <w:softHyphen/>
        <w:t>ра. Это обстоятельство вселяло уверенность в получении на 2-й расчетной высоте мак</w:t>
      </w:r>
      <w:r w:rsidRPr="00070ADE">
        <w:rPr>
          <w:rFonts w:ascii="Times New Roman" w:hAnsi="Times New Roman"/>
          <w:color w:val="000000" w:themeColor="text1"/>
          <w:sz w:val="16"/>
          <w:szCs w:val="16"/>
        </w:rPr>
        <w:softHyphen/>
        <w:t>симальной скорости около 690-700 км/ч.</w:t>
      </w:r>
    </w:p>
    <w:p w14:paraId="1E1D3830" w14:textId="77777777" w:rsidR="00D41808" w:rsidRPr="00070ADE" w:rsidRDefault="00D4180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Вскоре нагнетатель доработали. По</w:t>
      </w:r>
      <w:r w:rsidRPr="00070ADE">
        <w:rPr>
          <w:rFonts w:ascii="Times New Roman" w:hAnsi="Times New Roman"/>
          <w:color w:val="000000" w:themeColor="text1"/>
          <w:sz w:val="16"/>
          <w:szCs w:val="16"/>
        </w:rPr>
        <w:softHyphen/>
        <w:t>явилась возможность определить мак</w:t>
      </w:r>
      <w:r w:rsidRPr="00070ADE">
        <w:rPr>
          <w:rFonts w:ascii="Times New Roman" w:hAnsi="Times New Roman"/>
          <w:color w:val="000000" w:themeColor="text1"/>
          <w:sz w:val="16"/>
          <w:szCs w:val="16"/>
        </w:rPr>
        <w:softHyphen/>
        <w:t>симальную скорость самолета на высоте при включении второй скорости нагнета</w:t>
      </w:r>
      <w:r w:rsidRPr="00070ADE">
        <w:rPr>
          <w:rFonts w:ascii="Times New Roman" w:hAnsi="Times New Roman"/>
          <w:color w:val="000000" w:themeColor="text1"/>
          <w:sz w:val="16"/>
          <w:szCs w:val="16"/>
        </w:rPr>
        <w:softHyphen/>
        <w:t>теля. Но не случилось. В очередном поле</w:t>
      </w:r>
      <w:r w:rsidRPr="00070ADE">
        <w:rPr>
          <w:rFonts w:ascii="Times New Roman" w:hAnsi="Times New Roman"/>
          <w:color w:val="000000" w:themeColor="text1"/>
          <w:sz w:val="16"/>
          <w:szCs w:val="16"/>
        </w:rPr>
        <w:softHyphen/>
        <w:t>те на высоту 6 июля с включением второй скорости нагнетателя раздуло бензобак. Как выяснилось, не сработал клапан си</w:t>
      </w:r>
      <w:r w:rsidRPr="00070ADE">
        <w:rPr>
          <w:rFonts w:ascii="Times New Roman" w:hAnsi="Times New Roman"/>
          <w:color w:val="000000" w:themeColor="text1"/>
          <w:sz w:val="16"/>
          <w:szCs w:val="16"/>
        </w:rPr>
        <w:softHyphen/>
        <w:t>стемы заполнения бензобаков инертным газом, в результате чего в одном из кон</w:t>
      </w:r>
      <w:r w:rsidRPr="00070ADE">
        <w:rPr>
          <w:rFonts w:ascii="Times New Roman" w:hAnsi="Times New Roman"/>
          <w:color w:val="000000" w:themeColor="text1"/>
          <w:sz w:val="16"/>
          <w:szCs w:val="16"/>
        </w:rPr>
        <w:softHyphen/>
        <w:t>сольных бензобаков давление газов пре</w:t>
      </w:r>
      <w:r w:rsidRPr="00070ADE">
        <w:rPr>
          <w:rFonts w:ascii="Times New Roman" w:hAnsi="Times New Roman"/>
          <w:color w:val="000000" w:themeColor="text1"/>
          <w:sz w:val="16"/>
          <w:szCs w:val="16"/>
        </w:rPr>
        <w:softHyphen/>
        <w:t>высило допустимое значение и его раз</w:t>
      </w:r>
      <w:r w:rsidRPr="00070ADE">
        <w:rPr>
          <w:rFonts w:ascii="Times New Roman" w:hAnsi="Times New Roman"/>
          <w:color w:val="000000" w:themeColor="text1"/>
          <w:sz w:val="16"/>
          <w:szCs w:val="16"/>
        </w:rPr>
        <w:softHyphen/>
        <w:t>дуло. Самолет встал в ремонт. Работы по замене бензобака, устранению повре</w:t>
      </w:r>
      <w:r w:rsidRPr="00070ADE">
        <w:rPr>
          <w:rFonts w:ascii="Times New Roman" w:hAnsi="Times New Roman"/>
          <w:color w:val="000000" w:themeColor="text1"/>
          <w:sz w:val="16"/>
          <w:szCs w:val="16"/>
        </w:rPr>
        <w:softHyphen/>
        <w:t>ждений крыла и доводке самолета и его систем велись вплоть до августа месяца. Самолет ИТП (М-2) еще некоторое время дорабатывался, но больше не летал (24308).</w:t>
      </w:r>
    </w:p>
    <w:p w14:paraId="62013C2A" w14:textId="77777777" w:rsidR="00D41808" w:rsidRPr="00070ADE" w:rsidRDefault="00D41808" w:rsidP="00B56F90">
      <w:pPr>
        <w:spacing w:after="0" w:line="240" w:lineRule="auto"/>
        <w:jc w:val="both"/>
        <w:rPr>
          <w:rFonts w:ascii="Times New Roman" w:hAnsi="Times New Roman"/>
          <w:color w:val="000000" w:themeColor="text1"/>
          <w:sz w:val="16"/>
          <w:szCs w:val="16"/>
        </w:rPr>
      </w:pPr>
    </w:p>
    <w:p w14:paraId="37DBE583" w14:textId="77777777" w:rsidR="00BA3A2B" w:rsidRDefault="00BA3A2B" w:rsidP="00B56F90">
      <w:pPr>
        <w:spacing w:line="240" w:lineRule="auto"/>
        <w:jc w:val="both"/>
        <w:rPr>
          <w:rStyle w:val="aff1"/>
          <w:rFonts w:ascii="Times New Roman" w:hAnsi="Times New Roman" w:cs="Times New Roman"/>
          <w:color w:val="0070C0"/>
        </w:rPr>
      </w:pPr>
    </w:p>
    <w:p w14:paraId="0A00AD42"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К середине июня 1944 г. на втором экземпляре ИТП с АМ-39 были достигнуты следующие летные характеристики: максимальная скорость у земли — 540 км/ч и 600 км/ч — на форсаже, на высоте 2500 м — 570 км/ч (650 км/ч — на форсаже), на 5000 м — 560 км/ч, время набора высоты 6000 м составляло 6 мин, потолок — 11 500 м.</w:t>
      </w:r>
    </w:p>
    <w:p w14:paraId="57036836"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целом это был хороший, добротный и мощно вооруженный истребитель. Но к этому времени уже летали, хотя и с более слабым вооружением, новые модификации истребителей «Як». Запускать в производство ИТП не стали (25035).</w:t>
      </w:r>
    </w:p>
    <w:p w14:paraId="38C1B20A" w14:textId="77777777" w:rsidR="00BA3A2B" w:rsidRPr="00C94B78" w:rsidRDefault="00BA3A2B" w:rsidP="00B56F90">
      <w:pPr>
        <w:spacing w:after="0" w:line="240" w:lineRule="auto"/>
        <w:jc w:val="both"/>
        <w:rPr>
          <w:rFonts w:ascii="Times New Roman" w:hAnsi="Times New Roman"/>
          <w:color w:val="0070C0"/>
          <w:sz w:val="16"/>
          <w:szCs w:val="16"/>
        </w:rPr>
      </w:pPr>
    </w:p>
    <w:p w14:paraId="009200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середине июня 1944 года зам. начальника 7-го гл. управления НКАП Залесский писал письмо Шахурину.</w:t>
      </w:r>
    </w:p>
    <w:p w14:paraId="7C3746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w:t>
      </w:r>
    </w:p>
    <w:p w14:paraId="6FAB67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предварительным данным, выявленным в процессе испытаний новых облегченных систем авиационных пушек калибра 20 мм можно уже сделать выводы о том, какая конструкция из предъявленных систем является наиболее пригодной в качестве авиационного оружия.</w:t>
      </w:r>
    </w:p>
    <w:p w14:paraId="1D9C34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ряду весьма важных для авиационного оружия показателей пушка ША-20 конструкции Шпитального выгодно отличается от пушки УБ-20 конструкции Березина, а именно:</w:t>
      </w:r>
    </w:p>
    <w:p w14:paraId="0C8421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Усилие перезарядки в 2 раза меньше (45-50 кг вместо 110-120 кг).</w:t>
      </w:r>
    </w:p>
    <w:p w14:paraId="43F487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Усилие тяги ленты почти в 2 раза больше (50 патронов вместо 30 патронов), что очень важно для турельных установок, так как исключает необходимость в механизме подтяга</w:t>
      </w:r>
    </w:p>
    <w:p w14:paraId="1700FC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Способ питания и подвод ленты у УБ-20 одностороннее - у ША-20 двухстороннее питание, что значительно облегчает компоновку нескольких пушек на самолете</w:t>
      </w:r>
    </w:p>
    <w:p w14:paraId="1BF3B5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Отвод стреляных гильз у ША-20 возможен в 3-х направлениях (вперед, вниз и в сторону), у УБ-20 только в сторону</w:t>
      </w:r>
    </w:p>
    <w:p w14:paraId="6F7DA8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Живучесть у ША-20 - 6000 выстрелов, у УБ-20 только 4000 выстрелов</w:t>
      </w:r>
    </w:p>
    <w:p w14:paraId="42C0A1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Процент задержек у ША-20 составляет 0,15%, у УБ-20 - 0,025%</w:t>
      </w:r>
    </w:p>
    <w:p w14:paraId="72F40E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Для ША-20 применяется штатный патрон, для УБ-20 требуется вторая обжимка гильзы. Штатные звенья, также работают неудовлетворительно на УБ-20 (звенья разгибаются и патроны выпадают из ленты).</w:t>
      </w:r>
    </w:p>
    <w:p w14:paraId="17EC2E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Пушка ША-20 отработана в турельном варианте на самолете Ил-10, а пушка УБ-20 в турельном варианте еще не испытывалась.</w:t>
      </w:r>
    </w:p>
    <w:p w14:paraId="5AD2E0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Недостатками пушки ША-20 являются:</w:t>
      </w:r>
    </w:p>
    <w:p w14:paraId="670A94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Расположение цапф крепления ниже оси ствола на 33 мм, что может вызвать некоторое увеличение рассеивания, а у УБ-20 цапфы крепления расположены по оси канала ствола</w:t>
      </w:r>
    </w:p>
    <w:p w14:paraId="1BE613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Наличие вертикальной силы отдачи порядка 600 кг.</w:t>
      </w:r>
    </w:p>
    <w:p w14:paraId="648D7E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влияние этих 2 недостатков на стрельбу конструкцией современных установок может быть значительно ослаблено.</w:t>
      </w:r>
    </w:p>
    <w:p w14:paraId="2342BB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 касается пушки конструкции Владимирова, то по расстоянию от цапф крепления от затыльника пушка слишком длинна (741 мм вместо 544 мм у ША-20) и на ряде самолетов может упираться в приборную доску. В турельном варианте этой пушки пока нет, но по этой же причине кабина стрелка будет значительно сужена. Кроме того темп стрельбы у пушки Владимирова самый низкий - 600 выстрелов в минуту, на 100-150 выстрелов меньше, чем у серийной пушки ШВАК-20.</w:t>
      </w:r>
    </w:p>
    <w:p w14:paraId="522782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Следует отметить, что немцы в новой пушке МГ-151 по сравнению с прежней МГ получили увеличение начальной скорости на 100-200 м/сек. и увеличение темпа на 150 выстрелов в минуту при полной электрификации спуска и перезарядки, наличии контактов для счетчика оставшихся патронов и затвора для патронов с электрическим запалом капсюля.</w:t>
      </w:r>
    </w:p>
    <w:p w14:paraId="50CAB0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Возражение НКВ, что пушка ША-20 сложна в производстве не является основательным, так как по конструкции пушка аналогична пулемету Максим, массовое производство которого не встречало особых затруднений. Следует также учесть, что пушка ША-20 может заменить как серийную пушку ШВАК-20, так и пулемет УБ-12,7.</w:t>
      </w:r>
    </w:p>
    <w:p w14:paraId="0AF16F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Необходимо:</w:t>
      </w:r>
    </w:p>
    <w:p w14:paraId="6B3D22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Принять на вооружение авиации пушку ША-20 и обязать НКВ внедрить в производство сначала для самолета Ил-10, а затем для самолетов Ла-7, Як-3 и Як-9.</w:t>
      </w:r>
    </w:p>
    <w:p w14:paraId="23655D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Обязать Шпитального обеспечить темп стрельбы пушки не ниже, чем у серийной пушки ШВАК-20, порядка 800-850 выстрелов в минуту, даже за счет снижения живучести до 5000 выстрелов, а также обеспечить установку электроспуска на пушке и контакты для счетчика оставшихся патронов.</w:t>
      </w:r>
    </w:p>
    <w:p w14:paraId="02C436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Прилагаю таблицу основных характеристик пушек калибра 20 мм, как отечественных так и заграничных.</w:t>
      </w:r>
    </w:p>
    <w:p w14:paraId="3C606C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характеристики авиационных пушек калибра 20 мм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894"/>
        <w:gridCol w:w="894"/>
        <w:gridCol w:w="894"/>
        <w:gridCol w:w="894"/>
        <w:gridCol w:w="894"/>
        <w:gridCol w:w="894"/>
        <w:gridCol w:w="894"/>
        <w:gridCol w:w="894"/>
        <w:gridCol w:w="624"/>
        <w:gridCol w:w="1440"/>
      </w:tblGrid>
      <w:tr w:rsidR="004D4663" w:rsidRPr="00070ADE" w14:paraId="31C71747" w14:textId="77777777">
        <w:tc>
          <w:tcPr>
            <w:tcW w:w="1384" w:type="dxa"/>
          </w:tcPr>
          <w:p w14:paraId="5A33A9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Назван., системы/</w:t>
            </w:r>
          </w:p>
        </w:tc>
        <w:tc>
          <w:tcPr>
            <w:tcW w:w="894" w:type="dxa"/>
          </w:tcPr>
          <w:p w14:paraId="0AF350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ШВАК-20</w:t>
            </w:r>
          </w:p>
        </w:tc>
        <w:tc>
          <w:tcPr>
            <w:tcW w:w="894" w:type="dxa"/>
          </w:tcPr>
          <w:p w14:paraId="33673A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УБ-20</w:t>
            </w:r>
          </w:p>
        </w:tc>
        <w:tc>
          <w:tcPr>
            <w:tcW w:w="894" w:type="dxa"/>
          </w:tcPr>
          <w:p w14:paraId="1A4B4A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Ш-20</w:t>
            </w:r>
          </w:p>
        </w:tc>
        <w:tc>
          <w:tcPr>
            <w:tcW w:w="894" w:type="dxa"/>
          </w:tcPr>
          <w:p w14:paraId="556557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В-20</w:t>
            </w:r>
          </w:p>
        </w:tc>
        <w:tc>
          <w:tcPr>
            <w:tcW w:w="894" w:type="dxa"/>
          </w:tcPr>
          <w:p w14:paraId="2BCA59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МГ-ff</w:t>
            </w:r>
          </w:p>
        </w:tc>
        <w:tc>
          <w:tcPr>
            <w:tcW w:w="894" w:type="dxa"/>
          </w:tcPr>
          <w:p w14:paraId="0CCA30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МГ-151</w:t>
            </w:r>
          </w:p>
        </w:tc>
        <w:tc>
          <w:tcPr>
            <w:tcW w:w="894" w:type="dxa"/>
          </w:tcPr>
          <w:p w14:paraId="43A1BC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Испано</w:t>
            </w:r>
          </w:p>
        </w:tc>
        <w:tc>
          <w:tcPr>
            <w:tcW w:w="894" w:type="dxa"/>
          </w:tcPr>
          <w:p w14:paraId="2EC6CF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Испано</w:t>
            </w:r>
          </w:p>
        </w:tc>
        <w:tc>
          <w:tcPr>
            <w:tcW w:w="624" w:type="dxa"/>
          </w:tcPr>
          <w:p w14:paraId="1C0518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Един.</w:t>
            </w:r>
          </w:p>
        </w:tc>
        <w:tc>
          <w:tcPr>
            <w:tcW w:w="1440" w:type="dxa"/>
          </w:tcPr>
          <w:p w14:paraId="0A992F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w:t>
            </w:r>
          </w:p>
        </w:tc>
      </w:tr>
      <w:tr w:rsidR="004D4663" w:rsidRPr="00070ADE" w14:paraId="2BE4863C" w14:textId="77777777">
        <w:tc>
          <w:tcPr>
            <w:tcW w:w="1384" w:type="dxa"/>
          </w:tcPr>
          <w:p w14:paraId="3DD4DC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характеристики</w:t>
            </w:r>
          </w:p>
        </w:tc>
        <w:tc>
          <w:tcPr>
            <w:tcW w:w="894" w:type="dxa"/>
          </w:tcPr>
          <w:p w14:paraId="2A146A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серийная</w:t>
            </w:r>
          </w:p>
        </w:tc>
        <w:tc>
          <w:tcPr>
            <w:tcW w:w="894" w:type="dxa"/>
          </w:tcPr>
          <w:p w14:paraId="6C3A82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w:t>
            </w:r>
          </w:p>
        </w:tc>
        <w:tc>
          <w:tcPr>
            <w:tcW w:w="894" w:type="dxa"/>
          </w:tcPr>
          <w:p w14:paraId="1BB560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w:t>
            </w:r>
          </w:p>
        </w:tc>
        <w:tc>
          <w:tcPr>
            <w:tcW w:w="894" w:type="dxa"/>
          </w:tcPr>
          <w:p w14:paraId="184B92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w:t>
            </w:r>
          </w:p>
        </w:tc>
        <w:tc>
          <w:tcPr>
            <w:tcW w:w="894" w:type="dxa"/>
          </w:tcPr>
          <w:p w14:paraId="263129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Герма</w:t>
            </w:r>
          </w:p>
        </w:tc>
        <w:tc>
          <w:tcPr>
            <w:tcW w:w="894" w:type="dxa"/>
          </w:tcPr>
          <w:p w14:paraId="470901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Герма</w:t>
            </w:r>
          </w:p>
        </w:tc>
        <w:tc>
          <w:tcPr>
            <w:tcW w:w="894" w:type="dxa"/>
          </w:tcPr>
          <w:p w14:paraId="3F8C5A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М-2</w:t>
            </w:r>
          </w:p>
        </w:tc>
        <w:tc>
          <w:tcPr>
            <w:tcW w:w="894" w:type="dxa"/>
          </w:tcPr>
          <w:p w14:paraId="066A85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М-2</w:t>
            </w:r>
          </w:p>
        </w:tc>
        <w:tc>
          <w:tcPr>
            <w:tcW w:w="624" w:type="dxa"/>
          </w:tcPr>
          <w:p w14:paraId="3F9AB1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измер.</w:t>
            </w:r>
          </w:p>
        </w:tc>
        <w:tc>
          <w:tcPr>
            <w:tcW w:w="1440" w:type="dxa"/>
          </w:tcPr>
          <w:p w14:paraId="2CAAB4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1E4AB0C" w14:textId="77777777">
        <w:tc>
          <w:tcPr>
            <w:tcW w:w="1384" w:type="dxa"/>
          </w:tcPr>
          <w:p w14:paraId="78FE81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56C9D6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183122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Бере</w:t>
            </w:r>
          </w:p>
        </w:tc>
        <w:tc>
          <w:tcPr>
            <w:tcW w:w="894" w:type="dxa"/>
          </w:tcPr>
          <w:p w14:paraId="2FFE85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Шпита</w:t>
            </w:r>
          </w:p>
        </w:tc>
        <w:tc>
          <w:tcPr>
            <w:tcW w:w="894" w:type="dxa"/>
          </w:tcPr>
          <w:p w14:paraId="5259ED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Влади</w:t>
            </w:r>
          </w:p>
        </w:tc>
        <w:tc>
          <w:tcPr>
            <w:tcW w:w="894" w:type="dxa"/>
          </w:tcPr>
          <w:p w14:paraId="5EF24F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ния</w:t>
            </w:r>
          </w:p>
        </w:tc>
        <w:tc>
          <w:tcPr>
            <w:tcW w:w="894" w:type="dxa"/>
          </w:tcPr>
          <w:p w14:paraId="10E3FD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ния</w:t>
            </w:r>
          </w:p>
        </w:tc>
        <w:tc>
          <w:tcPr>
            <w:tcW w:w="894" w:type="dxa"/>
          </w:tcPr>
          <w:p w14:paraId="157EAA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США</w:t>
            </w:r>
          </w:p>
        </w:tc>
        <w:tc>
          <w:tcPr>
            <w:tcW w:w="894" w:type="dxa"/>
          </w:tcPr>
          <w:p w14:paraId="376476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Англия</w:t>
            </w:r>
          </w:p>
        </w:tc>
        <w:tc>
          <w:tcPr>
            <w:tcW w:w="624" w:type="dxa"/>
          </w:tcPr>
          <w:p w14:paraId="24116D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BA271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0C57C9D" w14:textId="77777777">
        <w:tc>
          <w:tcPr>
            <w:tcW w:w="1384" w:type="dxa"/>
          </w:tcPr>
          <w:p w14:paraId="2C82BB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2E52D8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3B499B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зина</w:t>
            </w:r>
          </w:p>
        </w:tc>
        <w:tc>
          <w:tcPr>
            <w:tcW w:w="894" w:type="dxa"/>
          </w:tcPr>
          <w:p w14:paraId="11E1F2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льного</w:t>
            </w:r>
          </w:p>
        </w:tc>
        <w:tc>
          <w:tcPr>
            <w:tcW w:w="894" w:type="dxa"/>
          </w:tcPr>
          <w:p w14:paraId="241E16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мирова</w:t>
            </w:r>
          </w:p>
        </w:tc>
        <w:tc>
          <w:tcPr>
            <w:tcW w:w="894" w:type="dxa"/>
          </w:tcPr>
          <w:p w14:paraId="3160F3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6F7425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55D093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3DC688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Pr>
          <w:p w14:paraId="04789E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269D2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9D091C8" w14:textId="77777777">
        <w:tc>
          <w:tcPr>
            <w:tcW w:w="1384" w:type="dxa"/>
          </w:tcPr>
          <w:p w14:paraId="434A6D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 Vо</w:t>
            </w:r>
          </w:p>
        </w:tc>
        <w:tc>
          <w:tcPr>
            <w:tcW w:w="894" w:type="dxa"/>
          </w:tcPr>
          <w:p w14:paraId="19569E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750-815</w:t>
            </w:r>
          </w:p>
        </w:tc>
        <w:tc>
          <w:tcPr>
            <w:tcW w:w="894" w:type="dxa"/>
          </w:tcPr>
          <w:p w14:paraId="2AF8B7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750-815</w:t>
            </w:r>
          </w:p>
        </w:tc>
        <w:tc>
          <w:tcPr>
            <w:tcW w:w="894" w:type="dxa"/>
          </w:tcPr>
          <w:p w14:paraId="22B2DD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750-815</w:t>
            </w:r>
          </w:p>
        </w:tc>
        <w:tc>
          <w:tcPr>
            <w:tcW w:w="894" w:type="dxa"/>
          </w:tcPr>
          <w:p w14:paraId="42EC0C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750-815</w:t>
            </w:r>
          </w:p>
        </w:tc>
        <w:tc>
          <w:tcPr>
            <w:tcW w:w="894" w:type="dxa"/>
          </w:tcPr>
          <w:p w14:paraId="74A957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tc>
        <w:tc>
          <w:tcPr>
            <w:tcW w:w="894" w:type="dxa"/>
          </w:tcPr>
          <w:p w14:paraId="1F93AB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705-805</w:t>
            </w:r>
          </w:p>
        </w:tc>
        <w:tc>
          <w:tcPr>
            <w:tcW w:w="894" w:type="dxa"/>
          </w:tcPr>
          <w:p w14:paraId="7F21A3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870</w:t>
            </w:r>
          </w:p>
        </w:tc>
        <w:tc>
          <w:tcPr>
            <w:tcW w:w="894" w:type="dxa"/>
          </w:tcPr>
          <w:p w14:paraId="48804B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877</w:t>
            </w:r>
          </w:p>
        </w:tc>
        <w:tc>
          <w:tcPr>
            <w:tcW w:w="624" w:type="dxa"/>
          </w:tcPr>
          <w:p w14:paraId="7CDF4B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м/сек</w:t>
            </w:r>
          </w:p>
        </w:tc>
        <w:tc>
          <w:tcPr>
            <w:tcW w:w="1440" w:type="dxa"/>
          </w:tcPr>
          <w:p w14:paraId="1D69AA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8F3928E" w14:textId="77777777">
        <w:tc>
          <w:tcPr>
            <w:tcW w:w="1384" w:type="dxa"/>
          </w:tcPr>
          <w:p w14:paraId="51758D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заряда</w:t>
            </w:r>
          </w:p>
        </w:tc>
        <w:tc>
          <w:tcPr>
            <w:tcW w:w="894" w:type="dxa"/>
          </w:tcPr>
          <w:p w14:paraId="25C284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19,2</w:t>
            </w:r>
          </w:p>
        </w:tc>
        <w:tc>
          <w:tcPr>
            <w:tcW w:w="894" w:type="dxa"/>
          </w:tcPr>
          <w:p w14:paraId="326C83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19,2</w:t>
            </w:r>
          </w:p>
        </w:tc>
        <w:tc>
          <w:tcPr>
            <w:tcW w:w="894" w:type="dxa"/>
          </w:tcPr>
          <w:p w14:paraId="080C5A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19,2</w:t>
            </w:r>
          </w:p>
        </w:tc>
        <w:tc>
          <w:tcPr>
            <w:tcW w:w="894" w:type="dxa"/>
          </w:tcPr>
          <w:p w14:paraId="5D0370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19,2</w:t>
            </w:r>
          </w:p>
        </w:tc>
        <w:tc>
          <w:tcPr>
            <w:tcW w:w="894" w:type="dxa"/>
          </w:tcPr>
          <w:p w14:paraId="680ACF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tc>
        <w:tc>
          <w:tcPr>
            <w:tcW w:w="894" w:type="dxa"/>
          </w:tcPr>
          <w:p w14:paraId="01D38E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2C08A4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34,3</w:t>
            </w:r>
          </w:p>
        </w:tc>
        <w:tc>
          <w:tcPr>
            <w:tcW w:w="894" w:type="dxa"/>
          </w:tcPr>
          <w:p w14:paraId="62A551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32,0</w:t>
            </w:r>
          </w:p>
        </w:tc>
        <w:tc>
          <w:tcPr>
            <w:tcW w:w="624" w:type="dxa"/>
          </w:tcPr>
          <w:p w14:paraId="7B2E3D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w:t>
            </w:r>
          </w:p>
        </w:tc>
        <w:tc>
          <w:tcPr>
            <w:tcW w:w="1440" w:type="dxa"/>
          </w:tcPr>
          <w:p w14:paraId="37EE38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713AA11" w14:textId="77777777">
        <w:tc>
          <w:tcPr>
            <w:tcW w:w="1384" w:type="dxa"/>
          </w:tcPr>
          <w:p w14:paraId="434A39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нарезн. ч.</w:t>
            </w:r>
          </w:p>
        </w:tc>
        <w:tc>
          <w:tcPr>
            <w:tcW w:w="894" w:type="dxa"/>
          </w:tcPr>
          <w:p w14:paraId="11900D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5E6F4B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6EBB73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28399E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457F9A3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4B4CB3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587F0A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1CCEB3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Pr>
          <w:p w14:paraId="40D336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1E847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Длина ствола, а не длина</w:t>
            </w:r>
          </w:p>
        </w:tc>
      </w:tr>
      <w:tr w:rsidR="004D4663" w:rsidRPr="00070ADE" w14:paraId="474D26B4" w14:textId="77777777">
        <w:tc>
          <w:tcPr>
            <w:tcW w:w="1384" w:type="dxa"/>
          </w:tcPr>
          <w:p w14:paraId="58703A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ствола</w:t>
            </w:r>
          </w:p>
        </w:tc>
        <w:tc>
          <w:tcPr>
            <w:tcW w:w="894" w:type="dxa"/>
          </w:tcPr>
          <w:p w14:paraId="6487C9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1145</w:t>
            </w:r>
          </w:p>
        </w:tc>
        <w:tc>
          <w:tcPr>
            <w:tcW w:w="894" w:type="dxa"/>
          </w:tcPr>
          <w:p w14:paraId="485A63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1144</w:t>
            </w:r>
          </w:p>
        </w:tc>
        <w:tc>
          <w:tcPr>
            <w:tcW w:w="894" w:type="dxa"/>
          </w:tcPr>
          <w:p w14:paraId="4E9822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1146</w:t>
            </w:r>
          </w:p>
        </w:tc>
        <w:tc>
          <w:tcPr>
            <w:tcW w:w="894" w:type="dxa"/>
          </w:tcPr>
          <w:p w14:paraId="3D743F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2FA54A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653</w:t>
            </w:r>
          </w:p>
        </w:tc>
        <w:tc>
          <w:tcPr>
            <w:tcW w:w="894" w:type="dxa"/>
          </w:tcPr>
          <w:p w14:paraId="732F53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1104*</w:t>
            </w:r>
          </w:p>
        </w:tc>
        <w:tc>
          <w:tcPr>
            <w:tcW w:w="894" w:type="dxa"/>
          </w:tcPr>
          <w:p w14:paraId="799E53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1715*</w:t>
            </w:r>
          </w:p>
        </w:tc>
        <w:tc>
          <w:tcPr>
            <w:tcW w:w="894" w:type="dxa"/>
          </w:tcPr>
          <w:p w14:paraId="49E331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1710*</w:t>
            </w:r>
          </w:p>
        </w:tc>
        <w:tc>
          <w:tcPr>
            <w:tcW w:w="624" w:type="dxa"/>
          </w:tcPr>
          <w:p w14:paraId="2C01B5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мм</w:t>
            </w:r>
          </w:p>
        </w:tc>
        <w:tc>
          <w:tcPr>
            <w:tcW w:w="1440" w:type="dxa"/>
          </w:tcPr>
          <w:p w14:paraId="588A28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нарезн. части</w:t>
            </w:r>
          </w:p>
        </w:tc>
      </w:tr>
      <w:tr w:rsidR="004D4663" w:rsidRPr="00070ADE" w14:paraId="6C60D6A5" w14:textId="77777777">
        <w:tc>
          <w:tcPr>
            <w:tcW w:w="1384" w:type="dxa"/>
          </w:tcPr>
          <w:p w14:paraId="75D2B1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Темп - m</w:t>
            </w:r>
          </w:p>
        </w:tc>
        <w:tc>
          <w:tcPr>
            <w:tcW w:w="894" w:type="dxa"/>
          </w:tcPr>
          <w:p w14:paraId="2EEFEA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700-850</w:t>
            </w:r>
          </w:p>
        </w:tc>
        <w:tc>
          <w:tcPr>
            <w:tcW w:w="894" w:type="dxa"/>
          </w:tcPr>
          <w:p w14:paraId="44F275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697</w:t>
            </w:r>
          </w:p>
        </w:tc>
        <w:tc>
          <w:tcPr>
            <w:tcW w:w="894" w:type="dxa"/>
          </w:tcPr>
          <w:p w14:paraId="249455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659</w:t>
            </w:r>
          </w:p>
        </w:tc>
        <w:tc>
          <w:tcPr>
            <w:tcW w:w="894" w:type="dxa"/>
          </w:tcPr>
          <w:p w14:paraId="69A5A5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tc>
        <w:tc>
          <w:tcPr>
            <w:tcW w:w="894" w:type="dxa"/>
          </w:tcPr>
          <w:p w14:paraId="12D793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550</w:t>
            </w:r>
          </w:p>
        </w:tc>
        <w:tc>
          <w:tcPr>
            <w:tcW w:w="894" w:type="dxa"/>
          </w:tcPr>
          <w:p w14:paraId="73436F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700</w:t>
            </w:r>
          </w:p>
        </w:tc>
        <w:tc>
          <w:tcPr>
            <w:tcW w:w="894" w:type="dxa"/>
          </w:tcPr>
          <w:p w14:paraId="7D2873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600-700</w:t>
            </w:r>
          </w:p>
        </w:tc>
        <w:tc>
          <w:tcPr>
            <w:tcW w:w="894" w:type="dxa"/>
          </w:tcPr>
          <w:p w14:paraId="13E27C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tc>
        <w:tc>
          <w:tcPr>
            <w:tcW w:w="624" w:type="dxa"/>
          </w:tcPr>
          <w:p w14:paraId="72E0D6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выст./</w:t>
            </w:r>
          </w:p>
        </w:tc>
        <w:tc>
          <w:tcPr>
            <w:tcW w:w="1440" w:type="dxa"/>
          </w:tcPr>
          <w:p w14:paraId="368D78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C7A1BD9" w14:textId="77777777">
        <w:tc>
          <w:tcPr>
            <w:tcW w:w="1384" w:type="dxa"/>
          </w:tcPr>
          <w:p w14:paraId="5A1767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4EE232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56B2E1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2778D2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612F9E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7AD83C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548476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78D2F8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5088AC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Pr>
          <w:p w14:paraId="2658DF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w:t>
            </w:r>
          </w:p>
        </w:tc>
        <w:tc>
          <w:tcPr>
            <w:tcW w:w="1440" w:type="dxa"/>
          </w:tcPr>
          <w:p w14:paraId="3A7B6F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97A4907" w14:textId="77777777">
        <w:tc>
          <w:tcPr>
            <w:tcW w:w="1384" w:type="dxa"/>
          </w:tcPr>
          <w:p w14:paraId="638B0F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Масса патрона</w:t>
            </w:r>
          </w:p>
        </w:tc>
        <w:tc>
          <w:tcPr>
            <w:tcW w:w="894" w:type="dxa"/>
          </w:tcPr>
          <w:p w14:paraId="68D205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147</w:t>
            </w:r>
          </w:p>
        </w:tc>
        <w:tc>
          <w:tcPr>
            <w:tcW w:w="894" w:type="dxa"/>
          </w:tcPr>
          <w:p w14:paraId="5C350B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147</w:t>
            </w:r>
          </w:p>
        </w:tc>
        <w:tc>
          <w:tcPr>
            <w:tcW w:w="894" w:type="dxa"/>
          </w:tcPr>
          <w:p w14:paraId="7A03FD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147</w:t>
            </w:r>
          </w:p>
        </w:tc>
        <w:tc>
          <w:tcPr>
            <w:tcW w:w="894" w:type="dxa"/>
          </w:tcPr>
          <w:p w14:paraId="061E64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147</w:t>
            </w:r>
          </w:p>
        </w:tc>
        <w:tc>
          <w:tcPr>
            <w:tcW w:w="894" w:type="dxa"/>
          </w:tcPr>
          <w:p w14:paraId="57132E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15E4BF2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038714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703645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Pr>
          <w:p w14:paraId="6D23AC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мм (1825)</w:t>
            </w:r>
          </w:p>
        </w:tc>
        <w:tc>
          <w:tcPr>
            <w:tcW w:w="1440" w:type="dxa"/>
          </w:tcPr>
          <w:p w14:paraId="0C90C8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F089CE0" w14:textId="77777777">
        <w:tc>
          <w:tcPr>
            <w:tcW w:w="1384" w:type="dxa"/>
          </w:tcPr>
          <w:p w14:paraId="53506C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Масса системы</w:t>
            </w:r>
          </w:p>
        </w:tc>
        <w:tc>
          <w:tcPr>
            <w:tcW w:w="894" w:type="dxa"/>
          </w:tcPr>
          <w:p w14:paraId="4F53FE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40-44.5</w:t>
            </w:r>
          </w:p>
        </w:tc>
        <w:tc>
          <w:tcPr>
            <w:tcW w:w="894" w:type="dxa"/>
          </w:tcPr>
          <w:p w14:paraId="6464C3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24.9</w:t>
            </w:r>
          </w:p>
        </w:tc>
        <w:tc>
          <w:tcPr>
            <w:tcW w:w="894" w:type="dxa"/>
          </w:tcPr>
          <w:p w14:paraId="08B156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26.7</w:t>
            </w:r>
          </w:p>
        </w:tc>
        <w:tc>
          <w:tcPr>
            <w:tcW w:w="894" w:type="dxa"/>
          </w:tcPr>
          <w:p w14:paraId="1659A8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w:t>
            </w:r>
          </w:p>
        </w:tc>
        <w:tc>
          <w:tcPr>
            <w:tcW w:w="894" w:type="dxa"/>
          </w:tcPr>
          <w:p w14:paraId="08AC36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28-33.5</w:t>
            </w:r>
          </w:p>
        </w:tc>
        <w:tc>
          <w:tcPr>
            <w:tcW w:w="894" w:type="dxa"/>
          </w:tcPr>
          <w:p w14:paraId="51BB66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42.0</w:t>
            </w:r>
          </w:p>
        </w:tc>
        <w:tc>
          <w:tcPr>
            <w:tcW w:w="894" w:type="dxa"/>
          </w:tcPr>
          <w:p w14:paraId="1D58A8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52.0</w:t>
            </w:r>
          </w:p>
        </w:tc>
        <w:tc>
          <w:tcPr>
            <w:tcW w:w="894" w:type="dxa"/>
          </w:tcPr>
          <w:p w14:paraId="6D48DC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49.5</w:t>
            </w:r>
          </w:p>
        </w:tc>
        <w:tc>
          <w:tcPr>
            <w:tcW w:w="624" w:type="dxa"/>
          </w:tcPr>
          <w:p w14:paraId="1F4CBC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кг</w:t>
            </w:r>
          </w:p>
        </w:tc>
        <w:tc>
          <w:tcPr>
            <w:tcW w:w="1440" w:type="dxa"/>
          </w:tcPr>
          <w:p w14:paraId="5DF22F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D77AB7C" w14:textId="77777777">
        <w:tc>
          <w:tcPr>
            <w:tcW w:w="1384" w:type="dxa"/>
          </w:tcPr>
          <w:p w14:paraId="78771AC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Способ питания</w:t>
            </w:r>
          </w:p>
        </w:tc>
        <w:tc>
          <w:tcPr>
            <w:tcW w:w="894" w:type="dxa"/>
          </w:tcPr>
          <w:p w14:paraId="0C4C64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ленточное одностороннее</w:t>
            </w:r>
          </w:p>
        </w:tc>
        <w:tc>
          <w:tcPr>
            <w:tcW w:w="894" w:type="dxa"/>
          </w:tcPr>
          <w:p w14:paraId="69B63C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ленточное одностороннее</w:t>
            </w:r>
          </w:p>
        </w:tc>
        <w:tc>
          <w:tcPr>
            <w:tcW w:w="894" w:type="dxa"/>
          </w:tcPr>
          <w:p w14:paraId="0F4D71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ленточное двустороннее</w:t>
            </w:r>
          </w:p>
        </w:tc>
        <w:tc>
          <w:tcPr>
            <w:tcW w:w="894" w:type="dxa"/>
          </w:tcPr>
          <w:p w14:paraId="28FA99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ленточное двустороннее</w:t>
            </w:r>
          </w:p>
        </w:tc>
        <w:tc>
          <w:tcPr>
            <w:tcW w:w="894" w:type="dxa"/>
          </w:tcPr>
          <w:p w14:paraId="30D002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Магазина на 15 и 60 п.</w:t>
            </w:r>
          </w:p>
        </w:tc>
        <w:tc>
          <w:tcPr>
            <w:tcW w:w="894" w:type="dxa"/>
          </w:tcPr>
          <w:p w14:paraId="3709B2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ленточное двустороннее</w:t>
            </w:r>
          </w:p>
        </w:tc>
        <w:tc>
          <w:tcPr>
            <w:tcW w:w="894" w:type="dxa"/>
          </w:tcPr>
          <w:p w14:paraId="0A1C00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Магазина на 60 п.</w:t>
            </w:r>
          </w:p>
        </w:tc>
        <w:tc>
          <w:tcPr>
            <w:tcW w:w="894" w:type="dxa"/>
          </w:tcPr>
          <w:p w14:paraId="6F3A5C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Магазина на 60 п.</w:t>
            </w:r>
          </w:p>
        </w:tc>
        <w:tc>
          <w:tcPr>
            <w:tcW w:w="624" w:type="dxa"/>
          </w:tcPr>
          <w:p w14:paraId="2D0003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48781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1C77666" w14:textId="77777777">
        <w:tc>
          <w:tcPr>
            <w:tcW w:w="1384" w:type="dxa"/>
          </w:tcPr>
          <w:p w14:paraId="42FA5F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Длинна</w:t>
            </w:r>
          </w:p>
        </w:tc>
        <w:tc>
          <w:tcPr>
            <w:tcW w:w="894" w:type="dxa"/>
          </w:tcPr>
          <w:p w14:paraId="1A205F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1679</w:t>
            </w:r>
          </w:p>
        </w:tc>
        <w:tc>
          <w:tcPr>
            <w:tcW w:w="894" w:type="dxa"/>
          </w:tcPr>
          <w:p w14:paraId="67096F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7000DA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1612</w:t>
            </w:r>
          </w:p>
        </w:tc>
        <w:tc>
          <w:tcPr>
            <w:tcW w:w="894" w:type="dxa"/>
          </w:tcPr>
          <w:p w14:paraId="6BCB83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798AEE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1370</w:t>
            </w:r>
          </w:p>
        </w:tc>
        <w:tc>
          <w:tcPr>
            <w:tcW w:w="894" w:type="dxa"/>
          </w:tcPr>
          <w:p w14:paraId="61F0D2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1766</w:t>
            </w:r>
          </w:p>
        </w:tc>
        <w:tc>
          <w:tcPr>
            <w:tcW w:w="894" w:type="dxa"/>
          </w:tcPr>
          <w:p w14:paraId="6EDAA7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2702</w:t>
            </w:r>
          </w:p>
        </w:tc>
        <w:tc>
          <w:tcPr>
            <w:tcW w:w="894" w:type="dxa"/>
          </w:tcPr>
          <w:p w14:paraId="556600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2500</w:t>
            </w:r>
          </w:p>
        </w:tc>
        <w:tc>
          <w:tcPr>
            <w:tcW w:w="624" w:type="dxa"/>
          </w:tcPr>
          <w:p w14:paraId="45268D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мм</w:t>
            </w:r>
          </w:p>
        </w:tc>
        <w:tc>
          <w:tcPr>
            <w:tcW w:w="1440" w:type="dxa"/>
          </w:tcPr>
          <w:p w14:paraId="730E2C5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2E9AA68" w14:textId="77777777">
        <w:tc>
          <w:tcPr>
            <w:tcW w:w="1384" w:type="dxa"/>
          </w:tcPr>
          <w:p w14:paraId="5C15DF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Дульная энергия</w:t>
            </w:r>
          </w:p>
        </w:tc>
        <w:tc>
          <w:tcPr>
            <w:tcW w:w="894" w:type="dxa"/>
          </w:tcPr>
          <w:p w14:paraId="4E2B1C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2820-3320</w:t>
            </w:r>
          </w:p>
        </w:tc>
        <w:tc>
          <w:tcPr>
            <w:tcW w:w="894" w:type="dxa"/>
          </w:tcPr>
          <w:p w14:paraId="66F2ED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2820-3320</w:t>
            </w:r>
          </w:p>
        </w:tc>
        <w:tc>
          <w:tcPr>
            <w:tcW w:w="894" w:type="dxa"/>
          </w:tcPr>
          <w:p w14:paraId="108BE5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2820-3320</w:t>
            </w:r>
          </w:p>
        </w:tc>
        <w:tc>
          <w:tcPr>
            <w:tcW w:w="894" w:type="dxa"/>
          </w:tcPr>
          <w:p w14:paraId="6200F2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596492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2460</w:t>
            </w:r>
          </w:p>
        </w:tc>
        <w:tc>
          <w:tcPr>
            <w:tcW w:w="894" w:type="dxa"/>
          </w:tcPr>
          <w:p w14:paraId="0267B0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2860-3060</w:t>
            </w:r>
          </w:p>
        </w:tc>
        <w:tc>
          <w:tcPr>
            <w:tcW w:w="894" w:type="dxa"/>
          </w:tcPr>
          <w:p w14:paraId="5ED7E3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4680</w:t>
            </w:r>
          </w:p>
        </w:tc>
        <w:tc>
          <w:tcPr>
            <w:tcW w:w="894" w:type="dxa"/>
          </w:tcPr>
          <w:p w14:paraId="1B49A2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5060</w:t>
            </w:r>
          </w:p>
        </w:tc>
        <w:tc>
          <w:tcPr>
            <w:tcW w:w="624" w:type="dxa"/>
          </w:tcPr>
          <w:p w14:paraId="72D9F6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EE003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3A69DFD" w14:textId="77777777">
        <w:tc>
          <w:tcPr>
            <w:tcW w:w="1384" w:type="dxa"/>
          </w:tcPr>
          <w:p w14:paraId="393B30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Дульная мощность</w:t>
            </w:r>
          </w:p>
        </w:tc>
        <w:tc>
          <w:tcPr>
            <w:tcW w:w="894" w:type="dxa"/>
          </w:tcPr>
          <w:p w14:paraId="2ECBD3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32800</w:t>
            </w:r>
          </w:p>
        </w:tc>
        <w:tc>
          <w:tcPr>
            <w:tcW w:w="894" w:type="dxa"/>
          </w:tcPr>
          <w:p w14:paraId="5C8B58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32800</w:t>
            </w:r>
          </w:p>
        </w:tc>
        <w:tc>
          <w:tcPr>
            <w:tcW w:w="894" w:type="dxa"/>
          </w:tcPr>
          <w:p w14:paraId="68DEF9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31000</w:t>
            </w:r>
          </w:p>
        </w:tc>
        <w:tc>
          <w:tcPr>
            <w:tcW w:w="894" w:type="dxa"/>
          </w:tcPr>
          <w:p w14:paraId="4D1589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4E46C9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21400</w:t>
            </w:r>
          </w:p>
        </w:tc>
        <w:tc>
          <w:tcPr>
            <w:tcW w:w="894" w:type="dxa"/>
          </w:tcPr>
          <w:p w14:paraId="0CA2CF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4" w:type="dxa"/>
          </w:tcPr>
          <w:p w14:paraId="5CEEE2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46800-54600</w:t>
            </w:r>
          </w:p>
        </w:tc>
        <w:tc>
          <w:tcPr>
            <w:tcW w:w="894" w:type="dxa"/>
          </w:tcPr>
          <w:p w14:paraId="536C41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54800</w:t>
            </w:r>
          </w:p>
        </w:tc>
        <w:tc>
          <w:tcPr>
            <w:tcW w:w="624" w:type="dxa"/>
          </w:tcPr>
          <w:p w14:paraId="7B1F2E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кгм/сек</w:t>
            </w:r>
          </w:p>
        </w:tc>
        <w:tc>
          <w:tcPr>
            <w:tcW w:w="1440" w:type="dxa"/>
          </w:tcPr>
          <w:p w14:paraId="7637BE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3A07E8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(1825).</w:t>
      </w:r>
    </w:p>
    <w:p w14:paraId="5C5D04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7C9F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середине июня 1944 г. на ИТП (М-2) были достигнуты следу</w:t>
      </w:r>
      <w:r w:rsidRPr="00070ADE">
        <w:rPr>
          <w:rFonts w:ascii="Times New Roman" w:hAnsi="Times New Roman"/>
          <w:color w:val="000000" w:themeColor="text1"/>
          <w:sz w:val="16"/>
          <w:szCs w:val="16"/>
        </w:rPr>
        <w:softHyphen/>
        <w:t>ющие летные характеристики: максимальная скорость у земли 540 км/ч и 600 км/ч на форсаже, на высоте 2500 м - 570 км/ч (650 км/ч на форсаже), на 5000 м - 560 км/ч, время набора высоты 6000 м составляло 6 мин, потолок -11500 м. В целом это был хороший и мощно вооруженный истребитель. Но к этому времени уже летали, хотя и с более слабым вооружением, модификации «Яков» и ИТП не стали запускать в производство (10667).</w:t>
      </w:r>
    </w:p>
    <w:p w14:paraId="030C45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648F41" w14:textId="12EB5263" w:rsidR="005B073A" w:rsidRPr="00070ADE" w:rsidRDefault="005B073A"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70ADE">
        <w:rPr>
          <w:rFonts w:ascii="Times New Roman" w:hAnsi="Times New Roman"/>
          <w:i/>
          <w:iCs/>
          <w:color w:val="000000" w:themeColor="text1"/>
          <w:sz w:val="16"/>
          <w:szCs w:val="16"/>
        </w:rPr>
        <w:t>Армия:</w:t>
      </w:r>
    </w:p>
    <w:p w14:paraId="37F53584" w14:textId="77777777" w:rsidR="005B073A" w:rsidRPr="00070ADE" w:rsidRDefault="005B073A"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512CEDC" w14:textId="77777777" w:rsidR="005B073A" w:rsidRPr="00070ADE" w:rsidRDefault="005B07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середине июня 1944 г. 19-й ГвАП ДД выполнил удары по аэродромам Барановичи, Минск и Борисов, а затем в ночи на 22 и 23 июня 1944 года бомбил укрепрайоны на переднем крае обороны противника у Могилева и Жлобина. Разрушить мощные доты можно было только прямым попаданием бомбы ФАБ-1000, но для ее безопасного сброса нужна была кило</w:t>
      </w:r>
      <w:r w:rsidRPr="00070ADE">
        <w:rPr>
          <w:rFonts w:ascii="Times New Roman" w:hAnsi="Times New Roman"/>
          <w:color w:val="000000" w:themeColor="text1"/>
          <w:sz w:val="16"/>
          <w:szCs w:val="16"/>
        </w:rPr>
        <w:softHyphen/>
        <w:t>метровая высота. В те ночи погода испортилась, и чтобы не ударить по своим и видеть целеуказание лучами прожекторов и осветительными ракетами, пришлось нарушить требования инструкций и снизиться. Так с риском погибнуть от собствен</w:t>
      </w:r>
      <w:r w:rsidRPr="00070ADE">
        <w:rPr>
          <w:rFonts w:ascii="Times New Roman" w:hAnsi="Times New Roman"/>
          <w:color w:val="000000" w:themeColor="text1"/>
          <w:sz w:val="16"/>
          <w:szCs w:val="16"/>
        </w:rPr>
        <w:softHyphen/>
        <w:t>ных бомб была пробита брешь во вражеской обороне. Так выглядел Будапешт после бомбардировок советской авиацией и артобстрелов в 1945 году Усилив «внешний вектор воздействия», АДД продолжала действовать и по ближним целям. Были и вовсе нестандар</w:t>
      </w:r>
      <w:r w:rsidRPr="00070ADE">
        <w:rPr>
          <w:rFonts w:ascii="Times New Roman" w:hAnsi="Times New Roman"/>
          <w:color w:val="000000" w:themeColor="text1"/>
          <w:sz w:val="16"/>
          <w:szCs w:val="16"/>
        </w:rPr>
        <w:softHyphen/>
        <w:t>тные операции. В 1944 году на освобожденной территории Украины, Белоруссии и Прибалтики активизировались различ</w:t>
      </w:r>
      <w:r w:rsidRPr="00070ADE">
        <w:rPr>
          <w:rFonts w:ascii="Times New Roman" w:hAnsi="Times New Roman"/>
          <w:color w:val="000000" w:themeColor="text1"/>
          <w:sz w:val="16"/>
          <w:szCs w:val="16"/>
        </w:rPr>
        <w:softHyphen/>
        <w:t>ные бандгруппы - националистического толка и просто уго</w:t>
      </w:r>
      <w:r w:rsidRPr="00070ADE">
        <w:rPr>
          <w:rFonts w:ascii="Times New Roman" w:hAnsi="Times New Roman"/>
          <w:color w:val="000000" w:themeColor="text1"/>
          <w:sz w:val="16"/>
          <w:szCs w:val="16"/>
        </w:rPr>
        <w:softHyphen/>
        <w:t>ловники. Одна из них была замечена в Черниговской области. На одном из островков в заболоченной речке Удай обустроили базу предположительно бандеровцы, совершая набеги на гарнизоны и терроризируя население. По просьбе местных властей после развед</w:t>
      </w:r>
      <w:r w:rsidRPr="00070ADE">
        <w:rPr>
          <w:rFonts w:ascii="Times New Roman" w:hAnsi="Times New Roman"/>
          <w:color w:val="000000" w:themeColor="text1"/>
          <w:sz w:val="16"/>
          <w:szCs w:val="16"/>
        </w:rPr>
        <w:softHyphen/>
        <w:t>ки, выполненной У-2, звено Ил-4 выпол</w:t>
      </w:r>
      <w:r w:rsidRPr="00070ADE">
        <w:rPr>
          <w:rFonts w:ascii="Times New Roman" w:hAnsi="Times New Roman"/>
          <w:color w:val="000000" w:themeColor="text1"/>
          <w:sz w:val="16"/>
          <w:szCs w:val="16"/>
        </w:rPr>
        <w:softHyphen/>
        <w:t>нило удар по схрону бомбами ОФАБ-100 и пулеметным огнем. Вылазки бандитов прекратились.</w:t>
      </w:r>
    </w:p>
    <w:p w14:paraId="4D96B9D1" w14:textId="77777777" w:rsidR="005B073A" w:rsidRPr="00070ADE" w:rsidRDefault="005B073A" w:rsidP="00B56F90">
      <w:pPr>
        <w:spacing w:after="0" w:line="240" w:lineRule="auto"/>
        <w:jc w:val="both"/>
        <w:rPr>
          <w:rFonts w:ascii="Times New Roman" w:hAnsi="Times New Roman"/>
          <w:color w:val="000000" w:themeColor="text1"/>
          <w:sz w:val="16"/>
          <w:szCs w:val="16"/>
        </w:rPr>
      </w:pPr>
    </w:p>
    <w:p w14:paraId="03E4E83D" w14:textId="5AD85301" w:rsidR="00FB3A90" w:rsidRPr="00070ADE" w:rsidRDefault="00FB3A90"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70ADE">
        <w:rPr>
          <w:rFonts w:ascii="Times New Roman" w:hAnsi="Times New Roman"/>
          <w:i/>
          <w:iCs/>
          <w:color w:val="000000" w:themeColor="text1"/>
          <w:sz w:val="16"/>
          <w:szCs w:val="16"/>
        </w:rPr>
        <w:t>За рубежом:</w:t>
      </w:r>
    </w:p>
    <w:p w14:paraId="55A1A627" w14:textId="77777777" w:rsidR="00FB3A90" w:rsidRPr="00070ADE" w:rsidRDefault="00FB3A90"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DD69EDA" w14:textId="77777777" w:rsidR="00FB3A90" w:rsidRPr="00070ADE" w:rsidRDefault="00FB3A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середине июня 1944 японские п/л авианосцы 1-400 и 1-401, предназначенные для разрушения шлюзов Панамского канала в июле-августе 1945, были отправлены в поход в китайский Дайрен, чтобы получить необходимое горючее и про</w:t>
      </w:r>
      <w:r w:rsidRPr="00070ADE">
        <w:rPr>
          <w:rFonts w:ascii="Times New Roman" w:hAnsi="Times New Roman"/>
          <w:color w:val="000000" w:themeColor="text1"/>
          <w:sz w:val="16"/>
          <w:szCs w:val="16"/>
        </w:rPr>
        <w:softHyphen/>
        <w:t>довольствие. Однако в Японском море 1-401 наткнулась на американскую магнитную мину и получила серьез</w:t>
      </w:r>
      <w:r w:rsidRPr="00070ADE">
        <w:rPr>
          <w:rFonts w:ascii="Times New Roman" w:hAnsi="Times New Roman"/>
          <w:color w:val="000000" w:themeColor="text1"/>
          <w:sz w:val="16"/>
          <w:szCs w:val="16"/>
        </w:rPr>
        <w:softHyphen/>
        <w:t>ные повреждения, после чего ей при</w:t>
      </w:r>
      <w:r w:rsidRPr="00070ADE">
        <w:rPr>
          <w:rFonts w:ascii="Times New Roman" w:hAnsi="Times New Roman"/>
          <w:color w:val="000000" w:themeColor="text1"/>
          <w:sz w:val="16"/>
          <w:szCs w:val="16"/>
        </w:rPr>
        <w:softHyphen/>
        <w:t>шлось возвратиться на базу (22807).</w:t>
      </w:r>
    </w:p>
    <w:p w14:paraId="7D98CDCF" w14:textId="77777777" w:rsidR="00FB3A90" w:rsidRPr="00070ADE" w:rsidRDefault="00FB3A90" w:rsidP="00B56F90">
      <w:pPr>
        <w:spacing w:after="0" w:line="240" w:lineRule="auto"/>
        <w:jc w:val="both"/>
        <w:rPr>
          <w:rFonts w:ascii="Times New Roman" w:hAnsi="Times New Roman"/>
          <w:color w:val="000000" w:themeColor="text1"/>
          <w:sz w:val="16"/>
          <w:szCs w:val="16"/>
        </w:rPr>
      </w:pPr>
    </w:p>
    <w:p w14:paraId="757557EB" w14:textId="77777777" w:rsidR="00B93A71" w:rsidRPr="00B93A71" w:rsidRDefault="00B93A71" w:rsidP="00B93A71">
      <w:pPr>
        <w:spacing w:after="0" w:line="240" w:lineRule="auto"/>
        <w:jc w:val="both"/>
        <w:rPr>
          <w:rFonts w:ascii="Times New Roman" w:hAnsi="Times New Roman"/>
          <w:color w:val="0070C0"/>
          <w:sz w:val="16"/>
          <w:szCs w:val="16"/>
        </w:rPr>
      </w:pPr>
      <w:r w:rsidRPr="00B93A71">
        <w:rPr>
          <w:rStyle w:val="aff1"/>
          <w:rFonts w:ascii="Times New Roman" w:hAnsi="Times New Roman" w:cs="Times New Roman"/>
          <w:color w:val="0070C0"/>
          <w:spacing w:val="0"/>
          <w:sz w:val="16"/>
          <w:szCs w:val="16"/>
        </w:rPr>
        <w:t>В середине июня 1945 года в Японии началось про</w:t>
      </w:r>
      <w:r w:rsidRPr="00B93A71">
        <w:rPr>
          <w:rStyle w:val="aff1"/>
          <w:rFonts w:ascii="Times New Roman" w:hAnsi="Times New Roman" w:cs="Times New Roman"/>
          <w:color w:val="0070C0"/>
          <w:spacing w:val="0"/>
          <w:sz w:val="16"/>
          <w:szCs w:val="16"/>
        </w:rPr>
        <w:softHyphen/>
        <w:t xml:space="preserve">изводство тержореактивного </w:t>
      </w:r>
      <w:r w:rsidRPr="00B93A71">
        <w:rPr>
          <w:rStyle w:val="aff1"/>
          <w:rFonts w:ascii="Times New Roman" w:hAnsi="Times New Roman" w:cs="Times New Roman"/>
          <w:color w:val="0070C0"/>
          <w:spacing w:val="0"/>
          <w:sz w:val="16"/>
          <w:szCs w:val="16"/>
          <w:lang w:val="en-US"/>
        </w:rPr>
        <w:t>Ne</w:t>
      </w:r>
      <w:r w:rsidRPr="00B93A71">
        <w:rPr>
          <w:rStyle w:val="aff1"/>
          <w:rFonts w:ascii="Times New Roman" w:hAnsi="Times New Roman" w:cs="Times New Roman"/>
          <w:color w:val="0070C0"/>
          <w:spacing w:val="0"/>
          <w:sz w:val="16"/>
          <w:szCs w:val="16"/>
        </w:rPr>
        <w:t>-20 и его испытания на самолете</w:t>
      </w:r>
      <w:r w:rsidRPr="00B93A71">
        <w:rPr>
          <w:rFonts w:ascii="Times New Roman" w:hAnsi="Times New Roman"/>
          <w:color w:val="0070C0"/>
          <w:sz w:val="16"/>
          <w:szCs w:val="16"/>
        </w:rPr>
        <w:t xml:space="preserve"> </w:t>
      </w:r>
      <w:r w:rsidRPr="00B93A71">
        <w:rPr>
          <w:rStyle w:val="aff1"/>
          <w:rFonts w:ascii="Times New Roman" w:hAnsi="Times New Roman" w:cs="Times New Roman"/>
          <w:color w:val="0070C0"/>
          <w:spacing w:val="0"/>
          <w:sz w:val="16"/>
          <w:szCs w:val="16"/>
          <w:lang w:val="en-US"/>
        </w:rPr>
        <w:t>Kikka</w:t>
      </w:r>
      <w:r w:rsidRPr="00B93A71">
        <w:rPr>
          <w:rStyle w:val="aff1"/>
          <w:rFonts w:ascii="Times New Roman" w:hAnsi="Times New Roman" w:cs="Times New Roman"/>
          <w:color w:val="0070C0"/>
          <w:spacing w:val="0"/>
          <w:sz w:val="16"/>
          <w:szCs w:val="16"/>
        </w:rPr>
        <w:t xml:space="preserve">. Арсенал в Йокосуке, в феврале 1945 года переименованный в Первый технический арсенал, собрал девять </w:t>
      </w:r>
      <w:r w:rsidRPr="00B93A71">
        <w:rPr>
          <w:rStyle w:val="aff1"/>
          <w:rFonts w:ascii="Times New Roman" w:hAnsi="Times New Roman" w:cs="Times New Roman"/>
          <w:color w:val="0070C0"/>
          <w:spacing w:val="0"/>
          <w:sz w:val="16"/>
          <w:szCs w:val="16"/>
          <w:lang w:val="en-US"/>
        </w:rPr>
        <w:t>Ne</w:t>
      </w:r>
      <w:r w:rsidRPr="00B93A71">
        <w:rPr>
          <w:rStyle w:val="aff1"/>
          <w:rFonts w:ascii="Times New Roman" w:hAnsi="Times New Roman" w:cs="Times New Roman"/>
          <w:color w:val="0070C0"/>
          <w:spacing w:val="0"/>
          <w:sz w:val="16"/>
          <w:szCs w:val="16"/>
        </w:rPr>
        <w:t>-20. Кораблестроительная верфь в той же Йокосуке выпустила еще двенадцать моторов, однако они были низкого качества (25794).</w:t>
      </w:r>
    </w:p>
    <w:p w14:paraId="31BAD45F" w14:textId="77777777" w:rsidR="00B93A71" w:rsidRPr="00B93A71" w:rsidRDefault="00B93A71" w:rsidP="00B93A71">
      <w:pPr>
        <w:spacing w:after="0" w:line="240" w:lineRule="auto"/>
        <w:jc w:val="both"/>
        <w:rPr>
          <w:rFonts w:ascii="Times New Roman" w:hAnsi="Times New Roman"/>
          <w:color w:val="0070C0"/>
          <w:sz w:val="16"/>
          <w:szCs w:val="16"/>
        </w:rPr>
      </w:pPr>
    </w:p>
    <w:p w14:paraId="08C5F1C4" w14:textId="7FAE1D29" w:rsidR="009C5E2F"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2CD8A4B4" w14:textId="77777777" w:rsidR="009C5E2F" w:rsidRPr="00070ADE" w:rsidRDefault="009C5E2F"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335637" w14:textId="77777777" w:rsidR="009C5E2F" w:rsidRPr="00070ADE" w:rsidRDefault="009C5E2F"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первой половине июня 1944 года завод № 39 начинает получать чертежи на постройку четырех Ер-2ОН. В приказе директора завода В.И. Абрамова говориться, что первый Ер-2ОН должен быть изготовлен 1-го августа, а последний, четвертый – 1-го сентября. Приказом А.И. Шахурина завод № 500 обязывался поставить заводу № 39 дизель-моторы АЧ-30Б специальной сборки в количестве 10 штук в течение июля. Поскольку самолеты предназначались для полетов высшего руководства страны, изготавливали их с особой тщательностью вне поточных линий. Все отрабатывалось на специальных натурных стендах и подвергалось строжайшему контролю. Вместе с тем некоторые чертежи по фюзеляжу самолета, в конструкцию которого были внесены значительные изменения, поступили на завод с опозданием. Это не могло не отразиться на сроках. К тому же на двигателях АЧ-30Б выявились опасные дефекты, требовавшие немедленного устранения. В планы постройки самолетов пришлось вносить коррективы. 7-го октября директор завода В.И. Абрамов в своем приказе № 171 определяет следующий порядок работы подразделений и служб завода (223):</w:t>
      </w:r>
    </w:p>
    <w:p w14:paraId="627F357C" w14:textId="77777777" w:rsidR="009C5E2F" w:rsidRPr="00070ADE" w:rsidRDefault="009C5E2F" w:rsidP="00B56F90">
      <w:pPr>
        <w:pStyle w:val="rteindent11"/>
        <w:shd w:val="clear" w:color="auto" w:fill="FFFFFF"/>
        <w:spacing w:before="0" w:beforeAutospacing="0" w:after="0"/>
        <w:ind w:left="0" w:firstLine="0"/>
        <w:rPr>
          <w:color w:val="000000" w:themeColor="text1"/>
          <w:sz w:val="16"/>
          <w:szCs w:val="16"/>
        </w:rPr>
      </w:pPr>
      <w:r w:rsidRPr="00070ADE">
        <w:rPr>
          <w:rStyle w:val="af0"/>
          <w:i w:val="0"/>
          <w:color w:val="000000" w:themeColor="text1"/>
          <w:sz w:val="16"/>
          <w:szCs w:val="16"/>
        </w:rPr>
        <w:t>– начальнику цеха № 4 М.Г. Лукьянцеву сдать фюзеляж головного самолета в цех предварительной сборки 12 октября 1944 г;</w:t>
      </w:r>
    </w:p>
    <w:p w14:paraId="4533D2C4" w14:textId="77777777" w:rsidR="009C5E2F" w:rsidRPr="00070ADE" w:rsidRDefault="009C5E2F" w:rsidP="00B56F90">
      <w:pPr>
        <w:pStyle w:val="rteindent11"/>
        <w:shd w:val="clear" w:color="auto" w:fill="FFFFFF"/>
        <w:spacing w:before="0" w:beforeAutospacing="0" w:after="0"/>
        <w:ind w:left="0" w:firstLine="0"/>
        <w:rPr>
          <w:color w:val="000000" w:themeColor="text1"/>
          <w:sz w:val="16"/>
          <w:szCs w:val="16"/>
        </w:rPr>
      </w:pPr>
      <w:r w:rsidRPr="00070ADE">
        <w:rPr>
          <w:rStyle w:val="af0"/>
          <w:i w:val="0"/>
          <w:color w:val="000000" w:themeColor="text1"/>
          <w:sz w:val="16"/>
          <w:szCs w:val="16"/>
        </w:rPr>
        <w:t>– начальнику цеха предварительной сборки № 22 А.К. Филлипову обеспечить сборку и передачу головного самолета в цех окончательной сборки до 26 октября 1944 г;</w:t>
      </w:r>
    </w:p>
    <w:p w14:paraId="70297CF8" w14:textId="77777777" w:rsidR="009C5E2F" w:rsidRPr="00070ADE" w:rsidRDefault="009C5E2F" w:rsidP="00B56F90">
      <w:pPr>
        <w:pStyle w:val="rteindent11"/>
        <w:shd w:val="clear" w:color="auto" w:fill="FFFFFF"/>
        <w:spacing w:before="0" w:beforeAutospacing="0" w:after="0"/>
        <w:ind w:left="0" w:firstLine="0"/>
        <w:rPr>
          <w:color w:val="000000" w:themeColor="text1"/>
          <w:sz w:val="16"/>
          <w:szCs w:val="16"/>
        </w:rPr>
      </w:pPr>
      <w:r w:rsidRPr="00070ADE">
        <w:rPr>
          <w:rStyle w:val="af0"/>
          <w:i w:val="0"/>
          <w:color w:val="000000" w:themeColor="text1"/>
          <w:sz w:val="16"/>
          <w:szCs w:val="16"/>
        </w:rPr>
        <w:t>– начальнику цеха окончательной сборки № 7 Д.М. Чумаченко передать первый самолет Ер-2ОН в аэродромный цех 6 ноября 1944 г;</w:t>
      </w:r>
    </w:p>
    <w:p w14:paraId="02AC3926" w14:textId="77777777" w:rsidR="009C5E2F" w:rsidRPr="00070ADE" w:rsidRDefault="009C5E2F" w:rsidP="00B56F90">
      <w:pPr>
        <w:pStyle w:val="rteindent11"/>
        <w:shd w:val="clear" w:color="auto" w:fill="FFFFFF"/>
        <w:spacing w:before="0" w:beforeAutospacing="0" w:after="0"/>
        <w:ind w:left="0" w:firstLine="0"/>
        <w:rPr>
          <w:color w:val="000000" w:themeColor="text1"/>
          <w:sz w:val="16"/>
          <w:szCs w:val="16"/>
        </w:rPr>
      </w:pPr>
      <w:r w:rsidRPr="00070ADE">
        <w:rPr>
          <w:rStyle w:val="af0"/>
          <w:i w:val="0"/>
          <w:color w:val="000000" w:themeColor="text1"/>
          <w:sz w:val="16"/>
          <w:szCs w:val="16"/>
        </w:rPr>
        <w:t>– начальнику аэродромного цеха № 16 А.Г. Ивченко провести отработку головного самолета Ер-2ОН по Программе, утвержденной главным конструктором самолета В.Г. Ермолаевым до 12 ноября 1944 года, которая предусматривает:</w:t>
      </w:r>
    </w:p>
    <w:p w14:paraId="24190E72" w14:textId="77777777" w:rsidR="009C5E2F" w:rsidRPr="00070ADE" w:rsidRDefault="009C5E2F" w:rsidP="00B56F90">
      <w:pPr>
        <w:pStyle w:val="rteindent11"/>
        <w:shd w:val="clear" w:color="auto" w:fill="FFFFFF"/>
        <w:spacing w:before="0" w:beforeAutospacing="0" w:after="0"/>
        <w:ind w:left="0" w:firstLine="0"/>
        <w:rPr>
          <w:color w:val="000000" w:themeColor="text1"/>
          <w:sz w:val="16"/>
          <w:szCs w:val="16"/>
        </w:rPr>
      </w:pPr>
      <w:r w:rsidRPr="00070ADE">
        <w:rPr>
          <w:rStyle w:val="af0"/>
          <w:i w:val="0"/>
          <w:color w:val="000000" w:themeColor="text1"/>
          <w:sz w:val="16"/>
          <w:szCs w:val="16"/>
        </w:rPr>
        <w:t>– наземную отработку всех систем и винтомоторной группы. По результатам наземных отработок оформляется и утверждается Акт о готовности самолета к проведению следующих летных испытаний;</w:t>
      </w:r>
    </w:p>
    <w:p w14:paraId="704BE243" w14:textId="77777777" w:rsidR="009C5E2F" w:rsidRPr="00070ADE" w:rsidRDefault="009C5E2F" w:rsidP="00B56F90">
      <w:pPr>
        <w:pStyle w:val="rteindent11"/>
        <w:shd w:val="clear" w:color="auto" w:fill="FFFFFF"/>
        <w:spacing w:before="0" w:beforeAutospacing="0" w:after="0"/>
        <w:ind w:left="0" w:firstLine="0"/>
        <w:rPr>
          <w:color w:val="000000" w:themeColor="text1"/>
          <w:sz w:val="16"/>
          <w:szCs w:val="16"/>
        </w:rPr>
      </w:pPr>
      <w:r w:rsidRPr="00070ADE">
        <w:rPr>
          <w:rStyle w:val="af0"/>
          <w:i w:val="0"/>
          <w:color w:val="000000" w:themeColor="text1"/>
          <w:sz w:val="16"/>
          <w:szCs w:val="16"/>
        </w:rPr>
        <w:t>– летные испытания с различными вариантами загрузки самолета;</w:t>
      </w:r>
    </w:p>
    <w:p w14:paraId="2A3413AF" w14:textId="77777777" w:rsidR="009C5E2F" w:rsidRPr="00070ADE" w:rsidRDefault="009C5E2F" w:rsidP="00B56F90">
      <w:pPr>
        <w:pStyle w:val="rteindent11"/>
        <w:shd w:val="clear" w:color="auto" w:fill="FFFFFF"/>
        <w:spacing w:before="0" w:beforeAutospacing="0" w:after="0"/>
        <w:ind w:left="0" w:firstLine="0"/>
        <w:rPr>
          <w:color w:val="000000" w:themeColor="text1"/>
          <w:sz w:val="16"/>
          <w:szCs w:val="16"/>
        </w:rPr>
      </w:pPr>
      <w:r w:rsidRPr="00070ADE">
        <w:rPr>
          <w:rStyle w:val="af0"/>
          <w:i w:val="0"/>
          <w:color w:val="000000" w:themeColor="text1"/>
          <w:sz w:val="16"/>
          <w:szCs w:val="16"/>
        </w:rPr>
        <w:t>– проверку работы винтомоторного оборудования;</w:t>
      </w:r>
    </w:p>
    <w:p w14:paraId="2AE3F76B" w14:textId="77777777" w:rsidR="009C5E2F" w:rsidRPr="00070ADE" w:rsidRDefault="009C5E2F" w:rsidP="00B56F90">
      <w:pPr>
        <w:pStyle w:val="rteindent11"/>
        <w:shd w:val="clear" w:color="auto" w:fill="FFFFFF"/>
        <w:spacing w:before="0" w:beforeAutospacing="0" w:after="0"/>
        <w:ind w:left="0" w:firstLine="0"/>
        <w:rPr>
          <w:color w:val="000000" w:themeColor="text1"/>
          <w:sz w:val="16"/>
          <w:szCs w:val="16"/>
        </w:rPr>
      </w:pPr>
      <w:r w:rsidRPr="00070ADE">
        <w:rPr>
          <w:rStyle w:val="af0"/>
          <w:i w:val="0"/>
          <w:color w:val="000000" w:themeColor="text1"/>
          <w:sz w:val="16"/>
          <w:szCs w:val="16"/>
        </w:rPr>
        <w:t>– облет самолета на всех скоростях, включая и максимальную на разных высотах;</w:t>
      </w:r>
    </w:p>
    <w:p w14:paraId="06978B5B" w14:textId="77777777" w:rsidR="009C5E2F" w:rsidRPr="00070ADE" w:rsidRDefault="009C5E2F" w:rsidP="00B56F90">
      <w:pPr>
        <w:pStyle w:val="rteindent11"/>
        <w:shd w:val="clear" w:color="auto" w:fill="FFFFFF"/>
        <w:spacing w:before="0" w:beforeAutospacing="0" w:after="0"/>
        <w:ind w:left="0" w:firstLine="0"/>
        <w:rPr>
          <w:color w:val="000000" w:themeColor="text1"/>
          <w:sz w:val="16"/>
          <w:szCs w:val="16"/>
        </w:rPr>
      </w:pPr>
      <w:r w:rsidRPr="00070ADE">
        <w:rPr>
          <w:rStyle w:val="af0"/>
          <w:i w:val="0"/>
          <w:color w:val="000000" w:themeColor="text1"/>
          <w:sz w:val="16"/>
          <w:szCs w:val="16"/>
        </w:rPr>
        <w:t>– оценку устойчивости и управляемости на всех режимах полета;</w:t>
      </w:r>
    </w:p>
    <w:p w14:paraId="7EC9E078" w14:textId="77777777" w:rsidR="009C5E2F" w:rsidRPr="00070ADE" w:rsidRDefault="009C5E2F" w:rsidP="00B56F90">
      <w:pPr>
        <w:pStyle w:val="rteindent11"/>
        <w:shd w:val="clear" w:color="auto" w:fill="FFFFFF"/>
        <w:spacing w:before="0" w:beforeAutospacing="0" w:after="0"/>
        <w:ind w:left="0" w:firstLine="0"/>
        <w:rPr>
          <w:rStyle w:val="af0"/>
          <w:i w:val="0"/>
          <w:color w:val="000000" w:themeColor="text1"/>
          <w:sz w:val="16"/>
          <w:szCs w:val="16"/>
        </w:rPr>
      </w:pPr>
      <w:r w:rsidRPr="00070ADE">
        <w:rPr>
          <w:rStyle w:val="af0"/>
          <w:i w:val="0"/>
          <w:color w:val="000000" w:themeColor="text1"/>
          <w:sz w:val="16"/>
          <w:szCs w:val="16"/>
        </w:rPr>
        <w:t>– полет на дальность и другие режимы, предусмотренные при испытании самолета в воздухе (15223).</w:t>
      </w:r>
    </w:p>
    <w:p w14:paraId="21B56790" w14:textId="77777777" w:rsidR="009C5E2F" w:rsidRPr="00070ADE" w:rsidRDefault="009C5E2F" w:rsidP="00B56F90">
      <w:pPr>
        <w:pStyle w:val="rteindent11"/>
        <w:shd w:val="clear" w:color="auto" w:fill="FFFFFF"/>
        <w:spacing w:before="0" w:beforeAutospacing="0" w:after="0"/>
        <w:ind w:left="0" w:firstLine="0"/>
        <w:rPr>
          <w:rStyle w:val="af0"/>
          <w:i w:val="0"/>
          <w:color w:val="000000" w:themeColor="text1"/>
          <w:sz w:val="16"/>
          <w:szCs w:val="16"/>
        </w:rPr>
      </w:pPr>
    </w:p>
    <w:p w14:paraId="4752BE7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C622C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6096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июня 1944 Зам. Нач. 7ГУ Алексеев подготовил сводку г-7 № 7979 о ходе испытаний высотных самолетов на 14 июня 1944 по Як-9 М-105ПД, Ла-5 АШ-82ФН и 2ТК-3, МиГ АМ-39А и 2ТК-2Б (1825).</w:t>
      </w:r>
    </w:p>
    <w:p w14:paraId="2D7769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ИСТРЕБИТЕЛЬ МИГ С АМ-39Б И 2ТК-2Б.</w:t>
      </w:r>
    </w:p>
    <w:p w14:paraId="590AC9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Произведены два полета после установки системы нейтрального газа и бензопомпы взамен инжекторной помпы "178”.</w:t>
      </w:r>
    </w:p>
    <w:p w14:paraId="0DD497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полет - продолжительностью 40 миню до высоты 3000 мт, на 1-й скорости нагнетателя.</w:t>
      </w:r>
    </w:p>
    <w:p w14:paraId="2FC1B6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полете давление бензина у земли - 0.3 атм и на высоте 3000 мт - 0,23 атм, обороты ТК при переходе на горизонтальный полет - 17000 об/мин, давление нейтрального газа в бензобаке - 0,15 атм. Винтомотор</w:t>
      </w:r>
      <w:r w:rsidRPr="00070ADE">
        <w:rPr>
          <w:rFonts w:ascii="Times New Roman" w:hAnsi="Times New Roman"/>
          <w:color w:val="000000" w:themeColor="text1"/>
          <w:sz w:val="16"/>
          <w:szCs w:val="16"/>
        </w:rPr>
        <w:softHyphen/>
        <w:t>ная группа работала удовлетворительно. После полета произведено увеличение диаметров отверстий в дозиру</w:t>
      </w:r>
      <w:r w:rsidRPr="00070ADE">
        <w:rPr>
          <w:rFonts w:ascii="Times New Roman" w:hAnsi="Times New Roman"/>
          <w:color w:val="000000" w:themeColor="text1"/>
          <w:sz w:val="16"/>
          <w:szCs w:val="16"/>
        </w:rPr>
        <w:softHyphen/>
        <w:t>ющей шайбе клапана нейтрального газа для увеличения давления нейтрального газа в бензобаке и изменена регулировка давления бензина.</w:t>
      </w:r>
    </w:p>
    <w:p w14:paraId="35728D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2-й полет - продолжительностью 30 мин, высота 3000 мт. на 1-й скорости нагнетахеля.</w:t>
      </w:r>
    </w:p>
    <w:p w14:paraId="06BDAD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полете давление бензина на высоте 3000 мт - 0,25 атм, давление нейтрального газа в бензобаке - 0,2 атм, обоорты ТК при переходе на горизонтальный полет - 17500об/мин. Винтомоторная группа работала удовлетворительно. После полета на самолете проводятся рабо</w:t>
      </w:r>
      <w:r w:rsidRPr="00070ADE">
        <w:rPr>
          <w:rFonts w:ascii="Times New Roman" w:hAnsi="Times New Roman"/>
          <w:color w:val="000000" w:themeColor="text1"/>
          <w:sz w:val="16"/>
          <w:szCs w:val="16"/>
        </w:rPr>
        <w:softHyphen/>
        <w:t>ты по увеличению давления нейтрального газа в бензо</w:t>
      </w:r>
      <w:r w:rsidRPr="00070ADE">
        <w:rPr>
          <w:rFonts w:ascii="Times New Roman" w:hAnsi="Times New Roman"/>
          <w:color w:val="000000" w:themeColor="text1"/>
          <w:sz w:val="16"/>
          <w:szCs w:val="16"/>
        </w:rPr>
        <w:softHyphen/>
        <w:t>баке.</w:t>
      </w:r>
    </w:p>
    <w:p w14:paraId="35C62B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готовится к очередному полету на 15.У1 с.г.</w:t>
      </w:r>
    </w:p>
    <w:p w14:paraId="0E7E9A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Высотный самолет ЯК-9 С ВК-105ПФ И ДВУХСТУПЕНЧАТЫМ НАГНЕТАТЕЛЕМ находится в ЦАГИ на отработке винтомоторной группы.</w:t>
      </w:r>
    </w:p>
    <w:p w14:paraId="29FF96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Ла-5 с АШ-82ФН и 2ТК-3 полеты не производились из-за отсутствия кондиционного мотора (1825).</w:t>
      </w:r>
    </w:p>
    <w:p w14:paraId="4D2BDF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2101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июня 1944 на МИГ С АМ-39Б И 2ТК-2Б были произведены два полета после доводки бензосистемы самолета с бензопомпой БНК-10:</w:t>
      </w:r>
    </w:p>
    <w:p w14:paraId="383714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полет - продолжительностью 40 мин, до высоты 9000 мт с включением второй скорости нагнетателя. В полете определена граница высотности на наборе вы</w:t>
      </w:r>
      <w:r w:rsidRPr="00070ADE">
        <w:rPr>
          <w:rFonts w:ascii="Times New Roman" w:hAnsi="Times New Roman"/>
          <w:color w:val="000000" w:themeColor="text1"/>
          <w:sz w:val="16"/>
          <w:szCs w:val="16"/>
        </w:rPr>
        <w:softHyphen/>
        <w:t>соты на первой скорости нагнетателя - 8100 мт по прибору, 2-й полет - продолжительностью 40 мин, до высоты 11000 мт с включением второй скорости нагнетателя на высоте 9000 мт. В обоих полетах винтомоторная группа работала удовлет</w:t>
      </w:r>
      <w:r w:rsidRPr="00070ADE">
        <w:rPr>
          <w:rFonts w:ascii="Times New Roman" w:hAnsi="Times New Roman"/>
          <w:color w:val="000000" w:themeColor="text1"/>
          <w:sz w:val="16"/>
          <w:szCs w:val="16"/>
        </w:rPr>
        <w:softHyphen/>
        <w:t>ьно и давление бензина от земли до высоты 11000 оставалось 0,35 атм (1825).</w:t>
      </w:r>
    </w:p>
    <w:p w14:paraId="341A8E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1D1710"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16 июня 1944 в Советский Союз прилете</w:t>
      </w:r>
      <w:r w:rsidRPr="00070ADE">
        <w:rPr>
          <w:rFonts w:ascii="Times New Roman" w:hAnsi="Times New Roman"/>
          <w:color w:val="000000" w:themeColor="text1"/>
          <w:sz w:val="16"/>
          <w:szCs w:val="16"/>
        </w:rPr>
        <w:softHyphen/>
        <w:t>ли 24 лодки из 25. Один «Номад», подпол</w:t>
      </w:r>
      <w:r w:rsidRPr="00070ADE">
        <w:rPr>
          <w:rFonts w:ascii="Times New Roman" w:hAnsi="Times New Roman"/>
          <w:color w:val="000000" w:themeColor="text1"/>
          <w:sz w:val="16"/>
          <w:szCs w:val="16"/>
        </w:rPr>
        <w:softHyphen/>
        <w:t>ковника Н.В. Романова, на борту которо</w:t>
      </w:r>
      <w:r w:rsidRPr="00070ADE">
        <w:rPr>
          <w:rFonts w:ascii="Times New Roman" w:hAnsi="Times New Roman"/>
          <w:color w:val="000000" w:themeColor="text1"/>
          <w:sz w:val="16"/>
          <w:szCs w:val="16"/>
        </w:rPr>
        <w:softHyphen/>
        <w:t>го находились Васильев и флаг-штурман Мосцепан, пропал без вести. До 28 июня советские и английские самолеты иска</w:t>
      </w:r>
      <w:r w:rsidRPr="00070ADE">
        <w:rPr>
          <w:rFonts w:ascii="Times New Roman" w:hAnsi="Times New Roman"/>
          <w:color w:val="000000" w:themeColor="text1"/>
          <w:sz w:val="16"/>
          <w:szCs w:val="16"/>
        </w:rPr>
        <w:softHyphen/>
        <w:t>ли эту машину, но безуспешно. После гибели Васильева группу перегонщиков возглавил полковник М.Н. Чибисов, а не</w:t>
      </w:r>
      <w:r w:rsidRPr="00070ADE">
        <w:rPr>
          <w:rFonts w:ascii="Times New Roman" w:hAnsi="Times New Roman"/>
          <w:color w:val="000000" w:themeColor="text1"/>
          <w:sz w:val="16"/>
          <w:szCs w:val="16"/>
        </w:rPr>
        <w:softHyphen/>
        <w:t>посредственно перегонкой руководил Н.Ф. Пискарев (23513).</w:t>
      </w:r>
    </w:p>
    <w:p w14:paraId="0E0A7B7C" w14:textId="77777777" w:rsidR="000D3B31" w:rsidRPr="00070ADE" w:rsidRDefault="000D3B31" w:rsidP="00B56F90">
      <w:pPr>
        <w:spacing w:after="0" w:line="240" w:lineRule="auto"/>
        <w:jc w:val="both"/>
        <w:rPr>
          <w:rFonts w:ascii="Times New Roman" w:hAnsi="Times New Roman"/>
          <w:color w:val="000000" w:themeColor="text1"/>
          <w:sz w:val="16"/>
          <w:szCs w:val="16"/>
        </w:rPr>
      </w:pPr>
    </w:p>
    <w:p w14:paraId="79C865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июня 1944 в ЦИАМ создали отдел ПД-6 под руководством В.Н.Челомея для изучения Фау-1, полученного из Англии в июне (1566,229).</w:t>
      </w:r>
    </w:p>
    <w:p w14:paraId="17F87A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915D0F"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16 июня 1944 г. 5-е главное управление Наркомата судостроительной промышленности сообщило начальнику 1-го отдела УК ВМФ инженер-капитану 2-го ранга Котову о том, что разработку истребителей и торпедоносцев ведут заводы № 458 и № 477 Наркомата авиационной промышленности, но состояние работ неизвестно, а все запросы от судостроителей остаются без ответа. Управление запрашивало о том, ведутся ли данные разработки только для авианосца или же для каких-то других целей. В первом случае оно предлагало дать заводам указания выслать в адрес ЦКБ-17 запрашиваемые им данные. Как видно, координация действий между судостроительным и авиастроительным ведомствами оставалась неудовлетворительной. Особенно сильно это сказывалось на работе над проектами, лежавшими «на стыке» нескольких родов войск (25374).</w:t>
      </w:r>
    </w:p>
    <w:p w14:paraId="2BAC00DC" w14:textId="77777777" w:rsidR="00BA3A2B" w:rsidRPr="00C94B78" w:rsidRDefault="00BA3A2B" w:rsidP="00B56F90">
      <w:pPr>
        <w:spacing w:after="0" w:line="240" w:lineRule="auto"/>
        <w:jc w:val="both"/>
        <w:rPr>
          <w:rFonts w:ascii="Times New Roman" w:hAnsi="Times New Roman"/>
          <w:color w:val="0070C0"/>
          <w:sz w:val="16"/>
          <w:szCs w:val="16"/>
        </w:rPr>
      </w:pPr>
    </w:p>
    <w:p w14:paraId="3278734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1EB31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C68E47"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16 июня - август 1944 г. из ДОКЛАДА ПОМОЩНИКА ДИРЕКТОРА КОМБИНАТА № 179 М.В. БЫЧКОВА «О СОСТОЯНИИ ТРУДОВОЙ ДИСЦИПЛИНЫ НА ПРЕДПРИЯТИИ»</w:t>
      </w:r>
    </w:p>
    <w:p w14:paraId="4A4D149B"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Мне кажется, что некоторые начальники цехов, упоенные успехами работы в целом комбината по обеспечению Красной Армии боеприпасами и успехами Красной Армии на фронтах Отечественной войны, совсем забросили заниматься вопросами быта рабочих, не прислушиваются и не решают вопросы, связанные с их работой, не оказывают необходимой материальной помощи остро нуждающимся рабочим. Я думаю, что настало время, когда можно потребовать от начальников цехов тт. Зильберга, Семаева, Рафаловича, Яковлева, Золотарева, Бовтручука и некоторых других ответственности за такое положение с текучестью рабочей силы. Пусть эти начальники цехов сегодня скажут, почему у них такая большая текучесть рабочей силы, составляющая более 100 % к вновь принятым рабочим в 1944 году. В подтверждение мною вышесказанного, бездушного и преступного отношения к разрешению насущных вопросов со стороны отдельных начальников цехов, могу привести такие факты. Вот, работница цеха № 18 поступила на комбинат 18 февраля 1944 г. из Сиблага, проработав два месяца, обувь износила. С 18 апреля из-за отсутствия обуви не работала по 28 апреля 1944 г. Вместо того, чтобы ей оказать необходимую помощь, обуть ее и привести в завод на работу, ее начальник лишил хлебной карточки — она была вынуждена в чужой обуви собирать по полю гнилую картошку и питаться. Или вот, работница цеха № 9 т. Константинова 4 июня 1944 г. получила из больницы похоронную. Обратилась к начальнику цеха и его помощнику насчет отпуска — они даже с ней не разговаривали. Она была вынуждена уехать самовольно, 12 июня 1944 г. она возвратилась, а на нее дело оформили в суд, как на дезертира. А сколько у нас, товарищи, таких рабочих, которые ведут бродячий образ жизни вследствие того, что у них украли хлебные карточки, нет жилья, — не один десяток, и это все проходит на глазах у начальников цехов, их помощников, но мер они к этому достаточных не принимают. У нас очень часто начальники цехов, как тт. Семаев, Яковлев, да и некоторые другие, в оправдание своей плохой работы с кадрами, вместо того чтобы помочь руководству комбината и партийной организации вскрыть истинные причины текучести рабочей силы, в своих выступлениях неправильно информируют о том, что оставляют производство исключительно инвалиды Отечественной войны, которые неправильно направляются в цеха на непосильную работу для них. ... Всегда ссылаются на то, что уходят исключительно только рабочие, которые пришли на завод и отработали 5-10 дней и дезертируют. Это далеко не так, на самом деле уходят рабочие и которые уже на заводе проработали 6 месяцев, год, два, три и более 3 лет. Конкретными фактами о неудовлетворительном обслуживании рабочих и жилищно-бытовых условиях являются: по кварталу 125, домоуправления 18, барак 1-1. Проживают рабочие цеха № 27. Крыша барака протекает во время дождей, внутренняя штукатурка обвалилась, постельные принадлежности находятся в грязном состоянии, много матрацев изношенных, с перетертой набивкой. Вещи находятся под кроватями и в тамбуре, откуда в ночь с 18 на 19 мая сего года были похищены вещи некоторых рабочих. В деревянных кроватях обнаружена масса клопов. По кварталу 125, д/у 18, барак 15 — недостатки аналогичные. По кварталу 145, д/у 18, барак 2-34. Бараки 145 квартала каркасно-засыпные. В этих бараках, кроме грязных матрацев, никакой постельной принадлежности нет. Отсутствует питьевая вода, топливо, печи неисправны, имеется много клопов, и борьбы с ними никакой не ведется. По кварталу 128, д/у 18, землянка 17. Бывают частые перебои с кипятком, так как неисправный куб и рабочие вынуждены возле землянки сами кипятить себе воду в котелках. Постельная принадлежность не дезинфицируется ... По 24 д/упр., барак 6-8/34. Некоторые рабочие, не имея постельного белья, вынуждены спать в грязных, засаленных, порой в стеженых брюках. Рабочий цеха № 1 Авдеев (34-й барак) за 2,5 года работы в цехе ни разу не получал нательного белья. Около месяца тому назад была организована прачечная, которая из-за отсутствия мыла и дров работает нерегулярно, отмечен ряд случаев кражи белья рабочих в прачечных. Во всех бараках имеется много клопов, не дающих возможности нормально отдыхать, мер борьбы с клопами проводится недостаточно. В бараках совершенно недостаточно скамеек и табуреток, а также и электрических лампочек. В бараках 6 и 8 часто происходит хищение вещей друг у друга. К ремонту указанных трех бараков для зимнего периода еще не приступали. Торговый отдел УРСа, практиковавший в течение января, февраля и марта месяцев продажу товаров по общежитиям из лотков, с апреля месяца прекратил. Отоваривание карточек солью, мылом, спичками — почти не производится. Рабочий-одиночка вынужден все покупать с рынка, тогда как на складах УРСа имеется соль, мыло, спички и другие товары ежедневного обихода. Работники УРСа, начальник отдела общественного питания т. Панфилова и начальник торгового отдела т. Заспицкий не борются за улучшение снабжения рабочих товарами первой необходимости, в результате чего они вынуждены все эти товары, как соль, спички, мыло, покупать на рынке у спекулянтов. Плохо у нас обстоит дело и с выполнением постановлений СНК Союза ССР по части оформления материалов в суд на дезертиров. Согласно директивных указаний мы дела должны оформлять на 3-й день, а мы с вами затягиваем 10, 15, 30 дней и больше. Из всех переданных дел прокурору за 1944 год — 1 449 дел, в срок оформлено только 144 дела, остальные с опозданием на 5 дней - 230 дел, десять дней - 476 дел и от 15 дней и больше месяца - 579 дел.</w:t>
      </w:r>
    </w:p>
    <w:p w14:paraId="0A1C5DD9"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 директора ордена Ленина комбината № 179 по Н/У Бычков</w:t>
      </w:r>
    </w:p>
    <w:p w14:paraId="7D48F1A5"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ГАНО. Ф. П-4. On. 8. Д. 491. Л. 59-67. Подлинник. Подпись-автограф Бычкова. Экземпляр, правленный автором (12194).</w:t>
      </w:r>
    </w:p>
    <w:p w14:paraId="726B4066" w14:textId="77777777" w:rsidR="000340E9" w:rsidRPr="00070ADE" w:rsidRDefault="000340E9" w:rsidP="00B56F90">
      <w:pPr>
        <w:spacing w:after="0" w:line="240" w:lineRule="auto"/>
        <w:jc w:val="both"/>
        <w:rPr>
          <w:rFonts w:ascii="Times New Roman" w:hAnsi="Times New Roman"/>
          <w:color w:val="000000" w:themeColor="text1"/>
          <w:sz w:val="16"/>
          <w:szCs w:val="16"/>
        </w:rPr>
      </w:pPr>
    </w:p>
    <w:p w14:paraId="179273D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июня 1944 вышло Постановление ГКО № 6054 Об обеспечении электроэнергией предприятий Грозненского района. РГАНИР, Фонд ГКО, д. 264, лл. 74 (11012).</w:t>
      </w:r>
    </w:p>
    <w:p w14:paraId="68725FB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6CE9ED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июня 1944 вышло Постановление ГКО № 6055 О мероприятиях по подготовке командных кадров речного флота. (7241, 75-79).</w:t>
      </w:r>
    </w:p>
    <w:p w14:paraId="3FB049C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0BA0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июня 1944 вышло Распоряжение ГКО № 6056. О поставках металла для производства боеприпасов, танков и вооружения в июне 1944 г. РГАНИР, Фонд ГКО, д. 264, лл. 80-83,84-96 (11012).</w:t>
      </w:r>
    </w:p>
    <w:p w14:paraId="7E0F973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729A6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июня 1944 вышло Распоряжение ГКО № 6070. О направлении на Кировский завод НКТП в Челябинске 3250 рабочих из военнообязанных, освобождаемых заключенных, выпускников РУ, а также выделении отечественных и импортных станков. РГАНИР, Фонд ГКО, д. 265, лл. 73-74,75-78 (11012).</w:t>
      </w:r>
    </w:p>
    <w:p w14:paraId="53E25D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E3BB9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июня 1944 года была подготовлена справка:</w:t>
      </w:r>
    </w:p>
    <w:p w14:paraId="444EFF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восстановления подмосковного артиллерийского завода № 79 НКВ ………..(9283).</w:t>
      </w:r>
    </w:p>
    <w:p w14:paraId="25B599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EBE70F" w14:textId="77777777" w:rsidR="00BA3A2B" w:rsidRPr="00070ADE" w:rsidRDefault="00BA3A2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560C06FC" w14:textId="77777777" w:rsidR="00BA3A2B" w:rsidRPr="00070ADE" w:rsidRDefault="00BA3A2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74D7E7" w14:textId="77777777" w:rsidR="00BA3A2B" w:rsidRPr="00070ADE" w:rsidRDefault="00BA3A2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июня 1944 расчеты одной из батарей, находящихся в заречной части Горького, производя в нетрезвом состоянии «учебные стрельбы» из американских зениток, добились нескольких прямых попаданий в нижегородский Кремль, в результате чего получили повреждения здания школы радиоспециалистов (ныне здание Областного законодательного собрания) и обкома ВКП(б), погибли семь человек. Нерадивых стрелков отдали под трибунал (11742).</w:t>
      </w:r>
    </w:p>
    <w:p w14:paraId="6B8B7109" w14:textId="77777777" w:rsidR="00BA3A2B" w:rsidRPr="00070ADE" w:rsidRDefault="00BA3A2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D924C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31649C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DC0757"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16 июня</w:t>
      </w:r>
      <w:r w:rsidRPr="00070ADE">
        <w:rPr>
          <w:rFonts w:ascii="Times New Roman" w:hAnsi="Times New Roman"/>
          <w:color w:val="000000" w:themeColor="text1"/>
          <w:sz w:val="16"/>
          <w:szCs w:val="16"/>
        </w:rPr>
        <w:t xml:space="preserve"> в 1944 году оперативная сводка Совинформбюро:</w:t>
      </w:r>
    </w:p>
    <w:p w14:paraId="43129B07"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16 июня на Карельском перешейке наши войска, продолжая развивать наступление, с боями заняли более 100 населённых пунктов, в том числе Юккола, Иорола, Мастерярви, Пийспала, Путрола, Лейслиля, Усикирско, Харью, Лоунатйоки, Хетселя, Лийкола, Большие и Малые Киркиамяки, Большое Кайдалово, Алиска, Корле, Хатаккала, Иоентаус, Саройнен, Таппари и железнодорожные станции Каннельярви, Лоунатйоки, Мастерярви, Япиля.</w:t>
      </w:r>
    </w:p>
    <w:p w14:paraId="3BD2304A"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без перемен.</w:t>
      </w:r>
    </w:p>
    <w:p w14:paraId="09934B12"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15 июня на всех фронтах в воздушных боях и огнём зенитной артиллерии сбито 18 самолётов противника.</w:t>
      </w:r>
    </w:p>
    <w:p w14:paraId="72B3B040"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Карельском перешейке наши войска, прорвав вчера вторую полосу обороны финноз, продолжали наступление. Преодолевая сопротивление противника, наши части заняли более ста населённых пунктов. Многие из этих пунктов были превращены финнами в сильно укреплённые узлы обороны. Советские артиллеристы, поддерживая наступающую пехоту, мощным огнём разрушают оборонительные сооружения противника. Артиллерия Н-ского соединения за день подавила более 150 огневых точек. Финны, отступая под ударами советских войск, несут тяжёлые потери в людях и технике. Бойцы Н-ской части, разгромив вражеский опорный пункт, истребили 700 финских солдат и офицеров и захватили 2 танка, 40 орудий, 12 миномётов, несколько складов с боеприпасами и другие трофеи.</w:t>
      </w:r>
    </w:p>
    <w:p w14:paraId="727D88B9"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воины проявляют самоотверженность и героизм в борьбе с противником. Гвардии сержант Кайжанов под огнём финнов подполз к вражескому дзоту и гранатами подорвал его. В этот же день т. Кайжанов заменил выбывшего из строя командира взвода и, командуя взводом, успешно выполнил поставленную перед ним задачу. Сапёр-разведчик ефрейтор Никита Ефимов обнаружил в одной землянке трёх финских солдат, обезоружил их и захватил в плен. Сержанты Фирсов, Михайлов и рядовой Ковальчук внезапно напали на группу вражеских автоматчиков. Три советских разведчика уничтожили 15 финнов, а двух захватили в плен.</w:t>
      </w:r>
    </w:p>
    <w:p w14:paraId="54F31C9D"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Витебск активно действуют снайперы Н-ской части. Снайперы Петр Данилов и Сергей Тимофеев заняли позицию недалеко от участка, где немцы ночью строили укрепления. Рано утром, закончив работу, гитлеровцы стали по одному пробираться в блиндаж, расположенный за высотой. Пересекая лощину, они попали под огонь советских бойцов. Снайперы т.т. Данилов в Тимофеев в это утро уничтожили 10 немцев.</w:t>
      </w:r>
    </w:p>
    <w:p w14:paraId="0D9D932C"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Красноармеец т. Буланов огнём из винтовки сбил немецкий самолёт «Хеншель-126».</w:t>
      </w:r>
    </w:p>
    <w:p w14:paraId="7123B42E"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Два наших бронекатера под командованием лейтенанта Смирнова и лейтенанта Волкотруба, находясь в дозоре на Чудском озере, обнаружили четыре немецких катера. Советские моряки атаковали противника. Бронекатер лейтенанта Смирнова нанёс катеру противника таранный удар и потопил его. Другому немецкому катеру причинены серьёзные повреждения. Наши катера без потерь и повреждений вернулись на свою базу.</w:t>
      </w:r>
    </w:p>
    <w:p w14:paraId="01C44792"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Рижском заливе самолётом-торпедоносцем Балтийского флота потоплен немецкий транспорт водоизмещением в две тысячи тонн.</w:t>
      </w:r>
    </w:p>
    <w:p w14:paraId="61FA4D15"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Несколько литовских партизанских отрядов за две недели пустили под откос 8 немецких эшелонов с войсками и вооружением. Кроме того, советские патриоты в боях с немцами истребили 160 вражеских солдат и офицеров. Партизанские отряды «Дайнавос партизанас» и имени Костаса Калинаускаса разгромили два немецких гарнизона и захватали трофеи.</w:t>
      </w:r>
    </w:p>
    <w:p w14:paraId="5A6BFC71"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Взятые за последнее время в плен немецкие солдаты сообщают об упадке дисциплины в немецко-фашистской армии. Пленный солдат сапёрного батальона 206 немецкой пехотной дивизии Алберт Биниас рассказал: «Командир 3 батальона 301 полка Фехтнер выслал разведывательную группу и приказал ей захватить в плен русского наблюдателя и взорвать блиндаж. Два раза разведчики возвращались назад ни с чем. В третий раз они наткнулись на русское минное поле. Несколько человек было убито. Остальные побоялись идти дальше. Чтобы не навлечь на себя гнев начальства, разведчики сложили в кучу свои мины и подорвали их. Возвратившись в часть, они доложили, что блиндаж взорван, а русский наблюдатель, оказавший сопротивление, якобы убит. Командир полка наградил железными крестами II степени командира разведывательной группы унтер-офицера Шварца, ефрейтора Птака и старшего ефрейтора Дрейера. Вскоре, однако, обман был обнаружен, и унтер-офицера Шварца арестовали».</w:t>
      </w:r>
    </w:p>
    <w:p w14:paraId="7BC05569"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Перебежчик из 23 танкового полка Карл Н. показал: «Прежде солдаты добровольно шли в разведку, а теперь таких охотников нет. Недавно за отказ идти в разведку были расстреляны солдаты 4 роты Георг Дан и Антон Гуммель».</w:t>
      </w:r>
    </w:p>
    <w:p w14:paraId="1C999F99"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ефрейтор 6 роты 105 немецкого полка Вальтер Кальц сообщил: «Две группы солдат нашей роты получили приказ захватить пленных. Меня назначили в группу унтер-офицера Шафрада. На полдороге русские обстреляли нас, и мы вернулись назад. Командир роты пригрозил унтер-офицеру, что отдаст его под суд за трусость, если он в следующую ночь не захватит пленного. Вторая вылазка кончилась для нас ещё печальнее, чем первая. Унтер-офицер Шафрад подорвался на мине, обер-ефрейтор Венцель был убит, несколько солдат получило ранения, а солдат Крайз пропал бег вести. Когда мы вернулись, командир роты осыпал нас грубой бранью и заявил: «Пока вы не приведёте мне пленного, я вас буду каждый день гонять в разведку». В конце концов русские уничтожили всю нашу разведгруппу, а меня и моего товарища взяли в плен» (14924).</w:t>
      </w:r>
    </w:p>
    <w:p w14:paraId="4C8C6D33"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42461558" w14:textId="3E78C5FD" w:rsidR="00A3754D" w:rsidRPr="00070ADE" w:rsidRDefault="00A3754D" w:rsidP="00B56F90">
      <w:pPr>
        <w:pStyle w:val="ae"/>
        <w:spacing w:before="0" w:after="0"/>
        <w:jc w:val="both"/>
        <w:textAlignment w:val="baseline"/>
        <w:rPr>
          <w:color w:val="000000" w:themeColor="text1"/>
          <w:sz w:val="16"/>
          <w:szCs w:val="16"/>
        </w:rPr>
      </w:pPr>
      <w:r w:rsidRPr="00070ADE">
        <w:rPr>
          <w:color w:val="000000" w:themeColor="text1"/>
          <w:sz w:val="16"/>
          <w:szCs w:val="16"/>
        </w:rPr>
        <w:t>16 июня 1944</w:t>
      </w:r>
      <w:r w:rsidR="00B643A8" w:rsidRPr="00070ADE">
        <w:rPr>
          <w:color w:val="000000" w:themeColor="text1"/>
          <w:sz w:val="16"/>
          <w:szCs w:val="16"/>
        </w:rPr>
        <w:t xml:space="preserve"> </w:t>
      </w:r>
      <w:r w:rsidRPr="00070ADE">
        <w:rPr>
          <w:color w:val="000000" w:themeColor="text1"/>
          <w:sz w:val="16"/>
          <w:szCs w:val="16"/>
        </w:rPr>
        <w:t>г. советский самолет-разведчик в 22.00 в районе мыса Нордкин засек очередной крупный немецкий конвой. Ночь была белой, и уже в 1.40 17 июня поступило повторное донесение о его обнаружении. Сначала транспорты безуспешно атаковали подводные лодки М-200 и М-201, а потом за это неблагодарное дело принялась авиация.</w:t>
      </w:r>
    </w:p>
    <w:p w14:paraId="15ADA651" w14:textId="77777777" w:rsidR="00A3754D" w:rsidRPr="00070ADE" w:rsidRDefault="00A3754D" w:rsidP="00B56F90">
      <w:pPr>
        <w:pStyle w:val="ae"/>
        <w:spacing w:before="0" w:after="0"/>
        <w:jc w:val="both"/>
        <w:textAlignment w:val="baseline"/>
        <w:rPr>
          <w:color w:val="000000" w:themeColor="text1"/>
          <w:sz w:val="16"/>
          <w:szCs w:val="16"/>
        </w:rPr>
      </w:pPr>
      <w:r w:rsidRPr="00070ADE">
        <w:rPr>
          <w:color w:val="000000" w:themeColor="text1"/>
          <w:sz w:val="16"/>
          <w:szCs w:val="16"/>
        </w:rPr>
        <w:t>Первыми в 8.54 на корабли сбросили 100-кг бомбы самолеты Р-40 из 27-го иап, потом — шестерка Ил-2 из 46-го шап. Затем в 9.04 южнее мыса Кибергнес появились еще шесть штурмовиков, а последняя атака «горбатых» на конвой была зафиксирована в 9.07. По возвращении на базу пилоты доложили о потопленном тральщике, но на самом деле все удары снова завершились ничем. Лишь торпедоносцам A-20J из 9-го гв. мтап удалось потопить транспорт «Дихси» тоннажем 1670 брт.]</w:t>
      </w:r>
    </w:p>
    <w:p w14:paraId="41D220A1" w14:textId="77777777" w:rsidR="00A3754D" w:rsidRPr="00070ADE" w:rsidRDefault="00A3754D" w:rsidP="00B56F90">
      <w:pPr>
        <w:pStyle w:val="ae"/>
        <w:spacing w:before="0" w:after="0"/>
        <w:jc w:val="both"/>
        <w:textAlignment w:val="baseline"/>
        <w:rPr>
          <w:color w:val="000000" w:themeColor="text1"/>
          <w:sz w:val="16"/>
          <w:szCs w:val="16"/>
        </w:rPr>
      </w:pPr>
      <w:r w:rsidRPr="00070ADE">
        <w:rPr>
          <w:color w:val="000000" w:themeColor="text1"/>
          <w:sz w:val="16"/>
          <w:szCs w:val="16"/>
        </w:rPr>
        <w:t>Это была последняя крупная операция ВВС Северного флота с привлечением штурмовиков Ил-2. Таким образом, пилотам Илов и на Баренцевом море не удалось потопить ни одного более или менее крупного вражеского судна.</w:t>
      </w:r>
    </w:p>
    <w:p w14:paraId="353AAAF6" w14:textId="77777777" w:rsidR="00A3754D" w:rsidRPr="00070ADE" w:rsidRDefault="00A3754D" w:rsidP="00B56F90">
      <w:pPr>
        <w:pStyle w:val="ae"/>
        <w:spacing w:before="0" w:after="0"/>
        <w:jc w:val="both"/>
        <w:textAlignment w:val="baseline"/>
        <w:rPr>
          <w:color w:val="000000" w:themeColor="text1"/>
          <w:sz w:val="16"/>
          <w:szCs w:val="16"/>
        </w:rPr>
      </w:pPr>
      <w:r w:rsidRPr="00070ADE">
        <w:rPr>
          <w:color w:val="000000" w:themeColor="text1"/>
          <w:sz w:val="16"/>
          <w:szCs w:val="16"/>
        </w:rPr>
        <w:t>Так в чем же были общие причины неэффективного использования Ил-2 против морских целей? Ведь корабли, действительно потопленные флотскими штурмовиками за все время войны, можно пересчитать по пальцам.</w:t>
      </w:r>
    </w:p>
    <w:p w14:paraId="26BD7D7B" w14:textId="77777777" w:rsidR="00A3754D" w:rsidRPr="00070ADE" w:rsidRDefault="00A3754D" w:rsidP="00B56F90">
      <w:pPr>
        <w:pStyle w:val="ae"/>
        <w:spacing w:before="0" w:after="0"/>
        <w:jc w:val="both"/>
        <w:textAlignment w:val="baseline"/>
        <w:rPr>
          <w:color w:val="000000" w:themeColor="text1"/>
          <w:sz w:val="16"/>
          <w:szCs w:val="16"/>
        </w:rPr>
      </w:pPr>
      <w:r w:rsidRPr="00070ADE">
        <w:rPr>
          <w:color w:val="000000" w:themeColor="text1"/>
          <w:sz w:val="16"/>
          <w:szCs w:val="16"/>
        </w:rPr>
        <w:t>Главная из них проста и банальна. Штурмовик имел слишком маленькую бомбовую нагрузку. В лучшем случае самолет мог поднять 250-кг бомбу, которой возможно было потопить только сравнительно небольшое небронированное судно, да и то при большой удаче.</w:t>
      </w:r>
    </w:p>
    <w:p w14:paraId="4E83908E" w14:textId="77777777" w:rsidR="00A3754D" w:rsidRPr="00070ADE" w:rsidRDefault="00A3754D" w:rsidP="00B56F90">
      <w:pPr>
        <w:pStyle w:val="ae"/>
        <w:spacing w:before="0" w:after="0"/>
        <w:jc w:val="both"/>
        <w:textAlignment w:val="baseline"/>
        <w:rPr>
          <w:color w:val="000000" w:themeColor="text1"/>
          <w:sz w:val="16"/>
          <w:szCs w:val="16"/>
        </w:rPr>
      </w:pPr>
      <w:r w:rsidRPr="00070ADE">
        <w:rPr>
          <w:color w:val="000000" w:themeColor="text1"/>
          <w:sz w:val="16"/>
          <w:szCs w:val="16"/>
        </w:rPr>
        <w:t>Во-вторых, как тоже уже было указано, «черная смерть» не могла пикировать под большими углами, что было необходимым условием для успешных атак таких точечных и движущихся целей, каковыми являлись корабли.</w:t>
      </w:r>
    </w:p>
    <w:p w14:paraId="284D6C42" w14:textId="77777777" w:rsidR="00A3754D" w:rsidRPr="00070ADE" w:rsidRDefault="00A3754D" w:rsidP="00B56F90">
      <w:pPr>
        <w:pStyle w:val="ae"/>
        <w:spacing w:before="0" w:after="0"/>
        <w:jc w:val="both"/>
        <w:textAlignment w:val="baseline"/>
        <w:rPr>
          <w:color w:val="000000" w:themeColor="text1"/>
          <w:sz w:val="16"/>
          <w:szCs w:val="16"/>
        </w:rPr>
      </w:pPr>
      <w:r w:rsidRPr="00070ADE">
        <w:rPr>
          <w:color w:val="000000" w:themeColor="text1"/>
          <w:sz w:val="16"/>
          <w:szCs w:val="16"/>
        </w:rPr>
        <w:t>В-третьих, невозможность пикирования под большими углами, в свою очередь, приводила к тому, что при атаке конвоев с малой высоты и пологого пикирования штурмовики уже на подходе к цели попадали под сосредоточенный огонь корабельной зенитной артиллерии и несли большие потери.</w:t>
      </w:r>
    </w:p>
    <w:p w14:paraId="3D3EDD32" w14:textId="1E6464E7" w:rsidR="00A3754D" w:rsidRPr="00070ADE" w:rsidRDefault="00A3754D" w:rsidP="00B56F90">
      <w:pPr>
        <w:pStyle w:val="ae"/>
        <w:spacing w:before="0" w:after="0"/>
        <w:jc w:val="both"/>
        <w:textAlignment w:val="baseline"/>
        <w:rPr>
          <w:color w:val="000000" w:themeColor="text1"/>
          <w:sz w:val="16"/>
          <w:szCs w:val="16"/>
        </w:rPr>
      </w:pPr>
      <w:r w:rsidRPr="00070ADE">
        <w:rPr>
          <w:color w:val="000000" w:themeColor="text1"/>
          <w:sz w:val="16"/>
          <w:szCs w:val="16"/>
        </w:rPr>
        <w:t>В-четвертых, Ил-2 из-за недостаточного радиуса действий с полной боевой нагрузкой могли атаковать цели фактически только в прибрежных водах. Для поиска же кораблей в открытом море им требовался дополнительный запас топлива. Лишь в сентябре 1944</w:t>
      </w:r>
      <w:r w:rsidR="00B643A8" w:rsidRPr="00070ADE">
        <w:rPr>
          <w:color w:val="000000" w:themeColor="text1"/>
          <w:sz w:val="16"/>
          <w:szCs w:val="16"/>
        </w:rPr>
        <w:t xml:space="preserve"> </w:t>
      </w:r>
      <w:r w:rsidRPr="00070ADE">
        <w:rPr>
          <w:color w:val="000000" w:themeColor="text1"/>
          <w:sz w:val="16"/>
          <w:szCs w:val="16"/>
        </w:rPr>
        <w:t>г. в</w:t>
      </w:r>
      <w:r w:rsidR="00B643A8" w:rsidRPr="00070ADE">
        <w:rPr>
          <w:color w:val="000000" w:themeColor="text1"/>
          <w:sz w:val="16"/>
          <w:szCs w:val="16"/>
        </w:rPr>
        <w:t xml:space="preserve"> </w:t>
      </w:r>
      <w:r w:rsidRPr="00070ADE">
        <w:rPr>
          <w:color w:val="000000" w:themeColor="text1"/>
          <w:sz w:val="16"/>
          <w:szCs w:val="16"/>
        </w:rPr>
        <w:t>11-й шад ВВС КБФ впервые начали использовать дополнительные топливные баки, подвешивавшиеся под центропланом.</w:t>
      </w:r>
    </w:p>
    <w:p w14:paraId="2FB88A00" w14:textId="77777777" w:rsidR="00A3754D" w:rsidRPr="00070ADE" w:rsidRDefault="00A3754D" w:rsidP="00B56F90">
      <w:pPr>
        <w:pStyle w:val="ae"/>
        <w:spacing w:before="0" w:after="0"/>
        <w:jc w:val="both"/>
        <w:textAlignment w:val="baseline"/>
        <w:rPr>
          <w:color w:val="000000" w:themeColor="text1"/>
          <w:sz w:val="16"/>
          <w:szCs w:val="16"/>
        </w:rPr>
      </w:pPr>
      <w:r w:rsidRPr="00070ADE">
        <w:rPr>
          <w:color w:val="000000" w:themeColor="text1"/>
          <w:sz w:val="16"/>
          <w:szCs w:val="16"/>
        </w:rPr>
        <w:t>Ну и, в-пятых, на общей результативности воздушных атак Ил-2 сказывалась элементарная нехватка целей, так как военный и транспортный флот Третьего рейха использовался в весьма ограниченных масштабах в войне против СССР (19522).</w:t>
      </w:r>
    </w:p>
    <w:p w14:paraId="5592FCBD" w14:textId="77777777" w:rsidR="00A3754D" w:rsidRPr="00070ADE" w:rsidRDefault="00A3754D" w:rsidP="00B56F90">
      <w:pPr>
        <w:pStyle w:val="ae"/>
        <w:spacing w:before="0" w:after="0"/>
        <w:jc w:val="both"/>
        <w:textAlignment w:val="baseline"/>
        <w:rPr>
          <w:b/>
          <w:bCs/>
          <w:color w:val="000000" w:themeColor="text1"/>
          <w:sz w:val="16"/>
          <w:szCs w:val="16"/>
        </w:rPr>
      </w:pPr>
    </w:p>
    <w:p w14:paraId="3CDA0D81" w14:textId="176EEB93" w:rsidR="00AC5DD0" w:rsidRPr="00070ADE" w:rsidRDefault="00AC5D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июня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советский самолет</w:t>
      </w:r>
      <w:r w:rsidRPr="00070ADE">
        <w:rPr>
          <w:rFonts w:ascii="Times New Roman" w:hAnsi="Times New Roman"/>
          <w:color w:val="000000" w:themeColor="text1"/>
          <w:sz w:val="16"/>
          <w:szCs w:val="16"/>
        </w:rPr>
        <w:noBreakHyphen/>
        <w:t>разведчик в 22.00 в районе мыса Нордкин засек очередной крупный немецкий конвой. Ночь была белой, и уже в 1.40 17 июня поступило повторное донесение о его обнаружении. Сначала транспорты безуспешно атаковали подводные лодки М</w:t>
      </w:r>
      <w:r w:rsidRPr="00070ADE">
        <w:rPr>
          <w:rFonts w:ascii="Times New Roman" w:hAnsi="Times New Roman"/>
          <w:color w:val="000000" w:themeColor="text1"/>
          <w:sz w:val="16"/>
          <w:szCs w:val="16"/>
        </w:rPr>
        <w:noBreakHyphen/>
        <w:t>200 и М</w:t>
      </w:r>
      <w:r w:rsidRPr="00070ADE">
        <w:rPr>
          <w:rFonts w:ascii="Times New Roman" w:hAnsi="Times New Roman"/>
          <w:color w:val="000000" w:themeColor="text1"/>
          <w:sz w:val="16"/>
          <w:szCs w:val="16"/>
        </w:rPr>
        <w:noBreakHyphen/>
        <w:t>201, а потом за это неблагодарное дело принялась авиация.</w:t>
      </w:r>
    </w:p>
    <w:p w14:paraId="1444ECCD" w14:textId="77777777" w:rsidR="00AC5DD0" w:rsidRPr="00070ADE" w:rsidRDefault="00AC5DD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Первыми в 8.54 на корабли сбросили 100</w:t>
      </w:r>
      <w:r w:rsidRPr="00070ADE">
        <w:rPr>
          <w:rFonts w:ascii="Times New Roman" w:hAnsi="Times New Roman"/>
          <w:color w:val="000000" w:themeColor="text1"/>
          <w:sz w:val="16"/>
          <w:szCs w:val="16"/>
        </w:rPr>
        <w:noBreakHyphen/>
        <w:t>кг бомбы самолеты Р</w:t>
      </w:r>
      <w:r w:rsidRPr="00070ADE">
        <w:rPr>
          <w:rFonts w:ascii="Times New Roman" w:hAnsi="Times New Roman"/>
          <w:color w:val="000000" w:themeColor="text1"/>
          <w:sz w:val="16"/>
          <w:szCs w:val="16"/>
        </w:rPr>
        <w:noBreakHyphen/>
        <w:t>40 из 27</w:t>
      </w:r>
      <w:r w:rsidRPr="00070ADE">
        <w:rPr>
          <w:rFonts w:ascii="Times New Roman" w:hAnsi="Times New Roman"/>
          <w:color w:val="000000" w:themeColor="text1"/>
          <w:sz w:val="16"/>
          <w:szCs w:val="16"/>
        </w:rPr>
        <w:noBreakHyphen/>
        <w:t>го иап, потом – шестерка Ил</w:t>
      </w:r>
      <w:r w:rsidRPr="00070ADE">
        <w:rPr>
          <w:rFonts w:ascii="Times New Roman" w:hAnsi="Times New Roman"/>
          <w:color w:val="000000" w:themeColor="text1"/>
          <w:sz w:val="16"/>
          <w:szCs w:val="16"/>
        </w:rPr>
        <w:noBreakHyphen/>
        <w:t>2 из 46</w:t>
      </w:r>
      <w:r w:rsidRPr="00070ADE">
        <w:rPr>
          <w:rFonts w:ascii="Times New Roman" w:hAnsi="Times New Roman"/>
          <w:color w:val="000000" w:themeColor="text1"/>
          <w:sz w:val="16"/>
          <w:szCs w:val="16"/>
        </w:rPr>
        <w:noBreakHyphen/>
        <w:t>го шап. Затем в 9.04 южнее мыса Кибергнес появились еще шесть штурмовиков, а последняя атака «горбатых» на конвой была зафиксирована в 9.07. По возвращении на базу пилоты доложили о потопленном тральщике, но на самом деле все удары снова завершились ничем. Лишь торпедоносцам A</w:t>
      </w:r>
      <w:r w:rsidRPr="00070ADE">
        <w:rPr>
          <w:rFonts w:ascii="Times New Roman" w:hAnsi="Times New Roman"/>
          <w:color w:val="000000" w:themeColor="text1"/>
          <w:sz w:val="16"/>
          <w:szCs w:val="16"/>
        </w:rPr>
        <w:noBreakHyphen/>
        <w:t>20J из 9</w:t>
      </w:r>
      <w:r w:rsidRPr="00070ADE">
        <w:rPr>
          <w:rFonts w:ascii="Times New Roman" w:hAnsi="Times New Roman"/>
          <w:color w:val="000000" w:themeColor="text1"/>
          <w:sz w:val="16"/>
          <w:szCs w:val="16"/>
        </w:rPr>
        <w:noBreakHyphen/>
        <w:t>го гв. мтап удалось потопить транспорт «Дихси» тоннажем 1670 брт (23199).</w:t>
      </w:r>
    </w:p>
    <w:p w14:paraId="333D2D45" w14:textId="77777777" w:rsidR="00AC5DD0" w:rsidRPr="00070ADE" w:rsidRDefault="00AC5DD0" w:rsidP="00B56F90">
      <w:pPr>
        <w:spacing w:after="0" w:line="240" w:lineRule="auto"/>
        <w:jc w:val="both"/>
        <w:rPr>
          <w:rFonts w:ascii="Times New Roman" w:hAnsi="Times New Roman"/>
          <w:color w:val="000000" w:themeColor="text1"/>
          <w:sz w:val="16"/>
          <w:szCs w:val="16"/>
        </w:rPr>
      </w:pPr>
    </w:p>
    <w:p w14:paraId="02F6B73B"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16 июня</w:t>
      </w:r>
      <w:r w:rsidRPr="00070ADE">
        <w:rPr>
          <w:rFonts w:ascii="Times New Roman" w:hAnsi="Times New Roman"/>
          <w:color w:val="000000" w:themeColor="text1"/>
          <w:sz w:val="16"/>
          <w:szCs w:val="16"/>
        </w:rPr>
        <w:t xml:space="preserve"> в 1944 году самая крупная победа советской морской авиации во второй мировой войне. Потоплен крейсер ПВО «Ниобе» (бывший «Gelderland») (14924).</w:t>
      </w:r>
    </w:p>
    <w:p w14:paraId="4DDFFA5F"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2494E13D"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16 июня</w:t>
      </w:r>
      <w:r w:rsidRPr="00070ADE">
        <w:rPr>
          <w:rFonts w:ascii="Times New Roman" w:hAnsi="Times New Roman"/>
          <w:color w:val="000000" w:themeColor="text1"/>
          <w:sz w:val="16"/>
          <w:szCs w:val="16"/>
        </w:rPr>
        <w:t xml:space="preserve"> в 1944 году на Карельском перешейке наши войска с боями заняли более 100 населенных пунктов, в том числе Юккола, Иорола, Мастерярви, Пийспала, Путрола, Лейслиля, Усикиркко, Харью, Лоунатйоки, Хетселя, Лийкола, Большие и Малые Киркиамяки, Большое Кайдалово, Алиска, Корле, Хатаккала, Иоентаус, Саройнен, Таппари и железнодорожные станции Каннельярви, Лоунатйоки, Мастерярви, Япиля. На других участках фронта — без перемен (14924).</w:t>
      </w:r>
    </w:p>
    <w:p w14:paraId="7E9199A7"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1C53507E"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16 июня 1944 г. командир 19-го истребительного авиационного полка, переименованного в 176-й гвардейский ИАП полковник П.С. Чупиков, получил в Москве первый Ла-7. Этот полк также был известен как «маршальский». Часть сформировали по личному указанию Главного маршала авиации Новикова, в полк отбирали самых опытных летчиков-истребителей, асов. Полк предназначался для усиления истребительной авиации на наиболее опасных участках Восточного фронта.</w:t>
      </w:r>
    </w:p>
    <w:p w14:paraId="4343BAE7"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Первый бой на новой технике летчики полка провели 24 июня 1944 г. В схватке над Барановичами с десятью Fw-190 гвардейцы сбили без потерь со своей стороны два самолета противника. Победу одержали Андрей Яковлевич Баклан и Владимир Петров. Вполне возможно, что это были вообще первые победы, одержанные на Ла-7. Очередной воздушной бой произошел 7 июля 1944 г. также в районе Барановичей. Две пары Ла-7 в ходе полета на «свободную охоту» перехватили два Bf 109, в завязавшейся схватке летчик Виктор Ильич Александрюк сбил один мессершмитт. 22 сентября И.Н. Кожедуб в паре с Шараповым вылетел на прикрытие речной переправы между населенными пунктами Рамейки и Даксти. На удалении 10–15 км от переправы советские летчики обнаружили шедшие на высоте 3000 м две группы, четверку и восьмерку, Fw-190. Кожедуб стремительно атаковал крайнюю левую пару фокке-вульфов и открыл огонь с дистанции 150 м. Немецкий самолет успел сбросить бомбы, после чего перешел в беспорядочное падение и столкнулся с землей в 15 километрах от деревни Стрельцы. Остальные фокке-вульфы моментально освободились от бомбовой нагрузки и повернули назад. В одном из последующих боевых вылетов на прикрытие переправы Кожедуб обнаружил шестерку Fw-190 на высоте 1500 м. На этот раз атаке подвергся ведущий группы немецких истребителей-бомбардировщиков. Короткая очередь с дистанции 150 м, выпущенная из пушек Лавочкина, поставила точку в боевой карьере пилота люфтваффе. Фокке-вульф упал в 8 км от переправы. На обратном пути самолеты Кожедуба и его ведомого попали под обстрел зениток, Ла-7 ведомого получил повреждения. На следующий день, 23 сентября, четверка Ла-7 под командованием А. Баклана провела воздушный бой в районе Валмиеры; Савин, Александрюк и Васько сбили по одному фокке-вульфу, Баклан повредил один немецкий самолет, который волоча за собой шлейф дыма скрылся в направлении Риги. В октябре все истребители 176-го полка были оснащены фотокино-пулеметами (25058).</w:t>
      </w:r>
    </w:p>
    <w:p w14:paraId="1866148D" w14:textId="77777777" w:rsidR="00BA3A2B" w:rsidRPr="00C94B78" w:rsidRDefault="00BA3A2B" w:rsidP="00B56F90">
      <w:pPr>
        <w:spacing w:after="0" w:line="240" w:lineRule="auto"/>
        <w:jc w:val="both"/>
        <w:rPr>
          <w:rFonts w:ascii="Times New Roman" w:hAnsi="Times New Roman"/>
          <w:color w:val="0070C0"/>
          <w:sz w:val="16"/>
          <w:szCs w:val="16"/>
        </w:rPr>
      </w:pPr>
    </w:p>
    <w:p w14:paraId="32C09A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июня 1944 Ворожейкин докладывал И.В.С, что 15 июня было сбито два Лайтнинга, которые опробовали челночный маршрут, заблудились и были повреждены - один истребителями, а второй - зенитками. Сели на вынужденную, а 16 и 17 перелетели в Полтаву (1364,41).</w:t>
      </w:r>
    </w:p>
    <w:p w14:paraId="21E94E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7958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16 июня 1944 в Советский Союз прилетели 24 л/лодки PBI-1 Номад из 25. Один "Номад", подполковника Н.В.Романова, на борту которого находились Васильев и флаг-штурман Мосцепан, пропал без вести. До 28 июня советские и английские самолеты искали эту машину, но безуспешно. После гибели Васильева группу перегонщиков возглавил полковник М.Н. Чибисов, а непосредственно перегонкой руководил Н.Ф.Пискарев (3457,127).</w:t>
      </w:r>
    </w:p>
    <w:p w14:paraId="603B04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2416D7" w14:textId="77777777" w:rsidR="00262E37" w:rsidRPr="00070ADE" w:rsidRDefault="00262E37"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16 июня 1944 года 260-й гвардейский тяжелый танковый полк получил 6 «Черчиллей», которые использовал в ходе боев за Выборг. В сентябре 1944 года 82-й танковый полк, имевший в своем составе 10 «Черчиллей» и 11 КВ-1с, участвовал в освобождении Таллина. К 1 января 1945 года в войсках еще имелось 63 танка данного типа, из которых 9 было потеряно в течение оставшихся месяцев войны. К 1 июня в Красной армии оставалось 54 «Черчилля», но в действующих частях их было всего 3 штуки (17691).</w:t>
      </w:r>
    </w:p>
    <w:p w14:paraId="2A8D1DE2" w14:textId="77777777" w:rsidR="00262E37" w:rsidRPr="00070ADE" w:rsidRDefault="00262E37" w:rsidP="00B56F90">
      <w:pPr>
        <w:spacing w:after="0" w:line="240" w:lineRule="auto"/>
        <w:jc w:val="both"/>
        <w:rPr>
          <w:rFonts w:ascii="Times New Roman" w:eastAsia="Times New Roman" w:hAnsi="Times New Roman"/>
          <w:color w:val="000000" w:themeColor="text1"/>
          <w:sz w:val="16"/>
          <w:szCs w:val="16"/>
          <w:lang w:eastAsia="ru-RU"/>
        </w:rPr>
      </w:pPr>
    </w:p>
    <w:p w14:paraId="02C0308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2212AB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4BE10B"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lastRenderedPageBreak/>
        <w:t>16 июня</w:t>
      </w:r>
      <w:r w:rsidRPr="00070ADE">
        <w:rPr>
          <w:rFonts w:ascii="Times New Roman" w:hAnsi="Times New Roman"/>
          <w:color w:val="000000" w:themeColor="text1"/>
          <w:sz w:val="16"/>
          <w:szCs w:val="16"/>
        </w:rPr>
        <w:t xml:space="preserve"> в 1944 году на Лондон был выпущен первый самолет-снаряд «Фау-1» (14924).</w:t>
      </w:r>
    </w:p>
    <w:p w14:paraId="170542E8"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3FE484F0" w14:textId="77777777" w:rsidR="00C26F43" w:rsidRPr="00070ADE" w:rsidRDefault="00C26F4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июня 1944 года 294 самолета- снаряда вылетели в Лондон. Эффект применения этих ракет, тут же на</w:t>
      </w:r>
      <w:r w:rsidRPr="00070ADE">
        <w:rPr>
          <w:rFonts w:ascii="Times New Roman" w:hAnsi="Times New Roman"/>
          <w:color w:val="000000" w:themeColor="text1"/>
          <w:sz w:val="16"/>
          <w:szCs w:val="16"/>
        </w:rPr>
        <w:softHyphen/>
        <w:t>званных “Фау-1”, был невелик: они редко попадали в цель, их было лег</w:t>
      </w:r>
      <w:r w:rsidRPr="00070ADE">
        <w:rPr>
          <w:rFonts w:ascii="Times New Roman" w:hAnsi="Times New Roman"/>
          <w:color w:val="000000" w:themeColor="text1"/>
          <w:sz w:val="16"/>
          <w:szCs w:val="16"/>
        </w:rPr>
        <w:softHyphen/>
        <w:t>ко сбить. Сильнее оказалось психо</w:t>
      </w:r>
      <w:r w:rsidRPr="00070ADE">
        <w:rPr>
          <w:rFonts w:ascii="Times New Roman" w:hAnsi="Times New Roman"/>
          <w:color w:val="000000" w:themeColor="text1"/>
          <w:sz w:val="16"/>
          <w:szCs w:val="16"/>
        </w:rPr>
        <w:softHyphen/>
        <w:t>логическое воздействие: ведь теперь о бомбардировке нельзя было узнать заранее, и от нее не спасали ни об</w:t>
      </w:r>
      <w:r w:rsidRPr="00070ADE">
        <w:rPr>
          <w:rFonts w:ascii="Times New Roman" w:hAnsi="Times New Roman"/>
          <w:color w:val="000000" w:themeColor="text1"/>
          <w:sz w:val="16"/>
          <w:szCs w:val="16"/>
        </w:rPr>
        <w:softHyphen/>
        <w:t>лачность, ни маскировка. Скоро, од</w:t>
      </w:r>
      <w:r w:rsidRPr="00070ADE">
        <w:rPr>
          <w:rFonts w:ascii="Times New Roman" w:hAnsi="Times New Roman"/>
          <w:color w:val="000000" w:themeColor="text1"/>
          <w:sz w:val="16"/>
          <w:szCs w:val="16"/>
        </w:rPr>
        <w:softHyphen/>
        <w:t>нако, английские ученые научились при помощи радиоволн выводить из строя пилотный механизм ракет и за</w:t>
      </w:r>
      <w:r w:rsidRPr="00070ADE">
        <w:rPr>
          <w:rFonts w:ascii="Times New Roman" w:hAnsi="Times New Roman"/>
          <w:color w:val="000000" w:themeColor="text1"/>
          <w:sz w:val="16"/>
          <w:szCs w:val="16"/>
        </w:rPr>
        <w:softHyphen/>
        <w:t>ставлять их падать в море (19630).</w:t>
      </w:r>
    </w:p>
    <w:p w14:paraId="3CCCD00B" w14:textId="77777777" w:rsidR="00C26F43" w:rsidRPr="00070ADE" w:rsidRDefault="00C26F43" w:rsidP="00B56F90">
      <w:pPr>
        <w:spacing w:after="0" w:line="240" w:lineRule="auto"/>
        <w:jc w:val="both"/>
        <w:rPr>
          <w:rFonts w:ascii="Times New Roman" w:hAnsi="Times New Roman"/>
          <w:color w:val="000000" w:themeColor="text1"/>
          <w:sz w:val="16"/>
          <w:szCs w:val="16"/>
        </w:rPr>
      </w:pPr>
    </w:p>
    <w:p w14:paraId="1855FC35" w14:textId="77777777" w:rsidR="009C5E2F" w:rsidRPr="00070ADE" w:rsidRDefault="009C5E2F"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16th, 1944: Another 244 V-1s are launched against London. In Italy, the British Eighth Army (Alexander) approaches Perugia (3819).</w:t>
      </w:r>
    </w:p>
    <w:p w14:paraId="35B9384C" w14:textId="77777777" w:rsidR="009C5E2F" w:rsidRPr="00070ADE" w:rsidRDefault="009C5E2F"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DB19A8C" w14:textId="77777777" w:rsidR="009C5E2F" w:rsidRPr="00070ADE" w:rsidRDefault="009C5E2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июня 1944 по Лондону было выпущено 244 Фау-1 (3819).</w:t>
      </w:r>
    </w:p>
    <w:p w14:paraId="4182A5A8" w14:textId="77777777" w:rsidR="009C5E2F" w:rsidRPr="00070ADE" w:rsidRDefault="009C5E2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0B6B63" w14:textId="77777777" w:rsidR="00FB3A90" w:rsidRPr="00070ADE" w:rsidRDefault="00FB3A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июня 1944 незавершенный итальянский авианосец Aquila поврежден в результате авианалета союзников на Геную (20373).</w:t>
      </w:r>
    </w:p>
    <w:p w14:paraId="6E239253" w14:textId="77777777" w:rsidR="00FB3A90" w:rsidRPr="00070ADE" w:rsidRDefault="00FB3A90" w:rsidP="00B56F90">
      <w:pPr>
        <w:spacing w:after="0" w:line="240" w:lineRule="auto"/>
        <w:jc w:val="both"/>
        <w:rPr>
          <w:rFonts w:ascii="Times New Roman" w:hAnsi="Times New Roman"/>
          <w:color w:val="000000" w:themeColor="text1"/>
          <w:sz w:val="16"/>
          <w:szCs w:val="16"/>
        </w:rPr>
      </w:pPr>
    </w:p>
    <w:p w14:paraId="65B1606D" w14:textId="77777777" w:rsidR="00FB3A90" w:rsidRPr="00070ADE" w:rsidRDefault="00FB3A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июня 1944 ас Люфтваффе Гауптман Йозеф «Зепп» Wurmheller утверждает о последних трех победах, повысив их число до в общей сложности 102 воздушных побед. Он становится 80-м пилотом Люфтваффе, одержавшим 100 побед (20373).</w:t>
      </w:r>
    </w:p>
    <w:p w14:paraId="60CD338D" w14:textId="77777777" w:rsidR="00FB3A90" w:rsidRPr="00070ADE" w:rsidRDefault="00FB3A90" w:rsidP="00B56F90">
      <w:pPr>
        <w:spacing w:after="0" w:line="240" w:lineRule="auto"/>
        <w:jc w:val="both"/>
        <w:rPr>
          <w:rFonts w:ascii="Times New Roman" w:hAnsi="Times New Roman"/>
          <w:color w:val="000000" w:themeColor="text1"/>
          <w:sz w:val="16"/>
          <w:szCs w:val="16"/>
        </w:rPr>
      </w:pPr>
    </w:p>
    <w:p w14:paraId="3B3F8F06" w14:textId="77777777" w:rsidR="00FB3A90" w:rsidRPr="00070ADE" w:rsidRDefault="00FB3A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16–17 июня (ночь) 1944 405 британских бомбардировщиков начали кампанию бомбардировочного командования Королевских ВВС против немецких пусковых площадок летающих бомб Фау-1 с успешных атак на четыре объекта в Па-де-Кале, не потеряв ни одного самолета. Еще 321 бомбардировщики продолжают бомбардировку кампанию против немецкой нефтяной промышленности, нападая на завод синтетического горючего в Оберхаузене, Германия, но сбрасывая бомбы не точно и потеряв 21 бомбардировщик, сбитый немецкими ночных истребителями и 10 от зенитного огня (20373).</w:t>
      </w:r>
    </w:p>
    <w:p w14:paraId="105EBB1D" w14:textId="77777777" w:rsidR="00FB3A90" w:rsidRPr="00070ADE" w:rsidRDefault="00FB3A90" w:rsidP="00B56F90">
      <w:pPr>
        <w:spacing w:after="0" w:line="240" w:lineRule="auto"/>
        <w:jc w:val="both"/>
        <w:rPr>
          <w:rFonts w:ascii="Times New Roman" w:hAnsi="Times New Roman"/>
          <w:color w:val="000000" w:themeColor="text1"/>
          <w:sz w:val="16"/>
          <w:szCs w:val="16"/>
        </w:rPr>
      </w:pPr>
    </w:p>
    <w:p w14:paraId="4C19EBBB" w14:textId="77777777" w:rsidR="00C26F43" w:rsidRPr="00070ADE" w:rsidRDefault="00C26F43" w:rsidP="00B56F90">
      <w:pPr>
        <w:pStyle w:val="115"/>
        <w:shd w:val="clear" w:color="auto" w:fill="auto"/>
        <w:spacing w:after="0" w:line="240" w:lineRule="auto"/>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16 июня 1944 в венгерское воздушное пространство вторглись 658 бомбардировщиков В-24 и В-17 под прикрытием 290 истребите</w:t>
      </w:r>
      <w:r w:rsidRPr="00070ADE">
        <w:rPr>
          <w:rFonts w:ascii="Times New Roman" w:hAnsi="Times New Roman" w:cs="Times New Roman"/>
          <w:color w:val="000000" w:themeColor="text1"/>
          <w:sz w:val="16"/>
          <w:szCs w:val="16"/>
        </w:rPr>
        <w:softHyphen/>
        <w:t>лей. Их цели находились в Австрии и в Чехословакии, но наме</w:t>
      </w:r>
      <w:r w:rsidRPr="00070ADE">
        <w:rPr>
          <w:rFonts w:ascii="Times New Roman" w:hAnsi="Times New Roman" w:cs="Times New Roman"/>
          <w:color w:val="000000" w:themeColor="text1"/>
          <w:sz w:val="16"/>
          <w:szCs w:val="16"/>
        </w:rPr>
        <w:softHyphen/>
        <w:t>рения янки не были известны венгерскому командованию.</w:t>
      </w:r>
    </w:p>
    <w:p w14:paraId="19754CA3" w14:textId="77777777" w:rsidR="00C26F43" w:rsidRPr="00070ADE" w:rsidRDefault="00C26F43" w:rsidP="00B56F90">
      <w:pPr>
        <w:pStyle w:val="115"/>
        <w:shd w:val="clear" w:color="auto" w:fill="auto"/>
        <w:spacing w:after="0" w:line="240" w:lineRule="auto"/>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 xml:space="preserve">В ходе воздушного боя венгерские и немецкие летчики сбили десять В-24, четыре Р-38, один Р-47 и один Р-51. В свою очередь венгры потеряли шесть </w:t>
      </w:r>
      <w:r w:rsidRPr="00070ADE">
        <w:rPr>
          <w:rFonts w:ascii="Times New Roman" w:hAnsi="Times New Roman" w:cs="Times New Roman"/>
          <w:color w:val="000000" w:themeColor="text1"/>
          <w:sz w:val="16"/>
          <w:szCs w:val="16"/>
          <w:lang w:val="en-US"/>
        </w:rPr>
        <w:t>Bf</w:t>
      </w:r>
      <w:r w:rsidRPr="00070ADE">
        <w:rPr>
          <w:rFonts w:ascii="Times New Roman" w:hAnsi="Times New Roman" w:cs="Times New Roman"/>
          <w:color w:val="000000" w:themeColor="text1"/>
          <w:sz w:val="16"/>
          <w:szCs w:val="16"/>
        </w:rPr>
        <w:t xml:space="preserve"> 109. Немецкие потери неизвестны (19083).</w:t>
      </w:r>
    </w:p>
    <w:p w14:paraId="4409CBAD" w14:textId="77777777" w:rsidR="00C26F43" w:rsidRPr="00070ADE" w:rsidRDefault="00C26F43" w:rsidP="00B56F90">
      <w:pPr>
        <w:pStyle w:val="115"/>
        <w:shd w:val="clear" w:color="auto" w:fill="auto"/>
        <w:spacing w:after="0" w:line="240" w:lineRule="auto"/>
        <w:jc w:val="both"/>
        <w:rPr>
          <w:rFonts w:ascii="Times New Roman" w:hAnsi="Times New Roman" w:cs="Times New Roman"/>
          <w:color w:val="000000" w:themeColor="text1"/>
          <w:sz w:val="16"/>
          <w:szCs w:val="16"/>
        </w:rPr>
      </w:pPr>
    </w:p>
    <w:p w14:paraId="46D78A1B" w14:textId="77777777" w:rsidR="00C26F43" w:rsidRPr="00070ADE" w:rsidRDefault="00C26F43" w:rsidP="00B56F90">
      <w:pPr>
        <w:pStyle w:val="115"/>
        <w:shd w:val="clear" w:color="auto" w:fill="auto"/>
        <w:tabs>
          <w:tab w:val="left" w:pos="5074"/>
        </w:tabs>
        <w:spacing w:after="0" w:line="240" w:lineRule="auto"/>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 xml:space="preserve">Утром 16 июня 1944 169 бомбардировщиков В-17 и 489 В-24 из - 15-й воздушной армии, сопровождаемые 290 истребителями, : пересекли венгерскую границу и приблизились к словацкой : границе. Им навстречу поднялись 80 истребителей, в том числе шесть </w:t>
      </w:r>
      <w:r w:rsidRPr="00070ADE">
        <w:rPr>
          <w:rFonts w:ascii="Times New Roman" w:hAnsi="Times New Roman" w:cs="Times New Roman"/>
          <w:color w:val="000000" w:themeColor="text1"/>
          <w:sz w:val="16"/>
          <w:szCs w:val="16"/>
          <w:lang w:val="en-US"/>
        </w:rPr>
        <w:t>Bf</w:t>
      </w:r>
      <w:r w:rsidRPr="00070ADE">
        <w:rPr>
          <w:rFonts w:ascii="Times New Roman" w:hAnsi="Times New Roman" w:cs="Times New Roman"/>
          <w:color w:val="000000" w:themeColor="text1"/>
          <w:sz w:val="16"/>
          <w:szCs w:val="16"/>
        </w:rPr>
        <w:t xml:space="preserve"> 109</w:t>
      </w:r>
      <w:r w:rsidRPr="00070ADE">
        <w:rPr>
          <w:rFonts w:ascii="Times New Roman" w:hAnsi="Times New Roman" w:cs="Times New Roman"/>
          <w:color w:val="000000" w:themeColor="text1"/>
          <w:sz w:val="16"/>
          <w:szCs w:val="16"/>
          <w:lang w:val="en-US"/>
        </w:rPr>
        <w:t>G</w:t>
      </w:r>
      <w:r w:rsidRPr="00070ADE">
        <w:rPr>
          <w:rFonts w:ascii="Times New Roman" w:hAnsi="Times New Roman" w:cs="Times New Roman"/>
          <w:color w:val="000000" w:themeColor="text1"/>
          <w:sz w:val="16"/>
          <w:szCs w:val="16"/>
        </w:rPr>
        <w:t xml:space="preserve"> из 13-й словацкой эскадрильи, вылетевших в 9 ч. 20 мин. с аэродрома Пьештяни, 28 </w:t>
      </w:r>
      <w:r w:rsidRPr="00070ADE">
        <w:rPr>
          <w:rFonts w:ascii="Times New Roman" w:hAnsi="Times New Roman" w:cs="Times New Roman"/>
          <w:color w:val="000000" w:themeColor="text1"/>
          <w:sz w:val="16"/>
          <w:szCs w:val="16"/>
          <w:lang w:val="en-US"/>
        </w:rPr>
        <w:t>Bf</w:t>
      </w:r>
      <w:r w:rsidRPr="00070ADE">
        <w:rPr>
          <w:rFonts w:ascii="Times New Roman" w:hAnsi="Times New Roman" w:cs="Times New Roman"/>
          <w:color w:val="000000" w:themeColor="text1"/>
          <w:sz w:val="16"/>
          <w:szCs w:val="16"/>
        </w:rPr>
        <w:t xml:space="preserve"> 109</w:t>
      </w:r>
      <w:r w:rsidRPr="00070ADE">
        <w:rPr>
          <w:rFonts w:ascii="Times New Roman" w:hAnsi="Times New Roman" w:cs="Times New Roman"/>
          <w:color w:val="000000" w:themeColor="text1"/>
          <w:sz w:val="16"/>
          <w:szCs w:val="16"/>
          <w:lang w:val="en-US"/>
        </w:rPr>
        <w:t>G</w:t>
      </w:r>
      <w:r w:rsidRPr="00070ADE">
        <w:rPr>
          <w:rFonts w:ascii="Times New Roman" w:hAnsi="Times New Roman" w:cs="Times New Roman"/>
          <w:color w:val="000000" w:themeColor="text1"/>
          <w:sz w:val="16"/>
          <w:szCs w:val="16"/>
        </w:rPr>
        <w:t xml:space="preserve"> из венгерской 101-й эскадрильи с аэродрома Веспрем и 46 немецких </w:t>
      </w:r>
      <w:r w:rsidRPr="00070ADE">
        <w:rPr>
          <w:rFonts w:ascii="Times New Roman" w:hAnsi="Times New Roman" w:cs="Times New Roman"/>
          <w:color w:val="000000" w:themeColor="text1"/>
          <w:sz w:val="16"/>
          <w:szCs w:val="16"/>
          <w:lang w:val="en-US"/>
        </w:rPr>
        <w:t>Bf</w:t>
      </w:r>
      <w:r w:rsidRPr="00070ADE">
        <w:rPr>
          <w:rFonts w:ascii="Times New Roman" w:hAnsi="Times New Roman" w:cs="Times New Roman"/>
          <w:color w:val="000000" w:themeColor="text1"/>
          <w:sz w:val="16"/>
          <w:szCs w:val="16"/>
        </w:rPr>
        <w:t xml:space="preserve"> 109</w:t>
      </w:r>
      <w:r w:rsidRPr="00070ADE">
        <w:rPr>
          <w:rFonts w:ascii="Times New Roman" w:hAnsi="Times New Roman" w:cs="Times New Roman"/>
          <w:color w:val="000000" w:themeColor="text1"/>
          <w:sz w:val="16"/>
          <w:szCs w:val="16"/>
          <w:lang w:val="en-US"/>
        </w:rPr>
        <w:t>G</w:t>
      </w:r>
      <w:r w:rsidRPr="00070ADE">
        <w:rPr>
          <w:rFonts w:ascii="Times New Roman" w:hAnsi="Times New Roman" w:cs="Times New Roman"/>
          <w:color w:val="000000" w:themeColor="text1"/>
          <w:sz w:val="16"/>
          <w:szCs w:val="16"/>
        </w:rPr>
        <w:t xml:space="preserve">, </w:t>
      </w:r>
      <w:r w:rsidRPr="00070ADE">
        <w:rPr>
          <w:rFonts w:ascii="Times New Roman" w:hAnsi="Times New Roman" w:cs="Times New Roman"/>
          <w:color w:val="000000" w:themeColor="text1"/>
          <w:sz w:val="16"/>
          <w:szCs w:val="16"/>
          <w:lang w:val="en-US"/>
        </w:rPr>
        <w:t>Fw</w:t>
      </w:r>
      <w:r w:rsidRPr="00070ADE">
        <w:rPr>
          <w:rFonts w:ascii="Times New Roman" w:hAnsi="Times New Roman" w:cs="Times New Roman"/>
          <w:color w:val="000000" w:themeColor="text1"/>
          <w:sz w:val="16"/>
          <w:szCs w:val="16"/>
        </w:rPr>
        <w:t xml:space="preserve"> 190А и </w:t>
      </w:r>
      <w:r w:rsidRPr="00070ADE">
        <w:rPr>
          <w:rFonts w:ascii="Times New Roman" w:hAnsi="Times New Roman" w:cs="Times New Roman"/>
          <w:color w:val="000000" w:themeColor="text1"/>
          <w:sz w:val="16"/>
          <w:szCs w:val="16"/>
          <w:lang w:val="en-US"/>
        </w:rPr>
        <w:t>Me</w:t>
      </w:r>
      <w:r w:rsidRPr="00070ADE">
        <w:rPr>
          <w:rFonts w:ascii="Times New Roman" w:hAnsi="Times New Roman" w:cs="Times New Roman"/>
          <w:color w:val="000000" w:themeColor="text1"/>
          <w:sz w:val="16"/>
          <w:szCs w:val="16"/>
        </w:rPr>
        <w:t xml:space="preserve"> 410, поднявшихся с аэродрома в районе Вены. Между озером Балатон и Братиславой завязался жестокий воздушный бой, в ходе которого венгерские и немецкие истребители сбили 14 «Либерейторов», шесть Р-38, один Р-47 и один Р-51, а сами потеряли 38 самолетов (19083).</w:t>
      </w:r>
    </w:p>
    <w:p w14:paraId="55DA1AFA" w14:textId="77777777" w:rsidR="00C26F43" w:rsidRPr="00070ADE" w:rsidRDefault="00C26F43" w:rsidP="00B56F90">
      <w:pPr>
        <w:pStyle w:val="115"/>
        <w:shd w:val="clear" w:color="auto" w:fill="auto"/>
        <w:spacing w:after="0" w:line="240" w:lineRule="auto"/>
        <w:jc w:val="both"/>
        <w:rPr>
          <w:rFonts w:ascii="Times New Roman" w:hAnsi="Times New Roman" w:cs="Times New Roman"/>
          <w:color w:val="000000" w:themeColor="text1"/>
          <w:sz w:val="16"/>
          <w:szCs w:val="16"/>
        </w:rPr>
      </w:pPr>
    </w:p>
    <w:p w14:paraId="2B49DB9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июня 1944 английский король Георг высадился на берегу Нормандии (4962).</w:t>
      </w:r>
    </w:p>
    <w:p w14:paraId="4B7AD40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23E62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июня 1944 во время обстрела союзниками в Нормандии погиб командир дивизии СС “Гитлер-югенд” (4962).</w:t>
      </w:r>
    </w:p>
    <w:p w14:paraId="7641646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B65F8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июня 1944 у Лиона гестаповцами за участие в Сопротивлении убит французский историк Марк Блох (4962).</w:t>
      </w:r>
    </w:p>
    <w:p w14:paraId="007C4F5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099688" w14:textId="77777777" w:rsidR="00FB3A90" w:rsidRPr="00070ADE" w:rsidRDefault="00FB3A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 июня 1944 54 самолета оперативных групп 58.1 и 58.4 нанесли удар по Иводзиме, заявив, что 63 японских самолета были уничтожены на земле, а один самолет США был потерян. Самолеты другой оперативной группы 58 наносят удары по японским аэродромам на Гуаме и Тиниане, пытаясь нейтрализовать их, но безуспешно из-за сильной противовоздушной обороны (20373).</w:t>
      </w:r>
    </w:p>
    <w:p w14:paraId="20E0A46B" w14:textId="77777777" w:rsidR="00FB3A90" w:rsidRPr="00070ADE" w:rsidRDefault="00FB3A90" w:rsidP="00B56F90">
      <w:pPr>
        <w:spacing w:after="0" w:line="240" w:lineRule="auto"/>
        <w:jc w:val="both"/>
        <w:rPr>
          <w:rFonts w:ascii="Times New Roman" w:hAnsi="Times New Roman"/>
          <w:color w:val="000000" w:themeColor="text1"/>
          <w:sz w:val="16"/>
          <w:szCs w:val="16"/>
        </w:rPr>
      </w:pPr>
    </w:p>
    <w:p w14:paraId="3BFB4E2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2F33B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44BE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Нач. ТО НКАП, нач. ВИАМ Туманов и Зам. нач. ВИАМ, проф. д.т.н. Кишкин писали письмо N 502с Зам. наркома Дементьеву по вопросу о недостаточной живучести броневых корпусов Ил-2:</w:t>
      </w:r>
    </w:p>
    <w:p w14:paraId="405A7F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ГИ ВВС КА г-л тов. Лапин в своем письме от 18 мая N 921607 поставил вопрос о недостаточной живучести броневых корпусов самолета Ил-2. Это заключение опирается на испытания, проведенные в НИИ ВВС КА обстрелом снарядами 15-20 мм одного из бронекорпусов Ил-2.</w:t>
      </w:r>
    </w:p>
    <w:p w14:paraId="6AE29D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своих выводах НИИ ВВС КА оценил живучесть брони Ил-2 как недостаточную и предложил повысить вязкость брони. Сделанные НИИ ВВС КА на основании единичного испытания выводы находятся в противоречии с результатами обследования работы бронекорпусов в боевых условиях.</w:t>
      </w:r>
    </w:p>
    <w:p w14:paraId="12BFE6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текущем году и-м ВВС КА Фридманом совместно со ст. и завода 125 Немчинским, на основе изучения 120 аварийных машин и личного ознакомления с работой Ил-2 в действующей армии, составлен, утвержденный г-м Алексеевым "Отчет о командировке в 17 ВА оперирующую на 3 УФ"</w:t>
      </w:r>
    </w:p>
    <w:p w14:paraId="66F8AC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пар. 2 раздела 3 отчета указывается: "Не отмечено ни одного случая хрупкого разрушения брони в виде осколков, трещин и т.п. в том числе от попадания снарядов". Хотя, как заявляется в отчете, "последние составляли подавляющее большинство" - в выводах отчета говорится: "живучесть брони в отношении хрупких разрушений, трещин, проломов и отколов и т.п. - хорошая". Отсюда следует, что испытания, проведенные в НИИ ВВС КА, не могут считаться исчерпывающими. Заключение о живучести брони должно быть сделано не на основе искусственных условий испытания, а по материалам боевой работы самолетов. В противном случае имеется опасность, что предлагаемое НИИ ВВС КА снижение твердости вызовет ухудшение стойкости против меньших калибров.</w:t>
      </w:r>
    </w:p>
    <w:p w14:paraId="6CF727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Вопрос о взаимодействии бронекорпуса Ил-2 с германскими снарядами калибра 20 мм ВИАМом изучается. Предварительные результаты показывают, что наиболее эффективным средством против снарядов МГ-151 калибра 20 мм является экранированная броня с гомогенным экраном, обеспечивающая как более высокую стойкость, так и лучшую живучесть.</w:t>
      </w:r>
    </w:p>
    <w:p w14:paraId="60A2A5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окончанию работ ее результаты ВИАМом будут Вам немедленно представлены." (1818,10).</w:t>
      </w:r>
    </w:p>
    <w:p w14:paraId="5AAA35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CAEB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Зам. Нач. 12 ГУ НКАП Соколов писал письмо № Д-2/1581 Нач. Главстройстекло НКПСМ т. Емельянову</w:t>
      </w:r>
    </w:p>
    <w:p w14:paraId="59B4315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Копия: Нач. ПГУ НКХП т. Файнштейн:</w:t>
      </w:r>
    </w:p>
    <w:p w14:paraId="70D4C4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проектом постановления ГОКО прошу Ваших указаний директору Стеклозавода им. Горького об изготовлении в июне с.г. по заявке ПГУ НКХП стекол фонаря самолета Ил-10.</w:t>
      </w:r>
    </w:p>
    <w:p w14:paraId="2D8E8D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Чертежи на изготовление стекла будут Вам переданы ПГУ НКХП, разработанные в соответствии с основными чертежами на стекла фонаря №№ Б0430-0, Б0431-0, Б0432-0, Б-044-0, Б-0441-0 и Б-0442-0.</w:t>
      </w:r>
    </w:p>
    <w:p w14:paraId="50E35E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принятых решениях прошу поставить в известность (19532,21).</w:t>
      </w:r>
    </w:p>
    <w:p w14:paraId="3DA64F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965FF65" w14:textId="77777777" w:rsidR="00FB3A90" w:rsidRPr="00070ADE" w:rsidRDefault="00FB3A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17 июня 1944 Су-6 с новым мотором АМ-42 зав. №4277 и крупнокалиберными пушками 11П, замененными пушками ВЯ (240 снарядов) с 9 июня было выполнено 6 полетов (3 ч 55 мин) по про</w:t>
      </w:r>
      <w:r w:rsidRPr="00070ADE">
        <w:rPr>
          <w:rFonts w:ascii="Times New Roman" w:hAnsi="Times New Roman"/>
          <w:color w:val="000000" w:themeColor="text1"/>
          <w:sz w:val="16"/>
          <w:szCs w:val="16"/>
        </w:rPr>
        <w:softHyphen/>
        <w:t>грамме госиспытаний. Летали</w:t>
      </w:r>
      <w:r w:rsidRPr="00070ADE">
        <w:rPr>
          <w:rStyle w:val="9pt80"/>
          <w:rFonts w:ascii="Times New Roman" w:hAnsi="Times New Roman" w:cs="Times New Roman"/>
          <w:i w:val="0"/>
          <w:iCs w:val="0"/>
          <w:color w:val="000000" w:themeColor="text1"/>
          <w:w w:val="100"/>
          <w:sz w:val="16"/>
          <w:szCs w:val="16"/>
        </w:rPr>
        <w:t xml:space="preserve"> «на про</w:t>
      </w:r>
      <w:r w:rsidRPr="00070ADE">
        <w:rPr>
          <w:rStyle w:val="9pt80"/>
          <w:rFonts w:ascii="Times New Roman" w:hAnsi="Times New Roman" w:cs="Times New Roman"/>
          <w:i w:val="0"/>
          <w:iCs w:val="0"/>
          <w:color w:val="000000" w:themeColor="text1"/>
          <w:w w:val="100"/>
          <w:sz w:val="16"/>
          <w:szCs w:val="16"/>
        </w:rPr>
        <w:softHyphen/>
        <w:t>верку работы винтомоторной группы, ки</w:t>
      </w:r>
      <w:r w:rsidRPr="00070ADE">
        <w:rPr>
          <w:rStyle w:val="9pt80"/>
          <w:rFonts w:ascii="Times New Roman" w:hAnsi="Times New Roman" w:cs="Times New Roman"/>
          <w:i w:val="0"/>
          <w:iCs w:val="0"/>
          <w:color w:val="000000" w:themeColor="text1"/>
          <w:w w:val="100"/>
          <w:sz w:val="16"/>
          <w:szCs w:val="16"/>
        </w:rPr>
        <w:softHyphen/>
        <w:t>лометраж, подбор границы высотности и определение дальности радиосвязи».</w:t>
      </w:r>
      <w:r w:rsidRPr="00070ADE">
        <w:rPr>
          <w:rFonts w:ascii="Times New Roman" w:hAnsi="Times New Roman"/>
          <w:color w:val="000000" w:themeColor="text1"/>
          <w:sz w:val="16"/>
          <w:szCs w:val="16"/>
        </w:rPr>
        <w:t xml:space="preserve"> Сум</w:t>
      </w:r>
      <w:r w:rsidRPr="00070ADE">
        <w:rPr>
          <w:rFonts w:ascii="Times New Roman" w:hAnsi="Times New Roman"/>
          <w:color w:val="000000" w:themeColor="text1"/>
          <w:sz w:val="16"/>
          <w:szCs w:val="16"/>
        </w:rPr>
        <w:softHyphen/>
        <w:t>марная наработка мотора составила 18 ч 10 мин, из них 12 ч 30 мин - на стенде на заводе №24.</w:t>
      </w:r>
    </w:p>
    <w:p w14:paraId="6903ADEA" w14:textId="77777777" w:rsidR="00FB3A90" w:rsidRPr="00070ADE" w:rsidRDefault="00FB3A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«новой редакции» работал так же неважно, как и «старый» мотор зав. №4252. Имело место «</w:t>
      </w:r>
      <w:r w:rsidRPr="00070ADE">
        <w:rPr>
          <w:rStyle w:val="9pt80"/>
          <w:rFonts w:ascii="Times New Roman" w:hAnsi="Times New Roman" w:cs="Times New Roman"/>
          <w:i w:val="0"/>
          <w:iCs w:val="0"/>
          <w:color w:val="000000" w:themeColor="text1"/>
          <w:w w:val="100"/>
          <w:sz w:val="16"/>
          <w:szCs w:val="16"/>
        </w:rPr>
        <w:t>выбрасывание боль</w:t>
      </w:r>
      <w:r w:rsidRPr="00070ADE">
        <w:rPr>
          <w:rStyle w:val="9pt80"/>
          <w:rFonts w:ascii="Times New Roman" w:hAnsi="Times New Roman" w:cs="Times New Roman"/>
          <w:i w:val="0"/>
          <w:iCs w:val="0"/>
          <w:color w:val="000000" w:themeColor="text1"/>
          <w:w w:val="100"/>
          <w:sz w:val="16"/>
          <w:szCs w:val="16"/>
        </w:rPr>
        <w:softHyphen/>
        <w:t>шого количества масла»</w:t>
      </w:r>
      <w:r w:rsidRPr="00070ADE">
        <w:rPr>
          <w:rFonts w:ascii="Times New Roman" w:hAnsi="Times New Roman"/>
          <w:color w:val="000000" w:themeColor="text1"/>
          <w:sz w:val="16"/>
          <w:szCs w:val="16"/>
        </w:rPr>
        <w:t xml:space="preserve"> из соединения колонки приводов передних агрегатов с картером мотора, из-под фланцев водомасляного агрегата и других соедине</w:t>
      </w:r>
      <w:r w:rsidRPr="00070ADE">
        <w:rPr>
          <w:rFonts w:ascii="Times New Roman" w:hAnsi="Times New Roman"/>
          <w:color w:val="000000" w:themeColor="text1"/>
          <w:sz w:val="16"/>
          <w:szCs w:val="16"/>
        </w:rPr>
        <w:softHyphen/>
        <w:t>ний мотора, а также ненормальная работа бензопомпы БНК-10</w:t>
      </w:r>
      <w:r w:rsidRPr="00070ADE">
        <w:rPr>
          <w:rStyle w:val="9pt80"/>
          <w:rFonts w:ascii="Times New Roman" w:hAnsi="Times New Roman" w:cs="Times New Roman"/>
          <w:i w:val="0"/>
          <w:iCs w:val="0"/>
          <w:color w:val="000000" w:themeColor="text1"/>
          <w:w w:val="100"/>
          <w:sz w:val="16"/>
          <w:szCs w:val="16"/>
        </w:rPr>
        <w:t xml:space="preserve"> («падение давления бензина при полном открытии дроссель</w:t>
      </w:r>
      <w:r w:rsidRPr="00070ADE">
        <w:rPr>
          <w:rStyle w:val="9pt80"/>
          <w:rFonts w:ascii="Times New Roman" w:hAnsi="Times New Roman" w:cs="Times New Roman"/>
          <w:i w:val="0"/>
          <w:iCs w:val="0"/>
          <w:color w:val="000000" w:themeColor="text1"/>
          <w:w w:val="100"/>
          <w:sz w:val="16"/>
          <w:szCs w:val="16"/>
        </w:rPr>
        <w:softHyphen/>
        <w:t>ной заслонки карбюраторов»),</w:t>
      </w:r>
    </w:p>
    <w:p w14:paraId="4D33DD3F" w14:textId="5AC35D98" w:rsidR="00FB3A90" w:rsidRPr="00070ADE" w:rsidRDefault="00FB3A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 17 июня вновь обнаружился опасный дефект - загорание топливной смеси во всасывающих патрубках. Только теперь в полете. В обоих случаях по</w:t>
      </w:r>
      <w:r w:rsidRPr="00070ADE">
        <w:rPr>
          <w:rFonts w:ascii="Times New Roman" w:hAnsi="Times New Roman"/>
          <w:color w:val="000000" w:themeColor="text1"/>
          <w:sz w:val="16"/>
          <w:szCs w:val="16"/>
        </w:rPr>
        <w:softHyphen/>
        <w:t>жар не привел к аварии или катастрофе только потому, что произошел на плани</w:t>
      </w:r>
      <w:r w:rsidRPr="00070ADE">
        <w:rPr>
          <w:rFonts w:ascii="Times New Roman" w:hAnsi="Times New Roman"/>
          <w:color w:val="000000" w:themeColor="text1"/>
          <w:sz w:val="16"/>
          <w:szCs w:val="16"/>
        </w:rPr>
        <w:softHyphen/>
        <w:t>ровании, при заходе самолета на посадку.</w:t>
      </w:r>
    </w:p>
    <w:p w14:paraId="59BBA1A9" w14:textId="77777777" w:rsidR="00FB3A90" w:rsidRPr="00070ADE" w:rsidRDefault="00FB3A90" w:rsidP="00B56F90">
      <w:pPr>
        <w:pStyle w:val="121"/>
        <w:shd w:val="clear" w:color="auto" w:fill="auto"/>
        <w:spacing w:line="240" w:lineRule="auto"/>
        <w:jc w:val="both"/>
        <w:rPr>
          <w:rFonts w:ascii="Times New Roman" w:hAnsi="Times New Roman" w:cs="Times New Roman"/>
          <w:b w:val="0"/>
          <w:bCs w:val="0"/>
          <w:color w:val="000000" w:themeColor="text1"/>
          <w:sz w:val="16"/>
          <w:szCs w:val="16"/>
        </w:rPr>
      </w:pPr>
      <w:r w:rsidRPr="00070ADE">
        <w:rPr>
          <w:rStyle w:val="128pt100"/>
          <w:rFonts w:ascii="Times New Roman" w:hAnsi="Times New Roman" w:cs="Times New Roman"/>
          <w:b w:val="0"/>
          <w:bCs w:val="0"/>
          <w:i w:val="0"/>
          <w:iCs w:val="0"/>
          <w:color w:val="000000" w:themeColor="text1"/>
        </w:rPr>
        <w:t>Как докладывал начальник ГК НИИ ВВС генерал-лейтенант Лосюков:</w:t>
      </w:r>
      <w:r w:rsidRPr="00070ADE">
        <w:rPr>
          <w:rFonts w:ascii="Times New Roman" w:hAnsi="Times New Roman" w:cs="Times New Roman"/>
          <w:b w:val="0"/>
          <w:bCs w:val="0"/>
          <w:color w:val="000000" w:themeColor="text1"/>
          <w:sz w:val="16"/>
          <w:szCs w:val="16"/>
        </w:rPr>
        <w:t xml:space="preserve"> «При</w:t>
      </w:r>
      <w:r w:rsidRPr="00070ADE">
        <w:rPr>
          <w:rFonts w:ascii="Times New Roman" w:hAnsi="Times New Roman" w:cs="Times New Roman"/>
          <w:b w:val="0"/>
          <w:bCs w:val="0"/>
          <w:color w:val="000000" w:themeColor="text1"/>
          <w:sz w:val="16"/>
          <w:szCs w:val="16"/>
        </w:rPr>
        <w:softHyphen/>
        <w:t>чиной пожара во всасывающих патруб</w:t>
      </w:r>
      <w:r w:rsidRPr="00070ADE">
        <w:rPr>
          <w:rFonts w:ascii="Times New Roman" w:hAnsi="Times New Roman" w:cs="Times New Roman"/>
          <w:b w:val="0"/>
          <w:bCs w:val="0"/>
          <w:color w:val="000000" w:themeColor="text1"/>
          <w:sz w:val="16"/>
          <w:szCs w:val="16"/>
        </w:rPr>
        <w:softHyphen/>
        <w:t>ках мотора АМ-42 является наличие в них сборников конденсата, в которых при обратной вспышке в карбюраторе воспла</w:t>
      </w:r>
      <w:r w:rsidRPr="00070ADE">
        <w:rPr>
          <w:rFonts w:ascii="Times New Roman" w:hAnsi="Times New Roman" w:cs="Times New Roman"/>
          <w:b w:val="0"/>
          <w:bCs w:val="0"/>
          <w:color w:val="000000" w:themeColor="text1"/>
          <w:sz w:val="16"/>
          <w:szCs w:val="16"/>
        </w:rPr>
        <w:softHyphen/>
        <w:t>меняется конденсат. При воспламенении смеси во всасывающем патрубке, он нака</w:t>
      </w:r>
      <w:r w:rsidRPr="00070ADE">
        <w:rPr>
          <w:rFonts w:ascii="Times New Roman" w:hAnsi="Times New Roman" w:cs="Times New Roman"/>
          <w:b w:val="0"/>
          <w:bCs w:val="0"/>
          <w:color w:val="000000" w:themeColor="text1"/>
          <w:sz w:val="16"/>
          <w:szCs w:val="16"/>
        </w:rPr>
        <w:softHyphen/>
        <w:t>ляется до белого каления, вследствие чего обгорают проводники зажигания, что в свою очередь, может привести к отказу мотора или пожару самолета».</w:t>
      </w:r>
    </w:p>
    <w:p w14:paraId="0E35C031" w14:textId="77777777" w:rsidR="00FB3A90" w:rsidRPr="00070ADE" w:rsidRDefault="00FB3A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Главный инженер ВВС КА генерал- полковник Репин запретил полеты на Су-6 с этим мотором. Быстро заменить мотор не удалось, так как</w:t>
      </w:r>
      <w:r w:rsidRPr="00070ADE">
        <w:rPr>
          <w:rStyle w:val="9pt80"/>
          <w:rFonts w:ascii="Times New Roman" w:hAnsi="Times New Roman" w:cs="Times New Roman"/>
          <w:i w:val="0"/>
          <w:iCs w:val="0"/>
          <w:color w:val="000000" w:themeColor="text1"/>
          <w:w w:val="100"/>
          <w:sz w:val="16"/>
          <w:szCs w:val="16"/>
        </w:rPr>
        <w:t xml:space="preserve"> «завод №24 за</w:t>
      </w:r>
      <w:r w:rsidRPr="00070ADE">
        <w:rPr>
          <w:rStyle w:val="9pt80"/>
          <w:rFonts w:ascii="Times New Roman" w:hAnsi="Times New Roman" w:cs="Times New Roman"/>
          <w:i w:val="0"/>
          <w:iCs w:val="0"/>
          <w:color w:val="000000" w:themeColor="text1"/>
          <w:w w:val="100"/>
          <w:sz w:val="16"/>
          <w:szCs w:val="16"/>
        </w:rPr>
        <w:softHyphen/>
        <w:t>держивал его поставку».</w:t>
      </w:r>
      <w:r w:rsidRPr="00070ADE">
        <w:rPr>
          <w:rFonts w:ascii="Times New Roman" w:hAnsi="Times New Roman"/>
          <w:color w:val="000000" w:themeColor="text1"/>
          <w:sz w:val="16"/>
          <w:szCs w:val="16"/>
        </w:rPr>
        <w:t xml:space="preserve"> Сухой обратился за помощью к наркому Шахурину. Но тот ничем не помог.</w:t>
      </w:r>
    </w:p>
    <w:p w14:paraId="3F1ACB94" w14:textId="77777777" w:rsidR="00FB3A90" w:rsidRPr="00070ADE" w:rsidRDefault="00FB3A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общей сложности ко времени офи</w:t>
      </w:r>
      <w:r w:rsidRPr="00070ADE">
        <w:rPr>
          <w:rFonts w:ascii="Times New Roman" w:hAnsi="Times New Roman"/>
          <w:color w:val="000000" w:themeColor="text1"/>
          <w:sz w:val="16"/>
          <w:szCs w:val="16"/>
        </w:rPr>
        <w:softHyphen/>
        <w:t>циального прекращения испытаний 2 июля опытный Су-6 выполнил 24 полёта с суммарным налетом 10 ч 25 мин.</w:t>
      </w:r>
    </w:p>
    <w:p w14:paraId="0200B3F4" w14:textId="77777777" w:rsidR="00FB3A90" w:rsidRPr="00070ADE" w:rsidRDefault="00FB3A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полетном весе 6200 кг (600 кг бомб, боекомплект к пушкам ВЯ и пу</w:t>
      </w:r>
      <w:r w:rsidRPr="00070ADE">
        <w:rPr>
          <w:rFonts w:ascii="Times New Roman" w:hAnsi="Times New Roman"/>
          <w:color w:val="000000" w:themeColor="text1"/>
          <w:sz w:val="16"/>
          <w:szCs w:val="16"/>
        </w:rPr>
        <w:softHyphen/>
        <w:t>леметам) скорость полета составила 492 км/ч - у земли, и 521 км/ч - на вы</w:t>
      </w:r>
      <w:r w:rsidRPr="00070ADE">
        <w:rPr>
          <w:rFonts w:ascii="Times New Roman" w:hAnsi="Times New Roman"/>
          <w:color w:val="000000" w:themeColor="text1"/>
          <w:sz w:val="16"/>
          <w:szCs w:val="16"/>
        </w:rPr>
        <w:softHyphen/>
        <w:t>соте 1860 м. Максимальная дальность по</w:t>
      </w:r>
      <w:r w:rsidRPr="00070ADE">
        <w:rPr>
          <w:rFonts w:ascii="Times New Roman" w:hAnsi="Times New Roman"/>
          <w:color w:val="000000" w:themeColor="text1"/>
          <w:sz w:val="16"/>
          <w:szCs w:val="16"/>
        </w:rPr>
        <w:softHyphen/>
        <w:t>лета оценивалась в 790 км.</w:t>
      </w:r>
    </w:p>
    <w:p w14:paraId="70043A2E" w14:textId="77777777" w:rsidR="00FB3A90" w:rsidRPr="00070ADE" w:rsidRDefault="00FB3A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Следует обратить внимание на то, что летные данные Су-6 были получены при невыгодной регулировке мотора с точки зрения расхода топлива: он имел переобогащенную топливную смесь. При нормально работающем моторе даль</w:t>
      </w:r>
      <w:r w:rsidRPr="00070ADE">
        <w:rPr>
          <w:rFonts w:ascii="Times New Roman" w:hAnsi="Times New Roman"/>
          <w:color w:val="000000" w:themeColor="text1"/>
          <w:sz w:val="16"/>
          <w:szCs w:val="16"/>
        </w:rPr>
        <w:softHyphen/>
        <w:t>ность должна была быть выше. С уче</w:t>
      </w:r>
      <w:r w:rsidRPr="00070ADE">
        <w:rPr>
          <w:rFonts w:ascii="Times New Roman" w:hAnsi="Times New Roman"/>
          <w:color w:val="000000" w:themeColor="text1"/>
          <w:sz w:val="16"/>
          <w:szCs w:val="16"/>
        </w:rPr>
        <w:softHyphen/>
        <w:t>том этого специалисты ГК НИИ ВВС рас</w:t>
      </w:r>
      <w:r w:rsidRPr="00070ADE">
        <w:rPr>
          <w:rFonts w:ascii="Times New Roman" w:hAnsi="Times New Roman"/>
          <w:color w:val="000000" w:themeColor="text1"/>
          <w:sz w:val="16"/>
          <w:szCs w:val="16"/>
        </w:rPr>
        <w:softHyphen/>
        <w:t>считали дальность полета Су-6 исходя из расходов топлива, взятых из матери</w:t>
      </w:r>
      <w:r w:rsidRPr="00070ADE">
        <w:rPr>
          <w:rFonts w:ascii="Times New Roman" w:hAnsi="Times New Roman"/>
          <w:color w:val="000000" w:themeColor="text1"/>
          <w:sz w:val="16"/>
          <w:szCs w:val="16"/>
        </w:rPr>
        <w:softHyphen/>
        <w:t>алов по государственным испытаниям Ил-Юс АМ-42.</w:t>
      </w:r>
    </w:p>
    <w:p w14:paraId="6D38ECCC" w14:textId="77777777" w:rsidR="00FB3A90" w:rsidRPr="00070ADE" w:rsidRDefault="00FB3A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Между тем, согласно аэродинамиче</w:t>
      </w:r>
      <w:r w:rsidRPr="00070ADE">
        <w:rPr>
          <w:rFonts w:ascii="Times New Roman" w:hAnsi="Times New Roman"/>
          <w:color w:val="000000" w:themeColor="text1"/>
          <w:sz w:val="16"/>
          <w:szCs w:val="16"/>
        </w:rPr>
        <w:softHyphen/>
        <w:t>скому расчету самолета Су-6 АМ-42, вы</w:t>
      </w:r>
      <w:r w:rsidRPr="00070ADE">
        <w:rPr>
          <w:rFonts w:ascii="Times New Roman" w:hAnsi="Times New Roman"/>
          <w:color w:val="000000" w:themeColor="text1"/>
          <w:sz w:val="16"/>
          <w:szCs w:val="16"/>
        </w:rPr>
        <w:softHyphen/>
        <w:t>полненному в ОКБ Сухого на основе фак</w:t>
      </w:r>
      <w:r w:rsidRPr="00070ADE">
        <w:rPr>
          <w:rFonts w:ascii="Times New Roman" w:hAnsi="Times New Roman"/>
          <w:color w:val="000000" w:themeColor="text1"/>
          <w:sz w:val="16"/>
          <w:szCs w:val="16"/>
        </w:rPr>
        <w:softHyphen/>
        <w:t>тических летных данных Су-6 с М-71ф, максимальная дальность полета на высоте 1000 м оценивалась в 1025 км при скоро</w:t>
      </w:r>
      <w:r w:rsidRPr="00070ADE">
        <w:rPr>
          <w:rFonts w:ascii="Times New Roman" w:hAnsi="Times New Roman"/>
          <w:color w:val="000000" w:themeColor="text1"/>
          <w:sz w:val="16"/>
          <w:szCs w:val="16"/>
        </w:rPr>
        <w:softHyphen/>
        <w:t>сти полета 341 км/ч.</w:t>
      </w:r>
    </w:p>
    <w:p w14:paraId="3BE14938" w14:textId="77777777" w:rsidR="00FB3A90" w:rsidRPr="00070ADE" w:rsidRDefault="00FB3A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точности этих расчетов можно су</w:t>
      </w:r>
      <w:r w:rsidRPr="00070ADE">
        <w:rPr>
          <w:rFonts w:ascii="Times New Roman" w:hAnsi="Times New Roman"/>
          <w:color w:val="000000" w:themeColor="text1"/>
          <w:sz w:val="16"/>
          <w:szCs w:val="16"/>
        </w:rPr>
        <w:softHyphen/>
        <w:t>дить, например, по значению максималь</w:t>
      </w:r>
      <w:r w:rsidRPr="00070ADE">
        <w:rPr>
          <w:rFonts w:ascii="Times New Roman" w:hAnsi="Times New Roman"/>
          <w:color w:val="000000" w:themeColor="text1"/>
          <w:sz w:val="16"/>
          <w:szCs w:val="16"/>
        </w:rPr>
        <w:softHyphen/>
        <w:t>ной скорости у земли, которая согласно расчетов получалась равной 490 км/ч, а по факту - 492 км/ч.</w:t>
      </w:r>
    </w:p>
    <w:p w14:paraId="4CC2AD9A" w14:textId="77777777" w:rsidR="00FB3A90" w:rsidRPr="00070ADE" w:rsidRDefault="00FB3A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 пулеметно-пушечное и бомбар</w:t>
      </w:r>
      <w:r w:rsidRPr="00070ADE">
        <w:rPr>
          <w:rFonts w:ascii="Times New Roman" w:hAnsi="Times New Roman"/>
          <w:color w:val="000000" w:themeColor="text1"/>
          <w:sz w:val="16"/>
          <w:szCs w:val="16"/>
        </w:rPr>
        <w:softHyphen/>
        <w:t>дировочное вооружение было успешно проверено работой на земле и в воздухе, за исключением пушек ВЯ, которые от</w:t>
      </w:r>
      <w:r w:rsidRPr="00070ADE">
        <w:rPr>
          <w:rFonts w:ascii="Times New Roman" w:hAnsi="Times New Roman"/>
          <w:color w:val="000000" w:themeColor="text1"/>
          <w:sz w:val="16"/>
          <w:szCs w:val="16"/>
        </w:rPr>
        <w:softHyphen/>
        <w:t>стреливались только на земле. Приняли во внимание, что такие же установки в 1942 г. прошли государственные испыта</w:t>
      </w:r>
      <w:r w:rsidRPr="00070ADE">
        <w:rPr>
          <w:rFonts w:ascii="Times New Roman" w:hAnsi="Times New Roman"/>
          <w:color w:val="000000" w:themeColor="text1"/>
          <w:sz w:val="16"/>
          <w:szCs w:val="16"/>
        </w:rPr>
        <w:softHyphen/>
        <w:t>ния на одноместном Су-6 М-71.</w:t>
      </w:r>
    </w:p>
    <w:p w14:paraId="638AD8FD" w14:textId="77777777" w:rsidR="00FB3A90" w:rsidRPr="00070ADE" w:rsidRDefault="00FB3A90" w:rsidP="00B56F90">
      <w:pPr>
        <w:pStyle w:val="121"/>
        <w:shd w:val="clear" w:color="auto" w:fill="auto"/>
        <w:spacing w:line="240" w:lineRule="auto"/>
        <w:jc w:val="both"/>
        <w:rPr>
          <w:rFonts w:ascii="Times New Roman" w:hAnsi="Times New Roman" w:cs="Times New Roman"/>
          <w:b w:val="0"/>
          <w:bCs w:val="0"/>
          <w:color w:val="000000" w:themeColor="text1"/>
          <w:sz w:val="16"/>
          <w:szCs w:val="16"/>
        </w:rPr>
      </w:pPr>
      <w:r w:rsidRPr="00070ADE">
        <w:rPr>
          <w:rStyle w:val="128pt100"/>
          <w:rFonts w:ascii="Times New Roman" w:hAnsi="Times New Roman" w:cs="Times New Roman"/>
          <w:b w:val="0"/>
          <w:bCs w:val="0"/>
          <w:i w:val="0"/>
          <w:iCs w:val="0"/>
          <w:color w:val="000000" w:themeColor="text1"/>
        </w:rPr>
        <w:t>В летной оценке самолета Су-6 АМ-42 от 2 июля второй ведущий летчик инженер-майор Синельников указывал: «</w:t>
      </w:r>
      <w:r w:rsidRPr="00070ADE">
        <w:rPr>
          <w:rFonts w:ascii="Times New Roman" w:hAnsi="Times New Roman" w:cs="Times New Roman"/>
          <w:b w:val="0"/>
          <w:bCs w:val="0"/>
          <w:color w:val="000000" w:themeColor="text1"/>
          <w:sz w:val="16"/>
          <w:szCs w:val="16"/>
        </w:rPr>
        <w:t>Уве</w:t>
      </w:r>
      <w:r w:rsidRPr="00070ADE">
        <w:rPr>
          <w:rFonts w:ascii="Times New Roman" w:hAnsi="Times New Roman" w:cs="Times New Roman"/>
          <w:b w:val="0"/>
          <w:bCs w:val="0"/>
          <w:color w:val="000000" w:themeColor="text1"/>
          <w:sz w:val="16"/>
          <w:szCs w:val="16"/>
        </w:rPr>
        <w:softHyphen/>
        <w:t>личение площади крыла и снятие пред</w:t>
      </w:r>
      <w:r w:rsidRPr="00070ADE">
        <w:rPr>
          <w:rFonts w:ascii="Times New Roman" w:hAnsi="Times New Roman" w:cs="Times New Roman"/>
          <w:b w:val="0"/>
          <w:bCs w:val="0"/>
          <w:color w:val="000000" w:themeColor="text1"/>
          <w:sz w:val="16"/>
          <w:szCs w:val="16"/>
        </w:rPr>
        <w:softHyphen/>
        <w:t>крылков значительно упростили технику пилотирования самолета на взлете и по</w:t>
      </w:r>
      <w:r w:rsidRPr="00070ADE">
        <w:rPr>
          <w:rFonts w:ascii="Times New Roman" w:hAnsi="Times New Roman" w:cs="Times New Roman"/>
          <w:b w:val="0"/>
          <w:bCs w:val="0"/>
          <w:color w:val="000000" w:themeColor="text1"/>
          <w:sz w:val="16"/>
          <w:szCs w:val="16"/>
        </w:rPr>
        <w:softHyphen/>
        <w:t>садке по сравнению с самолетом Су-6 с мо</w:t>
      </w:r>
      <w:r w:rsidRPr="00070ADE">
        <w:rPr>
          <w:rFonts w:ascii="Times New Roman" w:hAnsi="Times New Roman" w:cs="Times New Roman"/>
          <w:b w:val="0"/>
          <w:bCs w:val="0"/>
          <w:color w:val="000000" w:themeColor="text1"/>
          <w:sz w:val="16"/>
          <w:szCs w:val="16"/>
        </w:rPr>
        <w:softHyphen/>
        <w:t>тором М-71ф. В целом самолет Су-6 с мо</w:t>
      </w:r>
      <w:r w:rsidRPr="00070ADE">
        <w:rPr>
          <w:rFonts w:ascii="Times New Roman" w:hAnsi="Times New Roman" w:cs="Times New Roman"/>
          <w:b w:val="0"/>
          <w:bCs w:val="0"/>
          <w:color w:val="000000" w:themeColor="text1"/>
          <w:sz w:val="16"/>
          <w:szCs w:val="16"/>
        </w:rPr>
        <w:softHyphen/>
        <w:t>тором АМ-42 доступен летчикам средней квалификации. Недостатками самолета, усложняющими технику пилотирования, являются:</w:t>
      </w:r>
    </w:p>
    <w:p w14:paraId="60B35F43" w14:textId="77777777" w:rsidR="00FB3A90" w:rsidRPr="00070ADE" w:rsidRDefault="00FB3A90" w:rsidP="00B56F90">
      <w:pPr>
        <w:pStyle w:val="121"/>
        <w:shd w:val="clear" w:color="auto" w:fill="auto"/>
        <w:tabs>
          <w:tab w:val="left" w:pos="486"/>
        </w:tabs>
        <w:spacing w:line="240" w:lineRule="auto"/>
        <w:jc w:val="both"/>
        <w:rPr>
          <w:rFonts w:ascii="Times New Roman" w:hAnsi="Times New Roman" w:cs="Times New Roman"/>
          <w:b w:val="0"/>
          <w:bCs w:val="0"/>
          <w:color w:val="000000" w:themeColor="text1"/>
          <w:sz w:val="16"/>
          <w:szCs w:val="16"/>
        </w:rPr>
      </w:pPr>
      <w:r w:rsidRPr="00070ADE">
        <w:rPr>
          <w:rFonts w:ascii="Times New Roman" w:hAnsi="Times New Roman" w:cs="Times New Roman"/>
          <w:b w:val="0"/>
          <w:bCs w:val="0"/>
          <w:color w:val="000000" w:themeColor="text1"/>
          <w:sz w:val="16"/>
          <w:szCs w:val="16"/>
        </w:rPr>
        <w:t>а)</w:t>
      </w:r>
      <w:r w:rsidRPr="00070ADE">
        <w:rPr>
          <w:rFonts w:ascii="Times New Roman" w:hAnsi="Times New Roman" w:cs="Times New Roman"/>
          <w:b w:val="0"/>
          <w:bCs w:val="0"/>
          <w:color w:val="000000" w:themeColor="text1"/>
          <w:sz w:val="16"/>
          <w:szCs w:val="16"/>
        </w:rPr>
        <w:tab/>
        <w:t>большая (сравнительно с аналогич</w:t>
      </w:r>
      <w:r w:rsidRPr="00070ADE">
        <w:rPr>
          <w:rFonts w:ascii="Times New Roman" w:hAnsi="Times New Roman" w:cs="Times New Roman"/>
          <w:b w:val="0"/>
          <w:bCs w:val="0"/>
          <w:color w:val="000000" w:themeColor="text1"/>
          <w:sz w:val="16"/>
          <w:szCs w:val="16"/>
        </w:rPr>
        <w:softHyphen/>
        <w:t>ными типами самолетов) длина разбега и взлетной дистанции;</w:t>
      </w:r>
    </w:p>
    <w:p w14:paraId="5C5A891F" w14:textId="77777777" w:rsidR="00FB3A90" w:rsidRPr="00070ADE" w:rsidRDefault="00FB3A90" w:rsidP="00B56F90">
      <w:pPr>
        <w:pStyle w:val="121"/>
        <w:shd w:val="clear" w:color="auto" w:fill="auto"/>
        <w:tabs>
          <w:tab w:val="left" w:pos="486"/>
        </w:tabs>
        <w:spacing w:line="240" w:lineRule="auto"/>
        <w:jc w:val="both"/>
        <w:rPr>
          <w:rFonts w:ascii="Times New Roman" w:hAnsi="Times New Roman" w:cs="Times New Roman"/>
          <w:b w:val="0"/>
          <w:bCs w:val="0"/>
          <w:color w:val="000000" w:themeColor="text1"/>
          <w:sz w:val="16"/>
          <w:szCs w:val="16"/>
        </w:rPr>
      </w:pPr>
      <w:r w:rsidRPr="00070ADE">
        <w:rPr>
          <w:rFonts w:ascii="Times New Roman" w:hAnsi="Times New Roman" w:cs="Times New Roman"/>
          <w:b w:val="0"/>
          <w:bCs w:val="0"/>
          <w:color w:val="000000" w:themeColor="text1"/>
          <w:sz w:val="16"/>
          <w:szCs w:val="16"/>
        </w:rPr>
        <w:t>б)</w:t>
      </w:r>
      <w:r w:rsidRPr="00070ADE">
        <w:rPr>
          <w:rFonts w:ascii="Times New Roman" w:hAnsi="Times New Roman" w:cs="Times New Roman"/>
          <w:b w:val="0"/>
          <w:bCs w:val="0"/>
          <w:color w:val="000000" w:themeColor="text1"/>
          <w:sz w:val="16"/>
          <w:szCs w:val="16"/>
        </w:rPr>
        <w:tab/>
        <w:t>большие нагрузки на элероны и руль высоты, особенно на максимальных скоро</w:t>
      </w:r>
      <w:r w:rsidRPr="00070ADE">
        <w:rPr>
          <w:rFonts w:ascii="Times New Roman" w:hAnsi="Times New Roman" w:cs="Times New Roman"/>
          <w:b w:val="0"/>
          <w:bCs w:val="0"/>
          <w:color w:val="000000" w:themeColor="text1"/>
          <w:sz w:val="16"/>
          <w:szCs w:val="16"/>
        </w:rPr>
        <w:softHyphen/>
        <w:t>стях, вираже и при выводе из пикирования;</w:t>
      </w:r>
    </w:p>
    <w:p w14:paraId="184B46CD" w14:textId="77777777" w:rsidR="00FB3A90" w:rsidRPr="00070ADE" w:rsidRDefault="00FB3A90" w:rsidP="00B56F90">
      <w:pPr>
        <w:pStyle w:val="121"/>
        <w:shd w:val="clear" w:color="auto" w:fill="auto"/>
        <w:tabs>
          <w:tab w:val="left" w:pos="473"/>
        </w:tabs>
        <w:spacing w:line="240" w:lineRule="auto"/>
        <w:jc w:val="both"/>
        <w:rPr>
          <w:rFonts w:ascii="Times New Roman" w:hAnsi="Times New Roman" w:cs="Times New Roman"/>
          <w:b w:val="0"/>
          <w:bCs w:val="0"/>
          <w:color w:val="000000" w:themeColor="text1"/>
          <w:sz w:val="16"/>
          <w:szCs w:val="16"/>
        </w:rPr>
      </w:pPr>
      <w:r w:rsidRPr="00070ADE">
        <w:rPr>
          <w:rFonts w:ascii="Times New Roman" w:hAnsi="Times New Roman" w:cs="Times New Roman"/>
          <w:b w:val="0"/>
          <w:bCs w:val="0"/>
          <w:color w:val="000000" w:themeColor="text1"/>
          <w:sz w:val="16"/>
          <w:szCs w:val="16"/>
        </w:rPr>
        <w:t>в)</w:t>
      </w:r>
      <w:r w:rsidRPr="00070ADE">
        <w:rPr>
          <w:rFonts w:ascii="Times New Roman" w:hAnsi="Times New Roman" w:cs="Times New Roman"/>
          <w:b w:val="0"/>
          <w:bCs w:val="0"/>
          <w:color w:val="000000" w:themeColor="text1"/>
          <w:sz w:val="16"/>
          <w:szCs w:val="16"/>
        </w:rPr>
        <w:tab/>
        <w:t>крутая глиссада планирования.</w:t>
      </w:r>
    </w:p>
    <w:p w14:paraId="1AE7E677" w14:textId="77777777" w:rsidR="00FB3A90" w:rsidRPr="00070ADE" w:rsidRDefault="00FB3A90" w:rsidP="00B56F90">
      <w:pPr>
        <w:pStyle w:val="121"/>
        <w:shd w:val="clear" w:color="auto" w:fill="auto"/>
        <w:spacing w:line="240" w:lineRule="auto"/>
        <w:jc w:val="both"/>
        <w:rPr>
          <w:rFonts w:ascii="Times New Roman" w:hAnsi="Times New Roman" w:cs="Times New Roman"/>
          <w:b w:val="0"/>
          <w:bCs w:val="0"/>
          <w:color w:val="000000" w:themeColor="text1"/>
          <w:sz w:val="16"/>
          <w:szCs w:val="16"/>
        </w:rPr>
      </w:pPr>
      <w:r w:rsidRPr="00070ADE">
        <w:rPr>
          <w:rFonts w:ascii="Times New Roman" w:hAnsi="Times New Roman" w:cs="Times New Roman"/>
          <w:b w:val="0"/>
          <w:bCs w:val="0"/>
          <w:color w:val="000000" w:themeColor="text1"/>
          <w:sz w:val="16"/>
          <w:szCs w:val="16"/>
        </w:rPr>
        <w:t>По сравнению с однотипным опытным самолетом Ил-10 с АМ-42 самолет Су-6 с АМ-42:</w:t>
      </w:r>
    </w:p>
    <w:p w14:paraId="4D811B5A" w14:textId="77777777" w:rsidR="00FB3A90" w:rsidRPr="00070ADE" w:rsidRDefault="00FB3A90" w:rsidP="00B56F90">
      <w:pPr>
        <w:pStyle w:val="121"/>
        <w:shd w:val="clear" w:color="auto" w:fill="auto"/>
        <w:tabs>
          <w:tab w:val="left" w:pos="486"/>
        </w:tabs>
        <w:spacing w:line="240" w:lineRule="auto"/>
        <w:jc w:val="both"/>
        <w:rPr>
          <w:rFonts w:ascii="Times New Roman" w:hAnsi="Times New Roman" w:cs="Times New Roman"/>
          <w:b w:val="0"/>
          <w:bCs w:val="0"/>
          <w:color w:val="000000" w:themeColor="text1"/>
          <w:sz w:val="16"/>
          <w:szCs w:val="16"/>
        </w:rPr>
      </w:pPr>
      <w:r w:rsidRPr="00070ADE">
        <w:rPr>
          <w:rFonts w:ascii="Times New Roman" w:hAnsi="Times New Roman" w:cs="Times New Roman"/>
          <w:b w:val="0"/>
          <w:bCs w:val="0"/>
          <w:color w:val="000000" w:themeColor="text1"/>
          <w:sz w:val="16"/>
          <w:szCs w:val="16"/>
        </w:rPr>
        <w:t>а)</w:t>
      </w:r>
      <w:r w:rsidRPr="00070ADE">
        <w:rPr>
          <w:rFonts w:ascii="Times New Roman" w:hAnsi="Times New Roman" w:cs="Times New Roman"/>
          <w:b w:val="0"/>
          <w:bCs w:val="0"/>
          <w:color w:val="000000" w:themeColor="text1"/>
          <w:sz w:val="16"/>
          <w:szCs w:val="16"/>
        </w:rPr>
        <w:tab/>
        <w:t>несколько сложней в технике пило</w:t>
      </w:r>
      <w:r w:rsidRPr="00070ADE">
        <w:rPr>
          <w:rFonts w:ascii="Times New Roman" w:hAnsi="Times New Roman" w:cs="Times New Roman"/>
          <w:b w:val="0"/>
          <w:bCs w:val="0"/>
          <w:color w:val="000000" w:themeColor="text1"/>
          <w:sz w:val="16"/>
          <w:szCs w:val="16"/>
        </w:rPr>
        <w:softHyphen/>
        <w:t>тирования (главным образом на взлете и посадке);</w:t>
      </w:r>
    </w:p>
    <w:p w14:paraId="6D032768" w14:textId="77777777" w:rsidR="00FB3A90" w:rsidRPr="00070ADE" w:rsidRDefault="00FB3A90" w:rsidP="00B56F90">
      <w:pPr>
        <w:pStyle w:val="121"/>
        <w:shd w:val="clear" w:color="auto" w:fill="auto"/>
        <w:tabs>
          <w:tab w:val="left" w:pos="502"/>
        </w:tabs>
        <w:spacing w:line="240" w:lineRule="auto"/>
        <w:jc w:val="both"/>
        <w:rPr>
          <w:rFonts w:ascii="Times New Roman" w:hAnsi="Times New Roman" w:cs="Times New Roman"/>
          <w:b w:val="0"/>
          <w:bCs w:val="0"/>
          <w:color w:val="000000" w:themeColor="text1"/>
          <w:sz w:val="16"/>
          <w:szCs w:val="16"/>
        </w:rPr>
      </w:pPr>
      <w:r w:rsidRPr="00070ADE">
        <w:rPr>
          <w:rFonts w:ascii="Times New Roman" w:hAnsi="Times New Roman" w:cs="Times New Roman"/>
          <w:b w:val="0"/>
          <w:bCs w:val="0"/>
          <w:color w:val="000000" w:themeColor="text1"/>
          <w:sz w:val="16"/>
          <w:szCs w:val="16"/>
        </w:rPr>
        <w:t>б)</w:t>
      </w:r>
      <w:r w:rsidRPr="00070ADE">
        <w:rPr>
          <w:rFonts w:ascii="Times New Roman" w:hAnsi="Times New Roman" w:cs="Times New Roman"/>
          <w:b w:val="0"/>
          <w:bCs w:val="0"/>
          <w:color w:val="000000" w:themeColor="text1"/>
          <w:sz w:val="16"/>
          <w:szCs w:val="16"/>
        </w:rPr>
        <w:tab/>
        <w:t>имеет худшую управляемость;</w:t>
      </w:r>
    </w:p>
    <w:p w14:paraId="2D0BA736" w14:textId="77777777" w:rsidR="00FB3A90" w:rsidRPr="00070ADE" w:rsidRDefault="00FB3A90" w:rsidP="00B56F90">
      <w:pPr>
        <w:pStyle w:val="121"/>
        <w:shd w:val="clear" w:color="auto" w:fill="auto"/>
        <w:tabs>
          <w:tab w:val="left" w:pos="481"/>
        </w:tabs>
        <w:spacing w:line="240" w:lineRule="auto"/>
        <w:jc w:val="both"/>
        <w:rPr>
          <w:rFonts w:ascii="Times New Roman" w:hAnsi="Times New Roman" w:cs="Times New Roman"/>
          <w:b w:val="0"/>
          <w:bCs w:val="0"/>
          <w:color w:val="000000" w:themeColor="text1"/>
          <w:sz w:val="16"/>
          <w:szCs w:val="16"/>
        </w:rPr>
      </w:pPr>
      <w:r w:rsidRPr="00070ADE">
        <w:rPr>
          <w:rFonts w:ascii="Times New Roman" w:hAnsi="Times New Roman" w:cs="Times New Roman"/>
          <w:b w:val="0"/>
          <w:bCs w:val="0"/>
          <w:color w:val="000000" w:themeColor="text1"/>
          <w:sz w:val="16"/>
          <w:szCs w:val="16"/>
        </w:rPr>
        <w:t>в)</w:t>
      </w:r>
      <w:r w:rsidRPr="00070ADE">
        <w:rPr>
          <w:rFonts w:ascii="Times New Roman" w:hAnsi="Times New Roman" w:cs="Times New Roman"/>
          <w:b w:val="0"/>
          <w:bCs w:val="0"/>
          <w:color w:val="000000" w:themeColor="text1"/>
          <w:sz w:val="16"/>
          <w:szCs w:val="16"/>
        </w:rPr>
        <w:tab/>
        <w:t>обладает более низкими летными данными».</w:t>
      </w:r>
    </w:p>
    <w:p w14:paraId="331A81C8" w14:textId="77777777" w:rsidR="00FB3A90" w:rsidRPr="00070ADE" w:rsidRDefault="00FB3A90" w:rsidP="00B56F90">
      <w:pPr>
        <w:spacing w:after="0" w:line="240" w:lineRule="auto"/>
        <w:jc w:val="both"/>
        <w:rPr>
          <w:rFonts w:ascii="Times New Roman" w:hAnsi="Times New Roman"/>
          <w:color w:val="000000" w:themeColor="text1"/>
          <w:sz w:val="16"/>
          <w:szCs w:val="16"/>
        </w:rPr>
      </w:pPr>
      <w:r w:rsidRPr="00070ADE">
        <w:rPr>
          <w:rStyle w:val="128pt100"/>
          <w:rFonts w:ascii="Times New Roman" w:hAnsi="Times New Roman" w:cs="Times New Roman"/>
          <w:i w:val="0"/>
          <w:iCs w:val="0"/>
          <w:color w:val="000000" w:themeColor="text1"/>
        </w:rPr>
        <w:t>Примерно также оценил самолет и ве</w:t>
      </w:r>
      <w:r w:rsidRPr="00070ADE">
        <w:rPr>
          <w:rStyle w:val="128pt100"/>
          <w:rFonts w:ascii="Times New Roman" w:hAnsi="Times New Roman" w:cs="Times New Roman"/>
          <w:i w:val="0"/>
          <w:iCs w:val="0"/>
          <w:color w:val="000000" w:themeColor="text1"/>
        </w:rPr>
        <w:softHyphen/>
        <w:t xml:space="preserve">дущий летчик генерал-майор Кабанов: </w:t>
      </w:r>
      <w:r w:rsidRPr="00070ADE">
        <w:rPr>
          <w:rFonts w:ascii="Times New Roman" w:hAnsi="Times New Roman"/>
          <w:color w:val="000000" w:themeColor="text1"/>
          <w:sz w:val="16"/>
          <w:szCs w:val="16"/>
        </w:rPr>
        <w:t>«Замена мотора (АМ-42 вместо М-71ф) мало чем изменила впечатление от пове</w:t>
      </w:r>
      <w:r w:rsidRPr="00070ADE">
        <w:rPr>
          <w:rFonts w:ascii="Times New Roman" w:hAnsi="Times New Roman"/>
          <w:color w:val="000000" w:themeColor="text1"/>
          <w:sz w:val="16"/>
          <w:szCs w:val="16"/>
        </w:rPr>
        <w:softHyphen/>
        <w:t>дения самолета в воздухе. По сравнению с однотипным самолетом Ил-10 в летном отношении самолет Су-6 преимуществ не имеет. Самолет Ил-10 более приятен в пилотировании, чем самолет Су-6, а глав</w:t>
      </w:r>
      <w:r w:rsidRPr="00070ADE">
        <w:rPr>
          <w:rFonts w:ascii="Times New Roman" w:hAnsi="Times New Roman"/>
          <w:color w:val="000000" w:themeColor="text1"/>
          <w:sz w:val="16"/>
          <w:szCs w:val="16"/>
        </w:rPr>
        <w:softHyphen/>
        <w:t>ное более прост на взлете и посадке».</w:t>
      </w:r>
    </w:p>
    <w:p w14:paraId="1AF1B438" w14:textId="77777777" w:rsidR="00FB3A90" w:rsidRPr="00070ADE" w:rsidRDefault="00FB3A90" w:rsidP="00B56F90">
      <w:pPr>
        <w:pStyle w:val="121"/>
        <w:shd w:val="clear" w:color="auto" w:fill="auto"/>
        <w:spacing w:line="240" w:lineRule="auto"/>
        <w:jc w:val="both"/>
        <w:rPr>
          <w:rFonts w:ascii="Times New Roman" w:hAnsi="Times New Roman" w:cs="Times New Roman"/>
          <w:b w:val="0"/>
          <w:bCs w:val="0"/>
          <w:color w:val="000000" w:themeColor="text1"/>
          <w:sz w:val="16"/>
          <w:szCs w:val="16"/>
        </w:rPr>
      </w:pPr>
      <w:r w:rsidRPr="00070ADE">
        <w:rPr>
          <w:rStyle w:val="128pt100"/>
          <w:rFonts w:ascii="Times New Roman" w:hAnsi="Times New Roman" w:cs="Times New Roman"/>
          <w:b w:val="0"/>
          <w:bCs w:val="0"/>
          <w:i w:val="0"/>
          <w:iCs w:val="0"/>
          <w:color w:val="000000" w:themeColor="text1"/>
        </w:rPr>
        <w:t>Мнение летчика облета подпол</w:t>
      </w:r>
      <w:r w:rsidRPr="00070ADE">
        <w:rPr>
          <w:rStyle w:val="128pt100"/>
          <w:rFonts w:ascii="Times New Roman" w:hAnsi="Times New Roman" w:cs="Times New Roman"/>
          <w:b w:val="0"/>
          <w:bCs w:val="0"/>
          <w:i w:val="0"/>
          <w:iCs w:val="0"/>
          <w:color w:val="000000" w:themeColor="text1"/>
        </w:rPr>
        <w:softHyphen/>
        <w:t>ковника Долгова в целом было таким же:</w:t>
      </w:r>
      <w:r w:rsidRPr="00070ADE">
        <w:rPr>
          <w:rFonts w:ascii="Times New Roman" w:hAnsi="Times New Roman" w:cs="Times New Roman"/>
          <w:b w:val="0"/>
          <w:bCs w:val="0"/>
          <w:color w:val="000000" w:themeColor="text1"/>
          <w:sz w:val="16"/>
          <w:szCs w:val="16"/>
        </w:rPr>
        <w:t xml:space="preserve"> «Опытный самолет Су-6 с мотором АМ-42, в отличие от самолета Су-6 с мо</w:t>
      </w:r>
      <w:r w:rsidRPr="00070ADE">
        <w:rPr>
          <w:rFonts w:ascii="Times New Roman" w:hAnsi="Times New Roman" w:cs="Times New Roman"/>
          <w:b w:val="0"/>
          <w:bCs w:val="0"/>
          <w:color w:val="000000" w:themeColor="text1"/>
          <w:sz w:val="16"/>
          <w:szCs w:val="16"/>
        </w:rPr>
        <w:softHyphen/>
        <w:t>тором М-71ф, по технике пилотирова</w:t>
      </w:r>
      <w:r w:rsidRPr="00070ADE">
        <w:rPr>
          <w:rFonts w:ascii="Times New Roman" w:hAnsi="Times New Roman" w:cs="Times New Roman"/>
          <w:b w:val="0"/>
          <w:bCs w:val="0"/>
          <w:color w:val="000000" w:themeColor="text1"/>
          <w:sz w:val="16"/>
          <w:szCs w:val="16"/>
        </w:rPr>
        <w:softHyphen/>
        <w:t>ния проще, особенно на посадке. Устой</w:t>
      </w:r>
      <w:r w:rsidRPr="00070ADE">
        <w:rPr>
          <w:rFonts w:ascii="Times New Roman" w:hAnsi="Times New Roman" w:cs="Times New Roman"/>
          <w:b w:val="0"/>
          <w:bCs w:val="0"/>
          <w:color w:val="000000" w:themeColor="text1"/>
          <w:sz w:val="16"/>
          <w:szCs w:val="16"/>
        </w:rPr>
        <w:softHyphen/>
        <w:t>чивость самолета по всем осям хорошая, несколько велика путевая устойчивость, что сказывается на управляемости само</w:t>
      </w:r>
      <w:r w:rsidRPr="00070ADE">
        <w:rPr>
          <w:rFonts w:ascii="Times New Roman" w:hAnsi="Times New Roman" w:cs="Times New Roman"/>
          <w:b w:val="0"/>
          <w:bCs w:val="0"/>
          <w:color w:val="000000" w:themeColor="text1"/>
          <w:sz w:val="16"/>
          <w:szCs w:val="16"/>
        </w:rPr>
        <w:softHyphen/>
        <w:t>лета. Нагрузки от руля высоты велики, особенно это чувствуется на взлете и виражах. Обзор на земле удовлетвори</w:t>
      </w:r>
      <w:r w:rsidRPr="00070ADE">
        <w:rPr>
          <w:rFonts w:ascii="Times New Roman" w:hAnsi="Times New Roman" w:cs="Times New Roman"/>
          <w:b w:val="0"/>
          <w:bCs w:val="0"/>
          <w:color w:val="000000" w:themeColor="text1"/>
          <w:sz w:val="16"/>
          <w:szCs w:val="16"/>
        </w:rPr>
        <w:softHyphen/>
        <w:t>тельный, в воздухе хороший. По сравне</w:t>
      </w:r>
      <w:r w:rsidRPr="00070ADE">
        <w:rPr>
          <w:rFonts w:ascii="Times New Roman" w:hAnsi="Times New Roman" w:cs="Times New Roman"/>
          <w:b w:val="0"/>
          <w:bCs w:val="0"/>
          <w:color w:val="000000" w:themeColor="text1"/>
          <w:sz w:val="16"/>
          <w:szCs w:val="16"/>
        </w:rPr>
        <w:softHyphen/>
        <w:t>нию с опытным самолетом Ил-10 с АМ- 42 самолет Су-6 с АМ-42 несколько слож</w:t>
      </w:r>
      <w:r w:rsidRPr="00070ADE">
        <w:rPr>
          <w:rFonts w:ascii="Times New Roman" w:hAnsi="Times New Roman" w:cs="Times New Roman"/>
          <w:b w:val="0"/>
          <w:bCs w:val="0"/>
          <w:color w:val="000000" w:themeColor="text1"/>
          <w:sz w:val="16"/>
          <w:szCs w:val="16"/>
        </w:rPr>
        <w:softHyphen/>
        <w:t>нее в технике пилотирования, особенно на взлете и посадке, хуже по управляемо</w:t>
      </w:r>
      <w:r w:rsidRPr="00070ADE">
        <w:rPr>
          <w:rFonts w:ascii="Times New Roman" w:hAnsi="Times New Roman" w:cs="Times New Roman"/>
          <w:b w:val="0"/>
          <w:bCs w:val="0"/>
          <w:color w:val="000000" w:themeColor="text1"/>
          <w:sz w:val="16"/>
          <w:szCs w:val="16"/>
        </w:rPr>
        <w:softHyphen/>
        <w:t>сти и отстает по максимальным скоро</w:t>
      </w:r>
      <w:r w:rsidRPr="00070ADE">
        <w:rPr>
          <w:rFonts w:ascii="Times New Roman" w:hAnsi="Times New Roman" w:cs="Times New Roman"/>
          <w:b w:val="0"/>
          <w:bCs w:val="0"/>
          <w:color w:val="000000" w:themeColor="text1"/>
          <w:sz w:val="16"/>
          <w:szCs w:val="16"/>
        </w:rPr>
        <w:softHyphen/>
        <w:t>стям, в связи с этим постройка опытного самолета Су-6 с АМ-42 является нецеле</w:t>
      </w:r>
      <w:r w:rsidRPr="00070ADE">
        <w:rPr>
          <w:rFonts w:ascii="Times New Roman" w:hAnsi="Times New Roman" w:cs="Times New Roman"/>
          <w:b w:val="0"/>
          <w:bCs w:val="0"/>
          <w:color w:val="000000" w:themeColor="text1"/>
          <w:sz w:val="16"/>
          <w:szCs w:val="16"/>
        </w:rPr>
        <w:softHyphen/>
        <w:t>сообразной».</w:t>
      </w:r>
    </w:p>
    <w:p w14:paraId="459B84A9" w14:textId="77777777" w:rsidR="00FB3A90" w:rsidRPr="00070ADE" w:rsidRDefault="00FB3A9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Итоговый вывод сводился к тому, что по своим летным данным, технике пило</w:t>
      </w:r>
      <w:r w:rsidRPr="00070ADE">
        <w:rPr>
          <w:rFonts w:ascii="Times New Roman" w:hAnsi="Times New Roman"/>
          <w:color w:val="000000" w:themeColor="text1"/>
          <w:sz w:val="16"/>
          <w:szCs w:val="16"/>
        </w:rPr>
        <w:softHyphen/>
        <w:t>тирования и управляемости Су-6 уступает Ил-10. К тому же государственные испы</w:t>
      </w:r>
      <w:r w:rsidRPr="00070ADE">
        <w:rPr>
          <w:rFonts w:ascii="Times New Roman" w:hAnsi="Times New Roman"/>
          <w:color w:val="000000" w:themeColor="text1"/>
          <w:sz w:val="16"/>
          <w:szCs w:val="16"/>
        </w:rPr>
        <w:softHyphen/>
        <w:t>тания Су-6 АМ-42 еще не окончились, и официального акта НИИ ВВС подготов</w:t>
      </w:r>
      <w:r w:rsidRPr="00070ADE">
        <w:rPr>
          <w:rFonts w:ascii="Times New Roman" w:hAnsi="Times New Roman"/>
          <w:color w:val="000000" w:themeColor="text1"/>
          <w:sz w:val="16"/>
          <w:szCs w:val="16"/>
        </w:rPr>
        <w:softHyphen/>
        <w:t>лено не было (19853).</w:t>
      </w:r>
    </w:p>
    <w:p w14:paraId="7A3D29B2" w14:textId="77777777" w:rsidR="00FB3A90" w:rsidRPr="00070ADE" w:rsidRDefault="00FB3A90" w:rsidP="00B56F90">
      <w:pPr>
        <w:spacing w:after="0" w:line="240" w:lineRule="auto"/>
        <w:jc w:val="both"/>
        <w:rPr>
          <w:rFonts w:ascii="Times New Roman" w:hAnsi="Times New Roman"/>
          <w:color w:val="000000" w:themeColor="text1"/>
          <w:sz w:val="16"/>
          <w:szCs w:val="16"/>
        </w:rPr>
      </w:pPr>
    </w:p>
    <w:p w14:paraId="3057CC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Нач. 3 отдела НИИ ВВС ип Сафонов и Нач. штаба 3 отдела НИИ ВВС Авакимян письмом N 17/1834 дали справку:</w:t>
      </w:r>
    </w:p>
    <w:p w14:paraId="334061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"Настоящим удостоверяем, что завод 156 предъявил в 3-й отдел НИИ ВВС самолет Ту-2 N 103 с 2хАМ-39 на совместные испытания 31 мая 1944.</w:t>
      </w:r>
    </w:p>
    <w:p w14:paraId="47FC14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этот день в НИИ была передана вся техдокументация по самолету и был выполнен 1-й этап совместных испытаний по опробованию гидравлической системы и шасси.</w:t>
      </w:r>
    </w:p>
    <w:p w14:paraId="2CBDB4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 июня машина перелетела на аэродром НИИ." (2562,101).</w:t>
      </w:r>
    </w:p>
    <w:p w14:paraId="04C292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6BD6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Зам. Нач. 7ГУ Алексеев подготовил сводку г-7 № 8034 о ходе испытаний высотных самолетов на 15 июня 1944 по Як-9 М-105ПД, Ла-5 АШ-82ФН и 2ТК-3, МиГ АМ-39А и 2ТК-2Б (1825).</w:t>
      </w:r>
    </w:p>
    <w:p w14:paraId="3F0151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ИСТРЕБИТЕЛЬ МИГ С АМ-39Б И 2ТК-2Б.</w:t>
      </w:r>
    </w:p>
    <w:p w14:paraId="309037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Полеты не производились из-за течи бензина в бензобаке.</w:t>
      </w:r>
    </w:p>
    <w:p w14:paraId="27ADC4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 устанавливался новый бензобак. Очередной полет назначен на 16 июня с.г.</w:t>
      </w:r>
    </w:p>
    <w:p w14:paraId="505FDE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ВЫСОТНЫЙ ИСТРЕБИТЕЛЬ ЯК-9 С ВК-105ПФ И ДВУХСТУПЕНЧАТЫМ НАГНЕТАТЕЛЕМ находится в ЦАГИ на отработке винто</w:t>
      </w:r>
      <w:r w:rsidRPr="00070ADE">
        <w:rPr>
          <w:rFonts w:ascii="Times New Roman" w:hAnsi="Times New Roman"/>
          <w:color w:val="000000" w:themeColor="text1"/>
          <w:sz w:val="16"/>
          <w:szCs w:val="16"/>
        </w:rPr>
        <w:softHyphen/>
        <w:t>моторной группы.</w:t>
      </w:r>
    </w:p>
    <w:p w14:paraId="08E39A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ВЫСОТНЫЙ ИСТРЕБИТЕЛЬ ЛА-5 С АШ-82ФН и 2ТК-3 производились отдельные работы по удучшешш винтоиторной группы. Самолет не обеспечен кондиционным мотором (1825).</w:t>
      </w:r>
    </w:p>
    <w:p w14:paraId="1EAE5A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DDB9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Зам. Нач. 7ГУ Алексеев подготовил сводку г-7 № 8109 о ходе испытаний высотных самолетов на 16 июня 1944 по Як-9 М-105ПД, Ла-5 АШ-82ФН и 2ТК-3, МиГ АМ-39А и 2ТК-2Б (1825).</w:t>
      </w:r>
    </w:p>
    <w:p w14:paraId="521872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ИСТРЕБИТЕЛЬ МИГ С АМ-39Б И 2ТК-2Б.</w:t>
      </w:r>
    </w:p>
    <w:p w14:paraId="0EF78A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Произведены два полета после доводки бензосистемы самолета с бензопомпой БНК-10</w:t>
      </w:r>
    </w:p>
    <w:p w14:paraId="498D98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полет - продолжительностью 40 мин, до высоты 9000 мт с включением второй скорости нагнетателя. В полете определена граница высотности на наборе вы</w:t>
      </w:r>
      <w:r w:rsidRPr="00070ADE">
        <w:rPr>
          <w:rFonts w:ascii="Times New Roman" w:hAnsi="Times New Roman"/>
          <w:color w:val="000000" w:themeColor="text1"/>
          <w:sz w:val="16"/>
          <w:szCs w:val="16"/>
        </w:rPr>
        <w:softHyphen/>
        <w:t>соты на первой скорости нагнетателя - 8100 мт по прибору,</w:t>
      </w:r>
    </w:p>
    <w:p w14:paraId="582CD72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2-й полет - продолжительностью 40 мин, до высоты 11000 мт с включением второй скорости нагнетателя на высоте 9000 мт.</w:t>
      </w:r>
    </w:p>
    <w:p w14:paraId="4B46E0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обоих полетах винтомоторная группа работала удовлет</w:t>
      </w:r>
      <w:r w:rsidRPr="00070ADE">
        <w:rPr>
          <w:rFonts w:ascii="Times New Roman" w:hAnsi="Times New Roman"/>
          <w:color w:val="000000" w:themeColor="text1"/>
          <w:sz w:val="16"/>
          <w:szCs w:val="16"/>
        </w:rPr>
        <w:softHyphen/>
        <w:t>ьно и давление бензина от земли до высоты 11000 оставалось 0,35 атм.</w:t>
      </w:r>
    </w:p>
    <w:p w14:paraId="792795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находится в летном состоянии и подготовлен к очередному полету.</w:t>
      </w:r>
    </w:p>
    <w:p w14:paraId="7E9AC6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ВЫСОТНЫЙ ИСТРЕБИТЕЛЬ ЯК-9 С ВК-105ПФ И ДВУХСТУПЕНЧАТЫМ НАГНЕТАТЕЛЕМ</w:t>
      </w:r>
    </w:p>
    <w:p w14:paraId="12C531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находится в ЦАГИ. Отработка винтомоторной группы закончена и производилась установка аппарату</w:t>
      </w:r>
      <w:r w:rsidRPr="00070ADE">
        <w:rPr>
          <w:rFonts w:ascii="Times New Roman" w:hAnsi="Times New Roman"/>
          <w:color w:val="000000" w:themeColor="text1"/>
          <w:sz w:val="16"/>
          <w:szCs w:val="16"/>
        </w:rPr>
        <w:softHyphen/>
        <w:t>ры для замеров давлений, температуры и других харак</w:t>
      </w:r>
      <w:r w:rsidRPr="00070ADE">
        <w:rPr>
          <w:rFonts w:ascii="Times New Roman" w:hAnsi="Times New Roman"/>
          <w:color w:val="000000" w:themeColor="text1"/>
          <w:sz w:val="16"/>
          <w:szCs w:val="16"/>
        </w:rPr>
        <w:softHyphen/>
        <w:t>теристик по охлаждению.</w:t>
      </w:r>
    </w:p>
    <w:p w14:paraId="321ABD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ВЫСОТНЫЙ ИСТРЕБИТЕЛЬ ЛА-5 С АШ-82ФН и 2ТК-3.</w:t>
      </w:r>
    </w:p>
    <w:p w14:paraId="46E2D4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Производились отдельные работы по улучшению винтомотор</w:t>
      </w:r>
      <w:r w:rsidRPr="00070ADE">
        <w:rPr>
          <w:rFonts w:ascii="Times New Roman" w:hAnsi="Times New Roman"/>
          <w:color w:val="000000" w:themeColor="text1"/>
          <w:sz w:val="16"/>
          <w:szCs w:val="16"/>
        </w:rPr>
        <w:softHyphen/>
        <w:t>ной группы. Самолет не обеспечен кондиционным мотором (1825).</w:t>
      </w:r>
    </w:p>
    <w:p w14:paraId="06F07F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6993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17 июня по 12 августа 1944 на Як-9У с М-107А № 25-021 в ходе гос. испытания было произведено 54 полета общей продолжительностью более 40 часов. Бригада работала практически без перерыва два месяца над одним объектом - редкий случай в истории института! Но и задачи стояли непростые. Предстояло не только дать оценку летно-тактических данных нового самолета, но и подобрать режимы набора высоты и горизонтального полета, чтобы температура ВМГ находилась в пределах технических условий.</w:t>
      </w:r>
    </w:p>
    <w:p w14:paraId="144E4E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Прежде всего приведу несколько цифр, которые характеризовали основные летно-тактические данные Як-9У № 25-021. При полетном весе 3194 кг истребитель развивал максимальную скорость 562 км/ч у земли и 554 км/ч на второй границе высотности 5150 м. Высоту 5000 м Як-9У набирал за 5,24 мин. Эти данные были получены при использовании боевого режима (3200 об/м) для горизонтального полета и номинального режима (3000 об/м) при наборе высоты. Однако, при теплой летней погоде, которая стояла в июне-июле очень быстро перегревались вода и масло. Так, при наборе высоты летчику приходилось увеличить скорость относительно наивыгоднейшей и сократить обороты до 2800 в минуту - иначе, чтобы охладить воду и масло приходилось постоянно выполнять так называемые “площадки”, даже при полностью открытых заслонках радиаторов. При номинальном режиме в горизонтальном полете истребитель развил максимальную скорость 545 км/ч у земли и 629 км/ч на высоте 4900 м, а на набор потолка в 5000 м он тратил 6,11 мин.</w:t>
      </w:r>
    </w:p>
    <w:p w14:paraId="1B34F2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Летчик-испытатель В.И.Хомяков считал, что в целом мотор работал удовлетворительно. Его основными претензиями были: жара и отсутствие вентиляции в кабине, быстро утомлявшие пилота, а также сильная вибрация всех приборов, установленных на приборной доске, из-за тряски мотора. Совершенно недостаточной оказалась дальность радиосвязи самолета с землей. При полете на высоте 1000 м можно было разобрать передаваемую информацию лишь на расстоянии 35-40 км, а то время как по техническим условиям эта величина должна была составлять не менее 80-100 км.</w:t>
      </w:r>
    </w:p>
    <w:p w14:paraId="594B776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заключении говорилось, что головной серийный самолет Як-9У прошел государственные испытания неудовлетворительно. На нескольких листах военные инженеры и летчики НИИ ВВС изложили перечень основных претензий к самолету, особо подчеркнув те, которые необходимо было устранить а сроч-чом порядке, до поступления серийных самолетов в действующую армию (4842).</w:t>
      </w:r>
    </w:p>
    <w:p w14:paraId="3F3172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EF6F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вышел приказ НКАП N 395с:</w:t>
      </w:r>
    </w:p>
    <w:p w14:paraId="0A8D95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развитие приказа N 478с от 6 августа 1943 о постройке модификации самолета Ли-2 с 2хАШ-82ФН:</w:t>
      </w:r>
    </w:p>
    <w:p w14:paraId="74B774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Директору завода 84 Ярунину и ГК Мосолову:</w:t>
      </w:r>
    </w:p>
    <w:p w14:paraId="3CF43C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оборудовать построенный самолет Ли-2 с АШ-82ФН в пассажирском варианте под 21 место и передать на гос. испытания к 1 августа 1944.</w:t>
      </w:r>
    </w:p>
    <w:p w14:paraId="00BE24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спроектировать и изготовить комплект крыльев с доп. баками к 15 августа 1944 в целях увеличения дальности самолета (1671,110).</w:t>
      </w:r>
    </w:p>
    <w:p w14:paraId="19813C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05B1D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lastRenderedPageBreak/>
        <w:t>Другие оборонные отрасли:</w:t>
      </w:r>
    </w:p>
    <w:p w14:paraId="0B83E9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578634" w14:textId="77777777" w:rsidR="004F0E23" w:rsidRPr="00070ADE" w:rsidRDefault="004F0E2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 14-ю годовщину своего основания, Сталинградский тракторный выпустил первый трак</w:t>
      </w:r>
      <w:r w:rsidRPr="00070ADE">
        <w:rPr>
          <w:rFonts w:ascii="Times New Roman" w:hAnsi="Times New Roman"/>
          <w:color w:val="000000" w:themeColor="text1"/>
          <w:sz w:val="16"/>
          <w:szCs w:val="16"/>
        </w:rPr>
        <w:softHyphen/>
        <w:t>тор СХТЗ-НАТИ военного времени (22518).</w:t>
      </w:r>
    </w:p>
    <w:p w14:paraId="65C436A1" w14:textId="77777777" w:rsidR="004F0E23" w:rsidRPr="00070ADE" w:rsidRDefault="004F0E23" w:rsidP="00B56F90">
      <w:pPr>
        <w:spacing w:after="0" w:line="240" w:lineRule="auto"/>
        <w:jc w:val="both"/>
        <w:rPr>
          <w:rFonts w:ascii="Times New Roman" w:hAnsi="Times New Roman"/>
          <w:color w:val="000000" w:themeColor="text1"/>
          <w:sz w:val="16"/>
          <w:szCs w:val="16"/>
        </w:rPr>
      </w:pPr>
    </w:p>
    <w:p w14:paraId="5EB2B58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вышло Постановление ГКО № 6057 Об ускорении погрузочно-разгрузочных работ и сокращении простоев вагонов на подъездных путях промышленных предприятий. (7241, 97-105,106-148).</w:t>
      </w:r>
    </w:p>
    <w:p w14:paraId="08EADE9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6AF1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вышло Постановление ГКО № 6058 О мероприятиях по обеспечению добычи сульфата натрия на комбинате "Карабогазсульфат" Наркомхимпрома. РГАНИР, Фонд ГКО, д. 264, лл. 149-155,156-159 (11012).</w:t>
      </w:r>
    </w:p>
    <w:p w14:paraId="62C615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43943B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вышло Постановление ГКО № 6059 Об обеспечении погрузки продукции заводов Наркомбоеприпасов и сокращении простоев вагонов на этих заводах. (7241, 160-163,164-167).</w:t>
      </w:r>
    </w:p>
    <w:p w14:paraId="03E6B49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AAF62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вышло Постановление ГКО № 6060 Об организации производства электроторпед ЭТ-80 на заводе № 181 НКсудпрома. РГАНИР, Фонд ГКО, д. 264, лл. 168-175,176-184 (11012).</w:t>
      </w:r>
    </w:p>
    <w:p w14:paraId="6DB1DB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B4C486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вышло Постановление ГКО № 6061 О мероприятиях по восстановлению хозяйства войск НКВД и органов НКВД - НКГБ в освобожденных районах. (7241, 185-187,188-195).</w:t>
      </w:r>
    </w:p>
    <w:p w14:paraId="1882B4B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5ACE4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вышло Постановление ГКО № 6062 О дополнительных мероприятиях по материально-техническому обеспечению в 1944 г. восстановительных работ на заводах Наркомсудпрома в г. Ленинграде. РГАНИР, Фонд ГКО, д. 264, лл. 196-200,201-202 (11012).</w:t>
      </w:r>
    </w:p>
    <w:p w14:paraId="5BA7794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2E4F8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вышло Постановление ГКО № 6063 О восстановлении производства приборов для морских мин, измерительных гидравлических приборов и манометров на площадях завода № 336 Наркомсудпрома в г. Киеве. РГАНИР, Фонд ГКО, д. 264, лл. 203-206,207 (11012).</w:t>
      </w:r>
    </w:p>
    <w:p w14:paraId="65197BA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DAA7EE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вышло Постановление ГКО № 6064 О первоочередных мероприятиях по восстановлению электростанций г. Одессы. РГАНИР, Фонд ГКО, д. 265, лл. 1-4,5-7 (11012).</w:t>
      </w:r>
    </w:p>
    <w:p w14:paraId="30D342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3B2C49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вышло Постановление ГКО № 6065 О первоочередных мероприятиях по восстановлению речного флота Нижнего Днепра и Южного Буга Днепровского бассейна. (7242, 8-12,13-23).</w:t>
      </w:r>
    </w:p>
    <w:p w14:paraId="6C2D90F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1FADC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вышло Постановление ГКО № 6066 О мероприятиях по окончанию восстановления предприятий Донбассводтреста Наркомчермета. РГАНИР, Фонд ГКО, д. 265, лл. 24-29,30-31 (11012).</w:t>
      </w:r>
    </w:p>
    <w:p w14:paraId="795A4E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88599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вышло Постановление ГКО № 6067 О восстановлении электростанций и электросетей гор. Новороссийска. РГАНИР, Фонд ГКО, д. 265, лл. 32-36,37-43 (11012).</w:t>
      </w:r>
    </w:p>
    <w:p w14:paraId="58520E5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EFC11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вышло Постановление ГКО № 6068 О мероприятиях по обеспечению строительства Бакинского трубопрокатного завода Наркомчермета. РГАНИР, Фонд ГКО, д. 265, лл. 44-53,54-64 (11012).</w:t>
      </w:r>
    </w:p>
    <w:p w14:paraId="07340C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2D489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вышло Постановление ГКО № 6069 О частичном восстановлении электростанций г. Николаева. РГАНИР, Фонд ГКО, д. 265, лл. 65-69,70-72 (11012).</w:t>
      </w:r>
    </w:p>
    <w:p w14:paraId="5EBEE6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CAB5D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вышло Распоряжение ГКО № 6072. О поставке НКВМФ аппаратуры по тралению мин. РГАНИР, Фонд ГКО, д. 265, лл. 92 (11012).</w:t>
      </w:r>
    </w:p>
    <w:p w14:paraId="351E12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DABCFE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вышло Постановление ГКО № 6073 Об обеспечении электроэнергией угольных шахт и промышленных предприятий Карагандинского района. РГАНИР, Фонд ГКО, д. 265, лл. 93-95 (11012).</w:t>
      </w:r>
    </w:p>
    <w:p w14:paraId="23542B1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F06A89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вышло Постановление ГКО № 6074 О выделении автомашин, автоприцепов, самосвалов и тракторов для восстановления электростанций, промышленных предприятий и морских портов. (7242, 96,97-98).</w:t>
      </w:r>
    </w:p>
    <w:p w14:paraId="6D7F67E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C1CCE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вышло Распоряжение ГКО № 6075 [О мерах по доставке лесоматериалов на важнейшие стройки НКЧМ, НКЦМ, НКТП, НКБ, НКВ, НКТМ, НКСМ, НКХП и заводские электростанции.] (7242, 99-100,101-112).</w:t>
      </w:r>
    </w:p>
    <w:p w14:paraId="64DDA3F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E8E8F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вышло Распоряжение ГКО № 6076 [О дополнительной поставке НКПС горюче-смазочных материалов.] (7242, 113).</w:t>
      </w:r>
    </w:p>
    <w:p w14:paraId="733F281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F125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вышло Постановление ГКО № 6080 О строительстве деревянных речных барж и расширении производственной базы деревянного судостроения в Енисейском бассейне. РГАНИР, Фонд ГКО, д. 265, лл. 119-123,124-127 (11012).</w:t>
      </w:r>
    </w:p>
    <w:p w14:paraId="3639E1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584E2F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восстановлена работа Сталинградского тракторного завода (4962).</w:t>
      </w:r>
    </w:p>
    <w:p w14:paraId="360527E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D9A063" w14:textId="179EDE2F"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г. вышло постановление ГКО № 6060 об организации на заводе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Петроград,</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Ленинград «Сдвиг»/ /194044</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Санкт-Петербург Пироговская наб., 13 тел. 542-01-21, 292-27-14/) производства электроторпед ЭТ-80.</w:t>
      </w:r>
    </w:p>
    <w:p w14:paraId="7DEAE8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1946 г. завод № 181 - в ведении МСП, в 03.1953-05.1954 г. - МТиТМ, затем - снова в МСП, в 1957-65 г. - в ведении Управления судостроительной промышленности ЛенСНХ. В 1966 г. завод присоединен к НИИ-400 в качестве опытного производства.</w:t>
      </w:r>
    </w:p>
    <w:p w14:paraId="37E1B9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698957B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(2003-07 г.): самонаводящиеся, телеуправляемые электрические торпеды; донные и самотранспортирующиеся мины; приборы гидроакустического противодействия; подводные самотранспортирующиеся средства доставки водолазов; подготовка производства торпед: универсальной глубоководной самонаводящейся УГСТ и электрической ТЭ-2.</w:t>
      </w:r>
    </w:p>
    <w:p w14:paraId="54F646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070A83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Располагался на одной территории с ЦНИИ «Гидроприбор».</w:t>
      </w:r>
    </w:p>
    <w:p w14:paraId="39507F9A" w14:textId="2613DE65"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(-1911-07.1917 г.-)- М.С. Плотников, (1926-3 lr!)- Н.К. Чеснов, (1931-34; 7.09.1937-07.1938 г.-)- Д.Н. Никаноров, (-10.1936 г.)- Абрамов (репрессирован); и.о. (1936 г.)- Ф.М. Ломанов; (1.02-16.05.1937 г.)- Ф.М. Ломанов; и.о. (29.05-7.09.1937 г.)- Б.А. Хазанов; (10.1938 г.)- Никаноров, (1939-41 г.)- М.Б. Розенштейн, (1941- 50 г.)- Б.П. Румянцев, (1950-62 г.)- Е.Т. Николаев, (1962-70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Г.Д. Кортажев, (1970-83 г.)- ГЛ. Корсаков, "(1983- 90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Г.Н. Худин, (1991-2005 г.-)- В.А. Иванов.</w:t>
      </w:r>
      <w:r w:rsidRPr="00070ADE">
        <w:rPr>
          <w:rFonts w:ascii="Times New Roman" w:hAnsi="Times New Roman"/>
          <w:color w:val="000000" w:themeColor="text1"/>
          <w:sz w:val="16"/>
          <w:szCs w:val="16"/>
          <w:vertAlign w:val="superscript"/>
        </w:rPr>
        <w:t>101</w:t>
      </w:r>
      <w:r w:rsidRPr="00070ADE">
        <w:rPr>
          <w:rFonts w:ascii="Times New Roman" w:hAnsi="Times New Roman"/>
          <w:color w:val="000000" w:themeColor="text1"/>
          <w:sz w:val="16"/>
          <w:szCs w:val="16"/>
        </w:rPr>
        <w:t xml:space="preserve"> Гендиректор (2007 г.)- П.В. Черепанов.</w:t>
      </w:r>
    </w:p>
    <w:p w14:paraId="603C004C" w14:textId="48BB2C0F"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строительства- Лидванов, (1937 г.)- Иванов. Зам. директора: по ПВО и охране (19.07.1938 г.-)- П.П. Владиславов; (-06-7.09.1937; 25.09.1937 г.-)- П.М. Кнышев; и.о. 2-го зам. директора (20.08.1937 г.-)- А.П. Сальковский. Помощник директора: и.о. (-20.08.1937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Г.В. Галкин; по найму и увольнению (06.1937 г.)- А.Ф. Тимофеев; по коммерческой части (1937 г.)- Андреев.</w:t>
      </w:r>
    </w:p>
    <w:p w14:paraId="78E45D2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6BD61F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директора: коммерческого (-10.1936 г.)- Белов (репрессирован).</w:t>
      </w:r>
    </w:p>
    <w:p w14:paraId="108CAA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Гл. инженер (08.1936 г.)- Виленский (репрессирован); и.о. (1936 г.)- Ф.М. Ломанов; (-06-7.09.1937; 25.09.1937 г.- )- П.М. Кнышев, (-02-09.1938 г.-)- Ф.И. Горбатов, (-21.11.1938 г.)- И.К. Германович (снят); и.о (-23.11.1938 г.)- Ф.И. Горбатов; (23.11.1938 г.-)- Б.П. Румянцев.</w:t>
      </w:r>
    </w:p>
    <w:p w14:paraId="7F88AC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(02.1937 г.)- Волков.</w:t>
      </w:r>
    </w:p>
    <w:p w14:paraId="3950E56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технолог (-23.11.1938 г.)- Б.П. Румянцев.</w:t>
      </w:r>
    </w:p>
    <w:p w14:paraId="6F7E93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производства (23.11.1938 г.-)- Б.П. Румянцев.</w:t>
      </w:r>
    </w:p>
    <w:p w14:paraId="660021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цехов: сборочного (02.1937 г.)- Осокин; литейного (01.1937 г.)- Лебедев.</w:t>
      </w:r>
    </w:p>
    <w:p w14:paraId="2E0D89B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цеха: № 3 (08.1937 г.)- Сердцев; сборочного (02.1937 г.)- Сердцев.</w:t>
      </w:r>
    </w:p>
    <w:p w14:paraId="5869E9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отделов: КО (09.1938 г.)- Тимофеев; технического (02.1938 г.)- Зиновьев; ОТК (02.1937 г.)- Кнышев; ППО (-10.1936 г.)- Морозов (репрессирован); планового (1937 г.)- Шемаханов; снабжения (1930-е)- Жестянников (репрессирован); ОКС (1936 г.)- Соловьев; внешних связей и маркетинга (2006 г.)- Ю.А. Мельников.</w:t>
      </w:r>
    </w:p>
    <w:p w14:paraId="721DBB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начальника отдела: ППО (10.1936 г.)- Клюйко (репрессирован).</w:t>
      </w:r>
    </w:p>
    <w:p w14:paraId="79B9EC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ПЛ С.К. Джевецкого (1882-83)- 50 (вместе с Невским заводом), полуподводная лодка «Кета» пр. С.А. Яновича (1904-05), сборка ПЛ Лэка «Осетр» (1905); холодильные машины Вестингауз-Леблан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PC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070ADE">
        <w:rPr>
          <w:rFonts w:ascii="Times New Roman" w:hAnsi="Times New Roman"/>
          <w:color w:val="000000" w:themeColor="text1"/>
          <w:sz w:val="16"/>
          <w:szCs w:val="16"/>
          <w:vertAlign w:val="superscript"/>
        </w:rPr>
        <w:t xml:space="preserve">23 </w:t>
      </w:r>
      <w:r w:rsidRPr="00070ADE">
        <w:rPr>
          <w:rFonts w:ascii="Times New Roman" w:hAnsi="Times New Roman"/>
          <w:color w:val="000000" w:themeColor="text1"/>
          <w:sz w:val="16"/>
          <w:szCs w:val="16"/>
        </w:rPr>
        <w:t>транспортировочно-спасательная система «Акья» (2000-е); электрофон УРГ, электропроигрыватель «Аврора»; бытовой газовый комплекс НГБ.</w:t>
      </w:r>
    </w:p>
    <w:p w14:paraId="6CBB8C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Опытно-конструкторский отдел (ОКО) завода «Двигатель», ЦКБ-39 НКОП, НКСП</w:t>
      </w:r>
    </w:p>
    <w:p w14:paraId="71FDE7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Велась разработка новых образцов торпед: Д-5 (1935-36 г.), Д-6 (проект), ПБ-7 (авторы Перля, Брун, в 1936 г.- опытный образец), Д-10 (проектировалась в 1936 г.), ДД-9 (с кислородным двигателем), ПБ-9.</w:t>
      </w:r>
    </w:p>
    <w:p w14:paraId="34A9E0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ОКО имел свою производственную базу (30 станков) (1936 г.). По пр. № 0214 от 26.09.1937 г. на базе КО завода и соответствующего отдела Остехупра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740416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 № 415сс от 28/29.10.1938 г. ЦКБ совместно с заводом № 231 требовалось к 1.12.1938 г. изготовить две опытные торпеды «53-39». Для форсирования работ по торпеде ACT требовалось к 25.12.1938 г. закончить проект переоборудования бывшего газового завода в Ленинграде под спецлабораторию ЦКБ-39.</w:t>
      </w:r>
    </w:p>
    <w:p w14:paraId="5BD1C2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1941 г. ЦКБ-39 ликвидировано, образовав вместе с ЦКБ-36 ОКБ завода № 231 НКСП.</w:t>
      </w:r>
      <w:r w:rsidRPr="00070ADE">
        <w:rPr>
          <w:rFonts w:ascii="Times New Roman" w:hAnsi="Times New Roman"/>
          <w:color w:val="000000" w:themeColor="text1"/>
          <w:sz w:val="16"/>
          <w:szCs w:val="16"/>
          <w:vertAlign w:val="superscript"/>
        </w:rPr>
        <w:t>61</w:t>
      </w:r>
    </w:p>
    <w:p w14:paraId="1921C8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(2.02-5.11.1938 г.)- П.Я. Кононов, (5.11.1938 г.-)- М.П. Максимов.</w:t>
      </w:r>
    </w:p>
    <w:p w14:paraId="401128AD" w14:textId="4D791582"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 конструктор группы № 4 (12.1938 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Диллон.</w:t>
      </w:r>
      <w:r w:rsidRPr="00070ADE">
        <w:rPr>
          <w:rFonts w:ascii="Times New Roman" w:hAnsi="Times New Roman"/>
          <w:color w:val="000000" w:themeColor="text1"/>
          <w:sz w:val="16"/>
          <w:szCs w:val="16"/>
          <w:vertAlign w:val="superscript"/>
        </w:rPr>
        <w:t>139</w:t>
      </w:r>
    </w:p>
    <w:p w14:paraId="6D523CD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СКВ завода № 181</w:t>
      </w:r>
    </w:p>
    <w:p w14:paraId="06F5666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ГКО № 2318 от 17.09.1942 г. торпеда ЭТ-80 и глубоководный минный защитник ГМЗ пнв. В соответствии с ПСМ № 1120-583 от 15.08.1956 г. торпеда ЭТ-56 пнв.</w:t>
      </w:r>
    </w:p>
    <w:p w14:paraId="0F65D3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505FB4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02A72292" w14:textId="27F0057A"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Ведущие конструкторы: (1950-е)-</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Г.Д. Карташев, (1950-е)- В.А. Косарев, (1950-е)- Д.А. Петров, (-1943-50-е)- Н.Н. Шамарин, (1950-е)- И.П. Яковлев.</w:t>
      </w:r>
    </w:p>
    <w:p w14:paraId="60E5DA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Создано: электроторпеды: ЭТ-80 (пнв 17.09.1942 г.), ЭТ-46 (1945, на базе трофейной G-7E),</w:t>
      </w:r>
      <w:r w:rsidRPr="00070ADE">
        <w:rPr>
          <w:rFonts w:ascii="Times New Roman" w:hAnsi="Times New Roman"/>
          <w:color w:val="000000" w:themeColor="text1"/>
          <w:sz w:val="16"/>
          <w:szCs w:val="16"/>
          <w:vertAlign w:val="superscript"/>
        </w:rPr>
        <w:t>61</w:t>
      </w:r>
      <w:r w:rsidRPr="00070ADE">
        <w:rPr>
          <w:rFonts w:ascii="Times New Roman" w:hAnsi="Times New Roman"/>
          <w:color w:val="000000" w:themeColor="text1"/>
          <w:sz w:val="16"/>
          <w:szCs w:val="16"/>
        </w:rPr>
        <w:t xml:space="preserve"> ЭТ-56 (пнв 15.08.1956 г.); самонаводящаяся САЭТ-60 (1950-е), СЭТ-65КЭ; телеуправляемая по проводам ТЭСТ-68 (пнв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6CF112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766452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97795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B303D8"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17 июня</w:t>
      </w:r>
      <w:r w:rsidRPr="00070ADE">
        <w:rPr>
          <w:rFonts w:ascii="Times New Roman" w:hAnsi="Times New Roman"/>
          <w:color w:val="000000" w:themeColor="text1"/>
          <w:sz w:val="16"/>
          <w:szCs w:val="16"/>
        </w:rPr>
        <w:t xml:space="preserve"> в 1944 году оперативная сводка Совинформбюро:</w:t>
      </w:r>
    </w:p>
    <w:p w14:paraId="4DA75993"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17 июня на Карельском перешейке наши войска, продолжая успешно развивать наступление, с боями заняли более 120 населённых пунктов, в том числе Маяканмяки, Этукюля, Тарккала, Карьялайнен, Томмила, Халила, Варпулила, Каукярванкюля, Перкярви, Рихисюрья, Вуотта, Расули, Палкевала, Рикола, Косела и железнодорожные станции Коулемаярви, Перкярви, Расули.</w:t>
      </w:r>
    </w:p>
    <w:p w14:paraId="282429A8"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без перемен.</w:t>
      </w:r>
    </w:p>
    <w:p w14:paraId="0E5ECFED"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16 июня на всех фронтах в воздушных боях и огнём зенитной артиллерии сбито 17 самолётов противника.</w:t>
      </w:r>
    </w:p>
    <w:p w14:paraId="665B6BEC"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Карельском перешейке наши войска продолжали успешное наступление и заняли более 120 населённых пунктов. Продвижение наших частей было настолько стремительным, что финны не успели взорвать заминированный мост через один водный рубеж. Противник несёт огромные потери. За один день части Н-ского соединения вывели из строя до 2 тысяч финских солдат и офицеров и взяли много пленных. Захвачено 17 орудий, 20 миномётов и 67 пулемётов. Успешно действуют советские танкисты. Экипаж танка лейтенанта Жахова в одном бою разгромил два дзота и уничтожил 50 финнов. Экипаж танка старшего лейтенанта Власюка в течение дня участвовал в семи атаках. Танкисты уничтожили несколько дзотов и истребили роту финских автоматчиков. Танковый экипаж гвардии младшего лейтенанта Иванского с тыла напал на финскую противотанковую артиллерийскую батарею, уничтожил орудийные расчёты и захватил 3 исправных орудия. Наши штурмовики и истребители активно поддерживали наземные войска. Советские летчики наносили удары по подходящим резервам противника и уничтожили до 60 автомашин с вражеской пехотой и несколько десятков повозок с боеприпасами. Пушечно-пулемётным огнем наши штурмовики рассеяли и частью уничтожили несколько колонн финской пехоты на подходах к району боевых действий. В воздушных боях сбито 15 финских самолётов.</w:t>
      </w:r>
    </w:p>
    <w:p w14:paraId="5C4818BF"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Витебск пехота противника предприняла ночью разведку боем. Ружейно-пулемётным огнём гитлеровцы были рассеяны. Перед нашими позициями немцы оставили 40 трупов своих солдат и офицеров.</w:t>
      </w:r>
    </w:p>
    <w:p w14:paraId="54EA3353"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 Украинском фронте подразделение под командованием капитана Романова прорвалось в тыл противника. В течение 12 дней наши бойцы действовали в тылу врага. За это время они разбили румынский батальон и взяли в плен командира батальона капитана Михалеску. Захватив трофеи, в том числе 12 пулемётов, подразделение вернулось в свою часть.</w:t>
      </w:r>
    </w:p>
    <w:p w14:paraId="37BFCC1F"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16 июня группа торпедных катеров Краснознамённого Балтийского флота нанесла удар по кораблям противника в Нарвском заливе. Нашими катерами потоплены три немецких тральщика.</w:t>
      </w:r>
    </w:p>
    <w:p w14:paraId="54069A5A"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белорусских партизанских отрядов, действующих в Минской области, за месяц пустили под откос 24 немецких воинских эшелона. Нападая на врага из засад у шоссейных и грунтовых дорог, партизаны уничтожили 43-автомашины и истребили более 200 гитлеровцев.</w:t>
      </w:r>
    </w:p>
    <w:p w14:paraId="1C5C476A"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Немецкие солдаты, захваченные в плен на различных участках советско-германского фронта, сообщают, что известие о высадке войск союзников в Северной Франции произвело на них ошеломляющее впечатление. Пленный батальонный врач 930 немецкого охранного полка Халенд заявил: «Нам всё время говорили, что на побережье построены неприступные укрепления. Немецкие газеты, ссылаясь на официальные источники, писали, что никакая человеческая сила не в состоянии преодолеть эти укрепления. Это повторялось изо дня в день на всевозможные лады. В конце концов солдаты и офицеры на фронте поверили, что атлантический вал действительно неуязвим. Англо-американские войска, высадившиеся на побережье, опровергли все эти хвастливые утверждения. Успех англо-американских войск в Северной Франции ещё более подорвал веру немецких солдат в своё военное руководство. Многие солдаты и офицеры убедились, что Гитлер их дурачил и обманывал».</w:t>
      </w:r>
    </w:p>
    <w:p w14:paraId="1B2C6362"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солдат штабной роты 545 немецкого полка Иоганн Фелингер рассказал: «Солдаты были подавлены известием о высадке англо-американских войск во Франции. Мнение многих солдат сводится к тому, что в скором времени война будет перенесена на территорию Германии».</w:t>
      </w:r>
    </w:p>
    <w:p w14:paraId="10ED7115"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Перешедший на сторону Красной Армии солдат 546 немецкого полка Вильгельм Р. сообщил: «Сообщение о высадке англо-американских войск во Франции вызвало большое возбуждение в полку. В тесном кругу солдаты оживлённо обсуждают создавшееся положение. Почти все считают начавшееся вторжение во Францию предвестником разгрома Германии. Даже офицеры пади духом. С тех пор, как стало известно о высадке во Франции, солдаты живут в нервном напряжении. Все со страхом ожидают наступления русских» (14925).</w:t>
      </w:r>
    </w:p>
    <w:p w14:paraId="0017FB3D"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330E070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вышло Постановление ГКО № 6071 О создании в Бари (Италия) базы и авиагруппы по транспортировке грузов в Югославию. (7242, 79-80,81-91).</w:t>
      </w:r>
    </w:p>
    <w:p w14:paraId="3C2FCC3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BB38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17 июня 1944 года советская авиация атаковала немецкий конвой, шедший в районе мыса Нордкин. Первый удар в 08:45 нанесли 18 истребителей-бомбардировщиков </w:t>
      </w:r>
      <w:r w:rsidRPr="00070ADE">
        <w:rPr>
          <w:rFonts w:ascii="Times New Roman" w:hAnsi="Times New Roman"/>
          <w:color w:val="000000" w:themeColor="text1"/>
          <w:sz w:val="16"/>
          <w:szCs w:val="16"/>
        </w:rPr>
        <w:lastRenderedPageBreak/>
        <w:t>Р40 в сопровождении 10 истребителей. Конвой прикрывало 14 Вf109 из которых советские пилоты сбили 8, что, впрочем, не подтверждено документами противоположной стороны. В 09:04 шесть Ил-2 совершили второй, также безрезультатный налет, после чего в бой вступили основные силы. В основном налете участвовали две группы: 4 Ил-4 из 9-го ГМТАП и 6 Ил2 (командиры, майор А.Н. Волошин и лейтенант Беляшов), а также 6 А-20Г из того же полка и 2 Ил-2 (командиры, майор С.К. Литвинов и капитан А.Н. Синицын). Кроме того, в налете участвовали 10 торпедоносцев и 46 истребителей прикрытия. Советская сторона потеряла 4 Ил-2, в то время как пилоты заявили 40 побед при потере двух собственных машин. Вот еще один пример того, насколько осторожно следует относиться к цифрам заявленных побед (2691).</w:t>
      </w:r>
    </w:p>
    <w:p w14:paraId="79846E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Торпеды, пущенные с Бостонов, отправили на дно лесовоз (2691).</w:t>
      </w:r>
    </w:p>
    <w:p w14:paraId="6886CB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42217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020BBB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31CB2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ЦК КП(б)У принял постановление о предоставлении помощи чешским коммунистам для организации партизанского движения в Чехословакии (4962).</w:t>
      </w:r>
    </w:p>
    <w:p w14:paraId="6C4B327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DB0E6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3DC3D7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2323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Гитлер прибыл во Францию на совещание с командующим немецкими войсками на Западе. Он поздравил Хейнемана и Вахтеля с успехом и запретил наносить ракетные удары по каким-либо другим объектам кроме Лондона.</w:t>
      </w:r>
    </w:p>
    <w:p w14:paraId="6815E83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Начались систематические удары V1 по столице Великобритании, а вскоре, с разрешения Гитлера, и по некоторым другим английским городам. Всего в ходе первого этапа (13 июня – 1 сентября) было запущено 9017 крылатых ракет всех модификаций.</w:t>
      </w:r>
    </w:p>
    <w:p w14:paraId="2B7BB7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техническая надежность всей системы подготовки и применения V1 составляла всего 0,65–0,75. Так, из первых запущенных 9000 ракет около 2000 (22%) взорвалось сразу после старта или в полете. Из всех нормально стартовавших ракет Лондона достигло 80–85%. Это было вызвано и тактикой применения V1, затруднявшей борьбу с ракетами средствами ПВО.</w:t>
      </w:r>
    </w:p>
    <w:p w14:paraId="4441DB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Немцы по возможности запускали крылатые ракеты одновременно со всех действующих стартовых позиций через неравные промежутки времени. Таким образом достигалась массированность и тактическая внезапность удара. Другой вариант предусматривал интенсивный огневой налет продолжительностью 75 минут, затем после паузы методический обстрел, снова пауза и затем огневой налет. И так с часу ночи до рассвета.</w:t>
      </w:r>
    </w:p>
    <w:p w14:paraId="2D8DFF0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 на малых высотах не позволял РЛС своевременно обнаруживать ракеты. Это приводило к сокращенному времени воздействия на них активными средствами ПВО. Следует сказать, что максимальное время предупреждения до подлета цели к побережью составляло всего 6 минут, а подлетное время от побережья к зоне зенитной артиллерии – 5 минут. Кроме того, V1, как низколетящая цель с большой угловой скоростью, являлась очень трудной целью для зенитной артиллерии, в связи с чем англичанам приходилось наводить свои орудия на цель ручным способом, а не с помощью станций орудийной наводки.</w:t>
      </w:r>
    </w:p>
    <w:p w14:paraId="3B7CDD3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 полета ракеты – 900–1000 м немцами также была выбрана не случайно. На таких высотах V1 летела ниже зоны поражения тяжелых зенитных орудий, но выше эффективной зоны зенитной артиллерии малого калибра. У летчика истребительной авиации, чтобы уничтожить V1 в воздухе, также было время только для одного захода. К тому же немцы умело использовали погоду, чтобы затруднить действия истребительной авиации.</w:t>
      </w:r>
    </w:p>
    <w:p w14:paraId="403EAF7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Ракеты запускались, как правило, в облачные и дождливые дни.</w:t>
      </w:r>
    </w:p>
    <w:p w14:paraId="3FDE3C1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Первостепенное значение немцы придавали точности попадания ракет. Для оценки результатов ракетных ударов использовалась многочисленная агентурная разведка. Много полезных сведений содержалось в сообщениях английской прессы о пострадавших районах и характере разрушений. Особо ценные сведения содержались в некрологах и списках погибших при взрывах ракет. Благодаря таким сведениям немцы вносили необходимые коррективы для нанесения последующих ракетных ударов (11686).</w:t>
      </w:r>
    </w:p>
    <w:p w14:paraId="4BB388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18A9FC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во время совещания в бункере Суассан (Франция) немецкие фельдмаршалы Роммель и Рундштедт призвали Гитлера прекратить войну (4962).</w:t>
      </w:r>
    </w:p>
    <w:p w14:paraId="7E1F85B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5A2FE0"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17 июня</w:t>
      </w:r>
      <w:r w:rsidRPr="00070ADE">
        <w:rPr>
          <w:rFonts w:ascii="Times New Roman" w:hAnsi="Times New Roman"/>
          <w:color w:val="000000" w:themeColor="text1"/>
          <w:sz w:val="16"/>
          <w:szCs w:val="16"/>
        </w:rPr>
        <w:t xml:space="preserve"> в 1944 году во время совещания в бункере Суассан (Франция) немецкие фельдмаршалы Эрвин Роммель и Герд фон Рундштедт призвали Адольфа Гитлера прекратить войну (14925).</w:t>
      </w:r>
    </w:p>
    <w:p w14:paraId="10EB6F3B"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266A3BB5" w14:textId="77777777" w:rsidR="004F0E23" w:rsidRPr="00070ADE" w:rsidRDefault="004F0E2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17–18 июня (ночь) 1944 317 британских бомбардировщиков атаковали французские железнодорожные станции в Ольное, Мондидье и Сен-Мартен-л'Ортье, потеряв один самолет, а еще 114 нанесли удар по Уазмону. Облачный покров делает налеты безуспешными. Плохая погода и облачность делают невозможными успешные рейды в течение ближайших трех дней (20373).</w:t>
      </w:r>
    </w:p>
    <w:p w14:paraId="5481593B" w14:textId="77777777" w:rsidR="004F0E23" w:rsidRPr="00070ADE" w:rsidRDefault="004F0E23" w:rsidP="00B56F90">
      <w:pPr>
        <w:spacing w:after="0" w:line="240" w:lineRule="auto"/>
        <w:jc w:val="both"/>
        <w:rPr>
          <w:rFonts w:ascii="Times New Roman" w:hAnsi="Times New Roman"/>
          <w:color w:val="000000" w:themeColor="text1"/>
          <w:sz w:val="16"/>
          <w:szCs w:val="16"/>
        </w:rPr>
      </w:pPr>
    </w:p>
    <w:p w14:paraId="4796CD01" w14:textId="77777777" w:rsidR="004F0E23" w:rsidRPr="00070ADE" w:rsidRDefault="004F0E2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Генерал-лейтенант Хайнц Хельмих, командующий 243-й пехотной дивизией немецкой армии, убит выстрелом из 20-мм орудия во время авиаудара союзников в Шербурге, Франция (20373).</w:t>
      </w:r>
    </w:p>
    <w:p w14:paraId="7F436FC2" w14:textId="77777777" w:rsidR="004F0E23" w:rsidRPr="00070ADE" w:rsidRDefault="004F0E23" w:rsidP="00B56F90">
      <w:pPr>
        <w:spacing w:after="0" w:line="240" w:lineRule="auto"/>
        <w:jc w:val="both"/>
        <w:rPr>
          <w:rFonts w:ascii="Times New Roman" w:hAnsi="Times New Roman"/>
          <w:color w:val="000000" w:themeColor="text1"/>
          <w:sz w:val="16"/>
          <w:szCs w:val="16"/>
        </w:rPr>
      </w:pPr>
    </w:p>
    <w:p w14:paraId="3316EF8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войска союзников высадились на острове Эльба (Средиземное море) (4962).</w:t>
      </w:r>
    </w:p>
    <w:p w14:paraId="11EF86E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18021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1944у войска союзников высадились на острове Эльба в Средиземном море (4963 ).</w:t>
      </w:r>
    </w:p>
    <w:p w14:paraId="0D1638C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8DEC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17th, 1944: German troops evacuate the island of Elba off the west coast of Italy (3819).</w:t>
      </w:r>
    </w:p>
    <w:p w14:paraId="67BBEC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F7568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французские войска высадились на о Эльба в Средиземном море (2100).</w:t>
      </w:r>
    </w:p>
    <w:p w14:paraId="462F05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D86BEF" w14:textId="77777777" w:rsidR="004F0E23" w:rsidRPr="00070ADE" w:rsidRDefault="004F0E2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35 самолетов авианосцев оперативной группы 58.4 нанесли удар по японскому аэродрому на острове Паган, не обнаружив самолетов, но повредив несколько зданий. Японские самолеты атакуют американские военные корабли у побережья Сайпана, повредив авианосец сопровождения USS Fanshaw Bay (CVE-70) (20373).</w:t>
      </w:r>
    </w:p>
    <w:p w14:paraId="3FB18ADD" w14:textId="77777777" w:rsidR="004F0E23" w:rsidRPr="00070ADE" w:rsidRDefault="004F0E23" w:rsidP="00B56F90">
      <w:pPr>
        <w:spacing w:after="0" w:line="240" w:lineRule="auto"/>
        <w:jc w:val="both"/>
        <w:rPr>
          <w:rFonts w:ascii="Times New Roman" w:hAnsi="Times New Roman"/>
          <w:color w:val="000000" w:themeColor="text1"/>
          <w:sz w:val="16"/>
          <w:szCs w:val="16"/>
        </w:rPr>
      </w:pPr>
    </w:p>
    <w:p w14:paraId="14F0DE7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на референдуме жители Исландии проголосовали за отделение от Дании (4962).</w:t>
      </w:r>
    </w:p>
    <w:p w14:paraId="7792BB2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232E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Исландия была объявлена республикой (2247,5).</w:t>
      </w:r>
    </w:p>
    <w:p w14:paraId="07C906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0E74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 июня 1944 была расторгнута датско-исландская уния (3186).</w:t>
      </w:r>
    </w:p>
    <w:p w14:paraId="339700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FA1CD7"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17 июня</w:t>
      </w:r>
      <w:r w:rsidRPr="00070ADE">
        <w:rPr>
          <w:rFonts w:ascii="Times New Roman" w:hAnsi="Times New Roman"/>
          <w:color w:val="000000" w:themeColor="text1"/>
          <w:sz w:val="16"/>
          <w:szCs w:val="16"/>
        </w:rPr>
        <w:t xml:space="preserve"> в 1944 году на основании всенародного референдума Исландия, с 1380 года являвшаяся фактически владением Дании, а с 1918 года государством, объединенным с ней на началах унии, провозгласила себя независимой республикой. Торжественная церемония, проведенная в долине Тинг, где в 930 году собрался самый старый в мире парламент — исландский альтинг, была приурочена к 133-летию со дня рождения Йоуна Сигурдссона (1811–1879), виднейшего борца за независимость Исландии, автора ее конституции и на протяжении многих лет спикера альтинга (14925).</w:t>
      </w:r>
    </w:p>
    <w:p w14:paraId="103139C0"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4B8145D4"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17 июня</w:t>
      </w:r>
      <w:r w:rsidRPr="00070ADE">
        <w:rPr>
          <w:rFonts w:ascii="Times New Roman" w:hAnsi="Times New Roman"/>
          <w:color w:val="000000" w:themeColor="text1"/>
          <w:sz w:val="16"/>
          <w:szCs w:val="16"/>
        </w:rPr>
        <w:t xml:space="preserve"> в 1944 году Исландия объявляет независимость от Дании. В Thingvallir, Исландия, провозглашается Республика Исландия, президентом Республики Исландия избран С.Бьернсон (14925).</w:t>
      </w:r>
    </w:p>
    <w:p w14:paraId="3960B001"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4D4CF5F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C8522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1E1412"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июня 1944 года был подписан акт по государственным испытаниям самолета Пе-2 с моторами ВК-105ПФ, с винтами ВИШ-105СВП, с модифицированным крылом.</w:t>
      </w:r>
    </w:p>
    <w:p w14:paraId="5AF4DF4A"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Цель Испытаний.</w:t>
      </w:r>
    </w:p>
    <w:p w14:paraId="7F26F12C"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Выявить особенности техники пилотирования самолета с модифицированном крылом.</w:t>
      </w:r>
    </w:p>
    <w:p w14:paraId="13FF1647"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2.Определить летные данные самолета.</w:t>
      </w:r>
    </w:p>
    <w:p w14:paraId="3C066DD9"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Объект Испытаний.</w:t>
      </w:r>
    </w:p>
    <w:p w14:paraId="5DB0DF51"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Предъявленный на испытания самолет Пе-2 № 14/226 с двумя моторами ВК-105ПФ и винтами ВИШ-105СВП,Д=3,0 м, с модифицированным крылом построен заводом № 22 в сентябре 1943 года.</w:t>
      </w:r>
    </w:p>
    <w:p w14:paraId="65741D2F"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От серийных самолетов Пе-2, предъявленный самолет отличается только модифицированным крылом. Сущность модификации серийного крыла заключается в следующем:</w:t>
      </w:r>
    </w:p>
    <w:p w14:paraId="32909075"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1.Носок профиля ВВS отъемной части крыла до ~ 25% хорды заменен на профиль NACA-230.</w:t>
      </w:r>
    </w:p>
    <w:p w14:paraId="6F02A00F"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2.Увеличены площадь крыла на 0,846квм и размах на 0,92м за счет увеличения концевых обтекателей отъемннх частей крыла.</w:t>
      </w:r>
    </w:p>
    <w:p w14:paraId="52C34B32"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Незначительно изменены передний лонжерон /только в стапеле/, входной канал туннеля водорадиатора и средние части нервюр.</w:t>
      </w:r>
    </w:p>
    <w:p w14:paraId="29289ECC"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Центроплан, а также остальные детали отъемных частей серийного крыла остались без изменения.</w:t>
      </w:r>
    </w:p>
    <w:p w14:paraId="1660C597"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Результаты Испытаний</w:t>
      </w:r>
    </w:p>
    <w:p w14:paraId="1988DE4A"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прибыл в НИИ ВВС Красной Армии для проведения испытаний 29.5.44г.</w:t>
      </w:r>
    </w:p>
    <w:p w14:paraId="32C48BB5"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самолета начаты 7.5.44 г. и закончены 13.5.44 г.</w:t>
      </w:r>
    </w:p>
    <w:p w14:paraId="39307BE4"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испытаний произведено 26 полетов, с общим налетом 12 часов 45 минут.</w:t>
      </w:r>
    </w:p>
    <w:p w14:paraId="140DAB34"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Летная оценка самолета Пе-2 с модифицированным крылом.</w:t>
      </w:r>
    </w:p>
    <w:p w14:paraId="6B6DA768"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1.У серийного самолета Пе-2 с модифицированным крылом резко увеличилась поперечная устойчивость на взлете. При подрыве на малой скорости самолет не валится на крыло, поэтому взлет стал значительно проще и менее опасным, чем на серийных самолетах пе-2.</w:t>
      </w:r>
    </w:p>
    <w:p w14:paraId="68BC1F7D"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.При наборе высоты уменьшилась минимальная скорость полета и значительно улучшилась поперечная устойчивость самолета. Минимально дспустимая скорость при наборе высоты = 200 -км/час. При дальнейшем уменьшении скорости до 195—190 км/час самолет теряет управляемость и затем сваливается на нос. Наивыгоднейшая скорость набора высоты практически не изменилась /шасси и щитки убраны/.</w:t>
      </w:r>
    </w:p>
    <w:p w14:paraId="1410EF08"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Горизонтальный полет возможен до скорости 220 км/час. При дальнейшем уменьшении скорости самолет переходит на нос /шасси и щитки убраны/.</w:t>
      </w:r>
    </w:p>
    <w:p w14:paraId="68AEB99B"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Полет на одном моторе производить легче за счет увеличения диапазона скоростей. Минимально допустимая скорость полета на одном моторе 235—240 км/час, при дальнейшем уменьшении скорости, возрастают нагрузки на подали для снятия которых нехватает триммера и ухудшается управляемость. Максимальная скорость при полете на одном моторе равна 300 км/час /шасси убраны, винт неработающего мотора затяжелен, полетный вес 8447 кг. Имеющийся запас скорости 60-65 км/час позволяет производить набор высоты.</w:t>
      </w:r>
    </w:p>
    <w:p w14:paraId="121355E3"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Минимальная скорость планирования /шасси и щитки убраны/ 235 км/час, при дальнем ем уменьшении скорости самолет становится менее устойчивым, а на скорости 220 км/час переходит на нос. Планирование с выпущенными шасси и щитками на 50° можно производить на скорости 200 км/час, при уменьшении скорости до 180 км/час самолет переходит на нос. Планировать на посадку следует на скорости 220-225 км/час.</w:t>
      </w:r>
    </w:p>
    <w:p w14:paraId="0AD2B27F"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При посадке с полностью выпущенными щитками не хватает руля глубины для приземления на три точки. Посадку следует производить со щитками выпущеными на 40-45. При высоком выравнивании и козлах, самолет не валится на крыло, что очень важно.</w:t>
      </w:r>
    </w:p>
    <w:p w14:paraId="50165B1F"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04B29BD1"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Самолет Пе-2 с модифицированным крылом имеет значительно больший диапазон скоростей и лучную поперечную устойчивость по сравнению с серийным самолетом Пе-2.</w:t>
      </w:r>
    </w:p>
    <w:p w14:paraId="53105573"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Самолет стал более безопасным при пилотировании на малых скоростях на всех режимах полета. Модифицированное крыло устранило большой недостаток самолета Пе-2 — сваливание на крыло на малых скоростях.</w:t>
      </w:r>
    </w:p>
    <w:p w14:paraId="34AB0348"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3.необходимо, как можно скорее, внедрить в серийное производство модифицированное крыло, что резко сократит происшествия в строевых частях и облегчит переучивание летного состава на самолете Пе-2.</w:t>
      </w:r>
    </w:p>
    <w:p w14:paraId="1FA9A737"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ВЕДУЩИЙ ЛЕТЧИК - ПОМ.НАЧАЛЬНИКА 3-го ОТДЕЛЕНИЯ ПО ЛЕТНОЙ ЧАСТИ ПОДПОЛКОВНИК /ЖДАНОВ/ 16 Июня 1944 г.</w:t>
      </w:r>
    </w:p>
    <w:p w14:paraId="4A80BC73"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47CA6EF4"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технике пилотирования.</w:t>
      </w:r>
    </w:p>
    <w:p w14:paraId="3C0F650D"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Установка модифицированного крыла на самолете Пе-2 изменила характер поведения самолета на минимальных скоростях. На самолете Пе-2 с серийным крылом при достижении минимальной скорости появлялась сильная тряска оперения, подергивание всех рулей, и самолет резко переходил на крыло и на нос. На самолете с модифицированным, крылом при этих же условиях появляются- небольшие толчки на рулях, самолет переходит только на нос, при чем после срыва самолет быстро приобретает устойчивость и управляемость.</w:t>
      </w:r>
    </w:p>
    <w:p w14:paraId="35A47878"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 режимах набора и планирования уменьшились минимальные скорости полета на 15-20 км/час.</w:t>
      </w:r>
    </w:p>
    <w:p w14:paraId="01AE57C8"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Улучшилась устойчивость самолета на всех режимах полета.</w:t>
      </w:r>
    </w:p>
    <w:p w14:paraId="186A5260"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Самолет стал значительно проще в пилотировании, особенно на взлете и посадке, так как самолет не имеет тенденции сваливаться на крыло.</w:t>
      </w:r>
    </w:p>
    <w:p w14:paraId="41E6E1A1"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Увеличился на 20-26 км/час диапазон скоростей при полете на одном моторе.</w:t>
      </w:r>
    </w:p>
    <w:p w14:paraId="516AA32C"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Для посадки на три точки с полностью выпущенными щитками не хватает руля глубины.</w:t>
      </w:r>
    </w:p>
    <w:p w14:paraId="0302A5FB"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летным данным.</w:t>
      </w:r>
    </w:p>
    <w:p w14:paraId="17A63D3E"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Максимальные скорости скороподъемность, взлетные и посадочные свойства самолета Пе-2 с модифицированным крылом, по сравнению с серийным самолетом Пе-2, практически не изменились.</w:t>
      </w:r>
    </w:p>
    <w:p w14:paraId="5F8829B3"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3-ГО ОТДЕЛЕНИЯ 3 ОТДЕЛА НИИ ВВС КРАСНОЙ АРМИИ - ИНЖЕНЕР-ПОЛКОВНИК /КОКОРИН/</w:t>
      </w:r>
    </w:p>
    <w:p w14:paraId="05B48F06"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июня 1944г.</w:t>
      </w:r>
    </w:p>
    <w:p w14:paraId="7ADF883B"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ВЕДУЩИЙ ИНЖЕНЕР 3 ОТДЕЛА НИИ ВВС</w:t>
      </w:r>
    </w:p>
    <w:p w14:paraId="6C7A4255"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КРАСНОЙ АРМИИ ИНЖЕНЕР-МАЙОР /МАТЫЦИН/</w:t>
      </w:r>
    </w:p>
    <w:p w14:paraId="294F9D4F"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июня 1944 г.</w:t>
      </w:r>
    </w:p>
    <w:p w14:paraId="6E529EDC"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ВЕДУЩИЙ ЛЕТЧИК - ПОМ.НАЧАЛЬНИКА 3-го ОТДЕЛЕНИЯ ПО ЛЕТНОЙ ЧАСТИ ПОДПОЛКОВНИК /ЖДАНОВ/</w:t>
      </w:r>
    </w:p>
    <w:p w14:paraId="72A562D8" w14:textId="77777777" w:rsidR="000D3B31" w:rsidRPr="00070ADE" w:rsidRDefault="000D3B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июня 1944 г. (23345).</w:t>
      </w:r>
    </w:p>
    <w:p w14:paraId="4DCDDB4C" w14:textId="77777777" w:rsidR="000D3B31" w:rsidRPr="00070ADE" w:rsidRDefault="000D3B31" w:rsidP="00B56F90">
      <w:pPr>
        <w:spacing w:after="0" w:line="240" w:lineRule="auto"/>
        <w:jc w:val="both"/>
        <w:rPr>
          <w:rFonts w:ascii="Times New Roman" w:hAnsi="Times New Roman"/>
          <w:color w:val="000000" w:themeColor="text1"/>
          <w:sz w:val="16"/>
          <w:szCs w:val="16"/>
        </w:rPr>
      </w:pPr>
    </w:p>
    <w:p w14:paraId="3A8D63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18 июня 1944 г. приказом по НКАП № 00446/262от начальник ОКБ 4-го Спецотдела НКВД СССР на заводе № 16 Бекетов В. А. передал директору завода № 16 Лукину М. М.: </w:t>
      </w:r>
    </w:p>
    <w:p w14:paraId="5D26AC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1. Группу работников реактивных двигателей в количестве 85 человек, завершивших впервые в СССР плановое задание по созданию опытных образцов нового типа авиационных двигателей - реактивного двигателя РД-1 с тягой 300 кг. </w:t>
      </w:r>
    </w:p>
    <w:p w14:paraId="2FAA1C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 Группу работников в количестве 150 человек по созданию опытных образцов, 24-цилиндровый бензиновый двигателей мощностью 2200 л. с. МБ-100 и МБ-102. Двигатели требовали дальнейшей доводки. </w:t>
      </w:r>
    </w:p>
    <w:p w14:paraId="2C16A4F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3. Группа работников по созданию дизельных двигателей изъята из структуры завода № 16 и направлена на Тушинский авиамоторный завод № 82. </w:t>
      </w:r>
    </w:p>
    <w:p w14:paraId="7BC289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Директором завода № 16 М. М. Лукиным были продолжены работы, начатые под руководством ОКБ 4-го Спецотдела НКВД СССР. </w:t>
      </w:r>
    </w:p>
    <w:p w14:paraId="7116F0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декабре 1944 г. на заводе № 16 была проведена реорганизация. На базе группы реактивных двигателей было создано ОКБ специальных двигателей - ОКБ СД. В секретных документах его называли ОКБ реактивных двигателей - ОКБ РД. Главным конструктором назначили Глушко, а Королев стал его заместителем. </w:t>
      </w:r>
    </w:p>
    <w:p w14:paraId="181ED3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Первоначально Королев работал по отработке и испытанию двигателей РД-1ХЗ. Его группа состояла из четырех бригад, включавших 16 человек. Пять человек были специалисты 4-го Спецотдела НКВД Тушинского ОТБ-82, а остальные одиннадцать - вольнонаемные. </w:t>
      </w:r>
    </w:p>
    <w:p w14:paraId="71A9DE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достигнутые успехи Глушко включил Королева в сталинский приказ об освобождении и награждении орденом "Знак Почета" (12107).</w:t>
      </w:r>
    </w:p>
    <w:p w14:paraId="1CCE3B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EC99664" w14:textId="2D678731" w:rsidR="008D055A" w:rsidRPr="00070ADE" w:rsidRDefault="008D055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июня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вышел приказ МАП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00446/262, на основании которого начальник ОКБ 4-го Спецотдела НКВД СССР на заводе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16 Бекетов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А. передал директору завода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16 Лукину 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w:t>
      </w:r>
    </w:p>
    <w:p w14:paraId="069B481C" w14:textId="6E759C17" w:rsidR="008D055A" w:rsidRPr="00070ADE" w:rsidRDefault="008D055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Группу работников реактивных двигателей в количестве 85 человек, завершивших впервые в СССР плановое задание по созданию опытных образцов нового типа авиационных двигателей — реактивного двигателя РД-1 с тягой 300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кг. </w:t>
      </w:r>
    </w:p>
    <w:p w14:paraId="0E29FC1E" w14:textId="7F082A1D" w:rsidR="008D055A" w:rsidRPr="00070ADE" w:rsidRDefault="008D055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Группу работников в количестве 150 человек по созданию опытных образцов, 24-цилиндровый бензиновый двигателей мощностью 2200 л.</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xml:space="preserve">с. МБ-100 и МБ-102. Двигатели требовали дальнейшей доводки. </w:t>
      </w:r>
    </w:p>
    <w:p w14:paraId="7BB9C93C" w14:textId="1D0C31B8" w:rsidR="008D055A" w:rsidRPr="00070ADE" w:rsidRDefault="008D055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Группа работников по созданию дизельных двигателей изъята из структуры завода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16 и направлена на Тушинский авиамоторный завод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82.</w:t>
      </w:r>
    </w:p>
    <w:p w14:paraId="216A07CC" w14:textId="1AF42E74" w:rsidR="008D055A" w:rsidRPr="00070ADE" w:rsidRDefault="008D055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Директором завода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16 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 Лукиным были продолжены работы, начатые под руководством ОКБ 4-го Спецотдела НКВД СССР (18668).</w:t>
      </w:r>
    </w:p>
    <w:p w14:paraId="7BB9E077" w14:textId="77777777" w:rsidR="008D055A" w:rsidRPr="00070ADE" w:rsidRDefault="008D055A" w:rsidP="00B56F90">
      <w:pPr>
        <w:spacing w:after="0" w:line="240" w:lineRule="auto"/>
        <w:jc w:val="both"/>
        <w:rPr>
          <w:rFonts w:ascii="Times New Roman" w:hAnsi="Times New Roman"/>
          <w:color w:val="000000" w:themeColor="text1"/>
          <w:sz w:val="16"/>
          <w:szCs w:val="16"/>
        </w:rPr>
      </w:pPr>
    </w:p>
    <w:p w14:paraId="24E540C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9F1C1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9DA94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июня 1944 вышло Распоряжение ГКО № 6078. О продлении до 1 сентября 1944 г. срока децентрализованного производства запчастей к с.х. технике в Ульяновской обл. РГАНИР, Фонд ГКО, д. 265, лл. 116 (11012).</w:t>
      </w:r>
    </w:p>
    <w:p w14:paraId="2D7321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4CC40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18 июня 1944 вышло Распоряжение ГКО № 6079. О направлении 5 офицеров-экономистов по образованию - в Распоряжение Госплана СССР. РГАНИР, Фонд ГКО, д. 265, лл. 117,118 (11012).</w:t>
      </w:r>
    </w:p>
    <w:p w14:paraId="1AD116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2544D3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июня 1944 вышло Распоряжение ГКО № 6079 [О направлении 5 офицеров-экономистов по образованию в Распоряжение ГКО Госплана СССР.] (7242, 117,118).</w:t>
      </w:r>
    </w:p>
    <w:p w14:paraId="5723503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C8EC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июня 1944 закончили постройку и после государственных ходовых испытаний передали флоту буксир типа "Ижорец". Проводился аварийно-боевой ремонт шести БМО (10671).</w:t>
      </w:r>
    </w:p>
    <w:p w14:paraId="3727BB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A47AB3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7A814D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91A67B"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18 июня</w:t>
      </w:r>
      <w:r w:rsidRPr="00070ADE">
        <w:rPr>
          <w:rFonts w:ascii="Times New Roman" w:hAnsi="Times New Roman"/>
          <w:color w:val="000000" w:themeColor="text1"/>
          <w:sz w:val="16"/>
          <w:szCs w:val="16"/>
        </w:rPr>
        <w:t xml:space="preserve"> в 1944 году оперативная сводка Совинформбюро:</w:t>
      </w:r>
    </w:p>
    <w:p w14:paraId="67AC98C5"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18 июня на Карельском перешейке войска Ленинградского фронта в результате стремительного наступления пехоты и танков, поддержанных мощными ударами артиллерии и авиации, прорвали третью линию обороны финнов — Линию Маннергейма — в районе Мурила, Илякирйола и, развивая наступление на Выборгском направлении, овладели районным центром Ленинградской области городом и портом Бьеркэ (Койвисто).</w:t>
      </w:r>
    </w:p>
    <w:p w14:paraId="636DA078"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наступления войска фронта с боями заняли более 100 населенных пунктов, в том числе районный центр Ленинградской области Рауту, крупные населённые пункты Пенттиля, Коттерлахти, Лахтенмяки, Макслахденкюля (28 километров южнее города Выборг), Колккала, Хиетанен, Пихнала, Сипрола, Парккила, Пихлайнен, Телккяля, Валкярви, Ноусиала, Ораваниеми, Липола, Нурмиярви, Васкела и железнодорожные станции Хумалйоки, Лахтенмяки, Валкярви, Рауту.</w:t>
      </w:r>
    </w:p>
    <w:p w14:paraId="7FB212CD"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без перемен.</w:t>
      </w:r>
    </w:p>
    <w:p w14:paraId="6D88424C"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17 июня в воздушных боях и огнём зенитной артиллерии сбито 24 самолёта противника.»</w:t>
      </w:r>
    </w:p>
    <w:p w14:paraId="1F645951"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Удары нашей авиации по аэродромам противника:</w:t>
      </w:r>
    </w:p>
    <w:p w14:paraId="67C34E11"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18 июня наша авиация дальнего действия наносила массированные удары по аэродромам противника в районе Баранович, Пинска, Минска. В результате бомбардировки на аэродромах возникли многочисленные пожары, сопровождавшиеся взрывами. Горели самолёты, склады боеприпасов и резервуары с горючим. Уничтожено и повреждено большое число немецких самолётов.</w:t>
      </w:r>
    </w:p>
    <w:p w14:paraId="4A96D39E"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Один наш самолёт не вернулся на свою базу.»</w:t>
      </w:r>
    </w:p>
    <w:p w14:paraId="17412E64"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Карельском перешейке войска Ленинградского фронта стремительным ударом прорвали третью линию обороны финнов—линию Маннергейма—в районе Журила, Илякирйола. штурмом занят город и порт Бьеркэ (Койвисто). Развивая наступление, наши войска овладели районным центром Ленинградской области Рауту, а также заняли более ста других населённых пунктов. Наступление наших войск непрерывно поддерживается артиллерией и авиацией, которые мощными Ударами расчищают пути пехоте и танкам, Разбитые части противника, отступая под ударами советских войск, несут огромные потери в людях и технике. Бойцы Н-ской части уничтожили два батальона финнов и захватили железнодорожный эшелон с военными грузами. Взято много пленных. На другом участке Н-ское соединение разгромило полк финской пехоты и захватило 36 орудий, 80 пулемётов и другие трофеи.</w:t>
      </w:r>
    </w:p>
    <w:p w14:paraId="3A9D6B93"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Бойцы и офицеры Красной Армии в боях на Карельском перешейке показывают примеры доблести и героизма. Экипаж самоходного орудия гвардии старшего лейтенанта Дрюченко, расчищая путь пехоте, уничтожил три дзота, батарею тяжёлых миномётов и истребил два взвода вражеской пехоты. Пять наших разведчиков проникли в тыл противника и захватили в плен четырёх солдат и одного офицера — майора финской армии. Младшие сержанты Лисицын и Мищенко подорвали трёхамбразурный дзот противника и полностью ликвидировали его гарнизон, оказавший сопротивление.</w:t>
      </w:r>
    </w:p>
    <w:p w14:paraId="4434B78D"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нанесла два массированных удара по железнодорожному узлу Выборг. В результате бомбардировки разбито три паровоза, до 200 вагонов и платформ, взорвало 6 складов и на большом протяжении разрушены железнодорожные пути. На территории узла возникли пожары, сопровождавшиеся сильными взрывами.</w:t>
      </w:r>
    </w:p>
    <w:p w14:paraId="35726B33"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воздушных боях советские лётчики обили 19 самолётов противника.</w:t>
      </w:r>
    </w:p>
    <w:p w14:paraId="0187483E"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Витебск рота немецкой пехоты атаковала наше боевое охранение. Восемь бойцов под командованием лейтенанта Сараева встретили противника огнём из пулемёта и автоматов. Оставив на поле боя 30 трупов своих солдат, гитлеровцы поспешно отступили.</w:t>
      </w:r>
    </w:p>
    <w:p w14:paraId="3DEB154A"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нанесла удар по кораблям противника у северного побережья Норвегии. В результате удара наши лётчики потопили немецкий транспорт водоизмещением в 10 тысяч тонн и сторожевой корабль противника. Нескольким другим судам нанесены серьёзные повреждения, В воздушных боях сбито 12 немецких самолётов. Наша авиация потеряла 4 самолёта.</w:t>
      </w:r>
    </w:p>
    <w:p w14:paraId="7E9C9C82"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Торпедные катера Краснознамённого Балтийского флота в ночь на 17 июня обнаружили у побережья Финляндии караван вражеских судов. Несмотря на сильный артиллерийский огонь кораблей охранения, наши катера «близились с противником и атаковали его. Торпедами потоплены два транспорта общим водоизмещением в 14 тысяч тонн и сторожевой корабль. Пулемётным огнём подожжены четыре сторожевых катера противника.</w:t>
      </w:r>
    </w:p>
    <w:p w14:paraId="592D30B8"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Краснознамённого Балтийского флота атаковала корабли противника, обнаруженные воздушной разведкой в Выборгском заливе. В результате бомбово-штурмового удара потоплены два финских транспорта, быстроходная десантная баржа, тральщик, буксир, торпедный катер и четыре шлюпки.</w:t>
      </w:r>
    </w:p>
    <w:p w14:paraId="35B2E8AC"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Витебской области, внезапно напал на немецкий обоз, следовавший к линии фронта. Уничтожив несколько десятков гитлеровцев, партизаны захватили 142 автомата, 20 винтовок, 2 мотоцикла и различное военное имущество.</w:t>
      </w:r>
    </w:p>
    <w:p w14:paraId="2B94E28E"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Перешедший на сторону Красной Армии капрал 10 финской пехотной дивизии Рейно М. рассказал: «Вторая линия финской обороны в районе Мустамяки — Кутерселькя строилась свыше двух лет, С начала 1942 года эшелоны из Хельсинки, Тампере и Выборга непрерывно доставляли в этот район строительные материалы. Из разных городов и сёл Финляндии прибывали потоки людей, мобилизованных на строительство. К работам было привлечено не только гражданское население; но и резервные воинские части. Днём и ночью они возводили оборонительные рубежи. И вот эту мощную линию обороны, которую мы строили и совершенствовали в течение двух дет, русские войска прорвали за один день» (14926).</w:t>
      </w:r>
    </w:p>
    <w:p w14:paraId="09C433C9"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47036376"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18 июня</w:t>
      </w:r>
      <w:r w:rsidRPr="00070ADE">
        <w:rPr>
          <w:rFonts w:ascii="Times New Roman" w:hAnsi="Times New Roman"/>
          <w:color w:val="000000" w:themeColor="text1"/>
          <w:sz w:val="16"/>
          <w:szCs w:val="16"/>
        </w:rPr>
        <w:t xml:space="preserve"> в 1944 году войска Ленинградского фронта под командованием генерала армии Леонида Говорова прорывают третью оборонительную линию противника (так называемую "линию Маннергейма") и овладевают городом Койвисто, Финляндия (14926).</w:t>
      </w:r>
    </w:p>
    <w:p w14:paraId="680B7D9B"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1BDE98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июня 1944 войска ЛФ с хода прорвали третью оборонительную линию противника в Карелии в районе Мурила и в тот же день овладели Койвисто. На следующий день Линия Маннергейма была прорвана в районах Муола и Сумма (430,205).</w:t>
      </w:r>
    </w:p>
    <w:p w14:paraId="457BDE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025C7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июня 1944 советскими войсками прорвана “Линия Маннергейма” в Финляндии (4962).</w:t>
      </w:r>
    </w:p>
    <w:p w14:paraId="41A1D62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A0CA3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4B798C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13987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июня 1944 вышло Распоряжение ГКО № 6077 [О мерах по быстрейшей ликвидации пожаров в лесах Бурят-Монгольской АССР.] (7242, 114-115).</w:t>
      </w:r>
    </w:p>
    <w:p w14:paraId="37CD8AC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5234A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3BA0F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E259F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июня 1944 немецкие войска начали масштабную операцию против польских партизан у Люблина (4962).</w:t>
      </w:r>
    </w:p>
    <w:p w14:paraId="4DA367A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CC27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18th, 1944: In Normandy, the US First Army (Bradley) cuts off and isolates the German forces defending Cherbourg. In Italy, the US Fifth Army (Clark) captures Prugia (3819).</w:t>
      </w:r>
    </w:p>
    <w:p w14:paraId="030A4A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CD89C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lang w:val="en-US"/>
        </w:rPr>
        <w:t xml:space="preserve">18 </w:t>
      </w:r>
      <w:r w:rsidRPr="00070ADE">
        <w:rPr>
          <w:rFonts w:ascii="Times New Roman" w:hAnsi="Times New Roman"/>
          <w:color w:val="000000" w:themeColor="text1"/>
          <w:sz w:val="16"/>
          <w:szCs w:val="16"/>
        </w:rPr>
        <w:t>июня</w:t>
      </w:r>
      <w:r w:rsidRPr="00070ADE">
        <w:rPr>
          <w:rFonts w:ascii="Times New Roman" w:hAnsi="Times New Roman"/>
          <w:color w:val="000000" w:themeColor="text1"/>
          <w:sz w:val="16"/>
          <w:szCs w:val="16"/>
          <w:lang w:val="en-US"/>
        </w:rPr>
        <w:t xml:space="preserve"> 1944 </w:t>
      </w:r>
      <w:r w:rsidRPr="00070ADE">
        <w:rPr>
          <w:rFonts w:ascii="Times New Roman" w:hAnsi="Times New Roman"/>
          <w:color w:val="000000" w:themeColor="text1"/>
          <w:sz w:val="16"/>
          <w:szCs w:val="16"/>
        </w:rPr>
        <w:t>вНормандии</w:t>
      </w:r>
      <w:r w:rsidRPr="00070ADE">
        <w:rPr>
          <w:rFonts w:ascii="Times New Roman" w:hAnsi="Times New Roman"/>
          <w:color w:val="000000" w:themeColor="text1"/>
          <w:sz w:val="16"/>
          <w:szCs w:val="16"/>
          <w:lang w:val="en-US"/>
        </w:rPr>
        <w:t xml:space="preserve"> 1</w:t>
      </w:r>
      <w:r w:rsidRPr="00070ADE">
        <w:rPr>
          <w:rFonts w:ascii="Times New Roman" w:hAnsi="Times New Roman"/>
          <w:color w:val="000000" w:themeColor="text1"/>
          <w:sz w:val="16"/>
          <w:szCs w:val="16"/>
        </w:rPr>
        <w:t>АСША</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Брадлей</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отрезаланемецкиечасти</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оборонявшиеШербург</w:t>
      </w:r>
      <w:r w:rsidRPr="00070ADE">
        <w:rPr>
          <w:rFonts w:ascii="Times New Roman" w:hAnsi="Times New Roman"/>
          <w:color w:val="000000" w:themeColor="text1"/>
          <w:sz w:val="16"/>
          <w:szCs w:val="16"/>
          <w:lang w:val="en-US"/>
        </w:rPr>
        <w:t xml:space="preserve">. </w:t>
      </w:r>
      <w:r w:rsidRPr="00070ADE">
        <w:rPr>
          <w:rFonts w:ascii="Times New Roman" w:hAnsi="Times New Roman"/>
          <w:color w:val="000000" w:themeColor="text1"/>
          <w:sz w:val="16"/>
          <w:szCs w:val="16"/>
        </w:rPr>
        <w:t>Британская 8А (Кларк) захватила Пругиа (3819).</w:t>
      </w:r>
    </w:p>
    <w:p w14:paraId="5D06A3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A82A3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8694D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DFB9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июня 1944 был отпечатан Технический Отчет ВИАМ по теме: Изыскание новых материалов для производства прозрачной брони за 1943 г. № 396</w:t>
      </w:r>
    </w:p>
    <w:p w14:paraId="63E0BC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Подписан: Начю Лаб. № 16 проф. Ерофеев</w:t>
      </w:r>
    </w:p>
    <w:p w14:paraId="3FADC15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 Лаб. № 16 сти М.М.Гудимов</w:t>
      </w:r>
    </w:p>
    <w:p w14:paraId="07DE09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Е.С.Осикина</w:t>
      </w:r>
    </w:p>
    <w:p w14:paraId="6C18D1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Е.С.Лазарева</w:t>
      </w:r>
    </w:p>
    <w:p w14:paraId="0F2DE4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Техник Л.Ф.Тарасьева</w:t>
      </w:r>
    </w:p>
    <w:p w14:paraId="6EB611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ВВЕДЕНИЕ</w:t>
      </w:r>
    </w:p>
    <w:p w14:paraId="59BDDAB1" w14:textId="5B268502" w:rsidR="00595BFB" w:rsidRPr="00070ADE" w:rsidRDefault="00595BFB" w:rsidP="00B56F90">
      <w:pPr>
        <w:tabs>
          <w:tab w:val="left" w:pos="6918"/>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Вопросы изыскания новых материалов для прозрачной брони разделяются на</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три группы:</w:t>
      </w:r>
    </w:p>
    <w:p w14:paraId="637B8F24" w14:textId="77777777" w:rsidR="00595BFB" w:rsidRPr="00070ADE" w:rsidRDefault="00595BFB" w:rsidP="00B56F90">
      <w:pPr>
        <w:tabs>
          <w:tab w:val="left" w:pos="6914"/>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Исследование применимости для прозрачной брони, получение сравнительных характеристик по пулестойкости иных типов силикатных и других неорганических стекол, кроме применяемого в настоящее время закаленного силикатного стекла, /сталинита/ входящегося в существующую конструкцию отечественной прозрачная брони.</w:t>
      </w:r>
    </w:p>
    <w:p w14:paraId="162F45ED" w14:textId="77777777" w:rsidR="00595BFB" w:rsidRPr="00070ADE" w:rsidRDefault="00595BFB" w:rsidP="00B56F90">
      <w:pPr>
        <w:tabs>
          <w:tab w:val="left" w:pos="6914"/>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Изыскание и исследование пригодности для применения в прозрачной броне новых видов прозрачных органических материалов /органических стекол/.</w:t>
      </w:r>
    </w:p>
    <w:p w14:paraId="2E9A538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Изыскание новых пленок и других клеющих материалов для соединения отдельных слоев в прозрачной броне мзжду собою.</w:t>
      </w:r>
    </w:p>
    <w:p w14:paraId="7182AE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1943 году нами исследовались в той или иной мере вопросы, заносящиеся ко всем трем группам.</w:t>
      </w:r>
    </w:p>
    <w:p w14:paraId="3D617354" w14:textId="77777777" w:rsidR="00595BFB" w:rsidRPr="00070ADE" w:rsidRDefault="00595BFB" w:rsidP="00B56F90">
      <w:pPr>
        <w:tabs>
          <w:tab w:val="left" w:pos="6395"/>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 новым типас силикатных и других неорганических стекол были исследованы (1) состав и характер напряженного состояния стекла, применяемого в немецкой прозрачной броне.</w:t>
      </w:r>
    </w:p>
    <w:p w14:paraId="5E923C2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возможность применения в отечественной прозрачной броне гетерогенного типа сырого силикатного стекла вместо закаленного /т.е. вместо сталинита/</w:t>
      </w:r>
    </w:p>
    <w:p w14:paraId="2B1A67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Проведение ориентировочных опытов по приготовле</w:t>
      </w:r>
      <w:r w:rsidRPr="00070ADE">
        <w:rPr>
          <w:rFonts w:ascii="Times New Roman" w:hAnsi="Times New Roman"/>
          <w:color w:val="000000" w:themeColor="text1"/>
          <w:sz w:val="16"/>
          <w:szCs w:val="16"/>
        </w:rPr>
        <w:softHyphen/>
        <w:t>нию и иссследованию механических свойств фосфатных стекол в сравнеии с силикатными</w:t>
      </w:r>
    </w:p>
    <w:p w14:paraId="2EFFAB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 По повым органическим прозрачным материалам исследовались следующие вопросы:</w:t>
      </w:r>
    </w:p>
    <w:p w14:paraId="215C755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Синтезированы эфиры ортокремноевой кислоты и гли</w:t>
      </w:r>
      <w:r w:rsidRPr="00070ADE">
        <w:rPr>
          <w:rFonts w:ascii="Times New Roman" w:hAnsi="Times New Roman"/>
          <w:color w:val="000000" w:themeColor="text1"/>
          <w:sz w:val="16"/>
          <w:szCs w:val="16"/>
        </w:rPr>
        <w:softHyphen/>
        <w:t>церина.</w:t>
      </w:r>
    </w:p>
    <w:p w14:paraId="730EF49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Иссдедовались механические свойства органических стекол, полученных из матилакрилата с добав</w:t>
      </w:r>
      <w:r w:rsidRPr="00070ADE">
        <w:rPr>
          <w:rFonts w:ascii="Times New Roman" w:hAnsi="Times New Roman"/>
          <w:color w:val="000000" w:themeColor="text1"/>
          <w:sz w:val="16"/>
          <w:szCs w:val="16"/>
        </w:rPr>
        <w:softHyphen/>
        <w:t>ками глико-диметилакрилата</w:t>
      </w:r>
    </w:p>
    <w:p w14:paraId="1FCAC24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 По новым клеющим материалам исследовались:</w:t>
      </w:r>
    </w:p>
    <w:p w14:paraId="408B6A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Возможность применения карбонольного клея для склеивания органического и силикатного стекла между собою.</w:t>
      </w:r>
    </w:p>
    <w:p w14:paraId="3F74C7B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Исследование состава пленки и пластификатора, применяемых при изготовлении немецких бронестекол</w:t>
      </w:r>
    </w:p>
    <w:p w14:paraId="7E1DA3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Возможности применения полимаракрилатной пленки.</w:t>
      </w:r>
    </w:p>
    <w:p w14:paraId="521622F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Ниже излагаются основам результаты, полученные в результа</w:t>
      </w:r>
      <w:r w:rsidRPr="00070ADE">
        <w:rPr>
          <w:rFonts w:ascii="Times New Roman" w:hAnsi="Times New Roman"/>
          <w:color w:val="000000" w:themeColor="text1"/>
          <w:sz w:val="16"/>
          <w:szCs w:val="16"/>
        </w:rPr>
        <w:softHyphen/>
        <w:t>те исследования по перечисленным пунктам, кроме пункта 1, результаты по которому мы нашли целесообразным перенести в отчет следующего года.</w:t>
      </w:r>
    </w:p>
    <w:p w14:paraId="36474F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Химический состав и характер напряженного состояния и другие свойства немецких бронестекол</w:t>
      </w:r>
    </w:p>
    <w:p w14:paraId="68B9BE9E" w14:textId="77777777" w:rsidR="00595BFB" w:rsidRPr="00070ADE" w:rsidRDefault="00595BFB" w:rsidP="00B56F90">
      <w:pPr>
        <w:tabs>
          <w:tab w:val="left" w:pos="2722"/>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исследования было занято бронестекло с передней пулеметной установки самолета Юнкер 88...</w:t>
      </w:r>
    </w:p>
    <w:p w14:paraId="38D2B37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1-б. Исследование возможности применения для производства отечественной прозрачной брони сырого стекла вместо сталинита</w:t>
      </w:r>
    </w:p>
    <w:p w14:paraId="063B2CE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Применяемому в производстве отечественной проврачной брони закаленному силикатному стеклу или "сталиниту" до доследнаго времени было свойственно большое оптическое искажение, в частности обусловленное режимом закалки.</w:t>
      </w:r>
    </w:p>
    <w:p w14:paraId="27356F0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называемая “игра изображения" и искажение перефериными полями возникают именно при закадне стекла. Хотя в настоящее время и ведутся работы по уменьшение этих оптических дефектов путем разных технологических мероприя</w:t>
      </w:r>
      <w:r w:rsidRPr="00070ADE">
        <w:rPr>
          <w:rFonts w:ascii="Times New Roman" w:hAnsi="Times New Roman"/>
          <w:color w:val="000000" w:themeColor="text1"/>
          <w:sz w:val="16"/>
          <w:szCs w:val="16"/>
        </w:rPr>
        <w:softHyphen/>
        <w:t>тий, все же наиболее радянальным способом преодоления этих недостатков явился бы переход ох закаленного стекла к отожженному или хотя бы к сырому. Результаты выше приведенных исследования силикатного стекла из немецкой проз</w:t>
      </w:r>
      <w:r w:rsidRPr="00070ADE">
        <w:rPr>
          <w:rFonts w:ascii="Times New Roman" w:hAnsi="Times New Roman"/>
          <w:color w:val="000000" w:themeColor="text1"/>
          <w:sz w:val="16"/>
          <w:szCs w:val="16"/>
        </w:rPr>
        <w:softHyphen/>
        <w:t>рачной брони, показывают, что в этих типах бронестекол применяется отожженное силикатное стекло. Таяким образом подтверждается принципиальная возможность применения сырого силикатного стекла в прозрачной броне вместо закаленного.</w:t>
      </w:r>
    </w:p>
    <w:p w14:paraId="47F06D3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немецкая и английская прозрачная б р о н я представляют собой чисто силикатную броню, в то время как отечественная прозрачная броня явдявтся гетерогенной. Поэтому представлялось необходимым додолнительно исследовать воп</w:t>
      </w:r>
      <w:r w:rsidRPr="00070ADE">
        <w:rPr>
          <w:rFonts w:ascii="Times New Roman" w:hAnsi="Times New Roman"/>
          <w:color w:val="000000" w:themeColor="text1"/>
          <w:sz w:val="16"/>
          <w:szCs w:val="16"/>
        </w:rPr>
        <w:softHyphen/>
        <w:t>рос о возможности применения сырого стекла в гетерогенном типе прозрачной брони. Это представлялось том более необхтодимым, что по даным лаборатории завода К-4 комбинация сталинита с органическим стеклом дает более высокую пулестойкость в сравнения с сырым стеклом в той же комбинации.</w:t>
      </w:r>
    </w:p>
    <w:p w14:paraId="6D9A36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Поскольку, однако, данные завода К-4 с методической стороны на являются безукоризненными /несравнимость раз</w:t>
      </w:r>
      <w:r w:rsidRPr="00070ADE">
        <w:rPr>
          <w:rFonts w:ascii="Times New Roman" w:hAnsi="Times New Roman"/>
          <w:color w:val="000000" w:themeColor="text1"/>
          <w:sz w:val="16"/>
          <w:szCs w:val="16"/>
        </w:rPr>
        <w:softHyphen/>
        <w:t>меров обстреливавшихся образцов размерами экесплоатируемых деталей/, представлялось необходимым вновь исследовать этот водоос.</w:t>
      </w:r>
    </w:p>
    <w:p w14:paraId="5030CC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этой цели были изготовлены и испытаны на пулестойкость комплекты бронекозырьков Ил-2, Як-1 и Да-5 на осно сырого таблетированного силикатного стекла. Отстрел производился из винтовки образца 1891-30 г. бронебойно- зажигательными пулями калабра 7.62 м/м с дистанции 100 метров. Результаты испытаний сведены в нижа следую</w:t>
      </w:r>
      <w:r w:rsidRPr="00070ADE">
        <w:rPr>
          <w:rFonts w:ascii="Times New Roman" w:hAnsi="Times New Roman"/>
          <w:color w:val="000000" w:themeColor="text1"/>
          <w:sz w:val="16"/>
          <w:szCs w:val="16"/>
        </w:rPr>
        <w:softHyphen/>
        <w:t>щей таблице.</w:t>
      </w:r>
    </w:p>
    <w:p w14:paraId="7B2C31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испытания на пулестойкость деталей прозрачной брони, изготовленных на основе таблеток сырого силикатного стекла вместо сталинита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3511"/>
        <w:gridCol w:w="884"/>
        <w:gridCol w:w="6138"/>
      </w:tblGrid>
      <w:tr w:rsidR="004D4663" w:rsidRPr="00070ADE" w14:paraId="37FB1475" w14:textId="77777777">
        <w:tc>
          <w:tcPr>
            <w:tcW w:w="675" w:type="dxa"/>
            <w:tcBorders>
              <w:top w:val="single" w:sz="12" w:space="0" w:color="auto"/>
            </w:tcBorders>
          </w:tcPr>
          <w:p w14:paraId="6986153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п/п</w:t>
            </w:r>
          </w:p>
        </w:tc>
        <w:tc>
          <w:tcPr>
            <w:tcW w:w="3511" w:type="dxa"/>
            <w:tcBorders>
              <w:top w:val="single" w:sz="12" w:space="0" w:color="auto"/>
            </w:tcBorders>
          </w:tcPr>
          <w:p w14:paraId="57E7DC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Нименование детали</w:t>
            </w:r>
          </w:p>
        </w:tc>
        <w:tc>
          <w:tcPr>
            <w:tcW w:w="884" w:type="dxa"/>
            <w:tcBorders>
              <w:top w:val="single" w:sz="12" w:space="0" w:color="auto"/>
            </w:tcBorders>
          </w:tcPr>
          <w:p w14:paraId="750F9DA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угол отстрела</w:t>
            </w:r>
          </w:p>
        </w:tc>
        <w:tc>
          <w:tcPr>
            <w:tcW w:w="6138" w:type="dxa"/>
            <w:tcBorders>
              <w:top w:val="single" w:sz="12" w:space="0" w:color="auto"/>
            </w:tcBorders>
          </w:tcPr>
          <w:p w14:paraId="732044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исппытания</w:t>
            </w:r>
          </w:p>
        </w:tc>
      </w:tr>
      <w:tr w:rsidR="004D4663" w:rsidRPr="00070ADE" w14:paraId="27F5CC59" w14:textId="77777777">
        <w:tc>
          <w:tcPr>
            <w:tcW w:w="675" w:type="dxa"/>
          </w:tcPr>
          <w:p w14:paraId="364C8C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31BF3B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Боковая деталь Ил-2 № 3</w:t>
            </w:r>
          </w:p>
        </w:tc>
        <w:tc>
          <w:tcPr>
            <w:tcW w:w="884" w:type="dxa"/>
          </w:tcPr>
          <w:p w14:paraId="1068A9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гр</w:t>
            </w:r>
          </w:p>
        </w:tc>
        <w:tc>
          <w:tcPr>
            <w:tcW w:w="6138" w:type="dxa"/>
          </w:tcPr>
          <w:p w14:paraId="1A3615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ПТП попадание в нижнюю левую таб</w:t>
            </w:r>
            <w:r w:rsidRPr="00070ADE">
              <w:rPr>
                <w:rFonts w:ascii="Times New Roman" w:hAnsi="Times New Roman"/>
                <w:color w:val="000000" w:themeColor="text1"/>
                <w:sz w:val="16"/>
                <w:szCs w:val="16"/>
              </w:rPr>
              <w:softHyphen/>
              <w:t>летку, разрушилась -также верхнля ле</w:t>
            </w:r>
            <w:r w:rsidRPr="00070ADE">
              <w:rPr>
                <w:rFonts w:ascii="Times New Roman" w:hAnsi="Times New Roman"/>
                <w:color w:val="000000" w:themeColor="text1"/>
                <w:sz w:val="16"/>
                <w:szCs w:val="16"/>
              </w:rPr>
              <w:softHyphen/>
              <w:t>вая таблетка.</w:t>
            </w:r>
          </w:p>
        </w:tc>
      </w:tr>
      <w:tr w:rsidR="004D4663" w:rsidRPr="00070ADE" w14:paraId="4C74A321" w14:textId="77777777">
        <w:tc>
          <w:tcPr>
            <w:tcW w:w="675" w:type="dxa"/>
          </w:tcPr>
          <w:p w14:paraId="1BAD32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5E76120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Боковая деталь Ил-2 № 1</w:t>
            </w:r>
          </w:p>
        </w:tc>
        <w:tc>
          <w:tcPr>
            <w:tcW w:w="884" w:type="dxa"/>
          </w:tcPr>
          <w:p w14:paraId="729DF6E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гр</w:t>
            </w:r>
          </w:p>
        </w:tc>
        <w:tc>
          <w:tcPr>
            <w:tcW w:w="6138" w:type="dxa"/>
          </w:tcPr>
          <w:p w14:paraId="3116A2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ПТП попадание в верхнюю левую таблетку, разрушилист также две со</w:t>
            </w:r>
            <w:r w:rsidRPr="00070ADE">
              <w:rPr>
                <w:rFonts w:ascii="Times New Roman" w:hAnsi="Times New Roman"/>
                <w:color w:val="000000" w:themeColor="text1"/>
                <w:sz w:val="16"/>
                <w:szCs w:val="16"/>
              </w:rPr>
              <w:softHyphen/>
              <w:t>седние таблетки.</w:t>
            </w:r>
          </w:p>
        </w:tc>
      </w:tr>
      <w:tr w:rsidR="004D4663" w:rsidRPr="00070ADE" w14:paraId="06C1F201" w14:textId="77777777">
        <w:tc>
          <w:tcPr>
            <w:tcW w:w="675" w:type="dxa"/>
          </w:tcPr>
          <w:p w14:paraId="31A304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55F82D7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Боковая-деталь Ил-2 № 3</w:t>
            </w:r>
          </w:p>
        </w:tc>
        <w:tc>
          <w:tcPr>
            <w:tcW w:w="884" w:type="dxa"/>
          </w:tcPr>
          <w:p w14:paraId="2CF4A0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гр</w:t>
            </w:r>
          </w:p>
        </w:tc>
        <w:tc>
          <w:tcPr>
            <w:tcW w:w="6138" w:type="dxa"/>
          </w:tcPr>
          <w:p w14:paraId="3FC1BE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ПТП разрушена одна таблетка.</w:t>
            </w:r>
          </w:p>
        </w:tc>
      </w:tr>
      <w:tr w:rsidR="004D4663" w:rsidRPr="00070ADE" w14:paraId="26F78E14" w14:textId="77777777">
        <w:tc>
          <w:tcPr>
            <w:tcW w:w="675" w:type="dxa"/>
          </w:tcPr>
          <w:p w14:paraId="596DCB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643552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Боковая деталь Ил-2 № 1</w:t>
            </w:r>
          </w:p>
        </w:tc>
        <w:tc>
          <w:tcPr>
            <w:tcW w:w="884" w:type="dxa"/>
          </w:tcPr>
          <w:p w14:paraId="6CB6B7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гр</w:t>
            </w:r>
          </w:p>
        </w:tc>
        <w:tc>
          <w:tcPr>
            <w:tcW w:w="6138" w:type="dxa"/>
          </w:tcPr>
          <w:p w14:paraId="38B8DCB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Сквозное пораже</w:t>
            </w:r>
            <w:r w:rsidRPr="00070ADE">
              <w:rPr>
                <w:rFonts w:ascii="Times New Roman" w:hAnsi="Times New Roman"/>
                <w:color w:val="000000" w:themeColor="text1"/>
                <w:sz w:val="16"/>
                <w:szCs w:val="16"/>
              </w:rPr>
              <w:softHyphen/>
              <w:t>ние, разрушены 4 таблетки.</w:t>
            </w:r>
          </w:p>
        </w:tc>
      </w:tr>
      <w:tr w:rsidR="004D4663" w:rsidRPr="00070ADE" w14:paraId="53A8584C" w14:textId="77777777">
        <w:tc>
          <w:tcPr>
            <w:tcW w:w="675" w:type="dxa"/>
          </w:tcPr>
          <w:p w14:paraId="021260F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161DE8E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Передняя деталь Ил-2 № 2</w:t>
            </w:r>
          </w:p>
        </w:tc>
        <w:tc>
          <w:tcPr>
            <w:tcW w:w="884" w:type="dxa"/>
          </w:tcPr>
          <w:p w14:paraId="147D8A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гр</w:t>
            </w:r>
          </w:p>
        </w:tc>
        <w:tc>
          <w:tcPr>
            <w:tcW w:w="6138" w:type="dxa"/>
          </w:tcPr>
          <w:p w14:paraId="2F405F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ПТП попадание в центр. таблетку</w:t>
            </w:r>
          </w:p>
        </w:tc>
      </w:tr>
      <w:tr w:rsidR="004D4663" w:rsidRPr="00070ADE" w14:paraId="4F628051" w14:textId="77777777">
        <w:tc>
          <w:tcPr>
            <w:tcW w:w="675" w:type="dxa"/>
          </w:tcPr>
          <w:p w14:paraId="7C503C1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2D1F22F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Передняя деталь Ил-2 № 2</w:t>
            </w:r>
          </w:p>
        </w:tc>
        <w:tc>
          <w:tcPr>
            <w:tcW w:w="884" w:type="dxa"/>
          </w:tcPr>
          <w:p w14:paraId="1E8C3B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гр</w:t>
            </w:r>
          </w:p>
        </w:tc>
        <w:tc>
          <w:tcPr>
            <w:tcW w:w="6138" w:type="dxa"/>
          </w:tcPr>
          <w:p w14:paraId="04D3E0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ПТП, попадание в центр. таблет</w:t>
            </w:r>
            <w:r w:rsidRPr="00070ADE">
              <w:rPr>
                <w:rFonts w:ascii="Times New Roman" w:hAnsi="Times New Roman"/>
                <w:color w:val="000000" w:themeColor="text1"/>
                <w:sz w:val="16"/>
                <w:szCs w:val="16"/>
              </w:rPr>
              <w:softHyphen/>
              <w:t>ки, разрушена две соседние.</w:t>
            </w:r>
          </w:p>
        </w:tc>
      </w:tr>
      <w:tr w:rsidR="004D4663" w:rsidRPr="00070ADE" w14:paraId="40AF7910" w14:textId="77777777">
        <w:tc>
          <w:tcPr>
            <w:tcW w:w="675" w:type="dxa"/>
          </w:tcPr>
          <w:p w14:paraId="10E1775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34AC55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Передняя деталь Ил-2 № 2</w:t>
            </w:r>
          </w:p>
        </w:tc>
        <w:tc>
          <w:tcPr>
            <w:tcW w:w="884" w:type="dxa"/>
          </w:tcPr>
          <w:p w14:paraId="525C6D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гр</w:t>
            </w:r>
          </w:p>
        </w:tc>
        <w:tc>
          <w:tcPr>
            <w:tcW w:w="6138" w:type="dxa"/>
          </w:tcPr>
          <w:p w14:paraId="3EF10D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Попадание в стык двух таблеток, сквозное поражение, разрушены обе таблетки.</w:t>
            </w:r>
          </w:p>
        </w:tc>
      </w:tr>
      <w:tr w:rsidR="004D4663" w:rsidRPr="00070ADE" w14:paraId="36B0C553" w14:textId="77777777">
        <w:tc>
          <w:tcPr>
            <w:tcW w:w="675" w:type="dxa"/>
          </w:tcPr>
          <w:p w14:paraId="26C4375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508C37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Передняя деталь Ил-2 № 2</w:t>
            </w:r>
          </w:p>
        </w:tc>
        <w:tc>
          <w:tcPr>
            <w:tcW w:w="884" w:type="dxa"/>
          </w:tcPr>
          <w:p w14:paraId="2E41130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гр.</w:t>
            </w:r>
          </w:p>
        </w:tc>
        <w:tc>
          <w:tcPr>
            <w:tcW w:w="6138" w:type="dxa"/>
          </w:tcPr>
          <w:p w14:paraId="118502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Сплошное поражение</w:t>
            </w:r>
          </w:p>
        </w:tc>
      </w:tr>
      <w:tr w:rsidR="004D4663" w:rsidRPr="00070ADE" w14:paraId="1584F356" w14:textId="77777777">
        <w:tc>
          <w:tcPr>
            <w:tcW w:w="675" w:type="dxa"/>
          </w:tcPr>
          <w:p w14:paraId="368EC03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1D71E2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Боковая деталь Ил-2</w:t>
            </w:r>
          </w:p>
        </w:tc>
        <w:tc>
          <w:tcPr>
            <w:tcW w:w="884" w:type="dxa"/>
          </w:tcPr>
          <w:p w14:paraId="34FC59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гр</w:t>
            </w:r>
          </w:p>
        </w:tc>
        <w:tc>
          <w:tcPr>
            <w:tcW w:w="6138" w:type="dxa"/>
          </w:tcPr>
          <w:p w14:paraId="4FFC1A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ПТП</w:t>
            </w:r>
          </w:p>
        </w:tc>
      </w:tr>
      <w:tr w:rsidR="004D4663" w:rsidRPr="00070ADE" w14:paraId="57CBECFA" w14:textId="77777777">
        <w:tc>
          <w:tcPr>
            <w:tcW w:w="675" w:type="dxa"/>
          </w:tcPr>
          <w:p w14:paraId="2877EC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1BBAD3E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Боковая деталь Ил-2 № 2</w:t>
            </w:r>
          </w:p>
        </w:tc>
        <w:tc>
          <w:tcPr>
            <w:tcW w:w="884" w:type="dxa"/>
          </w:tcPr>
          <w:p w14:paraId="696060B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гр</w:t>
            </w:r>
          </w:p>
        </w:tc>
        <w:tc>
          <w:tcPr>
            <w:tcW w:w="6138" w:type="dxa"/>
          </w:tcPr>
          <w:p w14:paraId="316A58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ИТП, попадание в стык двух таблеток, разрушены обе таблетки</w:t>
            </w:r>
          </w:p>
        </w:tc>
      </w:tr>
      <w:tr w:rsidR="004D4663" w:rsidRPr="00070ADE" w14:paraId="2132FDA7" w14:textId="77777777">
        <w:tc>
          <w:tcPr>
            <w:tcW w:w="675" w:type="dxa"/>
          </w:tcPr>
          <w:p w14:paraId="454F17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0651CD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Боковая деталь Ил-2 № 2</w:t>
            </w:r>
          </w:p>
        </w:tc>
        <w:tc>
          <w:tcPr>
            <w:tcW w:w="884" w:type="dxa"/>
          </w:tcPr>
          <w:p w14:paraId="0B50E44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гр</w:t>
            </w:r>
          </w:p>
        </w:tc>
        <w:tc>
          <w:tcPr>
            <w:tcW w:w="6138" w:type="dxa"/>
          </w:tcPr>
          <w:p w14:paraId="3952311D" w14:textId="77777777" w:rsidR="00595BFB" w:rsidRPr="00070ADE" w:rsidRDefault="00595BFB" w:rsidP="00B56F90">
            <w:pPr>
              <w:tabs>
                <w:tab w:val="right" w:pos="2693"/>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ПТП разрушены соседние таблетки</w:t>
            </w:r>
          </w:p>
        </w:tc>
      </w:tr>
      <w:tr w:rsidR="004D4663" w:rsidRPr="00070ADE" w14:paraId="7F2CDE07" w14:textId="77777777">
        <w:tc>
          <w:tcPr>
            <w:tcW w:w="675" w:type="dxa"/>
          </w:tcPr>
          <w:p w14:paraId="3C39BA8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0DB56B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Боковая деталь Ил-2 № 2</w:t>
            </w:r>
          </w:p>
        </w:tc>
        <w:tc>
          <w:tcPr>
            <w:tcW w:w="884" w:type="dxa"/>
          </w:tcPr>
          <w:p w14:paraId="03F403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гр</w:t>
            </w:r>
          </w:p>
        </w:tc>
        <w:tc>
          <w:tcPr>
            <w:tcW w:w="6138" w:type="dxa"/>
          </w:tcPr>
          <w:p w14:paraId="434312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Раскол подушки, пудя не прошлаа, разрушены соседние таблетки</w:t>
            </w:r>
          </w:p>
        </w:tc>
      </w:tr>
      <w:tr w:rsidR="004D4663" w:rsidRPr="00070ADE" w14:paraId="1338345F" w14:textId="77777777">
        <w:tc>
          <w:tcPr>
            <w:tcW w:w="675" w:type="dxa"/>
          </w:tcPr>
          <w:p w14:paraId="774EB5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2185373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Боковая деталь Ил-2 № 2</w:t>
            </w:r>
          </w:p>
        </w:tc>
        <w:tc>
          <w:tcPr>
            <w:tcW w:w="884" w:type="dxa"/>
          </w:tcPr>
          <w:p w14:paraId="0EA37A4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гр</w:t>
            </w:r>
          </w:p>
        </w:tc>
        <w:tc>
          <w:tcPr>
            <w:tcW w:w="6138" w:type="dxa"/>
          </w:tcPr>
          <w:p w14:paraId="30965B45" w14:textId="77777777" w:rsidR="00595BFB" w:rsidRPr="00070ADE" w:rsidRDefault="00595BFB" w:rsidP="00B56F90">
            <w:pPr>
              <w:tabs>
                <w:tab w:val="right" w:pos="2693"/>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П.Т.П.</w:t>
            </w:r>
          </w:p>
        </w:tc>
      </w:tr>
      <w:tr w:rsidR="004D4663" w:rsidRPr="00070ADE" w14:paraId="2FCFA916" w14:textId="77777777">
        <w:tc>
          <w:tcPr>
            <w:tcW w:w="675" w:type="dxa"/>
          </w:tcPr>
          <w:p w14:paraId="6E3DCC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53E94E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Лобовая деталь Ла-5</w:t>
            </w:r>
          </w:p>
        </w:tc>
        <w:tc>
          <w:tcPr>
            <w:tcW w:w="884" w:type="dxa"/>
          </w:tcPr>
          <w:p w14:paraId="38837B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гр</w:t>
            </w:r>
          </w:p>
        </w:tc>
        <w:tc>
          <w:tcPr>
            <w:tcW w:w="6138" w:type="dxa"/>
          </w:tcPr>
          <w:p w14:paraId="27382427" w14:textId="77777777" w:rsidR="00595BFB" w:rsidRPr="00070ADE" w:rsidRDefault="00595BFB" w:rsidP="00B56F90">
            <w:pPr>
              <w:tabs>
                <w:tab w:val="right" w:pos="2693"/>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П.Т.П.</w:t>
            </w:r>
          </w:p>
        </w:tc>
      </w:tr>
      <w:tr w:rsidR="004D4663" w:rsidRPr="00070ADE" w14:paraId="234ADAF9" w14:textId="77777777">
        <w:tc>
          <w:tcPr>
            <w:tcW w:w="675" w:type="dxa"/>
          </w:tcPr>
          <w:p w14:paraId="4C967E5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4478D4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Лобовая деталь Ла-5</w:t>
            </w:r>
          </w:p>
        </w:tc>
        <w:tc>
          <w:tcPr>
            <w:tcW w:w="884" w:type="dxa"/>
          </w:tcPr>
          <w:p w14:paraId="6A82BB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гр</w:t>
            </w:r>
          </w:p>
        </w:tc>
        <w:tc>
          <w:tcPr>
            <w:tcW w:w="6138" w:type="dxa"/>
          </w:tcPr>
          <w:p w14:paraId="345B07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ПТП, подушка дала трещину.</w:t>
            </w:r>
          </w:p>
        </w:tc>
      </w:tr>
      <w:tr w:rsidR="004D4663" w:rsidRPr="00070ADE" w14:paraId="1593334A" w14:textId="77777777">
        <w:tc>
          <w:tcPr>
            <w:tcW w:w="675" w:type="dxa"/>
          </w:tcPr>
          <w:p w14:paraId="09BF42D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09734D4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Лобовая деталь Ла-5</w:t>
            </w:r>
          </w:p>
        </w:tc>
        <w:tc>
          <w:tcPr>
            <w:tcW w:w="884" w:type="dxa"/>
          </w:tcPr>
          <w:p w14:paraId="27677DB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гр</w:t>
            </w:r>
          </w:p>
        </w:tc>
        <w:tc>
          <w:tcPr>
            <w:tcW w:w="6138" w:type="dxa"/>
          </w:tcPr>
          <w:p w14:paraId="484EE4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Сквозное попадание, попадание в стык таблеток, разрушены обе таблетки</w:t>
            </w:r>
          </w:p>
        </w:tc>
      </w:tr>
      <w:tr w:rsidR="004D4663" w:rsidRPr="00070ADE" w14:paraId="0BB3F426" w14:textId="77777777">
        <w:tc>
          <w:tcPr>
            <w:tcW w:w="675" w:type="dxa"/>
          </w:tcPr>
          <w:p w14:paraId="4B235B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266D97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Лобовая деталь Ла-5</w:t>
            </w:r>
          </w:p>
        </w:tc>
        <w:tc>
          <w:tcPr>
            <w:tcW w:w="884" w:type="dxa"/>
          </w:tcPr>
          <w:p w14:paraId="554C89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гр</w:t>
            </w:r>
          </w:p>
        </w:tc>
        <w:tc>
          <w:tcPr>
            <w:tcW w:w="6138" w:type="dxa"/>
          </w:tcPr>
          <w:p w14:paraId="744EBC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П.Т.П.</w:t>
            </w:r>
          </w:p>
        </w:tc>
      </w:tr>
      <w:tr w:rsidR="004D4663" w:rsidRPr="00070ADE" w14:paraId="3D5AFF9D" w14:textId="77777777">
        <w:tc>
          <w:tcPr>
            <w:tcW w:w="675" w:type="dxa"/>
          </w:tcPr>
          <w:p w14:paraId="11AA141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44D0CE3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Лобовая деталь Ла-5</w:t>
            </w:r>
          </w:p>
        </w:tc>
        <w:tc>
          <w:tcPr>
            <w:tcW w:w="884" w:type="dxa"/>
          </w:tcPr>
          <w:p w14:paraId="19838EA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гр</w:t>
            </w:r>
          </w:p>
        </w:tc>
        <w:tc>
          <w:tcPr>
            <w:tcW w:w="6138" w:type="dxa"/>
          </w:tcPr>
          <w:p w14:paraId="6704C73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ПТП, подушка дала небольшую трещину*</w:t>
            </w:r>
          </w:p>
        </w:tc>
      </w:tr>
      <w:tr w:rsidR="004D4663" w:rsidRPr="00070ADE" w14:paraId="5362A14A" w14:textId="77777777">
        <w:tc>
          <w:tcPr>
            <w:tcW w:w="675" w:type="dxa"/>
          </w:tcPr>
          <w:p w14:paraId="670D0F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7B0C868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Лобовая деталь Як-1</w:t>
            </w:r>
          </w:p>
        </w:tc>
        <w:tc>
          <w:tcPr>
            <w:tcW w:w="884" w:type="dxa"/>
          </w:tcPr>
          <w:p w14:paraId="2A916D3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гр</w:t>
            </w:r>
          </w:p>
        </w:tc>
        <w:tc>
          <w:tcPr>
            <w:tcW w:w="6138" w:type="dxa"/>
          </w:tcPr>
          <w:p w14:paraId="28189D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П.Т.П.</w:t>
            </w:r>
          </w:p>
        </w:tc>
      </w:tr>
      <w:tr w:rsidR="004D4663" w:rsidRPr="00070ADE" w14:paraId="530EB4B5" w14:textId="77777777">
        <w:tc>
          <w:tcPr>
            <w:tcW w:w="675" w:type="dxa"/>
          </w:tcPr>
          <w:p w14:paraId="09D2824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6BDBC0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Лобовая деталь Як-1</w:t>
            </w:r>
          </w:p>
        </w:tc>
        <w:tc>
          <w:tcPr>
            <w:tcW w:w="884" w:type="dxa"/>
          </w:tcPr>
          <w:p w14:paraId="68729E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гр</w:t>
            </w:r>
          </w:p>
        </w:tc>
        <w:tc>
          <w:tcPr>
            <w:tcW w:w="6138" w:type="dxa"/>
          </w:tcPr>
          <w:p w14:paraId="102ABF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Сквозное поражение.</w:t>
            </w:r>
          </w:p>
        </w:tc>
      </w:tr>
      <w:tr w:rsidR="004D4663" w:rsidRPr="00070ADE" w14:paraId="7A0C5A92" w14:textId="77777777">
        <w:tc>
          <w:tcPr>
            <w:tcW w:w="675" w:type="dxa"/>
          </w:tcPr>
          <w:p w14:paraId="76376B8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472509D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Лобовая деталь Як-1</w:t>
            </w:r>
          </w:p>
        </w:tc>
        <w:tc>
          <w:tcPr>
            <w:tcW w:w="884" w:type="dxa"/>
          </w:tcPr>
          <w:p w14:paraId="72F730E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гр</w:t>
            </w:r>
          </w:p>
        </w:tc>
        <w:tc>
          <w:tcPr>
            <w:tcW w:w="6138" w:type="dxa"/>
          </w:tcPr>
          <w:p w14:paraId="101B154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ПТП, подушка дада не</w:t>
            </w:r>
            <w:r w:rsidRPr="00070ADE">
              <w:rPr>
                <w:rFonts w:ascii="Times New Roman" w:hAnsi="Times New Roman"/>
                <w:color w:val="000000" w:themeColor="text1"/>
                <w:sz w:val="16"/>
                <w:szCs w:val="16"/>
              </w:rPr>
              <w:softHyphen/>
              <w:t>большую трещину</w:t>
            </w:r>
          </w:p>
        </w:tc>
      </w:tr>
      <w:tr w:rsidR="004D4663" w:rsidRPr="00070ADE" w14:paraId="7B58FE89" w14:textId="77777777">
        <w:tc>
          <w:tcPr>
            <w:tcW w:w="675" w:type="dxa"/>
          </w:tcPr>
          <w:p w14:paraId="46FB97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Pr>
          <w:p w14:paraId="3CDF1C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Лобовая деталь Як-1</w:t>
            </w:r>
          </w:p>
        </w:tc>
        <w:tc>
          <w:tcPr>
            <w:tcW w:w="884" w:type="dxa"/>
          </w:tcPr>
          <w:p w14:paraId="565EC6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гр</w:t>
            </w:r>
          </w:p>
        </w:tc>
        <w:tc>
          <w:tcPr>
            <w:tcW w:w="6138" w:type="dxa"/>
          </w:tcPr>
          <w:p w14:paraId="0CFA59F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Сквозное поражение</w:t>
            </w:r>
          </w:p>
        </w:tc>
      </w:tr>
      <w:tr w:rsidR="004D4663" w:rsidRPr="00070ADE" w14:paraId="1F61A1BD" w14:textId="77777777">
        <w:tc>
          <w:tcPr>
            <w:tcW w:w="675" w:type="dxa"/>
            <w:tcBorders>
              <w:bottom w:val="single" w:sz="12" w:space="0" w:color="auto"/>
            </w:tcBorders>
          </w:tcPr>
          <w:p w14:paraId="2029D0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511" w:type="dxa"/>
            <w:tcBorders>
              <w:bottom w:val="single" w:sz="12" w:space="0" w:color="auto"/>
            </w:tcBorders>
          </w:tcPr>
          <w:p w14:paraId="7F2B97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Лобовая деталь Як-1</w:t>
            </w:r>
          </w:p>
        </w:tc>
        <w:tc>
          <w:tcPr>
            <w:tcW w:w="884" w:type="dxa"/>
            <w:tcBorders>
              <w:bottom w:val="single" w:sz="12" w:space="0" w:color="auto"/>
            </w:tcBorders>
          </w:tcPr>
          <w:p w14:paraId="464F36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гр</w:t>
            </w:r>
          </w:p>
        </w:tc>
        <w:tc>
          <w:tcPr>
            <w:tcW w:w="6138" w:type="dxa"/>
            <w:tcBorders>
              <w:bottom w:val="single" w:sz="12" w:space="0" w:color="auto"/>
            </w:tcBorders>
          </w:tcPr>
          <w:p w14:paraId="67F439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Сквозное поражение</w:t>
            </w:r>
          </w:p>
        </w:tc>
      </w:tr>
    </w:tbl>
    <w:p w14:paraId="7F8688A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оснований данных отстрела следует, что применение сырого таблетированного силикатного стекла той же толдщины, не во всех случаях обеспечиваент ПТП.</w:t>
      </w:r>
    </w:p>
    <w:p w14:paraId="67365D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Одновременно проведенные испытания серийных деталей дали приблизительно такие же результаты по пулестойкости.</w:t>
      </w:r>
    </w:p>
    <w:p w14:paraId="2BB9F64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По-видимому испытания дали в обоих случаях пониженную пулестойкооть вследствие усиленных зарядов боеприпасов.</w:t>
      </w:r>
    </w:p>
    <w:p w14:paraId="182952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как скорость пули не измерялась, то окончательные вы</w:t>
      </w:r>
      <w:r w:rsidRPr="00070ADE">
        <w:rPr>
          <w:rFonts w:ascii="Times New Roman" w:hAnsi="Times New Roman"/>
          <w:color w:val="000000" w:themeColor="text1"/>
          <w:sz w:val="16"/>
          <w:szCs w:val="16"/>
        </w:rPr>
        <w:softHyphen/>
        <w:t>воды могут быть сделаны только на основании новых исследо</w:t>
      </w:r>
      <w:r w:rsidRPr="00070ADE">
        <w:rPr>
          <w:rFonts w:ascii="Times New Roman" w:hAnsi="Times New Roman"/>
          <w:color w:val="000000" w:themeColor="text1"/>
          <w:sz w:val="16"/>
          <w:szCs w:val="16"/>
        </w:rPr>
        <w:softHyphen/>
        <w:t>ваний. Однако, мы считаем, что полученные результаты тре</w:t>
      </w:r>
      <w:r w:rsidRPr="00070ADE">
        <w:rPr>
          <w:rFonts w:ascii="Times New Roman" w:hAnsi="Times New Roman"/>
          <w:color w:val="000000" w:themeColor="text1"/>
          <w:sz w:val="16"/>
          <w:szCs w:val="16"/>
        </w:rPr>
        <w:softHyphen/>
        <w:t>буют пересмотра вопроса о преимуществах сталинита в гете</w:t>
      </w:r>
      <w:r w:rsidRPr="00070ADE">
        <w:rPr>
          <w:rFonts w:ascii="Times New Roman" w:hAnsi="Times New Roman"/>
          <w:color w:val="000000" w:themeColor="text1"/>
          <w:sz w:val="16"/>
          <w:szCs w:val="16"/>
        </w:rPr>
        <w:softHyphen/>
        <w:t>рогенной броне перед сырым силикатным стеклом и проведения более систематических исследований по этому вопросу.</w:t>
      </w:r>
    </w:p>
    <w:p w14:paraId="0446B4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 Синтез сложных эфиров ортокремниевой кислоты и глицерина</w:t>
      </w:r>
    </w:p>
    <w:p w14:paraId="278A67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последние годы внимание многих исследователей обращалось на сложные эфиры ортокремниевой кислоты с целью применения последних для получения лаковых пленок, искусст</w:t>
      </w:r>
      <w:r w:rsidRPr="00070ADE">
        <w:rPr>
          <w:rFonts w:ascii="Times New Roman" w:hAnsi="Times New Roman"/>
          <w:color w:val="000000" w:themeColor="text1"/>
          <w:sz w:val="16"/>
          <w:szCs w:val="16"/>
        </w:rPr>
        <w:softHyphen/>
        <w:t>венных смол и т.д.</w:t>
      </w:r>
    </w:p>
    <w:p w14:paraId="03B0D21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целью выяснения возможностей применения эфиров ортокремниевой кислоты</w:t>
      </w:r>
      <w:r w:rsidRPr="00070ADE">
        <w:rPr>
          <w:rFonts w:ascii="Times New Roman" w:hAnsi="Times New Roman"/>
          <w:smallCaps/>
          <w:color w:val="000000" w:themeColor="text1"/>
          <w:sz w:val="16"/>
          <w:szCs w:val="16"/>
        </w:rPr>
        <w:t xml:space="preserve"> в</w:t>
      </w:r>
      <w:r w:rsidRPr="00070ADE">
        <w:rPr>
          <w:rFonts w:ascii="Times New Roman" w:hAnsi="Times New Roman"/>
          <w:color w:val="000000" w:themeColor="text1"/>
          <w:sz w:val="16"/>
          <w:szCs w:val="16"/>
        </w:rPr>
        <w:t xml:space="preserve"> качестве заменителей органического стекла мы предприняли работу до синтезу и изучению свойств эфиров ортокремниевлой кислоты и глицерина. Эти эфиры бы</w:t>
      </w:r>
      <w:r w:rsidRPr="00070ADE">
        <w:rPr>
          <w:rFonts w:ascii="Times New Roman" w:hAnsi="Times New Roman"/>
          <w:color w:val="000000" w:themeColor="text1"/>
          <w:sz w:val="16"/>
          <w:szCs w:val="16"/>
        </w:rPr>
        <w:softHyphen/>
        <w:t>ли выбраны на основании существующих указаний в патентной литературе.</w:t>
      </w:r>
    </w:p>
    <w:p w14:paraId="3178B8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Получение глицериновых эфиров ортокремневой кислоты в данной работе было проведено двумя методами: 1) Вытеснение алкидного остатка из тетраэтидсиликата бо</w:t>
      </w:r>
      <w:r w:rsidRPr="00070ADE">
        <w:rPr>
          <w:rFonts w:ascii="Times New Roman" w:hAnsi="Times New Roman"/>
          <w:color w:val="000000" w:themeColor="text1"/>
          <w:sz w:val="16"/>
          <w:szCs w:val="16"/>
        </w:rPr>
        <w:softHyphen/>
        <w:t>лее высокомолекулярным спиртом,</w:t>
      </w:r>
    </w:p>
    <w:p w14:paraId="7F4E3279" w14:textId="77777777" w:rsidR="00595BFB" w:rsidRPr="00070ADE" w:rsidRDefault="00595BFB" w:rsidP="00B56F90">
      <w:pPr>
        <w:tabs>
          <w:tab w:val="left" w:pos="48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Получение эфиров непосредственно из четыреххлористого кремния...</w:t>
      </w:r>
    </w:p>
    <w:p w14:paraId="75F33FF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0FE907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Силикатное стекло, применяемое для изготовления немецкой прозрачной брони представляет собою натрий-кальциевое силикатное е.тенло, прошедшее хороший отжиг.</w:t>
      </w:r>
    </w:p>
    <w:p w14:paraId="79D731F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 Исследования о преимуществах закаленного стекла в комбинации с органическим в отношении пулестойкости перед сырым стеклом в такой же комбинации показывают, что этот вопрос требует пересмотра и дальнейших исследований.</w:t>
      </w:r>
    </w:p>
    <w:p w14:paraId="4FA48F38" w14:textId="77777777" w:rsidR="00595BFB" w:rsidRPr="00070ADE" w:rsidRDefault="00595BFB" w:rsidP="00B56F90">
      <w:pPr>
        <w:tabs>
          <w:tab w:val="left" w:pos="3760"/>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Синтез сложных эфиров ортокремниевой кислоты и глицерина доказал, что эти эфиры могут быть подучены в виде прозрачных полимеров студнеобразного характера.</w:t>
      </w:r>
    </w:p>
    <w:p w14:paraId="77174410" w14:textId="77777777" w:rsidR="00595BFB" w:rsidRPr="00070ADE" w:rsidRDefault="00595BFB" w:rsidP="00B56F90">
      <w:pPr>
        <w:tabs>
          <w:tab w:val="left" w:leader="dot" w:pos="5206"/>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Получить эти эфиры со свойствами, приближающимися к свойствам органического стекла не удалось.</w:t>
      </w:r>
    </w:p>
    <w:p w14:paraId="529B0928" w14:textId="77777777" w:rsidR="00595BFB" w:rsidRPr="00070ADE" w:rsidRDefault="00595BFB" w:rsidP="00B56F90">
      <w:pPr>
        <w:tabs>
          <w:tab w:val="left" w:pos="1258"/>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Исследование механических свойств /твердость по Бринелю и ударной вязкости/ органического стекла, полу</w:t>
      </w:r>
      <w:r w:rsidRPr="00070ADE">
        <w:rPr>
          <w:rFonts w:ascii="Times New Roman" w:hAnsi="Times New Roman"/>
          <w:color w:val="000000" w:themeColor="text1"/>
          <w:sz w:val="16"/>
          <w:szCs w:val="16"/>
        </w:rPr>
        <w:softHyphen/>
        <w:t>ченного из метилметакрилата с добавками гликольдиматакрилата, показали, что добавки последнего не влияют практически на твердость по Бринелю, но сильно добавляют ударную вязкость.</w:t>
      </w:r>
    </w:p>
    <w:p w14:paraId="20BB1A60" w14:textId="77777777" w:rsidR="00595BFB" w:rsidRPr="00070ADE" w:rsidRDefault="00595BFB" w:rsidP="00B56F90">
      <w:pPr>
        <w:tabs>
          <w:tab w:val="left" w:pos="1251"/>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Опыты по применение карбинольеого клея для склей</w:t>
      </w:r>
      <w:r w:rsidRPr="00070ADE">
        <w:rPr>
          <w:rFonts w:ascii="Times New Roman" w:hAnsi="Times New Roman"/>
          <w:color w:val="000000" w:themeColor="text1"/>
          <w:sz w:val="16"/>
          <w:szCs w:val="16"/>
        </w:rPr>
        <w:softHyphen/>
        <w:t>ки органического и силикатного стекла показали непри</w:t>
      </w:r>
      <w:r w:rsidRPr="00070ADE">
        <w:rPr>
          <w:rFonts w:ascii="Times New Roman" w:hAnsi="Times New Roman"/>
          <w:color w:val="000000" w:themeColor="text1"/>
          <w:sz w:val="16"/>
          <w:szCs w:val="16"/>
        </w:rPr>
        <w:softHyphen/>
        <w:t>годность карбинольного клея для этой цели из-ва низкой прочности склейки при механических воздействиях.</w:t>
      </w:r>
    </w:p>
    <w:p w14:paraId="44EF9C5B" w14:textId="77777777" w:rsidR="00595BFB" w:rsidRPr="00070ADE" w:rsidRDefault="00595BFB" w:rsidP="00B56F90">
      <w:pPr>
        <w:tabs>
          <w:tab w:val="left" w:pos="682"/>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Исследование пленки, применяемой при изготовлении немецкой прозрачной брони, показало, что она представляет собою полимер производных акриловой кислоты.</w:t>
      </w:r>
    </w:p>
    <w:p w14:paraId="374E33D7" w14:textId="77777777" w:rsidR="00595BFB" w:rsidRPr="00070ADE" w:rsidRDefault="00595BFB" w:rsidP="00B56F90">
      <w:pPr>
        <w:tabs>
          <w:tab w:val="left" w:pos="1254"/>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Испытания серийных деталей прозрачной брони серийной конструкции, изготовленной на пленке из полиметилакрилата показаяи, что технология изготовления этой пленки и технология склейки на этой пленке требуют доработки, так как испытанные детали доказали образование гороховых пузырей при испытании на термоводостойкость (10523,170).</w:t>
      </w:r>
    </w:p>
    <w:p w14:paraId="4E277E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C26DB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июня 1944 Зам. Нач. 7ГУ Алексеев подготовил сводку г-7 № 8183 о ходе испытаний высотных самолетов на 17 и 18 июня 1944 по Як-9 М-105ПД, Ла-5 АШ-82ФН и 2ТК-3, МиГ АМ-39А и 2ТК-2Б (1825,87).</w:t>
      </w:r>
    </w:p>
    <w:p w14:paraId="59BF75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ИСТРЕБИТЕЛЬ ЯК-9 С ВК-105ПФ И ДВУХСТУПЕНЧАТЫМ НАГНЕТАТЕЛЕМ</w:t>
      </w:r>
    </w:p>
    <w:p w14:paraId="211310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Производилась подготовка самолета для установки в трубу для продувок.</w:t>
      </w:r>
    </w:p>
    <w:p w14:paraId="7366E2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ВЫСОТНЫЙ ИСТРЕБИТЕЛЬ МИГ С АМ-39Б И 2ТК-2Б.</w:t>
      </w:r>
    </w:p>
    <w:p w14:paraId="4D037D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Полетов не производилось, т.к. летчик-испытатель тов. ЯКИМОВ болен;</w:t>
      </w:r>
    </w:p>
    <w:p w14:paraId="19E921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находится в летном состоянии.</w:t>
      </w:r>
    </w:p>
    <w:p w14:paraId="1FA87B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ВЫСОТНЫЙ ИСТРЕБИТЕЛЬ ЛА-5 С АШ-82ФН и 2ТК-3.</w:t>
      </w:r>
    </w:p>
    <w:p w14:paraId="1D93E4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не обеспечен кондиционным мотором. Мотор :АШ-82ФН с улучшенным дефлектированием отправлен с за</w:t>
      </w:r>
      <w:r w:rsidRPr="00070ADE">
        <w:rPr>
          <w:rFonts w:ascii="Times New Roman" w:hAnsi="Times New Roman"/>
          <w:color w:val="000000" w:themeColor="text1"/>
          <w:sz w:val="16"/>
          <w:szCs w:val="16"/>
        </w:rPr>
        <w:softHyphen/>
        <w:t>вода № 19 14 июня с.г. Начальнику Транспортного Отдела тов. СУПРУН сообщено о необходимости взять под особый контроль передвижение мотора по нелеаной дороге (1825).</w:t>
      </w:r>
    </w:p>
    <w:p w14:paraId="4DA976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2B26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июня 1944 состоялось заседание коллегии НКАП и обсудили:</w:t>
      </w:r>
    </w:p>
    <w:p w14:paraId="076883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 состоянии производительности труда и снижении себестоимости</w:t>
      </w:r>
    </w:p>
    <w:p w14:paraId="4F8D97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 отоваривании фондов на продовольственные и промышленные товары во 2 кв. 1944 (1740).</w:t>
      </w:r>
    </w:p>
    <w:p w14:paraId="05E945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0E210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6154C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37DBD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июня 1944 г. на полигоне Юргинского завода прозвучал первый орудийный испытательный выстрел 122мм Д-25. В июле завод выдал первые пять пушек Д-25 калибра 122 миллиметра. Начался выпуск законченной артиллерийской продукции. За 1944 г. завод изготовил 120 пушек и выполнил план на 109%. Себестоимость одной пушки сократилась на 38%. В конце 1945 г. завершилось строительство мартеновского, а затем прессового цехов. На второе полугодие и на 1946 г. завод получил дополнительное задание освоить производство стволов двух видов (Б-24-Иц и Б-34-У). Он стал крупным предприятием, поставлявшим вооруженным силам мощные артиллерийские системы и их отдельные элементы. За январь завод выпустил 112 орудий, за февраль - 108 и за каждый последующий месяц по 100 штук. Итого за год 1220 пуше (11511).</w:t>
      </w:r>
    </w:p>
    <w:p w14:paraId="3BF9445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4BF55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июня 1945 в Кремле проходил показ новых ГАЗ-М-20 и ГАЗ-51 и Сталиным был поднят вопрос о новом автомобиле. Присутствовавший там главный конструктор А.А.Липгарт пообещал сделать тягач. В 1946 году было получено официальное техническое задание на проектирование полноприводного легкового автомобиля высокой проходимости под индексом "69" (второй в истории завода), а позднее под названием "Труженик" (имелось в виду его не только армейское, но и народнохозяйственное значение) - будущий ГАЗ-69 (9639).</w:t>
      </w:r>
    </w:p>
    <w:p w14:paraId="1B3D54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6A7911C" w14:textId="77777777" w:rsidR="00DD0763" w:rsidRPr="00070ADE" w:rsidRDefault="00D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июня 1944 г. ЗАПИСКА ЗАМЕСТИТЕЛЯ ПРЕДСЕДАТЕЛЯ СНК СССР М. Г. ПЕРВУХИНА 1-му ЗАМЕСТИТЕЛЮ ПРЕДСЕДАТЕЛЯ СНК СССР В. М. МОЛОТОВУ ОБ ОРГАНИЗАЦИИ СПЕЦИАЛЬНОГО БЮРО ДЛЯ РАБОТЫ С РАЗВЕДМАТЕРИАЛАМИ</w:t>
      </w:r>
    </w:p>
    <w:p w14:paraId="0576B20C" w14:textId="77777777" w:rsidR="00DD0763" w:rsidRPr="00070ADE" w:rsidRDefault="00D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проблеме урана поступает большое количество технических материалов от НКГБ и Разведупра НКО. Для разбора этих материалов и переработки их в виде заданий для Лаборатории № 2 необходимо организовать специальное бюро в составе секретариата СНК СССР.</w:t>
      </w:r>
    </w:p>
    <w:p w14:paraId="359925CA" w14:textId="77777777" w:rsidR="00DD0763" w:rsidRPr="00070ADE" w:rsidRDefault="00D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Вношу на Ваше утверждение проект распоряжения по данному вопросу.</w:t>
      </w:r>
    </w:p>
    <w:p w14:paraId="4F4B8F66" w14:textId="77777777" w:rsidR="00DD0763" w:rsidRPr="00070ADE" w:rsidRDefault="00D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 Первухин</w:t>
      </w:r>
    </w:p>
    <w:p w14:paraId="20C90DCE" w14:textId="77777777" w:rsidR="00DD0763" w:rsidRPr="00070ADE" w:rsidRDefault="00D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19/VI-1944 г.</w:t>
      </w:r>
    </w:p>
    <w:p w14:paraId="5C2351D4" w14:textId="77777777" w:rsidR="00DD0763" w:rsidRPr="00070ADE" w:rsidRDefault="00D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 Если почему-либо такое бюро нельзя создать в секретариате СНК, его необходимо организовать при Наркомхимпроме.</w:t>
      </w:r>
    </w:p>
    <w:p w14:paraId="5207227B" w14:textId="77777777" w:rsidR="00DD0763" w:rsidRPr="00070ADE" w:rsidRDefault="00D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Проектом распоряжения СНК СССР предусматривалась организация в составе секретариата СНК спецбюро № 1 со штатом 5 человек под руководством А И. Васина, помощника зам. председателя СНК СССР (АП РФ. Ф. 93, д. 2 (44), л. 35).</w:t>
      </w:r>
    </w:p>
    <w:p w14:paraId="76C2BB2C" w14:textId="77777777" w:rsidR="00DD0763" w:rsidRPr="00070ADE" w:rsidRDefault="00D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Печатается по: Атомный проект СССР: Документы и материалы. В 3 томах. Т. 1. 1938-1945. Часть 2. М., Издательство МФТИ, 2002. С. 87-88 (24166).</w:t>
      </w:r>
    </w:p>
    <w:p w14:paraId="279375CE" w14:textId="77777777" w:rsidR="00DD0763" w:rsidRPr="00070ADE" w:rsidRDefault="00DD0763" w:rsidP="00B56F90">
      <w:pPr>
        <w:spacing w:after="0" w:line="240" w:lineRule="auto"/>
        <w:jc w:val="both"/>
        <w:rPr>
          <w:rFonts w:ascii="Times New Roman" w:hAnsi="Times New Roman"/>
          <w:color w:val="000000" w:themeColor="text1"/>
          <w:sz w:val="16"/>
          <w:szCs w:val="16"/>
        </w:rPr>
      </w:pPr>
    </w:p>
    <w:p w14:paraId="1ACD35B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D923E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68A4AE"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 xml:space="preserve">19 июня </w:t>
      </w:r>
      <w:r w:rsidRPr="00070ADE">
        <w:rPr>
          <w:rFonts w:ascii="Times New Roman" w:hAnsi="Times New Roman"/>
          <w:color w:val="000000" w:themeColor="text1"/>
          <w:sz w:val="16"/>
          <w:szCs w:val="16"/>
        </w:rPr>
        <w:t>в 1944 году оперативная сводка Совинформбюро:</w:t>
      </w:r>
    </w:p>
    <w:p w14:paraId="0F82A0F9"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Карельском перешейке войска Ленинградского фронта, продолжая стремительное наступление, расширили прорыв Линии Маннергеима до 50 километров по фронту — от Муола до побережья Финского залива. В течение 19 июня войска фронта овладели крупными узлами сопротивления противника Сумма, Лейпясуо, Муола, а также с боями заняли более 70 населённых пунктов и среди них Ремпетти, Ватнуори, Иоханнес, Роккала (16 километров южнее Выборга), Липпола, Илякюля. Хумола, Кямяря, Куса, Иокису, Кивиниеми, Лапинлахти и железнодорожные станции Иоханнес, Лейпясуо, Кямяря, Петяярви. Наши войска полностью очистили от противника южное побережье озёр Суванто-Ярви и Вуокси-Ярви. На других фронтах — без перемен.</w:t>
      </w:r>
    </w:p>
    <w:p w14:paraId="21662A61"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18 июня в воздушных боях и огнём зенитной артиллерии сбито 36 самолётов противника.</w:t>
      </w:r>
    </w:p>
    <w:p w14:paraId="67748E5F"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Карельском перешейке войска Ленинградского фронта продолжали успешное наступление. Наши войска расширили прорыв линии Маннергейма до 50 километров по фронту — от Муола (севернее озера Муолан-ярви) до побережья Финского залива. Советские танкисты и пехотинцы стремительными ударами овладели долговременными, сильно укреплёнными узлами сопротивления финнов: Сумма, Лейпясуо, Муола, а также заняли более 70 населённых пунктов. Части Н-ского стрелкового соединения совершили умелый манёвр и нанесли мощный удар противнику. Советские бойцы уничтожили свыше тысячи финнов и захватили знамёна двух финских полков, 3 танка, 19 орудий, много автомашин и повозок с грузами. Танкисты Н-ской части прорвались в тыл противника и разгромили несколько финских батальонов и штаб дивизии. Захвачено 4 склада с продовольствием и боеприпасами, 78 автомашин, 600 велосипедов, 200 лошадей и различное военное имущество. В другом районе танкисты, ликвидировав узел обороты финнов, захватили 15 противотанковых орудий и большое количество боеприпасов.</w:t>
      </w:r>
    </w:p>
    <w:p w14:paraId="7D86C91F"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поддерживая наступающие войска фронта, наносила массированные удары по опорным пунктам и коммуникациям противника. Лётчики Краснознамённого Балтийского флота днём и ночью бомбардировали финские суда в. Выборгском заливе. Прямыми попаданиями бомб потоплены 6 транспортов противника. Кроме того, авиацией флота потоплены четыре десантных баржи, три буксира и три сторожевых катера. Многим другим плавучим средствам финнов, нанесены повреждения. Противник пытался вывести свои суда из Выборгского залива. Наша авиация активно противодействовала этим попыткам финнов. Сегодня с одного из полуостровов наши артиллеристы расстреливают суда противника, пытающиеся вырваться из Выборгского залива.</w:t>
      </w:r>
    </w:p>
    <w:p w14:paraId="36DE98B5"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дня в воздушных боях советские лётчики сбили 22 немецко-финских самолёта.</w:t>
      </w:r>
    </w:p>
    <w:p w14:paraId="149527B5"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Мозырь группа наших разведчиков под командованием лейтенанта Лейзина ночью пробралась к укреплённому пункту немцев. Советские бойцы внезапно напали на противника и уничтожили 38 гитлеровцев. Разведчики захватили в плен немецкого унтер-офицера и благополучно возвратились в свою часть.</w:t>
      </w:r>
    </w:p>
    <w:p w14:paraId="3920F6F6"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 Украинском фронте группа разведчиков во главе со старшим сержантом Учаевым внезапным броском ворвалась в траншеи противника, уничтожила 4 немцев и захватила 20 пленных. Отправив пленных в штаб, разведчики атаковали позиции артиллерийской батареи. Румынские артиллеристы не приняли боя и разбежались, бросив свои орудия. Наши разведчики захватили и доставили в своё подразделение три исправных противотанковых орудия.</w:t>
      </w:r>
    </w:p>
    <w:p w14:paraId="40AF1BA6"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Наша авиация в ночь на 18 июня совершила налёт на порт и город Киркенес (Северная Норвегия). В результате бомбардировки возникло десять очагов пожара. В порту уничтожены танкер и три каботажных судна. В воздушных боях «бито 7 немецких самолётов.</w:t>
      </w:r>
    </w:p>
    <w:p w14:paraId="18C498CE"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Самолёт-торпедоносец Краснознамённого Балтийского флота потопил в Рижском заливе немецкий транспорт водоизмещением в 6.000 тонн.</w:t>
      </w:r>
    </w:p>
    <w:p w14:paraId="4926E715"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Перешедший на сторону Красной Армии сержант 14 румынской пехотной дивизии Думитру Т. рассказал: «В 1941 году я служил в 21 румынской пехотной дивизии и участвовал в боях под Одессой. В районе Одессы состав дивизии обновлялся по меньшей мере четыре раза. После я попал в 14 румынскую пехотную дивизию и через некоторое время снова очутился на фронте. Мне пришлось пройти длинный и тяжёлый путь отступления. Ненавидя немцев, я покинул свою часть и скрывался в деревнях. На днях мы группой в количестве 27 человек перешли на сторону Красной Армии».</w:t>
      </w:r>
    </w:p>
    <w:p w14:paraId="747BFF12"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районе Тирасполя на сторону Красной Армии перешла группа солдат 4 горнострелковой румынской дивизии. Перебежчик Ион Р. сообщил: «Немцы грабят румынское население, забирают хлеб, скот, птицу и ценные вещи. В одном селе я был свидетелем вооружённой схватки между солдатами 15 румынской пехотной дивизии и солдатами какой-то немецкой тыловой части. Немцы отбирали скот у румынских крестьян. Один немецкий солдат избил женщину, которая не хотела отдавать свою единственную корову. Румынский ефрейтор ударил немца и предложил ему уйти прочь. Тогда немец выхватил пистолет и выстрелом в упор убил ефрейтора. Возмущённые румынские солдаты начали стрелять в немцев из автоматов. В этой схватке было убито и ранено 20 немецких солдат» (14927).</w:t>
      </w:r>
    </w:p>
    <w:p w14:paraId="53F54BB3"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0465FD1B"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 xml:space="preserve">19 июня </w:t>
      </w:r>
      <w:r w:rsidRPr="00070ADE">
        <w:rPr>
          <w:rFonts w:ascii="Times New Roman" w:hAnsi="Times New Roman"/>
          <w:color w:val="000000" w:themeColor="text1"/>
          <w:sz w:val="16"/>
          <w:szCs w:val="16"/>
        </w:rPr>
        <w:t>в 1944 году незадолго до освобождения Белоруссии деревня Дальва (Минская область) сожжена фашистами. В огне погибли 44 человека, среди них 29 детей. Дальва стала последней из 619 белорусских «огненных деревень», разделивших судьбу Хатыни. На месте погибшей деревни возведен мемориальный комплекс. Ныне – филиал Государственного мемориального комплекса «Хатынь»; в 2002 г. включен в государственный список историко-культурных ценностей Белоруссии (14927).</w:t>
      </w:r>
    </w:p>
    <w:p w14:paraId="57AB9793"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6CE2C707"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 xml:space="preserve">19 июня </w:t>
      </w:r>
      <w:r w:rsidRPr="00070ADE">
        <w:rPr>
          <w:rFonts w:ascii="Times New Roman" w:hAnsi="Times New Roman"/>
          <w:color w:val="000000" w:themeColor="text1"/>
          <w:sz w:val="16"/>
          <w:szCs w:val="16"/>
        </w:rPr>
        <w:t>в 1944 году на Карельском перешейке войска Ленинградского фронта расширили прорыв линии Маннергейма до 50 километров по фронту — от Муола до побережья Финского залива. В течение 19 июня войска фронта овладели крупными узлами сопротивления противника Сумма, Лейпясуо, Муола, а также с боями заняли более 70 населенных пунктов и среди них Ремпетти, Ватнуори, Иоханнес, Роккала (16 километров южнее Выборга), Липпола, Илякюля, Хумола, Кямяря, Куса, Иокису, Кивиниеми, Лапинлахти и железнодорожные станции Иоханнес, Лейпясуо, Кямяря, Петяярви. Наши войска полностью очистили от противника южное побережье озер Суванто-ярви и Вуокси-ярви. На других фронтах — без перемен (14927).</w:t>
      </w:r>
    </w:p>
    <w:p w14:paraId="52FA5592"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68B1AFF5"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 xml:space="preserve">19 июня </w:t>
      </w:r>
      <w:r w:rsidRPr="00070ADE">
        <w:rPr>
          <w:rFonts w:ascii="Times New Roman" w:hAnsi="Times New Roman"/>
          <w:color w:val="000000" w:themeColor="text1"/>
          <w:sz w:val="16"/>
          <w:szCs w:val="16"/>
        </w:rPr>
        <w:t>в 1944 году на рассвете 180-мм железнодорожные батареи № 18 и № 19 открыли огонь по Выборгу (14927).</w:t>
      </w:r>
    </w:p>
    <w:p w14:paraId="03B835C1"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4CF2E83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июня 1944 года в тренировочном полете разбилась одна из л/лодок PBI-1 Номад Северного флота. Но в целом освоение новой техники проходило гладко. Интересно, что знакомство с ГСТ почти не давало преимуществ - настолько по своему поведению в воздухе PBN-1 отличался от своего далекого "предка". На Северном флоте американские лодки получил 118-й разведывательный полк (к 1 сентября 1944 года он имел 8 PBN-1), в ВВС Беломорской флотилии по несколько машин досталось 44-му, 53-му и 54-му смешанным авиаполкам, 20-й отдельной морской разведывательной эскадрилье. Самолеты осуществляли противолодочное' патрулирование н ледовую разведку. Часть полученных из США PBN-1 имела радиолокаторы, что значительно повышало эффективность поиска. Вооружались они бомбами ПЛАБ-100, сбрасывавшимися с парашютом. Для борьбы с подводными лодками в годы Великой Отечественной войны пробовали применять чуть ли не все тины самолетов, имевшихся в авиапарке ВВС ВМФ: Ил-4 и МБР-2, "Бостоны" и "Киттихауки", Пе-3 и Ил-2... Вес они показали себя неудовлетворительно-то плох обзор, то слишком велика скорость (рвутся парашюты ПЛАБ-100), то мал радиус действия. И только PBN-1 угодил всем - его многочисленный экипаж имел хороший обзор, достаточно большой диапазон рабочих скоростей, мощное вооружение, прочный планер, возможность при необходимости садиться в открытом море, оборудование, значительно превосходящее по уровню отечественное. Соответственно изменилась и эффективность патрулирования. На одну обнаруженную субмарину у североморских МБР-2 приходилось 170 самолетовылетов, у PBN-1-только 40. Появление новых гидропланов позволило осматривать и те зоны, до которых МБР-2 просто "не дотягивались" (3457,129).</w:t>
      </w:r>
    </w:p>
    <w:p w14:paraId="1DC405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0D8F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19 на 20 июня 1944 для захвата Нервы - маленького островка (финское название - Нарви), расположенного в восточной части Финского залива и с зимы 1941 г. остававшегося “ничейным” и никому не нужным была выделена усиленная рота с трехорудийной 45-мм батареей. Доставить десант предполагалось на СКА типов МО и Д-3, а также катерах-тральщиках. Для прикрытия “сей грозной армады” предназначались 14 торпедных катеров (Д-3, Г-5 и даже Ш-4), сведенных в четыре отряда. Ими командовали гвардии капитан-лейтенанты Б.П.Ущев и И.С.Иванов, капитан 3 ранга В.И.Тихонов и капитан 2 ранга С.А.Осипов, на которого возлагалось общее руководство группами в море. Немецкое командование, со своей стороны, решило провести в том же районе так называемую операцию “Дроссельфанг”, целью которой был разгром предполагавшегося советского десанта на острова Бьерке и Пийсари. Для реализации замысла были использованы два новых больших миноносца (Flotten-torpedoboote), вышедших вечером 19 июня от острова Муссало. Около полуночи они встретились с балтийцами в районе банки Средняя. Германские корабли имели явное преимущество над советскими катерами в артиллерийском бою - без ущерба для себя они нанесли повреждения МБК-503, МБК-505, МО-106. Неизвестно, чем бы все закончилось, но тут вступили в дело торпедные катера. Первой вступила в бой группа Ущева - ТК-53, 63 и 153. Но ее атака провалилась, выпущенные торпеды прошли мимо цели а огонь миноносцев был точен. Все три ТКА получили повреждения, особенно досталось 63-му, в который попало три снаряда. “Бедолага” получил пробоину ниже ватерлинии, на нем затопило моторный отсек, повредило моторы и бензобаки. Катер потерял ход и впоследствии его прибуксировали к пирсу острова Сескар.</w:t>
      </w:r>
    </w:p>
    <w:p w14:paraId="173E8B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Следующей атаковала группа Иванова (ТК-41, 101, 103 и 111), и вновь неудачно: 101-й и 103-й получили повреждения. Немцы, хотя вновь избежали торпедных попаданий, не могли игнорировать угрозу. Они оставили в покое сторожевые и бронекатера и отошли, но не надолго. Около часа ночи “Т-30” и “Т-31” вернулись намереваясь окончательно разгромить десант. Но теперь их ждала по-настоящему “горячая” встреча. Учтя прежние неудачи, Осипов собрал все свои не пострадавшие в двух первых попытках катера. Дымовые завесы сделали видимость совсем отвратительной и миноносцы потеряли друг друга. В этих условиях в 1:02 ТКА старшего лейтенанта Тороненко и лейтенанта Бушуева (37-й и 60-й) смогли торпедировать “Т-31”. Две “рыбины” быстро отправили “фрица” на дно, вместе с ним погибло 76 моряков. Еще шестерых наши катерники взяли в плен. “Т-30” быстро отошел в шхеры, покинули район боя и балтийцы. Они честно выполнили свой долг, позволив десантникам без помех высадиться на Нерве и уничтожив крупный боевой корабль Кригсмарине. Воспользовавшись уходом советских сил к месту боя подошли финские торпедные катера, спасшие 86 уцелевших немцев.</w:t>
      </w:r>
    </w:p>
    <w:p w14:paraId="55703A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Хотя в бою пострадало 10 наших ТКА (кроме вышеперечисленных, еще и ТК-9, 10, 33, 37 и 163), потери в людях оказались минимальными - всего несколько раненых, а уничтоженный “Т-31” стал самым большим кораблем, потопленным надводными силами КБФ (6002).</w:t>
      </w:r>
    </w:p>
    <w:p w14:paraId="4D856D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BD36C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7FEA18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CBFAC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июня 1944 французские войска захватили остров Эльба (Средиземное море) (4962).</w:t>
      </w:r>
    </w:p>
    <w:p w14:paraId="76601EF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9114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19th, 1944: A violent storm in the English Channel wrecks the Allied artificial 'Mulberry' harbors at Omaha Beach and Arromanches (3819).</w:t>
      </w:r>
    </w:p>
    <w:p w14:paraId="38C35E6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A0A60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июня 1944 шторм разрушил временную пристань в месте высадки на Омаха бич и Арроманчес (3819).</w:t>
      </w:r>
    </w:p>
    <w:p w14:paraId="3B2E87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1DC74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июня 1944 началась битва в Филиппинском море между американским и японским флотами (4962).</w:t>
      </w:r>
    </w:p>
    <w:p w14:paraId="2873B56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0327DA"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 xml:space="preserve">19 июня </w:t>
      </w:r>
      <w:r w:rsidRPr="00070ADE">
        <w:rPr>
          <w:rFonts w:ascii="Times New Roman" w:hAnsi="Times New Roman"/>
          <w:color w:val="000000" w:themeColor="text1"/>
          <w:sz w:val="16"/>
          <w:szCs w:val="16"/>
        </w:rPr>
        <w:t>в 1944 году (19-20 июня) воздушно-морское сражение в Филиппинском море у Марианских островов между японским (9 торпедоносцев и морская авиация наземного базирования) и американским (15 торпедоносцев) флотами. В результате действий подводных лодок и самолетов-торпедоносителей японцы потеряли 3 авианосца и свыше 400 самолетов (14927).</w:t>
      </w:r>
    </w:p>
    <w:p w14:paraId="661CDB91"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7C202F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lang w:val="en-US"/>
        </w:rPr>
        <w:t xml:space="preserve">June 19-20, 1944. "The Marianas Turkey Shoot", in two days of fighting, the Japanese lose 476 aircraft. </w:t>
      </w:r>
      <w:r w:rsidRPr="00070ADE">
        <w:rPr>
          <w:rFonts w:ascii="Times New Roman" w:hAnsi="Times New Roman"/>
          <w:color w:val="000000" w:themeColor="text1"/>
          <w:sz w:val="16"/>
          <w:szCs w:val="16"/>
        </w:rPr>
        <w:t>American losses are 130 planes (1089).</w:t>
      </w:r>
    </w:p>
    <w:p w14:paraId="79D6BB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E0B9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19 по 22 июня состоялся Марианский расстрел индюшек и за 2 дня было сбито 476 японских машин при потерях ВВС США в 130 самолетов (1089).</w:t>
      </w:r>
    </w:p>
    <w:p w14:paraId="71422E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F515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19 1944 US Submarine Albacore sinks Japanese carrier Taiho (1242).</w:t>
      </w:r>
    </w:p>
    <w:p w14:paraId="5F4BAD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54498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июня 1944 американская подлодка потопила японский авианосец Тайго (1242).</w:t>
      </w:r>
    </w:p>
    <w:p w14:paraId="638DCB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C814FB"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 xml:space="preserve">19 июня </w:t>
      </w:r>
      <w:r w:rsidRPr="00070ADE">
        <w:rPr>
          <w:rFonts w:ascii="Times New Roman" w:hAnsi="Times New Roman"/>
          <w:color w:val="000000" w:themeColor="text1"/>
          <w:sz w:val="16"/>
          <w:szCs w:val="16"/>
        </w:rPr>
        <w:t>в 1944 году авианосец «Shokaku» потоплен тремя торпедами американской ПЛ “Cavalla”. Погибло 1263 человек (14927).</w:t>
      </w:r>
    </w:p>
    <w:p w14:paraId="03D9B2B6"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51A99535"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lastRenderedPageBreak/>
        <w:t xml:space="preserve">19 июня </w:t>
      </w:r>
      <w:r w:rsidRPr="00070ADE">
        <w:rPr>
          <w:rFonts w:ascii="Times New Roman" w:hAnsi="Times New Roman"/>
          <w:color w:val="000000" w:themeColor="text1"/>
          <w:sz w:val="16"/>
          <w:szCs w:val="16"/>
        </w:rPr>
        <w:t xml:space="preserve">в 1944 году когда самолет </w:t>
      </w:r>
      <w:hyperlink r:id="rId178" w:tgtFrame="_blank" w:history="1">
        <w:r w:rsidRPr="00070ADE">
          <w:rPr>
            <w:rFonts w:ascii="Times New Roman" w:hAnsi="Times New Roman"/>
            <w:color w:val="000000" w:themeColor="text1"/>
            <w:sz w:val="16"/>
            <w:szCs w:val="16"/>
          </w:rPr>
          <w:t xml:space="preserve">«TBF» («TBM») «Avenger», </w:t>
        </w:r>
      </w:hyperlink>
      <w:r w:rsidRPr="00070ADE">
        <w:rPr>
          <w:rFonts w:ascii="Times New Roman" w:hAnsi="Times New Roman"/>
          <w:color w:val="000000" w:themeColor="text1"/>
          <w:sz w:val="16"/>
          <w:szCs w:val="16"/>
        </w:rPr>
        <w:t>пилотируемый Г.Е.Сабином из VT-60 (авианосец USS «Suwannee») потопил недалеко от Гуама подводную лодку «1-184». В 1944 году Эвенджеры потопили на Тихом океане всего две подводные лодки. Пять месяцев спустя, 18 ноября, самолет с авианосца «Anzio» потопил в 300 милях к востоку от острова Самар подводную лодку «1-41» (14927).</w:t>
      </w:r>
    </w:p>
    <w:p w14:paraId="71CDE8B8"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062EB07F" w14:textId="77777777" w:rsidR="00EA7435" w:rsidRPr="00070ADE" w:rsidRDefault="00EA74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19–23 июня 1944 с базы ВВС США B-24 Liberators, базирующаяся в Кваджалейне, совершает ежедневные высотные бомбардировки атолла Трук (20373).</w:t>
      </w:r>
    </w:p>
    <w:p w14:paraId="4835A804" w14:textId="77777777" w:rsidR="00EA7435" w:rsidRPr="00070ADE" w:rsidRDefault="00EA7435" w:rsidP="00B56F90">
      <w:pPr>
        <w:spacing w:after="0" w:line="240" w:lineRule="auto"/>
        <w:jc w:val="both"/>
        <w:rPr>
          <w:rFonts w:ascii="Times New Roman" w:hAnsi="Times New Roman"/>
          <w:color w:val="000000" w:themeColor="text1"/>
          <w:sz w:val="16"/>
          <w:szCs w:val="16"/>
        </w:rPr>
      </w:pPr>
    </w:p>
    <w:p w14:paraId="4D7B7DEA" w14:textId="77777777" w:rsidR="00EA7435" w:rsidRPr="00070ADE" w:rsidRDefault="00EA74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июня 1944 в Филиппинском море к западу от Гуама начинается крупнейшая авианосная битва в истории и первая с октября 1942 года Битва в Филиппинском море, в которой участвуют 15 американских авианосцев из группы 58 с 891 самолетом и 65 линкоров и крейсеров против девяти японских авианосцев с 430 самолетами и 43 battleship и крейсеров, при поддержке японских самолетами наземного базирования на Марианских островах и на более удаленных базах. Во время неэффективных ударов японской авиации по американским авианосным силам в течение дня, во время воздушных атак США на японские базы на Марианских островах и в результате потерь по другим причинам японцы теряют около 315 самолетов в результате того, что американские пилоты называют «охотой за индейками». Японская авианосная авиация так и не оправится от катастрофы. Управляя F6F Hellcat из Fighter Squadron 16 (VF-16) с авианосца USS Lexington (CV-16) , летчик-истребитель ВМС США Александр Врачу сбивает шесть японских самолетов за восемь минут. Американцы теряют всего 29 самолетов. Также в течение дня американская подводная лодка USS Albacore (SS-218) потопила японский авианосец Taihō, а подводная лодка USS Cavalla (SS-244) потопила авианосец Shōkaku (20373).</w:t>
      </w:r>
    </w:p>
    <w:p w14:paraId="159A5965" w14:textId="77777777" w:rsidR="00EA7435" w:rsidRPr="00070ADE" w:rsidRDefault="00EA7435" w:rsidP="00B56F90">
      <w:pPr>
        <w:spacing w:after="0" w:line="240" w:lineRule="auto"/>
        <w:jc w:val="both"/>
        <w:rPr>
          <w:rFonts w:ascii="Times New Roman" w:hAnsi="Times New Roman"/>
          <w:color w:val="000000" w:themeColor="text1"/>
          <w:sz w:val="16"/>
          <w:szCs w:val="16"/>
        </w:rPr>
      </w:pPr>
    </w:p>
    <w:p w14:paraId="0365CC37"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 xml:space="preserve">19 июня </w:t>
      </w:r>
      <w:r w:rsidRPr="00070ADE">
        <w:rPr>
          <w:rFonts w:ascii="Times New Roman" w:hAnsi="Times New Roman"/>
          <w:color w:val="000000" w:themeColor="text1"/>
          <w:sz w:val="16"/>
          <w:szCs w:val="16"/>
        </w:rPr>
        <w:t>в 1944 году финское правительство обратилось к Гитлеру с просьбой срочно направить в Финляндию шесть германских дивизий и авиацию. Немцы 19-20 июня из под Нарвы морем переправили финнам 122-ю пехотную дивизию под командованием генерал-майора Брюсинга и 303-ю бригаду штурмовых орудий (14927).</w:t>
      </w:r>
    </w:p>
    <w:p w14:paraId="735806B6"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13065ED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67044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03B4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1944 года П. Дементьев писал письмо N Н-35/3022 гл. конструктору завода N 240 С.В.И.</w:t>
      </w:r>
    </w:p>
    <w:p w14:paraId="4535A7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конструктивной и технологической увязки взаимозаменяемости сопрягаемых элементов прицела с верхней стрелковой установкой самолета Ил-10, в серийном производстве на заводах НКАП и НКВ необходимо:</w:t>
      </w:r>
    </w:p>
    <w:p w14:paraId="365A90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Выслать заводу N 357 НКВ полный комплект рабочих чертежей верхней стрелковой установки (с деталями и общими видами).</w:t>
      </w:r>
    </w:p>
    <w:p w14:paraId="4B65AE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Командировать на завод N 357 НКВ Вашего ведущего конструктора, уполномоченного для решения всех технических вопросов, возникших у завода при освоении этого прицела (2562,75).</w:t>
      </w:r>
    </w:p>
    <w:p w14:paraId="16E638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0BD7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1944 ГИ ВВС г-п Репин писал письмо N 921784 НКАП А.И.Ш.:</w:t>
      </w:r>
    </w:p>
    <w:p w14:paraId="766801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"Направляю для Вашего сведения копию доклада, представленного мною тов. Г.М.М. по письму тов. Малышева от 13 июня 1944." (1817,248).</w:t>
      </w:r>
    </w:p>
    <w:p w14:paraId="0F1B14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"Товарищу Маленкову Г.М.</w:t>
      </w:r>
    </w:p>
    <w:p w14:paraId="1CF167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 по письму тов. Малышева о перераспределении брони на серийном самолете Ил-2.</w:t>
      </w:r>
    </w:p>
    <w:p w14:paraId="74215A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требованию ВВС КА ГК С.В.И. была пересмотрена схема бронирования серийного самолета Ил-2 с целью лучшей защиты ВМГ и, особенно, усиления бронезащиты стрелка.</w:t>
      </w:r>
    </w:p>
    <w:p w14:paraId="3E9E0B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Предложенная ГК новая схема бронирования самолета Ил-2 была рассмотрена и одобрена НИИ ВВС КА.</w:t>
      </w:r>
    </w:p>
    <w:p w14:paraId="5032F9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совещании у Заместителя наркома АП тов. Кузнецова с представителями ВВС КА от 12 июня 1944 были приняты следующие решения:</w:t>
      </w:r>
    </w:p>
    <w:p w14:paraId="4E9BE9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Обязать директора завода 125 тов. Свет подать заводу 240 N 30 три удлиненных бронекорпуса с перераспределенной броней по чертежам ГК С.В.И. к 1 июля 1944.</w:t>
      </w:r>
    </w:p>
    <w:p w14:paraId="4E4AF0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Директору завода 30 тов. Смирнову:</w:t>
      </w:r>
    </w:p>
    <w:p w14:paraId="2BF564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передать заводу 125 до 16 июня с.г. три комплекта всех новых деталей (стальных и дюралевых) для изготовления первых трех удлиненных корпусов Ил-2</w:t>
      </w:r>
    </w:p>
    <w:p w14:paraId="0017AE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изготовить 3 самолета Ил-2 с новым удлиненным бронекорпусом с перераспределенной броней по чертежам ГК С.В.И. и передать первый самолет на гос. испытания в НИИ ВВС к 15 июля 1944.</w:t>
      </w:r>
    </w:p>
    <w:p w14:paraId="279714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 процессе сборки первых 3-х самолетов отработать чертежи, оснастку и установить объем работ для внедрения в серию.</w:t>
      </w:r>
    </w:p>
    <w:p w14:paraId="69EEC1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ГК С.В.И. в двухдневный срок передать чертежи на удлиненный бронекорпус с перераспределенной броней заводу 125 и 30.</w:t>
      </w:r>
    </w:p>
    <w:p w14:paraId="077B31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с целью улучшения бронезащиты стрелка на серийно выпускаемых заводами НКАП самолетах Ил-2 эти же совещанием директор завода 30 тов. Смирнов был обязан к 18 июня с7 г. передать на гос. испытания в НИИ ВВС один самолет Ил-2 с дополнительным съемным бронированием кабины стрелка, выполненным по чертежам ГК С.В.И.</w:t>
      </w:r>
    </w:p>
    <w:p w14:paraId="1C1DEC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результатах испытаний самолета Ил-2 с дополнительным бронированием кабины стрелка и самолета с удлиненным бронекорпусом и перераспределенной броней мною будет доложено Вам немедленно по их окончанию." (1817,248).</w:t>
      </w:r>
    </w:p>
    <w:p w14:paraId="430D5C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AA0D2D" w14:textId="249BA077" w:rsidR="002E135C" w:rsidRPr="00070ADE" w:rsidRDefault="002E135C" w:rsidP="00B56F90">
      <w:pPr>
        <w:pStyle w:val="45"/>
        <w:shd w:val="clear" w:color="auto" w:fill="auto"/>
        <w:spacing w:before="0" w:line="240" w:lineRule="auto"/>
        <w:jc w:val="both"/>
        <w:rPr>
          <w:rFonts w:ascii="Times New Roman" w:cs="Times New Roman"/>
          <w:color w:val="000000" w:themeColor="text1"/>
          <w:sz w:val="16"/>
          <w:szCs w:val="16"/>
        </w:rPr>
      </w:pPr>
      <w:r w:rsidRPr="00070ADE">
        <w:rPr>
          <w:rStyle w:val="4c"/>
          <w:rFonts w:ascii="Times New Roman" w:hAnsi="Times New Roman" w:cs="Times New Roman"/>
          <w:i w:val="0"/>
          <w:color w:val="000000" w:themeColor="text1"/>
          <w:sz w:val="16"/>
          <w:szCs w:val="16"/>
        </w:rPr>
        <w:t>20 июня 1944 по результатам совещания генерал-полковник А.К. Репин доложил Г.М. Ма</w:t>
      </w:r>
      <w:r w:rsidRPr="00070ADE">
        <w:rPr>
          <w:rStyle w:val="4c"/>
          <w:rFonts w:ascii="Times New Roman" w:hAnsi="Times New Roman" w:cs="Times New Roman"/>
          <w:i w:val="0"/>
          <w:color w:val="000000" w:themeColor="text1"/>
          <w:sz w:val="16"/>
          <w:szCs w:val="16"/>
        </w:rPr>
        <w:softHyphen/>
        <w:t>ленкову:</w:t>
      </w:r>
      <w:r w:rsidRPr="00070ADE">
        <w:rPr>
          <w:rFonts w:ascii="Times New Roman" w:cs="Times New Roman"/>
          <w:color w:val="000000" w:themeColor="text1"/>
          <w:sz w:val="16"/>
          <w:szCs w:val="16"/>
        </w:rPr>
        <w:t xml:space="preserve"> «По требованию ВВС КА Главным кон</w:t>
      </w:r>
      <w:r w:rsidRPr="00070ADE">
        <w:rPr>
          <w:rFonts w:ascii="Times New Roman" w:cs="Times New Roman"/>
          <w:color w:val="000000" w:themeColor="text1"/>
          <w:sz w:val="16"/>
          <w:szCs w:val="16"/>
        </w:rPr>
        <w:softHyphen/>
        <w:t>структором самолета тов. Ильюшиным была пересмотрена схема бронирования серий</w:t>
      </w:r>
      <w:r w:rsidRPr="00070ADE">
        <w:rPr>
          <w:rFonts w:ascii="Times New Roman" w:cs="Times New Roman"/>
          <w:color w:val="000000" w:themeColor="text1"/>
          <w:sz w:val="16"/>
          <w:szCs w:val="16"/>
        </w:rPr>
        <w:softHyphen/>
        <w:t>ного самолета Ил-2 с целью лучшей защиты винтомоторной группы самолета и, особенно, усиления бронезащщы стрелка. Предложен</w:t>
      </w:r>
      <w:r w:rsidRPr="00070ADE">
        <w:rPr>
          <w:rFonts w:ascii="Times New Roman" w:cs="Times New Roman"/>
          <w:color w:val="000000" w:themeColor="text1"/>
          <w:sz w:val="16"/>
          <w:szCs w:val="16"/>
        </w:rPr>
        <w:softHyphen/>
        <w:t>ная Главным конструктором новая схема бро</w:t>
      </w:r>
      <w:r w:rsidRPr="00070ADE">
        <w:rPr>
          <w:rFonts w:ascii="Times New Roman" w:cs="Times New Roman"/>
          <w:color w:val="000000" w:themeColor="text1"/>
          <w:sz w:val="16"/>
          <w:szCs w:val="16"/>
        </w:rPr>
        <w:softHyphen/>
        <w:t>нирования самолета Ил-2 была рассмотрена и одобрена НИИ ВВС КА. /.../О результатах испытаний самолета Ил-2 с дополнительным бронированием кабины стрелка и самолета с удлиненным бронекорпусом и перераспреде</w:t>
      </w:r>
      <w:r w:rsidRPr="00070ADE">
        <w:rPr>
          <w:rFonts w:ascii="Times New Roman" w:cs="Times New Roman"/>
          <w:color w:val="000000" w:themeColor="text1"/>
          <w:sz w:val="16"/>
          <w:szCs w:val="16"/>
        </w:rPr>
        <w:softHyphen/>
        <w:t>ленной броней мною будет доложено Вам не</w:t>
      </w:r>
      <w:r w:rsidRPr="00070ADE">
        <w:rPr>
          <w:rFonts w:ascii="Times New Roman" w:cs="Times New Roman"/>
          <w:color w:val="000000" w:themeColor="text1"/>
          <w:sz w:val="16"/>
          <w:szCs w:val="16"/>
        </w:rPr>
        <w:softHyphen/>
        <w:t>медленно по их окончании» (17478).</w:t>
      </w:r>
    </w:p>
    <w:p w14:paraId="00C86280" w14:textId="77777777" w:rsidR="002E135C" w:rsidRPr="00070ADE" w:rsidRDefault="002E135C" w:rsidP="00B56F90">
      <w:pPr>
        <w:pStyle w:val="45"/>
        <w:shd w:val="clear" w:color="auto" w:fill="auto"/>
        <w:spacing w:before="0" w:line="240" w:lineRule="auto"/>
        <w:jc w:val="both"/>
        <w:rPr>
          <w:rFonts w:ascii="Times New Roman" w:cs="Times New Roman"/>
          <w:color w:val="000000" w:themeColor="text1"/>
          <w:sz w:val="16"/>
          <w:szCs w:val="16"/>
        </w:rPr>
      </w:pPr>
    </w:p>
    <w:p w14:paraId="227772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1944 года гл. конструктор завода N 22 по самолету Пе-8 Незваль писал письмо Шахурину.</w:t>
      </w:r>
    </w:p>
    <w:p w14:paraId="5B6C08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Докладная записка</w:t>
      </w:r>
    </w:p>
    <w:p w14:paraId="5A7D8F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дальнейшем пребывании опытно-конструкторского</w:t>
      </w:r>
    </w:p>
    <w:p w14:paraId="1DFD19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бюро по тяжелым самолетам на заводе N 22</w:t>
      </w:r>
    </w:p>
    <w:p w14:paraId="11D05A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известно, в настоящей войне четырехмоторные тяжелые бомбардировщики получили чрезвычайно широкое применение в воздушных армиях США и Англии.</w:t>
      </w:r>
    </w:p>
    <w:p w14:paraId="01352B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Дальнейшему развитию этого типа самолетов союзники уделяют исключительное внимание, постоянно увеличивая выпуск самолетов и совершенствуя их летно-тактические свойства.</w:t>
      </w:r>
    </w:p>
    <w:p w14:paraId="6FD27B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в боевых операциях принимают участие новейшие 4-х моторные бомбардировщики В-29 фирмы Боинг, по своим летным качествам значительно перекрывающие ранее выпущенные самолеты этого назначения.</w:t>
      </w:r>
    </w:p>
    <w:p w14:paraId="78CA92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Одновременно в этих же странах чрезвычайно интенсивно работают над созданием тяжелых транспортных самолетов для послевоенного времени.</w:t>
      </w:r>
    </w:p>
    <w:p w14:paraId="0E662B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 же время производство единственного самолета этого класса - тяжелого бомбардировщика Пе-8 - совершенно прекращено. Созданную в течение шести лет культуру производства тяжелых самолетов можно считать потерянной, а выросшие за этот период кадры квалифицированных рабочих и инженеров в значительной степени распылены.</w:t>
      </w:r>
    </w:p>
    <w:p w14:paraId="00954C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Оставшееся на заводе N 22, после прекращения производства самолетов Пе-8, конструкторское бюро по тяжелым самолетам, не имеющее своей собственной производственной базы и существующее параллельно с мощным конструкторским бюро по самолету Пе-2, не может эффективно работать над дальнейшим развитием тяжелой авиации.</w:t>
      </w:r>
    </w:p>
    <w:p w14:paraId="7AB125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Решение ГОКО о продолжении работ по модификации самолета Пе-8, очевидно предусматривает не только проектирование, но и постройку одного опытного самолета со значительно повышенными летно-тактическими данными, ставящими его на один уровень с современными серийными американскими тяжелыми бомбардировщиками.</w:t>
      </w:r>
    </w:p>
    <w:p w14:paraId="78E73A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несмотря на постановление ГОКО и приказ НКАП, а также готовность и наличие в производстве чертежей, постройка этой машины серийными цехами завода N 22, в условиях увеличенной программы самолетов Пе-2, когда завод, проведя ряд мероприятий по перепланированию цехов и оборудованию их конвейерами и поточными линиями, стал окончательно приспособлен для серийного выпуска двухмоторных машин, является невозможной.</w:t>
      </w:r>
    </w:p>
    <w:p w14:paraId="59CA1F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положение еще более усугубляется предстоящей постановкой на производство модифицированного самолета Пе-2И.</w:t>
      </w:r>
    </w:p>
    <w:p w14:paraId="3A1DDA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Учитывая развитие тяжелой авиации за границей, ОКБ по тяжелым машинам в настоящее время разработало проект модифицированного самолета Пе-8 на трехколесном шасси, обеспечивающем более надежные взлет и посадку, а также проект 44-х местного транспортного самолета на базе самолета Пе-8. Однако, проектирование этих машин требует проведения ряда экспериментальных работ, выполнение которых в теперешних условиях на заводе N 22, считаю совершенно невозможным.</w:t>
      </w:r>
    </w:p>
    <w:p w14:paraId="2663A50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своей стороны считаю, что тяжелая авиация Советскому Союзу совершенно необходима и что Наркомат Авиапрома должен принять все меры к обеспечению ее развития. Одним из мероприятий должно быть создание необходимых для эффективной работы условий для ОКБ завода N 22, заключающихся в первую очередь в выделении его из завода N 22 в самостоятельную опытно-производственную организацию.</w:t>
      </w:r>
    </w:p>
    <w:p w14:paraId="57BF31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Наиболее подходящей базой для такого производства, как по имеющимся площадям и размерам пролетов, так и по наличию и расположению достаточного аэродрома, </w:t>
      </w:r>
      <w:r w:rsidRPr="00070ADE">
        <w:rPr>
          <w:rFonts w:ascii="Times New Roman" w:hAnsi="Times New Roman"/>
          <w:color w:val="000000" w:themeColor="text1"/>
          <w:sz w:val="16"/>
          <w:szCs w:val="16"/>
        </w:rPr>
        <w:lastRenderedPageBreak/>
        <w:t>считаю завод N 456.</w:t>
      </w:r>
    </w:p>
    <w:p w14:paraId="5CD301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Если же в настоящее время вопрос самостоятельного существования производственной базы для моего ОКБ наркоматом считается не достаточно актуальным, то единственным правильным и целесообразным мероприятием, позволяющим рационально использовать квалифицированные кадры, считаю слияние его с другим более мощным ОКБ, работающим над тем же типом самолета, например с ОКБ Туполева.</w:t>
      </w:r>
    </w:p>
    <w:p w14:paraId="25DD5F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переговоров по данному вопросу прошу меня принять (1825,62).</w:t>
      </w:r>
    </w:p>
    <w:p w14:paraId="38A9F3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FC1E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1944 Зам. Нач. 7ГУ Алексеев подготовил сводку г-7 № 8218 о ходе испытаний высотных самолетов на 19 июня 1944 по Як-9 М-105ПД, Ла-5 АШ-82ФН и 2ТК-3, МиГ АМ-39А и 2ТК-2Б (1825,88).</w:t>
      </w:r>
    </w:p>
    <w:p w14:paraId="652AF2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ИСТРЕБИТЕЛЬ МИГ С АМ-39Б И 2ТК-2Б.</w:t>
      </w:r>
    </w:p>
    <w:p w14:paraId="3BA46A5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находится в летной состоянии .Летчик тов. ЯКИМОВ выздоровел.Полеты не производились из-за низкой облачности.</w:t>
      </w:r>
    </w:p>
    <w:p w14:paraId="2D8F69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ВЫСОТНЫЙ ИСТРЕБИТЕЛЬ ЯК-9 С ВК-105ПФ И ДВУХСТУПЕНЧАТЫМ НАГНЕТАТЕЛЕМ</w:t>
      </w:r>
    </w:p>
    <w:p w14:paraId="71DEEA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подготовлен для продувок-в трубе.</w:t>
      </w:r>
    </w:p>
    <w:p w14:paraId="0FCCCA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скончания продувок самолета Як-9 с ВК-107А, высотный самолет Як-9 будет установлен в трубу.</w:t>
      </w:r>
    </w:p>
    <w:p w14:paraId="3E7E8E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ВЫСОТНЫЙ ИСТРЕБИТЕЛЬ ЛА-5 С АШ-82ФН и 2ТК-3.</w:t>
      </w:r>
    </w:p>
    <w:p w14:paraId="181FCD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Отгруженный 14 июня с.г. мотор АШ-82ФН с улучшенным дефлектированием находятся в пути.</w:t>
      </w:r>
    </w:p>
    <w:p w14:paraId="170A3A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самолете производятся отдельные работы по винтомоторной группе (1825).</w:t>
      </w:r>
    </w:p>
    <w:p w14:paraId="7E77C9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8816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C 20 июня по 2 августа 1944 в 91иап 2ВА (командир Ковалев) проводились войсковые испытания 41 Як-3 с ВК-105ПФ2 в ходе Львовской операции (65,173).</w:t>
      </w:r>
    </w:p>
    <w:p w14:paraId="03E359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73AEB6"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период с 20 июня по 2 августа 1944 года в районе Львова в 91</w:t>
      </w:r>
      <w:r w:rsidRPr="00C94B78">
        <w:rPr>
          <w:rFonts w:ascii="Times New Roman" w:hAnsi="Times New Roman"/>
          <w:color w:val="0070C0"/>
          <w:sz w:val="16"/>
          <w:szCs w:val="16"/>
        </w:rPr>
        <w:noBreakHyphen/>
        <w:t>м ИАП, который входил в состав 2</w:t>
      </w:r>
      <w:r w:rsidRPr="00C94B78">
        <w:rPr>
          <w:rFonts w:ascii="Times New Roman" w:hAnsi="Times New Roman"/>
          <w:color w:val="0070C0"/>
          <w:sz w:val="16"/>
          <w:szCs w:val="16"/>
        </w:rPr>
        <w:noBreakHyphen/>
        <w:t>й воздушной армии проходили войсковые испытания Як-3. Полк был сильной частью, имевшей гвардейский штат машин – 41 Як</w:t>
      </w:r>
      <w:r w:rsidRPr="00C94B78">
        <w:rPr>
          <w:rFonts w:ascii="Times New Roman" w:hAnsi="Times New Roman"/>
          <w:color w:val="0070C0"/>
          <w:sz w:val="16"/>
          <w:szCs w:val="16"/>
        </w:rPr>
        <w:noBreakHyphen/>
        <w:t>3.</w:t>
      </w:r>
    </w:p>
    <w:p w14:paraId="100237B0"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Более половины пилотов полка были опытными летчиками. В ходе испытаний имели место три воздушные битвы, в которых истребители сбили три Ju 87, четырнадцать Bf 109 и шесть Fw 190А. Немцам удалось сбить только два Яка, еще три самолета стали жертвой немецкой зенитной артиллерии. Однако все пилоты смогли дотянуть до своей территории. То есть, полк терял всего один самолет на 19 боевых вылетов, что даже предвзятые западные историки считают хорошим результатом. Новый Як лучше всего подходил для борьбы с истребителями противника. Из</w:t>
      </w:r>
      <w:r w:rsidRPr="00C94B78">
        <w:rPr>
          <w:rFonts w:ascii="Times New Roman" w:hAnsi="Times New Roman"/>
          <w:color w:val="0070C0"/>
          <w:sz w:val="16"/>
          <w:szCs w:val="16"/>
        </w:rPr>
        <w:noBreakHyphen/>
        <w:t>за небольшого радиуса действия самолет не целесообразно было использовать для прикрытия поля боя, патрулирования и сопровождения бомбардировщиков – среднее время полета составляло 45 минут (при этом в баках оставалось 20 % топлива).</w:t>
      </w:r>
    </w:p>
    <w:p w14:paraId="401F1DEC" w14:textId="77777777" w:rsidR="00BA3A2B" w:rsidRPr="00C94B78" w:rsidRDefault="00BA3A2B"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Военные также подтвердили, что шасси самолета следует усилить, поскольку отмечались случаи подлома стоек во время взлета и посадки самолета</w:t>
      </w:r>
      <w:r>
        <w:rPr>
          <w:rFonts w:ascii="Times New Roman" w:hAnsi="Times New Roman"/>
          <w:color w:val="0070C0"/>
          <w:sz w:val="16"/>
          <w:szCs w:val="16"/>
        </w:rPr>
        <w:t xml:space="preserve"> </w:t>
      </w:r>
      <w:r w:rsidRPr="00C94B78">
        <w:rPr>
          <w:rFonts w:ascii="Times New Roman" w:hAnsi="Times New Roman"/>
          <w:color w:val="0070C0"/>
          <w:sz w:val="16"/>
          <w:szCs w:val="16"/>
        </w:rPr>
        <w:t>(25075).</w:t>
      </w:r>
    </w:p>
    <w:p w14:paraId="04CBCF6A" w14:textId="77777777" w:rsidR="00BA3A2B" w:rsidRPr="00C94B78" w:rsidRDefault="00BA3A2B" w:rsidP="00B56F90">
      <w:pPr>
        <w:spacing w:after="0" w:line="240" w:lineRule="auto"/>
        <w:jc w:val="both"/>
        <w:rPr>
          <w:rFonts w:ascii="Times New Roman" w:hAnsi="Times New Roman"/>
          <w:color w:val="0070C0"/>
          <w:sz w:val="16"/>
          <w:szCs w:val="16"/>
        </w:rPr>
      </w:pPr>
    </w:p>
    <w:p w14:paraId="43FC15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20 июня 1944 состояние опытного строительства на 21 заводе было следующим:</w:t>
      </w:r>
    </w:p>
    <w:p w14:paraId="38C85C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Ла-7 АШ-83 - на скоростном режиме вышел из строя мотор (опять) - разрушился привод к магнето и привод к маслопомпе.</w:t>
      </w:r>
    </w:p>
    <w:p w14:paraId="799F8C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Доводка серийных с-тов</w:t>
      </w:r>
    </w:p>
    <w:p w14:paraId="78EF8A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26 серии устанавливается противокапотажная рама.</w:t>
      </w:r>
    </w:p>
    <w:p w14:paraId="18AD38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26 серии устанавливаются элероны с увеличенной жесткостью (со змейкой) (738,25).</w:t>
      </w:r>
    </w:p>
    <w:p w14:paraId="485CCE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71B6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1944 вышел приказ НКАП N 405с:</w:t>
      </w:r>
    </w:p>
    <w:p w14:paraId="447A50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требованиями ВВС о постройке самолетов У2-ШС конструкции Н.Н.П.:</w:t>
      </w:r>
    </w:p>
    <w:p w14:paraId="23780B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Нач. 11 ГУ И.В.Куликову и директору завода 494 Ю.Б.Эскину организовать на заводе 494, параллельно с выпуском самолетов С-2, производство головной серии самолетов У2-ШС в соответствии с актом и письмом НИИ ВВС от 9 апреля 1944 в количестве 10 самолетов в след. сроки:</w:t>
      </w:r>
    </w:p>
    <w:p w14:paraId="4F4F81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август 1944 - 1 (эталон).</w:t>
      </w:r>
    </w:p>
    <w:p w14:paraId="3823F76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сентябрь - 3</w:t>
      </w:r>
    </w:p>
    <w:p w14:paraId="56D7F4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октябрь - 6 (1671,288).</w:t>
      </w:r>
    </w:p>
    <w:p w14:paraId="35CACB0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67C542" w14:textId="77777777" w:rsidR="00AC004A" w:rsidRPr="00070ADE" w:rsidRDefault="00AC00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1944 г.</w:t>
      </w:r>
    </w:p>
    <w:p w14:paraId="05072828" w14:textId="77777777" w:rsidR="00AC004A" w:rsidRPr="00070ADE" w:rsidRDefault="00AC00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ПОСТАНОВЛЕНИЯ ЦК КП(б) АРМЕНИИ</w:t>
      </w:r>
    </w:p>
    <w:p w14:paraId="7E9C3C54" w14:textId="77777777" w:rsidR="00AC004A" w:rsidRPr="00070ADE" w:rsidRDefault="00AC00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работе завода Наркомата авиационной промышленности</w:t>
      </w:r>
    </w:p>
    <w:p w14:paraId="4AC357E3" w14:textId="77777777" w:rsidR="00AC004A" w:rsidRPr="00070ADE" w:rsidRDefault="00AC00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1944 г.</w:t>
      </w:r>
    </w:p>
    <w:p w14:paraId="430F734F" w14:textId="77777777" w:rsidR="00AC004A" w:rsidRPr="00070ADE" w:rsidRDefault="00AC00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обеспечения организации производства по выпуску полного комплекта крыльев и шасси машин ЯК-3 в 1944 г. и подготовки завода к постановке на производство в I квартале 1945 г. машины в целом, Бюро ЦК постановляет:</w:t>
      </w:r>
    </w:p>
    <w:p w14:paraId="42C7815B" w14:textId="77777777" w:rsidR="00AC004A" w:rsidRPr="00070ADE" w:rsidRDefault="00AC00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Обязать директора завода т. Наджаряна и главного инженера т. Литвиненко организовать во II полугодии с. г. производство шасси и крыла самолета ЯК-3...</w:t>
      </w:r>
    </w:p>
    <w:p w14:paraId="7ABA49DC" w14:textId="77777777" w:rsidR="00AC004A" w:rsidRPr="00070ADE" w:rsidRDefault="00AC00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Закончить организацию новых цехов: инструментов и приспособлений — 1 августа, механического—35 сентября, заготовительно-штамповочного,— 15 октября, слесарно-сварочного—ЛЬ августа, дерево-обделочного— 1 октября и кузнечно-прессового—1 ноября с. г.</w:t>
      </w:r>
    </w:p>
    <w:p w14:paraId="57B079E7" w14:textId="77777777" w:rsidR="00AC004A" w:rsidRPr="00070ADE" w:rsidRDefault="00AC00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Довести к концу 1944 г. наличие рабсилы до 1650 чел. и ИТР до 300 чел.</w:t>
      </w:r>
    </w:p>
    <w:p w14:paraId="28416BDC" w14:textId="77777777" w:rsidR="00AC004A" w:rsidRPr="00070ADE" w:rsidRDefault="00AC00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Обеспечить подготовку в течение 111 квартала 1944 г. квалифицированных рабочих путем бригадно-индивидуального обучения в количестве 300 чел., в том числе 150 чел. из учеников завода и 150 чел. из контингента окончивших средние школы.</w:t>
      </w:r>
    </w:p>
    <w:p w14:paraId="70D3A1B3" w14:textId="77777777" w:rsidR="00AC004A" w:rsidRPr="00070ADE" w:rsidRDefault="00AC00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Организовать прием выпускников в iIII квартале из школы ФЗО 300 чел., ремесленного училища 210 чел. и 100 чел. Квалифицированных рабочих с других заводов авиапромышленности...</w:t>
      </w:r>
    </w:p>
    <w:p w14:paraId="01EF3483" w14:textId="77777777" w:rsidR="00AC004A" w:rsidRPr="00070ADE" w:rsidRDefault="00AC00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Партархив Армфилиала НМЛ, ф. 1, оп. 33, д. 19, лл. 14—16.</w:t>
      </w:r>
    </w:p>
    <w:p w14:paraId="50BE2908" w14:textId="77777777" w:rsidR="00AC004A" w:rsidRPr="00070ADE" w:rsidRDefault="00AC004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Подлинник (21083).</w:t>
      </w:r>
    </w:p>
    <w:p w14:paraId="2A38EE87" w14:textId="77777777" w:rsidR="00AC004A" w:rsidRPr="00070ADE" w:rsidRDefault="00AC004A" w:rsidP="00B56F90">
      <w:pPr>
        <w:spacing w:after="0" w:line="240" w:lineRule="auto"/>
        <w:jc w:val="both"/>
        <w:rPr>
          <w:rFonts w:ascii="Times New Roman" w:hAnsi="Times New Roman"/>
          <w:color w:val="000000" w:themeColor="text1"/>
          <w:sz w:val="16"/>
          <w:szCs w:val="16"/>
        </w:rPr>
      </w:pPr>
    </w:p>
    <w:p w14:paraId="0C730993" w14:textId="77777777" w:rsidR="00DD0763" w:rsidRPr="00070ADE" w:rsidRDefault="00D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1944 г. ИЗ ПОСТАНОВЛЕНИЯ ЦК КП(б) АРМЕНИИ</w:t>
      </w:r>
    </w:p>
    <w:p w14:paraId="34431562" w14:textId="77777777" w:rsidR="00DD0763" w:rsidRPr="00070ADE" w:rsidRDefault="00D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работе завода Наркомата авиационной промышленности</w:t>
      </w:r>
    </w:p>
    <w:p w14:paraId="0C98274C" w14:textId="77777777" w:rsidR="00DD0763" w:rsidRPr="00070ADE" w:rsidRDefault="00D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обеспечения организации производства по выпуску полного комплекта крыльев и шасси машин ЯК-3 в 1944 г. и подготовки завода к постановке На производство в I квартале 1945 г. машины в целом, Бюро ЦК постановляет:</w:t>
      </w:r>
    </w:p>
    <w:p w14:paraId="44284828" w14:textId="77777777" w:rsidR="00DD0763" w:rsidRPr="00070ADE" w:rsidRDefault="00D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Обязать директора завода т. Наджаряна и главного инженера т. Литвиненко организовать во II полугодии с. г. производство шасси и крыла самолета ЯК-3...</w:t>
      </w:r>
    </w:p>
    <w:p w14:paraId="5864ED30" w14:textId="77777777" w:rsidR="00DD0763" w:rsidRPr="00070ADE" w:rsidRDefault="00D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Закончить организацию новых цехов: инструментов и приспособлений — 1 августа, механического—35 сентября, заготовительно-штамповочного, — 15 октября, слесарно-сварочного—15 августа, дерево-обделочного — 1 октября и кузнечно-прессового—1 ноября с. г.</w:t>
      </w:r>
    </w:p>
    <w:p w14:paraId="32EC2F4B" w14:textId="77777777" w:rsidR="00DD0763" w:rsidRPr="00070ADE" w:rsidRDefault="00D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Довести к концу 1944 г. наличие рабсилы до 1650 чел. и ИТР до 300 чел.</w:t>
      </w:r>
    </w:p>
    <w:p w14:paraId="29DF1675" w14:textId="77777777" w:rsidR="00DD0763" w:rsidRPr="00070ADE" w:rsidRDefault="00D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Обеспечить подготовку в течение 111 квартала 1944 г. квалифицированных рабочих путем бригадно-индивидуального обучения в количестве 300 чел., в том числе 150 чел. из учеников завода и 150 чел. из контингента окончивших средние школы.</w:t>
      </w:r>
    </w:p>
    <w:p w14:paraId="6E6D418B" w14:textId="77777777" w:rsidR="00DD0763" w:rsidRPr="00070ADE" w:rsidRDefault="00D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Организовать прием выпускников в III квартале из школы ФЗО 300 чел., ремесленного училища 210 чел. и 100 чел. Квалифицированных рабочих с других заводов авиапромышленности...</w:t>
      </w:r>
    </w:p>
    <w:p w14:paraId="707876CA" w14:textId="77777777" w:rsidR="00DD0763" w:rsidRPr="00070ADE" w:rsidRDefault="00DD076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Партархив Армфилиала НМЛ, ф. 1, оп. 33, д. 19, лл. 14—16 (23648).</w:t>
      </w:r>
    </w:p>
    <w:p w14:paraId="587228FB" w14:textId="77777777" w:rsidR="00DD0763" w:rsidRPr="00070ADE" w:rsidRDefault="00DD0763" w:rsidP="00B56F90">
      <w:pPr>
        <w:spacing w:after="0" w:line="240" w:lineRule="auto"/>
        <w:jc w:val="both"/>
        <w:rPr>
          <w:rFonts w:ascii="Times New Roman" w:hAnsi="Times New Roman"/>
          <w:color w:val="000000" w:themeColor="text1"/>
          <w:sz w:val="16"/>
          <w:szCs w:val="16"/>
        </w:rPr>
      </w:pPr>
    </w:p>
    <w:p w14:paraId="3FDBBC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1944 года вышел приказ НКАП</w:t>
      </w:r>
    </w:p>
    <w:p w14:paraId="6BCE4AF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Утвердить директором завода № 119 Солонина В.А. (8926)</w:t>
      </w:r>
    </w:p>
    <w:p w14:paraId="641E7F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11443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E7361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5591FE" w14:textId="77777777" w:rsidR="00D60397" w:rsidRPr="00C94B78" w:rsidRDefault="00D6039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20 июня 1944 г. далее САУ Объект 249 отправили на Гороховецкий АНИОП, где машина, в период с 2 по 7 июля, прошла полигонные испытания. На сей раз основной задачей были огневые испытания, а также проверка условий работы экипажа. Всего было произведено 446 выстрелов, из них 252 — усиленным зарядом. В целом испытания проходили успешно, но на 370-м выстреле произошёл самоспуск. Прицельная скорострельность, а также скорострельность с хода, достигла 3-4 выстрелов в минуту, а максимальная - 5-6 выстрелов в минуту.</w:t>
      </w:r>
    </w:p>
    <w:p w14:paraId="04CE64EA" w14:textId="77777777" w:rsidR="00D60397" w:rsidRPr="00C94B78" w:rsidRDefault="00D6039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 xml:space="preserve">Несмотря на то, что у Гороховецкого АНИОП имелись некоторые вопросы по обзорности, общий вердикт оказался положительным. При устранении недостатков Объект 249 можно было запускать в серию. Перед этим САУ отправили на НИБТ Полигон, где прошли дополнительные испытания. 8 августа, в ходе испытаний, </w:t>
      </w:r>
      <w:r w:rsidRPr="00C94B78">
        <w:rPr>
          <w:rFonts w:ascii="Times New Roman" w:hAnsi="Times New Roman"/>
          <w:color w:val="0070C0"/>
          <w:sz w:val="16"/>
          <w:szCs w:val="16"/>
        </w:rPr>
        <w:lastRenderedPageBreak/>
        <w:t>ранения получили наводчик и заряжающий, но это происшествие не повлияло на общие планы по САУ. Подписание постановления ГКО №6430сс было ожидаемым решением. Процесс освоения САУ, получившей обозначение ИСУ-122с, был постепенным. За август 1944 года ожидалось 25 САУ, а от завода №9 требовалось выпускать ежемесячно не менее 50 орудий Д-25с (24970).</w:t>
      </w:r>
    </w:p>
    <w:p w14:paraId="7D021BDA" w14:textId="77777777" w:rsidR="00D60397" w:rsidRPr="00C94B78" w:rsidRDefault="00D60397" w:rsidP="00B56F90">
      <w:pPr>
        <w:spacing w:after="0" w:line="240" w:lineRule="auto"/>
        <w:jc w:val="both"/>
        <w:rPr>
          <w:rFonts w:ascii="Times New Roman" w:hAnsi="Times New Roman"/>
          <w:color w:val="0070C0"/>
          <w:sz w:val="16"/>
          <w:szCs w:val="16"/>
        </w:rPr>
      </w:pPr>
    </w:p>
    <w:p w14:paraId="7B79E62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1944 года вышел приказ № 346с НКБ</w:t>
      </w:r>
    </w:p>
    <w:p w14:paraId="0E80597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Передать завод № 7 “Большевик” и Чемский лесозаготовительный участок Главтопа НКБ комбинату № 179 (5819, 76).</w:t>
      </w:r>
    </w:p>
    <w:p w14:paraId="6CF5689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BB8AA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1944 Адмиралтейцы завершили слесарно-монтажные работы на 14-м МБК, начали швартовные испытания катера.</w:t>
      </w:r>
    </w:p>
    <w:p w14:paraId="3EC322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A58C39" w14:textId="77777777" w:rsidR="00D60397" w:rsidRPr="00C94B78" w:rsidRDefault="00D60397"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20 июня 1944 г. в ЦКБ-17 от АНИМИ ВМФ поступила подробная схема системы управления огнём с размещением приборов и их развесовкой для авианосца 72 проекта. Общий вес всех систем управления огнём (вместе с кабелями) составлял 240 т, личный состав — 10 офицеров, 17 старшин и 101 краснофлотец (25274).</w:t>
      </w:r>
    </w:p>
    <w:p w14:paraId="13012C3E" w14:textId="77777777" w:rsidR="00D60397" w:rsidRPr="00C94B78" w:rsidRDefault="00D60397" w:rsidP="00B56F90">
      <w:pPr>
        <w:spacing w:after="0" w:line="240" w:lineRule="auto"/>
        <w:jc w:val="both"/>
        <w:rPr>
          <w:rFonts w:ascii="Times New Roman" w:hAnsi="Times New Roman"/>
          <w:color w:val="0070C0"/>
          <w:sz w:val="16"/>
          <w:szCs w:val="16"/>
        </w:rPr>
      </w:pPr>
    </w:p>
    <w:p w14:paraId="5F06D01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368E0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7CAE1E"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 июня</w:t>
      </w:r>
      <w:r w:rsidRPr="00070ADE">
        <w:rPr>
          <w:rFonts w:ascii="Times New Roman" w:hAnsi="Times New Roman"/>
          <w:color w:val="000000" w:themeColor="text1"/>
          <w:sz w:val="16"/>
          <w:szCs w:val="16"/>
        </w:rPr>
        <w:t xml:space="preserve"> в 1944 году вечернее сообщение Совинформбюро:</w:t>
      </w:r>
    </w:p>
    <w:p w14:paraId="0F305D4A"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на Карельском перешейке войска Ленинградского фронта, развивая прорыв линии Маннергейма, преодолели сопротивление противника на внешнем и внутреннем обводах Выборгского укрепленного района финнов и штурмом овладели городом и крепостью Выборг. Кроме того, в ходе наступления войска фронта с боями заняли более 60 населенных пунктов, в том числе Нуора, Юлясоммес, Юлясяйние. Манникала, Луккюля, Нириккомяни, Копрала, Каунила, Пелляккяля и железнодорожные станции Кайслахти, Сомме, Сяйние, Суурперо, Пелляккяля, Ристсеппяля, Хейниоки.</w:t>
      </w:r>
    </w:p>
    <w:p w14:paraId="4D778FB0"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фронтах — без перемен.</w:t>
      </w:r>
    </w:p>
    <w:p w14:paraId="7ED0286D"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19 июня на всех фронтах в воздушных боях и огнём зенитной артиллерии, сбито 38 самолётов противника.</w:t>
      </w:r>
    </w:p>
    <w:p w14:paraId="12ABE778"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Карельском перешейке наши войска, развивая прорыв линии Маннергейма, вышли к Выборгскому украшенному району финнов. Противник, опираясь на широко развитую полову обороны и сильные укрепления, пытался задержать здесь наступление советских войск. Наши пехотинцы и танкисты при поддержке артиллерии и авиации прорвали внешний, а затем внутренний обводы Выборгского укреплённого района финнов, ворвались в город Выборг и завязали в нём уличные бои. К исходу дня войска Ленинградского фронта штурмом овладели городом и крепостью Выборг. Захвачено много пленных и трофея, в том числе большое число орудий, подвижной железнодорожный состав, много автомашин, склады боеприпасов и различных военных материалов.</w:t>
      </w:r>
    </w:p>
    <w:p w14:paraId="67DBA276"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бомбардировщики, штурмовики и истребители непрерывно поддерживали действия наземных войск. Нанося удары по отступающим колоннам противника, советские лётчики уничтожили 80 автомашин с пехотой, разгромили несколько обозов с военными грузами и взорвали 4 склада боеприпасов. Лётчики Н-ской авиачасти совершили налёт на узловые железнодорожные станции в тылу противника и разбили три железнодорожных эшелона.</w:t>
      </w:r>
    </w:p>
    <w:p w14:paraId="6FF467B9"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Краснознамённого Балтийского флота наносила удары по кораблям противника в Выборгском заливе. В результате бомбардировки потоплены три финских транспорта, две десантных баржи, сторожевой катер, два буксира и четыре баржи. Два транспорта и несколько других судов противника повреждены.</w:t>
      </w:r>
    </w:p>
    <w:p w14:paraId="0E3C22C4"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дня в воздушных боях сбито 36 немецко-финских самолётов.</w:t>
      </w:r>
    </w:p>
    <w:p w14:paraId="340E64BD"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Новоржев разведывательная группа под командованием старшего лейтенанта Исакова внезапно ворвалась в траншеи противника. Советские бойцы уничтожили 25 гитлеровцев. Захватив 2 радиостанции, 4 ручных пулемёта и пленного, разведчики вернулись в свою часть.</w:t>
      </w:r>
    </w:p>
    <w:p w14:paraId="273B6E98"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Тирасполь рота пехоты противника пыталась проникнуть в расположение нашей обороны. Бойцы Н-ской части встретили немцев миномётным и пулемётным огнём. Гитлеровцы в беспорядке отступили, оставив перед нашими позициями 40 трупов своих солдат.</w:t>
      </w:r>
    </w:p>
    <w:p w14:paraId="2E0E7F15"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партизанских отрядов, действующих в Могилёвской области, вступили в бой с немецким охранным батальоном. В ходе боя группа партизан обошла противника и атаковала его с тыла.</w:t>
      </w:r>
    </w:p>
    <w:p w14:paraId="7D2E1580"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Уничтожено до роты немцев. Советскими патриотами захвачены трофеи — 4 пулемёта, 35 винтовок и много винтовочных патронов.</w:t>
      </w:r>
    </w:p>
    <w:p w14:paraId="6BFBDDA3"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одном участке Белорусского фронта захвачена в плен группа солдат немецкой пехотной дивизии «Бранденбург», одетая в красноармейскую форму. В числе пленных оказался командир 2 взвода 9 роты 3 егерского полка фельдфебель Губерт Керстгес. На допросе пленный фельдфебель рассказал следующее: «На днях меня назначили командиром разведгруппы и послали в расположение русских с заданием захватить пленного. По приказу командира батальона капитана Вассерфаля, меня и остальных разведчиков одели в красноармейское обмундирование и вооружили русскими автоматами. Более суток мы бродили в указанном нам месте, но пленного не захватили и решили вернуться. На обратном пути я и сопровождавшие меня солдаты наткнулись на засаду русских. Буквально в один миг они окружили нас. Когда я опомнился, было уже поздно думать о каком бы то ни было сопротивлении: нас обезоружили и взяли в плен».</w:t>
      </w:r>
    </w:p>
    <w:p w14:paraId="3872A615"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самого начала войны гитлеровцы пользуются коварными, бандитскими методами. Советское Информбюро неоднократно разоблачало подлые и гнусные уловки немецкого командования. Показания пленного немецкого фельдфебеля, захваченного в расположении нашей обороны в красноармейской форме, лишний раз свидетельствуют о том, что немецкое командование нагло попирает общепринятые обычаи и законы ведения войны. Однако подлости, которые применяют немецко-фашистские мерзавцы, не спасут их от гибели.» (14928).</w:t>
      </w:r>
    </w:p>
    <w:p w14:paraId="215A54D0"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21747998"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 июня</w:t>
      </w:r>
      <w:r w:rsidRPr="00070ADE">
        <w:rPr>
          <w:rFonts w:ascii="Times New Roman" w:hAnsi="Times New Roman"/>
          <w:color w:val="000000" w:themeColor="text1"/>
          <w:sz w:val="16"/>
          <w:szCs w:val="16"/>
        </w:rPr>
        <w:t xml:space="preserve"> в 1944 году завершилась Выборгская операция: войска Ленинградского фронта разгромили крупную группировку финских войск, частью сил овладели городом Виипури; другая часть войск вышла к озерам Вуоксинской системы. За отличия в боях 48 частей и соединений получили почетные наименования, 27 воинов удостоены звания Героя Советского Союза (14928).</w:t>
      </w:r>
    </w:p>
    <w:p w14:paraId="0C698162"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469532D1" w14:textId="77777777" w:rsidR="009C5E2F" w:rsidRPr="00070ADE" w:rsidRDefault="009C5E2F"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1944 войска Ленинградского фронта взяли Выборг (4963 ).</w:t>
      </w:r>
    </w:p>
    <w:p w14:paraId="64CB47D4" w14:textId="77777777" w:rsidR="009C5E2F" w:rsidRPr="00070ADE" w:rsidRDefault="009C5E2F"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8F69ED" w14:textId="77777777" w:rsidR="009C5E2F" w:rsidRPr="00070ADE" w:rsidRDefault="009C5E2F"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20th, 1944: In the East, the Red Army captures Viipuri on the Soviet-Finnish border (3819).</w:t>
      </w:r>
    </w:p>
    <w:p w14:paraId="49DFA81A" w14:textId="77777777" w:rsidR="009C5E2F" w:rsidRPr="00070ADE" w:rsidRDefault="009C5E2F"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440C2B7" w14:textId="77777777" w:rsidR="009C5E2F" w:rsidRPr="00070ADE" w:rsidRDefault="009C5E2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1944 был взят Выборг (1348,224).</w:t>
      </w:r>
    </w:p>
    <w:p w14:paraId="637AB514" w14:textId="77777777" w:rsidR="009C5E2F" w:rsidRPr="00070ADE" w:rsidRDefault="009C5E2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81AEDB"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 июня</w:t>
      </w:r>
      <w:r w:rsidRPr="00070ADE">
        <w:rPr>
          <w:rFonts w:ascii="Times New Roman" w:hAnsi="Times New Roman"/>
          <w:color w:val="000000" w:themeColor="text1"/>
          <w:sz w:val="16"/>
          <w:szCs w:val="16"/>
        </w:rPr>
        <w:t xml:space="preserve"> в 1944 году советские войска прорывают линию Маннергейма и освобождают Выборг (14928).</w:t>
      </w:r>
    </w:p>
    <w:p w14:paraId="0B1E0BA9"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1AB20E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1944 года Красная Армия начала очередное наступление - Свирско-Петрозаводскую операцию. Командование опасалось, что при форсировании войсками Карельского фронта реку Свирь, немцы взорвут плотину, сооруженную на этой реке. Поэтому было решено уничтожить плотину до начала наступления, чтобы вода успела сойти. Эту операцию могли провести только морские летчики, которые умели сбрасывать бомбы так, чтобы они рикошетировали от поверхности воды. Для осуществления задуманного направили группу опытных летчиков, возглавляемых генералом М.И. Самохиным. Экипажи проходили подготовку на морском полигоне, где был сооружен макет плотины. После непродолжительного учения, 20 июня 1944 года самолеты вылетели на боевое задание. Начали атаку "топмачтовики", сбросившие ФАБ-500 и ФАБ-1000. Затем другие самолеты выбросили плавучие мины. Летчикам удалось повредить дамбу на столько, чтобы вода начала уходить. Опасность для наступающих войск была устранена (2691).</w:t>
      </w:r>
    </w:p>
    <w:p w14:paraId="3BF0FE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Силы флота были временно оперативно подчинены командующему фронтом и он являлся организатором взаимодействия, ставя задачи не только флоту, но и авиации, авиации флота и АДД, а также определял районы их боевых действий (518,183).</w:t>
      </w:r>
    </w:p>
    <w:p w14:paraId="27536E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прикрывала 7ВА - 875 самолетов и в основном использовали на юге Карелии. В боях под Поросозером участвовал 668 шап и прикрывавшие его 20 иап. Несмотря на трехкратное преимущества в воздухе потеряли много машин (около 40) от огня с земли - 23 мм и 88 мм орудий. 10 июля 1944 сбили Ил-2 М.Сафонова - прямым попаданием снаряда на 400 м. Стрелок остался жив и похоронил л. Потом проводили эксгумацию, чтобы подтвердить, что это л (3205).</w:t>
      </w:r>
    </w:p>
    <w:p w14:paraId="46D029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CCC7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1944 группа ш под командованием В.И.Фндосова перед началом свирской операции разрушили переправы немцев через Свирь. Специально выделенная пара П.А.Сорокина и Я.М.Имаева подавляла зенитную артиллерию. По другим переправам действовали группы С.В.Мунтяна, Г.И.Андреева, П.Н.Ефанова (430,207).</w:t>
      </w:r>
    </w:p>
    <w:p w14:paraId="5CFC85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8FDD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20-21 июня 1944 ВВС БФ с использованием топмачтового бомбометания разрушили плотину ГРЭС Свирь-3. Применяли ФАБ-250 и ФАБ-1000 (4414,14).</w:t>
      </w:r>
    </w:p>
    <w:p w14:paraId="503388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0755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20 июня 1944 в 10:05 первый удар по плотине нанесли топмачтовики A-20G. Вылет и бомбометание выполнялись парами. Четыре пары самолетов сбросили по одной ФАБ-1000, столько же ФАБ-500 и 16 ФАБ-250. Однако цель не была поражена. Часть бомб (примерно 40%) упала с перелетом. В 14:40, после подробного разбора первого полета, был нанесен второй удар. Четвёрка A-20G сбросила по цели с учетом необходимого выноса четыре ФАБ-1000 и четыре ФАБ-500. Удару топмачтовиков предшествовало подавление зенитной артиллерии штурмовиками Ил-2. Выполненная в 17:50 контрольная фотосъемка обмеления верхнего водохранилища не показала. Для решения задачи пришлось задействовать резервное средство, для применения которого, собственно, и готовились экипажи </w:t>
      </w:r>
      <w:r w:rsidRPr="00070ADE">
        <w:rPr>
          <w:rFonts w:ascii="Times New Roman" w:hAnsi="Times New Roman"/>
          <w:color w:val="000000" w:themeColor="text1"/>
          <w:sz w:val="16"/>
          <w:szCs w:val="16"/>
        </w:rPr>
        <w:lastRenderedPageBreak/>
        <w:t>«ильюшиных»...В 19:20 четыре «Бостона» нанесли третий удар топмачтовым способом, сбросив четыре ФАБ-1000, столько же ФАБ-500 и восемь ФАБ-250. Одновременно два Ил-4 под прикрытием семи Як-9 сбросили две АМГ-1, переоборудованные в плавающие мины с часовым взрывателем. Бомбы упали у самой цели. Не дожидаясь контрольных снимков, спустя час для сброса мин вылетела еще одна тройка «Илов». Всем им удалось выполнить задание. Мины сбрасывали с высоты 1 100-200 м. Три из их числа взорвались при приводнении на расстоянии 50 - 70 м от плотины, одна - спустя час после сбрасывания, и, по-видимому, именно её взрыв нанес конструкции наибольшие разрушения. В результате повреждения плотины началось обмеление водохранилища. Последний удар последовал в 21:06, за шесть часов до начала наступления наземных войск. На этот раз Ил-4 вылетели пятеркой. Спустившийся к этому времени туман помешал двум экипажам сбросить мины в намеченном места. Кроме того, одна машина оторвалась от общего боевого порядка, после чего вернулась на базу. К цели вышло два Ил-4, но на этот раз финские зенитчики не дремали и сбили на боевом курсе один из миноносцев. Впрочем, и без этого удара цель операции оказалась достигнутой - уровень воды выше разрушенной плотины стал резко падать, открывая ранее затопленные берега. Войска Карельского фронта форсировали реку на неожиданном для противника участке и вскоре добились решающих успехов (9965).</w:t>
      </w:r>
    </w:p>
    <w:p w14:paraId="086473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0B419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20 июня 1944 завершили работу по подготовке авианаступления в Белорусской операции. Задачи: прочно удерживать господство в воздухе; поддерживать войска при прорыве обороны, окружении и разгроме витебской и бобруйской группировок и группы Центр восточнее Минска; воспрепятствовать подходу резервов к полю боя и дезорганизовать отход; вести разведку. С учетом того, что 1БФ наносил 2 удара (на рогачевско-бобруйском и паричевском направлениях) 16ВА разделили на С (13 ад) и Ю (7 ад). 1ВА 3БФ также разделили на 2 группы - по 6 и 11 ад. В 3 и 4ВА авиацию хотели использовать на направлении главного удара 1ПрФ и 2БФ. Для последовательного сосредоточения АДД срок наступления 1БФ перенесли на один день. Т.е. начинали 1ПрФ, 3 и 2БФ, а затем - 1БФ (340,170).</w:t>
      </w:r>
    </w:p>
    <w:p w14:paraId="683167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6255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августа 1944 г. Пе-2 приняли участие в массированном ударе по румынской военно-морской базе Констанца. В этот день по кораблям в порту и береговым сооружениям отработали 59 Пе-2; причем все удары выполнялись с пикирования. Основные цели - румынские боевые корабли - "пешки" атаковали шестерками, сбрасывая бомбы по командам ведущего или (когда гавань еще не скрыли клубы дыма и пыли от разрывов) одиночно. По официальным данным ВВС ЧФ, в этот день противник лишился миноносца, подлодки, двух десятков других кораблей и судов. Получили повреждения два эсминца, пять подлодок, вспомогательный крейсер, а также ряд транспортов. Удар, нанесенный по Констанце, замечателен тем, что в нем участвовала авиадивизия в полном составе из четырех авиаполков (два бап и два иап), следовавшая к цели компактной группой в общем боевом порядке. Над целью самолеты дивизии находились всего 20 мин. Этот удар стал первым опытом применения массированных групп авиации не только в ВВС ЧФ. но и в военно-воздушных силах ВМФ в целом (12042).</w:t>
      </w:r>
    </w:p>
    <w:p w14:paraId="3972FA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B0D698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1C959F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244E8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1944 вышло Распоряжение ГКО № 6081 [О ставках зарплаты работникам милиции Куйбышева.] (7242, 128).</w:t>
      </w:r>
    </w:p>
    <w:p w14:paraId="12E5D40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031C5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1062A6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AA6E7F"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 июня</w:t>
      </w:r>
      <w:r w:rsidRPr="00070ADE">
        <w:rPr>
          <w:rFonts w:ascii="Times New Roman" w:hAnsi="Times New Roman"/>
          <w:color w:val="000000" w:themeColor="text1"/>
          <w:sz w:val="16"/>
          <w:szCs w:val="16"/>
        </w:rPr>
        <w:t xml:space="preserve"> в 1944 году был выдан заказ на изготовление 1900 </w:t>
      </w:r>
      <w:hyperlink r:id="rId179" w:tgtFrame="_blank" w:history="1">
        <w:r w:rsidRPr="00070ADE">
          <w:rPr>
            <w:rFonts w:ascii="Times New Roman" w:hAnsi="Times New Roman"/>
            <w:color w:val="000000" w:themeColor="text1"/>
            <w:sz w:val="16"/>
            <w:szCs w:val="16"/>
          </w:rPr>
          <w:t xml:space="preserve">«P-47N». </w:t>
        </w:r>
      </w:hyperlink>
      <w:r w:rsidRPr="00070ADE">
        <w:rPr>
          <w:rFonts w:ascii="Times New Roman" w:hAnsi="Times New Roman"/>
          <w:color w:val="000000" w:themeColor="text1"/>
          <w:sz w:val="16"/>
          <w:szCs w:val="16"/>
        </w:rPr>
        <w:t>Ранние оценочные испытания проводились с «P-47D-30-RE». К удивлению многих присутствовавших, «XP-47N» с большим размахом крыла и большим весом имел лучшую скорость по крену, чем модель «D2. При TAS (true airspeed - истинная скорость полета самолета) 250 миль в час, максимальная угловая скорость крена модели «N» составляла более 100 градусов/секунду. На той же самой скорости стандартный «D-30-RE» смог показать всего 85 градусов/секунду. На более высоких скоростях преимущество модели N возрастало еще сильнее. В проведенном "воздушном бою", «D-30-RE» проиграл новому варианту истребителя по всем пунктам. Основной причиной улучшении характеристик было новое крыло, применение элеронов и закрылков большей площади, но свою роль сыграл и более мощный двигатель ряда «C» (14928).</w:t>
      </w:r>
    </w:p>
    <w:p w14:paraId="2C5DD1E8"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694B2008" w14:textId="234F758F" w:rsidR="008B51B5" w:rsidRPr="00070ADE" w:rsidRDefault="008B51B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1944 г ракета А-4 с серийным номером MW 18014, взлетевшая с</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острова Грайфсвальдер-Ойе, достигла рекордной высоты 174,6 км (если верить утверждению Дорнбергера, то даже 188 км). Ракету непрерывно совершенствовали. За время испытаний и серийного производства в ней было сделано около 60 тысяч (!) изменений, хотя сама она состояла примерно из 30 тысяч деталей. И всё же довести ракету до уровня полной безотказности не удалось. До самого конца боевого применения А4 оставалась «сырым» изделием (23372).</w:t>
      </w:r>
    </w:p>
    <w:p w14:paraId="0218C780" w14:textId="77777777" w:rsidR="008B51B5" w:rsidRPr="00070ADE" w:rsidRDefault="008B51B5" w:rsidP="00B56F90">
      <w:pPr>
        <w:spacing w:after="0" w:line="240" w:lineRule="auto"/>
        <w:jc w:val="both"/>
        <w:rPr>
          <w:rFonts w:ascii="Times New Roman" w:hAnsi="Times New Roman"/>
          <w:color w:val="000000" w:themeColor="text1"/>
          <w:sz w:val="16"/>
          <w:szCs w:val="16"/>
        </w:rPr>
      </w:pPr>
    </w:p>
    <w:p w14:paraId="264A8DF8"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 июня</w:t>
      </w:r>
      <w:r w:rsidRPr="00070ADE">
        <w:rPr>
          <w:rFonts w:ascii="Times New Roman" w:hAnsi="Times New Roman"/>
          <w:color w:val="000000" w:themeColor="text1"/>
          <w:sz w:val="16"/>
          <w:szCs w:val="16"/>
        </w:rPr>
        <w:t xml:space="preserve"> в 1944 году потерпел катастрофу второй «Та-154» польской сборки. Самолет, пилотируемый летчиком-испытателем Бартшом, вошел в штопор и при ударе о землю полностью разрушился. Первая машина польской сборки была потеряна в первом же полете при посадке из-за отказа привода закрылка одной из консолей. До закрытия производства было выпущено 10 серийных «Та-154»: два в Эрфурте и восемь на польских заводах (14928).</w:t>
      </w:r>
    </w:p>
    <w:p w14:paraId="15353106"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34A6630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1944 английские войска захватили Перуджу (Италия) (4962).</w:t>
      </w:r>
    </w:p>
    <w:p w14:paraId="6E3312E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69540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1944 немецкий заговорщик-антифашист полковник Клаус фон Штауффенберг назначен начальником штаба генерала Фридриха Фромма, получив доступ в бункер Гитлера (4962).</w:t>
      </w:r>
    </w:p>
    <w:p w14:paraId="3BC9733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563403"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 июня</w:t>
      </w:r>
      <w:r w:rsidRPr="00070ADE">
        <w:rPr>
          <w:rFonts w:ascii="Times New Roman" w:hAnsi="Times New Roman"/>
          <w:color w:val="000000" w:themeColor="text1"/>
          <w:sz w:val="16"/>
          <w:szCs w:val="16"/>
        </w:rPr>
        <w:t xml:space="preserve"> в 1944 году немецкий заговорщик полковник Клаус фон Штауффенберг назначен начальником штаба генерала Фридриха Фромма, получив доступ в бункер Гитлера (14928).</w:t>
      </w:r>
    </w:p>
    <w:p w14:paraId="18163CEC"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282BD7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1944 Черчиль написал Рузвельту, что де Голль и Комитет Национального Освобождения жизненно нужны союзникам, потому что больше во Франции опереться не на кого (3871).</w:t>
      </w:r>
    </w:p>
    <w:p w14:paraId="34F4DC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B240B1"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 июня</w:t>
      </w:r>
      <w:r w:rsidRPr="00070ADE">
        <w:rPr>
          <w:rFonts w:ascii="Times New Roman" w:hAnsi="Times New Roman"/>
          <w:color w:val="000000" w:themeColor="text1"/>
          <w:sz w:val="16"/>
          <w:szCs w:val="16"/>
        </w:rPr>
        <w:t xml:space="preserve"> в 1944 году завершение сражения у Марианских островов. 216 самолетов палубной авиации 58-го оперативного соединения американцев, сравнительно поздно обнаружившего противника, вынуждены были взлетать для атаки в 16.30. Несколько японских кораблей получили попадания, авианосец "Хийе" вскоре после этого погиб от взрыва авиатоплива. В бою американцы потеряли 20 самолетов. Еще 80 было разбито при посадке в темноте на палубы или приводнились рядом с авианосцами. При этом погибло или пропало без вести 38 летчиков (14928).</w:t>
      </w:r>
    </w:p>
    <w:p w14:paraId="41689E0B"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6583DA5E" w14:textId="77777777" w:rsidR="005112A0" w:rsidRPr="00070ADE" w:rsidRDefault="005112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 июня</w:t>
      </w:r>
      <w:r w:rsidRPr="00070ADE">
        <w:rPr>
          <w:rFonts w:ascii="Times New Roman" w:hAnsi="Times New Roman"/>
          <w:color w:val="000000" w:themeColor="text1"/>
          <w:sz w:val="16"/>
          <w:szCs w:val="16"/>
        </w:rPr>
        <w:t xml:space="preserve"> в 1944 году потоплен авианосец «Хиё» («Hiy») (14928).</w:t>
      </w:r>
    </w:p>
    <w:p w14:paraId="0E5D4834" w14:textId="77777777" w:rsidR="005112A0" w:rsidRPr="00070ADE" w:rsidRDefault="005112A0" w:rsidP="00B56F90">
      <w:pPr>
        <w:spacing w:after="0" w:line="240" w:lineRule="auto"/>
        <w:jc w:val="both"/>
        <w:rPr>
          <w:rFonts w:ascii="Times New Roman" w:hAnsi="Times New Roman"/>
          <w:color w:val="000000" w:themeColor="text1"/>
          <w:sz w:val="16"/>
          <w:szCs w:val="16"/>
        </w:rPr>
      </w:pPr>
    </w:p>
    <w:p w14:paraId="1F810185" w14:textId="77777777" w:rsidR="00EA7435" w:rsidRPr="00070ADE" w:rsidRDefault="00EA74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1944 на второй и последний день битвы в Филиппинском море, 216 самолетов Целевой группы 58 выполняют рейд битвы против японского флота на очень большом расстоянии на закате, потопив авианосец Hiyo и повреждив авианосцы Дзуйкаку и Тиёда, линкор "Харуна" и тяжелый крейсер "Майя" . Помимо 20 пропавших без вести и предположительно сбитых самолетов, Целевая группа 58 потеряла 80 самолетов, которые упали из-за истощения топлива или авариях при попытке ночной посадки на авианосцы США. В течение дня японцы теряют еще 65 самолетов авианосцев, у них остается только 35; за два дня боев они потеряли 476 самолетов авианосного и наземного базирования, а также гидросамолётов линейного и крейсерского базирования. На F6F Hellcat из истребительной эскадрильи 16 (VF-16) с авианосца USS Lexington (CV-16) летчик-истребитель ВМС США Александр Врачу сбивает еще один японский самолет. Эта победа довела его общее количество побед до 19, что сделало его ведущим асом ВМС США в то время (20373).</w:t>
      </w:r>
    </w:p>
    <w:p w14:paraId="332404F0" w14:textId="77777777" w:rsidR="00EA7435" w:rsidRPr="00070ADE" w:rsidRDefault="00EA7435" w:rsidP="00B56F90">
      <w:pPr>
        <w:spacing w:after="0" w:line="240" w:lineRule="auto"/>
        <w:jc w:val="both"/>
        <w:rPr>
          <w:rFonts w:ascii="Times New Roman" w:hAnsi="Times New Roman"/>
          <w:color w:val="000000" w:themeColor="text1"/>
          <w:sz w:val="16"/>
          <w:szCs w:val="16"/>
        </w:rPr>
      </w:pPr>
    </w:p>
    <w:p w14:paraId="07DE38D1" w14:textId="77777777" w:rsidR="00EA7435" w:rsidRPr="00070ADE" w:rsidRDefault="00EA743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1944 B-24 тринадцатой армии ВВС США бомбят Улеай. Самолеты союзников начинают сосредоточенные атаки на японские силы на Ноэмфур. К 1 июля они сбросят на остров около 800 тонн (725 755 кг) бомб (20373).</w:t>
      </w:r>
    </w:p>
    <w:p w14:paraId="7336644B" w14:textId="77777777" w:rsidR="00EA7435" w:rsidRPr="00070ADE" w:rsidRDefault="00EA7435" w:rsidP="00B56F90">
      <w:pPr>
        <w:spacing w:after="0" w:line="240" w:lineRule="auto"/>
        <w:jc w:val="both"/>
        <w:rPr>
          <w:rFonts w:ascii="Times New Roman" w:hAnsi="Times New Roman"/>
          <w:color w:val="000000" w:themeColor="text1"/>
          <w:sz w:val="16"/>
          <w:szCs w:val="16"/>
        </w:rPr>
      </w:pPr>
    </w:p>
    <w:p w14:paraId="2BA7B6A1" w14:textId="77777777" w:rsidR="009C5E2F" w:rsidRPr="00070ADE" w:rsidRDefault="009C5E2F"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20 июня</w:t>
      </w:r>
      <w:r w:rsidRPr="00070ADE">
        <w:rPr>
          <w:rFonts w:ascii="Times New Roman" w:hAnsi="Times New Roman"/>
          <w:color w:val="000000" w:themeColor="text1"/>
          <w:sz w:val="16"/>
          <w:szCs w:val="16"/>
        </w:rPr>
        <w:t xml:space="preserve"> в 1944 году Конгресс США принял устав Центрального разведывательного управления США ЦРУ (14928).</w:t>
      </w:r>
    </w:p>
    <w:p w14:paraId="5C15F9C1" w14:textId="77777777" w:rsidR="009C5E2F" w:rsidRPr="00070ADE" w:rsidRDefault="009C5E2F" w:rsidP="00B56F90">
      <w:pPr>
        <w:spacing w:after="0" w:line="240" w:lineRule="auto"/>
        <w:jc w:val="both"/>
        <w:rPr>
          <w:rFonts w:ascii="Times New Roman" w:hAnsi="Times New Roman"/>
          <w:color w:val="000000" w:themeColor="text1"/>
          <w:sz w:val="16"/>
          <w:szCs w:val="16"/>
        </w:rPr>
      </w:pPr>
    </w:p>
    <w:p w14:paraId="521B54F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июня 1944 в США создано Центральное Разведывательное Управление (4962).</w:t>
      </w:r>
    </w:p>
    <w:p w14:paraId="7D96E76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39828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650B8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CB88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июня 1944 п.п. Зам. ГИ ВВС КА г-л ИАС А.Лапин утвердил акт по результатам специальных гос. испытаний пулеметно-пушечного и бомбардировочного вооружения самолета Ил-2 с мотором АМ-38Ф" (самолет N 304128 производства завода 30 марта 1944). Отв. исполнители: ви и-м А.Ф.Толпышкин, вл ст.л. Г.А.Тиняков, вш к Т.Ф.Горбунов. Испытывали:</w:t>
      </w:r>
    </w:p>
    <w:p w14:paraId="085169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 Характеристики задней ограниченно подвижной установки УБШ под УБТ-12.7 мм (завод 487 с 4 магазинами по 50 патронов) и целесообразность установки на Ил-2 взамен ВУБ-3</w:t>
      </w:r>
    </w:p>
    <w:p w14:paraId="36467F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Удобство прицеливания и жесткость крепления прицела ПБП-1Б и возможность его съемки в случае вынужденной посадки</w:t>
      </w:r>
    </w:p>
    <w:p w14:paraId="499CB3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Надежность работы и удобство эксплуатации измененной проводки пневмоперезарядки пушек ВЯ-23 мм</w:t>
      </w:r>
    </w:p>
    <w:p w14:paraId="1BA833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Возможность контроля стрельбы из неподвижного оружия при помощи фотокинопулемета ПАУ-22 (качественность снимков) на земле и в воздухе, а также жесткость и удобство эксплуатации установки</w:t>
      </w:r>
    </w:p>
    <w:p w14:paraId="1ED526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Удобство пользования прицельными приспособлениями для бомбометания с прибором ВМШ-2, нанесенными согласно рекомендации НТЖ НИИ АВ и письма ГШ ВВС КА</w:t>
      </w:r>
    </w:p>
    <w:p w14:paraId="723DBA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Целесообразность переноса усилителя СПУФ из хвостовой части фюзеляжа в броневую (1861).</w:t>
      </w:r>
    </w:p>
    <w:p w14:paraId="45172DB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4160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июня 1944 Дементьев писал письмо № Д-2/3027 Нач. 2ГУ НКАП Киселевскому:</w:t>
      </w:r>
    </w:p>
    <w:p w14:paraId="581B4B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Обяжите завод № 469 изготовить рамки для бронестекол самолета И-10 и поставить их заводу № 148 НКАП в следующие сроки:</w:t>
      </w:r>
    </w:p>
    <w:p w14:paraId="2A1CBA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июня с.г. - 30 комплектов</w:t>
      </w:r>
    </w:p>
    <w:p w14:paraId="2B1C3D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июля с.г. - 70 комплектов</w:t>
      </w:r>
    </w:p>
    <w:p w14:paraId="757EB0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чертежи Б0440-0, Б0442-0, Б0432-0, Б0430-0 в 2-х экз. (10532,34).</w:t>
      </w:r>
    </w:p>
    <w:p w14:paraId="184D22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31B5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июня 1944 В.П.Кузнецов подготовил для А.И.Ш. сводку по выполнению постановления по повышению высотности самолетов по состоянию на 21 июня 1944 и были упомянуты МиГ-3 с АМ-39Б-01, Ла-5 М-82 с ТК-3 и Як-9 с ВК-105ПД (1824).</w:t>
      </w:r>
    </w:p>
    <w:p w14:paraId="2812E5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F9F4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июня 1944 представители 45 АД ДД приняли на 22 заводе последний Пе-8 N 42512 (1793,12).</w:t>
      </w:r>
    </w:p>
    <w:p w14:paraId="4B2980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3E1B0D" w14:textId="77777777" w:rsidR="005112A0" w:rsidRPr="00070ADE" w:rsidRDefault="005112A0"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21 июня 1944 в ходе очередного испытательного полета не убралась левая стой</w:t>
      </w:r>
      <w:r w:rsidRPr="00070ADE">
        <w:rPr>
          <w:rFonts w:ascii="Times New Roman" w:cs="Times New Roman"/>
          <w:color w:val="000000" w:themeColor="text1"/>
          <w:spacing w:val="0"/>
        </w:rPr>
        <w:softHyphen/>
        <w:t>ка шасси. Как выяснилось, сработалась собачка замка шасси. Самолет встал в ремонт. 29 июня при посадке без щит</w:t>
      </w:r>
      <w:r w:rsidRPr="00070ADE">
        <w:rPr>
          <w:rFonts w:ascii="Times New Roman" w:cs="Times New Roman"/>
          <w:color w:val="000000" w:themeColor="text1"/>
          <w:spacing w:val="0"/>
        </w:rPr>
        <w:softHyphen/>
        <w:t>ков (Н.В. Гаврилов забыл их выпустить) в конце пробега отказали тормоза, са</w:t>
      </w:r>
      <w:r w:rsidRPr="00070ADE">
        <w:rPr>
          <w:rFonts w:ascii="Times New Roman" w:cs="Times New Roman"/>
          <w:color w:val="000000" w:themeColor="text1"/>
          <w:spacing w:val="0"/>
        </w:rPr>
        <w:softHyphen/>
        <w:t>молет выкатился за пределы аэродро</w:t>
      </w:r>
      <w:r w:rsidRPr="00070ADE">
        <w:rPr>
          <w:rFonts w:ascii="Times New Roman" w:cs="Times New Roman"/>
          <w:color w:val="000000" w:themeColor="text1"/>
          <w:spacing w:val="0"/>
        </w:rPr>
        <w:softHyphen/>
        <w:t>ма, попал в канаву и подломал левую стойку шасси. Очередной ремонт са</w:t>
      </w:r>
      <w:r w:rsidRPr="00070ADE">
        <w:rPr>
          <w:rFonts w:ascii="Times New Roman" w:cs="Times New Roman"/>
          <w:color w:val="000000" w:themeColor="text1"/>
          <w:spacing w:val="0"/>
        </w:rPr>
        <w:softHyphen/>
        <w:t>молета продолжался до 30 июля. При</w:t>
      </w:r>
      <w:r w:rsidRPr="00070ADE">
        <w:rPr>
          <w:rFonts w:ascii="Times New Roman" w:cs="Times New Roman"/>
          <w:color w:val="000000" w:themeColor="text1"/>
          <w:spacing w:val="0"/>
        </w:rPr>
        <w:softHyphen/>
        <w:t>шлось ремонтировать фюзеляж, крыло, шасси и оперение. Заменили моторы и винты. Одновременно для увеличения запаса рулей высоты на посадке изме</w:t>
      </w:r>
      <w:r w:rsidRPr="00070ADE">
        <w:rPr>
          <w:rFonts w:ascii="Times New Roman" w:cs="Times New Roman"/>
          <w:color w:val="000000" w:themeColor="text1"/>
          <w:spacing w:val="0"/>
        </w:rPr>
        <w:softHyphen/>
        <w:t>нили угол установки стабилизатора на -2°30'. При первых же пробежках после ремонта обнаружилось, что тормоза ко</w:t>
      </w:r>
      <w:r w:rsidRPr="00070ADE">
        <w:rPr>
          <w:rFonts w:ascii="Times New Roman" w:cs="Times New Roman"/>
          <w:color w:val="000000" w:themeColor="text1"/>
          <w:spacing w:val="0"/>
        </w:rPr>
        <w:softHyphen/>
        <w:t>лес шасси работают все так же недо</w:t>
      </w:r>
      <w:r w:rsidRPr="00070ADE">
        <w:rPr>
          <w:rFonts w:ascii="Times New Roman" w:cs="Times New Roman"/>
          <w:color w:val="000000" w:themeColor="text1"/>
          <w:spacing w:val="0"/>
        </w:rPr>
        <w:softHyphen/>
        <w:t>статочно эффективно</w:t>
      </w:r>
      <w:r w:rsidRPr="00070ADE">
        <w:rPr>
          <w:rStyle w:val="aff7"/>
          <w:rFonts w:ascii="Times New Roman" w:eastAsia="Arial Narrow" w:hAnsi="Times New Roman" w:cs="Times New Roman"/>
          <w:i w:val="0"/>
          <w:color w:val="000000" w:themeColor="text1"/>
          <w:spacing w:val="0"/>
        </w:rPr>
        <w:t xml:space="preserve"> и</w:t>
      </w:r>
      <w:r w:rsidRPr="00070ADE">
        <w:rPr>
          <w:rFonts w:ascii="Times New Roman" w:cs="Times New Roman"/>
          <w:color w:val="000000" w:themeColor="text1"/>
          <w:spacing w:val="0"/>
        </w:rPr>
        <w:t xml:space="preserve"> посадка на Цен</w:t>
      </w:r>
      <w:r w:rsidRPr="00070ADE">
        <w:rPr>
          <w:rFonts w:ascii="Times New Roman" w:cs="Times New Roman"/>
          <w:color w:val="000000" w:themeColor="text1"/>
          <w:spacing w:val="0"/>
        </w:rPr>
        <w:softHyphen/>
        <w:t>тральном аэродроме возможна лишь в одном направлении. По этой причи</w:t>
      </w:r>
      <w:r w:rsidRPr="00070ADE">
        <w:rPr>
          <w:rFonts w:ascii="Times New Roman" w:cs="Times New Roman"/>
          <w:color w:val="000000" w:themeColor="text1"/>
          <w:spacing w:val="0"/>
        </w:rPr>
        <w:softHyphen/>
        <w:t>не было принято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завершить программу заводских летных испытаний (15758).</w:t>
      </w:r>
    </w:p>
    <w:p w14:paraId="73A08382" w14:textId="77777777" w:rsidR="005112A0" w:rsidRPr="00070ADE" w:rsidRDefault="005112A0" w:rsidP="00B56F90">
      <w:pPr>
        <w:spacing w:after="0" w:line="240" w:lineRule="auto"/>
        <w:jc w:val="both"/>
        <w:rPr>
          <w:rFonts w:ascii="Times New Roman" w:hAnsi="Times New Roman"/>
          <w:color w:val="000000" w:themeColor="text1"/>
          <w:sz w:val="16"/>
          <w:szCs w:val="16"/>
        </w:rPr>
      </w:pPr>
    </w:p>
    <w:p w14:paraId="6FE1FE7F" w14:textId="77777777" w:rsidR="00262E37" w:rsidRPr="00070ADE" w:rsidRDefault="00262E3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21 июня 1944 в ходе очередного испытательного полета на ТИС (МА) не убралась левая стойка шасси. Как выяс</w:t>
      </w:r>
      <w:r w:rsidRPr="00070ADE">
        <w:rPr>
          <w:color w:val="000000" w:themeColor="text1"/>
          <w:sz w:val="16"/>
          <w:szCs w:val="16"/>
        </w:rPr>
        <w:softHyphen/>
        <w:t>нилось, сработалась собачка замка шасси. Самолет встал в ремонт. 29 июня при посадке без щитков (Н. В. Гаврилов забыл выпустить их) в конце пробе</w:t>
      </w:r>
      <w:r w:rsidRPr="00070ADE">
        <w:rPr>
          <w:color w:val="000000" w:themeColor="text1"/>
          <w:sz w:val="16"/>
          <w:szCs w:val="16"/>
        </w:rPr>
        <w:softHyphen/>
        <w:t>га отказали тормоза, самолет выкатился за пределы аэродрома, попал в канаву и подломал левую стой</w:t>
      </w:r>
      <w:r w:rsidRPr="00070ADE">
        <w:rPr>
          <w:color w:val="000000" w:themeColor="text1"/>
          <w:sz w:val="16"/>
          <w:szCs w:val="16"/>
        </w:rPr>
        <w:softHyphen/>
        <w:t>ку основного шасси. Очередной ремонт самолета продолжался до 30 июля. Пришлось ремонтиро</w:t>
      </w:r>
      <w:r w:rsidRPr="00070ADE">
        <w:rPr>
          <w:color w:val="000000" w:themeColor="text1"/>
          <w:sz w:val="16"/>
          <w:szCs w:val="16"/>
        </w:rPr>
        <w:softHyphen/>
        <w:t>вать фюзеляж, крыло, шасси и оперение. Заменили левую мотораму, оба мотора и винты. Одновремен</w:t>
      </w:r>
      <w:r w:rsidRPr="00070ADE">
        <w:rPr>
          <w:color w:val="000000" w:themeColor="text1"/>
          <w:sz w:val="16"/>
          <w:szCs w:val="16"/>
        </w:rPr>
        <w:softHyphen/>
        <w:t>но для увеличения запаса рулей высоты на посадке изменили угол установки стабилизатора на —2°30'. При первых же пробежках после ремонта 30 июля обнаружилось, что тормоза колес шасси работают все так же недостаточно эффективно и посадка на Центральном аэродроме возможна лишь в од</w:t>
      </w:r>
      <w:r w:rsidRPr="00070ADE">
        <w:rPr>
          <w:color w:val="000000" w:themeColor="text1"/>
          <w:sz w:val="16"/>
          <w:szCs w:val="16"/>
        </w:rPr>
        <w:softHyphen/>
        <w:t>ном направлении. По этой причине было приня</w:t>
      </w:r>
      <w:r w:rsidRPr="00070ADE">
        <w:rPr>
          <w:color w:val="000000" w:themeColor="text1"/>
          <w:sz w:val="16"/>
          <w:szCs w:val="16"/>
        </w:rPr>
        <w:softHyphen/>
        <w:t>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в целом завершить программу заводских летных испытаний. К сожа</w:t>
      </w:r>
      <w:r w:rsidRPr="00070ADE">
        <w:rPr>
          <w:color w:val="000000" w:themeColor="text1"/>
          <w:sz w:val="16"/>
          <w:szCs w:val="16"/>
        </w:rPr>
        <w:softHyphen/>
        <w:t>лению, в этот день при взлете произошел обрыв ушка крепления цилиндра подъема шасси с обры</w:t>
      </w:r>
      <w:r w:rsidRPr="00070ADE">
        <w:rPr>
          <w:color w:val="000000" w:themeColor="text1"/>
          <w:sz w:val="16"/>
          <w:szCs w:val="16"/>
        </w:rPr>
        <w:softHyphen/>
        <w:t>вом воздушной проводки, в результате чего шасси осталось в незафиксированном положении. При посадке на аэродром Раменское шасси сложилось. Помялись нижние капоты моторов и маслорадиато- ры. Погнулись оба винта. Но главное, деформиро</w:t>
      </w:r>
      <w:r w:rsidRPr="00070ADE">
        <w:rPr>
          <w:color w:val="000000" w:themeColor="text1"/>
          <w:sz w:val="16"/>
          <w:szCs w:val="16"/>
        </w:rPr>
        <w:softHyphen/>
        <w:t>вался фюзеляж. Самолету требовался длительный ремонт (17500).</w:t>
      </w:r>
    </w:p>
    <w:p w14:paraId="4BED3A1C" w14:textId="77777777" w:rsidR="00262E37" w:rsidRPr="00070ADE" w:rsidRDefault="00262E37" w:rsidP="00B56F90">
      <w:pPr>
        <w:spacing w:after="0" w:line="240" w:lineRule="auto"/>
        <w:jc w:val="both"/>
        <w:rPr>
          <w:rFonts w:ascii="Times New Roman" w:eastAsia="Times New Roman" w:hAnsi="Times New Roman"/>
          <w:color w:val="000000" w:themeColor="text1"/>
          <w:sz w:val="16"/>
          <w:szCs w:val="16"/>
          <w:lang w:eastAsia="ru-RU"/>
        </w:rPr>
      </w:pPr>
    </w:p>
    <w:p w14:paraId="66DB144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по 26 июня 1944 была командировка на завод № 21 бригады НИИ ВВС по с-ту 120 и трещинам тавриков передних лонжеронов цп с-та Ла-7:</w:t>
      </w:r>
    </w:p>
    <w:p w14:paraId="7DA57B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докладной по результатам командировки ви 3 отд. 1 упр. ТК НИИ ВВС КА им Алексеенко:</w:t>
      </w:r>
    </w:p>
    <w:p w14:paraId="50828E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ознакомления с технологией обработки полок лонжеронов, мы проверили качество контроля со стороны военпреда технологии сборки (по просьбе старшего военпреда завода). В результате нашего осмотра самолета, ВМГ которого была окончательно принята в,пред. цеха, обнаружено 12 существенных дефектов, о которых мы почти в каждом акте пишем: чеканка трубок высокого давления, чеканка патрубков, неудовлетворительная герметизация внутреннего капота и 1-й рамы фюзеляжа, неудовлетворительная подгонка заслонок во всасявающем патрубке и т.д.</w:t>
      </w:r>
    </w:p>
    <w:p w14:paraId="3B9F6F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военпреда цеха объясняет наличие дефектов графиком (темпами), что якобы нет смысла им писать при приемкуе самолета много дефектов (на этом самолете написано только 9), т.к. иногда ими обнаруженные дефекты не устраняются и их винят в задержке самолетов.</w:t>
      </w:r>
    </w:p>
    <w:p w14:paraId="6E8086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строевых частях (так и у нас) необходимо самолет на несколько дней выводить из строя для устранения дефектов (742).</w:t>
      </w:r>
    </w:p>
    <w:p w14:paraId="53A361D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DED22BD" w14:textId="77777777" w:rsidR="005112A0" w:rsidRPr="00070ADE" w:rsidRDefault="005112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21 июня</w:t>
      </w:r>
      <w:r w:rsidRPr="00070ADE">
        <w:rPr>
          <w:rFonts w:ascii="Times New Roman" w:hAnsi="Times New Roman"/>
          <w:color w:val="000000" w:themeColor="text1"/>
          <w:sz w:val="16"/>
          <w:szCs w:val="16"/>
        </w:rPr>
        <w:t xml:space="preserve"> в 1944 году постановением ГКО в Днепропетровске (Украина) основан Южный машиностроительный завод (ЮМЗ), ставший одним из крупнейших производителей ракетно-космической техники (14929).</w:t>
      </w:r>
    </w:p>
    <w:p w14:paraId="4D5A77E3" w14:textId="77777777" w:rsidR="005112A0" w:rsidRPr="00070ADE" w:rsidRDefault="005112A0" w:rsidP="00B56F90">
      <w:pPr>
        <w:spacing w:after="0" w:line="240" w:lineRule="auto"/>
        <w:jc w:val="both"/>
        <w:rPr>
          <w:rFonts w:ascii="Times New Roman" w:hAnsi="Times New Roman"/>
          <w:color w:val="000000" w:themeColor="text1"/>
          <w:sz w:val="16"/>
          <w:szCs w:val="16"/>
        </w:rPr>
      </w:pPr>
    </w:p>
    <w:p w14:paraId="22B6276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111FE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64C4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июня 1944 г. была подготовлена СПРАВКА ТУ ГБТУ КА ПО НЕДОСТАТКАМ ТАНКОВ КВ И Т-34, ОТМЕЧЕННЫХ В ОЦЕНКЕ АМЕРИКАНЦЕВ</w:t>
      </w:r>
    </w:p>
    <w:p w14:paraId="36D590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По охлаждению двигателей</w:t>
      </w:r>
    </w:p>
    <w:p w14:paraId="3A0B82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танке ИС-2 водяная система охлаждения установлена другой конструкции, чем на танке КВ, вполне обеспечивающая нормальный тепловой режим двигателя.</w:t>
      </w:r>
    </w:p>
    <w:p w14:paraId="66A3CC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масляную систему танка Т-34 с июля месяца 1943 года введен масляный радиатор, который снизил температуру масла и воды на 15°С.</w:t>
      </w:r>
    </w:p>
    <w:p w14:paraId="34EDFD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 управлению танками</w:t>
      </w:r>
    </w:p>
    <w:p w14:paraId="293250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танках ИС-2 устанавливаются планетарные механизмы поворота вместо бортовых фрикци</w:t>
      </w:r>
      <w:r w:rsidRPr="00070ADE">
        <w:rPr>
          <w:rFonts w:ascii="Times New Roman" w:hAnsi="Times New Roman"/>
          <w:color w:val="000000" w:themeColor="text1"/>
          <w:sz w:val="16"/>
          <w:szCs w:val="16"/>
        </w:rPr>
        <w:softHyphen/>
        <w:t>онов танка КВ. Планетарные механизмы поворота значительно облегчили управление поворотами танка.</w:t>
      </w:r>
    </w:p>
    <w:p w14:paraId="0A4140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Усилия, необходимые для переключения передач, действительно велики, и особенно в танках Т-34 с 4-скоростной коробкой перемены передач.</w:t>
      </w:r>
    </w:p>
    <w:p w14:paraId="0453292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По воздухоочистителям</w:t>
      </w:r>
    </w:p>
    <w:p w14:paraId="055E12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танках КВ устанавливались воздухоочистители типа «Вортокс». На танке Т-34, отправлен</w:t>
      </w:r>
      <w:r w:rsidRPr="00070ADE">
        <w:rPr>
          <w:rFonts w:ascii="Times New Roman" w:hAnsi="Times New Roman"/>
          <w:color w:val="000000" w:themeColor="text1"/>
          <w:sz w:val="16"/>
          <w:szCs w:val="16"/>
        </w:rPr>
        <w:softHyphen/>
        <w:t>ном в Америку, был установлен воздухоочиститель типа «Помон», который при работе в пыльных условиях обеспечивал очистку воздуха только при условии чистки самого воздухоочистителя через каждые 2 —4ч.</w:t>
      </w:r>
    </w:p>
    <w:p w14:paraId="050B1D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декабре 1942 года воздухоочиститель «Помон» на танках Т-34 был заменен воздухоочистите</w:t>
      </w:r>
      <w:r w:rsidRPr="00070ADE">
        <w:rPr>
          <w:rFonts w:ascii="Times New Roman" w:hAnsi="Times New Roman"/>
          <w:color w:val="000000" w:themeColor="text1"/>
          <w:sz w:val="16"/>
          <w:szCs w:val="16"/>
        </w:rPr>
        <w:softHyphen/>
        <w:t>лями типа «Циклон», которые при запыленности воздуха 1 г пыли на 1 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 xml:space="preserve"> обеспечивали очистку воз</w:t>
      </w:r>
      <w:r w:rsidRPr="00070ADE">
        <w:rPr>
          <w:rFonts w:ascii="Times New Roman" w:hAnsi="Times New Roman"/>
          <w:color w:val="000000" w:themeColor="text1"/>
          <w:sz w:val="16"/>
          <w:szCs w:val="16"/>
        </w:rPr>
        <w:softHyphen/>
        <w:t>духа на 96%, а с апреля месяца 1944 г. устанавливаются воздухоочистители типа «Мультициклон», обеспечивающие 100% очистку воздуха при этих же условиях запыленности воздуха.</w:t>
      </w:r>
    </w:p>
    <w:p w14:paraId="166EC41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танках ИС-2 также устанавливаются воздухоочистители типа «Мультициклон».</w:t>
      </w:r>
    </w:p>
    <w:p w14:paraId="3265B9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По проходимости по песчаной местности</w:t>
      </w:r>
    </w:p>
    <w:p w14:paraId="03850D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заключением американцев согласиться нельзя. Проходимость по песчаной местности наших танков — хорошая.</w:t>
      </w:r>
    </w:p>
    <w:p w14:paraId="2256B8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По надежности работы механизмов</w:t>
      </w:r>
    </w:p>
    <w:p w14:paraId="73F8D7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 войсковой эксплуатации показал, что основная масса наших танков работает 150 — 200 моточасов.</w:t>
      </w:r>
    </w:p>
    <w:p w14:paraId="2C67FC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целом качество танков по надежности работы их механизмов в настоящее время значитель</w:t>
      </w:r>
      <w:r w:rsidRPr="00070ADE">
        <w:rPr>
          <w:rFonts w:ascii="Times New Roman" w:hAnsi="Times New Roman"/>
          <w:color w:val="000000" w:themeColor="text1"/>
          <w:sz w:val="16"/>
          <w:szCs w:val="16"/>
        </w:rPr>
        <w:softHyphen/>
        <w:t>но повысилось. Танк ИС-2, несмотря на недоработку отдельных его узлов, работает в целом надеж</w:t>
      </w:r>
      <w:r w:rsidRPr="00070ADE">
        <w:rPr>
          <w:rFonts w:ascii="Times New Roman" w:hAnsi="Times New Roman"/>
          <w:color w:val="000000" w:themeColor="text1"/>
          <w:sz w:val="16"/>
          <w:szCs w:val="16"/>
        </w:rPr>
        <w:softHyphen/>
        <w:t>нее танка КВ.</w:t>
      </w:r>
    </w:p>
    <w:p w14:paraId="2C3DC5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Ненадежность работы некоторых агрегатов еще имеет место и на танках, выпускаемых в на</w:t>
      </w:r>
      <w:r w:rsidRPr="00070ADE">
        <w:rPr>
          <w:rFonts w:ascii="Times New Roman" w:hAnsi="Times New Roman"/>
          <w:color w:val="000000" w:themeColor="text1"/>
          <w:sz w:val="16"/>
          <w:szCs w:val="16"/>
        </w:rPr>
        <w:softHyphen/>
        <w:t>стоящее время, если они изготовляются с отступлением от чертежей и технических условий.</w:t>
      </w:r>
    </w:p>
    <w:p w14:paraId="58BDA2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По сроку службы траков</w:t>
      </w:r>
    </w:p>
    <w:p w14:paraId="7E1857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Срок службы траков наших танков американцами определен правильно.</w:t>
      </w:r>
    </w:p>
    <w:p w14:paraId="06E61C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По механической обработке деталей</w:t>
      </w:r>
    </w:p>
    <w:p w14:paraId="44CDBA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Оценка, данная американцами в части чистоты обработки деталей и внешней отделки прибо</w:t>
      </w:r>
      <w:r w:rsidRPr="00070ADE">
        <w:rPr>
          <w:rFonts w:ascii="Times New Roman" w:hAnsi="Times New Roman"/>
          <w:color w:val="000000" w:themeColor="text1"/>
          <w:sz w:val="16"/>
          <w:szCs w:val="16"/>
        </w:rPr>
        <w:softHyphen/>
        <w:t>ров, правильная.</w:t>
      </w:r>
    </w:p>
    <w:p w14:paraId="237B22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Резка броневых листов наших танков производится огнем.</w:t>
      </w:r>
    </w:p>
    <w:p w14:paraId="45F48D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 войны подтвердил нецелесообразность механической обработки соединений броневых деталей корпуса под сварку.</w:t>
      </w:r>
    </w:p>
    <w:p w14:paraId="51F6F9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По рабочему месту водителя танка Т-34</w:t>
      </w:r>
    </w:p>
    <w:p w14:paraId="0ADCC2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Расположение водителя на танке Т-34 удовлетворительное.</w:t>
      </w:r>
    </w:p>
    <w:p w14:paraId="5214A3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водителя большого роста условия работы несколько затруднены.</w:t>
      </w:r>
    </w:p>
    <w:p w14:paraId="7CCCBE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начальника ТУ ГБТУ КА инженер-полковник Муравич</w:t>
      </w:r>
    </w:p>
    <w:p w14:paraId="55C043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2218. Л. 116 - 117. Копия (11420).</w:t>
      </w:r>
    </w:p>
    <w:p w14:paraId="4BECF90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D1961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июня 1944 Сданы флоту 23-й БМО и 7-й ТЩ типа МТ-1 балтийцев (строился 8 мес.) (10671).</w:t>
      </w:r>
    </w:p>
    <w:p w14:paraId="31B85FD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94159A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B1A1F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45F95E" w14:textId="77777777" w:rsidR="005112A0" w:rsidRPr="00070ADE" w:rsidRDefault="005112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21 июня</w:t>
      </w:r>
      <w:r w:rsidRPr="00070ADE">
        <w:rPr>
          <w:rFonts w:ascii="Times New Roman" w:hAnsi="Times New Roman"/>
          <w:color w:val="000000" w:themeColor="text1"/>
          <w:sz w:val="16"/>
          <w:szCs w:val="16"/>
        </w:rPr>
        <w:t xml:space="preserve"> в 1944 году оперативная сводка Совинформбюро:</w:t>
      </w:r>
    </w:p>
    <w:p w14:paraId="2B7C63F1" w14:textId="77777777" w:rsidR="005112A0" w:rsidRPr="00070ADE" w:rsidRDefault="005112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21 июня севернее Онежского озера наши войска вели наступательные бои, в ходе которых прорвали оборону противника восточнее города Медвежьегорск и заняли несколько населённых пунктов, в том числе крупные рабочие посёлки Повенец, Пиндуши, совхоз Пушной, населённые пункты Верховье, Брюхово, Салма, Кумсагуба и железнодорожную станцию Вичка Мурманской железной дороги. Наши войска вплотную подошли к городу Медвежьегорск и завязали бои на окраинах города.</w:t>
      </w:r>
    </w:p>
    <w:p w14:paraId="5E12D164" w14:textId="77777777" w:rsidR="005112A0" w:rsidRPr="00070ADE" w:rsidRDefault="005112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Между Онежским и Ладожским озерами наши войска, перейдя в наступление, сломили сопротивление противника на плацдарме по южному берегу реки Свирь и с боями заняли более 100 населённых пунктов, в том числе районный центр Ленинградской области Вознесенье, крупные населённые пункты Ганина. Еросельга, Петровская. Посад, Ровское, Гоморовичи, Пертозеро, Шеменичи, Бардовская, Демидовская, Нисельга, Свирьстрой. Таким образом, нашими войсками ликвидирован важный плацдарм финнов на южном берегу реки Свирь.</w:t>
      </w:r>
    </w:p>
    <w:p w14:paraId="12F7D60D" w14:textId="77777777" w:rsidR="005112A0" w:rsidRPr="00070ADE" w:rsidRDefault="005112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районе Лодейного Поля войска Карельского фронта с боями форсировали реку Свирь, прорвали оборону противника и образовали плацдарм на северном берегу реки Свирь.</w:t>
      </w:r>
    </w:p>
    <w:p w14:paraId="48DB79B4" w14:textId="77777777" w:rsidR="005112A0" w:rsidRPr="00070ADE" w:rsidRDefault="005112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Карельском перешейке наши войска, продолжая наступление, с боями заняли более 50 населённых пунктов, в том числе Сорвали (на острове Линносари 2 километра северо-западнее Выборга), Таммисуо, Патакахиа, Туоккола, Хейниоки, Сала-Паккола, Кянтюмя, и железнодорожную станцию Таммисуо.</w:t>
      </w:r>
    </w:p>
    <w:p w14:paraId="26D8C516" w14:textId="77777777" w:rsidR="005112A0" w:rsidRPr="00070ADE" w:rsidRDefault="005112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фронтах — без перемен.</w:t>
      </w:r>
    </w:p>
    <w:p w14:paraId="650D9689" w14:textId="77777777" w:rsidR="005112A0" w:rsidRPr="00070ADE" w:rsidRDefault="005112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20 июня на всех фронтах в воздушных боях и огнём зенитной артиллерии сбито 24 самолёта противника.</w:t>
      </w:r>
    </w:p>
    <w:p w14:paraId="5554F2CA" w14:textId="77777777" w:rsidR="005112A0" w:rsidRPr="00070ADE" w:rsidRDefault="005112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Карельском перешейке войска Ленинградского фронта продолжали успешное наступление. Решительными и смелыми ударами нашей пехоты и танков были ликвидированы все попытки финнов остановить продвижение советских частей. На одном участке противник бросил в бой учебный батальон, насчитывавший до тысячи штыков. На подходе к месту боя финны были накрыты мощным огнём советских орудий и миномётов. Вражеский батальон понёс большие потери. Уцелевшие финны разбежались по лесу. На другом участке противник пытался переправить свои войска через озеро. Экипажи самоходных орудий гвардии лейтенанта Аниканова и лейтенанта Коновалова открыли огонь по переправе. Прямыми попаданиями снарядов гвардейцы потопили две десантных баржи и несколько моторных лодок с пехотой. Финны потеряли здесь только убитыми до 300 солдат и офицеров.</w:t>
      </w:r>
    </w:p>
    <w:p w14:paraId="36F3143D" w14:textId="77777777" w:rsidR="005112A0" w:rsidRPr="00070ADE" w:rsidRDefault="005112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продолжала наносить удары по войскам и коммуникациям финнов. В результате налёта на железнодорожную станцию Элисенвара советские лётчики уничтожили более 180 вагонов, 12 складов и разрушили железнодорожные пути. На территории станции возникли большие пожары, сопровождавшиеся взрывами.</w:t>
      </w:r>
    </w:p>
    <w:p w14:paraId="265C2E5F" w14:textId="77777777" w:rsidR="005112A0" w:rsidRPr="00070ADE" w:rsidRDefault="005112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Лётчики Краснознамённого Балтийского флота бомбардировали корабли противника в Выборгском заливе. Потоплены финский транспорт, 7. быстроходных десантных барж, тральщик и сторожевой катер.</w:t>
      </w:r>
    </w:p>
    <w:p w14:paraId="396BAD8E" w14:textId="77777777" w:rsidR="005112A0" w:rsidRPr="00070ADE" w:rsidRDefault="005112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дня в воздушных боях сбито 19 немецко-финских самолётов.</w:t>
      </w:r>
    </w:p>
    <w:p w14:paraId="72EDFF84" w14:textId="77777777" w:rsidR="005112A0" w:rsidRPr="00070ADE" w:rsidRDefault="005112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Торпедные катеры Героя Советского Союза Осипова, Ущева и Старостина (Краснознамённый Балтийский флот) потопили в Финском заливе два немецких миноносца. Другая группа наших катеров потопила тральщик противника.</w:t>
      </w:r>
    </w:p>
    <w:p w14:paraId="2F70707A" w14:textId="77777777" w:rsidR="005112A0" w:rsidRPr="00070ADE" w:rsidRDefault="005112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Нашими кораблями в Баренцевом море потоплен транспорт противника водоизмещением в 6 тысяч тонн.</w:t>
      </w:r>
    </w:p>
    <w:p w14:paraId="0797C62D" w14:textId="77777777" w:rsidR="005112A0" w:rsidRPr="00070ADE" w:rsidRDefault="005112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города Мозырь отряд советских разведчиков во главе с младшим лейтенантом Королём ночью переправился через реку и, разбившись на две группы, устроил засаду на лесной дороге. Утром на дороге показался отряд противника. Когда гитлеровцы поравнялись «засадой, наши разведчики забросали их гранатами и обстреляли из автоматов. Немцы пытались отступить, но попали под огонь второй группы разведчиков. Убито два офицера и 16 немецких солдат. Наши разведчики захватили в плен двух немецких офицеров.</w:t>
      </w:r>
    </w:p>
    <w:p w14:paraId="649A5542" w14:textId="77777777" w:rsidR="005112A0" w:rsidRPr="00070ADE" w:rsidRDefault="005112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Литовские партизанские отряды «Смерть оккупантам», «Вильнюс», «Победа» и имени Костаса Калинаускаса за семь дней пустили под откос десять железнодорожных эшелонов с вооружением и живой силой противника. Разбиты 8 паровозов, 17 вагонов и 32 платформы с танками и орудиями.</w:t>
      </w:r>
    </w:p>
    <w:p w14:paraId="0FC5A590" w14:textId="77777777" w:rsidR="005112A0" w:rsidRPr="00070ADE" w:rsidRDefault="005112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солдат 1 финского егерского батальона Онни Кампи рассказал: «На строительство оборонительных сооружений на Карельском перешейке затрачено огромное количество материалов и труда. Финские военные власти мобилизовали все грузовые автомашины страны и передали их управлению строительства. Все строительные батальоны финской армии в течение многих месяцев были заняты на строительстве железобетонных дотов, блиндажей, надолб и эскарпов. Русские войска сокрушили наши укрепления, казавшиеся неприступными».</w:t>
      </w:r>
    </w:p>
    <w:p w14:paraId="2C6D3DF6" w14:textId="77777777" w:rsidR="005112A0" w:rsidRPr="00070ADE" w:rsidRDefault="005112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солдат финской бригады береговой обороны Паасанен сообщил: «Наступление русских было очень стремительным. Об организованном сопротивлении не могло быть и речи. Наши орудия едва успели выпустить несколько снарядов. Мы вынуждены были бежать, бросив на произвол судьбы всю технику. На огневых позициях мы оставили 24 исправных орудия».</w:t>
      </w:r>
    </w:p>
    <w:p w14:paraId="75EEC621" w14:textId="77777777" w:rsidR="005112A0" w:rsidRPr="00070ADE" w:rsidRDefault="005112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Пленный прапорщик 1 финского полка Тойво Хяннинен заявил: «Все финские офицеры были уверены, что укрепления на Карельском перешейке непреодолимы и выдержат любой натиск. Однако мощь советской артиллерии ошеломила нас. Такого огня никто из нас не видел за всё время войны. В эти дни мы убедились, что никакие даже самые сильные укрепления не могут остановить русских» (14929).</w:t>
      </w:r>
    </w:p>
    <w:p w14:paraId="6433CFEE" w14:textId="77777777" w:rsidR="005112A0" w:rsidRPr="00070ADE" w:rsidRDefault="005112A0" w:rsidP="00B56F90">
      <w:pPr>
        <w:spacing w:after="0" w:line="240" w:lineRule="auto"/>
        <w:jc w:val="both"/>
        <w:rPr>
          <w:rFonts w:ascii="Times New Roman" w:hAnsi="Times New Roman"/>
          <w:color w:val="000000" w:themeColor="text1"/>
          <w:sz w:val="16"/>
          <w:szCs w:val="16"/>
        </w:rPr>
      </w:pPr>
    </w:p>
    <w:p w14:paraId="728351D4" w14:textId="77777777" w:rsidR="00927042" w:rsidRPr="00C94B78" w:rsidRDefault="0092704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21 июня 1944 г. 163 бомбардировщика В</w:t>
      </w:r>
      <w:r w:rsidRPr="00C94B78">
        <w:rPr>
          <w:rFonts w:ascii="Times New Roman" w:hAnsi="Times New Roman"/>
          <w:color w:val="0070C0"/>
          <w:sz w:val="16"/>
          <w:szCs w:val="16"/>
        </w:rPr>
        <w:noBreakHyphen/>
        <w:t>17 из 3</w:t>
      </w:r>
      <w:r w:rsidRPr="00C94B78">
        <w:rPr>
          <w:rFonts w:ascii="Times New Roman" w:hAnsi="Times New Roman"/>
          <w:color w:val="0070C0"/>
          <w:sz w:val="16"/>
          <w:szCs w:val="16"/>
        </w:rPr>
        <w:noBreakHyphen/>
        <w:t>й дивизии 8</w:t>
      </w:r>
      <w:r w:rsidRPr="00C94B78">
        <w:rPr>
          <w:rFonts w:ascii="Times New Roman" w:hAnsi="Times New Roman"/>
          <w:color w:val="0070C0"/>
          <w:sz w:val="16"/>
          <w:szCs w:val="16"/>
        </w:rPr>
        <w:noBreakHyphen/>
        <w:t>й воздушной армии на маршруте на Украину бомбили завод синтетического топлива. Вскоре после полуночи аэродром Полтава подвергся налету примерно восьмидесяти бомбардировщиков Ju</w:t>
      </w:r>
      <w:r w:rsidRPr="00C94B78">
        <w:rPr>
          <w:rFonts w:ascii="Times New Roman" w:hAnsi="Times New Roman"/>
          <w:color w:val="0070C0"/>
          <w:sz w:val="16"/>
          <w:szCs w:val="16"/>
        </w:rPr>
        <w:noBreakHyphen/>
        <w:t>88 и Не</w:t>
      </w:r>
      <w:r w:rsidRPr="00C94B78">
        <w:rPr>
          <w:rFonts w:ascii="Times New Roman" w:hAnsi="Times New Roman"/>
          <w:color w:val="0070C0"/>
          <w:sz w:val="16"/>
          <w:szCs w:val="16"/>
        </w:rPr>
        <w:noBreakHyphen/>
        <w:t>111. В результате налета немецкой авиации было полностью уничтожено на земле 72 «Летающих крепости», почти все оставшиеся американские самолеты получили повреждения. Ни один советский истребитель не взлетел на отражение налета. Челночные рейды американской авиации продолжались до сентября 1944 г. (25068).</w:t>
      </w:r>
    </w:p>
    <w:p w14:paraId="32E73105" w14:textId="77777777" w:rsidR="00927042" w:rsidRPr="00C94B78" w:rsidRDefault="00927042" w:rsidP="00B56F90">
      <w:pPr>
        <w:spacing w:after="0" w:line="240" w:lineRule="auto"/>
        <w:jc w:val="both"/>
        <w:rPr>
          <w:rFonts w:ascii="Times New Roman" w:hAnsi="Times New Roman"/>
          <w:color w:val="0070C0"/>
          <w:sz w:val="16"/>
          <w:szCs w:val="16"/>
        </w:rPr>
      </w:pPr>
    </w:p>
    <w:p w14:paraId="6A506228" w14:textId="77777777" w:rsidR="00927042" w:rsidRPr="00C94B78" w:rsidRDefault="0092704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21 июня 1944 г. в 6 часов утра с британских аэродромов взлетели 163 американских бомбардировщика В-17 и 70 истребителей прикрытия «мустанг». Двадцать В-17 и пять «мустангов» из-за технических неполадок вернулись на базу.</w:t>
      </w:r>
    </w:p>
    <w:p w14:paraId="28D29477" w14:textId="77777777" w:rsidR="00927042" w:rsidRPr="00C94B78" w:rsidRDefault="0092704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Над Берлином 21 июня было сбито 44 бомбардировщика В-17 и В-24 (из разных соединений). Кроме того, ещё семь В-17 и семь В-24 совершили посадку в Швеции и были там интернированы.</w:t>
      </w:r>
    </w:p>
    <w:p w14:paraId="31965D57" w14:textId="77777777" w:rsidR="00927042" w:rsidRPr="00C94B78" w:rsidRDefault="0092704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Три «летающие крепости» сели в Жулянах (сейчас это аэропорт Киев), две машины – в Борисполе, одна – в Вышеве и одна – в Дайменовке в 8 км восточнее Пирятина. Один «мустанг» приземлился в Киеве на Школьном аэродроме. Недалеко от Киева один из шедших на посадку В-17 атаковали пара советских истребителей «Як», и американский стрелок открыл по ним огонь. Позже американцы заявили, что из-за ошибки в пилотировании один из нападавших самолётов разбился.</w:t>
      </w:r>
    </w:p>
    <w:p w14:paraId="7087B0B6" w14:textId="77777777" w:rsidR="00927042" w:rsidRPr="00C94B78" w:rsidRDefault="0092704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результате преодолеть все преграды и благополучно приземлиться в заданном месте удалось 137 «летающим крепостям» и 63 «мустангам».</w:t>
      </w:r>
    </w:p>
    <w:p w14:paraId="20933BB7" w14:textId="77777777" w:rsidR="00927042" w:rsidRPr="00C94B78" w:rsidRDefault="0092704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В ту же ночь около 180 бомбардировщиков He-111 сбросили до ста тонн бомб на полтавские аэродромы и при этом не потеряли ни одной машины.</w:t>
      </w:r>
    </w:p>
    <w:p w14:paraId="4B66B039" w14:textId="77777777" w:rsidR="00927042" w:rsidRPr="00C94B78" w:rsidRDefault="00927042" w:rsidP="00B56F90">
      <w:pPr>
        <w:spacing w:after="0" w:line="240" w:lineRule="auto"/>
        <w:jc w:val="both"/>
        <w:rPr>
          <w:rFonts w:ascii="Times New Roman" w:hAnsi="Times New Roman"/>
          <w:color w:val="0070C0"/>
          <w:sz w:val="16"/>
          <w:szCs w:val="16"/>
        </w:rPr>
      </w:pPr>
      <w:r w:rsidRPr="00C94B78">
        <w:rPr>
          <w:rFonts w:ascii="Times New Roman" w:hAnsi="Times New Roman"/>
          <w:color w:val="0070C0"/>
          <w:sz w:val="16"/>
          <w:szCs w:val="16"/>
        </w:rPr>
        <w:t>Данные за 22.06.1944 г. по аэродрому Полтава: уничтожено: «летающие крепости» – 44, С-47 – 2, «лайтнинг» – 1; повреждено: «летающие крепости» – 25, Як-9 – 15, Як-7 – 6, «харрикейн» – 1, У-2 – 3; сгорело бензина – 360 т; уничтожено авиабомб – до 2000. Американцев убито – 1, ранено – 15; наших убито – 31, ранено – 88 (в число раненых и убитых входят и бойцы ПВО) (24184).</w:t>
      </w:r>
    </w:p>
    <w:p w14:paraId="3D836541" w14:textId="77777777" w:rsidR="00927042" w:rsidRPr="00C94B78" w:rsidRDefault="00927042" w:rsidP="00B56F90">
      <w:pPr>
        <w:spacing w:after="0" w:line="240" w:lineRule="auto"/>
        <w:jc w:val="both"/>
        <w:rPr>
          <w:rFonts w:ascii="Times New Roman" w:hAnsi="Times New Roman"/>
          <w:color w:val="0070C0"/>
          <w:sz w:val="16"/>
          <w:szCs w:val="16"/>
        </w:rPr>
      </w:pPr>
    </w:p>
    <w:p w14:paraId="32BCC5B0" w14:textId="77777777" w:rsidR="005112A0" w:rsidRPr="00070ADE" w:rsidRDefault="005112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21 июня</w:t>
      </w:r>
      <w:r w:rsidRPr="00070ADE">
        <w:rPr>
          <w:rFonts w:ascii="Times New Roman" w:hAnsi="Times New Roman"/>
          <w:color w:val="000000" w:themeColor="text1"/>
          <w:sz w:val="16"/>
          <w:szCs w:val="16"/>
        </w:rPr>
        <w:t xml:space="preserve"> в 1944 году началась Свирско-Петрозаводская наступательная операция войск левого крыла Карельского фронта во взаимодействии с Ладожской и Онежской военными. флотилиями, при поддержке 7-й и части сил 13-й Воздушной Армии, продолжавшаяся до 9 августа. Войска 7-й Армии наступая из района Лодейного Поля, форсировали реку Свирь, прорвали главную полосу обороны противника на олонецком направлении. 32-я Армия начала наступление из р-на Медвежьегорска в направлениях на Суоярви и Петрозаводск (14929).</w:t>
      </w:r>
    </w:p>
    <w:p w14:paraId="0EF8BDD1" w14:textId="77777777" w:rsidR="005112A0" w:rsidRPr="00070ADE" w:rsidRDefault="005112A0" w:rsidP="00B56F90">
      <w:pPr>
        <w:spacing w:after="0" w:line="240" w:lineRule="auto"/>
        <w:jc w:val="both"/>
        <w:rPr>
          <w:rFonts w:ascii="Times New Roman" w:hAnsi="Times New Roman"/>
          <w:color w:val="000000" w:themeColor="text1"/>
          <w:sz w:val="16"/>
          <w:szCs w:val="16"/>
        </w:rPr>
      </w:pPr>
    </w:p>
    <w:p w14:paraId="7796BC5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июня 1944 советские войска заняли Выборг (4962).</w:t>
      </w:r>
    </w:p>
    <w:p w14:paraId="6CC41F0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E7766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rPr>
        <w:t xml:space="preserve">21 июня 1944 советские войска начали Свирско-Петрозаводскую наступательную операцию </w:t>
      </w:r>
      <w:r w:rsidRPr="00070ADE">
        <w:rPr>
          <w:rFonts w:ascii="Times New Roman" w:hAnsi="Times New Roman"/>
          <w:color w:val="000000" w:themeColor="text1"/>
          <w:sz w:val="16"/>
          <w:szCs w:val="16"/>
          <w:lang w:val="en-US"/>
        </w:rPr>
        <w:t>(4962).</w:t>
      </w:r>
    </w:p>
    <w:p w14:paraId="5CB6616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5BC37C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21st, 1944: In the East, the Red Army begins an offensive between lakes Ladoga and Onega on the northern front. The US 8th Air Force carries out raids on Berlin and the synthetic fuel plants at Leuna-Merseburg (3819).</w:t>
      </w:r>
    </w:p>
    <w:p w14:paraId="758414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720AD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 21 июня по 9 августа 1944 состоялась Свирско-Петрозаводская операция - часть Выборгско-Петрозаводской и продвинулись на 110-250 км (2443,108).</w:t>
      </w:r>
    </w:p>
    <w:p w14:paraId="6BA2BF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8 часов утра - ударили ш, а в 8:40 началась артподготовка (3387).</w:t>
      </w:r>
    </w:p>
    <w:p w14:paraId="5DA994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B2F5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июня 1944 была вторая челночная операция американцев Frantic II. 163 Б-17 и 70 Мустангов летели из Англии бомбить Берлин. 137 Б-17 и 63 Мустанга сели в Миргороде и Полтаве и несколько на других аэродромах. Немецкий разведчик заснял аэродромы (1364,42) и наши из-за неразберихи не смогли его сбить (1610,39).</w:t>
      </w:r>
    </w:p>
    <w:p w14:paraId="6588AFE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D08BD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269121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B4866A" w14:textId="77777777" w:rsidR="005112A0" w:rsidRPr="00070ADE" w:rsidRDefault="005112A0"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21 июня</w:t>
      </w:r>
      <w:r w:rsidRPr="00070ADE">
        <w:rPr>
          <w:rFonts w:ascii="Times New Roman" w:hAnsi="Times New Roman"/>
          <w:color w:val="000000" w:themeColor="text1"/>
          <w:sz w:val="16"/>
          <w:szCs w:val="16"/>
        </w:rPr>
        <w:t xml:space="preserve"> в 1944 году бомбардировка Берлина авиацией союзников (14929).</w:t>
      </w:r>
    </w:p>
    <w:p w14:paraId="309549E7" w14:textId="77777777" w:rsidR="005112A0" w:rsidRPr="00070ADE" w:rsidRDefault="005112A0" w:rsidP="00B56F90">
      <w:pPr>
        <w:spacing w:after="0" w:line="240" w:lineRule="auto"/>
        <w:jc w:val="both"/>
        <w:rPr>
          <w:rFonts w:ascii="Times New Roman" w:hAnsi="Times New Roman"/>
          <w:color w:val="000000" w:themeColor="text1"/>
          <w:sz w:val="16"/>
          <w:szCs w:val="16"/>
        </w:rPr>
      </w:pPr>
    </w:p>
    <w:p w14:paraId="2E32DAF4" w14:textId="77777777" w:rsidR="00B02CCE" w:rsidRPr="00070ADE" w:rsidRDefault="00B02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июня 1944 322 британских бомбардировщика пытаются атаковать три немецких пусковых площадки летающих бомб Фау-1 во Франции, но терпят неудачу из-за сильной облачности (20373).</w:t>
      </w:r>
    </w:p>
    <w:p w14:paraId="700682A0" w14:textId="77777777" w:rsidR="00B02CCE" w:rsidRPr="00070ADE" w:rsidRDefault="00B02CCE" w:rsidP="00B56F90">
      <w:pPr>
        <w:spacing w:after="0" w:line="240" w:lineRule="auto"/>
        <w:jc w:val="both"/>
        <w:rPr>
          <w:rFonts w:ascii="Times New Roman" w:hAnsi="Times New Roman"/>
          <w:color w:val="000000" w:themeColor="text1"/>
          <w:sz w:val="16"/>
          <w:szCs w:val="16"/>
        </w:rPr>
      </w:pPr>
    </w:p>
    <w:p w14:paraId="7C1A2BEA" w14:textId="77777777" w:rsidR="00B02CCE" w:rsidRPr="00070ADE" w:rsidRDefault="00B02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21–22 июня (ночь) 1944 271 британский бомбардировщик совершил налет на немецкие заводы по производству синтетического горючего в Весселинге и Гельзенкирхене, Германия. Немецкие ночные истребители перехватывают их, и 45 бомбардировщиков потеряны. Рейды имеют ограниченный успех из-за полной низкой облачности над целями (20373).</w:t>
      </w:r>
    </w:p>
    <w:p w14:paraId="1313B7B5" w14:textId="77777777" w:rsidR="00B02CCE" w:rsidRPr="00070ADE" w:rsidRDefault="00B02CCE" w:rsidP="00B56F90">
      <w:pPr>
        <w:spacing w:after="0" w:line="240" w:lineRule="auto"/>
        <w:jc w:val="both"/>
        <w:rPr>
          <w:rFonts w:ascii="Times New Roman" w:hAnsi="Times New Roman"/>
          <w:color w:val="000000" w:themeColor="text1"/>
          <w:sz w:val="16"/>
          <w:szCs w:val="16"/>
        </w:rPr>
      </w:pPr>
    </w:p>
    <w:p w14:paraId="6A41020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июня 1944 морские пехотинцы США захватили Окинаву (2247,5).</w:t>
      </w:r>
    </w:p>
    <w:p w14:paraId="5AF6A7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752F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июня 1944 началось наступление союзников в Бирме (2247,5).</w:t>
      </w:r>
    </w:p>
    <w:p w14:paraId="01ADA9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D46CAA" w14:textId="77777777" w:rsidR="00B02CCE" w:rsidRPr="00070ADE" w:rsidRDefault="00B02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 июня 1944 основана Copa Airlines как национальная авиакомпания Панамы. Он начнет полеты в августе 1947 года (20373).</w:t>
      </w:r>
    </w:p>
    <w:p w14:paraId="6D597A51" w14:textId="77777777" w:rsidR="00B02CCE" w:rsidRPr="00070ADE" w:rsidRDefault="00B02CCE" w:rsidP="00B56F90">
      <w:pPr>
        <w:spacing w:after="0" w:line="240" w:lineRule="auto"/>
        <w:jc w:val="both"/>
        <w:rPr>
          <w:rFonts w:ascii="Times New Roman" w:hAnsi="Times New Roman"/>
          <w:color w:val="000000" w:themeColor="text1"/>
          <w:sz w:val="16"/>
          <w:szCs w:val="16"/>
        </w:rPr>
      </w:pPr>
    </w:p>
    <w:p w14:paraId="7E4F9AE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4EF6B8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FFF9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 года начальник 7 гл. управления писал письмо Шахурину.</w:t>
      </w:r>
    </w:p>
    <w:p w14:paraId="1C0368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Первый экземпляр дневного скоростного бомбардировщика с двумя моторами АМ-39, конструкции Туполева, выпущенный заводом N 156 в соответствии с приказом НКАП за N 358сс от 27 мая с.г., передан на совместные испытания в НИИ ВВС 31-го мая с.г. - в срок, установленный этим приказом.</w:t>
      </w:r>
    </w:p>
    <w:p w14:paraId="49BDA6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с 1 по 20 июня на самолете совершены 13 полетов, выполнены задания по отработке винтомоторной группы и по снятию скоростей по высотам на 1 и II скоростях ПЦН на номинальном режиме.</w:t>
      </w:r>
    </w:p>
    <w:p w14:paraId="0BAD57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Прилагая справку НИИ ВВС, удостоверяющую своевременное предъявление самолета на совместные испытания, прошу Ваших указаний о выделении заводу N 156 предусмотренных приказом 500 тыс. руб. на премирование наиболее отличившихся рабочих и ИТР при постройке самолета (2562,100).</w:t>
      </w:r>
    </w:p>
    <w:p w14:paraId="13F490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57DC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 на заводе № 21 состоялось совещание по вопросу о качестве продукции, выпускаемой заводом. Проводил зам. НКАП т. Дементьев. Присутствовали Нач. ГУЗ ВВС гл ИАС Селезнев, к-ры и и 2-й ЗАБр, 1-го ЗАП, перегонного полка з-да № 21, представители от НКАП (тт. ПоликовскийХапланов) и з-да № 19, рук. Состав КБ ГК т. Лавочкина, предст. от ГУЗ, рук. состав в/п завода № 21. Докладывали и и к-ры вышеназванных частей о работе матчасти с-тов Ла-5 и мотора АШ-82ФН и качестве выпускаемой продукции:</w:t>
      </w:r>
    </w:p>
    <w:p w14:paraId="4DBDC8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качество с-тов Ла-5, выпускаемых з-дом № 21 начиная с первых чисел мая 1944 значительно ухудшилось. С-ты поступают в 2-ю ЗАБр с большим количеством дефектов, участились случаи аварий и отказов (остановки) моторов даже в воздухе. За май и июнь во 2 ЗАП было 11 случаев прогара и задира поршней (из которых было 6 аварийных моторов), во 2-м ЗАБр - 14 случаев прогара и задира, во 2-м ЗАП было 4 случая неудовлетворительной приемистости и остановки мотора в воздухе.</w:t>
      </w:r>
    </w:p>
    <w:p w14:paraId="04C30E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завводе № 21 были случаи, когда после планирования при Рк 150-180 мм моторы не забирали или забирали с опозданием от 3 до 15 секунд. В полете после уборки газа мотор не забирает и останавливается. Имеются аварии с-тов - причина усадки аппаратов РС-2 (потеря их чувствительности) и заедание рычага золотника РС-2 (регулирование смеси) в положении “нулевой подачи”.</w:t>
      </w:r>
    </w:p>
    <w:p w14:paraId="4A0F4E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Ухудшение пилотажных свойств с-та ФН вследствие несвоевременного и несинхронного срабатывания предкрылков, биение ручки управления.</w:t>
      </w:r>
    </w:p>
    <w:p w14:paraId="485427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совещания т. Дементьев потребовал от директоров з-да № 21 и 19 коренного улучшения качества выпускаемых с-тов и моторов, а т. Селезнев - усиления контроля за качеством с-тов со стороны военной приемки (754,243).</w:t>
      </w:r>
    </w:p>
    <w:p w14:paraId="5F72A8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C39A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 А.И.Ш. писал письмо N Н-8/3054 Нач. 8 ГУ В.П.Кузнецову и директору завода 383 Шадскому и ГК Гришину о том, что в соответствии с актом НИИ ВВС по гос. испытаниям ВИШ с деревянными лопастями ВИШ-327-Д-25 на Ще-2 с М-11Д предлагается срочно изготовить новые лопасти (1824,17).</w:t>
      </w:r>
    </w:p>
    <w:p w14:paraId="06F967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FE82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 года вышел приказ № 338 НКАП:</w:t>
      </w:r>
    </w:p>
    <w:p w14:paraId="46E203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обеспечения ОКБ заводов и институтов НКАП модельной мебелью:</w:t>
      </w:r>
    </w:p>
    <w:p w14:paraId="67A1C8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Директору завода № 164 Андрееву Н.Д. параллельно с производством специального конструкторского оборудования организовать цех по изготовлению модельной мебели (8948).</w:t>
      </w:r>
    </w:p>
    <w:p w14:paraId="449190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6AE93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381F0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F4FC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 начальником артиллерийского управления утвердил разработанный в 1943 году ОКБ-172 технический проект 180/57-мм одноорудийной щитовой установки МУ-1.</w:t>
      </w:r>
    </w:p>
    <w:p w14:paraId="7390405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отличия качающейся части МУ-1 от качающейся части Б-1-П:1) Оригинальный привод затвора.</w:t>
      </w:r>
    </w:p>
    <w:p w14:paraId="000027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Изменена конструкция рамы затвора.</w:t>
      </w:r>
    </w:p>
    <w:p w14:paraId="20FC70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Изменен стопор поршня.</w:t>
      </w:r>
    </w:p>
    <w:p w14:paraId="0F8410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Изменено крепление казенника к кожуху.</w:t>
      </w:r>
    </w:p>
    <w:p w14:paraId="587DE4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Введен пружинный уравновешивающий механизм.</w:t>
      </w:r>
    </w:p>
    <w:p w14:paraId="70C3162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Упрощена технология люльки.</w:t>
      </w:r>
    </w:p>
    <w:p w14:paraId="0736DF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Ствол лейнирован.</w:t>
      </w:r>
    </w:p>
    <w:p w14:paraId="5F2D82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Затвор поршневой двухтактного действия, при открывании затвор откидывался вверх. Открывание затвора производилось от электрического привода, автоматическое включение которого осуществлялось с помощью электроконтакта в конце наката орудия. Электродвигатель привода установлен на фундаменте, закрепленном на левой стороне люльки.</w:t>
      </w:r>
    </w:p>
    <w:p w14:paraId="6FF225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Затвор мог быть открыт при углах +4; +20, если лоток выведен из зоны отката. Автоматическое закрывание затвора производилось при переводе лотка из положения заряжания в положение загрузки.</w:t>
      </w:r>
    </w:p>
    <w:p w14:paraId="378D1B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необходимости нажимом кнопки можно было закрыть затвор на любом угле возвышения.</w:t>
      </w:r>
    </w:p>
    <w:p w14:paraId="3B5701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Досылка производилась пружинным досылателем брускового типа. Взвод досылателя происходил при накате орудия, а спуск поворотом рукояти привода. Досылатель служил для досылки в канал ствола снаряда, уложенного на лоток заряжания. Первая досылка производилась ручным прибойником или взводом досылателя искусственным откатом. Досылка полузаряда производилась вручную.</w:t>
      </w:r>
    </w:p>
    <w:p w14:paraId="13EC16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Серийная установка МУ-1 предназначалась доя стационарных береговых батарей. Кроме того, она могла быть использована для создания временных батарей. В таком случае вместо центральной подачи боеприпасов из перегрузочного отделения предусмотрено приспособления для наружной подноски и загрузки снарядов через окна в броне.</w:t>
      </w:r>
    </w:p>
    <w:p w14:paraId="633AF7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Перегрузочное отделение находилось в бетонном блоке. Толщина бетонного перекрытия погреба 1600 мм. Вместимость погреба 200 выстрелов. Подача боеприпасы только ручная. Через полость боевого штыря проходили из перегрузочного отделения шахта снарядной подачи, зарядная труба, электрокабели и шланги для подачи сжатого воздуха.</w:t>
      </w:r>
    </w:p>
    <w:p w14:paraId="682658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Неподвижное основание опора вращающейся части, служило для крепления ее к закладным частям бетонного блока. Она представляла собой литое кольцо с фланцем и ребрами жесткости.</w:t>
      </w:r>
    </w:p>
    <w:p w14:paraId="2217EE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Прицельные устройства Б-13-1 и ЛБ-13-1. Система ПУС "Москва". Боекомплект и баллистика идентичны Б-1-П. (3861).</w:t>
      </w:r>
    </w:p>
    <w:p w14:paraId="0B3014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DCD5E4" w14:textId="77777777" w:rsidR="00927042" w:rsidRPr="00927042" w:rsidRDefault="00927042" w:rsidP="00B56F90">
      <w:pPr>
        <w:spacing w:after="0" w:line="240" w:lineRule="auto"/>
        <w:jc w:val="both"/>
        <w:rPr>
          <w:rFonts w:ascii="Times New Roman" w:hAnsi="Times New Roman"/>
          <w:color w:val="0070C0"/>
          <w:sz w:val="16"/>
          <w:szCs w:val="16"/>
        </w:rPr>
      </w:pPr>
      <w:r w:rsidRPr="00927042">
        <w:rPr>
          <w:rStyle w:val="aff1"/>
          <w:rFonts w:ascii="Times New Roman" w:hAnsi="Times New Roman" w:cs="Times New Roman"/>
          <w:color w:val="0070C0"/>
          <w:spacing w:val="0"/>
          <w:sz w:val="16"/>
          <w:szCs w:val="16"/>
        </w:rPr>
        <w:lastRenderedPageBreak/>
        <w:t>22 июня 1944 г. начальник Артуправления утвердил технический проект 180 мм установки МУ-2 ОКБ-172 (25437).</w:t>
      </w:r>
    </w:p>
    <w:p w14:paraId="6C063A5B" w14:textId="77777777" w:rsidR="00927042" w:rsidRPr="00927042" w:rsidRDefault="00927042" w:rsidP="00B56F90">
      <w:pPr>
        <w:spacing w:after="0" w:line="240" w:lineRule="auto"/>
        <w:jc w:val="both"/>
        <w:rPr>
          <w:rFonts w:ascii="Times New Roman" w:hAnsi="Times New Roman"/>
          <w:color w:val="0070C0"/>
          <w:sz w:val="16"/>
          <w:szCs w:val="16"/>
        </w:rPr>
      </w:pPr>
    </w:p>
    <w:p w14:paraId="4E97BB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 вышло Распоряжение ГКО № 6083. О сформировании подразделений для судоподъемных и гидротехнических работ в Севастополе. РГАНИР, Фонд ГКО, д. 265, лл. 130 (11012).</w:t>
      </w:r>
    </w:p>
    <w:p w14:paraId="2DF4692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47261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 вышло Распоряжение ГКО № 6084. О мерах по обеспечению производства корпусов 37 мм подкалиберных снарядов к авиадесантной пушке. РГАНИР, Фонд ГКО, д. 265, лл. 131 (11012).</w:t>
      </w:r>
    </w:p>
    <w:p w14:paraId="032543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797BE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 вышло Распоряжение ГКО № 6085. Об обеспечении материалами ремонта 1,5 тыс. электромоторов НКУП в Кузбассе. РГАНИР, Фонд ГКО, д. 265, лл. 132,133 (11012).</w:t>
      </w:r>
    </w:p>
    <w:p w14:paraId="2369A1E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675A5F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 вышло Постановление ГКО № 6086 Об изготовлении деревянных пролетных строений для восстановления железнодорожных мостов. (7242, 134-136).</w:t>
      </w:r>
    </w:p>
    <w:p w14:paraId="0A6CB64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9A329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 вышло Распоряжение ГКО № 6087 [О передаче НКВД импортного турбоагрегата для Интастроя с Рубежанского химического комбината НКХП.] (7242, 137).</w:t>
      </w:r>
    </w:p>
    <w:p w14:paraId="419482E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6FD2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 вышло Распоряжение ГКО № 6088. Об освобождении завода № 549 НКБ от изготовления во II кв. замков направляющих для установки М-13. РГАНИР, Фонд ГКО, д. 265, лл. 138 (11012).</w:t>
      </w:r>
    </w:p>
    <w:p w14:paraId="51F51E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399BC8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 г. вышло распоряжение ГКО № 6088 об освобождении завода (Завод № 549 НКБ /г. Челябинск/) во 2-м квартале от изготовления замков направляющих для М-13.</w:t>
      </w:r>
    </w:p>
    <w:p w14:paraId="7BE382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Площадь (1943 г.): производственная- 2439 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 вспомогательная- 450 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w:t>
      </w:r>
    </w:p>
    <w:p w14:paraId="620BBC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(12.1942 г.)- 1176 чел.</w:t>
      </w:r>
    </w:p>
    <w:p w14:paraId="773F58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(04.1943 г.)- Ильин, (11.1943 г.)- Заикин.</w:t>
      </w:r>
    </w:p>
    <w:p w14:paraId="5420CF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Начальники отделов: планового (04.1943 г.)- Самойлов.</w:t>
      </w:r>
    </w:p>
    <w:p w14:paraId="09B8A1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iCs/>
          <w:color w:val="000000" w:themeColor="text1"/>
          <w:sz w:val="16"/>
          <w:szCs w:val="16"/>
        </w:rPr>
        <w:t>Производство:</w:t>
      </w:r>
      <w:r w:rsidRPr="00070ADE">
        <w:rPr>
          <w:rFonts w:ascii="Times New Roman" w:hAnsi="Times New Roman"/>
          <w:color w:val="000000" w:themeColor="text1"/>
          <w:sz w:val="16"/>
          <w:szCs w:val="16"/>
        </w:rPr>
        <w:t xml:space="preserve"> корпуса снарядов; узлы М-13; станок Т-50 (1943) (11982).</w:t>
      </w:r>
    </w:p>
    <w:p w14:paraId="0B198A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DD08A5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 Поднят флаг ВМФ СССР на 8-м стотоннике балтийцев (построен за 8 мес.) (10671).</w:t>
      </w:r>
    </w:p>
    <w:p w14:paraId="745882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29EBFB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F2E00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D769EE"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в 1944 году оперативная сводка Совинформбюро:</w:t>
      </w:r>
    </w:p>
    <w:p w14:paraId="5D0797FD"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22 июня севернее Онежского озера наши войска продолжали вести наступательные бои, в ходе которых отбросили противника за линию Остер-Озеро и реку Кумса, заняв Великую Губу и железнодорожные станции Ванзозеро, Малыга, Лумбушозеро (на Мурманской железной дороге).</w:t>
      </w:r>
    </w:p>
    <w:p w14:paraId="075EBE86"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Между Онежским и Ладожским озёрами наши войска, сломив сопротивление противника, овладели районным центром Ленинградской области Подпорожье и вели успешные бои по расширению плацдарма на северном берегу реки Свирь в районе Лодейного Поля, заняв при этом населённые пункты Назарьевская, Старая и Новая Свирьская Слобода.</w:t>
      </w:r>
    </w:p>
    <w:p w14:paraId="58BFC696"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Карельском перешейке наши войска, преодолевая сопротивление противника, продолжали вести наступательные бои, в ходе которых заняли несколько населённых пунктов и среди них — Лапинлахти, Репола, Лехтола и железнодорожная станция Тали.</w:t>
      </w:r>
    </w:p>
    <w:p w14:paraId="50325344"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остальных участках фронта — без перемен.</w:t>
      </w:r>
    </w:p>
    <w:p w14:paraId="35B12B53"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21 июня на всех фронтах в воздушных боях и огнём зенитной артиллерии сбито 73 самолёта противника.</w:t>
      </w:r>
    </w:p>
    <w:p w14:paraId="68D7DDE6"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Между Онежским и Ладожским озёрами наши войска продолжали наступление. Части Н-ского соединения решительными ударами сломили сопротивление противника и овладели районным центрам Ленинградской области Подпорожьем. На поле боя осталось много трупов финских солдат. Захвачены пленные и трофеи. Наши части, переправившиеся вчера на северный берег реки Свирь, вели успешные бои по расширению плацдарма. Решительной атакой советские воины выбили финнов из сильно укреплённых позиций и заняли три населённых пункта. Бойцы Н-ской части истребили 450 вражеских солдат и офицеров, захватили 7 орудий, 15 пулемётов и два склада боеприпасов.</w:t>
      </w:r>
    </w:p>
    <w:p w14:paraId="3C68BD16"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Карельском перешейке части Н-ского соединения, преодолевая сопротивление противника, заняли несколько населённых пунктов и уничтожили 800 финских солдат и офицеров. Захвачено 2 крупных оклада с обмундированием и снаряжением, 40 вагонов с военными грузами, 16 орудий, 30 пулемётов и много боеприпасов. На другом участке наша часть умелым обходным манёвром отрезала пути отхода остаткам разгромленных частей противника и истребила до 500 финнов. Группа разведчиков во главе со старшим сержантом Брагиным проникла в тыл врага и обнаружила 5 финских танков, находившихся в засаде. Разведчики связались с нашим танковым подразделением и вместе с танкистами внезапно напали на экипажи вражеских машин. Финские танкисты были перебиты, пять исправных танков захвачены нашими бойцами. Группа красноармейцев подразделения старшего лейтенанта Трофимова окрутила и уничтожила подразделение финских солдат, захватив при этом 3 танка и несколько крупнокалиберных пулемётов.</w:t>
      </w:r>
    </w:p>
    <w:p w14:paraId="192ACA7D"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наносила удары по скоплениям финских войск и уничтожила 70 автомашин и 30 повозок с войсками и грузами. В результате концентрированных ударов советских бомбардировщиков и штурмовиков по узловым железнодорожным станциям разбито и сожжено более 350 вагонов и платформ. Лётчики-истребители в воздушных боях сбили 1.5 немецких и финских самолётов. Герой Советского Союза капитан Лихолетов за два дня сбил 4 самолёта противника.</w:t>
      </w:r>
    </w:p>
    <w:p w14:paraId="19A6DA8E"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Краснознамённого Балтийского флота атаковала корабли противника в Выборгском заливе. Потоплены транспорт, водоизмещением в 1.000 тонн, 4 быстроходные десантные баржи и сторожевой катер. Несколько вражеских кораблей и барж повреждено. В воздушных боях сбито семь самолётов противника.</w:t>
      </w:r>
    </w:p>
    <w:p w14:paraId="311B3574"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Юго-восточнее города Витебск пехота противника на рассвете предприняла разведку боем. Находившееся в боевом охранении стрелковое отделение гвардии старшего сержанта Ерёменко встретило врага огнём из пулемётов и автоматов. Гвардии рядовой Малышев бросил гранату и убил 9 гитлеровцев. Несмотря на значительное численное превосходство, противник не добился успеха и был вынужден отойти, оставив на подступах к нашей траншее 25 трупов своих солдат и офицеров. Снайперы подразделения старшего лейтенанта Борового за десять дней истребили больше 50 гитлеровцев. Снайпер Поддубный уничтожил 11 немцев, снайпер Карауш— 11, снайпер Липатов — 10.</w:t>
      </w:r>
    </w:p>
    <w:p w14:paraId="7BDE81FF"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партизанских отрядов, действующих в Барановичской области, в мае пустили под откос 27 немецких воинских эшелонов и взорвали свыше 1.000 рельсов. Разбито 25 паровозов, 52 вагона с войсками и 120 вагонов и платформ с различными военными грузами. Партизаны взорвали 10 шоссейных мостов и вырезали 19 километров телеграфно-телефонной линии связи. В боях с немецкими захватчиками убито 800 и ранено более 700 гитлеровцев.</w:t>
      </w:r>
    </w:p>
    <w:p w14:paraId="222E1231"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Пленные румынские офицеры сообщают, что немцы окончательно прибрали к своим рукам государственный аппарат Румынии и все звенья управления румынской армией. Оккупация гитлеровцами Румынии проводится самым наглым и беззастенчивым образом. Пленный командир 87 румынской эскадрильи бомбардировщиков капитан Флориан Сучевяну рассказал: «Немцы безраздельно хозяйничают в Румынии. Во всех штабах сверху донизу сидят немцы. Они фактически командуют румынскими частями. Румынское командование существует только для видимости. Ко мне прикомандировали в качестве советника с неограниченными правами немецкого лейтенанта. Он стал полновластным хозяином эскадрильи. Несмотря на то, что он лейтенант, а я капитан, мне приказано во всём повиноваться ему. Он во всё вмешивался и бесцеремонно отменял мои приказы. Так обстоит дело во всей румынской армии. Немцы захватили власть в свои руки и помыкают румынскими офицерами». Перешедший на сторону Красной Армии командир одной из рот 3 румынской пехотной дивизии капитан Ион Б. сообщил: «Во все подразделения дивизии прислали немецких инструкторов и контролёров. Ко мне в роту назначили немецкого фельдфебеля. Это типичный гестаповский шпик. Каждое утро он заявлялся в роту и выяснял, о чём говорят офицеры и солдаты. Всюду фельдфебель совал свой нос, следил за каждым шагом офицеров, делал им замечания. Мы очень возмущались поведением этого наглого немца. Офицеры жаловались мне, но я был бессилен что-либо сделать» (14930).</w:t>
      </w:r>
    </w:p>
    <w:p w14:paraId="5C7CB3B2" w14:textId="77777777" w:rsidR="00061B7B" w:rsidRPr="00070ADE" w:rsidRDefault="00061B7B" w:rsidP="00B56F90">
      <w:pPr>
        <w:spacing w:after="0" w:line="240" w:lineRule="auto"/>
        <w:jc w:val="both"/>
        <w:rPr>
          <w:rFonts w:ascii="Times New Roman" w:hAnsi="Times New Roman"/>
          <w:color w:val="000000" w:themeColor="text1"/>
          <w:sz w:val="16"/>
          <w:szCs w:val="16"/>
        </w:rPr>
      </w:pPr>
    </w:p>
    <w:p w14:paraId="3706A1F6"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в 1944 году Совинформбюро опубликовало документ «Три года Отечественной войны Советского Союза (военные и политические итоги)»:</w:t>
      </w:r>
    </w:p>
    <w:p w14:paraId="14801C3B"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«Сегодня исполнилось три года со дня злодейского нападения разбойничьих немецко-фашистских банд на Советский Союз. Три года советский народ мужественно ведёт Отечественную войну против наглых захватчиков. Народы нашей страны с первых дней войны единодушно поднялись на защиту своего Отечества. Красная Армия в тяжёлых кровопролитных боях на фронте в три тысячи километров сдерживала многомиллионную, оснащённую новейшей военной техникой, немецко-фашистскую армию, наносила ей огромный урон в людях и вооружении. Военная фашистская машина, огнём и мечом прошедшая по городам и сёлам десяти европейских стран, в боях против нашей армии дала осечку.</w:t>
      </w:r>
    </w:p>
    <w:p w14:paraId="11C7D050"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Уже в первый год войны Красная Армия учинила немцам побоище под Москвой, разгромив отборные ударные вражеские войска. За последние полтора года, со времени разгрома немецко-фашистских войск под Сталинградом, враг уже не смог оправиться. Советские войска, развернув наступление по всему фронту, взломали </w:t>
      </w:r>
      <w:r w:rsidRPr="00070ADE">
        <w:rPr>
          <w:rFonts w:ascii="Times New Roman" w:hAnsi="Times New Roman"/>
          <w:color w:val="000000" w:themeColor="text1"/>
          <w:sz w:val="16"/>
          <w:szCs w:val="16"/>
        </w:rPr>
        <w:lastRenderedPageBreak/>
        <w:t>мощные оборонительные системы немцев под Сталинградом, Орлом, Смоленском, Ленинградом, на реке Миус, на Днепре, под Перекопом, Севастополем, на Карельском перешейке, на реке Свирь, форсировали крупные водные преграды - Дон, Северный Донец, Десну, Волхов, Днепр, Южный Буг, Днестр, Прут, Серет, Нарву, Свирь и показали тем самым, что все валы и крепости, о которых так много болтали гитлеровцы, не могут устоять, если за разрушение и преодоление этих валов и крепостей всерьёз берутся испытанные и закалённые в боях войска.</w:t>
      </w:r>
    </w:p>
    <w:p w14:paraId="398F4E7A"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Умелой стратегией Верховного Главнокомандования, продуманной и решительной тактикой советских генералов и офицеров, геройством и воинским мастерством своих воинов, наконец, своей могучей военной техникой Красная Армия нанесла ряд серьёзных поражений объединённым отборным армиям немцев, итальянцев, румын, венгров, финнов. Навсегда войдут в историю великие победы наших войск под Москвой, Сталинградом и на Кавказе, под Орлом и Смоленском, под Ленинградом и в Донбассе, на Днепре и в Крыму, в районах Правобережной Украины, Днестра и на Карельском перешейке.</w:t>
      </w:r>
    </w:p>
    <w:p w14:paraId="49C267C0"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наступательных боёв советские войска освободили около полутора миллионов квадратных километров оккупированной врагом территории, продвинулись на запад почти на 2.000 километров, вышли на большом протяжении фронта к нашим границам и вступили на территорию Румынии. Победы Красной Армии принесли освобождение от фашистской неволи миллионам советских людей. Наши войска лишили немцев источников промышленного сырья и продовольствия в оккупированных ими областях, а "жизненное пространство" на востоке, о котором мечтали гитлеровцы, стало могилой миллионов немецких солдат, гигантским кладбищем фашистской военной техники.</w:t>
      </w:r>
    </w:p>
    <w:p w14:paraId="42130AE4"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Огромную помощь в борьбе против немецко-фашистских захватчиков оказали Красной Армии доблестные советские партизаны. В течение трёх лет войны они громили тылы и штабы врага, разрушали его коммуникации и связь, беспощадно истребляли немецко-фашистских мерзавцев. Советские партизаны спасли много тысяч советских людей от истребления и угона их в фашистское рабство.</w:t>
      </w:r>
    </w:p>
    <w:p w14:paraId="6F959402"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три года войны немецко-фашистские войска в боях на советско-германском фронте потеряли более 7.800.000 солдат и офицеров убитыми и пленными, до 70.000 танков, 60.000 самолётов, более 90.000 орудий.</w:t>
      </w:r>
    </w:p>
    <w:p w14:paraId="585BFFFE"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это же время потери наших войск составили 5.300 тысяч человек убитыми, пленными и пропавшими без вести, 49.000 танков, 30.128 самолётов, 48.000 орудий.</w:t>
      </w:r>
    </w:p>
    <w:p w14:paraId="5C78A96F"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Успехам Красной Армии в значительной мере содействовали наши союзники, Соединённые Штаты Америки и Великобритания, которые снабжали нас весьма ценным стратегическим сырьём и вооружением, подвергали систематической бомбардировке военные объекты Германии и подрывали, таким образом, военную мощь последней.</w:t>
      </w:r>
    </w:p>
    <w:p w14:paraId="1C08F253"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Красная Армия, сорвав в первый период Отечественной войны гитлеровские планы молниеносной войны, опрокинула и похоронила в последующий период оборонительную стратегию врага, его расчёты на закрепление захваченных советских территорий. Немецко-фашистская армия оказалась битой и стоит теперь перед полным разгромом.</w:t>
      </w:r>
    </w:p>
    <w:p w14:paraId="1E451C51"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Таков военный итог истекших трёх лет Отечественной войны.</w:t>
      </w:r>
    </w:p>
    <w:p w14:paraId="5C5C11D0"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Развязывая войну против Советского Союза, гитлеровские империалисты предполагали, что первые же военные неудачи Красной Армии подорвут доверие народных масс нашей страны к своей власти, посею рознь между народами СССР, расшатают союз рабочих, крестьян и ин-1еллигенции, на котором основано советское государство. На деле же оказалось, что трудности военного времени лишь сплотили тружеников советского тыла, ещё крепче соединили их со своей народной советской властью. Дружба между народами Советского Союза в ходе Отечественной войны окрепла и закалилась как сталь. Союз рабочих, крестьян и интеллигенции, основанный на жизненных интересах тружеников советского общества, ещё больше упрочился.</w:t>
      </w:r>
    </w:p>
    <w:p w14:paraId="53242FDA"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Немецкие изверги рассчитывали также на неспособность советской промышленности справиться с трудными задачами производства современного вооружения в массовых масштабах, на неспособность нашего транспорта справиться с военными перевозками, а сельского хозяйства - со снабжением армии и народа продовольствием и промышленным сырьём. Но эти планы немецких горе-завоевателей лопнули как мыльный пузырь. В результате трёх лет воины оказалась истощённой не экономика Советского Союза, а экономика гитлеровской Германии. Поражения, понесённые немцами на советско-германском фронте, и удары союзной авиации подорвали военно-экономическую мощь Германии. В то же время промышленность, транспорт и сельское хозяйство советской страны успешно выдержали испытания войны. Советский народ не щадит своих сил во имя защиты Родины и воодушевлён решимостью грудью отстоять созданное им советское государство от всех посягательств врага. Отечественная война вызвала небывалый патриотический подъём народов, неиссякаемую творческую энергию народных масс, направленную на поддержку Красной Армии. Ныне, на пороге четвёртого года войны, Советский Союз обладает могучим военным хозяйством, которое удовлетворяет потребности Красной Армии в вооружении, боеприпасах, продовольствии и снаряжении. Советские рабочие, колхозники, интеллигенция поставив на службу фронта народное хозяйство Советского Союза, обеспечили Красную Армию всем необходимым для победы. Былое превосходство врага в количестве танков и авиации осталось позади, а экономические возможности Советского Союза растут изо дня в день.</w:t>
      </w:r>
    </w:p>
    <w:p w14:paraId="2E4CAF7D"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советский народ опрокинул все расчёты врага на непрочность советского строя.</w:t>
      </w:r>
    </w:p>
    <w:p w14:paraId="4EF51A76"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Советское государство, основанное на нерушимом братском содружестве народов, в ходе войны окрепло и упрочилось, а фашистское государство, основанное на угнетении народов, не выдержало испытаний войны и стоит перед неминуемой катастрофой.</w:t>
      </w:r>
    </w:p>
    <w:p w14:paraId="2C0508B8"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Таков политический итог истекших трёх лет Отечественной войны.</w:t>
      </w:r>
    </w:p>
    <w:p w14:paraId="582C4B3E"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Три года назад гитлеровцы считали себя повелителями Европы. Порабощая страны Западной Европы, Германия вовлекла в разбойничий союз Италию, Румынию, Финляндию, Венгрию, Болгарию. Насаждая и поддерживая свою агентуру в нейтральных государствах, она оказывала на них сильное давление и добилась серьёзных уступок с их стороны в свою пользу. Гитлеровская Германия угрожала жизни и безопасности всех народов мира. Свободолюбивые народы тогда лишь начинали объединяться в единый антигитлеровский лагерь. Фактически наша страна одна выдерживала натиск всех сил гитлеровской Германии и её сообщников.</w:t>
      </w:r>
    </w:p>
    <w:p w14:paraId="364F5F8B"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Теперь положение в корне изменилось. Ныне не гитлеровская Германия наступает и одерживает успехи, как то было три года назад, а, наоборот, вооружённые силы союзных государств всюду бьют и теснят немецко-фашистских захватчиков. Союзные государства превосходят врага в количестве и качестве войск и вооружения.</w:t>
      </w:r>
    </w:p>
    <w:p w14:paraId="1E111F0E"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Единство союзных государств ныне прочно, как никогда. Союзные государства имеют согласованные планы полного разгрома вооружённых сил гитлеровской Германии.</w:t>
      </w:r>
    </w:p>
    <w:p w14:paraId="11E12179"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Блестяще осуществлённое вторжение британских и американских войск в Северную Францию, успешное наступление союзных войск в Италии означает, что отныне Германии придётся воевать на территории Европы, как против Красной Армии, так и против войск наших союзников - Англии и США. Теперь, когда общие усилия Красной Армии и армий наших союзников направлены непосредственно на освобождение порабощённых немцами стран, когда войска объединённых наций железной рукой берут за горло гитлеровскую Германию и её вассалов в Европе, гитлеровская банда уже никакими мерами не может предотвратить своё неминуемое и полное поражение.</w:t>
      </w:r>
    </w:p>
    <w:p w14:paraId="04CDDA14"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Теперь всем ясно, что гитлеровцы, замышлявшие покорить весь мир, взялись за непосильную задачу. Положение гитлеровской клики напоминает судьбу той лягушки из басни Крылова, которая затеяла в дородстве с волом сравняться, начала пыхтеть и надуваться, но с натуги лопнула и околела.</w:t>
      </w:r>
    </w:p>
    <w:p w14:paraId="6833F0CD"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Разбойничий фашистский блок разваливается. Фашистская Германия в результате тяжёлых военных поражений очутилась на краю гибели. Италия, бывшая союзница Германии, ныне ведёт борьбу против немецких империалистов. Преступная правящая клика Финляндии, отвергнув в угоду Гитлеру великодушные мирные предложения Советского Союза, фактически уже привела Финляндию к военной катастрофе. Другие вассалы Гитлера - Румыния, Венгрия, Болгария висят над пропастью. Сообщники фашистской Германии в Европе имели достаточно времени и все необходимые условия, чтобы порвать с Германией и избавить свои страны от разорения и опустошительной войны. Однако сообщники гитлеровцев слишком прочно срослись с разбойничьей гитлеровской шайкой и не заботятся о судьбах своих народов. Финские, румынские, венгерские, болгарские холопы Гитлера предпочитают действовать в ущерб интересам народов своих стран и в году фашистской Германии. Гитлеровские холопы довели дело до того, что их страны оккупированы немецкими войсками. Стремясь оттянуть перенесение войны на территорию Германии, гитлеровцы превратили Финляндию, Венгрию, Румынию, Болгарию в предполье обороны Германии. Однако народы этих стран, правители которых продались гитлеровцам, имеют теперь возможность при поддержке вооружённых сил союзных государств изгнать немецких оккупантов и их приспешников из своих стран. Только таким путём народы подвассальных Гитлеру стран могут завоевать себе право на свободу.</w:t>
      </w:r>
    </w:p>
    <w:p w14:paraId="2BA9E9E0"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Хозяйничание гитлеровцев в Европе воочию показало, что фашисты являются душителями свободы и независимости народов. В то же время армии объединённых наций идут в Европу как избавители народов от гитлеровской тирании и вступают на земли угнетённых фашистами стран с целью восстановления свободы и независимости народов. Именно поэтому порабощённые немцами народы оказывают теперь и будут впредь оказывать всё возрастающую поддержку вооружённым силам объединённых наций.</w:t>
      </w:r>
    </w:p>
    <w:p w14:paraId="307E0474"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в ходе войны полностью провалились все внешнеполитические расчёты и планы гитлеровских захватчиков-империалистов, гитлеровский разбойничий блок обанкротился, а союз свободолюбивых народов вырос в несокрушимую силу и имеет теперь все возможности разрушить разбойничье гнездо фашистских агрессоров в Европе, покарать виновников страданий и бедствия народов, пресечь возможность повторения захватнических войн.</w:t>
      </w:r>
    </w:p>
    <w:p w14:paraId="6D7D93F4"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Таков внешнеполитический итог трёх лет войны.</w:t>
      </w:r>
    </w:p>
    <w:p w14:paraId="05A1F23A"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Военные и политические итоги трёх лет войны со всей очевидностью говорят о том, что гитлеровская Германия уже проиграла войну и близится час её полного разгрома.</w:t>
      </w:r>
    </w:p>
    <w:p w14:paraId="30D654D7"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Армии СССР, Великобритании и США со всех сторон штурмом пробивают себе путь к важнейшим жизненным центрам фашистской Германии и не за горами время, когда будет возвещено о торжестве этих усилий. Война теперь идет к концу. Но оставшаяся часть пути к полной победе будет нелёгкой. Война вступила в самую ожесточённую, решающую и наиболее трудную фазу. Подбитый и затравленный фашистский зверь будет яростно огрызаться. Чем ближе фронт придвигается к жизненным центрам Германии, тем упорнее будет сопротивление гитлеровцев.</w:t>
      </w:r>
    </w:p>
    <w:p w14:paraId="298197AB"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Потребуется ещё несколько могучих ударов, чтобы окончательно сокрушить и повергнуть врага в прах.</w:t>
      </w:r>
    </w:p>
    <w:p w14:paraId="6BA4539C"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Понятно, что выполнить эти задачи можно лишь совместными решительными действиями армий всех союзных стран, своевременным введением в активные бои против гитлеровской Германии и её вассалов основных вооружённых сил, которыми располагают объединённые нации.</w:t>
      </w:r>
    </w:p>
    <w:p w14:paraId="1A28755F"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Можно не сомневаться, что союзные государства, поставившие целью спасти мир от фашистских погромщиков, введут в действие все свои силы для достижения этой великой цели.» (14930).</w:t>
      </w:r>
    </w:p>
    <w:p w14:paraId="1D2B6DFE" w14:textId="77777777" w:rsidR="00061B7B" w:rsidRPr="00070ADE" w:rsidRDefault="00061B7B" w:rsidP="00B56F90">
      <w:pPr>
        <w:spacing w:after="0" w:line="240" w:lineRule="auto"/>
        <w:jc w:val="both"/>
        <w:rPr>
          <w:rFonts w:ascii="Times New Roman" w:hAnsi="Times New Roman"/>
          <w:color w:val="000000" w:themeColor="text1"/>
          <w:sz w:val="16"/>
          <w:szCs w:val="16"/>
        </w:rPr>
      </w:pPr>
    </w:p>
    <w:p w14:paraId="262770C2"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в 1944 году немецкая авиация в ходе массированного авианалета уничтожила 47 американских самолётов на авиабазе в Полтаве (14930).</w:t>
      </w:r>
    </w:p>
    <w:p w14:paraId="521D80E4" w14:textId="77777777" w:rsidR="00061B7B" w:rsidRPr="00070ADE" w:rsidRDefault="00061B7B" w:rsidP="00B56F90">
      <w:pPr>
        <w:spacing w:after="0" w:line="240" w:lineRule="auto"/>
        <w:jc w:val="both"/>
        <w:rPr>
          <w:rFonts w:ascii="Times New Roman" w:hAnsi="Times New Roman"/>
          <w:color w:val="000000" w:themeColor="text1"/>
          <w:sz w:val="16"/>
          <w:szCs w:val="16"/>
        </w:rPr>
      </w:pPr>
    </w:p>
    <w:p w14:paraId="50E690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 немцы организовали массированный ночной налет на Полтаву, а на следующую ночь - на Миргород. В Полтаве были уничтожены 44 "Крепости" и еще 24 повреждены. Все машины, признанные непригодными для восстановления, впоследствии бросили па аэродромах. "Челночные" операции продолжались до 19 сентября, когда фронт уже ушел далеко на запад и использование баз на Украине стало нецелесообразным (3457,112).</w:t>
      </w:r>
    </w:p>
    <w:p w14:paraId="383FB1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88E6F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 немецкая авиация в ходе массированного авианалета уничтожила 47 американских самолетов на авиабазе в Полтаве (4962).</w:t>
      </w:r>
    </w:p>
    <w:p w14:paraId="65119AC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9457BE" w14:textId="77777777" w:rsidR="00B02CCE" w:rsidRPr="00070ADE" w:rsidRDefault="00B02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22 июня 1944 года 180 «хейнкелей» из 4-й, 27-й, 53-й и 55-й эскадр обрушились на Полтавский аэроузел, на котором приземлились после очередной «челночной» операции 199 американских самолетов. Было сброшено более 100 тонн бомб, без собственных потерь уничтожив 41 бомбардировщик В-17, 1 истребитель Р-38, 2 транспортных С-47 и 15 советских самолетов. Аэродром Миргород, также использовавшийся американцами, противник не нашел, но и взлетевшие на перехват наши Як-9 и «киттихауки» 310-й авиадивизии ПВО вообще не обнаружили вражескую армаду. Удар по Полтавскому аэроузлу был последним большим успехом Не.111, который привел к свертыванию крупных «челночных» операций американской бомбардировочной авиации с советских аэродромов. Но обстановка на фронтах уже не позволяла вести стратегические операции устаревшим Не.111. Они все чаще использовались против ближних целей, так было при штурме советскими войсками Бреслау и Будапешта. К началу 1945 года Люфтваффе полностью потеряли способность наносить бомбовые удары по стратегическим объектам Союзников (22822).</w:t>
      </w:r>
    </w:p>
    <w:p w14:paraId="08F70099" w14:textId="77777777" w:rsidR="00B02CCE" w:rsidRPr="00070ADE" w:rsidRDefault="00B02CCE" w:rsidP="00B56F90">
      <w:pPr>
        <w:spacing w:after="0" w:line="240" w:lineRule="auto"/>
        <w:jc w:val="both"/>
        <w:rPr>
          <w:rFonts w:ascii="Times New Roman" w:hAnsi="Times New Roman"/>
          <w:color w:val="000000" w:themeColor="text1"/>
          <w:sz w:val="16"/>
          <w:szCs w:val="16"/>
        </w:rPr>
      </w:pPr>
    </w:p>
    <w:p w14:paraId="6F6B80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(21 - 438,909) июня 1944, а на самом деле в ночь с 21 на 22 июня немцы разбомбили 137 американских бомбардировщиков и 62 истребителя в Полтаве, которые прилетели туда 21 июня. Вывели из строя 44 американских (Крепостей + 2 С-47, 1 Лайтнинг и 25 крепостей повредили - 1610,42) и 15 советских самолетов. После этого стали прилетать лишь небольшие группы (340,188). Было до 180 Не-111 и сбросили 100 т бомб. Наши истребители опять не работали, так как не было прожекторов, да и штаб ПВО разбомбили одним из первых. Зато 22 Миргород немцы не нашли и бомбили только 23, когда самолеты оттуда были эвакуированы (1610,40).</w:t>
      </w:r>
    </w:p>
    <w:p w14:paraId="0A2643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C другой стороны, в ночь с 21 на 22 июня 1944 при отражении налета немцев на американскую авиабазу в Миргороде, когда были поднятые по тревоге истребители Р-40 "Киттихок" 310 дивизии ПВО, темной безлунной ночью не смогли обнаружить ни одного из самолетов немецкого соединения. С 1943 года основной поток "Киттихоков" пошел в систему ПВО. Для этою имелись свои основания. У нас хотели в первую очередь использовать плюсы этого самолета - мощное вооружение (хотя но секундному залпу Р-40Е несколько уступал немецкому FW 190A-3 п английскому "Спитфайру" VС, но тем не менее превосходил и Мессершмитт Bf 109F, и американский P-39D), большую дальность и продолжительность полета, живучесть, хорошее (но советским меркам того времени) радио- и приборное оборудование. Поэтому основными сферами его применения стали прикрытие городов и важных объектов в системе ПВО, сопровождение бомбардировщиков и торпедоносцев, самостоятельные бомбовые п штурмовые удары, авиаразведка. Наши летчики относились к "Киттихауку" двояко. С одной стороны, его безусловно ставили выше "Харрикейна", с другой - на практике ощущали недостаточность его возможностей в воздушном бою. Не очень пригодный для боя с вражескими истребителями, "Киттихаук" за счет скорости и мощного вооружения мог эффективно бороться с бомбардировщиками противника. Выше 4500 м P-40Е. обгонял Як-1. хотя мотор V-1710 на Западе считался низко-высотным. Большая продолжительность полета на крейсерском режиме позволяла барражировать над охраняемым объектом или районом. "Киттихаук" имел дна основных недостатка как перехватчик - небольшой потолок и плохую скороподъемность. Тем ни менее, он использовался и днем, и ночью. Отсутствие каких-либо устройств обнаружения целей в темноте не позволяло нести самостоятельный поиск при отсутствии видимости, a навигационное оснащение затрудняло выполнение команд с наземною поста наведения из-за трудностей с ориентацией (3457,66).</w:t>
      </w:r>
    </w:p>
    <w:p w14:paraId="78F82F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E2C2EF"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 г. немцы организовали массирован</w:t>
      </w:r>
      <w:r w:rsidRPr="00070ADE">
        <w:rPr>
          <w:rFonts w:ascii="Times New Roman" w:hAnsi="Times New Roman"/>
          <w:color w:val="000000" w:themeColor="text1"/>
          <w:sz w:val="16"/>
          <w:szCs w:val="16"/>
        </w:rPr>
        <w:softHyphen/>
        <w:t>ный ночной налет на Полтаву, а на сле</w:t>
      </w:r>
      <w:r w:rsidRPr="00070ADE">
        <w:rPr>
          <w:rFonts w:ascii="Times New Roman" w:hAnsi="Times New Roman"/>
          <w:color w:val="000000" w:themeColor="text1"/>
          <w:sz w:val="16"/>
          <w:szCs w:val="16"/>
        </w:rPr>
        <w:softHyphen/>
        <w:t>дующую ночь — на Миргород. В Полтаве были уничтожены 44 «Крепости» и еще 24 повреждены. Все машины, признан</w:t>
      </w:r>
      <w:r w:rsidRPr="00070ADE">
        <w:rPr>
          <w:rFonts w:ascii="Times New Roman" w:hAnsi="Times New Roman"/>
          <w:color w:val="000000" w:themeColor="text1"/>
          <w:sz w:val="16"/>
          <w:szCs w:val="16"/>
        </w:rPr>
        <w:softHyphen/>
        <w:t>ные непригодными для восстановления, впоследствии бросили на аэродромах. «Челночные» операции продолжались до 19 сентября, когда фронт уже ушел далеко на запад и использование баз на Украине стало нецелесообразным (23513).</w:t>
      </w:r>
    </w:p>
    <w:p w14:paraId="235D4795" w14:textId="77777777" w:rsidR="001C663D" w:rsidRPr="00070ADE" w:rsidRDefault="001C663D" w:rsidP="00B56F90">
      <w:pPr>
        <w:spacing w:after="0" w:line="240" w:lineRule="auto"/>
        <w:jc w:val="both"/>
        <w:rPr>
          <w:rFonts w:ascii="Times New Roman" w:hAnsi="Times New Roman"/>
          <w:color w:val="000000" w:themeColor="text1"/>
          <w:sz w:val="16"/>
          <w:szCs w:val="16"/>
        </w:rPr>
      </w:pPr>
    </w:p>
    <w:p w14:paraId="643331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 в сводке Совинформбюро сообщили, что немцы потеряли 60 тыс. самолетов (271,220).</w:t>
      </w:r>
    </w:p>
    <w:p w14:paraId="1B0141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440D76" w14:textId="77777777" w:rsidR="00061B7B" w:rsidRPr="00070ADE" w:rsidRDefault="00061B7B" w:rsidP="00B56F90">
      <w:pPr>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rPr>
        <w:t xml:space="preserve">22 июня в 1944 году на центральном участке Восточного фронта Красная Армия начинает операцию </w:t>
      </w:r>
      <w:r w:rsidRPr="00070ADE">
        <w:rPr>
          <w:rFonts w:ascii="Times New Roman" w:hAnsi="Times New Roman"/>
          <w:color w:val="000000" w:themeColor="text1"/>
          <w:sz w:val="16"/>
          <w:szCs w:val="16"/>
          <w:lang w:val="en-US"/>
        </w:rPr>
        <w:t>"</w:t>
      </w:r>
      <w:r w:rsidRPr="00070ADE">
        <w:rPr>
          <w:rFonts w:ascii="Times New Roman" w:hAnsi="Times New Roman"/>
          <w:color w:val="000000" w:themeColor="text1"/>
          <w:sz w:val="16"/>
          <w:szCs w:val="16"/>
        </w:rPr>
        <w:t>Багратион</w:t>
      </w:r>
      <w:r w:rsidRPr="00070ADE">
        <w:rPr>
          <w:rFonts w:ascii="Times New Roman" w:hAnsi="Times New Roman"/>
          <w:color w:val="000000" w:themeColor="text1"/>
          <w:sz w:val="16"/>
          <w:szCs w:val="16"/>
          <w:lang w:val="en-US"/>
        </w:rPr>
        <w:t>" (</w:t>
      </w:r>
      <w:r w:rsidRPr="00070ADE">
        <w:rPr>
          <w:rFonts w:ascii="Times New Roman" w:hAnsi="Times New Roman"/>
          <w:color w:val="000000" w:themeColor="text1"/>
          <w:sz w:val="16"/>
          <w:szCs w:val="16"/>
        </w:rPr>
        <w:t>до</w:t>
      </w:r>
      <w:r w:rsidRPr="00070ADE">
        <w:rPr>
          <w:rFonts w:ascii="Times New Roman" w:hAnsi="Times New Roman"/>
          <w:color w:val="000000" w:themeColor="text1"/>
          <w:sz w:val="16"/>
          <w:szCs w:val="16"/>
          <w:lang w:val="en-US"/>
        </w:rPr>
        <w:t xml:space="preserve"> 23 </w:t>
      </w:r>
      <w:r w:rsidRPr="00070ADE">
        <w:rPr>
          <w:rFonts w:ascii="Times New Roman" w:hAnsi="Times New Roman"/>
          <w:color w:val="000000" w:themeColor="text1"/>
          <w:sz w:val="16"/>
          <w:szCs w:val="16"/>
        </w:rPr>
        <w:t>августа</w:t>
      </w:r>
      <w:r w:rsidRPr="00070ADE">
        <w:rPr>
          <w:rFonts w:ascii="Times New Roman" w:hAnsi="Times New Roman"/>
          <w:color w:val="000000" w:themeColor="text1"/>
          <w:sz w:val="16"/>
          <w:szCs w:val="16"/>
          <w:lang w:val="en-US"/>
        </w:rPr>
        <w:t>) (14930).</w:t>
      </w:r>
    </w:p>
    <w:p w14:paraId="3FC52FE0" w14:textId="77777777" w:rsidR="00061B7B" w:rsidRPr="00070ADE" w:rsidRDefault="00061B7B" w:rsidP="00B56F90">
      <w:pPr>
        <w:spacing w:after="0" w:line="240" w:lineRule="auto"/>
        <w:jc w:val="both"/>
        <w:rPr>
          <w:rFonts w:ascii="Times New Roman" w:hAnsi="Times New Roman"/>
          <w:color w:val="000000" w:themeColor="text1"/>
          <w:sz w:val="16"/>
          <w:szCs w:val="16"/>
          <w:lang w:val="en-US"/>
        </w:rPr>
      </w:pPr>
    </w:p>
    <w:p w14:paraId="0ACA6D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22 1944 'Operation Bagration,' the Soviet summer offensive begins (1050).</w:t>
      </w:r>
    </w:p>
    <w:p w14:paraId="12CC53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3995B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22nd, 1944: On the central front in the East, the Soviet 1st Baltic and 3rd Belorussian Fronts (Vassilevsky) and the 1st and 2nd Belorussian Fronts (Zhukov) begin Operation Bagraton, a massive offensive against Heeresgruppe Mitte (Busch) on a 300-mile front between Polotsk and Bobruysk. The German forces of 63 divisions, 900 tanks and 10,000 guns are facing vastly superior Soviet forces of 124 divisions, 5,200 tanks, 30.000 guns and 6,000 aircraft. The Luftwaffe launches a surprise night raid (60 aircraft) on the US 8th Air Force's shuttle base at Poltava in the Ukraine, destroying 44 B-17s and 500,000 gals. of fuel. In the West, US bombers carry out a saturation on besieged Cherbourg. President Roosevelt signs the GI Bill of Rights which promises generous benefits for returning US servicemen (3819).</w:t>
      </w:r>
    </w:p>
    <w:p w14:paraId="6D668C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22E81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 началось летнее советское наступление - операция Багратион (1050) - Белорусская наступательная операция, которая шла по 29 августа 1944. Проводили ПрибФ, БФ (1БФ включал 1А Войска Польского) при участи Днепровской военной флотилии. Действовали против группы армий Центр (17 д и 3 бригады были уничтожены, а 50 д - потеряли более половины состава) (3398,220).</w:t>
      </w:r>
    </w:p>
    <w:p w14:paraId="1D37DE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52A88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15192B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A1C8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 г. в письме Черчилю Ф.Д.Р. посетовал на то, что мнением США поинтересовались уже после того, как недостойное предложение было сделано Москве. Кремль же, решив, что Рузвельт не хочет отдавать Грецию Великобритании, заявил Лондону, что поскольку у США имеются сомнения, Москва хочет обсудить эту проблему с Вашингтоном. Взбешенный Черчиль воскликнул: "Получается, что все договоренности с русскими надо пропускать через педантичное вмешательство Соединенных Штатов?" (3871).</w:t>
      </w:r>
    </w:p>
    <w:p w14:paraId="36A564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11D04E"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в 1944 году Финляндия обратилась через министерство иностранных дел Швеции к Советскому правительству с просьбой начать переговоры о мире (14930).</w:t>
      </w:r>
    </w:p>
    <w:p w14:paraId="0070E32F" w14:textId="77777777" w:rsidR="00061B7B" w:rsidRPr="00070ADE" w:rsidRDefault="00061B7B" w:rsidP="00B56F90">
      <w:pPr>
        <w:spacing w:after="0" w:line="240" w:lineRule="auto"/>
        <w:jc w:val="both"/>
        <w:rPr>
          <w:rFonts w:ascii="Times New Roman" w:hAnsi="Times New Roman"/>
          <w:color w:val="000000" w:themeColor="text1"/>
          <w:sz w:val="16"/>
          <w:szCs w:val="16"/>
        </w:rPr>
      </w:pPr>
    </w:p>
    <w:p w14:paraId="05C820F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69A4CE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913074"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22 июня в 1944 году совершил первый полет </w:t>
      </w:r>
      <w:hyperlink r:id="rId180" w:tgtFrame="_blank" w:history="1">
        <w:r w:rsidRPr="00070ADE">
          <w:rPr>
            <w:rFonts w:ascii="Times New Roman" w:hAnsi="Times New Roman"/>
            <w:color w:val="000000" w:themeColor="text1"/>
            <w:sz w:val="16"/>
            <w:szCs w:val="16"/>
          </w:rPr>
          <w:t xml:space="preserve">«Ме-328B» </w:t>
        </w:r>
      </w:hyperlink>
      <w:r w:rsidRPr="00070ADE">
        <w:rPr>
          <w:rFonts w:ascii="Times New Roman" w:hAnsi="Times New Roman"/>
          <w:color w:val="000000" w:themeColor="text1"/>
          <w:sz w:val="16"/>
          <w:szCs w:val="16"/>
        </w:rPr>
        <w:t>- недорогой скоростной истребитель и штурмовик с двумя пульсирующими воздушно-реактивными двигателями «Аргус» «As-014» (14930).</w:t>
      </w:r>
    </w:p>
    <w:p w14:paraId="46FCCF45" w14:textId="77777777" w:rsidR="00061B7B" w:rsidRPr="00070ADE" w:rsidRDefault="00061B7B" w:rsidP="00B56F90">
      <w:pPr>
        <w:spacing w:after="0" w:line="240" w:lineRule="auto"/>
        <w:jc w:val="both"/>
        <w:rPr>
          <w:rFonts w:ascii="Times New Roman" w:hAnsi="Times New Roman"/>
          <w:color w:val="000000" w:themeColor="text1"/>
          <w:sz w:val="16"/>
          <w:szCs w:val="16"/>
        </w:rPr>
      </w:pPr>
    </w:p>
    <w:p w14:paraId="589F8BFA" w14:textId="77777777" w:rsidR="00B02CCE" w:rsidRPr="00070ADE" w:rsidRDefault="00B02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 ас Люфтваффе Гауптман Йозеф «Зепп» Wurmheller и его ведомый погибли, когда их Focke-Wulf Fw 190 сталкиваются во время боя с P-47 Громовержцами и Спитфайрами над Нормандии около Alençon, Франция. Ему приписывают 102 воздушные победы (20373).</w:t>
      </w:r>
    </w:p>
    <w:p w14:paraId="7BC9DF8A" w14:textId="77777777" w:rsidR="00B02CCE" w:rsidRPr="00070ADE" w:rsidRDefault="00B02CCE" w:rsidP="00B56F90">
      <w:pPr>
        <w:spacing w:after="0" w:line="240" w:lineRule="auto"/>
        <w:jc w:val="both"/>
        <w:rPr>
          <w:rFonts w:ascii="Times New Roman" w:hAnsi="Times New Roman"/>
          <w:color w:val="000000" w:themeColor="text1"/>
          <w:sz w:val="16"/>
          <w:szCs w:val="16"/>
        </w:rPr>
      </w:pPr>
    </w:p>
    <w:p w14:paraId="6BA8711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 в Хелме создан прокоммунистический Польский Комитет Национального Освобождения (4962).</w:t>
      </w:r>
    </w:p>
    <w:p w14:paraId="3807763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4E12F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 в Хельсинки министр иностранных дел Германии И. Риббентроп пообещал Финляндии военную помощь для продолжения борьбы против СССР (4962).</w:t>
      </w:r>
    </w:p>
    <w:p w14:paraId="7B39528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211B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 началось плавание канадской шхуны Сент-Рокс, впервые преодолевшей за одну навигацию Северо-Западный проход (3263,347).</w:t>
      </w:r>
    </w:p>
    <w:p w14:paraId="4E3572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DB16C7" w14:textId="77777777" w:rsidR="00B02CCE" w:rsidRPr="00070ADE" w:rsidRDefault="00B02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22 июня 1944 эскортные авианосцы USS Manila Bay (CVE-61) и USS Natoma Bay (CVE-62) запускают С-47 для использования на Isely поле на Сайпане. Первые самолеты союзников, базирующиеся на берегу Марианских островов, P-47 находятся в бою несколько часов спустя, нанося ракетные удары по целям на Тиниане. Базирующиеся в Лос-Негросе ВВС США B-24 Освободители 13-го военно-воздушных сил снова наносят удар по Волеи. Японский Mitsubishi G4M (союзное имя «Бетти») повреждает американский линкор USS Maryland (BB-46) у побережья Сайпана торпедой (29373).</w:t>
      </w:r>
    </w:p>
    <w:p w14:paraId="5B05C328" w14:textId="77777777" w:rsidR="00B02CCE" w:rsidRPr="00070ADE" w:rsidRDefault="00B02CCE" w:rsidP="00B56F90">
      <w:pPr>
        <w:spacing w:after="0" w:line="240" w:lineRule="auto"/>
        <w:jc w:val="both"/>
        <w:rPr>
          <w:rFonts w:ascii="Times New Roman" w:hAnsi="Times New Roman"/>
          <w:color w:val="000000" w:themeColor="text1"/>
          <w:sz w:val="16"/>
          <w:szCs w:val="16"/>
        </w:rPr>
      </w:pPr>
    </w:p>
    <w:p w14:paraId="7381F3B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B6EC9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3926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июня 1944 Зам. Нач. Главстройстекло Германов писал письмо № 862с Нач. ПГУ НКАП</w:t>
      </w:r>
    </w:p>
    <w:p w14:paraId="5F8081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Копия: Зам. Нач. 12 ГУ НКАП</w:t>
      </w:r>
    </w:p>
    <w:p w14:paraId="5FFD26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Ваш № Д-2/1581 от 17/1У-44 года</w:t>
      </w:r>
    </w:p>
    <w:p w14:paraId="0DB98D0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Просим срочно выслать чертежи на стекла фонаря для самолета Ил-10. Просьба учесть, что без этих чертежей Главстройстекло не может дать указания об изготовлении опытных образцов (55,10532).</w:t>
      </w:r>
    </w:p>
    <w:p w14:paraId="226431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D224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июня 1944 Зам. Нач. 7ГУ Алексеев подготовил сводку г-7 № 8317 о ходе испытаний высотных самолетов на 21 и 22 июня 1944 по Як-9 М-105ПД, Ла-5 АШ-82ФН и 2ТК-3, МиГ АМ-39А и 2ТК-2Б (1825,88).</w:t>
      </w:r>
    </w:p>
    <w:p w14:paraId="30D778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ИСТРЕБИТЕЛЬ ЯК-9 С ВК-105ПФ И ДВУХСТУПЕНЧАТЫМ НАГНЕТАТЕЛЕМ</w:t>
      </w:r>
    </w:p>
    <w:p w14:paraId="5528DA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будет установлен в трубе 29 июня с.г.. после окончания продувки самолета Як-9 с ВК-107А.</w:t>
      </w:r>
    </w:p>
    <w:p w14:paraId="1B4281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ВЫСОТНЫЙ ИСТРЕБИТЕЛЬ МИГ С АМ-39Б И 2ТК-2Б.</w:t>
      </w:r>
    </w:p>
    <w:p w14:paraId="617329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Полетов не производилось из-за отсутствия погоды для высотных полетов.</w:t>
      </w:r>
    </w:p>
    <w:p w14:paraId="1A172E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 в летном состоянии.</w:t>
      </w:r>
    </w:p>
    <w:p w14:paraId="0667A7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ВЫСОТНЫЙ ИСТРЕБИТЕЛЬ ЛА-5 С АШ-82ФН и 2ТК-3.</w:t>
      </w:r>
    </w:p>
    <w:p w14:paraId="51807A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Производилась работа по установке дополнительного маслобака в месте распо</w:t>
      </w:r>
      <w:r w:rsidRPr="00070ADE">
        <w:rPr>
          <w:rFonts w:ascii="Times New Roman" w:hAnsi="Times New Roman"/>
          <w:color w:val="000000" w:themeColor="text1"/>
          <w:sz w:val="16"/>
          <w:szCs w:val="16"/>
        </w:rPr>
        <w:softHyphen/>
        <w:t>ложения пушки, в целях увеличения запаса масла на самолете.</w:t>
      </w:r>
    </w:p>
    <w:p w14:paraId="48ED7B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Скончание работы намечается на 24 июня с.г. Мотор специальной сборкаи по сообщению 8 Гл.Управления, будет готов к отправке 28 июня с.г.</w:t>
      </w:r>
    </w:p>
    <w:p w14:paraId="59AEB2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сих пор на испытаниях самолета отсут</w:t>
      </w:r>
      <w:r w:rsidRPr="00070ADE">
        <w:rPr>
          <w:rFonts w:ascii="Times New Roman" w:hAnsi="Times New Roman"/>
          <w:color w:val="000000" w:themeColor="text1"/>
          <w:sz w:val="16"/>
          <w:szCs w:val="16"/>
        </w:rPr>
        <w:softHyphen/>
        <w:t>ствует представитель СКВ тов. ШВЕЦОВА, из-за чего задерживается решение отдельных Воп</w:t>
      </w:r>
      <w:r w:rsidRPr="00070ADE">
        <w:rPr>
          <w:rFonts w:ascii="Times New Roman" w:hAnsi="Times New Roman"/>
          <w:color w:val="000000" w:themeColor="text1"/>
          <w:sz w:val="16"/>
          <w:szCs w:val="16"/>
        </w:rPr>
        <w:softHyphen/>
        <w:t>росов по устранению дефектов мотора, выяв</w:t>
      </w:r>
      <w:r w:rsidRPr="00070ADE">
        <w:rPr>
          <w:rFonts w:ascii="Times New Roman" w:hAnsi="Times New Roman"/>
          <w:color w:val="000000" w:themeColor="text1"/>
          <w:sz w:val="16"/>
          <w:szCs w:val="16"/>
        </w:rPr>
        <w:softHyphen/>
        <w:t>ляемых в полетах.</w:t>
      </w:r>
    </w:p>
    <w:p w14:paraId="1E00E9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Заместителю Наркома тов. КУЗНЕЦОВУ В.П. сообщено о необходимости срочного командиро</w:t>
      </w:r>
      <w:r w:rsidRPr="00070ADE">
        <w:rPr>
          <w:rFonts w:ascii="Times New Roman" w:hAnsi="Times New Roman"/>
          <w:color w:val="000000" w:themeColor="text1"/>
          <w:sz w:val="16"/>
          <w:szCs w:val="16"/>
        </w:rPr>
        <w:softHyphen/>
        <w:t>вания специалиста из ОКБ тов. ШВЕЦОВА на все время испытаний (1825).</w:t>
      </w:r>
    </w:p>
    <w:p w14:paraId="241359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591C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июня 1944 состоялось заседание комиссии по делам международных воздушных линий СССР с повесткой дня:</w:t>
      </w:r>
    </w:p>
    <w:p w14:paraId="16A67B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 очередных директивных указаниях Советской делегации в Вашингтоне</w:t>
      </w:r>
    </w:p>
    <w:p w14:paraId="0BE21E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 подготовке проекта ответа о двустороннем соглашении с Америкой о послевоенных воздушных линиях между СССР и США (Громыко, Астахов, Павлов).</w:t>
      </w:r>
    </w:p>
    <w:p w14:paraId="7CA843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 проекте статьи в ответ на заявление Пред. Управления ГА США Пог</w:t>
      </w:r>
    </w:p>
    <w:p w14:paraId="5E39F5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 международных воздушных линиях СССР</w:t>
      </w:r>
    </w:p>
    <w:p w14:paraId="708B46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 проекте развития международных воздушных линий СССР</w:t>
      </w:r>
    </w:p>
    <w:p w14:paraId="2A11F1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о плане МТС международных воздушных линий, обслуживаемых со вескими самолетами (1822,46).</w:t>
      </w:r>
    </w:p>
    <w:p w14:paraId="0D5902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проблема открытого неба</w:t>
      </w:r>
    </w:p>
    <w:p w14:paraId="2AB0520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480EA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C668E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78BE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июня 1944 года вышло заключение комиссии по полигонным испытаниям 82-мм легкого пехотного орудия СКБ-34. Кучность системы при стрельбы с дистанции 500 м хуже кучности 76-мм полковой пушки обр. 1943 г. (то есть хуже некуда). Прочность пружин подрессоривания и сварных швов при возке неудовлетворительны. Железная гильза с бойком для самонакалывания посте стрельбы плохо экстрактируется (то есть ее хрен вынешь). Щитовое прикрытие не полностью прикрывает расчет. Тем не менее комиссия рекомендовала изготовить опытную серию орудий для войсковых испытаний. В итоге орудия оказалось слишком универсальным, чтобы удовлетворительно выполнять хоть одну из своих функций. Разумеется, оно на вооружение принято не было. С инженерной точки зрения это была очень интересная система, и по хорошему ее стоило бы поставить в Политехнический музей (3861).</w:t>
      </w:r>
    </w:p>
    <w:p w14:paraId="74285C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77F2C6" w14:textId="38D0575E" w:rsidR="008D055A" w:rsidRPr="00070ADE" w:rsidRDefault="008D055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 xml:space="preserve">23 июня 1944 года было подготовлено заключению комиссии по полигонным испытаниям </w:t>
      </w:r>
      <w:r w:rsidRPr="00070ADE">
        <w:rPr>
          <w:rStyle w:val="a7"/>
          <w:rFonts w:ascii="Times New Roman" w:hAnsi="Times New Roman"/>
          <w:b w:val="0"/>
          <w:color w:val="000000" w:themeColor="text1"/>
          <w:sz w:val="16"/>
          <w:szCs w:val="16"/>
          <w:shd w:val="clear" w:color="auto" w:fill="FFFFFF"/>
        </w:rPr>
        <w:t>82-мм легкого пехотного орудия</w:t>
      </w:r>
      <w:r w:rsidRPr="00070ADE">
        <w:rPr>
          <w:rFonts w:ascii="Times New Roman" w:hAnsi="Times New Roman"/>
          <w:color w:val="000000" w:themeColor="text1"/>
          <w:sz w:val="16"/>
          <w:szCs w:val="16"/>
          <w:shd w:val="clear" w:color="auto" w:fill="FFFFFF"/>
        </w:rPr>
        <w:t xml:space="preserve"> СКБ-34, спроектированого в СКБ-НКВ (Коломна): кучность системы при стрельбе с дистанции 500 м хуже кучности 76-мм полковой пушки обр. 1943 г.</w:t>
      </w:r>
      <w:r w:rsidR="00C63BA9">
        <w:rPr>
          <w:rFonts w:ascii="Times New Roman" w:hAnsi="Times New Roman"/>
          <w:color w:val="000000" w:themeColor="text1"/>
          <w:sz w:val="16"/>
          <w:szCs w:val="16"/>
          <w:shd w:val="clear" w:color="auto" w:fill="FFFFFF"/>
        </w:rPr>
        <w:t xml:space="preserve"> </w:t>
      </w:r>
      <w:r w:rsidRPr="00070ADE">
        <w:rPr>
          <w:rFonts w:ascii="Times New Roman" w:hAnsi="Times New Roman"/>
          <w:color w:val="000000" w:themeColor="text1"/>
          <w:sz w:val="16"/>
          <w:szCs w:val="16"/>
          <w:shd w:val="clear" w:color="auto" w:fill="FFFFFF"/>
        </w:rPr>
        <w:t>Прочность пружин подрессоривания и сварных швов при возке неудовлетворительны. Железная гильза с бойком для самонакалывания после стрельбы плохо экстрактируется. Щитовое прикрытие не полностью прикрывает расчет. Тем не менее комиссия рекомендовала изготовить опытную серию орудий для войсковых испытаний. Дальнейшая сульба орудия неизвестна (19615).</w:t>
      </w:r>
    </w:p>
    <w:p w14:paraId="53A96A13" w14:textId="77777777" w:rsidR="008D055A" w:rsidRPr="00070ADE" w:rsidRDefault="008D055A" w:rsidP="00B56F90">
      <w:pPr>
        <w:spacing w:after="0" w:line="240" w:lineRule="auto"/>
        <w:jc w:val="both"/>
        <w:rPr>
          <w:rFonts w:ascii="Times New Roman" w:hAnsi="Times New Roman"/>
          <w:color w:val="000000" w:themeColor="text1"/>
          <w:sz w:val="16"/>
          <w:szCs w:val="16"/>
        </w:rPr>
      </w:pPr>
    </w:p>
    <w:p w14:paraId="25573412" w14:textId="20D625BA"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 июня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начальник Артуправления утвердил технический проект устновки МУ-1.</w:t>
      </w:r>
    </w:p>
    <w:p w14:paraId="1D754FDD" w14:textId="7BCFC97E"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Тактико-техническое задание на установку МУ-1 с баллистикой 180-мм пушки Б-1-П было выдано в 1939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 том же году ОТБ ее и спроектировало.</w:t>
      </w:r>
    </w:p>
    <w:p w14:paraId="3885830A" w14:textId="2281F2E4"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работы над МУ-1 были приостановлены из-за форсирования работ по МУ-2 и возобновлены в 1943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 1943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ОКБ-172 разработало технический проект.</w:t>
      </w:r>
    </w:p>
    <w:p w14:paraId="7500E17C" w14:textId="512064DF"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постановлению ГКО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7849 от 16 марта 1945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изготовление серии МУ-1 было произведено без предварительной постройки и испытания головного образца. Завод «Баррикады» изготовил серию в 12 качающихся частей МУ-1 в 1947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w:t>
      </w:r>
    </w:p>
    <w:p w14:paraId="3DD73D7F" w14:textId="693BD41C"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Двенадцать установок МУ-1 изготовил Ленинградский металлический завод. Причем клепаный ствол был заменен на сварной. В IV квартале 1947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ЛМЗ было закончено 8 установок и в 1 квартале 1948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4 установки.</w:t>
      </w:r>
    </w:p>
    <w:p w14:paraId="055EF6E6" w14:textId="3D237E76"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Головной образец МУ-1 (ствол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3, станок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 был испытан на полигоне в два этапа с 26 октября по 3 декабря 1947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и с 19 февраля по 20 марта 1948</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Всего сделано 352 выстрела. Результаты признаны удовлетворительными, и МУ-1 рекомендована к принятию на вооружение.</w:t>
      </w:r>
    </w:p>
    <w:p w14:paraId="27328D27" w14:textId="682CE484"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Первые четыре установки МУ-1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5, 6,7 и 8) в соответствии с постановлением Совмина от 30 декабря 1949</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5924–2227сс, в 1952</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были смонтированы на батарее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127 в Порт-Артуре. Строилась батарея с 1950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по 1953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Государственные испытания батареи были проведены с ноября 1953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по январь 1954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Приказом Главкома ВМС от 9 апреля 1954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00137 180-мм четырехорудийная батарея МУ-1 с ПУС «Москва-2с-ЦМ» была принята в состав береговой обороны Порт-Артура.</w:t>
      </w:r>
    </w:p>
    <w:p w14:paraId="595DE277" w14:textId="34291A14"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1953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на Камчатке у мыса Безымянный было начато строительство батареи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41 в составе четырех установок МУ-1. Батарея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41 была введена в строй в 1957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Директивой Главного штаба ВМФ от 12 марта 1974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батарея была расформирована.</w:t>
      </w:r>
    </w:p>
    <w:p w14:paraId="01C5CC25" w14:textId="796F5FC9"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палубном варианте МУ-1 предполагалось устанавливать на кораблях, а в береговом варианте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в одноорудийных башнях. Кроме того, качающаяся часть МУ-1 могла быть установлена на железнодорожном транспортере ТМ1–180, на береговой щитовой установке МО-1–180 и на береговой башенной установке МБ-2–180.</w:t>
      </w:r>
    </w:p>
    <w:p w14:paraId="1C3563E9" w14:textId="4EFD43C6"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1946</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 ОКБ-172 разработало чертежи левой и правой качающихся частей МУ-1-Б и МБ-2–180.</w:t>
      </w:r>
    </w:p>
    <w:p w14:paraId="4746AB87"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Ствол установки МУ-1 лейнирован. Затвор поршневой двухтактного действия, при открывании затвор откидывался вверх. Открывание затвора производилось от электрического привода, автоматическое включение которого осуществлялось с помощью электроконтакта в конце наката орудия. Электродвигатель привода установлен на фундаменте, закрепленном на левой стороне люльки. Досылка производилась пружинным досылателем броскового типа.</w:t>
      </w:r>
    </w:p>
    <w:p w14:paraId="7D2F2844"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Серийная установка МУ-1 предназначалась для стационарных береговых батарей. Кроме того, она могла быть использована для создания временных батарей. В таком случае вместо центральной подачи боеприпасов из перегрузочного отделения предусмотрено приспособление для наружной подноски и загрузки снарядов через окна в броне.</w:t>
      </w:r>
    </w:p>
    <w:p w14:paraId="1528AAD2" w14:textId="50CE439D"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Перегрузочное отделение находилось в бетонном блоке. Толщина бетонного перекрытия погреба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1600 мм. Вместимость погреба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200 выстрелов. Подача боеприпасов только ручная.</w:t>
      </w:r>
    </w:p>
    <w:p w14:paraId="542E0657"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Через полость боевого штыря проходили из перегрузочного отделения шахта снарядной подачи, зарядная труба, электрокабели и шланги для подачи сжатого воздуха.</w:t>
      </w:r>
    </w:p>
    <w:p w14:paraId="04B61F76" w14:textId="436707A4"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Неподвижное основание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опора вращающейся части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служило для крепления ее к закладным частям бетонного блока. Оно представляло собой литое кольцо с фланцем и ребрами жесткости.</w:t>
      </w:r>
    </w:p>
    <w:p w14:paraId="59E19BE7" w14:textId="3832C93B"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Прицельные устройства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Б-13–1 и ЛБ-13–1. Система ПУС «Москва».</w:t>
      </w:r>
    </w:p>
    <w:p w14:paraId="3F26C2F0"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Данные ствола МУ-1 </w:t>
      </w:r>
    </w:p>
    <w:p w14:paraId="4D1138BE" w14:textId="3FEAE872"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Калибр, мм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180</w:t>
      </w:r>
    </w:p>
    <w:p w14:paraId="28BABCC6" w14:textId="1BDAC245"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ствола, клб</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57</w:t>
      </w:r>
    </w:p>
    <w:p w14:paraId="1EE8B30D" w14:textId="7DDB8470"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Объем каморы, дм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52,27</w:t>
      </w:r>
    </w:p>
    <w:p w14:paraId="6029B943" w14:textId="3E290C75"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Крутизна нарезов (постоянная), клб</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25</w:t>
      </w:r>
    </w:p>
    <w:p w14:paraId="3BB51A61" w14:textId="04480FDD"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Число нарезов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40</w:t>
      </w:r>
    </w:p>
    <w:p w14:paraId="2DC1C951" w14:textId="0AC34443"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Глубина нарезов, мм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3,6</w:t>
      </w:r>
    </w:p>
    <w:p w14:paraId="7E54E63D" w14:textId="2C0C8492"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Ширина нарезов, мм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8,9</w:t>
      </w:r>
    </w:p>
    <w:p w14:paraId="1A11ACBF" w14:textId="6DACEDEC"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Ширина полей, мм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5,24</w:t>
      </w:r>
    </w:p>
    <w:p w14:paraId="331CD528"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Таблица 35. Данные башенной одноорудийной артустановки МУ-1 </w:t>
      </w:r>
    </w:p>
    <w:p w14:paraId="742A3B17"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Боеприпасы и баллистика установки МУ-1 одинаковы с боеприпасами и баллистикой 180-мм пушки Б-1-П.</w:t>
      </w:r>
    </w:p>
    <w:p w14:paraId="1329E036" w14:textId="51F5155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Максимальное давление в канале ствола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3157</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кг/см2.</w:t>
      </w:r>
    </w:p>
    <w:p w14:paraId="488B3F06"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152-мм установка МУ-2 (12705).</w:t>
      </w:r>
    </w:p>
    <w:p w14:paraId="20FDA6FE" w14:textId="77777777" w:rsidR="000340E9" w:rsidRPr="00070ADE" w:rsidRDefault="000340E9" w:rsidP="00B56F90">
      <w:pPr>
        <w:spacing w:after="0" w:line="240" w:lineRule="auto"/>
        <w:jc w:val="both"/>
        <w:rPr>
          <w:rFonts w:ascii="Times New Roman" w:hAnsi="Times New Roman"/>
          <w:color w:val="000000" w:themeColor="text1"/>
          <w:sz w:val="16"/>
          <w:szCs w:val="16"/>
        </w:rPr>
      </w:pPr>
    </w:p>
    <w:p w14:paraId="3DFC21A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июня 1944 вышло Распоряжение ГКО № 6082 [Об отнесении расходов на довольствие для генералов и офицеров, работающих в системе НКгосконтроля, за счет этого ведомства.] (7242, 129).</w:t>
      </w:r>
    </w:p>
    <w:p w14:paraId="0CA3290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68ED7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669FF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7566AD"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июня</w:t>
      </w:r>
      <w:r w:rsidRPr="00070ADE">
        <w:rPr>
          <w:rFonts w:ascii="Times New Roman" w:hAnsi="Times New Roman"/>
          <w:color w:val="000000" w:themeColor="text1"/>
          <w:sz w:val="16"/>
          <w:szCs w:val="16"/>
        </w:rPr>
        <w:t xml:space="preserve"> в 1944 году оперативная сводка Совинформбюро:</w:t>
      </w:r>
    </w:p>
    <w:p w14:paraId="21F0CBEC"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июня северо-западнее и юго-восточнее города Витебск наши войска, при поддержке массированных ударов артиллерии и авиации, перешли в наступление против немецко-фашистских войск.</w:t>
      </w:r>
    </w:p>
    <w:p w14:paraId="2DCBE4BE"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наступающие северо-западнее Витебска, прорвали сильно укреплённую оборону противника протяжением 30 километров по фронту и продвинулись в глубину от 12 до 15 километров, заняв при этом более 100 населённых пунктов, в том числе районный центр Витебской области Шумилино, крупные населённые пункты Волотовки, Сиротино, Гребенцы, Плиговки, Рыльково, Новоселки, Дворище, Крицкие, Залужье, Добрино, Вербали, Губица, Рябушково, Шпаки, Богданова, Хотилово и железнодорожные станции Сиротино, Язвино на железной дороге Полоцк — Витебск.</w:t>
      </w:r>
    </w:p>
    <w:p w14:paraId="021315DC"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наступающие юго-восточнее города Витебска, прорвали сильно укреплённую оборону противника протяжением по фронту 25 километров и продвинулись в глубину от 8 до 10 километров, заняв при этом более 50 населённых пунктов. Среди них Забелино, Замосточье, Ляденки, Лускинополь, Кузменцы, Высочаны, Старобобылье, Осиновка, Шнитки, Куртенки и железнодорожная станция Замосточье. Наши войска перерезали железную дорогу Витебск — Орша.</w:t>
      </w:r>
    </w:p>
    <w:p w14:paraId="313A3B51"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Между Онежским и Ладожским озёрами наши войска форсировали реку Свирь в районе Подпорожья и овладели населёнными пунктами Вороничи, Мятус0в0, Кукеряги, Чемоданова Гора и железнодорожной станцией Суволда. Одновременно наши войска продолжали успешное наступление на северном берегу реки Свирь севернее Лодейного Поля и заняли более 20 населенных пунктов, в числе которых Кондуши, Карельская, Чурова Гора, Утозеро, Подол, Ручьи, Старые Сегежи, Ковкеницы, Горка, Кутлахта, Гумбарицы.</w:t>
      </w:r>
    </w:p>
    <w:p w14:paraId="22025438"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Карельском перешейке севернее и северо-восточнее города Выборг наши войска, сломив сопротивление противника, заняли несколько населённых пунктов. Среди них Мусталахти, Костиала, Куйвала, Лаунтаимайя, Тали, Репола.</w:t>
      </w:r>
    </w:p>
    <w:p w14:paraId="4E659EE4"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без перемен.</w:t>
      </w:r>
    </w:p>
    <w:p w14:paraId="2B8D73A9"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22 июня на всех фронтах в воздушных боях и огнём зенитной артиллерии сбито 44 самолёта противника.</w:t>
      </w:r>
    </w:p>
    <w:p w14:paraId="6C9AE445"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юго-восточнее города Витебск наши войска перешли в наступление. Сотни советских орудий различных калибров и миномёты обрушили на противника мощный огонь. Артиллерийская и авиационная подготовка наступления длилась несколько часов. Многочисленные укрепления немцев были разрушены. За тем, вслед за огневым валом, двинулась в атаку советская пехота. Подавляя уцелевшие огневые точки противника, наши бойцы прорвали сильно укреплённую оборону на обоих участках наступления. Советские войска, наступающие юго-восточнее города Витебск, перерезали железную дорогу Витебск — Орша и тем самым лишили витебскую группировку противника последнего железнодорожного пути, связывавшего её с тылами. Враг несёт огромные потери. Немецкие траншеи и места боёв завалены трупами гитлеровцев, разбитым вооружением и техникой. Наши войска захватили трофеи и пленных.</w:t>
      </w:r>
    </w:p>
    <w:p w14:paraId="0D342F05"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Между Онежским и Ладожским озёрами части Н-ского соединения, овладевшие вчера районным центром Ленинградской области Подпорожьем, сегодня форсировали реку Свирь, В ожесточённом бою советская пехота сломила сопротивление противника, заняла несколько населённых пунктов и железнодорожную станцию Суволду. Враг понёс большие потери. Только в одном населённом пункте наши подразделения истребили 240 финских солдат и офицеров, захватили 5 орудий, 19 пулемётов и склад боеприпасов. В районе севернее Лодейного Поля, на северном берегу реки Свирь, наши войска, успешно продвигаясь вперёд, заняли более 20 населённых пунктов. Контратаки противника были отбиты с большими для него потерями.</w:t>
      </w:r>
    </w:p>
    <w:p w14:paraId="25FC8159"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Карельском перешейке подразделения Н-ской части, с боями продвигаясь вперёд, заняли несколько населённых пунктов, Поспешно отступая, финны оставили паровоз под парами и 17 вагонов с оружием и боеприпасами. Наши бойцы захватили также пеленгаторную и телефонную станции. Советские танкисты ворвались в опорный пункт противника и разгромили его гарнизон. Пушечным огнём и гусеницами машин танкисты уничтожили 6 дзотов, 18 бронированных гнёзд, 3 орудия и склад с боеприпасами. Истреблено до 200 финских солдат я офицеров. Захвачено 6 складов c боеприпасами и продовольствием.</w:t>
      </w:r>
    </w:p>
    <w:p w14:paraId="62FB0574"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лётчики в воздушных боях сбили 19 немецких и финских самолётов.</w:t>
      </w:r>
    </w:p>
    <w:p w14:paraId="530D0FFA"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Краснознамённого Балтийского флота продолжала наносить удары по кораблям противника в Выборгском заливе. Советские лётчики потопили десантную баржу. Серьёзно повреждены и потеряли ход сторожевой катер, буксир, быстроходная десантная баржа и торпедный катер.</w:t>
      </w:r>
    </w:p>
    <w:p w14:paraId="372AC5AF"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2-м Украинском фронте зенитчики подразделений тт. Гришенкова и Калинювича, отражая атаки вражеских бомбардировщиков, сбили 6 самолётов противника. Расчёт зенитного орудия сержанта Паньшина за один день уничтожил два немецких самолёта.</w:t>
      </w:r>
    </w:p>
    <w:p w14:paraId="7EEE9892"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Самолёты-торпедоносцы Краснознамённого Балтийского флота, вылетевшие в ночь на 22 июня на поиск противника, обнаружили в Балтийском море караван вражеских судов. Советские лётчики атаковали противника и метко сброшенными торпедами потопили три транспорта общим водоизмещением в 12 тысяч тонн.</w:t>
      </w:r>
    </w:p>
    <w:p w14:paraId="22601C9E"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действующий в Могилёвской области, в ночь на 6 июня ворвался в крупный населённый пункт. Советские патриоты уничтожили 160 гитлеровцев, взорвали 4 склада с военным имуществом, оружейную мастерскую и 3 радиостанции. Захватив 3 миномёта, 9 пулемётов, 67 винтовок, боеприпасы и обмундирование, советские патриоты отошли на свою базу.</w:t>
      </w:r>
    </w:p>
    <w:p w14:paraId="5C368B60"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сторону Красной Армии перешёл немецкий лейтенант Хорст Штейн, прослуживший длительное время в роте пропаганды военно-воздушных сил Германии. Перебежчик рассказал: «Почти вся фронтовая кинохроника фабрикуется в Германии, на учебных полигонах в Вунсторфе и Ютерборге. На полигонах построены бутафорские укрепления, позиции и деревни, похожие на русские населённые пункты. На этих полигонах разыгрываются танковые и воздушные бои, поиски немецких разведывательных групп за линией обороны русских частей и т. д. После многочисленных репетиций производятся фотосъёмки для кино. Специальные актёры играют роль русских солдат. По ходу действия актёры вылезают из «подбитых» на полигоне «русских» танков, строят кислую физиономию и идут «сдаваться в плен» наступающей немецкой пехоте. В сентябре 1942 года в Ютерборге снимали «документальный» фильм о действиях танков типа «Тигр». Были засняты такие кадры: русские танки, противотанковая и полевая артиллерия ведут огонь по «Тиграм», а те, как ни в чём не бывало, давят своими гусеницами орудия и следуют дальше. Заготовленные тексты внушали зрителям, что «Тигры» неуязвимы и всякая борьба против них бессмысленна. На учебных полигонах производились также съёмки фильмов о борьбе с советскими партизанами. В начале 1942 года в немецких кинотеатрах демонстрировался фильм «Охота на партизан в районе Старая Русса — Холм». Исходным пунктом «охоты» был показан полицейский участок в селе Дедовичи. Почти все кадры из этого фильма я позднее видел в других киножурналах под заглавиями «Охота на партизан на центральном участке фронта» и «Охота на партизан в районе Барановичи — Минск». Характерно, что во всех случаях был показан всё тот же полицейский участок в селе Дедовичи. Артисты, участвующие в съёмках, слабо знают военное дело и часто делают грубые ошибки. Например, в одном кинообозрении были показаны немецкие солдаты, бросающие гранаты. Зрители отчётливо видели, что у гранат не сняты предохранители» (14931).</w:t>
      </w:r>
    </w:p>
    <w:p w14:paraId="338DC1A2" w14:textId="77777777" w:rsidR="00061B7B" w:rsidRPr="00070ADE" w:rsidRDefault="00061B7B" w:rsidP="00B56F90">
      <w:pPr>
        <w:spacing w:after="0" w:line="240" w:lineRule="auto"/>
        <w:jc w:val="both"/>
        <w:rPr>
          <w:rFonts w:ascii="Times New Roman" w:hAnsi="Times New Roman"/>
          <w:color w:val="000000" w:themeColor="text1"/>
          <w:sz w:val="16"/>
          <w:szCs w:val="16"/>
        </w:rPr>
      </w:pPr>
    </w:p>
    <w:p w14:paraId="604A42EF"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июня</w:t>
      </w:r>
      <w:r w:rsidRPr="00070ADE">
        <w:rPr>
          <w:rFonts w:ascii="Times New Roman" w:hAnsi="Times New Roman"/>
          <w:color w:val="000000" w:themeColor="text1"/>
          <w:sz w:val="16"/>
          <w:szCs w:val="16"/>
        </w:rPr>
        <w:t xml:space="preserve"> в 1944 году началась Белорусская стратегическая наступательная операция (кодовое наименование — "Багратион") войск 1-го Прибалтийского, 1, 2 и 3-го Белорусского фронтов (20 общевойсковых и 2 танковые армии; всего 166 дивизий, 12 танковых и механизированных корпусов, 7 укреплённых районов и 21 бригада при поддержке авиации 3, 1, 4, 6 и 16-й воздушных армий), Днепровской военной флотилии, авиации дальнего действия и авиации ПВО, партизан, продолжавшаяся до 29 августа.</w:t>
      </w:r>
    </w:p>
    <w:p w14:paraId="1BF6B7EC"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Началась Витебско-Оршанская наступательная операция войск 1-го Прибалтийского (наносили главный удар силами 6-й гвардейской и 43-й Армии и 1-го танкового корпуса при поддержке 3-й воздушной армии в общем направлении на Лепель) и 3-го Белорусского (наносили удары силами 39-й и 5-й армий на Богушевск, Сенно и силами 11-й гвардейской и 31-й армий вдоль минской магистрали на Борисов и частью сил на Оршу при поддержке 1-й воздушной армии) фронта, продолжавшаяся до 28 июня. Началась Могилевская наступательная операция войск 2-го Белорусского фронта (33, 49, 50-я армии, 4-я воздушная армия), продолжавшаяся до 28 июня.</w:t>
      </w:r>
    </w:p>
    <w:p w14:paraId="62FA9E31"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Карельского фронта освободили город Медвежьегорск.</w:t>
      </w:r>
    </w:p>
    <w:p w14:paraId="4393A640"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Началась Тулоксинская десантная операция Ладожской военной флотилии, проводившаяся до 27 июня (14931).</w:t>
      </w:r>
    </w:p>
    <w:p w14:paraId="125DC709" w14:textId="77777777" w:rsidR="00061B7B" w:rsidRPr="00070ADE" w:rsidRDefault="00061B7B" w:rsidP="00B56F90">
      <w:pPr>
        <w:spacing w:after="0" w:line="240" w:lineRule="auto"/>
        <w:jc w:val="both"/>
        <w:rPr>
          <w:rFonts w:ascii="Times New Roman" w:hAnsi="Times New Roman"/>
          <w:color w:val="000000" w:themeColor="text1"/>
          <w:sz w:val="16"/>
          <w:szCs w:val="16"/>
        </w:rPr>
      </w:pPr>
    </w:p>
    <w:p w14:paraId="32A95952"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июня</w:t>
      </w:r>
      <w:r w:rsidRPr="00070ADE">
        <w:rPr>
          <w:rFonts w:ascii="Times New Roman" w:hAnsi="Times New Roman"/>
          <w:color w:val="000000" w:themeColor="text1"/>
          <w:sz w:val="16"/>
          <w:szCs w:val="16"/>
        </w:rPr>
        <w:t xml:space="preserve"> в 1944 году силами 260 бригады морской пехоты, при поддержке кораблей КБФ, взят хорошо укреплённый финнами остров Туппурасаари в Выборгском заливе (14931).</w:t>
      </w:r>
    </w:p>
    <w:p w14:paraId="25D46958" w14:textId="77777777" w:rsidR="00061B7B" w:rsidRPr="00070ADE" w:rsidRDefault="00061B7B" w:rsidP="00B56F90">
      <w:pPr>
        <w:spacing w:after="0" w:line="240" w:lineRule="auto"/>
        <w:jc w:val="both"/>
        <w:rPr>
          <w:rFonts w:ascii="Times New Roman" w:hAnsi="Times New Roman"/>
          <w:color w:val="000000" w:themeColor="text1"/>
          <w:sz w:val="16"/>
          <w:szCs w:val="16"/>
        </w:rPr>
      </w:pPr>
    </w:p>
    <w:p w14:paraId="60DA248A"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июня</w:t>
      </w:r>
      <w:r w:rsidRPr="00070ADE">
        <w:rPr>
          <w:rFonts w:ascii="Times New Roman" w:hAnsi="Times New Roman"/>
          <w:color w:val="000000" w:themeColor="text1"/>
          <w:sz w:val="16"/>
          <w:szCs w:val="16"/>
        </w:rPr>
        <w:t xml:space="preserve"> в 1944 году войска Карельского фронта освободили Медвежьегорск (14931).</w:t>
      </w:r>
    </w:p>
    <w:p w14:paraId="2BB8BE97" w14:textId="77777777" w:rsidR="00061B7B" w:rsidRPr="00070ADE" w:rsidRDefault="00061B7B" w:rsidP="00B56F90">
      <w:pPr>
        <w:spacing w:after="0" w:line="240" w:lineRule="auto"/>
        <w:jc w:val="both"/>
        <w:rPr>
          <w:rFonts w:ascii="Times New Roman" w:hAnsi="Times New Roman"/>
          <w:color w:val="000000" w:themeColor="text1"/>
          <w:sz w:val="16"/>
          <w:szCs w:val="16"/>
        </w:rPr>
      </w:pPr>
    </w:p>
    <w:p w14:paraId="697475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C 23 июня по 29 августа 1944 состоялась Белорусская операция - часть операции Багратион. Освободили Белоруссию и продвинулись на 550-600 км, вступив на территорию Польши и вышли к границам Восточной Пруссии (2438,93).</w:t>
      </w:r>
    </w:p>
    <w:p w14:paraId="33C7F1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усиление пяти задействованных ВА привлекли 10 ак и 8 ад. Для них требовалось построить 70 новых аэродромов. Большую часть пополнения получили 1 3БФ и 16ВА 1БФ. В 16ВА возвратились 1гиад и 273 иад, 8 иак (г А.С.Осипенко), 4 шак (г Г.Ф.Байдуков), 132 бад (г И.Л.Федоров), 300 шад (п Т.Е.Ковалев) и 19 оиап (п П.Ф.Чупиков), подчинявшийся ком. ВВС. В 1 и 16ВА было 70% всей авиации, в т.ч. все дневн. б (3 бак и 2 бад). 16ВА тренировалась в сборе и построении в воздухе бак, но решили, что бад и бап - эффективнее (340,169).</w:t>
      </w:r>
    </w:p>
    <w:p w14:paraId="18968D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операции Ставка ВГК организовала действия по срыву оперативных перевозок с привлечением АДД и ВА (518,130).</w:t>
      </w:r>
    </w:p>
    <w:p w14:paraId="62B180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Белорусской операции 8 АК АДД в течение 4-х ночей бомбили 8 аэродромов противника, совершив 1472 самолетовылета. Особенно сильно били по Бресту (89 вылетов), Белостоку (163), Барановичам (458), Бобруйску (126), Лунивцу (118) (518,84).</w:t>
      </w:r>
    </w:p>
    <w:p w14:paraId="4E99F5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645A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23 июня 1944 началась авиационная подготовка Белорусской операции на участках прорыва 1ПрФ, 3 и 2БФ. 147 б были на участке прорыва 3БФ, 258 - 2БФ. Кроме того, на участке 2БФ были летчицы 46 гТаманского нбп Е.Д.Бершанской. На оршанском направлении - было 162 б. Потом пошли ш, которые уничтожали огневые точки и резервы. за первые сутки л 3-х ВА выполнили 4500 вылетов, но в 42 в/боях сбили всего 19 (340,171).</w:t>
      </w:r>
    </w:p>
    <w:p w14:paraId="3C00E2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F6AA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июня 1944 началось мощное авиационное наступление по поддержке наступления в Белоруссии под названием "Багратион" (340,171) и о разгроме лагеря немцев 28-29 июня в ходе этой операции был тот самый известный отчет о действиях штурмовиков от 12 сентября, который везде цитируется (340,173).</w:t>
      </w:r>
    </w:p>
    <w:p w14:paraId="79FC58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EB3FC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июня 1944 началось генеральное наступление войск 1-го Прибалтийского, 2 и 3-го Белорусских фронтов. С утра следующего дня в наступление перешли войска правого крыла 1-го Белорусского фронта.</w:t>
      </w:r>
    </w:p>
    <w:p w14:paraId="3BFB89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Главная авиационная группировка Красной Армии состояла из 3, 1, 4 и 16-й воздушных армий. На втором этапе подключилась 6-я ВА. В общей сложности в операции участвовали 15 штурмовых авиадивизий, в том числе три гвардейских - 1, 2 и 3-я гшад, и один отдельный штурмовой авиаполк - 6-й гшап. Всего насчитывалось около 2000 штурмовиков Ил-2.</w:t>
      </w:r>
    </w:p>
    <w:p w14:paraId="3BE9AC0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Уже в первый день наступления при активной поддержке штурмовиков войска 65А и 28А прорвали немецкую оборону южнее Паричей на участке шириной до 30 км, а введенный в прорыв 1-й гвардейский танковый корпус продвинулся вперед на 20 км.</w:t>
      </w:r>
    </w:p>
    <w:p w14:paraId="0E79E28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Ввод в прорыв танкового корпуса обеспечивала 2-я гшад. В назначенное время над головными танками появилось 40 Ил-2, а через 15 минут - еще 35 штурмовиков.</w:t>
      </w:r>
    </w:p>
    <w:p w14:paraId="74F37E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Надо сказать, сопровождение и поддержка подвижных войск были для штурмовиков довольно сложным делом. Дело в том, что передовые части танкистов нередко двигались впереди арьергардов противника, и разобраться, где свои, а где неприятель было нелегко. В этом отношении характерным является следующий эпизод.</w:t>
      </w:r>
    </w:p>
    <w:p w14:paraId="3C3A76D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Две шестерки 2-й гшад (ведущие старшие лейтенанты Горбатенко и Грибов) вылетели для уничтожения войск противника в пункте Бараний Рог. При подходе Ил-2 к КП командира 1 -го гтк стало известно, что наступление танкистов приостановлено сильным артиллерийским огнем. Командир 2-й гшад генерал Комаров, находясь на этом КП, по радио приказал Грибову произвести разведку и найти немецкую артиллерию в районе населенного пункта и железнодорожной станции Черные Броды. Вскоре Грибов доложил: "Видим на юго-западной окраине до дивизиона артиллерии. Атакуем". Шестью заходами штурмовики подавили артиллерию на огневых позициях. Наши танки перешли в атаку и овладели Черными Бродами (12020).</w:t>
      </w:r>
    </w:p>
    <w:p w14:paraId="29EE72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BA487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рассвете 23 июня 1944 г. Пе-2 наносили удар по флангам немецкой группировки. В авиационной подготовке Белорусской наступательной операции участвовало 548 Пе-2. "Пешки" бомбили цели, выявленные разведкой и подсвеченные экипажами бомбардировщиков авиации дальнего действия. В ходе наступления пикировщики постоянно помогали продвижению наземных войск. Например, 90 Пе-2 из 1-го бак совместно со 180 штурмовиками Ил-2 нанесли удар по Богушевскому узлу сопротивления немцев, который тут же был оставлен противником (3542).</w:t>
      </w:r>
    </w:p>
    <w:p w14:paraId="31F155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6F1C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23 по 28 июня 1944 прошла Витебско-Оршанская операция - часть Белорусской и в районе Витебска окружили 5 дивизий, продвинувшись на 80-150 км (2438,144).</w:t>
      </w:r>
    </w:p>
    <w:p w14:paraId="4B9767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Штаб 1ВА в ходе Витебско-Оршанской операции составил подробный план боевых действий на первые 3 дня наступления и сделал оперативные расчеты на 10 дней (518,116).</w:t>
      </w:r>
    </w:p>
    <w:p w14:paraId="0A6391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ВА проводили авиаподготовку накануне атаки продолжительностью 10-30 мин (518,135).</w:t>
      </w:r>
    </w:p>
    <w:p w14:paraId="28C823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подготовке Витебско-Оршанской операции на воздушную разведку ВА затрачивалось до 25-30% всех самолетовылетов (518,121).</w:t>
      </w:r>
    </w:p>
    <w:p w14:paraId="210BE0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Витебско-Оршанской операции 3БФ на поддержку и прикрытие 5ГТА были выделены 1гбак, 3 шак, 1 гиак и 2иак (до 800 самолетов) (518,157).</w:t>
      </w:r>
    </w:p>
    <w:p w14:paraId="5FAEC3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операции также сочетали сосредоточенные удары и эшелонированные действия ш и б авиации для поддержки при вводе в сражение 5 ГТА (518,162).</w:t>
      </w:r>
    </w:p>
    <w:p w14:paraId="4E9BF9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операции на уничтожение окруженной группировки противника было затрачено 6% самолето-вылетов (518,181).</w:t>
      </w:r>
    </w:p>
    <w:p w14:paraId="50AE61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EA0B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23 по 28 июня 1944 состоялась Могилевская операция - часть Белорусской операции и захватили Могилев (2438,411).</w:t>
      </w:r>
    </w:p>
    <w:p w14:paraId="49C333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операции из-за плохих метеоусловий авиаподготовка ограничивалась действиями нба (518,135).</w:t>
      </w:r>
    </w:p>
    <w:p w14:paraId="60ABBA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2285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июня 1944 состоялся один из крупнейших воздушных ударов войны, когда 761 бомбардировщик бомбил Плоешти (2100).</w:t>
      </w:r>
    </w:p>
    <w:p w14:paraId="4278C9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C731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23-27 июня 1944 состоялась Тулоксинская операция во время Свирско-Петрозаводской с целью перерезать междуречье Видлицы и Тулоксы в тылу немцев. высаживали ладожский десант (2443,214).</w:t>
      </w:r>
    </w:p>
    <w:p w14:paraId="2ACB73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0D7D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23-27 июня 1944 была Тулоксинская десантная операция. </w:t>
      </w:r>
    </w:p>
    <w:p w14:paraId="52834C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Перед началом Свирско-Петрозаводской операции командующий Карельским фронтом принял решение силами ЛВФ высадить морской десант в тыл противника в междуречье Видлицы и Тулоксы, который должен был перерезать шоссейную и железную дороги и, лишив противника возможности подвозить резервы, удерживать захваченный плацдарм до подхода главных сил 7-й армии. Для перевозки десанта (70-я отдельная морская стрелковая бригада, 3667 человек, командир подполковник А. В. Блак) было выделено 4 вспомогательных судна, 2 тральщика и 2 шхуны. [336] </w:t>
      </w:r>
    </w:p>
    <w:p w14:paraId="12175F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отряд высадочных средств входило 12 катеров, 19 тендеров и 9 мотоботов, в охранение — 6 сторожевых катеров МО, 2 бронекатера, десантное судно. Прикрытие десанта на переходе и поддержка его при высадке были возложены на 7-ю воздушную армию и авиацию КБФ (всего 230 самолетов). </w:t>
      </w:r>
    </w:p>
    <w:p w14:paraId="25B913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23.6 в 5 ч корабли отряда артиллерийской поддержки (5 КЛ, 2 ТКА и 2 СКА) открыли огонь по району высадки. Через 30 мин по укреплениям противника нанесли удар бомбардировщики. Огнем кораблей и истребителями была отражена атака самолетов противника. </w:t>
      </w:r>
    </w:p>
    <w:p w14:paraId="483155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5 ч 55 мин катера и тендеры с первым броском десанта подошли к берегу. Канлодки перенесли огонь в глубину обороны противника. Несмотря на яростное сопротивление врага, за день было высажено 3159 человек. Десантники захватили плацдарм 4,5 км по фронту и 2 км в глубину, перерезали дорогу Олонец — Питкяранта. Для поддержки десанта авиация совершила за сутки 347 самолето-вылетов. </w:t>
      </w:r>
    </w:p>
    <w:p w14:paraId="27A090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24.6 к 17 ч в штормовых условиях на плацдарм был высажен первый эшелон 3-й отдельной бригады морской пехоты. Высадка остальных эшелонов из-за шторма длилась до 26.6. Всего было высажено около 5000 человек с 59 орудиями, 46 минометами и др. </w:t>
      </w:r>
    </w:p>
    <w:p w14:paraId="55E001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Поддержанный огнем корабельной артиллерии, десант отразил контратаки противника и прочно удерживал железную и шоссейную дороги на Питкяранту. Отступающие неприятельские войска были вынуждены бросать технику и отходить по проселочным дорогам в обход плацдарма, занятого десантом. </w:t>
      </w:r>
    </w:p>
    <w:p w14:paraId="0DB132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27.6 десант соединился с частями 7-й армии и участвовал в освобождении Видлицы. Канонерские лодки и катера ЛВФ поддерживали огнем наступление войск (11712).</w:t>
      </w:r>
    </w:p>
    <w:p w14:paraId="61E807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D7EBC5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июня 1944 советские войска начали Белорусскую операцию под кодовым названием “Багратион” (4962).</w:t>
      </w:r>
    </w:p>
    <w:p w14:paraId="220B98F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F8FDC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382C62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DC21A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июня 1944 в Атлантическом океане американским бомбардировщиком затоплена японская подлодка, перевозившая 2 тонны золота (4962).</w:t>
      </w:r>
    </w:p>
    <w:p w14:paraId="2D049BD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DACD6A"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июня</w:t>
      </w:r>
      <w:r w:rsidRPr="00070ADE">
        <w:rPr>
          <w:rFonts w:ascii="Times New Roman" w:hAnsi="Times New Roman"/>
          <w:color w:val="000000" w:themeColor="text1"/>
          <w:sz w:val="16"/>
          <w:szCs w:val="16"/>
        </w:rPr>
        <w:t xml:space="preserve"> в 1944 году в Атлантическом океане американским бомбардировщиком затоплена японская подлодка «I-52». Японская подводная лодка «I-52» тайно покинула Японию. После остановки в Сингапуре она пересекла Индийский океан, обогнула мыс Доброй Надежды и продолжила плавание по Атлантическому океану. На борту подлодки находились почти 300 тонн груза (в том числе 2,8 тонны опиума, 54 тонны каучука и 2 тонны золота), полный боекомплект, 95 человек личного </w:t>
      </w:r>
      <w:r w:rsidRPr="00070ADE">
        <w:rPr>
          <w:rFonts w:ascii="Times New Roman" w:hAnsi="Times New Roman"/>
          <w:color w:val="000000" w:themeColor="text1"/>
          <w:sz w:val="16"/>
          <w:szCs w:val="16"/>
        </w:rPr>
        <w:lastRenderedPageBreak/>
        <w:t>состава и 14 инженеров, которым предстояло в Германии ознакомиться с новейшими технологиями производства вооружения. Во французском порту Лорьян дожидалась немецкая субмарина со "встречным" военным грузом на борту. Немцы приготовили для своих союзников радарные установки, вакуумные приборы, шарикоподшипники и, возможно, окись урана для ядерных исследований. Американцы знали об этой секретной операции абсолютно все, до мельчайших подробностей. Посол Японии в Берлине Осима Хироси считался доверенным лицом Гитлера и был посвящен в планы фюрера. Сотрудники японского посольства передавали информацию по радио в министерство иностранных дел в Токио, а разведка союзников перехватывала их зашифрованные сообщения. Спецслужбы союзников сумели расшифровать коды противника, и главное командование в Вашингтоне заранее знало о тайной встрече в Атлантическом океане японской и немецкой подлодок. Место встречи было назначено далеко от берега, чтобы туда не могли долететь самолеты противника. Но у американцев был в запасе так называемый "baby flat-top" – транспортное судно со взлетно-посадочной полосой на палубе. Благодаря мини-авианосцу американская морская авиация могла совершать налеты на корабли противника далеко в открытом море. Ночью 23 июня 1944 года немецкая субмарина всплыла в условленном месте. Вскоре появилась японская лодка. Трое немецких моряков доплыли в шлюпке до «I-52», передали японцам радар и вернулись назад. После этого немецкая лодка сразу же начала погружение. До сих пор неизвестно, почему японцы не последовали примеру немецких коллег – огромная туша японской субмарины безмятежно возвышалась над мелкой рябью спокойного океана. Это была роковая ошибка. Американский "baby flat-top" прибыл в этот район Атлантики на два дня раньше и поджидал свою жертву. Над местом встречи подлодок патрулировали 4 самолета, которые с помощью радаров засекли «I-52» и сбросили осветительные ракеты на парашютах и буй с гидролокатором. Японцы пытались уйти от преследования, но плавучий сонар фиксировал шум от гребных винтов подлодки и передавал радиосигналы на самолет. Пилот, ориентируясь на эти сигналы, выпустил торпеду точно в цель. Новая техника не подвела американцев. На следующий день нефтяное пятно на поверхности океана обозначило место гибели субмарины. Американские рыбаки выловили из воды более 1350 килограммов каучука (14931).</w:t>
      </w:r>
    </w:p>
    <w:p w14:paraId="7907143A" w14:textId="77777777" w:rsidR="00061B7B" w:rsidRPr="00070ADE" w:rsidRDefault="00061B7B" w:rsidP="00B56F90">
      <w:pPr>
        <w:spacing w:after="0" w:line="240" w:lineRule="auto"/>
        <w:jc w:val="both"/>
        <w:rPr>
          <w:rFonts w:ascii="Times New Roman" w:hAnsi="Times New Roman"/>
          <w:color w:val="000000" w:themeColor="text1"/>
          <w:sz w:val="16"/>
          <w:szCs w:val="16"/>
        </w:rPr>
      </w:pPr>
    </w:p>
    <w:p w14:paraId="051878FA" w14:textId="77777777" w:rsidR="00B02CCE" w:rsidRPr="00070ADE" w:rsidRDefault="00B02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23–27 июня 1944 базирующиеся в Лос-Негросе B-24 Liberators 13-го корпуса военно-воздушных сил совершают в среднем 21 ежедневный бомбардировочный самолет против Япа. Два сбиты, 21 поврежден (29373).</w:t>
      </w:r>
    </w:p>
    <w:p w14:paraId="16E5CCF0" w14:textId="77777777" w:rsidR="00B02CCE" w:rsidRPr="00070ADE" w:rsidRDefault="00B02CCE" w:rsidP="00B56F90">
      <w:pPr>
        <w:spacing w:after="0" w:line="240" w:lineRule="auto"/>
        <w:jc w:val="both"/>
        <w:rPr>
          <w:rFonts w:ascii="Times New Roman" w:hAnsi="Times New Roman"/>
          <w:color w:val="000000" w:themeColor="text1"/>
          <w:sz w:val="16"/>
          <w:szCs w:val="16"/>
        </w:rPr>
      </w:pPr>
    </w:p>
    <w:p w14:paraId="08F3DCEC" w14:textId="77777777" w:rsidR="00B02CCE" w:rsidRPr="00070ADE" w:rsidRDefault="00B02CC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23–24 июня (ночь) 1944 по 6–7 июля (ночь) 1944 японские самолеты в небольшом количестве совершают ночные налеты на силы ВМС США у побережья Сайпана, нанося ущерб нескольким десантным кораблям и вспомогательным судам (20373). </w:t>
      </w:r>
    </w:p>
    <w:p w14:paraId="0E6EF306" w14:textId="77777777" w:rsidR="00B02CCE" w:rsidRPr="00070ADE" w:rsidRDefault="00B02CCE" w:rsidP="00B56F90">
      <w:pPr>
        <w:spacing w:after="0" w:line="240" w:lineRule="auto"/>
        <w:jc w:val="both"/>
        <w:rPr>
          <w:rFonts w:ascii="Times New Roman" w:hAnsi="Times New Roman"/>
          <w:color w:val="000000" w:themeColor="text1"/>
          <w:sz w:val="16"/>
          <w:szCs w:val="16"/>
        </w:rPr>
      </w:pPr>
    </w:p>
    <w:p w14:paraId="1F9FE22B"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23 июня</w:t>
      </w:r>
      <w:r w:rsidRPr="00070ADE">
        <w:rPr>
          <w:rFonts w:ascii="Times New Roman" w:hAnsi="Times New Roman"/>
          <w:color w:val="000000" w:themeColor="text1"/>
          <w:sz w:val="16"/>
          <w:szCs w:val="16"/>
        </w:rPr>
        <w:t xml:space="preserve"> в 1944 году сбит старшим сержантом Эмиль Онерва Веса, пилотом ВВС Финляндии, один из последних имеющихся в ВВС СА самолет «Р-10», а старший сержант Лео Агокас одержал победу над крайним «Р-10» 30 июня 1944 года (14931).</w:t>
      </w:r>
    </w:p>
    <w:p w14:paraId="53B45114" w14:textId="77777777" w:rsidR="00061B7B" w:rsidRPr="00070ADE" w:rsidRDefault="00061B7B" w:rsidP="00B56F90">
      <w:pPr>
        <w:spacing w:after="0" w:line="240" w:lineRule="auto"/>
        <w:jc w:val="both"/>
        <w:rPr>
          <w:rFonts w:ascii="Times New Roman" w:hAnsi="Times New Roman"/>
          <w:color w:val="000000" w:themeColor="text1"/>
          <w:sz w:val="16"/>
          <w:szCs w:val="16"/>
        </w:rPr>
      </w:pPr>
    </w:p>
    <w:p w14:paraId="479754B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июня 1944 в Лапландии в авиакатастрофе погиб командующий немецкими войсками в Арктике генерал Эдуард Диетл (4962).</w:t>
      </w:r>
    </w:p>
    <w:p w14:paraId="1399D24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242F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23rd, 1944: Generaloberst Dietl, C-in-C of 20. Gebirgsarmee on the Arctic front in northern Finland, is killed in an air crash (3819).</w:t>
      </w:r>
    </w:p>
    <w:p w14:paraId="7A48C9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56D74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 июня 1944 в авиакатастрофе погиб ГК 20Горной армии на СФ в северной Финляндии г/п Дитль (3819).</w:t>
      </w:r>
    </w:p>
    <w:p w14:paraId="6322A6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69EEB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1F8CE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134E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года начальник самолетного отдела 7-го гл. управления НКАП Бендерский писал письмо N 1307 в Секретариат наркома Гильзину.</w:t>
      </w:r>
    </w:p>
    <w:p w14:paraId="6CB307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Ввиду получения данных по гос. испытаниям самолета Ил-10 АМ-42, направляю статкарту маш. N 3177, фото N 2978, схема N 333.</w:t>
      </w:r>
    </w:p>
    <w:p w14:paraId="2B2BFE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Ранее посланную статкарту маш. N 2426, по данным заводских испытаний, прошу вернуть в 7 гл. управление (1825,53).</w:t>
      </w:r>
    </w:p>
    <w:p w14:paraId="51DF77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FB4C6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закончились гос. испытания И-220 МиГ с АМ-39, которые начались 14 июня и были прекращены из за выхода из строя двигателя (4,249).</w:t>
      </w:r>
    </w:p>
    <w:p w14:paraId="37AF950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июля 1944 л-и А.П.Якимов подписал отчет по результатам заводских летных испытаний с-та И-220 с мотором АМ-39, редукция 0,732 и винтом АВ5Л126А</w:t>
      </w:r>
    </w:p>
    <w:p w14:paraId="65F577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июля 1944 Зам. ГК Гуревич и ст. в/п на заводе 155 Савин утвердили Акт по результатам заводских летных испытаний с-та И-220 с мотором АМ-39, редукция 0,732 и винтом АВ5Л126А</w:t>
      </w:r>
    </w:p>
    <w:p w14:paraId="14ECAB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 испытатель ви с-та Брунов</w:t>
      </w:r>
    </w:p>
    <w:p w14:paraId="5670419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 Якимов</w:t>
      </w:r>
    </w:p>
    <w:p w14:paraId="2B90AF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Цель испытаний: контрольные испытания для проверки лд с серийным мотором АМ-39, проверка и доводка матчасти и ВМГ. На с-те установлено 4хШВАК 20 мм с б/з по 100 патронов на каждую.</w:t>
      </w:r>
    </w:p>
    <w:p w14:paraId="689FCD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с-та 9,5, размах - 11,0, площадь крыла 20,38, профиль NACA-230, угол установки 1 гр.</w:t>
      </w:r>
    </w:p>
    <w:p w14:paraId="559FF6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2 гр в боевом режжииме при 2150 и Рк 1175 на 7000 - 695, на номинальном на 7200 - 690</w:t>
      </w:r>
    </w:p>
    <w:p w14:paraId="74AF07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1 гр. на боевом Рк 1200 на 2700 - 625, на номинальном на 2400 - 624</w:t>
      </w:r>
    </w:p>
    <w:p w14:paraId="79BC84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пикирования - 685 по рибору.</w:t>
      </w:r>
    </w:p>
    <w:p w14:paraId="503949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- 2-й</w:t>
      </w:r>
    </w:p>
    <w:p w14:paraId="40BD81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первом в консоли крыла были поставлены противофлаттерные грузы общим весом 28 кг</w:t>
      </w:r>
    </w:p>
    <w:p w14:paraId="4114B7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 - 3845, в т.ч.</w:t>
      </w:r>
    </w:p>
    <w:p w14:paraId="52E243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- 90</w:t>
      </w:r>
    </w:p>
    <w:p w14:paraId="4D3C4F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горючее - 350</w:t>
      </w:r>
    </w:p>
    <w:p w14:paraId="1DC068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масло - 45</w:t>
      </w:r>
    </w:p>
    <w:p w14:paraId="79780C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оружие - 156</w:t>
      </w:r>
    </w:p>
    <w:p w14:paraId="0D926F1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б/з - 93</w:t>
      </w:r>
    </w:p>
    <w:p w14:paraId="45BCF2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Съемное оборудование - 16</w:t>
      </w:r>
    </w:p>
    <w:p w14:paraId="7CBC02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750</w:t>
      </w:r>
    </w:p>
    <w:p w14:paraId="53B913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Отзывы л</w:t>
      </w:r>
    </w:p>
    <w:p w14:paraId="7E1F09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АМ-39 с беспоплавковым карбюратором на форсаже работает плохо. На номинале - хорошо.</w:t>
      </w:r>
    </w:p>
    <w:p w14:paraId="07CD24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Значительной помехой в полете является обильный выброс масла из носка мотора. Масло нагоняет на козырек и затрудняет полет</w:t>
      </w:r>
    </w:p>
    <w:p w14:paraId="63F223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Бензоочистеители козырька не в состоянии справиться с натекающим маслом из носка мотора</w:t>
      </w:r>
    </w:p>
    <w:p w14:paraId="5B5330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Велики нагрузки на элероны и РВ, особенно на большой скорости</w:t>
      </w:r>
    </w:p>
    <w:p w14:paraId="218058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Слабый обзор назад</w:t>
      </w:r>
    </w:p>
    <w:p w14:paraId="53BF1C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Крайне передняя центровка, особенно у машины, заправленной горючим</w:t>
      </w:r>
    </w:p>
    <w:p w14:paraId="65A7E2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устранении недостатков с-т может быть принят на вооружение. Несомненно будет легко освоен л</w:t>
      </w:r>
    </w:p>
    <w:p w14:paraId="74B4BC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 А.П.Якимов 5 июля 1944</w:t>
      </w:r>
    </w:p>
    <w:p w14:paraId="54A1CF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подлежит передаче в НИИ ВВС для продолжения испытаний</w:t>
      </w:r>
    </w:p>
    <w:p w14:paraId="5EA02E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Брунов (11472,2).</w:t>
      </w:r>
    </w:p>
    <w:p w14:paraId="422C13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3BE7D2"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г. полеты в ходе государственных испытаний И-220 №02 с мотором АМ-39 и полным вооружением были прерва</w:t>
      </w:r>
      <w:r w:rsidRPr="00070ADE">
        <w:rPr>
          <w:rFonts w:ascii="Times New Roman" w:hAnsi="Times New Roman"/>
          <w:color w:val="000000" w:themeColor="text1"/>
          <w:sz w:val="16"/>
          <w:szCs w:val="16"/>
        </w:rPr>
        <w:softHyphen/>
        <w:t>ны из-за выхода из строя мотора АМ-39 и больше не возобновлялись (23401).</w:t>
      </w:r>
    </w:p>
    <w:p w14:paraId="6C394E22" w14:textId="77777777" w:rsidR="001C663D" w:rsidRPr="00070ADE" w:rsidRDefault="001C663D" w:rsidP="00B56F90">
      <w:pPr>
        <w:spacing w:after="0" w:line="240" w:lineRule="auto"/>
        <w:jc w:val="both"/>
        <w:rPr>
          <w:rFonts w:ascii="Times New Roman" w:hAnsi="Times New Roman"/>
          <w:color w:val="000000" w:themeColor="text1"/>
          <w:sz w:val="16"/>
          <w:szCs w:val="16"/>
        </w:rPr>
      </w:pPr>
    </w:p>
    <w:p w14:paraId="300118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состоялся боевой дебют Ла-7 в «маршальском» 19-й ГИАП при проведении опе</w:t>
      </w:r>
      <w:r w:rsidRPr="00070ADE">
        <w:rPr>
          <w:rFonts w:ascii="Times New Roman" w:hAnsi="Times New Roman"/>
          <w:color w:val="000000" w:themeColor="text1"/>
          <w:sz w:val="16"/>
          <w:szCs w:val="16"/>
        </w:rPr>
        <w:softHyphen/>
        <w:t>рации «Багратион» - освобождение Белоруссии. Официальные войсковые испыта</w:t>
      </w:r>
      <w:r w:rsidRPr="00070ADE">
        <w:rPr>
          <w:rFonts w:ascii="Times New Roman" w:hAnsi="Times New Roman"/>
          <w:color w:val="000000" w:themeColor="text1"/>
          <w:sz w:val="16"/>
          <w:szCs w:val="16"/>
        </w:rPr>
        <w:softHyphen/>
        <w:t>ния Ла-7 состоялись несколько поз</w:t>
      </w:r>
      <w:r w:rsidRPr="00070ADE">
        <w:rPr>
          <w:rFonts w:ascii="Times New Roman" w:hAnsi="Times New Roman"/>
          <w:color w:val="000000" w:themeColor="text1"/>
          <w:sz w:val="16"/>
          <w:szCs w:val="16"/>
        </w:rPr>
        <w:softHyphen/>
        <w:t>же в 63-м ГИАП (командир Герой Советского Союза гв. подполковник Горбатюк Е.М.) 3-й ГИАД 1-го ГИАК. Дивизией командовал в то время гв. полковник В.И. Сталин, вернувшийся после опалы в боевой состав ВВС КА (10730).</w:t>
      </w:r>
    </w:p>
    <w:p w14:paraId="351FB0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C414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Нач. Отдела транспортной авиации Михин с письмом N 2567 направил А.И.Ш. докладную записку о целесообразности переделки по окончанию войны Ли-2, находящихся в эксплуатации в АДД, ВВС и ГВФ из транспортных в пассажирские (1822,132).</w:t>
      </w:r>
    </w:p>
    <w:p w14:paraId="4C40C9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1D69ED"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года был утвержден акт по государственным испытаниям самолета Пе-2 с моторами ВК-105ПФ, с винтами ВИШ-105СВП, с модифицированным крылом.</w:t>
      </w:r>
    </w:p>
    <w:p w14:paraId="3C755502"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Цель Испытаний.</w:t>
      </w:r>
    </w:p>
    <w:p w14:paraId="7C4AFDA2"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 Выявить особенности техники пилотирования самолета с модифицированном крылом.</w:t>
      </w:r>
    </w:p>
    <w:p w14:paraId="63F13885"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2.Определить летные данные самолета.</w:t>
      </w:r>
    </w:p>
    <w:p w14:paraId="38122C25"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Объект Испытаний.</w:t>
      </w:r>
    </w:p>
    <w:p w14:paraId="2C345B83"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Предъявленный на испытания самолет Пе-2 № 14/226 с двумя моторами ВК-105ПФ и винтами ВИШ-105СВП,Д=3,0 м, с модифицированным крылом построен заводом № 22 в сентябре 1943 года.</w:t>
      </w:r>
    </w:p>
    <w:p w14:paraId="6FA782C9"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серийных самолетов Пе-2, предъявленный самолет отличается только модифицированным крылом. Сущность модификации серийного крыла заключается в следующем:</w:t>
      </w:r>
    </w:p>
    <w:p w14:paraId="08513CD4"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1.Носок профиля ВВS отъемной части крыла до ~ 25% хорды заменен на профиль NACA-230.</w:t>
      </w:r>
    </w:p>
    <w:p w14:paraId="2F974265"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2.Увеличены площадь крыла на 0,846квм и размах на 0,92м за счет увеличения концевых обтекателей отъемннх частей крыла.</w:t>
      </w:r>
    </w:p>
    <w:p w14:paraId="58DAEB11"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Незначительно изменены передний лонжерон /только в стапеле/, входной канал туннеля водорадиатора и средние части нервюр.</w:t>
      </w:r>
    </w:p>
    <w:p w14:paraId="6178C4DD"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Центроплан, а также остальные детали отъемных частей серийного крыла остались без изменения.</w:t>
      </w:r>
    </w:p>
    <w:p w14:paraId="71253C62"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Результаты Испытаний</w:t>
      </w:r>
    </w:p>
    <w:p w14:paraId="3C8A5D3C"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прибыл в НИИ ВВС Красной Армии для проведения испытаний 29.5.44г.</w:t>
      </w:r>
    </w:p>
    <w:p w14:paraId="2327945A"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самолета начаты 7.5.44 г. и закончены 13.5.44 г.</w:t>
      </w:r>
    </w:p>
    <w:p w14:paraId="4072F419"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испытаний произведено 26 полетов, с общим налетом 12 часов 45 минут.</w:t>
      </w:r>
    </w:p>
    <w:p w14:paraId="150B2DCA"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Летная оценка самолета Пе-2 с модифицированным крылом.</w:t>
      </w:r>
    </w:p>
    <w:p w14:paraId="68E85587"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1.У серийного самолета Пе-2 с модифицированным крылом резко увеличилась поперечная устойчивость на взлете. При подрыве на малой скорости самолет не валится на крыло, поэтому взлет стал значительно проще и менее опасным, чем на серийных самолетах пе-2.</w:t>
      </w:r>
    </w:p>
    <w:p w14:paraId="34261042"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.При наборе высоты уменьшилась минимальная скорость полета и значительно улучшилась поперечная устойчивость самолета. Минимально дспустимая скорость при наборе высоты = 200 -км/час. При дальнейшем уменьшении скорости до 195—190 км/час самолет теряет управляемость и затем сваливается на нос. Наивыгоднейшая скорость набора высоты практически не изменилась /шасси и щитки убраны/.</w:t>
      </w:r>
    </w:p>
    <w:p w14:paraId="334A8340"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Горизонтальный полет возможен до скорости 220 км/час. При дальнейшем уменьшении скорости самолет переходит на нос /шасси и щитки убраны/.</w:t>
      </w:r>
    </w:p>
    <w:p w14:paraId="4C9A0ED5"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Полет на одном моторе производить легче за счет увеличения диапазона скоростей. Минимально допустимая скорость полета на одном моторе 235—240 км/час, при дальнейшем уменьшении скорости, возрастают нагрузки на подали для снятия которых нехватает триммера и ухудшается управляемость. Максимальная скорость при полете на одном моторе равна 300 км/час /шасси убраны, винт неработающего мотора затяжелен, полетный вес 8447 кг. Имеющийся запас скорости 60-65 км/час позволяет производить набор высоты.</w:t>
      </w:r>
    </w:p>
    <w:p w14:paraId="4D37E063"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Минимальная скорость планирования /шасси и щитки убраны/ 235 км/час, при дальнем ем уменьшении скорости самолет становится менее устойчивым, а на скорости 220 км/час переходит на нос. Планирование с выпущенными шасси и щитками на 50° можно производить на скорости 200 км/час, при уменьшении скорости до 180 км/час самолет переходит на нос. Планировать на посадку следует на скорости 220-225 км/час.</w:t>
      </w:r>
    </w:p>
    <w:p w14:paraId="73A81C17"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При посадке с полностью выпущенными щитками не хватает руля глубины для приземления на три точки. Посадку следует производить со щитками выпущеными на 40-45. При высоком выравнивании и козлах, самолет не валится на крыло, что очень важно.</w:t>
      </w:r>
    </w:p>
    <w:p w14:paraId="134A8E4D"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2E41E1D6"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Самолет Пе-2 с модифицированным крылом имеет значительно больший диапазон скоростей и лучную поперечную устойчивость по сравнению с серийным самолетом Пе-2.</w:t>
      </w:r>
    </w:p>
    <w:p w14:paraId="30819B9F"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Самолет стал более безопасным при пилотировании на малых скооостях на всех режимах полета. Модифицированное крыло устранило большой недостаток самолета Пе-2 — сваливание на крыло на малых скоростях.</w:t>
      </w:r>
    </w:p>
    <w:p w14:paraId="773BE42C"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3.необходимо, как можно скорее, внедрить в серийное производство модифицированное крыло, что резко сократит происшествия в строевых частях и облегчит переучивание летного состава на самолете Пе-2.</w:t>
      </w:r>
    </w:p>
    <w:p w14:paraId="4FAD5BC7"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ВЕДУЩИЙ ЛЕТЧИК - ПОМ.НАЧАЛЬНИКА 3-го ОТДЕЛЕНИЯ ПО ЛЕТНОЙ ЧАСТИ ПОДПОЛКОВНИК /ЖДАНОВ/ 16 Июня 1944 г.</w:t>
      </w:r>
    </w:p>
    <w:p w14:paraId="48A6BB6E"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3F715882"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технике пилотирования.</w:t>
      </w:r>
    </w:p>
    <w:p w14:paraId="7A5D3C21"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Установка модифицированного крыла на самолете Пе-2 изменила характер поведения самолета на минимальных скоростях. На самолете Пе-2 с серийным крылом при достижении минимальной скорости появлялась сильная тряска оперения, подергивание всех рулей, и самолет резко переходил на крыло и на нос. На самолете с модифицированным, крылом при этих же условиях появляются- небольшие толчки на рулях, самолет переходит только на нос, при чем после срыва самолет быстро приобретает устойчивость и управляемость.</w:t>
      </w:r>
    </w:p>
    <w:p w14:paraId="65D8B413"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 режимах набора и планирования уменьшились минимальные скорости полета на 15-20 км/час.</w:t>
      </w:r>
    </w:p>
    <w:p w14:paraId="458120EE"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Улучшилась устойчивость самолета на всех режимах полета.</w:t>
      </w:r>
    </w:p>
    <w:p w14:paraId="05D9371C"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Самолет стал значительно проще в пилотировании, особенно на взлете и посадке, так как самолет не имеет тенденции сваливаться на крыло.</w:t>
      </w:r>
    </w:p>
    <w:p w14:paraId="7923EF2E"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Увеличился на 20-26 км/час диапазон скоростей при полете на одном моторе.</w:t>
      </w:r>
    </w:p>
    <w:p w14:paraId="729BB8E2"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Для посадки на три точки с полностью выпущенными щитками не хватает руля глубины.</w:t>
      </w:r>
    </w:p>
    <w:p w14:paraId="5B10BBFF"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летным данным.</w:t>
      </w:r>
    </w:p>
    <w:p w14:paraId="2C091641"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Максимальные скорости скороподъемность, взлетные и посадочные свойства самолета Пе-2 с модифицированным крылом, по сравнению с серийным самолетом Пе-2, практически не изменились.</w:t>
      </w:r>
    </w:p>
    <w:p w14:paraId="73A795AD"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3-ГО ОТДЕЛЕНИЯ 3 ОТДЕЛА НИИ ВВС КРАСНОЙ АРМИИ - ИНЖЕНЕР-ПОЛКОВНИК /КОКОРИН/</w:t>
      </w:r>
    </w:p>
    <w:p w14:paraId="7F25F46C"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июня 1944г.</w:t>
      </w:r>
    </w:p>
    <w:p w14:paraId="6E1EC6B2"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ВЕДУЩИЙ ИНЖЕНЕР 3 ОТДЕЛА НИИ ВВС</w:t>
      </w:r>
    </w:p>
    <w:p w14:paraId="2DB9976C"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КРАСНОЙ АРМИИ ИНЖЕНЕР-МАЙОР /МАТЫЦИН/</w:t>
      </w:r>
    </w:p>
    <w:p w14:paraId="43F2CE58"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июня 1944 г.</w:t>
      </w:r>
    </w:p>
    <w:p w14:paraId="54E2E414"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ВЕДУЩИЙ ЛЕТЧИК - ПОМ.НАЧАЛЬНИКА 3-го ОТДЕЛЕНИЯ ПО ЛЕТНОЙ ЧАСТИ ПОДПОЛКОВНИК /ЖДАНОВ/</w:t>
      </w:r>
    </w:p>
    <w:p w14:paraId="1F54B280"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июня 1944 г. (23345).</w:t>
      </w:r>
    </w:p>
    <w:p w14:paraId="0F50AD2C" w14:textId="77777777" w:rsidR="001C663D" w:rsidRPr="00070ADE" w:rsidRDefault="001C663D" w:rsidP="00B56F90">
      <w:pPr>
        <w:spacing w:after="0" w:line="240" w:lineRule="auto"/>
        <w:jc w:val="both"/>
        <w:rPr>
          <w:rFonts w:ascii="Times New Roman" w:hAnsi="Times New Roman"/>
          <w:color w:val="000000" w:themeColor="text1"/>
          <w:sz w:val="16"/>
          <w:szCs w:val="16"/>
        </w:rPr>
      </w:pPr>
    </w:p>
    <w:p w14:paraId="6C84CA3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года была подготовлена Докладная записка о целесообразности переделки по окончании войны самолетов ЛИ-2, находящихся в эксплуатации в АДД, ВВС и ГВФ, из транспортных в пассажирские.</w:t>
      </w:r>
    </w:p>
    <w:p w14:paraId="3D4F2C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Целесообразность переделки самолетов ЛИ-2 из транспортных в пассажирские определяются тремя условиями:</w:t>
      </w:r>
    </w:p>
    <w:p w14:paraId="217D29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количеством самолетов Ли-2, которое останется после окончания войны;</w:t>
      </w:r>
    </w:p>
    <w:p w14:paraId="59BCFD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состоянием самолетов Ли-2, которые останутся после окончания войны;</w:t>
      </w:r>
    </w:p>
    <w:p w14:paraId="424595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временем, необходимым для организации серийной переделки Ли-2 в пассажирский самолет.</w:t>
      </w:r>
    </w:p>
    <w:p w14:paraId="027D64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Количество самолетов Ли-2</w:t>
      </w:r>
    </w:p>
    <w:p w14:paraId="1F9188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1.VI.44 г. в составе АДД, ГВФ и ВВС имеется до 650 самолетов Ли-2, включая самолеты, находящиеся в ремонте.</w:t>
      </w:r>
    </w:p>
    <w:p w14:paraId="2D2CC4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Авиационная промышленность в 1944 году в среднем в месяц дает 55 самолетов Ли-2.</w:t>
      </w:r>
    </w:p>
    <w:p w14:paraId="2989A4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Продолжительность жизни самолетов Ли-2, по статистике АДД за 1943 г., определяется в 670 летных часов, а налет на самолет за год составляет в среднем 500 часов.</w:t>
      </w:r>
    </w:p>
    <w:p w14:paraId="2068AA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этих данных, расчетным путем получено ориентировочное изменение количества самолетов Ли-2 по месяцам и представлено в таблице N 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67"/>
        <w:gridCol w:w="867"/>
        <w:gridCol w:w="867"/>
        <w:gridCol w:w="867"/>
        <w:gridCol w:w="867"/>
        <w:gridCol w:w="867"/>
        <w:gridCol w:w="867"/>
        <w:gridCol w:w="867"/>
        <w:gridCol w:w="685"/>
        <w:gridCol w:w="567"/>
        <w:gridCol w:w="638"/>
        <w:gridCol w:w="1773"/>
      </w:tblGrid>
      <w:tr w:rsidR="004D4663" w:rsidRPr="00070ADE" w14:paraId="53F92B78" w14:textId="77777777">
        <w:tc>
          <w:tcPr>
            <w:tcW w:w="867" w:type="dxa"/>
          </w:tcPr>
          <w:p w14:paraId="6A580C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Годы/</w:t>
            </w:r>
          </w:p>
        </w:tc>
        <w:tc>
          <w:tcPr>
            <w:tcW w:w="867" w:type="dxa"/>
          </w:tcPr>
          <w:p w14:paraId="4EF5AC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1F51A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7309BB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 год</w:t>
            </w:r>
          </w:p>
        </w:tc>
        <w:tc>
          <w:tcPr>
            <w:tcW w:w="867" w:type="dxa"/>
          </w:tcPr>
          <w:p w14:paraId="57780E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3D71E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EA9669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3D2793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5" w:type="dxa"/>
          </w:tcPr>
          <w:p w14:paraId="5C8107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CFE0F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1945 год</w:t>
            </w:r>
          </w:p>
        </w:tc>
        <w:tc>
          <w:tcPr>
            <w:tcW w:w="638" w:type="dxa"/>
          </w:tcPr>
          <w:p w14:paraId="19ABA1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Pr>
          <w:p w14:paraId="68710C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Примечание</w:t>
            </w:r>
          </w:p>
        </w:tc>
      </w:tr>
      <w:tr w:rsidR="004D4663" w:rsidRPr="00070ADE" w14:paraId="3DEB0B33" w14:textId="77777777">
        <w:tc>
          <w:tcPr>
            <w:tcW w:w="867" w:type="dxa"/>
          </w:tcPr>
          <w:p w14:paraId="190571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месяцы</w:t>
            </w:r>
          </w:p>
        </w:tc>
        <w:tc>
          <w:tcPr>
            <w:tcW w:w="867" w:type="dxa"/>
          </w:tcPr>
          <w:p w14:paraId="00DD9D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1.VI</w:t>
            </w:r>
          </w:p>
        </w:tc>
        <w:tc>
          <w:tcPr>
            <w:tcW w:w="867" w:type="dxa"/>
          </w:tcPr>
          <w:p w14:paraId="50E35F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1.VII</w:t>
            </w:r>
          </w:p>
        </w:tc>
        <w:tc>
          <w:tcPr>
            <w:tcW w:w="867" w:type="dxa"/>
          </w:tcPr>
          <w:p w14:paraId="3DCFB1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1.VIII</w:t>
            </w:r>
          </w:p>
        </w:tc>
        <w:tc>
          <w:tcPr>
            <w:tcW w:w="867" w:type="dxa"/>
          </w:tcPr>
          <w:p w14:paraId="63DF6B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1.IX</w:t>
            </w:r>
          </w:p>
        </w:tc>
        <w:tc>
          <w:tcPr>
            <w:tcW w:w="867" w:type="dxa"/>
          </w:tcPr>
          <w:p w14:paraId="0D199B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1.Х</w:t>
            </w:r>
          </w:p>
        </w:tc>
        <w:tc>
          <w:tcPr>
            <w:tcW w:w="867" w:type="dxa"/>
          </w:tcPr>
          <w:p w14:paraId="2A77DA2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1.XI</w:t>
            </w:r>
          </w:p>
        </w:tc>
        <w:tc>
          <w:tcPr>
            <w:tcW w:w="867" w:type="dxa"/>
          </w:tcPr>
          <w:p w14:paraId="52F9E5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1.XII</w:t>
            </w:r>
          </w:p>
        </w:tc>
        <w:tc>
          <w:tcPr>
            <w:tcW w:w="685" w:type="dxa"/>
          </w:tcPr>
          <w:p w14:paraId="57EA75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1.I</w:t>
            </w:r>
          </w:p>
        </w:tc>
        <w:tc>
          <w:tcPr>
            <w:tcW w:w="567" w:type="dxa"/>
          </w:tcPr>
          <w:p w14:paraId="58B520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1.II</w:t>
            </w:r>
          </w:p>
        </w:tc>
        <w:tc>
          <w:tcPr>
            <w:tcW w:w="638" w:type="dxa"/>
          </w:tcPr>
          <w:p w14:paraId="37AE58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1.III</w:t>
            </w:r>
          </w:p>
        </w:tc>
        <w:tc>
          <w:tcPr>
            <w:tcW w:w="1773" w:type="dxa"/>
          </w:tcPr>
          <w:p w14:paraId="368F98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F3E15BA" w14:textId="77777777">
        <w:tc>
          <w:tcPr>
            <w:tcW w:w="867" w:type="dxa"/>
          </w:tcPr>
          <w:p w14:paraId="7D197F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Кол-во</w:t>
            </w:r>
          </w:p>
        </w:tc>
        <w:tc>
          <w:tcPr>
            <w:tcW w:w="867" w:type="dxa"/>
          </w:tcPr>
          <w:p w14:paraId="563BCD3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F3BF6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A76A3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478DC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BB1FE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68959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7E3AE7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5" w:type="dxa"/>
          </w:tcPr>
          <w:p w14:paraId="34DD6F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DFA7C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8" w:type="dxa"/>
          </w:tcPr>
          <w:p w14:paraId="7D9188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Pr>
          <w:p w14:paraId="531F34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Включая с-ты,</w:t>
            </w:r>
          </w:p>
        </w:tc>
      </w:tr>
      <w:tr w:rsidR="004D4663" w:rsidRPr="00070ADE" w14:paraId="0A504F20" w14:textId="77777777">
        <w:tc>
          <w:tcPr>
            <w:tcW w:w="867" w:type="dxa"/>
          </w:tcPr>
          <w:p w14:paraId="3BD472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с-тов</w:t>
            </w:r>
          </w:p>
        </w:tc>
        <w:tc>
          <w:tcPr>
            <w:tcW w:w="867" w:type="dxa"/>
          </w:tcPr>
          <w:p w14:paraId="602C76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4D72D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DFF57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77DD0D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76579D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A441D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22DFF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5" w:type="dxa"/>
          </w:tcPr>
          <w:p w14:paraId="79B310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57EBE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8" w:type="dxa"/>
          </w:tcPr>
          <w:p w14:paraId="4A6869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Pr>
          <w:p w14:paraId="22A40B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находящиеся в</w:t>
            </w:r>
          </w:p>
        </w:tc>
      </w:tr>
      <w:tr w:rsidR="005106D0" w:rsidRPr="00070ADE" w14:paraId="197C10CD" w14:textId="77777777">
        <w:tc>
          <w:tcPr>
            <w:tcW w:w="867" w:type="dxa"/>
          </w:tcPr>
          <w:p w14:paraId="45F82C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Ли-2</w:t>
            </w:r>
          </w:p>
        </w:tc>
        <w:tc>
          <w:tcPr>
            <w:tcW w:w="867" w:type="dxa"/>
          </w:tcPr>
          <w:p w14:paraId="5CE08A0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tc>
        <w:tc>
          <w:tcPr>
            <w:tcW w:w="867" w:type="dxa"/>
          </w:tcPr>
          <w:p w14:paraId="2D1C8A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663</w:t>
            </w:r>
          </w:p>
        </w:tc>
        <w:tc>
          <w:tcPr>
            <w:tcW w:w="867" w:type="dxa"/>
          </w:tcPr>
          <w:p w14:paraId="3B06E8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675</w:t>
            </w:r>
          </w:p>
        </w:tc>
        <w:tc>
          <w:tcPr>
            <w:tcW w:w="867" w:type="dxa"/>
          </w:tcPr>
          <w:p w14:paraId="13039F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687</w:t>
            </w:r>
          </w:p>
        </w:tc>
        <w:tc>
          <w:tcPr>
            <w:tcW w:w="867" w:type="dxa"/>
          </w:tcPr>
          <w:p w14:paraId="0D0966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698</w:t>
            </w:r>
          </w:p>
        </w:tc>
        <w:tc>
          <w:tcPr>
            <w:tcW w:w="867" w:type="dxa"/>
          </w:tcPr>
          <w:p w14:paraId="3CAF42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708</w:t>
            </w:r>
          </w:p>
        </w:tc>
        <w:tc>
          <w:tcPr>
            <w:tcW w:w="867" w:type="dxa"/>
          </w:tcPr>
          <w:p w14:paraId="2A88B3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718</w:t>
            </w:r>
          </w:p>
        </w:tc>
        <w:tc>
          <w:tcPr>
            <w:tcW w:w="685" w:type="dxa"/>
          </w:tcPr>
          <w:p w14:paraId="596846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727</w:t>
            </w:r>
          </w:p>
        </w:tc>
        <w:tc>
          <w:tcPr>
            <w:tcW w:w="567" w:type="dxa"/>
          </w:tcPr>
          <w:p w14:paraId="106E1E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736</w:t>
            </w:r>
          </w:p>
        </w:tc>
        <w:tc>
          <w:tcPr>
            <w:tcW w:w="638" w:type="dxa"/>
          </w:tcPr>
          <w:p w14:paraId="6B9788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744</w:t>
            </w:r>
          </w:p>
        </w:tc>
        <w:tc>
          <w:tcPr>
            <w:tcW w:w="1773" w:type="dxa"/>
          </w:tcPr>
          <w:p w14:paraId="2F4C34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ремонте (1822,133).</w:t>
            </w:r>
          </w:p>
        </w:tc>
      </w:tr>
    </w:tbl>
    <w:p w14:paraId="479D54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C92024" w14:textId="77777777" w:rsidR="008D055A" w:rsidRPr="00070ADE" w:rsidRDefault="008D055A"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г. вышло постановление ГКО № 6095 об организации на заводе снаряжения PC М-8, М-13 и М-31. В 06.1945 г. завод полност ью вступил в строй, приступил к выпуску сельскохозяйственной техники. В 1947 г. освоено производство аммонита, введен в строй соответствующий цех. В 1955 г. введены в эксплуатацию два машиностроительных цеха. В 1959-60 г. проведена реконструкция завода, начинается строительство газового хозяйства.</w:t>
      </w:r>
    </w:p>
    <w:p w14:paraId="33E2EF7A" w14:textId="77777777" w:rsidR="008D055A" w:rsidRPr="00070ADE" w:rsidRDefault="008D055A"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1960 г. имелся филиал завода по сборке боеприпасов.</w:t>
      </w:r>
    </w:p>
    <w:p w14:paraId="2409F277" w14:textId="77777777" w:rsidR="008D055A" w:rsidRPr="00070ADE" w:rsidRDefault="008D055A"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1967 г. вступила в эксплуатацию мастерская по производству гранулита 79/21, в 1968 г.- мастерская по производству патронов из аммонита 6ЖВ. В 1969 г. построено здание механического цеха. В 1970 г. организовано производство ТНП. В 1972 г. введен в строй новый сборочный корпус, завод становится ведущим в отрасли по снаряжению и сборке боеприпасов. С 1989 г. начинается конверсия производства: налажен выпуск линолеуыа, изделий из полимербетона, мебели.</w:t>
      </w:r>
    </w:p>
    <w:p w14:paraId="2CA77C39" w14:textId="77777777" w:rsidR="008D055A" w:rsidRPr="00070ADE" w:rsidRDefault="008D055A"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пост. Правительства № 473 от 5.07.1992 г. завод определен базовым предприятием по расснаряжеиию и утилизации боеприпасов в Северо-Западном регионе. На заводе создана уникальная установка по выплавке тротила из крупнокалиберных боеприпасов.</w:t>
      </w:r>
    </w:p>
    <w:p w14:paraId="30556B01" w14:textId="77777777" w:rsidR="008D055A" w:rsidRPr="00070ADE" w:rsidRDefault="008D055A"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Указом Президиума ВС СССР от 18.01.1971 г. завод награжден орденом Трудового Красного Знамени.</w:t>
      </w:r>
    </w:p>
    <w:p w14:paraId="57F6C61A" w14:textId="77777777" w:rsidR="008D055A" w:rsidRPr="00070ADE" w:rsidRDefault="008D055A"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311AAAE3" w14:textId="77777777" w:rsidR="008D055A" w:rsidRPr="00070ADE" w:rsidRDefault="008D055A"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Численность персонала (11.1943 г.)- 1500 чел., (2004 г.)- 2000 чел.</w:t>
      </w:r>
    </w:p>
    <w:p w14:paraId="671A9F54" w14:textId="77777777" w:rsidR="008D055A" w:rsidRPr="00070ADE" w:rsidRDefault="008D055A"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(1973 г.)- В.В. Мейпариани, (1975 г.-)- Л.И. Таньков, (1983 г.-)- В.П. Купцов. Гендиректор (1999- 2007 г.-)- Г .Б. Гилик, (-2008-09 г.-)- С. Раковский.</w:t>
      </w:r>
    </w:p>
    <w:p w14:paraId="035F43B1" w14:textId="77777777" w:rsidR="008D055A" w:rsidRPr="00070ADE" w:rsidRDefault="008D055A"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взрывчатка: гранулит, аммонит (1960-е); зерносушилка ЗСП-1,5 (1950-е) (11982).</w:t>
      </w:r>
    </w:p>
    <w:p w14:paraId="78B49F89" w14:textId="77777777" w:rsidR="008D055A" w:rsidRPr="00070ADE" w:rsidRDefault="008D055A" w:rsidP="00B56F90">
      <w:pPr>
        <w:autoSpaceDE w:val="0"/>
        <w:autoSpaceDN w:val="0"/>
        <w:adjustRightInd w:val="0"/>
        <w:spacing w:after="0" w:line="240" w:lineRule="auto"/>
        <w:jc w:val="both"/>
        <w:rPr>
          <w:rFonts w:ascii="Times New Roman" w:hAnsi="Times New Roman"/>
          <w:color w:val="000000" w:themeColor="text1"/>
          <w:sz w:val="16"/>
          <w:szCs w:val="16"/>
        </w:rPr>
      </w:pPr>
    </w:p>
    <w:p w14:paraId="44593A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вышел приказ НКАП N 411с в исполнение постановления ГКО о передаче бывшего 45 завода в Севастополе НКвоеннморфлоту (1647,52).</w:t>
      </w:r>
    </w:p>
    <w:p w14:paraId="2E25A0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911F4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E6AB7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17EE14"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24 июня по 1 августа 1944 года за период операции поражения по различным частям танков Т-34-85 распределялись следующим образом (всего было осмотрено около 150 Т-34-85):</w:t>
      </w:r>
    </w:p>
    <w:p w14:paraId="3415716C"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 башнях танков обнаружено 47% всех поражений, из которых в переднюю часть (вместе с маской) - 15%, в бортах 24% и корме 8%;</w:t>
      </w:r>
    </w:p>
    <w:p w14:paraId="35AD1540"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 корпусу попадания распределялись так: 16,2% в переднюю часть, из них 15% в верхний лобовой лист, и 35,2% в борта, из них 23,4% в подкрылки.</w:t>
      </w:r>
    </w:p>
    <w:p w14:paraId="4C1509FF"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Такое распределение объяснялось тем, что «башни танков Т-34-85 очень велики по сравнению с корпусом танка. С лобовой части поражаемая поверхность башни Т-34-85 почти равна поражаемой поверхности корпуса».</w:t>
      </w:r>
    </w:p>
    <w:p w14:paraId="5E2D5BFE"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своих выводах представители отдела эксплуатации 1-го Белорусского фронта сообщали следующее:</w:t>
      </w:r>
    </w:p>
    <w:p w14:paraId="0D2F0FBF"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«...Размещение боеприпасов в башнях... средних отечественных танков крайне нежелательно, так как до половины попаданий приходится на башню этих танков. Помещенные в башне боеприпасы воспламеняются, и служат причиной гибели как танка, так и экипажа.</w:t>
      </w:r>
    </w:p>
    <w:p w14:paraId="617BB826"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Боеприпасы из башен необходимо перенести в нижнюю часть боевого отделения - наименее поражаемую часть танка. Крайне желательно боеприпасы этих танков поместить в соответствующие кассеты, предохраняющие боеприпасы от поражения осколками при пробивании брони танка и башни.</w:t>
      </w:r>
    </w:p>
    <w:p w14:paraId="6254789F"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Размещение в боевом отделении средних отечественных танков рядом и вперемешку боеприпасов и баков с топливом крайне нежелательно. При поражении топливных баков разбрызганное воспламененное топливо поджигает боеприпасы и наоборот, воспламененные боеприпасы разрушают топливные баки и зажигают горючее.</w:t>
      </w:r>
    </w:p>
    <w:p w14:paraId="5DA45E67"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Топливные баки желательно перенести в зад танка, в наименее поражаемое место. Топливные баки должны быть изолированы от трансмиссионного отделения.</w:t>
      </w:r>
    </w:p>
    <w:p w14:paraId="05C66BD0"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Противопожарное оборудование на отечественных танках либо вовсе отсутствует, либо работает неудовлетворительно. Крайне желательно установить на отечественных танках приспособление автоматического тушения пожара, это частично сохранит жизнь экипажу, не могущему покинуть танк.</w:t>
      </w:r>
    </w:p>
    <w:p w14:paraId="2822CE99"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Учитывая высокий процент поражения в лобовую часть корпусов, необходимо лобовую броню по возможности усилить. Крайне желательно верхнюю лобовую броню Т-34-85 усилить хотя бы 25 мм экраном, наложенным непосредственно на броню.</w:t>
      </w:r>
    </w:p>
    <w:p w14:paraId="5A5C9AB9"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Учитывая возрастающую интенсивность применения противником кумулятивных противотанковых средств («Фауст» и «Офенрор»), необходимо принять меры защиты от них путем применения экранов на вновь изготовляемых танках» (12217).</w:t>
      </w:r>
    </w:p>
    <w:p w14:paraId="2DA88E90" w14:textId="77777777" w:rsidR="000340E9" w:rsidRPr="00070ADE" w:rsidRDefault="000340E9" w:rsidP="00B56F90">
      <w:pPr>
        <w:spacing w:after="0" w:line="240" w:lineRule="auto"/>
        <w:jc w:val="both"/>
        <w:rPr>
          <w:rFonts w:ascii="Times New Roman" w:hAnsi="Times New Roman"/>
          <w:color w:val="000000" w:themeColor="text1"/>
          <w:sz w:val="16"/>
          <w:szCs w:val="16"/>
        </w:rPr>
      </w:pPr>
    </w:p>
    <w:p w14:paraId="3671FE9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24 по 28 июня 1944 года на АНИОПе проходили испытания второго опытного образца артсамохода СУ-100. После проведения стрельбы в количестве 923 выстрела и пробега на 250 км государственная комиссия признала, что "тактико-технические показатели СУ-100 обеспечивают успешное поражение современных бронетанковых средств противника на дистанциях 1500 м для танков "Тигр" и "Пантера" вне зависимости от точки попадания снаряда, а для артсамохода "Фердинанд" только при попадании в бортовую броню, но с дистанции 2000 м" (9637).</w:t>
      </w:r>
    </w:p>
    <w:p w14:paraId="4E4167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E28FE96" w14:textId="77777777" w:rsidR="008D055A" w:rsidRPr="00070ADE" w:rsidRDefault="008D055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24 по 27 июня 1944 на Гороховецком АНИОП проходили испытания второго опытного образца СУ-100, за это время машина прошла 250 км, из них 50 — с расстопоренным орудием. Также произвели 923 выстрела, из них 526 — усиленным зарядом. По итогам испытаний комиссия отметила девять пунктов исправлений по самоходной части и двенадцать по орудию и прицельным приспособлениям. Вместе с тем общий вердикт был однозначным: СУ-100 испытания выдержала и после доработок может быть принята на вооружение Красной армии. 3 июля Сталин подписал постановление ГКО №6131сс «Об организации производства самоходных артиллерийских установок СУ-100 на Уралмашзаводе Наркомата танковой промышленности и 100-мм пушек Д-10с на заводах №№8 и 9 Наркомата вооружения» (18252).</w:t>
      </w:r>
    </w:p>
    <w:p w14:paraId="45BB995B" w14:textId="77777777" w:rsidR="008D055A" w:rsidRPr="00070ADE" w:rsidRDefault="008D055A" w:rsidP="00B56F90">
      <w:pPr>
        <w:spacing w:after="0" w:line="240" w:lineRule="auto"/>
        <w:jc w:val="both"/>
        <w:rPr>
          <w:rFonts w:ascii="Times New Roman" w:hAnsi="Times New Roman"/>
          <w:color w:val="000000" w:themeColor="text1"/>
          <w:sz w:val="16"/>
          <w:szCs w:val="16"/>
        </w:rPr>
      </w:pPr>
    </w:p>
    <w:p w14:paraId="48F722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с 24 по 28 июня 1944 г. государственные испытания второго опытного образца СУ-100 бы</w:t>
      </w:r>
      <w:r w:rsidRPr="00070ADE">
        <w:rPr>
          <w:rFonts w:ascii="Times New Roman" w:hAnsi="Times New Roman"/>
          <w:color w:val="000000" w:themeColor="text1"/>
          <w:sz w:val="16"/>
          <w:szCs w:val="16"/>
        </w:rPr>
        <w:softHyphen/>
        <w:t>ли проведены на Горохо</w:t>
      </w:r>
      <w:r w:rsidRPr="00070ADE">
        <w:rPr>
          <w:rFonts w:ascii="Times New Roman" w:hAnsi="Times New Roman"/>
          <w:color w:val="000000" w:themeColor="text1"/>
          <w:sz w:val="16"/>
          <w:szCs w:val="16"/>
        </w:rPr>
        <w:softHyphen/>
        <w:t>вецком АНИОПе По результатам испытаний САУ была рекомендована для при нятия на вооруже</w:t>
      </w:r>
      <w:r w:rsidRPr="00070ADE">
        <w:rPr>
          <w:rFonts w:ascii="Times New Roman" w:hAnsi="Times New Roman"/>
          <w:color w:val="000000" w:themeColor="text1"/>
          <w:sz w:val="16"/>
          <w:szCs w:val="16"/>
        </w:rPr>
        <w:softHyphen/>
        <w:t>ние (10703).</w:t>
      </w:r>
    </w:p>
    <w:p w14:paraId="4BE91A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9894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24 по 28 июня 1944 года на АНИОПе проходили испытания Су-100-2 Уралмаш. После проведения стрельбы в количестве 923 выстрелов и пробега в 250 км государственная комиссия признала, что "тактико-технические показатели СУ-100 обеспечивают успешное поражение современных бронетанковых средств противника на дистанциях 1500 метров для танков "Тигр" и "Пантера" вне зависимости от точки попадания снаряда, а для "Фердинанд" только при попадании в бортовую броню, но с дистанции 2000 метров" (3862).</w:t>
      </w:r>
    </w:p>
    <w:p w14:paraId="208A91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F4DB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САУ СУ-100-2 с пушкой С-34 специальным поездом доставили на полигон в Гороховец в начале июля 1944 года (3862).</w:t>
      </w:r>
    </w:p>
    <w:p w14:paraId="12A568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F9BA5D" w14:textId="77777777" w:rsidR="00B56F90" w:rsidRPr="001A0BAA" w:rsidRDefault="00B56F90" w:rsidP="00B56F9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период с 24 по 27 июня 1944 года на Гороховецком АНИОП проходили испытания второго опытного образца СУ-100 с пушкой Д-10с. За это время машина прошла 250 километров по проселку, с орудием, которое сняли со стопора по-походному. В ходе огневых испытаний из орудия произвели 923 выстрела, из них 526 — усиленным зарядом. Скорострельность осталась на прежнем уровне, а прочность орудия увеличилась. Вместе с тем, по орудийной установке набралось 12 пунктов замечаний.</w:t>
      </w:r>
    </w:p>
    <w:p w14:paraId="026F59D4" w14:textId="77777777" w:rsidR="00B56F90" w:rsidRPr="001A0BAA" w:rsidRDefault="00B56F90" w:rsidP="00B56F9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Еще 9 пунктов замечаний набралось по самоходной части. Изучение боевого отделения показало, что ситуация с размещением экипажа стала лучше, тем не менее, внутри СУ-100 всё равно было тесно. Вместе с тем, надо быть реалистами. Общая конфигурация рубки мало изменилась еще со времен СУ-122, а по ней изначально была масса жалоб. Одним словом, СУ-100, в любом случае, являлась результатом компромисса. Поэтому комиссия повторила выводы, сделанные ранее. Посла доработки рекомендовалось запускать СУ-100 в серийное производство. Это стало основанием для подписания 3 июля 1944 года постановления ГКО №6131сс (24928).</w:t>
      </w:r>
    </w:p>
    <w:p w14:paraId="04D5DDE8" w14:textId="77777777" w:rsidR="00B56F90" w:rsidRPr="001A0BAA" w:rsidRDefault="00B56F90" w:rsidP="00B56F90">
      <w:pPr>
        <w:spacing w:after="0" w:line="240" w:lineRule="auto"/>
        <w:jc w:val="both"/>
        <w:rPr>
          <w:rFonts w:ascii="Times New Roman" w:hAnsi="Times New Roman"/>
          <w:color w:val="0070C0"/>
          <w:sz w:val="16"/>
          <w:szCs w:val="16"/>
        </w:rPr>
      </w:pPr>
    </w:p>
    <w:p w14:paraId="1BAEB021" w14:textId="77777777" w:rsidR="00B56F90" w:rsidRPr="001A0BAA" w:rsidRDefault="00B56F90" w:rsidP="00B56F9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24 по 28 июня 1944 года на АНИОПе проходили испытания СУ-100-2 с орудием С-34. Пос</w:t>
      </w:r>
      <w:r w:rsidRPr="001A0BAA">
        <w:rPr>
          <w:rFonts w:ascii="Times New Roman" w:hAnsi="Times New Roman"/>
          <w:color w:val="0070C0"/>
          <w:sz w:val="16"/>
          <w:szCs w:val="16"/>
        </w:rPr>
        <w:softHyphen/>
        <w:t>ле проведения стрельбы (923 выстрела) и пробега на 250 км государственная комис</w:t>
      </w:r>
      <w:r w:rsidRPr="001A0BAA">
        <w:rPr>
          <w:rFonts w:ascii="Times New Roman" w:hAnsi="Times New Roman"/>
          <w:color w:val="0070C0"/>
          <w:sz w:val="16"/>
          <w:szCs w:val="16"/>
        </w:rPr>
        <w:softHyphen/>
        <w:t>сия под председательством полковника Рупышева признала, что «тактико-техни</w:t>
      </w:r>
      <w:r w:rsidRPr="001A0BAA">
        <w:rPr>
          <w:rFonts w:ascii="Times New Roman" w:hAnsi="Times New Roman"/>
          <w:color w:val="0070C0"/>
          <w:sz w:val="16"/>
          <w:szCs w:val="16"/>
        </w:rPr>
        <w:softHyphen/>
        <w:t>ческие показатели СУ-100 обеспечивают успешное поражение современных броне</w:t>
      </w:r>
      <w:r w:rsidRPr="001A0BAA">
        <w:rPr>
          <w:rFonts w:ascii="Times New Roman" w:hAnsi="Times New Roman"/>
          <w:color w:val="0070C0"/>
          <w:sz w:val="16"/>
          <w:szCs w:val="16"/>
        </w:rPr>
        <w:softHyphen/>
        <w:t>танковых средств противника на дистан</w:t>
      </w:r>
      <w:r w:rsidRPr="001A0BAA">
        <w:rPr>
          <w:rFonts w:ascii="Times New Roman" w:hAnsi="Times New Roman"/>
          <w:color w:val="0070C0"/>
          <w:sz w:val="16"/>
          <w:szCs w:val="16"/>
        </w:rPr>
        <w:softHyphen/>
        <w:t>циях 1500 м для танков «Тигр» и «Панте</w:t>
      </w:r>
      <w:r w:rsidRPr="001A0BAA">
        <w:rPr>
          <w:rFonts w:ascii="Times New Roman" w:hAnsi="Times New Roman"/>
          <w:color w:val="0070C0"/>
          <w:sz w:val="16"/>
          <w:szCs w:val="16"/>
        </w:rPr>
        <w:softHyphen/>
        <w:t>ра» вне зависимости от точки попадания снаряда, а для артсамохода «Фердинанд» — только при попадании в бортовую броню, но с дистанции 2000 м» (25002).</w:t>
      </w:r>
    </w:p>
    <w:p w14:paraId="17A797DB" w14:textId="77777777" w:rsidR="00B56F90" w:rsidRPr="001A0BAA" w:rsidRDefault="00B56F90" w:rsidP="00B56F90">
      <w:pPr>
        <w:spacing w:after="0" w:line="240" w:lineRule="auto"/>
        <w:jc w:val="both"/>
        <w:rPr>
          <w:rFonts w:ascii="Times New Roman" w:hAnsi="Times New Roman"/>
          <w:color w:val="0070C0"/>
          <w:sz w:val="16"/>
          <w:szCs w:val="16"/>
        </w:rPr>
      </w:pPr>
    </w:p>
    <w:p w14:paraId="6EA849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Распоряжение ГКО № 6089. О сокращении плана восстановительных работ НКзага в Ленинграде. РГАНИР, Фонд ГКО, д. 265, лл. 139 (11012).</w:t>
      </w:r>
    </w:p>
    <w:p w14:paraId="4913E0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A98C62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Распоряжение ГКО № 6090. Об изменении объема валового выпуска по ленинградским заводам НКСМ на 1944 г. РГАНИР, Фонд ГКО, д. 265, лл. 140 (11012).</w:t>
      </w:r>
    </w:p>
    <w:p w14:paraId="71F6815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8CD934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Распоряжение ГКО № 6091. О выделении жилых домов заводу № 302 НКСП в Киеве. РГАНИР, Фонд ГКО, д. 265, лл. 141 (11012).</w:t>
      </w:r>
    </w:p>
    <w:p w14:paraId="21987B3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1BCA8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Постановление ГКО № 6092 О мерах неотложной помощи Головинскому карьероуправлению по добыче гранита Наркомстройматериалов СССР. РГАНИР, Фонд ГКО, д. 265, лл. 142-145 (11012).</w:t>
      </w:r>
    </w:p>
    <w:p w14:paraId="6D9C12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776FA6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Постановление ГКО № 6093 Об обеспечении боеприпасов спецукупоркой и создании запасов пиловочного сырья и пиломатериалов для ее изготовления. РГАНИР, Фонд ГКО, д. 265, лл. 146-163,164-229 (11012).</w:t>
      </w:r>
    </w:p>
    <w:p w14:paraId="4A71009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C3032B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Постановление ГКО № 6094 О первоочередных мероприятиях по восстановлению портов и судоремонтных заводов Наркомморфлота в городах Одессе, Николаеве и Херсоне. (7243, 1-6,7-25).</w:t>
      </w:r>
    </w:p>
    <w:p w14:paraId="10156C9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F4CB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Постановление ГКО № 6095 Об организации снаряжения реактивных снарядов М-8, М-13 и М-31 на заводе № 121 Наркомбоеприпасов. РГАНИР, Фонд ГКО, д. 266, лл. 26-31,32-35 (11012).</w:t>
      </w:r>
    </w:p>
    <w:p w14:paraId="6A3A7E1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10408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Постановление ГКО № 6096 Об окончании строительства и пуска особого завода № 862 НКБ. РГАНИР, Фонд ГКО, д. 266, лл. 36-39,40-46 (11012).</w:t>
      </w:r>
    </w:p>
    <w:p w14:paraId="72BF6A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47526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Постановление ГКО № 6097 О строительстве складов упрощенного типа для хранения импортных порохов. РГАНИР, Фонд ГКО, д. 266, лл. 47-52,53-54 (11012).</w:t>
      </w:r>
    </w:p>
    <w:p w14:paraId="0D554B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C4D1A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Постановление ГКО № 6098 Об организации военизированной охраны НКВД на взрывоопасных заводах НКБ. РГАНИР, Фонд ГКО, д. 266, лл. 55-56 (11012).</w:t>
      </w:r>
    </w:p>
    <w:p w14:paraId="55056F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C94AAF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Постановление ГКО № 6099 О строительстве взлетно-посадочной полосы из металлических звеньев на аэродроме Иоканьга для Наркомвоенморфлота. РГАНИР, Фонд ГКО, д. 266, лл. 57-60,61-63 (11012).</w:t>
      </w:r>
    </w:p>
    <w:p w14:paraId="7E6EC7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AD62B7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Постановление ГКО № 6101 Об обеспечении железных дорог дровами. (7243, 65-71,72-76).</w:t>
      </w:r>
    </w:p>
    <w:p w14:paraId="054E387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D9FF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Постановление ГКО № 6103 О мерах помощи по восстановлению нефтебаз в г. Ленинграде и Ленинградской области. РГАНИР, Фонд ГКО, д. 266, лл. 93-96,97-100 (11012).</w:t>
      </w:r>
    </w:p>
    <w:p w14:paraId="5A2CE25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6F501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Постановление ГКО № 6104 О мероприятиях по восстановлению Ефремовского завода синтетического каучука (СК-3) Наркомрезинпрома. РГАНИР, Фонд ГКО, д. 266, лл. 101-105,106-110 (11012).</w:t>
      </w:r>
    </w:p>
    <w:p w14:paraId="00454F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E0105F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Постановление ГКО № 6102 О расширении научно-исследовательской и производственной баз гидролокационной и шумопеленгаторной аппаратуры и приборов подводной связи. (7243, 77-84,85-92).</w:t>
      </w:r>
    </w:p>
    <w:p w14:paraId="084F5E6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E6679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Постановление ГКО № 6105 О мероприятиях по обеспечению ввода новых мощностей на стройках Наркомата черной металлургии, осуществляемых НКВД СССР во II полугодии 1944 г. (7243, 111-113,114-156).</w:t>
      </w:r>
    </w:p>
    <w:p w14:paraId="0D201C1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E16B5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Постановление ГКО № 6106 Об организации производства реактивных снарядов М-13 на заводе № 79 НКБ в г. Днепропетровске. РГАНИР, Фонд ГКО, д. 266, лл. 157-163,164-173 (11012).</w:t>
      </w:r>
    </w:p>
    <w:p w14:paraId="19E037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9CBB66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Постановление ГКО № 6107 Об обеспечении серным сырьем предприятий Наркомхимпрома, Наркомбоеприпасов и Наркомбумпрома. РГАНИР, Фонд ГКО, д. 266, лл. 174-176 (11012).</w:t>
      </w:r>
    </w:p>
    <w:p w14:paraId="27228D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38A058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Постановление ГКО № 6108 [О передаче завода № 05 НКЦМ в систему НКБ.] (7243, 177).</w:t>
      </w:r>
    </w:p>
    <w:p w14:paraId="110436F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BE3B1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Постановление ГКО № 6109 Об обеспечении завоза продовольственных и промышленных товаров строительству № 500 НКВД СССР на межнавигационный период 1944-1945 гг. (7243, 178-180,181-190).</w:t>
      </w:r>
    </w:p>
    <w:p w14:paraId="41ED972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CC9D0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Постановление ГКО № 6110 Об улучшении материально-бытового положения контингентов, занятых на строительстве железнодорожной магистрали Коноша - Воркута. (7243, 191-192).</w:t>
      </w:r>
    </w:p>
    <w:p w14:paraId="0EB17BB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E4420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Постановление ГКО № 6111 О неотложных мерах по обеспечению ремонта и восстановления грузовых вагонов и паровозов в июне и III квартале 1944 г. (7243, 193-205,206-214).</w:t>
      </w:r>
    </w:p>
    <w:p w14:paraId="54C6980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C344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Постановление ГКО № 6112 О восстановлении нефтебаз в правобережных областях Украинской ССР. РГАНИР, Фонд ГКО, д. 266, лл. 215-219,220-226 (11012).</w:t>
      </w:r>
    </w:p>
    <w:p w14:paraId="1B1FE5D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1C10E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г. ГКО принял поста</w:t>
      </w:r>
      <w:r w:rsidRPr="00070ADE">
        <w:rPr>
          <w:rFonts w:ascii="Times New Roman" w:hAnsi="Times New Roman"/>
          <w:color w:val="000000" w:themeColor="text1"/>
          <w:sz w:val="16"/>
          <w:szCs w:val="16"/>
        </w:rPr>
        <w:softHyphen/>
        <w:t>новление "О первоочередных мероприятиях по восстановлению портов и судоремонтных заводов НКМФ в городах Одессе, Никола</w:t>
      </w:r>
      <w:r w:rsidRPr="00070ADE">
        <w:rPr>
          <w:rFonts w:ascii="Times New Roman" w:hAnsi="Times New Roman"/>
          <w:color w:val="000000" w:themeColor="text1"/>
          <w:sz w:val="16"/>
          <w:szCs w:val="16"/>
        </w:rPr>
        <w:softHyphen/>
        <w:t>еве, Херсоне" (3898).</w:t>
      </w:r>
    </w:p>
    <w:p w14:paraId="5655EA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033B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Закончены государственные испытания и переданы флоту головной ТЩ ждановцев (построен за 11 мес.) и 13-й МБК адмиралтейцев (построен за 6 мес.; сдан раньше срока на месяц) (10671).</w:t>
      </w:r>
    </w:p>
    <w:p w14:paraId="4C0B4C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87E6DF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54DB4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13C5C3"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24 июня</w:t>
      </w:r>
      <w:r w:rsidRPr="00070ADE">
        <w:rPr>
          <w:rFonts w:ascii="Times New Roman" w:hAnsi="Times New Roman"/>
          <w:color w:val="000000" w:themeColor="text1"/>
          <w:sz w:val="16"/>
          <w:szCs w:val="16"/>
        </w:rPr>
        <w:t xml:space="preserve"> в 1944 году оперативная сводка Совинформбюро:</w:t>
      </w:r>
    </w:p>
    <w:p w14:paraId="0E968317"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Карельского фронта севернее Онежского озера, сломив сопротивление противника, полностью овладели крупным районным центром Карело-Финской ССР городом Медвежьегорск.</w:t>
      </w:r>
    </w:p>
    <w:p w14:paraId="3F2FB424"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того же фронта, развивая наступление севернее и восточнее Лодейного Поля, форсировали реку Свирь на всём протяжении от Онежского озера до Ладожского озера и, прорвав сильно укреплённую оборону противника, продвинулись вперёд за три дня наступательных боёв от 20 до 30 километров, заняли более 200 населённых пунктов, среди которых Михайловское, Мегрозеро, Печная Сельга, Бережная, Микентьева.</w:t>
      </w:r>
    </w:p>
    <w:p w14:paraId="241E980E"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города Витебск наши войска, продолжая успешное наступление, за два дня боёв продвинулись вперёд от 20 до 40 километров и расширили прорыв до 80 километров по фронту. За 24 июня на этом участке фронта нашими войсками освобождено более 200 населённых пунктов, в том числе крупные населённые пункты Ходоровка, Долгая Нива, Прыгунова, Мясоедово, Залесье, Загорье, Мишковичи, Барановские, Вишневка, Кутино, Андросо Вичи, Дубровское, Ужлятина и железнодорожная станция Ловша. Наши войска вышли к реке Западная Двина на фронте в 35 километров.</w:t>
      </w:r>
    </w:p>
    <w:p w14:paraId="44BC15CC"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Витебск наши войска, продолжая развивать наступление, за два дня боёв продвинулись вперёд до 25 километров и расширили прорыв до 80 километров по фронту. За 24 июня на этом участке фронта нашими войсками освобождено более 150 населённых пунктов, в том числе крупные населённые пункты Роги, Заозерье (8 км юго-западнее Витебска), Хамищево, Плиссы, Замощенье, Задорожье, Верхнее и Нижнее Александрово Филево, Ског, Верхняя и Нижняя Гряда, Лучеса, Большая Щитовка, Рыжики и железнодорожные станции Сосновка, Лучковское.</w:t>
      </w:r>
    </w:p>
    <w:p w14:paraId="7E9CFC3C"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ОршанскоМ направлении наши войска, перейдя в наступление, прорвали сильно укреплённую оборону противника южнее Бабиновичи на фронте протяжением 20 километров и, преодолевая сильное сопротивление немцев, продвинулись в глубину до 15 километров. Нашими войсками занято более 50 населённых пунктов, в том числе крупные населённые пункты Озерище, Веретея, Остров Юрьев, Шибаны, Старина, Замошье, Старые Холмы, Забежница.</w:t>
      </w:r>
    </w:p>
    <w:p w14:paraId="678594C9"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Могилевском направлении наши войска, перейдя в наступление, форсировали реку Проня, прорвали сильно укреплённую оборону противника севернее Чаус и продвинулись вперёд до 20 километров, расширив прорыв до 50 километров по фронту. Нашими войсками освобождено более 70 населённых пунктов. Среди них крупные населённые пункты Старый Прибуж, Воловичи, Заложье, Будино, Радучи, Большое Щек0тов0, Слободка, Шестаки, Жаковка, Черневка, Коровчино, Хоньковичи, Поповна, Разинка, Чернавцы, Беливица.</w:t>
      </w:r>
    </w:p>
    <w:p w14:paraId="0AA9E121"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без существенных изменений.</w:t>
      </w:r>
    </w:p>
    <w:p w14:paraId="322E5700"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23 июня в воздушных боях и огнём зенитной артиллерии уничтожено 54 самолёта противника.</w:t>
      </w:r>
    </w:p>
    <w:p w14:paraId="36CC74B1"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Финны разграбили и разрушили Свирскую гидроэлектростанцию</w:t>
      </w:r>
    </w:p>
    <w:p w14:paraId="5CA56E09"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Войска Карельского фронта освободили от финских захватчиков Свирскую гидростанцию. Финские гитлеровцы разграбили и разрушили это крупнейшее энергетическое сооружение. Во время отступления финны вывезли аппаратуру, кабели, медные шины, моторы, лифты и другое оборудование станции, взорвали четыре главных турбины и две вспомогательных, сожгли генераторы, разрушили трансформаторы и взорвали мосты. Финские варвары полностью сожгли рабочий посёлок Свирской гидростанции.</w:t>
      </w:r>
    </w:p>
    <w:p w14:paraId="517B30E6"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Лавры немецких фашистов не дают покоя правящей клике Финляндии. Финские мерзавцы, связавшие свою судьбу с фашистской Германией, стараются не отстать от гитлеровских погромщиков. Отступая под ударами Красной Армии, финны превращают советскую территорию в «зону пустыни».</w:t>
      </w:r>
    </w:p>
    <w:p w14:paraId="7E0FDB64"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Красная Армия гонит холопов Гитлера прочь с советской земли. В звериной злобе финские бандиты уничтожают наши сёла и города, предприятия, построенные советским народом на свои трудовые сбережения. На что рассчитывают, на что надеются оголтелые разбойники и поджигатели, дышащие на ладан? Пусть знают финские гитлеровцы, что советский народ не простит им ни одного преступления, совершённого ими на советской земле, и потребует полного возмещения убытков, причинённых финнами Советскому Союзу.</w:t>
      </w:r>
    </w:p>
    <w:p w14:paraId="4160847D"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города Витебск части Н-ского соединения, продвигаясь вперёд, разгромили крупное соединение немцев. Только на одном участке уничтожено более 2 тысяч гитлеровцев и захвачено 6 танков, 60 орудий, много миномётов, пулемётов и окладов с различным военным имуществом. Под ударами наших частей гитлеровцы откатываются, бросая на своем пути вооружение и военные мате риалы. Советские войска вышли к реке Западная Двина на фронте в 35 километров.</w:t>
      </w:r>
    </w:p>
    <w:p w14:paraId="2EC77E50"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наносила удары по артиллерийским позициям, скоплениям войск и коммуникациям противника. Уничтожено 150 автомашин и 180 повозок с пехотой и грузами, разбит бронепоезд, несколько железнодорожных эшелонов и 5 цистерн с горючим. Подавлен огонь 20 артиллерийских и миномётных батарей. В воздушных боях наши лётчики сбили 11 немецких самолётов.</w:t>
      </w:r>
    </w:p>
    <w:p w14:paraId="364580CE"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и южнее города Витебск противник спешно подтягивает резервы и с хода бросает их в бой. Немцы стремятся любой ценой задержать продвижение наших войск. Не давая врагу опомниться и привести в порядок свои разбитые и дезорганизованные соединения, советские части настойчиво продвигаются вперёд. По неполным данным, враг потерял за день до 3.500 солдат и офицеров, 74 орудия и 137 пулемётов.</w:t>
      </w:r>
    </w:p>
    <w:p w14:paraId="236B2C17"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Советские бомбардировщики и штурмовики наносят непрерывные удары по живой силе и технике противника. Наши истребители в воздушных боях сбили 15 немецких самолётов.</w:t>
      </w:r>
    </w:p>
    <w:p w14:paraId="61872C3F"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Могилёвском направлении наши войска, после сильного артиллерийского обстрела и бомбардировки позиций противника с воздуха, перешли в наступление. Советская пехота быстро форсировала реку Проня. Враг построил на западном берегу этой реки оборонительный рубеж, состоящий из многочисленных дзотов и нескольких линий траншей полного профиля. Советские войска мощным ударом прорвали оборону противника и, развивая успех, продвинулись вперёд до 20 километров. В траншеях и ходах сообщений осталось много вражеских трупов. Только на одном небольшом участке подсчитано 600 убитых гитлеровцев.</w:t>
      </w:r>
    </w:p>
    <w:p w14:paraId="19B94814"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Партизанский отряд имени Героя Советского Союза Заслонова напал на немецкий гарнизон в одном населённом пункте Витебской области. В ожесточённой рукопашной схватке партизаны истребили 40 гитлеровцев и захватили большие трофеи. Партизанский отряд «Гроза» за один день пустил под откос 3 немецких воинских эшелона. Разбито 3 паровоза, 16 вагонов и платформ с военным грузом.»</w:t>
      </w:r>
    </w:p>
    <w:p w14:paraId="740EDCE9" w14:textId="77777777" w:rsidR="00061B7B" w:rsidRPr="00070ADE" w:rsidRDefault="00061B7B" w:rsidP="00B56F90">
      <w:pPr>
        <w:spacing w:after="0" w:line="240" w:lineRule="auto"/>
        <w:jc w:val="both"/>
        <w:rPr>
          <w:rFonts w:ascii="Times New Roman" w:hAnsi="Times New Roman"/>
          <w:color w:val="000000" w:themeColor="text1"/>
          <w:sz w:val="16"/>
          <w:szCs w:val="16"/>
        </w:rPr>
      </w:pPr>
    </w:p>
    <w:p w14:paraId="793DD8F1" w14:textId="77777777" w:rsidR="008D055A" w:rsidRPr="00070ADE" w:rsidRDefault="008D055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24 на 25 июня 1944 45-я АДДД получила приказ бомбить железнодо</w:t>
      </w:r>
      <w:r w:rsidRPr="00070ADE">
        <w:rPr>
          <w:rFonts w:ascii="Times New Roman" w:hAnsi="Times New Roman"/>
          <w:color w:val="000000" w:themeColor="text1"/>
          <w:sz w:val="16"/>
          <w:szCs w:val="16"/>
        </w:rPr>
        <w:softHyphen/>
        <w:t>рожный узел Орша (Белоруссия). В 23 ч. 50 мин. корабли начали взлетать. Когда взлетели три машины, из штаба АДД по</w:t>
      </w:r>
      <w:r w:rsidRPr="00070ADE">
        <w:rPr>
          <w:rFonts w:ascii="Times New Roman" w:hAnsi="Times New Roman"/>
          <w:color w:val="000000" w:themeColor="text1"/>
          <w:sz w:val="16"/>
          <w:szCs w:val="16"/>
        </w:rPr>
        <w:softHyphen/>
        <w:t>ступил приказ об отмене боевого зада</w:t>
      </w:r>
      <w:r w:rsidRPr="00070ADE">
        <w:rPr>
          <w:rFonts w:ascii="Times New Roman" w:hAnsi="Times New Roman"/>
          <w:color w:val="000000" w:themeColor="text1"/>
          <w:sz w:val="16"/>
          <w:szCs w:val="16"/>
        </w:rPr>
        <w:softHyphen/>
        <w:t>ния. Немедленно был прекращен взлет, а экипажам, находящимся в воздухе, был отдан приказ возвращаться, что они и сделали (19559).</w:t>
      </w:r>
    </w:p>
    <w:p w14:paraId="54B890F5" w14:textId="77777777" w:rsidR="008D055A" w:rsidRPr="00070ADE" w:rsidRDefault="008D055A" w:rsidP="00B56F90">
      <w:pPr>
        <w:spacing w:after="0" w:line="240" w:lineRule="auto"/>
        <w:jc w:val="both"/>
        <w:rPr>
          <w:rFonts w:ascii="Times New Roman" w:hAnsi="Times New Roman"/>
          <w:color w:val="000000" w:themeColor="text1"/>
          <w:sz w:val="16"/>
          <w:szCs w:val="16"/>
        </w:rPr>
      </w:pPr>
    </w:p>
    <w:p w14:paraId="479DE723"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24 июня</w:t>
      </w:r>
      <w:r w:rsidRPr="00070ADE">
        <w:rPr>
          <w:rFonts w:ascii="Times New Roman" w:hAnsi="Times New Roman"/>
          <w:color w:val="000000" w:themeColor="text1"/>
          <w:sz w:val="16"/>
          <w:szCs w:val="16"/>
        </w:rPr>
        <w:t xml:space="preserve"> в 1944 году началась Белорусская стратегическая наступательная операция («Багратион»). Проводилась войсками 1-го Прибалтийского (генерал армии И.X.Баграмян), 1-го (Маршал Советского Союза К.К.Рокоссовский), 2-го (генерал армии Г.Ф.Захаров) и 3-го (генерал армии И.Д.Черняховский) Белорусских фронтов npи участии Днепровской военной флотилии (контр-адмирал В.В.Григорьев). В составе 1-го Белорусского фронта действовала 1-я армия Войска Польского (генерал-лейтенант С.Г.Поплавский). В ходе операции, завершившейся 29 августа 1944 г., советские войска разгромили одну из наиболее сильных группировок вермахта — группу армий «Центр» (17 дивизий и 3 бригады уничтожены, а 50 дивизий потеряли более половины своего состава). Были освобождены Белорусская ССР, часть Литовской и Латвийской ССР. Красная Армия вступила на территорию Полыни и продвинулась к границам Восточной Пруссии. Для стабилизации линии фронта германское командование было вынуждено перебросить в Белоруссию значительные силы, что облегчило англо-американским войскам ведение боевых действий во Франции (14932).</w:t>
      </w:r>
    </w:p>
    <w:p w14:paraId="0FB90548" w14:textId="77777777" w:rsidR="00061B7B" w:rsidRPr="00070ADE" w:rsidRDefault="00061B7B" w:rsidP="00B56F90">
      <w:pPr>
        <w:spacing w:after="0" w:line="240" w:lineRule="auto"/>
        <w:jc w:val="both"/>
        <w:rPr>
          <w:rFonts w:ascii="Times New Roman" w:hAnsi="Times New Roman"/>
          <w:color w:val="000000" w:themeColor="text1"/>
          <w:sz w:val="16"/>
          <w:szCs w:val="16"/>
        </w:rPr>
      </w:pPr>
    </w:p>
    <w:p w14:paraId="480C4D48" w14:textId="77777777" w:rsidR="00061B7B" w:rsidRPr="00070ADE" w:rsidRDefault="00061B7B"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24 июня</w:t>
      </w:r>
      <w:r w:rsidRPr="00070ADE">
        <w:rPr>
          <w:rFonts w:ascii="Times New Roman" w:hAnsi="Times New Roman"/>
          <w:color w:val="000000" w:themeColor="text1"/>
          <w:sz w:val="16"/>
          <w:szCs w:val="16"/>
        </w:rPr>
        <w:t xml:space="preserve"> в 1944 году Ставкой ВГК дана директива командующему войсками 1-го Украинского фронта о подготовке и проведении наступательной операции на львовском и рава-русском направлениях (14932).</w:t>
      </w:r>
    </w:p>
    <w:p w14:paraId="1AFDB0DB" w14:textId="77777777" w:rsidR="00061B7B" w:rsidRPr="00070ADE" w:rsidRDefault="00061B7B" w:rsidP="00B56F90">
      <w:pPr>
        <w:spacing w:after="0" w:line="240" w:lineRule="auto"/>
        <w:jc w:val="both"/>
        <w:rPr>
          <w:rFonts w:ascii="Times New Roman" w:hAnsi="Times New Roman"/>
          <w:color w:val="000000" w:themeColor="text1"/>
          <w:sz w:val="16"/>
          <w:szCs w:val="16"/>
        </w:rPr>
      </w:pPr>
    </w:p>
    <w:p w14:paraId="1176720A" w14:textId="4953116D"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24 июня 1944, не надеясь удержать Могилев, немцы</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начали вывозить по железной дороге тяжелую технику и ценные грузы. Штурмовики 233-й и 230-й шад 4-й ВА получили задачу сорвать перевозки противника по железной дороге. В результате массированных налетов движение на железных дорогах от Могилева было полностью дезорганизовано. Только на станциях Шклов и Копысь скопилось около 500 вагонов. Осмотр специальной комиссией установил, что на ст. Шклов до 25% подвижного состава было выведено из строя действиями Ил-2 (12020).</w:t>
      </w:r>
    </w:p>
    <w:p w14:paraId="0801B1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3F48A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первые серийные истребители Ла-7 московского производства, которые поступили в 19-й иап на Белорусском фронте, совершили первый боевой вылет в ходе операции "Багратион" - наступления в Белоруссии. По данным Г. Серова, первые подтверждённые победы на этих машинах одержали 7 июля 1944 г. старший лейтенант В.П. Петров и капитан А.Я. Баклан, уничтожившие в районе Берёзовки по одному немецкому истребителю Bf 109. С августа этот полк за боевые заслуги стал гвардейским, получив новое наименование - 176-й гв. Иап (11986).</w:t>
      </w:r>
    </w:p>
    <w:p w14:paraId="176B04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F9ED3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C 24 по 29 июня 1944 прошла Бобруйская операция - часть Белорусской операции. Окружили 40 тыс. группировку и продвинулись на 100-140 км, создав условия для наступления на Минск и Барановичи (2438,109).</w:t>
      </w:r>
    </w:p>
    <w:p w14:paraId="0B1C76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Бобруйской операции из-за плохих метеоусловий авиаподготовка ограничивалась действиями нба (518,135).</w:t>
      </w:r>
    </w:p>
    <w:p w14:paraId="5DEAC0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подготовке Бобруйской операции на воздушную разведку ВА затрачивалось до 40% всех самолетовылетов (518,121).</w:t>
      </w:r>
    </w:p>
    <w:p w14:paraId="11D848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операции на уничтожение окруженной группировки противника было затрачено 6% самолето-вылетов (518,181).</w:t>
      </w:r>
    </w:p>
    <w:p w14:paraId="3173E2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D67F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началось наступление 1БФ. В ночной подготовке задействовали 303 дб и 250 вылетов сделали две нбад 16ВА. Днем 24 в 12 и 17 час. б и ш 16ВА нанесли два массированных удара по опорным пунктам в районах Большая Кувшинова и Тихоновичи (340,172).</w:t>
      </w:r>
    </w:p>
    <w:p w14:paraId="50E49D0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68A9C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советские войска начали Бобруйскую наступательную операцию (4962).</w:t>
      </w:r>
    </w:p>
    <w:p w14:paraId="6345EC6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8B96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согласно сообщению Совинформбюро западнее Витебска авиация наносила удары по арт. позициям, скоплениям войск и коммуникациям, в результате чего уничтожили 150 а/м и 180 повозок, разбит бронепоезд, несколько эшелонов, 20 батарей и т.п. Сбили 26 с (438,911).</w:t>
      </w:r>
    </w:p>
    <w:p w14:paraId="62184C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2907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командование 1УФ получило директиву Ставки ВГК - нанести два мощных удара разгромив равва-русскую и львовские группировки и овладеть рубежом Хрубешув, Томашув, Яворов, Галич. Там были ГА Северная Украина из 1 и 4ТА и 1-я армия хортистской Венгрии - всего 40 д и 2 пехотные бригады + 4ВФ - 700 машин и могли привлечь 300-400 самолетов 6ВФ. У 1УФ была 2ВА (г С.А.Красовский). В начале июня ее усилили 4 ак и 2 иад РВГК (340,178).</w:t>
      </w:r>
    </w:p>
    <w:p w14:paraId="161D0E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CF90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г. было подгототвлено ПОЛОЖЕНИЕ ОБ АВТОМОБИЛЬНО-ТЕХНИЧЕСКОМ КОМИТЕТЕ ГЛАВНОГО АВТОМОБИЛЬНОГО УПРАВЛЕНИЯ КРАСНОЙ АРМИИ</w:t>
      </w:r>
    </w:p>
    <w:p w14:paraId="7CEECB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«Утверждаю» Начальник Главного автомобильного</w:t>
      </w:r>
    </w:p>
    <w:p w14:paraId="700CD7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управления Красной Армии генерал-лейтенант технических войск Тягунов</w:t>
      </w:r>
    </w:p>
    <w:p w14:paraId="37A20E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Автомобильно-технический комитет является центральным органом в системе Главного ав</w:t>
      </w:r>
      <w:r w:rsidRPr="00070ADE">
        <w:rPr>
          <w:rFonts w:ascii="Times New Roman" w:hAnsi="Times New Roman"/>
          <w:color w:val="000000" w:themeColor="text1"/>
          <w:sz w:val="16"/>
          <w:szCs w:val="16"/>
        </w:rPr>
        <w:softHyphen/>
        <w:t>томобильного управления Красной Армии, объединяющим всю научно-техническую работу по во</w:t>
      </w:r>
      <w:r w:rsidRPr="00070ADE">
        <w:rPr>
          <w:rFonts w:ascii="Times New Roman" w:hAnsi="Times New Roman"/>
          <w:color w:val="000000" w:themeColor="text1"/>
          <w:sz w:val="16"/>
          <w:szCs w:val="16"/>
        </w:rPr>
        <w:softHyphen/>
        <w:t>енно-автомобильному делу.</w:t>
      </w:r>
    </w:p>
    <w:p w14:paraId="5F2147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Членами Автомобильно-технического комитета являются: начальники управлений ГАВТУ КА, заместители начальника Автомобильно-технического комитета, представители Гене</w:t>
      </w:r>
      <w:r w:rsidRPr="00070ADE">
        <w:rPr>
          <w:rFonts w:ascii="Times New Roman" w:hAnsi="Times New Roman"/>
          <w:color w:val="000000" w:themeColor="text1"/>
          <w:sz w:val="16"/>
          <w:szCs w:val="16"/>
        </w:rPr>
        <w:softHyphen/>
        <w:t>рального штаба и начальника Тыла КА, отдельные научно-технические работники научных учреж</w:t>
      </w:r>
      <w:r w:rsidRPr="00070ADE">
        <w:rPr>
          <w:rFonts w:ascii="Times New Roman" w:hAnsi="Times New Roman"/>
          <w:color w:val="000000" w:themeColor="text1"/>
          <w:sz w:val="16"/>
          <w:szCs w:val="16"/>
        </w:rPr>
        <w:softHyphen/>
        <w:t>дений страны и промышленности. Состав Автомобильно-технического комитета утверждается при</w:t>
      </w:r>
      <w:r w:rsidRPr="00070ADE">
        <w:rPr>
          <w:rFonts w:ascii="Times New Roman" w:hAnsi="Times New Roman"/>
          <w:color w:val="000000" w:themeColor="text1"/>
          <w:sz w:val="16"/>
          <w:szCs w:val="16"/>
        </w:rPr>
        <w:softHyphen/>
        <w:t>казом начальника ГАВТУ КА.</w:t>
      </w:r>
    </w:p>
    <w:p w14:paraId="1AB051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Функциями Автомобильно-технического комитета являются:</w:t>
      </w:r>
    </w:p>
    <w:p w14:paraId="7920A0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разработка типов автомашин для КА;</w:t>
      </w:r>
    </w:p>
    <w:p w14:paraId="73C99C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 разработка тактико-технических условий для автомашин КА;</w:t>
      </w:r>
    </w:p>
    <w:p w14:paraId="187F17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проведение испытаний автомашин, поступающих на вооружение КА;</w:t>
      </w:r>
    </w:p>
    <w:p w14:paraId="5EAC29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оценка автомашин по итогам испытаний и составление заключений о возможности приема на вооружение КА автомобилей;</w:t>
      </w:r>
    </w:p>
    <w:p w14:paraId="0DC4BE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разработка конструкций по увеличению проходимости автомашин и конструктивные улуч</w:t>
      </w:r>
      <w:r w:rsidRPr="00070ADE">
        <w:rPr>
          <w:rFonts w:ascii="Times New Roman" w:hAnsi="Times New Roman"/>
          <w:color w:val="000000" w:themeColor="text1"/>
          <w:sz w:val="16"/>
          <w:szCs w:val="16"/>
        </w:rPr>
        <w:softHyphen/>
        <w:t>шения существующих типов автомобилей;</w:t>
      </w:r>
    </w:p>
    <w:p w14:paraId="4FD1FD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разработка и утверждение технических условий на ремонт автомашин КА;</w:t>
      </w:r>
    </w:p>
    <w:p w14:paraId="45F62D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разработка специального оборудования и приспособлений для типовых автомобилей народ</w:t>
      </w:r>
      <w:r w:rsidRPr="00070ADE">
        <w:rPr>
          <w:rFonts w:ascii="Times New Roman" w:hAnsi="Times New Roman"/>
          <w:color w:val="000000" w:themeColor="text1"/>
          <w:sz w:val="16"/>
          <w:szCs w:val="16"/>
        </w:rPr>
        <w:softHyphen/>
        <w:t>ного хозяйства, необходимых для службы в КА;</w:t>
      </w:r>
    </w:p>
    <w:p w14:paraId="102D1A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разработка технических наставлений и руководств по материальной части, техническому обслуживанию автомашин КА;</w:t>
      </w:r>
    </w:p>
    <w:p w14:paraId="2D70F5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разработка и утверждение образцов паркового оборудования для обслуживания автомашин КА и комплектов имущества: возимых на автомашинах и для производства ремонтов и укладки для этих комплектов;</w:t>
      </w:r>
    </w:p>
    <w:p w14:paraId="618867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разработка вопросов применения горюче-смазочных материалов, их заменителей и эконо</w:t>
      </w:r>
      <w:r w:rsidRPr="00070ADE">
        <w:rPr>
          <w:rFonts w:ascii="Times New Roman" w:hAnsi="Times New Roman"/>
          <w:color w:val="000000" w:themeColor="text1"/>
          <w:sz w:val="16"/>
          <w:szCs w:val="16"/>
        </w:rPr>
        <w:softHyphen/>
        <w:t>мии ГСМ;</w:t>
      </w:r>
    </w:p>
    <w:p w14:paraId="48EE04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организация и руководство работой по изобретательству и рационализации в области авто</w:t>
      </w:r>
      <w:r w:rsidRPr="00070ADE">
        <w:rPr>
          <w:rFonts w:ascii="Times New Roman" w:hAnsi="Times New Roman"/>
          <w:color w:val="000000" w:themeColor="text1"/>
          <w:sz w:val="16"/>
          <w:szCs w:val="16"/>
        </w:rPr>
        <w:softHyphen/>
        <w:t>мобильного дела в Красной Армии.</w:t>
      </w:r>
    </w:p>
    <w:p w14:paraId="6E28CA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Автомобильно-технический комитет имеет рабочий штатный аппарат. Функциональные обязанности отделов определяются указаниями начальника АТК.</w:t>
      </w:r>
    </w:p>
    <w:p w14:paraId="2DF075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Автомобильно-технический комитет в необходимых случаях привлекает к своей работе в ка</w:t>
      </w:r>
      <w:r w:rsidRPr="00070ADE">
        <w:rPr>
          <w:rFonts w:ascii="Times New Roman" w:hAnsi="Times New Roman"/>
          <w:color w:val="000000" w:themeColor="text1"/>
          <w:sz w:val="16"/>
          <w:szCs w:val="16"/>
        </w:rPr>
        <w:softHyphen/>
        <w:t>честве консультантов комитета виднейших военных и гражданских специалистов. Список привлекаемых консультантов утверждается начальником комитета.</w:t>
      </w:r>
    </w:p>
    <w:p w14:paraId="7CCDBD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Важнейшие вопросы автомобильно-технической службы КА рассматриваются на пленар</w:t>
      </w:r>
      <w:r w:rsidRPr="00070ADE">
        <w:rPr>
          <w:rFonts w:ascii="Times New Roman" w:hAnsi="Times New Roman"/>
          <w:color w:val="000000" w:themeColor="text1"/>
          <w:sz w:val="16"/>
          <w:szCs w:val="16"/>
        </w:rPr>
        <w:softHyphen/>
        <w:t>ных заседаниях комитета.</w:t>
      </w:r>
    </w:p>
    <w:p w14:paraId="7BDBC3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Пленарные заседания назначаются распоряжением начальника автомобильно-технического комитета.</w:t>
      </w:r>
    </w:p>
    <w:p w14:paraId="38E2C6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Пленарные заседания Автомобильно-технического комитета собираются из действительных членов комитета, представителей промышленности и научных учреждений, приглашаемых на дан</w:t>
      </w:r>
      <w:r w:rsidRPr="00070ADE">
        <w:rPr>
          <w:rFonts w:ascii="Times New Roman" w:hAnsi="Times New Roman"/>
          <w:color w:val="000000" w:themeColor="text1"/>
          <w:sz w:val="16"/>
          <w:szCs w:val="16"/>
        </w:rPr>
        <w:softHyphen/>
        <w:t>ное пленарное заседание.</w:t>
      </w:r>
    </w:p>
    <w:p w14:paraId="6EF8A9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Состав пленарного заседания в каждом отдельном случае назначается начальником Автомо</w:t>
      </w:r>
      <w:r w:rsidRPr="00070ADE">
        <w:rPr>
          <w:rFonts w:ascii="Times New Roman" w:hAnsi="Times New Roman"/>
          <w:color w:val="000000" w:themeColor="text1"/>
          <w:sz w:val="16"/>
          <w:szCs w:val="16"/>
        </w:rPr>
        <w:softHyphen/>
        <w:t>бильно-технического комитета.</w:t>
      </w:r>
    </w:p>
    <w:p w14:paraId="549172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Пленарным заседанием руководит начальник Автомобильно-технического комитета, и в слу</w:t>
      </w:r>
      <w:r w:rsidRPr="00070ADE">
        <w:rPr>
          <w:rFonts w:ascii="Times New Roman" w:hAnsi="Times New Roman"/>
          <w:color w:val="000000" w:themeColor="text1"/>
          <w:sz w:val="16"/>
          <w:szCs w:val="16"/>
        </w:rPr>
        <w:softHyphen/>
        <w:t>чае его отсутствия — один из заместителей.</w:t>
      </w:r>
    </w:p>
    <w:p w14:paraId="6ADE30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Вопросы, подлежащие рассмотрению на пленарных заседаниях Автомобильно-техническо</w:t>
      </w:r>
      <w:r w:rsidRPr="00070ADE">
        <w:rPr>
          <w:rFonts w:ascii="Times New Roman" w:hAnsi="Times New Roman"/>
          <w:color w:val="000000" w:themeColor="text1"/>
          <w:sz w:val="16"/>
          <w:szCs w:val="16"/>
        </w:rPr>
        <w:softHyphen/>
        <w:t>го комитета, предварительно разрабатываются в отделах комитета (вопросы, разработанные в уч</w:t>
      </w:r>
      <w:r w:rsidRPr="00070ADE">
        <w:rPr>
          <w:rFonts w:ascii="Times New Roman" w:hAnsi="Times New Roman"/>
          <w:color w:val="000000" w:themeColor="text1"/>
          <w:sz w:val="16"/>
          <w:szCs w:val="16"/>
        </w:rPr>
        <w:softHyphen/>
        <w:t>реждениях НКО и промышленности, согласовываются с комитетом), после чего докладываются на пленарном заседании выделенными докладчиками.</w:t>
      </w:r>
    </w:p>
    <w:p w14:paraId="68FA9E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Проекты предложений и доклады в письменном виде представляются начальнику Автомобиль</w:t>
      </w:r>
      <w:r w:rsidRPr="00070ADE">
        <w:rPr>
          <w:rFonts w:ascii="Times New Roman" w:hAnsi="Times New Roman"/>
          <w:color w:val="000000" w:themeColor="text1"/>
          <w:sz w:val="16"/>
          <w:szCs w:val="16"/>
        </w:rPr>
        <w:softHyphen/>
        <w:t>но-технического комитета до заседания.</w:t>
      </w:r>
    </w:p>
    <w:p w14:paraId="7193A4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По всем рассматриваемым вопросам Автомобильно-технический комитет на пленарных за</w:t>
      </w:r>
      <w:r w:rsidRPr="00070ADE">
        <w:rPr>
          <w:rFonts w:ascii="Times New Roman" w:hAnsi="Times New Roman"/>
          <w:color w:val="000000" w:themeColor="text1"/>
          <w:sz w:val="16"/>
          <w:szCs w:val="16"/>
        </w:rPr>
        <w:softHyphen/>
        <w:t>седаниях выносит решения, которые принимаются простым большинством голосов действитель</w:t>
      </w:r>
      <w:r w:rsidRPr="00070ADE">
        <w:rPr>
          <w:rFonts w:ascii="Times New Roman" w:hAnsi="Times New Roman"/>
          <w:color w:val="000000" w:themeColor="text1"/>
          <w:sz w:val="16"/>
          <w:szCs w:val="16"/>
        </w:rPr>
        <w:softHyphen/>
        <w:t>ных членов комитета.</w:t>
      </w:r>
    </w:p>
    <w:p w14:paraId="481BAA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Решения, принимаемые Автомобильно-техническим комитетом, оформляются протокольны</w:t>
      </w:r>
      <w:r w:rsidRPr="00070ADE">
        <w:rPr>
          <w:rFonts w:ascii="Times New Roman" w:hAnsi="Times New Roman"/>
          <w:color w:val="000000" w:themeColor="text1"/>
          <w:sz w:val="16"/>
          <w:szCs w:val="16"/>
        </w:rPr>
        <w:softHyphen/>
        <w:t>ми постановлениями.</w:t>
      </w:r>
    </w:p>
    <w:p w14:paraId="6855D5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Начальнику Автомобильно-технического комитета предоставляется право участвовать в ка</w:t>
      </w:r>
      <w:r w:rsidRPr="00070ADE">
        <w:rPr>
          <w:rFonts w:ascii="Times New Roman" w:hAnsi="Times New Roman"/>
          <w:color w:val="000000" w:themeColor="text1"/>
          <w:sz w:val="16"/>
          <w:szCs w:val="16"/>
        </w:rPr>
        <w:softHyphen/>
        <w:t>честве представителя ГАВТУ КА на заседаниях Всесоюзного комитета стандартов при СНК СССР и в других правительственных и промышленных органах при решении вопросов, подведомствен</w:t>
      </w:r>
      <w:r w:rsidRPr="00070ADE">
        <w:rPr>
          <w:rFonts w:ascii="Times New Roman" w:hAnsi="Times New Roman"/>
          <w:color w:val="000000" w:themeColor="text1"/>
          <w:sz w:val="16"/>
          <w:szCs w:val="16"/>
        </w:rPr>
        <w:softHyphen/>
        <w:t>ных Автомобильно-техническому комитету.</w:t>
      </w:r>
    </w:p>
    <w:p w14:paraId="3FFEF4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АТК ГАВТУ КА генерал-майор инженерных войск Карпов</w:t>
      </w:r>
    </w:p>
    <w:p w14:paraId="32F39ED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41. Оп. 11584. Д. 124. Л. 9-10. Копия (11420).</w:t>
      </w:r>
    </w:p>
    <w:p w14:paraId="47215C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5D8E09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4C2BEE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67681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вышло Постановление ГКО № 6100 [О выселении на время войны из Крыма в Узбекскую ССР местных жителей-подданных Турции, Греции и Ирана.] (7243, 64).</w:t>
      </w:r>
    </w:p>
    <w:p w14:paraId="36117B5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B6C1C1" w14:textId="77777777" w:rsidR="008D055A" w:rsidRPr="00070ADE" w:rsidRDefault="008D055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24 июня</w:t>
      </w:r>
      <w:r w:rsidRPr="00070ADE">
        <w:rPr>
          <w:rFonts w:ascii="Times New Roman" w:hAnsi="Times New Roman"/>
          <w:color w:val="000000" w:themeColor="text1"/>
          <w:sz w:val="16"/>
          <w:szCs w:val="16"/>
        </w:rPr>
        <w:t xml:space="preserve"> в 1944 году началось выселение из Крыма в Сибирь, Казахстан и Узбекистан неславянских народностей. Депортации подверглись около 11 тысяч армян, более 12 тысяч болгар, 15 тысяч греков и 1 тысяча немцев. Вместе с ними были отправлены на спецпоселение проживавшие в Крыму турки, курды, персы, цыгане, а также 3,5 тысяч греков-иностранцев. Из Краснодарского края депортировано 8 тысяч, а из Грузии и Армении 16 тысяч греков (14932).</w:t>
      </w:r>
    </w:p>
    <w:p w14:paraId="1933E594" w14:textId="77777777" w:rsidR="008D055A" w:rsidRPr="00070ADE" w:rsidRDefault="008D055A" w:rsidP="00B56F90">
      <w:pPr>
        <w:spacing w:after="0" w:line="240" w:lineRule="auto"/>
        <w:jc w:val="both"/>
        <w:rPr>
          <w:rFonts w:ascii="Times New Roman" w:hAnsi="Times New Roman"/>
          <w:color w:val="000000" w:themeColor="text1"/>
          <w:sz w:val="16"/>
          <w:szCs w:val="16"/>
        </w:rPr>
      </w:pPr>
    </w:p>
    <w:p w14:paraId="76FB17C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19CC5C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0A4176" w14:textId="77777777" w:rsidR="009E2554" w:rsidRPr="00070ADE" w:rsidRDefault="009E255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24 июня</w:t>
      </w:r>
      <w:r w:rsidRPr="00070ADE">
        <w:rPr>
          <w:rFonts w:ascii="Times New Roman" w:hAnsi="Times New Roman"/>
          <w:color w:val="000000" w:themeColor="text1"/>
          <w:sz w:val="16"/>
          <w:szCs w:val="16"/>
        </w:rPr>
        <w:t xml:space="preserve"> в 1944 году первый боевой вылет </w:t>
      </w:r>
      <w:hyperlink r:id="rId181" w:tgtFrame="_blank" w:history="1">
        <w:r w:rsidRPr="00070ADE">
          <w:rPr>
            <w:rFonts w:ascii="Times New Roman" w:hAnsi="Times New Roman"/>
            <w:color w:val="000000" w:themeColor="text1"/>
            <w:sz w:val="16"/>
            <w:szCs w:val="16"/>
          </w:rPr>
          <w:t xml:space="preserve">«Black Widow» </w:t>
        </w:r>
      </w:hyperlink>
      <w:r w:rsidRPr="00070ADE">
        <w:rPr>
          <w:rFonts w:ascii="Times New Roman" w:hAnsi="Times New Roman"/>
          <w:color w:val="000000" w:themeColor="text1"/>
          <w:sz w:val="16"/>
          <w:szCs w:val="16"/>
        </w:rPr>
        <w:t>на Тихоокеанском ТВД с Isley Field (14932).</w:t>
      </w:r>
    </w:p>
    <w:p w14:paraId="347E35D1" w14:textId="77777777" w:rsidR="009E2554" w:rsidRPr="00070ADE" w:rsidRDefault="009E2554" w:rsidP="00B56F90">
      <w:pPr>
        <w:spacing w:after="0" w:line="240" w:lineRule="auto"/>
        <w:jc w:val="both"/>
        <w:rPr>
          <w:rFonts w:ascii="Times New Roman" w:hAnsi="Times New Roman"/>
          <w:color w:val="000000" w:themeColor="text1"/>
          <w:sz w:val="16"/>
          <w:szCs w:val="16"/>
        </w:rPr>
      </w:pPr>
    </w:p>
    <w:p w14:paraId="68E3669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24 на 25 июня 1944 г. все имевшиеся на то время пять сцепок атаковали крупное скопление англо-американских судов в устье Сены. Четыре беспилотных ударных элемента сцепки Мистель были благополучно сброшены и поразили несколько целей. Пятая сцепка из-за технической неисправности вернулась на базу. Ударный элемент Юнкерс перед посадкой был сброшен в безлюдном районе, так как посадка всей сцепки была невозможна.</w:t>
      </w:r>
    </w:p>
    <w:p w14:paraId="76E4B7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дальнейшем Мистели продолжали ночные атаки на десантные конвои союзников в Ла-Манше. В октябре 1944 г. пять Мистелей нанесли удар по главной базе британского флота Скап-Флоу.</w:t>
      </w:r>
    </w:p>
    <w:p w14:paraId="3F5FBB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1944 г. группировка Мистелей насчитывала 60 единиц.</w:t>
      </w:r>
    </w:p>
    <w:p w14:paraId="56B1CA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январе 1945 г. подразделение Мистелей начало подготовку к удару по крупнейшим военным объектам Советского Союза с целью срыва зимне-весеннего наступления Красной Армии. Операция получила кодовое название «Eisenhammer» (Ненахов Ю.Ю. Чудо-оружие Третьего рейха. Минск: ХАРВЕСТ, 1999.). К марту около 100 Мистелей было переброшено в Восточную Пруссию.</w:t>
      </w:r>
    </w:p>
    <w:p w14:paraId="7DC0DA5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Быстрое приближение линии фронта к району базирования сцепок сорвало планы немецко-фашистского командования.</w:t>
      </w:r>
    </w:p>
    <w:p w14:paraId="6A8492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этим Мистели передислоцировали для выполнения несвойственных им тактических задач – нанесения ударов по переправам через Вислу, Одер, Нейсе и Рейн, крупным железнодорожным узлам и скоплениям советских войск. В районе переправ через Одер, обороняемых частями 5-го корпуса ПВО Советской Армии, в апреле 1945 г. было отмечено 12 случаев применения ударных авиасцепок Мистель. Однако точность поражения целей такими системами была незначительной. Кроме того, Мистели оказались беззащитными перед фронтовой и противовоздушной авиацией и несли огромные потери. Последний боевой вылет сцепки был зарегистрирован 16 апреля 1945 г.</w:t>
      </w:r>
    </w:p>
    <w:p w14:paraId="7AE2AA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Весной 1945 г. знаменитый советский летчик Е.Я. Савицкий (1910–1990), будущий заместитель главнокомандующего Войсками ПВО, заметил над переправой через Одер «летающую геометрическую трапецию». Это была сцепка из самолетов Fw190 и Ju88. Внезапно истребитель Fw190 отделился от бомбардировщика, выполнил горку и ушел в сторону. Самолет Ju88 направился к окопам советских войск на передовой. Не долетев до окопов, он ударился о землю и разнес все в радиусе 200 м. Это был один из первых случаев применения Мистелей против советских войск.</w:t>
      </w:r>
    </w:p>
    <w:p w14:paraId="64C6E9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Ветеран Великой Отечественной войны В. Чечель вспоминал о применении Мистелей против наших войск в период боев за Берлин: «Помню попытку разрушить самолетами-снарядами переправу через Одер, по которой двигались наши танки, артиллерия, автомобили с боеприпасами, шли войска. Самолетснаряд начинялся взрывчаткой и направлялся в цель другим самолетом, в котором был пилот. Так вот, на ту переправу ни один из тех трех снарядов не упал: как только наши зенитки открыли по ним огонь, немецкие летчики, быстро отделавшись от опасного груза, убрались восвояси, а снаряды упали далеко от переправы. Но взрывы были такие сильные, что наши окопы на плацдарме наполнились водой от сотрясения почвы. Попади хоть один такой снаряд в цель – от нашей переправы не осталось бы и следа» (Чечель В. Не забывается такое никогда. Северный Курьер. 2000, 1 апреля.).</w:t>
      </w:r>
    </w:p>
    <w:p w14:paraId="3DE69D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Совершенствование сцепок проходило по различным направлениям. Так, поскольку конструкторы не смогли решить задачу синхронизации и единого управления разных по типу и мощности двигателей Bf109 и Ju88G1, то в сцепке Мессершмитт был заменен истребителем Fw190A6. Сцепка получила название Mistel2. Из-за превышенного взлетного веса (14 т), во время разбега у шасси Юнкерса рвались пневматики, что вело к авариям. Из-за этого шасси Юнкерса было заменено сбрасывающейся после взлета тележкой. Доработанная система получила название Mistel3.</w:t>
      </w:r>
    </w:p>
    <w:p w14:paraId="532461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1945 г. завод Юнкерса в Бернбурге наладил выпуск новой модификации сцепки на базе бомбардировщика Ju88G10, у которого фюзеляж был удлинен почти на три метра. Такая система снабжалась дополнительным топливным баком. Кроме того, под крыльями Юнкерса подвешивались еще два топливных бака. Все это увеличивало радиус действия сцепки до 4100 км.</w:t>
      </w:r>
    </w:p>
    <w:p w14:paraId="35C6F50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возрос взлетный вес Mistel3 – 23,6 т, а скорость полета снизилась до 340 км/ч. При этом скорость пикирования сцепки при угле 15о составляла почти 600 км/ч. Система получила название Mistel3С.</w:t>
      </w:r>
    </w:p>
    <w:p w14:paraId="2CB274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1945 г. появился Mistel3В – на базе Ju88Н4. Впервые ударный самолет был сделан пилотируемым – с экипажем из трех человек. Задняя полусфера прикрывалась 13-мм пулеметом, летающая пилотируемая бомба оборудовалась поисковой РЛС. Экипаж бомбы должен был помогать летчику истребителя пилотировать сцепку, ориентируясь по данным РЛС, и отгонять воздушного противника. Перед боевым применением экипаж на парашютах покидал летающую бомбу. Однако в боевой практике такая сцепка не применялась.</w:t>
      </w:r>
    </w:p>
    <w:p w14:paraId="552712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Германии в последние месяцы войны были разработаны проекты Мистелей с ударным элементом в виде опытной крылатой ракеты класса «воздух–поверхность» Е377. В таких сцепках самолетом наведения служили реактивный бомбардировщик Ar234 и реактивный истребитель He162A. С реактивным истребителем Хейнкель скорость сцепки могла бы достигать 650 км/ч, а радиус действия – до 2000 км/ч. Кроме того, проектировались Мистели на базе реактивных самолетов.</w:t>
      </w:r>
    </w:p>
    <w:p w14:paraId="5708A4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 касается планирующей бомбы Е377, то она была разработана в RLM в конце 1944 г. По существу это был безмоторный вариант одного из проектов самолета фирмы Арадо. Планирующая бомба по первоначальной версии должна была буксироваться на тросе за самолетом Ar234C2 или истребителем He162.</w:t>
      </w:r>
    </w:p>
    <w:p w14:paraId="01A169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 Е377 предназначалась для поражения наземных и морских целей. Управление осуществлялось дистанционно или посредством устройства сопровождения цели. Конструкция КР была деревянной и выполнена в виде тела вращения. При полете к объекту поражения ракета Е377 служила для носителя дополнительным топливным баком (в безмоторном варианте). Крылья КР также представляли собой топливные баки. Крыльевые и фюзеляжные топливные баки КР были заполнены инертным газом. Вес боевой части Е377 составлял 2 т.</w:t>
      </w:r>
    </w:p>
    <w:p w14:paraId="285044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Германские ударные управляемые средства...</w:t>
      </w:r>
    </w:p>
    <w:p w14:paraId="2A58F55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 разработан вариант КР с двигателем и без двигателя. Боевая часть бездвигательного варианта Е377 состояла из кумулятивного заряда. Она оказалась весьма эффективной против надводных целей. Для поражения крупных целей предусматривалось создание боевой части, близкой по своим характеристикам к тонкостенной мине (Хервиг Д., Роде Г. Секретные проекты бомбардировщиков люфтваффе. Смоленск: Русич, 2001.).</w:t>
      </w:r>
    </w:p>
    <w:p w14:paraId="31C91F3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Вместо боевой части на планирующей бомбе была предусмотрена возможность монтировать обычную бомбу SC 1800 без оперения. Предусматривалась также возможность создания пилотируемого варианта бомбы Арадо Е377 специально для летчиков-«камикадзе»183. Окончание войны не дало немецким «сверхчеловекам» возможности наладить массовое производство и применение планирующей бомбы Арадо Е377.</w:t>
      </w:r>
    </w:p>
    <w:p w14:paraId="0BBFC5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 разработан проект ракетной сцепки Мистеля. Этот проект сложнейшей сцепки разработала фирма «Blohm und Voss» в конце войны. Сцепка состояла из бомбардировщиков Do217 или He177, реактивного самолета-носителя и ударной крылатой ракеты Хеншель.</w:t>
      </w:r>
    </w:p>
    <w:p w14:paraId="570D939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Принцип боевого применения этого Мистеля состоял в следующем. Вся сцепка поднималась в воздух и следовала в район цели.</w:t>
      </w:r>
    </w:p>
    <w:p w14:paraId="3EE488E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Носитель приближался к объекту поражения на расстояние 290 км и отстыковывался. Реактивный носитель поднимался на огромную по тем временам высоту – 15000 м. На этой высоте пилот реактивного истребителя входил в пике, ракета отделялась, запускался ее двигатель, пилот ракеты наводил ракету по радару по баллистической траектории и отделялся от нее для возвращения на базу. Так как в полете перегрузки достигали 20 g, то пилот располагался лежа на амортизирующем лежаке.</w:t>
      </w:r>
    </w:p>
    <w:p w14:paraId="6064AA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Ракета предназначалась для ударов по наземным и морским целям. Тактико-технические характеристики ракетного носителя были следующими: размах крыла – 6 м, длина – 8 м, максимальная скорость – 1000 км/ч.</w:t>
      </w:r>
    </w:p>
    <w:p w14:paraId="10F8A2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Помимо самолетов-сцепок с боевыми элементами, в Германии в 1942 г. на фирме «Юнкерс» был разработан проект сцепки EF 101, состоящей из самолета-носителя и высотного разведчика Ме 109Н184. Высотный разведчик размещался под нижней частью фюзеляжа в полуутопленном положении. Крылья разведчика полностью располагались под нижней частью крыла самолета-носителя.</w:t>
      </w:r>
    </w:p>
    <w:p w14:paraId="2D8205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Самолет-носитель, рассчитанный на дальность полета в 17 000 км, достигал района разведки. После этого разведчик отцеплялся, выполнял боевую задачу и снова подцеплялся к авиаматке. Механизм захвата был разработан в DFS и испытан на самолете He177. Одна из модификаций Юнкерса EF101 предполагала подвешивать к носителю не самолет-разведчик, а мощную управляемую авиабомбу (11686).</w:t>
      </w:r>
    </w:p>
    <w:p w14:paraId="7019AB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C7B0833"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I944 г. в ходе первого боевого вылета Мистелей в воздух были под</w:t>
      </w:r>
      <w:r w:rsidRPr="00070ADE">
        <w:rPr>
          <w:rFonts w:ascii="Times New Roman" w:hAnsi="Times New Roman"/>
          <w:color w:val="000000" w:themeColor="text1"/>
          <w:sz w:val="16"/>
          <w:szCs w:val="16"/>
        </w:rPr>
        <w:softHyphen/>
        <w:t>няты две системы. В эту ночь все пошло не по плану: из-за появления ночного истребителя "Москито" пилот одной из составных систем предпочел выполнить расцепку, после чего неуправляемый "юнкере" рухнул на землю. Вторая "Мпе</w:t>
      </w:r>
      <w:r w:rsidRPr="00070ADE">
        <w:rPr>
          <w:rFonts w:ascii="Times New Roman" w:hAnsi="Times New Roman"/>
          <w:color w:val="000000" w:themeColor="text1"/>
          <w:sz w:val="16"/>
          <w:szCs w:val="16"/>
        </w:rPr>
        <w:softHyphen/>
        <w:t>тель" I продолжала полет, но в условиях сплошной облачности летчик потерял ориентировку и цель отыскать не смог. Вскоре после этого в ночную атаку про</w:t>
      </w:r>
      <w:r w:rsidRPr="00070ADE">
        <w:rPr>
          <w:rFonts w:ascii="Times New Roman" w:hAnsi="Times New Roman"/>
          <w:color w:val="000000" w:themeColor="text1"/>
          <w:sz w:val="16"/>
          <w:szCs w:val="16"/>
        </w:rPr>
        <w:softHyphen/>
        <w:t>тив кораблей союзников в устье Сены были брошены все три оставшиеся "Мистели" под прикрытием истребителей Bf 109G. Атака производилась при свете осветительных ракет, ее результаты не удалось пронаблюдать, как доложили экипажи, "из-за дыма горящих кораблей". Однако впоследствии союзники не приз</w:t>
      </w:r>
      <w:r w:rsidRPr="00070ADE">
        <w:rPr>
          <w:rFonts w:ascii="Times New Roman" w:hAnsi="Times New Roman"/>
          <w:color w:val="000000" w:themeColor="text1"/>
          <w:sz w:val="16"/>
          <w:szCs w:val="16"/>
        </w:rPr>
        <w:softHyphen/>
        <w:t>нали гибели ни одного судна от ударов "Мистелей".</w:t>
      </w:r>
    </w:p>
    <w:p w14:paraId="26F668FE"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Оптимистичный доклад командира спецотряда KGIOI возымел свое дей</w:t>
      </w:r>
      <w:r w:rsidRPr="00070ADE">
        <w:rPr>
          <w:rFonts w:ascii="Times New Roman" w:hAnsi="Times New Roman"/>
          <w:color w:val="000000" w:themeColor="text1"/>
          <w:sz w:val="16"/>
          <w:szCs w:val="16"/>
        </w:rPr>
        <w:softHyphen/>
        <w:t>ствие. Завод в Моккау под Лейпцигом получил заказ на переоборудование 75 ремонтировавшихся Ju 88G-I в нижний элемент системы "Мистель". В качестве верхнего элемента было решено исполь</w:t>
      </w:r>
      <w:r w:rsidRPr="00070ADE">
        <w:rPr>
          <w:rFonts w:ascii="Times New Roman" w:hAnsi="Times New Roman"/>
          <w:color w:val="000000" w:themeColor="text1"/>
          <w:sz w:val="16"/>
          <w:szCs w:val="16"/>
        </w:rPr>
        <w:softHyphen/>
        <w:t>зовать истребитель FW I90A-6 или штур</w:t>
      </w:r>
      <w:r w:rsidRPr="00070ADE">
        <w:rPr>
          <w:rFonts w:ascii="Times New Roman" w:hAnsi="Times New Roman"/>
          <w:color w:val="000000" w:themeColor="text1"/>
          <w:sz w:val="16"/>
          <w:szCs w:val="16"/>
        </w:rPr>
        <w:softHyphen/>
        <w:t>мовик FW 190F-8, так как их моторы BMW801D также работали на 95-окта- новом бензине. Этот вариант получил обозначение "Мистель" 2, а его учебная версия - "Мистель" S2. С этой модифика</w:t>
      </w:r>
      <w:r w:rsidRPr="00070ADE">
        <w:rPr>
          <w:rFonts w:ascii="Times New Roman" w:hAnsi="Times New Roman"/>
          <w:color w:val="000000" w:themeColor="text1"/>
          <w:sz w:val="16"/>
          <w:szCs w:val="16"/>
        </w:rPr>
        <w:softHyphen/>
        <w:t>цией "Мистели" возникли серьезные проблемы из-за большой взлетной мас</w:t>
      </w:r>
      <w:r w:rsidRPr="00070ADE">
        <w:rPr>
          <w:rFonts w:ascii="Times New Roman" w:hAnsi="Times New Roman"/>
          <w:color w:val="000000" w:themeColor="text1"/>
          <w:sz w:val="16"/>
          <w:szCs w:val="16"/>
        </w:rPr>
        <w:softHyphen/>
        <w:t>сы. Обычно максимальная взлетная мас</w:t>
      </w:r>
      <w:r w:rsidRPr="00070ADE">
        <w:rPr>
          <w:rFonts w:ascii="Times New Roman" w:hAnsi="Times New Roman"/>
          <w:color w:val="000000" w:themeColor="text1"/>
          <w:sz w:val="16"/>
          <w:szCs w:val="16"/>
        </w:rPr>
        <w:softHyphen/>
        <w:t>са Ju 88G ограничивалась 14 000 кг, но с полным запасом топлива и верхним эле</w:t>
      </w:r>
      <w:r w:rsidRPr="00070ADE">
        <w:rPr>
          <w:rFonts w:ascii="Times New Roman" w:hAnsi="Times New Roman"/>
          <w:color w:val="000000" w:themeColor="text1"/>
          <w:sz w:val="16"/>
          <w:szCs w:val="16"/>
        </w:rPr>
        <w:softHyphen/>
        <w:t>ментом система весила намного больше, поэтому при взлете с плохих аэродромов нередко происходил разрыв пневмати- ков. После потери нескольких "Мисте- лей" 2 при взлете было решено устано</w:t>
      </w:r>
      <w:r w:rsidRPr="00070ADE">
        <w:rPr>
          <w:rFonts w:ascii="Times New Roman" w:hAnsi="Times New Roman"/>
          <w:color w:val="000000" w:themeColor="text1"/>
          <w:sz w:val="16"/>
          <w:szCs w:val="16"/>
        </w:rPr>
        <w:softHyphen/>
        <w:t>вить под фюзеляжем третью сбрасывае</w:t>
      </w:r>
      <w:r w:rsidRPr="00070ADE">
        <w:rPr>
          <w:rFonts w:ascii="Times New Roman" w:hAnsi="Times New Roman"/>
          <w:color w:val="000000" w:themeColor="text1"/>
          <w:sz w:val="16"/>
          <w:szCs w:val="16"/>
        </w:rPr>
        <w:softHyphen/>
        <w:t>мую стойку. Этот вариант системы полу</w:t>
      </w:r>
      <w:r w:rsidRPr="00070ADE">
        <w:rPr>
          <w:rFonts w:ascii="Times New Roman" w:hAnsi="Times New Roman"/>
          <w:color w:val="000000" w:themeColor="text1"/>
          <w:sz w:val="16"/>
          <w:szCs w:val="16"/>
        </w:rPr>
        <w:softHyphen/>
        <w:t>чил обозначение "Мистель" 3. В дальней</w:t>
      </w:r>
      <w:r w:rsidRPr="00070ADE">
        <w:rPr>
          <w:rFonts w:ascii="Times New Roman" w:hAnsi="Times New Roman"/>
          <w:color w:val="000000" w:themeColor="text1"/>
          <w:sz w:val="16"/>
          <w:szCs w:val="16"/>
        </w:rPr>
        <w:softHyphen/>
        <w:t>шем были разработаны три субварианта "Мистели" 3: ЗА с фугасной боевой частью и массой тротила I000 кг; ЗВ с аналогичной боевой частью и массой тротила I500 кг; ЗС с кумулятивной бое</w:t>
      </w:r>
      <w:r w:rsidRPr="00070ADE">
        <w:rPr>
          <w:rFonts w:ascii="Times New Roman" w:hAnsi="Times New Roman"/>
          <w:color w:val="000000" w:themeColor="text1"/>
          <w:sz w:val="16"/>
          <w:szCs w:val="16"/>
        </w:rPr>
        <w:softHyphen/>
        <w:t>вой частью (масса тротила 2500 кг) (24193).</w:t>
      </w:r>
    </w:p>
    <w:p w14:paraId="5626914B" w14:textId="77777777" w:rsidR="001C663D" w:rsidRPr="00070ADE" w:rsidRDefault="001C663D" w:rsidP="00B56F90">
      <w:pPr>
        <w:spacing w:after="0" w:line="240" w:lineRule="auto"/>
        <w:jc w:val="both"/>
        <w:rPr>
          <w:rFonts w:ascii="Times New Roman" w:hAnsi="Times New Roman"/>
          <w:color w:val="000000" w:themeColor="text1"/>
          <w:sz w:val="16"/>
          <w:szCs w:val="16"/>
        </w:rPr>
      </w:pPr>
    </w:p>
    <w:p w14:paraId="59ECBB16" w14:textId="77777777" w:rsidR="00396E8E" w:rsidRPr="00070ADE" w:rsidRDefault="00396E8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24-25 июня 1944 Люфтваффе впервые использует составной самолет "Мистел" против кораблей союзников в заливе Сены (29373).</w:t>
      </w:r>
    </w:p>
    <w:p w14:paraId="69D214C1" w14:textId="77777777" w:rsidR="00396E8E" w:rsidRPr="00070ADE" w:rsidRDefault="00396E8E" w:rsidP="00B56F90">
      <w:pPr>
        <w:spacing w:after="0" w:line="240" w:lineRule="auto"/>
        <w:jc w:val="both"/>
        <w:rPr>
          <w:rFonts w:ascii="Times New Roman" w:hAnsi="Times New Roman"/>
          <w:color w:val="000000" w:themeColor="text1"/>
          <w:sz w:val="16"/>
          <w:szCs w:val="16"/>
        </w:rPr>
      </w:pPr>
    </w:p>
    <w:p w14:paraId="0D602821" w14:textId="77777777" w:rsidR="00396E8E" w:rsidRPr="00070ADE" w:rsidRDefault="00396E8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 июня 1944 состоялась попытка нанести удар по Иводзиме силами F6F Hellcats из оперативной группы 58.1 ВМС США, но она перехватывается японскими самолетами, 29 из которых сбиты в обмен на шесть потерянных Hellcats. Японские самолеты, базирующиеся в Иводзиме, совершили три неэффективных налета на оперативную группу в течение дня, потеряв еще 37 самолетов (20373).</w:t>
      </w:r>
    </w:p>
    <w:p w14:paraId="3CF025D2" w14:textId="77777777" w:rsidR="00396E8E" w:rsidRPr="00070ADE" w:rsidRDefault="00396E8E" w:rsidP="00B56F90">
      <w:pPr>
        <w:spacing w:after="0" w:line="240" w:lineRule="auto"/>
        <w:jc w:val="both"/>
        <w:rPr>
          <w:rFonts w:ascii="Times New Roman" w:hAnsi="Times New Roman"/>
          <w:color w:val="000000" w:themeColor="text1"/>
          <w:sz w:val="16"/>
          <w:szCs w:val="16"/>
        </w:rPr>
      </w:pPr>
    </w:p>
    <w:p w14:paraId="23C3403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1482CC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F5D4FD" w14:textId="77777777" w:rsidR="009E2554" w:rsidRPr="00070ADE" w:rsidRDefault="009E255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25 июня 1944, после установки на Ла-5А на месте пушки дополнительного маслобака, само</w:t>
      </w:r>
      <w:r w:rsidRPr="00070ADE">
        <w:rPr>
          <w:rFonts w:ascii="Times New Roman" w:hAnsi="Times New Roman"/>
          <w:color w:val="000000" w:themeColor="text1"/>
          <w:sz w:val="16"/>
          <w:szCs w:val="16"/>
        </w:rPr>
        <w:softHyphen/>
        <w:t>лёт снова подготовили к продолжению испытаний. Во время состоявшихся 3-4 июля полётов до высоты 7800 м температура масла на входе поднялась выше допустимого уровня, произошло затяжеление винта, и имел место выброс масла из дренажа, за все время полёта он составил 15 кг. После чего на самолёте установили высотную масло- помпу — агрегат № 180, и произвели отсос масла из суфлёрного бачка. Однако в кон</w:t>
      </w:r>
      <w:r w:rsidRPr="00070ADE">
        <w:rPr>
          <w:rFonts w:ascii="Times New Roman" w:hAnsi="Times New Roman"/>
          <w:color w:val="000000" w:themeColor="text1"/>
          <w:sz w:val="16"/>
          <w:szCs w:val="16"/>
        </w:rPr>
        <w:softHyphen/>
        <w:t>трольном полёте 8 июля при наборе высоты 5000 м температура на входе снова поднялась выше допустимых пределов (87°С) и полёт опять пришлось прекратить. При осмотре самолёта на земле снова обнаружили выброс масла. 11 июля 1944 г. Ла-5А перегнали в Москву на завод № 81. По заключению представителя завода № 19, из-за попадания масла в нагнетатель мотора по причине дефектов маслоуплотнений валика нагнетателя, к дальнейшим полётам самолёт признали непригодным.</w:t>
      </w:r>
    </w:p>
    <w:p w14:paraId="09F8D5B1" w14:textId="77777777" w:rsidR="009E2554" w:rsidRPr="00070ADE" w:rsidRDefault="009E255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Новую винтомоторную группу на Ла-5А смонтировали только в 20-х числах августа, заодно в соответствии с рекомендациями ЦАГИ произвели доводки систем охлаждения. 12 сентября состоялся контрольный полёт, мотор снова работал с перебоями из-за не</w:t>
      </w:r>
      <w:r w:rsidRPr="00070ADE">
        <w:rPr>
          <w:rFonts w:ascii="Times New Roman" w:hAnsi="Times New Roman"/>
          <w:color w:val="000000" w:themeColor="text1"/>
          <w:sz w:val="16"/>
          <w:szCs w:val="16"/>
        </w:rPr>
        <w:softHyphen/>
        <w:t>поладок регулятора смеси. На следующий день для скорейшей отработки винтомотор</w:t>
      </w:r>
      <w:r w:rsidRPr="00070ADE">
        <w:rPr>
          <w:rFonts w:ascii="Times New Roman" w:hAnsi="Times New Roman"/>
          <w:color w:val="000000" w:themeColor="text1"/>
          <w:sz w:val="16"/>
          <w:szCs w:val="16"/>
        </w:rPr>
        <w:softHyphen/>
        <w:t>ной группы на больших высотах при участии сотрудников лаборатории ЛИИ самолёт перегнали на аэродром «Раменское». При перелёте мотор работал «богато», и на сред</w:t>
      </w:r>
      <w:r w:rsidRPr="00070ADE">
        <w:rPr>
          <w:rFonts w:ascii="Times New Roman" w:hAnsi="Times New Roman"/>
          <w:color w:val="000000" w:themeColor="text1"/>
          <w:sz w:val="16"/>
          <w:szCs w:val="16"/>
        </w:rPr>
        <w:softHyphen/>
        <w:t>них режимах его трясло. В ЛИИ лётные испытания продолжили. 21 сентября в конт</w:t>
      </w:r>
      <w:r w:rsidRPr="00070ADE">
        <w:rPr>
          <w:rFonts w:ascii="Times New Roman" w:hAnsi="Times New Roman"/>
          <w:color w:val="000000" w:themeColor="text1"/>
          <w:sz w:val="16"/>
          <w:szCs w:val="16"/>
        </w:rPr>
        <w:softHyphen/>
        <w:t>рольном полёте достигли высоты 5600 м, дальнейший набор высоты в связи с поломкой датчика оборотов турбокомпрессора пришлось прекратить. 26 сентября полёт до вы</w:t>
      </w:r>
      <w:r w:rsidRPr="00070ADE">
        <w:rPr>
          <w:rFonts w:ascii="Times New Roman" w:hAnsi="Times New Roman"/>
          <w:color w:val="000000" w:themeColor="text1"/>
          <w:sz w:val="16"/>
          <w:szCs w:val="16"/>
        </w:rPr>
        <w:softHyphen/>
        <w:t>соты 9000 м прекратили вследствие обледенения фонаря, отказа в работе впрыска во</w:t>
      </w:r>
      <w:r w:rsidRPr="00070ADE">
        <w:rPr>
          <w:rFonts w:ascii="Times New Roman" w:hAnsi="Times New Roman"/>
          <w:color w:val="000000" w:themeColor="text1"/>
          <w:sz w:val="16"/>
          <w:szCs w:val="16"/>
        </w:rPr>
        <w:softHyphen/>
        <w:t>ды в цилиндры мотора и высоких температур масла. Следующий полёт состоялся лишь 3 октября. На высоте 10000 м сильная тряска мотора при включении впрыска воды и низкое давление бензина в системе не позволили его продолжить. Ещё один день ушёл на устранение обнаруженных дефектов.</w:t>
      </w:r>
    </w:p>
    <w:p w14:paraId="2A2A8A72" w14:textId="77777777" w:rsidR="009E2554" w:rsidRPr="00070ADE" w:rsidRDefault="009E255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октября в полёте на замер расхода горючего на высотах 500 м и 4000 м и проверку работы мотора с включённым впрыском воды на Ла-5А, который пилотировал лётчик-ис</w:t>
      </w:r>
      <w:r w:rsidRPr="00070ADE">
        <w:rPr>
          <w:rFonts w:ascii="Times New Roman" w:hAnsi="Times New Roman"/>
          <w:color w:val="000000" w:themeColor="text1"/>
          <w:sz w:val="16"/>
          <w:szCs w:val="16"/>
        </w:rPr>
        <w:softHyphen/>
        <w:t>пытатель С.Н. Анохин, на высоте 3400 м при нормальной работе мотора и при нормальных показаниях всех контрольных приборов на выхлопе возникло сильное факеление. Для его устранения лётчик обеднил смесь при помощи рычага остановки мотора. Факе</w:t>
      </w:r>
      <w:r w:rsidRPr="00070ADE">
        <w:rPr>
          <w:rFonts w:ascii="Times New Roman" w:hAnsi="Times New Roman"/>
          <w:color w:val="000000" w:themeColor="text1"/>
          <w:sz w:val="16"/>
          <w:szCs w:val="16"/>
        </w:rPr>
        <w:softHyphen/>
        <w:t>ление привело к сильному нагреву бортов фюзеляжа, обгорела обшивка правого борта. Вследствие высокой температуры фанерная оболочка задымилась. Анохину удалось до</w:t>
      </w:r>
      <w:r w:rsidRPr="00070ADE">
        <w:rPr>
          <w:rFonts w:ascii="Times New Roman" w:hAnsi="Times New Roman"/>
          <w:color w:val="000000" w:themeColor="text1"/>
          <w:sz w:val="16"/>
          <w:szCs w:val="16"/>
        </w:rPr>
        <w:softHyphen/>
        <w:t>вести загоревшийся самолёт до аэродрома и нормально сесть в пределах ВПП. Горение и обугливание деревянной конструкции фюзеляжа было вызвано перегревом металличе</w:t>
      </w:r>
      <w:r w:rsidRPr="00070ADE">
        <w:rPr>
          <w:rFonts w:ascii="Times New Roman" w:hAnsi="Times New Roman"/>
          <w:color w:val="000000" w:themeColor="text1"/>
          <w:sz w:val="16"/>
          <w:szCs w:val="16"/>
        </w:rPr>
        <w:softHyphen/>
        <w:t>ской обшивки факелом, образующимся на выхлопе мотора, теплоизоляция между жаро</w:t>
      </w:r>
      <w:r w:rsidRPr="00070ADE">
        <w:rPr>
          <w:rFonts w:ascii="Times New Roman" w:hAnsi="Times New Roman"/>
          <w:color w:val="000000" w:themeColor="text1"/>
          <w:sz w:val="16"/>
          <w:szCs w:val="16"/>
        </w:rPr>
        <w:softHyphen/>
        <w:t>упорными листами обшивки и деревянной конструкцией фюзеляжа оказалась недоста</w:t>
      </w:r>
      <w:r w:rsidRPr="00070ADE">
        <w:rPr>
          <w:rFonts w:ascii="Times New Roman" w:hAnsi="Times New Roman"/>
          <w:color w:val="000000" w:themeColor="text1"/>
          <w:sz w:val="16"/>
          <w:szCs w:val="16"/>
        </w:rPr>
        <w:softHyphen/>
        <w:t>точной. Факел же появился в результате ненормального забогащения мотора при увели</w:t>
      </w:r>
      <w:r w:rsidRPr="00070ADE">
        <w:rPr>
          <w:rFonts w:ascii="Times New Roman" w:hAnsi="Times New Roman"/>
          <w:color w:val="000000" w:themeColor="text1"/>
          <w:sz w:val="16"/>
          <w:szCs w:val="16"/>
        </w:rPr>
        <w:softHyphen/>
        <w:t>чении высоты полёта, тогда же расход горючего увеличился с 360 кг/ч до 459 кг/ч на вы</w:t>
      </w:r>
      <w:r w:rsidRPr="00070ADE">
        <w:rPr>
          <w:rFonts w:ascii="Times New Roman" w:hAnsi="Times New Roman"/>
          <w:color w:val="000000" w:themeColor="text1"/>
          <w:sz w:val="16"/>
          <w:szCs w:val="16"/>
        </w:rPr>
        <w:softHyphen/>
        <w:t>соте 3400 м. Наиболее интенсивный факел образовался из ресивера правого турбо</w:t>
      </w:r>
      <w:r w:rsidRPr="00070ADE">
        <w:rPr>
          <w:rFonts w:ascii="Times New Roman" w:hAnsi="Times New Roman"/>
          <w:color w:val="000000" w:themeColor="text1"/>
          <w:sz w:val="16"/>
          <w:szCs w:val="16"/>
        </w:rPr>
        <w:softHyphen/>
        <w:t>компрессора. Аварийная комиссия под председательством М.Д. Романовича, для безо</w:t>
      </w:r>
      <w:r w:rsidRPr="00070ADE">
        <w:rPr>
          <w:rFonts w:ascii="Times New Roman" w:hAnsi="Times New Roman"/>
          <w:color w:val="000000" w:themeColor="text1"/>
          <w:sz w:val="16"/>
          <w:szCs w:val="16"/>
        </w:rPr>
        <w:softHyphen/>
        <w:t>пасности проведения дальнейших лётных испытаний, порекомендовала: установить для моторов АШ-82ФН с ТК нормы часового расхода горючего, насосы НБЗ-У проверять на равномерность подачи горючего, на стабильность его расходования по высотам, заводу № 81 улучшить теплоизоляцию деревянных частей фюзеляжа от металлической обшив</w:t>
      </w:r>
      <w:r w:rsidRPr="00070ADE">
        <w:rPr>
          <w:rFonts w:ascii="Times New Roman" w:hAnsi="Times New Roman"/>
          <w:color w:val="000000" w:themeColor="text1"/>
          <w:sz w:val="16"/>
          <w:szCs w:val="16"/>
        </w:rPr>
        <w:softHyphen/>
        <w:t>ки, подверженной воздействию выхлопных газов. Самолёт нуждался в ремонте, и его от</w:t>
      </w:r>
      <w:r w:rsidRPr="00070ADE">
        <w:rPr>
          <w:rFonts w:ascii="Times New Roman" w:hAnsi="Times New Roman"/>
          <w:color w:val="000000" w:themeColor="text1"/>
          <w:sz w:val="16"/>
          <w:szCs w:val="16"/>
        </w:rPr>
        <w:softHyphen/>
        <w:t>правили на завод № 81. Откуда назад он не вернулся, поскольку программу испытаний признали выполненной, а тему законченной.</w:t>
      </w:r>
    </w:p>
    <w:p w14:paraId="3D0DF229" w14:textId="77777777" w:rsidR="009E2554" w:rsidRPr="00070ADE" w:rsidRDefault="009E2554"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обстоятельствах, аналогичных тем, в которых оказался С.Н. Анохин на Ла-5А, 7 февраля разбился И-221 ОКБ-155. Пилотировавший его летчик 12-го ГИАП П.А. Жу</w:t>
      </w:r>
      <w:r w:rsidRPr="00070ADE">
        <w:rPr>
          <w:rFonts w:ascii="Times New Roman" w:hAnsi="Times New Roman"/>
          <w:color w:val="000000" w:themeColor="text1"/>
          <w:sz w:val="16"/>
          <w:szCs w:val="16"/>
        </w:rPr>
        <w:softHyphen/>
        <w:t>равлев принял факеление из выхлопных патрубков и дым в кабине за начавшийся по</w:t>
      </w:r>
      <w:r w:rsidRPr="00070ADE">
        <w:rPr>
          <w:rFonts w:ascii="Times New Roman" w:hAnsi="Times New Roman"/>
          <w:color w:val="000000" w:themeColor="text1"/>
          <w:sz w:val="16"/>
          <w:szCs w:val="16"/>
        </w:rPr>
        <w:softHyphen/>
        <w:t>жар, и на высоте 9000 м покинул самолёт (15830).</w:t>
      </w:r>
    </w:p>
    <w:p w14:paraId="5B0FD1F4" w14:textId="77777777" w:rsidR="009E2554" w:rsidRPr="00070ADE" w:rsidRDefault="009E2554" w:rsidP="00B56F90">
      <w:pPr>
        <w:spacing w:after="0" w:line="240" w:lineRule="auto"/>
        <w:jc w:val="both"/>
        <w:rPr>
          <w:rFonts w:ascii="Times New Roman" w:hAnsi="Times New Roman"/>
          <w:color w:val="000000" w:themeColor="text1"/>
          <w:sz w:val="16"/>
          <w:szCs w:val="16"/>
        </w:rPr>
      </w:pPr>
    </w:p>
    <w:p w14:paraId="08F66D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25 июня 1944 на МиГ АМ-39Б + 2ТК-2Б был выполнен полет до 8000 м продолжительностью 0:35 (1825).</w:t>
      </w:r>
    </w:p>
    <w:p w14:paraId="70CB55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A469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июня 1944 был произведен полет МИГ С АМ-39Б И 2ТК-2Б на определение границы высотности на второй скорости нагне</w:t>
      </w:r>
      <w:r w:rsidRPr="00070ADE">
        <w:rPr>
          <w:rFonts w:ascii="Times New Roman" w:hAnsi="Times New Roman"/>
          <w:color w:val="000000" w:themeColor="text1"/>
          <w:sz w:val="16"/>
          <w:szCs w:val="16"/>
        </w:rPr>
        <w:softHyphen/>
        <w:t>тателя, с полностью включенным ТК. Прододнителънссть полета - 35 мин, высо</w:t>
      </w:r>
      <w:r w:rsidRPr="00070ADE">
        <w:rPr>
          <w:rFonts w:ascii="Times New Roman" w:hAnsi="Times New Roman"/>
          <w:color w:val="000000" w:themeColor="text1"/>
          <w:sz w:val="16"/>
          <w:szCs w:val="16"/>
        </w:rPr>
        <w:softHyphen/>
        <w:t>та - 8000 мт. Во время набора высоты, начиная с 5000 мт, мотор начал делать перебои и на высоте 8000 мт работа мотора настолько ухудшилась, что полет был прекращен. При осмотре самолета, после посадки, об</w:t>
      </w:r>
      <w:r w:rsidRPr="00070ADE">
        <w:rPr>
          <w:rFonts w:ascii="Times New Roman" w:hAnsi="Times New Roman"/>
          <w:color w:val="000000" w:themeColor="text1"/>
          <w:sz w:val="16"/>
          <w:szCs w:val="16"/>
        </w:rPr>
        <w:softHyphen/>
        <w:t>наружено, что медно-азбестовая прокладка вых</w:t>
      </w:r>
      <w:r w:rsidRPr="00070ADE">
        <w:rPr>
          <w:rFonts w:ascii="Times New Roman" w:hAnsi="Times New Roman"/>
          <w:color w:val="000000" w:themeColor="text1"/>
          <w:sz w:val="16"/>
          <w:szCs w:val="16"/>
        </w:rPr>
        <w:softHyphen/>
        <w:t>лопного коллектора была выбита и выходящее пламя, через образовавшуюся цель, сожгло кол</w:t>
      </w:r>
      <w:r w:rsidRPr="00070ADE">
        <w:rPr>
          <w:rFonts w:ascii="Times New Roman" w:hAnsi="Times New Roman"/>
          <w:color w:val="000000" w:themeColor="text1"/>
          <w:sz w:val="16"/>
          <w:szCs w:val="16"/>
        </w:rPr>
        <w:softHyphen/>
        <w:t>лектор проводов зажигания мотора (1825).</w:t>
      </w:r>
    </w:p>
    <w:p w14:paraId="157534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59077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E8153A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72F0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июня 1944 г. на Миасском полигоне были проведены заводские артиллерийские испы</w:t>
      </w:r>
      <w:r w:rsidRPr="00070ADE">
        <w:rPr>
          <w:rFonts w:ascii="Times New Roman" w:hAnsi="Times New Roman"/>
          <w:color w:val="000000" w:themeColor="text1"/>
          <w:sz w:val="16"/>
          <w:szCs w:val="16"/>
        </w:rPr>
        <w:softHyphen/>
        <w:t>тания танка "Объект 245" (за</w:t>
      </w:r>
      <w:r w:rsidRPr="00070ADE">
        <w:rPr>
          <w:rFonts w:ascii="Times New Roman" w:hAnsi="Times New Roman"/>
          <w:color w:val="000000" w:themeColor="text1"/>
          <w:sz w:val="16"/>
          <w:szCs w:val="16"/>
        </w:rPr>
        <w:softHyphen/>
        <w:t>водское обозначение - ИС-4), вооруженный 100-мм пушкой Д-10Т за</w:t>
      </w:r>
      <w:r w:rsidRPr="00070ADE">
        <w:rPr>
          <w:rFonts w:ascii="Times New Roman" w:hAnsi="Times New Roman"/>
          <w:color w:val="000000" w:themeColor="text1"/>
          <w:sz w:val="16"/>
          <w:szCs w:val="16"/>
        </w:rPr>
        <w:softHyphen/>
        <w:t>вода № 9 НКВ с баллистикой морской пушки Б-34 (длина ствола 56 ка</w:t>
      </w:r>
      <w:r w:rsidRPr="00070ADE">
        <w:rPr>
          <w:rFonts w:ascii="Times New Roman" w:hAnsi="Times New Roman"/>
          <w:color w:val="000000" w:themeColor="text1"/>
          <w:sz w:val="16"/>
          <w:szCs w:val="16"/>
        </w:rPr>
        <w:softHyphen/>
        <w:t>либров, начальная скорость бронебойного снаряда 900 м/с), по результатам которых было сделано заключение о готов</w:t>
      </w:r>
      <w:r w:rsidRPr="00070ADE">
        <w:rPr>
          <w:rFonts w:ascii="Times New Roman" w:hAnsi="Times New Roman"/>
          <w:color w:val="000000" w:themeColor="text1"/>
          <w:sz w:val="16"/>
          <w:szCs w:val="16"/>
        </w:rPr>
        <w:softHyphen/>
        <w:t>ности его для предъявления на Государственные испытания. 100-мм пушка С-34 с завода № 92 НКВ вместо 20 февраля 1944 г., как это было предусмотрено планом, была подана на завод № 100 толь</w:t>
      </w:r>
      <w:r w:rsidRPr="00070ADE">
        <w:rPr>
          <w:rFonts w:ascii="Times New Roman" w:hAnsi="Times New Roman"/>
          <w:color w:val="000000" w:themeColor="text1"/>
          <w:sz w:val="16"/>
          <w:szCs w:val="16"/>
        </w:rPr>
        <w:softHyphen/>
        <w:t>ко в начале апреля 1944 г. Совместным приказом НКТП, НКВ, коман</w:t>
      </w:r>
      <w:r w:rsidRPr="00070ADE">
        <w:rPr>
          <w:rFonts w:ascii="Times New Roman" w:hAnsi="Times New Roman"/>
          <w:color w:val="000000" w:themeColor="text1"/>
          <w:sz w:val="16"/>
          <w:szCs w:val="16"/>
        </w:rPr>
        <w:softHyphen/>
        <w:t>дующего БТ и МВ РККА и начальника ГАУ были установлены новые сроки проведения испытаний. Теперь заводу № 100 необходимо было подать танк на Гороховецкий АНИОП к 8 мая 1944 г. Но опытный тяже</w:t>
      </w:r>
      <w:r w:rsidRPr="00070ADE">
        <w:rPr>
          <w:rFonts w:ascii="Times New Roman" w:hAnsi="Times New Roman"/>
          <w:color w:val="000000" w:themeColor="text1"/>
          <w:sz w:val="16"/>
          <w:szCs w:val="16"/>
        </w:rPr>
        <w:softHyphen/>
        <w:t>лый танк ИС-5 ("Объект 248") из-за отсутствия готовой башни был из</w:t>
      </w:r>
      <w:r w:rsidRPr="00070ADE">
        <w:rPr>
          <w:rFonts w:ascii="Times New Roman" w:hAnsi="Times New Roman"/>
          <w:color w:val="000000" w:themeColor="text1"/>
          <w:sz w:val="16"/>
          <w:szCs w:val="16"/>
        </w:rPr>
        <w:softHyphen/>
        <w:t>готовлен заводом только в июне 1944 г. и к концу месяца прошел лишь заводские испытания пробегом и отстрелом на Миасском полигоне. Танк "Объект 248" был создан на базе опытного тяжелого танка "Объект 237" № 1. В связи с установкой новой пушки и башни была изменена компоновка боевого отделения. Командир и наводчик располагались справа, а заряжающий - слева от пушки. Люк и командирская башенка имели, по отношению к серийной башне танка ИС-1, зеркальное распо</w:t>
      </w:r>
      <w:r w:rsidRPr="00070ADE">
        <w:rPr>
          <w:rFonts w:ascii="Times New Roman" w:hAnsi="Times New Roman"/>
          <w:color w:val="000000" w:themeColor="text1"/>
          <w:sz w:val="16"/>
          <w:szCs w:val="16"/>
        </w:rPr>
        <w:softHyphen/>
        <w:t>ложение. Кроме того, отсутствовала установка тыльного пулемета. После проведения заводских испытаний машина была рекомендова</w:t>
      </w:r>
      <w:r w:rsidRPr="00070ADE">
        <w:rPr>
          <w:rFonts w:ascii="Times New Roman" w:hAnsi="Times New Roman"/>
          <w:color w:val="000000" w:themeColor="text1"/>
          <w:sz w:val="16"/>
          <w:szCs w:val="16"/>
        </w:rPr>
        <w:softHyphen/>
        <w:t>на на полигонные испытания. Однако ни "Объект 245", ни "Объект 248", оснащенные 100-мм пуш</w:t>
      </w:r>
      <w:r w:rsidRPr="00070ADE">
        <w:rPr>
          <w:rFonts w:ascii="Times New Roman" w:hAnsi="Times New Roman"/>
          <w:color w:val="000000" w:themeColor="text1"/>
          <w:sz w:val="16"/>
          <w:szCs w:val="16"/>
        </w:rPr>
        <w:softHyphen/>
        <w:t>ками, не были приняты на вооружение вследствие того, что на дальнос</w:t>
      </w:r>
      <w:r w:rsidRPr="00070ADE">
        <w:rPr>
          <w:rFonts w:ascii="Times New Roman" w:hAnsi="Times New Roman"/>
          <w:color w:val="000000" w:themeColor="text1"/>
          <w:sz w:val="16"/>
          <w:szCs w:val="16"/>
        </w:rPr>
        <w:softHyphen/>
        <w:t>тях свыше 1000 м из-за меньшей массы бронебойных снарядов их бро-непробиваемость оказалась меньше, чем у 122-мм бронебойных снаря</w:t>
      </w:r>
      <w:r w:rsidRPr="00070ADE">
        <w:rPr>
          <w:rFonts w:ascii="Times New Roman" w:hAnsi="Times New Roman"/>
          <w:color w:val="000000" w:themeColor="text1"/>
          <w:sz w:val="16"/>
          <w:szCs w:val="16"/>
        </w:rPr>
        <w:softHyphen/>
        <w:t>дов пушки Д-25. С середины апреля 1944 г. на основании "Тактико-технических тре</w:t>
      </w:r>
      <w:r w:rsidRPr="00070ADE">
        <w:rPr>
          <w:rFonts w:ascii="Times New Roman" w:hAnsi="Times New Roman"/>
          <w:color w:val="000000" w:themeColor="text1"/>
          <w:sz w:val="16"/>
          <w:szCs w:val="16"/>
        </w:rPr>
        <w:softHyphen/>
        <w:t>бований на проектирование тяжелого танка", разработанных ТУ ГБТУ, в КБ завода № 100 велась работа по проектированию опытных тяжелых танков с электромеханической и механической трансмиссиями (10703).</w:t>
      </w:r>
    </w:p>
    <w:p w14:paraId="5E75E0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23C7F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июня 1944 г. начал работать Каменск-Уральский металлургический завод (6395).</w:t>
      </w:r>
    </w:p>
    <w:p w14:paraId="56BA821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1D1A2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июня 1944 года - Пуск циклотрона в Лаборатории No. 2 (10549).</w:t>
      </w:r>
    </w:p>
    <w:p w14:paraId="1380F8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5C35D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июня 1944 Завершены швартовные испытания 14-го МБК (10671).</w:t>
      </w:r>
    </w:p>
    <w:p w14:paraId="42F2263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EAFD96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B350A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D56466"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25 июня</w:t>
      </w:r>
      <w:r w:rsidRPr="00070ADE">
        <w:rPr>
          <w:rFonts w:ascii="Times New Roman" w:hAnsi="Times New Roman"/>
          <w:color w:val="000000" w:themeColor="text1"/>
          <w:sz w:val="16"/>
          <w:szCs w:val="16"/>
        </w:rPr>
        <w:t xml:space="preserve"> в 1944 году оперативная сводка Совинформбюро:</w:t>
      </w:r>
    </w:p>
    <w:p w14:paraId="01799266"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25 июня западнее города Витебск наши войска, развивая наступление, форсировали реку Западная Двина на фронте 30 километров и с боями заняли более 150 населённых пунктов, в числе которых Подоры, Комачино, Наде Жино, Поречье, Пятигорск, Сеньковщина, Ворохобка, Королино. Шары Лино, Новые Соннаки, Вяжище, Задорожье, Теребетовка, Старое Село, Ковальки, Щербаки, Васьковичи и железнодорожные станции Старое Село, Лосвида. Восточнее Бешенковичи наши войска перерезали шоссейную дорогу Витебск — Лепель.</w:t>
      </w:r>
    </w:p>
    <w:p w14:paraId="2FF1F167"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югу от города Витебск наши войска, продолжая успешное наступление, овладели районными центрами Витебской области городом Сенно, городом и крупной железнодорожной станцией Богушевск, а также с боями заняли более 300 других населённых пунктов, в том числе Батраки, Билево-Сокольники, Подберезье, Прудники, Узварцы, Рудаковские, Каныши, Новоселки, Гнездиловичи, Дуброва, Берешово, Карповичи, Нерейша, Яново, Могилевка и железнодорожная станция Крестьянка. Войска, наступающие к югу от Витебска, перерезали шоссейную дорогу Витебск — Лепель в районе Гнездиловичи, где соединились с войсками, наступающими западнее Витебска.</w:t>
      </w:r>
    </w:p>
    <w:p w14:paraId="6FC6C58C"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в ходе наступления наши войска завершили окружение группировки немцев в составе пяти пехотных дивизий в районе Витебска.</w:t>
      </w:r>
    </w:p>
    <w:p w14:paraId="37957BFE"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ворвались в город Витебск, где завязали уличные бои.</w:t>
      </w:r>
    </w:p>
    <w:p w14:paraId="7CC27F55"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Оршанском направлении наши войска, продолжая наступление, с боями заняли более 40 населённых пунктов. Среди них Бабиновичи, Иваньково, Заозерье, Большая и Малая Бабина, Орехи-Выдрица, Ступаки, Голяши, Мордашевичи, Теолин и железнодорожная станция Хлюстино (14 километров северо-восточнее Орши).</w:t>
      </w:r>
    </w:p>
    <w:p w14:paraId="4C9BEBB2"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Могилевском направлении наши войска, развивая успешное наступление, овладели районным центром Могилёвской области городом Чаусы, а также с боями заняли более 150 других населённых пунктов, в том числе крупные населённые пункты Углы, Ждановичи, Большое и Малое Бушково, Киркоры, Сухари, Васьковичи, Темривичи, Бординичи, Заречье.</w:t>
      </w:r>
    </w:p>
    <w:p w14:paraId="14ADE368"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Белорусского фронта, перейдя в наступление из района юго-западнее города Жлобин, прорвали, при поддержке массированных ударов артиллерии и авиации, сильно укреплённую оборону немцев, прикрывающую Бобруйское направление, на участке протяжением 35 километров и за два дня наступательных боёв продвинулись вперёд до 30 километров, расширив прорыв до 80 километров по фронту. Одновременно севернее города Рогачев войска фронта форсировали реку Друть и прорвали сильную, глубоко эшелонированную оборону противника на фронте протяжением 30 километров и продвинулись в глубину до 12 километров. В ходе наступления войсками фронта освобождено более 100 населённых пунктов, среди которых Стайки, Дубцы, Ректа (23 километра северо-западнее Рогачева), Озеране, Дядовщина, Большая Коноплица, Веричев, Заполье, Кнышевичи (8 километров юго-западнее Паричи), Тумаровка, Заболотье, Ковчицы 1-е, Бараний Рог, Круки, Черные Броды, Протасы, Моисеевка, Прослише, Грабье, Мушичи и железнодорожная станция Мошна.</w:t>
      </w:r>
    </w:p>
    <w:p w14:paraId="6DF9DB27"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наши войска перерезали железную дорогу Бобруйск — Лунинец.</w:t>
      </w:r>
    </w:p>
    <w:p w14:paraId="25596739"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Между Онежским и Ладожским озёрами наши войска, преодолевая сопротивление и инженерные заграждения противника на лесных дорогах, продолжали наступление и с боями заняли населённые пункты Ташкеницы, Устье, Речная Сельга, Самбатукса, Пипилица, Сармяги, Обжа.</w:t>
      </w:r>
    </w:p>
    <w:p w14:paraId="71D9B984"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Онежского озера наши войска, форсировав реки Остер и Кумса, продвинулись к западу и югу от Медвежьегорска до 15 километров, заняв при этом населённые пункты Шарвары, Падун и железнодорожные станции Предмед Горский, Перегуба на Мурманской железной дороге.</w:t>
      </w:r>
    </w:p>
    <w:p w14:paraId="48AEE58E"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без существенных изменений.</w:t>
      </w:r>
    </w:p>
    <w:p w14:paraId="78A941F0"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24 июня наши войска на всех фронтах подбили и уничтожили 44 немецких танка. В воздушных боях и огнём зенитной артиллерии сбито 48 самолётов противника.»</w:t>
      </w:r>
    </w:p>
    <w:p w14:paraId="10538DB9"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Налёт нашей авиации на железнодорожный узел Полоцк и станцию Оболь:</w:t>
      </w:r>
    </w:p>
    <w:p w14:paraId="7070BDA8"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дальнего действия в ночь на 25 июня совершила налёт на железнодорожный узел Полоцк и станцию Оболь.</w:t>
      </w:r>
    </w:p>
    <w:p w14:paraId="3028D2DD"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время налёта на железнодорожном узле Полоцк наблюдалось большое скопление эшелонов с войсками и военными мате риалами. Наши лётчики, осветив территорию узла светящимися бомбами, подвергли прицельной бомбардировке железнодорожные составы, склады и сооружения. На товарной станции возникло 10 очагов пожара, из них 3 особенно больших размеров. Огонь охватил несколько эшелонов и станционные постройки. В восточной части узла произошёл взрыв огромной силы.</w:t>
      </w:r>
    </w:p>
    <w:p w14:paraId="292E3371"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железнодорожной станции Оболь в результате массированного удара нашей авиации разбито и сожжено несколько железнодорожных эшелонов. На территории станции возникли пожары и произошли сильные взрывы.»</w:t>
      </w:r>
    </w:p>
    <w:p w14:paraId="6C7830A4"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города Витебск наши войска, преследуя разгромленные части противника, форсировали Западную Двину. Наступление наших войск было настолько стреми тельным, что отступившие в панике немцы даже не успели взорвать мост через реку. Быстро продвигаясь вперёд, советские части соединились с войсками, наступающими южнее города Витебск. Таким образом наши войска завершили окружение витебской группировки немцев. Дороги и районы боёв усеяны сотнями вражеских трупов. Повсюду валяется разбитая техника, а также вполне исправное вооружение, брошенное немцами. По неполным данным, за день боёв уничтожено 2.700 гитлеровцев, захвачено 12 самоходных и 50 полевых орудий, 230 пулемётов, 10 складов с боеприпасами и продовольствием, большое количество разного оружия и снаряжения. Взято в плен свыше 600 немецких солдат и офицеров. На сторону Красной Армии перешла в полном составе одна рота 56 немецкой пехотной дивизии.</w:t>
      </w:r>
    </w:p>
    <w:p w14:paraId="59EF056D"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югу от города Витебск части Н-ского соединения штурмом заняли крупную железнодорожную станцию и узел грунтовых дорог город Богушевск и районный центр Витебской области город Сеяно. Враг несёт большие потери. По предварительным данным, советские войска за два дня уничтожили свыше 8 тысяч немецких солдат и офицеров, сожгли 28 танков и самоходных орудий, до 500 автомашин, разбили 140 орудий. Наши части захватили 104 орудия, 246 пулемётов, 41 миномёт, 25 радиостанций, 47 складов с военным имуществом, боеприпасами и продовольствием. Взято в плен более 700 немецких солдат и офицеров.</w:t>
      </w:r>
    </w:p>
    <w:p w14:paraId="41B01E8F"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 Могилёвском направлении советские войска, преследуя отступающего врага, с хода форсировали реку Бася и в результате ожесточённого боя овладели городом Чаусы. Западный берег реки Бася немцы превратили в сильно укреплённый рубеж обороны, насыщенный огневыми средствами. Наша артиллерия, бомбардировочная и штурмовая авиация подавили огневые точки противника. Стремительным ударом советские части прорвали второй оборонительный рубеж противника и, успешно </w:t>
      </w:r>
      <w:r w:rsidRPr="00070ADE">
        <w:rPr>
          <w:rFonts w:ascii="Times New Roman" w:hAnsi="Times New Roman"/>
          <w:color w:val="000000" w:themeColor="text1"/>
          <w:sz w:val="16"/>
          <w:szCs w:val="16"/>
        </w:rPr>
        <w:lastRenderedPageBreak/>
        <w:t>продвигаясь вперёд, заняли более 150 населённых пунктов. Подразделения Н-ской части разгромили немецкий пехотный полк и захватили полковое знамя. По неполным данным, бойцы H-ского соединения за два дня боёв уничтожили до 2.000 немецких солдат и офицеров. Захвачено 19 орудий, 54 пулемёта, 18 крупнокалиберных миномётов, 8 радио станций, 2 склада боеприпасов и много других трофеев.</w:t>
      </w:r>
    </w:p>
    <w:p w14:paraId="1C91265F"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Жлобин наши войска, после мощной артиллерийской подготовки и ударов авиации по укреплениям и огневым позициям противника, перешли в наступление. Опираясь на широко развитую сеть траншей и многочисленные дзоты, прикрытые минными полями и проволочными заграждениями, а также водными преградами и болотами, немцы оказывали отчаянное сопротивление. Однако советские войска, опрокинули противника, прорвали его оборону и, продвигаясь вперёд, заняли ряд населённых пунктов. По неполным данным, уничтожено более 2.000 гитлеровцев. Одновременно севернее города Рогачёв наши войска переправились через реку Друть. Советская пехота, поддержанная мощными ударами артиллерии и авиации, штурмом прорвала глубоко эшелонированную оборону противника и продолжает успешно продвигаться вперёд. На поле боя осталось свыше 1.700 вражеских трупов. Захвачено много трофеев и пленных.» (14933).</w:t>
      </w:r>
    </w:p>
    <w:p w14:paraId="0779DCDD" w14:textId="77777777" w:rsidR="00E2067E" w:rsidRPr="00070ADE" w:rsidRDefault="00E2067E" w:rsidP="00B56F90">
      <w:pPr>
        <w:spacing w:after="0" w:line="240" w:lineRule="auto"/>
        <w:jc w:val="both"/>
        <w:rPr>
          <w:rFonts w:ascii="Times New Roman" w:hAnsi="Times New Roman"/>
          <w:color w:val="000000" w:themeColor="text1"/>
          <w:sz w:val="16"/>
          <w:szCs w:val="16"/>
        </w:rPr>
      </w:pPr>
    </w:p>
    <w:p w14:paraId="691AAF4C"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25 июня</w:t>
      </w:r>
      <w:r w:rsidRPr="00070ADE">
        <w:rPr>
          <w:rFonts w:ascii="Times New Roman" w:hAnsi="Times New Roman"/>
          <w:color w:val="000000" w:themeColor="text1"/>
          <w:sz w:val="16"/>
          <w:szCs w:val="16"/>
        </w:rPr>
        <w:t xml:space="preserve"> в 1944 году (25-27 июня) войска 1-го Прибалтийского и 3-го Белорусского фронтов окружили и уничтожили крупную группировку немецко-фашистских войск западнее Витебска (14933).</w:t>
      </w:r>
    </w:p>
    <w:p w14:paraId="3FC3EC79" w14:textId="77777777" w:rsidR="00E2067E" w:rsidRPr="00070ADE" w:rsidRDefault="00E2067E" w:rsidP="00B56F90">
      <w:pPr>
        <w:spacing w:after="0" w:line="240" w:lineRule="auto"/>
        <w:jc w:val="both"/>
        <w:rPr>
          <w:rFonts w:ascii="Times New Roman" w:hAnsi="Times New Roman"/>
          <w:color w:val="000000" w:themeColor="text1"/>
          <w:sz w:val="16"/>
          <w:szCs w:val="16"/>
        </w:rPr>
      </w:pPr>
    </w:p>
    <w:p w14:paraId="5A53AD1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июня 1944 Первый Белорусский в районе Жлобина прорвал оборону, прикрывающую Бобруйское направление (271,220). На 1БВ с конно-механизированной группой взаимодействовали по одной шад и иад, а бак использовались как огневой резерв для ударов по важнейшим объектам. Ш соединения по вызову авиапредставителей на передовых пунктах корпусов группами по 9-12 самолетов непрерывно наносили удары (340,172).</w:t>
      </w:r>
    </w:p>
    <w:p w14:paraId="5723D1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2051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июня 1944 в ходе Витебско-Оршанской операции в день прорыва 5ГТА 3БФ бомбардировщики 1ВА подвергли сильным ударам аэродромы противника в Орше, Докудово, Борисов (518,158).</w:t>
      </w:r>
    </w:p>
    <w:p w14:paraId="36EA65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4822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июня 1944 вышла директива наркома ВМФ Н.К.Кузнецова N 162/Ш о высокой аварийности авиации ТОФ (2120).</w:t>
      </w:r>
    </w:p>
    <w:p w14:paraId="3F5F8D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BA65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июня 1944 г. была подготовлена ДОКЛАДНАЯ ЗАПИСКА ВОЕННОГО СОВЕТА БТ и МВ КА НАРОДНОМУ КОМИССАРУ ОБОРОНЫ СССР И.В. СТАЛИНУ ОБ ОРГАНИЗАЦИИ ТАНКОВОГО НАУЧНО-ТЕХНИЧЕСКОГО КОМИТЕТА</w:t>
      </w:r>
    </w:p>
    <w:p w14:paraId="3CC49D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улучшения работы по вопросам, относящимся к повышению качества и своевременно</w:t>
      </w:r>
      <w:r w:rsidRPr="00070ADE">
        <w:rPr>
          <w:rFonts w:ascii="Times New Roman" w:hAnsi="Times New Roman"/>
          <w:color w:val="000000" w:themeColor="text1"/>
          <w:sz w:val="16"/>
          <w:szCs w:val="16"/>
        </w:rPr>
        <w:softHyphen/>
        <w:t>го создания опытных образцов, отражающих лучшие достижения танковой техники и самоходной артиллерии, а также для тщательного обобщения боевого опыта по эксплуатации и ремонту боевых машин — необходимо организовать при Главном бронетанковом управлении Красной Армии тан</w:t>
      </w:r>
      <w:r w:rsidRPr="00070ADE">
        <w:rPr>
          <w:rFonts w:ascii="Times New Roman" w:hAnsi="Times New Roman"/>
          <w:color w:val="000000" w:themeColor="text1"/>
          <w:sz w:val="16"/>
          <w:szCs w:val="16"/>
        </w:rPr>
        <w:softHyphen/>
        <w:t>ковый научно-технический комитет.</w:t>
      </w:r>
    </w:p>
    <w:p w14:paraId="5DCD1E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Представляю на Ваше рассмотрение проект штата этого комитета.</w:t>
      </w:r>
    </w:p>
    <w:p w14:paraId="211CFB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его утвердить.</w:t>
      </w:r>
    </w:p>
    <w:p w14:paraId="6FE199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БТ и МВ КА маршал бронетанковых войск Я. Федоренко</w:t>
      </w:r>
    </w:p>
    <w:p w14:paraId="3CCF9B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 военного совета генерал-полковник танковых войск Н. Бирюков</w:t>
      </w:r>
    </w:p>
    <w:p w14:paraId="038C065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ПРОЕКТ ПРИКАЗА НАРОДНОГО КОМИССАРА ОБОРОНЫ О создании танкового научно-технического комитета</w:t>
      </w:r>
    </w:p>
    <w:p w14:paraId="2DDAFB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w:t>
      </w:r>
    </w:p>
    <w:p w14:paraId="4501D2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улучшения работы по вопросам, относящимся к повышению качества и своевременно</w:t>
      </w:r>
      <w:r w:rsidRPr="00070ADE">
        <w:rPr>
          <w:rFonts w:ascii="Times New Roman" w:hAnsi="Times New Roman"/>
          <w:color w:val="000000" w:themeColor="text1"/>
          <w:sz w:val="16"/>
          <w:szCs w:val="16"/>
        </w:rPr>
        <w:softHyphen/>
        <w:t>го создания опытных образцов, отражающих лучшие достижения танковой техники и самоходной артиллерии, а также для тщательного обобщения боевого опыта по эксплуатации боевых машин ПРИКАЗЫВАЮ:</w:t>
      </w:r>
    </w:p>
    <w:p w14:paraId="7207B8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Создать при Главном бронетанковом управлении Красной Армии танковый научно-техниче</w:t>
      </w:r>
      <w:r w:rsidRPr="00070ADE">
        <w:rPr>
          <w:rFonts w:ascii="Times New Roman" w:hAnsi="Times New Roman"/>
          <w:color w:val="000000" w:themeColor="text1"/>
          <w:sz w:val="16"/>
          <w:szCs w:val="16"/>
        </w:rPr>
        <w:softHyphen/>
        <w:t>ский комитет.</w:t>
      </w:r>
    </w:p>
    <w:p w14:paraId="2D3483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Штат танкового научно-технического комитета установить в 65 человек военнослужащих и 49 человек вольнонаемных (приложение 1).</w:t>
      </w:r>
    </w:p>
    <w:p w14:paraId="52B823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Командующему бронетанковыми и механизированными войсками Красной Армии маршалу бронетанковых войск Федоренко:</w:t>
      </w:r>
    </w:p>
    <w:p w14:paraId="7D34E8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разработать и утвердить положение о танковом научно-техническом комитете;</w:t>
      </w:r>
    </w:p>
    <w:p w14:paraId="71D64A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укомплектовать танковый научно-технический комитет личным составом к 1 июля с. г.</w:t>
      </w:r>
    </w:p>
    <w:p w14:paraId="44EDCBC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Народный комиссар обороны СССР Маршал Советского Союза И. Сталин</w:t>
      </w:r>
    </w:p>
    <w:p w14:paraId="71AFA71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ПОЛОЖЕНИЕ О ТАНКОВОМ НАУЧНО-ТЕХНИЧЕСКОМ КОМИТЕТЕ ПРИ ГЛАВНОМ БРОНЕТАНКОВОМ УПРАВЛЕНИИ КРАСНОЙ АРМИИ</w:t>
      </w:r>
    </w:p>
    <w:p w14:paraId="7AA961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Танковый научно-технический комитет является высшим техническим органом начальника Главного бронетанкового управления Красной Армии.</w:t>
      </w:r>
    </w:p>
    <w:p w14:paraId="4F10AD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Работой комитета руководит председатель ТНТК, он же является начальником Главного броне</w:t>
      </w:r>
      <w:r w:rsidRPr="00070ADE">
        <w:rPr>
          <w:rFonts w:ascii="Times New Roman" w:hAnsi="Times New Roman"/>
          <w:color w:val="000000" w:themeColor="text1"/>
          <w:sz w:val="16"/>
          <w:szCs w:val="16"/>
        </w:rPr>
        <w:softHyphen/>
        <w:t>танкового управления.</w:t>
      </w:r>
    </w:p>
    <w:p w14:paraId="4DD345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Материальной базой для комитета является НИБТ полигон.</w:t>
      </w:r>
    </w:p>
    <w:p w14:paraId="3D162E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качестве совещательного органа при председателе комитета создается Пленум комитета.</w:t>
      </w:r>
    </w:p>
    <w:p w14:paraId="16FB3A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Члены Пленума комитета назначаются Военным советом БТ и МБ КА из числа:</w:t>
      </w:r>
    </w:p>
    <w:p w14:paraId="3F1099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Начальников Главных и Центральных управлений БТ и МБ КА и полигона;</w:t>
      </w:r>
    </w:p>
    <w:p w14:paraId="7ACD34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Начальников соответствующих кафедр академии имени И. В. Сталина, артиллерийской, свя</w:t>
      </w:r>
      <w:r w:rsidRPr="00070ADE">
        <w:rPr>
          <w:rFonts w:ascii="Times New Roman" w:hAnsi="Times New Roman"/>
          <w:color w:val="000000" w:themeColor="text1"/>
          <w:sz w:val="16"/>
          <w:szCs w:val="16"/>
        </w:rPr>
        <w:softHyphen/>
        <w:t>зи, химической защиты и др.;</w:t>
      </w:r>
    </w:p>
    <w:p w14:paraId="2D71B6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отдельных специалистов из числа военнослужащих Красной Армии и, кроме того, по со</w:t>
      </w:r>
      <w:r w:rsidRPr="00070ADE">
        <w:rPr>
          <w:rFonts w:ascii="Times New Roman" w:hAnsi="Times New Roman"/>
          <w:color w:val="000000" w:themeColor="text1"/>
          <w:sz w:val="16"/>
          <w:szCs w:val="16"/>
        </w:rPr>
        <w:softHyphen/>
        <w:t>гласованию с Народными комиссарами танковой промышленности, среднего машиностроения и других Наркоматов, вводятся в состав Пленума конструктора и инженерно-технические ра</w:t>
      </w:r>
      <w:r w:rsidRPr="00070ADE">
        <w:rPr>
          <w:rFonts w:ascii="Times New Roman" w:hAnsi="Times New Roman"/>
          <w:color w:val="000000" w:themeColor="text1"/>
          <w:sz w:val="16"/>
          <w:szCs w:val="16"/>
        </w:rPr>
        <w:softHyphen/>
        <w:t>ботники.</w:t>
      </w:r>
    </w:p>
    <w:p w14:paraId="7E6AEA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Вопросы, выносимые на заседание Пленума комитета, решаются простым голосованием с по</w:t>
      </w:r>
      <w:r w:rsidRPr="00070ADE">
        <w:rPr>
          <w:rFonts w:ascii="Times New Roman" w:hAnsi="Times New Roman"/>
          <w:color w:val="000000" w:themeColor="text1"/>
          <w:sz w:val="16"/>
          <w:szCs w:val="16"/>
        </w:rPr>
        <w:softHyphen/>
        <w:t>следующим утверждением начальником ГБТУ КА.</w:t>
      </w:r>
    </w:p>
    <w:p w14:paraId="66BCDE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Основными задачами танкового научно-технического комитета являются следующие:</w:t>
      </w:r>
    </w:p>
    <w:p w14:paraId="76C225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Определение типов танков, самоходных артиллерийских установок и других боевых машин, необходимых для Красной Армии, то есть отработка основных данных по тактико-технической ха</w:t>
      </w:r>
      <w:r w:rsidRPr="00070ADE">
        <w:rPr>
          <w:rFonts w:ascii="Times New Roman" w:hAnsi="Times New Roman"/>
          <w:color w:val="000000" w:themeColor="text1"/>
          <w:sz w:val="16"/>
          <w:szCs w:val="16"/>
        </w:rPr>
        <w:softHyphen/>
        <w:t>рактеристике.</w:t>
      </w:r>
    </w:p>
    <w:p w14:paraId="112F6B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Выработка требований на проектирование опытных образцов и условий их приемки, а так</w:t>
      </w:r>
      <w:r w:rsidRPr="00070ADE">
        <w:rPr>
          <w:rFonts w:ascii="Times New Roman" w:hAnsi="Times New Roman"/>
          <w:color w:val="000000" w:themeColor="text1"/>
          <w:sz w:val="16"/>
          <w:szCs w:val="16"/>
        </w:rPr>
        <w:softHyphen/>
        <w:t>же определение направления в совершенствовании основных механизмов вооружения танков и других боевых машин.</w:t>
      </w:r>
    </w:p>
    <w:p w14:paraId="6340C5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Контроль за проектированием и изготовлением опытных образцов боевых машин и агрега</w:t>
      </w:r>
      <w:r w:rsidRPr="00070ADE">
        <w:rPr>
          <w:rFonts w:ascii="Times New Roman" w:hAnsi="Times New Roman"/>
          <w:color w:val="000000" w:themeColor="text1"/>
          <w:sz w:val="16"/>
          <w:szCs w:val="16"/>
        </w:rPr>
        <w:softHyphen/>
        <w:t>тов, осуществляемых в промышленности и проектных организациях по заданиям комитета, ут</w:t>
      </w:r>
      <w:r w:rsidRPr="00070ADE">
        <w:rPr>
          <w:rFonts w:ascii="Times New Roman" w:hAnsi="Times New Roman"/>
          <w:color w:val="000000" w:themeColor="text1"/>
          <w:sz w:val="16"/>
          <w:szCs w:val="16"/>
        </w:rPr>
        <w:softHyphen/>
        <w:t>вержденным начальником Главного бронетанкового управления Красной Армии и Военным сове</w:t>
      </w:r>
      <w:r w:rsidRPr="00070ADE">
        <w:rPr>
          <w:rFonts w:ascii="Times New Roman" w:hAnsi="Times New Roman"/>
          <w:color w:val="000000" w:themeColor="text1"/>
          <w:sz w:val="16"/>
          <w:szCs w:val="16"/>
        </w:rPr>
        <w:softHyphen/>
        <w:t>том БТ и МБ КА.</w:t>
      </w:r>
    </w:p>
    <w:p w14:paraId="46E75F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Испытание опытных образцов танков, самоходных арт. установок и отдельных агрегатов.</w:t>
      </w:r>
    </w:p>
    <w:p w14:paraId="354100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Изучение и обобщение материалов по качеству конструкции, а также эксплуатации танков и других боевых машин в условиях войсковых частей, специальных учений и в боевых условиях.</w:t>
      </w:r>
    </w:p>
    <w:p w14:paraId="19C464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Комитет доводит каждый опытный образец, принятый на вооружение, до серийного произ</w:t>
      </w:r>
      <w:r w:rsidRPr="00070ADE">
        <w:rPr>
          <w:rFonts w:ascii="Times New Roman" w:hAnsi="Times New Roman"/>
          <w:color w:val="000000" w:themeColor="text1"/>
          <w:sz w:val="16"/>
          <w:szCs w:val="16"/>
        </w:rPr>
        <w:softHyphen/>
        <w:t>водства, после чего полностью отработанную техническую документацию передает соответствую</w:t>
      </w:r>
      <w:r w:rsidRPr="00070ADE">
        <w:rPr>
          <w:rFonts w:ascii="Times New Roman" w:hAnsi="Times New Roman"/>
          <w:color w:val="000000" w:themeColor="text1"/>
          <w:sz w:val="16"/>
          <w:szCs w:val="16"/>
        </w:rPr>
        <w:softHyphen/>
        <w:t>щему Центральному управлению.</w:t>
      </w:r>
    </w:p>
    <w:p w14:paraId="1E586E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Изучение танковой техники зарубежных армий.</w:t>
      </w:r>
    </w:p>
    <w:p w14:paraId="41A1D8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Отработка тематики опытных и исследовательских работ по вопросам конструкции и экс</w:t>
      </w:r>
      <w:r w:rsidRPr="00070ADE">
        <w:rPr>
          <w:rFonts w:ascii="Times New Roman" w:hAnsi="Times New Roman"/>
          <w:color w:val="000000" w:themeColor="text1"/>
          <w:sz w:val="16"/>
          <w:szCs w:val="16"/>
        </w:rPr>
        <w:softHyphen/>
        <w:t>плуатации боемашин, в том числе и тематики научно-исследовательских работ НИО академии име</w:t>
      </w:r>
      <w:r w:rsidRPr="00070ADE">
        <w:rPr>
          <w:rFonts w:ascii="Times New Roman" w:hAnsi="Times New Roman"/>
          <w:color w:val="000000" w:themeColor="text1"/>
          <w:sz w:val="16"/>
          <w:szCs w:val="16"/>
        </w:rPr>
        <w:softHyphen/>
        <w:t>ни И. В. Сталина.</w:t>
      </w:r>
    </w:p>
    <w:p w14:paraId="78FA58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Внедрение в план работ исследовательских институтов родственной специальностной тема</w:t>
      </w:r>
      <w:r w:rsidRPr="00070ADE">
        <w:rPr>
          <w:rFonts w:ascii="Times New Roman" w:hAnsi="Times New Roman"/>
          <w:color w:val="000000" w:themeColor="text1"/>
          <w:sz w:val="16"/>
          <w:szCs w:val="16"/>
        </w:rPr>
        <w:softHyphen/>
        <w:t>тики, связанной с бронетанковой техникой.</w:t>
      </w:r>
    </w:p>
    <w:p w14:paraId="372899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Издание инструкций, наставлений и печатных работ по отдельным вопросам танковой тех</w:t>
      </w:r>
      <w:r w:rsidRPr="00070ADE">
        <w:rPr>
          <w:rFonts w:ascii="Times New Roman" w:hAnsi="Times New Roman"/>
          <w:color w:val="000000" w:themeColor="text1"/>
          <w:sz w:val="16"/>
          <w:szCs w:val="16"/>
        </w:rPr>
        <w:softHyphen/>
        <w:t>ники.</w:t>
      </w:r>
    </w:p>
    <w:p w14:paraId="2B9957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Сбор информации из союзной и зарубежной печати и других источников по вопросам тан</w:t>
      </w:r>
      <w:r w:rsidRPr="00070ADE">
        <w:rPr>
          <w:rFonts w:ascii="Times New Roman" w:hAnsi="Times New Roman"/>
          <w:color w:val="000000" w:themeColor="text1"/>
          <w:sz w:val="16"/>
          <w:szCs w:val="16"/>
        </w:rPr>
        <w:softHyphen/>
        <w:t>ковой техники, а также связь с институтами, научными учреждениями академии наук СССР, Нар</w:t>
      </w:r>
      <w:r w:rsidRPr="00070ADE">
        <w:rPr>
          <w:rFonts w:ascii="Times New Roman" w:hAnsi="Times New Roman"/>
          <w:color w:val="000000" w:themeColor="text1"/>
          <w:sz w:val="16"/>
          <w:szCs w:val="16"/>
        </w:rPr>
        <w:softHyphen/>
        <w:t>коматов промышленности и конструкторскими бюро заводов с целью своевременного ознакомле</w:t>
      </w:r>
      <w:r w:rsidRPr="00070ADE">
        <w:rPr>
          <w:rFonts w:ascii="Times New Roman" w:hAnsi="Times New Roman"/>
          <w:color w:val="000000" w:themeColor="text1"/>
          <w:sz w:val="16"/>
          <w:szCs w:val="16"/>
        </w:rPr>
        <w:softHyphen/>
        <w:t>ния и использования лучших достижений во всех областях техники.</w:t>
      </w:r>
    </w:p>
    <w:p w14:paraId="34C375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Организационная структура танкового научно-технического комитета:</w:t>
      </w:r>
    </w:p>
    <w:p w14:paraId="497360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1-й отдел — танков и самоходных арт. установок.</w:t>
      </w:r>
    </w:p>
    <w:p w14:paraId="6A505C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2-й отдел — брони и металлургии.</w:t>
      </w:r>
    </w:p>
    <w:p w14:paraId="28025F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3-й отдел — двигателей.</w:t>
      </w:r>
    </w:p>
    <w:p w14:paraId="7E0D1A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4-й отдел — радио-электрооборудования и контрольных приборов.</w:t>
      </w:r>
    </w:p>
    <w:p w14:paraId="57D0C4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5-й отдел — вооружения и оптики танков и самоходных арт. установок.</w:t>
      </w:r>
    </w:p>
    <w:p w14:paraId="7F1EDB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 6-й отдел — технической информации.</w:t>
      </w:r>
    </w:p>
    <w:p w14:paraId="5DCE71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 7-й отдел — бронепоездов и бронемашин, мотоциклов и аэросаней.</w:t>
      </w:r>
    </w:p>
    <w:p w14:paraId="53D7E0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 8-й отдел — изобретений и рацпредложений.</w:t>
      </w:r>
    </w:p>
    <w:p w14:paraId="1BDAC6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Секретная часть.</w:t>
      </w:r>
    </w:p>
    <w:p w14:paraId="330EF6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Общая часть.</w:t>
      </w:r>
    </w:p>
    <w:p w14:paraId="600122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1-й отдел БНТК</w:t>
      </w:r>
      <w:r w:rsidRPr="00070ADE">
        <w:rPr>
          <w:rFonts w:ascii="Times New Roman" w:hAnsi="Times New Roman"/>
          <w:color w:val="000000" w:themeColor="text1"/>
          <w:sz w:val="16"/>
          <w:szCs w:val="16"/>
          <w:vertAlign w:val="superscript"/>
        </w:rPr>
        <w:t>1</w:t>
      </w:r>
      <w:r w:rsidRPr="00070ADE">
        <w:rPr>
          <w:rFonts w:ascii="Times New Roman" w:hAnsi="Times New Roman"/>
          <w:color w:val="000000" w:themeColor="text1"/>
          <w:sz w:val="16"/>
          <w:szCs w:val="16"/>
        </w:rPr>
        <w:t xml:space="preserve"> - танков и самоходных артустановок</w:t>
      </w:r>
    </w:p>
    <w:p w14:paraId="268D50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Основными задачами отдела являются:</w:t>
      </w:r>
    </w:p>
    <w:p w14:paraId="164763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 Разработка тактико-технических требований на новые образцы танков и самоходных арт. ус</w:t>
      </w:r>
      <w:r w:rsidRPr="00070ADE">
        <w:rPr>
          <w:rFonts w:ascii="Times New Roman" w:hAnsi="Times New Roman"/>
          <w:color w:val="000000" w:themeColor="text1"/>
          <w:sz w:val="16"/>
          <w:szCs w:val="16"/>
        </w:rPr>
        <w:softHyphen/>
        <w:t>тановок.</w:t>
      </w:r>
    </w:p>
    <w:p w14:paraId="4BC395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Контроль за проектированием и изготовлением опытных образцов танков и СУ и агрегатов, осуществляемых в промышленности и проектных организациях по заданиям комитета.</w:t>
      </w:r>
    </w:p>
    <w:p w14:paraId="2941C7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Рассмотрение и составление заключений по проектам опытных образцов танков и СУ, пред</w:t>
      </w:r>
      <w:r w:rsidRPr="00070ADE">
        <w:rPr>
          <w:rFonts w:ascii="Times New Roman" w:hAnsi="Times New Roman"/>
          <w:color w:val="000000" w:themeColor="text1"/>
          <w:sz w:val="16"/>
          <w:szCs w:val="16"/>
        </w:rPr>
        <w:softHyphen/>
        <w:t>ставляемых наркоматами.</w:t>
      </w:r>
    </w:p>
    <w:p w14:paraId="5B9B51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Конструирование комиссий государственных и полигонных испытаний новых и модернизи</w:t>
      </w:r>
      <w:r w:rsidRPr="00070ADE">
        <w:rPr>
          <w:rFonts w:ascii="Times New Roman" w:hAnsi="Times New Roman"/>
          <w:color w:val="000000" w:themeColor="text1"/>
          <w:sz w:val="16"/>
          <w:szCs w:val="16"/>
        </w:rPr>
        <w:softHyphen/>
        <w:t>рованных танков и СУ и непосредственное участие в этих испытаниях.</w:t>
      </w:r>
    </w:p>
    <w:p w14:paraId="708ACF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Составление проектов постановлений Правительства и приказов по всем вопросам, связан</w:t>
      </w:r>
      <w:r w:rsidRPr="00070ADE">
        <w:rPr>
          <w:rFonts w:ascii="Times New Roman" w:hAnsi="Times New Roman"/>
          <w:color w:val="000000" w:themeColor="text1"/>
          <w:sz w:val="16"/>
          <w:szCs w:val="16"/>
        </w:rPr>
        <w:softHyphen/>
        <w:t>ным с проектированием, изготовлением, испытанием и принятием на вооружение новых и модер</w:t>
      </w:r>
      <w:r w:rsidRPr="00070ADE">
        <w:rPr>
          <w:rFonts w:ascii="Times New Roman" w:hAnsi="Times New Roman"/>
          <w:color w:val="000000" w:themeColor="text1"/>
          <w:sz w:val="16"/>
          <w:szCs w:val="16"/>
        </w:rPr>
        <w:softHyphen/>
        <w:t>низированных образцов танков и СУ.</w:t>
      </w:r>
    </w:p>
    <w:p w14:paraId="1848AF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Систематическое изучение существующих образцов танков и СУ во всех условиях их при</w:t>
      </w:r>
      <w:r w:rsidRPr="00070ADE">
        <w:rPr>
          <w:rFonts w:ascii="Times New Roman" w:hAnsi="Times New Roman"/>
          <w:color w:val="000000" w:themeColor="text1"/>
          <w:sz w:val="16"/>
          <w:szCs w:val="16"/>
        </w:rPr>
        <w:softHyphen/>
        <w:t>менения и разработка, на основе этого, предложений по модернизации этих образцов.</w:t>
      </w:r>
    </w:p>
    <w:p w14:paraId="377F08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Изучение и анализ бронетанковой техники всего мира и разработка предложений о внедре</w:t>
      </w:r>
      <w:r w:rsidRPr="00070ADE">
        <w:rPr>
          <w:rFonts w:ascii="Times New Roman" w:hAnsi="Times New Roman"/>
          <w:color w:val="000000" w:themeColor="text1"/>
          <w:sz w:val="16"/>
          <w:szCs w:val="16"/>
        </w:rPr>
        <w:softHyphen/>
        <w:t>нии отдельных узлов и агрегатов в отечественную бронетанковую промышленность.</w:t>
      </w:r>
    </w:p>
    <w:p w14:paraId="1F675C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Участие в разработке наставлений, инструкций и памяток по танкам и СУ.</w:t>
      </w:r>
    </w:p>
    <w:p w14:paraId="5B4495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Заключение договоров с наркоматами и заводами промышленности на проектирование и из</w:t>
      </w:r>
      <w:r w:rsidRPr="00070ADE">
        <w:rPr>
          <w:rFonts w:ascii="Times New Roman" w:hAnsi="Times New Roman"/>
          <w:color w:val="000000" w:themeColor="text1"/>
          <w:sz w:val="16"/>
          <w:szCs w:val="16"/>
        </w:rPr>
        <w:softHyphen/>
        <w:t>готовление опытных образцов танков и СУ.</w:t>
      </w:r>
    </w:p>
    <w:p w14:paraId="7119E4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2-й отдел БНТК — брони и металлургии</w:t>
      </w:r>
    </w:p>
    <w:p w14:paraId="095A81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Основными задачами отдела являются:</w:t>
      </w:r>
    </w:p>
    <w:p w14:paraId="701F45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Разработка тактико-технических требований на бронирование танков и самоходных арт. ус</w:t>
      </w:r>
      <w:r w:rsidRPr="00070ADE">
        <w:rPr>
          <w:rFonts w:ascii="Times New Roman" w:hAnsi="Times New Roman"/>
          <w:color w:val="000000" w:themeColor="text1"/>
          <w:sz w:val="16"/>
          <w:szCs w:val="16"/>
        </w:rPr>
        <w:softHyphen/>
        <w:t>тановок.</w:t>
      </w:r>
    </w:p>
    <w:p w14:paraId="7AC3F4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Составление заданий научно-исследовательским организациям и конструкторским бюро промышленности на изготовление и разработку новых образцов бронирования танков, а также но</w:t>
      </w:r>
      <w:r w:rsidRPr="00070ADE">
        <w:rPr>
          <w:rFonts w:ascii="Times New Roman" w:hAnsi="Times New Roman"/>
          <w:color w:val="000000" w:themeColor="text1"/>
          <w:sz w:val="16"/>
          <w:szCs w:val="16"/>
        </w:rPr>
        <w:softHyphen/>
        <w:t>вых марок броневых сталей.</w:t>
      </w:r>
    </w:p>
    <w:p w14:paraId="4A8F4C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Изучение и обобщение опыта боевой эксплуатации отечественных и иностранных танков и самоходных установок по броне и корпусам.</w:t>
      </w:r>
    </w:p>
    <w:p w14:paraId="7688AD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Изучение танковых и противотанковых средств отечественного производства и иностран</w:t>
      </w:r>
      <w:r w:rsidRPr="00070ADE">
        <w:rPr>
          <w:rFonts w:ascii="Times New Roman" w:hAnsi="Times New Roman"/>
          <w:color w:val="000000" w:themeColor="text1"/>
          <w:sz w:val="16"/>
          <w:szCs w:val="16"/>
        </w:rPr>
        <w:softHyphen/>
        <w:t>ных армий.</w:t>
      </w:r>
    </w:p>
    <w:p w14:paraId="74664E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Утверждение чертежей и технических условий броневых корпусов и башен танков и само</w:t>
      </w:r>
      <w:r w:rsidRPr="00070ADE">
        <w:rPr>
          <w:rFonts w:ascii="Times New Roman" w:hAnsi="Times New Roman"/>
          <w:color w:val="000000" w:themeColor="text1"/>
          <w:sz w:val="16"/>
          <w:szCs w:val="16"/>
        </w:rPr>
        <w:softHyphen/>
        <w:t>ходных арт. установок новых образцов.</w:t>
      </w:r>
    </w:p>
    <w:p w14:paraId="13E75F7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Разработка программы испытания и участие в испытаниях бронекорпусов и новых марок броневых сталей.</w:t>
      </w:r>
    </w:p>
    <w:p w14:paraId="2E44F6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Подготовка решений на утверждение новых марок броневых сталей.</w:t>
      </w:r>
    </w:p>
    <w:p w14:paraId="26BBCE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Составление технических условий на изготовление брони новых марок.</w:t>
      </w:r>
    </w:p>
    <w:p w14:paraId="0DEA93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Руководство работой по модернизации броневой защиты танков и самоходных арт. устано</w:t>
      </w:r>
      <w:r w:rsidRPr="00070ADE">
        <w:rPr>
          <w:rFonts w:ascii="Times New Roman" w:hAnsi="Times New Roman"/>
          <w:color w:val="000000" w:themeColor="text1"/>
          <w:sz w:val="16"/>
          <w:szCs w:val="16"/>
        </w:rPr>
        <w:softHyphen/>
        <w:t>вок.</w:t>
      </w:r>
    </w:p>
    <w:p w14:paraId="7B19F0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Руководство работой по отработке конструкционных сталей танков и самоходных арт. ус</w:t>
      </w:r>
      <w:r w:rsidRPr="00070ADE">
        <w:rPr>
          <w:rFonts w:ascii="Times New Roman" w:hAnsi="Times New Roman"/>
          <w:color w:val="000000" w:themeColor="text1"/>
          <w:sz w:val="16"/>
          <w:szCs w:val="16"/>
        </w:rPr>
        <w:softHyphen/>
        <w:t>тановок.</w:t>
      </w:r>
    </w:p>
    <w:p w14:paraId="2D344C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Составление программы по испытанию и участие в испытаниях новых конструкционных марок сталей и заменителей.</w:t>
      </w:r>
    </w:p>
    <w:p w14:paraId="4A6DC1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3-й отдел БНТК - двигателей</w:t>
      </w:r>
    </w:p>
    <w:p w14:paraId="6FA2E1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Основными задачами отдела являются:</w:t>
      </w:r>
    </w:p>
    <w:p w14:paraId="56C1D4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Разработка перспективной потребности в дизель-моторах и карбюраторных двигателях для танков и арт. самоходов.</w:t>
      </w:r>
    </w:p>
    <w:p w14:paraId="64FC74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Разработка тактико-технических требований на новые образцы дизель-моторов и карбюра</w:t>
      </w:r>
      <w:r w:rsidRPr="00070ADE">
        <w:rPr>
          <w:rFonts w:ascii="Times New Roman" w:hAnsi="Times New Roman"/>
          <w:color w:val="000000" w:themeColor="text1"/>
          <w:sz w:val="16"/>
          <w:szCs w:val="16"/>
        </w:rPr>
        <w:softHyphen/>
        <w:t>торных двигателей для танков и арт. самоходов.</w:t>
      </w:r>
    </w:p>
    <w:p w14:paraId="44181E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Составление технических условий на изготовление новых дизель-моторов и карбюраторных двигателей.</w:t>
      </w:r>
    </w:p>
    <w:p w14:paraId="6C4A8D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Составление программ для государственных и полигонных испытаний предъявляемых об</w:t>
      </w:r>
      <w:r w:rsidRPr="00070ADE">
        <w:rPr>
          <w:rFonts w:ascii="Times New Roman" w:hAnsi="Times New Roman"/>
          <w:color w:val="000000" w:themeColor="text1"/>
          <w:sz w:val="16"/>
          <w:szCs w:val="16"/>
        </w:rPr>
        <w:softHyphen/>
        <w:t>разцов двигателей.</w:t>
      </w:r>
    </w:p>
    <w:p w14:paraId="0316AF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Составление планов научно-исследовательских работ и заключение договоров с заводами про</w:t>
      </w:r>
      <w:r w:rsidRPr="00070ADE">
        <w:rPr>
          <w:rFonts w:ascii="Times New Roman" w:hAnsi="Times New Roman"/>
          <w:color w:val="000000" w:themeColor="text1"/>
          <w:sz w:val="16"/>
          <w:szCs w:val="16"/>
        </w:rPr>
        <w:softHyphen/>
        <w:t>мышленности и научно-исследовательскими организациями на проектирование новых образцов двига</w:t>
      </w:r>
      <w:r w:rsidRPr="00070ADE">
        <w:rPr>
          <w:rFonts w:ascii="Times New Roman" w:hAnsi="Times New Roman"/>
          <w:color w:val="000000" w:themeColor="text1"/>
          <w:sz w:val="16"/>
          <w:szCs w:val="16"/>
        </w:rPr>
        <w:softHyphen/>
        <w:t>телей и агрегатов к ним для танков и арт. самоходов и на проведение научно-исследовательских работ.</w:t>
      </w:r>
    </w:p>
    <w:p w14:paraId="184DCA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Участие в комиссиях по проведению государственных и полигонных испытаний новых об</w:t>
      </w:r>
      <w:r w:rsidRPr="00070ADE">
        <w:rPr>
          <w:rFonts w:ascii="Times New Roman" w:hAnsi="Times New Roman"/>
          <w:color w:val="000000" w:themeColor="text1"/>
          <w:sz w:val="16"/>
          <w:szCs w:val="16"/>
        </w:rPr>
        <w:softHyphen/>
        <w:t>разцов двигателей, агрегатов и отдельных узлов.</w:t>
      </w:r>
    </w:p>
    <w:p w14:paraId="7B6B9A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Разработка и утверждение технических условий на изготовление и испытание установочной партии новых дизель-моторов, карбюраторных двигателей и агрегатов к ним.</w:t>
      </w:r>
    </w:p>
    <w:p w14:paraId="6A1FD0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Проведение испытаний и дача заключений по установочной партии двигателей и агрегатов и подготовка материалов к запуску в серию.</w:t>
      </w:r>
    </w:p>
    <w:p w14:paraId="618D65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Разработка руководств и наставлений по эксплуатации и уходу за двигателями, совместно с УЭТ ГБТУ КА.</w:t>
      </w:r>
    </w:p>
    <w:p w14:paraId="087925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Изучение и обобщение опыта работы двигателей в боевых условиях и разработка требова</w:t>
      </w:r>
      <w:r w:rsidRPr="00070ADE">
        <w:rPr>
          <w:rFonts w:ascii="Times New Roman" w:hAnsi="Times New Roman"/>
          <w:color w:val="000000" w:themeColor="text1"/>
          <w:sz w:val="16"/>
          <w:szCs w:val="16"/>
        </w:rPr>
        <w:softHyphen/>
        <w:t>ний для заводов промышленности по модернизации двигателей, агрегатов и узлов.</w:t>
      </w:r>
    </w:p>
    <w:p w14:paraId="2A8D24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Изучение и обобщение опыта эксплуатации, и составление сравнительных оценок отечест</w:t>
      </w:r>
      <w:r w:rsidRPr="00070ADE">
        <w:rPr>
          <w:rFonts w:ascii="Times New Roman" w:hAnsi="Times New Roman"/>
          <w:color w:val="000000" w:themeColor="text1"/>
          <w:sz w:val="16"/>
          <w:szCs w:val="16"/>
        </w:rPr>
        <w:softHyphen/>
        <w:t>венных и иностранных дизель-моторов и карбюраторных двигателей.</w:t>
      </w:r>
    </w:p>
    <w:p w14:paraId="03ABEE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Изучение и обобщение материалов нововведенных в танковом двигателестроении в СССР и за границей.</w:t>
      </w:r>
    </w:p>
    <w:p w14:paraId="75F3C75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4-й отдел БНТК — электро-радиооборудования и контрольных приборов</w:t>
      </w:r>
    </w:p>
    <w:p w14:paraId="243260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Основными задачами отдела являются:</w:t>
      </w:r>
    </w:p>
    <w:p w14:paraId="3BB720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Размещение электрооборудования и средств связи в тяжелых, средних и легких танках, са</w:t>
      </w:r>
      <w:r w:rsidRPr="00070ADE">
        <w:rPr>
          <w:rFonts w:ascii="Times New Roman" w:hAnsi="Times New Roman"/>
          <w:color w:val="000000" w:themeColor="text1"/>
          <w:sz w:val="16"/>
          <w:szCs w:val="16"/>
        </w:rPr>
        <w:softHyphen/>
        <w:t>моходных арт. установках, бронеавтомобилях и бронепоездах.</w:t>
      </w:r>
    </w:p>
    <w:p w14:paraId="7B5C80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Разработка тактико-технических требований, согласование чертежей и технических усло</w:t>
      </w:r>
      <w:r w:rsidRPr="00070ADE">
        <w:rPr>
          <w:rFonts w:ascii="Times New Roman" w:hAnsi="Times New Roman"/>
          <w:color w:val="000000" w:themeColor="text1"/>
          <w:sz w:val="16"/>
          <w:szCs w:val="16"/>
        </w:rPr>
        <w:softHyphen/>
        <w:t>вий на изготовление опытных танков, СУ, бронеавтомобилей и бронепоездов в части электрообору</w:t>
      </w:r>
      <w:r w:rsidRPr="00070ADE">
        <w:rPr>
          <w:rFonts w:ascii="Times New Roman" w:hAnsi="Times New Roman"/>
          <w:color w:val="000000" w:themeColor="text1"/>
          <w:sz w:val="16"/>
          <w:szCs w:val="16"/>
        </w:rPr>
        <w:softHyphen/>
        <w:t>дования.</w:t>
      </w:r>
    </w:p>
    <w:p w14:paraId="26B10B0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Участие в испытании новых образцов танков, СУ, бронеавтомобилей и бронепоездов.</w:t>
      </w:r>
    </w:p>
    <w:p w14:paraId="710064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Разработка тактико-технических требований на новые образцы электро-радиооборудования и контрольные приборы, их изготовление и испытание.</w:t>
      </w:r>
    </w:p>
    <w:p w14:paraId="3716D0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Разработка ТТ требований на электрические приборы и агрегаты поворота башни, стабили</w:t>
      </w:r>
      <w:r w:rsidRPr="00070ADE">
        <w:rPr>
          <w:rFonts w:ascii="Times New Roman" w:hAnsi="Times New Roman"/>
          <w:color w:val="000000" w:themeColor="text1"/>
          <w:sz w:val="16"/>
          <w:szCs w:val="16"/>
        </w:rPr>
        <w:softHyphen/>
        <w:t>зацию пушек и башни, их изготовление и испытание.</w:t>
      </w:r>
    </w:p>
    <w:p w14:paraId="015BB9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Разработка, изготовление и испытание совместно с ГУС КА новых образцов танковых радио</w:t>
      </w:r>
      <w:r w:rsidRPr="00070ADE">
        <w:rPr>
          <w:rFonts w:ascii="Times New Roman" w:hAnsi="Times New Roman"/>
          <w:color w:val="000000" w:themeColor="text1"/>
          <w:sz w:val="16"/>
          <w:szCs w:val="16"/>
        </w:rPr>
        <w:softHyphen/>
        <w:t>станций и танковых переговорных устройств.</w:t>
      </w:r>
    </w:p>
    <w:p w14:paraId="36D8C9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Размещение иностранных средств связи и внутританковых переговорных устройств в отече</w:t>
      </w:r>
      <w:r w:rsidRPr="00070ADE">
        <w:rPr>
          <w:rFonts w:ascii="Times New Roman" w:hAnsi="Times New Roman"/>
          <w:color w:val="000000" w:themeColor="text1"/>
          <w:sz w:val="16"/>
          <w:szCs w:val="16"/>
        </w:rPr>
        <w:softHyphen/>
        <w:t>ственных танках, самоходных арт. установках и бронепоездах и согласование чертежей и техниче</w:t>
      </w:r>
      <w:r w:rsidRPr="00070ADE">
        <w:rPr>
          <w:rFonts w:ascii="Times New Roman" w:hAnsi="Times New Roman"/>
          <w:color w:val="000000" w:themeColor="text1"/>
          <w:sz w:val="16"/>
          <w:szCs w:val="16"/>
        </w:rPr>
        <w:softHyphen/>
        <w:t>ских условий на их монтаж.</w:t>
      </w:r>
    </w:p>
    <w:p w14:paraId="35B150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Модернизация агрегатов и приборов электрооборудования, контрольно-измерительных приборов, радиоаппаратуры и внутританковых средств связи серийного производства.</w:t>
      </w:r>
    </w:p>
    <w:p w14:paraId="6E62474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Доводка опытных образцов танкового электрооборудования, контрольных приборов и средств связи до серийного производства.</w:t>
      </w:r>
    </w:p>
    <w:p w14:paraId="4B5651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Контроль за выполнением решений Правительства по изготовлению и испытаниям новых образцов электрооборудования и контрольных приборов.</w:t>
      </w:r>
    </w:p>
    <w:p w14:paraId="497058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Изучение трофейных импортных образцов танкового электрооборудования и контрольных приборов, выявление лучших конструкций и внедрение их в конструкции отечественного произ</w:t>
      </w:r>
      <w:r w:rsidRPr="00070ADE">
        <w:rPr>
          <w:rFonts w:ascii="Times New Roman" w:hAnsi="Times New Roman"/>
          <w:color w:val="000000" w:themeColor="text1"/>
          <w:sz w:val="16"/>
          <w:szCs w:val="16"/>
        </w:rPr>
        <w:softHyphen/>
        <w:t>водства.</w:t>
      </w:r>
    </w:p>
    <w:p w14:paraId="75F1E6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5-й отдел БНТК — вооружения и оптики танков и самоходных арт. установок</w:t>
      </w:r>
    </w:p>
    <w:p w14:paraId="5C19D2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Основными задачами отдела являются:</w:t>
      </w:r>
    </w:p>
    <w:p w14:paraId="65A6AE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Разработка ТТТ на проектирование и изготовление опытных образцов установок артил</w:t>
      </w:r>
      <w:r w:rsidRPr="00070ADE">
        <w:rPr>
          <w:rFonts w:ascii="Times New Roman" w:hAnsi="Times New Roman"/>
          <w:color w:val="000000" w:themeColor="text1"/>
          <w:sz w:val="16"/>
          <w:szCs w:val="16"/>
        </w:rPr>
        <w:softHyphen/>
        <w:t>лерийского вооружения танков, самоходных арт. установок, бронепоездов, бронемашин и аэ</w:t>
      </w:r>
      <w:r w:rsidRPr="00070ADE">
        <w:rPr>
          <w:rFonts w:ascii="Times New Roman" w:hAnsi="Times New Roman"/>
          <w:color w:val="000000" w:themeColor="text1"/>
          <w:sz w:val="16"/>
          <w:szCs w:val="16"/>
        </w:rPr>
        <w:softHyphen/>
        <w:t>росаней.</w:t>
      </w:r>
    </w:p>
    <w:p w14:paraId="46765B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Разработка совместно с ГАУ ТТТ на изготовление опытных образцов арт. систем, автомати</w:t>
      </w:r>
      <w:r w:rsidRPr="00070ADE">
        <w:rPr>
          <w:rFonts w:ascii="Times New Roman" w:hAnsi="Times New Roman"/>
          <w:color w:val="000000" w:themeColor="text1"/>
          <w:sz w:val="16"/>
          <w:szCs w:val="16"/>
        </w:rPr>
        <w:softHyphen/>
        <w:t>ческих пушек, пулеметов, оптических прицелов, приборов наблюдения и управления огнем, пред</w:t>
      </w:r>
      <w:r w:rsidRPr="00070ADE">
        <w:rPr>
          <w:rFonts w:ascii="Times New Roman" w:hAnsi="Times New Roman"/>
          <w:color w:val="000000" w:themeColor="text1"/>
          <w:sz w:val="16"/>
          <w:szCs w:val="16"/>
        </w:rPr>
        <w:softHyphen/>
        <w:t>назначенных для установки в танках, самоходных арт. установках, бронепоездах, бронемашинах, мотоциклах и аэросанях.</w:t>
      </w:r>
    </w:p>
    <w:p w14:paraId="45A80B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Осуществление руководства и контроля за изготовлением опытных образцов артил</w:t>
      </w:r>
      <w:r w:rsidRPr="00070ADE">
        <w:rPr>
          <w:rFonts w:ascii="Times New Roman" w:hAnsi="Times New Roman"/>
          <w:color w:val="000000" w:themeColor="text1"/>
          <w:sz w:val="16"/>
          <w:szCs w:val="16"/>
        </w:rPr>
        <w:softHyphen/>
        <w:t>лерийских установок, оптических прицелов, приборов наблюдения и приборов управления огнем.</w:t>
      </w:r>
    </w:p>
    <w:p w14:paraId="5ABC36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Руководство работами артиллерийского отдела и артиллерийского полигона, НИБТ полигона.</w:t>
      </w:r>
    </w:p>
    <w:p w14:paraId="0184C6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Составлять задания заводам промышленности и конструкторским бюро на изготовление опытных образцов приборов управления огнем из танков, самоходов и бронепоездов.</w:t>
      </w:r>
    </w:p>
    <w:p w14:paraId="5DB4F8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Систематизировать материал по танковым и противотанковым боеприпасам. Подготавлива</w:t>
      </w:r>
      <w:r w:rsidRPr="00070ADE">
        <w:rPr>
          <w:rFonts w:ascii="Times New Roman" w:hAnsi="Times New Roman"/>
          <w:color w:val="000000" w:themeColor="text1"/>
          <w:sz w:val="16"/>
          <w:szCs w:val="16"/>
        </w:rPr>
        <w:softHyphen/>
        <w:t>ет материал по отработке опытных образцов танковых боеприпасов.</w:t>
      </w:r>
    </w:p>
    <w:p w14:paraId="02AA92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Принимать участие в отработке боеприпасов при проверке действия их на бронестойкость.</w:t>
      </w:r>
    </w:p>
    <w:p w14:paraId="64B429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Составляет программы испытаний опытных образцов танковых и самоходных арт. устано</w:t>
      </w:r>
      <w:r w:rsidRPr="00070ADE">
        <w:rPr>
          <w:rFonts w:ascii="Times New Roman" w:hAnsi="Times New Roman"/>
          <w:color w:val="000000" w:themeColor="text1"/>
          <w:sz w:val="16"/>
          <w:szCs w:val="16"/>
        </w:rPr>
        <w:softHyphen/>
        <w:t>вок. Организует и проводит испытания.</w:t>
      </w:r>
    </w:p>
    <w:p w14:paraId="6EB420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Оформляет техническую документацию на образцы, выдержавшие испытания, для переда</w:t>
      </w:r>
      <w:r w:rsidRPr="00070ADE">
        <w:rPr>
          <w:rFonts w:ascii="Times New Roman" w:hAnsi="Times New Roman"/>
          <w:color w:val="000000" w:themeColor="text1"/>
          <w:sz w:val="16"/>
          <w:szCs w:val="16"/>
        </w:rPr>
        <w:softHyphen/>
        <w:t>чи их на серийное производство.</w:t>
      </w:r>
    </w:p>
    <w:p w14:paraId="0F5456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Осуществляет постоянную связь с Арткомом ГАУ КА, артиллерийскими и танковыми заво</w:t>
      </w:r>
      <w:r w:rsidRPr="00070ADE">
        <w:rPr>
          <w:rFonts w:ascii="Times New Roman" w:hAnsi="Times New Roman"/>
          <w:color w:val="000000" w:themeColor="text1"/>
          <w:sz w:val="16"/>
          <w:szCs w:val="16"/>
        </w:rPr>
        <w:softHyphen/>
        <w:t>дами путем выезда на заводы промышленности с целью консультации и ознакомления с ходом вы</w:t>
      </w:r>
      <w:r w:rsidRPr="00070ADE">
        <w:rPr>
          <w:rFonts w:ascii="Times New Roman" w:hAnsi="Times New Roman"/>
          <w:color w:val="000000" w:themeColor="text1"/>
          <w:sz w:val="16"/>
          <w:szCs w:val="16"/>
        </w:rPr>
        <w:softHyphen/>
        <w:t>полнения опытных работ.</w:t>
      </w:r>
    </w:p>
    <w:p w14:paraId="31822F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Поддерживает деловую связь с другими научно-исследовательскими учреждениями Красной Армии и промышленности по вопросам взаимной консультации и обмена опытом.</w:t>
      </w:r>
    </w:p>
    <w:p w14:paraId="6A6491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Осуществляет заказы с заводами промышленности на изготовление опытных образцов ус</w:t>
      </w:r>
      <w:r w:rsidRPr="00070ADE">
        <w:rPr>
          <w:rFonts w:ascii="Times New Roman" w:hAnsi="Times New Roman"/>
          <w:color w:val="000000" w:themeColor="text1"/>
          <w:sz w:val="16"/>
          <w:szCs w:val="16"/>
        </w:rPr>
        <w:softHyphen/>
        <w:t>тановок и оптических приборов.</w:t>
      </w:r>
    </w:p>
    <w:p w14:paraId="2F41B7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Систематизирует и обобщает материалы по артиллерийской и танковой технике иностран</w:t>
      </w:r>
      <w:r w:rsidRPr="00070ADE">
        <w:rPr>
          <w:rFonts w:ascii="Times New Roman" w:hAnsi="Times New Roman"/>
          <w:color w:val="000000" w:themeColor="text1"/>
          <w:sz w:val="16"/>
          <w:szCs w:val="16"/>
        </w:rPr>
        <w:softHyphen/>
        <w:t>ных армий.</w:t>
      </w:r>
    </w:p>
    <w:p w14:paraId="07230D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Составляет заключения по проектам нового и модернизированного вооружения танков, са</w:t>
      </w:r>
      <w:r w:rsidRPr="00070ADE">
        <w:rPr>
          <w:rFonts w:ascii="Times New Roman" w:hAnsi="Times New Roman"/>
          <w:color w:val="000000" w:themeColor="text1"/>
          <w:sz w:val="16"/>
          <w:szCs w:val="16"/>
        </w:rPr>
        <w:softHyphen/>
        <w:t>моходных арт. установок, бронепоездов, бронемашин, мотоциклов и аэросаней, а также составляет заключения по результатам испытаний опытных образцов.</w:t>
      </w:r>
    </w:p>
    <w:p w14:paraId="66CD78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6-й отдел - технической информации</w:t>
      </w:r>
    </w:p>
    <w:p w14:paraId="73998E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Основными задачами отдела являются:</w:t>
      </w:r>
    </w:p>
    <w:p w14:paraId="64F719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Сбор и систематизация информации из зарубежной печати и других источников по вопро</w:t>
      </w:r>
      <w:r w:rsidRPr="00070ADE">
        <w:rPr>
          <w:rFonts w:ascii="Times New Roman" w:hAnsi="Times New Roman"/>
          <w:color w:val="000000" w:themeColor="text1"/>
          <w:sz w:val="16"/>
          <w:szCs w:val="16"/>
        </w:rPr>
        <w:softHyphen/>
        <w:t>сам бронетанковой техники.</w:t>
      </w:r>
    </w:p>
    <w:p w14:paraId="768888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Связь с институтами, научными учреждениями академии наук СССР, Наркоматов промыш</w:t>
      </w:r>
      <w:r w:rsidRPr="00070ADE">
        <w:rPr>
          <w:rFonts w:ascii="Times New Roman" w:hAnsi="Times New Roman"/>
          <w:color w:val="000000" w:themeColor="text1"/>
          <w:sz w:val="16"/>
          <w:szCs w:val="16"/>
        </w:rPr>
        <w:softHyphen/>
        <w:t>ленности и конструкторскими бюро заводов с целью своевременного получения информации о лучших достижениях во всех областях техники.</w:t>
      </w:r>
    </w:p>
    <w:p w14:paraId="6EF0FC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Своевременное получение и правильное хранение всей технической документации по опыт</w:t>
      </w:r>
      <w:r w:rsidRPr="00070ADE">
        <w:rPr>
          <w:rFonts w:ascii="Times New Roman" w:hAnsi="Times New Roman"/>
          <w:color w:val="000000" w:themeColor="text1"/>
          <w:sz w:val="16"/>
          <w:szCs w:val="16"/>
        </w:rPr>
        <w:softHyphen/>
        <w:t>ным и модернизированным образцам, а также по серийным машинам отечественного и иностран</w:t>
      </w:r>
      <w:r w:rsidRPr="00070ADE">
        <w:rPr>
          <w:rFonts w:ascii="Times New Roman" w:hAnsi="Times New Roman"/>
          <w:color w:val="000000" w:themeColor="text1"/>
          <w:sz w:val="16"/>
          <w:szCs w:val="16"/>
        </w:rPr>
        <w:softHyphen/>
        <w:t>ного производства.</w:t>
      </w:r>
    </w:p>
    <w:p w14:paraId="2E0E64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Подготовка к печати всех изданий комитета и организация их распространения.</w:t>
      </w:r>
    </w:p>
    <w:p w14:paraId="793693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Руководство библиотекой и своевременное пополнение ее новинками.</w:t>
      </w:r>
    </w:p>
    <w:p w14:paraId="3DB281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Составление аннотаций и справок по вопросам бронетанковой техники.</w:t>
      </w:r>
    </w:p>
    <w:p w14:paraId="041EFA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7-й отдел БНТК — бронепоездов и бронемашин, мотоциклов и аэросаней</w:t>
      </w:r>
    </w:p>
    <w:p w14:paraId="3375E8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7-й отдел бронетанкового научно-технического комитета ГБТУ КА возлагается руководство разработками, изготовлением и испытанием опытных образцов всех видов бронепоездных объек</w:t>
      </w:r>
      <w:r w:rsidRPr="00070ADE">
        <w:rPr>
          <w:rFonts w:ascii="Times New Roman" w:hAnsi="Times New Roman"/>
          <w:color w:val="000000" w:themeColor="text1"/>
          <w:sz w:val="16"/>
          <w:szCs w:val="16"/>
        </w:rPr>
        <w:softHyphen/>
        <w:t>тов, бронеавтомобилей, мотоциклов, велосипедов и аэросаней, всеми видами работ по модерниза</w:t>
      </w:r>
      <w:r w:rsidRPr="00070ADE">
        <w:rPr>
          <w:rFonts w:ascii="Times New Roman" w:hAnsi="Times New Roman"/>
          <w:color w:val="000000" w:themeColor="text1"/>
          <w:sz w:val="16"/>
          <w:szCs w:val="16"/>
        </w:rPr>
        <w:softHyphen/>
        <w:t>ции этих объектов и испытанием иностранных марок этого вида машин.</w:t>
      </w:r>
    </w:p>
    <w:p w14:paraId="4D54AA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задачи отдела:</w:t>
      </w:r>
    </w:p>
    <w:p w14:paraId="442067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Составление плана разработок, изготовление и испытание всех видов опытных образцов и модернизация бронепоездных объектов, бронеавтомобилей, мотоциклов, велосипедов и аэроса</w:t>
      </w:r>
      <w:r w:rsidRPr="00070ADE">
        <w:rPr>
          <w:rFonts w:ascii="Times New Roman" w:hAnsi="Times New Roman"/>
          <w:color w:val="000000" w:themeColor="text1"/>
          <w:sz w:val="16"/>
          <w:szCs w:val="16"/>
        </w:rPr>
        <w:softHyphen/>
        <w:t>ней, а также планов испытания образцов иностранных марок.</w:t>
      </w:r>
    </w:p>
    <w:p w14:paraId="2A1F1B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Размещение заказов в промышленности и научно-исследовательских учреждениях согласно плана, утвержденного командованием.</w:t>
      </w:r>
    </w:p>
    <w:p w14:paraId="065D58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Составление тактико-технических требований на разработку и изготовление опытных об</w:t>
      </w:r>
      <w:r w:rsidRPr="00070ADE">
        <w:rPr>
          <w:rFonts w:ascii="Times New Roman" w:hAnsi="Times New Roman"/>
          <w:color w:val="000000" w:themeColor="text1"/>
          <w:sz w:val="16"/>
          <w:szCs w:val="16"/>
        </w:rPr>
        <w:softHyphen/>
        <w:t>разцов, и модернизацию объектов, ведомых отделом, а также составление программ испытания этих объектов.</w:t>
      </w:r>
    </w:p>
    <w:p w14:paraId="461348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Подготовка материалов к заключению договоров на основе плана заказов.</w:t>
      </w:r>
    </w:p>
    <w:p w14:paraId="6CE3F9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Техническое руководство разработкой на опытные образцы и модернизацию, а также техническое руководство при изготовлении образцов и разрешение при этом всех технических вопросов.</w:t>
      </w:r>
    </w:p>
    <w:p w14:paraId="00D4BF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Участие во всех видах испытаний как опытных, так и серийных образцов, составление отче</w:t>
      </w:r>
      <w:r w:rsidRPr="00070ADE">
        <w:rPr>
          <w:rFonts w:ascii="Times New Roman" w:hAnsi="Times New Roman"/>
          <w:color w:val="000000" w:themeColor="text1"/>
          <w:sz w:val="16"/>
          <w:szCs w:val="16"/>
        </w:rPr>
        <w:softHyphen/>
        <w:t>тов и заключений по испытаниям и принятию образцов к серийному производству.</w:t>
      </w:r>
    </w:p>
    <w:p w14:paraId="7CC49D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Руководство подготовкой чертежей и технических условий на образцы, принятые для серий</w:t>
      </w:r>
      <w:r w:rsidRPr="00070ADE">
        <w:rPr>
          <w:rFonts w:ascii="Times New Roman" w:hAnsi="Times New Roman"/>
          <w:color w:val="000000" w:themeColor="text1"/>
          <w:sz w:val="16"/>
          <w:szCs w:val="16"/>
        </w:rPr>
        <w:softHyphen/>
        <w:t>ного производства.</w:t>
      </w:r>
    </w:p>
    <w:p w14:paraId="1DD52A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Составление и руководство составлением наставлений и инструкций и т.п. на материальную часть, принятую на вооружение.</w:t>
      </w:r>
    </w:p>
    <w:p w14:paraId="15BD64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Дача заключений по изобретениям и предложениям, касающимся объектов отдела, и их ре</w:t>
      </w:r>
      <w:r w:rsidRPr="00070ADE">
        <w:rPr>
          <w:rFonts w:ascii="Times New Roman" w:hAnsi="Times New Roman"/>
          <w:color w:val="000000" w:themeColor="text1"/>
          <w:sz w:val="16"/>
          <w:szCs w:val="16"/>
        </w:rPr>
        <w:softHyphen/>
        <w:t>ализация.</w:t>
      </w:r>
    </w:p>
    <w:p w14:paraId="1DB974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Учет всех разработок, изготовленных опытных образцов и модернизации технических ма</w:t>
      </w:r>
      <w:r w:rsidRPr="00070ADE">
        <w:rPr>
          <w:rFonts w:ascii="Times New Roman" w:hAnsi="Times New Roman"/>
          <w:color w:val="000000" w:themeColor="text1"/>
          <w:sz w:val="16"/>
          <w:szCs w:val="16"/>
        </w:rPr>
        <w:softHyphen/>
        <w:t>териалов по изготовлению и испытанию образцов.</w:t>
      </w:r>
    </w:p>
    <w:p w14:paraId="6EB673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8-й отдел БНТК - изобретений и рацпредложений</w:t>
      </w:r>
    </w:p>
    <w:p w14:paraId="6887D5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Основными задачами отдела являются:</w:t>
      </w:r>
    </w:p>
    <w:p w14:paraId="3E1D39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Рассмотрение изобретательских и рационализаторских предложений, учет их и хранение.</w:t>
      </w:r>
    </w:p>
    <w:p w14:paraId="022EBE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Отбор ценных предложений, составление планов реализации, контроль и наблюдение за ре</w:t>
      </w:r>
      <w:r w:rsidRPr="00070ADE">
        <w:rPr>
          <w:rFonts w:ascii="Times New Roman" w:hAnsi="Times New Roman"/>
          <w:color w:val="000000" w:themeColor="text1"/>
          <w:sz w:val="16"/>
          <w:szCs w:val="16"/>
        </w:rPr>
        <w:softHyphen/>
        <w:t>ализацией и внедрением их.</w:t>
      </w:r>
    </w:p>
    <w:p w14:paraId="563F444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Содействие и оказание помощи изобретателям в оформлении и продвижении их предложений.</w:t>
      </w:r>
    </w:p>
    <w:p w14:paraId="542A71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Представление к вознаграждению изобретателей и рационализаторов за принятые на воору</w:t>
      </w:r>
      <w:r w:rsidRPr="00070ADE">
        <w:rPr>
          <w:rFonts w:ascii="Times New Roman" w:hAnsi="Times New Roman"/>
          <w:color w:val="000000" w:themeColor="text1"/>
          <w:sz w:val="16"/>
          <w:szCs w:val="16"/>
        </w:rPr>
        <w:softHyphen/>
        <w:t>жение или снабжение Красной Армии предложения, технические усовершенствования и изобре</w:t>
      </w:r>
      <w:r w:rsidRPr="00070ADE">
        <w:rPr>
          <w:rFonts w:ascii="Times New Roman" w:hAnsi="Times New Roman"/>
          <w:color w:val="000000" w:themeColor="text1"/>
          <w:sz w:val="16"/>
          <w:szCs w:val="16"/>
        </w:rPr>
        <w:softHyphen/>
        <w:t>тения.</w:t>
      </w:r>
    </w:p>
    <w:p w14:paraId="7B6027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Выдача удостоверений на техническое усовершенствование.</w:t>
      </w:r>
    </w:p>
    <w:p w14:paraId="32D719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Разработка тематических планов, организация и проведение конкурсов, техническая инфор</w:t>
      </w:r>
      <w:r w:rsidRPr="00070ADE">
        <w:rPr>
          <w:rFonts w:ascii="Times New Roman" w:hAnsi="Times New Roman"/>
          <w:color w:val="000000" w:themeColor="text1"/>
          <w:sz w:val="16"/>
          <w:szCs w:val="16"/>
        </w:rPr>
        <w:softHyphen/>
        <w:t>мация по изобретательским предложениям.</w:t>
      </w:r>
    </w:p>
    <w:p w14:paraId="00ED09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Выявление и изучение кадров изобретателей, как в системе НКО, так и в научно-исследова</w:t>
      </w:r>
      <w:r w:rsidRPr="00070ADE">
        <w:rPr>
          <w:rFonts w:ascii="Times New Roman" w:hAnsi="Times New Roman"/>
          <w:color w:val="000000" w:themeColor="text1"/>
          <w:sz w:val="16"/>
          <w:szCs w:val="16"/>
        </w:rPr>
        <w:softHyphen/>
        <w:t>тельских институтах, конструкторских бюро и организациях промышленности, в целях привлече</w:t>
      </w:r>
      <w:r w:rsidRPr="00070ADE">
        <w:rPr>
          <w:rFonts w:ascii="Times New Roman" w:hAnsi="Times New Roman"/>
          <w:color w:val="000000" w:themeColor="text1"/>
          <w:sz w:val="16"/>
          <w:szCs w:val="16"/>
        </w:rPr>
        <w:softHyphen/>
        <w:t>ния их к решению оборонных проблем.</w:t>
      </w:r>
    </w:p>
    <w:p w14:paraId="208E36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Выезд в войсковые части, округа и на фронты с целью изучения опыта применения реализо</w:t>
      </w:r>
      <w:r w:rsidRPr="00070ADE">
        <w:rPr>
          <w:rFonts w:ascii="Times New Roman" w:hAnsi="Times New Roman"/>
          <w:color w:val="000000" w:themeColor="text1"/>
          <w:sz w:val="16"/>
          <w:szCs w:val="16"/>
        </w:rPr>
        <w:softHyphen/>
        <w:t>ванных предложений.</w:t>
      </w:r>
    </w:p>
    <w:p w14:paraId="0AD9C2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 Ведение переписки с инспекторами по изобретательству округов, фронтов и армий и отдела</w:t>
      </w:r>
      <w:r w:rsidRPr="00070ADE">
        <w:rPr>
          <w:rFonts w:ascii="Times New Roman" w:hAnsi="Times New Roman"/>
          <w:color w:val="000000" w:themeColor="text1"/>
          <w:sz w:val="16"/>
          <w:szCs w:val="16"/>
        </w:rPr>
        <w:softHyphen/>
        <w:t>ми по изобретательству.</w:t>
      </w:r>
    </w:p>
    <w:p w14:paraId="5F0A4D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 Опубликование в журналах предложений, заслуживающих внимания и широкого внед</w:t>
      </w:r>
      <w:r w:rsidRPr="00070ADE">
        <w:rPr>
          <w:rFonts w:ascii="Times New Roman" w:hAnsi="Times New Roman"/>
          <w:color w:val="000000" w:themeColor="text1"/>
          <w:sz w:val="16"/>
          <w:szCs w:val="16"/>
        </w:rPr>
        <w:softHyphen/>
        <w:t>рения.</w:t>
      </w:r>
    </w:p>
    <w:p w14:paraId="295732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 Организация технических совещаний по наиболее сложным и заслуживающим внимания предложениям.</w:t>
      </w:r>
    </w:p>
    <w:p w14:paraId="1135B7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Участие в испытаниях опытных образцов.</w:t>
      </w:r>
    </w:p>
    <w:p w14:paraId="54C2A7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 Представление отчетов в бюро изобретений НКО.</w:t>
      </w:r>
    </w:p>
    <w:p w14:paraId="4A9AF0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2733. Л. 31-59. Подлинник (11420).</w:t>
      </w:r>
    </w:p>
    <w:p w14:paraId="350A33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72014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27A72D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7FB5C8"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25 июня</w:t>
      </w:r>
      <w:r w:rsidRPr="00070ADE">
        <w:rPr>
          <w:rFonts w:ascii="Times New Roman" w:hAnsi="Times New Roman"/>
          <w:color w:val="000000" w:themeColor="text1"/>
          <w:sz w:val="16"/>
          <w:szCs w:val="16"/>
        </w:rPr>
        <w:t xml:space="preserve"> в 1944 году в Германии был проведен испытательный полет реактивного самолета "Ме-262S-2", пилоту Хейнцу Херлитциусу удалось разогнать самолет до 1004 км/ч. Рекордная скорость для истребителя "Me-262" (14933).</w:t>
      </w:r>
    </w:p>
    <w:p w14:paraId="656DA913" w14:textId="77777777" w:rsidR="00E2067E" w:rsidRPr="00070ADE" w:rsidRDefault="00E2067E" w:rsidP="00B56F90">
      <w:pPr>
        <w:spacing w:after="0" w:line="240" w:lineRule="auto"/>
        <w:jc w:val="both"/>
        <w:rPr>
          <w:rFonts w:ascii="Times New Roman" w:hAnsi="Times New Roman"/>
          <w:color w:val="000000" w:themeColor="text1"/>
          <w:sz w:val="16"/>
          <w:szCs w:val="16"/>
        </w:rPr>
      </w:pPr>
    </w:p>
    <w:p w14:paraId="3AFC1B90"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25 июня</w:t>
      </w:r>
      <w:r w:rsidRPr="00070ADE">
        <w:rPr>
          <w:rFonts w:ascii="Times New Roman" w:hAnsi="Times New Roman"/>
          <w:color w:val="000000" w:themeColor="text1"/>
          <w:sz w:val="16"/>
          <w:szCs w:val="16"/>
        </w:rPr>
        <w:t xml:space="preserve"> в 1944 году первый прототип </w:t>
      </w:r>
      <w:hyperlink r:id="rId182" w:tgtFrame="_blank" w:history="1">
        <w:r w:rsidRPr="00070ADE">
          <w:rPr>
            <w:rFonts w:ascii="Times New Roman" w:hAnsi="Times New Roman"/>
            <w:color w:val="000000" w:themeColor="text1"/>
            <w:sz w:val="16"/>
            <w:szCs w:val="16"/>
          </w:rPr>
          <w:t xml:space="preserve">«FR-1» "Fireball" </w:t>
        </w:r>
      </w:hyperlink>
      <w:r w:rsidRPr="00070ADE">
        <w:rPr>
          <w:rFonts w:ascii="Times New Roman" w:hAnsi="Times New Roman"/>
          <w:color w:val="000000" w:themeColor="text1"/>
          <w:sz w:val="16"/>
          <w:szCs w:val="16"/>
        </w:rPr>
        <w:t>("Шаровая молния") отправился в полет, правда, вместо реактивного двигателя был установлен его весовой аналог. ТРД поставили месяцем позже и тут же приступили к полномасштабным летным испытаниям. "Файрболл" представлял собой цельнометаллический низкоплан классической схемы. В носовой части фюзеляжа был установлен девятицилиндровый радиальный мотор воздушного охлаждения «Райт» «R-1820-56» "Циклон", мощностью 1350 л.с., с трехлопастным винтом фирмы Кертисс-Электрик. В хвостовой части установили ТРД «Дженерал Электрик» «J-162 (позднее он получил обозначение «J-31-GE-3») - "американизированную" копию двигателя Ф.Уиттла. Он развивал тягу 725 кгс. Воздухозаборники располагались в выдвинутой вперед корневой части крыла. Их размеры были столь незначительны, что они больше походили на воздухозаборники маслорадиаторов. Новинкой стала система регулировки шага винта, которая автоматически меняла угол установки лопастей в зависимости от тяги ТРД. Кроме того, "Файрболл" был первым палубным самолетом с носовой стойкой шасси. Центроплан крыла, проходивший сквозь фюзеляж монококовой конструкции, составлял с ним единое целое. Впервые вся клепка была сделана потайной, а все управляющие поверхности имели металлическую обшивку. Для крыла подобрали ламинарный профиль. Выбор относительно легкого мотора "Циклон" позволил разместить летчика практически на уровне передней кромки крыла, обеспечив ему великолепный обзор. Поршневой и реактивный двигатели имели отдельные пульты запуска и РУДы, но топливная система была общей. Один топливный бак емкостью 473 л установили в верхней части фюзеляжа за кабиной, а второй, на 189 л - под сиденьем летчика. Кроме того, самолет мог нести подвесные топливные баки емкостью 379 л. В четырехлонжеронном крыле топлива не было (14933).</w:t>
      </w:r>
    </w:p>
    <w:p w14:paraId="74BA3F19" w14:textId="77777777" w:rsidR="00E2067E" w:rsidRPr="00070ADE" w:rsidRDefault="00E2067E" w:rsidP="00B56F90">
      <w:pPr>
        <w:spacing w:after="0" w:line="240" w:lineRule="auto"/>
        <w:jc w:val="both"/>
        <w:rPr>
          <w:rFonts w:ascii="Times New Roman" w:hAnsi="Times New Roman"/>
          <w:color w:val="000000" w:themeColor="text1"/>
          <w:sz w:val="16"/>
          <w:szCs w:val="16"/>
        </w:rPr>
      </w:pPr>
    </w:p>
    <w:p w14:paraId="300AF8B3" w14:textId="77777777" w:rsidR="00A70D91" w:rsidRPr="00070ADE" w:rsidRDefault="00A70D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июня 1944 первый полет Ryan XFR-1, прототипа Ryan FR Fireball (20373).</w:t>
      </w:r>
    </w:p>
    <w:p w14:paraId="2FF3ACBE" w14:textId="77777777" w:rsidR="00A70D91" w:rsidRPr="00070ADE" w:rsidRDefault="00A70D91" w:rsidP="00B56F90">
      <w:pPr>
        <w:spacing w:after="0" w:line="240" w:lineRule="auto"/>
        <w:jc w:val="both"/>
        <w:rPr>
          <w:rFonts w:ascii="Times New Roman" w:hAnsi="Times New Roman"/>
          <w:color w:val="000000" w:themeColor="text1"/>
          <w:sz w:val="16"/>
          <w:szCs w:val="16"/>
        </w:rPr>
      </w:pPr>
    </w:p>
    <w:p w14:paraId="28138F7B" w14:textId="77777777" w:rsidR="00E2067E" w:rsidRPr="00070ADE" w:rsidRDefault="00E2067E"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июня 1944 немецкое радио сообщило об оружии возмездия (Vergeltungswaffe 1 - V1) (1800,2).</w:t>
      </w:r>
    </w:p>
    <w:p w14:paraId="11741CA8" w14:textId="77777777" w:rsidR="00E2067E" w:rsidRPr="00070ADE" w:rsidRDefault="00E2067E"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7C0AA3"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25 июня</w:t>
      </w:r>
      <w:r w:rsidRPr="00070ADE">
        <w:rPr>
          <w:rFonts w:ascii="Times New Roman" w:hAnsi="Times New Roman"/>
          <w:color w:val="000000" w:themeColor="text1"/>
          <w:sz w:val="16"/>
          <w:szCs w:val="16"/>
        </w:rPr>
        <w:t xml:space="preserve"> в 1944 году британский десант высадился в Кане, Нормандия </w:t>
      </w:r>
    </w:p>
    <w:p w14:paraId="67B0CC21" w14:textId="77777777" w:rsidR="00E2067E" w:rsidRPr="00070ADE" w:rsidRDefault="00E2067E" w:rsidP="00B56F90">
      <w:pPr>
        <w:spacing w:after="0" w:line="240" w:lineRule="auto"/>
        <w:jc w:val="both"/>
        <w:rPr>
          <w:rFonts w:ascii="Times New Roman" w:hAnsi="Times New Roman"/>
          <w:color w:val="000000" w:themeColor="text1"/>
          <w:sz w:val="16"/>
          <w:szCs w:val="16"/>
        </w:rPr>
      </w:pPr>
    </w:p>
    <w:p w14:paraId="049401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25th, 1944: In Normandy, the British Second Army (Dempsey) begins a major offensive in the area of Caen (Operation Epsom). In the East, 40,000 troops of Heeresgruppe Mitte are surrounded by the Red Army in the area of Vitebsk. General Koenid is appointed C-in-C of the Free French forces (3819).</w:t>
      </w:r>
    </w:p>
    <w:p w14:paraId="3D1135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82DCA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июня 1944 в Нормандии британская 2А (Демпсей) начала наступление в районе Кайена. КА взяла в плен 40 тыс. солдат Группы Центр в районе Витебска. Г Коенид был назначен ГК во Франции (3819).</w:t>
      </w:r>
    </w:p>
    <w:p w14:paraId="6FC278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9D1D15"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25 июня</w:t>
      </w:r>
      <w:r w:rsidRPr="00070ADE">
        <w:rPr>
          <w:rFonts w:ascii="Times New Roman" w:hAnsi="Times New Roman"/>
          <w:color w:val="000000" w:themeColor="text1"/>
          <w:sz w:val="16"/>
          <w:szCs w:val="16"/>
        </w:rPr>
        <w:t xml:space="preserve"> в 1944 году президент Финляндии Р.Рюти выступил с меморандумом, в котором дал обязательство не заключать с СССР сепаратного мира без согласия германского правительства (14933).</w:t>
      </w:r>
    </w:p>
    <w:p w14:paraId="30716EFE" w14:textId="77777777" w:rsidR="00E2067E" w:rsidRPr="00070ADE" w:rsidRDefault="00E2067E" w:rsidP="00B56F90">
      <w:pPr>
        <w:spacing w:after="0" w:line="240" w:lineRule="auto"/>
        <w:jc w:val="both"/>
        <w:rPr>
          <w:rFonts w:ascii="Times New Roman" w:hAnsi="Times New Roman"/>
          <w:color w:val="000000" w:themeColor="text1"/>
          <w:sz w:val="16"/>
          <w:szCs w:val="16"/>
        </w:rPr>
      </w:pPr>
    </w:p>
    <w:p w14:paraId="0ABBE13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4BCA8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9021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года гл. конструктор С.В.И. писал письмо N 1/756 Шахурину.</w:t>
      </w:r>
    </w:p>
    <w:p w14:paraId="184EF7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июне 1944 г. с завода N 24 поступили два мотора АМ-42, у которых теплоотдача в воду на номинальном режиме мотора резко увеличена по сравнению с моторами, </w:t>
      </w:r>
      <w:r w:rsidRPr="00070ADE">
        <w:rPr>
          <w:rFonts w:ascii="Times New Roman" w:hAnsi="Times New Roman"/>
          <w:color w:val="000000" w:themeColor="text1"/>
          <w:sz w:val="16"/>
          <w:szCs w:val="16"/>
        </w:rPr>
        <w:lastRenderedPageBreak/>
        <w:t>которые поступали до настоящего времени.</w:t>
      </w:r>
    </w:p>
    <w:p w14:paraId="286E8F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прилагаемой при сем таблице в графах 8-9 и в графах 10-11 видно, что моторы поступившие до июня имели теплоотдачу в воду не более 6500 калорий и в масло не более 1260, а моторы поступившие в июне, в частности моторов N 4280, имеет теплоотдачу в воду 7650, т.е. на 1200 калорий больше чем мотор N 4248 поступивший в январе 1944 г.</w:t>
      </w:r>
    </w:p>
    <w:p w14:paraId="3493A7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Полученный мною мотор N 4280 был установлен на самолет Ил-8, проходивший гос. испытания в НИИ ВВС. На гос. испытаниях на самолете Ил-8 температурные режимы воды и масла был ниже нормы. При установке на Ил-8 мотора N 4280 температура воды значительно не укладывается в норму.</w:t>
      </w:r>
    </w:p>
    <w:p w14:paraId="1F8BBD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полеты на самолете Ил-8 с моторами АМ-42 с теплоотдачей в воду 7650 калорий невозможны.</w:t>
      </w:r>
    </w:p>
    <w:p w14:paraId="4EEDA4A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Второй мотор Ам-42 за N 4279 с теплоотдачей в воду 7500 калорий установлен мною на самолете Ил-10. Полеты начнутся завтра 27 июня.</w:t>
      </w:r>
    </w:p>
    <w:p w14:paraId="0DD1A5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прилагаемой таблицы видно, что на основании пяти документов, полученных мною с завода N 24, теплоотдача в воду указывалась 7000 калорий и теплоотдача в масло в пределах 1400-1500 калорий. Поэтому водомаслоохлаждающая система предусматривалась на отнятие от воды 7000 калорий, а от масла 1450 калорий. С указанной теплоотдачей в воду и масло моторы АМ-42 могут нормально работать на самолетах Ил-8 и Ил-10.</w:t>
      </w:r>
    </w:p>
    <w:p w14:paraId="3ECBF5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том, что теплоотдача в воду и масло на моторе АМ-42 будет увеличена никто не поставил меня в известность до момента получения мотора Ам-42 за N 4279 и за N 4280. Таким образом по теплоотдаче мотора АМ-42 в воду и масло я был поставлен перед свершившимся фактом.</w:t>
      </w:r>
    </w:p>
    <w:p w14:paraId="31A7F4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того, чтобы на самолетах Ил-8 и Ил-10 могли работать моторы Ам-42 с нормальной температурой согласно техническим условиям необходимо установить теплоотдачу в воду и масло так, как это было установлено во всех технических документов моторов Ам-42: теплоотдача в воду на номинальном режиме не более 7000 калорий и теплоотдача в масло на номинальном режиме не более 1450 калорий. Если же это невозможно, то необходимо вносить изменения в водо-охлаждающую систему самолетов Ил-8 и Ил-10 (2562,92).</w:t>
      </w:r>
    </w:p>
    <w:p w14:paraId="1368124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92F1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года начальник НИИ ВВС генерал-лейтенант инженерно-авиационной службы Лосюков и начальник 3-го отдела НИИ ВВС инженер-полковник Сафронов писали письмо N 3/0962 гл. инженеру ВВС генерал-полковнику инженерно-авиационной службы Репину а.к., Шахурину, УК ВКП(б) генерал-полковнику авиации Шиманову Н.С.</w:t>
      </w:r>
    </w:p>
    <w:p w14:paraId="1235B0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Доношу, что государственные испытания опытного самолета Су-6 с АМ-42, конструкции Сухого, временно прекращены.</w:t>
      </w:r>
    </w:p>
    <w:p w14:paraId="30C79E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испытательных полетах 12-го и 17-го июня 1944 года имели место два случая пожара во всасывающем патрубке мотора АМ-42, с последующим обгоранием проводников зажигания. В обоих случаях пожар во всасывающем патрубке не привел к аварии или катастрофе только потому, что произошел на планировании, при заходе самолета на посадку.</w:t>
      </w:r>
    </w:p>
    <w:p w14:paraId="7517D9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Причиной пожара во всасывающих патрубках мотора АМ-42 является наличие в них сборника и конденсата, в которых при обратной вспышке в карбюратор воспламеняется конденсат.</w:t>
      </w:r>
    </w:p>
    <w:p w14:paraId="2EFB52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воспламенении смеси во всасывающем патрубке, он накаляется до белого каления, вследствие чего обгорают проводники зажигания, что, в свою очередь, может привести к отказу мотора или пожару самолета.</w:t>
      </w:r>
    </w:p>
    <w:p w14:paraId="7A941B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Установленный на самолете Су-6 мотор АМ-42 N 4277, на котором, согласно записи в формуляре, произведен ряд конструктивных изменений, рекомендованных в акте по гос. испытаниям мотора АМ-42 на станке, получен с завода N 24 27 мая 1944 года.</w:t>
      </w:r>
    </w:p>
    <w:p w14:paraId="1EF747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этим мотором в период с 9 по 17 июня 1944 года произведено 6 полетов, с общим налетом 4 часа 00 минут. (На поверку работы ВМГ, километраж, подбор границы высотности и дальность радиосвязи).</w:t>
      </w:r>
    </w:p>
    <w:p w14:paraId="0F8FBF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дать необходимые указания о принятии немедленных мер к устранению причин пожаров во всасывающих патрубках мотора АМ-42 (1821).</w:t>
      </w:r>
    </w:p>
    <w:p w14:paraId="18A2CD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B9CE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года начальник ГНИИ ВВС КА генерал-лейтенант НАС П.А.Лосюков доложил руковод</w:t>
      </w:r>
      <w:r w:rsidRPr="00070ADE">
        <w:rPr>
          <w:rFonts w:ascii="Times New Roman" w:hAnsi="Times New Roman"/>
          <w:color w:val="000000" w:themeColor="text1"/>
          <w:sz w:val="16"/>
          <w:szCs w:val="16"/>
        </w:rPr>
        <w:softHyphen/>
        <w:t>ству о том, что: «... государствен</w:t>
      </w:r>
      <w:r w:rsidRPr="00070ADE">
        <w:rPr>
          <w:rFonts w:ascii="Times New Roman" w:hAnsi="Times New Roman"/>
          <w:color w:val="000000" w:themeColor="text1"/>
          <w:sz w:val="16"/>
          <w:szCs w:val="16"/>
        </w:rPr>
        <w:softHyphen/>
        <w:t>ные испытания опытного самолета Су-6 с АМ-42, конструкции т. Сухо</w:t>
      </w:r>
      <w:r w:rsidRPr="00070ADE">
        <w:rPr>
          <w:rFonts w:ascii="Times New Roman" w:hAnsi="Times New Roman"/>
          <w:color w:val="000000" w:themeColor="text1"/>
          <w:sz w:val="16"/>
          <w:szCs w:val="16"/>
        </w:rPr>
        <w:softHyphen/>
        <w:t>го, временно прекращены.</w:t>
      </w:r>
    </w:p>
    <w:p w14:paraId="4B285E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испытательных полетах 12-го и 17-го июня 1944 года имели мес</w:t>
      </w:r>
      <w:r w:rsidRPr="00070ADE">
        <w:rPr>
          <w:rFonts w:ascii="Times New Roman" w:hAnsi="Times New Roman"/>
          <w:color w:val="000000" w:themeColor="text1"/>
          <w:sz w:val="16"/>
          <w:szCs w:val="16"/>
        </w:rPr>
        <w:softHyphen/>
        <w:t>то два случая пожара во всасыва</w:t>
      </w:r>
      <w:r w:rsidRPr="00070ADE">
        <w:rPr>
          <w:rFonts w:ascii="Times New Roman" w:hAnsi="Times New Roman"/>
          <w:color w:val="000000" w:themeColor="text1"/>
          <w:sz w:val="16"/>
          <w:szCs w:val="16"/>
        </w:rPr>
        <w:softHyphen/>
        <w:t>ющем патрубке мотора АМ-42, с последующим обгоранием провод</w:t>
      </w:r>
      <w:r w:rsidRPr="00070ADE">
        <w:rPr>
          <w:rFonts w:ascii="Times New Roman" w:hAnsi="Times New Roman"/>
          <w:color w:val="000000" w:themeColor="text1"/>
          <w:sz w:val="16"/>
          <w:szCs w:val="16"/>
        </w:rPr>
        <w:softHyphen/>
        <w:t>ников зажигания.</w:t>
      </w:r>
    </w:p>
    <w:p w14:paraId="66C33A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обоих случаях пожар во вса</w:t>
      </w:r>
      <w:r w:rsidRPr="00070ADE">
        <w:rPr>
          <w:rFonts w:ascii="Times New Roman" w:hAnsi="Times New Roman"/>
          <w:color w:val="000000" w:themeColor="text1"/>
          <w:sz w:val="16"/>
          <w:szCs w:val="16"/>
        </w:rPr>
        <w:softHyphen/>
        <w:t>сывающем патрубке не привел к аварии или катастрофе только по тому, что произошел на планиро</w:t>
      </w:r>
      <w:r w:rsidRPr="00070ADE">
        <w:rPr>
          <w:rFonts w:ascii="Times New Roman" w:hAnsi="Times New Roman"/>
          <w:color w:val="000000" w:themeColor="text1"/>
          <w:sz w:val="16"/>
          <w:szCs w:val="16"/>
        </w:rPr>
        <w:softHyphen/>
        <w:t>вании, при заходе самолета на посадку.</w:t>
      </w:r>
    </w:p>
    <w:p w14:paraId="6A98DB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Причиной пожара во всасыва</w:t>
      </w:r>
      <w:r w:rsidRPr="00070ADE">
        <w:rPr>
          <w:rFonts w:ascii="Times New Roman" w:hAnsi="Times New Roman"/>
          <w:color w:val="000000" w:themeColor="text1"/>
          <w:sz w:val="16"/>
          <w:szCs w:val="16"/>
        </w:rPr>
        <w:softHyphen/>
        <w:t>ющих патрубках мотора АМ-42 яв</w:t>
      </w:r>
      <w:r w:rsidRPr="00070ADE">
        <w:rPr>
          <w:rFonts w:ascii="Times New Roman" w:hAnsi="Times New Roman"/>
          <w:color w:val="000000" w:themeColor="text1"/>
          <w:sz w:val="16"/>
          <w:szCs w:val="16"/>
        </w:rPr>
        <w:softHyphen/>
        <w:t>ляется наличие в них сборников конденсата, в которых при обрат</w:t>
      </w:r>
      <w:r w:rsidRPr="00070ADE">
        <w:rPr>
          <w:rFonts w:ascii="Times New Roman" w:hAnsi="Times New Roman"/>
          <w:color w:val="000000" w:themeColor="text1"/>
          <w:sz w:val="16"/>
          <w:szCs w:val="16"/>
        </w:rPr>
        <w:softHyphen/>
        <w:t>ной вспышке в карбюратор воспла</w:t>
      </w:r>
      <w:r w:rsidRPr="00070ADE">
        <w:rPr>
          <w:rFonts w:ascii="Times New Roman" w:hAnsi="Times New Roman"/>
          <w:color w:val="000000" w:themeColor="text1"/>
          <w:sz w:val="16"/>
          <w:szCs w:val="16"/>
        </w:rPr>
        <w:softHyphen/>
        <w:t>меняется конденсат.</w:t>
      </w:r>
    </w:p>
    <w:p w14:paraId="05313D3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воспламенении смеси во всасывающем патрубке, он нака</w:t>
      </w:r>
      <w:r w:rsidRPr="00070ADE">
        <w:rPr>
          <w:rFonts w:ascii="Times New Roman" w:hAnsi="Times New Roman"/>
          <w:color w:val="000000" w:themeColor="text1"/>
          <w:sz w:val="16"/>
          <w:szCs w:val="16"/>
        </w:rPr>
        <w:softHyphen/>
        <w:t>ляется до белого каления, вслед</w:t>
      </w:r>
      <w:r w:rsidRPr="00070ADE">
        <w:rPr>
          <w:rFonts w:ascii="Times New Roman" w:hAnsi="Times New Roman"/>
          <w:color w:val="000000" w:themeColor="text1"/>
          <w:sz w:val="16"/>
          <w:szCs w:val="16"/>
        </w:rPr>
        <w:softHyphen/>
        <w:t>ствие чего обгорают проводники зажигания, что в свою очередь, может привести к отказу мотора или пожару самолета.</w:t>
      </w:r>
    </w:p>
    <w:p w14:paraId="4D0642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Установленный на самолете Су-6 мотор АМ-42 №4277, на котором, согласно записи в формуляре, про</w:t>
      </w:r>
      <w:r w:rsidRPr="00070ADE">
        <w:rPr>
          <w:rFonts w:ascii="Times New Roman" w:hAnsi="Times New Roman"/>
          <w:color w:val="000000" w:themeColor="text1"/>
          <w:sz w:val="16"/>
          <w:szCs w:val="16"/>
        </w:rPr>
        <w:softHyphen/>
        <w:t>изведен ряд конструктивных изме</w:t>
      </w:r>
      <w:r w:rsidRPr="00070ADE">
        <w:rPr>
          <w:rFonts w:ascii="Times New Roman" w:hAnsi="Times New Roman"/>
          <w:color w:val="000000" w:themeColor="text1"/>
          <w:sz w:val="16"/>
          <w:szCs w:val="16"/>
        </w:rPr>
        <w:softHyphen/>
        <w:t>нений, рекомендованных в акте по госиспытаниям мотора АМ-42 на станке, получен с завода №24 27 мая 1944 года.</w:t>
      </w:r>
    </w:p>
    <w:p w14:paraId="0444E6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этим мотором в период с 9 по 17 июня 1944 г. произведено 6 по</w:t>
      </w:r>
      <w:r w:rsidRPr="00070ADE">
        <w:rPr>
          <w:rFonts w:ascii="Times New Roman" w:hAnsi="Times New Roman"/>
          <w:color w:val="000000" w:themeColor="text1"/>
          <w:sz w:val="16"/>
          <w:szCs w:val="16"/>
        </w:rPr>
        <w:softHyphen/>
        <w:t>летов, с общим налетом 4 часа 00 минут, (на проверку работы ВМГ, километраж, подбор границы высот</w:t>
      </w:r>
      <w:r w:rsidRPr="00070ADE">
        <w:rPr>
          <w:rFonts w:ascii="Times New Roman" w:hAnsi="Times New Roman"/>
          <w:color w:val="000000" w:themeColor="text1"/>
          <w:sz w:val="16"/>
          <w:szCs w:val="16"/>
        </w:rPr>
        <w:softHyphen/>
        <w:t>ности и дальность радиосвязи).</w:t>
      </w:r>
    </w:p>
    <w:p w14:paraId="62407A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дать необходимые ука</w:t>
      </w:r>
      <w:r w:rsidRPr="00070ADE">
        <w:rPr>
          <w:rFonts w:ascii="Times New Roman" w:hAnsi="Times New Roman"/>
          <w:color w:val="000000" w:themeColor="text1"/>
          <w:sz w:val="16"/>
          <w:szCs w:val="16"/>
        </w:rPr>
        <w:softHyphen/>
        <w:t>зания о принятии немедленных мер к устранению причин пожаров во всасывающих патрубках мотора АМ-42» (11845).</w:t>
      </w:r>
    </w:p>
    <w:p w14:paraId="5EABA5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FC1D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года директор и гл. конструктор завода N 289 П. Сухой писал письмо Шахурину.</w:t>
      </w:r>
    </w:p>
    <w:p w14:paraId="5811C3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 что в связи с двумя случаями возгорания в полете горючего во всасывающих патрубках мотора АМ-42 на самолете Су-6, НИИ ВВС прекратил государственные испытания самолета до устранения указанного дефекта.</w:t>
      </w:r>
    </w:p>
    <w:p w14:paraId="3C8DC1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Случаи возгорания горючего при запуске мотора АМ-42 на земле имели место неоднократно как на самолете Су-6, так и на самолетах Ил-8 и ИЛ-10. Возгорание горючего в полете обнаружилось на последнем моторе, который был выполнен с устранением дефектов, выявленных при произведении при проведении государственных испытаний мотора.</w:t>
      </w:r>
    </w:p>
    <w:p w14:paraId="253DC3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Вашей помощи в получении полноценного мотора АМ-42 для окончания прерванных государственных испытаний самолета Су-6 (1821).</w:t>
      </w:r>
    </w:p>
    <w:p w14:paraId="4D792A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612535" w14:textId="77777777" w:rsidR="002E135C" w:rsidRPr="00070ADE" w:rsidRDefault="002E135C" w:rsidP="00B56F90">
      <w:pPr>
        <w:pStyle w:val="7"/>
        <w:shd w:val="clear" w:color="auto" w:fill="auto"/>
        <w:spacing w:line="240" w:lineRule="auto"/>
        <w:rPr>
          <w:rFonts w:ascii="Times New Roman" w:cs="Times New Roman"/>
          <w:color w:val="000000" w:themeColor="text1"/>
          <w:spacing w:val="0"/>
          <w:sz w:val="16"/>
          <w:szCs w:val="16"/>
        </w:rPr>
      </w:pPr>
      <w:r w:rsidRPr="00070ADE">
        <w:rPr>
          <w:rFonts w:ascii="Times New Roman" w:cs="Times New Roman"/>
          <w:color w:val="000000" w:themeColor="text1"/>
          <w:spacing w:val="0"/>
          <w:sz w:val="16"/>
          <w:szCs w:val="16"/>
        </w:rPr>
        <w:t xml:space="preserve">26 июня 1944 </w:t>
      </w:r>
      <w:r w:rsidRPr="00070ADE">
        <w:rPr>
          <w:rStyle w:val="75"/>
          <w:rFonts w:ascii="Times New Roman" w:hAnsi="Times New Roman" w:cs="Times New Roman"/>
          <w:i w:val="0"/>
          <w:color w:val="000000" w:themeColor="text1"/>
          <w:sz w:val="16"/>
          <w:szCs w:val="16"/>
        </w:rPr>
        <w:t>главный инженер ВВС КА генерал-полковник А.К. Репин</w:t>
      </w:r>
      <w:r w:rsidRPr="00070ADE">
        <w:rPr>
          <w:rFonts w:ascii="Times New Roman" w:cs="Times New Roman"/>
          <w:color w:val="000000" w:themeColor="text1"/>
          <w:spacing w:val="0"/>
          <w:sz w:val="16"/>
          <w:szCs w:val="16"/>
        </w:rPr>
        <w:t xml:space="preserve"> в письме к Маленкову по вопросу недопустимого положения дел с прозрачной броней для бое</w:t>
      </w:r>
      <w:r w:rsidRPr="00070ADE">
        <w:rPr>
          <w:rFonts w:ascii="Times New Roman" w:cs="Times New Roman"/>
          <w:color w:val="000000" w:themeColor="text1"/>
          <w:spacing w:val="0"/>
          <w:sz w:val="16"/>
          <w:szCs w:val="16"/>
        </w:rPr>
        <w:softHyphen/>
        <w:t>вых самолетов ВВС КА указывал, что, несмотря на выход 12 февраля 1944 г. постановления ГОКО, которое обязывало НКХП обеспечить ка</w:t>
      </w:r>
      <w:r w:rsidRPr="00070ADE">
        <w:rPr>
          <w:rFonts w:ascii="Times New Roman" w:cs="Times New Roman"/>
          <w:color w:val="000000" w:themeColor="text1"/>
          <w:spacing w:val="0"/>
          <w:sz w:val="16"/>
          <w:szCs w:val="16"/>
        </w:rPr>
        <w:softHyphen/>
        <w:t>чество прозрачной брони техническим услови</w:t>
      </w:r>
      <w:r w:rsidRPr="00070ADE">
        <w:rPr>
          <w:rFonts w:ascii="Times New Roman" w:cs="Times New Roman"/>
          <w:color w:val="000000" w:themeColor="text1"/>
          <w:spacing w:val="0"/>
          <w:sz w:val="16"/>
          <w:szCs w:val="16"/>
        </w:rPr>
        <w:softHyphen/>
        <w:t>ям ВВС на 1944 г., этого не произошло. Качест</w:t>
      </w:r>
      <w:r w:rsidRPr="00070ADE">
        <w:rPr>
          <w:rFonts w:ascii="Times New Roman" w:cs="Times New Roman"/>
          <w:color w:val="000000" w:themeColor="text1"/>
          <w:spacing w:val="0"/>
          <w:sz w:val="16"/>
          <w:szCs w:val="16"/>
        </w:rPr>
        <w:softHyphen/>
        <w:t>во серийной прозрачной брони не удовлетво</w:t>
      </w:r>
      <w:r w:rsidRPr="00070ADE">
        <w:rPr>
          <w:rFonts w:ascii="Times New Roman" w:cs="Times New Roman"/>
          <w:color w:val="000000" w:themeColor="text1"/>
          <w:spacing w:val="0"/>
          <w:sz w:val="16"/>
          <w:szCs w:val="16"/>
        </w:rPr>
        <w:softHyphen/>
        <w:t>ряло требованиям ВВС КА в части оптических свойств:</w:t>
      </w:r>
      <w:r w:rsidRPr="00070ADE">
        <w:rPr>
          <w:rStyle w:val="aff7"/>
          <w:rFonts w:ascii="Times New Roman" w:hAnsi="Times New Roman" w:cs="Times New Roman"/>
          <w:i w:val="0"/>
          <w:color w:val="000000" w:themeColor="text1"/>
          <w:spacing w:val="0"/>
        </w:rPr>
        <w:t xml:space="preserve"> «Исходя из точности авиационных прицелов, тактико-технические требования ВВС КА предусматривают оптическое иска</w:t>
      </w:r>
      <w:r w:rsidRPr="00070ADE">
        <w:rPr>
          <w:rStyle w:val="aff7"/>
          <w:rFonts w:ascii="Times New Roman" w:hAnsi="Times New Roman" w:cs="Times New Roman"/>
          <w:i w:val="0"/>
          <w:color w:val="000000" w:themeColor="text1"/>
          <w:spacing w:val="0"/>
        </w:rPr>
        <w:softHyphen/>
        <w:t>жение в прицельном поле не более 6 минут, а поставляемая серийная броня имеет по Тех</w:t>
      </w:r>
      <w:r w:rsidRPr="00070ADE">
        <w:rPr>
          <w:rStyle w:val="aff7"/>
          <w:rFonts w:ascii="Times New Roman" w:hAnsi="Times New Roman" w:cs="Times New Roman"/>
          <w:i w:val="0"/>
          <w:color w:val="000000" w:themeColor="text1"/>
          <w:spacing w:val="0"/>
        </w:rPr>
        <w:softHyphen/>
        <w:t xml:space="preserve">ническим условиям на приемку до 14 минут и </w:t>
      </w:r>
      <w:r w:rsidRPr="00070ADE">
        <w:rPr>
          <w:rFonts w:ascii="Times New Roman" w:cs="Times New Roman"/>
          <w:color w:val="000000" w:themeColor="text1"/>
          <w:spacing w:val="0"/>
          <w:sz w:val="16"/>
          <w:szCs w:val="16"/>
        </w:rPr>
        <w:t>ВВС КА вынужден принимать эту броню за не</w:t>
      </w:r>
      <w:r w:rsidRPr="00070ADE">
        <w:rPr>
          <w:rFonts w:ascii="Times New Roman" w:cs="Times New Roman"/>
          <w:color w:val="000000" w:themeColor="text1"/>
          <w:spacing w:val="0"/>
          <w:sz w:val="16"/>
          <w:szCs w:val="16"/>
        </w:rPr>
        <w:softHyphen/>
        <w:t>имением лучшей».</w:t>
      </w:r>
    </w:p>
    <w:p w14:paraId="75DD2383" w14:textId="77777777" w:rsidR="002E135C" w:rsidRPr="00070ADE" w:rsidRDefault="002E135C" w:rsidP="00B56F90">
      <w:pPr>
        <w:pStyle w:val="7"/>
        <w:shd w:val="clear" w:color="auto" w:fill="auto"/>
        <w:spacing w:line="240" w:lineRule="auto"/>
        <w:rPr>
          <w:rFonts w:ascii="Times New Roman" w:cs="Times New Roman"/>
          <w:color w:val="000000" w:themeColor="text1"/>
          <w:spacing w:val="0"/>
          <w:sz w:val="16"/>
          <w:szCs w:val="16"/>
        </w:rPr>
      </w:pPr>
      <w:r w:rsidRPr="00070ADE">
        <w:rPr>
          <w:rStyle w:val="75"/>
          <w:rFonts w:ascii="Times New Roman" w:hAnsi="Times New Roman" w:cs="Times New Roman"/>
          <w:i w:val="0"/>
          <w:color w:val="000000" w:themeColor="text1"/>
          <w:sz w:val="16"/>
          <w:szCs w:val="16"/>
        </w:rPr>
        <w:t>Кроме того,</w:t>
      </w:r>
      <w:r w:rsidRPr="00070ADE">
        <w:rPr>
          <w:rFonts w:ascii="Times New Roman" w:cs="Times New Roman"/>
          <w:color w:val="000000" w:themeColor="text1"/>
          <w:spacing w:val="0"/>
          <w:sz w:val="16"/>
          <w:szCs w:val="16"/>
        </w:rPr>
        <w:t xml:space="preserve"> «в связи с применением на самолетах противника оружия крупного ка</w:t>
      </w:r>
      <w:r w:rsidRPr="00070ADE">
        <w:rPr>
          <w:rFonts w:ascii="Times New Roman" w:cs="Times New Roman"/>
          <w:color w:val="000000" w:themeColor="text1"/>
          <w:spacing w:val="0"/>
          <w:sz w:val="16"/>
          <w:szCs w:val="16"/>
        </w:rPr>
        <w:softHyphen/>
        <w:t>либра, существующая прозрачная броня не отвечает современным требованиям и по пулестойкости».</w:t>
      </w:r>
      <w:r w:rsidRPr="00070ADE">
        <w:rPr>
          <w:rStyle w:val="75"/>
          <w:rFonts w:ascii="Times New Roman" w:hAnsi="Times New Roman" w:cs="Times New Roman"/>
          <w:i w:val="0"/>
          <w:color w:val="000000" w:themeColor="text1"/>
          <w:sz w:val="16"/>
          <w:szCs w:val="16"/>
        </w:rPr>
        <w:t xml:space="preserve"> В этой связи ВВС КА были вынуждены пойти на увеличение толщины силикатного стекла, а следовательно, и веса изделий. При этом</w:t>
      </w:r>
      <w:r w:rsidRPr="00070ADE">
        <w:rPr>
          <w:rFonts w:ascii="Times New Roman" w:cs="Times New Roman"/>
          <w:color w:val="000000" w:themeColor="text1"/>
          <w:spacing w:val="0"/>
          <w:sz w:val="16"/>
          <w:szCs w:val="16"/>
        </w:rPr>
        <w:t xml:space="preserve"> «вопрос о повышении веса заголовников летчика из прозрачной брони</w:t>
      </w:r>
      <w:r w:rsidRPr="00070ADE">
        <w:rPr>
          <w:rStyle w:val="75"/>
          <w:rFonts w:ascii="Times New Roman" w:hAnsi="Times New Roman" w:cs="Times New Roman"/>
          <w:i w:val="0"/>
          <w:color w:val="000000" w:themeColor="text1"/>
          <w:sz w:val="16"/>
          <w:szCs w:val="16"/>
        </w:rPr>
        <w:t>» с трудом согласовывается</w:t>
      </w:r>
      <w:r w:rsidRPr="00070ADE">
        <w:rPr>
          <w:rFonts w:ascii="Times New Roman" w:cs="Times New Roman"/>
          <w:color w:val="000000" w:themeColor="text1"/>
          <w:spacing w:val="0"/>
          <w:sz w:val="16"/>
          <w:szCs w:val="16"/>
        </w:rPr>
        <w:t xml:space="preserve"> «главными конструк</w:t>
      </w:r>
      <w:r w:rsidRPr="00070ADE">
        <w:rPr>
          <w:rFonts w:ascii="Times New Roman" w:cs="Times New Roman"/>
          <w:color w:val="000000" w:themeColor="text1"/>
          <w:spacing w:val="0"/>
          <w:sz w:val="16"/>
          <w:szCs w:val="16"/>
        </w:rPr>
        <w:softHyphen/>
        <w:t>торами самолетов».</w:t>
      </w:r>
    </w:p>
    <w:p w14:paraId="3FA860CF" w14:textId="77777777" w:rsidR="002E135C" w:rsidRPr="00070ADE" w:rsidRDefault="002E135C" w:rsidP="00B56F90">
      <w:pPr>
        <w:pStyle w:val="7"/>
        <w:shd w:val="clear" w:color="auto" w:fill="auto"/>
        <w:spacing w:line="240" w:lineRule="auto"/>
        <w:rPr>
          <w:rFonts w:ascii="Times New Roman" w:cs="Times New Roman"/>
          <w:color w:val="000000" w:themeColor="text1"/>
          <w:spacing w:val="0"/>
          <w:sz w:val="16"/>
          <w:szCs w:val="16"/>
        </w:rPr>
      </w:pPr>
      <w:r w:rsidRPr="00070ADE">
        <w:rPr>
          <w:rStyle w:val="75"/>
          <w:rFonts w:ascii="Times New Roman" w:hAnsi="Times New Roman" w:cs="Times New Roman"/>
          <w:i w:val="0"/>
          <w:color w:val="000000" w:themeColor="text1"/>
          <w:sz w:val="16"/>
          <w:szCs w:val="16"/>
        </w:rPr>
        <w:t>Констатировалось следующее:</w:t>
      </w:r>
      <w:r w:rsidRPr="00070ADE">
        <w:rPr>
          <w:rFonts w:ascii="Times New Roman" w:cs="Times New Roman"/>
          <w:color w:val="000000" w:themeColor="text1"/>
          <w:spacing w:val="0"/>
          <w:sz w:val="16"/>
          <w:szCs w:val="16"/>
        </w:rPr>
        <w:t xml:space="preserve"> «Опыт</w:t>
      </w:r>
      <w:r w:rsidRPr="00070ADE">
        <w:rPr>
          <w:rFonts w:ascii="Times New Roman" w:cs="Times New Roman"/>
          <w:color w:val="000000" w:themeColor="text1"/>
          <w:spacing w:val="0"/>
          <w:sz w:val="16"/>
          <w:szCs w:val="16"/>
        </w:rPr>
        <w:softHyphen/>
        <w:t>ные работы по изысканию прозрачной брони повышенной пулестойкости предусмотрен</w:t>
      </w:r>
      <w:r w:rsidRPr="00070ADE">
        <w:rPr>
          <w:rFonts w:ascii="Times New Roman" w:cs="Times New Roman"/>
          <w:color w:val="000000" w:themeColor="text1"/>
          <w:spacing w:val="0"/>
          <w:sz w:val="16"/>
          <w:szCs w:val="16"/>
        </w:rPr>
        <w:softHyphen/>
        <w:t>ные Постановлениями ГОКО от 10.1.43 г. и 21.4.43 г., как</w:t>
      </w:r>
      <w:r w:rsidRPr="00070ADE">
        <w:rPr>
          <w:rStyle w:val="75"/>
          <w:rFonts w:ascii="Times New Roman" w:hAnsi="Times New Roman" w:cs="Times New Roman"/>
          <w:i w:val="0"/>
          <w:color w:val="000000" w:themeColor="text1"/>
          <w:sz w:val="16"/>
          <w:szCs w:val="16"/>
        </w:rPr>
        <w:t xml:space="preserve"> мною</w:t>
      </w:r>
      <w:r w:rsidRPr="00070ADE">
        <w:rPr>
          <w:rFonts w:ascii="Times New Roman" w:cs="Times New Roman"/>
          <w:color w:val="000000" w:themeColor="text1"/>
          <w:spacing w:val="0"/>
          <w:sz w:val="16"/>
          <w:szCs w:val="16"/>
        </w:rPr>
        <w:t xml:space="preserve"> докладывалось Вам, НКХП и НКПСМ не выполнили и, как следу</w:t>
      </w:r>
      <w:r w:rsidRPr="00070ADE">
        <w:rPr>
          <w:rFonts w:ascii="Times New Roman" w:cs="Times New Roman"/>
          <w:color w:val="000000" w:themeColor="text1"/>
          <w:spacing w:val="0"/>
          <w:sz w:val="16"/>
          <w:szCs w:val="16"/>
        </w:rPr>
        <w:softHyphen/>
        <w:t>ет из письма тов. Первухина на Ваше имя от 31.3.44 г., Наркомхимпром прекращены во</w:t>
      </w:r>
      <w:r w:rsidRPr="00070ADE">
        <w:rPr>
          <w:rFonts w:ascii="Times New Roman" w:cs="Times New Roman"/>
          <w:color w:val="000000" w:themeColor="text1"/>
          <w:spacing w:val="0"/>
          <w:sz w:val="16"/>
          <w:szCs w:val="16"/>
        </w:rPr>
        <w:softHyphen/>
        <w:t>преки этим постановлениям ГОКО».</w:t>
      </w:r>
      <w:r w:rsidRPr="00070ADE">
        <w:rPr>
          <w:rStyle w:val="75"/>
          <w:rFonts w:ascii="Times New Roman" w:hAnsi="Times New Roman" w:cs="Times New Roman"/>
          <w:i w:val="0"/>
          <w:color w:val="000000" w:themeColor="text1"/>
          <w:sz w:val="16"/>
          <w:szCs w:val="16"/>
        </w:rPr>
        <w:t xml:space="preserve"> В этой связи генерал Репин просил Маленкова</w:t>
      </w:r>
      <w:r w:rsidRPr="00070ADE">
        <w:rPr>
          <w:rFonts w:ascii="Times New Roman" w:cs="Times New Roman"/>
          <w:color w:val="000000" w:themeColor="text1"/>
          <w:spacing w:val="0"/>
          <w:sz w:val="16"/>
          <w:szCs w:val="16"/>
        </w:rPr>
        <w:t xml:space="preserve"> «еще раз потребовать от НКХП и НКПСМ выпол</w:t>
      </w:r>
      <w:r w:rsidRPr="00070ADE">
        <w:rPr>
          <w:rFonts w:ascii="Times New Roman" w:cs="Times New Roman"/>
          <w:color w:val="000000" w:themeColor="text1"/>
          <w:spacing w:val="0"/>
          <w:sz w:val="16"/>
          <w:szCs w:val="16"/>
        </w:rPr>
        <w:softHyphen/>
        <w:t>нения Постановлений ГОКО от 10.1.1943 г., 21.4.1943 г. и 12.2.1944 г.» (17481).</w:t>
      </w:r>
    </w:p>
    <w:p w14:paraId="3996C7BB" w14:textId="77777777" w:rsidR="002E135C" w:rsidRPr="00070ADE" w:rsidRDefault="002E135C" w:rsidP="00B56F90">
      <w:pPr>
        <w:spacing w:after="0" w:line="240" w:lineRule="auto"/>
        <w:jc w:val="both"/>
        <w:rPr>
          <w:rFonts w:ascii="Times New Roman" w:hAnsi="Times New Roman"/>
          <w:color w:val="000000" w:themeColor="text1"/>
          <w:sz w:val="16"/>
          <w:szCs w:val="16"/>
        </w:rPr>
      </w:pPr>
    </w:p>
    <w:p w14:paraId="687925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Зам. Нач. 7ГУ Алексеев подготовил сводку г-7 № 8509 о ходе испытаний высотных самолетов на 23 июня 1944 по Як-9 М-105ПД, Ла-5 АШ-82ФН и 2ТК-3, МиГ АМ-39А и 2ТК-2Б (1825,88).</w:t>
      </w:r>
    </w:p>
    <w:p w14:paraId="0A98E9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ИСТРЕБИТЕЛЬ МИГ С АМ-39Б И 2ТК-2Б.</w:t>
      </w:r>
    </w:p>
    <w:p w14:paraId="27311E5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Полетов не производилось из-за отсутствия погоды для высотных полетов. Самолет в летном состоянии.</w:t>
      </w:r>
    </w:p>
    <w:p w14:paraId="2264E2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ВЫСОТНЫЙ ИСТРЕБИТЕЛЬ ЯК-9 С ВК-105ПФ И ДВУХСТУПЕНЧАТЫМ НАГНЕТАТЕЛЕМ</w:t>
      </w:r>
    </w:p>
    <w:p w14:paraId="13587A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будет установлен в аэродинамической трубе 29 июня р. г.. после окончания продувки самолета Як-9 с ВК-107А,</w:t>
      </w:r>
    </w:p>
    <w:p w14:paraId="445CE2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ВЫСОТНЫЙ ИСТРЕБИТЕЛЬ ЛА-5 С АШ-82ФН и 2ТК-3.</w:t>
      </w:r>
    </w:p>
    <w:p w14:paraId="3A5C4A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Производилась работа по установке дополнительного маслобака.</w:t>
      </w:r>
    </w:p>
    <w:p w14:paraId="019B7A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с улучшенным дефлектированием, отгруженный заводом № 19 14 июня с. г., в ОКБ завода № 21 до сих пор не прибыл (1825).</w:t>
      </w:r>
    </w:p>
    <w:p w14:paraId="44AE33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0278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Зам. Нач. 7ГУ Алексеев подготовил сводку г-7 № 8509 о ходе испытаний высотных самолетов на 24 и 25 июня 1944 по Як-9 М-105ПД, Ла-5 АШ-82ФН и 2ТК-3, МиГ АМ-39А и 2ТК-2Б (1825,88).</w:t>
      </w:r>
    </w:p>
    <w:p w14:paraId="7BDB72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ИСТРЕБИТЕЛЬ МИГ С АМ-39Б И 2ТК-2Б.</w:t>
      </w:r>
    </w:p>
    <w:p w14:paraId="2CB3B0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25 июня произведен полет на определение границы высотности на второй скорости нагне</w:t>
      </w:r>
      <w:r w:rsidRPr="00070ADE">
        <w:rPr>
          <w:rFonts w:ascii="Times New Roman" w:hAnsi="Times New Roman"/>
          <w:color w:val="000000" w:themeColor="text1"/>
          <w:sz w:val="16"/>
          <w:szCs w:val="16"/>
        </w:rPr>
        <w:softHyphen/>
        <w:t>тателя, с полностью включенным ТК.</w:t>
      </w:r>
    </w:p>
    <w:p w14:paraId="047492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Прододнителънссть полета - 35 мин, высо</w:t>
      </w:r>
      <w:r w:rsidRPr="00070ADE">
        <w:rPr>
          <w:rFonts w:ascii="Times New Roman" w:hAnsi="Times New Roman"/>
          <w:color w:val="000000" w:themeColor="text1"/>
          <w:sz w:val="16"/>
          <w:szCs w:val="16"/>
        </w:rPr>
        <w:softHyphen/>
        <w:t>та - 8000 мт.</w:t>
      </w:r>
    </w:p>
    <w:p w14:paraId="071F34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время набора высоты, начиная с 5000 мт, мотор начал делать перебои и на высоте 8000 мт работа мотора настолько ухудшилась, что полет был прекращен.</w:t>
      </w:r>
    </w:p>
    <w:p w14:paraId="5335A5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осмотре самолета, после посадки, об</w:t>
      </w:r>
      <w:r w:rsidRPr="00070ADE">
        <w:rPr>
          <w:rFonts w:ascii="Times New Roman" w:hAnsi="Times New Roman"/>
          <w:color w:val="000000" w:themeColor="text1"/>
          <w:sz w:val="16"/>
          <w:szCs w:val="16"/>
        </w:rPr>
        <w:softHyphen/>
        <w:t>наружено, что медно-азбестовая прокладка вых</w:t>
      </w:r>
      <w:r w:rsidRPr="00070ADE">
        <w:rPr>
          <w:rFonts w:ascii="Times New Roman" w:hAnsi="Times New Roman"/>
          <w:color w:val="000000" w:themeColor="text1"/>
          <w:sz w:val="16"/>
          <w:szCs w:val="16"/>
        </w:rPr>
        <w:softHyphen/>
        <w:t>лопного коллектора была выбита и выходящее пламя, через образовавшуюся цель, сожгло кол</w:t>
      </w:r>
      <w:r w:rsidRPr="00070ADE">
        <w:rPr>
          <w:rFonts w:ascii="Times New Roman" w:hAnsi="Times New Roman"/>
          <w:color w:val="000000" w:themeColor="text1"/>
          <w:sz w:val="16"/>
          <w:szCs w:val="16"/>
        </w:rPr>
        <w:softHyphen/>
        <w:t>лектор проводов зажигания мотора.</w:t>
      </w:r>
    </w:p>
    <w:p w14:paraId="4C0B83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Дефект устранен. Поставлена новая прокладка и новый коллектор с проводами. Самолет нахо</w:t>
      </w:r>
      <w:r w:rsidRPr="00070ADE">
        <w:rPr>
          <w:rFonts w:ascii="Times New Roman" w:hAnsi="Times New Roman"/>
          <w:color w:val="000000" w:themeColor="text1"/>
          <w:sz w:val="16"/>
          <w:szCs w:val="16"/>
        </w:rPr>
        <w:softHyphen/>
        <w:t>дится в летном состоянии.</w:t>
      </w:r>
    </w:p>
    <w:p w14:paraId="70BCDF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ВЫСОТНЫЙ ИСТРЕБИТЕЛЬ ЛА-5 С АШ-82ФН и 2ТК-3.</w:t>
      </w:r>
    </w:p>
    <w:p w14:paraId="18DD16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по установке дополнительнсго масло бака закончены.</w:t>
      </w:r>
    </w:p>
    <w:p w14:paraId="74BC0B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готов к полету.</w:t>
      </w:r>
    </w:p>
    <w:p w14:paraId="6D1A6B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Полета не .производились из-за отсутствия погоды для высотных испытаний (1825).</w:t>
      </w:r>
    </w:p>
    <w:p w14:paraId="29880B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3053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В.П.Кузнецов подготовил для А.И.Ш. сводку по выполнению постановления по повышению высотности самолетов по состоянию на 26 июня 1944 и были упомянуты МиГ-3 с АМ-39Б-01, Ла-5 М-82 с ТК-3 и Як-9 с ВК-105ПД (1824).</w:t>
      </w:r>
    </w:p>
    <w:p w14:paraId="4FEFEF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D119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вышел совместный приказ НКАП/ВВС N 414/011 о режиме работы ВК-107А на Як-9У (986,9).</w:t>
      </w:r>
    </w:p>
    <w:p w14:paraId="6ACDCE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Режимы работы мотора М-107А на самолете Як-9У установлены совместным приказом НКАП/ВВС N 414/011 о режиме работы ВК-107А на Як-9У от 26 июня 1944 (986,9):</w:t>
      </w:r>
    </w:p>
    <w:p w14:paraId="748358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обороты - 3000</w:t>
      </w:r>
    </w:p>
    <w:p w14:paraId="6DD8B2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наддув - 1060 +/- 20 мм</w:t>
      </w:r>
    </w:p>
    <w:p w14:paraId="2D4E0B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мощность у земли - 1500 лс</w:t>
      </w:r>
    </w:p>
    <w:p w14:paraId="261263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1-й гр. высотности н=1200 - 1550 лс</w:t>
      </w:r>
    </w:p>
    <w:p w14:paraId="2A748A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2-й гр. высотности н=3800 - 1450 лс</w:t>
      </w:r>
    </w:p>
    <w:p w14:paraId="53E964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полете допускается повышение наддува на 1 ск. До 1100 мм, на 2-й ск. До 1120 мм</w:t>
      </w:r>
    </w:p>
    <w:p w14:paraId="3BCA81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макс. допустимые обороты продолжительностью не более 30 сек. Не выше 3300</w:t>
      </w:r>
    </w:p>
    <w:p w14:paraId="62CA5F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макс. допустимые температуры:</w:t>
      </w:r>
    </w:p>
    <w:p w14:paraId="08ABAA6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воды на выходе из мотора - 100</w:t>
      </w:r>
    </w:p>
    <w:p w14:paraId="3CB48F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6% ресурса мотора разрешается иметь макс. темп. воды 115)</w:t>
      </w:r>
    </w:p>
    <w:p w14:paraId="760249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масла на выходе из мотора</w:t>
      </w:r>
    </w:p>
    <w:p w14:paraId="50CB45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наборе высоты - 105</w:t>
      </w:r>
    </w:p>
    <w:p w14:paraId="213C563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гориз. полете - 110</w:t>
      </w:r>
    </w:p>
    <w:p w14:paraId="22C42C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 давление масла</w:t>
      </w:r>
    </w:p>
    <w:p w14:paraId="5ADC12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земле не ниже 8 атм.</w:t>
      </w:r>
    </w:p>
    <w:p w14:paraId="47D193A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 7000 - 6</w:t>
      </w:r>
    </w:p>
    <w:p w14:paraId="4E1A77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высоте выше 7000 - 5,5 (986,9)</w:t>
      </w:r>
    </w:p>
    <w:p w14:paraId="687144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620D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г., до окончания государственных испытаний головного серийного самолета завода №166, вышел совместный приказ наркома авиапромышленности и командующего ВВС №414/0011, где определялись основные мероприятия по устранению дефектов новых истребителей. Условно можно разделить приказ на пять разделов. Тот, который адресовался моторостроителям - В.П.Баландину и В.Я.Климову - требовал в первую очередь устанавливать на моторах уплотнения на носках валов редукторов и дополнительные маслопомпы. От А.С.Яковлева и директоров серийных заводов требовалось внести шесть существенных изменений в конструкцию, направленных на улучшение работы масло- водосис-тем и обдува потоком воздуха подкапотного пространства. Срочно включались в работу представители советской науки и, прежде зсего, из ЛИИ. Опять же, А.С.Яковлеву поручалось к 10 июля 1944 г. подготовить к испытаниям эталон для серии Як-9У И, наконец, в экспуатации для всех самолетов вводились некоторые огоаничения. из которых главным было запрещение использовать боевой режим работы мотора (3200 об/м) (4842).</w:t>
      </w:r>
    </w:p>
    <w:p w14:paraId="38ADF3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6BC7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ком. 9ТК Б.С.Боханов в телеграмме ком. 16ВА писал: "За отличное содействие 9ТК прошу объявить благодарность ком. 199 шад п Н.С.Виноградову и всему летному составу д (340,172).</w:t>
      </w:r>
    </w:p>
    <w:p w14:paraId="35CFF0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3B07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состоялось заседание коллегии НКАП по вопросам:</w:t>
      </w:r>
    </w:p>
    <w:p w14:paraId="44982B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 браке на моторных заводах и качестве поставляемых материалов, поковок, агрегатов</w:t>
      </w:r>
    </w:p>
    <w:p w14:paraId="1CCB82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 работе завода 41</w:t>
      </w:r>
    </w:p>
    <w:p w14:paraId="466CD1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 мероприятиях по обеспечению раб. силой основных заводов НКАП (1742).</w:t>
      </w:r>
    </w:p>
    <w:p w14:paraId="57A6ED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E33F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года была подготовлена справка Обеспечение самолетами международных авиационных линий СССР</w:t>
      </w:r>
    </w:p>
    <w:p w14:paraId="5E0668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эксплуатации на действующих и проектируемых международных авиационных линиях СССР, за исключением линий Москва-Рейкьявик-Вашингтон, Москва-Рейкьявик-Оттава и Москва-Стокгольм-Лондон, могут быть рекомендованы двухмоторные самолеты отечественного производства: пассажирский самолет Ли-2 с моторами АШ-62ИР, опытный пассажирский самолет Ли-2 с моторами АШ-82ФН и специальный вариант пассажирского самолета Ли-2 с моторами АШ-82ФН.</w:t>
      </w:r>
    </w:p>
    <w:p w14:paraId="36D4D6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авиационной линии Москва-Стокгольм-Лондон, в целях увеличения безопасности полета необходим 4-х моторный самолет, типа Дуглас С-54 или Локхид "Констелейшн". Для линий Москва-Рекьявик-Вашингтон и Москва-Рейкьявик-Оттава, со стыком в Рейкьявик, выбор типа самолета зависит от соглашения сторон. Представители США предлагают 4-х моторный самолет Либерейтор (С-87) фирмы Консолидейтед (вариант бомбардировщика).</w:t>
      </w:r>
    </w:p>
    <w:p w14:paraId="1E3AE4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Характеристика самолетов Ли-2.</w:t>
      </w:r>
    </w:p>
    <w:p w14:paraId="5452B4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Ли-2 (ранее ПС84) с моторами АШ-62ИР мощностью 850 л.с. представляет собой цельнометаллический моноплан. Дальность полета 2280 км при 13 пассажирах и 1300 км при 21 пассажире.</w:t>
      </w:r>
    </w:p>
    <w:p w14:paraId="03DFAE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надежен, хорошо устойчив, может лететь с одним работающим мотором, имеет хорошую радиосвязь и радиополукомпас, оборудован автопилотом, осветительными средствами (фары, ракеты), имеет тепловой антиобледенитель на кромке крыльев и электротермический антиобледенитель - на хвостовом оперении.</w:t>
      </w:r>
    </w:p>
    <w:p w14:paraId="37400C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Пассажирская кабина самолета с мягкими креслами для 21 пассажира комфортабельна, хорошо освещена, имеет звукоизоляцию, вентиляцию и отопление.</w:t>
      </w:r>
    </w:p>
    <w:p w14:paraId="2F1B95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имеет переднее грузовое отделение на 794 кг груза и заднее - багажник - на 680 кг, буфет с запасом пищи в 45 кг, туалетное отделение.</w:t>
      </w:r>
    </w:p>
    <w:p w14:paraId="504371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Моторы АШ-62ИР выпускаются заводами NN 19 и 36 с ресурсом в 400 часов.</w:t>
      </w:r>
    </w:p>
    <w:p w14:paraId="467722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 Ли-2 с моторами АШ-82ФН мощностью 1850 л.с. - опытный, конструктивно отличается от предыдущего винто-моторной группой. Дальность полета самолета в нормальном варианте 1700 км и в перегруженном - 1900 км, при 21 пассажире. Дальность полета, при меньшем числе пассажиров, может быть увеличена за счет установки в крыльях добавочных баков для горючего.</w:t>
      </w:r>
    </w:p>
    <w:p w14:paraId="63850D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самолета у земли - 385 км/час (против 309 км/час у Ли-2 с моторами АШ-62ИР), на первой расчетной высоте (1650 м) - 420 км/час и на второй расчетной высоте (4650 м) - 440 км/час. Посадочная скорость - 120 км/час.</w:t>
      </w:r>
    </w:p>
    <w:p w14:paraId="025996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Опытный экземпляр самолета в пассажирском варианте будет предъявлен на гос. испытания к 1.8.1944 года.</w:t>
      </w:r>
    </w:p>
    <w:p w14:paraId="41FA44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Специальный вариант самолета Ли-2 с моторами АШ-82ФН, имеет пассажирскую кабину на 14 мест. Дальность полета - 3000 км при запасе горючего 3300 кг. остальные данные - без изменений.</w:t>
      </w:r>
    </w:p>
    <w:p w14:paraId="391A5E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Моторы АШ-82ФН выпускаются заводами НКАП для боевых самолетов с ресурсом в 100 часов. Ресурс моторов, предназначенных для пассажирских самолетов может быть установлен после необходимых испытаний.</w:t>
      </w:r>
    </w:p>
    <w:p w14:paraId="43B72E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Состояние производства самолетов Ли-2.</w:t>
      </w:r>
    </w:p>
    <w:p w14:paraId="657C6D5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Самолеты Ли-2 с моторами АШ-62ИР в военно-транспортном варианте производятся заводом N 84 в Ташкенте. Выпуск самолетов в пассажирском варианте был освоен заводом (во время нахождения его в Москве) в 1939 году и прекращен в августе 1941 года. Всего за этот период было выпущено 209 самолетов Ли-2 в пассажирском варианте, из них в 1939 г. - 6, в 1940 - 51 и в 1941 - 152 самолета. максимальный месячный выпуск самолетов в пассажирском варианте достигал 30 штук в месяц.</w:t>
      </w:r>
    </w:p>
    <w:p w14:paraId="717AFA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настоящее время производство Ли-2 с моторами АШ-62ИР в пассажирском варианте может быть возобновлено на заводе 84 в счет установленной ему программы выпуска Ли-2 в военно-транспортном варианте.</w:t>
      </w:r>
    </w:p>
    <w:p w14:paraId="15EF53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этого заводу необходимо произвести постройку цехов - фюзеляжного и малярного и получить дополнительное оборудование.</w:t>
      </w:r>
    </w:p>
    <w:p w14:paraId="195301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Необходимо также обязать соответствующие наркоматы возобновить производство материалов для оборудования самолета Ли-2 на пассажирском варианте.</w:t>
      </w:r>
    </w:p>
    <w:p w14:paraId="207CDA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Производство самолетов Ли-2 с моторами АШ-82ФН на заводе N 84 после того, как на нем будет возобновлено производство пассажирских самолетов Ли-2 с моторами АШ-62ИР - затруднений не вызовет.</w:t>
      </w:r>
    </w:p>
    <w:p w14:paraId="70D27E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5649D8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Для эксплуатации на международных авиационных линиях СССР, за исключением линий Москва-Рейкьявик-Вашингтон, Москва-Рейкьявик-Оттава, Москва-Стокгольм-Лондон, могут быть рекомендованы двухмоторные самолеты отечественного производства: Ли-2 с моторами АШ-62ИР и опытный Ли-2 с моторами АШ-82ФН.</w:t>
      </w:r>
    </w:p>
    <w:p w14:paraId="6A1672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Для эксплуатации на линиях Москва-Стокгольм-Лондон необходимо закупить в США 4-х моторные самолеты Дуглас С-54 или Локхид "Констелейшн" в количестве 10 штук.</w:t>
      </w:r>
    </w:p>
    <w:p w14:paraId="7A3727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Для эксплуатации на линиях Москва-Рейкьявик-Вашингтон и Москва-Рейкьвик-Оттава необходимо закупить в США 4-х моторные самолеты (по 12 штук для каждой линии), тип которых будет установлен соглашением сторон СССР-США и СССР-Канада.</w:t>
      </w:r>
    </w:p>
    <w:p w14:paraId="30FCFE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Производство пассажирских самолетов Ли-2 возобновить на заводе N 84 в Ташкенте в счет программы производства военно-транспортных самолетов.</w:t>
      </w:r>
    </w:p>
    <w:p w14:paraId="74BFBA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Летно-технические данные пассажирских</w:t>
      </w:r>
    </w:p>
    <w:p w14:paraId="7A7008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самолетов Ли-2.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061"/>
        <w:gridCol w:w="1061"/>
        <w:gridCol w:w="1847"/>
        <w:gridCol w:w="3685"/>
      </w:tblGrid>
      <w:tr w:rsidR="004D4663" w:rsidRPr="00070ADE" w14:paraId="1CFC1160" w14:textId="77777777">
        <w:tc>
          <w:tcPr>
            <w:tcW w:w="2802" w:type="dxa"/>
          </w:tcPr>
          <w:p w14:paraId="36FFFF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Характеристика</w:t>
            </w:r>
          </w:p>
        </w:tc>
        <w:tc>
          <w:tcPr>
            <w:tcW w:w="1061" w:type="dxa"/>
          </w:tcPr>
          <w:p w14:paraId="15EC9F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31A97F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Ли-2 с</w:t>
            </w:r>
          </w:p>
        </w:tc>
        <w:tc>
          <w:tcPr>
            <w:tcW w:w="1847" w:type="dxa"/>
          </w:tcPr>
          <w:p w14:paraId="4E7E18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Ли-2 с моторами</w:t>
            </w:r>
          </w:p>
        </w:tc>
        <w:tc>
          <w:tcPr>
            <w:tcW w:w="3685" w:type="dxa"/>
          </w:tcPr>
          <w:p w14:paraId="56913D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D6BF4BF" w14:textId="77777777">
        <w:tc>
          <w:tcPr>
            <w:tcW w:w="2802" w:type="dxa"/>
          </w:tcPr>
          <w:p w14:paraId="0D3363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076B8E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444CD8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моторами</w:t>
            </w:r>
          </w:p>
        </w:tc>
        <w:tc>
          <w:tcPr>
            <w:tcW w:w="1847" w:type="dxa"/>
          </w:tcPr>
          <w:p w14:paraId="531262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АШ-82ФН</w:t>
            </w:r>
          </w:p>
        </w:tc>
        <w:tc>
          <w:tcPr>
            <w:tcW w:w="3685" w:type="dxa"/>
          </w:tcPr>
          <w:p w14:paraId="034B5E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DDFD837" w14:textId="77777777">
        <w:tc>
          <w:tcPr>
            <w:tcW w:w="2802" w:type="dxa"/>
          </w:tcPr>
          <w:p w14:paraId="31993D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5ED44B5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115B1C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АШ-62ИР</w:t>
            </w:r>
          </w:p>
        </w:tc>
        <w:tc>
          <w:tcPr>
            <w:tcW w:w="1847" w:type="dxa"/>
          </w:tcPr>
          <w:p w14:paraId="6F67EB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опытный</w:t>
            </w:r>
          </w:p>
        </w:tc>
        <w:tc>
          <w:tcPr>
            <w:tcW w:w="3685" w:type="dxa"/>
          </w:tcPr>
          <w:p w14:paraId="00B0E8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 вар.</w:t>
            </w:r>
          </w:p>
        </w:tc>
      </w:tr>
      <w:tr w:rsidR="004D4663" w:rsidRPr="00070ADE" w14:paraId="5DEFADD1" w14:textId="77777777">
        <w:tc>
          <w:tcPr>
            <w:tcW w:w="2802" w:type="dxa"/>
          </w:tcPr>
          <w:p w14:paraId="2F7684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 в кг</w:t>
            </w:r>
          </w:p>
        </w:tc>
        <w:tc>
          <w:tcPr>
            <w:tcW w:w="1061" w:type="dxa"/>
          </w:tcPr>
          <w:p w14:paraId="70C07C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w:t>
            </w:r>
          </w:p>
        </w:tc>
        <w:tc>
          <w:tcPr>
            <w:tcW w:w="1061" w:type="dxa"/>
          </w:tcPr>
          <w:p w14:paraId="236B75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10500</w:t>
            </w:r>
          </w:p>
        </w:tc>
        <w:tc>
          <w:tcPr>
            <w:tcW w:w="1847" w:type="dxa"/>
          </w:tcPr>
          <w:p w14:paraId="6C8CA9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13500</w:t>
            </w:r>
          </w:p>
        </w:tc>
        <w:tc>
          <w:tcPr>
            <w:tcW w:w="3685" w:type="dxa"/>
          </w:tcPr>
          <w:p w14:paraId="6B6006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13500</w:t>
            </w:r>
          </w:p>
        </w:tc>
      </w:tr>
      <w:tr w:rsidR="004D4663" w:rsidRPr="00070ADE" w14:paraId="40C3CD7C" w14:textId="77777777">
        <w:tc>
          <w:tcPr>
            <w:tcW w:w="2802" w:type="dxa"/>
          </w:tcPr>
          <w:p w14:paraId="4EEC22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53F1F1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перегр.</w:t>
            </w:r>
          </w:p>
        </w:tc>
        <w:tc>
          <w:tcPr>
            <w:tcW w:w="1061" w:type="dxa"/>
          </w:tcPr>
          <w:p w14:paraId="03D0CB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11000</w:t>
            </w:r>
          </w:p>
        </w:tc>
        <w:tc>
          <w:tcPr>
            <w:tcW w:w="1847" w:type="dxa"/>
          </w:tcPr>
          <w:p w14:paraId="7C1A83B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13700</w:t>
            </w:r>
          </w:p>
        </w:tc>
        <w:tc>
          <w:tcPr>
            <w:tcW w:w="3685" w:type="dxa"/>
          </w:tcPr>
          <w:p w14:paraId="203C34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13700</w:t>
            </w:r>
          </w:p>
        </w:tc>
      </w:tr>
      <w:tr w:rsidR="004D4663" w:rsidRPr="00070ADE" w14:paraId="35BF5979" w14:textId="77777777">
        <w:tc>
          <w:tcPr>
            <w:tcW w:w="2802" w:type="dxa"/>
          </w:tcPr>
          <w:p w14:paraId="32AEDC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в кг</w:t>
            </w:r>
          </w:p>
        </w:tc>
        <w:tc>
          <w:tcPr>
            <w:tcW w:w="1061" w:type="dxa"/>
          </w:tcPr>
          <w:p w14:paraId="794AF4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4BA2EB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7500</w:t>
            </w:r>
          </w:p>
        </w:tc>
        <w:tc>
          <w:tcPr>
            <w:tcW w:w="1847" w:type="dxa"/>
          </w:tcPr>
          <w:p w14:paraId="443E2C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8865</w:t>
            </w:r>
          </w:p>
        </w:tc>
        <w:tc>
          <w:tcPr>
            <w:tcW w:w="3685" w:type="dxa"/>
          </w:tcPr>
          <w:p w14:paraId="202B3C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8780</w:t>
            </w:r>
          </w:p>
        </w:tc>
      </w:tr>
      <w:tr w:rsidR="004D4663" w:rsidRPr="00070ADE" w14:paraId="6973DA44" w14:textId="77777777">
        <w:tc>
          <w:tcPr>
            <w:tcW w:w="2802" w:type="dxa"/>
          </w:tcPr>
          <w:p w14:paraId="08D845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Полная нагрузка в кг</w:t>
            </w:r>
          </w:p>
        </w:tc>
        <w:tc>
          <w:tcPr>
            <w:tcW w:w="1061" w:type="dxa"/>
          </w:tcPr>
          <w:p w14:paraId="6BF9E6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w:t>
            </w:r>
          </w:p>
        </w:tc>
        <w:tc>
          <w:tcPr>
            <w:tcW w:w="1061" w:type="dxa"/>
          </w:tcPr>
          <w:p w14:paraId="6D17CB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3500</w:t>
            </w:r>
          </w:p>
        </w:tc>
        <w:tc>
          <w:tcPr>
            <w:tcW w:w="1847" w:type="dxa"/>
          </w:tcPr>
          <w:p w14:paraId="44D821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4635</w:t>
            </w:r>
          </w:p>
        </w:tc>
        <w:tc>
          <w:tcPr>
            <w:tcW w:w="3685" w:type="dxa"/>
          </w:tcPr>
          <w:p w14:paraId="329A6DD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4720</w:t>
            </w:r>
          </w:p>
        </w:tc>
      </w:tr>
      <w:tr w:rsidR="004D4663" w:rsidRPr="00070ADE" w14:paraId="6E17EBB6" w14:textId="77777777">
        <w:tc>
          <w:tcPr>
            <w:tcW w:w="2802" w:type="dxa"/>
          </w:tcPr>
          <w:p w14:paraId="1C895F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5D2B75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перегр.</w:t>
            </w:r>
          </w:p>
        </w:tc>
        <w:tc>
          <w:tcPr>
            <w:tcW w:w="1061" w:type="dxa"/>
          </w:tcPr>
          <w:p w14:paraId="67431D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4000</w:t>
            </w:r>
          </w:p>
        </w:tc>
        <w:tc>
          <w:tcPr>
            <w:tcW w:w="1847" w:type="dxa"/>
          </w:tcPr>
          <w:p w14:paraId="14D441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5035</w:t>
            </w:r>
          </w:p>
        </w:tc>
        <w:tc>
          <w:tcPr>
            <w:tcW w:w="3685" w:type="dxa"/>
          </w:tcPr>
          <w:p w14:paraId="2DE610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5120</w:t>
            </w:r>
          </w:p>
        </w:tc>
      </w:tr>
      <w:tr w:rsidR="004D4663" w:rsidRPr="00070ADE" w14:paraId="3B15D6ED" w14:textId="77777777">
        <w:tc>
          <w:tcPr>
            <w:tcW w:w="2802" w:type="dxa"/>
          </w:tcPr>
          <w:p w14:paraId="26BAAA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Число пассажиров</w:t>
            </w:r>
          </w:p>
        </w:tc>
        <w:tc>
          <w:tcPr>
            <w:tcW w:w="1061" w:type="dxa"/>
          </w:tcPr>
          <w:p w14:paraId="622883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w:t>
            </w:r>
          </w:p>
        </w:tc>
        <w:tc>
          <w:tcPr>
            <w:tcW w:w="1061" w:type="dxa"/>
          </w:tcPr>
          <w:p w14:paraId="4752E4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w:t>
            </w:r>
          </w:p>
        </w:tc>
        <w:tc>
          <w:tcPr>
            <w:tcW w:w="1847" w:type="dxa"/>
          </w:tcPr>
          <w:p w14:paraId="521C3D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w:t>
            </w:r>
          </w:p>
        </w:tc>
        <w:tc>
          <w:tcPr>
            <w:tcW w:w="3685" w:type="dxa"/>
          </w:tcPr>
          <w:p w14:paraId="207EC9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w:t>
            </w:r>
          </w:p>
        </w:tc>
      </w:tr>
      <w:tr w:rsidR="004D4663" w:rsidRPr="00070ADE" w14:paraId="397980A7" w14:textId="77777777">
        <w:tc>
          <w:tcPr>
            <w:tcW w:w="2802" w:type="dxa"/>
          </w:tcPr>
          <w:p w14:paraId="4FE31A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5682BA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перегр.</w:t>
            </w:r>
          </w:p>
        </w:tc>
        <w:tc>
          <w:tcPr>
            <w:tcW w:w="1061" w:type="dxa"/>
          </w:tcPr>
          <w:p w14:paraId="7028A4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tc>
        <w:tc>
          <w:tcPr>
            <w:tcW w:w="1847" w:type="dxa"/>
          </w:tcPr>
          <w:p w14:paraId="622EF3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w:t>
            </w:r>
          </w:p>
        </w:tc>
        <w:tc>
          <w:tcPr>
            <w:tcW w:w="3685" w:type="dxa"/>
          </w:tcPr>
          <w:p w14:paraId="3E4D60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w:t>
            </w:r>
          </w:p>
        </w:tc>
      </w:tr>
      <w:tr w:rsidR="004D4663" w:rsidRPr="00070ADE" w14:paraId="5023FD54" w14:textId="77777777">
        <w:tc>
          <w:tcPr>
            <w:tcW w:w="2802" w:type="dxa"/>
          </w:tcPr>
          <w:p w14:paraId="054969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Запас горючего в кг</w:t>
            </w:r>
          </w:p>
        </w:tc>
        <w:tc>
          <w:tcPr>
            <w:tcW w:w="1061" w:type="dxa"/>
          </w:tcPr>
          <w:p w14:paraId="6C725C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w:t>
            </w:r>
          </w:p>
        </w:tc>
        <w:tc>
          <w:tcPr>
            <w:tcW w:w="1061" w:type="dxa"/>
          </w:tcPr>
          <w:p w14:paraId="7A576B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1285</w:t>
            </w:r>
          </w:p>
        </w:tc>
        <w:tc>
          <w:tcPr>
            <w:tcW w:w="1847" w:type="dxa"/>
          </w:tcPr>
          <w:p w14:paraId="06B727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2100</w:t>
            </w:r>
          </w:p>
        </w:tc>
        <w:tc>
          <w:tcPr>
            <w:tcW w:w="3685" w:type="dxa"/>
          </w:tcPr>
          <w:p w14:paraId="3B7D47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3300</w:t>
            </w:r>
          </w:p>
        </w:tc>
      </w:tr>
      <w:tr w:rsidR="004D4663" w:rsidRPr="00070ADE" w14:paraId="0C5BCEBB" w14:textId="77777777">
        <w:tc>
          <w:tcPr>
            <w:tcW w:w="2802" w:type="dxa"/>
          </w:tcPr>
          <w:p w14:paraId="0FBA62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7C6179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перегр.</w:t>
            </w:r>
          </w:p>
        </w:tc>
        <w:tc>
          <w:tcPr>
            <w:tcW w:w="1061" w:type="dxa"/>
          </w:tcPr>
          <w:p w14:paraId="42905A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2300</w:t>
            </w:r>
          </w:p>
        </w:tc>
        <w:tc>
          <w:tcPr>
            <w:tcW w:w="1847" w:type="dxa"/>
          </w:tcPr>
          <w:p w14:paraId="36FF4B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2300</w:t>
            </w:r>
          </w:p>
        </w:tc>
        <w:tc>
          <w:tcPr>
            <w:tcW w:w="3685" w:type="dxa"/>
          </w:tcPr>
          <w:p w14:paraId="7AF461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3300</w:t>
            </w:r>
          </w:p>
        </w:tc>
      </w:tr>
      <w:tr w:rsidR="004D4663" w:rsidRPr="00070ADE" w14:paraId="7A1BF7A7" w14:textId="77777777">
        <w:tc>
          <w:tcPr>
            <w:tcW w:w="2802" w:type="dxa"/>
          </w:tcPr>
          <w:p w14:paraId="391695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 max у земли км/час</w:t>
            </w:r>
          </w:p>
        </w:tc>
        <w:tc>
          <w:tcPr>
            <w:tcW w:w="1061" w:type="dxa"/>
          </w:tcPr>
          <w:p w14:paraId="3268B6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7636EE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309</w:t>
            </w:r>
          </w:p>
        </w:tc>
        <w:tc>
          <w:tcPr>
            <w:tcW w:w="1847" w:type="dxa"/>
          </w:tcPr>
          <w:p w14:paraId="347380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385</w:t>
            </w:r>
          </w:p>
        </w:tc>
        <w:tc>
          <w:tcPr>
            <w:tcW w:w="3685" w:type="dxa"/>
          </w:tcPr>
          <w:p w14:paraId="4E1441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380</w:t>
            </w:r>
          </w:p>
        </w:tc>
      </w:tr>
      <w:tr w:rsidR="004D4663" w:rsidRPr="00070ADE" w14:paraId="78B040A3" w14:textId="77777777">
        <w:tc>
          <w:tcPr>
            <w:tcW w:w="2802" w:type="dxa"/>
          </w:tcPr>
          <w:p w14:paraId="1DF8B9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 max на высоте 1650</w:t>
            </w:r>
          </w:p>
        </w:tc>
        <w:tc>
          <w:tcPr>
            <w:tcW w:w="1061" w:type="dxa"/>
          </w:tcPr>
          <w:p w14:paraId="69EAA8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6A4F20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47" w:type="dxa"/>
          </w:tcPr>
          <w:p w14:paraId="7896EF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420</w:t>
            </w:r>
          </w:p>
        </w:tc>
        <w:tc>
          <w:tcPr>
            <w:tcW w:w="3685" w:type="dxa"/>
          </w:tcPr>
          <w:p w14:paraId="5177B6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420</w:t>
            </w:r>
          </w:p>
        </w:tc>
      </w:tr>
      <w:tr w:rsidR="004D4663" w:rsidRPr="00070ADE" w14:paraId="35B64777" w14:textId="77777777">
        <w:tc>
          <w:tcPr>
            <w:tcW w:w="2802" w:type="dxa"/>
          </w:tcPr>
          <w:p w14:paraId="1CAC98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 max на высоте 4650</w:t>
            </w:r>
          </w:p>
        </w:tc>
        <w:tc>
          <w:tcPr>
            <w:tcW w:w="1061" w:type="dxa"/>
          </w:tcPr>
          <w:p w14:paraId="245278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0AE791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47" w:type="dxa"/>
          </w:tcPr>
          <w:p w14:paraId="70D0C0A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440</w:t>
            </w:r>
          </w:p>
        </w:tc>
        <w:tc>
          <w:tcPr>
            <w:tcW w:w="3685" w:type="dxa"/>
          </w:tcPr>
          <w:p w14:paraId="137CCC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440</w:t>
            </w:r>
          </w:p>
        </w:tc>
      </w:tr>
      <w:tr w:rsidR="004D4663" w:rsidRPr="00070ADE" w14:paraId="4C9A0F68" w14:textId="77777777">
        <w:tc>
          <w:tcPr>
            <w:tcW w:w="2802" w:type="dxa"/>
          </w:tcPr>
          <w:p w14:paraId="2CE081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Посадочная скорость км/час</w:t>
            </w:r>
          </w:p>
        </w:tc>
        <w:tc>
          <w:tcPr>
            <w:tcW w:w="1061" w:type="dxa"/>
          </w:tcPr>
          <w:p w14:paraId="3BD4696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5EDCA22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109</w:t>
            </w:r>
          </w:p>
        </w:tc>
        <w:tc>
          <w:tcPr>
            <w:tcW w:w="1847" w:type="dxa"/>
          </w:tcPr>
          <w:p w14:paraId="5146B2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tc>
        <w:tc>
          <w:tcPr>
            <w:tcW w:w="3685" w:type="dxa"/>
          </w:tcPr>
          <w:p w14:paraId="20287E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w:t>
            </w:r>
          </w:p>
        </w:tc>
      </w:tr>
      <w:tr w:rsidR="004D4663" w:rsidRPr="00070ADE" w14:paraId="138DE05D" w14:textId="77777777">
        <w:tc>
          <w:tcPr>
            <w:tcW w:w="2802" w:type="dxa"/>
          </w:tcPr>
          <w:p w14:paraId="4D4DE3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в м</w:t>
            </w:r>
          </w:p>
        </w:tc>
        <w:tc>
          <w:tcPr>
            <w:tcW w:w="1061" w:type="dxa"/>
          </w:tcPr>
          <w:p w14:paraId="40159E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186597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5750</w:t>
            </w:r>
          </w:p>
        </w:tc>
        <w:tc>
          <w:tcPr>
            <w:tcW w:w="1847" w:type="dxa"/>
          </w:tcPr>
          <w:p w14:paraId="0C7AB28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8900</w:t>
            </w:r>
          </w:p>
        </w:tc>
        <w:tc>
          <w:tcPr>
            <w:tcW w:w="3685" w:type="dxa"/>
          </w:tcPr>
          <w:p w14:paraId="5A1FDD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8900</w:t>
            </w:r>
          </w:p>
        </w:tc>
      </w:tr>
      <w:tr w:rsidR="004D4663" w:rsidRPr="00070ADE" w14:paraId="45BC8D30" w14:textId="77777777">
        <w:tc>
          <w:tcPr>
            <w:tcW w:w="2802" w:type="dxa"/>
          </w:tcPr>
          <w:p w14:paraId="44E51B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Дальность км</w:t>
            </w:r>
          </w:p>
        </w:tc>
        <w:tc>
          <w:tcPr>
            <w:tcW w:w="1061" w:type="dxa"/>
          </w:tcPr>
          <w:p w14:paraId="244FE9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w:t>
            </w:r>
          </w:p>
        </w:tc>
        <w:tc>
          <w:tcPr>
            <w:tcW w:w="1061" w:type="dxa"/>
          </w:tcPr>
          <w:p w14:paraId="28C786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1300</w:t>
            </w:r>
          </w:p>
        </w:tc>
        <w:tc>
          <w:tcPr>
            <w:tcW w:w="1847" w:type="dxa"/>
          </w:tcPr>
          <w:p w14:paraId="098394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1700</w:t>
            </w:r>
          </w:p>
        </w:tc>
        <w:tc>
          <w:tcPr>
            <w:tcW w:w="3685" w:type="dxa"/>
          </w:tcPr>
          <w:p w14:paraId="17E84C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3000</w:t>
            </w:r>
          </w:p>
        </w:tc>
      </w:tr>
      <w:tr w:rsidR="004D4663" w:rsidRPr="00070ADE" w14:paraId="55987985" w14:textId="77777777">
        <w:tc>
          <w:tcPr>
            <w:tcW w:w="2802" w:type="dxa"/>
          </w:tcPr>
          <w:p w14:paraId="6D813B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11C399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перегр.</w:t>
            </w:r>
          </w:p>
        </w:tc>
        <w:tc>
          <w:tcPr>
            <w:tcW w:w="1061" w:type="dxa"/>
          </w:tcPr>
          <w:p w14:paraId="17DFB3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2280</w:t>
            </w:r>
          </w:p>
        </w:tc>
        <w:tc>
          <w:tcPr>
            <w:tcW w:w="1847" w:type="dxa"/>
          </w:tcPr>
          <w:p w14:paraId="7BE85F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1900</w:t>
            </w:r>
          </w:p>
        </w:tc>
        <w:tc>
          <w:tcPr>
            <w:tcW w:w="3685" w:type="dxa"/>
          </w:tcPr>
          <w:p w14:paraId="1CB48D2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3000</w:t>
            </w:r>
          </w:p>
        </w:tc>
      </w:tr>
      <w:tr w:rsidR="005106D0" w:rsidRPr="00070ADE" w14:paraId="1AD3212B" w14:textId="77777777">
        <w:tc>
          <w:tcPr>
            <w:tcW w:w="2802" w:type="dxa"/>
          </w:tcPr>
          <w:p w14:paraId="557AC7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Разбег в м</w:t>
            </w:r>
          </w:p>
        </w:tc>
        <w:tc>
          <w:tcPr>
            <w:tcW w:w="1061" w:type="dxa"/>
          </w:tcPr>
          <w:p w14:paraId="624147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7D6044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847" w:type="dxa"/>
          </w:tcPr>
          <w:p w14:paraId="712919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tc>
        <w:tc>
          <w:tcPr>
            <w:tcW w:w="3685" w:type="dxa"/>
          </w:tcPr>
          <w:p w14:paraId="50B715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 (1822,137)</w:t>
            </w:r>
          </w:p>
        </w:tc>
      </w:tr>
    </w:tbl>
    <w:p w14:paraId="30AC20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574E3F" w14:textId="77777777" w:rsidR="00D70979" w:rsidRPr="00070ADE" w:rsidRDefault="00D70979"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26 июня 1944 г. 246-й иап, вооруженный противотанковыми Харрикейнами, попал на фронт, немного не успев к началу опе</w:t>
      </w:r>
      <w:r w:rsidRPr="00070ADE">
        <w:rPr>
          <w:rFonts w:ascii="Times New Roman" w:hAnsi="Times New Roman" w:cs="Times New Roman"/>
          <w:color w:val="000000" w:themeColor="text1"/>
          <w:sz w:val="16"/>
          <w:szCs w:val="16"/>
        </w:rPr>
        <w:softHyphen/>
        <w:t>рации «Багратион». В этот день полк в составе 26 самолетов «Харрикейн» 1ГО совершил посадку на аэродром около ме</w:t>
      </w:r>
      <w:r w:rsidRPr="00070ADE">
        <w:rPr>
          <w:rFonts w:ascii="Times New Roman" w:hAnsi="Times New Roman" w:cs="Times New Roman"/>
          <w:color w:val="000000" w:themeColor="text1"/>
          <w:sz w:val="16"/>
          <w:szCs w:val="16"/>
        </w:rPr>
        <w:softHyphen/>
        <w:t>стечка Брянчицы. Перелет был выполнен с 10 промежуточными посадками. Общий налет полка составил 402 ч 01 мин. Потерь ориентировки за все время перелета в до</w:t>
      </w:r>
      <w:r w:rsidRPr="00070ADE">
        <w:rPr>
          <w:rFonts w:ascii="Times New Roman" w:hAnsi="Times New Roman" w:cs="Times New Roman"/>
          <w:color w:val="000000" w:themeColor="text1"/>
          <w:sz w:val="16"/>
          <w:szCs w:val="16"/>
        </w:rPr>
        <w:softHyphen/>
        <w:t>кументах не отмечалось. Однако 8 самоле</w:t>
      </w:r>
      <w:r w:rsidRPr="00070ADE">
        <w:rPr>
          <w:rFonts w:ascii="Times New Roman" w:hAnsi="Times New Roman" w:cs="Times New Roman"/>
          <w:color w:val="000000" w:themeColor="text1"/>
          <w:sz w:val="16"/>
          <w:szCs w:val="16"/>
        </w:rPr>
        <w:softHyphen/>
        <w:t>тов вышли из строя. Ввиду невозможности ремонта своими силами и отсутствия зап</w:t>
      </w:r>
      <w:r w:rsidRPr="00070ADE">
        <w:rPr>
          <w:rFonts w:ascii="Times New Roman" w:hAnsi="Times New Roman" w:cs="Times New Roman"/>
          <w:color w:val="000000" w:themeColor="text1"/>
          <w:sz w:val="16"/>
          <w:szCs w:val="16"/>
        </w:rPr>
        <w:softHyphen/>
        <w:t>частей их пришлось оставить на промежу</w:t>
      </w:r>
      <w:r w:rsidRPr="00070ADE">
        <w:rPr>
          <w:rFonts w:ascii="Times New Roman" w:hAnsi="Times New Roman" w:cs="Times New Roman"/>
          <w:color w:val="000000" w:themeColor="text1"/>
          <w:sz w:val="16"/>
          <w:szCs w:val="16"/>
        </w:rPr>
        <w:softHyphen/>
        <w:t>точных аэродромах. В полку к этому време</w:t>
      </w:r>
      <w:r w:rsidRPr="00070ADE">
        <w:rPr>
          <w:rFonts w:ascii="Times New Roman" w:hAnsi="Times New Roman" w:cs="Times New Roman"/>
          <w:color w:val="000000" w:themeColor="text1"/>
          <w:sz w:val="16"/>
          <w:szCs w:val="16"/>
        </w:rPr>
        <w:softHyphen/>
        <w:t>ни числился 31 подготовленный летчик.</w:t>
      </w:r>
    </w:p>
    <w:p w14:paraId="6E619C74" w14:textId="77777777" w:rsidR="00D70979" w:rsidRPr="00070ADE" w:rsidRDefault="00D70979"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Полк вошел в состав 215-й иад 16-й ВА, но к боевым действиям не привлекался.</w:t>
      </w:r>
    </w:p>
    <w:p w14:paraId="31BBF89D" w14:textId="77777777" w:rsidR="00D70979" w:rsidRPr="00070ADE" w:rsidRDefault="00D70979" w:rsidP="00B56F90">
      <w:pPr>
        <w:pStyle w:val="47"/>
        <w:shd w:val="clear" w:color="auto" w:fill="auto"/>
        <w:spacing w:line="240" w:lineRule="auto"/>
        <w:ind w:firstLine="0"/>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Дело в том, что на складах воздушной армии отсутствовал высокооктановый бензин в до</w:t>
      </w:r>
      <w:r w:rsidRPr="00070ADE">
        <w:rPr>
          <w:rFonts w:ascii="Times New Roman" w:hAnsi="Times New Roman" w:cs="Times New Roman"/>
          <w:color w:val="000000" w:themeColor="text1"/>
          <w:sz w:val="16"/>
          <w:szCs w:val="16"/>
        </w:rPr>
        <w:softHyphen/>
        <w:t>статочном количестве. Но главное, не было бронебойных снарядов к пушкам Виккерс 5.</w:t>
      </w:r>
    </w:p>
    <w:p w14:paraId="133D7D39" w14:textId="77777777" w:rsidR="00D70979" w:rsidRPr="00070ADE" w:rsidRDefault="00D7097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этим причинам 246-й иап никаких указаний по учебно-боевой работе на июль не получил и конкретных задач не имел, за</w:t>
      </w:r>
      <w:r w:rsidRPr="00070ADE">
        <w:rPr>
          <w:rFonts w:ascii="Times New Roman" w:hAnsi="Times New Roman"/>
          <w:color w:val="000000" w:themeColor="text1"/>
          <w:sz w:val="16"/>
          <w:szCs w:val="16"/>
        </w:rPr>
        <w:softHyphen/>
        <w:t>нятия с летным составом проводились по плану командирской подготовки, состав</w:t>
      </w:r>
      <w:r w:rsidRPr="00070ADE">
        <w:rPr>
          <w:rFonts w:ascii="Times New Roman" w:hAnsi="Times New Roman"/>
          <w:color w:val="000000" w:themeColor="text1"/>
          <w:sz w:val="16"/>
          <w:szCs w:val="16"/>
        </w:rPr>
        <w:softHyphen/>
        <w:t>ленному штабом полка. Тренировочные полеты из-за недостатка горючего также не проводились (12735).</w:t>
      </w:r>
    </w:p>
    <w:p w14:paraId="38F9B38C" w14:textId="77777777" w:rsidR="00D70979" w:rsidRPr="00070ADE" w:rsidRDefault="00D70979" w:rsidP="00B56F90">
      <w:pPr>
        <w:spacing w:after="0" w:line="240" w:lineRule="auto"/>
        <w:jc w:val="both"/>
        <w:rPr>
          <w:rStyle w:val="aff7"/>
          <w:rFonts w:ascii="Times New Roman" w:hAnsi="Times New Roman" w:cs="Times New Roman"/>
          <w:i w:val="0"/>
          <w:color w:val="000000" w:themeColor="text1"/>
        </w:rPr>
      </w:pPr>
    </w:p>
    <w:p w14:paraId="5E69D26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CB9C3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96E8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г замнаркома НКПТ А. Гореляд сообщил директору завода № 92 Еляну, что завод № 92 ввел в конструкцию орудия С-53 изменения без согласования с Производителями танков, что ухудшило их боевые качества. В частности, утолщение стенок ствола привело к неуравновешенности орудия и поломкам подъемных механизмов (11135).</w:t>
      </w:r>
    </w:p>
    <w:p w14:paraId="417484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1D5F15" w14:textId="3FBB7FDF" w:rsidR="00CD73D6" w:rsidRPr="00070ADE" w:rsidRDefault="00CD73D6" w:rsidP="00B56F90">
      <w:pPr>
        <w:pStyle w:val="ae"/>
        <w:spacing w:before="0" w:after="0"/>
        <w:jc w:val="both"/>
        <w:rPr>
          <w:color w:val="000000" w:themeColor="text1"/>
          <w:sz w:val="16"/>
          <w:szCs w:val="16"/>
        </w:rPr>
      </w:pPr>
      <w:r w:rsidRPr="00070ADE">
        <w:rPr>
          <w:color w:val="000000" w:themeColor="text1"/>
          <w:sz w:val="16"/>
          <w:szCs w:val="16"/>
        </w:rPr>
        <w:t>26 июня 1944 года Постановлением Государственного Комитета Обороны в Ленинграде создавался филиал опытного завода №</w:t>
      </w:r>
      <w:r w:rsidR="00B643A8" w:rsidRPr="00070ADE">
        <w:rPr>
          <w:color w:val="000000" w:themeColor="text1"/>
          <w:sz w:val="16"/>
          <w:szCs w:val="16"/>
        </w:rPr>
        <w:t xml:space="preserve"> </w:t>
      </w:r>
      <w:r w:rsidRPr="00070ADE">
        <w:rPr>
          <w:color w:val="000000" w:themeColor="text1"/>
          <w:sz w:val="16"/>
          <w:szCs w:val="16"/>
        </w:rPr>
        <w:t>100 (последний находился в Челябинске). В задачу филиала входила помощь в организации выпуска самоходок ИСУ-152 на Ленинградском Кировском заводе. Напомним, что предприятие было эвакуировано в 1941 году, и с тех пор выпуск танков на нем не велся. Но после снятия блокады Ленинграда ГКО решил восстановить выпуск бронетехники на этом заводе, «загрузив» его самоходными установками ИСУ-152 — наладить их производство было легче, чем танков. Для этого из Челябинска в Ленинград была направлена группа инженеров, техников и рабочих. Кроме того, правительство выделило средства, необходимые для восстановления цехов завода, пострадавших от обстрелов и бомбежек, а также дополнительные станки и оборудование.</w:t>
      </w:r>
    </w:p>
    <w:p w14:paraId="37D56552" w14:textId="77777777" w:rsidR="00CD73D6" w:rsidRPr="00070ADE" w:rsidRDefault="00CD73D6" w:rsidP="00B56F90">
      <w:pPr>
        <w:pStyle w:val="ae"/>
        <w:spacing w:before="0" w:after="0"/>
        <w:jc w:val="both"/>
        <w:rPr>
          <w:color w:val="000000" w:themeColor="text1"/>
          <w:sz w:val="16"/>
          <w:szCs w:val="16"/>
        </w:rPr>
      </w:pPr>
      <w:r w:rsidRPr="00070ADE">
        <w:rPr>
          <w:color w:val="000000" w:themeColor="text1"/>
          <w:sz w:val="16"/>
          <w:szCs w:val="16"/>
        </w:rPr>
        <w:t>Естественно, что первое время ни о каких новых разработках в Ленинграде не могло идти речи — все силы уходили на организацию производства и серийный выпуск ИСУ-152, который в небольших количествах начался весной 1945 года. Однако вскоре ситуация изменилась, и в Ленинграде начались работы над новым тяжелым танком, который мог стать одной из наиболее мощных боевых машин того времени (17434).</w:t>
      </w:r>
    </w:p>
    <w:p w14:paraId="109CD994" w14:textId="77777777" w:rsidR="00CD73D6" w:rsidRPr="00070ADE" w:rsidRDefault="00CD73D6" w:rsidP="00B56F90">
      <w:pPr>
        <w:pStyle w:val="ae"/>
        <w:spacing w:before="0" w:after="0"/>
        <w:jc w:val="both"/>
        <w:rPr>
          <w:color w:val="000000" w:themeColor="text1"/>
          <w:sz w:val="16"/>
          <w:szCs w:val="16"/>
        </w:rPr>
      </w:pPr>
    </w:p>
    <w:p w14:paraId="6C53AD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г. были подготовлены СООБРАЖЕНИЯ ЗАМЕСТИТЕЛЯ НАЧАЛЬНИКА ГБТУ КА ЗАМЕСТИТЕЛЮ НАРКОМА СРЕДНЕГО МАШИНОСТРОЕНИЯ СССР КУЧУМОВУ О ПРОЕКТИРОВАНИИ И ИЗГОТОВЛЕНИИ СУ-85</w:t>
      </w:r>
    </w:p>
    <w:p w14:paraId="6138A9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Самоходная артустановка СУ-76 в настоящее время удовлетворяет требованиям, предъявлен</w:t>
      </w:r>
      <w:r w:rsidRPr="00070ADE">
        <w:rPr>
          <w:rFonts w:ascii="Times New Roman" w:hAnsi="Times New Roman"/>
          <w:color w:val="000000" w:themeColor="text1"/>
          <w:sz w:val="16"/>
          <w:szCs w:val="16"/>
        </w:rPr>
        <w:softHyphen/>
        <w:t>ным к ней бронетанковыми и механизированными войсками Красной Армии.</w:t>
      </w:r>
    </w:p>
    <w:p w14:paraId="55BAD8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Внесение коренных конструктивных изменений в эту машину или замена ее другой машиной не вызывается необходимостью.</w:t>
      </w:r>
    </w:p>
    <w:p w14:paraId="7C0513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этом основании работу по проектированию и изготовлению СУ-85 на базе СУ-76 считаю це</w:t>
      </w:r>
      <w:r w:rsidRPr="00070ADE">
        <w:rPr>
          <w:rFonts w:ascii="Times New Roman" w:hAnsi="Times New Roman"/>
          <w:color w:val="000000" w:themeColor="text1"/>
          <w:sz w:val="16"/>
          <w:szCs w:val="16"/>
        </w:rPr>
        <w:softHyphen/>
        <w:t>лесообразным прекратить.</w:t>
      </w:r>
    </w:p>
    <w:p w14:paraId="69C4B3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3A3176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11369. Д. 481. Л. 92. Копия (11420).</w:t>
      </w:r>
    </w:p>
    <w:p w14:paraId="169999C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DAD41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г. И.В.Сталин в беседе с председателем Торговой палаты США Эриком Джонстоном, заявил: «Мы многим обязаны Генри Форду. Он помогал нам строить автомобильные заводы». А далее прозвучало признание того, что советские люди «многому научились у американцев. Американский опыт был использован при создании советской промышленности». На вопрос Джонстона, кто из американцев больше всего нравится господину Сталину, тот назвал в первую очередь Форда, прибавив: «Да хранит его Господь!» (May God preserve him!) (11520).</w:t>
      </w:r>
    </w:p>
    <w:p w14:paraId="1AA887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E50CA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Переданы флоту 27-й и 32-й БМО, а также 2-й МТ ждановцев. Предъявлен государственной комиссии 14-й МБК адмиралтейцев (10671).</w:t>
      </w:r>
    </w:p>
    <w:p w14:paraId="0C78114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53B297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79B239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5404B7"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26 июня</w:t>
      </w:r>
      <w:r w:rsidRPr="00070ADE">
        <w:rPr>
          <w:rFonts w:ascii="Times New Roman" w:hAnsi="Times New Roman"/>
          <w:color w:val="000000" w:themeColor="text1"/>
          <w:sz w:val="16"/>
          <w:szCs w:val="16"/>
        </w:rPr>
        <w:t xml:space="preserve"> в 1944 году оперативная сводка Совинформбюро:</w:t>
      </w:r>
    </w:p>
    <w:p w14:paraId="4345C303"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«Войска 1-го Прибалтийского и 3-го Белорусского фронтов вели бои по уничтожению окружённой группировки противника в районе Витебска и, сжимая кольцо окружения, штурмом овладели крупным областным центром Белоруссии городом Витебск — важным стратегическим узлом обороны немцев на западном направлении.</w:t>
      </w:r>
    </w:p>
    <w:p w14:paraId="66571E75"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Витебск наши войска, развивая успешное наступление, овладели районным центром Витебской области городом Бешенковичи и с боями заняли более 700 других населённых пунктов, в том числе город Улла, крупные населённые пункты Оболь, Бочейково, Каменьщина, Алексиничи, Черея и железнодорожные станции Княжница, Оболь (на железной дороге Витебск — Полоцк).</w:t>
      </w:r>
    </w:p>
    <w:p w14:paraId="37385C93"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Оршанском направлении наши войска с боями продвигались вперёд и овладели районными центрами Витебской области — городом Дубровно, городом и крупной железнодорожной станцией Толочин, а также заняли более 400 других населённых пунктов, в том числе Стайки, Смоляны, Обольцы, Пищалова (3 километра севернее Орши), Соловьи, Карабановичи, Сватошица, Цыбульская и железнодорожные станции Стайки, Юрцево, Смоляны, Лемница. Наши войска перерезали шоссейную и железную дороги Орша — Борисов и железную дорогу Орша — Лепель.</w:t>
      </w:r>
    </w:p>
    <w:p w14:paraId="084446BA"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Могилевском направлении наши войска, успешно продвигаясь вперёд, с боем овладели районным центром Могилёвской области городом Горки, а также заняли более 450 других населённых пунктов, в том числе крупный населённые пункты Масалыки, Слобода Казимировская, Стан, Тимоховка, Рудицы, Фащевка, Дубровка, Бель, Плещицы, Евдокимовичи, Мосток (10 километров северо-восточнее Могилев), Машинаки, Зарудеевка, Большие и Малые Амхиничи, Гарбовичи, Островы и железнодорожные станции Чаусы, Благовичи, Реста, Погодино.</w:t>
      </w:r>
    </w:p>
    <w:p w14:paraId="3E5A0072"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Наши войска вышли к реке Днепр севернее города Могилев.</w:t>
      </w:r>
    </w:p>
    <w:p w14:paraId="1DCFFC11"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Белорусского фронта, продолжая успешное наступление, овладели городом и крупным железнодорожным узлом ЖЛОБИН — важным опорным пунктом обороны немцев на Бобруйском направлении, а также с боями заняли более 150 других населённых пунктов, среди которых районный центр Полесской области город Паричи и крупные населённые пункты Осовник, Большая и Малая Крушиновка, Фалевичи, Кошары, Заболотье, Солоное, Мормаль, Здудичи, Коз Ловка, Брожа, Ратмировичи, Оземля, Ломовичи и железнодорожные станции Жлобин-Подольская, Мормаль, Брожа, Ратмировичи.</w:t>
      </w:r>
    </w:p>
    <w:p w14:paraId="4F05EC2B"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Между Онежским и Ладожским озёрами наши войска овладели районным центром Карело-Финской ССР городом ОЛОНЕЦ и с боями заняли более 40 других населённых пунктов, в числе которых Карповка, Зиниково, Куйтажи, Нанулица, Судалица, Юксила, Котчила.</w:t>
      </w:r>
    </w:p>
    <w:p w14:paraId="31421F37"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Севернее Онежского озера наши войска, продолжая развивать наступление к западу и югу от города Медвежьегорск, продвинулись вперёд до 30 километров и заняли населённые пункты Карельская Масельга, Лосиная Гора, Медвежья Гора, Перегуба и железнодорожные станции Уница, Кяппесельга (на Мурманской железной дороге).</w:t>
      </w:r>
    </w:p>
    <w:p w14:paraId="50B4428B"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Финском заливе наши войска полностью очистили от противника острова Койвисто и Тиурин-Сари.</w:t>
      </w:r>
    </w:p>
    <w:p w14:paraId="2E69A5DD"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без перемен.</w:t>
      </w:r>
    </w:p>
    <w:p w14:paraId="260CE12F"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25 июня наши войска на всех фронтах подбили и уничтожили 28 немецких танков. В воздушных боях и огнём зенитной артиллерии сбито 29 самолётов противника.</w:t>
      </w:r>
    </w:p>
    <w:p w14:paraId="57279001"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Сегодня войска 1-го Прибалтийского и 3-го Белорусского фронтов штурмом заняли областной центр Белоруссии город Витебск. Выбив вчера немцев из восточной части города, советские войска с наступлением темноты форсировали Западную Двину и начали штурм западной части города. Другие наши части ворвались в Витебск с запада. Всю ночь советские бойцы вели ожесточённые бои, выбивая гитлеровцев из домов, подвалов и укрытий. К утру 26 июня Витебск был полностью очищен от немецко-фашистских захватчиков. На улицах города осталось свыше 6 тысяч вражеских трупов. Захвачены богатые трофеи, в том числе 10 паровозов, 3 железнодорожных со става с военным имуществом, 1.100 авто машин, огромное количество вооружения и боеприпасов. Учёт трофеев продолжается. Взято в плен до 1.000 немецких солдат и офицеров. Западнее Витебска наши войска всё теснее сжимали кольцо вокруг немецкой группировки. Все попытки противника вырваться из окружения успешно отражены. Захвачено много пленных. Стремительным ударом советские войска рассекли окружённую группировку немцев на две части и ведут бои за полное их уничтожение.</w:t>
      </w:r>
    </w:p>
    <w:p w14:paraId="23CC5E97"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и юго-западнее города Витебск части Н-ского соединения обошли с трех сторон районный центр Витебской области Бешенковичи и штурмом овладели им. В бою за этот важный узел грунтовых дорог уничтожено более 1.000 гитлеровцев. Отражая контратаки противника, наши войска успешно продвигались вперёд и заняли свыше 700 населённых пунктов. Взято много трофеев. Н-ская часть захватила 6 танков, миномётную и 2 артиллерийские батареи.</w:t>
      </w:r>
    </w:p>
    <w:p w14:paraId="725593BB"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Оршанском направлении наши войска, стремительно продвигаясь вперёд, обошли Оршу с севера и заняли более 400 населённых пунктов, в том числе узлы грунтовых дорог Обольцы и Смоляны. Противник пытается задержать советские войска на промежуточных рубежах. Наши подвижные части умелыми обходными маневрами прорываются в тылы противника, истребляют его живую силу, уничтожают и захватывают технику и вооружение. На ряде участков немцы беспорядочно отходят, бросая снаряжение, боеприпасы и военное имущество. В одном селении наши бойцы захватили 300 автомашин, 3 склада с боеприпасами и свыше 30 тяжёлых орудий. В селении Обольцы советские конные отряды стремительной атакой разгромили вражеский гарнизон, захватили 30 автомашин и взяли в плен 100 немцев. На другом участке советские подразделения окружили и уничтожили крупный немецкий отряд и захватили в плен 400 немецких солдат и офицеров. За день боёв наши части захватили 14 танков и самоходных орудий, свыше 90 орудий разного калибра, 212 пулемётов, 246 автомашин, 500 лошадей и другие трофеи.</w:t>
      </w:r>
    </w:p>
    <w:p w14:paraId="581154B5"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Могилёвском направлении наши войска вышли к реке Днепр севернее города Могилёв, перерезав таким образом важную рокадную шоссейную дорогу Могилёв — Орша. Контратаки противника успеха не имели. Под ударами советских частей немцы несут огромные потери и откатываются на запад. Взято много пленных и богатые трофеи.</w:t>
      </w:r>
    </w:p>
    <w:p w14:paraId="2BEB93A0"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Белорусского фронта, сломив ожесточённое сопротивление противника, штурмом овладели городом Жлобин. Немцы, опираясь на заранее подготовленные оборонительные рубежи, предпринимают одну за другой яростные контратаки. Н-ское соединение за день отразило 16 вражеских контратак. Советские бойцы уничтожили до 2 тысяч гитлеровцев и сожгли 15 танков. Западнее города Рогачёв наши наступающие части истребили свыше 900 немецких солдат и офицеров, захватили 3 танка и 3 самоходных орудия. Советские лётчики сбили 13 самолётов противника.»</w:t>
      </w:r>
    </w:p>
    <w:p w14:paraId="078B1BDF"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Очередное жульничество гитлеровского командования:</w:t>
      </w:r>
    </w:p>
    <w:p w14:paraId="7EB8FD12"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Советское Информбюро 22 июня опубликовало военные и политические итоги трёх лет Отечественной войны Советского Союза. В этом сообщении указывалось, что немецко-фашистские войска на советско-германском фронте за три года войны потеряли 7.800.000 солдат и офицеров убитыми и пленными, до 70.000 танков, 60.000 самолётов, более 90.000 орудий. Далее Совинформбюро сообщило, что за три года войны Красная Армия потеряла 5.300 тысяч человек убитыми, пленными и пропавшими без вести. Гитлеровцы из кожи лезут вон, чтобы опорочить эти достоверные данные. Немецкое верховное командование опубликовало фальшивку о потерях советских войск. Берлинские жулики совершают грубый подлог, уверяя всех и вся, будто «согласно советскому сообщению Красная Армия потеряла 5,3 миллиона человек убитыми». Берлинские шулера с умыслом опустили в цитате из советского сообщения слова «пленными и пропавшими без вести», а затем нагло заявляют, что Совинформбюро не указало «цифру советских потерь военнопленными, опубликовав лишь данные об убитых». При этом немецкое командование утверждает, что «свыше 5.600 тысяч советских военнопленных находится в германских руках». Весь мир знает, как немцы фабрикуют «военнопленных». Уже неоднократно доказано, что по приказу немецкого командования немецкие военные власти на временно оккупированной советской территории хватают мирных советских граждан, в том числе женщин и детей, загоняют их в лагери и объявляют военнопленными. Таких-то «военнопленных», захваченных не на поле боя, а в собственном жилище, изнывающих ныне в многочисленных немецких концлагерях, наберётся не 5.600 тысяч, а побольше.</w:t>
      </w:r>
    </w:p>
    <w:p w14:paraId="19D18B2F"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Назвав лживые умопомрачительные цифры потерь советских войск, немецкое командование умалчивает о своих собственных потерях. Гитлеровская шайка пуще огня боится правды и всячески старается скрыть катастрофические потери немецкой армии в живой силе и технике на советско-германском фронте. Немецкое командование боится сообщить германскому народу, сколько миллионов немецких солдат и офицеров завоевало себе не жизненное, а могильное пространство на Востоке и похоронено на советской земле, сколько десятков тысяч танков, самолётов и орудий потеряла немецкая армия. Гитлеровцы проигрывают одно за другим сражения на поле боя. Зато они зарекомендовали себя непревзойдёнными мастерами лжи, фальшивок и подлогов.» (14934).</w:t>
      </w:r>
    </w:p>
    <w:p w14:paraId="16D5566E" w14:textId="77777777" w:rsidR="00E2067E" w:rsidRPr="00070ADE" w:rsidRDefault="00E2067E" w:rsidP="00B56F90">
      <w:pPr>
        <w:spacing w:after="0" w:line="240" w:lineRule="auto"/>
        <w:jc w:val="both"/>
        <w:rPr>
          <w:rFonts w:ascii="Times New Roman" w:hAnsi="Times New Roman"/>
          <w:color w:val="000000" w:themeColor="text1"/>
          <w:sz w:val="16"/>
          <w:szCs w:val="16"/>
        </w:rPr>
      </w:pPr>
    </w:p>
    <w:p w14:paraId="116170F6" w14:textId="77777777" w:rsidR="00817DC7" w:rsidRPr="00070ADE" w:rsidRDefault="00817DC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с 26 на 27 июня 1944 состоялся очередной боевой вылет 45-я АДДД. Пер</w:t>
      </w:r>
      <w:r w:rsidRPr="00070ADE">
        <w:rPr>
          <w:rFonts w:ascii="Times New Roman" w:hAnsi="Times New Roman"/>
          <w:color w:val="000000" w:themeColor="text1"/>
          <w:sz w:val="16"/>
          <w:szCs w:val="16"/>
        </w:rPr>
        <w:softHyphen/>
        <w:t>воначально целью бомбардировки на</w:t>
      </w:r>
      <w:r w:rsidRPr="00070ADE">
        <w:rPr>
          <w:rFonts w:ascii="Times New Roman" w:hAnsi="Times New Roman"/>
          <w:color w:val="000000" w:themeColor="text1"/>
          <w:sz w:val="16"/>
          <w:szCs w:val="16"/>
        </w:rPr>
        <w:softHyphen/>
        <w:t>значили железнодорожный узел Борисов (Белоруссия). Однако уже находящимся в воздухе кораблям по радио был дан приказ бомбить железнодорожный узел Осиповичи (Белоруссия). Всего вылетело 18 самолетов (11 из 25-го гв. АПДД и семь из 890-го АПДД). Борт №42059 (ко</w:t>
      </w:r>
      <w:r w:rsidRPr="00070ADE">
        <w:rPr>
          <w:rFonts w:ascii="Times New Roman" w:hAnsi="Times New Roman"/>
          <w:color w:val="000000" w:themeColor="text1"/>
          <w:sz w:val="16"/>
          <w:szCs w:val="16"/>
        </w:rPr>
        <w:softHyphen/>
        <w:t>мандир корабля Шатров, штурман Жар</w:t>
      </w:r>
      <w:r w:rsidRPr="00070ADE">
        <w:rPr>
          <w:rFonts w:ascii="Times New Roman" w:hAnsi="Times New Roman"/>
          <w:color w:val="000000" w:themeColor="text1"/>
          <w:sz w:val="16"/>
          <w:szCs w:val="16"/>
        </w:rPr>
        <w:softHyphen/>
        <w:t>ков) из 25-го гв. АПДД не взлетел, так как у него не завелся четвертый мотор.</w:t>
      </w:r>
    </w:p>
    <w:p w14:paraId="62374D47" w14:textId="77777777" w:rsidR="00817DC7" w:rsidRPr="00070ADE" w:rsidRDefault="00817DC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Взлет был произведен в период с 22 ч 53 мин. по 23 ч. 12 мин. Все взле</w:t>
      </w:r>
      <w:r w:rsidRPr="00070ADE">
        <w:rPr>
          <w:rFonts w:ascii="Times New Roman" w:hAnsi="Times New Roman"/>
          <w:color w:val="000000" w:themeColor="text1"/>
          <w:sz w:val="16"/>
          <w:szCs w:val="16"/>
        </w:rPr>
        <w:softHyphen/>
        <w:t>тевшие корабли бомбит железнодо</w:t>
      </w:r>
      <w:r w:rsidRPr="00070ADE">
        <w:rPr>
          <w:rFonts w:ascii="Times New Roman" w:hAnsi="Times New Roman"/>
          <w:color w:val="000000" w:themeColor="text1"/>
          <w:sz w:val="16"/>
          <w:szCs w:val="16"/>
        </w:rPr>
        <w:softHyphen/>
        <w:t>рожный узел Осиповичи z 00 ч. 35 мин. по 01 ч. 45 мин. В 00 ч. 55 мин zzf- корабль был атакован истребителем противника. Но его атака была отбита стрелками. На цель было сброшено: 10 ФАБ-2000,16 ФАБ-1000, 68 ФАБ-500, ФАБ-250,9 САБ-100,2 ФОТАБ-35. Из со</w:t>
      </w:r>
      <w:r w:rsidRPr="00070ADE">
        <w:rPr>
          <w:rFonts w:ascii="Times New Roman" w:hAnsi="Times New Roman"/>
          <w:color w:val="000000" w:themeColor="text1"/>
          <w:sz w:val="16"/>
          <w:szCs w:val="16"/>
        </w:rPr>
        <w:softHyphen/>
        <w:t>става 25-го гв. АПДД цель бомбили Пе-8 с заводскими номерами: 42076 (коман</w:t>
      </w:r>
      <w:r w:rsidRPr="00070ADE">
        <w:rPr>
          <w:rFonts w:ascii="Times New Roman" w:hAnsi="Times New Roman"/>
          <w:color w:val="000000" w:themeColor="text1"/>
          <w:sz w:val="16"/>
          <w:szCs w:val="16"/>
        </w:rPr>
        <w:softHyphen/>
        <w:t>дир корабля Адамов), 42028 (командир корабля Хорошилов), 42088 (командир корабля Сугак), 42610 (командир кора- бля Сумцов), 42811 (командиз корабля Лисачев), 42911 (командна корабля Чурилин), 42112 (командир ксэабля Симонов), 42212 (ожандар «сзабля Обухов), 42312 (тмандир корабля Бездетный), 42412 (командир корабля Каминский), 42512 (командир корабля Грязное). После выполнения боевого задания 17 кораблей произвели посадку на своем аэродроме в период с 02 ч. 20 мин. по 04 ч. 07 мин. Пе-8 №42711 (ко</w:t>
      </w:r>
      <w:r w:rsidRPr="00070ADE">
        <w:rPr>
          <w:rFonts w:ascii="Times New Roman" w:hAnsi="Times New Roman"/>
          <w:color w:val="000000" w:themeColor="text1"/>
          <w:sz w:val="16"/>
          <w:szCs w:val="16"/>
        </w:rPr>
        <w:softHyphen/>
        <w:t>мандир корабля Марусиченко, штурман Сидоров), из 890-го АПДД, из-за потери штурманом ориентировки произвел посадку на аэродроме Борщево (27 километров юго-восточнее Стародуб). Потерь не было (19559).</w:t>
      </w:r>
    </w:p>
    <w:p w14:paraId="7E9C9AAB" w14:textId="77777777" w:rsidR="00817DC7" w:rsidRPr="00070ADE" w:rsidRDefault="00817DC7" w:rsidP="00B56F90">
      <w:pPr>
        <w:spacing w:after="0" w:line="240" w:lineRule="auto"/>
        <w:jc w:val="both"/>
        <w:rPr>
          <w:rFonts w:ascii="Times New Roman" w:hAnsi="Times New Roman"/>
          <w:color w:val="000000" w:themeColor="text1"/>
          <w:sz w:val="16"/>
          <w:szCs w:val="16"/>
        </w:rPr>
      </w:pPr>
    </w:p>
    <w:p w14:paraId="58E69851"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lastRenderedPageBreak/>
        <w:t>26 июня</w:t>
      </w:r>
      <w:r w:rsidRPr="00070ADE">
        <w:rPr>
          <w:rFonts w:ascii="Times New Roman" w:hAnsi="Times New Roman"/>
          <w:color w:val="000000" w:themeColor="text1"/>
          <w:sz w:val="16"/>
          <w:szCs w:val="16"/>
        </w:rPr>
        <w:t xml:space="preserve"> в 1944 году войска правого крыла 1-го Белорусского фронта (3-я армия, 48-я армия, 65-я армия, 28-я армия, 16-я воздушная рмия, 1-й и 9-й танковые корпуса, конно-механизированная группа и суда Днепровской военной флотилии) начали Бобруйскую наступательную операцию с целью окружить и уничтожить немецко-фашистские 9-ю и 4-ю армии группы армий "Центр" (14934).</w:t>
      </w:r>
    </w:p>
    <w:p w14:paraId="216E418E" w14:textId="77777777" w:rsidR="00E2067E" w:rsidRPr="00070ADE" w:rsidRDefault="00E2067E" w:rsidP="00B56F90">
      <w:pPr>
        <w:spacing w:after="0" w:line="240" w:lineRule="auto"/>
        <w:jc w:val="both"/>
        <w:rPr>
          <w:rFonts w:ascii="Times New Roman" w:hAnsi="Times New Roman"/>
          <w:color w:val="000000" w:themeColor="text1"/>
          <w:sz w:val="16"/>
          <w:szCs w:val="16"/>
        </w:rPr>
      </w:pPr>
    </w:p>
    <w:p w14:paraId="1DD5AE2B" w14:textId="77777777" w:rsidR="00E2067E" w:rsidRPr="00070ADE" w:rsidRDefault="00E2067E"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26 июня</w:t>
      </w:r>
      <w:r w:rsidRPr="00070ADE">
        <w:rPr>
          <w:rFonts w:ascii="Times New Roman" w:hAnsi="Times New Roman"/>
          <w:color w:val="000000" w:themeColor="text1"/>
          <w:sz w:val="16"/>
          <w:szCs w:val="16"/>
        </w:rPr>
        <w:t xml:space="preserve"> в 1944 году Витебск (Белоруссия) освобождается от фашистских захватчиков (14934).</w:t>
      </w:r>
    </w:p>
    <w:p w14:paraId="29876956" w14:textId="77777777" w:rsidR="00E2067E" w:rsidRPr="00070ADE" w:rsidRDefault="00E2067E" w:rsidP="00B56F90">
      <w:pPr>
        <w:spacing w:after="0" w:line="240" w:lineRule="auto"/>
        <w:jc w:val="both"/>
        <w:rPr>
          <w:rFonts w:ascii="Times New Roman" w:hAnsi="Times New Roman"/>
          <w:color w:val="000000" w:themeColor="text1"/>
          <w:sz w:val="16"/>
          <w:szCs w:val="16"/>
        </w:rPr>
      </w:pPr>
    </w:p>
    <w:p w14:paraId="4AE0C72E" w14:textId="77777777" w:rsidR="00262E37" w:rsidRPr="00070ADE" w:rsidRDefault="00262E3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26 июня 1944 г. 246-й иап, с октября 1943 прошел полный курс переучивания на английский противотанковый истребитель в 25-м запасном ис</w:t>
      </w:r>
      <w:r w:rsidRPr="00070ADE">
        <w:rPr>
          <w:color w:val="000000" w:themeColor="text1"/>
          <w:sz w:val="16"/>
          <w:szCs w:val="16"/>
        </w:rPr>
        <w:softHyphen/>
        <w:t>требительном авиаполку ВВС Закавказского воен</w:t>
      </w:r>
      <w:r w:rsidRPr="00070ADE">
        <w:rPr>
          <w:color w:val="000000" w:themeColor="text1"/>
          <w:sz w:val="16"/>
          <w:szCs w:val="16"/>
        </w:rPr>
        <w:softHyphen/>
        <w:t>ного округа (г. Аджи-Кабул), попал на фронт, не</w:t>
      </w:r>
      <w:r w:rsidRPr="00070ADE">
        <w:rPr>
          <w:color w:val="000000" w:themeColor="text1"/>
          <w:sz w:val="16"/>
          <w:szCs w:val="16"/>
        </w:rPr>
        <w:softHyphen/>
        <w:t>много не успев к началу операции «Багратион». В этот день полк в составе 26 самолетов «Харри</w:t>
      </w:r>
      <w:r w:rsidRPr="00070ADE">
        <w:rPr>
          <w:color w:val="000000" w:themeColor="text1"/>
          <w:sz w:val="16"/>
          <w:szCs w:val="16"/>
        </w:rPr>
        <w:softHyphen/>
        <w:t xml:space="preserve">кейн» </w:t>
      </w:r>
      <w:r w:rsidRPr="00070ADE">
        <w:rPr>
          <w:color w:val="000000" w:themeColor="text1"/>
          <w:sz w:val="16"/>
          <w:szCs w:val="16"/>
          <w:lang w:val="en-US"/>
        </w:rPr>
        <w:t>IID</w:t>
      </w:r>
      <w:r w:rsidRPr="00070ADE">
        <w:rPr>
          <w:color w:val="000000" w:themeColor="text1"/>
          <w:sz w:val="16"/>
          <w:szCs w:val="16"/>
        </w:rPr>
        <w:t xml:space="preserve"> совершил посадку на аэродром около ме</w:t>
      </w:r>
      <w:r w:rsidRPr="00070ADE">
        <w:rPr>
          <w:color w:val="000000" w:themeColor="text1"/>
          <w:sz w:val="16"/>
          <w:szCs w:val="16"/>
        </w:rPr>
        <w:softHyphen/>
        <w:t>стечка Брянчицы. Перелет был выполнен с 10 про</w:t>
      </w:r>
      <w:r w:rsidRPr="00070ADE">
        <w:rPr>
          <w:color w:val="000000" w:themeColor="text1"/>
          <w:sz w:val="16"/>
          <w:szCs w:val="16"/>
        </w:rPr>
        <w:softHyphen/>
        <w:t>межуточными посадками. В ходе перелета из строя вышли 8 самолетов. Ввиду невозможности ремонта своими силами и отсутствия запчастей их пришлось оставить на промежуточных аэродромах. В полку к этому времени числился 31 боеготовый летчик.</w:t>
      </w:r>
    </w:p>
    <w:p w14:paraId="2C461FBB" w14:textId="77777777" w:rsidR="00262E37" w:rsidRPr="00070ADE" w:rsidRDefault="00262E3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Полк вошел в состав 215-й иад 16 ВА, но к бо</w:t>
      </w:r>
      <w:r w:rsidRPr="00070ADE">
        <w:rPr>
          <w:color w:val="000000" w:themeColor="text1"/>
          <w:sz w:val="16"/>
          <w:szCs w:val="16"/>
        </w:rPr>
        <w:softHyphen/>
        <w:t>евым действиям не привлекался. Дело в том, что на складах воздушной армии отсутствовал высоко</w:t>
      </w:r>
      <w:r w:rsidRPr="00070ADE">
        <w:rPr>
          <w:color w:val="000000" w:themeColor="text1"/>
          <w:sz w:val="16"/>
          <w:szCs w:val="16"/>
        </w:rPr>
        <w:softHyphen/>
        <w:t xml:space="preserve">октановый бензин в достаточном количестве. Но главное, не было бронебойных снарядов к пушкам Виккерс </w:t>
      </w:r>
      <w:r w:rsidRPr="00070ADE">
        <w:rPr>
          <w:color w:val="000000" w:themeColor="text1"/>
          <w:sz w:val="16"/>
          <w:szCs w:val="16"/>
          <w:lang w:val="en-US"/>
        </w:rPr>
        <w:t>S</w:t>
      </w:r>
      <w:r w:rsidRPr="00070ADE">
        <w:rPr>
          <w:color w:val="000000" w:themeColor="text1"/>
          <w:sz w:val="16"/>
          <w:szCs w:val="16"/>
        </w:rPr>
        <w:t>.</w:t>
      </w:r>
    </w:p>
    <w:p w14:paraId="193C119E" w14:textId="77777777" w:rsidR="00262E37" w:rsidRPr="00070ADE" w:rsidRDefault="00262E3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По этим причинам 246-й иап никаких указа</w:t>
      </w:r>
      <w:r w:rsidRPr="00070ADE">
        <w:rPr>
          <w:color w:val="000000" w:themeColor="text1"/>
          <w:sz w:val="16"/>
          <w:szCs w:val="16"/>
        </w:rPr>
        <w:softHyphen/>
        <w:t>ний по учебно-боевой работе на июль не получил и конкретных задач не имел, занятия с летным со</w:t>
      </w:r>
      <w:r w:rsidRPr="00070ADE">
        <w:rPr>
          <w:color w:val="000000" w:themeColor="text1"/>
          <w:sz w:val="16"/>
          <w:szCs w:val="16"/>
        </w:rPr>
        <w:softHyphen/>
        <w:t>ставом проводились по плану командирской под</w:t>
      </w:r>
      <w:r w:rsidRPr="00070ADE">
        <w:rPr>
          <w:color w:val="000000" w:themeColor="text1"/>
          <w:sz w:val="16"/>
          <w:szCs w:val="16"/>
        </w:rPr>
        <w:softHyphen/>
        <w:t>готовки, составленным штабом полка. Тренировоч</w:t>
      </w:r>
      <w:r w:rsidRPr="00070ADE">
        <w:rPr>
          <w:color w:val="000000" w:themeColor="text1"/>
          <w:sz w:val="16"/>
          <w:szCs w:val="16"/>
        </w:rPr>
        <w:softHyphen/>
        <w:t>ные полеты из-за недостатка горючего также не производились.</w:t>
      </w:r>
    </w:p>
    <w:p w14:paraId="307C9538" w14:textId="77777777" w:rsidR="00262E37" w:rsidRPr="00070ADE" w:rsidRDefault="00262E3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14 июля по распоряжению командира 215-й иад полковника М. Н. Якушина полк в полном составе перелетел с аэродрома Брянчицы на аэродром Омговичи.</w:t>
      </w:r>
    </w:p>
    <w:p w14:paraId="36754F60" w14:textId="77777777" w:rsidR="00262E37" w:rsidRPr="00070ADE" w:rsidRDefault="00262E3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Передислокация полка на новую площадку бы</w:t>
      </w:r>
      <w:r w:rsidRPr="00070ADE">
        <w:rPr>
          <w:color w:val="000000" w:themeColor="text1"/>
          <w:sz w:val="16"/>
          <w:szCs w:val="16"/>
        </w:rPr>
        <w:softHyphen/>
        <w:t>ла омрачена целым рядом происшествий. Так, в дорожной катастрофе погибли старший сержант Н. Л. Коробельщиков и младший сержант В. Г. Гари- бян. При перелете заместитель командира 2-й эска</w:t>
      </w:r>
      <w:r w:rsidRPr="00070ADE">
        <w:rPr>
          <w:color w:val="000000" w:themeColor="text1"/>
          <w:sz w:val="16"/>
          <w:szCs w:val="16"/>
        </w:rPr>
        <w:softHyphen/>
        <w:t>дрильи лейтенант Анохин допустил ошибку в рас</w:t>
      </w:r>
      <w:r w:rsidRPr="00070ADE">
        <w:rPr>
          <w:color w:val="000000" w:themeColor="text1"/>
          <w:sz w:val="16"/>
          <w:szCs w:val="16"/>
        </w:rPr>
        <w:softHyphen/>
        <w:t>чете при заходе на посадку, выкатился за пределы рабочего поля аэродрома на непригодную полосу и «поставил самолет на нос». Получили поврежде</w:t>
      </w:r>
      <w:r w:rsidRPr="00070ADE">
        <w:rPr>
          <w:color w:val="000000" w:themeColor="text1"/>
          <w:sz w:val="16"/>
          <w:szCs w:val="16"/>
        </w:rPr>
        <w:softHyphen/>
        <w:t>ния винт и кок винта, задние и боковые подкосы шасси, помялись обтекатели шасси, а также по</w:t>
      </w:r>
      <w:r w:rsidRPr="00070ADE">
        <w:rPr>
          <w:color w:val="000000" w:themeColor="text1"/>
          <w:sz w:val="16"/>
          <w:szCs w:val="16"/>
        </w:rPr>
        <w:softHyphen/>
        <w:t>гнулись оба пояса второй нервюры центроплана. Самолет подлежал списанию. Властью командира полка на Анохина было наложено дисциплинарное взыскание.</w:t>
      </w:r>
    </w:p>
    <w:p w14:paraId="4D72DB09" w14:textId="77777777" w:rsidR="00262E37" w:rsidRPr="00070ADE" w:rsidRDefault="00262E3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Вечером этого же дня, в 19.40, «во время силь</w:t>
      </w:r>
      <w:r w:rsidRPr="00070ADE">
        <w:rPr>
          <w:color w:val="000000" w:themeColor="text1"/>
          <w:sz w:val="16"/>
          <w:szCs w:val="16"/>
        </w:rPr>
        <w:softHyphen/>
        <w:t>ных грозовых разрядов при разговоре по телефону был ранен командир авиаполка майор Попрыкин /.../ и убит командир 2-й эскадрильи лейтенант Фомичев». Комполка отправили в госпиталь, а лей</w:t>
      </w:r>
      <w:r w:rsidRPr="00070ADE">
        <w:rPr>
          <w:color w:val="000000" w:themeColor="text1"/>
          <w:sz w:val="16"/>
          <w:szCs w:val="16"/>
        </w:rPr>
        <w:softHyphen/>
        <w:t>тенанта Фомичева похоронили с почестями.</w:t>
      </w:r>
    </w:p>
    <w:p w14:paraId="4A49B4D9" w14:textId="77777777" w:rsidR="00262E37" w:rsidRPr="00070ADE" w:rsidRDefault="00262E3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Временно исполняющим должность командира полка был назначен заместитель Попрыкина майор Трошин.</w:t>
      </w:r>
    </w:p>
    <w:p w14:paraId="08ABB4BD" w14:textId="77777777" w:rsidR="00262E37" w:rsidRPr="00070ADE" w:rsidRDefault="00262E3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Здесь следует сказать, что с дисциплиной в пол</w:t>
      </w:r>
      <w:r w:rsidRPr="00070ADE">
        <w:rPr>
          <w:color w:val="000000" w:themeColor="text1"/>
          <w:sz w:val="16"/>
          <w:szCs w:val="16"/>
        </w:rPr>
        <w:softHyphen/>
        <w:t>ку было не все благополучно. Видимо, сказыва</w:t>
      </w:r>
      <w:r w:rsidRPr="00070ADE">
        <w:rPr>
          <w:color w:val="000000" w:themeColor="text1"/>
          <w:sz w:val="16"/>
          <w:szCs w:val="16"/>
        </w:rPr>
        <w:softHyphen/>
        <w:t>лось длительное — почти 1,5 года — пребывание полка в глубоком тылу. Свое негативное влияние оказывала и материальная часть, на которой вско</w:t>
      </w:r>
      <w:r w:rsidRPr="00070ADE">
        <w:rPr>
          <w:color w:val="000000" w:themeColor="text1"/>
          <w:sz w:val="16"/>
          <w:szCs w:val="16"/>
        </w:rPr>
        <w:softHyphen/>
        <w:t>ре предполагалось вступить в бой. Летно-боевые качества английской машины оптимизма летчикам не добавляли. Вдобавок боевые задачи полку не ставились. Это отрицательно сказывалось как на моральном климате в полку, так и на состоянии летного состава.</w:t>
      </w:r>
    </w:p>
    <w:p w14:paraId="3E416A36" w14:textId="77777777" w:rsidR="00262E37" w:rsidRPr="00070ADE" w:rsidRDefault="00262E3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По этому поводу 28 июля майор Трошин докла</w:t>
      </w:r>
      <w:r w:rsidRPr="00070ADE">
        <w:rPr>
          <w:color w:val="000000" w:themeColor="text1"/>
          <w:sz w:val="16"/>
          <w:szCs w:val="16"/>
        </w:rPr>
        <w:softHyphen/>
        <w:t>дывал командованию: «Задачи боевой подготовки на август полку являются неясными, что затрудняет правильно нацелить личный состав в его работе. Личный состав проявляет большое желание бы</w:t>
      </w:r>
      <w:r w:rsidRPr="00070ADE">
        <w:rPr>
          <w:color w:val="000000" w:themeColor="text1"/>
          <w:sz w:val="16"/>
          <w:szCs w:val="16"/>
        </w:rPr>
        <w:softHyphen/>
        <w:t>стрее принять участие в боевой работе». Вот толь</w:t>
      </w:r>
      <w:r w:rsidRPr="00070ADE">
        <w:rPr>
          <w:color w:val="000000" w:themeColor="text1"/>
          <w:sz w:val="16"/>
          <w:szCs w:val="16"/>
        </w:rPr>
        <w:softHyphen/>
        <w:t>ко бы заменить полку материальную часть более современной.</w:t>
      </w:r>
    </w:p>
    <w:p w14:paraId="6E947241" w14:textId="77777777" w:rsidR="00262E37" w:rsidRPr="00070ADE" w:rsidRDefault="00262E3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Через два дня Трошин по согласованию с ко</w:t>
      </w:r>
      <w:r w:rsidRPr="00070ADE">
        <w:rPr>
          <w:color w:val="000000" w:themeColor="text1"/>
          <w:sz w:val="16"/>
          <w:szCs w:val="16"/>
        </w:rPr>
        <w:softHyphen/>
        <w:t>мандиром 215-й иад полковником Якушиным офи</w:t>
      </w:r>
      <w:r w:rsidRPr="00070ADE">
        <w:rPr>
          <w:color w:val="000000" w:themeColor="text1"/>
          <w:sz w:val="16"/>
          <w:szCs w:val="16"/>
        </w:rPr>
        <w:softHyphen/>
        <w:t>циально направил на его имя рапорт, в котором просил «ходатайства перед вышестоящим командо</w:t>
      </w:r>
      <w:r w:rsidRPr="00070ADE">
        <w:rPr>
          <w:color w:val="000000" w:themeColor="text1"/>
          <w:sz w:val="16"/>
          <w:szCs w:val="16"/>
        </w:rPr>
        <w:softHyphen/>
        <w:t xml:space="preserve">ванием о перевооружении полка на современные отечественные самолеты». В качестве обоснования он указывал, что самолет «Харрикейн» </w:t>
      </w:r>
      <w:r w:rsidRPr="00070ADE">
        <w:rPr>
          <w:color w:val="000000" w:themeColor="text1"/>
          <w:sz w:val="16"/>
          <w:szCs w:val="16"/>
          <w:lang w:val="en-US"/>
        </w:rPr>
        <w:t>IID</w:t>
      </w:r>
      <w:r w:rsidRPr="00070ADE">
        <w:rPr>
          <w:color w:val="000000" w:themeColor="text1"/>
          <w:sz w:val="16"/>
          <w:szCs w:val="16"/>
        </w:rPr>
        <w:t xml:space="preserve"> «как ис</w:t>
      </w:r>
      <w:r w:rsidRPr="00070ADE">
        <w:rPr>
          <w:color w:val="000000" w:themeColor="text1"/>
          <w:sz w:val="16"/>
          <w:szCs w:val="16"/>
        </w:rPr>
        <w:softHyphen/>
        <w:t>требитель по своим летным качествам является устаревшим и отсталым по сравнению с нашими современными истребителями». Фактические мак</w:t>
      </w:r>
      <w:r w:rsidRPr="00070ADE">
        <w:rPr>
          <w:color w:val="000000" w:themeColor="text1"/>
          <w:sz w:val="16"/>
          <w:szCs w:val="16"/>
        </w:rPr>
        <w:softHyphen/>
        <w:t>симальные скорости самолетов у земли не превы</w:t>
      </w:r>
      <w:r w:rsidRPr="00070ADE">
        <w:rPr>
          <w:color w:val="000000" w:themeColor="text1"/>
          <w:sz w:val="16"/>
          <w:szCs w:val="16"/>
        </w:rPr>
        <w:softHyphen/>
        <w:t>шали 360—370 км/ч, время набора высоты 1000 м достигало 4—5 мин, а набор высоты за боевой раз</w:t>
      </w:r>
      <w:r w:rsidRPr="00070ADE">
        <w:rPr>
          <w:color w:val="000000" w:themeColor="text1"/>
          <w:sz w:val="16"/>
          <w:szCs w:val="16"/>
        </w:rPr>
        <w:softHyphen/>
        <w:t>ворот составлял всего 450—500 м.</w:t>
      </w:r>
    </w:p>
    <w:p w14:paraId="4FF0233F" w14:textId="77777777" w:rsidR="00262E37" w:rsidRPr="00070ADE" w:rsidRDefault="00262E3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В то же время применение самолета в качестве штурмовика было невозможно по причине отсут</w:t>
      </w:r>
      <w:r w:rsidRPr="00070ADE">
        <w:rPr>
          <w:color w:val="000000" w:themeColor="text1"/>
          <w:sz w:val="16"/>
          <w:szCs w:val="16"/>
        </w:rPr>
        <w:softHyphen/>
        <w:t>ствия должного бронирования летчика и винтомо</w:t>
      </w:r>
      <w:r w:rsidRPr="00070ADE">
        <w:rPr>
          <w:color w:val="000000" w:themeColor="text1"/>
          <w:sz w:val="16"/>
          <w:szCs w:val="16"/>
        </w:rPr>
        <w:softHyphen/>
        <w:t>торной группы. По заявлению Трошина, установ</w:t>
      </w:r>
      <w:r w:rsidRPr="00070ADE">
        <w:rPr>
          <w:color w:val="000000" w:themeColor="text1"/>
          <w:sz w:val="16"/>
          <w:szCs w:val="16"/>
        </w:rPr>
        <w:softHyphen/>
        <w:t>ленная на самолете броня пробивается винтовоч</w:t>
      </w:r>
      <w:r w:rsidRPr="00070ADE">
        <w:rPr>
          <w:color w:val="000000" w:themeColor="text1"/>
          <w:sz w:val="16"/>
          <w:szCs w:val="16"/>
        </w:rPr>
        <w:softHyphen/>
        <w:t>ными и автоматными пулями с дистанции 70—80 м. Надо полагать, постреляли по бронеплитам списан</w:t>
      </w:r>
      <w:r w:rsidRPr="00070ADE">
        <w:rPr>
          <w:color w:val="000000" w:themeColor="text1"/>
          <w:sz w:val="16"/>
          <w:szCs w:val="16"/>
        </w:rPr>
        <w:softHyphen/>
        <w:t>ного «Харрикейна».</w:t>
      </w:r>
    </w:p>
    <w:p w14:paraId="4A84F6A3" w14:textId="77777777" w:rsidR="00262E37" w:rsidRPr="00070ADE" w:rsidRDefault="00262E3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 xml:space="preserve">Кроме того, все самолеты «Харрикейн» </w:t>
      </w:r>
      <w:r w:rsidRPr="00070ADE">
        <w:rPr>
          <w:color w:val="000000" w:themeColor="text1"/>
          <w:sz w:val="16"/>
          <w:szCs w:val="16"/>
          <w:lang w:val="en-US"/>
        </w:rPr>
        <w:t>IID</w:t>
      </w:r>
      <w:r w:rsidRPr="00070ADE">
        <w:rPr>
          <w:color w:val="000000" w:themeColor="text1"/>
          <w:sz w:val="16"/>
          <w:szCs w:val="16"/>
        </w:rPr>
        <w:t xml:space="preserve"> до поступления в полк уже имели значительный налет и многочисленные дефекты. Основными из них яв</w:t>
      </w:r>
      <w:r w:rsidRPr="00070ADE">
        <w:rPr>
          <w:color w:val="000000" w:themeColor="text1"/>
          <w:sz w:val="16"/>
          <w:szCs w:val="16"/>
        </w:rPr>
        <w:softHyphen/>
        <w:t>лялись следующие: изношенные моторы, которые недодавали мощности, выбоины и трещины на де</w:t>
      </w:r>
      <w:r w:rsidRPr="00070ADE">
        <w:rPr>
          <w:color w:val="000000" w:themeColor="text1"/>
          <w:sz w:val="16"/>
          <w:szCs w:val="16"/>
        </w:rPr>
        <w:softHyphen/>
        <w:t>ревянных винтах, выработавшие ресурс бортовые аккумуляторы, множественные порезы резины ко</w:t>
      </w:r>
      <w:r w:rsidRPr="00070ADE">
        <w:rPr>
          <w:color w:val="000000" w:themeColor="text1"/>
          <w:sz w:val="16"/>
          <w:szCs w:val="16"/>
        </w:rPr>
        <w:softHyphen/>
        <w:t>лес шасси, частично неисправное приборное обо</w:t>
      </w:r>
      <w:r w:rsidRPr="00070ADE">
        <w:rPr>
          <w:color w:val="000000" w:themeColor="text1"/>
          <w:sz w:val="16"/>
          <w:szCs w:val="16"/>
        </w:rPr>
        <w:softHyphen/>
        <w:t>рудование, отстающая от стрингеров фюзеляжа перкалевая обшивка (местами гнилая), нарушенное лакокрасочное покрытие фюзеляжа и низа плоско</w:t>
      </w:r>
      <w:r w:rsidRPr="00070ADE">
        <w:rPr>
          <w:color w:val="000000" w:themeColor="text1"/>
          <w:sz w:val="16"/>
          <w:szCs w:val="16"/>
        </w:rPr>
        <w:softHyphen/>
        <w:t>стей. К моторам и самолетам отсутствовали необхо</w:t>
      </w:r>
      <w:r w:rsidRPr="00070ADE">
        <w:rPr>
          <w:color w:val="000000" w:themeColor="text1"/>
          <w:sz w:val="16"/>
          <w:szCs w:val="16"/>
        </w:rPr>
        <w:softHyphen/>
        <w:t>димые запчасти.</w:t>
      </w:r>
    </w:p>
    <w:p w14:paraId="69F6A161" w14:textId="77777777" w:rsidR="00262E37" w:rsidRPr="00070ADE" w:rsidRDefault="00262E3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 xml:space="preserve">Между тем низкие фактические летно-боевые данные самолетов «Харрикейн» </w:t>
      </w:r>
      <w:r w:rsidRPr="00070ADE">
        <w:rPr>
          <w:color w:val="000000" w:themeColor="text1"/>
          <w:sz w:val="16"/>
          <w:szCs w:val="16"/>
          <w:lang w:val="en-US"/>
        </w:rPr>
        <w:t>IID</w:t>
      </w:r>
      <w:r w:rsidRPr="00070ADE">
        <w:rPr>
          <w:color w:val="000000" w:themeColor="text1"/>
          <w:sz w:val="16"/>
          <w:szCs w:val="16"/>
        </w:rPr>
        <w:t xml:space="preserve"> явно не вписы</w:t>
      </w:r>
      <w:r w:rsidRPr="00070ADE">
        <w:rPr>
          <w:color w:val="000000" w:themeColor="text1"/>
          <w:sz w:val="16"/>
          <w:szCs w:val="16"/>
        </w:rPr>
        <w:softHyphen/>
        <w:t>вались в тактику применения истребителей и штур</w:t>
      </w:r>
      <w:r w:rsidRPr="00070ADE">
        <w:rPr>
          <w:color w:val="000000" w:themeColor="text1"/>
          <w:sz w:val="16"/>
          <w:szCs w:val="16"/>
        </w:rPr>
        <w:softHyphen/>
        <w:t>мовиков, сложившуюся в условиях реальных бое</w:t>
      </w:r>
      <w:r w:rsidRPr="00070ADE">
        <w:rPr>
          <w:color w:val="000000" w:themeColor="text1"/>
          <w:sz w:val="16"/>
          <w:szCs w:val="16"/>
        </w:rPr>
        <w:softHyphen/>
        <w:t xml:space="preserve">вых действий на советско-германском фронте. Как истребитель «Харрикейн» </w:t>
      </w:r>
      <w:r w:rsidRPr="00070ADE">
        <w:rPr>
          <w:color w:val="000000" w:themeColor="text1"/>
          <w:sz w:val="16"/>
          <w:szCs w:val="16"/>
          <w:lang w:val="en-US"/>
        </w:rPr>
        <w:t>IID</w:t>
      </w:r>
      <w:r w:rsidRPr="00070ADE">
        <w:rPr>
          <w:color w:val="000000" w:themeColor="text1"/>
          <w:sz w:val="16"/>
          <w:szCs w:val="16"/>
        </w:rPr>
        <w:t xml:space="preserve"> использовать было нельзя, так как он не мог догнать даже </w:t>
      </w:r>
      <w:r w:rsidRPr="00070ADE">
        <w:rPr>
          <w:color w:val="000000" w:themeColor="text1"/>
          <w:sz w:val="16"/>
          <w:szCs w:val="16"/>
          <w:lang w:val="en-US"/>
        </w:rPr>
        <w:t>Ju</w:t>
      </w:r>
      <w:r w:rsidRPr="00070ADE">
        <w:rPr>
          <w:color w:val="000000" w:themeColor="text1"/>
          <w:sz w:val="16"/>
          <w:szCs w:val="16"/>
        </w:rPr>
        <w:t>88, а для штурмовых действий самолет был совершенно не</w:t>
      </w:r>
      <w:r w:rsidRPr="00070ADE">
        <w:rPr>
          <w:color w:val="000000" w:themeColor="text1"/>
          <w:sz w:val="16"/>
          <w:szCs w:val="16"/>
        </w:rPr>
        <w:softHyphen/>
        <w:t>пригоден вследствие слабого бронирования и во</w:t>
      </w:r>
      <w:r w:rsidRPr="00070ADE">
        <w:rPr>
          <w:color w:val="000000" w:themeColor="text1"/>
          <w:sz w:val="16"/>
          <w:szCs w:val="16"/>
        </w:rPr>
        <w:softHyphen/>
        <w:t>оружения. Кроме того, бронебойные снаряды кали</w:t>
      </w:r>
      <w:r w:rsidRPr="00070ADE">
        <w:rPr>
          <w:color w:val="000000" w:themeColor="text1"/>
          <w:sz w:val="16"/>
          <w:szCs w:val="16"/>
        </w:rPr>
        <w:softHyphen/>
        <w:t xml:space="preserve">бра 40 мм к пушкам Виккерс </w:t>
      </w:r>
      <w:r w:rsidRPr="00070ADE">
        <w:rPr>
          <w:color w:val="000000" w:themeColor="text1"/>
          <w:sz w:val="16"/>
          <w:szCs w:val="16"/>
          <w:lang w:val="en-US"/>
        </w:rPr>
        <w:t>S</w:t>
      </w:r>
      <w:r w:rsidRPr="00070ADE">
        <w:rPr>
          <w:color w:val="000000" w:themeColor="text1"/>
          <w:sz w:val="16"/>
          <w:szCs w:val="16"/>
        </w:rPr>
        <w:t xml:space="preserve"> все еще отсутствова</w:t>
      </w:r>
      <w:r w:rsidRPr="00070ADE">
        <w:rPr>
          <w:color w:val="000000" w:themeColor="text1"/>
          <w:sz w:val="16"/>
          <w:szCs w:val="16"/>
        </w:rPr>
        <w:softHyphen/>
        <w:t>ли на складах армии.</w:t>
      </w:r>
    </w:p>
    <w:p w14:paraId="359A0219" w14:textId="77777777" w:rsidR="00262E37" w:rsidRPr="00070ADE" w:rsidRDefault="00262E3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Итогом «хождения» рапорта майора Трошина стал приказ о перевооружении 246-го иап на оте</w:t>
      </w:r>
      <w:r w:rsidRPr="00070ADE">
        <w:rPr>
          <w:color w:val="000000" w:themeColor="text1"/>
          <w:sz w:val="16"/>
          <w:szCs w:val="16"/>
        </w:rPr>
        <w:softHyphen/>
        <w:t>чественный истребитель Як-1. Уже к 19 сентября все противотанковые «Харрикейны» были либо списаны, либо переданы в реморганы, а вместо них получены самолеты Як-1. После освоения новой техники 246-й иап был переформирован в 10-й иап Войска польского и вошел в состав 3-й польской авиационной дивизии.</w:t>
      </w:r>
    </w:p>
    <w:p w14:paraId="704F3639" w14:textId="77777777" w:rsidR="00262E37" w:rsidRPr="00070ADE" w:rsidRDefault="00262E3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 xml:space="preserve">На этом история английского противотанкового истребителя «Харрикейн» </w:t>
      </w:r>
      <w:r w:rsidRPr="00070ADE">
        <w:rPr>
          <w:color w:val="000000" w:themeColor="text1"/>
          <w:sz w:val="16"/>
          <w:szCs w:val="16"/>
          <w:lang w:val="en-US"/>
        </w:rPr>
        <w:t>IID</w:t>
      </w:r>
      <w:r w:rsidRPr="00070ADE">
        <w:rPr>
          <w:color w:val="000000" w:themeColor="text1"/>
          <w:sz w:val="16"/>
          <w:szCs w:val="16"/>
        </w:rPr>
        <w:t xml:space="preserve"> в ВВС КА закончилась. Не сделав ни одного боевого вылета, они были сня</w:t>
      </w:r>
      <w:r w:rsidRPr="00070ADE">
        <w:rPr>
          <w:color w:val="000000" w:themeColor="text1"/>
          <w:sz w:val="16"/>
          <w:szCs w:val="16"/>
        </w:rPr>
        <w:softHyphen/>
        <w:t>ты с вооружения фронтовых частей (17500).</w:t>
      </w:r>
    </w:p>
    <w:p w14:paraId="29E00AF1" w14:textId="77777777" w:rsidR="00262E37" w:rsidRPr="00070ADE" w:rsidRDefault="00262E37" w:rsidP="00B56F90">
      <w:pPr>
        <w:pStyle w:val="123"/>
        <w:shd w:val="clear" w:color="auto" w:fill="auto"/>
        <w:spacing w:after="0" w:line="240" w:lineRule="auto"/>
        <w:jc w:val="both"/>
        <w:rPr>
          <w:color w:val="000000" w:themeColor="text1"/>
          <w:sz w:val="16"/>
          <w:szCs w:val="16"/>
        </w:rPr>
      </w:pPr>
    </w:p>
    <w:p w14:paraId="1310782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в полосе северной ударной группы фронта для завершения прорыва немецкой обороны был введен 9-й танковый корпус, который к исходу дня достиг реки Березина. Войска южной ударной группы стремительно продвигались в обход Бобруйска с юго-запада.</w:t>
      </w:r>
    </w:p>
    <w:p w14:paraId="79DD1C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Штурмовики уничтожали отходившие колонны противника на дорогах и в местах скоплений, а также разрушали переправы через Березину и вели воздушную разведку. Одновременно с этим 4-й шак, 2-я гвардейская и 299-я шад сопровождали введенные в прорыв 9 и 1-й гвардейский танковые корпуса и 4-й гвардейский кавалерийский корпус. Всего Ил-2 произвели 858 вылетов.</w:t>
      </w:r>
    </w:p>
    <w:p w14:paraId="329828F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Командиры авиадивизий, взаимодействовавших с войсками, находились на НП их командующих. В соединениях первого эшелона находились авианаводчики, которые давали целеуказание авиации.</w:t>
      </w:r>
    </w:p>
    <w:p w14:paraId="1267409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26 июня радиостанция наведения 299-й шад передала ведущему группы штурмовиков майору Селиверстову: "Горбатые, бейте скопление войск и автомашин на северной окраине Оземля и по дорогам западнее железной дороги". Убедившись по паролю, что это действительно станция наведения дивизии, майор Селиверстов со своей группой атаковал указанную цель. После каждого захода станция наведения подтверждала правильность действий, а после пятого захода передала: "Работали отлично, следуйте домой, на смену вам подходит вторая группа".</w:t>
      </w:r>
    </w:p>
    <w:p w14:paraId="1E261D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отзыве начальника политотдела корпуса полковника Карева о боевой работе Ил-2 отмечается: "Хорошо работает авиация, поддерживающая корпус. В течение 26 июня в воздухе беспрерывно сменяли друг друга группы наших штурмовиков и истребителей, наносящих большой урон противнику и прикрывающих части корпуса с воздуха. Из опыта боев в составе других фронтов таких хорошо налаженных действий авиации мы не видели".</w:t>
      </w:r>
    </w:p>
    <w:p w14:paraId="3741C60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исходу третьего дня наступления войска 1-го Белорусского фронта обошли бобруйскую группировку с севера и отрезали пути отхода на запад. Противник начал общий отход на Бобруйск. Немецкие колонны войск с боевой техникой стали для штурмовиков главными целями.</w:t>
      </w:r>
    </w:p>
    <w:p w14:paraId="71564E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в полосе наступления 65А авиаразведчик обнаружил колонну противника в составе до 600 автомашин. Для ее уничтожения в воздух были подняты 44 Ил-2 от 300-й шад. Затем в течение почти двух часов небольшие группы штурмовиков держали колонну под бомбами и обстрелом. В итоге колонна была остановлена и рассеяна. Свыше 100 автомашин оказались разбитыми и сожженными (12020).</w:t>
      </w:r>
    </w:p>
    <w:p w14:paraId="17138C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3F3510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войска правого крыла 1-го Белорусского фронта ( 3А, 48А, 65А, 28А , 16ВА , 1-й и 9-й ТК, конно-механизированная группа и суда Днепровской военной флотилии) начали Бобруйскую наступательную операцию с целью окружить и уничтожить немецко-фашистские 9-ю и 4-ю армии группы армий "Центр" (4963 ).</w:t>
      </w:r>
    </w:p>
    <w:p w14:paraId="0879977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B3D8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немцы под натиском наших фронтов начали отступать и к 27 июля 1944 1БФ окружил юго-восточнее Бобруйска войска 35АК, который стал готовиться к прорыву 9ГТК. А.А.Новиков предложил нанести массированный удар авиацией и предотвратить прорыв и Г.К.Ж. поддержал идею (340,172).</w:t>
      </w:r>
    </w:p>
    <w:p w14:paraId="7D9657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B869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КА освободила Витебск (3907,249).</w:t>
      </w:r>
    </w:p>
    <w:p w14:paraId="3CB35E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4458F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советские войска освободили от фашистов Витебск (4962).</w:t>
      </w:r>
    </w:p>
    <w:p w14:paraId="011592B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AB07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183 самолета АДД нанесли удар по окруженной группировке в районе Бобруйска (438,911).</w:t>
      </w:r>
    </w:p>
    <w:p w14:paraId="433B10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E30E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26 июня 1944 на исходе дня “Нормандия” с командиром полка во главе нанесла массированный удар по крупному не</w:t>
      </w:r>
      <w:r w:rsidRPr="00070ADE">
        <w:rPr>
          <w:rFonts w:ascii="Times New Roman" w:hAnsi="Times New Roman"/>
          <w:color w:val="000000" w:themeColor="text1"/>
          <w:sz w:val="16"/>
          <w:szCs w:val="16"/>
        </w:rPr>
        <w:softHyphen/>
        <w:t>мецкому аэродрому у города Борисов. 37 истребителей Як-9 не только проштурмовали стоянки, но и уничтожили в воздухе шесть FW190. Всего за этот день полк произвел 72 самолетовылета и сбил 8 вражеских самолетов ценой гибели аспиранта Ж.Гастона, двух по</w:t>
      </w:r>
      <w:r w:rsidRPr="00070ADE">
        <w:rPr>
          <w:rFonts w:ascii="Times New Roman" w:hAnsi="Times New Roman"/>
          <w:color w:val="000000" w:themeColor="text1"/>
          <w:sz w:val="16"/>
          <w:szCs w:val="16"/>
        </w:rPr>
        <w:softHyphen/>
        <w:t>терянных и двух поврежденных “Яков” (3956).</w:t>
      </w:r>
    </w:p>
    <w:p w14:paraId="60A037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Советское командование отмечало самоотверженные действия француз</w:t>
      </w:r>
      <w:r w:rsidRPr="00070ADE">
        <w:rPr>
          <w:rFonts w:ascii="Times New Roman" w:hAnsi="Times New Roman"/>
          <w:color w:val="000000" w:themeColor="text1"/>
          <w:sz w:val="16"/>
          <w:szCs w:val="16"/>
        </w:rPr>
        <w:softHyphen/>
        <w:t>ских летчиков, прикрывавших наступа</w:t>
      </w:r>
      <w:r w:rsidRPr="00070ADE">
        <w:rPr>
          <w:rFonts w:ascii="Times New Roman" w:hAnsi="Times New Roman"/>
          <w:color w:val="000000" w:themeColor="text1"/>
          <w:sz w:val="16"/>
          <w:szCs w:val="16"/>
        </w:rPr>
        <w:softHyphen/>
        <w:t>ющие советские войска. С выходом пе</w:t>
      </w:r>
      <w:r w:rsidRPr="00070ADE">
        <w:rPr>
          <w:rFonts w:ascii="Times New Roman" w:hAnsi="Times New Roman"/>
          <w:color w:val="000000" w:themeColor="text1"/>
          <w:sz w:val="16"/>
          <w:szCs w:val="16"/>
        </w:rPr>
        <w:softHyphen/>
        <w:t>редовых частей к Неману, немецким бомбардировщикам и штурмовикам нередко удавалось наносить безнака</w:t>
      </w:r>
      <w:r w:rsidRPr="00070ADE">
        <w:rPr>
          <w:rFonts w:ascii="Times New Roman" w:hAnsi="Times New Roman"/>
          <w:color w:val="000000" w:themeColor="text1"/>
          <w:sz w:val="16"/>
          <w:szCs w:val="16"/>
        </w:rPr>
        <w:softHyphen/>
        <w:t>занные удары, пользуясь удаленно</w:t>
      </w:r>
      <w:r w:rsidRPr="00070ADE">
        <w:rPr>
          <w:rFonts w:ascii="Times New Roman" w:hAnsi="Times New Roman"/>
          <w:color w:val="000000" w:themeColor="text1"/>
          <w:sz w:val="16"/>
          <w:szCs w:val="16"/>
        </w:rPr>
        <w:softHyphen/>
        <w:t>стью наших аэродромов.</w:t>
      </w:r>
    </w:p>
    <w:p w14:paraId="7D8BD2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26DBE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05CF34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0B44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Берия направил Сталину следующее письмо:</w:t>
      </w:r>
    </w:p>
    <w:p w14:paraId="4040CB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о постановлением ГКО № 5637с от 16 апреля 1944 года НКВД СССР возобновил работы по Волгострою, законсервированные осенью 1941 года (7560).</w:t>
      </w:r>
    </w:p>
    <w:p w14:paraId="10B991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время строительства объем выполненных работ составил 1.500 млн. рублей при общей стоимости строительства 1.813 млн. рублей. Введены в эксплуатацию:</w:t>
      </w:r>
    </w:p>
    <w:p w14:paraId="3A1F13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Угличская гидростанция с двумя агрегатами по 55 тысяч киловатт каждый и Угличский шлюз;</w:t>
      </w:r>
    </w:p>
    <w:p w14:paraId="554B35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Рыбинская гидростанция с двумя первоочередными агрегатами из запроектированных шести по 55 тысяч киловатт каждый и один из двух Рыбинских судоходных шлюзов;</w:t>
      </w:r>
    </w:p>
    <w:p w14:paraId="414691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Угличское и Рыбинское водохранилища с судовыми ходами по ним;</w:t>
      </w:r>
    </w:p>
    <w:p w14:paraId="4B5405C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около 200 км железнодорожных обходных путей и свыше 120 км автогужевых дорог со всеми мостами и искусственными сооружениями (7560).</w:t>
      </w:r>
    </w:p>
    <w:p w14:paraId="716E15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ввода сооружений во временную эксплуатацию с Угличской и Рыбинской гидростанций за время их работы по 1 мая 1944 года подано в Московскую энергосистему 2.327 млн. квт/часов электроэнергии. Создано 732 км новых магистральных глубоководных путей и увеличена транзитная глубина по реке Волге ниже Рыбинска с 1,6 метра до 2,6 метра. При строительстве гидротехнических сооружений Волгостроя применен ряд крупных технических усовершенствований:</w:t>
      </w:r>
    </w:p>
    <w:p w14:paraId="272AA6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самые большие в мире турбины типа Каплана с диаметром рабочего колеса 9 метров;</w:t>
      </w:r>
    </w:p>
    <w:p w14:paraId="2A485C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внедрена впервые в СССР система бокового наполнения и опорожнения судоходных шлюзов, что позволило вдвое увеличить их пропускную способность;</w:t>
      </w:r>
    </w:p>
    <w:p w14:paraId="3511F3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на строительстве применялись плотный и экономный трехкомпонентный цемент, железобетонные оболочки и сварные арматурные фермы (7560).</w:t>
      </w:r>
    </w:p>
    <w:p w14:paraId="0CB703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НКВД СССР ходатайствует о награждении орденами и медалями СССР наиболее отличившихся инженерно-технических, административно-хозяйственных работников, рабочих Волгостроя и заводов, изготовлявших оборудование. Прилагая проект Указа Президиума Верховного Совета Союза ССР, прошу Вашего решения” (7560).</w:t>
      </w:r>
    </w:p>
    <w:p w14:paraId="641A10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FD216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вышло Распоряжение ГКО № 6113 [О военизированной пожарной охране Одессы.] (7243, 227).</w:t>
      </w:r>
    </w:p>
    <w:p w14:paraId="47F6F3E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F811C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32CEDA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AEDC0D"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26 июня</w:t>
      </w:r>
      <w:r w:rsidRPr="00070ADE">
        <w:rPr>
          <w:rFonts w:ascii="Times New Roman" w:hAnsi="Times New Roman"/>
          <w:color w:val="000000" w:themeColor="text1"/>
          <w:sz w:val="16"/>
          <w:szCs w:val="16"/>
        </w:rPr>
        <w:t xml:space="preserve"> в 1944 году поднялся в воздух второй прототип </w:t>
      </w:r>
      <w:hyperlink r:id="rId183" w:tgtFrame="_blank" w:history="1">
        <w:r w:rsidRPr="00070ADE">
          <w:rPr>
            <w:rFonts w:ascii="Times New Roman" w:hAnsi="Times New Roman"/>
            <w:color w:val="000000" w:themeColor="text1"/>
            <w:sz w:val="16"/>
            <w:szCs w:val="16"/>
          </w:rPr>
          <w:t xml:space="preserve">«XP-72» </w:t>
        </w:r>
      </w:hyperlink>
      <w:r w:rsidRPr="00070ADE">
        <w:rPr>
          <w:rFonts w:ascii="Times New Roman" w:hAnsi="Times New Roman"/>
          <w:color w:val="000000" w:themeColor="text1"/>
          <w:sz w:val="16"/>
          <w:szCs w:val="16"/>
        </w:rPr>
        <w:t>(43-36599). Второй прототип получил пропеллеры противоположного вращения «Aeroproducts». К сожалению второй «XP-72» был разбит уже в ходе первых испытательных полетов (14934).</w:t>
      </w:r>
    </w:p>
    <w:p w14:paraId="033CA60F" w14:textId="77777777" w:rsidR="000F083A" w:rsidRPr="00070ADE" w:rsidRDefault="000F083A" w:rsidP="00B56F90">
      <w:pPr>
        <w:spacing w:after="0" w:line="240" w:lineRule="auto"/>
        <w:jc w:val="both"/>
        <w:rPr>
          <w:rFonts w:ascii="Times New Roman" w:hAnsi="Times New Roman"/>
          <w:color w:val="000000" w:themeColor="text1"/>
          <w:sz w:val="16"/>
          <w:szCs w:val="16"/>
        </w:rPr>
      </w:pPr>
    </w:p>
    <w:p w14:paraId="48BB3DED" w14:textId="77777777" w:rsidR="006A2076" w:rsidRPr="00070ADE" w:rsidRDefault="006A2076" w:rsidP="00B56F90">
      <w:pPr>
        <w:pStyle w:val="115"/>
        <w:shd w:val="clear" w:color="auto" w:fill="auto"/>
        <w:spacing w:after="0" w:line="240" w:lineRule="auto"/>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В ночь на 26 июня 1944 130 английских бомбардировщиков «Ланка</w:t>
      </w:r>
      <w:r w:rsidRPr="00070ADE">
        <w:rPr>
          <w:rFonts w:ascii="Times New Roman" w:hAnsi="Times New Roman" w:cs="Times New Roman"/>
          <w:color w:val="000000" w:themeColor="text1"/>
          <w:sz w:val="16"/>
          <w:szCs w:val="16"/>
        </w:rPr>
        <w:softHyphen/>
        <w:t>стер» и «Стирлинг» бомбили венгерскую столицу. Огнем зенитной артиллерии было сбито 7 бомбардировщиков.</w:t>
      </w:r>
    </w:p>
    <w:p w14:paraId="52439AF2" w14:textId="77777777" w:rsidR="006A2076" w:rsidRPr="00070ADE" w:rsidRDefault="006A2076" w:rsidP="00B56F90">
      <w:pPr>
        <w:pStyle w:val="115"/>
        <w:shd w:val="clear" w:color="auto" w:fill="auto"/>
        <w:spacing w:after="0" w:line="240" w:lineRule="auto"/>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Ну а днем того числа 677 бомбардировщиков В-17 и В-24 бомбили Вену и влетели в воздушное пространство Венгрии. Венгерские истребители сбили три В-24, один Р-38 и один Р-51, потеряв три машины. Всего 26 июня янки потеряли 30 самолетов, в основном тяжелых бомбардировщиков, зато сами заявили о сбитии 60 вражеских истребителей (19083).</w:t>
      </w:r>
    </w:p>
    <w:p w14:paraId="069C0B56" w14:textId="77777777" w:rsidR="006A2076" w:rsidRPr="00070ADE" w:rsidRDefault="006A2076" w:rsidP="00B56F90">
      <w:pPr>
        <w:pStyle w:val="115"/>
        <w:shd w:val="clear" w:color="auto" w:fill="auto"/>
        <w:spacing w:after="0" w:line="240" w:lineRule="auto"/>
        <w:jc w:val="both"/>
        <w:rPr>
          <w:rFonts w:ascii="Times New Roman" w:hAnsi="Times New Roman" w:cs="Times New Roman"/>
          <w:color w:val="000000" w:themeColor="text1"/>
          <w:sz w:val="16"/>
          <w:szCs w:val="16"/>
        </w:rPr>
      </w:pPr>
    </w:p>
    <w:p w14:paraId="2B6B986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 июня 1944 на встрече с ведущими немецкими бизнесменами в Оберзальцберге Гитлер пообещал скорую победу Германии (4962).</w:t>
      </w:r>
    </w:p>
    <w:p w14:paraId="59C300D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04D66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9A22F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04DB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июня 1944 вышел акт НИИ ВВС КА по гос. испытаниям самолета Як-9 с мотором ВК-105ПФ дальнего с 20 мм мотор-пушкой и 2х12.7 мм УБС. Скорости 522 км/час у земли и 584 км/час на 3900 м и дальностью 2285 на 0.7 макс. (1880,159).</w:t>
      </w:r>
    </w:p>
    <w:p w14:paraId="3B5A18F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7D2C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июня 1944 на МиГ АМ-39Б + 2ТК-2Б был выполнен полет на определение границы высотности на второй скорости нагнетателя. латали 0:25 на 7000 м. Мотор работал ненадежно (1825).</w:t>
      </w:r>
    </w:p>
    <w:p w14:paraId="7F2B8E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0F7D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июня 1944 на МИГ С АМ-39Б И 2ТК-2Б был произведен полет на определение границы высотности самол&amp;та на второй скорости нагнетателя с полностью включенными ТК. Продолжителъность полета - 25 мин, высота—7000 мт. Начиная с высоты 6000 мт, мотор неоднократно обрезал в полете, из-за чего полет был прекращен. При осмотре самолета на земле дефектов, могущих влиять на работу мотора, не обнаружено. По предположению представителя завода № 300 тов. САЗОНОВА обрезание мотора происходило по вине системы зажигания. Произведена замена магнето и свечей (1825).</w:t>
      </w:r>
    </w:p>
    <w:p w14:paraId="7E5C70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5CBF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июня 1944 разбили КОР-2 N 4770202 в Красноярске и разбился В.Н.Аносов - летчик ЛИИ ВВС ВМФ и ш Н.Д.Шевченко из-за ослепления светом, отраженным от воды (1288,33).</w:t>
      </w:r>
    </w:p>
    <w:p w14:paraId="702778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430B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июня 1944 года. Зам. начальника 7-го гл. управления Алексеев.</w:t>
      </w:r>
    </w:p>
    <w:p w14:paraId="680F4A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Справка</w:t>
      </w:r>
    </w:p>
    <w:p w14:paraId="2DAA1C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ОКБ Братухина после проведения первого этапа летных испытаний геликоптера "Омега" с моторами МВ-6 в настоящее время проводит модификацию геликоптера "Омега" под моторы МГ-31Ф. Моторы получены, производится сборка машины в сборочном цеху.</w:t>
      </w:r>
    </w:p>
    <w:p w14:paraId="720D27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Геликоптер с моторами МГ-31Ф выйдет на летные испытания к 15 июля с.г.</w:t>
      </w:r>
    </w:p>
    <w:p w14:paraId="7D9EAB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тематического плана 1943-1944 г., КБ занято проектированием двухмоторного геликоптера в варианте арткорректировщика (1825,54).</w:t>
      </w:r>
    </w:p>
    <w:p w14:paraId="4B1CBE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C6C3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28 июня самолет к Крапивы 27 гап ночных охотников-блокировщиков АДД пп М.П.Дедова-Дзядушинского испробовал А-20G-1 с АКАБ - автоматической комбинированной артиллерийской установкой Г.М.Можаровского, Веневидова и ГИ 266 завода в Казани А.А.Енгибаряна. Установка состояла из двух рам, со смонтированными ШВАК (250 снарядов) и УБК (300 патронов). Летали на Барановичи - крупнейшую немецкую авиабазу в Белоруссии. пушки были без плямягасителей и зенитчики по ним вели прицельный огонь. А.Е.Голованов подписал отчет об испытаниях с резолюцией "АКАБ, как новый вид авиационного оружия, может быть использована в АДД для вооружения А-20. Потом сделали 6 (1726,4).</w:t>
      </w:r>
    </w:p>
    <w:p w14:paraId="6C56FE0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5BABA7"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37D51B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8DFF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июня 1944 г. была подготовлена ДОКЛАДНАЯ ЗАПИСКА ЗАМЕСТИТЕЛЯ КОМАНДУЮЩЕГО БТ и МВ КА ЗАМЕСТИТЕЛЮ ПРЕДСЕДАТЕЛЯ ГКО СССР Л.П. БЕРИИ О ВЫПУСКЕ САМОХОДНЫХ АРТИЛЛЕРИЙСКИХ УСТАНОВОК СУ-76 НА ЗАВОДАХ ГАЗ им. МОЛОТОВА И №40 НКСМ</w:t>
      </w:r>
    </w:p>
    <w:p w14:paraId="3390D7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w:t>
      </w:r>
    </w:p>
    <w:p w14:paraId="5696F4F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Постановлением заседания оперативного бюро ГОКО от 23.05.1944 г. (протокол №16) увеличе</w:t>
      </w:r>
      <w:r w:rsidRPr="00070ADE">
        <w:rPr>
          <w:rFonts w:ascii="Times New Roman" w:hAnsi="Times New Roman"/>
          <w:color w:val="000000" w:themeColor="text1"/>
          <w:sz w:val="16"/>
          <w:szCs w:val="16"/>
        </w:rPr>
        <w:softHyphen/>
        <w:t>ние выпуска самоходных артиллерийских установок СУ-76 на заводах ГАЗ им. Молотова и №40 НКСМ определено в таких размерах, чтобы возместить потери от снятия с производства этих СУ-76 на заводе №38 НКТП, т.е. в количестве 175 шт. в месяц.</w:t>
      </w:r>
    </w:p>
    <w:p w14:paraId="7840D9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в проекте постановления ГОКО о выпуске СУ-76, подготовленном Госпланом СССР, не предусмотрена полная компенсация потерь от прекращения производства СУ-76 на заводе №38, т.к. выпуск СУ-76 запланирован в следующих количествах:</w:t>
      </w:r>
    </w:p>
    <w:tbl>
      <w:tblPr>
        <w:tblW w:w="0" w:type="auto"/>
        <w:tblInd w:w="40" w:type="dxa"/>
        <w:tblLayout w:type="fixed"/>
        <w:tblCellMar>
          <w:left w:w="40" w:type="dxa"/>
          <w:right w:w="40" w:type="dxa"/>
        </w:tblCellMar>
        <w:tblLook w:val="0000" w:firstRow="0" w:lastRow="0" w:firstColumn="0" w:lastColumn="0" w:noHBand="0" w:noVBand="0"/>
      </w:tblPr>
      <w:tblGrid>
        <w:gridCol w:w="1248"/>
        <w:gridCol w:w="1258"/>
        <w:gridCol w:w="1258"/>
        <w:gridCol w:w="1267"/>
      </w:tblGrid>
      <w:tr w:rsidR="004D4663" w:rsidRPr="00070ADE" w14:paraId="731E415A" w14:textId="77777777">
        <w:trPr>
          <w:trHeight w:val="432"/>
        </w:trPr>
        <w:tc>
          <w:tcPr>
            <w:tcW w:w="1248" w:type="dxa"/>
            <w:tcBorders>
              <w:top w:val="single" w:sz="6" w:space="0" w:color="auto"/>
              <w:left w:val="single" w:sz="6" w:space="0" w:color="auto"/>
              <w:bottom w:val="single" w:sz="6" w:space="0" w:color="auto"/>
              <w:right w:val="single" w:sz="6" w:space="0" w:color="auto"/>
            </w:tcBorders>
          </w:tcPr>
          <w:p w14:paraId="6AF1B7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1455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528E2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ГАЗ им. Молотова</w:t>
            </w:r>
          </w:p>
          <w:p w14:paraId="6C81BD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84D6A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заводе № 40</w:t>
            </w:r>
          </w:p>
          <w:p w14:paraId="5D08D5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6FC4B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07D78B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E20CE11" w14:textId="77777777">
        <w:trPr>
          <w:trHeight w:val="854"/>
        </w:trPr>
        <w:tc>
          <w:tcPr>
            <w:tcW w:w="1248" w:type="dxa"/>
            <w:tcBorders>
              <w:top w:val="single" w:sz="6" w:space="0" w:color="auto"/>
              <w:left w:val="single" w:sz="6" w:space="0" w:color="auto"/>
              <w:bottom w:val="single" w:sz="6" w:space="0" w:color="auto"/>
              <w:right w:val="single" w:sz="6" w:space="0" w:color="auto"/>
            </w:tcBorders>
          </w:tcPr>
          <w:p w14:paraId="6ABE1B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Июль</w:t>
            </w:r>
          </w:p>
          <w:p w14:paraId="1A281B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Август</w:t>
            </w:r>
          </w:p>
          <w:p w14:paraId="0FC602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Сентябрь Октябрь</w:t>
            </w:r>
          </w:p>
          <w:p w14:paraId="3A557A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C4E72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400</w:t>
            </w:r>
          </w:p>
          <w:p w14:paraId="688462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440</w:t>
            </w:r>
          </w:p>
          <w:p w14:paraId="39C835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w:t>
            </w:r>
          </w:p>
          <w:p w14:paraId="50B80F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w:t>
            </w:r>
          </w:p>
          <w:p w14:paraId="40475D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CD120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w:t>
            </w:r>
          </w:p>
          <w:p w14:paraId="4DDA22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p w14:paraId="445C17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p w14:paraId="1BF380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p w14:paraId="67A51B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42281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510</w:t>
            </w:r>
          </w:p>
          <w:p w14:paraId="7AC36F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590</w:t>
            </w:r>
          </w:p>
          <w:p w14:paraId="36A5B3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p w14:paraId="0DE49B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600</w:t>
            </w:r>
          </w:p>
          <w:p w14:paraId="163DDB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B8E3C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Прошу ваших указаний Госплану СССР предусмотреть в проекте постановления ГОКО выпуск СУ-76 на заводах ГАЗ им. Молотова и №40 НКСМ в следующих количествах:</w:t>
      </w:r>
    </w:p>
    <w:tbl>
      <w:tblPr>
        <w:tblW w:w="0" w:type="auto"/>
        <w:tblInd w:w="40" w:type="dxa"/>
        <w:tblLayout w:type="fixed"/>
        <w:tblCellMar>
          <w:left w:w="40" w:type="dxa"/>
          <w:right w:w="40" w:type="dxa"/>
        </w:tblCellMar>
        <w:tblLook w:val="0000" w:firstRow="0" w:lastRow="0" w:firstColumn="0" w:lastColumn="0" w:noHBand="0" w:noVBand="0"/>
      </w:tblPr>
      <w:tblGrid>
        <w:gridCol w:w="1258"/>
        <w:gridCol w:w="1258"/>
        <w:gridCol w:w="1248"/>
        <w:gridCol w:w="1277"/>
      </w:tblGrid>
      <w:tr w:rsidR="004D4663" w:rsidRPr="00070ADE" w14:paraId="00A706B1" w14:textId="77777777">
        <w:trPr>
          <w:trHeight w:val="422"/>
        </w:trPr>
        <w:tc>
          <w:tcPr>
            <w:tcW w:w="1258" w:type="dxa"/>
            <w:tcBorders>
              <w:top w:val="single" w:sz="6" w:space="0" w:color="auto"/>
              <w:left w:val="single" w:sz="6" w:space="0" w:color="auto"/>
              <w:bottom w:val="single" w:sz="6" w:space="0" w:color="auto"/>
              <w:right w:val="single" w:sz="6" w:space="0" w:color="auto"/>
            </w:tcBorders>
          </w:tcPr>
          <w:p w14:paraId="0ABB15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4659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3D259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ГАЗ им. Молотова</w:t>
            </w:r>
          </w:p>
          <w:p w14:paraId="07C07C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E6CCE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заводе № 40</w:t>
            </w:r>
          </w:p>
          <w:p w14:paraId="2F48E6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AAD6A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p w14:paraId="09CFB6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1B7A968" w14:textId="77777777">
        <w:trPr>
          <w:trHeight w:val="1258"/>
        </w:trPr>
        <w:tc>
          <w:tcPr>
            <w:tcW w:w="1258" w:type="dxa"/>
            <w:tcBorders>
              <w:top w:val="single" w:sz="6" w:space="0" w:color="auto"/>
              <w:left w:val="single" w:sz="6" w:space="0" w:color="auto"/>
              <w:bottom w:val="single" w:sz="6" w:space="0" w:color="auto"/>
              <w:right w:val="single" w:sz="6" w:space="0" w:color="auto"/>
            </w:tcBorders>
          </w:tcPr>
          <w:p w14:paraId="22B875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Июль</w:t>
            </w:r>
          </w:p>
          <w:p w14:paraId="199156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Август</w:t>
            </w:r>
          </w:p>
          <w:p w14:paraId="77B12B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Сентябрь</w:t>
            </w:r>
          </w:p>
          <w:p w14:paraId="62F02C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Октябрь</w:t>
            </w:r>
          </w:p>
          <w:p w14:paraId="32F998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Ноябрь</w:t>
            </w:r>
          </w:p>
          <w:p w14:paraId="2C51F8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Декабрь</w:t>
            </w:r>
          </w:p>
          <w:p w14:paraId="5FB679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66D5A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5C3B132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6159B2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492E40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0E7479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255F59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w:t>
            </w:r>
          </w:p>
          <w:p w14:paraId="560299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CD233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110</w:t>
            </w:r>
          </w:p>
          <w:p w14:paraId="6705BE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125</w:t>
            </w:r>
          </w:p>
          <w:p w14:paraId="627B44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135</w:t>
            </w:r>
          </w:p>
          <w:p w14:paraId="2E0B1B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p w14:paraId="7B3486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p w14:paraId="290CDF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w:t>
            </w:r>
          </w:p>
          <w:p w14:paraId="6DF228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DF7EC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610</w:t>
            </w:r>
          </w:p>
          <w:p w14:paraId="2B30C4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625</w:t>
            </w:r>
          </w:p>
          <w:p w14:paraId="08DFDE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635</w:t>
            </w:r>
          </w:p>
          <w:p w14:paraId="0F6BAC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p w14:paraId="30D44C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p w14:paraId="5B828C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650</w:t>
            </w:r>
          </w:p>
          <w:p w14:paraId="3A441A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DEAEF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принятии этой программы будет выполнено возмещение потерь от снятия с производства СУ-76 на заводе №38 НКТП.</w:t>
      </w:r>
    </w:p>
    <w:p w14:paraId="18FC3A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командующего БТ и МВ КА генерал-полковник танковых войск Коробков</w:t>
      </w:r>
    </w:p>
    <w:p w14:paraId="1F619D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 военного совета генерал-полковник танковых войск Бирюков</w:t>
      </w:r>
    </w:p>
    <w:p w14:paraId="7ED604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11369. Д. 403. Л. 70-71. Копия (11420).</w:t>
      </w:r>
    </w:p>
    <w:p w14:paraId="736869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7942C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июня 1944 вышло Распоряжение ГКО № 6114. О поставках оборудования, топлива и материалов аэростатным частям КА. РГАНИР, Фонд ГКО, д. 266, лл. 228,229-231 (11012).</w:t>
      </w:r>
    </w:p>
    <w:p w14:paraId="5A7893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EC47F5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июня 1944 вышло Распоряжение ГКО № 6115 [Об уменьшении плана мобилизации на 745 возчиков с лошадьми по Архангельской обл. для лесозаготовительных предприятий НКПС.] (7243, 232).</w:t>
      </w:r>
    </w:p>
    <w:p w14:paraId="3357515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D7D9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июня 1944 Проведены выборочные вскрытия механизмов и контрольный пробег 14-го МБК (приемный акт подписан 30 июня). Закончен ремонт БМО (бортовой номер 518). При постройке БМО осуществлялась МЗК: броня - с Ижорского завода; двигатели "Паккард"'- импортные; паровые котлы - с завода им. В. И. Ленина; шпили и рулевые машины - с "Русского дизеля"; гребные винты - с Балтийского завода; пожарные насосы - с "Красного факела"; якоря - с завода им. А. А. Жданова; якорные цепи - с Большой земли и т. д (10671).</w:t>
      </w:r>
    </w:p>
    <w:p w14:paraId="6ED2638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841EB3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33EA8D4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39C763"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27 июня</w:t>
      </w:r>
      <w:r w:rsidRPr="00070ADE">
        <w:rPr>
          <w:rFonts w:ascii="Times New Roman" w:hAnsi="Times New Roman"/>
          <w:color w:val="000000" w:themeColor="text1"/>
          <w:sz w:val="16"/>
          <w:szCs w:val="16"/>
        </w:rPr>
        <w:t xml:space="preserve"> в 1944 году оперативная сводка Совинформбюро:</w:t>
      </w:r>
    </w:p>
    <w:p w14:paraId="6BA2F375"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Витебск наши войска завершили ликвидацию окружённой группировки противника в составе 4, 197, 206, 246 пехотных и 6 авиаполевой дивизий. Ввиду отчаянного сопротивления, большая часть окружённых немецких войск была перебита нашими войсками; при этом противник оставил на поле боя более 20.000 трупов. Остатки этих дивизий приняли ультиматум Советского Командования о капитуляции, прекратили сопротивление и сложили оружие. По предварительным данным, сдалось в плен свыше 10.000 немецких солдат и офицеров.</w:t>
      </w:r>
    </w:p>
    <w:p w14:paraId="6562CF2E"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Белорусского фронта, развивая наступление, 27 июня овладели городом и оперативно-важным железнодорожным узлом Орша.</w:t>
      </w:r>
    </w:p>
    <w:p w14:paraId="1AB30555"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Лепельском направлении наши войска с боями продвигались вперёд и овладели районным центром Витебской области городом Чашники, а также заняли более 200 других населённых пунктов, среди которых крупные населённые пункты Усвея, Усая, Хотино, Батуколово, Камень, Медвецк, Козановка, Лукомль, Лисичино и железнодорожные станции Вятны, Чашники.</w:t>
      </w:r>
    </w:p>
    <w:p w14:paraId="60E05DC0"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Минском направлении наши войска, развивая успешное наступление, с боями заняли более 350 населённых пунктов, в том числе крупные населённые пункты Ридомля, Раветичи, Бушмин, Малое Гальцево, Волосово, Клубиничи, Заборье, Обчуга, Бобр и железнодорожная станция Бобр.</w:t>
      </w:r>
    </w:p>
    <w:p w14:paraId="1A7980B8"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Могилевском направлении наши войска, преследуя противника, повсеместно вышли к восточному берегу реки Днепр на участке Орша, Могилев, Быхов, освободив при этом более 300 населённых пунктов, среди которых крупные населённые пункты Зубова, Копысть, Никитиничи, Ржавцы, Заречье, Луполово, Сидоровичи, Следюки и железнодорожные станции Зубры, Дары, Луполово. Наши войска форсировали реку Днепр севернее и южнее города Могилев, перерезали железную дорогу Орша — Могилев и завязали уличные бои в городе Могилев.</w:t>
      </w:r>
    </w:p>
    <w:p w14:paraId="424BD0E2"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Бобруйском направлении наши войска, развивая охватывающие удары с востока и юга на Бобруйск, завершили окружение группировки противника, состоящей из пяти пехотных дивизий, в районе Бобруйска и юго-восточнее города. В ходе наступательных боёв наши войска овладели районными центрами Полесской области городом Глуск и Карпиловка, а также заняли более 600 других населённых пунктов, в числе которых крупные населённые пункты Городец, Пацова Слобода, Подречье, Титовка, Дворяниновичи, Бирча, Шедрин, Пекаличи, Василевка, Ламы (5 километров южнее Бобруйска), Верезовичи, Сычково, Барановичи, Глуша, Жолвинец, Балашевичи, Зубаревичи, Хойно, Колки и железнодорожные станции Заградье, Красный Берег, Омельня, Красный Брод, Залесье, Рабкор, Мирадино. Наши войска перерезали железную и шоссейную дороги Бобруйск — Минск, вплотную подошли к городу Бобруйск и завязали бои на окраинах города.</w:t>
      </w:r>
    </w:p>
    <w:p w14:paraId="71995739"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Между Онежским и Ладожским озёрами наши войска с боями продвигались вперёд и овладели районным центром Карело-Финской ССР Шелтозеро, а также заняли более 30 других населённых пунктов, среди которых Ростань, Ладва, Розмега, Ревсельга, Чильмозеро, Улваны, Новинки, Нурмалица, Рабола и железно дорожные станции Токари, Ревсельга, Пай, Таржеполь, Ладва.</w:t>
      </w:r>
    </w:p>
    <w:p w14:paraId="22B41FD8"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без перемен.</w:t>
      </w:r>
    </w:p>
    <w:p w14:paraId="733657F0"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26 июня наши войска на всех фронтах подбили и уничтожили 38 немецких танков. В воздушных боях и огнём зенитной артиллерии сбито 34 самолёта противника.»</w:t>
      </w:r>
    </w:p>
    <w:p w14:paraId="06D8946B"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Налёт нашей авиации на железнодорожные узлы Осиповичи, Полоцк и железнодорожные станции Борисов, Янув, Ловча, Лунинец, Пинск:</w:t>
      </w:r>
    </w:p>
    <w:p w14:paraId="3DC274A9"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27 июня наша авиация дальнего действия совершила налет на железнодорожные узлы Осиповичи, Полоцк, железнодорожные станции Борисов, Янув, Пинск, Ловча, Лутинец.</w:t>
      </w:r>
    </w:p>
    <w:p w14:paraId="68023C2D"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моменту налёта нашей авиации на железнодорожном узле Осиповичи находилось большое отопление железнодорожных эшелонов противника с войсками, боеприпасами и различной военной техникой. Обрушив на эшелоны врага бомбовый груз, наши лётчики вызвали более 20 очагов пожара. Горели железнодорожные эшелоны и военные склады противника. Произошло 18 больших взрывов.</w:t>
      </w:r>
    </w:p>
    <w:p w14:paraId="38CB80CF"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Бомбардировкой железнодорожного узла Полоцк вызвано 7 крупных очагов пожара. Горели склады и железнодорожные эшелоны немцев. Произошло 3 взрыва, в том числе один взрыв огромной силы.</w:t>
      </w:r>
    </w:p>
    <w:p w14:paraId="721965B4"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бомбардировки на железно дорожной станции Борисов возникло 8 очагов пожара, на станциях Лунинец, Ловча, Пинск и Янув — 15 очагов пожара. Наши лётчики ясно видели, как горели железно дорожные эшелоны и поочерёдно происходили большие взрывы.»</w:t>
      </w:r>
    </w:p>
    <w:p w14:paraId="535FA8CB"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«Юго-западнее города Витебск окружённая группировка противника неоднократно предпринимала отчаянные попытки прорваться сквозь железное кольцо советских войск. Каждый раз вражеские колонны наталкивались на мощный артиллерийско-миномётный огонь и, неся огромные потери, откатывались назад. Сегодня между 11 и 12 часами дня командование немецкой окружённой группировки приняло ультиматум Советского командования и капитулировало. Сдалось в плен свыше 10 тысяч немецких солдат и офицеров. Захвачены большие трофеи.</w:t>
      </w:r>
    </w:p>
    <w:p w14:paraId="17DB5E12"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3-гo Белорусского фронта, стремительно продвигаясь вперёд, ворвались на северную и северо-западную окраины города Орша и завязали бои на его улицах. Одновременно наши части нанесли удар с востока, с хода форсировали Днепр и вышли в центральные кварталы города. В ожесточённом сражении наши части наголову разбили крупный гарнизон противника. К утру 27 июня советские воины освободили крупнейший узел шоссейных и железных дорог город Орша — мощный бастион обороны немцев на Минском направлении. На других участках наши войска быстро продвигались вперёд, громя на своём пути разбитые немецкие части. Захвачены 164 орудия, 116 миномётов, 315 пулемётов, 10 паровозов, 110 вагонов, 51 склад с боеприпасами я военным имуществом. В это число не входят трофеи наших войск, захваченные в Орше. На ряде участков деморализованные солдаты и офицеры противника большими группами сдаются в плен.</w:t>
      </w:r>
    </w:p>
    <w:p w14:paraId="55B4A8B6"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На Могилёвском направлении наши войска вышли на широком фронте к Днепру и, преодолев сопротивление противника, форсировали реку севернее и южнее Могилёва. Советские танковые и пехотные части перерезали железную дорогу Могилёв — Орша и, развивая успех, ворвались на южную восточную и северную окраины Могилёва. Только одно наше соединение в ожесточённых боях уничтожило свыше полка вражеской пехоты и захватало 25 орудий, 30 пулемётов, 700 </w:t>
      </w:r>
      <w:r w:rsidRPr="00070ADE">
        <w:rPr>
          <w:rFonts w:ascii="Times New Roman" w:hAnsi="Times New Roman"/>
          <w:color w:val="000000" w:themeColor="text1"/>
          <w:sz w:val="16"/>
          <w:szCs w:val="16"/>
        </w:rPr>
        <w:lastRenderedPageBreak/>
        <w:t>винтовок, 5 складов с боеприпасами и продовольствием. Севернее Могилёва полностью уничтожен батальон мотоциклистов. На другом участке разбита унтер-офицерская школа 337 немецкой пехот ной дивизии, а остатки её взяты в плен.</w:t>
      </w:r>
    </w:p>
    <w:p w14:paraId="0EB93599"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Бобруйском направлении наши части, наступающие между реками Березина и Птичь, стремительным броском прорвались в район западнее города Бобруйск и соединились с частями, наносящими охватывающий удар с востока. В результате этой блестящей операции советские войска окружили в районе Бобруйска 5 немецких пехотных дивизий. Враг несёт огромные потери. Части Н-ского соединения за три дня истребили до 8 тысяч гитлеровцев, подбили и сожгли 40 танков и самоходных орудий.</w:t>
      </w:r>
    </w:p>
    <w:p w14:paraId="7249DC23"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Между Ладожским и Онежским озерами наши войска продолжали успешное наступление. Отступая под ударами советских частей, финны бросают на путях отхода большое количество вооружения, техники и военного имущества. Подразделения Н-ской части за день уничтожили до 900 финских солдат и офицеров, захватили 9 орудий, 16 миномётов, 60 пулемётов, свыше 80 автомашин, 200 велосипедов, 14 складов с боеприпасами и продовольствием. Взято много пленных. Наши бойцы освободили 1.500 советских граждан, которых финны угоняли в глубь Финляндии.» (14935).</w:t>
      </w:r>
    </w:p>
    <w:p w14:paraId="168F1557" w14:textId="77777777" w:rsidR="000F083A" w:rsidRPr="00070ADE" w:rsidRDefault="000F083A" w:rsidP="00B56F90">
      <w:pPr>
        <w:spacing w:after="0" w:line="240" w:lineRule="auto"/>
        <w:jc w:val="both"/>
        <w:rPr>
          <w:rFonts w:ascii="Times New Roman" w:hAnsi="Times New Roman"/>
          <w:color w:val="000000" w:themeColor="text1"/>
          <w:sz w:val="16"/>
          <w:szCs w:val="16"/>
        </w:rPr>
      </w:pPr>
    </w:p>
    <w:p w14:paraId="0A3270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Утром 27 июня 1944 штурмовики 4-го шак громили автоколонны противника на дорогах из Бортников на Титовку, из Титовки на Бобруйск и от Бобруйска на Осиповичи. По данным штаба корпуса было уничтожено до 600 автомашин, около 40 танков и бронетранспортеров, а также большое количество солдат.</w:t>
      </w:r>
    </w:p>
    <w:p w14:paraId="4C0D7D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второй половине дня разведка установила полное окружение крупной группировки войск немецкой 9-й полевой армии юго- восточнее Бобруйска. С целью прорыва кольца окружения противник сосредоточил в районе населенных пунктов Савичи, Телу- ша. Ступени, Дубовка и в прилегающих к ним лесах большое количество танков, орудий, автомашин и пехоты. Эта боевая группа обладала значительной боевой мощью и ночью вполне могла вырваться из окружения. Между тем до темноты оставалось не более трех часов. Требовалось немедленно нанести мощный авиационный удар по окруженному противнику для его полного разгрома.</w:t>
      </w:r>
    </w:p>
    <w:p w14:paraId="3C9DD9A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воздух были подняты 523 боевых самолета 16-й ВА, в том числе 175 бомбардировщиков и 217 Ил-2. Штурмовики 4-го шак (196-я и 199-я шад), 2-й гшад и 299-й шад получили задачу бомбоштурмовыми ударами без сопровождения истребителями уничтожать скопления войск и техники противника в местах сосредоточения. Наряду с применением противотанковых бомб по бронетехнике широко использовать пушеч- но-пулеметный огонь по живой силе. Высоты действий Ил-2 устанавливались от 600-400 м до бреющего полета. Группам штурмовиков приказывалось находиться над целью как можно дольше, делая по нескольку заходов, а при появлении в районе целей бомбардировщиков подавлять выявленные зенитные точки.</w:t>
      </w:r>
    </w:p>
    <w:p w14:paraId="0EB4EB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Первые группы бомбардировщиков появились над бобруйским котлом в 19.15. Окруженные войска встретили их шквалом зенитного огня, однако подошедшие группы штурмовиков немедленно приступили к подавлению зенитных средств. Ослабление зенитного огня происходило от центра нанесения главного удара к периферии кольца окружения. Менее чем через час зенитный огонь противника почти прекратился. Бомбардировщики получили возможность с высот 1200-1600 м прицельно бомбардировать обнаруженные скопления войск на дорогах Ступени-Дубовка, Телуша-Савичи и в прилегающих лесах. Одновременно штурмовики бомбили и штурмовали голову немецкой колонны (севернее Дубовки), где были сосредоточены танки и самоходные орудия. Группа за группой подходили штурмовики и бомбардировщики к цели. Самолетов в воздухе было так много, что для выполнения атаки группам приходилось вставать в очередь.</w:t>
      </w:r>
    </w:p>
    <w:p w14:paraId="4DBAD6E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Вскоре районы скопления войск и техники противника оказались закрытыми плотными облаками дыма и пыли, что затруднило последующие действия нашей авиации.</w:t>
      </w:r>
    </w:p>
    <w:p w14:paraId="13D23F9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Бомбоштурмовой удар 16-й ВА был закончен в сумерки. Всего по окруженным войскам и технике было сброшено 1127 фугасных авиабомб калибром 100 и 50 кг, 4897 осколочных - калибром 25, 10 и 8 кг, 5326 противотанковых бомб и выпущено 572 реактивных снаряда, 27880 пушечных снарядов и 45440 пулеметных патронов. Район, подвергшийся удару, превратился в кладбище трупов и разбитой техники.</w:t>
      </w:r>
    </w:p>
    <w:p w14:paraId="03DF6D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Позже специальная комиссия установила, что авиацией в районе юго-восточнее Бобруйска было уничтожено и повреждено до 150 танков, штурмовых орудий и бронемашин, около 1000 полевых и зенитных орудий, до 6000 автомашин, 300 тягачей, уничтожено более 1000 вражеских солдат и офицеров идо 1500 лошадей.</w:t>
      </w:r>
    </w:p>
    <w:p w14:paraId="2D8B31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сосредоточенного удара 16-й ВА управление немецкими войсками было полностью нарушено. Они совершенно потеряли боеспособность, побросали технику и вооружение и рассеялись по лесам. Часть из них ночью пыталась переправиться через Березину к Бобруйску, но на западный берег Березины уже вышли войска 65-й армии (12020).</w:t>
      </w:r>
    </w:p>
    <w:p w14:paraId="4FF1AE4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5B8A0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июня 1944 в ходе Бобруйской авиации попавшие в окружение войска 9 армии противника сосредоточились у с Титовка, намереваясь прорвать поспешно занятую оборону советских войск 9ТК. Противник стянул в этот район 150 танков и самоходных орудий, до 1 тыс. орудий, свыше 6 тыс. автомашин с войсками и много другой техники. Командующий 1БФ решил привлечь основные силы 16ВА. В массированном ударе в течение 1.5 час. участвовало 175 б и 217 ш, а также значительное количество истребителей. вывели из строя почти все танки и автомашины, а также 1 тыс. солдат. остатки сдались в плен (518,173).</w:t>
      </w:r>
    </w:p>
    <w:p w14:paraId="1702A5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A52C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июня 1944 в ходе Бобруйской операции в районе с Титовка была окружена и начала готовиться к прорыву крупная группировка, в составе которой было 150 танков и 6000 автомашин. ( танковый корпус мог не сдержать натиска. Ком 1БФ К.К.Рокосовский приказал 16ВА С.И.Руденко разгромить группировку. Через 30-50 минут над Титовкой появилось 526 самолетов и за 1.5 часа уничтожили все, включая 1000 чел. (501,240).</w:t>
      </w:r>
    </w:p>
    <w:p w14:paraId="6AB47FE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Именно об этом времени 12 сентября 1944 П.К.Пономаренко и писал ссылаясь на посещенный лагерь немцев юго-восточнее Минска, где укрылось 11 тыс. чел., несколько сот танков, артиллерия и 5000 бронемашин, разгромленный, 1 Сталинградскую Краснознаменную Дивизию (340,174).</w:t>
      </w:r>
    </w:p>
    <w:p w14:paraId="299C7D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89EEAD"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27 июня</w:t>
      </w:r>
      <w:r w:rsidRPr="00070ADE">
        <w:rPr>
          <w:rFonts w:ascii="Times New Roman" w:hAnsi="Times New Roman"/>
          <w:color w:val="000000" w:themeColor="text1"/>
          <w:sz w:val="16"/>
          <w:szCs w:val="16"/>
        </w:rPr>
        <w:t xml:space="preserve"> в 1944 году войска 1-го Белорусского фронта окружили и уничтожили (27-29 июня) бобруйскую группировку гитлеровских войск и освободили Бобруйск (14935).</w:t>
      </w:r>
    </w:p>
    <w:p w14:paraId="0D965C3C" w14:textId="77777777" w:rsidR="000F083A" w:rsidRPr="00070ADE" w:rsidRDefault="000F083A" w:rsidP="00B56F90">
      <w:pPr>
        <w:spacing w:after="0" w:line="240" w:lineRule="auto"/>
        <w:jc w:val="both"/>
        <w:rPr>
          <w:rFonts w:ascii="Times New Roman" w:hAnsi="Times New Roman"/>
          <w:color w:val="000000" w:themeColor="text1"/>
          <w:sz w:val="16"/>
          <w:szCs w:val="16"/>
        </w:rPr>
      </w:pPr>
    </w:p>
    <w:p w14:paraId="5C5D27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июня 1944 за 1.5 час. с 15:15 до 21:00 523 машины сбросили 160 т бомб. Уничтожили 150 т и 6000 автомашин (340,173).</w:t>
      </w:r>
    </w:p>
    <w:p w14:paraId="7CB4470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15D06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rPr>
        <w:t xml:space="preserve">27 июня 1944 советские войска завершили Тулоксинскую десантную операцию </w:t>
      </w:r>
      <w:r w:rsidRPr="00070ADE">
        <w:rPr>
          <w:rFonts w:ascii="Times New Roman" w:hAnsi="Times New Roman"/>
          <w:color w:val="000000" w:themeColor="text1"/>
          <w:sz w:val="16"/>
          <w:szCs w:val="16"/>
          <w:lang w:val="en-US"/>
        </w:rPr>
        <w:t>(4962).</w:t>
      </w:r>
    </w:p>
    <w:p w14:paraId="7EE8D8C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45D24B6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 xml:space="preserve">27 </w:t>
      </w:r>
      <w:r w:rsidRPr="00070ADE">
        <w:rPr>
          <w:rFonts w:ascii="Times New Roman" w:hAnsi="Times New Roman"/>
          <w:color w:val="000000" w:themeColor="text1"/>
          <w:sz w:val="16"/>
          <w:szCs w:val="16"/>
        </w:rPr>
        <w:t>июня</w:t>
      </w:r>
      <w:r w:rsidRPr="00070ADE">
        <w:rPr>
          <w:rFonts w:ascii="Times New Roman" w:hAnsi="Times New Roman"/>
          <w:color w:val="000000" w:themeColor="text1"/>
          <w:sz w:val="16"/>
          <w:szCs w:val="16"/>
          <w:lang w:val="en-US"/>
        </w:rPr>
        <w:t xml:space="preserve"> 1944 </w:t>
      </w:r>
      <w:r w:rsidRPr="00070ADE">
        <w:rPr>
          <w:rFonts w:ascii="Times New Roman" w:hAnsi="Times New Roman"/>
          <w:color w:val="000000" w:themeColor="text1"/>
          <w:sz w:val="16"/>
          <w:szCs w:val="16"/>
        </w:rPr>
        <w:t>советскимивойскамиосвобожденаотфашистовОрша</w:t>
      </w:r>
      <w:r w:rsidRPr="00070ADE">
        <w:rPr>
          <w:rFonts w:ascii="Times New Roman" w:hAnsi="Times New Roman"/>
          <w:color w:val="000000" w:themeColor="text1"/>
          <w:sz w:val="16"/>
          <w:szCs w:val="16"/>
          <w:lang w:val="en-US"/>
        </w:rPr>
        <w:t xml:space="preserve"> (4962).</w:t>
      </w:r>
    </w:p>
    <w:p w14:paraId="2FA4605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501128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27th, 1944: The Red Army recaptures Orsha on the Dnepr and destroys the German pocket near Vitebsk (3819).</w:t>
      </w:r>
    </w:p>
    <w:p w14:paraId="3D522F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4EFFD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июня 1944 освободили Оршу (340,176).</w:t>
      </w:r>
    </w:p>
    <w:p w14:paraId="55E35E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B750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июня в ночь на 28 июня 1944 согласно сообщению Совинформбюро АДД произвели налеты на Барановичи, Минск, Полоцк, Борисов и бомбили эшелоны. Потеряли 4 машины (438,911).</w:t>
      </w:r>
    </w:p>
    <w:p w14:paraId="298FB4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FECF0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3259F6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6097F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июня 1944 началась массовая депортация болгар, армян и греков из Крыма в восточные районы СССР (4962).</w:t>
      </w:r>
    </w:p>
    <w:p w14:paraId="54B3899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B361E5"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2ABF4C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E4FC2C" w14:textId="77777777" w:rsidR="006A2076" w:rsidRPr="00070ADE" w:rsidRDefault="006A2076" w:rsidP="00B56F90">
      <w:pPr>
        <w:pStyle w:val="115"/>
        <w:shd w:val="clear" w:color="auto" w:fill="auto"/>
        <w:spacing w:after="0" w:line="240" w:lineRule="auto"/>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27 июня 1944 300 американских бомбардировщиков в ходе обрат</w:t>
      </w:r>
      <w:r w:rsidRPr="00070ADE">
        <w:rPr>
          <w:rFonts w:ascii="Times New Roman" w:hAnsi="Times New Roman" w:cs="Times New Roman"/>
          <w:color w:val="000000" w:themeColor="text1"/>
          <w:sz w:val="16"/>
          <w:szCs w:val="16"/>
        </w:rPr>
        <w:softHyphen/>
        <w:t>ного «челночного» рейда отбомбились, в том числе, и по террито</w:t>
      </w:r>
      <w:r w:rsidRPr="00070ADE">
        <w:rPr>
          <w:rFonts w:ascii="Times New Roman" w:hAnsi="Times New Roman" w:cs="Times New Roman"/>
          <w:color w:val="000000" w:themeColor="text1"/>
          <w:sz w:val="16"/>
          <w:szCs w:val="16"/>
        </w:rPr>
        <w:softHyphen/>
        <w:t>рии Венгрии (19083).</w:t>
      </w:r>
    </w:p>
    <w:p w14:paraId="76AAEB63" w14:textId="77777777" w:rsidR="006A2076" w:rsidRPr="00070ADE" w:rsidRDefault="006A2076" w:rsidP="00B56F90">
      <w:pPr>
        <w:pStyle w:val="115"/>
        <w:shd w:val="clear" w:color="auto" w:fill="auto"/>
        <w:spacing w:after="0" w:line="240" w:lineRule="auto"/>
        <w:jc w:val="both"/>
        <w:rPr>
          <w:rFonts w:ascii="Times New Roman" w:hAnsi="Times New Roman" w:cs="Times New Roman"/>
          <w:color w:val="000000" w:themeColor="text1"/>
          <w:sz w:val="16"/>
          <w:szCs w:val="16"/>
        </w:rPr>
      </w:pPr>
    </w:p>
    <w:p w14:paraId="1615392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июня 1944 союзники освободили от фашистов Шербур (4962).</w:t>
      </w:r>
    </w:p>
    <w:p w14:paraId="473DDD7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64F6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27 1944 U.S. troops capture Cherbourg (1050).</w:t>
      </w:r>
    </w:p>
    <w:p w14:paraId="5B5E78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2359A5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июня 1944 войска США захватили Шербург (1050).</w:t>
      </w:r>
    </w:p>
    <w:p w14:paraId="6D6F9B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BAF1A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7D49C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71CF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июня 1944 в Правде была опубликована беседа А.С.Я. и И.В.С. "Улучшать конструкцию хорошо, но сейчас нам важно максимально увеличить выпуск машин. Конструктор заинтересован все время в том, чтобы улучшить машины, но делать это надо с умом - иначе можно и завод замучить и фронт замучить...Конструктор должен быть технологом" (271,220).</w:t>
      </w:r>
    </w:p>
    <w:p w14:paraId="1334DB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D662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28 июня 1944 на МиГ АМ-39Б + 2ТК-2Б был выполнен полет на определение границы высотности на второй скорости нагнетателя. Летали 0:25 на 10000 м. Мотор работал ненадежно (1825).</w:t>
      </w:r>
    </w:p>
    <w:p w14:paraId="5483D8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04BB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июня 1944 на МИГ С АМ-39Б И 2ТК-2Б был произведен полет на. определение границы высотности самолета на 2-й скорости наг</w:t>
      </w:r>
      <w:r w:rsidRPr="00070ADE">
        <w:rPr>
          <w:rFonts w:ascii="Times New Roman" w:hAnsi="Times New Roman"/>
          <w:color w:val="000000" w:themeColor="text1"/>
          <w:sz w:val="16"/>
          <w:szCs w:val="16"/>
        </w:rPr>
        <w:softHyphen/>
        <w:t>нетателя с полностью включенными ТК. Продолжит ар</w:t>
      </w:r>
      <w:r w:rsidRPr="00070ADE">
        <w:rPr>
          <w:rFonts w:ascii="Times New Roman" w:hAnsi="Times New Roman"/>
          <w:color w:val="000000" w:themeColor="text1"/>
          <w:sz w:val="16"/>
          <w:szCs w:val="16"/>
        </w:rPr>
        <w:softHyphen/>
        <w:t>ность полета - 25 мин., высота - 10000 мт. Как и в прошлом полете, начиная с высоты 6000 мт, мотор обрезал в полете и на 10000 мт мотор остановился, чему предшествовала раскрутка правого Т К. Выключив турбокомпрессоры, летчик запустил мо</w:t>
      </w:r>
      <w:r w:rsidRPr="00070ADE">
        <w:rPr>
          <w:rFonts w:ascii="Times New Roman" w:hAnsi="Times New Roman"/>
          <w:color w:val="000000" w:themeColor="text1"/>
          <w:sz w:val="16"/>
          <w:szCs w:val="16"/>
        </w:rPr>
        <w:softHyphen/>
        <w:t>тор с помощью воздушного самопуска и произвел по</w:t>
      </w:r>
      <w:r w:rsidRPr="00070ADE">
        <w:rPr>
          <w:rFonts w:ascii="Times New Roman" w:hAnsi="Times New Roman"/>
          <w:color w:val="000000" w:themeColor="text1"/>
          <w:sz w:val="16"/>
          <w:szCs w:val="16"/>
        </w:rPr>
        <w:softHyphen/>
        <w:t>садку. При осмотре самолета на земле обнаружено заклинение правого ТК. С самолета сняты оба ТК и отправлены в ЦИАМ для осмотра и устранения дефектов (1825).</w:t>
      </w:r>
    </w:p>
    <w:p w14:paraId="0D904D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EBE4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июня 1944 закончились дополнительные заводские испытания И-220 № 01 с АМ-39 с целью проверки и доводки ВМГ, а также для определения летных данных после установки серийного мотора АМ-39 №45302, которые проходили с 10 мая 1944. Испытания проводили ведущий инженер А.Г.Брунов и летчик-испытатель А.П.Якимов. Максимальная скорость самолета на боевом режиме работы мотора составила 625 км/ч на высоте 2700 м (первая граница высотности) и 695 км/ч на высоте 7500 м (вторая граница высотности). В целом дополнительные испытания подтвердили полученные ранее результаты, что дало основание передать самолет на госиспытания. Стоит отметить, что к этому времени все четыре пушки ШВАК (СП-20) были включены в нормальную полетную массу истребителя И-220, при этом боезапас составлял по 100 патронов на пушку (5669).</w:t>
      </w:r>
    </w:p>
    <w:p w14:paraId="3BB353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июля 1944 л-и А.П.Якимов подписал отчет по результатам заводских летных испытаний с-та И-220 с мотором АМ-39, редукция 0,732 и винтом АВ5Л126А</w:t>
      </w:r>
    </w:p>
    <w:p w14:paraId="699AD0B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июля 1944 Зам. ГК Гуревич и ст. в/п на заводе 155 Савин утвердили Акт по результатам заводских летных испытаний с-та И-220 с мотором АМ-39, редукция 0,732 и винтом АВ5Л126А</w:t>
      </w:r>
    </w:p>
    <w:p w14:paraId="73472A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 испытатель ви с-та Брунов</w:t>
      </w:r>
    </w:p>
    <w:p w14:paraId="0C27AE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 Якимов</w:t>
      </w:r>
    </w:p>
    <w:p w14:paraId="697033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Цель испытаний: контрольные испытания для проверки лд с серийным мотором АМ-39, проверка и доводка матчасти и ВМГ. На с-те установлено 4хШВАК 20 мм с б/з по 100 патронов на каждую.</w:t>
      </w:r>
    </w:p>
    <w:p w14:paraId="107422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с-та 9,5, размах - 11,0, площадь крыла 20,38, профиль NACA-230, угол установки 1 гр.</w:t>
      </w:r>
    </w:p>
    <w:p w14:paraId="5260E9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2 гр в боевом режжииме при 2150 и Рк 1175 на 7000 - 695, на номинальном на 7200 - 690</w:t>
      </w:r>
    </w:p>
    <w:p w14:paraId="6AFB23D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на 1 гр. на боевом Рк 1200 на 2700 - 625, на номинальном на 2400 - 624</w:t>
      </w:r>
    </w:p>
    <w:p w14:paraId="3F9A6A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 скорость пикирования - 685 по рибору.</w:t>
      </w:r>
    </w:p>
    <w:p w14:paraId="21E4A1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- 2-й</w:t>
      </w:r>
    </w:p>
    <w:p w14:paraId="5B1033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первом в консоли крыла были поставлены противофлаттерные грузы общим весом 28 кг</w:t>
      </w:r>
    </w:p>
    <w:p w14:paraId="178801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 - 3845, в т.ч.</w:t>
      </w:r>
    </w:p>
    <w:p w14:paraId="57AEF9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- 90</w:t>
      </w:r>
    </w:p>
    <w:p w14:paraId="6E9FAC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горючее - 350</w:t>
      </w:r>
    </w:p>
    <w:p w14:paraId="7EB747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масло - 45</w:t>
      </w:r>
    </w:p>
    <w:p w14:paraId="5834EE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оружие - 156</w:t>
      </w:r>
    </w:p>
    <w:p w14:paraId="01B8959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б/з - 93</w:t>
      </w:r>
    </w:p>
    <w:p w14:paraId="214EB6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Съемное оборудование - 16</w:t>
      </w:r>
    </w:p>
    <w:p w14:paraId="63C178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750</w:t>
      </w:r>
    </w:p>
    <w:p w14:paraId="103FD0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Отзывы л</w:t>
      </w:r>
    </w:p>
    <w:p w14:paraId="7B3D128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АМ-39 с беспоплавковым карбюратором на форсаже работает плохо. На номинале - хорошо.</w:t>
      </w:r>
    </w:p>
    <w:p w14:paraId="70FC36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Значительной помехой в полете является обильный выброс масла из носка мотора. Масло нагоняет на козырек и затрудняет полет</w:t>
      </w:r>
    </w:p>
    <w:p w14:paraId="16C10A2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Бензоочистеители козырька не в состоянии справиться с натекающим маслом из носка мотора</w:t>
      </w:r>
    </w:p>
    <w:p w14:paraId="06AE6A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Велики нагрузки на элероны и РВ, особенно на большой скорости</w:t>
      </w:r>
    </w:p>
    <w:p w14:paraId="6C3F75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Слабый обзор назад</w:t>
      </w:r>
    </w:p>
    <w:p w14:paraId="597CEC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Крайне передняя центровка, особенно у машины, заправленной горючим</w:t>
      </w:r>
    </w:p>
    <w:p w14:paraId="2899D84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устранении недостатков с-т может быть принят на вооружение. Несомненно будет легко освоен л</w:t>
      </w:r>
    </w:p>
    <w:p w14:paraId="310BCF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 А.П.Якимов 5 июля 1944</w:t>
      </w:r>
    </w:p>
    <w:p w14:paraId="2D16C2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подлежит передаче в НИИ ВВС для продолжения испытаний</w:t>
      </w:r>
    </w:p>
    <w:p w14:paraId="5D20CB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Брунов (11472,2).</w:t>
      </w:r>
    </w:p>
    <w:p w14:paraId="4E32146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4546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июня 1944 г. завершившились дополнительные испыта</w:t>
      </w:r>
      <w:r w:rsidRPr="00070ADE">
        <w:rPr>
          <w:rFonts w:ascii="Times New Roman" w:hAnsi="Times New Roman"/>
          <w:color w:val="000000" w:themeColor="text1"/>
          <w:sz w:val="16"/>
          <w:szCs w:val="16"/>
        </w:rPr>
        <w:softHyphen/>
        <w:t>ния И—220 зав. № 01, которые подтвердили полученные ранее результаты, что дало основание передать самолет на госиспытания [23]. Ответственными за проведение государственных испытаний И—220 зав. № 01 с мотором АМ—39 в НИИ ВВС на этот раз назначили ведущего инженера В.И.Алексеенко и летчика-испытателя Д.Г.Пикуленко. Уже через десять дней испытания пришлось пре</w:t>
      </w:r>
      <w:r w:rsidRPr="00070ADE">
        <w:rPr>
          <w:rFonts w:ascii="Times New Roman" w:hAnsi="Times New Roman"/>
          <w:color w:val="000000" w:themeColor="text1"/>
          <w:sz w:val="16"/>
          <w:szCs w:val="16"/>
        </w:rPr>
        <w:softHyphen/>
        <w:t>рвать из-за разрушения нагнетателя АМ—39 (9984).</w:t>
      </w:r>
    </w:p>
    <w:p w14:paraId="66A109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F1A588"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28 июня</w:t>
      </w:r>
      <w:r w:rsidRPr="00070ADE">
        <w:rPr>
          <w:rFonts w:ascii="Times New Roman" w:hAnsi="Times New Roman"/>
          <w:color w:val="000000" w:themeColor="text1"/>
          <w:sz w:val="16"/>
          <w:szCs w:val="16"/>
        </w:rPr>
        <w:t xml:space="preserve"> в 1944 году завершились дополнительные заводские испытания с целью проверки и доводки ВМГ, а также для определения летных данных после установки серийного мотора «АМ-392 №45302, высотного истребителя </w:t>
      </w:r>
      <w:hyperlink r:id="rId184" w:tgtFrame="_blank" w:history="1">
        <w:r w:rsidRPr="00070ADE">
          <w:rPr>
            <w:rFonts w:ascii="Times New Roman" w:hAnsi="Times New Roman"/>
            <w:color w:val="000000" w:themeColor="text1"/>
            <w:sz w:val="16"/>
            <w:szCs w:val="16"/>
          </w:rPr>
          <w:t xml:space="preserve">«МиГ-11» (2И-220»). </w:t>
        </w:r>
      </w:hyperlink>
      <w:r w:rsidRPr="00070ADE">
        <w:rPr>
          <w:rFonts w:ascii="Times New Roman" w:hAnsi="Times New Roman"/>
          <w:color w:val="000000" w:themeColor="text1"/>
          <w:sz w:val="16"/>
          <w:szCs w:val="16"/>
        </w:rPr>
        <w:t>Испытания проводили ведущий инженер А.Г.Брунов и летчик-испытатель А.П.Якимов. Максимальная скорость самолета на боевом режиме работы мотора составила 625 км/ч на высоте 2700 м (первая граница высотности) и 695 км/ч на высоте 7500 м (вторая граница высотности) . Испытания подтвердили полученные ранее результаты, что дало основание передать самолет на госиспытания (14936).</w:t>
      </w:r>
    </w:p>
    <w:p w14:paraId="33681D56" w14:textId="77777777" w:rsidR="000F083A" w:rsidRPr="00070ADE" w:rsidRDefault="000F083A" w:rsidP="00B56F90">
      <w:pPr>
        <w:spacing w:after="0" w:line="240" w:lineRule="auto"/>
        <w:jc w:val="both"/>
        <w:rPr>
          <w:rFonts w:ascii="Times New Roman" w:hAnsi="Times New Roman"/>
          <w:color w:val="000000" w:themeColor="text1"/>
          <w:sz w:val="16"/>
          <w:szCs w:val="16"/>
        </w:rPr>
      </w:pPr>
    </w:p>
    <w:p w14:paraId="48363431" w14:textId="77777777" w:rsidR="000C7691" w:rsidRPr="001A0BAA" w:rsidRDefault="000C7691" w:rsidP="000C769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28 июня 1944 г. завершились дополнительные заводские испытания И-220 №01 с установленным серийным мотором АМ-39, которые подтвердили полученные ранее результаты, что дало основание передать самолет на госиспытания. Испытания проводили ведущий инженер А.Г.Брунов и летчик-испытатель А.П.Якимов. Максимальная скорость самолета на боевом режиме работы мотора составила 625 км/ч на высоте 2700 м (первая граница высотности) и 695 км/ч на высоте 7500 м (вторая граница высотности).</w:t>
      </w:r>
    </w:p>
    <w:p w14:paraId="627D1736" w14:textId="77777777" w:rsidR="000C7691" w:rsidRPr="001A0BAA" w:rsidRDefault="000C7691" w:rsidP="000C769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Стоит отметить, что к этому времени все четыре пушки ШВАК (СП-20) были включены в нормальную полетную массу истребителя И-220, при этом боезапас составлял по 100 патронов на пушку (25230).</w:t>
      </w:r>
    </w:p>
    <w:p w14:paraId="73F06388" w14:textId="77777777" w:rsidR="000C7691" w:rsidRPr="001A0BAA" w:rsidRDefault="000C7691" w:rsidP="000C7691">
      <w:pPr>
        <w:spacing w:after="0" w:line="240" w:lineRule="auto"/>
        <w:jc w:val="both"/>
        <w:rPr>
          <w:rFonts w:ascii="Times New Roman" w:hAnsi="Times New Roman"/>
          <w:color w:val="0070C0"/>
          <w:sz w:val="16"/>
          <w:szCs w:val="16"/>
        </w:rPr>
      </w:pPr>
    </w:p>
    <w:p w14:paraId="3C3A38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июня 1944 Начю 7 ГУ НКАП было направлено письмо № 8674 С.А.Л. об устранении дефектов Ла-5 с АШ-82ФН и 2ТК-3</w:t>
      </w:r>
    </w:p>
    <w:p w14:paraId="208E7D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Главному конструктору завода № 21 тов. ЛАВОЧКИНУ С.А.</w:t>
      </w:r>
    </w:p>
    <w:p w14:paraId="1561F8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устранения дефектов, выявленных во время летных штаний на высотном самолете Ла-5 с ТК-3, нужно провести доводочные работы:</w:t>
      </w:r>
    </w:p>
    <w:p w14:paraId="6A865C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Установить на моторе дефлектора по образцу дефлекторов, установленных на высотном самолете Ла-7.</w:t>
      </w:r>
    </w:p>
    <w:p w14:paraId="3F9F2C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Улучшить аэродинамику внутреннего капота и изменить выходные створки капота, по типу высотного самолета Ла-7.</w:t>
      </w:r>
    </w:p>
    <w:p w14:paraId="588C2B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Как первоочередное мероприятие - переделать тонель масслорадиатора, по имевшимся у Вас рекомендациям ЦАГИ для Серийного самолета Ла-7.</w:t>
      </w:r>
    </w:p>
    <w:p w14:paraId="1473D3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Величину радиирующей поверхности радиатора определите расчетом. Исходные данные будут Вам направлены ЦАГИ 1.УП.44 г</w:t>
      </w:r>
    </w:p>
    <w:p w14:paraId="3A941E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окончании постройки высотного самолета Ла-7 передайте его в ЦАГИ для продувок, предварительно произведя облет.</w:t>
      </w:r>
    </w:p>
    <w:p w14:paraId="5F5A64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предлагаю выполнить следующие мероприятия:</w:t>
      </w:r>
    </w:p>
    <w:p w14:paraId="29DB0D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Ввиду отсутствия необходимых условий для испытания высотного самолета в условиях Вашего завода, выполнить приказ Народного Комиссара о проведении летных испытаний на заводе № 81.</w:t>
      </w:r>
    </w:p>
    <w:p w14:paraId="539FFF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Принять меры к быстрейшему проведению улучшений самолета по винтомоторной группе и выделить ведущего инаенера по самолету, освобожденного от всех других обязанностей.</w:t>
      </w:r>
    </w:p>
    <w:p w14:paraId="3C12C1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Произвести тарировку измерительной аппаратуры, т.к. приборы, применяемые Вашей летной станцией, недостаточно точно тарируются и допускаются ошибки, непозволяющие судить с результатах полета (например: ошибочные, покавания термо</w:t>
      </w:r>
      <w:r w:rsidRPr="00070ADE">
        <w:rPr>
          <w:rFonts w:ascii="Times New Roman" w:hAnsi="Times New Roman"/>
          <w:color w:val="000000" w:themeColor="text1"/>
          <w:sz w:val="16"/>
          <w:szCs w:val="16"/>
        </w:rPr>
        <w:softHyphen/>
        <w:t>пар до 100 гр.)</w:t>
      </w:r>
    </w:p>
    <w:p w14:paraId="368349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Упорядочить представление ежедневных рапортов о ходе работ, т.к. представление сводки для доклада Народному Ксмиссаоу производятся Вами нерегулярно и содержание их не дает полного представления с результатах полета и состояниия материальной части (1825).</w:t>
      </w:r>
    </w:p>
    <w:p w14:paraId="65B558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1065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июня 1944 года в статье "Конструктор и война", опубликованной в газете "Правда", А.С. Яковлев писал: "Не забуду высказывания товарища Сталина &lt;...&gt;:</w:t>
      </w:r>
    </w:p>
    <w:p w14:paraId="051426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 Улучшать конструкцию - хорошо, но сейчас нам важно максимально увеличить выпуск машин. Конструктор заинтересован все время в том, чтобы улучшать машины, но делать это надо с умом - иначе можно и завод замучить, и фронт замучить...</w:t>
      </w:r>
    </w:p>
    <w:p w14:paraId="71147A1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Тут прямое указание товарища Сталина: тот не конструктор, кто не знает технологии" (12047).</w:t>
      </w:r>
    </w:p>
    <w:p w14:paraId="399BF2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EAE7E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28 июня 1944 г. гвардии капитана Крапивы (27-й Гвардейский авиаполк авиации дальнего действия) был произведен вылет на боевое задание на самолете А-20С с установкой АКАБ, цель — аэродром Барановичи. Придя на цель, на высоте 1300 футов ясно видел на аэродроме бетонную дорожку, стартовые огни и стоявшие на старте самолеты. На высоте 1000 футов и скорости 270 миль/ч с углом прицелива</w:t>
      </w:r>
      <w:r w:rsidRPr="00070ADE">
        <w:rPr>
          <w:rFonts w:ascii="Times New Roman" w:hAnsi="Times New Roman"/>
          <w:color w:val="000000" w:themeColor="text1"/>
          <w:sz w:val="16"/>
          <w:szCs w:val="16"/>
        </w:rPr>
        <w:softHyphen/>
        <w:t>ния 18° я зашел на стоянку самолетов и открыл поливной огонь. Л и экипажу самолета было ясно видно, как на земле загорелись два самолета и произошел взрыв небольшой силы. Сделав разворот На 180°, л пошел на вторую атаку по горящим самолетам, но не ус</w:t>
      </w:r>
      <w:r w:rsidRPr="00070ADE">
        <w:rPr>
          <w:rFonts w:ascii="Times New Roman" w:hAnsi="Times New Roman"/>
          <w:color w:val="000000" w:themeColor="text1"/>
          <w:sz w:val="16"/>
          <w:szCs w:val="16"/>
        </w:rPr>
        <w:softHyphen/>
        <w:t>пел открыть огонь, как был подбит МЗА... В момент штурмовки над целью находились другие наши самолеты, по которым вела огонь МЗА, но как только л открыл огонь и на земле загорелись два самолета, вся МЗА перенесла огонь на него». Контролировавший вылет командир эскадрильи гвардии майор Макарочкин отметил, что шедший в атаку «Бостон» освещали вспышки пламени из стволов батареи. Видимо, это и привлекло внимание зенитчиков. На самолете Крапивы были повреждены носовая часть и оперение, но больше всего пострадала АКАБ — были разбиты электромотор и приводы ходовой части. «Бостон», отличавшийся хорошей живучес</w:t>
      </w:r>
      <w:r w:rsidRPr="00070ADE">
        <w:rPr>
          <w:rFonts w:ascii="Times New Roman" w:hAnsi="Times New Roman"/>
          <w:color w:val="000000" w:themeColor="text1"/>
          <w:sz w:val="16"/>
          <w:szCs w:val="16"/>
        </w:rPr>
        <w:softHyphen/>
        <w:t>тью, дотянул до своего аэродрома и благополучно сел, хотя шасси пришлось выпускать вручную, так как была перебита гидросистема. Главком авиации дальнего действия маршал авиации А.Е. Голо</w:t>
      </w:r>
      <w:r w:rsidRPr="00070ADE">
        <w:rPr>
          <w:rFonts w:ascii="Times New Roman" w:hAnsi="Times New Roman"/>
          <w:color w:val="000000" w:themeColor="text1"/>
          <w:sz w:val="16"/>
          <w:szCs w:val="16"/>
        </w:rPr>
        <w:softHyphen/>
        <w:t>ванов дал «добро» АКАБ, подписав отчет об испытаниях с резолю</w:t>
      </w:r>
      <w:r w:rsidRPr="00070ADE">
        <w:rPr>
          <w:rFonts w:ascii="Times New Roman" w:hAnsi="Times New Roman"/>
          <w:color w:val="000000" w:themeColor="text1"/>
          <w:sz w:val="16"/>
          <w:szCs w:val="16"/>
        </w:rPr>
        <w:softHyphen/>
        <w:t>цией: «АКАБ, как новый вид авиационного оружия, может быть использован в АДД для вооружения самолетов А-20С». Подвижными установками оборудовали шесть «Бостонов», но об их дальнейшем применении известно мало. Самолеты с АКАБ предполагали использовать, помимо блокировки аэродро</w:t>
      </w:r>
      <w:r w:rsidRPr="00070ADE">
        <w:rPr>
          <w:rFonts w:ascii="Times New Roman" w:hAnsi="Times New Roman"/>
          <w:color w:val="000000" w:themeColor="text1"/>
          <w:sz w:val="16"/>
          <w:szCs w:val="16"/>
        </w:rPr>
        <w:softHyphen/>
        <w:t>мов, для охоты за железнодорожными эшелонами на перегонах, атак переправ и колонн транспорта — протяженных и идеальных для АКАБ (10695).</w:t>
      </w:r>
    </w:p>
    <w:p w14:paraId="7738F4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0BD5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июня 1944 Нч. Научной группы лаборатории № 1 ЦАГИ М.Л.Миль писал на запрос ГМЦ ВМФ СССР о возможности создания в СССР аппарата, подобного оригинальному змею-автожиру Fa 330 “Bachsteize” (“Трясогузка”).</w:t>
      </w:r>
    </w:p>
    <w:p w14:paraId="640722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ваш запрос по поводу подъемного наблюдательного пункта для л/л и кораблей, описанного в информационном сообщении № 52 РУ ГМШ ВМФ сообщаю:</w:t>
      </w:r>
    </w:p>
    <w:p w14:paraId="00D267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Подъемный наблюдательный пункт типа автожира, поднимаемый с п/л или корабля во время хода и при наличии встречного ветра может быть практически осуществлен при малом весе и габаритах.</w:t>
      </w:r>
    </w:p>
    <w:p w14:paraId="22D6E8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аппарата с тросом длиной 150 м может составить всего 250 кг и полетный - порядка 330 кг. При трехлопастном роторе диаметром 8,0 м это позволит аппарату держаться на высоте 100 м при относительной скорости 30-35 км/час.</w:t>
      </w:r>
    </w:p>
    <w:p w14:paraId="29A885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Конструктивно аппарат может быть сделан весьма просто. Втулка ротора состоит из 2-х обычных подшипников, лопасти имеют стальной лонжерон и деревянное покрытие, кабина пилота деревянная.</w:t>
      </w:r>
    </w:p>
    <w:p w14:paraId="411060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Ротор отсоединяется вместе с кабаном, крепящимся 3-мя болтами и лопасти складываются по типу зонтика.</w:t>
      </w:r>
    </w:p>
    <w:p w14:paraId="2C460F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 ЦАГИ Остославский</w:t>
      </w:r>
    </w:p>
    <w:p w14:paraId="16D23F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научной группы лаборатории № 1 Миль</w:t>
      </w:r>
    </w:p>
    <w:p w14:paraId="1ADCB0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28.06.44 г.” (6470, 19).</w:t>
      </w:r>
    </w:p>
    <w:p w14:paraId="1F60AC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CB9259" w14:textId="77777777" w:rsidR="00805131" w:rsidRPr="00070ADE" w:rsidRDefault="0080513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июня 1944 начальник научной группы лаборатории № 1 ЦАГИ М. Л. Миль написал ответ (в 1944 г. ГМШ ВМФ СССР запросил ЦАГИ дать информацию о возможности создания в СССР аппарата, подобного немецкому змею-автожиру Fa 330): «На ваш запрос по поводу подъемного наблюдательного пункта для л/л и кораблей, описанного в информационном сообщении № 52 РУ ГМШ ВМФ сообщаю: Подъемный наблюдательный пункт типа автожира, поднимаемый с п/л или корабля во время хода и при наличии встречного ветра может быть практически осуществлен при малом весе и габаритах. Вес аппарата с тросом длиной 150 м может составить всего 250 кг и полетный — порядка 330 кг. При трехлопастном роторе диаметром 8.0 м это позволит аппарату держаться на высоте 100 м при относительной скорости 30—35 км/час. Конструктивно аппарат может быть сделан весьма просто. Втулка ротора состоит из 2-х обычных подшипников, лопасти имеют стальной лонжерон и деревянное покрытие, кабина пилота деревянная. Ротор отсоединяется вместе с кабаном, крепящимся 3-мя болтами и лопасти складываются по типу зонтика» (19727).</w:t>
      </w:r>
    </w:p>
    <w:p w14:paraId="4EBA55D2" w14:textId="77777777" w:rsidR="00805131" w:rsidRPr="00070ADE" w:rsidRDefault="00805131" w:rsidP="00B56F90">
      <w:pPr>
        <w:spacing w:after="0" w:line="240" w:lineRule="auto"/>
        <w:jc w:val="both"/>
        <w:rPr>
          <w:rFonts w:ascii="Times New Roman" w:hAnsi="Times New Roman"/>
          <w:color w:val="000000" w:themeColor="text1"/>
          <w:sz w:val="16"/>
          <w:szCs w:val="16"/>
        </w:rPr>
      </w:pPr>
    </w:p>
    <w:p w14:paraId="5D7B2BE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95157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86594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июня 1944 года вышел приказ № 356с НКБ</w:t>
      </w:r>
    </w:p>
    <w:p w14:paraId="5D1BEFC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605 НКБ передать 7 Гл. Управлению (5818, 20).</w:t>
      </w:r>
    </w:p>
    <w:p w14:paraId="13CA903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0B6F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июня 1944 года на АНИОПе закончились испытания второго опытного образца артсамохода СУ-100, которые проходили с 24 июня. После проведения стрельбы в количестве 923 выстрела и пробега на 250 км государственная комиссия признала, что "тактико-технические показатели СУ-100 обеспечивают успешное поражение современных бронетанковых средств противника на дистанциях 1500 м для танков "Тигр" и "Пантера" вне зависимости от точки попадания снаряда, а для артсамохода "Фердинанд" только при попадании в бортовую броню, но с дистанции 2000 м" (9637).</w:t>
      </w:r>
    </w:p>
    <w:p w14:paraId="1AC2C7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D71B5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июня 1944 г. было подготовлено СООБЩЕНИЕ НАЧАЛЬНИКА УСА ГБТУ КА КОМЕНДАНТУ КРЕМЛЯ ПО ВОПРОСУ ПОКАЗА ИМПОРТНЫХ БОЕВЫХ МАШИН ПРАВИТЕЛЬСТВУ № 556440</w:t>
      </w:r>
    </w:p>
    <w:p w14:paraId="4E4C97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показа импортных боевых машин правительству в Кремль будут доставлены:</w:t>
      </w:r>
    </w:p>
    <w:p w14:paraId="6B6036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2 мостовых танка МК-1Н «Валентин» №1121883 и №7559908.</w:t>
      </w:r>
    </w:p>
    <w:p w14:paraId="650A35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Строенная самоходная зенитная установка М-15-А1 №40150425.</w:t>
      </w:r>
    </w:p>
    <w:p w14:paraId="53BE1B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Счетверенная самоходная зенитная установка М-17 №40175919. Сообщаю список экипажей для обслуживания этих машин при показе.</w:t>
      </w:r>
    </w:p>
    <w:p w14:paraId="3F3AF2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Список личного состава, обслуживающего мостовые танки «Валентин» и само</w:t>
      </w:r>
      <w:r w:rsidRPr="00070ADE">
        <w:rPr>
          <w:rFonts w:ascii="Times New Roman" w:hAnsi="Times New Roman"/>
          <w:color w:val="000000" w:themeColor="text1"/>
          <w:sz w:val="16"/>
          <w:szCs w:val="16"/>
        </w:rPr>
        <w:softHyphen/>
        <w:t>ходные зенитные установки М-15-А1 и М-17, предназначенные для показа</w:t>
      </w:r>
      <w:r w:rsidRPr="00070ADE">
        <w:rPr>
          <w:rFonts w:ascii="Times New Roman" w:hAnsi="Times New Roman"/>
          <w:color w:val="000000" w:themeColor="text1"/>
          <w:sz w:val="16"/>
          <w:szCs w:val="16"/>
          <w:vertAlign w:val="superscript"/>
        </w:rPr>
        <w:t>1</w:t>
      </w:r>
      <w:r w:rsidRPr="00070ADE">
        <w:rPr>
          <w:rFonts w:ascii="Times New Roman" w:hAnsi="Times New Roman"/>
          <w:color w:val="000000" w:themeColor="text1"/>
          <w:sz w:val="16"/>
          <w:szCs w:val="16"/>
        </w:rPr>
        <w:t>.</w:t>
      </w:r>
    </w:p>
    <w:p w14:paraId="53791E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УСА ГБТУ КА генерал-майор инженерно-танковой службы Алымов</w:t>
      </w:r>
    </w:p>
    <w:p w14:paraId="68964B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11369. Д. 402. Л. 12. Копия (11420).</w:t>
      </w:r>
    </w:p>
    <w:p w14:paraId="68D6DC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E8054A" w14:textId="77777777" w:rsidR="000F083A" w:rsidRPr="00070ADE" w:rsidRDefault="000F083A" w:rsidP="00B56F90">
      <w:pPr>
        <w:pStyle w:val="a3"/>
        <w:rPr>
          <w:color w:val="000000" w:themeColor="text1"/>
          <w:lang w:val="ru-RU"/>
        </w:rPr>
      </w:pPr>
      <w:r w:rsidRPr="00070ADE">
        <w:rPr>
          <w:color w:val="000000" w:themeColor="text1"/>
          <w:lang w:val="ru-RU"/>
        </w:rPr>
        <w:t>28 июня 1944 г. в рапорте наркому В.Л. Малышеву, подписанном директором за</w:t>
      </w:r>
      <w:r w:rsidRPr="00070ADE">
        <w:rPr>
          <w:color w:val="000000" w:themeColor="text1"/>
          <w:lang w:val="ru-RU"/>
        </w:rPr>
        <w:softHyphen/>
        <w:t>вода № 75 Н.В. Барыковым и главным инженером П.М. Кривичем говорилось:</w:t>
      </w:r>
    </w:p>
    <w:p w14:paraId="011FB0A4" w14:textId="77777777" w:rsidR="000F083A" w:rsidRPr="00070ADE" w:rsidRDefault="000F083A" w:rsidP="00B56F90">
      <w:pPr>
        <w:pStyle w:val="1010"/>
        <w:shd w:val="clear" w:color="auto" w:fill="auto"/>
        <w:spacing w:line="240" w:lineRule="auto"/>
        <w:ind w:firstLine="0"/>
        <w:rPr>
          <w:rFonts w:ascii="Times New Roman" w:hAnsi="Times New Roman" w:cs="Times New Roman"/>
          <w:i w:val="0"/>
          <w:color w:val="000000" w:themeColor="text1"/>
          <w:sz w:val="16"/>
          <w:szCs w:val="16"/>
        </w:rPr>
      </w:pPr>
      <w:r w:rsidRPr="00070ADE">
        <w:rPr>
          <w:rFonts w:ascii="Times New Roman" w:hAnsi="Times New Roman" w:cs="Times New Roman"/>
          <w:i w:val="0"/>
          <w:color w:val="000000" w:themeColor="text1"/>
          <w:sz w:val="16"/>
          <w:szCs w:val="16"/>
        </w:rPr>
        <w:t>«Опыт старых кадровиков завода и рабо</w:t>
      </w:r>
      <w:r w:rsidRPr="00070ADE">
        <w:rPr>
          <w:rFonts w:ascii="Times New Roman" w:hAnsi="Times New Roman" w:cs="Times New Roman"/>
          <w:i w:val="0"/>
          <w:color w:val="000000" w:themeColor="text1"/>
          <w:sz w:val="16"/>
          <w:szCs w:val="16"/>
        </w:rPr>
        <w:softHyphen/>
        <w:t>чая смекалка, сочетаясь с творческой помо</w:t>
      </w:r>
      <w:r w:rsidRPr="00070ADE">
        <w:rPr>
          <w:rFonts w:ascii="Times New Roman" w:hAnsi="Times New Roman" w:cs="Times New Roman"/>
          <w:i w:val="0"/>
          <w:color w:val="000000" w:themeColor="text1"/>
          <w:sz w:val="16"/>
          <w:szCs w:val="16"/>
        </w:rPr>
        <w:softHyphen/>
        <w:t>щью конструкторов и технологов, обеспечили решение таких сложных проблем (для вос</w:t>
      </w:r>
      <w:r w:rsidRPr="00070ADE">
        <w:rPr>
          <w:rFonts w:ascii="Times New Roman" w:hAnsi="Times New Roman" w:cs="Times New Roman"/>
          <w:i w:val="0"/>
          <w:color w:val="000000" w:themeColor="text1"/>
          <w:sz w:val="16"/>
          <w:szCs w:val="16"/>
        </w:rPr>
        <w:softHyphen/>
        <w:t>станавливаемого завода}, как изготовление сложного фасонного литья, тяжелых поковок, при отсутствии достаточного и мощного куз</w:t>
      </w:r>
      <w:r w:rsidRPr="00070ADE">
        <w:rPr>
          <w:rFonts w:ascii="Times New Roman" w:hAnsi="Times New Roman" w:cs="Times New Roman"/>
          <w:i w:val="0"/>
          <w:color w:val="000000" w:themeColor="text1"/>
          <w:sz w:val="16"/>
          <w:szCs w:val="16"/>
        </w:rPr>
        <w:softHyphen/>
        <w:t>нечного оборудования, сложных протяжек, спиральных фрез, долбяков и другого инстру</w:t>
      </w:r>
      <w:r w:rsidRPr="00070ADE">
        <w:rPr>
          <w:rFonts w:ascii="Times New Roman" w:hAnsi="Times New Roman" w:cs="Times New Roman"/>
          <w:i w:val="0"/>
          <w:color w:val="000000" w:themeColor="text1"/>
          <w:sz w:val="16"/>
          <w:szCs w:val="16"/>
        </w:rPr>
        <w:softHyphen/>
        <w:t>мента. Решение задачи усложнялось при этом тем, что завод не имел комплексного станоч</w:t>
      </w:r>
      <w:r w:rsidRPr="00070ADE">
        <w:rPr>
          <w:rFonts w:ascii="Times New Roman" w:hAnsi="Times New Roman" w:cs="Times New Roman"/>
          <w:i w:val="0"/>
          <w:color w:val="000000" w:themeColor="text1"/>
          <w:sz w:val="16"/>
          <w:szCs w:val="16"/>
        </w:rPr>
        <w:softHyphen/>
        <w:t>ного оборудования и материалов».</w:t>
      </w:r>
    </w:p>
    <w:p w14:paraId="37C8455E" w14:textId="77777777" w:rsidR="000F083A" w:rsidRPr="00070ADE" w:rsidRDefault="000F083A" w:rsidP="00B56F90">
      <w:pPr>
        <w:pStyle w:val="1010"/>
        <w:shd w:val="clear" w:color="auto" w:fill="auto"/>
        <w:spacing w:line="240" w:lineRule="auto"/>
        <w:ind w:firstLine="0"/>
        <w:rPr>
          <w:rFonts w:ascii="Times New Roman" w:hAnsi="Times New Roman" w:cs="Times New Roman"/>
          <w:i w:val="0"/>
          <w:color w:val="000000" w:themeColor="text1"/>
          <w:sz w:val="16"/>
          <w:szCs w:val="16"/>
        </w:rPr>
      </w:pPr>
      <w:r w:rsidRPr="00070ADE">
        <w:rPr>
          <w:rFonts w:ascii="Times New Roman" w:hAnsi="Times New Roman" w:cs="Times New Roman"/>
          <w:i w:val="0"/>
          <w:color w:val="000000" w:themeColor="text1"/>
          <w:sz w:val="16"/>
          <w:szCs w:val="16"/>
        </w:rPr>
        <w:t>Металлурги и кузнецы обеспечили изго</w:t>
      </w:r>
      <w:r w:rsidRPr="00070ADE">
        <w:rPr>
          <w:rFonts w:ascii="Times New Roman" w:hAnsi="Times New Roman" w:cs="Times New Roman"/>
          <w:i w:val="0"/>
          <w:color w:val="000000" w:themeColor="text1"/>
          <w:sz w:val="16"/>
          <w:szCs w:val="16"/>
        </w:rPr>
        <w:softHyphen/>
        <w:t>товление полной номенклатуры литья и заго</w:t>
      </w:r>
      <w:r w:rsidRPr="00070ADE">
        <w:rPr>
          <w:rFonts w:ascii="Times New Roman" w:hAnsi="Times New Roman" w:cs="Times New Roman"/>
          <w:i w:val="0"/>
          <w:color w:val="000000" w:themeColor="text1"/>
          <w:sz w:val="16"/>
          <w:szCs w:val="16"/>
        </w:rPr>
        <w:softHyphen/>
        <w:t>товок. Поковки, требовавшие для своего</w:t>
      </w:r>
      <w:r w:rsidRPr="00070ADE">
        <w:rPr>
          <w:rStyle w:val="106"/>
          <w:rFonts w:ascii="Times New Roman" w:eastAsia="Arial Unicode MS" w:hAnsi="Times New Roman" w:cs="Times New Roman"/>
          <w:color w:val="000000" w:themeColor="text1"/>
          <w:sz w:val="16"/>
          <w:szCs w:val="16"/>
        </w:rPr>
        <w:t xml:space="preserve"> из</w:t>
      </w:r>
      <w:r w:rsidRPr="00070ADE">
        <w:rPr>
          <w:rStyle w:val="106"/>
          <w:rFonts w:ascii="Times New Roman" w:eastAsia="Arial Unicode MS" w:hAnsi="Times New Roman" w:cs="Times New Roman"/>
          <w:color w:val="000000" w:themeColor="text1"/>
          <w:sz w:val="16"/>
          <w:szCs w:val="16"/>
        </w:rPr>
        <w:softHyphen/>
      </w:r>
      <w:r w:rsidRPr="00070ADE">
        <w:rPr>
          <w:rFonts w:ascii="Times New Roman" w:hAnsi="Times New Roman" w:cs="Times New Roman"/>
          <w:i w:val="0"/>
          <w:color w:val="000000" w:themeColor="text1"/>
          <w:sz w:val="16"/>
          <w:szCs w:val="16"/>
        </w:rPr>
        <w:t>готовления мощных молотов, до</w:t>
      </w:r>
      <w:r w:rsidRPr="00070ADE">
        <w:rPr>
          <w:rStyle w:val="106"/>
          <w:rFonts w:ascii="Times New Roman" w:eastAsia="Arial Unicode MS" w:hAnsi="Times New Roman" w:cs="Times New Roman"/>
          <w:color w:val="000000" w:themeColor="text1"/>
          <w:sz w:val="16"/>
          <w:szCs w:val="16"/>
        </w:rPr>
        <w:t xml:space="preserve"> 6 </w:t>
      </w:r>
      <w:r w:rsidRPr="00070ADE">
        <w:rPr>
          <w:rStyle w:val="106"/>
          <w:rFonts w:ascii="Times New Roman" w:eastAsia="Arial Unicode MS" w:hAnsi="Times New Roman" w:cs="Times New Roman"/>
          <w:b w:val="0"/>
          <w:color w:val="000000" w:themeColor="text1"/>
          <w:sz w:val="16"/>
          <w:szCs w:val="16"/>
        </w:rPr>
        <w:t xml:space="preserve">тонн, были </w:t>
      </w:r>
      <w:r w:rsidRPr="00070ADE">
        <w:rPr>
          <w:rFonts w:ascii="Times New Roman" w:hAnsi="Times New Roman" w:cs="Times New Roman"/>
          <w:i w:val="0"/>
          <w:color w:val="000000" w:themeColor="text1"/>
          <w:sz w:val="16"/>
          <w:szCs w:val="16"/>
        </w:rPr>
        <w:t>изготовлены на восстановленном</w:t>
      </w:r>
      <w:r w:rsidRPr="00070ADE">
        <w:rPr>
          <w:rStyle w:val="106"/>
          <w:rFonts w:ascii="Times New Roman" w:eastAsia="Arial Unicode MS" w:hAnsi="Times New Roman" w:cs="Times New Roman"/>
          <w:b w:val="0"/>
          <w:color w:val="000000" w:themeColor="text1"/>
          <w:sz w:val="16"/>
          <w:szCs w:val="16"/>
        </w:rPr>
        <w:t xml:space="preserve"> заводом </w:t>
      </w:r>
      <w:r w:rsidRPr="00070ADE">
        <w:rPr>
          <w:rFonts w:ascii="Times New Roman" w:hAnsi="Times New Roman" w:cs="Times New Roman"/>
          <w:i w:val="0"/>
          <w:color w:val="000000" w:themeColor="text1"/>
          <w:sz w:val="16"/>
          <w:szCs w:val="16"/>
        </w:rPr>
        <w:t>2-тонном молоте.</w:t>
      </w:r>
    </w:p>
    <w:p w14:paraId="1919ED0F" w14:textId="77777777" w:rsidR="000F083A" w:rsidRPr="00070ADE" w:rsidRDefault="000F083A" w:rsidP="00B56F90">
      <w:pPr>
        <w:pStyle w:val="1010"/>
        <w:shd w:val="clear" w:color="auto" w:fill="auto"/>
        <w:spacing w:line="240" w:lineRule="auto"/>
        <w:ind w:firstLine="0"/>
        <w:rPr>
          <w:rFonts w:ascii="Times New Roman" w:hAnsi="Times New Roman" w:cs="Times New Roman"/>
          <w:i w:val="0"/>
          <w:color w:val="000000" w:themeColor="text1"/>
          <w:sz w:val="16"/>
          <w:szCs w:val="16"/>
        </w:rPr>
      </w:pPr>
      <w:r w:rsidRPr="00070ADE">
        <w:rPr>
          <w:rFonts w:ascii="Times New Roman" w:hAnsi="Times New Roman" w:cs="Times New Roman"/>
          <w:i w:val="0"/>
          <w:color w:val="000000" w:themeColor="text1"/>
          <w:sz w:val="16"/>
          <w:szCs w:val="16"/>
        </w:rPr>
        <w:t>Котельщики и сварщики,</w:t>
      </w:r>
      <w:r w:rsidRPr="00070ADE">
        <w:rPr>
          <w:rStyle w:val="106"/>
          <w:rFonts w:ascii="Times New Roman" w:eastAsia="Arial Unicode MS" w:hAnsi="Times New Roman" w:cs="Times New Roman"/>
          <w:b w:val="0"/>
          <w:color w:val="000000" w:themeColor="text1"/>
          <w:sz w:val="16"/>
          <w:szCs w:val="16"/>
        </w:rPr>
        <w:t xml:space="preserve"> имея</w:t>
      </w:r>
      <w:r w:rsidRPr="00070ADE">
        <w:rPr>
          <w:rFonts w:ascii="Times New Roman" w:hAnsi="Times New Roman" w:cs="Times New Roman"/>
          <w:i w:val="0"/>
          <w:color w:val="000000" w:themeColor="text1"/>
          <w:sz w:val="16"/>
          <w:szCs w:val="16"/>
        </w:rPr>
        <w:t xml:space="preserve"> в</w:t>
      </w:r>
      <w:r w:rsidRPr="00070ADE">
        <w:rPr>
          <w:rStyle w:val="106"/>
          <w:rFonts w:ascii="Times New Roman" w:eastAsia="Arial Unicode MS" w:hAnsi="Times New Roman" w:cs="Times New Roman"/>
          <w:b w:val="0"/>
          <w:color w:val="000000" w:themeColor="text1"/>
          <w:sz w:val="16"/>
          <w:szCs w:val="16"/>
        </w:rPr>
        <w:t xml:space="preserve"> своем</w:t>
      </w:r>
      <w:r w:rsidRPr="00070ADE">
        <w:rPr>
          <w:rFonts w:ascii="Times New Roman" w:hAnsi="Times New Roman" w:cs="Times New Roman"/>
          <w:i w:val="0"/>
          <w:color w:val="000000" w:themeColor="text1"/>
          <w:sz w:val="16"/>
          <w:szCs w:val="16"/>
        </w:rPr>
        <w:t>распоряжении только сверлильный станок, пользуясь примитивными приспособлениями (шаблоны, оправки, зубило, молоток), обе</w:t>
      </w:r>
      <w:r w:rsidRPr="00070ADE">
        <w:rPr>
          <w:rFonts w:ascii="Times New Roman" w:hAnsi="Times New Roman" w:cs="Times New Roman"/>
          <w:i w:val="0"/>
          <w:color w:val="000000" w:themeColor="text1"/>
          <w:sz w:val="16"/>
          <w:szCs w:val="16"/>
        </w:rPr>
        <w:softHyphen/>
        <w:t xml:space="preserve">спечили изготовление сложных и фигурных </w:t>
      </w:r>
      <w:r w:rsidRPr="00070ADE">
        <w:rPr>
          <w:rStyle w:val="1015"/>
          <w:rFonts w:ascii="Times New Roman" w:eastAsia="Arial Unicode MS" w:hAnsi="Times New Roman" w:cs="Times New Roman"/>
          <w:i w:val="0"/>
          <w:iCs w:val="0"/>
          <w:color w:val="000000" w:themeColor="text1"/>
          <w:sz w:val="16"/>
          <w:szCs w:val="16"/>
        </w:rPr>
        <w:t>заготовок рамы</w:t>
      </w:r>
      <w:r w:rsidRPr="00070ADE">
        <w:rPr>
          <w:rFonts w:ascii="Times New Roman" w:hAnsi="Times New Roman" w:cs="Times New Roman"/>
          <w:i w:val="0"/>
          <w:color w:val="000000" w:themeColor="text1"/>
          <w:sz w:val="16"/>
          <w:szCs w:val="16"/>
        </w:rPr>
        <w:t xml:space="preserve"> арттргача. Стенд для сбор</w:t>
      </w:r>
      <w:r w:rsidRPr="00070ADE">
        <w:rPr>
          <w:rFonts w:ascii="Times New Roman" w:hAnsi="Times New Roman" w:cs="Times New Roman"/>
          <w:i w:val="0"/>
          <w:color w:val="000000" w:themeColor="text1"/>
          <w:sz w:val="16"/>
          <w:szCs w:val="16"/>
        </w:rPr>
        <w:softHyphen/>
        <w:t>ки и сварки рамы, запроектированный и из</w:t>
      </w:r>
      <w:r w:rsidRPr="00070ADE">
        <w:rPr>
          <w:rFonts w:ascii="Times New Roman" w:hAnsi="Times New Roman" w:cs="Times New Roman"/>
          <w:i w:val="0"/>
          <w:color w:val="000000" w:themeColor="text1"/>
          <w:sz w:val="16"/>
          <w:szCs w:val="16"/>
        </w:rPr>
        <w:softHyphen/>
        <w:t xml:space="preserve">готовленный при непосредственном участии </w:t>
      </w:r>
      <w:r w:rsidRPr="00070ADE">
        <w:rPr>
          <w:rStyle w:val="1015"/>
          <w:rFonts w:ascii="Times New Roman" w:eastAsia="Arial Unicode MS" w:hAnsi="Times New Roman" w:cs="Times New Roman"/>
          <w:i w:val="0"/>
          <w:iCs w:val="0"/>
          <w:color w:val="000000" w:themeColor="text1"/>
          <w:sz w:val="16"/>
          <w:szCs w:val="16"/>
        </w:rPr>
        <w:t>сварщиков,</w:t>
      </w:r>
      <w:r w:rsidRPr="00070ADE">
        <w:rPr>
          <w:rFonts w:ascii="Times New Roman" w:hAnsi="Times New Roman" w:cs="Times New Roman"/>
          <w:i w:val="0"/>
          <w:color w:val="000000" w:themeColor="text1"/>
          <w:sz w:val="16"/>
          <w:szCs w:val="16"/>
        </w:rPr>
        <w:t xml:space="preserve"> конструкторов и технологов, обеспечил высокое качество изготовленных корпусов.</w:t>
      </w:r>
    </w:p>
    <w:p w14:paraId="12A82973" w14:textId="77777777" w:rsidR="000F083A" w:rsidRPr="00070ADE" w:rsidRDefault="000F083A" w:rsidP="00B56F90">
      <w:pPr>
        <w:pStyle w:val="1010"/>
        <w:shd w:val="clear" w:color="auto" w:fill="auto"/>
        <w:spacing w:line="240" w:lineRule="auto"/>
        <w:ind w:firstLine="0"/>
        <w:rPr>
          <w:rFonts w:ascii="Times New Roman" w:hAnsi="Times New Roman" w:cs="Times New Roman"/>
          <w:i w:val="0"/>
          <w:color w:val="000000" w:themeColor="text1"/>
          <w:sz w:val="16"/>
          <w:szCs w:val="16"/>
        </w:rPr>
      </w:pPr>
      <w:r w:rsidRPr="00070ADE">
        <w:rPr>
          <w:rFonts w:ascii="Times New Roman" w:hAnsi="Times New Roman" w:cs="Times New Roman"/>
          <w:i w:val="0"/>
          <w:color w:val="000000" w:themeColor="text1"/>
          <w:sz w:val="16"/>
          <w:szCs w:val="16"/>
        </w:rPr>
        <w:t>Инструментальщики, при весьма ограни</w:t>
      </w:r>
      <w:r w:rsidRPr="00070ADE">
        <w:rPr>
          <w:rFonts w:ascii="Times New Roman" w:hAnsi="Times New Roman" w:cs="Times New Roman"/>
          <w:i w:val="0"/>
          <w:color w:val="000000" w:themeColor="text1"/>
          <w:sz w:val="16"/>
          <w:szCs w:val="16"/>
        </w:rPr>
        <w:softHyphen/>
        <w:t>ченных возможностях (отсутствие токарно- затыловочных и друг, специальных станков, отсутствие спец. термических печей и обору</w:t>
      </w:r>
      <w:r w:rsidRPr="00070ADE">
        <w:rPr>
          <w:rFonts w:ascii="Times New Roman" w:hAnsi="Times New Roman" w:cs="Times New Roman"/>
          <w:i w:val="0"/>
          <w:color w:val="000000" w:themeColor="text1"/>
          <w:sz w:val="16"/>
          <w:szCs w:val="16"/>
        </w:rPr>
        <w:softHyphen/>
        <w:t>дования к ним), обеспечили механические и сборочные цеха инструментом и приспособле</w:t>
      </w:r>
      <w:r w:rsidRPr="00070ADE">
        <w:rPr>
          <w:rFonts w:ascii="Times New Roman" w:hAnsi="Times New Roman" w:cs="Times New Roman"/>
          <w:i w:val="0"/>
          <w:color w:val="000000" w:themeColor="text1"/>
          <w:sz w:val="16"/>
          <w:szCs w:val="16"/>
        </w:rPr>
        <w:softHyphen/>
        <w:t>ниями: протяжки, фрезы, долбяки, кондуктора, штампы и др.</w:t>
      </w:r>
    </w:p>
    <w:p w14:paraId="584AE1D0" w14:textId="77777777" w:rsidR="000F083A" w:rsidRPr="00070ADE" w:rsidRDefault="000F083A" w:rsidP="00B56F90">
      <w:pPr>
        <w:pStyle w:val="1010"/>
        <w:shd w:val="clear" w:color="auto" w:fill="auto"/>
        <w:spacing w:line="240" w:lineRule="auto"/>
        <w:ind w:firstLine="0"/>
        <w:rPr>
          <w:rFonts w:ascii="Times New Roman" w:hAnsi="Times New Roman" w:cs="Times New Roman"/>
          <w:i w:val="0"/>
          <w:color w:val="000000" w:themeColor="text1"/>
          <w:sz w:val="16"/>
          <w:szCs w:val="16"/>
        </w:rPr>
      </w:pPr>
      <w:r w:rsidRPr="00070ADE">
        <w:rPr>
          <w:rFonts w:ascii="Times New Roman" w:hAnsi="Times New Roman" w:cs="Times New Roman"/>
          <w:i w:val="0"/>
          <w:color w:val="000000" w:themeColor="text1"/>
          <w:sz w:val="16"/>
          <w:szCs w:val="16"/>
        </w:rPr>
        <w:t>Механические цеха с исключительно ак</w:t>
      </w:r>
      <w:r w:rsidRPr="00070ADE">
        <w:rPr>
          <w:rFonts w:ascii="Times New Roman" w:hAnsi="Times New Roman" w:cs="Times New Roman"/>
          <w:i w:val="0"/>
          <w:color w:val="000000" w:themeColor="text1"/>
          <w:sz w:val="16"/>
          <w:szCs w:val="16"/>
        </w:rPr>
        <w:softHyphen/>
        <w:t>тивной помощью службы главного механика завода и отдела главного технолога завода, путем модернизации и оснастки специаль</w:t>
      </w:r>
      <w:r w:rsidRPr="00070ADE">
        <w:rPr>
          <w:rFonts w:ascii="Times New Roman" w:hAnsi="Times New Roman" w:cs="Times New Roman"/>
          <w:i w:val="0"/>
          <w:color w:val="000000" w:themeColor="text1"/>
          <w:sz w:val="16"/>
          <w:szCs w:val="16"/>
        </w:rPr>
        <w:softHyphen/>
        <w:t>ными приспособлениями ограниченного, по номенклатуре, парка станков завода - обе</w:t>
      </w:r>
      <w:r w:rsidRPr="00070ADE">
        <w:rPr>
          <w:rFonts w:ascii="Times New Roman" w:hAnsi="Times New Roman" w:cs="Times New Roman"/>
          <w:i w:val="0"/>
          <w:color w:val="000000" w:themeColor="text1"/>
          <w:sz w:val="16"/>
          <w:szCs w:val="16"/>
        </w:rPr>
        <w:softHyphen/>
        <w:t>спечили обработку всего комплекса деталей машины.</w:t>
      </w:r>
    </w:p>
    <w:p w14:paraId="4BC5DBE0" w14:textId="77777777" w:rsidR="000F083A" w:rsidRPr="00070ADE" w:rsidRDefault="000F083A" w:rsidP="00B56F90">
      <w:pPr>
        <w:pStyle w:val="1010"/>
        <w:shd w:val="clear" w:color="auto" w:fill="auto"/>
        <w:spacing w:line="240" w:lineRule="auto"/>
        <w:ind w:firstLine="0"/>
        <w:rPr>
          <w:rFonts w:ascii="Times New Roman" w:hAnsi="Times New Roman" w:cs="Times New Roman"/>
          <w:i w:val="0"/>
          <w:color w:val="000000" w:themeColor="text1"/>
          <w:sz w:val="16"/>
          <w:szCs w:val="16"/>
        </w:rPr>
      </w:pPr>
      <w:r w:rsidRPr="00070ADE">
        <w:rPr>
          <w:rFonts w:ascii="Times New Roman" w:hAnsi="Times New Roman" w:cs="Times New Roman"/>
          <w:i w:val="0"/>
          <w:color w:val="000000" w:themeColor="text1"/>
          <w:sz w:val="16"/>
          <w:szCs w:val="16"/>
        </w:rPr>
        <w:t>Для протяжки таких деталей, как крон</w:t>
      </w:r>
      <w:r w:rsidRPr="00070ADE">
        <w:rPr>
          <w:rFonts w:ascii="Times New Roman" w:hAnsi="Times New Roman" w:cs="Times New Roman"/>
          <w:i w:val="0"/>
          <w:color w:val="000000" w:themeColor="text1"/>
          <w:sz w:val="16"/>
          <w:szCs w:val="16"/>
        </w:rPr>
        <w:softHyphen/>
        <w:t>штейн торсионов, ось балансира и др., не</w:t>
      </w:r>
      <w:r w:rsidRPr="00070ADE">
        <w:rPr>
          <w:rFonts w:ascii="Times New Roman" w:hAnsi="Times New Roman" w:cs="Times New Roman"/>
          <w:i w:val="0"/>
          <w:color w:val="000000" w:themeColor="text1"/>
          <w:sz w:val="16"/>
          <w:szCs w:val="16"/>
        </w:rPr>
        <w:softHyphen/>
        <w:t>обходим</w:t>
      </w:r>
      <w:r w:rsidRPr="00070ADE">
        <w:rPr>
          <w:rStyle w:val="1015"/>
          <w:rFonts w:ascii="Times New Roman" w:eastAsia="Arial Unicode MS" w:hAnsi="Times New Roman" w:cs="Times New Roman"/>
          <w:i w:val="0"/>
          <w:iCs w:val="0"/>
          <w:color w:val="000000" w:themeColor="text1"/>
          <w:sz w:val="16"/>
          <w:szCs w:val="16"/>
        </w:rPr>
        <w:t xml:space="preserve"> мощный</w:t>
      </w:r>
      <w:r w:rsidRPr="00070ADE">
        <w:rPr>
          <w:rFonts w:ascii="Times New Roman" w:hAnsi="Times New Roman" w:cs="Times New Roman"/>
          <w:i w:val="0"/>
          <w:color w:val="000000" w:themeColor="text1"/>
          <w:sz w:val="16"/>
          <w:szCs w:val="16"/>
        </w:rPr>
        <w:t xml:space="preserve"> протяжной</w:t>
      </w:r>
      <w:r w:rsidRPr="00070ADE">
        <w:rPr>
          <w:rStyle w:val="1015"/>
          <w:rFonts w:ascii="Times New Roman" w:eastAsia="Arial Unicode MS" w:hAnsi="Times New Roman" w:cs="Times New Roman"/>
          <w:i w:val="0"/>
          <w:iCs w:val="0"/>
          <w:color w:val="000000" w:themeColor="text1"/>
          <w:sz w:val="16"/>
          <w:szCs w:val="16"/>
        </w:rPr>
        <w:t xml:space="preserve"> станок.</w:t>
      </w:r>
      <w:r w:rsidRPr="00070ADE">
        <w:rPr>
          <w:rFonts w:ascii="Times New Roman" w:hAnsi="Times New Roman" w:cs="Times New Roman"/>
          <w:i w:val="0"/>
          <w:color w:val="000000" w:themeColor="text1"/>
          <w:sz w:val="16"/>
          <w:szCs w:val="16"/>
        </w:rPr>
        <w:t xml:space="preserve"> Так как протяжной станок на заводе (и в Харькове, в то время) отсутствовал, был восстановлен, мо</w:t>
      </w:r>
      <w:r w:rsidRPr="00070ADE">
        <w:rPr>
          <w:rFonts w:ascii="Times New Roman" w:hAnsi="Times New Roman" w:cs="Times New Roman"/>
          <w:i w:val="0"/>
          <w:color w:val="000000" w:themeColor="text1"/>
          <w:sz w:val="16"/>
          <w:szCs w:val="16"/>
        </w:rPr>
        <w:softHyphen/>
        <w:t>дернизирован и приспособлен д/протягивания деталей волочильный станок.</w:t>
      </w:r>
    </w:p>
    <w:p w14:paraId="00910F20" w14:textId="77777777" w:rsidR="000F083A" w:rsidRPr="00070ADE" w:rsidRDefault="000F083A" w:rsidP="00B56F90">
      <w:pPr>
        <w:pStyle w:val="1010"/>
        <w:shd w:val="clear" w:color="auto" w:fill="auto"/>
        <w:spacing w:line="240" w:lineRule="auto"/>
        <w:ind w:firstLine="0"/>
        <w:rPr>
          <w:rFonts w:ascii="Times New Roman" w:hAnsi="Times New Roman" w:cs="Times New Roman"/>
          <w:i w:val="0"/>
          <w:color w:val="000000" w:themeColor="text1"/>
          <w:sz w:val="16"/>
          <w:szCs w:val="16"/>
        </w:rPr>
      </w:pPr>
      <w:r w:rsidRPr="00070ADE">
        <w:rPr>
          <w:rFonts w:ascii="Times New Roman" w:hAnsi="Times New Roman" w:cs="Times New Roman"/>
          <w:i w:val="0"/>
          <w:color w:val="000000" w:themeColor="text1"/>
          <w:sz w:val="16"/>
          <w:szCs w:val="16"/>
        </w:rPr>
        <w:t>Так решены были вопросы и по целому ряду других деталей и узлов».</w:t>
      </w:r>
    </w:p>
    <w:p w14:paraId="57FDDD92" w14:textId="77777777" w:rsidR="000F083A" w:rsidRPr="00070ADE" w:rsidRDefault="000F083A" w:rsidP="00B56F90">
      <w:pPr>
        <w:pStyle w:val="a3"/>
        <w:rPr>
          <w:color w:val="000000" w:themeColor="text1"/>
          <w:lang w:val="ru-RU"/>
        </w:rPr>
      </w:pPr>
      <w:r w:rsidRPr="00070ADE">
        <w:rPr>
          <w:color w:val="000000" w:themeColor="text1"/>
          <w:lang w:val="ru-RU"/>
        </w:rPr>
        <w:t>В целом ряде случаев возникшие вопросы решались оригинально и даже остроумно.</w:t>
      </w:r>
    </w:p>
    <w:p w14:paraId="412A048E" w14:textId="77777777" w:rsidR="000F083A" w:rsidRPr="00070ADE" w:rsidRDefault="000F083A" w:rsidP="00B56F90">
      <w:pPr>
        <w:pStyle w:val="1a"/>
        <w:shd w:val="clear" w:color="auto" w:fill="auto"/>
        <w:spacing w:line="240" w:lineRule="auto"/>
        <w:jc w:val="both"/>
        <w:rPr>
          <w:rFonts w:ascii="Times New Roman" w:hAnsi="Times New Roman" w:cs="Times New Roman"/>
          <w:b/>
          <w:color w:val="000000" w:themeColor="text1"/>
          <w:sz w:val="16"/>
          <w:szCs w:val="16"/>
          <w:lang w:val="ru-RU"/>
        </w:rPr>
      </w:pPr>
      <w:r w:rsidRPr="00070ADE">
        <w:rPr>
          <w:rFonts w:ascii="Times New Roman" w:hAnsi="Times New Roman" w:cs="Times New Roman"/>
          <w:color w:val="000000" w:themeColor="text1"/>
          <w:sz w:val="16"/>
          <w:szCs w:val="16"/>
          <w:lang w:val="ru-RU"/>
        </w:rPr>
        <w:t>В таких условиях шло изготовление первых АТ-45 на заводе №75. Укладка оси опорного катка под запрессовку в нагретый балансир (слева). Обрубка деталей рамы по контуру при отсутствии на заводе пневматики и огнерезов производилась вручную (справа).</w:t>
      </w:r>
    </w:p>
    <w:p w14:paraId="03FD8AB7" w14:textId="77777777" w:rsidR="000F083A" w:rsidRPr="00070ADE" w:rsidRDefault="000F083A" w:rsidP="00B56F90">
      <w:pPr>
        <w:pStyle w:val="a3"/>
        <w:rPr>
          <w:color w:val="000000" w:themeColor="text1"/>
          <w:lang w:val="ru-RU"/>
        </w:rPr>
      </w:pPr>
      <w:r w:rsidRPr="00070ADE">
        <w:rPr>
          <w:color w:val="000000" w:themeColor="text1"/>
          <w:lang w:val="ru-RU"/>
        </w:rPr>
        <w:t>Значительные трудности возникли при изготовлении массивных торсионных валов подвески АТ-45 (десять штук на машину), имевших большую длину (1906 мм), с треу</w:t>
      </w:r>
      <w:r w:rsidRPr="00070ADE">
        <w:rPr>
          <w:color w:val="000000" w:themeColor="text1"/>
          <w:lang w:val="ru-RU"/>
        </w:rPr>
        <w:softHyphen/>
        <w:t xml:space="preserve">гольными шлицами на концах и требовавших наличия точных радиусов переходов от одного диаметра к другому. Изготовить заготовки для торсионов на заводе </w:t>
      </w:r>
      <w:r w:rsidRPr="00070ADE">
        <w:rPr>
          <w:color w:val="000000" w:themeColor="text1"/>
        </w:rPr>
        <w:t>N</w:t>
      </w:r>
      <w:r w:rsidRPr="00070ADE">
        <w:rPr>
          <w:color w:val="000000" w:themeColor="text1"/>
          <w:lang w:val="ru-RU"/>
        </w:rPr>
        <w:t>275 не представлялось возможным, но выход нашли в использовании торсионных валов от ремонтных танков КВ по</w:t>
      </w:r>
      <w:r w:rsidRPr="00070ADE">
        <w:rPr>
          <w:color w:val="000000" w:themeColor="text1"/>
          <w:lang w:val="ru-RU"/>
        </w:rPr>
        <w:softHyphen/>
        <w:t xml:space="preserve">сле уменьшения их диаметра и укорачивания </w:t>
      </w:r>
      <w:r w:rsidRPr="00070ADE">
        <w:rPr>
          <w:color w:val="000000" w:themeColor="text1"/>
          <w:lang w:val="ru-RU"/>
        </w:rPr>
        <w:lastRenderedPageBreak/>
        <w:t>по длине,' приспособив для этих операций (с невероятными усилиями и смекалкой) име</w:t>
      </w:r>
      <w:r w:rsidRPr="00070ADE">
        <w:rPr>
          <w:color w:val="000000" w:themeColor="text1"/>
          <w:lang w:val="ru-RU"/>
        </w:rPr>
        <w:softHyphen/>
        <w:t>ющиеся станки.</w:t>
      </w:r>
    </w:p>
    <w:p w14:paraId="30BF3AC4" w14:textId="77777777" w:rsidR="000F083A" w:rsidRPr="00070ADE" w:rsidRDefault="000F083A" w:rsidP="00B56F90">
      <w:pPr>
        <w:pStyle w:val="a3"/>
        <w:rPr>
          <w:color w:val="000000" w:themeColor="text1"/>
          <w:lang w:val="ru-RU"/>
        </w:rPr>
      </w:pPr>
      <w:r w:rsidRPr="00070ADE">
        <w:rPr>
          <w:color w:val="000000" w:themeColor="text1"/>
          <w:lang w:val="ru-RU"/>
        </w:rPr>
        <w:t>Для протяжки отверстий в кронштейне торсиона и оси балайсира требовался мощный протяжной станок, которого не было ни на за</w:t>
      </w:r>
      <w:r w:rsidRPr="00070ADE">
        <w:rPr>
          <w:color w:val="000000" w:themeColor="text1"/>
          <w:lang w:val="ru-RU"/>
        </w:rPr>
        <w:softHyphen/>
        <w:t>воде №75, ни на других заводах г. Харькова. Поэтому решили восстановить и модернизи</w:t>
      </w:r>
      <w:r w:rsidRPr="00070ADE">
        <w:rPr>
          <w:color w:val="000000" w:themeColor="text1"/>
          <w:lang w:val="ru-RU"/>
        </w:rPr>
        <w:softHyphen/>
        <w:t>ровать имевшийся неисправный и неукомплек</w:t>
      </w:r>
      <w:r w:rsidRPr="00070ADE">
        <w:rPr>
          <w:color w:val="000000" w:themeColor="text1"/>
          <w:lang w:val="ru-RU"/>
        </w:rPr>
        <w:softHyphen/>
        <w:t>тованный волочильный станок для холодной калибровки металла. В итоге удалось успешно обработать детали для первых машин.</w:t>
      </w:r>
    </w:p>
    <w:p w14:paraId="333E3218" w14:textId="77777777" w:rsidR="000F083A" w:rsidRPr="00070ADE" w:rsidRDefault="000F083A" w:rsidP="00B56F90">
      <w:pPr>
        <w:pStyle w:val="a3"/>
        <w:rPr>
          <w:color w:val="000000" w:themeColor="text1"/>
          <w:lang w:val="ru-RU"/>
        </w:rPr>
      </w:pPr>
      <w:r w:rsidRPr="00070ADE">
        <w:rPr>
          <w:color w:val="000000" w:themeColor="text1"/>
          <w:lang w:val="ru-RU"/>
        </w:rPr>
        <w:t>Возникла проблема и с роликовыми под</w:t>
      </w:r>
      <w:r w:rsidRPr="00070ADE">
        <w:rPr>
          <w:color w:val="000000" w:themeColor="text1"/>
          <w:lang w:val="ru-RU"/>
        </w:rPr>
        <w:softHyphen/>
        <w:t>шипниками (с витыми роликами), предусмо</w:t>
      </w:r>
      <w:r w:rsidRPr="00070ADE">
        <w:rPr>
          <w:color w:val="000000" w:themeColor="text1"/>
          <w:lang w:val="ru-RU"/>
        </w:rPr>
        <w:softHyphen/>
        <w:t>тренными в механизме бортовой передачи тягача. Они были изготовлены Куйбышевским ГПХ и присланы на завод №75 в количестве десяти шт., т.е. только на пять машин. Шестой АТ-45 оказался неукомплектованным. При</w:t>
      </w:r>
      <w:r w:rsidRPr="00070ADE">
        <w:rPr>
          <w:color w:val="000000" w:themeColor="text1"/>
          <w:lang w:val="ru-RU"/>
        </w:rPr>
        <w:softHyphen/>
        <w:t>шлось в спешном порядке разрабатывать кон</w:t>
      </w:r>
      <w:r w:rsidRPr="00070ADE">
        <w:rPr>
          <w:color w:val="000000" w:themeColor="text1"/>
          <w:lang w:val="ru-RU"/>
        </w:rPr>
        <w:softHyphen/>
        <w:t>струкцию подшипника-заменителя, в котором витые ролики заменили на сплошные (15748).</w:t>
      </w:r>
    </w:p>
    <w:p w14:paraId="741481BB" w14:textId="77777777" w:rsidR="000F083A" w:rsidRPr="00070ADE" w:rsidRDefault="000F083A" w:rsidP="00B56F90">
      <w:pPr>
        <w:pStyle w:val="a3"/>
        <w:rPr>
          <w:color w:val="000000" w:themeColor="text1"/>
          <w:lang w:val="ru-RU"/>
        </w:rPr>
      </w:pPr>
    </w:p>
    <w:p w14:paraId="51C1D9E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4D1F7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08D9CD"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28 июня</w:t>
      </w:r>
      <w:r w:rsidRPr="00070ADE">
        <w:rPr>
          <w:rFonts w:ascii="Times New Roman" w:hAnsi="Times New Roman"/>
          <w:color w:val="000000" w:themeColor="text1"/>
          <w:sz w:val="16"/>
          <w:szCs w:val="16"/>
        </w:rPr>
        <w:t xml:space="preserve"> в 1944 году оперативная сводка Совинформбюро:</w:t>
      </w:r>
    </w:p>
    <w:p w14:paraId="2C987A58"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28 июня южнее города Полоцк наши войска, преодолевая сопротивление и инженерные заграждения противника в межозёрных дефиле, вели наступательные бои, в ходе которых овладели районным центром Витебской области городом Лепель, а также заняли более 100 других населённых пунктов и среди них Черчицы, Красное, Заречье, Земцы, Замошье, Старое Лядно, Великое Поле.</w:t>
      </w:r>
    </w:p>
    <w:p w14:paraId="709A58E2"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Минском направлении наши войска, развивая успешное наступление, овладели районными центрами Минской области городом Холопеничи, городом и железнодорожной станцией Крупки, районным центром Могилёвской области Круглое, а так же с боями заняли более 400 других населённых пунктов, среди которых крупные на селённые пункты Староселье, Латыголичи, Моисеевщина, Пупелечи, Кострица (13 километров северо-восточнее Борисова), Игрушки, Славени, Коханово и железнодорожные станции Коханово, Славное.</w:t>
      </w:r>
    </w:p>
    <w:p w14:paraId="6C50CAEA"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Белорусского фронта, форсировав реку Днепр на участке протяжением в 120 километров, прорвали вторую оборонительную полосу немцев, подготовленную ими по западному берегу реки, и штурмом овладели крупным областным центром Белоруссии — городом Могилев, а также с боями заняли районные центры Могилёвской области город Шклов, город Быхов и более 450 других населённых пунктов, среди которых крупные населённые пункты Подкняженье, Уланово, Черное, Черноручье, Дубровка, Браково, Сеньково, Голынец 1-й и 2-й, Новая и Старая Лежневка, Бовшев, Липовка, Ходутичи, Мокрое и железнодорожные станции Копысь, Шклов, Лотва, Полыковские Хутора, Буйничи, Дашковка, Барсуки, Борколабово, Ямница, Быхов.</w:t>
      </w:r>
    </w:p>
    <w:p w14:paraId="728553BD"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бою за город Могилев разгромлена 12 пехотная дивизия немцев, командир которой генерал-лейтенант Бамлер взят в плен вместе с его штабом. Взят также в плен комендант города Могилев генерал-майор Эрдмансдорф.</w:t>
      </w:r>
    </w:p>
    <w:p w14:paraId="7FEA66AD"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Белорусского фронта, развивая успешное наступление, овладели городом и важным железнодорожным узлом Осиповичи и продолжали вести бои по уничтожению группировки противника, окружённой в районе города Бобруйск. В ходе наступательных боёв войска фронта освободили за день более 200 населённых пунктов, в числе которых районный центр Могилёвской области город Кличев, районный центр Минской области город и железнодорожная станция Старые Дороги, крупные населённые пункты Чигиринка, Ореховка, Вирков, Бацевичи, Сергеевичи, Любоничи, Ступени, Березинский Форштадт, Шатково, Теплуха, Протасевичи, Калюга, Ново-Андреевка, Барбаров, Бобровичи, Поречье и железнодорожные станции Несета, Таченка, Телуша, Савичи, Березина.</w:t>
      </w:r>
    </w:p>
    <w:p w14:paraId="5E720623"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Между Онежским и Ладожским озёрами наши войска, преодолевая сопротивление финнов, продвинулись вперёд до 35 километров и заняли населённые пункты Шокша, Педа-Сельга, Кескозеро, Виллала, Вехка-Сельга, Сяньдеба, Верхний Конец, Аланга, Гаврилово, Видлица, Усть-Видлица.</w:t>
      </w:r>
    </w:p>
    <w:p w14:paraId="57626054"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Финском заливе юго-западнее Выборга наши войска очистили от противника остров Уран-Сари, овладев при этом городом, портом и железнодорожной станцией Тронгсунд (Урас).</w:t>
      </w:r>
    </w:p>
    <w:p w14:paraId="74165AC4"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без существенных изменений.</w:t>
      </w:r>
    </w:p>
    <w:p w14:paraId="18A512C2"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27 июня наши войска на всех фронтах подбили и уничтожили 109 немецких танков. В воздушных боях и огнём зенитной артиллерии сбит 61 самолёт противника.</w:t>
      </w:r>
    </w:p>
    <w:p w14:paraId="0FCD5234"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Массированные налёты нашей авиации на железнодорожные узлы Барановичи, Лунинец, Минск, Полоцк и железнодорожную станцию Борисов</w:t>
      </w:r>
    </w:p>
    <w:p w14:paraId="52D7516F"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в ночь на 28 июня нанесла сильные удары по железнодорожным узлам Барановичи, Лунинец, Минск, Полоцк и железнодорожной станции Борисов. Во время налёта на железнодорожных узлах и станции находилось большое количество железнодорожных эшелонов.</w:t>
      </w:r>
    </w:p>
    <w:p w14:paraId="295BE02C"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бомбардировки на железно дорожном узле Барановичи возникло 23 больших очага пожара и произошло несколько сильных взрывов. Пожары наблюдались экипажами при уходе от цели с расстояния 150 километров. На железнодорожном узле Лунинец наши лётчики разбили несколько эшелонов с войсками и техникой.</w:t>
      </w:r>
    </w:p>
    <w:p w14:paraId="44B3D173"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Южнее города Полоцк части Н-ского соединения, сломив сопротивление немцев на промежуточных рубежах, овладели городом Лепель — мощным узлом обороны немцев. Происходящие бои характеризуются массовым уничтожением живой силы противника. В районе Якубовщины и Свитина наши под разделения окружили остатки разбитых немецких частей и ведут бои по их ликвидации. Уничтожено 600 гитлеровцев, свыше 500 немецких солдат и офицеров взято в плен. В районе урочища Андронов Остров советские войска окружили и уничтожили вражеский полк, 520 немцев прекратили сопротивление, сложили оружие и сдались в плен. Наши бойцы захватили до 1.000 автомашин с различными грузами.</w:t>
      </w:r>
    </w:p>
    <w:p w14:paraId="4176FDF9"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территории узла возникло 10 пожаров и произошло 6 сильных взрывов. На железнодорожном узле Минск возникло 13 очагов пожара: горели вагоны и военные склады. В Полоцке пожар охватил всю центральную часть узла.</w:t>
      </w:r>
    </w:p>
    <w:p w14:paraId="0CFA0118"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Особенно интенсивный налёт наша авиация совершила на железнодорожную станцию Борисов, на путях которой находилось до 20 эшелонов. Разрывы бомб наблюдались на всей территории станции. Возникло 15 очагов пожара. Произошло 16 взрывов.</w:t>
      </w:r>
    </w:p>
    <w:p w14:paraId="6E089BB4"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Четыре наших самолёта не вернулись на свои базы.</w:t>
      </w:r>
    </w:p>
    <w:p w14:paraId="5B4A4C1D"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Белорусского фронта всю ночь на 28 июня вели ожесточённые бои на улицах Могилёва. Мощные удары наших пехотных частей с востока и стремительная атака бронетанковых сил с севера решили исход сражения в пользу советских войск. Сегодня утром воины Красной Армии освободили город Могилёв от немецко-фашистских захватчиков. В боях за город наши войска уничтожили 12 немецкую пехотную дивизию, нанесли тяжёлые потери танково-гренадерской дивизии СС «Фельдхернхалле» и другим немецким частям. Взято много пленных. В числе пленных — командир 12 пехотной дивизии генерал-лейтенант Бамлер, немецкий комендант города Могилёв генерал-майор Эрдмансдорф, командир 89 пехотного полка полковник Дайтентиш и другие офицеры. Захвачены большие трофеи — много вооружения, десятки окладов с боеприпасами, продовольствием, медикаментами и 7 железнодорожных эшелонов с различными военными грузами.</w:t>
      </w:r>
    </w:p>
    <w:p w14:paraId="4C56DAF6"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Белорусского фронта продол жали успешное наступление. Теснее сжимая кольцо вокруг немецкой группировки, окружённой в районе Бобруйска, части Н-ского соединения заняли несколько населённых пунктов. Захвачено 5 паровозов, более 100 вагонов, свыше 200 автомашин и другие трофеи. Советские подвижные части с боями продвинулись на запад и внезапным ударом заняли важный узел железных дорог город Осиповичи. Захвачено 5 железнодорожных эшелонов с продовольствием и военными материалами и 12 разных складов. Овладев городом Старые Дороги, наши бойцы также взяли большие трофеи: 2 склада боеприпасов, 3 склада с горючим, 3 продовольственных склада, 3 железнодорожных эшелона с военным имуществом и медикаментами, 300 повозок и 30 автомашин.</w:t>
      </w:r>
    </w:p>
    <w:p w14:paraId="3B1AF4D2"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Между Онежским и Ладожским озёрами части Н-ского соединения форсировали реку Видлица и умелым обходным манёвром овладели опорным пунктом обороны финнов Видлица. Захвачено 9 орудий, 30 пулемётов и 17 разных складов. На поле боя оста лось 300 вражеских трупов.</w:t>
      </w:r>
    </w:p>
    <w:p w14:paraId="142EF3E2"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деревни Ядрево, Витебской области, рота немцев при поддержке двух орудий днём 25 июня контратаковала позиции нашего подразделения. Впереди себя, на расстоянии 50 метров, гитлеровцы гнали толпу женщин и детей. Наши миномётчики дали залп по немцам и метким огнём отсекли их от мирных жителей. Советские граждане начали разбегаться. Немцы залегли и открыли по ним огонь. Стремительной атакой наши бойцы разгромили немцев и освободили оставшихся в живых советских граждан.</w:t>
      </w:r>
    </w:p>
    <w:p w14:paraId="684EE58A"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Отступая под ударами Красной Армии, гитлеровские вояки прячутся за спиной женщин и детей, пытаясь спасти свою подлую шкуру. Но никакие коварные приёмы не спасут фашистское зверьё от сурового возмездия.</w:t>
      </w:r>
    </w:p>
    <w:p w14:paraId="35C8C111"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Группа латвийских партизан из отряда «Латгалия» взорвала немецкий склад бое припасов. Уничтожены более 1.000 кг. взрывчатых веществ, много гранат, мин, капсюлей-детонаторов, 5 автомашин и охрана склада. Партизаны этого же отряда за последние дни пустили под откос 3 немецких воинских эшелона.» (14936).</w:t>
      </w:r>
    </w:p>
    <w:p w14:paraId="71A36C29" w14:textId="77777777" w:rsidR="000F083A" w:rsidRPr="00070ADE" w:rsidRDefault="000F083A" w:rsidP="00B56F90">
      <w:pPr>
        <w:spacing w:after="0" w:line="240" w:lineRule="auto"/>
        <w:jc w:val="both"/>
        <w:rPr>
          <w:rFonts w:ascii="Times New Roman" w:hAnsi="Times New Roman"/>
          <w:color w:val="000000" w:themeColor="text1"/>
          <w:sz w:val="16"/>
          <w:szCs w:val="16"/>
        </w:rPr>
      </w:pPr>
    </w:p>
    <w:p w14:paraId="25794992"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28 июня</w:t>
      </w:r>
      <w:r w:rsidRPr="00070ADE">
        <w:rPr>
          <w:rFonts w:ascii="Times New Roman" w:hAnsi="Times New Roman"/>
          <w:color w:val="000000" w:themeColor="text1"/>
          <w:sz w:val="16"/>
          <w:szCs w:val="16"/>
        </w:rPr>
        <w:t xml:space="preserve"> в 1944 году войска Карельского фронта под командованием генерала армии Кирилла Мерецкова во взаимодействии с Онежской флотилией освободили столицу Карело-Финской ССР город Петрозаводск, полностью очистили от противника Кировскую железную дорогу и Беломорско-Балтийский канал. Завершилась Витебско-Оршанская операция: войска 1-го Прибалтийского фронта вышли на рубеж 30 км юго-восточнее Полоцка, Лепеля; войска 3-го Белорусского фронта - к реке Березине, севернее Борисова. В ходе проведения Витебско-Оршанской наступательной операции части 39-й (генерал-лейтенант И.И.Людников) и 43-й (генерал-лейтенант А.П.Белобородов) армий 3-го Белорусского фронта (генерал армии И.Д.Черняховский) освободили город Витебск, уничтожив Витебскую группировку противника (14936).</w:t>
      </w:r>
    </w:p>
    <w:p w14:paraId="39083670" w14:textId="77777777" w:rsidR="000F083A" w:rsidRPr="00070ADE" w:rsidRDefault="000F083A" w:rsidP="00B56F90">
      <w:pPr>
        <w:spacing w:after="0" w:line="240" w:lineRule="auto"/>
        <w:jc w:val="both"/>
        <w:rPr>
          <w:rFonts w:ascii="Times New Roman" w:hAnsi="Times New Roman"/>
          <w:color w:val="000000" w:themeColor="text1"/>
          <w:sz w:val="16"/>
          <w:szCs w:val="16"/>
        </w:rPr>
      </w:pPr>
    </w:p>
    <w:p w14:paraId="0B1D3CB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июня 1944 немцы оставили Могилев. Положение немецких войск в Белоруссии стало катастрофическим. Войска 1-го и 3-го Белорусских фронтов, форсировав Березину, глубоко охватили с севера и юга группировку 4-й армии противника восточнее Минска. Начиная с этого дня и до 3 июля, действия авиации по существу носили характер широкого преследования отходивших немецких войск от Днепра до Березины.</w:t>
      </w:r>
    </w:p>
    <w:p w14:paraId="7BAEB34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О высокой эффективности действий Ил-2 подробно свидетельствуют многочисленные показания немецких военнопленных, от рядовых солдат до генералов включительно.</w:t>
      </w:r>
    </w:p>
    <w:p w14:paraId="7821C97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Например, ефрейтор 3-й роты 677-го рабочего железнодорожного батальона Фридрих Альфред, взятый в плен 2 июля, показал: "Немецкие колонны, двигавшиеся по шоссе Орша-Минск, повернули на юг на шоссе Могилев-Минск. На лесных дорогах мы подвергались непрерывным атакам штурмовиков, которые наносили нашим колоннам ужасные потери. Так как автомашины двигались по дорогам в 2-3 ряда, потери при налетах часто равнялись 50-60%. Считаю, что в нашей колонне до 50% всего состава было потеряно от налетов русских самолетов. Все дороги нашего отступления усеяны тысячами разбитых автомашин и повозок, трупами лошадей и солдат. Моральное воздействие русской авиации было огромным. При появлении советских самолетов солдаты бросали на дорогах автомашины и подводы и бежали прятаться в лес. Машины и подводы съезжали с шоссе, вязли в болотах и в беспорядке устраивали сплошные пробки..."</w:t>
      </w:r>
    </w:p>
    <w:p w14:paraId="4339FC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"Непрерывные налеты авиации противника причиняли тяжелые потери... вызывали бесконечные заторы среди отступающих колонн. Русские штурмовики то и дело разрушали мосты у Березины, после чего на восточном берегу всякий раз образовывалось огромное скопление машин", - запишет позже командующий немецкой 4-й армией Курт Типпельскирх.</w:t>
      </w:r>
    </w:p>
    <w:p w14:paraId="228725E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Необходимо отметить, что в описываемых событиях путь отступления немцев проходил через лесисто-болотистую местность с крайне ограниченным числом дорог. Это вынуждало войска вермахта совершать отход по двум-трем основным дорогам, которые нередко были забиты колоннами в два-три, а в отдельных случаях и в четыре ряда. При этом немцы не смогли организовать прикрытие отходящих войск зенитными средствами и истребителями. Поэтому условия для боевого применения Ил-2 складывались особенно благоприятно. Колонны совершенно не имели возможности рассредоточиться. Штурмовики же, создав на дорогах пробки и заторы, непрерывным "висением" над остановившимися колоннами добивались максимального успеха (12020).</w:t>
      </w:r>
    </w:p>
    <w:p w14:paraId="35C635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FFBC7D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28-31 июля 1944, содействуя войскам фронта, штурмовики 16-й ВА уничтожали группировку противника западнее и северо-западнее Бреста.</w:t>
      </w:r>
    </w:p>
    <w:p w14:paraId="492EAD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рассвета и в течение дня 28 июля 2-я гшад и 299-я шад по данным своей разведки небольшими группами совместно с истребителями наносили удары по окруженной группировке в районе Бохукалы, Кжичев. Прежде всего, удару подверглась голова огромной колонны автомашин, повозок, артиллерии и пехоты, стремившейся прорваться в направлении Янув- Подляски. Каждая группа штурмовиков самостоятельно выбирала цель и уничтожала ее бомбами и пушеч- но-пулеметным огнем, делая по 5-8 заходов. Истребители сопровождения, не встретив воздушного противника, также штурмовали вражеские войска. Колонна остановилась. Многие автомашины начали съезжать с дороги в стороны, стараясь укрыться в лесу и на окраинах населенных пунктов, много грузовиков застряло в канавах. Образовалась пробка. Создались благоприятные условия для действия авиации.</w:t>
      </w:r>
    </w:p>
    <w:p w14:paraId="1EBCD6D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за 28 июля было уничтожено до 600 автомашин, свыше 30 орудий, до 500 повозок, до 900 лошадей и свыше 1000 вражеских солдат.</w:t>
      </w:r>
    </w:p>
    <w:p w14:paraId="4D8A05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последующие три дня такие же удары были нанесены по колоннам противника на дорогах от Константынув на Лосице, обнаруженных разведчиками 59-го гшап лейтенантами Россохиным и Милюковым. На дорогах остались разбитыми около 400 автомашин и 200 подвод. Особенно успешно действовали по вражеским колоннам 29 июля две шестерки Ил-2 под командованием майора Гребенькова. За два захода они уничтожили 45 автомашин, 40 подвод, 2 орудия и до 100 солдат противника.</w:t>
      </w:r>
    </w:p>
    <w:p w14:paraId="430445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Подвергшаяся бомбоштурмовым ударам авиации окруженная западнее Бреста немецкая группировка потеряла боеспособность и была легко уничтожена наземными войсками. Специальная комиссия, осматривавшая район боевых действий, подтвердила высокую эффективность ударов нашей авиации.</w:t>
      </w:r>
    </w:p>
    <w:p w14:paraId="15FA413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 успешных действиях штурмовиков по группировке противника западнее Бреста свидетельствовали отзывы командования наземных войск.</w:t>
      </w:r>
    </w:p>
    <w:p w14:paraId="3CA427A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28 июля после удара группы Ил-2, возглавляемой командиром 218-го шап подполковником Лысенко, штабом 299-й шад была получена такая телеграмма: "Ваша группа из одиннадцати Ил-2, действовавшая по скоплениям противника в районе Кжиче- ва (12 км западнее Бреста), работала отлично. Всем экипажам объявите благодарность. Полковник Бойков".</w:t>
      </w:r>
    </w:p>
    <w:p w14:paraId="009221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Командир 55-й гвардейской стрелковой дивизии генерал Турчинский, наблюдавший за действиями штурмовиков, подтвердил исключительно высокую эффективность их бомбоштурмовых ударов, после чего части дивизии без особого сопротивления противника овладели пунктом Константынув (12020).</w:t>
      </w:r>
    </w:p>
    <w:p w14:paraId="012045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E2095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28 июня 1944 этот "Бостон", управляемый капитаном Крапивой, участвовал в налете на аэродром в Барановичах. Он поджег два немецких самолета, прежде чем сам был поврежден зенитной артиллерией. Предписали вооружить АКАБ шесть A-20G, но это решение, по-видимому, не было выполнено (3457,110).</w:t>
      </w:r>
    </w:p>
    <w:p w14:paraId="531B7C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8254D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июня 1944 советские войска заверили Витебско-Оршанскую операцию (4962).</w:t>
      </w:r>
    </w:p>
    <w:p w14:paraId="02FEA39E"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D7852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июня 1944 советскими войсками освобожден от фашистов Петрозаводск (4962).</w:t>
      </w:r>
    </w:p>
    <w:p w14:paraId="501B9E6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97DA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июня 1944 был десант в 21 км от Петрозаводска с Онеги - часть Свирско-Петрозаводской операции и город взяли (2443,21).</w:t>
      </w:r>
    </w:p>
    <w:p w14:paraId="329938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1780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C 28 по 30 июня 1944 4ВА и 16ВА в районе Березино подвергли ударам отступающие немецкие войска и выполнили 3000 вылетов. Это помогло окружить немцев восточнее Минска (340,174).</w:t>
      </w:r>
    </w:p>
    <w:p w14:paraId="0FAF373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E654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июня 1944 группа ш под командой ГСС А.К.Недбайло нанесла удар по эшелонам и разбили 4 состава и пути (438,912).</w:t>
      </w:r>
    </w:p>
    <w:p w14:paraId="5237633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E50E6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28 июня 1944 г. в первом же боевом вылете на блокировку аэродрома Барановичи A-20G-1 с АКАБ был настолько сильно поврежден огнем зенитной артиллерии, что дотянул до своего аэродрома только благодаря высокой живучести “американца”.</w:t>
      </w:r>
    </w:p>
    <w:p w14:paraId="3B66DA8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докладам экипажей A-20G-1 с АКАБ в первой же атаке поджег два истребителя люфтваффе, стоявшие на старте. Однако второй атаки экипажу сделать уже не удалось.</w:t>
      </w:r>
    </w:p>
    <w:p w14:paraId="73D9C3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Справедливости ради,необходимо отметить, что оружие АКАБ не было оснащено пламегасителями и при ночной стрельбе машина хорошо подсвечивалась пламенем из стволов батареи представляя собой прекрасную мишень для зенитных расчетов. Кроме того, тактика боевого применения АКАБ была далека от совершенства.</w:t>
      </w:r>
    </w:p>
    <w:p w14:paraId="043D7F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то, что испытания были признаны вполне успешными, широкого распространения A-20G-1 с АКБ не получили, ввиду узости решаемых ими тактических задач (9649).</w:t>
      </w:r>
    </w:p>
    <w:p w14:paraId="465E059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094B5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июня 1944 вышло Постановление ГКО № 6116 о материально-бытовом обеспечении генералов, адмиралов, комиссаров государственной безопасности, комиссаров милиции и старшего офицерского состава Красной Армии, Военно-Морского Флота, войск и органов HКВД СССР и HКГБ СССР, имеющих срок. РГАНИР, Фонд ГКО, д. 266, лл. 233-237 (11012).</w:t>
      </w:r>
    </w:p>
    <w:p w14:paraId="1F9B5DF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МАТЕРИАЛЬНО-БЫТОВОМ ОБЕСПЕЧЕНИИ ЗАЧИСЛЯЕМЫХ В ЗАПАС ИЛИ УВОЛЬНЯЕМЫХ В ОТСТАВКУ</w:t>
      </w:r>
    </w:p>
    <w:p w14:paraId="267154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 материально-бытовом обеспечении генералов, адмиралов, комиссаров госбезопасности, комиссаров милиции и старшего офицерского состава Красной Армии, Военно-Морского Флота, войск, органов НКВД и НКГБ СССР, имеющих срок выслуги 25 лет и более, зачисляемых в запас или увольняемых в отставку.</w:t>
      </w:r>
    </w:p>
    <w:p w14:paraId="64B735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Государственный Комитет Обороны постановляет:</w:t>
      </w:r>
    </w:p>
    <w:p w14:paraId="637B84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Установить, что генералам, адмиралам, комиссарам госбезопасности, комиссарам милиции и старшему офицерскому составу КА, ВМФ, войск и органов НКВД СССР и НКГБ СССР, имеющим срок выслуги 25 лет и более, зачисляемых в запас и увольняемых в отставку по состоянию здоровья или по возрасту, — пенсии исчислять из штатного оклада содержания по последней должности и процентной надбавки за выслугу лет:</w:t>
      </w:r>
    </w:p>
    <w:p w14:paraId="148A724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генералам, адмиралам, комиссарам госбезопасности и комиссарам милиции — в размере 90%;</w:t>
      </w:r>
    </w:p>
    <w:p w14:paraId="1E4E4B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старшему офицерскому составу, имеющему срок выслуги 25 лет, — 80%.</w:t>
      </w:r>
    </w:p>
    <w:p w14:paraId="3CC0F0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каждый год выслуги свыше 25 лет пенсию старшему офиц. составу увеличить на 3%, причем общая сумма при сем не должна превышать 90% от оклада содержания по последней должности и процентной надбавки за выслугу лет.</w:t>
      </w:r>
    </w:p>
    <w:p w14:paraId="50D3126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Исчисление срока выслуги производится в соответствии со ст. ст. 3 и 4 Постановления СНК от 5 июня 1941 года № 1474.</w:t>
      </w:r>
    </w:p>
    <w:p w14:paraId="4C74FC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Выдавать лицам, указанным в пункте 1, при зачислении их в запас или при увольнении в отставку единовременное пособие из расчета штатного оклада содержания по последней должности и процентной надбавки за выслугу лет:</w:t>
      </w:r>
    </w:p>
    <w:p w14:paraId="3EFC8FD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генералам, адмиралам, комиссарам ГБ, комиссарам милиции — в размере 6 месячных окладов;</w:t>
      </w:r>
    </w:p>
    <w:p w14:paraId="7A2603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полковникам и лицам, имеющим соответствующие им воинские и спец. звания, — в размере 5 месячных окладов;</w:t>
      </w:r>
    </w:p>
    <w:p w14:paraId="1F60C5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подполковникам и лицам, имеющим соответствующие им воинские и спец. звания, — в размере 4 месячных окладов;</w:t>
      </w:r>
    </w:p>
    <w:p w14:paraId="5E96D8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майорам и лицам, имеющим соответствующие им воинские и спец. звания, — в размере 3 месячных окладов.</w:t>
      </w:r>
    </w:p>
    <w:p w14:paraId="5C04AB5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Установить, что лица, указанные в п. 1, при зачислении их в запас или при увольнении в отставку при наличии положительной аттестации могут быть представлены к награде орденом и присвоению в аттестационном порядке очередного воинского или специального звания.</w:t>
      </w:r>
    </w:p>
    <w:p w14:paraId="3A2EE2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Предельными воинскими званиями, к которым могут быть представлены зачисляемые в запас или в отставку, являются звания генерала армии, адмирала и соответствующие им звания.</w:t>
      </w:r>
    </w:p>
    <w:p w14:paraId="33A7DEE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этом офицеры, удостоенные при зачислении в запас или увольняемые в отставку генеральских и им соответствующих званий, пользуются всеми правами, установленными настоящим Постановлением для генералов (и им соответствующих), зачисляемых в запас или увольняемых в отставку.</w:t>
      </w:r>
    </w:p>
    <w:p w14:paraId="4A1FBF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Предоставлять указанным в п. 1 лицам, зачисленным или уволенным в отставку, права:</w:t>
      </w:r>
    </w:p>
    <w:p w14:paraId="3F11D54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на ношение формы одежды со знаками различия, но с особым отличительным знаком на погонах;</w:t>
      </w:r>
    </w:p>
    <w:p w14:paraId="2A303F9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на обеспечение их продовольственными и промышленными товарами за оплату наравне с генералами, адмиралами, комиссарами госбезопасности, комиссарами милиции и старшим офицерским составом на соответствующих должностях в КА, ВМФ, в войсках и органах НКВД И НКГБ СССР;</w:t>
      </w:r>
    </w:p>
    <w:p w14:paraId="180457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 обеспечение их и членов их семей медицинской помощью, а нуждающихся — в санаторно-курортном лечении через поликлиники, санатории и дома отдыха НКО, НКВМФ, НКВД и НКГБ соответственно;</w:t>
      </w:r>
    </w:p>
    <w:p w14:paraId="799132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на занимаемую им и их семьями жилую площадь, а при перемене места жительства — на получение новой жилплощади;</w:t>
      </w:r>
    </w:p>
    <w:p w14:paraId="524E8B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 состоять действующим членом офицерских клубов и собраний местных гарнизонов Красной Армии, Военно-Морского флота, в войсках и органах НКВД СССР и НКГБ СССР.</w:t>
      </w:r>
    </w:p>
    <w:p w14:paraId="2A3CDE9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 на прием их детей в суворовские и нахимовские училища, а также на бесплатное обучение детей в техникумах и высших учебных заведениях;</w:t>
      </w:r>
    </w:p>
    <w:p w14:paraId="7C33F9A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ж) на обеспечение вещевым довольствием по нормам и в сроки, установленные для находящихся на службе в Красной Армии, Военно-Морского флота, в войсках и органах НКВД СССР и НКГБ СССР, — за наличный расчет по государственным расценкам.</w:t>
      </w:r>
    </w:p>
    <w:p w14:paraId="70FD81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Обязать городские и районные Советы депутатов трудящихся предоставлять лицам, указанным в п. 1 настоящего Постановления, по их заявлениям в бесплатное пользование под застройку, огороды и сады земельные участки от половины гектара до одного гектара, а также выдавать им необходимые стройматериалы с оплатой их стоимости по госуд. ценам в рассрочку на 10 лет.</w:t>
      </w:r>
    </w:p>
    <w:p w14:paraId="486621A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Установить, что за указанными в п. 1 лицами, поступившими на работу в учреждения и предприятия, сохраняются все льготы, предусмотренные постановлением, в т. ч. и полная пенсия независимо от зарплаты, получаемой по месту работы.</w:t>
      </w:r>
    </w:p>
    <w:p w14:paraId="1126956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Установить что в случае смерти лиц, указанных в п. 1 настоящего Постановления, их семьи обеспечиваются в порядке, установленном Постановлением СНК СССР от 28 апреля 1943 г. № 462. При этом единовременное пособие выдается в размере 1/3. Кроме того, эти семьи обеспечиваются пенсией в соответствии с Постановлением СНК от 5 июня 1941 г. № 1474.</w:t>
      </w:r>
    </w:p>
    <w:p w14:paraId="103D98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 Распространить льготы, установленные настоящим Постановлением, на лиц, зачисленных в запас или уволенных в отставку с начала Отечественной войны (22 июня 1941 г.), имевших к моменту увольнения из армии срок выслуги 25 лет и более и воинские, а также специальные звания, соответствующие перечисленным в п. 1 настоящего Постановления.</w:t>
      </w:r>
    </w:p>
    <w:p w14:paraId="261181A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Ввести с 1 июля 1944 г.</w:t>
      </w:r>
    </w:p>
    <w:p w14:paraId="08A6F0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Председатель Государственного Комитета Обороны</w:t>
      </w:r>
    </w:p>
    <w:p w14:paraId="076DF75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СТАЛИН</w:t>
      </w:r>
    </w:p>
    <w:p w14:paraId="20B6DAC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РГАСПИ. Ф. 644, Оп. 1. Д.266 Лл. 233-237 (12013).</w:t>
      </w:r>
    </w:p>
    <w:p w14:paraId="21F344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B9391D9" w14:textId="5316006E" w:rsidR="000C7691" w:rsidRPr="00070ADE" w:rsidRDefault="000C7691" w:rsidP="000C7691">
      <w:pPr>
        <w:widowControl w:val="0"/>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070ADE">
        <w:rPr>
          <w:rFonts w:ascii="Times New Roman" w:hAnsi="Times New Roman"/>
          <w:i/>
          <w:iCs/>
          <w:color w:val="000000" w:themeColor="text1"/>
          <w:sz w:val="16"/>
          <w:szCs w:val="16"/>
        </w:rPr>
        <w:t>:</w:t>
      </w:r>
    </w:p>
    <w:p w14:paraId="274F1590" w14:textId="77777777" w:rsidR="000C7691" w:rsidRPr="00070ADE" w:rsidRDefault="000C7691" w:rsidP="000C769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96841A" w14:textId="77777777" w:rsidR="000C7691" w:rsidRPr="001A0BAA" w:rsidRDefault="000C7691" w:rsidP="000C769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28 июня 1944 г. на базе отряда корабельных истребителей 7-го истребительного авиационного полка и отдельных корабельных авиационных звеньев ВВС ЧФ была сформирована 24-я отдельная эскадрилья корабельной авиации. Из состава звеньев в эскадрилью вошли восемь самолётов Бе-4. Местом базирования первоначально стал Поти, затем её перебазировали в Крым, на аэродром Альма-Томак, в 30 километрах от Севастополя. </w:t>
      </w:r>
    </w:p>
    <w:p w14:paraId="6556C62A" w14:textId="77777777" w:rsidR="000C7691" w:rsidRPr="001A0BAA" w:rsidRDefault="000C7691" w:rsidP="000C769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состав эскадрильи входили: звено из трех двухмо</w:t>
      </w:r>
      <w:r w:rsidRPr="001A0BAA">
        <w:rPr>
          <w:rFonts w:ascii="Times New Roman" w:hAnsi="Times New Roman"/>
          <w:color w:val="0070C0"/>
          <w:sz w:val="16"/>
          <w:szCs w:val="16"/>
        </w:rPr>
        <w:softHyphen/>
        <w:t>торных бомбардировщиков А-20G «Бостон», в задачу которых входили буксировка конусов для тренировки зенитных расчётов на кораблях и корректировка артиллерии главного калибра кораблей, отряд из 10 доработанных истребителей «Спитфайр» VB, предна</w:t>
      </w:r>
      <w:r w:rsidRPr="001A0BAA">
        <w:rPr>
          <w:rFonts w:ascii="Times New Roman" w:hAnsi="Times New Roman"/>
          <w:color w:val="0070C0"/>
          <w:sz w:val="16"/>
          <w:szCs w:val="16"/>
        </w:rPr>
        <w:softHyphen/>
        <w:t xml:space="preserve">значавшихся для защиты кораблей в море (с взлётом с катапульты и посадкой на ближайший береговой аэродром), и отряд из восьми разведчиков Бе-4. </w:t>
      </w:r>
    </w:p>
    <w:p w14:paraId="4CFD28AD" w14:textId="77777777" w:rsidR="000C7691" w:rsidRPr="001A0BAA" w:rsidRDefault="000C7691" w:rsidP="000C7691">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этому времени на крейсере «Молотов» установили модернизированную катапульту ЗК-1а. От применяв</w:t>
      </w:r>
      <w:r w:rsidRPr="001A0BAA">
        <w:rPr>
          <w:rFonts w:ascii="Times New Roman" w:hAnsi="Times New Roman"/>
          <w:color w:val="0070C0"/>
          <w:sz w:val="16"/>
          <w:szCs w:val="16"/>
        </w:rPr>
        <w:softHyphen/>
        <w:t>шейся ранее на советских крейсерах катапульты ЗК-1 она отличалась возможностью запуска самолётов разных типов, в том числе колёсных (25658).</w:t>
      </w:r>
    </w:p>
    <w:p w14:paraId="270E5283" w14:textId="77777777" w:rsidR="000C7691" w:rsidRPr="001A0BAA" w:rsidRDefault="000C7691" w:rsidP="000C7691">
      <w:pPr>
        <w:spacing w:after="0" w:line="240" w:lineRule="auto"/>
        <w:jc w:val="both"/>
        <w:rPr>
          <w:rFonts w:ascii="Times New Roman" w:hAnsi="Times New Roman"/>
          <w:color w:val="0070C0"/>
          <w:sz w:val="16"/>
          <w:szCs w:val="16"/>
        </w:rPr>
      </w:pPr>
    </w:p>
    <w:p w14:paraId="0CAA185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747597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30C3CF" w14:textId="77777777" w:rsidR="000F083A" w:rsidRPr="00070ADE" w:rsidRDefault="000F083A"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28 июня</w:t>
      </w:r>
      <w:r w:rsidRPr="00070ADE">
        <w:rPr>
          <w:rFonts w:ascii="Times New Roman" w:hAnsi="Times New Roman"/>
          <w:color w:val="000000" w:themeColor="text1"/>
          <w:sz w:val="16"/>
          <w:szCs w:val="16"/>
        </w:rPr>
        <w:t xml:space="preserve"> в 1944 году катастрофа второго серийного «Та-154А-1», выпущенного эрфуртским заводом и совершившего первый полет всего двумя неделями ранее - 13 июня (14936).</w:t>
      </w:r>
    </w:p>
    <w:p w14:paraId="0FD4C03B" w14:textId="77777777" w:rsidR="000F083A" w:rsidRPr="00070ADE" w:rsidRDefault="000F083A" w:rsidP="00B56F90">
      <w:pPr>
        <w:spacing w:after="0" w:line="240" w:lineRule="auto"/>
        <w:jc w:val="both"/>
        <w:rPr>
          <w:rFonts w:ascii="Times New Roman" w:hAnsi="Times New Roman"/>
          <w:color w:val="000000" w:themeColor="text1"/>
          <w:sz w:val="16"/>
          <w:szCs w:val="16"/>
        </w:rPr>
      </w:pPr>
    </w:p>
    <w:p w14:paraId="6FDF5D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lang w:val="en-US"/>
        </w:rPr>
        <w:t xml:space="preserve">June 28th, 1944: In Normandy, Operation Epsom designed to break through the German defenses near Caen is halted by the fierce resistance of the I. and II. </w:t>
      </w:r>
      <w:r w:rsidRPr="00070ADE">
        <w:rPr>
          <w:rFonts w:ascii="Times New Roman" w:hAnsi="Times New Roman"/>
          <w:color w:val="000000" w:themeColor="text1"/>
          <w:sz w:val="16"/>
          <w:szCs w:val="16"/>
        </w:rPr>
        <w:t>SS-Panzerkorps (3819).</w:t>
      </w:r>
    </w:p>
    <w:p w14:paraId="671B1DD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5535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июня 1944 в Нормандии операция Эпсом по прорыву обороны у Кайена была остановлена в результате сопротивления 1 и 2ТК СС (3819).</w:t>
      </w:r>
    </w:p>
    <w:p w14:paraId="5DF03C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5DC96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июня 1944 в Копенгагене началась всеобщая забастовка против немецких оккупационных властей (4962).</w:t>
      </w:r>
    </w:p>
    <w:p w14:paraId="7D05546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84E723"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июня 1944 в Париже бойцами французского Сопротивления казнен министр информации вишистского правительства Филипп Генрио (4962).</w:t>
      </w:r>
    </w:p>
    <w:p w14:paraId="15A4083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DB683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июня 1944 США разорвали дипломатические отношения с Финляндией (4962).</w:t>
      </w:r>
    </w:p>
    <w:p w14:paraId="0C3AD297"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ADA9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июня 1944 в отражении налета V-1 использовалось 363 тяжелых и 522 легких английских зенитных орудия и в два раза увеличили число аэростатов заграждения (1227,22).</w:t>
      </w:r>
    </w:p>
    <w:p w14:paraId="6C5D80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17BBA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B874A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492B49" w14:textId="77777777" w:rsidR="002E135C" w:rsidRPr="00070ADE" w:rsidRDefault="002E135C" w:rsidP="00B56F90">
      <w:pPr>
        <w:pStyle w:val="27"/>
        <w:shd w:val="clear" w:color="auto" w:fill="auto"/>
        <w:spacing w:after="0" w:line="240" w:lineRule="auto"/>
        <w:ind w:firstLine="0"/>
        <w:rPr>
          <w:rFonts w:ascii="Times New Roman" w:cs="Times New Roman"/>
          <w:color w:val="000000" w:themeColor="text1"/>
          <w:spacing w:val="0"/>
        </w:rPr>
      </w:pPr>
      <w:r w:rsidRPr="00070ADE">
        <w:rPr>
          <w:rStyle w:val="aff7"/>
          <w:rFonts w:ascii="Times New Roman" w:hAnsi="Times New Roman" w:cs="Times New Roman"/>
          <w:i w:val="0"/>
          <w:color w:val="000000" w:themeColor="text1"/>
          <w:spacing w:val="0"/>
        </w:rPr>
        <w:t>С</w:t>
      </w:r>
      <w:r w:rsidRPr="00070ADE">
        <w:rPr>
          <w:rFonts w:ascii="Times New Roman" w:cs="Times New Roman"/>
          <w:color w:val="000000" w:themeColor="text1"/>
          <w:spacing w:val="0"/>
        </w:rPr>
        <w:t xml:space="preserve"> 29 по 30 июня 1944 г. серийный Ил-2 (зав. №304783) московского завода №30 с дополнительной броней стрелка успешно от</w:t>
      </w:r>
      <w:r w:rsidRPr="00070ADE">
        <w:rPr>
          <w:rFonts w:ascii="Times New Roman" w:cs="Times New Roman"/>
          <w:color w:val="000000" w:themeColor="text1"/>
          <w:spacing w:val="0"/>
        </w:rPr>
        <w:softHyphen/>
        <w:t>летал программу государственных испытаний, а с 14 по 28 августа 1944 г. испытывался Ил-2 (зав. №305395) этого же завода с «длинным» бронекорпусом.</w:t>
      </w:r>
    </w:p>
    <w:p w14:paraId="420E7832" w14:textId="77777777" w:rsidR="002E135C" w:rsidRPr="00070ADE" w:rsidRDefault="002E135C"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Вооружение этих самолетов в целом соответствовало серийному штурмовику с обычным бронекорпусом, но максимальная бомбовая нагрузка ограничивалась 400 кг. По сравнению с Ил-2 общий вес металлической брони на самолете с удлиненным бронекорпу</w:t>
      </w:r>
      <w:r w:rsidRPr="00070ADE">
        <w:rPr>
          <w:rFonts w:ascii="Times New Roman" w:cs="Times New Roman"/>
          <w:color w:val="000000" w:themeColor="text1"/>
          <w:spacing w:val="0"/>
        </w:rPr>
        <w:softHyphen/>
        <w:t>сом увеличился на 58 кг (1015 кг вместо 957 кг согласно ТУ на поставку бронекорпусов на 1944 г.), а деревянная часть фюзеляжа укора</w:t>
      </w:r>
      <w:r w:rsidRPr="00070ADE">
        <w:rPr>
          <w:rFonts w:ascii="Times New Roman" w:cs="Times New Roman"/>
          <w:color w:val="000000" w:themeColor="text1"/>
          <w:spacing w:val="0"/>
        </w:rPr>
        <w:softHyphen/>
        <w:t>чивалась на 1135 мм. Отметим, что в перепи</w:t>
      </w:r>
      <w:r w:rsidRPr="00070ADE">
        <w:rPr>
          <w:rFonts w:ascii="Times New Roman" w:cs="Times New Roman"/>
          <w:color w:val="000000" w:themeColor="text1"/>
          <w:spacing w:val="0"/>
        </w:rPr>
        <w:softHyphen/>
        <w:t>ске Ил-2 с удлиненным бронекорпусом иногда обозначался как Ил-2У, т.е. «улучшенный».</w:t>
      </w:r>
    </w:p>
    <w:p w14:paraId="4025E690" w14:textId="77777777" w:rsidR="002E135C" w:rsidRPr="00070ADE" w:rsidRDefault="002E135C"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В ходе испытаний оба самолета пока</w:t>
      </w:r>
      <w:r w:rsidRPr="00070ADE">
        <w:rPr>
          <w:rFonts w:ascii="Times New Roman" w:cs="Times New Roman"/>
          <w:color w:val="000000" w:themeColor="text1"/>
          <w:spacing w:val="0"/>
        </w:rPr>
        <w:softHyphen/>
        <w:t>зали хорошую управляемость и продольную устойчивость. Однако отмечалось, что более задняя центровка Ил-2 с дополнительным бронированием кабины стрелка ухудшила его продольную устойчивость. На всем эксплуа</w:t>
      </w:r>
      <w:r w:rsidRPr="00070ADE">
        <w:rPr>
          <w:rFonts w:ascii="Times New Roman" w:cs="Times New Roman"/>
          <w:color w:val="000000" w:themeColor="text1"/>
          <w:spacing w:val="0"/>
        </w:rPr>
        <w:softHyphen/>
        <w:t>тационном диапазоне центровок и режимах полета самолет имел динамическую устой</w:t>
      </w:r>
      <w:r w:rsidRPr="00070ADE">
        <w:rPr>
          <w:rFonts w:ascii="Times New Roman" w:cs="Times New Roman"/>
          <w:color w:val="000000" w:themeColor="text1"/>
          <w:spacing w:val="0"/>
        </w:rPr>
        <w:softHyphen/>
        <w:t xml:space="preserve">чивость, близкую к нейтральной, в сторону отрицательной. Тем не менее, делался вывод: </w:t>
      </w:r>
      <w:r w:rsidRPr="00070ADE">
        <w:rPr>
          <w:rStyle w:val="aff7"/>
          <w:rFonts w:ascii="Times New Roman" w:hAnsi="Times New Roman" w:cs="Times New Roman"/>
          <w:i w:val="0"/>
          <w:color w:val="000000" w:themeColor="text1"/>
          <w:spacing w:val="0"/>
        </w:rPr>
        <w:t>«Установка дополнительной брони улучшает защиту стрелка, является целесообразной и может быть рекомендована на самолетах с увеличенной стрельчатостью крыла для строевых частей ВВС КА».</w:t>
      </w:r>
      <w:r w:rsidRPr="00070ADE">
        <w:rPr>
          <w:rFonts w:ascii="Times New Roman" w:cs="Times New Roman"/>
          <w:color w:val="000000" w:themeColor="text1"/>
          <w:spacing w:val="0"/>
        </w:rPr>
        <w:t xml:space="preserve"> В части управля</w:t>
      </w:r>
      <w:r w:rsidRPr="00070ADE">
        <w:rPr>
          <w:rFonts w:ascii="Times New Roman" w:cs="Times New Roman"/>
          <w:color w:val="000000" w:themeColor="text1"/>
          <w:spacing w:val="0"/>
        </w:rPr>
        <w:softHyphen/>
        <w:t>емости никаких недостатков не отмечалось, поскольку вследствие перераспределения толщины брони центровка самолета даже сместилась несколько вперед по сравнению с серийным Ил-2 (17478).</w:t>
      </w:r>
    </w:p>
    <w:p w14:paraId="090AF855" w14:textId="77777777" w:rsidR="002E135C" w:rsidRPr="00070ADE" w:rsidRDefault="002E135C" w:rsidP="00B56F90">
      <w:pPr>
        <w:pStyle w:val="27"/>
        <w:shd w:val="clear" w:color="auto" w:fill="auto"/>
        <w:spacing w:after="0" w:line="240" w:lineRule="auto"/>
        <w:ind w:firstLine="0"/>
        <w:rPr>
          <w:rFonts w:ascii="Times New Roman" w:cs="Times New Roman"/>
          <w:color w:val="000000" w:themeColor="text1"/>
          <w:spacing w:val="0"/>
        </w:rPr>
      </w:pPr>
    </w:p>
    <w:p w14:paraId="457A2747" w14:textId="77777777" w:rsidR="00125FFB" w:rsidRPr="00070ADE" w:rsidRDefault="00125FFB" w:rsidP="00125FFB">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закончились начавшиеся 6 марта 1944 испытания Ер-2 с Х-образными моторами МБ-100 из двух М-103 А.М.Добротворского. За три месяца моторы отработали почти весь 50 часовой ресурс. Скорость выросла незначительно (до 475 км/час) из-за того, что винты АВ-7-186 не могли полностью использовать мощность двигателя (1643,39).</w:t>
      </w:r>
    </w:p>
    <w:p w14:paraId="7A419D2A" w14:textId="77777777" w:rsidR="00125FFB" w:rsidRPr="00070ADE" w:rsidRDefault="00125FFB" w:rsidP="00125FF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37544F" w14:textId="77777777" w:rsidR="00125FFB" w:rsidRPr="00070ADE" w:rsidRDefault="00125FFB" w:rsidP="00125FFB">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29 июня 1944 программа испытаний Ер-2 с МБ-100, начавшаяся 6 марта 1944 г., была завершена. В середине 1942 г. конструкторский коллектив под руководством А.М.Добротворского завершил разработку самого мощного на то время советского мотора жидкостного охлаждения МБ-100, развивавшего на взлетном режиме мощность 2200 л.с. МБ-100 имел Х-образную схему и представлял собой объединение в единый агрегат двух серийных 12-цилиндровых V-образных моторов М-103. каждый из М-103 работал на общий редуктор, вращавший винт. МБ-100 был оснащен двухскоростным приводным центробежным нагнетателем, благодаря чему </w:t>
      </w:r>
      <w:r w:rsidRPr="00070ADE">
        <w:rPr>
          <w:rFonts w:ascii="Times New Roman" w:hAnsi="Times New Roman"/>
          <w:color w:val="000000" w:themeColor="text1"/>
          <w:sz w:val="16"/>
          <w:szCs w:val="16"/>
        </w:rPr>
        <w:lastRenderedPageBreak/>
        <w:t>мощность этого оригинального мотора на первой границе высотности (2000 м) равнялась 2200 л.с., а на второй (4000 м) – 2000 л.с. Летные испытания новых моторов решено было провести на специально модифицированном бомбардировщике Ер-2. За три месяца моторы практически полностью отработали назначенный 50-часовой ресурс и показали удовлетворительную надежность. В связи с изменившейся обстановкой на фронте актуальность работ по подбору наивыгоднейшего винта и увеличению расчетной высоты мотора до 6000 м снизилась, что привело к их прекращению в пользу более совершенного и мощного мотора М-250 конструкции В.Добрынина (11856).</w:t>
      </w:r>
    </w:p>
    <w:p w14:paraId="5FAA44DF" w14:textId="77777777" w:rsidR="00125FFB" w:rsidRPr="00070ADE" w:rsidRDefault="00125FFB" w:rsidP="00125FFB">
      <w:pPr>
        <w:autoSpaceDE w:val="0"/>
        <w:autoSpaceDN w:val="0"/>
        <w:adjustRightInd w:val="0"/>
        <w:spacing w:after="0" w:line="240" w:lineRule="auto"/>
        <w:jc w:val="both"/>
        <w:rPr>
          <w:rFonts w:ascii="Times New Roman" w:hAnsi="Times New Roman"/>
          <w:color w:val="000000" w:themeColor="text1"/>
          <w:sz w:val="16"/>
          <w:szCs w:val="16"/>
        </w:rPr>
      </w:pPr>
    </w:p>
    <w:p w14:paraId="41C26955" w14:textId="77777777" w:rsidR="00125FFB" w:rsidRPr="001A0BAA" w:rsidRDefault="00125FFB" w:rsidP="00125FF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29 июня 1944 г. установленные на самолете Ер-2 двигатели МБ-100 выработали свой 50-часовый ресурс, новые на замену отсутствовали и на этом испытания прекратили. Зачетные полеты выполнялись с установленным стрелковым вооружением, но без бомб – большинство с заправкой 4000 кг и со взлетным весом 13000 кг.</w:t>
      </w:r>
    </w:p>
    <w:p w14:paraId="5A4FAD55" w14:textId="77777777" w:rsidR="00125FFB" w:rsidRPr="001A0BAA" w:rsidRDefault="00125FFB" w:rsidP="00125FF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Полностью снять летные данные по стандартной методике Государственных испытаний не удалось, а замеренные свидетельствовали о недоборе летных данных в сравнении с заданными: максимальной скорости у земли на 35 км/ч или на 7,8%, максимальной на границе высотности – на 40 км/ч (также на 7,8%), граница высотности ниже заданной на 500 м (на 11%).</w:t>
      </w:r>
    </w:p>
    <w:p w14:paraId="3DB96C59" w14:textId="77777777" w:rsidR="00125FFB" w:rsidRPr="001A0BAA" w:rsidRDefault="00125FFB" w:rsidP="00125FF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Испытания показали слишком большой расход топлива двигателями МБ-100 – в типовом полете почти 1000 кг в час. Полученная расчетом, но с опорой на результаты испытаний, дальность в 1000 км с полной заправкой 4000 кг бензина и без бомбовой нагрузки формально оказалась больше записанной в задании величины 850 км, но никак не соответствовала требованиям к современному дальнему бомбардировщику. Ермолаев и Добротворский заявляли дальность боевого Ер-2 2МБ-100 с нормальной бомбовой нагрузкой 1500…1700 км, но и этого явно не хватало. Длившуюся совершенно бесполезно более четырех лет разработку двигателей МБ-100 наконец-то прекратили (25739).</w:t>
      </w:r>
    </w:p>
    <w:p w14:paraId="0D7E5D57" w14:textId="77777777" w:rsidR="00125FFB" w:rsidRPr="001A0BAA" w:rsidRDefault="00125FFB" w:rsidP="00125FFB">
      <w:pPr>
        <w:spacing w:after="0" w:line="240" w:lineRule="auto"/>
        <w:jc w:val="both"/>
        <w:rPr>
          <w:rFonts w:ascii="Times New Roman" w:hAnsi="Times New Roman"/>
          <w:color w:val="0070C0"/>
          <w:sz w:val="16"/>
          <w:szCs w:val="16"/>
        </w:rPr>
      </w:pPr>
    </w:p>
    <w:p w14:paraId="04E59C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А.E.Репин утвердил акт по гос. испытаниям модифицированного ЛаГГ-3 дублера с ВК-105ПФ-2 с винтом ВИШ-105СВ (N 105-2 производства 31 завода (февраль), ГК В.П.Горбунов с ВЯ-23 - 85 патр., которые начались 10 мая (самолет поступил 4) и были остановлены 12 мая для смены двигателя и продолжены с 1 июня по 12 июня 1944</w:t>
      </w:r>
    </w:p>
    <w:p w14:paraId="77AF3A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Отв. исполнитель вед. инж. З-да ви п/п Ф.М.Шишкин</w:t>
      </w:r>
    </w:p>
    <w:p w14:paraId="1853A60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 л 3 отд. НИИ ВВС гсс гм Дзюба</w:t>
      </w:r>
    </w:p>
    <w:p w14:paraId="5C14F3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 Шишкин</w:t>
      </w:r>
    </w:p>
    <w:p w14:paraId="2AD994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Цель испытаний:</w:t>
      </w:r>
    </w:p>
    <w:p w14:paraId="782C7A1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Определить ЛТД с-та</w:t>
      </w:r>
    </w:p>
    <w:p w14:paraId="5D53C2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Дать оценку эксплуатационным свойствам с-та, ВМГ, вооружения и спецоборудования</w:t>
      </w:r>
    </w:p>
    <w:p w14:paraId="716250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Оценить производственное и конструктивное выполнение с-та</w:t>
      </w:r>
    </w:p>
    <w:p w14:paraId="63C1E21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Объект испытаний: предъявленная на госиспытания машина завода № 31 выпуска февраля 1944</w:t>
      </w:r>
    </w:p>
    <w:p w14:paraId="200C94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сравнению с ранее испытывавшимся ЛаГГ-3 с мотором ВК-105ПФ (первый экз. С-та № 105-1)с-т дублер № 105-2 имеет следующие отличия:</w:t>
      </w:r>
    </w:p>
    <w:p w14:paraId="1DADD3E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планеру - изменена конструкция 4 и 5 шпангоутов фюзеляжа. В нижней ферме 4-го шпангоута произведено два круглых отверстия под тоннуль маслорадиатора, в шп. 5 изменен нижний ... под установку фермы для крепления сидения пилота и качалки управления РВ</w:t>
      </w:r>
    </w:p>
    <w:p w14:paraId="30A622D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 нижней части фюзеляжа перед тоннелем водорадиатора установлено два заборника воздуха для охлаждения маслорадиатора</w:t>
      </w:r>
    </w:p>
    <w:p w14:paraId="7093BC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увеличено плечо качалки управления элеронами для уменьшения давления на ручку управления с-том</w:t>
      </w:r>
    </w:p>
    <w:p w14:paraId="6EC448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изменены форма и конструкция ручки управления с-том по типу ручки стандартной кабины</w:t>
      </w:r>
    </w:p>
    <w:p w14:paraId="7B291BC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установлен дополнительный кронштейн для крепления лафета пушки ВЯ-23</w:t>
      </w:r>
    </w:p>
    <w:p w14:paraId="731AF2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ВМГ: установлен мотор ВК-105ПФ-2, установлен винт типа ВИШ-105СВ с профилированной комлевой частью лопастей, маслорадиатор типа ОП-352 заменен двумя последовательно соединенными рядами типа ВМС-8 с трубкой К-4, толщиной 0,1 мм</w:t>
      </w:r>
    </w:p>
    <w:p w14:paraId="6BD484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 туннель маслорадиатора, который установлен в фюзеляже</w:t>
      </w:r>
    </w:p>
    <w:p w14:paraId="52FEBB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изменена конструкция и перекомпоновыны ряд коробов и крышек капота мотора и управление заслонками маслорадиатора</w:t>
      </w:r>
    </w:p>
    <w:p w14:paraId="117D0B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общая емкость б/б уменьшена на 28 л с 405 до 377 л</w:t>
      </w:r>
    </w:p>
    <w:p w14:paraId="05259C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на носок вала редуктора установлен центробежный маслоотражатель типа ЛИИ НКАП</w:t>
      </w:r>
    </w:p>
    <w:p w14:paraId="0EECC7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изменен дренаж трубки суфлера бака</w:t>
      </w:r>
    </w:p>
    <w:p w14:paraId="2CB1FF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выхлопные патрубки изготовлены по типу с-та Як-3 (рекомендация ЦАГИ)</w:t>
      </w:r>
    </w:p>
    <w:p w14:paraId="439C8B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вооружению: установлена пушка ВЯ-23 с боезапасом 85 патронов вместо пушки МП-20 с б/з 160 патронов, пулемет УБС с б/з 185 патронов вместо 200 патронов</w:t>
      </w:r>
    </w:p>
    <w:p w14:paraId="67AF45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установкой пушки ВЯ-23 изменено крепление пушки, форма и конструкция патронных коробок и гильзоотвода</w:t>
      </w:r>
    </w:p>
    <w:p w14:paraId="4A0C14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установлен звеньесборник для пушки ВЯ-23</w:t>
      </w:r>
    </w:p>
    <w:p w14:paraId="4C6845C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механизм управления оружием переведен на пневматику</w:t>
      </w:r>
    </w:p>
    <w:p w14:paraId="5749AD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Спецприборы с-та 105-2 дублер такие же, как на с-те 105-1</w:t>
      </w:r>
    </w:p>
    <w:p w14:paraId="409F2D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улучшения ЛТД проведены следующие мероприятия:</w:t>
      </w:r>
    </w:p>
    <w:p w14:paraId="359DC4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улучшена внешняя отделка и введена полировка передней кромки крыла</w:t>
      </w:r>
    </w:p>
    <w:p w14:paraId="009693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козырьку кабины пилота придана сферическая форма</w:t>
      </w:r>
    </w:p>
    <w:p w14:paraId="2BB4C62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улучшена герметизация противопожарной перегородки, крыла, кабины пилота и хвостовой части фюзеляжа</w:t>
      </w:r>
    </w:p>
    <w:p w14:paraId="5123B49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данным завода прочность с-та 105-2 и его основных агрегатов: фюзеляжа, крыла, центроплана, шасси удовлетворяет действующим нормам прочности.</w:t>
      </w:r>
    </w:p>
    <w:p w14:paraId="61D30C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Расчет завода по флаттеру крыла серийного с-та ЛаГГ-3 в облегченном варианте произведен в ЦАГИ и получено разрешение на эксплуатацию на скорости до 700 км/час по прибору</w:t>
      </w:r>
    </w:p>
    <w:p w14:paraId="78959F1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Результаты испытаний:</w:t>
      </w:r>
    </w:p>
    <w:p w14:paraId="1F0436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пибыл в НИИ 4 мая. Испытания начаты 10 мая, приостановлены по просьбе ГК с-та В.П.Горбунова для осмотра с-та и мотора и доводки тепловых режимов ВМГ 12 мая. Возобновлены 1 июня и закончены 12 июня. Выполнено 15 полетов с налетом 8:40</w:t>
      </w:r>
    </w:p>
    <w:p w14:paraId="7FA039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 2285 22,5% САХ, угол капотирования 26:40</w:t>
      </w:r>
    </w:p>
    <w:p w14:paraId="40C861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полетный 2875 22.2% САХ, угол капотирования 28:40</w:t>
      </w:r>
    </w:p>
    <w:p w14:paraId="6256B6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Нормальная нагрузка:</w:t>
      </w:r>
    </w:p>
    <w:p w14:paraId="33A087D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- 90</w:t>
      </w:r>
    </w:p>
    <w:p w14:paraId="3088886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горючее (074 г,см3) - 280</w:t>
      </w:r>
    </w:p>
    <w:p w14:paraId="00E548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масло - 27</w:t>
      </w:r>
    </w:p>
    <w:p w14:paraId="770D181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 пушка ВЯ-23 - 73, УБС - 21,5, б/з пушки (85) - 47, б/з пулемета (185) - 31,0</w:t>
      </w:r>
    </w:p>
    <w:p w14:paraId="4C621F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связное оборудование - 20,5</w:t>
      </w:r>
    </w:p>
    <w:p w14:paraId="6B4FC0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- 590</w:t>
      </w:r>
    </w:p>
    <w:p w14:paraId="6DA9EC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Таблица изменения веса 105-2 по сравнению с 105-1, проходившим испытания в НИИ в октябре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708"/>
        <w:gridCol w:w="709"/>
        <w:gridCol w:w="709"/>
      </w:tblGrid>
      <w:tr w:rsidR="004D4663" w:rsidRPr="00070ADE" w14:paraId="564B20A1" w14:textId="77777777">
        <w:tc>
          <w:tcPr>
            <w:tcW w:w="2802" w:type="dxa"/>
            <w:tcBorders>
              <w:top w:val="single" w:sz="12" w:space="0" w:color="auto"/>
            </w:tcBorders>
          </w:tcPr>
          <w:p w14:paraId="2AF48C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Наименование</w:t>
            </w:r>
          </w:p>
        </w:tc>
        <w:tc>
          <w:tcPr>
            <w:tcW w:w="708" w:type="dxa"/>
            <w:tcBorders>
              <w:top w:val="single" w:sz="12" w:space="0" w:color="auto"/>
            </w:tcBorders>
          </w:tcPr>
          <w:p w14:paraId="02C5DE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105-2 дублер</w:t>
            </w:r>
          </w:p>
        </w:tc>
        <w:tc>
          <w:tcPr>
            <w:tcW w:w="709" w:type="dxa"/>
            <w:tcBorders>
              <w:top w:val="single" w:sz="12" w:space="0" w:color="auto"/>
            </w:tcBorders>
          </w:tcPr>
          <w:p w14:paraId="7BE3A52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105-1 первый</w:t>
            </w:r>
          </w:p>
        </w:tc>
        <w:tc>
          <w:tcPr>
            <w:tcW w:w="709" w:type="dxa"/>
            <w:tcBorders>
              <w:top w:val="single" w:sz="12" w:space="0" w:color="auto"/>
            </w:tcBorders>
          </w:tcPr>
          <w:p w14:paraId="6744D2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Разница</w:t>
            </w:r>
          </w:p>
        </w:tc>
      </w:tr>
      <w:tr w:rsidR="004D4663" w:rsidRPr="00070ADE" w14:paraId="7ED3C144" w14:textId="77777777">
        <w:tc>
          <w:tcPr>
            <w:tcW w:w="2802" w:type="dxa"/>
          </w:tcPr>
          <w:p w14:paraId="1B2FB4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Нормальный полетный вес</w:t>
            </w:r>
          </w:p>
        </w:tc>
        <w:tc>
          <w:tcPr>
            <w:tcW w:w="708" w:type="dxa"/>
          </w:tcPr>
          <w:p w14:paraId="103CCC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2875</w:t>
            </w:r>
          </w:p>
        </w:tc>
        <w:tc>
          <w:tcPr>
            <w:tcW w:w="709" w:type="dxa"/>
          </w:tcPr>
          <w:p w14:paraId="0775940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2818</w:t>
            </w:r>
          </w:p>
        </w:tc>
        <w:tc>
          <w:tcPr>
            <w:tcW w:w="709" w:type="dxa"/>
          </w:tcPr>
          <w:p w14:paraId="44BC17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+57</w:t>
            </w:r>
          </w:p>
        </w:tc>
      </w:tr>
      <w:tr w:rsidR="004D4663" w:rsidRPr="00070ADE" w14:paraId="09B36CBE" w14:textId="77777777">
        <w:tc>
          <w:tcPr>
            <w:tcW w:w="2802" w:type="dxa"/>
          </w:tcPr>
          <w:p w14:paraId="1CAA4C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пустого</w:t>
            </w:r>
          </w:p>
        </w:tc>
        <w:tc>
          <w:tcPr>
            <w:tcW w:w="708" w:type="dxa"/>
          </w:tcPr>
          <w:p w14:paraId="4C47D1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2285</w:t>
            </w:r>
          </w:p>
        </w:tc>
        <w:tc>
          <w:tcPr>
            <w:tcW w:w="709" w:type="dxa"/>
          </w:tcPr>
          <w:p w14:paraId="7A376D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2234</w:t>
            </w:r>
          </w:p>
        </w:tc>
        <w:tc>
          <w:tcPr>
            <w:tcW w:w="709" w:type="dxa"/>
          </w:tcPr>
          <w:p w14:paraId="3B7EC75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w:t>
            </w:r>
          </w:p>
        </w:tc>
      </w:tr>
      <w:tr w:rsidR="004D4663" w:rsidRPr="00070ADE" w14:paraId="15CEE71B" w14:textId="77777777">
        <w:tc>
          <w:tcPr>
            <w:tcW w:w="2802" w:type="dxa"/>
          </w:tcPr>
          <w:p w14:paraId="435F77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нагрузки</w:t>
            </w:r>
          </w:p>
        </w:tc>
        <w:tc>
          <w:tcPr>
            <w:tcW w:w="708" w:type="dxa"/>
          </w:tcPr>
          <w:p w14:paraId="40804D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590</w:t>
            </w:r>
          </w:p>
        </w:tc>
        <w:tc>
          <w:tcPr>
            <w:tcW w:w="709" w:type="dxa"/>
          </w:tcPr>
          <w:p w14:paraId="153A112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584</w:t>
            </w:r>
          </w:p>
        </w:tc>
        <w:tc>
          <w:tcPr>
            <w:tcW w:w="709" w:type="dxa"/>
          </w:tcPr>
          <w:p w14:paraId="6FB1DF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w:t>
            </w:r>
          </w:p>
        </w:tc>
      </w:tr>
      <w:tr w:rsidR="004D4663" w:rsidRPr="00070ADE" w14:paraId="13CD2E6D" w14:textId="77777777">
        <w:tc>
          <w:tcPr>
            <w:tcW w:w="2802" w:type="dxa"/>
          </w:tcPr>
          <w:p w14:paraId="3D84C1A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Центровка при нормальном полетном весе</w:t>
            </w:r>
          </w:p>
        </w:tc>
        <w:tc>
          <w:tcPr>
            <w:tcW w:w="708" w:type="dxa"/>
          </w:tcPr>
          <w:p w14:paraId="29065BD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25,2</w:t>
            </w:r>
          </w:p>
        </w:tc>
        <w:tc>
          <w:tcPr>
            <w:tcW w:w="709" w:type="dxa"/>
          </w:tcPr>
          <w:p w14:paraId="73FE33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23,7</w:t>
            </w:r>
          </w:p>
        </w:tc>
        <w:tc>
          <w:tcPr>
            <w:tcW w:w="709" w:type="dxa"/>
          </w:tcPr>
          <w:p w14:paraId="79FA564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w:t>
            </w:r>
          </w:p>
        </w:tc>
      </w:tr>
      <w:tr w:rsidR="004D4663" w:rsidRPr="00070ADE" w14:paraId="0065DE06" w14:textId="77777777">
        <w:tc>
          <w:tcPr>
            <w:tcW w:w="2802" w:type="dxa"/>
          </w:tcPr>
          <w:p w14:paraId="417AC1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Предельная передняя эксплуатационная центровка</w:t>
            </w:r>
          </w:p>
        </w:tc>
        <w:tc>
          <w:tcPr>
            <w:tcW w:w="708" w:type="dxa"/>
          </w:tcPr>
          <w:p w14:paraId="1D5D097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23,9</w:t>
            </w:r>
          </w:p>
        </w:tc>
        <w:tc>
          <w:tcPr>
            <w:tcW w:w="709" w:type="dxa"/>
          </w:tcPr>
          <w:p w14:paraId="153FD64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22,3</w:t>
            </w:r>
          </w:p>
        </w:tc>
        <w:tc>
          <w:tcPr>
            <w:tcW w:w="709" w:type="dxa"/>
          </w:tcPr>
          <w:p w14:paraId="4D0CD57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tc>
      </w:tr>
      <w:tr w:rsidR="004D4663" w:rsidRPr="00070ADE" w14:paraId="77DAE32C" w14:textId="77777777">
        <w:tc>
          <w:tcPr>
            <w:tcW w:w="2802" w:type="dxa"/>
            <w:tcBorders>
              <w:bottom w:val="single" w:sz="12" w:space="0" w:color="auto"/>
            </w:tcBorders>
          </w:tcPr>
          <w:p w14:paraId="5F032A9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Запас горючего 4Б-78</w:t>
            </w:r>
          </w:p>
        </w:tc>
        <w:tc>
          <w:tcPr>
            <w:tcW w:w="708" w:type="dxa"/>
            <w:tcBorders>
              <w:bottom w:val="single" w:sz="12" w:space="0" w:color="auto"/>
            </w:tcBorders>
          </w:tcPr>
          <w:p w14:paraId="178626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w:t>
            </w:r>
          </w:p>
        </w:tc>
        <w:tc>
          <w:tcPr>
            <w:tcW w:w="709" w:type="dxa"/>
            <w:tcBorders>
              <w:bottom w:val="single" w:sz="12" w:space="0" w:color="auto"/>
            </w:tcBorders>
          </w:tcPr>
          <w:p w14:paraId="106E62E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w:t>
            </w:r>
          </w:p>
        </w:tc>
        <w:tc>
          <w:tcPr>
            <w:tcW w:w="709" w:type="dxa"/>
            <w:tcBorders>
              <w:bottom w:val="single" w:sz="12" w:space="0" w:color="auto"/>
            </w:tcBorders>
          </w:tcPr>
          <w:p w14:paraId="75D498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tc>
      </w:tr>
    </w:tbl>
    <w:p w14:paraId="2349F9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причины, вызвавшие увеличение веса - установка пушки ВЯ-23, усиления и конструкционные изменения</w:t>
      </w:r>
    </w:p>
    <w:p w14:paraId="68051A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ЛД</w:t>
      </w:r>
    </w:p>
    <w:p w14:paraId="26E6507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у земли - 554</w:t>
      </w:r>
    </w:p>
    <w:p w14:paraId="6CAA77D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1-й гр. высотности (1400) - 590</w:t>
      </w:r>
    </w:p>
    <w:p w14:paraId="62C468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Скорость макс. на 2-й гр. высотности (3400) - 618</w:t>
      </w:r>
    </w:p>
    <w:p w14:paraId="23E1E2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5000 - 593</w:t>
      </w:r>
    </w:p>
    <w:p w14:paraId="2BB69A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на 6000 - 578</w:t>
      </w:r>
    </w:p>
    <w:p w14:paraId="1764265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набора 5000 м - 4,8</w:t>
      </w:r>
    </w:p>
    <w:p w14:paraId="781F8FF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Потолок 10750</w:t>
      </w:r>
    </w:p>
    <w:p w14:paraId="6DE24D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Граница переключения нагнетателя - 2000 на скорости 542</w:t>
      </w:r>
    </w:p>
    <w:p w14:paraId="1DD324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Скорости вертикальные</w:t>
      </w:r>
    </w:p>
    <w:p w14:paraId="482598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 земли - 18,1</w:t>
      </w:r>
    </w:p>
    <w:p w14:paraId="654A46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1 гр. 650 - 18,9</w:t>
      </w:r>
    </w:p>
    <w:p w14:paraId="6D82DA7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перекл. - 17,0</w:t>
      </w:r>
    </w:p>
    <w:p w14:paraId="50039E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2 гр. (2500) - 19,2</w:t>
      </w:r>
    </w:p>
    <w:p w14:paraId="35F413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5000 - 13,6</w:t>
      </w:r>
    </w:p>
    <w:p w14:paraId="6F9950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6000 - 11,3</w:t>
      </w:r>
    </w:p>
    <w:p w14:paraId="67B40D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Мотор ВК-105ПФ-2 наработал с начала испытаний 44:02 и был снят из-за течи воды из блока через уплотнение гильзы</w:t>
      </w:r>
    </w:p>
    <w:p w14:paraId="018671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Производилось сравнение с 105-1, Як-3 дублер, Ла-7 (испытанном в апреле 1944), с Ме-109G (январь 1943) и ФВ-190 А-4 (июль 1943).</w:t>
      </w:r>
    </w:p>
    <w:p w14:paraId="1DC2A4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4F20448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ВМГ работает неудовлетворительно</w:t>
      </w:r>
    </w:p>
    <w:p w14:paraId="23F11A7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наборе высоты с полностью отурытым туннелем водорадиатора температура воды 116 гр, в горизонтальном полете - 115 (макс. допустимо - 110)</w:t>
      </w:r>
    </w:p>
    <w:p w14:paraId="7391F4B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Установленное пулеметно-пушечное вооружение не доведено.</w:t>
      </w:r>
    </w:p>
    <w:p w14:paraId="4166F3D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Искажение видимости предметов через сферическую часть козырька кабины пилота</w:t>
      </w:r>
    </w:p>
    <w:p w14:paraId="25A653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с-те отсутствует аварийный сброс фонаря</w:t>
      </w:r>
    </w:p>
    <w:p w14:paraId="78D2DD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Заключение:</w:t>
      </w:r>
    </w:p>
    <w:p w14:paraId="4C8D97B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Модифицированный с-т 1-5-2 дублер конструкции т. Горбунова постройки ОКБ завода № 31 госиспытания не выдержал по причине:</w:t>
      </w:r>
    </w:p>
    <w:p w14:paraId="6F016D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низкие ЛТД для с-та большой модификации</w:t>
      </w:r>
    </w:p>
    <w:p w14:paraId="24D80E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неудовлетворительная работа ВМГ и вооружения</w:t>
      </w:r>
    </w:p>
    <w:p w14:paraId="0FB45A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Считать нецелесообразной продолжение работы по дальнейшей модификации с-та ЛаГГ-3 с мотором ВК-105ПФ-2</w:t>
      </w:r>
    </w:p>
    <w:p w14:paraId="14FEAB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 дублер подлежит сдаче на завод № 31</w:t>
      </w:r>
    </w:p>
    <w:p w14:paraId="091819C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Подписали с 20 по 24 июня (764,2).</w:t>
      </w:r>
    </w:p>
    <w:p w14:paraId="7CA24C4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CF4D5F" w14:textId="77777777" w:rsidR="00A70D91" w:rsidRPr="00070ADE" w:rsidRDefault="00A70D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года Главный инженер ВВС КА генерал-полковник инженерно-авиационной службы А.К. Репин утвердил «Акт по результатам государственных испытаний модифицированного самолета ЛаГГ-3 с мотором ВК-105ПФ2 «Дублер»» и винтом ВИШ-105СВ, диаметром 3 м».</w:t>
      </w:r>
    </w:p>
    <w:p w14:paraId="65D7DA60" w14:textId="77777777" w:rsidR="00A70D91" w:rsidRPr="00070ADE" w:rsidRDefault="00A70D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 июня 1941 была завершена программа госиспытаний самолета 105-2, который был построен 31-м заводом в феврале 1944 года, а 4 мая после непродолжительных заводских испытаний поступил в НИИ ВВС на госиспытания. Всего было выполнено 15 полетов общей продолжительностью 8 часов 40 минут.</w:t>
      </w:r>
    </w:p>
    <w:p w14:paraId="24E17CCE" w14:textId="77777777" w:rsidR="00A70D91" w:rsidRPr="00070ADE" w:rsidRDefault="00A70D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105-2 продемонстрировал неплохие результаты. У земли максимальная скорость составила 554 км/ч, на 1-й границе высотности (1400 метров) – 590 км/ч, на 2-й границе (3400 метров) – 618 км/ч, а на высотах в 5 и 6 километров самолет разгонялся, соответственно, до 593 и 578 километров в час. Время набора 5000 метров – 4,8 минуты. Потолок – 10750 метров. Оружие работало надежно. После отстрела в тире было выполнено три полета со стрельбой. Один – с ведением огня в горизонтальном полете на различных режимах работы двигателя и два – с прицельной стрельбой по наземным целям с пикирования. Было израсходовано два боекомплекта пулемета УБС и один – пушки ВЯ. Задержек не было. Помимо майора Дзюбы, самолет 105-2 облетали майоры Антипов и Прошаков.</w:t>
      </w:r>
    </w:p>
    <w:p w14:paraId="797DB2D7" w14:textId="77777777" w:rsidR="00A70D91" w:rsidRPr="00070ADE" w:rsidRDefault="00A70D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Испытатели отмечали неплохое производственное исполнение машины, хорошую внешнюю отделку. Воздушная система уборки-выпуска шасси оказалась проще и надежнее гидравлической, работала безотказно и требовала меньшего ухода. Перенос маслорадиаторов сдвинул центр тяжести самолета назад, что привело к увеличению противокапотажного угла и повысило эффективность торможения. На рулении 105-2 был устойчив, на взлете прост, в полете имел хорошую управляемость. Однако на этом достоинства новой машины заканчивались.</w:t>
      </w:r>
    </w:p>
    <w:p w14:paraId="6642D14C" w14:textId="77777777" w:rsidR="00A70D91" w:rsidRPr="00070ADE" w:rsidRDefault="00A70D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Минусов у 105-2 оказалось больше. Главным, конечно, были худшие высотно-скоростные характеристики, причем, не только по сравнению с Як-3, но и с Як-9У с мотором М-105ПФ2, испытанного в НИИ ВВС в марте 1944 года. Тепловые режимы мотоустановки оставляли желать лучшего. Горизонтальный полет на максимальной скорости был возможен в течение 3-4 минут, после чего температура воды и масла выходила за установленные пределы. Летчики не очень одобряли перенос маслорадиаторов практически в кабину – при вынужденной посадке это грозило серьезными ожогами из-за разрыва трубопроводов. Не смотря на простую технику пилотирования 105-2, при резкой даче газа и энергичном подъеме хвоста самолет стремился к правому развороту. Усилия на элероны в полете по-прежнему оставались велики. Летчик имел плохой обзор вперед из-за искажений видимости сферическим козырьком – по заявлениям испытателей, при взгляде сквозь козырек предметы буквально двоились. Отсутствовал аварийный сброс створки фонаря. Качество радиосвязи оценивалось как отвратительное. Девиация магнитного компаса вдвое превышала установленные нормы. Компоновка приборного оборудования сохранилась практически без изменений с самолетов 60-й серии и не соответствовала требованиям на стандартную кабину истребителя, введенным в 1943 году. Несмотря на отсутствие отказов, пользоваться вооружением было неудобно – усилия на гашетках были слишком велики. Для УБС – 14-15 кг, а для пушки ВЯ и того больше – 20- 22 кг. При залповой стрельбе огонь можно было вести только двумя руками. Предохранитель гашеток работал ненадежно. При стрельбе могло произойти самопроизвольное стопорение гашеток, а при энергичном торможении рычаг тормоза заедал гашетки, что приводило к самопроизвольной стрельбе. Был зафиксирован один случай такой стрельбы из пушки очередью в 20 патронов. Выброс гильз пулемета за левый борт не обеспечивал безопасного ведения огня – стреляные гильзы царапали крыло и борт фюзеляжа. Для демонтажа пушки предварительно требовалось снять маслобак, звеньесборник пушки, звеньеотвод, патронный рукав и лючек противопожарной перегородки. При замене мотора снималась вся пушечная установка вместе с лафетом. Заключение к отчету было лаконичным:</w:t>
      </w:r>
    </w:p>
    <w:p w14:paraId="2C643FBB" w14:textId="77777777" w:rsidR="00A70D91" w:rsidRPr="00070ADE" w:rsidRDefault="00A70D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Модифицированный самолет 105-2 с мотором ВК-105ПФ2 «Дублер» конструкции тов. Горбунова В.П. постройки ОКБ завода № 31 государственные испытания НЕ ВЫДЕРЖАЛ по причине:</w:t>
      </w:r>
    </w:p>
    <w:p w14:paraId="1CEDAAB9" w14:textId="77777777" w:rsidR="00A70D91" w:rsidRPr="00070ADE" w:rsidRDefault="00A70D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низких летно-технических данных для самолета большой модификации,</w:t>
      </w:r>
    </w:p>
    <w:p w14:paraId="64BB411D" w14:textId="77777777" w:rsidR="00A70D91" w:rsidRPr="00070ADE" w:rsidRDefault="00A70D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недоведенности винто-моторной группы и вооружения.</w:t>
      </w:r>
    </w:p>
    <w:p w14:paraId="7EBDE16E" w14:textId="77777777" w:rsidR="00A70D91" w:rsidRPr="00070ADE" w:rsidRDefault="00A70D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Считать нецелесообразной продолжение работы по дальнейшей модификации самолета ЛаГГ-3 с мотором ВК-105ПФ2</w:t>
      </w:r>
    </w:p>
    <w:p w14:paraId="557E2861" w14:textId="77777777" w:rsidR="00A70D91" w:rsidRPr="00070ADE" w:rsidRDefault="00A70D9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Самолет 105-2 с мотором ВК-105ПФ2 «Дублер» подлежит сдаче на завод № 31» (23197).</w:t>
      </w:r>
    </w:p>
    <w:p w14:paraId="63DFEEF9" w14:textId="77777777" w:rsidR="00A70D91" w:rsidRPr="00070ADE" w:rsidRDefault="00A70D91" w:rsidP="00B56F90">
      <w:pPr>
        <w:spacing w:after="0" w:line="240" w:lineRule="auto"/>
        <w:jc w:val="both"/>
        <w:rPr>
          <w:rFonts w:ascii="Times New Roman" w:hAnsi="Times New Roman"/>
          <w:color w:val="000000" w:themeColor="text1"/>
          <w:sz w:val="16"/>
          <w:szCs w:val="16"/>
        </w:rPr>
      </w:pPr>
    </w:p>
    <w:p w14:paraId="7954F6D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Зам. Нач. 7ГУ Алексеев подготовил сводку г-7 № 8675 о ходе испытаний высотных самолетов на 27 и 28 июня 1944 по Ла-5 АШ-82ФН и 2ТК-3, МиГ АМ-39А и 2ТК-2Б (1825,88).</w:t>
      </w:r>
    </w:p>
    <w:p w14:paraId="4B8F69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ВЫСОТНЫЙ ИСТРЕБИТЕЛЬ МИГ С АМ-39Б И 2ТК-2Б.</w:t>
      </w:r>
    </w:p>
    <w:p w14:paraId="57D339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27 июня произведен полет на определение границы высотности самол&amp;та на второй скорости нагнетателя с полностью включенными ТК.</w:t>
      </w:r>
    </w:p>
    <w:p w14:paraId="5D5B37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Продолжителъность полета - 25 мин, высота—7000 мт.</w:t>
      </w:r>
    </w:p>
    <w:p w14:paraId="0F6AC8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Начиная с высоты 6000 мт, мотор неоднократно обрезал в полете, из-за чего полет был прекращен.</w:t>
      </w:r>
    </w:p>
    <w:p w14:paraId="0EA78A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осмотре самолета на земле дефектов, могущих влиять на работу мотора, не обнаружено. По предположению представителя завода № 300 тов. САЗОНОВА обрезание мотора происходило по вине системы зажигания.</w:t>
      </w:r>
    </w:p>
    <w:p w14:paraId="4C8AFB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Произведена замена магнето и свечей.</w:t>
      </w:r>
    </w:p>
    <w:p w14:paraId="0AE5DC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 июня произведен полет на. определение границы высотности самолета на 2-й скорости наг</w:t>
      </w:r>
      <w:r w:rsidRPr="00070ADE">
        <w:rPr>
          <w:rFonts w:ascii="Times New Roman" w:hAnsi="Times New Roman"/>
          <w:color w:val="000000" w:themeColor="text1"/>
          <w:sz w:val="16"/>
          <w:szCs w:val="16"/>
        </w:rPr>
        <w:softHyphen/>
        <w:t>нетателя с полностью включенными ТК. Продолжит ар</w:t>
      </w:r>
      <w:r w:rsidRPr="00070ADE">
        <w:rPr>
          <w:rFonts w:ascii="Times New Roman" w:hAnsi="Times New Roman"/>
          <w:color w:val="000000" w:themeColor="text1"/>
          <w:sz w:val="16"/>
          <w:szCs w:val="16"/>
        </w:rPr>
        <w:softHyphen/>
        <w:t>ность полета - 25 мин., высота - 10000 мт.</w:t>
      </w:r>
    </w:p>
    <w:p w14:paraId="2F467E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 и в прошлом полете, начиная с высоты 6000 мт, мотор обрезал в полете и на 10000 мт мотор остановился, чему предшествовала раскрутка правого Т К. Выключив турбокомпрессоры, летчик запустил мо</w:t>
      </w:r>
      <w:r w:rsidRPr="00070ADE">
        <w:rPr>
          <w:rFonts w:ascii="Times New Roman" w:hAnsi="Times New Roman"/>
          <w:color w:val="000000" w:themeColor="text1"/>
          <w:sz w:val="16"/>
          <w:szCs w:val="16"/>
        </w:rPr>
        <w:softHyphen/>
        <w:t>тор с помощью воздушного самопуска и произвел по</w:t>
      </w:r>
      <w:r w:rsidRPr="00070ADE">
        <w:rPr>
          <w:rFonts w:ascii="Times New Roman" w:hAnsi="Times New Roman"/>
          <w:color w:val="000000" w:themeColor="text1"/>
          <w:sz w:val="16"/>
          <w:szCs w:val="16"/>
        </w:rPr>
        <w:softHyphen/>
        <w:t>садку.</w:t>
      </w:r>
    </w:p>
    <w:p w14:paraId="3E63FE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осмотре самолета на земле обнаружено заклинение правого ТК.</w:t>
      </w:r>
    </w:p>
    <w:p w14:paraId="1D36F3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самолета сняты оба ТК и отправлены в ЦИАМ для осмотра и устранения дефектов.</w:t>
      </w:r>
    </w:p>
    <w:p w14:paraId="603030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Причины произвольного выключения работы мото</w:t>
      </w:r>
      <w:r w:rsidRPr="00070ADE">
        <w:rPr>
          <w:rFonts w:ascii="Times New Roman" w:hAnsi="Times New Roman"/>
          <w:color w:val="000000" w:themeColor="text1"/>
          <w:sz w:val="16"/>
          <w:szCs w:val="16"/>
        </w:rPr>
        <w:softHyphen/>
        <w:t>ра в полете и раскрутка ТК выясняются представите</w:t>
      </w:r>
      <w:r w:rsidRPr="00070ADE">
        <w:rPr>
          <w:rFonts w:ascii="Times New Roman" w:hAnsi="Times New Roman"/>
          <w:color w:val="000000" w:themeColor="text1"/>
          <w:sz w:val="16"/>
          <w:szCs w:val="16"/>
        </w:rPr>
        <w:softHyphen/>
        <w:t>лями завода № 300 и ЦИАМ"а.</w:t>
      </w:r>
    </w:p>
    <w:p w14:paraId="33AF95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ВЫСОТНЫЙ ИСТРЕБИТЕЛЬ ЛА-5 С АШ-82ФН и 2ТК-3.</w:t>
      </w:r>
    </w:p>
    <w:p w14:paraId="720612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Полетов не производилось из-за отсут</w:t>
      </w:r>
      <w:r w:rsidRPr="00070ADE">
        <w:rPr>
          <w:rFonts w:ascii="Times New Roman" w:hAnsi="Times New Roman"/>
          <w:color w:val="000000" w:themeColor="text1"/>
          <w:sz w:val="16"/>
          <w:szCs w:val="16"/>
        </w:rPr>
        <w:softHyphen/>
        <w:t>ствия погоды для высотных полетов. Для оказания технической помощи товв. ЛАВОЧКИНУ по вопросам доводки винтомотной группы высотного самолета были командиован в ОКБ-21 начальник ЦИАМ тов. ПОЛИТКОВСКИЙ, ГК ТК тов. ДМИТРИЕВСКИЙ и и ЦАГИ тов. ЗАК.</w:t>
      </w:r>
    </w:p>
    <w:p w14:paraId="6DFC01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Указанными гпециалистами были разработаны рекомендации, на основании которых Седьмым Главнш Управлением дано указание тов. ЛАВОЧКИНУ-о срочном проведении их на самолете (1825).</w:t>
      </w:r>
    </w:p>
    <w:p w14:paraId="77DC46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827F5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была сформирована истребительная эскадрилья на самолетах Як-9ДД для работы в Италии. До прибытия в Италию ИАЭ произвела 510 учебно-тренировочных полетов с налетом 420 часов. За время пребывания в Италии, с 25.8 по 15.10, ИАЭ особого назначения произвела 126 самолето-вылетов с налетом 321 час, летая над Адриатическим морем и горами. Кроме того, произведен перелет Москва-Бари (Италия) - 2500 км, продолжительностью за 6 часов 15 минут (1825).</w:t>
      </w:r>
    </w:p>
    <w:p w14:paraId="215C3EC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E1B3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г. после завершения дополнительных испыта</w:t>
      </w:r>
      <w:r w:rsidRPr="00070ADE">
        <w:rPr>
          <w:rFonts w:ascii="Times New Roman" w:hAnsi="Times New Roman"/>
          <w:color w:val="000000" w:themeColor="text1"/>
          <w:sz w:val="16"/>
          <w:szCs w:val="16"/>
        </w:rPr>
        <w:softHyphen/>
        <w:t>ний И—220 зав. № 01, которые подтвердили полученные ранее результаты, машина была передана на госиспытания [23]. Ответственными за проведение государственных испытаний И—220 зав. № 01 с мотором АМ—39 в НИИ ВВС на этот раз назначили ведущего инженера В.И.Алексеенко и летчика-испытателя Д.Г.Пикуленко. Уже через десять дней испытания пришлось пре</w:t>
      </w:r>
      <w:r w:rsidRPr="00070ADE">
        <w:rPr>
          <w:rFonts w:ascii="Times New Roman" w:hAnsi="Times New Roman"/>
          <w:color w:val="000000" w:themeColor="text1"/>
          <w:sz w:val="16"/>
          <w:szCs w:val="16"/>
        </w:rPr>
        <w:softHyphen/>
        <w:t>рвать из-за разрушения нагнетателя АМ—39 (9984).</w:t>
      </w:r>
    </w:p>
    <w:p w14:paraId="6FBCD4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24046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ТИС (МА), испытания которого начались 1 июня, а первый полет был выполнен 13 июня, потерпел аварию. В конце пробега отказали тормоза. Ремонтировали с 30 июня по 30 июля 1944 (10535,34).</w:t>
      </w:r>
    </w:p>
    <w:p w14:paraId="12C8F5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7377F3" w14:textId="77777777" w:rsidR="000F083A" w:rsidRPr="00070ADE" w:rsidRDefault="000F083A"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29 июня 1944 при посадке без щит</w:t>
      </w:r>
      <w:r w:rsidRPr="00070ADE">
        <w:rPr>
          <w:rFonts w:ascii="Times New Roman" w:cs="Times New Roman"/>
          <w:color w:val="000000" w:themeColor="text1"/>
          <w:spacing w:val="0"/>
        </w:rPr>
        <w:softHyphen/>
        <w:t>ков (Н.В. Гаврилов забыл их выпустить) в конце пробега отказали тормоза, са</w:t>
      </w:r>
      <w:r w:rsidRPr="00070ADE">
        <w:rPr>
          <w:rFonts w:ascii="Times New Roman" w:cs="Times New Roman"/>
          <w:color w:val="000000" w:themeColor="text1"/>
          <w:spacing w:val="0"/>
        </w:rPr>
        <w:softHyphen/>
        <w:t>молет ТИС (МА) выкатился за пределы аэродро</w:t>
      </w:r>
      <w:r w:rsidRPr="00070ADE">
        <w:rPr>
          <w:rFonts w:ascii="Times New Roman" w:cs="Times New Roman"/>
          <w:color w:val="000000" w:themeColor="text1"/>
          <w:spacing w:val="0"/>
        </w:rPr>
        <w:softHyphen/>
        <w:t>ма, попал в канаву и подломал левую стойку шасси. Очередной ремонт са</w:t>
      </w:r>
      <w:r w:rsidRPr="00070ADE">
        <w:rPr>
          <w:rFonts w:ascii="Times New Roman" w:cs="Times New Roman"/>
          <w:color w:val="000000" w:themeColor="text1"/>
          <w:spacing w:val="0"/>
        </w:rPr>
        <w:softHyphen/>
        <w:t>молета продолжался до 30 июля. При</w:t>
      </w:r>
      <w:r w:rsidRPr="00070ADE">
        <w:rPr>
          <w:rFonts w:ascii="Times New Roman" w:cs="Times New Roman"/>
          <w:color w:val="000000" w:themeColor="text1"/>
          <w:spacing w:val="0"/>
        </w:rPr>
        <w:softHyphen/>
        <w:t>шлось ремонтировать фюзеляж, крыло, шасси и оперение. Заменили моторы и винты. Одновременно для увеличения запаса рулей высоты на посадке изме</w:t>
      </w:r>
      <w:r w:rsidRPr="00070ADE">
        <w:rPr>
          <w:rFonts w:ascii="Times New Roman" w:cs="Times New Roman"/>
          <w:color w:val="000000" w:themeColor="text1"/>
          <w:spacing w:val="0"/>
        </w:rPr>
        <w:softHyphen/>
        <w:t>нили угол установки стабилизатора на -2°30'. При первых же пробежках после ремонта обнаружилось, что тормоза ко</w:t>
      </w:r>
      <w:r w:rsidRPr="00070ADE">
        <w:rPr>
          <w:rFonts w:ascii="Times New Roman" w:cs="Times New Roman"/>
          <w:color w:val="000000" w:themeColor="text1"/>
          <w:spacing w:val="0"/>
        </w:rPr>
        <w:softHyphen/>
        <w:t>лес шасси работают все так же недо</w:t>
      </w:r>
      <w:r w:rsidRPr="00070ADE">
        <w:rPr>
          <w:rFonts w:ascii="Times New Roman" w:cs="Times New Roman"/>
          <w:color w:val="000000" w:themeColor="text1"/>
          <w:spacing w:val="0"/>
        </w:rPr>
        <w:softHyphen/>
        <w:t>статочно эффективно</w:t>
      </w:r>
      <w:r w:rsidRPr="00070ADE">
        <w:rPr>
          <w:rStyle w:val="aff7"/>
          <w:rFonts w:ascii="Times New Roman" w:eastAsia="Arial Narrow" w:hAnsi="Times New Roman" w:cs="Times New Roman"/>
          <w:i w:val="0"/>
          <w:color w:val="000000" w:themeColor="text1"/>
          <w:spacing w:val="0"/>
        </w:rPr>
        <w:t xml:space="preserve"> и</w:t>
      </w:r>
      <w:r w:rsidRPr="00070ADE">
        <w:rPr>
          <w:rFonts w:ascii="Times New Roman" w:cs="Times New Roman"/>
          <w:color w:val="000000" w:themeColor="text1"/>
          <w:spacing w:val="0"/>
        </w:rPr>
        <w:t xml:space="preserve"> посадка на Цен</w:t>
      </w:r>
      <w:r w:rsidRPr="00070ADE">
        <w:rPr>
          <w:rFonts w:ascii="Times New Roman" w:cs="Times New Roman"/>
          <w:color w:val="000000" w:themeColor="text1"/>
          <w:spacing w:val="0"/>
        </w:rPr>
        <w:softHyphen/>
        <w:t>тральном аэродроме возможна лишь в одном направлении. По этой причи</w:t>
      </w:r>
      <w:r w:rsidRPr="00070ADE">
        <w:rPr>
          <w:rFonts w:ascii="Times New Roman" w:cs="Times New Roman"/>
          <w:color w:val="000000" w:themeColor="text1"/>
          <w:spacing w:val="0"/>
        </w:rPr>
        <w:softHyphen/>
        <w:t>не было принято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завершить программу заводских летных испытаний (15758).</w:t>
      </w:r>
    </w:p>
    <w:p w14:paraId="62CD779F" w14:textId="77777777" w:rsidR="000F083A" w:rsidRPr="00070ADE" w:rsidRDefault="000F083A" w:rsidP="00B56F90">
      <w:pPr>
        <w:spacing w:after="0" w:line="240" w:lineRule="auto"/>
        <w:jc w:val="both"/>
        <w:rPr>
          <w:rFonts w:ascii="Times New Roman" w:hAnsi="Times New Roman"/>
          <w:color w:val="000000" w:themeColor="text1"/>
          <w:sz w:val="16"/>
          <w:szCs w:val="16"/>
        </w:rPr>
      </w:pPr>
    </w:p>
    <w:p w14:paraId="7F730080"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29 июня</w:t>
      </w:r>
      <w:r w:rsidRPr="00070ADE">
        <w:rPr>
          <w:rFonts w:ascii="Times New Roman" w:hAnsi="Times New Roman"/>
          <w:color w:val="000000" w:themeColor="text1"/>
          <w:sz w:val="16"/>
          <w:szCs w:val="16"/>
        </w:rPr>
        <w:t xml:space="preserve"> в 1944 году самолет ТИС (МА) потерпел аварию, в конце пробега отказали тормоза. Летчик-испытатель полковник Н.В.Гаврилов Ремонт продолжался целый месяц (с 30 июня по 30 июля), 14 августа летные испытания возобновились в ЛИИ и продолжались до 16 сентября (14937).</w:t>
      </w:r>
    </w:p>
    <w:p w14:paraId="79E7245C" w14:textId="77777777" w:rsidR="00B049B7" w:rsidRPr="00070ADE" w:rsidRDefault="00B049B7" w:rsidP="00B56F90">
      <w:pPr>
        <w:spacing w:after="0" w:line="240" w:lineRule="auto"/>
        <w:jc w:val="both"/>
        <w:rPr>
          <w:rFonts w:ascii="Times New Roman" w:hAnsi="Times New Roman"/>
          <w:color w:val="000000" w:themeColor="text1"/>
          <w:sz w:val="16"/>
          <w:szCs w:val="16"/>
        </w:rPr>
      </w:pPr>
    </w:p>
    <w:p w14:paraId="336AD2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в конце пробега на ТИС (МА) отказали тормоза и самолет потерпел аварию. Ремонт продолжался целый месяц - с 30 июня по 30 июля. 14 августа летные испытания возоб</w:t>
      </w:r>
      <w:r w:rsidRPr="00070ADE">
        <w:rPr>
          <w:rFonts w:ascii="Times New Roman" w:hAnsi="Times New Roman"/>
          <w:color w:val="000000" w:themeColor="text1"/>
          <w:sz w:val="16"/>
          <w:szCs w:val="16"/>
        </w:rPr>
        <w:softHyphen/>
        <w:t>новились в ЛИИ НКАП и продолжались по 16 сентября. ТИС (МА) развивал максимальную скорость у земли 514 км/ч, на высоте 1660 м - 535 км/ч. Летные характе</w:t>
      </w:r>
      <w:r w:rsidRPr="00070ADE">
        <w:rPr>
          <w:rFonts w:ascii="Times New Roman" w:hAnsi="Times New Roman"/>
          <w:color w:val="000000" w:themeColor="text1"/>
          <w:sz w:val="16"/>
          <w:szCs w:val="16"/>
        </w:rPr>
        <w:softHyphen/>
        <w:t>ристики самолета практически не отличались от расчет</w:t>
      </w:r>
      <w:r w:rsidRPr="00070ADE">
        <w:rPr>
          <w:rFonts w:ascii="Times New Roman" w:hAnsi="Times New Roman"/>
          <w:color w:val="000000" w:themeColor="text1"/>
          <w:sz w:val="16"/>
          <w:szCs w:val="16"/>
        </w:rPr>
        <w:softHyphen/>
        <w:t>ных, а это позволяло надеяться, что с двигателями АМ-39А летные характеристики ТИС (МА) также будут соответствовать расчетным (максимальная скорость -650 км/ч на высоте 7150 м, время подъема на высоту 5000 м - 6,4 мин). В выводах по испытаниям подчеркивалось, что «по технике пилотирования и взлетно-посадочным свойст</w:t>
      </w:r>
      <w:r w:rsidRPr="00070ADE">
        <w:rPr>
          <w:rFonts w:ascii="Times New Roman" w:hAnsi="Times New Roman"/>
          <w:color w:val="000000" w:themeColor="text1"/>
          <w:sz w:val="16"/>
          <w:szCs w:val="16"/>
        </w:rPr>
        <w:softHyphen/>
        <w:t>вам самолет доступен для летчика средней квалифика</w:t>
      </w:r>
      <w:r w:rsidRPr="00070ADE">
        <w:rPr>
          <w:rFonts w:ascii="Times New Roman" w:hAnsi="Times New Roman"/>
          <w:color w:val="000000" w:themeColor="text1"/>
          <w:sz w:val="16"/>
          <w:szCs w:val="16"/>
        </w:rPr>
        <w:softHyphen/>
        <w:t>ции». Вопрос о постройке серии не возникал. Объяснялось это тем, что дальних бомбардировщиков Пе-8 (ТБ-7), для сопровождения которых предназначался ТИС, вы</w:t>
      </w:r>
      <w:r w:rsidRPr="00070ADE">
        <w:rPr>
          <w:rFonts w:ascii="Times New Roman" w:hAnsi="Times New Roman"/>
          <w:color w:val="000000" w:themeColor="text1"/>
          <w:sz w:val="16"/>
          <w:szCs w:val="16"/>
        </w:rPr>
        <w:softHyphen/>
        <w:t>пустили всего 79 экземпляров. Применялись они мел</w:t>
      </w:r>
      <w:r w:rsidRPr="00070ADE">
        <w:rPr>
          <w:rFonts w:ascii="Times New Roman" w:hAnsi="Times New Roman"/>
          <w:color w:val="000000" w:themeColor="text1"/>
          <w:sz w:val="16"/>
          <w:szCs w:val="16"/>
        </w:rPr>
        <w:softHyphen/>
        <w:t>кими группами, ночью. В этих условиях большой необходимости в постройке специализированных ис</w:t>
      </w:r>
      <w:r w:rsidRPr="00070ADE">
        <w:rPr>
          <w:rFonts w:ascii="Times New Roman" w:hAnsi="Times New Roman"/>
          <w:color w:val="000000" w:themeColor="text1"/>
          <w:sz w:val="16"/>
          <w:szCs w:val="16"/>
        </w:rPr>
        <w:softHyphen/>
        <w:t>требителей сопровождения не было. Схема ТИС позволяла относительно просто превра</w:t>
      </w:r>
      <w:r w:rsidRPr="00070ADE">
        <w:rPr>
          <w:rFonts w:ascii="Times New Roman" w:hAnsi="Times New Roman"/>
          <w:color w:val="000000" w:themeColor="text1"/>
          <w:sz w:val="16"/>
          <w:szCs w:val="16"/>
        </w:rPr>
        <w:softHyphen/>
        <w:t>тить его в ночной истребитель-перехватчик, но в то вре</w:t>
      </w:r>
      <w:r w:rsidRPr="00070ADE">
        <w:rPr>
          <w:rFonts w:ascii="Times New Roman" w:hAnsi="Times New Roman"/>
          <w:color w:val="000000" w:themeColor="text1"/>
          <w:sz w:val="16"/>
          <w:szCs w:val="16"/>
        </w:rPr>
        <w:softHyphen/>
        <w:t>мя такой вариант не рассматривался. Конструктивно ТИС представлял собой моноплан цельнометаллической конструкции с разнесенным вер</w:t>
      </w:r>
      <w:r w:rsidRPr="00070ADE">
        <w:rPr>
          <w:rFonts w:ascii="Times New Roman" w:hAnsi="Times New Roman"/>
          <w:color w:val="000000" w:themeColor="text1"/>
          <w:sz w:val="16"/>
          <w:szCs w:val="16"/>
        </w:rPr>
        <w:softHyphen/>
        <w:t>тикальным оперением и взлетным весом 8000-8300 кг. Войти в кабину можно было через нижний люк-лестни</w:t>
      </w:r>
      <w:r w:rsidRPr="00070ADE">
        <w:rPr>
          <w:rFonts w:ascii="Times New Roman" w:hAnsi="Times New Roman"/>
          <w:color w:val="000000" w:themeColor="text1"/>
          <w:sz w:val="16"/>
          <w:szCs w:val="16"/>
        </w:rPr>
        <w:softHyphen/>
        <w:t>цу. В воздухе люк можно было сбросить из любой каби</w:t>
      </w:r>
      <w:r w:rsidRPr="00070ADE">
        <w:rPr>
          <w:rFonts w:ascii="Times New Roman" w:hAnsi="Times New Roman"/>
          <w:color w:val="000000" w:themeColor="text1"/>
          <w:sz w:val="16"/>
          <w:szCs w:val="16"/>
        </w:rPr>
        <w:softHyphen/>
        <w:t>ны. Крыло имело размах 15,5 м. Шасси убиралось пневмоприводом. Вооружение ТИС (А) состояло из че</w:t>
      </w:r>
      <w:r w:rsidRPr="00070ADE">
        <w:rPr>
          <w:rFonts w:ascii="Times New Roman" w:hAnsi="Times New Roman"/>
          <w:color w:val="000000" w:themeColor="text1"/>
          <w:sz w:val="16"/>
          <w:szCs w:val="16"/>
        </w:rPr>
        <w:softHyphen/>
        <w:t>тырех пулеметов ШКАС в носовой батарее, двух пушек ШВАК и двух пулеметов БС в центроплане. У стрелка-ра</w:t>
      </w:r>
      <w:r w:rsidRPr="00070ADE">
        <w:rPr>
          <w:rFonts w:ascii="Times New Roman" w:hAnsi="Times New Roman"/>
          <w:color w:val="000000" w:themeColor="text1"/>
          <w:sz w:val="16"/>
          <w:szCs w:val="16"/>
        </w:rPr>
        <w:softHyphen/>
        <w:t>диста находился один ШКАС на турели и один в люковой установке. Вооружение ТИС (МА) было мощнее: две пушки ШВАК в носовой батарее, две пушки 11П калибра 37 мм или две пушки 11Ш калибра 45 мм в центроплане, один пулемет УБТ у стрелка-радиста. Предусматривалась внешняя подвеска 1000 кг бомб. На самолете стояли мощное по тем временам навигационное оборудование, радиостанция, фотоаппаратура. Помимо своего основно</w:t>
      </w:r>
      <w:r w:rsidRPr="00070ADE">
        <w:rPr>
          <w:rFonts w:ascii="Times New Roman" w:hAnsi="Times New Roman"/>
          <w:color w:val="000000" w:themeColor="text1"/>
          <w:sz w:val="16"/>
          <w:szCs w:val="16"/>
        </w:rPr>
        <w:softHyphen/>
        <w:t>го назначения, ТИС мог использоваться как разведчик и штурмовик-бомбардировщик (10667).</w:t>
      </w:r>
    </w:p>
    <w:p w14:paraId="242CE7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AFD2E5" w14:textId="77777777" w:rsidR="00262E37" w:rsidRPr="00070ADE" w:rsidRDefault="00262E3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29 июня 1944 при посадке без щитков (Н. В. Гаврилов забыл выпустить их) в конце пробе</w:t>
      </w:r>
      <w:r w:rsidRPr="00070ADE">
        <w:rPr>
          <w:color w:val="000000" w:themeColor="text1"/>
          <w:sz w:val="16"/>
          <w:szCs w:val="16"/>
        </w:rPr>
        <w:softHyphen/>
        <w:t>га отказали тормоза, самолет выкатился за пределы аэродрома, попал в канаву и подломал левую стой</w:t>
      </w:r>
      <w:r w:rsidRPr="00070ADE">
        <w:rPr>
          <w:color w:val="000000" w:themeColor="text1"/>
          <w:sz w:val="16"/>
          <w:szCs w:val="16"/>
        </w:rPr>
        <w:softHyphen/>
        <w:t>ку основного шасси. Очередной ремонт самолета продолжался до 30 июля. Пришлось ремонтиро</w:t>
      </w:r>
      <w:r w:rsidRPr="00070ADE">
        <w:rPr>
          <w:color w:val="000000" w:themeColor="text1"/>
          <w:sz w:val="16"/>
          <w:szCs w:val="16"/>
        </w:rPr>
        <w:softHyphen/>
        <w:t>вать фюзеляж, крыло, шасси и оперение. Заменили левую мотораму, оба мотора и винты. Одновремен</w:t>
      </w:r>
      <w:r w:rsidRPr="00070ADE">
        <w:rPr>
          <w:color w:val="000000" w:themeColor="text1"/>
          <w:sz w:val="16"/>
          <w:szCs w:val="16"/>
        </w:rPr>
        <w:softHyphen/>
        <w:t>но для увеличения запаса рулей высоты на посадке изменили угол установки стабилизатора на —2°30'. При первых же пробежках после ремонта 30 июля обнаружилось, что тормоза колес шасси работают все так же недостаточно эффективно и посадка на Центральном аэродроме возможна лишь в од</w:t>
      </w:r>
      <w:r w:rsidRPr="00070ADE">
        <w:rPr>
          <w:color w:val="000000" w:themeColor="text1"/>
          <w:sz w:val="16"/>
          <w:szCs w:val="16"/>
        </w:rPr>
        <w:softHyphen/>
        <w:t>ном направлении. По этой причине было приня</w:t>
      </w:r>
      <w:r w:rsidRPr="00070ADE">
        <w:rPr>
          <w:color w:val="000000" w:themeColor="text1"/>
          <w:sz w:val="16"/>
          <w:szCs w:val="16"/>
        </w:rPr>
        <w:softHyphen/>
        <w:t>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в целом завершить программу заводских летных испытаний. К сожа</w:t>
      </w:r>
      <w:r w:rsidRPr="00070ADE">
        <w:rPr>
          <w:color w:val="000000" w:themeColor="text1"/>
          <w:sz w:val="16"/>
          <w:szCs w:val="16"/>
        </w:rPr>
        <w:softHyphen/>
        <w:t>лению, в этот день при взлете произошел обрыв ушка крепления цилиндра подъема шасси с обры</w:t>
      </w:r>
      <w:r w:rsidRPr="00070ADE">
        <w:rPr>
          <w:color w:val="000000" w:themeColor="text1"/>
          <w:sz w:val="16"/>
          <w:szCs w:val="16"/>
        </w:rPr>
        <w:softHyphen/>
        <w:t>вом воздушной проводки, в результате чего шасси осталось в незафиксированном положении. При посадке на аэродром Раменское шасси сложилось. Помялись нижние капоты моторов и маслорадиато- ры. Погнулись оба винта. Но главное, деформиро</w:t>
      </w:r>
      <w:r w:rsidRPr="00070ADE">
        <w:rPr>
          <w:color w:val="000000" w:themeColor="text1"/>
          <w:sz w:val="16"/>
          <w:szCs w:val="16"/>
        </w:rPr>
        <w:softHyphen/>
        <w:t>вался фюзеляж. Самолету требовался длительный ремонт (17500).</w:t>
      </w:r>
    </w:p>
    <w:p w14:paraId="193A7CD3" w14:textId="77777777" w:rsidR="00262E37" w:rsidRPr="00070ADE" w:rsidRDefault="00262E37" w:rsidP="00B56F90">
      <w:pPr>
        <w:spacing w:after="0" w:line="240" w:lineRule="auto"/>
        <w:jc w:val="both"/>
        <w:rPr>
          <w:rFonts w:ascii="Times New Roman" w:eastAsia="Times New Roman" w:hAnsi="Times New Roman"/>
          <w:color w:val="000000" w:themeColor="text1"/>
          <w:sz w:val="16"/>
          <w:szCs w:val="16"/>
          <w:lang w:eastAsia="ru-RU"/>
        </w:rPr>
      </w:pPr>
    </w:p>
    <w:p w14:paraId="037653F7" w14:textId="77777777" w:rsidR="00125FFB" w:rsidRPr="001A0BAA" w:rsidRDefault="00125FFB" w:rsidP="00125FF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29 июня 1944 г. в конце пробега у ТИС (МА) отказали тормоза и самолет потерпел аварию. Ремонт продолжался целый месяц — с 30 июня по 30 июля (25035).</w:t>
      </w:r>
    </w:p>
    <w:p w14:paraId="6D7FEF23" w14:textId="77777777" w:rsidR="00125FFB" w:rsidRPr="001A0BAA" w:rsidRDefault="00125FFB" w:rsidP="00125FFB">
      <w:pPr>
        <w:spacing w:after="0" w:line="240" w:lineRule="auto"/>
        <w:jc w:val="both"/>
        <w:rPr>
          <w:rFonts w:ascii="Times New Roman" w:hAnsi="Times New Roman"/>
          <w:color w:val="0070C0"/>
          <w:sz w:val="16"/>
          <w:szCs w:val="16"/>
        </w:rPr>
      </w:pPr>
    </w:p>
    <w:p w14:paraId="60060BB2" w14:textId="77777777" w:rsidR="00125FFB" w:rsidRPr="001A0BAA" w:rsidRDefault="00125FFB" w:rsidP="00125FF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29 июня 1944 г. самолет ТИС (МА) потерпел аварию — в конце пробега отказали тормоза. Ремонт продолжался целый месяц (с 30 июня по 30 июля), 14 августа летные испытания возобновились в ЛИИ и продолжались до 16 сентября.</w:t>
      </w:r>
    </w:p>
    <w:p w14:paraId="62FBA0C6" w14:textId="77777777" w:rsidR="00125FFB" w:rsidRPr="001A0BAA" w:rsidRDefault="00125FFB" w:rsidP="00125FF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Поскольку моторы АМ-39 к началу испытаний так и не были готовы, самолет испытывался с моторами АМ-38Ф от штурмовика Ил-2. Полеты проходили успешно. Серийные моторы АМ-38Ф работали нормально. ТИС (МА) развивал максимальную скорость у земли 514 км/ч, на высоте 1660 метров — 535 км/ч. Летные данные самолета практически не отличались от расчетных. Это позволяло надеяться, что с двигателями АМ-39А летные характеристики ТИС (МА) также будут соответствовать расчетным: максимальная скорость 650 км/ч на высоте 7150 метров, время подъема на высоту 5000 метров — 6,4 минуты. В выводах по испытаниям говорилось, что по технике пилотирования и взлетно-посадочным свойствам самолет доступен для летчика средней квалификации.</w:t>
      </w:r>
    </w:p>
    <w:p w14:paraId="6A53C875" w14:textId="77777777" w:rsidR="00125FFB" w:rsidRPr="001A0BAA" w:rsidRDefault="00125FFB" w:rsidP="00125FF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Но вопрос о постройке серии не возникал (25337).</w:t>
      </w:r>
    </w:p>
    <w:p w14:paraId="2B3E2C5D" w14:textId="77777777" w:rsidR="00125FFB" w:rsidRPr="001A0BAA" w:rsidRDefault="00125FFB" w:rsidP="00125FFB">
      <w:pPr>
        <w:spacing w:after="0" w:line="240" w:lineRule="auto"/>
        <w:jc w:val="both"/>
        <w:rPr>
          <w:rFonts w:ascii="Times New Roman" w:hAnsi="Times New Roman"/>
          <w:color w:val="0070C0"/>
          <w:sz w:val="16"/>
          <w:szCs w:val="16"/>
        </w:rPr>
      </w:pPr>
    </w:p>
    <w:p w14:paraId="11ADC59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28156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D8566F" w14:textId="77777777" w:rsidR="000340E9" w:rsidRPr="00070ADE" w:rsidRDefault="000340E9" w:rsidP="00B56F90">
      <w:pPr>
        <w:pStyle w:val="a3"/>
        <w:rPr>
          <w:color w:val="000000" w:themeColor="text1"/>
          <w:lang w:val="ru-RU"/>
        </w:rPr>
      </w:pPr>
      <w:r w:rsidRPr="00070ADE">
        <w:rPr>
          <w:color w:val="000000" w:themeColor="text1"/>
          <w:lang w:val="ru-RU"/>
        </w:rPr>
        <w:t>29 июня 1944 года причины неэффективности политики прикрепления рабочих к заводам были изложены в постановлении СНК № 789: «Прокуроры самоустранились от руководства розыском дезертиров с предприятий, который производится органами милиции крайне неудовлетворительно. Лишь незначительная часть дезертиров разыскивается до суда, в связи с чем дела в большинстве случаев рассматриваются военными трибуналами заочно. Заочно осужденные дезертиры также в подавляющем большинстве остаются неразысканными, что ведет к безнаказанности дезертиров. Безнаказанности дезертиров способствует и то, что руководители многих предприятий и учреждений, председатели правлений колхозов принимают на работу дезертиров с других предприятий, а прокуратура не выполняет требований закона о привлечении к ответственности их укрывателей, что особенно необходимо в условиях военного времени». Надо отметить, что утверждение о том, что дезертирству способствует кадровая политика «руководителей многих предприятий и учреждений», в принципе было верным. Ведь мало кто из «трудовых дезертиров» бежал с предприятия ради перехода на нелегальное положение. Почти все уходили в надежде найти работу получше. Непрекращающийся поток беглецов свидетельствует о том, что эти надежды были не беспочвенными. «Трудовое дезертирство» существовало не только потому, что были желающие уйти с предприятия, но и потому, что были руководители, которые потом брали таких людей на работу. Действительно, карательная практика по отношению к принимающим беглецов руководителям могла бы остановить дезертирство. Но не вышло бы в этом случае, что лекарство окажется хуже болезни? Ведь мало кто из руководителей производства мог позволить себе обходиться без этого источника рабочей силы.</w:t>
      </w:r>
    </w:p>
    <w:p w14:paraId="7478BC55" w14:textId="77777777" w:rsidR="000340E9" w:rsidRPr="00070ADE" w:rsidRDefault="000340E9" w:rsidP="00B56F90">
      <w:pPr>
        <w:pStyle w:val="a3"/>
        <w:rPr>
          <w:color w:val="000000" w:themeColor="text1"/>
          <w:lang w:val="ru-RU"/>
        </w:rPr>
      </w:pPr>
      <w:r w:rsidRPr="00070ADE">
        <w:rPr>
          <w:color w:val="000000" w:themeColor="text1"/>
          <w:lang w:val="ru-RU"/>
        </w:rPr>
        <w:t>Значительные масштабы самовольных уходов с работы вызвали к жизни Указ Президиума Верховного Совета СССР от 30 декабря 1944 года «о предоставлении амнистии лицам, самовольно ушедшим с предприятий военной промышленности и добровольно вернувшимся на эти предприятия». То, что Правительство решилось прибегнуть к амнистии в обмен на возвращение на прежнюю работу, означало его неспособность добиться выполнения своего решения о прикреплении рабочих к предприятиям другими средствами. Но сомнительно, что декларированная указом амнистия могла повлиять на большинство беглецов или уменьшить размеры «трудового дезертирства» (12290).</w:t>
      </w:r>
    </w:p>
    <w:p w14:paraId="56DE0B2E" w14:textId="77777777" w:rsidR="000340E9" w:rsidRPr="00070ADE" w:rsidRDefault="000340E9" w:rsidP="00B56F90">
      <w:pPr>
        <w:pStyle w:val="a3"/>
        <w:rPr>
          <w:color w:val="000000" w:themeColor="text1"/>
          <w:lang w:val="ru-RU"/>
        </w:rPr>
      </w:pPr>
    </w:p>
    <w:p w14:paraId="1F5FB8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г. была ДОКЛАДНАЯ ЗАПИСКА ЗАМЕСТИТЕЛЯ НАЧАЛЬНИКА ГБТУ КА НАРКОМУ ТАНКОВОЙ ПРОМЫШЛЕННОСТИ СССР В.А. МАЛЫШЕВУ О ДОПОЛНИТЕЛЬНОЙ УКЛАДКЕ ВЫСТРЕЛОВ В ТАНКАХ Т-34-85 И ИС-2 № 522883</w:t>
      </w:r>
    </w:p>
    <w:p w14:paraId="363FA4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 боевого применения танков показал, что количество пушечных выстрелов — 56 шт. в тан</w:t>
      </w:r>
      <w:r w:rsidRPr="00070ADE">
        <w:rPr>
          <w:rFonts w:ascii="Times New Roman" w:hAnsi="Times New Roman"/>
          <w:color w:val="000000" w:themeColor="text1"/>
          <w:sz w:val="16"/>
          <w:szCs w:val="16"/>
        </w:rPr>
        <w:softHyphen/>
        <w:t>ке Т-34-85 и 28 шт. в танке ИС-2 недостаточно.</w:t>
      </w:r>
    </w:p>
    <w:p w14:paraId="428A00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НИБТ полигоном ГБТУ КА определена возможность увеличения укладки в танке — Т-34-85 на 15 выстрелов, а в танке ИС-2 на 3 выстрела.</w:t>
      </w:r>
    </w:p>
    <w:p w14:paraId="43450A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проверки дополнительной укладки выстрелов, в условиях боевого применения танков, прошу Вашего указания директору завода №183 т. Максареву и директору Кировского завода т. Зальцман оборудовать в июле месяце с. г. по 150 танков Т-34-85 и ИС -2 дополнительной укладкой пушечных выстрелов по прилагаемой схеме.</w:t>
      </w:r>
    </w:p>
    <w:p w14:paraId="4AABF2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О Вашем решении прошу сообщить.</w:t>
      </w:r>
    </w:p>
    <w:p w14:paraId="417742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схемы на 2-х листах.</w:t>
      </w:r>
    </w:p>
    <w:p w14:paraId="174011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0FDE01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ЗАКЛЮЧЕНИЕ</w:t>
      </w:r>
    </w:p>
    <w:p w14:paraId="52FB7F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дополнительной укладке выстрелов в танках Т-34-85 и ИС-2, предложенной НИБТ полиго</w:t>
      </w:r>
      <w:r w:rsidRPr="00070ADE">
        <w:rPr>
          <w:rFonts w:ascii="Times New Roman" w:hAnsi="Times New Roman"/>
          <w:color w:val="000000" w:themeColor="text1"/>
          <w:sz w:val="16"/>
          <w:szCs w:val="16"/>
        </w:rPr>
        <w:softHyphen/>
        <w:t>ном ГБТУ КА</w:t>
      </w:r>
    </w:p>
    <w:p w14:paraId="15457C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НИБТ полигоном ГБТУ КА увеличение боеукладки предусмотрено в танке Т-34-85 на 15 выст</w:t>
      </w:r>
      <w:r w:rsidRPr="00070ADE">
        <w:rPr>
          <w:rFonts w:ascii="Times New Roman" w:hAnsi="Times New Roman"/>
          <w:color w:val="000000" w:themeColor="text1"/>
          <w:sz w:val="16"/>
          <w:szCs w:val="16"/>
        </w:rPr>
        <w:softHyphen/>
        <w:t>релов (с 56 до 71 выстрела), в танке ИС-2 на 3 выстрела (с 28 до 31 выстрела).</w:t>
      </w:r>
    </w:p>
    <w:p w14:paraId="25B6A0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танке Т-34-85 дополнительные 15 выстрелов укладываются на полу боевого отделения (на крышках ящиков боеукладки).</w:t>
      </w:r>
    </w:p>
    <w:p w14:paraId="6A2F8B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танке ИС-2 дополнительные 3 выстрела размещены в следующем порядке — 3 снаряда и од</w:t>
      </w:r>
      <w:r w:rsidRPr="00070ADE">
        <w:rPr>
          <w:rFonts w:ascii="Times New Roman" w:hAnsi="Times New Roman"/>
          <w:color w:val="000000" w:themeColor="text1"/>
          <w:sz w:val="16"/>
          <w:szCs w:val="16"/>
        </w:rPr>
        <w:softHyphen/>
        <w:t>на гильза по полу боевого отделения (на крышках ящиков боеукладки), одна гильза в переднем ле</w:t>
      </w:r>
      <w:r w:rsidRPr="00070ADE">
        <w:rPr>
          <w:rFonts w:ascii="Times New Roman" w:hAnsi="Times New Roman"/>
          <w:color w:val="000000" w:themeColor="text1"/>
          <w:sz w:val="16"/>
          <w:szCs w:val="16"/>
        </w:rPr>
        <w:softHyphen/>
        <w:t>вом углу боевого отделения, вертикально и одна гильза в правой нише корпуса.</w:t>
      </w:r>
    </w:p>
    <w:p w14:paraId="3D04A0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Дополнительные выстрелы, уложенные по схеме НИБТ полигона, будут подвергаться загрязнению, это может привести к задержкам в досылке выстрелов в казенную часть систем и к порче самих систем.</w:t>
      </w:r>
    </w:p>
    <w:p w14:paraId="759F67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этого НИБТ полигоном, с дополнительной укладкой выстрелов, не проверена возмож</w:t>
      </w:r>
      <w:r w:rsidRPr="00070ADE">
        <w:rPr>
          <w:rFonts w:ascii="Times New Roman" w:hAnsi="Times New Roman"/>
          <w:color w:val="000000" w:themeColor="text1"/>
          <w:sz w:val="16"/>
          <w:szCs w:val="16"/>
        </w:rPr>
        <w:softHyphen/>
        <w:t>ность размещения личных вещей и 5-ти суточной дачи экипажа.</w:t>
      </w:r>
    </w:p>
    <w:p w14:paraId="7F57BE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Считаем необходимым увеличенную боеукладку, предложенную НИБТ полигоном, проверить в войсках на 150 танках Т-34-85 и на 150 танках ИС-2 и по результатам этой проверки принять реше</w:t>
      </w:r>
      <w:r w:rsidRPr="00070ADE">
        <w:rPr>
          <w:rFonts w:ascii="Times New Roman" w:hAnsi="Times New Roman"/>
          <w:color w:val="000000" w:themeColor="text1"/>
          <w:sz w:val="16"/>
          <w:szCs w:val="16"/>
        </w:rPr>
        <w:softHyphen/>
        <w:t>ние о вводе ее на серийное производство.</w:t>
      </w:r>
    </w:p>
    <w:p w14:paraId="6433BF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Оборудование танков под дополнительную укладку произвести на заводах — Кировском и №183.</w:t>
      </w:r>
    </w:p>
    <w:p w14:paraId="304139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УСА ГБТУ КА генерал-майор инженерно-танковой службы Алымов</w:t>
      </w:r>
    </w:p>
    <w:p w14:paraId="514DF1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начальника ТУ ГБТУ КА инженер-полковник Муравич</w:t>
      </w:r>
    </w:p>
    <w:p w14:paraId="362EAF7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11355. Д. 2218. Л. 72-73. Копия (11420).</w:t>
      </w:r>
    </w:p>
    <w:p w14:paraId="380E9E0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3D07F88" w14:textId="0BD4CF46" w:rsidR="00112211" w:rsidRPr="00070ADE" w:rsidRDefault="0011221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на Гороховецкий АНИОП прибыл второй образец СУ-5</w:t>
      </w:r>
      <w:r w:rsidR="001C663D" w:rsidRPr="00070ADE">
        <w:rPr>
          <w:rFonts w:ascii="Times New Roman" w:hAnsi="Times New Roman"/>
          <w:color w:val="000000" w:themeColor="text1"/>
          <w:sz w:val="16"/>
          <w:szCs w:val="16"/>
        </w:rPr>
        <w:t>7</w:t>
      </w:r>
      <w:r w:rsidRPr="00070ADE">
        <w:rPr>
          <w:rFonts w:ascii="Times New Roman" w:hAnsi="Times New Roman"/>
          <w:color w:val="000000" w:themeColor="text1"/>
          <w:sz w:val="16"/>
          <w:szCs w:val="16"/>
        </w:rPr>
        <w:t>. Машина прибыла, без чертежей и документов. На следующий день начались испытания стрельбой, но вскоре они прекратились, поскольку АНИОП получил другое срочное задание. Из-за перебоев с горючим испытания не проводились с 5 по 28 июля, завершить их удалось 30 июля. Было произведено 358 выстрелов, из них 113 на усиленном заряде. Прицельная скорострельность и кучность стрельбы по неподвижным мишеням не изменились. Кучность стрельбы по движущимся целям стала хуже, но это было связано с тем, что стрельба велась по таблицам 85-мм орудия: именно такая шкала была нарезана на прицеле 10Т-15.</w:t>
      </w:r>
    </w:p>
    <w:p w14:paraId="10B93EDB" w14:textId="77777777" w:rsidR="00112211" w:rsidRPr="00070ADE" w:rsidRDefault="0011221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обстреле из стрелкового оружия выяснилось, что некоторые пули попадают внутрь боевого отделения</w:t>
      </w:r>
    </w:p>
    <w:p w14:paraId="2DACFEBF" w14:textId="77777777" w:rsidR="00112211" w:rsidRPr="00070ADE" w:rsidRDefault="0011221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Особой выгоды переделки второго варианта не дали. Полностью закрытое боевое отделение стало более загазованным. Выявились недостатки в защите в лобовой части: при обстреле стрелковым оружием отдельные пули залетали внутрь боевого отделения. Тем не менее Артком ГАУ посчитал, что машина по второму варианту испытания выдержала. В сентябре 1944 года появился проект постановления ГКО о принятии 57-мм самоходной установки СУ-57 на вооружение. За четвёртый квартал 1944 года планировалось построить 165 таких машин, исполнителем заказа выступал ГАЗ им. Молотова.</w:t>
      </w:r>
    </w:p>
    <w:p w14:paraId="60B5BF26" w14:textId="77777777" w:rsidR="00112211" w:rsidRPr="00070ADE" w:rsidRDefault="0011221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Именно в этот момент Управление самоходной артиллерии (УСА) ГБТУ КА стало активно противодействовать принятию СУ-57 на вооружение. Там составили список недостатков, среди которых было, например, недостаточное бронирование машины. Попытки «продавить» выпуск машины неоднократно повторялись, в последний раз в 1945 году. К тому времени, впрочем, СУ-57 была уже совсем не актуальной, особенно с учётом того, что в середине 1944 года ГАЗ им. Молотова разработал самоходную установку с куда более мощным орудием.</w:t>
      </w:r>
    </w:p>
    <w:p w14:paraId="377305DF" w14:textId="77777777" w:rsidR="00112211" w:rsidRPr="00070ADE" w:rsidRDefault="00112211" w:rsidP="00B56F90">
      <w:pPr>
        <w:spacing w:after="0" w:line="240" w:lineRule="auto"/>
        <w:jc w:val="both"/>
        <w:rPr>
          <w:rFonts w:ascii="Times New Roman" w:hAnsi="Times New Roman"/>
          <w:color w:val="000000" w:themeColor="text1"/>
          <w:sz w:val="16"/>
          <w:szCs w:val="16"/>
        </w:rPr>
      </w:pPr>
    </w:p>
    <w:p w14:paraId="5037770E"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САУ СУ-57 с модернизированным боевым отделением прибыла на Гороховецкий АНИОП. Как и требовалось в техническом задании, орудие получило телескопический прицел 10Т-15, его установили слева от орудия. Также был введен электроспуск. Боевое отделение стало полностью закрытым, сверху появилось 2 перископических прибора МК-IV. Изменения были достаточно высоко оценены на Гороховецком АНИОП. Имелись некоторые замечания, но в целом боевое отделение, с точки зрения удобства, получило более высокую оценку, чем до модернизации.</w:t>
      </w:r>
    </w:p>
    <w:p w14:paraId="7ADF393C" w14:textId="5DD60D9A"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Сами испытания прошли весьма специфично. Начались они 30 июня 1944 года, но дальше Гороховецкий АНИОП получил срочное задание, потом полигон ждал горючего, в результате с 5 по 28 июля машина стояла без движения. Закончили испытания 30 июля. За это время произвели 358 выстрелов, из них 113 на усиленном заряде. Надо сказать, что смена прицела на кучности и скорострельности не изменились. Также провели специспытания,</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обстреляв рубку из пулемета ДТ. Выяснилось, что некоторые пули залетают внутрь боевого отделения. Фанерный макет командира получил 2 попадания, из них 1 в голову. Данная проблема была актуальна не только для СУ-57, но и СУ-76М в целом.</w:t>
      </w:r>
    </w:p>
    <w:p w14:paraId="60A3BB3D" w14:textId="77777777" w:rsidR="001C663D" w:rsidRPr="00070ADE" w:rsidRDefault="001C663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итогам испытаний СУ-57 признали выдержавшей испытания. Рекомендовалось пустить ее в серию, даже был подготовлен проект постановления ГКО. Но в работу его не пустили. СУ-57 была уже не актуальной разработкой, особенно для ГАЗ им. Молотова. Еще в мае 1944 года там начали работу по СУ-85А (СУ-15А), на которую ставили 85-мм орудие. Такая машина выглядела более адекватным развитием конструкции СУ-76М (24276).</w:t>
      </w:r>
    </w:p>
    <w:p w14:paraId="04530A86" w14:textId="77777777" w:rsidR="001C663D" w:rsidRPr="00070ADE" w:rsidRDefault="001C663D" w:rsidP="00B56F90">
      <w:pPr>
        <w:spacing w:after="0" w:line="240" w:lineRule="auto"/>
        <w:jc w:val="both"/>
        <w:rPr>
          <w:rFonts w:ascii="Times New Roman" w:hAnsi="Times New Roman"/>
          <w:color w:val="000000" w:themeColor="text1"/>
          <w:sz w:val="16"/>
          <w:szCs w:val="16"/>
        </w:rPr>
      </w:pPr>
    </w:p>
    <w:p w14:paraId="52B5198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года вышел приказ 297с НКВ</w:t>
      </w:r>
    </w:p>
    <w:p w14:paraId="08A0F789"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дополнение приказа НКВ от 1 апреля 1944 года № 151сс в целях быстрейшего развития оптико-механического приборостроения на заводе № 349 ОГПУ (6423, 121).</w:t>
      </w:r>
    </w:p>
    <w:p w14:paraId="2244EBA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1252C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года вышел приказ 298с НКВ</w:t>
      </w:r>
    </w:p>
    <w:p w14:paraId="5EFF14C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целях быстрейшего пуска Ленинградского завода оптического стекла и форсирования выпуска оптического стекла в Ленинграде для нужд заводов НКВ:</w:t>
      </w:r>
    </w:p>
    <w:p w14:paraId="7ACC163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Ленинградский завод оптического стекла выделить в самостоятельный завод, присвоив ему номер 354-ф, по производству оптического стекла для нужд оптико-механических заводов (6423, 130).</w:t>
      </w:r>
    </w:p>
    <w:p w14:paraId="027E121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8957A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года вышел приказ № 360с НКБ</w:t>
      </w:r>
    </w:p>
    <w:p w14:paraId="64F52E5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соответствии с распоряжением СНК № 13580-рс от 27 июня 1944 года начальнику 7 Гл. управления принять от Наркомсредмаша переданный в систему НКБ автоприцепный завод № 2 (Москва) для организации на нем производства деталей реактивных снарядов М-13. Присвоить ему номер 775 (5818, 73).</w:t>
      </w:r>
    </w:p>
    <w:p w14:paraId="2D007E3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F6514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года вышел приказ № 362с НКБ</w:t>
      </w:r>
    </w:p>
    <w:p w14:paraId="32980594"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исполнение постановления Правительства № 6096 от 24 июня 1944 года обеспечить в 3 квартале 1944 года пуск первой очереди особого завода № 862 (филиал завода № 569 Загорск) (5818, 110-111).</w:t>
      </w:r>
    </w:p>
    <w:p w14:paraId="0D1AC5E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25E45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года вышел приказ № 364с НКБ</w:t>
      </w:r>
    </w:p>
    <w:p w14:paraId="63B4A4E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Для производства авиационных и зенитных испытаний организовать Крымский филиал Софринского полигона с местонахождением ст. Багерово Крымской АССР (5818, 124).</w:t>
      </w:r>
    </w:p>
    <w:p w14:paraId="24273BF0"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332FF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вышло Постановление ГКО № 6117 О мероприятиях по транспортировке грузов для НОАЮ. (7243, 238-239,240-244).</w:t>
      </w:r>
    </w:p>
    <w:p w14:paraId="16C4F9E5"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B378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вышло Распоряжение ГКО № 6118. О мерах по обеспечению работы Дзирульского завода "Шроша" (Грузия), производящего огнеупорный кирпич. РГАНИР, Фонд ГКО, д. 266, лл. 245-246 (11012).</w:t>
      </w:r>
    </w:p>
    <w:p w14:paraId="092CE85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ADA5C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Передан флоту 34-й БМО (строился 3 мес.). На Балтийском заводе под руководством группы проектировщиков с Большой земли, при участии заводских конструкторов производилась установка импортных РЛС на линкоре, крейсерах и эсминцах. На линкоре осуществлялась модернизация зенитного вооружения. Аналогичная работа выполнена балтийцами на эсминцах "Сторожевой", "Славный", "Свирепый", "Грозящий" и "Вице-адмирал Дрозд" (10671).</w:t>
      </w:r>
    </w:p>
    <w:p w14:paraId="461971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92457E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624C096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12D818"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29 июня</w:t>
      </w:r>
      <w:r w:rsidRPr="00070ADE">
        <w:rPr>
          <w:rFonts w:ascii="Times New Roman" w:hAnsi="Times New Roman"/>
          <w:color w:val="000000" w:themeColor="text1"/>
          <w:sz w:val="16"/>
          <w:szCs w:val="16"/>
        </w:rPr>
        <w:t xml:space="preserve"> в 1944 году оперативная сводка Совинформбюро:</w:t>
      </w:r>
    </w:p>
    <w:p w14:paraId="5FF8D25B"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Карельского фронта, в результате глубокого обходного манёвра на окружение с высадкой десанта на западном побережье Онежского озера, освободили от немецко-финских захватчиков столицу Карело-Финской ССР город Петрозаводск, заняли город и железнодорожную станцию Кондопога, очистив тем самым от противника Кировскую (Мурманскую) железную дорогу на всём её протяжении. Продолжая развивать наступление к западу и югу от города Медвежьегорск, между Онежским и Ладожским озёрами, войска фронта заняли населённые пункты Евгора, 2-я Кумса, Мяндусельга, Палая Ламба, Верхняя и Нижняя Деревянная, Афанасьева-Гора, Пуску-Сельга, Чимойла, Киму-Сельга.</w:t>
      </w:r>
    </w:p>
    <w:p w14:paraId="67AACB64"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На Полоцком направлении наши войска вели наступательные бои, в ходе которых овладели районными центрами Витебской области городом Ушачи, Ветрино, а также заняли более 150 других населённых пунктов, в том числе крупные населённые пункты Лысая, Валющина, Островляне, Туржец 1-й и 2-й, Воронен, Орехово, Кубличи и железнодорожная станция Ветрино. Наши войска перерезали железную дорогу Полоцк— Молодечно.</w:t>
      </w:r>
    </w:p>
    <w:p w14:paraId="1E49AF78"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Минском направлении наши войска, развивая успешное наступление, с боями вышли к реке Березина севернее города Борисов на участке протяжением 60 километров, заняв при этом более 200 населённых пунктов, в числе которых крупные населённые пункты Рожно, Домжерицы, Переходцы, Бараны, Крацевичи, Холхолец, Кищино-Слоьода. Бытча, Житьково, Млехово, Мужанка.</w:t>
      </w:r>
    </w:p>
    <w:p w14:paraId="0BDD56E7"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западу от города Могилев наши войска, преследуя отступающего противника, продвинулись вперёд до 35 километров и заняли более 500 населённых пунктов, среди которых районный центр Могилёвской области город БЕлыничи, крупныенаселённые пункты Тетерин, Головчин, Олешковичи, Осовец, Калиновка, Техтин, Большие Белевичи, Количенко, Золотва, Городец, Долгое и железнодорожные станции Вендриж, Семуковичи. На ряде участков наши войска форсировали реку Друть.</w:t>
      </w:r>
    </w:p>
    <w:p w14:paraId="455B9A42"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Белорусского фронта 29 июня штурмом овладели городом и крупнойжелезнодорожной станцией Бобруйск, а также с боями заняли более 200 других населённых пунктов, в том числе крупные населённые пункты Свислочь, Октябрь, Ясень, Дараганово, Мезовичи, Кринка, Солон, Макаричи, Гостино, Зеленьки, Заболотье и железнодорожные станции Ясень, Татарка, Деревцы, Дараганово. Нашивойска завершили ликвидацию окружённой в районе Бобруйска группировки немцев. При ликвидации окружённой группировки противника наши войска Уничтожили более 16.000 немецких солдат и офицеров и взяли в плен 18.000 немецких солдат и офицеров.</w:t>
      </w:r>
    </w:p>
    <w:p w14:paraId="6639B49C"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без существенных изменений.</w:t>
      </w:r>
    </w:p>
    <w:p w14:paraId="4ED2AE52"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28 июня наши войска на всех фронтах подбили и уничтожили 278 немецких танков. В воздушных боях и огнём зенитной артиллерии сбит 71 самолёт противника.</w:t>
      </w:r>
    </w:p>
    <w:p w14:paraId="03765DFA"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Налёты нашей авиации на железнодорожные узлы Барановичи, Лунинец, Минск и Полоцк</w:t>
      </w:r>
    </w:p>
    <w:p w14:paraId="6EFFFFA8"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ночь на 29 июня наша авиация совершила массированные налёты на железнодорожные узлы Барановичи, Лунинец, Минск и Полоцк.</w:t>
      </w:r>
    </w:p>
    <w:p w14:paraId="6DFFC6F1"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момент налёта на железнодорожном узле Барановичи находилось много эшелонов с войсками и военной техникой противника. В результате бомбардировки на территории узла возникло 15 очагов пожара. Лётчики наблюдали как горели эшелоны и военные склады. На железнодорожном узле Лунинец подожжено три эшелона.</w:t>
      </w:r>
    </w:p>
    <w:p w14:paraId="087FEF95"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Особенно интенсивный налёт наша авиация совершила на железнодорожный узел Минск. Пожар охватил значительную часть территории узла. Горели эшелоны и военные склады. На железнодорожном узле Полоцк в результате бомбардировкивозникло 6 очагов пожара, сопровождавшегося сильными взрывами.</w:t>
      </w:r>
    </w:p>
    <w:p w14:paraId="2F16ED7D"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Карельского фронта развивали успешное наступление. Части Н-скогосоединения, продвигаясь вдоль железной дороги на юг, овладели городом Кондопога. Другие наши части, наступающие вдоль берега Онежского озера, нанесли врагу удар с юга. Одновременно на побережье озера близ Петрозаводска был высажен десант Онежской военной флотилии. Развивая стремительное наступление, советские войска заняли столицу Карело-Финской ССР город Петрозаводск. Враг понёс большие потери.Только на одном участке уничтожено до 3 тысяч финских солдат и офицеров и захвачено 32 орудия, 79 складов с вооружением, боеприпасами и продовольствием. Советские бойцы освободили 30 тысяч мирных жителей, томившихся в финских концентрационных лагерях в городе Петрозаводске.</w:t>
      </w:r>
    </w:p>
    <w:p w14:paraId="1DA19D65"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Полоцком направлении противник, используя удобную для обороны лесисто-болотистую местность, изобилующую озёрами и реками, оказывал упорное сопротивление. Ожесточённые бои произошли на рубеже реки Ушача. Немцы построили здесь полосу обороны и пытались на этом участке задержать продвижение советских войск. Части Н-ского соединения разгромили противника и заняли узел грунтовых дорог и опорный пункт немцев Ушачи. Наши подвижные группы переправились через реку, стремительно продвинулись вперёд, перерезали железную дорогу Полоцк —Молодечно и заняли районный центр Витебской области Ветрино.</w:t>
      </w:r>
    </w:p>
    <w:p w14:paraId="5C1FDC05"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Минском направлении наши войска преследуют по пятам отступающего в беспорядке противника, не давая ему возможности закрепиться на промежуточных рубежах. Советские танкиста и кавалеристы настигли на Минском шоссе и разгромили большую автоколонну немцев. На протяжении нескольких десятков километров дорога завалена разбитыми орудиями, автомашинами и трупами гитлеровцев. Захвачено свыше 2.000 автомашин с грузами.</w:t>
      </w:r>
    </w:p>
    <w:p w14:paraId="4D488BB9"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Белорусского фронта стремительной атакой с трёх сторон ворвались в Бобруйск и в результате ожесточённых уличных боёв очистили город от немецко-фашистских захватчиков. Немецкие войска, окружённые в районе Бобруйска, предприняли яростные, но безуспешные попытки вырваться из «котла». Под ударами советских частей противник откатывался назад, устилая поле боя тысячами убитых солдат и офицеров. Сегодня наши войска полностью ликвидировали окружённую вражескую группировку. Взято в плен 18.000 немецких солдат и офицеров. Захвачены большие трофеи.</w:t>
      </w:r>
    </w:p>
    <w:p w14:paraId="7325253A"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Авиация Северного флота нанесла удар по порту Киркенес (Северная Норвегия). В результате прямых попаданий бомб потоплено три транспорта общим водоизмещением в 20 тысяч тонн. Кроме того, три транспорта получили серьёзные повреждения. На территории порта возникли большие пожары и произошли сильные взрывы. Другие группы наших самолётов атаковали суда противника, следовавшие в порт Петсамо. Два транспорта загорелись. Вскоре один из них взорвался и затонул. В воздушных боях сбито 11 немецких самолётов.</w:t>
      </w:r>
    </w:p>
    <w:p w14:paraId="731206EC"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Несколько партизанских отрядов, действующих в Пинской области, за месяц пустили под откос 32 вражеских эшелона. Разбито 26 паровозов и более 150 вагонов и платформ. В боях против немецко-фашистских захватчиков советские патриоты истребили 640 и ранили более 200 немецких солдат и офицеров.»</w:t>
      </w:r>
    </w:p>
    <w:p w14:paraId="15A07875"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Потери противника и трофеи войск 3-го Белорусского и 1-го Прибалтийского фронтов за время наступательных боев с 23 по 27 июня сего года.</w:t>
      </w:r>
    </w:p>
    <w:p w14:paraId="4839E98F"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3-го Белорусского фронта под командованием генерала армии Черняховского, в результате наступательных боёв, проведённых с 23 по 27 июня сего года, нанесли противнику следующие потери в живой силе и технике:</w:t>
      </w:r>
    </w:p>
    <w:p w14:paraId="70C1F09B"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Уничтожено: танков и самоходных орудий — 126, орудий разных калибров — 796,миномётов — 290, пулемётов — 2.852, автомашин — 1.840. Противник оставил на поле боя более 32.000 трупов своих солдат и офицеров.</w:t>
      </w:r>
    </w:p>
    <w:p w14:paraId="5B386C75"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это же время войска 3-го Белорусского фронта захватили следующие трофеи: танков — 36, самоходных орудий — 33, орудий разных калибров — 652, миномётов —514, пулемётов— 1.774, винтовок и автоматов—13.380, радиостанций—163, автомашин— 3.300, тягачей — 25, паровозов — 32, вагонов — 1.540, лошадей — 2.266, складов с боеприпасами, вооружением, снаряжением и продовольствием — 225.</w:t>
      </w:r>
    </w:p>
    <w:p w14:paraId="1EA5B1FA"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Взято в плен более 20.000 немецких солдат и свыше трёхсот офицеров, в том числе командир 53-го армейского корпуса генерал от инфантерии Голльвйтцер, командир 206-й пехотной дивизии генерал-лейтенант Хиттер и начальник штаба 53 армейского корпуса полковник Шмидт.</w:t>
      </w:r>
    </w:p>
    <w:p w14:paraId="55A985C2"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общие потери немцев по главным видам боевой техники и живой силе за пять дней наступательных боёв 3-го Белорусского фронта составляют: пленными и убитыми — 52.000 человек, танков и самоходных орудий—195, орудий разного калибра—1.448, миномётов — 804, пулемётов — 4.626, автомашин —5.140.</w:t>
      </w:r>
    </w:p>
    <w:p w14:paraId="637D3752"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Прибалтийского фронта, под командованием генерала армии Баграмяна, в результате наступательных боев, проведенных с 23 по 27 июня сего года, нанесли противнику следующие потери в живой силе и технике:</w:t>
      </w:r>
    </w:p>
    <w:p w14:paraId="55C02871"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Уничтожено: танков и самоходных орудий — 269, орудий разного калибра — 252, миномётов — 170, пулемётов — 1.009, автомашин — 1.026. Противник потерял только убитыми более 20.000 солдат и офицеров.</w:t>
      </w:r>
    </w:p>
    <w:p w14:paraId="47DC6738"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это же время войска 1-го Прибалтийского фронта захватили следующие трофеи: танков — 31, орудий разного калибра — 374, миномётов — 156, пулемётов — 1.093, винтовок и автоматов — 10.565, противотанковых ружей — 137, автомашин — 1.424, паровозов — 9, железнодорожных вагонов и платформ — 30, лошадей — 595, складов с боеприпасами, вооружением, снаряжением и продовольствием — 225.</w:t>
      </w:r>
    </w:p>
    <w:p w14:paraId="6D70A5F5"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Взято в плен более 5.000 немецких солдат и офицеров.</w:t>
      </w:r>
    </w:p>
    <w:p w14:paraId="159BA74F"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общие потери немцев по главным видам боевой техники и живой силе за время наступательных боёв 1-го Прибалтийского фронта составляют: пленными и убитыми — 25.000 человек, танков и самоходных орудий — 300, орудий разного калибра — 626, миномётов—326, пулемётов — 2.102, автомашин — 2.450.</w:t>
      </w:r>
    </w:p>
    <w:p w14:paraId="0F6E4C8E"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итоге наступательных боёв, проведённых в тесном взаимодействии двух фронтов— 3-го Белорусского и 1-го Прибалтийского — и завершившихся окружением и уничтожением витебской группировки противника и освобождением города Витебск, потери немцев по главным видам боевой техники и живой силе составляют: пленнымии убитыми — 77.000 человек, танков и самоходных орудий — 495, орудий разных калибров — 2.074, миномётов — 1.130, пулемётов — 6.728, автомашин —7.590.» (14937).</w:t>
      </w:r>
    </w:p>
    <w:p w14:paraId="157BA8AC" w14:textId="77777777" w:rsidR="00B049B7" w:rsidRPr="00070ADE" w:rsidRDefault="00B049B7" w:rsidP="00B56F90">
      <w:pPr>
        <w:spacing w:after="0" w:line="240" w:lineRule="auto"/>
        <w:jc w:val="both"/>
        <w:rPr>
          <w:rFonts w:ascii="Times New Roman" w:hAnsi="Times New Roman"/>
          <w:color w:val="000000" w:themeColor="text1"/>
          <w:sz w:val="16"/>
          <w:szCs w:val="16"/>
        </w:rPr>
      </w:pPr>
    </w:p>
    <w:p w14:paraId="44029418"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29 июня</w:t>
      </w:r>
      <w:r w:rsidRPr="00070ADE">
        <w:rPr>
          <w:rFonts w:ascii="Times New Roman" w:hAnsi="Times New Roman"/>
          <w:color w:val="000000" w:themeColor="text1"/>
          <w:sz w:val="16"/>
          <w:szCs w:val="16"/>
        </w:rPr>
        <w:t xml:space="preserve"> в 1944 году закончилась Бобруйская операция: войска 1-го Белорусcкого фронта завершили ликвидацию окруженной в районе Бобруйска группировки противника и освободили города Бобруйск. За отличия в боях 20 частей и соединений удостоены почетных наименований. Началась Полоцкая наступательная операция войск 1-го Прибалтийского фонта. (4-я Ударная, 6-я гвардейская и 43-я армия, 3-я воздушная армия), продолжавшаяся до 4 июля.</w:t>
      </w:r>
    </w:p>
    <w:p w14:paraId="31F82CBE"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Началась Минская наступательная операция войск 3-го (11-я гвардейская, 39, 5 и 31-я армии, 5-я гвардейская танковая армия, конно-механизированная группа, 2-й гвардейский танковый корпус при поддержке 1-й воздушной армии), 2-го (33, 49 и 50-я армии при поддержке 4-й воздушной армии) и 1-го (3, 48, 65, 28, 61, 69, 70, 47 и 8-я гвардейские армии, 2-я танковая армия, конно-механизированная группа, 9 истребительный и 1-й гвардейский танковый корпус 2-й и 7-й гвардейский кавалерийский корпус, 1-я армия Войска Польского при содействии 6-й и 16-й воздушной армии) Белорусского фронта при содействии войск 1-го Прибалтийского фронта (4-я Ударная, 6-я гвардейская и 43-я армии, 1-й танковый корпус при содействии 3-й воздушной армии), продолжавшаяся до 4 июля (14937).</w:t>
      </w:r>
    </w:p>
    <w:p w14:paraId="18D94E91" w14:textId="77777777" w:rsidR="00B049B7" w:rsidRPr="00070ADE" w:rsidRDefault="00B049B7" w:rsidP="00B56F90">
      <w:pPr>
        <w:spacing w:after="0" w:line="240" w:lineRule="auto"/>
        <w:jc w:val="both"/>
        <w:rPr>
          <w:rFonts w:ascii="Times New Roman" w:hAnsi="Times New Roman"/>
          <w:color w:val="000000" w:themeColor="text1"/>
          <w:sz w:val="16"/>
          <w:szCs w:val="16"/>
        </w:rPr>
      </w:pPr>
    </w:p>
    <w:p w14:paraId="63A7C679"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lastRenderedPageBreak/>
        <w:t>29 июня</w:t>
      </w:r>
      <w:r w:rsidRPr="00070ADE">
        <w:rPr>
          <w:rFonts w:ascii="Times New Roman" w:hAnsi="Times New Roman"/>
          <w:color w:val="000000" w:themeColor="text1"/>
          <w:sz w:val="16"/>
          <w:szCs w:val="16"/>
        </w:rPr>
        <w:t xml:space="preserve"> в 1944 году войска Карельского фронта в результате глубокого обходного маневра га окружение с высадкой десанта на западном побережье Онежского озера освободили от немецко-финских захватчиков столицу Карело-Финской ССР город Петрозаводск, заняли город и железнодорожную станцию Кондопога, очистив тем самым от противника Кировскую (Мурманскую) железную дорогу на всем ее протяжении. Продолжая развивать наступление к западу и югу от города Медвежьегорск, между Онежским и Ладожским озерами, войска фронта заняли населенные пункты Евгора, 2-я Кумса, Мяндусельга, Палая Ламба, Верхняя и Нижняя Деревянная, Афанасьева-Гора, Пуску-Сельга, Чимойла, Киму-Сельга. На Полоцком направлении наши войска овладели районными центрами Витебской области городом Ушачи, Ветрино, а также заняли более 150 других населенных пунктов, в том числе крупные населенные пункты Лысая, Валющина, Островляне, Туржец 1-й и 2-й, Воронеч, Орехово, Кубличи и железнодорожная станция Ветрино. Наши войска перерезали железную дорогу Полоцк — Молодечно. На Минском направлении наши войска с боями вышли к реке Березина севернее города Борисов на участке протяжением 60 километров, заняв при этом более 200 населенных пунктов, в числе которых крупные населенные пункты Рожно, Домжерицы, Переходцы, Бараны, Крацевичи, Холхолец, Кищино-Слобода, Бытча, Житьково, Млехово, Мужанка. К западу от города Могилев наши войска продвинулись вперед до 35 километров и заняли более 500 населенных пунктов, среди которых районный центр Могилевской области город Белыничи, крупные населенные пункты Тетерин, Головчин, Олешковичи, Осовец, Калиновка, Техтин, Большие Белевичи, Количенко, Золотва, Городец, Долгое и железнодорожные станции Вендриж, Семуковичи. На ряде участков наши войска форсировали реку Друть. Войска 1-го Белорусского фронта 29 июня штурмом овладели городом и крупной железнодорожной станцией Бобруйск, а также с боями заняли более 200 других населенных пунктов, в том числе крупные населенные пункты Свислочь, Октябрь, Ясень, Дараганово, Мезовичи, Кринка, Солон, Макаричи, Гостино, Зеленьки, Заболотье и железнодорожные станции Ясень, Татарка, Деревцы, Дараганово. Наши войска завершили ликвидацию окруженной в районе Бобруйска группировки немцев. При ликвидации окруженной группировки противника наши войска уничтожили более 16 000 немецких солдат и офицеров и вязли в плен 18 000 немецких солдат и офицеров.</w:t>
      </w:r>
    </w:p>
    <w:p w14:paraId="3675F9D5"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без существенных изменений (14937).</w:t>
      </w:r>
    </w:p>
    <w:p w14:paraId="66FE2D1A" w14:textId="77777777" w:rsidR="00B049B7" w:rsidRPr="00070ADE" w:rsidRDefault="00B049B7" w:rsidP="00B56F90">
      <w:pPr>
        <w:spacing w:after="0" w:line="240" w:lineRule="auto"/>
        <w:jc w:val="both"/>
        <w:rPr>
          <w:rFonts w:ascii="Times New Roman" w:hAnsi="Times New Roman"/>
          <w:color w:val="000000" w:themeColor="text1"/>
          <w:sz w:val="16"/>
          <w:szCs w:val="16"/>
        </w:rPr>
      </w:pPr>
    </w:p>
    <w:p w14:paraId="40153E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части 230-й шад генерала Гетьмана для разведки с попутным нанесением бомбоштурмовых ударов по обнаруженным отступающим немецким войскам в период 5.56-6.05 выпустила три четверки Ил-2 от 7-го гшап (ведущие капитаны Остапенко и Карабут и ст. лейтенант Демаков). Каждая группа штурмовиков прикрывалась четверкой Ла-5 от 229-й иад.</w:t>
      </w:r>
    </w:p>
    <w:p w14:paraId="0A1137F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Подлетая к району Белыничи, экипажи наблюдали на шоссе от Белыничи на запад сплошное движение автомашин, подвод, артиллерии на механической и конной тяге. Особенно большое скопление техники противника летчики обнаружили на участке шоссе Заболотье-Василевшина. Голова всей колонны подходила к Погосту. Позже, дешифрирование фотоснимков показало, что на участке дороги Белыничи-Погост двигалось до 600 единиц транспорта. Все мосты через реки, пересекающие шоссе на этом участке, а также насыпи через болотистые места были исправны. Движения по прилегающим к шоссе дорогам и параллельным ему замечено не было.</w:t>
      </w:r>
    </w:p>
    <w:p w14:paraId="519D4B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Штурмовики нанесли бомбоштурмовой удар по наибольшему скоплению немецких войск в районе Василевщина-Заболотье. Атака целей проводилась в нескольких заходах.</w:t>
      </w:r>
    </w:p>
    <w:p w14:paraId="1A5B24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Поданным разведчиков в9.14-9.16 были выпущены на эту же цель еще две четверки Ил-2 от 7-го гшап (ведущие капитан Демидов и майор Рябов).</w:t>
      </w:r>
    </w:p>
    <w:p w14:paraId="35A13E3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Груда железа осталась после налёта штурмовиков Ил-2. 1-й Белорусский фронт, июль 1944 г.</w:t>
      </w:r>
    </w:p>
    <w:p w14:paraId="05DCDCB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Дальнейший выпуск групп, в составе по 4-5 Ил-2 каждая от других полков дивизии, производился через каждые 8-20 минут и продолжался непрерывно до 20.30. Ввиду почти полного отсутствия истребителей противника прикрытие штурмовиков строилось из расчета одна пара истребителей на группу Ил-2.</w:t>
      </w:r>
    </w:p>
    <w:p w14:paraId="050B06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период с 11.30 до 15.00 штурмовики дивизии разрушили все мосты на шоссе Белыничи-Березино. Движение автотранспорта на этом участке фактически прекратилось. Почин в уничтожении мостов принадлежит четверке капитана Карабута, которая нанесла точнейший удар по мосту в районе Запо- лотье и скоплению автомашин возле него.</w:t>
      </w:r>
    </w:p>
    <w:p w14:paraId="13038B0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Начиная со второй половины дня, немцы были вынуждены двигаться по проселочным дорогам с песчаным грунтом. Скорость колонн резко уменьшилась, вследствие чего создавались еще более благоприятные условия для нанесения по ним бомбоштурмовых ударов. Всего же в течение дня на боевое задание вылетало 40 групп Ил-2.</w:t>
      </w:r>
    </w:p>
    <w:p w14:paraId="09F93A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 специальной комиссии по определению эффективности действий 230-й шад с выездом на места ударов показала, что штурмовиками в течение дня было уничтожено свыше 100 автомашин, шесть танков и т.д. Кроме этого, только на 2-х километровом участке минского шоссе в 1,5 км северо- восточнее Погоста комиссией было обнаружено до 500 единиц брошенной боевой техники.</w:t>
      </w:r>
    </w:p>
    <w:p w14:paraId="39527BB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Разбитые и деморализованные немецкие войска под непрерывными ударами советской авиации не смогли своевременно занять оборону по выгодному рубежу, каковым являлась р. Березина. Пока они с большим трудом преодолевали расстояние до Березины, войска соседних фронтов оказались уже в их тылу. 3 июля был освобожден Минск, а восточнее его в окружении оказалась 100-тысячная группировка противника.</w:t>
      </w:r>
    </w:p>
    <w:p w14:paraId="2C618EE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Разгром немецких войск в районе Бобруйска и Минска привел к образованию в обороне группы армий "Центр" огромной бреши. Исходя из этого, 4 июля Ставка приказала войскам правого крыла 1-го Белорусского фронта продолжать наступление на Барановичи, Брест и захватить плацдармы на западном берегу реки Западный Буг. 8 июля, сломив упорное сопротивление врага, войска фронта при поддержке авиации овладели укрепленным районом и городом Барановичи, а 10 июля освободили Слоним (12020).</w:t>
      </w:r>
    </w:p>
    <w:p w14:paraId="35B4D3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51CA81D"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войска 1-го Белорусского фронта завершили Бобруйскую наступательную операцию. В ходе операции была окружена и ликвидирована немецко-фашистская групировка численностью около 40 тыс. человек (4963 ).</w:t>
      </w:r>
    </w:p>
    <w:p w14:paraId="676A55DF"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6D373B"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советские войска освободили Бобруйск (4962).</w:t>
      </w:r>
    </w:p>
    <w:p w14:paraId="79ECCFDC"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EF2D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29th, 1944: In the East, German troops of Heeresgruppe Mitte (Busch) encircled near Bobruisk surrender to the Red Army (70,000 prisoners). In the West, Cherbourg is captured by the US VII Corps (Collins) (3819).</w:t>
      </w:r>
    </w:p>
    <w:p w14:paraId="4EBDB7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F3DCC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1БФ захватил Бобруйск (340,173).</w:t>
      </w:r>
    </w:p>
    <w:p w14:paraId="60EBC4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DAFD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нюня 1944 г. основной поток отходящих немецких войск на Березину нa участке Белыничи-Березино минской автострады проходил сплошными колоннами в 2-3 ряда. Этот участок дороги, протяжением всего 52 км. пересекался пятью небольшими реками, через которые были построены деревянные мосты. Кроме этого, до 90°о всего участка дороги проходило в лесах. а в районе Заболотье на протяжении 8 км дорога проходила просто через болото.</w:t>
      </w:r>
    </w:p>
    <w:p w14:paraId="1F34A1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 есть во время ударов Ил-2 колонны противника совершенно не имели возможности рассредоточиться. "Илы" же, создав на дорогах пробки, непрерывным "висением" над остановившимися колоннами добивались максимального успеха.</w:t>
      </w:r>
    </w:p>
    <w:p w14:paraId="412986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Работа специальной комиссии по определению эффективности боевых действий полков 230 шад 29 июня на участках дороги Белыничи-Погост. Белыничи-Березино и Василевщина-Заболотье с выездом на места боев показала, что штурмовиками в течение дня было уничтожено и повреждено свыше 100 автомашин, б танков, около двух десятков орудий, и т.д. Помимо этого, вследствие созданных "Илами" пробок и заторов, немцы были вынуждены бросить на дорогах значительное количество боевой техники. Например, только на 2-х километровом участке минского шоссе в 1,5 км северо-восточнее Погоста комиссией было обнаружено до 500 брошенных и разбитых автомашин (8687).</w:t>
      </w:r>
    </w:p>
    <w:p w14:paraId="7126A86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17E131"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советские войска начали Полоцкую и Минскую наступательные операции (4962).</w:t>
      </w:r>
    </w:p>
    <w:p w14:paraId="76270A36"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BFABB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29 июня по 4 июля 1944 была Полоцкая операция по уничтожению полоцкой группировки. Разбили 6 дивизий и продвинулись на 110 км (2443,31).</w:t>
      </w:r>
    </w:p>
    <w:p w14:paraId="1E2C175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88992F" w14:textId="150E9F02"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года вышло постановление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789, в котором говорилось, что «порочная практика заочного рассмотрения дел военными трибуналами ослабляет борьбу с дезертирством, подрывает авторитет судебного приговора, 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 осужденные остаются фактически безнаказанными». Отныне дела на дезертиров с производства следовало передавать в военные трибуналы только после розыска обвиняемых. А еще через два дня прокурор СССР К. П. Горшенин издал приказ «Об усилении борьбы с дезертирством с предприятий военной промышленности», в котором потребовал усилить розыск беглецов, а должностных лиц, принимавших их на работу, судить по статье 11 УК «Бездействие власти». [402 — Сомов В. А. Указ. соч., с. 58.] (11741).</w:t>
      </w:r>
    </w:p>
    <w:p w14:paraId="3F6970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0CA7F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3F94E96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C9F3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Подписано соглашение между Великобритании, США и СССР о совместной оккупации Австрии (в границах на 31.12.1937 г) (7444).</w:t>
      </w:r>
    </w:p>
    <w:p w14:paraId="3493FC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0BC6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4A897C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7F474B"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lastRenderedPageBreak/>
        <w:t>29 июня</w:t>
      </w:r>
      <w:r w:rsidRPr="00070ADE">
        <w:rPr>
          <w:rFonts w:ascii="Times New Roman" w:hAnsi="Times New Roman"/>
          <w:color w:val="000000" w:themeColor="text1"/>
          <w:sz w:val="16"/>
          <w:szCs w:val="16"/>
        </w:rPr>
        <w:t xml:space="preserve"> в 1944 году совершил первый полет прототип </w:t>
      </w:r>
      <w:hyperlink r:id="rId185" w:tgtFrame="_blank" w:history="1">
        <w:r w:rsidRPr="00070ADE">
          <w:rPr>
            <w:rFonts w:ascii="Times New Roman" w:hAnsi="Times New Roman"/>
            <w:color w:val="000000" w:themeColor="text1"/>
            <w:sz w:val="16"/>
            <w:szCs w:val="16"/>
          </w:rPr>
          <w:t xml:space="preserve">«Do-335V9». </w:t>
        </w:r>
      </w:hyperlink>
      <w:r w:rsidRPr="00070ADE">
        <w:rPr>
          <w:rFonts w:ascii="Times New Roman" w:hAnsi="Times New Roman"/>
          <w:color w:val="000000" w:themeColor="text1"/>
          <w:sz w:val="16"/>
          <w:szCs w:val="16"/>
        </w:rPr>
        <w:t>Управлял самолетом Квенцлер. «Do-355V9» (CP+UI, W.Nr. 230009) был последним прототипом перед началом серийного производства. От своих предшественников самолет отличался усиленным шасси, а также рядом усиленных деталей внутренней конструкции. Кроме того, в конструкции самолета учли опыт испытаний предыдущих прототипов. Девятый прототип служил образцом для модификации истребителя-бомбардировщика «Do-335A-0/A-1» (14937).</w:t>
      </w:r>
    </w:p>
    <w:p w14:paraId="08DEC611" w14:textId="77777777" w:rsidR="00B049B7" w:rsidRPr="00070ADE" w:rsidRDefault="00B049B7" w:rsidP="00B56F90">
      <w:pPr>
        <w:spacing w:after="0" w:line="240" w:lineRule="auto"/>
        <w:jc w:val="both"/>
        <w:rPr>
          <w:rFonts w:ascii="Times New Roman" w:hAnsi="Times New Roman"/>
          <w:color w:val="000000" w:themeColor="text1"/>
          <w:sz w:val="16"/>
          <w:szCs w:val="16"/>
        </w:rPr>
      </w:pPr>
    </w:p>
    <w:p w14:paraId="6561280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в бункере Берхтесгадена Гитлер не позволил своим командующим доложить ситуацию на фронте, сведя все к обещаниям решения вопроса ударами ФАУ (4962).</w:t>
      </w:r>
    </w:p>
    <w:p w14:paraId="5B499B0A"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CDAA32"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шесть министров правительства Финляндии подали в отставку в связи с намерением премьера продолжать войну против СССР (4962).</w:t>
      </w:r>
    </w:p>
    <w:p w14:paraId="3A0718A8" w14:textId="77777777" w:rsidR="00595BFB" w:rsidRPr="00070ADE" w:rsidRDefault="00595BFB" w:rsidP="00B56F90">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49AC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7К США (Коллинз) взял Шербур (3819).</w:t>
      </w:r>
    </w:p>
    <w:p w14:paraId="4E6642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5C301B" w14:textId="77777777" w:rsidR="00AC1099" w:rsidRPr="00070ADE" w:rsidRDefault="00AC10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года потоплен Ryusei Maru, 4998 погибших (20190).</w:t>
      </w:r>
    </w:p>
    <w:p w14:paraId="3AAE477D" w14:textId="77777777" w:rsidR="00AC1099" w:rsidRPr="00070ADE" w:rsidRDefault="00AC1099" w:rsidP="00B56F90">
      <w:pPr>
        <w:spacing w:after="0" w:line="240" w:lineRule="auto"/>
        <w:jc w:val="both"/>
        <w:rPr>
          <w:rFonts w:ascii="Times New Roman" w:hAnsi="Times New Roman"/>
          <w:color w:val="000000" w:themeColor="text1"/>
          <w:sz w:val="16"/>
          <w:szCs w:val="16"/>
        </w:rPr>
      </w:pPr>
    </w:p>
    <w:p w14:paraId="4AF94B6B" w14:textId="77777777" w:rsidR="00AC1099" w:rsidRPr="00070ADE" w:rsidRDefault="00AC10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29 июня 1944 года потоплен Toyama Maru, около 5600 погибших (20190).</w:t>
      </w:r>
    </w:p>
    <w:p w14:paraId="58CF2CE0" w14:textId="77777777" w:rsidR="00AC1099" w:rsidRPr="00070ADE" w:rsidRDefault="00AC1099" w:rsidP="00B56F90">
      <w:pPr>
        <w:spacing w:after="0" w:line="240" w:lineRule="auto"/>
        <w:jc w:val="both"/>
        <w:rPr>
          <w:rFonts w:ascii="Times New Roman" w:hAnsi="Times New Roman"/>
          <w:color w:val="000000" w:themeColor="text1"/>
          <w:sz w:val="16"/>
          <w:szCs w:val="16"/>
        </w:rPr>
      </w:pPr>
    </w:p>
    <w:p w14:paraId="4416E1F8"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CE7CBD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850F9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июня 1944 Нач. НИИАВ ВВС г-миас М. Гуревич утвердил Отчет N 225 о повторных гос. испытаниях синхронной установки 3х УБ-20 калибра 20 мм на Ла-7 в НИИ АВ.</w:t>
      </w:r>
    </w:p>
    <w:p w14:paraId="42B4DF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отд. НИИ АВ ВВС</w:t>
      </w:r>
    </w:p>
    <w:p w14:paraId="2FF175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 Исп. - м В.М.Суязов</w:t>
      </w:r>
    </w:p>
    <w:p w14:paraId="5D43CE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 м И.А.Добросконин</w:t>
      </w:r>
    </w:p>
    <w:p w14:paraId="0D5D3E9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ви по с-ту от ОКБ-21 В.П.Горлышев</w:t>
      </w:r>
    </w:p>
    <w:p w14:paraId="4D37A62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Было 5 полетов.</w:t>
      </w:r>
    </w:p>
    <w:p w14:paraId="6AED60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Заключение: </w:t>
      </w:r>
    </w:p>
    <w:p w14:paraId="2FA6D13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Синхронная установка 3х УБ-20 калибра 20 мм на Ла-7, предъявленная ОКБ-21 на гос. Летные испытания испытаний не выдержала (выбрасываемые гильзы попадали на стабилизатор и повреждали, пушки работали ненадежно (750,2).</w:t>
      </w:r>
    </w:p>
    <w:p w14:paraId="2DB50E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02F0E4" w14:textId="77777777" w:rsidR="00A90D76" w:rsidRPr="001A0BAA" w:rsidRDefault="00A90D76" w:rsidP="00A90D7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30 июня 1944 г. неудачей завершились стрельбовые испытания Ла-7, вооруженного тремя пушками Б-20 в НИИ ВВС— выброшенная стреляная гильза повредила стабилизатор самолета. Тем не менее, трехпушечный вариант рекомендовали к запуску в серийное производство приказом ГКО № 6681 от 10 октября 1944 г. Оружейный завод в Коврове немедленно приступил к выпуску пушек Б-20. Дальнейшие испытания проводились на самолете с заводским номером 38100358 с 25 января по 7 февраля 1945 г. и, также как и предыдущие, завершились неудачно. Завод № 381 изготовил 381 истребитель Ла-7, вооруженный тремя пушками Б-20 (25058).</w:t>
      </w:r>
    </w:p>
    <w:p w14:paraId="23E04B39" w14:textId="77777777" w:rsidR="00A90D76" w:rsidRPr="001A0BAA" w:rsidRDefault="00A90D76" w:rsidP="00A90D76">
      <w:pPr>
        <w:spacing w:after="0" w:line="240" w:lineRule="auto"/>
        <w:jc w:val="both"/>
        <w:rPr>
          <w:rFonts w:ascii="Times New Roman" w:hAnsi="Times New Roman"/>
          <w:color w:val="0070C0"/>
          <w:sz w:val="16"/>
          <w:szCs w:val="16"/>
        </w:rPr>
      </w:pPr>
    </w:p>
    <w:p w14:paraId="1607EC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30 июня по 30 июля 1944 ТИС (МА) Н.Н.П. ремонтировался на заводе № 51, но испытания возобновились в ЛИИ только 14 августа 1944 (10535,34).</w:t>
      </w:r>
    </w:p>
    <w:p w14:paraId="490DCD1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825E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30 июня по 30 июля 1944 ТИС (МА) находился в ремонте. 14 августа летные испытания возоб</w:t>
      </w:r>
      <w:r w:rsidRPr="00070ADE">
        <w:rPr>
          <w:rFonts w:ascii="Times New Roman" w:hAnsi="Times New Roman"/>
          <w:color w:val="000000" w:themeColor="text1"/>
          <w:sz w:val="16"/>
          <w:szCs w:val="16"/>
        </w:rPr>
        <w:softHyphen/>
        <w:t>новились в ЛИИ НКАП и продолжались по 16 сентября. ТИС (МА) развивал максимальную скорость у земли 514 км/ч, на высоте 1660 м - 535 км/ч. Летные характе</w:t>
      </w:r>
      <w:r w:rsidRPr="00070ADE">
        <w:rPr>
          <w:rFonts w:ascii="Times New Roman" w:hAnsi="Times New Roman"/>
          <w:color w:val="000000" w:themeColor="text1"/>
          <w:sz w:val="16"/>
          <w:szCs w:val="16"/>
        </w:rPr>
        <w:softHyphen/>
        <w:t>ристики самолета практически не отличались от расчет</w:t>
      </w:r>
      <w:r w:rsidRPr="00070ADE">
        <w:rPr>
          <w:rFonts w:ascii="Times New Roman" w:hAnsi="Times New Roman"/>
          <w:color w:val="000000" w:themeColor="text1"/>
          <w:sz w:val="16"/>
          <w:szCs w:val="16"/>
        </w:rPr>
        <w:softHyphen/>
        <w:t>ных, а это позволяло надеяться, что с двигателями АМ-39А летные характеристики ТИС (МА) также будут соответствовать расчетным (максимальная скорость -650 км/ч на высоте 7150 м, время подъема на высоту 5000 м - 6,4 мин). В выводах по испытаниям подчеркивалось, что «по технике пилотирования и взлетно-посадочным свойст</w:t>
      </w:r>
      <w:r w:rsidRPr="00070ADE">
        <w:rPr>
          <w:rFonts w:ascii="Times New Roman" w:hAnsi="Times New Roman"/>
          <w:color w:val="000000" w:themeColor="text1"/>
          <w:sz w:val="16"/>
          <w:szCs w:val="16"/>
        </w:rPr>
        <w:softHyphen/>
        <w:t>вам самолет доступен для летчика средней квалифика</w:t>
      </w:r>
      <w:r w:rsidRPr="00070ADE">
        <w:rPr>
          <w:rFonts w:ascii="Times New Roman" w:hAnsi="Times New Roman"/>
          <w:color w:val="000000" w:themeColor="text1"/>
          <w:sz w:val="16"/>
          <w:szCs w:val="16"/>
        </w:rPr>
        <w:softHyphen/>
        <w:t>ции». Вопрос о постройке серии не возникал. Объяснялось это тем, что дальних бомбардировщиков Пе-8 (ТБ-7), для сопровождения которых предназначался ТИС, вы</w:t>
      </w:r>
      <w:r w:rsidRPr="00070ADE">
        <w:rPr>
          <w:rFonts w:ascii="Times New Roman" w:hAnsi="Times New Roman"/>
          <w:color w:val="000000" w:themeColor="text1"/>
          <w:sz w:val="16"/>
          <w:szCs w:val="16"/>
        </w:rPr>
        <w:softHyphen/>
        <w:t>пустили всего 79 экземпляров. Применялись они мел</w:t>
      </w:r>
      <w:r w:rsidRPr="00070ADE">
        <w:rPr>
          <w:rFonts w:ascii="Times New Roman" w:hAnsi="Times New Roman"/>
          <w:color w:val="000000" w:themeColor="text1"/>
          <w:sz w:val="16"/>
          <w:szCs w:val="16"/>
        </w:rPr>
        <w:softHyphen/>
        <w:t>кими группами, ночью. В этих условиях большой необходимости в постройке специализированных ис</w:t>
      </w:r>
      <w:r w:rsidRPr="00070ADE">
        <w:rPr>
          <w:rFonts w:ascii="Times New Roman" w:hAnsi="Times New Roman"/>
          <w:color w:val="000000" w:themeColor="text1"/>
          <w:sz w:val="16"/>
          <w:szCs w:val="16"/>
        </w:rPr>
        <w:softHyphen/>
        <w:t>требителей сопровождения не было. Схема ТИС позволяла относительно просто превра</w:t>
      </w:r>
      <w:r w:rsidRPr="00070ADE">
        <w:rPr>
          <w:rFonts w:ascii="Times New Roman" w:hAnsi="Times New Roman"/>
          <w:color w:val="000000" w:themeColor="text1"/>
          <w:sz w:val="16"/>
          <w:szCs w:val="16"/>
        </w:rPr>
        <w:softHyphen/>
        <w:t>тить его в ночной истребитель-перехватчик, но в то вре</w:t>
      </w:r>
      <w:r w:rsidRPr="00070ADE">
        <w:rPr>
          <w:rFonts w:ascii="Times New Roman" w:hAnsi="Times New Roman"/>
          <w:color w:val="000000" w:themeColor="text1"/>
          <w:sz w:val="16"/>
          <w:szCs w:val="16"/>
        </w:rPr>
        <w:softHyphen/>
        <w:t>мя такой вариант не рассматривался. Конструктивно ТИС представлял собой моноплан цельнометаллической конструкции с разнесенным вер</w:t>
      </w:r>
      <w:r w:rsidRPr="00070ADE">
        <w:rPr>
          <w:rFonts w:ascii="Times New Roman" w:hAnsi="Times New Roman"/>
          <w:color w:val="000000" w:themeColor="text1"/>
          <w:sz w:val="16"/>
          <w:szCs w:val="16"/>
        </w:rPr>
        <w:softHyphen/>
        <w:t>тикальным оперением и взлетным весом 8000-8300 кг. Войти в кабину можно было через нижний люк-лестни</w:t>
      </w:r>
      <w:r w:rsidRPr="00070ADE">
        <w:rPr>
          <w:rFonts w:ascii="Times New Roman" w:hAnsi="Times New Roman"/>
          <w:color w:val="000000" w:themeColor="text1"/>
          <w:sz w:val="16"/>
          <w:szCs w:val="16"/>
        </w:rPr>
        <w:softHyphen/>
        <w:t>цу. В воздухе люк можно было сбросить из любой каби</w:t>
      </w:r>
      <w:r w:rsidRPr="00070ADE">
        <w:rPr>
          <w:rFonts w:ascii="Times New Roman" w:hAnsi="Times New Roman"/>
          <w:color w:val="000000" w:themeColor="text1"/>
          <w:sz w:val="16"/>
          <w:szCs w:val="16"/>
        </w:rPr>
        <w:softHyphen/>
        <w:t>ны. Крыло имело размах 15,5 м. Шасси убиралось пневмоприводом. Вооружение ТИС (А) состояло из че</w:t>
      </w:r>
      <w:r w:rsidRPr="00070ADE">
        <w:rPr>
          <w:rFonts w:ascii="Times New Roman" w:hAnsi="Times New Roman"/>
          <w:color w:val="000000" w:themeColor="text1"/>
          <w:sz w:val="16"/>
          <w:szCs w:val="16"/>
        </w:rPr>
        <w:softHyphen/>
        <w:t>тырех пулеметов ШКАС в носовой батарее, двух пушек ШВАК и двух пулеметов БС в центроплане. У стрелка-ра</w:t>
      </w:r>
      <w:r w:rsidRPr="00070ADE">
        <w:rPr>
          <w:rFonts w:ascii="Times New Roman" w:hAnsi="Times New Roman"/>
          <w:color w:val="000000" w:themeColor="text1"/>
          <w:sz w:val="16"/>
          <w:szCs w:val="16"/>
        </w:rPr>
        <w:softHyphen/>
        <w:t>диста находился один ШКАС на турели и один в люковой установке. Вооружение ТИС (МА) было мощнее: две пушки ШВАК в носовой батарее, две пушки 11П калибра 37 мм или две пушки 11Ш калибра 45 мм в центроплане, один пулемет УБТ у стрелка-радиста. Предусматривалась внешняя подвеска 1000 кг бомб. На самолете стояли мощное по тем временам навигационное оборудование, радиостанция, фотоаппаратура. Помимо своего основно</w:t>
      </w:r>
      <w:r w:rsidRPr="00070ADE">
        <w:rPr>
          <w:rFonts w:ascii="Times New Roman" w:hAnsi="Times New Roman"/>
          <w:color w:val="000000" w:themeColor="text1"/>
          <w:sz w:val="16"/>
          <w:szCs w:val="16"/>
        </w:rPr>
        <w:softHyphen/>
        <w:t>го назначения, ТИС мог использоваться как разведчик и штурмовик-бомбардировщик (10667).</w:t>
      </w:r>
    </w:p>
    <w:p w14:paraId="717E77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BEA8E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июня 1944 С.П.К. завершил подготовку «Предварительного аэродинамического расчета винтомоторного истребителя "Ла-5" с реактивной установкой с двигателем РД-1. Часть I. Определение основных летных характеристик при полетах ниже винтомоторного потолка» (Там же, № 110) (10676).</w:t>
      </w:r>
    </w:p>
    <w:p w14:paraId="7C61B5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B7AE4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июня 1944 вышло Распоряжение ГКО № 6120. О производстве улучшенной ткани для аэростатов заграждения. РГАНИР, Фонд ГКО, д. 266, лл. 250 (11012).</w:t>
      </w:r>
    </w:p>
    <w:p w14:paraId="449645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3F726A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B93059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49AC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июня 1944 г. была подготовлена записка В.Старовского Н.А.Вознесенскому, согласно которой, по дан</w:t>
      </w:r>
      <w:r w:rsidRPr="00070ADE">
        <w:rPr>
          <w:rFonts w:ascii="Times New Roman" w:hAnsi="Times New Roman"/>
          <w:color w:val="000000" w:themeColor="text1"/>
          <w:sz w:val="16"/>
          <w:szCs w:val="16"/>
        </w:rPr>
        <w:softHyphen/>
        <w:t>ным ЦСУ СССР, с 1940 г. по 1943 г. доля потребления в на</w:t>
      </w:r>
      <w:r w:rsidRPr="00070ADE">
        <w:rPr>
          <w:rFonts w:ascii="Times New Roman" w:hAnsi="Times New Roman"/>
          <w:color w:val="000000" w:themeColor="text1"/>
          <w:sz w:val="16"/>
          <w:szCs w:val="16"/>
        </w:rPr>
        <w:softHyphen/>
        <w:t>циональном доходе в фактических ценах увеличивается с 80% до 99%, а доля накопления, соответственно, сокращается с 20% до 1% /79/. По отношению к накоплению показатель 1943 г. явля</w:t>
      </w:r>
      <w:r w:rsidRPr="00070ADE">
        <w:rPr>
          <w:rFonts w:ascii="Times New Roman" w:hAnsi="Times New Roman"/>
          <w:color w:val="000000" w:themeColor="text1"/>
          <w:sz w:val="16"/>
          <w:szCs w:val="16"/>
        </w:rPr>
        <w:softHyphen/>
        <w:t>ется, по-видимому, самым низким за всю историю советской эко</w:t>
      </w:r>
      <w:r w:rsidRPr="00070ADE">
        <w:rPr>
          <w:rFonts w:ascii="Times New Roman" w:hAnsi="Times New Roman"/>
          <w:color w:val="000000" w:themeColor="text1"/>
          <w:sz w:val="16"/>
          <w:szCs w:val="16"/>
        </w:rPr>
        <w:softHyphen/>
        <w:t>номики. Между тем, в советской экономической литературе ут</w:t>
      </w:r>
      <w:r w:rsidRPr="00070ADE">
        <w:rPr>
          <w:rFonts w:ascii="Times New Roman" w:hAnsi="Times New Roman"/>
          <w:color w:val="000000" w:themeColor="text1"/>
          <w:sz w:val="16"/>
          <w:szCs w:val="16"/>
        </w:rPr>
        <w:softHyphen/>
        <w:t>верждается, что с 1943 г. по 1945 г. в СССР осуществлялось расширенное воспроизводство совокупного общественного про</w:t>
      </w:r>
      <w:r w:rsidRPr="00070ADE">
        <w:rPr>
          <w:rFonts w:ascii="Times New Roman" w:hAnsi="Times New Roman"/>
          <w:color w:val="000000" w:themeColor="text1"/>
          <w:sz w:val="16"/>
          <w:szCs w:val="16"/>
        </w:rPr>
        <w:softHyphen/>
        <w:t>дукта. Как это могло иметь место при отсутствии или совсем ни</w:t>
      </w:r>
      <w:r w:rsidRPr="00070ADE">
        <w:rPr>
          <w:rFonts w:ascii="Times New Roman" w:hAnsi="Times New Roman"/>
          <w:color w:val="000000" w:themeColor="text1"/>
          <w:sz w:val="16"/>
          <w:szCs w:val="16"/>
        </w:rPr>
        <w:softHyphen/>
        <w:t>чтожном проценте накопления? В условиях абсолютного сокращения объема национального дохода и той его части, которая направляется на накопление, процесс расширенного воспроизводства в отраслях промышлен</w:t>
      </w:r>
      <w:r w:rsidRPr="00070ADE">
        <w:rPr>
          <w:rFonts w:ascii="Times New Roman" w:hAnsi="Times New Roman"/>
          <w:color w:val="000000" w:themeColor="text1"/>
          <w:sz w:val="16"/>
          <w:szCs w:val="16"/>
        </w:rPr>
        <w:softHyphen/>
        <w:t>ности, изготовляющих военную продукцию, может совершаться только за счет сокращения размеров потребления необходимого общественного продукта. Показатели объемов потребления об</w:t>
      </w:r>
      <w:r w:rsidRPr="00070ADE">
        <w:rPr>
          <w:rFonts w:ascii="Times New Roman" w:hAnsi="Times New Roman"/>
          <w:color w:val="000000" w:themeColor="text1"/>
          <w:sz w:val="16"/>
          <w:szCs w:val="16"/>
        </w:rPr>
        <w:softHyphen/>
        <w:t>щественного продукта в балансах общественного продукта, раз</w:t>
      </w:r>
      <w:r w:rsidRPr="00070ADE">
        <w:rPr>
          <w:rFonts w:ascii="Times New Roman" w:hAnsi="Times New Roman"/>
          <w:color w:val="000000" w:themeColor="text1"/>
          <w:sz w:val="16"/>
          <w:szCs w:val="16"/>
        </w:rPr>
        <w:softHyphen/>
        <w:t>работанных ЦСУ СССР в масштабе действующих цен, этого не Подтверждают или подтверждают частично. Так, объем потребле</w:t>
      </w:r>
      <w:r w:rsidRPr="00070ADE">
        <w:rPr>
          <w:rFonts w:ascii="Times New Roman" w:hAnsi="Times New Roman"/>
          <w:color w:val="000000" w:themeColor="text1"/>
          <w:sz w:val="16"/>
          <w:szCs w:val="16"/>
        </w:rPr>
        <w:softHyphen/>
        <w:t>ния населения с 1940 г. по 1944 г., согласно этим данным, уве</w:t>
      </w:r>
      <w:r w:rsidRPr="00070ADE">
        <w:rPr>
          <w:rFonts w:ascii="Times New Roman" w:hAnsi="Times New Roman"/>
          <w:color w:val="000000" w:themeColor="text1"/>
          <w:sz w:val="16"/>
          <w:szCs w:val="16"/>
        </w:rPr>
        <w:softHyphen/>
        <w:t>личивается на 60,4%, а объем производственного потребления сокращается на 26%. Учитывая изменения, произошедшие в годы войны в структу</w:t>
      </w:r>
      <w:r w:rsidRPr="00070ADE">
        <w:rPr>
          <w:rFonts w:ascii="Times New Roman" w:hAnsi="Times New Roman"/>
          <w:color w:val="000000" w:themeColor="text1"/>
          <w:sz w:val="16"/>
          <w:szCs w:val="16"/>
        </w:rPr>
        <w:softHyphen/>
        <w:t>ре цен, а также реальное сокращение национального дохода в 2-2,5 раза, показатели баланса общественного продукта в факти</w:t>
      </w:r>
      <w:r w:rsidRPr="00070ADE">
        <w:rPr>
          <w:rFonts w:ascii="Times New Roman" w:hAnsi="Times New Roman"/>
          <w:color w:val="000000" w:themeColor="text1"/>
          <w:sz w:val="16"/>
          <w:szCs w:val="16"/>
        </w:rPr>
        <w:softHyphen/>
        <w:t>ческих ценах искажают реальное положение дел. Пересчитывая показатели баланса общественного продукта в ценах 1940 г., аналитики ЦСУ СССР получили совсем другие данные, которые приводятся в таблице. По отношению к 1940 г. в последние два года войны имеет место не увеличение, а сокра</w:t>
      </w:r>
      <w:r w:rsidRPr="00070ADE">
        <w:rPr>
          <w:rFonts w:ascii="Times New Roman" w:hAnsi="Times New Roman"/>
          <w:color w:val="000000" w:themeColor="text1"/>
          <w:sz w:val="16"/>
          <w:szCs w:val="16"/>
        </w:rPr>
        <w:softHyphen/>
        <w:t>щение совокупного общественного продукта. Производственное потребление и потребление населения сокращается в полтора-два раза, а производство военной продукции, наоборот, увеличивает</w:t>
      </w:r>
      <w:r w:rsidRPr="00070ADE">
        <w:rPr>
          <w:rFonts w:ascii="Times New Roman" w:hAnsi="Times New Roman"/>
          <w:color w:val="000000" w:themeColor="text1"/>
          <w:sz w:val="16"/>
          <w:szCs w:val="16"/>
        </w:rPr>
        <w:softHyphen/>
        <w:t>ся почти в два раза. Доля накопления в величине национального дохода сокращается в полтора раза и т.д.</w:t>
      </w:r>
    </w:p>
    <w:p w14:paraId="3F702F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Баланс общественного продукта СССР</w:t>
      </w:r>
    </w:p>
    <w:p w14:paraId="4DEA3F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ценах 1940 г. в млд. руб.)</w:t>
      </w:r>
    </w:p>
    <w:tbl>
      <w:tblPr>
        <w:tblW w:w="0" w:type="auto"/>
        <w:tblInd w:w="40" w:type="dxa"/>
        <w:tblLayout w:type="fixed"/>
        <w:tblCellMar>
          <w:left w:w="40" w:type="dxa"/>
          <w:right w:w="40" w:type="dxa"/>
        </w:tblCellMar>
        <w:tblLook w:val="0000" w:firstRow="0" w:lastRow="0" w:firstColumn="0" w:lastColumn="0" w:noHBand="0" w:noVBand="0"/>
      </w:tblPr>
      <w:tblGrid>
        <w:gridCol w:w="4762"/>
        <w:gridCol w:w="1603"/>
      </w:tblGrid>
      <w:tr w:rsidR="004D4663" w:rsidRPr="00070ADE" w14:paraId="37654543" w14:textId="77777777">
        <w:trPr>
          <w:trHeight w:val="317"/>
        </w:trPr>
        <w:tc>
          <w:tcPr>
            <w:tcW w:w="4762" w:type="dxa"/>
            <w:tcBorders>
              <w:top w:val="single" w:sz="12" w:space="0" w:color="auto"/>
              <w:left w:val="single" w:sz="12" w:space="0" w:color="auto"/>
              <w:bottom w:val="single" w:sz="6" w:space="0" w:color="auto"/>
              <w:right w:val="single" w:sz="6" w:space="0" w:color="auto"/>
            </w:tcBorders>
          </w:tcPr>
          <w:p w14:paraId="2E9CA7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1940 г.</w:t>
            </w:r>
          </w:p>
          <w:p w14:paraId="4AD6AC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12" w:space="0" w:color="auto"/>
              <w:left w:val="single" w:sz="6" w:space="0" w:color="auto"/>
              <w:bottom w:val="single" w:sz="6" w:space="0" w:color="auto"/>
              <w:right w:val="single" w:sz="12" w:space="0" w:color="auto"/>
            </w:tcBorders>
          </w:tcPr>
          <w:p w14:paraId="28A9E6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 г. 1945 г.</w:t>
            </w:r>
          </w:p>
          <w:p w14:paraId="18F984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CF55342" w14:textId="77777777">
        <w:trPr>
          <w:trHeight w:val="259"/>
        </w:trPr>
        <w:tc>
          <w:tcPr>
            <w:tcW w:w="4762" w:type="dxa"/>
            <w:tcBorders>
              <w:top w:val="single" w:sz="6" w:space="0" w:color="auto"/>
              <w:left w:val="single" w:sz="12" w:space="0" w:color="auto"/>
              <w:bottom w:val="single" w:sz="6" w:space="0" w:color="auto"/>
              <w:right w:val="single" w:sz="6" w:space="0" w:color="auto"/>
            </w:tcBorders>
          </w:tcPr>
          <w:p w14:paraId="431EDA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Поступление</w:t>
            </w:r>
          </w:p>
          <w:p w14:paraId="11B445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4BD32C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6ABD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57CCF5E" w14:textId="77777777">
        <w:trPr>
          <w:trHeight w:val="230"/>
        </w:trPr>
        <w:tc>
          <w:tcPr>
            <w:tcW w:w="4762" w:type="dxa"/>
            <w:tcBorders>
              <w:top w:val="single" w:sz="6" w:space="0" w:color="auto"/>
              <w:left w:val="single" w:sz="12" w:space="0" w:color="auto"/>
              <w:bottom w:val="single" w:sz="6" w:space="0" w:color="auto"/>
              <w:right w:val="single" w:sz="6" w:space="0" w:color="auto"/>
            </w:tcBorders>
          </w:tcPr>
          <w:p w14:paraId="2A87F0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Произведенный общест. продукт 682,3</w:t>
            </w:r>
          </w:p>
          <w:p w14:paraId="3C2DE2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4766B0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473,7 467,0</w:t>
            </w:r>
          </w:p>
          <w:p w14:paraId="498D1C2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66FF2CC" w14:textId="77777777">
        <w:trPr>
          <w:trHeight w:val="221"/>
        </w:trPr>
        <w:tc>
          <w:tcPr>
            <w:tcW w:w="4762" w:type="dxa"/>
            <w:tcBorders>
              <w:top w:val="single" w:sz="6" w:space="0" w:color="auto"/>
              <w:left w:val="single" w:sz="12" w:space="0" w:color="auto"/>
              <w:bottom w:val="single" w:sz="6" w:space="0" w:color="auto"/>
              <w:right w:val="single" w:sz="6" w:space="0" w:color="auto"/>
            </w:tcBorders>
          </w:tcPr>
          <w:p w14:paraId="602C17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Поступило из др. источников 4,1</w:t>
            </w:r>
          </w:p>
          <w:p w14:paraId="168F495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11FE85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45,6 39,7</w:t>
            </w:r>
          </w:p>
          <w:p w14:paraId="6C4AA3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AF51C37" w14:textId="77777777">
        <w:trPr>
          <w:trHeight w:val="211"/>
        </w:trPr>
        <w:tc>
          <w:tcPr>
            <w:tcW w:w="4762" w:type="dxa"/>
            <w:tcBorders>
              <w:top w:val="single" w:sz="6" w:space="0" w:color="auto"/>
              <w:left w:val="single" w:sz="12" w:space="0" w:color="auto"/>
              <w:bottom w:val="single" w:sz="6" w:space="0" w:color="auto"/>
              <w:right w:val="single" w:sz="6" w:space="0" w:color="auto"/>
            </w:tcBorders>
          </w:tcPr>
          <w:p w14:paraId="0FC228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Годовой общественный продукт 686,4</w:t>
            </w:r>
          </w:p>
          <w:p w14:paraId="269FEB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600999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519,3 506,8</w:t>
            </w:r>
          </w:p>
          <w:p w14:paraId="6B5A86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E52E755" w14:textId="77777777">
        <w:trPr>
          <w:trHeight w:val="221"/>
        </w:trPr>
        <w:tc>
          <w:tcPr>
            <w:tcW w:w="4762" w:type="dxa"/>
            <w:tcBorders>
              <w:top w:val="single" w:sz="6" w:space="0" w:color="auto"/>
              <w:left w:val="single" w:sz="12" w:space="0" w:color="auto"/>
              <w:bottom w:val="single" w:sz="6" w:space="0" w:color="auto"/>
              <w:right w:val="single" w:sz="6" w:space="0" w:color="auto"/>
            </w:tcBorders>
          </w:tcPr>
          <w:p w14:paraId="78481F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Распределение</w:t>
            </w:r>
          </w:p>
          <w:p w14:paraId="01EF5F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5731A3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66BC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865223D" w14:textId="77777777">
        <w:trPr>
          <w:trHeight w:val="221"/>
        </w:trPr>
        <w:tc>
          <w:tcPr>
            <w:tcW w:w="4762" w:type="dxa"/>
            <w:tcBorders>
              <w:top w:val="single" w:sz="6" w:space="0" w:color="auto"/>
              <w:left w:val="single" w:sz="12" w:space="0" w:color="auto"/>
              <w:bottom w:val="single" w:sz="6" w:space="0" w:color="auto"/>
              <w:right w:val="single" w:sz="6" w:space="0" w:color="auto"/>
            </w:tcBorders>
          </w:tcPr>
          <w:p w14:paraId="5D81906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Производственное потребление 296,1</w:t>
            </w:r>
          </w:p>
          <w:p w14:paraId="4E8DA8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2B7950E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204,1 196,5</w:t>
            </w:r>
          </w:p>
          <w:p w14:paraId="6821EBE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B29191C" w14:textId="77777777">
        <w:trPr>
          <w:trHeight w:val="230"/>
        </w:trPr>
        <w:tc>
          <w:tcPr>
            <w:tcW w:w="4762" w:type="dxa"/>
            <w:tcBorders>
              <w:top w:val="single" w:sz="6" w:space="0" w:color="auto"/>
              <w:left w:val="single" w:sz="12" w:space="0" w:color="auto"/>
              <w:bottom w:val="single" w:sz="6" w:space="0" w:color="auto"/>
              <w:right w:val="single" w:sz="6" w:space="0" w:color="auto"/>
            </w:tcBorders>
          </w:tcPr>
          <w:p w14:paraId="5ADF66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Потребление населения 244,5</w:t>
            </w:r>
          </w:p>
          <w:p w14:paraId="475951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489DBE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141,6 169,1</w:t>
            </w:r>
          </w:p>
          <w:p w14:paraId="66955D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3B4752C" w14:textId="77777777">
        <w:trPr>
          <w:trHeight w:val="230"/>
        </w:trPr>
        <w:tc>
          <w:tcPr>
            <w:tcW w:w="4762" w:type="dxa"/>
            <w:tcBorders>
              <w:top w:val="single" w:sz="6" w:space="0" w:color="auto"/>
              <w:left w:val="single" w:sz="12" w:space="0" w:color="auto"/>
              <w:bottom w:val="single" w:sz="6" w:space="0" w:color="auto"/>
              <w:right w:val="single" w:sz="6" w:space="0" w:color="auto"/>
            </w:tcBorders>
          </w:tcPr>
          <w:p w14:paraId="42B4FB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Потребление военнослужащих 14,9</w:t>
            </w:r>
          </w:p>
          <w:p w14:paraId="341782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050736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32,2 21,3</w:t>
            </w:r>
          </w:p>
          <w:p w14:paraId="00BC52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46B9A90" w14:textId="77777777">
        <w:trPr>
          <w:trHeight w:val="221"/>
        </w:trPr>
        <w:tc>
          <w:tcPr>
            <w:tcW w:w="4762" w:type="dxa"/>
            <w:tcBorders>
              <w:top w:val="single" w:sz="6" w:space="0" w:color="auto"/>
              <w:left w:val="single" w:sz="12" w:space="0" w:color="auto"/>
              <w:bottom w:val="single" w:sz="6" w:space="0" w:color="auto"/>
              <w:right w:val="single" w:sz="6" w:space="0" w:color="auto"/>
            </w:tcBorders>
          </w:tcPr>
          <w:p w14:paraId="4CFFFF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Потребление госучреждений 19,9</w:t>
            </w:r>
          </w:p>
          <w:p w14:paraId="140A6F2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6F572A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11,8 14,0</w:t>
            </w:r>
          </w:p>
          <w:p w14:paraId="7E0AEE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0FD2356" w14:textId="77777777">
        <w:trPr>
          <w:trHeight w:val="221"/>
        </w:trPr>
        <w:tc>
          <w:tcPr>
            <w:tcW w:w="4762" w:type="dxa"/>
            <w:tcBorders>
              <w:top w:val="single" w:sz="6" w:space="0" w:color="auto"/>
              <w:left w:val="single" w:sz="12" w:space="0" w:color="auto"/>
              <w:bottom w:val="single" w:sz="6" w:space="0" w:color="auto"/>
              <w:right w:val="single" w:sz="6" w:space="0" w:color="auto"/>
            </w:tcBorders>
          </w:tcPr>
          <w:p w14:paraId="2F152A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Военная продукция 28,4</w:t>
            </w:r>
          </w:p>
          <w:p w14:paraId="5A0C66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28C2AC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74,3 50,9</w:t>
            </w:r>
          </w:p>
          <w:p w14:paraId="4F6B43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FD28B52" w14:textId="77777777">
        <w:trPr>
          <w:trHeight w:val="230"/>
        </w:trPr>
        <w:tc>
          <w:tcPr>
            <w:tcW w:w="4762" w:type="dxa"/>
            <w:tcBorders>
              <w:top w:val="single" w:sz="6" w:space="0" w:color="auto"/>
              <w:left w:val="single" w:sz="12" w:space="0" w:color="auto"/>
              <w:bottom w:val="single" w:sz="6" w:space="0" w:color="auto"/>
              <w:right w:val="single" w:sz="6" w:space="0" w:color="auto"/>
            </w:tcBorders>
          </w:tcPr>
          <w:p w14:paraId="6A417C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Потери общест. продукта 11,5</w:t>
            </w:r>
          </w:p>
          <w:p w14:paraId="6D42AD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320574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10,7 10,0</w:t>
            </w:r>
          </w:p>
          <w:p w14:paraId="16596D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6D24201" w14:textId="77777777">
        <w:trPr>
          <w:trHeight w:val="230"/>
        </w:trPr>
        <w:tc>
          <w:tcPr>
            <w:tcW w:w="4762" w:type="dxa"/>
            <w:tcBorders>
              <w:top w:val="single" w:sz="6" w:space="0" w:color="auto"/>
              <w:left w:val="single" w:sz="12" w:space="0" w:color="auto"/>
              <w:bottom w:val="single" w:sz="6" w:space="0" w:color="auto"/>
              <w:right w:val="single" w:sz="6" w:space="0" w:color="auto"/>
            </w:tcBorders>
          </w:tcPr>
          <w:p w14:paraId="4B37CF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Накопление 71,1</w:t>
            </w:r>
          </w:p>
          <w:p w14:paraId="371DBE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0B3154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44,6 45,0</w:t>
            </w:r>
          </w:p>
          <w:p w14:paraId="7E8DF3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51E620E" w14:textId="77777777">
        <w:trPr>
          <w:trHeight w:val="211"/>
        </w:trPr>
        <w:tc>
          <w:tcPr>
            <w:tcW w:w="4762" w:type="dxa"/>
            <w:tcBorders>
              <w:top w:val="single" w:sz="6" w:space="0" w:color="auto"/>
              <w:left w:val="single" w:sz="12" w:space="0" w:color="auto"/>
              <w:bottom w:val="single" w:sz="6" w:space="0" w:color="auto"/>
              <w:right w:val="single" w:sz="6" w:space="0" w:color="auto"/>
            </w:tcBorders>
          </w:tcPr>
          <w:p w14:paraId="6B3AE1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том числе:</w:t>
            </w:r>
          </w:p>
          <w:p w14:paraId="4CEE98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786FB7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E7BB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230EEF1" w14:textId="77777777">
        <w:trPr>
          <w:trHeight w:val="240"/>
        </w:trPr>
        <w:tc>
          <w:tcPr>
            <w:tcW w:w="4762" w:type="dxa"/>
            <w:tcBorders>
              <w:top w:val="single" w:sz="6" w:space="0" w:color="auto"/>
              <w:left w:val="single" w:sz="12" w:space="0" w:color="auto"/>
              <w:bottom w:val="single" w:sz="6" w:space="0" w:color="auto"/>
              <w:right w:val="single" w:sz="6" w:space="0" w:color="auto"/>
            </w:tcBorders>
          </w:tcPr>
          <w:p w14:paraId="79A46E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Прирост основных фондов 40,6</w:t>
            </w:r>
          </w:p>
          <w:p w14:paraId="341EE70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2092C1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23,8 28,1</w:t>
            </w:r>
          </w:p>
          <w:p w14:paraId="3908D0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C752261" w14:textId="77777777">
        <w:trPr>
          <w:trHeight w:val="230"/>
        </w:trPr>
        <w:tc>
          <w:tcPr>
            <w:tcW w:w="4762" w:type="dxa"/>
            <w:tcBorders>
              <w:top w:val="single" w:sz="6" w:space="0" w:color="auto"/>
              <w:left w:val="single" w:sz="12" w:space="0" w:color="auto"/>
              <w:bottom w:val="single" w:sz="6" w:space="0" w:color="auto"/>
              <w:right w:val="single" w:sz="6" w:space="0" w:color="auto"/>
            </w:tcBorders>
          </w:tcPr>
          <w:p w14:paraId="4A4B6B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Прирост запасов 25,5</w:t>
            </w:r>
          </w:p>
          <w:p w14:paraId="4A62CA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12" w:space="0" w:color="auto"/>
            </w:tcBorders>
          </w:tcPr>
          <w:p w14:paraId="4AFF19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18,5 14,6</w:t>
            </w:r>
          </w:p>
          <w:p w14:paraId="377C09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8038DAA" w14:textId="77777777">
        <w:trPr>
          <w:trHeight w:val="240"/>
        </w:trPr>
        <w:tc>
          <w:tcPr>
            <w:tcW w:w="4762" w:type="dxa"/>
            <w:tcBorders>
              <w:top w:val="single" w:sz="6" w:space="0" w:color="auto"/>
              <w:left w:val="single" w:sz="12" w:space="0" w:color="auto"/>
              <w:bottom w:val="single" w:sz="12" w:space="0" w:color="auto"/>
              <w:right w:val="single" w:sz="6" w:space="0" w:color="auto"/>
            </w:tcBorders>
          </w:tcPr>
          <w:p w14:paraId="24B49C1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 РАСПРЕДЕЛЕНО 686,4</w:t>
            </w:r>
          </w:p>
          <w:p w14:paraId="3FD5B2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12" w:space="0" w:color="auto"/>
              <w:right w:val="single" w:sz="12" w:space="0" w:color="auto"/>
            </w:tcBorders>
          </w:tcPr>
          <w:p w14:paraId="043AC5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519,3 506,8</w:t>
            </w:r>
          </w:p>
          <w:p w14:paraId="5DBEB3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B5EB1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Источник: РГАЭ ф.4372, оп.95, д. 168, л.45. (1566).</w:t>
      </w:r>
    </w:p>
    <w:p w14:paraId="3AD37B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31659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июня 1944 вышло Распоряжение ГКО № 6119. О производстве, поставке и наладке оборудования для завода № 702 НКЧМ. РГАНИР, Фонд ГКО, д. 266, лл. 247-248,249 (11012).</w:t>
      </w:r>
    </w:p>
    <w:p w14:paraId="28146A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24FB6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июня 1944 г. был подготовлен ДОКЛАД КОМАНДУЮЩЕГО БТ и МВ КА ЗАМЕСТИТЕЛЮ ПРЕДСЕДАТЕЛЯ ГКО СССР Л.П. БЕРИИ О КАЧЕСТВЕ ВЫПУСКАЕМОЙ БРОНЕТЕХНИКИ № 522889</w:t>
      </w:r>
    </w:p>
    <w:p w14:paraId="371F88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Докладываю, что проводимые во исполнение Постановления ГОКО №3092 от 29 марта 1943 го</w:t>
      </w:r>
      <w:r w:rsidRPr="00070ADE">
        <w:rPr>
          <w:rFonts w:ascii="Times New Roman" w:hAnsi="Times New Roman"/>
          <w:color w:val="000000" w:themeColor="text1"/>
          <w:sz w:val="16"/>
          <w:szCs w:val="16"/>
        </w:rPr>
        <w:softHyphen/>
        <w:t>да и №3958 от 19 августа 1943 года испытания танков и самоходных артустановок на гарантийный километраж (1000 км) и пробегом на 300 км (для СУ-76 на 200 км) показали, что качество изготовле</w:t>
      </w:r>
      <w:r w:rsidRPr="00070ADE">
        <w:rPr>
          <w:rFonts w:ascii="Times New Roman" w:hAnsi="Times New Roman"/>
          <w:color w:val="000000" w:themeColor="text1"/>
          <w:sz w:val="16"/>
          <w:szCs w:val="16"/>
        </w:rPr>
        <w:softHyphen/>
        <w:t>ния танков и артсамоходов продолжает оставаться неудовлетворительным.</w:t>
      </w:r>
    </w:p>
    <w:p w14:paraId="4FB425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феврале месяце с. г. было испытано на гарантийный километраж 1000 км — 9 танков и 9 арт</w:t>
      </w:r>
      <w:r w:rsidRPr="00070ADE">
        <w:rPr>
          <w:rFonts w:ascii="Times New Roman" w:hAnsi="Times New Roman"/>
          <w:color w:val="000000" w:themeColor="text1"/>
          <w:sz w:val="16"/>
          <w:szCs w:val="16"/>
        </w:rPr>
        <w:softHyphen/>
        <w:t>самоходов. Из них выдержали испытания только 3 танка — 33,3% к числу испытанных и 2 артсамо-хода — 22,2% к числу испытанных.</w:t>
      </w:r>
    </w:p>
    <w:p w14:paraId="4D0DCA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апреле месяце было испытано на гарантийный километраж 1000 км 4 танка и 5 артсамоходов. Из них выдержали испытания только 1 артсамоход или 20% к числу испытанных.</w:t>
      </w:r>
    </w:p>
    <w:p w14:paraId="2512F8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мае месяце было испытано на гарантийный километраж 1000 км 2 танка и 2 артсамохода. Из них выдержали испытания — танк Т-34-85 завода №183 и артсамоход СУ-76 завода ГАЗ им. Молотова.</w:t>
      </w:r>
    </w:p>
    <w:p w14:paraId="63D0FE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Артсамоход ИСУ Кировского завода — испытания не выдержал.</w:t>
      </w:r>
    </w:p>
    <w:p w14:paraId="63B8E3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Значительная часть танков и артсамоходов не выдерживает испытаний не только на 1000 км, но и на 300 км (для СУ-76-200 км). Так, например:</w:t>
      </w:r>
    </w:p>
    <w:tbl>
      <w:tblPr>
        <w:tblW w:w="0" w:type="auto"/>
        <w:tblInd w:w="40" w:type="dxa"/>
        <w:tblLayout w:type="fixed"/>
        <w:tblCellMar>
          <w:left w:w="40" w:type="dxa"/>
          <w:right w:w="40" w:type="dxa"/>
        </w:tblCellMar>
        <w:tblLook w:val="0000" w:firstRow="0" w:lastRow="0" w:firstColumn="0" w:lastColumn="0" w:noHBand="0" w:noVBand="0"/>
      </w:tblPr>
      <w:tblGrid>
        <w:gridCol w:w="1670"/>
        <w:gridCol w:w="1306"/>
        <w:gridCol w:w="1382"/>
        <w:gridCol w:w="1450"/>
        <w:gridCol w:w="1363"/>
        <w:gridCol w:w="1190"/>
        <w:gridCol w:w="1277"/>
      </w:tblGrid>
      <w:tr w:rsidR="004D4663" w:rsidRPr="00070ADE" w14:paraId="7E51E1FB" w14:textId="77777777">
        <w:trPr>
          <w:trHeight w:val="432"/>
        </w:trPr>
        <w:tc>
          <w:tcPr>
            <w:tcW w:w="1670" w:type="dxa"/>
            <w:tcBorders>
              <w:top w:val="single" w:sz="6" w:space="0" w:color="auto"/>
              <w:left w:val="single" w:sz="6" w:space="0" w:color="auto"/>
              <w:bottom w:val="nil"/>
              <w:right w:val="single" w:sz="6" w:space="0" w:color="auto"/>
            </w:tcBorders>
          </w:tcPr>
          <w:p w14:paraId="46FF9E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Месяцы</w:t>
            </w:r>
          </w:p>
          <w:p w14:paraId="57715A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88" w:type="dxa"/>
            <w:gridSpan w:val="2"/>
            <w:tcBorders>
              <w:top w:val="single" w:sz="6" w:space="0" w:color="auto"/>
              <w:left w:val="single" w:sz="6" w:space="0" w:color="auto"/>
              <w:bottom w:val="single" w:sz="6" w:space="0" w:color="auto"/>
              <w:right w:val="single" w:sz="6" w:space="0" w:color="auto"/>
            </w:tcBorders>
          </w:tcPr>
          <w:p w14:paraId="32B898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Было испытано на 300 км (для СУ-76 на 200 км)</w:t>
            </w:r>
          </w:p>
          <w:p w14:paraId="6ED243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13" w:type="dxa"/>
            <w:gridSpan w:val="2"/>
            <w:tcBorders>
              <w:top w:val="single" w:sz="6" w:space="0" w:color="auto"/>
              <w:left w:val="single" w:sz="6" w:space="0" w:color="auto"/>
              <w:bottom w:val="single" w:sz="6" w:space="0" w:color="auto"/>
              <w:right w:val="single" w:sz="6" w:space="0" w:color="auto"/>
            </w:tcBorders>
          </w:tcPr>
          <w:p w14:paraId="13616B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 выдержали испытания</w:t>
            </w:r>
          </w:p>
          <w:p w14:paraId="1B6354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gridSpan w:val="2"/>
            <w:tcBorders>
              <w:top w:val="single" w:sz="6" w:space="0" w:color="auto"/>
              <w:left w:val="single" w:sz="6" w:space="0" w:color="auto"/>
              <w:bottom w:val="single" w:sz="6" w:space="0" w:color="auto"/>
              <w:right w:val="single" w:sz="6" w:space="0" w:color="auto"/>
            </w:tcBorders>
          </w:tcPr>
          <w:p w14:paraId="4CB5F7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машин, не выдержавших испытание</w:t>
            </w:r>
          </w:p>
          <w:p w14:paraId="7BD390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7A639B1" w14:textId="77777777">
        <w:trPr>
          <w:trHeight w:val="250"/>
        </w:trPr>
        <w:tc>
          <w:tcPr>
            <w:tcW w:w="1670" w:type="dxa"/>
            <w:tcBorders>
              <w:top w:val="nil"/>
              <w:left w:val="single" w:sz="6" w:space="0" w:color="auto"/>
              <w:bottom w:val="single" w:sz="6" w:space="0" w:color="auto"/>
              <w:right w:val="single" w:sz="6" w:space="0" w:color="auto"/>
            </w:tcBorders>
          </w:tcPr>
          <w:p w14:paraId="265748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D8178B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B0235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Танков</w:t>
            </w:r>
          </w:p>
          <w:p w14:paraId="4ED390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56B15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Артсамоходов</w:t>
            </w:r>
          </w:p>
          <w:p w14:paraId="183728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70B74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Танков</w:t>
            </w:r>
          </w:p>
          <w:p w14:paraId="2D6FC6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40EBF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Артсамоходов</w:t>
            </w:r>
          </w:p>
          <w:p w14:paraId="34CE35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5F7CB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Танков</w:t>
            </w:r>
          </w:p>
          <w:p w14:paraId="6E44A2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A093A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Артсамоходов</w:t>
            </w:r>
          </w:p>
          <w:p w14:paraId="2F10EE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0AE66AC" w14:textId="77777777">
        <w:trPr>
          <w:trHeight w:val="1008"/>
        </w:trPr>
        <w:tc>
          <w:tcPr>
            <w:tcW w:w="1670" w:type="dxa"/>
            <w:tcBorders>
              <w:top w:val="single" w:sz="6" w:space="0" w:color="auto"/>
              <w:left w:val="single" w:sz="6" w:space="0" w:color="auto"/>
              <w:bottom w:val="single" w:sz="6" w:space="0" w:color="auto"/>
              <w:right w:val="single" w:sz="6" w:space="0" w:color="auto"/>
            </w:tcBorders>
          </w:tcPr>
          <w:p w14:paraId="7F0001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январь февраль март апрель май</w:t>
            </w:r>
          </w:p>
          <w:p w14:paraId="3E46B9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A4C5A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15 24 13 17 14</w:t>
            </w:r>
          </w:p>
          <w:p w14:paraId="1E43B0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5CAA2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3 22 10 14 11</w:t>
            </w:r>
          </w:p>
          <w:p w14:paraId="69C57D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5879B0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5 5 2 9 11</w:t>
            </w:r>
          </w:p>
          <w:p w14:paraId="4F6D0B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55F41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0 6 3 5 3</w:t>
            </w:r>
          </w:p>
          <w:p w14:paraId="524EC2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2900A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33,3 20,8 15,4 52,9 78,8</w:t>
            </w:r>
          </w:p>
          <w:p w14:paraId="5B0294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D0517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0,0 27,2 30,0 35,8 27,3</w:t>
            </w:r>
          </w:p>
          <w:p w14:paraId="1770E2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DA5BF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 таблицы видно, что процент танков, не выдержавших испытание в апреле и мае месяцах, значительно вырос.</w:t>
      </w:r>
    </w:p>
    <w:p w14:paraId="7AA9FA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Сведения о результатах испытаний по каждому заводу, с указанием дефектов, из-за которых танки и артсамоходы не выдержали испытаний — прилагаю.</w:t>
      </w:r>
    </w:p>
    <w:p w14:paraId="65FA98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Неудовлетворительное качество изготовления танков подтверждается донесениями, поступа</w:t>
      </w:r>
      <w:r w:rsidRPr="00070ADE">
        <w:rPr>
          <w:rFonts w:ascii="Times New Roman" w:hAnsi="Times New Roman"/>
          <w:color w:val="000000" w:themeColor="text1"/>
          <w:sz w:val="16"/>
          <w:szCs w:val="16"/>
        </w:rPr>
        <w:softHyphen/>
        <w:t>ющими из войск.</w:t>
      </w:r>
    </w:p>
    <w:p w14:paraId="59AE99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например, в мае и июне месяцах с. г. вышли из строя по вине производства танки ИС и арт</w:t>
      </w:r>
      <w:r w:rsidRPr="00070ADE">
        <w:rPr>
          <w:rFonts w:ascii="Times New Roman" w:hAnsi="Times New Roman"/>
          <w:color w:val="000000" w:themeColor="text1"/>
          <w:sz w:val="16"/>
          <w:szCs w:val="16"/>
        </w:rPr>
        <w:softHyphen/>
        <w:t>самоходы ИСУ:</w:t>
      </w:r>
    </w:p>
    <w:p w14:paraId="1A39FE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 15, 64 гв. тяжелых танковых полках, в 347, 344 и 37 тяжелых полках самоходной артилле</w:t>
      </w:r>
      <w:r w:rsidRPr="00070ADE">
        <w:rPr>
          <w:rFonts w:ascii="Times New Roman" w:hAnsi="Times New Roman"/>
          <w:color w:val="000000" w:themeColor="text1"/>
          <w:sz w:val="16"/>
          <w:szCs w:val="16"/>
        </w:rPr>
        <w:softHyphen/>
        <w:t>рии — из-за поломок торсион-валов нижней подвески — 17 танков и 9 артсамоходов;</w:t>
      </w:r>
    </w:p>
    <w:p w14:paraId="3DDA9F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в 6, 14 гв. тяжелых танковых полках — из-за набегания зубьев звездочки ведущего колеса на полотно гусеницы — 25 танков;</w:t>
      </w:r>
    </w:p>
    <w:p w14:paraId="0729E1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в 6 и 14 гв. тяжелых танковых полках и в 5 танковой армии — из-за преждевременного изно</w:t>
      </w:r>
      <w:r w:rsidRPr="00070ADE">
        <w:rPr>
          <w:rFonts w:ascii="Times New Roman" w:hAnsi="Times New Roman"/>
          <w:color w:val="000000" w:themeColor="text1"/>
          <w:sz w:val="16"/>
          <w:szCs w:val="16"/>
        </w:rPr>
        <w:softHyphen/>
        <w:t>са шлиц ступицы барабанного фрикциона и носка коленчатого вала — 28 танков;</w:t>
      </w:r>
    </w:p>
    <w:p w14:paraId="6CB96C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 за 20 дней эксплуатации танков на фронте в 14 гв. тяжелом танковом полку имели место 82 поломки и неисправности, основные из них:</w:t>
      </w:r>
    </w:p>
    <w:p w14:paraId="208E32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сгорел электромотор стартера — на 8 танках;</w:t>
      </w:r>
    </w:p>
    <w:p w14:paraId="0A3D0B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разрушение подшипника храповика инерционного стартера — на двух танках;</w:t>
      </w:r>
    </w:p>
    <w:p w14:paraId="62E640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излом торсионного валика инерционного стартера — на 6 танках;</w:t>
      </w:r>
    </w:p>
    <w:p w14:paraId="3632AD2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подгорание феррадо дисков главного фрикциона — на 12 танках;</w:t>
      </w:r>
    </w:p>
    <w:p w14:paraId="512960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излом щеки кривошипа ленивца — на 6 танках;</w:t>
      </w:r>
    </w:p>
    <w:p w14:paraId="3B68C6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разрушение роликоподшипников опорных катков и ленивцев — на 11 танках.</w:t>
      </w:r>
    </w:p>
    <w:p w14:paraId="3D9CA3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этот же период вышли из строя, по вине производства танки Т-34-85 и артсамоходы СУ-85:</w:t>
      </w:r>
    </w:p>
    <w:p w14:paraId="3D36DF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в 9 танковом корпусе — по разрушению роликов ведущих колес — 40 танков завода №183; ; - в 1 гв. танковом корпусе и в 1 Краснознаменном танковом корпусе — в связи с поломками ^подшипников бортовых передач — 29 танков завода №183 и 8 танков завода №112; </w:t>
      </w:r>
      <w:r w:rsidRPr="00070ADE">
        <w:rPr>
          <w:rFonts w:ascii="Times New Roman" w:hAnsi="Times New Roman"/>
          <w:color w:val="000000" w:themeColor="text1"/>
          <w:sz w:val="16"/>
          <w:szCs w:val="16"/>
          <w:vertAlign w:val="superscript"/>
        </w:rPr>
        <w:t>!</w:t>
      </w:r>
      <w:r w:rsidRPr="00070ADE">
        <w:rPr>
          <w:rFonts w:ascii="Times New Roman" w:hAnsi="Times New Roman"/>
          <w:color w:val="000000" w:themeColor="text1"/>
          <w:sz w:val="16"/>
          <w:szCs w:val="16"/>
        </w:rPr>
        <w:t xml:space="preserve"> — в 3 гв. танковой армии и 1819 самоходном артиллерийском полку — из-за преждевременного изно-!са зубьев шестерен коробки перемены передач — 14 танков завода №174 и 4 артсамохода Уралмашзавода;</w:t>
      </w:r>
    </w:p>
    <w:p w14:paraId="7D2F97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 10 гв. танковом добровольном Уральском корпусе по разрушению резины опорных катков | - 16 танков завода № 183; I - в 25 гв. танковой Ельненской бригаде — по дефектам штоков подвесок — 50 танков завода №183.</w:t>
      </w:r>
    </w:p>
    <w:p w14:paraId="25C4ED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показывает, что качество изготовления танков и артсамоходов неудовлетворительное. ! Наиболее низкого качества изготовляют танки и артсамоходы заводы Кировский, №112, ГАЗ им. Молотова и №40.</w:t>
      </w:r>
    </w:p>
    <w:p w14:paraId="0EE7A3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 июне 1943 года на танковые заводы посылались специальные комиссии ГОКО для проверки ;выполнения заводами постановления ГОКО об улучшении качества танков и артсамоходов. ! Работа этих комиссий дала положительные результаты.</w:t>
      </w:r>
    </w:p>
    <w:p w14:paraId="678913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Комиссии заставили руководящий состав заводов серьезно заняться улучшением качества • И наметили ряд конкретных мероприятий, повышающих качество танков и артсамоходов.</w:t>
      </w:r>
    </w:p>
    <w:p w14:paraId="10AC53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Однако, в 1944 году на заводах внимание руководящего состава к вопросам качества — ослабло. </w:t>
      </w:r>
      <w:r w:rsidRPr="00070ADE">
        <w:rPr>
          <w:rFonts w:ascii="Times New Roman" w:hAnsi="Times New Roman"/>
          <w:color w:val="000000" w:themeColor="text1"/>
          <w:sz w:val="16"/>
          <w:szCs w:val="16"/>
          <w:vertAlign w:val="superscript"/>
        </w:rPr>
        <w:t>1</w:t>
      </w:r>
      <w:r w:rsidRPr="00070ADE">
        <w:rPr>
          <w:rFonts w:ascii="Times New Roman" w:hAnsi="Times New Roman"/>
          <w:color w:val="000000" w:themeColor="text1"/>
          <w:sz w:val="16"/>
          <w:szCs w:val="16"/>
        </w:rPr>
        <w:t xml:space="preserve"> Прошу Вас:</w:t>
      </w:r>
    </w:p>
    <w:p w14:paraId="3E00D3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1. Указать НКТП (т. Малышеву) и НКСМ (т. Акопову) на невыполнение ими важнейшего Постанов</w:t>
      </w:r>
      <w:r w:rsidRPr="00070ADE">
        <w:rPr>
          <w:rFonts w:ascii="Times New Roman" w:hAnsi="Times New Roman"/>
          <w:color w:val="000000" w:themeColor="text1"/>
          <w:sz w:val="16"/>
          <w:szCs w:val="16"/>
        </w:rPr>
        <w:softHyphen/>
        <w:t>ления ГОКО №3092с от 29.03.1943 года «Об улучшении качества танков, выпускаемых НКТП и НКСМ».</w:t>
      </w:r>
    </w:p>
    <w:p w14:paraId="40B6E9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Послать в июле-августе месяце с. г. на заводы Кировский, №112 и ГАЗ им. Молотова комиссии для проверки выполнения заводами постановления ГОКО об улучшении качества танков и артсамоходов.</w:t>
      </w:r>
    </w:p>
    <w:p w14:paraId="442A58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Обязать НКТП (т. Малышева) и НКСМ (т. Акопова):</w:t>
      </w:r>
    </w:p>
    <w:p w14:paraId="2797F2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Принять немедленные меры по улучшению качества выпускаемых танков, артсамоходов и двигателей к ним, потребовав от работников заводов, производящих танки и артсамоходы, выпу</w:t>
      </w:r>
      <w:r w:rsidRPr="00070ADE">
        <w:rPr>
          <w:rFonts w:ascii="Times New Roman" w:hAnsi="Times New Roman"/>
          <w:color w:val="000000" w:themeColor="text1"/>
          <w:sz w:val="16"/>
          <w:szCs w:val="16"/>
        </w:rPr>
        <w:softHyphen/>
        <w:t>ска продукции высокого качества.</w:t>
      </w:r>
    </w:p>
    <w:p w14:paraId="0B47D7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 Создать при каждом фронтовом бронетанковом складе специальный фонд запасных частей и агрегатов.</w:t>
      </w:r>
    </w:p>
    <w:p w14:paraId="5E284A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Установить максимальный срок для восстановления рекламируемых танков и артсамоходов — 5 суток.</w:t>
      </w:r>
    </w:p>
    <w:p w14:paraId="4AC5AD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 целью улучшения контроля за качеством танков и самоходных артустановок — ввести испыта</w:t>
      </w:r>
      <w:r w:rsidRPr="00070ADE">
        <w:rPr>
          <w:rFonts w:ascii="Times New Roman" w:hAnsi="Times New Roman"/>
          <w:color w:val="000000" w:themeColor="text1"/>
          <w:sz w:val="16"/>
          <w:szCs w:val="16"/>
        </w:rPr>
        <w:softHyphen/>
        <w:t>ния на 300 км (для СУ-76 200 км) каждого пятидесятого танка и артсамохода, а также восстановить гаран</w:t>
      </w:r>
      <w:r w:rsidRPr="00070ADE">
        <w:rPr>
          <w:rFonts w:ascii="Times New Roman" w:hAnsi="Times New Roman"/>
          <w:color w:val="000000" w:themeColor="text1"/>
          <w:sz w:val="16"/>
          <w:szCs w:val="16"/>
        </w:rPr>
        <w:softHyphen/>
        <w:t>тийные испытания танков и самоходных артустановок на дистанцию 2000 км, отменив временно установ</w:t>
      </w:r>
      <w:r w:rsidRPr="00070ADE">
        <w:rPr>
          <w:rFonts w:ascii="Times New Roman" w:hAnsi="Times New Roman"/>
          <w:color w:val="000000" w:themeColor="text1"/>
          <w:sz w:val="16"/>
          <w:szCs w:val="16"/>
        </w:rPr>
        <w:softHyphen/>
        <w:t>ленные Постановлением ГОКО №3958с от 19.08.1943 года гарантийные испытания на дистанцию 1000 км.</w:t>
      </w:r>
    </w:p>
    <w:p w14:paraId="1C8ED1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Гарантийные испытания производить из расчета, установленного постановлением ГОКО, т.е. существующим порядком.</w:t>
      </w:r>
    </w:p>
    <w:p w14:paraId="2E1A56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Установить, что в том случае, когда танк, самоходная артустановка и двигатель не выдержи</w:t>
      </w:r>
      <w:r w:rsidRPr="00070ADE">
        <w:rPr>
          <w:rFonts w:ascii="Times New Roman" w:hAnsi="Times New Roman"/>
          <w:color w:val="000000" w:themeColor="text1"/>
          <w:sz w:val="16"/>
          <w:szCs w:val="16"/>
        </w:rPr>
        <w:softHyphen/>
        <w:t>вают гарантийных испытаний, то они в план завода не зачисляются, все расходы по проведению ис</w:t>
      </w:r>
      <w:r w:rsidRPr="00070ADE">
        <w:rPr>
          <w:rFonts w:ascii="Times New Roman" w:hAnsi="Times New Roman"/>
          <w:color w:val="000000" w:themeColor="text1"/>
          <w:sz w:val="16"/>
          <w:szCs w:val="16"/>
        </w:rPr>
        <w:softHyphen/>
        <w:t>пытаний и стоимость машин относить за счет завода.</w:t>
      </w:r>
    </w:p>
    <w:p w14:paraId="437983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 При присуждении заводам премий и переходящих знамен ГОКО и ВЦСПС учитывать ре</w:t>
      </w:r>
      <w:r w:rsidRPr="00070ADE">
        <w:rPr>
          <w:rFonts w:ascii="Times New Roman" w:hAnsi="Times New Roman"/>
          <w:color w:val="000000" w:themeColor="text1"/>
          <w:sz w:val="16"/>
          <w:szCs w:val="16"/>
        </w:rPr>
        <w:softHyphen/>
        <w:t>зультаты гарантийных испытаний танков и самоходных артустановок на полигоне ГБТУ КА. При неудовлетворительных результатах этих испытаний — премий и знамен не присуждать. Приложение: упомянутое на 4 листах.</w:t>
      </w:r>
    </w:p>
    <w:p w14:paraId="27A379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Командующий БТ и МБ КА маршал бронетанковых войск Я. Федоренко</w:t>
      </w:r>
    </w:p>
    <w:p w14:paraId="456BCB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Член военного совета генерал-полковник танковых войск Н. Бирюков</w:t>
      </w:r>
    </w:p>
    <w:p w14:paraId="5367CA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Приложение №1 РЕЗУЛЬТАТЫ ИСПЫТАНИЙ ТАНКОВ И САМОХОДНЫХ АРТУСТАНОВОК</w:t>
      </w:r>
    </w:p>
    <w:tbl>
      <w:tblPr>
        <w:tblW w:w="0" w:type="auto"/>
        <w:tblInd w:w="40" w:type="dxa"/>
        <w:tblLayout w:type="fixed"/>
        <w:tblCellMar>
          <w:left w:w="40" w:type="dxa"/>
          <w:right w:w="40" w:type="dxa"/>
        </w:tblCellMar>
        <w:tblLook w:val="0000" w:firstRow="0" w:lastRow="0" w:firstColumn="0" w:lastColumn="0" w:noHBand="0" w:noVBand="0"/>
      </w:tblPr>
      <w:tblGrid>
        <w:gridCol w:w="1701"/>
        <w:gridCol w:w="709"/>
        <w:gridCol w:w="556"/>
        <w:gridCol w:w="1391"/>
        <w:gridCol w:w="1807"/>
        <w:gridCol w:w="3475"/>
      </w:tblGrid>
      <w:tr w:rsidR="004D4663" w:rsidRPr="00070ADE" w14:paraId="566A14F5" w14:textId="77777777">
        <w:trPr>
          <w:trHeight w:val="384"/>
        </w:trPr>
        <w:tc>
          <w:tcPr>
            <w:tcW w:w="1701" w:type="dxa"/>
            <w:tcBorders>
              <w:top w:val="single" w:sz="6" w:space="0" w:color="auto"/>
              <w:left w:val="single" w:sz="6" w:space="0" w:color="auto"/>
              <w:bottom w:val="nil"/>
              <w:right w:val="single" w:sz="6" w:space="0" w:color="auto"/>
            </w:tcBorders>
          </w:tcPr>
          <w:p w14:paraId="4FD22E4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Машины, завод изготовитель</w:t>
            </w:r>
          </w:p>
          <w:p w14:paraId="4D4751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nil"/>
              <w:right w:val="single" w:sz="6" w:space="0" w:color="auto"/>
            </w:tcBorders>
          </w:tcPr>
          <w:p w14:paraId="440252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Месяц выпуска машины</w:t>
            </w:r>
          </w:p>
          <w:p w14:paraId="282A0E6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nil"/>
              <w:right w:val="single" w:sz="6" w:space="0" w:color="auto"/>
            </w:tcBorders>
          </w:tcPr>
          <w:p w14:paraId="7076C28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Кол-во испытан</w:t>
            </w:r>
            <w:r w:rsidRPr="00070ADE">
              <w:rPr>
                <w:rFonts w:ascii="Times New Roman" w:hAnsi="Times New Roman"/>
                <w:color w:val="000000" w:themeColor="text1"/>
                <w:sz w:val="16"/>
                <w:szCs w:val="16"/>
              </w:rPr>
              <w:softHyphen/>
              <w:t>ных машин</w:t>
            </w:r>
          </w:p>
          <w:p w14:paraId="1710C7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98" w:type="dxa"/>
            <w:gridSpan w:val="2"/>
            <w:tcBorders>
              <w:top w:val="single" w:sz="6" w:space="0" w:color="auto"/>
              <w:left w:val="single" w:sz="6" w:space="0" w:color="auto"/>
              <w:bottom w:val="single" w:sz="6" w:space="0" w:color="auto"/>
              <w:right w:val="single" w:sz="6" w:space="0" w:color="auto"/>
            </w:tcBorders>
          </w:tcPr>
          <w:p w14:paraId="79B6BE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Количество машин</w:t>
            </w:r>
          </w:p>
          <w:p w14:paraId="72B9FF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nil"/>
              <w:right w:val="single" w:sz="6" w:space="0" w:color="auto"/>
            </w:tcBorders>
          </w:tcPr>
          <w:p w14:paraId="64897D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Дефекты, по которым машины испытаний не выдержали</w:t>
            </w:r>
          </w:p>
          <w:p w14:paraId="09A33D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ADFA474" w14:textId="77777777">
        <w:trPr>
          <w:trHeight w:val="394"/>
        </w:trPr>
        <w:tc>
          <w:tcPr>
            <w:tcW w:w="1701" w:type="dxa"/>
            <w:tcBorders>
              <w:top w:val="nil"/>
              <w:left w:val="single" w:sz="6" w:space="0" w:color="auto"/>
              <w:bottom w:val="single" w:sz="6" w:space="0" w:color="auto"/>
              <w:right w:val="single" w:sz="6" w:space="0" w:color="auto"/>
            </w:tcBorders>
          </w:tcPr>
          <w:p w14:paraId="3EB2D0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D00FB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nil"/>
              <w:left w:val="single" w:sz="6" w:space="0" w:color="auto"/>
              <w:bottom w:val="single" w:sz="6" w:space="0" w:color="auto"/>
              <w:right w:val="single" w:sz="6" w:space="0" w:color="auto"/>
            </w:tcBorders>
          </w:tcPr>
          <w:p w14:paraId="59AECC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1E338F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nil"/>
              <w:left w:val="single" w:sz="6" w:space="0" w:color="auto"/>
              <w:bottom w:val="single" w:sz="6" w:space="0" w:color="auto"/>
              <w:right w:val="single" w:sz="6" w:space="0" w:color="auto"/>
            </w:tcBorders>
          </w:tcPr>
          <w:p w14:paraId="250C6C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8BDEDE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595D19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Выдержавших испытание</w:t>
            </w:r>
          </w:p>
          <w:p w14:paraId="639CA8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0BFEAA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 выдержавших испытание</w:t>
            </w:r>
          </w:p>
          <w:p w14:paraId="43D020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nil"/>
              <w:left w:val="single" w:sz="6" w:space="0" w:color="auto"/>
              <w:bottom w:val="single" w:sz="6" w:space="0" w:color="auto"/>
              <w:right w:val="single" w:sz="6" w:space="0" w:color="auto"/>
            </w:tcBorders>
          </w:tcPr>
          <w:p w14:paraId="228086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A25D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9D10458" w14:textId="77777777">
        <w:trPr>
          <w:trHeight w:val="250"/>
        </w:trPr>
        <w:tc>
          <w:tcPr>
            <w:tcW w:w="1701" w:type="dxa"/>
            <w:tcBorders>
              <w:top w:val="single" w:sz="6" w:space="0" w:color="auto"/>
              <w:left w:val="single" w:sz="6" w:space="0" w:color="auto"/>
              <w:bottom w:val="single" w:sz="6" w:space="0" w:color="auto"/>
              <w:right w:val="single" w:sz="6" w:space="0" w:color="auto"/>
            </w:tcBorders>
          </w:tcPr>
          <w:p w14:paraId="20B4F8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A61C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38" w:type="dxa"/>
            <w:gridSpan w:val="5"/>
            <w:tcBorders>
              <w:top w:val="single" w:sz="6" w:space="0" w:color="auto"/>
              <w:left w:val="single" w:sz="6" w:space="0" w:color="auto"/>
              <w:bottom w:val="single" w:sz="6" w:space="0" w:color="auto"/>
              <w:right w:val="single" w:sz="6" w:space="0" w:color="auto"/>
            </w:tcBorders>
          </w:tcPr>
          <w:p w14:paraId="549A90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танкам</w:t>
            </w:r>
          </w:p>
          <w:p w14:paraId="48B95A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C0C6349" w14:textId="77777777">
        <w:trPr>
          <w:trHeight w:val="1632"/>
        </w:trPr>
        <w:tc>
          <w:tcPr>
            <w:tcW w:w="1701" w:type="dxa"/>
            <w:tcBorders>
              <w:top w:val="single" w:sz="6" w:space="0" w:color="auto"/>
              <w:left w:val="single" w:sz="6" w:space="0" w:color="auto"/>
              <w:bottom w:val="nil"/>
              <w:right w:val="single" w:sz="6" w:space="0" w:color="auto"/>
            </w:tcBorders>
          </w:tcPr>
          <w:p w14:paraId="32A047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ИС-2, Кировский завод</w:t>
            </w:r>
          </w:p>
          <w:p w14:paraId="49E05D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F79DA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w:t>
            </w:r>
          </w:p>
          <w:p w14:paraId="40CAF5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453687C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5804B3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476991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37F8FA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65A3DA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59FDC9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782BF7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1-й Поломка хвостовика привода водяного насоса дви</w:t>
            </w:r>
            <w:r w:rsidRPr="00070ADE">
              <w:rPr>
                <w:rFonts w:ascii="Times New Roman" w:hAnsi="Times New Roman"/>
                <w:color w:val="000000" w:themeColor="text1"/>
                <w:sz w:val="16"/>
                <w:szCs w:val="16"/>
              </w:rPr>
              <w:softHyphen/>
              <w:t>гателя на 126 км. Излом торсионного вала подвес</w:t>
            </w:r>
            <w:r w:rsidRPr="00070ADE">
              <w:rPr>
                <w:rFonts w:ascii="Times New Roman" w:hAnsi="Times New Roman"/>
                <w:color w:val="000000" w:themeColor="text1"/>
                <w:sz w:val="16"/>
                <w:szCs w:val="16"/>
              </w:rPr>
              <w:softHyphen/>
              <w:t>ки на 288 км. Разрушение подшипников сателли</w:t>
            </w:r>
            <w:r w:rsidRPr="00070ADE">
              <w:rPr>
                <w:rFonts w:ascii="Times New Roman" w:hAnsi="Times New Roman"/>
                <w:color w:val="000000" w:themeColor="text1"/>
                <w:sz w:val="16"/>
                <w:szCs w:val="16"/>
              </w:rPr>
              <w:softHyphen/>
              <w:t>тов планетарного механизма поворота на 263 км. Танк 2-й Поломка диска ведущего колеса на 43 км. Излом зубьев шестерни привода топливного насоса двигателя на 404 км.</w:t>
            </w:r>
          </w:p>
          <w:p w14:paraId="49BA52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6F237D3" w14:textId="77777777">
        <w:trPr>
          <w:trHeight w:val="547"/>
        </w:trPr>
        <w:tc>
          <w:tcPr>
            <w:tcW w:w="1701" w:type="dxa"/>
            <w:tcBorders>
              <w:top w:val="nil"/>
              <w:left w:val="single" w:sz="6" w:space="0" w:color="auto"/>
              <w:bottom w:val="nil"/>
              <w:right w:val="single" w:sz="6" w:space="0" w:color="auto"/>
            </w:tcBorders>
          </w:tcPr>
          <w:p w14:paraId="52498D6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AC3B1B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085A3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апрель</w:t>
            </w:r>
          </w:p>
          <w:p w14:paraId="51ECC5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03702C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015B48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2607E9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1885A2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59B5D0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2F0358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2E5B3A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Разрушение 3-х подшипников опорных катков на 308, 312 и 328 км. Обрыв всех болтов крепления картера подъемного механизма.</w:t>
            </w:r>
          </w:p>
          <w:p w14:paraId="7CE5CCE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8E27864" w14:textId="77777777">
        <w:trPr>
          <w:trHeight w:val="384"/>
        </w:trPr>
        <w:tc>
          <w:tcPr>
            <w:tcW w:w="1701" w:type="dxa"/>
            <w:tcBorders>
              <w:top w:val="nil"/>
              <w:left w:val="single" w:sz="6" w:space="0" w:color="auto"/>
              <w:bottom w:val="single" w:sz="6" w:space="0" w:color="auto"/>
              <w:right w:val="single" w:sz="6" w:space="0" w:color="auto"/>
            </w:tcBorders>
          </w:tcPr>
          <w:p w14:paraId="655449D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DA1425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E7B45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май</w:t>
            </w:r>
          </w:p>
          <w:p w14:paraId="3A29BC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6E2D69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5F2C82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98" w:type="dxa"/>
            <w:gridSpan w:val="2"/>
            <w:tcBorders>
              <w:top w:val="single" w:sz="6" w:space="0" w:color="auto"/>
              <w:left w:val="single" w:sz="6" w:space="0" w:color="auto"/>
              <w:bottom w:val="single" w:sz="6" w:space="0" w:color="auto"/>
              <w:right w:val="single" w:sz="6" w:space="0" w:color="auto"/>
            </w:tcBorders>
          </w:tcPr>
          <w:p w14:paraId="4999A9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Испытание не закончено; по состоянию на 1 5.06. 1 944 года танк прошел 785 км</w:t>
            </w:r>
          </w:p>
          <w:p w14:paraId="2719AE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1F514B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D881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8FF49B8" w14:textId="77777777">
        <w:trPr>
          <w:trHeight w:val="518"/>
        </w:trPr>
        <w:tc>
          <w:tcPr>
            <w:tcW w:w="1701" w:type="dxa"/>
            <w:tcBorders>
              <w:top w:val="single" w:sz="6" w:space="0" w:color="auto"/>
              <w:left w:val="single" w:sz="6" w:space="0" w:color="auto"/>
              <w:bottom w:val="nil"/>
              <w:right w:val="single" w:sz="6" w:space="0" w:color="auto"/>
            </w:tcBorders>
          </w:tcPr>
          <w:p w14:paraId="53318A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 Завод №183</w:t>
            </w:r>
          </w:p>
          <w:p w14:paraId="2EA927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A6737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w:t>
            </w:r>
          </w:p>
          <w:p w14:paraId="54D2F8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3C84C32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4C3E9F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198C35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32F131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6A0422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3B9A91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33D674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Обрыв 2-х шпилек крепления привода топливно</w:t>
            </w:r>
            <w:r w:rsidRPr="00070ADE">
              <w:rPr>
                <w:rFonts w:ascii="Times New Roman" w:hAnsi="Times New Roman"/>
                <w:color w:val="000000" w:themeColor="text1"/>
                <w:sz w:val="16"/>
                <w:szCs w:val="16"/>
              </w:rPr>
              <w:softHyphen/>
              <w:t>го насоса двигателя на 207 км. Разрушение ре</w:t>
            </w:r>
            <w:r w:rsidRPr="00070ADE">
              <w:rPr>
                <w:rFonts w:ascii="Times New Roman" w:hAnsi="Times New Roman"/>
                <w:color w:val="000000" w:themeColor="text1"/>
                <w:sz w:val="16"/>
                <w:szCs w:val="16"/>
              </w:rPr>
              <w:softHyphen/>
              <w:t>зинового бандажа опорного катка на 822 км.</w:t>
            </w:r>
          </w:p>
          <w:p w14:paraId="454CA9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910A1C6" w14:textId="77777777">
        <w:trPr>
          <w:trHeight w:val="538"/>
        </w:trPr>
        <w:tc>
          <w:tcPr>
            <w:tcW w:w="1701" w:type="dxa"/>
            <w:tcBorders>
              <w:top w:val="nil"/>
              <w:left w:val="single" w:sz="6" w:space="0" w:color="auto"/>
              <w:bottom w:val="nil"/>
              <w:right w:val="single" w:sz="6" w:space="0" w:color="auto"/>
            </w:tcBorders>
          </w:tcPr>
          <w:p w14:paraId="64BBEF6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8DD5C2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F24198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апрель</w:t>
            </w:r>
          </w:p>
          <w:p w14:paraId="26F545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2A88CA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5CD3209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2A9521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36325E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455F2C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6F32CE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0B2F9A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Поломка хвостовика нижнего вертикального валика привода водяного насоса двигателя. Обрыв болтов крепления ведущего колеса.</w:t>
            </w:r>
          </w:p>
          <w:p w14:paraId="3C5021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414651F" w14:textId="77777777">
        <w:trPr>
          <w:trHeight w:val="192"/>
        </w:trPr>
        <w:tc>
          <w:tcPr>
            <w:tcW w:w="1701" w:type="dxa"/>
            <w:tcBorders>
              <w:top w:val="nil"/>
              <w:left w:val="single" w:sz="6" w:space="0" w:color="auto"/>
              <w:bottom w:val="single" w:sz="6" w:space="0" w:color="auto"/>
              <w:right w:val="single" w:sz="6" w:space="0" w:color="auto"/>
            </w:tcBorders>
          </w:tcPr>
          <w:p w14:paraId="3E1B0FA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F347A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B5F4FB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май</w:t>
            </w:r>
          </w:p>
          <w:p w14:paraId="628314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59AF87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3E0125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4D0078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260A61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77451F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31D808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47D039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47EB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4CEDAF8" w14:textId="77777777">
        <w:trPr>
          <w:trHeight w:val="720"/>
        </w:trPr>
        <w:tc>
          <w:tcPr>
            <w:tcW w:w="1701" w:type="dxa"/>
            <w:tcBorders>
              <w:top w:val="single" w:sz="6" w:space="0" w:color="auto"/>
              <w:left w:val="single" w:sz="6" w:space="0" w:color="auto"/>
              <w:bottom w:val="nil"/>
              <w:right w:val="single" w:sz="6" w:space="0" w:color="auto"/>
            </w:tcBorders>
          </w:tcPr>
          <w:p w14:paraId="2D7834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 Завод №112</w:t>
            </w:r>
          </w:p>
          <w:p w14:paraId="777280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EAF6F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w:t>
            </w:r>
          </w:p>
          <w:p w14:paraId="2B5517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7A6060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5E5B22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6951AD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7D76B1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4D76B9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5EA4FA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7A21C9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Поломка хвостовика валика механизма и ворота башни на 191 км. Разрушение хвостовика нижнего вертикального валика привода водяного насоса двигателя на 548 км.</w:t>
            </w:r>
          </w:p>
          <w:p w14:paraId="7D39932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A27231E" w14:textId="77777777">
        <w:trPr>
          <w:trHeight w:val="1123"/>
        </w:trPr>
        <w:tc>
          <w:tcPr>
            <w:tcW w:w="1701" w:type="dxa"/>
            <w:tcBorders>
              <w:top w:val="nil"/>
              <w:left w:val="single" w:sz="6" w:space="0" w:color="auto"/>
              <w:bottom w:val="single" w:sz="6" w:space="0" w:color="auto"/>
              <w:right w:val="single" w:sz="6" w:space="0" w:color="auto"/>
            </w:tcBorders>
          </w:tcPr>
          <w:p w14:paraId="2EB31E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8A80B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1DB4A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апрель</w:t>
            </w:r>
          </w:p>
          <w:p w14:paraId="64CB42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64B004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4FB0DC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4F064C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3FAD9B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022046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2B495E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38A9CC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Танк 1 -и Разрыв болтов стопора башни на 485 км. Обрыв шатуна двигателя на 744 км. Танк 2-й Разрыв болтов стопора башни на 163 км. Скру</w:t>
            </w:r>
            <w:r w:rsidRPr="00070ADE">
              <w:rPr>
                <w:rFonts w:ascii="Times New Roman" w:hAnsi="Times New Roman"/>
                <w:color w:val="000000" w:themeColor="text1"/>
                <w:sz w:val="16"/>
                <w:szCs w:val="16"/>
              </w:rPr>
              <w:softHyphen/>
              <w:t>тился вертикальный валик двигателя на 179 км.</w:t>
            </w:r>
          </w:p>
          <w:p w14:paraId="652867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D23E5BF" w14:textId="77777777">
        <w:trPr>
          <w:trHeight w:val="202"/>
        </w:trPr>
        <w:tc>
          <w:tcPr>
            <w:tcW w:w="1701" w:type="dxa"/>
            <w:tcBorders>
              <w:top w:val="single" w:sz="6" w:space="0" w:color="auto"/>
              <w:left w:val="single" w:sz="6" w:space="0" w:color="auto"/>
              <w:bottom w:val="single" w:sz="6" w:space="0" w:color="auto"/>
              <w:right w:val="single" w:sz="6" w:space="0" w:color="auto"/>
            </w:tcBorders>
          </w:tcPr>
          <w:p w14:paraId="2A7B2F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Т-34, Кировский завод</w:t>
            </w:r>
          </w:p>
          <w:p w14:paraId="52C9214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90E579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w:t>
            </w:r>
          </w:p>
          <w:p w14:paraId="0642270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32E0DB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774791D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0FB3E24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02FC24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1E1E39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089684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1168E2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B7E6F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5DA45BE" w14:textId="77777777">
        <w:trPr>
          <w:trHeight w:val="154"/>
        </w:trPr>
        <w:tc>
          <w:tcPr>
            <w:tcW w:w="2966" w:type="dxa"/>
            <w:gridSpan w:val="3"/>
            <w:tcBorders>
              <w:top w:val="single" w:sz="6" w:space="0" w:color="auto"/>
              <w:left w:val="single" w:sz="6" w:space="0" w:color="auto"/>
              <w:bottom w:val="nil"/>
              <w:right w:val="nil"/>
            </w:tcBorders>
          </w:tcPr>
          <w:p w14:paraId="7531B8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89EB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nil"/>
              <w:bottom w:val="single" w:sz="6" w:space="0" w:color="auto"/>
              <w:right w:val="nil"/>
            </w:tcBorders>
          </w:tcPr>
          <w:p w14:paraId="392245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самоходным</w:t>
            </w:r>
          </w:p>
          <w:p w14:paraId="72C5A6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2" w:type="dxa"/>
            <w:gridSpan w:val="2"/>
            <w:tcBorders>
              <w:top w:val="single" w:sz="6" w:space="0" w:color="auto"/>
              <w:left w:val="nil"/>
              <w:bottom w:val="nil"/>
              <w:right w:val="single" w:sz="6" w:space="0" w:color="auto"/>
            </w:tcBorders>
          </w:tcPr>
          <w:p w14:paraId="2380D3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артустановкам</w:t>
            </w:r>
          </w:p>
          <w:p w14:paraId="2043D8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97F2931" w14:textId="77777777">
        <w:trPr>
          <w:trHeight w:val="106"/>
        </w:trPr>
        <w:tc>
          <w:tcPr>
            <w:tcW w:w="2966" w:type="dxa"/>
            <w:gridSpan w:val="3"/>
            <w:tcBorders>
              <w:top w:val="nil"/>
              <w:left w:val="single" w:sz="6" w:space="0" w:color="auto"/>
              <w:bottom w:val="single" w:sz="6" w:space="0" w:color="auto"/>
              <w:right w:val="nil"/>
            </w:tcBorders>
          </w:tcPr>
          <w:p w14:paraId="01B27F2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7C437E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nil"/>
              <w:bottom w:val="single" w:sz="6" w:space="0" w:color="auto"/>
              <w:right w:val="nil"/>
            </w:tcBorders>
          </w:tcPr>
          <w:p w14:paraId="7DA0AE9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56F7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2" w:type="dxa"/>
            <w:gridSpan w:val="2"/>
            <w:tcBorders>
              <w:top w:val="nil"/>
              <w:left w:val="nil"/>
              <w:bottom w:val="single" w:sz="6" w:space="0" w:color="auto"/>
              <w:right w:val="single" w:sz="6" w:space="0" w:color="auto"/>
            </w:tcBorders>
          </w:tcPr>
          <w:p w14:paraId="5B6A73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E9B2D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C721E1C" w14:textId="77777777">
        <w:trPr>
          <w:trHeight w:val="1574"/>
        </w:trPr>
        <w:tc>
          <w:tcPr>
            <w:tcW w:w="1701" w:type="dxa"/>
            <w:tcBorders>
              <w:top w:val="single" w:sz="6" w:space="0" w:color="auto"/>
              <w:left w:val="single" w:sz="6" w:space="0" w:color="auto"/>
              <w:bottom w:val="nil"/>
              <w:right w:val="single" w:sz="6" w:space="0" w:color="auto"/>
            </w:tcBorders>
          </w:tcPr>
          <w:p w14:paraId="0E5C08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ИСУ-152, Кировский завод</w:t>
            </w:r>
          </w:p>
          <w:p w14:paraId="7BACDC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192BE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w:t>
            </w:r>
          </w:p>
          <w:p w14:paraId="65B4B5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60A0796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075D37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1E34C0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68CB9B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661CDC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7C4F82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1148CD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Машина 1-я Разрушение щеки кривошипа ленивца на 165 км. Раз</w:t>
            </w:r>
            <w:r w:rsidRPr="00070ADE">
              <w:rPr>
                <w:rFonts w:ascii="Times New Roman" w:hAnsi="Times New Roman"/>
                <w:color w:val="000000" w:themeColor="text1"/>
                <w:sz w:val="16"/>
                <w:szCs w:val="16"/>
              </w:rPr>
              <w:softHyphen/>
              <w:t>рушение торсиона переднего опорного катка и проуши</w:t>
            </w:r>
            <w:r w:rsidRPr="00070ADE">
              <w:rPr>
                <w:rFonts w:ascii="Times New Roman" w:hAnsi="Times New Roman"/>
                <w:color w:val="000000" w:themeColor="text1"/>
                <w:sz w:val="16"/>
                <w:szCs w:val="16"/>
              </w:rPr>
              <w:softHyphen/>
              <w:t>ны малой тормозной ленты на 625 км. Пробита про</w:t>
            </w:r>
            <w:r w:rsidRPr="00070ADE">
              <w:rPr>
                <w:rFonts w:ascii="Times New Roman" w:hAnsi="Times New Roman"/>
                <w:color w:val="000000" w:themeColor="text1"/>
                <w:sz w:val="16"/>
                <w:szCs w:val="16"/>
              </w:rPr>
              <w:softHyphen/>
              <w:t>кладка головки блока цилиндров двигателя на 705 км. Машина 2-я Разрушение щеки кривошипа ленивца на 51 км. Обрыв малой тормозной ленты на 740 и 821 км.</w:t>
            </w:r>
          </w:p>
          <w:p w14:paraId="310A1F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1B30D8F" w14:textId="77777777">
        <w:trPr>
          <w:trHeight w:val="547"/>
        </w:trPr>
        <w:tc>
          <w:tcPr>
            <w:tcW w:w="1701" w:type="dxa"/>
            <w:tcBorders>
              <w:top w:val="nil"/>
              <w:left w:val="single" w:sz="6" w:space="0" w:color="auto"/>
              <w:bottom w:val="single" w:sz="6" w:space="0" w:color="auto"/>
              <w:right w:val="single" w:sz="6" w:space="0" w:color="auto"/>
            </w:tcBorders>
          </w:tcPr>
          <w:p w14:paraId="70FA0B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3A8C21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C2AC6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апрель</w:t>
            </w:r>
          </w:p>
          <w:p w14:paraId="5007FD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5D97E7E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27A8CA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117FEA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734AAF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132C83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2DBB37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024A45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Разрушение подшипников опорного катка на 360 км. Скручивание рессорного валика проставки электроинерционного стартера на 363 км.</w:t>
            </w:r>
          </w:p>
          <w:p w14:paraId="7652CD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A3C31CB" w14:textId="77777777">
        <w:trPr>
          <w:trHeight w:val="365"/>
        </w:trPr>
        <w:tc>
          <w:tcPr>
            <w:tcW w:w="1701" w:type="dxa"/>
            <w:tcBorders>
              <w:top w:val="single" w:sz="6" w:space="0" w:color="auto"/>
              <w:left w:val="single" w:sz="6" w:space="0" w:color="auto"/>
              <w:bottom w:val="single" w:sz="6" w:space="0" w:color="auto"/>
              <w:right w:val="single" w:sz="6" w:space="0" w:color="auto"/>
            </w:tcBorders>
          </w:tcPr>
          <w:p w14:paraId="2D1C1F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ИСУ-122</w:t>
            </w:r>
          </w:p>
          <w:p w14:paraId="2AF761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F6EB8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май</w:t>
            </w:r>
          </w:p>
          <w:p w14:paraId="05A623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519CD5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08BCB5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4A8A7B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3DB4E0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5F0D88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252DBB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66729A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Разрушение подшипника промежуточного вала коробки передачи на 61 8 км.</w:t>
            </w:r>
          </w:p>
          <w:p w14:paraId="55932D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491653D" w14:textId="77777777">
        <w:trPr>
          <w:trHeight w:val="758"/>
        </w:trPr>
        <w:tc>
          <w:tcPr>
            <w:tcW w:w="1701" w:type="dxa"/>
            <w:tcBorders>
              <w:top w:val="single" w:sz="6" w:space="0" w:color="auto"/>
              <w:left w:val="single" w:sz="6" w:space="0" w:color="auto"/>
              <w:bottom w:val="single" w:sz="6" w:space="0" w:color="auto"/>
              <w:right w:val="single" w:sz="6" w:space="0" w:color="auto"/>
            </w:tcBorders>
          </w:tcPr>
          <w:p w14:paraId="424EF3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СУ-85, Уралмашзавод</w:t>
            </w:r>
          </w:p>
          <w:p w14:paraId="69CEAC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8C0BE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февраль-апрель</w:t>
            </w:r>
          </w:p>
          <w:p w14:paraId="555FE3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5A9AA6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1 1</w:t>
            </w:r>
          </w:p>
          <w:p w14:paraId="79FE4A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2B73B7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1 0</w:t>
            </w:r>
          </w:p>
          <w:p w14:paraId="11619D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68D41B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0 1</w:t>
            </w:r>
          </w:p>
          <w:p w14:paraId="2C3E33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6954EC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Разрушение резьбы червяка привода спидомет</w:t>
            </w:r>
            <w:r w:rsidRPr="00070ADE">
              <w:rPr>
                <w:rFonts w:ascii="Times New Roman" w:hAnsi="Times New Roman"/>
                <w:color w:val="000000" w:themeColor="text1"/>
                <w:sz w:val="16"/>
                <w:szCs w:val="16"/>
              </w:rPr>
              <w:softHyphen/>
              <w:t>ра на 400 км. Разрушение обоймы наружного ко</w:t>
            </w:r>
            <w:r w:rsidRPr="00070ADE">
              <w:rPr>
                <w:rFonts w:ascii="Times New Roman" w:hAnsi="Times New Roman"/>
                <w:color w:val="000000" w:themeColor="text1"/>
                <w:sz w:val="16"/>
                <w:szCs w:val="16"/>
              </w:rPr>
              <w:softHyphen/>
              <w:t>нического роликоподшипника левой бортовой передачи на 524 км.</w:t>
            </w:r>
          </w:p>
          <w:p w14:paraId="7A0C4A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B4FDD9A" w14:textId="77777777">
        <w:trPr>
          <w:trHeight w:val="346"/>
        </w:trPr>
        <w:tc>
          <w:tcPr>
            <w:tcW w:w="1701" w:type="dxa"/>
            <w:tcBorders>
              <w:top w:val="nil"/>
              <w:left w:val="single" w:sz="6" w:space="0" w:color="auto"/>
              <w:bottom w:val="single" w:sz="6" w:space="0" w:color="auto"/>
              <w:right w:val="single" w:sz="6" w:space="0" w:color="auto"/>
            </w:tcBorders>
          </w:tcPr>
          <w:p w14:paraId="18E59D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BC583B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nil"/>
              <w:left w:val="single" w:sz="6" w:space="0" w:color="auto"/>
              <w:bottom w:val="single" w:sz="6" w:space="0" w:color="auto"/>
              <w:right w:val="single" w:sz="6" w:space="0" w:color="auto"/>
            </w:tcBorders>
          </w:tcPr>
          <w:p w14:paraId="235AAE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8D675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nil"/>
              <w:left w:val="single" w:sz="6" w:space="0" w:color="auto"/>
              <w:bottom w:val="single" w:sz="6" w:space="0" w:color="auto"/>
              <w:right w:val="single" w:sz="6" w:space="0" w:color="auto"/>
            </w:tcBorders>
          </w:tcPr>
          <w:p w14:paraId="067745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8A43E7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nil"/>
              <w:left w:val="single" w:sz="6" w:space="0" w:color="auto"/>
              <w:bottom w:val="single" w:sz="6" w:space="0" w:color="auto"/>
              <w:right w:val="single" w:sz="6" w:space="0" w:color="auto"/>
            </w:tcBorders>
          </w:tcPr>
          <w:p w14:paraId="3FFCFA2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7166A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620E63F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испытание</w:t>
            </w:r>
          </w:p>
          <w:p w14:paraId="5D1D15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nil"/>
              <w:left w:val="single" w:sz="6" w:space="0" w:color="auto"/>
              <w:bottom w:val="single" w:sz="6" w:space="0" w:color="auto"/>
              <w:right w:val="single" w:sz="6" w:space="0" w:color="auto"/>
            </w:tcBorders>
          </w:tcPr>
          <w:p w14:paraId="3FD1A0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01E2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0CD425F" w14:textId="77777777">
        <w:trPr>
          <w:trHeight w:val="1478"/>
        </w:trPr>
        <w:tc>
          <w:tcPr>
            <w:tcW w:w="1701" w:type="dxa"/>
            <w:tcBorders>
              <w:top w:val="single" w:sz="6" w:space="0" w:color="auto"/>
              <w:left w:val="single" w:sz="6" w:space="0" w:color="auto"/>
              <w:bottom w:val="single" w:sz="6" w:space="0" w:color="auto"/>
              <w:right w:val="single" w:sz="6" w:space="0" w:color="auto"/>
            </w:tcBorders>
          </w:tcPr>
          <w:p w14:paraId="31F528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СУ-76, завод им. Ммогова(НКСМ)</w:t>
            </w:r>
          </w:p>
          <w:p w14:paraId="2518C7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2B020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w:t>
            </w:r>
          </w:p>
          <w:p w14:paraId="79E6DE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28EE899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6220D8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211693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7A3128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4AEC32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6250F3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56A5F9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Машина 1-я Разрушение хвостовика ведущей шестерни главной пере</w:t>
            </w:r>
            <w:r w:rsidRPr="00070ADE">
              <w:rPr>
                <w:rFonts w:ascii="Times New Roman" w:hAnsi="Times New Roman"/>
                <w:color w:val="000000" w:themeColor="text1"/>
                <w:sz w:val="16"/>
                <w:szCs w:val="16"/>
              </w:rPr>
              <w:softHyphen/>
              <w:t>дачи на 122 км. Разрушение торсионного вала 6-го опор</w:t>
            </w:r>
            <w:r w:rsidRPr="00070ADE">
              <w:rPr>
                <w:rFonts w:ascii="Times New Roman" w:hAnsi="Times New Roman"/>
                <w:color w:val="000000" w:themeColor="text1"/>
                <w:sz w:val="16"/>
                <w:szCs w:val="16"/>
              </w:rPr>
              <w:softHyphen/>
              <w:t>ного катка правой стороны на 959 км.</w:t>
            </w:r>
          </w:p>
          <w:p w14:paraId="38710B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Выход из строя дистрибьютора заднего двигате</w:t>
            </w:r>
            <w:r w:rsidRPr="00070ADE">
              <w:rPr>
                <w:rFonts w:ascii="Times New Roman" w:hAnsi="Times New Roman"/>
                <w:color w:val="000000" w:themeColor="text1"/>
                <w:sz w:val="16"/>
                <w:szCs w:val="16"/>
              </w:rPr>
              <w:softHyphen/>
              <w:t>ля на 489 км. Поломка чашки соединительной муфты главной передачи на 693 км.</w:t>
            </w:r>
          </w:p>
          <w:p w14:paraId="63D22B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E417718" w14:textId="77777777">
        <w:trPr>
          <w:trHeight w:val="518"/>
        </w:trPr>
        <w:tc>
          <w:tcPr>
            <w:tcW w:w="1701" w:type="dxa"/>
            <w:tcBorders>
              <w:top w:val="single" w:sz="6" w:space="0" w:color="auto"/>
              <w:left w:val="single" w:sz="6" w:space="0" w:color="auto"/>
              <w:bottom w:val="nil"/>
              <w:right w:val="single" w:sz="6" w:space="0" w:color="auto"/>
            </w:tcBorders>
          </w:tcPr>
          <w:p w14:paraId="2D77DE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СУ-76, ГАЗ им. Ммогова</w:t>
            </w:r>
          </w:p>
          <w:p w14:paraId="6AA094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D68C4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апрель</w:t>
            </w:r>
          </w:p>
          <w:p w14:paraId="273D86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7E5E69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070D63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27B09A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3D1FF8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0E9877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0A27E8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381610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Разрушение подшипников ленивца на 306 км. Поломка стопора оси заднего хода КПП и выход оси картера на 63 и 986 км.</w:t>
            </w:r>
          </w:p>
          <w:p w14:paraId="4172054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F85FCF1" w14:textId="77777777">
        <w:trPr>
          <w:trHeight w:val="221"/>
        </w:trPr>
        <w:tc>
          <w:tcPr>
            <w:tcW w:w="1701" w:type="dxa"/>
            <w:tcBorders>
              <w:top w:val="nil"/>
              <w:left w:val="single" w:sz="6" w:space="0" w:color="auto"/>
              <w:bottom w:val="single" w:sz="6" w:space="0" w:color="auto"/>
              <w:right w:val="single" w:sz="6" w:space="0" w:color="auto"/>
            </w:tcBorders>
          </w:tcPr>
          <w:p w14:paraId="4082A8B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F8E41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F6182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май</w:t>
            </w:r>
          </w:p>
          <w:p w14:paraId="1ACEFA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1161DA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7206A9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04A061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17BCA32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3ACB3A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219010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2ED99E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Дефектов не имела.</w:t>
            </w:r>
          </w:p>
          <w:p w14:paraId="6D92B0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7C5B46C" w14:textId="77777777">
        <w:trPr>
          <w:trHeight w:val="154"/>
        </w:trPr>
        <w:tc>
          <w:tcPr>
            <w:tcW w:w="1701" w:type="dxa"/>
            <w:tcBorders>
              <w:top w:val="single" w:sz="6" w:space="0" w:color="auto"/>
              <w:left w:val="single" w:sz="6" w:space="0" w:color="auto"/>
              <w:bottom w:val="nil"/>
              <w:right w:val="single" w:sz="6" w:space="0" w:color="auto"/>
            </w:tcBorders>
          </w:tcPr>
          <w:p w14:paraId="424572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СУ-76, завод №40 (НКСМ)</w:t>
            </w:r>
          </w:p>
          <w:p w14:paraId="7D5601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nil"/>
              <w:right w:val="single" w:sz="6" w:space="0" w:color="auto"/>
            </w:tcBorders>
          </w:tcPr>
          <w:p w14:paraId="67828A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w:t>
            </w:r>
          </w:p>
          <w:p w14:paraId="160600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nil"/>
              <w:right w:val="single" w:sz="6" w:space="0" w:color="auto"/>
            </w:tcBorders>
          </w:tcPr>
          <w:p w14:paraId="7F3B9A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2C90F3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nil"/>
              <w:right w:val="single" w:sz="6" w:space="0" w:color="auto"/>
            </w:tcBorders>
          </w:tcPr>
          <w:p w14:paraId="4FC94B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785AEC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nil"/>
              <w:right w:val="single" w:sz="6" w:space="0" w:color="auto"/>
            </w:tcBorders>
          </w:tcPr>
          <w:p w14:paraId="5339F79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71DC345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27D101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Машина 1-я</w:t>
            </w:r>
          </w:p>
          <w:p w14:paraId="1839AD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FD759B8" w14:textId="77777777">
        <w:trPr>
          <w:trHeight w:val="1296"/>
        </w:trPr>
        <w:tc>
          <w:tcPr>
            <w:tcW w:w="1701" w:type="dxa"/>
            <w:tcBorders>
              <w:top w:val="nil"/>
              <w:left w:val="single" w:sz="6" w:space="0" w:color="auto"/>
              <w:bottom w:val="nil"/>
              <w:right w:val="single" w:sz="6" w:space="0" w:color="auto"/>
            </w:tcBorders>
          </w:tcPr>
          <w:p w14:paraId="76A79E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773AE8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nil"/>
              <w:left w:val="single" w:sz="6" w:space="0" w:color="auto"/>
              <w:bottom w:val="single" w:sz="6" w:space="0" w:color="auto"/>
              <w:right w:val="single" w:sz="6" w:space="0" w:color="auto"/>
            </w:tcBorders>
          </w:tcPr>
          <w:p w14:paraId="4BFC43C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7C1A42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nil"/>
              <w:left w:val="single" w:sz="6" w:space="0" w:color="auto"/>
              <w:bottom w:val="single" w:sz="6" w:space="0" w:color="auto"/>
              <w:right w:val="single" w:sz="6" w:space="0" w:color="auto"/>
            </w:tcBorders>
          </w:tcPr>
          <w:p w14:paraId="4AC34B1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125039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nil"/>
              <w:left w:val="single" w:sz="6" w:space="0" w:color="auto"/>
              <w:bottom w:val="single" w:sz="6" w:space="0" w:color="auto"/>
              <w:right w:val="single" w:sz="6" w:space="0" w:color="auto"/>
            </w:tcBorders>
          </w:tcPr>
          <w:p w14:paraId="44081F0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69A776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nil"/>
              <w:left w:val="single" w:sz="6" w:space="0" w:color="auto"/>
              <w:bottom w:val="single" w:sz="6" w:space="0" w:color="auto"/>
              <w:right w:val="single" w:sz="6" w:space="0" w:color="auto"/>
            </w:tcBorders>
          </w:tcPr>
          <w:p w14:paraId="6EE4796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E1302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4A53891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Обрыв фланца чашки соединительной муфты главной передачи на 332 и 693 км. Износ зубьев соединительной шестерни и соединительной муфты главной передачи. Машина 2-я Скручивание торсиона переднего правого катка на 501 км.</w:t>
            </w:r>
          </w:p>
          <w:p w14:paraId="01BF381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D393075" w14:textId="77777777">
        <w:trPr>
          <w:trHeight w:val="557"/>
        </w:trPr>
        <w:tc>
          <w:tcPr>
            <w:tcW w:w="1701" w:type="dxa"/>
            <w:tcBorders>
              <w:top w:val="nil"/>
              <w:left w:val="single" w:sz="6" w:space="0" w:color="auto"/>
              <w:bottom w:val="single" w:sz="6" w:space="0" w:color="auto"/>
              <w:right w:val="single" w:sz="6" w:space="0" w:color="auto"/>
            </w:tcBorders>
          </w:tcPr>
          <w:p w14:paraId="2399A46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84451D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0038F5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апрель</w:t>
            </w:r>
          </w:p>
          <w:p w14:paraId="339E39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580414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2F94DD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7D10E2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0BC364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61E99F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5AA9152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239E1D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Разрушение подшипников левого ленивца на 99 км. Разрушение проушины хомута крепления генератора на 766 км.</w:t>
            </w:r>
          </w:p>
          <w:p w14:paraId="03D1A8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4B2312C" w14:textId="77777777">
        <w:trPr>
          <w:trHeight w:val="221"/>
        </w:trPr>
        <w:tc>
          <w:tcPr>
            <w:tcW w:w="1701" w:type="dxa"/>
            <w:tcBorders>
              <w:top w:val="single" w:sz="6" w:space="0" w:color="auto"/>
              <w:left w:val="single" w:sz="6" w:space="0" w:color="auto"/>
              <w:bottom w:val="nil"/>
              <w:right w:val="single" w:sz="6" w:space="0" w:color="auto"/>
            </w:tcBorders>
          </w:tcPr>
          <w:p w14:paraId="3604AD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СУ-76, завод И38(НКТП)</w:t>
            </w:r>
          </w:p>
          <w:p w14:paraId="6C88AA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21067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февраль</w:t>
            </w:r>
          </w:p>
          <w:p w14:paraId="5A5CE4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38AA0D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p w14:paraId="6EC583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2A48075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284D47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37B25A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504BB5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037214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Поломка торсиона переднего опорного катка на 607 км.</w:t>
            </w:r>
          </w:p>
          <w:p w14:paraId="4A99ADE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4223996" w14:textId="77777777">
        <w:trPr>
          <w:trHeight w:val="240"/>
        </w:trPr>
        <w:tc>
          <w:tcPr>
            <w:tcW w:w="1701" w:type="dxa"/>
            <w:tcBorders>
              <w:top w:val="nil"/>
              <w:left w:val="single" w:sz="6" w:space="0" w:color="auto"/>
              <w:bottom w:val="single" w:sz="6" w:space="0" w:color="auto"/>
              <w:right w:val="single" w:sz="6" w:space="0" w:color="auto"/>
            </w:tcBorders>
          </w:tcPr>
          <w:p w14:paraId="431510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A3305B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26FAEA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апрель</w:t>
            </w:r>
          </w:p>
          <w:p w14:paraId="018CF1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Borders>
              <w:top w:val="single" w:sz="6" w:space="0" w:color="auto"/>
              <w:left w:val="single" w:sz="6" w:space="0" w:color="auto"/>
              <w:bottom w:val="single" w:sz="6" w:space="0" w:color="auto"/>
              <w:right w:val="single" w:sz="6" w:space="0" w:color="auto"/>
            </w:tcBorders>
          </w:tcPr>
          <w:p w14:paraId="170EF1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334F99C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1" w:type="dxa"/>
            <w:tcBorders>
              <w:top w:val="single" w:sz="6" w:space="0" w:color="auto"/>
              <w:left w:val="single" w:sz="6" w:space="0" w:color="auto"/>
              <w:bottom w:val="single" w:sz="6" w:space="0" w:color="auto"/>
              <w:right w:val="single" w:sz="6" w:space="0" w:color="auto"/>
            </w:tcBorders>
          </w:tcPr>
          <w:p w14:paraId="0FCBC7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w:t>
            </w:r>
          </w:p>
          <w:p w14:paraId="17B1EF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07" w:type="dxa"/>
            <w:tcBorders>
              <w:top w:val="single" w:sz="6" w:space="0" w:color="auto"/>
              <w:left w:val="single" w:sz="6" w:space="0" w:color="auto"/>
              <w:bottom w:val="single" w:sz="6" w:space="0" w:color="auto"/>
              <w:right w:val="single" w:sz="6" w:space="0" w:color="auto"/>
            </w:tcBorders>
          </w:tcPr>
          <w:p w14:paraId="202DA57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p w14:paraId="1231F4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Borders>
              <w:top w:val="single" w:sz="6" w:space="0" w:color="auto"/>
              <w:left w:val="single" w:sz="6" w:space="0" w:color="auto"/>
              <w:bottom w:val="single" w:sz="6" w:space="0" w:color="auto"/>
              <w:right w:val="single" w:sz="6" w:space="0" w:color="auto"/>
            </w:tcBorders>
          </w:tcPr>
          <w:p w14:paraId="218E01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E5F6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007FC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4D7AC92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ЦАМО. Ф. 38. Оп. 11353а. Д. 361д. Л. 12-15. Копия (11420).</w:t>
      </w:r>
    </w:p>
    <w:p w14:paraId="7A838D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3E68E0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июня 1944 Ждановцы закончили швартовные испытания на СКР "Ястреб". Сданы флоту 28-й и 33-й БМО (строились 3 мес.). Петрозавод передал заказчику 2-й МТ (построен за 10 мес. 22 дней). Заложены на стапельных местах: 23-й МТ-2 и баржа-бензовоз у балтийцев; 20-й МБК (последний катер пр. 161) и 39-й БМО (10671). На Балтийском заводе в работах по постройке и ремонту судов ежедневно участвовало до 540 краснофлотцев (10671). Ждановцы продолжали работы по постройке 8 МТ-1, процент технической готовности которых составлял от 36 до 98. В восстановительных работах на СКР "Вихрь" и на расконсервации механизмов СКР "Зоркий" работало 45 краснофлотцев. По МЗК сделано 48 якорей Холла, 200 литых заготовок для катеров, 10 рулевых машин и др (10671). Группа технологов Оргсудопрома начала разработку поточного метода постройки ТК (10671). Ленинградцы достраивали 6 ПЛ и переоборудовали транспорт "Хейно" в танкер "Балтика". По МЗК изготовили 16 насосов, 38 корпусов подшипников, 15 крышек для масляных фильтров и др. В работах ежедневно участвовало до 250 краснофлотцев (10671). На Петрозаводе строили 8 ТЩ (I серии), имевших процент технической готовности от 23 до 98-ми; для трех ТЩ типа МТ-2 обрабатывался металл и заготовлялись секции. Кроме того, велись работы на БТЩ, 80-тонном понтоне (10671). Катеростроители сдали флоту 15 деревянных боевых катеров, отремонтировали 11; заложен МО (10671).</w:t>
      </w:r>
    </w:p>
    <w:p w14:paraId="5EE3CA0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3C9874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558168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65CB94"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30 июня</w:t>
      </w:r>
      <w:r w:rsidRPr="00070ADE">
        <w:rPr>
          <w:rFonts w:ascii="Times New Roman" w:hAnsi="Times New Roman"/>
          <w:color w:val="000000" w:themeColor="text1"/>
          <w:sz w:val="16"/>
          <w:szCs w:val="16"/>
        </w:rPr>
        <w:t xml:space="preserve"> в 1944 году оперативная сводка Совинформбюро:</w:t>
      </w:r>
    </w:p>
    <w:p w14:paraId="5F3FDAFC"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течение 30 июня между Онежским и Ладожским озёрами наши войска, преодолевая сопротивление и инженерные заграждения противника на лесных дорогах и в межозёрных дефиле, продолжали наступление и заняли более 40 населённых пунктов, в числе которых Святозеро, Вагозеро, Воронова-Сельга, Березовый-Наволок, Матчозеро. Веркиль, Варлов-Лес, Нини-Сельга, Сорбола.</w:t>
      </w:r>
    </w:p>
    <w:p w14:paraId="2FC0D6CE"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Северо-восточнее и севернее города Выборг наши войска овладели опорными пунктами финнов Мякеля, Ихантала, Карисалми, Нятяля и железнодорожной станцией Карисалми.</w:t>
      </w:r>
    </w:p>
    <w:p w14:paraId="13FD6DD6"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Полоцком направлении наши войска, продолжая наступление, овладели районным центром Вилейской области городом Дисна, а также с боями заняли более 100 других населённых пунктов, в том числе крупные населённые пункты Нотляны, Пустоши, Еловини, Богушево, Шенделы, Бобыничи, Прозороки, Чешки, Заулек и железнодорожные станции Горяны, Горчаки, Ореховно, Загайе, Полеваче.</w:t>
      </w:r>
    </w:p>
    <w:p w14:paraId="7C6B6BC7"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Минском направлении наши войска форсировали реку Березина на широком фронте севернее города Борисов и продвинулись к западу от реки на 30 километров. Юго-восточнее города Борисов наши войска вышли к реке Березина. За день боёв на этом направлении наши войска заняли более 50 населённых пунктов, в том числе крупные населённые пункты Лошница, Выдрица, Малые и Большие Негновичи, Велятичи, Немоница, Большие Ухолоды, Леоново и железнодорожную станцию Приямино. Наши войска ворвались в город Борисов, где завязали уличные бои.</w:t>
      </w:r>
    </w:p>
    <w:p w14:paraId="4012A49C"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города Могилев наши войска, форсировав реку Друть, с боями продвигались вперёд и заняли более 80 населённых пунктов, в том числе Михейково, Стахово, Эсьмоны, Староселье, Студенка, Загатье, Суша и железнодорожные станции Друть, Милое, Воничи, Стоялово.</w:t>
      </w:r>
    </w:p>
    <w:p w14:paraId="2641BD21"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города Бобруйск наши войска, развивая успешное наступление, овладели районными центрами Минской области городом и крупной железнодорожной станцией Слуцк, городом Любань, а также с боями заняли более 200 других населённых пунктов и среди них крупные населённые пункты Богушевичи, Старые Речки, Каменичи, Вязовница, Талька, Левки, Залужье, Новоселки, Весея, Уречье, Погост и железнодорожные станции Верейцы, Талька Фаличи, Верхутина, Уречье, Павустош, Некраши.</w:t>
      </w:r>
    </w:p>
    <w:p w14:paraId="43016744"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районе среднего течения реки Припять наши войска вели наступательные бои, в хоре которых овладели районными центрами Полесской области городом Петриков, городом Копаткевичи, а также заняли более 20 других населённых пунктов, в том числе Кошевичи, Челющевичи, Ивашковичи, Конковичи, Белановичи и железнодорожные станции Секеричи, Птичь.</w:t>
      </w:r>
    </w:p>
    <w:p w14:paraId="27E37219"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других участках фронта — без существенных изменений.</w:t>
      </w:r>
    </w:p>
    <w:p w14:paraId="5B9CED1E"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29 июня наши войска на всех фронтах подбили и уничтожили 137 немецких танков, В воздушных боях и огнём зенитной артиллерии сбито 29 самолётов противника.</w:t>
      </w:r>
    </w:p>
    <w:p w14:paraId="2E416F0B"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в ночь на 30 июля наносила удары по железнодорожным узлам Барановичи, Минск, Лунинец, Молодечно, Полоцк. В результате бомбардировки на узлах возникли пожары, сопровождавшиеся сильными взрывами.</w:t>
      </w:r>
    </w:p>
    <w:p w14:paraId="1F4DB5FD"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Между Онежским и Ладожским озёрами подразделения Н-ской части в районе Пуску-Сельги уничтожили батальон 45 финского пехотного полка. Захвачено 6 орудий, 12 миномётов, 18 пулемётов, радиостанция и 4 склада с боеприпасами и продовольствием. Взяты пленные.</w:t>
      </w:r>
    </w:p>
    <w:p w14:paraId="034B7F35"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Полоцком направлении наши войска в результате стремительного наступления заняли город Дисна, расположенный в 35 километрах западнее Полоцка. Захвачены богатые трофей. Северо-западнее Лепеля немцы, подтянув свежие силы, предприняли 15 контратак. Советские пехотинцы и танкисты, при поддержке артиллерии, успешно отразили вражеские контратаки, продвинулись вперёд и заняли ряд населённых пунктов. Уничтожено до 1.500 немецких солдат и офицеров, 10 танков, 4 самоходных и 25 полевых орудий. Советские летчики бомбово-штурмовыми ударами уничтожили 120 автомашин, 50 повозок, 3 самоходных орудия, паровоз и 70 вагонов. Подавлен огонь 20 артиллерийско-миномётных батарей. В воздушных боях советские истребители сбили 14 немецких самолётов.</w:t>
      </w:r>
    </w:p>
    <w:p w14:paraId="025BD4FF"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 Минском направлении наши войска, сломив сопротивление немцев, форсировали реку Березина. Противник усилил свои разбитые дивизии свежими эсэсовскими и охранными частями я пытался приостановить наступление наших войск. Советские войска наносят врагу тяжёлые удары и отбрасывают его на запад. Наши войска ворвались в город Борисов. Идут ожесточённые уличные бои. На одном участке советские танкисты уничтожили отдельный батальон 256 немецкой пехотной дивизии. Командир батальона капитан Карл Раух вместе с группой уцелевших солдат сдался в плен.</w:t>
      </w:r>
    </w:p>
    <w:p w14:paraId="1806EBB8"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Западнее города Могилёв, в районе населённого пункта Рагозина, вражеская пехота, поддержанная самоходными орудиями, предприняла контратаку. Стремительными фланговыми ударами наши части уничтожили полк немецкой пехоты, 9 самоходных орудий и свыше 700 автомашин. Захвачено 19 самоходных орудий, в том числе 3 «Фердинанда» и другие трофеи. Взято в плен 340 немецких солдат и офицеров.</w:t>
      </w:r>
    </w:p>
    <w:p w14:paraId="5C8DBB58"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Наша авиация наносила удары по скоплению вражеских войск. Уничтожено 3 немецких танка, 110 автомашин, 3 бензозаправщика, 10 повозок, 4 орудия и рассеяло несколько рот пехоты противника, при этом немцы понесли тяжёлые потери.</w:t>
      </w:r>
    </w:p>
    <w:p w14:paraId="4458F874"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Северо-западнее и западнее города Бобруйск наши войска продолжали успешное наступление. Советские войска взломали оборону противника, проходившую по реке Случь, и на плечах отступающих немцев ворвались в город Слуцк. Вражеский гарнизон отчаянно сопротивлялся, но был разгромлен. Наши части, овладевшие городом Слуцк, преследуют противника, поспешно отступающего на запад. Захвачены большие трофеи и много пленных.</w:t>
      </w:r>
    </w:p>
    <w:p w14:paraId="24404778"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Получены уточнённые данные о результатах налёта авиации Северного флота на порт Киркенес (Северная Норвегия) и уда ров авиации и торпедных катеров по судам противника, следовавшим в порт Петсамо. Всего потоплено не 4 транспорта, как об этом сообщалось вчера, а 7 транспортов общим водоизмещением в 40 тысяч тонн, один танкер, 2 тральщика, ,2 сторожевых и один торпедный катер противника.</w:t>
      </w:r>
    </w:p>
    <w:p w14:paraId="51028B74"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Львовский партизанский отряд совершил успешный налёт на железнодорожную станцию. Уничтожив охрану, партизаны взорвали эшелон с боеприпасами и разрушили путевое хозяйство станции.</w:t>
      </w:r>
    </w:p>
    <w:p w14:paraId="69ACB835"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Командир 12 немецкой пехотной дивизии генерал-лейтенант Бамлер, взятый в плен в городе Могилёв, заявил: «Я был начальником штаба оккупационной армии в Норвегии. Шесть недель тому назад меня перевели на советско-германский фронт и назначили командиром 12 дивизии. Могилевсний гарнизон получил от Гитлера приказ любой ценой удержать город. Стремительный и бурный темп русского наступления опрокинул все наши замыслы и расчёты. Он ошеломил нас. Мы понесли тяжёлые потери. Из 8 тысяч солдат в дивизии осталось не более 3 тысяч. Русским достались огромные трофеи, в том числе вся материальная часть 12 артиллерийского полка».</w:t>
      </w:r>
    </w:p>
    <w:p w14:paraId="2223A5A5"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Потери противника и трофеи войск 1-го и 2-го Белорусских фронтов за время наступательных боев с 23 по 29 июня сего года.</w:t>
      </w:r>
    </w:p>
    <w:p w14:paraId="4C965CFE"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1-го Белорусского фронта под командованием Маршала Советского Союза Рокоссовского, в результате наступательных боёв, проведённых с 24 по 29 июня сего года, нанесли противнику следующие потери в живой силе и технике:</w:t>
      </w:r>
    </w:p>
    <w:p w14:paraId="3F7A6300"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Уничтожено: танков и самоходных орудий — 216, орудий разного калибра — 1.322, миномётов — 1.370, пулемётов — 3.660, автомашин — 8.360. Противник оставил на поле боя до 50.000 трупов своих солдат и офицеров.</w:t>
      </w:r>
    </w:p>
    <w:p w14:paraId="5534D1F6"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это же время войска 1-го Белорусского фронта захватили следующие трофеи: танков и самоходных орудий — 150, орудий разного калибра — 1.342, миномётов — 884, пулемётов — 3.744, винтовок — 10.000, радиостанций — 134, телефонных аппаратов — 400, автомашин — 7.562, тягачей — 215, повозок с военными грузами — 4.300, эшелонов с разным имуществом — 36, лошадей — 7.748, складов с боеприпасами, вооружением, снаряжением и продовольствием — 263.</w:t>
      </w:r>
    </w:p>
    <w:p w14:paraId="6667B7D6"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Взято в плен — 23.680 немецких солдат и офицеров.</w:t>
      </w:r>
    </w:p>
    <w:p w14:paraId="3404750B"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в результате шестидневных наступательных боёв 1-го Белорусского фронта, завершившихся окружением и уничтожением Бобруйской группировки противника и освобождением города Бобруйск, потери немцев по главным видам боевой техники и живой силе составляют: пленными и убитыми — 73.680 человек, танков и самоходных орудий — 366, орудий разного калибра — 2.664, миномётов — 2.254, пулемётов — 7.404, автомашин — 15.922.</w:t>
      </w:r>
    </w:p>
    <w:p w14:paraId="2A0AFAD8"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Войска 2-го Белорусского фронта под командованием генерал-полковника Захарова, в результате наступательных боёв, проведённых с 23 по 29 июня сего года, нанесли противнику следующие потери в живой силе и технике:</w:t>
      </w:r>
    </w:p>
    <w:p w14:paraId="0245EDC4"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Уничтожено: танков — 60, орудий разного калибра — 250, миномётов — 200, пулемётов — 500, автомашин — 3.150. Противник оставил на поле боя до 30.000 трупов своих солдат и офицеров.</w:t>
      </w:r>
    </w:p>
    <w:p w14:paraId="4FBF1BA5"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 это же время войска 2-го Белорусского фронта захватили следующие трофеи: танков — 20, орудий разного калибра — 161, миномётов — 192, пулемётов — 560, винтовок и автоматов — 9.100, автомашин — 3.000, паровозов — 3, вагонов — 120, лошадей — 2.100.</w:t>
      </w:r>
    </w:p>
    <w:p w14:paraId="71945F8F"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Взято в плен 3.250 человек, в том числе более 100 офицеров и два немецких генерала — командир 12 пехотной дивизии генерал-лейтенант Бамлер и комендант г. Могилёва генерал-майор Эрдмансдорф.</w:t>
      </w:r>
    </w:p>
    <w:p w14:paraId="6422E0E4"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образам, в результате семидневных наступательных боёв 2-го Белорусского фронта, завершившихся поражением противника на Могилёвском направлении и освобождением города Могилёв, общие потери немцев по главным видам боевой техники и живой силе составляют: пленными и убитыми — 33.250, танков — 80, орудий разного калибра — 411, миномётов — 392, пулемётов — 1.060, автомашин — 6.150.</w:t>
      </w:r>
    </w:p>
    <w:p w14:paraId="291A730E"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итоге наступательных боёв войск 1-го и 2-го Белорусских фронтов потери немцев по главным видам боевой техники и живой силе составляют: пленными и убитыми — 106.930 солдат и офицеров, танков и самоходных орудий — 446, орудий разного калибра — 3.075, миномётов— 2.646, пулемётов — 8.464, автомашин — 22.072.» (14938).</w:t>
      </w:r>
    </w:p>
    <w:p w14:paraId="76BCACF6" w14:textId="77777777" w:rsidR="00B049B7" w:rsidRPr="00070ADE" w:rsidRDefault="00B049B7" w:rsidP="00B56F90">
      <w:pPr>
        <w:spacing w:after="0" w:line="240" w:lineRule="auto"/>
        <w:jc w:val="both"/>
        <w:rPr>
          <w:rFonts w:ascii="Times New Roman" w:hAnsi="Times New Roman"/>
          <w:color w:val="000000" w:themeColor="text1"/>
          <w:sz w:val="16"/>
          <w:szCs w:val="16"/>
        </w:rPr>
      </w:pPr>
    </w:p>
    <w:p w14:paraId="3F444125" w14:textId="77777777" w:rsidR="00B049B7" w:rsidRPr="00070ADE" w:rsidRDefault="00B049B7"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30 июня</w:t>
      </w:r>
      <w:r w:rsidRPr="00070ADE">
        <w:rPr>
          <w:rFonts w:ascii="Times New Roman" w:hAnsi="Times New Roman"/>
          <w:color w:val="000000" w:themeColor="text1"/>
          <w:sz w:val="16"/>
          <w:szCs w:val="16"/>
        </w:rPr>
        <w:t xml:space="preserve"> в 1944 году два советских катера-охотника вступили в бой с немецкой субмариной «У-250» у бухты Койвисто, что на Балтике. «МО-105» был торпедирован сразу, но «МО-103» через несколько часов накрыл врага глубинными бомбами. Оставшийся в живых рулевой с «МО-105» Иван Мартемьянов сообщил: мы не видели следа торпед! После потопления «немца» на поверхность выбросило нескольких живых подводников. Один из них, командир «У-250» Вернер Шмидт, признался: его субмарина вооружена электрическими торпедами «Т-5» «Крапивник», которые не оставляют пузырчатого следа и идут на шум винтов корабля-жертвы (14938).</w:t>
      </w:r>
    </w:p>
    <w:p w14:paraId="3883F1F2" w14:textId="77777777" w:rsidR="00B049B7" w:rsidRPr="00070ADE" w:rsidRDefault="00B049B7" w:rsidP="00B56F90">
      <w:pPr>
        <w:spacing w:after="0" w:line="240" w:lineRule="auto"/>
        <w:jc w:val="both"/>
        <w:rPr>
          <w:rFonts w:ascii="Times New Roman" w:hAnsi="Times New Roman"/>
          <w:color w:val="000000" w:themeColor="text1"/>
          <w:sz w:val="16"/>
          <w:szCs w:val="16"/>
        </w:rPr>
      </w:pPr>
    </w:p>
    <w:p w14:paraId="38E5B2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июля 1944 штурмовики 299-й шад в районе Седлеца поддерживали части конно-механизированной группы. К исходу дня поступила телеграмма: "Генералу Крупскому. Личный состав КМ Г восхищен отличной боевой работой ваших летчиков в районе Седлеца. Бойцы и офицеры выносят глубокую благодарность за поддержку их в бою. Командующий КМ Г гвардии генерал-лейтенант Крюков".</w:t>
      </w:r>
    </w:p>
    <w:p w14:paraId="5EEB533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Разгром немецкой группы армий "Центр" в Белоруссии, успешное наступление Прибалтийских и Ленинградского фронтов против группы армий "Север", а также серьезное поражение группы армий "Северная Украина" на львовско-сандомирском направлении создали благоприятные предпосылки для нанесения последующих ударов по врагу на левом фланге советско-германского фронта (12020).</w:t>
      </w:r>
    </w:p>
    <w:p w14:paraId="04E53AC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90DBD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июня 1944 г. самолеты 5-й бад воспользовались гранатометами для отражения атаки истребителей FW190A. Гранатами и пулеметным огнем стрелки поразили пять "Фокке-Вульфов" (3542).</w:t>
      </w:r>
    </w:p>
    <w:p w14:paraId="4F19F80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D5FED3" w14:textId="77777777" w:rsidR="00A90D76" w:rsidRPr="001A0BAA" w:rsidRDefault="00A90D76" w:rsidP="00A90D7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30 июня 1944 г. самолеты Пе-2 5-й бад воспользова</w:t>
      </w:r>
      <w:r w:rsidRPr="001A0BAA">
        <w:rPr>
          <w:rFonts w:ascii="Times New Roman" w:hAnsi="Times New Roman"/>
          <w:color w:val="0070C0"/>
          <w:sz w:val="16"/>
          <w:szCs w:val="16"/>
        </w:rPr>
        <w:softHyphen/>
        <w:t>лись гранатометами для отражения ата</w:t>
      </w:r>
      <w:r w:rsidRPr="001A0BAA">
        <w:rPr>
          <w:rFonts w:ascii="Times New Roman" w:hAnsi="Times New Roman"/>
          <w:color w:val="0070C0"/>
          <w:sz w:val="16"/>
          <w:szCs w:val="16"/>
        </w:rPr>
        <w:softHyphen/>
        <w:t>ки истребителей FW 190А. Гранатами и пулеметным огнем стрелки поразили пять «фокке-вульфов». (24934).</w:t>
      </w:r>
    </w:p>
    <w:p w14:paraId="2D9DD486" w14:textId="77777777" w:rsidR="00A90D76" w:rsidRPr="001A0BAA" w:rsidRDefault="00A90D76" w:rsidP="00A90D76">
      <w:pPr>
        <w:spacing w:after="0" w:line="240" w:lineRule="auto"/>
        <w:jc w:val="both"/>
        <w:rPr>
          <w:rFonts w:ascii="Times New Roman" w:hAnsi="Times New Roman"/>
          <w:color w:val="0070C0"/>
          <w:sz w:val="16"/>
          <w:szCs w:val="16"/>
        </w:rPr>
      </w:pPr>
    </w:p>
    <w:p w14:paraId="324E1F9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30 июня 1944 г. самолеты 5-й гв. бад воспользовались гранатометами для отражения атаки истребителей FW 190А. Гранатами и пулеметным огнем стрелки поразили пять "фокке-вульфов". В некоторых полках гранатометы ставили на пикировщики и раньше. В 39-м орап довольно успешно пробовали стрелять гранатами АГ-2 и по </w:t>
      </w:r>
      <w:r w:rsidRPr="00070ADE">
        <w:rPr>
          <w:rFonts w:ascii="Times New Roman" w:hAnsi="Times New Roman"/>
          <w:color w:val="000000" w:themeColor="text1"/>
          <w:sz w:val="16"/>
          <w:szCs w:val="16"/>
        </w:rPr>
        <w:lastRenderedPageBreak/>
        <w:t>автомашинам на дорогах, сбрасывая их с бреющего полета. Конечно, применение гранат не всегда давало результаты, и командование ВВС понимало недостаточность подобных мер (12042).</w:t>
      </w:r>
    </w:p>
    <w:p w14:paraId="7A1F541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EE943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июня 1944 г. 246-й ИАП отбыл на фронт с 34-мя "Харрикейнами" IID (дополнены КХ461 и 423, последний, однако, был оставлен на аэродроме Грозный ввиду поломки мотора). К началу июля полк прибыл к месту назначения - аэродром Омговичи (р-н Бобруйска), в 215-ю ИАД 16-й ВА. В дальнейшем, как ни странно, "Харрикейны" IID практически не совершили ни одного боевого (т.е. связанного с боевыми действиями против воздушного или наземного противника) вылета! Да если бы и совершили, то не смогли бы догнать даже Ju-88! (3187).</w:t>
      </w:r>
    </w:p>
    <w:p w14:paraId="75DA124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FBA6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июня 1944 А СФ нанесла удар по Киркинесу и прямыми попаданиями потопили 7 транспортов в 40000 т, танкер, 2 тральщика, 2 сторожевика и один торпедный катер (438,912).</w:t>
      </w:r>
    </w:p>
    <w:p w14:paraId="563EAA7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1F24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июня Волжская военная флотилия была расформирована. Ее корабли и части были переданы другим, действующим флотам и флотилиям. Мобилизованные суда были разоружены и возвращены организациям транспортного и промыслового флота Волжского бассейна (11742).</w:t>
      </w:r>
    </w:p>
    <w:p w14:paraId="6EBD7B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4A9E9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27B295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285FBE" w14:textId="77777777" w:rsidR="006B53A4" w:rsidRPr="00070ADE" w:rsidRDefault="006B53A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30 июня</w:t>
      </w:r>
      <w:r w:rsidRPr="00070ADE">
        <w:rPr>
          <w:rFonts w:ascii="Times New Roman" w:hAnsi="Times New Roman"/>
          <w:color w:val="000000" w:themeColor="text1"/>
          <w:sz w:val="16"/>
          <w:szCs w:val="16"/>
        </w:rPr>
        <w:t xml:space="preserve"> в 1944 году первый прототип «NN660» английского истребителя </w:t>
      </w:r>
      <w:hyperlink r:id="rId186" w:tgtFrame="_blank" w:history="1">
        <w:r w:rsidRPr="00070ADE">
          <w:rPr>
            <w:rFonts w:ascii="Times New Roman" w:hAnsi="Times New Roman"/>
            <w:color w:val="000000" w:themeColor="text1"/>
            <w:sz w:val="16"/>
            <w:szCs w:val="16"/>
          </w:rPr>
          <w:t xml:space="preserve">«Supermarine Spiteful» </w:t>
        </w:r>
      </w:hyperlink>
      <w:r w:rsidRPr="00070ADE">
        <w:rPr>
          <w:rFonts w:ascii="Times New Roman" w:hAnsi="Times New Roman"/>
          <w:color w:val="000000" w:themeColor="text1"/>
          <w:sz w:val="16"/>
          <w:szCs w:val="16"/>
        </w:rPr>
        <w:t>поднялся в воздух под управлением Дж.Куилла (J.K.Quill). Правда машину эту следовало бы назвать предпрототипом, поскольку она представляла собой гибрид фюзеляжа «Spitfire XIV» с мотором «Griffon 61» и пятилопастным винтом «Rotol» и крыла «Type 371». Самолет не был оснащен полным набором необходимого оборудования, а жизнь его оказалась короткой - 13 сентября того же года он разбился в местечке Хай Пост (High Post), где был расположен заводской аэродром, похоронив под своими обломками пилота Фрэнка Фарлонга (Frank Furlong), известного в Британии тем, что в 1935 году он выиграл «Большие Национальные скачки» («Grand National») на лошади по кличке Рейнольдс Таун (Reynold's Town) (14938).</w:t>
      </w:r>
    </w:p>
    <w:p w14:paraId="6CED9FD6" w14:textId="77777777" w:rsidR="006B53A4" w:rsidRPr="00070ADE" w:rsidRDefault="006B53A4" w:rsidP="00B56F90">
      <w:pPr>
        <w:spacing w:after="0" w:line="240" w:lineRule="auto"/>
        <w:jc w:val="both"/>
        <w:rPr>
          <w:rFonts w:ascii="Times New Roman" w:hAnsi="Times New Roman"/>
          <w:color w:val="000000" w:themeColor="text1"/>
          <w:sz w:val="16"/>
          <w:szCs w:val="16"/>
        </w:rPr>
      </w:pPr>
    </w:p>
    <w:p w14:paraId="0F8472DA" w14:textId="77777777" w:rsidR="005A2879" w:rsidRPr="00070ADE" w:rsidRDefault="005A287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июня 1944 г. испытатель Дж. Квилл поднял в воздух «Спайтфул», который начал разрабатываться в 1943 г. по заданию F.1/43. Этим заданием требовался скоростной истре</w:t>
      </w:r>
      <w:r w:rsidRPr="00070ADE">
        <w:rPr>
          <w:rFonts w:ascii="Times New Roman" w:hAnsi="Times New Roman"/>
          <w:color w:val="000000" w:themeColor="text1"/>
          <w:sz w:val="16"/>
          <w:szCs w:val="16"/>
        </w:rPr>
        <w:softHyphen/>
        <w:t>битель с мотором «Гриффон» и вооружением из четырех пушек. Для новой машины спро</w:t>
      </w:r>
      <w:r w:rsidRPr="00070ADE">
        <w:rPr>
          <w:rFonts w:ascii="Times New Roman" w:hAnsi="Times New Roman"/>
          <w:color w:val="000000" w:themeColor="text1"/>
          <w:sz w:val="16"/>
          <w:szCs w:val="16"/>
        </w:rPr>
        <w:softHyphen/>
        <w:t>ектировали совершенно новое крыло с лами</w:t>
      </w:r>
      <w:r w:rsidRPr="00070ADE">
        <w:rPr>
          <w:rFonts w:ascii="Times New Roman" w:hAnsi="Times New Roman"/>
          <w:color w:val="000000" w:themeColor="text1"/>
          <w:sz w:val="16"/>
          <w:szCs w:val="16"/>
        </w:rPr>
        <w:softHyphen/>
        <w:t>нарным профилем. Оно уже не было эллипти</w:t>
      </w:r>
      <w:r w:rsidRPr="00070ADE">
        <w:rPr>
          <w:rFonts w:ascii="Times New Roman" w:hAnsi="Times New Roman"/>
          <w:color w:val="000000" w:themeColor="text1"/>
          <w:sz w:val="16"/>
          <w:szCs w:val="16"/>
        </w:rPr>
        <w:softHyphen/>
        <w:t>ческим; его передняя кромка стала прямой, а на задней появился излом.</w:t>
      </w:r>
    </w:p>
    <w:p w14:paraId="6736D4CF" w14:textId="77777777" w:rsidR="005A2879" w:rsidRPr="00070ADE" w:rsidRDefault="005A287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первом варинте «Спайтфул» сочетал не</w:t>
      </w:r>
      <w:r w:rsidRPr="00070ADE">
        <w:rPr>
          <w:rFonts w:ascii="Times New Roman" w:hAnsi="Times New Roman"/>
          <w:color w:val="000000" w:themeColor="text1"/>
          <w:sz w:val="16"/>
          <w:szCs w:val="16"/>
        </w:rPr>
        <w:softHyphen/>
        <w:t>сколько измененный фюзеляж «Спитфайра» VIII, мотоустановку с «Гриффоном» 61 (по типу «четырнадцатого») и новое крыло.</w:t>
      </w:r>
    </w:p>
    <w:p w14:paraId="3D8EEB35" w14:textId="77777777" w:rsidR="005A2879" w:rsidRPr="00070ADE" w:rsidRDefault="005A287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Эту опытную машину разбили в конце го</w:t>
      </w:r>
      <w:r w:rsidRPr="00070ADE">
        <w:rPr>
          <w:rFonts w:ascii="Times New Roman" w:hAnsi="Times New Roman"/>
          <w:color w:val="000000" w:themeColor="text1"/>
          <w:sz w:val="16"/>
          <w:szCs w:val="16"/>
        </w:rPr>
        <w:softHyphen/>
        <w:t>да, но уже был готов дублер, отличавшийся пониженным гаргротом и новым фонарем. На нем также внедрили измененное опере</w:t>
      </w:r>
      <w:r w:rsidRPr="00070ADE">
        <w:rPr>
          <w:rFonts w:ascii="Times New Roman" w:hAnsi="Times New Roman"/>
          <w:color w:val="000000" w:themeColor="text1"/>
          <w:sz w:val="16"/>
          <w:szCs w:val="16"/>
        </w:rPr>
        <w:softHyphen/>
        <w:t>ние и более устойчивое шасси, стойки ко</w:t>
      </w:r>
      <w:r w:rsidRPr="00070ADE">
        <w:rPr>
          <w:rFonts w:ascii="Times New Roman" w:hAnsi="Times New Roman"/>
          <w:color w:val="000000" w:themeColor="text1"/>
          <w:sz w:val="16"/>
          <w:szCs w:val="16"/>
        </w:rPr>
        <w:softHyphen/>
        <w:t>торого убирались к оси самолета. Впоследс</w:t>
      </w:r>
      <w:r w:rsidRPr="00070ADE">
        <w:rPr>
          <w:rFonts w:ascii="Times New Roman" w:hAnsi="Times New Roman"/>
          <w:color w:val="000000" w:themeColor="text1"/>
          <w:sz w:val="16"/>
          <w:szCs w:val="16"/>
        </w:rPr>
        <w:softHyphen/>
        <w:t>твии именно это оперение использовали на поздних «Спитфайрах» 22 и 24.</w:t>
      </w:r>
    </w:p>
    <w:p w14:paraId="2EE21A36" w14:textId="77777777" w:rsidR="005A2879" w:rsidRPr="00070ADE" w:rsidRDefault="005A287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1944 г. начали собирать установоч</w:t>
      </w:r>
      <w:r w:rsidRPr="00070ADE">
        <w:rPr>
          <w:rFonts w:ascii="Times New Roman" w:hAnsi="Times New Roman"/>
          <w:color w:val="000000" w:themeColor="text1"/>
          <w:sz w:val="16"/>
          <w:szCs w:val="16"/>
        </w:rPr>
        <w:softHyphen/>
        <w:t>ную серию. Машина официально называлась «Спайтфул» XIV. Почему пропустили преды</w:t>
      </w:r>
      <w:r w:rsidRPr="00070ADE">
        <w:rPr>
          <w:rFonts w:ascii="Times New Roman" w:hAnsi="Times New Roman"/>
          <w:color w:val="000000" w:themeColor="text1"/>
          <w:sz w:val="16"/>
          <w:szCs w:val="16"/>
        </w:rPr>
        <w:softHyphen/>
        <w:t>дущие тринадцать цифр — неизвестно. В мае- апреле 1945 г. ВВС приняли 17 истребителей. В эксплуатацию попали только восемь, ос</w:t>
      </w:r>
      <w:r w:rsidRPr="00070ADE">
        <w:rPr>
          <w:rFonts w:ascii="Times New Roman" w:hAnsi="Times New Roman"/>
          <w:color w:val="000000" w:themeColor="text1"/>
          <w:sz w:val="16"/>
          <w:szCs w:val="16"/>
        </w:rPr>
        <w:softHyphen/>
        <w:t>тальные законсервировали и впоследствии пустили на слом.</w:t>
      </w:r>
    </w:p>
    <w:p w14:paraId="331447CF" w14:textId="77777777" w:rsidR="005A2879" w:rsidRPr="00070ADE" w:rsidRDefault="005A287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условиях послевоенного сокращения во</w:t>
      </w:r>
      <w:r w:rsidRPr="00070ADE">
        <w:rPr>
          <w:rFonts w:ascii="Times New Roman" w:hAnsi="Times New Roman"/>
          <w:color w:val="000000" w:themeColor="text1"/>
          <w:sz w:val="16"/>
          <w:szCs w:val="16"/>
        </w:rPr>
        <w:softHyphen/>
        <w:t>оруженных сил освоение в массовом произ</w:t>
      </w:r>
      <w:r w:rsidRPr="00070ADE">
        <w:rPr>
          <w:rFonts w:ascii="Times New Roman" w:hAnsi="Times New Roman"/>
          <w:color w:val="000000" w:themeColor="text1"/>
          <w:sz w:val="16"/>
          <w:szCs w:val="16"/>
        </w:rPr>
        <w:softHyphen/>
        <w:t>водстве нового истребителя сочли излишним. Но опытные работы продолжались. В 1946 г. выпустили «Спайтфул» XV с мотором «Гриф</w:t>
      </w:r>
      <w:r w:rsidRPr="00070ADE">
        <w:rPr>
          <w:rFonts w:ascii="Times New Roman" w:hAnsi="Times New Roman"/>
          <w:color w:val="000000" w:themeColor="text1"/>
          <w:sz w:val="16"/>
          <w:szCs w:val="16"/>
        </w:rPr>
        <w:softHyphen/>
        <w:t>фон» 89 и шестилопастным винтом противов</w:t>
      </w:r>
      <w:r w:rsidRPr="00070ADE">
        <w:rPr>
          <w:rFonts w:ascii="Times New Roman" w:hAnsi="Times New Roman"/>
          <w:color w:val="000000" w:themeColor="text1"/>
          <w:sz w:val="16"/>
          <w:szCs w:val="16"/>
        </w:rPr>
        <w:softHyphen/>
        <w:t>ращения (комбинацией двух трехлопастных). Годом позже взлетел опытный «Спайтфул» XVI. На нем стоял еще более мощный «Гриффон» 101. Эта модель до сих пор является самым ско</w:t>
      </w:r>
      <w:r w:rsidRPr="00070ADE">
        <w:rPr>
          <w:rFonts w:ascii="Times New Roman" w:hAnsi="Times New Roman"/>
          <w:color w:val="000000" w:themeColor="text1"/>
          <w:sz w:val="16"/>
          <w:szCs w:val="16"/>
        </w:rPr>
        <w:softHyphen/>
        <w:t>ростным поршневым английским самолетом.</w:t>
      </w:r>
    </w:p>
    <w:p w14:paraId="2C13A0E6" w14:textId="77777777" w:rsidR="005A2879" w:rsidRPr="00070ADE" w:rsidRDefault="005A287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испытаниях она показала 790 км/ч (серий</w:t>
      </w:r>
      <w:r w:rsidRPr="00070ADE">
        <w:rPr>
          <w:rFonts w:ascii="Times New Roman" w:hAnsi="Times New Roman"/>
          <w:color w:val="000000" w:themeColor="text1"/>
          <w:sz w:val="16"/>
          <w:szCs w:val="16"/>
        </w:rPr>
        <w:softHyphen/>
        <w:t>ные «Спайтфулы» XIV давали 777 км/ ч). На этом совершенствование «Спайтфула» закон</w:t>
      </w:r>
      <w:r w:rsidRPr="00070ADE">
        <w:rPr>
          <w:rFonts w:ascii="Times New Roman" w:hAnsi="Times New Roman"/>
          <w:color w:val="000000" w:themeColor="text1"/>
          <w:sz w:val="16"/>
          <w:szCs w:val="16"/>
        </w:rPr>
        <w:softHyphen/>
        <w:t>чилось — британская истребительная авиация переходила на реактивную технику (24505).</w:t>
      </w:r>
    </w:p>
    <w:p w14:paraId="08106316" w14:textId="77777777" w:rsidR="005A2879" w:rsidRPr="00070ADE" w:rsidRDefault="005A2879" w:rsidP="00B56F90">
      <w:pPr>
        <w:spacing w:after="0" w:line="240" w:lineRule="auto"/>
        <w:jc w:val="both"/>
        <w:rPr>
          <w:rFonts w:ascii="Times New Roman" w:hAnsi="Times New Roman"/>
          <w:color w:val="000000" w:themeColor="text1"/>
          <w:sz w:val="16"/>
          <w:szCs w:val="16"/>
        </w:rPr>
      </w:pPr>
    </w:p>
    <w:p w14:paraId="7319CE33" w14:textId="77777777" w:rsidR="006B53A4" w:rsidRPr="00070ADE" w:rsidRDefault="006B53A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30 июня</w:t>
      </w:r>
      <w:r w:rsidRPr="00070ADE">
        <w:rPr>
          <w:rFonts w:ascii="Times New Roman" w:hAnsi="Times New Roman"/>
          <w:color w:val="000000" w:themeColor="text1"/>
          <w:sz w:val="16"/>
          <w:szCs w:val="16"/>
        </w:rPr>
        <w:t xml:space="preserve"> в 1944 году первый полет </w:t>
      </w:r>
      <w:hyperlink r:id="rId187" w:tgtFrame="_blank" w:history="1">
        <w:r w:rsidRPr="00070ADE">
          <w:rPr>
            <w:rFonts w:ascii="Times New Roman" w:hAnsi="Times New Roman"/>
            <w:color w:val="000000" w:themeColor="text1"/>
            <w:sz w:val="16"/>
            <w:szCs w:val="16"/>
          </w:rPr>
          <w:t xml:space="preserve">«Focke-Wulf» «Ta.154» «V-15» </w:t>
        </w:r>
      </w:hyperlink>
      <w:r w:rsidRPr="00070ADE">
        <w:rPr>
          <w:rFonts w:ascii="Times New Roman" w:hAnsi="Times New Roman"/>
          <w:color w:val="000000" w:themeColor="text1"/>
          <w:sz w:val="16"/>
          <w:szCs w:val="16"/>
        </w:rPr>
        <w:t>(сер. №0015, код TQ+XE) - первый из прототипов, получивший новую переднюю стойку шасси с вынесенной вперед вилкой для подавления колебаний типа "шимми" (14938).</w:t>
      </w:r>
    </w:p>
    <w:p w14:paraId="4008654D" w14:textId="77777777" w:rsidR="006B53A4" w:rsidRPr="00070ADE" w:rsidRDefault="006B53A4" w:rsidP="00B56F90">
      <w:pPr>
        <w:spacing w:after="0" w:line="240" w:lineRule="auto"/>
        <w:jc w:val="both"/>
        <w:rPr>
          <w:rFonts w:ascii="Times New Roman" w:hAnsi="Times New Roman"/>
          <w:color w:val="000000" w:themeColor="text1"/>
          <w:sz w:val="16"/>
          <w:szCs w:val="16"/>
        </w:rPr>
      </w:pPr>
    </w:p>
    <w:p w14:paraId="1D230EAC" w14:textId="77777777" w:rsidR="006B53A4" w:rsidRPr="00070ADE" w:rsidRDefault="006B53A4"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June 30th, 1944: In the West, the RAF carries out a saturation raid (250 Lancasters) on 2. and 9. SS-Panzerdivisions (Das Reich and Hohenstauffen) at Villers-Bocage near Caen. The United States breaks off diplomatic relations with Finland (3819).</w:t>
      </w:r>
    </w:p>
    <w:p w14:paraId="64F68BD6" w14:textId="77777777" w:rsidR="006B53A4" w:rsidRPr="00070ADE" w:rsidRDefault="006B53A4"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15F8926" w14:textId="77777777" w:rsidR="00D82638" w:rsidRPr="00070ADE" w:rsidRDefault="00D82638" w:rsidP="00B56F90">
      <w:pPr>
        <w:pStyle w:val="115"/>
        <w:shd w:val="clear" w:color="auto" w:fill="auto"/>
        <w:spacing w:after="0" w:line="240" w:lineRule="auto"/>
        <w:jc w:val="both"/>
        <w:rPr>
          <w:rFonts w:ascii="Times New Roman" w:hAnsi="Times New Roman" w:cs="Times New Roman"/>
          <w:color w:val="000000" w:themeColor="text1"/>
          <w:sz w:val="16"/>
          <w:szCs w:val="16"/>
        </w:rPr>
      </w:pPr>
      <w:r w:rsidRPr="00B93A71">
        <w:rPr>
          <w:rFonts w:ascii="Times New Roman" w:hAnsi="Times New Roman" w:cs="Times New Roman"/>
          <w:color w:val="000000" w:themeColor="text1"/>
          <w:sz w:val="16"/>
          <w:szCs w:val="16"/>
          <w:lang w:val="en-US"/>
        </w:rPr>
        <w:t xml:space="preserve">30 </w:t>
      </w:r>
      <w:r w:rsidRPr="00070ADE">
        <w:rPr>
          <w:rFonts w:ascii="Times New Roman" w:hAnsi="Times New Roman" w:cs="Times New Roman"/>
          <w:color w:val="000000" w:themeColor="text1"/>
          <w:sz w:val="16"/>
          <w:szCs w:val="16"/>
        </w:rPr>
        <w:t>июня</w:t>
      </w:r>
      <w:r w:rsidRPr="00B93A71">
        <w:rPr>
          <w:rFonts w:ascii="Times New Roman" w:hAnsi="Times New Roman" w:cs="Times New Roman"/>
          <w:color w:val="000000" w:themeColor="text1"/>
          <w:sz w:val="16"/>
          <w:szCs w:val="16"/>
          <w:lang w:val="en-US"/>
        </w:rPr>
        <w:t xml:space="preserve"> 1944 </w:t>
      </w:r>
      <w:r w:rsidRPr="00070ADE">
        <w:rPr>
          <w:rFonts w:ascii="Times New Roman" w:hAnsi="Times New Roman" w:cs="Times New Roman"/>
          <w:color w:val="000000" w:themeColor="text1"/>
          <w:sz w:val="16"/>
          <w:szCs w:val="16"/>
        </w:rPr>
        <w:t>в</w:t>
      </w:r>
      <w:r w:rsidRPr="00B93A71">
        <w:rPr>
          <w:rFonts w:ascii="Times New Roman" w:hAnsi="Times New Roman" w:cs="Times New Roman"/>
          <w:color w:val="000000" w:themeColor="text1"/>
          <w:sz w:val="16"/>
          <w:szCs w:val="16"/>
          <w:lang w:val="en-US"/>
        </w:rPr>
        <w:t xml:space="preserve"> </w:t>
      </w:r>
      <w:r w:rsidRPr="00070ADE">
        <w:rPr>
          <w:rFonts w:ascii="Times New Roman" w:hAnsi="Times New Roman" w:cs="Times New Roman"/>
          <w:color w:val="000000" w:themeColor="text1"/>
          <w:sz w:val="16"/>
          <w:szCs w:val="16"/>
        </w:rPr>
        <w:t>воздух</w:t>
      </w:r>
      <w:r w:rsidRPr="00B93A71">
        <w:rPr>
          <w:rFonts w:ascii="Times New Roman" w:hAnsi="Times New Roman" w:cs="Times New Roman"/>
          <w:color w:val="000000" w:themeColor="text1"/>
          <w:sz w:val="16"/>
          <w:szCs w:val="16"/>
          <w:lang w:val="en-US"/>
        </w:rPr>
        <w:t xml:space="preserve"> </w:t>
      </w:r>
      <w:r w:rsidRPr="00070ADE">
        <w:rPr>
          <w:rFonts w:ascii="Times New Roman" w:hAnsi="Times New Roman" w:cs="Times New Roman"/>
          <w:color w:val="000000" w:themeColor="text1"/>
          <w:sz w:val="16"/>
          <w:szCs w:val="16"/>
        </w:rPr>
        <w:t>было</w:t>
      </w:r>
      <w:r w:rsidRPr="00B93A71">
        <w:rPr>
          <w:rFonts w:ascii="Times New Roman" w:hAnsi="Times New Roman" w:cs="Times New Roman"/>
          <w:color w:val="000000" w:themeColor="text1"/>
          <w:sz w:val="16"/>
          <w:szCs w:val="16"/>
          <w:lang w:val="en-US"/>
        </w:rPr>
        <w:t xml:space="preserve"> </w:t>
      </w:r>
      <w:r w:rsidRPr="00070ADE">
        <w:rPr>
          <w:rFonts w:ascii="Times New Roman" w:hAnsi="Times New Roman" w:cs="Times New Roman"/>
          <w:color w:val="000000" w:themeColor="text1"/>
          <w:sz w:val="16"/>
          <w:szCs w:val="16"/>
        </w:rPr>
        <w:t>поднято</w:t>
      </w:r>
      <w:r w:rsidRPr="00B93A71">
        <w:rPr>
          <w:rFonts w:ascii="Times New Roman" w:hAnsi="Times New Roman" w:cs="Times New Roman"/>
          <w:color w:val="000000" w:themeColor="text1"/>
          <w:sz w:val="16"/>
          <w:szCs w:val="16"/>
          <w:lang w:val="en-US"/>
        </w:rPr>
        <w:t xml:space="preserve"> 450 </w:t>
      </w:r>
      <w:r w:rsidRPr="00070ADE">
        <w:rPr>
          <w:rFonts w:ascii="Times New Roman" w:hAnsi="Times New Roman" w:cs="Times New Roman"/>
          <w:color w:val="000000" w:themeColor="text1"/>
          <w:sz w:val="16"/>
          <w:szCs w:val="16"/>
        </w:rPr>
        <w:t>американских</w:t>
      </w:r>
      <w:r w:rsidRPr="00B93A71">
        <w:rPr>
          <w:rFonts w:ascii="Times New Roman" w:hAnsi="Times New Roman" w:cs="Times New Roman"/>
          <w:color w:val="000000" w:themeColor="text1"/>
          <w:sz w:val="16"/>
          <w:szCs w:val="16"/>
          <w:lang w:val="en-US"/>
        </w:rPr>
        <w:t xml:space="preserve"> </w:t>
      </w:r>
      <w:r w:rsidRPr="00070ADE">
        <w:rPr>
          <w:rFonts w:ascii="Times New Roman" w:hAnsi="Times New Roman" w:cs="Times New Roman"/>
          <w:color w:val="000000" w:themeColor="text1"/>
          <w:sz w:val="16"/>
          <w:szCs w:val="16"/>
        </w:rPr>
        <w:t>бомбар</w:t>
      </w:r>
      <w:r w:rsidRPr="00B93A71">
        <w:rPr>
          <w:rFonts w:ascii="Times New Roman" w:hAnsi="Times New Roman" w:cs="Times New Roman"/>
          <w:color w:val="000000" w:themeColor="text1"/>
          <w:sz w:val="16"/>
          <w:szCs w:val="16"/>
          <w:lang w:val="en-US"/>
        </w:rPr>
        <w:softHyphen/>
      </w:r>
      <w:r w:rsidRPr="00070ADE">
        <w:rPr>
          <w:rFonts w:ascii="Times New Roman" w:hAnsi="Times New Roman" w:cs="Times New Roman"/>
          <w:color w:val="000000" w:themeColor="text1"/>
          <w:sz w:val="16"/>
          <w:szCs w:val="16"/>
        </w:rPr>
        <w:t>дировщиков</w:t>
      </w:r>
      <w:r w:rsidRPr="00B93A71">
        <w:rPr>
          <w:rFonts w:ascii="Times New Roman" w:hAnsi="Times New Roman" w:cs="Times New Roman"/>
          <w:color w:val="000000" w:themeColor="text1"/>
          <w:sz w:val="16"/>
          <w:szCs w:val="16"/>
          <w:lang w:val="en-US"/>
        </w:rPr>
        <w:t xml:space="preserve"> </w:t>
      </w:r>
      <w:r w:rsidRPr="00070ADE">
        <w:rPr>
          <w:rFonts w:ascii="Times New Roman" w:hAnsi="Times New Roman" w:cs="Times New Roman"/>
          <w:color w:val="000000" w:themeColor="text1"/>
          <w:sz w:val="16"/>
          <w:szCs w:val="16"/>
        </w:rPr>
        <w:t>и</w:t>
      </w:r>
      <w:r w:rsidRPr="00B93A71">
        <w:rPr>
          <w:rFonts w:ascii="Times New Roman" w:hAnsi="Times New Roman" w:cs="Times New Roman"/>
          <w:color w:val="000000" w:themeColor="text1"/>
          <w:sz w:val="16"/>
          <w:szCs w:val="16"/>
          <w:lang w:val="en-US"/>
        </w:rPr>
        <w:t xml:space="preserve"> 150 </w:t>
      </w:r>
      <w:r w:rsidRPr="00070ADE">
        <w:rPr>
          <w:rFonts w:ascii="Times New Roman" w:hAnsi="Times New Roman" w:cs="Times New Roman"/>
          <w:color w:val="000000" w:themeColor="text1"/>
          <w:sz w:val="16"/>
          <w:szCs w:val="16"/>
        </w:rPr>
        <w:t>истребителей</w:t>
      </w:r>
      <w:r w:rsidRPr="00B93A71">
        <w:rPr>
          <w:rFonts w:ascii="Times New Roman" w:hAnsi="Times New Roman" w:cs="Times New Roman"/>
          <w:color w:val="000000" w:themeColor="text1"/>
          <w:sz w:val="16"/>
          <w:szCs w:val="16"/>
          <w:lang w:val="en-US"/>
        </w:rPr>
        <w:t xml:space="preserve"> </w:t>
      </w:r>
      <w:r w:rsidRPr="00070ADE">
        <w:rPr>
          <w:rFonts w:ascii="Times New Roman" w:hAnsi="Times New Roman" w:cs="Times New Roman"/>
          <w:color w:val="000000" w:themeColor="text1"/>
          <w:sz w:val="16"/>
          <w:szCs w:val="16"/>
        </w:rPr>
        <w:t>сопровождения</w:t>
      </w:r>
      <w:r w:rsidRPr="00B93A71">
        <w:rPr>
          <w:rFonts w:ascii="Times New Roman" w:hAnsi="Times New Roman" w:cs="Times New Roman"/>
          <w:color w:val="000000" w:themeColor="text1"/>
          <w:sz w:val="16"/>
          <w:szCs w:val="16"/>
          <w:lang w:val="en-US"/>
        </w:rPr>
        <w:t xml:space="preserve">. </w:t>
      </w:r>
      <w:r w:rsidRPr="00070ADE">
        <w:rPr>
          <w:rFonts w:ascii="Times New Roman" w:hAnsi="Times New Roman" w:cs="Times New Roman"/>
          <w:color w:val="000000" w:themeColor="text1"/>
          <w:sz w:val="16"/>
          <w:szCs w:val="16"/>
        </w:rPr>
        <w:t>Однако из-за плохой погоды на цели - Будапешт и Загреб (Югославия) вышли только 188 В-17 и В-24 в сопровождении 138 истребителей. При этом под Будапештом венгерские и германские летчики сбили четыре В-24, потеряв один истребитель (19083).</w:t>
      </w:r>
    </w:p>
    <w:p w14:paraId="291D730A" w14:textId="77777777" w:rsidR="00D82638" w:rsidRPr="00070ADE" w:rsidRDefault="00D82638" w:rsidP="00B56F90">
      <w:pPr>
        <w:pStyle w:val="115"/>
        <w:shd w:val="clear" w:color="auto" w:fill="auto"/>
        <w:spacing w:after="0" w:line="240" w:lineRule="auto"/>
        <w:jc w:val="both"/>
        <w:rPr>
          <w:rFonts w:ascii="Times New Roman" w:hAnsi="Times New Roman" w:cs="Times New Roman"/>
          <w:color w:val="000000" w:themeColor="text1"/>
          <w:sz w:val="16"/>
          <w:szCs w:val="16"/>
        </w:rPr>
      </w:pPr>
    </w:p>
    <w:p w14:paraId="69D30040" w14:textId="77777777" w:rsidR="006B53A4" w:rsidRPr="00070ADE" w:rsidRDefault="006B53A4"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июня 1944 Королевские</w:t>
      </w:r>
      <w:r w:rsidR="00D8263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ВВС</w:t>
      </w:r>
      <w:r w:rsidR="00D8263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выполнили</w:t>
      </w:r>
      <w:r w:rsidR="00D8263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массовый</w:t>
      </w:r>
      <w:r w:rsidR="00D8263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налет (250 Ланкастеров) на 2 ид</w:t>
      </w:r>
      <w:r w:rsidR="00D8263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ТДСС (ДасРейх</w:t>
      </w:r>
      <w:r w:rsidR="00D8263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w:t>
      </w:r>
      <w:r w:rsidR="00D8263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Хохенстауфен) уВиллерс-БокажуКайена (3819).</w:t>
      </w:r>
    </w:p>
    <w:p w14:paraId="5EBD8B3D" w14:textId="77777777" w:rsidR="006B53A4" w:rsidRPr="00070ADE" w:rsidRDefault="006B53A4"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9383E5" w14:textId="77777777" w:rsidR="00D82638" w:rsidRPr="00070ADE" w:rsidRDefault="00D82638"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июня 1944 США разорвали дипотношения с Финляндией (3819).</w:t>
      </w:r>
    </w:p>
    <w:p w14:paraId="3E37AEC6" w14:textId="77777777" w:rsidR="00D82638" w:rsidRPr="00070ADE" w:rsidRDefault="00D82638"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38BFD0" w14:textId="77777777" w:rsidR="006B53A4" w:rsidRPr="00070ADE" w:rsidRDefault="006B53A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30 июня</w:t>
      </w:r>
      <w:r w:rsidRPr="00070ADE">
        <w:rPr>
          <w:rFonts w:ascii="Times New Roman" w:hAnsi="Times New Roman"/>
          <w:color w:val="000000" w:themeColor="text1"/>
          <w:sz w:val="16"/>
          <w:szCs w:val="16"/>
        </w:rPr>
        <w:t xml:space="preserve"> в 1944 году на Нормандском плацдарме сосредоточено 875 тысяч солдат союзных войск (14938).</w:t>
      </w:r>
    </w:p>
    <w:p w14:paraId="11237F42" w14:textId="77777777" w:rsidR="006B53A4" w:rsidRPr="00070ADE" w:rsidRDefault="006B53A4" w:rsidP="00B56F90">
      <w:pPr>
        <w:spacing w:after="0" w:line="240" w:lineRule="auto"/>
        <w:jc w:val="both"/>
        <w:rPr>
          <w:rFonts w:ascii="Times New Roman" w:hAnsi="Times New Roman"/>
          <w:color w:val="000000" w:themeColor="text1"/>
          <w:sz w:val="16"/>
          <w:szCs w:val="16"/>
        </w:rPr>
      </w:pPr>
    </w:p>
    <w:p w14:paraId="19D5C1A6" w14:textId="77777777" w:rsidR="006B53A4" w:rsidRPr="00070ADE" w:rsidRDefault="006B53A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30 июня</w:t>
      </w:r>
      <w:r w:rsidRPr="00070ADE">
        <w:rPr>
          <w:rFonts w:ascii="Times New Roman" w:hAnsi="Times New Roman"/>
          <w:color w:val="000000" w:themeColor="text1"/>
          <w:sz w:val="16"/>
          <w:szCs w:val="16"/>
        </w:rPr>
        <w:t xml:space="preserve"> в 1944 году восточные легионы в составе вермахта оказали ожесточенное сопротивление войскам союзников, высадившимся в Нормандии, и понесли значительные потери. При этом отдельные части восточных легионов переходили на сторону партизан или сдавались союзникам. 10 % взятых в плен войсками союзников немецких солдат оказались гражданами СССР. Англо-американское командование, будучи весьма удивлено наличием такого большого количества советских людей в составе вермахта, организовало пропагандистское воздействие на сопротивляющиеся немецкие войска с помощью громкоговорителей и прокламаций на русском языке (14938).</w:t>
      </w:r>
    </w:p>
    <w:p w14:paraId="3872B966" w14:textId="77777777" w:rsidR="006B53A4" w:rsidRPr="00070ADE" w:rsidRDefault="006B53A4" w:rsidP="00B56F90">
      <w:pPr>
        <w:spacing w:after="0" w:line="240" w:lineRule="auto"/>
        <w:jc w:val="both"/>
        <w:rPr>
          <w:rFonts w:ascii="Times New Roman" w:hAnsi="Times New Roman"/>
          <w:color w:val="000000" w:themeColor="text1"/>
          <w:sz w:val="16"/>
          <w:szCs w:val="16"/>
        </w:rPr>
      </w:pPr>
    </w:p>
    <w:p w14:paraId="243F4B75" w14:textId="77777777" w:rsidR="006B53A4" w:rsidRPr="00070ADE" w:rsidRDefault="006B53A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30 июня</w:t>
      </w:r>
      <w:r w:rsidRPr="00070ADE">
        <w:rPr>
          <w:rFonts w:ascii="Times New Roman" w:hAnsi="Times New Roman"/>
          <w:color w:val="000000" w:themeColor="text1"/>
          <w:sz w:val="16"/>
          <w:szCs w:val="16"/>
        </w:rPr>
        <w:t xml:space="preserve"> в 1944 году США разорвали дипломатические отношения с Финляндией (14938).</w:t>
      </w:r>
    </w:p>
    <w:p w14:paraId="2B3E9355" w14:textId="77777777" w:rsidR="006B53A4" w:rsidRPr="00070ADE" w:rsidRDefault="006B53A4" w:rsidP="00B56F90">
      <w:pPr>
        <w:spacing w:after="0" w:line="240" w:lineRule="auto"/>
        <w:jc w:val="both"/>
        <w:rPr>
          <w:rFonts w:ascii="Times New Roman" w:hAnsi="Times New Roman"/>
          <w:color w:val="000000" w:themeColor="text1"/>
          <w:sz w:val="16"/>
          <w:szCs w:val="16"/>
        </w:rPr>
      </w:pPr>
    </w:p>
    <w:p w14:paraId="1AA6F6D4" w14:textId="77777777" w:rsidR="006B53A4" w:rsidRPr="00070ADE" w:rsidRDefault="006B53A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30 июня</w:t>
      </w:r>
      <w:r w:rsidRPr="00070ADE">
        <w:rPr>
          <w:rFonts w:ascii="Times New Roman" w:hAnsi="Times New Roman"/>
          <w:color w:val="000000" w:themeColor="text1"/>
          <w:sz w:val="16"/>
          <w:szCs w:val="16"/>
        </w:rPr>
        <w:t xml:space="preserve"> в 1944 году американское военное министерство в рекомендациях госдепартаменту отмечало, что после завершения мировой войны «Соединенные Штаты и Советский Союз будут военными державами первой величины. Относительная сила и географическое положение этих двух держав, несомненно, помешают военному разгрому одной из этих держав другой, даже если эта держава и будет в союзе с Британской империей» (14938).</w:t>
      </w:r>
    </w:p>
    <w:p w14:paraId="1257D96B" w14:textId="77777777" w:rsidR="006B53A4" w:rsidRPr="00070ADE" w:rsidRDefault="006B53A4" w:rsidP="00B56F90">
      <w:pPr>
        <w:spacing w:after="0" w:line="240" w:lineRule="auto"/>
        <w:jc w:val="both"/>
        <w:rPr>
          <w:rFonts w:ascii="Times New Roman" w:hAnsi="Times New Roman"/>
          <w:color w:val="000000" w:themeColor="text1"/>
          <w:sz w:val="16"/>
          <w:szCs w:val="16"/>
        </w:rPr>
      </w:pPr>
    </w:p>
    <w:p w14:paraId="4F3C8C67" w14:textId="77777777" w:rsidR="006B53A4" w:rsidRPr="00070ADE" w:rsidRDefault="006B53A4" w:rsidP="00B56F90">
      <w:pPr>
        <w:spacing w:after="0" w:line="240" w:lineRule="auto"/>
        <w:jc w:val="both"/>
        <w:rPr>
          <w:rFonts w:ascii="Times New Roman" w:hAnsi="Times New Roman"/>
          <w:color w:val="000000" w:themeColor="text1"/>
          <w:sz w:val="16"/>
          <w:szCs w:val="16"/>
        </w:rPr>
      </w:pPr>
      <w:r w:rsidRPr="00070ADE">
        <w:rPr>
          <w:rFonts w:ascii="Times New Roman" w:hAnsi="Times New Roman"/>
          <w:bCs/>
          <w:color w:val="000000" w:themeColor="text1"/>
          <w:sz w:val="16"/>
          <w:szCs w:val="16"/>
        </w:rPr>
        <w:t>30 июня</w:t>
      </w:r>
      <w:r w:rsidRPr="00070ADE">
        <w:rPr>
          <w:rFonts w:ascii="Times New Roman" w:hAnsi="Times New Roman"/>
          <w:color w:val="000000" w:themeColor="text1"/>
          <w:sz w:val="16"/>
          <w:szCs w:val="16"/>
        </w:rPr>
        <w:t xml:space="preserve"> в 1944 году создание левыми силами Демократической партии Вьетнама, которая присоединилась к прокоммунистической Лиге за независимость Вьетнама (14938).</w:t>
      </w:r>
    </w:p>
    <w:p w14:paraId="60E31D8A" w14:textId="77777777" w:rsidR="006B53A4" w:rsidRPr="00070ADE" w:rsidRDefault="006B53A4" w:rsidP="00B56F90">
      <w:pPr>
        <w:spacing w:after="0" w:line="240" w:lineRule="auto"/>
        <w:jc w:val="both"/>
        <w:rPr>
          <w:rFonts w:ascii="Times New Roman" w:hAnsi="Times New Roman"/>
          <w:color w:val="000000" w:themeColor="text1"/>
          <w:sz w:val="16"/>
          <w:szCs w:val="16"/>
        </w:rPr>
      </w:pPr>
    </w:p>
    <w:p w14:paraId="03F113F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297ECF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6A4102" w14:textId="77777777" w:rsidR="00595BFB" w:rsidRPr="00070ADE" w:rsidRDefault="00595BFB" w:rsidP="00B56F90">
      <w:pPr>
        <w:tabs>
          <w:tab w:val="left" w:pos="3114"/>
          <w:tab w:val="left" w:pos="4717"/>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июня 1944 И.о. Нач. Главстройстекло А.Германов писал письмо № 887с ГЛАВНОМУ ИНЖЕНЕРУ 1 ГЛАВНОГО УПРАВЛЕНИЯ НКХП тов. ЗОРИНУ</w:t>
      </w:r>
    </w:p>
    <w:p w14:paraId="6C4CA092" w14:textId="77777777" w:rsidR="00595BFB" w:rsidRPr="00070ADE" w:rsidRDefault="00595BFB" w:rsidP="00B56F90">
      <w:pPr>
        <w:tabs>
          <w:tab w:val="left" w:pos="1786"/>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Ваш № 1455/75 от 23/У1-44 г.</w:t>
      </w:r>
    </w:p>
    <w:p w14:paraId="52B8FFBE" w14:textId="77777777" w:rsidR="00595BFB" w:rsidRPr="00070ADE" w:rsidRDefault="00595BFB" w:rsidP="00B56F90">
      <w:pPr>
        <w:tabs>
          <w:tab w:val="left" w:pos="2305"/>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Копия: Заместителю Начальника 12-го Главного Управления НКАП тов. СОКОЛОВУ</w:t>
      </w:r>
    </w:p>
    <w:p w14:paraId="1E37FBD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Сообщаем, что на имеющемся на стеклозаводе имени Горького оборудования, изготовить силикатное стекло для авиаброни самолетов Ил-10 по представленным Вами черте</w:t>
      </w:r>
      <w:r w:rsidRPr="00070ADE">
        <w:rPr>
          <w:rFonts w:ascii="Times New Roman" w:hAnsi="Times New Roman"/>
          <w:color w:val="000000" w:themeColor="text1"/>
          <w:sz w:val="16"/>
          <w:szCs w:val="16"/>
        </w:rPr>
        <w:softHyphen/>
        <w:t>жам, мы не имеем возможности.</w:t>
      </w:r>
    </w:p>
    <w:p w14:paraId="64C5E69C" w14:textId="77777777" w:rsidR="00595BFB" w:rsidRPr="00070ADE" w:rsidRDefault="00595BFB" w:rsidP="00B56F90">
      <w:pPr>
        <w:tabs>
          <w:tab w:val="left" w:pos="3771"/>
        </w:tabs>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Данный заказ может быть выполнен при внесении сле</w:t>
      </w:r>
      <w:r w:rsidRPr="00070ADE">
        <w:rPr>
          <w:rFonts w:ascii="Times New Roman" w:hAnsi="Times New Roman"/>
          <w:color w:val="000000" w:themeColor="text1"/>
          <w:sz w:val="16"/>
          <w:szCs w:val="16"/>
        </w:rPr>
        <w:softHyphen/>
        <w:t>дующих изменений:</w:t>
      </w:r>
    </w:p>
    <w:p w14:paraId="172CD7A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уменьшение размеров переднего стекла /чертеж № 50431-0/ до 300 х 300 мм и соответствующее изменение размеров боковых стекол;</w:t>
      </w:r>
    </w:p>
    <w:p w14:paraId="2E59C12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замена всех скошенных под острым углом кромок торцами, обработанными под прямым углом;</w:t>
      </w:r>
    </w:p>
    <w:p w14:paraId="445340A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закругление острого угла боковых стекол.</w:t>
      </w:r>
    </w:p>
    <w:p w14:paraId="48E3C71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Силикатное стекло для самолета Ил-10 не подвер</w:t>
      </w:r>
      <w:r w:rsidRPr="00070ADE">
        <w:rPr>
          <w:rFonts w:ascii="Times New Roman" w:hAnsi="Times New Roman"/>
          <w:color w:val="000000" w:themeColor="text1"/>
          <w:sz w:val="16"/>
          <w:szCs w:val="16"/>
        </w:rPr>
        <w:softHyphen/>
        <w:t>гается сталинизации (10532,58).</w:t>
      </w:r>
    </w:p>
    <w:p w14:paraId="655AA72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95951CF" w14:textId="7BDEDEC6" w:rsidR="00A90D76" w:rsidRPr="001A0BAA" w:rsidRDefault="00A90D76" w:rsidP="00A90D7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 xml:space="preserve">К концу июня 1944 г., когда забравшая столько сил и средств «эпопея» с двигателем МБ-100 конструкции А.М. Добротворского </w:t>
      </w:r>
      <w:r>
        <w:rPr>
          <w:rFonts w:ascii="Times New Roman" w:hAnsi="Times New Roman"/>
          <w:color w:val="0070C0"/>
          <w:sz w:val="16"/>
          <w:szCs w:val="16"/>
        </w:rPr>
        <w:t xml:space="preserve">на Ер-2 </w:t>
      </w:r>
      <w:r w:rsidRPr="001A0BAA">
        <w:rPr>
          <w:rFonts w:ascii="Times New Roman" w:hAnsi="Times New Roman"/>
          <w:color w:val="0070C0"/>
          <w:sz w:val="16"/>
          <w:szCs w:val="16"/>
        </w:rPr>
        <w:t>наконец-то закончилась, авиационный завод №39 в Иркутске сдал по сборке первые 39 дальних бомбардировщиков Ермолаев Ер-2 с новой силовой установкой с дизельными моторами АЧ-30Б разработки КБ Чаромского и тридцать из них Заказчик уже принял (25739).</w:t>
      </w:r>
    </w:p>
    <w:p w14:paraId="52A467C3" w14:textId="77777777" w:rsidR="00A90D76" w:rsidRPr="001A0BAA" w:rsidRDefault="00A90D76" w:rsidP="00A90D76">
      <w:pPr>
        <w:spacing w:after="0" w:line="240" w:lineRule="auto"/>
        <w:jc w:val="both"/>
        <w:rPr>
          <w:rFonts w:ascii="Times New Roman" w:hAnsi="Times New Roman"/>
          <w:color w:val="0070C0"/>
          <w:sz w:val="16"/>
          <w:szCs w:val="16"/>
        </w:rPr>
      </w:pPr>
    </w:p>
    <w:p w14:paraId="61CC95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июня 1944 г. Морской учебный самолет У-2М (По-2М) передали на государственные в Летно-испытательный институт ВВС ВМФ. Они нача</w:t>
      </w:r>
      <w:r w:rsidRPr="00070ADE">
        <w:rPr>
          <w:rFonts w:ascii="Times New Roman" w:hAnsi="Times New Roman"/>
          <w:color w:val="000000" w:themeColor="text1"/>
          <w:sz w:val="16"/>
          <w:szCs w:val="16"/>
        </w:rPr>
        <w:softHyphen/>
        <w:t>лись с 8 июля 1944 г. и продолжались до 8 сентября. Несмотря на их положительный результат, предпо</w:t>
      </w:r>
      <w:r w:rsidRPr="00070ADE">
        <w:rPr>
          <w:rFonts w:ascii="Times New Roman" w:hAnsi="Times New Roman"/>
          <w:color w:val="000000" w:themeColor="text1"/>
          <w:sz w:val="16"/>
          <w:szCs w:val="16"/>
        </w:rPr>
        <w:softHyphen/>
        <w:t>лагаемая серийная постройка не состоялась из-за неяс</w:t>
      </w:r>
      <w:r w:rsidRPr="00070ADE">
        <w:rPr>
          <w:rFonts w:ascii="Times New Roman" w:hAnsi="Times New Roman"/>
          <w:color w:val="000000" w:themeColor="text1"/>
          <w:sz w:val="16"/>
          <w:szCs w:val="16"/>
        </w:rPr>
        <w:softHyphen/>
        <w:t>ности с применением данного типа самолета. Н.Н.Поли</w:t>
      </w:r>
      <w:r w:rsidRPr="00070ADE">
        <w:rPr>
          <w:rFonts w:ascii="Times New Roman" w:hAnsi="Times New Roman"/>
          <w:color w:val="000000" w:themeColor="text1"/>
          <w:sz w:val="16"/>
          <w:szCs w:val="16"/>
        </w:rPr>
        <w:softHyphen/>
        <w:t>карпов разработал машину в 1944 г. на базе У-2ВС и более ранне</w:t>
      </w:r>
      <w:r w:rsidRPr="00070ADE">
        <w:rPr>
          <w:rFonts w:ascii="Times New Roman" w:hAnsi="Times New Roman"/>
          <w:color w:val="000000" w:themeColor="text1"/>
          <w:sz w:val="16"/>
          <w:szCs w:val="16"/>
        </w:rPr>
        <w:softHyphen/>
        <w:t>го МУ-2. Его проектирование началось в 1943 г. Он имел новое однопоплавковое шасси, киль был уширен, введе</w:t>
      </w:r>
      <w:r w:rsidRPr="00070ADE">
        <w:rPr>
          <w:rFonts w:ascii="Times New Roman" w:hAnsi="Times New Roman"/>
          <w:color w:val="000000" w:themeColor="text1"/>
          <w:sz w:val="16"/>
          <w:szCs w:val="16"/>
        </w:rPr>
        <w:softHyphen/>
        <w:t>ны аэродинамически компенсированные элероны, на двигатель М-11Д установили капот, на винт - кок обте</w:t>
      </w:r>
      <w:r w:rsidRPr="00070ADE">
        <w:rPr>
          <w:rFonts w:ascii="Times New Roman" w:hAnsi="Times New Roman"/>
          <w:color w:val="000000" w:themeColor="text1"/>
          <w:sz w:val="16"/>
          <w:szCs w:val="16"/>
        </w:rPr>
        <w:softHyphen/>
        <w:t>каемой формы. Центральный поплавок - деревянный одноредан-ный. Часть его шпангоутов выполнили в виде непрони</w:t>
      </w:r>
      <w:r w:rsidRPr="00070ADE">
        <w:rPr>
          <w:rFonts w:ascii="Times New Roman" w:hAnsi="Times New Roman"/>
          <w:color w:val="000000" w:themeColor="text1"/>
          <w:sz w:val="16"/>
          <w:szCs w:val="16"/>
        </w:rPr>
        <w:softHyphen/>
        <w:t>цаемых переборок для обеспечения непотопляемости в , случае повреждения поплавка. Для предохранения от ударов нос поплавка обтянули резиной. Поплавок имел управляемый водяной руль. Для перемещения самолета) на суше в сквозное отверстие поплавка могла вставляться ось колесной тележки. Подкрыльевые поплавки, по 1 конструкции аналогичные центральному, редана не имели (10667).</w:t>
      </w:r>
    </w:p>
    <w:p w14:paraId="008BAC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5B7F9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163BB9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5A68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июня 1944 г., убедившись в невозможности в кратчай</w:t>
      </w:r>
      <w:r w:rsidRPr="00070ADE">
        <w:rPr>
          <w:rFonts w:ascii="Times New Roman" w:hAnsi="Times New Roman"/>
          <w:color w:val="000000" w:themeColor="text1"/>
          <w:sz w:val="16"/>
          <w:szCs w:val="16"/>
        </w:rPr>
        <w:softHyphen/>
        <w:t>ший срок доработать конструкцию своей машины, руководители ЧКЗ, после многочисленных настоятельных требований со стороны ГБТУ, несколько ускорили работы по модернизации серийно выпускавшегося танка ИС-2 (10703).</w:t>
      </w:r>
    </w:p>
    <w:p w14:paraId="035B58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9E58DC" w14:textId="20A7596C" w:rsidR="00A90D76" w:rsidRPr="001A0BAA" w:rsidRDefault="00A90D76" w:rsidP="00A90D7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конце июня 1944 г., поняв, что довести 701-й в отведенные сроки не удается, руководство ЧКЗ активизировало работы по модернизации И</w:t>
      </w:r>
      <w:r>
        <w:rPr>
          <w:rFonts w:ascii="Times New Roman" w:hAnsi="Times New Roman"/>
          <w:color w:val="0070C0"/>
          <w:sz w:val="16"/>
          <w:szCs w:val="16"/>
        </w:rPr>
        <w:t>С</w:t>
      </w:r>
      <w:r w:rsidRPr="001A0BAA">
        <w:rPr>
          <w:rFonts w:ascii="Times New Roman" w:hAnsi="Times New Roman"/>
          <w:color w:val="0070C0"/>
          <w:sz w:val="16"/>
          <w:szCs w:val="16"/>
        </w:rPr>
        <w:t>а (25001).</w:t>
      </w:r>
    </w:p>
    <w:p w14:paraId="31C39C0E" w14:textId="77777777" w:rsidR="00A90D76" w:rsidRPr="001A0BAA" w:rsidRDefault="00A90D76" w:rsidP="00A90D76">
      <w:pPr>
        <w:spacing w:after="0" w:line="240" w:lineRule="auto"/>
        <w:jc w:val="both"/>
        <w:rPr>
          <w:rFonts w:ascii="Times New Roman" w:hAnsi="Times New Roman"/>
          <w:color w:val="0070C0"/>
          <w:sz w:val="16"/>
          <w:szCs w:val="16"/>
        </w:rPr>
      </w:pPr>
    </w:p>
    <w:p w14:paraId="62707F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концу июня месяца 1944 танк Объект-248 прошел лишь заводские испытания пробегом и отстрелом на Миасском полигоне. Танк "Объект 248" был создан на базе опытного тяжелого танка "Объект 237" № 1. В связи с установкой новой пушки и башни была изменена компоновка боевого отделения. Командир и наводчик располагались справа, а заряжающий - слева от пушки. Люк и командирская башенка имели, по отношению к серийной башне танка ИС-1, зеркальное распо</w:t>
      </w:r>
      <w:r w:rsidRPr="00070ADE">
        <w:rPr>
          <w:rFonts w:ascii="Times New Roman" w:hAnsi="Times New Roman"/>
          <w:color w:val="000000" w:themeColor="text1"/>
          <w:sz w:val="16"/>
          <w:szCs w:val="16"/>
        </w:rPr>
        <w:softHyphen/>
        <w:t>ложение. Кроме того, отсутствовала установка тыльного пулемета. После проведения заводских испытаний машина была рекомендова</w:t>
      </w:r>
      <w:r w:rsidRPr="00070ADE">
        <w:rPr>
          <w:rFonts w:ascii="Times New Roman" w:hAnsi="Times New Roman"/>
          <w:color w:val="000000" w:themeColor="text1"/>
          <w:sz w:val="16"/>
          <w:szCs w:val="16"/>
        </w:rPr>
        <w:softHyphen/>
        <w:t>на на полигонные испытания. Однако ни "Объект 245", ни "Объект 248", оснащенные 100-мм пуш</w:t>
      </w:r>
      <w:r w:rsidRPr="00070ADE">
        <w:rPr>
          <w:rFonts w:ascii="Times New Roman" w:hAnsi="Times New Roman"/>
          <w:color w:val="000000" w:themeColor="text1"/>
          <w:sz w:val="16"/>
          <w:szCs w:val="16"/>
        </w:rPr>
        <w:softHyphen/>
        <w:t>ками, не были приняты на вооружение вследствие того, что на дальнос</w:t>
      </w:r>
      <w:r w:rsidRPr="00070ADE">
        <w:rPr>
          <w:rFonts w:ascii="Times New Roman" w:hAnsi="Times New Roman"/>
          <w:color w:val="000000" w:themeColor="text1"/>
          <w:sz w:val="16"/>
          <w:szCs w:val="16"/>
        </w:rPr>
        <w:softHyphen/>
        <w:t>тях свыше 1000 м из-за меньшей массы бронебойных снарядов их бро-непробиваемость оказалась меньше, чем у 122-мм бронебойных снаря</w:t>
      </w:r>
      <w:r w:rsidRPr="00070ADE">
        <w:rPr>
          <w:rFonts w:ascii="Times New Roman" w:hAnsi="Times New Roman"/>
          <w:color w:val="000000" w:themeColor="text1"/>
          <w:sz w:val="16"/>
          <w:szCs w:val="16"/>
        </w:rPr>
        <w:softHyphen/>
        <w:t>дов пушки Д-25 (10703).</w:t>
      </w:r>
    </w:p>
    <w:p w14:paraId="10DB98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676102" w14:textId="53D63A9A" w:rsidR="001B25C1" w:rsidRPr="00070ADE" w:rsidRDefault="001B25C1" w:rsidP="00B56F90">
      <w:pPr>
        <w:pStyle w:val="ae"/>
        <w:spacing w:before="0" w:after="0"/>
        <w:jc w:val="both"/>
        <w:textAlignment w:val="baseline"/>
        <w:rPr>
          <w:color w:val="000000" w:themeColor="text1"/>
          <w:sz w:val="16"/>
          <w:szCs w:val="16"/>
        </w:rPr>
      </w:pPr>
      <w:r w:rsidRPr="00070ADE">
        <w:rPr>
          <w:color w:val="000000" w:themeColor="text1"/>
          <w:sz w:val="16"/>
          <w:szCs w:val="16"/>
        </w:rPr>
        <w:t>К концу июня 1944 года в КБ-520 завода №183 узнали о том, что Т-44 следует переделывать. Под руководством А.А. Морозова начались работы над машиной, получившей обозначение</w:t>
      </w:r>
      <w:r w:rsidR="00B643A8" w:rsidRPr="00070ADE">
        <w:rPr>
          <w:color w:val="000000" w:themeColor="text1"/>
          <w:sz w:val="16"/>
          <w:szCs w:val="16"/>
        </w:rPr>
        <w:t xml:space="preserve"> </w:t>
      </w:r>
      <w:hyperlink r:id="rId188" w:history="1">
        <w:r w:rsidRPr="00070ADE">
          <w:rPr>
            <w:rStyle w:val="a5"/>
            <w:bCs/>
            <w:iCs/>
            <w:color w:val="000000" w:themeColor="text1"/>
            <w:sz w:val="16"/>
            <w:szCs w:val="16"/>
            <w:bdr w:val="none" w:sz="0" w:space="0" w:color="auto" w:frame="1"/>
          </w:rPr>
          <w:t>Т-44А</w:t>
        </w:r>
      </w:hyperlink>
      <w:r w:rsidRPr="00070ADE">
        <w:rPr>
          <w:color w:val="000000" w:themeColor="text1"/>
          <w:sz w:val="16"/>
          <w:szCs w:val="16"/>
        </w:rPr>
        <w:t>. Согласно отчёту по опытным работам завода №183 за первую половину июля 1944 года, 13 числа был готов корпус улучшенного танка. Практически с самого начала в конструкцию Т-44А стали вносить изменения. Например, сначала балансиры планировали сделать цельнолитыми, но ввиду брака их пришлось делать сборными, как на Т-34-85. Кроме того, на опытном корпусе несколько отошли от изначальных толщин брони. По проекту толщина верхнего и нижнего лобового листов составляла 85 мм, но на опытной машине толщину увеличили до 90 мм. Борта, которые теперь были не переменной толщины, по проекту ослабили до 70 мм, но реально их толщина выросла до 75 мм. Листы крыши должны были иметь толщину 13 мм, но поставили листы толщиной 15 мм.</w:t>
      </w:r>
    </w:p>
    <w:p w14:paraId="400166B7" w14:textId="0FE702A0" w:rsidR="001B25C1" w:rsidRPr="00070ADE" w:rsidRDefault="001B25C1" w:rsidP="00B56F90">
      <w:pPr>
        <w:pStyle w:val="ae"/>
        <w:spacing w:before="0" w:after="0"/>
        <w:jc w:val="both"/>
        <w:textAlignment w:val="baseline"/>
        <w:rPr>
          <w:color w:val="000000" w:themeColor="text1"/>
          <w:sz w:val="16"/>
          <w:szCs w:val="16"/>
        </w:rPr>
      </w:pPr>
      <w:r w:rsidRPr="00070ADE">
        <w:rPr>
          <w:color w:val="000000" w:themeColor="text1"/>
          <w:sz w:val="16"/>
          <w:szCs w:val="16"/>
        </w:rPr>
        <w:t>По сравнению с предыдущими вариантами корпус Т-44А отличался не только бортами и усиленной броневой защитой лба. Носовая часть танка также изменилась. Прекратив эксперименты с будкой (рубкой) механика-водителя, которая только мешала, КБ-520 подняло высоту отделения управления на уровень крыши моторного отделения. В результате уже никаких будок не требовалось. Общая высота корпуса составила чуть менее метра – конечно, за счёт этого общая высота машины чуть выросла, поскольку башня «приподнялась» вместе с отделением управления, но игра стоила свеч. Вместо будки механик-водитель получил смотровую щель в лобовой части корпуса, прикрытую изнутри стеклоблоком. Таким образом, стойкость лобовой детали заметно повысилась, а внутри отделения управления появилось достаточно места по высоте. Механик-водитель получил люк со створкой, которая поднималась вверх и вбок. При создании нового люка конструкторы ориентировались на люк</w:t>
      </w:r>
      <w:r w:rsidR="00B643A8" w:rsidRPr="00070ADE">
        <w:rPr>
          <w:color w:val="000000" w:themeColor="text1"/>
          <w:sz w:val="16"/>
          <w:szCs w:val="16"/>
        </w:rPr>
        <w:t xml:space="preserve"> </w:t>
      </w:r>
      <w:hyperlink r:id="rId189" w:history="1">
        <w:r w:rsidRPr="00070ADE">
          <w:rPr>
            <w:rStyle w:val="a5"/>
            <w:bCs/>
            <w:iCs/>
            <w:color w:val="000000" w:themeColor="text1"/>
            <w:sz w:val="16"/>
            <w:szCs w:val="16"/>
            <w:bdr w:val="none" w:sz="0" w:space="0" w:color="auto" w:frame="1"/>
          </w:rPr>
          <w:t>Pz.Kpfw.Panther</w:t>
        </w:r>
      </w:hyperlink>
      <w:r w:rsidRPr="00070ADE">
        <w:rPr>
          <w:color w:val="000000" w:themeColor="text1"/>
          <w:sz w:val="16"/>
          <w:szCs w:val="16"/>
        </w:rPr>
        <w:t>, хотя из общего с ним только принцип открытия. В передней, не открывающейся части люка появился смотровой прибор MK-IV, который вращался вместе с люком. Это существенно улучшало обзор. За счёт открытия створки люка вверх и вбок механик-водитель мог ехать в походном положении, высунувшись из люка.</w:t>
      </w:r>
    </w:p>
    <w:p w14:paraId="10CE3DEB" w14:textId="77777777" w:rsidR="001B25C1" w:rsidRPr="00070ADE" w:rsidRDefault="001B25C1" w:rsidP="00B56F90">
      <w:pPr>
        <w:spacing w:after="0" w:line="240" w:lineRule="auto"/>
        <w:jc w:val="both"/>
        <w:textAlignment w:val="baseline"/>
        <w:rPr>
          <w:rFonts w:ascii="Times New Roman" w:hAnsi="Times New Roman"/>
          <w:color w:val="000000" w:themeColor="text1"/>
          <w:sz w:val="16"/>
          <w:szCs w:val="16"/>
        </w:rPr>
      </w:pPr>
      <w:r w:rsidRPr="00070ADE">
        <w:rPr>
          <w:rFonts w:ascii="Times New Roman" w:hAnsi="Times New Roman"/>
          <w:color w:val="000000" w:themeColor="text1"/>
          <w:sz w:val="16"/>
          <w:szCs w:val="16"/>
        </w:rPr>
        <w:t>Прорабатывавшийся проект Т-44-А со 100-мм пушкой. Нередко он указывается как Т-44В, но это неверно. Интересен он тем, что видна ещё старая конфигурация кормы корпуса, верхний лобовой лист без смотровой щели. Заодно видна проектная башня с литым лбом и катаными стенками.</w:t>
      </w:r>
    </w:p>
    <w:p w14:paraId="532A2621" w14:textId="77777777" w:rsidR="001B25C1" w:rsidRPr="00070ADE" w:rsidRDefault="001B25C1" w:rsidP="00B56F90">
      <w:pPr>
        <w:pStyle w:val="ae"/>
        <w:spacing w:before="0" w:after="0"/>
        <w:jc w:val="both"/>
        <w:textAlignment w:val="baseline"/>
        <w:rPr>
          <w:color w:val="000000" w:themeColor="text1"/>
          <w:sz w:val="16"/>
          <w:szCs w:val="16"/>
        </w:rPr>
      </w:pPr>
      <w:r w:rsidRPr="00070ADE">
        <w:rPr>
          <w:color w:val="000000" w:themeColor="text1"/>
          <w:sz w:val="16"/>
          <w:szCs w:val="16"/>
        </w:rPr>
        <w:t>Массу изменений внесли не только в конструкцию носовой части корпуса, но и в шасси в целом. Ведущие колёса, по типу Т-34-85, сделали уменьшенного диаметра (530 мм), а количество роликов сократили до пяти. Балансиры укоротили почти вдвое, а их кронштейны оказались внутри корпуса. Диаметр опорных катков вернулся к значениям Т-34, то есть к диаметру 830 мм. Изменилось размещение радиаторов, переделали бортовые передачи. Уже после постройки корпуса в его конструкцию внесли изменения. Изначально кормовая деталь корпуса была прямой, позже к ней «пристыковали» кусок, состоявший из двух листов – это несколько улучшило работу системы охлаждения. Впрочем, на опытной машине это была «фальшивая» корма, то есть к имеющейся детали приварили добавку. В очередной раз была пересмотрена укладка, благодаря чему число патронов к 85-мм орудию ЗИС-С-53 выросло до 58 штук. Интересно, что изначально башню планировали сделать иной конструкции. Её носовая деталь делалась литой, толщиной 115 мм, а борта и корма – катаными, толщиной 90 мм. Таким образом, КБ-520 планировало вновь вернуться к концепции сварной башни, которая прорабатывалась для исходного проекта Т-44. Впрочем, этот вариант башни так и не был реализован (19047).</w:t>
      </w:r>
    </w:p>
    <w:p w14:paraId="13059DF4" w14:textId="77777777" w:rsidR="001B25C1" w:rsidRPr="00070ADE" w:rsidRDefault="001B25C1" w:rsidP="00B56F90">
      <w:pPr>
        <w:spacing w:after="0" w:line="240" w:lineRule="auto"/>
        <w:jc w:val="both"/>
        <w:textAlignment w:val="baseline"/>
        <w:rPr>
          <w:rFonts w:ascii="Times New Roman" w:hAnsi="Times New Roman"/>
          <w:color w:val="000000" w:themeColor="text1"/>
          <w:sz w:val="16"/>
          <w:szCs w:val="16"/>
        </w:rPr>
      </w:pPr>
    </w:p>
    <w:p w14:paraId="4D70FEE9" w14:textId="4D1F229E" w:rsidR="00AC1099" w:rsidRPr="00070ADE" w:rsidRDefault="00AC1099"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70ADE">
        <w:rPr>
          <w:rFonts w:ascii="Times New Roman" w:hAnsi="Times New Roman"/>
          <w:i/>
          <w:iCs/>
          <w:color w:val="000000" w:themeColor="text1"/>
          <w:sz w:val="16"/>
          <w:szCs w:val="16"/>
        </w:rPr>
        <w:t>За рубежом:</w:t>
      </w:r>
    </w:p>
    <w:p w14:paraId="4C595988" w14:textId="77777777" w:rsidR="00AC1099" w:rsidRPr="00070ADE" w:rsidRDefault="00AC1099"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3E7FD3AD" w14:textId="77777777" w:rsidR="00AC1099" w:rsidRPr="00070ADE" w:rsidRDefault="00AC10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концу июня 1944 были готовы 8 серийных He277B-5/R2, два из них проходили приемо-сдаточные испытания, а третий — наземную отработку. Однако принятая 3 июля 1944 года «Чрезвычайная программа строительства самолетов-истребителей» закрывала целый ряд направлений развития бомбардировочной авиации, в том числе и строительство тяжелых бомбардировщиков, в пользу расширения выпуска перехватчиков, необходимых для защиты территории Германии от англо-американских бомбардировок.</w:t>
      </w:r>
    </w:p>
    <w:p w14:paraId="48E86A3D" w14:textId="77777777" w:rsidR="00AC1099" w:rsidRPr="00070ADE" w:rsidRDefault="00AC109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Работы по Не277 не остановились, Хейнкель продолжал модифицировать машину. Например, только новых компоновок кабин для этого самолета было вычерчено 30 вариантов. После того как был переделан фюзеляж, который стал на 400 мм уже, а у кабины — несколько выше старого, практически ничего из созданных за четыре года для сборки Не177А стапелей и прочей техоснастки уже невозможно было использовать. Просто удивительно, как при этом на заводе в Швехате буквально «на коленке» все же удалось построить один Не277В-7. Но облетать его не вышло — ввиду приближения Советской Армии готовую машину взорвали (22883).</w:t>
      </w:r>
    </w:p>
    <w:p w14:paraId="17409090" w14:textId="77777777" w:rsidR="00AC1099" w:rsidRPr="00070ADE" w:rsidRDefault="00AC1099" w:rsidP="00B56F90">
      <w:pPr>
        <w:spacing w:after="0" w:line="240" w:lineRule="auto"/>
        <w:jc w:val="both"/>
        <w:rPr>
          <w:rFonts w:ascii="Times New Roman" w:hAnsi="Times New Roman"/>
          <w:color w:val="000000" w:themeColor="text1"/>
          <w:sz w:val="16"/>
          <w:szCs w:val="16"/>
        </w:rPr>
      </w:pPr>
    </w:p>
    <w:p w14:paraId="59894493" w14:textId="02F000BF"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021898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9817E6" w14:textId="77777777" w:rsidR="00614B84" w:rsidRPr="00070ADE" w:rsidRDefault="00614B84" w:rsidP="00B56F90">
      <w:pPr>
        <w:spacing w:after="0" w:line="240" w:lineRule="auto"/>
        <w:jc w:val="both"/>
        <w:textAlignment w:val="top"/>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В июне 1944 вышел приказ НКАП</w:t>
      </w:r>
    </w:p>
    <w:p w14:paraId="59D97612" w14:textId="77777777" w:rsidR="00614B84" w:rsidRPr="00070ADE" w:rsidRDefault="00614B84" w:rsidP="00B56F90">
      <w:pPr>
        <w:spacing w:after="0" w:line="240" w:lineRule="auto"/>
        <w:jc w:val="both"/>
        <w:textAlignment w:val="top"/>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О переходе с 15.07.44 на выпуск 60% Ил-2 с фибровыми протектированными бензобаками (19706).</w:t>
      </w:r>
    </w:p>
    <w:p w14:paraId="0693851F" w14:textId="77777777" w:rsidR="00614B84" w:rsidRPr="00070ADE" w:rsidRDefault="00614B84" w:rsidP="00B56F90">
      <w:pPr>
        <w:spacing w:after="0" w:line="240" w:lineRule="auto"/>
        <w:jc w:val="both"/>
        <w:textAlignment w:val="top"/>
        <w:rPr>
          <w:rFonts w:ascii="Times New Roman" w:eastAsia="Times New Roman" w:hAnsi="Times New Roman"/>
          <w:color w:val="000000" w:themeColor="text1"/>
          <w:sz w:val="16"/>
          <w:szCs w:val="16"/>
          <w:lang w:eastAsia="ru-RU"/>
        </w:rPr>
      </w:pPr>
    </w:p>
    <w:p w14:paraId="6466B2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зам. начальника 7-го гл. управления Залесский писал письмо зам. начальника 7-го гл. управления НКАП Долинскому А.С.</w:t>
      </w:r>
    </w:p>
    <w:p w14:paraId="52E379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Справка</w:t>
      </w:r>
    </w:p>
    <w:p w14:paraId="7BC4FE2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Постановлением ГОКО N 3949сс от 18 марта 1943 года и приказом наркома N 507сс от 22 августа 1943 г. гл. конструктор завода N 240 С.В.И. обязан был подать на гос. испытания самолет Ил-2 с пушками ОКБ-16 НКВ калибра 45 мм к 5 ноября 1943 г.</w:t>
      </w:r>
    </w:p>
    <w:p w14:paraId="4F56CC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Это задание ОКБ завода N 240 выполнило досрочно: самолет был подан на испытания в НИИ АВ 2 ноября 1943 г.</w:t>
      </w:r>
    </w:p>
    <w:p w14:paraId="4FF4E1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Постановлением ГОКО была установлена премия в размере 50 тысяч рублей за вооруженный этими пушками самолет, поданный в установленный срок и выдержавший полигонные наземные и воздушные испытания. Премия подлежит выдаче в распоряжение гл. конструктора для премирования отличившихся работников.</w:t>
      </w:r>
    </w:p>
    <w:p w14:paraId="007341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отчета НИИ АВ ВВС N 95 от 7 апреля 1944 года пушки НС-45 на самолете Ил-2 гос. испытания выдержали. В выводах отмечено, что установки под пушки сделанные ОКБ-240 обеспечили нормальную работу пушек. Заключение в целом по самолету Ил-2 с пушками НС-45 НИИ АВ не сделано, так как предъявленные образцы пушек имели реакцию на цапфы большую чем было предусмотрено ТУ на проектирование узлов крепления пушки в крыле самолета.</w:t>
      </w:r>
    </w:p>
    <w:p w14:paraId="60AE3E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ОКБ завода N 240 выполнило работу в установленные сроки по техническим данным на пушки НС-45 заявленными ОКБ-16. В соответствии с этим в распоряжение гл. конструктора С.В.И. надлежит перевести премию в размере 50 тыс. рублей (1825,231).</w:t>
      </w:r>
    </w:p>
    <w:p w14:paraId="17967B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13BF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в Выборгской операции в перспективная аэро</w:t>
      </w:r>
      <w:r w:rsidRPr="00070ADE">
        <w:rPr>
          <w:rFonts w:ascii="Times New Roman" w:hAnsi="Times New Roman"/>
          <w:color w:val="000000" w:themeColor="text1"/>
          <w:sz w:val="16"/>
          <w:szCs w:val="16"/>
        </w:rPr>
        <w:softHyphen/>
        <w:t>фотосъемка переднего края противника осуществлялась оди</w:t>
      </w:r>
      <w:r w:rsidRPr="00070ADE">
        <w:rPr>
          <w:rFonts w:ascii="Times New Roman" w:hAnsi="Times New Roman"/>
          <w:color w:val="000000" w:themeColor="text1"/>
          <w:sz w:val="16"/>
          <w:szCs w:val="16"/>
        </w:rPr>
        <w:softHyphen/>
        <w:t>ночными самолетами Ил-2 при помощи фотоаппаратов АФА-ЗС с турельных фотоустановок, смонтированных в кабине стрелка (11474,393).</w:t>
      </w:r>
    </w:p>
    <w:p w14:paraId="27A6133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3C52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Проектные работы по Ил-16 начались в июне в 1944 практически сразу же после завершения гос. испытаний Ил-10 (5,127).</w:t>
      </w:r>
    </w:p>
    <w:p w14:paraId="0A30B6C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E056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проводили эксперименты по впрыску воды на форсированных режимах АМ-38Ф. Двигатели АМ-38 и АМ-38Ф устанавливались на серийных штурмови</w:t>
      </w:r>
      <w:r w:rsidRPr="00070ADE">
        <w:rPr>
          <w:rFonts w:ascii="Times New Roman" w:hAnsi="Times New Roman"/>
          <w:color w:val="000000" w:themeColor="text1"/>
          <w:sz w:val="16"/>
          <w:szCs w:val="16"/>
        </w:rPr>
        <w:softHyphen/>
        <w:t>ках Ил-2, а также на опытном самолете ТИС-МА. Истребители МиГ-3 в мастерских и строевых полках переделывали под АМ-38. Использование АМ-38 предусматривалось также в проекте самолета ОДБ(П). Моторы АМ-38Ф экспортировались в Польшу, Чехословакию и Югос</w:t>
      </w:r>
      <w:r w:rsidRPr="00070ADE">
        <w:rPr>
          <w:rFonts w:ascii="Times New Roman" w:hAnsi="Times New Roman"/>
          <w:color w:val="000000" w:themeColor="text1"/>
          <w:sz w:val="16"/>
          <w:szCs w:val="16"/>
        </w:rPr>
        <w:softHyphen/>
        <w:t>лавию (11852).</w:t>
      </w:r>
    </w:p>
    <w:p w14:paraId="7E5594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240C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мотор АМ-42 был запущен в серийное производство на заводе № 24 (9649).</w:t>
      </w:r>
    </w:p>
    <w:p w14:paraId="660CC47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D9932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ПТАБ-10-2,5 предъявили на повторные госиспытания, где ПТАБ-10-2,5 эффективно поразила все танки, самоходные орудия и бронемашины с основной броней (без дополнительных броневых экранов) толщиной до 160 мм, а также экранированную броню толщиной до 40 мм и экрана до 20 мм, расположенных на расстоянии 500 мм друг от друга. Помимо того, на полигоне бомбили, надежно выводя из строя, трофейные артиллерийские орудия всех калибров, самолеты на стоянках, железнодорожные объекты и пр. Научно-техническим журналом ВВС № 80 от 1944 г. для массового производства ПТАБ-10-2,5 утвердили номер чертежа 3-01400 и индекс ВВС-4-Т-121.</w:t>
      </w:r>
    </w:p>
    <w:p w14:paraId="3FEDE5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постановлению ГКО, в 1944 г. для войсковых испытаний изготовили 100.000 штук ПТАБ-10-2,5 и доставили их в противотанковый авиаполк, вооруженный самолетами-штурмовиками Ил-2. В ходе испытаний установили, что при сбрасывании авиабомб они иногда “зависают” в универсальных бомбоотсеках самолетов из-за дефектов в их конструкции. К примеру, при укладке ПТАБ-10-2,5 головной частью назад было зафиксировано 19,7% отказов в действии боеприпасов из-за деформации стабилизатора, отчего крыльчатки предохранителей не сворачивались в полете и взрыватели не взводились.</w:t>
      </w:r>
    </w:p>
    <w:p w14:paraId="247EC6A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укладке авиабомб головной частью вперед стабилизаторы также деформировались, но взрыватели при этом отказывали лишь в 2,9% случаев. Кроме того, из-за слабой предохранительной пружины взрывателя АД-А бомбы срабатывали при падении на землю даже с высоты 1,4 - 2 м, а также после “зависания” под самолетом при его посадке, зачастую причиняя тяжелые повреждения машинам и наземному обслуживающему персоналу. К тому же войсковые специалисты признали время снаряжания авиабомб взрывателями слишком большим. Действительно, конструкция стабилизаторов (как, впрочем, и у ПТАБ-2,5-1,5) не позволяла завинчивать взрыватель одной рукой. Эту операцию приходилось выполнять двумя руками, зажимая каждый боеприпас коленями.</w:t>
      </w:r>
    </w:p>
    <w:p w14:paraId="2E9872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Несмотря на то, что ПТАБ-10-2,5 обладали высокой боевой эффективностью, комиссия пришла к выводу, что войсковых испытаний авиабомба не выдержала и на вооружение в данном конструктивном оформлении ее принять невозможно. Лишь только 1 августа 1945 г. принятие на вооружение ВВС авиационного центробежного донного взрывателя АДЦ, устранявшего все присущие ПТАБ-10-2,5 недостатки, позволило использовать эти авиабомбы в войсках уже в мирное время.</w:t>
      </w:r>
    </w:p>
    <w:p w14:paraId="297147A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загрузке авиационных бомбовых кассет или бомбо-отсеков на самолетах ПТАБ укладывали в горизонтальном положении головными частями назад по полету. И лишь только бомбовые кассеты АБК-3 на дальних бомбардировщиках Ил-4 позволяли разместить их вертикально головными частями вверх.</w:t>
      </w:r>
    </w:p>
    <w:p w14:paraId="79D787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Великой Отечественной войны немецкие танкисты учли такую конструктивную особенность советских противотанковых авиабомб, как довольно чувствительный взрыватель АД-А. С 1944 г. при заходе наших самолетов на штурмовку немцы стремились как можно быстрее рассредоточить свои колонны бронетехники в лесу. Тогда ПТАБ срабатывали по верхним ветвям деревьев, практически не нанося ущерба живой силе и технике противника (7453).</w:t>
      </w:r>
    </w:p>
    <w:p w14:paraId="5C75F0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8C9F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в связи с проблемами на гос. испытаниях первого серийного Ер-2 М-30Ф на завод N 39 прибыл целый десант из Москвы - комиссия наркомата авиапромышленности во главе с начальником ЦИАМа генералом Кашириным. "Комиссия, как и всякая, заседала, члены поругивались, сваливая грехи мотористов на самолетчиков и обратно - словом, картина обычная, - рассказывал А.К.Аронов. - Результатом явился документ с мероприятиями, реализация которых, как выяснилось впоследствии, дала ощутимые результаты, хотя и не вылечила силовую установку на 100%" (3322,41).</w:t>
      </w:r>
    </w:p>
    <w:p w14:paraId="34BFB8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0A78F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следующая небольшая партия Ер-2 (четыре самолета) отправилась с завода N 39 "своим ходом" в Астафьево, где началось переучивание руководящего летного состава вновь сформированных полков. Начиная с этого месяца, ввиду ненадежной работы винтомоторной группы в сдаточную программу ввели обязательный предварительный четырехчасовой полет на высоте 6000 м в районе аэродрома. С темпом четыре-девять машин в месяц экипажи из 73-й вад перегоняли Ер-2 вплоть до декабря 1944, а всего в течение 1944 г. пять авиакорпусов АДД (1, 2-й и 3-й гвардейские, 6-й и 8-й) успели принять 34 бомбардировщика. Еще пять машин сидели на аэродромах сибирской трассы (два в Красноярске, по одному в Омске, Янауле и Казани). Наибольшее количество Ер-2 в 1944 г. попало во 2-й гвардейский авиакорпус ДД - 20 единиц (3322,43).</w:t>
      </w:r>
    </w:p>
    <w:p w14:paraId="3ED02A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EADC2A" w14:textId="6EE59D4A" w:rsidR="0009141E" w:rsidRPr="00070ADE" w:rsidRDefault="0009141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на завод в Таганрог прибыли по частям железной дорогой машины Ер-2. В связи с предстоящими работами по сборке этих самолетов на заводе с 18 июня стали проводиться еженедельно дни качества. Но самолет Ер-2 так и не удалось запустить в производство. В 1945 году в полевых условиях было отремонтировано – 515 самолетов разных типов, на заводе - 79.</w:t>
      </w:r>
      <w:r w:rsidR="00B643A8" w:rsidRPr="00070ADE">
        <w:rPr>
          <w:rFonts w:ascii="Times New Roman" w:hAnsi="Times New Roman"/>
          <w:color w:val="000000" w:themeColor="text1"/>
          <w:sz w:val="16"/>
          <w:szCs w:val="16"/>
        </w:rPr>
        <w:t xml:space="preserve"> </w:t>
      </w:r>
    </w:p>
    <w:p w14:paraId="170D191E" w14:textId="77777777" w:rsidR="0009141E" w:rsidRPr="00070ADE" w:rsidRDefault="0009141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15 марта 1944 года завод перешел на одиннадцатичасовой рабочий день; восемь часов на основной работе, а с 5 до 8 часов вечера на разборе, расчистке завалов. По воскресеньям устраивали воскресники. Вновь прибывший директор завода Федоренко, на плечи которого легла основная тяжесть мобилизации коллектива на восстановление предприятия, жил первое время в товарном вагоне на территории завода. С глубокой болью работали ветераны. Они помнили, каким был красавец - завод в предвоенные годы. Городская газета писала в январе 1945 года о тех, кто возрождал завод из руин и пепла: «Люди из гвардии возрождения». Это была поистине гвардия. Среди героев возрождения были слесарь-монтажник А.П. Максимов, сборщик П.Д. Белый, токарь С.К. Новиков, лекальщик Ф.В. Зеркаль, кузнец Н.П. Баев. В цехе метизов трудилась пожилая работница на токарно-револьверном станке А.А. Подрезова. Небольшая сухонькая женщина. проводившая на войну сына, спокойно и уверенно трудилась, молча сносила все тяготы сурового времени, любовно и бережно поддерживала молодых девчaт, пришедших на завод, помогала им скорее освоить профессию. Не зря ее называли «матерью цеха» (18580).</w:t>
      </w:r>
    </w:p>
    <w:p w14:paraId="6C894FEA" w14:textId="77777777" w:rsidR="0009141E" w:rsidRPr="00070ADE" w:rsidRDefault="0009141E" w:rsidP="00B56F90">
      <w:pPr>
        <w:spacing w:after="0" w:line="240" w:lineRule="auto"/>
        <w:jc w:val="both"/>
        <w:rPr>
          <w:rFonts w:ascii="Times New Roman" w:hAnsi="Times New Roman"/>
          <w:color w:val="000000" w:themeColor="text1"/>
          <w:sz w:val="16"/>
          <w:szCs w:val="16"/>
        </w:rPr>
      </w:pPr>
    </w:p>
    <w:p w14:paraId="6ACBB0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начались гос. испытания Пе-2Б - второй переделки Пе-2, запланированной В.М.М., пришедшем на 22 завод. На самолете, подготовленном к полетам еще в декабре 1943, были реализованы почти все изменения, предложенные ЦАГИ и реализованные на машине N 19/205, но скорость была всего 524 км/час вместо желаемых 560 км/час. При первой попытке передачи на гос. испытания вернулся оттуда из-за трещин в моторамах и хотя по испытаниям рекомендовали в серию НКАП решил ориентироваться на Пе-2И (2205,41).</w:t>
      </w:r>
    </w:p>
    <w:p w14:paraId="234A9EC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BBDA56"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в НИИ ВВС проходил испытания Пе-2 завода № 22 с модифицированным крылом.</w:t>
      </w:r>
    </w:p>
    <w:p w14:paraId="57B3BD54"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ЦЕЛЬ ИСПЫТАНИЙ.</w:t>
      </w:r>
    </w:p>
    <w:p w14:paraId="2573202D"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Выявить особенности техники пилотирования самолета с модифицированным крылом.</w:t>
      </w:r>
    </w:p>
    <w:p w14:paraId="4CA61DF6"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Определить летиые данные самолета.</w:t>
      </w:r>
    </w:p>
    <w:p w14:paraId="1BD84860"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 ОБЪЕКТ ИСПЫТАНИЙ.</w:t>
      </w:r>
    </w:p>
    <w:p w14:paraId="535D54D4"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Предъявленный на испытания самолет Пе-2 № 14/226 с двумя моторами ВК-105ПФ и винтами ВИШ-105СВП Д=3,0 м, с модифицированным крылом построен заводом № 22 в сентябре 1943 года.</w:t>
      </w:r>
    </w:p>
    <w:p w14:paraId="3E8C2D92"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серийных самолетов Пе-2 предъявленный самолет отли</w:t>
      </w:r>
      <w:r w:rsidRPr="00070ADE">
        <w:rPr>
          <w:rFonts w:ascii="Times New Roman" w:hAnsi="Times New Roman"/>
          <w:color w:val="000000" w:themeColor="text1"/>
          <w:sz w:val="16"/>
          <w:szCs w:val="16"/>
        </w:rPr>
        <w:softHyphen/>
        <w:t>чается только модифицированным крылом. Сущность модификации cepийного крыла заключается в следующем /фото №1/:</w:t>
      </w:r>
    </w:p>
    <w:p w14:paraId="22BD0ABD"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носок профиля BBS серийного крыла до 25% хорды заменен профилем NASA-230.</w:t>
      </w:r>
    </w:p>
    <w:p w14:paraId="4951C030"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увеличена площадь крыла на 0,846 м2 и размах на 0,92 м за счет увеличения концевых обтекателей отъемных частей крыла.</w:t>
      </w:r>
    </w:p>
    <w:p w14:paraId="6046CEDF"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незначительно изменены передний лонжерон /только в стапеле/, входной канал туннели водорадиатора в средней части нервюр.</w:t>
      </w:r>
    </w:p>
    <w:p w14:paraId="177B2E43"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Центроплан, а также остальные детали отъемных частей серийного крыла остались без изменения.</w:t>
      </w:r>
    </w:p>
    <w:p w14:paraId="6BAA6D5F"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0432B5B9"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ТЕХНИКЕ ПИЛОТИРОВАНИЯ</w:t>
      </w:r>
    </w:p>
    <w:p w14:paraId="28723660"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Установка модифицированного крыла на самолете Пе-2 изменила характер поведения самолета на минимальных скоростях. На самолете Пе-2 с серийным крылом при достижении минимальной скорости наблюдается сильная тряска оперения, подергивание всех рулей и самолет резко переходит на крыло и на нос. На самолете с модифицированным крылом при этих же условиях появляются небольшие толчки на рулях, самолет переходит только на нос, причем после срыва самолет быстро приобретает устойчивость и управляемость.</w:t>
      </w:r>
    </w:p>
    <w:p w14:paraId="409CD53F"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На режимах набора и планирования уменьшились минимальные скорости полета на 15-20 км/час.</w:t>
      </w:r>
    </w:p>
    <w:p w14:paraId="5BAD9997"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Улучшилась устойчивость самолета на всех режимах.</w:t>
      </w:r>
    </w:p>
    <w:p w14:paraId="2DEA2F8A"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ВЕДУЩИЙ ЛЕТЧИК - ПОМ.НАЧАЛЬНИКА 3-го ОТДЕЛЕНИЯ ПО ЛЕТНОЙ ЧАСТИ ПОДПОЛКОВНИК /ЖДАНОВ/ 16 Июня 1944 г.</w:t>
      </w:r>
    </w:p>
    <w:p w14:paraId="0C2E9A60"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Самолет стал значительно проще в пилотировании, в особенности на взлете и посадке, так как не имеет тенденции сваливания на крыло.</w:t>
      </w:r>
    </w:p>
    <w:p w14:paraId="72E51529"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Увеличился на 20-26 км/час диапазон скоростей при полете с одним мотором.</w:t>
      </w:r>
    </w:p>
    <w:p w14:paraId="5969C040"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6. Для посадки на три точки с полностью выпущенными щитками не хватает руля глубины.</w:t>
      </w:r>
    </w:p>
    <w:p w14:paraId="490148EA"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ЛЕТНЫМ ДАННЫМ</w:t>
      </w:r>
    </w:p>
    <w:p w14:paraId="515727E7"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 Максимальные скорости, скороподъемность, взлетные и посадочные свойства самолета Пе-2 с модифицированным крылом, по сравнению с серийным Пе-2 практически не изменились.</w:t>
      </w:r>
    </w:p>
    <w:p w14:paraId="17A29C2B"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НАЧАЛЬНИК 3-ГО ОТДЕЛЕНИЯ 3 ОТДЕЛА НИИ ВВС КРАСНОЙ АРМИИ - ИНЖЕНЕР-ПОЛКОВНИК /КОКОРИН/</w:t>
      </w:r>
    </w:p>
    <w:p w14:paraId="544DC987"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июня 1944г.</w:t>
      </w:r>
    </w:p>
    <w:p w14:paraId="47392AD1"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ВЕДУЩИЙ ИНЖЕНЕР 3 ОТДЕЛА НИИ ВВС</w:t>
      </w:r>
    </w:p>
    <w:p w14:paraId="772C678B"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КРАСНОЙ АРМИИ ИНЖЕНЕР-МАЙОР /МАТЫЦИН/</w:t>
      </w:r>
    </w:p>
    <w:p w14:paraId="7D8D349B"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июня 1944 г.</w:t>
      </w:r>
    </w:p>
    <w:p w14:paraId="2D281AEA"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ВЕДУЩИЙ ЛЕТЧИК - ПОМ.НАЧАЛЬНИКА 3-го ОТДЕЛЕНИЯ ПО ЛЕТНОЙ ЧАСТИ ПОДПОЛКОВНИК /ЖДАНОВ/</w:t>
      </w:r>
    </w:p>
    <w:p w14:paraId="769D5F8B"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 июня 1944 г.</w:t>
      </w:r>
    </w:p>
    <w:p w14:paraId="0E673DDA" w14:textId="77777777" w:rsidR="004651D1" w:rsidRPr="00070ADE" w:rsidRDefault="004651D1"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(Линевич).</w:t>
      </w:r>
    </w:p>
    <w:p w14:paraId="29BC8C78" w14:textId="77777777" w:rsidR="004651D1" w:rsidRPr="00070ADE" w:rsidRDefault="004651D1" w:rsidP="00B56F90">
      <w:pPr>
        <w:spacing w:after="0" w:line="240" w:lineRule="auto"/>
        <w:jc w:val="both"/>
        <w:rPr>
          <w:rFonts w:ascii="Times New Roman" w:hAnsi="Times New Roman"/>
          <w:color w:val="000000" w:themeColor="text1"/>
          <w:sz w:val="16"/>
          <w:szCs w:val="16"/>
        </w:rPr>
      </w:pPr>
    </w:p>
    <w:p w14:paraId="00BA57A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Незваль писал Шахурину: «На ваш запрос о переоборудовании Пе-8 докладываю, что основная причина срыва задания заключается в том, что из цехов, выполняющих данную работу (№№ 9, 70, 205, 234), большое количество рабочих переданы в цеха Пе-2 для выполнения аварийных работ, а оставшаяся часть в большей мере также загружена заказами по Пе-2. В апреле-мае это были ремонт моторных рам и прорыв в агрегатных и сборочных цехах Пе-2.</w:t>
      </w:r>
    </w:p>
    <w:p w14:paraId="07C1FC0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самолетах Пе-8 № 42612 и № 42712 планер полностью состыкован, все готово под монтаж моторов АЧ-30Б. На № 42912 изготовлен только центроплан.</w:t>
      </w:r>
    </w:p>
    <w:p w14:paraId="37EDBE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штате ОКБ находится один рабочий, 90 ИТР и 15 служащих».</w:t>
      </w:r>
    </w:p>
    <w:p w14:paraId="36A2EDE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Спустя неделю Незваль вновь пишет в Москву «о дальнейшем пребывании ОКБ по тяжелым самолетам на заводе № 22». Главный конструктор сожалеет о решении прекратить выпуск Пе-8 и не видит смысла оставаться на заводе, где основная задача - постоянно увеличивать программу Пе-2. Незваль считает, что новые решения о продолжении работ по модернизации Пе-8 и создании опытных тяжелых машин лучше реализовывать на заводе № 456 или при слиянии с ОКБ Туполева (12049).</w:t>
      </w:r>
    </w:p>
    <w:p w14:paraId="238EBCF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5F54DF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были проведены контрольные испытания серийного самолета Ту-2, проведенные Гл. инспекцией, которые показали недобор скорости до 39 км/час. Во второй половине 1944 года этот дефект был устранен, т.е. сокращен недобор скорости с 39 км до 9 км/час. Однако качество самолета оставалось низким: плохое состояние внешней поверхности, плохая клепка и подгонка обшивки и др. Самолеты Ту-2 NN 18, 24, 27, передаваемые заводом на гос. испытания в НИИ ВВС, прошли испытания неудовлетворительно и были забракованы из-за наличия большого количества дефектов и ряда конструктивных недоработок (2633,10).</w:t>
      </w:r>
    </w:p>
    <w:p w14:paraId="1EBBDF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69FB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ОКБ А.Н.Т. разработало эскизный проект Ту-2 2АШ-82ФН в варианте торпедоносца Ту-2Т. В ходе ВО использовалось 12 торпедоносцев на базе Ту-2 2АШ-82ФН (1835,64).</w:t>
      </w:r>
    </w:p>
    <w:p w14:paraId="04F092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36AE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был готов первый самолет 62 А.Н.Т. - ДБ Ту-2Д на базе Ту-2 М-82ФН N 718. Отличия были в площади крыла, увеличенной с 48.8 кв. м до 59.05 кв. м, увеличенном ГО, баками, увеличенными с 2650 л до 3930 л, новым фонарем с улучшенным обзором, новыми винтами АВ-5В-21А диаметром 3.6 м. Машина N 714 была еще в производстве (1835,60).</w:t>
      </w:r>
    </w:p>
    <w:p w14:paraId="78D9761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9492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ОКБ разработало эскизный проект Ту-2 2AI1I-82 ФН в варианте самолета-торпе- доносца Ту-2Т. В конце 1944 г. один из серийных Ту-2 № 9/14 выпуска завода №23 был переоборудован под торпедное вооружение разработки ОКБ, которое состояло из:</w:t>
      </w:r>
    </w:p>
    <w:p w14:paraId="63B95E6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двух бортовых торпедодержателей типа ТД-44, с замками Дер 4-44-У;</w:t>
      </w:r>
    </w:p>
    <w:p w14:paraId="5967983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передних и задних вертикальных упоров;</w:t>
      </w:r>
    </w:p>
    <w:p w14:paraId="764861E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механизмов сбрасывания торпед;</w:t>
      </w:r>
    </w:p>
    <w:p w14:paraId="51E0E3E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прицела торпедометания ПТН-5;</w:t>
      </w:r>
    </w:p>
    <w:p w14:paraId="3B9356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лебедки БЛ-4 с тросами для подъема торпед (12002).</w:t>
      </w:r>
    </w:p>
    <w:p w14:paraId="1E75E0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B2F62E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был построен самолет Ту-2 № 16/7, в котором учли дефекты, отмеченные в акте по результатам государственных испытаний машины № 716. От машины № 18/11, испытанной в декабре 1944 года, самолет № 16/7 отличался увеличенной с 5,32 до 5,79 м2 площадью вертикального оперения, установкой автомата дозарядки гидроаккумулятора и усиленного хвостового колеса, герметизированным фонарем кабины пилота. На борту машины появился и доработанный бомбоприцел ОПБ-1Д, который благодаря автоматическому учету высоты и скорости полета позволял производить прицельное бомбометание без соблюдения заранее рассчитанного режима полета в диапазоне высот от 600 до 6000 метров при скорости ветра до 100 км/ч и путевой скорости самолета от 200 до 600 км/ч.</w:t>
      </w:r>
    </w:p>
    <w:p w14:paraId="53F31A2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Ведущими по самолету были инженер В.А. Шубралов и летчик М.А. Нюхтиков. Самолет облетали летчики-испытатели НИИ ВВС П.М. Стефановский, В.И. Жданов, И.П. Пискунов и М.П. Субботин, штурманы - А.И. Старых, Н.П. Цветков и Литвинчук.</w:t>
      </w:r>
    </w:p>
    <w:p w14:paraId="304028C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ходе испытаний был выполнен полет по маршруту Чкаловская - Саратов - Чкаловская со сбросом 1000 кг бомб на полигоне в районе Саратова. При взлетном весе 11 720 кг и 1960 кг топлива дальность полета получилась 2065 км.</w:t>
      </w:r>
    </w:p>
    <w:p w14:paraId="2868705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тому времени опыт боевого применения Ту-2 показал, что бомбардировщик был уязвим от атак истребителей противника снизу передней полусферы. В связи с этим Туполев принял решение установить дополнительную огневую точку для нижней полусферы самолета и попросил командование НИИ ВВС определить наиболее незащищенные зоны передней полусферы, необходимые для установки дополнительного оборонительного вооружения. Для этого в феврале 1945 года летчик-испытатель И.Е. Голофастов, летавший на истребителе Bf 109G-6 и проведший воздушный бой с Ту-2С № 16/7, отмечал:</w:t>
      </w:r>
    </w:p>
    <w:p w14:paraId="49AABF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"Атаки Ме-109Г-6 возможны спереди под углами к продольной оси самолета от 20 до 60 градусов и снизу с кабрирования под углами 30-50 градусов. Прицельные атаки возможны только одной очередью, при этом уход истребителя возможен без поражения. Атаки спереди-сбоку для истребителя вполне возможны, но несколько сложнее, чем атака на одной высоте сбоку. При атаках снизу-сбоку под углами кабрирования 30 градусов и более экипажу бомбардировщика трудно заметить атакующего.</w:t>
      </w:r>
    </w:p>
    <w:p w14:paraId="3692C14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Атаки сзади, снизу возможны под углами 20-50 градусов относительно продольной оси бомбардировщика. При всех атаках огонь открывался с дистанции 200-600 м.</w:t>
      </w:r>
    </w:p>
    <w:p w14:paraId="370D2E7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Атаки Ту-2 в задней полусфере лучше всего вести сзади-сбоку с кабрирования, учитывая расположение оружия на самолете".</w:t>
      </w:r>
    </w:p>
    <w:p w14:paraId="0FBB454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заключение Акта по результатам государственных испытаний, завершившихся 23 февраля 1945 года, рекомендовалось конструктивные изменения внедрить в серию за исключением воздушных винтов АВ-5В-21А, увеличивавших разбег. Там же отмечалось, что "несмотря на многократное выявление одних и тех же дефектов по самолету Ту-2 &lt;...&gt; при испытаниях &lt;...&gt; в ГКНИИ ВВС и эксплуатации в строевых частях &lt;...&gt; большинство дефектов остается до сих пор неустраненным".</w:t>
      </w:r>
    </w:p>
    <w:p w14:paraId="1E5D45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связи с этим в марте 1945 года два серийных Ту-2 (№1/44 и № 2/44) предъявили на контрольные испытания, которые они не выдержали. Позже, в июне 1946 года Совет министров СССР обязал авиационную промышленность изготовить десять эталонных машин с устранением всех отмеченных к тому времени дефектов и предъявить их на контрольные испытания.</w:t>
      </w:r>
    </w:p>
    <w:p w14:paraId="7B516B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результате доработок в самолет внесли 142 изменения, основными из которых были герметизация носовой части фюзеляжа и носовых частей центроплана, установка усиленных колес, пылевых фильтров на всасывающих патрубках, флюгерных воздушных винтов и электрофицированной стрелковой установки ВЭУ-1 у стрелка-радиста. В итоге, например, на машине № 38/49 при полетном весе 10 900 кг максимальная скорость на высоте 5460 м достигла 550 км/ч, а время набора 5000 метров сократилось до 10,3 минут, потолок составил 9350 метров, разбег и пробег - соответственно 465 и 875 метров.</w:t>
      </w:r>
    </w:p>
    <w:p w14:paraId="7DA7EA1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заключении НИИ ВВС по результатам испытаний десяти самолетов отмечалось, в частности:</w:t>
      </w:r>
    </w:p>
    <w:p w14:paraId="2DCDB02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"Летные характеристики модифицированных Ту-2 соответствуют техническим условиям на их поставку ВВС.</w:t>
      </w:r>
    </w:p>
    <w:p w14:paraId="46EBC2F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Считать необходимым внедрить на всех Ту-2 конструктивные и производственные изменения, выполненные на испытанных 10-ти самолетах..." (12035).</w:t>
      </w:r>
    </w:p>
    <w:p w14:paraId="5DA3BF7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8D5D764"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ОКБ разработало эскизный проект Ту-2 2АШ-82 ФН в варианте самолета-торпедоносца Ту-2Т. В конце 1944 один из серийных Ту-2 № 9/14 выпуска завода №23 был переоборудован под торпедное вооружение, разработки ОКБ, которое состояло из:</w:t>
      </w:r>
    </w:p>
    <w:p w14:paraId="1EB50D7E"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двух бортовых торпедодержателей типа ТД-44, с замками Дер 4-44-У;</w:t>
      </w:r>
    </w:p>
    <w:p w14:paraId="22D35F69"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передних и задних вертикальных упоров;</w:t>
      </w:r>
    </w:p>
    <w:p w14:paraId="2200014F"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механизмов сбрасывания торпед;</w:t>
      </w:r>
    </w:p>
    <w:p w14:paraId="753EF615"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прицела торпедометания ПТН-5;</w:t>
      </w:r>
    </w:p>
    <w:p w14:paraId="0B73814A"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лебедки БЛ-4 с тросами для подъема торпед</w:t>
      </w:r>
    </w:p>
    <w:p w14:paraId="69339885"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13 февраля по 5 апреля 1945 г. первый Ту-2Т прошел испытания с одной и двумя торпедами в варианте низкого торпедоносца. На испытаниях самолет показал следую</w:t>
      </w:r>
      <w:r w:rsidRPr="00070ADE">
        <w:rPr>
          <w:rFonts w:ascii="Times New Roman" w:hAnsi="Times New Roman"/>
          <w:color w:val="000000" w:themeColor="text1"/>
          <w:sz w:val="16"/>
          <w:szCs w:val="16"/>
        </w:rPr>
        <w:softHyphen/>
        <w:t>щие данные с одной торпедой с (двумя торпедами) (23464):</w:t>
      </w:r>
    </w:p>
    <w:p w14:paraId="7B6F1FB2" w14:textId="77777777" w:rsidR="001364B3" w:rsidRPr="00070ADE" w:rsidRDefault="001364B3" w:rsidP="00B56F90">
      <w:pPr>
        <w:spacing w:after="0" w:line="240" w:lineRule="auto"/>
        <w:jc w:val="both"/>
        <w:rPr>
          <w:rFonts w:ascii="Times New Roman" w:hAnsi="Times New Roman"/>
          <w:color w:val="000000" w:themeColor="text1"/>
          <w:sz w:val="16"/>
          <w:szCs w:val="16"/>
        </w:rPr>
      </w:pPr>
    </w:p>
    <w:p w14:paraId="3F1F1B8D" w14:textId="06CCA382" w:rsidR="00F13793" w:rsidRPr="00070ADE" w:rsidRDefault="00F1379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июне 1944 г. в конструкторском бюро А.Н. Туполева выполнили эскизный проект оснащения стандартного бомбардировщика торпедной подвеской. Под корневыми частями крыла у самых бортов фюзеляжа монтировались пилоны с торпедодержателями ТД-44. На каждый из них можно было подвесить по одной торпеде типа 45-36АН (весом по 966 кг), предназначенной для низкого метания. Прицеливался при сбросе торпед штурман, которому поставили прицел ПТН-5. В качестве опытного образца торпедоносца решили использовать серийный бомбардировщик № 9/14. Работы по его переделке начали на заводе № 156. Однако в сентябре 1944 г. в конструкторское бюро из штаба морской авиации поступили тактико-технические требования, предусматривавшие более глубокую модернизацию самолета. С одной стороны, заданием требовалось обеспечить максимальный унификации с серийным бомбардировщиком, с другой –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конструкцию и оборудование надо было внести существенные изменения. Например, место штурмана хотели перенести в носовую часть фюзеляжа и сделать над ним астрономический люк. В носовой кабине предполагалось установить торпедный прицел ПТН-5к, который позднее хотели заменить более сложным ПТН-42. По заданию самолет должен был нести две торпеды типа 45-36АН для сброса с бреющего полета. Они, как и предлагал Туполев, размещались на пилонах под корневой частью крыла. Вместо торпед возможна была подвеска бомб крупного калибра или авиационных донных мин АМД-500 или АМД-1000. В оборудование торпедоносца включались радиолокатор «Гнейс-5М», предназначенный для поиска надводных целей, и морской спасательный комплект. В</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последний входили надувная лодка ЛАС-3 и упаковка с одеждой и запасом продовольствия. Комплект должен был размещаться в специальном отсеке, открываемом из кабины стрелка. Эти требования Туполев попытался реализовать позднее, а пока на совместные с ВВС ВМФ испытания выставили самолет № 9/14 (21059).</w:t>
      </w:r>
    </w:p>
    <w:p w14:paraId="2770B8FB" w14:textId="77777777" w:rsidR="00F13793" w:rsidRPr="00070ADE" w:rsidRDefault="00F13793" w:rsidP="00B56F90">
      <w:pPr>
        <w:spacing w:after="0" w:line="240" w:lineRule="auto"/>
        <w:jc w:val="both"/>
        <w:rPr>
          <w:rFonts w:ascii="Times New Roman" w:hAnsi="Times New Roman"/>
          <w:color w:val="000000" w:themeColor="text1"/>
          <w:sz w:val="16"/>
          <w:szCs w:val="16"/>
        </w:rPr>
      </w:pPr>
    </w:p>
    <w:p w14:paraId="626F83E7" w14:textId="77777777" w:rsidR="002223FE" w:rsidRPr="001A0BAA" w:rsidRDefault="002223FE" w:rsidP="002223F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июне 1944 года на заводе № 23 был построен самолет Ту-2 № 16/7, в котором учли дефекты, отмеченные в акте по результатам государственных испытаний машины № 716. От машины № 18/11, испы</w:t>
      </w:r>
      <w:r w:rsidRPr="001A0BAA">
        <w:rPr>
          <w:rFonts w:ascii="Times New Roman" w:hAnsi="Times New Roman"/>
          <w:color w:val="0070C0"/>
          <w:sz w:val="16"/>
          <w:szCs w:val="16"/>
        </w:rPr>
        <w:softHyphen/>
        <w:t>танной в декабре 1944 года, самолет № 16/7 отличался увеличенной с 5,32 до 5, 79 м</w:t>
      </w:r>
      <w:r w:rsidRPr="001A0BAA">
        <w:rPr>
          <w:rFonts w:ascii="Times New Roman" w:hAnsi="Times New Roman"/>
          <w:color w:val="0070C0"/>
          <w:sz w:val="16"/>
          <w:szCs w:val="16"/>
          <w:vertAlign w:val="superscript"/>
        </w:rPr>
        <w:t>2</w:t>
      </w:r>
      <w:r w:rsidRPr="001A0BAA">
        <w:rPr>
          <w:rFonts w:ascii="Times New Roman" w:hAnsi="Times New Roman"/>
          <w:color w:val="0070C0"/>
          <w:sz w:val="16"/>
          <w:szCs w:val="16"/>
        </w:rPr>
        <w:t xml:space="preserve"> площа</w:t>
      </w:r>
      <w:r w:rsidRPr="001A0BAA">
        <w:rPr>
          <w:rFonts w:ascii="Times New Roman" w:hAnsi="Times New Roman"/>
          <w:color w:val="0070C0"/>
          <w:sz w:val="16"/>
          <w:szCs w:val="16"/>
        </w:rPr>
        <w:softHyphen/>
        <w:t>дью вертикального оперения, установкой автоматата дозарядки гидроаккумулятора и уси</w:t>
      </w:r>
      <w:r w:rsidRPr="001A0BAA">
        <w:rPr>
          <w:rFonts w:ascii="Times New Roman" w:hAnsi="Times New Roman"/>
          <w:color w:val="0070C0"/>
          <w:sz w:val="16"/>
          <w:szCs w:val="16"/>
        </w:rPr>
        <w:softHyphen/>
        <w:t>ленного хвостового колеса, герметизированным фонарем кабины пилота. На борту машины появился и доработанный бомбоприцел ОПБ-1Д, который благодаря автоматическому учету высоты и скорости полета позволял производить прицельное бомбометание без соблюдения заранее рассчитанного режима полета в диапазоне высот от 600 до 6000 метров при скоро</w:t>
      </w:r>
      <w:r w:rsidRPr="001A0BAA">
        <w:rPr>
          <w:rFonts w:ascii="Times New Roman" w:hAnsi="Times New Roman"/>
          <w:color w:val="0070C0"/>
          <w:sz w:val="16"/>
          <w:szCs w:val="16"/>
        </w:rPr>
        <w:softHyphen/>
        <w:t>сти ветра до 100 км/ч и путевой скорости самолета от 200 до 600 км/ч.</w:t>
      </w:r>
    </w:p>
    <w:p w14:paraId="6B242010" w14:textId="77777777" w:rsidR="002223FE" w:rsidRPr="001A0BAA" w:rsidRDefault="002223FE" w:rsidP="002223F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Ведущими по самолету' были инженер В.А. Шубралов и летчик М.А. Нюхтиков. Само</w:t>
      </w:r>
      <w:r w:rsidRPr="001A0BAA">
        <w:rPr>
          <w:rFonts w:ascii="Times New Roman" w:hAnsi="Times New Roman"/>
          <w:color w:val="0070C0"/>
          <w:sz w:val="16"/>
          <w:szCs w:val="16"/>
        </w:rPr>
        <w:softHyphen/>
        <w:t>лет облетали летчики-испытатели НИИ ВВС П.М. Стефановский, В.И Жданов, И.П Пис</w:t>
      </w:r>
      <w:r w:rsidRPr="001A0BAA">
        <w:rPr>
          <w:rFonts w:ascii="Times New Roman" w:hAnsi="Times New Roman"/>
          <w:color w:val="0070C0"/>
          <w:sz w:val="16"/>
          <w:szCs w:val="16"/>
        </w:rPr>
        <w:softHyphen/>
        <w:t>кунов и М. Субботин, штурманы - Старых, Н.П Цветков и Литвинчук.</w:t>
      </w:r>
    </w:p>
    <w:p w14:paraId="63EEFC46" w14:textId="77777777" w:rsidR="002223FE" w:rsidRPr="001A0BAA" w:rsidRDefault="002223FE" w:rsidP="002223F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ходе испытаний был выполнен полет по маршруту Чкаловская - Саратов - Чкалов</w:t>
      </w:r>
      <w:r w:rsidRPr="001A0BAA">
        <w:rPr>
          <w:rFonts w:ascii="Times New Roman" w:hAnsi="Times New Roman"/>
          <w:color w:val="0070C0"/>
          <w:sz w:val="16"/>
          <w:szCs w:val="16"/>
        </w:rPr>
        <w:softHyphen/>
        <w:t>ская со сбросом 1000 кг бомб на полигоне в районе Саратова. При взлетном весе 11 720 кг, I960 кг топлива дальность полета получилась 2065 км (24991).</w:t>
      </w:r>
    </w:p>
    <w:p w14:paraId="6250EA03" w14:textId="77777777" w:rsidR="002223FE" w:rsidRPr="001A0BAA" w:rsidRDefault="002223FE" w:rsidP="002223FE">
      <w:pPr>
        <w:spacing w:after="0" w:line="240" w:lineRule="auto"/>
        <w:jc w:val="both"/>
        <w:rPr>
          <w:rFonts w:ascii="Times New Roman" w:hAnsi="Times New Roman"/>
          <w:color w:val="0070C0"/>
          <w:sz w:val="16"/>
          <w:szCs w:val="16"/>
        </w:rPr>
      </w:pPr>
    </w:p>
    <w:p w14:paraId="552E5419" w14:textId="77777777" w:rsidR="002223FE" w:rsidRPr="001A0BAA" w:rsidRDefault="002223FE" w:rsidP="002223F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июне 1944 года Ту</w:t>
      </w:r>
      <w:r w:rsidRPr="001A0BAA">
        <w:rPr>
          <w:rFonts w:ascii="Times New Roman" w:hAnsi="Times New Roman"/>
          <w:color w:val="0070C0"/>
          <w:sz w:val="16"/>
          <w:szCs w:val="16"/>
        </w:rPr>
        <w:noBreakHyphen/>
        <w:t>2 «718» был переделан в Ту</w:t>
      </w:r>
      <w:r w:rsidRPr="001A0BAA">
        <w:rPr>
          <w:rFonts w:ascii="Times New Roman" w:hAnsi="Times New Roman"/>
          <w:color w:val="0070C0"/>
          <w:sz w:val="16"/>
          <w:szCs w:val="16"/>
        </w:rPr>
        <w:noBreakHyphen/>
        <w:t>2Д (62). Переделка заключалась в следующем:</w:t>
      </w:r>
    </w:p>
    <w:p w14:paraId="6D5D2935" w14:textId="77777777" w:rsidR="002223FE" w:rsidRPr="001A0BAA" w:rsidRDefault="002223FE" w:rsidP="002223F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Поверхность крыльев увеличили с 48,8 м² до 59,05 м²;</w:t>
      </w:r>
    </w:p>
    <w:p w14:paraId="2A02C633" w14:textId="77777777" w:rsidR="002223FE" w:rsidRPr="001A0BAA" w:rsidRDefault="002223FE" w:rsidP="002223F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Увеличили площадь хвостового оперения;</w:t>
      </w:r>
    </w:p>
    <w:p w14:paraId="477A5464" w14:textId="77777777" w:rsidR="002223FE" w:rsidRPr="001A0BAA" w:rsidRDefault="002223FE" w:rsidP="002223F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Емкость топливных баков увеличили с 2650 до 3930 л;</w:t>
      </w:r>
    </w:p>
    <w:p w14:paraId="3B044D35" w14:textId="77777777" w:rsidR="002223FE" w:rsidRPr="001A0BAA" w:rsidRDefault="002223FE" w:rsidP="002223F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Установили новый фонарь кабины с улучшенным обзором;</w:t>
      </w:r>
    </w:p>
    <w:p w14:paraId="2F12ABAB" w14:textId="77777777" w:rsidR="002223FE" w:rsidRPr="001A0BAA" w:rsidRDefault="002223FE" w:rsidP="002223F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Установили новые винты АВ</w:t>
      </w:r>
      <w:r w:rsidRPr="001A0BAA">
        <w:rPr>
          <w:rFonts w:ascii="Times New Roman" w:hAnsi="Times New Roman"/>
          <w:color w:val="0070C0"/>
          <w:sz w:val="16"/>
          <w:szCs w:val="16"/>
        </w:rPr>
        <w:noBreakHyphen/>
        <w:t>5В</w:t>
      </w:r>
      <w:r w:rsidRPr="001A0BAA">
        <w:rPr>
          <w:rFonts w:ascii="Times New Roman" w:hAnsi="Times New Roman"/>
          <w:color w:val="0070C0"/>
          <w:sz w:val="16"/>
          <w:szCs w:val="16"/>
        </w:rPr>
        <w:noBreakHyphen/>
        <w:t>21А диаметром 3,6 м.</w:t>
      </w:r>
    </w:p>
    <w:p w14:paraId="7A50888C" w14:textId="77777777" w:rsidR="002223FE" w:rsidRPr="001A0BAA" w:rsidRDefault="002223FE" w:rsidP="002223F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Самолет «718» проходил заводские испытания с 3 июля по 23 сентября 1944 года, а государственные испытания с 20 ноября 1944 по 23 апреля 1945 года. Его характеристики определились следующим образом:</w:t>
      </w:r>
    </w:p>
    <w:p w14:paraId="7E93635C" w14:textId="77777777" w:rsidR="002223FE" w:rsidRPr="001A0BAA" w:rsidRDefault="002223FE" w:rsidP="002223F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Размах крыльев: 22,06 м</w:t>
      </w:r>
    </w:p>
    <w:p w14:paraId="7757AE0A" w14:textId="77777777" w:rsidR="002223FE" w:rsidRPr="001A0BAA" w:rsidRDefault="002223FE" w:rsidP="002223F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Поверхность горизонтального стабилизатора: 10,15 м²</w:t>
      </w:r>
    </w:p>
    <w:p w14:paraId="79BCABF1" w14:textId="77777777" w:rsidR="002223FE" w:rsidRPr="001A0BAA" w:rsidRDefault="002223FE" w:rsidP="002223F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Поверхность шайб руля: 6,78 м²</w:t>
      </w:r>
    </w:p>
    <w:p w14:paraId="561D358F" w14:textId="77777777" w:rsidR="002223FE" w:rsidRPr="001A0BAA" w:rsidRDefault="002223FE" w:rsidP="002223F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Взлетная масса: 11400 кг</w:t>
      </w:r>
    </w:p>
    <w:p w14:paraId="399C9647" w14:textId="77777777" w:rsidR="002223FE" w:rsidRPr="001A0BAA" w:rsidRDefault="002223FE" w:rsidP="002223F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Нормальная бомбовая нагрузка: 1000 кг</w:t>
      </w:r>
    </w:p>
    <w:p w14:paraId="473DE7C7" w14:textId="77777777" w:rsidR="002223FE" w:rsidRPr="001A0BAA" w:rsidRDefault="002223FE" w:rsidP="002223F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Максимальная бомбовая нагрузка: 3000 кг</w:t>
      </w:r>
    </w:p>
    <w:p w14:paraId="2CF189CC" w14:textId="77777777" w:rsidR="002223FE" w:rsidRPr="001A0BAA" w:rsidRDefault="002223FE" w:rsidP="002223F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Максимальная скорость: 539 км/ч на высоте 5750 м</w:t>
      </w:r>
    </w:p>
    <w:p w14:paraId="49401C0B" w14:textId="77777777" w:rsidR="002223FE" w:rsidRPr="001A0BAA" w:rsidRDefault="002223FE" w:rsidP="002223F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Потолок: 10250 м</w:t>
      </w:r>
    </w:p>
    <w:p w14:paraId="3B80B008" w14:textId="77777777" w:rsidR="002223FE" w:rsidRPr="001A0BAA" w:rsidRDefault="002223FE" w:rsidP="002223F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Скороподъемность: 5000 м за 10,6 мин</w:t>
      </w:r>
    </w:p>
    <w:p w14:paraId="52EDFB2C" w14:textId="77777777" w:rsidR="002223FE" w:rsidRPr="001A0BAA" w:rsidRDefault="002223FE" w:rsidP="002223F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Техническая дальность: 2830 км</w:t>
      </w:r>
    </w:p>
    <w:p w14:paraId="0EC99FC7" w14:textId="77777777" w:rsidR="002223FE" w:rsidRPr="001A0BAA" w:rsidRDefault="002223FE" w:rsidP="002223F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 примере самолета «718» была продемонстрирована возможность превратить серийный Ту</w:t>
      </w:r>
      <w:r w:rsidRPr="001A0BAA">
        <w:rPr>
          <w:rFonts w:ascii="Times New Roman" w:hAnsi="Times New Roman"/>
          <w:color w:val="0070C0"/>
          <w:sz w:val="16"/>
          <w:szCs w:val="16"/>
        </w:rPr>
        <w:noBreakHyphen/>
        <w:t>2 в дальний бомбардировщик. Однако характеристики «718» не удовлетворили военных и таких самолетов не выпускали. 23 июня 1947 года машину отправили на слом (25073).</w:t>
      </w:r>
    </w:p>
    <w:p w14:paraId="68035222" w14:textId="77777777" w:rsidR="002223FE" w:rsidRPr="001A0BAA" w:rsidRDefault="002223FE" w:rsidP="002223FE">
      <w:pPr>
        <w:spacing w:after="0" w:line="240" w:lineRule="auto"/>
        <w:jc w:val="both"/>
        <w:rPr>
          <w:rFonts w:ascii="Times New Roman" w:hAnsi="Times New Roman"/>
          <w:color w:val="0070C0"/>
          <w:sz w:val="16"/>
          <w:szCs w:val="16"/>
        </w:rPr>
      </w:pPr>
    </w:p>
    <w:p w14:paraId="6272CF12" w14:textId="77777777" w:rsidR="002223FE" w:rsidRPr="001A0BAA" w:rsidRDefault="002223FE" w:rsidP="002223FE">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июне 1944 года ОКБ Туполева разработало чертежи торпедоносца Ту</w:t>
      </w:r>
      <w:r w:rsidRPr="001A0BAA">
        <w:rPr>
          <w:rFonts w:ascii="Times New Roman" w:hAnsi="Times New Roman"/>
          <w:color w:val="0070C0"/>
          <w:sz w:val="16"/>
          <w:szCs w:val="16"/>
        </w:rPr>
        <w:noBreakHyphen/>
        <w:t>2, а в конце года на самолете Ту</w:t>
      </w:r>
      <w:r w:rsidRPr="001A0BAA">
        <w:rPr>
          <w:rFonts w:ascii="Times New Roman" w:hAnsi="Times New Roman"/>
          <w:color w:val="0070C0"/>
          <w:sz w:val="16"/>
          <w:szCs w:val="16"/>
        </w:rPr>
        <w:noBreakHyphen/>
        <w:t>2 АШ</w:t>
      </w:r>
      <w:r w:rsidRPr="001A0BAA">
        <w:rPr>
          <w:rFonts w:ascii="Times New Roman" w:hAnsi="Times New Roman"/>
          <w:color w:val="0070C0"/>
          <w:sz w:val="16"/>
          <w:szCs w:val="16"/>
        </w:rPr>
        <w:noBreakHyphen/>
        <w:t>82ФН с серийным номером «9/14» выпуск завода № 23 превратили в торпедоносец (25073).</w:t>
      </w:r>
    </w:p>
    <w:p w14:paraId="697ED4E1" w14:textId="77777777" w:rsidR="002223FE" w:rsidRPr="001A0BAA" w:rsidRDefault="002223FE" w:rsidP="002223FE">
      <w:pPr>
        <w:spacing w:after="0" w:line="240" w:lineRule="auto"/>
        <w:jc w:val="both"/>
        <w:rPr>
          <w:rFonts w:ascii="Times New Roman" w:hAnsi="Times New Roman"/>
          <w:color w:val="0070C0"/>
          <w:sz w:val="16"/>
          <w:szCs w:val="16"/>
        </w:rPr>
      </w:pPr>
    </w:p>
    <w:p w14:paraId="6DF63A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заканчивались работы по установке РЛС типа ПНБ-4 на серийном Ту-2 N 104. На машину также дополнительно поставили 2 ВЯ (1835,59).</w:t>
      </w:r>
    </w:p>
    <w:p w14:paraId="1A28CED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948A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закончились гос. испытания Пе-2И В.М.М., которые начались в мае 1944. Это была наша версия Москито и фюзеляж в нижней части сделали овальным, чтобы разместить сначала 1000 кг, а потом 2000 кг бомбу. В хвостовой части была электродистанционная установка под УБ. Двигатели ВК-107А с реактивными патрубками. Экипаж - 2 человека. Потом выпустили малую серию в конце войны (1947,79).</w:t>
      </w:r>
    </w:p>
    <w:p w14:paraId="1F9967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2BBE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один из B-25D-30 испытывался в НИИ ВВС (3457,92).</w:t>
      </w:r>
    </w:p>
    <w:p w14:paraId="38344B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4A4E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был составлен акт на 12 Як-9У, выпущенных заводом № 82. После этого, командир 856-го перегоночного иап подполковник Иванов получил указание принять боевые самолеты (4842).</w:t>
      </w:r>
    </w:p>
    <w:p w14:paraId="42BB10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819E5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закончились испытания второго ИТП с М-107А (М-2), которые начались 23 ноября 1943 (148,29).</w:t>
      </w:r>
    </w:p>
    <w:p w14:paraId="10A507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13848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50 Як-9К с НС-45 передали в корпус г Е.Я.Савицкого на войсковые испытания (263,77).</w:t>
      </w:r>
    </w:p>
    <w:p w14:paraId="55CF1E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CF4C70" w14:textId="6E207EE6" w:rsidR="001444FD" w:rsidRPr="00070ADE" w:rsidRDefault="001444FD" w:rsidP="00B56F90">
      <w:pPr>
        <w:shd w:val="clear" w:color="auto" w:fill="FFFFFF"/>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В июне 1944 г., т.е. менее чем через год с момента начала работ, 50 самолетов Як-9К (самолеты Як-9Т с пушками</w:t>
      </w:r>
      <w:r w:rsidR="00C63BA9">
        <w:rPr>
          <w:rFonts w:ascii="Times New Roman" w:eastAsia="Times New Roman" w:hAnsi="Times New Roman"/>
          <w:color w:val="000000" w:themeColor="text1"/>
          <w:sz w:val="16"/>
          <w:szCs w:val="16"/>
        </w:rPr>
        <w:t xml:space="preserve"> </w:t>
      </w:r>
      <w:r w:rsidRPr="00070ADE">
        <w:rPr>
          <w:rFonts w:ascii="Times New Roman" w:eastAsia="Times New Roman" w:hAnsi="Times New Roman"/>
          <w:color w:val="000000" w:themeColor="text1"/>
          <w:sz w:val="16"/>
          <w:szCs w:val="16"/>
        </w:rPr>
        <w:t>НС-45) поступили в действующую армию. Войсковые испытания пушек НС-45 проходили в боевой обстановке. Бригада инженеров и механиков, в которую входили</w:t>
      </w:r>
      <w:r w:rsidR="00C63BA9">
        <w:rPr>
          <w:rFonts w:ascii="Times New Roman" w:eastAsia="Times New Roman" w:hAnsi="Times New Roman"/>
          <w:color w:val="000000" w:themeColor="text1"/>
          <w:sz w:val="16"/>
          <w:szCs w:val="16"/>
        </w:rPr>
        <w:t xml:space="preserve"> </w:t>
      </w:r>
      <w:r w:rsidRPr="00070ADE">
        <w:rPr>
          <w:rFonts w:ascii="Times New Roman" w:eastAsia="Times New Roman" w:hAnsi="Times New Roman"/>
          <w:color w:val="000000" w:themeColor="text1"/>
          <w:sz w:val="16"/>
          <w:szCs w:val="16"/>
        </w:rPr>
        <w:t>Лебедев Г.Н.,</w:t>
      </w:r>
      <w:r w:rsidR="00C63BA9">
        <w:rPr>
          <w:rFonts w:ascii="Times New Roman" w:eastAsia="Times New Roman" w:hAnsi="Times New Roman"/>
          <w:color w:val="000000" w:themeColor="text1"/>
          <w:sz w:val="16"/>
          <w:szCs w:val="16"/>
        </w:rPr>
        <w:t xml:space="preserve"> </w:t>
      </w:r>
      <w:r w:rsidRPr="00070ADE">
        <w:rPr>
          <w:rFonts w:ascii="Times New Roman" w:eastAsia="Times New Roman" w:hAnsi="Times New Roman"/>
          <w:color w:val="000000" w:themeColor="text1"/>
          <w:sz w:val="16"/>
          <w:szCs w:val="16"/>
        </w:rPr>
        <w:t>Паперный Б.Г., Лунин С.Г., Беляков В.И. помогала летчикам и техническому персоналу корпуса изучать и эксплуатировать пушку НС-45, обеспечивая с первых дней надежное боевое использование самолетов с этой пушкой.</w:t>
      </w:r>
    </w:p>
    <w:p w14:paraId="7CB41C6E" w14:textId="0C1C630D" w:rsidR="001444FD" w:rsidRPr="00070ADE" w:rsidRDefault="001444FD" w:rsidP="00B56F90">
      <w:pPr>
        <w:shd w:val="clear" w:color="auto" w:fill="FFFFFF"/>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В отчете о результатах войсковых испытаний самолета Як-9К с мотором ВК-105ПФ, вооруженного пушкой НС-45, в Никопольском истребительном авиационном корпусе генерал-лейтенанта Савицкого Е.Я. сказано: «…освоение самолетов Як-9К и пушки 45 калибра частями корпуса прошло хорошо, так как до получения самолетов Як-9К части корпуса имели в течение 11 месяцев на вооружении самолеты Як-9Т с пушками НС-37, отлично проявившими себя при операциях в Донбассе, Мелитополе, Никополе, Крыму, Севастополе, Витебско-Минской и Вильно-Каунасской операциях и особенно при неоднократных блокировках аэродромов противника в Розенфорде, Курман-Немельге, Валерьяновке,</w:t>
      </w:r>
      <w:r w:rsidR="00C63BA9">
        <w:rPr>
          <w:rFonts w:ascii="Times New Roman" w:eastAsia="Times New Roman" w:hAnsi="Times New Roman"/>
          <w:color w:val="000000" w:themeColor="text1"/>
          <w:sz w:val="16"/>
          <w:szCs w:val="16"/>
        </w:rPr>
        <w:t xml:space="preserve"> </w:t>
      </w:r>
      <w:r w:rsidRPr="00070ADE">
        <w:rPr>
          <w:rFonts w:ascii="Times New Roman" w:eastAsia="Times New Roman" w:hAnsi="Times New Roman"/>
          <w:color w:val="000000" w:themeColor="text1"/>
          <w:sz w:val="16"/>
          <w:szCs w:val="16"/>
        </w:rPr>
        <w:t>Б. Токмаке,</w:t>
      </w:r>
      <w:r w:rsidR="00C63BA9">
        <w:rPr>
          <w:rFonts w:ascii="Times New Roman" w:eastAsia="Times New Roman" w:hAnsi="Times New Roman"/>
          <w:color w:val="000000" w:themeColor="text1"/>
          <w:sz w:val="16"/>
          <w:szCs w:val="16"/>
        </w:rPr>
        <w:t xml:space="preserve"> </w:t>
      </w:r>
      <w:r w:rsidRPr="00070ADE">
        <w:rPr>
          <w:rFonts w:ascii="Times New Roman" w:eastAsia="Times New Roman" w:hAnsi="Times New Roman"/>
          <w:color w:val="000000" w:themeColor="text1"/>
          <w:sz w:val="16"/>
          <w:szCs w:val="16"/>
        </w:rPr>
        <w:t>Херсонесе,</w:t>
      </w:r>
      <w:r w:rsidR="00C63BA9">
        <w:rPr>
          <w:rFonts w:ascii="Times New Roman" w:eastAsia="Times New Roman" w:hAnsi="Times New Roman"/>
          <w:color w:val="000000" w:themeColor="text1"/>
          <w:sz w:val="16"/>
          <w:szCs w:val="16"/>
        </w:rPr>
        <w:t xml:space="preserve"> </w:t>
      </w:r>
      <w:r w:rsidRPr="00070ADE">
        <w:rPr>
          <w:rFonts w:ascii="Times New Roman" w:eastAsia="Times New Roman" w:hAnsi="Times New Roman"/>
          <w:color w:val="000000" w:themeColor="text1"/>
          <w:sz w:val="16"/>
          <w:szCs w:val="16"/>
        </w:rPr>
        <w:t>Сарабусе,</w:t>
      </w:r>
      <w:r w:rsidR="00C63BA9">
        <w:rPr>
          <w:rFonts w:ascii="Times New Roman" w:eastAsia="Times New Roman" w:hAnsi="Times New Roman"/>
          <w:color w:val="000000" w:themeColor="text1"/>
          <w:sz w:val="16"/>
          <w:szCs w:val="16"/>
        </w:rPr>
        <w:t xml:space="preserve"> </w:t>
      </w:r>
      <w:r w:rsidRPr="00070ADE">
        <w:rPr>
          <w:rFonts w:ascii="Times New Roman" w:eastAsia="Times New Roman" w:hAnsi="Times New Roman"/>
          <w:color w:val="000000" w:themeColor="text1"/>
          <w:sz w:val="16"/>
          <w:szCs w:val="16"/>
        </w:rPr>
        <w:t>Лепеле, Вильно…»</w:t>
      </w:r>
    </w:p>
    <w:p w14:paraId="24B3AD8F" w14:textId="71B61053" w:rsidR="001444FD" w:rsidRPr="00070ADE" w:rsidRDefault="001444FD" w:rsidP="00B56F90">
      <w:pPr>
        <w:shd w:val="clear" w:color="auto" w:fill="FFFFFF"/>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Корпус генерала</w:t>
      </w:r>
      <w:r w:rsidR="00C63BA9">
        <w:rPr>
          <w:rFonts w:ascii="Times New Roman" w:eastAsia="Times New Roman" w:hAnsi="Times New Roman"/>
          <w:color w:val="000000" w:themeColor="text1"/>
          <w:sz w:val="16"/>
          <w:szCs w:val="16"/>
        </w:rPr>
        <w:t xml:space="preserve"> </w:t>
      </w:r>
      <w:r w:rsidRPr="00070ADE">
        <w:rPr>
          <w:rFonts w:ascii="Times New Roman" w:eastAsia="Times New Roman" w:hAnsi="Times New Roman"/>
          <w:color w:val="000000" w:themeColor="text1"/>
          <w:sz w:val="16"/>
          <w:szCs w:val="16"/>
        </w:rPr>
        <w:t>Савицкого Е.Я., вооруженный самолетами Як-9Т с пушками НС-37 и Як-9К с пушками НС-45, успешно воевал и закончил бои в Берлине (15979).</w:t>
      </w:r>
    </w:p>
    <w:p w14:paraId="1C161BB2" w14:textId="77777777" w:rsidR="001444FD" w:rsidRPr="00070ADE" w:rsidRDefault="001444FD" w:rsidP="00B56F90">
      <w:pPr>
        <w:shd w:val="clear" w:color="auto" w:fill="FFFFFF"/>
        <w:spacing w:after="0" w:line="240" w:lineRule="auto"/>
        <w:jc w:val="both"/>
        <w:rPr>
          <w:rFonts w:ascii="Times New Roman" w:eastAsia="Times New Roman" w:hAnsi="Times New Roman"/>
          <w:color w:val="000000" w:themeColor="text1"/>
          <w:sz w:val="16"/>
          <w:szCs w:val="16"/>
        </w:rPr>
      </w:pPr>
    </w:p>
    <w:p w14:paraId="17313FDA" w14:textId="13A6CDF4" w:rsidR="00091345" w:rsidRPr="00070ADE" w:rsidRDefault="00091345" w:rsidP="00B56F90">
      <w:pPr>
        <w:shd w:val="clear" w:color="auto" w:fill="FFFFFF"/>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В июне 1944 г., т.е. менее чем через год с момента начала работ, 50 самолетов Як-9К (самолеты Як-9Т с пушками</w:t>
      </w:r>
      <w:r w:rsidR="00C63BA9">
        <w:rPr>
          <w:rFonts w:ascii="Times New Roman" w:eastAsia="Times New Roman" w:hAnsi="Times New Roman"/>
          <w:color w:val="000000" w:themeColor="text1"/>
          <w:sz w:val="16"/>
          <w:szCs w:val="16"/>
        </w:rPr>
        <w:t xml:space="preserve"> </w:t>
      </w:r>
      <w:r w:rsidRPr="00070ADE">
        <w:rPr>
          <w:rFonts w:ascii="Times New Roman" w:eastAsia="Times New Roman" w:hAnsi="Times New Roman"/>
          <w:color w:val="000000" w:themeColor="text1"/>
          <w:sz w:val="16"/>
          <w:szCs w:val="16"/>
        </w:rPr>
        <w:t>НС-45) поступили в действующую армию. Войсковые испытания пушек НС-45 проходили в боевой обстановке. Бригада инженеров и механиков, в которую входили</w:t>
      </w:r>
      <w:r w:rsidR="00C63BA9">
        <w:rPr>
          <w:rFonts w:ascii="Times New Roman" w:eastAsia="Times New Roman" w:hAnsi="Times New Roman"/>
          <w:color w:val="000000" w:themeColor="text1"/>
          <w:sz w:val="16"/>
          <w:szCs w:val="16"/>
        </w:rPr>
        <w:t xml:space="preserve"> </w:t>
      </w:r>
      <w:r w:rsidRPr="00070ADE">
        <w:rPr>
          <w:rFonts w:ascii="Times New Roman" w:eastAsia="Times New Roman" w:hAnsi="Times New Roman"/>
          <w:color w:val="000000" w:themeColor="text1"/>
          <w:sz w:val="16"/>
          <w:szCs w:val="16"/>
        </w:rPr>
        <w:t>Лебедев Г.Н.,</w:t>
      </w:r>
      <w:r w:rsidR="00C63BA9">
        <w:rPr>
          <w:rFonts w:ascii="Times New Roman" w:eastAsia="Times New Roman" w:hAnsi="Times New Roman"/>
          <w:color w:val="000000" w:themeColor="text1"/>
          <w:sz w:val="16"/>
          <w:szCs w:val="16"/>
        </w:rPr>
        <w:t xml:space="preserve"> </w:t>
      </w:r>
      <w:r w:rsidRPr="00070ADE">
        <w:rPr>
          <w:rFonts w:ascii="Times New Roman" w:eastAsia="Times New Roman" w:hAnsi="Times New Roman"/>
          <w:color w:val="000000" w:themeColor="text1"/>
          <w:sz w:val="16"/>
          <w:szCs w:val="16"/>
        </w:rPr>
        <w:t>Паперный Б.Г., Лунин С.Г., Беляков В.И. помогала летчикам и техническому персоналу корпуса изучать и эксплуатировать пушку НС-45, обеспечивая с первых дней надежное боевое использование самолетов с этой пушкой.</w:t>
      </w:r>
    </w:p>
    <w:p w14:paraId="576B4CE9" w14:textId="497D8E2F" w:rsidR="00091345" w:rsidRPr="00070ADE" w:rsidRDefault="00091345" w:rsidP="00B56F90">
      <w:pPr>
        <w:shd w:val="clear" w:color="auto" w:fill="FFFFFF"/>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В отчете о результатах войсковых испытаний самолета Як-9К с мотором ВК-105ПФ, вооруженного пушкой НС-45, в Никопольском истребительном авиационном корпусе генерал-лейтенанта Савицкого Е.Я. сказано: «…освоение самолетов Як-9К и пушки 45 калибра частями корпуса прошло хорошо, так как до получения самолетов Як-9К части корпуса имели в течение 11 месяцев на вооружении самолеты Як-9Т с пушками НС-37, отлично проявившими себя при операциях в Донбассе, Мелитополе, Никополе, Крыму, Севастополе, Витебско-Минской и Вильно-Каунасской операциях и особенно при неоднократных блокировках аэродромов противника в Розенфорде, Курман-Немельге, Валерьяновке,</w:t>
      </w:r>
      <w:r w:rsidR="00C63BA9">
        <w:rPr>
          <w:rFonts w:ascii="Times New Roman" w:eastAsia="Times New Roman" w:hAnsi="Times New Roman"/>
          <w:color w:val="000000" w:themeColor="text1"/>
          <w:sz w:val="16"/>
          <w:szCs w:val="16"/>
        </w:rPr>
        <w:t xml:space="preserve"> </w:t>
      </w:r>
      <w:r w:rsidRPr="00070ADE">
        <w:rPr>
          <w:rFonts w:ascii="Times New Roman" w:eastAsia="Times New Roman" w:hAnsi="Times New Roman"/>
          <w:color w:val="000000" w:themeColor="text1"/>
          <w:sz w:val="16"/>
          <w:szCs w:val="16"/>
        </w:rPr>
        <w:t>Б. Токмаке,</w:t>
      </w:r>
      <w:r w:rsidR="00C63BA9">
        <w:rPr>
          <w:rFonts w:ascii="Times New Roman" w:eastAsia="Times New Roman" w:hAnsi="Times New Roman"/>
          <w:color w:val="000000" w:themeColor="text1"/>
          <w:sz w:val="16"/>
          <w:szCs w:val="16"/>
        </w:rPr>
        <w:t xml:space="preserve"> </w:t>
      </w:r>
      <w:r w:rsidRPr="00070ADE">
        <w:rPr>
          <w:rFonts w:ascii="Times New Roman" w:eastAsia="Times New Roman" w:hAnsi="Times New Roman"/>
          <w:color w:val="000000" w:themeColor="text1"/>
          <w:sz w:val="16"/>
          <w:szCs w:val="16"/>
        </w:rPr>
        <w:t>Херсонесе,</w:t>
      </w:r>
      <w:r w:rsidR="00C63BA9">
        <w:rPr>
          <w:rFonts w:ascii="Times New Roman" w:eastAsia="Times New Roman" w:hAnsi="Times New Roman"/>
          <w:color w:val="000000" w:themeColor="text1"/>
          <w:sz w:val="16"/>
          <w:szCs w:val="16"/>
        </w:rPr>
        <w:t xml:space="preserve"> </w:t>
      </w:r>
      <w:r w:rsidRPr="00070ADE">
        <w:rPr>
          <w:rFonts w:ascii="Times New Roman" w:eastAsia="Times New Roman" w:hAnsi="Times New Roman"/>
          <w:color w:val="000000" w:themeColor="text1"/>
          <w:sz w:val="16"/>
          <w:szCs w:val="16"/>
        </w:rPr>
        <w:t>Сарабусе,</w:t>
      </w:r>
      <w:r w:rsidR="00C63BA9">
        <w:rPr>
          <w:rFonts w:ascii="Times New Roman" w:eastAsia="Times New Roman" w:hAnsi="Times New Roman"/>
          <w:color w:val="000000" w:themeColor="text1"/>
          <w:sz w:val="16"/>
          <w:szCs w:val="16"/>
        </w:rPr>
        <w:t xml:space="preserve"> </w:t>
      </w:r>
      <w:r w:rsidRPr="00070ADE">
        <w:rPr>
          <w:rFonts w:ascii="Times New Roman" w:eastAsia="Times New Roman" w:hAnsi="Times New Roman"/>
          <w:color w:val="000000" w:themeColor="text1"/>
          <w:sz w:val="16"/>
          <w:szCs w:val="16"/>
        </w:rPr>
        <w:t>Лепеле, Вильно…»</w:t>
      </w:r>
    </w:p>
    <w:p w14:paraId="4A7261C2" w14:textId="3F277819" w:rsidR="00091345" w:rsidRPr="00070ADE" w:rsidRDefault="00091345" w:rsidP="00B56F90">
      <w:pPr>
        <w:shd w:val="clear" w:color="auto" w:fill="FFFFFF"/>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Корпус генерала</w:t>
      </w:r>
      <w:r w:rsidR="00C63BA9">
        <w:rPr>
          <w:rFonts w:ascii="Times New Roman" w:eastAsia="Times New Roman" w:hAnsi="Times New Roman"/>
          <w:color w:val="000000" w:themeColor="text1"/>
          <w:sz w:val="16"/>
          <w:szCs w:val="16"/>
        </w:rPr>
        <w:t xml:space="preserve"> </w:t>
      </w:r>
      <w:r w:rsidRPr="00070ADE">
        <w:rPr>
          <w:rFonts w:ascii="Times New Roman" w:eastAsia="Times New Roman" w:hAnsi="Times New Roman"/>
          <w:color w:val="000000" w:themeColor="text1"/>
          <w:sz w:val="16"/>
          <w:szCs w:val="16"/>
        </w:rPr>
        <w:t>Савицкого Е.Я., вооруженный самолетами Як-9Т с пушками НС-37 и Як-9К с пушками НС-45, успешно воевал и закончил бои в Берлине (15979).</w:t>
      </w:r>
    </w:p>
    <w:p w14:paraId="211D2486" w14:textId="77777777" w:rsidR="00091345" w:rsidRPr="00070ADE" w:rsidRDefault="00091345" w:rsidP="00B56F90">
      <w:pPr>
        <w:shd w:val="clear" w:color="auto" w:fill="FFFFFF"/>
        <w:spacing w:after="0" w:line="240" w:lineRule="auto"/>
        <w:jc w:val="both"/>
        <w:rPr>
          <w:rFonts w:ascii="Times New Roman" w:eastAsia="Times New Roman" w:hAnsi="Times New Roman"/>
          <w:color w:val="000000" w:themeColor="text1"/>
          <w:sz w:val="16"/>
          <w:szCs w:val="16"/>
        </w:rPr>
      </w:pPr>
    </w:p>
    <w:p w14:paraId="760EE25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 xml:space="preserve">С июня 1944 Ла-7 начали осваивать и горьковские самолётостроители. Полностью переход завода № 21 с Ла-5ФН на Ла-7 завершился в ноябре. Здесь производственники именовали Ла-7 "типом 45"; с этого сочетания цифр начинались их серийные номера. В Горьком счёт серий повели по новой, а в Москве продолжили нумерацию серий Ла-5ФН. </w:t>
      </w:r>
    </w:p>
    <w:p w14:paraId="340F51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Серийные Ла-7 имели много отличий от Ла-5ФН. Переделка носка центроплана дала возможность выдержать один и тот же аэродинамический профиль по всему размаху. Это уменьшило аэродинамическое сопротивление и немного подняло подъёмную силу. Зализ центроплана теперь изготавливали полностью из металла, с каркасом из профилей и обшивкой из листа. Деревянную обшивку под ним ликвидировали.</w:t>
      </w:r>
    </w:p>
    <w:p w14:paraId="4AB545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фонаре кабины предусмотрели противокапотажную раму, в которую вставлялось бронестекло, защищавшее пилота сзади. Переднее бронестекло выполнили сплошным, из единого куска. Прицел сместили на 30 мм вниз.</w:t>
      </w:r>
    </w:p>
    <w:p w14:paraId="272FA9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Существенно изменилась мотоустановка - в ней использовали все новинки, опробованные на экспериментальных машинах. Воздух для нагнетателя забирался через окна в носке центроплана слева и справа от фюзеляжа; от них шли симметричные рукава наверх, соединявшиеся далее в один. Ликвидация характерного для Ла-5ФН короба над капотом мотора улучшила обзор из пилотской кабины вперёд. Боковые створки, регулировавшие выпуск воздуха, охлаждавшего двигатель, укоротили по высоте и сместили вверх. Это устранило срыв потока с центроплана при полностью открытых створках и благоприятно сказалось на скороподъёмности и манёвренности самолёта. Вместо прежних 10 выхлопных патрубков сделали 14 - по одному на цилиндр; но лишь пять из них находились под регулирующей створкой.</w:t>
      </w:r>
    </w:p>
    <w:p w14:paraId="6A7660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Улучшили подгонку дефлекторов мотора АШ-82ФН. Храповик для автостартёра на втулке винта убрали, двигатель запускался только сжатым воздухом. Маслорадиатор располагался под фюзеляжем за шпангоутом № 5 в профилированном канале и был тщательно закапотирован снаружи. На стыке его с фюзеляжем был сделан желобок (слив) для предотвращения срыва пограничного слоя воздуха на нижней поверхности фюзеляжа. В противном случае воздействие срыва уменьшило бы эффективность радиатора примерно на 20%.</w:t>
      </w:r>
    </w:p>
    <w:p w14:paraId="5A6F27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Основные стойки шасси удлинили на 80 мм, а хвостовую, наоборот, укоротили. Это увеличило противокапотажный угол. Теперь можно было более резко давать газ на взлёте и энергичнее тормозить на посадке. Щитки, закреплённые на фюзеляже, при убранном шасси полностью закрывали нижнюю часть колёс основных стоек, улучшая аэродинамику. Механизм уборки костыльного колеса усовершенствовали. Костыль уже не складывался самопроизвольно на посадке и не выпадал в полёте, как у Ла-5ФН.</w:t>
      </w:r>
    </w:p>
    <w:p w14:paraId="754A2C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Уменьшили щели между рулями высоты и стабилизатором, а также между рулём направления и килем. Управление рулём высоты облегчили путём увеличения аэродинамической компенсации руля и изменением передаточного отношения от ручки. Сама ручка лишилась "баранки" сверху.</w:t>
      </w:r>
    </w:p>
    <w:p w14:paraId="3993E8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кабине перекомпоновали приборную доску, снабдили её ультрафиолетовой подсветкой. Шкалы приборов, нарисованные специальной краской, теперь светились в темноте при включении невидимой для глаз лётчика лампы. Радиостанцию сместили назад, расположив её за бронеспинкой пилотского кресла; управлялась она дистанционно. Герметизацию кабины улучшили, особенно по шпангоуту № 1, отделяющему её от мотоустановки.</w:t>
      </w:r>
    </w:p>
    <w:p w14:paraId="7A403A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Кроме того, различные изменения внесли в бензосистему, герметизацию отдельных узлов, улучшили подгонку лючков, поставили обтекатели в местах вырезов под кронштейны рулей.</w:t>
      </w:r>
    </w:p>
    <w:p w14:paraId="0D228C9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Серийные истребители имели более низкие лётные данные, чем "эталон". Это выявилось на испытаниях машины из головной серии в НИИ ВВС в августе 1944 г. Месяц спустя туда же на контрольные испытания прибыл ещё один Ла-7. Ни один из двух не смог развить скорость более 658 км/ч. Помимо недобора скорости, недостатками сочли перегрев двигателя при длительном наборе высоты и стабильно высокую температуру в кабине.</w:t>
      </w:r>
    </w:p>
    <w:p w14:paraId="017850B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 те же нарекания были высказаны в ходе войсковых испытаний в сентябре-октябре 1944 г. Участвовавшие в них самолёты (и московские, и горьковские, выпущенные в июне - августе того же года) развивали максимальную скорость у земли на номинальном режиме работы мотора 578 км/ч, а на форсаже - 644 км/ч, на 2-й границе высотности (5900 м) - 658 км/ч. Время набора высоты 5000 м составляло 4,95 мин, а виража на высоте 1000 м - 20 с, набор высоты в боевом развороте равнялся 1400 м. Получалось, что по всем лётным данным серийные машины существенно уступали "эталону 1944 г.". Лётчики жаловались на жару в кабине, плохую вентиляцию, слишком тугое управление рулём поворота. Эти недостатки удалось устранить значительно позже, практически перед снятием истребителя с производства (11986).</w:t>
      </w:r>
    </w:p>
    <w:p w14:paraId="7FBCC6A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81EF162" w14:textId="77777777" w:rsidR="00E20115" w:rsidRPr="00070ADE" w:rsidRDefault="00E2011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первые серийные Ла-7 поступили в «маршальский» 19-й ГИАП, 24 ию</w:t>
      </w:r>
      <w:r w:rsidRPr="00070ADE">
        <w:rPr>
          <w:rFonts w:ascii="Times New Roman" w:hAnsi="Times New Roman"/>
          <w:color w:val="000000" w:themeColor="text1"/>
          <w:sz w:val="16"/>
          <w:szCs w:val="16"/>
        </w:rPr>
        <w:softHyphen/>
        <w:t>ня состоялся боевой дебют в ходе операции «Багратион» (освобождение Белоруссии) (15829).</w:t>
      </w:r>
    </w:p>
    <w:p w14:paraId="261EF879" w14:textId="77777777" w:rsidR="00E20115" w:rsidRPr="00070ADE" w:rsidRDefault="00E20115" w:rsidP="00B56F90">
      <w:pPr>
        <w:spacing w:after="0" w:line="240" w:lineRule="auto"/>
        <w:jc w:val="both"/>
        <w:rPr>
          <w:rFonts w:ascii="Times New Roman" w:hAnsi="Times New Roman"/>
          <w:color w:val="000000" w:themeColor="text1"/>
          <w:sz w:val="16"/>
          <w:szCs w:val="16"/>
        </w:rPr>
      </w:pPr>
    </w:p>
    <w:p w14:paraId="0D2EF2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первые серий</w:t>
      </w:r>
      <w:r w:rsidRPr="00070ADE">
        <w:rPr>
          <w:rFonts w:ascii="Times New Roman" w:hAnsi="Times New Roman"/>
          <w:color w:val="000000" w:themeColor="text1"/>
          <w:sz w:val="16"/>
          <w:szCs w:val="16"/>
        </w:rPr>
        <w:softHyphen/>
        <w:t>ные Ла-7 поступили в «маршальский» 19-й ГИАП, где 24 июня состоялся их боевой дебют при проведении опе</w:t>
      </w:r>
      <w:r w:rsidRPr="00070ADE">
        <w:rPr>
          <w:rFonts w:ascii="Times New Roman" w:hAnsi="Times New Roman"/>
          <w:color w:val="000000" w:themeColor="text1"/>
          <w:sz w:val="16"/>
          <w:szCs w:val="16"/>
        </w:rPr>
        <w:softHyphen/>
        <w:t>рации «Багратион» - освобождение Белоруссии. Официальные войсковые испыта</w:t>
      </w:r>
      <w:r w:rsidRPr="00070ADE">
        <w:rPr>
          <w:rFonts w:ascii="Times New Roman" w:hAnsi="Times New Roman"/>
          <w:color w:val="000000" w:themeColor="text1"/>
          <w:sz w:val="16"/>
          <w:szCs w:val="16"/>
        </w:rPr>
        <w:softHyphen/>
        <w:t>ния Ла-7 состоялись несколько поз</w:t>
      </w:r>
      <w:r w:rsidRPr="00070ADE">
        <w:rPr>
          <w:rFonts w:ascii="Times New Roman" w:hAnsi="Times New Roman"/>
          <w:color w:val="000000" w:themeColor="text1"/>
          <w:sz w:val="16"/>
          <w:szCs w:val="16"/>
        </w:rPr>
        <w:softHyphen/>
        <w:t>же в 63-м ГИАП (командир Герой Советского Союза гв. подполковник Горбатюк Е.М.) 3-й ГИАД 1-го ГИАК. Дивизией командовал в то время гв. полковник В.И. Сталин, вернувшийся после опалы в боевой состав ВВС КА (10730).</w:t>
      </w:r>
    </w:p>
    <w:p w14:paraId="5D1824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0E4A1A"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июне 1944 г. ВВС получили первый самолет Ла-7, однако испытания в условиях фронта были проведены на базе 63-го ГИАП с 15 сентября по 15 октября 1944 г. под руководством командира полка полковника Горбатова. Помимо превосходных летных характеристик испытания выявили и ряд недостатков — часто отказывала гидравлика, отмечались перебои в работе мотора. Последний дефект оставался настоящим бичом Ла-7 до самого конца войны; связан он был с переносом воздухозаборников с капота мотора в корни плоскостей крыла — места, более уязвимые с точки зрения попадания пыли на взлете и посадке, пыль и частицы грунта приводили к отказам двигателя. В морозную погоду, когда Ла-7 проходил Государственные испытания, пыли на аэродромах не было, поэтому дефект вовремя выявить не смогли. Попыткой избавиться от дефекта стал монтаж фильтров на воздухозаборники и появление дополнительных воздухозаборников на нижней поверхности плоскостей крыла перед колодцами уборки колес основных опор шасси. Государственные испытания доработанный таким образом самолет (заводской номер 38102663 проходил с мая по конец июня 1945 г., результаты испытаний признали неудовлетворительными. Отказы двигателя случались на Ла-7 гораздо более часто, чем на Ла-5ФН (25058).</w:t>
      </w:r>
    </w:p>
    <w:p w14:paraId="443D99DE" w14:textId="77777777" w:rsidR="00EF323C" w:rsidRPr="001A0BAA" w:rsidRDefault="00EF323C" w:rsidP="00EF323C">
      <w:pPr>
        <w:spacing w:after="0" w:line="240" w:lineRule="auto"/>
        <w:jc w:val="both"/>
        <w:rPr>
          <w:rFonts w:ascii="Times New Roman" w:hAnsi="Times New Roman"/>
          <w:color w:val="0070C0"/>
          <w:sz w:val="16"/>
          <w:szCs w:val="16"/>
        </w:rPr>
      </w:pPr>
    </w:p>
    <w:p w14:paraId="0A44AC00"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июне 1944 г. Лавочкину поручили построить Ла-7ТК</w:t>
      </w:r>
      <w:r w:rsidRPr="001A0BAA">
        <w:rPr>
          <w:rFonts w:ascii="Times New Roman" w:hAnsi="Times New Roman"/>
          <w:b/>
          <w:bCs/>
          <w:color w:val="0070C0"/>
          <w:sz w:val="16"/>
          <w:szCs w:val="16"/>
        </w:rPr>
        <w:t xml:space="preserve"> </w:t>
      </w:r>
      <w:r w:rsidRPr="001A0BAA">
        <w:rPr>
          <w:rFonts w:ascii="Times New Roman" w:hAnsi="Times New Roman"/>
          <w:color w:val="0070C0"/>
          <w:sz w:val="16"/>
          <w:szCs w:val="16"/>
        </w:rPr>
        <w:t>с двигателем АШ-82ФН, двумя турбо</w:t>
      </w:r>
      <w:r w:rsidRPr="001A0BAA">
        <w:rPr>
          <w:rFonts w:ascii="Times New Roman" w:hAnsi="Times New Roman"/>
          <w:color w:val="0070C0"/>
          <w:sz w:val="16"/>
          <w:szCs w:val="16"/>
        </w:rPr>
        <w:softHyphen/>
        <w:t>компрессорами ТК-3 и винтом ВИШ-105В. По расчёту, его практический потолок должен был составить 11800 м (на 1000 м больше, чем у серийного Ла-7). 25 июля 1944 года состоялся первый полет с включением турбокомпрес</w:t>
      </w:r>
      <w:r w:rsidRPr="001A0BAA">
        <w:rPr>
          <w:rFonts w:ascii="Times New Roman" w:hAnsi="Times New Roman"/>
          <w:color w:val="0070C0"/>
          <w:sz w:val="16"/>
          <w:szCs w:val="16"/>
        </w:rPr>
        <w:softHyphen/>
        <w:t>соров. На заводских испытаниях в июле-августе 1944 г. Ла-7ТК с одной пушкой ШВАК достиг скорости 676 км/ч на высоте 8000 м. Но потребность в высотном истребителе в середине 1944 г. была незначительной; построили всего 10 Ла-7ТК. Работы продолжались в 1945 г., но расчётных данных так и не достигли - выше 8500 м подняться не удалось из-за масляного голодания мотора (24984).</w:t>
      </w:r>
    </w:p>
    <w:p w14:paraId="07872105" w14:textId="77777777" w:rsidR="00EF323C" w:rsidRPr="001A0BAA" w:rsidRDefault="00EF323C" w:rsidP="00EF323C">
      <w:pPr>
        <w:spacing w:after="0" w:line="240" w:lineRule="auto"/>
        <w:jc w:val="both"/>
        <w:rPr>
          <w:rFonts w:ascii="Times New Roman" w:hAnsi="Times New Roman"/>
          <w:color w:val="0070C0"/>
          <w:sz w:val="16"/>
          <w:szCs w:val="16"/>
        </w:rPr>
      </w:pPr>
    </w:p>
    <w:p w14:paraId="660A65F3"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июня 1944 года Ла-7 начали осваи</w:t>
      </w:r>
      <w:r w:rsidRPr="001A0BAA">
        <w:rPr>
          <w:rFonts w:ascii="Times New Roman" w:hAnsi="Times New Roman"/>
          <w:color w:val="0070C0"/>
          <w:sz w:val="16"/>
          <w:szCs w:val="16"/>
        </w:rPr>
        <w:softHyphen/>
        <w:t>вать на заводе №21, где он получил обо</w:t>
      </w:r>
      <w:r w:rsidRPr="001A0BAA">
        <w:rPr>
          <w:rFonts w:ascii="Times New Roman" w:hAnsi="Times New Roman"/>
          <w:color w:val="0070C0"/>
          <w:sz w:val="16"/>
          <w:szCs w:val="16"/>
        </w:rPr>
        <w:softHyphen/>
        <w:t>значение тип «45». Полностью предпри</w:t>
      </w:r>
      <w:r w:rsidRPr="001A0BAA">
        <w:rPr>
          <w:rFonts w:ascii="Times New Roman" w:hAnsi="Times New Roman"/>
          <w:color w:val="0070C0"/>
          <w:sz w:val="16"/>
          <w:szCs w:val="16"/>
        </w:rPr>
        <w:softHyphen/>
        <w:t>ятие перешло на новую машину в конце осени 1944 года, что было связано с осво</w:t>
      </w:r>
      <w:r w:rsidRPr="001A0BAA">
        <w:rPr>
          <w:rFonts w:ascii="Times New Roman" w:hAnsi="Times New Roman"/>
          <w:color w:val="0070C0"/>
          <w:sz w:val="16"/>
          <w:szCs w:val="16"/>
        </w:rPr>
        <w:softHyphen/>
        <w:t>ением новых технологических процессов. При этом выпуск Ла-7 начался с 1 -й серии (24988).</w:t>
      </w:r>
    </w:p>
    <w:p w14:paraId="37F610C4" w14:textId="77777777" w:rsidR="00EF323C" w:rsidRPr="001A0BAA" w:rsidRDefault="00EF323C" w:rsidP="00EF323C">
      <w:pPr>
        <w:spacing w:after="0" w:line="240" w:lineRule="auto"/>
        <w:jc w:val="both"/>
        <w:rPr>
          <w:rFonts w:ascii="Times New Roman" w:hAnsi="Times New Roman"/>
          <w:color w:val="0070C0"/>
          <w:sz w:val="16"/>
          <w:szCs w:val="16"/>
        </w:rPr>
      </w:pPr>
    </w:p>
    <w:p w14:paraId="100246F4"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июне 1944 г. Ла-7, вооруженный тремя пушками Б-20 прошел стрельбовые испытания. Летчик И.А. Доброскин из НИИ ВВС выполнил по программе пять полетов. Испытания завершились 30 июня неудачей — выброшенная стреляная гильза повредила стабилизатор самолета. Тем не менее, трехпушечный вариант рекомендовали к запуску в серийное производство приказом ГКО № 6681 от 10 октября 1944 г. Оружейный завод в Коврове немедленно приступил к выпуску пушек Б-20. Дальнейшие испытания проводились на самолете с заводским номером 38100358 с 25 января по 7 февраля 1945 г. и, также как и предыдущие, завершились неудачно. Завод № 381 изготовил 381 истребитель Ла-7, вооруженный тремя пушками Б-20 (25058).</w:t>
      </w:r>
    </w:p>
    <w:p w14:paraId="4268C500" w14:textId="77777777" w:rsidR="00EF323C" w:rsidRPr="001A0BAA" w:rsidRDefault="00EF323C" w:rsidP="00EF323C">
      <w:pPr>
        <w:spacing w:after="0" w:line="240" w:lineRule="auto"/>
        <w:jc w:val="both"/>
        <w:rPr>
          <w:rFonts w:ascii="Times New Roman" w:hAnsi="Times New Roman"/>
          <w:color w:val="0070C0"/>
          <w:sz w:val="16"/>
          <w:szCs w:val="16"/>
        </w:rPr>
      </w:pPr>
    </w:p>
    <w:p w14:paraId="0236A2B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был построен И-225 N 0 МиГ с АМ-42 непосредственно на базе И-220 (1084,48).</w:t>
      </w:r>
    </w:p>
    <w:p w14:paraId="050C94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25AD9C"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после заме</w:t>
      </w:r>
      <w:r w:rsidRPr="00070ADE">
        <w:rPr>
          <w:rFonts w:ascii="Times New Roman" w:hAnsi="Times New Roman"/>
          <w:color w:val="000000" w:themeColor="text1"/>
          <w:sz w:val="16"/>
          <w:szCs w:val="16"/>
        </w:rPr>
        <w:softHyphen/>
        <w:t>ны разрушенного фюзеляжа новым истребитель И-225 № 02 покинул сборочный цех. На за</w:t>
      </w:r>
      <w:r w:rsidRPr="00070ADE">
        <w:rPr>
          <w:rFonts w:ascii="Times New Roman" w:hAnsi="Times New Roman"/>
          <w:color w:val="000000" w:themeColor="text1"/>
          <w:sz w:val="16"/>
          <w:szCs w:val="16"/>
        </w:rPr>
        <w:softHyphen/>
        <w:t>водских испытаниях второй И-225 развил максимальную скорость 560 км/ч у земли и 726 км/ч на высоте 10000 м, которую самолёт наби</w:t>
      </w:r>
      <w:r w:rsidRPr="00070ADE">
        <w:rPr>
          <w:rFonts w:ascii="Times New Roman" w:hAnsi="Times New Roman"/>
          <w:color w:val="000000" w:themeColor="text1"/>
          <w:sz w:val="16"/>
          <w:szCs w:val="16"/>
        </w:rPr>
        <w:softHyphen/>
        <w:t>рал за 8,8 минуты.</w:t>
      </w:r>
    </w:p>
    <w:p w14:paraId="3F81F3F7"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сожалению, многообещающие характеристики были дискредитированы крайне ненадёжной рабо</w:t>
      </w:r>
      <w:r w:rsidRPr="00070ADE">
        <w:rPr>
          <w:rFonts w:ascii="Times New Roman" w:hAnsi="Times New Roman"/>
          <w:color w:val="000000" w:themeColor="text1"/>
          <w:sz w:val="16"/>
          <w:szCs w:val="16"/>
        </w:rPr>
        <w:softHyphen/>
        <w:t>той силовой установки, из-за чего И-225 больше стоял в ангаре, чем летал, а его государственные испытания так и не начались. Не помог и мотор АМ-44 с непо</w:t>
      </w:r>
      <w:r w:rsidRPr="00070ADE">
        <w:rPr>
          <w:rFonts w:ascii="Times New Roman" w:hAnsi="Times New Roman"/>
          <w:color w:val="000000" w:themeColor="text1"/>
          <w:sz w:val="16"/>
          <w:szCs w:val="16"/>
        </w:rPr>
        <w:softHyphen/>
        <w:t>средственным впрыском, который поставили на ма</w:t>
      </w:r>
      <w:r w:rsidRPr="00070ADE">
        <w:rPr>
          <w:rFonts w:ascii="Times New Roman" w:hAnsi="Times New Roman"/>
          <w:color w:val="000000" w:themeColor="text1"/>
          <w:sz w:val="16"/>
          <w:szCs w:val="16"/>
        </w:rPr>
        <w:softHyphen/>
        <w:t>шину в 1946 году. Испытания И-225 № 02 официально прекратили лишь весной 1947 года, когда реактивные самолёты уже не выглядели как экзотика. Достигнув предела совершенства, поршневые истребители долж</w:t>
      </w:r>
      <w:r w:rsidRPr="00070ADE">
        <w:rPr>
          <w:rFonts w:ascii="Times New Roman" w:hAnsi="Times New Roman"/>
          <w:color w:val="000000" w:themeColor="text1"/>
          <w:sz w:val="16"/>
          <w:szCs w:val="16"/>
        </w:rPr>
        <w:softHyphen/>
        <w:t>ны были уступить дорогу новым концепциям, новым силовым установкам, новой аэродинамике (23379).</w:t>
      </w:r>
    </w:p>
    <w:p w14:paraId="777930B4" w14:textId="77777777" w:rsidR="001364B3" w:rsidRPr="00070ADE" w:rsidRDefault="001364B3" w:rsidP="00B56F90">
      <w:pPr>
        <w:spacing w:after="0" w:line="240" w:lineRule="auto"/>
        <w:jc w:val="both"/>
        <w:rPr>
          <w:rFonts w:ascii="Times New Roman" w:hAnsi="Times New Roman"/>
          <w:color w:val="000000" w:themeColor="text1"/>
          <w:sz w:val="16"/>
          <w:szCs w:val="16"/>
        </w:rPr>
      </w:pPr>
    </w:p>
    <w:p w14:paraId="7F4E71C2"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1945 года в ОКБ-155 приступили к разработке нового истребителя И-300 с двумя ТРД BMW-003. Поскольку эволюция как в природе, так и технике происходит от простого к сложному, то Ме-262 стал на первых порах предметом подражания при разработке самолета аналогичного назначения (23462).</w:t>
      </w:r>
    </w:p>
    <w:p w14:paraId="7F6F0FCA" w14:textId="77777777" w:rsidR="001364B3" w:rsidRPr="00070ADE" w:rsidRDefault="001364B3" w:rsidP="00B56F90">
      <w:pPr>
        <w:spacing w:after="0" w:line="240" w:lineRule="auto"/>
        <w:jc w:val="both"/>
        <w:rPr>
          <w:rFonts w:ascii="Times New Roman" w:hAnsi="Times New Roman"/>
          <w:color w:val="000000" w:themeColor="text1"/>
          <w:sz w:val="16"/>
          <w:szCs w:val="16"/>
        </w:rPr>
      </w:pPr>
    </w:p>
    <w:p w14:paraId="4EA42D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в письме Зам. Наркома авиапрома А.С.Яковлева, датированным со ссылкой на приказ НКАП №328 от 6 июня 1944 года, П.О.Сухому предлагалось в месячный срок «разработать и представить эскизный проект высот</w:t>
      </w:r>
      <w:r w:rsidRPr="00070ADE">
        <w:rPr>
          <w:rFonts w:ascii="Times New Roman" w:hAnsi="Times New Roman"/>
          <w:color w:val="000000" w:themeColor="text1"/>
          <w:sz w:val="16"/>
          <w:szCs w:val="16"/>
        </w:rPr>
        <w:softHyphen/>
        <w:t>ного истребителя со следующими данными:</w:t>
      </w:r>
    </w:p>
    <w:p w14:paraId="0B60E2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-15000 м;</w:t>
      </w:r>
    </w:p>
    <w:p w14:paraId="1EDDCE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Рабочая высота барражирова</w:t>
      </w:r>
      <w:r w:rsidRPr="00070ADE">
        <w:rPr>
          <w:rFonts w:ascii="Times New Roman" w:hAnsi="Times New Roman"/>
          <w:color w:val="000000" w:themeColor="text1"/>
          <w:sz w:val="16"/>
          <w:szCs w:val="16"/>
        </w:rPr>
        <w:softHyphen/>
        <w:t>ния на которой самолет должен об</w:t>
      </w:r>
      <w:r w:rsidRPr="00070ADE">
        <w:rPr>
          <w:rFonts w:ascii="Times New Roman" w:hAnsi="Times New Roman"/>
          <w:color w:val="000000" w:themeColor="text1"/>
          <w:sz w:val="16"/>
          <w:szCs w:val="16"/>
        </w:rPr>
        <w:softHyphen/>
        <w:t>ладать вертикальной скоростью не менее 4м/с - 14000 м;</w:t>
      </w:r>
    </w:p>
    <w:p w14:paraId="3E5045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барражирования на вы</w:t>
      </w:r>
      <w:r w:rsidRPr="00070ADE">
        <w:rPr>
          <w:rFonts w:ascii="Times New Roman" w:hAnsi="Times New Roman"/>
          <w:color w:val="000000" w:themeColor="text1"/>
          <w:sz w:val="16"/>
          <w:szCs w:val="16"/>
        </w:rPr>
        <w:softHyphen/>
        <w:t>соте 14000 м не менее - 1,5 час;</w:t>
      </w:r>
    </w:p>
    <w:p w14:paraId="288B20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Н= 13000-14000 м - 670 км/ч;</w:t>
      </w:r>
    </w:p>
    <w:p w14:paraId="7C5F3D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одна 20-мм пушка с боезапасом 120 патронов. На самолете предусмотреть возмож</w:t>
      </w:r>
      <w:r w:rsidRPr="00070ADE">
        <w:rPr>
          <w:rFonts w:ascii="Times New Roman" w:hAnsi="Times New Roman"/>
          <w:color w:val="000000" w:themeColor="text1"/>
          <w:sz w:val="16"/>
          <w:szCs w:val="16"/>
        </w:rPr>
        <w:softHyphen/>
        <w:t>ность установки второй пушки того же калибра и с тем же боезапа</w:t>
      </w:r>
      <w:r w:rsidRPr="00070ADE">
        <w:rPr>
          <w:rFonts w:ascii="Times New Roman" w:hAnsi="Times New Roman"/>
          <w:color w:val="000000" w:themeColor="text1"/>
          <w:sz w:val="16"/>
          <w:szCs w:val="16"/>
        </w:rPr>
        <w:softHyphen/>
        <w:t>сом.</w:t>
      </w:r>
    </w:p>
    <w:p w14:paraId="6CB478E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проектировании самолета необходимо удовлетворить в пер</w:t>
      </w:r>
      <w:r w:rsidRPr="00070ADE">
        <w:rPr>
          <w:rFonts w:ascii="Times New Roman" w:hAnsi="Times New Roman"/>
          <w:color w:val="000000" w:themeColor="text1"/>
          <w:sz w:val="16"/>
          <w:szCs w:val="16"/>
        </w:rPr>
        <w:softHyphen/>
        <w:t>вую очередь требования по потол</w:t>
      </w:r>
      <w:r w:rsidRPr="00070ADE">
        <w:rPr>
          <w:rFonts w:ascii="Times New Roman" w:hAnsi="Times New Roman"/>
          <w:color w:val="000000" w:themeColor="text1"/>
          <w:sz w:val="16"/>
          <w:szCs w:val="16"/>
        </w:rPr>
        <w:softHyphen/>
        <w:t>ку и времени барражирования, яв</w:t>
      </w:r>
      <w:r w:rsidRPr="00070ADE">
        <w:rPr>
          <w:rFonts w:ascii="Times New Roman" w:hAnsi="Times New Roman"/>
          <w:color w:val="000000" w:themeColor="text1"/>
          <w:sz w:val="16"/>
          <w:szCs w:val="16"/>
        </w:rPr>
        <w:softHyphen/>
        <w:t>ляющимися основными в данном за</w:t>
      </w:r>
      <w:r w:rsidRPr="00070ADE">
        <w:rPr>
          <w:rFonts w:ascii="Times New Roman" w:hAnsi="Times New Roman"/>
          <w:color w:val="000000" w:themeColor="text1"/>
          <w:sz w:val="16"/>
          <w:szCs w:val="16"/>
        </w:rPr>
        <w:softHyphen/>
        <w:t>дании».</w:t>
      </w:r>
    </w:p>
    <w:p w14:paraId="628FF80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Какой-либо информации о ра</w:t>
      </w:r>
      <w:r w:rsidRPr="00070ADE">
        <w:rPr>
          <w:rFonts w:ascii="Times New Roman" w:hAnsi="Times New Roman"/>
          <w:color w:val="000000" w:themeColor="text1"/>
          <w:sz w:val="16"/>
          <w:szCs w:val="16"/>
        </w:rPr>
        <w:softHyphen/>
        <w:t>боте над данным проектом не об</w:t>
      </w:r>
      <w:r w:rsidRPr="00070ADE">
        <w:rPr>
          <w:rFonts w:ascii="Times New Roman" w:hAnsi="Times New Roman"/>
          <w:color w:val="000000" w:themeColor="text1"/>
          <w:sz w:val="16"/>
          <w:szCs w:val="16"/>
        </w:rPr>
        <w:softHyphen/>
        <w:t>наружено (11754).</w:t>
      </w:r>
    </w:p>
    <w:p w14:paraId="482B46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F354B1F" w14:textId="77777777" w:rsidR="00743BEA" w:rsidRPr="00070ADE" w:rsidRDefault="00743BE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в письме Зам. Наркома авиапрома А.С. Яковлева, со ссылкой на приказ НКАП №328 от 6 июня 1944 года, П.О. Сухому предлагалось в месячный срок «разработать и представить эскизный проект высотного истребителя со следующими данными:</w:t>
      </w:r>
    </w:p>
    <w:p w14:paraId="7A8FB8DA" w14:textId="77777777" w:rsidR="00743BEA" w:rsidRPr="00070ADE" w:rsidRDefault="00743BE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-15000 м;</w:t>
      </w:r>
    </w:p>
    <w:p w14:paraId="76B3862B" w14:textId="77777777" w:rsidR="00743BEA" w:rsidRPr="00070ADE" w:rsidRDefault="00743BE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Рабочая высота барражирования на которой самолет должен обладать вертикальной скоростью не менее 4м/с - 14000 м;</w:t>
      </w:r>
    </w:p>
    <w:p w14:paraId="602F0CF1" w14:textId="77777777" w:rsidR="00743BEA" w:rsidRPr="00070ADE" w:rsidRDefault="00743BE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Время барражирования но высоте 14000 м не менее - 1,5 час;</w:t>
      </w:r>
    </w:p>
    <w:p w14:paraId="081053FE" w14:textId="77777777" w:rsidR="00743BEA" w:rsidRPr="00070ADE" w:rsidRDefault="00743BE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на Н=13000-14000 м - 670 км/ч;</w:t>
      </w:r>
    </w:p>
    <w:p w14:paraId="7572F3F6" w14:textId="77777777" w:rsidR="00743BEA" w:rsidRPr="00070ADE" w:rsidRDefault="00743BE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 одна 20-мм пушка с боезапасом 120 патронов. На самолете предусмотреть возможность установки второй пушки того же калибра и с тем же боезапасом.</w:t>
      </w:r>
    </w:p>
    <w:p w14:paraId="56062984" w14:textId="77777777" w:rsidR="00743BEA" w:rsidRPr="00070ADE" w:rsidRDefault="00743BE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проектировании самолета необходимо удовлетворить в первую очередь требования по потолку и времени барражирования, являющимися основными в данном задании» (15578).</w:t>
      </w:r>
    </w:p>
    <w:p w14:paraId="45737E40" w14:textId="77777777" w:rsidR="00743BEA" w:rsidRPr="00070ADE" w:rsidRDefault="00743BEA" w:rsidP="00B56F90">
      <w:pPr>
        <w:spacing w:after="0" w:line="240" w:lineRule="auto"/>
        <w:jc w:val="both"/>
        <w:rPr>
          <w:rFonts w:ascii="Times New Roman" w:hAnsi="Times New Roman"/>
          <w:color w:val="000000" w:themeColor="text1"/>
          <w:sz w:val="16"/>
          <w:szCs w:val="16"/>
        </w:rPr>
      </w:pPr>
    </w:p>
    <w:p w14:paraId="4E3899B7" w14:textId="77777777" w:rsidR="00EF323C" w:rsidRPr="00070ADE" w:rsidRDefault="00EF323C" w:rsidP="00EF323C">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после завершения доводочных работ, с присвоением ему шифра НП-У-2 (НКПБ-8) Главным инженером ВВС РККА генералом А. И. Репиным был утвержден для установки на У-2ВС. НКПБ-8 обеспечивал бомбардирование с горизонтального полета на скоростях 30-200 км/ч в диапазоне углов прицеливания от +85° до 0°. При этом угол прицеливания определялся для высот от 50 до 500 м (15142).</w:t>
      </w:r>
    </w:p>
    <w:p w14:paraId="6C6DD087" w14:textId="77777777" w:rsidR="00EF323C" w:rsidRPr="00070ADE" w:rsidRDefault="00EF323C" w:rsidP="00EF323C">
      <w:pPr>
        <w:spacing w:after="0" w:line="240" w:lineRule="auto"/>
        <w:jc w:val="both"/>
        <w:rPr>
          <w:rFonts w:ascii="Times New Roman" w:hAnsi="Times New Roman"/>
          <w:color w:val="000000" w:themeColor="text1"/>
          <w:sz w:val="16"/>
          <w:szCs w:val="16"/>
        </w:rPr>
      </w:pPr>
    </w:p>
    <w:p w14:paraId="7ABF3A2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в НИИ ВВС или ЛИИ испытывали Аэрокобру P-39Q-15 с Аллисон V-1710-85 (173,245).</w:t>
      </w:r>
    </w:p>
    <w:p w14:paraId="152719B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12BE87"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американские перегонщики доставили в Фэрбенкс первые «кин-гкобры» и начали учить на них советских лётчиков. На Аляске готовили только командиров эскадрилий перегоночной дивизии, остальные пилоты осваивали новые истребители прямо в полках. В Якутске за 11 дней подготовили 50 человек, ранее летавших на бомбардировщиках А-20. Вскоре Р-63 полетели по трассе АЛСИБа на Красноярск.</w:t>
      </w:r>
    </w:p>
    <w:p w14:paraId="2223FF3C"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 всегда всё шло гладко. Одна из первых партий истребителей целиком была забракована советской военной приёмкой в Фэрбенксе из-за дефектов маслора диаторов и возвращена на доработку. В октябре 1944 г. все следовавшие по американской части трассы «кингкобры» были задержаны для спешного выполнения работ по усилению хвоста, для чего срочно мобилизовали механиков гражданской авиации во всех соседних аэропортах, причём не только американских, но и канадских. Всего доработали 233 истребителя. Те же машины, что успели «перебраться» через границу, впоследствии переделывали уже на рембазах советских ВВС по рекомендациям, разработанным ЦАГИ. Центровка самолёта при этом менялась незначительно, поскольку одновременно снималась бронеплита за маслобаком, весившая 16 кг.</w:t>
      </w:r>
    </w:p>
    <w:p w14:paraId="5A03717E"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концу 1944 г. «кингкобр» шло по трассе уже больше, чем Р-39. До конца года на Аляске получили 831 машину, из них 584 успели долететь до Красноярска (из них числятся принятыми 580). На советской территории тоже случались потери. Например, 24 декабря 1944 г. майор Н.М. Семченко (в некоторых документах- Сенченко) разбился на первом участке трассы, недалеко от Нома. В сильный снегопад он потерял ориентацию и врезался в землю.</w:t>
      </w:r>
    </w:p>
    <w:p w14:paraId="5125E0AA"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введением нового истребителя в боевой строй не торопились. Советская авиация уже не страдала от острой нехватки техники, выпуск её на отечественных заводах постоянно возрастал. Памятуя о дефектах «Аэрокобры», её наследницу хотели сначала тщательно изучить. В НИИ ВВС и ЛИИ НКАП с конца 1944 г. по март 1945 г. последовательно облётывались машины серий А-1, А-5, А-7 и А-10 (12265).</w:t>
      </w:r>
    </w:p>
    <w:p w14:paraId="3528B732" w14:textId="77777777" w:rsidR="000340E9" w:rsidRPr="00070ADE" w:rsidRDefault="000340E9" w:rsidP="00B56F90">
      <w:pPr>
        <w:spacing w:after="0" w:line="240" w:lineRule="auto"/>
        <w:jc w:val="both"/>
        <w:rPr>
          <w:rFonts w:ascii="Times New Roman" w:hAnsi="Times New Roman"/>
          <w:color w:val="000000" w:themeColor="text1"/>
          <w:sz w:val="16"/>
          <w:szCs w:val="16"/>
        </w:rPr>
      </w:pPr>
    </w:p>
    <w:p w14:paraId="1AC7A7D6"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американские пере</w:t>
      </w:r>
      <w:r w:rsidRPr="00070ADE">
        <w:rPr>
          <w:rFonts w:ascii="Times New Roman" w:hAnsi="Times New Roman"/>
          <w:color w:val="000000" w:themeColor="text1"/>
          <w:sz w:val="16"/>
          <w:szCs w:val="16"/>
        </w:rPr>
        <w:softHyphen/>
        <w:t>гонщики доставили в Фэрбенкс первые «Кингкобры» и начали учить на них со</w:t>
      </w:r>
      <w:r w:rsidRPr="00070ADE">
        <w:rPr>
          <w:rFonts w:ascii="Times New Roman" w:hAnsi="Times New Roman"/>
          <w:color w:val="000000" w:themeColor="text1"/>
          <w:sz w:val="16"/>
          <w:szCs w:val="16"/>
        </w:rPr>
        <w:softHyphen/>
        <w:t>ветских летчиков. На Аляске готовили только командиров эскадрилий перего</w:t>
      </w:r>
      <w:r w:rsidRPr="00070ADE">
        <w:rPr>
          <w:rFonts w:ascii="Times New Roman" w:hAnsi="Times New Roman"/>
          <w:color w:val="000000" w:themeColor="text1"/>
          <w:sz w:val="16"/>
          <w:szCs w:val="16"/>
        </w:rPr>
        <w:softHyphen/>
        <w:t>ночной дивизии, остальные пилоты осва</w:t>
      </w:r>
      <w:r w:rsidRPr="00070ADE">
        <w:rPr>
          <w:rFonts w:ascii="Times New Roman" w:hAnsi="Times New Roman"/>
          <w:color w:val="000000" w:themeColor="text1"/>
          <w:sz w:val="16"/>
          <w:szCs w:val="16"/>
        </w:rPr>
        <w:softHyphen/>
        <w:t>ивали новые истребители прямо в полках. В Якутске за 11 дней переучили 50 чело</w:t>
      </w:r>
      <w:r w:rsidRPr="00070ADE">
        <w:rPr>
          <w:rFonts w:ascii="Times New Roman" w:hAnsi="Times New Roman"/>
          <w:color w:val="000000" w:themeColor="text1"/>
          <w:sz w:val="16"/>
          <w:szCs w:val="16"/>
        </w:rPr>
        <w:softHyphen/>
        <w:t>век, ранее летавших на бомбардировщи</w:t>
      </w:r>
      <w:r w:rsidRPr="00070ADE">
        <w:rPr>
          <w:rFonts w:ascii="Times New Roman" w:hAnsi="Times New Roman"/>
          <w:color w:val="000000" w:themeColor="text1"/>
          <w:sz w:val="16"/>
          <w:szCs w:val="16"/>
        </w:rPr>
        <w:softHyphen/>
        <w:t>ках А-20. Вскоре истребители этого типа полетели по трассе на Красноярск.</w:t>
      </w:r>
    </w:p>
    <w:p w14:paraId="787E8498"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Не все Р-63 успешно добрались до Фэрбенкса. Например, 23 ноября 1944 г. две «Кингкобры» упали после взлета в Грейт-Фоллз. В январе 1945 г. в рай</w:t>
      </w:r>
      <w:r w:rsidRPr="00070ADE">
        <w:rPr>
          <w:rFonts w:ascii="Times New Roman" w:hAnsi="Times New Roman"/>
          <w:color w:val="000000" w:themeColor="text1"/>
          <w:sz w:val="16"/>
          <w:szCs w:val="16"/>
        </w:rPr>
        <w:softHyphen/>
        <w:t>оне Уотсон-Лейк разбился лейтенант У Прадл. В феврале того же года к северу от Эдмонтона при полете в строю столкну</w:t>
      </w:r>
      <w:r w:rsidRPr="00070ADE">
        <w:rPr>
          <w:rFonts w:ascii="Times New Roman" w:hAnsi="Times New Roman"/>
          <w:color w:val="000000" w:themeColor="text1"/>
          <w:sz w:val="16"/>
          <w:szCs w:val="16"/>
        </w:rPr>
        <w:softHyphen/>
        <w:t>лись два Р-63. Всего американцы потеряли на своем участке трассы 21 истребитель, их заменили новыми с завода.</w:t>
      </w:r>
    </w:p>
    <w:p w14:paraId="28B1C2D7" w14:textId="29CC8EDB"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приемке тоже не все шло глад</w:t>
      </w:r>
      <w:r w:rsidRPr="00070ADE">
        <w:rPr>
          <w:rFonts w:ascii="Times New Roman" w:hAnsi="Times New Roman"/>
          <w:color w:val="000000" w:themeColor="text1"/>
          <w:sz w:val="16"/>
          <w:szCs w:val="16"/>
        </w:rPr>
        <w:softHyphen/>
        <w:t>ко. Одна из первых партий целиком была забракована советской комиссией в Фэрбенксе из-за дефектов маслорадиато- ров и возвращена на доработку. В октябре 1944.г. все следовавшие по американской части трассы «Кингкобры» задержали для спешного усиления хвоста. Для ускорения работ мобилизовали механиков граждан</w:t>
      </w:r>
      <w:r w:rsidRPr="00070ADE">
        <w:rPr>
          <w:rFonts w:ascii="Times New Roman" w:hAnsi="Times New Roman"/>
          <w:color w:val="000000" w:themeColor="text1"/>
          <w:sz w:val="16"/>
          <w:szCs w:val="16"/>
        </w:rPr>
        <w:softHyphen/>
        <w:t>ской авиации во всех соседних аэропор</w:t>
      </w:r>
      <w:r w:rsidRPr="00070ADE">
        <w:rPr>
          <w:rFonts w:ascii="Times New Roman" w:hAnsi="Times New Roman"/>
          <w:color w:val="000000" w:themeColor="text1"/>
          <w:sz w:val="16"/>
          <w:szCs w:val="16"/>
        </w:rPr>
        <w:softHyphen/>
        <w:t>тах, причем не только американских, но и канадских. Всего таким образом дорабо</w:t>
      </w:r>
      <w:r w:rsidRPr="00070ADE">
        <w:rPr>
          <w:rFonts w:ascii="Times New Roman" w:hAnsi="Times New Roman"/>
          <w:color w:val="000000" w:themeColor="text1"/>
          <w:sz w:val="16"/>
          <w:szCs w:val="16"/>
        </w:rPr>
        <w:softHyphen/>
        <w:t>тали 233 истребителя. Те же машины, что успели «перебраться» через границу, впо</w:t>
      </w:r>
      <w:r w:rsidRPr="00070ADE">
        <w:rPr>
          <w:rFonts w:ascii="Times New Roman" w:hAnsi="Times New Roman"/>
          <w:color w:val="000000" w:themeColor="text1"/>
          <w:sz w:val="16"/>
          <w:szCs w:val="16"/>
        </w:rPr>
        <w:softHyphen/>
        <w:t>следствии переделывали уже на рембазах советских ВВС по рекомендациям, разра</w:t>
      </w:r>
      <w:r w:rsidRPr="00070ADE">
        <w:rPr>
          <w:rFonts w:ascii="Times New Roman" w:hAnsi="Times New Roman"/>
          <w:color w:val="000000" w:themeColor="text1"/>
          <w:sz w:val="16"/>
          <w:szCs w:val="16"/>
        </w:rPr>
        <w:softHyphen/>
        <w:t>ботанным ЦАГИ. Центровка самолета при этом менялась незначительно, поскольку одновременно снималась бронеплита за маслобаком, весившая 16 кг</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(23513).</w:t>
      </w:r>
    </w:p>
    <w:p w14:paraId="468C8341" w14:textId="77777777" w:rsidR="001364B3" w:rsidRPr="00070ADE" w:rsidRDefault="001364B3" w:rsidP="00B56F90">
      <w:pPr>
        <w:spacing w:after="0" w:line="240" w:lineRule="auto"/>
        <w:jc w:val="both"/>
        <w:rPr>
          <w:rFonts w:ascii="Times New Roman" w:hAnsi="Times New Roman"/>
          <w:color w:val="000000" w:themeColor="text1"/>
          <w:sz w:val="16"/>
          <w:szCs w:val="16"/>
        </w:rPr>
      </w:pPr>
    </w:p>
    <w:p w14:paraId="17942397"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девять истреби</w:t>
      </w:r>
      <w:r w:rsidRPr="00070ADE">
        <w:rPr>
          <w:rFonts w:ascii="Times New Roman" w:hAnsi="Times New Roman"/>
          <w:color w:val="000000" w:themeColor="text1"/>
          <w:sz w:val="16"/>
          <w:szCs w:val="16"/>
        </w:rPr>
        <w:softHyphen/>
        <w:t>телей Спитфайр из 7-го иап передали специально сформированной 24-й эскадрилье ко</w:t>
      </w:r>
      <w:r w:rsidRPr="00070ADE">
        <w:rPr>
          <w:rFonts w:ascii="Times New Roman" w:hAnsi="Times New Roman"/>
          <w:color w:val="000000" w:themeColor="text1"/>
          <w:sz w:val="16"/>
          <w:szCs w:val="16"/>
        </w:rPr>
        <w:softHyphen/>
        <w:t>рабельной авиации под командованием майора Виноградова, базировавшейся на аэродроме Миха-Цхакая. Эта часть вклю</w:t>
      </w:r>
      <w:r w:rsidRPr="00070ADE">
        <w:rPr>
          <w:rFonts w:ascii="Times New Roman" w:hAnsi="Times New Roman"/>
          <w:color w:val="000000" w:themeColor="text1"/>
          <w:sz w:val="16"/>
          <w:szCs w:val="16"/>
        </w:rPr>
        <w:softHyphen/>
        <w:t>чала не только истребители, выделенные для катапультирования, но также отряд разведчиков Бе-4 (КОР-2), также запу</w:t>
      </w:r>
      <w:r w:rsidRPr="00070ADE">
        <w:rPr>
          <w:rFonts w:ascii="Times New Roman" w:hAnsi="Times New Roman"/>
          <w:color w:val="000000" w:themeColor="text1"/>
          <w:sz w:val="16"/>
          <w:szCs w:val="16"/>
        </w:rPr>
        <w:softHyphen/>
        <w:t>скавшихся с корабельных катапульт, и от</w:t>
      </w:r>
      <w:r w:rsidRPr="00070ADE">
        <w:rPr>
          <w:rFonts w:ascii="Times New Roman" w:hAnsi="Times New Roman"/>
          <w:color w:val="000000" w:themeColor="text1"/>
          <w:sz w:val="16"/>
          <w:szCs w:val="16"/>
        </w:rPr>
        <w:softHyphen/>
        <w:t>ряд буксировщиков мишеней, в стрельбе по которым тренировались зенитчики.</w:t>
      </w:r>
    </w:p>
    <w:p w14:paraId="29261C91"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«Спитфайры», предназначенные для базирования на кораблях, подвергли дора</w:t>
      </w:r>
      <w:r w:rsidRPr="00070ADE">
        <w:rPr>
          <w:rFonts w:ascii="Times New Roman" w:hAnsi="Times New Roman"/>
          <w:color w:val="000000" w:themeColor="text1"/>
          <w:sz w:val="16"/>
          <w:szCs w:val="16"/>
        </w:rPr>
        <w:softHyphen/>
        <w:t>ботке. Под зализами крыла смонтировали гнезда под захваты катапульты, для облег</w:t>
      </w:r>
      <w:r w:rsidRPr="00070ADE">
        <w:rPr>
          <w:rFonts w:ascii="Times New Roman" w:hAnsi="Times New Roman"/>
          <w:color w:val="000000" w:themeColor="text1"/>
          <w:sz w:val="16"/>
          <w:szCs w:val="16"/>
        </w:rPr>
        <w:softHyphen/>
        <w:t>чения сняли часть оборудования и пушки вместе с боезапасом.</w:t>
      </w:r>
    </w:p>
    <w:p w14:paraId="3622AFCF"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конце августа 1944 г. эскадрилью пе</w:t>
      </w:r>
      <w:r w:rsidRPr="00070ADE">
        <w:rPr>
          <w:rFonts w:ascii="Times New Roman" w:hAnsi="Times New Roman"/>
          <w:color w:val="000000" w:themeColor="text1"/>
          <w:sz w:val="16"/>
          <w:szCs w:val="16"/>
        </w:rPr>
        <w:softHyphen/>
        <w:t>ревели в Геленджик. В сентябре четыре ис</w:t>
      </w:r>
      <w:r w:rsidRPr="00070ADE">
        <w:rPr>
          <w:rFonts w:ascii="Times New Roman" w:hAnsi="Times New Roman"/>
          <w:color w:val="000000" w:themeColor="text1"/>
          <w:sz w:val="16"/>
          <w:szCs w:val="16"/>
        </w:rPr>
        <w:softHyphen/>
        <w:t>требителя погрузили на баржу, их сопрово</w:t>
      </w:r>
      <w:r w:rsidRPr="00070ADE">
        <w:rPr>
          <w:rFonts w:ascii="Times New Roman" w:hAnsi="Times New Roman"/>
          <w:color w:val="000000" w:themeColor="text1"/>
          <w:sz w:val="16"/>
          <w:szCs w:val="16"/>
        </w:rPr>
        <w:softHyphen/>
        <w:t>ждали три летчика — старший лейтенант А.А. Пилюк, лейтенант И.И. Шевченко и младший лейтенант Г.М. Воробьев. Самолеты перевезли к крейсеру «Молотов». Сначала пилотов истребителей «обката</w:t>
      </w:r>
      <w:r w:rsidRPr="00070ADE">
        <w:rPr>
          <w:rFonts w:ascii="Times New Roman" w:hAnsi="Times New Roman"/>
          <w:color w:val="000000" w:themeColor="text1"/>
          <w:sz w:val="16"/>
          <w:szCs w:val="16"/>
        </w:rPr>
        <w:softHyphen/>
        <w:t>ли» на Бе-4, который пилотировал летчик Соколов. Они почувствовали на себе, что такое старт с катапульты.</w:t>
      </w:r>
    </w:p>
    <w:p w14:paraId="6BBF5676"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следующем этапе приступили к ка</w:t>
      </w:r>
      <w:r w:rsidRPr="00070ADE">
        <w:rPr>
          <w:rFonts w:ascii="Times New Roman" w:hAnsi="Times New Roman"/>
          <w:color w:val="000000" w:themeColor="text1"/>
          <w:sz w:val="16"/>
          <w:szCs w:val="16"/>
        </w:rPr>
        <w:softHyphen/>
        <w:t>тапультированию «Спитфайров». Истре</w:t>
      </w:r>
      <w:r w:rsidRPr="00070ADE">
        <w:rPr>
          <w:rFonts w:ascii="Times New Roman" w:hAnsi="Times New Roman"/>
          <w:color w:val="000000" w:themeColor="text1"/>
          <w:sz w:val="16"/>
          <w:szCs w:val="16"/>
        </w:rPr>
        <w:softHyphen/>
        <w:t>бители по очереди поднимали с баржи на крейсер и ставили на тележку катапульты. При старте ручка управления и сектор газа блокировались. Первым «выстрели</w:t>
      </w:r>
      <w:r w:rsidRPr="00070ADE">
        <w:rPr>
          <w:rFonts w:ascii="Times New Roman" w:hAnsi="Times New Roman"/>
          <w:color w:val="000000" w:themeColor="text1"/>
          <w:sz w:val="16"/>
          <w:szCs w:val="16"/>
        </w:rPr>
        <w:softHyphen/>
        <w:t>ли» Пилюка; его самолет сначала просел на 5-6 м, а затем начал набирать высоту. Истребитель благополучно сел на бере</w:t>
      </w:r>
      <w:r w:rsidRPr="00070ADE">
        <w:rPr>
          <w:rFonts w:ascii="Times New Roman" w:hAnsi="Times New Roman"/>
          <w:color w:val="000000" w:themeColor="text1"/>
          <w:sz w:val="16"/>
          <w:szCs w:val="16"/>
        </w:rPr>
        <w:softHyphen/>
        <w:t>говом аэродроме в Геленджике. Вторым полетел Шевченко, третьим — Воробьев. Испытаниями все и ограничилось; в 1946 г. 24-ю эскадрилью расформировали (23513).</w:t>
      </w:r>
    </w:p>
    <w:p w14:paraId="2664EAE6" w14:textId="77777777" w:rsidR="001364B3" w:rsidRPr="00070ADE" w:rsidRDefault="001364B3" w:rsidP="00B56F90">
      <w:pPr>
        <w:spacing w:after="0" w:line="240" w:lineRule="auto"/>
        <w:jc w:val="both"/>
        <w:rPr>
          <w:rFonts w:ascii="Times New Roman" w:hAnsi="Times New Roman"/>
          <w:color w:val="000000" w:themeColor="text1"/>
          <w:sz w:val="16"/>
          <w:szCs w:val="16"/>
        </w:rPr>
      </w:pPr>
    </w:p>
    <w:p w14:paraId="552A353A"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один из B-25D-30 ис</w:t>
      </w:r>
      <w:r w:rsidRPr="00070ADE">
        <w:rPr>
          <w:rFonts w:ascii="Times New Roman" w:hAnsi="Times New Roman"/>
          <w:color w:val="000000" w:themeColor="text1"/>
          <w:sz w:val="16"/>
          <w:szCs w:val="16"/>
        </w:rPr>
        <w:softHyphen/>
        <w:t>пытывался в НИИ ВВС. Эти самолеты строились другим заводом, в Канзас-сити, и с самого начала комплектовались допол</w:t>
      </w:r>
      <w:r w:rsidRPr="00070ADE">
        <w:rPr>
          <w:rFonts w:ascii="Times New Roman" w:hAnsi="Times New Roman"/>
          <w:color w:val="000000" w:themeColor="text1"/>
          <w:sz w:val="16"/>
          <w:szCs w:val="16"/>
        </w:rPr>
        <w:softHyphen/>
        <w:t>нительным баком в бомбоотсеке и имели подкрыльные бомбодержатели. На по</w:t>
      </w:r>
      <w:r w:rsidRPr="00070ADE">
        <w:rPr>
          <w:rFonts w:ascii="Times New Roman" w:hAnsi="Times New Roman"/>
          <w:color w:val="000000" w:themeColor="text1"/>
          <w:sz w:val="16"/>
          <w:szCs w:val="16"/>
        </w:rPr>
        <w:softHyphen/>
        <w:t>следних сериях, B-25D-30 (у нас обозна</w:t>
      </w:r>
      <w:r w:rsidRPr="00070ADE">
        <w:rPr>
          <w:rFonts w:ascii="Times New Roman" w:hAnsi="Times New Roman"/>
          <w:color w:val="000000" w:themeColor="text1"/>
          <w:sz w:val="16"/>
          <w:szCs w:val="16"/>
        </w:rPr>
        <w:softHyphen/>
        <w:t>чавшихся В-25ДП, «Д переходные»), отка</w:t>
      </w:r>
      <w:r w:rsidRPr="00070ADE">
        <w:rPr>
          <w:rFonts w:ascii="Times New Roman" w:hAnsi="Times New Roman"/>
          <w:color w:val="000000" w:themeColor="text1"/>
          <w:sz w:val="16"/>
          <w:szCs w:val="16"/>
        </w:rPr>
        <w:softHyphen/>
        <w:t>зались от нижней выпускной башни. У нас ее справедливо критиковали: ограничен</w:t>
      </w:r>
      <w:r w:rsidRPr="00070ADE">
        <w:rPr>
          <w:rFonts w:ascii="Times New Roman" w:hAnsi="Times New Roman"/>
          <w:color w:val="000000" w:themeColor="text1"/>
          <w:sz w:val="16"/>
          <w:szCs w:val="16"/>
        </w:rPr>
        <w:softHyphen/>
        <w:t>ный обзор, заклинивание при резком вы</w:t>
      </w:r>
      <w:r w:rsidRPr="00070ADE">
        <w:rPr>
          <w:rFonts w:ascii="Times New Roman" w:hAnsi="Times New Roman"/>
          <w:color w:val="000000" w:themeColor="text1"/>
          <w:sz w:val="16"/>
          <w:szCs w:val="16"/>
        </w:rPr>
        <w:softHyphen/>
        <w:t>пуске, возможность задействовать только после полного выдвижения. Ее заменили парой пулеметов в бортовых установках. Эта схема оборонительного вооружения сохранялась и на позднейших модифика</w:t>
      </w:r>
      <w:r w:rsidRPr="00070ADE">
        <w:rPr>
          <w:rFonts w:ascii="Times New Roman" w:hAnsi="Times New Roman"/>
          <w:color w:val="000000" w:themeColor="text1"/>
          <w:sz w:val="16"/>
          <w:szCs w:val="16"/>
        </w:rPr>
        <w:softHyphen/>
        <w:t>циях (23513).</w:t>
      </w:r>
    </w:p>
    <w:p w14:paraId="4F48E7A2" w14:textId="77777777" w:rsidR="001364B3" w:rsidRPr="00070ADE" w:rsidRDefault="001364B3" w:rsidP="00B56F90">
      <w:pPr>
        <w:spacing w:after="0" w:line="240" w:lineRule="auto"/>
        <w:jc w:val="both"/>
        <w:rPr>
          <w:rFonts w:ascii="Times New Roman" w:hAnsi="Times New Roman"/>
          <w:color w:val="000000" w:themeColor="text1"/>
          <w:sz w:val="16"/>
          <w:szCs w:val="16"/>
        </w:rPr>
      </w:pPr>
    </w:p>
    <w:p w14:paraId="3AEB0B77"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июле 1944 г. начальник ГУ ГВФ Ф.А. Астахов стал добиваться от НКАП выдачи задания заводу № 84 в Ташкенте на переоборудование в августе-сентябре того же года десяти С-47 в пассажирские маши</w:t>
      </w:r>
      <w:r w:rsidRPr="00070ADE">
        <w:rPr>
          <w:rFonts w:ascii="Times New Roman" w:hAnsi="Times New Roman"/>
          <w:color w:val="000000" w:themeColor="text1"/>
          <w:sz w:val="16"/>
          <w:szCs w:val="16"/>
        </w:rPr>
        <w:softHyphen/>
        <w:t>ны. Реально первые подобные переделки выполнили там весной 1945 г. Два усовер</w:t>
      </w:r>
      <w:r w:rsidRPr="00070ADE">
        <w:rPr>
          <w:rFonts w:ascii="Times New Roman" w:hAnsi="Times New Roman"/>
          <w:color w:val="000000" w:themeColor="text1"/>
          <w:sz w:val="16"/>
          <w:szCs w:val="16"/>
        </w:rPr>
        <w:softHyphen/>
        <w:t>шенствованных самолета поступили за</w:t>
      </w:r>
      <w:r w:rsidRPr="00070ADE">
        <w:rPr>
          <w:rFonts w:ascii="Times New Roman" w:hAnsi="Times New Roman"/>
          <w:color w:val="000000" w:themeColor="text1"/>
          <w:sz w:val="16"/>
          <w:szCs w:val="16"/>
        </w:rPr>
        <w:softHyphen/>
        <w:t>тем в 10-ю гв. атд. На них вместо откидных лавок в бывшей грузовой кабине постави</w:t>
      </w:r>
      <w:r w:rsidRPr="00070ADE">
        <w:rPr>
          <w:rFonts w:ascii="Times New Roman" w:hAnsi="Times New Roman"/>
          <w:color w:val="000000" w:themeColor="text1"/>
          <w:sz w:val="16"/>
          <w:szCs w:val="16"/>
        </w:rPr>
        <w:softHyphen/>
        <w:t>ли кресла по типу довоенных ПС-84, вы</w:t>
      </w:r>
      <w:r w:rsidRPr="00070ADE">
        <w:rPr>
          <w:rFonts w:ascii="Times New Roman" w:hAnsi="Times New Roman"/>
          <w:color w:val="000000" w:themeColor="text1"/>
          <w:sz w:val="16"/>
          <w:szCs w:val="16"/>
        </w:rPr>
        <w:softHyphen/>
        <w:t>делили багажники и смонтировали туалет. Грузовой люк зашили, оставив обычную дверь. Пассажирский вариант получился на 300 кг тяжелее грузового. Такие маши</w:t>
      </w:r>
      <w:r w:rsidRPr="00070ADE">
        <w:rPr>
          <w:rFonts w:ascii="Times New Roman" w:hAnsi="Times New Roman"/>
          <w:color w:val="000000" w:themeColor="text1"/>
          <w:sz w:val="16"/>
          <w:szCs w:val="16"/>
        </w:rPr>
        <w:softHyphen/>
        <w:t>ны именовались С-47П.</w:t>
      </w:r>
    </w:p>
    <w:p w14:paraId="6623B75C"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1945 г. Астахов попросил уста</w:t>
      </w:r>
      <w:r w:rsidRPr="00070ADE">
        <w:rPr>
          <w:rFonts w:ascii="Times New Roman" w:hAnsi="Times New Roman"/>
          <w:color w:val="000000" w:themeColor="text1"/>
          <w:sz w:val="16"/>
          <w:szCs w:val="16"/>
        </w:rPr>
        <w:softHyphen/>
        <w:t>новить заводу № 84 план доработки пяти самолетов в месяц, а в письме от 1 ноября стал добиваться переделки в этот вариант в общей сложности 150 С-47. Ташкентский завод в это время переходил на аналогич</w:t>
      </w:r>
      <w:r w:rsidRPr="00070ADE">
        <w:rPr>
          <w:rFonts w:ascii="Times New Roman" w:hAnsi="Times New Roman"/>
          <w:color w:val="000000" w:themeColor="text1"/>
          <w:sz w:val="16"/>
          <w:szCs w:val="16"/>
        </w:rPr>
        <w:softHyphen/>
        <w:t>ный пассажирский вариант Ли-2 — Ли-2П, узлы от которого использовали при пере</w:t>
      </w:r>
      <w:r w:rsidRPr="00070ADE">
        <w:rPr>
          <w:rFonts w:ascii="Times New Roman" w:hAnsi="Times New Roman"/>
          <w:color w:val="000000" w:themeColor="text1"/>
          <w:sz w:val="16"/>
          <w:szCs w:val="16"/>
        </w:rPr>
        <w:softHyphen/>
        <w:t>оборудовании американских самолетов. Однако работу эту поручили не ему, а мос</w:t>
      </w:r>
      <w:r w:rsidRPr="00070ADE">
        <w:rPr>
          <w:rFonts w:ascii="Times New Roman" w:hAnsi="Times New Roman"/>
          <w:color w:val="000000" w:themeColor="text1"/>
          <w:sz w:val="16"/>
          <w:szCs w:val="16"/>
        </w:rPr>
        <w:softHyphen/>
        <w:t>ковскому заводу № 30 (23513).</w:t>
      </w:r>
    </w:p>
    <w:p w14:paraId="033E2A2E" w14:textId="77777777" w:rsidR="001364B3" w:rsidRPr="00070ADE" w:rsidRDefault="001364B3" w:rsidP="00B56F90">
      <w:pPr>
        <w:spacing w:after="0" w:line="240" w:lineRule="auto"/>
        <w:jc w:val="both"/>
        <w:rPr>
          <w:rFonts w:ascii="Times New Roman" w:hAnsi="Times New Roman"/>
          <w:color w:val="000000" w:themeColor="text1"/>
          <w:sz w:val="16"/>
          <w:szCs w:val="16"/>
        </w:rPr>
      </w:pPr>
    </w:p>
    <w:p w14:paraId="2CBF1D06" w14:textId="77777777" w:rsidR="0044049D" w:rsidRPr="00070ADE" w:rsidRDefault="0044049D"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М.Л.Миль подписал заключение по результатам испытаний в ЦАГИ немецкого автожира для подложок, поступившего в москву осенью 1943:</w:t>
      </w:r>
    </w:p>
    <w:p w14:paraId="3AC94C17" w14:textId="77777777" w:rsidR="0044049D" w:rsidRPr="00070ADE" w:rsidRDefault="0044049D"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“Подъем наблюдательного пункта для подложок и кораблей, описанного в Информационном сообщении № 52 РУ ГМШЭ вполне реален”.</w:t>
      </w:r>
    </w:p>
    <w:p w14:paraId="5778F12F" w14:textId="77777777" w:rsidR="0044049D" w:rsidRPr="00070ADE" w:rsidRDefault="0044049D"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Предложил свой:</w:t>
      </w:r>
    </w:p>
    <w:p w14:paraId="55C98851" w14:textId="77777777" w:rsidR="0044049D" w:rsidRPr="00070ADE" w:rsidRDefault="0044049D"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“Вес аппарата с троссом длиною 150 м может составить всего 250 кг и полетный вес порядка 330 кг. При трехлорппастном роторе диаметром 8ю4 м это позволит аппарату держаться на высоте 100 м при относительной скорости 30-35 км/час. Конструктивно аппарат может быть сделан весьма просто. Втулка ротора состоит из двух обычных подшипников, лопасти имеют стальной лонжерог и деревянное покрытие, кабина пилота - деревянная. Ротор отсоединяется вместе с кабаном, </w:t>
      </w:r>
      <w:r w:rsidRPr="00070ADE">
        <w:rPr>
          <w:rFonts w:ascii="Times New Roman" w:hAnsi="Times New Roman"/>
          <w:color w:val="000000" w:themeColor="text1"/>
          <w:sz w:val="16"/>
          <w:szCs w:val="16"/>
        </w:rPr>
        <w:lastRenderedPageBreak/>
        <w:t>крепящимся 3 болтами и лопасти складываются (по типу зонтика). (7472, 35).</w:t>
      </w:r>
    </w:p>
    <w:p w14:paraId="2F7F6903" w14:textId="77777777" w:rsidR="0044049D" w:rsidRPr="00070ADE" w:rsidRDefault="0044049D"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08C0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30-е полевые авиаремонтные мастерские изготовили специальный двухместный вариант "Киттихаука" - легкий бомбардировщик. Во второй кабине, оборудованной сзади основной, сидел штурман-бомбардир с бомбовым прицелом. Самолет мог использоваться н как лидер для групп одноместных истребителей. Но эта машина так н осталась опытным образцом. Возможность использования этих машин в качестве легких дневных бомбардировщиков казалась особенно актуальной в 1942 году, когда в связи с нехваткой на фронте бомбардировочной авиации появился даже специальный приказ наркома обороны "О применении истребительной авиации на поле боя в качестве дневных бомбардировщиков". Иногда возможности "Киттихаука" как штурмовика увеличивали подвеской реактивных снарядов - по два PC.-82 под каждое крыло, как на "Томагауке". Истребители "Кертисс" Р-40, дооборудованные фотоаппаратами АФА-И, летали и как фоторазведчики. Они эксплуатировались в одной из эскадрилий 118-го отдельного разведывательного авиаполка, где были признаны наиболее подходящими для такой работы наряду со "Спитфайром" и к концу 1944 года полностью вытеснили "Харрикейны", "Аэрокобры", Як-1 и ЛаГГ-3. "Киттихауки" вели разведку и над сушей, и над морем. В частности, они внесли большой вклад в подготовку Печенгско-Киркенесской операции, действуя с передового аэродрома Пумманки (3457,67).</w:t>
      </w:r>
    </w:p>
    <w:p w14:paraId="48BC5FC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B24F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на И-224 испытывался АМ-39Б (АМ-39Б-ТК), 1580/1890 л.с., вариант предыдущего типа с двумя турбонагнетателями ТК-300Б и воздухо-воздушным интеркуле</w:t>
      </w:r>
      <w:r w:rsidRPr="00070ADE">
        <w:rPr>
          <w:rFonts w:ascii="Times New Roman" w:hAnsi="Times New Roman"/>
          <w:color w:val="000000" w:themeColor="text1"/>
          <w:sz w:val="16"/>
          <w:szCs w:val="16"/>
        </w:rPr>
        <w:softHyphen/>
        <w:t>ром (11852).</w:t>
      </w:r>
    </w:p>
    <w:p w14:paraId="3C9CBF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ECA9B9" w14:textId="77777777" w:rsidR="00EF323C" w:rsidRPr="001A0BAA" w:rsidRDefault="00EF323C" w:rsidP="00EF323C">
      <w:pPr>
        <w:spacing w:after="0" w:line="240" w:lineRule="auto"/>
        <w:jc w:val="both"/>
        <w:rPr>
          <w:rStyle w:val="aff1"/>
          <w:rFonts w:ascii="Times New Roman" w:hAnsi="Times New Roman" w:cs="Times New Roman"/>
          <w:color w:val="0070C0"/>
          <w:spacing w:val="0"/>
          <w:sz w:val="16"/>
          <w:szCs w:val="16"/>
        </w:rPr>
      </w:pPr>
      <w:r w:rsidRPr="001A0BAA">
        <w:rPr>
          <w:rStyle w:val="aff1"/>
          <w:rFonts w:ascii="Times New Roman" w:hAnsi="Times New Roman" w:cs="Times New Roman"/>
          <w:color w:val="0070C0"/>
          <w:spacing w:val="0"/>
          <w:sz w:val="16"/>
          <w:szCs w:val="16"/>
        </w:rPr>
        <w:t>С июня 1944 г. на заводе № 26 начали массово выпускать под обозначением М-105ПФ2, который был форсировали по наддуву и его взлетная мощность достигла 1290 л.с. Собственно, это был уже ВК-105ПФ2 (25145).</w:t>
      </w:r>
    </w:p>
    <w:p w14:paraId="2637E28B" w14:textId="77777777" w:rsidR="00EF323C" w:rsidRPr="001A0BAA" w:rsidRDefault="00EF323C" w:rsidP="00EF323C">
      <w:pPr>
        <w:spacing w:after="0" w:line="240" w:lineRule="auto"/>
        <w:jc w:val="both"/>
        <w:rPr>
          <w:rFonts w:ascii="Times New Roman" w:hAnsi="Times New Roman"/>
          <w:color w:val="0070C0"/>
          <w:sz w:val="16"/>
          <w:szCs w:val="16"/>
        </w:rPr>
      </w:pPr>
    </w:p>
    <w:p w14:paraId="48FABB26"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июне 1944 года летчик И.А. Доброскин из Научно-испытательного поли</w:t>
      </w:r>
      <w:r w:rsidRPr="001A0BAA">
        <w:rPr>
          <w:rFonts w:ascii="Times New Roman" w:hAnsi="Times New Roman"/>
          <w:color w:val="0070C0"/>
          <w:sz w:val="16"/>
          <w:szCs w:val="16"/>
        </w:rPr>
        <w:softHyphen/>
        <w:t>гона авиационного вооружения (НИП АВ), находившегося в подмосковном Ногин</w:t>
      </w:r>
      <w:r w:rsidRPr="001A0BAA">
        <w:rPr>
          <w:rFonts w:ascii="Times New Roman" w:hAnsi="Times New Roman"/>
          <w:color w:val="0070C0"/>
          <w:sz w:val="16"/>
          <w:szCs w:val="16"/>
        </w:rPr>
        <w:softHyphen/>
        <w:t>ске, выполнил по программе испытаний пушек Б-20с только пять полетов. Испытания завершились 30 июня неудачей, поскольку выброшенная гильза повредила стабилизатор самолета (24988).</w:t>
      </w:r>
    </w:p>
    <w:p w14:paraId="55EA73AD" w14:textId="77777777" w:rsidR="00EF323C" w:rsidRPr="001A0BAA" w:rsidRDefault="00EF323C" w:rsidP="00EF323C">
      <w:pPr>
        <w:spacing w:after="0" w:line="240" w:lineRule="auto"/>
        <w:jc w:val="both"/>
        <w:rPr>
          <w:rFonts w:ascii="Times New Roman" w:hAnsi="Times New Roman"/>
          <w:color w:val="0070C0"/>
          <w:sz w:val="16"/>
          <w:szCs w:val="16"/>
        </w:rPr>
      </w:pPr>
    </w:p>
    <w:p w14:paraId="2CC463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согласно совместному приказу по НКВД и НКАП, на заводе № 16 организуется КБ-РД с непосредственным подчинением директору завода и начальнику 4-го спецотдела НКВД СССР. Начальником опытного производства по ракетным двигателям и и.о. начальника КБ-РД назначается Артамонов Н.Н., главным конструктором КБ-РД остается Глушко. В 1944 г. в конструкторском бюро при заводе ведутся работы не только над РД-1, но и РД-2 (12049).</w:t>
      </w:r>
    </w:p>
    <w:p w14:paraId="052F28D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D3EF5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на 1-м УФ испытали конструкцуию, названную летающая торпеда (ЛТ-6). М-13 использовались для переноски 70-80 кг ВВ на расстояние 1 км для устройства проходов в заграждениях, поражения дивой силы, разрушения ДОТ. Применялись в Львовско-Сандомирской операции 60-й и 38-й армиями (5484,566).</w:t>
      </w:r>
    </w:p>
    <w:p w14:paraId="73578C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C1B8A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июня 1944 года завод № 2 Оргавиапрома, будущий завод № 491, являлся ведомственным и именовался 2-й инструментальный завод Оргавиапрома НКАП. По решению Правительства, приказом по НКАП от 1 июня 1944 года за № 377 завод передан в управление оборудования НКАП и стал именоваться завод № 491.</w:t>
      </w:r>
    </w:p>
    <w:p w14:paraId="22D544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Завод № 491 ГКАТ, в основном, имеет профиль мелкосерийного и индивидуального спецстанкостроения и притом завод имеет свое КБ, которое производит опытное конструирование новых видов станков и машин, необходимых авиапромышленности.</w:t>
      </w:r>
    </w:p>
    <w:p w14:paraId="6AB26D1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Директора: С июня 1943 года по 30 мая 1946 года – Поленов П.С. С 30 мая 1946 года – Панков И.А.</w:t>
      </w:r>
    </w:p>
    <w:p w14:paraId="5A1021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Директор – Панков</w:t>
      </w:r>
    </w:p>
    <w:p w14:paraId="37E9A8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Кимры Калининской области, п/я 4 (9858).</w:t>
      </w:r>
    </w:p>
    <w:p w14:paraId="19EFDD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1BF64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приказом № 377с завод № 6 Оргавиапрома, эвакуированный в октябре 1941 из Москвы в Кемерово, был переименован в завод № 493 МАП.</w:t>
      </w:r>
    </w:p>
    <w:p w14:paraId="25C3091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решения Совнаркома от 12 июня 1945 года за № 3154с, завод в августе 1945 года перебазировался из Кемерово в Ржев Калининской области на площадку бывш. завода № 307 МАП. Перебазировка повлекла за собой восстановление и реконструкцию бывш. завода № 307.</w:t>
      </w:r>
    </w:p>
    <w:p w14:paraId="464052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основании приказа МАП за № 376с от 16 ноября профиль завода определен на выпуск сварочного оборудования для сварки нержавеющей, жаропрочных сталей и алюминиевых сплавов корпусов ракет и самолетов, а также электроэрозионного оборудования и индукционных плавильных печей для алюминиевых и магниевых сплавов.</w:t>
      </w:r>
    </w:p>
    <w:p w14:paraId="2CBA48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Адрес: Ржев Калининской области</w:t>
      </w:r>
    </w:p>
    <w:p w14:paraId="0174BBF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Производственный профиль – создание и изготовление сварочной аппаратуры в среде защитных газов (9860).</w:t>
      </w:r>
    </w:p>
    <w:p w14:paraId="765CC91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9ADAE2" w14:textId="77777777" w:rsidR="001444FD" w:rsidRPr="00070ADE" w:rsidRDefault="001444FD" w:rsidP="00B56F90">
      <w:pPr>
        <w:pStyle w:val="a3"/>
        <w:rPr>
          <w:color w:val="000000" w:themeColor="text1"/>
          <w:lang w:val="ru-RU"/>
        </w:rPr>
      </w:pPr>
      <w:r w:rsidRPr="00070ADE">
        <w:rPr>
          <w:rStyle w:val="1d"/>
          <w:rFonts w:ascii="Times New Roman" w:hAnsi="Times New Roman" w:cs="Times New Roman"/>
          <w:b w:val="0"/>
          <w:color w:val="000000" w:themeColor="text1"/>
          <w:sz w:val="16"/>
          <w:szCs w:val="16"/>
          <w:lang w:val="ru-RU"/>
        </w:rPr>
        <w:t>В</w:t>
      </w:r>
      <w:r w:rsidRPr="00070ADE">
        <w:rPr>
          <w:color w:val="000000" w:themeColor="text1"/>
          <w:lang w:val="ru-RU"/>
        </w:rPr>
        <w:t>июне 1944 г. итог этой эпопеи, связанной с попыткой «авиационных» членов Академии улучшить координацию проводившихся в стране работ, связанных с авиационной тематикой, подвели в ЦК ВКП(б). Отдел науки Агитпропа ЦК под</w:t>
      </w:r>
      <w:r w:rsidRPr="00070ADE">
        <w:rPr>
          <w:color w:val="000000" w:themeColor="text1"/>
          <w:lang w:val="ru-RU"/>
        </w:rPr>
        <w:softHyphen/>
        <w:t>готовил специальную записку на имя секретаря ЦК Г.М. Маленкова, курировавшего авиацию. В ней говорилось: «В связи с последними выборами 1943 года в отделении технических наук Академии Наук СССР значительно усилился состав академиков и членов-корреспондентов. непосредственно связанных с авиационной промышленностью. Под влиянием этой группы ученых отделение технических наук АН возбудило перед] Президиумом АН вопрос об организации в системе Академии Наук секции авиации., Эта секция мыслилась не только как научно-исследовательская организация, но и как' руководящий центр, координирующий всю научно-исследовательскую работу в обла</w:t>
      </w:r>
      <w:r w:rsidRPr="00070ADE">
        <w:rPr>
          <w:color w:val="000000" w:themeColor="text1"/>
          <w:lang w:val="ru-RU"/>
        </w:rPr>
        <w:softHyphen/>
        <w:t>сти авиации в стране. В основном документе — проекте Положения о секции авиации — задачи её формулировались следующим образом:</w:t>
      </w:r>
    </w:p>
    <w:p w14:paraId="2FCBF495" w14:textId="77777777" w:rsidR="001444FD" w:rsidRPr="00070ADE" w:rsidRDefault="001444FD" w:rsidP="00B56F90">
      <w:pPr>
        <w:pStyle w:val="a3"/>
        <w:rPr>
          <w:color w:val="000000" w:themeColor="text1"/>
          <w:lang w:val="ru-RU"/>
        </w:rPr>
      </w:pPr>
      <w:r w:rsidRPr="00070ADE">
        <w:rPr>
          <w:color w:val="000000" w:themeColor="text1"/>
          <w:lang w:val="ru-RU"/>
        </w:rPr>
        <w:t>«п. 2. Основной задачей секции является постановка и проведение научных иссле</w:t>
      </w:r>
      <w:r w:rsidRPr="00070ADE">
        <w:rPr>
          <w:color w:val="000000" w:themeColor="text1"/>
          <w:lang w:val="ru-RU"/>
        </w:rPr>
        <w:softHyphen/>
        <w:t>дований, способствующих развитию нашей военной и гражданской авиации и КООР</w:t>
      </w:r>
      <w:r w:rsidRPr="00070ADE">
        <w:rPr>
          <w:color w:val="000000" w:themeColor="text1"/>
          <w:lang w:val="ru-RU"/>
        </w:rPr>
        <w:softHyphen/>
        <w:t>ДИНАЦИЯ научно-исследовательских работ по проблемам авиации, проводимым в учреждениях Академии Наук СССР, в отраслевых институтах и конструкторских бюро».</w:t>
      </w:r>
    </w:p>
    <w:p w14:paraId="3E72C1DC" w14:textId="77777777" w:rsidR="001444FD" w:rsidRPr="00070ADE" w:rsidRDefault="001444FD" w:rsidP="00B56F90">
      <w:pPr>
        <w:pStyle w:val="a3"/>
        <w:rPr>
          <w:color w:val="000000" w:themeColor="text1"/>
          <w:lang w:val="ru-RU"/>
        </w:rPr>
      </w:pPr>
      <w:r w:rsidRPr="00070ADE">
        <w:rPr>
          <w:color w:val="000000" w:themeColor="text1"/>
          <w:lang w:val="ru-RU"/>
        </w:rPr>
        <w:t>Проект организации секции обсуждался в заседаниях отделения технических наук, на распорядительном заседании Президиума 18 января с.г. и на закрытом заседании пол</w:t>
      </w:r>
      <w:r w:rsidRPr="00070ADE">
        <w:rPr>
          <w:color w:val="000000" w:themeColor="text1"/>
          <w:lang w:val="ru-RU"/>
        </w:rPr>
        <w:softHyphen/>
        <w:t>ного Президиума 9 февраля с.г. Правительство информировано о проекте создания сек</w:t>
      </w:r>
      <w:r w:rsidRPr="00070ADE">
        <w:rPr>
          <w:color w:val="000000" w:themeColor="text1"/>
          <w:lang w:val="ru-RU"/>
        </w:rPr>
        <w:softHyphen/>
        <w:t>ции авиации в АН. Тов. Вознесенский и тов. Шахурин рекомендовали Президиуму АН секции авиации в АН не создавать. Президиум АН вынес соответствующее решение».</w:t>
      </w:r>
    </w:p>
    <w:p w14:paraId="5383E492" w14:textId="77777777" w:rsidR="001444FD" w:rsidRPr="00070ADE" w:rsidRDefault="001444FD" w:rsidP="00B56F90">
      <w:pPr>
        <w:pStyle w:val="a3"/>
        <w:rPr>
          <w:color w:val="000000" w:themeColor="text1"/>
          <w:lang w:val="ru-RU"/>
        </w:rPr>
      </w:pPr>
      <w:r w:rsidRPr="00070ADE">
        <w:rPr>
          <w:color w:val="000000" w:themeColor="text1"/>
          <w:lang w:val="ru-RU"/>
        </w:rPr>
        <w:t>Далее в записке наносился удар по инициаторам постановки этого вопроса и, глав</w:t>
      </w:r>
      <w:r w:rsidRPr="00070ADE">
        <w:rPr>
          <w:color w:val="000000" w:themeColor="text1"/>
          <w:lang w:val="ru-RU"/>
        </w:rPr>
        <w:softHyphen/>
        <w:t>ным образом, по А.А. Микулину:</w:t>
      </w:r>
    </w:p>
    <w:p w14:paraId="05E4921B" w14:textId="77777777" w:rsidR="001444FD" w:rsidRPr="00070ADE" w:rsidRDefault="001444FD" w:rsidP="00B56F90">
      <w:pPr>
        <w:pStyle w:val="a3"/>
        <w:rPr>
          <w:color w:val="000000" w:themeColor="text1"/>
          <w:lang w:val="ru-RU"/>
        </w:rPr>
      </w:pPr>
      <w:r w:rsidRPr="00070ADE">
        <w:rPr>
          <w:color w:val="000000" w:themeColor="text1"/>
          <w:lang w:val="ru-RU"/>
        </w:rPr>
        <w:t>«Однако, независимо от того, что вопрос этот снят, считаем необходимым сообщить Вам о весьма странной аргументации, приводившейся рядом академиков в пользу создания этой секции. Выступления же одного из главных инициаторов постановки этого вопроса акад. А.А. Микулина неправильно рисуют фактическое положение научно-исследователь</w:t>
      </w:r>
      <w:r w:rsidRPr="00070ADE">
        <w:rPr>
          <w:color w:val="000000" w:themeColor="text1"/>
          <w:lang w:val="ru-RU"/>
        </w:rPr>
        <w:softHyphen/>
        <w:t>ского дела в области авиации в стране и являются политически сомнительными.</w:t>
      </w:r>
    </w:p>
    <w:p w14:paraId="2CC5B9DA" w14:textId="77777777" w:rsidR="001444FD" w:rsidRPr="00070ADE" w:rsidRDefault="001444FD" w:rsidP="00B56F90">
      <w:pPr>
        <w:pStyle w:val="a3"/>
        <w:rPr>
          <w:color w:val="000000" w:themeColor="text1"/>
          <w:lang w:val="ru-RU"/>
        </w:rPr>
      </w:pPr>
      <w:r w:rsidRPr="00070ADE">
        <w:rPr>
          <w:color w:val="000000" w:themeColor="text1"/>
          <w:lang w:val="ru-RU"/>
        </w:rPr>
        <w:t>Так, акад. А.А. Микулин утверждал, будто у нас, в СССР, имеется меньше возможностей для работы конструкторов в области авиационного машиностроения, чем за границей».</w:t>
      </w:r>
    </w:p>
    <w:p w14:paraId="3877A1D5" w14:textId="77777777" w:rsidR="001444FD" w:rsidRPr="00070ADE" w:rsidRDefault="001444FD" w:rsidP="00B56F90">
      <w:pPr>
        <w:pStyle w:val="1e"/>
        <w:shd w:val="clear" w:color="auto" w:fill="auto"/>
        <w:spacing w:line="240" w:lineRule="auto"/>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Далее приводилась выдержка из выступления Микулина, которое цитировалось вы</w:t>
      </w:r>
      <w:r w:rsidRPr="00070ADE">
        <w:rPr>
          <w:rFonts w:ascii="Times New Roman" w:hAnsi="Times New Roman" w:cs="Times New Roman"/>
          <w:color w:val="000000" w:themeColor="text1"/>
          <w:sz w:val="16"/>
          <w:szCs w:val="16"/>
        </w:rPr>
        <w:softHyphen/>
        <w:t>ше, с критикой наркоматов и сравнением возможностей зарубежных конструкторов и его конструкторского бюро. В записке отмечалось, что эти высказывания Микулина произносились с трибуны годичного совещания отделения технических наук АН, что он «по поводу, якобы имеющего место тяжелого положения конструкторов отечественно</w:t>
      </w:r>
      <w:r w:rsidRPr="00070ADE">
        <w:rPr>
          <w:rFonts w:ascii="Times New Roman" w:hAnsi="Times New Roman" w:cs="Times New Roman"/>
          <w:color w:val="000000" w:themeColor="text1"/>
          <w:sz w:val="16"/>
          <w:szCs w:val="16"/>
        </w:rPr>
        <w:softHyphen/>
        <w:t>го авиамашиностроения... находит нужным апеллировать... к Академии Наук». Далее опять приводилась большая цитата из выступления Микулина об «Академии Наук, как к органу, которому доверяет правительство» и недоверии к наркоматам: «Поэтому я считаю, что наркоматы и Наркомфин в вопросах масштабов несправедливы» …(15789).</w:t>
      </w:r>
    </w:p>
    <w:p w14:paraId="608846B6" w14:textId="77777777" w:rsidR="001444FD" w:rsidRPr="00070ADE" w:rsidRDefault="001444FD" w:rsidP="00B56F90">
      <w:pPr>
        <w:pStyle w:val="a3"/>
        <w:rPr>
          <w:color w:val="000000" w:themeColor="text1"/>
          <w:lang w:val="ru-RU"/>
        </w:rPr>
      </w:pPr>
    </w:p>
    <w:p w14:paraId="670DA841" w14:textId="77777777" w:rsidR="00091345" w:rsidRPr="00070ADE" w:rsidRDefault="00091345" w:rsidP="00B56F90">
      <w:pPr>
        <w:pStyle w:val="a3"/>
        <w:rPr>
          <w:color w:val="000000" w:themeColor="text1"/>
          <w:lang w:val="ru-RU"/>
        </w:rPr>
      </w:pPr>
      <w:r w:rsidRPr="00070ADE">
        <w:rPr>
          <w:rStyle w:val="1d"/>
          <w:rFonts w:ascii="Times New Roman" w:hAnsi="Times New Roman" w:cs="Times New Roman"/>
          <w:b w:val="0"/>
          <w:color w:val="000000" w:themeColor="text1"/>
          <w:sz w:val="16"/>
          <w:szCs w:val="16"/>
          <w:lang w:val="ru-RU"/>
        </w:rPr>
        <w:t>В</w:t>
      </w:r>
      <w:r w:rsidRPr="00070ADE">
        <w:rPr>
          <w:rStyle w:val="1d"/>
          <w:rFonts w:ascii="Times New Roman" w:hAnsi="Times New Roman" w:cs="Times New Roman"/>
          <w:color w:val="000000" w:themeColor="text1"/>
          <w:sz w:val="16"/>
          <w:szCs w:val="16"/>
          <w:lang w:val="ru-RU"/>
        </w:rPr>
        <w:t xml:space="preserve"> </w:t>
      </w:r>
      <w:r w:rsidRPr="00070ADE">
        <w:rPr>
          <w:color w:val="000000" w:themeColor="text1"/>
          <w:lang w:val="ru-RU"/>
        </w:rPr>
        <w:t>июне 1944 г. итог этой эпопеи, связанной с попыткой «авиационных» членов Академии улучшить координацию проводившихся в стране работ, связанных с авиационной тематикой, подвели в ЦК ВКП(б). Отдел науки Агитпропа ЦК под</w:t>
      </w:r>
      <w:r w:rsidRPr="00070ADE">
        <w:rPr>
          <w:color w:val="000000" w:themeColor="text1"/>
          <w:lang w:val="ru-RU"/>
        </w:rPr>
        <w:softHyphen/>
        <w:t>готовил специальную записку на имя секретаря ЦК Г.М. Маленкова, курировавшего авиацию. В ней говорилось: «В связи с последними выборами 1943 года в отделении технических наук Академии Наук СССР значительно усилился состав академиков и членов-корреспондентов. непосредственно связанных с авиационной промышленностью. Под влиянием этой группы ученых отделение технических наук АН возбудило перед] Президиумом АН вопрос об организации в системе Академии Наук секции авиации., Эта секция мыслилась не только как научно-исследовательская организация, но и как' руководящий центр, координирующий всю научно-исследовательскую работу в обла</w:t>
      </w:r>
      <w:r w:rsidRPr="00070ADE">
        <w:rPr>
          <w:color w:val="000000" w:themeColor="text1"/>
          <w:lang w:val="ru-RU"/>
        </w:rPr>
        <w:softHyphen/>
        <w:t>сти авиации в стране. В основном документе — проекте Положения о секции авиации — задачи её формулировались следующим образом:</w:t>
      </w:r>
    </w:p>
    <w:p w14:paraId="11FCB449" w14:textId="77777777" w:rsidR="00091345" w:rsidRPr="00070ADE" w:rsidRDefault="00091345" w:rsidP="00B56F90">
      <w:pPr>
        <w:pStyle w:val="a3"/>
        <w:rPr>
          <w:color w:val="000000" w:themeColor="text1"/>
          <w:lang w:val="ru-RU"/>
        </w:rPr>
      </w:pPr>
      <w:r w:rsidRPr="00070ADE">
        <w:rPr>
          <w:color w:val="000000" w:themeColor="text1"/>
          <w:lang w:val="ru-RU"/>
        </w:rPr>
        <w:t>«п. 2. Основной задачей секции является постановка и проведение научных иссле</w:t>
      </w:r>
      <w:r w:rsidRPr="00070ADE">
        <w:rPr>
          <w:color w:val="000000" w:themeColor="text1"/>
          <w:lang w:val="ru-RU"/>
        </w:rPr>
        <w:softHyphen/>
        <w:t>дований, способствующих развитию нашей военной и гражданской авиации и КООР</w:t>
      </w:r>
      <w:r w:rsidRPr="00070ADE">
        <w:rPr>
          <w:color w:val="000000" w:themeColor="text1"/>
          <w:lang w:val="ru-RU"/>
        </w:rPr>
        <w:softHyphen/>
        <w:t>ДИНАЦИЯ научно-исследовательских работ по проблемам авиации, проводимым в учреждениях Академии Наук СССР, в отраслевых институтах и конструкторских бюро».</w:t>
      </w:r>
    </w:p>
    <w:p w14:paraId="269D12DD" w14:textId="77777777" w:rsidR="00091345" w:rsidRPr="00070ADE" w:rsidRDefault="00091345" w:rsidP="00B56F90">
      <w:pPr>
        <w:pStyle w:val="a3"/>
        <w:rPr>
          <w:color w:val="000000" w:themeColor="text1"/>
          <w:lang w:val="ru-RU"/>
        </w:rPr>
      </w:pPr>
      <w:r w:rsidRPr="00070ADE">
        <w:rPr>
          <w:color w:val="000000" w:themeColor="text1"/>
          <w:lang w:val="ru-RU"/>
        </w:rPr>
        <w:t>Проект организации секции обсуждался в заседаниях отделения технических наук, на распорядительном заседании Президиума 18 января с.г. и на закрытом заседании пол</w:t>
      </w:r>
      <w:r w:rsidRPr="00070ADE">
        <w:rPr>
          <w:color w:val="000000" w:themeColor="text1"/>
          <w:lang w:val="ru-RU"/>
        </w:rPr>
        <w:softHyphen/>
        <w:t>ного Президиума 9 февраля с.г. Правительство информировано о проекте создания сек</w:t>
      </w:r>
      <w:r w:rsidRPr="00070ADE">
        <w:rPr>
          <w:color w:val="000000" w:themeColor="text1"/>
          <w:lang w:val="ru-RU"/>
        </w:rPr>
        <w:softHyphen/>
        <w:t>ции авиации в АН. Тов. Вознесенский и тов. Шахурин рекомендовали Президиуму АН секции авиации в АН не создавать. Президиум АН вынес соответствующее решение».</w:t>
      </w:r>
    </w:p>
    <w:p w14:paraId="72E9608E" w14:textId="77777777" w:rsidR="00091345" w:rsidRPr="00070ADE" w:rsidRDefault="00091345" w:rsidP="00B56F90">
      <w:pPr>
        <w:pStyle w:val="a3"/>
        <w:rPr>
          <w:color w:val="000000" w:themeColor="text1"/>
          <w:lang w:val="ru-RU"/>
        </w:rPr>
      </w:pPr>
      <w:r w:rsidRPr="00070ADE">
        <w:rPr>
          <w:color w:val="000000" w:themeColor="text1"/>
          <w:lang w:val="ru-RU"/>
        </w:rPr>
        <w:t>Далее в записке наносился удар по инициаторам постановки этого вопроса и, глав</w:t>
      </w:r>
      <w:r w:rsidRPr="00070ADE">
        <w:rPr>
          <w:color w:val="000000" w:themeColor="text1"/>
          <w:lang w:val="ru-RU"/>
        </w:rPr>
        <w:softHyphen/>
        <w:t>ным образом, по А.А. Микулину:</w:t>
      </w:r>
    </w:p>
    <w:p w14:paraId="7E2A113B" w14:textId="77777777" w:rsidR="00091345" w:rsidRPr="00070ADE" w:rsidRDefault="00091345" w:rsidP="00B56F90">
      <w:pPr>
        <w:pStyle w:val="a3"/>
        <w:rPr>
          <w:color w:val="000000" w:themeColor="text1"/>
          <w:lang w:val="ru-RU"/>
        </w:rPr>
      </w:pPr>
      <w:r w:rsidRPr="00070ADE">
        <w:rPr>
          <w:color w:val="000000" w:themeColor="text1"/>
          <w:lang w:val="ru-RU"/>
        </w:rPr>
        <w:lastRenderedPageBreak/>
        <w:t>«Однако, независимо от того, что вопрос этот снят, считаем необходимым сообщить Вам о весьма странной аргументации, приводившейся рядом академиков в пользу создания этой секции. Выступления же одного из главных инициаторов постановки этого вопроса акад. А.А. Микулина неправильно рисуют фактическое положение научно-исследователь</w:t>
      </w:r>
      <w:r w:rsidRPr="00070ADE">
        <w:rPr>
          <w:color w:val="000000" w:themeColor="text1"/>
          <w:lang w:val="ru-RU"/>
        </w:rPr>
        <w:softHyphen/>
        <w:t>ского дела в области авиации в стране и являются политически сомнительными.</w:t>
      </w:r>
    </w:p>
    <w:p w14:paraId="2EE40922" w14:textId="77777777" w:rsidR="00091345" w:rsidRPr="00070ADE" w:rsidRDefault="00091345" w:rsidP="00B56F90">
      <w:pPr>
        <w:pStyle w:val="a3"/>
        <w:rPr>
          <w:color w:val="000000" w:themeColor="text1"/>
          <w:lang w:val="ru-RU"/>
        </w:rPr>
      </w:pPr>
      <w:r w:rsidRPr="00070ADE">
        <w:rPr>
          <w:color w:val="000000" w:themeColor="text1"/>
          <w:lang w:val="ru-RU"/>
        </w:rPr>
        <w:t>Так, акад. А.А. Микулин утверждал, будто у нас, в СССР, имеется меньше возможностей для работы конструкторов в области авиационного машиностроения, чем за границей».</w:t>
      </w:r>
    </w:p>
    <w:p w14:paraId="7D3F2B33" w14:textId="77777777" w:rsidR="00091345" w:rsidRPr="00070ADE" w:rsidRDefault="00091345" w:rsidP="00B56F90">
      <w:pPr>
        <w:pStyle w:val="1e"/>
        <w:shd w:val="clear" w:color="auto" w:fill="auto"/>
        <w:spacing w:line="240" w:lineRule="auto"/>
        <w:jc w:val="both"/>
        <w:rPr>
          <w:rFonts w:ascii="Times New Roman" w:hAnsi="Times New Roman" w:cs="Times New Roman"/>
          <w:color w:val="000000" w:themeColor="text1"/>
          <w:sz w:val="16"/>
          <w:szCs w:val="16"/>
        </w:rPr>
      </w:pPr>
      <w:r w:rsidRPr="00070ADE">
        <w:rPr>
          <w:rFonts w:ascii="Times New Roman" w:hAnsi="Times New Roman" w:cs="Times New Roman"/>
          <w:color w:val="000000" w:themeColor="text1"/>
          <w:sz w:val="16"/>
          <w:szCs w:val="16"/>
        </w:rPr>
        <w:t>Далее приводилась выдержка из выступления Микулина, которое цитировалось вы</w:t>
      </w:r>
      <w:r w:rsidRPr="00070ADE">
        <w:rPr>
          <w:rFonts w:ascii="Times New Roman" w:hAnsi="Times New Roman" w:cs="Times New Roman"/>
          <w:color w:val="000000" w:themeColor="text1"/>
          <w:sz w:val="16"/>
          <w:szCs w:val="16"/>
        </w:rPr>
        <w:softHyphen/>
        <w:t>ше, с критикой наркоматов и сравнением возможностей зарубежных конструкторов и его конструкторского бюро. В записке отмечалось, что эти высказывания Микулина произносились с трибуны годичного совещания отделения технических наук АН, что он «по поводу, якобы имеющего место тяжелого положения конструкторов отечественно</w:t>
      </w:r>
      <w:r w:rsidRPr="00070ADE">
        <w:rPr>
          <w:rFonts w:ascii="Times New Roman" w:hAnsi="Times New Roman" w:cs="Times New Roman"/>
          <w:color w:val="000000" w:themeColor="text1"/>
          <w:sz w:val="16"/>
          <w:szCs w:val="16"/>
        </w:rPr>
        <w:softHyphen/>
        <w:t>го авиамашиностроения... находит нужным апеллировать... к Академии Наук». Далее опять приводилась большая цитата из выступления Микулина об «Академии Наук, как к органу, которому доверяет правительство» и недоверии к наркоматам: «Поэтому я считаю, что наркоматы и Наркомфин в вопросах масштабов несправедливы» …(15789).</w:t>
      </w:r>
    </w:p>
    <w:p w14:paraId="7B693929" w14:textId="77777777" w:rsidR="00091345" w:rsidRPr="00070ADE" w:rsidRDefault="00091345" w:rsidP="00B56F90">
      <w:pPr>
        <w:spacing w:after="0" w:line="240" w:lineRule="auto"/>
        <w:jc w:val="both"/>
        <w:rPr>
          <w:rFonts w:ascii="Times New Roman" w:hAnsi="Times New Roman"/>
          <w:color w:val="000000" w:themeColor="text1"/>
          <w:sz w:val="16"/>
          <w:szCs w:val="16"/>
        </w:rPr>
      </w:pPr>
    </w:p>
    <w:p w14:paraId="35D50A49" w14:textId="77777777" w:rsidR="00994578" w:rsidRPr="00070ADE" w:rsidRDefault="00994578"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В июне 1944 года были изготовлены две опытные 24-М-8 с двадцатью четырьмя направляющими, а в июле-августе они прошли успешные испытания на море: установка №1101 была размещена на полубаке минного катера №29 типа Я-5, установка №1102 — на ходовой рубке торпедного катера Г-5 №413. 19 сентября 24-М-8 была принята на вооружение (19941).</w:t>
      </w:r>
    </w:p>
    <w:p w14:paraId="48F8714E" w14:textId="77777777" w:rsidR="00994578" w:rsidRPr="00070ADE" w:rsidRDefault="00994578" w:rsidP="00B56F90">
      <w:pPr>
        <w:pStyle w:val="ae"/>
        <w:shd w:val="clear" w:color="auto" w:fill="FFFFFF"/>
        <w:spacing w:before="0" w:after="0"/>
        <w:jc w:val="both"/>
        <w:textAlignment w:val="baseline"/>
        <w:rPr>
          <w:color w:val="000000" w:themeColor="text1"/>
          <w:sz w:val="16"/>
          <w:szCs w:val="16"/>
        </w:rPr>
      </w:pPr>
    </w:p>
    <w:p w14:paraId="0EC2E0FE"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53E36E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CE2D5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на полигоне Мурово Московской области были проведены вторые полигонные испытания 82-мм легкого пехотного орудия СКБ-34. На повторных полигонных испытаниях сделано 8 выстрелов кумулятивной миной по броне по нормали. Из них 7 пробили броню толщиной 90 мм, а одна 150 мм.</w:t>
      </w:r>
    </w:p>
    <w:p w14:paraId="66AD42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СКБ-34 оказалось супер-универсальным орудием оно могло вести навесной огонь 82-мм минами как обычный миномет, вести борьбу с танками и даже с самолетами. То есть это был миномет, полевая пушка, противотанковая и зенитная пушки в одной системе. Соответственно, орудие имело разнообразный боекомплект, в него входили:</w:t>
      </w:r>
    </w:p>
    <w:p w14:paraId="1FE222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Обычная 82-мм мина для навесной стрельбы (заряды как в обычных минометах);</w:t>
      </w:r>
    </w:p>
    <w:p w14:paraId="41491C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унитарный выстрел для настильной стрельбы. Оперенный снаряд для него был спроектирован СКБ-48. Взрыватель М-4, гильза латунная;</w:t>
      </w:r>
    </w:p>
    <w:p w14:paraId="2CE6F5C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82-мм противотанковая кумулятивная мина конструкции СКБ-НКВ;</w:t>
      </w:r>
    </w:p>
    <w:p w14:paraId="3370AD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унитарный зенитный выстрел с дистанционным взрывателем Д-3;</w:t>
      </w:r>
    </w:p>
    <w:p w14:paraId="04BE487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 унитарный выстрел с картечью.</w:t>
      </w:r>
    </w:p>
    <w:p w14:paraId="12EF0C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ведении навесного огня при углах, больших 45, заряжание производилось с дула, а настильного с казенной части. Стрельба при углах свыше 45 велась с помощью вставленной с казны постоянной железной гильзы с жестким бойком, то есть воспламенителя Стокса.</w:t>
      </w:r>
    </w:p>
    <w:p w14:paraId="77BC43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Стрельба при малых углах возвышения (до +5) велась с колес, а при больших углах с двух опорных плит, именовавшихся в описании как плато. При постановке системы на плато колеса приподнимались на 4060 мм над грунтом.</w:t>
      </w:r>
    </w:p>
    <w:p w14:paraId="0C68362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Ствол орудия моноблок с навинтным казенником. Канал ствола гладкий. Затвор горизонтальный клиновой.</w:t>
      </w:r>
    </w:p>
    <w:p w14:paraId="14F28F6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Люлька с противооткатными устройствами взята штатная от 45-мм противотанковой пушки обр. 1937 г. Единственное изменение в ней шесть дополнительных канавок в цилиндре тормоза отката.</w:t>
      </w:r>
    </w:p>
    <w:p w14:paraId="387400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Верхний станок штампо-сварной. Уравновешивающий механизм пружинный, тянущего типа. Поворотный механизм винтовой. Подъемный механизм секторный. Боевая ось коробчатая сварная. Колеса мотоциклетные.</w:t>
      </w:r>
    </w:p>
    <w:p w14:paraId="5556C7F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стрельбе с колес орудие внешне очень похоже на 76-мм полковую пушку обр. 1943 г.</w:t>
      </w:r>
    </w:p>
    <w:p w14:paraId="7D4167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повторных полигонных испытаниях сделано 8 выстрелов кумулятивной миной по броне по нормали. Из них 7 пробили броню толщиной 90 мм, а одна 150 мм.</w:t>
      </w:r>
    </w:p>
    <w:p w14:paraId="5120288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заключению комиссии по полигонным испытаниям от 23 июня 1944 года: Кучность системы при стрельбы с дистанции 500 м хуже кучности 76-мм полковой пушки обр. 1943 г. (то есть хуже некуда). Прочность пружин подрессоривания и сварных швов при возке неудовлетворительны. Железная гильза с бойком для самонакалывания посте стрельбы плохо экстрактируется (то есть ее хрен вынешь). Щитовое прикрытие не полностью прикрывает расчет.</w:t>
      </w:r>
    </w:p>
    <w:p w14:paraId="59BE99C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 не менее комиссия рекомендовала изготовить опытную серию орудий для войсковых испытаний.</w:t>
      </w:r>
    </w:p>
    <w:p w14:paraId="001E5AF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итоге орудия оказалось слишком универсальным, чтобы удовлетворительно выполнять хоть одну из своих функций. Разумеется, оно на вооружение принято не было. С инженерной точки зрения это была очень интересная система, и по хорошему ее стоило бы поставить в Политехнический музей (3861).</w:t>
      </w:r>
    </w:p>
    <w:p w14:paraId="27953A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AE59FD"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В июне 1944 года на полигоне Мурово Московской области были проведены вторые полигонные испытания 82-мм легкого пехотного орудия СКБ-34, которое было спроектировано в СКБ-НКВ.</w:t>
      </w:r>
    </w:p>
    <w:p w14:paraId="5CBEEA11"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СКБ-34 оказалось суперуниверсальным орудием — оно могло вести навесной огонь 82-мм минами как обычный миномет, вести борьбу с танками и даже с самолетами. То есть это был миномет, полевая пушка, противотанковая и зенитная пушки в одной систе</w:t>
      </w:r>
      <w:r w:rsidRPr="001A0BAA">
        <w:rPr>
          <w:rStyle w:val="aff1"/>
          <w:rFonts w:ascii="Times New Roman" w:hAnsi="Times New Roman" w:cs="Times New Roman"/>
          <w:color w:val="0070C0"/>
          <w:spacing w:val="0"/>
          <w:sz w:val="16"/>
          <w:szCs w:val="16"/>
        </w:rPr>
        <w:softHyphen/>
        <w:t>ме — можно сказать, предшественник орудия «Нона». Орудие име</w:t>
      </w:r>
      <w:r w:rsidRPr="001A0BAA">
        <w:rPr>
          <w:rStyle w:val="aff1"/>
          <w:rFonts w:ascii="Times New Roman" w:hAnsi="Times New Roman" w:cs="Times New Roman"/>
          <w:color w:val="0070C0"/>
          <w:spacing w:val="0"/>
          <w:sz w:val="16"/>
          <w:szCs w:val="16"/>
        </w:rPr>
        <w:softHyphen/>
        <w:t>ло разнообразный боекомплект; в него входили:</w:t>
      </w:r>
    </w:p>
    <w:p w14:paraId="23267FFE" w14:textId="77777777" w:rsidR="00EF323C" w:rsidRPr="001A0BAA" w:rsidRDefault="00EF323C" w:rsidP="00EF323C">
      <w:pPr>
        <w:widowControl w:val="0"/>
        <w:tabs>
          <w:tab w:val="left" w:pos="795"/>
        </w:tabs>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1) обычная 82-мм мина для навесной стрельбы (заряды, как в обычных минометах);</w:t>
      </w:r>
    </w:p>
    <w:p w14:paraId="170909BE" w14:textId="77777777" w:rsidR="00EF323C" w:rsidRPr="001A0BAA" w:rsidRDefault="00EF323C" w:rsidP="00EF323C">
      <w:pPr>
        <w:widowControl w:val="0"/>
        <w:tabs>
          <w:tab w:val="left" w:pos="795"/>
        </w:tabs>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2) унитарный выстрел для настильной стрельбы. Оперенный снаряд для него был спроектирован в СКБ-48. Взрыватель М-4, гильза латунная;</w:t>
      </w:r>
    </w:p>
    <w:p w14:paraId="50C78907" w14:textId="77777777" w:rsidR="00EF323C" w:rsidRPr="001A0BAA" w:rsidRDefault="00EF323C" w:rsidP="00EF323C">
      <w:pPr>
        <w:widowControl w:val="0"/>
        <w:tabs>
          <w:tab w:val="left" w:pos="795"/>
        </w:tabs>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3) 82-мм противотанковая кумулятивная мина конструкции СКБ-НКВ;</w:t>
      </w:r>
    </w:p>
    <w:p w14:paraId="11E0A491" w14:textId="77777777" w:rsidR="00EF323C" w:rsidRPr="001A0BAA" w:rsidRDefault="00EF323C" w:rsidP="00EF323C">
      <w:pPr>
        <w:widowControl w:val="0"/>
        <w:tabs>
          <w:tab w:val="left" w:pos="800"/>
        </w:tabs>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4) унитарный зенитный выстрел с дистанционным взрывате</w:t>
      </w:r>
      <w:r w:rsidRPr="001A0BAA">
        <w:rPr>
          <w:rStyle w:val="aff1"/>
          <w:rFonts w:ascii="Times New Roman" w:hAnsi="Times New Roman" w:cs="Times New Roman"/>
          <w:color w:val="0070C0"/>
          <w:spacing w:val="0"/>
          <w:sz w:val="16"/>
          <w:szCs w:val="16"/>
        </w:rPr>
        <w:softHyphen/>
        <w:t>лем Д-З;</w:t>
      </w:r>
    </w:p>
    <w:p w14:paraId="72160C0A" w14:textId="77777777" w:rsidR="00EF323C" w:rsidRPr="001A0BAA" w:rsidRDefault="00EF323C" w:rsidP="00EF323C">
      <w:pPr>
        <w:widowControl w:val="0"/>
        <w:tabs>
          <w:tab w:val="left" w:pos="1255"/>
        </w:tabs>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5) унитарный выстрел с картечью.</w:t>
      </w:r>
    </w:p>
    <w:p w14:paraId="52D8D2C5"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При ведении навесного огня при углах, больших 45°, заряжа</w:t>
      </w:r>
      <w:r w:rsidRPr="001A0BAA">
        <w:rPr>
          <w:rStyle w:val="aff1"/>
          <w:rFonts w:ascii="Times New Roman" w:hAnsi="Times New Roman" w:cs="Times New Roman"/>
          <w:color w:val="0070C0"/>
          <w:spacing w:val="0"/>
          <w:sz w:val="16"/>
          <w:szCs w:val="16"/>
        </w:rPr>
        <w:softHyphen/>
        <w:t>ние производилось с дула, а настильного — с казенной части. Стрельба при углах свыше 45° велась с помощью вставленной с казны постоянной железной гильзы с жестким бойком, то есть воспламенителя Стокса.</w:t>
      </w:r>
    </w:p>
    <w:p w14:paraId="631AA236"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Стрельба при малых углах возвышения (до +5°) велась с колес, а при больших углах — с двух опорных плит, именовавшихся в опи</w:t>
      </w:r>
      <w:r w:rsidRPr="001A0BAA">
        <w:rPr>
          <w:rStyle w:val="aff1"/>
          <w:rFonts w:ascii="Times New Roman" w:hAnsi="Times New Roman" w:cs="Times New Roman"/>
          <w:color w:val="0070C0"/>
          <w:spacing w:val="0"/>
          <w:sz w:val="16"/>
          <w:szCs w:val="16"/>
        </w:rPr>
        <w:softHyphen/>
        <w:t>сании как плато. При постановке системы на плато колеса при</w:t>
      </w:r>
      <w:r w:rsidRPr="001A0BAA">
        <w:rPr>
          <w:rStyle w:val="aff1"/>
          <w:rFonts w:ascii="Times New Roman" w:hAnsi="Times New Roman" w:cs="Times New Roman"/>
          <w:color w:val="0070C0"/>
          <w:spacing w:val="0"/>
          <w:sz w:val="16"/>
          <w:szCs w:val="16"/>
        </w:rPr>
        <w:softHyphen/>
        <w:t>поднимались на 40-60 мм над грунтом.</w:t>
      </w:r>
    </w:p>
    <w:p w14:paraId="0FCDD8DF"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Ствол орудия — моноблок с навинтным казенником. Канал ствола гладкий. Затвор горизонтальный клиновой.</w:t>
      </w:r>
    </w:p>
    <w:p w14:paraId="6705A206" w14:textId="77777777" w:rsidR="00EF323C" w:rsidRPr="001A0BAA" w:rsidRDefault="00EF323C" w:rsidP="00EF323C">
      <w:pPr>
        <w:spacing w:after="0" w:line="240" w:lineRule="auto"/>
        <w:jc w:val="both"/>
        <w:rPr>
          <w:rStyle w:val="aff1"/>
          <w:rFonts w:ascii="Times New Roman" w:hAnsi="Times New Roman" w:cs="Times New Roman"/>
          <w:color w:val="0070C0"/>
          <w:spacing w:val="0"/>
          <w:sz w:val="16"/>
          <w:szCs w:val="16"/>
        </w:rPr>
      </w:pPr>
      <w:r w:rsidRPr="001A0BAA">
        <w:rPr>
          <w:rStyle w:val="aff1"/>
          <w:rFonts w:ascii="Times New Roman" w:hAnsi="Times New Roman" w:cs="Times New Roman"/>
          <w:color w:val="0070C0"/>
          <w:spacing w:val="0"/>
          <w:sz w:val="16"/>
          <w:szCs w:val="16"/>
        </w:rPr>
        <w:t>Люлька с противооткатными устройствами взята штатная от 45-мм противотанковой пушки обр. 1937 г. Единственное изменение в ней — шесть дополнительных канавок в цилиндре тормоза отката.</w:t>
      </w:r>
    </w:p>
    <w:p w14:paraId="5E25B72A"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Верхний станок штампосварной. Уравновешивающий меха</w:t>
      </w:r>
      <w:r w:rsidRPr="001A0BAA">
        <w:rPr>
          <w:rStyle w:val="aff1"/>
          <w:rFonts w:ascii="Times New Roman" w:hAnsi="Times New Roman" w:cs="Times New Roman"/>
          <w:color w:val="0070C0"/>
          <w:spacing w:val="0"/>
          <w:sz w:val="16"/>
          <w:szCs w:val="16"/>
        </w:rPr>
        <w:softHyphen/>
        <w:t>низм пружинный, тянущего типа. Поворотный механизм винто</w:t>
      </w:r>
      <w:r w:rsidRPr="001A0BAA">
        <w:rPr>
          <w:rStyle w:val="aff1"/>
          <w:rFonts w:ascii="Times New Roman" w:hAnsi="Times New Roman" w:cs="Times New Roman"/>
          <w:color w:val="0070C0"/>
          <w:spacing w:val="0"/>
          <w:sz w:val="16"/>
          <w:szCs w:val="16"/>
        </w:rPr>
        <w:softHyphen/>
        <w:t>вой. Подъемный механизм секторный. Боевая ось коробчатая сварная. Колеса мотоциклетные.</w:t>
      </w:r>
    </w:p>
    <w:p w14:paraId="67F0B12E" w14:textId="77777777" w:rsidR="00EF323C" w:rsidRPr="001A0BAA" w:rsidRDefault="00EF323C" w:rsidP="00EF323C">
      <w:pPr>
        <w:spacing w:after="0" w:line="240" w:lineRule="auto"/>
        <w:jc w:val="both"/>
        <w:rPr>
          <w:rStyle w:val="aff1"/>
          <w:rFonts w:ascii="Times New Roman" w:hAnsi="Times New Roman" w:cs="Times New Roman"/>
          <w:color w:val="0070C0"/>
          <w:spacing w:val="0"/>
          <w:sz w:val="16"/>
          <w:szCs w:val="16"/>
        </w:rPr>
      </w:pPr>
      <w:r w:rsidRPr="001A0BAA">
        <w:rPr>
          <w:rStyle w:val="aff1"/>
          <w:rFonts w:ascii="Times New Roman" w:hAnsi="Times New Roman" w:cs="Times New Roman"/>
          <w:color w:val="0070C0"/>
          <w:spacing w:val="0"/>
          <w:sz w:val="16"/>
          <w:szCs w:val="16"/>
        </w:rPr>
        <w:t>При стрельбе с колес орудие внешне очень похоже на 76-мм полковую пушку обр. 1943 г.</w:t>
      </w:r>
    </w:p>
    <w:p w14:paraId="17CA1345"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При стрельбе обычной 82-мм миной весом 3,1 кг начальная скорость составила 276 м/с, дальность максимальная 4300 м, дав</w:t>
      </w:r>
      <w:r w:rsidRPr="001A0BAA">
        <w:rPr>
          <w:rStyle w:val="aff1"/>
          <w:rFonts w:ascii="Times New Roman" w:hAnsi="Times New Roman" w:cs="Times New Roman"/>
          <w:color w:val="0070C0"/>
          <w:spacing w:val="0"/>
          <w:sz w:val="16"/>
          <w:szCs w:val="16"/>
        </w:rPr>
        <w:softHyphen/>
        <w:t>ление в канале ствола 420, кг/см</w:t>
      </w:r>
      <w:r w:rsidRPr="001A0BAA">
        <w:rPr>
          <w:rStyle w:val="aff1"/>
          <w:rFonts w:ascii="Times New Roman" w:hAnsi="Times New Roman" w:cs="Times New Roman"/>
          <w:color w:val="0070C0"/>
          <w:spacing w:val="0"/>
          <w:sz w:val="16"/>
          <w:szCs w:val="16"/>
          <w:vertAlign w:val="superscript"/>
        </w:rPr>
        <w:t>2</w:t>
      </w:r>
      <w:r w:rsidRPr="001A0BAA">
        <w:rPr>
          <w:rStyle w:val="aff1"/>
          <w:rFonts w:ascii="Times New Roman" w:hAnsi="Times New Roman" w:cs="Times New Roman"/>
          <w:color w:val="0070C0"/>
          <w:spacing w:val="0"/>
          <w:sz w:val="16"/>
          <w:szCs w:val="16"/>
        </w:rPr>
        <w:t>.</w:t>
      </w:r>
    </w:p>
    <w:p w14:paraId="3E520493"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На повторных полигонных испытаниях сделано 8 выстрелов кумулятивной миной по броне по нормали. Из них 7 пробили бро</w:t>
      </w:r>
      <w:r w:rsidRPr="001A0BAA">
        <w:rPr>
          <w:rStyle w:val="aff1"/>
          <w:rFonts w:ascii="Times New Roman" w:hAnsi="Times New Roman" w:cs="Times New Roman"/>
          <w:color w:val="0070C0"/>
          <w:spacing w:val="0"/>
          <w:sz w:val="16"/>
          <w:szCs w:val="16"/>
        </w:rPr>
        <w:softHyphen/>
        <w:t>ню толщиной 90 мм, а одна — 150 мм.</w:t>
      </w:r>
    </w:p>
    <w:p w14:paraId="6B865251"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Согласно заключению комиссии по полигонным испытаниям от 23 июня 1944 года: кучность системы при стрельбе с дистанции 500 м хуже кучности 76-мм полковой пушки обр. 1943 г. (то есть ху</w:t>
      </w:r>
      <w:r w:rsidRPr="001A0BAA">
        <w:rPr>
          <w:rStyle w:val="aff1"/>
          <w:rFonts w:ascii="Times New Roman" w:hAnsi="Times New Roman" w:cs="Times New Roman"/>
          <w:color w:val="0070C0"/>
          <w:spacing w:val="0"/>
          <w:sz w:val="16"/>
          <w:szCs w:val="16"/>
        </w:rPr>
        <w:softHyphen/>
        <w:t>же некуда). Прочность пружин подрессоривания и сварных швов 133</w:t>
      </w:r>
    </w:p>
    <w:p w14:paraId="1B10E23E"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при возке неудовлетворительны. Железная гильза с бойком для самонакалывания после стрельбы плохо экстрактируется (то есть ее вряд ли вынешь). Щитовое прикрытие не полностью прикры</w:t>
      </w:r>
      <w:r w:rsidRPr="001A0BAA">
        <w:rPr>
          <w:rStyle w:val="aff1"/>
          <w:rFonts w:ascii="Times New Roman" w:hAnsi="Times New Roman" w:cs="Times New Roman"/>
          <w:color w:val="0070C0"/>
          <w:spacing w:val="0"/>
          <w:sz w:val="16"/>
          <w:szCs w:val="16"/>
        </w:rPr>
        <w:softHyphen/>
        <w:t>вает расчет.</w:t>
      </w:r>
    </w:p>
    <w:p w14:paraId="71C41EE4"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Тем не менее комиссия рекомендовала изготовить опытную серию орудий для войсковых испытаний.</w:t>
      </w:r>
    </w:p>
    <w:p w14:paraId="0BE1FDC7"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В итоге орудие оказалось слишком универсальным, чтобы удовлетворительно выполнять хоть одну из своих функций. Разу</w:t>
      </w:r>
      <w:r w:rsidRPr="001A0BAA">
        <w:rPr>
          <w:rStyle w:val="aff1"/>
          <w:rFonts w:ascii="Times New Roman" w:hAnsi="Times New Roman" w:cs="Times New Roman"/>
          <w:color w:val="0070C0"/>
          <w:spacing w:val="0"/>
          <w:sz w:val="16"/>
          <w:szCs w:val="16"/>
        </w:rPr>
        <w:softHyphen/>
        <w:t>меется, оно на вооружение принято не было (25439).</w:t>
      </w:r>
    </w:p>
    <w:p w14:paraId="77D172F6" w14:textId="77777777" w:rsidR="00EF323C" w:rsidRPr="001A0BAA" w:rsidRDefault="00EF323C" w:rsidP="00EF323C">
      <w:pPr>
        <w:spacing w:after="0" w:line="240" w:lineRule="auto"/>
        <w:jc w:val="both"/>
        <w:rPr>
          <w:rFonts w:ascii="Times New Roman" w:hAnsi="Times New Roman"/>
          <w:color w:val="0070C0"/>
          <w:sz w:val="16"/>
          <w:szCs w:val="16"/>
        </w:rPr>
      </w:pPr>
    </w:p>
    <w:p w14:paraId="393445FF"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В июне 1944 г. опытный образец 122-мм пушки БЛ-9 ОКБ-172 был установлен на артсамоход ИСУ-122-1, изготовленный заводом № 100. В сен</w:t>
      </w:r>
      <w:r w:rsidRPr="001A0BAA">
        <w:rPr>
          <w:rStyle w:val="aff1"/>
          <w:rFonts w:ascii="Times New Roman" w:hAnsi="Times New Roman" w:cs="Times New Roman"/>
          <w:color w:val="0070C0"/>
          <w:spacing w:val="0"/>
          <w:sz w:val="16"/>
          <w:szCs w:val="16"/>
        </w:rPr>
        <w:softHyphen/>
        <w:t>тябре 1944 г. БЛ-9 с самоходом прошли полигонные испы</w:t>
      </w:r>
      <w:r w:rsidRPr="001A0BAA">
        <w:rPr>
          <w:rStyle w:val="aff1"/>
          <w:rFonts w:ascii="Times New Roman" w:hAnsi="Times New Roman" w:cs="Times New Roman"/>
          <w:color w:val="0070C0"/>
          <w:spacing w:val="0"/>
          <w:sz w:val="16"/>
          <w:szCs w:val="16"/>
        </w:rPr>
        <w:softHyphen/>
        <w:t>тания. Стрельба велась бронебойными и осколочно-фугас</w:t>
      </w:r>
      <w:r w:rsidRPr="001A0BAA">
        <w:rPr>
          <w:rStyle w:val="aff1"/>
          <w:rFonts w:ascii="Times New Roman" w:hAnsi="Times New Roman" w:cs="Times New Roman"/>
          <w:color w:val="0070C0"/>
          <w:spacing w:val="0"/>
          <w:sz w:val="16"/>
          <w:szCs w:val="16"/>
        </w:rPr>
        <w:softHyphen/>
        <w:t>ными снарядами весом 25 кг. Начальная скорость для бронебойного снаряда на полигоне составила 987 м/с (рас</w:t>
      </w:r>
      <w:r w:rsidRPr="001A0BAA">
        <w:rPr>
          <w:rStyle w:val="aff1"/>
          <w:rFonts w:ascii="Times New Roman" w:hAnsi="Times New Roman" w:cs="Times New Roman"/>
          <w:color w:val="0070C0"/>
          <w:spacing w:val="0"/>
          <w:sz w:val="16"/>
          <w:szCs w:val="16"/>
        </w:rPr>
        <w:softHyphen/>
        <w:t>четная 1000 м/с). Дальность стрельбы осколочно-фугасным снарядом составила 10 700 м. Расчетная скорострельность была 3 выстр./мин, но на полигоне ее не проверяли (25437).</w:t>
      </w:r>
    </w:p>
    <w:p w14:paraId="256E2094" w14:textId="77777777" w:rsidR="00EF323C" w:rsidRPr="001A0BAA" w:rsidRDefault="00EF323C" w:rsidP="00EF323C">
      <w:pPr>
        <w:spacing w:after="0" w:line="240" w:lineRule="auto"/>
        <w:jc w:val="both"/>
        <w:rPr>
          <w:rFonts w:ascii="Times New Roman" w:hAnsi="Times New Roman"/>
          <w:color w:val="0070C0"/>
          <w:sz w:val="16"/>
          <w:szCs w:val="16"/>
        </w:rPr>
      </w:pPr>
    </w:p>
    <w:p w14:paraId="22EE7EDA" w14:textId="52CB3111" w:rsidR="00E20115" w:rsidRPr="00070ADE" w:rsidRDefault="00E2011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при подготовке к штурму финских укреплений, помня об уроках Зимней войны 1939-1940 гг., против финских укреплений было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сосредоточено большое количество орудий резерва Главного Командования, включая гаубицы Б-4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 305-мм гаубицы обр. 1915 г. Огонь этих мощных</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орудий был достаточно эффективен против бетонных укреплений финнов. Это способствовало выводу Финляндии из войны (15132).</w:t>
      </w:r>
    </w:p>
    <w:p w14:paraId="3285359B" w14:textId="77777777" w:rsidR="00E20115" w:rsidRPr="00070ADE" w:rsidRDefault="00E20115" w:rsidP="00B56F90">
      <w:pPr>
        <w:spacing w:after="0" w:line="240" w:lineRule="auto"/>
        <w:jc w:val="both"/>
        <w:rPr>
          <w:rFonts w:ascii="Times New Roman" w:hAnsi="Times New Roman"/>
          <w:color w:val="000000" w:themeColor="text1"/>
          <w:sz w:val="16"/>
          <w:szCs w:val="16"/>
        </w:rPr>
      </w:pPr>
    </w:p>
    <w:p w14:paraId="3B664EEE" w14:textId="1354E06B" w:rsidR="00E20115" w:rsidRPr="00070ADE" w:rsidRDefault="00E2011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июне 1944 г. гаубицы Б-4 применялись для разрушения «Карельского вала», созданного финнами от Ладоги до Финского залива. Это была мощная железобетонная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полоса укреплений с 10-12 долговременными огневыми точками на каждом километре укреплений.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Самым мощным в этой системе был ДОТ «Миллионер», сооружение, высившееся трёхэтажной громадой между первой и второй финскими траншеями. Ширина ДОТа — 10 м, длина — более 20. Двум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гаубицам Б-4 было приказано уничтожить это чудовище. Они выпустили по укреплению 140 203-мм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снаряда. После 30-го попадания во вмятинах бетона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стали видны прутья арматуры. Затем в стене появились проломы. Из 140 выпущенных снарядов 96</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попали в ДОТ. «Миллионер» был разрушен (15132).</w:t>
      </w:r>
    </w:p>
    <w:p w14:paraId="5EEECF36" w14:textId="77777777" w:rsidR="00E20115" w:rsidRPr="00070ADE" w:rsidRDefault="00E20115" w:rsidP="00B56F90">
      <w:pPr>
        <w:spacing w:after="0" w:line="240" w:lineRule="auto"/>
        <w:jc w:val="both"/>
        <w:rPr>
          <w:rFonts w:ascii="Times New Roman" w:hAnsi="Times New Roman"/>
          <w:color w:val="000000" w:themeColor="text1"/>
          <w:sz w:val="16"/>
          <w:szCs w:val="16"/>
        </w:rPr>
      </w:pPr>
    </w:p>
    <w:p w14:paraId="0A9020CA" w14:textId="77777777" w:rsidR="00E20115" w:rsidRPr="00070ADE" w:rsidRDefault="00E2011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две доработанные 100-мм пушки С-34 учли испытывались на танках ИС и Т-34 (15226).</w:t>
      </w:r>
    </w:p>
    <w:p w14:paraId="56469483" w14:textId="77777777" w:rsidR="00E20115" w:rsidRPr="00070ADE" w:rsidRDefault="00E20115" w:rsidP="00B56F90">
      <w:pPr>
        <w:spacing w:after="0" w:line="240" w:lineRule="auto"/>
        <w:jc w:val="both"/>
        <w:rPr>
          <w:rFonts w:ascii="Times New Roman" w:hAnsi="Times New Roman"/>
          <w:color w:val="000000" w:themeColor="text1"/>
          <w:sz w:val="16"/>
          <w:szCs w:val="16"/>
        </w:rPr>
      </w:pPr>
    </w:p>
    <w:p w14:paraId="6CBC491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Илья Иванович Иванов вновь возвращается к работе по созданию морской и береговой артиллерии. Его назначают начальником Ленинградского филиала ЦАКБ. Часть конструкторов, в том числе и с завода "Баррикады", была переведена вместе с ним в Ленинград. В новом коллективе трудились крупные конструкторы, среди них А. Флоренский, А. Гаврилов, Б. Коробов и бывшие ученики Иванова — дважды лауреаты Государственных премий Е. Рудяк, Г. Волосатов, лауреат Государственной премии Г. Сергеев и другие, чьим кропотливым трудом создавались замечательные образцы артиллерийских систем для армии и флота (11268).</w:t>
      </w:r>
    </w:p>
    <w:p w14:paraId="0E4CFFF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B03EC3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на заводе организуется производство 7,62 мм пистолетного патроны с трассирующей пулей по чертежам НИИ-44. В июне 1947 года завод включается в состав НИИ-44 с программой по опытной тематике НИИ-44 по отработке и совершенствованию патронов стрелкового оружия, гл. образом пиротехнических пуль.</w:t>
      </w:r>
    </w:p>
    <w:p w14:paraId="2089B2C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Приказом МА № 391сс от 9 июля 1949 года завод выделяется из состава НИИ-44 в самостоятельный завод с профилем производства патронов стрелкового оружия. В 1953 году построен корпус № 210, но использован для производства гильз быть не мог.</w:t>
      </w:r>
    </w:p>
    <w:p w14:paraId="5D9C49F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западной части корпуса № 210 размещается ЦКБ-3 с одновременной перебазировкой с завода № 710.</w:t>
      </w:r>
    </w:p>
    <w:p w14:paraId="4FCF7C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производственной площади корпуса № 210 размещается полностью переданное заводу производство Краснопресненского механического завода.</w:t>
      </w:r>
    </w:p>
    <w:p w14:paraId="65FA454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организации завода № 711 директорами были: Максимов П.И. с 26 мая 1942 года, Локтионов Я.И. с 30 июня 1942 года, Кирьянов Н.И. с 10 ноября 1942 года, Подобрянский В.А. с 24 апреля 1946 года, Тарасенко А.Ф. с июня 1947 года, Баранов А.Е. с 21 октября 1947 года, Тарасенко А.Ф. с октября 1948 года, Володин К.А. с июня 1949 года и Бабенко П.А. с 9 декабря 1949 года по 1965 год (10264).</w:t>
      </w:r>
    </w:p>
    <w:p w14:paraId="4D40B96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71604A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письмо, в котором фигурирует «новый тяжелый танк с литой броней», получает и начальник ЦАКБ В. Грабин: «...по полученным агентурным) данным, в Германии завершается разработка нового тяжелого танка, защищенного литой броней толщиной 150—200 мм... Прошу вас завершить предусмотренные планами испытания новых противотанковых пушек большого калибра, в том числе ка</w:t>
      </w:r>
      <w:r w:rsidRPr="00070ADE">
        <w:rPr>
          <w:rFonts w:ascii="Times New Roman" w:hAnsi="Times New Roman"/>
          <w:color w:val="000000" w:themeColor="text1"/>
          <w:sz w:val="16"/>
          <w:szCs w:val="16"/>
        </w:rPr>
        <w:softHyphen/>
        <w:t>либра 122-мм и 130-мм... В программу их испытаний вклю</w:t>
      </w:r>
      <w:r w:rsidRPr="00070ADE">
        <w:rPr>
          <w:rFonts w:ascii="Times New Roman" w:hAnsi="Times New Roman"/>
          <w:color w:val="000000" w:themeColor="text1"/>
          <w:sz w:val="16"/>
          <w:szCs w:val="16"/>
        </w:rPr>
        <w:softHyphen/>
        <w:t>чить пункт об обязательной проверке пробития литой брони толщиной 200-мм. Получение образцов литой брони указан</w:t>
      </w:r>
      <w:r w:rsidRPr="00070ADE">
        <w:rPr>
          <w:rFonts w:ascii="Times New Roman" w:hAnsi="Times New Roman"/>
          <w:color w:val="000000" w:themeColor="text1"/>
          <w:sz w:val="16"/>
          <w:szCs w:val="16"/>
        </w:rPr>
        <w:softHyphen/>
        <w:t>ной толщины согласовано с УЗТМ (Музуруков).</w:t>
      </w:r>
    </w:p>
    <w:p w14:paraId="32BE53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 исполнении доложить. Д. Устинов</w:t>
      </w:r>
    </w:p>
    <w:p w14:paraId="4A9B788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никаких Т-9 и Т-10 не появилось на полях сра</w:t>
      </w:r>
      <w:r w:rsidRPr="00070ADE">
        <w:rPr>
          <w:rFonts w:ascii="Times New Roman" w:hAnsi="Times New Roman"/>
          <w:color w:val="000000" w:themeColor="text1"/>
          <w:sz w:val="16"/>
          <w:szCs w:val="16"/>
        </w:rPr>
        <w:softHyphen/>
        <w:t>жений ни в кампании 1944 г. ни в последующем. Более реалистичной оказалась такая информация: «В и в наст, время ведется модернизация танка «Пантера - наиболее удачного танка немецкой фашистской армии. уже летом тек. года на фронте следует ожидать подразделений, оснащенных танком указанного типа, имеющих массу около 55—60тн., вооруженных 88-мм пушкой САУ «Шершень», или “Фердинанд” и двух пулеметов, а также защищенные броней ^20—140-ммвлоб. части и 60—80-мм в бортах...</w:t>
      </w:r>
    </w:p>
    <w:p w14:paraId="496C4E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Штурмовые 'орудия «Фердинанд», облегченные на 8—10тн., также переводятся на шасси «Пантеры»...</w:t>
      </w:r>
    </w:p>
    <w:p w14:paraId="5B12348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августе 1944 г. советские войска действительно встре</w:t>
      </w:r>
      <w:r w:rsidRPr="00070ADE">
        <w:rPr>
          <w:rFonts w:ascii="Times New Roman" w:hAnsi="Times New Roman"/>
          <w:color w:val="000000" w:themeColor="text1"/>
          <w:sz w:val="16"/>
          <w:szCs w:val="16"/>
        </w:rPr>
        <w:softHyphen/>
        <w:t>тили на Висле подобный танк, но речь о нем позднее...(11135).</w:t>
      </w:r>
    </w:p>
    <w:p w14:paraId="64772E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3691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задание на создание башни Т-34 со 100-мм пушкой получили ОКБ № 92 и отдел 520 завода № 183. С инициативными работами в данном ; иаправлении выступили также КБ заводов № 112 «Красное Сормово», № 9 Ф. Петрова и ОКБ-92 А. Савина. ОКБ № 92 первым выдвинуло свой вариант 100-мм пушки для танка Т-34. Указанная пушка представляла со</w:t>
      </w:r>
      <w:r w:rsidRPr="00070ADE">
        <w:rPr>
          <w:rFonts w:ascii="Times New Roman" w:hAnsi="Times New Roman"/>
          <w:color w:val="000000" w:themeColor="text1"/>
          <w:sz w:val="16"/>
          <w:szCs w:val="16"/>
        </w:rPr>
        <w:softHyphen/>
        <w:t>бой увеличенный вариант 85-мм орудия ЗИС-С-53 с уси</w:t>
      </w:r>
      <w:r w:rsidRPr="00070ADE">
        <w:rPr>
          <w:rFonts w:ascii="Times New Roman" w:hAnsi="Times New Roman"/>
          <w:color w:val="000000" w:themeColor="text1"/>
          <w:sz w:val="16"/>
          <w:szCs w:val="16"/>
        </w:rPr>
        <w:softHyphen/>
        <w:t>ленным тормозом отката, затвором от 100-мм полевого орудия обр. 1943 г. БС-3, пружинным уравновешивающим механизмом и дульным тормозом. Орудие получило индекс ЗИС-100. По основным посадочным местам оно почти полностью соответствовало пушке ЗИС-С-53 и потому могло без ограничений быть установлено в башне Т-34-85. Но реакция отдачи была выше допускаемой для погона Т-34-85 на 25-30%, поэтому осенью 1944 г. указанное орудие не было допущено к испытаниям в башне Т-34-85 (11135).</w:t>
      </w:r>
    </w:p>
    <w:p w14:paraId="0783B6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0B3D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первые 13 танков Т-34-85 сошли и с конвейера Ом</w:t>
      </w:r>
      <w:r w:rsidRPr="00070ADE">
        <w:rPr>
          <w:rFonts w:ascii="Times New Roman" w:hAnsi="Times New Roman"/>
          <w:color w:val="000000" w:themeColor="text1"/>
          <w:sz w:val="16"/>
          <w:szCs w:val="16"/>
        </w:rPr>
        <w:softHyphen/>
        <w:t>ского завода № 174, а к концу года общее количество этих танков, сдан</w:t>
      </w:r>
      <w:r w:rsidRPr="00070ADE">
        <w:rPr>
          <w:rFonts w:ascii="Times New Roman" w:hAnsi="Times New Roman"/>
          <w:color w:val="000000" w:themeColor="text1"/>
          <w:sz w:val="16"/>
          <w:szCs w:val="16"/>
        </w:rPr>
        <w:softHyphen/>
        <w:t>ных военным представителям, достигло 1000 шт. (10703).</w:t>
      </w:r>
    </w:p>
    <w:p w14:paraId="413917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5276ED" w14:textId="77777777" w:rsidR="000340E9" w:rsidRPr="00070ADE" w:rsidRDefault="000340E9" w:rsidP="00B56F90">
      <w:pPr>
        <w:pStyle w:val="a3"/>
        <w:rPr>
          <w:color w:val="000000" w:themeColor="text1"/>
          <w:lang w:val="ru-RU"/>
        </w:rPr>
      </w:pPr>
      <w:r w:rsidRPr="00070ADE">
        <w:rPr>
          <w:color w:val="000000" w:themeColor="text1"/>
          <w:lang w:val="ru-RU"/>
        </w:rPr>
        <w:t>В июне 1944 года завод № 174 начал производство Т-34-85. Одновременно с введением новой пушки на танки начали устанавливать прицелы нового типа - шарнирные (иногда называемые ломающимися). Преимущество этих прицелов перед применявшимися ранее состояло в том, что при изменении угла возвышения орудия наводчику не нужно было опускать или поднимать голову, так как обращённая к нему часть прицела оставалась неподвижной. Такой прицел значительно облегчал работу наводчика (12290).</w:t>
      </w:r>
    </w:p>
    <w:p w14:paraId="64A93411" w14:textId="77777777" w:rsidR="000340E9" w:rsidRPr="00070ADE" w:rsidRDefault="000340E9" w:rsidP="00B56F90">
      <w:pPr>
        <w:pStyle w:val="a3"/>
        <w:rPr>
          <w:color w:val="000000" w:themeColor="text1"/>
          <w:lang w:val="ru-RU"/>
        </w:rPr>
      </w:pPr>
    </w:p>
    <w:p w14:paraId="4A3F657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были изготовлены два эталонных экземпляра Т-44 с двигателем В-2-34М и пушками С-53, но эти танки в основном повторяли конструкцию февральской машины, отличаясь от нее в некоторых деталях (11135).</w:t>
      </w:r>
    </w:p>
    <w:p w14:paraId="7D235D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D201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один из двух изготовленных образцов 100 мм пушки С-34 был установлен в башню танка ИС-2, а второй - в самоход</w:t>
      </w:r>
      <w:r w:rsidRPr="00070ADE">
        <w:rPr>
          <w:rFonts w:ascii="Times New Roman" w:hAnsi="Times New Roman"/>
          <w:color w:val="000000" w:themeColor="text1"/>
          <w:sz w:val="16"/>
          <w:szCs w:val="16"/>
        </w:rPr>
        <w:softHyphen/>
        <w:t>ную установку на базе танка Т-34 (10703).</w:t>
      </w:r>
    </w:p>
    <w:p w14:paraId="23A377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3E20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поняв, что с «семьсот первым» выходит за</w:t>
      </w:r>
      <w:r w:rsidRPr="00070ADE">
        <w:rPr>
          <w:rFonts w:ascii="Times New Roman" w:hAnsi="Times New Roman"/>
          <w:color w:val="000000" w:themeColor="text1"/>
          <w:sz w:val="16"/>
          <w:szCs w:val="16"/>
        </w:rPr>
        <w:softHyphen/>
        <w:t>держка, а опытный завод № 100 готовит свой вариант модер</w:t>
      </w:r>
      <w:r w:rsidRPr="00070ADE">
        <w:rPr>
          <w:rFonts w:ascii="Times New Roman" w:hAnsi="Times New Roman"/>
          <w:color w:val="000000" w:themeColor="text1"/>
          <w:sz w:val="16"/>
          <w:szCs w:val="16"/>
        </w:rPr>
        <w:softHyphen/>
        <w:t>низации, интерес к модернизации ИС-2 возобновился. Опытный образец танка был изготовлен в августе, а в сентябре прошел цикл испытания, которые показали, что:</w:t>
      </w:r>
    </w:p>
    <w:p w14:paraId="57807C5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мощностью 600 л.с. привел к работе существу</w:t>
      </w:r>
      <w:r w:rsidRPr="00070ADE">
        <w:rPr>
          <w:rFonts w:ascii="Times New Roman" w:hAnsi="Times New Roman"/>
          <w:color w:val="000000" w:themeColor="text1"/>
          <w:sz w:val="16"/>
          <w:szCs w:val="16"/>
        </w:rPr>
        <w:softHyphen/>
        <w:t>ющей трансмиссии в перенапряженном режиме... Опыт пробе</w:t>
      </w:r>
      <w:r w:rsidRPr="00070ADE">
        <w:rPr>
          <w:rFonts w:ascii="Times New Roman" w:hAnsi="Times New Roman"/>
          <w:color w:val="000000" w:themeColor="text1"/>
          <w:sz w:val="16"/>
          <w:szCs w:val="16"/>
        </w:rPr>
        <w:softHyphen/>
        <w:t>га показал, что никакого выигрыша на маневренности танка на пересеченной местности данный двигатель не дает. Манев</w:t>
      </w:r>
      <w:r w:rsidRPr="00070ADE">
        <w:rPr>
          <w:rFonts w:ascii="Times New Roman" w:hAnsi="Times New Roman"/>
          <w:color w:val="000000" w:themeColor="text1"/>
          <w:sz w:val="16"/>
          <w:szCs w:val="16"/>
        </w:rPr>
        <w:softHyphen/>
        <w:t>ренность серийного ЙС-122 аналогична, тем более, что мотор в 600л.с. имеет ресурс не свыше 150моточасов, тогда как мо</w:t>
      </w:r>
      <w:r w:rsidRPr="00070ADE">
        <w:rPr>
          <w:rFonts w:ascii="Times New Roman" w:hAnsi="Times New Roman"/>
          <w:color w:val="000000" w:themeColor="text1"/>
          <w:sz w:val="16"/>
          <w:szCs w:val="16"/>
        </w:rPr>
        <w:softHyphen/>
        <w:t>тор в 520 сил в наст, время ходит уже 300 часов и бШее...</w:t>
      </w:r>
    </w:p>
    <w:p w14:paraId="772F8B5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Дополнительный вентилятор обдува трансмиссир недо</w:t>
      </w:r>
      <w:r w:rsidRPr="00070ADE">
        <w:rPr>
          <w:rFonts w:ascii="Times New Roman" w:hAnsi="Times New Roman"/>
          <w:color w:val="000000" w:themeColor="text1"/>
          <w:sz w:val="16"/>
          <w:szCs w:val="16"/>
        </w:rPr>
        <w:softHyphen/>
        <w:t>статочно эффективен.</w:t>
      </w:r>
    </w:p>
    <w:p w14:paraId="76028C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Разместить топливные баки в моторно-трансмиссион-ном отделении без сокращения запаса топлива не представ</w:t>
      </w:r>
      <w:r w:rsidRPr="00070ADE">
        <w:rPr>
          <w:rFonts w:ascii="Times New Roman" w:hAnsi="Times New Roman"/>
          <w:color w:val="000000" w:themeColor="text1"/>
          <w:sz w:val="16"/>
          <w:szCs w:val="16"/>
        </w:rPr>
        <w:softHyphen/>
        <w:t>ляется возможным...</w:t>
      </w:r>
    </w:p>
    <w:p w14:paraId="5AE67DE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Выводы:</w:t>
      </w:r>
    </w:p>
    <w:p w14:paraId="5779CE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Внесение большинства запланированных изменений в кон</w:t>
      </w:r>
      <w:r w:rsidRPr="00070ADE">
        <w:rPr>
          <w:rFonts w:ascii="Times New Roman" w:hAnsi="Times New Roman"/>
          <w:color w:val="000000" w:themeColor="text1"/>
          <w:sz w:val="16"/>
          <w:szCs w:val="16"/>
        </w:rPr>
        <w:softHyphen/>
        <w:t>струкцию танка ИС не приводит к значительному увеличе</w:t>
      </w:r>
      <w:r w:rsidRPr="00070ADE">
        <w:rPr>
          <w:rFonts w:ascii="Times New Roman" w:hAnsi="Times New Roman"/>
          <w:color w:val="000000" w:themeColor="text1"/>
          <w:sz w:val="16"/>
          <w:szCs w:val="16"/>
        </w:rPr>
        <w:softHyphen/>
        <w:t>нию его боевых качеств.</w:t>
      </w:r>
    </w:p>
    <w:p w14:paraId="76FCA9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Конструкция дифференцированной броневой защиты танка интересна и может быть рекомендована для внедре</w:t>
      </w:r>
      <w:r w:rsidRPr="00070ADE">
        <w:rPr>
          <w:rFonts w:ascii="Times New Roman" w:hAnsi="Times New Roman"/>
          <w:color w:val="000000" w:themeColor="text1"/>
          <w:sz w:val="16"/>
          <w:szCs w:val="16"/>
        </w:rPr>
        <w:softHyphen/>
        <w:t>ния в серийное производство танка ИС-122 на ЧКЗ с сохране</w:t>
      </w:r>
      <w:r w:rsidRPr="00070ADE">
        <w:rPr>
          <w:rFonts w:ascii="Times New Roman" w:hAnsi="Times New Roman"/>
          <w:color w:val="000000" w:themeColor="text1"/>
          <w:sz w:val="16"/>
          <w:szCs w:val="16"/>
        </w:rPr>
        <w:softHyphen/>
        <w:t>нием его МТО и ходовой части. Сварные швы хорошо вписыва</w:t>
      </w:r>
      <w:r w:rsidRPr="00070ADE">
        <w:rPr>
          <w:rFonts w:ascii="Times New Roman" w:hAnsi="Times New Roman"/>
          <w:color w:val="000000" w:themeColor="text1"/>
          <w:sz w:val="16"/>
          <w:szCs w:val="16"/>
        </w:rPr>
        <w:softHyphen/>
        <w:t>ются в требование изготовления корпуса автоматической сваркой... Данный тип корпуса тем более интересен, что УЗТМ в настоящее время не справляется с увеличенной про</w:t>
      </w:r>
      <w:r w:rsidRPr="00070ADE">
        <w:rPr>
          <w:rFonts w:ascii="Times New Roman" w:hAnsi="Times New Roman"/>
          <w:color w:val="000000" w:themeColor="text1"/>
          <w:sz w:val="16"/>
          <w:szCs w:val="16"/>
        </w:rPr>
        <w:softHyphen/>
        <w:t>граммой изготовления литых башен.</w:t>
      </w:r>
    </w:p>
    <w:p w14:paraId="55FBF3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Модернизация по второму варианту наиболее рациональна и может быть реализована в серийном производстве уже через полтора месяца после принятия решения о начале работ без остановки производства параллельно с выпуском ИС-122» (11135).</w:t>
      </w:r>
    </w:p>
    <w:p w14:paraId="3DCA337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24A6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июня 1944 г. по май 1945 г. Танк ИС-2 (ИС-122) серийно выпускался на ЧКЗ. Всего заводом было выпущено 2525 машин данной модификации. Еще по 5 танков было собрано в марте и июне 1945 г. на восстанавливавшемся ЛКЗ. Танки широко применялись в третьем периоде Великой Отечественной войны. После Великой Отече</w:t>
      </w:r>
      <w:r w:rsidRPr="00070ADE">
        <w:rPr>
          <w:rFonts w:ascii="Times New Roman" w:hAnsi="Times New Roman"/>
          <w:color w:val="000000" w:themeColor="text1"/>
          <w:sz w:val="16"/>
          <w:szCs w:val="16"/>
        </w:rPr>
        <w:softHyphen/>
        <w:t>ственной войны танк был модернизирован и ему была присвоена марка ИС-2М. Машина отличалась от танка ИС-2 обр. 1943 г. более мощной броне</w:t>
      </w:r>
      <w:r w:rsidRPr="00070ADE">
        <w:rPr>
          <w:rFonts w:ascii="Times New Roman" w:hAnsi="Times New Roman"/>
          <w:color w:val="000000" w:themeColor="text1"/>
          <w:sz w:val="16"/>
          <w:szCs w:val="16"/>
        </w:rPr>
        <w:softHyphen/>
        <w:t>вой защитой корпуса, установкой дополнительного оружия - зенитно</w:t>
      </w:r>
      <w:r w:rsidRPr="00070ADE">
        <w:rPr>
          <w:rFonts w:ascii="Times New Roman" w:hAnsi="Times New Roman"/>
          <w:color w:val="000000" w:themeColor="text1"/>
          <w:sz w:val="16"/>
          <w:szCs w:val="16"/>
        </w:rPr>
        <w:softHyphen/>
        <w:t>го пулемета ДШК. Начиная с ноября 1944 г. часть танков, а с января 1945 г. каждый танк ИС-2 оснащался зенитной пулеметной установкой. Экипаж танка состоял из четырех человек (10703).</w:t>
      </w:r>
    </w:p>
    <w:p w14:paraId="4622F95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8CD9AA"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июне 1944 на ЧКЗ сложилась ситуация, схожая с майской. Имея задание на выпуск 200 ИС-2, 130 ИСУ-152 и 120 ИСУ-122, завод смог выполнить план только к 10 июля. На сей раз выявились проблемы с оптикой и артиллерийским вооружением. Существовали, впрочем, и традиционные проблемы с производственным циклом. По словам директора завода, недостаток рабочей силы составил примерно 5 тысяч человек, это также сказалось на общей ситуации. Тем не менее, военные представители отмечали позитивные тенденции. Несмотря на все проблемы, работ выпускал продукцию с меньшими перерывами. Кроме того, в июне внедрили ряд изменений. Наиболее заметными среди них стали новые поручни, а также перенос запасных траков с кормы на лобовую деталь корпуса. Примерно в это же время кормовые фонари перенесли на бортовые листы корпуса (25541).</w:t>
      </w:r>
    </w:p>
    <w:p w14:paraId="2986FD37" w14:textId="77777777" w:rsidR="00EF323C" w:rsidRPr="001A0BAA" w:rsidRDefault="00EF323C" w:rsidP="00EF323C">
      <w:pPr>
        <w:spacing w:after="0" w:line="240" w:lineRule="auto"/>
        <w:jc w:val="both"/>
        <w:rPr>
          <w:rFonts w:ascii="Times New Roman" w:hAnsi="Times New Roman"/>
          <w:color w:val="0070C0"/>
          <w:sz w:val="16"/>
          <w:szCs w:val="16"/>
        </w:rPr>
      </w:pPr>
    </w:p>
    <w:p w14:paraId="3AACF222"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В июне 1944 года заводом № 100 был изготовлен тяжелый танк ИС-5 (объект 248) (25001).</w:t>
      </w:r>
    </w:p>
    <w:p w14:paraId="17D1E350" w14:textId="77777777" w:rsidR="00EF323C" w:rsidRPr="001A0BAA" w:rsidRDefault="00EF323C" w:rsidP="00EF323C">
      <w:pPr>
        <w:spacing w:after="0" w:line="240" w:lineRule="auto"/>
        <w:jc w:val="both"/>
        <w:rPr>
          <w:rFonts w:ascii="Times New Roman" w:hAnsi="Times New Roman"/>
          <w:color w:val="0070C0"/>
          <w:sz w:val="16"/>
          <w:szCs w:val="16"/>
        </w:rPr>
      </w:pPr>
    </w:p>
    <w:p w14:paraId="6A0A292F"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июне 1944 года закончилась окончательная сборка Объекта 249 (проходило он также под индексом ИСУ-122-2). К тому моменту орудие получила новый клиновой затвор, измененную полуавтоматику и новый тормоз отката. Переработанный механизм наводки орудия в горизонтальной и вертикальной плоскостях позволил снизить нагрузку до 4-7 кг. В ходе первых заводских испытаний было произведено 8 выстрелов, при этом не производилась экстракция гильз. После доработки полуавтоматики повторные испытания не выявили аналогичную проблему. В общей сложности было произведено 25 выстрелов, а также преодолено 733 километра.</w:t>
      </w:r>
    </w:p>
    <w:p w14:paraId="22DAE7F6"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Установка Д-25с не только имела меньшую массу (3200 кг), но и получила более надежную броневую защиту. Для 1944 года 80-100 мм брони, конечно, маловато, но на фоне 60 мм установки ИСУ-152/ИСУ-122 разница налицо. Снижение габаритов бронировки положительно сказалась на обзорности с места механика-водителя. Также увеличился объём боевого отделения, особенно это положительно сказалось на местах командира и заряжающих. За счёт снижения массы орудия и переноса цапф артсистемы назад улучшились характеристики проходимости и езды. Максимальная скорость выросла с 32-35 до 34-37 км/ч, также чуть снизилось удельное давление на грунт. Одним словом, самоходная версия танкового орудия оказалась очень кстати.</w:t>
      </w:r>
    </w:p>
    <w:p w14:paraId="430193D2"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Еще одним существенным отличием Объекта 249 стала установка зенитной турели с пулеметом ДШК. Она существенно отличалась от той турели, которую завод №100 разработал для Объекта 242. Новая разработка, также созданная силами опытного завода №100, получилась куда более удачной (24970).</w:t>
      </w:r>
    </w:p>
    <w:p w14:paraId="2E90B5C2" w14:textId="77777777" w:rsidR="00EF323C" w:rsidRPr="001A0BAA" w:rsidRDefault="00EF323C" w:rsidP="00EF323C">
      <w:pPr>
        <w:spacing w:after="0" w:line="240" w:lineRule="auto"/>
        <w:jc w:val="both"/>
        <w:rPr>
          <w:rFonts w:ascii="Times New Roman" w:hAnsi="Times New Roman"/>
          <w:color w:val="0070C0"/>
          <w:sz w:val="16"/>
          <w:szCs w:val="16"/>
        </w:rPr>
      </w:pPr>
    </w:p>
    <w:p w14:paraId="00999E7C"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июне 1944 года из ГАБТУ КА на ГАЗ пришел ответ странного содержания в отношении СУ-15А. Мол, СУ-76М их полностью устраивает, работы по СУ-15А надо прекратить (24906).</w:t>
      </w:r>
    </w:p>
    <w:p w14:paraId="2061A7B5" w14:textId="77777777" w:rsidR="00EF323C" w:rsidRPr="001A0BAA" w:rsidRDefault="00EF323C" w:rsidP="00EF323C">
      <w:pPr>
        <w:spacing w:after="0" w:line="240" w:lineRule="auto"/>
        <w:jc w:val="both"/>
        <w:rPr>
          <w:rFonts w:ascii="Times New Roman" w:hAnsi="Times New Roman"/>
          <w:color w:val="0070C0"/>
          <w:sz w:val="16"/>
          <w:szCs w:val="16"/>
        </w:rPr>
      </w:pPr>
    </w:p>
    <w:p w14:paraId="65E14DFC" w14:textId="77777777" w:rsidR="009E614A" w:rsidRPr="00070ADE" w:rsidRDefault="009E614A" w:rsidP="00B56F90">
      <w:pPr>
        <w:pStyle w:val="1131"/>
        <w:shd w:val="clear" w:color="auto" w:fill="auto"/>
        <w:spacing w:line="240" w:lineRule="auto"/>
        <w:ind w:firstLine="0"/>
        <w:rPr>
          <w:rFonts w:ascii="Times New Roman" w:hAnsi="Times New Roman" w:cs="Times New Roman"/>
          <w:color w:val="000000" w:themeColor="text1"/>
          <w:sz w:val="16"/>
          <w:szCs w:val="16"/>
        </w:rPr>
      </w:pPr>
      <w:r w:rsidRPr="00070ADE">
        <w:rPr>
          <w:rStyle w:val="660"/>
          <w:rFonts w:ascii="Times New Roman" w:hAnsi="Times New Roman" w:cs="Times New Roman"/>
          <w:color w:val="000000" w:themeColor="text1"/>
          <w:sz w:val="16"/>
          <w:szCs w:val="16"/>
          <w:lang w:val="ru-RU"/>
        </w:rPr>
        <w:t>В июне 1944 года на заводе № 200 изготовили первые четыре спрямленные носовые детали и четыре измененные подбашенные коробки ИС-2, но массовый выпуск начался уже с августа. Что же касает</w:t>
      </w:r>
      <w:r w:rsidRPr="00070ADE">
        <w:rPr>
          <w:rStyle w:val="660"/>
          <w:rFonts w:ascii="Times New Roman" w:hAnsi="Times New Roman" w:cs="Times New Roman"/>
          <w:color w:val="000000" w:themeColor="text1"/>
          <w:sz w:val="16"/>
          <w:szCs w:val="16"/>
          <w:lang w:val="ru-RU"/>
        </w:rPr>
        <w:softHyphen/>
        <w:t>ся УЗТМ, то его продукция не особо обрадова</w:t>
      </w:r>
      <w:r w:rsidRPr="00070ADE">
        <w:rPr>
          <w:rStyle w:val="660"/>
          <w:rFonts w:ascii="Times New Roman" w:hAnsi="Times New Roman" w:cs="Times New Roman"/>
          <w:color w:val="000000" w:themeColor="text1"/>
          <w:sz w:val="16"/>
          <w:szCs w:val="16"/>
          <w:lang w:val="ru-RU"/>
        </w:rPr>
        <w:softHyphen/>
        <w:t>ла работников ЧКЗ. У серийных корпусов и так наблюдалась масса отступлений от черте</w:t>
      </w:r>
      <w:r w:rsidRPr="00070ADE">
        <w:rPr>
          <w:rStyle w:val="660"/>
          <w:rFonts w:ascii="Times New Roman" w:hAnsi="Times New Roman" w:cs="Times New Roman"/>
          <w:color w:val="000000" w:themeColor="text1"/>
          <w:sz w:val="16"/>
          <w:szCs w:val="16"/>
          <w:lang w:val="ru-RU"/>
        </w:rPr>
        <w:softHyphen/>
        <w:t>жей и технических условий, причем это каса</w:t>
      </w:r>
      <w:r w:rsidRPr="00070ADE">
        <w:rPr>
          <w:rStyle w:val="660"/>
          <w:rFonts w:ascii="Times New Roman" w:hAnsi="Times New Roman" w:cs="Times New Roman"/>
          <w:color w:val="000000" w:themeColor="text1"/>
          <w:sz w:val="16"/>
          <w:szCs w:val="16"/>
          <w:lang w:val="ru-RU"/>
        </w:rPr>
        <w:softHyphen/>
        <w:t>лось и продукции УЗТМ, и продукции завода № 200. В случае же с новой носовой деталью количество проблем только выросло. Соглас</w:t>
      </w:r>
      <w:r w:rsidRPr="00070ADE">
        <w:rPr>
          <w:rStyle w:val="660"/>
          <w:rFonts w:ascii="Times New Roman" w:hAnsi="Times New Roman" w:cs="Times New Roman"/>
          <w:color w:val="000000" w:themeColor="text1"/>
          <w:sz w:val="16"/>
          <w:szCs w:val="16"/>
          <w:lang w:val="ru-RU"/>
        </w:rPr>
        <w:softHyphen/>
        <w:t>но отчету военпредов за июль 1944 года, 100% прибывших корпусов со спрямленной носовой частью пришлось доделывать по по</w:t>
      </w:r>
      <w:r w:rsidRPr="00070ADE">
        <w:rPr>
          <w:rStyle w:val="660"/>
          <w:rFonts w:ascii="Times New Roman" w:hAnsi="Times New Roman" w:cs="Times New Roman"/>
          <w:color w:val="000000" w:themeColor="text1"/>
          <w:sz w:val="16"/>
          <w:szCs w:val="16"/>
          <w:lang w:val="ru-RU"/>
        </w:rPr>
        <w:softHyphen/>
        <w:t>садочным местам перископов, смотровому прибору механика-водителя и упорам под</w:t>
      </w:r>
      <w:r w:rsidRPr="00070ADE">
        <w:rPr>
          <w:rStyle w:val="660"/>
          <w:rFonts w:ascii="Times New Roman" w:hAnsi="Times New Roman" w:cs="Times New Roman"/>
          <w:color w:val="000000" w:themeColor="text1"/>
          <w:sz w:val="16"/>
          <w:szCs w:val="16"/>
          <w:lang w:val="ru-RU"/>
        </w:rPr>
        <w:softHyphen/>
        <w:t>вески опорных катков. В результате цех СБ-2 был вынужден значительную часть времени заниматься не сборкой танков, а доводкой корпусов. И это не говоря о том, что было до</w:t>
      </w:r>
      <w:r w:rsidRPr="00070ADE">
        <w:rPr>
          <w:rStyle w:val="660"/>
          <w:rFonts w:ascii="Times New Roman" w:hAnsi="Times New Roman" w:cs="Times New Roman"/>
          <w:color w:val="000000" w:themeColor="text1"/>
          <w:sz w:val="16"/>
          <w:szCs w:val="16"/>
          <w:lang w:val="ru-RU"/>
        </w:rPr>
        <w:softHyphen/>
        <w:t>вольно много брака по другим узлам и агре</w:t>
      </w:r>
      <w:r w:rsidRPr="00070ADE">
        <w:rPr>
          <w:rStyle w:val="660"/>
          <w:rFonts w:ascii="Times New Roman" w:hAnsi="Times New Roman" w:cs="Times New Roman"/>
          <w:color w:val="000000" w:themeColor="text1"/>
          <w:sz w:val="16"/>
          <w:szCs w:val="16"/>
          <w:lang w:val="ru-RU"/>
        </w:rPr>
        <w:softHyphen/>
        <w:t>гатам. За июль забраковали 600 траков из-за несоответствия размеров, имелись проблемы с КПП, бортовыми редукторами, главными фрикционами и водяными радиаторами. Всего за июль забраковали 8 600 различных деталей и узлов.</w:t>
      </w:r>
    </w:p>
    <w:p w14:paraId="0F79B45C" w14:textId="77777777" w:rsidR="009E614A" w:rsidRPr="00070ADE" w:rsidRDefault="009E614A" w:rsidP="00B56F90">
      <w:pPr>
        <w:pStyle w:val="1131"/>
        <w:shd w:val="clear" w:color="auto" w:fill="auto"/>
        <w:spacing w:line="240" w:lineRule="auto"/>
        <w:ind w:firstLine="0"/>
        <w:rPr>
          <w:rFonts w:ascii="Times New Roman" w:hAnsi="Times New Roman" w:cs="Times New Roman"/>
          <w:color w:val="000000" w:themeColor="text1"/>
          <w:sz w:val="16"/>
          <w:szCs w:val="16"/>
        </w:rPr>
      </w:pPr>
      <w:r w:rsidRPr="00070ADE">
        <w:rPr>
          <w:rStyle w:val="660"/>
          <w:rFonts w:ascii="Times New Roman" w:hAnsi="Times New Roman" w:cs="Times New Roman"/>
          <w:color w:val="000000" w:themeColor="text1"/>
          <w:sz w:val="16"/>
          <w:szCs w:val="16"/>
          <w:lang w:val="ru-RU"/>
        </w:rPr>
        <w:t>По различным причинам цена танка вы</w:t>
      </w:r>
      <w:r w:rsidRPr="00070ADE">
        <w:rPr>
          <w:rStyle w:val="660"/>
          <w:rFonts w:ascii="Times New Roman" w:hAnsi="Times New Roman" w:cs="Times New Roman"/>
          <w:color w:val="000000" w:themeColor="text1"/>
          <w:sz w:val="16"/>
          <w:szCs w:val="16"/>
          <w:lang w:val="ru-RU"/>
        </w:rPr>
        <w:softHyphen/>
        <w:t>росла. Если во втором квартале 1944 года ИС- 2 обходился в 295 тысяч рублей, то с июля по сентябрь 1944 года танк стоил уже 309 тысяч. При этом объемы выпуска пересмотрели в сторону увеличения. В июле сдали 225 штук, а уже в августе ЧКЗ вышел на ежемесячный выпуск в 250 танков. Это, естественно, по</w:t>
      </w:r>
      <w:r w:rsidRPr="00070ADE">
        <w:rPr>
          <w:rStyle w:val="660"/>
          <w:rFonts w:ascii="Times New Roman" w:hAnsi="Times New Roman" w:cs="Times New Roman"/>
          <w:color w:val="000000" w:themeColor="text1"/>
          <w:sz w:val="16"/>
          <w:szCs w:val="16"/>
          <w:lang w:val="ru-RU"/>
        </w:rPr>
        <w:softHyphen/>
        <w:t>влияло и на сдачу машин, и на качество их из</w:t>
      </w:r>
      <w:r w:rsidRPr="00070ADE">
        <w:rPr>
          <w:rStyle w:val="660"/>
          <w:rFonts w:ascii="Times New Roman" w:hAnsi="Times New Roman" w:cs="Times New Roman"/>
          <w:color w:val="000000" w:themeColor="text1"/>
          <w:sz w:val="16"/>
          <w:szCs w:val="16"/>
          <w:lang w:val="ru-RU"/>
        </w:rPr>
        <w:softHyphen/>
        <w:t>готовления. Достаточно сказать, что оконча</w:t>
      </w:r>
      <w:r w:rsidRPr="00070ADE">
        <w:rPr>
          <w:rStyle w:val="660"/>
          <w:rFonts w:ascii="Times New Roman" w:hAnsi="Times New Roman" w:cs="Times New Roman"/>
          <w:color w:val="000000" w:themeColor="text1"/>
          <w:sz w:val="16"/>
          <w:szCs w:val="16"/>
          <w:lang w:val="ru-RU"/>
        </w:rPr>
        <w:softHyphen/>
        <w:t>тельная сдача июльских танков состоялась уже ближе к середине августа. Вместе с тем новые корпуса были не единственным улуч</w:t>
      </w:r>
      <w:r w:rsidRPr="00070ADE">
        <w:rPr>
          <w:rStyle w:val="660"/>
          <w:rFonts w:ascii="Times New Roman" w:hAnsi="Times New Roman" w:cs="Times New Roman"/>
          <w:color w:val="000000" w:themeColor="text1"/>
          <w:sz w:val="16"/>
          <w:szCs w:val="16"/>
          <w:lang w:val="ru-RU"/>
        </w:rPr>
        <w:softHyphen/>
        <w:t>шением конструкции. С 1 июля началась уста</w:t>
      </w:r>
      <w:r w:rsidRPr="00070ADE">
        <w:rPr>
          <w:rStyle w:val="660"/>
          <w:rFonts w:ascii="Times New Roman" w:hAnsi="Times New Roman" w:cs="Times New Roman"/>
          <w:color w:val="000000" w:themeColor="text1"/>
          <w:sz w:val="16"/>
          <w:szCs w:val="16"/>
          <w:lang w:val="ru-RU"/>
        </w:rPr>
        <w:softHyphen/>
        <w:t>новка новой звездочки ведущего колеса, благодаря чему снизилась вероятность набе</w:t>
      </w:r>
      <w:r w:rsidRPr="00070ADE">
        <w:rPr>
          <w:rStyle w:val="660"/>
          <w:rFonts w:ascii="Times New Roman" w:hAnsi="Times New Roman" w:cs="Times New Roman"/>
          <w:color w:val="000000" w:themeColor="text1"/>
          <w:sz w:val="16"/>
          <w:szCs w:val="16"/>
          <w:lang w:val="ru-RU"/>
        </w:rPr>
        <w:softHyphen/>
        <w:t>гания гусеницы. С 8 июля ввели новый стопор натяжного механизма. Поменяли горловины топливных баков, благодаря чему исключа</w:t>
      </w:r>
      <w:r w:rsidRPr="00070ADE">
        <w:rPr>
          <w:rStyle w:val="660"/>
          <w:rFonts w:ascii="Times New Roman" w:hAnsi="Times New Roman" w:cs="Times New Roman"/>
          <w:color w:val="000000" w:themeColor="text1"/>
          <w:sz w:val="16"/>
          <w:szCs w:val="16"/>
          <w:lang w:val="ru-RU"/>
        </w:rPr>
        <w:softHyphen/>
        <w:t>лась возможность попадания топлива на при</w:t>
      </w:r>
      <w:r w:rsidRPr="00070ADE">
        <w:rPr>
          <w:rStyle w:val="660"/>
          <w:rFonts w:ascii="Times New Roman" w:hAnsi="Times New Roman" w:cs="Times New Roman"/>
          <w:color w:val="000000" w:themeColor="text1"/>
          <w:sz w:val="16"/>
          <w:szCs w:val="16"/>
          <w:lang w:val="ru-RU"/>
        </w:rPr>
        <w:softHyphen/>
        <w:t>борный щиток. Также в течение 7-8 июля ввели улучшения приводов рычагов и педали газа. Наконец, изменилась ситуация с прице</w:t>
      </w:r>
      <w:r w:rsidRPr="00070ADE">
        <w:rPr>
          <w:rStyle w:val="660"/>
          <w:rFonts w:ascii="Times New Roman" w:hAnsi="Times New Roman" w:cs="Times New Roman"/>
          <w:color w:val="000000" w:themeColor="text1"/>
          <w:sz w:val="16"/>
          <w:szCs w:val="16"/>
          <w:lang w:val="ru-RU"/>
        </w:rPr>
        <w:softHyphen/>
        <w:t xml:space="preserve">лами. От перископического прицела ПТ4-17 отказались, а вместо него наводчик получил перископический прибор </w:t>
      </w:r>
      <w:r w:rsidRPr="00070ADE">
        <w:rPr>
          <w:rStyle w:val="660"/>
          <w:rFonts w:ascii="Times New Roman" w:hAnsi="Times New Roman" w:cs="Times New Roman"/>
          <w:color w:val="000000" w:themeColor="text1"/>
          <w:sz w:val="16"/>
          <w:szCs w:val="16"/>
        </w:rPr>
        <w:t>MK</w:t>
      </w:r>
      <w:r w:rsidRPr="00070ADE">
        <w:rPr>
          <w:rStyle w:val="660"/>
          <w:rFonts w:ascii="Times New Roman" w:hAnsi="Times New Roman" w:cs="Times New Roman"/>
          <w:color w:val="000000" w:themeColor="text1"/>
          <w:sz w:val="16"/>
          <w:szCs w:val="16"/>
          <w:lang w:val="ru-RU"/>
        </w:rPr>
        <w:t>-</w:t>
      </w:r>
      <w:r w:rsidRPr="00070ADE">
        <w:rPr>
          <w:rStyle w:val="660"/>
          <w:rFonts w:ascii="Times New Roman" w:hAnsi="Times New Roman" w:cs="Times New Roman"/>
          <w:color w:val="000000" w:themeColor="text1"/>
          <w:sz w:val="16"/>
          <w:szCs w:val="16"/>
        </w:rPr>
        <w:t>IV</w:t>
      </w:r>
      <w:r w:rsidRPr="00070ADE">
        <w:rPr>
          <w:rStyle w:val="660"/>
          <w:rFonts w:ascii="Times New Roman" w:hAnsi="Times New Roman" w:cs="Times New Roman"/>
          <w:color w:val="000000" w:themeColor="text1"/>
          <w:sz w:val="16"/>
          <w:szCs w:val="16"/>
          <w:lang w:val="ru-RU"/>
        </w:rPr>
        <w:t>. Это позво</w:t>
      </w:r>
      <w:r w:rsidRPr="00070ADE">
        <w:rPr>
          <w:rStyle w:val="660"/>
          <w:rFonts w:ascii="Times New Roman" w:hAnsi="Times New Roman" w:cs="Times New Roman"/>
          <w:color w:val="000000" w:themeColor="text1"/>
          <w:sz w:val="16"/>
          <w:szCs w:val="16"/>
          <w:lang w:val="ru-RU"/>
        </w:rPr>
        <w:softHyphen/>
        <w:t>лило наконец во многом решить проблему с перекрыванием колпаком перископического прицела обзора из передней щели командир</w:t>
      </w:r>
      <w:r w:rsidRPr="00070ADE">
        <w:rPr>
          <w:rStyle w:val="660"/>
          <w:rFonts w:ascii="Times New Roman" w:hAnsi="Times New Roman" w:cs="Times New Roman"/>
          <w:color w:val="000000" w:themeColor="text1"/>
          <w:sz w:val="16"/>
          <w:szCs w:val="16"/>
          <w:lang w:val="ru-RU"/>
        </w:rPr>
        <w:softHyphen/>
        <w:t>ской башенки.</w:t>
      </w:r>
    </w:p>
    <w:p w14:paraId="4B08F1E8" w14:textId="77777777" w:rsidR="009E614A" w:rsidRPr="00070ADE" w:rsidRDefault="009E614A" w:rsidP="00B56F90">
      <w:pPr>
        <w:shd w:val="clear" w:color="auto" w:fill="FFFFFF"/>
        <w:spacing w:after="0" w:line="240" w:lineRule="auto"/>
        <w:jc w:val="both"/>
        <w:rPr>
          <w:rFonts w:ascii="Times New Roman" w:hAnsi="Times New Roman"/>
          <w:color w:val="000000" w:themeColor="text1"/>
          <w:sz w:val="16"/>
          <w:szCs w:val="16"/>
        </w:rPr>
      </w:pPr>
      <w:r w:rsidRPr="00070ADE">
        <w:rPr>
          <w:rStyle w:val="660"/>
          <w:rFonts w:ascii="Times New Roman" w:hAnsi="Times New Roman" w:cs="Times New Roman"/>
          <w:color w:val="000000" w:themeColor="text1"/>
          <w:sz w:val="16"/>
          <w:szCs w:val="16"/>
          <w:lang w:val="ru-RU"/>
        </w:rPr>
        <w:t>Полноценная поставка корпусов со спрямленной лобовой деталью началась в ав</w:t>
      </w:r>
      <w:r w:rsidRPr="00070ADE">
        <w:rPr>
          <w:rStyle w:val="660"/>
          <w:rFonts w:ascii="Times New Roman" w:hAnsi="Times New Roman" w:cs="Times New Roman"/>
          <w:color w:val="000000" w:themeColor="text1"/>
          <w:sz w:val="16"/>
          <w:szCs w:val="16"/>
          <w:lang w:val="ru-RU"/>
        </w:rPr>
        <w:softHyphen/>
        <w:t>густе 1944 года. Статистику по тому, сколько именно новых корпусов было использовано (19880).</w:t>
      </w:r>
    </w:p>
    <w:p w14:paraId="31352BDF" w14:textId="77777777" w:rsidR="009E614A" w:rsidRPr="00070ADE" w:rsidRDefault="009E614A" w:rsidP="00B56F90">
      <w:pPr>
        <w:shd w:val="clear" w:color="auto" w:fill="FFFFFF"/>
        <w:spacing w:after="0" w:line="240" w:lineRule="auto"/>
        <w:jc w:val="both"/>
        <w:rPr>
          <w:rFonts w:ascii="Times New Roman" w:hAnsi="Times New Roman"/>
          <w:color w:val="000000" w:themeColor="text1"/>
          <w:sz w:val="16"/>
          <w:szCs w:val="16"/>
        </w:rPr>
      </w:pPr>
    </w:p>
    <w:p w14:paraId="5FE0D4A4" w14:textId="77777777" w:rsidR="009E614A" w:rsidRPr="00070ADE" w:rsidRDefault="009E614A" w:rsidP="00B56F90">
      <w:pPr>
        <w:spacing w:after="0" w:line="240" w:lineRule="auto"/>
        <w:jc w:val="both"/>
        <w:rPr>
          <w:rFonts w:ascii="Times New Roman" w:hAnsi="Times New Roman"/>
          <w:color w:val="000000" w:themeColor="text1"/>
          <w:sz w:val="16"/>
          <w:szCs w:val="16"/>
        </w:rPr>
      </w:pPr>
      <w:r w:rsidRPr="00070ADE">
        <w:rPr>
          <w:rStyle w:val="723"/>
          <w:rFonts w:ascii="Times New Roman" w:hAnsi="Times New Roman" w:cs="Times New Roman"/>
          <w:color w:val="000000" w:themeColor="text1"/>
          <w:sz w:val="16"/>
          <w:szCs w:val="16"/>
        </w:rPr>
        <w:t>В июне 1944 года изменения ИС-2 оказа</w:t>
      </w:r>
      <w:r w:rsidRPr="00070ADE">
        <w:rPr>
          <w:rStyle w:val="723"/>
          <w:rFonts w:ascii="Times New Roman" w:hAnsi="Times New Roman" w:cs="Times New Roman"/>
          <w:color w:val="000000" w:themeColor="text1"/>
          <w:sz w:val="16"/>
          <w:szCs w:val="16"/>
        </w:rPr>
        <w:softHyphen/>
        <w:t>лись менее существенными, хотя они сильно по</w:t>
      </w:r>
      <w:r w:rsidRPr="00070ADE">
        <w:rPr>
          <w:rStyle w:val="723"/>
          <w:rFonts w:ascii="Times New Roman" w:hAnsi="Times New Roman" w:cs="Times New Roman"/>
          <w:color w:val="000000" w:themeColor="text1"/>
          <w:sz w:val="16"/>
          <w:szCs w:val="16"/>
        </w:rPr>
        <w:softHyphen/>
        <w:t>влияли на внешний вид танка. Во-первых, за</w:t>
      </w:r>
      <w:r w:rsidRPr="00070ADE">
        <w:rPr>
          <w:rStyle w:val="723"/>
          <w:rFonts w:ascii="Times New Roman" w:hAnsi="Times New Roman" w:cs="Times New Roman"/>
          <w:color w:val="000000" w:themeColor="text1"/>
          <w:sz w:val="16"/>
          <w:szCs w:val="16"/>
        </w:rPr>
        <w:softHyphen/>
        <w:t>пасные траки перенесли с нижней кормовой детали корпуса на нижнюю носовую деталь. При этом число запасных траков выросло до 6 штук. Данное изменение несколько улуч</w:t>
      </w:r>
      <w:r w:rsidRPr="00070ADE">
        <w:rPr>
          <w:rStyle w:val="723"/>
          <w:rFonts w:ascii="Times New Roman" w:hAnsi="Times New Roman" w:cs="Times New Roman"/>
          <w:color w:val="000000" w:themeColor="text1"/>
          <w:sz w:val="16"/>
          <w:szCs w:val="16"/>
        </w:rPr>
        <w:softHyphen/>
        <w:t>шило броневую защиту. Как показали испы</w:t>
      </w:r>
      <w:r w:rsidRPr="00070ADE">
        <w:rPr>
          <w:rStyle w:val="723"/>
          <w:rFonts w:ascii="Times New Roman" w:hAnsi="Times New Roman" w:cs="Times New Roman"/>
          <w:color w:val="000000" w:themeColor="text1"/>
          <w:sz w:val="16"/>
          <w:szCs w:val="16"/>
        </w:rPr>
        <w:softHyphen/>
        <w:t>тания, эффект от траков был при попадании снарядов на дистанции более километра. Позже, во время ремонта, аналогичным обра</w:t>
      </w:r>
      <w:r w:rsidRPr="00070ADE">
        <w:rPr>
          <w:rStyle w:val="723"/>
          <w:rFonts w:ascii="Times New Roman" w:hAnsi="Times New Roman" w:cs="Times New Roman"/>
          <w:color w:val="000000" w:themeColor="text1"/>
          <w:sz w:val="16"/>
          <w:szCs w:val="16"/>
        </w:rPr>
        <w:softHyphen/>
        <w:t>зом запасные траки переносили и на более ранних танках. Также с июня 1944 года зад</w:t>
      </w:r>
      <w:r w:rsidRPr="00070ADE">
        <w:rPr>
          <w:rStyle w:val="723"/>
          <w:rFonts w:ascii="Times New Roman" w:hAnsi="Times New Roman" w:cs="Times New Roman"/>
          <w:color w:val="000000" w:themeColor="text1"/>
          <w:sz w:val="16"/>
          <w:szCs w:val="16"/>
        </w:rPr>
        <w:softHyphen/>
        <w:t>ние фонари перенесли с крыши МТО на борта корпуса. На корпусах выпуска УЗТМ начали устанавливать выхлопные жалюзи с увели</w:t>
      </w:r>
      <w:r w:rsidRPr="00070ADE">
        <w:rPr>
          <w:rStyle w:val="723"/>
          <w:rFonts w:ascii="Times New Roman" w:hAnsi="Times New Roman" w:cs="Times New Roman"/>
          <w:color w:val="000000" w:themeColor="text1"/>
          <w:sz w:val="16"/>
          <w:szCs w:val="16"/>
        </w:rPr>
        <w:softHyphen/>
        <w:t>ченным шагом, а на корпусах завода № 200 появилось дополнительное кольцо и замок на крыше моторного люка. Хватало и внут</w:t>
      </w:r>
      <w:r w:rsidRPr="00070ADE">
        <w:rPr>
          <w:rStyle w:val="723"/>
          <w:rFonts w:ascii="Times New Roman" w:hAnsi="Times New Roman" w:cs="Times New Roman"/>
          <w:color w:val="000000" w:themeColor="text1"/>
          <w:sz w:val="16"/>
          <w:szCs w:val="16"/>
        </w:rPr>
        <w:softHyphen/>
        <w:t>ренних изменений, всего за июнь внедрили 8 пунктов улучшений и изменений. Пробовали в июне 1944 года собирать гусеничные ленты из литых траков из стали 27 СТГ (19874).</w:t>
      </w:r>
    </w:p>
    <w:p w14:paraId="4F4A6E1F" w14:textId="77777777" w:rsidR="009E614A" w:rsidRPr="00070ADE" w:rsidRDefault="009E614A" w:rsidP="00B56F90">
      <w:pPr>
        <w:shd w:val="clear" w:color="auto" w:fill="FFFFFF"/>
        <w:spacing w:after="0" w:line="240" w:lineRule="auto"/>
        <w:jc w:val="both"/>
        <w:rPr>
          <w:rFonts w:ascii="Times New Roman" w:hAnsi="Times New Roman"/>
          <w:color w:val="000000" w:themeColor="text1"/>
          <w:sz w:val="16"/>
          <w:szCs w:val="16"/>
        </w:rPr>
      </w:pPr>
    </w:p>
    <w:p w14:paraId="46C4D5F3"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согласно приказу по Народному комиссариату танковой промышленности (НКТП) №244с, завод №200 изготовил четыре спрямлённых носовых детали и четыре изменённых подбашенных коробки. УЗТМ приступил к изготовлению новых корпусов в мае. Судя по переписке ЧКЗ, уже в июле были сданы первые ИС-2 со спрямлённой носовой частью и переделанной подбашенной коробкой.</w:t>
      </w:r>
    </w:p>
    <w:p w14:paraId="0850A678"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поступившие с УЗТМ корпуса имелись жалобы. 100% этих корпусов имели дефекты по посадочным диаметрам под смотровые приборы MK-IV и по упорам нижней подвески. Заводу пришлось переделывать корпуса, что, разумеется, сказалось на темпах выпуска. Также в июле впервые поступили жалобы на ухудшившуюся обзорность с места механика-водителя.</w:t>
      </w:r>
    </w:p>
    <w:p w14:paraId="190EFF3F"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Изменение формы носовой детали корпуса никак не отразилось на названии машины. Часто применяющееся обозначение ИС-2 обр.1944 года является послевоенным изобретением. Никакого отношения к реальности не имеет и индекс ИС-2М, который появился в самом конце 50-х годов и использовался в отношении другой техники.</w:t>
      </w:r>
    </w:p>
    <w:p w14:paraId="6F62C975"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переписке ЧКЗ вообще не разделяет машины с разными типами носовых деталей. Лишь изредка упоминаются «ИС-2 со спрямлённым носом». Стоит отметить, что даже в августе 1944 года часть танков получала корпуса старой конструкции. Полностью на спрямлённую носовую деталь производители перешли только с 1 сентября, причём большая часть машин комплектовалась корпусами завода №200.</w:t>
      </w:r>
    </w:p>
    <w:p w14:paraId="3BD788D6" w14:textId="77777777" w:rsidR="00B216D6" w:rsidRPr="00070ADE" w:rsidRDefault="00B216D6" w:rsidP="00B56F90">
      <w:pPr>
        <w:spacing w:after="0" w:line="240" w:lineRule="auto"/>
        <w:jc w:val="both"/>
        <w:rPr>
          <w:rFonts w:ascii="Times New Roman" w:hAnsi="Times New Roman"/>
          <w:color w:val="000000" w:themeColor="text1"/>
          <w:sz w:val="16"/>
          <w:szCs w:val="16"/>
        </w:rPr>
      </w:pPr>
    </w:p>
    <w:p w14:paraId="56A952FB" w14:textId="77777777" w:rsidR="008B795B" w:rsidRPr="00070ADE" w:rsidRDefault="008B795B"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июне 1944 на ЧКЗ сложилась сложная ситуация: задание на выпуск 200 ИС-2, 130 ИСУ-152 и 120 ИСУ-122 завод выполнил только к 10 июля. На сей раз выявились проблемы с оптикой и артиллерийским вооружением. По словам директора завода, недостаток рабочей силы на ЧКЗ в это время составлял примерно 5 тысяч человек. Впрочем, военные представители отмечали позитивные тенденции. Завод выпускал продукцию с меньшими перерывами. В июне в конструкцию танка также удалось внести ряд изменений. Наиболее заметным из них стали новые поручни. Запасные траки «переехали» с кормы на лобовую деталь корпуса. Примерно в это же время кормовые фонари были перенесены на бортовые листы корпуса. Где-то в июле 1944 года в серию пошла орудийная установка с более широкой подвижной бронировкой (17721).</w:t>
      </w:r>
    </w:p>
    <w:p w14:paraId="38E14DD6" w14:textId="77777777" w:rsidR="008B795B" w:rsidRPr="00070ADE" w:rsidRDefault="008B795B" w:rsidP="00B56F90">
      <w:pPr>
        <w:spacing w:after="0" w:line="240" w:lineRule="auto"/>
        <w:jc w:val="both"/>
        <w:rPr>
          <w:rFonts w:ascii="Times New Roman" w:eastAsia="Times New Roman" w:hAnsi="Times New Roman"/>
          <w:color w:val="000000" w:themeColor="text1"/>
          <w:sz w:val="16"/>
          <w:szCs w:val="16"/>
          <w:lang w:eastAsia="ru-RU"/>
        </w:rPr>
      </w:pPr>
    </w:p>
    <w:p w14:paraId="3673DEBD" w14:textId="77777777" w:rsidR="008B795B" w:rsidRPr="00070ADE" w:rsidRDefault="008B795B" w:rsidP="00B56F90">
      <w:pPr>
        <w:pStyle w:val="ae"/>
        <w:shd w:val="clear" w:color="auto" w:fill="FFFFFF"/>
        <w:spacing w:before="0" w:after="0"/>
        <w:jc w:val="both"/>
        <w:rPr>
          <w:color w:val="000000" w:themeColor="text1"/>
          <w:sz w:val="16"/>
          <w:szCs w:val="16"/>
        </w:rPr>
      </w:pPr>
      <w:r w:rsidRPr="00070ADE">
        <w:rPr>
          <w:color w:val="000000" w:themeColor="text1"/>
          <w:sz w:val="16"/>
          <w:szCs w:val="16"/>
        </w:rPr>
        <w:t>С июня 1944 года УЗТМ выходил на выпуск 50 комплектов корпусов и башен для ИС и самоходок на его базе. На заводе №200 в этом же месяце прекращалась практика выпуска корпусов без башен, а на УЗТМ — выпуска башен без корпусов. С июля на заводе №200 планировалось ежемесячно выпускать по 200 комплектов корпусов и башен для ИС-2. При этом с завода снимались задачи по обеспечению корпусного производства ИСУ.</w:t>
      </w:r>
    </w:p>
    <w:p w14:paraId="1634C3E4" w14:textId="77777777" w:rsidR="008B795B" w:rsidRPr="00070ADE" w:rsidRDefault="008B795B" w:rsidP="00B56F90">
      <w:pPr>
        <w:pStyle w:val="ae"/>
        <w:shd w:val="clear" w:color="auto" w:fill="FFFFFF"/>
        <w:spacing w:before="0" w:after="0"/>
        <w:jc w:val="both"/>
        <w:rPr>
          <w:color w:val="000000" w:themeColor="text1"/>
          <w:sz w:val="16"/>
          <w:szCs w:val="16"/>
        </w:rPr>
      </w:pPr>
      <w:r w:rsidRPr="00070ADE">
        <w:rPr>
          <w:color w:val="000000" w:themeColor="text1"/>
          <w:sz w:val="16"/>
          <w:szCs w:val="16"/>
        </w:rPr>
        <w:t>Корпусное производство для ИС-2 велось не только на УЗТМ и заводе №200. Например, командирские башенки с января 1944 года отливались на заводе №178.</w:t>
      </w:r>
    </w:p>
    <w:p w14:paraId="014BC365" w14:textId="77777777" w:rsidR="008B795B" w:rsidRPr="00070ADE" w:rsidRDefault="008B795B"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Велись работы и по улучшению защиты тяжёлого танка. На заводе №200 они начались с 20 февраля. В марте 1944 года 78 из 116 корпусов и 62 из 82 башен, выпущенных заводом №200, имели лобовые детали из брони высокой твёрдости 70Л. Тогда же на заводе №178 стали отливать командирские башенки из стали 70Л. Броня высокой твёрдости появилась и на изделиях УЗТМ (17721).</w:t>
      </w:r>
    </w:p>
    <w:p w14:paraId="5293AAB2" w14:textId="77777777" w:rsidR="008B795B" w:rsidRPr="00070ADE" w:rsidRDefault="008B795B" w:rsidP="00B56F90">
      <w:pPr>
        <w:pStyle w:val="123"/>
        <w:shd w:val="clear" w:color="auto" w:fill="auto"/>
        <w:spacing w:after="0" w:line="240" w:lineRule="auto"/>
        <w:jc w:val="both"/>
        <w:rPr>
          <w:color w:val="000000" w:themeColor="text1"/>
          <w:sz w:val="16"/>
          <w:szCs w:val="16"/>
        </w:rPr>
      </w:pPr>
    </w:p>
    <w:p w14:paraId="060840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КБ завода № 100 предоста</w:t>
      </w:r>
      <w:r w:rsidRPr="00070ADE">
        <w:rPr>
          <w:rFonts w:ascii="Times New Roman" w:hAnsi="Times New Roman"/>
          <w:color w:val="000000" w:themeColor="text1"/>
          <w:sz w:val="16"/>
          <w:szCs w:val="16"/>
        </w:rPr>
        <w:softHyphen/>
        <w:t>вило в ТУ ГБТУ генерал-майору С. Афонину эскизный проект тяжелого танка ИС-6, несущего электромеханичес</w:t>
      </w:r>
      <w:r w:rsidRPr="00070ADE">
        <w:rPr>
          <w:rFonts w:ascii="Times New Roman" w:hAnsi="Times New Roman"/>
          <w:color w:val="000000" w:themeColor="text1"/>
          <w:sz w:val="16"/>
          <w:szCs w:val="16"/>
        </w:rPr>
        <w:softHyphen/>
        <w:t>кую трансмиссию “типа Фердинанда”.</w:t>
      </w:r>
    </w:p>
    <w:p w14:paraId="05A1A7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Анализ данных эскизного проекта позволил комиссии техуправления ГБТУ сделать заключение, что танк по своим показателям не имеет значительных преимуществ перед танком «Объект 701», но превосходит ИС-122. Первоначаль</w:t>
      </w:r>
      <w:r w:rsidRPr="00070ADE">
        <w:rPr>
          <w:rFonts w:ascii="Times New Roman" w:hAnsi="Times New Roman"/>
          <w:color w:val="000000" w:themeColor="text1"/>
          <w:sz w:val="16"/>
          <w:szCs w:val="16"/>
        </w:rPr>
        <w:softHyphen/>
        <w:t>но предполагалось использовать лишь некоторые удачные решения танка ИС-6 в ходе модернизации ИС-122 (ИС-2). Но по какой-то причине вскоре после этого принимается решение на изготовление двух опытных образцов с механи</w:t>
      </w:r>
      <w:r w:rsidRPr="00070ADE">
        <w:rPr>
          <w:rFonts w:ascii="Times New Roman" w:hAnsi="Times New Roman"/>
          <w:color w:val="000000" w:themeColor="text1"/>
          <w:sz w:val="16"/>
          <w:szCs w:val="16"/>
        </w:rPr>
        <w:softHyphen/>
        <w:t>ческой трансмиссией, «Объект 252», и электромеханической трансмиссией типа «Фердинанд», «Объект 253» (11153).</w:t>
      </w:r>
    </w:p>
    <w:p w14:paraId="25ABAA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CA81E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доработанная и изготовленная заводом № 4 пушка Д-10Т на заводе № 100 была вновь установлена в танке "Объект 245" и повторно подвергну полигонным испытаниям. Кроме того, в боевом отделении танка бы установлен вентилятор более высокой производительности и измене: наклон хомутиковой укладки выстрелов (10703).</w:t>
      </w:r>
    </w:p>
    <w:p w14:paraId="04E628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BCD3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с опозданием из-за отсутствия готовой башни, был из</w:t>
      </w:r>
      <w:r w:rsidRPr="00070ADE">
        <w:rPr>
          <w:rFonts w:ascii="Times New Roman" w:hAnsi="Times New Roman"/>
          <w:color w:val="000000" w:themeColor="text1"/>
          <w:sz w:val="16"/>
          <w:szCs w:val="16"/>
        </w:rPr>
        <w:softHyphen/>
        <w:t>готовлен опытный тяже</w:t>
      </w:r>
      <w:r w:rsidRPr="00070ADE">
        <w:rPr>
          <w:rFonts w:ascii="Times New Roman" w:hAnsi="Times New Roman"/>
          <w:color w:val="000000" w:themeColor="text1"/>
          <w:sz w:val="16"/>
          <w:szCs w:val="16"/>
        </w:rPr>
        <w:softHyphen/>
        <w:t xml:space="preserve">лый танк ИС-5 ("Объект 248") и к концу месяца он прошел лишь заводские испытания пробегом и отстрелом на Миасском полигоне. Танк "Объект 248" был создан на базе опытного тяжелого танка "Объект 237" № 1. В связи с установкой новой пушки и башни была изменена компоновка боевого отделения. Командир и наводчик располагались справа, а заряжающий - слева от пушки. Люк и </w:t>
      </w:r>
      <w:r w:rsidRPr="00070ADE">
        <w:rPr>
          <w:rFonts w:ascii="Times New Roman" w:hAnsi="Times New Roman"/>
          <w:color w:val="000000" w:themeColor="text1"/>
          <w:sz w:val="16"/>
          <w:szCs w:val="16"/>
        </w:rPr>
        <w:lastRenderedPageBreak/>
        <w:t>командирская башенка имели, по отношению к серийной башне танка ИС-1, зеркальное распо</w:t>
      </w:r>
      <w:r w:rsidRPr="00070ADE">
        <w:rPr>
          <w:rFonts w:ascii="Times New Roman" w:hAnsi="Times New Roman"/>
          <w:color w:val="000000" w:themeColor="text1"/>
          <w:sz w:val="16"/>
          <w:szCs w:val="16"/>
        </w:rPr>
        <w:softHyphen/>
        <w:t>ложение. Кроме того, отсутствовала установка тыльного пулемета. После проведения заводских испытаний машина была рекомендова</w:t>
      </w:r>
      <w:r w:rsidRPr="00070ADE">
        <w:rPr>
          <w:rFonts w:ascii="Times New Roman" w:hAnsi="Times New Roman"/>
          <w:color w:val="000000" w:themeColor="text1"/>
          <w:sz w:val="16"/>
          <w:szCs w:val="16"/>
        </w:rPr>
        <w:softHyphen/>
        <w:t>на на полигонные испытания. Однако ни "Объект 245", ни "Объект 248", оснащенные 100-мм пуш</w:t>
      </w:r>
      <w:r w:rsidRPr="00070ADE">
        <w:rPr>
          <w:rFonts w:ascii="Times New Roman" w:hAnsi="Times New Roman"/>
          <w:color w:val="000000" w:themeColor="text1"/>
          <w:sz w:val="16"/>
          <w:szCs w:val="16"/>
        </w:rPr>
        <w:softHyphen/>
        <w:t>ками, не были приняты на вооружение вследствие того, что на дальнос</w:t>
      </w:r>
      <w:r w:rsidRPr="00070ADE">
        <w:rPr>
          <w:rFonts w:ascii="Times New Roman" w:hAnsi="Times New Roman"/>
          <w:color w:val="000000" w:themeColor="text1"/>
          <w:sz w:val="16"/>
          <w:szCs w:val="16"/>
        </w:rPr>
        <w:softHyphen/>
        <w:t>тях свыше 1000 м из-за меньшей массы бронебойных снарядов их бро-непробиваемость оказалась меньше, чем у 122-мм бронебойных снаря</w:t>
      </w:r>
      <w:r w:rsidRPr="00070ADE">
        <w:rPr>
          <w:rFonts w:ascii="Times New Roman" w:hAnsi="Times New Roman"/>
          <w:color w:val="000000" w:themeColor="text1"/>
          <w:sz w:val="16"/>
          <w:szCs w:val="16"/>
        </w:rPr>
        <w:softHyphen/>
        <w:t>дов пушки Д-25. С середины апреля 1944 г. на основании "Тактико-технических тре</w:t>
      </w:r>
      <w:r w:rsidRPr="00070ADE">
        <w:rPr>
          <w:rFonts w:ascii="Times New Roman" w:hAnsi="Times New Roman"/>
          <w:color w:val="000000" w:themeColor="text1"/>
          <w:sz w:val="16"/>
          <w:szCs w:val="16"/>
        </w:rPr>
        <w:softHyphen/>
        <w:t>бований на проектирование тяжелого танка", разработанных ТУ ГБТУ, в КБ завода № 100 велась работа по проектированию опытных тяжелых танков с электромеханической и механической трансмиссиями (10703).</w:t>
      </w:r>
    </w:p>
    <w:p w14:paraId="431659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672C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июне 1944 года первый опытный образец пушки БЛ-9, изготовленной на заводе № 172, установили на ИСУ-122-1. Эту машину представили на полигонные испытания 7 июля 1944 года. Предварительных испытаний в Гороховце в августе 1944 года установка не выдержала из-за низкой живучести ствола. Новый ствол был изготовлен к началу февраля 1945 года, и после его монтажа самоходка вновь поступила на испытания, состоявшиеся в мае 1945 года. На последних при стрельбе произошел разрыв ствола из-за дефектов металла. После этого дальнейшие работы по ИСУ-122-1 прекратили. </w:t>
      </w:r>
    </w:p>
    <w:p w14:paraId="502D683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Самоходная установка ИСУ-152-1 (ИСУ-152БМ) была создана в апреле 1944 года в КБ завода № 100, по инициативе ОКБ-172, предложившего разместить в установке СУ-152 разработанную у них 152-мм пушку БЛ-7, имевшую баллистику пушки Бр-2. Модификация пушки для монтажа в САУ получила индекс БЛ-8 (ОБМ-43). Она имела поршневой затвор, дульный тормоз оригинальной конструкции и систему продувки канала ствола сжатым воздухом из баллонов. Углы вертикального наведения составляли от -3°10'до+17°45', горизонтального — в секторе 8°30' (вправо — 6°30', влево — 2°). Высота линии огня — 1655 мм. При стрельбе использовались телескопический прицел СТ-10 и панорама Герца. Дальность стрельбы равнялась 18 500 м. Приводы наведения остались неизменными, по сравнению с установкой ИСУ-122. Боекомплект включал 21 выстрел раздельно-гильзового заряжания. Начальная скорость бронебойного снаряда достигала 850 м/с. В связи с монтажом новой пушки конструкцию броневой маски орудия несколько изменили. </w:t>
      </w:r>
    </w:p>
    <w:p w14:paraId="790400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При проведении испытаний пушки БЛ-8 были выявлены «неудовлетворительные показатели по действию снарядов», ненадежность работы дульного тормоза и поршневого затвора, а также плохие условия работы расчета. Большой вылет ствола (общая длина установки составляла 12,05 м) ограничивал маневренность машины. По результатам испытаний БЛ-8 заменили пушкой БЛ-10 с клиновым полуавтоматическим затвором. </w:t>
      </w:r>
    </w:p>
    <w:p w14:paraId="298DD4D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декабре 1944 года самоходная установка ИСУ-152-2 с пушкой БЛ-10 проходила испытания на Ленинградском АНИОПе. Она их не выдержала из-за неудовлетворительной живучести ствола пушки и малого угла горизонтального наведения. Пушку отправили на доработку на завод № 172, однако до окончания войны ее доводка не была завершена (11638).</w:t>
      </w:r>
    </w:p>
    <w:p w14:paraId="412AD74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392A2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установка ИСУ-122С прошла ходовые и артиллерийские испытания на Гороховецком АНИОПе. На вооружение была принята 22 августа 1944 г. Серийное производство началось в ав</w:t>
      </w:r>
      <w:r w:rsidRPr="00070ADE">
        <w:rPr>
          <w:rFonts w:ascii="Times New Roman" w:hAnsi="Times New Roman"/>
          <w:color w:val="000000" w:themeColor="text1"/>
          <w:sz w:val="16"/>
          <w:szCs w:val="16"/>
        </w:rPr>
        <w:softHyphen/>
        <w:t>густе 1944 г. на ЧКЗ. С августа 1944 г. до сентября 1945 г. был организо</w:t>
      </w:r>
      <w:r w:rsidRPr="00070ADE">
        <w:rPr>
          <w:rFonts w:ascii="Times New Roman" w:hAnsi="Times New Roman"/>
          <w:color w:val="000000" w:themeColor="text1"/>
          <w:sz w:val="16"/>
          <w:szCs w:val="16"/>
        </w:rPr>
        <w:softHyphen/>
        <w:t>ван параллельный выпуск ИСУ-122 с пушкой А-19 и модернизирован</w:t>
      </w:r>
      <w:r w:rsidRPr="00070ADE">
        <w:rPr>
          <w:rFonts w:ascii="Times New Roman" w:hAnsi="Times New Roman"/>
          <w:color w:val="000000" w:themeColor="text1"/>
          <w:sz w:val="16"/>
          <w:szCs w:val="16"/>
        </w:rPr>
        <w:softHyphen/>
        <w:t>ной ИСУ-122С с пушкой Д-25С, так как производство ИСУ-122С не было полностью обеспечено поставкой 122-мм пушек Д-25С. До 1 июня 1945 г. было выпущено 475 самоходных установок ИСУ-122С, которые использовались в боях в завершающем периоде Великой Отечествен</w:t>
      </w:r>
      <w:r w:rsidRPr="00070ADE">
        <w:rPr>
          <w:rFonts w:ascii="Times New Roman" w:hAnsi="Times New Roman"/>
          <w:color w:val="000000" w:themeColor="text1"/>
          <w:sz w:val="16"/>
          <w:szCs w:val="16"/>
        </w:rPr>
        <w:softHyphen/>
        <w:t>ной войны. Всего за время серийного производства было изготовлено 675 машин (10703).</w:t>
      </w:r>
    </w:p>
    <w:p w14:paraId="4B78A5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69CFD0"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как и предполагалось, было сдано 120 машин ИСУ-122, правда, имелись проблемы уже не с орудиями, а с прицелами СТ-18. Это был тот же прицел СТ-10, который ставился на ИСУ-152, но со шкалой под А-19. По состоянию на 25 июня 1944 года завод располагал 80 системами А-19, но при этом СТ-18 имелось 62 штуки. В результате в цеху СБ-3 образовалась небольшая «пробка» из ИСУ-122 и ИС-2, для танков ситуация с прицелами оказалась ещё более проблемной. Следует также отметить, что нововведения по конструкции САУ вводились одновременно с ИСУ-152. Например, с июня 1944 года запасные траки перенесли на лобовую часть корпуса.</w:t>
      </w:r>
    </w:p>
    <w:p w14:paraId="6C5646C9"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июле ситуация с орудиями повторилась: вместо 175 ИСУ-122 сдали 140, а выпуск ИСУ-152 увеличили до 135. Стало очевидно, что при таких объёмах выпуска получить необходимое количество А-19 будет крайне затруднительно. Даже с учётом того, что ИСУ-122 получила большой приоритет, пушек и прицелов к ним не хватало. В результате с августа 1944 года на ЧКЗ производились уже три самоходки на одинаковом шасси, но с тремя разными артсистемами (18335).</w:t>
      </w:r>
    </w:p>
    <w:p w14:paraId="44E68056" w14:textId="77777777" w:rsidR="00B216D6" w:rsidRPr="00070ADE" w:rsidRDefault="00B216D6" w:rsidP="00B56F90">
      <w:pPr>
        <w:spacing w:after="0" w:line="240" w:lineRule="auto"/>
        <w:jc w:val="both"/>
        <w:rPr>
          <w:rFonts w:ascii="Times New Roman" w:hAnsi="Times New Roman"/>
          <w:color w:val="000000" w:themeColor="text1"/>
          <w:sz w:val="16"/>
          <w:szCs w:val="16"/>
        </w:rPr>
      </w:pPr>
    </w:p>
    <w:p w14:paraId="59D62B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в ОГК НКТП состоялось обсуждение проектов перспективных танков и САУ. И здесь произошло, на первый взгляд, невероятное. Начальник ОГК НКТП И.Бер приостановил дальнейшие работы над ЭСУ-100, мо</w:t>
      </w:r>
      <w:r w:rsidRPr="00070ADE">
        <w:rPr>
          <w:rFonts w:ascii="Times New Roman" w:hAnsi="Times New Roman"/>
          <w:color w:val="000000" w:themeColor="text1"/>
          <w:sz w:val="16"/>
          <w:szCs w:val="16"/>
        </w:rPr>
        <w:softHyphen/>
        <w:t>тивируя это тем, что разрабатываемая САУ не подходит под утвержденные требования танкосамохода прорыва и не име</w:t>
      </w:r>
      <w:r w:rsidRPr="00070ADE">
        <w:rPr>
          <w:rFonts w:ascii="Times New Roman" w:hAnsi="Times New Roman"/>
          <w:color w:val="000000" w:themeColor="text1"/>
          <w:sz w:val="16"/>
          <w:szCs w:val="16"/>
        </w:rPr>
        <w:softHyphen/>
        <w:t>ет никаких преимуществ перед уже имеющейся СУ-100. В то же время разработанная для САУ схема электротрансмиссии была высоко оценена и рекомендовалась для принятия «за основу» в проектировании танка прорыва (эта схема элект</w:t>
      </w:r>
      <w:r w:rsidRPr="00070ADE">
        <w:rPr>
          <w:rFonts w:ascii="Times New Roman" w:hAnsi="Times New Roman"/>
          <w:color w:val="000000" w:themeColor="text1"/>
          <w:sz w:val="16"/>
          <w:szCs w:val="16"/>
        </w:rPr>
        <w:softHyphen/>
        <w:t>ротрансмиссии была реализована Уралмашзаводом для тан</w:t>
      </w:r>
      <w:r w:rsidRPr="00070ADE">
        <w:rPr>
          <w:rFonts w:ascii="Times New Roman" w:hAnsi="Times New Roman"/>
          <w:color w:val="000000" w:themeColor="text1"/>
          <w:sz w:val="16"/>
          <w:szCs w:val="16"/>
        </w:rPr>
        <w:softHyphen/>
        <w:t>ка ИС-6, но в серию не пошла). Несмотря на прекращение работ над ЭСУ-100, Л.И. Горлицкий верил в перспективность компоновки с задним рас</w:t>
      </w:r>
      <w:r w:rsidRPr="00070ADE">
        <w:rPr>
          <w:rFonts w:ascii="Times New Roman" w:hAnsi="Times New Roman"/>
          <w:color w:val="000000" w:themeColor="text1"/>
          <w:sz w:val="16"/>
          <w:szCs w:val="16"/>
        </w:rPr>
        <w:softHyphen/>
        <w:t>положением боевого отделения и добился у наркома разре</w:t>
      </w:r>
      <w:r w:rsidRPr="00070ADE">
        <w:rPr>
          <w:rFonts w:ascii="Times New Roman" w:hAnsi="Times New Roman"/>
          <w:color w:val="000000" w:themeColor="text1"/>
          <w:sz w:val="16"/>
          <w:szCs w:val="16"/>
        </w:rPr>
        <w:softHyphen/>
        <w:t>шения о продолжении работ по данной САУ, но с механиче</w:t>
      </w:r>
      <w:r w:rsidRPr="00070ADE">
        <w:rPr>
          <w:rFonts w:ascii="Times New Roman" w:hAnsi="Times New Roman"/>
          <w:color w:val="000000" w:themeColor="text1"/>
          <w:sz w:val="16"/>
          <w:szCs w:val="16"/>
        </w:rPr>
        <w:softHyphen/>
        <w:t>ской трансмиссией. Машина получила индекс СУ-100-М. Неожиданно «толкачом» в продвижении этого проекта вы</w:t>
      </w:r>
      <w:r w:rsidRPr="00070ADE">
        <w:rPr>
          <w:rFonts w:ascii="Times New Roman" w:hAnsi="Times New Roman"/>
          <w:color w:val="000000" w:themeColor="text1"/>
          <w:sz w:val="16"/>
          <w:szCs w:val="16"/>
        </w:rPr>
        <w:softHyphen/>
        <w:t>ступил И.В. Сталин. Как вспоминал Л.И. Горлицкий, в октябре 1944 г., слушая доклад о состоянии работ по танку Т-44, вождь вдруг спросил В.А. Малышева, готовится ли какая-ни</w:t>
      </w:r>
      <w:r w:rsidRPr="00070ADE">
        <w:rPr>
          <w:rFonts w:ascii="Times New Roman" w:hAnsi="Times New Roman"/>
          <w:color w:val="000000" w:themeColor="text1"/>
          <w:sz w:val="16"/>
          <w:szCs w:val="16"/>
        </w:rPr>
        <w:softHyphen/>
        <w:t>будь самоходка на шасси нового танка? Малышев быстро от</w:t>
      </w:r>
      <w:r w:rsidRPr="00070ADE">
        <w:rPr>
          <w:rFonts w:ascii="Times New Roman" w:hAnsi="Times New Roman"/>
          <w:color w:val="000000" w:themeColor="text1"/>
          <w:sz w:val="16"/>
          <w:szCs w:val="16"/>
        </w:rPr>
        <w:softHyphen/>
        <w:t>ветил, что на Уралмашзаводе ведутся проектные работы над перспективной 100-мм САУ с улучшенной бронезащитой и компоновкой по типу «фердинанда», где используется МТО от Т-44. «Хорошо! — ответил Сталин.— Сделайте побыстрее и поставьте на нее 122-мм пушку!» Трудно сказать, так ли было на самом деле, но автор верит словам Льва Израилевича, так как они неплохо стыкуются с тогдашними событиями (11417).</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02"/>
        <w:gridCol w:w="2054"/>
        <w:gridCol w:w="1008"/>
        <w:gridCol w:w="749"/>
      </w:tblGrid>
      <w:tr w:rsidR="004D4663" w:rsidRPr="00070ADE" w14:paraId="5D7451A2" w14:textId="77777777">
        <w:trPr>
          <w:trHeight w:val="182"/>
        </w:trPr>
        <w:tc>
          <w:tcPr>
            <w:tcW w:w="1402" w:type="dxa"/>
            <w:tcBorders>
              <w:top w:val="single" w:sz="12" w:space="0" w:color="auto"/>
            </w:tcBorders>
          </w:tcPr>
          <w:p w14:paraId="08573E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FE0CB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Borders>
              <w:top w:val="single" w:sz="12" w:space="0" w:color="auto"/>
            </w:tcBorders>
          </w:tcPr>
          <w:p w14:paraId="4E3B25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85-мм 122-мм</w:t>
            </w:r>
          </w:p>
          <w:p w14:paraId="4E2C72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12" w:space="0" w:color="auto"/>
            </w:tcBorders>
          </w:tcPr>
          <w:p w14:paraId="1A274B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130-мм</w:t>
            </w:r>
          </w:p>
          <w:p w14:paraId="707AEB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12" w:space="0" w:color="auto"/>
            </w:tcBorders>
          </w:tcPr>
          <w:p w14:paraId="36A7F4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152-мм</w:t>
            </w:r>
          </w:p>
          <w:p w14:paraId="646DA5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C81E8AB" w14:textId="77777777">
        <w:trPr>
          <w:trHeight w:val="192"/>
        </w:trPr>
        <w:tc>
          <w:tcPr>
            <w:tcW w:w="1402" w:type="dxa"/>
          </w:tcPr>
          <w:p w14:paraId="526C9E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ТТХ / Марка САУ</w:t>
            </w:r>
          </w:p>
          <w:p w14:paraId="2BF734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45B0A6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СУ-85Б(ЦАКБ)ИСУ-122-1</w:t>
            </w:r>
          </w:p>
          <w:p w14:paraId="24DD944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638D99A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ИСУ-130</w:t>
            </w:r>
          </w:p>
          <w:p w14:paraId="4A4C17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42D503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СУ- 152-2</w:t>
            </w:r>
          </w:p>
          <w:p w14:paraId="396AAD2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7BACEFE" w14:textId="77777777">
        <w:trPr>
          <w:trHeight w:val="173"/>
        </w:trPr>
        <w:tc>
          <w:tcPr>
            <w:tcW w:w="1402" w:type="dxa"/>
          </w:tcPr>
          <w:p w14:paraId="2EC7BBB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Боевая масса, кг</w:t>
            </w:r>
          </w:p>
          <w:p w14:paraId="3F7A36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4E9420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30850 46500</w:t>
            </w:r>
          </w:p>
          <w:p w14:paraId="23A0349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540DCE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47100</w:t>
            </w:r>
          </w:p>
          <w:p w14:paraId="30C77C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0008C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47000</w:t>
            </w:r>
          </w:p>
          <w:p w14:paraId="6018EF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FBFEEE0" w14:textId="77777777">
        <w:trPr>
          <w:trHeight w:val="192"/>
        </w:trPr>
        <w:tc>
          <w:tcPr>
            <w:tcW w:w="1402" w:type="dxa"/>
          </w:tcPr>
          <w:p w14:paraId="14A3AE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чел.</w:t>
            </w:r>
          </w:p>
          <w:p w14:paraId="665EE9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6221F0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4 5</w:t>
            </w:r>
          </w:p>
          <w:p w14:paraId="4B1EC3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7646C02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1347A5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E99F6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w:t>
            </w:r>
          </w:p>
          <w:p w14:paraId="338852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E1B86A0" w14:textId="77777777">
        <w:trPr>
          <w:trHeight w:val="182"/>
        </w:trPr>
        <w:tc>
          <w:tcPr>
            <w:tcW w:w="5213" w:type="dxa"/>
            <w:gridSpan w:val="4"/>
          </w:tcPr>
          <w:p w14:paraId="513BC5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Размерения. мм</w:t>
            </w:r>
          </w:p>
          <w:p w14:paraId="7D115C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EA43831" w14:textId="77777777">
        <w:trPr>
          <w:trHeight w:val="192"/>
        </w:trPr>
        <w:tc>
          <w:tcPr>
            <w:tcW w:w="1402" w:type="dxa"/>
          </w:tcPr>
          <w:p w14:paraId="21085E9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общая</w:t>
            </w:r>
          </w:p>
          <w:p w14:paraId="5921EF7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05EBB6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9290 11150</w:t>
            </w:r>
          </w:p>
          <w:p w14:paraId="3EC1DDB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2E63B4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11165</w:t>
            </w:r>
          </w:p>
          <w:p w14:paraId="42044E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A51207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11670</w:t>
            </w:r>
          </w:p>
          <w:p w14:paraId="55573B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8AEDDE6" w14:textId="77777777">
        <w:trPr>
          <w:trHeight w:val="182"/>
        </w:trPr>
        <w:tc>
          <w:tcPr>
            <w:tcW w:w="1402" w:type="dxa"/>
          </w:tcPr>
          <w:p w14:paraId="4D0C71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Ширина</w:t>
            </w:r>
          </w:p>
          <w:p w14:paraId="7179F3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6E7593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3000 3070</w:t>
            </w:r>
          </w:p>
          <w:p w14:paraId="2FA0BB8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4446F9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3070</w:t>
            </w:r>
          </w:p>
          <w:p w14:paraId="71E5D8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9AA32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3070</w:t>
            </w:r>
          </w:p>
          <w:p w14:paraId="315443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2039921" w14:textId="77777777">
        <w:trPr>
          <w:trHeight w:val="192"/>
        </w:trPr>
        <w:tc>
          <w:tcPr>
            <w:tcW w:w="1402" w:type="dxa"/>
          </w:tcPr>
          <w:p w14:paraId="378363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w:t>
            </w:r>
          </w:p>
          <w:p w14:paraId="469A44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274336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2300 2280</w:t>
            </w:r>
          </w:p>
          <w:p w14:paraId="589913F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039F89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2280</w:t>
            </w:r>
          </w:p>
          <w:p w14:paraId="1A6BCC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495BB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2280</w:t>
            </w:r>
          </w:p>
          <w:p w14:paraId="6F4D42A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7179BF9" w14:textId="77777777">
        <w:trPr>
          <w:trHeight w:val="192"/>
        </w:trPr>
        <w:tc>
          <w:tcPr>
            <w:tcW w:w="1402" w:type="dxa"/>
          </w:tcPr>
          <w:p w14:paraId="5F1635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Клиренс</w:t>
            </w:r>
          </w:p>
          <w:p w14:paraId="722140A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00BA94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340 480</w:t>
            </w:r>
          </w:p>
          <w:p w14:paraId="10EE040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161E6D2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470</w:t>
            </w:r>
          </w:p>
          <w:p w14:paraId="284E04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410E7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480</w:t>
            </w:r>
          </w:p>
          <w:p w14:paraId="277BE5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C5E3246" w14:textId="77777777">
        <w:trPr>
          <w:trHeight w:val="173"/>
        </w:trPr>
        <w:tc>
          <w:tcPr>
            <w:tcW w:w="5213" w:type="dxa"/>
            <w:gridSpan w:val="4"/>
          </w:tcPr>
          <w:p w14:paraId="3FC78E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w:t>
            </w:r>
          </w:p>
          <w:p w14:paraId="65BB45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C1B9825" w14:textId="77777777">
        <w:trPr>
          <w:trHeight w:val="202"/>
        </w:trPr>
        <w:tc>
          <w:tcPr>
            <w:tcW w:w="1402" w:type="dxa"/>
          </w:tcPr>
          <w:p w14:paraId="24BB94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Орудие, кал, мм</w:t>
            </w:r>
          </w:p>
          <w:p w14:paraId="4B2C85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0601CF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85-мм 121,9-мм</w:t>
            </w:r>
          </w:p>
          <w:p w14:paraId="0E864CD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513EC4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130-мм</w:t>
            </w:r>
          </w:p>
          <w:p w14:paraId="700AE7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D5C1E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152,4-мм</w:t>
            </w:r>
          </w:p>
          <w:p w14:paraId="02149E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76DA1FE" w14:textId="77777777">
        <w:trPr>
          <w:trHeight w:val="173"/>
        </w:trPr>
        <w:tc>
          <w:tcPr>
            <w:tcW w:w="1402" w:type="dxa"/>
          </w:tcPr>
          <w:p w14:paraId="79A8C69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w:t>
            </w:r>
          </w:p>
          <w:p w14:paraId="5AD694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751174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С-34-1В БЛ-9</w:t>
            </w:r>
          </w:p>
          <w:p w14:paraId="39AB73E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018B232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С-26</w:t>
            </w:r>
          </w:p>
          <w:p w14:paraId="51CFDFF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ECFCF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БЛ-10</w:t>
            </w:r>
          </w:p>
          <w:p w14:paraId="7568FAE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6C4FFBD" w14:textId="77777777">
        <w:trPr>
          <w:trHeight w:val="202"/>
        </w:trPr>
        <w:tc>
          <w:tcPr>
            <w:tcW w:w="1402" w:type="dxa"/>
          </w:tcPr>
          <w:p w14:paraId="23EC6A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ствола, клб</w:t>
            </w:r>
          </w:p>
          <w:p w14:paraId="3FC68F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3F68C66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65 59,4</w:t>
            </w:r>
          </w:p>
          <w:p w14:paraId="318FF0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7A198A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54,8</w:t>
            </w:r>
          </w:p>
          <w:p w14:paraId="40D3425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3A5B1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48,48</w:t>
            </w:r>
          </w:p>
          <w:p w14:paraId="069CC1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D42BD55" w14:textId="77777777">
        <w:trPr>
          <w:trHeight w:val="173"/>
        </w:trPr>
        <w:tc>
          <w:tcPr>
            <w:tcW w:w="1402" w:type="dxa"/>
          </w:tcPr>
          <w:p w14:paraId="0E93DD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скорость сн м/с</w:t>
            </w:r>
          </w:p>
          <w:p w14:paraId="59947B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305CD69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1040 1000</w:t>
            </w:r>
          </w:p>
          <w:p w14:paraId="74A0FDC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5F357B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p w14:paraId="21E25C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40627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910</w:t>
            </w:r>
          </w:p>
          <w:p w14:paraId="7B2DF5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1536082" w14:textId="77777777">
        <w:trPr>
          <w:trHeight w:val="192"/>
        </w:trPr>
        <w:tc>
          <w:tcPr>
            <w:tcW w:w="3456" w:type="dxa"/>
            <w:gridSpan w:val="2"/>
          </w:tcPr>
          <w:p w14:paraId="746638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Угол гориз. наведения 18° 12°</w:t>
            </w:r>
          </w:p>
          <w:p w14:paraId="1087D4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45EE0F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w:t>
            </w:r>
          </w:p>
          <w:p w14:paraId="58D2A5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42A0E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-2+6,5°</w:t>
            </w:r>
          </w:p>
          <w:p w14:paraId="7C8690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3B5DC78" w14:textId="77777777">
        <w:trPr>
          <w:trHeight w:val="182"/>
        </w:trPr>
        <w:tc>
          <w:tcPr>
            <w:tcW w:w="1402" w:type="dxa"/>
          </w:tcPr>
          <w:p w14:paraId="06AA29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Угол верх наведения</w:t>
            </w:r>
          </w:p>
          <w:p w14:paraId="48F6B3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3B5295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-3+26" -2+20°</w:t>
            </w:r>
          </w:p>
          <w:p w14:paraId="6A466C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2ABCDD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-2+14°</w:t>
            </w:r>
          </w:p>
          <w:p w14:paraId="2A8BC0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E6CEE3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-2+20-</w:t>
            </w:r>
          </w:p>
          <w:p w14:paraId="43FAB31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9B7AB32" w14:textId="77777777">
        <w:trPr>
          <w:trHeight w:val="192"/>
        </w:trPr>
        <w:tc>
          <w:tcPr>
            <w:tcW w:w="1402" w:type="dxa"/>
          </w:tcPr>
          <w:p w14:paraId="72D789E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Снарядов, шт.</w:t>
            </w:r>
          </w:p>
          <w:p w14:paraId="51D290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160ADF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36 21</w:t>
            </w:r>
          </w:p>
          <w:p w14:paraId="3A1E746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3D63E8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w:t>
            </w:r>
          </w:p>
          <w:p w14:paraId="3CE633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64AC1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p w14:paraId="5CDB076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11D84CF" w14:textId="77777777">
        <w:trPr>
          <w:trHeight w:val="182"/>
        </w:trPr>
        <w:tc>
          <w:tcPr>
            <w:tcW w:w="1402" w:type="dxa"/>
          </w:tcPr>
          <w:p w14:paraId="762F808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Пулеметов, шт. х кал</w:t>
            </w:r>
          </w:p>
          <w:p w14:paraId="176242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2FA241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EC5003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66A71F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34675E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C9A823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E81B5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4869101" w14:textId="77777777">
        <w:trPr>
          <w:trHeight w:val="192"/>
        </w:trPr>
        <w:tc>
          <w:tcPr>
            <w:tcW w:w="1402" w:type="dxa"/>
          </w:tcPr>
          <w:p w14:paraId="447CDC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Патронов, шт.</w:t>
            </w:r>
          </w:p>
          <w:p w14:paraId="052BC7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7B95FD9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442F94F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707226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663D441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769020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728006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9EEC28A" w14:textId="77777777">
        <w:trPr>
          <w:trHeight w:val="173"/>
        </w:trPr>
        <w:tc>
          <w:tcPr>
            <w:tcW w:w="5213" w:type="dxa"/>
            <w:gridSpan w:val="4"/>
          </w:tcPr>
          <w:p w14:paraId="29759CD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Толщина брони, мм</w:t>
            </w:r>
          </w:p>
          <w:p w14:paraId="200FD1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1D2415A" w14:textId="77777777">
        <w:trPr>
          <w:trHeight w:val="192"/>
        </w:trPr>
        <w:tc>
          <w:tcPr>
            <w:tcW w:w="1402" w:type="dxa"/>
          </w:tcPr>
          <w:p w14:paraId="77A9F16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Вертик. корпуса</w:t>
            </w:r>
          </w:p>
          <w:p w14:paraId="4D9F3B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70C2849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45 120-60</w:t>
            </w:r>
          </w:p>
          <w:p w14:paraId="716670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01F797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120-60</w:t>
            </w:r>
          </w:p>
          <w:p w14:paraId="127532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51E5EA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120-60</w:t>
            </w:r>
          </w:p>
          <w:p w14:paraId="6922A9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5892230" w14:textId="77777777">
        <w:trPr>
          <w:trHeight w:val="192"/>
        </w:trPr>
        <w:tc>
          <w:tcPr>
            <w:tcW w:w="1402" w:type="dxa"/>
          </w:tcPr>
          <w:p w14:paraId="2A221EE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Гориз. корпуса</w:t>
            </w:r>
          </w:p>
          <w:p w14:paraId="7A08F5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44C726E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 20-30</w:t>
            </w:r>
          </w:p>
          <w:p w14:paraId="272B3E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410DBB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p w14:paraId="46D8DC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883E0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w:t>
            </w:r>
          </w:p>
          <w:p w14:paraId="463FB82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1233B7C" w14:textId="77777777">
        <w:trPr>
          <w:trHeight w:val="192"/>
        </w:trPr>
        <w:tc>
          <w:tcPr>
            <w:tcW w:w="1402" w:type="dxa"/>
          </w:tcPr>
          <w:p w14:paraId="48F159B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Рубка</w:t>
            </w:r>
          </w:p>
          <w:p w14:paraId="6E0C7A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6FBFC9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90-75-60</w:t>
            </w:r>
          </w:p>
          <w:p w14:paraId="2BA06ED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44C8DFC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120-90</w:t>
            </w:r>
          </w:p>
          <w:p w14:paraId="693DE5E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6A9BE7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120-90</w:t>
            </w:r>
          </w:p>
          <w:p w14:paraId="38FD86A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2277784F" w14:textId="77777777">
        <w:trPr>
          <w:trHeight w:val="173"/>
        </w:trPr>
        <w:tc>
          <w:tcPr>
            <w:tcW w:w="1402" w:type="dxa"/>
          </w:tcPr>
          <w:p w14:paraId="6FADF2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311C3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1A1533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Силовая установка</w:t>
            </w:r>
          </w:p>
          <w:p w14:paraId="3A5D83B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3092B13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A450A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8B63A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F516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4906F21" w14:textId="77777777">
        <w:trPr>
          <w:trHeight w:val="192"/>
        </w:trPr>
        <w:tc>
          <w:tcPr>
            <w:tcW w:w="1402" w:type="dxa"/>
          </w:tcPr>
          <w:p w14:paraId="5C4F220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База</w:t>
            </w:r>
          </w:p>
          <w:p w14:paraId="62D92A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4037C76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 Т-34 т. ИС</w:t>
            </w:r>
          </w:p>
          <w:p w14:paraId="36EA6E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5A8DA1B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 ИС</w:t>
            </w:r>
          </w:p>
          <w:p w14:paraId="06811E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2896E5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 ИС</w:t>
            </w:r>
          </w:p>
          <w:p w14:paraId="0D5A84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11053030" w14:textId="77777777">
        <w:trPr>
          <w:trHeight w:val="192"/>
        </w:trPr>
        <w:tc>
          <w:tcPr>
            <w:tcW w:w="1402" w:type="dxa"/>
          </w:tcPr>
          <w:p w14:paraId="140423B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КПП</w:t>
            </w:r>
          </w:p>
          <w:p w14:paraId="7DDA54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3BE028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5/1 8/2</w:t>
            </w:r>
          </w:p>
          <w:p w14:paraId="2173D31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737534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w:t>
            </w:r>
          </w:p>
          <w:p w14:paraId="726BFF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447B5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8/2</w:t>
            </w:r>
          </w:p>
          <w:p w14:paraId="3E09977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8171952" w14:textId="77777777">
        <w:trPr>
          <w:trHeight w:val="182"/>
        </w:trPr>
        <w:tc>
          <w:tcPr>
            <w:tcW w:w="1402" w:type="dxa"/>
          </w:tcPr>
          <w:p w14:paraId="0F1667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Скорость макс, км/ч</w:t>
            </w:r>
          </w:p>
          <w:p w14:paraId="698D46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6BDA8F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45 33</w:t>
            </w:r>
          </w:p>
          <w:p w14:paraId="3ABF66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5BCA6B3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34</w:t>
            </w:r>
          </w:p>
          <w:p w14:paraId="7F813A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BAB99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w:t>
            </w:r>
          </w:p>
          <w:p w14:paraId="2128DF9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0919EEC" w14:textId="77777777">
        <w:trPr>
          <w:trHeight w:val="192"/>
        </w:trPr>
        <w:tc>
          <w:tcPr>
            <w:tcW w:w="1402" w:type="dxa"/>
          </w:tcPr>
          <w:p w14:paraId="69333AB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Среднетехнич км/ч</w:t>
            </w:r>
          </w:p>
          <w:p w14:paraId="6D60C6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34AD753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19 17</w:t>
            </w:r>
          </w:p>
          <w:p w14:paraId="7D76E47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5528BF5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p w14:paraId="1741595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10CB4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16</w:t>
            </w:r>
          </w:p>
          <w:p w14:paraId="1F7542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34F4EBF" w14:textId="77777777">
        <w:trPr>
          <w:trHeight w:val="192"/>
        </w:trPr>
        <w:tc>
          <w:tcPr>
            <w:tcW w:w="1402" w:type="dxa"/>
          </w:tcPr>
          <w:p w14:paraId="1D8AB0C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топлива</w:t>
            </w:r>
          </w:p>
          <w:p w14:paraId="6CABC10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141990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Диз. топливо Диз. топливо</w:t>
            </w:r>
          </w:p>
          <w:p w14:paraId="33BCC5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6BEE87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Диз. топливо</w:t>
            </w:r>
          </w:p>
          <w:p w14:paraId="38C25D4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381E6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75B28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4F82F9D" w14:textId="77777777">
        <w:trPr>
          <w:trHeight w:val="173"/>
        </w:trPr>
        <w:tc>
          <w:tcPr>
            <w:tcW w:w="1402" w:type="dxa"/>
          </w:tcPr>
          <w:p w14:paraId="048CBD8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Емк. бака, л.</w:t>
            </w:r>
          </w:p>
          <w:p w14:paraId="2650544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72BD753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465 560</w:t>
            </w:r>
          </w:p>
          <w:p w14:paraId="6946A7E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56A347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560</w:t>
            </w:r>
          </w:p>
          <w:p w14:paraId="510CB7C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FF340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560</w:t>
            </w:r>
          </w:p>
          <w:p w14:paraId="61FCA9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6542BE80" w14:textId="77777777">
        <w:trPr>
          <w:trHeight w:val="202"/>
        </w:trPr>
        <w:tc>
          <w:tcPr>
            <w:tcW w:w="1402" w:type="dxa"/>
          </w:tcPr>
          <w:p w14:paraId="304773C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Запас хода, км</w:t>
            </w:r>
          </w:p>
          <w:p w14:paraId="40324A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64547D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280 200</w:t>
            </w:r>
          </w:p>
          <w:p w14:paraId="186D2EC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2FA8313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195</w:t>
            </w:r>
          </w:p>
          <w:p w14:paraId="627478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93E98F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w:t>
            </w:r>
          </w:p>
          <w:p w14:paraId="617F21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50CA169" w14:textId="77777777">
        <w:trPr>
          <w:trHeight w:val="144"/>
        </w:trPr>
        <w:tc>
          <w:tcPr>
            <w:tcW w:w="5213" w:type="dxa"/>
            <w:gridSpan w:val="4"/>
          </w:tcPr>
          <w:p w14:paraId="4C931C9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Преодолеваемые поепятствия</w:t>
            </w:r>
          </w:p>
          <w:p w14:paraId="42BC18B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8D6C534" w14:textId="77777777">
        <w:trPr>
          <w:trHeight w:val="221"/>
        </w:trPr>
        <w:tc>
          <w:tcPr>
            <w:tcW w:w="1402" w:type="dxa"/>
          </w:tcPr>
          <w:p w14:paraId="109901D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Подъем, град.</w:t>
            </w:r>
          </w:p>
          <w:p w14:paraId="58E7DC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520FC7C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36</w:t>
            </w:r>
          </w:p>
          <w:p w14:paraId="426FBC1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538F8A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н.д.</w:t>
            </w:r>
          </w:p>
          <w:p w14:paraId="44D1BE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D8EBF7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35</w:t>
            </w:r>
          </w:p>
          <w:p w14:paraId="2854D0B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5B3D29B7" w14:textId="77777777">
        <w:trPr>
          <w:trHeight w:val="182"/>
        </w:trPr>
        <w:tc>
          <w:tcPr>
            <w:tcW w:w="1402" w:type="dxa"/>
          </w:tcPr>
          <w:p w14:paraId="425850D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Спуск, град.</w:t>
            </w:r>
          </w:p>
          <w:p w14:paraId="5122A9C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39D8881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30 30</w:t>
            </w:r>
          </w:p>
          <w:p w14:paraId="42EAC9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4446F4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Н.Д.</w:t>
            </w:r>
          </w:p>
          <w:p w14:paraId="712FA34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B96EF6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786BD0F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46A5C219" w14:textId="77777777">
        <w:trPr>
          <w:trHeight w:val="192"/>
        </w:trPr>
        <w:tc>
          <w:tcPr>
            <w:tcW w:w="1402" w:type="dxa"/>
          </w:tcPr>
          <w:p w14:paraId="547627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Крен, град.</w:t>
            </w:r>
          </w:p>
          <w:p w14:paraId="53C7C1B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315EF0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25 30</w:t>
            </w:r>
          </w:p>
          <w:p w14:paraId="223898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704C8DF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Н.Д.</w:t>
            </w:r>
          </w:p>
          <w:p w14:paraId="43EFA52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B9FDAC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w:t>
            </w:r>
          </w:p>
          <w:p w14:paraId="1E97F5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34954280" w14:textId="77777777">
        <w:trPr>
          <w:trHeight w:val="182"/>
        </w:trPr>
        <w:tc>
          <w:tcPr>
            <w:tcW w:w="1402" w:type="dxa"/>
          </w:tcPr>
          <w:p w14:paraId="601411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Окоп, мм</w:t>
            </w:r>
          </w:p>
          <w:p w14:paraId="7CF01BD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2269C84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1700 2000</w:t>
            </w:r>
          </w:p>
          <w:p w14:paraId="4F34068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19EA791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Н.Д.</w:t>
            </w:r>
          </w:p>
          <w:p w14:paraId="5334A6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5D2FEC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2000</w:t>
            </w:r>
          </w:p>
          <w:p w14:paraId="2A8467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7BBA045C" w14:textId="77777777">
        <w:trPr>
          <w:trHeight w:val="192"/>
        </w:trPr>
        <w:tc>
          <w:tcPr>
            <w:tcW w:w="1402" w:type="dxa"/>
          </w:tcPr>
          <w:p w14:paraId="5D25052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Стенка, мм</w:t>
            </w:r>
          </w:p>
          <w:p w14:paraId="7044D0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Pr>
          <w:p w14:paraId="1AFA560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500 1000</w:t>
            </w:r>
          </w:p>
          <w:p w14:paraId="10C3271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Pr>
          <w:p w14:paraId="29BF109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н.д.</w:t>
            </w:r>
          </w:p>
          <w:p w14:paraId="21ED5BE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9EAC8D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1000</w:t>
            </w:r>
          </w:p>
          <w:p w14:paraId="2F26B9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D4663" w:rsidRPr="00070ADE" w14:paraId="0503450B" w14:textId="77777777">
        <w:trPr>
          <w:trHeight w:val="192"/>
        </w:trPr>
        <w:tc>
          <w:tcPr>
            <w:tcW w:w="1402" w:type="dxa"/>
            <w:tcBorders>
              <w:bottom w:val="single" w:sz="12" w:space="0" w:color="auto"/>
            </w:tcBorders>
          </w:tcPr>
          <w:p w14:paraId="2A463B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Брод, мм</w:t>
            </w:r>
          </w:p>
          <w:p w14:paraId="6360B8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4" w:type="dxa"/>
            <w:tcBorders>
              <w:bottom w:val="single" w:sz="12" w:space="0" w:color="auto"/>
            </w:tcBorders>
          </w:tcPr>
          <w:p w14:paraId="109C86A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800 1300</w:t>
            </w:r>
          </w:p>
          <w:p w14:paraId="5FE673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bottom w:val="single" w:sz="12" w:space="0" w:color="auto"/>
            </w:tcBorders>
          </w:tcPr>
          <w:p w14:paraId="26EB11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Н.Д.</w:t>
            </w:r>
          </w:p>
          <w:p w14:paraId="2309824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bottom w:val="single" w:sz="12" w:space="0" w:color="auto"/>
            </w:tcBorders>
          </w:tcPr>
          <w:p w14:paraId="3ED8CB2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Н.Д.</w:t>
            </w:r>
          </w:p>
          <w:p w14:paraId="1DF617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97C5B5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(11417).</w:t>
      </w:r>
    </w:p>
    <w:p w14:paraId="62C8CFC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D6ECF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приступили к изготовлению посадоч</w:t>
      </w:r>
      <w:r w:rsidRPr="00070ADE">
        <w:rPr>
          <w:rFonts w:ascii="Times New Roman" w:hAnsi="Times New Roman"/>
          <w:color w:val="000000" w:themeColor="text1"/>
          <w:sz w:val="16"/>
          <w:szCs w:val="16"/>
        </w:rPr>
        <w:softHyphen/>
        <w:t>ного макета бронеавтомобиля БА-69 (такое условное обозначение было присвоено ГАЗ-69), но затем эта работа была приостановлена и в даль</w:t>
      </w:r>
      <w:r w:rsidRPr="00070ADE">
        <w:rPr>
          <w:rFonts w:ascii="Times New Roman" w:hAnsi="Times New Roman"/>
          <w:color w:val="000000" w:themeColor="text1"/>
          <w:sz w:val="16"/>
          <w:szCs w:val="16"/>
        </w:rPr>
        <w:softHyphen/>
        <w:t>нейшем не возобновлялась (10703).</w:t>
      </w:r>
    </w:p>
    <w:p w14:paraId="6C4D8F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 бронеавтомобилей в годы Великой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1613"/>
        <w:gridCol w:w="1267"/>
        <w:gridCol w:w="1286"/>
        <w:gridCol w:w="1421"/>
        <w:gridCol w:w="1296"/>
        <w:gridCol w:w="1430"/>
        <w:gridCol w:w="1584"/>
      </w:tblGrid>
      <w:tr w:rsidR="004D4663" w:rsidRPr="00070ADE" w14:paraId="6E7DFACF" w14:textId="77777777">
        <w:trPr>
          <w:trHeight w:val="336"/>
        </w:trPr>
        <w:tc>
          <w:tcPr>
            <w:tcW w:w="1613" w:type="dxa"/>
            <w:tcBorders>
              <w:top w:val="single" w:sz="6" w:space="0" w:color="auto"/>
              <w:left w:val="single" w:sz="6" w:space="0" w:color="auto"/>
              <w:bottom w:val="single" w:sz="6" w:space="0" w:color="auto"/>
              <w:right w:val="single" w:sz="6" w:space="0" w:color="auto"/>
            </w:tcBorders>
          </w:tcPr>
          <w:p w14:paraId="7673F9F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Марка машины</w:t>
            </w:r>
          </w:p>
        </w:tc>
        <w:tc>
          <w:tcPr>
            <w:tcW w:w="1267" w:type="dxa"/>
            <w:tcBorders>
              <w:top w:val="single" w:sz="6" w:space="0" w:color="auto"/>
              <w:left w:val="single" w:sz="6" w:space="0" w:color="auto"/>
              <w:bottom w:val="single" w:sz="6" w:space="0" w:color="auto"/>
              <w:right w:val="single" w:sz="6" w:space="0" w:color="auto"/>
            </w:tcBorders>
          </w:tcPr>
          <w:p w14:paraId="5A4897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1941</w:t>
            </w:r>
            <w:r w:rsidRPr="00070ADE">
              <w:rPr>
                <w:rFonts w:ascii="Times New Roman" w:hAnsi="Times New Roman"/>
                <w:color w:val="000000" w:themeColor="text1"/>
                <w:sz w:val="16"/>
                <w:szCs w:val="16"/>
                <w:vertAlign w:val="superscript"/>
              </w:rPr>
              <w:t>2/</w:t>
            </w:r>
          </w:p>
        </w:tc>
        <w:tc>
          <w:tcPr>
            <w:tcW w:w="1286" w:type="dxa"/>
            <w:tcBorders>
              <w:top w:val="single" w:sz="6" w:space="0" w:color="auto"/>
              <w:left w:val="single" w:sz="6" w:space="0" w:color="auto"/>
              <w:bottom w:val="single" w:sz="6" w:space="0" w:color="auto"/>
              <w:right w:val="single" w:sz="6" w:space="0" w:color="auto"/>
            </w:tcBorders>
          </w:tcPr>
          <w:p w14:paraId="2DFBFEC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1942</w:t>
            </w:r>
          </w:p>
        </w:tc>
        <w:tc>
          <w:tcPr>
            <w:tcW w:w="1421" w:type="dxa"/>
            <w:tcBorders>
              <w:top w:val="single" w:sz="6" w:space="0" w:color="auto"/>
              <w:left w:val="single" w:sz="6" w:space="0" w:color="auto"/>
              <w:bottom w:val="single" w:sz="6" w:space="0" w:color="auto"/>
              <w:right w:val="single" w:sz="6" w:space="0" w:color="auto"/>
            </w:tcBorders>
          </w:tcPr>
          <w:p w14:paraId="376B17A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w:t>
            </w:r>
          </w:p>
        </w:tc>
        <w:tc>
          <w:tcPr>
            <w:tcW w:w="1296" w:type="dxa"/>
            <w:tcBorders>
              <w:top w:val="single" w:sz="6" w:space="0" w:color="auto"/>
              <w:left w:val="single" w:sz="6" w:space="0" w:color="auto"/>
              <w:bottom w:val="single" w:sz="6" w:space="0" w:color="auto"/>
              <w:right w:val="single" w:sz="6" w:space="0" w:color="auto"/>
            </w:tcBorders>
          </w:tcPr>
          <w:p w14:paraId="227639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w:t>
            </w:r>
          </w:p>
        </w:tc>
        <w:tc>
          <w:tcPr>
            <w:tcW w:w="1430" w:type="dxa"/>
            <w:tcBorders>
              <w:top w:val="single" w:sz="6" w:space="0" w:color="auto"/>
              <w:left w:val="single" w:sz="6" w:space="0" w:color="auto"/>
              <w:bottom w:val="single" w:sz="6" w:space="0" w:color="auto"/>
              <w:right w:val="single" w:sz="6" w:space="0" w:color="auto"/>
            </w:tcBorders>
          </w:tcPr>
          <w:p w14:paraId="2C86F94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1945</w:t>
            </w:r>
            <w:r w:rsidRPr="00070ADE">
              <w:rPr>
                <w:rFonts w:ascii="Times New Roman" w:hAnsi="Times New Roman"/>
                <w:color w:val="000000" w:themeColor="text1"/>
                <w:sz w:val="16"/>
                <w:szCs w:val="16"/>
                <w:vertAlign w:val="superscript"/>
              </w:rPr>
              <w:t>3/</w:t>
            </w:r>
          </w:p>
        </w:tc>
        <w:tc>
          <w:tcPr>
            <w:tcW w:w="1584" w:type="dxa"/>
            <w:tcBorders>
              <w:top w:val="single" w:sz="6" w:space="0" w:color="auto"/>
              <w:left w:val="single" w:sz="6" w:space="0" w:color="auto"/>
              <w:bottom w:val="single" w:sz="6" w:space="0" w:color="auto"/>
              <w:right w:val="single" w:sz="6" w:space="0" w:color="auto"/>
            </w:tcBorders>
          </w:tcPr>
          <w:p w14:paraId="5116B08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Всего</w:t>
            </w:r>
          </w:p>
        </w:tc>
      </w:tr>
      <w:tr w:rsidR="004D4663" w:rsidRPr="00070ADE" w14:paraId="7B80FD86" w14:textId="77777777">
        <w:trPr>
          <w:trHeight w:val="221"/>
        </w:trPr>
        <w:tc>
          <w:tcPr>
            <w:tcW w:w="1613" w:type="dxa"/>
            <w:tcBorders>
              <w:top w:val="single" w:sz="6" w:space="0" w:color="auto"/>
              <w:left w:val="single" w:sz="6" w:space="0" w:color="auto"/>
              <w:bottom w:val="nil"/>
              <w:right w:val="single" w:sz="6" w:space="0" w:color="auto"/>
            </w:tcBorders>
          </w:tcPr>
          <w:p w14:paraId="720BCF0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БА-10(БА10М)</w:t>
            </w:r>
          </w:p>
        </w:tc>
        <w:tc>
          <w:tcPr>
            <w:tcW w:w="1267" w:type="dxa"/>
            <w:tcBorders>
              <w:top w:val="single" w:sz="6" w:space="0" w:color="auto"/>
              <w:left w:val="single" w:sz="6" w:space="0" w:color="auto"/>
              <w:bottom w:val="nil"/>
              <w:right w:val="single" w:sz="6" w:space="0" w:color="auto"/>
            </w:tcBorders>
          </w:tcPr>
          <w:p w14:paraId="4A116A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331(56</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w:t>
            </w:r>
          </w:p>
        </w:tc>
        <w:tc>
          <w:tcPr>
            <w:tcW w:w="1286" w:type="dxa"/>
            <w:tcBorders>
              <w:top w:val="single" w:sz="6" w:space="0" w:color="auto"/>
              <w:left w:val="single" w:sz="6" w:space="0" w:color="auto"/>
              <w:bottom w:val="nil"/>
              <w:right w:val="single" w:sz="6" w:space="0" w:color="auto"/>
            </w:tcBorders>
          </w:tcPr>
          <w:p w14:paraId="193543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21" w:type="dxa"/>
            <w:tcBorders>
              <w:top w:val="single" w:sz="6" w:space="0" w:color="auto"/>
              <w:left w:val="single" w:sz="6" w:space="0" w:color="auto"/>
              <w:bottom w:val="nil"/>
              <w:right w:val="single" w:sz="6" w:space="0" w:color="auto"/>
            </w:tcBorders>
          </w:tcPr>
          <w:p w14:paraId="2B7C1BA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96" w:type="dxa"/>
            <w:tcBorders>
              <w:top w:val="single" w:sz="6" w:space="0" w:color="auto"/>
              <w:left w:val="single" w:sz="6" w:space="0" w:color="auto"/>
              <w:bottom w:val="nil"/>
              <w:right w:val="single" w:sz="6" w:space="0" w:color="auto"/>
            </w:tcBorders>
          </w:tcPr>
          <w:p w14:paraId="533E1B8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430" w:type="dxa"/>
            <w:tcBorders>
              <w:top w:val="single" w:sz="6" w:space="0" w:color="auto"/>
              <w:left w:val="single" w:sz="6" w:space="0" w:color="auto"/>
              <w:bottom w:val="nil"/>
              <w:right w:val="single" w:sz="6" w:space="0" w:color="auto"/>
            </w:tcBorders>
          </w:tcPr>
          <w:p w14:paraId="10B3E56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584" w:type="dxa"/>
            <w:tcBorders>
              <w:top w:val="single" w:sz="6" w:space="0" w:color="auto"/>
              <w:left w:val="single" w:sz="6" w:space="0" w:color="auto"/>
              <w:bottom w:val="nil"/>
              <w:right w:val="single" w:sz="6" w:space="0" w:color="auto"/>
            </w:tcBorders>
          </w:tcPr>
          <w:p w14:paraId="6074CA4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331(56</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w:t>
            </w:r>
          </w:p>
        </w:tc>
      </w:tr>
      <w:tr w:rsidR="004D4663" w:rsidRPr="00070ADE" w14:paraId="6D948A5F" w14:textId="77777777">
        <w:trPr>
          <w:trHeight w:val="595"/>
        </w:trPr>
        <w:tc>
          <w:tcPr>
            <w:tcW w:w="1613" w:type="dxa"/>
            <w:tcBorders>
              <w:top w:val="nil"/>
              <w:left w:val="single" w:sz="6" w:space="0" w:color="auto"/>
              <w:bottom w:val="nil"/>
              <w:right w:val="single" w:sz="6" w:space="0" w:color="auto"/>
            </w:tcBorders>
          </w:tcPr>
          <w:p w14:paraId="1E8B07E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БА-20(БА20М)</w:t>
            </w:r>
          </w:p>
          <w:p w14:paraId="56BBC78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БА-64</w:t>
            </w:r>
          </w:p>
          <w:p w14:paraId="7CE20A8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БА64Б</w:t>
            </w:r>
          </w:p>
        </w:tc>
        <w:tc>
          <w:tcPr>
            <w:tcW w:w="1267" w:type="dxa"/>
            <w:tcBorders>
              <w:top w:val="nil"/>
              <w:left w:val="single" w:sz="6" w:space="0" w:color="auto"/>
              <w:bottom w:val="nil"/>
              <w:right w:val="single" w:sz="6" w:space="0" w:color="auto"/>
            </w:tcBorders>
          </w:tcPr>
          <w:p w14:paraId="06BB261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302(107</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w:t>
            </w:r>
          </w:p>
          <w:p w14:paraId="54B08DE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tc>
        <w:tc>
          <w:tcPr>
            <w:tcW w:w="1286" w:type="dxa"/>
            <w:tcBorders>
              <w:top w:val="nil"/>
              <w:left w:val="single" w:sz="6" w:space="0" w:color="auto"/>
              <w:bottom w:val="nil"/>
              <w:right w:val="single" w:sz="6" w:space="0" w:color="auto"/>
            </w:tcBorders>
          </w:tcPr>
          <w:p w14:paraId="1441B3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137(32</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w:t>
            </w:r>
          </w:p>
          <w:p w14:paraId="37A0B4D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2486 (716 </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w:t>
            </w:r>
          </w:p>
        </w:tc>
        <w:tc>
          <w:tcPr>
            <w:tcW w:w="1421" w:type="dxa"/>
            <w:tcBorders>
              <w:top w:val="nil"/>
              <w:left w:val="single" w:sz="6" w:space="0" w:color="auto"/>
              <w:bottom w:val="nil"/>
              <w:right w:val="single" w:sz="6" w:space="0" w:color="auto"/>
            </w:tcBorders>
          </w:tcPr>
          <w:p w14:paraId="2B45530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1D8DECC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1415 (636</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w:t>
            </w:r>
          </w:p>
          <w:p w14:paraId="68C0AC6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405(214</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w:t>
            </w:r>
          </w:p>
        </w:tc>
        <w:tc>
          <w:tcPr>
            <w:tcW w:w="1296" w:type="dxa"/>
            <w:tcBorders>
              <w:top w:val="nil"/>
              <w:left w:val="single" w:sz="6" w:space="0" w:color="auto"/>
              <w:bottom w:val="nil"/>
              <w:right w:val="single" w:sz="6" w:space="0" w:color="auto"/>
            </w:tcBorders>
          </w:tcPr>
          <w:p w14:paraId="42A415F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BEC41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2198085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3000(1404</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w:t>
            </w:r>
          </w:p>
        </w:tc>
        <w:tc>
          <w:tcPr>
            <w:tcW w:w="1430" w:type="dxa"/>
            <w:tcBorders>
              <w:top w:val="nil"/>
              <w:left w:val="single" w:sz="6" w:space="0" w:color="auto"/>
              <w:bottom w:val="nil"/>
              <w:right w:val="single" w:sz="6" w:space="0" w:color="auto"/>
            </w:tcBorders>
          </w:tcPr>
          <w:p w14:paraId="608495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959A3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w:t>
            </w:r>
          </w:p>
          <w:p w14:paraId="5EEF90A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868 (420 </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w:t>
            </w:r>
          </w:p>
        </w:tc>
        <w:tc>
          <w:tcPr>
            <w:tcW w:w="1584" w:type="dxa"/>
            <w:tcBorders>
              <w:top w:val="nil"/>
              <w:left w:val="single" w:sz="6" w:space="0" w:color="auto"/>
              <w:bottom w:val="nil"/>
              <w:right w:val="single" w:sz="6" w:space="0" w:color="auto"/>
            </w:tcBorders>
          </w:tcPr>
          <w:p w14:paraId="278D21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439(139</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 3901(1352</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w:t>
            </w:r>
          </w:p>
          <w:p w14:paraId="6C57563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4273(2038</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w:t>
            </w:r>
          </w:p>
        </w:tc>
      </w:tr>
      <w:tr w:rsidR="004D4663" w:rsidRPr="00070ADE" w14:paraId="610220EF" w14:textId="77777777">
        <w:trPr>
          <w:trHeight w:val="278"/>
        </w:trPr>
        <w:tc>
          <w:tcPr>
            <w:tcW w:w="1613" w:type="dxa"/>
            <w:tcBorders>
              <w:top w:val="single" w:sz="6" w:space="0" w:color="auto"/>
              <w:left w:val="single" w:sz="6" w:space="0" w:color="auto"/>
              <w:bottom w:val="single" w:sz="6" w:space="0" w:color="auto"/>
              <w:right w:val="single" w:sz="6" w:space="0" w:color="auto"/>
            </w:tcBorders>
          </w:tcPr>
          <w:p w14:paraId="768D567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Итого</w:t>
            </w:r>
          </w:p>
        </w:tc>
        <w:tc>
          <w:tcPr>
            <w:tcW w:w="1267" w:type="dxa"/>
            <w:tcBorders>
              <w:top w:val="single" w:sz="6" w:space="0" w:color="auto"/>
              <w:left w:val="single" w:sz="6" w:space="0" w:color="auto"/>
              <w:bottom w:val="single" w:sz="6" w:space="0" w:color="auto"/>
              <w:right w:val="single" w:sz="6" w:space="0" w:color="auto"/>
            </w:tcBorders>
          </w:tcPr>
          <w:p w14:paraId="273B32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633(163</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250B658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2623 (742</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4142E0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1820 (850</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w:t>
            </w:r>
          </w:p>
        </w:tc>
        <w:tc>
          <w:tcPr>
            <w:tcW w:w="1296" w:type="dxa"/>
            <w:tcBorders>
              <w:top w:val="single" w:sz="6" w:space="0" w:color="auto"/>
              <w:left w:val="single" w:sz="6" w:space="0" w:color="auto"/>
              <w:bottom w:val="single" w:sz="6" w:space="0" w:color="auto"/>
              <w:right w:val="single" w:sz="6" w:space="0" w:color="auto"/>
            </w:tcBorders>
          </w:tcPr>
          <w:p w14:paraId="3DB0729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3000(1404</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w:t>
            </w:r>
          </w:p>
        </w:tc>
        <w:tc>
          <w:tcPr>
            <w:tcW w:w="1430" w:type="dxa"/>
            <w:tcBorders>
              <w:top w:val="single" w:sz="6" w:space="0" w:color="auto"/>
              <w:left w:val="single" w:sz="6" w:space="0" w:color="auto"/>
              <w:bottom w:val="single" w:sz="6" w:space="0" w:color="auto"/>
              <w:right w:val="single" w:sz="6" w:space="0" w:color="auto"/>
            </w:tcBorders>
          </w:tcPr>
          <w:p w14:paraId="3529704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868 (420</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w:t>
            </w:r>
          </w:p>
        </w:tc>
        <w:tc>
          <w:tcPr>
            <w:tcW w:w="1584" w:type="dxa"/>
            <w:tcBorders>
              <w:top w:val="single" w:sz="6" w:space="0" w:color="auto"/>
              <w:left w:val="single" w:sz="6" w:space="0" w:color="auto"/>
              <w:bottom w:val="single" w:sz="6" w:space="0" w:color="auto"/>
              <w:right w:val="single" w:sz="6" w:space="0" w:color="auto"/>
            </w:tcBorders>
          </w:tcPr>
          <w:p w14:paraId="11C5816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8944 (3585</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w:t>
            </w:r>
          </w:p>
        </w:tc>
      </w:tr>
    </w:tbl>
    <w:p w14:paraId="29B66CD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 за второе полугодие</w:t>
      </w:r>
    </w:p>
    <w:p w14:paraId="5679F27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2 - из них с радиостанцией</w:t>
      </w:r>
    </w:p>
    <w:p w14:paraId="1F574C7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3 - за первые пять месяцев (10703).</w:t>
      </w:r>
    </w:p>
    <w:p w14:paraId="731E5D6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D473CA" w14:textId="77777777" w:rsidR="009E614A" w:rsidRPr="00070ADE" w:rsidRDefault="009E614A" w:rsidP="00B56F90">
      <w:pPr>
        <w:shd w:val="clear" w:color="auto" w:fill="FFFFFF"/>
        <w:spacing w:after="0" w:line="240" w:lineRule="auto"/>
        <w:jc w:val="both"/>
        <w:rPr>
          <w:rStyle w:val="670"/>
          <w:rFonts w:ascii="Times New Roman" w:hAnsi="Times New Roman" w:cs="Times New Roman"/>
          <w:color w:val="000000" w:themeColor="text1"/>
          <w:sz w:val="16"/>
          <w:szCs w:val="16"/>
        </w:rPr>
      </w:pPr>
      <w:r w:rsidRPr="00070ADE">
        <w:rPr>
          <w:rStyle w:val="660"/>
          <w:rFonts w:ascii="Times New Roman" w:hAnsi="Times New Roman" w:cs="Times New Roman"/>
          <w:color w:val="000000" w:themeColor="text1"/>
          <w:sz w:val="16"/>
          <w:szCs w:val="16"/>
          <w:lang w:val="ru-RU"/>
        </w:rPr>
        <w:t>В июне 1944 года случилось еще одно существенное изменение внеш</w:t>
      </w:r>
      <w:r w:rsidRPr="00070ADE">
        <w:rPr>
          <w:rStyle w:val="660"/>
          <w:rFonts w:ascii="Times New Roman" w:hAnsi="Times New Roman" w:cs="Times New Roman"/>
          <w:color w:val="000000" w:themeColor="text1"/>
          <w:sz w:val="16"/>
          <w:szCs w:val="16"/>
          <w:lang w:val="ru-RU"/>
        </w:rPr>
        <w:softHyphen/>
        <w:t>него вида СУ-85А. С самого начала производства машины масса жалоб шла на опорные катки, точнее, на их резиновые бандажи. Они часто разру</w:t>
      </w:r>
      <w:r w:rsidRPr="00070ADE">
        <w:rPr>
          <w:rStyle w:val="660"/>
          <w:rFonts w:ascii="Times New Roman" w:hAnsi="Times New Roman" w:cs="Times New Roman"/>
          <w:color w:val="000000" w:themeColor="text1"/>
          <w:sz w:val="16"/>
          <w:szCs w:val="16"/>
          <w:lang w:val="ru-RU"/>
        </w:rPr>
        <w:softHyphen/>
        <w:t>шались, особенно на скоростях движения выше 30 км/ч. Причиной тому был не про</w:t>
      </w:r>
      <w:r w:rsidRPr="00070ADE">
        <w:rPr>
          <w:rStyle w:val="660"/>
          <w:rFonts w:ascii="Times New Roman" w:hAnsi="Times New Roman" w:cs="Times New Roman"/>
          <w:color w:val="000000" w:themeColor="text1"/>
          <w:sz w:val="16"/>
          <w:szCs w:val="16"/>
          <w:lang w:val="ru-RU"/>
        </w:rPr>
        <w:softHyphen/>
        <w:t>изводственный дефект, а общая перегрузка шасси Т-34 и САУ на его базе. С данной про</w:t>
      </w:r>
      <w:r w:rsidRPr="00070ADE">
        <w:rPr>
          <w:rStyle w:val="660"/>
          <w:rFonts w:ascii="Times New Roman" w:hAnsi="Times New Roman" w:cs="Times New Roman"/>
          <w:color w:val="000000" w:themeColor="text1"/>
          <w:sz w:val="16"/>
          <w:szCs w:val="16"/>
          <w:lang w:val="ru-RU"/>
        </w:rPr>
        <w:softHyphen/>
        <w:t>блемой бились в течение 1943 и 1944 годов. Наконец, в июле 1944 года КБ завода №183 разработало бандаж без отверстий охлажде</w:t>
      </w:r>
      <w:r w:rsidRPr="00070ADE">
        <w:rPr>
          <w:rStyle w:val="660"/>
          <w:rFonts w:ascii="Times New Roman" w:hAnsi="Times New Roman" w:cs="Times New Roman"/>
          <w:color w:val="000000" w:themeColor="text1"/>
          <w:sz w:val="16"/>
          <w:szCs w:val="16"/>
          <w:lang w:val="ru-RU"/>
        </w:rPr>
        <w:softHyphen/>
        <w:t>ния резины и «протектора» на беговой дорожке. Официально с отверстиями распро</w:t>
      </w:r>
      <w:r w:rsidRPr="00070ADE">
        <w:rPr>
          <w:rStyle w:val="660"/>
          <w:rFonts w:ascii="Times New Roman" w:hAnsi="Times New Roman" w:cs="Times New Roman"/>
          <w:color w:val="000000" w:themeColor="text1"/>
          <w:sz w:val="16"/>
          <w:szCs w:val="16"/>
          <w:lang w:val="ru-RU"/>
        </w:rPr>
        <w:softHyphen/>
        <w:t xml:space="preserve">щались 7 июля 1944 года, но ставить опорные </w:t>
      </w:r>
      <w:r w:rsidRPr="00070ADE">
        <w:rPr>
          <w:rStyle w:val="670"/>
          <w:rFonts w:ascii="Times New Roman" w:hAnsi="Times New Roman" w:cs="Times New Roman"/>
          <w:color w:val="000000" w:themeColor="text1"/>
          <w:sz w:val="16"/>
          <w:szCs w:val="16"/>
        </w:rPr>
        <w:t>катки без отверстий начали только после выработки имевшегося задела. (Существует неоднозначность прочтения нанесенных на чертеже головного завода №183 изменений. К перечеркнутым отверстиям в бандаже можно отнести как рукописную позицию «д» чертежа - тогда их убрали с 29 апреля 1944 г., так и, что представляется более правдопо</w:t>
      </w:r>
      <w:r w:rsidRPr="00070ADE">
        <w:rPr>
          <w:rStyle w:val="670"/>
          <w:rFonts w:ascii="Times New Roman" w:hAnsi="Times New Roman" w:cs="Times New Roman"/>
          <w:color w:val="000000" w:themeColor="text1"/>
          <w:sz w:val="16"/>
          <w:szCs w:val="16"/>
        </w:rPr>
        <w:softHyphen/>
        <w:t>добным, соседняя литера «е» чертежа - тогда бандажи без отверстий должны были выпус</w:t>
      </w:r>
      <w:r w:rsidRPr="00070ADE">
        <w:rPr>
          <w:rStyle w:val="670"/>
          <w:rFonts w:ascii="Times New Roman" w:hAnsi="Times New Roman" w:cs="Times New Roman"/>
          <w:color w:val="000000" w:themeColor="text1"/>
          <w:sz w:val="16"/>
          <w:szCs w:val="16"/>
        </w:rPr>
        <w:softHyphen/>
        <w:t>каться с 7 июля 1944 г.). Завод №713, кото</w:t>
      </w:r>
      <w:r w:rsidRPr="00070ADE">
        <w:rPr>
          <w:rStyle w:val="670"/>
          <w:rFonts w:ascii="Times New Roman" w:hAnsi="Times New Roman" w:cs="Times New Roman"/>
          <w:color w:val="000000" w:themeColor="text1"/>
          <w:sz w:val="16"/>
          <w:szCs w:val="16"/>
        </w:rPr>
        <w:softHyphen/>
        <w:t>рый обеспечивал УЗТМ бандажами, перешел на новую конструкцию летом 1944 года. На практике же эти бандажи появились ближе к концу выпуска (19889).</w:t>
      </w:r>
    </w:p>
    <w:p w14:paraId="6C6ACD32" w14:textId="77777777" w:rsidR="009E614A" w:rsidRPr="00070ADE" w:rsidRDefault="009E614A" w:rsidP="00B56F90">
      <w:pPr>
        <w:shd w:val="clear" w:color="auto" w:fill="FFFFFF"/>
        <w:spacing w:after="0" w:line="240" w:lineRule="auto"/>
        <w:jc w:val="both"/>
        <w:rPr>
          <w:rFonts w:ascii="Times New Roman" w:hAnsi="Times New Roman"/>
          <w:color w:val="000000" w:themeColor="text1"/>
          <w:sz w:val="16"/>
          <w:szCs w:val="16"/>
        </w:rPr>
      </w:pPr>
    </w:p>
    <w:p w14:paraId="584ED593" w14:textId="77777777" w:rsidR="009E614A" w:rsidRPr="00070ADE" w:rsidRDefault="009E614A" w:rsidP="00B56F90">
      <w:pPr>
        <w:spacing w:after="0" w:line="240" w:lineRule="auto"/>
        <w:jc w:val="both"/>
        <w:rPr>
          <w:rStyle w:val="670"/>
          <w:rFonts w:ascii="Times New Roman" w:hAnsi="Times New Roman" w:cs="Times New Roman"/>
          <w:color w:val="000000" w:themeColor="text1"/>
          <w:sz w:val="16"/>
          <w:szCs w:val="16"/>
        </w:rPr>
      </w:pPr>
      <w:r w:rsidRPr="00070ADE">
        <w:rPr>
          <w:rStyle w:val="670"/>
          <w:rFonts w:ascii="Times New Roman" w:hAnsi="Times New Roman" w:cs="Times New Roman"/>
          <w:color w:val="000000" w:themeColor="text1"/>
          <w:sz w:val="16"/>
          <w:szCs w:val="16"/>
        </w:rPr>
        <w:t>В июне 1944 г. на Су-85 ввели, наконец, элек</w:t>
      </w:r>
      <w:r w:rsidRPr="00070ADE">
        <w:rPr>
          <w:rStyle w:val="670"/>
          <w:rFonts w:ascii="Times New Roman" w:hAnsi="Times New Roman" w:cs="Times New Roman"/>
          <w:color w:val="000000" w:themeColor="text1"/>
          <w:sz w:val="16"/>
          <w:szCs w:val="16"/>
        </w:rPr>
        <w:softHyphen/>
        <w:t>троспуск орудия - со 117-й машины. Последним же внешним изменением СУ- 85А стало долгожданное появление вытяж</w:t>
      </w:r>
      <w:r w:rsidRPr="00070ADE">
        <w:rPr>
          <w:rStyle w:val="670"/>
          <w:rFonts w:ascii="Times New Roman" w:hAnsi="Times New Roman" w:cs="Times New Roman"/>
          <w:color w:val="000000" w:themeColor="text1"/>
          <w:sz w:val="16"/>
          <w:szCs w:val="16"/>
        </w:rPr>
        <w:softHyphen/>
        <w:t>ного вентилятора на крыше рубки. Нередко можно слышать версию о том, что он был на самых ранних машинах, но на самом деле их ставили, наоборот, на СУ-85А самого поздне</w:t>
      </w:r>
      <w:r w:rsidRPr="00070ADE">
        <w:rPr>
          <w:rStyle w:val="670"/>
          <w:rFonts w:ascii="Times New Roman" w:hAnsi="Times New Roman" w:cs="Times New Roman"/>
          <w:color w:val="000000" w:themeColor="text1"/>
          <w:sz w:val="16"/>
          <w:szCs w:val="16"/>
        </w:rPr>
        <w:softHyphen/>
        <w:t>го периода выпуска. Когда именно ввели вентилятор, неизвестно, можно лишь гово</w:t>
      </w:r>
      <w:r w:rsidRPr="00070ADE">
        <w:rPr>
          <w:rStyle w:val="670"/>
          <w:rFonts w:ascii="Times New Roman" w:hAnsi="Times New Roman" w:cs="Times New Roman"/>
          <w:color w:val="000000" w:themeColor="text1"/>
          <w:sz w:val="16"/>
          <w:szCs w:val="16"/>
        </w:rPr>
        <w:softHyphen/>
        <w:t>рить о том, что произошло это летом 1944 года. Попадаются машины с вытяжным вен</w:t>
      </w:r>
      <w:r w:rsidRPr="00070ADE">
        <w:rPr>
          <w:rStyle w:val="670"/>
          <w:rFonts w:ascii="Times New Roman" w:hAnsi="Times New Roman" w:cs="Times New Roman"/>
          <w:color w:val="000000" w:themeColor="text1"/>
          <w:sz w:val="16"/>
          <w:szCs w:val="16"/>
        </w:rPr>
        <w:softHyphen/>
        <w:t>тилятором очень редко (19889).</w:t>
      </w:r>
    </w:p>
    <w:p w14:paraId="63643D25" w14:textId="77777777" w:rsidR="009E614A" w:rsidRPr="00070ADE" w:rsidRDefault="009E614A" w:rsidP="00B56F90">
      <w:pPr>
        <w:spacing w:after="0" w:line="240" w:lineRule="auto"/>
        <w:jc w:val="both"/>
        <w:rPr>
          <w:rFonts w:ascii="Times New Roman" w:hAnsi="Times New Roman"/>
          <w:color w:val="000000" w:themeColor="text1"/>
          <w:sz w:val="16"/>
          <w:szCs w:val="16"/>
        </w:rPr>
      </w:pPr>
    </w:p>
    <w:p w14:paraId="6EF149BF"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июне 1944 года на заводе 100 начались работы по изготовлению СУ-100, оснащённой системой С-34. Машину строили не с нуля: под систему ЦАКБ переделали первый опытный образец СУ-100. В связи с тем, что наводчик располагался справа, командирскую башенку сместили назад. Теперь заряжающий размещался слева, </w:t>
      </w:r>
      <w:r w:rsidRPr="00070ADE">
        <w:rPr>
          <w:rFonts w:ascii="Times New Roman" w:hAnsi="Times New Roman"/>
          <w:color w:val="000000" w:themeColor="text1"/>
          <w:sz w:val="16"/>
          <w:szCs w:val="16"/>
        </w:rPr>
        <w:lastRenderedPageBreak/>
        <w:t>ввиду чего изменилась конструкция укладок. Из-за больших, чем Д-10С, габаритов системы С-34 места внутри машины стало меньше. Кроме того, по боевому отделению у комиссии возникло ещё больше претензий, чем по первому варианту СУ-100 с системой Д-10С (18252).</w:t>
      </w:r>
    </w:p>
    <w:p w14:paraId="39A719CD" w14:textId="77777777" w:rsidR="00B216D6" w:rsidRPr="00070ADE" w:rsidRDefault="00B216D6" w:rsidP="00B56F90">
      <w:pPr>
        <w:spacing w:after="0" w:line="240" w:lineRule="auto"/>
        <w:jc w:val="both"/>
        <w:rPr>
          <w:rFonts w:ascii="Times New Roman" w:hAnsi="Times New Roman"/>
          <w:color w:val="000000" w:themeColor="text1"/>
          <w:sz w:val="16"/>
          <w:szCs w:val="16"/>
        </w:rPr>
      </w:pPr>
    </w:p>
    <w:p w14:paraId="5A959939"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на испытания вышел переработанный образец самоходной установки СУ-57. Машина получила полностью закрытое боевое отделение, для улучшения обзорности сверху появились перископические приборы.</w:t>
      </w:r>
    </w:p>
    <w:p w14:paraId="3824120C"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Чтобы оценить способность работы расчёта при полностью закрытом боевом отделении, проводились специальные испытания. Выяснилось, что условия работы вполне удовлетворительные, раздражения пороховыми газами и интоксикации не наблюдалось. Тем не менее приемлемыми были признаны условия работы при заведённом двигателе и открытом кормовом люке. Из-за отсутствия специальных средств вентиляции боевого отделения работа при выключенном двигателе и закрытом кормовом люке вызывала некоторый дискомфорт. В отличие от СУ-12, в крыше этой машины отверсти не было, что ухудшало вентилируемость.</w:t>
      </w:r>
    </w:p>
    <w:p w14:paraId="5AD5373E" w14:textId="302FBBAA"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Дальнейшие работы над закрытым боевым отделением на ГАЗ им. Молотова прекратились, там сконцентрировались на</w:t>
      </w:r>
      <w:r w:rsidR="00B643A8" w:rsidRPr="00070ADE">
        <w:rPr>
          <w:rFonts w:ascii="Times New Roman" w:hAnsi="Times New Roman"/>
          <w:color w:val="000000" w:themeColor="text1"/>
          <w:sz w:val="16"/>
          <w:szCs w:val="16"/>
        </w:rPr>
        <w:t xml:space="preserve"> </w:t>
      </w:r>
      <w:hyperlink r:id="rId190" w:history="1">
        <w:r w:rsidRPr="00070ADE">
          <w:rPr>
            <w:rStyle w:val="a5"/>
            <w:rFonts w:ascii="Times New Roman" w:hAnsi="Times New Roman"/>
            <w:color w:val="000000" w:themeColor="text1"/>
            <w:sz w:val="16"/>
            <w:szCs w:val="16"/>
          </w:rPr>
          <w:t>СУ-85А</w:t>
        </w:r>
      </w:hyperlink>
      <w:r w:rsidRPr="00070ADE">
        <w:rPr>
          <w:rFonts w:ascii="Times New Roman" w:hAnsi="Times New Roman"/>
          <w:color w:val="000000" w:themeColor="text1"/>
          <w:sz w:val="16"/>
          <w:szCs w:val="16"/>
        </w:rPr>
        <w:t>. Эстафетную палочку перехватило КБ завода №40. Здесь после переезда завода №38 в Харьков был создан новый центр разработки лёгких САУ. Коллектив КБ под руководством главного конструктора Н.А. Попова подошёл к вопросу более комплексно. Анализ боевого применения показывал, что расчёт поражался чаще не осколками сверху, а ружейно-пулемётным огнём с флангов и сзади. Это было связано с тем, что для облегчения машины часть листов бортов и кормы при «демонтаже» крыши тоже была убрана. Удалось выиграть сотню-полторы килограмм массы, но расчёт боевого отделения оказался уязвим. В Мытищах помнили и о том, что шасси СУ-76М весьма чувствительно к перегрузкам, поэтому действовать требовалось осторожно.</w:t>
      </w:r>
    </w:p>
    <w:p w14:paraId="40B51A0B"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случае необходимости смотровой прибор командира во лбу рубки снимался, и вместо него ставился пулемёт. Испытания показали, что такая система работает не очень хорошо (18172).</w:t>
      </w:r>
    </w:p>
    <w:p w14:paraId="7EB4EDA3" w14:textId="77777777" w:rsidR="00B216D6" w:rsidRPr="00070ADE" w:rsidRDefault="00B216D6" w:rsidP="00B56F90">
      <w:pPr>
        <w:spacing w:after="0" w:line="240" w:lineRule="auto"/>
        <w:jc w:val="both"/>
        <w:rPr>
          <w:rFonts w:ascii="Times New Roman" w:hAnsi="Times New Roman"/>
          <w:color w:val="000000" w:themeColor="text1"/>
          <w:sz w:val="16"/>
          <w:szCs w:val="16"/>
        </w:rPr>
      </w:pPr>
    </w:p>
    <w:p w14:paraId="7E0D77A7"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КБ ГАЗ им. Молотова разработало второй вариант САУ СУ-57. Вместо изготовления новой машины был переделан уже имеющийся образец. Наибольшие изменения претерпело боевое отделение, которое стало полностью закрытым. Боевая масса этой машины указывается такой же, как и СУ-76М, что выглядит сомнительно. Вероятнее всего, она выросла примерно на полтонны. Для улучшения обзорности в крыше появились перископические приборы наблюдения MK-IV. Переделка вооружения выполнялась в соответствии с полученным заданием (18098).</w:t>
      </w:r>
    </w:p>
    <w:p w14:paraId="65B4422B" w14:textId="77777777" w:rsidR="00B216D6" w:rsidRPr="00070ADE" w:rsidRDefault="00B216D6" w:rsidP="00B56F90">
      <w:pPr>
        <w:spacing w:after="0" w:line="240" w:lineRule="auto"/>
        <w:jc w:val="both"/>
        <w:rPr>
          <w:rFonts w:ascii="Times New Roman" w:hAnsi="Times New Roman"/>
          <w:color w:val="000000" w:themeColor="text1"/>
          <w:sz w:val="16"/>
          <w:szCs w:val="16"/>
        </w:rPr>
      </w:pPr>
    </w:p>
    <w:p w14:paraId="4F5B593E" w14:textId="77777777" w:rsidR="00B216D6" w:rsidRPr="00070ADE" w:rsidRDefault="00B216D6"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ОСУ-76 про</w:t>
      </w:r>
      <w:r w:rsidRPr="00070ADE">
        <w:rPr>
          <w:rFonts w:ascii="Times New Roman" w:hAnsi="Times New Roman"/>
          <w:color w:val="000000" w:themeColor="text1"/>
          <w:sz w:val="16"/>
          <w:szCs w:val="16"/>
        </w:rPr>
        <w:softHyphen/>
        <w:t>шла государственные испытания. Основными достоинствами машины являлись чрезвычайная простота конструкции и изготовления, низкая стоимость и возможность применения в авиадесантных операциях. Дальнейшего развития установка не получила, так как из-за дефицита шестицилиндровых карбюраторных двигателей, на ней был установлен маломощный четырехцилиндровый карбюраторный двигатель, ГАЗ-М1, в результате чего машина имела низкие показатели подвижно</w:t>
      </w:r>
      <w:r w:rsidRPr="00070ADE">
        <w:rPr>
          <w:rFonts w:ascii="Times New Roman" w:hAnsi="Times New Roman"/>
          <w:color w:val="000000" w:themeColor="text1"/>
          <w:sz w:val="16"/>
          <w:szCs w:val="16"/>
        </w:rPr>
        <w:softHyphen/>
        <w:t>сти. Кроме того, малая длина опорной поверхности (четыре опорных катка на борт) не обеспечивала необходимую устойчивость установки при стрельбе. Через четыре месяца Горьковский автозавод представил на испыта</w:t>
      </w:r>
      <w:r w:rsidRPr="00070ADE">
        <w:rPr>
          <w:rFonts w:ascii="Times New Roman" w:hAnsi="Times New Roman"/>
          <w:color w:val="000000" w:themeColor="text1"/>
          <w:sz w:val="16"/>
          <w:szCs w:val="16"/>
        </w:rPr>
        <w:softHyphen/>
        <w:t>ния новый опытный образец самоходной установки СУ-85Б (СУ-15Б), в которой были учтены недостатки конструкции предыдущего образца. Кроме того, на машине была установлена 85-мм пушка ЛБ-2 конструк</w:t>
      </w:r>
      <w:r w:rsidRPr="00070ADE">
        <w:rPr>
          <w:rFonts w:ascii="Times New Roman" w:hAnsi="Times New Roman"/>
          <w:color w:val="000000" w:themeColor="text1"/>
          <w:sz w:val="16"/>
          <w:szCs w:val="16"/>
        </w:rPr>
        <w:softHyphen/>
        <w:t>ции завода № 92 с дульным тормозом для уменьшения силы отдачи при выстреле. Проведенные испытания прошли успешно, огневая мощь и подвижность машины были признаны удовлетворительными и уста</w:t>
      </w:r>
      <w:r w:rsidRPr="00070ADE">
        <w:rPr>
          <w:rFonts w:ascii="Times New Roman" w:hAnsi="Times New Roman"/>
          <w:color w:val="000000" w:themeColor="text1"/>
          <w:sz w:val="16"/>
          <w:szCs w:val="16"/>
        </w:rPr>
        <w:softHyphen/>
        <w:t>новка была рекомендована к принятию на вооружение, хотя и сохрани</w:t>
      </w:r>
      <w:r w:rsidRPr="00070ADE">
        <w:rPr>
          <w:rFonts w:ascii="Times New Roman" w:hAnsi="Times New Roman"/>
          <w:color w:val="000000" w:themeColor="text1"/>
          <w:sz w:val="16"/>
          <w:szCs w:val="16"/>
        </w:rPr>
        <w:softHyphen/>
        <w:t>ла некоторые недостатки, присущие установке СУ-85 А. В связи с окон</w:t>
      </w:r>
      <w:r w:rsidRPr="00070ADE">
        <w:rPr>
          <w:rFonts w:ascii="Times New Roman" w:hAnsi="Times New Roman"/>
          <w:color w:val="000000" w:themeColor="text1"/>
          <w:sz w:val="16"/>
          <w:szCs w:val="16"/>
        </w:rPr>
        <w:softHyphen/>
        <w:t>чанием Великой Отечественной войны дальнейшие работы над уста</w:t>
      </w:r>
      <w:r w:rsidRPr="00070ADE">
        <w:rPr>
          <w:rFonts w:ascii="Times New Roman" w:hAnsi="Times New Roman"/>
          <w:color w:val="000000" w:themeColor="text1"/>
          <w:sz w:val="16"/>
          <w:szCs w:val="16"/>
        </w:rPr>
        <w:softHyphen/>
        <w:t>новкой СУ-85Б были прекращены (10703).</w:t>
      </w:r>
    </w:p>
    <w:p w14:paraId="7E7B6F65" w14:textId="77777777" w:rsidR="00B216D6" w:rsidRPr="00070ADE" w:rsidRDefault="00B216D6"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6D67A8" w14:textId="77777777" w:rsidR="00B216D6" w:rsidRPr="00070ADE" w:rsidRDefault="00B216D6"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был изготов</w:t>
      </w:r>
      <w:r w:rsidRPr="00070ADE">
        <w:rPr>
          <w:rFonts w:ascii="Times New Roman" w:hAnsi="Times New Roman"/>
          <w:color w:val="000000" w:themeColor="text1"/>
          <w:sz w:val="16"/>
          <w:szCs w:val="16"/>
        </w:rPr>
        <w:softHyphen/>
        <w:t>лен опытный образец установки, во</w:t>
      </w:r>
      <w:r w:rsidRPr="00070ADE">
        <w:rPr>
          <w:rFonts w:ascii="Times New Roman" w:hAnsi="Times New Roman"/>
          <w:color w:val="000000" w:themeColor="text1"/>
          <w:sz w:val="16"/>
          <w:szCs w:val="16"/>
        </w:rPr>
        <w:softHyphen/>
        <w:t>оруженной 85-мм пушкой ЗИС-С-53, но в связи с передислокацией завода в Харьков на территорию бывшего завода № 183, испытания машины не были закончены и дальнейшие работы прекращены (10703).</w:t>
      </w:r>
    </w:p>
    <w:p w14:paraId="602E7C82" w14:textId="77777777" w:rsidR="00B216D6" w:rsidRPr="00070ADE" w:rsidRDefault="00B216D6"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6B7751"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из ГБТУ КА в письме предложило прекратить работы по «СУ-85 на базе СУ-76», поскольку СУ-76М удовлетворяла всем требованиям, которые к ней предъявлялись (18098).</w:t>
      </w:r>
    </w:p>
    <w:p w14:paraId="1FCD5471" w14:textId="77777777" w:rsidR="00B216D6" w:rsidRPr="00070ADE" w:rsidRDefault="00B216D6" w:rsidP="00B56F90">
      <w:pPr>
        <w:spacing w:after="0" w:line="240" w:lineRule="auto"/>
        <w:jc w:val="both"/>
        <w:rPr>
          <w:rFonts w:ascii="Times New Roman" w:hAnsi="Times New Roman"/>
          <w:color w:val="000000" w:themeColor="text1"/>
          <w:sz w:val="16"/>
          <w:szCs w:val="16"/>
        </w:rPr>
      </w:pPr>
    </w:p>
    <w:p w14:paraId="232D29D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в целях унификации с бронеавтомобилем БА-64 и по</w:t>
      </w:r>
      <w:r w:rsidRPr="00070ADE">
        <w:rPr>
          <w:rFonts w:ascii="Times New Roman" w:hAnsi="Times New Roman"/>
          <w:color w:val="000000" w:themeColor="text1"/>
          <w:sz w:val="16"/>
          <w:szCs w:val="16"/>
        </w:rPr>
        <w:softHyphen/>
        <w:t>вышения защиты командира от свинцовых пулевых брызг на башне ма</w:t>
      </w:r>
      <w:r w:rsidRPr="00070ADE">
        <w:rPr>
          <w:rFonts w:ascii="Times New Roman" w:hAnsi="Times New Roman"/>
          <w:color w:val="000000" w:themeColor="text1"/>
          <w:sz w:val="16"/>
          <w:szCs w:val="16"/>
        </w:rPr>
        <w:softHyphen/>
        <w:t>шины БА-64Б был установлен брызгоулавливатель (10703).</w:t>
      </w:r>
    </w:p>
    <w:p w14:paraId="16AA55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8CAB1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закончились испытания модернизированного ГАЗ-67Б, выпущенного в январе 1944. На нем были изменены подшипники переднего моста (старые ограничивали ресурс), усилены передняя подвеска, диски колес, в конце года введен новый распределитель зажигания Р-15 (9638).</w:t>
      </w:r>
    </w:p>
    <w:p w14:paraId="728B3D2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2B61826" w14:textId="77777777" w:rsidR="00E20115" w:rsidRPr="00070ADE" w:rsidRDefault="00E20115" w:rsidP="00B56F90">
      <w:pPr>
        <w:pStyle w:val="a3"/>
        <w:rPr>
          <w:color w:val="000000" w:themeColor="text1"/>
          <w:lang w:val="ru-RU"/>
        </w:rPr>
      </w:pPr>
      <w:r w:rsidRPr="00070ADE">
        <w:rPr>
          <w:color w:val="000000" w:themeColor="text1"/>
          <w:lang w:val="ru-RU"/>
        </w:rPr>
        <w:t>В июне 1944 пробеговые и специальные испыта</w:t>
      </w:r>
      <w:r w:rsidRPr="00070ADE">
        <w:rPr>
          <w:color w:val="000000" w:themeColor="text1"/>
          <w:lang w:val="ru-RU"/>
        </w:rPr>
        <w:softHyphen/>
        <w:t>ния тягачей АТ-45 опытной партии (машины №15001-№15006) с буксировкой артиллерий</w:t>
      </w:r>
      <w:r w:rsidRPr="00070ADE">
        <w:rPr>
          <w:color w:val="000000" w:themeColor="text1"/>
          <w:lang w:val="ru-RU"/>
        </w:rPr>
        <w:softHyphen/>
        <w:t>ских систем, танков и самоходных установок (Т-34, КВ-1с, СУ-85, СУ-152) подтвердили их высокие технические и эксплуатационные ка</w:t>
      </w:r>
      <w:r w:rsidRPr="00070ADE">
        <w:rPr>
          <w:color w:val="000000" w:themeColor="text1"/>
          <w:lang w:val="ru-RU"/>
        </w:rPr>
        <w:softHyphen/>
        <w:t>чества (15748).</w:t>
      </w:r>
    </w:p>
    <w:p w14:paraId="7EC943F1" w14:textId="77777777" w:rsidR="00E20115" w:rsidRPr="00070ADE" w:rsidRDefault="00E20115" w:rsidP="00B56F90">
      <w:pPr>
        <w:pStyle w:val="a3"/>
        <w:rPr>
          <w:color w:val="000000" w:themeColor="text1"/>
          <w:lang w:val="ru-RU"/>
        </w:rPr>
      </w:pPr>
    </w:p>
    <w:p w14:paraId="0A40621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в Николаеве создана группа проектировщиков для восстановления местных заводов, в 1945 г. на ее базе создан Николаевский филиал ГСПИ-2 (11982).</w:t>
      </w:r>
    </w:p>
    <w:p w14:paraId="6300222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72A766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530C1CA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168E5D"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перед насту</w:t>
      </w:r>
      <w:r w:rsidRPr="00070ADE">
        <w:rPr>
          <w:rFonts w:ascii="Times New Roman" w:hAnsi="Times New Roman"/>
          <w:color w:val="000000" w:themeColor="text1"/>
          <w:sz w:val="16"/>
          <w:szCs w:val="16"/>
        </w:rPr>
        <w:softHyphen/>
        <w:t>плением советских войск потребовалось разрушить находившуюся в тылу у немцев плотину на реке Свирь. Совместными уси</w:t>
      </w:r>
      <w:r w:rsidRPr="00070ADE">
        <w:rPr>
          <w:rFonts w:ascii="Times New Roman" w:hAnsi="Times New Roman"/>
          <w:color w:val="000000" w:themeColor="text1"/>
          <w:sz w:val="16"/>
          <w:szCs w:val="16"/>
        </w:rPr>
        <w:softHyphen/>
        <w:t>лиями топмачтовиков A-20G, Ил-4 с мор</w:t>
      </w:r>
      <w:r w:rsidRPr="00070ADE">
        <w:rPr>
          <w:rFonts w:ascii="Times New Roman" w:hAnsi="Times New Roman"/>
          <w:color w:val="000000" w:themeColor="text1"/>
          <w:sz w:val="16"/>
          <w:szCs w:val="16"/>
        </w:rPr>
        <w:softHyphen/>
        <w:t>скими минами и штурмовиков, подав</w:t>
      </w:r>
      <w:r w:rsidRPr="00070ADE">
        <w:rPr>
          <w:rFonts w:ascii="Times New Roman" w:hAnsi="Times New Roman"/>
          <w:color w:val="000000" w:themeColor="text1"/>
          <w:sz w:val="16"/>
          <w:szCs w:val="16"/>
        </w:rPr>
        <w:softHyphen/>
        <w:t>лявших зенитные средства, плотина была взорвана (23513).</w:t>
      </w:r>
    </w:p>
    <w:p w14:paraId="25606AF1" w14:textId="77777777" w:rsidR="001364B3" w:rsidRPr="00070ADE" w:rsidRDefault="001364B3" w:rsidP="00B56F90">
      <w:pPr>
        <w:spacing w:after="0" w:line="240" w:lineRule="auto"/>
        <w:jc w:val="both"/>
        <w:rPr>
          <w:rFonts w:ascii="Times New Roman" w:hAnsi="Times New Roman"/>
          <w:color w:val="000000" w:themeColor="text1"/>
          <w:sz w:val="16"/>
          <w:szCs w:val="16"/>
        </w:rPr>
      </w:pPr>
    </w:p>
    <w:p w14:paraId="12B46CCB" w14:textId="77777777" w:rsidR="000340E9" w:rsidRPr="00070ADE" w:rsidRDefault="000340E9"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1-й оапп пе</w:t>
      </w:r>
      <w:r w:rsidRPr="00070ADE">
        <w:rPr>
          <w:rFonts w:ascii="Times New Roman" w:hAnsi="Times New Roman"/>
          <w:color w:val="000000" w:themeColor="text1"/>
          <w:sz w:val="16"/>
          <w:szCs w:val="16"/>
        </w:rPr>
        <w:softHyphen/>
        <w:t>ребазировался в Клин, где получил самолёты Ил-4, а 10 октября его пре</w:t>
      </w:r>
      <w:r w:rsidRPr="00070ADE">
        <w:rPr>
          <w:rFonts w:ascii="Times New Roman" w:hAnsi="Times New Roman"/>
          <w:color w:val="000000" w:themeColor="text1"/>
          <w:sz w:val="16"/>
          <w:szCs w:val="16"/>
        </w:rPr>
        <w:softHyphen/>
        <w:t>образовали в 208-й гв. апдд, включив в состав 19-й гв. аддд. 13 декабря того же года полк перевели в Могилёв (12266).</w:t>
      </w:r>
    </w:p>
    <w:p w14:paraId="2EBE62B7" w14:textId="77777777" w:rsidR="000340E9" w:rsidRPr="00070ADE" w:rsidRDefault="000340E9" w:rsidP="00B56F90">
      <w:pPr>
        <w:spacing w:after="0" w:line="240" w:lineRule="auto"/>
        <w:jc w:val="both"/>
        <w:rPr>
          <w:rFonts w:ascii="Times New Roman" w:hAnsi="Times New Roman"/>
          <w:color w:val="000000" w:themeColor="text1"/>
          <w:sz w:val="16"/>
          <w:szCs w:val="16"/>
        </w:rPr>
      </w:pPr>
    </w:p>
    <w:p w14:paraId="58DDDE7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июня 1944 года на истребитель Як-9У на аэродроме Волосово начал переучиваться личный состав 139-го гвардейского 303-й иад. Об эксплуатации Як-9У с моторами ВК-107А сохранилось очень мало информации, и, когда заходит речь о двигателе, то главным его дефектом называют низкий ресурс, до выработки которого в строевых частях они обычно не дотягивали. Одной из причин этого было плохое знание техническим персоналом материальной части и соответственно неграмотная его эксплуатация. Чтобы не быть голословным, отмечу, что в 139-м гвардейском иап моторы нарабатывали по 115 часов, вместо гарантированных 100 часов. Это стало возможным, благодаря упорному труду мотористов полка (12046).</w:t>
      </w:r>
    </w:p>
    <w:p w14:paraId="52AB9EB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CF3DFF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на ЧФ была сформирована 24-я отдельная эскадрилья корабельной авиации, в состав которой, помимо Бе-4, вошли истребители «Спит</w:t>
      </w:r>
      <w:r w:rsidRPr="00070ADE">
        <w:rPr>
          <w:rFonts w:ascii="Times New Roman" w:hAnsi="Times New Roman"/>
          <w:color w:val="000000" w:themeColor="text1"/>
          <w:sz w:val="16"/>
          <w:szCs w:val="16"/>
        </w:rPr>
        <w:softHyphen/>
        <w:t>файр» МР.УВ (10685). В июле 1945 г. в составе этой эскадрильи насчитывалось 8 Бе-4 (10685).</w:t>
      </w:r>
    </w:p>
    <w:p w14:paraId="52E4D82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4467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самолеты АДД приняли учас</w:t>
      </w:r>
      <w:r w:rsidRPr="00070ADE">
        <w:rPr>
          <w:rFonts w:ascii="Times New Roman" w:hAnsi="Times New Roman"/>
          <w:color w:val="000000" w:themeColor="text1"/>
          <w:sz w:val="16"/>
          <w:szCs w:val="16"/>
        </w:rPr>
        <w:softHyphen/>
        <w:t>тие в Белорусской операции. Там задей</w:t>
      </w:r>
      <w:r w:rsidRPr="00070ADE">
        <w:rPr>
          <w:rFonts w:ascii="Times New Roman" w:hAnsi="Times New Roman"/>
          <w:color w:val="000000" w:themeColor="text1"/>
          <w:sz w:val="16"/>
          <w:szCs w:val="16"/>
        </w:rPr>
        <w:softHyphen/>
        <w:t>ствовали 1226 машин. В основном их целями являлись железнодорожные уз</w:t>
      </w:r>
      <w:r w:rsidRPr="00070ADE">
        <w:rPr>
          <w:rFonts w:ascii="Times New Roman" w:hAnsi="Times New Roman"/>
          <w:color w:val="000000" w:themeColor="text1"/>
          <w:sz w:val="16"/>
          <w:szCs w:val="16"/>
        </w:rPr>
        <w:softHyphen/>
        <w:t>лы. Так, Брест бомбили два дня подряд. Дальние бомбардировщики до конца го</w:t>
      </w:r>
      <w:r w:rsidRPr="00070ADE">
        <w:rPr>
          <w:rFonts w:ascii="Times New Roman" w:hAnsi="Times New Roman"/>
          <w:color w:val="000000" w:themeColor="text1"/>
          <w:sz w:val="16"/>
          <w:szCs w:val="16"/>
        </w:rPr>
        <w:softHyphen/>
        <w:t>да наносили удары по целям вдоль всего фронта, а также эпизодически соверша</w:t>
      </w:r>
      <w:r w:rsidRPr="00070ADE">
        <w:rPr>
          <w:rFonts w:ascii="Times New Roman" w:hAnsi="Times New Roman"/>
          <w:color w:val="000000" w:themeColor="text1"/>
          <w:sz w:val="16"/>
          <w:szCs w:val="16"/>
        </w:rPr>
        <w:softHyphen/>
        <w:t>ли рейды в глубокий тыл немцев (10734,81).</w:t>
      </w:r>
    </w:p>
    <w:p w14:paraId="4B4050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53CC6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перед наступлением советских войск потребовалось разрушить находившуюся в тылу у немцев плотину на р. Свирь. Совместными усилиями топмачтовиков A-20G, Ил-4 с морскими минами и штурмовиков, подавлявших зенитные средства, плотина была взорвана (3457,109).</w:t>
      </w:r>
    </w:p>
    <w:p w14:paraId="12D4FF0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49972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в Выборгской операции аэрофотосъемка передне</w:t>
      </w:r>
      <w:r w:rsidRPr="00070ADE">
        <w:rPr>
          <w:rFonts w:ascii="Times New Roman" w:hAnsi="Times New Roman"/>
          <w:color w:val="000000" w:themeColor="text1"/>
          <w:sz w:val="16"/>
          <w:szCs w:val="16"/>
        </w:rPr>
        <w:softHyphen/>
        <w:t>го края противника осуществлялась оди</w:t>
      </w:r>
      <w:r w:rsidRPr="00070ADE">
        <w:rPr>
          <w:rFonts w:ascii="Times New Roman" w:hAnsi="Times New Roman"/>
          <w:color w:val="000000" w:themeColor="text1"/>
          <w:sz w:val="16"/>
          <w:szCs w:val="16"/>
        </w:rPr>
        <w:softHyphen/>
        <w:t>ночными Ил-2 при помощи фотоаппа</w:t>
      </w:r>
      <w:r w:rsidRPr="00070ADE">
        <w:rPr>
          <w:rFonts w:ascii="Times New Roman" w:hAnsi="Times New Roman"/>
          <w:color w:val="000000" w:themeColor="text1"/>
          <w:sz w:val="16"/>
          <w:szCs w:val="16"/>
        </w:rPr>
        <w:softHyphen/>
        <w:t>ратов АФА-ЗС с турельных фотоустано</w:t>
      </w:r>
      <w:r w:rsidRPr="00070ADE">
        <w:rPr>
          <w:rFonts w:ascii="Times New Roman" w:hAnsi="Times New Roman"/>
          <w:color w:val="000000" w:themeColor="text1"/>
          <w:sz w:val="16"/>
          <w:szCs w:val="16"/>
        </w:rPr>
        <w:softHyphen/>
        <w:t xml:space="preserve">вок, смонтированных в кабине стрелка. В период подготовки Яссо-Кишиневской наступательной операции в августе 44-го силами фотослужбы 2-го </w:t>
      </w:r>
      <w:r w:rsidRPr="00070ADE">
        <w:rPr>
          <w:rFonts w:ascii="Times New Roman" w:hAnsi="Times New Roman"/>
          <w:iCs/>
          <w:color w:val="000000" w:themeColor="text1"/>
          <w:sz w:val="16"/>
          <w:szCs w:val="16"/>
        </w:rPr>
        <w:t>шак</w:t>
      </w:r>
      <w:r w:rsidRPr="00070ADE">
        <w:rPr>
          <w:rFonts w:ascii="Times New Roman" w:hAnsi="Times New Roman"/>
          <w:color w:val="000000" w:themeColor="text1"/>
          <w:sz w:val="16"/>
          <w:szCs w:val="16"/>
        </w:rPr>
        <w:t xml:space="preserve"> 5-й ВА на нескольких Ил-2 была осуществлена установка четырех синхронно работаю</w:t>
      </w:r>
      <w:r w:rsidRPr="00070ADE">
        <w:rPr>
          <w:rFonts w:ascii="Times New Roman" w:hAnsi="Times New Roman"/>
          <w:color w:val="000000" w:themeColor="text1"/>
          <w:sz w:val="16"/>
          <w:szCs w:val="16"/>
        </w:rPr>
        <w:softHyphen/>
        <w:t>щих между собой фотоаппаратов АФА-ИМ, обеспечивавших перспективную фо</w:t>
      </w:r>
      <w:r w:rsidRPr="00070ADE">
        <w:rPr>
          <w:rFonts w:ascii="Times New Roman" w:hAnsi="Times New Roman"/>
          <w:color w:val="000000" w:themeColor="text1"/>
          <w:sz w:val="16"/>
          <w:szCs w:val="16"/>
        </w:rPr>
        <w:softHyphen/>
        <w:t>тосъемку с высоты 25-50 м (6467).</w:t>
      </w:r>
    </w:p>
    <w:p w14:paraId="723774B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84DB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на СФ комбинированный удар нанесли летчики-североморцы но порту Киркенес. Там совместно действовали Ил-2, A-20G и истребите (3457,109).</w:t>
      </w:r>
    </w:p>
    <w:p w14:paraId="07DA548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A168E2" w14:textId="77777777" w:rsidR="0044049D" w:rsidRPr="00070ADE" w:rsidRDefault="004404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на ЧФ была сформирована 24-я отдельная эскадрилья корабельной авиации, в состав которой помимо Бе-4 вошли истребители «Спитфайр» MR.VB. В июле 1945 г. в составе этой эскадрильи насчитывалось 8 Бе-4 (23541).</w:t>
      </w:r>
    </w:p>
    <w:p w14:paraId="444175FA" w14:textId="77777777" w:rsidR="0044049D" w:rsidRPr="00070ADE" w:rsidRDefault="0044049D" w:rsidP="00B56F90">
      <w:pPr>
        <w:spacing w:after="0" w:line="240" w:lineRule="auto"/>
        <w:jc w:val="both"/>
        <w:rPr>
          <w:rFonts w:ascii="Times New Roman" w:hAnsi="Times New Roman"/>
          <w:color w:val="000000" w:themeColor="text1"/>
          <w:sz w:val="16"/>
          <w:szCs w:val="16"/>
        </w:rPr>
      </w:pPr>
    </w:p>
    <w:p w14:paraId="5DEA65F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июня 1944 г. Ла-7, стали поступать в войска, получали их гвардейские полки (4707).</w:t>
      </w:r>
    </w:p>
    <w:p w14:paraId="045665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8C8F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состоялся дебют Ла-7 на фронте состоялся Эти самолёты поступали в лучшие полки, вооружённые Ла-5ФН. Техника пилотирования новой машины мало отличалась от старой, поэтому переучивание проходило быстро. Из строевых частей докладывали: "...освоение... при переходе с Ла-5 для лётного состава трудностей не представляет". Первые серийные истребители поступили в 19-й иап на Белорусском фронте. Это были машины московского производства. 24 июня они совершили первый боевой вылет в ходе операции "Багратион" - наступления в Белоруссии. По данным Г. Серова, первые подтверждённые победы на этих машинах одержали 7 июля 1944 г. старший лейтенант В.П. Петров и капитан А.Я. Баклан, уничтожившие в районе Берёзовки по одному немецкому истребителю Bf 109. С августа этот полк за боевые заслуги стал гвардейским, получив новое наименование - 176-й гв. Иап (11986).</w:t>
      </w:r>
    </w:p>
    <w:p w14:paraId="085942F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36BA62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на аэродроме НИИ ВВС в Чкаловской начал переучиваться 9-й гв. иап, которым командовал А.Ф. Морозов. Среди лётчиков этого полка были известные асы - дважды Герой Советского Союза В.Д. Лавриненков и Герой Советского Союза Амет-хан Султан. Лавриненков потом написал в своих мемуарах: "Этот широколобый, с мощным мотором, свободной и удобной кабиной и грозным вооружением самолёт сразу пришёлся нам по душе". На переподготовку этого полка ушло больше времени, поскольку Ла-7 сильно отличался от американской "Аэрокобры", на которой ранее летали пилоты 9-го гв. иап. Через четыре месяца полк под командованием майора Лавриненкова приступил к боевой работе в небе Прибалтики. Летали сначала с аэродрома Руткишки близ Каунаса. Рассчитывая в полной мере использовать высокие лётные данные нового истребителя, командование поставило полку задачу на "расчистку" воздушного пространства от немецких самолётов. В частности, его лётчики стали вести охоту на немецкие разведчики.</w:t>
      </w:r>
    </w:p>
    <w:p w14:paraId="33D1D4A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одном из таких вылетов у капитана П. Головачёва при перехвате "юнкерса" на большой высоте замерзла смазка пушек. Чтобы не дать "немцу" уйти с отснятой плёнкой, Головачёв изрубил винтом своего истребителя его хвостовое оперение. Вражеская машина вошла в пикирование, упала на землю и взорвалась. Капитан же успешно приземлился на своём аэродроме с погнутыми лопастями пропеллера. Головачёва наградили орденом Красной Звезды.</w:t>
      </w:r>
    </w:p>
    <w:p w14:paraId="13D8394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9-й гв. иап участвовал в боях в Курляндии и Восточной Пруссии. Его самолёты прикрывали войска у линии фронта, сопровождали бомбардировщики и штурмовики, штурмовали вражеские аэродромы. 18 января 1945 г. четвёрка советских истребителей смело пошла в атаку на большую группу немецких штурмовиков, следовавших с эскортом на бомбёжку наших танков. Всего у противника насчитывалось до 40 машин. В ходе боя гвардейцы уничтожили пять вражеских самолётов, сорвали бомбометание и благополучно вернулись домой. 19 февраля восемь Ла-7 вылетели для удара по аэродрому Хайлигенбайль. Три из них обеспечивали прикрытие, пока остальные поливали стоянки самолётов и аэродромные сооружения пушечным огнём. Группа же прикрытия ввязалась в бой с четырьмя немецкими истребителями Bf 109 и, не имея собственных потерь, сбила два из них (11986).</w:t>
      </w:r>
    </w:p>
    <w:p w14:paraId="69192EA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61EC3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нюня 1944 года в 45-й дивизии началась систематическая подготовка личного состава на единственном имевшемся "Либерейторе" (3457,116).</w:t>
      </w:r>
    </w:p>
    <w:p w14:paraId="653697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5DA9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во время наступления под Ленинградом С-47 5-го полка ГВФ и одного из полков ВВС обеспечивали перебазирование наземною состава полков 7-й воздушной армии, штабов и доставку грузов к фронту. Примерно то же самое делали машины 9-го и 120-го гвардейских транспортных полков при наступлении в Белоруссии. Велика была роль транспортной авиации в освобождении Правобережной Украины, Крыма, Прибалтики. Интенсивность полетов доходила иногда до 8-10 вылетов в день - чрезвычайно мною для больших транспортных машин! Отдельной строкой надо выделить операции по снабжению партизанских отрядов. Конечно, основная ноша здесь ложилась на неприхотливые У-2 и Р-5, но ведь Ли-2 или С-47 мог увезти столько же, сколько десяток этих бипланов. Поэтому при наличии подходящих площадок, а без них - со сбросом груза па парашютах, "Дугласы" по ночам направлялись в немецкий тыл. С-47 участвовали в снабжении партизан Карелии, Белоруссии и Украины, 120-й гвардейский полк, усиленный звеном Ли-2 и С-47, перед началом наступления в 1944 году обеспечил боеприпасами 19 партизанских бригад в белорусских лесах. 20 тонн взрывчатки перебросили туда экипажи 1-й транспортной дивизии. Летчики транспортной авиации способствовали наступательным операциям в Румынии, Польше, Венгрии и вплоть до Берлина и Праги. Ли-2 и С-47 5-ю бомбардировочного корпуса АДД сыграли основную роль в "воздушном мосте", перекинутом с Украины в восставшую Словакию в 1944 году. Там же, на аэродроме Зволен, садились С-47 1-й транспортной дивизии. Когда восстание было подавлено немцами, аэродром эвакуировали. Последним под минометным обстрелом взлетал С-47 П.П.Рышкова из 2-го транспортного полка; на его борту находилась следовавшая в Москву делегация венгерской оппозиции (3457,135).</w:t>
      </w:r>
    </w:p>
    <w:p w14:paraId="762F908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время операций в Словакии хотя С-47 составляли небольшую часть авиапарка корпуса, а их долю пришлась почти половина сбитых машин 5-го корпуса АДД. В отличие от Ли-2, С-47 штатного оборонительного вооружения не имел. Это было типично для всех американских транспортных самолетов. Случаи установки американцами пулеметов на С-47 очень редки, обычно их не ставили и у нас. Но американцы летали, как правило, в условиях своего господства в воздухе. У нас же при необходимости действовать в прифронтовой зоне и, тем более, над территорией противника, отсутствие вооружения становилось существенным недостатком. Известны отдельные случаи установки на С-47 верхней турели УТК-1 с пулеметом УБТ по образцу Ли-2. Одной из таких машин был С-47А из 101-го бомбардировочного полка. А в 10-й гвардейской транспортной дивизии имелись даже машины с дополнительной парой пулеметов ШКАС в задних окнах кабины (3457,138).</w:t>
      </w:r>
    </w:p>
    <w:p w14:paraId="19C8E7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B352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июня 1944 года 18-я эскадрилья на Черноморском флоте первой осваивала PBI-1 "Номады". Первый боевой вылет состоялся уже 7 июля: экипажи летчиков Коваля и Какаурова отправились на разведку. Эскадрилья была разбита на две группы, базировавшиеся в Одессе и Севастополе. Основными направлениями их работы являлись дальняя разведка над морем, противолодочное патрулирование и спасательные операции (3457,130).</w:t>
      </w:r>
    </w:p>
    <w:p w14:paraId="5D8055D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69DE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топмачтовики А-20Ж БФ используя ФАЬ-250, 500 и 1000 разрушили плотину ГРЭС Свирь-3 чтобы форсировать Свирь (1085,171).</w:t>
      </w:r>
    </w:p>
    <w:p w14:paraId="3B8942E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D80AB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июня 1944 г. к боевой работе приступила вторая торпедоносная часть ВВС КБФ - свежесформированный 51-й минно-торпедный полк, изначально укомплектованный исключительно самолетами А-20 (в 51 -м МТАП имелось также один - два Ил-4, которые использовались исключительно как учебные или транспортные машины). Таким образом, роль Ил-4 в общей сумме усилий минно-торпедной авиации ещё более снизилась. К сожалению, финал карьеры Ил-4 сопровождался чувствительными потерями без заметных успехов (9965).</w:t>
      </w:r>
    </w:p>
    <w:p w14:paraId="4A2082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C4D588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июня 1944 года и до окончания Великой Отечественной войны 72 ОГвТТП на ИС-122 первого выпуска входил в состав 4ТА, совместно с которой принимал участие в Львовско-Сандомирской, Нижнесилезской, Верхнесилезской, Берлинской и Пражской наступательных операциях. За освобождение города Львов, удостоен почетного наименования "Львовский". За боевые заслуги в годы войны полк был награжден орденами: Красного Знамени, Суворова 3-й степени, Кутузова 3-й степени, Богдана Хмельницкого 2-й степени и Александра Невского. (3862).</w:t>
      </w:r>
    </w:p>
    <w:p w14:paraId="1E4A3D9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2977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для облегчения форсирования Свири пришлось собирать по фронту уцелевшие, хотя и безнадежно устаревшие плавающие танки Т-38 (3862).</w:t>
      </w:r>
    </w:p>
    <w:p w14:paraId="4EE261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B9AFD0" w14:textId="77777777" w:rsidR="0009141E" w:rsidRPr="00070ADE" w:rsidRDefault="0009141E"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379A970E" w14:textId="77777777" w:rsidR="0009141E" w:rsidRPr="00070ADE" w:rsidRDefault="0009141E"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A1BB6B" w14:textId="77777777" w:rsidR="0009141E" w:rsidRPr="00070ADE" w:rsidRDefault="0009141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нарком внутренних дел СССР Лаврентий Берия докладывал в Совнарком: "НКВД и НКГБ Башкирской АССР сообщают следующие данные о положении с продовольственным снабжением рабочих и инженерно-технических работников ряда промышленных предприятий Башкирии. Несмотря на то что продовольствием, поступающим по централизованным фондам, в первую очередь снабжаются ОРС`ы (Отделы рабочего снабжения) ведущих промышленных предприятий, продуктовые карточки рабочих и служащих отдельных предприятий полностью не отовариваются. На заводе N 26 НКАП из фондов 3 и 4 кварталов 1943 г. и I квартала 1944 г. недополучено: крупы и макарон 433 тонны, рыбы 10 тонн, масла 29 тонн, сахара 52 тонны и кондитерских изделии 376 тонн. На заводе N 628 НКЭП не отоварено в I квартале с. г. 540 рабочих карточек по мясу, 350 карточек по жирам и недовыбрано фондов по крупе 30,5 тонны. По тресту "Ишимбайнефть" в I квартале с. г. продовольственные карточки отоварены по крупе на 41,1%, по мясу на 48,5%, по жирам на 10,8% и по сахару и кондитерским изделиям на 12,8%. Общественное питание рабочих на ряде промышленных предприятий организовано неудовлетворительно, качество обедов в столовых низкое. На Стерлитамакском химическом заводе имел место массовый отказ рабочих от первого блюда, приготовленного из крапивы. Фонды, отпускаемые на дополнительное питание рабочих, используются часто не по назначению. Так, на заводе N 26 НКАП за счет рабочего снабжения усиливалось питание комсостава и ИТР и покрывались расходы продуктов по банкетам. На состоянии рабочего снабжения отражаются также слабое осуществление децентрализованных заготовок, недостаточное использование подсобных хозяйств и значительные размеры хищений в торговой сети и сети общественного питания. Так, в январе-марте с. г. привлечено к уголовной ответственности за хищения и злоупотребления 3937 человек. Из-за перебоев в рабочем снабжении и неудовлетворительной организации общественного питания на ряде промышленных предприятий имеют место заболевания рабочих на почве истощения. На заводе N 268 НКЭП истощены 175 человек, на заводе N 161 НКАП — 110 человек. Имеется ряд смертных случаев от истощения. Особенно неблагополучно на заводе N 26 НКАП. Продовольственные карточки членов семей рабочих этого завода не отоваривались по 6-7 месяцев. Среди рабочих и служащих и инженерно-технических работников имеет место значительное количество заболеваний на почве истощения.</w:t>
      </w:r>
    </w:p>
    <w:p w14:paraId="179FCEB7" w14:textId="77777777" w:rsidR="0009141E" w:rsidRPr="00070ADE" w:rsidRDefault="0009141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апреле с. г. на заводе насчитывалось больных от истощения 2550 человек, малокровием 1208 человек и туберкулезом свыше 500 человек. С 1 января по 1 мая с. г. умерло от истощения 119 человек, в том числе рабочих завода 51 и членов семей 68 человек. Отмечены случаи, когда рабочие умирали во время работы в цехах. Некоторые семьи рабочих и инженерно-технических работников завода N 26 нищенствуют. Отдельные мастера выпрашивают у рабочих талоны на хлеб и на обеды. Некоторые инженеры занимаются черчением карт с нанесением линии фронта и продают их за обеденные талоны. Среди инженеров, техников и мастеров, работающих непосредственно в цехах, имеется много ослабленных и опухших от недоедания. Отмечены случаи, когда рабочие завода из-за систематического недоедания сознательно допускают брак в работе. В течение 1943 г. и января-мая с. г. с завода N 26 дезертировало 4709 человек. Уходя с завода, рабочие уничтожают свои документы, задерживаются в городе и на вокзале как бездокументные и через Райвоенкомат направляются в армию" (18406).</w:t>
      </w:r>
    </w:p>
    <w:p w14:paraId="68CA09F6" w14:textId="77777777" w:rsidR="0009141E" w:rsidRPr="00070ADE" w:rsidRDefault="0009141E" w:rsidP="00B56F90">
      <w:pPr>
        <w:spacing w:after="0" w:line="240" w:lineRule="auto"/>
        <w:jc w:val="both"/>
        <w:rPr>
          <w:rFonts w:ascii="Times New Roman" w:hAnsi="Times New Roman"/>
          <w:color w:val="000000" w:themeColor="text1"/>
          <w:sz w:val="16"/>
          <w:szCs w:val="16"/>
        </w:rPr>
      </w:pPr>
    </w:p>
    <w:p w14:paraId="29ED0726"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0537FC0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CD178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премьер Миколайчик отправился в Соединенные Штаты. Рузвельт - без должных оснований - обнадежил его, сказав, что Польша получит Львов, Кенигсберг, Силезию и, может быть, даже Вильнюс. Черчиль пытался охладить оптимизм Миколайчика: он не верил, что Сталин отступится от своих слов и дел (3871).</w:t>
      </w:r>
    </w:p>
    <w:p w14:paraId="0A0C4E3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225CD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Только в июне 1944 года на побережье полуострова Камчатка было обнаружено 106 зажигательных бомб, 28 из которых оказались неразорвавшимися. Надписи на корпусах указывали, что они изготовлены в США. Кроме того, было отмечено несколько случаев, когда самолеты ВВС США сбрасывали бомбы в пределах советских территориальных вод (11765).</w:t>
      </w:r>
    </w:p>
    <w:p w14:paraId="6250866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6414FF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52A5D7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7BDAF6" w14:textId="77777777" w:rsidR="00F13793" w:rsidRPr="00070ADE" w:rsidRDefault="00F1379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полет Naval Air транспортная служба в Тихом океане и в Африке, Европе, Южной Америке и некоторых частях Азии, залействуют более 200 самолетов и перевозят 22500 пассажиров и 8,3 миллиона фунтов (3764855 кг) грузов в месяц (20373).</w:t>
      </w:r>
    </w:p>
    <w:p w14:paraId="078BD069" w14:textId="77777777" w:rsidR="00F13793" w:rsidRPr="00070ADE" w:rsidRDefault="00F13793" w:rsidP="00B56F90">
      <w:pPr>
        <w:spacing w:after="0" w:line="240" w:lineRule="auto"/>
        <w:jc w:val="both"/>
        <w:rPr>
          <w:rFonts w:ascii="Times New Roman" w:hAnsi="Times New Roman"/>
          <w:color w:val="000000" w:themeColor="text1"/>
          <w:sz w:val="16"/>
          <w:szCs w:val="16"/>
        </w:rPr>
      </w:pPr>
    </w:p>
    <w:p w14:paraId="19C6F2BD" w14:textId="77777777" w:rsidR="00F13793" w:rsidRPr="00070ADE" w:rsidRDefault="00F1379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была облетана головная машина Ju 290A-7 с ракетами, и менее чем через месяц была уже в Бордо готова к боевым операциям.</w:t>
      </w:r>
    </w:p>
    <w:p w14:paraId="005AEA2F" w14:textId="77777777" w:rsidR="00F13793" w:rsidRPr="00070ADE" w:rsidRDefault="00F1379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Еще в 1942 г. один серийный разведчик Ju 290A-4 был переоборудован для испытаний противокорабельных крылатых ракет Hs 293, Hs 294 и управляемых бомб SD 1400X «Фриц», показав прекрасные ударные возможности.</w:t>
      </w:r>
    </w:p>
    <w:p w14:paraId="3AD6BAAB" w14:textId="77777777" w:rsidR="00F13793" w:rsidRPr="00070ADE" w:rsidRDefault="00F1379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проекте Ju 290A-7 была обеспечена подвеска двух-трех управляемых боеприпасов или обычных бомб калибра до 1000 кг общей массой 3 т. Для обороны самолет имел 6 пушек MG 151/20 и 3 крупнокалиберных пулемета MG 131, дававших почти сферический обстрел с перекрытием соседних секторов. Оборудование включало радар, пассивный радиопеленгатор, системы слепого самолетовождения и посадки, а также радиолокационный ответчик свой-чужой. Четыре надежных массово выпускавшихся мотора BMW 801D развивали взлетную мощность по 1700 л.с., на высоте 2000 м номинал составлял 1450, а на 5700 м — 1310 сил, что обеспечивало скорость полета 450 км/ч на границе высотности. Дальность полета без бомб превышала 6000 км.</w:t>
      </w:r>
    </w:p>
    <w:p w14:paraId="5AC40D0C" w14:textId="77777777" w:rsidR="00F13793" w:rsidRPr="00070ADE" w:rsidRDefault="00F1379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 второй половине 1944 фирма «Юнкерс» заложила серию патрульных бомбардировщиков Ju 290A-8, на которых были учтены замечания производственников и военных к модификации А-7.</w:t>
      </w:r>
    </w:p>
    <w:p w14:paraId="2E356A84" w14:textId="77777777" w:rsidR="00F13793" w:rsidRPr="00070ADE" w:rsidRDefault="00F1379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Выпуск большой серии Ju 290A-9 планировался на заводе «Летов», там же думали строить высотный Ju 290B (22969).</w:t>
      </w:r>
    </w:p>
    <w:p w14:paraId="524405AC" w14:textId="77777777" w:rsidR="00F13793" w:rsidRPr="00070ADE" w:rsidRDefault="00F13793" w:rsidP="00B56F90">
      <w:pPr>
        <w:spacing w:after="0" w:line="240" w:lineRule="auto"/>
        <w:jc w:val="both"/>
        <w:rPr>
          <w:rFonts w:ascii="Times New Roman" w:hAnsi="Times New Roman"/>
          <w:color w:val="000000" w:themeColor="text1"/>
          <w:sz w:val="16"/>
          <w:szCs w:val="16"/>
        </w:rPr>
      </w:pPr>
    </w:p>
    <w:p w14:paraId="5F0AF582"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года завод в Альт-Леневиц сдал за</w:t>
      </w:r>
      <w:r w:rsidRPr="00070ADE">
        <w:rPr>
          <w:rFonts w:ascii="Times New Roman" w:hAnsi="Times New Roman"/>
          <w:color w:val="000000" w:themeColor="text1"/>
          <w:sz w:val="16"/>
          <w:szCs w:val="16"/>
        </w:rPr>
        <w:softHyphen/>
        <w:t>казчику первые 20 машин нулевой сеpии Аг-234В-0. Большую часть из них, не имевших гермокабин и ката</w:t>
      </w:r>
      <w:r w:rsidRPr="00070ADE">
        <w:rPr>
          <w:rFonts w:ascii="Times New Roman" w:hAnsi="Times New Roman"/>
          <w:color w:val="000000" w:themeColor="text1"/>
          <w:sz w:val="16"/>
          <w:szCs w:val="16"/>
        </w:rPr>
        <w:softHyphen/>
        <w:t>пультируемых кресел, отправили в Рехлин для доводки и испытаний.</w:t>
      </w:r>
    </w:p>
    <w:p w14:paraId="4279601B"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Боевое крещение Аг-234В-0, причем в варианте разведчика, состоялось в августе 1944 года. В первом боевом вылете одно</w:t>
      </w:r>
      <w:r w:rsidRPr="00070ADE">
        <w:rPr>
          <w:rFonts w:ascii="Times New Roman" w:hAnsi="Times New Roman"/>
          <w:color w:val="000000" w:themeColor="text1"/>
          <w:sz w:val="16"/>
          <w:szCs w:val="16"/>
        </w:rPr>
        <w:softHyphen/>
        <w:t>му пилоту Зоммеру с высоты 10 000 мет</w:t>
      </w:r>
      <w:r w:rsidRPr="00070ADE">
        <w:rPr>
          <w:rFonts w:ascii="Times New Roman" w:hAnsi="Times New Roman"/>
          <w:color w:val="000000" w:themeColor="text1"/>
          <w:sz w:val="16"/>
          <w:szCs w:val="16"/>
        </w:rPr>
        <w:softHyphen/>
        <w:t>ров удалось сделать то, что было не по силам экипажам Ju-88 и Do-217. Над недоступным для Люфтваффе районом высадки союзников он сделал 380 фото</w:t>
      </w:r>
      <w:r w:rsidRPr="00070ADE">
        <w:rPr>
          <w:rFonts w:ascii="Times New Roman" w:hAnsi="Times New Roman"/>
          <w:color w:val="000000" w:themeColor="text1"/>
          <w:sz w:val="16"/>
          <w:szCs w:val="16"/>
        </w:rPr>
        <w:softHyphen/>
        <w:t>снимков за полтора часа.</w:t>
      </w:r>
    </w:p>
    <w:p w14:paraId="4568CA85"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Первые успехи позволили в сентябре того же года сформировать зондеркоман</w:t>
      </w:r>
      <w:r w:rsidRPr="00070ADE">
        <w:rPr>
          <w:rFonts w:ascii="Times New Roman" w:hAnsi="Times New Roman"/>
          <w:color w:val="000000" w:themeColor="text1"/>
          <w:sz w:val="16"/>
          <w:szCs w:val="16"/>
        </w:rPr>
        <w:softHyphen/>
        <w:t>ду Готц из четырех Аг-234В-1. Затем ор</w:t>
      </w:r>
      <w:r w:rsidRPr="00070ADE">
        <w:rPr>
          <w:rFonts w:ascii="Times New Roman" w:hAnsi="Times New Roman"/>
          <w:color w:val="000000" w:themeColor="text1"/>
          <w:sz w:val="16"/>
          <w:szCs w:val="16"/>
        </w:rPr>
        <w:softHyphen/>
        <w:t>ганизовали еще два аналогичных подраз</w:t>
      </w:r>
      <w:r w:rsidRPr="00070ADE">
        <w:rPr>
          <w:rFonts w:ascii="Times New Roman" w:hAnsi="Times New Roman"/>
          <w:color w:val="000000" w:themeColor="text1"/>
          <w:sz w:val="16"/>
          <w:szCs w:val="16"/>
        </w:rPr>
        <w:softHyphen/>
        <w:t>деления (23462).</w:t>
      </w:r>
    </w:p>
    <w:p w14:paraId="602E1A92" w14:textId="77777777" w:rsidR="001364B3" w:rsidRPr="00070ADE" w:rsidRDefault="001364B3" w:rsidP="00B56F90">
      <w:pPr>
        <w:spacing w:after="0" w:line="240" w:lineRule="auto"/>
        <w:jc w:val="both"/>
        <w:rPr>
          <w:rFonts w:ascii="Times New Roman" w:hAnsi="Times New Roman"/>
          <w:color w:val="000000" w:themeColor="text1"/>
          <w:sz w:val="16"/>
          <w:szCs w:val="16"/>
        </w:rPr>
      </w:pPr>
    </w:p>
    <w:p w14:paraId="63BE2D1A"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накануне первых боевых запусков Fi-103, журналист Ганс Шварц ван Берк (Hans Schwarz van Berk; 1902–1973) из Имперского министерства пропаганды предложил своему шефу Йозефу Геббельсу называть все образцы нового секретного оружия «Оружием возмездия» (Vergeltungswaff), присваивая каждому из них свой порядковый номер. В немецком языке буква «V» произносится как «фау». Так появилось обозначение «Фау-1» (V-1) (23372).</w:t>
      </w:r>
    </w:p>
    <w:p w14:paraId="11D52506" w14:textId="77777777" w:rsidR="001364B3" w:rsidRPr="00070ADE" w:rsidRDefault="001364B3" w:rsidP="00B56F90">
      <w:pPr>
        <w:spacing w:after="0" w:line="240" w:lineRule="auto"/>
        <w:jc w:val="both"/>
        <w:rPr>
          <w:rFonts w:ascii="Times New Roman" w:hAnsi="Times New Roman"/>
          <w:color w:val="000000" w:themeColor="text1"/>
          <w:sz w:val="16"/>
          <w:szCs w:val="16"/>
        </w:rPr>
      </w:pPr>
    </w:p>
    <w:p w14:paraId="38FA2435" w14:textId="0625AA2B"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поняли, что взрывы А4 в конце траектории, не долетая до земли, происходили из-за слишком высокой чувствительности электрического взрывателя ударного действия. Когда ракета падала на цель, вся её конструкция начинала вибрировать под воздействием аэродинамических перегрузок, и</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прибор срабатывал (23372).</w:t>
      </w:r>
    </w:p>
    <w:p w14:paraId="6F4BD49A" w14:textId="77777777" w:rsidR="001364B3" w:rsidRPr="00070ADE" w:rsidRDefault="001364B3" w:rsidP="00B56F90">
      <w:pPr>
        <w:spacing w:after="0" w:line="240" w:lineRule="auto"/>
        <w:jc w:val="both"/>
        <w:rPr>
          <w:rFonts w:ascii="Times New Roman" w:hAnsi="Times New Roman"/>
          <w:color w:val="000000" w:themeColor="text1"/>
          <w:sz w:val="16"/>
          <w:szCs w:val="16"/>
        </w:rPr>
      </w:pPr>
    </w:p>
    <w:p w14:paraId="4B27FF7F" w14:textId="77777777" w:rsidR="001364B3" w:rsidRPr="00070ADE" w:rsidRDefault="001364B3"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когда летные испытания А-4 были в основном завершены и до пер</w:t>
      </w:r>
      <w:r w:rsidRPr="00070ADE">
        <w:rPr>
          <w:rFonts w:ascii="Times New Roman" w:hAnsi="Times New Roman"/>
          <w:color w:val="000000" w:themeColor="text1"/>
          <w:sz w:val="16"/>
          <w:szCs w:val="16"/>
        </w:rPr>
        <w:softHyphen/>
        <w:t>вых пусков по Парижу, Лондону и Ант</w:t>
      </w:r>
      <w:r w:rsidRPr="00070ADE">
        <w:rPr>
          <w:rFonts w:ascii="Times New Roman" w:hAnsi="Times New Roman"/>
          <w:color w:val="000000" w:themeColor="text1"/>
          <w:sz w:val="16"/>
          <w:szCs w:val="16"/>
        </w:rPr>
        <w:softHyphen/>
        <w:t>верпену оставалось три месяца, руко</w:t>
      </w:r>
      <w:r w:rsidRPr="00070ADE">
        <w:rPr>
          <w:rFonts w:ascii="Times New Roman" w:hAnsi="Times New Roman"/>
          <w:color w:val="000000" w:themeColor="text1"/>
          <w:sz w:val="16"/>
          <w:szCs w:val="16"/>
        </w:rPr>
        <w:softHyphen/>
        <w:t>водитель отдела будущих проектов Людвиг Рот (Ludwig Roth) получил раз</w:t>
      </w:r>
      <w:r w:rsidRPr="00070ADE">
        <w:rPr>
          <w:rFonts w:ascii="Times New Roman" w:hAnsi="Times New Roman"/>
          <w:color w:val="000000" w:themeColor="text1"/>
          <w:sz w:val="16"/>
          <w:szCs w:val="16"/>
        </w:rPr>
        <w:softHyphen/>
        <w:t>решение возобновить работы по А-9. Как раз в этот момент союзники выса</w:t>
      </w:r>
      <w:r w:rsidRPr="00070ADE">
        <w:rPr>
          <w:rFonts w:ascii="Times New Roman" w:hAnsi="Times New Roman"/>
          <w:color w:val="000000" w:themeColor="text1"/>
          <w:sz w:val="16"/>
          <w:szCs w:val="16"/>
        </w:rPr>
        <w:softHyphen/>
        <w:t>дились во Франции и в сентябре 1944 г. очистили ее северное побережье и боль</w:t>
      </w:r>
      <w:r w:rsidRPr="00070ADE">
        <w:rPr>
          <w:rFonts w:ascii="Times New Roman" w:hAnsi="Times New Roman"/>
          <w:color w:val="000000" w:themeColor="text1"/>
          <w:sz w:val="16"/>
          <w:szCs w:val="16"/>
        </w:rPr>
        <w:softHyphen/>
        <w:t>шую часть Бельгии. Создалась угроза утраты Нидерландов и тех стартовых позиций, с которых 8 сентября немцы начали обстрел Лондона ракетами А-4. Задача повышения дальности герма- неких ракет приобрела исключитель</w:t>
      </w:r>
      <w:r w:rsidRPr="00070ADE">
        <w:rPr>
          <w:rFonts w:ascii="Times New Roman" w:hAnsi="Times New Roman"/>
          <w:color w:val="000000" w:themeColor="text1"/>
          <w:sz w:val="16"/>
          <w:szCs w:val="16"/>
        </w:rPr>
        <w:softHyphen/>
        <w:t>ную важность.</w:t>
      </w:r>
    </w:p>
    <w:p w14:paraId="5881862C" w14:textId="77777777" w:rsidR="001364B3" w:rsidRPr="00070ADE" w:rsidRDefault="001364B3" w:rsidP="00B56F90">
      <w:pPr>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rPr>
        <w:t>Об использовании на А-9 модерни</w:t>
      </w:r>
      <w:r w:rsidRPr="00070ADE">
        <w:rPr>
          <w:rFonts w:ascii="Times New Roman" w:hAnsi="Times New Roman"/>
          <w:color w:val="000000" w:themeColor="text1"/>
          <w:sz w:val="16"/>
          <w:szCs w:val="16"/>
        </w:rPr>
        <w:softHyphen/>
        <w:t>зированного ЖРД не было уже и речи. Для ускорения летных испытаний в ок</w:t>
      </w:r>
      <w:r w:rsidRPr="00070ADE">
        <w:rPr>
          <w:rFonts w:ascii="Times New Roman" w:hAnsi="Times New Roman"/>
          <w:color w:val="000000" w:themeColor="text1"/>
          <w:sz w:val="16"/>
          <w:szCs w:val="16"/>
        </w:rPr>
        <w:softHyphen/>
        <w:t>тябре 1944 г. фон Браун предложил срочно изготовить из имеющихся частей А-4 и А-9 экспериментальные раке</w:t>
      </w:r>
      <w:r w:rsidRPr="00070ADE">
        <w:rPr>
          <w:rFonts w:ascii="Times New Roman" w:hAnsi="Times New Roman"/>
          <w:color w:val="000000" w:themeColor="text1"/>
          <w:sz w:val="16"/>
          <w:szCs w:val="16"/>
        </w:rPr>
        <w:softHyphen/>
        <w:t>ты, которые подучили обозначение А- 4Ь (от bastard - гибрид). Видимым от</w:t>
      </w:r>
      <w:r w:rsidRPr="00070ADE">
        <w:rPr>
          <w:rFonts w:ascii="Times New Roman" w:hAnsi="Times New Roman"/>
          <w:color w:val="000000" w:themeColor="text1"/>
          <w:sz w:val="16"/>
          <w:szCs w:val="16"/>
        </w:rPr>
        <w:softHyphen/>
        <w:t>личием от проектной А-9 были рули высоты и направления значительно меньшей площади. К декабрю плани</w:t>
      </w:r>
      <w:r w:rsidRPr="00070ADE">
        <w:rPr>
          <w:rFonts w:ascii="Times New Roman" w:hAnsi="Times New Roman"/>
          <w:color w:val="000000" w:themeColor="text1"/>
          <w:sz w:val="16"/>
          <w:szCs w:val="16"/>
        </w:rPr>
        <w:softHyphen/>
        <w:t xml:space="preserve">ровалось также изготовить первые 20 экземпляров А-9, но чем кончилась эта серия - неизвестно. </w:t>
      </w:r>
      <w:r w:rsidRPr="00070ADE">
        <w:rPr>
          <w:rFonts w:ascii="Times New Roman" w:hAnsi="Times New Roman"/>
          <w:color w:val="000000" w:themeColor="text1"/>
          <w:sz w:val="16"/>
          <w:szCs w:val="16"/>
          <w:lang w:val="en-US"/>
        </w:rPr>
        <w:t>(23388).</w:t>
      </w:r>
    </w:p>
    <w:p w14:paraId="7C053A6B" w14:textId="77777777" w:rsidR="001364B3" w:rsidRPr="00070ADE" w:rsidRDefault="001364B3" w:rsidP="00B56F90">
      <w:pPr>
        <w:spacing w:after="0" w:line="240" w:lineRule="auto"/>
        <w:jc w:val="both"/>
        <w:rPr>
          <w:rFonts w:ascii="Times New Roman" w:hAnsi="Times New Roman"/>
          <w:color w:val="000000" w:themeColor="text1"/>
          <w:sz w:val="16"/>
          <w:szCs w:val="16"/>
          <w:lang w:val="en-US"/>
        </w:rPr>
      </w:pPr>
    </w:p>
    <w:p w14:paraId="3F4A283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070ADE">
        <w:rPr>
          <w:rFonts w:ascii="Times New Roman" w:hAnsi="Times New Roman"/>
          <w:color w:val="000000" w:themeColor="text1"/>
          <w:sz w:val="16"/>
          <w:szCs w:val="16"/>
          <w:lang w:val="en-US"/>
        </w:rPr>
        <w:t>During June 1944 Remains of V-2 which impacted in Sweden were flown to England for Allied analysis (1038).</w:t>
      </w:r>
    </w:p>
    <w:p w14:paraId="1AF68FF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FFDCE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в Швеции были захвачены остатки ракеты Фау-2 и их отправили в Англию (1038).</w:t>
      </w:r>
    </w:p>
    <w:p w14:paraId="46E6C6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5384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были возобновлены работы над отложенным проектом крылатой ракеты и составлена программа новых экспериментов в аэродинамической трубе. Уже в октябре 1944 г. была подготовлена документация и выдано задание на изготовление первых пяти ракет А4b.</w:t>
      </w:r>
    </w:p>
    <w:p w14:paraId="0517588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Согласно проекту, ракета А4b представляла собой модифицированную ракету А4 (V2), к которой были пристыкованы крылья с размахом 6 м и стреловидностью 45о. Такая стреловидность крыла была выбрана для данной ракеты на основе экспериментальных продувок в аэродинамической трубе как наилучшая.</w:t>
      </w:r>
    </w:p>
    <w:p w14:paraId="6BAB995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Другим отличием ракеты А4b было наличие графитовых газовых рулей.</w:t>
      </w:r>
    </w:p>
    <w:p w14:paraId="3126933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Были заданы определенные ограничения при проектировании крылатой ракеты, через которые немецкие специалисты по известным причинам не могли переступить. Война приближалась к своему логическому завершению, и в этих условиях фон Браун вынужден был довольствоваться реальным положением дел, поэтому в своей работе по ракете А4b он пошел по пути наименьшего сопротивления: за базовую конструкцию была взята Немецкая гибридная межконтинентальная ракета А9/А10 251 та А4 (V2). Для запуска ракеты А4b также использовалось то же самое оборудование, что и для запуска А4 (11686).</w:t>
      </w:r>
    </w:p>
    <w:p w14:paraId="2FE9B0E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334F35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г. немцы приступили к плановому обстрелу южных районов Англии. Для обеспечения запуска V-1 нем</w:t>
      </w:r>
      <w:r w:rsidRPr="00070ADE">
        <w:rPr>
          <w:rFonts w:ascii="Times New Roman" w:hAnsi="Times New Roman"/>
          <w:color w:val="000000" w:themeColor="text1"/>
          <w:sz w:val="16"/>
          <w:szCs w:val="16"/>
        </w:rPr>
        <w:softHyphen/>
        <w:t>цам удалось развернуть на побережье Северного моря (район городов Кале и Булонь, Франция и район городов Гаага и Роттердам, Голландия) пуско</w:t>
      </w:r>
      <w:r w:rsidRPr="00070ADE">
        <w:rPr>
          <w:rFonts w:ascii="Times New Roman" w:hAnsi="Times New Roman"/>
          <w:color w:val="000000" w:themeColor="text1"/>
          <w:sz w:val="16"/>
          <w:szCs w:val="16"/>
        </w:rPr>
        <w:softHyphen/>
        <w:t>вые ракетные установки, способные вести обстрел Южной Англии без ис</w:t>
      </w:r>
      <w:r w:rsidRPr="00070ADE">
        <w:rPr>
          <w:rFonts w:ascii="Times New Roman" w:hAnsi="Times New Roman"/>
          <w:color w:val="000000" w:themeColor="text1"/>
          <w:sz w:val="16"/>
          <w:szCs w:val="16"/>
        </w:rPr>
        <w:softHyphen/>
        <w:t>пользования радиоуправления. Для это</w:t>
      </w:r>
      <w:r w:rsidRPr="00070ADE">
        <w:rPr>
          <w:rFonts w:ascii="Times New Roman" w:hAnsi="Times New Roman"/>
          <w:color w:val="000000" w:themeColor="text1"/>
          <w:sz w:val="16"/>
          <w:szCs w:val="16"/>
        </w:rPr>
        <w:softHyphen/>
        <w:t>го не требовалось особой точности попадания в цель. Так, в период 1944 - 1945 гг. 80% долетевших до англий</w:t>
      </w:r>
      <w:r w:rsidRPr="00070ADE">
        <w:rPr>
          <w:rFonts w:ascii="Times New Roman" w:hAnsi="Times New Roman"/>
          <w:color w:val="000000" w:themeColor="text1"/>
          <w:sz w:val="16"/>
          <w:szCs w:val="16"/>
        </w:rPr>
        <w:softHyphen/>
        <w:t>ского побережья ракет падали в ра</w:t>
      </w:r>
      <w:r w:rsidRPr="00070ADE">
        <w:rPr>
          <w:rFonts w:ascii="Times New Roman" w:hAnsi="Times New Roman"/>
          <w:color w:val="000000" w:themeColor="text1"/>
          <w:sz w:val="16"/>
          <w:szCs w:val="16"/>
        </w:rPr>
        <w:softHyphen/>
        <w:t>диусе 13 км от намеченной цели. Основными целями V-1 стали про</w:t>
      </w:r>
      <w:r w:rsidRPr="00070ADE">
        <w:rPr>
          <w:rFonts w:ascii="Times New Roman" w:hAnsi="Times New Roman"/>
          <w:color w:val="000000" w:themeColor="text1"/>
          <w:sz w:val="16"/>
          <w:szCs w:val="16"/>
        </w:rPr>
        <w:softHyphen/>
        <w:t>мышленные районы Южной Англии, к которым позднее присоединились круп</w:t>
      </w:r>
      <w:r w:rsidRPr="00070ADE">
        <w:rPr>
          <w:rFonts w:ascii="Times New Roman" w:hAnsi="Times New Roman"/>
          <w:color w:val="000000" w:themeColor="text1"/>
          <w:sz w:val="16"/>
          <w:szCs w:val="16"/>
        </w:rPr>
        <w:softHyphen/>
        <w:t>ные города Бельгии. В результате ме</w:t>
      </w:r>
      <w:r w:rsidRPr="00070ADE">
        <w:rPr>
          <w:rFonts w:ascii="Times New Roman" w:hAnsi="Times New Roman"/>
          <w:color w:val="000000" w:themeColor="text1"/>
          <w:sz w:val="16"/>
          <w:szCs w:val="16"/>
        </w:rPr>
        <w:softHyphen/>
        <w:t>тодичного обстрела столицы Великоб</w:t>
      </w:r>
      <w:r w:rsidRPr="00070ADE">
        <w:rPr>
          <w:rFonts w:ascii="Times New Roman" w:hAnsi="Times New Roman"/>
          <w:color w:val="000000" w:themeColor="text1"/>
          <w:sz w:val="16"/>
          <w:szCs w:val="16"/>
        </w:rPr>
        <w:softHyphen/>
        <w:t>ритании летом 1944 г. в городе было полностью разрушено более 25,5 ты</w:t>
      </w:r>
      <w:r w:rsidRPr="00070ADE">
        <w:rPr>
          <w:rFonts w:ascii="Times New Roman" w:hAnsi="Times New Roman"/>
          <w:color w:val="000000" w:themeColor="text1"/>
          <w:sz w:val="16"/>
          <w:szCs w:val="16"/>
        </w:rPr>
        <w:softHyphen/>
        <w:t>сяч домов. Жертвами ракетных ударов стали 21400 лондонцев. В то же время успехи английских ПВО в борьбе с V-1 вынудили немец</w:t>
      </w:r>
      <w:r w:rsidRPr="00070ADE">
        <w:rPr>
          <w:rFonts w:ascii="Times New Roman" w:hAnsi="Times New Roman"/>
          <w:color w:val="000000" w:themeColor="text1"/>
          <w:sz w:val="16"/>
          <w:szCs w:val="16"/>
        </w:rPr>
        <w:softHyphen/>
        <w:t>кую сторону использовать для их за</w:t>
      </w:r>
      <w:r w:rsidRPr="00070ADE">
        <w:rPr>
          <w:rFonts w:ascii="Times New Roman" w:hAnsi="Times New Roman"/>
          <w:color w:val="000000" w:themeColor="text1"/>
          <w:sz w:val="16"/>
          <w:szCs w:val="16"/>
        </w:rPr>
        <w:softHyphen/>
        <w:t>пусков самолеты-носители (бомбарди</w:t>
      </w:r>
      <w:r w:rsidRPr="00070ADE">
        <w:rPr>
          <w:rFonts w:ascii="Times New Roman" w:hAnsi="Times New Roman"/>
          <w:color w:val="000000" w:themeColor="text1"/>
          <w:sz w:val="16"/>
          <w:szCs w:val="16"/>
        </w:rPr>
        <w:softHyphen/>
        <w:t>ровщики типа Не-111), способные дей</w:t>
      </w:r>
      <w:r w:rsidRPr="00070ADE">
        <w:rPr>
          <w:rFonts w:ascii="Times New Roman" w:hAnsi="Times New Roman"/>
          <w:color w:val="000000" w:themeColor="text1"/>
          <w:sz w:val="16"/>
          <w:szCs w:val="16"/>
        </w:rPr>
        <w:softHyphen/>
        <w:t>ствовать в обход главной группировки системы противовоздушной обороны Англии, нацеленной преимущественно в юго-восточном направлении, откуда ранее действовали V-1 (с территории Северной Франции). Для решения этой задачи было сформировано специаль</w:t>
      </w:r>
      <w:r w:rsidRPr="00070ADE">
        <w:rPr>
          <w:rFonts w:ascii="Times New Roman" w:hAnsi="Times New Roman"/>
          <w:color w:val="000000" w:themeColor="text1"/>
          <w:sz w:val="16"/>
          <w:szCs w:val="16"/>
        </w:rPr>
        <w:softHyphen/>
        <w:t>ное авиационное соединение КG-3 (впоследствии КG-53) в составе трех авиагрупп (до 100 самолетов Не-111), дислоцирующееся в Голландии. При этом каждый самолет-носитель мог транспортировать одну ракету V-1 (10791).</w:t>
      </w:r>
    </w:p>
    <w:p w14:paraId="11687E3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BED8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июне 1944, когда велась сборка опытного Ju-287, работы были прекращены в пользу истребительной программы. Закончили у нас в Подберезье в 1947 (2116).</w:t>
      </w:r>
    </w:p>
    <w:p w14:paraId="64847C2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9B62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вслед за успешными испытаниями Hs 129B-2.R4, была выпущена серийная модель, обозначенная Hs 129В-З. Она отличалась наличием 75-мм пушки ВК 7.5 которая была аналогична РаК 40 за исключением того, что вместо механического имелся электропневматический привод. Пушка имела длину около 6 метров, 12 снарядов боекомплекта весом по 11.8 кг, а интервалы между выстрелами составляли 1.5 секунды. Дистанция отката ствола составляла около метра и в сочетании с вспышкой во время выстрела это создавало у пилота некоторое тревожное ощущение! Установка в случае крайней необходимости полностью сбрасывалась, таким образом позволяя пилоту сохранить контроль над машиной при выходе из боя с одним работающим двигателем. Первые три Hs 129B-3 (зав.N.162033, 162034 и 162035) были переданы для испытаний в Erprobungskommando 26 в Тарновице в начале августа 1944 года. Они завершились в сентябре и на заводе в Шенефельде было собрано около двадцати пяти Hs 129B-3. Эти самолеты были поставлены в 10 и 14(Pz)/SG 9 зимой 1944/45 года и успешно действовали даже против гигантских танков ИС до того, как нехватка топлива в марте 1945 фактически "приземлила" Luftwaffe. На Hs 129 были испытаны многие другие интересные вооружения. Одним из наиболее впечатляющих и потенциально самым эффективным являлся реактивный миномет SG 113A "Forstersonde" (Sondergerate 113A - спецустановка 113А "Посох лесничего"). Три Hs 129 были оснащены этим передовым оружием, состоявшем из шести минометных стволов в ромбовидной установке. SG 113A мог стрелять шестью 77-мм снарядами типа Sabot (подкалиберный - прим. перев.) вертикально вниз, причем пуск из оружия производился по сигналу от фотоэлемента реагирующего на тень вражеского танка. Снаряд имел 77-мм рубашку из мягкого металла, которая после покидания ствола сбрасывалась, оставляя твердый 45-мм стержень. Этот тип ракеты (?) имел очень высокие бронепробивающие способности по сравнению с обычным типом, однако сведений о боевом применении этого оружия не имеется. (надо отметить, что широкое распространение снарядов такого типа для танковых пушек началось во второй половине 70-х годов - прим. ред.) (3188).</w:t>
      </w:r>
    </w:p>
    <w:p w14:paraId="692242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5193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береговая охрана получила вертолетоносец WPG-181, вооруженный вертолетами Сикорского HNS-1 (4082).</w:t>
      </w:r>
    </w:p>
    <w:p w14:paraId="6EA14A4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AADE28" w14:textId="77777777" w:rsidR="00E20115" w:rsidRPr="00070ADE" w:rsidRDefault="00E20115" w:rsidP="00B56F90">
      <w:pPr>
        <w:pStyle w:val="book"/>
        <w:ind w:firstLine="0"/>
        <w:jc w:val="both"/>
        <w:rPr>
          <w:color w:val="000000" w:themeColor="text1"/>
          <w:sz w:val="16"/>
          <w:szCs w:val="16"/>
        </w:rPr>
      </w:pPr>
      <w:r w:rsidRPr="00070ADE">
        <w:rPr>
          <w:color w:val="000000" w:themeColor="text1"/>
          <w:sz w:val="16"/>
          <w:szCs w:val="16"/>
        </w:rPr>
        <w:t>В июне 1944 года заместитель директора института профессор Халлерфорден обратился к Тимофееву-Ресовскому с предложением возглавить программу стерилизации славянской расы при помощи радиации. Впрочем, согласно показаниям того же В. Пютца, Тимофеев-Ресовский "лично при приближении Красной армии дал приказания об уничтожении секретных документов, которые хранились у меня в сейфе"» (15225).</w:t>
      </w:r>
    </w:p>
    <w:p w14:paraId="02197B14" w14:textId="77777777" w:rsidR="00E20115" w:rsidRPr="00070ADE" w:rsidRDefault="00E20115" w:rsidP="00B56F90">
      <w:pPr>
        <w:pStyle w:val="book"/>
        <w:ind w:firstLine="0"/>
        <w:jc w:val="both"/>
        <w:rPr>
          <w:color w:val="000000" w:themeColor="text1"/>
          <w:sz w:val="16"/>
          <w:szCs w:val="16"/>
        </w:rPr>
      </w:pPr>
    </w:p>
    <w:p w14:paraId="269359E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1944 НЛО появился в действии 38 оперативного соединения ВМС США. На перехват подняли два и с Тикондероги. при попытке атаки у и вышли из строя двигатели и они совершили вынужденную на воду. Пилотов подобрал эсминец Аарон Бард (3710).</w:t>
      </w:r>
    </w:p>
    <w:p w14:paraId="7DEBB54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98C1F2" w14:textId="764BC3F8" w:rsidR="00606E03" w:rsidRPr="00606E03" w:rsidRDefault="00606E03" w:rsidP="00606E03">
      <w:pPr>
        <w:spacing w:after="0" w:line="240" w:lineRule="auto"/>
        <w:jc w:val="both"/>
        <w:rPr>
          <w:rStyle w:val="aff1"/>
          <w:rFonts w:ascii="Times New Roman" w:hAnsi="Times New Roman" w:cs="Times New Roman"/>
          <w:color w:val="0070C0"/>
          <w:spacing w:val="0"/>
          <w:sz w:val="16"/>
          <w:szCs w:val="16"/>
        </w:rPr>
      </w:pPr>
      <w:r w:rsidRPr="00606E03">
        <w:rPr>
          <w:rStyle w:val="aff1"/>
          <w:rFonts w:ascii="Times New Roman" w:hAnsi="Times New Roman" w:cs="Times New Roman"/>
          <w:color w:val="0070C0"/>
          <w:spacing w:val="0"/>
          <w:sz w:val="16"/>
          <w:szCs w:val="16"/>
        </w:rPr>
        <w:t>Летом 1944 года вышел при</w:t>
      </w:r>
      <w:r w:rsidRPr="00606E03">
        <w:rPr>
          <w:rStyle w:val="aff1"/>
          <w:rFonts w:ascii="Times New Roman" w:hAnsi="Times New Roman" w:cs="Times New Roman"/>
          <w:color w:val="0070C0"/>
          <w:spacing w:val="0"/>
          <w:sz w:val="16"/>
          <w:szCs w:val="16"/>
        </w:rPr>
        <w:softHyphen/>
        <w:t>каз германского Министерства авиации на передачу японским представителям копий чертежей, различной документации и образ</w:t>
      </w:r>
      <w:r w:rsidRPr="00606E03">
        <w:rPr>
          <w:rStyle w:val="aff1"/>
          <w:rFonts w:ascii="Times New Roman" w:hAnsi="Times New Roman" w:cs="Times New Roman"/>
          <w:color w:val="0070C0"/>
          <w:spacing w:val="0"/>
          <w:sz w:val="16"/>
          <w:szCs w:val="16"/>
        </w:rPr>
        <w:softHyphen/>
        <w:t xml:space="preserve">цов техники. Их предполагалось доставить в Японию на нескольких подводных лодках. Но до Германии дошла только одна японская субмарина 1-29. Оплаченным самолетам </w:t>
      </w:r>
      <w:r w:rsidRPr="00606E03">
        <w:rPr>
          <w:rStyle w:val="aff1"/>
          <w:rFonts w:ascii="Times New Roman" w:hAnsi="Times New Roman" w:cs="Times New Roman"/>
          <w:color w:val="0070C0"/>
          <w:spacing w:val="0"/>
          <w:sz w:val="16"/>
          <w:szCs w:val="16"/>
          <w:lang w:val="en-US"/>
        </w:rPr>
        <w:t>Me</w:t>
      </w:r>
      <w:r w:rsidRPr="00606E03">
        <w:rPr>
          <w:rStyle w:val="aff1"/>
          <w:rFonts w:ascii="Times New Roman" w:hAnsi="Times New Roman" w:cs="Times New Roman"/>
          <w:color w:val="0070C0"/>
          <w:spacing w:val="0"/>
          <w:sz w:val="16"/>
          <w:szCs w:val="16"/>
        </w:rPr>
        <w:t xml:space="preserve"> 163 и </w:t>
      </w:r>
      <w:r w:rsidRPr="00606E03">
        <w:rPr>
          <w:rStyle w:val="aff1"/>
          <w:rFonts w:ascii="Times New Roman" w:hAnsi="Times New Roman" w:cs="Times New Roman"/>
          <w:color w:val="0070C0"/>
          <w:spacing w:val="0"/>
          <w:sz w:val="16"/>
          <w:szCs w:val="16"/>
          <w:lang w:val="en-US"/>
        </w:rPr>
        <w:t>Me</w:t>
      </w:r>
      <w:r w:rsidRPr="00606E03">
        <w:rPr>
          <w:rStyle w:val="aff1"/>
          <w:rFonts w:ascii="Times New Roman" w:hAnsi="Times New Roman" w:cs="Times New Roman"/>
          <w:color w:val="0070C0"/>
          <w:spacing w:val="0"/>
          <w:sz w:val="16"/>
          <w:szCs w:val="16"/>
        </w:rPr>
        <w:t xml:space="preserve"> 262 места на ней не нашлось, тем не менее, в нее загрузили ЖРД </w:t>
      </w:r>
      <w:r w:rsidRPr="00606E03">
        <w:rPr>
          <w:rStyle w:val="aff1"/>
          <w:rFonts w:ascii="Times New Roman" w:hAnsi="Times New Roman" w:cs="Times New Roman"/>
          <w:color w:val="0070C0"/>
          <w:spacing w:val="0"/>
          <w:sz w:val="16"/>
          <w:szCs w:val="16"/>
          <w:lang w:val="en-US"/>
        </w:rPr>
        <w:t>HWK</w:t>
      </w:r>
      <w:r w:rsidRPr="00606E03">
        <w:rPr>
          <w:rStyle w:val="aff1"/>
          <w:rFonts w:ascii="Times New Roman" w:hAnsi="Times New Roman" w:cs="Times New Roman"/>
          <w:color w:val="0070C0"/>
          <w:spacing w:val="0"/>
          <w:sz w:val="16"/>
          <w:szCs w:val="16"/>
        </w:rPr>
        <w:t xml:space="preserve"> 509,</w:t>
      </w:r>
      <w:r w:rsidRPr="00606E03">
        <w:rPr>
          <w:rStyle w:val="aff1"/>
          <w:rFonts w:ascii="Times New Roman" w:hAnsi="Times New Roman" w:cs="Times New Roman"/>
          <w:color w:val="0070C0"/>
          <w:spacing w:val="0"/>
          <w:sz w:val="16"/>
          <w:szCs w:val="16"/>
        </w:rPr>
        <w:t xml:space="preserve"> </w:t>
      </w:r>
      <w:r w:rsidRPr="00606E03">
        <w:rPr>
          <w:rStyle w:val="aff1"/>
          <w:rFonts w:ascii="Times New Roman" w:hAnsi="Times New Roman" w:cs="Times New Roman"/>
          <w:color w:val="0070C0"/>
          <w:spacing w:val="0"/>
          <w:sz w:val="16"/>
          <w:szCs w:val="16"/>
        </w:rPr>
        <w:t xml:space="preserve">ТРД </w:t>
      </w:r>
      <w:r w:rsidRPr="00606E03">
        <w:rPr>
          <w:rStyle w:val="aff1"/>
          <w:rFonts w:ascii="Times New Roman" w:hAnsi="Times New Roman" w:cs="Times New Roman"/>
          <w:color w:val="0070C0"/>
          <w:spacing w:val="0"/>
          <w:sz w:val="16"/>
          <w:szCs w:val="16"/>
          <w:lang w:val="en-US"/>
        </w:rPr>
        <w:t>BMW</w:t>
      </w:r>
      <w:r w:rsidRPr="00606E03">
        <w:rPr>
          <w:rStyle w:val="aff1"/>
          <w:rFonts w:ascii="Times New Roman" w:hAnsi="Times New Roman" w:cs="Times New Roman"/>
          <w:color w:val="0070C0"/>
          <w:spacing w:val="0"/>
          <w:sz w:val="16"/>
          <w:szCs w:val="16"/>
        </w:rPr>
        <w:t xml:space="preserve"> 003 и другие образцы новейшего вооружения (разобранный самолет-снаряд </w:t>
      </w:r>
      <w:r w:rsidRPr="00606E03">
        <w:rPr>
          <w:rStyle w:val="aff1"/>
          <w:rFonts w:ascii="Times New Roman" w:hAnsi="Times New Roman" w:cs="Times New Roman"/>
          <w:color w:val="0070C0"/>
          <w:spacing w:val="0"/>
          <w:sz w:val="16"/>
          <w:szCs w:val="16"/>
          <w:lang w:val="en-US"/>
        </w:rPr>
        <w:t>V</w:t>
      </w:r>
      <w:r w:rsidRPr="00606E03">
        <w:rPr>
          <w:rStyle w:val="aff1"/>
          <w:rFonts w:ascii="Times New Roman" w:hAnsi="Times New Roman" w:cs="Times New Roman"/>
          <w:color w:val="0070C0"/>
          <w:spacing w:val="0"/>
          <w:sz w:val="16"/>
          <w:szCs w:val="16"/>
        </w:rPr>
        <w:t>-1, гироскопы, блоки новейшей РЛС ПВО и систем самонаведения торпед), а также около 10 т стратегических материалов.</w:t>
      </w:r>
    </w:p>
    <w:p w14:paraId="49029B95" w14:textId="4E1F7BE7" w:rsidR="00606E03" w:rsidRPr="00606E03" w:rsidRDefault="00606E03" w:rsidP="00606E03">
      <w:pPr>
        <w:spacing w:after="0" w:line="240" w:lineRule="auto"/>
        <w:jc w:val="both"/>
        <w:rPr>
          <w:rStyle w:val="aff1"/>
          <w:rFonts w:ascii="Times New Roman" w:hAnsi="Times New Roman" w:cs="Times New Roman"/>
          <w:color w:val="0070C0"/>
          <w:spacing w:val="0"/>
          <w:sz w:val="16"/>
          <w:szCs w:val="16"/>
        </w:rPr>
      </w:pPr>
      <w:r w:rsidRPr="00606E03">
        <w:rPr>
          <w:rStyle w:val="aff1"/>
          <w:rFonts w:ascii="Times New Roman" w:hAnsi="Times New Roman" w:cs="Times New Roman"/>
          <w:color w:val="0070C0"/>
          <w:spacing w:val="0"/>
          <w:sz w:val="16"/>
          <w:szCs w:val="16"/>
        </w:rPr>
        <w:t xml:space="preserve">В соответствии с соглашением о немецко- японском сотрудничестве японский военный атташе присутствовал на демонстрации реактивного самолета </w:t>
      </w:r>
      <w:r w:rsidRPr="00606E03">
        <w:rPr>
          <w:rStyle w:val="aff1"/>
          <w:rFonts w:ascii="Times New Roman" w:hAnsi="Times New Roman" w:cs="Times New Roman"/>
          <w:color w:val="0070C0"/>
          <w:spacing w:val="0"/>
          <w:sz w:val="16"/>
          <w:szCs w:val="16"/>
          <w:lang w:val="en-US"/>
        </w:rPr>
        <w:t>Me</w:t>
      </w:r>
      <w:r w:rsidRPr="00606E03">
        <w:rPr>
          <w:rStyle w:val="aff1"/>
          <w:rFonts w:ascii="Times New Roman" w:hAnsi="Times New Roman" w:cs="Times New Roman"/>
          <w:color w:val="0070C0"/>
          <w:spacing w:val="0"/>
          <w:sz w:val="16"/>
          <w:szCs w:val="16"/>
        </w:rPr>
        <w:t xml:space="preserve"> 262. В 1944 году дипломаты запросили информацию, образ</w:t>
      </w:r>
      <w:r w:rsidRPr="00606E03">
        <w:rPr>
          <w:rStyle w:val="aff1"/>
          <w:rFonts w:ascii="Times New Roman" w:hAnsi="Times New Roman" w:cs="Times New Roman"/>
          <w:color w:val="0070C0"/>
          <w:spacing w:val="0"/>
          <w:sz w:val="16"/>
          <w:szCs w:val="16"/>
        </w:rPr>
        <w:softHyphen/>
        <w:t xml:space="preserve">цы техники и разрешение на командировку японских специалистов в Германию. Японцы хотели приобрести лицензию на </w:t>
      </w:r>
      <w:r w:rsidRPr="00606E03">
        <w:rPr>
          <w:rStyle w:val="aff1"/>
          <w:rFonts w:ascii="Times New Roman" w:hAnsi="Times New Roman" w:cs="Times New Roman"/>
          <w:color w:val="0070C0"/>
          <w:spacing w:val="0"/>
          <w:sz w:val="16"/>
          <w:szCs w:val="16"/>
          <w:lang w:val="en-US"/>
        </w:rPr>
        <w:t>Me</w:t>
      </w:r>
      <w:r w:rsidRPr="00606E03">
        <w:rPr>
          <w:rStyle w:val="aff1"/>
          <w:rFonts w:ascii="Times New Roman" w:hAnsi="Times New Roman" w:cs="Times New Roman"/>
          <w:color w:val="0070C0"/>
          <w:spacing w:val="0"/>
          <w:sz w:val="16"/>
          <w:szCs w:val="16"/>
        </w:rPr>
        <w:t xml:space="preserve"> 262А- 1а, перехватчик с ЖРД </w:t>
      </w:r>
      <w:r w:rsidRPr="00606E03">
        <w:rPr>
          <w:rStyle w:val="aff1"/>
          <w:rFonts w:ascii="Times New Roman" w:hAnsi="Times New Roman" w:cs="Times New Roman"/>
          <w:color w:val="0070C0"/>
          <w:spacing w:val="0"/>
          <w:sz w:val="16"/>
          <w:szCs w:val="16"/>
          <w:lang w:val="en-US"/>
        </w:rPr>
        <w:t>Me</w:t>
      </w:r>
      <w:r w:rsidRPr="00606E03">
        <w:rPr>
          <w:rStyle w:val="aff1"/>
          <w:rFonts w:ascii="Times New Roman" w:hAnsi="Times New Roman" w:cs="Times New Roman"/>
          <w:color w:val="0070C0"/>
          <w:spacing w:val="0"/>
          <w:sz w:val="16"/>
          <w:szCs w:val="16"/>
        </w:rPr>
        <w:t xml:space="preserve"> 163В-1а и на их силовые установки, вооружение и другое оборудование</w:t>
      </w:r>
      <w:r w:rsidRPr="00606E03">
        <w:rPr>
          <w:rStyle w:val="aff1"/>
          <w:rFonts w:ascii="Times New Roman" w:hAnsi="Times New Roman" w:cs="Times New Roman"/>
          <w:color w:val="0070C0"/>
          <w:spacing w:val="0"/>
          <w:sz w:val="16"/>
          <w:szCs w:val="16"/>
        </w:rPr>
        <w:t xml:space="preserve"> (25794)</w:t>
      </w:r>
      <w:r w:rsidRPr="00606E03">
        <w:rPr>
          <w:rStyle w:val="aff1"/>
          <w:rFonts w:ascii="Times New Roman" w:hAnsi="Times New Roman" w:cs="Times New Roman"/>
          <w:color w:val="0070C0"/>
          <w:spacing w:val="0"/>
          <w:sz w:val="16"/>
          <w:szCs w:val="16"/>
        </w:rPr>
        <w:t xml:space="preserve">. </w:t>
      </w:r>
    </w:p>
    <w:p w14:paraId="3DFBD330" w14:textId="77777777" w:rsidR="00606E03" w:rsidRPr="00606E03" w:rsidRDefault="00606E03" w:rsidP="00B56F90">
      <w:pPr>
        <w:widowControl w:val="0"/>
        <w:autoSpaceDE w:val="0"/>
        <w:autoSpaceDN w:val="0"/>
        <w:adjustRightInd w:val="0"/>
        <w:spacing w:after="0" w:line="240" w:lineRule="auto"/>
        <w:jc w:val="both"/>
        <w:rPr>
          <w:rFonts w:ascii="Times New Roman" w:hAnsi="Times New Roman"/>
          <w:i/>
          <w:iCs/>
          <w:color w:val="0070C0"/>
          <w:sz w:val="16"/>
          <w:szCs w:val="16"/>
        </w:rPr>
      </w:pPr>
    </w:p>
    <w:p w14:paraId="56963989" w14:textId="3894C2A4"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C2A27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3613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Лишь в июне - июле 1944 г. в НИИ ВВС удалось провести первые испытания со стрельбой из трёх синхронных пушек Б-20 на Ла-5ФН. Эти испытания выявили, что при выбросе гильз наружу из окон в зализах крыла случались повреждения консолей и хвостового оперения. Машину доработали, обеспечив выброс гильз вниз под фюзеляж, и в сентябре провели повторные испытания. Но в серийное производство трёхпушечный вариант передали лишь летом 1945 г. (11986).</w:t>
      </w:r>
    </w:p>
    <w:p w14:paraId="2D9220D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5AC55A8"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июне—июле 1944 года в НИИ ВВС удалось провести лишь первые испытания Ла-7 трех синхрон</w:t>
      </w:r>
      <w:r w:rsidRPr="001A0BAA">
        <w:rPr>
          <w:rFonts w:ascii="Times New Roman" w:hAnsi="Times New Roman"/>
          <w:color w:val="0070C0"/>
          <w:sz w:val="16"/>
          <w:szCs w:val="16"/>
        </w:rPr>
        <w:softHyphen/>
        <w:t>ных пушек Б-20. Они по</w:t>
      </w:r>
      <w:r w:rsidRPr="001A0BAA">
        <w:rPr>
          <w:rFonts w:ascii="Times New Roman" w:hAnsi="Times New Roman"/>
          <w:color w:val="0070C0"/>
          <w:sz w:val="16"/>
          <w:szCs w:val="16"/>
        </w:rPr>
        <w:softHyphen/>
        <w:t>казали, что при выбросе гильз в воздух из зализов крыла случались повреждения его консолей и хвостового оперения. Машину доработали, сделав выброс гильз под фю</w:t>
      </w:r>
      <w:r w:rsidRPr="001A0BAA">
        <w:rPr>
          <w:rFonts w:ascii="Times New Roman" w:hAnsi="Times New Roman"/>
          <w:color w:val="0070C0"/>
          <w:sz w:val="16"/>
          <w:szCs w:val="16"/>
        </w:rPr>
        <w:softHyphen/>
        <w:t>зеляж, и в сентябре испытания в НИИ ВВС повторили. Поскольку орудия Б-20 к тому моменту испытания не прошли, то в серий</w:t>
      </w:r>
      <w:r w:rsidRPr="001A0BAA">
        <w:rPr>
          <w:rFonts w:ascii="Times New Roman" w:hAnsi="Times New Roman"/>
          <w:color w:val="0070C0"/>
          <w:sz w:val="16"/>
          <w:szCs w:val="16"/>
        </w:rPr>
        <w:softHyphen/>
        <w:t>ное производство трехпушечный вариант был запущен лишь летом 1945 года.</w:t>
      </w:r>
    </w:p>
    <w:p w14:paraId="6F5F1161"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Хотя надежность пушки Б-20 оставля</w:t>
      </w:r>
      <w:r w:rsidRPr="001A0BAA">
        <w:rPr>
          <w:rFonts w:ascii="Times New Roman" w:hAnsi="Times New Roman"/>
          <w:color w:val="0070C0"/>
          <w:sz w:val="16"/>
          <w:szCs w:val="16"/>
        </w:rPr>
        <w:softHyphen/>
        <w:t>ла желать лучшего, завод № 381 изгото</w:t>
      </w:r>
      <w:r w:rsidRPr="001A0BAA">
        <w:rPr>
          <w:rFonts w:ascii="Times New Roman" w:hAnsi="Times New Roman"/>
          <w:color w:val="0070C0"/>
          <w:sz w:val="16"/>
          <w:szCs w:val="16"/>
        </w:rPr>
        <w:softHyphen/>
        <w:t>вил 381 экземпляр трехпушечного Ла-7. Довести же это орудие удалось лишь по</w:t>
      </w:r>
      <w:r w:rsidRPr="001A0BAA">
        <w:rPr>
          <w:rFonts w:ascii="Times New Roman" w:hAnsi="Times New Roman"/>
          <w:color w:val="0070C0"/>
          <w:sz w:val="16"/>
          <w:szCs w:val="16"/>
        </w:rPr>
        <w:softHyphen/>
        <w:t>сле войны, и оно составило основу обо</w:t>
      </w:r>
      <w:r w:rsidRPr="001A0BAA">
        <w:rPr>
          <w:rFonts w:ascii="Times New Roman" w:hAnsi="Times New Roman"/>
          <w:color w:val="0070C0"/>
          <w:sz w:val="16"/>
          <w:szCs w:val="16"/>
        </w:rPr>
        <w:softHyphen/>
        <w:t>ронительного вооружения первых серий бомбардировщиков Ту-4.</w:t>
      </w:r>
    </w:p>
    <w:p w14:paraId="2D2AA01D"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Были предложения установить на Ла-7 батареи из трех пушек Б.Г. Шпитального СШ-20 и Ш-23. Первая из них отлича</w:t>
      </w:r>
      <w:r w:rsidRPr="001A0BAA">
        <w:rPr>
          <w:rFonts w:ascii="Times New Roman" w:hAnsi="Times New Roman"/>
          <w:color w:val="0070C0"/>
          <w:sz w:val="16"/>
          <w:szCs w:val="16"/>
        </w:rPr>
        <w:softHyphen/>
        <w:t>лась от ШВАК двухсторонним питанием и меньшим весом. Самолет с СШ-20 по</w:t>
      </w:r>
      <w:r w:rsidRPr="001A0BAA">
        <w:rPr>
          <w:rFonts w:ascii="Times New Roman" w:hAnsi="Times New Roman"/>
          <w:color w:val="0070C0"/>
          <w:sz w:val="16"/>
          <w:szCs w:val="16"/>
        </w:rPr>
        <w:softHyphen/>
        <w:t>строили, но ВВС эти орудия забраковали и дальнейшие работы по машине прекра</w:t>
      </w:r>
      <w:r w:rsidRPr="001A0BAA">
        <w:rPr>
          <w:rFonts w:ascii="Times New Roman" w:hAnsi="Times New Roman"/>
          <w:color w:val="0070C0"/>
          <w:sz w:val="16"/>
          <w:szCs w:val="16"/>
        </w:rPr>
        <w:softHyphen/>
        <w:t>тили. Что касается пушки Ш-23, то Шпитальный с ней опоздал, поскольку раньше появилась НС-23.</w:t>
      </w:r>
    </w:p>
    <w:p w14:paraId="574D4556"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Основу вооружения Л а-7 составляли пушки ШВАК, за исключением самолетов московского авиазавода № 381 и неболь</w:t>
      </w:r>
      <w:r w:rsidRPr="001A0BAA">
        <w:rPr>
          <w:rFonts w:ascii="Times New Roman" w:hAnsi="Times New Roman"/>
          <w:color w:val="0070C0"/>
          <w:sz w:val="16"/>
          <w:szCs w:val="16"/>
        </w:rPr>
        <w:softHyphen/>
        <w:t>шой серии завода № 21. Отстрел пушек Б-20с в ходе госу</w:t>
      </w:r>
      <w:r w:rsidRPr="001A0BAA">
        <w:rPr>
          <w:rFonts w:ascii="Times New Roman" w:hAnsi="Times New Roman"/>
          <w:color w:val="0070C0"/>
          <w:sz w:val="16"/>
          <w:szCs w:val="16"/>
        </w:rPr>
        <w:softHyphen/>
        <w:t>дарственных испытаний прототипа Ла-7 не производился (24988)</w:t>
      </w:r>
    </w:p>
    <w:p w14:paraId="4A69D50D" w14:textId="77777777" w:rsidR="00EF323C" w:rsidRPr="001A0BAA" w:rsidRDefault="00EF323C" w:rsidP="00EF323C">
      <w:pPr>
        <w:spacing w:after="0" w:line="240" w:lineRule="auto"/>
        <w:jc w:val="both"/>
        <w:rPr>
          <w:rFonts w:ascii="Times New Roman" w:hAnsi="Times New Roman"/>
          <w:color w:val="0070C0"/>
          <w:sz w:val="16"/>
          <w:szCs w:val="16"/>
        </w:rPr>
      </w:pPr>
    </w:p>
    <w:p w14:paraId="591F2146"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июне — июле 1944 года в НИИ ВВС удалось провести первые испытания трех синхронных мушек Б-20 на одном из истребителей Ла-7. Они выявили, что при выбросе гильз в воздух из зализов крыла случались повреждения консолей крыла и хвостового оперения. Машину доработали, сделав выброс гильз под фюзеляж, и в сентябре вновь испытали в НИИ ВВС (25391).</w:t>
      </w:r>
    </w:p>
    <w:p w14:paraId="1A4C5432" w14:textId="77777777" w:rsidR="00EF323C" w:rsidRPr="001A0BAA" w:rsidRDefault="00EF323C" w:rsidP="00EF323C">
      <w:pPr>
        <w:spacing w:after="0" w:line="240" w:lineRule="auto"/>
        <w:jc w:val="both"/>
        <w:rPr>
          <w:rFonts w:ascii="Times New Roman" w:hAnsi="Times New Roman"/>
          <w:color w:val="0070C0"/>
          <w:sz w:val="16"/>
          <w:szCs w:val="16"/>
        </w:rPr>
      </w:pPr>
    </w:p>
    <w:p w14:paraId="5A03BA1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5C05FAB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6FFE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июне-июле 1944 были проведены сравнительные испытания головного образца Су-100-2 с частично переделанной пушкой С-34 и Су-100. Су-100-2 оказалась хуже и на вооружение рекомендована не была (4406).</w:t>
      </w:r>
    </w:p>
    <w:p w14:paraId="1F8220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157B0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июне-июле 1944 года во время многочисленных морских боев немецкая батарея Мирус, вооруженная русскими 12/52-дюймовыми башнями, снятыми французами в Бизерте с линкора "Генерал Алексеев" (бывший "Император Александр III") и потом захваченными немцами, впервые вступила в дело. Она оставалась боеспособной до конца войны (3861).</w:t>
      </w:r>
    </w:p>
    <w:p w14:paraId="791E8F1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65533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 - июле 1944 г. один из доработанных Т-44 был испытан на НИБТ полигоне Танк имел бое</w:t>
      </w:r>
      <w:r w:rsidRPr="00070ADE">
        <w:rPr>
          <w:rFonts w:ascii="Times New Roman" w:hAnsi="Times New Roman"/>
          <w:color w:val="000000" w:themeColor="text1"/>
          <w:sz w:val="16"/>
          <w:szCs w:val="16"/>
        </w:rPr>
        <w:softHyphen/>
        <w:t>вую массу 31,3 т, был вооружен 85-мм пушкой ЗИС-С-53. Толщина бро</w:t>
      </w:r>
      <w:r w:rsidRPr="00070ADE">
        <w:rPr>
          <w:rFonts w:ascii="Times New Roman" w:hAnsi="Times New Roman"/>
          <w:color w:val="000000" w:themeColor="text1"/>
          <w:sz w:val="16"/>
          <w:szCs w:val="16"/>
        </w:rPr>
        <w:softHyphen/>
        <w:t>ни лобовой части башни была увеличена до 115 мм, а борта корпуса из</w:t>
      </w:r>
      <w:r w:rsidRPr="00070ADE">
        <w:rPr>
          <w:rFonts w:ascii="Times New Roman" w:hAnsi="Times New Roman"/>
          <w:color w:val="000000" w:themeColor="text1"/>
          <w:sz w:val="16"/>
          <w:szCs w:val="16"/>
        </w:rPr>
        <w:softHyphen/>
        <w:t>готавливались из катаных 75-мм броневых листов. На испытаниях вновь были обнаружены существенные недостатки в работе привода вентилятора, входного редуктора трансмиссии и опор</w:t>
      </w:r>
      <w:r w:rsidRPr="00070ADE">
        <w:rPr>
          <w:rFonts w:ascii="Times New Roman" w:hAnsi="Times New Roman"/>
          <w:color w:val="000000" w:themeColor="text1"/>
          <w:sz w:val="16"/>
          <w:szCs w:val="16"/>
        </w:rPr>
        <w:softHyphen/>
        <w:t>ных катков. В августе -сентябре 1944 г. заводским испытаниям был под</w:t>
      </w:r>
      <w:r w:rsidRPr="00070ADE">
        <w:rPr>
          <w:rFonts w:ascii="Times New Roman" w:hAnsi="Times New Roman"/>
          <w:color w:val="000000" w:themeColor="text1"/>
          <w:sz w:val="16"/>
          <w:szCs w:val="16"/>
        </w:rPr>
        <w:softHyphen/>
        <w:t>вергнут опытный танк третьей модификации. При боевой массе 30,7 т, верхний лобовой лист корпуса имел .толщину 90 мм, а лобовая часть башни - 120 мм. На танке был установлен дизель В-44 мощностью 500 л.с. (368 кВт). Передаточное отношение бортового редуктора было уменьшено с 7,11 до 5,89, за счет чего максимальная скорость машины возросла до 60,5 км/ч. Этот танк после внесения некоторых конструктивных изменений 23 ноября 1944 г. был рекомендован к серийному производству. Одновре</w:t>
      </w:r>
      <w:r w:rsidRPr="00070ADE">
        <w:rPr>
          <w:rFonts w:ascii="Times New Roman" w:hAnsi="Times New Roman"/>
          <w:color w:val="000000" w:themeColor="text1"/>
          <w:sz w:val="16"/>
          <w:szCs w:val="16"/>
        </w:rPr>
        <w:softHyphen/>
        <w:t>менно было принято решение об изготовлении к марту 1945 г. опытно</w:t>
      </w:r>
      <w:r w:rsidRPr="00070ADE">
        <w:rPr>
          <w:rFonts w:ascii="Times New Roman" w:hAnsi="Times New Roman"/>
          <w:color w:val="000000" w:themeColor="text1"/>
          <w:sz w:val="16"/>
          <w:szCs w:val="16"/>
        </w:rPr>
        <w:softHyphen/>
        <w:t>го образца танка Т-44 Со 100-мм пушкой Д-10Т (10703).</w:t>
      </w:r>
    </w:p>
    <w:p w14:paraId="5E36D67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CECA3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июне-июле 1944 г. второй опытный образец танка Т-44 (второй модификации) успешно прошел испыта</w:t>
      </w:r>
      <w:r w:rsidRPr="00070ADE">
        <w:rPr>
          <w:rFonts w:ascii="Times New Roman" w:hAnsi="Times New Roman"/>
          <w:color w:val="000000" w:themeColor="text1"/>
          <w:sz w:val="16"/>
          <w:szCs w:val="16"/>
        </w:rPr>
        <w:softHyphen/>
        <w:t>ния на НИБТ полигоне и был рекомендован для принятия на вооруже</w:t>
      </w:r>
      <w:r w:rsidRPr="00070ADE">
        <w:rPr>
          <w:rFonts w:ascii="Times New Roman" w:hAnsi="Times New Roman"/>
          <w:color w:val="000000" w:themeColor="text1"/>
          <w:sz w:val="16"/>
          <w:szCs w:val="16"/>
        </w:rPr>
        <w:softHyphen/>
        <w:t>ние РККА после устранения выявленных дефектов и реализации всех предложений комиссии. На вооружение танк не принимался и в серий</w:t>
      </w:r>
      <w:r w:rsidRPr="00070ADE">
        <w:rPr>
          <w:rFonts w:ascii="Times New Roman" w:hAnsi="Times New Roman"/>
          <w:color w:val="000000" w:themeColor="text1"/>
          <w:sz w:val="16"/>
          <w:szCs w:val="16"/>
        </w:rPr>
        <w:softHyphen/>
        <w:t>ном производстве не состоял. Явился прототипом предсерийного образ</w:t>
      </w:r>
      <w:r w:rsidRPr="00070ADE">
        <w:rPr>
          <w:rFonts w:ascii="Times New Roman" w:hAnsi="Times New Roman"/>
          <w:color w:val="000000" w:themeColor="text1"/>
          <w:sz w:val="16"/>
          <w:szCs w:val="16"/>
        </w:rPr>
        <w:softHyphen/>
        <w:t>ца танка Т-44А (10703).</w:t>
      </w:r>
    </w:p>
    <w:p w14:paraId="30301C7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C0A02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июне-июле 1944 г. когда после устранения недостатков, выявлен</w:t>
      </w:r>
      <w:r w:rsidRPr="00070ADE">
        <w:rPr>
          <w:rFonts w:ascii="Times New Roman" w:hAnsi="Times New Roman"/>
          <w:color w:val="000000" w:themeColor="text1"/>
          <w:sz w:val="16"/>
          <w:szCs w:val="16"/>
        </w:rPr>
        <w:softHyphen/>
        <w:t>ных на полигонных испытаниях, были изготов</w:t>
      </w:r>
      <w:r w:rsidRPr="00070ADE">
        <w:rPr>
          <w:rFonts w:ascii="Times New Roman" w:hAnsi="Times New Roman"/>
          <w:color w:val="000000" w:themeColor="text1"/>
          <w:sz w:val="16"/>
          <w:szCs w:val="16"/>
        </w:rPr>
        <w:softHyphen/>
        <w:t>лены два танка Т-44 второй модификации, один из них прошел испытания на НИБТ полигоне Танк имел боевую массу 31,3 т и оснащался 85-мм пушкой ЗИС-С-53. Толщина брони лобовой части башни была уве</w:t>
      </w:r>
      <w:r w:rsidRPr="00070ADE">
        <w:rPr>
          <w:rFonts w:ascii="Times New Roman" w:hAnsi="Times New Roman"/>
          <w:color w:val="000000" w:themeColor="text1"/>
          <w:sz w:val="16"/>
          <w:szCs w:val="16"/>
        </w:rPr>
        <w:softHyphen/>
        <w:t>личена до 115мм, а борта корпуса изготавли</w:t>
      </w:r>
      <w:r w:rsidRPr="00070ADE">
        <w:rPr>
          <w:rFonts w:ascii="Times New Roman" w:hAnsi="Times New Roman"/>
          <w:color w:val="000000" w:themeColor="text1"/>
          <w:sz w:val="16"/>
          <w:szCs w:val="16"/>
        </w:rPr>
        <w:softHyphen/>
        <w:t>вались из катаных 75-мм броневых листов. На испытаниях вновь были обнаружены существенные недостатки в работе привода вентилятора, входного редуктора трансмис</w:t>
      </w:r>
      <w:r w:rsidRPr="00070ADE">
        <w:rPr>
          <w:rFonts w:ascii="Times New Roman" w:hAnsi="Times New Roman"/>
          <w:color w:val="000000" w:themeColor="text1"/>
          <w:sz w:val="16"/>
          <w:szCs w:val="16"/>
        </w:rPr>
        <w:softHyphen/>
        <w:t>сии (гитары) и опорных катков. В августе-сентябре 1944 г. заводским испытаниям под</w:t>
      </w:r>
      <w:r w:rsidRPr="00070ADE">
        <w:rPr>
          <w:rFonts w:ascii="Times New Roman" w:hAnsi="Times New Roman"/>
          <w:color w:val="000000" w:themeColor="text1"/>
          <w:sz w:val="16"/>
          <w:szCs w:val="16"/>
        </w:rPr>
        <w:softHyphen/>
        <w:t>вергся опытный танк третьей модификации. При боевой массе 30,7 т верхний лобовой лист корпуса имел толщину 90 мм, а лобо</w:t>
      </w:r>
      <w:r w:rsidRPr="00070ADE">
        <w:rPr>
          <w:rFonts w:ascii="Times New Roman" w:hAnsi="Times New Roman"/>
          <w:color w:val="000000" w:themeColor="text1"/>
          <w:sz w:val="16"/>
          <w:szCs w:val="16"/>
        </w:rPr>
        <w:softHyphen/>
        <w:t>вая часть башни — 120 мм. На танке уста</w:t>
      </w:r>
      <w:r w:rsidRPr="00070ADE">
        <w:rPr>
          <w:rFonts w:ascii="Times New Roman" w:hAnsi="Times New Roman"/>
          <w:color w:val="000000" w:themeColor="text1"/>
          <w:sz w:val="16"/>
          <w:szCs w:val="16"/>
        </w:rPr>
        <w:softHyphen/>
        <w:t>навливался дизель В-44 мощностью 500 л.с. (367,6 кВт). Передаточное отношение бор</w:t>
      </w:r>
      <w:r w:rsidRPr="00070ADE">
        <w:rPr>
          <w:rFonts w:ascii="Times New Roman" w:hAnsi="Times New Roman"/>
          <w:color w:val="000000" w:themeColor="text1"/>
          <w:sz w:val="16"/>
          <w:szCs w:val="16"/>
        </w:rPr>
        <w:softHyphen/>
        <w:t>тового редуктора было уменьшено с 7,11 до 5,89, за счет чего максимальная скорость ма</w:t>
      </w:r>
      <w:r w:rsidRPr="00070ADE">
        <w:rPr>
          <w:rFonts w:ascii="Times New Roman" w:hAnsi="Times New Roman"/>
          <w:color w:val="000000" w:themeColor="text1"/>
          <w:sz w:val="16"/>
          <w:szCs w:val="16"/>
        </w:rPr>
        <w:softHyphen/>
        <w:t xml:space="preserve">шины возросла </w:t>
      </w:r>
      <w:r w:rsidRPr="00070ADE">
        <w:rPr>
          <w:rFonts w:ascii="Times New Roman" w:hAnsi="Times New Roman"/>
          <w:color w:val="000000" w:themeColor="text1"/>
          <w:sz w:val="16"/>
          <w:szCs w:val="16"/>
        </w:rPr>
        <w:lastRenderedPageBreak/>
        <w:t>до 60,5 км/ч. Этот танк после внесения некоторых кон</w:t>
      </w:r>
      <w:r w:rsidRPr="00070ADE">
        <w:rPr>
          <w:rFonts w:ascii="Times New Roman" w:hAnsi="Times New Roman"/>
          <w:color w:val="000000" w:themeColor="text1"/>
          <w:sz w:val="16"/>
          <w:szCs w:val="16"/>
        </w:rPr>
        <w:softHyphen/>
        <w:t>структивных изменений 23 ноября 1944 г. был рекомендован к серийному производ</w:t>
      </w:r>
      <w:r w:rsidRPr="00070ADE">
        <w:rPr>
          <w:rFonts w:ascii="Times New Roman" w:hAnsi="Times New Roman"/>
          <w:color w:val="000000" w:themeColor="text1"/>
          <w:sz w:val="16"/>
          <w:szCs w:val="16"/>
        </w:rPr>
        <w:softHyphen/>
        <w:t>ству. Одновременно было принято решение об изготовлении к марту 1945 г. опытного образца танка Т-44 со 100-мм пушкой Д-10Т (11468).</w:t>
      </w:r>
    </w:p>
    <w:p w14:paraId="38CDB8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39B9F2" w14:textId="77777777" w:rsidR="0009141E" w:rsidRPr="00070ADE" w:rsidRDefault="0009141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июне-июле 1944 судьба машины, которая в это время начала обозначаться как СУ-85А, висела на волоске. Между ГБТУ КА, Народным комиссариатом среднего машиностроения (НКСМ) и ГАУ КА велась весьма бурная переписка. Судьба СУ-85А определилась в конце июля 1944 года, когда председатель Арктома ГАУ генерал-лейтенант Хохлов в письме назвал тему этой САУ актуальной. ГБТУ КА сдалось: 2 августа был подписан приказ НКСМ и ГБТУ КА о проведении заводских испытаний машины.</w:t>
      </w:r>
    </w:p>
    <w:p w14:paraId="0C9F5395" w14:textId="77777777" w:rsidR="0009141E" w:rsidRPr="00070ADE" w:rsidRDefault="0009141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тому моменту опытный образец СУ-85А уже был готов. Его боевая масса чуть превысила расчётную и составила 12,2 тонны. Вместо Д-5С-85 машина получила другую систему — Д-5С-85А завода №8. В связи с тем, что габариты патронов калибра 85 мм были больше, боекомплект уменьшился до 42 штук. Правда, всё оказалось относительным: на более крупной по габаритам СУ-85 боекомплект оказался ненамного больше — 48 патронов к Д-5С-85А. На СУ-85А установили ломающийся телескопический прицел ТШ-15, которым было удобнее пользоваться наводчику. Колею опытной машины расширили на 40 мм, она получила более «живучие» торсионы.</w:t>
      </w:r>
    </w:p>
    <w:p w14:paraId="5756265D" w14:textId="77777777" w:rsidR="0009141E" w:rsidRPr="00070ADE" w:rsidRDefault="0009141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заводских испытаниях машина прошла 612 километров, в том числе 360 со стандартным и 252 с форсированным двигателем. Новая силовая установка понадобилась САУ из-за того, что боевая масса выросла более чем на 1,5 тонны. Средняя скорость движения по булыжному шоссе с первой силовой установкой составила 30 км/ч, а по сухому просёлку — 20,8 км/ч. С форсированным двигателем средняя скорость по шоссе не изменилась, а по просёлку увеличилась до 21,3 км/ч. Установка рессор для усиления подвески оказалась правильным решением, особенно это ощущалось при движении на максимальной скорости. Например, там, где СУ-85А ехала на скорости 30 км/ч, СУ-76М не могла двигаться быстрее 20–22 км/ч.</w:t>
      </w:r>
    </w:p>
    <w:p w14:paraId="1F0A9035" w14:textId="77777777" w:rsidR="0009141E" w:rsidRPr="00070ADE" w:rsidRDefault="0009141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Первое время машина страдала разными детскими болезнями. Пришлось заменить некоторые элементы ходовой части. Впрочем, замены производились для увеличения надёжности машины, а не из-за потомки деталей. Исключением стали выход из строя бандажа одного из правых опорных катков (дефект вулканизации) и отрыв заклёпок правого переднего отбойника гусеницы.</w:t>
      </w:r>
    </w:p>
    <w:p w14:paraId="734B1399" w14:textId="77777777" w:rsidR="0009141E" w:rsidRPr="00070ADE" w:rsidRDefault="0009141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Следующим этапом стали полигонные испытания, которые проходили с 8 по 20 сентября 1944 года. Планировалось, что машина пройдёт 1000 километров, но на практике эта дистанция увеличилась в полтора раза. Дело в том, что на 570-м километре из-за некачественной термообработки вышел из строя механизм правой бортовой передачи. После ремонта ходовые испытания начались заново, в результате общая дистанция пробега увеличилась до 1570 километров. 690 километров пути пришлось на шоссе, ещё 880 километров машина прошла по просёлку.</w:t>
      </w:r>
    </w:p>
    <w:p w14:paraId="223BC653" w14:textId="77777777" w:rsidR="0009141E" w:rsidRPr="00070ADE" w:rsidRDefault="0009141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Вместо форсированного мотора на СУ-85А поставили обычный ГАЗ-203. Максимальная скорость составила 44,3 км/ч. При движении по шоссе средняя скорость составила 32,1 км/ч, а по просёлку — 18,4 км/ч, что примерно соответствовало показателям СУ-76М. Расход топлива также оставался в пределах нормы: 97 литров на 100 километров пути по шоссе и 169 литров при езде по просёлку. По проходимости машина также вполне соответствовала СУ-76М.</w:t>
      </w:r>
    </w:p>
    <w:p w14:paraId="6A342DCD" w14:textId="77777777" w:rsidR="0009141E" w:rsidRPr="00070ADE" w:rsidRDefault="0009141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Хуже обстояли дела с боевым отделением. Компоновка рабочего места командира оказалась не самой удачной. Смотровой прибор вынесли вперёд и вверх, из-за чего наблюдение влево и вправо стало затруднительным, а смотреть назад с его помощью и вовсе было невозможно. Смотровую щель в лобовом листе рубки заделали, что также ухудшило обзор. Рабочее место наводчика оценивалось как удобное, но из-за новой системы орудийных укладок наводчик стал мешать заряжающему. Передняя (основная) укладка находилась перед наводчиком, и добраться до неё заряжающий мог только с его помощью.</w:t>
      </w:r>
    </w:p>
    <w:p w14:paraId="6ECDEE88" w14:textId="77777777" w:rsidR="0009141E" w:rsidRPr="00070ADE" w:rsidRDefault="0009141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Также выяснилось, что орудийная система неуравновешена. Во время ходовых испытаний поднимаемая машиной пыль залетала внутрь машины, делая работу экипажа невозможной, и забивала смотровые приборы. Плохо работала система снятия орудия со стопора по-походному без выхода из машины.</w:t>
      </w:r>
    </w:p>
    <w:p w14:paraId="6D44C82C" w14:textId="77777777" w:rsidR="0009141E" w:rsidRPr="00070ADE" w:rsidRDefault="0009141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Тем не менее комиссия посчитала, что СУ-85 выдержала испытания, и рекомендовала принять машину на вооружение Красной армии. При этом требовалось внести переделки в конструкцию артиллерийской системы и боевого отделения, чтобы устранить выявленные недостатки.</w:t>
      </w:r>
    </w:p>
    <w:p w14:paraId="02C02810" w14:textId="77777777" w:rsidR="0009141E" w:rsidRPr="00070ADE" w:rsidRDefault="0009141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Совсем иного мнения оказался Артиллерийский комитет ГАУ КА. В заключении от 31 октября 1944 года указывалось, что СУ-85А испытания не выдержала. Отмечалось, что машина, обозначенная как СУ-85-ГАЗ, имеет массу недочётов как по боевому отделению, так и по системе Д-5С-85А. Значительная часть претензий была справедливой, поскольку имели место существенные проблемы при стрельбе, особенно по движущимся целям. При стрельбе машина была недостаточно устойчивой. Проблемным было и орудие, обладавшее чрезмерным сопротивлением откату.</w:t>
      </w:r>
    </w:p>
    <w:p w14:paraId="20CDACD4" w14:textId="77777777" w:rsidR="0009141E" w:rsidRPr="00070ADE" w:rsidRDefault="0009141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своём вердикте Артком ГАУ КА предложил работы по САУ продолжить, одновременно запустив работу по новой системе, более подходящей для машины столь небольшой массы. В ответ на это 5 ноября 1944 года Астров подверг заключение критике. По мнению Астрова, значительная часть проблем заключалась отнюдь не в шасси САУ, а в артиллерийской системе. Часть выводов из заключения заместитель главного конструктора ГАЗ им. Молотова назвал и вовсе нелепыми. Например, «неэффективная» стрельба СУ-85А с ходу оказалась более эффективной, чем у СУ-76М. Странно выглядели и выводы о низкой кучности при стрельбе на максимальную скорострельность. Ведь от орудия в зависимости от характера испытаний можно получить либо максимальную скорострельность, либо кучность. В своём письме Астров потребовал пересмотреть заключение, которое имело массу откровенных неточностей. С собой он подтянул «тяжёлую артиллерию» в виде руководства УСА ГБТУ КА, которое также оказалось на стороне СУ-85А.</w:t>
      </w:r>
    </w:p>
    <w:p w14:paraId="0D6C11A5" w14:textId="3D63F65A" w:rsidR="0009141E" w:rsidRPr="00070ADE" w:rsidRDefault="0009141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Борьба двух ведомств не отменяла того факта, что машина требовала доработки. Кроме того, систему Д-5С-85А, которая устанавливалась на опытный образец, с декабря 1944 года прекращали выпускать вместе с</w:t>
      </w:r>
      <w:r w:rsidR="00B643A8" w:rsidRPr="00070ADE">
        <w:rPr>
          <w:rFonts w:ascii="Times New Roman" w:hAnsi="Times New Roman"/>
          <w:color w:val="000000" w:themeColor="text1"/>
          <w:sz w:val="16"/>
          <w:szCs w:val="16"/>
        </w:rPr>
        <w:t xml:space="preserve"> </w:t>
      </w:r>
      <w:hyperlink r:id="rId191" w:history="1">
        <w:r w:rsidRPr="00070ADE">
          <w:rPr>
            <w:rStyle w:val="a5"/>
            <w:rFonts w:ascii="Times New Roman" w:hAnsi="Times New Roman"/>
            <w:color w:val="000000" w:themeColor="text1"/>
            <w:sz w:val="16"/>
            <w:szCs w:val="16"/>
          </w:rPr>
          <w:t>СУ-85М</w:t>
        </w:r>
      </w:hyperlink>
      <w:r w:rsidRPr="00070ADE">
        <w:rPr>
          <w:rFonts w:ascii="Times New Roman" w:hAnsi="Times New Roman"/>
          <w:color w:val="000000" w:themeColor="text1"/>
          <w:sz w:val="16"/>
          <w:szCs w:val="16"/>
        </w:rPr>
        <w:t>. Поэтому второй образец СУ-85А было решено построить с учётом выявленных недостатков и с 85-мм орудием ЗИС-С-53 (18098).</w:t>
      </w:r>
    </w:p>
    <w:p w14:paraId="05ED9C25" w14:textId="77777777" w:rsidR="0009141E" w:rsidRPr="00070ADE" w:rsidRDefault="0009141E" w:rsidP="00B56F90">
      <w:pPr>
        <w:spacing w:after="0" w:line="240" w:lineRule="auto"/>
        <w:jc w:val="both"/>
        <w:rPr>
          <w:rFonts w:ascii="Times New Roman" w:hAnsi="Times New Roman"/>
          <w:color w:val="000000" w:themeColor="text1"/>
          <w:sz w:val="16"/>
          <w:szCs w:val="16"/>
        </w:rPr>
      </w:pPr>
    </w:p>
    <w:p w14:paraId="078BE992"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1D8C4D6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810C5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июне-июле 1944 года в ходе Бобруйской операции сфотографирован рубеж обороны протяженностью 100 км и глубиной 8 км двумя вылетами трехмаршрутной качающейся фотоустановкой за один день, основные рубежи по берегам рек Добысна, Ола и др. сфотографированы перспективно с высоты 600-700 м, все результаты фотографирования в виде фотосхем и репродукций доведены до войск (8983).</w:t>
      </w:r>
    </w:p>
    <w:p w14:paraId="33C3C68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A480E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июне-сентябре 1944 на аэродроме Астафьево было организовано переучивание летчиков на Ер-2 - по два-три человека от каждой части, в основном это были командиры полков, их заместители по летной подготовке, а иногда - один из комэсков. Впоследствии именно им пришлось "ставить на крыло" остальной летный состав, прибывавший в части Ер-2 (3322,46).</w:t>
      </w:r>
    </w:p>
    <w:p w14:paraId="59F2503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FD666A" w14:textId="77777777" w:rsidR="0009141E" w:rsidRPr="00070ADE" w:rsidRDefault="0009141E"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774ECF10" w14:textId="77777777" w:rsidR="0009141E" w:rsidRPr="00070ADE" w:rsidRDefault="0009141E"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6AA1DC" w14:textId="77777777" w:rsidR="0009141E" w:rsidRPr="00070ADE" w:rsidRDefault="0009141E"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Июнь - сентябрь 1944. Восемьдесят бронзовых скульптур, украшавших зал станции метро "Площадь Революция' и в начале Великой Отечественной война отправленные в один из городов Средни Азии, привезены обратно в Москву. Они отреставрированы в заново созданном бронзе-литейном цехе мраморного завода Метрост роя. В сентябре начали установку броши фигур на прежних местах - по углам питонов станции "Площадь Революции". За реставрацией и установкой скульптур наседал их автор народный художник РСФС" М. Манизер 18692).</w:t>
      </w:r>
    </w:p>
    <w:p w14:paraId="06D030F1" w14:textId="77777777" w:rsidR="0009141E" w:rsidRPr="00070ADE" w:rsidRDefault="0009141E" w:rsidP="00B56F90">
      <w:pPr>
        <w:spacing w:after="0" w:line="240" w:lineRule="auto"/>
        <w:jc w:val="both"/>
        <w:rPr>
          <w:rFonts w:ascii="Times New Roman" w:hAnsi="Times New Roman"/>
          <w:color w:val="000000" w:themeColor="text1"/>
          <w:sz w:val="16"/>
          <w:szCs w:val="16"/>
        </w:rPr>
      </w:pPr>
    </w:p>
    <w:p w14:paraId="7BF253FB" w14:textId="77777777" w:rsidR="00E20115"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1A8CBA7F" w14:textId="77777777" w:rsidR="00E20115" w:rsidRPr="00070ADE" w:rsidRDefault="00E20115"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DB6CC9" w14:textId="77777777" w:rsidR="00E20115" w:rsidRPr="00070ADE" w:rsidRDefault="00E20115" w:rsidP="00B56F90">
      <w:pPr>
        <w:pStyle w:val="book"/>
        <w:ind w:firstLine="0"/>
        <w:jc w:val="both"/>
        <w:rPr>
          <w:color w:val="000000" w:themeColor="text1"/>
          <w:sz w:val="16"/>
          <w:szCs w:val="16"/>
        </w:rPr>
      </w:pPr>
      <w:r w:rsidRPr="00070ADE">
        <w:rPr>
          <w:color w:val="000000" w:themeColor="text1"/>
          <w:sz w:val="16"/>
          <w:szCs w:val="16"/>
        </w:rPr>
        <w:t>В июне—августе 1944 г. ракеты ФАУ-1 запускались только по Лондону и только с наземных стационарных катапульт. Для защиты Лондона союзники бросили против нового немецкого оружия огромные силы. Сотни тяжелых бомбардировщиков чуть ли не ежедневно бомбили стартовые позиции ФАУ-1. Только за первую неделю августа на них было сброшено 15 000 тонн бомб. С учетом небольшой дальности стрельбы ФАУ-1 при стрельбе по Лондону ракеты могли пересекать побережье Англии на очень узком участке — менее 100 км. К середине августа в этом секторе англичане сосредоточили 596 тяжелых и 922 легких зенитных орудий, около 600 пусковых установок зенитных неуправляемых ракет, а также 2015 аэростатов заграждения. Вблизи английского побережья над морем непрерывно патрулировали истребители (15 эскадрилий ночных и 6 эскадрилий дневных истребителей). Все эти меры привели к тому, что число сбитых ракет к сентябрю достигло 50 процентов. Наконец, к 5 сентября большая часть немецких стартовых площадок была захвачена союзными войсками, и запуск ракет ФАУ-1 на Англию временно прекратился. В связи с этим немцы переоборудовали несколько десятков бомбардировщиков Не 111, Ju 88, Me 111 и FW 200 «Кондор». Проблема переоборудования самолетов для немцев была облегчена тем, что еще в период испытаний Fi-ЮЗ часть из них запускалась с самолета Me 111 (15225).</w:t>
      </w:r>
    </w:p>
    <w:p w14:paraId="33E91BE9" w14:textId="77777777" w:rsidR="00E20115" w:rsidRPr="00070ADE" w:rsidRDefault="00E20115" w:rsidP="00B56F90">
      <w:pPr>
        <w:pStyle w:val="book"/>
        <w:ind w:firstLine="0"/>
        <w:jc w:val="both"/>
        <w:rPr>
          <w:color w:val="000000" w:themeColor="text1"/>
          <w:sz w:val="16"/>
          <w:szCs w:val="16"/>
        </w:rPr>
      </w:pPr>
    </w:p>
    <w:p w14:paraId="10E078AA" w14:textId="77777777" w:rsidR="0009141E" w:rsidRPr="00070ADE" w:rsidRDefault="0009141E" w:rsidP="00B56F90">
      <w:pPr>
        <w:pStyle w:val="101"/>
        <w:shd w:val="clear" w:color="auto" w:fill="auto"/>
        <w:spacing w:after="0" w:line="240" w:lineRule="auto"/>
        <w:jc w:val="both"/>
        <w:rPr>
          <w:rFonts w:ascii="Times New Roman" w:hAnsi="Times New Roman" w:cs="Times New Roman"/>
          <w:color w:val="000000" w:themeColor="text1"/>
          <w:spacing w:val="0"/>
          <w:sz w:val="16"/>
          <w:szCs w:val="16"/>
        </w:rPr>
      </w:pPr>
      <w:r w:rsidRPr="00070ADE">
        <w:rPr>
          <w:rFonts w:ascii="Times New Roman" w:hAnsi="Times New Roman" w:cs="Times New Roman"/>
          <w:color w:val="000000" w:themeColor="text1"/>
          <w:spacing w:val="0"/>
          <w:sz w:val="16"/>
          <w:szCs w:val="16"/>
        </w:rPr>
        <w:t>В течение июня - августа 1944 г. бомбардировщики В-17 и В-24 из 15-й воздушной армии совершили 11 налетов на Плоешти. Некоторые из них были массированными. Так, 15 июля в налете участвовали 607 бомбардировщиков, 22 июля - 495, 28 июля - 349. Германские и румынские истребители в эти дни сбили 20, 24 и 20 бомбардировщиков соответственно (19080).</w:t>
      </w:r>
    </w:p>
    <w:p w14:paraId="0E81BC05" w14:textId="77777777" w:rsidR="0009141E" w:rsidRPr="00070ADE" w:rsidRDefault="0009141E" w:rsidP="00B56F90">
      <w:pPr>
        <w:pStyle w:val="101"/>
        <w:shd w:val="clear" w:color="auto" w:fill="auto"/>
        <w:spacing w:after="0" w:line="240" w:lineRule="auto"/>
        <w:jc w:val="both"/>
        <w:rPr>
          <w:rFonts w:ascii="Times New Roman" w:hAnsi="Times New Roman" w:cs="Times New Roman"/>
          <w:color w:val="000000" w:themeColor="text1"/>
          <w:spacing w:val="0"/>
          <w:sz w:val="16"/>
          <w:szCs w:val="16"/>
        </w:rPr>
      </w:pPr>
    </w:p>
    <w:p w14:paraId="2216D061"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6044D46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966C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начале лета 1944 г. заместитель начальника Главного Управления Заказов ВВС генерал Я.Л.Бибиков получил разрешение у генерала А.В.Никитина, возглавлявшего Управлениа Формирования и Боевой Подготовки ВВС, направить первые девять Як-9 М-107А как учебные макеты в академии и школы ВВС (4842).</w:t>
      </w:r>
    </w:p>
    <w:p w14:paraId="64D9FE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FD7810"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2BF3B81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EAC9C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лета 1944 г. КБ завода № 100 представило в ТУ ГБТУ гене</w:t>
      </w:r>
      <w:r w:rsidRPr="00070ADE">
        <w:rPr>
          <w:rFonts w:ascii="Times New Roman" w:hAnsi="Times New Roman"/>
          <w:color w:val="000000" w:themeColor="text1"/>
          <w:sz w:val="16"/>
          <w:szCs w:val="16"/>
        </w:rPr>
        <w:softHyphen/>
        <w:t>рал-майору С.А. Афонину БТХ двух вариантов нового тяжелого танка, получившего к тому времени наименование ИС-6. Первый вариант тан</w:t>
      </w:r>
      <w:r w:rsidRPr="00070ADE">
        <w:rPr>
          <w:rFonts w:ascii="Times New Roman" w:hAnsi="Times New Roman"/>
          <w:color w:val="000000" w:themeColor="text1"/>
          <w:sz w:val="16"/>
          <w:szCs w:val="16"/>
        </w:rPr>
        <w:softHyphen/>
        <w:t>ка - "Объект 252" имел механическую, а второй - "Объект 253" - элек</w:t>
      </w:r>
      <w:r w:rsidRPr="00070ADE">
        <w:rPr>
          <w:rFonts w:ascii="Times New Roman" w:hAnsi="Times New Roman"/>
          <w:color w:val="000000" w:themeColor="text1"/>
          <w:sz w:val="16"/>
          <w:szCs w:val="16"/>
        </w:rPr>
        <w:softHyphen/>
        <w:t>тромеханическую трансмиссию. Проведенный сравнительный анализ БТХ нового танка показал, что хотя он по своим показателям не представляет собой очередного шага вперед по сравнению с опытным танком "Объект 701", разрабатывав</w:t>
      </w:r>
      <w:r w:rsidRPr="00070ADE">
        <w:rPr>
          <w:rFonts w:ascii="Times New Roman" w:hAnsi="Times New Roman"/>
          <w:color w:val="000000" w:themeColor="text1"/>
          <w:sz w:val="16"/>
          <w:szCs w:val="16"/>
        </w:rPr>
        <w:softHyphen/>
        <w:t>шимся в то же время на ЧКЗ по инициативе завода, однако имел значи</w:t>
      </w:r>
      <w:r w:rsidRPr="00070ADE">
        <w:rPr>
          <w:rFonts w:ascii="Times New Roman" w:hAnsi="Times New Roman"/>
          <w:color w:val="000000" w:themeColor="text1"/>
          <w:sz w:val="16"/>
          <w:szCs w:val="16"/>
        </w:rPr>
        <w:softHyphen/>
        <w:t>тельные преимущества по сравнению с танком ИС-2. От танка "Объект 701" танк ИС-6 выгодно отличался только углами наклона броневых листов. Учитывая возможность появления у противника новых тяжелых танков с более мощным вооружением и лучшей защищенностью, чем существовавшие танки, было принято решение продолжить проектные работы по созданию новых образцов тяжелых танков, положив в осно</w:t>
      </w:r>
      <w:r w:rsidRPr="00070ADE">
        <w:rPr>
          <w:rFonts w:ascii="Times New Roman" w:hAnsi="Times New Roman"/>
          <w:color w:val="000000" w:themeColor="text1"/>
          <w:sz w:val="16"/>
          <w:szCs w:val="16"/>
        </w:rPr>
        <w:softHyphen/>
        <w:t>ву проектирования разработанные ГБТУ тактико-технические требова</w:t>
      </w:r>
      <w:r w:rsidRPr="00070ADE">
        <w:rPr>
          <w:rFonts w:ascii="Times New Roman" w:hAnsi="Times New Roman"/>
          <w:color w:val="000000" w:themeColor="text1"/>
          <w:sz w:val="16"/>
          <w:szCs w:val="16"/>
        </w:rPr>
        <w:softHyphen/>
        <w:t>ния к тяжелому танку. Удачно решенные в конструкции танка ИС-6 тех</w:t>
      </w:r>
      <w:r w:rsidRPr="00070ADE">
        <w:rPr>
          <w:rFonts w:ascii="Times New Roman" w:hAnsi="Times New Roman"/>
          <w:color w:val="000000" w:themeColor="text1"/>
          <w:sz w:val="16"/>
          <w:szCs w:val="16"/>
        </w:rPr>
        <w:softHyphen/>
        <w:t>нические проблемы было рекомендовано доработать применительно к танку ИС-2 в отношении его дальнейшей модернизации. Кроме того, было решено изготовить опытные образцы танка ИС-6, так как это поз</w:t>
      </w:r>
      <w:r w:rsidRPr="00070ADE">
        <w:rPr>
          <w:rFonts w:ascii="Times New Roman" w:hAnsi="Times New Roman"/>
          <w:color w:val="000000" w:themeColor="text1"/>
          <w:sz w:val="16"/>
          <w:szCs w:val="16"/>
        </w:rPr>
        <w:softHyphen/>
        <w:t>воляло получить новый танк с весьма целесообразной и выгодной фор</w:t>
      </w:r>
      <w:r w:rsidRPr="00070ADE">
        <w:rPr>
          <w:rFonts w:ascii="Times New Roman" w:hAnsi="Times New Roman"/>
          <w:color w:val="000000" w:themeColor="text1"/>
          <w:sz w:val="16"/>
          <w:szCs w:val="16"/>
        </w:rPr>
        <w:softHyphen/>
        <w:t>мой корпуса и с электромеханической трансмиссией. ТТЗ на технический проект танка ИС-6 было утверждено наркомом танковой промышленности В.А. Малышевым 6 июня 1944 г. Согласно ; этому заданию КБ завода № 100 необходимо было разработать танк с боевой массой до 50 т с электромеханической трансмиссией и до 48 т -с механической. Экипаж танка должен был состоять из пяти человек. ; Вооружение - 122-мм пушка с начальной скоростью бронебойного сна- ; ряда 850 - 900 м/с. Броневая защита литой башни и сварного корпуса должны были обеспечить надежную защиту экипажа от снарядов 88-мм пушки с начальной скоростью 1300 - 1400 м/с. Двигатель В-11У или В-12 мощностью 620 - 700 л.с. (456 - 515 кВт) должен был обеспечить максимальную скорость движения 42 км/ч. На первом этапе создания танка на Опытном заводе № 100, с целью ; сокращения времени, планировалось установить агрегаты и механизмы ; трансмиссии от серийного танка ИС-2. При этом была предусмотрена возможность монтажа электромеханической трансмиссии в корпус танка. Графиком работ по танку ИС-6 планировалось завершить сборку и монтаж двух танков ("Объект 253") к 1 ноября 1944 г. Заводские испы</w:t>
      </w:r>
      <w:r w:rsidRPr="00070ADE">
        <w:rPr>
          <w:rFonts w:ascii="Times New Roman" w:hAnsi="Times New Roman"/>
          <w:color w:val="000000" w:themeColor="text1"/>
          <w:sz w:val="16"/>
          <w:szCs w:val="16"/>
        </w:rPr>
        <w:softHyphen/>
        <w:t>тания должны были начаться не позднее 1 декабря 1944 г. Корпус танка ИС-6, сваренный из катаных броневых листов из ста</w:t>
      </w:r>
      <w:r w:rsidRPr="00070ADE">
        <w:rPr>
          <w:rFonts w:ascii="Times New Roman" w:hAnsi="Times New Roman"/>
          <w:color w:val="000000" w:themeColor="text1"/>
          <w:sz w:val="16"/>
          <w:szCs w:val="16"/>
        </w:rPr>
        <w:softHyphen/>
        <w:t>ли средней твердости, с опозданием на два месяца поступил на сборку 21 сентября 1944 г. Толщина броневых листов корпуса составляла: лобовой верхний лист - 100 мм/65", нижний - 120 мм/52°. Литая башня ; была изготовлена из броневой стали высокой твердости с толщиной ; стенок до 150 мм (10703).</w:t>
      </w:r>
    </w:p>
    <w:p w14:paraId="2D4C060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F274E0"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начале лета 1944 года заводом №100 были разработаны эскизные проекты двух образцов нового танка. В конструкции ИС-6 была предпринята попытка улучшить как броневую за</w:t>
      </w:r>
      <w:r w:rsidRPr="001A0BAA">
        <w:rPr>
          <w:rFonts w:ascii="Times New Roman" w:hAnsi="Times New Roman"/>
          <w:color w:val="0070C0"/>
          <w:sz w:val="16"/>
          <w:szCs w:val="16"/>
        </w:rPr>
        <w:softHyphen/>
        <w:t>щиту, так и маневренность. Первый (объект 252) имел механическую трансмиссию, а второй (объект 253) - электрическую. Рассмотрение эскизных про</w:t>
      </w:r>
      <w:r w:rsidRPr="001A0BAA">
        <w:rPr>
          <w:rFonts w:ascii="Times New Roman" w:hAnsi="Times New Roman"/>
          <w:color w:val="0070C0"/>
          <w:sz w:val="16"/>
          <w:szCs w:val="16"/>
        </w:rPr>
        <w:softHyphen/>
        <w:t>ектов позволило сделать вывод, что танк ИС-6 по своим характеристикам превосходит ИС-2, а потому некоторые удачные конструкторские решения не грех использовать при модернизации последнего. Вместе с тем, было принято решение изготовить оба варианта ИС-6, для того чтобы испытать ма</w:t>
      </w:r>
      <w:r w:rsidRPr="001A0BAA">
        <w:rPr>
          <w:rFonts w:ascii="Times New Roman" w:hAnsi="Times New Roman"/>
          <w:color w:val="0070C0"/>
          <w:sz w:val="16"/>
          <w:szCs w:val="16"/>
        </w:rPr>
        <w:softHyphen/>
        <w:t>шину с новой, весьма совершенной (на фоне ИС-2 особенно) формой корпуса, новой ходовой частью и электротрансмиссией (25001).</w:t>
      </w:r>
    </w:p>
    <w:p w14:paraId="197A9789" w14:textId="77777777" w:rsidR="00EF323C" w:rsidRPr="001A0BAA" w:rsidRDefault="00EF323C" w:rsidP="00EF323C">
      <w:pPr>
        <w:spacing w:after="0" w:line="240" w:lineRule="auto"/>
        <w:jc w:val="both"/>
        <w:rPr>
          <w:rFonts w:ascii="Times New Roman" w:hAnsi="Times New Roman"/>
          <w:color w:val="0070C0"/>
          <w:sz w:val="16"/>
          <w:szCs w:val="16"/>
        </w:rPr>
      </w:pPr>
    </w:p>
    <w:p w14:paraId="5890047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280960B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CF370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лета 1944 как и предполагалось III протоколом о поставках на первую половину 1944 года, американские перегонщики доставили в Фэрбенкс первые "Кингкобры" и начали учить на них наших летчиков. На Аляске готовили только командиров эскадрилий перегоночной дивизии, остальные нилоты осваивали новые истребители прямо в полках. В Якутске за 11 дней переучили 50 человек, ранее летавших на бомбардировщиках А-20. Вскоре истребители этого тина полетели по трассе АЛСИБа на Красноярск. Первую машину сдали в нюне 1944 года. Одна из первых партии целиком была забракована советской военной приемкой в Фэрбенксе из-за дефектов маслорадиаторов и возвращена на доработку (3457,78).</w:t>
      </w:r>
    </w:p>
    <w:p w14:paraId="4A7DC68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36067A" w14:textId="77777777" w:rsidR="00E20115"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71A36390" w14:textId="77777777" w:rsidR="00E20115" w:rsidRPr="00070ADE" w:rsidRDefault="00E20115"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2F8513" w14:textId="77777777" w:rsidR="00E20115" w:rsidRPr="00070ADE" w:rsidRDefault="00E2011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начале лета 1944г. был выдан контракт на семь опытных и 20 предсерийных самолетов Go.229. Конструктора "Готы" практически не изменили конструкции, но переделали кабину, оснастив ее простейшим катапультируемым сиденьем. Была введена система обдува холодным воздухом обшивки в районе сопел двигателей. Предусматривалась установка четырех пушек МК-103 или МК-108 рядом с двигателями. Под центроплан можно было подвесить две 1000кг бомбы или два 1250л бака. Была спроектирована и двухместная всепогодная версия Go.229b под локатор сантиметрового диапазона FuG-244 "Бремен" в удлиненном носовом обтекателе. Второй и третий самолеты постройки ГВФ - V4 и V5 были прототипами этой серии. Пока на ГВФ разворачивалось серийное производство, в Геттингене в январе 1945г. был закончен Но-IХ-V2, перевезенный в Ораниенберг для летных испытаний. На первые полеты носовая стойка шасси была заблокирована в выпущенном положении. При нормальном взлетном весе скорость отрыва была 150км/ч при разбеге в 500 м. Управляемость оправдала самые оптимистичные предположения. В марте носовое колесо стали убирать в полете. Была достигнута скорость 795км/ч, но во время посадки правый двигатель заглох. Пилот лейтенант Циллер катапультировался, самолет перевернулся, упал на землю и сгорел. Всего опытный самолет налетал два часа. Сборка следующего опытного самолета в Фридрихсроде уже заканчивалась. Go.229-VЗ должен был стать первым прототипом серийного Go.229a. V4 и V5 были прототипами Go.229b - двухместного всепогодного истребителя. V6 был вторым опытным самолетом серии А с пушками МК-103 вместо МК-108. V7 должен был стать учебным двухместным вариантом (15139).</w:t>
      </w:r>
    </w:p>
    <w:p w14:paraId="4E10E3D2" w14:textId="77777777" w:rsidR="00E20115" w:rsidRPr="00070ADE" w:rsidRDefault="00E20115" w:rsidP="00B56F90">
      <w:pPr>
        <w:spacing w:after="0" w:line="240" w:lineRule="auto"/>
        <w:jc w:val="both"/>
        <w:rPr>
          <w:rFonts w:ascii="Times New Roman" w:hAnsi="Times New Roman"/>
          <w:color w:val="000000" w:themeColor="text1"/>
          <w:sz w:val="16"/>
          <w:szCs w:val="16"/>
        </w:rPr>
      </w:pPr>
    </w:p>
    <w:p w14:paraId="7900D8C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30898D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0B480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Ил-2 с 20-мм пушкой УБ-20 на турели ВУБ-3 прошел испытания, но из-за недоведенности пушки на вооружении он не был. В соответствии с пожеланиями фронтовиков на самолет установили турель ВУБ-3 с УБТ разработки И.И.Торопова, при этом углы обстрела УБТ увеличились до 45" вверх, 35° в стороны и 12° вниз. Сделали попытку усилить защиту задней полусферы путем установки (9528).</w:t>
      </w:r>
    </w:p>
    <w:p w14:paraId="53D64B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1B07A6" w14:textId="77777777" w:rsidR="00801247" w:rsidRPr="00070ADE" w:rsidRDefault="00801247" w:rsidP="00B56F90">
      <w:pPr>
        <w:pStyle w:val="123"/>
        <w:shd w:val="clear" w:color="auto" w:fill="auto"/>
        <w:spacing w:after="0" w:line="240" w:lineRule="auto"/>
        <w:jc w:val="both"/>
        <w:rPr>
          <w:color w:val="000000" w:themeColor="text1"/>
          <w:sz w:val="16"/>
          <w:szCs w:val="16"/>
        </w:rPr>
      </w:pPr>
      <w:r w:rsidRPr="00070ADE">
        <w:rPr>
          <w:color w:val="000000" w:themeColor="text1"/>
          <w:sz w:val="16"/>
          <w:szCs w:val="16"/>
        </w:rPr>
        <w:t>Летом 1944 г. на воору</w:t>
      </w:r>
      <w:r w:rsidRPr="00070ADE">
        <w:rPr>
          <w:color w:val="000000" w:themeColor="text1"/>
          <w:sz w:val="16"/>
          <w:szCs w:val="16"/>
        </w:rPr>
        <w:softHyphen/>
        <w:t>жение штурмового самолета Ил-10, к сожалению, не только не повысило, а, наоборот, понизило воз</w:t>
      </w:r>
      <w:r w:rsidRPr="00070ADE">
        <w:rPr>
          <w:color w:val="000000" w:themeColor="text1"/>
          <w:sz w:val="16"/>
          <w:szCs w:val="16"/>
        </w:rPr>
        <w:softHyphen/>
        <w:t>можности штурмовой авиации ВВС КА в борьбе с танками вермахта. Дело в том, что бомбоотсеки «десятки», в сравнении с «двойкой», вмещали почти вдвое меньшее количество ПТАБ (17500).</w:t>
      </w:r>
    </w:p>
    <w:p w14:paraId="2B015435" w14:textId="77777777" w:rsidR="00801247" w:rsidRPr="00070ADE" w:rsidRDefault="00801247" w:rsidP="00B56F90">
      <w:pPr>
        <w:pStyle w:val="123"/>
        <w:shd w:val="clear" w:color="auto" w:fill="auto"/>
        <w:spacing w:after="0" w:line="240" w:lineRule="auto"/>
        <w:jc w:val="both"/>
        <w:rPr>
          <w:color w:val="000000" w:themeColor="text1"/>
          <w:sz w:val="16"/>
          <w:szCs w:val="16"/>
        </w:rPr>
      </w:pPr>
    </w:p>
    <w:p w14:paraId="31785D45" w14:textId="77777777" w:rsidR="00EC78A0" w:rsidRPr="00070ADE" w:rsidRDefault="00EC78A0" w:rsidP="00EC78A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систему АКАБ на A-20G-1 из смонтированных в бомбоотсеке двух пушек ШВАК и двух пулеметов УБК с боезапасом (440 патронов и 340 снарядов), которые размещались в бывшей кабине стрелка-радиста, передали на войсковые испытания в 27-й гвардейский полк блокировщиков (3457,110).</w:t>
      </w:r>
    </w:p>
    <w:p w14:paraId="719EE586" w14:textId="77777777" w:rsidR="00EC78A0" w:rsidRPr="00070ADE" w:rsidRDefault="00EC78A0" w:rsidP="00EC78A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08341E" w14:textId="77777777" w:rsidR="00E20115" w:rsidRPr="00070ADE" w:rsidRDefault="00E20115" w:rsidP="00B56F90">
      <w:pPr>
        <w:shd w:val="clear" w:color="auto" w:fill="FFFFFF"/>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года на самолет Ил-6 установили форсированные двигатели АЧ-30БФ, имевшие кроме номинального режима еще и так называемый военный режим, на котором двигатели развивали мощность 1500 л.с. на высоте 6000 метров. По результатам летных исследований устойчивости и управляемости была изменена форма и уменьшена площадь руля высоты, а центровка была сделана более задней. Испытатели отмечали, что доработанный Ил-6 стал достаточно прост в управлении, за исключением посадки при большой полетной массе. Из-за не совсем удачной аэродинамической компоновки крыла, обусловившей появление ранних срывов на его концах, самолет при посадке требовал большого запаса скорости и хороших подходов к аэродрому. Выявился также ряд серьезных недостатков в работе дизельных двигателей АЧ-30БФ: они имели сложный запуск и плохую приемистость. Все это привело к прекращению работ по Ил-6 (Новожилов Г.В.и др. Из истории советской авиации. Самолеты ОКБ имени С.В. Ильюшина. М.:Машиностроение,1985.) (15223).</w:t>
      </w:r>
    </w:p>
    <w:p w14:paraId="6EC44BF2" w14:textId="77777777" w:rsidR="00E20115" w:rsidRPr="00070ADE" w:rsidRDefault="00E20115" w:rsidP="00B56F90">
      <w:pPr>
        <w:shd w:val="clear" w:color="auto" w:fill="FFFFFF"/>
        <w:spacing w:after="0" w:line="240" w:lineRule="auto"/>
        <w:jc w:val="both"/>
        <w:rPr>
          <w:rFonts w:ascii="Times New Roman" w:hAnsi="Times New Roman"/>
          <w:color w:val="000000" w:themeColor="text1"/>
          <w:sz w:val="16"/>
          <w:szCs w:val="16"/>
        </w:rPr>
      </w:pPr>
    </w:p>
    <w:p w14:paraId="7BA2763A" w14:textId="77777777" w:rsidR="00D70979" w:rsidRPr="00070ADE" w:rsidRDefault="00D70979"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Летом 1944 эскизный проект двухместного четырех</w:t>
      </w:r>
      <w:r w:rsidRPr="00070ADE">
        <w:rPr>
          <w:rFonts w:ascii="Times New Roman" w:cs="Times New Roman"/>
          <w:color w:val="000000" w:themeColor="text1"/>
          <w:spacing w:val="0"/>
        </w:rPr>
        <w:softHyphen/>
        <w:t>моторного бомбардировщика Ил-14 был направлен на согласование в ВВС и НКАП. Летчик и штурман один за другим разме</w:t>
      </w:r>
      <w:r w:rsidRPr="00070ADE">
        <w:rPr>
          <w:rFonts w:ascii="Times New Roman" w:cs="Times New Roman"/>
          <w:color w:val="000000" w:themeColor="text1"/>
          <w:spacing w:val="0"/>
        </w:rPr>
        <w:softHyphen/>
        <w:t>щались в общей кабине. Четыре двига</w:t>
      </w:r>
      <w:r w:rsidRPr="00070ADE">
        <w:rPr>
          <w:rFonts w:ascii="Times New Roman" w:cs="Times New Roman"/>
          <w:color w:val="000000" w:themeColor="text1"/>
          <w:spacing w:val="0"/>
        </w:rPr>
        <w:softHyphen/>
        <w:t>теля жидкостного охлаждения АМ-43НВ с мощностью по 4260 л.с. конструктора А.А. Микулина, два из которых имели тяну</w:t>
      </w:r>
      <w:r w:rsidRPr="00070ADE">
        <w:rPr>
          <w:rFonts w:ascii="Times New Roman" w:cs="Times New Roman"/>
          <w:color w:val="000000" w:themeColor="text1"/>
          <w:spacing w:val="0"/>
        </w:rPr>
        <w:softHyphen/>
        <w:t>щие воздушные винты, а два оставших</w:t>
      </w:r>
      <w:r w:rsidRPr="00070ADE">
        <w:rPr>
          <w:rFonts w:ascii="Times New Roman" w:cs="Times New Roman"/>
          <w:color w:val="000000" w:themeColor="text1"/>
          <w:spacing w:val="0"/>
        </w:rPr>
        <w:softHyphen/>
        <w:t>ся - толкающие, располагались тандемно в двух крыльевых гондолах. Воздушные радиаторы систем смазки и охлаждения двигателей устанавливались в центропла</w:t>
      </w:r>
      <w:r w:rsidRPr="00070ADE">
        <w:rPr>
          <w:rFonts w:ascii="Times New Roman" w:cs="Times New Roman"/>
          <w:color w:val="000000" w:themeColor="text1"/>
          <w:spacing w:val="0"/>
        </w:rPr>
        <w:softHyphen/>
        <w:t>не и продувались воздухом, поступавшим из заборников в его носке. Выбранная схе</w:t>
      </w:r>
      <w:r w:rsidRPr="00070ADE">
        <w:rPr>
          <w:rFonts w:ascii="Times New Roman" w:cs="Times New Roman"/>
          <w:color w:val="000000" w:themeColor="text1"/>
          <w:spacing w:val="0"/>
        </w:rPr>
        <w:softHyphen/>
        <w:t>ма самолета давала возможность получить более компактную конструкцию и умень</w:t>
      </w:r>
      <w:r w:rsidRPr="00070ADE">
        <w:rPr>
          <w:rFonts w:ascii="Times New Roman" w:cs="Times New Roman"/>
          <w:color w:val="000000" w:themeColor="text1"/>
          <w:spacing w:val="0"/>
        </w:rPr>
        <w:softHyphen/>
        <w:t>шить ее сопротивление. Вместе с тем, возникала опасность попадания экипажа под винты задних моторов при аварийном покидании самолета.</w:t>
      </w:r>
    </w:p>
    <w:p w14:paraId="229E7DE4" w14:textId="77777777" w:rsidR="00D70979" w:rsidRPr="00070ADE" w:rsidRDefault="00D70979"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Неожиданным для Заказчика оказа</w:t>
      </w:r>
      <w:r w:rsidRPr="00070ADE">
        <w:rPr>
          <w:rFonts w:ascii="Times New Roman" w:cs="Times New Roman"/>
          <w:color w:val="000000" w:themeColor="text1"/>
          <w:spacing w:val="0"/>
        </w:rPr>
        <w:softHyphen/>
        <w:t>лось отсутствие на бомбардировщике защитного вооружения, которое, по мне</w:t>
      </w:r>
      <w:r w:rsidRPr="00070ADE">
        <w:rPr>
          <w:rFonts w:ascii="Times New Roman" w:cs="Times New Roman"/>
          <w:color w:val="000000" w:themeColor="text1"/>
          <w:spacing w:val="0"/>
        </w:rPr>
        <w:softHyphen/>
        <w:t>нию С.В. Ильюшина, полностью компен</w:t>
      </w:r>
      <w:r w:rsidRPr="00070ADE">
        <w:rPr>
          <w:rFonts w:ascii="Times New Roman" w:cs="Times New Roman"/>
          <w:color w:val="000000" w:themeColor="text1"/>
          <w:spacing w:val="0"/>
        </w:rPr>
        <w:softHyphen/>
        <w:t>сировалось предполагаемой расчетной скоростью около 700 км/ч. Переубедить военных не удалось, и проект с перечнем замечаний вернули на доработку. Основ</w:t>
      </w:r>
      <w:r w:rsidRPr="00070ADE">
        <w:rPr>
          <w:rFonts w:ascii="Times New Roman" w:cs="Times New Roman"/>
          <w:color w:val="000000" w:themeColor="text1"/>
          <w:spacing w:val="0"/>
        </w:rPr>
        <w:softHyphen/>
        <w:t>ное требование военных предусматрива</w:t>
      </w:r>
      <w:r w:rsidRPr="00070ADE">
        <w:rPr>
          <w:rFonts w:ascii="Times New Roman" w:cs="Times New Roman"/>
          <w:color w:val="000000" w:themeColor="text1"/>
          <w:spacing w:val="0"/>
        </w:rPr>
        <w:softHyphen/>
        <w:t>ло установку пушечного вооружения и, как следствие, увеличение экипажа до четы</w:t>
      </w:r>
      <w:r w:rsidRPr="00070ADE">
        <w:rPr>
          <w:rFonts w:ascii="Times New Roman" w:cs="Times New Roman"/>
          <w:color w:val="000000" w:themeColor="text1"/>
          <w:spacing w:val="0"/>
        </w:rPr>
        <w:softHyphen/>
        <w:t>рех человек. Поэтому в средней части фюзеляжа оборудовали кабину стрелка- радиста и воздушного стрелка, обслужи</w:t>
      </w:r>
      <w:r w:rsidRPr="00070ADE">
        <w:rPr>
          <w:rFonts w:ascii="Times New Roman" w:cs="Times New Roman"/>
          <w:color w:val="000000" w:themeColor="text1"/>
          <w:spacing w:val="0"/>
        </w:rPr>
        <w:softHyphen/>
        <w:t>вавших верхнюю и нижнюю подвижные пушечные установки. В носовой части фюзеляжа появилась неподвижная пуш</w:t>
      </w:r>
      <w:r w:rsidRPr="00070ADE">
        <w:rPr>
          <w:rFonts w:ascii="Times New Roman" w:cs="Times New Roman"/>
          <w:color w:val="000000" w:themeColor="text1"/>
          <w:spacing w:val="0"/>
        </w:rPr>
        <w:softHyphen/>
        <w:t>ка, огонь из которой должен был вести летчик. Бомбовое вооружение, оставше</w:t>
      </w:r>
      <w:r w:rsidRPr="00070ADE">
        <w:rPr>
          <w:rFonts w:ascii="Times New Roman" w:cs="Times New Roman"/>
          <w:color w:val="000000" w:themeColor="text1"/>
          <w:spacing w:val="0"/>
        </w:rPr>
        <w:softHyphen/>
        <w:t>еся без изменений, давало возможность разместить в бомбоотсеке до 2500 кг раз</w:t>
      </w:r>
      <w:r w:rsidRPr="00070ADE">
        <w:rPr>
          <w:rFonts w:ascii="Times New Roman" w:cs="Times New Roman"/>
          <w:color w:val="000000" w:themeColor="text1"/>
          <w:spacing w:val="0"/>
        </w:rPr>
        <w:softHyphen/>
        <w:t xml:space="preserve">личных бомб, в том числе одну 2000 кг. На наружных подвесках бомбардировщик мог нести две бомбы по 1000 кг каждая. Для исключения </w:t>
      </w:r>
      <w:r w:rsidRPr="00070ADE">
        <w:rPr>
          <w:rFonts w:ascii="Times New Roman" w:cs="Times New Roman"/>
          <w:color w:val="000000" w:themeColor="text1"/>
          <w:spacing w:val="0"/>
        </w:rPr>
        <w:lastRenderedPageBreak/>
        <w:t>касания земли воздуш</w:t>
      </w:r>
      <w:r w:rsidRPr="00070ADE">
        <w:rPr>
          <w:rFonts w:ascii="Times New Roman" w:cs="Times New Roman"/>
          <w:color w:val="000000" w:themeColor="text1"/>
          <w:spacing w:val="0"/>
        </w:rPr>
        <w:softHyphen/>
        <w:t>ными винтами задних силовых устано</w:t>
      </w:r>
      <w:r w:rsidRPr="00070ADE">
        <w:rPr>
          <w:rFonts w:ascii="Times New Roman" w:cs="Times New Roman"/>
          <w:color w:val="000000" w:themeColor="text1"/>
          <w:spacing w:val="0"/>
        </w:rPr>
        <w:softHyphen/>
        <w:t>вок на машине предусмотрели заднюю опорную стойку. Произошедшее измене</w:t>
      </w:r>
      <w:r w:rsidRPr="00070ADE">
        <w:rPr>
          <w:rFonts w:ascii="Times New Roman" w:cs="Times New Roman"/>
          <w:color w:val="000000" w:themeColor="text1"/>
          <w:spacing w:val="0"/>
        </w:rPr>
        <w:softHyphen/>
        <w:t>ние конструкции и уточненные расчеты увеличили нормальную полетную массу самолета до 22500 кг и обеспечили ему возможность на высоте 9300 м совершать полет на дальность 2000 км с бомбовой нагрузкой 2000 кг и скоростью 760 км/ч. Состоявшаяся весной 1945 года макетная комиссия Заказчика дала положительное заключение по представленному маке</w:t>
      </w:r>
      <w:r w:rsidRPr="00070ADE">
        <w:rPr>
          <w:rFonts w:ascii="Times New Roman" w:cs="Times New Roman"/>
          <w:color w:val="000000" w:themeColor="text1"/>
          <w:spacing w:val="0"/>
        </w:rPr>
        <w:softHyphen/>
        <w:t>ту, в то же время, сопроводив его целым рядом новых пожеланий по изменению компоновки кабины летчиков и усилению оборонительного вооружения (12740).</w:t>
      </w:r>
    </w:p>
    <w:p w14:paraId="3550602E" w14:textId="77777777" w:rsidR="00D70979" w:rsidRPr="00070ADE" w:rsidRDefault="00D70979" w:rsidP="00B56F90">
      <w:pPr>
        <w:pStyle w:val="27"/>
        <w:shd w:val="clear" w:color="auto" w:fill="auto"/>
        <w:spacing w:after="0" w:line="240" w:lineRule="auto"/>
        <w:ind w:firstLine="0"/>
        <w:rPr>
          <w:rFonts w:ascii="Times New Roman" w:cs="Times New Roman"/>
          <w:color w:val="000000" w:themeColor="text1"/>
          <w:spacing w:val="0"/>
        </w:rPr>
      </w:pPr>
    </w:p>
    <w:p w14:paraId="36011AC8"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Летом 1944 г. начался выпуск Пе</w:t>
      </w:r>
      <w:r w:rsidRPr="001A0BAA">
        <w:rPr>
          <w:rFonts w:ascii="Times New Roman" w:hAnsi="Times New Roman"/>
          <w:color w:val="0070C0"/>
          <w:sz w:val="16"/>
          <w:szCs w:val="16"/>
        </w:rPr>
        <w:noBreakHyphen/>
        <w:t>2 359</w:t>
      </w:r>
      <w:r w:rsidRPr="001A0BAA">
        <w:rPr>
          <w:rFonts w:ascii="Times New Roman" w:hAnsi="Times New Roman"/>
          <w:color w:val="0070C0"/>
          <w:sz w:val="16"/>
          <w:szCs w:val="16"/>
        </w:rPr>
        <w:noBreakHyphen/>
        <w:t>й производственной серии, в которую вносились последние крупные изменения в конструкци «пешек». Выхлопные патрубки цилиндров двигателей были выполнены индивидуальными. Провести такую доработку рекомендовали специалисты ЦАГИ. Новая модификация также отличалась усовершенствованными двигателями и кислородной системой.</w:t>
      </w:r>
    </w:p>
    <w:p w14:paraId="636D48D7"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 машинах 359</w:t>
      </w:r>
      <w:r w:rsidRPr="001A0BAA">
        <w:rPr>
          <w:rFonts w:ascii="Times New Roman" w:hAnsi="Times New Roman"/>
          <w:color w:val="0070C0"/>
          <w:sz w:val="16"/>
          <w:szCs w:val="16"/>
        </w:rPr>
        <w:noBreakHyphen/>
        <w:t>й серии сохранился доработанный люк стрелка</w:t>
      </w:r>
      <w:r w:rsidRPr="001A0BAA">
        <w:rPr>
          <w:rFonts w:ascii="Times New Roman" w:hAnsi="Times New Roman"/>
          <w:color w:val="0070C0"/>
          <w:sz w:val="16"/>
          <w:szCs w:val="16"/>
        </w:rPr>
        <w:noBreakHyphen/>
        <w:t>радиста, внедренный на Пе</w:t>
      </w:r>
      <w:r w:rsidRPr="001A0BAA">
        <w:rPr>
          <w:rFonts w:ascii="Times New Roman" w:hAnsi="Times New Roman"/>
          <w:color w:val="0070C0"/>
          <w:sz w:val="16"/>
          <w:szCs w:val="16"/>
        </w:rPr>
        <w:noBreakHyphen/>
        <w:t>2 301</w:t>
      </w:r>
      <w:r w:rsidRPr="001A0BAA">
        <w:rPr>
          <w:rFonts w:ascii="Times New Roman" w:hAnsi="Times New Roman"/>
          <w:color w:val="0070C0"/>
          <w:sz w:val="16"/>
          <w:szCs w:val="16"/>
        </w:rPr>
        <w:noBreakHyphen/>
        <w:t>й производственной серии: ветровой щиток монтировался на фюзеляже перед люком, в то время как на более ранних «пешках» он составлял одно целое с люком стрелка</w:t>
      </w:r>
      <w:r w:rsidRPr="001A0BAA">
        <w:rPr>
          <w:rFonts w:ascii="Times New Roman" w:hAnsi="Times New Roman"/>
          <w:color w:val="0070C0"/>
          <w:sz w:val="16"/>
          <w:szCs w:val="16"/>
        </w:rPr>
        <w:noBreakHyphen/>
        <w:t>радиста. Пе</w:t>
      </w:r>
      <w:r w:rsidRPr="001A0BAA">
        <w:rPr>
          <w:rFonts w:ascii="Times New Roman" w:hAnsi="Times New Roman"/>
          <w:color w:val="0070C0"/>
          <w:sz w:val="16"/>
          <w:szCs w:val="16"/>
        </w:rPr>
        <w:noBreakHyphen/>
        <w:t>2 382</w:t>
      </w:r>
      <w:r w:rsidRPr="001A0BAA">
        <w:rPr>
          <w:rFonts w:ascii="Times New Roman" w:hAnsi="Times New Roman"/>
          <w:color w:val="0070C0"/>
          <w:sz w:val="16"/>
          <w:szCs w:val="16"/>
        </w:rPr>
        <w:noBreakHyphen/>
        <w:t>й серии комплектовались системой зимнего запуска двигателей. Больше серьезных изменений в конструкцию Г1е</w:t>
      </w:r>
      <w:r w:rsidRPr="001A0BAA">
        <w:rPr>
          <w:rFonts w:ascii="Times New Roman" w:hAnsi="Times New Roman"/>
          <w:color w:val="0070C0"/>
          <w:sz w:val="16"/>
          <w:szCs w:val="16"/>
        </w:rPr>
        <w:noBreakHyphen/>
        <w:t>2 до окончания серийного производства в конце 1945 г. не вносилось.</w:t>
      </w:r>
    </w:p>
    <w:p w14:paraId="7290464E"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Летом 1944 г. ежемесячный выпуск пикирующих бомбардировщиков Пе</w:t>
      </w:r>
      <w:r w:rsidRPr="001A0BAA">
        <w:rPr>
          <w:rFonts w:ascii="Times New Roman" w:hAnsi="Times New Roman"/>
          <w:color w:val="0070C0"/>
          <w:sz w:val="16"/>
          <w:szCs w:val="16"/>
        </w:rPr>
        <w:noBreakHyphen/>
        <w:t>2 на 22</w:t>
      </w:r>
      <w:r w:rsidRPr="001A0BAA">
        <w:rPr>
          <w:rFonts w:ascii="Times New Roman" w:hAnsi="Times New Roman"/>
          <w:color w:val="0070C0"/>
          <w:sz w:val="16"/>
          <w:szCs w:val="16"/>
        </w:rPr>
        <w:noBreakHyphen/>
        <w:t xml:space="preserve"> м заводе в Казани достиг 240 самолетов (25072).</w:t>
      </w:r>
    </w:p>
    <w:p w14:paraId="23E61540" w14:textId="77777777" w:rsidR="00EF323C" w:rsidRPr="001A0BAA" w:rsidRDefault="00EF323C" w:rsidP="00EF323C">
      <w:pPr>
        <w:spacing w:after="0" w:line="240" w:lineRule="auto"/>
        <w:jc w:val="both"/>
        <w:rPr>
          <w:rFonts w:ascii="Times New Roman" w:hAnsi="Times New Roman"/>
          <w:color w:val="0070C0"/>
          <w:sz w:val="16"/>
          <w:szCs w:val="16"/>
        </w:rPr>
      </w:pPr>
    </w:p>
    <w:p w14:paraId="4CC9F5EA"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Летом 1944 г. в вариант «Параван» был модернизирован один Пе</w:t>
      </w:r>
      <w:r w:rsidRPr="001A0BAA">
        <w:rPr>
          <w:rFonts w:ascii="Times New Roman" w:hAnsi="Times New Roman"/>
          <w:color w:val="0070C0"/>
          <w:sz w:val="16"/>
          <w:szCs w:val="16"/>
        </w:rPr>
        <w:noBreakHyphen/>
        <w:t>2 359</w:t>
      </w:r>
      <w:r w:rsidRPr="001A0BAA">
        <w:rPr>
          <w:rFonts w:ascii="Times New Roman" w:hAnsi="Times New Roman"/>
          <w:color w:val="0070C0"/>
          <w:sz w:val="16"/>
          <w:szCs w:val="16"/>
        </w:rPr>
        <w:noBreakHyphen/>
        <w:t>й производственной серии. Командование ВВС Красной Армии столкнулось с той же проблемой, которую пыталось решить летом 1941 г. командование люфтваффе: аэростаты заграждения. Немцы, кроме того, использовали аэростаты для подъема на высоты антенн радиорелейных станций. Именно с помощью такого аэростата поддерживал связь с внешним миром запертый в рейхсканцелярии Гитлер в последние дни существования Рейха.</w:t>
      </w:r>
    </w:p>
    <w:p w14:paraId="7AEBFEA7"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голы воины ни одна воющая сторона не придумала для борьбы с аэростатами ничего лучшего, чем перерезать тросы, связывающие баллоны с землей. В носовой части Пе</w:t>
      </w:r>
      <w:r w:rsidRPr="001A0BAA">
        <w:rPr>
          <w:rFonts w:ascii="Times New Roman" w:hAnsi="Times New Roman"/>
          <w:color w:val="0070C0"/>
          <w:sz w:val="16"/>
          <w:szCs w:val="16"/>
        </w:rPr>
        <w:noBreakHyphen/>
        <w:t>2 «Паравана» вместо пулеметов монтировалась ферменная конструкция пирамидальная в плане и треугольная в сечении. длина фермы из дюралюминиевых труб – 5 м. Стальной трос, который должен был играть роль ножа, натягивался от вершины фермы к законповкам крыла. В хвостовой части фюзеляжа для компенсации массы фермы был уложен балласт массой 150 кг.</w:t>
      </w:r>
    </w:p>
    <w:p w14:paraId="4A95350B"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Самолет был окрашен по обычной для Пе</w:t>
      </w:r>
      <w:r w:rsidRPr="001A0BAA">
        <w:rPr>
          <w:rFonts w:ascii="Times New Roman" w:hAnsi="Times New Roman"/>
          <w:color w:val="0070C0"/>
          <w:sz w:val="16"/>
          <w:szCs w:val="16"/>
        </w:rPr>
        <w:noBreakHyphen/>
        <w:t>2 359</w:t>
      </w:r>
      <w:r w:rsidRPr="001A0BAA">
        <w:rPr>
          <w:rFonts w:ascii="Times New Roman" w:hAnsi="Times New Roman"/>
          <w:color w:val="0070C0"/>
          <w:sz w:val="16"/>
          <w:szCs w:val="16"/>
        </w:rPr>
        <w:noBreakHyphen/>
        <w:t>й сери выпуска лета 1944 г. схеме: светло</w:t>
      </w:r>
      <w:r w:rsidRPr="001A0BAA">
        <w:rPr>
          <w:rFonts w:ascii="Times New Roman" w:hAnsi="Times New Roman"/>
          <w:color w:val="0070C0"/>
          <w:sz w:val="16"/>
          <w:szCs w:val="16"/>
        </w:rPr>
        <w:noBreakHyphen/>
        <w:t>серые и серо</w:t>
      </w:r>
      <w:r w:rsidRPr="001A0BAA">
        <w:rPr>
          <w:rFonts w:ascii="Times New Roman" w:hAnsi="Times New Roman"/>
          <w:color w:val="0070C0"/>
          <w:sz w:val="16"/>
          <w:szCs w:val="16"/>
        </w:rPr>
        <w:noBreakHyphen/>
        <w:t>зеленые пятна камуфляжа, светло</w:t>
      </w:r>
      <w:r w:rsidRPr="001A0BAA">
        <w:rPr>
          <w:rFonts w:ascii="Times New Roman" w:hAnsi="Times New Roman"/>
          <w:color w:val="0070C0"/>
          <w:sz w:val="16"/>
          <w:szCs w:val="16"/>
        </w:rPr>
        <w:noBreakHyphen/>
        <w:t>голубой низ. Опознавательные знаки – красные звезды с белой каймой и узкой красной окантовкой. Звезды были нанесены в шести местах: на килях, ботах фюзеляжа и на нижней поверхности крыла.</w:t>
      </w:r>
    </w:p>
    <w:p w14:paraId="5920C1E2" w14:textId="0C888E95"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Испытания Пе</w:t>
      </w:r>
      <w:r w:rsidRPr="001A0BAA">
        <w:rPr>
          <w:rFonts w:ascii="Times New Roman" w:hAnsi="Times New Roman"/>
          <w:color w:val="0070C0"/>
          <w:sz w:val="16"/>
          <w:szCs w:val="16"/>
        </w:rPr>
        <w:noBreakHyphen/>
        <w:t>2 «Параван» проходил в НИ</w:t>
      </w:r>
      <w:r w:rsidR="00EC78A0">
        <w:rPr>
          <w:rFonts w:ascii="Times New Roman" w:hAnsi="Times New Roman"/>
          <w:color w:val="0070C0"/>
          <w:sz w:val="16"/>
          <w:szCs w:val="16"/>
        </w:rPr>
        <w:t>И</w:t>
      </w:r>
      <w:r w:rsidRPr="001A0BAA">
        <w:rPr>
          <w:rFonts w:ascii="Times New Roman" w:hAnsi="Times New Roman"/>
          <w:color w:val="0070C0"/>
          <w:sz w:val="16"/>
          <w:szCs w:val="16"/>
        </w:rPr>
        <w:t xml:space="preserve"> ВВС в середине 1944 г. Результаты испытаний сочли не удовлетворительными, после чего дальнейшие работы но «Паравану» были прекращены (25072).</w:t>
      </w:r>
    </w:p>
    <w:p w14:paraId="58BAE19A" w14:textId="77777777" w:rsidR="00EF323C" w:rsidRPr="001A0BAA" w:rsidRDefault="00EF323C" w:rsidP="00EF323C">
      <w:pPr>
        <w:spacing w:after="0" w:line="240" w:lineRule="auto"/>
        <w:jc w:val="both"/>
        <w:rPr>
          <w:rFonts w:ascii="Times New Roman" w:hAnsi="Times New Roman"/>
          <w:color w:val="0070C0"/>
          <w:sz w:val="16"/>
          <w:szCs w:val="16"/>
        </w:rPr>
      </w:pPr>
    </w:p>
    <w:p w14:paraId="2D1EECF0" w14:textId="77777777" w:rsidR="00EC78A0" w:rsidRPr="00070ADE" w:rsidRDefault="00EC78A0" w:rsidP="00EC78A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ОКБ В.М.Мясищева начало разработку скоростного дневного бомбардировщика ДБ-108 в трех вариантах: ВМ-16 двухместный, ВМ-17 трехместный и ВМ-18 четырехместный (336).</w:t>
      </w:r>
    </w:p>
    <w:p w14:paraId="16748131" w14:textId="77777777" w:rsidR="00EC78A0" w:rsidRPr="00070ADE" w:rsidRDefault="00EC78A0" w:rsidP="00EC78A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8CEBA7"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Летом 1944 года КБ В.М.Мясищева, а с ним и Томашевича возвратили в Москву. Поликарпов к этому моменту был уже тяжело болен. Томашевич вспоминал: «Я застал его в кровати. Он жаловался, что чтобы не съел, у него от всего рвота. И тут же начал строить планы, приглашал работать вместе…, говорил, что надо создать науку о проектировании самолётов, вспомнил мои старые исследования 1933–1938 гг., говорил о своём выздоровлении»(25610).</w:t>
      </w:r>
    </w:p>
    <w:p w14:paraId="4F3917A5" w14:textId="77777777" w:rsidR="00EC78A0" w:rsidRPr="001A0BAA" w:rsidRDefault="00EC78A0" w:rsidP="00EC78A0">
      <w:pPr>
        <w:spacing w:after="0" w:line="240" w:lineRule="auto"/>
        <w:jc w:val="both"/>
        <w:rPr>
          <w:rFonts w:ascii="Times New Roman" w:hAnsi="Times New Roman"/>
          <w:color w:val="0070C0"/>
          <w:sz w:val="16"/>
          <w:szCs w:val="16"/>
        </w:rPr>
      </w:pPr>
    </w:p>
    <w:p w14:paraId="6786A21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проходили испытания Як-7Л с ламинарным профилем крыла той же формы, разработанным Г.П.Свищевым. Испытывался и в натурной трубе ЦАГИ (1046,35).</w:t>
      </w:r>
    </w:p>
    <w:p w14:paraId="330472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B59371" w14:textId="77777777" w:rsidR="0004034B" w:rsidRPr="00070ADE" w:rsidRDefault="0004034B"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Летом 1944 г. в 6-м гв. иап по предложе</w:t>
      </w:r>
      <w:r w:rsidRPr="00070ADE">
        <w:rPr>
          <w:rFonts w:ascii="Times New Roman" w:cs="Times New Roman"/>
          <w:color w:val="000000" w:themeColor="text1"/>
          <w:spacing w:val="0"/>
        </w:rPr>
        <w:softHyphen/>
        <w:t>нию техника Комарова вместо одной фото</w:t>
      </w:r>
      <w:r w:rsidRPr="00070ADE">
        <w:rPr>
          <w:rFonts w:ascii="Times New Roman" w:cs="Times New Roman"/>
          <w:color w:val="000000" w:themeColor="text1"/>
          <w:spacing w:val="0"/>
        </w:rPr>
        <w:softHyphen/>
        <w:t>камеры на Як-9Р установили два АФА-ИМ в грузовом отсеке, что позволило вдвое уве</w:t>
      </w:r>
      <w:r w:rsidRPr="00070ADE">
        <w:rPr>
          <w:rFonts w:ascii="Times New Roman" w:cs="Times New Roman"/>
          <w:color w:val="000000" w:themeColor="text1"/>
          <w:spacing w:val="0"/>
        </w:rPr>
        <w:softHyphen/>
        <w:t>личить угол захвата местности при съёмке. Доработку выполнили в передвижных авиа</w:t>
      </w:r>
      <w:r w:rsidRPr="00070ADE">
        <w:rPr>
          <w:rFonts w:ascii="Times New Roman" w:cs="Times New Roman"/>
          <w:color w:val="000000" w:themeColor="text1"/>
          <w:spacing w:val="0"/>
        </w:rPr>
        <w:softHyphen/>
        <w:t>ремонтных мастерских и с успехом исполь</w:t>
      </w:r>
      <w:r w:rsidRPr="00070ADE">
        <w:rPr>
          <w:rFonts w:ascii="Times New Roman" w:cs="Times New Roman"/>
          <w:color w:val="000000" w:themeColor="text1"/>
          <w:spacing w:val="0"/>
        </w:rPr>
        <w:softHyphen/>
        <w:t>зовали машину на фронте (19103).</w:t>
      </w:r>
    </w:p>
    <w:p w14:paraId="6CE635E2" w14:textId="77777777" w:rsidR="0004034B" w:rsidRPr="00070ADE" w:rsidRDefault="0004034B" w:rsidP="00B56F90">
      <w:pPr>
        <w:pStyle w:val="27"/>
        <w:shd w:val="clear" w:color="auto" w:fill="auto"/>
        <w:spacing w:after="0" w:line="240" w:lineRule="auto"/>
        <w:ind w:firstLine="0"/>
        <w:rPr>
          <w:rFonts w:ascii="Times New Roman" w:cs="Times New Roman"/>
          <w:color w:val="000000" w:themeColor="text1"/>
          <w:spacing w:val="0"/>
        </w:rPr>
      </w:pPr>
    </w:p>
    <w:p w14:paraId="56AE052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после смерти Поликарпова испытания ИТП (М-2) с АМ-39 были прекращены (9649).</w:t>
      </w:r>
    </w:p>
    <w:p w14:paraId="6D08924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E11B0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был закончен второй вариант высотного перехватчика ВП Н.Н.П. под АМ-39Б с ТК-300Б. Срок предъявления ВП на испытания пе</w:t>
      </w:r>
      <w:r w:rsidRPr="00070ADE">
        <w:rPr>
          <w:rFonts w:ascii="Times New Roman" w:hAnsi="Times New Roman"/>
          <w:color w:val="000000" w:themeColor="text1"/>
          <w:sz w:val="16"/>
          <w:szCs w:val="16"/>
        </w:rPr>
        <w:softHyphen/>
        <w:t>ренесли на декабрь 1944 г. ВП представлял собой низкоплан с цельнометалличе</w:t>
      </w:r>
      <w:r w:rsidRPr="00070ADE">
        <w:rPr>
          <w:rFonts w:ascii="Times New Roman" w:hAnsi="Times New Roman"/>
          <w:color w:val="000000" w:themeColor="text1"/>
          <w:sz w:val="16"/>
          <w:szCs w:val="16"/>
        </w:rPr>
        <w:softHyphen/>
        <w:t>ским крылом и выклеенным из шпона фюзеляжем с гер-мокабиной для летчика. Расчетный полетный вес равнялся 3320 кг. Крыло имело размах 11м, площадь -16,2 м</w:t>
      </w:r>
      <w:r w:rsidRPr="00070ADE">
        <w:rPr>
          <w:rFonts w:ascii="Times New Roman" w:hAnsi="Times New Roman"/>
          <w:color w:val="000000" w:themeColor="text1"/>
          <w:sz w:val="16"/>
          <w:szCs w:val="16"/>
          <w:vertAlign w:val="superscript"/>
        </w:rPr>
        <w:t>2</w:t>
      </w:r>
      <w:r w:rsidRPr="00070ADE">
        <w:rPr>
          <w:rFonts w:ascii="Times New Roman" w:hAnsi="Times New Roman"/>
          <w:color w:val="000000" w:themeColor="text1"/>
          <w:sz w:val="16"/>
          <w:szCs w:val="16"/>
        </w:rPr>
        <w:t>. Вооружение состояло из двух 23-мм пушек. С мотором АМ-39А истребитель мог развить максималь</w:t>
      </w:r>
      <w:r w:rsidRPr="00070ADE">
        <w:rPr>
          <w:rFonts w:ascii="Times New Roman" w:hAnsi="Times New Roman"/>
          <w:color w:val="000000" w:themeColor="text1"/>
          <w:sz w:val="16"/>
          <w:szCs w:val="16"/>
        </w:rPr>
        <w:softHyphen/>
        <w:t>ную скорость у земли 500 км/ч, а на высоте 13750 м - 715 км/ч. С мотором АМ-39Б скорость у земли становилась еще выше: 586 км/ч, но на больших высотах немного по</w:t>
      </w:r>
      <w:r w:rsidRPr="00070ADE">
        <w:rPr>
          <w:rFonts w:ascii="Times New Roman" w:hAnsi="Times New Roman"/>
          <w:color w:val="000000" w:themeColor="text1"/>
          <w:sz w:val="16"/>
          <w:szCs w:val="16"/>
        </w:rPr>
        <w:softHyphen/>
        <w:t>нижалась (681 км/ч на 13000 м). ВП мог достичь потолка 14500-14750 м, на набор высоты 14000 м истребителю с АМ-39А требовалось 24,48 мин, а с АМ-39Б - 18 мин. Было признано, что самолет удовлетворяет требова</w:t>
      </w:r>
      <w:r w:rsidRPr="00070ADE">
        <w:rPr>
          <w:rFonts w:ascii="Times New Roman" w:hAnsi="Times New Roman"/>
          <w:color w:val="000000" w:themeColor="text1"/>
          <w:sz w:val="16"/>
          <w:szCs w:val="16"/>
        </w:rPr>
        <w:softHyphen/>
        <w:t>ниям, предъявляемым к высотным перехватчикам. Ма</w:t>
      </w:r>
      <w:r w:rsidRPr="00070ADE">
        <w:rPr>
          <w:rFonts w:ascii="Times New Roman" w:hAnsi="Times New Roman"/>
          <w:color w:val="000000" w:themeColor="text1"/>
          <w:sz w:val="16"/>
          <w:szCs w:val="16"/>
        </w:rPr>
        <w:softHyphen/>
        <w:t>шину предполагалось строить в четырех экземплярах. На заводе № 51 началось изготовление стендов для наземной отработки винтомоторной группы и гермокабины. В нервюрах крыла применялся профиль серии НАСА-230. Проведенные в ЦАГИ исследования показа</w:t>
      </w:r>
      <w:r w:rsidRPr="00070ADE">
        <w:rPr>
          <w:rFonts w:ascii="Times New Roman" w:hAnsi="Times New Roman"/>
          <w:color w:val="000000" w:themeColor="text1"/>
          <w:sz w:val="16"/>
          <w:szCs w:val="16"/>
        </w:rPr>
        <w:softHyphen/>
        <w:t>ли, что он не является оптимальным на высотах. Поэто</w:t>
      </w:r>
      <w:r w:rsidRPr="00070ADE">
        <w:rPr>
          <w:rFonts w:ascii="Times New Roman" w:hAnsi="Times New Roman"/>
          <w:color w:val="000000" w:themeColor="text1"/>
          <w:sz w:val="16"/>
          <w:szCs w:val="16"/>
        </w:rPr>
        <w:softHyphen/>
        <w:t>му для второго экземпляра решили изготовить новое крыло с профилем, рекомендованным ЦАГИ. Кроме то</w:t>
      </w:r>
      <w:r w:rsidRPr="00070ADE">
        <w:rPr>
          <w:rFonts w:ascii="Times New Roman" w:hAnsi="Times New Roman"/>
          <w:color w:val="000000" w:themeColor="text1"/>
          <w:sz w:val="16"/>
          <w:szCs w:val="16"/>
        </w:rPr>
        <w:softHyphen/>
        <w:t>го, на нем предполагалось установить более высокое шасси, необходимое для использования винта с боль</w:t>
      </w:r>
      <w:r w:rsidRPr="00070ADE">
        <w:rPr>
          <w:rFonts w:ascii="Times New Roman" w:hAnsi="Times New Roman"/>
          <w:color w:val="000000" w:themeColor="text1"/>
          <w:sz w:val="16"/>
          <w:szCs w:val="16"/>
        </w:rPr>
        <w:softHyphen/>
        <w:t>шим диаметром (10667).</w:t>
      </w:r>
    </w:p>
    <w:p w14:paraId="62D6454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57388B" w14:textId="77777777" w:rsidR="00ED0A52" w:rsidRPr="001A0BAA" w:rsidRDefault="00ED0A52" w:rsidP="00ED0A5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Летом 1944 г. закончили эскиз</w:t>
      </w:r>
      <w:r w:rsidRPr="001A0BAA">
        <w:rPr>
          <w:rFonts w:ascii="Times New Roman" w:hAnsi="Times New Roman"/>
          <w:color w:val="0070C0"/>
          <w:sz w:val="16"/>
          <w:szCs w:val="16"/>
        </w:rPr>
        <w:softHyphen/>
        <w:t xml:space="preserve">ный проект истребителя Н.Н.П. ВП (К), а сроки сдачи машины на испытания перенесли на декабрь 1944 г. </w:t>
      </w:r>
    </w:p>
    <w:p w14:paraId="0720F508" w14:textId="77777777" w:rsidR="00ED0A52" w:rsidRPr="001A0BAA" w:rsidRDefault="00ED0A52" w:rsidP="00ED0A5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ВП представлял собой классический низ</w:t>
      </w:r>
      <w:r w:rsidRPr="001A0BAA">
        <w:rPr>
          <w:rFonts w:ascii="Times New Roman" w:hAnsi="Times New Roman"/>
          <w:color w:val="0070C0"/>
          <w:sz w:val="16"/>
          <w:szCs w:val="16"/>
        </w:rPr>
        <w:softHyphen/>
        <w:t>коплан смешанной конструкции, в котором поликарповским коллективом традиционно использовалась деревянная хвостовая часть фюзеляжа. Самолет проектировался с герме</w:t>
      </w:r>
      <w:r w:rsidRPr="001A0BAA">
        <w:rPr>
          <w:rFonts w:ascii="Times New Roman" w:hAnsi="Times New Roman"/>
          <w:color w:val="0070C0"/>
          <w:sz w:val="16"/>
          <w:szCs w:val="16"/>
        </w:rPr>
        <w:softHyphen/>
        <w:t>тической кабиной вентилируемого типа, позволяющей обеспечить летчику наиболее комфортные условия пребывания на боль</w:t>
      </w:r>
      <w:r w:rsidRPr="001A0BAA">
        <w:rPr>
          <w:rFonts w:ascii="Times New Roman" w:hAnsi="Times New Roman"/>
          <w:color w:val="0070C0"/>
          <w:sz w:val="16"/>
          <w:szCs w:val="16"/>
        </w:rPr>
        <w:softHyphen/>
        <w:t>ших высотах. Крыло цельнометаллическое, с размахом 11,0 м, площадью 16,2 м</w:t>
      </w:r>
      <w:r w:rsidRPr="001A0BAA">
        <w:rPr>
          <w:rFonts w:ascii="Times New Roman" w:hAnsi="Times New Roman"/>
          <w:color w:val="0070C0"/>
          <w:sz w:val="16"/>
          <w:szCs w:val="16"/>
          <w:vertAlign w:val="superscript"/>
        </w:rPr>
        <w:t>2</w:t>
      </w:r>
      <w:r w:rsidRPr="001A0BAA">
        <w:rPr>
          <w:rFonts w:ascii="Times New Roman" w:hAnsi="Times New Roman"/>
          <w:color w:val="0070C0"/>
          <w:sz w:val="16"/>
          <w:szCs w:val="16"/>
        </w:rPr>
        <w:t>, со все</w:t>
      </w:r>
      <w:r w:rsidRPr="001A0BAA">
        <w:rPr>
          <w:rFonts w:ascii="Times New Roman" w:hAnsi="Times New Roman"/>
          <w:color w:val="0070C0"/>
          <w:sz w:val="16"/>
          <w:szCs w:val="16"/>
        </w:rPr>
        <w:softHyphen/>
        <w:t>ми конструктивными решениями, полно</w:t>
      </w:r>
      <w:r w:rsidRPr="001A0BAA">
        <w:rPr>
          <w:rFonts w:ascii="Times New Roman" w:hAnsi="Times New Roman"/>
          <w:color w:val="0070C0"/>
          <w:sz w:val="16"/>
          <w:szCs w:val="16"/>
        </w:rPr>
        <w:softHyphen/>
        <w:t>стью отработанными на более ранних типах И-185 и ИТП. Предлагаемый профиль кры</w:t>
      </w:r>
      <w:r w:rsidRPr="001A0BAA">
        <w:rPr>
          <w:rFonts w:ascii="Times New Roman" w:hAnsi="Times New Roman"/>
          <w:color w:val="0070C0"/>
          <w:sz w:val="16"/>
          <w:szCs w:val="16"/>
        </w:rPr>
        <w:softHyphen/>
        <w:t>ла NACA-230 уже в процессе определения характеристик было решено заменить но</w:t>
      </w:r>
      <w:r w:rsidRPr="001A0BAA">
        <w:rPr>
          <w:rFonts w:ascii="Times New Roman" w:hAnsi="Times New Roman"/>
          <w:color w:val="0070C0"/>
          <w:sz w:val="16"/>
          <w:szCs w:val="16"/>
        </w:rPr>
        <w:softHyphen/>
        <w:t>вым ламинизированным профилем, более подходящим для полетов на большой высо</w:t>
      </w:r>
      <w:r w:rsidRPr="001A0BAA">
        <w:rPr>
          <w:rFonts w:ascii="Times New Roman" w:hAnsi="Times New Roman"/>
          <w:color w:val="0070C0"/>
          <w:sz w:val="16"/>
          <w:szCs w:val="16"/>
        </w:rPr>
        <w:softHyphen/>
        <w:t>те. Расчетный полетный вес истребителя со</w:t>
      </w:r>
      <w:r w:rsidRPr="001A0BAA">
        <w:rPr>
          <w:rFonts w:ascii="Times New Roman" w:hAnsi="Times New Roman"/>
          <w:color w:val="0070C0"/>
          <w:sz w:val="16"/>
          <w:szCs w:val="16"/>
        </w:rPr>
        <w:softHyphen/>
        <w:t>ставлял 3320 кг. Вооружение состояло из двух 23-мм пушек.</w:t>
      </w:r>
    </w:p>
    <w:p w14:paraId="1664E0CB" w14:textId="77777777" w:rsidR="00ED0A52" w:rsidRPr="001A0BAA" w:rsidRDefault="00ED0A52" w:rsidP="00ED0A5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Проведенные расчеты показывали, что с двигателем АМ-39А на малых высотах ВП мог развивать максимальную скорость 500 км/ч, на высоте 13750 м — 715 км/ч. </w:t>
      </w:r>
      <w:r w:rsidRPr="001A0BAA">
        <w:rPr>
          <w:rFonts w:ascii="Times New Roman" w:hAnsi="Times New Roman"/>
          <w:i/>
          <w:iCs/>
          <w:color w:val="0070C0"/>
          <w:sz w:val="16"/>
          <w:szCs w:val="16"/>
        </w:rPr>
        <w:t xml:space="preserve">С </w:t>
      </w:r>
      <w:r w:rsidRPr="001A0BAA">
        <w:rPr>
          <w:rFonts w:ascii="Times New Roman" w:hAnsi="Times New Roman"/>
          <w:color w:val="0070C0"/>
          <w:sz w:val="16"/>
          <w:szCs w:val="16"/>
        </w:rPr>
        <w:t>двигателем АМ-39Б скорость у земли пред</w:t>
      </w:r>
      <w:r w:rsidRPr="001A0BAA">
        <w:rPr>
          <w:rFonts w:ascii="Times New Roman" w:hAnsi="Times New Roman"/>
          <w:color w:val="0070C0"/>
          <w:sz w:val="16"/>
          <w:szCs w:val="16"/>
        </w:rPr>
        <w:softHyphen/>
        <w:t>полагалась 586 км/ч, а на высоте 13000 м составляла 680 км/ч. Расчетный потолок составлял 14500—14750 м, время набора вы</w:t>
      </w:r>
      <w:r w:rsidRPr="001A0BAA">
        <w:rPr>
          <w:rFonts w:ascii="Times New Roman" w:hAnsi="Times New Roman"/>
          <w:color w:val="0070C0"/>
          <w:sz w:val="16"/>
          <w:szCs w:val="16"/>
        </w:rPr>
        <w:softHyphen/>
        <w:t>соты 14000 м с АМ-39А — 24,48 мин., а с АМ-39Б — 18 мин.</w:t>
      </w:r>
    </w:p>
    <w:p w14:paraId="371077A8" w14:textId="77777777" w:rsidR="00ED0A52" w:rsidRPr="001A0BAA" w:rsidRDefault="00ED0A52" w:rsidP="00ED0A5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Представленные для рассмотрения ха</w:t>
      </w:r>
      <w:r w:rsidRPr="001A0BAA">
        <w:rPr>
          <w:rFonts w:ascii="Times New Roman" w:hAnsi="Times New Roman"/>
          <w:color w:val="0070C0"/>
          <w:sz w:val="16"/>
          <w:szCs w:val="16"/>
        </w:rPr>
        <w:softHyphen/>
        <w:t>рактеристики ВП признавались реальными, самолет запланировали построить в коли</w:t>
      </w:r>
      <w:r w:rsidRPr="001A0BAA">
        <w:rPr>
          <w:rFonts w:ascii="Times New Roman" w:hAnsi="Times New Roman"/>
          <w:color w:val="0070C0"/>
          <w:sz w:val="16"/>
          <w:szCs w:val="16"/>
        </w:rPr>
        <w:softHyphen/>
        <w:t>честве четырех экземпляров. На переломе 1943—44 гг. опытное производство завода № 51 приступило к изготовлению стендов для отработки винтомоторной группы и гер</w:t>
      </w:r>
      <w:r w:rsidRPr="001A0BAA">
        <w:rPr>
          <w:rFonts w:ascii="Times New Roman" w:hAnsi="Times New Roman"/>
          <w:color w:val="0070C0"/>
          <w:sz w:val="16"/>
          <w:szCs w:val="16"/>
        </w:rPr>
        <w:softHyphen/>
        <w:t>мокабины (24927).</w:t>
      </w:r>
    </w:p>
    <w:p w14:paraId="0DCB2C72" w14:textId="77777777" w:rsidR="00ED0A52" w:rsidRPr="001A0BAA" w:rsidRDefault="00ED0A52" w:rsidP="00ED0A52">
      <w:pPr>
        <w:spacing w:after="0" w:line="240" w:lineRule="auto"/>
        <w:jc w:val="both"/>
        <w:rPr>
          <w:rFonts w:ascii="Times New Roman" w:hAnsi="Times New Roman"/>
          <w:color w:val="0070C0"/>
          <w:sz w:val="16"/>
          <w:szCs w:val="16"/>
        </w:rPr>
      </w:pPr>
    </w:p>
    <w:p w14:paraId="6911ECCE"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Летом 1944 г. был завершен эскизный проект ВП (К) с АМ-39Б с ТК-300Б Г.Н.П. Срок предъявления ВП на испытания перенесли на декабрь 1944 г.</w:t>
      </w:r>
    </w:p>
    <w:p w14:paraId="6FB67BB7"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Самолет ВП представлял собой низкоплан с цельнометаллическим крылом и выклеенным из шпона фюзеляжем с гермокабиной для летчика. Расчетный полетный вес — 3320 к г. Крыло имело размах 11 м, площадь — 16,2 кв. м. Вооружение состояло из двух пушек калибра 23 мм.</w:t>
      </w:r>
    </w:p>
    <w:p w14:paraId="46B5165D"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мотором АМ-39А истребитель мог развить максимальную скорость у земли 500 км/ч, а на высоте 13 750 м — 715 км/ч. С мотором АМ-39Б скорость ВП у земли становилась еще выше: 586 км/ч, но на больших высотах немного понижалась (681 км/ч на 13 000 м). Справедливости ради стоит отметить, что расчетные характеристики варианта с АМ-39Б и ТК-300Б более реальны, так как они были выполнены (по-видимому, впервые в СССР) с учетом волнового сопротивления (на высоте 13 750 м расчетная скорость составляла 805 км/ч без учета волнового сопротивления). ВП мог достичь потолка 14 500-14 750 м. На набор высоты 14 000 м истребителю с АМ-39А требовалось 24,48 мин, а с АМ-39Б — 18 мин.</w:t>
      </w:r>
    </w:p>
    <w:p w14:paraId="2C27C36E"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Было признано, что самолет удовлетворяет требованиям, предъявляемым к высотным перехватчикам.</w:t>
      </w:r>
    </w:p>
    <w:p w14:paraId="0C811E0B"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Машину предполагалось строить в четырех экземплярах. На заводе № 51 началось изготовление стендов для наземной отработки винтомоторной группы и гермокабины.</w:t>
      </w:r>
    </w:p>
    <w:p w14:paraId="506A3F9F"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нервюрах крыла был применен профиль серии NACA-230. Проведенные в ЦАГИ исследования показали, что он не является оптимальным на высотах. Поэтому для второго экземпляра признано целесообразным изготовить новое крыло с профилем, рекомендованным ЦАГИ. Кроме того, на новом крыле предполагалось установить более высокое шасси, необходимое для использования винта с большим диаметром и кпд. Николай Николаевич считал профиль NACA-230 вполне подходящим для больших высот, но соглашался с тем, что относительная толщина его не является оптимальной. По его указанию для последующих экземпляров проектировалось новое крыло с уменьшенной до 14,7 кв. м площадью и другой относительной толщиной (25035).</w:t>
      </w:r>
    </w:p>
    <w:p w14:paraId="1717965F" w14:textId="77777777" w:rsidR="00EF323C" w:rsidRPr="001A0BAA" w:rsidRDefault="00EF323C" w:rsidP="00EF323C">
      <w:pPr>
        <w:spacing w:after="0" w:line="240" w:lineRule="auto"/>
        <w:jc w:val="both"/>
        <w:rPr>
          <w:rFonts w:ascii="Times New Roman" w:hAnsi="Times New Roman"/>
          <w:color w:val="0070C0"/>
          <w:sz w:val="16"/>
          <w:szCs w:val="16"/>
        </w:rPr>
      </w:pPr>
    </w:p>
    <w:p w14:paraId="46E22DC9" w14:textId="77777777" w:rsidR="00BD1A9D" w:rsidRPr="00070ADE" w:rsidRDefault="00BD1A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Летом 1944 года Поликарпов в связи с ухудшением здоровья просил назначить руко</w:t>
      </w:r>
      <w:r w:rsidRPr="00070ADE">
        <w:rPr>
          <w:rFonts w:ascii="Times New Roman" w:hAnsi="Times New Roman"/>
          <w:color w:val="000000" w:themeColor="text1"/>
          <w:sz w:val="16"/>
          <w:szCs w:val="16"/>
        </w:rPr>
        <w:softHyphen/>
        <w:t>водителем ОБК-51 Д.Л. Томашевича, с которым он много и плодотворно работал. Но Наркомат так и не утвердил его полномочным Главным конструктором, а вскоре вышло решение стро</w:t>
      </w:r>
      <w:r w:rsidRPr="00070ADE">
        <w:rPr>
          <w:rFonts w:ascii="Times New Roman" w:hAnsi="Times New Roman"/>
          <w:color w:val="000000" w:themeColor="text1"/>
          <w:sz w:val="16"/>
          <w:szCs w:val="16"/>
        </w:rPr>
        <w:softHyphen/>
        <w:t>ить на заводе №51 аналог немецкого самоле</w:t>
      </w:r>
      <w:r w:rsidRPr="00070ADE">
        <w:rPr>
          <w:rFonts w:ascii="Times New Roman" w:hAnsi="Times New Roman"/>
          <w:color w:val="000000" w:themeColor="text1"/>
          <w:sz w:val="16"/>
          <w:szCs w:val="16"/>
        </w:rPr>
        <w:softHyphen/>
        <w:t>та-снаряда воздушного старта ФАУ-1 (об этом мы поговорим в будущем), передав его в под</w:t>
      </w:r>
      <w:r w:rsidRPr="00070ADE">
        <w:rPr>
          <w:rFonts w:ascii="Times New Roman" w:hAnsi="Times New Roman"/>
          <w:color w:val="000000" w:themeColor="text1"/>
          <w:sz w:val="16"/>
          <w:szCs w:val="16"/>
        </w:rPr>
        <w:softHyphen/>
        <w:t>чинение ОКБ П.О. Сухого. Тот был загружен своими заданиями и не имел опыта в области подобных летательных аппаратов, и копиро</w:t>
      </w:r>
      <w:r w:rsidRPr="00070ADE">
        <w:rPr>
          <w:rFonts w:ascii="Times New Roman" w:hAnsi="Times New Roman"/>
          <w:color w:val="000000" w:themeColor="text1"/>
          <w:sz w:val="16"/>
          <w:szCs w:val="16"/>
        </w:rPr>
        <w:softHyphen/>
        <w:t>вание ФАУ-1 перепоручили двигателисту В.Н. Челомею, разделив ОКБ-51. Сухой был обязан возобновить испытания НБ весной 1945 года, но когда с простоявшего всю зиму под откры</w:t>
      </w:r>
      <w:r w:rsidRPr="00070ADE">
        <w:rPr>
          <w:rFonts w:ascii="Times New Roman" w:hAnsi="Times New Roman"/>
          <w:color w:val="000000" w:themeColor="text1"/>
          <w:sz w:val="16"/>
          <w:szCs w:val="16"/>
        </w:rPr>
        <w:softHyphen/>
        <w:t>тым небом самолета сняли чехлы, механики увидели, что фанерная обшивка местами поко</w:t>
      </w:r>
      <w:r w:rsidRPr="00070ADE">
        <w:rPr>
          <w:rFonts w:ascii="Times New Roman" w:hAnsi="Times New Roman"/>
          <w:color w:val="000000" w:themeColor="text1"/>
          <w:sz w:val="16"/>
          <w:szCs w:val="16"/>
        </w:rPr>
        <w:softHyphen/>
        <w:t>робилась, покрылась трещинами и плесенью. Самолет «Т» признали негодным к полетам и раздавили трактором. Советские дальние бомбардировщики периода Великой Отечественной войны (24139).</w:t>
      </w:r>
    </w:p>
    <w:p w14:paraId="6E035740" w14:textId="77777777" w:rsidR="00BD1A9D" w:rsidRPr="00070ADE" w:rsidRDefault="00BD1A9D" w:rsidP="00B56F90">
      <w:pPr>
        <w:spacing w:after="0" w:line="240" w:lineRule="auto"/>
        <w:jc w:val="both"/>
        <w:rPr>
          <w:rFonts w:ascii="Times New Roman" w:hAnsi="Times New Roman"/>
          <w:color w:val="000000" w:themeColor="text1"/>
          <w:sz w:val="16"/>
          <w:szCs w:val="16"/>
        </w:rPr>
      </w:pPr>
    </w:p>
    <w:p w14:paraId="512D03D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на заводе № 153 построили своеобразный гибрид учебно-тренировоч</w:t>
      </w:r>
      <w:r w:rsidRPr="00070ADE">
        <w:rPr>
          <w:rFonts w:ascii="Times New Roman" w:hAnsi="Times New Roman"/>
          <w:color w:val="000000" w:themeColor="text1"/>
          <w:sz w:val="16"/>
          <w:szCs w:val="16"/>
        </w:rPr>
        <w:softHyphen/>
        <w:t>ного Як-9В и дальнего истребителя Як-9ДЦ - самолет Як-9 «Курьерский». Эта транспортная машина предназначалась для перевозки одного пассажира (например, фельдъегеря) во фронто</w:t>
      </w:r>
      <w:r w:rsidRPr="00070ADE">
        <w:rPr>
          <w:rFonts w:ascii="Times New Roman" w:hAnsi="Times New Roman"/>
          <w:color w:val="000000" w:themeColor="text1"/>
          <w:sz w:val="16"/>
          <w:szCs w:val="16"/>
        </w:rPr>
        <w:softHyphen/>
        <w:t>вых условиях. Вооружение на самолете отсутство</w:t>
      </w:r>
      <w:r w:rsidRPr="00070ADE">
        <w:rPr>
          <w:rFonts w:ascii="Times New Roman" w:hAnsi="Times New Roman"/>
          <w:color w:val="000000" w:themeColor="text1"/>
          <w:sz w:val="16"/>
          <w:szCs w:val="16"/>
        </w:rPr>
        <w:softHyphen/>
        <w:t>вало. Из задней кабины убрали приборную доску, органы управления, установили пол и выполнили внутреннюю обшивку. Так как экипажу предстояло выполнять длительные перелеты, разработчики самолета постарались создать на борту более-</w:t>
      </w:r>
      <w:r w:rsidRPr="00070ADE">
        <w:rPr>
          <w:rFonts w:ascii="Times New Roman" w:hAnsi="Times New Roman"/>
          <w:color w:val="000000" w:themeColor="text1"/>
          <w:sz w:val="16"/>
          <w:szCs w:val="16"/>
        </w:rPr>
        <w:softHyphen/>
        <w:t>менее комфортные условия, установив, в частнос</w:t>
      </w:r>
      <w:r w:rsidRPr="00070ADE">
        <w:rPr>
          <w:rFonts w:ascii="Times New Roman" w:hAnsi="Times New Roman"/>
          <w:color w:val="000000" w:themeColor="text1"/>
          <w:sz w:val="16"/>
          <w:szCs w:val="16"/>
        </w:rPr>
        <w:softHyphen/>
        <w:t>ти, в обеих кабинах специальные писсуары. Ма</w:t>
      </w:r>
      <w:r w:rsidRPr="00070ADE">
        <w:rPr>
          <w:rFonts w:ascii="Times New Roman" w:hAnsi="Times New Roman"/>
          <w:color w:val="000000" w:themeColor="text1"/>
          <w:sz w:val="16"/>
          <w:szCs w:val="16"/>
        </w:rPr>
        <w:softHyphen/>
        <w:t>шина прошла заводские испытания, но на Госу</w:t>
      </w:r>
      <w:r w:rsidRPr="00070ADE">
        <w:rPr>
          <w:rFonts w:ascii="Times New Roman" w:hAnsi="Times New Roman"/>
          <w:color w:val="000000" w:themeColor="text1"/>
          <w:sz w:val="16"/>
          <w:szCs w:val="16"/>
        </w:rPr>
        <w:softHyphen/>
        <w:t>дарственные не передавалась и осталась в единственном экземпляре (10712).</w:t>
      </w:r>
    </w:p>
    <w:p w14:paraId="46F8644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2B11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года острота про</w:t>
      </w:r>
      <w:r w:rsidRPr="00070ADE">
        <w:rPr>
          <w:rFonts w:ascii="Times New Roman" w:hAnsi="Times New Roman"/>
          <w:color w:val="000000" w:themeColor="text1"/>
          <w:sz w:val="16"/>
          <w:szCs w:val="16"/>
        </w:rPr>
        <w:softHyphen/>
        <w:t>блемы со свечами для мотора АШ-82ФН была снята, хотя и в дальней</w:t>
      </w:r>
      <w:r w:rsidRPr="00070ADE">
        <w:rPr>
          <w:rFonts w:ascii="Times New Roman" w:hAnsi="Times New Roman"/>
          <w:color w:val="000000" w:themeColor="text1"/>
          <w:sz w:val="16"/>
          <w:szCs w:val="16"/>
        </w:rPr>
        <w:softHyphen/>
        <w:t>шем срок службы свечей АС-130 вы</w:t>
      </w:r>
      <w:r w:rsidRPr="00070ADE">
        <w:rPr>
          <w:rFonts w:ascii="Times New Roman" w:hAnsi="Times New Roman"/>
          <w:color w:val="000000" w:themeColor="text1"/>
          <w:sz w:val="16"/>
          <w:szCs w:val="16"/>
        </w:rPr>
        <w:softHyphen/>
        <w:t>зывал нарекания (10714).</w:t>
      </w:r>
    </w:p>
    <w:p w14:paraId="093A91E5"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FBB41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лету нового 1944 года снова ждали очередного повышения ЛТД наших истребителей. ОКБ С.А.Ла</w:t>
      </w:r>
      <w:r w:rsidRPr="00070ADE">
        <w:rPr>
          <w:rFonts w:ascii="Times New Roman" w:hAnsi="Times New Roman"/>
          <w:color w:val="000000" w:themeColor="text1"/>
          <w:sz w:val="16"/>
          <w:szCs w:val="16"/>
        </w:rPr>
        <w:softHyphen/>
        <w:t>вочкина не могло остаться в сторо</w:t>
      </w:r>
      <w:r w:rsidRPr="00070ADE">
        <w:rPr>
          <w:rFonts w:ascii="Times New Roman" w:hAnsi="Times New Roman"/>
          <w:color w:val="000000" w:themeColor="text1"/>
          <w:sz w:val="16"/>
          <w:szCs w:val="16"/>
        </w:rPr>
        <w:softHyphen/>
        <w:t>не. Весь опыт, накопленный в 1942-43 годах, и ответы на новые требования были воплощены в опытной ма</w:t>
      </w:r>
      <w:r w:rsidRPr="00070ADE">
        <w:rPr>
          <w:rFonts w:ascii="Times New Roman" w:hAnsi="Times New Roman"/>
          <w:color w:val="000000" w:themeColor="text1"/>
          <w:sz w:val="16"/>
          <w:szCs w:val="16"/>
        </w:rPr>
        <w:softHyphen/>
        <w:t>шине «3Б», также называемой «эта</w:t>
      </w:r>
      <w:r w:rsidRPr="00070ADE">
        <w:rPr>
          <w:rFonts w:ascii="Times New Roman" w:hAnsi="Times New Roman"/>
          <w:color w:val="000000" w:themeColor="text1"/>
          <w:sz w:val="16"/>
          <w:szCs w:val="16"/>
        </w:rPr>
        <w:softHyphen/>
        <w:t>лон Ла-5 1944 года», вышедшей на аэродром в январе 1944 года. Пер</w:t>
      </w:r>
      <w:r w:rsidRPr="00070ADE">
        <w:rPr>
          <w:rFonts w:ascii="Times New Roman" w:hAnsi="Times New Roman"/>
          <w:color w:val="000000" w:themeColor="text1"/>
          <w:sz w:val="16"/>
          <w:szCs w:val="16"/>
        </w:rPr>
        <w:softHyphen/>
        <w:t>воначально эта машина проектиро</w:t>
      </w:r>
      <w:r w:rsidRPr="00070ADE">
        <w:rPr>
          <w:rFonts w:ascii="Times New Roman" w:hAnsi="Times New Roman"/>
          <w:color w:val="000000" w:themeColor="text1"/>
          <w:sz w:val="16"/>
          <w:szCs w:val="16"/>
        </w:rPr>
        <w:softHyphen/>
        <w:t>валась в двух вариантах: с серийным М-82ФН и с улучшенным М-82ФНА (последний был длиннее на 30 мм). Но вскоре стало ясно, что рассчиты</w:t>
      </w:r>
      <w:r w:rsidRPr="00070ADE">
        <w:rPr>
          <w:rFonts w:ascii="Times New Roman" w:hAnsi="Times New Roman"/>
          <w:color w:val="000000" w:themeColor="text1"/>
          <w:sz w:val="16"/>
          <w:szCs w:val="16"/>
        </w:rPr>
        <w:softHyphen/>
        <w:t>вать можно лишь на серийный мо</w:t>
      </w:r>
      <w:r w:rsidRPr="00070ADE">
        <w:rPr>
          <w:rFonts w:ascii="Times New Roman" w:hAnsi="Times New Roman"/>
          <w:color w:val="000000" w:themeColor="text1"/>
          <w:sz w:val="16"/>
          <w:szCs w:val="16"/>
        </w:rPr>
        <w:softHyphen/>
        <w:t>тор (10714).</w:t>
      </w:r>
    </w:p>
    <w:p w14:paraId="2137BAA8"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0087A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А.И.Покрышкин и группа его летчиков прошла переподготовку на Ла-7 при Высшей офицерской школе воздуш</w:t>
      </w:r>
      <w:r w:rsidRPr="00070ADE">
        <w:rPr>
          <w:rFonts w:ascii="Times New Roman" w:hAnsi="Times New Roman"/>
          <w:color w:val="000000" w:themeColor="text1"/>
          <w:sz w:val="16"/>
          <w:szCs w:val="16"/>
        </w:rPr>
        <w:softHyphen/>
        <w:t>ного боя, но по какой-то причине са</w:t>
      </w:r>
      <w:r w:rsidRPr="00070ADE">
        <w:rPr>
          <w:rFonts w:ascii="Times New Roman" w:hAnsi="Times New Roman"/>
          <w:color w:val="000000" w:themeColor="text1"/>
          <w:sz w:val="16"/>
          <w:szCs w:val="16"/>
        </w:rPr>
        <w:softHyphen/>
        <w:t>молетов Лавочкина 9-я ГИАД, коман</w:t>
      </w:r>
      <w:r w:rsidRPr="00070ADE">
        <w:rPr>
          <w:rFonts w:ascii="Times New Roman" w:hAnsi="Times New Roman"/>
          <w:color w:val="000000" w:themeColor="text1"/>
          <w:sz w:val="16"/>
          <w:szCs w:val="16"/>
        </w:rPr>
        <w:softHyphen/>
        <w:t>диром которой был назначен гвар</w:t>
      </w:r>
      <w:r w:rsidRPr="00070ADE">
        <w:rPr>
          <w:rFonts w:ascii="Times New Roman" w:hAnsi="Times New Roman"/>
          <w:color w:val="000000" w:themeColor="text1"/>
          <w:sz w:val="16"/>
          <w:szCs w:val="16"/>
        </w:rPr>
        <w:softHyphen/>
        <w:t>дии полковник Покрышкин, так и не получила, и оканчивать войну ей при</w:t>
      </w:r>
      <w:r w:rsidRPr="00070ADE">
        <w:rPr>
          <w:rFonts w:ascii="Times New Roman" w:hAnsi="Times New Roman"/>
          <w:color w:val="000000" w:themeColor="text1"/>
          <w:sz w:val="16"/>
          <w:szCs w:val="16"/>
        </w:rPr>
        <w:softHyphen/>
        <w:t>шлось на все тех же американских «Аэрокобрах» (10714).</w:t>
      </w:r>
    </w:p>
    <w:p w14:paraId="196052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47141D" w14:textId="77777777" w:rsidR="00E20115" w:rsidRPr="00070ADE" w:rsidRDefault="00E2011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w:t>
      </w:r>
      <w:r w:rsidRPr="00070ADE">
        <w:rPr>
          <w:rFonts w:ascii="Times New Roman" w:hAnsi="Times New Roman"/>
          <w:color w:val="000000" w:themeColor="text1"/>
          <w:sz w:val="16"/>
          <w:szCs w:val="16"/>
        </w:rPr>
        <w:softHyphen/>
        <w:t>том 1944 А.И. Покрышкин и группа его лётчиков прошла переподготовку на Ла-7 при Высшей офицер</w:t>
      </w:r>
      <w:r w:rsidRPr="00070ADE">
        <w:rPr>
          <w:rFonts w:ascii="Times New Roman" w:hAnsi="Times New Roman"/>
          <w:color w:val="000000" w:themeColor="text1"/>
          <w:sz w:val="16"/>
          <w:szCs w:val="16"/>
        </w:rPr>
        <w:softHyphen/>
        <w:t>ской школе воздушного боя, но по какой-то причине самолётов Лавочкина 9-я ГИАД, командиром которой был назначен гвардии полковник Покрышкин, так и не получила, и оканчивать войну ей пришлось на всё тех же американских «Аэрокобрах» (15829).</w:t>
      </w:r>
    </w:p>
    <w:p w14:paraId="04DB6153" w14:textId="77777777" w:rsidR="00E20115" w:rsidRPr="00070ADE" w:rsidRDefault="00E20115" w:rsidP="00B56F90">
      <w:pPr>
        <w:spacing w:after="0" w:line="240" w:lineRule="auto"/>
        <w:jc w:val="both"/>
        <w:rPr>
          <w:rFonts w:ascii="Times New Roman" w:hAnsi="Times New Roman"/>
          <w:color w:val="000000" w:themeColor="text1"/>
          <w:sz w:val="16"/>
          <w:szCs w:val="16"/>
        </w:rPr>
      </w:pPr>
    </w:p>
    <w:p w14:paraId="6F3156E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прошёл стендовые испытания новый мотор АШ-83. Его взлётная мощность по сравнению с АШ-82ФН возросла незначительно, всего на 50 л.с. (менее 3%), но в совокупности с форсированным боевым режимом и большей высотностью он обещал заметное улучшение лётных характеристик самолёта. Лавочкин немедленно установил его на Ла-7. В августе опытный образец истребителя с АШ-83 впервые превысил 700-кило- метровый рубеж скорости. В послевоенный период серийные Ла-7 иногда использовали для испытания различного оборудования и авиационных приборов. Так, в 1946 г. на одной машине в ЛИИ опробовали тормозной парашют, значительно сокративший пробег на посадке (11986).</w:t>
      </w:r>
    </w:p>
    <w:p w14:paraId="52DF22F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54D827F" w14:textId="67A73F65"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прошел стендовые испытания новый мотор АШ-83. По сравнению с предшественником его взлетная мощность возросла незначительно, всего на 50л.с. (менее 3%), но в совокупности с боевым режимом и большей высотностью он обещал заметное улучшение летных характеристик самолета. Лавочкин немедленно опробовал АШ-83 на Ла-7. В августе опытный истребитель с этим двигателем впервые преодолел 700-километровый рубеж скорости.</w:t>
      </w:r>
    </w:p>
    <w:p w14:paraId="19942C6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Вслед за этим перспективный, как казалось, мотор смонтировали на новом истребителе "120". Этот самолет внешне почти не отличался от Ла-7, но если заглянуть под обшивку, то можно было обнаружить немало узлов из металла, снизивших вес планера почти на 150 кг. У Ла-5ФН и всех предшествовавших машин Лавочкина фюзеляж делился на раму-лафет в передней части и деревянный монокок сзади, выклеивавшийся из шпона. На самолете "120" применили более рациональную конструкцию фюзеляжа: появился разъем за пилотской кабиной. Спереди от него находилась цельнометаллическая секция, а сзади - деревянная. Это позволило расширить кабину пилота. Крыло стало однолонжеронным, а не двух- лонжеронным, как у ЛаГГ-3 и Ла-5. Вес одного его квадратного метра снизился до 22 кг (для сравнения: у Ла-5 - 23,8 кг, у немецкого истребителя Мессершмитт Bf 109G-2 - 22 кг, у американской "Аэрокобры" - 21,4 кг). Шасси облегчили на 22 кг.</w:t>
      </w:r>
    </w:p>
    <w:p w14:paraId="64779B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Замена 20-мм пушек СП-20 на НС-23С калибра 23 мм, установлен- ны на новом ферменном лафете, увеличила секундный залп бортового оружия почти в полтора раза. Но, пожалуй, самым важным отличием стало впервые примененное крыло с ламинарным профилем, позволившее увеличить максимальную скорость на 20 км/ч (11990).</w:t>
      </w:r>
    </w:p>
    <w:p w14:paraId="5B88AC3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64516FF"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Вплоть до лета 1944 года ЛаГГ-3 продолжали выпускать в Тбилиси! Последней стала 66-я серия, которая мало чем отличалась от машины образца лета 1942 года. В 1943 – 1944 годах большую часть самолетов поставляли на южный участок фронта и в ВВС ЧФ. Сказывалось удобное расположение завода-производителя. Тбилиси находился рядом, а все остальные авиазаводы – далеко от Кубани и Черноморского побережья. В небольших количествах ЛаГГи до начала 1944 года воевали и на других участках фронта, в частности на Андреапольской дуге, Волховском и Карельском фронтах.</w:t>
      </w:r>
    </w:p>
    <w:p w14:paraId="139004E3"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В общей сложности в 1941 – 1944 годах было выпущено около 6500 истребителей ЛаГГ- 3, в том числе 3583 на авиазаводе №21. Хотелось бы отметить, что самолет не был «дешевым в производстве», как это принято считать. «Товарищ Петров в воздушных боях был дважды ранен, но решительная командирская воля, смелость и презрение к смерти позволили товарищу Петрову произвести нормальные посадки, сохранив дорогостоящий самолет», – говорилось в представлении к ордену Ленина известного нам летчика Петра Петрова из 253-го ИАП. И последняя фраза про «дорогостоящий самолет» не являлась преувеличением! Себестоимость выпуска одной машины составляла примерно 310 000 рублей, в то время как И-16 тип 29 обходился налогоплательщикам (хотя в СССР было принято говорить обобществленно – «государству») в 115 690 рублей. Таким образом, деревянный самолет стоил примерно втрое дороже цельнометаллического с деревянными элементами! Виной тому большая доля ручного труда, вследствие чего еще до начала войны штат рабочих на том же заводе №21 пришлось чуть ли не удвоить.</w:t>
      </w:r>
    </w:p>
    <w:p w14:paraId="1718408C"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Получается, что весь тираж ЛаГГ-3 стоил примерно 2 миллиарда рублей без учета инфляции – колоссальные деньги для того времени! Для сравнения: ущерб Горьковскому автозаводу, который был практически полностью разрушен во время авиаударов Люфтваффе в июне 1943 года, был оценен в 190 – 200 млн рублей.</w:t>
      </w:r>
    </w:p>
    <w:p w14:paraId="18710AA9"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Оправданны ли были такие вложения? Если верить историкам авиации, всегда называвших ЛаГГ-3 «недоделанным», «слишком тяжелым» и в лучшем случае «не особо успешным воздушным бойцом», на котором только отдельные опытные асы умудрялись добиваться успехов, то получается, что все деньги были выброшены на ветер. Лучше бы сразу «поставили» на все конвейеры Як-1 и – война в воздухе сложилась бы по-другому…</w:t>
      </w:r>
    </w:p>
    <w:p w14:paraId="43B2BA07" w14:textId="77777777" w:rsidR="00EF323C" w:rsidRPr="001A0BAA" w:rsidRDefault="00EF323C" w:rsidP="00EF323C">
      <w:pPr>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 xml:space="preserve">Но данное исследование показало, что эти оценки были совершенно ложными. Дело в том, что действия советской истребительной авиации в Великой Отечественной войне у нас принято оценивать по «немецкой», ну или «английской» системе, то есть по количеству побед летчиков и числу сбитых ими самолетов. Соответственно и боевые качества истребителей при всем нашем декларируемом «патриотизме» и «самобытности» всегда оцениваются только в сравнении с «конкурентами» – </w:t>
      </w:r>
      <w:r w:rsidRPr="001A0BAA">
        <w:rPr>
          <w:rStyle w:val="aff1"/>
          <w:rFonts w:ascii="Times New Roman" w:hAnsi="Times New Roman" w:cs="Times New Roman"/>
          <w:color w:val="0070C0"/>
          <w:spacing w:val="0"/>
          <w:sz w:val="16"/>
          <w:szCs w:val="16"/>
          <w:lang w:val="en-US"/>
        </w:rPr>
        <w:t>Bf</w:t>
      </w:r>
      <w:r w:rsidRPr="001A0BAA">
        <w:rPr>
          <w:rStyle w:val="aff1"/>
          <w:rFonts w:ascii="Times New Roman" w:hAnsi="Times New Roman" w:cs="Times New Roman"/>
          <w:color w:val="0070C0"/>
          <w:spacing w:val="0"/>
          <w:sz w:val="16"/>
          <w:szCs w:val="16"/>
        </w:rPr>
        <w:t xml:space="preserve">-109 (в начале войны) и </w:t>
      </w:r>
      <w:r w:rsidRPr="001A0BAA">
        <w:rPr>
          <w:rStyle w:val="aff1"/>
          <w:rFonts w:ascii="Times New Roman" w:hAnsi="Times New Roman" w:cs="Times New Roman"/>
          <w:color w:val="0070C0"/>
          <w:spacing w:val="0"/>
          <w:sz w:val="16"/>
          <w:szCs w:val="16"/>
          <w:lang w:val="en-US"/>
        </w:rPr>
        <w:t>FW</w:t>
      </w:r>
      <w:r w:rsidRPr="001A0BAA">
        <w:rPr>
          <w:rStyle w:val="aff1"/>
          <w:rFonts w:ascii="Times New Roman" w:hAnsi="Times New Roman" w:cs="Times New Roman"/>
          <w:color w:val="0070C0"/>
          <w:spacing w:val="0"/>
          <w:sz w:val="16"/>
          <w:szCs w:val="16"/>
        </w:rPr>
        <w:t>-190 (в конце войны) (25050).</w:t>
      </w:r>
    </w:p>
    <w:p w14:paraId="3A978712" w14:textId="77777777" w:rsidR="00EF323C" w:rsidRPr="001A0BAA" w:rsidRDefault="00EF323C" w:rsidP="00EF323C">
      <w:pPr>
        <w:spacing w:after="0" w:line="240" w:lineRule="auto"/>
        <w:jc w:val="both"/>
        <w:rPr>
          <w:rFonts w:ascii="Times New Roman" w:hAnsi="Times New Roman"/>
          <w:color w:val="0070C0"/>
          <w:sz w:val="16"/>
          <w:szCs w:val="16"/>
        </w:rPr>
      </w:pPr>
    </w:p>
    <w:p w14:paraId="2543B3E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ответственными за проведение государственных испытаний И-220 зав. № 01 с мотором АМ-39 в НИИ ВВС назначили ведущего инженера В.И. Алексеенко и летчика-испытателя Д. Г. Пикуленко. На номинальном режиме работы мотора Пикуленко получил скорость 606 км/ч на высоте 2700 м и 668 км/ч на высоте 6800 м. Высоту 5000 м самолет набирал за 6,3 мин. Практический потолок И-220 составил 11 000 м. Такие данные практически не выделяли И-220 на фоне серийных вариантов истребителей Як-3, Як-9У и Ла-7. 26 сентября госиспытания были прекращены по просьбе главного конструктора А.И. Микояна (12045).</w:t>
      </w:r>
    </w:p>
    <w:p w14:paraId="3158F99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D6CAF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в ОКБ-155 спроектировали и построили второй экземпляр "стратосферного истребителя", оснащенного герметической кабиной, который получил название И-224 и шифр "4А". На нем установили форсированный двигатель АМ-39ФБ и один турбокомпрессор ТК-300Б конструкции А.А. Микулина на правом выхлопном коллекторе, а также четырехлопастный винт АВ-9Л-26Б. Высотность мотора была доведена до 7000 м. Вооружение И-224 состояло из одной синхронной 20-мм пушки Б-20 с боезапасом 100 патронов. Заводские испытания проводили ведущий инженер К.П. Ковалевский и летчик-испытатель Г.М. Шиянов. Первый вылет И-224 состоялся 16 сентября 1944 г., а всего через две недели самолет потерпел аварию при вынужденной посадке из-за отказа двигателя. Другого мотора не было, поэтому ремонт затянулся. По расчетам, максимальная скорость машины должна была составить 693 км/ч на высоте 13 100 м.</w:t>
      </w:r>
    </w:p>
    <w:p w14:paraId="0DA745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 конце 1944 г. истребитель И-224 отправили в ЛИИ для продолжения испытаний. Уже после окончания войны с Германией, в июле 1945 г., самолет смог забраться на высоту 13 700 м, при этом летчик не отметил каких-либо недостатков в работе его агрегатов и гермокабины. Испытания И-224 завершились только 26 октября 1945 г. На самолете была полностью отработана герметическая кабина и достигнут практический потолок 14 100 м. В январе 1946 г. самолет подготовили для передачи на госиспытания в НИИ ВВС. Истребитель получил форсированный вариант мотора АМ-39ФБ с улучшенным ПЦН. Впрочем, доработка И-224, как видно, затянулась </w:t>
      </w:r>
      <w:r w:rsidRPr="00070ADE">
        <w:rPr>
          <w:rFonts w:ascii="Times New Roman" w:hAnsi="Times New Roman"/>
          <w:color w:val="000000" w:themeColor="text1"/>
          <w:sz w:val="16"/>
          <w:szCs w:val="16"/>
        </w:rPr>
        <w:lastRenderedPageBreak/>
        <w:t>сверх меры, ведь к тому времени уже вышли на испытания первые отечественные самолеты с газотурбинными двигателями. Неудивительно, что постановлением Совмина от 30 ноября 1946 г. работы по самолетам И-222 и И-224 были прекращены (12045).</w:t>
      </w:r>
    </w:p>
    <w:p w14:paraId="65218D1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288AFDD" w14:textId="77777777" w:rsidR="00EC78A0" w:rsidRPr="00070ADE" w:rsidRDefault="00EC78A0" w:rsidP="00EC78A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Задание на создание самолета на 10-12 пассажиров с дальностью полета 5000 км для Аэрофлота было сформулировано И.В.Сталиным летом 1944 г.</w:t>
      </w:r>
    </w:p>
    <w:p w14:paraId="70CF825B" w14:textId="77777777" w:rsidR="00EC78A0" w:rsidRPr="00070ADE" w:rsidRDefault="00EC78A0" w:rsidP="00EC78A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Дооборудовали, усилили бронезащиту, изменили форму и уменьшили площадь руля высоты. Результаты - так себе и особенно при посадке (5,53). Работы были прекращены из-за проблем с дизелями.</w:t>
      </w:r>
    </w:p>
    <w:p w14:paraId="63C8CB6D" w14:textId="77777777" w:rsidR="00EC78A0" w:rsidRPr="00070ADE" w:rsidRDefault="00EC78A0" w:rsidP="00EC78A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EE6A3AB" w14:textId="77777777" w:rsidR="00EC78A0" w:rsidRPr="00070ADE" w:rsidRDefault="00EC78A0" w:rsidP="00EC78A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лета 1944 в ДА стали поступать 10-15 Ще-2 в месяц и они использовались как учебные машины (556,163).</w:t>
      </w:r>
    </w:p>
    <w:p w14:paraId="5121B1EF" w14:textId="77777777" w:rsidR="00EC78A0" w:rsidRPr="00070ADE" w:rsidRDefault="00EC78A0" w:rsidP="00EC78A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B3FD5C" w14:textId="77777777" w:rsidR="00EC78A0" w:rsidRPr="00070ADE" w:rsidRDefault="00EC78A0" w:rsidP="00EC78A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проходили испытания УТ-2Л (666,71).</w:t>
      </w:r>
    </w:p>
    <w:p w14:paraId="580B7C9A" w14:textId="77777777" w:rsidR="00EC78A0" w:rsidRPr="00070ADE" w:rsidRDefault="00EC78A0" w:rsidP="00EC78A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B2ADB6"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Летом 1944 года про</w:t>
      </w:r>
      <w:r w:rsidRPr="001A0BAA">
        <w:rPr>
          <w:rFonts w:ascii="Times New Roman" w:hAnsi="Times New Roman"/>
          <w:color w:val="0070C0"/>
          <w:sz w:val="16"/>
          <w:szCs w:val="16"/>
        </w:rPr>
        <w:softHyphen/>
        <w:t>шел стендовые испытания мотор АШ-83. Его взлетная мощность по сравнению с АШ-82ФН возросла незначительно, всего на 50 л.с. (менее 3%), но в совокупности с боевым режимом и большей высотностью он обещал заметное улучшение летных характеристик, и Лавочкин немедлен</w:t>
      </w:r>
      <w:r w:rsidRPr="001A0BAA">
        <w:rPr>
          <w:rFonts w:ascii="Times New Roman" w:hAnsi="Times New Roman"/>
          <w:color w:val="0070C0"/>
          <w:sz w:val="16"/>
          <w:szCs w:val="16"/>
        </w:rPr>
        <w:softHyphen/>
        <w:t>но устанавливает его на Ла-7. В августе опытный истребитель впервые превысил 700-км рубеж скорости.</w:t>
      </w:r>
    </w:p>
    <w:p w14:paraId="7BBF1BB8"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Вслед за этим перспективный, как ка</w:t>
      </w:r>
      <w:r w:rsidRPr="001A0BAA">
        <w:rPr>
          <w:rFonts w:ascii="Times New Roman" w:hAnsi="Times New Roman"/>
          <w:color w:val="0070C0"/>
          <w:sz w:val="16"/>
          <w:szCs w:val="16"/>
        </w:rPr>
        <w:softHyphen/>
        <w:t>залось, мотор установили на новый ис</w:t>
      </w:r>
      <w:r w:rsidRPr="001A0BAA">
        <w:rPr>
          <w:rFonts w:ascii="Times New Roman" w:hAnsi="Times New Roman"/>
          <w:color w:val="0070C0"/>
          <w:sz w:val="16"/>
          <w:szCs w:val="16"/>
        </w:rPr>
        <w:softHyphen/>
        <w:t>требитель «120». Самолет внешне почти не отличался от предшественника Ла-7, но если заглянуть под обшивку, то мож</w:t>
      </w:r>
      <w:r w:rsidRPr="001A0BAA">
        <w:rPr>
          <w:rFonts w:ascii="Times New Roman" w:hAnsi="Times New Roman"/>
          <w:color w:val="0070C0"/>
          <w:sz w:val="16"/>
          <w:szCs w:val="16"/>
        </w:rPr>
        <w:softHyphen/>
        <w:t>но было обнаружить немало изделий из металла, снизивших вес планера почти на 150 кг. За счет более рациональной конструкции фюзеляжа, состоявшего из передней металлической и задней дере</w:t>
      </w:r>
      <w:r w:rsidRPr="001A0BAA">
        <w:rPr>
          <w:rFonts w:ascii="Times New Roman" w:hAnsi="Times New Roman"/>
          <w:color w:val="0070C0"/>
          <w:sz w:val="16"/>
          <w:szCs w:val="16"/>
        </w:rPr>
        <w:softHyphen/>
        <w:t>вянной частей, удалось расширить кабину пилота.</w:t>
      </w:r>
    </w:p>
    <w:p w14:paraId="6D9764AB"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Крыло стало однолонжеронным, а вес его одного квадратного метра снизил</w:t>
      </w:r>
      <w:r w:rsidRPr="001A0BAA">
        <w:rPr>
          <w:rFonts w:ascii="Times New Roman" w:hAnsi="Times New Roman"/>
          <w:color w:val="0070C0"/>
          <w:sz w:val="16"/>
          <w:szCs w:val="16"/>
        </w:rPr>
        <w:softHyphen/>
        <w:t>ся до 22 кг. Для сравнения: у самоле</w:t>
      </w:r>
      <w:r w:rsidRPr="001A0BAA">
        <w:rPr>
          <w:rFonts w:ascii="Times New Roman" w:hAnsi="Times New Roman"/>
          <w:color w:val="0070C0"/>
          <w:sz w:val="16"/>
          <w:szCs w:val="16"/>
        </w:rPr>
        <w:softHyphen/>
        <w:t>та Ла-5 этот параметр достигал 23,8 кг, у Ла-7 — 22,4 кг, у Bf109G-2 — 22 кг, а у Р-39 «Аэрокобра» — 21,4 кг. Шасси облег</w:t>
      </w:r>
      <w:r w:rsidRPr="001A0BAA">
        <w:rPr>
          <w:rFonts w:ascii="Times New Roman" w:hAnsi="Times New Roman"/>
          <w:color w:val="0070C0"/>
          <w:sz w:val="16"/>
          <w:szCs w:val="16"/>
        </w:rPr>
        <w:softHyphen/>
        <w:t>чили на 22 кг.</w:t>
      </w:r>
    </w:p>
    <w:p w14:paraId="63FDD3A7"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Существенные изменения претерпело и хвостовое оперение.</w:t>
      </w:r>
    </w:p>
    <w:p w14:paraId="1BAD9E4A"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Благодаря замене синхронных пушек ШВАК на НС-23С калибра 23 мм, уста</w:t>
      </w:r>
      <w:r w:rsidRPr="001A0BAA">
        <w:rPr>
          <w:rFonts w:ascii="Times New Roman" w:hAnsi="Times New Roman"/>
          <w:color w:val="0070C0"/>
          <w:sz w:val="16"/>
          <w:szCs w:val="16"/>
        </w:rPr>
        <w:softHyphen/>
        <w:t>новленных на новом ферменном лафете, секундный залп бортового оружия возрос почти в 1,5 раза. Но, пожалуй, самым важ</w:t>
      </w:r>
      <w:r w:rsidRPr="001A0BAA">
        <w:rPr>
          <w:rFonts w:ascii="Times New Roman" w:hAnsi="Times New Roman"/>
          <w:color w:val="0070C0"/>
          <w:sz w:val="16"/>
          <w:szCs w:val="16"/>
        </w:rPr>
        <w:softHyphen/>
        <w:t>ным отличием стало крыло с ламинарным профилем, позволившее увеличить ско</w:t>
      </w:r>
      <w:r w:rsidRPr="001A0BAA">
        <w:rPr>
          <w:rFonts w:ascii="Times New Roman" w:hAnsi="Times New Roman"/>
          <w:color w:val="0070C0"/>
          <w:sz w:val="16"/>
          <w:szCs w:val="16"/>
        </w:rPr>
        <w:softHyphen/>
        <w:t>рость на 20 км/ч (24988).</w:t>
      </w:r>
    </w:p>
    <w:p w14:paraId="6E9E3095" w14:textId="77777777" w:rsidR="00EC78A0" w:rsidRPr="001A0BAA" w:rsidRDefault="00EC78A0" w:rsidP="00EC78A0">
      <w:pPr>
        <w:spacing w:after="0" w:line="240" w:lineRule="auto"/>
        <w:jc w:val="both"/>
        <w:rPr>
          <w:rFonts w:ascii="Times New Roman" w:hAnsi="Times New Roman"/>
          <w:color w:val="0070C0"/>
          <w:sz w:val="16"/>
          <w:szCs w:val="16"/>
        </w:rPr>
      </w:pPr>
    </w:p>
    <w:p w14:paraId="45BAAAB5" w14:textId="77777777" w:rsidR="00EC78A0" w:rsidRPr="001A0BAA" w:rsidRDefault="00EC78A0" w:rsidP="00EC78A0">
      <w:pPr>
        <w:spacing w:after="0" w:line="240" w:lineRule="auto"/>
        <w:jc w:val="both"/>
        <w:rPr>
          <w:rStyle w:val="aff1"/>
          <w:rFonts w:ascii="Times New Roman" w:hAnsi="Times New Roman" w:cs="Times New Roman"/>
          <w:color w:val="0070C0"/>
          <w:spacing w:val="0"/>
          <w:sz w:val="16"/>
          <w:szCs w:val="16"/>
        </w:rPr>
      </w:pPr>
      <w:r w:rsidRPr="001A0BAA">
        <w:rPr>
          <w:rStyle w:val="aff1"/>
          <w:rFonts w:ascii="Times New Roman" w:hAnsi="Times New Roman" w:cs="Times New Roman"/>
          <w:color w:val="0070C0"/>
          <w:spacing w:val="0"/>
          <w:sz w:val="16"/>
          <w:szCs w:val="16"/>
        </w:rPr>
        <w:t>Летом 1944 года прошел стендовые испытания мотор АШ-83. Его взлетная мощность по сравнению с АШ-82ФН возросла незначительно, всего на 50 л.с. (менее 3 процентов), но в совокупности с боевым режимом и большей высотностью он обещал заметное улучшение летных характеристик (25252).</w:t>
      </w:r>
    </w:p>
    <w:p w14:paraId="2533AEDB" w14:textId="77777777" w:rsidR="00EC78A0" w:rsidRPr="001A0BAA" w:rsidRDefault="00EC78A0" w:rsidP="00EC78A0">
      <w:pPr>
        <w:spacing w:after="0" w:line="240" w:lineRule="auto"/>
        <w:jc w:val="both"/>
        <w:rPr>
          <w:rFonts w:ascii="Times New Roman" w:hAnsi="Times New Roman"/>
          <w:color w:val="0070C0"/>
          <w:sz w:val="16"/>
          <w:szCs w:val="16"/>
        </w:rPr>
      </w:pPr>
    </w:p>
    <w:p w14:paraId="532DE26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коллектив ОКБ В.П. Глушко в полном составе был освобожден из-под стражи. Решением Президиума Верховного Совета СССР досрочно освобождается со снятием судимости и С.П. Королев. Тогда же на основе конструкторской группы В.П. Глушко было создано ОКБ СД (специальных двигателей), переданное из ведения НКВД в систему наркомата авиационной промышленности. Главным конструктором ОКБ СД назначили В.П. Глушко, а С.П. Королев стал заместителем главного конструктора, оставаясь в этой должности до августа 1945 г.</w:t>
      </w:r>
    </w:p>
    <w:p w14:paraId="225259D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Испытания самолета Пе-2 зав. № 15/185 продолжили в 1944-1945 гг. с целью увеличения надежности и высотности системы зажигания, проведя 49 наземных и 38 летных огневых испытаний. Предпочтение было отдано хорошо отработанной к тому времени системе повторного химического зажигания вместо примененной ранее эфиро-воздуш- ной системы зажигания со свечой накаливания и кислородной подпиткой.</w:t>
      </w:r>
    </w:p>
    <w:p w14:paraId="4C4E36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Усовершенствованный двигатель РД-1 с химическим зажиганием и рядом конструктивных нововведений получил название РД-1ХЗ. В качестве пускового горючего, самовоспламеняющегося при смешении с азотной кислотой, в двигателе РД-1ХЗ применялся разработанный в 1945 г. А.А. Мееровым продукт Б23-75, представляющий собой смесь 75% (по массе) карбинола и 25% бензина Б-70. Азотная кислота и керосин подавались в камеру сгорания насосным агрегатом, приводимым в действие от основного авиадвигателя. Привод осуществлялся через фрикционную муфту, включаемую подачей масла под давлением через электрогидрокла- пан, открывавшийся при помощи концевого выключателя сектора управления двигателем. Фактический ресурс двигателя РД-1ХЗ был доведен до нескольких часов. В процессе отработки двигателя РД-1ХЗ было проведено 2200 пусков, из них 228 на самолете Пе-2.</w:t>
      </w:r>
    </w:p>
    <w:p w14:paraId="6F961CF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Следует отметить, что в процессе испытаний случались чрезвычайные происшествия. Дважды двигательная установка взрывалась, в том числе один раз - в воздухе. Летчику А.Г. Васильченко чудом удалось совершить благополучную посадку на самолете с полуразрушенным хвостовым оперением. В одном из таких неудачных экспериментов получил травму С.П. Королев.</w:t>
      </w:r>
    </w:p>
    <w:p w14:paraId="6CE20DB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 принятия решения о прекращении производства боевых вариантов Пе-2 и переключением внимания Глушко и Королева на трофейную баллистическую ракету V-2 дальнейшие испытания Пе-2 с РД-1 свернули. Самолет зав. № 15/185 достался в наследство ОКБ В.М. Мясишева (12042).</w:t>
      </w:r>
    </w:p>
    <w:p w14:paraId="373410C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3735A4F" w14:textId="77777777" w:rsidR="0089327F" w:rsidRPr="00070ADE" w:rsidRDefault="0089327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 испытывался Ил-6 с АЧ-30БФ. Взлетный вес - 16100 кг, скорость 464 км/ч, дальность с 1 т - 5450 км на скорости 340 км/ч (24,219).</w:t>
      </w:r>
    </w:p>
    <w:p w14:paraId="5B5C6A41" w14:textId="77777777" w:rsidR="0089327F" w:rsidRPr="00070ADE" w:rsidRDefault="0089327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ADE5CC" w14:textId="77777777" w:rsidR="00EC78A0" w:rsidRPr="001A0BAA" w:rsidRDefault="00EC78A0" w:rsidP="00EC78A0">
      <w:pPr>
        <w:spacing w:after="0" w:line="240" w:lineRule="auto"/>
        <w:jc w:val="both"/>
        <w:rPr>
          <w:rStyle w:val="aff1"/>
          <w:rFonts w:ascii="Times New Roman" w:hAnsi="Times New Roman" w:cs="Times New Roman"/>
          <w:color w:val="0070C0"/>
          <w:spacing w:val="0"/>
          <w:sz w:val="16"/>
          <w:szCs w:val="16"/>
        </w:rPr>
      </w:pPr>
      <w:bookmarkStart w:id="131" w:name="_Hlk196737435"/>
      <w:r w:rsidRPr="001A0BAA">
        <w:rPr>
          <w:rStyle w:val="aff1"/>
          <w:rFonts w:ascii="Times New Roman" w:hAnsi="Times New Roman" w:cs="Times New Roman"/>
          <w:color w:val="0070C0"/>
          <w:spacing w:val="0"/>
          <w:sz w:val="16"/>
          <w:szCs w:val="16"/>
        </w:rPr>
        <w:t>Летом 1944 г. на заводе № 26 началось развертывание крупно</w:t>
      </w:r>
      <w:r w:rsidRPr="001A0BAA">
        <w:rPr>
          <w:rStyle w:val="aff1"/>
          <w:rFonts w:ascii="Times New Roman" w:hAnsi="Times New Roman" w:cs="Times New Roman"/>
          <w:color w:val="0070C0"/>
          <w:spacing w:val="0"/>
          <w:sz w:val="16"/>
          <w:szCs w:val="16"/>
        </w:rPr>
        <w:softHyphen/>
        <w:t>серийного производства нового двигателя Климова М-107 (ВК-107), проектирование которого началось еще в середине 1939 г. Его конструкция преду</w:t>
      </w:r>
      <w:r w:rsidRPr="001A0BAA">
        <w:rPr>
          <w:rStyle w:val="aff1"/>
          <w:rFonts w:ascii="Times New Roman" w:hAnsi="Times New Roman" w:cs="Times New Roman"/>
          <w:color w:val="0070C0"/>
          <w:spacing w:val="0"/>
          <w:sz w:val="16"/>
          <w:szCs w:val="16"/>
        </w:rPr>
        <w:softHyphen/>
        <w:t>сматривала четырехклапанную головку цилиндра. По сравнению с М-105 мотор существенно форси</w:t>
      </w:r>
      <w:r w:rsidRPr="001A0BAA">
        <w:rPr>
          <w:rStyle w:val="aff1"/>
          <w:rFonts w:ascii="Times New Roman" w:hAnsi="Times New Roman" w:cs="Times New Roman"/>
          <w:color w:val="0070C0"/>
          <w:spacing w:val="0"/>
          <w:sz w:val="16"/>
          <w:szCs w:val="16"/>
        </w:rPr>
        <w:softHyphen/>
        <w:t>ровали по частоте вращения вала, усилили многие детали. Это позволило довести максимальную мощность до 1400 л.с. Предусматривалась установка на мотор пушки ШВАК, а позднее – пушек Б-20М, НС-23, Н-37 и Н-45 (25145).</w:t>
      </w:r>
    </w:p>
    <w:p w14:paraId="1C558C64" w14:textId="77777777" w:rsidR="00EC78A0" w:rsidRPr="001A0BAA" w:rsidRDefault="00EC78A0" w:rsidP="00EC78A0">
      <w:pPr>
        <w:spacing w:after="0" w:line="240" w:lineRule="auto"/>
        <w:jc w:val="both"/>
        <w:rPr>
          <w:rFonts w:ascii="Times New Roman" w:hAnsi="Times New Roman"/>
          <w:color w:val="0070C0"/>
          <w:sz w:val="16"/>
          <w:szCs w:val="16"/>
        </w:rPr>
      </w:pPr>
    </w:p>
    <w:bookmarkEnd w:id="131"/>
    <w:p w14:paraId="0C613055" w14:textId="77777777" w:rsidR="00411CE0" w:rsidRPr="00070ADE" w:rsidRDefault="00411C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Летом 1943 г. на советско-германском фронте появились </w:t>
      </w:r>
      <w:r w:rsidRPr="00070ADE">
        <w:rPr>
          <w:rFonts w:ascii="Times New Roman" w:hAnsi="Times New Roman"/>
          <w:color w:val="000000" w:themeColor="text1"/>
          <w:sz w:val="16"/>
          <w:szCs w:val="16"/>
          <w:lang w:val="en-US"/>
        </w:rPr>
        <w:t>Bf</w:t>
      </w:r>
      <w:r w:rsidRPr="00070ADE">
        <w:rPr>
          <w:rFonts w:ascii="Times New Roman" w:hAnsi="Times New Roman"/>
          <w:color w:val="000000" w:themeColor="text1"/>
          <w:sz w:val="16"/>
          <w:szCs w:val="16"/>
        </w:rPr>
        <w:t xml:space="preserve"> 109 </w:t>
      </w:r>
      <w:r w:rsidRPr="00070ADE">
        <w:rPr>
          <w:rFonts w:ascii="Times New Roman" w:hAnsi="Times New Roman"/>
          <w:color w:val="000000" w:themeColor="text1"/>
          <w:sz w:val="16"/>
          <w:szCs w:val="16"/>
          <w:lang w:val="en-US"/>
        </w:rPr>
        <w:t>G</w:t>
      </w:r>
      <w:r w:rsidRPr="00070ADE">
        <w:rPr>
          <w:rFonts w:ascii="Times New Roman" w:hAnsi="Times New Roman"/>
          <w:color w:val="000000" w:themeColor="text1"/>
          <w:sz w:val="16"/>
          <w:szCs w:val="16"/>
        </w:rPr>
        <w:t>-6. Данные о нем собирали, активно допрашивая пленных летчиков и техников. Однако исправный экземпляр №783959 захватили только в январе 1945 г. Испытания в НИИ ВВС проводил В.Е. Голофастов. Выяснилось, что на высотах до 5000 м немецкий истребитель уступает Як-3, Як-9У и Ла-7. Максимальной скорости достигли на высоте 7000 м - 630 км/ч, а у земли получили всего 492 км/ч. Правда, изучение мотора на этой машине показало, что форсированный режим на нем отключен (23186).</w:t>
      </w:r>
    </w:p>
    <w:p w14:paraId="0787E468" w14:textId="77777777" w:rsidR="00411CE0" w:rsidRPr="00070ADE" w:rsidRDefault="00411CE0" w:rsidP="00B56F90">
      <w:pPr>
        <w:spacing w:after="0" w:line="240" w:lineRule="auto"/>
        <w:jc w:val="both"/>
        <w:rPr>
          <w:rFonts w:ascii="Times New Roman" w:hAnsi="Times New Roman"/>
          <w:color w:val="000000" w:themeColor="text1"/>
          <w:sz w:val="16"/>
          <w:szCs w:val="16"/>
        </w:rPr>
      </w:pPr>
    </w:p>
    <w:p w14:paraId="41806BED" w14:textId="77777777" w:rsidR="0004034B" w:rsidRPr="00070ADE" w:rsidRDefault="0004034B" w:rsidP="00B56F90">
      <w:pPr>
        <w:pStyle w:val="ae"/>
        <w:shd w:val="clear" w:color="auto" w:fill="FFFFFF"/>
        <w:spacing w:before="0" w:after="0"/>
        <w:jc w:val="both"/>
        <w:rPr>
          <w:color w:val="000000" w:themeColor="text1"/>
          <w:sz w:val="16"/>
          <w:szCs w:val="16"/>
        </w:rPr>
      </w:pPr>
      <w:r w:rsidRPr="00070ADE">
        <w:rPr>
          <w:color w:val="000000" w:themeColor="text1"/>
          <w:sz w:val="16"/>
          <w:szCs w:val="16"/>
        </w:rPr>
        <w:t>Летом 1944 г. на фронтах войны появился немецкий ракет ный самолет Ме-163, схожий по идее с «302П», но обладав ший худшими характеристиками. А через несколько месяцев были успешно завершены работы по созданию первых отече ственных конструкций ЖРД с ТНА многоразового действия (однокамерного РД-2М и двухкамерного РД-2М-ЗВ) и конст рукции ПВРД. Вскоре А.С. Яковлев был снят с поста консультанта в ГКО по авиационной технике.</w:t>
      </w:r>
    </w:p>
    <w:p w14:paraId="76B92E2D" w14:textId="77777777" w:rsidR="0004034B" w:rsidRPr="00070ADE" w:rsidRDefault="0004034B" w:rsidP="00B56F90">
      <w:pPr>
        <w:pStyle w:val="ae"/>
        <w:shd w:val="clear" w:color="auto" w:fill="FFFFFF"/>
        <w:spacing w:before="0" w:after="0"/>
        <w:jc w:val="both"/>
        <w:rPr>
          <w:color w:val="000000" w:themeColor="text1"/>
          <w:sz w:val="16"/>
          <w:szCs w:val="16"/>
        </w:rPr>
      </w:pPr>
      <w:r w:rsidRPr="00070ADE">
        <w:rPr>
          <w:color w:val="000000" w:themeColor="text1"/>
          <w:sz w:val="16"/>
          <w:szCs w:val="16"/>
        </w:rPr>
        <w:t>В связи с необоснованностью обвинений в техническом авантюризме и обмане правительства при создании самолета «302», в феврале 1945 г. А.Г. Костиков был реабилитиро ван»[50].</w:t>
      </w:r>
    </w:p>
    <w:p w14:paraId="392D6557" w14:textId="77777777" w:rsidR="0004034B" w:rsidRPr="00070ADE" w:rsidRDefault="0004034B"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После реабилитации Костикову довелось заниматься ак тивно-реактивными снарядами по теме «Гром», где он про явил себя и как конструктор, и как организатор работ высо кого уровня (19586).</w:t>
      </w:r>
    </w:p>
    <w:p w14:paraId="1D959126" w14:textId="77777777" w:rsidR="0004034B" w:rsidRPr="00070ADE" w:rsidRDefault="0004034B" w:rsidP="00B56F90">
      <w:pPr>
        <w:spacing w:after="0" w:line="240" w:lineRule="auto"/>
        <w:jc w:val="both"/>
        <w:rPr>
          <w:rFonts w:ascii="Times New Roman" w:hAnsi="Times New Roman"/>
          <w:color w:val="000000" w:themeColor="text1"/>
          <w:sz w:val="16"/>
          <w:szCs w:val="16"/>
        </w:rPr>
      </w:pPr>
    </w:p>
    <w:p w14:paraId="207663DB"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Летом 1944 г. на фронтах войны появился немецкий ракет</w:t>
      </w:r>
      <w:r w:rsidRPr="001A0BAA">
        <w:rPr>
          <w:rFonts w:ascii="Times New Roman" w:hAnsi="Times New Roman"/>
          <w:color w:val="0070C0"/>
          <w:sz w:val="16"/>
          <w:szCs w:val="16"/>
        </w:rPr>
        <w:softHyphen/>
        <w:t>ный самолет Ме-163, схожий по идее с «302П», но обладав</w:t>
      </w:r>
      <w:r w:rsidRPr="001A0BAA">
        <w:rPr>
          <w:rFonts w:ascii="Times New Roman" w:hAnsi="Times New Roman"/>
          <w:color w:val="0070C0"/>
          <w:sz w:val="16"/>
          <w:szCs w:val="16"/>
        </w:rPr>
        <w:softHyphen/>
        <w:t>ший худшими характеристиками. А через несколько месяцев были успешно завершены работы по созданию первых отече</w:t>
      </w:r>
      <w:r w:rsidRPr="001A0BAA">
        <w:rPr>
          <w:rFonts w:ascii="Times New Roman" w:hAnsi="Times New Roman"/>
          <w:color w:val="0070C0"/>
          <w:sz w:val="16"/>
          <w:szCs w:val="16"/>
        </w:rPr>
        <w:softHyphen/>
        <w:t>ственных конструкций ЖРД с ТНА многоразового действия (однокамерного РД-2М и двухкамерного РД-2М-ЗВ) и конст</w:t>
      </w:r>
      <w:r w:rsidRPr="001A0BAA">
        <w:rPr>
          <w:rFonts w:ascii="Times New Roman" w:hAnsi="Times New Roman"/>
          <w:color w:val="0070C0"/>
          <w:sz w:val="16"/>
          <w:szCs w:val="16"/>
        </w:rPr>
        <w:softHyphen/>
        <w:t>рукции ПВРД. Вскоре А.С. Яковлев был снят с поста кон</w:t>
      </w:r>
      <w:r w:rsidRPr="001A0BAA">
        <w:rPr>
          <w:rFonts w:ascii="Times New Roman" w:hAnsi="Times New Roman"/>
          <w:color w:val="0070C0"/>
          <w:sz w:val="16"/>
          <w:szCs w:val="16"/>
        </w:rPr>
        <w:softHyphen/>
        <w:t>сультанта в ГКО по авиационной технике (24920).</w:t>
      </w:r>
    </w:p>
    <w:p w14:paraId="78E19CDA" w14:textId="77777777" w:rsidR="00EC78A0" w:rsidRPr="001A0BAA" w:rsidRDefault="00EC78A0" w:rsidP="00EC78A0">
      <w:pPr>
        <w:spacing w:after="0" w:line="240" w:lineRule="auto"/>
        <w:jc w:val="both"/>
        <w:rPr>
          <w:rFonts w:ascii="Times New Roman" w:hAnsi="Times New Roman"/>
          <w:color w:val="0070C0"/>
          <w:sz w:val="16"/>
          <w:szCs w:val="16"/>
        </w:rPr>
      </w:pPr>
    </w:p>
    <w:p w14:paraId="0DEE30C8" w14:textId="77777777" w:rsidR="0004034B" w:rsidRPr="00070ADE" w:rsidRDefault="000403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лета 19</w:t>
      </w:r>
      <w:smartTag w:uri="urn:schemas-microsoft-com:office:smarttags" w:element="metricconverter">
        <w:smartTagPr>
          <w:attr w:name="ProductID" w:val="44 г"/>
        </w:smartTagPr>
        <w:r w:rsidRPr="00070ADE">
          <w:rPr>
            <w:rFonts w:ascii="Times New Roman" w:hAnsi="Times New Roman"/>
            <w:color w:val="000000" w:themeColor="text1"/>
            <w:sz w:val="16"/>
            <w:szCs w:val="16"/>
          </w:rPr>
          <w:t>44 г</w:t>
        </w:r>
      </w:smartTag>
      <w:r w:rsidRPr="00070ADE">
        <w:rPr>
          <w:rFonts w:ascii="Times New Roman" w:hAnsi="Times New Roman"/>
          <w:color w:val="000000" w:themeColor="text1"/>
          <w:sz w:val="16"/>
          <w:szCs w:val="16"/>
        </w:rPr>
        <w:t xml:space="preserve">. отдельные экземпляры и фрагменты трофейной реактивной техники свозили в НИИ-1 МАП. К началу </w:t>
      </w:r>
      <w:smartTag w:uri="urn:schemas-microsoft-com:office:smarttags" w:element="metricconverter">
        <w:smartTagPr>
          <w:attr w:name="ProductID" w:val="45 г"/>
        </w:smartTagPr>
        <w:r w:rsidRPr="00070ADE">
          <w:rPr>
            <w:rFonts w:ascii="Times New Roman" w:hAnsi="Times New Roman"/>
            <w:color w:val="000000" w:themeColor="text1"/>
            <w:sz w:val="16"/>
            <w:szCs w:val="16"/>
          </w:rPr>
          <w:t>45 г</w:t>
        </w:r>
      </w:smartTag>
      <w:r w:rsidRPr="00070ADE">
        <w:rPr>
          <w:rFonts w:ascii="Times New Roman" w:hAnsi="Times New Roman"/>
          <w:color w:val="000000" w:themeColor="text1"/>
          <w:sz w:val="16"/>
          <w:szCs w:val="16"/>
        </w:rPr>
        <w:t xml:space="preserve">. специалистам, изучавшим эту технику, а их число было очень ограничено по режиму секретности, удалось определить основные характеристики ракеты Фау-2. Разработчики ЖРД в НКАП были поражены размерами двигателя. У нас максимальная тяга не превышала 1,5 т., а здесь 25 т., т.е больше чем на порядок. Никаких предложений их по использованию к маю </w:t>
      </w:r>
      <w:smartTag w:uri="urn:schemas-microsoft-com:office:smarttags" w:element="metricconverter">
        <w:smartTagPr>
          <w:attr w:name="ProductID" w:val="45 г"/>
        </w:smartTagPr>
        <w:r w:rsidRPr="00070ADE">
          <w:rPr>
            <w:rFonts w:ascii="Times New Roman" w:hAnsi="Times New Roman"/>
            <w:color w:val="000000" w:themeColor="text1"/>
            <w:sz w:val="16"/>
            <w:szCs w:val="16"/>
          </w:rPr>
          <w:t>45 г</w:t>
        </w:r>
      </w:smartTag>
      <w:r w:rsidRPr="00070ADE">
        <w:rPr>
          <w:rFonts w:ascii="Times New Roman" w:hAnsi="Times New Roman"/>
          <w:color w:val="000000" w:themeColor="text1"/>
          <w:sz w:val="16"/>
          <w:szCs w:val="16"/>
        </w:rPr>
        <w:t>. не выдвигалось. Шахурин уже был в опале у Сталина, и ему было не до Фау-2. У Глушко и Королева еще не были закончены работы по созданию реактивных ускорителей для авиации, о чем говорит взрыв двигателя Глушко РД-1 при включении во время полета 12.05.45 г. В этот период 04-</w:t>
      </w:r>
      <w:smartTag w:uri="urn:schemas-microsoft-com:office:smarttags" w:element="metricconverter">
        <w:smartTagPr>
          <w:attr w:name="ProductID" w:val="05.45 г"/>
        </w:smartTagPr>
        <w:r w:rsidRPr="00070ADE">
          <w:rPr>
            <w:rFonts w:ascii="Times New Roman" w:hAnsi="Times New Roman"/>
            <w:color w:val="000000" w:themeColor="text1"/>
            <w:sz w:val="16"/>
            <w:szCs w:val="16"/>
          </w:rPr>
          <w:t>05.45 г</w:t>
        </w:r>
      </w:smartTag>
      <w:r w:rsidRPr="00070ADE">
        <w:rPr>
          <w:rFonts w:ascii="Times New Roman" w:hAnsi="Times New Roman"/>
          <w:color w:val="000000" w:themeColor="text1"/>
          <w:sz w:val="16"/>
          <w:szCs w:val="16"/>
        </w:rPr>
        <w:t>. наиболее активно проводили работу по сбору сведений о Фау-2 работники НКБ и командования гвардейских минометных частей. Все-таки Фау-2 – это всего большой снаряд. Еще 19.03.45 г. вышло постановление ГКО о создании в системе НКБ ГЦКБ-1 по разработке новых реактивных снарядов. В это время все работы по РС были сосредоточены в НИИ-1 НКАП и в его филиале во Владыкино, там разрабатывались РС к БМ-31 и другим новым системам. Конечно, разработка РС это не профиль НКАП (19590).</w:t>
      </w:r>
    </w:p>
    <w:p w14:paraId="05D21132" w14:textId="77777777" w:rsidR="0004034B" w:rsidRPr="00070ADE" w:rsidRDefault="0004034B" w:rsidP="00B56F90">
      <w:pPr>
        <w:spacing w:after="0" w:line="240" w:lineRule="auto"/>
        <w:jc w:val="both"/>
        <w:rPr>
          <w:rFonts w:ascii="Times New Roman" w:hAnsi="Times New Roman"/>
          <w:color w:val="000000" w:themeColor="text1"/>
          <w:sz w:val="16"/>
          <w:szCs w:val="16"/>
        </w:rPr>
      </w:pPr>
    </w:p>
    <w:p w14:paraId="1D571FB9" w14:textId="77777777" w:rsidR="00ED0A52" w:rsidRPr="001A0BAA" w:rsidRDefault="00ED0A52" w:rsidP="00ED0A52">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Летом 1944 г. Абрамович перешел на работу в НИИ-1 НКАП на</w:t>
      </w:r>
      <w:r w:rsidRPr="001A0BAA">
        <w:rPr>
          <w:rFonts w:ascii="Times New Roman" w:hAnsi="Times New Roman"/>
          <w:b/>
          <w:bCs/>
          <w:color w:val="0070C0"/>
          <w:sz w:val="16"/>
          <w:szCs w:val="16"/>
        </w:rPr>
        <w:t xml:space="preserve"> </w:t>
      </w:r>
      <w:r w:rsidRPr="001A0BAA">
        <w:rPr>
          <w:rFonts w:ascii="Times New Roman" w:hAnsi="Times New Roman"/>
          <w:color w:val="0070C0"/>
          <w:sz w:val="16"/>
          <w:szCs w:val="16"/>
        </w:rPr>
        <w:t>должность заместителя начальника этого институ</w:t>
      </w:r>
      <w:r w:rsidRPr="001A0BAA">
        <w:rPr>
          <w:rFonts w:ascii="Times New Roman" w:hAnsi="Times New Roman"/>
          <w:color w:val="0070C0"/>
          <w:sz w:val="16"/>
          <w:szCs w:val="16"/>
        </w:rPr>
        <w:softHyphen/>
        <w:t>та, где проработал до 1948 г. С уходом Абрамовича из ЦАГИ тематика ВРДК в ЦАГИ была закрыта. Последним про</w:t>
      </w:r>
      <w:r w:rsidRPr="001A0BAA">
        <w:rPr>
          <w:rFonts w:ascii="Times New Roman" w:hAnsi="Times New Roman"/>
          <w:color w:val="0070C0"/>
          <w:sz w:val="16"/>
          <w:szCs w:val="16"/>
        </w:rPr>
        <w:softHyphen/>
        <w:t>ектом ЦАГИ был проект установки ВРДК на самолет Ла-5, который по уровню проработки уступал предыдущим [44], [45] (24920).</w:t>
      </w:r>
    </w:p>
    <w:p w14:paraId="3268AC3D" w14:textId="77777777" w:rsidR="00ED0A52" w:rsidRPr="001A0BAA" w:rsidRDefault="00ED0A52" w:rsidP="00ED0A52">
      <w:pPr>
        <w:spacing w:after="0" w:line="240" w:lineRule="auto"/>
        <w:jc w:val="both"/>
        <w:rPr>
          <w:rFonts w:ascii="Times New Roman" w:hAnsi="Times New Roman"/>
          <w:color w:val="0070C0"/>
          <w:sz w:val="16"/>
          <w:szCs w:val="16"/>
        </w:rPr>
      </w:pPr>
    </w:p>
    <w:p w14:paraId="66EA68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в КБ завода Компрессор ГК В.П.Бармин разрабатывал установки для пуска М-13 со спиральными направляющими для повышения кучности. В войну так и не успели (1142).</w:t>
      </w:r>
    </w:p>
    <w:p w14:paraId="49C7598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Дальнейшим совершенствованием установок для стрельбы снарядами калибра 132 мм стало создание установки БМ-13-СН со спиральными направляющими в составе метательной установки. Кроме кассет с направляющими и фермы, все остальные узлы были унифицированы с соответствующими узлами боевой нормализованной установки БМ-13Н. С помощью установки возможно было вести стрельбу всеми типами снарядов калибра 132 мм. Установка обеспечивала значительно лучшую кучность стрельбы снарядами М-13 – в 3,2 раза, М-13УК – в 1,1 раза, М-20 – в 3,3 раза, М-13ДД в 1,47 раза. Она была проще, менее трудоемка и дешевле в изготовлении, при изготовлении деталей отпала необходимость целого ряда трудоемких станочных работ.</w:t>
      </w:r>
    </w:p>
    <w:p w14:paraId="7FC29AA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1944 году, после получения положительных результатов по кучности стрельбы снарядами калибра 132 мм с опытных спиральных направляющих, специалисты СКБ по собственной инициативе приступили к разработке спиральных направляющих для пуска снарядов М-8 калибра 82 мм. Преимуществами по сравнению с установками типа М-8 с направляющими типа “балка” были (11772).</w:t>
      </w:r>
    </w:p>
    <w:p w14:paraId="67B4209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52D03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года армейские изобретатели разработали оригинальную ракетную систему. С.М. Штеменко вспоминал: “…на 2-м Белорусском фронте была сконструирована так наетающая торпеда, очень простая по замыслу. На реактивный снаряд М-13 с помощью железных обручей крепилась деревянная бочка обтикаемой формы. Внутрь бочки заливался жидкий тол. … Для устойчивости в полете к хвостовой части прикреплялся деревянный стабилизатор. Стрельба производилась из деревянного ящика я железными полозьями в качестве направляющих…. ” [72]. В источнике [73] представлены фотографии летающей торпеды (11772).</w:t>
      </w:r>
    </w:p>
    <w:p w14:paraId="780AB0E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D30C550" w14:textId="677992F7" w:rsidR="001444FD" w:rsidRPr="00070ADE" w:rsidRDefault="001444FD" w:rsidP="00B56F90">
      <w:pPr>
        <w:spacing w:after="0" w:line="240" w:lineRule="auto"/>
        <w:jc w:val="both"/>
        <w:rPr>
          <w:rFonts w:ascii="Times New Roman" w:eastAsia="Times New Roman" w:hAnsi="Times New Roman"/>
          <w:color w:val="000000" w:themeColor="text1"/>
          <w:sz w:val="16"/>
          <w:szCs w:val="16"/>
        </w:rPr>
      </w:pPr>
      <w:r w:rsidRPr="00070ADE">
        <w:rPr>
          <w:rFonts w:ascii="Times New Roman" w:eastAsia="Times New Roman" w:hAnsi="Times New Roman"/>
          <w:color w:val="000000" w:themeColor="text1"/>
          <w:sz w:val="16"/>
          <w:szCs w:val="16"/>
        </w:rPr>
        <w:t>Летом 1944 года армейские изобретатели разработали оригинальную ракетную систему. С.М. Штеменко вспоминал: “…на 2-м Белорусском фронте была сконструирована так называемая летающая торпеда, очень простая по замыслу. На реактивный снаряд М-13 с помощью железных обручей крепилась деревянная бочка обтикаемой формы. Внутрь бочки заливался жидкий тол. … Для устойчивости в полете к хвостовой части прикреплялся деревянный стабилизатор. Стрельба производилась из деревянного ящика с железными полозьями в качестве направляющих….</w:t>
      </w:r>
      <w:r w:rsidR="00B643A8" w:rsidRPr="00070ADE">
        <w:rPr>
          <w:rFonts w:ascii="Times New Roman" w:eastAsia="Times New Roman" w:hAnsi="Times New Roman"/>
          <w:color w:val="000000" w:themeColor="text1"/>
          <w:sz w:val="16"/>
          <w:szCs w:val="16"/>
        </w:rPr>
        <w:t xml:space="preserve"> </w:t>
      </w:r>
      <w:r w:rsidRPr="00070ADE">
        <w:rPr>
          <w:rFonts w:ascii="Times New Roman" w:eastAsia="Times New Roman" w:hAnsi="Times New Roman"/>
          <w:color w:val="000000" w:themeColor="text1"/>
          <w:sz w:val="16"/>
          <w:szCs w:val="16"/>
        </w:rPr>
        <w:t>” (15981).</w:t>
      </w:r>
    </w:p>
    <w:p w14:paraId="630E679A" w14:textId="77777777" w:rsidR="001444FD" w:rsidRPr="00070ADE" w:rsidRDefault="001444FD" w:rsidP="00B56F90">
      <w:pPr>
        <w:spacing w:after="0" w:line="240" w:lineRule="auto"/>
        <w:jc w:val="both"/>
        <w:rPr>
          <w:rFonts w:ascii="Times New Roman" w:eastAsia="Times New Roman" w:hAnsi="Times New Roman"/>
          <w:color w:val="000000" w:themeColor="text1"/>
          <w:sz w:val="16"/>
          <w:szCs w:val="16"/>
        </w:rPr>
      </w:pPr>
    </w:p>
    <w:p w14:paraId="74FD6972" w14:textId="77777777" w:rsidR="00411CE0" w:rsidRPr="00070ADE" w:rsidRDefault="00411CE0"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Летом 1944 года начался сбор сведений о «Фау-2» и Михаил Клавдиевич Тихонравов в составе группы от НИИ-1 НКАП отправился на немецкий ракетный полигон Хайделагер (Heidelager), расположенный у польского города Дембица, и одним из первых сумел ознакомиться с секретным оружием гитлеровцев.</w:t>
      </w:r>
    </w:p>
    <w:p w14:paraId="38C33AEB" w14:textId="77777777" w:rsidR="00411CE0" w:rsidRPr="00070ADE" w:rsidRDefault="00411CE0"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Через год Тихонравов в соавторстве с Николаем Гавриловичем Чернышёвым предложил проект пилотируемого варианта ФАУ-2, получивший название ВР-190 («Победа»). Инициатива не была реализована, но способствовала переходу группы Тихонравова осенью 1946 года в Научно-исследовательский институт №4 Академии артиллерийских наук (НИИ-4 ААН), где он, имея звание инженер-полковника, получил должность заместителя начальника института, собственный сектор и возможность реализовать дальние планы (20875).</w:t>
      </w:r>
    </w:p>
    <w:p w14:paraId="34B810A1" w14:textId="77777777" w:rsidR="00411CE0" w:rsidRPr="00070ADE" w:rsidRDefault="00411CE0" w:rsidP="00B56F90">
      <w:pPr>
        <w:spacing w:after="0" w:line="240" w:lineRule="auto"/>
        <w:jc w:val="both"/>
        <w:rPr>
          <w:rFonts w:ascii="Times New Roman" w:hAnsi="Times New Roman"/>
          <w:color w:val="000000" w:themeColor="text1"/>
          <w:sz w:val="16"/>
          <w:szCs w:val="16"/>
          <w:shd w:val="clear" w:color="auto" w:fill="FFFFFF"/>
        </w:rPr>
      </w:pPr>
    </w:p>
    <w:p w14:paraId="1462C05D" w14:textId="77777777" w:rsidR="00411CE0" w:rsidRPr="00070ADE" w:rsidRDefault="00411C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войска аэро</w:t>
      </w:r>
      <w:r w:rsidRPr="00070ADE">
        <w:rPr>
          <w:rFonts w:ascii="Times New Roman" w:hAnsi="Times New Roman"/>
          <w:color w:val="000000" w:themeColor="text1"/>
          <w:sz w:val="16"/>
          <w:szCs w:val="16"/>
        </w:rPr>
        <w:softHyphen/>
        <w:t>статного заграждения Ленинграда переориенти</w:t>
      </w:r>
      <w:r w:rsidRPr="00070ADE">
        <w:rPr>
          <w:rFonts w:ascii="Times New Roman" w:hAnsi="Times New Roman"/>
          <w:color w:val="000000" w:themeColor="text1"/>
          <w:sz w:val="16"/>
          <w:szCs w:val="16"/>
        </w:rPr>
        <w:softHyphen/>
        <w:t>ровали на борьбу с самолётами-снарядами V-1 (20120).</w:t>
      </w:r>
    </w:p>
    <w:p w14:paraId="2B7A7B64" w14:textId="77777777" w:rsidR="00411CE0" w:rsidRPr="00070ADE" w:rsidRDefault="00411CE0" w:rsidP="00B56F90">
      <w:pPr>
        <w:spacing w:after="0" w:line="240" w:lineRule="auto"/>
        <w:jc w:val="both"/>
        <w:rPr>
          <w:rFonts w:ascii="Times New Roman" w:hAnsi="Times New Roman"/>
          <w:color w:val="000000" w:themeColor="text1"/>
          <w:sz w:val="16"/>
          <w:szCs w:val="16"/>
        </w:rPr>
      </w:pPr>
    </w:p>
    <w:p w14:paraId="14DC695F" w14:textId="77777777" w:rsidR="00411CE0" w:rsidRPr="00070ADE" w:rsidRDefault="00411C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лета 1944 г. части АЗ го</w:t>
      </w:r>
      <w:r w:rsidRPr="00070ADE">
        <w:rPr>
          <w:rFonts w:ascii="Times New Roman" w:hAnsi="Times New Roman"/>
          <w:color w:val="000000" w:themeColor="text1"/>
          <w:sz w:val="16"/>
          <w:szCs w:val="16"/>
        </w:rPr>
        <w:softHyphen/>
        <w:t>товились к перехвату самолётов-снарядов, закла</w:t>
      </w:r>
      <w:r w:rsidRPr="00070ADE">
        <w:rPr>
          <w:rFonts w:ascii="Times New Roman" w:hAnsi="Times New Roman"/>
          <w:color w:val="000000" w:themeColor="text1"/>
          <w:sz w:val="16"/>
          <w:szCs w:val="16"/>
        </w:rPr>
        <w:softHyphen/>
        <w:t>дывая, таким образом, основы противоракетной обороны. Непрерывно велось совершенствова</w:t>
      </w:r>
      <w:r w:rsidRPr="00070ADE">
        <w:rPr>
          <w:rFonts w:ascii="Times New Roman" w:hAnsi="Times New Roman"/>
          <w:color w:val="000000" w:themeColor="text1"/>
          <w:sz w:val="16"/>
          <w:szCs w:val="16"/>
        </w:rPr>
        <w:softHyphen/>
        <w:t>ние аэростатной техники, не уступавшей по сво</w:t>
      </w:r>
      <w:r w:rsidRPr="00070ADE">
        <w:rPr>
          <w:rFonts w:ascii="Times New Roman" w:hAnsi="Times New Roman"/>
          <w:color w:val="000000" w:themeColor="text1"/>
          <w:sz w:val="16"/>
          <w:szCs w:val="16"/>
        </w:rPr>
        <w:softHyphen/>
        <w:t>им характеристикам образцам соответствующего вооружения противника и союзников. Получили развитие приборы и методы аэрологических ис</w:t>
      </w:r>
      <w:r w:rsidRPr="00070ADE">
        <w:rPr>
          <w:rFonts w:ascii="Times New Roman" w:hAnsi="Times New Roman"/>
          <w:color w:val="000000" w:themeColor="text1"/>
          <w:sz w:val="16"/>
          <w:szCs w:val="16"/>
        </w:rPr>
        <w:softHyphen/>
        <w:t>следований, использовавшиеся для метеорологи</w:t>
      </w:r>
      <w:r w:rsidRPr="00070ADE">
        <w:rPr>
          <w:rFonts w:ascii="Times New Roman" w:hAnsi="Times New Roman"/>
          <w:color w:val="000000" w:themeColor="text1"/>
          <w:sz w:val="16"/>
          <w:szCs w:val="16"/>
        </w:rPr>
        <w:softHyphen/>
        <w:t>ческого обеспечения боевых действий сухопут</w:t>
      </w:r>
      <w:r w:rsidRPr="00070ADE">
        <w:rPr>
          <w:rFonts w:ascii="Times New Roman" w:hAnsi="Times New Roman"/>
          <w:color w:val="000000" w:themeColor="text1"/>
          <w:sz w:val="16"/>
          <w:szCs w:val="16"/>
        </w:rPr>
        <w:softHyphen/>
        <w:t>ных войск, авиации и флота (20120).</w:t>
      </w:r>
    </w:p>
    <w:p w14:paraId="66C32445" w14:textId="77777777" w:rsidR="00411CE0" w:rsidRPr="00070ADE" w:rsidRDefault="00411CE0" w:rsidP="00B56F90">
      <w:pPr>
        <w:spacing w:after="0" w:line="240" w:lineRule="auto"/>
        <w:jc w:val="both"/>
        <w:rPr>
          <w:rFonts w:ascii="Times New Roman" w:hAnsi="Times New Roman"/>
          <w:color w:val="000000" w:themeColor="text1"/>
          <w:sz w:val="16"/>
          <w:szCs w:val="16"/>
        </w:rPr>
      </w:pPr>
    </w:p>
    <w:p w14:paraId="67536533" w14:textId="77777777" w:rsidR="00411CE0" w:rsidRPr="00070ADE" w:rsidRDefault="00411C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перед ПВО страны встала задача отражения возможного удара крылатых ракет — реактивных самолётов-снарядов V-1. Именно тогда в стране впервые создали прообраз систе</w:t>
      </w:r>
      <w:r w:rsidRPr="00070ADE">
        <w:rPr>
          <w:rFonts w:ascii="Times New Roman" w:hAnsi="Times New Roman"/>
          <w:color w:val="000000" w:themeColor="text1"/>
          <w:sz w:val="16"/>
          <w:szCs w:val="16"/>
        </w:rPr>
        <w:softHyphen/>
        <w:t>мы противоракетной обороны (ПРО), в которой, как и в ПВО Лондона — первого города, подверг</w:t>
      </w:r>
      <w:r w:rsidRPr="00070ADE">
        <w:rPr>
          <w:rFonts w:ascii="Times New Roman" w:hAnsi="Times New Roman"/>
          <w:color w:val="000000" w:themeColor="text1"/>
          <w:sz w:val="16"/>
          <w:szCs w:val="16"/>
        </w:rPr>
        <w:softHyphen/>
        <w:t>шегося массированному обстрелу V-1, важную роль играли аэростаты заграждения.</w:t>
      </w:r>
    </w:p>
    <w:p w14:paraId="055E3238" w14:textId="77777777" w:rsidR="00411CE0" w:rsidRPr="00070ADE" w:rsidRDefault="00411CE0"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Применив 13 июня 1944 г. крылатые ракеты против Лондона, руководство Германии пла</w:t>
      </w:r>
      <w:r w:rsidRPr="00070ADE">
        <w:rPr>
          <w:rFonts w:ascii="Times New Roman" w:hAnsi="Times New Roman"/>
          <w:color w:val="000000" w:themeColor="text1"/>
          <w:sz w:val="16"/>
          <w:szCs w:val="16"/>
        </w:rPr>
        <w:softHyphen/>
        <w:t>нировало использовать их и против СССР, где объектами ракетных ударов должны были стать Ленинград, Москва и промышленные центры Среднего и Южного Урала (20120).</w:t>
      </w:r>
    </w:p>
    <w:p w14:paraId="09B935E9" w14:textId="77777777" w:rsidR="00411CE0" w:rsidRPr="00070ADE" w:rsidRDefault="00411CE0" w:rsidP="00B56F90">
      <w:pPr>
        <w:spacing w:after="0" w:line="240" w:lineRule="auto"/>
        <w:jc w:val="both"/>
        <w:rPr>
          <w:rFonts w:ascii="Times New Roman" w:hAnsi="Times New Roman"/>
          <w:color w:val="000000" w:themeColor="text1"/>
          <w:sz w:val="16"/>
          <w:szCs w:val="16"/>
        </w:rPr>
      </w:pPr>
    </w:p>
    <w:p w14:paraId="3AA95B1C"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0E1904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CF130F" w14:textId="77777777" w:rsidR="0035381F" w:rsidRPr="00070ADE" w:rsidRDefault="0035381F"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Летом 1944 года идея с перевооружением КВ-1с на орудие С-53 перешла в практическую фазу. Главным тормозящим фактором были работы по модернизации орудия. Только в июне 1944 года, когда запустили в серию ЗИС-С-53, дали отмашку на изготовление С-28. Представляла она собой уже не С-53, а улучшенную версию орудия, то есть ЗИС-С-53. При изготовлении орудийной установки С-28 во главу угла поставили адаптацию ЗИС-С-53, с минимальными изменениями. В этом было существенное отличие от С-31, которую постарались вписать в штатную бронировку ЗИС-5. Почти весь съемный узел, который крепился на болтах к башни КВ-1с, оказался новым. С другой стороны, он спокойно ставился в штатную амбразуру башни танка. С точки зрения Главного Управления Ремонта Танков КА, это выглядело более важным. Боевая масса машины составила 43 тонны, то есть лишь чуть больше обычного КВ-1с.</w:t>
      </w:r>
    </w:p>
    <w:p w14:paraId="171AD07D" w14:textId="77777777" w:rsidR="0035381F" w:rsidRPr="00070ADE" w:rsidRDefault="0035381F"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Готовую орудийную установку ставили вместо штатной, причем, в теории, аналогичное техническое решение могло адаптироваться и для КВ-1. Размещение механизма наводки по вертикали, а также прицелов и спаренного пулемета, бралось от ЗИС-С-53. Также переделке подвергались укладки боезапаса, поскольку штатные гнезда для 85-мм унитарных патронов не подходили. Общий боекомплект снизился до 49 унитарных патронов и 30 дисков к пулеметам ДТ. Часть боекомплекта разметили в башне: помимо кормовой ниши, 4 патрона оказалось с правого борта башни, похожую систему можно увидеть на Т-34-85. Боекомплект выглядел небольшим, но на самом деле у Т-34-85, например, он составлял 55 унитаров. Одним словом, игра стоила свеч. О том, что Главное Управление Ремонта Танков КА было заинтересовано в работах, говорит присутствие на испытаниях его представителя - инженер-полковника Гаврилова. (21485).</w:t>
      </w:r>
    </w:p>
    <w:p w14:paraId="7ABCFB10" w14:textId="77777777" w:rsidR="0035381F" w:rsidRPr="00070ADE" w:rsidRDefault="0035381F"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0D57A4C" w14:textId="77777777" w:rsidR="00801247" w:rsidRPr="00070ADE" w:rsidRDefault="00801247"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Летом 1944 года СКБ-2 ЧКЗ начались полноценные работы по разработке глубокой модернизации ИС-2. Большим приоритетом обладала разработка Объекта 701. Постановлением ГКО №5583сс в КБ создавалась отдельная группа конструкторов численностью 25–30 человек, плюс группа из 10–15 технологов, задачей которых было сопровождение разработки и постройки образцов нового тяжёлого танка. Не удивительно, что «большая модернизация» ИС-2 рассматривалась как второстепенная задача. На разработку этой самой модернизации отводилось три месяца.</w:t>
      </w:r>
    </w:p>
    <w:p w14:paraId="48C1B5D0" w14:textId="77777777" w:rsidR="00801247" w:rsidRPr="00070ADE" w:rsidRDefault="00801247" w:rsidP="00B56F90">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070ADE">
        <w:rPr>
          <w:rFonts w:ascii="Times New Roman" w:eastAsia="Times New Roman" w:hAnsi="Times New Roman"/>
          <w:color w:val="000000" w:themeColor="text1"/>
          <w:sz w:val="16"/>
          <w:szCs w:val="16"/>
          <w:lang w:eastAsia="ru-RU"/>
        </w:rPr>
        <w:t>Это не помешало, впрочем, частично перенести некоторые из разработанных нововведений на серийный танк. Самым важным из них стало внедрение с августа 1944 года спрямлённой лобовой детали корпуса. К очевидным плюсам нововведения следует отнести резко возросшую стойкость верхней лобовой детали. Минимальная дистанция пробития 88-мм пушкой Pak 43 сварной детали корпуса производства УЗТМ увеличилась до 575 метров, а литой спрямлённый лоб толщиной 100 мм удавалось пробить лишь на дистанции меньше 255 метров. Минусами были сильно ухудшившийся обзор с места механика-водителя и смотровой прибор по типу Объекта 701, нередко игравший роль снарядоприёмника. Идеальным нововведение назвать нельзя, но преимуществ у него оказалось больше (17756).</w:t>
      </w:r>
    </w:p>
    <w:p w14:paraId="4A68BE4F" w14:textId="77777777" w:rsidR="00801247" w:rsidRPr="00070ADE" w:rsidRDefault="00801247" w:rsidP="00B56F90">
      <w:pPr>
        <w:pStyle w:val="123"/>
        <w:shd w:val="clear" w:color="auto" w:fill="auto"/>
        <w:spacing w:after="0" w:line="240" w:lineRule="auto"/>
        <w:jc w:val="both"/>
        <w:rPr>
          <w:color w:val="000000" w:themeColor="text1"/>
          <w:sz w:val="16"/>
          <w:szCs w:val="16"/>
        </w:rPr>
      </w:pPr>
    </w:p>
    <w:p w14:paraId="3CA925C3" w14:textId="77777777" w:rsidR="00FC59A6" w:rsidRPr="00070ADE" w:rsidRDefault="00FC59A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года начался выпуск ИС-2 со спрямленной носовой деталью корпуса, а в октябре ЧКЗ изготовил опытный образец танка большой модернизации. Он получил переработанную башню, переделали также и моторно-трансмиссионное отделение (24894).</w:t>
      </w:r>
    </w:p>
    <w:p w14:paraId="401A7F42" w14:textId="77777777" w:rsidR="00FC59A6" w:rsidRPr="00070ADE" w:rsidRDefault="00FC59A6" w:rsidP="00B56F90">
      <w:pPr>
        <w:spacing w:after="0" w:line="240" w:lineRule="auto"/>
        <w:jc w:val="both"/>
        <w:rPr>
          <w:rFonts w:ascii="Times New Roman" w:hAnsi="Times New Roman"/>
          <w:color w:val="000000" w:themeColor="text1"/>
          <w:sz w:val="16"/>
          <w:szCs w:val="16"/>
        </w:rPr>
      </w:pPr>
    </w:p>
    <w:p w14:paraId="2F59BD0F" w14:textId="38D093A2"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года САУ СУ-Д-10-85 была испытана, но по результатам испытаний на вооружение не принята (3862).</w:t>
      </w:r>
    </w:p>
    <w:p w14:paraId="20B6B2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ECBD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года СУ-С-34-1 ЦАКБ была отправлена на полигонные испытания, но не прошла их (3862).</w:t>
      </w:r>
    </w:p>
    <w:p w14:paraId="6436DDE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ED0C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года выпуск СУ-122 закончился. Всего с конца 1942 по лето 1944 года было изготовлено 1100 машин (3862).</w:t>
      </w:r>
    </w:p>
    <w:p w14:paraId="4C04079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A5492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года в опытном порядке была изготовлена САУ ЭСУ-100 с электротрансмиссией (3862).</w:t>
      </w:r>
    </w:p>
    <w:p w14:paraId="4CF4810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0719A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лета 1944 года немцы, ввиду острого недостатка марганца, начали использовать высокоуглеродистую броню, легированную никелем и отличавшуюся повышенной хрупкостью, особенно в местах сварных швов. Поэтому пушка Д-25Т на ИС-2 внезапно начала прекрасно поражать немецкие танки. В донесениях из частей встречались описания случаев, когда 122-мм снаряд БР-471, пущенный с дистанции более 2500 м, рикошетируя от лобовой брони "Пантеры", оставлял в ней громадные проломы. (3862).</w:t>
      </w:r>
    </w:p>
    <w:p w14:paraId="3A6EE3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1766F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лета 1944 года продолжалась доводка 100-мм пушки Д-10 для САУ СУ-100. Помимо орудия, имелись большие проблемы с массовым производством бронебойного выстрела (Д-10 имело унитарный патрон), серийная сборка СУ-100 была задержана, а вместо этого, используя уже готовые корпуса СУ-100, был налажен выпуск самоходок СУ-85М. Серийный выпуск СУ-100 начался с декабря 1944 года (3862).</w:t>
      </w:r>
    </w:p>
    <w:p w14:paraId="5BD635E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DE916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Летом 1944 г. УЗТМ начал решение задачи создания самоходной установки с более мощным артиллерий</w:t>
      </w:r>
      <w:r w:rsidRPr="00070ADE">
        <w:rPr>
          <w:rFonts w:ascii="Times New Roman" w:hAnsi="Times New Roman"/>
          <w:color w:val="000000" w:themeColor="text1"/>
          <w:sz w:val="16"/>
          <w:szCs w:val="16"/>
        </w:rPr>
        <w:softHyphen/>
        <w:t>ским орудием требовалось использовать новую базу, с более рациональ</w:t>
      </w:r>
      <w:r w:rsidRPr="00070ADE">
        <w:rPr>
          <w:rFonts w:ascii="Times New Roman" w:hAnsi="Times New Roman"/>
          <w:color w:val="000000" w:themeColor="text1"/>
          <w:sz w:val="16"/>
          <w:szCs w:val="16"/>
        </w:rPr>
        <w:softHyphen/>
        <w:t>ным размещением агрегатов, что устранило бы существующие недо</w:t>
      </w:r>
      <w:r w:rsidRPr="00070ADE">
        <w:rPr>
          <w:rFonts w:ascii="Times New Roman" w:hAnsi="Times New Roman"/>
          <w:color w:val="000000" w:themeColor="text1"/>
          <w:sz w:val="16"/>
          <w:szCs w:val="16"/>
        </w:rPr>
        <w:softHyphen/>
        <w:t>статки установок и в своих дальней</w:t>
      </w:r>
      <w:r w:rsidRPr="00070ADE">
        <w:rPr>
          <w:rFonts w:ascii="Times New Roman" w:hAnsi="Times New Roman"/>
          <w:color w:val="000000" w:themeColor="text1"/>
          <w:sz w:val="16"/>
          <w:szCs w:val="16"/>
        </w:rPr>
        <w:softHyphen/>
        <w:t>ших опытно-конструкторских работах пересмотрел все существующие конструкции отечественных танков, пытаясь на их базе разработать но</w:t>
      </w:r>
      <w:r w:rsidRPr="00070ADE">
        <w:rPr>
          <w:rFonts w:ascii="Times New Roman" w:hAnsi="Times New Roman"/>
          <w:color w:val="000000" w:themeColor="text1"/>
          <w:sz w:val="16"/>
          <w:szCs w:val="16"/>
        </w:rPr>
        <w:softHyphen/>
        <w:t>вую САУ, которая не имела бы недостатков присущих предыдущим об</w:t>
      </w:r>
      <w:r w:rsidRPr="00070ADE">
        <w:rPr>
          <w:rFonts w:ascii="Times New Roman" w:hAnsi="Times New Roman"/>
          <w:color w:val="000000" w:themeColor="text1"/>
          <w:sz w:val="16"/>
          <w:szCs w:val="16"/>
        </w:rPr>
        <w:softHyphen/>
        <w:t>разцам и допускала возможность увеличения в будущем калибра уста</w:t>
      </w:r>
      <w:r w:rsidRPr="00070ADE">
        <w:rPr>
          <w:rFonts w:ascii="Times New Roman" w:hAnsi="Times New Roman"/>
          <w:color w:val="000000" w:themeColor="text1"/>
          <w:sz w:val="16"/>
          <w:szCs w:val="16"/>
        </w:rPr>
        <w:softHyphen/>
        <w:t>навливаемого орудия. В течение лета - осени 1944 г. в конструкторском бюро УЗТМ было разработано большое количество новых проектов средних самоходных установок (10703).</w:t>
      </w:r>
    </w:p>
    <w:p w14:paraId="4C7DA00B"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71AE9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в конструкторском бюро завода № 100 в Челябинске под руководством А.С. Ермолаева с целью дальнейшего повышения огневой мощи и броневой защиты тан</w:t>
      </w:r>
      <w:r w:rsidRPr="00070ADE">
        <w:rPr>
          <w:rFonts w:ascii="Times New Roman" w:hAnsi="Times New Roman"/>
          <w:color w:val="000000" w:themeColor="text1"/>
          <w:sz w:val="16"/>
          <w:szCs w:val="16"/>
        </w:rPr>
        <w:softHyphen/>
        <w:t>ка ИС-2 был разработан Танк "Объект 252". Общее руководство осуществлял Ж.Я. Котин. Опытный обра</w:t>
      </w:r>
      <w:r w:rsidRPr="00070ADE">
        <w:rPr>
          <w:rFonts w:ascii="Times New Roman" w:hAnsi="Times New Roman"/>
          <w:color w:val="000000" w:themeColor="text1"/>
          <w:sz w:val="16"/>
          <w:szCs w:val="16"/>
        </w:rPr>
        <w:softHyphen/>
        <w:t>зец машины был изготовлен в октябре 1944 г. совместными усилиями заводов № 100 и УЗТМ и в период с 8 по 27 ноября того же года прошел заводские испытания. По документам НКТП танк проходил под маркой ИС-6. На вооружение РККА танк не принимался и в серийном произ</w:t>
      </w:r>
      <w:r w:rsidRPr="00070ADE">
        <w:rPr>
          <w:rFonts w:ascii="Times New Roman" w:hAnsi="Times New Roman"/>
          <w:color w:val="000000" w:themeColor="text1"/>
          <w:sz w:val="16"/>
          <w:szCs w:val="16"/>
        </w:rPr>
        <w:softHyphen/>
        <w:t>водстве не состоял (10703).</w:t>
      </w:r>
    </w:p>
    <w:p w14:paraId="4643ECF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E5865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в конструкторском бюро завода № 100 в Челябинске под руководством А. С. Ермолаева с учетом результатов опытно-конструкторских работ по тяжелому танку ЭКВ с электромеханической трансмиссией был разработан Танк "Объект 253". Общее руководство осуще</w:t>
      </w:r>
      <w:r w:rsidRPr="00070ADE">
        <w:rPr>
          <w:rFonts w:ascii="Times New Roman" w:hAnsi="Times New Roman"/>
          <w:color w:val="000000" w:themeColor="text1"/>
          <w:sz w:val="16"/>
          <w:szCs w:val="16"/>
        </w:rPr>
        <w:softHyphen/>
        <w:t>ствлял Ж.Я. Котин. Ведущим инженером машины был М.И. Креславский. Опытный образец машины был изготовлен в октябре - ноябре 1944 г. совместными усилиями заводов № 100 и УЗТМ и в ноябре того же года прошел заводские испытания. Электрические машины для эле</w:t>
      </w:r>
      <w:r w:rsidRPr="00070ADE">
        <w:rPr>
          <w:rFonts w:ascii="Times New Roman" w:hAnsi="Times New Roman"/>
          <w:color w:val="000000" w:themeColor="text1"/>
          <w:sz w:val="16"/>
          <w:szCs w:val="16"/>
        </w:rPr>
        <w:softHyphen/>
        <w:t>ктромеханической трансмиссии танка были изготовлены заводом "Ди</w:t>
      </w:r>
      <w:r w:rsidRPr="00070ADE">
        <w:rPr>
          <w:rFonts w:ascii="Times New Roman" w:hAnsi="Times New Roman"/>
          <w:color w:val="000000" w:themeColor="text1"/>
          <w:sz w:val="16"/>
          <w:szCs w:val="16"/>
        </w:rPr>
        <w:softHyphen/>
        <w:t>намо" НКЭП. На вооружение танк не принимался и в серийном произ</w:t>
      </w:r>
      <w:r w:rsidRPr="00070ADE">
        <w:rPr>
          <w:rFonts w:ascii="Times New Roman" w:hAnsi="Times New Roman"/>
          <w:color w:val="000000" w:themeColor="text1"/>
          <w:sz w:val="16"/>
          <w:szCs w:val="16"/>
        </w:rPr>
        <w:softHyphen/>
        <w:t>водстве не состоял. Танк был создан на базе опытного танка "Объект 252" и отличался от него установкой электромеханической трансмиссии и применением хо</w:t>
      </w:r>
      <w:r w:rsidRPr="00070ADE">
        <w:rPr>
          <w:rFonts w:ascii="Times New Roman" w:hAnsi="Times New Roman"/>
          <w:color w:val="000000" w:themeColor="text1"/>
          <w:sz w:val="16"/>
          <w:szCs w:val="16"/>
        </w:rPr>
        <w:softHyphen/>
        <w:t>довой части, заимствованной у серийного танка ИС-2. В НКТП этому образцу было присвоено наименование танк ИС-6. За счет установки электромеханической трансмиссии планировалось улучшить управляе</w:t>
      </w:r>
      <w:r w:rsidRPr="00070ADE">
        <w:rPr>
          <w:rFonts w:ascii="Times New Roman" w:hAnsi="Times New Roman"/>
          <w:color w:val="000000" w:themeColor="text1"/>
          <w:sz w:val="16"/>
          <w:szCs w:val="16"/>
        </w:rPr>
        <w:softHyphen/>
        <w:t>мость и повысить приемистость тяжелой машины, так как использова</w:t>
      </w:r>
      <w:r w:rsidRPr="00070ADE">
        <w:rPr>
          <w:rFonts w:ascii="Times New Roman" w:hAnsi="Times New Roman"/>
          <w:color w:val="000000" w:themeColor="text1"/>
          <w:sz w:val="16"/>
          <w:szCs w:val="16"/>
        </w:rPr>
        <w:softHyphen/>
        <w:t>ние электрических машин обеспечивало прогрессивность тяговой ха</w:t>
      </w:r>
      <w:r w:rsidRPr="00070ADE">
        <w:rPr>
          <w:rFonts w:ascii="Times New Roman" w:hAnsi="Times New Roman"/>
          <w:color w:val="000000" w:themeColor="text1"/>
          <w:sz w:val="16"/>
          <w:szCs w:val="16"/>
        </w:rPr>
        <w:softHyphen/>
        <w:t>рактеристики как при кратковременном режиме (разгон, преодоление препятствий), так и при длительном режиме работы (10703).</w:t>
      </w:r>
    </w:p>
    <w:p w14:paraId="1E6042BA"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DE0C4A" w14:textId="77777777" w:rsidR="00BD1A9D" w:rsidRPr="00070ADE" w:rsidRDefault="00BD1A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года Введение спрямленной носовой детали ИС-2 позволило частично избавиться от "родовой травмы" танка. Согласно мемуарам Н.Ф. Шашмурина, больше всех отстаивал ступенчатую лобовую деталь корпуса Ж.Я. Котин, аргументируя тем, что механик-водитель через перископы плохо видит. С далеко не нулевой вероятностью и смотровой прибор в спрямленной лобовой детали корпуса был его идеей. По крайней мере на исходной модернизации ИС-2 и проектах Объекта 701 "скворечника" не было. Так себе оказалась идея: мало того, что осталась ослабленная зона, так еще обзор был очень плохим. Всё это стало очевидным во второй половине 1944 года, когда модернизированные ИС-2 пошли в войска (23473).</w:t>
      </w:r>
    </w:p>
    <w:p w14:paraId="458A39B1" w14:textId="77777777" w:rsidR="00BD1A9D" w:rsidRPr="00070ADE" w:rsidRDefault="00BD1A9D" w:rsidP="00B56F90">
      <w:pPr>
        <w:spacing w:after="0" w:line="240" w:lineRule="auto"/>
        <w:jc w:val="both"/>
        <w:rPr>
          <w:rFonts w:ascii="Times New Roman" w:hAnsi="Times New Roman"/>
          <w:color w:val="000000" w:themeColor="text1"/>
          <w:sz w:val="16"/>
          <w:szCs w:val="16"/>
        </w:rPr>
      </w:pPr>
    </w:p>
    <w:p w14:paraId="6DECA21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в КБ завода № 100 под руководством Ж.Я. Котина была разработана Самоходная установка ИСУ-152БМ (ИСУ-152-2) ("Объект 247"), которая представляла собой улучшенный вариант самоходной установки ИСУ-152-1 ("Объект 246"). Опытный образец установки, из</w:t>
      </w:r>
      <w:r w:rsidRPr="00070ADE">
        <w:rPr>
          <w:rFonts w:ascii="Times New Roman" w:hAnsi="Times New Roman"/>
          <w:color w:val="000000" w:themeColor="text1"/>
          <w:sz w:val="16"/>
          <w:szCs w:val="16"/>
        </w:rPr>
        <w:softHyphen/>
        <w:t>готовленный в августе 1944 г., получил заводское обозначение "Объект 247". В декабре того же года самоходная установка ИСУ-152-2 прошла испытания на Ленинградском АНИОПе, которые не выдержала. После испытаний она была направлена на доработку. На вооружение машина не принималась и в серийном производстве не состояла. Самоходная установка ИСУ-152-2 относилась к типу полностью бронированных самоходных установок с передним расположением бро</w:t>
      </w:r>
      <w:r w:rsidRPr="00070ADE">
        <w:rPr>
          <w:rFonts w:ascii="Times New Roman" w:hAnsi="Times New Roman"/>
          <w:color w:val="000000" w:themeColor="text1"/>
          <w:sz w:val="16"/>
          <w:szCs w:val="16"/>
        </w:rPr>
        <w:softHyphen/>
        <w:t>невой рубки. Машина была создана на базе самоходной установки ИСУ-152-1 ("Объект 246") путем замены 152,4-мм опытной пушки БЛ-8 с поршневым затвором на 152,4-мм пушку БЛ-10. Конструкция пушки была разработана в ОКБ-172 НКВ под руководством И.И. Ива</w:t>
      </w:r>
      <w:r w:rsidRPr="00070ADE">
        <w:rPr>
          <w:rFonts w:ascii="Times New Roman" w:hAnsi="Times New Roman"/>
          <w:color w:val="000000" w:themeColor="text1"/>
          <w:sz w:val="16"/>
          <w:szCs w:val="16"/>
        </w:rPr>
        <w:softHyphen/>
        <w:t>нова. В состав экипажа машины входили пять человек, его размещение было аналогичным размещению экипажа в установке ИСУ-122 (10703).</w:t>
      </w:r>
    </w:p>
    <w:p w14:paraId="2A1392B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EF62A6" w14:textId="77777777" w:rsidR="00801247" w:rsidRPr="00070ADE" w:rsidRDefault="00801247"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наибольшую потребность вызывали легкие и тя</w:t>
      </w:r>
      <w:r w:rsidRPr="00070ADE">
        <w:rPr>
          <w:rFonts w:ascii="Times New Roman" w:hAnsi="Times New Roman"/>
          <w:color w:val="000000" w:themeColor="text1"/>
          <w:sz w:val="16"/>
          <w:szCs w:val="16"/>
        </w:rPr>
        <w:softHyphen/>
        <w:t>желые САУ, так как производство СУ-85 велось ритмично. Понятно, что с самого начала выпуска танка ИС ЧКЗ обращал самое пристальное внимание на расширение вы</w:t>
      </w:r>
      <w:r w:rsidRPr="00070ADE">
        <w:rPr>
          <w:rFonts w:ascii="Times New Roman" w:hAnsi="Times New Roman"/>
          <w:color w:val="000000" w:themeColor="text1"/>
          <w:sz w:val="16"/>
          <w:szCs w:val="16"/>
        </w:rPr>
        <w:softHyphen/>
        <w:t>пуска шасси и бронекорпуеов ИСУ-152 и к началу 1944 г. преуспел в этом вопросе настолько, что, согласно расчетам наркома танковой промышленности, уже ко II кварталу 1944 г. вооружать их стало бы нечем. Поэтому, чтобы не снижать динамику формирования тя</w:t>
      </w:r>
      <w:r w:rsidRPr="00070ADE">
        <w:rPr>
          <w:rFonts w:ascii="Times New Roman" w:hAnsi="Times New Roman"/>
          <w:color w:val="000000" w:themeColor="text1"/>
          <w:sz w:val="16"/>
          <w:szCs w:val="16"/>
        </w:rPr>
        <w:softHyphen/>
        <w:t>желых самоходно-артиллерийских полков, наркомат танко</w:t>
      </w:r>
      <w:r w:rsidRPr="00070ADE">
        <w:rPr>
          <w:rFonts w:ascii="Times New Roman" w:hAnsi="Times New Roman"/>
          <w:color w:val="000000" w:themeColor="text1"/>
          <w:sz w:val="16"/>
          <w:szCs w:val="16"/>
        </w:rPr>
        <w:softHyphen/>
        <w:t>вой промышленности должен был начать в 1944 г. выпуск тя</w:t>
      </w:r>
      <w:r w:rsidRPr="00070ADE">
        <w:rPr>
          <w:rFonts w:ascii="Times New Roman" w:hAnsi="Times New Roman"/>
          <w:color w:val="000000" w:themeColor="text1"/>
          <w:sz w:val="16"/>
          <w:szCs w:val="16"/>
        </w:rPr>
        <w:softHyphen/>
        <w:t>желых ИСУ-152, вооруженных 122-мм корпусной пушкой А-19 в установке МЛ-20С. Интересно, что появление на фронте ИСУ-122 вызвало формирование смешанных танко-самоходных полков прорыва, так как единство боеприпаса и базы танка ИС-2 и САУ упрощало снабжение и как нельзя лучше отвечало подготовке полков к боевым действиям (11417).</w:t>
      </w:r>
    </w:p>
    <w:p w14:paraId="39A845AF" w14:textId="77777777" w:rsidR="00801247" w:rsidRPr="00070ADE" w:rsidRDefault="00801247"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861A14" w14:textId="77777777" w:rsidR="00801247" w:rsidRPr="00070ADE" w:rsidRDefault="00801247"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ЦАКБ представило свой вариант дуплекса большой мощности, работы над которым проходи</w:t>
      </w:r>
      <w:r w:rsidRPr="00070ADE">
        <w:rPr>
          <w:rFonts w:ascii="Times New Roman" w:hAnsi="Times New Roman"/>
          <w:color w:val="000000" w:themeColor="text1"/>
          <w:sz w:val="16"/>
          <w:szCs w:val="16"/>
        </w:rPr>
        <w:softHyphen/>
        <w:t>ли под индексом С-26. В рамках проекта ЦАКБ изготовил 130-мм пушку С-26, с баллистикой 130-мм морской пушки Б-13 и 122-мм пушку большой мощности с начальной ско</w:t>
      </w:r>
      <w:r w:rsidRPr="00070ADE">
        <w:rPr>
          <w:rFonts w:ascii="Times New Roman" w:hAnsi="Times New Roman"/>
          <w:color w:val="000000" w:themeColor="text1"/>
          <w:sz w:val="16"/>
          <w:szCs w:val="16"/>
        </w:rPr>
        <w:softHyphen/>
        <w:t>ростью бронебойного снаряда 1000 м/с, получившую индекс С-26-1. Оба орудия имели сходную конструкцию, единые противооткатные механизмы, люльку и казенную часть с го</w:t>
      </w:r>
      <w:r w:rsidRPr="00070ADE">
        <w:rPr>
          <w:rFonts w:ascii="Times New Roman" w:hAnsi="Times New Roman"/>
          <w:color w:val="000000" w:themeColor="text1"/>
          <w:sz w:val="16"/>
          <w:szCs w:val="16"/>
        </w:rPr>
        <w:softHyphen/>
        <w:t>ризонтальным клиновым затвором. Между собой они отли</w:t>
      </w:r>
      <w:r w:rsidRPr="00070ADE">
        <w:rPr>
          <w:rFonts w:ascii="Times New Roman" w:hAnsi="Times New Roman"/>
          <w:color w:val="000000" w:themeColor="text1"/>
          <w:sz w:val="16"/>
          <w:szCs w:val="16"/>
        </w:rPr>
        <w:softHyphen/>
        <w:t>чались только трубой ствола калибра 122 мм или 130 мм, а также для компенсации увеличенной реакции отдачи 130-мм пушка дополнялась дульным тормозом. Чтобы не менять конструкцию казенной части и не потерять при этом уравновешивания, на дульной части 122-мм ствола С-26-1 был укреплен дополнительный груз в виде «шайбы».</w:t>
      </w:r>
    </w:p>
    <w:p w14:paraId="3EA31A07" w14:textId="77777777" w:rsidR="00801247" w:rsidRPr="00070ADE" w:rsidRDefault="00801247"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Оба орудия начали изготавливать практически одновре</w:t>
      </w:r>
      <w:r w:rsidRPr="00070ADE">
        <w:rPr>
          <w:rFonts w:ascii="Times New Roman" w:hAnsi="Times New Roman"/>
          <w:color w:val="000000" w:themeColor="text1"/>
          <w:sz w:val="16"/>
          <w:szCs w:val="16"/>
        </w:rPr>
        <w:softHyphen/>
        <w:t>менно, и первой, в октябре 1944 г., на завод № 100 была по</w:t>
      </w:r>
      <w:r w:rsidRPr="00070ADE">
        <w:rPr>
          <w:rFonts w:ascii="Times New Roman" w:hAnsi="Times New Roman"/>
          <w:color w:val="000000" w:themeColor="text1"/>
          <w:sz w:val="16"/>
          <w:szCs w:val="16"/>
        </w:rPr>
        <w:softHyphen/>
        <w:t>дана 130-мм пушка С-26, установленная в боевую рубку ИСУ-152. Эта САУ получила индекс ИСУ-130 («Объект 250»). Чуть позднее туда же прибыла и 122-мм пушка боль</w:t>
      </w:r>
      <w:r w:rsidRPr="00070ADE">
        <w:rPr>
          <w:rFonts w:ascii="Times New Roman" w:hAnsi="Times New Roman"/>
          <w:color w:val="000000" w:themeColor="text1"/>
          <w:sz w:val="16"/>
          <w:szCs w:val="16"/>
        </w:rPr>
        <w:softHyphen/>
        <w:t>шой мощности С-26-1, установка которой в рубке ИСУ-152 получила индекс ИСУ-122-3 («Объект 251»). Обе САУ кон</w:t>
      </w:r>
      <w:r w:rsidRPr="00070ADE">
        <w:rPr>
          <w:rFonts w:ascii="Times New Roman" w:hAnsi="Times New Roman"/>
          <w:color w:val="000000" w:themeColor="text1"/>
          <w:sz w:val="16"/>
          <w:szCs w:val="16"/>
        </w:rPr>
        <w:softHyphen/>
        <w:t>структивно были близки и отличались, главным образом, только артиллерийской частью. По требованиям Главного артуправления они несли систему продувки канала ствола, которая (в отличие от предшественников ИСУ-122-1 и ИСУ-152-1) была чисто баллонной (продувка осуществля</w:t>
      </w:r>
      <w:r w:rsidRPr="00070ADE">
        <w:rPr>
          <w:rFonts w:ascii="Times New Roman" w:hAnsi="Times New Roman"/>
          <w:color w:val="000000" w:themeColor="text1"/>
          <w:sz w:val="16"/>
          <w:szCs w:val="16"/>
        </w:rPr>
        <w:softHyphen/>
        <w:t>лась от воздушных баллонов системы запуска). Это упроща</w:t>
      </w:r>
      <w:r w:rsidRPr="00070ADE">
        <w:rPr>
          <w:rFonts w:ascii="Times New Roman" w:hAnsi="Times New Roman"/>
          <w:color w:val="000000" w:themeColor="text1"/>
          <w:sz w:val="16"/>
          <w:szCs w:val="16"/>
        </w:rPr>
        <w:softHyphen/>
        <w:t>ло конструкцию машины, но создавало проблемы с запус</w:t>
      </w:r>
      <w:r w:rsidRPr="00070ADE">
        <w:rPr>
          <w:rFonts w:ascii="Times New Roman" w:hAnsi="Times New Roman"/>
          <w:color w:val="000000" w:themeColor="text1"/>
          <w:sz w:val="16"/>
          <w:szCs w:val="16"/>
        </w:rPr>
        <w:softHyphen/>
        <w:t>ком двигателя после интенсивных стрельб. В ноябре—декаб</w:t>
      </w:r>
      <w:r w:rsidRPr="00070ADE">
        <w:rPr>
          <w:rFonts w:ascii="Times New Roman" w:hAnsi="Times New Roman"/>
          <w:color w:val="000000" w:themeColor="text1"/>
          <w:sz w:val="16"/>
          <w:szCs w:val="16"/>
        </w:rPr>
        <w:softHyphen/>
        <w:t>ре 1944 г. самоходные установки прошли испытания на Горо-ховецком полигоне, которые показали большое количество недоработок у первой в плане надежности функционирова</w:t>
      </w:r>
      <w:r w:rsidRPr="00070ADE">
        <w:rPr>
          <w:rFonts w:ascii="Times New Roman" w:hAnsi="Times New Roman"/>
          <w:color w:val="000000" w:themeColor="text1"/>
          <w:sz w:val="16"/>
          <w:szCs w:val="16"/>
        </w:rPr>
        <w:softHyphen/>
        <w:t>ния противооткатных приспособлений и сопутствующих механизмов, у второй — из-за низкой живучести ствола.</w:t>
      </w:r>
    </w:p>
    <w:p w14:paraId="122A5131" w14:textId="77777777" w:rsidR="00801247" w:rsidRPr="00070ADE" w:rsidRDefault="00801247"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Доработка пушек по замечаниям комиссии, несмотря на «зеленую улицу», которая была открыта им, продлилась до июня 1945 г., но по окончании войны они так и не были приняты на вооружение (11417).</w:t>
      </w:r>
    </w:p>
    <w:p w14:paraId="7C7985AF" w14:textId="77777777" w:rsidR="00801247" w:rsidRPr="00070ADE" w:rsidRDefault="00801247"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0A9650" w14:textId="77777777" w:rsidR="00801247" w:rsidRPr="00070ADE" w:rsidRDefault="00801247" w:rsidP="00B56F90">
      <w:pPr>
        <w:pStyle w:val="a3"/>
        <w:rPr>
          <w:color w:val="000000" w:themeColor="text1"/>
          <w:lang w:val="ru-RU"/>
        </w:rPr>
      </w:pPr>
      <w:r w:rsidRPr="00070ADE">
        <w:rPr>
          <w:color w:val="000000" w:themeColor="text1"/>
          <w:lang w:val="ru-RU"/>
        </w:rPr>
        <w:t>Летом 1944 года была изготовлена С-59 — самоходная уста</w:t>
      </w:r>
      <w:r w:rsidRPr="00070ADE">
        <w:rPr>
          <w:color w:val="000000" w:themeColor="text1"/>
          <w:lang w:val="ru-RU"/>
        </w:rPr>
        <w:softHyphen/>
        <w:t xml:space="preserve">новка, вооруженная 152-мм пушкой большой мощности БР-2. Для ее изготовления был использован ремонтный </w:t>
      </w:r>
      <w:r w:rsidRPr="00070ADE">
        <w:rPr>
          <w:color w:val="000000" w:themeColor="text1"/>
        </w:rPr>
        <w:t>KB</w:t>
      </w:r>
      <w:r w:rsidRPr="00070ADE">
        <w:rPr>
          <w:color w:val="000000" w:themeColor="text1"/>
          <w:lang w:val="ru-RU"/>
        </w:rPr>
        <w:t>-1С с серийным номе</w:t>
      </w:r>
      <w:r w:rsidRPr="00070ADE">
        <w:rPr>
          <w:color w:val="000000" w:themeColor="text1"/>
          <w:lang w:val="ru-RU"/>
        </w:rPr>
        <w:softHyphen/>
        <w:t>ром корпуса 30164 и номером двигателя 309512, сданный ремзаводом №1 29 октября 1943 года. Переделки носили минимальный характер, поскольку БР-2 и Б-4 были унифицированы. Согласно документам, в конце августа 1944 года С-59 допустили до полигонных испытаний.</w:t>
      </w:r>
    </w:p>
    <w:p w14:paraId="7A35721F" w14:textId="77777777" w:rsidR="00801247" w:rsidRPr="00070ADE" w:rsidRDefault="00801247" w:rsidP="00B56F90">
      <w:pPr>
        <w:pStyle w:val="a3"/>
        <w:rPr>
          <w:color w:val="000000" w:themeColor="text1"/>
          <w:lang w:val="ru-RU"/>
        </w:rPr>
      </w:pPr>
      <w:r w:rsidRPr="00070ADE">
        <w:rPr>
          <w:color w:val="000000" w:themeColor="text1"/>
          <w:lang w:val="ru-RU"/>
        </w:rPr>
        <w:t xml:space="preserve">Испытания С-59, впрочем, носили скорее академический характер, поскольку базу </w:t>
      </w:r>
      <w:r w:rsidRPr="00070ADE">
        <w:rPr>
          <w:color w:val="000000" w:themeColor="text1"/>
        </w:rPr>
        <w:t>KB</w:t>
      </w:r>
      <w:r w:rsidRPr="00070ADE">
        <w:rPr>
          <w:color w:val="000000" w:themeColor="text1"/>
          <w:lang w:val="ru-RU"/>
        </w:rPr>
        <w:t>-1С забраковали. Логичным решением, на котором остановились еще в конце июля 1944 года, стала замена шасси КВ-1 на ИС. Кроме того, ленинградский филиал ЦАКБ 29 июля предложил проект установки 210-мм пушки БР-17 или 305-мм гаубицы БР-18 на спаренном шасси танка Т-34. Данный проект был создан в качестве альтернативного решения. Согласно документам, нарком вооружения Устинов предлагал составить на данную машину тактико-технические требования, но дальше эскизного проекта дело не пошло.</w:t>
      </w:r>
    </w:p>
    <w:p w14:paraId="6F680126" w14:textId="77777777" w:rsidR="00801247" w:rsidRPr="00070ADE" w:rsidRDefault="00801247" w:rsidP="00B56F90">
      <w:pPr>
        <w:pStyle w:val="a3"/>
        <w:rPr>
          <w:color w:val="000000" w:themeColor="text1"/>
          <w:lang w:val="ru-RU"/>
        </w:rPr>
      </w:pPr>
      <w:r w:rsidRPr="00070ADE">
        <w:rPr>
          <w:color w:val="000000" w:themeColor="text1"/>
          <w:lang w:val="ru-RU"/>
        </w:rPr>
        <w:t>14 августа председателем Артиллерийского комитета ГАУ КА были утверждены тактико-технические требования «на 203-мм самодвижущу</w:t>
      </w:r>
      <w:r w:rsidRPr="00070ADE">
        <w:rPr>
          <w:color w:val="000000" w:themeColor="text1"/>
          <w:lang w:val="ru-RU"/>
        </w:rPr>
        <w:softHyphen/>
        <w:t>юся гаубицу и 152-мм самодвижущуюся пушку на базе тяжелого танка ИС». Следует отметить, что смена базы была не единственным измене</w:t>
      </w:r>
      <w:r w:rsidRPr="00070ADE">
        <w:rPr>
          <w:color w:val="000000" w:themeColor="text1"/>
          <w:lang w:val="ru-RU"/>
        </w:rPr>
        <w:softHyphen/>
        <w:t>нием конструкции перспективной самоходной установки. В качестве орудия самообороны САУ предполагалось оснастить турельной установ</w:t>
      </w:r>
      <w:r w:rsidRPr="00070ADE">
        <w:rPr>
          <w:color w:val="000000" w:themeColor="text1"/>
          <w:lang w:val="ru-RU"/>
        </w:rPr>
        <w:softHyphen/>
        <w:t>кой пулемета ДШК (боезапас 1000 патронов), также в состав вооружения входило 2 пулемета ДП (боезапас 2520 патронов), 4 пистолета-пулемета П ПШ (боезапас 4000 патронов) и 25 гранат Ф-1. Экипаж увеличивался до 10 человек, а боезапас с 12 до 15 выстрелов к Б-4 ил и 25 выстрелов к БР-2.</w:t>
      </w:r>
    </w:p>
    <w:p w14:paraId="0401129C" w14:textId="77777777" w:rsidR="00801247" w:rsidRPr="00070ADE" w:rsidRDefault="00801247" w:rsidP="00B56F90">
      <w:pPr>
        <w:pStyle w:val="a3"/>
        <w:rPr>
          <w:color w:val="000000" w:themeColor="text1"/>
          <w:lang w:val="ru-RU"/>
        </w:rPr>
      </w:pPr>
      <w:r w:rsidRPr="00070ADE">
        <w:rPr>
          <w:color w:val="000000" w:themeColor="text1"/>
          <w:lang w:val="ru-RU"/>
        </w:rPr>
        <w:t>22 сентября начальник ГАУ КА маршал артиллерии Яковлев напи</w:t>
      </w:r>
      <w:r w:rsidRPr="00070ADE">
        <w:rPr>
          <w:color w:val="000000" w:themeColor="text1"/>
          <w:lang w:val="ru-RU"/>
        </w:rPr>
        <w:softHyphen/>
        <w:t>сал докладную записку Берии. В ней он предлагал рассмотреть вопрос об организации серийного производства переработанной версии САУ, которая отныне базировалась на шасси танка ИС. Кроме того, в докла</w:t>
      </w:r>
      <w:r w:rsidRPr="00070ADE">
        <w:rPr>
          <w:color w:val="000000" w:themeColor="text1"/>
          <w:lang w:val="ru-RU"/>
        </w:rPr>
        <w:softHyphen/>
        <w:t>де проясняются некоторые подробности относительно работ по пере</w:t>
      </w:r>
      <w:r w:rsidRPr="00070ADE">
        <w:rPr>
          <w:color w:val="000000" w:themeColor="text1"/>
          <w:lang w:val="ru-RU"/>
        </w:rPr>
        <w:softHyphen/>
        <w:t>работанному проекту:</w:t>
      </w:r>
    </w:p>
    <w:p w14:paraId="38338B44" w14:textId="77777777" w:rsidR="00801247" w:rsidRPr="00070ADE" w:rsidRDefault="00801247"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«27 июля сего года №623605сс мною докладывался Вам вопрос об изго</w:t>
      </w:r>
      <w:r w:rsidRPr="00070ADE">
        <w:rPr>
          <w:i w:val="0"/>
          <w:color w:val="000000" w:themeColor="text1"/>
          <w:sz w:val="16"/>
          <w:szCs w:val="16"/>
        </w:rPr>
        <w:softHyphen/>
        <w:t>товлении серии 203-мм самодвижущихся гаубиц, установка которых раз</w:t>
      </w:r>
      <w:r w:rsidRPr="00070ADE">
        <w:rPr>
          <w:i w:val="0"/>
          <w:color w:val="000000" w:themeColor="text1"/>
          <w:sz w:val="16"/>
          <w:szCs w:val="16"/>
        </w:rPr>
        <w:softHyphen/>
        <w:t>работана ЦАКБ НКВ (т. Грабин).</w:t>
      </w:r>
    </w:p>
    <w:p w14:paraId="2C728A11" w14:textId="77777777" w:rsidR="00801247" w:rsidRPr="00070ADE" w:rsidRDefault="00801247"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В соответствии с Вашим указанием намоем докладе, этот вопрос был совместно обсужден с НКВ, НКТП и ГБТУ.</w:t>
      </w:r>
    </w:p>
    <w:p w14:paraId="41278A43" w14:textId="77777777" w:rsidR="00801247" w:rsidRPr="00070ADE" w:rsidRDefault="00801247"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В результате совещания принято решение, что установка 203-мм га</w:t>
      </w:r>
      <w:r w:rsidRPr="00070ADE">
        <w:rPr>
          <w:i w:val="0"/>
          <w:color w:val="000000" w:themeColor="text1"/>
          <w:sz w:val="16"/>
          <w:szCs w:val="16"/>
        </w:rPr>
        <w:softHyphen/>
        <w:t>убицы на шасси танка "</w:t>
      </w:r>
      <w:r w:rsidRPr="00070ADE">
        <w:rPr>
          <w:i w:val="0"/>
          <w:color w:val="000000" w:themeColor="text1"/>
          <w:sz w:val="16"/>
          <w:szCs w:val="16"/>
          <w:lang w:val="en-US"/>
        </w:rPr>
        <w:t>KB</w:t>
      </w:r>
      <w:r w:rsidRPr="00070ADE">
        <w:rPr>
          <w:i w:val="0"/>
          <w:color w:val="000000" w:themeColor="text1"/>
          <w:sz w:val="16"/>
          <w:szCs w:val="16"/>
        </w:rPr>
        <w:t>" не вполне рациональна ввиду недостаточного количества этого шасси и значительной перегрузки его. Более целесоо</w:t>
      </w:r>
      <w:r w:rsidRPr="00070ADE">
        <w:rPr>
          <w:i w:val="0"/>
          <w:color w:val="000000" w:themeColor="text1"/>
          <w:sz w:val="16"/>
          <w:szCs w:val="16"/>
        </w:rPr>
        <w:softHyphen/>
        <w:t>бразно эту гаубицу устанавливать на шасси танка ИС, состоящего на производстве.</w:t>
      </w:r>
    </w:p>
    <w:p w14:paraId="24F00F3F" w14:textId="77777777" w:rsidR="00801247" w:rsidRPr="00070ADE" w:rsidRDefault="00801247"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На основании этого решения ГАУ высланы НКВ и НКТП тактико- технические требования на 203-мм самодвижущуюся гаубицу, устанав</w:t>
      </w:r>
      <w:r w:rsidRPr="00070ADE">
        <w:rPr>
          <w:i w:val="0"/>
          <w:color w:val="000000" w:themeColor="text1"/>
          <w:sz w:val="16"/>
          <w:szCs w:val="16"/>
        </w:rPr>
        <w:softHyphen/>
        <w:t>ливаемую на шасси танка «ИС», а Наркоматами даны соответствующие указания ПАКБ и заводу №100 о разработке проекта.</w:t>
      </w:r>
    </w:p>
    <w:p w14:paraId="2885B4BC" w14:textId="77777777" w:rsidR="00801247" w:rsidRPr="00070ADE" w:rsidRDefault="00801247"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Так как ГБТУ не имеет потребности в этом роде вооружения для тан</w:t>
      </w:r>
      <w:r w:rsidRPr="00070ADE">
        <w:rPr>
          <w:i w:val="0"/>
          <w:color w:val="000000" w:themeColor="text1"/>
          <w:sz w:val="16"/>
          <w:szCs w:val="16"/>
        </w:rPr>
        <w:softHyphen/>
        <w:t>ковых войск, то и интереса к созданию 203-мм самодвижущейся гаубицы не проявляет и, наоборот, считает, что использование бронированного шасси для указанной цели нецелесообразно.</w:t>
      </w:r>
    </w:p>
    <w:p w14:paraId="2C7369C3" w14:textId="77777777" w:rsidR="00801247" w:rsidRPr="00070ADE" w:rsidRDefault="00801247"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t>Этого же мнения придерживается и НКТП.</w:t>
      </w:r>
    </w:p>
    <w:p w14:paraId="62AD3308" w14:textId="77777777" w:rsidR="00801247" w:rsidRPr="00070ADE" w:rsidRDefault="00801247" w:rsidP="00B56F90">
      <w:pPr>
        <w:pStyle w:val="Bodytext141"/>
        <w:shd w:val="clear" w:color="auto" w:fill="auto"/>
        <w:spacing w:line="240" w:lineRule="auto"/>
        <w:ind w:firstLine="0"/>
        <w:jc w:val="both"/>
        <w:rPr>
          <w:i w:val="0"/>
          <w:color w:val="000000" w:themeColor="text1"/>
          <w:sz w:val="16"/>
          <w:szCs w:val="16"/>
        </w:rPr>
      </w:pPr>
      <w:r w:rsidRPr="00070ADE">
        <w:rPr>
          <w:i w:val="0"/>
          <w:color w:val="000000" w:themeColor="text1"/>
          <w:sz w:val="16"/>
          <w:szCs w:val="16"/>
        </w:rPr>
        <w:lastRenderedPageBreak/>
        <w:t>Из-за наличия такого мнения работа по созданию этого вооружения затягивается, несмотря на формальное указание со стороны НКТП заво</w:t>
      </w:r>
      <w:r w:rsidRPr="00070ADE">
        <w:rPr>
          <w:i w:val="0"/>
          <w:color w:val="000000" w:themeColor="text1"/>
          <w:sz w:val="16"/>
          <w:szCs w:val="16"/>
        </w:rPr>
        <w:softHyphen/>
        <w:t>ду №100 заняться проработкой проекта.</w:t>
      </w:r>
    </w:p>
    <w:p w14:paraId="298BA7E7" w14:textId="77777777" w:rsidR="00801247" w:rsidRPr="00070ADE" w:rsidRDefault="00801247" w:rsidP="00B56F90">
      <w:pPr>
        <w:pStyle w:val="27"/>
        <w:shd w:val="clear" w:color="auto" w:fill="auto"/>
        <w:spacing w:after="0" w:line="240" w:lineRule="auto"/>
        <w:ind w:firstLine="0"/>
        <w:rPr>
          <w:rFonts w:ascii="Times New Roman" w:cs="Times New Roman"/>
          <w:color w:val="000000" w:themeColor="text1"/>
          <w:spacing w:val="0"/>
        </w:rPr>
      </w:pPr>
      <w:r w:rsidRPr="00070ADE">
        <w:rPr>
          <w:rFonts w:ascii="Times New Roman" w:cs="Times New Roman"/>
          <w:color w:val="000000" w:themeColor="text1"/>
          <w:spacing w:val="0"/>
        </w:rPr>
        <w:t>ГАУ вполне согласно, что столь сильного бронирования, какое имеет танк "ИС", для самодвижущегося орудия не нужно, и, предлагая исполь</w:t>
      </w:r>
      <w:r w:rsidRPr="00070ADE">
        <w:rPr>
          <w:rFonts w:ascii="Times New Roman" w:cs="Times New Roman"/>
          <w:color w:val="000000" w:themeColor="text1"/>
          <w:spacing w:val="0"/>
        </w:rPr>
        <w:softHyphen/>
        <w:t>зование танка "ИС", имеет в виду возможность быстрого получения этого вида вооружения на базе существующего валового производства (17484).</w:t>
      </w:r>
    </w:p>
    <w:p w14:paraId="6DB51544" w14:textId="77777777" w:rsidR="00801247" w:rsidRPr="00070ADE" w:rsidRDefault="00801247" w:rsidP="00B56F90">
      <w:pPr>
        <w:pStyle w:val="27"/>
        <w:shd w:val="clear" w:color="auto" w:fill="auto"/>
        <w:spacing w:after="0" w:line="240" w:lineRule="auto"/>
        <w:ind w:firstLine="0"/>
        <w:rPr>
          <w:rFonts w:ascii="Times New Roman" w:cs="Times New Roman"/>
          <w:color w:val="000000" w:themeColor="text1"/>
          <w:spacing w:val="0"/>
        </w:rPr>
      </w:pPr>
    </w:p>
    <w:p w14:paraId="56FDD56D" w14:textId="77777777" w:rsidR="00801247" w:rsidRPr="00070ADE" w:rsidRDefault="0080124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Летом 1944 года ленинградский филиал ЦАКБ разработал Проект САУ с 210-мм орудием БР-17 на сочленённом шасси Т-34. Он представлял собой установку 210-мм пушки БР-17 или 305-мм гаубицы БР-18 на сочленённом шасси Т-34. Экипаж при этом размещался в кабине, находящейся в носовой части машины. Проект был создан как альтернативный для С-51. Нарком вооружения Устинов предлагал составить на данную машину тактико-технические требования, но дальше эскизного проекта дело не пошло (18075).</w:t>
      </w:r>
    </w:p>
    <w:p w14:paraId="62F19D06" w14:textId="77777777" w:rsidR="00801247" w:rsidRPr="00070ADE" w:rsidRDefault="00801247" w:rsidP="00B56F90">
      <w:pPr>
        <w:pStyle w:val="ae"/>
        <w:shd w:val="clear" w:color="auto" w:fill="FFFFFF"/>
        <w:spacing w:before="0" w:after="0"/>
        <w:jc w:val="both"/>
        <w:rPr>
          <w:color w:val="000000" w:themeColor="text1"/>
          <w:sz w:val="16"/>
          <w:szCs w:val="16"/>
        </w:rPr>
      </w:pPr>
    </w:p>
    <w:p w14:paraId="6DD6B701" w14:textId="77777777" w:rsidR="00BD1A9D" w:rsidRPr="00070ADE" w:rsidRDefault="00BD1A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года В Советском Союзе был поднят вопрос смены компоновки средних САУ. 3 июля 1944 года на вооружение Красной Армии приняли СУ-100, получившую усиленную до 75 мм лобовую деталь корпуса, а также 100-мм орудие Д-10С. И то, и другое существенно повлияло на нагрузку передних опорных катков. Кроме того, большой проблемой стал вынос ствола орудия за габариты корпуса более чем на 3 метра. Решение проблемы оказалось очевидным - перенос боевого отделения в кормовую часть корпуса. В СССР такая компоновка использовалась не раз, но теперь речь шла о хорошо защищенном "штурмовике" (23527).</w:t>
      </w:r>
    </w:p>
    <w:p w14:paraId="61379F8A" w14:textId="77777777" w:rsidR="00BD1A9D" w:rsidRPr="00070ADE" w:rsidRDefault="00BD1A9D" w:rsidP="00B56F90">
      <w:pPr>
        <w:spacing w:after="0" w:line="240" w:lineRule="auto"/>
        <w:jc w:val="both"/>
        <w:rPr>
          <w:rFonts w:ascii="Times New Roman" w:hAnsi="Times New Roman"/>
          <w:color w:val="000000" w:themeColor="text1"/>
          <w:sz w:val="16"/>
          <w:szCs w:val="16"/>
        </w:rPr>
      </w:pPr>
    </w:p>
    <w:p w14:paraId="6A21D4A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года был выпущен третий опытный образец самоходной установки ЗСУ-37, на котором была вновь использована силовая установка СУ-76М. В октябре - ноябре 1944 г. этот опытный образец успешно прошел полигонные испытания и был рекомендован к принятию на вооружение РККА. В 1945 - 1948 гг. ЗСУ производилась на заводе № 40 в г. Мытищи Московской области. В 1945 г. было изго</w:t>
      </w:r>
      <w:r w:rsidRPr="00070ADE">
        <w:rPr>
          <w:rFonts w:ascii="Times New Roman" w:hAnsi="Times New Roman"/>
          <w:color w:val="000000" w:themeColor="text1"/>
          <w:sz w:val="16"/>
          <w:szCs w:val="16"/>
        </w:rPr>
        <w:softHyphen/>
        <w:t>товлено 12 самоходных установок ЗСУ-37 (10703).</w:t>
      </w:r>
    </w:p>
    <w:p w14:paraId="2EE7227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212FD9"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в КБ завода № 100 под руководством Ж.Я. Котина была разработана самоходная установка ИСУ-122БМ (ИСУ-122-3) ("Объект 251"). Опытный образец самоходной установки, который имел завод</w:t>
      </w:r>
      <w:r w:rsidRPr="00070ADE">
        <w:rPr>
          <w:rFonts w:ascii="Times New Roman" w:hAnsi="Times New Roman"/>
          <w:color w:val="000000" w:themeColor="text1"/>
          <w:sz w:val="16"/>
          <w:szCs w:val="16"/>
        </w:rPr>
        <w:softHyphen/>
        <w:t>ское обозначение "Объект 251", был изготовлен осенью того же года и в ноябре 1944 г. был представлен на полигонные испытания, которые не выдержал из-за неудовлетворительной живучести ствола. Доработка ствола по замечаниям комиссии была завершена лишь в июне 1945 г., тогда же планировалось провести повторные предварительные испыта</w:t>
      </w:r>
      <w:r w:rsidRPr="00070ADE">
        <w:rPr>
          <w:rFonts w:ascii="Times New Roman" w:hAnsi="Times New Roman"/>
          <w:color w:val="000000" w:themeColor="text1"/>
          <w:sz w:val="16"/>
          <w:szCs w:val="16"/>
        </w:rPr>
        <w:softHyphen/>
        <w:t>ния. На вооружение и в серийное производство установка ИСУ-122-3 не принималась (10703).</w:t>
      </w:r>
    </w:p>
    <w:p w14:paraId="3835A02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46CFED" w14:textId="77777777" w:rsidR="0035381F" w:rsidRPr="00070ADE" w:rsidRDefault="0035381F"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shd w:val="clear" w:color="auto" w:fill="FFFFFF"/>
        </w:rPr>
        <w:t>С лета 1944 года ИСУ-122 дебютировавшие в операции "Багратион" и стали участниками большинства боевых операций Красной Армии. Вместе с тем, машина так и осталась в тени ИСУ-152, на базе которой была создана. Кроме того, из армии ИСУ-122 исчезла куда раньше, а до наших дней их сохранилось куда меньше. Кроме того, относительно того, как именно появилась данная машина, существует "каноничная" версия от том, что якобы шасси ИСУ-152 оказалось больше, чем орудий МЛ-20. Поэтому и было принято решение поставить на ИСУ-152 орудие А-19, которое было на том же лафете, что и МЛ-20. Возникают споры о том, почему "непонимающие военные" не могли решить запустить выпуск ИСУ-122 раньше. Одним словом, по поводу ИСУ-122 есть достаточное количество спорных тем (20289).</w:t>
      </w:r>
      <w:r w:rsidRPr="00070ADE">
        <w:rPr>
          <w:rFonts w:ascii="Times New Roman" w:hAnsi="Times New Roman"/>
          <w:color w:val="000000" w:themeColor="text1"/>
          <w:sz w:val="16"/>
          <w:szCs w:val="16"/>
        </w:rPr>
        <w:t xml:space="preserve"> </w:t>
      </w:r>
    </w:p>
    <w:p w14:paraId="45A3A218" w14:textId="77777777" w:rsidR="0035381F" w:rsidRPr="00070ADE" w:rsidRDefault="0035381F" w:rsidP="00B56F90">
      <w:pPr>
        <w:spacing w:after="0" w:line="240" w:lineRule="auto"/>
        <w:jc w:val="both"/>
        <w:rPr>
          <w:rFonts w:ascii="Times New Roman" w:hAnsi="Times New Roman"/>
          <w:color w:val="000000" w:themeColor="text1"/>
          <w:sz w:val="16"/>
          <w:szCs w:val="16"/>
        </w:rPr>
      </w:pPr>
    </w:p>
    <w:p w14:paraId="7C4CD50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ОКБ завода № 9 предложило для вооружения опытно</w:t>
      </w:r>
      <w:r w:rsidRPr="00070ADE">
        <w:rPr>
          <w:rFonts w:ascii="Times New Roman" w:hAnsi="Times New Roman"/>
          <w:color w:val="000000" w:themeColor="text1"/>
          <w:sz w:val="16"/>
          <w:szCs w:val="16"/>
        </w:rPr>
        <w:softHyphen/>
        <w:t>го танка ИС-6 ("Объект 252") 122-мм пушку Д-30, которая также имела досылатель и механизм продувки канала ствола после выстрела сжатым воздухом, но не требовала перекомпоновки боевого отделения танка. В связи с более высокой стоимостью пушки Д-30 по сравнению со стои</w:t>
      </w:r>
      <w:r w:rsidRPr="00070ADE">
        <w:rPr>
          <w:rFonts w:ascii="Times New Roman" w:hAnsi="Times New Roman"/>
          <w:color w:val="000000" w:themeColor="text1"/>
          <w:sz w:val="16"/>
          <w:szCs w:val="16"/>
        </w:rPr>
        <w:softHyphen/>
        <w:t>мостью пушки Д-25Т она не была принята на вооружение. В целях дальнейшего усиления огневой мощи средних танков, в на</w:t>
      </w:r>
      <w:r w:rsidRPr="00070ADE">
        <w:rPr>
          <w:rFonts w:ascii="Times New Roman" w:hAnsi="Times New Roman"/>
          <w:color w:val="000000" w:themeColor="text1"/>
          <w:sz w:val="16"/>
          <w:szCs w:val="16"/>
        </w:rPr>
        <w:softHyphen/>
        <w:t>чале 1945 г. завод № 183 изготовил и испытал опытный образец средне</w:t>
      </w:r>
      <w:r w:rsidRPr="00070ADE">
        <w:rPr>
          <w:rFonts w:ascii="Times New Roman" w:hAnsi="Times New Roman"/>
          <w:color w:val="000000" w:themeColor="text1"/>
          <w:sz w:val="16"/>
          <w:szCs w:val="16"/>
        </w:rPr>
        <w:softHyphen/>
        <w:t>го танка со 100-мм пушкой ЛБ-1, разработанной заводом № 92. В фев</w:t>
      </w:r>
      <w:r w:rsidRPr="00070ADE">
        <w:rPr>
          <w:rFonts w:ascii="Times New Roman" w:hAnsi="Times New Roman"/>
          <w:color w:val="000000" w:themeColor="text1"/>
          <w:sz w:val="16"/>
          <w:szCs w:val="16"/>
        </w:rPr>
        <w:softHyphen/>
        <w:t>рале 1945 г. завод № 9 спроектировал и изготовил 100-мм нарезную пушку Д- ЮТ, которая в марте того же года была установлена в опытный танк Т-34-100 вместо пушки ЛБ-1. Обе пушки испытания выдержали, причем лучшие результаты по удобству обслуживания и отработке от</w:t>
      </w:r>
      <w:r w:rsidRPr="00070ADE">
        <w:rPr>
          <w:rFonts w:ascii="Times New Roman" w:hAnsi="Times New Roman"/>
          <w:color w:val="000000" w:themeColor="text1"/>
          <w:sz w:val="16"/>
          <w:szCs w:val="16"/>
        </w:rPr>
        <w:softHyphen/>
        <w:t>дельных узлов показала пушка ЛБ-1. Сравнительные испытания пушек продолжались на опытных средних танках Т-44-100, в результате чего предпочтение было отдано пушке Д-10Т, не имевшей дульного тормоза и наилучшим образом подходившей для вооружения перспективного в то время танка Т-54 910703).</w:t>
      </w:r>
    </w:p>
    <w:p w14:paraId="2A961D01"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E37BB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в конструкторском бюро Опытного завода № 100 в Челябинске под руководством А.С. Ермолаева был разработан Танк ИС-2 (ИС-122) обр. 1944 г., который являлся дальнейшим развитием танка ИС-2 обр. 1943 г. в отношении улучшения конструкции броневой защиты и повышения надежности работы узлов и агрегатов силовой ус</w:t>
      </w:r>
      <w:r w:rsidRPr="00070ADE">
        <w:rPr>
          <w:rFonts w:ascii="Times New Roman" w:hAnsi="Times New Roman"/>
          <w:color w:val="000000" w:themeColor="text1"/>
          <w:sz w:val="16"/>
          <w:szCs w:val="16"/>
        </w:rPr>
        <w:softHyphen/>
        <w:t>тановки, трансмиссии и ходовой части танка. Общее руководство осуществлял Ж.Я. Котин. Ведущим инженером машины был Н.Ф. Шашмурин. Танк был принят на вооружение и серийно выпускался на ЧКЗ в период с июня 1944 г. по май 1945 г. Всего заводом было выпущено 2525 машин данной модификации. Еще по 5 танков было собрано в марте и июне 1945 г. на восстанавливавшемся ЛКЗ. Танки широко применялись в третьем периоде Великой Отечественной войны. После Великой Отече</w:t>
      </w:r>
      <w:r w:rsidRPr="00070ADE">
        <w:rPr>
          <w:rFonts w:ascii="Times New Roman" w:hAnsi="Times New Roman"/>
          <w:color w:val="000000" w:themeColor="text1"/>
          <w:sz w:val="16"/>
          <w:szCs w:val="16"/>
        </w:rPr>
        <w:softHyphen/>
        <w:t>ственной войны танк был модернизирован и ему была присвоена марка ИС-2М. Машина отличалась от танка ИС-2 обр. 1943 г. более мощной броне</w:t>
      </w:r>
      <w:r w:rsidRPr="00070ADE">
        <w:rPr>
          <w:rFonts w:ascii="Times New Roman" w:hAnsi="Times New Roman"/>
          <w:color w:val="000000" w:themeColor="text1"/>
          <w:sz w:val="16"/>
          <w:szCs w:val="16"/>
        </w:rPr>
        <w:softHyphen/>
        <w:t>вой защитой корпуса, установкой дополнительного оружия - зенитно</w:t>
      </w:r>
      <w:r w:rsidRPr="00070ADE">
        <w:rPr>
          <w:rFonts w:ascii="Times New Roman" w:hAnsi="Times New Roman"/>
          <w:color w:val="000000" w:themeColor="text1"/>
          <w:sz w:val="16"/>
          <w:szCs w:val="16"/>
        </w:rPr>
        <w:softHyphen/>
        <w:t>го пулемета ДШК. Начиная с ноября 1944 г. часть танков, а с января 1945 г. каждый танк ИС-2 оснащался зенитной пулеметной установкой. Экипаж танка состоял из четырех человек (10703).</w:t>
      </w:r>
    </w:p>
    <w:p w14:paraId="410DF8D7"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10366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Ж. Котин узнал про то, что у немцев соз</w:t>
      </w:r>
      <w:r w:rsidRPr="00070ADE">
        <w:rPr>
          <w:rFonts w:ascii="Times New Roman" w:hAnsi="Times New Roman"/>
          <w:color w:val="000000" w:themeColor="text1"/>
          <w:sz w:val="16"/>
          <w:szCs w:val="16"/>
        </w:rPr>
        <w:softHyphen/>
        <w:t>дается сверхтанк с броней 200-мм, вооружением 128-мм пушкой и элетротрансмиссией, и он решил сделать такой же, — говорил Л. Горлицкий, — ему не важно было, годится этот танк для промышленности или нет. Главное было понять, возможно ли сделать такой и как?». Трудно сказать, насколько прав в своих воспоминаниях главный конструктор советской самоходной артиллерии на УЗТМ (11153).</w:t>
      </w:r>
    </w:p>
    <w:p w14:paraId="1903251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B3CFBC"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по заданию УСА и ГАУ РККА заводом № 69 был спро</w:t>
      </w:r>
      <w:r w:rsidRPr="00070ADE">
        <w:rPr>
          <w:rFonts w:ascii="Times New Roman" w:hAnsi="Times New Roman"/>
          <w:color w:val="000000" w:themeColor="text1"/>
          <w:sz w:val="16"/>
          <w:szCs w:val="16"/>
        </w:rPr>
        <w:softHyphen/>
        <w:t>ектирован и изготовлен бинокулярный шарнирный прицел ТБШ, который был установлен в опытный тяжелый танк ИС-6. На вооружение прицел не принимался из-за сложности его производства и необходимости увеличения ширины лобовой части башни (10703).</w:t>
      </w:r>
    </w:p>
    <w:p w14:paraId="15351EF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F29286"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лета 1944 г. литые башни Т-34 (особенно Т-34-85) из стали 71Л обладали довольно высокой хруп</w:t>
      </w:r>
      <w:r w:rsidRPr="00070ADE">
        <w:rPr>
          <w:rFonts w:ascii="Times New Roman" w:hAnsi="Times New Roman"/>
          <w:color w:val="000000" w:themeColor="text1"/>
          <w:sz w:val="16"/>
          <w:szCs w:val="16"/>
        </w:rPr>
        <w:softHyphen/>
        <w:t>костью. Группа технологов завода № 183 и сотрудников НИИ-48 в составе А. Забайкина, В. Маратовского, И. Пачурина и М. Друяна провели исследования и, доведя в плавках уровень марганца и хрома до верхнего предела допуска, а уг</w:t>
      </w:r>
      <w:r w:rsidRPr="00070ADE">
        <w:rPr>
          <w:rFonts w:ascii="Times New Roman" w:hAnsi="Times New Roman"/>
          <w:color w:val="000000" w:themeColor="text1"/>
          <w:sz w:val="16"/>
          <w:szCs w:val="16"/>
        </w:rPr>
        <w:softHyphen/>
        <w:t>лерода и кремния — до нижнего, значительно подняли вяз</w:t>
      </w:r>
      <w:r w:rsidRPr="00070ADE">
        <w:rPr>
          <w:rFonts w:ascii="Times New Roman" w:hAnsi="Times New Roman"/>
          <w:color w:val="000000" w:themeColor="text1"/>
          <w:sz w:val="16"/>
          <w:szCs w:val="16"/>
        </w:rPr>
        <w:softHyphen/>
        <w:t>кость башенной брони. Если в начале 1944-го лишь 15—20% литых башен Т-34 имели нормальные вязкость, хрупкость и внешний вид (утяжины глубиной более 6 мм, раковины, выкрашивание острых граней отливок), то к концу года от 90 до 95% башен уже полностью отвечали требованиям ОТК (11135).</w:t>
      </w:r>
    </w:p>
    <w:p w14:paraId="41EBE483"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AA5A85" w14:textId="77777777" w:rsidR="0004034B" w:rsidRPr="00070ADE" w:rsidRDefault="0004034B" w:rsidP="00B56F90">
      <w:pPr>
        <w:pStyle w:val="ae"/>
        <w:spacing w:before="0" w:after="0"/>
        <w:jc w:val="both"/>
        <w:textAlignment w:val="baseline"/>
        <w:rPr>
          <w:color w:val="000000" w:themeColor="text1"/>
          <w:sz w:val="16"/>
          <w:szCs w:val="16"/>
        </w:rPr>
      </w:pPr>
      <w:r w:rsidRPr="00070ADE">
        <w:rPr>
          <w:color w:val="000000" w:themeColor="text1"/>
          <w:sz w:val="16"/>
          <w:szCs w:val="16"/>
        </w:rPr>
        <w:t>Летом 1944 года появилась третья альтернатива наала производства Т-44. После освобождения Харькова 23 августа 1943 года на территории, которую ранее занимали заводы №183 и №75, начались работы по организации ремонта танков. Поскольку завод №183 никто не собирался перевозить обратно, уже в начале 1944 года полуразрушенный завод получил обозначение «Завод №75 НКТП». 6 февраля 1944 года вышло постановление ГКО №5122сс, согласно которому на заводе №75 организовывался выпуск артиллерийских тягачей АТ-45. Базировался он на переделанном шасси Т-34, а для организации выпуска требовалось провести работы по хотя бы частичному восстановлению завода. Немаловажный момент – АТ-45 имел торсионную подвеску, как и Т-44. Несмотря на то, что к началу лета 1944 года завод №75 ещё находился в полуразрушенном состоянии, проведённая подготовительная работа сделала его оптимальной площадкой для организации производства Т-44 (19047).</w:t>
      </w:r>
    </w:p>
    <w:p w14:paraId="4F5F6D7E" w14:textId="77777777" w:rsidR="0004034B" w:rsidRPr="00070ADE" w:rsidRDefault="0004034B" w:rsidP="00B56F90">
      <w:pPr>
        <w:pStyle w:val="4d"/>
        <w:shd w:val="clear" w:color="auto" w:fill="FFFFFF"/>
        <w:spacing w:before="0" w:beforeAutospacing="0" w:after="0" w:afterAutospacing="0"/>
        <w:jc w:val="both"/>
        <w:textAlignment w:val="baseline"/>
        <w:rPr>
          <w:iCs/>
          <w:color w:val="000000" w:themeColor="text1"/>
          <w:sz w:val="16"/>
          <w:szCs w:val="16"/>
          <w:bdr w:val="none" w:sz="0" w:space="0" w:color="auto" w:frame="1"/>
        </w:rPr>
      </w:pPr>
    </w:p>
    <w:p w14:paraId="301E6AEC"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Летом 1944 года были проведены испытания обстрелом корпуса Т-34-85М, по</w:t>
      </w:r>
      <w:r w:rsidRPr="001A0BAA">
        <w:rPr>
          <w:rFonts w:ascii="Times New Roman" w:hAnsi="Times New Roman"/>
          <w:color w:val="0070C0"/>
          <w:sz w:val="16"/>
          <w:szCs w:val="16"/>
        </w:rPr>
        <w:softHyphen/>
        <w:t>казавшие, что верхний 75-мм лист, изготов</w:t>
      </w:r>
      <w:r w:rsidRPr="001A0BAA">
        <w:rPr>
          <w:rFonts w:ascii="Times New Roman" w:hAnsi="Times New Roman"/>
          <w:color w:val="0070C0"/>
          <w:sz w:val="16"/>
          <w:szCs w:val="16"/>
        </w:rPr>
        <w:softHyphen/>
        <w:t>ленный из брони высокой твердости, про</w:t>
      </w:r>
      <w:r w:rsidRPr="001A0BAA">
        <w:rPr>
          <w:rFonts w:ascii="Times New Roman" w:hAnsi="Times New Roman"/>
          <w:color w:val="0070C0"/>
          <w:sz w:val="16"/>
          <w:szCs w:val="16"/>
        </w:rPr>
        <w:softHyphen/>
        <w:t>бивается 75-мм пушкой «Пантеры» с дис</w:t>
      </w:r>
      <w:r w:rsidRPr="001A0BAA">
        <w:rPr>
          <w:rFonts w:ascii="Times New Roman" w:hAnsi="Times New Roman"/>
          <w:color w:val="0070C0"/>
          <w:sz w:val="16"/>
          <w:szCs w:val="16"/>
        </w:rPr>
        <w:softHyphen/>
        <w:t>танции 650 м. Таким образом, Т-34-85М в лобовой проекции получил некоторое пре</w:t>
      </w:r>
      <w:r w:rsidRPr="001A0BAA">
        <w:rPr>
          <w:rFonts w:ascii="Times New Roman" w:hAnsi="Times New Roman"/>
          <w:color w:val="0070C0"/>
          <w:sz w:val="16"/>
          <w:szCs w:val="16"/>
        </w:rPr>
        <w:softHyphen/>
        <w:t>имущество перед «Пантерой».</w:t>
      </w:r>
    </w:p>
    <w:p w14:paraId="19F8A678"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Но модернизированные машины так и не запустили в серию - летом 1944 года про</w:t>
      </w:r>
      <w:r w:rsidRPr="001A0BAA">
        <w:rPr>
          <w:rFonts w:ascii="Times New Roman" w:hAnsi="Times New Roman"/>
          <w:color w:val="0070C0"/>
          <w:sz w:val="16"/>
          <w:szCs w:val="16"/>
        </w:rPr>
        <w:softHyphen/>
        <w:t>ходили испытания опытные образцы тан</w:t>
      </w:r>
      <w:r w:rsidRPr="001A0BAA">
        <w:rPr>
          <w:rFonts w:ascii="Times New Roman" w:hAnsi="Times New Roman"/>
          <w:color w:val="0070C0"/>
          <w:sz w:val="16"/>
          <w:szCs w:val="16"/>
        </w:rPr>
        <w:softHyphen/>
        <w:t>ка Т-44 (25012).</w:t>
      </w:r>
    </w:p>
    <w:p w14:paraId="73170F0D" w14:textId="77777777" w:rsidR="00EC78A0" w:rsidRPr="001A0BAA" w:rsidRDefault="00EC78A0" w:rsidP="00EC78A0">
      <w:pPr>
        <w:spacing w:after="0" w:line="240" w:lineRule="auto"/>
        <w:jc w:val="both"/>
        <w:rPr>
          <w:rFonts w:ascii="Times New Roman" w:hAnsi="Times New Roman"/>
          <w:color w:val="0070C0"/>
          <w:sz w:val="16"/>
          <w:szCs w:val="16"/>
        </w:rPr>
      </w:pPr>
    </w:p>
    <w:p w14:paraId="1AF85810" w14:textId="5366DF42" w:rsidR="0004034B" w:rsidRPr="00070ADE" w:rsidRDefault="0004034B" w:rsidP="00B56F90">
      <w:pPr>
        <w:pStyle w:val="4d"/>
        <w:shd w:val="clear" w:color="auto" w:fill="FFFFFF"/>
        <w:spacing w:before="0" w:beforeAutospacing="0" w:after="0" w:afterAutospacing="0"/>
        <w:jc w:val="both"/>
        <w:textAlignment w:val="baseline"/>
        <w:rPr>
          <w:iCs/>
          <w:color w:val="000000" w:themeColor="text1"/>
          <w:sz w:val="16"/>
          <w:szCs w:val="16"/>
          <w:bdr w:val="none" w:sz="0" w:space="0" w:color="auto" w:frame="1"/>
        </w:rPr>
      </w:pPr>
      <w:r w:rsidRPr="00070ADE">
        <w:rPr>
          <w:iCs/>
          <w:color w:val="000000" w:themeColor="text1"/>
          <w:sz w:val="16"/>
          <w:szCs w:val="16"/>
          <w:bdr w:val="none" w:sz="0" w:space="0" w:color="auto" w:frame="1"/>
        </w:rPr>
        <w:t>Летом 1944 года в Советском Союзе было принято решение о запуске в серию среднего танка</w:t>
      </w:r>
      <w:r w:rsidR="00B643A8" w:rsidRPr="00070ADE">
        <w:rPr>
          <w:iCs/>
          <w:color w:val="000000" w:themeColor="text1"/>
          <w:sz w:val="16"/>
          <w:szCs w:val="16"/>
          <w:bdr w:val="none" w:sz="0" w:space="0" w:color="auto" w:frame="1"/>
        </w:rPr>
        <w:t xml:space="preserve"> </w:t>
      </w:r>
      <w:hyperlink r:id="rId192" w:history="1">
        <w:r w:rsidRPr="00070ADE">
          <w:rPr>
            <w:rStyle w:val="a5"/>
            <w:bCs/>
            <w:iCs/>
            <w:color w:val="000000" w:themeColor="text1"/>
            <w:sz w:val="16"/>
            <w:szCs w:val="16"/>
            <w:bdr w:val="none" w:sz="0" w:space="0" w:color="auto" w:frame="1"/>
          </w:rPr>
          <w:t>Т-44</w:t>
        </w:r>
      </w:hyperlink>
      <w:r w:rsidRPr="00070ADE">
        <w:rPr>
          <w:iCs/>
          <w:color w:val="000000" w:themeColor="text1"/>
          <w:sz w:val="16"/>
          <w:szCs w:val="16"/>
          <w:bdr w:val="none" w:sz="0" w:space="0" w:color="auto" w:frame="1"/>
        </w:rPr>
        <w:t>. Это произошло не только до изготовления доработанного образца, получившего обозначение Т-44А, но и в момент, когда ГБТУ КА ещё не выработало тактико-технических требований к новому танку по итогам боёв первой половины 1944 года. В результате ещё до запуска в серию машина выглядела устаревшей, особенно по вооружению. Работы по модернизации пошли по двум направлениям. Первое, эволюционное, направление привело к созданию опытного танка Т-44-100. Вторым, революционным, стала глубокая модернизация Т-44, получившая обозначение</w:t>
      </w:r>
      <w:r w:rsidR="00B643A8" w:rsidRPr="00070ADE">
        <w:rPr>
          <w:iCs/>
          <w:color w:val="000000" w:themeColor="text1"/>
          <w:sz w:val="16"/>
          <w:szCs w:val="16"/>
          <w:bdr w:val="none" w:sz="0" w:space="0" w:color="auto" w:frame="1"/>
        </w:rPr>
        <w:t xml:space="preserve"> </w:t>
      </w:r>
      <w:r w:rsidRPr="00070ADE">
        <w:rPr>
          <w:bCs/>
          <w:iCs/>
          <w:color w:val="000000" w:themeColor="text1"/>
          <w:sz w:val="16"/>
          <w:szCs w:val="16"/>
          <w:bdr w:val="none" w:sz="0" w:space="0" w:color="auto" w:frame="1"/>
        </w:rPr>
        <w:t>Т-54 (19090)</w:t>
      </w:r>
      <w:r w:rsidRPr="00070ADE">
        <w:rPr>
          <w:iCs/>
          <w:color w:val="000000" w:themeColor="text1"/>
          <w:sz w:val="16"/>
          <w:szCs w:val="16"/>
          <w:bdr w:val="none" w:sz="0" w:space="0" w:color="auto" w:frame="1"/>
        </w:rPr>
        <w:t>.</w:t>
      </w:r>
    </w:p>
    <w:p w14:paraId="445716C2" w14:textId="77777777" w:rsidR="0004034B" w:rsidRPr="00070ADE" w:rsidRDefault="0004034B" w:rsidP="00B56F90">
      <w:pPr>
        <w:pStyle w:val="4d"/>
        <w:shd w:val="clear" w:color="auto" w:fill="FFFFFF"/>
        <w:spacing w:before="0" w:beforeAutospacing="0" w:after="0" w:afterAutospacing="0"/>
        <w:jc w:val="both"/>
        <w:textAlignment w:val="baseline"/>
        <w:rPr>
          <w:color w:val="000000" w:themeColor="text1"/>
          <w:sz w:val="16"/>
          <w:szCs w:val="16"/>
        </w:rPr>
      </w:pPr>
    </w:p>
    <w:p w14:paraId="5C10EC1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для танка Т-44 в КБ завода № 183 велась разработка планетарной трансмиссии, которая так и не была воплощена в металле (10703).</w:t>
      </w:r>
    </w:p>
    <w:p w14:paraId="103EF3F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F16B9C"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Летом 1944 года начались работы по танку Т-44А (второй танк с таким обозначением), который получил 100-мм пушку Д-10Т. Далее этот проект эволюционировал в Т-44Б, а затем его переименовали в Т-54. Так что Т-44-122, как его иногда называют, стал не тупиковым ответвлением, а одной из ступенью к созданию одного из главных послевоенных танков (25383).</w:t>
      </w:r>
    </w:p>
    <w:p w14:paraId="28BA293F" w14:textId="77777777" w:rsidR="00EC78A0" w:rsidRPr="001A0BAA" w:rsidRDefault="00EC78A0" w:rsidP="00EC78A0">
      <w:pPr>
        <w:spacing w:after="0" w:line="240" w:lineRule="auto"/>
        <w:jc w:val="both"/>
        <w:rPr>
          <w:rFonts w:ascii="Times New Roman" w:hAnsi="Times New Roman"/>
          <w:color w:val="0070C0"/>
          <w:sz w:val="16"/>
          <w:szCs w:val="16"/>
        </w:rPr>
      </w:pPr>
    </w:p>
    <w:p w14:paraId="5A2340D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и осенью 1944 года в опытном порядке были изготовлены САУ ЭСУ-100 с электротрансмиссией и СУ-122П со 122-мм пушкой Д-25Т (9637).</w:t>
      </w:r>
    </w:p>
    <w:p w14:paraId="157B9C0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21E62AF"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Созданная к лету 1944 г. и установленная на самоход СУ-85 85-мм пушка большой мощности С-34-1В продемон</w:t>
      </w:r>
      <w:r w:rsidRPr="00070ADE">
        <w:rPr>
          <w:rFonts w:ascii="Times New Roman" w:hAnsi="Times New Roman"/>
          <w:color w:val="000000" w:themeColor="text1"/>
          <w:sz w:val="16"/>
          <w:szCs w:val="16"/>
        </w:rPr>
        <w:softHyphen/>
        <w:t>стрировала те же проблемы, что и Д-5-85БМ и ЗИС-1. Прав</w:t>
      </w:r>
      <w:r w:rsidRPr="00070ADE">
        <w:rPr>
          <w:rFonts w:ascii="Times New Roman" w:hAnsi="Times New Roman"/>
          <w:color w:val="000000" w:themeColor="text1"/>
          <w:sz w:val="16"/>
          <w:szCs w:val="16"/>
        </w:rPr>
        <w:softHyphen/>
        <w:t>да, в результате многочисленных проб изготовителям удалось достичь нач. скорости 1040 м/с и пробить с дистанции 1000 м бронеплиты толщиной 120 и 140 мм, но большой разгар ка</w:t>
      </w:r>
      <w:r w:rsidRPr="00070ADE">
        <w:rPr>
          <w:rFonts w:ascii="Times New Roman" w:hAnsi="Times New Roman"/>
          <w:color w:val="000000" w:themeColor="text1"/>
          <w:sz w:val="16"/>
          <w:szCs w:val="16"/>
        </w:rPr>
        <w:softHyphen/>
        <w:t>нала ствола и нестабильное поведение снаряда на траектории (который также часто терял ведущие пояски и кувыркался), вывели и это орудие из разряда перспективных.</w:t>
      </w:r>
    </w:p>
    <w:p w14:paraId="22BCA3C0"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 хотя работы над орудием среднего калибра с высокой нач. скоростью продолжались до самого окончания войны (были созданы орудия Д-10-85, С-34-1ВУ, С-50-БМ, В-9 и др. с нач. скоростью снаряда 950-1050 м/с), обогнать «ма</w:t>
      </w:r>
      <w:r w:rsidRPr="00070ADE">
        <w:rPr>
          <w:rFonts w:ascii="Times New Roman" w:hAnsi="Times New Roman"/>
          <w:color w:val="000000" w:themeColor="text1"/>
          <w:sz w:val="16"/>
          <w:szCs w:val="16"/>
        </w:rPr>
        <w:softHyphen/>
        <w:t>лой кровью» немецких артиллерийских конструкторов без изменения конструкции снаряда и выстрела не удалось ни одному артиллерийскому КБ (11135).</w:t>
      </w:r>
    </w:p>
    <w:p w14:paraId="39E2BDDD"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9A9B34" w14:textId="77777777" w:rsidR="001444FD" w:rsidRPr="00070ADE" w:rsidRDefault="001444FD" w:rsidP="00B56F90">
      <w:pPr>
        <w:pStyle w:val="a3"/>
        <w:rPr>
          <w:color w:val="000000" w:themeColor="text1"/>
          <w:lang w:val="ru-RU"/>
        </w:rPr>
      </w:pPr>
      <w:r w:rsidRPr="00070ADE">
        <w:rPr>
          <w:color w:val="000000" w:themeColor="text1"/>
          <w:lang w:val="ru-RU"/>
        </w:rPr>
        <w:t>Летом 1944 г. Заводские испытания двух АТ-45 устано</w:t>
      </w:r>
      <w:r w:rsidRPr="00070ADE">
        <w:rPr>
          <w:color w:val="000000" w:themeColor="text1"/>
          <w:lang w:val="ru-RU"/>
        </w:rPr>
        <w:softHyphen/>
        <w:t>вочной партии (№15001 и №15006 - первая и последняя машины партии) в целом прошли достаточно успешно, несмотря на вполне естественные для новых машин дефекты и неисправности. Состоялись испы</w:t>
      </w:r>
      <w:r w:rsidRPr="00070ADE">
        <w:rPr>
          <w:color w:val="000000" w:themeColor="text1"/>
          <w:lang w:val="ru-RU"/>
        </w:rPr>
        <w:softHyphen/>
        <w:t>тания на проходимость и по буксировке одно</w:t>
      </w:r>
      <w:r w:rsidRPr="00070ADE">
        <w:rPr>
          <w:color w:val="000000" w:themeColor="text1"/>
          <w:lang w:val="ru-RU"/>
        </w:rPr>
        <w:softHyphen/>
        <w:t>типных тягачей, среднего танка Т-34 и тяжелой САУ СУ-152 по шоссейным и грунтовым до</w:t>
      </w:r>
      <w:r w:rsidRPr="00070ADE">
        <w:rPr>
          <w:color w:val="000000" w:themeColor="text1"/>
          <w:lang w:val="ru-RU"/>
        </w:rPr>
        <w:softHyphen/>
        <w:t xml:space="preserve">рогам. АТ-45 </w:t>
      </w:r>
      <w:r w:rsidRPr="00070ADE">
        <w:rPr>
          <w:color w:val="000000" w:themeColor="text1"/>
        </w:rPr>
        <w:t>N</w:t>
      </w:r>
      <w:r w:rsidRPr="00070ADE">
        <w:rPr>
          <w:color w:val="000000" w:themeColor="text1"/>
          <w:lang w:val="ru-RU"/>
        </w:rPr>
        <w:t>915001 в общей сложности пре</w:t>
      </w:r>
      <w:r w:rsidRPr="00070ADE">
        <w:rPr>
          <w:color w:val="000000" w:themeColor="text1"/>
          <w:lang w:val="ru-RU"/>
        </w:rPr>
        <w:softHyphen/>
        <w:t>одолел 1277 км, при этом его двигатель отра</w:t>
      </w:r>
      <w:r w:rsidRPr="00070ADE">
        <w:rPr>
          <w:color w:val="000000" w:themeColor="text1"/>
          <w:lang w:val="ru-RU"/>
        </w:rPr>
        <w:softHyphen/>
        <w:t>ботал 65 ч 27 мин, а машина №15006 - 966 км, из которых 268 км прошла на буксире (мотор отработал 35 ч 10 мин).</w:t>
      </w:r>
    </w:p>
    <w:p w14:paraId="28410484" w14:textId="77777777" w:rsidR="001444FD" w:rsidRPr="00070ADE" w:rsidRDefault="001444FD" w:rsidP="00B56F90">
      <w:pPr>
        <w:pStyle w:val="a3"/>
        <w:rPr>
          <w:color w:val="000000" w:themeColor="text1"/>
          <w:lang w:val="ru-RU"/>
        </w:rPr>
      </w:pPr>
      <w:r w:rsidRPr="00070ADE">
        <w:rPr>
          <w:color w:val="000000" w:themeColor="text1"/>
          <w:lang w:val="ru-RU"/>
        </w:rPr>
        <w:t>Средняя скорость тягача №15001 при движении без прицепа и груза на платформе по шоссе составила 26,5 км/ч, с грузом 6000 кг на платформе - 29,7 км/ч, а по грунтовым до</w:t>
      </w:r>
      <w:r w:rsidRPr="00070ADE">
        <w:rPr>
          <w:color w:val="000000" w:themeColor="text1"/>
          <w:lang w:val="ru-RU"/>
        </w:rPr>
        <w:softHyphen/>
        <w:t>рогам (без прицепа и с грузом) - 13,4 км/ч. Вторая машина (№15006) в таком же положе</w:t>
      </w:r>
      <w:r w:rsidRPr="00070ADE">
        <w:rPr>
          <w:color w:val="000000" w:themeColor="text1"/>
          <w:lang w:val="ru-RU"/>
        </w:rPr>
        <w:softHyphen/>
        <w:t>нии прошла 209 км по шоссе со средней ско</w:t>
      </w:r>
      <w:r w:rsidRPr="00070ADE">
        <w:rPr>
          <w:color w:val="000000" w:themeColor="text1"/>
          <w:lang w:val="ru-RU"/>
        </w:rPr>
        <w:softHyphen/>
        <w:t>ростью 28,5 км/ч и 341 км по грунтовой дороге со средней скоростью 22,9 км/ч.</w:t>
      </w:r>
    </w:p>
    <w:p w14:paraId="615701A2" w14:textId="77777777" w:rsidR="001444FD" w:rsidRPr="00070ADE" w:rsidRDefault="001444FD" w:rsidP="00B56F90">
      <w:pPr>
        <w:pStyle w:val="a3"/>
        <w:rPr>
          <w:color w:val="000000" w:themeColor="text1"/>
          <w:lang w:val="ru-RU"/>
        </w:rPr>
      </w:pPr>
      <w:r w:rsidRPr="00070ADE">
        <w:rPr>
          <w:color w:val="000000" w:themeColor="text1"/>
          <w:lang w:val="ru-RU"/>
        </w:rPr>
        <w:t>Буксировка АТ-45 аналогичной неуправ</w:t>
      </w:r>
      <w:r w:rsidRPr="00070ADE">
        <w:rPr>
          <w:color w:val="000000" w:themeColor="text1"/>
          <w:lang w:val="ru-RU"/>
        </w:rPr>
        <w:softHyphen/>
        <w:t>ляемой машины осуществлялась со средними скоростями 11,6-17,9 км/ч в различных до</w:t>
      </w:r>
      <w:r w:rsidRPr="00070ADE">
        <w:rPr>
          <w:color w:val="000000" w:themeColor="text1"/>
          <w:lang w:val="ru-RU"/>
        </w:rPr>
        <w:softHyphen/>
        <w:t>рожных условиях. Транспортировка среднего танка Т-34 производилась тягачом №15001 по грунтовой дороге на расстояние 30 км со сред</w:t>
      </w:r>
      <w:r w:rsidRPr="00070ADE">
        <w:rPr>
          <w:color w:val="000000" w:themeColor="text1"/>
          <w:lang w:val="ru-RU"/>
        </w:rPr>
        <w:softHyphen/>
        <w:t>ней скоростью 14 км/ч, самоходной установки СУ-152 (также по грунтовой дороге) - на рас</w:t>
      </w:r>
      <w:r w:rsidRPr="00070ADE">
        <w:rPr>
          <w:color w:val="000000" w:themeColor="text1"/>
          <w:lang w:val="ru-RU"/>
        </w:rPr>
        <w:softHyphen/>
        <w:t>стояние 20 км со средней скоростью 5,6 км/ч.</w:t>
      </w:r>
    </w:p>
    <w:p w14:paraId="61E6A134" w14:textId="77777777" w:rsidR="001444FD" w:rsidRPr="00070ADE" w:rsidRDefault="001444FD" w:rsidP="00B56F90">
      <w:pPr>
        <w:pStyle w:val="a3"/>
        <w:rPr>
          <w:color w:val="000000" w:themeColor="text1"/>
          <w:lang w:val="ru-RU"/>
        </w:rPr>
      </w:pPr>
      <w:r w:rsidRPr="00070ADE">
        <w:rPr>
          <w:color w:val="000000" w:themeColor="text1"/>
          <w:lang w:val="ru-RU"/>
        </w:rPr>
        <w:t>Во время заводских испытаний были прео</w:t>
      </w:r>
      <w:r w:rsidRPr="00070ADE">
        <w:rPr>
          <w:color w:val="000000" w:themeColor="text1"/>
          <w:lang w:val="ru-RU"/>
        </w:rPr>
        <w:softHyphen/>
        <w:t>долены следующие подъемы: без прицепа - 25', станком Т-34 на буксире-16', сСУ-152-11' (15754).</w:t>
      </w:r>
    </w:p>
    <w:p w14:paraId="67C343AC" w14:textId="77777777" w:rsidR="001444FD" w:rsidRPr="00070ADE" w:rsidRDefault="001444FD" w:rsidP="00B56F90">
      <w:pPr>
        <w:pStyle w:val="a3"/>
        <w:rPr>
          <w:color w:val="000000" w:themeColor="text1"/>
          <w:lang w:val="ru-RU"/>
        </w:rPr>
      </w:pPr>
    </w:p>
    <w:p w14:paraId="35C3BA79"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Летом 1944 года на испытания вышла СУ-15А (СУ-85А). За счет проведенной модернизации машины задачу повышения мощи вооружения во многом удалось решить. Но дальше дело затянулось, в результате работы плавно перетекли на 1945 год. А вместо СУ-85А появилась СУ-85Б, последний представитель семейства СУ-76 (24993).</w:t>
      </w:r>
    </w:p>
    <w:p w14:paraId="30D5973D" w14:textId="77777777" w:rsidR="00EC78A0" w:rsidRPr="001A0BAA" w:rsidRDefault="00EC78A0" w:rsidP="00EC78A0">
      <w:pPr>
        <w:spacing w:after="0" w:line="240" w:lineRule="auto"/>
        <w:jc w:val="both"/>
        <w:rPr>
          <w:rFonts w:ascii="Times New Roman" w:hAnsi="Times New Roman"/>
          <w:color w:val="0070C0"/>
          <w:sz w:val="16"/>
          <w:szCs w:val="16"/>
        </w:rPr>
      </w:pPr>
    </w:p>
    <w:p w14:paraId="0D17CC7D"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Летом 1944 года Уралмашзавод приступил к проектированию новой САУ. До конца года конструктором Н.В.Куриным было разра</w:t>
      </w:r>
      <w:r w:rsidRPr="001A0BAA">
        <w:rPr>
          <w:rFonts w:ascii="Times New Roman" w:hAnsi="Times New Roman"/>
          <w:color w:val="0070C0"/>
          <w:sz w:val="16"/>
          <w:szCs w:val="16"/>
        </w:rPr>
        <w:softHyphen/>
        <w:t>ботано большое количество эскизных проектов новых самоходных артиллерий</w:t>
      </w:r>
      <w:r w:rsidRPr="001A0BAA">
        <w:rPr>
          <w:rFonts w:ascii="Times New Roman" w:hAnsi="Times New Roman"/>
          <w:color w:val="0070C0"/>
          <w:sz w:val="16"/>
          <w:szCs w:val="16"/>
        </w:rPr>
        <w:softHyphen/>
        <w:t>ских установок с использованием базы всех существовавших на тот момент совет</w:t>
      </w:r>
      <w:r w:rsidRPr="001A0BAA">
        <w:rPr>
          <w:rFonts w:ascii="Times New Roman" w:hAnsi="Times New Roman"/>
          <w:color w:val="0070C0"/>
          <w:sz w:val="16"/>
          <w:szCs w:val="16"/>
        </w:rPr>
        <w:softHyphen/>
        <w:t>ских танков, как с изменением их компо</w:t>
      </w:r>
      <w:r w:rsidRPr="001A0BAA">
        <w:rPr>
          <w:rFonts w:ascii="Times New Roman" w:hAnsi="Times New Roman"/>
          <w:color w:val="0070C0"/>
          <w:sz w:val="16"/>
          <w:szCs w:val="16"/>
        </w:rPr>
        <w:softHyphen/>
        <w:t>новки, так и без (25001).</w:t>
      </w:r>
    </w:p>
    <w:p w14:paraId="650C9C44" w14:textId="77777777" w:rsidR="00EC78A0" w:rsidRPr="001A0BAA" w:rsidRDefault="00EC78A0" w:rsidP="00EC78A0">
      <w:pPr>
        <w:spacing w:after="0" w:line="240" w:lineRule="auto"/>
        <w:jc w:val="both"/>
        <w:rPr>
          <w:rFonts w:ascii="Times New Roman" w:hAnsi="Times New Roman"/>
          <w:color w:val="0070C0"/>
          <w:sz w:val="16"/>
          <w:szCs w:val="16"/>
        </w:rPr>
      </w:pPr>
    </w:p>
    <w:p w14:paraId="2FD3DA22"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Летом 1944 года на Уралмашзаводе была спроектирована самоходно-артиллерийская установка ЭСУ-100 с задним расположением боевого отделения. Применение на этой машине алектромеханической трансмиссии увеличило ее массу на 3 т по сравнению с САУ с механической трансмиссией. Проектные материалы по ЭСУ-100 вместе с проектами других новых САУ рассматривались в октябре 1944 года на специальном заседании Технического совета НКТП с участием сотрудников управления самоходной артиллерии. Совещание признало, что алектротрансмиссия, будучи в принципе прогрессивным видом конструкции, не является технически рациональной для машин среднего класса и дает значительное увели</w:t>
      </w:r>
      <w:r w:rsidRPr="001A0BAA">
        <w:rPr>
          <w:rFonts w:ascii="Times New Roman" w:hAnsi="Times New Roman"/>
          <w:color w:val="0070C0"/>
          <w:sz w:val="16"/>
          <w:szCs w:val="16"/>
        </w:rPr>
        <w:softHyphen/>
        <w:t>чение массы, не оправдываемое острой необхо</w:t>
      </w:r>
      <w:r w:rsidRPr="001A0BAA">
        <w:rPr>
          <w:rFonts w:ascii="Times New Roman" w:hAnsi="Times New Roman"/>
          <w:color w:val="0070C0"/>
          <w:sz w:val="16"/>
          <w:szCs w:val="16"/>
        </w:rPr>
        <w:softHyphen/>
        <w:t>димостью. В результате этого вывода работы по изготовлению ЭСУ-100 осенью 1944 года были прекращены (25001).</w:t>
      </w:r>
    </w:p>
    <w:p w14:paraId="6D6426BC" w14:textId="77777777" w:rsidR="00EC78A0" w:rsidRPr="001A0BAA" w:rsidRDefault="00EC78A0" w:rsidP="00EC78A0">
      <w:pPr>
        <w:spacing w:after="0" w:line="240" w:lineRule="auto"/>
        <w:jc w:val="both"/>
        <w:rPr>
          <w:rFonts w:ascii="Times New Roman" w:hAnsi="Times New Roman"/>
          <w:color w:val="0070C0"/>
          <w:sz w:val="16"/>
          <w:szCs w:val="16"/>
        </w:rPr>
      </w:pPr>
    </w:p>
    <w:p w14:paraId="362EF914"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течение лета 1944 года был разработан проект самохо</w:t>
      </w:r>
      <w:r w:rsidRPr="001A0BAA">
        <w:rPr>
          <w:rFonts w:ascii="Times New Roman" w:hAnsi="Times New Roman"/>
          <w:color w:val="0070C0"/>
          <w:sz w:val="16"/>
          <w:szCs w:val="16"/>
        </w:rPr>
        <w:softHyphen/>
        <w:t>да ЭСУ-100 с электротрансмиссией. Этот проект вместе с други</w:t>
      </w:r>
      <w:r w:rsidRPr="001A0BAA">
        <w:rPr>
          <w:rFonts w:ascii="Times New Roman" w:hAnsi="Times New Roman"/>
          <w:color w:val="0070C0"/>
          <w:sz w:val="16"/>
          <w:szCs w:val="16"/>
        </w:rPr>
        <w:softHyphen/>
        <w:t>ми проектами, рассматривался в октябре на специальном заседании Технического совета НКТП с участием работников Уп</w:t>
      </w:r>
      <w:r w:rsidRPr="001A0BAA">
        <w:rPr>
          <w:rFonts w:ascii="Times New Roman" w:hAnsi="Times New Roman"/>
          <w:color w:val="0070C0"/>
          <w:sz w:val="16"/>
          <w:szCs w:val="16"/>
        </w:rPr>
        <w:softHyphen/>
        <w:t>равления самоходной артиллерии. Сове</w:t>
      </w:r>
      <w:r w:rsidRPr="001A0BAA">
        <w:rPr>
          <w:rFonts w:ascii="Times New Roman" w:hAnsi="Times New Roman"/>
          <w:color w:val="0070C0"/>
          <w:sz w:val="16"/>
          <w:szCs w:val="16"/>
        </w:rPr>
        <w:softHyphen/>
        <w:t>щание признало, что «электротрансмис</w:t>
      </w:r>
      <w:r w:rsidRPr="001A0BAA">
        <w:rPr>
          <w:rFonts w:ascii="Times New Roman" w:hAnsi="Times New Roman"/>
          <w:color w:val="0070C0"/>
          <w:sz w:val="16"/>
          <w:szCs w:val="16"/>
        </w:rPr>
        <w:softHyphen/>
        <w:t>сия, будучи в целом прогрессивной кон</w:t>
      </w:r>
      <w:r w:rsidRPr="001A0BAA">
        <w:rPr>
          <w:rFonts w:ascii="Times New Roman" w:hAnsi="Times New Roman"/>
          <w:color w:val="0070C0"/>
          <w:sz w:val="16"/>
          <w:szCs w:val="16"/>
        </w:rPr>
        <w:softHyphen/>
        <w:t>струкцией, не является технически раци</w:t>
      </w:r>
      <w:r w:rsidRPr="001A0BAA">
        <w:rPr>
          <w:rFonts w:ascii="Times New Roman" w:hAnsi="Times New Roman"/>
          <w:color w:val="0070C0"/>
          <w:sz w:val="16"/>
          <w:szCs w:val="16"/>
        </w:rPr>
        <w:softHyphen/>
        <w:t>ональной для машин среднего класса и в сравнении с самоходами, имеющими ме</w:t>
      </w:r>
      <w:r w:rsidRPr="001A0BAA">
        <w:rPr>
          <w:rFonts w:ascii="Times New Roman" w:hAnsi="Times New Roman"/>
          <w:color w:val="0070C0"/>
          <w:sz w:val="16"/>
          <w:szCs w:val="16"/>
        </w:rPr>
        <w:softHyphen/>
        <w:t>ханическую трансмиссию, дает значи</w:t>
      </w:r>
      <w:r w:rsidRPr="001A0BAA">
        <w:rPr>
          <w:rFonts w:ascii="Times New Roman" w:hAnsi="Times New Roman"/>
          <w:color w:val="0070C0"/>
          <w:sz w:val="16"/>
          <w:szCs w:val="16"/>
        </w:rPr>
        <w:softHyphen/>
        <w:t>тельное увеличение веса (до 3 т), не оп</w:t>
      </w:r>
      <w:r w:rsidRPr="001A0BAA">
        <w:rPr>
          <w:rFonts w:ascii="Times New Roman" w:hAnsi="Times New Roman"/>
          <w:color w:val="0070C0"/>
          <w:sz w:val="16"/>
          <w:szCs w:val="16"/>
        </w:rPr>
        <w:softHyphen/>
        <w:t>равданное острой необходимостью». И осенью 1944 года все работы по ЭСУ-100 были прекращены (25002).</w:t>
      </w:r>
    </w:p>
    <w:p w14:paraId="431634A1" w14:textId="77777777" w:rsidR="00EC78A0" w:rsidRPr="001A0BAA" w:rsidRDefault="00EC78A0" w:rsidP="00EC78A0">
      <w:pPr>
        <w:spacing w:after="0" w:line="240" w:lineRule="auto"/>
        <w:jc w:val="both"/>
        <w:rPr>
          <w:rFonts w:ascii="Times New Roman" w:hAnsi="Times New Roman"/>
          <w:color w:val="0070C0"/>
          <w:sz w:val="16"/>
          <w:szCs w:val="16"/>
        </w:rPr>
      </w:pPr>
    </w:p>
    <w:p w14:paraId="4907FA0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прототипы послевоенного грузовика ЗИС-150 уже проходили испытания. Испытания же опытных образцов ЗИС-15, разработанных еще перед войной, показали, что для автомобиля, который должен сменить ЗИС-5 на конвейере, мощности двигателя 80 л. с. недостаточно. Поэтому прежде всего в 1943 г. ЗИС начал проектирование новых двигателя и пятиступенчатой коробки передач. Параллельно шла работа над его полноприводной модификацией ЗИС-150П, которая так и не вышла из стадии экспериментов (12098).</w:t>
      </w:r>
    </w:p>
    <w:p w14:paraId="520F782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681E81B" w14:textId="77777777" w:rsidR="00E20115" w:rsidRPr="00070ADE" w:rsidRDefault="00E20115"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года несколько зенитных бронепоездов перебазировалось в Белоруссию, где готовилась наступательная операция «Багратион». 4-й корпус ПВО и 81-я дивизия ПВО, имевшие в своем составе зенитные бронепоезда, прикрывали крупнейшие железнодорожные узлы Гомель, Брянск, Смоленск, Калинковичи. Массированная переброска войск и материальных средств к фронту вызывала живейший интерес немецкой авиации. Только в течение июня было зафиксировано свыше 1500 самолето-пролетов в зоне действия зенитных бронепоездов. Работы для зенитчиков на железнодорожном ходу было хоть отбавляй (15218).</w:t>
      </w:r>
    </w:p>
    <w:p w14:paraId="30B22F86" w14:textId="77777777" w:rsidR="00E20115" w:rsidRPr="00070ADE" w:rsidRDefault="00E20115" w:rsidP="00B56F90">
      <w:pPr>
        <w:spacing w:after="0" w:line="240" w:lineRule="auto"/>
        <w:jc w:val="both"/>
        <w:rPr>
          <w:rFonts w:ascii="Times New Roman" w:hAnsi="Times New Roman"/>
          <w:color w:val="000000" w:themeColor="text1"/>
          <w:sz w:val="16"/>
          <w:szCs w:val="16"/>
        </w:rPr>
      </w:pPr>
    </w:p>
    <w:p w14:paraId="3ED5E7B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с созданием нового катерного ЦКБ-19 проекти</w:t>
      </w:r>
      <w:r w:rsidRPr="00070ADE">
        <w:rPr>
          <w:rFonts w:ascii="Times New Roman" w:hAnsi="Times New Roman"/>
          <w:color w:val="000000" w:themeColor="text1"/>
          <w:sz w:val="16"/>
          <w:szCs w:val="16"/>
        </w:rPr>
        <w:softHyphen/>
        <w:t>рование бронекатеров перешло в его ведение. Работы по проектиро</w:t>
      </w:r>
      <w:r w:rsidRPr="00070ADE">
        <w:rPr>
          <w:rFonts w:ascii="Times New Roman" w:hAnsi="Times New Roman"/>
          <w:color w:val="000000" w:themeColor="text1"/>
          <w:sz w:val="16"/>
          <w:szCs w:val="16"/>
        </w:rPr>
        <w:softHyphen/>
        <w:t>ванию до конца войны завершены не были, и создание этих кораб</w:t>
      </w:r>
      <w:r w:rsidRPr="00070ADE">
        <w:rPr>
          <w:rFonts w:ascii="Times New Roman" w:hAnsi="Times New Roman"/>
          <w:color w:val="000000" w:themeColor="text1"/>
          <w:sz w:val="16"/>
          <w:szCs w:val="16"/>
        </w:rPr>
        <w:softHyphen/>
        <w:t>лей относится уже к послевоенной истории отечественного судо</w:t>
      </w:r>
      <w:r w:rsidRPr="00070ADE">
        <w:rPr>
          <w:rFonts w:ascii="Times New Roman" w:hAnsi="Times New Roman"/>
          <w:color w:val="000000" w:themeColor="text1"/>
          <w:sz w:val="16"/>
          <w:szCs w:val="16"/>
        </w:rPr>
        <w:softHyphen/>
        <w:t>строения (3898).</w:t>
      </w:r>
    </w:p>
    <w:p w14:paraId="2F28497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97A4EA"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4F9E65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A6A85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в 23 ОШАП ЧФ постоянно воевало звено Ил-2Т - со стрелкой, ВЯ сняты и возил 45-36 АН калибра 450 мм, длинна 5450 мм, масса 940 км, высота - 30 м на 320 м. Крепилась на двух трубчатых Г-образных подкосах-упорах (как кронциркуль) - усами наружу, входивших в корпус торпеды пиропатронами. Угол около 10 град (1061,60).</w:t>
      </w:r>
    </w:p>
    <w:p w14:paraId="3695215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2C091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был подготовлен анализ боевых повреждений Ил-2 из состава 1-го, 2-го и 3-го шак, 211-й, 230-й и 335-й шад, а также 6-го гшап, полученных от огня истребителей и зенитной артиллерии противника в ходе боев в период с декабря 1942 г. по апрель 1944 г., показывает, что: 27% всех повреждений Ил-2 приходилось на консоли и центроплан (обшивка, нервюры, лонжероны), 25% - на хвостовое оперение и управление рулями, 20% - на фюзеляж (обшивка, стрингера, шпангоуты), 10% — на элементы конструкции шасси (пирамида, подкосы, цилиндры выпуска), 8% повреждений составляли пробоины лопастей и цилиндра перестановки шага винта, 4% - на мотор, капоты и маслобаки, 3% - на радиаторы, 3% — на кабины летчика и воздушного стрелка и задний бензобак.</w:t>
      </w:r>
    </w:p>
    <w:p w14:paraId="3E65FAC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Около 10% поврежденных самолетов Ил-2 отправлялись в ремонтные органы или списывались ввиду невозможности ремонта. Остальные 90% восстанавливались силами техсостава и полевых авиаремонтных мастерских.</w:t>
      </w:r>
    </w:p>
    <w:p w14:paraId="6952269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 этом боевые повреждения составили 22,2% от общего количества самолето-вылетов, то есть примерно в каждом четвертом-пятом вылете Ил-2 получал повреждение.</w:t>
      </w:r>
    </w:p>
    <w:p w14:paraId="0FA0471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Установлено, что пулевые, снарядные и осколочные повреждения маслорадиатора, мотора, водосистемы, пневматиков колес, системы выпуска и уборки шасси, бензобаков, тяг и тросов системы управления приводили к вынужденным посадкам на своей территории или аварии и поломке при посадке на свой аэродром после возвращения с боевого задания. Все остальные случаи повреждения Ил-2, как правило, приводили к благополучной посадке на свой аэродром.</w:t>
      </w:r>
    </w:p>
    <w:p w14:paraId="12D38F4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Наиболее серьезные повреждения Ил-2 получал от атак истребителей: «Очередь огня, выпущенная истребителем, наносит большие поражения, так как снаряды поражают лонжероны стабилизатора, обшивку и шпангоуты фюзеляжа, лонжероны центроплана, воздушную систему, и в результате самолет требует длительного ремонта или списания, так как получается комплекс повреждений перечисленных частей самолета и его агрегатов». Кроме того, поражались задний верхний бензобак, расширительный бачок, лопасти винта, кабины пилота и воздушного стрелка, а также мотор «через бронекарманы».</w:t>
      </w:r>
    </w:p>
    <w:p w14:paraId="592C556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 огня малокалиберной зенитной артиллерии попадания получали главным образом маслорадиатор, задний и нижний бензобаки, кабина воздушного стрелка, шасси, органы управления самолета, картер и блоки мотора.</w:t>
      </w:r>
    </w:p>
    <w:p w14:paraId="14D657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Поражение штурмовиков Ил-2 огнем зенитных орудий средних калибров достигалось в основном осколками и редко вследствие прямого попадания снаряда.</w:t>
      </w:r>
    </w:p>
    <w:p w14:paraId="7DE66FC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Важно, что повреждения, наносимые самолету зенитным огнем, в отличие от огня истребителей, «характеризуются разрушением только одного какого-нибудь элемента конструкции самолета вдоль его вертикальной оси: фюзеляж, плоскости, центроплан, хвостовое оперение, маслорадиатор, шасси, картер мотора». </w:t>
      </w:r>
      <w:r w:rsidRPr="00070ADE">
        <w:rPr>
          <w:rFonts w:ascii="Times New Roman" w:hAnsi="Times New Roman"/>
          <w:color w:val="000000" w:themeColor="text1"/>
          <w:sz w:val="16"/>
          <w:szCs w:val="16"/>
        </w:rPr>
        <w:lastRenderedPageBreak/>
        <w:t>Повреждения от зенитной артиллерии легко ремонтировались в полевых условиях, так как «в этом случае выходит из строя лишь одна, редко больше, из перечисленных частей самолета или его агрегатов».</w:t>
      </w:r>
    </w:p>
    <w:p w14:paraId="0C5A452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Опыт боевого применения Ил-2 на фронтах показал, что «бронекорпус не защищает от прямого попадания снарядов зенитной артиллерии среднего калибра и ниже высоты 1000 м от снарядов малокалиберной зенитной артиллерии». Пули нормального калибра и «осколки снарядов зенитной артиллерии на любом удалении броню не пробивают», оставляя в ней лишь вмятины.</w:t>
      </w:r>
    </w:p>
    <w:p w14:paraId="7E1C0E1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Вместе с тем при прямом попадании малокалиберного снаряда или крупнокалиберной бронебойной пули броня пробивалась с последующим повреждением деталей мотора и поражением экипажа. Кроме того, имелись случаи пробития крупными осколками зенитных снарядов боковой брони кабины летчика.</w:t>
      </w:r>
    </w:p>
    <w:p w14:paraId="155533D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Оказалось, что уязвимые от огня противника бронедетали имеют недостаточную толщину и, наоборот, отдельные места бронекорпуса либо вовсе не имеют попаданий, либо попадания в них бывают весьма редко и при таких углах и дистанциях стрельбы, которые позволяют значительно уменьшить толщину брони (11921).</w:t>
      </w:r>
    </w:p>
    <w:p w14:paraId="00B199E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86985D0" w14:textId="77777777" w:rsidR="00D70979" w:rsidRPr="00070ADE" w:rsidRDefault="00D70979" w:rsidP="00B56F90">
      <w:pPr>
        <w:pStyle w:val="a3"/>
        <w:rPr>
          <w:color w:val="000000" w:themeColor="text1"/>
          <w:lang w:val="ru-RU"/>
        </w:rPr>
      </w:pPr>
      <w:r w:rsidRPr="00070ADE">
        <w:rPr>
          <w:color w:val="000000" w:themeColor="text1"/>
          <w:lang w:val="ru-RU"/>
        </w:rPr>
        <w:t>Летом 1944 г. был полностью пре</w:t>
      </w:r>
      <w:r w:rsidRPr="00070ADE">
        <w:rPr>
          <w:color w:val="000000" w:themeColor="text1"/>
          <w:lang w:val="ru-RU"/>
        </w:rPr>
        <w:softHyphen/>
        <w:t>кращен серийный выпуск всех вариантов Ю-87, так что к осени в люфтваффе со</w:t>
      </w:r>
      <w:r w:rsidRPr="00070ADE">
        <w:rPr>
          <w:color w:val="000000" w:themeColor="text1"/>
          <w:lang w:val="ru-RU"/>
        </w:rPr>
        <w:softHyphen/>
        <w:t xml:space="preserve">хранилась только одна группа </w:t>
      </w:r>
      <w:r w:rsidRPr="00070ADE">
        <w:rPr>
          <w:color w:val="000000" w:themeColor="text1"/>
        </w:rPr>
        <w:t>III</w:t>
      </w:r>
      <w:r w:rsidRPr="00070ADE">
        <w:rPr>
          <w:color w:val="000000" w:themeColor="text1"/>
          <w:lang w:val="ru-RU"/>
        </w:rPr>
        <w:t>./ЗС2, еще летавшая на Ю870 днем, а также две противотанковые эскадрильи на Ю870 (10.(Рг)/ЗС2 и Ю.(Рг)/5С77). Оставшиеся боеспособные Ю87 перешли в разряд «ночных» штурмовиков. Еще одна противо</w:t>
      </w:r>
      <w:r w:rsidRPr="00070ADE">
        <w:rPr>
          <w:color w:val="000000" w:themeColor="text1"/>
          <w:lang w:val="ru-RU"/>
        </w:rPr>
        <w:softHyphen/>
        <w:t>танковая группа (1\/.(Рг)/8(39) продолжала летать на бронированных «хеншелях». Все остальные штурмовые авиагруппы имели на вооружении уже Р\л/190Р (12733).</w:t>
      </w:r>
    </w:p>
    <w:p w14:paraId="433F4911" w14:textId="77777777" w:rsidR="00D70979" w:rsidRPr="00070ADE" w:rsidRDefault="00D70979" w:rsidP="00B56F90">
      <w:pPr>
        <w:pStyle w:val="a3"/>
        <w:rPr>
          <w:color w:val="000000" w:themeColor="text1"/>
          <w:lang w:val="ru-RU"/>
        </w:rPr>
      </w:pPr>
    </w:p>
    <w:p w14:paraId="3D8CC8B1" w14:textId="77777777" w:rsidR="00BD1A9D" w:rsidRPr="00070ADE" w:rsidRDefault="00BD1A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«Митчеллы» участвова</w:t>
      </w:r>
      <w:r w:rsidRPr="00070ADE">
        <w:rPr>
          <w:rFonts w:ascii="Times New Roman" w:hAnsi="Times New Roman"/>
          <w:color w:val="000000" w:themeColor="text1"/>
          <w:sz w:val="16"/>
          <w:szCs w:val="16"/>
        </w:rPr>
        <w:softHyphen/>
        <w:t>ли в «воздушном мосте» в Словакию. Для бойцов Словацкого национального вос</w:t>
      </w:r>
      <w:r w:rsidRPr="00070ADE">
        <w:rPr>
          <w:rFonts w:ascii="Times New Roman" w:hAnsi="Times New Roman"/>
          <w:color w:val="000000" w:themeColor="text1"/>
          <w:sz w:val="16"/>
          <w:szCs w:val="16"/>
        </w:rPr>
        <w:softHyphen/>
        <w:t>стания доставлялись противотанковые ружья, пулеметы, автоматы, винтовки, взрывчатка и боеприпасы. Ли-2 и С-47 са</w:t>
      </w:r>
      <w:r w:rsidRPr="00070ADE">
        <w:rPr>
          <w:rFonts w:ascii="Times New Roman" w:hAnsi="Times New Roman"/>
          <w:color w:val="000000" w:themeColor="text1"/>
          <w:sz w:val="16"/>
          <w:szCs w:val="16"/>
        </w:rPr>
        <w:softHyphen/>
        <w:t>дились на аэродроме Три Дуба, а В-25 4-й гвардейской дивизии сбрасывали грузы с парашютами. Летали они из Калиновки под Винницей (23513).</w:t>
      </w:r>
    </w:p>
    <w:p w14:paraId="5CFBF87A" w14:textId="77777777" w:rsidR="00BD1A9D" w:rsidRPr="00070ADE" w:rsidRDefault="00BD1A9D" w:rsidP="00B56F90">
      <w:pPr>
        <w:spacing w:after="0" w:line="240" w:lineRule="auto"/>
        <w:jc w:val="both"/>
        <w:rPr>
          <w:rFonts w:ascii="Times New Roman" w:hAnsi="Times New Roman"/>
          <w:color w:val="000000" w:themeColor="text1"/>
          <w:sz w:val="16"/>
          <w:szCs w:val="16"/>
        </w:rPr>
      </w:pPr>
    </w:p>
    <w:p w14:paraId="497859C7" w14:textId="77777777" w:rsidR="00BD1A9D" w:rsidRPr="00070ADE" w:rsidRDefault="00BD1A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дюжина С-47 из 10-й гв. атд перелетела из СССР в итальянский город Бари. Оттуда начала действовать авиагруппа под командованием генерал- майора В.И. Щелкунова. Ее самолеты обес</w:t>
      </w:r>
      <w:r w:rsidRPr="00070ADE">
        <w:rPr>
          <w:rFonts w:ascii="Times New Roman" w:hAnsi="Times New Roman"/>
          <w:color w:val="000000" w:themeColor="text1"/>
          <w:sz w:val="16"/>
          <w:szCs w:val="16"/>
        </w:rPr>
        <w:softHyphen/>
        <w:t>печивали боевую деятельность Народно- освободительной армии Югославии: туда везли боеприпасы, оружие, медикамен</w:t>
      </w:r>
      <w:r w:rsidRPr="00070ADE">
        <w:rPr>
          <w:rFonts w:ascii="Times New Roman" w:hAnsi="Times New Roman"/>
          <w:color w:val="000000" w:themeColor="text1"/>
          <w:sz w:val="16"/>
          <w:szCs w:val="16"/>
        </w:rPr>
        <w:softHyphen/>
        <w:t>ты, обратно — раненых. Из Советского Союза в Бари транспортники доставили четыре разобранных биплана У-2 — их потом передали югославам. Прикрытие осуществляли прибывшие вместе с транс</w:t>
      </w:r>
      <w:r w:rsidRPr="00070ADE">
        <w:rPr>
          <w:rFonts w:ascii="Times New Roman" w:hAnsi="Times New Roman"/>
          <w:color w:val="000000" w:themeColor="text1"/>
          <w:sz w:val="16"/>
          <w:szCs w:val="16"/>
        </w:rPr>
        <w:softHyphen/>
        <w:t>портниками истребители Як-9ДД. 4 июня экипаж А.С. Шорникова вывез из района окруженного немцами города Дрвар юго</w:t>
      </w:r>
      <w:r w:rsidRPr="00070ADE">
        <w:rPr>
          <w:rFonts w:ascii="Times New Roman" w:hAnsi="Times New Roman"/>
          <w:color w:val="000000" w:themeColor="text1"/>
          <w:sz w:val="16"/>
          <w:szCs w:val="16"/>
        </w:rPr>
        <w:softHyphen/>
        <w:t>славский Верховный штаб во главе с мар</w:t>
      </w:r>
      <w:r w:rsidRPr="00070ADE">
        <w:rPr>
          <w:rFonts w:ascii="Times New Roman" w:hAnsi="Times New Roman"/>
          <w:color w:val="000000" w:themeColor="text1"/>
          <w:sz w:val="16"/>
          <w:szCs w:val="16"/>
        </w:rPr>
        <w:softHyphen/>
        <w:t>шалом И. Тито (23513).</w:t>
      </w:r>
    </w:p>
    <w:p w14:paraId="291911FE" w14:textId="77777777" w:rsidR="00BD1A9D" w:rsidRPr="00070ADE" w:rsidRDefault="00BD1A9D" w:rsidP="00B56F90">
      <w:pPr>
        <w:spacing w:after="0" w:line="240" w:lineRule="auto"/>
        <w:jc w:val="both"/>
        <w:rPr>
          <w:rFonts w:ascii="Times New Roman" w:hAnsi="Times New Roman"/>
          <w:color w:val="000000" w:themeColor="text1"/>
          <w:sz w:val="16"/>
          <w:szCs w:val="16"/>
        </w:rPr>
      </w:pPr>
    </w:p>
    <w:p w14:paraId="6DE2E19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326-я бад начала осваивать Ту-2 До этого она являлась дивизией легких ночных бомбардировщиков и летала на У-2 (По-2). 1 июня ее командир получил приказ об отзыве дивизии в тыл для переучивания. Новую технику осваивали в Подмосковье. Дивизия переходила в основном на Пе-2, Ту-2 получил включенный в состав дивизии бывший 6-й дальнебомбардировочный полк, сдавший немногие уцелевшие в боях Ил-4. Ему на аэродроме Малино передали 32 машины. В одной из эскадрилий они были именные - на борту каждого самолета наносилась красная надпись "Москва", окантованная белой полосой. Ниже мелкими буквами было написано "от трудящихся Киевского района" - на их средства в подарок Красной Армии были приобретены бомбардировщики.</w:t>
      </w:r>
    </w:p>
    <w:p w14:paraId="33F49A6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Переучивание не обошлось без происшествий. В июле на взлете вдруг переломился фюзеляж УТу-2 - учебного самолета с двойным управлением. Полеты отменили, приехал сам Туполев. Расследование показало, что от очень интенсивной эксплуатации разболтались соединения. Предписали проверить все самолеты полка, и переучивание возобновилось. 20 августа 1944 г. три девятки Ту-2 6-го бап, которые вел командир дивизии полковник Лебедев, возглавили воздушный парад над Москвой.</w:t>
      </w:r>
    </w:p>
    <w:p w14:paraId="49D4E8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Дивизия завершила свою подготовку 21 октября. Ее отправили в распоряжение 3-й воздушной армии 1-го Прибалтийского фронта. Штаб соединения разместился в Шяуляе. Оттуда же 6-й бап совершил первый боевой вылет на новых машинах 21 декабря 1944 г. Группу повел командир полка подполковник Г.П. Дорохов. Еще на взлете ее постигли неудачи. Один летчик ошибся и его самолет сорвался на крыло и упал. У другого бомбардировщика на небольшой высоте отказал двигатель. Еще два столкнулись в воздухе во время построения. Результат - потеряно четыре самолета, погибли четыре человека. Остальные выполнили задание и без потерь вернулись домой.</w:t>
      </w:r>
    </w:p>
    <w:p w14:paraId="07F379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Последующие вылеты были более удачными. Так, 16 января 1945 г. две девятки Ту-2, ведомые майором Саловым, атаковали Куссен - один из основных опорных пунктов второй линии обороны немцев в Восточной Пруссии. Несмотря на отсутствие истребительного прикрытия, цель была успешно поражена.</w:t>
      </w:r>
    </w:p>
    <w:p w14:paraId="227AC87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А вот 25 января ошибка командира группы прикрытия стала причиной потери двух самолетов. 18 Ту-2, которые опять вел Салов, шли бомбить порт в Либаве (Лиепае). При входе в зону огня зенитной артиллерии сопровождение отошло от бомбардировщиков. И тут на них накинулись немецкие истребители FW 190. Они атаковали группу спереди-снизу. С первого же захода немцы подожгли две машины - капитана Первушина и старшего лейтенанта Трифонова. Первушин дотянул до линии фронта и над своей территорией дал приказ экипажу прыгать. Но спастись удалось ему одному; у стрелка и радиста захлестнулись стропы парашютов, а штурмана при покидании самолета ударило о килевую шайбу. Трифонов на горящей машине сбросил бомбы, а затем направил Ту-2 на скопление немцев. При этом ему в последний момент удалось выбраться из самолета, и он остался жив. Группа Салова частично расквиталась с немцами: по советским данным, стрелки сбили два вражеских истребителя.</w:t>
      </w:r>
    </w:p>
    <w:p w14:paraId="5B69897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6-й бап поддерживал войска, штурмующие Данциг (Гданьск). Так, 27 марта две девятки бомбардировщиков нанесли удар по военно-морской базе. Потерь группа не имела.</w:t>
      </w:r>
    </w:p>
    <w:p w14:paraId="7ACCA82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Поставки Ту-2 ВВС Красной Армии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4D4663" w:rsidRPr="00070ADE" w14:paraId="5D085A7F" w14:textId="77777777">
        <w:tc>
          <w:tcPr>
            <w:tcW w:w="1868" w:type="dxa"/>
            <w:tcBorders>
              <w:top w:val="single" w:sz="12" w:space="0" w:color="auto"/>
            </w:tcBorders>
          </w:tcPr>
          <w:p w14:paraId="185C94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32B6D79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1941</w:t>
            </w:r>
          </w:p>
        </w:tc>
        <w:tc>
          <w:tcPr>
            <w:tcW w:w="1868" w:type="dxa"/>
            <w:tcBorders>
              <w:top w:val="single" w:sz="12" w:space="0" w:color="auto"/>
            </w:tcBorders>
          </w:tcPr>
          <w:p w14:paraId="2B78917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1942</w:t>
            </w:r>
          </w:p>
        </w:tc>
        <w:tc>
          <w:tcPr>
            <w:tcW w:w="1868" w:type="dxa"/>
            <w:tcBorders>
              <w:top w:val="single" w:sz="12" w:space="0" w:color="auto"/>
            </w:tcBorders>
          </w:tcPr>
          <w:p w14:paraId="4B71807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1943</w:t>
            </w:r>
          </w:p>
        </w:tc>
        <w:tc>
          <w:tcPr>
            <w:tcW w:w="1868" w:type="dxa"/>
            <w:tcBorders>
              <w:top w:val="single" w:sz="12" w:space="0" w:color="auto"/>
            </w:tcBorders>
          </w:tcPr>
          <w:p w14:paraId="5C5AF15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1944</w:t>
            </w:r>
          </w:p>
        </w:tc>
        <w:tc>
          <w:tcPr>
            <w:tcW w:w="1868" w:type="dxa"/>
            <w:tcBorders>
              <w:top w:val="single" w:sz="12" w:space="0" w:color="auto"/>
            </w:tcBorders>
          </w:tcPr>
          <w:p w14:paraId="27EA27DF"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1945</w:t>
            </w:r>
          </w:p>
        </w:tc>
      </w:tr>
      <w:tr w:rsidR="004D4663" w:rsidRPr="00070ADE" w14:paraId="3941D0EF" w14:textId="77777777">
        <w:tc>
          <w:tcPr>
            <w:tcW w:w="1868" w:type="dxa"/>
          </w:tcPr>
          <w:p w14:paraId="248494B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План</w:t>
            </w:r>
          </w:p>
        </w:tc>
        <w:tc>
          <w:tcPr>
            <w:tcW w:w="1868" w:type="dxa"/>
          </w:tcPr>
          <w:p w14:paraId="0D4A6E3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24</w:t>
            </w:r>
          </w:p>
        </w:tc>
        <w:tc>
          <w:tcPr>
            <w:tcW w:w="1868" w:type="dxa"/>
          </w:tcPr>
          <w:p w14:paraId="7B72711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w:t>
            </w:r>
          </w:p>
        </w:tc>
        <w:tc>
          <w:tcPr>
            <w:tcW w:w="1868" w:type="dxa"/>
          </w:tcPr>
          <w:p w14:paraId="7068918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32</w:t>
            </w:r>
          </w:p>
        </w:tc>
        <w:tc>
          <w:tcPr>
            <w:tcW w:w="1868" w:type="dxa"/>
          </w:tcPr>
          <w:p w14:paraId="76A31DA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453</w:t>
            </w:r>
          </w:p>
        </w:tc>
        <w:tc>
          <w:tcPr>
            <w:tcW w:w="1868" w:type="dxa"/>
          </w:tcPr>
          <w:p w14:paraId="6AB4E854"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900</w:t>
            </w:r>
          </w:p>
        </w:tc>
      </w:tr>
      <w:tr w:rsidR="004D4663" w:rsidRPr="00070ADE" w14:paraId="40CDF0A6" w14:textId="77777777">
        <w:tc>
          <w:tcPr>
            <w:tcW w:w="1868" w:type="dxa"/>
            <w:tcBorders>
              <w:bottom w:val="single" w:sz="12" w:space="0" w:color="auto"/>
            </w:tcBorders>
          </w:tcPr>
          <w:p w14:paraId="2CF9225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Фактически</w:t>
            </w:r>
          </w:p>
        </w:tc>
        <w:tc>
          <w:tcPr>
            <w:tcW w:w="1868" w:type="dxa"/>
            <w:tcBorders>
              <w:bottom w:val="single" w:sz="12" w:space="0" w:color="auto"/>
            </w:tcBorders>
          </w:tcPr>
          <w:p w14:paraId="6CA62775"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0</w:t>
            </w:r>
          </w:p>
        </w:tc>
        <w:tc>
          <w:tcPr>
            <w:tcW w:w="1868" w:type="dxa"/>
            <w:tcBorders>
              <w:bottom w:val="single" w:sz="12" w:space="0" w:color="auto"/>
            </w:tcBorders>
          </w:tcPr>
          <w:p w14:paraId="3D44AFE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79</w:t>
            </w:r>
          </w:p>
        </w:tc>
        <w:tc>
          <w:tcPr>
            <w:tcW w:w="1868" w:type="dxa"/>
            <w:tcBorders>
              <w:bottom w:val="single" w:sz="12" w:space="0" w:color="auto"/>
            </w:tcBorders>
          </w:tcPr>
          <w:p w14:paraId="0F1C5F0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w:t>
            </w:r>
          </w:p>
        </w:tc>
        <w:tc>
          <w:tcPr>
            <w:tcW w:w="1868" w:type="dxa"/>
            <w:tcBorders>
              <w:bottom w:val="single" w:sz="12" w:space="0" w:color="auto"/>
            </w:tcBorders>
          </w:tcPr>
          <w:p w14:paraId="4E762E9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378</w:t>
            </w:r>
          </w:p>
        </w:tc>
        <w:tc>
          <w:tcPr>
            <w:tcW w:w="1868" w:type="dxa"/>
            <w:tcBorders>
              <w:bottom w:val="single" w:sz="12" w:space="0" w:color="auto"/>
            </w:tcBorders>
          </w:tcPr>
          <w:p w14:paraId="26E52BC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709</w:t>
            </w:r>
          </w:p>
        </w:tc>
      </w:tr>
    </w:tbl>
    <w:p w14:paraId="3795EB5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(11988).</w:t>
      </w:r>
    </w:p>
    <w:p w14:paraId="0D725D0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7768532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воздушные бои над Бе</w:t>
      </w:r>
      <w:r w:rsidRPr="00070ADE">
        <w:rPr>
          <w:rFonts w:ascii="Times New Roman" w:hAnsi="Times New Roman"/>
          <w:color w:val="000000" w:themeColor="text1"/>
          <w:sz w:val="16"/>
          <w:szCs w:val="16"/>
        </w:rPr>
        <w:softHyphen/>
        <w:t>лоруссией стали ожесточенными. Французским летчикам довелось участвовать в одной из крупнейших насту</w:t>
      </w:r>
      <w:r w:rsidRPr="00070ADE">
        <w:rPr>
          <w:rFonts w:ascii="Times New Roman" w:hAnsi="Times New Roman"/>
          <w:color w:val="000000" w:themeColor="text1"/>
          <w:sz w:val="16"/>
          <w:szCs w:val="16"/>
        </w:rPr>
        <w:softHyphen/>
        <w:t>пательных операций Красной Армии, получившей название “Багратион” (3956).</w:t>
      </w:r>
    </w:p>
    <w:p w14:paraId="784BB99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1ACF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года двенадцать С-47 перелетели с территории СССР в итальянский город Бари. Оттуда начала действовать авиагруппа под командованием генерал-майора. Ее самолеты обеспечивали связь с Народно-освободительной армией Югославии: туда везли боеприпасы, оружие, медикаменты, обратно - раненых. Из Советского Союза в Бари транспортники доставили четыре разобранных У-2 - их потом передали югославам (3457,135).</w:t>
      </w:r>
    </w:p>
    <w:p w14:paraId="7BA313D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3CD8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года для советских ВВС к заявках но IV, последнему, протоколу о союзных поставках попросили 300 В-24 (3457,116).</w:t>
      </w:r>
    </w:p>
    <w:p w14:paraId="4B3F06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DFAA6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года B-25 "Митчеллы" участвовали в "воздушном мосте" в Словакию. Для бойцов Словацкого национального восстания доставлялись противотанковые ружья, пулеметы, автоматы, винтовки, взрывчатка и боеприпасы. Ли-2 и С-47 садились на аэродроме Три Дуба, а В-25 4-й гвардейской дивизии (бывшей 222-й) сбрасывали грузы с парашютами. Летали они из Калиновки под Винницей (3457,94).</w:t>
      </w:r>
    </w:p>
    <w:p w14:paraId="5E9913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8DE66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командование войск СС планировало нанести удар V-1 по Ленинграду, Москве, Куйбышеву, Челябинску, Магнитогорску (1227,21).</w:t>
      </w:r>
    </w:p>
    <w:p w14:paraId="2BCD9DA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267A3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года во время операции "Багратион" впервые были широко применены новые тяжелые самоходные установки. Для проведения прорыва Красная Армия сосредоточила огромное количество тяжелой бронетехники, в том числе не менее 14 гвардейских полков самоходной артиллерии. Главный удар был нанесен в направлении Минска. На этом участке фронта действовали три полка из 5-й Армии и два из 49-й армии. Полки самоходной артиллерии особенно отличились в боях за Полоцк и Витебск. Восемь полков получили почетные названия в честь освобожденных городов, три полка были награждены орденом Боевого Красного Знамени, а три - орденом Красной Звезды. ИСУ-122 и ИСУ-152 вскоре заслужили славу грозного противника немецких "Тигров". Эта репутация была подкреплена делом, например, из 12 "Тигров", потерянных 502-м PzAbt летом 1944 года в Белоруссии и Прибалтике, половина была на счету ИСУ-122 и ИСУ-152..</w:t>
      </w:r>
    </w:p>
    <w:p w14:paraId="012A982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Тяжелые самоходно-артиллерийские полки, приданные танковым и стрелковым частям и соединениям, в первую очередь использовались для поддержки пехоты и танков в наступлении. Следуя в их боевых порядках, САУ уничтожали огневые точки противника и обеспечивали пехоте и танкам успешное продвижение. В этой фазе наступления САУ становились одним из основных средств отражения танковых контратак. В ряде случаев им приходилось выдвигаться вперед боевых порядков своих войск и принимать удар на себя, обеспечивая тем самым свободу маневра поддерживаемых танков. (3862).</w:t>
      </w:r>
    </w:p>
    <w:p w14:paraId="5A1C98D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1F52AF" w14:textId="77777777" w:rsidR="00801247" w:rsidRPr="00070ADE" w:rsidRDefault="00801247" w:rsidP="00B56F90">
      <w:pPr>
        <w:pStyle w:val="ae"/>
        <w:shd w:val="clear" w:color="auto" w:fill="FFFFFF"/>
        <w:spacing w:before="0" w:after="0"/>
        <w:jc w:val="both"/>
        <w:rPr>
          <w:color w:val="000000" w:themeColor="text1"/>
          <w:sz w:val="16"/>
          <w:szCs w:val="16"/>
        </w:rPr>
      </w:pPr>
      <w:r w:rsidRPr="00070ADE">
        <w:rPr>
          <w:color w:val="000000" w:themeColor="text1"/>
          <w:sz w:val="16"/>
          <w:szCs w:val="16"/>
        </w:rPr>
        <w:t xml:space="preserve">Летом 1944 года трофейные «Пантеры» применялись наиболее массово. Например, в составе 51-го отдельного мотоциклетного полка имелась рота трофейных тяжёлых танков, на вооружении которой находились 5 «Тигров» и 2 «Пантеры». К началу Львовско-Сандомирской операции в строю здесь оставалась всего одна </w:t>
      </w:r>
      <w:r w:rsidRPr="00070ADE">
        <w:rPr>
          <w:color w:val="000000" w:themeColor="text1"/>
          <w:sz w:val="16"/>
          <w:szCs w:val="16"/>
        </w:rPr>
        <w:lastRenderedPageBreak/>
        <w:t>«Пантера», причём она требовала ремонта. В состоянии «среднего ремонта» немецкая машина находилась весь июль, продолжая при этом участвовать в боевых действиях. Подобная ситуация не являлась уникальной: из других частей 1-го Украинского фронта, в которых имелись подобные танки, постоянно поступали жалобы на скверное техническое состояние «Пантер».</w:t>
      </w:r>
    </w:p>
    <w:p w14:paraId="4AB3D0D3" w14:textId="77777777" w:rsidR="00801247" w:rsidRPr="00070ADE" w:rsidRDefault="00801247" w:rsidP="00B56F90">
      <w:pPr>
        <w:pStyle w:val="ae"/>
        <w:shd w:val="clear" w:color="auto" w:fill="FFFFFF"/>
        <w:spacing w:before="0" w:after="0"/>
        <w:jc w:val="both"/>
        <w:rPr>
          <w:color w:val="000000" w:themeColor="text1"/>
          <w:sz w:val="16"/>
          <w:szCs w:val="16"/>
        </w:rPr>
      </w:pPr>
      <w:r w:rsidRPr="00070ADE">
        <w:rPr>
          <w:color w:val="000000" w:themeColor="text1"/>
          <w:sz w:val="16"/>
          <w:szCs w:val="16"/>
        </w:rPr>
        <w:t>Применялись трофейные немецкие машины и частями 8-го гвардейского танкового корпуса. 18 августа 1944 года 59-й гвардейской танковой бригадой в районе Ясеницы (Польша) было захвачено 3 Pz.Kpfw. Panther Ausf.A, входивших в состав 5-й танковой дивизии СС «Викинг». На следующий день танки были переданы в состав 62-го гвардейского тяжёлого танкового полка. К тому моменту в составе полка имелось 11 ИС-2. Немецкие танки вошли в состав роты под командованием младшего лейтенанта Сотникова и получили характерные эмблемы 62 гв. ттп (17729).</w:t>
      </w:r>
    </w:p>
    <w:p w14:paraId="6F5F12E7" w14:textId="77777777" w:rsidR="00801247" w:rsidRPr="00070ADE" w:rsidRDefault="00801247" w:rsidP="00B56F90">
      <w:pPr>
        <w:pStyle w:val="123"/>
        <w:shd w:val="clear" w:color="auto" w:fill="auto"/>
        <w:spacing w:after="0" w:line="240" w:lineRule="auto"/>
        <w:jc w:val="both"/>
        <w:rPr>
          <w:color w:val="000000" w:themeColor="text1"/>
          <w:sz w:val="16"/>
          <w:szCs w:val="16"/>
        </w:rPr>
      </w:pPr>
    </w:p>
    <w:p w14:paraId="69F507B2" w14:textId="77777777" w:rsidR="00BD1A9D" w:rsidRPr="00070ADE" w:rsidRDefault="00BD1A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лета 1944 года Т-60 активно применялись под Ленинградом. Среди танков, что здесь использовались, немалый процент составляли свердловские машины. Естественно, применяли их вынужденно, но лишних танков не бывает. К слову, уже в начале 1943 года на Волховском фронте свердловские Т-60 повстречались со своими сменщиками. С конца декабря 1942 года на бывшем заводе №37 началась сборка самоходных артиллерийских установок СУ-35 (СУ-122). Так сложилось, что их боевой дебют состоялся на Волховском фронте. Это к вопросу, что всему своё время. В начале 1942 года завод №37 мог выпускать только "малышей", но постепенно возможности завода увеличились. А сразу, как известно, только кошки родятся.</w:t>
      </w:r>
    </w:p>
    <w:p w14:paraId="78351A7E" w14:textId="77777777" w:rsidR="00BD1A9D" w:rsidRPr="00070ADE" w:rsidRDefault="00BD1A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"чистом" виде, увы, ни одного Т-60 завода №37 не сохранилось. Вместе с тем, характерные башни со скосом впереди нет-нет, да попадаются на танках, собранных их кусков. Конечно, шасси у этих машин не "свердловские", но лучше хотя бы так. Возможно, что в будущем найдется и подходящий корпус (23355).</w:t>
      </w:r>
    </w:p>
    <w:p w14:paraId="28464405" w14:textId="77777777" w:rsidR="00BD1A9D" w:rsidRPr="00070ADE" w:rsidRDefault="00BD1A9D" w:rsidP="00B56F90">
      <w:pPr>
        <w:spacing w:after="0" w:line="240" w:lineRule="auto"/>
        <w:jc w:val="both"/>
        <w:rPr>
          <w:rFonts w:ascii="Times New Roman" w:hAnsi="Times New Roman"/>
          <w:color w:val="000000" w:themeColor="text1"/>
          <w:sz w:val="16"/>
          <w:szCs w:val="16"/>
        </w:rPr>
      </w:pPr>
    </w:p>
    <w:p w14:paraId="2D65297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лета 1944 г. началось массовое применение на полях сражений РБС-82 (8270).</w:t>
      </w:r>
    </w:p>
    <w:p w14:paraId="1CF4BC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7421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года в 6-м гвардейском иап авиации ВМФ, по предложению техника по фотооборудованию Комарова, вместо одной фотокамеры на Як-9Р установили два АФА-ИМ в грузовом отсеке, что позволило вдвое увеличить угол захвата местности при фотосъемке. Доработку разведчика выполнили в передвижных авиаремонтных мастерских (ПАРМ) и с успехом использовали машину на фронте (12046).</w:t>
      </w:r>
    </w:p>
    <w:p w14:paraId="6FB049B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5909FDE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был прекращен серийный выпуск всех вариантов Ju87, так что к осени в люфтваффе сохранилась только одна группа III./SG2, еще летавшая на Ju87D днем, а также две противотанковые эскадрильи на Ju87G -10.(Pz)/SG2 и 10.(Pz)/SG77. Оставшиеся боеспособные Ju87 перешли в разряд "ночных" штурмовиков. IV. (Pz)/ SG9 продолжала летать на бронированных "хеншелях". Все остальные штурмовые авиагруппы имели на вооружении Fwl90F.</w:t>
      </w:r>
    </w:p>
    <w:p w14:paraId="6F5F495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Надо признать, ставка люфтваффе на ударные варианты "сто девяностого" не оправдалась. Все штурмовые варианты "фокке-вульфа" оказались все же неэффективными в бою.</w:t>
      </w:r>
    </w:p>
    <w:p w14:paraId="358D32B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Плохой обзор вперед-вниз и отсутствие нормального бомбардировочного прицела не позволяли точно бомбить, а возросший полетный вес и ухудшенная аэродинамика (даже без бомб) - на равных противостоять советским истребителям.</w:t>
      </w:r>
    </w:p>
    <w:p w14:paraId="04DFABF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Расчеты показывают (использовались все имеющиеся в распоряжении авторов данные по испытаниям модификаций Fwl90F - НИИ ВВС КА, ЛИИ НКАП и английские), что максимальная скорость Fwl90F на малых и предельно малых высотах с бомбовой нагрузкой практически должна была быть около 403 км/ч (а не 480 км/ч, как утверждается в ряде зарубежных и отечественных публикациях). То есть примерно совпадала с максимальной скоростью полета одноместного Ил-2 АМ-38 без PC и с 400 кг бомб на внутренней подвеске и примерно на 50-70 км/ ч была меньше, чем у Ил-10 АМ-42 без PC и с наружной подвеской 2-х ФАБ-250.</w:t>
      </w:r>
    </w:p>
    <w:p w14:paraId="13D4E48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Последнее, в сочетании с явно недостаточным бронированием (защиту, примерно равную защите советского Ил-2, немецкая гомогенная броня могла обеспечить лишь при суммарном весе бронедеталей на самолете в 1000-1200 кг), определяло и большие потери Fwl90F от наземного огня.</w:t>
      </w:r>
    </w:p>
    <w:p w14:paraId="694F8839"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Летчик спереди-снизу в секторе примерно 20°, а также с боков не был защищен даже от пуль нормального калибра и лишь частично защищался бензобаками - снизу и с боков. Снизу и снизу-сзади летчик не имел защиты от пуль калибра 12,7 мм. Угловая защищенность летчика сзади также весьма незначительна: туловище - в пределах ± 15-20° в горизонтальной плоскости, голова и плечи защищены только по полету.</w:t>
      </w:r>
    </w:p>
    <w:p w14:paraId="2B29DE9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Утверждения авторов некоторых публикаций о том, что лобовое бронестекло фонаря кабины пилота Fwl90 в типовых условиях боев того времени выдерживало попадания пуль калибра 12,7 мм, на самом деле действительности не соответствует. Как показали полигонные испытания, немецкое бронестекло толщиной 60 мм выдерживало удар пули нормального калибра с дистанции 100 м только под углами к нормали не менее 40°, не говоря уже о крупнокалиберных пулях к пулемету УБ...</w:t>
      </w:r>
    </w:p>
    <w:p w14:paraId="004DA95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Слабой была защита маслорадиатора, кольцевого маслобака и вентилятора, автоматически регулирующего температуру головок цилиндров мотора и масла, при обстреле пулями нормального калибра спереди снизу, сверху и сбоку. Их поражение с высокой вероятностью приводило к выходу из строя мотора, то есть главное преимущество мотора воздушного охлаждения теряло смысл.</w:t>
      </w:r>
    </w:p>
    <w:p w14:paraId="3E67327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рекомендациях летчикам строевых частей по ведению воздушного боя с "фокке-вульфами" в качестве наиболее уязвимых мест немецкой машины указывались: кабина пилота, протектированные, но не имеющие бронирования бензобаки и вентилятор.</w:t>
      </w:r>
    </w:p>
    <w:p w14:paraId="18071B3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 в книге "Тактика истребительной авиации", изданной Управлением ВВС КА в 1943 г., отмечалось: "Уязвимой является передняя часть капота мотора, где расположены маслобак и маслорадиатор. В передней же части кольца "НАКА" работает на очень больших оборотах вентилятор, подающий воздух для принудительного охлаждения мотора. Вывод из строя маслосистемы или вентилятора неизбежно приводит к сгоранию или заклинению мотора".</w:t>
      </w:r>
    </w:p>
    <w:p w14:paraId="63AB6F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Единственное спасение "фокке-вульфов" от огня зенитных средств и истребителей Красной Армии могло быть только за счет использования хороших разгонных характеристик машины на снижении. Что, собственно говоря, немцы и делали.</w:t>
      </w:r>
    </w:p>
    <w:p w14:paraId="42DA063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Собственно говоря, немцы на Fwl90F вынуждены были прибегать к тактике действий с бреющего полета, от которой в силу известных причин штурмовики Ил-2 отказались с весны 1942 г. И это при условии, что Ил-2 был лучше бронирован, располагал большим арсеналом средств поражения, имел лучшие маневренные характеристики у земли и примерно одинаковую с немецкими штурмовиками скорость полета.</w:t>
      </w:r>
    </w:p>
    <w:p w14:paraId="412E12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Всякие басни об успехе топмачтового способа бомбометания по танкам не выдерживают никакой критики. Прежде всего, размеры морских целей намного превышали размеры танков, что позволяло уверенно поражать корабли. Кроме того, корабли были практически неманеврирующей целью, что нельзя сказать о танках. Топмачтовое бомбометание, как правило, осуществлялось в тех случаях, когда море было спокойным (в штиль). Водная поверхность для авиабомб была абсолютно несжимаемой и обладала стабильными рикошетирующими свойствами. На суше подстилающая поверхность в большинстве случаев не была гладкой и имела неравномерную плотность, что давало совершенно непредсказуемые рикошетирующие эффекты.</w:t>
      </w:r>
    </w:p>
    <w:p w14:paraId="1F7B1A4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Применительно к сложившимся условиям боевого применения Fwl90F в завершающий период войны вероятность боевого успеха одиночного "фоккера" в одном боевом вылете при поражении советской техники составляла: легких танков всех типов - около 0,05, бронемашины - 0,16, автомашины - 0,24, артиллерия на позиции -0,08, переправы (наплавной мост типа ТПМ) - 0,006.</w:t>
      </w:r>
    </w:p>
    <w:p w14:paraId="50AC649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Учитывая резкое увеличение плотности войск Красной Армии в наступательных операциях завершающего периода войны (до 60-70 танков и САУ и 200-250 орудий и минометов на 1 км фронта), пилоты штурмовой авиации люфтваффе в типовых условиях боев при отражении атаки советских войск при самом лучшем раскладе могли уничтожить не более 0,5-0,6% целей на поле боя. Очевидно, что такая эффективность действий немецких штурмовиков совершенно не обеспечивала устойчивость обороны войск вермахта. Красная Армия вышла на оперативный простор, и теперь "положительная обратная связь" работала на красноармейцев в полную силу - солдаты вермахта несли потери значительно большие, чем советские войска, а немецкому командованию не удавалось парировать удары своего противника...</w:t>
      </w:r>
    </w:p>
    <w:p w14:paraId="009C01A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Отметим, что на снижение эффективности непосредственной авиационной поддержки войск вермахта сильно повлияло завоевание ВВС Красной Армии с лета 1943 г. стратегического господства в воздухе, в результате чего штурмовики люфтваффе утратили всякую инициативу действий в воздухе над полем боя.</w:t>
      </w:r>
    </w:p>
    <w:p w14:paraId="7BF7FC6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Таким образом, весь ход боевых действий на восточном фронте показывает, что люфтваффе ни к началу войны, ни в течение войны не имели не только хорошего противотанкового самолета, но и приличной штурмовой машины для действий на поле боя. Немецкая концепция построения боевых сил авиации непосредственной поддержки войск в условиях затяжной войны "по науке" оказалась не состоятельной...(9084).</w:t>
      </w:r>
    </w:p>
    <w:p w14:paraId="739A864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1E6A9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войска Карельского фронта готовились к крупномасштабному наступлению, которое должно было начаться с форсирования реки. Одна из самых серьезных трудностей состояла в том, что уровень воды в Свири регулировался плотиной электростанции. Выше плотины образовалось широкое и глубокое водохранилище, а преодоление реки ниже плотины практически исключалось: противник в любой момент мог открыть затворы и затопить долину. В конечном итоге решили наступать выше плотины, но для этого надо было разрушить её до 21 июня - назначенного срока начала наступления. Для решения этой задачи командование авиации КБФ сформировало специальную оперативную группу из торпедоносцев, топ-мачтовиков, штурмовиков и истребителей - всего 55 самолетов, куда входило и пятерка «Илов». Подготовкой группы и проведением удара руководил лично Борзов. Подготовка к удару предусматривала тренировки на полигоне в прицельном бомбометании. Всего на полигоне было выполнено 38 тренировочных самолето-вылетов, сброшено 160 бомб. В целях скрытности конкретная задача была поставлена экипажам лишь за сутки до вылета. Экипажи были ознакомлены с общей обстановкой, расположением линии фронта, составом и размещением сил ПВО противника, сведениями о запасных аэродромах и наземных средствах обеспечения самолетовождения. Авиационное прикрытие обеспечивалось своими силами, а также истребителями воздушной армии (9965).</w:t>
      </w:r>
    </w:p>
    <w:p w14:paraId="4BEB4AF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1CA7BD19"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Внешняя политика:</w:t>
      </w:r>
    </w:p>
    <w:p w14:paraId="6A0E39F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D31A1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года неизвестный принес в советское генконсульство пакет на имя посла А. А. Громыко. При вскрытии оказалось, что в нем находятся совершенно секретные материалы по проекту «Энормоз». Установить неизвестного не удалось. Центр, получивший эти материалы, оценил их как «исключительно интересные», однако отчитал резидентуру за то, что она не приняла мер по установлению контакта с этим лицом.</w:t>
      </w:r>
    </w:p>
    <w:p w14:paraId="439DB2C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1944 году Д. Маклин (Гомер) занял пост первого секретаря посольства Великобритании в США и смог получить доступ ко всей информации, которой они обменивались с американцами по данной тематике (Тарасов И. Важные вопросы мы решаем на балконе // Бизнес и безопасность. — 1997. — № 4.) (11765).</w:t>
      </w:r>
    </w:p>
    <w:p w14:paraId="13DFAFB8"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0764E743"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За рубежом:</w:t>
      </w:r>
    </w:p>
    <w:p w14:paraId="4508986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CBA7EB" w14:textId="22B0FA6B"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1941 года Известная своими артиллерийскими орудиями германская фирма «Рейнметалл-Борзиг» предложила управлению вооружений вермахта концептуальный проект серии многоступенчатых твердотопливных ракет с дальностью полета 120 км. При этом в зависимости от модификации вес боевого заряда ракеты мог составлять 250, 500 или 1000 кг. Из-за чрезвычайно большого расхода пороха (2800 кг на каждую ракету) фирме было предложено ограничить вес боевой части 40 килограммами, увеличив при этом дальность до 200 км.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Проектирование и изготовление опытных образцов ракеты завершилось в очень короткие сроки: уже в ноябре 1941 года на полигоне Леба в Померании были начаты пуски опытных образцов ракет с разным числом ступеней. По результатам испытаний оптимальным оказался вариант четырехступенчатой ракеты длиной 8925 мм. Но ее дальность составляла всего 90 км, поэтому она была переконструирована с целью обеспечения дальности 160 км. Ракета получила фирменное обозначение RhZ61, а ее модификация с увеличенным с 30 до 40 кг боевым зарядом - RhZ61/9. В этом окончательном варианте ракета имела длину 11 400 мм и весила 1715 кг. Диаметр первой ступени составлял 535 мм, за ней следовали две ступени диаметром 268 мм, а несущая боевой заряд четвертая имела диаметр 190 мм. Твердотопливные ракетные двигатели всех четырех ступеней содержали 585 кг пороха, после сгорания которого ракета развивала скорость полета 1520 м/сек.</w:t>
      </w:r>
    </w:p>
    <w:p w14:paraId="20F5CFEB"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Запуск ракеты осуществлялся под утлом примерно 64° к горизонту с мобильной пусковой установки. После достижения высоты около 70 000 м ракета падала на удаленную на 200 км цель под углом до 52°. Полетное время составляло до 260 секунд. В результате взрыва ракеты в грунте средней прочности обычно образовывалась воронка глубиной примерно 1,5 м и диаметром 4 м. Такой результат считался недостаточно высоким, поэтому для повышения поражающего воздействия было решено не разделять третью и четвертую ступени.</w:t>
      </w:r>
    </w:p>
    <w:p w14:paraId="1136336E"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Из-за отсутствия на ракете системы управления невысокой была и ее точность. В декабре 1944 года на максимальную дальность было запущено 12 ракет, при этом среднее отклонение от точки прицеливания составляло 6 км.</w:t>
      </w:r>
    </w:p>
    <w:p w14:paraId="675FBA42"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Однако важным достоинством ракеты считалась ее простота и относительно невысокая стоимость. Для изготовления одной ракеты требовалось всего 132 человеко-часа.</w:t>
      </w:r>
    </w:p>
    <w:p w14:paraId="5E7951C3"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Фирма «Рейнметалл-Борзиг» получила заказ на изготовление первых 300 ракет, а для их боевого применения в конце 1944 года был сформирован 709-й отдельный артиллерийский дивизион с численностью личного состава 460 солдат и офицеров. С декабря до середины января 1945 года дивизион запустил около 70 ракет «Рейнботе» по портовым сооружениям Антверпена, через который шел основной поток снабжения войск англо-американских союзников. Какие-либо заметные результаты обстрела отмечены не были, поэтому дальнейшие заказы на производство этой ракеты не выдавались. Работы по ее совершенствованию были прекращены с окончанием войны (15139).</w:t>
      </w:r>
    </w:p>
    <w:p w14:paraId="6F42933C" w14:textId="77777777" w:rsidR="001444FD" w:rsidRPr="00070ADE" w:rsidRDefault="001444FD" w:rsidP="00B56F90">
      <w:pPr>
        <w:spacing w:after="0" w:line="240" w:lineRule="auto"/>
        <w:jc w:val="both"/>
        <w:rPr>
          <w:rFonts w:ascii="Times New Roman" w:hAnsi="Times New Roman"/>
          <w:color w:val="000000" w:themeColor="text1"/>
          <w:sz w:val="16"/>
          <w:szCs w:val="16"/>
        </w:rPr>
      </w:pPr>
    </w:p>
    <w:p w14:paraId="68174620" w14:textId="77777777" w:rsidR="0089327F" w:rsidRPr="00070ADE" w:rsidRDefault="0089327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была основана Бахем верке АГ для реализации идеи Э.Бахема по вертикально взлетающему одноразовому реактивному истребителю-перехватчику. Идея была поддержана Г.Герингом (1118,26).</w:t>
      </w:r>
    </w:p>
    <w:p w14:paraId="5FEA3807" w14:textId="77777777" w:rsidR="0089327F" w:rsidRPr="00070ADE" w:rsidRDefault="0089327F"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744ECB" w14:textId="77777777" w:rsidR="0004034B" w:rsidRPr="00070ADE" w:rsidRDefault="000403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после начала ударов «Фау-1», Лондон покинуло почти полтора миллиона лондонцев (19629).</w:t>
      </w:r>
    </w:p>
    <w:p w14:paraId="03FF8AF4" w14:textId="77777777" w:rsidR="0004034B" w:rsidRPr="00070ADE" w:rsidRDefault="0004034B" w:rsidP="00B56F90">
      <w:pPr>
        <w:spacing w:after="0" w:line="240" w:lineRule="auto"/>
        <w:jc w:val="both"/>
        <w:rPr>
          <w:rFonts w:ascii="Times New Roman" w:hAnsi="Times New Roman"/>
          <w:color w:val="000000" w:themeColor="text1"/>
          <w:sz w:val="16"/>
          <w:szCs w:val="16"/>
        </w:rPr>
      </w:pPr>
    </w:p>
    <w:p w14:paraId="7D8277DF" w14:textId="77777777" w:rsidR="0004034B" w:rsidRPr="00070ADE" w:rsidRDefault="000403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бри</w:t>
      </w:r>
      <w:r w:rsidRPr="00070ADE">
        <w:rPr>
          <w:rFonts w:ascii="Times New Roman" w:hAnsi="Times New Roman"/>
          <w:color w:val="000000" w:themeColor="text1"/>
          <w:sz w:val="16"/>
          <w:szCs w:val="16"/>
        </w:rPr>
        <w:softHyphen/>
        <w:t>танское командование ВВС разработало план операции «Удар грома». Речь шла о серии массированных налетов на крупные германские города, проводившихся в течение трех дней и трех ночей. По разным причинам срок операции неоднократно переносили. Формально «Удар грома» должен был подавить волю германского народа к сопротивлению. Однако уже к концу 1944 г. союзники убедились в спокойствии германского населения, которое не только выдерживало стратегические бомбардировки, но и восстанавливало повреждения. Было ясно, что никакие «удары грома» здесь не помогут.</w:t>
      </w:r>
    </w:p>
    <w:p w14:paraId="113D9FEC" w14:textId="77777777" w:rsidR="0004034B" w:rsidRPr="00070ADE" w:rsidRDefault="000403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у Черчилля был и другой расчет. 4 - 11 февраля 1945 г. в Ялте проходила Крымская конференция с участием Сталина, Рузвельта и Черчилля. Британскому премьеру очень хотелось произвести впечатление на Сталина, уничтожив «Ударом грома» один из германских городов. в начале января вышли к Одеру. Правда, погода подвела Черчилля, и бомбардировка Дрездена произошла уже после окончания конференции.</w:t>
      </w:r>
    </w:p>
    <w:p w14:paraId="042CE898" w14:textId="77777777" w:rsidR="0004034B" w:rsidRPr="00070ADE" w:rsidRDefault="000403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Позже англичане будут говорить о том, что разбомбить Дрезден их просил Сталин на Ялтинской конференции. Однако ни Сталин, ни иной советский военачальник не обращался к союзникам с такой просьбой.</w:t>
      </w:r>
    </w:p>
    <w:p w14:paraId="49E3CA1D" w14:textId="77777777" w:rsidR="0004034B" w:rsidRPr="00070ADE" w:rsidRDefault="000403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Мало того, подобная «помощь» Красной армии не требо</w:t>
      </w:r>
      <w:r w:rsidRPr="00070ADE">
        <w:rPr>
          <w:rFonts w:ascii="Times New Roman" w:hAnsi="Times New Roman"/>
          <w:color w:val="000000" w:themeColor="text1"/>
          <w:sz w:val="16"/>
          <w:szCs w:val="16"/>
        </w:rPr>
        <w:softHyphen/>
        <w:t>валась. Сообщение из из Ставки Верховного командования от 15 февраля 1945 г. гласило: «Три танковых корпуса маршала Конева совершили глубокий прорыв в направлении Дрездена и погнали впереди себя от 10 до 16 разбитых немецких диви</w:t>
      </w:r>
      <w:r w:rsidRPr="00070ADE">
        <w:rPr>
          <w:rFonts w:ascii="Times New Roman" w:hAnsi="Times New Roman"/>
          <w:color w:val="000000" w:themeColor="text1"/>
          <w:sz w:val="16"/>
          <w:szCs w:val="16"/>
        </w:rPr>
        <w:softHyphen/>
        <w:t>зий. Число пленных растет с каждым часом, так как немецкие соединения вследствие своего истощения уже не способны к отходу и, с другой стороны, отсутствие горючего парализует транспортные колонны. Сегодня днем наши танковые колонны находились в 80 километрах от Дрездена» (19735).</w:t>
      </w:r>
    </w:p>
    <w:p w14:paraId="42CD8B88" w14:textId="77777777" w:rsidR="0004034B" w:rsidRPr="00070ADE" w:rsidRDefault="0004034B" w:rsidP="00B56F90">
      <w:pPr>
        <w:spacing w:after="0" w:line="240" w:lineRule="auto"/>
        <w:jc w:val="both"/>
        <w:rPr>
          <w:rFonts w:ascii="Times New Roman" w:hAnsi="Times New Roman"/>
          <w:color w:val="000000" w:themeColor="text1"/>
          <w:sz w:val="16"/>
          <w:szCs w:val="16"/>
        </w:rPr>
      </w:pPr>
    </w:p>
    <w:p w14:paraId="626EC7C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с целью устрашения США Германия распространила провокационные слухи о том, что в ближайшее время немецкие подводные лодки, вооруженные V1, нанесут внезапный удар по Восточному побережью Соединенных Штатов (Орлов А.С. «Чудо-оружие»: обманутые надежды фюрера. Смоленск: Русич, 1999.). Вскоре американцам стало известно даже название операции – «Морской волк». Для борьбы с «морскими волками» командующий Атлантическим флотом вице-адмирал Ингрем выделил 42 эсминца и четыре авианосца с 76 самолетами.</w:t>
      </w:r>
    </w:p>
    <w:p w14:paraId="4EF41D2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Подробности операции «Морской волк» стали известны только после войны. Командующим подводными силами Германии адмиралом Деницем было подготовлено семь подводных лодок: U518, U546, U805, U858, U880, U881 и U1235, рассредоточенных в норвежских портах. План предусматривал поочередный выход подлодок в море в марте 1945 г. Для следования к американскому побережью компоновались две группы по три лодки, а U881 должна была действовать одиночно. Однако размещались ли на борту подлодок ракеты, до сих пор неизвестно.</w:t>
      </w:r>
    </w:p>
    <w:p w14:paraId="060F298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Разведка США добыла фотографии последних моделей немецких подлодок, на которых явственно различались приспособления, похожие на пусковые установки ракет. Все подлодки, за исключением U805 и U858, которые сдались США в связи с окончанием войны, были затоплены. На двух сдавшихся лодках ни пусковых установок, ни ракет не было обнаружено (11686).</w:t>
      </w:r>
    </w:p>
    <w:p w14:paraId="0EB9CB89"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C614527" w14:textId="77777777" w:rsidR="000F0D8A" w:rsidRPr="00070ADE" w:rsidRDefault="000F0D8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1944-го удалось выяснить странные закономерности подрыва ракет в кон</w:t>
      </w:r>
      <w:r w:rsidRPr="00070ADE">
        <w:rPr>
          <w:rFonts w:ascii="Times New Roman" w:hAnsi="Times New Roman"/>
          <w:color w:val="000000" w:themeColor="text1"/>
          <w:sz w:val="16"/>
          <w:szCs w:val="16"/>
        </w:rPr>
        <w:softHyphen/>
        <w:t>це траектории и на подлете к цели. Это срабатывал чувствительный де</w:t>
      </w:r>
      <w:r w:rsidRPr="00070ADE">
        <w:rPr>
          <w:rFonts w:ascii="Times New Roman" w:hAnsi="Times New Roman"/>
          <w:color w:val="000000" w:themeColor="text1"/>
          <w:sz w:val="16"/>
          <w:szCs w:val="16"/>
        </w:rPr>
        <w:softHyphen/>
        <w:t>тонатор, но времени для доводки его импульсной системы не оставалось. С одной стороны, командование вер</w:t>
      </w:r>
      <w:r w:rsidRPr="00070ADE">
        <w:rPr>
          <w:rFonts w:ascii="Times New Roman" w:hAnsi="Times New Roman"/>
          <w:color w:val="000000" w:themeColor="text1"/>
          <w:sz w:val="16"/>
          <w:szCs w:val="16"/>
        </w:rPr>
        <w:softHyphen/>
        <w:t>махта решило начать массирован</w:t>
      </w:r>
      <w:r w:rsidRPr="00070ADE">
        <w:rPr>
          <w:rFonts w:ascii="Times New Roman" w:hAnsi="Times New Roman"/>
          <w:color w:val="000000" w:themeColor="text1"/>
          <w:sz w:val="16"/>
          <w:szCs w:val="16"/>
        </w:rPr>
        <w:softHyphen/>
        <w:t>ное применение ракетного оружия, с другой — этому противостояли та</w:t>
      </w:r>
      <w:r w:rsidRPr="00070ADE">
        <w:rPr>
          <w:rFonts w:ascii="Times New Roman" w:hAnsi="Times New Roman"/>
          <w:color w:val="000000" w:themeColor="text1"/>
          <w:sz w:val="16"/>
          <w:szCs w:val="16"/>
        </w:rPr>
        <w:softHyphen/>
        <w:t>кие обстоятельства, как наступление советских войск, перенесение бое</w:t>
      </w:r>
      <w:r w:rsidRPr="00070ADE">
        <w:rPr>
          <w:rFonts w:ascii="Times New Roman" w:hAnsi="Times New Roman"/>
          <w:color w:val="000000" w:themeColor="text1"/>
          <w:sz w:val="16"/>
          <w:szCs w:val="16"/>
        </w:rPr>
        <w:softHyphen/>
        <w:t>вых действий на территорию Польши и приближение линии фронта к поли</w:t>
      </w:r>
      <w:r w:rsidRPr="00070ADE">
        <w:rPr>
          <w:rFonts w:ascii="Times New Roman" w:hAnsi="Times New Roman"/>
          <w:color w:val="000000" w:themeColor="text1"/>
          <w:sz w:val="16"/>
          <w:szCs w:val="16"/>
        </w:rPr>
        <w:softHyphen/>
        <w:t>гону Близна.</w:t>
      </w:r>
    </w:p>
    <w:p w14:paraId="7AA6AACD" w14:textId="77777777" w:rsidR="000F0D8A" w:rsidRPr="00070ADE" w:rsidRDefault="000F0D8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Когда на складах накопилось 1800 готовых А-4, было решено наконец начать полномасштабную кампа</w:t>
      </w:r>
      <w:r w:rsidRPr="00070ADE">
        <w:rPr>
          <w:rFonts w:ascii="Times New Roman" w:hAnsi="Times New Roman"/>
          <w:color w:val="000000" w:themeColor="text1"/>
          <w:sz w:val="16"/>
          <w:szCs w:val="16"/>
        </w:rPr>
        <w:softHyphen/>
        <w:t>нию запусков нового “чуда-оружия”. Новое вооружение поступило в 836 Artillerie Abteilung. Освоение новой техники и учебные стрельбы прохо</w:t>
      </w:r>
      <w:r w:rsidRPr="00070ADE">
        <w:rPr>
          <w:rFonts w:ascii="Times New Roman" w:hAnsi="Times New Roman"/>
          <w:color w:val="000000" w:themeColor="text1"/>
          <w:sz w:val="16"/>
          <w:szCs w:val="16"/>
        </w:rPr>
        <w:softHyphen/>
        <w:t>дили в Польше, недалеко от Близны. Всего в Польше было израсходовано 600 ракет А-4.</w:t>
      </w:r>
    </w:p>
    <w:p w14:paraId="66F37F2B" w14:textId="77777777" w:rsidR="000F0D8A" w:rsidRPr="00070ADE" w:rsidRDefault="000F0D8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отличие от V-1 (ФАУ-1) ракета А-4 могла запускаться не только со стационарной установки, су</w:t>
      </w:r>
      <w:r w:rsidRPr="00070ADE">
        <w:rPr>
          <w:rFonts w:ascii="Times New Roman" w:hAnsi="Times New Roman"/>
          <w:color w:val="000000" w:themeColor="text1"/>
          <w:sz w:val="16"/>
          <w:szCs w:val="16"/>
        </w:rPr>
        <w:softHyphen/>
        <w:t>ществовал ее мобильный вариант Meillerwagen, способный перевозить и осуществлять пуск. К сентябрю были готовы для боевого использова</w:t>
      </w:r>
      <w:r w:rsidRPr="00070ADE">
        <w:rPr>
          <w:rFonts w:ascii="Times New Roman" w:hAnsi="Times New Roman"/>
          <w:color w:val="000000" w:themeColor="text1"/>
          <w:sz w:val="16"/>
          <w:szCs w:val="16"/>
        </w:rPr>
        <w:softHyphen/>
        <w:t>ния и сами ракеты. Ракетчики Пене</w:t>
      </w:r>
      <w:r w:rsidRPr="00070ADE">
        <w:rPr>
          <w:rFonts w:ascii="Times New Roman" w:hAnsi="Times New Roman"/>
          <w:color w:val="000000" w:themeColor="text1"/>
          <w:sz w:val="16"/>
          <w:szCs w:val="16"/>
        </w:rPr>
        <w:softHyphen/>
        <w:t>мюнде подготовили программы для системы управления А-4, нацеливая ее на Лондон, Антверпен, Брюссель и Льеж. В четверг, 6 сентября 1944 года в район близ Гааги (Голландия) прибыла группа солдат. Они в тече</w:t>
      </w:r>
      <w:r w:rsidRPr="00070ADE">
        <w:rPr>
          <w:rFonts w:ascii="Times New Roman" w:hAnsi="Times New Roman"/>
          <w:color w:val="000000" w:themeColor="text1"/>
          <w:sz w:val="16"/>
          <w:szCs w:val="16"/>
        </w:rPr>
        <w:softHyphen/>
        <w:t>ние двух часов выставили жителей ближайшего района из домов, от мес</w:t>
      </w:r>
      <w:r w:rsidRPr="00070ADE">
        <w:rPr>
          <w:rFonts w:ascii="Times New Roman" w:hAnsi="Times New Roman"/>
          <w:color w:val="000000" w:themeColor="text1"/>
          <w:sz w:val="16"/>
          <w:szCs w:val="16"/>
        </w:rPr>
        <w:softHyphen/>
        <w:t>тной электростанции протянули не</w:t>
      </w:r>
      <w:r w:rsidRPr="00070ADE">
        <w:rPr>
          <w:rFonts w:ascii="Times New Roman" w:hAnsi="Times New Roman"/>
          <w:color w:val="000000" w:themeColor="text1"/>
          <w:sz w:val="16"/>
          <w:szCs w:val="16"/>
        </w:rPr>
        <w:softHyphen/>
        <w:t>сколько ниток кабеля. На следующий день пришла колонна из шести авто</w:t>
      </w:r>
      <w:r w:rsidRPr="00070ADE">
        <w:rPr>
          <w:rFonts w:ascii="Times New Roman" w:hAnsi="Times New Roman"/>
          <w:color w:val="000000" w:themeColor="text1"/>
          <w:sz w:val="16"/>
          <w:szCs w:val="16"/>
        </w:rPr>
        <w:softHyphen/>
        <w:t>машин. Это были установки с ракета</w:t>
      </w:r>
      <w:r w:rsidRPr="00070ADE">
        <w:rPr>
          <w:rFonts w:ascii="Times New Roman" w:hAnsi="Times New Roman"/>
          <w:color w:val="000000" w:themeColor="text1"/>
          <w:sz w:val="16"/>
          <w:szCs w:val="16"/>
        </w:rPr>
        <w:softHyphen/>
        <w:t>ми А-4 и пусковой аппаратурой (22801).</w:t>
      </w:r>
    </w:p>
    <w:p w14:paraId="266288D6" w14:textId="77777777" w:rsidR="000F0D8A" w:rsidRPr="00070ADE" w:rsidRDefault="000F0D8A" w:rsidP="00B56F90">
      <w:pPr>
        <w:spacing w:after="0" w:line="240" w:lineRule="auto"/>
        <w:jc w:val="both"/>
        <w:rPr>
          <w:rFonts w:ascii="Times New Roman" w:hAnsi="Times New Roman"/>
          <w:color w:val="000000" w:themeColor="text1"/>
          <w:sz w:val="16"/>
          <w:szCs w:val="16"/>
        </w:rPr>
      </w:pPr>
    </w:p>
    <w:p w14:paraId="2D284905" w14:textId="77777777" w:rsidR="000F0D8A" w:rsidRPr="00070ADE" w:rsidRDefault="000F0D8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в Праге облетали высотный Ju 290B-1, который от модификации «А» отличался герметичными кабинами и усиленной конструкцией, в т.ч. и за счет того, что в хвостовой части зашили огромный вырез под грузовую рампу, который снижал жесткость хвостовой части на предыдущих самолетах. Агрегаты головной машины изготовили в Бернбурге без гермокабин и с макетами стрелковых точек, а сборка была завершена заводом «Летов».</w:t>
      </w:r>
    </w:p>
    <w:p w14:paraId="7D85FF08" w14:textId="77777777" w:rsidR="000F0D8A" w:rsidRPr="00070ADE" w:rsidRDefault="000F0D8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Испытания продолжались до марта 1945 г., хотя уже было решено отказаться от его серийного выпуска в пользу Ju 290B-2 с двигателями BMW 801E (по 1970 л.с. на взлете, 1740 л.с. на высоте 2000 м и 1460 л.с. на 6200 м). В связи с трудностями с отработкой гермокабин большого объема и подвижных герметичных стрелковых </w:t>
      </w:r>
      <w:r w:rsidRPr="00070ADE">
        <w:rPr>
          <w:rFonts w:ascii="Times New Roman" w:hAnsi="Times New Roman"/>
          <w:color w:val="000000" w:themeColor="text1"/>
          <w:sz w:val="16"/>
          <w:szCs w:val="16"/>
        </w:rPr>
        <w:lastRenderedPageBreak/>
        <w:t>установок Ju 290B-1 еще до окончания его строительства было решено В-2 рассчитывать на средние высоты. Постройка самолета началась в Бернбурге в 1944 г., но была прекращена из-за дефицита конструкционных материалов и комплектующих (22969).</w:t>
      </w:r>
    </w:p>
    <w:p w14:paraId="1895DB48" w14:textId="77777777" w:rsidR="000F0D8A" w:rsidRPr="00070ADE" w:rsidRDefault="000F0D8A" w:rsidP="00B56F90">
      <w:pPr>
        <w:spacing w:after="0" w:line="240" w:lineRule="auto"/>
        <w:jc w:val="both"/>
        <w:rPr>
          <w:rFonts w:ascii="Times New Roman" w:hAnsi="Times New Roman"/>
          <w:color w:val="000000" w:themeColor="text1"/>
          <w:sz w:val="16"/>
          <w:szCs w:val="16"/>
        </w:rPr>
      </w:pPr>
    </w:p>
    <w:p w14:paraId="08C1FAEC"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были проведены теоретические и экспериментальные исследования крылатой ракеты А9. Их результаты показали, что модель А9, входя в плотные слои атмосферы на нисходящей ветви траектории, уверенно планирует и управляется аэродинамическими рулями. Это дало основание фон Брауну доложить Управлению вооружения, что дальность полета крылатой ракеты А9 составит 450 км. Вообще предполагалось, что на завершающем этапе крылатая ракета, планируя, сможет преодолеть расстояние 450–590 км за 17 минут.</w:t>
      </w:r>
    </w:p>
    <w:p w14:paraId="14C3F36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Об одном из экспериментов в аэродинамической трубе с моделью А9, свидетелем которого стал генерал Дорнбергер, он вспоминал: «...я и доктор Герман попали в то помещение, в котором, собственно, и проводились испытания. Доктор Герман хотел сегодня продемонстрировать устойчивость нового макета снаряда А9 при числе Маха 4,4, то есть при скорости полета тела примерно 1500 м/с. Эта небольшая модель, вращаясь при малейшем прикосновении, напоминала по форме А4, но была снабжена очень тонкими, острыми, как ножи, стреловидными крыльями, отогнутыми назад. Сегодня должен быть произведен замер колебаний, с тем чтобы выяснить, будет ли при этой высокой сверхзвуковой скорости устойчивой модель, профили крыльев которой уравновешены относительно продольной оси, то есть поворачивается ли она своей головкой в направлении полета, затухают ли ее колебания относительно этого направления после нескольких размахов. Это означало бы, что модель обладает должным аэродинамическим демпфированием.</w:t>
      </w:r>
    </w:p>
    <w:p w14:paraId="3C5D445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Инженер, ведущий эксперимент, нажал кнопку. После этого открылась заслонка быстродействующего затвора, и воздух с шипением устремился через измерительную камеру в вакуумную сферу.</w:t>
      </w:r>
    </w:p>
    <w:p w14:paraId="611428A7"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Резко дернувшись, модель повернулась головной частью в направлении приближающегося потока воздуха. После нескольких немногочисленных затухающих колебаний небольшой амплитуды ракета устойчиво держалась в воздухе, который проносился вокруг нее со скоростью, в 4,4 раза превышающей скорость звука. Около головной части, на кромках крыльев и стабилизаторов можно было ясно видеть образование вихрей, которые под острым углом отходили вниз в косом направлении, и пересекали своими характерными то светлыми, то более темными линиями черно-белое изображение. Был ясно виден пограничный слой, окутывающий модель снаряда, – вверху он был светлым, а около нижней кромки темнее. Можно было заметить, как этот слой, расширяясь около конической части корпуса, постепенно отделялся сзади. Через 20 секунд, которые показались бесконечными, картина сразу изменилась. Инженер, руководивший опытом, закрыл вентиль быстродействующего затвора. Ясные вертикальные линии изображения пришли в движение, угол их раствора увеличился, они начали передвигаться вперед, возник своего рода вихрь, и затем эти линии исчезли. На светлом фоне матового стекла поднялось нечто вроде густого дыма. Модель утратила свое устойчивое положение. Она несколько раз повернулась вокруг своего центра тяжести и, наклонившись головной частью вниз, замерла. Эксперимент прошел замечательно. Этот снаряд, имевший форму самолета, обладал безупречной устойчивостью в диапазоне сверхзвуковой скорости до 1500 м/с».</w:t>
      </w:r>
    </w:p>
    <w:p w14:paraId="5D688773"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Известно, что немецкие специалисты старались придать снаряду устойчивость и обеспечить управляемость во всем диапазоне скоростей, придавая крыльям различную форму, начиная со стреловидной и трапециевидной и кончая ступенчатой. Однако достигнуть хорошего аэродинамического качества им не удавалось из-за определенных ограничений, которые были наложены на эту ракету. Например, в качестве корпуса ракеты А9 должен был быть использован корпус ракеты А4 (11686).</w:t>
      </w:r>
    </w:p>
    <w:p w14:paraId="0E213F7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2C8D69C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в Нормандии 4 американских офицера и журналист наблюдали пульсирующий красным цветом огненный шар, который приблизился к линии фронта, завис над ней в течение 15 минут, после чего быстро улетел (7579).</w:t>
      </w:r>
    </w:p>
    <w:p w14:paraId="482039E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59623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Посетивший летом 1944 г. Чунцин вице-президент США Генри Уоллес настоятельно рекомендовал Чан Кайши урегулировать отношения с коммунистами (3871).</w:t>
      </w:r>
    </w:p>
    <w:p w14:paraId="5B1A1DB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F2DCBC"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Летом 1944 г. американские силы выбили японцев с о. Сайпан в группе Марианских, получив плацдарм для нанесения прямых бомбовых ударов по собственно японской территории (3871).</w:t>
      </w:r>
    </w:p>
    <w:p w14:paraId="670AD74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F2E8B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лета 1944 г. ситуация в Японии приобрела черты всеобщего национального кризиса. В стране распространялись панические настроения в связи с начавшимися налетами американской авиации. Бомбардировки были не избирательными: удары наносились и по военным, и по гражданским объектам в крупных городах. Впервые за всю историю своих войн с внешним миром Япония столкнулась с войной на собственной территории. Психологически это действовало на нацию очень сильно. Страна была отрезана от значительной части источников сырья и продовольствия. Гражданское население голодало. Экономика была не в состоянии нормально функционировать. Людские ресурсы, требуемые для восполнения потерь армии в живой силе и поддержания приемлемого ритма хозяйственной жизни, были на пределе. Еще в 1943 г. на действительную военную службу были отправлены студенты японских университетов. Тогда же был увеличен предельный возраст службы в армии. В довершение всего в 1944 г. было принято решение о массовой эвакуации детей из городов в сельскую местность. Эта мера существенно способствовала нагнетанию атмосферы неуверенности и подавленности. В правящем слое нарастало недовольство войной (3871).</w:t>
      </w:r>
    </w:p>
    <w:p w14:paraId="72D56C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57D1DA" w14:textId="132DA1C6" w:rsidR="00EC78A0" w:rsidRPr="00070ADE" w:rsidRDefault="00EC78A0" w:rsidP="00EC78A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w:t>
      </w:r>
      <w:r>
        <w:rPr>
          <w:rFonts w:ascii="Times New Roman" w:hAnsi="Times New Roman"/>
          <w:i/>
          <w:iCs/>
          <w:color w:val="000000" w:themeColor="text1"/>
          <w:sz w:val="16"/>
          <w:szCs w:val="16"/>
        </w:rPr>
        <w:t>рмия</w:t>
      </w:r>
      <w:r w:rsidRPr="00070ADE">
        <w:rPr>
          <w:rFonts w:ascii="Times New Roman" w:hAnsi="Times New Roman"/>
          <w:i/>
          <w:iCs/>
          <w:color w:val="000000" w:themeColor="text1"/>
          <w:sz w:val="16"/>
          <w:szCs w:val="16"/>
        </w:rPr>
        <w:t>:</w:t>
      </w:r>
    </w:p>
    <w:p w14:paraId="4D1A4C0C" w14:textId="77777777" w:rsidR="00EC78A0" w:rsidRPr="00070ADE" w:rsidRDefault="00EC78A0" w:rsidP="00EC78A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64AAE7"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Летом и осенью 1944 г. опытные учения с реально обозначенным противником по отражению массированных ударов V-1 в зоне ответственности Северного фронта ПВО и ОМА ПВО показали, что возможность прорыва самолетов-снарядов к Москве была минимальна (25332).</w:t>
      </w:r>
    </w:p>
    <w:p w14:paraId="57FD3E8D" w14:textId="77777777" w:rsidR="00EC78A0" w:rsidRPr="001A0BAA" w:rsidRDefault="00EC78A0" w:rsidP="00EC78A0">
      <w:pPr>
        <w:spacing w:after="0" w:line="240" w:lineRule="auto"/>
        <w:jc w:val="both"/>
        <w:rPr>
          <w:rFonts w:ascii="Times New Roman" w:hAnsi="Times New Roman"/>
          <w:color w:val="0070C0"/>
          <w:sz w:val="16"/>
          <w:szCs w:val="16"/>
        </w:rPr>
      </w:pPr>
    </w:p>
    <w:p w14:paraId="1861556B" w14:textId="77777777" w:rsidR="00EC78A0" w:rsidRPr="00070ADE" w:rsidRDefault="00EC78A0" w:rsidP="00EC78A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69169DF2" w14:textId="77777777" w:rsidR="00EC78A0" w:rsidRPr="00070ADE" w:rsidRDefault="00EC78A0" w:rsidP="00EC78A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B62FF9" w14:textId="77777777" w:rsidR="00EC78A0" w:rsidRPr="00070ADE" w:rsidRDefault="00EC78A0" w:rsidP="00EC78A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До середины лета 1944 г. проводимые на ЧКЗ мероприятия по улуч</w:t>
      </w:r>
      <w:r w:rsidRPr="00070ADE">
        <w:rPr>
          <w:rFonts w:ascii="Times New Roman" w:hAnsi="Times New Roman"/>
          <w:color w:val="000000" w:themeColor="text1"/>
          <w:sz w:val="16"/>
          <w:szCs w:val="16"/>
        </w:rPr>
        <w:softHyphen/>
        <w:t>шению качества и повышению надежности танков ИС-2 необходимых результатов не давали. Правда, за это время удалось резко повысить на</w:t>
      </w:r>
      <w:r w:rsidRPr="00070ADE">
        <w:rPr>
          <w:rFonts w:ascii="Times New Roman" w:hAnsi="Times New Roman"/>
          <w:color w:val="000000" w:themeColor="text1"/>
          <w:sz w:val="16"/>
          <w:szCs w:val="16"/>
        </w:rPr>
        <w:softHyphen/>
        <w:t>дежность ПМП, электроинерционного стартера ИС-9 и бортового ре</w:t>
      </w:r>
      <w:r w:rsidRPr="00070ADE">
        <w:rPr>
          <w:rFonts w:ascii="Times New Roman" w:hAnsi="Times New Roman"/>
          <w:color w:val="000000" w:themeColor="text1"/>
          <w:sz w:val="16"/>
          <w:szCs w:val="16"/>
        </w:rPr>
        <w:softHyphen/>
        <w:t>дуктора. Качество выпускавшихся танков ИС-2 ко второй половине 1944 г. в результате проведенных мероприятий по усовершенствованию танка несколько возросло, однако не настолько, чтобы назвать его удовлетво</w:t>
      </w:r>
      <w:r w:rsidRPr="00070ADE">
        <w:rPr>
          <w:rFonts w:ascii="Times New Roman" w:hAnsi="Times New Roman"/>
          <w:color w:val="000000" w:themeColor="text1"/>
          <w:sz w:val="16"/>
          <w:szCs w:val="16"/>
        </w:rPr>
        <w:softHyphen/>
        <w:t>рительным. Только начиная с третьего квартала 1944 г., когда на заводе было закончено переустройство линий поточного производства и кон</w:t>
      </w:r>
      <w:r w:rsidRPr="00070ADE">
        <w:rPr>
          <w:rFonts w:ascii="Times New Roman" w:hAnsi="Times New Roman"/>
          <w:color w:val="000000" w:themeColor="text1"/>
          <w:sz w:val="16"/>
          <w:szCs w:val="16"/>
        </w:rPr>
        <w:softHyphen/>
        <w:t>вейера сборки танков, количество бездефектных машин возросло с 3 до 34%. Всего было создано около 300 поточных линий (10703).</w:t>
      </w:r>
    </w:p>
    <w:p w14:paraId="1F5B1BE1" w14:textId="77777777" w:rsidR="00EC78A0" w:rsidRPr="00070ADE" w:rsidRDefault="00EC78A0" w:rsidP="00EC78A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74CA5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A84497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027767"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первом полугодии 1944 г. было собрано 19596 самолетов, в том числе 16296 боевых. Тем самым удалось превысить аналогичные показатели 1943 г. соответственно на 20,6 и 16,8% Этот прирост был обусловлен динамичным повышением производительности труда. Так, за первые шесть месяцев 1944 г. на заводе № 153 (Новосибирск) суточное производство истребителей увеличилось на четыре самолета, составив к июлю 20 Як-9 (18305).</w:t>
      </w:r>
    </w:p>
    <w:p w14:paraId="39AB6DEE" w14:textId="77777777" w:rsidR="00B216D6" w:rsidRPr="00070ADE" w:rsidRDefault="00B216D6" w:rsidP="00B56F90">
      <w:pPr>
        <w:spacing w:after="0" w:line="240" w:lineRule="auto"/>
        <w:jc w:val="both"/>
        <w:rPr>
          <w:rFonts w:ascii="Times New Roman" w:hAnsi="Times New Roman"/>
          <w:color w:val="000000" w:themeColor="text1"/>
          <w:sz w:val="16"/>
          <w:szCs w:val="16"/>
        </w:rPr>
      </w:pPr>
    </w:p>
    <w:p w14:paraId="2F122142" w14:textId="77777777" w:rsidR="00BD1A9D" w:rsidRPr="00070ADE" w:rsidRDefault="00BD1A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первом полугодии 1944 г. было собрано 19596 самолетов, в том числе 16296 боевых. Тем самым удалось превысить аналогичные показатели 1943 г. соответственно на 20,6 и 16,8%. Этот прирост был обусловлен динамичным повышением производительности труда. Так, за первые шесть месяцев 1944 г. на заводе № 153 (Новосибирск) суточное производство истребителей увеличилось на четыре самолета, составив к июлю 20 Як-9 (23472).</w:t>
      </w:r>
    </w:p>
    <w:p w14:paraId="65929E31" w14:textId="77777777" w:rsidR="00BD1A9D" w:rsidRPr="00070ADE" w:rsidRDefault="00BD1A9D" w:rsidP="00B56F90">
      <w:pPr>
        <w:spacing w:after="0" w:line="240" w:lineRule="auto"/>
        <w:jc w:val="both"/>
        <w:rPr>
          <w:rFonts w:ascii="Times New Roman" w:hAnsi="Times New Roman"/>
          <w:color w:val="000000" w:themeColor="text1"/>
          <w:sz w:val="16"/>
          <w:szCs w:val="16"/>
        </w:rPr>
      </w:pPr>
    </w:p>
    <w:p w14:paraId="576ADB4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первой половине 1944 г. в конструкцию Пе-2 внесли еще ряд небольших изменений. Но программа опытных работ, начатая Мясищевым в августе 1943 г,. не дала практического результата. Наиболее близок к удаче был Пе-2Б, рекомендованный военными в серию. Его намеревались сделать эталоном Пе-2 вначале на весь 1944 г., а затем на его вторую половину. Но испытывался он в НИИ ВВС в мае-июне 1944 г., когда уже летал куда более совершенный Пе-2И (3542).</w:t>
      </w:r>
    </w:p>
    <w:p w14:paraId="396B047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972E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первой половине 1944 г. в конструкцию Пе-2 внесли еще ряд небольших изменений. Но программа опытных работ, начатая Мясищевьш в августе 1943 г,. не дала практического результата. Наиболее близок к удаче был Пе-2Б, рекомендованный военными в серию. Его намеревались сделать эталоном Пе-2 вначале на весь 1944 г., а затем на его вторую половину. Но испытывался он в НИИ ВВС. И вот тогда Мясищев, Окулов и вместе с ними НКАП в целом совершили серьезную ошибку. Несмотря на требования военных, авиапромышленность фактически отказалась от внедрения трех основных "изюминок" Пе-2Б - новой кабины с установкой ФЗ, нового люка стрелка-радиста, открывающегося наружу и облегчающего оставление самолета, а также аварийной механической системы уборки тормозных решеток. Нарком Шахурин мотивировал решение тем, что скорое внедрение в серию Пе-2И, имевшего скорость 650 км/час, решит все проблемы и сделает ненужным "промежуточный шаг" - Пе-2Б. Но мощный поток Пе-2И так никогда и не хлынул в строевые части, и, быть может, сотни экипажей "пешек" расплатились своими жизнями за это опрометчивое решение (3542).</w:t>
      </w:r>
    </w:p>
    <w:p w14:paraId="17CFC83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80C9FD"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В первой половине 1944 г в конструк</w:t>
      </w:r>
      <w:r w:rsidRPr="001A0BAA">
        <w:rPr>
          <w:rFonts w:ascii="Times New Roman" w:hAnsi="Times New Roman"/>
          <w:color w:val="0070C0"/>
          <w:sz w:val="16"/>
          <w:szCs w:val="16"/>
        </w:rPr>
        <w:softHyphen/>
        <w:t>цию Пе-2 внесли еще ряд небольших изменений С 301-й серии переделали верхний люк стрелка-радиста: откидной козырек вынесли вперед за контуры люка (24934).</w:t>
      </w:r>
    </w:p>
    <w:p w14:paraId="06D1CB60" w14:textId="77777777" w:rsidR="00EC78A0" w:rsidRPr="001A0BAA" w:rsidRDefault="00EC78A0" w:rsidP="00EC78A0">
      <w:pPr>
        <w:spacing w:after="0" w:line="240" w:lineRule="auto"/>
        <w:jc w:val="both"/>
        <w:rPr>
          <w:rFonts w:ascii="Times New Roman" w:hAnsi="Times New Roman"/>
          <w:color w:val="0070C0"/>
          <w:sz w:val="16"/>
          <w:szCs w:val="16"/>
        </w:rPr>
      </w:pPr>
    </w:p>
    <w:p w14:paraId="19402DF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первой половине 1944 г. Главный морской штаб ВМФ СССР запросил у авиапромышленности о возможности создания в СССР аппарата, подобного оригинальному змею-автожиру Fa 330 “Bachsteize” (“Трясогузка”). В ответ из ЦАГИ поступило следующее письмо:</w:t>
      </w:r>
    </w:p>
    <w:p w14:paraId="4E2F08C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ваш запрос по поводу подъемного наблюдательного пункта для л/л и кораблей, описанного в информационном сообщении № 52 РУ ГМШ ВМФ сообщаю:</w:t>
      </w:r>
    </w:p>
    <w:p w14:paraId="7D6FD9A2"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Подъемный наблюдательный пункт типа автожира, поднимаемый с п/л или корабля во время хода и при наличии встречного ветра может быть практически осуществлен при малом весе и габаритах.</w:t>
      </w:r>
    </w:p>
    <w:p w14:paraId="46FD0FE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Вес аппарата с тросом длиной 150 м может составить всего 250 кг и полетный - порядка 330 кг. При трехлопастном роторе диаметром 8,0 м это позволит аппарату держаться на высоте 100 м при относительной скорости 30-35 км/час.</w:t>
      </w:r>
    </w:p>
    <w:p w14:paraId="75586B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Конструктивно аппарат может быть сделан весьма просто. Втулка ротора состоит из 2-х обычных подшипников, лопасти имеют стальной лонжерон и деревянное покрытие, кабина пилота деревянная.</w:t>
      </w:r>
    </w:p>
    <w:p w14:paraId="5C2BC77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Ротор отсоединяется вместе с кабаном, крепящимся 3-мя болтами и лопасти складываются по типу зонтика.</w:t>
      </w:r>
    </w:p>
    <w:p w14:paraId="168F60E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Зам. Нач. ЦАГИ Остославский</w:t>
      </w:r>
    </w:p>
    <w:p w14:paraId="1585DE8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 научной группы лаборатории № 1 Миль</w:t>
      </w:r>
    </w:p>
    <w:p w14:paraId="4BB7B6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28.06.44 г.” (6470, 19).</w:t>
      </w:r>
    </w:p>
    <w:p w14:paraId="61E0CF7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851F2B"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76097A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BCD84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первой половине 1944 года были изготовлены опытные образцы Т-44. Проведенные испытания опытных образцов показали, что по целому ряду причин для танка Т-44 пушки повышенного калибра 122 и 100 мм неприемлемы, и дальнейшие работы по ним были прекращены. Испытания и доработка танка Т-44 с пушкой 85мм, принятой для Т-34-85, продолжались в течение 1944 года и к концу года были успешно завершены. Был создан новый средний танк (9154).</w:t>
      </w:r>
    </w:p>
    <w:p w14:paraId="3BC290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2204EDB" w14:textId="77777777" w:rsidR="00E20115" w:rsidRPr="00070ADE" w:rsidRDefault="00E20115" w:rsidP="00B56F90">
      <w:pPr>
        <w:widowControl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первой половине 1944 года потребность наших войск в самоходной артиллерии еще более возросла. Особенно войска требовали все большее количество установок сопровождения пехоты КА – СУ-76М. К этому времени самоходная артиллерия уже получила общее признание не только как артиллерия непосредственного сопровождения пехоты и танков, но и как войсковая артиллерия подвижных соединений и мощное средство противотанковой борьбы наземных войск. В связи с потребностями Красной Армии промышленность широко развернула производство легких самоходных установок СУ-76М, удельный вес которых в общем производстве самоходной артиллерии за 1944 год был доведен почти до 60%. Поэтому стало возможным удовлетворить потребности пехоты в орудиях сопровождения и ввести в штат стрелковых дивизий Красной Армии самоходно-артиллерийские подразделения (15218).</w:t>
      </w:r>
    </w:p>
    <w:p w14:paraId="1C7DED9E" w14:textId="77777777" w:rsidR="00E20115" w:rsidRPr="00070ADE" w:rsidRDefault="00E20115" w:rsidP="00B56F90">
      <w:pPr>
        <w:widowControl w:val="0"/>
        <w:spacing w:after="0" w:line="240" w:lineRule="auto"/>
        <w:jc w:val="both"/>
        <w:rPr>
          <w:rFonts w:ascii="Times New Roman" w:hAnsi="Times New Roman"/>
          <w:color w:val="000000" w:themeColor="text1"/>
          <w:sz w:val="16"/>
          <w:szCs w:val="16"/>
        </w:rPr>
      </w:pPr>
    </w:p>
    <w:p w14:paraId="261199DF" w14:textId="637860B8" w:rsidR="0004034B" w:rsidRPr="00070ADE" w:rsidRDefault="0004034B" w:rsidP="00B56F90">
      <w:pPr>
        <w:pStyle w:val="ae"/>
        <w:spacing w:before="0" w:after="0"/>
        <w:jc w:val="both"/>
        <w:textAlignment w:val="baseline"/>
        <w:rPr>
          <w:color w:val="000000" w:themeColor="text1"/>
          <w:sz w:val="16"/>
          <w:szCs w:val="16"/>
        </w:rPr>
      </w:pPr>
      <w:r w:rsidRPr="00070ADE">
        <w:rPr>
          <w:color w:val="000000" w:themeColor="text1"/>
          <w:sz w:val="16"/>
          <w:szCs w:val="16"/>
        </w:rPr>
        <w:t>За первое полугодие 1944 года в СССР поступило 1065 танков, а безвозвратные потери составили 499 машин, из них 108 в мае, и 127 в июне. Общие же потери M4A2 за 1944 год составили 1145 единиц. Это стало самым массовым показателем среди иностранных танков, на втором месте были Valentine (776 штук за 1944 год). Данные цифры наглядно показывают, какую роль М4А2 стали играть в операциях Красной армии. Например, в составе 3-го Гвардейского механизированного корпуса к 22 июня 1944 года имелось 110 М4А2, а в составе 1-го механизированного корпуса — 136 танков данного типа. М4А2 активно применялись в ходе</w:t>
      </w:r>
      <w:r w:rsidR="00B643A8" w:rsidRPr="00070ADE">
        <w:rPr>
          <w:color w:val="000000" w:themeColor="text1"/>
          <w:sz w:val="16"/>
          <w:szCs w:val="16"/>
        </w:rPr>
        <w:t xml:space="preserve"> </w:t>
      </w:r>
      <w:hyperlink r:id="rId193" w:tgtFrame="_blank" w:history="1">
        <w:r w:rsidRPr="00070ADE">
          <w:rPr>
            <w:rStyle w:val="a5"/>
            <w:bCs/>
            <w:iCs/>
            <w:color w:val="000000" w:themeColor="text1"/>
            <w:sz w:val="16"/>
            <w:szCs w:val="16"/>
            <w:bdr w:val="none" w:sz="0" w:space="0" w:color="auto" w:frame="1"/>
          </w:rPr>
          <w:t>операции «Багратион»</w:t>
        </w:r>
      </w:hyperlink>
      <w:r w:rsidR="00B643A8" w:rsidRPr="00070ADE">
        <w:rPr>
          <w:color w:val="000000" w:themeColor="text1"/>
          <w:sz w:val="16"/>
          <w:szCs w:val="16"/>
        </w:rPr>
        <w:t xml:space="preserve"> </w:t>
      </w:r>
      <w:r w:rsidRPr="00070ADE">
        <w:rPr>
          <w:color w:val="000000" w:themeColor="text1"/>
          <w:sz w:val="16"/>
          <w:szCs w:val="16"/>
        </w:rPr>
        <w:t>и других операциях. Имелись они и на вооружении отдельных танковых полков, воевавших в составе кавалерийских дивизий (19038).</w:t>
      </w:r>
    </w:p>
    <w:p w14:paraId="0C48C0D4" w14:textId="77777777" w:rsidR="0004034B" w:rsidRPr="00070ADE" w:rsidRDefault="0004034B" w:rsidP="00B56F90">
      <w:pPr>
        <w:pStyle w:val="ae"/>
        <w:spacing w:before="0" w:after="0"/>
        <w:jc w:val="both"/>
        <w:textAlignment w:val="baseline"/>
        <w:rPr>
          <w:color w:val="000000" w:themeColor="text1"/>
          <w:sz w:val="16"/>
          <w:szCs w:val="16"/>
        </w:rPr>
      </w:pPr>
    </w:p>
    <w:p w14:paraId="5E1A3D0F"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Армия:</w:t>
      </w:r>
    </w:p>
    <w:p w14:paraId="2FA5638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E92922"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первой половине 1944 г. тяжёлые бомбардировщики использовались под Ленинградом, где они бомбили позиции артиллерии противника. В феврале Пе-8 участвовали в налётах на Хельсинки. При этом опять применяли бомбы ФАБ-5000. Всего до весны 1944 г. на головы врага сбросили 13 этих чудовищ. 1944 г. стал последним в боевой карьере Пе-8. Причин этому было несколько. Красная Армия стремительно приближалась к границам рейха. Теперь приходилось сталкиваться с мощной системой ПВО немцев, имевшей опыт борьбы с соединениями американских и английских бомбардировщиков. Командование решило сберечь на будущее немногочисленные советские "летающие крепости". Да и особой нужды в них не было - дальности Ил-4 и В-25 вполне хватало, чтобы "накрыть" остававшуюся у противника территорию. Кроме того, учли разрушения планёра Пе-8, описанные ранее (11996).</w:t>
      </w:r>
    </w:p>
    <w:p w14:paraId="69DBE26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38A7126"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первой половине 1944 года началось формирование легких самоходно-артиллерийских бригад РВГК (60 СУ-76М и 5 Т-70) (3862).</w:t>
      </w:r>
    </w:p>
    <w:p w14:paraId="61239AD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C297DF" w14:textId="77777777" w:rsidR="00EC78A0" w:rsidRPr="00070ADE" w:rsidRDefault="00EC78A0" w:rsidP="00EC78A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57490B2B" w14:textId="77777777" w:rsidR="00EC78A0" w:rsidRPr="00070ADE" w:rsidRDefault="00EC78A0" w:rsidP="00EC78A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3E6390" w14:textId="77777777" w:rsidR="00EC78A0" w:rsidRPr="00070ADE" w:rsidRDefault="00EC78A0" w:rsidP="00EC78A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 второго квартала 1944 года по 1947 год завод № 485 (первоначально мастерские) организовал производство агрегатов бомбардировочного вооружения для самолетов: счетчик остатка патронов УСБ-1, балочный держатель БД2-45, электромеханический привод и др. С 1948 года завод приступил к изготовлению более сложных агрегатов бомбардировочного вооружения для самолета ТУ-14. Адрес: Киев, п/я 50 (9856).</w:t>
      </w:r>
    </w:p>
    <w:p w14:paraId="15E4B2E6" w14:textId="77777777" w:rsidR="00EC78A0" w:rsidRPr="00070ADE" w:rsidRDefault="00EC78A0" w:rsidP="00EC78A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99F475" w14:textId="77777777" w:rsidR="00EC78A0" w:rsidRPr="00070ADE" w:rsidRDefault="00EC78A0" w:rsidP="00EC78A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27440A17" w14:textId="77777777" w:rsidR="00EC78A0" w:rsidRPr="00070ADE" w:rsidRDefault="00EC78A0" w:rsidP="00EC78A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8BCAB7" w14:textId="77777777" w:rsidR="00EC78A0" w:rsidRPr="001A0BAA" w:rsidRDefault="00EC78A0" w:rsidP="00EC78A0">
      <w:pPr>
        <w:pStyle w:val="5b"/>
        <w:spacing w:before="0" w:line="240" w:lineRule="auto"/>
        <w:rPr>
          <w:color w:val="0070C0"/>
          <w:sz w:val="16"/>
          <w:szCs w:val="16"/>
        </w:rPr>
      </w:pPr>
      <w:r w:rsidRPr="001A0BAA">
        <w:rPr>
          <w:rStyle w:val="5a"/>
          <w:color w:val="0070C0"/>
          <w:sz w:val="16"/>
          <w:szCs w:val="16"/>
        </w:rPr>
        <w:t>Во втором квартале 1944 г. проект Р.Алексеева катера на под</w:t>
      </w:r>
      <w:r w:rsidRPr="001A0BAA">
        <w:rPr>
          <w:rStyle w:val="5a"/>
          <w:color w:val="0070C0"/>
          <w:sz w:val="16"/>
          <w:szCs w:val="16"/>
        </w:rPr>
        <w:softHyphen/>
        <w:t>водных крыльях был выполнен в срок — КБ-112 представило его руководству на утверждение. После рассмотрения его в раз</w:t>
      </w:r>
      <w:r w:rsidRPr="001A0BAA">
        <w:rPr>
          <w:rStyle w:val="5a"/>
          <w:color w:val="0070C0"/>
          <w:sz w:val="16"/>
          <w:szCs w:val="16"/>
        </w:rPr>
        <w:softHyphen/>
        <w:t>личных инстанциях (НКТП, НКСП, ВМФ) проект был утвержден и катер принят к постройке.</w:t>
      </w:r>
    </w:p>
    <w:p w14:paraId="05ECC6D2" w14:textId="77777777" w:rsidR="00EC78A0" w:rsidRPr="001A0BAA" w:rsidRDefault="00EC78A0" w:rsidP="00EC78A0">
      <w:pPr>
        <w:spacing w:after="0" w:line="240" w:lineRule="auto"/>
        <w:jc w:val="both"/>
        <w:rPr>
          <w:rStyle w:val="5a"/>
          <w:rFonts w:eastAsia="Calibri"/>
          <w:color w:val="0070C0"/>
          <w:sz w:val="16"/>
          <w:szCs w:val="16"/>
        </w:rPr>
      </w:pPr>
      <w:r w:rsidRPr="001A0BAA">
        <w:rPr>
          <w:rStyle w:val="5a"/>
          <w:rFonts w:eastAsia="Calibri"/>
          <w:color w:val="0070C0"/>
          <w:sz w:val="16"/>
          <w:szCs w:val="16"/>
        </w:rPr>
        <w:t>Приказом директора завода Ростислав Евгеньевич был назначен на</w:t>
      </w:r>
      <w:r w:rsidRPr="001A0BAA">
        <w:rPr>
          <w:rStyle w:val="5a"/>
          <w:rFonts w:eastAsia="Calibri"/>
          <w:color w:val="0070C0"/>
          <w:sz w:val="16"/>
          <w:szCs w:val="16"/>
        </w:rPr>
        <w:softHyphen/>
        <w:t>чальником «Научно-исследовательской гидродинамической лаборатории» (НИГЛ) и утвержден ее штат (25139).</w:t>
      </w:r>
    </w:p>
    <w:p w14:paraId="67940ED3" w14:textId="77777777" w:rsidR="00EC78A0" w:rsidRPr="001A0BAA" w:rsidRDefault="00EC78A0" w:rsidP="00EC78A0">
      <w:pPr>
        <w:spacing w:after="0" w:line="240" w:lineRule="auto"/>
        <w:jc w:val="both"/>
        <w:rPr>
          <w:rFonts w:ascii="Times New Roman" w:hAnsi="Times New Roman"/>
          <w:color w:val="0070C0"/>
          <w:sz w:val="16"/>
          <w:szCs w:val="16"/>
        </w:rPr>
      </w:pPr>
    </w:p>
    <w:p w14:paraId="2DF71FDD"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Авиапромышленность:</w:t>
      </w:r>
    </w:p>
    <w:p w14:paraId="7C8E3640"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0004AF"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се</w:t>
      </w:r>
      <w:r w:rsidRPr="001A0BAA">
        <w:rPr>
          <w:rFonts w:ascii="Times New Roman" w:hAnsi="Times New Roman"/>
          <w:color w:val="0070C0"/>
          <w:sz w:val="16"/>
          <w:szCs w:val="16"/>
        </w:rPr>
        <w:softHyphen/>
        <w:t>редины 1944 г. в конструкцию массового Пе-2 вносили лишь относительно не</w:t>
      </w:r>
      <w:r w:rsidRPr="001A0BAA">
        <w:rPr>
          <w:rFonts w:ascii="Times New Roman" w:hAnsi="Times New Roman"/>
          <w:color w:val="0070C0"/>
          <w:sz w:val="16"/>
          <w:szCs w:val="16"/>
        </w:rPr>
        <w:softHyphen/>
        <w:t>большие изменения, почти не сказывав</w:t>
      </w:r>
      <w:r w:rsidRPr="001A0BAA">
        <w:rPr>
          <w:rFonts w:ascii="Times New Roman" w:hAnsi="Times New Roman"/>
          <w:color w:val="0070C0"/>
          <w:sz w:val="16"/>
          <w:szCs w:val="16"/>
        </w:rPr>
        <w:softHyphen/>
        <w:t>шиеся ни на внешнем облике, ни на лет</w:t>
      </w:r>
      <w:r w:rsidRPr="001A0BAA">
        <w:rPr>
          <w:rFonts w:ascii="Times New Roman" w:hAnsi="Times New Roman"/>
          <w:color w:val="0070C0"/>
          <w:sz w:val="16"/>
          <w:szCs w:val="16"/>
        </w:rPr>
        <w:softHyphen/>
        <w:t>ных характеристиках. С 354-й серии уже большую часть машин стали оснащать индивидуальными выхлопными патруб</w:t>
      </w:r>
      <w:r w:rsidRPr="001A0BAA">
        <w:rPr>
          <w:rFonts w:ascii="Times New Roman" w:hAnsi="Times New Roman"/>
          <w:color w:val="0070C0"/>
          <w:sz w:val="16"/>
          <w:szCs w:val="16"/>
        </w:rPr>
        <w:softHyphen/>
        <w:t>ками, с 359-й все самолеты оборудовали ими. С 382-й серии поставили более мощный пневмопуск. Меняли прицелы, радио- и кислородное оборудование, приборы, вносили мелкие аэродина</w:t>
      </w:r>
      <w:r w:rsidRPr="001A0BAA">
        <w:rPr>
          <w:rFonts w:ascii="Times New Roman" w:hAnsi="Times New Roman"/>
          <w:color w:val="0070C0"/>
          <w:sz w:val="16"/>
          <w:szCs w:val="16"/>
        </w:rPr>
        <w:softHyphen/>
        <w:t>мические усовершенствования Напри</w:t>
      </w:r>
      <w:r w:rsidRPr="001A0BAA">
        <w:rPr>
          <w:rFonts w:ascii="Times New Roman" w:hAnsi="Times New Roman"/>
          <w:color w:val="0070C0"/>
          <w:sz w:val="16"/>
          <w:szCs w:val="16"/>
        </w:rPr>
        <w:softHyphen/>
        <w:t>мер, с 410-й серии закрыли крышечка</w:t>
      </w:r>
      <w:r w:rsidRPr="001A0BAA">
        <w:rPr>
          <w:rFonts w:ascii="Times New Roman" w:hAnsi="Times New Roman"/>
          <w:color w:val="0070C0"/>
          <w:sz w:val="16"/>
          <w:szCs w:val="16"/>
        </w:rPr>
        <w:softHyphen/>
        <w:t>ми гнезда для установки перекидного пулемета ШКАС, а с 411-й - заклеили лентами щели в зализах (24934).</w:t>
      </w:r>
    </w:p>
    <w:p w14:paraId="27C0A250" w14:textId="77777777" w:rsidR="00EC78A0" w:rsidRPr="001A0BAA" w:rsidRDefault="00EC78A0" w:rsidP="00EC78A0">
      <w:pPr>
        <w:spacing w:after="0" w:line="240" w:lineRule="auto"/>
        <w:jc w:val="both"/>
        <w:rPr>
          <w:rFonts w:ascii="Times New Roman" w:hAnsi="Times New Roman"/>
          <w:color w:val="0070C0"/>
          <w:sz w:val="16"/>
          <w:szCs w:val="16"/>
        </w:rPr>
      </w:pPr>
    </w:p>
    <w:p w14:paraId="241FB0E7"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середине 1944 г. в связи с ожидавшимся началом крупных наступательных операций в Центральной Европе за пределами СССР, которые предусматривали бомбардировки силами фронтовой авиации объектов транспорта и промышленности непосредственно в городах, где противник широко использовал аэростаты воздушного заграждения, поступило предложение оборудовать самолеты Петляков Пе-2 и Туполев Ту-2 устройствами «Параван» для предохранения столкновения с их тросами фюзеляжем, винтомоторными установками и крылом.</w:t>
      </w:r>
    </w:p>
    <w:p w14:paraId="6ED25F96"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Проект для самолета Пе-2 выполнялся одновременно с таким же для самолета Ту-2 и применял схожие решения:</w:t>
      </w:r>
    </w:p>
    <w:p w14:paraId="17A9FD3F"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сняты курсовые пулеметы в носовой части фюзеляжа;</w:t>
      </w:r>
    </w:p>
    <w:p w14:paraId="6F65282F"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на носовой части самолета установлена тонкая пирамидальная ферма длиной 5 м из дюралевых труб на заклепках;</w:t>
      </w:r>
    </w:p>
    <w:p w14:paraId="16C38C29"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на концах крыла установлены стальные стреловидные «режущие грани»;</w:t>
      </w:r>
    </w:p>
    <w:p w14:paraId="66E4C8C0"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между передним концом фермы и основаниями «режущих граней» протянуты стальные тросы – при столкновении с ними тросы аэростатов должны соскальзывать к «режущим кромкам», которые его должны рассечь – при этом аэростат взмывает вверх и перестает быть опасен для других самолетов (25492).</w:t>
      </w:r>
    </w:p>
    <w:p w14:paraId="71F64F01" w14:textId="77777777" w:rsidR="00EC78A0" w:rsidRPr="001A0BAA" w:rsidRDefault="00EC78A0" w:rsidP="00EC78A0">
      <w:pPr>
        <w:spacing w:after="0" w:line="240" w:lineRule="auto"/>
        <w:jc w:val="both"/>
        <w:rPr>
          <w:rFonts w:ascii="Times New Roman" w:hAnsi="Times New Roman"/>
          <w:color w:val="0070C0"/>
          <w:sz w:val="16"/>
          <w:szCs w:val="16"/>
        </w:rPr>
      </w:pPr>
    </w:p>
    <w:p w14:paraId="1141D0BA"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середине 1944 года на заводе № 23 удалось справиться с проблемами выпуска Ту-2. Всего в 1944 году завод № 23 выпустил 378 самолетов, а в 1945 году – еще 742. Оба завода (№ 166 и № 23) выпустили в 1945 году 1216 Ту</w:t>
      </w:r>
      <w:r w:rsidRPr="001A0BAA">
        <w:rPr>
          <w:rFonts w:ascii="Times New Roman" w:hAnsi="Times New Roman"/>
          <w:color w:val="0070C0"/>
          <w:sz w:val="16"/>
          <w:szCs w:val="16"/>
        </w:rPr>
        <w:noBreakHyphen/>
        <w:t>2, из которых 764 успели принять участие в боевых действиях (25074).</w:t>
      </w:r>
    </w:p>
    <w:p w14:paraId="24F130AF" w14:textId="77777777" w:rsidR="00EC78A0" w:rsidRPr="001A0BAA" w:rsidRDefault="00EC78A0" w:rsidP="00EC78A0">
      <w:pPr>
        <w:spacing w:after="0" w:line="240" w:lineRule="auto"/>
        <w:jc w:val="both"/>
        <w:rPr>
          <w:rFonts w:ascii="Times New Roman" w:hAnsi="Times New Roman"/>
          <w:color w:val="0070C0"/>
          <w:sz w:val="16"/>
          <w:szCs w:val="16"/>
        </w:rPr>
      </w:pPr>
    </w:p>
    <w:p w14:paraId="4EA52E0E" w14:textId="77777777" w:rsidR="000F0D8A" w:rsidRPr="00070ADE" w:rsidRDefault="000F0D8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lang w:eastAsia="ru-RU" w:bidi="ru-RU"/>
        </w:rPr>
        <w:t>С середины 1944 г. завод №23 совместно с туполевцами начал вносить в серийные машины различные усовер</w:t>
      </w:r>
      <w:r w:rsidRPr="00070ADE">
        <w:rPr>
          <w:rFonts w:ascii="Times New Roman" w:hAnsi="Times New Roman"/>
          <w:color w:val="000000" w:themeColor="text1"/>
          <w:sz w:val="16"/>
          <w:szCs w:val="16"/>
          <w:lang w:eastAsia="ru-RU" w:bidi="ru-RU"/>
        </w:rPr>
        <w:softHyphen/>
        <w:t>шенствования.</w:t>
      </w:r>
    </w:p>
    <w:p w14:paraId="31E4B24B" w14:textId="77777777" w:rsidR="000F0D8A" w:rsidRPr="00070ADE" w:rsidRDefault="000F0D8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lang w:eastAsia="ru-RU" w:bidi="ru-RU"/>
        </w:rPr>
        <w:t>Все конструкторское бюро к этому времени уже перебралось в Москву, раз</w:t>
      </w:r>
      <w:r w:rsidRPr="00070ADE">
        <w:rPr>
          <w:rFonts w:ascii="Times New Roman" w:hAnsi="Times New Roman"/>
          <w:color w:val="000000" w:themeColor="text1"/>
          <w:sz w:val="16"/>
          <w:szCs w:val="16"/>
          <w:lang w:eastAsia="ru-RU" w:bidi="ru-RU"/>
        </w:rPr>
        <w:softHyphen/>
        <w:t>местившись в старом здании на улице Радио. Завод №156 выполнял функции опытного производства, производя необ</w:t>
      </w:r>
      <w:r w:rsidRPr="00070ADE">
        <w:rPr>
          <w:rFonts w:ascii="Times New Roman" w:hAnsi="Times New Roman"/>
          <w:color w:val="000000" w:themeColor="text1"/>
          <w:sz w:val="16"/>
          <w:szCs w:val="16"/>
          <w:lang w:eastAsia="ru-RU" w:bidi="ru-RU"/>
        </w:rPr>
        <w:softHyphen/>
        <w:t>ходимые доработки, которые затем опро</w:t>
      </w:r>
      <w:r w:rsidRPr="00070ADE">
        <w:rPr>
          <w:rFonts w:ascii="Times New Roman" w:hAnsi="Times New Roman"/>
          <w:color w:val="000000" w:themeColor="text1"/>
          <w:sz w:val="16"/>
          <w:szCs w:val="16"/>
          <w:lang w:eastAsia="ru-RU" w:bidi="ru-RU"/>
        </w:rPr>
        <w:softHyphen/>
        <w:t>бовались летчиками-испытателями.</w:t>
      </w:r>
    </w:p>
    <w:p w14:paraId="2D98AD9B" w14:textId="77777777" w:rsidR="000F0D8A" w:rsidRPr="00070ADE" w:rsidRDefault="000F0D8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lang w:eastAsia="ru-RU" w:bidi="ru-RU"/>
        </w:rPr>
        <w:lastRenderedPageBreak/>
        <w:t>На серийных машинах улучшили гер</w:t>
      </w:r>
      <w:r w:rsidRPr="00070ADE">
        <w:rPr>
          <w:rFonts w:ascii="Times New Roman" w:hAnsi="Times New Roman"/>
          <w:color w:val="000000" w:themeColor="text1"/>
          <w:sz w:val="16"/>
          <w:szCs w:val="16"/>
          <w:lang w:eastAsia="ru-RU" w:bidi="ru-RU"/>
        </w:rPr>
        <w:softHyphen/>
        <w:t>метизацию планера, крыло стали шпа</w:t>
      </w:r>
      <w:r w:rsidRPr="00070ADE">
        <w:rPr>
          <w:rFonts w:ascii="Times New Roman" w:hAnsi="Times New Roman"/>
          <w:color w:val="000000" w:themeColor="text1"/>
          <w:sz w:val="16"/>
          <w:szCs w:val="16"/>
          <w:lang w:eastAsia="ru-RU" w:bidi="ru-RU"/>
        </w:rPr>
        <w:softHyphen/>
        <w:t>клевать и оклеивать полотном. Послед</w:t>
      </w:r>
      <w:r w:rsidRPr="00070ADE">
        <w:rPr>
          <w:rFonts w:ascii="Times New Roman" w:hAnsi="Times New Roman"/>
          <w:color w:val="000000" w:themeColor="text1"/>
          <w:sz w:val="16"/>
          <w:szCs w:val="16"/>
          <w:lang w:eastAsia="ru-RU" w:bidi="ru-RU"/>
        </w:rPr>
        <w:softHyphen/>
        <w:t>нее немного подняло вес, но улучшило аэродинамику, скрыв часть огрехов из</w:t>
      </w:r>
      <w:r w:rsidRPr="00070ADE">
        <w:rPr>
          <w:rFonts w:ascii="Times New Roman" w:hAnsi="Times New Roman"/>
          <w:color w:val="000000" w:themeColor="text1"/>
          <w:sz w:val="16"/>
          <w:szCs w:val="16"/>
          <w:lang w:eastAsia="ru-RU" w:bidi="ru-RU"/>
        </w:rPr>
        <w:softHyphen/>
        <w:t>готовления. Как уже говорилось, путе</w:t>
      </w:r>
      <w:r w:rsidRPr="00070ADE">
        <w:rPr>
          <w:rFonts w:ascii="Times New Roman" w:hAnsi="Times New Roman"/>
          <w:color w:val="000000" w:themeColor="text1"/>
          <w:sz w:val="16"/>
          <w:szCs w:val="16"/>
          <w:lang w:eastAsia="ru-RU" w:bidi="ru-RU"/>
        </w:rPr>
        <w:softHyphen/>
        <w:t>вую устойчивость Ту-2 в НИИ ВВС оцени</w:t>
      </w:r>
      <w:r w:rsidRPr="00070ADE">
        <w:rPr>
          <w:rFonts w:ascii="Times New Roman" w:hAnsi="Times New Roman"/>
          <w:color w:val="000000" w:themeColor="text1"/>
          <w:sz w:val="16"/>
          <w:szCs w:val="16"/>
          <w:lang w:eastAsia="ru-RU" w:bidi="ru-RU"/>
        </w:rPr>
        <w:softHyphen/>
        <w:t>вали как неудовлетворительную. Поэтому в феврале 1944 г. на самолете №100716 смонтировали кили с увеличенной пло</w:t>
      </w:r>
      <w:r w:rsidRPr="00070ADE">
        <w:rPr>
          <w:rFonts w:ascii="Times New Roman" w:hAnsi="Times New Roman"/>
          <w:color w:val="000000" w:themeColor="text1"/>
          <w:sz w:val="16"/>
          <w:szCs w:val="16"/>
          <w:lang w:eastAsia="ru-RU" w:bidi="ru-RU"/>
        </w:rPr>
        <w:softHyphen/>
        <w:t>щадью верхней части. Устойчивость дей</w:t>
      </w:r>
      <w:r w:rsidRPr="00070ADE">
        <w:rPr>
          <w:rFonts w:ascii="Times New Roman" w:hAnsi="Times New Roman"/>
          <w:color w:val="000000" w:themeColor="text1"/>
          <w:sz w:val="16"/>
          <w:szCs w:val="16"/>
          <w:lang w:eastAsia="ru-RU" w:bidi="ru-RU"/>
        </w:rPr>
        <w:softHyphen/>
        <w:t>ствительно улучшилась. По результатам испытаний в марте новое оперение ре</w:t>
      </w:r>
      <w:r w:rsidRPr="00070ADE">
        <w:rPr>
          <w:rFonts w:ascii="Times New Roman" w:hAnsi="Times New Roman"/>
          <w:color w:val="000000" w:themeColor="text1"/>
          <w:sz w:val="16"/>
          <w:szCs w:val="16"/>
          <w:lang w:eastAsia="ru-RU" w:bidi="ru-RU"/>
        </w:rPr>
        <w:softHyphen/>
        <w:t>комендовали к внедрению на серийных бомбардировщиках.</w:t>
      </w:r>
    </w:p>
    <w:p w14:paraId="5548DC4A" w14:textId="77777777" w:rsidR="000F0D8A" w:rsidRPr="00070ADE" w:rsidRDefault="000F0D8A" w:rsidP="00B56F90">
      <w:pPr>
        <w:spacing w:after="0" w:line="240" w:lineRule="auto"/>
        <w:jc w:val="both"/>
        <w:rPr>
          <w:rFonts w:ascii="Times New Roman" w:hAnsi="Times New Roman"/>
          <w:color w:val="000000" w:themeColor="text1"/>
          <w:sz w:val="16"/>
          <w:szCs w:val="16"/>
          <w:lang w:eastAsia="ru-RU" w:bidi="ru-RU"/>
        </w:rPr>
      </w:pPr>
      <w:r w:rsidRPr="00070ADE">
        <w:rPr>
          <w:rFonts w:ascii="Times New Roman" w:hAnsi="Times New Roman"/>
          <w:color w:val="000000" w:themeColor="text1"/>
          <w:sz w:val="16"/>
          <w:szCs w:val="16"/>
          <w:lang w:eastAsia="ru-RU" w:bidi="ru-RU"/>
        </w:rPr>
        <w:t>Ввели усиленные коки винтов, нем</w:t>
      </w:r>
      <w:r w:rsidRPr="00070ADE">
        <w:rPr>
          <w:rFonts w:ascii="Times New Roman" w:hAnsi="Times New Roman"/>
          <w:color w:val="000000" w:themeColor="text1"/>
          <w:sz w:val="16"/>
          <w:szCs w:val="16"/>
          <w:lang w:eastAsia="ru-RU" w:bidi="ru-RU"/>
        </w:rPr>
        <w:softHyphen/>
        <w:t>ного изменили раскрой обшивки на кон</w:t>
      </w:r>
      <w:r w:rsidRPr="00070ADE">
        <w:rPr>
          <w:rFonts w:ascii="Times New Roman" w:hAnsi="Times New Roman"/>
          <w:color w:val="000000" w:themeColor="text1"/>
          <w:sz w:val="16"/>
          <w:szCs w:val="16"/>
          <w:lang w:eastAsia="ru-RU" w:bidi="ru-RU"/>
        </w:rPr>
        <w:softHyphen/>
        <w:t>солях, применили новые выхлопные коллекторы. Улучшение снабжения лег</w:t>
      </w:r>
      <w:r w:rsidRPr="00070ADE">
        <w:rPr>
          <w:rFonts w:ascii="Times New Roman" w:hAnsi="Times New Roman"/>
          <w:color w:val="000000" w:themeColor="text1"/>
          <w:sz w:val="16"/>
          <w:szCs w:val="16"/>
          <w:lang w:eastAsia="ru-RU" w:bidi="ru-RU"/>
        </w:rPr>
        <w:softHyphen/>
        <w:t>кими сплавами позволило уже с 3-й се</w:t>
      </w:r>
      <w:r w:rsidRPr="00070ADE">
        <w:rPr>
          <w:rFonts w:ascii="Times New Roman" w:hAnsi="Times New Roman"/>
          <w:color w:val="000000" w:themeColor="text1"/>
          <w:sz w:val="16"/>
          <w:szCs w:val="16"/>
          <w:lang w:eastAsia="ru-RU" w:bidi="ru-RU"/>
        </w:rPr>
        <w:softHyphen/>
        <w:t>рии заменить часть шпона на обшивке носа фюзеляжа металлическим листом. Теперь деревянным остался только уча</w:t>
      </w:r>
      <w:r w:rsidRPr="00070ADE">
        <w:rPr>
          <w:rFonts w:ascii="Times New Roman" w:hAnsi="Times New Roman"/>
          <w:color w:val="000000" w:themeColor="text1"/>
          <w:sz w:val="16"/>
          <w:szCs w:val="16"/>
          <w:lang w:eastAsia="ru-RU" w:bidi="ru-RU"/>
        </w:rPr>
        <w:softHyphen/>
        <w:t>сток между 1-м и 3-м шпангоутами. С 8-й серии откидную створку люковой установки заменили неподвижным ко</w:t>
      </w:r>
      <w:r w:rsidRPr="00070ADE">
        <w:rPr>
          <w:rFonts w:ascii="Times New Roman" w:hAnsi="Times New Roman"/>
          <w:color w:val="000000" w:themeColor="text1"/>
          <w:sz w:val="16"/>
          <w:szCs w:val="16"/>
          <w:lang w:eastAsia="ru-RU" w:bidi="ru-RU"/>
        </w:rPr>
        <w:softHyphen/>
        <w:t>зырьком. С 11-й серии сферический ги</w:t>
      </w:r>
      <w:r w:rsidRPr="00070ADE">
        <w:rPr>
          <w:rFonts w:ascii="Times New Roman" w:hAnsi="Times New Roman"/>
          <w:color w:val="000000" w:themeColor="text1"/>
          <w:sz w:val="16"/>
          <w:szCs w:val="16"/>
          <w:lang w:eastAsia="ru-RU" w:bidi="ru-RU"/>
        </w:rPr>
        <w:softHyphen/>
        <w:t>дроаккумулятор (большей емкости) при</w:t>
      </w:r>
      <w:r w:rsidRPr="00070ADE">
        <w:rPr>
          <w:rFonts w:ascii="Times New Roman" w:hAnsi="Times New Roman"/>
          <w:color w:val="000000" w:themeColor="text1"/>
          <w:sz w:val="16"/>
          <w:szCs w:val="16"/>
          <w:lang w:eastAsia="ru-RU" w:bidi="ru-RU"/>
        </w:rPr>
        <w:softHyphen/>
        <w:t>шел на смену цилиндрическому. Уси</w:t>
      </w:r>
      <w:r w:rsidRPr="00070ADE">
        <w:rPr>
          <w:rFonts w:ascii="Times New Roman" w:hAnsi="Times New Roman"/>
          <w:color w:val="000000" w:themeColor="text1"/>
          <w:sz w:val="16"/>
          <w:szCs w:val="16"/>
          <w:lang w:eastAsia="ru-RU" w:bidi="ru-RU"/>
        </w:rPr>
        <w:softHyphen/>
        <w:t>лили задние подкосы шасси. Изменили всасывающие патрубки моторов, что не</w:t>
      </w:r>
      <w:r w:rsidRPr="00070ADE">
        <w:rPr>
          <w:rFonts w:ascii="Times New Roman" w:hAnsi="Times New Roman"/>
          <w:color w:val="000000" w:themeColor="text1"/>
          <w:sz w:val="16"/>
          <w:szCs w:val="16"/>
          <w:lang w:eastAsia="ru-RU" w:bidi="ru-RU"/>
        </w:rPr>
        <w:softHyphen/>
        <w:t>сколько повысило реально развиваемую ими мощность. Внедрили более толстую обтяжку на рулях поворота. Смонтиро</w:t>
      </w:r>
      <w:r w:rsidRPr="00070ADE">
        <w:rPr>
          <w:rFonts w:ascii="Times New Roman" w:hAnsi="Times New Roman"/>
          <w:color w:val="000000" w:themeColor="text1"/>
          <w:sz w:val="16"/>
          <w:szCs w:val="16"/>
          <w:lang w:eastAsia="ru-RU" w:bidi="ru-RU"/>
        </w:rPr>
        <w:softHyphen/>
        <w:t>вали новые кислородные приборы КП-12 вместо КП-Збис (с самолета №3/20), вер</w:t>
      </w:r>
      <w:r w:rsidRPr="00070ADE">
        <w:rPr>
          <w:rFonts w:ascii="Times New Roman" w:hAnsi="Times New Roman"/>
          <w:color w:val="000000" w:themeColor="text1"/>
          <w:sz w:val="16"/>
          <w:szCs w:val="16"/>
          <w:lang w:eastAsia="ru-RU" w:bidi="ru-RU"/>
        </w:rPr>
        <w:softHyphen/>
        <w:t>нули назад посадочную фару на левом крыле, ранее сочтенную ненужной ро</w:t>
      </w:r>
      <w:r w:rsidRPr="00070ADE">
        <w:rPr>
          <w:rFonts w:ascii="Times New Roman" w:hAnsi="Times New Roman"/>
          <w:color w:val="000000" w:themeColor="text1"/>
          <w:sz w:val="16"/>
          <w:szCs w:val="16"/>
          <w:lang w:eastAsia="ru-RU" w:bidi="ru-RU"/>
        </w:rPr>
        <w:softHyphen/>
        <w:t>скошью. На одном самолете поставили даже две фары, на другом обеспечили отопление кабин теплым воздухом (21060).</w:t>
      </w:r>
    </w:p>
    <w:p w14:paraId="6737D993" w14:textId="77777777" w:rsidR="000F0D8A" w:rsidRPr="00070ADE" w:rsidRDefault="000F0D8A" w:rsidP="00B56F90">
      <w:pPr>
        <w:spacing w:after="0" w:line="240" w:lineRule="auto"/>
        <w:jc w:val="both"/>
        <w:rPr>
          <w:rFonts w:ascii="Times New Roman" w:hAnsi="Times New Roman"/>
          <w:color w:val="000000" w:themeColor="text1"/>
          <w:sz w:val="16"/>
          <w:szCs w:val="16"/>
        </w:rPr>
      </w:pPr>
    </w:p>
    <w:p w14:paraId="051F9D32" w14:textId="77777777" w:rsidR="00EC78A0" w:rsidRPr="00070ADE" w:rsidRDefault="00EC78A0" w:rsidP="00EC78A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середине 1944 г. эскизное проектирование самоле</w:t>
      </w:r>
      <w:r w:rsidRPr="00070ADE">
        <w:rPr>
          <w:rFonts w:ascii="Times New Roman" w:hAnsi="Times New Roman"/>
          <w:color w:val="000000" w:themeColor="text1"/>
          <w:sz w:val="16"/>
          <w:szCs w:val="16"/>
        </w:rPr>
        <w:softHyphen/>
        <w:t>та ББ близилось к окончанию. Оставалось определиться с типом мотора. Требовалась мощность не менее 2200-2500 л.с. Николай Николаевич склонялся к исполь</w:t>
      </w:r>
      <w:r w:rsidRPr="00070ADE">
        <w:rPr>
          <w:rFonts w:ascii="Times New Roman" w:hAnsi="Times New Roman"/>
          <w:color w:val="000000" w:themeColor="text1"/>
          <w:sz w:val="16"/>
          <w:szCs w:val="16"/>
        </w:rPr>
        <w:softHyphen/>
        <w:t>зованию двигателей А.А.Микулина. Но завершить заду</w:t>
      </w:r>
      <w:r w:rsidRPr="00070ADE">
        <w:rPr>
          <w:rFonts w:ascii="Times New Roman" w:hAnsi="Times New Roman"/>
          <w:color w:val="000000" w:themeColor="text1"/>
          <w:sz w:val="16"/>
          <w:szCs w:val="16"/>
        </w:rPr>
        <w:softHyphen/>
        <w:t>манное не удалось (10667).</w:t>
      </w:r>
    </w:p>
    <w:p w14:paraId="28DE497A" w14:textId="77777777" w:rsidR="00EC78A0" w:rsidRPr="00070ADE" w:rsidRDefault="00EC78A0" w:rsidP="00EC78A0">
      <w:pPr>
        <w:autoSpaceDE w:val="0"/>
        <w:autoSpaceDN w:val="0"/>
        <w:adjustRightInd w:val="0"/>
        <w:spacing w:after="0" w:line="240" w:lineRule="auto"/>
        <w:jc w:val="both"/>
        <w:rPr>
          <w:rFonts w:ascii="Times New Roman" w:hAnsi="Times New Roman"/>
          <w:color w:val="000000" w:themeColor="text1"/>
          <w:sz w:val="16"/>
          <w:szCs w:val="16"/>
        </w:rPr>
      </w:pPr>
    </w:p>
    <w:p w14:paraId="72B59DA4"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середине 1944 г. эскизное проектирование самолета Б.Б. Н.Н.П. было близко к окончанию. Оставалось определиться с типом мотора. Требовалась мощность не менее 2200–2500 л.с. Николай Николаевич склонялся к использованию двигателей А. А. Микулина. Но завершить задуманное не удалось (25035).</w:t>
      </w:r>
    </w:p>
    <w:p w14:paraId="3C6D91FE" w14:textId="77777777" w:rsidR="00EC78A0" w:rsidRPr="001A0BAA" w:rsidRDefault="00EC78A0" w:rsidP="00EC78A0">
      <w:pPr>
        <w:spacing w:after="0" w:line="240" w:lineRule="auto"/>
        <w:jc w:val="both"/>
        <w:rPr>
          <w:rStyle w:val="aff1"/>
          <w:rFonts w:ascii="Times New Roman" w:hAnsi="Times New Roman" w:cs="Times New Roman"/>
          <w:color w:val="0070C0"/>
          <w:spacing w:val="0"/>
          <w:sz w:val="16"/>
          <w:szCs w:val="16"/>
        </w:rPr>
      </w:pPr>
    </w:p>
    <w:p w14:paraId="4827E5F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середине 1944 в ОКБ-156 был принят к разработке второй вариант самолета 64 - ТБ с АЧ-30БФ и АШ-83 (2494,15).</w:t>
      </w:r>
    </w:p>
    <w:p w14:paraId="3DAF0E9A"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CFEECD"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середине 1944 г. С.М.Алексеев начал заниматься цельнометаллическим Ла. Цельнометаллический Лавочкин под обозначением Ла-9 был запущен в серийное производство в августе 1946 г. (4707).</w:t>
      </w:r>
    </w:p>
    <w:p w14:paraId="67092BE7"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E61974"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середине 1944 г. на фронте Як-9 было больше, чем всех других со</w:t>
      </w:r>
      <w:r w:rsidRPr="00070ADE">
        <w:rPr>
          <w:rFonts w:ascii="Times New Roman" w:hAnsi="Times New Roman"/>
          <w:color w:val="000000" w:themeColor="text1"/>
          <w:sz w:val="16"/>
          <w:szCs w:val="16"/>
        </w:rPr>
        <w:softHyphen/>
        <w:t>ветских истребителей, вместе взятых. Як-9 выпускался дольше, чем какой-либо другой советский истребитель, применяемый в боевых действиях Второй мировой войны: его производство завершилось только в декабре 1948 г., при этом общее число пос</w:t>
      </w:r>
      <w:r w:rsidRPr="00070ADE">
        <w:rPr>
          <w:rFonts w:ascii="Times New Roman" w:hAnsi="Times New Roman"/>
          <w:color w:val="000000" w:themeColor="text1"/>
          <w:sz w:val="16"/>
          <w:szCs w:val="16"/>
        </w:rPr>
        <w:softHyphen/>
        <w:t>троенных достигло 16769. По многообра</w:t>
      </w:r>
      <w:r w:rsidRPr="00070ADE">
        <w:rPr>
          <w:rFonts w:ascii="Times New Roman" w:hAnsi="Times New Roman"/>
          <w:color w:val="000000" w:themeColor="text1"/>
          <w:sz w:val="16"/>
          <w:szCs w:val="16"/>
        </w:rPr>
        <w:softHyphen/>
        <w:t>зию серийных модификаций и широте при</w:t>
      </w:r>
      <w:r w:rsidRPr="00070ADE">
        <w:rPr>
          <w:rFonts w:ascii="Times New Roman" w:hAnsi="Times New Roman"/>
          <w:color w:val="000000" w:themeColor="text1"/>
          <w:sz w:val="16"/>
          <w:szCs w:val="16"/>
        </w:rPr>
        <w:softHyphen/>
        <w:t>менения Як-9 не было равных в ВВС РККА. До окончания войны в Европе, то есть за два с половиной года с начала производства, авиационная промышленность СССР изготовила 14579 самолетов этого типа. Это больше, чем об</w:t>
      </w:r>
      <w:r w:rsidRPr="00070ADE">
        <w:rPr>
          <w:rFonts w:ascii="Times New Roman" w:hAnsi="Times New Roman"/>
          <w:color w:val="000000" w:themeColor="text1"/>
          <w:sz w:val="16"/>
          <w:szCs w:val="16"/>
        </w:rPr>
        <w:softHyphen/>
        <w:t>щее число построенных Як-1 и Як-7, и при</w:t>
      </w:r>
      <w:r w:rsidRPr="00070ADE">
        <w:rPr>
          <w:rFonts w:ascii="Times New Roman" w:hAnsi="Times New Roman"/>
          <w:color w:val="000000" w:themeColor="text1"/>
          <w:sz w:val="16"/>
          <w:szCs w:val="16"/>
        </w:rPr>
        <w:softHyphen/>
        <w:t>близительно столько же, сколько амери</w:t>
      </w:r>
      <w:r w:rsidRPr="00070ADE">
        <w:rPr>
          <w:rFonts w:ascii="Times New Roman" w:hAnsi="Times New Roman"/>
          <w:color w:val="000000" w:themeColor="text1"/>
          <w:sz w:val="16"/>
          <w:szCs w:val="16"/>
        </w:rPr>
        <w:softHyphen/>
        <w:t>канцы выпустили своих лучших истребите</w:t>
      </w:r>
      <w:r w:rsidRPr="00070ADE">
        <w:rPr>
          <w:rFonts w:ascii="Times New Roman" w:hAnsi="Times New Roman"/>
          <w:color w:val="000000" w:themeColor="text1"/>
          <w:sz w:val="16"/>
          <w:szCs w:val="16"/>
        </w:rPr>
        <w:softHyphen/>
        <w:t>лей Р-51 Мустанг за четыре военных года. «Девятка» эксплуатировалась в строе</w:t>
      </w:r>
      <w:r w:rsidRPr="00070ADE">
        <w:rPr>
          <w:rFonts w:ascii="Times New Roman" w:hAnsi="Times New Roman"/>
          <w:color w:val="000000" w:themeColor="text1"/>
          <w:sz w:val="16"/>
          <w:szCs w:val="16"/>
        </w:rPr>
        <w:softHyphen/>
        <w:t>вых частях дольше других поршневых ист</w:t>
      </w:r>
      <w:r w:rsidRPr="00070ADE">
        <w:rPr>
          <w:rFonts w:ascii="Times New Roman" w:hAnsi="Times New Roman"/>
          <w:color w:val="000000" w:themeColor="text1"/>
          <w:sz w:val="16"/>
          <w:szCs w:val="16"/>
        </w:rPr>
        <w:softHyphen/>
        <w:t>ребителей КБ А.С. Яковлева. Самолеты этого типа весьма широко поставлялись дружественным СССР странам, поступив на вооружение в Албанию, Болгарию, Вен</w:t>
      </w:r>
      <w:r w:rsidRPr="00070ADE">
        <w:rPr>
          <w:rFonts w:ascii="Times New Roman" w:hAnsi="Times New Roman"/>
          <w:color w:val="000000" w:themeColor="text1"/>
          <w:sz w:val="16"/>
          <w:szCs w:val="16"/>
        </w:rPr>
        <w:softHyphen/>
        <w:t>грию, Китай, Польшу, Северную Корею и Югославию (10712).</w:t>
      </w:r>
    </w:p>
    <w:p w14:paraId="476B5D7E"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EA5EED" w14:textId="77777777" w:rsidR="00EC78A0" w:rsidRPr="00070ADE" w:rsidRDefault="00EC78A0" w:rsidP="00EC78A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середине 1944 г. заводом №155 в Москве была начата постройка самолета МиГ «4А» (в сводке по НКАП по высотным перехватчикам от 2 июля самолет был уже упомянут как строящийся) и завершена в первой половине сентября того же года. На испытания его сдали в полной комплектации силовой установки, СКВ, оборудования и вооружения и всё это было рабочим, а не макетным. Наземная проверка и отладка систем самолета прошла быстро и не выявила недостатков в их работе, поскольку пушки, по</w:t>
      </w:r>
      <w:r w:rsidRPr="00070ADE">
        <w:rPr>
          <w:rFonts w:ascii="Times New Roman" w:hAnsi="Times New Roman"/>
          <w:color w:val="000000" w:themeColor="text1"/>
          <w:sz w:val="16"/>
          <w:szCs w:val="16"/>
        </w:rPr>
        <w:noBreakHyphen/>
        <w:t>видимому, на этот раз не отстреливали. По данным взвешивания в сравнении с И</w:t>
      </w:r>
      <w:r w:rsidRPr="00070ADE">
        <w:rPr>
          <w:rFonts w:ascii="Times New Roman" w:hAnsi="Times New Roman"/>
          <w:color w:val="000000" w:themeColor="text1"/>
          <w:sz w:val="16"/>
          <w:szCs w:val="16"/>
        </w:rPr>
        <w:noBreakHyphen/>
        <w:t>222 удалось уменьшить массу пустого самолета на 62 кг или на 2%. Превышение этой величины над расчетным её значением составило всего 35 кг или немногим более одного процента, что было очень хорошим результатом. Сведения о ходе летных испытаний самолета противоречивы, но по наиболее достоверным данным первый полёт с Центрального аэродрома имени Фрунзе в Москве выполнил летчик</w:t>
      </w:r>
      <w:r w:rsidRPr="00070ADE">
        <w:rPr>
          <w:rFonts w:ascii="Times New Roman" w:hAnsi="Times New Roman"/>
          <w:color w:val="000000" w:themeColor="text1"/>
          <w:sz w:val="16"/>
          <w:szCs w:val="16"/>
        </w:rPr>
        <w:noBreakHyphen/>
        <w:t>испытатель ЛИИ НКАП Георгий Михайлович Шиянов 16 сентября 1944 г. А через две недели, т.е. примерно 30 сентября, самолет потер</w:t>
      </w:r>
      <w:r w:rsidRPr="00070ADE">
        <w:rPr>
          <w:rFonts w:ascii="Times New Roman" w:hAnsi="Times New Roman"/>
          <w:color w:val="000000" w:themeColor="text1"/>
          <w:sz w:val="16"/>
          <w:szCs w:val="16"/>
        </w:rPr>
        <w:noBreakHyphen/>
        <w:t xml:space="preserve"> пел серьёзную поломку. Это согласуется со сведениями в «Хрониках авиации Ивана Родионова» со ссылкой на архивные данные (РГАЭ, ф. 8044). Там сказано, что в четверг 28 сентября 1944 г. во время очередного испытательного полета, который также выполнял Шиянов, по причине масляного голодания произошёл отказ двигателя. Пилот развернулся для захода на аэродром, но на вынужденной посадке перед касанием земли машина вдруг «провалилась» на 4–5 м, правая опора шасси раз</w:t>
      </w:r>
      <w:r w:rsidRPr="00070ADE">
        <w:rPr>
          <w:rFonts w:ascii="Times New Roman" w:hAnsi="Times New Roman"/>
          <w:color w:val="000000" w:themeColor="text1"/>
          <w:sz w:val="16"/>
          <w:szCs w:val="16"/>
        </w:rPr>
        <w:noBreakHyphen/>
        <w:t xml:space="preserve"> рушилась и истребитель скапотировал. Причиной аварии названо разрушение агрегата АК</w:t>
      </w:r>
      <w:r w:rsidRPr="00070ADE">
        <w:rPr>
          <w:rFonts w:ascii="Times New Roman" w:hAnsi="Times New Roman"/>
          <w:color w:val="000000" w:themeColor="text1"/>
          <w:sz w:val="16"/>
          <w:szCs w:val="16"/>
        </w:rPr>
        <w:noBreakHyphen/>
        <w:t>50, но он к маслосистеме не относится – это компрессор воздушной системы, входящий в конструкцию всех серийных двигателей этого семейства, начиная с АМ</w:t>
      </w:r>
      <w:r w:rsidRPr="00070ADE">
        <w:rPr>
          <w:rFonts w:ascii="Times New Roman" w:hAnsi="Times New Roman"/>
          <w:color w:val="000000" w:themeColor="text1"/>
          <w:sz w:val="16"/>
          <w:szCs w:val="16"/>
        </w:rPr>
        <w:noBreakHyphen/>
        <w:t>35А.</w:t>
      </w:r>
    </w:p>
    <w:p w14:paraId="4C486E0F" w14:textId="77777777" w:rsidR="00EC78A0" w:rsidRPr="00070ADE" w:rsidRDefault="00EC78A0" w:rsidP="00EC78A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Предположительно, поломка компрессора пневмосистемы вызвала заклинивание маслонасоса, что нарушило циркуляцию смазки еще в полете. Шиянов своевременно заметил неисправность, вы</w:t>
      </w:r>
      <w:r w:rsidRPr="00070ADE">
        <w:rPr>
          <w:rFonts w:ascii="Times New Roman" w:hAnsi="Times New Roman"/>
          <w:color w:val="000000" w:themeColor="text1"/>
          <w:sz w:val="16"/>
          <w:szCs w:val="16"/>
        </w:rPr>
        <w:noBreakHyphen/>
        <w:t xml:space="preserve"> полнил заход на экстренную посадку, действуя правильно и увидев, что условия посадки нормальные, выпустил шасси, но непосредственно перед касанием земли двигатель остановился. При этом шаг лопастей воздушного винта АВ</w:t>
      </w:r>
      <w:r w:rsidRPr="00070ADE">
        <w:rPr>
          <w:rFonts w:ascii="Times New Roman" w:hAnsi="Times New Roman"/>
          <w:color w:val="000000" w:themeColor="text1"/>
          <w:sz w:val="16"/>
          <w:szCs w:val="16"/>
        </w:rPr>
        <w:noBreakHyphen/>
        <w:t>9Л</w:t>
      </w:r>
      <w:r w:rsidRPr="00070ADE">
        <w:rPr>
          <w:rFonts w:ascii="Times New Roman" w:hAnsi="Times New Roman"/>
          <w:color w:val="000000" w:themeColor="text1"/>
          <w:sz w:val="16"/>
          <w:szCs w:val="16"/>
        </w:rPr>
        <w:noBreakHyphen/>
        <w:t>22Б был малый, а его четыре лопасти увеличенной ширины при остановке в воздухе начинали давать аэродинамическое со</w:t>
      </w:r>
      <w:r w:rsidRPr="00070ADE">
        <w:rPr>
          <w:rFonts w:ascii="Times New Roman" w:hAnsi="Times New Roman"/>
          <w:color w:val="000000" w:themeColor="text1"/>
          <w:sz w:val="16"/>
          <w:szCs w:val="16"/>
        </w:rPr>
        <w:noBreakHyphen/>
        <w:t xml:space="preserve"> противление, значительно большее, чем обычный трехлопастный винт. Именно из</w:t>
      </w:r>
      <w:r w:rsidRPr="00070ADE">
        <w:rPr>
          <w:rFonts w:ascii="Times New Roman" w:hAnsi="Times New Roman"/>
          <w:color w:val="000000" w:themeColor="text1"/>
          <w:sz w:val="16"/>
          <w:szCs w:val="16"/>
        </w:rPr>
        <w:noBreakHyphen/>
        <w:t>за этого самолет просел, вертикальная скорость касания оказалась больше допустимой, что и привело к разрушению шасси и капотированию. При этом высокая прочность планера и добротность его изготовления спасли жизнь лётчику и позволили перевернувшуюся машину отремонтировать (23528).</w:t>
      </w:r>
    </w:p>
    <w:p w14:paraId="11B305A0" w14:textId="77777777" w:rsidR="00EC78A0" w:rsidRPr="00070ADE" w:rsidRDefault="00EC78A0" w:rsidP="00EC78A0">
      <w:pPr>
        <w:spacing w:after="0" w:line="240" w:lineRule="auto"/>
        <w:jc w:val="both"/>
        <w:rPr>
          <w:rFonts w:ascii="Times New Roman" w:hAnsi="Times New Roman"/>
          <w:color w:val="000000" w:themeColor="text1"/>
          <w:sz w:val="16"/>
          <w:szCs w:val="16"/>
        </w:rPr>
      </w:pPr>
    </w:p>
    <w:p w14:paraId="612F4529" w14:textId="77777777" w:rsidR="00EC78A0" w:rsidRPr="001A0BAA" w:rsidRDefault="00EC78A0" w:rsidP="00EC78A0">
      <w:pPr>
        <w:spacing w:after="0" w:line="240" w:lineRule="auto"/>
        <w:jc w:val="both"/>
        <w:rPr>
          <w:rFonts w:ascii="Times New Roman" w:eastAsia="Trebuchet MS" w:hAnsi="Times New Roman"/>
          <w:color w:val="0070C0"/>
          <w:sz w:val="16"/>
          <w:szCs w:val="16"/>
          <w:shd w:val="clear" w:color="auto" w:fill="FFFFFF"/>
        </w:rPr>
      </w:pPr>
      <w:r w:rsidRPr="001A0BAA">
        <w:rPr>
          <w:rFonts w:ascii="Times New Roman" w:eastAsia="Trebuchet MS" w:hAnsi="Times New Roman"/>
          <w:color w:val="0070C0"/>
          <w:sz w:val="16"/>
          <w:szCs w:val="16"/>
          <w:shd w:val="clear" w:color="auto" w:fill="FFFFFF"/>
        </w:rPr>
        <w:t>К середине 1944 г. с развитием крупных наступательных операций Красной Армии и растягиванием ее коммуникаций возникла острая нехватка транспортных самолетов. Наркомат авиапромышленности значительно увеличить выпуск их не мог и по опыту собственному 1920…1930-х гг. и современному англо-американской авиации появилось предложение использовать в качестве транспортных те бомбардировщики и штурмовики, которые имели уже малый остаток ресурса и не могли использоваться в боевых операциях.</w:t>
      </w:r>
    </w:p>
    <w:p w14:paraId="6D7D1ABF" w14:textId="77777777" w:rsidR="00EC78A0" w:rsidRPr="001A0BAA" w:rsidRDefault="00EC78A0" w:rsidP="00EC78A0">
      <w:pPr>
        <w:spacing w:after="0" w:line="240" w:lineRule="auto"/>
        <w:jc w:val="both"/>
        <w:rPr>
          <w:rFonts w:ascii="Times New Roman" w:eastAsia="Trebuchet MS" w:hAnsi="Times New Roman"/>
          <w:color w:val="0070C0"/>
          <w:sz w:val="16"/>
          <w:szCs w:val="16"/>
          <w:shd w:val="clear" w:color="auto" w:fill="FFFFFF"/>
        </w:rPr>
      </w:pPr>
      <w:r w:rsidRPr="001A0BAA">
        <w:rPr>
          <w:rFonts w:ascii="Times New Roman" w:eastAsia="Trebuchet MS" w:hAnsi="Times New Roman"/>
          <w:color w:val="0070C0"/>
          <w:sz w:val="16"/>
          <w:szCs w:val="16"/>
          <w:shd w:val="clear" w:color="auto" w:fill="FFFFFF"/>
        </w:rPr>
        <w:t>Командование ВВС к этому предложению отнеслось изначально отрицательно – однако вопрос нуждался в решении (25492).</w:t>
      </w:r>
    </w:p>
    <w:p w14:paraId="7377FDF4" w14:textId="77777777" w:rsidR="00EC78A0" w:rsidRPr="001A0BAA" w:rsidRDefault="00EC78A0" w:rsidP="00EC78A0">
      <w:pPr>
        <w:spacing w:after="0" w:line="240" w:lineRule="auto"/>
        <w:jc w:val="both"/>
        <w:rPr>
          <w:rStyle w:val="aff1"/>
          <w:rFonts w:ascii="Times New Roman" w:hAnsi="Times New Roman" w:cs="Times New Roman"/>
          <w:color w:val="0070C0"/>
          <w:spacing w:val="0"/>
          <w:sz w:val="16"/>
          <w:szCs w:val="16"/>
        </w:rPr>
      </w:pPr>
    </w:p>
    <w:p w14:paraId="5D56817C"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середине 1944-го количество боевых «Ли-2» довели до 413 экземпляров — указанный год стал основным в их боевом ис</w:t>
      </w:r>
      <w:r w:rsidRPr="001A0BAA">
        <w:rPr>
          <w:rFonts w:ascii="Times New Roman" w:hAnsi="Times New Roman"/>
          <w:color w:val="0070C0"/>
          <w:sz w:val="16"/>
          <w:szCs w:val="16"/>
        </w:rPr>
        <w:softHyphen/>
        <w:t>пользовании (24982).</w:t>
      </w:r>
    </w:p>
    <w:p w14:paraId="5AB25806" w14:textId="77777777" w:rsidR="00EC78A0" w:rsidRPr="001A0BAA" w:rsidRDefault="00EC78A0" w:rsidP="00EC78A0">
      <w:pPr>
        <w:spacing w:after="0" w:line="240" w:lineRule="auto"/>
        <w:jc w:val="both"/>
        <w:rPr>
          <w:rFonts w:ascii="Times New Roman" w:hAnsi="Times New Roman"/>
          <w:color w:val="0070C0"/>
          <w:sz w:val="16"/>
          <w:szCs w:val="16"/>
        </w:rPr>
      </w:pPr>
    </w:p>
    <w:p w14:paraId="7CEE8941"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Начиная с середины 1944 г., вследствие того, что шкворневая оборонительная установка на У-2 под пулемет ШКАС имела малые углы обстрела, его стали заменять на пулемет ДТ. Штатный боекомплект к ШКАСу состоял из патронной ленты емкостью 500 патронов, а к пулемету ДТ — из 5 магазинов по 63 патрона в каждом. На части боевых У-2 в дополнение к оборонительному пулемету на нижнем левом или правом крыле устанавливали еще и неподвижный курсовой пулемет ШКАС или ПВ-1 для стрельбы вперед (боекомплект от 500 до 800 патронов в зависимости от высоты патронного ящика). Установка пулемета на правую или левую плоскость самолета зависело от того, какой приемник имелся на пулемете. При этом правая и левая установки были совершенно одинаковыми, за исключением верхней части заднего узла крепления лафета. Рукоятка перезарядки монтировалась на соответствующем борту. Управление стеком пулемета осуществлялось посредством специальной тяги и гашетки, установленной на рукоятке управления самолетом. Причем все имевшиеся на пулеметах приспособления для спуска снимались. Патронный ящик (как правило, изготовленный из фанеры) устанавливался в кабине пилота за его сиденьем. На У-2 с двойным управлением в середине ящика делался вырез для прохода тяг ручного управления в кабину штурмана, на других модификациях вырез не делался. В верхнем углу ящика имелся валик (деревянный, металлический или пластмассовый), облегчавший перемещение патронной ленты. Патронный ящик крепился к полу кабины в специальных гнездах с помощью ремней. Из патронного ящика лента входила в приемник патронопровода, установленного в борту фюзеляжа, потом, выходя из фюзеляжа, проходила по специальному желобу, изготовленному из фанеры, оклеенной полотном. По желобу лента попадала в патронный приемник пулемета. Вся система боепитания — патронный ящик, патронопровод и приемник на пулемете — располагалась в одну линию, что обеспечивало надежную подачу патронов. Установка на боевые У-2 только одного курсового пулемета обуславливалось, главным образом, весовыми соображениями. В отдельных случаях неподвижные пулеметы для стрельбы вперед устанавливались на каждую плоскость У-2. Оборудование У-2 одним курсовым пулеметом практически не изменяло летные его данные, разве что снижала скорость полета на 4-5 км/ч. Для прицеливания при стрельбе из курсового пулемета или реактивными снарядами использовались как простейший кольцевой, так и оптический (типа ОП-1) прицелы. Кольцевой прицел устанавливался на площадочке впереди козырька первой кабины справа, колонку с мушкой — впереди козырька на деревянной бобышке, а колонку с кольцами — на площадочке передней ленты бензобака. Установка оптического прицела практически ничем не отличалась от установки механического. Пристрелка пулеметов осуществлялась на дистанцию 200 м.</w:t>
      </w:r>
    </w:p>
    <w:p w14:paraId="661484B0"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середине 1944 г. установившиеся изменения серийного варианта У-2ВС относительно базового самолета сводились главным образом к следующему:</w:t>
      </w:r>
    </w:p>
    <w:p w14:paraId="3C333A5D"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под нижним крылом устанавливались б бомбодержателей типа Дер-7 с тросовым управлением сбрасыванием, обеспечивающие подвеску до 300 кг бомб:</w:t>
      </w:r>
    </w:p>
    <w:p w14:paraId="1452E73E"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в передней кабине устанавливался бомбардировочный прицел (ночной) НКПБ-8:</w:t>
      </w:r>
    </w:p>
    <w:p w14:paraId="4B7DE6C0"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для улучшения обзора вниз и прицеливания в правом крыле рядом с фюзеляжем сделали вырез:</w:t>
      </w:r>
    </w:p>
    <w:p w14:paraId="380A3A8D"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за задней кабиной устанавливалась шкворневая пулеметная установка под 7,62-мм пулемет ШКАС с ленточным (боезапас 250-400 патронов) или магазинным питанием, или под 7,62-мм пулемет ДТ с пятью дисками (по 63 патрона);</w:t>
      </w:r>
    </w:p>
    <w:p w14:paraId="7B751527"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дополнительно к стоявшим на У-2 компасу, вариометру, высотомеру и указателю поворота устанавливались авиагоризонт с питанием от дополнительной большой трубки Вентури, располагавшейся на левом борту самолета впереди передней кабины;</w:t>
      </w:r>
    </w:p>
    <w:p w14:paraId="55B96284"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 устанавливались АНО и под левым крылом посадочная фара (на базовом У-2 была необязательна);</w:t>
      </w:r>
    </w:p>
    <w:p w14:paraId="44054AC7"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устанавливался шумопламегаситель ШПГ-2;</w:t>
      </w:r>
    </w:p>
    <w:p w14:paraId="1A12928E"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устанавливался генератор ГС-350;</w:t>
      </w:r>
    </w:p>
    <w:p w14:paraId="558D1864"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на эталоне 1944 г. устанавливалась легкосъемная ручка управления во второй кабине и триммер руля высоты.</w:t>
      </w:r>
    </w:p>
    <w:p w14:paraId="20EDA71F"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Полетный вес серийного У-2ВС по сравнению с базовым У-2 был на 388 кг больше, что, естественно, привело к снижению полетных данных. При полной бомбовой нагрузке У-2ВС с мотором М-11Д имел максимальные скорости: у земли — 134 км/ч, на высоте 1000 м — 100 км/ч, практический потолок при тех же условиях снизился до 1550 м. Без бомб летные данные не сильно отличались от данных базового самолета.</w:t>
      </w:r>
    </w:p>
    <w:p w14:paraId="58310E3A"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Технические характеристики:</w:t>
      </w:r>
    </w:p>
    <w:p w14:paraId="6CFBA939"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Технические характеристики:</w:t>
      </w:r>
    </w:p>
    <w:tbl>
      <w:tblPr>
        <w:tblW w:w="7200" w:type="dxa"/>
        <w:tblBorders>
          <w:top w:val="single" w:sz="6" w:space="0" w:color="99CCFF"/>
          <w:left w:val="single" w:sz="6" w:space="0" w:color="99CCFF"/>
          <w:bottom w:val="single" w:sz="6" w:space="0" w:color="99CCFF"/>
          <w:right w:val="single" w:sz="6" w:space="0" w:color="99CCFF"/>
        </w:tblBorders>
        <w:tblCellMar>
          <w:top w:w="15" w:type="dxa"/>
          <w:left w:w="15" w:type="dxa"/>
          <w:bottom w:w="15" w:type="dxa"/>
          <w:right w:w="15" w:type="dxa"/>
        </w:tblCellMar>
        <w:tblLook w:val="04A0" w:firstRow="1" w:lastRow="0" w:firstColumn="1" w:lastColumn="0" w:noHBand="0" w:noVBand="1"/>
      </w:tblPr>
      <w:tblGrid>
        <w:gridCol w:w="3070"/>
        <w:gridCol w:w="4130"/>
      </w:tblGrid>
      <w:tr w:rsidR="004D4663" w:rsidRPr="00070ADE" w14:paraId="06F20E88"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0D97EDF7"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Модификация</w:t>
            </w:r>
          </w:p>
        </w:tc>
        <w:tc>
          <w:tcPr>
            <w:tcW w:w="4130" w:type="dxa"/>
            <w:tcBorders>
              <w:top w:val="outset" w:sz="6" w:space="0" w:color="auto"/>
              <w:left w:val="outset" w:sz="6" w:space="0" w:color="auto"/>
              <w:bottom w:val="outset" w:sz="6" w:space="0" w:color="auto"/>
              <w:right w:val="outset" w:sz="6" w:space="0" w:color="auto"/>
            </w:tcBorders>
            <w:hideMark/>
          </w:tcPr>
          <w:p w14:paraId="1890D2C2"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У-2ВС</w:t>
            </w:r>
          </w:p>
        </w:tc>
      </w:tr>
      <w:tr w:rsidR="004D4663" w:rsidRPr="00070ADE" w14:paraId="6CD03783"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0F2437C6"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Размах крыла, м</w:t>
            </w:r>
          </w:p>
        </w:tc>
        <w:tc>
          <w:tcPr>
            <w:tcW w:w="4130" w:type="dxa"/>
            <w:tcBorders>
              <w:top w:val="outset" w:sz="6" w:space="0" w:color="auto"/>
              <w:left w:val="outset" w:sz="6" w:space="0" w:color="auto"/>
              <w:bottom w:val="outset" w:sz="6" w:space="0" w:color="auto"/>
              <w:right w:val="outset" w:sz="6" w:space="0" w:color="auto"/>
            </w:tcBorders>
            <w:hideMark/>
          </w:tcPr>
          <w:p w14:paraId="7B7C5B87"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11.40</w:t>
            </w:r>
          </w:p>
        </w:tc>
      </w:tr>
      <w:tr w:rsidR="004D4663" w:rsidRPr="00070ADE" w14:paraId="0BEFDDE7"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0AEE84F8"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м</w:t>
            </w:r>
          </w:p>
        </w:tc>
        <w:tc>
          <w:tcPr>
            <w:tcW w:w="4130" w:type="dxa"/>
            <w:tcBorders>
              <w:top w:val="outset" w:sz="6" w:space="0" w:color="auto"/>
              <w:left w:val="outset" w:sz="6" w:space="0" w:color="auto"/>
              <w:bottom w:val="outset" w:sz="6" w:space="0" w:color="auto"/>
              <w:right w:val="outset" w:sz="6" w:space="0" w:color="auto"/>
            </w:tcBorders>
            <w:hideMark/>
          </w:tcPr>
          <w:p w14:paraId="7B6FD29D"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8.17</w:t>
            </w:r>
          </w:p>
        </w:tc>
      </w:tr>
      <w:tr w:rsidR="004D4663" w:rsidRPr="00070ADE" w14:paraId="6BFBEC0F"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0C20ACFB"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 м</w:t>
            </w:r>
          </w:p>
        </w:tc>
        <w:tc>
          <w:tcPr>
            <w:tcW w:w="4130" w:type="dxa"/>
            <w:tcBorders>
              <w:top w:val="outset" w:sz="6" w:space="0" w:color="auto"/>
              <w:left w:val="outset" w:sz="6" w:space="0" w:color="auto"/>
              <w:bottom w:val="outset" w:sz="6" w:space="0" w:color="auto"/>
              <w:right w:val="outset" w:sz="6" w:space="0" w:color="auto"/>
            </w:tcBorders>
            <w:hideMark/>
          </w:tcPr>
          <w:p w14:paraId="5C98C64A"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3.10</w:t>
            </w:r>
          </w:p>
        </w:tc>
      </w:tr>
      <w:tr w:rsidR="004D4663" w:rsidRPr="00070ADE" w14:paraId="41A3E14E"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3A9BD9DC"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Площадь крыла, м2</w:t>
            </w:r>
          </w:p>
        </w:tc>
        <w:tc>
          <w:tcPr>
            <w:tcW w:w="4130" w:type="dxa"/>
            <w:tcBorders>
              <w:top w:val="outset" w:sz="6" w:space="0" w:color="auto"/>
              <w:left w:val="outset" w:sz="6" w:space="0" w:color="auto"/>
              <w:bottom w:val="outset" w:sz="6" w:space="0" w:color="auto"/>
              <w:right w:val="outset" w:sz="6" w:space="0" w:color="auto"/>
            </w:tcBorders>
            <w:hideMark/>
          </w:tcPr>
          <w:p w14:paraId="0801A1AB"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33.15</w:t>
            </w:r>
          </w:p>
        </w:tc>
      </w:tr>
      <w:tr w:rsidR="004D4663" w:rsidRPr="00070ADE" w14:paraId="12ECB3CF"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4707526A"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Масса, кг</w:t>
            </w:r>
          </w:p>
        </w:tc>
        <w:tc>
          <w:tcPr>
            <w:tcW w:w="4130" w:type="dxa"/>
            <w:tcBorders>
              <w:top w:val="outset" w:sz="6" w:space="0" w:color="auto"/>
              <w:left w:val="outset" w:sz="6" w:space="0" w:color="auto"/>
              <w:bottom w:val="outset" w:sz="6" w:space="0" w:color="auto"/>
              <w:right w:val="outset" w:sz="6" w:space="0" w:color="auto"/>
            </w:tcBorders>
            <w:hideMark/>
          </w:tcPr>
          <w:p w14:paraId="7EF1879E" w14:textId="77777777" w:rsidR="00B216D6" w:rsidRPr="00070ADE" w:rsidRDefault="00B216D6" w:rsidP="00B56F90">
            <w:pPr>
              <w:spacing w:after="0" w:line="240" w:lineRule="auto"/>
              <w:jc w:val="both"/>
              <w:rPr>
                <w:rFonts w:ascii="Times New Roman" w:hAnsi="Times New Roman"/>
                <w:color w:val="000000" w:themeColor="text1"/>
                <w:sz w:val="16"/>
                <w:szCs w:val="16"/>
              </w:rPr>
            </w:pPr>
          </w:p>
        </w:tc>
      </w:tr>
      <w:tr w:rsidR="004D4663" w:rsidRPr="00070ADE" w14:paraId="1F258386"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1DBAC5F9"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пустого самолета</w:t>
            </w:r>
          </w:p>
        </w:tc>
        <w:tc>
          <w:tcPr>
            <w:tcW w:w="4130" w:type="dxa"/>
            <w:tcBorders>
              <w:top w:val="outset" w:sz="6" w:space="0" w:color="auto"/>
              <w:left w:val="outset" w:sz="6" w:space="0" w:color="auto"/>
              <w:bottom w:val="outset" w:sz="6" w:space="0" w:color="auto"/>
              <w:right w:val="outset" w:sz="6" w:space="0" w:color="auto"/>
            </w:tcBorders>
            <w:hideMark/>
          </w:tcPr>
          <w:p w14:paraId="214996A9"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773</w:t>
            </w:r>
          </w:p>
        </w:tc>
      </w:tr>
      <w:tr w:rsidR="004D4663" w:rsidRPr="00070ADE" w14:paraId="7E266861"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7D337302"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нормальная взлетная</w:t>
            </w:r>
          </w:p>
        </w:tc>
        <w:tc>
          <w:tcPr>
            <w:tcW w:w="4130" w:type="dxa"/>
            <w:tcBorders>
              <w:top w:val="outset" w:sz="6" w:space="0" w:color="auto"/>
              <w:left w:val="outset" w:sz="6" w:space="0" w:color="auto"/>
              <w:bottom w:val="outset" w:sz="6" w:space="0" w:color="auto"/>
              <w:right w:val="outset" w:sz="6" w:space="0" w:color="auto"/>
            </w:tcBorders>
            <w:hideMark/>
          </w:tcPr>
          <w:p w14:paraId="39D010EF"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1400</w:t>
            </w:r>
          </w:p>
        </w:tc>
      </w:tr>
      <w:tr w:rsidR="004D4663" w:rsidRPr="00070ADE" w14:paraId="4A29BF30"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227F3CFD"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Тип двигателя</w:t>
            </w:r>
          </w:p>
        </w:tc>
        <w:tc>
          <w:tcPr>
            <w:tcW w:w="4130" w:type="dxa"/>
            <w:tcBorders>
              <w:top w:val="outset" w:sz="6" w:space="0" w:color="auto"/>
              <w:left w:val="outset" w:sz="6" w:space="0" w:color="auto"/>
              <w:bottom w:val="outset" w:sz="6" w:space="0" w:color="auto"/>
              <w:right w:val="outset" w:sz="6" w:space="0" w:color="auto"/>
            </w:tcBorders>
            <w:hideMark/>
          </w:tcPr>
          <w:p w14:paraId="0653712F"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ПД М-11Д</w:t>
            </w:r>
          </w:p>
        </w:tc>
      </w:tr>
      <w:tr w:rsidR="004D4663" w:rsidRPr="00070ADE" w14:paraId="310BABE6"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3E98673C"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Мощность, л.с.</w:t>
            </w:r>
          </w:p>
        </w:tc>
        <w:tc>
          <w:tcPr>
            <w:tcW w:w="4130" w:type="dxa"/>
            <w:tcBorders>
              <w:top w:val="outset" w:sz="6" w:space="0" w:color="auto"/>
              <w:left w:val="outset" w:sz="6" w:space="0" w:color="auto"/>
              <w:bottom w:val="outset" w:sz="6" w:space="0" w:color="auto"/>
              <w:right w:val="outset" w:sz="6" w:space="0" w:color="auto"/>
            </w:tcBorders>
            <w:hideMark/>
          </w:tcPr>
          <w:p w14:paraId="77BD379E"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 х 115</w:t>
            </w:r>
          </w:p>
        </w:tc>
      </w:tr>
      <w:tr w:rsidR="004D4663" w:rsidRPr="00070ADE" w14:paraId="1572096C"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27CE6801"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 км/ч</w:t>
            </w:r>
          </w:p>
        </w:tc>
        <w:tc>
          <w:tcPr>
            <w:tcW w:w="4130" w:type="dxa"/>
            <w:tcBorders>
              <w:top w:val="outset" w:sz="6" w:space="0" w:color="auto"/>
              <w:left w:val="outset" w:sz="6" w:space="0" w:color="auto"/>
              <w:bottom w:val="outset" w:sz="6" w:space="0" w:color="auto"/>
              <w:right w:val="outset" w:sz="6" w:space="0" w:color="auto"/>
            </w:tcBorders>
            <w:hideMark/>
          </w:tcPr>
          <w:p w14:paraId="3478B2D9"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134</w:t>
            </w:r>
          </w:p>
        </w:tc>
      </w:tr>
      <w:tr w:rsidR="004D4663" w:rsidRPr="00070ADE" w14:paraId="2EECE8FD"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52E03EDD"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Крейсерская скорость , км/ч</w:t>
            </w:r>
          </w:p>
        </w:tc>
        <w:tc>
          <w:tcPr>
            <w:tcW w:w="4130" w:type="dxa"/>
            <w:tcBorders>
              <w:top w:val="outset" w:sz="6" w:space="0" w:color="auto"/>
              <w:left w:val="outset" w:sz="6" w:space="0" w:color="auto"/>
              <w:bottom w:val="outset" w:sz="6" w:space="0" w:color="auto"/>
              <w:right w:val="outset" w:sz="6" w:space="0" w:color="auto"/>
            </w:tcBorders>
            <w:hideMark/>
          </w:tcPr>
          <w:p w14:paraId="7FD87AD3"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100</w:t>
            </w:r>
          </w:p>
        </w:tc>
      </w:tr>
      <w:tr w:rsidR="004D4663" w:rsidRPr="00070ADE" w14:paraId="27B9F65F"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51B300F5"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Практическая дальность, км</w:t>
            </w:r>
          </w:p>
        </w:tc>
        <w:tc>
          <w:tcPr>
            <w:tcW w:w="4130" w:type="dxa"/>
            <w:tcBorders>
              <w:top w:val="outset" w:sz="6" w:space="0" w:color="auto"/>
              <w:left w:val="outset" w:sz="6" w:space="0" w:color="auto"/>
              <w:bottom w:val="outset" w:sz="6" w:space="0" w:color="auto"/>
              <w:right w:val="outset" w:sz="6" w:space="0" w:color="auto"/>
            </w:tcBorders>
            <w:hideMark/>
          </w:tcPr>
          <w:p w14:paraId="5B38A90B"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450</w:t>
            </w:r>
          </w:p>
        </w:tc>
      </w:tr>
      <w:tr w:rsidR="004D4663" w:rsidRPr="00070ADE" w14:paraId="7FB93339"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242D5927"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скороподъемность, м/мин</w:t>
            </w:r>
          </w:p>
        </w:tc>
        <w:tc>
          <w:tcPr>
            <w:tcW w:w="4130" w:type="dxa"/>
            <w:tcBorders>
              <w:top w:val="outset" w:sz="6" w:space="0" w:color="auto"/>
              <w:left w:val="outset" w:sz="6" w:space="0" w:color="auto"/>
              <w:bottom w:val="outset" w:sz="6" w:space="0" w:color="auto"/>
              <w:right w:val="outset" w:sz="6" w:space="0" w:color="auto"/>
            </w:tcBorders>
            <w:hideMark/>
          </w:tcPr>
          <w:p w14:paraId="7AC2014F"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40</w:t>
            </w:r>
          </w:p>
        </w:tc>
      </w:tr>
      <w:tr w:rsidR="004D4663" w:rsidRPr="00070ADE" w14:paraId="5F9D9903"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7EEF17E6"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Практический потолок, м</w:t>
            </w:r>
          </w:p>
        </w:tc>
        <w:tc>
          <w:tcPr>
            <w:tcW w:w="4130" w:type="dxa"/>
            <w:tcBorders>
              <w:top w:val="outset" w:sz="6" w:space="0" w:color="auto"/>
              <w:left w:val="outset" w:sz="6" w:space="0" w:color="auto"/>
              <w:bottom w:val="outset" w:sz="6" w:space="0" w:color="auto"/>
              <w:right w:val="outset" w:sz="6" w:space="0" w:color="auto"/>
            </w:tcBorders>
            <w:hideMark/>
          </w:tcPr>
          <w:p w14:paraId="3574DF0C"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1500</w:t>
            </w:r>
          </w:p>
        </w:tc>
      </w:tr>
      <w:tr w:rsidR="004D4663" w:rsidRPr="00070ADE" w14:paraId="7116B5CC"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3C03F722"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w:t>
            </w:r>
          </w:p>
        </w:tc>
        <w:tc>
          <w:tcPr>
            <w:tcW w:w="4130" w:type="dxa"/>
            <w:tcBorders>
              <w:top w:val="outset" w:sz="6" w:space="0" w:color="auto"/>
              <w:left w:val="outset" w:sz="6" w:space="0" w:color="auto"/>
              <w:bottom w:val="outset" w:sz="6" w:space="0" w:color="auto"/>
              <w:right w:val="outset" w:sz="6" w:space="0" w:color="auto"/>
            </w:tcBorders>
            <w:hideMark/>
          </w:tcPr>
          <w:p w14:paraId="7F2CB488"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2</w:t>
            </w:r>
          </w:p>
        </w:tc>
      </w:tr>
      <w:tr w:rsidR="004D4663" w:rsidRPr="00070ADE" w14:paraId="36A24E17" w14:textId="77777777" w:rsidTr="00B529C1">
        <w:trPr>
          <w:trHeight w:val="180"/>
        </w:trPr>
        <w:tc>
          <w:tcPr>
            <w:tcW w:w="3070" w:type="dxa"/>
            <w:tcBorders>
              <w:top w:val="outset" w:sz="6" w:space="0" w:color="auto"/>
              <w:left w:val="outset" w:sz="6" w:space="0" w:color="auto"/>
              <w:bottom w:val="outset" w:sz="6" w:space="0" w:color="auto"/>
              <w:right w:val="outset" w:sz="6" w:space="0" w:color="auto"/>
            </w:tcBorders>
            <w:hideMark/>
          </w:tcPr>
          <w:p w14:paraId="0F493EA3"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w:t>
            </w:r>
          </w:p>
        </w:tc>
        <w:tc>
          <w:tcPr>
            <w:tcW w:w="4130" w:type="dxa"/>
            <w:tcBorders>
              <w:top w:val="outset" w:sz="6" w:space="0" w:color="auto"/>
              <w:left w:val="outset" w:sz="6" w:space="0" w:color="auto"/>
              <w:bottom w:val="outset" w:sz="6" w:space="0" w:color="auto"/>
              <w:right w:val="outset" w:sz="6" w:space="0" w:color="auto"/>
            </w:tcBorders>
            <w:hideMark/>
          </w:tcPr>
          <w:p w14:paraId="07F49982"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один оборонительный 7.62-мм пулемет ШКАС или ДА</w:t>
            </w:r>
          </w:p>
          <w:p w14:paraId="4DB1BCBC"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Бомбовая нагрузка - 350 кг, максимальная - 500 кг</w:t>
            </w:r>
          </w:p>
        </w:tc>
      </w:tr>
    </w:tbl>
    <w:p w14:paraId="0B9AA160" w14:textId="77777777" w:rsidR="00B216D6" w:rsidRPr="00070ADE" w:rsidRDefault="00B216D6"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(15142).</w:t>
      </w:r>
    </w:p>
    <w:p w14:paraId="462D8B42" w14:textId="77777777" w:rsidR="00B216D6" w:rsidRPr="00070ADE" w:rsidRDefault="00B216D6" w:rsidP="00B56F90">
      <w:pPr>
        <w:spacing w:after="0" w:line="240" w:lineRule="auto"/>
        <w:jc w:val="both"/>
        <w:rPr>
          <w:rFonts w:ascii="Times New Roman" w:hAnsi="Times New Roman"/>
          <w:color w:val="000000" w:themeColor="text1"/>
          <w:sz w:val="16"/>
          <w:szCs w:val="16"/>
        </w:rPr>
      </w:pPr>
    </w:p>
    <w:p w14:paraId="5C444355"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Начиная с середины 1944 г., вследствие того, что шкворневая оборонительная установка на У-2 под пулемет ШКАС имела малые углы обстрела, его стали заменять на пулемет ДТ. Штатный боекомплект к ШКАСу состоял из патронной ленты емкостью 500 патронов, а к пулемету ДТ — из 5 магазинов по 63 патрона в каждом. На части боевых У-2 в дополнение к оборонительному пулемету на нижнем левом или правом крыле устанавливали еще и неподвижный курсовой пулемет ШКАС или ПВ-1 для стрельбы вперед (боекомплект от 500 до 800 патронов в зависимости от высоты патронного ящика). Установка пулемета на правую или левую плоскость самолета зависело от того, какой приемник имелся на пулемете. При этом правая и левая установки были совершенно одинаковыми, за исключением верхней части заднего узла крепления лафета. Рукоятка перезарядки монтировалась на соответствующем борту. Управление стеком пулемета осуществлялось посредством специальной тяги и гашетки, установленной на рукоятке управления самолетом. Причем все имевшиеся на пулеметах приспособления для спуска снимались. Патронный ящик (как правило, изготовленный из фанеры) устанавливался в кабине пилота за его сиденьем. На У-2 с двойным управлением в середине ящика делался вырез для прохода тяг ручного управления в кабину штурмана, на других модификациях вырез не делался. В верхнем углу ящика имелся валик (деревянный, металлический или пластмассовый), облегчавший перемещение патронной ленты. Патронный ящик крепился к полу кабины в специальных гнездах с помощью ремней. Из патронного ящика лента входила в приемник патронопровода, установленного в борту фюзеляжа, потом, выходя из фюзеляжа, проходила по специальному желобу, изготовленному из фанеры, оклеенной полотном. По желобу лента попадала в патронный приемник пулемета. Вся система боепитания — патронный ящик, патронопровод и приемник на пулемете — располагалась в одну линию, что обеспечивало надежную подачу патронов. Установка на боевые У-2 только одного курсового пулемета обуславливалось, главным образом, весовыми соображениями. В отдельных случаях неподвижные пулеметы для стрельбы вперед устанавливались на каждую плоскость У-2. Оборудование У-2 одним курсовым пулеметом практически не изменяло летные его данные, разве что снижала скорость полета на 4-5 км/ч. Для прицеливания при стрельбе из курсового пулемета или реактивными снарядами использовались как простейший кольцевой, так и оптический (типа ОП-1) прицелы. Кольцевой прицел устанавливался на площадочке впереди козырька первой кабины справа, колонку с мушкой — впереди козырька на деревянной бобышке, а колонку с кольцами — на площадочке передней ленты бензобака. Установка оптического прицела практически ничем не отличалась от установки механического. Пристрелка пулеметов осуществлялась на дистанцию 200 м.</w:t>
      </w:r>
    </w:p>
    <w:p w14:paraId="41D80459"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декабре 1944 же года не выдержал государственных испытаний У-2ВС с М-11Д эталон 1-го полугодия 1944 г., выпущенный заводом'№387 в 1943 г. (№4504). После этого его доставили на завод № 51 для доработки. Машину оснастили новой стрелковой установкой под пулемет ДТ с расширенными углами обстрела, позволявшей вести огонь не только по воздушным, но и по наземным целям, установили генератор ГС-350 (как на У-2НАК). шумопламегаситель ШПГ-2, новый прицел для бомбометания ночью НП-У-2 (НКПБ-8), доработали систему питания гироприборов и т. д. После этого самолет был повторно подвергнут государственным испытаниям, которые он успешно прошел. Модифицированный таким образом У-2ВС приняли в качестве эталона для серии 1944 г. (15142).</w:t>
      </w:r>
    </w:p>
    <w:p w14:paraId="172B9676" w14:textId="77777777" w:rsidR="001444FD" w:rsidRPr="00070ADE" w:rsidRDefault="001444FD" w:rsidP="00B56F90">
      <w:pPr>
        <w:spacing w:after="0" w:line="240" w:lineRule="auto"/>
        <w:jc w:val="both"/>
        <w:rPr>
          <w:rFonts w:ascii="Times New Roman" w:hAnsi="Times New Roman"/>
          <w:color w:val="000000" w:themeColor="text1"/>
          <w:sz w:val="16"/>
          <w:szCs w:val="16"/>
        </w:rPr>
      </w:pPr>
    </w:p>
    <w:p w14:paraId="7E37F552"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 середины 1944 г. в ОКБ-300 разрабатывался АМ-39ФН (ФНВ), форсированный, с непосредственным впрыском, на базе АМ-38Ф. От</w:t>
      </w:r>
      <w:r w:rsidRPr="00070ADE">
        <w:rPr>
          <w:rFonts w:ascii="Times New Roman" w:hAnsi="Times New Roman"/>
          <w:color w:val="000000" w:themeColor="text1"/>
          <w:sz w:val="16"/>
          <w:szCs w:val="16"/>
        </w:rPr>
        <w:softHyphen/>
        <w:t>личался улучшенной гидравликой ПЦН, увеличенным диаметром его крыльчатки, увеличенным диаметром клапанов, всасывающими па</w:t>
      </w:r>
      <w:r w:rsidRPr="00070ADE">
        <w:rPr>
          <w:rFonts w:ascii="Times New Roman" w:hAnsi="Times New Roman"/>
          <w:color w:val="000000" w:themeColor="text1"/>
          <w:sz w:val="16"/>
          <w:szCs w:val="16"/>
        </w:rPr>
        <w:softHyphen/>
        <w:t>трубками по типу мотора Аллисон У-1710. Мощность первоначально 1600/1850 л.с., затем 1730/2130 л.с., вес 970 кг. Испытания велись с августа 1944 г., официальные заводские испытания проходили в январе 1945 г. Летом того же года моторы испытывались на бомбардиров</w:t>
      </w:r>
      <w:r w:rsidRPr="00070ADE">
        <w:rPr>
          <w:rFonts w:ascii="Times New Roman" w:hAnsi="Times New Roman"/>
          <w:color w:val="000000" w:themeColor="text1"/>
          <w:sz w:val="16"/>
          <w:szCs w:val="16"/>
        </w:rPr>
        <w:softHyphen/>
        <w:t>щике Ту-2. Работы прекращены в сентябре 1945 г.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 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070ADE">
        <w:rPr>
          <w:rFonts w:ascii="Times New Roman" w:hAnsi="Times New Roman"/>
          <w:color w:val="000000" w:themeColor="text1"/>
          <w:sz w:val="16"/>
          <w:szCs w:val="16"/>
        </w:rPr>
        <w:softHyphen/>
        <w:t>сматривалось проектом самолета СПС (11852).</w:t>
      </w:r>
    </w:p>
    <w:p w14:paraId="43CB3D6E" w14:textId="77777777" w:rsidR="00595BFB" w:rsidRPr="00070ADE" w:rsidRDefault="00595BFB" w:rsidP="00B56F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1B7331" w14:textId="77777777" w:rsidR="00EC78A0" w:rsidRPr="001A0BAA" w:rsidRDefault="00EC78A0" w:rsidP="00EC78A0">
      <w:pPr>
        <w:spacing w:after="0" w:line="240" w:lineRule="auto"/>
        <w:jc w:val="both"/>
        <w:rPr>
          <w:rStyle w:val="aff1"/>
          <w:rFonts w:ascii="Times New Roman" w:hAnsi="Times New Roman" w:cs="Times New Roman"/>
          <w:color w:val="0070C0"/>
          <w:spacing w:val="0"/>
          <w:sz w:val="16"/>
          <w:szCs w:val="16"/>
        </w:rPr>
      </w:pPr>
      <w:r w:rsidRPr="001A0BAA">
        <w:rPr>
          <w:rStyle w:val="aff1"/>
          <w:rFonts w:ascii="Times New Roman" w:hAnsi="Times New Roman" w:cs="Times New Roman"/>
          <w:color w:val="0070C0"/>
          <w:spacing w:val="0"/>
          <w:sz w:val="16"/>
          <w:szCs w:val="16"/>
        </w:rPr>
        <w:t>С середины 1944 г. в ОКБ-300 разрабаты</w:t>
      </w:r>
      <w:r w:rsidRPr="001A0BAA">
        <w:rPr>
          <w:rStyle w:val="aff1"/>
          <w:rFonts w:ascii="Times New Roman" w:hAnsi="Times New Roman" w:cs="Times New Roman"/>
          <w:color w:val="0070C0"/>
          <w:spacing w:val="0"/>
          <w:sz w:val="16"/>
          <w:szCs w:val="16"/>
        </w:rPr>
        <w:softHyphen/>
        <w:t xml:space="preserve">вался форсированный вариант мотора АМ-39ФН с непосредственным впрыском топлива. Он отличался улучшенной гидравликой приводного нагнетателя увеличенным диаметром его крыльчатки, измененной конструкцией клапанов, всасывающими патрубками по типу американского мотора «Аллисон» </w:t>
      </w:r>
      <w:r w:rsidRPr="001A0BAA">
        <w:rPr>
          <w:rStyle w:val="aff1"/>
          <w:rFonts w:ascii="Times New Roman" w:hAnsi="Times New Roman" w:cs="Times New Roman"/>
          <w:color w:val="0070C0"/>
          <w:spacing w:val="0"/>
          <w:sz w:val="16"/>
          <w:szCs w:val="16"/>
          <w:lang w:val="en-US"/>
        </w:rPr>
        <w:t>V</w:t>
      </w:r>
      <w:r w:rsidRPr="001A0BAA">
        <w:rPr>
          <w:rStyle w:val="aff1"/>
          <w:rFonts w:ascii="Times New Roman" w:hAnsi="Times New Roman" w:cs="Times New Roman"/>
          <w:color w:val="0070C0"/>
          <w:spacing w:val="0"/>
          <w:sz w:val="16"/>
          <w:szCs w:val="16"/>
        </w:rPr>
        <w:t>-1710. На заводских испытаниях в январе 1945 г. была зафик</w:t>
      </w:r>
      <w:r w:rsidRPr="001A0BAA">
        <w:rPr>
          <w:rStyle w:val="aff1"/>
          <w:rFonts w:ascii="Times New Roman" w:hAnsi="Times New Roman" w:cs="Times New Roman"/>
          <w:color w:val="0070C0"/>
          <w:spacing w:val="0"/>
          <w:sz w:val="16"/>
          <w:szCs w:val="16"/>
        </w:rPr>
        <w:softHyphen/>
        <w:t>сирована максимальная мощность 1850 л.с., позже ее довели до 2130 л.с. И все же этот вариант двигателя запоздал и оказался, по сути, невостребованным для серийных машин (25145).</w:t>
      </w:r>
    </w:p>
    <w:p w14:paraId="2D1F18B6" w14:textId="77777777" w:rsidR="00EC78A0" w:rsidRPr="001A0BAA" w:rsidRDefault="00EC78A0" w:rsidP="00EC78A0">
      <w:pPr>
        <w:spacing w:after="0" w:line="240" w:lineRule="auto"/>
        <w:jc w:val="both"/>
        <w:rPr>
          <w:rFonts w:ascii="Times New Roman" w:hAnsi="Times New Roman"/>
          <w:color w:val="0070C0"/>
          <w:sz w:val="16"/>
          <w:szCs w:val="16"/>
        </w:rPr>
      </w:pPr>
    </w:p>
    <w:p w14:paraId="67007B8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середине 1944 года разработку станции "Нептун", которая работала на волне 1,5 м, был закончена. Испытания РЛС "Нептун" дали удовлетворительные результаты, станция была принята на вооружение и рекомендована для серийного производства. Помимо своего основного назначения, станция "Нептун" получила широкое распространение в гидрометеорологической службе СССР, где эксплуатировалась многие годы. Но выпуск ее начался уже после окончания войны (9921).</w:t>
      </w:r>
    </w:p>
    <w:p w14:paraId="188ED5D6"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6086FD65" w14:textId="77777777" w:rsidR="000F0D8A" w:rsidRPr="00070ADE" w:rsidRDefault="000F0D8A"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К середине 1944 года были спроектированы и изготовлены опытные направляющие для пуска снарядов М-8, М-13, М-13-ДД, М-13-УК, М-20 и М-31. Полигонные испытания, проводившиеся в августе-сентябре, показали, что стрельба из созданных направляющих безопасна, а полёт снарядов правильный. Наименьшее рассеивание обеспечивалось при использовании М-20 и направляющей длиной 3 м с крутизной 120° на погонный метр, для снаряда М-13 — длиной 5 м с крутизной 80° на погонный метр.</w:t>
      </w:r>
    </w:p>
    <w:p w14:paraId="35B3FC16" w14:textId="77777777" w:rsidR="000F0D8A" w:rsidRPr="00070ADE" w:rsidRDefault="000F0D8A"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В апреле 1945 года были представлены готовые машины со спиральными направляющими. При опытных стрельбах в начале мая было показано, что установки М-13-СН улучшают кучность падения снарядов М-13, М-13-ДД и М-20 в среднем в полтора-три раза. Промышленность получила заказ на изготовление ста пусковых установок, началось формирований новых воинских подразделений, принимавших на вооружение М-13-СН, однако участия в боевых действиях они принять не успели.</w:t>
      </w:r>
    </w:p>
    <w:p w14:paraId="54DA9D26" w14:textId="77777777" w:rsidR="000F0D8A" w:rsidRPr="00070ADE" w:rsidRDefault="000F0D8A" w:rsidP="00B56F90">
      <w:pPr>
        <w:pStyle w:val="ae"/>
        <w:shd w:val="clear" w:color="auto" w:fill="FFFFFF"/>
        <w:spacing w:before="0" w:after="0"/>
        <w:jc w:val="both"/>
        <w:textAlignment w:val="baseline"/>
        <w:rPr>
          <w:color w:val="000000" w:themeColor="text1"/>
          <w:sz w:val="16"/>
          <w:szCs w:val="16"/>
        </w:rPr>
      </w:pPr>
      <w:r w:rsidRPr="00070ADE">
        <w:rPr>
          <w:color w:val="000000" w:themeColor="text1"/>
          <w:sz w:val="16"/>
          <w:szCs w:val="16"/>
        </w:rPr>
        <w:t xml:space="preserve">После окончания Великой Отечественной войны работы над реактивными установками были продолжены и направлены на их дальнейшее совершенствование при продолжавшейся эксплуатации серийных машин. Самыми долговечными из них оказались боевые машины М-13, известные сегодня как БМ-13 или «Катюши» </w:t>
      </w:r>
      <w:r w:rsidRPr="00070ADE">
        <w:rPr>
          <w:color w:val="000000" w:themeColor="text1"/>
          <w:sz w:val="16"/>
          <w:szCs w:val="16"/>
        </w:rPr>
        <w:lastRenderedPageBreak/>
        <w:t>(19941).</w:t>
      </w:r>
    </w:p>
    <w:p w14:paraId="61CBADBE" w14:textId="77777777" w:rsidR="000F0D8A" w:rsidRPr="00070ADE" w:rsidRDefault="000F0D8A" w:rsidP="00B56F90">
      <w:pPr>
        <w:shd w:val="clear" w:color="auto" w:fill="FFFFFF"/>
        <w:spacing w:after="0" w:line="240" w:lineRule="auto"/>
        <w:jc w:val="both"/>
        <w:rPr>
          <w:rFonts w:ascii="Times New Roman" w:hAnsi="Times New Roman"/>
          <w:color w:val="000000" w:themeColor="text1"/>
          <w:sz w:val="16"/>
          <w:szCs w:val="16"/>
        </w:rPr>
      </w:pPr>
    </w:p>
    <w:p w14:paraId="721FBDBB"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В середине 1944 года в СКБ завода «Компрессор» были созда</w:t>
      </w:r>
      <w:r w:rsidRPr="001A0BAA">
        <w:rPr>
          <w:rStyle w:val="aff1"/>
          <w:rFonts w:ascii="Times New Roman" w:hAnsi="Times New Roman" w:cs="Times New Roman"/>
          <w:color w:val="0070C0"/>
          <w:spacing w:val="0"/>
          <w:sz w:val="16"/>
          <w:szCs w:val="16"/>
        </w:rPr>
        <w:softHyphen/>
        <w:t>ны пусковые установки со спиральными направляющими БМ-31- СН для реактивных снарядов М-31.</w:t>
      </w:r>
    </w:p>
    <w:p w14:paraId="46BE924A"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В том же СКБ в 1944 году конструкторская группа В. А. Руд</w:t>
      </w:r>
      <w:r w:rsidRPr="001A0BAA">
        <w:rPr>
          <w:rStyle w:val="aff1"/>
          <w:rFonts w:ascii="Times New Roman" w:hAnsi="Times New Roman" w:cs="Times New Roman"/>
          <w:color w:val="0070C0"/>
          <w:spacing w:val="0"/>
          <w:sz w:val="16"/>
          <w:szCs w:val="16"/>
        </w:rPr>
        <w:softHyphen/>
        <w:t>ницкого разработала 32-зарядную 1гусковую установку БМ-8-СН со спиральными направляющими для пуска снарядов М-8.</w:t>
      </w:r>
    </w:p>
    <w:p w14:paraId="17FEF554"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Style w:val="aff1"/>
          <w:rFonts w:ascii="Times New Roman" w:hAnsi="Times New Roman" w:cs="Times New Roman"/>
          <w:color w:val="0070C0"/>
          <w:spacing w:val="0"/>
          <w:sz w:val="16"/>
          <w:szCs w:val="16"/>
        </w:rPr>
        <w:t>Для испытания направляющих запуском реактивных снаря</w:t>
      </w:r>
      <w:r w:rsidRPr="001A0BAA">
        <w:rPr>
          <w:rStyle w:val="aff1"/>
          <w:rFonts w:ascii="Times New Roman" w:hAnsi="Times New Roman" w:cs="Times New Roman"/>
          <w:color w:val="0070C0"/>
          <w:spacing w:val="0"/>
          <w:sz w:val="16"/>
          <w:szCs w:val="16"/>
        </w:rPr>
        <w:softHyphen/>
        <w:t>дов М-8 были разработаны и изготовлены двухметровые образцы с крутизной спирали 30, 50, 90, 135, 180 и 225° на один погонный метр длины. Испытания показали, что для снаряда М-8 наимень</w:t>
      </w:r>
      <w:r w:rsidRPr="001A0BAA">
        <w:rPr>
          <w:rStyle w:val="aff1"/>
          <w:rFonts w:ascii="Times New Roman" w:hAnsi="Times New Roman" w:cs="Times New Roman"/>
          <w:color w:val="0070C0"/>
          <w:spacing w:val="0"/>
          <w:sz w:val="16"/>
          <w:szCs w:val="16"/>
        </w:rPr>
        <w:softHyphen/>
        <w:t>шее рассеивание обеспечивается при угле закрутки 180° на один погонный метр (25439).</w:t>
      </w:r>
    </w:p>
    <w:p w14:paraId="2B166631" w14:textId="77777777" w:rsidR="00EC78A0" w:rsidRPr="001A0BAA" w:rsidRDefault="00EC78A0" w:rsidP="00EC78A0">
      <w:pPr>
        <w:spacing w:after="0" w:line="240" w:lineRule="auto"/>
        <w:jc w:val="both"/>
        <w:rPr>
          <w:rFonts w:ascii="Times New Roman" w:hAnsi="Times New Roman"/>
          <w:color w:val="0070C0"/>
          <w:sz w:val="16"/>
          <w:szCs w:val="16"/>
        </w:rPr>
      </w:pPr>
    </w:p>
    <w:p w14:paraId="718E9ADC"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середине 1944 года были спроектированы и изготовлены опытные спиральные направляющие для пуска снарядов М-8, М-13, М-13-ДД, М-13-УК, М-20 и М-31. Полигонные испытания, проводившиеся в августе-сентябре, показали, что стрельба из созданных направляющих безопасна, а полёт снарядов правильный. Наименьшее рассеивание обеспечивалось при использовании М-20 и направляющей длиной 3 м с крутизной 120° на погонный метр, для снаряда М-13 — длиной 5 м с крутизной 80° на погонный метр (25402).</w:t>
      </w:r>
    </w:p>
    <w:p w14:paraId="06D7CE54" w14:textId="77777777" w:rsidR="00EC78A0" w:rsidRPr="001A0BAA" w:rsidRDefault="00EC78A0" w:rsidP="00EC78A0">
      <w:pPr>
        <w:spacing w:after="0" w:line="240" w:lineRule="auto"/>
        <w:jc w:val="both"/>
        <w:rPr>
          <w:rFonts w:ascii="Times New Roman" w:hAnsi="Times New Roman"/>
          <w:color w:val="0070C0"/>
          <w:sz w:val="16"/>
          <w:szCs w:val="16"/>
        </w:rPr>
      </w:pPr>
    </w:p>
    <w:p w14:paraId="20132F47"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середине 1944 г. начались испытания опытных образцов спиральных направляющих для РС. Помимо вращения снарядов, спиральные направляющие обладали большей живучестью по сравнению с прямолинейными, то есть были менее подвержены действию пороховых газов (25435).</w:t>
      </w:r>
    </w:p>
    <w:p w14:paraId="1B098A91" w14:textId="77777777" w:rsidR="00EC78A0" w:rsidRPr="001A0BAA" w:rsidRDefault="00EC78A0" w:rsidP="00EC78A0">
      <w:pPr>
        <w:spacing w:after="0" w:line="240" w:lineRule="auto"/>
        <w:jc w:val="both"/>
        <w:rPr>
          <w:rFonts w:ascii="Times New Roman" w:hAnsi="Times New Roman"/>
          <w:color w:val="0070C0"/>
          <w:sz w:val="16"/>
          <w:szCs w:val="16"/>
        </w:rPr>
      </w:pPr>
    </w:p>
    <w:p w14:paraId="3AAE41A4" w14:textId="77777777" w:rsidR="00595BFB" w:rsidRPr="00070ADE" w:rsidRDefault="00694509"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Другие оборонные отрасли:</w:t>
      </w:r>
    </w:p>
    <w:p w14:paraId="4A1914AF"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3B4AD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середине 1944 года стало окончательно ясно, что имеющихся средств борьбы с новейшими немецкими танками явно недостаточно. Необходимо было качественное усиление мощи танковых частей Красной Армии (3862).</w:t>
      </w:r>
    </w:p>
    <w:p w14:paraId="60B264E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D5F378" w14:textId="1DF891A9"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середине 1944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года после отказа от изготовления опытного образца танка А-44, группа конструкторов конструкторского бюро ХТЗМ, с одобрения Александра Александровича Морозова, провела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инициативную разработку проекта-наследника под обозначением Объект 414. Это должен был стать толстобронный скоростной маневренный танк принципиально нового типа с мощным артиллерийским вооружением.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За основу был принят перспективный танк Объект 136 (Т-44), ТТХ которого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был</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призван улучшить проект.</w:t>
      </w:r>
    </w:p>
    <w:p w14:paraId="48EA1E9B"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предварительных ТТХ обозначалось следующее:</w:t>
      </w:r>
    </w:p>
    <w:p w14:paraId="58A4FC3F" w14:textId="7364B8A1"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танка - не более 6000 мм,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ширина танка - не более 3500 мм,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высота танка - не более 2500 мм, масса - не более 36 тонн.</w:t>
      </w:r>
    </w:p>
    <w:p w14:paraId="4C6DD1DB" w14:textId="495C1DBB"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Бронирование: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лобовое бронирование корпуса - не менее 90 мм под углом 60</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градусов, лобовое бронирование башни не менее 120 мм.</w:t>
      </w:r>
    </w:p>
    <w:p w14:paraId="2C1897A6" w14:textId="6C6E5E1E"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85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либо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100-мм орудие, 2х7.62 мм пулемёта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(курсовой и спаренный).</w:t>
      </w:r>
    </w:p>
    <w:p w14:paraId="467E9405"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Дизель, не менее 520 л.с. (15652).</w:t>
      </w:r>
    </w:p>
    <w:p w14:paraId="0101600F" w14:textId="3FEB0384"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По полученный данным был создан проект</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Объекта 414 об. 1944 года следующего вида:</w:t>
      </w:r>
    </w:p>
    <w:p w14:paraId="2CCEC391"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Боевая масса: 36 тонн</w:t>
      </w:r>
    </w:p>
    <w:p w14:paraId="13315A49"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Длина танка с пушкой вперёд: 7100 мм</w:t>
      </w:r>
    </w:p>
    <w:p w14:paraId="676161DF"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Ширина танка: 3400 мм</w:t>
      </w:r>
    </w:p>
    <w:p w14:paraId="1DF484D0"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Высота танка: 2560 мм</w:t>
      </w:r>
    </w:p>
    <w:p w14:paraId="4897E4CC" w14:textId="1BE082F0"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Диаметр погона башни: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1700 мм</w:t>
      </w:r>
    </w:p>
    <w:p w14:paraId="063139A9"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Экипаж: 4 человека - Командир/радист, наводчик, механик-водитель, заряжающий</w:t>
      </w:r>
    </w:p>
    <w:p w14:paraId="297DA9D0"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Максимальная скорость: 55 км/ч</w:t>
      </w:r>
    </w:p>
    <w:p w14:paraId="54E86ADA"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Запас хода по шоссе: 210 км</w:t>
      </w:r>
    </w:p>
    <w:p w14:paraId="73580250"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Бронирование, мм / градусы:</w:t>
      </w:r>
    </w:p>
    <w:p w14:paraId="125D9E18"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Лоб корпуса низ: 100 / 45</w:t>
      </w:r>
    </w:p>
    <w:p w14:paraId="2C86A8E8"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Лоб башни: 120 / 0</w:t>
      </w:r>
    </w:p>
    <w:p w14:paraId="450A89DF"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Лоб корпуса верх: 100 / 60</w:t>
      </w:r>
    </w:p>
    <w:p w14:paraId="405815B1"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Борт башни: 90 / 20</w:t>
      </w:r>
    </w:p>
    <w:p w14:paraId="0E44ED70"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Борт корпуса: 80 / 0</w:t>
      </w:r>
    </w:p>
    <w:p w14:paraId="055595C4"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Корма башни: 75 / 12</w:t>
      </w:r>
    </w:p>
    <w:p w14:paraId="3F5F3CE5" w14:textId="582A6A1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Зад корпуса: 45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17</w:t>
      </w:r>
    </w:p>
    <w:p w14:paraId="43AFFBFA" w14:textId="7C5B3460"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Крыша корпуса: 15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0</w:t>
      </w:r>
    </w:p>
    <w:p w14:paraId="5162770B" w14:textId="46C37DE5"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Днище корпуса: 15</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 0</w:t>
      </w:r>
    </w:p>
    <w:p w14:paraId="497DB6F0"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Вооружение:</w:t>
      </w:r>
    </w:p>
    <w:p w14:paraId="76DFFC23" w14:textId="386C3AAA"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качестве основного вооружения было выбрано опытное 100-мм</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орудие С-34-I, проходившее в то же время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испытание на танке Объект 701.</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Оно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сочетало</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огневую мощь и приемлемую массу, а также оснащалось дульным тормозом, что благоприятно сказывалось</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на нагрузки при выстреле танка. Орудие заряжалось унитарными снарядами, расчётный боекомплект составлял 34 снаряда. В качестве альтернативы рассматривалась</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установка 85-мм орудий ЗИС-С-53,</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Д-5Т,</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100-мм орудие Д-10Т, ЗИС-100 или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122-мм орудий С-34-II, Д-25Т. Также на танке было установлено 2 пулемёта ДТМ калибра 7.62 мм -</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курсовым пулемётом, установленным в корпусе по ходу движения, управлял и обслуживал механик-водитель, а спаренным, установленный в одной маске с основным орудием, управлял наводчик. В башне предполагали установить также механический досылатель выстрела, а впоследствии - и одноплоскостной стабилизатор прицела.</w:t>
      </w:r>
    </w:p>
    <w:p w14:paraId="09D8BA96" w14:textId="59CAAC8F"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Объекте 414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была проведена модернизация механизмов управления огнем, аналогичная работам на танке Объект 136. Танк получил все новейшие достижения в данной области - ломающийся прицел, кнопочный электроспуск орудия и пулемета, объединенное управление ручным и моторным приводом поворота башни.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Поворотный механизм башни управлялся от рукояти ручного поворотного механизма, что позволяло перейти с ручного на моторный привод башни, не отрывая руки от рукоятки поворотного механизма.</w:t>
      </w:r>
    </w:p>
    <w:p w14:paraId="5A7AC74F"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Ходовая часть:</w:t>
      </w:r>
    </w:p>
    <w:p w14:paraId="333D1218" w14:textId="7294E1B7" w:rsidR="001444FD"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Ходовая часть Объекта 414</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с каждого борта состояла из ведущего колеса, ленивца, шести сдвоенных</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литых</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необрезиненных опорных катков диаметром 550</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мм и трёх сдвоенных обрезиненных литых поддерживающих катков диаметром 385</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мм. Подвеска опорных катков</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 индивидуальная,</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торсионная.</w:t>
      </w:r>
    </w:p>
    <w:p w14:paraId="48EBE7E1" w14:textId="5B146ED3" w:rsidR="001444FD"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Гусеница</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танка — шириной 650</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мм, стальная, мелкозвенчатая, цевочного зацепления, с открытым металлическим шарниром. Гусеница каждого борта состояла из 80 траков</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 из 40</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гребневых и 40</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плоских. Расчётное удельное давление на грунт составило</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0,9</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кг/см²</w:t>
      </w:r>
    </w:p>
    <w:p w14:paraId="1D2B6F51"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и трансмиссия:</w:t>
      </w:r>
    </w:p>
    <w:p w14:paraId="265A4254" w14:textId="21C0352C"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На Объекте 414 планировался к</w:t>
      </w:r>
      <w:r w:rsidR="00C63BA9">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установке</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V-образный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12-цилиндровый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четырёхтактный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дизельный двигатель</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жидкостного охлаждения</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модели В-12А. Удельная мощность танка составила - 18 л.с./т.</w:t>
      </w:r>
    </w:p>
    <w:p w14:paraId="6FAF6A6D" w14:textId="766E970C"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Двигатель был доработан</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на базе двигателя танка Объект 701 - В-12: изменена система охлаждения и питания двигателя и общая компоновка двигателя для возможности установки его в моторный отсек Объекта 414.</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Воздухоочиститель нового типа перенесли из развала цилиндров к борту. На</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месте вентилятора, выступавшего за габариты картера, поставили компактный маховик. Масляный и водяной радиаторы разместили</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горизонтально под крышкой моторного отделения в однородном воздушном потоке. Такая система охлаждения была более эффективной.</w:t>
      </w:r>
      <w:r w:rsidR="00B643A8" w:rsidRPr="00070ADE">
        <w:rPr>
          <w:rFonts w:ascii="Times New Roman" w:hAnsi="Times New Roman"/>
          <w:color w:val="000000" w:themeColor="text1"/>
          <w:sz w:val="16"/>
          <w:szCs w:val="16"/>
        </w:rPr>
        <w:t xml:space="preserve"> </w:t>
      </w:r>
      <w:r w:rsidRPr="00070ADE">
        <w:rPr>
          <w:rFonts w:ascii="Times New Roman" w:hAnsi="Times New Roman"/>
          <w:color w:val="000000" w:themeColor="text1"/>
          <w:sz w:val="16"/>
          <w:szCs w:val="16"/>
        </w:rPr>
        <w:t>При этом для обеспечения надежной работы пришлось ограничить предельную мощность двигателя до 650 л.с.</w:t>
      </w:r>
    </w:p>
    <w:p w14:paraId="3792D69A" w14:textId="6CACD5F9" w:rsidR="001444FD"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В трансмиссии танка использовали для передачи усилия от двигателя к перпендикулярно ему расположенной коробке передач новый агрегат — "гитару", редуктор с передаточным числом 0.7. За счет того, что число оборотов увеличилось, а передаваемые нагрузки уменьшились, коробка передач была сделана легкой и компактной.</w:t>
      </w:r>
    </w:p>
    <w:p w14:paraId="173FA74B" w14:textId="68B4DCAA" w:rsidR="001444FD"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Система питания двигателя включала три</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топливных бака</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общей ёмкостью 400</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л, расположенных в моторном отделении справа</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от двигателя во внутренних надгусеничных нишах, и за отделением управления, а также три</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внешних цилиндрических топливных бака, размещённых на надгусеничных полках, ёмкостью по 90 л топлива.​</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На борту танка</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имелось напряжение в 12 и 24 вольта. Источник – 4</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батареи аккумуляторного типа 6СТЭ-128, емкость батарей 256 А*ч. Электропроводка двухпроводная,</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внутри</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танка</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проложена в металлических экранирующих</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оболочках.</w:t>
      </w:r>
    </w:p>
    <w:p w14:paraId="00019775"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Средства связи и наблюдение:</w:t>
      </w:r>
    </w:p>
    <w:p w14:paraId="581C0140" w14:textId="66685A7D" w:rsidR="001444FD"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Механик-водитель в не боевых условиях осуществлял наблюдение за местностью из своего люка, в бою же он пользовался двумя</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перископическими</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смотровыми приборами дававшим ему широкий угол обзора.</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Командир танка, наводчик и заряжающий имели по одному прибору МК-4, являвшиеся</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копией британского Mk.IV, дававшим круговой обзор, которые размещались на крыше башни.</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Для наведения на цель использовался телескопический прицел ТШ-19.</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Кроме того, имелась свето-сигнализация.</w:t>
      </w:r>
    </w:p>
    <w:p w14:paraId="4568D25D" w14:textId="5E9D3C42" w:rsidR="001444FD" w:rsidRPr="00070ADE" w:rsidRDefault="00B643A8"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 xml:space="preserve"> </w:t>
      </w:r>
      <w:r w:rsidR="001444FD" w:rsidRPr="00070ADE">
        <w:rPr>
          <w:rFonts w:ascii="Times New Roman" w:hAnsi="Times New Roman"/>
          <w:color w:val="000000" w:themeColor="text1"/>
          <w:sz w:val="16"/>
          <w:szCs w:val="16"/>
        </w:rPr>
        <w:t>Для внешней связи на Объекте 414</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имелась</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радиостанция</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9РС, размещавшаяся в башне танка позади командира танка в кормовой нише и оборудованная</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штыревой</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антенной</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длиной от 1 до 4</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м. 9РС</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обеспечивала связь в телефонном режиме на дальность до 35—40</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км с места и 20—25</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км на ходу. Для внутренней связи на танке устанавливалось телефонное</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танковое переговорное устройство</w:t>
      </w:r>
      <w:r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ТПУ-4-БИС-Ф на всех членов экипажа, соединённое с радиостанцией.</w:t>
      </w:r>
    </w:p>
    <w:p w14:paraId="615B0084" w14:textId="77777777" w:rsidR="001444FD" w:rsidRPr="00070ADE" w:rsidRDefault="001444F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Особой интерес представляет компоновка проекта:</w:t>
      </w:r>
    </w:p>
    <w:p w14:paraId="7B2FB3C6" w14:textId="24BD7135" w:rsidR="001444FD" w:rsidRPr="00070ADE" w:rsidRDefault="00C63BA9" w:rsidP="00B56F9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Компоновочная схема танка</w:t>
      </w:r>
      <w:r w:rsidR="00B643A8"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использовала кормовое изготовление боевого отделения. МТО по схеме – переднего расположения. Место водителя-механика слева в носовом отделении,</w:t>
      </w:r>
      <w:r w:rsidR="00B643A8"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изолированное от боевого отделения, справа</w:t>
      </w:r>
      <w:r w:rsidR="00B643A8"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расположен двигатель с механизмами трансмиссии. Башня с боевым отделением располагалась в задней части танка.</w:t>
      </w:r>
      <w:r>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Между отделением управления</w:t>
      </w:r>
      <w:r w:rsidR="00B643A8"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и боевым отделением располагались топливные баки и часть боеукладки. Также боеукладка располагалась</w:t>
      </w:r>
      <w:r w:rsidR="00B643A8"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вдоль левого борта боевого отделения, его</w:t>
      </w:r>
      <w:r w:rsidR="00B643A8"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задней части, а также в</w:t>
      </w:r>
      <w:r w:rsidR="00B643A8"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нише башни.</w:t>
      </w:r>
    </w:p>
    <w:p w14:paraId="70109B61" w14:textId="099C6E52" w:rsidR="001444FD" w:rsidRPr="00070ADE" w:rsidRDefault="00C63BA9" w:rsidP="00B56F90">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Расположение экипажа в башне также представляло интерес.</w:t>
      </w:r>
      <w:r w:rsidR="00B643A8"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В</w:t>
      </w:r>
      <w:r w:rsidR="00B643A8"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отличие</w:t>
      </w:r>
      <w:r w:rsidR="00B643A8"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от классической компоновки советских танков военных лет, командир танка и наводчик располагались справа</w:t>
      </w:r>
      <w:r w:rsidR="00B643A8"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от орудия в порядке: место</w:t>
      </w:r>
      <w:r w:rsidR="00B643A8"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наводчика в передней части башни, за ним</w:t>
      </w:r>
      <w:r w:rsidR="00B643A8"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находилось место командира, оснащённое командирской башенкой, за командиром устанавливалась рация 9РС.</w:t>
      </w:r>
      <w:r w:rsidR="00B643A8"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В левой части башни располагалось место заряжающего, откуда был свободный</w:t>
      </w:r>
      <w:r w:rsidR="00B643A8"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доступ к снарядам, расположенным, как в первоочередной боеукладке</w:t>
      </w:r>
      <w:r w:rsidR="00B643A8"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в нише башни, так и в боевом отделении.</w:t>
      </w:r>
      <w:r>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Такое расположение экипажа связано с особенностями компоновки орудия С-34.</w:t>
      </w:r>
      <w:r w:rsidR="00B643A8" w:rsidRPr="00070ADE">
        <w:rPr>
          <w:rFonts w:ascii="Times New Roman" w:hAnsi="Times New Roman"/>
          <w:color w:val="000000" w:themeColor="text1"/>
          <w:sz w:val="16"/>
          <w:szCs w:val="16"/>
        </w:rPr>
        <w:t xml:space="preserve"> </w:t>
      </w:r>
      <w:r w:rsidR="001444FD" w:rsidRPr="00070ADE">
        <w:rPr>
          <w:rFonts w:ascii="Times New Roman" w:hAnsi="Times New Roman"/>
          <w:color w:val="000000" w:themeColor="text1"/>
          <w:sz w:val="16"/>
          <w:szCs w:val="16"/>
        </w:rPr>
        <w:t>На крыше размешались два люка-лаза, один из которых стоял в крыше командирской башенки. Командирский люк имел вращающуюся крышу с одностворчатой крышкой. В задней части крыши располагался вентилятор боевого отделения (15653).</w:t>
      </w:r>
    </w:p>
    <w:p w14:paraId="4825BA2B" w14:textId="77777777" w:rsidR="001444FD" w:rsidRPr="00070ADE" w:rsidRDefault="001444FD" w:rsidP="00B56F90">
      <w:pPr>
        <w:spacing w:after="0" w:line="240" w:lineRule="auto"/>
        <w:jc w:val="both"/>
        <w:rPr>
          <w:rFonts w:ascii="Times New Roman" w:hAnsi="Times New Roman"/>
          <w:color w:val="000000" w:themeColor="text1"/>
          <w:sz w:val="16"/>
          <w:szCs w:val="16"/>
        </w:rPr>
      </w:pPr>
    </w:p>
    <w:p w14:paraId="02B6B1E1" w14:textId="77777777" w:rsidR="00BD1A9D" w:rsidRPr="00070ADE" w:rsidRDefault="00BD1A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середине 1944 г., по свидетельству парткома завода № 76, контингент рабочих завода на 82 % состоял из эвакуированных и мобилизованных из других областей страны. Следовательно, для этих людей необходимо было обеспечить хоть какие-то жилищные условия. Зимой 1942-1943 гг. был создан Рабочий поселок завода, состоящий в основном из бараков и землянок. К весне 1944 г. от землянок в основном удалось избавиться: к этому времени в них проживало только 200 человек. Основная масса (3,5 тыс. человек, или около половины всех рабочих) была расселена в бараках Рабочего поселка.</w:t>
      </w:r>
    </w:p>
    <w:p w14:paraId="35D2A52F" w14:textId="77777777" w:rsidR="00BD1A9D" w:rsidRPr="00070ADE" w:rsidRDefault="00BD1A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Создание поселка проходило в период массового промышленного строительства и расширения основного производства, поэтому бараки были очень низкого качества. Они не были утеплены должным образом, в них не было электричества и воды. Тем не менее летом 1943 г. завод провел большую работу по обустройству поселка. Бараки были по возможности отремонтированы, утеплены и остеклены. Все деревянные нары, по утверждению парткома завода № 76, были заменены железными кроватями.</w:t>
      </w:r>
    </w:p>
    <w:p w14:paraId="6D17C880" w14:textId="77777777" w:rsidR="00BD1A9D" w:rsidRPr="00070ADE" w:rsidRDefault="00BD1A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Правда, эти меры не решили одной из главных проблем барачного поселка: плотность проживания была крайне высокая, на одного человека здесь приходилось 1,8 кв. м. Это самый низкий показатель, обнаруженный нами на заводах танковой промышленности, кроме рабочих стройколонн, которые жили в наиболее худших условиях на всех предприятиях. Другая часть работников (в основном квалифицированные рабочие и ИТР, переброшенные с ленинградского Кировского завода) продолжала жить в отдалении до 10 км от завода[894].</w:t>
      </w:r>
    </w:p>
    <w:p w14:paraId="4473D1D5" w14:textId="77777777" w:rsidR="00BD1A9D" w:rsidRPr="00070ADE" w:rsidRDefault="00BD1A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совершенно схожих условиях жили работники свердловского завода № 50 (бывшего завода № 37). Летом 1944 г. эвакуированные и мобилизованные из других регионов страны составляли 81 % кадрового состава. В барачных общежитиях завода, которые также возникли в основном в течение 1942-1943 гг., были установлены двухъярусные койки, а на одного проживающего приходилось 2,1 кв. м[895]. Проверка Свердловского обкома ВКП(б) в январе 1944 г. показала, что условия жизни в общежитиях были крайне тяжелыми. В помещениях царили грязь, вонь и холод [896] (23536).</w:t>
      </w:r>
    </w:p>
    <w:p w14:paraId="2A45B19F" w14:textId="77777777" w:rsidR="00BD1A9D" w:rsidRPr="00070ADE" w:rsidRDefault="00BD1A9D" w:rsidP="00B56F90">
      <w:pPr>
        <w:spacing w:after="0" w:line="240" w:lineRule="auto"/>
        <w:jc w:val="both"/>
        <w:rPr>
          <w:rFonts w:ascii="Times New Roman" w:hAnsi="Times New Roman"/>
          <w:color w:val="000000" w:themeColor="text1"/>
          <w:sz w:val="16"/>
          <w:szCs w:val="16"/>
        </w:rPr>
      </w:pPr>
    </w:p>
    <w:p w14:paraId="4EBBE10D" w14:textId="77777777" w:rsidR="00BD1A9D" w:rsidRPr="00070ADE" w:rsidRDefault="00BD1A9D"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середине 1944 года продовольственные поставки потеснили в советских заявках цветные и легированные металлы и некоторые виды воору</w:t>
      </w:r>
      <w:r w:rsidRPr="00070ADE">
        <w:rPr>
          <w:rFonts w:ascii="Times New Roman" w:hAnsi="Times New Roman"/>
          <w:color w:val="000000" w:themeColor="text1"/>
          <w:sz w:val="16"/>
          <w:szCs w:val="16"/>
        </w:rPr>
        <w:softHyphen/>
        <w:t>жения и военной техники. В общем объеме ввезенных в кон</w:t>
      </w:r>
      <w:r w:rsidRPr="00070ADE">
        <w:rPr>
          <w:rFonts w:ascii="Times New Roman" w:hAnsi="Times New Roman"/>
          <w:color w:val="000000" w:themeColor="text1"/>
          <w:sz w:val="16"/>
          <w:szCs w:val="16"/>
        </w:rPr>
        <w:softHyphen/>
        <w:t>це войны грузов продовольственные поставки заняли свыше 25% тоннажа (24342).</w:t>
      </w:r>
    </w:p>
    <w:p w14:paraId="18B583B8" w14:textId="77777777" w:rsidR="00BD1A9D" w:rsidRPr="00070ADE" w:rsidRDefault="00BD1A9D" w:rsidP="00B56F90">
      <w:pPr>
        <w:spacing w:after="0" w:line="240" w:lineRule="auto"/>
        <w:jc w:val="both"/>
        <w:rPr>
          <w:rFonts w:ascii="Times New Roman" w:hAnsi="Times New Roman"/>
          <w:color w:val="000000" w:themeColor="text1"/>
          <w:sz w:val="16"/>
          <w:szCs w:val="16"/>
        </w:rPr>
      </w:pPr>
    </w:p>
    <w:p w14:paraId="6A63ED0B"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середине 1944 г. приказом нач. Бронетанкового управления КА выжившие СУ-12М были выведены в учебные подразделения (6205, 14).</w:t>
      </w:r>
    </w:p>
    <w:p w14:paraId="1689AEA4"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FD95C8"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середине 1944 прошли полигонные испытания трех опытных облегченных авиадесантных САУ-ОСУ-76, разработанных заводом 38 НКТП с использованием 76-мм пушек ЗИС-3. Испытания не прошла и решили, что нужно новую 76 мм пушку (1151,72).</w:t>
      </w:r>
    </w:p>
    <w:p w14:paraId="2D67E915"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6592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середине 1944 года Ю.Б. Харитон подготовил предложение к проекту распоряжения ГКО о мерах по разработке конструкции атомной бомбы. В этих целях, в частности, предполагалось организовать в Лаборатории No. 2 специальную группу для научно-исследовательской и конструкторской разработки вопросов, связанных с осуществлением создания атомной бомбы, изготовлением опытного образца и со сдачей законченного образца правительственной комиссии (10549).</w:t>
      </w:r>
    </w:p>
    <w:p w14:paraId="01BCFFCA"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4C0A84F6" w14:textId="2E882D9B" w:rsidR="000F0D8A" w:rsidRPr="00070ADE" w:rsidRDefault="000F0D8A"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70ADE">
        <w:rPr>
          <w:rFonts w:ascii="Times New Roman" w:hAnsi="Times New Roman"/>
          <w:i/>
          <w:iCs/>
          <w:color w:val="000000" w:themeColor="text1"/>
          <w:sz w:val="16"/>
          <w:szCs w:val="16"/>
        </w:rPr>
        <w:t>Армия:</w:t>
      </w:r>
    </w:p>
    <w:p w14:paraId="52349437" w14:textId="77777777" w:rsidR="000F0D8A" w:rsidRPr="00070ADE" w:rsidRDefault="000F0D8A" w:rsidP="00B56F90">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394A4F54" w14:textId="77777777" w:rsidR="000F0D8A" w:rsidRPr="00070ADE" w:rsidRDefault="000F0D8A"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lang w:eastAsia="ru-RU" w:bidi="ru-RU"/>
        </w:rPr>
        <w:t>В середине 1944 г. на пике своей силы Армия Крайова (АК), подчинявшаяся эмигрантскому правительству в Лондоне насчитывала 486 323 солдат, курсантов, унтер- офицеров и офицеров. Помимо нее, в стране действовали и другие вооруженные организации: от коммунистической Армии Людовой (АЛ) до праворадикальных Народовых сил збройных (НСЗ), часть из которых пошла на сотрудничест</w:t>
      </w:r>
      <w:r w:rsidRPr="00070ADE">
        <w:rPr>
          <w:rFonts w:ascii="Times New Roman" w:hAnsi="Times New Roman"/>
          <w:color w:val="000000" w:themeColor="text1"/>
          <w:sz w:val="16"/>
          <w:szCs w:val="16"/>
          <w:lang w:eastAsia="ru-RU" w:bidi="ru-RU"/>
        </w:rPr>
        <w:softHyphen/>
        <w:t>во с оккупантами.</w:t>
      </w:r>
    </w:p>
    <w:p w14:paraId="72D20FF2" w14:textId="77777777" w:rsidR="000F0D8A" w:rsidRPr="00070ADE" w:rsidRDefault="000F0D8A" w:rsidP="00B56F90">
      <w:pPr>
        <w:spacing w:after="0" w:line="240" w:lineRule="auto"/>
        <w:jc w:val="both"/>
        <w:rPr>
          <w:rFonts w:ascii="Times New Roman" w:hAnsi="Times New Roman"/>
          <w:color w:val="000000" w:themeColor="text1"/>
          <w:sz w:val="16"/>
          <w:szCs w:val="16"/>
          <w:lang w:eastAsia="ru-RU" w:bidi="ru-RU"/>
        </w:rPr>
      </w:pPr>
      <w:r w:rsidRPr="00070ADE">
        <w:rPr>
          <w:rFonts w:ascii="Times New Roman" w:hAnsi="Times New Roman"/>
          <w:color w:val="000000" w:themeColor="text1"/>
          <w:sz w:val="16"/>
          <w:szCs w:val="16"/>
          <w:lang w:eastAsia="ru-RU" w:bidi="ru-RU"/>
        </w:rPr>
        <w:t xml:space="preserve">Части </w:t>
      </w:r>
      <w:r w:rsidRPr="00070ADE">
        <w:rPr>
          <w:rFonts w:ascii="Times New Roman" w:hAnsi="Times New Roman"/>
          <w:smallCaps/>
          <w:color w:val="000000" w:themeColor="text1"/>
          <w:sz w:val="16"/>
          <w:szCs w:val="16"/>
          <w:lang w:eastAsia="ru-RU" w:bidi="ru-RU"/>
        </w:rPr>
        <w:t>Ак</w:t>
      </w:r>
      <w:r w:rsidRPr="00070ADE">
        <w:rPr>
          <w:rFonts w:ascii="Times New Roman" w:hAnsi="Times New Roman"/>
          <w:color w:val="000000" w:themeColor="text1"/>
          <w:sz w:val="16"/>
          <w:szCs w:val="16"/>
          <w:lang w:eastAsia="ru-RU" w:bidi="ru-RU"/>
        </w:rPr>
        <w:t xml:space="preserve"> находились и на территориях, отошедших в 1939</w:t>
      </w:r>
      <w:r w:rsidRPr="00070ADE">
        <w:rPr>
          <w:rFonts w:ascii="Times New Roman" w:hAnsi="Times New Roman"/>
          <w:color w:val="000000" w:themeColor="text1"/>
          <w:sz w:val="16"/>
          <w:szCs w:val="16"/>
          <w:lang w:eastAsia="ru-RU" w:bidi="ru-RU"/>
        </w:rPr>
        <w:softHyphen/>
        <w:t>1940 гг. к СССР: Западной Украине, Западной Белоруссии и Виленском Крае. Здесь они действовали не только против немцев, но и против советских партизан, а также частей Красной Армии - в зависимости от развития ситуации на ме</w:t>
      </w:r>
      <w:r w:rsidRPr="00070ADE">
        <w:rPr>
          <w:rFonts w:ascii="Times New Roman" w:hAnsi="Times New Roman"/>
          <w:color w:val="000000" w:themeColor="text1"/>
          <w:sz w:val="16"/>
          <w:szCs w:val="16"/>
          <w:lang w:eastAsia="ru-RU" w:bidi="ru-RU"/>
        </w:rPr>
        <w:softHyphen/>
        <w:t>стах. В ряде случаев осуществлялось их снабжение по воз</w:t>
      </w:r>
      <w:r w:rsidRPr="00070ADE">
        <w:rPr>
          <w:rFonts w:ascii="Times New Roman" w:hAnsi="Times New Roman"/>
          <w:color w:val="000000" w:themeColor="text1"/>
          <w:sz w:val="16"/>
          <w:szCs w:val="16"/>
          <w:lang w:eastAsia="ru-RU" w:bidi="ru-RU"/>
        </w:rPr>
        <w:softHyphen/>
        <w:t>духу авиацией союзников. Летали польские, британские, южноафриканские и американские экипажи. Так, в интере</w:t>
      </w:r>
      <w:r w:rsidRPr="00070ADE">
        <w:rPr>
          <w:rFonts w:ascii="Times New Roman" w:hAnsi="Times New Roman"/>
          <w:color w:val="000000" w:themeColor="text1"/>
          <w:sz w:val="16"/>
          <w:szCs w:val="16"/>
          <w:lang w:eastAsia="ru-RU" w:bidi="ru-RU"/>
        </w:rPr>
        <w:softHyphen/>
        <w:t>сах частей АК, действовавших в Галицийском округе, с мар</w:t>
      </w:r>
      <w:r w:rsidRPr="00070ADE">
        <w:rPr>
          <w:rFonts w:ascii="Times New Roman" w:hAnsi="Times New Roman"/>
          <w:color w:val="000000" w:themeColor="text1"/>
          <w:sz w:val="16"/>
          <w:szCs w:val="16"/>
          <w:lang w:eastAsia="ru-RU" w:bidi="ru-RU"/>
        </w:rPr>
        <w:softHyphen/>
        <w:t>та по июль 1944 г. было выполнено двадцать четыре опера</w:t>
      </w:r>
      <w:r w:rsidRPr="00070ADE">
        <w:rPr>
          <w:rFonts w:ascii="Times New Roman" w:hAnsi="Times New Roman"/>
          <w:color w:val="000000" w:themeColor="text1"/>
          <w:sz w:val="16"/>
          <w:szCs w:val="16"/>
          <w:lang w:eastAsia="ru-RU" w:bidi="ru-RU"/>
        </w:rPr>
        <w:softHyphen/>
        <w:t>ции по сбросу оружия и боеприпасов, что позволило сфор</w:t>
      </w:r>
      <w:r w:rsidRPr="00070ADE">
        <w:rPr>
          <w:rFonts w:ascii="Times New Roman" w:hAnsi="Times New Roman"/>
          <w:color w:val="000000" w:themeColor="text1"/>
          <w:sz w:val="16"/>
          <w:szCs w:val="16"/>
          <w:lang w:eastAsia="ru-RU" w:bidi="ru-RU"/>
        </w:rPr>
        <w:softHyphen/>
        <w:t>мировать еще около двадцати новых взводов. Из-за ошибок штурманов часть груза досталась советским партизанам. Правда, если быть объективным, надо отметить, что Лондон категорически запрещал выполнять доставку военных грузов восточнее линии Керзона, фактически совпадавшей с уста</w:t>
      </w:r>
      <w:r w:rsidRPr="00070ADE">
        <w:rPr>
          <w:rFonts w:ascii="Times New Roman" w:hAnsi="Times New Roman"/>
          <w:color w:val="000000" w:themeColor="text1"/>
          <w:sz w:val="16"/>
          <w:szCs w:val="16"/>
          <w:lang w:eastAsia="ru-RU" w:bidi="ru-RU"/>
        </w:rPr>
        <w:softHyphen/>
        <w:t>новившейся в сентябре 1939 г. новой западной границей СССР. Однако «на местах», в силу разных причин, это указа</w:t>
      </w:r>
      <w:r w:rsidRPr="00070ADE">
        <w:rPr>
          <w:rFonts w:ascii="Times New Roman" w:hAnsi="Times New Roman"/>
          <w:color w:val="000000" w:themeColor="text1"/>
          <w:sz w:val="16"/>
          <w:szCs w:val="16"/>
          <w:lang w:eastAsia="ru-RU" w:bidi="ru-RU"/>
        </w:rPr>
        <w:softHyphen/>
        <w:t>ние нарушалось (20274).</w:t>
      </w:r>
    </w:p>
    <w:p w14:paraId="7FBAAD39" w14:textId="77777777" w:rsidR="000F0D8A" w:rsidRPr="00070ADE" w:rsidRDefault="000F0D8A" w:rsidP="00B56F90">
      <w:pPr>
        <w:spacing w:after="0" w:line="240" w:lineRule="auto"/>
        <w:jc w:val="both"/>
        <w:rPr>
          <w:rFonts w:ascii="Times New Roman" w:hAnsi="Times New Roman"/>
          <w:color w:val="000000" w:themeColor="text1"/>
          <w:sz w:val="16"/>
          <w:szCs w:val="16"/>
        </w:rPr>
      </w:pPr>
    </w:p>
    <w:p w14:paraId="4AADA8E5" w14:textId="4A9BB326" w:rsidR="0004034B" w:rsidRPr="00070ADE" w:rsidRDefault="0004034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070ADE">
        <w:rPr>
          <w:rFonts w:ascii="Times New Roman" w:hAnsi="Times New Roman"/>
          <w:i/>
          <w:iCs/>
          <w:color w:val="000000" w:themeColor="text1"/>
          <w:sz w:val="16"/>
          <w:szCs w:val="16"/>
        </w:rPr>
        <w:t>Жизнь и внутренняя политика:</w:t>
      </w:r>
    </w:p>
    <w:p w14:paraId="03354219" w14:textId="77777777" w:rsidR="0004034B" w:rsidRPr="00070ADE" w:rsidRDefault="0004034B" w:rsidP="00B56F9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356897" w14:textId="77777777" w:rsidR="0004034B" w:rsidRPr="00070ADE" w:rsidRDefault="000403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середине 1944 г. пищевые поставки значительно превысили даже суммарные поставки продовольствия за период действия Первого и Второго Протоколов. 1,8 млн. т составил чистый вес ввезенных в СССР по Лондонскому Протоколу сельскохозяйственных товаров. Пропорционально продовольственным увеличивались и поставки вооружения, оборудования, материалов.</w:t>
      </w:r>
    </w:p>
    <w:p w14:paraId="74FA227A" w14:textId="77777777" w:rsidR="0004034B" w:rsidRPr="00070ADE" w:rsidRDefault="000403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Между тем советское правительство не стремилось рекламировать, откуда и каким образом поступают импортные товары в СССР. На одной из пресс-конференций американский посол в Москве У. Стэндли выразил по этому поводу озабоченность. И хотя заявление посла было принято во внимание и через неделю в центральных газетах появилась краткая информация о количестве поставок по ленд-лизу, тем не менее У. Стэндли был вскоре заменен А. Гарриманом.</w:t>
      </w:r>
    </w:p>
    <w:p w14:paraId="3B0986F3" w14:textId="77777777" w:rsidR="0004034B" w:rsidRPr="00070ADE" w:rsidRDefault="0004034B" w:rsidP="00B56F90">
      <w:pPr>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Но не только умолчание размеров союзнической помощи было предметом критики Советского Союза. Представители американского и британского посольств попытались, насколько это позволяли советские власти, проследить использование ленд-лизовских грузов. Так делали Соединенные Штаты во всех странах, куда направлялись грузы по ленд-лизу. Предназначенные американским законом для нужд армий, ленд-лизовские грузы могли быть использованы для гражданских целей лишь по согласованию со страной-поставщиком. Сотрудники посольства США между тем отмечали появление импортных товаров в "закрытых" магазинах и ресторанах в Куйбышеве и пригородах зимой 1942/43 г. (19582).</w:t>
      </w:r>
    </w:p>
    <w:p w14:paraId="778AF004" w14:textId="77777777" w:rsidR="0004034B" w:rsidRPr="00070ADE" w:rsidRDefault="0004034B" w:rsidP="00B56F90">
      <w:pPr>
        <w:spacing w:after="0" w:line="240" w:lineRule="auto"/>
        <w:jc w:val="both"/>
        <w:rPr>
          <w:rFonts w:ascii="Times New Roman" w:hAnsi="Times New Roman"/>
          <w:color w:val="000000" w:themeColor="text1"/>
          <w:sz w:val="16"/>
          <w:szCs w:val="16"/>
        </w:rPr>
      </w:pPr>
    </w:p>
    <w:p w14:paraId="2826BE31"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середине 1944 с улучшением советских истребителей и ПВО стало ясно, что данные Hs 129 были далеки от требуемых. Потери пилотов достигли 20%,и оказалось почти совершенно невозможным обеспечить штурмовые эскадры людьми и вооружением. На базе этого самолета были выполнены некоторые передовые разработки, однако хотя его конструкция была превосходной, оказалось невозможным реально обеспечить машину мощными двигателями, которые могли бы существенно улучшить летные данные. Одной из наиболее интересных разработок было оснащение самолета двумя 900-сильными двигателями Isotta-Fraschini Delta. Этот проект получил обозначение Hs 129C. Предполагаемая серийная модель Hs 129C-1 должна была иметь две 30-мм пушки МК 103, установленные рядом, каждая в дистанционно управляемой турели под фюзеляжем, однако были выполнены лишь продувки в аэродинамической трубе. Один Hs 129 был оснащен катапультным креслом, другой проектировался с огнеметом, тогда как третий проект заключался в использовании бронекабины Hs 129 в сочетании с планерами других машин. По одному из проектов предлагалось использовать планер бомбардировщика Ju 188 с двумя 2500-сильными Jumo 222, тогда как в другом случае предлагалось использовать планер Go 229 с 1750-сильным толкающим двигателем Jumo 213 (3188).</w:t>
      </w:r>
    </w:p>
    <w:p w14:paraId="715B37A3" w14:textId="77777777" w:rsidR="00595BFB" w:rsidRPr="00070ADE" w:rsidRDefault="00595BFB"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726040"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К середине 1944 года была подготовлена техническая документация для проведения испытаний контейнера для транспортировки ракеты А-4 по морю в подводном положении.</w:t>
      </w:r>
    </w:p>
    <w:p w14:paraId="65E350CA" w14:textId="021519B8"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Проект транспортировки ракеты по морю в подводном положении, получивший название «Спасательный жилет» был наиболее интересным с технической точки зрения являлся. Проект был более глубоко разработан по сравнению с другими аналогичными проектами рассматриваемого периода.</w:t>
      </w:r>
    </w:p>
    <w:p w14:paraId="5C9F318B"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lastRenderedPageBreak/>
        <w:t>В декабре 1944 года был передан в производство контракт на производство трех контейнеров. Планировалось, что их строительство начнется в марте 1945 года.</w:t>
      </w:r>
    </w:p>
    <w:p w14:paraId="623C8B5E"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Создание контейнеров выдвинуло перед немецкими специалистами следующие проблемы: сохранение устойчивости контейнера как при транспортировке, так и при пуске ракет, создание системы вентилирования баков для снижения опасности взрыва, топлива, сохранность жидкого кислорода в течение длительной транспортировки, отвод и уменьшение воздействия высокотемпературных газовых струй работающего двигателя ракеты на элементы пусковой установки.</w:t>
      </w:r>
    </w:p>
    <w:p w14:paraId="47BB883D"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r w:rsidRPr="00070ADE">
        <w:rPr>
          <w:rFonts w:ascii="Times New Roman" w:hAnsi="Times New Roman"/>
          <w:color w:val="000000" w:themeColor="text1"/>
          <w:sz w:val="16"/>
          <w:szCs w:val="16"/>
        </w:rPr>
        <w:t>В пятисоттонном контейнере размещались одна ракета «А-4», несколько помещений для персонала, обслуживающего двигатели, боеголовку и производящего пуск, балластные цистерны и системы жизнеобеспечения. К месту старта контейнер доставляла на буксире субмарина новой океанской серии XXI, способная транспортировать в подводном состоянии до трех таких установок одновременно. В заданном квадрате экипаж морской «шахты» затапливал балластные цистерны для приведения системы в вертикальное полупогруженное положение, из которого и происходил пуск. Несмотря на фантастичность этого проекта, на верфи в Эльблаге все же успели построить один такой контейнер (11688).</w:t>
      </w:r>
    </w:p>
    <w:p w14:paraId="00666601" w14:textId="77777777" w:rsidR="00595BFB" w:rsidRPr="00070ADE" w:rsidRDefault="00595BFB" w:rsidP="00B56F90">
      <w:pPr>
        <w:autoSpaceDE w:val="0"/>
        <w:autoSpaceDN w:val="0"/>
        <w:adjustRightInd w:val="0"/>
        <w:spacing w:after="0" w:line="240" w:lineRule="auto"/>
        <w:jc w:val="both"/>
        <w:rPr>
          <w:rFonts w:ascii="Times New Roman" w:hAnsi="Times New Roman"/>
          <w:color w:val="000000" w:themeColor="text1"/>
          <w:sz w:val="16"/>
          <w:szCs w:val="16"/>
        </w:rPr>
      </w:pPr>
    </w:p>
    <w:p w14:paraId="3BC91038" w14:textId="30889050" w:rsidR="00EC78A0" w:rsidRPr="00070ADE" w:rsidRDefault="00EC78A0" w:rsidP="00EC78A0">
      <w:pPr>
        <w:widowControl w:val="0"/>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За рубежом</w:t>
      </w:r>
      <w:r w:rsidRPr="00070ADE">
        <w:rPr>
          <w:rFonts w:ascii="Times New Roman" w:hAnsi="Times New Roman"/>
          <w:i/>
          <w:iCs/>
          <w:color w:val="000000" w:themeColor="text1"/>
          <w:sz w:val="16"/>
          <w:szCs w:val="16"/>
        </w:rPr>
        <w:t>:</w:t>
      </w:r>
    </w:p>
    <w:p w14:paraId="2B8012E8" w14:textId="77777777" w:rsidR="00EC78A0" w:rsidRPr="00070ADE" w:rsidRDefault="00EC78A0" w:rsidP="00EC78A0">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611763"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Style w:val="70"/>
          <w:rFonts w:ascii="Times New Roman" w:cs="Times New Roman"/>
          <w:color w:val="0070C0"/>
          <w:spacing w:val="0"/>
          <w:sz w:val="16"/>
          <w:szCs w:val="16"/>
        </w:rPr>
        <w:t>В середине 1944 года японцы п</w:t>
      </w:r>
      <w:r w:rsidRPr="001A0BAA">
        <w:rPr>
          <w:rStyle w:val="70"/>
          <w:rFonts w:ascii="Times New Roman" w:eastAsia="Courier New" w:cs="Times New Roman"/>
          <w:color w:val="0070C0"/>
          <w:spacing w:val="0"/>
          <w:sz w:val="16"/>
          <w:szCs w:val="16"/>
        </w:rPr>
        <w:t>р</w:t>
      </w:r>
      <w:r w:rsidRPr="001A0BAA">
        <w:rPr>
          <w:rStyle w:val="70"/>
          <w:rFonts w:ascii="Times New Roman" w:cs="Times New Roman"/>
          <w:color w:val="0070C0"/>
          <w:spacing w:val="0"/>
          <w:sz w:val="16"/>
          <w:szCs w:val="16"/>
        </w:rPr>
        <w:t>ист</w:t>
      </w:r>
      <w:r w:rsidRPr="001A0BAA">
        <w:rPr>
          <w:rStyle w:val="70"/>
          <w:rFonts w:ascii="Times New Roman" w:eastAsia="Courier New" w:cs="Times New Roman"/>
          <w:color w:val="0070C0"/>
          <w:spacing w:val="0"/>
          <w:sz w:val="16"/>
          <w:szCs w:val="16"/>
        </w:rPr>
        <w:t>уп</w:t>
      </w:r>
      <w:r w:rsidRPr="001A0BAA">
        <w:rPr>
          <w:rStyle w:val="70"/>
          <w:rFonts w:ascii="Times New Roman" w:cs="Times New Roman"/>
          <w:color w:val="0070C0"/>
          <w:spacing w:val="0"/>
          <w:sz w:val="16"/>
          <w:szCs w:val="16"/>
        </w:rPr>
        <w:t xml:space="preserve">или к разработке газотурбинного двигателя на основе документов по ТРД </w:t>
      </w:r>
      <w:r w:rsidRPr="001A0BAA">
        <w:rPr>
          <w:rStyle w:val="70"/>
          <w:rFonts w:ascii="Times New Roman" w:cs="Times New Roman"/>
          <w:color w:val="0070C0"/>
          <w:spacing w:val="0"/>
          <w:sz w:val="16"/>
          <w:szCs w:val="16"/>
          <w:lang w:val="en-US"/>
        </w:rPr>
        <w:t>BMW</w:t>
      </w:r>
      <w:r w:rsidRPr="001A0BAA">
        <w:rPr>
          <w:rStyle w:val="70"/>
          <w:rFonts w:ascii="Times New Roman" w:cs="Times New Roman"/>
          <w:color w:val="0070C0"/>
          <w:spacing w:val="0"/>
          <w:sz w:val="16"/>
          <w:szCs w:val="16"/>
        </w:rPr>
        <w:t>-003. Двигатель, полу</w:t>
      </w:r>
      <w:r w:rsidRPr="001A0BAA">
        <w:rPr>
          <w:rStyle w:val="70"/>
          <w:rFonts w:ascii="Times New Roman" w:eastAsia="Courier New" w:cs="Times New Roman"/>
          <w:color w:val="0070C0"/>
          <w:spacing w:val="0"/>
          <w:sz w:val="16"/>
          <w:szCs w:val="16"/>
        </w:rPr>
        <w:t>ч</w:t>
      </w:r>
      <w:r w:rsidRPr="001A0BAA">
        <w:rPr>
          <w:rStyle w:val="70"/>
          <w:rFonts w:ascii="Times New Roman" w:cs="Times New Roman"/>
          <w:color w:val="0070C0"/>
          <w:spacing w:val="0"/>
          <w:sz w:val="16"/>
          <w:szCs w:val="16"/>
        </w:rPr>
        <w:t>ивший обозна</w:t>
      </w:r>
      <w:r w:rsidRPr="001A0BAA">
        <w:rPr>
          <w:rStyle w:val="70"/>
          <w:rFonts w:ascii="Times New Roman" w:cs="Times New Roman"/>
          <w:color w:val="0070C0"/>
          <w:spacing w:val="0"/>
          <w:sz w:val="16"/>
          <w:szCs w:val="16"/>
        </w:rPr>
        <w:softHyphen/>
        <w:t xml:space="preserve">чение </w:t>
      </w:r>
      <w:r w:rsidRPr="001A0BAA">
        <w:rPr>
          <w:rStyle w:val="70"/>
          <w:rFonts w:ascii="Times New Roman" w:cs="Times New Roman"/>
          <w:color w:val="0070C0"/>
          <w:spacing w:val="0"/>
          <w:sz w:val="16"/>
          <w:szCs w:val="16"/>
          <w:lang w:val="en-US"/>
        </w:rPr>
        <w:t>Ne</w:t>
      </w:r>
      <w:r w:rsidRPr="001A0BAA">
        <w:rPr>
          <w:rStyle w:val="70"/>
          <w:rFonts w:ascii="Times New Roman" w:cs="Times New Roman"/>
          <w:color w:val="0070C0"/>
          <w:spacing w:val="0"/>
          <w:sz w:val="16"/>
          <w:szCs w:val="16"/>
        </w:rPr>
        <w:t xml:space="preserve">-20, имел </w:t>
      </w:r>
      <w:r w:rsidRPr="001A0BAA">
        <w:rPr>
          <w:rStyle w:val="70"/>
          <w:rFonts w:ascii="Times New Roman" w:eastAsia="Courier New" w:cs="Times New Roman"/>
          <w:color w:val="0070C0"/>
          <w:spacing w:val="0"/>
          <w:sz w:val="16"/>
          <w:szCs w:val="16"/>
        </w:rPr>
        <w:t>м</w:t>
      </w:r>
      <w:r w:rsidRPr="001A0BAA">
        <w:rPr>
          <w:rStyle w:val="70"/>
          <w:rFonts w:ascii="Times New Roman" w:cs="Times New Roman"/>
          <w:color w:val="0070C0"/>
          <w:spacing w:val="0"/>
          <w:sz w:val="16"/>
          <w:szCs w:val="16"/>
        </w:rPr>
        <w:t>е</w:t>
      </w:r>
      <w:r w:rsidRPr="001A0BAA">
        <w:rPr>
          <w:rStyle w:val="70"/>
          <w:rFonts w:ascii="Times New Roman" w:eastAsia="Courier New" w:cs="Times New Roman"/>
          <w:color w:val="0070C0"/>
          <w:spacing w:val="0"/>
          <w:sz w:val="16"/>
          <w:szCs w:val="16"/>
        </w:rPr>
        <w:t>н</w:t>
      </w:r>
      <w:r w:rsidRPr="001A0BAA">
        <w:rPr>
          <w:rStyle w:val="70"/>
          <w:rFonts w:ascii="Times New Roman" w:cs="Times New Roman"/>
          <w:color w:val="0070C0"/>
          <w:spacing w:val="0"/>
          <w:sz w:val="16"/>
          <w:szCs w:val="16"/>
        </w:rPr>
        <w:t>ь</w:t>
      </w:r>
      <w:r w:rsidRPr="001A0BAA">
        <w:rPr>
          <w:rStyle w:val="70"/>
          <w:rFonts w:ascii="Times New Roman" w:eastAsia="Courier New" w:cs="Times New Roman"/>
          <w:color w:val="0070C0"/>
          <w:spacing w:val="0"/>
          <w:sz w:val="16"/>
          <w:szCs w:val="16"/>
        </w:rPr>
        <w:t>ш</w:t>
      </w:r>
      <w:r w:rsidRPr="001A0BAA">
        <w:rPr>
          <w:rStyle w:val="70"/>
          <w:rFonts w:ascii="Times New Roman" w:cs="Times New Roman"/>
          <w:color w:val="0070C0"/>
          <w:spacing w:val="0"/>
          <w:sz w:val="16"/>
          <w:szCs w:val="16"/>
        </w:rPr>
        <w:t>ие размеры и соот</w:t>
      </w:r>
      <w:r w:rsidRPr="001A0BAA">
        <w:rPr>
          <w:rStyle w:val="70"/>
          <w:rFonts w:ascii="Times New Roman" w:cs="Times New Roman"/>
          <w:color w:val="0070C0"/>
          <w:spacing w:val="0"/>
          <w:sz w:val="16"/>
          <w:szCs w:val="16"/>
        </w:rPr>
        <w:softHyphen/>
        <w:t>ветственно меньшую тягу, не превышав</w:t>
      </w:r>
      <w:r w:rsidRPr="001A0BAA">
        <w:rPr>
          <w:rStyle w:val="70"/>
          <w:rFonts w:ascii="Times New Roman" w:eastAsia="Courier New" w:cs="Times New Roman"/>
          <w:color w:val="0070C0"/>
          <w:spacing w:val="0"/>
          <w:sz w:val="16"/>
          <w:szCs w:val="16"/>
        </w:rPr>
        <w:t>ш</w:t>
      </w:r>
      <w:r w:rsidRPr="001A0BAA">
        <w:rPr>
          <w:rStyle w:val="70"/>
          <w:rFonts w:ascii="Times New Roman" w:cs="Times New Roman"/>
          <w:color w:val="0070C0"/>
          <w:spacing w:val="0"/>
          <w:sz w:val="16"/>
          <w:szCs w:val="16"/>
        </w:rPr>
        <w:t>ую 475 кгс.</w:t>
      </w:r>
    </w:p>
    <w:p w14:paraId="2FCAFA52"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Style w:val="70"/>
          <w:rFonts w:ascii="Times New Roman" w:cs="Times New Roman"/>
          <w:color w:val="0070C0"/>
          <w:spacing w:val="0"/>
          <w:sz w:val="16"/>
          <w:szCs w:val="16"/>
        </w:rPr>
        <w:t>Истребитель-бомбардировщик, получив</w:t>
      </w:r>
      <w:r w:rsidRPr="001A0BAA">
        <w:rPr>
          <w:rStyle w:val="70"/>
          <w:rFonts w:ascii="Times New Roman" w:cs="Times New Roman"/>
          <w:color w:val="0070C0"/>
          <w:spacing w:val="0"/>
          <w:sz w:val="16"/>
          <w:szCs w:val="16"/>
        </w:rPr>
        <w:softHyphen/>
        <w:t>ший обоз</w:t>
      </w:r>
      <w:r w:rsidRPr="001A0BAA">
        <w:rPr>
          <w:rStyle w:val="70"/>
          <w:rFonts w:ascii="Times New Roman" w:eastAsia="Courier New" w:cs="Times New Roman"/>
          <w:color w:val="0070C0"/>
          <w:spacing w:val="0"/>
          <w:sz w:val="16"/>
          <w:szCs w:val="16"/>
        </w:rPr>
        <w:t>н</w:t>
      </w:r>
      <w:r w:rsidRPr="001A0BAA">
        <w:rPr>
          <w:rStyle w:val="70"/>
          <w:rFonts w:ascii="Times New Roman" w:cs="Times New Roman"/>
          <w:color w:val="0070C0"/>
          <w:spacing w:val="0"/>
          <w:sz w:val="16"/>
          <w:szCs w:val="16"/>
        </w:rPr>
        <w:t>а</w:t>
      </w:r>
      <w:r w:rsidRPr="001A0BAA">
        <w:rPr>
          <w:rStyle w:val="70"/>
          <w:rFonts w:ascii="Times New Roman" w:eastAsia="Courier New" w:cs="Times New Roman"/>
          <w:color w:val="0070C0"/>
          <w:spacing w:val="0"/>
          <w:sz w:val="16"/>
          <w:szCs w:val="16"/>
        </w:rPr>
        <w:t>ч</w:t>
      </w:r>
      <w:r w:rsidRPr="001A0BAA">
        <w:rPr>
          <w:rStyle w:val="70"/>
          <w:rFonts w:ascii="Times New Roman" w:cs="Times New Roman"/>
          <w:color w:val="0070C0"/>
          <w:spacing w:val="0"/>
          <w:sz w:val="16"/>
          <w:szCs w:val="16"/>
        </w:rPr>
        <w:t>е</w:t>
      </w:r>
      <w:r w:rsidRPr="001A0BAA">
        <w:rPr>
          <w:rStyle w:val="70"/>
          <w:rFonts w:ascii="Times New Roman" w:eastAsia="Courier New" w:cs="Times New Roman"/>
          <w:color w:val="0070C0"/>
          <w:spacing w:val="0"/>
          <w:sz w:val="16"/>
          <w:szCs w:val="16"/>
        </w:rPr>
        <w:t>н</w:t>
      </w:r>
      <w:r w:rsidRPr="001A0BAA">
        <w:rPr>
          <w:rStyle w:val="70"/>
          <w:rFonts w:ascii="Times New Roman" w:cs="Times New Roman"/>
          <w:color w:val="0070C0"/>
          <w:spacing w:val="0"/>
          <w:sz w:val="16"/>
          <w:szCs w:val="16"/>
        </w:rPr>
        <w:t xml:space="preserve">ие </w:t>
      </w:r>
      <w:r w:rsidRPr="001A0BAA">
        <w:rPr>
          <w:rStyle w:val="70"/>
          <w:rFonts w:ascii="Times New Roman" w:cs="Times New Roman"/>
          <w:color w:val="0070C0"/>
          <w:spacing w:val="0"/>
          <w:sz w:val="16"/>
          <w:szCs w:val="16"/>
          <w:lang w:val="en-US"/>
        </w:rPr>
        <w:t>J</w:t>
      </w:r>
      <w:r w:rsidRPr="001A0BAA">
        <w:rPr>
          <w:rStyle w:val="70"/>
          <w:rFonts w:ascii="Times New Roman" w:cs="Times New Roman"/>
          <w:color w:val="0070C0"/>
          <w:spacing w:val="0"/>
          <w:sz w:val="16"/>
          <w:szCs w:val="16"/>
        </w:rPr>
        <w:t>8</w:t>
      </w:r>
      <w:r w:rsidRPr="001A0BAA">
        <w:rPr>
          <w:rStyle w:val="70"/>
          <w:rFonts w:ascii="Times New Roman" w:cs="Times New Roman"/>
          <w:color w:val="0070C0"/>
          <w:spacing w:val="0"/>
          <w:sz w:val="16"/>
          <w:szCs w:val="16"/>
          <w:lang w:val="en-US"/>
        </w:rPr>
        <w:t>N</w:t>
      </w:r>
      <w:r w:rsidRPr="001A0BAA">
        <w:rPr>
          <w:rStyle w:val="70"/>
          <w:rFonts w:ascii="Times New Roman" w:cs="Times New Roman"/>
          <w:color w:val="0070C0"/>
          <w:spacing w:val="0"/>
          <w:sz w:val="16"/>
          <w:szCs w:val="16"/>
        </w:rPr>
        <w:t xml:space="preserve"> 1 «Кикка» («Священ</w:t>
      </w:r>
      <w:r w:rsidRPr="001A0BAA">
        <w:rPr>
          <w:rStyle w:val="70"/>
          <w:rFonts w:ascii="Times New Roman" w:cs="Times New Roman"/>
          <w:color w:val="0070C0"/>
          <w:spacing w:val="0"/>
          <w:sz w:val="16"/>
          <w:szCs w:val="16"/>
        </w:rPr>
        <w:softHyphen/>
        <w:t>ный цветок»), и укомплектованный этим двигателями, был создан ко</w:t>
      </w:r>
      <w:r w:rsidRPr="001A0BAA">
        <w:rPr>
          <w:rStyle w:val="70"/>
          <w:rFonts w:ascii="Times New Roman" w:eastAsia="Courier New" w:cs="Times New Roman"/>
          <w:color w:val="0070C0"/>
          <w:spacing w:val="0"/>
          <w:sz w:val="16"/>
          <w:szCs w:val="16"/>
        </w:rPr>
        <w:t>м</w:t>
      </w:r>
      <w:r w:rsidRPr="001A0BAA">
        <w:rPr>
          <w:rStyle w:val="70"/>
          <w:rFonts w:ascii="Times New Roman" w:cs="Times New Roman"/>
          <w:color w:val="0070C0"/>
          <w:spacing w:val="0"/>
          <w:sz w:val="16"/>
          <w:szCs w:val="16"/>
        </w:rPr>
        <w:t>па</w:t>
      </w:r>
      <w:r w:rsidRPr="001A0BAA">
        <w:rPr>
          <w:rStyle w:val="70"/>
          <w:rFonts w:ascii="Times New Roman" w:eastAsia="Courier New" w:cs="Times New Roman"/>
          <w:color w:val="0070C0"/>
          <w:spacing w:val="0"/>
          <w:sz w:val="16"/>
          <w:szCs w:val="16"/>
        </w:rPr>
        <w:t>н</w:t>
      </w:r>
      <w:r w:rsidRPr="001A0BAA">
        <w:rPr>
          <w:rStyle w:val="70"/>
          <w:rFonts w:ascii="Times New Roman" w:cs="Times New Roman"/>
          <w:color w:val="0070C0"/>
          <w:spacing w:val="0"/>
          <w:sz w:val="16"/>
          <w:szCs w:val="16"/>
        </w:rPr>
        <w:t>ией «На</w:t>
      </w:r>
      <w:r w:rsidRPr="001A0BAA">
        <w:rPr>
          <w:rStyle w:val="70"/>
          <w:rFonts w:ascii="Times New Roman" w:cs="Times New Roman"/>
          <w:color w:val="0070C0"/>
          <w:spacing w:val="0"/>
          <w:sz w:val="16"/>
          <w:szCs w:val="16"/>
        </w:rPr>
        <w:softHyphen/>
        <w:t>кадзима». Особенностью самолета были складывавшиеся консоли к</w:t>
      </w:r>
      <w:r w:rsidRPr="001A0BAA">
        <w:rPr>
          <w:rStyle w:val="70"/>
          <w:rFonts w:ascii="Times New Roman" w:eastAsia="Courier New" w:cs="Times New Roman"/>
          <w:color w:val="0070C0"/>
          <w:spacing w:val="0"/>
          <w:sz w:val="16"/>
          <w:szCs w:val="16"/>
        </w:rPr>
        <w:t>ры</w:t>
      </w:r>
      <w:r w:rsidRPr="001A0BAA">
        <w:rPr>
          <w:rStyle w:val="70"/>
          <w:rFonts w:ascii="Times New Roman" w:cs="Times New Roman"/>
          <w:color w:val="0070C0"/>
          <w:spacing w:val="0"/>
          <w:sz w:val="16"/>
          <w:szCs w:val="16"/>
        </w:rPr>
        <w:t>ла, свидетель</w:t>
      </w:r>
      <w:r w:rsidRPr="001A0BAA">
        <w:rPr>
          <w:rStyle w:val="70"/>
          <w:rFonts w:ascii="Times New Roman" w:cs="Times New Roman"/>
          <w:color w:val="0070C0"/>
          <w:spacing w:val="0"/>
          <w:sz w:val="16"/>
          <w:szCs w:val="16"/>
        </w:rPr>
        <w:softHyphen/>
        <w:t>ствующие о его предназначении - эксплуатации с авианосцев.</w:t>
      </w:r>
    </w:p>
    <w:p w14:paraId="18F1EEF6" w14:textId="77777777" w:rsidR="00EC78A0" w:rsidRPr="001A0BAA" w:rsidRDefault="00EC78A0" w:rsidP="00EC78A0">
      <w:pPr>
        <w:spacing w:after="0" w:line="240" w:lineRule="auto"/>
        <w:jc w:val="both"/>
        <w:rPr>
          <w:rFonts w:ascii="Times New Roman" w:hAnsi="Times New Roman"/>
          <w:color w:val="0070C0"/>
          <w:sz w:val="16"/>
          <w:szCs w:val="16"/>
        </w:rPr>
      </w:pPr>
      <w:r w:rsidRPr="001A0BAA">
        <w:rPr>
          <w:rStyle w:val="70"/>
          <w:rFonts w:ascii="Times New Roman" w:cs="Times New Roman"/>
          <w:color w:val="0070C0"/>
          <w:spacing w:val="0"/>
          <w:sz w:val="16"/>
          <w:szCs w:val="16"/>
        </w:rPr>
        <w:t>В июне 1945 года завершилась постройка «Кикки», но еще за пять мес</w:t>
      </w:r>
      <w:r w:rsidRPr="001A0BAA">
        <w:rPr>
          <w:rStyle w:val="70"/>
          <w:rFonts w:ascii="Times New Roman" w:eastAsia="Courier New" w:cs="Times New Roman"/>
          <w:color w:val="0070C0"/>
          <w:spacing w:val="0"/>
          <w:sz w:val="16"/>
          <w:szCs w:val="16"/>
        </w:rPr>
        <w:t>яц</w:t>
      </w:r>
      <w:r w:rsidRPr="001A0BAA">
        <w:rPr>
          <w:rStyle w:val="70"/>
          <w:rFonts w:ascii="Times New Roman" w:cs="Times New Roman"/>
          <w:color w:val="0070C0"/>
          <w:spacing w:val="0"/>
          <w:sz w:val="16"/>
          <w:szCs w:val="16"/>
        </w:rPr>
        <w:t>ев до этого японцы запланировали изготовление 94 са</w:t>
      </w:r>
      <w:r w:rsidRPr="001A0BAA">
        <w:rPr>
          <w:rStyle w:val="70"/>
          <w:rFonts w:ascii="Times New Roman" w:cs="Times New Roman"/>
          <w:color w:val="0070C0"/>
          <w:spacing w:val="0"/>
          <w:sz w:val="16"/>
          <w:szCs w:val="16"/>
        </w:rPr>
        <w:softHyphen/>
        <w:t>молетов. Помешали развертыванию серий</w:t>
      </w:r>
      <w:r w:rsidRPr="001A0BAA">
        <w:rPr>
          <w:rStyle w:val="70"/>
          <w:rFonts w:ascii="Times New Roman" w:cs="Times New Roman"/>
          <w:color w:val="0070C0"/>
          <w:spacing w:val="0"/>
          <w:sz w:val="16"/>
          <w:szCs w:val="16"/>
        </w:rPr>
        <w:softHyphen/>
        <w:t>ного производства американские бомбарди</w:t>
      </w:r>
      <w:r w:rsidRPr="001A0BAA">
        <w:rPr>
          <w:rStyle w:val="70"/>
          <w:rFonts w:ascii="Times New Roman" w:cs="Times New Roman"/>
          <w:color w:val="0070C0"/>
          <w:spacing w:val="0"/>
          <w:sz w:val="16"/>
          <w:szCs w:val="16"/>
        </w:rPr>
        <w:softHyphen/>
        <w:t>ровки авиазаводов Страны восходящего солнца. Но даже если бы это и произошло, то участь Японии уже была предрешена (25113).</w:t>
      </w:r>
    </w:p>
    <w:p w14:paraId="14691EAC" w14:textId="77777777" w:rsidR="00EC78A0" w:rsidRPr="001A0BAA" w:rsidRDefault="00EC78A0" w:rsidP="00EC78A0">
      <w:pPr>
        <w:spacing w:after="0" w:line="240" w:lineRule="auto"/>
        <w:jc w:val="both"/>
        <w:rPr>
          <w:rFonts w:ascii="Times New Roman" w:hAnsi="Times New Roman"/>
          <w:color w:val="0070C0"/>
          <w:sz w:val="16"/>
          <w:szCs w:val="16"/>
        </w:rPr>
      </w:pPr>
    </w:p>
    <w:p w14:paraId="633B7561" w14:textId="77777777" w:rsidR="00E82F0D" w:rsidRPr="00070ADE" w:rsidRDefault="00E82F0D" w:rsidP="00B56F90">
      <w:pPr>
        <w:widowControl w:val="0"/>
        <w:autoSpaceDE w:val="0"/>
        <w:autoSpaceDN w:val="0"/>
        <w:adjustRightInd w:val="0"/>
        <w:spacing w:after="0" w:line="240" w:lineRule="auto"/>
        <w:jc w:val="both"/>
        <w:rPr>
          <w:rFonts w:ascii="Times New Roman" w:hAnsi="Times New Roman"/>
          <w:color w:val="000000" w:themeColor="text1"/>
          <w:sz w:val="16"/>
          <w:szCs w:val="16"/>
        </w:rPr>
      </w:pPr>
    </w:p>
    <w:sectPr w:rsidR="00E82F0D" w:rsidRPr="00070ADE" w:rsidSect="00A73F72">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364503" w14:textId="77777777" w:rsidR="00292651" w:rsidRDefault="00292651" w:rsidP="003712D9">
      <w:pPr>
        <w:spacing w:after="0" w:line="240" w:lineRule="auto"/>
      </w:pPr>
      <w:r>
        <w:separator/>
      </w:r>
    </w:p>
  </w:endnote>
  <w:endnote w:type="continuationSeparator" w:id="0">
    <w:p w14:paraId="28D9C29B" w14:textId="77777777" w:rsidR="00292651" w:rsidRDefault="00292651" w:rsidP="003712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egoe UI">
    <w:panose1 w:val="020B0502040204020203"/>
    <w:charset w:val="CC"/>
    <w:family w:val="swiss"/>
    <w:pitch w:val="variable"/>
    <w:sig w:usb0="E4002EFF" w:usb1="C000E47F"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libri">
    <w:panose1 w:val="020F0502020204030204"/>
    <w:charset w:val="CC"/>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onstantia">
    <w:panose1 w:val="02030602050306030303"/>
    <w:charset w:val="CC"/>
    <w:family w:val="roman"/>
    <w:pitch w:val="variable"/>
    <w:sig w:usb0="A00002EF" w:usb1="4000204B" w:usb2="00000000" w:usb3="00000000" w:csb0="0000019F" w:csb1="00000000"/>
  </w:font>
  <w:font w:name="SimHei">
    <w:panose1 w:val="02010600030101010101"/>
    <w:charset w:val="86"/>
    <w:family w:val="modern"/>
    <w:pitch w:val="fixed"/>
    <w:sig w:usb0="800002BF" w:usb1="38CF7CFA" w:usb2="00000016" w:usb3="00000000" w:csb0="00040001" w:csb1="00000000"/>
  </w:font>
  <w:font w:name="Corbel">
    <w:panose1 w:val="020B0503020204020204"/>
    <w:charset w:val="CC"/>
    <w:family w:val="swiss"/>
    <w:pitch w:val="variable"/>
    <w:sig w:usb0="A00002EF" w:usb1="4000A44B" w:usb2="00000000" w:usb3="00000000" w:csb0="0000019F" w:csb1="00000000"/>
  </w:font>
  <w:font w:name="Palatino Linotype">
    <w:panose1 w:val="02040502050505030304"/>
    <w:charset w:val="CC"/>
    <w:family w:val="roman"/>
    <w:pitch w:val="variable"/>
    <w:sig w:usb0="E0000287" w:usb1="40000013" w:usb2="00000000" w:usb3="00000000" w:csb0="0000019F" w:csb1="00000000"/>
  </w:font>
  <w:font w:name="Arial Black">
    <w:panose1 w:val="020B0A04020102020204"/>
    <w:charset w:val="CC"/>
    <w:family w:val="swiss"/>
    <w:pitch w:val="variable"/>
    <w:sig w:usb0="A00002AF" w:usb1="400078FB" w:usb2="00000000" w:usb3="00000000" w:csb0="0000009F" w:csb1="00000000"/>
  </w:font>
  <w:font w:name="Franklin Gothic Medium Cond">
    <w:panose1 w:val="020B0606030402020204"/>
    <w:charset w:val="CC"/>
    <w:family w:val="swiss"/>
    <w:pitch w:val="variable"/>
    <w:sig w:usb0="000002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Minion Pro">
    <w:panose1 w:val="00000000000000000000"/>
    <w:charset w:val="00"/>
    <w:family w:val="roman"/>
    <w:notTrueType/>
    <w:pitch w:val="variable"/>
    <w:sig w:usb0="6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Georgia">
    <w:panose1 w:val="02040502050405020303"/>
    <w:charset w:val="CC"/>
    <w:family w:val="roman"/>
    <w:pitch w:val="variable"/>
    <w:sig w:usb0="00000287" w:usb1="00000000" w:usb2="00000000" w:usb3="00000000" w:csb0="0000009F" w:csb1="00000000"/>
  </w:font>
  <w:font w:name="CordiaUPC">
    <w:charset w:val="DE"/>
    <w:family w:val="swiss"/>
    <w:pitch w:val="variable"/>
    <w:sig w:usb0="81000003" w:usb1="00000000" w:usb2="00000000" w:usb3="00000000" w:csb0="00010001" w:csb1="00000000"/>
  </w:font>
  <w:font w:name="Book Antiqua">
    <w:panose1 w:val="02040602050305030304"/>
    <w:charset w:val="CC"/>
    <w:family w:val="roman"/>
    <w:pitch w:val="variable"/>
    <w:sig w:usb0="00000287" w:usb1="00000000" w:usb2="00000000" w:usb3="00000000" w:csb0="0000009F" w:csb1="00000000"/>
  </w:font>
  <w:font w:name="OfficinaSansC">
    <w:altName w:val="Calibri"/>
    <w:panose1 w:val="00000000000000000000"/>
    <w:charset w:val="CC"/>
    <w:family w:val="swiss"/>
    <w:notTrueType/>
    <w:pitch w:val="default"/>
    <w:sig w:usb0="00000201" w:usb1="00000000" w:usb2="00000000" w:usb3="00000000" w:csb0="00000004" w:csb1="00000000"/>
  </w:font>
  <w:font w:name="NewtonXC">
    <w:altName w:val="Cambria"/>
    <w:panose1 w:val="00000000000000000000"/>
    <w:charset w:val="CC"/>
    <w:family w:val="roman"/>
    <w:notTrueType/>
    <w:pitch w:val="default"/>
    <w:sig w:usb0="00000201" w:usb1="00000000" w:usb2="00000000" w:usb3="00000000" w:csb0="00000004"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0462FD" w14:textId="77777777" w:rsidR="00292651" w:rsidRDefault="00292651" w:rsidP="003712D9">
      <w:pPr>
        <w:spacing w:after="0" w:line="240" w:lineRule="auto"/>
      </w:pPr>
      <w:r>
        <w:separator/>
      </w:r>
    </w:p>
  </w:footnote>
  <w:footnote w:type="continuationSeparator" w:id="0">
    <w:p w14:paraId="11997D73" w14:textId="77777777" w:rsidR="00292651" w:rsidRDefault="00292651" w:rsidP="003712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C61B9"/>
    <w:multiLevelType w:val="multilevel"/>
    <w:tmpl w:val="85B64140"/>
    <w:lvl w:ilvl="0">
      <w:start w:val="1"/>
      <w:numFmt w:val="bullet"/>
      <w:lvlText w:val="-"/>
      <w:lvlJc w:val="left"/>
      <w:rPr>
        <w:rFonts w:ascii="Segoe UI" w:eastAsia="Segoe UI" w:hAnsi="Segoe UI" w:cs="Segoe UI"/>
        <w:b w:val="0"/>
        <w:bCs w:val="0"/>
        <w:i w:val="0"/>
        <w:iCs w:val="0"/>
        <w:smallCaps w:val="0"/>
        <w:strike w:val="0"/>
        <w:color w:val="000000"/>
        <w:spacing w:val="0"/>
        <w:w w:val="100"/>
        <w:position w:val="0"/>
        <w:sz w:val="17"/>
        <w:szCs w:val="17"/>
        <w:u w:val="none"/>
      </w:rPr>
    </w:lvl>
    <w:lvl w:ilvl="1">
      <w:start w:val="5"/>
      <w:numFmt w:val="decimal"/>
      <w:lvlText w:val="%2"/>
      <w:lvlJc w:val="left"/>
      <w:rPr>
        <w:rFonts w:ascii="Segoe UI" w:eastAsia="Segoe UI" w:hAnsi="Segoe UI" w:cs="Segoe UI"/>
        <w:b w:val="0"/>
        <w:bCs w:val="0"/>
        <w:i w:val="0"/>
        <w:iCs w:val="0"/>
        <w:smallCaps w:val="0"/>
        <w:strike w:val="0"/>
        <w:color w:val="000000"/>
        <w:spacing w:val="0"/>
        <w:w w:val="100"/>
        <w:position w:val="0"/>
        <w:sz w:val="17"/>
        <w:szCs w:val="17"/>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7B111AEB"/>
    <w:multiLevelType w:val="multilevel"/>
    <w:tmpl w:val="9E06E2DC"/>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17"/>
        <w:szCs w:val="1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585382721">
    <w:abstractNumId w:val="1"/>
  </w:num>
  <w:num w:numId="2" w16cid:durableId="407532652">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16B"/>
    <w:rsid w:val="00001380"/>
    <w:rsid w:val="00003C7F"/>
    <w:rsid w:val="00006324"/>
    <w:rsid w:val="00006B7E"/>
    <w:rsid w:val="00015826"/>
    <w:rsid w:val="000169CA"/>
    <w:rsid w:val="00021CBD"/>
    <w:rsid w:val="000227A2"/>
    <w:rsid w:val="0002327B"/>
    <w:rsid w:val="00024386"/>
    <w:rsid w:val="00031E6D"/>
    <w:rsid w:val="000340E9"/>
    <w:rsid w:val="0004034B"/>
    <w:rsid w:val="000404B5"/>
    <w:rsid w:val="000406C2"/>
    <w:rsid w:val="00040C50"/>
    <w:rsid w:val="00046E0B"/>
    <w:rsid w:val="000511D8"/>
    <w:rsid w:val="00051986"/>
    <w:rsid w:val="00053C2F"/>
    <w:rsid w:val="00057A35"/>
    <w:rsid w:val="00061A93"/>
    <w:rsid w:val="00061B7B"/>
    <w:rsid w:val="00064D4E"/>
    <w:rsid w:val="00065021"/>
    <w:rsid w:val="000656CD"/>
    <w:rsid w:val="000701C9"/>
    <w:rsid w:val="00070ADE"/>
    <w:rsid w:val="00072A8C"/>
    <w:rsid w:val="00075AF0"/>
    <w:rsid w:val="00075AF1"/>
    <w:rsid w:val="00076BEB"/>
    <w:rsid w:val="00080EEF"/>
    <w:rsid w:val="00087956"/>
    <w:rsid w:val="00087C6A"/>
    <w:rsid w:val="00091345"/>
    <w:rsid w:val="0009141E"/>
    <w:rsid w:val="00091792"/>
    <w:rsid w:val="00094AE4"/>
    <w:rsid w:val="000B35B9"/>
    <w:rsid w:val="000B533C"/>
    <w:rsid w:val="000C00C8"/>
    <w:rsid w:val="000C7691"/>
    <w:rsid w:val="000C7930"/>
    <w:rsid w:val="000D108D"/>
    <w:rsid w:val="000D2529"/>
    <w:rsid w:val="000D3B31"/>
    <w:rsid w:val="000D462F"/>
    <w:rsid w:val="000D5A0D"/>
    <w:rsid w:val="000E2A81"/>
    <w:rsid w:val="000F027C"/>
    <w:rsid w:val="000F02F6"/>
    <w:rsid w:val="000F083A"/>
    <w:rsid w:val="000F0D8A"/>
    <w:rsid w:val="000F30A8"/>
    <w:rsid w:val="001006C7"/>
    <w:rsid w:val="00104BAB"/>
    <w:rsid w:val="00106719"/>
    <w:rsid w:val="00112211"/>
    <w:rsid w:val="00112471"/>
    <w:rsid w:val="00113D98"/>
    <w:rsid w:val="001144CD"/>
    <w:rsid w:val="00121858"/>
    <w:rsid w:val="00121DCD"/>
    <w:rsid w:val="001257C4"/>
    <w:rsid w:val="00125FFB"/>
    <w:rsid w:val="00133AA8"/>
    <w:rsid w:val="00134425"/>
    <w:rsid w:val="001364B3"/>
    <w:rsid w:val="00137373"/>
    <w:rsid w:val="00137C18"/>
    <w:rsid w:val="00140127"/>
    <w:rsid w:val="00143067"/>
    <w:rsid w:val="001444FD"/>
    <w:rsid w:val="00144A3D"/>
    <w:rsid w:val="00145AFC"/>
    <w:rsid w:val="00150B7E"/>
    <w:rsid w:val="001525BE"/>
    <w:rsid w:val="00157E5F"/>
    <w:rsid w:val="00166890"/>
    <w:rsid w:val="00166A21"/>
    <w:rsid w:val="00171125"/>
    <w:rsid w:val="00171DC6"/>
    <w:rsid w:val="00171E88"/>
    <w:rsid w:val="00172E22"/>
    <w:rsid w:val="001732E9"/>
    <w:rsid w:val="00175890"/>
    <w:rsid w:val="0018364B"/>
    <w:rsid w:val="00184F39"/>
    <w:rsid w:val="00185B57"/>
    <w:rsid w:val="001914DC"/>
    <w:rsid w:val="001929B4"/>
    <w:rsid w:val="00196FE9"/>
    <w:rsid w:val="001A00DE"/>
    <w:rsid w:val="001A195C"/>
    <w:rsid w:val="001B25C1"/>
    <w:rsid w:val="001B272A"/>
    <w:rsid w:val="001C36F9"/>
    <w:rsid w:val="001C663D"/>
    <w:rsid w:val="001D1ADE"/>
    <w:rsid w:val="001D435E"/>
    <w:rsid w:val="001D54E9"/>
    <w:rsid w:val="001D733C"/>
    <w:rsid w:val="001E0415"/>
    <w:rsid w:val="001E0D7E"/>
    <w:rsid w:val="001E2282"/>
    <w:rsid w:val="001E5A47"/>
    <w:rsid w:val="001E7A02"/>
    <w:rsid w:val="001F06C5"/>
    <w:rsid w:val="001F1AD3"/>
    <w:rsid w:val="001F4816"/>
    <w:rsid w:val="001F7908"/>
    <w:rsid w:val="00202698"/>
    <w:rsid w:val="00212D83"/>
    <w:rsid w:val="00213252"/>
    <w:rsid w:val="00214F71"/>
    <w:rsid w:val="002223FE"/>
    <w:rsid w:val="00222A2A"/>
    <w:rsid w:val="00236DD6"/>
    <w:rsid w:val="00237152"/>
    <w:rsid w:val="00237933"/>
    <w:rsid w:val="002527AE"/>
    <w:rsid w:val="00253A8A"/>
    <w:rsid w:val="00253D32"/>
    <w:rsid w:val="00255719"/>
    <w:rsid w:val="00257F65"/>
    <w:rsid w:val="00260CD3"/>
    <w:rsid w:val="00262E37"/>
    <w:rsid w:val="00263A5A"/>
    <w:rsid w:val="002641E6"/>
    <w:rsid w:val="00264F92"/>
    <w:rsid w:val="00265BE2"/>
    <w:rsid w:val="00276C61"/>
    <w:rsid w:val="00277475"/>
    <w:rsid w:val="00282955"/>
    <w:rsid w:val="002830B4"/>
    <w:rsid w:val="00284391"/>
    <w:rsid w:val="002867AB"/>
    <w:rsid w:val="00287F6D"/>
    <w:rsid w:val="00292637"/>
    <w:rsid w:val="00292651"/>
    <w:rsid w:val="002A09DF"/>
    <w:rsid w:val="002A393A"/>
    <w:rsid w:val="002B0823"/>
    <w:rsid w:val="002B33EF"/>
    <w:rsid w:val="002B4053"/>
    <w:rsid w:val="002B431A"/>
    <w:rsid w:val="002C7AF2"/>
    <w:rsid w:val="002D2C83"/>
    <w:rsid w:val="002D7E40"/>
    <w:rsid w:val="002E135C"/>
    <w:rsid w:val="002E24E6"/>
    <w:rsid w:val="002E58E0"/>
    <w:rsid w:val="002F0C11"/>
    <w:rsid w:val="002F1DF7"/>
    <w:rsid w:val="002F490A"/>
    <w:rsid w:val="002F4B64"/>
    <w:rsid w:val="002F4D0E"/>
    <w:rsid w:val="002F70F0"/>
    <w:rsid w:val="00301BB3"/>
    <w:rsid w:val="00302F5F"/>
    <w:rsid w:val="00303837"/>
    <w:rsid w:val="00304F56"/>
    <w:rsid w:val="003118D9"/>
    <w:rsid w:val="00311E88"/>
    <w:rsid w:val="00312320"/>
    <w:rsid w:val="00315AAD"/>
    <w:rsid w:val="003256B4"/>
    <w:rsid w:val="00331538"/>
    <w:rsid w:val="003366DD"/>
    <w:rsid w:val="00336754"/>
    <w:rsid w:val="00337326"/>
    <w:rsid w:val="00345338"/>
    <w:rsid w:val="00351460"/>
    <w:rsid w:val="00351D4E"/>
    <w:rsid w:val="0035263A"/>
    <w:rsid w:val="003534A5"/>
    <w:rsid w:val="00353781"/>
    <w:rsid w:val="0035381F"/>
    <w:rsid w:val="00355805"/>
    <w:rsid w:val="0036693B"/>
    <w:rsid w:val="003700E8"/>
    <w:rsid w:val="003712D9"/>
    <w:rsid w:val="0037212F"/>
    <w:rsid w:val="00382475"/>
    <w:rsid w:val="00383F24"/>
    <w:rsid w:val="00392001"/>
    <w:rsid w:val="00396E8E"/>
    <w:rsid w:val="003A1B4B"/>
    <w:rsid w:val="003A2C75"/>
    <w:rsid w:val="003A33F9"/>
    <w:rsid w:val="003A3DF1"/>
    <w:rsid w:val="003B127C"/>
    <w:rsid w:val="003C231F"/>
    <w:rsid w:val="003D5939"/>
    <w:rsid w:val="003E0642"/>
    <w:rsid w:val="003E282A"/>
    <w:rsid w:val="003E3C99"/>
    <w:rsid w:val="003E442B"/>
    <w:rsid w:val="00403B2B"/>
    <w:rsid w:val="00406246"/>
    <w:rsid w:val="00411A0B"/>
    <w:rsid w:val="00411CE0"/>
    <w:rsid w:val="00413CD7"/>
    <w:rsid w:val="00414BE3"/>
    <w:rsid w:val="00415543"/>
    <w:rsid w:val="004163F9"/>
    <w:rsid w:val="00417D90"/>
    <w:rsid w:val="00417DE1"/>
    <w:rsid w:val="00420257"/>
    <w:rsid w:val="00420314"/>
    <w:rsid w:val="00427F3D"/>
    <w:rsid w:val="004310A7"/>
    <w:rsid w:val="0044049D"/>
    <w:rsid w:val="004421A7"/>
    <w:rsid w:val="00443DE6"/>
    <w:rsid w:val="00444AC2"/>
    <w:rsid w:val="00446A93"/>
    <w:rsid w:val="004543A8"/>
    <w:rsid w:val="00455F71"/>
    <w:rsid w:val="00460F8F"/>
    <w:rsid w:val="004619E4"/>
    <w:rsid w:val="00462FCF"/>
    <w:rsid w:val="00463869"/>
    <w:rsid w:val="00464D2B"/>
    <w:rsid w:val="004651D1"/>
    <w:rsid w:val="004703C2"/>
    <w:rsid w:val="0047055E"/>
    <w:rsid w:val="00473751"/>
    <w:rsid w:val="00474109"/>
    <w:rsid w:val="0047630E"/>
    <w:rsid w:val="00476D5F"/>
    <w:rsid w:val="00481C9C"/>
    <w:rsid w:val="00485315"/>
    <w:rsid w:val="004868FE"/>
    <w:rsid w:val="00490368"/>
    <w:rsid w:val="00497945"/>
    <w:rsid w:val="004A1DB1"/>
    <w:rsid w:val="004A376D"/>
    <w:rsid w:val="004A7685"/>
    <w:rsid w:val="004B0814"/>
    <w:rsid w:val="004B3057"/>
    <w:rsid w:val="004B3F09"/>
    <w:rsid w:val="004C296A"/>
    <w:rsid w:val="004C4D99"/>
    <w:rsid w:val="004C5E94"/>
    <w:rsid w:val="004D183C"/>
    <w:rsid w:val="004D3DA4"/>
    <w:rsid w:val="004D4663"/>
    <w:rsid w:val="004D5A57"/>
    <w:rsid w:val="004D5E52"/>
    <w:rsid w:val="004D7B45"/>
    <w:rsid w:val="004E1E82"/>
    <w:rsid w:val="004F0E23"/>
    <w:rsid w:val="004F13F4"/>
    <w:rsid w:val="004F20AF"/>
    <w:rsid w:val="004F2514"/>
    <w:rsid w:val="004F35D0"/>
    <w:rsid w:val="004F56DD"/>
    <w:rsid w:val="004F6CFB"/>
    <w:rsid w:val="0050707A"/>
    <w:rsid w:val="005106D0"/>
    <w:rsid w:val="005112A0"/>
    <w:rsid w:val="005119C8"/>
    <w:rsid w:val="005158C0"/>
    <w:rsid w:val="005163E5"/>
    <w:rsid w:val="00516F49"/>
    <w:rsid w:val="005204D1"/>
    <w:rsid w:val="0052130F"/>
    <w:rsid w:val="0052661D"/>
    <w:rsid w:val="00526822"/>
    <w:rsid w:val="0053744E"/>
    <w:rsid w:val="0054491A"/>
    <w:rsid w:val="00547738"/>
    <w:rsid w:val="00552857"/>
    <w:rsid w:val="005629CC"/>
    <w:rsid w:val="00564BE7"/>
    <w:rsid w:val="00571952"/>
    <w:rsid w:val="00582E01"/>
    <w:rsid w:val="00583EED"/>
    <w:rsid w:val="005879AB"/>
    <w:rsid w:val="0059136E"/>
    <w:rsid w:val="005913AE"/>
    <w:rsid w:val="00595BFB"/>
    <w:rsid w:val="0059774D"/>
    <w:rsid w:val="00597AB6"/>
    <w:rsid w:val="005A0ECA"/>
    <w:rsid w:val="005A2879"/>
    <w:rsid w:val="005A3D52"/>
    <w:rsid w:val="005A7F17"/>
    <w:rsid w:val="005B073A"/>
    <w:rsid w:val="005B7AF8"/>
    <w:rsid w:val="005C20A0"/>
    <w:rsid w:val="005C3848"/>
    <w:rsid w:val="005D204B"/>
    <w:rsid w:val="005D3D2E"/>
    <w:rsid w:val="005F2ECF"/>
    <w:rsid w:val="00600906"/>
    <w:rsid w:val="00605B2B"/>
    <w:rsid w:val="00606E03"/>
    <w:rsid w:val="00606F47"/>
    <w:rsid w:val="0061497A"/>
    <w:rsid w:val="00614B84"/>
    <w:rsid w:val="00614D0B"/>
    <w:rsid w:val="0062000C"/>
    <w:rsid w:val="00623E4A"/>
    <w:rsid w:val="00627AF4"/>
    <w:rsid w:val="00630135"/>
    <w:rsid w:val="006331D6"/>
    <w:rsid w:val="00636A21"/>
    <w:rsid w:val="006419F3"/>
    <w:rsid w:val="0064219E"/>
    <w:rsid w:val="0065195F"/>
    <w:rsid w:val="0066127E"/>
    <w:rsid w:val="00664EC9"/>
    <w:rsid w:val="00673CAB"/>
    <w:rsid w:val="00680826"/>
    <w:rsid w:val="00681333"/>
    <w:rsid w:val="0068213E"/>
    <w:rsid w:val="006831ED"/>
    <w:rsid w:val="00685DD5"/>
    <w:rsid w:val="006913EA"/>
    <w:rsid w:val="00694509"/>
    <w:rsid w:val="00695680"/>
    <w:rsid w:val="00697996"/>
    <w:rsid w:val="006A2076"/>
    <w:rsid w:val="006A2469"/>
    <w:rsid w:val="006A61CD"/>
    <w:rsid w:val="006B0B5F"/>
    <w:rsid w:val="006B155B"/>
    <w:rsid w:val="006B2219"/>
    <w:rsid w:val="006B2E30"/>
    <w:rsid w:val="006B3776"/>
    <w:rsid w:val="006B3C37"/>
    <w:rsid w:val="006B4CCE"/>
    <w:rsid w:val="006B53A4"/>
    <w:rsid w:val="006B6140"/>
    <w:rsid w:val="006C7B98"/>
    <w:rsid w:val="006D5302"/>
    <w:rsid w:val="006D542A"/>
    <w:rsid w:val="006D5E32"/>
    <w:rsid w:val="006E11C9"/>
    <w:rsid w:val="006E2E37"/>
    <w:rsid w:val="006E5415"/>
    <w:rsid w:val="006E5527"/>
    <w:rsid w:val="006E7509"/>
    <w:rsid w:val="006F0EDF"/>
    <w:rsid w:val="006F2DE1"/>
    <w:rsid w:val="007011EC"/>
    <w:rsid w:val="00701987"/>
    <w:rsid w:val="00704B65"/>
    <w:rsid w:val="007114F1"/>
    <w:rsid w:val="00711D17"/>
    <w:rsid w:val="00712C09"/>
    <w:rsid w:val="007133A1"/>
    <w:rsid w:val="00714AC7"/>
    <w:rsid w:val="00715786"/>
    <w:rsid w:val="00715936"/>
    <w:rsid w:val="0072236C"/>
    <w:rsid w:val="007224C3"/>
    <w:rsid w:val="007242CB"/>
    <w:rsid w:val="007249B9"/>
    <w:rsid w:val="00735554"/>
    <w:rsid w:val="00741660"/>
    <w:rsid w:val="00741C9C"/>
    <w:rsid w:val="00743BEA"/>
    <w:rsid w:val="00745A2F"/>
    <w:rsid w:val="00746A80"/>
    <w:rsid w:val="00750752"/>
    <w:rsid w:val="0076303C"/>
    <w:rsid w:val="00765210"/>
    <w:rsid w:val="0076531B"/>
    <w:rsid w:val="00773CC6"/>
    <w:rsid w:val="007755A2"/>
    <w:rsid w:val="00777EFD"/>
    <w:rsid w:val="00781F94"/>
    <w:rsid w:val="00783151"/>
    <w:rsid w:val="007874A2"/>
    <w:rsid w:val="0078764F"/>
    <w:rsid w:val="00792950"/>
    <w:rsid w:val="00792F77"/>
    <w:rsid w:val="00792FE2"/>
    <w:rsid w:val="007938E2"/>
    <w:rsid w:val="00795773"/>
    <w:rsid w:val="00795D54"/>
    <w:rsid w:val="007A1E0D"/>
    <w:rsid w:val="007A3260"/>
    <w:rsid w:val="007A65F2"/>
    <w:rsid w:val="007B617D"/>
    <w:rsid w:val="007C1115"/>
    <w:rsid w:val="007D0B5C"/>
    <w:rsid w:val="007E0398"/>
    <w:rsid w:val="007E448A"/>
    <w:rsid w:val="007E7B43"/>
    <w:rsid w:val="007F0097"/>
    <w:rsid w:val="007F1907"/>
    <w:rsid w:val="007F6D1D"/>
    <w:rsid w:val="007F6E7B"/>
    <w:rsid w:val="00801247"/>
    <w:rsid w:val="008019CE"/>
    <w:rsid w:val="00804810"/>
    <w:rsid w:val="00805131"/>
    <w:rsid w:val="00805345"/>
    <w:rsid w:val="008053EA"/>
    <w:rsid w:val="0080789B"/>
    <w:rsid w:val="008079B6"/>
    <w:rsid w:val="00811C95"/>
    <w:rsid w:val="00812457"/>
    <w:rsid w:val="00817DC7"/>
    <w:rsid w:val="00820285"/>
    <w:rsid w:val="00822884"/>
    <w:rsid w:val="00827943"/>
    <w:rsid w:val="008362FC"/>
    <w:rsid w:val="00841BB4"/>
    <w:rsid w:val="00846998"/>
    <w:rsid w:val="00847535"/>
    <w:rsid w:val="008567B7"/>
    <w:rsid w:val="00866C07"/>
    <w:rsid w:val="008742EC"/>
    <w:rsid w:val="00875F54"/>
    <w:rsid w:val="0089327F"/>
    <w:rsid w:val="00895C2F"/>
    <w:rsid w:val="008A3F77"/>
    <w:rsid w:val="008B0844"/>
    <w:rsid w:val="008B289D"/>
    <w:rsid w:val="008B51B5"/>
    <w:rsid w:val="008B5CA2"/>
    <w:rsid w:val="008B714A"/>
    <w:rsid w:val="008B795B"/>
    <w:rsid w:val="008C4D27"/>
    <w:rsid w:val="008C5120"/>
    <w:rsid w:val="008D055A"/>
    <w:rsid w:val="008D249A"/>
    <w:rsid w:val="008E0FBF"/>
    <w:rsid w:val="008E2CE5"/>
    <w:rsid w:val="008E4DB9"/>
    <w:rsid w:val="008E6982"/>
    <w:rsid w:val="008F1E7B"/>
    <w:rsid w:val="008F6356"/>
    <w:rsid w:val="00902E6A"/>
    <w:rsid w:val="00903E13"/>
    <w:rsid w:val="00904714"/>
    <w:rsid w:val="0090533F"/>
    <w:rsid w:val="00906CAB"/>
    <w:rsid w:val="009127A0"/>
    <w:rsid w:val="00914045"/>
    <w:rsid w:val="00916E94"/>
    <w:rsid w:val="009211CE"/>
    <w:rsid w:val="0092480E"/>
    <w:rsid w:val="00927042"/>
    <w:rsid w:val="0094033C"/>
    <w:rsid w:val="009404DA"/>
    <w:rsid w:val="00941A2A"/>
    <w:rsid w:val="0094368B"/>
    <w:rsid w:val="00946AAF"/>
    <w:rsid w:val="009476EA"/>
    <w:rsid w:val="009503FE"/>
    <w:rsid w:val="00954CDF"/>
    <w:rsid w:val="00956103"/>
    <w:rsid w:val="00961B62"/>
    <w:rsid w:val="009620A6"/>
    <w:rsid w:val="00962976"/>
    <w:rsid w:val="00963744"/>
    <w:rsid w:val="00965F83"/>
    <w:rsid w:val="0096643E"/>
    <w:rsid w:val="00967B6E"/>
    <w:rsid w:val="00974807"/>
    <w:rsid w:val="009812BB"/>
    <w:rsid w:val="00982729"/>
    <w:rsid w:val="009829C0"/>
    <w:rsid w:val="00982F71"/>
    <w:rsid w:val="00985F73"/>
    <w:rsid w:val="009863CA"/>
    <w:rsid w:val="00986ACA"/>
    <w:rsid w:val="00987BBD"/>
    <w:rsid w:val="00990F31"/>
    <w:rsid w:val="00992344"/>
    <w:rsid w:val="00994578"/>
    <w:rsid w:val="009A1031"/>
    <w:rsid w:val="009A1642"/>
    <w:rsid w:val="009A4112"/>
    <w:rsid w:val="009B52C3"/>
    <w:rsid w:val="009B6B5E"/>
    <w:rsid w:val="009B6D3A"/>
    <w:rsid w:val="009B7CB6"/>
    <w:rsid w:val="009C0B20"/>
    <w:rsid w:val="009C37DA"/>
    <w:rsid w:val="009C479E"/>
    <w:rsid w:val="009C4CA4"/>
    <w:rsid w:val="009C5E2F"/>
    <w:rsid w:val="009D0510"/>
    <w:rsid w:val="009D0558"/>
    <w:rsid w:val="009D1B58"/>
    <w:rsid w:val="009D44EF"/>
    <w:rsid w:val="009D7F3A"/>
    <w:rsid w:val="009E2554"/>
    <w:rsid w:val="009E614A"/>
    <w:rsid w:val="009E6775"/>
    <w:rsid w:val="009F4CDA"/>
    <w:rsid w:val="009F5230"/>
    <w:rsid w:val="00A01DE5"/>
    <w:rsid w:val="00A02E4F"/>
    <w:rsid w:val="00A042EC"/>
    <w:rsid w:val="00A06A1F"/>
    <w:rsid w:val="00A104C0"/>
    <w:rsid w:val="00A178F0"/>
    <w:rsid w:val="00A22EFE"/>
    <w:rsid w:val="00A2482E"/>
    <w:rsid w:val="00A3754D"/>
    <w:rsid w:val="00A44782"/>
    <w:rsid w:val="00A5346F"/>
    <w:rsid w:val="00A53A3E"/>
    <w:rsid w:val="00A609E4"/>
    <w:rsid w:val="00A60A7C"/>
    <w:rsid w:val="00A61476"/>
    <w:rsid w:val="00A64B86"/>
    <w:rsid w:val="00A70C49"/>
    <w:rsid w:val="00A70D91"/>
    <w:rsid w:val="00A73F72"/>
    <w:rsid w:val="00A74603"/>
    <w:rsid w:val="00A76CAC"/>
    <w:rsid w:val="00A822F4"/>
    <w:rsid w:val="00A83B1B"/>
    <w:rsid w:val="00A90D76"/>
    <w:rsid w:val="00A9106B"/>
    <w:rsid w:val="00A92059"/>
    <w:rsid w:val="00A952AA"/>
    <w:rsid w:val="00A954CF"/>
    <w:rsid w:val="00A955A3"/>
    <w:rsid w:val="00A9700D"/>
    <w:rsid w:val="00AA077A"/>
    <w:rsid w:val="00AA1040"/>
    <w:rsid w:val="00AA1E7E"/>
    <w:rsid w:val="00AA3357"/>
    <w:rsid w:val="00AA3591"/>
    <w:rsid w:val="00AA3EB5"/>
    <w:rsid w:val="00AA41AF"/>
    <w:rsid w:val="00AA47E8"/>
    <w:rsid w:val="00AA6296"/>
    <w:rsid w:val="00AB2F66"/>
    <w:rsid w:val="00AB6AA0"/>
    <w:rsid w:val="00AC004A"/>
    <w:rsid w:val="00AC1099"/>
    <w:rsid w:val="00AC118E"/>
    <w:rsid w:val="00AC123D"/>
    <w:rsid w:val="00AC12ED"/>
    <w:rsid w:val="00AC5DD0"/>
    <w:rsid w:val="00AC6457"/>
    <w:rsid w:val="00AD0763"/>
    <w:rsid w:val="00AD30B7"/>
    <w:rsid w:val="00AD329D"/>
    <w:rsid w:val="00AD443E"/>
    <w:rsid w:val="00AD5BC7"/>
    <w:rsid w:val="00AD702B"/>
    <w:rsid w:val="00AD7E02"/>
    <w:rsid w:val="00AE2452"/>
    <w:rsid w:val="00AE2B7B"/>
    <w:rsid w:val="00AE2F39"/>
    <w:rsid w:val="00AE5FD0"/>
    <w:rsid w:val="00AF0E95"/>
    <w:rsid w:val="00AF3688"/>
    <w:rsid w:val="00B00019"/>
    <w:rsid w:val="00B02CCE"/>
    <w:rsid w:val="00B049B7"/>
    <w:rsid w:val="00B05D39"/>
    <w:rsid w:val="00B06917"/>
    <w:rsid w:val="00B123B4"/>
    <w:rsid w:val="00B21490"/>
    <w:rsid w:val="00B21653"/>
    <w:rsid w:val="00B216A0"/>
    <w:rsid w:val="00B216D6"/>
    <w:rsid w:val="00B240EB"/>
    <w:rsid w:val="00B246E7"/>
    <w:rsid w:val="00B3265C"/>
    <w:rsid w:val="00B34788"/>
    <w:rsid w:val="00B37F6A"/>
    <w:rsid w:val="00B41B6B"/>
    <w:rsid w:val="00B51C29"/>
    <w:rsid w:val="00B56F90"/>
    <w:rsid w:val="00B570C6"/>
    <w:rsid w:val="00B603E7"/>
    <w:rsid w:val="00B609F6"/>
    <w:rsid w:val="00B643A8"/>
    <w:rsid w:val="00B652F7"/>
    <w:rsid w:val="00B73150"/>
    <w:rsid w:val="00B73184"/>
    <w:rsid w:val="00B73FE9"/>
    <w:rsid w:val="00B82EA2"/>
    <w:rsid w:val="00B837BE"/>
    <w:rsid w:val="00B84C42"/>
    <w:rsid w:val="00B862BC"/>
    <w:rsid w:val="00B93A71"/>
    <w:rsid w:val="00BA3A2B"/>
    <w:rsid w:val="00BA6F4D"/>
    <w:rsid w:val="00BB647E"/>
    <w:rsid w:val="00BC5781"/>
    <w:rsid w:val="00BD0048"/>
    <w:rsid w:val="00BD009E"/>
    <w:rsid w:val="00BD1A9D"/>
    <w:rsid w:val="00BD31A2"/>
    <w:rsid w:val="00BD409E"/>
    <w:rsid w:val="00BD6B74"/>
    <w:rsid w:val="00BE1368"/>
    <w:rsid w:val="00BE4FA3"/>
    <w:rsid w:val="00BF53B0"/>
    <w:rsid w:val="00C00622"/>
    <w:rsid w:val="00C04AE1"/>
    <w:rsid w:val="00C04E33"/>
    <w:rsid w:val="00C06E9B"/>
    <w:rsid w:val="00C074FF"/>
    <w:rsid w:val="00C10A30"/>
    <w:rsid w:val="00C12557"/>
    <w:rsid w:val="00C140B0"/>
    <w:rsid w:val="00C16319"/>
    <w:rsid w:val="00C16E64"/>
    <w:rsid w:val="00C20F3C"/>
    <w:rsid w:val="00C26F43"/>
    <w:rsid w:val="00C3579C"/>
    <w:rsid w:val="00C473F1"/>
    <w:rsid w:val="00C5076B"/>
    <w:rsid w:val="00C53BCE"/>
    <w:rsid w:val="00C54063"/>
    <w:rsid w:val="00C563D1"/>
    <w:rsid w:val="00C62CBE"/>
    <w:rsid w:val="00C63BA9"/>
    <w:rsid w:val="00C717B4"/>
    <w:rsid w:val="00C71B1D"/>
    <w:rsid w:val="00C76DF2"/>
    <w:rsid w:val="00C77478"/>
    <w:rsid w:val="00C77E93"/>
    <w:rsid w:val="00C87725"/>
    <w:rsid w:val="00C91EB6"/>
    <w:rsid w:val="00CA6D87"/>
    <w:rsid w:val="00CB1F80"/>
    <w:rsid w:val="00CB30E5"/>
    <w:rsid w:val="00CB5308"/>
    <w:rsid w:val="00CB5754"/>
    <w:rsid w:val="00CB63E6"/>
    <w:rsid w:val="00CC0EB7"/>
    <w:rsid w:val="00CC6721"/>
    <w:rsid w:val="00CD5E5B"/>
    <w:rsid w:val="00CD66E5"/>
    <w:rsid w:val="00CD71E7"/>
    <w:rsid w:val="00CD73D6"/>
    <w:rsid w:val="00CD77E5"/>
    <w:rsid w:val="00CE3F91"/>
    <w:rsid w:val="00CE7D55"/>
    <w:rsid w:val="00CF724C"/>
    <w:rsid w:val="00CF740B"/>
    <w:rsid w:val="00D03418"/>
    <w:rsid w:val="00D0391D"/>
    <w:rsid w:val="00D040F8"/>
    <w:rsid w:val="00D0561B"/>
    <w:rsid w:val="00D13803"/>
    <w:rsid w:val="00D14B71"/>
    <w:rsid w:val="00D16EE0"/>
    <w:rsid w:val="00D175AE"/>
    <w:rsid w:val="00D2269A"/>
    <w:rsid w:val="00D22FC4"/>
    <w:rsid w:val="00D23D16"/>
    <w:rsid w:val="00D244E0"/>
    <w:rsid w:val="00D2699C"/>
    <w:rsid w:val="00D36BD0"/>
    <w:rsid w:val="00D41808"/>
    <w:rsid w:val="00D4630C"/>
    <w:rsid w:val="00D51E3B"/>
    <w:rsid w:val="00D54008"/>
    <w:rsid w:val="00D5421A"/>
    <w:rsid w:val="00D5495D"/>
    <w:rsid w:val="00D549FB"/>
    <w:rsid w:val="00D5636F"/>
    <w:rsid w:val="00D564FE"/>
    <w:rsid w:val="00D56B87"/>
    <w:rsid w:val="00D60397"/>
    <w:rsid w:val="00D60B5B"/>
    <w:rsid w:val="00D60BAA"/>
    <w:rsid w:val="00D61DF5"/>
    <w:rsid w:val="00D635A9"/>
    <w:rsid w:val="00D70979"/>
    <w:rsid w:val="00D73CDA"/>
    <w:rsid w:val="00D741CD"/>
    <w:rsid w:val="00D76A3F"/>
    <w:rsid w:val="00D77461"/>
    <w:rsid w:val="00D82638"/>
    <w:rsid w:val="00D82A10"/>
    <w:rsid w:val="00D8403C"/>
    <w:rsid w:val="00D86EA0"/>
    <w:rsid w:val="00D92086"/>
    <w:rsid w:val="00D96E9F"/>
    <w:rsid w:val="00D9700C"/>
    <w:rsid w:val="00DA3A86"/>
    <w:rsid w:val="00DC18E0"/>
    <w:rsid w:val="00DC1F56"/>
    <w:rsid w:val="00DC6B61"/>
    <w:rsid w:val="00DC6FB3"/>
    <w:rsid w:val="00DD0763"/>
    <w:rsid w:val="00DD3D22"/>
    <w:rsid w:val="00DD3F2D"/>
    <w:rsid w:val="00DD42F1"/>
    <w:rsid w:val="00DE35AF"/>
    <w:rsid w:val="00DE6586"/>
    <w:rsid w:val="00DE7F04"/>
    <w:rsid w:val="00DF15BD"/>
    <w:rsid w:val="00DF41EB"/>
    <w:rsid w:val="00DF6978"/>
    <w:rsid w:val="00DF7C94"/>
    <w:rsid w:val="00E00646"/>
    <w:rsid w:val="00E072C5"/>
    <w:rsid w:val="00E07A00"/>
    <w:rsid w:val="00E139CA"/>
    <w:rsid w:val="00E16E55"/>
    <w:rsid w:val="00E20115"/>
    <w:rsid w:val="00E2067E"/>
    <w:rsid w:val="00E23482"/>
    <w:rsid w:val="00E23799"/>
    <w:rsid w:val="00E32A8C"/>
    <w:rsid w:val="00E35A28"/>
    <w:rsid w:val="00E370BB"/>
    <w:rsid w:val="00E44B87"/>
    <w:rsid w:val="00E5377A"/>
    <w:rsid w:val="00E5636B"/>
    <w:rsid w:val="00E60A77"/>
    <w:rsid w:val="00E62068"/>
    <w:rsid w:val="00E707DF"/>
    <w:rsid w:val="00E72F08"/>
    <w:rsid w:val="00E74517"/>
    <w:rsid w:val="00E80BEB"/>
    <w:rsid w:val="00E82F0D"/>
    <w:rsid w:val="00E870E7"/>
    <w:rsid w:val="00E937AB"/>
    <w:rsid w:val="00E946AF"/>
    <w:rsid w:val="00E94E2C"/>
    <w:rsid w:val="00E95DEC"/>
    <w:rsid w:val="00EA2540"/>
    <w:rsid w:val="00EA7435"/>
    <w:rsid w:val="00EB0B58"/>
    <w:rsid w:val="00EB1E33"/>
    <w:rsid w:val="00EB290F"/>
    <w:rsid w:val="00EB5859"/>
    <w:rsid w:val="00EB5F81"/>
    <w:rsid w:val="00EC515D"/>
    <w:rsid w:val="00EC51C4"/>
    <w:rsid w:val="00EC7700"/>
    <w:rsid w:val="00EC78A0"/>
    <w:rsid w:val="00ED0A52"/>
    <w:rsid w:val="00EE343A"/>
    <w:rsid w:val="00EF3024"/>
    <w:rsid w:val="00EF323C"/>
    <w:rsid w:val="00EF76E1"/>
    <w:rsid w:val="00F02E42"/>
    <w:rsid w:val="00F054E0"/>
    <w:rsid w:val="00F06A46"/>
    <w:rsid w:val="00F11F40"/>
    <w:rsid w:val="00F13793"/>
    <w:rsid w:val="00F16AE1"/>
    <w:rsid w:val="00F24AC9"/>
    <w:rsid w:val="00F31F26"/>
    <w:rsid w:val="00F35A6E"/>
    <w:rsid w:val="00F35A80"/>
    <w:rsid w:val="00F3706C"/>
    <w:rsid w:val="00F41EB5"/>
    <w:rsid w:val="00F43847"/>
    <w:rsid w:val="00F4385E"/>
    <w:rsid w:val="00F45F6E"/>
    <w:rsid w:val="00F51797"/>
    <w:rsid w:val="00F51852"/>
    <w:rsid w:val="00F51A95"/>
    <w:rsid w:val="00F53E7F"/>
    <w:rsid w:val="00F61FAB"/>
    <w:rsid w:val="00F6766E"/>
    <w:rsid w:val="00F74402"/>
    <w:rsid w:val="00F757E3"/>
    <w:rsid w:val="00F76620"/>
    <w:rsid w:val="00F87FFC"/>
    <w:rsid w:val="00F91EC1"/>
    <w:rsid w:val="00F9272A"/>
    <w:rsid w:val="00F97B9F"/>
    <w:rsid w:val="00FA2B3C"/>
    <w:rsid w:val="00FA3D9E"/>
    <w:rsid w:val="00FA4415"/>
    <w:rsid w:val="00FA6359"/>
    <w:rsid w:val="00FA6533"/>
    <w:rsid w:val="00FB3A90"/>
    <w:rsid w:val="00FC06BB"/>
    <w:rsid w:val="00FC3A63"/>
    <w:rsid w:val="00FC46A1"/>
    <w:rsid w:val="00FC4F14"/>
    <w:rsid w:val="00FC59A6"/>
    <w:rsid w:val="00FD262B"/>
    <w:rsid w:val="00FD2BDD"/>
    <w:rsid w:val="00FE2608"/>
    <w:rsid w:val="00FE39E5"/>
    <w:rsid w:val="00FE6F00"/>
    <w:rsid w:val="00FF1903"/>
    <w:rsid w:val="00FF234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8F2FBBB"/>
  <w15:docId w15:val="{72245C72-0009-4500-AC25-404EC6ABCA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pPr>
      <w:spacing w:after="200" w:line="276" w:lineRule="auto"/>
    </w:pPr>
    <w:rPr>
      <w:sz w:val="22"/>
      <w:szCs w:val="22"/>
      <w:lang w:eastAsia="en-US"/>
    </w:rPr>
  </w:style>
  <w:style w:type="paragraph" w:styleId="1">
    <w:name w:val="heading 1"/>
    <w:basedOn w:val="a"/>
    <w:next w:val="a"/>
    <w:link w:val="10"/>
    <w:uiPriority w:val="9"/>
    <w:qFormat/>
    <w:rsid w:val="000340E9"/>
    <w:pPr>
      <w:keepNext/>
      <w:keepLines/>
      <w:spacing w:before="240" w:after="0"/>
      <w:outlineLvl w:val="0"/>
    </w:pPr>
    <w:rPr>
      <w:rFonts w:ascii="Cambria" w:eastAsia="Times New Roman" w:hAnsi="Cambria"/>
      <w:color w:val="365F91"/>
      <w:sz w:val="32"/>
      <w:szCs w:val="32"/>
    </w:rPr>
  </w:style>
  <w:style w:type="paragraph" w:styleId="2">
    <w:name w:val="heading 2"/>
    <w:basedOn w:val="a"/>
    <w:next w:val="a"/>
    <w:link w:val="20"/>
    <w:uiPriority w:val="9"/>
    <w:unhideWhenUsed/>
    <w:qFormat/>
    <w:rsid w:val="00DF6978"/>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
    <w:qFormat/>
    <w:rsid w:val="003712D9"/>
    <w:pPr>
      <w:keepNext/>
      <w:autoSpaceDE w:val="0"/>
      <w:autoSpaceDN w:val="0"/>
      <w:adjustRightInd w:val="0"/>
      <w:spacing w:after="0" w:line="240" w:lineRule="auto"/>
      <w:jc w:val="center"/>
      <w:outlineLvl w:val="2"/>
    </w:pPr>
    <w:rPr>
      <w:rFonts w:ascii="Times New Roman" w:hAnsi="Times New Roman"/>
      <w:b/>
      <w:bCs/>
      <w:sz w:val="28"/>
      <w:szCs w:val="28"/>
    </w:rPr>
  </w:style>
  <w:style w:type="paragraph" w:styleId="4">
    <w:name w:val="heading 4"/>
    <w:basedOn w:val="a"/>
    <w:next w:val="a"/>
    <w:link w:val="40"/>
    <w:uiPriority w:val="9"/>
    <w:unhideWhenUsed/>
    <w:qFormat/>
    <w:rsid w:val="00673CAB"/>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paragraph" w:styleId="5">
    <w:name w:val="heading 5"/>
    <w:basedOn w:val="a"/>
    <w:next w:val="a"/>
    <w:link w:val="50"/>
    <w:uiPriority w:val="9"/>
    <w:unhideWhenUsed/>
    <w:qFormat/>
    <w:rsid w:val="0000116B"/>
    <w:pPr>
      <w:keepNext/>
      <w:keepLines/>
      <w:spacing w:before="40" w:after="0"/>
      <w:outlineLvl w:val="4"/>
    </w:pPr>
    <w:rPr>
      <w:rFonts w:ascii="Cambria" w:eastAsia="Times New Roman" w:hAnsi="Cambria"/>
      <w:color w:val="365F91"/>
    </w:rPr>
  </w:style>
  <w:style w:type="paragraph" w:styleId="6">
    <w:name w:val="heading 6"/>
    <w:basedOn w:val="a"/>
    <w:next w:val="a"/>
    <w:link w:val="60"/>
    <w:uiPriority w:val="9"/>
    <w:semiHidden/>
    <w:unhideWhenUsed/>
    <w:qFormat/>
    <w:rsid w:val="00811C95"/>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0340E9"/>
    <w:rPr>
      <w:rFonts w:ascii="Cambria" w:eastAsia="Times New Roman" w:hAnsi="Cambria" w:cs="Times New Roman"/>
      <w:color w:val="365F91"/>
      <w:sz w:val="32"/>
      <w:szCs w:val="32"/>
    </w:rPr>
  </w:style>
  <w:style w:type="character" w:customStyle="1" w:styleId="20">
    <w:name w:val="Заголовок 2 Знак"/>
    <w:link w:val="2"/>
    <w:uiPriority w:val="9"/>
    <w:rsid w:val="00DF6978"/>
    <w:rPr>
      <w:rFonts w:ascii="Cambria" w:eastAsia="Times New Roman" w:hAnsi="Cambria" w:cs="Times New Roman"/>
      <w:color w:val="365F91"/>
      <w:sz w:val="26"/>
      <w:szCs w:val="26"/>
      <w:lang w:eastAsia="ru-RU"/>
    </w:rPr>
  </w:style>
  <w:style w:type="character" w:customStyle="1" w:styleId="30">
    <w:name w:val="Заголовок 3 Знак"/>
    <w:link w:val="3"/>
    <w:uiPriority w:val="9"/>
    <w:rsid w:val="003712D9"/>
    <w:rPr>
      <w:rFonts w:ascii="Times New Roman" w:hAnsi="Times New Roman" w:cs="Times New Roman"/>
      <w:b/>
      <w:bCs/>
      <w:sz w:val="28"/>
      <w:szCs w:val="28"/>
    </w:rPr>
  </w:style>
  <w:style w:type="character" w:customStyle="1" w:styleId="40">
    <w:name w:val="Заголовок 4 Знак"/>
    <w:link w:val="4"/>
    <w:uiPriority w:val="9"/>
    <w:rsid w:val="00673CAB"/>
    <w:rPr>
      <w:rFonts w:ascii="Cambria" w:eastAsia="Times New Roman" w:hAnsi="Cambria" w:cs="Times New Roman"/>
      <w:i/>
      <w:iCs/>
      <w:color w:val="365F91"/>
      <w:sz w:val="20"/>
      <w:szCs w:val="20"/>
      <w:lang w:eastAsia="ru-RU"/>
    </w:rPr>
  </w:style>
  <w:style w:type="character" w:customStyle="1" w:styleId="50">
    <w:name w:val="Заголовок 5 Знак"/>
    <w:link w:val="5"/>
    <w:uiPriority w:val="9"/>
    <w:rsid w:val="0000116B"/>
    <w:rPr>
      <w:rFonts w:ascii="Cambria" w:eastAsia="Times New Roman" w:hAnsi="Cambria" w:cs="Times New Roman"/>
      <w:color w:val="365F91"/>
    </w:rPr>
  </w:style>
  <w:style w:type="character" w:customStyle="1" w:styleId="60">
    <w:name w:val="Заголовок 6 Знак"/>
    <w:basedOn w:val="a0"/>
    <w:link w:val="6"/>
    <w:uiPriority w:val="9"/>
    <w:semiHidden/>
    <w:rsid w:val="00811C95"/>
    <w:rPr>
      <w:rFonts w:asciiTheme="majorHAnsi" w:eastAsiaTheme="majorEastAsia" w:hAnsiTheme="majorHAnsi" w:cstheme="majorBidi"/>
      <w:i/>
      <w:iCs/>
      <w:color w:val="1F4D78" w:themeColor="accent1" w:themeShade="7F"/>
      <w:sz w:val="22"/>
      <w:szCs w:val="22"/>
      <w:lang w:eastAsia="en-US"/>
    </w:rPr>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3">
    <w:name w:val="Title"/>
    <w:basedOn w:val="a"/>
    <w:link w:val="af4"/>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character" w:customStyle="1" w:styleId="af4">
    <w:name w:val="Заголовок Знак"/>
    <w:basedOn w:val="a0"/>
    <w:link w:val="af3"/>
    <w:uiPriority w:val="99"/>
    <w:rsid w:val="00811C95"/>
    <w:rPr>
      <w:rFonts w:ascii="Arial" w:hAnsi="Arial" w:cs="Arial"/>
      <w:b/>
      <w:bCs/>
      <w:caps/>
      <w:color w:val="0000FF"/>
      <w:sz w:val="26"/>
      <w:szCs w:val="26"/>
      <w:lang w:eastAsia="en-US"/>
    </w:rPr>
  </w:style>
  <w:style w:type="paragraph" w:customStyle="1" w:styleId="af5">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6">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7">
    <w:name w:val="endnote reference"/>
    <w:uiPriority w:val="99"/>
    <w:rsid w:val="008E0FBF"/>
    <w:rPr>
      <w:sz w:val="20"/>
      <w:szCs w:val="20"/>
      <w:vertAlign w:val="superscript"/>
    </w:rPr>
  </w:style>
  <w:style w:type="character" w:customStyle="1" w:styleId="af8">
    <w:name w:val="К"/>
    <w:uiPriority w:val="99"/>
    <w:rsid w:val="008E0FBF"/>
    <w:rPr>
      <w:rFonts w:ascii="Courier New" w:hAnsi="Courier New" w:cs="Courier New"/>
      <w:sz w:val="20"/>
      <w:szCs w:val="20"/>
    </w:rPr>
  </w:style>
  <w:style w:type="paragraph" w:customStyle="1" w:styleId="af9">
    <w:name w:val="Ф"/>
    <w:basedOn w:val="afa"/>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a">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b">
    <w:name w:val="Р"/>
    <w:uiPriority w:val="99"/>
    <w:rsid w:val="008E0FBF"/>
    <w:rPr>
      <w:vanish/>
      <w:color w:val="FF0000"/>
    </w:rPr>
  </w:style>
  <w:style w:type="paragraph" w:customStyle="1" w:styleId="Z-1">
    <w:name w:val="Z-1"/>
    <w:next w:val="afa"/>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a"/>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c">
    <w:name w:val="Т"/>
    <w:basedOn w:val="afa"/>
    <w:next w:val="ad"/>
    <w:uiPriority w:val="99"/>
    <w:rsid w:val="008E0FBF"/>
    <w:pPr>
      <w:spacing w:before="0" w:after="0"/>
    </w:pPr>
  </w:style>
  <w:style w:type="paragraph" w:customStyle="1" w:styleId="afd">
    <w:name w:val="А"/>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e">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f">
    <w:name w:val="и"/>
    <w:uiPriority w:val="99"/>
    <w:rsid w:val="008E0FBF"/>
    <w:rPr>
      <w:color w:val="0000FF"/>
      <w:u w:val="single"/>
    </w:rPr>
  </w:style>
  <w:style w:type="character" w:customStyle="1" w:styleId="13">
    <w:name w:val="О1"/>
    <w:uiPriority w:val="99"/>
    <w:rsid w:val="008E0FBF"/>
    <w:rPr>
      <w:i/>
      <w:iCs/>
    </w:rPr>
  </w:style>
  <w:style w:type="character" w:customStyle="1" w:styleId="aff0">
    <w:name w:val="П"/>
    <w:uiPriority w:val="99"/>
    <w:rsid w:val="008E0FBF"/>
    <w:rPr>
      <w:color w:val="800080"/>
      <w:u w:val="single"/>
    </w:rPr>
  </w:style>
  <w:style w:type="character" w:customStyle="1" w:styleId="14">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5">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rsid w:val="008E0FBF"/>
    <w:rPr>
      <w:rFonts w:ascii="Arial Narrow" w:hAnsi="Arial Narrow" w:cs="Arial Narrow"/>
      <w:i/>
      <w:iCs/>
      <w:sz w:val="15"/>
      <w:szCs w:val="15"/>
    </w:rPr>
  </w:style>
  <w:style w:type="paragraph" w:customStyle="1" w:styleId="100">
    <w:name w:val="Заголовок №10"/>
    <w:basedOn w:val="a"/>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1">
    <w:name w:val="Основной текст_"/>
    <w:link w:val="101"/>
    <w:rsid w:val="008E0FBF"/>
    <w:rPr>
      <w:rFonts w:ascii="Microsoft Sans Serif" w:hAnsi="Microsoft Sans Serif" w:cs="Microsoft Sans Serif"/>
      <w:spacing w:val="-10"/>
      <w:sz w:val="29"/>
      <w:szCs w:val="29"/>
    </w:rPr>
  </w:style>
  <w:style w:type="paragraph" w:customStyle="1" w:styleId="101">
    <w:name w:val="Основной текст10"/>
    <w:basedOn w:val="a"/>
    <w:link w:val="aff1"/>
    <w:rsid w:val="00AA077A"/>
    <w:pPr>
      <w:shd w:val="clear" w:color="auto" w:fill="FFFFFF"/>
      <w:spacing w:after="480" w:line="0" w:lineRule="atLeast"/>
    </w:pPr>
    <w:rPr>
      <w:rFonts w:ascii="Microsoft Sans Serif" w:hAnsi="Microsoft Sans Serif" w:cs="Microsoft Sans Serif"/>
      <w:spacing w:val="-10"/>
      <w:sz w:val="29"/>
      <w:szCs w:val="29"/>
      <w:lang w:eastAsia="ru-RU"/>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2">
    <w:name w:val="Подпись к таблице"/>
    <w:basedOn w:val="a"/>
    <w:link w:val="aff3"/>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aff3">
    <w:name w:val="Подпись к таблице_"/>
    <w:link w:val="aff2"/>
    <w:rsid w:val="00DE6586"/>
    <w:rPr>
      <w:rFonts w:ascii="Arial Narrow" w:hAnsi="Arial Narrow" w:cs="Arial Narrow"/>
      <w:i/>
      <w:iCs/>
      <w:noProof/>
      <w:sz w:val="20"/>
      <w:szCs w:val="20"/>
      <w:shd w:val="clear" w:color="auto" w:fill="FFFFFF"/>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4">
    <w:name w:val="Сноска"/>
    <w:basedOn w:val="a"/>
    <w:link w:val="aff5"/>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aff5">
    <w:name w:val="Сноска_"/>
    <w:link w:val="aff4"/>
    <w:rsid w:val="00673CAB"/>
    <w:rPr>
      <w:rFonts w:ascii="Lucida Sans Unicode" w:hAnsi="Lucida Sans Unicode" w:cs="Lucida Sans Unicode"/>
      <w:i/>
      <w:iCs/>
      <w:noProof/>
      <w:sz w:val="13"/>
      <w:szCs w:val="13"/>
      <w:shd w:val="clear" w:color="auto" w:fill="FFFFFF"/>
      <w:lang w:val="en-US"/>
    </w:rPr>
  </w:style>
  <w:style w:type="character" w:customStyle="1" w:styleId="102">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6">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link w:val="142"/>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142">
    <w:name w:val="Заголовок №14_"/>
    <w:basedOn w:val="a0"/>
    <w:link w:val="140"/>
    <w:rsid w:val="00811C95"/>
    <w:rPr>
      <w:rFonts w:ascii="Tahoma" w:hAnsi="Tahoma" w:cs="Tahoma"/>
      <w:sz w:val="30"/>
      <w:szCs w:val="30"/>
      <w:shd w:val="clear" w:color="auto" w:fill="FFFFFF"/>
      <w:lang w:eastAsia="en-US"/>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link w:val="70"/>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70">
    <w:name w:val="Основной текст (7)_"/>
    <w:basedOn w:val="a0"/>
    <w:link w:val="7"/>
    <w:rsid w:val="00811C95"/>
    <w:rPr>
      <w:rFonts w:ascii="Arial Unicode MS" w:eastAsia="Arial Unicode MS" w:hAnsi="Times New Roman" w:cs="Arial Unicode MS"/>
      <w:spacing w:val="20"/>
      <w:sz w:val="25"/>
      <w:szCs w:val="25"/>
      <w:shd w:val="clear" w:color="auto" w:fill="FFFFFF"/>
      <w:lang w:eastAsia="en-US"/>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rsid w:val="008E0FBF"/>
    <w:rPr>
      <w:sz w:val="25"/>
      <w:szCs w:val="25"/>
    </w:rPr>
  </w:style>
  <w:style w:type="paragraph" w:customStyle="1" w:styleId="62">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rsid w:val="008E0FBF"/>
    <w:rPr>
      <w:rFonts w:ascii="Lucida Sans Unicode" w:hAnsi="Lucida Sans Unicode" w:cs="Lucida Sans Unicode"/>
      <w:i/>
      <w:iCs/>
      <w:sz w:val="16"/>
      <w:szCs w:val="16"/>
    </w:rPr>
  </w:style>
  <w:style w:type="character" w:customStyle="1" w:styleId="aff7">
    <w:name w:val="Основной текст + Курсив"/>
    <w:aliases w:val="Интервал 0 pt5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aliases w:val="Основной текст (14) + 71,5 pt1,Не полужирный1,Основной текст + 81,89,Основной текст (4) + Arial Unicode MS,6 pt1"/>
    <w:uiPriority w:val="99"/>
    <w:rsid w:val="008E0FBF"/>
    <w:rPr>
      <w:rFonts w:ascii="Segoe UI" w:hAnsi="Segoe UI" w:cs="Segoe UI"/>
      <w:b/>
      <w:bCs/>
      <w:i/>
      <w:iCs/>
      <w:spacing w:val="0"/>
      <w:sz w:val="16"/>
      <w:szCs w:val="16"/>
    </w:rPr>
  </w:style>
  <w:style w:type="character" w:customStyle="1" w:styleId="SegoeUI1">
    <w:name w:val="Основной текст + Segoe UI1"/>
    <w:aliases w:val="Основной текст + Times New Roman1,81,5 pt2,Полужирный5,Основной текст + Arial Unicode MS1,Основной текст + 82,Основной текст + 9 pt2,Основной текст + MS Reference Sans Serif1,Основной текст + 71"/>
    <w:uiPriority w:val="99"/>
    <w:rsid w:val="008E0FBF"/>
    <w:rPr>
      <w:rFonts w:ascii="Segoe UI" w:hAnsi="Segoe UI" w:cs="Segoe UI"/>
      <w:i/>
      <w:iCs/>
      <w:spacing w:val="0"/>
      <w:sz w:val="13"/>
      <w:szCs w:val="13"/>
    </w:rPr>
  </w:style>
  <w:style w:type="character" w:customStyle="1" w:styleId="16">
    <w:name w:val="Основной текст1"/>
    <w:rsid w:val="008E0FBF"/>
    <w:rPr>
      <w:rFonts w:ascii="Gungsuh" w:eastAsia="Gungsuh" w:cs="Gungsuh"/>
      <w:spacing w:val="-10"/>
      <w:sz w:val="16"/>
      <w:szCs w:val="16"/>
      <w:u w:val="single"/>
    </w:rPr>
  </w:style>
  <w:style w:type="paragraph" w:customStyle="1" w:styleId="34">
    <w:name w:val="Основной текст (3)"/>
    <w:basedOn w:val="a"/>
    <w:link w:val="35"/>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character" w:customStyle="1" w:styleId="35">
    <w:name w:val="Основной текст (3)_"/>
    <w:link w:val="34"/>
    <w:rsid w:val="00903E13"/>
    <w:rPr>
      <w:rFonts w:ascii="Gungsuh" w:eastAsia="Gungsuh" w:hAnsi="Times New Roman" w:cs="Gungsuh"/>
      <w:spacing w:val="20"/>
      <w:sz w:val="35"/>
      <w:szCs w:val="35"/>
      <w:shd w:val="clear" w:color="auto" w:fill="FFFFFF"/>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character" w:customStyle="1" w:styleId="46">
    <w:name w:val="Основной текст (4)_"/>
    <w:link w:val="45"/>
    <w:rsid w:val="00903E13"/>
    <w:rPr>
      <w:rFonts w:ascii="Gungsuh" w:eastAsia="Gungsuh" w:hAnsi="Times New Roman" w:cs="Gungsuh"/>
      <w:sz w:val="13"/>
      <w:szCs w:val="13"/>
      <w:shd w:val="clear" w:color="auto" w:fill="FFFFFF"/>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character" w:customStyle="1" w:styleId="2a">
    <w:name w:val="Основной текст (2)_"/>
    <w:basedOn w:val="a0"/>
    <w:link w:val="28"/>
    <w:rsid w:val="00B00019"/>
    <w:rPr>
      <w:rFonts w:ascii="Segoe UI" w:hAnsi="Segoe UI" w:cs="Segoe UI"/>
      <w:sz w:val="13"/>
      <w:szCs w:val="13"/>
      <w:shd w:val="clear" w:color="auto" w:fill="FFFFFF"/>
      <w:lang w:eastAsia="en-US"/>
    </w:rPr>
  </w:style>
  <w:style w:type="paragraph" w:customStyle="1" w:styleId="17">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2">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3">
    <w:name w:val="Основной текст + 10"/>
    <w:uiPriority w:val="99"/>
    <w:rsid w:val="008E0FBF"/>
    <w:rPr>
      <w:rFonts w:ascii="Gungsuh" w:eastAsia="Gungsuh" w:cs="Gungsuh"/>
      <w:spacing w:val="-20"/>
      <w:sz w:val="21"/>
      <w:szCs w:val="21"/>
    </w:rPr>
  </w:style>
  <w:style w:type="character" w:customStyle="1" w:styleId="9">
    <w:name w:val="Основной текст + 9"/>
    <w:aliases w:val="5 pt69,Полужирный70,Интервал 0 pt47,Основной текст (5) + Не курсив11"/>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aliases w:val="Полужирный65"/>
    <w:rsid w:val="008E0FBF"/>
    <w:rPr>
      <w:rFonts w:ascii="Gungsuh" w:eastAsia="Gungsuh" w:cs="Gungsuh"/>
      <w:spacing w:val="-10"/>
      <w:sz w:val="16"/>
      <w:szCs w:val="16"/>
    </w:rPr>
  </w:style>
  <w:style w:type="character" w:customStyle="1" w:styleId="Consolas">
    <w:name w:val="Основной текст + Consolas"/>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rsid w:val="008E0FBF"/>
    <w:rPr>
      <w:rFonts w:ascii="Gungsuh" w:eastAsia="Gungsuh" w:cs="Gungsuh"/>
      <w:spacing w:val="0"/>
      <w:sz w:val="14"/>
      <w:szCs w:val="14"/>
    </w:rPr>
  </w:style>
  <w:style w:type="character" w:customStyle="1" w:styleId="9pt">
    <w:name w:val="Основной текст + 9 pt"/>
    <w:aliases w:val="Подпись к картинке (28) + Sylfaen,61,5 pt7,Полужирный10,Основной текст + 84,Малые прописные4,Основной текст (2) + Microsoft Sans Serif,Колонтитул + Century Gothic1,Основной текст (25) + 9"/>
    <w:rsid w:val="008E0FBF"/>
    <w:rPr>
      <w:rFonts w:ascii="Gungsuh" w:eastAsia="Gungsuh" w:cs="Gungsuh"/>
      <w:b/>
      <w:bCs/>
      <w:i/>
      <w:iCs/>
      <w:spacing w:val="0"/>
      <w:sz w:val="18"/>
      <w:szCs w:val="18"/>
    </w:rPr>
  </w:style>
  <w:style w:type="character" w:customStyle="1" w:styleId="9pt1">
    <w:name w:val="Основной текст + 9 pt1"/>
    <w:aliases w:val="Основной текст (8) + 8 pt3,Полужирный3,Интервал 0 pt2,Основной текст + 10 pt1,Колонтитул + Microsoft Sans Serif3"/>
    <w:uiPriority w:val="99"/>
    <w:rsid w:val="008E0FBF"/>
    <w:rPr>
      <w:rFonts w:ascii="Gungsuh" w:eastAsia="Gungsuh" w:cs="Gungsuh"/>
      <w:smallCaps/>
      <w:spacing w:val="0"/>
      <w:sz w:val="18"/>
      <w:szCs w:val="18"/>
    </w:rPr>
  </w:style>
  <w:style w:type="character" w:customStyle="1" w:styleId="1pt">
    <w:name w:val="Основной текст + Интервал 1 pt"/>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rsid w:val="008E0FBF"/>
    <w:rPr>
      <w:rFonts w:ascii="Gungsuh" w:eastAsia="Gungsuh" w:cs="Gungsuh"/>
      <w:spacing w:val="60"/>
      <w:sz w:val="17"/>
      <w:szCs w:val="17"/>
    </w:rPr>
  </w:style>
  <w:style w:type="paragraph" w:customStyle="1" w:styleId="aff8">
    <w:name w:val="Колонтитул"/>
    <w:basedOn w:val="a"/>
    <w:link w:val="aff9"/>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ff9">
    <w:name w:val="Колонтитул_"/>
    <w:basedOn w:val="a0"/>
    <w:link w:val="aff8"/>
    <w:rsid w:val="00811C95"/>
    <w:rPr>
      <w:rFonts w:ascii="Times New Roman" w:hAnsi="Times New Roman"/>
      <w:shd w:val="clear" w:color="auto" w:fill="FFFFFF"/>
      <w:lang w:eastAsia="en-US"/>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aliases w:val="Интервал 0 pt26"/>
    <w:uiPriority w:val="99"/>
    <w:rsid w:val="008E0FBF"/>
    <w:rPr>
      <w:rFonts w:ascii="Gungsuh" w:eastAsia="Gungsuh" w:cs="Gungsuh"/>
      <w:spacing w:val="-20"/>
      <w:sz w:val="20"/>
      <w:szCs w:val="20"/>
    </w:rPr>
  </w:style>
  <w:style w:type="character" w:customStyle="1" w:styleId="affa">
    <w:name w:val="Основной текст + Полужирный"/>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1">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b">
    <w:name w:val="Подпись к картинке"/>
    <w:basedOn w:val="a"/>
    <w:link w:val="affc"/>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character" w:customStyle="1" w:styleId="affc">
    <w:name w:val="Подпись к картинке_"/>
    <w:basedOn w:val="a0"/>
    <w:link w:val="affb"/>
    <w:rsid w:val="00811C95"/>
    <w:rPr>
      <w:rFonts w:ascii="MS Reference Sans Serif" w:hAnsi="MS Reference Sans Serif" w:cs="MS Reference Sans Serif"/>
      <w:b/>
      <w:bCs/>
      <w:sz w:val="13"/>
      <w:szCs w:val="13"/>
      <w:shd w:val="clear" w:color="auto" w:fill="FFFFFF"/>
      <w:lang w:eastAsia="en-US"/>
    </w:rPr>
  </w:style>
  <w:style w:type="paragraph" w:customStyle="1" w:styleId="121">
    <w:name w:val="Основной текст (12)"/>
    <w:basedOn w:val="a"/>
    <w:link w:val="122"/>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character" w:customStyle="1" w:styleId="122">
    <w:name w:val="Основной текст (12)_"/>
    <w:basedOn w:val="a0"/>
    <w:link w:val="121"/>
    <w:rsid w:val="00811C95"/>
    <w:rPr>
      <w:rFonts w:ascii="MS Reference Sans Serif" w:hAnsi="MS Reference Sans Serif" w:cs="MS Reference Sans Serif"/>
      <w:b/>
      <w:bCs/>
      <w:sz w:val="13"/>
      <w:szCs w:val="13"/>
      <w:shd w:val="clear" w:color="auto" w:fill="FFFFFF"/>
      <w:lang w:eastAsia="en-US"/>
    </w:rPr>
  </w:style>
  <w:style w:type="paragraph" w:customStyle="1" w:styleId="37">
    <w:name w:val="Подпись к картинке (3)"/>
    <w:basedOn w:val="a"/>
    <w:link w:val="38"/>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character" w:customStyle="1" w:styleId="38">
    <w:name w:val="Подпись к картинке (3)_"/>
    <w:basedOn w:val="a0"/>
    <w:link w:val="37"/>
    <w:rsid w:val="00811C95"/>
    <w:rPr>
      <w:rFonts w:ascii="Arial Narrow" w:hAnsi="Arial Narrow" w:cs="Arial Narrow"/>
      <w:sz w:val="16"/>
      <w:szCs w:val="16"/>
      <w:shd w:val="clear" w:color="auto" w:fill="FFFFFF"/>
      <w:lang w:eastAsia="en-US"/>
    </w:rPr>
  </w:style>
  <w:style w:type="paragraph" w:customStyle="1" w:styleId="340">
    <w:name w:val="Основной текст (34)"/>
    <w:basedOn w:val="a"/>
    <w:link w:val="341"/>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character" w:customStyle="1" w:styleId="341">
    <w:name w:val="Основной текст (34)_"/>
    <w:link w:val="340"/>
    <w:rsid w:val="00D70979"/>
    <w:rPr>
      <w:rFonts w:ascii="Arial Narrow" w:hAnsi="Arial Narrow" w:cs="Arial Narrow"/>
      <w:b/>
      <w:bCs/>
      <w:sz w:val="17"/>
      <w:szCs w:val="17"/>
      <w:shd w:val="clear" w:color="auto" w:fill="FFFFFF"/>
    </w:rPr>
  </w:style>
  <w:style w:type="paragraph" w:customStyle="1" w:styleId="510">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link w:val="53"/>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character" w:customStyle="1" w:styleId="53">
    <w:name w:val="Заголовок №5_"/>
    <w:basedOn w:val="a0"/>
    <w:link w:val="52"/>
    <w:rsid w:val="00811C95"/>
    <w:rPr>
      <w:rFonts w:ascii="Arial Narrow" w:hAnsi="Arial Narrow" w:cs="Arial Narrow"/>
      <w:b/>
      <w:bCs/>
      <w:sz w:val="46"/>
      <w:szCs w:val="46"/>
      <w:shd w:val="clear" w:color="auto" w:fill="FFFFFF"/>
      <w:lang w:eastAsia="en-US"/>
    </w:rPr>
  </w:style>
  <w:style w:type="paragraph" w:customStyle="1" w:styleId="530">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8">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uiPriority w:val="99"/>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link w:val="4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character" w:customStyle="1" w:styleId="49">
    <w:name w:val="Подпись к картинке (4)_"/>
    <w:basedOn w:val="a0"/>
    <w:link w:val="48"/>
    <w:rsid w:val="00811C95"/>
    <w:rPr>
      <w:rFonts w:ascii="Arial Narrow" w:hAnsi="Arial Narrow" w:cs="Arial Narrow"/>
      <w:i/>
      <w:iCs/>
      <w:sz w:val="17"/>
      <w:szCs w:val="17"/>
      <w:shd w:val="clear" w:color="auto" w:fill="FFFFFF"/>
      <w:lang w:eastAsia="en-US"/>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link w:val="171"/>
    <w:uiPriority w:val="99"/>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character" w:customStyle="1" w:styleId="171">
    <w:name w:val="Подпись к картинке (17)_"/>
    <w:basedOn w:val="a0"/>
    <w:link w:val="170"/>
    <w:uiPriority w:val="99"/>
    <w:rsid w:val="00811C95"/>
    <w:rPr>
      <w:rFonts w:ascii="Franklin Gothic Book" w:hAnsi="Franklin Gothic Book" w:cs="Franklin Gothic Book"/>
      <w:sz w:val="13"/>
      <w:szCs w:val="13"/>
      <w:shd w:val="clear" w:color="auto" w:fill="FFFFFF"/>
      <w:lang w:eastAsia="en-US"/>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a">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4">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0">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3">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4">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5">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link w:val="331"/>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character" w:customStyle="1" w:styleId="331">
    <w:name w:val="Основной текст (33)_"/>
    <w:link w:val="330"/>
    <w:rsid w:val="00D70979"/>
    <w:rPr>
      <w:rFonts w:ascii="MS Reference Sans Serif" w:hAnsi="MS Reference Sans Serif" w:cs="MS Reference Sans Serif"/>
      <w:i/>
      <w:iCs/>
      <w:spacing w:val="-20"/>
      <w:sz w:val="17"/>
      <w:szCs w:val="17"/>
      <w:shd w:val="clear" w:color="auto" w:fill="FFFFFF"/>
    </w:rPr>
  </w:style>
  <w:style w:type="paragraph" w:customStyle="1" w:styleId="350">
    <w:name w:val="Основной текст (35)"/>
    <w:basedOn w:val="a"/>
    <w:link w:val="351"/>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character" w:customStyle="1" w:styleId="351">
    <w:name w:val="Основной текст (35)_"/>
    <w:link w:val="350"/>
    <w:rsid w:val="00D70979"/>
    <w:rPr>
      <w:rFonts w:ascii="MS Reference Sans Serif" w:hAnsi="MS Reference Sans Serif" w:cs="MS Reference Sans Serif"/>
      <w:spacing w:val="-10"/>
      <w:sz w:val="14"/>
      <w:szCs w:val="14"/>
      <w:shd w:val="clear" w:color="auto" w:fill="FFFFFF"/>
    </w:rPr>
  </w:style>
  <w:style w:type="paragraph" w:customStyle="1" w:styleId="360">
    <w:name w:val="Основной текст (36)"/>
    <w:basedOn w:val="a"/>
    <w:link w:val="361"/>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character" w:customStyle="1" w:styleId="361">
    <w:name w:val="Основной текст (36)_"/>
    <w:link w:val="360"/>
    <w:rsid w:val="00D70979"/>
    <w:rPr>
      <w:rFonts w:ascii="Arial Narrow" w:hAnsi="Arial Narrow" w:cs="Arial Narrow"/>
      <w:noProof/>
      <w:sz w:val="8"/>
      <w:szCs w:val="8"/>
      <w:shd w:val="clear" w:color="auto" w:fill="FFFFFF"/>
      <w:lang w:val="en-US"/>
    </w:rPr>
  </w:style>
  <w:style w:type="paragraph" w:customStyle="1" w:styleId="370">
    <w:name w:val="Основной текст (37)"/>
    <w:basedOn w:val="a"/>
    <w:link w:val="371"/>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character" w:customStyle="1" w:styleId="371">
    <w:name w:val="Основной текст (37)_"/>
    <w:basedOn w:val="a0"/>
    <w:link w:val="370"/>
    <w:uiPriority w:val="99"/>
    <w:rsid w:val="00811C95"/>
    <w:rPr>
      <w:rFonts w:ascii="MS Reference Sans Serif" w:hAnsi="MS Reference Sans Serif" w:cs="MS Reference Sans Serif"/>
      <w:i/>
      <w:iCs/>
      <w:sz w:val="12"/>
      <w:szCs w:val="12"/>
      <w:shd w:val="clear" w:color="auto" w:fill="FFFFFF"/>
      <w:lang w:eastAsia="en-US"/>
    </w:rPr>
  </w:style>
  <w:style w:type="paragraph" w:customStyle="1" w:styleId="90">
    <w:name w:val="Основной текст (9)"/>
    <w:basedOn w:val="a"/>
    <w:link w:val="91"/>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character" w:customStyle="1" w:styleId="91">
    <w:name w:val="Основной текст (9)_"/>
    <w:basedOn w:val="a0"/>
    <w:link w:val="90"/>
    <w:rsid w:val="00811C95"/>
    <w:rPr>
      <w:rFonts w:ascii="Lucida Sans Unicode" w:hAnsi="Lucida Sans Unicode" w:cs="Lucida Sans Unicode"/>
      <w:sz w:val="14"/>
      <w:szCs w:val="14"/>
      <w:shd w:val="clear" w:color="auto" w:fill="FFFFFF"/>
      <w:lang w:eastAsia="en-US"/>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character" w:customStyle="1" w:styleId="282">
    <w:name w:val="Основной текст (28)_"/>
    <w:basedOn w:val="a0"/>
    <w:link w:val="281"/>
    <w:rsid w:val="00811C95"/>
    <w:rPr>
      <w:rFonts w:ascii="Lucida Sans Unicode" w:hAnsi="Lucida Sans Unicode" w:cs="Lucida Sans Unicode"/>
      <w:spacing w:val="10"/>
      <w:sz w:val="24"/>
      <w:szCs w:val="24"/>
      <w:shd w:val="clear" w:color="auto" w:fill="FFFFFF"/>
      <w:lang w:eastAsia="en-US"/>
    </w:rPr>
  </w:style>
  <w:style w:type="paragraph" w:customStyle="1" w:styleId="3b">
    <w:name w:val="Заголовок №3"/>
    <w:basedOn w:val="a"/>
    <w:link w:val="3c"/>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character" w:customStyle="1" w:styleId="3c">
    <w:name w:val="Заголовок №3_"/>
    <w:basedOn w:val="a0"/>
    <w:link w:val="3b"/>
    <w:rsid w:val="00811C95"/>
    <w:rPr>
      <w:rFonts w:ascii="Times New Roman" w:hAnsi="Times New Roman"/>
      <w:spacing w:val="40"/>
      <w:sz w:val="52"/>
      <w:szCs w:val="52"/>
      <w:shd w:val="clear" w:color="auto" w:fill="FFFFFF"/>
      <w:lang w:eastAsia="en-US"/>
    </w:rPr>
  </w:style>
  <w:style w:type="paragraph" w:customStyle="1" w:styleId="182">
    <w:name w:val="Основной текст (18)"/>
    <w:basedOn w:val="a"/>
    <w:link w:val="183"/>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183">
    <w:name w:val="Основной текст (18)_"/>
    <w:basedOn w:val="a0"/>
    <w:link w:val="182"/>
    <w:rsid w:val="00811C95"/>
    <w:rPr>
      <w:rFonts w:ascii="Arial" w:hAnsi="Arial" w:cs="Arial"/>
      <w:sz w:val="24"/>
      <w:szCs w:val="24"/>
      <w:shd w:val="clear" w:color="auto" w:fill="FFFFFF"/>
      <w:lang w:eastAsia="en-US"/>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rsid w:val="008E0FBF"/>
    <w:rPr>
      <w:rFonts w:ascii="Lucida Sans Unicode" w:hAnsi="Lucida Sans Unicode" w:cs="Lucida Sans Unicode"/>
      <w:sz w:val="28"/>
      <w:szCs w:val="28"/>
    </w:rPr>
  </w:style>
  <w:style w:type="paragraph" w:customStyle="1" w:styleId="2e">
    <w:name w:val="Подпись к таблице (2)"/>
    <w:basedOn w:val="a"/>
    <w:link w:val="2f"/>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2f">
    <w:name w:val="Подпись к таблице (2)_"/>
    <w:basedOn w:val="a0"/>
    <w:link w:val="2e"/>
    <w:uiPriority w:val="99"/>
    <w:rsid w:val="00811C95"/>
    <w:rPr>
      <w:rFonts w:ascii="Lucida Sans Unicode" w:hAnsi="Lucida Sans Unicode" w:cs="Lucida Sans Unicode"/>
      <w:sz w:val="25"/>
      <w:szCs w:val="25"/>
      <w:shd w:val="clear" w:color="auto" w:fill="FFFFFF"/>
      <w:lang w:eastAsia="en-US"/>
    </w:rPr>
  </w:style>
  <w:style w:type="paragraph" w:customStyle="1" w:styleId="114">
    <w:name w:val="Заголовок №11"/>
    <w:basedOn w:val="a"/>
    <w:uiPriority w:val="99"/>
    <w:rsid w:val="003712D9"/>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paragraph" w:customStyle="1" w:styleId="151">
    <w:name w:val="Основной текст (15)"/>
    <w:basedOn w:val="a"/>
    <w:uiPriority w:val="99"/>
    <w:rsid w:val="003712D9"/>
    <w:pPr>
      <w:shd w:val="clear" w:color="auto" w:fill="FFFFFF"/>
      <w:autoSpaceDE w:val="0"/>
      <w:autoSpaceDN w:val="0"/>
      <w:adjustRightInd w:val="0"/>
      <w:spacing w:after="240" w:line="240" w:lineRule="atLeast"/>
      <w:jc w:val="both"/>
    </w:pPr>
    <w:rPr>
      <w:rFonts w:cs="Calibri"/>
      <w:i/>
      <w:iCs/>
      <w:noProof/>
      <w:sz w:val="16"/>
      <w:szCs w:val="16"/>
      <w:lang w:val="en-US"/>
    </w:rPr>
  </w:style>
  <w:style w:type="paragraph" w:customStyle="1" w:styleId="1a">
    <w:name w:val="Подпись к картинке1"/>
    <w:basedOn w:val="a"/>
    <w:uiPriority w:val="99"/>
    <w:rsid w:val="003712D9"/>
    <w:pPr>
      <w:shd w:val="clear" w:color="auto" w:fill="FFFFFF"/>
      <w:autoSpaceDE w:val="0"/>
      <w:autoSpaceDN w:val="0"/>
      <w:adjustRightInd w:val="0"/>
      <w:spacing w:after="0" w:line="240" w:lineRule="atLeast"/>
    </w:pPr>
    <w:rPr>
      <w:rFonts w:ascii="Franklin Gothic Demi" w:hAnsi="Franklin Gothic Demi" w:cs="Franklin Gothic Demi"/>
      <w:noProof/>
      <w:sz w:val="26"/>
      <w:szCs w:val="26"/>
      <w:lang w:val="en-US"/>
    </w:rPr>
  </w:style>
  <w:style w:type="paragraph" w:customStyle="1" w:styleId="561">
    <w:name w:val="Основной текст (56)1"/>
    <w:basedOn w:val="a"/>
    <w:uiPriority w:val="99"/>
    <w:rsid w:val="003712D9"/>
    <w:pPr>
      <w:shd w:val="clear" w:color="auto" w:fill="FFFFFF"/>
      <w:autoSpaceDE w:val="0"/>
      <w:autoSpaceDN w:val="0"/>
      <w:adjustRightInd w:val="0"/>
      <w:spacing w:after="0" w:line="106" w:lineRule="exact"/>
      <w:ind w:firstLine="140"/>
      <w:jc w:val="both"/>
    </w:pPr>
    <w:rPr>
      <w:rFonts w:ascii="Arial" w:hAnsi="Arial" w:cs="Arial"/>
      <w:sz w:val="8"/>
      <w:szCs w:val="8"/>
    </w:rPr>
  </w:style>
  <w:style w:type="character" w:styleId="affd">
    <w:name w:val="footnote reference"/>
    <w:uiPriority w:val="99"/>
    <w:rsid w:val="003712D9"/>
    <w:rPr>
      <w:vertAlign w:val="superscript"/>
    </w:rPr>
  </w:style>
  <w:style w:type="character" w:customStyle="1" w:styleId="A40">
    <w:name w:val="A4"/>
    <w:uiPriority w:val="99"/>
    <w:rsid w:val="003712D9"/>
    <w:rPr>
      <w:color w:val="000000"/>
      <w:sz w:val="22"/>
      <w:szCs w:val="22"/>
    </w:rPr>
  </w:style>
  <w:style w:type="character" w:customStyle="1" w:styleId="2120">
    <w:name w:val="Основной текст (21)2"/>
    <w:uiPriority w:val="99"/>
    <w:rsid w:val="003712D9"/>
    <w:rPr>
      <w:rFonts w:ascii="MS Reference Sans Serif" w:hAnsi="MS Reference Sans Serif" w:cs="MS Reference Sans Serif"/>
      <w:color w:val="FFFFFF"/>
      <w:sz w:val="16"/>
      <w:szCs w:val="16"/>
    </w:rPr>
  </w:style>
  <w:style w:type="character" w:customStyle="1" w:styleId="MSReferenceSansSerif2">
    <w:name w:val="Основной текст + MS Reference Sans Serif2"/>
    <w:uiPriority w:val="99"/>
    <w:rsid w:val="003712D9"/>
    <w:rPr>
      <w:rFonts w:ascii="MS Reference Sans Serif" w:hAnsi="MS Reference Sans Serif" w:cs="MS Reference Sans Serif"/>
      <w:sz w:val="13"/>
      <w:szCs w:val="13"/>
    </w:rPr>
  </w:style>
  <w:style w:type="paragraph" w:styleId="affe">
    <w:name w:val="Body Text Indent"/>
    <w:basedOn w:val="a"/>
    <w:link w:val="afff"/>
    <w:uiPriority w:val="99"/>
    <w:rsid w:val="003712D9"/>
    <w:pPr>
      <w:autoSpaceDE w:val="0"/>
      <w:autoSpaceDN w:val="0"/>
      <w:adjustRightInd w:val="0"/>
      <w:spacing w:after="0" w:line="240" w:lineRule="auto"/>
      <w:ind w:firstLine="720"/>
      <w:jc w:val="both"/>
    </w:pPr>
    <w:rPr>
      <w:rFonts w:ascii="Times New Roman" w:hAnsi="Times New Roman"/>
      <w:sz w:val="24"/>
      <w:szCs w:val="24"/>
    </w:rPr>
  </w:style>
  <w:style w:type="character" w:customStyle="1" w:styleId="afff">
    <w:name w:val="Основной текст с отступом Знак"/>
    <w:link w:val="affe"/>
    <w:uiPriority w:val="99"/>
    <w:rsid w:val="003712D9"/>
    <w:rPr>
      <w:rFonts w:ascii="Times New Roman" w:hAnsi="Times New Roman" w:cs="Times New Roman"/>
      <w:sz w:val="24"/>
      <w:szCs w:val="24"/>
    </w:rPr>
  </w:style>
  <w:style w:type="paragraph" w:customStyle="1" w:styleId="afff0">
    <w:name w:val="Содержимое таблицы"/>
    <w:basedOn w:val="a"/>
    <w:uiPriority w:val="99"/>
    <w:rsid w:val="003712D9"/>
    <w:pPr>
      <w:widowControl w:val="0"/>
      <w:suppressLineNumbers/>
      <w:suppressAutoHyphens/>
      <w:autoSpaceDE w:val="0"/>
      <w:autoSpaceDN w:val="0"/>
      <w:adjustRightInd w:val="0"/>
      <w:spacing w:after="0" w:line="240" w:lineRule="auto"/>
    </w:pPr>
    <w:rPr>
      <w:rFonts w:ascii="Arial" w:hAnsi="Arial" w:cs="Arial"/>
      <w:kern w:val="2"/>
      <w:sz w:val="20"/>
      <w:szCs w:val="20"/>
    </w:rPr>
  </w:style>
  <w:style w:type="paragraph" w:customStyle="1" w:styleId="1110">
    <w:name w:val="Основной текст (11)1"/>
    <w:basedOn w:val="a"/>
    <w:uiPriority w:val="99"/>
    <w:rsid w:val="003712D9"/>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paragraph" w:styleId="afff1">
    <w:name w:val="footnote text"/>
    <w:basedOn w:val="a"/>
    <w:link w:val="afff2"/>
    <w:uiPriority w:val="99"/>
    <w:rsid w:val="003712D9"/>
    <w:pPr>
      <w:autoSpaceDE w:val="0"/>
      <w:autoSpaceDN w:val="0"/>
      <w:adjustRightInd w:val="0"/>
      <w:spacing w:after="0" w:line="240" w:lineRule="auto"/>
    </w:pPr>
    <w:rPr>
      <w:rFonts w:ascii="Times New Roman" w:hAnsi="Times New Roman"/>
      <w:sz w:val="20"/>
      <w:szCs w:val="20"/>
    </w:rPr>
  </w:style>
  <w:style w:type="character" w:customStyle="1" w:styleId="afff2">
    <w:name w:val="Текст сноски Знак"/>
    <w:link w:val="afff1"/>
    <w:uiPriority w:val="99"/>
    <w:rsid w:val="003712D9"/>
    <w:rPr>
      <w:rFonts w:ascii="Times New Roman" w:hAnsi="Times New Roman" w:cs="Times New Roman"/>
      <w:sz w:val="20"/>
      <w:szCs w:val="20"/>
    </w:rPr>
  </w:style>
  <w:style w:type="paragraph" w:styleId="afff3">
    <w:name w:val="endnote text"/>
    <w:basedOn w:val="a"/>
    <w:link w:val="afff4"/>
    <w:uiPriority w:val="99"/>
    <w:rsid w:val="003712D9"/>
    <w:pPr>
      <w:autoSpaceDE w:val="0"/>
      <w:autoSpaceDN w:val="0"/>
      <w:adjustRightInd w:val="0"/>
      <w:spacing w:after="0" w:line="240" w:lineRule="auto"/>
    </w:pPr>
    <w:rPr>
      <w:rFonts w:ascii="Times New Roman" w:hAnsi="Times New Roman"/>
      <w:sz w:val="20"/>
      <w:szCs w:val="20"/>
    </w:rPr>
  </w:style>
  <w:style w:type="character" w:customStyle="1" w:styleId="afff4">
    <w:name w:val="Текст концевой сноски Знак"/>
    <w:link w:val="afff3"/>
    <w:uiPriority w:val="99"/>
    <w:rsid w:val="003712D9"/>
    <w:rPr>
      <w:rFonts w:ascii="Times New Roman" w:hAnsi="Times New Roman" w:cs="Times New Roman"/>
      <w:sz w:val="20"/>
      <w:szCs w:val="20"/>
    </w:rPr>
  </w:style>
  <w:style w:type="paragraph" w:customStyle="1" w:styleId="1b">
    <w:name w:val="Текст1"/>
    <w:basedOn w:val="Iauiue"/>
    <w:rsid w:val="00DF6978"/>
    <w:pPr>
      <w:overflowPunct w:val="0"/>
      <w:textAlignment w:val="baseline"/>
    </w:pPr>
    <w:rPr>
      <w:rFonts w:ascii="Courier New" w:eastAsia="Times New Roman" w:hAnsi="Courier New"/>
      <w:lang w:val="en-AU" w:eastAsia="ru-RU"/>
    </w:rPr>
  </w:style>
  <w:style w:type="paragraph" w:customStyle="1" w:styleId="92">
    <w:name w:val="Основной текст9"/>
    <w:basedOn w:val="a"/>
    <w:rsid w:val="0035263A"/>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character" w:customStyle="1" w:styleId="ArialUnicodeMS">
    <w:name w:val="Основной текст + Arial Unicode MS"/>
    <w:rsid w:val="0035263A"/>
    <w:rPr>
      <w:rFonts w:ascii="Arial Unicode MS" w:eastAsia="Arial Unicode MS"/>
      <w:b/>
      <w:spacing w:val="0"/>
      <w:sz w:val="16"/>
    </w:rPr>
  </w:style>
  <w:style w:type="paragraph" w:customStyle="1" w:styleId="190">
    <w:name w:val="Основной текст (19)"/>
    <w:basedOn w:val="a"/>
    <w:link w:val="191"/>
    <w:uiPriority w:val="99"/>
    <w:rsid w:val="00137373"/>
    <w:pPr>
      <w:shd w:val="clear" w:color="auto" w:fill="FFFFFF"/>
      <w:overflowPunct w:val="0"/>
      <w:autoSpaceDE w:val="0"/>
      <w:autoSpaceDN w:val="0"/>
      <w:adjustRightInd w:val="0"/>
      <w:spacing w:after="0" w:line="240" w:lineRule="atLeast"/>
      <w:textAlignment w:val="baseline"/>
    </w:pPr>
    <w:rPr>
      <w:rFonts w:ascii="Arial" w:eastAsia="Times New Roman" w:hAnsi="Arial"/>
      <w:sz w:val="33"/>
      <w:szCs w:val="20"/>
      <w:lang w:eastAsia="ru-RU"/>
    </w:rPr>
  </w:style>
  <w:style w:type="character" w:customStyle="1" w:styleId="191">
    <w:name w:val="Основной текст (19)_"/>
    <w:link w:val="190"/>
    <w:rsid w:val="00137373"/>
    <w:rPr>
      <w:rFonts w:ascii="Arial" w:eastAsia="Times New Roman" w:hAnsi="Arial" w:cs="Times New Roman"/>
      <w:sz w:val="33"/>
      <w:szCs w:val="20"/>
      <w:shd w:val="clear" w:color="auto" w:fill="FFFFFF"/>
      <w:lang w:eastAsia="ru-RU"/>
    </w:rPr>
  </w:style>
  <w:style w:type="paragraph" w:customStyle="1" w:styleId="rtejustify">
    <w:name w:val="rtejustify"/>
    <w:basedOn w:val="a"/>
    <w:rsid w:val="000340E9"/>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table" w:styleId="afff5">
    <w:name w:val="Table Grid"/>
    <w:basedOn w:val="a1"/>
    <w:uiPriority w:val="59"/>
    <w:rsid w:val="000011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font3">
    <w:name w:val="mfont3"/>
    <w:basedOn w:val="a0"/>
    <w:rsid w:val="00DE6586"/>
  </w:style>
  <w:style w:type="character" w:customStyle="1" w:styleId="2f0">
    <w:name w:val="Заголовок №2_"/>
    <w:rsid w:val="00903E13"/>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2f1">
    <w:name w:val="Основной текст (2) + Не курсив"/>
    <w:rsid w:val="00903E13"/>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mfont1">
    <w:name w:val="mfont1"/>
    <w:basedOn w:val="a0"/>
    <w:rsid w:val="00903E13"/>
  </w:style>
  <w:style w:type="paragraph" w:styleId="afff6">
    <w:name w:val="List Paragraph"/>
    <w:basedOn w:val="a"/>
    <w:uiPriority w:val="34"/>
    <w:qFormat/>
    <w:rsid w:val="00903E13"/>
    <w:pPr>
      <w:autoSpaceDE w:val="0"/>
      <w:autoSpaceDN w:val="0"/>
      <w:adjustRightInd w:val="0"/>
      <w:spacing w:after="0" w:line="240" w:lineRule="auto"/>
      <w:ind w:left="720"/>
      <w:contextualSpacing/>
    </w:pPr>
    <w:rPr>
      <w:rFonts w:ascii="Times New Roman" w:hAnsi="Times New Roman"/>
      <w:sz w:val="20"/>
      <w:szCs w:val="20"/>
    </w:rPr>
  </w:style>
  <w:style w:type="character" w:customStyle="1" w:styleId="8pt0">
    <w:name w:val="Основной текст + 8 pt;Малые прописные"/>
    <w:rsid w:val="00D70979"/>
    <w:rPr>
      <w:rFonts w:ascii="Arial Narrow" w:eastAsia="Arial Narrow" w:hAnsi="Arial Narrow" w:cs="Arial Narrow"/>
      <w:b w:val="0"/>
      <w:bCs w:val="0"/>
      <w:i w:val="0"/>
      <w:iCs w:val="0"/>
      <w:smallCaps/>
      <w:strike w:val="0"/>
      <w:spacing w:val="0"/>
      <w:sz w:val="16"/>
      <w:szCs w:val="16"/>
      <w:shd w:val="clear" w:color="auto" w:fill="FFFFFF"/>
    </w:rPr>
  </w:style>
  <w:style w:type="paragraph" w:customStyle="1" w:styleId="4a">
    <w:name w:val="Подпись к таблице (4)"/>
    <w:basedOn w:val="a"/>
    <w:link w:val="4b"/>
    <w:rsid w:val="00D70979"/>
    <w:pPr>
      <w:shd w:val="clear" w:color="auto" w:fill="FFFFFF"/>
      <w:overflowPunct w:val="0"/>
      <w:autoSpaceDE w:val="0"/>
      <w:autoSpaceDN w:val="0"/>
      <w:adjustRightInd w:val="0"/>
      <w:spacing w:after="120" w:line="240" w:lineRule="atLeast"/>
      <w:textAlignment w:val="baseline"/>
    </w:pPr>
    <w:rPr>
      <w:rFonts w:ascii="MS Reference Sans Serif" w:eastAsia="Times New Roman" w:hAnsi="MS Reference Sans Serif"/>
      <w:sz w:val="23"/>
      <w:szCs w:val="20"/>
      <w:lang w:val="en-US" w:eastAsia="ru-RU"/>
    </w:rPr>
  </w:style>
  <w:style w:type="character" w:customStyle="1" w:styleId="4b">
    <w:name w:val="Подпись к таблице (4)_"/>
    <w:link w:val="4a"/>
    <w:rsid w:val="00D70979"/>
    <w:rPr>
      <w:rFonts w:ascii="MS Reference Sans Serif" w:eastAsia="Times New Roman" w:hAnsi="MS Reference Sans Serif" w:cs="Times New Roman"/>
      <w:sz w:val="23"/>
      <w:szCs w:val="20"/>
      <w:shd w:val="clear" w:color="auto" w:fill="FFFFFF"/>
      <w:lang w:val="en-US" w:eastAsia="ru-RU"/>
    </w:rPr>
  </w:style>
  <w:style w:type="paragraph" w:customStyle="1" w:styleId="320">
    <w:name w:val="Основной текст (32)"/>
    <w:basedOn w:val="a"/>
    <w:link w:val="321"/>
    <w:rsid w:val="00D70979"/>
    <w:pPr>
      <w:shd w:val="clear" w:color="auto" w:fill="FFFFFF"/>
      <w:overflowPunct w:val="0"/>
      <w:autoSpaceDE w:val="0"/>
      <w:autoSpaceDN w:val="0"/>
      <w:adjustRightInd w:val="0"/>
      <w:spacing w:after="0" w:line="240" w:lineRule="atLeast"/>
      <w:textAlignment w:val="baseline"/>
    </w:pPr>
    <w:rPr>
      <w:rFonts w:ascii="Arial" w:eastAsia="Times New Roman" w:hAnsi="Arial"/>
      <w:sz w:val="27"/>
      <w:szCs w:val="20"/>
      <w:lang w:eastAsia="ru-RU"/>
    </w:rPr>
  </w:style>
  <w:style w:type="character" w:customStyle="1" w:styleId="321">
    <w:name w:val="Основной текст (32)_"/>
    <w:link w:val="320"/>
    <w:rsid w:val="00D70979"/>
    <w:rPr>
      <w:rFonts w:ascii="Arial" w:eastAsia="Times New Roman" w:hAnsi="Arial" w:cs="Times New Roman"/>
      <w:sz w:val="27"/>
      <w:szCs w:val="20"/>
      <w:shd w:val="clear" w:color="auto" w:fill="FFFFFF"/>
      <w:lang w:eastAsia="ru-RU"/>
    </w:rPr>
  </w:style>
  <w:style w:type="character" w:customStyle="1" w:styleId="ArialNarrow-1pt">
    <w:name w:val="Основной текст + Arial Narrow;Полужирный;Интервал -1 pt"/>
    <w:rsid w:val="00311E88"/>
    <w:rPr>
      <w:rFonts w:ascii="Arial Narrow" w:eastAsia="Arial Narrow" w:hAnsi="Arial Narrow" w:cs="Arial Narrow"/>
      <w:b/>
      <w:bCs/>
      <w:i w:val="0"/>
      <w:iCs w:val="0"/>
      <w:smallCaps w:val="0"/>
      <w:strike w:val="0"/>
      <w:spacing w:val="-20"/>
      <w:sz w:val="17"/>
      <w:szCs w:val="17"/>
      <w:shd w:val="clear" w:color="auto" w:fill="FFFFFF"/>
    </w:rPr>
  </w:style>
  <w:style w:type="character" w:customStyle="1" w:styleId="230">
    <w:name w:val="Основной текст + Полужирный23"/>
    <w:aliases w:val="Курсив12"/>
    <w:uiPriority w:val="99"/>
    <w:rsid w:val="00414BE3"/>
    <w:rPr>
      <w:rFonts w:ascii="Arial Narrow" w:hAnsi="Arial Narrow" w:cs="Arial Narrow"/>
      <w:b/>
      <w:bCs/>
      <w:i/>
      <w:iCs/>
      <w:spacing w:val="0"/>
      <w:sz w:val="18"/>
      <w:szCs w:val="18"/>
      <w:shd w:val="clear" w:color="auto" w:fill="FFFFFF"/>
    </w:rPr>
  </w:style>
  <w:style w:type="character" w:customStyle="1" w:styleId="152">
    <w:name w:val="Основной текст + Курсив15"/>
    <w:uiPriority w:val="99"/>
    <w:rsid w:val="00414BE3"/>
    <w:rPr>
      <w:rFonts w:ascii="Arial Narrow" w:hAnsi="Arial Narrow" w:cs="Arial Narrow"/>
      <w:i/>
      <w:iCs/>
      <w:spacing w:val="0"/>
      <w:sz w:val="18"/>
      <w:szCs w:val="18"/>
      <w:shd w:val="clear" w:color="auto" w:fill="FFFFFF"/>
    </w:rPr>
  </w:style>
  <w:style w:type="character" w:customStyle="1" w:styleId="221">
    <w:name w:val="Основной текст + Полужирный22"/>
    <w:uiPriority w:val="99"/>
    <w:rsid w:val="00414BE3"/>
    <w:rPr>
      <w:rFonts w:ascii="Arial Narrow" w:hAnsi="Arial Narrow" w:cs="Arial Narrow"/>
      <w:b/>
      <w:bCs/>
      <w:spacing w:val="0"/>
      <w:sz w:val="18"/>
      <w:szCs w:val="18"/>
      <w:shd w:val="clear" w:color="auto" w:fill="FFFFFF"/>
    </w:rPr>
  </w:style>
  <w:style w:type="character" w:customStyle="1" w:styleId="93">
    <w:name w:val="Основной текст + 93"/>
    <w:aliases w:val="5 pt25,Полужирный19,Интервал 0 pt13,Основной текст + 813,Малые прописные8,Основной текст + 75"/>
    <w:uiPriority w:val="99"/>
    <w:rsid w:val="00EC515D"/>
    <w:rPr>
      <w:rFonts w:ascii="Arial Narrow" w:hAnsi="Arial Narrow" w:cs="Arial Narrow"/>
      <w:b/>
      <w:bCs/>
      <w:spacing w:val="-10"/>
      <w:sz w:val="19"/>
      <w:szCs w:val="19"/>
      <w:shd w:val="clear" w:color="auto" w:fill="FFFFFF"/>
    </w:rPr>
  </w:style>
  <w:style w:type="character" w:customStyle="1" w:styleId="51MicrosoftSansSerif">
    <w:name w:val="Основной текст (51) + Microsoft Sans Serif"/>
    <w:aliases w:val="74,5 pt18,Не полужирный8,Основной текст (9) + 81,Основной текст + 73"/>
    <w:uiPriority w:val="99"/>
    <w:rsid w:val="00EC515D"/>
    <w:rPr>
      <w:rFonts w:ascii="Microsoft Sans Serif" w:hAnsi="Microsoft Sans Serif" w:cs="Microsoft Sans Serif"/>
      <w:b w:val="0"/>
      <w:bCs w:val="0"/>
      <w:sz w:val="15"/>
      <w:szCs w:val="15"/>
      <w:shd w:val="clear" w:color="auto" w:fill="FFFFFF"/>
    </w:rPr>
  </w:style>
  <w:style w:type="character" w:customStyle="1" w:styleId="15MSReferenceSansSerif1">
    <w:name w:val="Основной текст (15) + MS Reference Sans Serif1"/>
    <w:aliases w:val="62,5 pt9,Не курсив1,Основной текст + 85,Основной текст (2) + Полужирный1,Колонтитул + Century Gothic,Основной текст (5) + Полужирный2,Основной текст (22) + Times New Roman,41"/>
    <w:uiPriority w:val="99"/>
    <w:rsid w:val="00EC515D"/>
    <w:rPr>
      <w:rFonts w:ascii="MS Reference Sans Serif" w:hAnsi="MS Reference Sans Serif" w:cs="MS Reference Sans Serif"/>
      <w:i w:val="0"/>
      <w:iCs w:val="0"/>
      <w:spacing w:val="0"/>
      <w:sz w:val="13"/>
      <w:szCs w:val="13"/>
      <w:shd w:val="clear" w:color="auto" w:fill="FFFFFF"/>
    </w:rPr>
  </w:style>
  <w:style w:type="character" w:customStyle="1" w:styleId="920">
    <w:name w:val="Основной текст + 92"/>
    <w:aliases w:val="5 pt8,Полужирный11,Интервал 0 pt9,Колонтитул + Segoe UI,12"/>
    <w:uiPriority w:val="99"/>
    <w:rsid w:val="00EC515D"/>
    <w:rPr>
      <w:rFonts w:ascii="Arial Narrow" w:hAnsi="Arial Narrow" w:cs="Arial Narrow"/>
      <w:b/>
      <w:bCs/>
      <w:spacing w:val="-10"/>
      <w:sz w:val="19"/>
      <w:szCs w:val="19"/>
      <w:shd w:val="clear" w:color="auto" w:fill="FFFFFF"/>
    </w:rPr>
  </w:style>
  <w:style w:type="character" w:customStyle="1" w:styleId="147">
    <w:name w:val="Основной текст (14) + 7"/>
    <w:aliases w:val="5 pt6,Не полужирный2,Основной текст + 101,Малые прописные3,Основной текст (4) + 7 pt,Основной текст + 72"/>
    <w:uiPriority w:val="99"/>
    <w:rsid w:val="00EC515D"/>
    <w:rPr>
      <w:rFonts w:ascii="Arial Narrow" w:hAnsi="Arial Narrow" w:cs="Arial Narrow"/>
      <w:b w:val="0"/>
      <w:bCs w:val="0"/>
      <w:spacing w:val="0"/>
      <w:sz w:val="15"/>
      <w:szCs w:val="15"/>
      <w:shd w:val="clear" w:color="auto" w:fill="FFFFFF"/>
    </w:rPr>
  </w:style>
  <w:style w:type="paragraph" w:customStyle="1" w:styleId="910">
    <w:name w:val="Основной текст (9)1"/>
    <w:basedOn w:val="a"/>
    <w:uiPriority w:val="99"/>
    <w:rsid w:val="00EC515D"/>
    <w:pPr>
      <w:shd w:val="clear" w:color="auto" w:fill="FFFFFF"/>
      <w:spacing w:after="60" w:line="240" w:lineRule="atLeast"/>
    </w:pPr>
    <w:rPr>
      <w:rFonts w:ascii="Arial" w:eastAsia="Arial Unicode MS" w:hAnsi="Arial" w:cs="Arial"/>
      <w:i/>
      <w:iCs/>
      <w:sz w:val="15"/>
      <w:szCs w:val="15"/>
      <w:lang w:eastAsia="ru-RU"/>
    </w:rPr>
  </w:style>
  <w:style w:type="character" w:customStyle="1" w:styleId="ucoz-forum-post">
    <w:name w:val="ucoz-forum-post"/>
    <w:rsid w:val="00D9700C"/>
  </w:style>
  <w:style w:type="character" w:customStyle="1" w:styleId="59">
    <w:name w:val="Основной текст5"/>
    <w:rsid w:val="00D86EA0"/>
    <w:rPr>
      <w:rFonts w:ascii="Arial" w:eastAsia="Arial" w:hAnsi="Arial" w:cs="Arial"/>
      <w:b w:val="0"/>
      <w:bCs w:val="0"/>
      <w:i w:val="0"/>
      <w:iCs w:val="0"/>
      <w:smallCaps w:val="0"/>
      <w:strike w:val="0"/>
      <w:spacing w:val="0"/>
      <w:sz w:val="18"/>
      <w:szCs w:val="18"/>
      <w:shd w:val="clear" w:color="auto" w:fill="FFFFFF"/>
    </w:rPr>
  </w:style>
  <w:style w:type="character" w:customStyle="1" w:styleId="5a">
    <w:name w:val="Основной текст (5)_"/>
    <w:link w:val="5b"/>
    <w:rsid w:val="00D86EA0"/>
    <w:rPr>
      <w:rFonts w:ascii="Times New Roman" w:eastAsia="Times New Roman" w:hAnsi="Times New Roman"/>
      <w:sz w:val="17"/>
      <w:szCs w:val="17"/>
      <w:shd w:val="clear" w:color="auto" w:fill="FFFFFF"/>
    </w:rPr>
  </w:style>
  <w:style w:type="paragraph" w:customStyle="1" w:styleId="5b">
    <w:name w:val="Основной текст (5)"/>
    <w:basedOn w:val="a"/>
    <w:link w:val="5a"/>
    <w:rsid w:val="00D86EA0"/>
    <w:pPr>
      <w:shd w:val="clear" w:color="auto" w:fill="FFFFFF"/>
      <w:spacing w:before="120" w:after="0" w:line="202" w:lineRule="exact"/>
      <w:jc w:val="both"/>
    </w:pPr>
    <w:rPr>
      <w:rFonts w:ascii="Times New Roman" w:eastAsia="Times New Roman" w:hAnsi="Times New Roman"/>
      <w:sz w:val="17"/>
      <w:szCs w:val="17"/>
      <w:lang w:eastAsia="ru-RU"/>
    </w:rPr>
  </w:style>
  <w:style w:type="paragraph" w:customStyle="1" w:styleId="book">
    <w:name w:val="book"/>
    <w:basedOn w:val="a"/>
    <w:rsid w:val="00D86EA0"/>
    <w:pPr>
      <w:spacing w:after="0" w:line="240" w:lineRule="auto"/>
      <w:ind w:firstLine="300"/>
    </w:pPr>
    <w:rPr>
      <w:rFonts w:ascii="Times New Roman" w:eastAsia="Times New Roman" w:hAnsi="Times New Roman"/>
      <w:sz w:val="24"/>
      <w:szCs w:val="24"/>
      <w:lang w:eastAsia="ru-RU"/>
    </w:rPr>
  </w:style>
  <w:style w:type="character" w:customStyle="1" w:styleId="7TimesNewRoman1">
    <w:name w:val="Основной текст (7) + Times New Roman1"/>
    <w:aliases w:val="8 pt1,Не полужирный4,Интервал -1 pt1,Заголовок №5 + Century Gothic"/>
    <w:uiPriority w:val="99"/>
    <w:rsid w:val="00D86EA0"/>
    <w:rPr>
      <w:rFonts w:ascii="Times New Roman" w:eastAsia="Times New Roman" w:hAnsi="Times New Roman" w:cs="Times New Roman"/>
      <w:b w:val="0"/>
      <w:bCs w:val="0"/>
      <w:i w:val="0"/>
      <w:iCs w:val="0"/>
      <w:smallCaps w:val="0"/>
      <w:strike/>
      <w:spacing w:val="-20"/>
      <w:sz w:val="16"/>
      <w:szCs w:val="16"/>
    </w:rPr>
  </w:style>
  <w:style w:type="character" w:customStyle="1" w:styleId="Bodytext2">
    <w:name w:val="Body text (2)"/>
    <w:rsid w:val="00C71B1D"/>
    <w:rPr>
      <w:rFonts w:ascii="Times New Roman" w:eastAsia="Times New Roman" w:hAnsi="Times New Roman" w:cs="Times New Roman"/>
      <w:b w:val="0"/>
      <w:bCs w:val="0"/>
      <w:i w:val="0"/>
      <w:iCs w:val="0"/>
      <w:smallCaps w:val="0"/>
      <w:strike w:val="0"/>
      <w:spacing w:val="0"/>
      <w:sz w:val="18"/>
      <w:szCs w:val="18"/>
    </w:rPr>
  </w:style>
  <w:style w:type="character" w:customStyle="1" w:styleId="Bodytext">
    <w:name w:val="Body text_"/>
    <w:link w:val="621"/>
    <w:uiPriority w:val="99"/>
    <w:rsid w:val="00C71B1D"/>
    <w:rPr>
      <w:rFonts w:ascii="Times New Roman" w:eastAsia="Times New Roman" w:hAnsi="Times New Roman"/>
      <w:shd w:val="clear" w:color="auto" w:fill="FFFFFF"/>
    </w:rPr>
  </w:style>
  <w:style w:type="paragraph" w:customStyle="1" w:styleId="621">
    <w:name w:val="Основной текст62"/>
    <w:basedOn w:val="a"/>
    <w:link w:val="Bodytext"/>
    <w:uiPriority w:val="99"/>
    <w:rsid w:val="00C71B1D"/>
    <w:pPr>
      <w:shd w:val="clear" w:color="auto" w:fill="FFFFFF"/>
      <w:spacing w:before="420" w:after="0" w:line="216" w:lineRule="exact"/>
      <w:jc w:val="both"/>
    </w:pPr>
    <w:rPr>
      <w:rFonts w:ascii="Times New Roman" w:eastAsia="Times New Roman" w:hAnsi="Times New Roman"/>
      <w:sz w:val="20"/>
      <w:szCs w:val="20"/>
      <w:lang w:eastAsia="ru-RU"/>
    </w:rPr>
  </w:style>
  <w:style w:type="character" w:customStyle="1" w:styleId="Heading22">
    <w:name w:val="Heading #2 (2)"/>
    <w:rsid w:val="00C71B1D"/>
    <w:rPr>
      <w:rFonts w:ascii="Times New Roman" w:eastAsia="Times New Roman" w:hAnsi="Times New Roman" w:cs="Times New Roman"/>
      <w:b w:val="0"/>
      <w:bCs w:val="0"/>
      <w:i w:val="0"/>
      <w:iCs w:val="0"/>
      <w:smallCaps w:val="0"/>
      <w:strike w:val="0"/>
      <w:spacing w:val="0"/>
      <w:sz w:val="23"/>
      <w:szCs w:val="23"/>
    </w:rPr>
  </w:style>
  <w:style w:type="character" w:customStyle="1" w:styleId="1c">
    <w:name w:val="Основной текст Знак1"/>
    <w:uiPriority w:val="99"/>
    <w:rsid w:val="002F4B64"/>
    <w:rPr>
      <w:rFonts w:ascii="Arial Narrow" w:hAnsi="Arial Narrow" w:cs="Arial Narrow"/>
      <w:sz w:val="18"/>
      <w:szCs w:val="18"/>
      <w:shd w:val="clear" w:color="auto" w:fill="FFFFFF"/>
    </w:rPr>
  </w:style>
  <w:style w:type="paragraph" w:customStyle="1" w:styleId="1010">
    <w:name w:val="Основной текст (10)1"/>
    <w:basedOn w:val="a"/>
    <w:uiPriority w:val="99"/>
    <w:rsid w:val="002F4B64"/>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104">
    <w:name w:val="Основной текст (10)_"/>
    <w:link w:val="105"/>
    <w:rsid w:val="002F4B64"/>
    <w:rPr>
      <w:rFonts w:ascii="Times New Roman" w:eastAsia="Times New Roman" w:hAnsi="Times New Roman"/>
      <w:shd w:val="clear" w:color="auto" w:fill="FFFFFF"/>
    </w:rPr>
  </w:style>
  <w:style w:type="paragraph" w:customStyle="1" w:styleId="105">
    <w:name w:val="Основной текст (10)"/>
    <w:basedOn w:val="a"/>
    <w:link w:val="104"/>
    <w:rsid w:val="002F4B64"/>
    <w:pPr>
      <w:shd w:val="clear" w:color="auto" w:fill="FFFFFF"/>
      <w:spacing w:after="0" w:line="0" w:lineRule="atLeast"/>
    </w:pPr>
    <w:rPr>
      <w:rFonts w:ascii="Times New Roman" w:eastAsia="Times New Roman" w:hAnsi="Times New Roman"/>
      <w:sz w:val="20"/>
      <w:szCs w:val="20"/>
      <w:lang w:eastAsia="ru-RU"/>
    </w:rPr>
  </w:style>
  <w:style w:type="character" w:customStyle="1" w:styleId="251">
    <w:name w:val="Основной текст + Полужирный25"/>
    <w:uiPriority w:val="99"/>
    <w:rsid w:val="002F4B64"/>
    <w:rPr>
      <w:rFonts w:ascii="Arial Narrow" w:hAnsi="Arial Narrow" w:cs="Arial Narrow"/>
      <w:b/>
      <w:bCs/>
      <w:spacing w:val="0"/>
      <w:sz w:val="18"/>
      <w:szCs w:val="18"/>
      <w:shd w:val="clear" w:color="auto" w:fill="FFFFFF"/>
    </w:rPr>
  </w:style>
  <w:style w:type="character" w:customStyle="1" w:styleId="9100">
    <w:name w:val="Основной текст + 910"/>
    <w:aliases w:val="5 pt36,Полужирный35,Интервал 0 pt23,Основной текст (4) + 11 pt"/>
    <w:uiPriority w:val="99"/>
    <w:rsid w:val="002F4B64"/>
    <w:rPr>
      <w:rFonts w:ascii="Arial Narrow" w:hAnsi="Arial Narrow" w:cs="Arial Narrow"/>
      <w:b/>
      <w:bCs/>
      <w:spacing w:val="-10"/>
      <w:sz w:val="19"/>
      <w:szCs w:val="19"/>
      <w:shd w:val="clear" w:color="auto" w:fill="FFFFFF"/>
    </w:rPr>
  </w:style>
  <w:style w:type="character" w:customStyle="1" w:styleId="1013">
    <w:name w:val="Основной текст (10) + Не курсив13"/>
    <w:uiPriority w:val="99"/>
    <w:rsid w:val="002F4B64"/>
    <w:rPr>
      <w:rFonts w:ascii="Arial Narrow" w:eastAsia="Times New Roman" w:hAnsi="Arial Narrow" w:cs="Arial Narrow"/>
      <w:spacing w:val="0"/>
      <w:sz w:val="18"/>
      <w:szCs w:val="18"/>
      <w:shd w:val="clear" w:color="auto" w:fill="FFFFFF"/>
    </w:rPr>
  </w:style>
  <w:style w:type="character" w:customStyle="1" w:styleId="161">
    <w:name w:val="Основной текст + Курсив16"/>
    <w:uiPriority w:val="99"/>
    <w:rsid w:val="002F4B64"/>
    <w:rPr>
      <w:rFonts w:ascii="Arial Narrow" w:hAnsi="Arial Narrow" w:cs="Arial Narrow"/>
      <w:i/>
      <w:iCs/>
      <w:spacing w:val="0"/>
      <w:sz w:val="18"/>
      <w:szCs w:val="18"/>
      <w:shd w:val="clear" w:color="auto" w:fill="FFFFFF"/>
    </w:rPr>
  </w:style>
  <w:style w:type="character" w:customStyle="1" w:styleId="241">
    <w:name w:val="Основной текст + Полужирный24"/>
    <w:aliases w:val="Курсив13"/>
    <w:uiPriority w:val="99"/>
    <w:rsid w:val="002F4B64"/>
    <w:rPr>
      <w:rFonts w:ascii="Arial Narrow" w:hAnsi="Arial Narrow" w:cs="Arial Narrow"/>
      <w:b/>
      <w:bCs/>
      <w:i/>
      <w:iCs/>
      <w:spacing w:val="0"/>
      <w:sz w:val="18"/>
      <w:szCs w:val="18"/>
      <w:shd w:val="clear" w:color="auto" w:fill="FFFFFF"/>
    </w:rPr>
  </w:style>
  <w:style w:type="character" w:customStyle="1" w:styleId="1050">
    <w:name w:val="Основной текст (10) + Полужирный5"/>
    <w:uiPriority w:val="99"/>
    <w:rsid w:val="002F4B64"/>
    <w:rPr>
      <w:rFonts w:ascii="Arial Narrow" w:eastAsia="Times New Roman" w:hAnsi="Arial Narrow" w:cs="Arial Narrow"/>
      <w:b/>
      <w:bCs/>
      <w:i/>
      <w:iCs/>
      <w:spacing w:val="0"/>
      <w:sz w:val="18"/>
      <w:szCs w:val="18"/>
      <w:shd w:val="clear" w:color="auto" w:fill="FFFFFF"/>
    </w:rPr>
  </w:style>
  <w:style w:type="character" w:customStyle="1" w:styleId="66">
    <w:name w:val="Основной текст6"/>
    <w:rsid w:val="00417DE1"/>
    <w:rPr>
      <w:rFonts w:ascii="Arial" w:eastAsia="Arial" w:hAnsi="Arial" w:cs="Arial"/>
      <w:b w:val="0"/>
      <w:bCs w:val="0"/>
      <w:i w:val="0"/>
      <w:iCs w:val="0"/>
      <w:smallCaps w:val="0"/>
      <w:strike w:val="0"/>
      <w:spacing w:val="0"/>
      <w:sz w:val="18"/>
      <w:szCs w:val="18"/>
      <w:shd w:val="clear" w:color="auto" w:fill="FFFFFF"/>
    </w:rPr>
  </w:style>
  <w:style w:type="character" w:customStyle="1" w:styleId="MSGothic">
    <w:name w:val="Основной текст + MS Gothic"/>
    <w:aliases w:val="76,5 pt41,Основной текст (2) + Trebuchet MS23,5 pt121,Body text + Candara3,5 pt73"/>
    <w:uiPriority w:val="99"/>
    <w:rsid w:val="00714AC7"/>
    <w:rPr>
      <w:rFonts w:ascii="MS Gothic" w:eastAsia="MS Gothic" w:hAnsi="Arial Narrow" w:cs="MS Gothic"/>
      <w:noProof/>
      <w:spacing w:val="0"/>
      <w:sz w:val="15"/>
      <w:szCs w:val="15"/>
      <w:shd w:val="clear" w:color="auto" w:fill="FFFFFF"/>
    </w:rPr>
  </w:style>
  <w:style w:type="character" w:customStyle="1" w:styleId="MSReferenceSansSerif">
    <w:name w:val="Основной текст + MS Reference Sans Serif"/>
    <w:aliases w:val="67,5 pt40,Основной текст (2) + 76"/>
    <w:uiPriority w:val="99"/>
    <w:rsid w:val="00714AC7"/>
    <w:rPr>
      <w:rFonts w:ascii="MS Reference Sans Serif" w:hAnsi="MS Reference Sans Serif" w:cs="MS Reference Sans Serif"/>
      <w:spacing w:val="0"/>
      <w:sz w:val="13"/>
      <w:szCs w:val="13"/>
      <w:shd w:val="clear" w:color="auto" w:fill="FFFFFF"/>
    </w:rPr>
  </w:style>
  <w:style w:type="paragraph" w:customStyle="1" w:styleId="heading3">
    <w:name w:val="heading3"/>
    <w:basedOn w:val="a"/>
    <w:rsid w:val="001F06C5"/>
    <w:pPr>
      <w:spacing w:before="180" w:after="180" w:line="240" w:lineRule="auto"/>
      <w:jc w:val="center"/>
    </w:pPr>
    <w:rPr>
      <w:rFonts w:ascii="Arial" w:eastAsia="Times New Roman" w:hAnsi="Arial" w:cs="Arial"/>
      <w:b/>
      <w:bCs/>
      <w:color w:val="000000"/>
      <w:sz w:val="24"/>
      <w:szCs w:val="24"/>
      <w:lang w:eastAsia="ru-RU"/>
    </w:rPr>
  </w:style>
  <w:style w:type="paragraph" w:customStyle="1" w:styleId="rteindent11">
    <w:name w:val="rteindent11"/>
    <w:basedOn w:val="a"/>
    <w:rsid w:val="009C5E2F"/>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106">
    <w:name w:val="Основной текст (10) + Полужирный6"/>
    <w:uiPriority w:val="99"/>
    <w:rsid w:val="000F083A"/>
    <w:rPr>
      <w:rFonts w:ascii="Arial Narrow" w:eastAsia="Times New Roman" w:hAnsi="Arial Narrow" w:cs="Arial Narrow"/>
      <w:b/>
      <w:bCs/>
      <w:i/>
      <w:iCs/>
      <w:smallCaps w:val="0"/>
      <w:strike w:val="0"/>
      <w:spacing w:val="0"/>
      <w:sz w:val="18"/>
      <w:szCs w:val="18"/>
    </w:rPr>
  </w:style>
  <w:style w:type="character" w:customStyle="1" w:styleId="1015">
    <w:name w:val="Основной текст (10) + Не курсив15"/>
    <w:uiPriority w:val="99"/>
    <w:rsid w:val="000F083A"/>
    <w:rPr>
      <w:rFonts w:ascii="Arial Narrow" w:eastAsia="Times New Roman" w:hAnsi="Arial Narrow" w:cs="Arial Narrow"/>
      <w:b w:val="0"/>
      <w:bCs w:val="0"/>
      <w:i w:val="0"/>
      <w:iCs w:val="0"/>
      <w:smallCaps w:val="0"/>
      <w:strike w:val="0"/>
      <w:spacing w:val="0"/>
      <w:sz w:val="18"/>
      <w:szCs w:val="18"/>
    </w:rPr>
  </w:style>
  <w:style w:type="character" w:customStyle="1" w:styleId="1d">
    <w:name w:val="Основной текст + Полужирный1"/>
    <w:uiPriority w:val="99"/>
    <w:rsid w:val="001444FD"/>
    <w:rPr>
      <w:rFonts w:ascii="Arial Narrow" w:hAnsi="Arial Narrow" w:cs="Arial Narrow"/>
      <w:b/>
      <w:bCs/>
      <w:spacing w:val="0"/>
      <w:sz w:val="18"/>
      <w:szCs w:val="18"/>
      <w:shd w:val="clear" w:color="auto" w:fill="FFFFFF"/>
    </w:rPr>
  </w:style>
  <w:style w:type="paragraph" w:customStyle="1" w:styleId="1e">
    <w:name w:val="Сноска1"/>
    <w:basedOn w:val="a"/>
    <w:uiPriority w:val="99"/>
    <w:rsid w:val="001444FD"/>
    <w:pPr>
      <w:shd w:val="clear" w:color="auto" w:fill="FFFFFF"/>
      <w:spacing w:after="0" w:line="216" w:lineRule="exact"/>
    </w:pPr>
    <w:rPr>
      <w:rFonts w:ascii="Arial" w:eastAsia="Arial Unicode MS" w:hAnsi="Arial" w:cs="Arial"/>
      <w:sz w:val="18"/>
      <w:szCs w:val="18"/>
      <w:lang w:eastAsia="ru-RU"/>
    </w:rPr>
  </w:style>
  <w:style w:type="character" w:customStyle="1" w:styleId="99">
    <w:name w:val="Основной текст + 99"/>
    <w:aliases w:val="5 pt35,Полужирный33,Интервал 0 pt22,Основной текст + 819,Основной текст (5) + Не курсив4"/>
    <w:uiPriority w:val="99"/>
    <w:rsid w:val="00057A35"/>
    <w:rPr>
      <w:rFonts w:ascii="Arial Narrow" w:hAnsi="Arial Narrow" w:cs="Arial Narrow"/>
      <w:b/>
      <w:bCs/>
      <w:spacing w:val="-10"/>
      <w:sz w:val="19"/>
      <w:szCs w:val="19"/>
      <w:shd w:val="clear" w:color="auto" w:fill="FFFFFF"/>
    </w:rPr>
  </w:style>
  <w:style w:type="character" w:customStyle="1" w:styleId="14Arial">
    <w:name w:val="Основной текст (14) + Arial"/>
    <w:aliases w:val="75,5 pt26,Не полужирный12,Интервал 0 pt14,Основной текст + 814,Малые прописные9,Основной текст (9) + Не полужирный,Основной текст + 76"/>
    <w:uiPriority w:val="99"/>
    <w:rsid w:val="00057A35"/>
    <w:rPr>
      <w:rFonts w:ascii="Arial" w:hAnsi="Arial" w:cs="Arial"/>
      <w:b w:val="0"/>
      <w:bCs w:val="0"/>
      <w:spacing w:val="-10"/>
      <w:sz w:val="15"/>
      <w:szCs w:val="15"/>
      <w:shd w:val="clear" w:color="auto" w:fill="FFFFFF"/>
    </w:rPr>
  </w:style>
  <w:style w:type="character" w:customStyle="1" w:styleId="49MSReferenceSansSerif">
    <w:name w:val="Основной текст (49) + MS Reference Sans Serif"/>
    <w:aliases w:val="66,5 pt24,Основной текст + 812"/>
    <w:uiPriority w:val="99"/>
    <w:rsid w:val="00057A35"/>
    <w:rPr>
      <w:rFonts w:ascii="MS Reference Sans Serif" w:hAnsi="MS Reference Sans Serif" w:cs="MS Reference Sans Serif"/>
      <w:b/>
      <w:bCs/>
      <w:i/>
      <w:iCs/>
      <w:sz w:val="13"/>
      <w:szCs w:val="13"/>
      <w:shd w:val="clear" w:color="auto" w:fill="FFFFFF"/>
    </w:rPr>
  </w:style>
  <w:style w:type="character" w:customStyle="1" w:styleId="2410">
    <w:name w:val="Основной текст + 241"/>
    <w:aliases w:val="5 pt20,Полужирный16,Основной текст + 811,Малые прописные7,Основной текст + 74"/>
    <w:uiPriority w:val="99"/>
    <w:rsid w:val="00057A35"/>
    <w:rPr>
      <w:rFonts w:ascii="Arial Narrow" w:hAnsi="Arial Narrow" w:cs="Arial Narrow"/>
      <w:b/>
      <w:bCs/>
      <w:noProof/>
      <w:spacing w:val="0"/>
      <w:sz w:val="49"/>
      <w:szCs w:val="49"/>
      <w:shd w:val="clear" w:color="auto" w:fill="FFFFFF"/>
    </w:rPr>
  </w:style>
  <w:style w:type="character" w:customStyle="1" w:styleId="51Arial">
    <w:name w:val="Основной текст (51) + Arial"/>
    <w:aliases w:val="73,5 pt17,Не полужирный7,Основной текст + 810,Основной текст (2) + SimHei"/>
    <w:uiPriority w:val="99"/>
    <w:rsid w:val="00057A35"/>
    <w:rPr>
      <w:rFonts w:ascii="Arial" w:hAnsi="Arial" w:cs="Arial"/>
      <w:b w:val="0"/>
      <w:bCs w:val="0"/>
      <w:sz w:val="15"/>
      <w:szCs w:val="15"/>
      <w:shd w:val="clear" w:color="auto" w:fill="FFFFFF"/>
    </w:rPr>
  </w:style>
  <w:style w:type="character" w:customStyle="1" w:styleId="5110">
    <w:name w:val="Основной текст (51) + 10"/>
    <w:aliases w:val="5 pt16,Основной текст + 89,Основной текст (19) + Segoe UI"/>
    <w:uiPriority w:val="99"/>
    <w:rsid w:val="00057A35"/>
    <w:rPr>
      <w:rFonts w:ascii="Times New Roman" w:hAnsi="Times New Roman" w:cs="Times New Roman"/>
      <w:b/>
      <w:bCs/>
      <w:noProof/>
      <w:sz w:val="21"/>
      <w:szCs w:val="21"/>
      <w:shd w:val="clear" w:color="auto" w:fill="FFFFFF"/>
    </w:rPr>
  </w:style>
  <w:style w:type="character" w:customStyle="1" w:styleId="58ArialNarrow">
    <w:name w:val="Основной текст (58) + Arial Narrow"/>
    <w:aliases w:val="72,5 pt11,Не полужирный6,Основной текст + 86,Основной текст (2) + SimHei1"/>
    <w:uiPriority w:val="99"/>
    <w:rsid w:val="00057A35"/>
    <w:rPr>
      <w:rFonts w:ascii="Arial Narrow" w:hAnsi="Arial Narrow" w:cs="Arial Narrow"/>
      <w:b w:val="0"/>
      <w:bCs w:val="0"/>
      <w:spacing w:val="0"/>
      <w:sz w:val="15"/>
      <w:szCs w:val="15"/>
      <w:shd w:val="clear" w:color="auto" w:fill="FFFFFF"/>
    </w:rPr>
  </w:style>
  <w:style w:type="character" w:customStyle="1" w:styleId="88">
    <w:name w:val="Основной текст + 88"/>
    <w:aliases w:val="5 pt15,Малые прописные6"/>
    <w:uiPriority w:val="99"/>
    <w:rsid w:val="00057A35"/>
    <w:rPr>
      <w:rFonts w:ascii="Arial" w:hAnsi="Arial" w:cs="Arial"/>
      <w:smallCaps/>
      <w:spacing w:val="0"/>
      <w:sz w:val="17"/>
      <w:szCs w:val="17"/>
      <w:u w:val="single"/>
      <w:shd w:val="clear" w:color="auto" w:fill="FFFFFF"/>
    </w:rPr>
  </w:style>
  <w:style w:type="character" w:customStyle="1" w:styleId="4c">
    <w:name w:val="Основной текст (4) + Не курсив"/>
    <w:rsid w:val="00282955"/>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Bodytext14">
    <w:name w:val="Body text (14)_"/>
    <w:link w:val="Bodytext141"/>
    <w:uiPriority w:val="99"/>
    <w:rsid w:val="00282955"/>
    <w:rPr>
      <w:rFonts w:ascii="Times New Roman" w:hAnsi="Times New Roman"/>
      <w:i/>
      <w:iCs/>
      <w:sz w:val="21"/>
      <w:szCs w:val="21"/>
      <w:shd w:val="clear" w:color="auto" w:fill="FFFFFF"/>
    </w:rPr>
  </w:style>
  <w:style w:type="paragraph" w:customStyle="1" w:styleId="Bodytext141">
    <w:name w:val="Body text (14)1"/>
    <w:basedOn w:val="a"/>
    <w:link w:val="Bodytext14"/>
    <w:uiPriority w:val="99"/>
    <w:rsid w:val="00282955"/>
    <w:pPr>
      <w:shd w:val="clear" w:color="auto" w:fill="FFFFFF"/>
      <w:spacing w:after="0" w:line="240" w:lineRule="atLeast"/>
      <w:ind w:hanging="340"/>
    </w:pPr>
    <w:rPr>
      <w:rFonts w:ascii="Times New Roman" w:hAnsi="Times New Roman"/>
      <w:i/>
      <w:iCs/>
      <w:sz w:val="21"/>
      <w:szCs w:val="21"/>
      <w:lang w:eastAsia="ru-RU"/>
    </w:rPr>
  </w:style>
  <w:style w:type="character" w:customStyle="1" w:styleId="75">
    <w:name w:val="Основной текст (7) + Не курсив"/>
    <w:rsid w:val="00282955"/>
    <w:rPr>
      <w:rFonts w:ascii="Arial Narrow" w:eastAsia="Arial Narrow" w:hAnsi="Arial Narrow" w:cs="Arial Narrow"/>
      <w:b w:val="0"/>
      <w:bCs w:val="0"/>
      <w:i/>
      <w:iCs/>
      <w:smallCaps w:val="0"/>
      <w:strike w:val="0"/>
      <w:spacing w:val="0"/>
      <w:sz w:val="19"/>
      <w:szCs w:val="19"/>
    </w:rPr>
  </w:style>
  <w:style w:type="character" w:customStyle="1" w:styleId="75pt">
    <w:name w:val="Основной текст + 7;5 pt;Полужирный"/>
    <w:rsid w:val="00282955"/>
    <w:rPr>
      <w:rFonts w:ascii="Arial Narrow" w:eastAsia="Arial Narrow" w:hAnsi="Arial Narrow" w:cs="Arial Narrow"/>
      <w:b/>
      <w:bCs/>
      <w:i w:val="0"/>
      <w:iCs w:val="0"/>
      <w:smallCaps w:val="0"/>
      <w:strike w:val="0"/>
      <w:spacing w:val="0"/>
      <w:w w:val="100"/>
      <w:sz w:val="15"/>
      <w:szCs w:val="15"/>
    </w:rPr>
  </w:style>
  <w:style w:type="character" w:customStyle="1" w:styleId="76">
    <w:name w:val="Основной текст (7) + Полужирный;Не курсив"/>
    <w:rsid w:val="00282955"/>
    <w:rPr>
      <w:rFonts w:ascii="Arial Narrow" w:eastAsia="Arial Narrow" w:hAnsi="Arial Narrow" w:cs="Arial Narrow"/>
      <w:b/>
      <w:bCs/>
      <w:i/>
      <w:iCs/>
      <w:smallCaps w:val="0"/>
      <w:strike w:val="0"/>
      <w:spacing w:val="0"/>
      <w:sz w:val="18"/>
      <w:szCs w:val="18"/>
    </w:rPr>
  </w:style>
  <w:style w:type="character" w:customStyle="1" w:styleId="BodytextConstantia">
    <w:name w:val="Body text + Constantia"/>
    <w:aliases w:val="91,5 pt10,Bold2"/>
    <w:uiPriority w:val="99"/>
    <w:rsid w:val="00282955"/>
    <w:rPr>
      <w:rFonts w:ascii="Constantia" w:hAnsi="Constantia" w:cs="Constantia"/>
      <w:b/>
      <w:bCs/>
      <w:spacing w:val="0"/>
      <w:sz w:val="19"/>
      <w:szCs w:val="19"/>
    </w:rPr>
  </w:style>
  <w:style w:type="paragraph" w:customStyle="1" w:styleId="123">
    <w:name w:val="Основной текст12"/>
    <w:basedOn w:val="a"/>
    <w:rsid w:val="009812BB"/>
    <w:pPr>
      <w:shd w:val="clear" w:color="auto" w:fill="FFFFFF"/>
      <w:spacing w:after="60" w:line="240" w:lineRule="exact"/>
      <w:jc w:val="center"/>
    </w:pPr>
    <w:rPr>
      <w:rFonts w:ascii="Times New Roman" w:eastAsia="Times New Roman" w:hAnsi="Times New Roman"/>
      <w:sz w:val="23"/>
      <w:szCs w:val="23"/>
    </w:rPr>
  </w:style>
  <w:style w:type="paragraph" w:customStyle="1" w:styleId="Bodytext1">
    <w:name w:val="Body text1"/>
    <w:basedOn w:val="a"/>
    <w:uiPriority w:val="99"/>
    <w:rsid w:val="000D5A0D"/>
    <w:pPr>
      <w:shd w:val="clear" w:color="auto" w:fill="FFFFFF"/>
      <w:spacing w:after="0" w:line="221" w:lineRule="exact"/>
      <w:ind w:hanging="120"/>
      <w:jc w:val="both"/>
    </w:pPr>
    <w:rPr>
      <w:rFonts w:ascii="Arial Narrow" w:eastAsiaTheme="minorHAnsi" w:hAnsi="Arial Narrow" w:cs="Arial Narrow"/>
      <w:sz w:val="18"/>
      <w:szCs w:val="18"/>
    </w:rPr>
  </w:style>
  <w:style w:type="character" w:customStyle="1" w:styleId="BodytextItalic">
    <w:name w:val="Body text + Italic"/>
    <w:basedOn w:val="Bodytext"/>
    <w:uiPriority w:val="99"/>
    <w:rsid w:val="000D5A0D"/>
    <w:rPr>
      <w:rFonts w:ascii="Times New Roman" w:eastAsia="Times New Roman" w:hAnsi="Times New Roman" w:cs="Times New Roman"/>
      <w:b w:val="0"/>
      <w:bCs w:val="0"/>
      <w:i/>
      <w:iCs/>
      <w:smallCaps w:val="0"/>
      <w:strike w:val="0"/>
      <w:spacing w:val="0"/>
      <w:sz w:val="23"/>
      <w:szCs w:val="23"/>
      <w:shd w:val="clear" w:color="auto" w:fill="FFFFFF"/>
    </w:rPr>
  </w:style>
  <w:style w:type="character" w:customStyle="1" w:styleId="77">
    <w:name w:val="Основной текст7"/>
    <w:basedOn w:val="Bodytext"/>
    <w:uiPriority w:val="99"/>
    <w:rsid w:val="00792F77"/>
    <w:rPr>
      <w:rFonts w:ascii="Times New Roman" w:eastAsia="Times New Roman" w:hAnsi="Times New Roman" w:cs="Times New Roman"/>
      <w:b w:val="0"/>
      <w:bCs w:val="0"/>
      <w:i w:val="0"/>
      <w:iCs w:val="0"/>
      <w:smallCaps w:val="0"/>
      <w:strike w:val="0"/>
      <w:spacing w:val="0"/>
      <w:sz w:val="23"/>
      <w:szCs w:val="23"/>
      <w:shd w:val="clear" w:color="auto" w:fill="FFFFFF"/>
    </w:rPr>
  </w:style>
  <w:style w:type="character" w:customStyle="1" w:styleId="Bodytext20">
    <w:name w:val="Body text (2)_"/>
    <w:basedOn w:val="a0"/>
    <w:link w:val="Bodytext21"/>
    <w:rsid w:val="00BD6B74"/>
    <w:rPr>
      <w:rFonts w:ascii="Arial Narrow" w:hAnsi="Arial Narrow" w:cs="Arial Narrow"/>
      <w:i/>
      <w:iCs/>
      <w:sz w:val="18"/>
      <w:szCs w:val="18"/>
      <w:shd w:val="clear" w:color="auto" w:fill="FFFFFF"/>
    </w:rPr>
  </w:style>
  <w:style w:type="paragraph" w:customStyle="1" w:styleId="Bodytext21">
    <w:name w:val="Body text (2)1"/>
    <w:basedOn w:val="a"/>
    <w:link w:val="Bodytext20"/>
    <w:uiPriority w:val="99"/>
    <w:rsid w:val="00BD6B74"/>
    <w:pPr>
      <w:shd w:val="clear" w:color="auto" w:fill="FFFFFF"/>
      <w:spacing w:after="0" w:line="221" w:lineRule="exact"/>
      <w:ind w:hanging="1600"/>
      <w:jc w:val="both"/>
    </w:pPr>
    <w:rPr>
      <w:rFonts w:ascii="Arial Narrow" w:hAnsi="Arial Narrow" w:cs="Arial Narrow"/>
      <w:i/>
      <w:iCs/>
      <w:sz w:val="18"/>
      <w:szCs w:val="18"/>
      <w:lang w:eastAsia="ru-RU"/>
    </w:rPr>
  </w:style>
  <w:style w:type="character" w:customStyle="1" w:styleId="BodytextBold29">
    <w:name w:val="Body text + Bold29"/>
    <w:basedOn w:val="Bodytext"/>
    <w:uiPriority w:val="99"/>
    <w:rsid w:val="00133AA8"/>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BodytextSpacing-1pt">
    <w:name w:val="Body text + Spacing -1 pt"/>
    <w:basedOn w:val="Bodytext"/>
    <w:rsid w:val="00D54008"/>
    <w:rPr>
      <w:rFonts w:ascii="Times New Roman" w:eastAsia="Times New Roman" w:hAnsi="Times New Roman" w:cs="Times New Roman"/>
      <w:b w:val="0"/>
      <w:bCs w:val="0"/>
      <w:i w:val="0"/>
      <w:iCs w:val="0"/>
      <w:smallCaps w:val="0"/>
      <w:strike w:val="0"/>
      <w:spacing w:val="-20"/>
      <w:sz w:val="23"/>
      <w:szCs w:val="23"/>
      <w:shd w:val="clear" w:color="auto" w:fill="FFFFFF"/>
    </w:rPr>
  </w:style>
  <w:style w:type="character" w:customStyle="1" w:styleId="2pt">
    <w:name w:val="Основной текст + Интервал 2 pt"/>
    <w:basedOn w:val="aff1"/>
    <w:rsid w:val="00EE343A"/>
    <w:rPr>
      <w:rFonts w:ascii="Sylfaen" w:eastAsia="Sylfaen" w:hAnsi="Sylfaen" w:cs="Sylfaen"/>
      <w:b w:val="0"/>
      <w:bCs w:val="0"/>
      <w:i w:val="0"/>
      <w:iCs w:val="0"/>
      <w:smallCaps w:val="0"/>
      <w:strike w:val="0"/>
      <w:spacing w:val="40"/>
      <w:sz w:val="19"/>
      <w:szCs w:val="19"/>
      <w:shd w:val="clear" w:color="auto" w:fill="FFFFFF"/>
    </w:rPr>
  </w:style>
  <w:style w:type="character" w:customStyle="1" w:styleId="Garamond85pt">
    <w:name w:val="Основной текст + Garamond;8;5 pt;Курсив"/>
    <w:basedOn w:val="aff1"/>
    <w:rsid w:val="00EE343A"/>
    <w:rPr>
      <w:rFonts w:ascii="Garamond" w:eastAsia="Garamond" w:hAnsi="Garamond" w:cs="Garamond"/>
      <w:b w:val="0"/>
      <w:bCs w:val="0"/>
      <w:i/>
      <w:iCs/>
      <w:smallCaps w:val="0"/>
      <w:strike w:val="0"/>
      <w:spacing w:val="-20"/>
      <w:sz w:val="17"/>
      <w:szCs w:val="17"/>
      <w:shd w:val="clear" w:color="auto" w:fill="FFFFFF"/>
      <w:lang w:val="en-US"/>
    </w:rPr>
  </w:style>
  <w:style w:type="character" w:customStyle="1" w:styleId="75pt0">
    <w:name w:val="Основной текст + 7;5 pt"/>
    <w:basedOn w:val="aff1"/>
    <w:rsid w:val="00EE343A"/>
    <w:rPr>
      <w:rFonts w:ascii="Gungsuh" w:eastAsia="Gungsuh" w:hAnsi="Gungsuh" w:cs="Gungsuh"/>
      <w:b w:val="0"/>
      <w:bCs w:val="0"/>
      <w:i w:val="0"/>
      <w:iCs w:val="0"/>
      <w:smallCaps w:val="0"/>
      <w:strike w:val="0"/>
      <w:spacing w:val="0"/>
      <w:sz w:val="15"/>
      <w:szCs w:val="15"/>
      <w:shd w:val="clear" w:color="auto" w:fill="FFFFFF"/>
    </w:rPr>
  </w:style>
  <w:style w:type="character" w:customStyle="1" w:styleId="8pt-1pt">
    <w:name w:val="Основной текст + 8 pt;Интервал -1 pt"/>
    <w:basedOn w:val="aff1"/>
    <w:rsid w:val="00EE343A"/>
    <w:rPr>
      <w:rFonts w:ascii="Gungsuh" w:eastAsia="Gungsuh" w:hAnsi="Gungsuh" w:cs="Gungsuh"/>
      <w:b w:val="0"/>
      <w:bCs w:val="0"/>
      <w:i w:val="0"/>
      <w:iCs w:val="0"/>
      <w:smallCaps w:val="0"/>
      <w:strike w:val="0"/>
      <w:spacing w:val="-20"/>
      <w:sz w:val="16"/>
      <w:szCs w:val="16"/>
    </w:rPr>
  </w:style>
  <w:style w:type="character" w:customStyle="1" w:styleId="Gulim5pt">
    <w:name w:val="Основной текст + Gulim;5 pt;Курсив"/>
    <w:basedOn w:val="aff1"/>
    <w:rsid w:val="00B00019"/>
    <w:rPr>
      <w:rFonts w:ascii="Gulim" w:eastAsia="Gulim" w:hAnsi="Gulim" w:cs="Gulim"/>
      <w:b w:val="0"/>
      <w:bCs w:val="0"/>
      <w:i/>
      <w:iCs/>
      <w:smallCaps w:val="0"/>
      <w:strike w:val="0"/>
      <w:spacing w:val="0"/>
      <w:sz w:val="10"/>
      <w:szCs w:val="10"/>
      <w:shd w:val="clear" w:color="auto" w:fill="FFFFFF"/>
    </w:rPr>
  </w:style>
  <w:style w:type="character" w:customStyle="1" w:styleId="85pt0pt">
    <w:name w:val="Основной текст + 8;5 pt;Интервал 0 pt"/>
    <w:basedOn w:val="aff1"/>
    <w:rsid w:val="00B00019"/>
    <w:rPr>
      <w:rFonts w:ascii="Century Schoolbook" w:eastAsia="Century Schoolbook" w:hAnsi="Century Schoolbook" w:cs="Century Schoolbook"/>
      <w:b w:val="0"/>
      <w:bCs w:val="0"/>
      <w:i w:val="0"/>
      <w:iCs w:val="0"/>
      <w:smallCaps w:val="0"/>
      <w:strike w:val="0"/>
      <w:spacing w:val="-10"/>
      <w:sz w:val="17"/>
      <w:szCs w:val="17"/>
      <w:shd w:val="clear" w:color="auto" w:fill="FFFFFF"/>
    </w:rPr>
  </w:style>
  <w:style w:type="character" w:customStyle="1" w:styleId="275pt0pt">
    <w:name w:val="Основной текст (2) + 7;5 pt;Полужирный;Не курсив;Интервал 0 pt"/>
    <w:basedOn w:val="2a"/>
    <w:rsid w:val="00B00019"/>
    <w:rPr>
      <w:rFonts w:ascii="Segoe UI" w:hAnsi="Segoe UI" w:cs="Segoe UI"/>
      <w:b/>
      <w:bCs/>
      <w:i/>
      <w:iCs/>
      <w:spacing w:val="0"/>
      <w:sz w:val="15"/>
      <w:szCs w:val="15"/>
      <w:shd w:val="clear" w:color="auto" w:fill="FFFFFF"/>
      <w:lang w:eastAsia="en-US"/>
    </w:rPr>
  </w:style>
  <w:style w:type="character" w:customStyle="1" w:styleId="afff7">
    <w:name w:val="Основной текст + Не полужирный"/>
    <w:basedOn w:val="aff1"/>
    <w:rsid w:val="00B00019"/>
    <w:rPr>
      <w:rFonts w:ascii="Gungsuh" w:eastAsia="Gungsuh" w:hAnsi="Gungsuh" w:cs="Gungsuh"/>
      <w:b/>
      <w:bCs/>
      <w:i w:val="0"/>
      <w:iCs w:val="0"/>
      <w:smallCaps w:val="0"/>
      <w:strike w:val="0"/>
      <w:spacing w:val="0"/>
      <w:sz w:val="15"/>
      <w:szCs w:val="15"/>
    </w:rPr>
  </w:style>
  <w:style w:type="character" w:customStyle="1" w:styleId="Batang95pt1pt">
    <w:name w:val="Основной текст + Batang;9;5 pt;Интервал 1 pt"/>
    <w:basedOn w:val="aff1"/>
    <w:rsid w:val="00F51A95"/>
    <w:rPr>
      <w:rFonts w:ascii="Batang" w:eastAsia="Batang" w:hAnsi="Batang" w:cs="Batang"/>
      <w:b w:val="0"/>
      <w:bCs w:val="0"/>
      <w:i w:val="0"/>
      <w:iCs w:val="0"/>
      <w:smallCaps w:val="0"/>
      <w:strike w:val="0"/>
      <w:spacing w:val="20"/>
      <w:w w:val="100"/>
      <w:sz w:val="19"/>
      <w:szCs w:val="19"/>
      <w:shd w:val="clear" w:color="auto" w:fill="FFFFFF"/>
    </w:rPr>
  </w:style>
  <w:style w:type="character" w:customStyle="1" w:styleId="3d">
    <w:name w:val="Основной текст (3) + Не полужирный"/>
    <w:basedOn w:val="35"/>
    <w:rsid w:val="00F51A95"/>
    <w:rPr>
      <w:rFonts w:ascii="Times New Roman" w:eastAsia="Times New Roman" w:hAnsi="Times New Roman" w:cs="Times New Roman"/>
      <w:b/>
      <w:bCs/>
      <w:spacing w:val="20"/>
      <w:sz w:val="18"/>
      <w:szCs w:val="18"/>
      <w:shd w:val="clear" w:color="auto" w:fill="FFFFFF"/>
    </w:rPr>
  </w:style>
  <w:style w:type="character" w:customStyle="1" w:styleId="SimHei9pt">
    <w:name w:val="Основной текст + SimHei;9 pt;Малые прописные"/>
    <w:basedOn w:val="aff1"/>
    <w:rsid w:val="00704B65"/>
    <w:rPr>
      <w:rFonts w:ascii="SimHei" w:eastAsia="SimHei" w:hAnsi="SimHei" w:cs="SimHei"/>
      <w:b w:val="0"/>
      <w:bCs w:val="0"/>
      <w:i w:val="0"/>
      <w:iCs w:val="0"/>
      <w:smallCaps/>
      <w:strike w:val="0"/>
      <w:spacing w:val="0"/>
      <w:sz w:val="18"/>
      <w:szCs w:val="18"/>
      <w:shd w:val="clear" w:color="auto" w:fill="FFFFFF"/>
    </w:rPr>
  </w:style>
  <w:style w:type="character" w:customStyle="1" w:styleId="Gungsuh7pt">
    <w:name w:val="Основной текст + Gungsuh;7 pt;Полужирный"/>
    <w:basedOn w:val="aff1"/>
    <w:rsid w:val="00704B65"/>
    <w:rPr>
      <w:rFonts w:ascii="Gungsuh" w:eastAsia="Gungsuh" w:hAnsi="Gungsuh" w:cs="Gungsuh"/>
      <w:b/>
      <w:bCs/>
      <w:i w:val="0"/>
      <w:iCs w:val="0"/>
      <w:smallCaps w:val="0"/>
      <w:strike w:val="0"/>
      <w:spacing w:val="0"/>
      <w:sz w:val="14"/>
      <w:szCs w:val="14"/>
      <w:shd w:val="clear" w:color="auto" w:fill="FFFFFF"/>
    </w:rPr>
  </w:style>
  <w:style w:type="character" w:customStyle="1" w:styleId="Gungsuh8pt">
    <w:name w:val="Основной текст + Gungsuh;8 pt;Малые прописные"/>
    <w:basedOn w:val="aff1"/>
    <w:rsid w:val="00704B65"/>
    <w:rPr>
      <w:rFonts w:ascii="Gungsuh" w:eastAsia="Gungsuh" w:hAnsi="Gungsuh" w:cs="Gungsuh"/>
      <w:b w:val="0"/>
      <w:bCs w:val="0"/>
      <w:i w:val="0"/>
      <w:iCs w:val="0"/>
      <w:smallCaps/>
      <w:strike w:val="0"/>
      <w:spacing w:val="0"/>
      <w:sz w:val="16"/>
      <w:szCs w:val="16"/>
      <w:shd w:val="clear" w:color="auto" w:fill="FFFFFF"/>
    </w:rPr>
  </w:style>
  <w:style w:type="character" w:customStyle="1" w:styleId="TrebuchetMS1pt">
    <w:name w:val="Основной текст + Trebuchet MS;Курсив;Интервал 1 pt"/>
    <w:basedOn w:val="aff1"/>
    <w:rsid w:val="000F027C"/>
    <w:rPr>
      <w:rFonts w:ascii="Trebuchet MS" w:eastAsia="Trebuchet MS" w:hAnsi="Trebuchet MS" w:cs="Trebuchet MS"/>
      <w:b w:val="0"/>
      <w:bCs w:val="0"/>
      <w:i/>
      <w:iCs/>
      <w:smallCaps w:val="0"/>
      <w:strike w:val="0"/>
      <w:spacing w:val="20"/>
      <w:sz w:val="17"/>
      <w:szCs w:val="17"/>
      <w:shd w:val="clear" w:color="auto" w:fill="FFFFFF"/>
    </w:rPr>
  </w:style>
  <w:style w:type="character" w:customStyle="1" w:styleId="afff8">
    <w:name w:val="Оглавление_"/>
    <w:basedOn w:val="a0"/>
    <w:rsid w:val="00F6766E"/>
    <w:rPr>
      <w:rFonts w:ascii="Sylfaen" w:eastAsia="Sylfaen" w:hAnsi="Sylfaen" w:cs="Sylfaen"/>
      <w:sz w:val="18"/>
      <w:szCs w:val="18"/>
      <w:shd w:val="clear" w:color="auto" w:fill="FFFFFF"/>
    </w:rPr>
  </w:style>
  <w:style w:type="character" w:customStyle="1" w:styleId="Corbel10pt1pt">
    <w:name w:val="Основной текст + Corbel;10 pt;Курсив;Интервал 1 pt"/>
    <w:basedOn w:val="aff1"/>
    <w:rsid w:val="00F6766E"/>
    <w:rPr>
      <w:rFonts w:ascii="Corbel" w:eastAsia="Corbel" w:hAnsi="Corbel" w:cs="Corbel"/>
      <w:b w:val="0"/>
      <w:bCs w:val="0"/>
      <w:i/>
      <w:iCs/>
      <w:smallCaps w:val="0"/>
      <w:strike w:val="0"/>
      <w:spacing w:val="20"/>
      <w:sz w:val="20"/>
      <w:szCs w:val="20"/>
      <w:shd w:val="clear" w:color="auto" w:fill="FFFFFF"/>
    </w:rPr>
  </w:style>
  <w:style w:type="character" w:customStyle="1" w:styleId="-1pt1">
    <w:name w:val="Основной текст + Малые прописные;Интервал -1 pt"/>
    <w:basedOn w:val="aff1"/>
    <w:rsid w:val="00F6766E"/>
    <w:rPr>
      <w:rFonts w:ascii="Gungsuh" w:eastAsia="Gungsuh" w:hAnsi="Gungsuh" w:cs="Gungsuh"/>
      <w:b w:val="0"/>
      <w:bCs w:val="0"/>
      <w:i w:val="0"/>
      <w:iCs w:val="0"/>
      <w:smallCaps/>
      <w:strike w:val="0"/>
      <w:spacing w:val="-20"/>
      <w:sz w:val="15"/>
      <w:szCs w:val="15"/>
      <w:shd w:val="clear" w:color="auto" w:fill="FFFFFF"/>
      <w:lang w:val="en-US"/>
    </w:rPr>
  </w:style>
  <w:style w:type="character" w:customStyle="1" w:styleId="9pt0pt">
    <w:name w:val="Основной текст + 9 pt;Не полужирный;Интервал 0 pt"/>
    <w:basedOn w:val="aff1"/>
    <w:rsid w:val="00F6766E"/>
    <w:rPr>
      <w:rFonts w:ascii="Gungsuh" w:eastAsia="Gungsuh" w:hAnsi="Gungsuh" w:cs="Gungsuh"/>
      <w:b/>
      <w:bCs/>
      <w:i w:val="0"/>
      <w:iCs w:val="0"/>
      <w:smallCaps w:val="0"/>
      <w:strike w:val="0"/>
      <w:spacing w:val="-10"/>
      <w:sz w:val="18"/>
      <w:szCs w:val="18"/>
      <w:shd w:val="clear" w:color="auto" w:fill="FFFFFF"/>
    </w:rPr>
  </w:style>
  <w:style w:type="character" w:customStyle="1" w:styleId="Gungsuh75pt">
    <w:name w:val="Основной текст + Gungsuh;7;5 pt;Малые прописные"/>
    <w:basedOn w:val="aff1"/>
    <w:rsid w:val="00F6766E"/>
    <w:rPr>
      <w:rFonts w:ascii="Gungsuh" w:eastAsia="Gungsuh" w:hAnsi="Gungsuh" w:cs="Gungsuh"/>
      <w:b w:val="0"/>
      <w:bCs w:val="0"/>
      <w:i w:val="0"/>
      <w:iCs w:val="0"/>
      <w:smallCaps/>
      <w:strike w:val="0"/>
      <w:spacing w:val="0"/>
      <w:sz w:val="15"/>
      <w:szCs w:val="15"/>
      <w:shd w:val="clear" w:color="auto" w:fill="FFFFFF"/>
    </w:rPr>
  </w:style>
  <w:style w:type="character" w:customStyle="1" w:styleId="Consolas95pt">
    <w:name w:val="Основной текст + Consolas;9;5 pt;Малые прописные"/>
    <w:basedOn w:val="aff1"/>
    <w:rsid w:val="00F6766E"/>
    <w:rPr>
      <w:rFonts w:ascii="Consolas" w:eastAsia="Consolas" w:hAnsi="Consolas" w:cs="Consolas"/>
      <w:b w:val="0"/>
      <w:bCs w:val="0"/>
      <w:i w:val="0"/>
      <w:iCs w:val="0"/>
      <w:smallCaps/>
      <w:strike w:val="0"/>
      <w:spacing w:val="0"/>
      <w:sz w:val="19"/>
      <w:szCs w:val="19"/>
      <w:shd w:val="clear" w:color="auto" w:fill="FFFFFF"/>
    </w:rPr>
  </w:style>
  <w:style w:type="character" w:customStyle="1" w:styleId="105pt">
    <w:name w:val="Основной текст + 10;5 pt"/>
    <w:basedOn w:val="aff1"/>
    <w:rsid w:val="00F6766E"/>
    <w:rPr>
      <w:rFonts w:ascii="Times New Roman" w:eastAsia="Times New Roman" w:hAnsi="Times New Roman" w:cs="Times New Roman"/>
      <w:b w:val="0"/>
      <w:bCs w:val="0"/>
      <w:i w:val="0"/>
      <w:iCs w:val="0"/>
      <w:smallCaps w:val="0"/>
      <w:strike w:val="0"/>
      <w:spacing w:val="0"/>
      <w:sz w:val="21"/>
      <w:szCs w:val="21"/>
      <w:shd w:val="clear" w:color="auto" w:fill="FFFFFF"/>
    </w:rPr>
  </w:style>
  <w:style w:type="character" w:customStyle="1" w:styleId="Consolas9pt">
    <w:name w:val="Основной текст + Consolas;9 pt;Курсив"/>
    <w:basedOn w:val="aff1"/>
    <w:rsid w:val="000E2A81"/>
    <w:rPr>
      <w:rFonts w:ascii="Consolas" w:eastAsia="Consolas" w:hAnsi="Consolas" w:cs="Consolas"/>
      <w:b w:val="0"/>
      <w:bCs w:val="0"/>
      <w:i/>
      <w:iCs/>
      <w:smallCaps w:val="0"/>
      <w:strike w:val="0"/>
      <w:spacing w:val="0"/>
      <w:sz w:val="18"/>
      <w:szCs w:val="18"/>
    </w:rPr>
  </w:style>
  <w:style w:type="character" w:customStyle="1" w:styleId="8pt1pt">
    <w:name w:val="Основной текст + 8 pt;Курсив;Интервал 1 pt"/>
    <w:basedOn w:val="aff1"/>
    <w:rsid w:val="0090533F"/>
    <w:rPr>
      <w:rFonts w:ascii="MingLiU" w:eastAsia="MingLiU" w:hAnsi="MingLiU" w:cs="MingLiU"/>
      <w:b w:val="0"/>
      <w:bCs w:val="0"/>
      <w:i/>
      <w:iCs/>
      <w:smallCaps w:val="0"/>
      <w:strike w:val="0"/>
      <w:spacing w:val="20"/>
      <w:sz w:val="16"/>
      <w:szCs w:val="16"/>
      <w:shd w:val="clear" w:color="auto" w:fill="FFFFFF"/>
    </w:rPr>
  </w:style>
  <w:style w:type="character" w:customStyle="1" w:styleId="TimesNewRoman11pt0pt">
    <w:name w:val="Основной текст + Times New Roman;11 pt;Курсив;Интервал 0 pt"/>
    <w:basedOn w:val="aff1"/>
    <w:rsid w:val="0090533F"/>
    <w:rPr>
      <w:rFonts w:ascii="Times New Roman" w:eastAsia="Times New Roman" w:hAnsi="Times New Roman" w:cs="Times New Roman"/>
      <w:b w:val="0"/>
      <w:bCs w:val="0"/>
      <w:i/>
      <w:iCs/>
      <w:smallCaps w:val="0"/>
      <w:strike w:val="0"/>
      <w:spacing w:val="0"/>
      <w:sz w:val="22"/>
      <w:szCs w:val="22"/>
      <w:shd w:val="clear" w:color="auto" w:fill="FFFFFF"/>
    </w:rPr>
  </w:style>
  <w:style w:type="character" w:customStyle="1" w:styleId="TimesNewRoman85pt1pt">
    <w:name w:val="Основной текст + Times New Roman;8;5 pt;Малые прописные;Интервал 1 pt"/>
    <w:basedOn w:val="aff1"/>
    <w:rsid w:val="0090533F"/>
    <w:rPr>
      <w:rFonts w:ascii="Times New Roman" w:eastAsia="Times New Roman" w:hAnsi="Times New Roman" w:cs="Times New Roman"/>
      <w:b w:val="0"/>
      <w:bCs w:val="0"/>
      <w:i w:val="0"/>
      <w:iCs w:val="0"/>
      <w:smallCaps/>
      <w:strike w:val="0"/>
      <w:spacing w:val="20"/>
      <w:sz w:val="17"/>
      <w:szCs w:val="17"/>
      <w:shd w:val="clear" w:color="auto" w:fill="FFFFFF"/>
    </w:rPr>
  </w:style>
  <w:style w:type="character" w:customStyle="1" w:styleId="ArialUnicodeMS75pt">
    <w:name w:val="Основной текст + Arial Unicode MS;7;5 pt;Малые прописные"/>
    <w:basedOn w:val="aff1"/>
    <w:rsid w:val="0090533F"/>
    <w:rPr>
      <w:rFonts w:ascii="Arial Unicode MS" w:eastAsia="Arial Unicode MS" w:hAnsi="Arial Unicode MS" w:cs="Arial Unicode MS"/>
      <w:b w:val="0"/>
      <w:bCs w:val="0"/>
      <w:i w:val="0"/>
      <w:iCs w:val="0"/>
      <w:smallCaps/>
      <w:strike w:val="0"/>
      <w:spacing w:val="0"/>
      <w:sz w:val="15"/>
      <w:szCs w:val="15"/>
      <w:shd w:val="clear" w:color="auto" w:fill="FFFFFF"/>
    </w:rPr>
  </w:style>
  <w:style w:type="character" w:customStyle="1" w:styleId="TimesNewRoman95pt">
    <w:name w:val="Основной текст + Times New Roman;9;5 pt;Не полужирный"/>
    <w:basedOn w:val="aff1"/>
    <w:rsid w:val="00B21653"/>
    <w:rPr>
      <w:rFonts w:ascii="Times New Roman" w:eastAsia="Times New Roman" w:hAnsi="Times New Roman" w:cs="Times New Roman"/>
      <w:b/>
      <w:bCs/>
      <w:i w:val="0"/>
      <w:iCs w:val="0"/>
      <w:smallCaps w:val="0"/>
      <w:strike w:val="0"/>
      <w:spacing w:val="0"/>
      <w:w w:val="100"/>
      <w:sz w:val="19"/>
      <w:szCs w:val="19"/>
    </w:rPr>
  </w:style>
  <w:style w:type="character" w:customStyle="1" w:styleId="TrebuchetMS95pt">
    <w:name w:val="Основной текст + Trebuchet MS;9;5 pt;Курсив"/>
    <w:basedOn w:val="aff1"/>
    <w:rsid w:val="00AD30B7"/>
    <w:rPr>
      <w:rFonts w:ascii="Trebuchet MS" w:eastAsia="Trebuchet MS" w:hAnsi="Trebuchet MS" w:cs="Trebuchet MS"/>
      <w:b w:val="0"/>
      <w:bCs w:val="0"/>
      <w:i/>
      <w:iCs/>
      <w:smallCaps w:val="0"/>
      <w:strike w:val="0"/>
      <w:spacing w:val="0"/>
      <w:sz w:val="19"/>
      <w:szCs w:val="19"/>
      <w:shd w:val="clear" w:color="auto" w:fill="FFFFFF"/>
    </w:rPr>
  </w:style>
  <w:style w:type="character" w:customStyle="1" w:styleId="5pt">
    <w:name w:val="Основной текст + Интервал 5 pt"/>
    <w:basedOn w:val="aff1"/>
    <w:rsid w:val="00DF15BD"/>
    <w:rPr>
      <w:rFonts w:ascii="Batang" w:eastAsia="Batang" w:hAnsi="Batang" w:cs="Batang"/>
      <w:b w:val="0"/>
      <w:bCs w:val="0"/>
      <w:i w:val="0"/>
      <w:iCs w:val="0"/>
      <w:smallCaps w:val="0"/>
      <w:strike w:val="0"/>
      <w:spacing w:val="110"/>
      <w:sz w:val="18"/>
      <w:szCs w:val="18"/>
      <w:shd w:val="clear" w:color="auto" w:fill="FFFFFF"/>
    </w:rPr>
  </w:style>
  <w:style w:type="character" w:customStyle="1" w:styleId="7pt0pt">
    <w:name w:val="Основной текст + 7 pt;Не полужирный;Интервал 0 pt"/>
    <w:basedOn w:val="aff1"/>
    <w:rsid w:val="00DF15BD"/>
    <w:rPr>
      <w:rFonts w:ascii="Sylfaen" w:eastAsia="Sylfaen" w:hAnsi="Sylfaen" w:cs="Sylfaen"/>
      <w:b/>
      <w:bCs/>
      <w:i w:val="0"/>
      <w:iCs w:val="0"/>
      <w:smallCaps w:val="0"/>
      <w:strike w:val="0"/>
      <w:spacing w:val="10"/>
      <w:sz w:val="14"/>
      <w:szCs w:val="14"/>
      <w:shd w:val="clear" w:color="auto" w:fill="FFFFFF"/>
    </w:rPr>
  </w:style>
  <w:style w:type="character" w:customStyle="1" w:styleId="10pt0">
    <w:name w:val="Основной текст + 10 pt;Не полужирный;Курсив"/>
    <w:basedOn w:val="aff1"/>
    <w:rsid w:val="00DF15BD"/>
    <w:rPr>
      <w:rFonts w:ascii="Sylfaen" w:eastAsia="Sylfaen" w:hAnsi="Sylfaen" w:cs="Sylfaen"/>
      <w:b/>
      <w:bCs/>
      <w:i/>
      <w:iCs/>
      <w:smallCaps w:val="0"/>
      <w:strike w:val="0"/>
      <w:spacing w:val="0"/>
      <w:sz w:val="20"/>
      <w:szCs w:val="20"/>
      <w:shd w:val="clear" w:color="auto" w:fill="FFFFFF"/>
    </w:rPr>
  </w:style>
  <w:style w:type="character" w:customStyle="1" w:styleId="PalatinoLinotype8pt0pt">
    <w:name w:val="Основной текст + Palatino Linotype;8 pt;Интервал 0 pt"/>
    <w:basedOn w:val="aff1"/>
    <w:rsid w:val="00C20F3C"/>
    <w:rPr>
      <w:rFonts w:ascii="Palatino Linotype" w:eastAsia="Palatino Linotype" w:hAnsi="Palatino Linotype" w:cs="Palatino Linotype"/>
      <w:b w:val="0"/>
      <w:bCs w:val="0"/>
      <w:i w:val="0"/>
      <w:iCs w:val="0"/>
      <w:smallCaps w:val="0"/>
      <w:strike w:val="0"/>
      <w:spacing w:val="0"/>
      <w:sz w:val="16"/>
      <w:szCs w:val="16"/>
      <w:shd w:val="clear" w:color="auto" w:fill="FFFFFF"/>
    </w:rPr>
  </w:style>
  <w:style w:type="character" w:customStyle="1" w:styleId="TimesNewRoman9pt">
    <w:name w:val="Основной текст + Times New Roman;9 pt"/>
    <w:basedOn w:val="aff1"/>
    <w:rsid w:val="00C20F3C"/>
    <w:rPr>
      <w:rFonts w:ascii="Times New Roman" w:eastAsia="Times New Roman" w:hAnsi="Times New Roman" w:cs="Times New Roman"/>
      <w:b w:val="0"/>
      <w:bCs w:val="0"/>
      <w:i w:val="0"/>
      <w:iCs w:val="0"/>
      <w:smallCaps w:val="0"/>
      <w:strike w:val="0"/>
      <w:spacing w:val="0"/>
      <w:sz w:val="18"/>
      <w:szCs w:val="18"/>
      <w:shd w:val="clear" w:color="auto" w:fill="FFFFFF"/>
    </w:rPr>
  </w:style>
  <w:style w:type="character" w:customStyle="1" w:styleId="Candara115pt-1pt">
    <w:name w:val="Основной текст + Candara;11;5 pt;Интервал -1 pt"/>
    <w:basedOn w:val="aff1"/>
    <w:rsid w:val="00C20F3C"/>
    <w:rPr>
      <w:rFonts w:ascii="Candara" w:eastAsia="Candara" w:hAnsi="Candara" w:cs="Candara"/>
      <w:b w:val="0"/>
      <w:bCs w:val="0"/>
      <w:i w:val="0"/>
      <w:iCs w:val="0"/>
      <w:smallCaps w:val="0"/>
      <w:strike w:val="0"/>
      <w:spacing w:val="-20"/>
      <w:sz w:val="23"/>
      <w:szCs w:val="23"/>
      <w:shd w:val="clear" w:color="auto" w:fill="FFFFFF"/>
    </w:rPr>
  </w:style>
  <w:style w:type="character" w:customStyle="1" w:styleId="Constantia14pt">
    <w:name w:val="Основной текст + Constantia;14 pt"/>
    <w:basedOn w:val="aff1"/>
    <w:rsid w:val="00C20F3C"/>
    <w:rPr>
      <w:rFonts w:ascii="Constantia" w:eastAsia="Constantia" w:hAnsi="Constantia" w:cs="Constantia"/>
      <w:b w:val="0"/>
      <w:bCs w:val="0"/>
      <w:i w:val="0"/>
      <w:iCs w:val="0"/>
      <w:smallCaps w:val="0"/>
      <w:strike w:val="0"/>
      <w:spacing w:val="0"/>
      <w:sz w:val="28"/>
      <w:szCs w:val="28"/>
      <w:shd w:val="clear" w:color="auto" w:fill="FFFFFF"/>
    </w:rPr>
  </w:style>
  <w:style w:type="character" w:customStyle="1" w:styleId="Tahoma7pt1pt">
    <w:name w:val="Основной текст + Tahoma;7 pt;Курсив;Интервал 1 pt"/>
    <w:basedOn w:val="aff1"/>
    <w:rsid w:val="00C20F3C"/>
    <w:rPr>
      <w:rFonts w:ascii="Tahoma" w:eastAsia="Tahoma" w:hAnsi="Tahoma" w:cs="Tahoma"/>
      <w:b w:val="0"/>
      <w:bCs w:val="0"/>
      <w:i/>
      <w:iCs/>
      <w:smallCaps w:val="0"/>
      <w:strike w:val="0"/>
      <w:spacing w:val="20"/>
      <w:sz w:val="14"/>
      <w:szCs w:val="14"/>
      <w:shd w:val="clear" w:color="auto" w:fill="FFFFFF"/>
    </w:rPr>
  </w:style>
  <w:style w:type="character" w:customStyle="1" w:styleId="Tahoma">
    <w:name w:val="Основной текст + Tahoma"/>
    <w:basedOn w:val="aff1"/>
    <w:rsid w:val="00C20F3C"/>
    <w:rPr>
      <w:rFonts w:ascii="Tahoma" w:eastAsia="Tahoma" w:hAnsi="Tahoma" w:cs="Tahoma"/>
      <w:b w:val="0"/>
      <w:bCs w:val="0"/>
      <w:i w:val="0"/>
      <w:iCs w:val="0"/>
      <w:smallCaps w:val="0"/>
      <w:strike w:val="0"/>
      <w:spacing w:val="0"/>
      <w:sz w:val="17"/>
      <w:szCs w:val="17"/>
      <w:shd w:val="clear" w:color="auto" w:fill="FFFFFF"/>
    </w:rPr>
  </w:style>
  <w:style w:type="character" w:customStyle="1" w:styleId="ArialNarrow95pt">
    <w:name w:val="Основной текст + Arial Narrow;9;5 pt;Курсив"/>
    <w:basedOn w:val="aff1"/>
    <w:rsid w:val="00C20F3C"/>
    <w:rPr>
      <w:rFonts w:ascii="Arial Narrow" w:eastAsia="Arial Narrow" w:hAnsi="Arial Narrow" w:cs="Arial Narrow"/>
      <w:b w:val="0"/>
      <w:bCs w:val="0"/>
      <w:i/>
      <w:iCs/>
      <w:smallCaps w:val="0"/>
      <w:strike w:val="0"/>
      <w:spacing w:val="0"/>
      <w:sz w:val="19"/>
      <w:szCs w:val="19"/>
      <w:shd w:val="clear" w:color="auto" w:fill="FFFFFF"/>
    </w:rPr>
  </w:style>
  <w:style w:type="character" w:customStyle="1" w:styleId="ArialUnicodeMS-1pt">
    <w:name w:val="Основной текст + Arial Unicode MS;Не полужирный;Интервал -1 pt"/>
    <w:basedOn w:val="aff1"/>
    <w:rsid w:val="00C20F3C"/>
    <w:rPr>
      <w:rFonts w:ascii="Arial Unicode MS" w:eastAsia="Arial Unicode MS" w:hAnsi="Arial Unicode MS" w:cs="Arial Unicode MS"/>
      <w:b/>
      <w:bCs/>
      <w:i w:val="0"/>
      <w:iCs w:val="0"/>
      <w:smallCaps w:val="0"/>
      <w:strike w:val="0"/>
      <w:spacing w:val="-20"/>
      <w:w w:val="100"/>
      <w:sz w:val="17"/>
      <w:szCs w:val="17"/>
      <w:shd w:val="clear" w:color="auto" w:fill="FFFFFF"/>
    </w:rPr>
  </w:style>
  <w:style w:type="character" w:customStyle="1" w:styleId="7pt0pt0">
    <w:name w:val="Основной текст + 7 pt;Интервал 0 pt"/>
    <w:basedOn w:val="aff1"/>
    <w:rsid w:val="00351D4E"/>
    <w:rPr>
      <w:rFonts w:ascii="Gungsuh" w:eastAsia="Gungsuh" w:hAnsi="Gungsuh" w:cs="Gungsuh"/>
      <w:b w:val="0"/>
      <w:bCs w:val="0"/>
      <w:i w:val="0"/>
      <w:iCs w:val="0"/>
      <w:smallCaps w:val="0"/>
      <w:strike w:val="0"/>
      <w:spacing w:val="-10"/>
      <w:sz w:val="14"/>
      <w:szCs w:val="14"/>
      <w:shd w:val="clear" w:color="auto" w:fill="FFFFFF"/>
    </w:rPr>
  </w:style>
  <w:style w:type="paragraph" w:customStyle="1" w:styleId="172">
    <w:name w:val="Основной текст17"/>
    <w:basedOn w:val="a"/>
    <w:rsid w:val="0059774D"/>
    <w:pPr>
      <w:shd w:val="clear" w:color="auto" w:fill="FFFFFF"/>
      <w:spacing w:before="660" w:after="0" w:line="0" w:lineRule="atLeast"/>
      <w:ind w:hanging="280"/>
    </w:pPr>
    <w:rPr>
      <w:rFonts w:ascii="Arial Narrow" w:eastAsia="Arial Narrow" w:hAnsi="Arial Narrow" w:cs="Arial Narrow"/>
      <w:color w:val="000000"/>
      <w:sz w:val="19"/>
      <w:szCs w:val="19"/>
      <w:lang w:eastAsia="ru-RU"/>
    </w:rPr>
  </w:style>
  <w:style w:type="paragraph" w:customStyle="1" w:styleId="184">
    <w:name w:val="Основной текст18"/>
    <w:basedOn w:val="a"/>
    <w:rsid w:val="00292637"/>
    <w:pPr>
      <w:shd w:val="clear" w:color="auto" w:fill="FFFFFF"/>
      <w:spacing w:before="600" w:after="2880" w:line="240" w:lineRule="exact"/>
      <w:jc w:val="both"/>
    </w:pPr>
    <w:rPr>
      <w:rFonts w:ascii="Arial Narrow" w:eastAsia="Arial Narrow" w:hAnsi="Arial Narrow" w:cs="Arial Narrow"/>
      <w:color w:val="000000"/>
      <w:sz w:val="18"/>
      <w:szCs w:val="18"/>
      <w:lang w:eastAsia="ru-RU"/>
    </w:rPr>
  </w:style>
  <w:style w:type="character" w:customStyle="1" w:styleId="TrebuchetMS0">
    <w:name w:val="Основной текст + Trebuchet MS;Курсив"/>
    <w:basedOn w:val="aff1"/>
    <w:rsid w:val="00750752"/>
    <w:rPr>
      <w:rFonts w:ascii="Trebuchet MS" w:eastAsia="Trebuchet MS" w:hAnsi="Trebuchet MS" w:cs="Trebuchet MS"/>
      <w:b w:val="0"/>
      <w:bCs w:val="0"/>
      <w:i/>
      <w:iCs/>
      <w:smallCaps w:val="0"/>
      <w:strike w:val="0"/>
      <w:spacing w:val="0"/>
      <w:sz w:val="19"/>
      <w:szCs w:val="19"/>
      <w:shd w:val="clear" w:color="auto" w:fill="FFFFFF"/>
    </w:rPr>
  </w:style>
  <w:style w:type="character" w:customStyle="1" w:styleId="4pt0">
    <w:name w:val="Основной текст + 4 pt;Курсив"/>
    <w:basedOn w:val="aff1"/>
    <w:rsid w:val="00750752"/>
    <w:rPr>
      <w:rFonts w:ascii="Batang" w:eastAsia="Batang" w:hAnsi="Batang" w:cs="Batang"/>
      <w:b w:val="0"/>
      <w:bCs w:val="0"/>
      <w:i/>
      <w:iCs/>
      <w:smallCaps w:val="0"/>
      <w:strike w:val="0"/>
      <w:spacing w:val="0"/>
      <w:sz w:val="8"/>
      <w:szCs w:val="8"/>
      <w:shd w:val="clear" w:color="auto" w:fill="FFFFFF"/>
    </w:rPr>
  </w:style>
  <w:style w:type="character" w:customStyle="1" w:styleId="6pt">
    <w:name w:val="Основной текст + 6 pt"/>
    <w:basedOn w:val="aff1"/>
    <w:rsid w:val="00750752"/>
    <w:rPr>
      <w:rFonts w:ascii="Batang" w:eastAsia="Batang" w:hAnsi="Batang" w:cs="Batang"/>
      <w:b w:val="0"/>
      <w:bCs w:val="0"/>
      <w:i w:val="0"/>
      <w:iCs w:val="0"/>
      <w:smallCaps w:val="0"/>
      <w:strike w:val="0"/>
      <w:spacing w:val="0"/>
      <w:sz w:val="12"/>
      <w:szCs w:val="12"/>
      <w:shd w:val="clear" w:color="auto" w:fill="FFFFFF"/>
    </w:rPr>
  </w:style>
  <w:style w:type="paragraph" w:customStyle="1" w:styleId="rtecenter">
    <w:name w:val="rtecenter"/>
    <w:basedOn w:val="a"/>
    <w:rsid w:val="00BC5781"/>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MSReferenceSansSerif6pt">
    <w:name w:val="Основной текст + MS Reference Sans Serif;6 pt"/>
    <w:basedOn w:val="aff1"/>
    <w:rsid w:val="00BC5781"/>
    <w:rPr>
      <w:rFonts w:ascii="MS Reference Sans Serif" w:eastAsia="MS Reference Sans Serif" w:hAnsi="MS Reference Sans Serif" w:cs="MS Reference Sans Serif"/>
      <w:b w:val="0"/>
      <w:bCs w:val="0"/>
      <w:i w:val="0"/>
      <w:iCs w:val="0"/>
      <w:smallCaps w:val="0"/>
      <w:strike w:val="0"/>
      <w:spacing w:val="0"/>
      <w:sz w:val="12"/>
      <w:szCs w:val="12"/>
      <w:shd w:val="clear" w:color="auto" w:fill="FFFFFF"/>
    </w:rPr>
  </w:style>
  <w:style w:type="character" w:customStyle="1" w:styleId="67">
    <w:name w:val="Основной текст (6)_"/>
    <w:basedOn w:val="a0"/>
    <w:link w:val="68"/>
    <w:rsid w:val="00104BAB"/>
    <w:rPr>
      <w:rFonts w:ascii="Arial Narrow" w:eastAsia="Arial Narrow" w:hAnsi="Arial Narrow" w:cs="Arial Narrow"/>
      <w:sz w:val="12"/>
      <w:szCs w:val="12"/>
      <w:shd w:val="clear" w:color="auto" w:fill="FFFFFF"/>
    </w:rPr>
  </w:style>
  <w:style w:type="paragraph" w:customStyle="1" w:styleId="68">
    <w:name w:val="Основной текст (6)"/>
    <w:basedOn w:val="a"/>
    <w:link w:val="67"/>
    <w:rsid w:val="00104BAB"/>
    <w:pPr>
      <w:shd w:val="clear" w:color="auto" w:fill="FFFFFF"/>
      <w:spacing w:after="0" w:line="137" w:lineRule="exact"/>
      <w:jc w:val="right"/>
    </w:pPr>
    <w:rPr>
      <w:rFonts w:ascii="Arial Narrow" w:eastAsia="Arial Narrow" w:hAnsi="Arial Narrow" w:cs="Arial Narrow"/>
      <w:sz w:val="12"/>
      <w:szCs w:val="12"/>
      <w:lang w:eastAsia="ru-RU"/>
    </w:rPr>
  </w:style>
  <w:style w:type="character" w:customStyle="1" w:styleId="TimesNewRoman85pt0pt">
    <w:name w:val="Основной текст + Times New Roman;8;5 pt;Курсив;Интервал 0 pt"/>
    <w:basedOn w:val="aff1"/>
    <w:rsid w:val="00104BAB"/>
    <w:rPr>
      <w:rFonts w:ascii="Times New Roman" w:eastAsia="Times New Roman" w:hAnsi="Times New Roman" w:cs="Times New Roman"/>
      <w:b w:val="0"/>
      <w:bCs w:val="0"/>
      <w:i/>
      <w:iCs/>
      <w:smallCaps w:val="0"/>
      <w:strike w:val="0"/>
      <w:spacing w:val="0"/>
      <w:sz w:val="17"/>
      <w:szCs w:val="17"/>
      <w:shd w:val="clear" w:color="auto" w:fill="FFFFFF"/>
    </w:rPr>
  </w:style>
  <w:style w:type="character" w:customStyle="1" w:styleId="192">
    <w:name w:val="Основной текст19"/>
    <w:basedOn w:val="aff1"/>
    <w:rsid w:val="00104BAB"/>
    <w:rPr>
      <w:rFonts w:ascii="Gungsuh" w:eastAsia="Gungsuh" w:hAnsi="Gungsuh" w:cs="Gungsuh"/>
      <w:b w:val="0"/>
      <w:bCs w:val="0"/>
      <w:i w:val="0"/>
      <w:iCs w:val="0"/>
      <w:smallCaps w:val="0"/>
      <w:strike w:val="0"/>
      <w:spacing w:val="10"/>
      <w:sz w:val="23"/>
      <w:szCs w:val="23"/>
      <w:shd w:val="clear" w:color="auto" w:fill="FFFFFF"/>
    </w:rPr>
  </w:style>
  <w:style w:type="character" w:customStyle="1" w:styleId="203">
    <w:name w:val="Основной текст20"/>
    <w:basedOn w:val="aff1"/>
    <w:rsid w:val="00104BAB"/>
    <w:rPr>
      <w:rFonts w:ascii="Gungsuh" w:eastAsia="Gungsuh" w:hAnsi="Gungsuh" w:cs="Gungsuh"/>
      <w:b w:val="0"/>
      <w:bCs w:val="0"/>
      <w:i w:val="0"/>
      <w:iCs w:val="0"/>
      <w:smallCaps w:val="0"/>
      <w:strike w:val="0"/>
      <w:spacing w:val="10"/>
      <w:sz w:val="23"/>
      <w:szCs w:val="23"/>
      <w:shd w:val="clear" w:color="auto" w:fill="FFFFFF"/>
    </w:rPr>
  </w:style>
  <w:style w:type="paragraph" w:customStyle="1" w:styleId="430">
    <w:name w:val="Основной текст43"/>
    <w:basedOn w:val="a"/>
    <w:rsid w:val="00104BAB"/>
    <w:pPr>
      <w:shd w:val="clear" w:color="auto" w:fill="FFFFFF"/>
      <w:spacing w:after="0" w:line="0" w:lineRule="atLeast"/>
      <w:ind w:hanging="480"/>
    </w:pPr>
    <w:rPr>
      <w:rFonts w:ascii="Gungsuh" w:eastAsia="Gungsuh" w:hAnsi="Gungsuh" w:cs="Gungsuh"/>
      <w:color w:val="000000"/>
      <w:sz w:val="15"/>
      <w:szCs w:val="15"/>
      <w:lang w:eastAsia="ru-RU"/>
    </w:rPr>
  </w:style>
  <w:style w:type="character" w:customStyle="1" w:styleId="64pt">
    <w:name w:val="Основной текст (6) + Интервал 4 pt"/>
    <w:basedOn w:val="67"/>
    <w:rsid w:val="00104BAB"/>
    <w:rPr>
      <w:rFonts w:ascii="Gungsuh" w:eastAsia="Gungsuh" w:hAnsi="Gungsuh" w:cs="Gungsuh"/>
      <w:b w:val="0"/>
      <w:bCs w:val="0"/>
      <w:i w:val="0"/>
      <w:iCs w:val="0"/>
      <w:smallCaps w:val="0"/>
      <w:strike w:val="0"/>
      <w:spacing w:val="80"/>
      <w:sz w:val="21"/>
      <w:szCs w:val="21"/>
      <w:shd w:val="clear" w:color="auto" w:fill="FFFFFF"/>
    </w:rPr>
  </w:style>
  <w:style w:type="paragraph" w:customStyle="1" w:styleId="115">
    <w:name w:val="Основной текст11"/>
    <w:basedOn w:val="a"/>
    <w:rsid w:val="00A3754D"/>
    <w:pPr>
      <w:shd w:val="clear" w:color="auto" w:fill="FFFFFF"/>
      <w:spacing w:after="900" w:line="0" w:lineRule="atLeast"/>
    </w:pPr>
    <w:rPr>
      <w:rFonts w:ascii="Arial Narrow" w:eastAsia="Arial Narrow" w:hAnsi="Arial Narrow" w:cs="Arial Narrow"/>
      <w:color w:val="000000"/>
      <w:sz w:val="17"/>
      <w:szCs w:val="17"/>
      <w:lang w:eastAsia="ru-RU"/>
    </w:rPr>
  </w:style>
  <w:style w:type="paragraph" w:customStyle="1" w:styleId="rteindent1">
    <w:name w:val="rteindent1"/>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media-description">
    <w:name w:val="media-description"/>
    <w:basedOn w:val="a0"/>
    <w:rsid w:val="00811C95"/>
  </w:style>
  <w:style w:type="character" w:customStyle="1" w:styleId="media-sources">
    <w:name w:val="media-sources"/>
    <w:basedOn w:val="a0"/>
    <w:rsid w:val="00811C95"/>
  </w:style>
  <w:style w:type="character" w:customStyle="1" w:styleId="color1">
    <w:name w:val="color1"/>
    <w:basedOn w:val="a0"/>
    <w:rsid w:val="00811C95"/>
  </w:style>
  <w:style w:type="character" w:customStyle="1" w:styleId="color2">
    <w:name w:val="color2"/>
    <w:basedOn w:val="a0"/>
    <w:rsid w:val="00811C95"/>
  </w:style>
  <w:style w:type="character" w:customStyle="1" w:styleId="z-0">
    <w:name w:val="z-Начало формы Знак"/>
    <w:basedOn w:val="a0"/>
    <w:link w:val="z-2"/>
    <w:uiPriority w:val="99"/>
    <w:semiHidden/>
    <w:rsid w:val="00811C95"/>
    <w:rPr>
      <w:rFonts w:ascii="Arial" w:eastAsia="Times New Roman" w:hAnsi="Arial" w:cs="Arial"/>
      <w:vanish/>
      <w:sz w:val="16"/>
      <w:szCs w:val="16"/>
    </w:rPr>
  </w:style>
  <w:style w:type="paragraph" w:styleId="z-2">
    <w:name w:val="HTML Top of Form"/>
    <w:basedOn w:val="a"/>
    <w:next w:val="a"/>
    <w:link w:val="z-0"/>
    <w:hidden/>
    <w:uiPriority w:val="99"/>
    <w:semiHidden/>
    <w:unhideWhenUsed/>
    <w:rsid w:val="00811C95"/>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3">
    <w:name w:val="z-Конец формы Знак"/>
    <w:basedOn w:val="a0"/>
    <w:link w:val="z-4"/>
    <w:uiPriority w:val="99"/>
    <w:semiHidden/>
    <w:rsid w:val="00811C95"/>
    <w:rPr>
      <w:rFonts w:ascii="Arial" w:eastAsia="Times New Roman" w:hAnsi="Arial" w:cs="Arial"/>
      <w:vanish/>
      <w:sz w:val="16"/>
      <w:szCs w:val="16"/>
    </w:rPr>
  </w:style>
  <w:style w:type="paragraph" w:styleId="z-4">
    <w:name w:val="HTML Bottom of Form"/>
    <w:basedOn w:val="a"/>
    <w:next w:val="a"/>
    <w:link w:val="z-3"/>
    <w:hidden/>
    <w:uiPriority w:val="99"/>
    <w:semiHidden/>
    <w:unhideWhenUsed/>
    <w:rsid w:val="00811C95"/>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downarrow">
    <w:name w:val="downarrow"/>
    <w:basedOn w:val="a0"/>
    <w:rsid w:val="00811C95"/>
  </w:style>
  <w:style w:type="paragraph" w:customStyle="1" w:styleId="wp-caption-text">
    <w:name w:val="wp-caption-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fieldset-legend">
    <w:name w:val="fieldset-legend"/>
    <w:basedOn w:val="a0"/>
    <w:rsid w:val="00811C95"/>
  </w:style>
  <w:style w:type="character" w:customStyle="1" w:styleId="fieldset-legend-prefix">
    <w:name w:val="fieldset-legend-prefix"/>
    <w:basedOn w:val="a0"/>
    <w:rsid w:val="00811C95"/>
  </w:style>
  <w:style w:type="paragraph" w:customStyle="1" w:styleId="rteright">
    <w:name w:val="rterigh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
    <w:name w:val="p"/>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1">
    <w:name w:val="p1"/>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f">
    <w:name w:val="Подзаголовок1"/>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ljuser">
    <w:name w:val="ljuser"/>
    <w:basedOn w:val="a0"/>
    <w:rsid w:val="00811C95"/>
  </w:style>
  <w:style w:type="character" w:customStyle="1" w:styleId="byline">
    <w:name w:val="byline"/>
    <w:basedOn w:val="a0"/>
    <w:rsid w:val="00811C95"/>
  </w:style>
  <w:style w:type="character" w:customStyle="1" w:styleId="author">
    <w:name w:val="author"/>
    <w:basedOn w:val="a0"/>
    <w:rsid w:val="00811C95"/>
  </w:style>
  <w:style w:type="character" w:customStyle="1" w:styleId="zag1">
    <w:name w:val="zag1"/>
    <w:basedOn w:val="a0"/>
    <w:rsid w:val="00811C95"/>
  </w:style>
  <w:style w:type="paragraph" w:customStyle="1" w:styleId="autor">
    <w:name w:val="autor"/>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icture-center">
    <w:name w:val="picture-center"/>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icture-sign">
    <w:name w:val="picture-sign"/>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krstr">
    <w:name w:val="kr_str"/>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n-icon">
    <w:name w:val="sn-icon"/>
    <w:basedOn w:val="a0"/>
    <w:rsid w:val="00811C95"/>
  </w:style>
  <w:style w:type="character" w:customStyle="1" w:styleId="red">
    <w:name w:val="red"/>
    <w:basedOn w:val="a0"/>
    <w:rsid w:val="00811C95"/>
  </w:style>
  <w:style w:type="character" w:customStyle="1" w:styleId="negative">
    <w:name w:val="negative"/>
    <w:basedOn w:val="a0"/>
    <w:rsid w:val="00811C95"/>
  </w:style>
  <w:style w:type="character" w:customStyle="1" w:styleId="positive">
    <w:name w:val="positive"/>
    <w:basedOn w:val="a0"/>
    <w:rsid w:val="00811C95"/>
  </w:style>
  <w:style w:type="character" w:customStyle="1" w:styleId="gray">
    <w:name w:val="gray"/>
    <w:basedOn w:val="a0"/>
    <w:rsid w:val="00811C95"/>
  </w:style>
  <w:style w:type="character" w:customStyle="1" w:styleId="ng-binding">
    <w:name w:val="ng-binding"/>
    <w:basedOn w:val="a0"/>
    <w:rsid w:val="00811C95"/>
  </w:style>
  <w:style w:type="paragraph" w:customStyle="1" w:styleId="grey-text">
    <w:name w:val="grey-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banner-place-1">
    <w:name w:val="banner-place-1"/>
    <w:basedOn w:val="a0"/>
    <w:rsid w:val="00811C95"/>
  </w:style>
  <w:style w:type="character" w:customStyle="1" w:styleId="banner-place-1-1">
    <w:name w:val="banner-place-1-1"/>
    <w:basedOn w:val="a0"/>
    <w:rsid w:val="00811C95"/>
  </w:style>
  <w:style w:type="character" w:customStyle="1" w:styleId="link-views">
    <w:name w:val="link-views"/>
    <w:basedOn w:val="a0"/>
    <w:rsid w:val="00811C95"/>
  </w:style>
  <w:style w:type="character" w:customStyle="1" w:styleId="link-comms">
    <w:name w:val="link-comms"/>
    <w:basedOn w:val="a0"/>
    <w:rsid w:val="00811C95"/>
  </w:style>
  <w:style w:type="character" w:customStyle="1" w:styleId="rate">
    <w:name w:val="rate"/>
    <w:basedOn w:val="a0"/>
    <w:rsid w:val="00811C95"/>
  </w:style>
  <w:style w:type="character" w:customStyle="1" w:styleId="10100">
    <w:name w:val="1010"/>
    <w:basedOn w:val="a0"/>
    <w:rsid w:val="00811C95"/>
  </w:style>
  <w:style w:type="paragraph" w:customStyle="1" w:styleId="107">
    <w:name w:val="10"/>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converted-space">
    <w:name w:val="apple-converted-space"/>
    <w:basedOn w:val="a0"/>
    <w:rsid w:val="00811C95"/>
  </w:style>
  <w:style w:type="paragraph" w:customStyle="1" w:styleId="2f2">
    <w:name w:val="2"/>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hl1">
    <w:name w:val="hl1"/>
    <w:basedOn w:val="a0"/>
    <w:rsid w:val="00811C95"/>
  </w:style>
  <w:style w:type="paragraph" w:customStyle="1" w:styleId="3e">
    <w:name w:val="3"/>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00">
    <w:name w:val="a0"/>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111">
    <w:name w:val="111"/>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ww8num3z0">
    <w:name w:val="ww8num3z0"/>
    <w:basedOn w:val="a0"/>
    <w:rsid w:val="00811C95"/>
  </w:style>
  <w:style w:type="paragraph" w:customStyle="1" w:styleId="1000">
    <w:name w:val="100"/>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011">
    <w:name w:val="101"/>
    <w:basedOn w:val="a0"/>
    <w:rsid w:val="00811C95"/>
  </w:style>
  <w:style w:type="paragraph" w:customStyle="1" w:styleId="paragraphstyle">
    <w:name w:val="paragraphstyle"/>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94">
    <w:name w:val="9"/>
    <w:basedOn w:val="a0"/>
    <w:rsid w:val="00811C95"/>
  </w:style>
  <w:style w:type="paragraph" w:customStyle="1" w:styleId="911">
    <w:name w:val="911"/>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60">
    <w:name w:val="a6"/>
    <w:basedOn w:val="a0"/>
    <w:rsid w:val="00811C95"/>
  </w:style>
  <w:style w:type="character" w:customStyle="1" w:styleId="912pt">
    <w:name w:val="912pt"/>
    <w:basedOn w:val="a0"/>
    <w:rsid w:val="00811C95"/>
  </w:style>
  <w:style w:type="character" w:customStyle="1" w:styleId="912pt1">
    <w:name w:val="912pt1"/>
    <w:basedOn w:val="a0"/>
    <w:rsid w:val="00811C95"/>
  </w:style>
  <w:style w:type="character" w:customStyle="1" w:styleId="98pt">
    <w:name w:val="98pt"/>
    <w:basedOn w:val="a0"/>
    <w:rsid w:val="00811C95"/>
  </w:style>
  <w:style w:type="character" w:customStyle="1" w:styleId="99pt">
    <w:name w:val="99pt"/>
    <w:basedOn w:val="a0"/>
    <w:rsid w:val="00811C95"/>
  </w:style>
  <w:style w:type="character" w:customStyle="1" w:styleId="99pt3">
    <w:name w:val="99pt3"/>
    <w:basedOn w:val="a0"/>
    <w:rsid w:val="00811C95"/>
  </w:style>
  <w:style w:type="character" w:customStyle="1" w:styleId="911pt">
    <w:name w:val="911pt"/>
    <w:basedOn w:val="a0"/>
    <w:rsid w:val="00811C95"/>
  </w:style>
  <w:style w:type="character" w:customStyle="1" w:styleId="99pt2">
    <w:name w:val="99pt2"/>
    <w:basedOn w:val="a0"/>
    <w:rsid w:val="00811C95"/>
  </w:style>
  <w:style w:type="character" w:customStyle="1" w:styleId="921">
    <w:name w:val="92"/>
    <w:basedOn w:val="a0"/>
    <w:rsid w:val="00811C95"/>
  </w:style>
  <w:style w:type="character" w:customStyle="1" w:styleId="130">
    <w:name w:val="130"/>
    <w:basedOn w:val="a0"/>
    <w:rsid w:val="00811C95"/>
  </w:style>
  <w:style w:type="character" w:customStyle="1" w:styleId="1311pt">
    <w:name w:val="1311pt"/>
    <w:basedOn w:val="a0"/>
    <w:rsid w:val="00811C95"/>
  </w:style>
  <w:style w:type="paragraph" w:customStyle="1" w:styleId="131">
    <w:name w:val="131"/>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98pt1">
    <w:name w:val="98pt1"/>
    <w:basedOn w:val="a0"/>
    <w:rsid w:val="00811C95"/>
  </w:style>
  <w:style w:type="character" w:customStyle="1" w:styleId="99pt1">
    <w:name w:val="99pt1"/>
    <w:basedOn w:val="a0"/>
    <w:rsid w:val="00811C95"/>
  </w:style>
  <w:style w:type="character" w:customStyle="1" w:styleId="98">
    <w:name w:val="98"/>
    <w:basedOn w:val="a0"/>
    <w:rsid w:val="00811C95"/>
  </w:style>
  <w:style w:type="character" w:customStyle="1" w:styleId="9pt0">
    <w:name w:val="9pt"/>
    <w:basedOn w:val="a0"/>
    <w:rsid w:val="00811C95"/>
  </w:style>
  <w:style w:type="character" w:customStyle="1" w:styleId="9pt10">
    <w:name w:val="9pt1"/>
    <w:basedOn w:val="a0"/>
    <w:rsid w:val="00811C95"/>
  </w:style>
  <w:style w:type="paragraph" w:customStyle="1" w:styleId="a50">
    <w:name w:val="a5"/>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posted-on">
    <w:name w:val="posted-on"/>
    <w:basedOn w:val="a0"/>
    <w:rsid w:val="00811C95"/>
  </w:style>
  <w:style w:type="character" w:customStyle="1" w:styleId="cat-links">
    <w:name w:val="cat-links"/>
    <w:basedOn w:val="a0"/>
    <w:rsid w:val="00811C95"/>
  </w:style>
  <w:style w:type="paragraph" w:customStyle="1" w:styleId="upgcontext">
    <w:name w:val="upgcon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juscontext">
    <w:name w:val="juscon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igcontext">
    <w:name w:val="rigcon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tar">
    <w:name w:val="tar"/>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4d">
    <w:name w:val="4"/>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attitle">
    <w:name w:val="cat_title"/>
    <w:basedOn w:val="a0"/>
    <w:rsid w:val="00811C95"/>
  </w:style>
  <w:style w:type="character" w:customStyle="1" w:styleId="right">
    <w:name w:val="right"/>
    <w:basedOn w:val="a0"/>
    <w:rsid w:val="00811C95"/>
  </w:style>
  <w:style w:type="character" w:customStyle="1" w:styleId="b-share">
    <w:name w:val="b-share"/>
    <w:basedOn w:val="a0"/>
    <w:rsid w:val="00811C95"/>
  </w:style>
  <w:style w:type="character" w:customStyle="1" w:styleId="b-share-form-button">
    <w:name w:val="b-share-form-button"/>
    <w:basedOn w:val="a0"/>
    <w:rsid w:val="00811C95"/>
  </w:style>
  <w:style w:type="character" w:customStyle="1" w:styleId="b-share-icon">
    <w:name w:val="b-share-icon"/>
    <w:basedOn w:val="a0"/>
    <w:rsid w:val="00811C95"/>
  </w:style>
  <w:style w:type="character" w:customStyle="1" w:styleId="authorname">
    <w:name w:val="author_name"/>
    <w:basedOn w:val="a0"/>
    <w:rsid w:val="00811C95"/>
  </w:style>
  <w:style w:type="character" w:customStyle="1" w:styleId="b-share-popupicon">
    <w:name w:val="b-share-popup__icon"/>
    <w:basedOn w:val="a0"/>
    <w:rsid w:val="00811C95"/>
  </w:style>
  <w:style w:type="character" w:customStyle="1" w:styleId="b-share-popupitemtext">
    <w:name w:val="b-share-popup__item__text"/>
    <w:basedOn w:val="a0"/>
    <w:rsid w:val="00811C95"/>
  </w:style>
  <w:style w:type="character" w:customStyle="1" w:styleId="highlight">
    <w:name w:val="highlight"/>
    <w:basedOn w:val="a0"/>
    <w:rsid w:val="00811C95"/>
  </w:style>
  <w:style w:type="paragraph" w:customStyle="1" w:styleId="204">
    <w:name w:val="20"/>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400">
    <w:name w:val="40"/>
    <w:basedOn w:val="a0"/>
    <w:rsid w:val="00811C95"/>
  </w:style>
  <w:style w:type="paragraph" w:customStyle="1" w:styleId="312">
    <w:name w:val="31"/>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01">
    <w:name w:val="30"/>
    <w:basedOn w:val="a0"/>
    <w:rsid w:val="00811C95"/>
  </w:style>
  <w:style w:type="paragraph" w:customStyle="1" w:styleId="bookmark">
    <w:name w:val="bookmark"/>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storybody">
    <w:name w:val="storybody"/>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big">
    <w:name w:val="big"/>
    <w:basedOn w:val="a0"/>
    <w:rsid w:val="00811C95"/>
  </w:style>
  <w:style w:type="character" w:customStyle="1" w:styleId="screen-reader-text">
    <w:name w:val="screen-reader-text"/>
    <w:basedOn w:val="a0"/>
    <w:rsid w:val="00811C95"/>
  </w:style>
  <w:style w:type="character" w:customStyle="1" w:styleId="apple-tab-span">
    <w:name w:val="apple-tab-span"/>
    <w:basedOn w:val="a0"/>
    <w:rsid w:val="00811C95"/>
  </w:style>
  <w:style w:type="character" w:customStyle="1" w:styleId="smalltext">
    <w:name w:val="smalltext"/>
    <w:basedOn w:val="a0"/>
    <w:rsid w:val="00811C95"/>
  </w:style>
  <w:style w:type="character" w:customStyle="1" w:styleId="bbcsize">
    <w:name w:val="bbc_size"/>
    <w:basedOn w:val="a0"/>
    <w:rsid w:val="00811C95"/>
  </w:style>
  <w:style w:type="character" w:customStyle="1" w:styleId="bbcfont">
    <w:name w:val="bbc_font"/>
    <w:basedOn w:val="a0"/>
    <w:rsid w:val="00811C95"/>
  </w:style>
  <w:style w:type="character" w:customStyle="1" w:styleId="sdelimiter">
    <w:name w:val="sdelimiter"/>
    <w:basedOn w:val="a0"/>
    <w:rsid w:val="00811C95"/>
  </w:style>
  <w:style w:type="character" w:customStyle="1" w:styleId="text0">
    <w:name w:val="text"/>
    <w:basedOn w:val="a0"/>
    <w:rsid w:val="00811C95"/>
  </w:style>
  <w:style w:type="character" w:customStyle="1" w:styleId="HTML">
    <w:name w:val="Стандартный HTML Знак"/>
    <w:basedOn w:val="a0"/>
    <w:link w:val="HTML0"/>
    <w:uiPriority w:val="99"/>
    <w:semiHidden/>
    <w:rsid w:val="00811C95"/>
    <w:rPr>
      <w:rFonts w:ascii="Courier New" w:eastAsia="Times New Roman" w:hAnsi="Courier New" w:cs="Courier New"/>
    </w:rPr>
  </w:style>
  <w:style w:type="paragraph" w:styleId="HTML0">
    <w:name w:val="HTML Preformatted"/>
    <w:basedOn w:val="a"/>
    <w:link w:val="HTML"/>
    <w:uiPriority w:val="99"/>
    <w:semiHidden/>
    <w:unhideWhenUsed/>
    <w:rsid w:val="00811C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paragraph" w:customStyle="1" w:styleId="book-paragraph">
    <w:name w:val="book-paragraph"/>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el-text">
    <w:name w:val="el-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f0">
    <w:name w:val="Название объекта1"/>
    <w:basedOn w:val="a0"/>
    <w:rsid w:val="00811C95"/>
  </w:style>
  <w:style w:type="character" w:customStyle="1" w:styleId="gr-969svg-tel-txt">
    <w:name w:val="gr-969svg-tel-txt"/>
    <w:basedOn w:val="a0"/>
    <w:rsid w:val="00811C95"/>
  </w:style>
  <w:style w:type="character" w:customStyle="1" w:styleId="gr-969svg-viber-txt">
    <w:name w:val="gr-969svg-viber-txt"/>
    <w:basedOn w:val="a0"/>
    <w:rsid w:val="00811C95"/>
  </w:style>
  <w:style w:type="character" w:customStyle="1" w:styleId="gr-969svg-app-txt">
    <w:name w:val="gr-969svg-app-txt"/>
    <w:basedOn w:val="a0"/>
    <w:rsid w:val="00811C95"/>
  </w:style>
  <w:style w:type="character" w:customStyle="1" w:styleId="also-readtext--label">
    <w:name w:val="also-read__text--label"/>
    <w:basedOn w:val="a0"/>
    <w:rsid w:val="00811C95"/>
  </w:style>
  <w:style w:type="character" w:customStyle="1" w:styleId="173">
    <w:name w:val="Основной текст (17)_"/>
    <w:basedOn w:val="a0"/>
    <w:rsid w:val="00811C95"/>
    <w:rPr>
      <w:rFonts w:ascii="Segoe UI" w:eastAsia="Segoe UI" w:hAnsi="Segoe UI" w:cs="Segoe UI"/>
      <w:b w:val="0"/>
      <w:bCs w:val="0"/>
      <w:i w:val="0"/>
      <w:iCs w:val="0"/>
      <w:smallCaps w:val="0"/>
      <w:strike w:val="0"/>
      <w:spacing w:val="0"/>
      <w:sz w:val="20"/>
      <w:szCs w:val="20"/>
    </w:rPr>
  </w:style>
  <w:style w:type="character" w:customStyle="1" w:styleId="174">
    <w:name w:val="Основной текст (17)"/>
    <w:basedOn w:val="173"/>
    <w:rsid w:val="00811C95"/>
    <w:rPr>
      <w:rFonts w:ascii="Segoe UI" w:eastAsia="Segoe UI" w:hAnsi="Segoe UI" w:cs="Segoe UI"/>
      <w:b w:val="0"/>
      <w:bCs w:val="0"/>
      <w:i w:val="0"/>
      <w:iCs w:val="0"/>
      <w:smallCaps w:val="0"/>
      <w:strike w:val="0"/>
      <w:color w:val="FFFFFF"/>
      <w:spacing w:val="0"/>
      <w:sz w:val="20"/>
      <w:szCs w:val="20"/>
    </w:rPr>
  </w:style>
  <w:style w:type="character" w:customStyle="1" w:styleId="9pt80">
    <w:name w:val="Основной текст + 9 pt;Курсив;Масштаб 80%"/>
    <w:basedOn w:val="aff1"/>
    <w:rsid w:val="00811C95"/>
    <w:rPr>
      <w:rFonts w:ascii="Segoe UI" w:eastAsia="Segoe UI" w:hAnsi="Segoe UI" w:cs="Segoe UI"/>
      <w:b w:val="0"/>
      <w:bCs w:val="0"/>
      <w:i/>
      <w:iCs/>
      <w:smallCaps w:val="0"/>
      <w:strike w:val="0"/>
      <w:spacing w:val="0"/>
      <w:w w:val="80"/>
      <w:sz w:val="18"/>
      <w:szCs w:val="18"/>
      <w:shd w:val="clear" w:color="auto" w:fill="FFFFFF"/>
    </w:rPr>
  </w:style>
  <w:style w:type="character" w:customStyle="1" w:styleId="116">
    <w:name w:val="Основной текст (11)_"/>
    <w:basedOn w:val="a0"/>
    <w:rsid w:val="00811C95"/>
    <w:rPr>
      <w:rFonts w:ascii="Segoe UI" w:eastAsia="Segoe UI" w:hAnsi="Segoe UI" w:cs="Segoe UI"/>
      <w:b w:val="0"/>
      <w:bCs w:val="0"/>
      <w:i w:val="0"/>
      <w:iCs w:val="0"/>
      <w:smallCaps w:val="0"/>
      <w:strike w:val="0"/>
      <w:spacing w:val="0"/>
      <w:sz w:val="17"/>
      <w:szCs w:val="17"/>
    </w:rPr>
  </w:style>
  <w:style w:type="character" w:customStyle="1" w:styleId="213">
    <w:name w:val="Основной текст (21)_"/>
    <w:basedOn w:val="a0"/>
    <w:link w:val="214"/>
    <w:rsid w:val="00811C95"/>
    <w:rPr>
      <w:rFonts w:ascii="Arial Narrow" w:eastAsia="Arial Narrow" w:hAnsi="Arial Narrow" w:cs="Arial Narrow"/>
      <w:sz w:val="15"/>
      <w:szCs w:val="15"/>
      <w:shd w:val="clear" w:color="auto" w:fill="FFFFFF"/>
    </w:rPr>
  </w:style>
  <w:style w:type="paragraph" w:customStyle="1" w:styleId="214">
    <w:name w:val="Основной текст (21)"/>
    <w:basedOn w:val="a"/>
    <w:link w:val="213"/>
    <w:rsid w:val="00811C95"/>
    <w:pPr>
      <w:shd w:val="clear" w:color="auto" w:fill="FFFFFF"/>
      <w:spacing w:after="0" w:line="0" w:lineRule="atLeast"/>
    </w:pPr>
    <w:rPr>
      <w:rFonts w:ascii="Arial Narrow" w:eastAsia="Arial Narrow" w:hAnsi="Arial Narrow" w:cs="Arial Narrow"/>
      <w:sz w:val="15"/>
      <w:szCs w:val="15"/>
      <w:lang w:eastAsia="ru-RU"/>
    </w:rPr>
  </w:style>
  <w:style w:type="character" w:customStyle="1" w:styleId="222">
    <w:name w:val="Основной текст (22)_"/>
    <w:basedOn w:val="a0"/>
    <w:link w:val="223"/>
    <w:rsid w:val="00811C95"/>
    <w:rPr>
      <w:rFonts w:ascii="Segoe UI" w:eastAsia="Segoe UI" w:hAnsi="Segoe UI" w:cs="Segoe UI"/>
      <w:sz w:val="8"/>
      <w:szCs w:val="8"/>
      <w:shd w:val="clear" w:color="auto" w:fill="FFFFFF"/>
    </w:rPr>
  </w:style>
  <w:style w:type="paragraph" w:customStyle="1" w:styleId="223">
    <w:name w:val="Основной текст (22)"/>
    <w:basedOn w:val="a"/>
    <w:link w:val="222"/>
    <w:rsid w:val="00811C95"/>
    <w:pPr>
      <w:shd w:val="clear" w:color="auto" w:fill="FFFFFF"/>
      <w:spacing w:after="0" w:line="0" w:lineRule="atLeast"/>
    </w:pPr>
    <w:rPr>
      <w:rFonts w:ascii="Segoe UI" w:eastAsia="Segoe UI" w:hAnsi="Segoe UI" w:cs="Segoe UI"/>
      <w:sz w:val="8"/>
      <w:szCs w:val="8"/>
      <w:lang w:eastAsia="ru-RU"/>
    </w:rPr>
  </w:style>
  <w:style w:type="character" w:customStyle="1" w:styleId="231">
    <w:name w:val="Основной текст (23)_"/>
    <w:basedOn w:val="a0"/>
    <w:link w:val="232"/>
    <w:rsid w:val="00811C95"/>
    <w:rPr>
      <w:rFonts w:ascii="Segoe UI" w:eastAsia="Segoe UI" w:hAnsi="Segoe UI" w:cs="Segoe UI"/>
      <w:sz w:val="8"/>
      <w:szCs w:val="8"/>
      <w:shd w:val="clear" w:color="auto" w:fill="FFFFFF"/>
    </w:rPr>
  </w:style>
  <w:style w:type="paragraph" w:customStyle="1" w:styleId="232">
    <w:name w:val="Основной текст (23)"/>
    <w:basedOn w:val="a"/>
    <w:link w:val="231"/>
    <w:rsid w:val="00811C95"/>
    <w:pPr>
      <w:shd w:val="clear" w:color="auto" w:fill="FFFFFF"/>
      <w:spacing w:after="0" w:line="0" w:lineRule="atLeast"/>
    </w:pPr>
    <w:rPr>
      <w:rFonts w:ascii="Segoe UI" w:eastAsia="Segoe UI" w:hAnsi="Segoe UI" w:cs="Segoe UI"/>
      <w:sz w:val="8"/>
      <w:szCs w:val="8"/>
      <w:lang w:eastAsia="ru-RU"/>
    </w:rPr>
  </w:style>
  <w:style w:type="character" w:customStyle="1" w:styleId="11-1pt">
    <w:name w:val="Основной текст (11) + Интервал -1 pt"/>
    <w:basedOn w:val="116"/>
    <w:rsid w:val="00811C95"/>
    <w:rPr>
      <w:rFonts w:ascii="Segoe UI" w:eastAsia="Segoe UI" w:hAnsi="Segoe UI" w:cs="Segoe UI"/>
      <w:b w:val="0"/>
      <w:bCs w:val="0"/>
      <w:i w:val="0"/>
      <w:iCs w:val="0"/>
      <w:smallCaps w:val="0"/>
      <w:strike w:val="0"/>
      <w:spacing w:val="-20"/>
      <w:sz w:val="17"/>
      <w:szCs w:val="17"/>
    </w:rPr>
  </w:style>
  <w:style w:type="character" w:customStyle="1" w:styleId="2f3">
    <w:name w:val="Сноска (2)_"/>
    <w:basedOn w:val="a0"/>
    <w:link w:val="2f4"/>
    <w:rsid w:val="00811C95"/>
    <w:rPr>
      <w:rFonts w:ascii="Arial Narrow" w:eastAsia="Arial Narrow" w:hAnsi="Arial Narrow" w:cs="Arial Narrow"/>
      <w:sz w:val="13"/>
      <w:szCs w:val="13"/>
      <w:shd w:val="clear" w:color="auto" w:fill="FFFFFF"/>
    </w:rPr>
  </w:style>
  <w:style w:type="paragraph" w:customStyle="1" w:styleId="2f4">
    <w:name w:val="Сноска (2)"/>
    <w:basedOn w:val="a"/>
    <w:link w:val="2f3"/>
    <w:rsid w:val="00811C95"/>
    <w:pPr>
      <w:shd w:val="clear" w:color="auto" w:fill="FFFFFF"/>
      <w:spacing w:after="0" w:line="0" w:lineRule="atLeast"/>
    </w:pPr>
    <w:rPr>
      <w:rFonts w:ascii="Arial Narrow" w:eastAsia="Arial Narrow" w:hAnsi="Arial Narrow" w:cs="Arial Narrow"/>
      <w:sz w:val="13"/>
      <w:szCs w:val="13"/>
      <w:lang w:eastAsia="ru-RU"/>
    </w:rPr>
  </w:style>
  <w:style w:type="character" w:customStyle="1" w:styleId="345pt">
    <w:name w:val="Основной текст + 34;5 pt"/>
    <w:basedOn w:val="aff1"/>
    <w:rsid w:val="00811C95"/>
    <w:rPr>
      <w:rFonts w:ascii="Arial Narrow" w:eastAsia="Arial Narrow" w:hAnsi="Arial Narrow" w:cs="Arial Narrow"/>
      <w:b w:val="0"/>
      <w:bCs w:val="0"/>
      <w:i w:val="0"/>
      <w:iCs w:val="0"/>
      <w:smallCaps w:val="0"/>
      <w:strike w:val="0"/>
      <w:spacing w:val="0"/>
      <w:w w:val="100"/>
      <w:sz w:val="69"/>
      <w:szCs w:val="69"/>
      <w:shd w:val="clear" w:color="auto" w:fill="FFFFFF"/>
    </w:rPr>
  </w:style>
  <w:style w:type="character" w:customStyle="1" w:styleId="51pt">
    <w:name w:val="Основной текст (5) + Интервал 1 pt"/>
    <w:basedOn w:val="5a"/>
    <w:rsid w:val="00811C95"/>
    <w:rPr>
      <w:rFonts w:ascii="Arial Narrow" w:eastAsia="Arial Narrow" w:hAnsi="Arial Narrow" w:cs="Arial Narrow"/>
      <w:spacing w:val="20"/>
      <w:sz w:val="17"/>
      <w:szCs w:val="17"/>
      <w:shd w:val="clear" w:color="auto" w:fill="FFFFFF"/>
    </w:rPr>
  </w:style>
  <w:style w:type="character" w:customStyle="1" w:styleId="510pt">
    <w:name w:val="Основной текст (5) + 10 pt;Полужирный;Не курсив"/>
    <w:basedOn w:val="5a"/>
    <w:rsid w:val="00811C95"/>
    <w:rPr>
      <w:rFonts w:ascii="Arial Narrow" w:eastAsia="Arial Narrow" w:hAnsi="Arial Narrow" w:cs="Arial Narrow"/>
      <w:b/>
      <w:bCs/>
      <w:i/>
      <w:iCs/>
      <w:sz w:val="20"/>
      <w:szCs w:val="20"/>
      <w:shd w:val="clear" w:color="auto" w:fill="FFFFFF"/>
    </w:rPr>
  </w:style>
  <w:style w:type="character" w:customStyle="1" w:styleId="108">
    <w:name w:val="Заголовок №10_"/>
    <w:basedOn w:val="a0"/>
    <w:rsid w:val="00811C95"/>
    <w:rPr>
      <w:rFonts w:ascii="Segoe UI" w:eastAsia="Segoe UI" w:hAnsi="Segoe UI" w:cs="Segoe UI"/>
      <w:b w:val="0"/>
      <w:bCs w:val="0"/>
      <w:i w:val="0"/>
      <w:iCs w:val="0"/>
      <w:smallCaps w:val="0"/>
      <w:strike w:val="0"/>
      <w:spacing w:val="-20"/>
      <w:sz w:val="24"/>
      <w:szCs w:val="24"/>
    </w:rPr>
  </w:style>
  <w:style w:type="character" w:customStyle="1" w:styleId="3f">
    <w:name w:val="Сноска (3)_"/>
    <w:basedOn w:val="a0"/>
    <w:link w:val="3f0"/>
    <w:rsid w:val="00811C95"/>
    <w:rPr>
      <w:rFonts w:ascii="Arial Narrow" w:eastAsia="Arial Narrow" w:hAnsi="Arial Narrow" w:cs="Arial Narrow"/>
      <w:sz w:val="18"/>
      <w:szCs w:val="18"/>
      <w:shd w:val="clear" w:color="auto" w:fill="FFFFFF"/>
    </w:rPr>
  </w:style>
  <w:style w:type="paragraph" w:customStyle="1" w:styleId="3f0">
    <w:name w:val="Сноска (3)"/>
    <w:basedOn w:val="a"/>
    <w:link w:val="3f"/>
    <w:rsid w:val="00811C95"/>
    <w:pPr>
      <w:shd w:val="clear" w:color="auto" w:fill="FFFFFF"/>
      <w:spacing w:after="0" w:line="205" w:lineRule="exact"/>
      <w:jc w:val="both"/>
    </w:pPr>
    <w:rPr>
      <w:rFonts w:ascii="Arial Narrow" w:eastAsia="Arial Narrow" w:hAnsi="Arial Narrow" w:cs="Arial Narrow"/>
      <w:sz w:val="18"/>
      <w:szCs w:val="18"/>
      <w:lang w:eastAsia="ru-RU"/>
    </w:rPr>
  </w:style>
  <w:style w:type="character" w:customStyle="1" w:styleId="8pt0pt">
    <w:name w:val="Сноска + 8 pt;Полужирный;Интервал 0 pt"/>
    <w:basedOn w:val="aff5"/>
    <w:rsid w:val="00811C95"/>
    <w:rPr>
      <w:rFonts w:ascii="Arial Narrow" w:eastAsia="Arial Narrow" w:hAnsi="Arial Narrow" w:cs="Arial Narrow"/>
      <w:b/>
      <w:bCs/>
      <w:i w:val="0"/>
      <w:iCs w:val="0"/>
      <w:smallCaps w:val="0"/>
      <w:strike w:val="0"/>
      <w:noProof/>
      <w:spacing w:val="-10"/>
      <w:w w:val="100"/>
      <w:sz w:val="16"/>
      <w:szCs w:val="16"/>
      <w:shd w:val="clear" w:color="auto" w:fill="FFFFFF"/>
      <w:lang w:val="en-US"/>
    </w:rPr>
  </w:style>
  <w:style w:type="character" w:customStyle="1" w:styleId="BookmanOldStyle50">
    <w:name w:val="Основной текст + Bookman Old Style;Малые прописные;Масштаб 50%"/>
    <w:basedOn w:val="aff1"/>
    <w:rsid w:val="00811C95"/>
    <w:rPr>
      <w:rFonts w:ascii="Bookman Old Style" w:eastAsia="Bookman Old Style" w:hAnsi="Bookman Old Style" w:cs="Bookman Old Style"/>
      <w:b w:val="0"/>
      <w:bCs w:val="0"/>
      <w:i w:val="0"/>
      <w:iCs w:val="0"/>
      <w:smallCaps/>
      <w:strike w:val="0"/>
      <w:spacing w:val="0"/>
      <w:w w:val="50"/>
      <w:sz w:val="17"/>
      <w:szCs w:val="17"/>
      <w:shd w:val="clear" w:color="auto" w:fill="FFFFFF"/>
    </w:rPr>
  </w:style>
  <w:style w:type="character" w:customStyle="1" w:styleId="1pt0">
    <w:name w:val="Основной текст + Курсив;Интервал 1 pt"/>
    <w:basedOn w:val="aff1"/>
    <w:rsid w:val="00811C95"/>
    <w:rPr>
      <w:rFonts w:ascii="Arial Narrow" w:eastAsia="Arial Narrow" w:hAnsi="Arial Narrow" w:cs="Arial Narrow"/>
      <w:b w:val="0"/>
      <w:bCs w:val="0"/>
      <w:i/>
      <w:iCs/>
      <w:smallCaps w:val="0"/>
      <w:strike w:val="0"/>
      <w:spacing w:val="20"/>
      <w:w w:val="100"/>
      <w:sz w:val="17"/>
      <w:szCs w:val="17"/>
      <w:shd w:val="clear" w:color="auto" w:fill="FFFFFF"/>
      <w:lang w:val="en-US"/>
    </w:rPr>
  </w:style>
  <w:style w:type="character" w:customStyle="1" w:styleId="75pt1">
    <w:name w:val="Основной текст + 7;5 pt;Курсив"/>
    <w:basedOn w:val="aff1"/>
    <w:rsid w:val="00811C95"/>
    <w:rPr>
      <w:rFonts w:ascii="Arial Narrow" w:eastAsia="Arial Narrow" w:hAnsi="Arial Narrow" w:cs="Arial Narrow"/>
      <w:b w:val="0"/>
      <w:bCs w:val="0"/>
      <w:i/>
      <w:iCs/>
      <w:smallCaps w:val="0"/>
      <w:strike w:val="0"/>
      <w:spacing w:val="0"/>
      <w:w w:val="100"/>
      <w:sz w:val="15"/>
      <w:szCs w:val="15"/>
      <w:shd w:val="clear" w:color="auto" w:fill="FFFFFF"/>
      <w:lang w:val="en-US"/>
    </w:rPr>
  </w:style>
  <w:style w:type="character" w:customStyle="1" w:styleId="69">
    <w:name w:val="Заголовок №6_"/>
    <w:basedOn w:val="a0"/>
    <w:rsid w:val="00811C95"/>
    <w:rPr>
      <w:rFonts w:ascii="Arial Narrow" w:eastAsia="Arial Narrow" w:hAnsi="Arial Narrow" w:cs="Arial Narrow"/>
      <w:b w:val="0"/>
      <w:bCs w:val="0"/>
      <w:i w:val="0"/>
      <w:iCs w:val="0"/>
      <w:smallCaps w:val="0"/>
      <w:strike w:val="0"/>
      <w:spacing w:val="0"/>
      <w:sz w:val="52"/>
      <w:szCs w:val="52"/>
    </w:rPr>
  </w:style>
  <w:style w:type="character" w:customStyle="1" w:styleId="83">
    <w:name w:val="Основной текст8"/>
    <w:basedOn w:val="aff1"/>
    <w:rsid w:val="00811C95"/>
    <w:rPr>
      <w:rFonts w:ascii="Arial Narrow" w:eastAsia="Arial Narrow" w:hAnsi="Arial Narrow" w:cs="Arial Narrow"/>
      <w:b w:val="0"/>
      <w:bCs w:val="0"/>
      <w:i w:val="0"/>
      <w:iCs w:val="0"/>
      <w:smallCaps w:val="0"/>
      <w:strike w:val="0"/>
      <w:spacing w:val="0"/>
      <w:w w:val="100"/>
      <w:sz w:val="17"/>
      <w:szCs w:val="17"/>
      <w:shd w:val="clear" w:color="auto" w:fill="FFFFFF"/>
    </w:rPr>
  </w:style>
  <w:style w:type="character" w:customStyle="1" w:styleId="7pt0">
    <w:name w:val="Основной текст + Интервал 7 pt"/>
    <w:basedOn w:val="aff1"/>
    <w:rsid w:val="00811C95"/>
    <w:rPr>
      <w:rFonts w:ascii="Arial Narrow" w:eastAsia="Arial Narrow" w:hAnsi="Arial Narrow" w:cs="Arial Narrow"/>
      <w:b w:val="0"/>
      <w:bCs w:val="0"/>
      <w:i w:val="0"/>
      <w:iCs w:val="0"/>
      <w:smallCaps w:val="0"/>
      <w:strike w:val="0"/>
      <w:spacing w:val="140"/>
      <w:w w:val="100"/>
      <w:sz w:val="17"/>
      <w:szCs w:val="17"/>
      <w:shd w:val="clear" w:color="auto" w:fill="FFFFFF"/>
    </w:rPr>
  </w:style>
  <w:style w:type="character" w:customStyle="1" w:styleId="Calibri13pt1pt">
    <w:name w:val="Основной текст + Calibri;13 pt;Полужирный;Интервал 1 pt"/>
    <w:basedOn w:val="aff1"/>
    <w:rsid w:val="00811C95"/>
    <w:rPr>
      <w:rFonts w:ascii="Calibri" w:eastAsia="Calibri" w:hAnsi="Calibri" w:cs="Calibri"/>
      <w:b/>
      <w:bCs/>
      <w:i w:val="0"/>
      <w:iCs w:val="0"/>
      <w:smallCaps w:val="0"/>
      <w:strike w:val="0"/>
      <w:spacing w:val="20"/>
      <w:w w:val="100"/>
      <w:sz w:val="26"/>
      <w:szCs w:val="26"/>
      <w:shd w:val="clear" w:color="auto" w:fill="FFFFFF"/>
    </w:rPr>
  </w:style>
  <w:style w:type="character" w:customStyle="1" w:styleId="84">
    <w:name w:val="Заголовок №8_"/>
    <w:basedOn w:val="a0"/>
    <w:rsid w:val="00811C95"/>
    <w:rPr>
      <w:rFonts w:ascii="Arial Narrow" w:eastAsia="Arial Narrow" w:hAnsi="Arial Narrow" w:cs="Arial Narrow"/>
      <w:b w:val="0"/>
      <w:bCs w:val="0"/>
      <w:i w:val="0"/>
      <w:iCs w:val="0"/>
      <w:smallCaps w:val="0"/>
      <w:strike w:val="0"/>
      <w:spacing w:val="0"/>
      <w:sz w:val="39"/>
      <w:szCs w:val="39"/>
    </w:rPr>
  </w:style>
  <w:style w:type="character" w:customStyle="1" w:styleId="85">
    <w:name w:val="Заголовок №8"/>
    <w:basedOn w:val="84"/>
    <w:rsid w:val="00811C95"/>
    <w:rPr>
      <w:rFonts w:ascii="Arial Narrow" w:eastAsia="Arial Narrow" w:hAnsi="Arial Narrow" w:cs="Arial Narrow"/>
      <w:b w:val="0"/>
      <w:bCs w:val="0"/>
      <w:i w:val="0"/>
      <w:iCs w:val="0"/>
      <w:smallCaps w:val="0"/>
      <w:strike w:val="0"/>
      <w:color w:val="FFFFFF"/>
      <w:spacing w:val="0"/>
      <w:sz w:val="39"/>
      <w:szCs w:val="39"/>
    </w:rPr>
  </w:style>
  <w:style w:type="character" w:customStyle="1" w:styleId="162">
    <w:name w:val="Основной текст (16)_"/>
    <w:basedOn w:val="a0"/>
    <w:rsid w:val="00811C95"/>
    <w:rPr>
      <w:rFonts w:ascii="Arial Narrow" w:eastAsia="Arial Narrow" w:hAnsi="Arial Narrow" w:cs="Arial Narrow"/>
      <w:b w:val="0"/>
      <w:bCs w:val="0"/>
      <w:i w:val="0"/>
      <w:iCs w:val="0"/>
      <w:smallCaps w:val="0"/>
      <w:strike w:val="0"/>
      <w:spacing w:val="0"/>
      <w:w w:val="100"/>
      <w:sz w:val="17"/>
      <w:szCs w:val="17"/>
    </w:rPr>
  </w:style>
  <w:style w:type="character" w:customStyle="1" w:styleId="163">
    <w:name w:val="Основной текст (16)"/>
    <w:basedOn w:val="162"/>
    <w:rsid w:val="00811C95"/>
    <w:rPr>
      <w:rFonts w:ascii="Arial Narrow" w:eastAsia="Arial Narrow" w:hAnsi="Arial Narrow" w:cs="Arial Narrow"/>
      <w:b w:val="0"/>
      <w:bCs w:val="0"/>
      <w:i w:val="0"/>
      <w:iCs w:val="0"/>
      <w:smallCaps w:val="0"/>
      <w:strike w:val="0"/>
      <w:spacing w:val="0"/>
      <w:w w:val="100"/>
      <w:sz w:val="17"/>
      <w:szCs w:val="17"/>
    </w:rPr>
  </w:style>
  <w:style w:type="character" w:customStyle="1" w:styleId="2-1pt">
    <w:name w:val="Основной текст (2) + Интервал -1 pt"/>
    <w:basedOn w:val="2a"/>
    <w:rsid w:val="00811C95"/>
    <w:rPr>
      <w:rFonts w:ascii="Tahoma" w:eastAsia="Tahoma" w:hAnsi="Tahoma" w:cs="Tahoma"/>
      <w:b w:val="0"/>
      <w:bCs w:val="0"/>
      <w:i w:val="0"/>
      <w:iCs w:val="0"/>
      <w:smallCaps w:val="0"/>
      <w:strike w:val="0"/>
      <w:spacing w:val="-20"/>
      <w:sz w:val="19"/>
      <w:szCs w:val="19"/>
      <w:u w:val="single"/>
      <w:shd w:val="clear" w:color="auto" w:fill="FFFFFF"/>
      <w:lang w:eastAsia="en-US"/>
    </w:rPr>
  </w:style>
  <w:style w:type="character" w:customStyle="1" w:styleId="117">
    <w:name w:val="Заголовок №11_"/>
    <w:basedOn w:val="a0"/>
    <w:rsid w:val="00811C95"/>
    <w:rPr>
      <w:rFonts w:ascii="Tahoma" w:eastAsia="Tahoma" w:hAnsi="Tahoma" w:cs="Tahoma"/>
      <w:b w:val="0"/>
      <w:bCs w:val="0"/>
      <w:i w:val="0"/>
      <w:iCs w:val="0"/>
      <w:smallCaps w:val="0"/>
      <w:strike w:val="0"/>
      <w:spacing w:val="0"/>
      <w:sz w:val="20"/>
      <w:szCs w:val="20"/>
    </w:rPr>
  </w:style>
  <w:style w:type="character" w:customStyle="1" w:styleId="124">
    <w:name w:val="Основной текст (12) + Не курсив"/>
    <w:basedOn w:val="122"/>
    <w:rsid w:val="00811C95"/>
    <w:rPr>
      <w:rFonts w:ascii="Arial Narrow" w:eastAsia="Arial Narrow" w:hAnsi="Arial Narrow" w:cs="Arial Narrow"/>
      <w:b w:val="0"/>
      <w:bCs w:val="0"/>
      <w:i/>
      <w:iCs/>
      <w:smallCaps w:val="0"/>
      <w:strike w:val="0"/>
      <w:spacing w:val="0"/>
      <w:w w:val="100"/>
      <w:sz w:val="17"/>
      <w:szCs w:val="17"/>
      <w:shd w:val="clear" w:color="auto" w:fill="FFFFFF"/>
      <w:lang w:eastAsia="en-US"/>
    </w:rPr>
  </w:style>
  <w:style w:type="character" w:customStyle="1" w:styleId="922">
    <w:name w:val="Заголовок №9 (2)_"/>
    <w:basedOn w:val="a0"/>
    <w:link w:val="923"/>
    <w:rsid w:val="00811C95"/>
    <w:rPr>
      <w:rFonts w:ascii="Tahoma" w:eastAsia="Tahoma" w:hAnsi="Tahoma" w:cs="Tahoma"/>
      <w:sz w:val="19"/>
      <w:szCs w:val="19"/>
      <w:shd w:val="clear" w:color="auto" w:fill="FFFFFF"/>
    </w:rPr>
  </w:style>
  <w:style w:type="paragraph" w:customStyle="1" w:styleId="923">
    <w:name w:val="Заголовок №9 (2)"/>
    <w:basedOn w:val="a"/>
    <w:link w:val="922"/>
    <w:rsid w:val="00811C95"/>
    <w:pPr>
      <w:shd w:val="clear" w:color="auto" w:fill="FFFFFF"/>
      <w:spacing w:after="0" w:line="0" w:lineRule="atLeast"/>
      <w:outlineLvl w:val="8"/>
    </w:pPr>
    <w:rPr>
      <w:rFonts w:ascii="Tahoma" w:eastAsia="Tahoma" w:hAnsi="Tahoma" w:cs="Tahoma"/>
      <w:sz w:val="19"/>
      <w:szCs w:val="19"/>
      <w:lang w:eastAsia="ru-RU"/>
    </w:rPr>
  </w:style>
  <w:style w:type="character" w:customStyle="1" w:styleId="92-1pt">
    <w:name w:val="Заголовок №9 (2) + Интервал -1 pt"/>
    <w:basedOn w:val="922"/>
    <w:rsid w:val="00811C95"/>
    <w:rPr>
      <w:rFonts w:ascii="Tahoma" w:eastAsia="Tahoma" w:hAnsi="Tahoma" w:cs="Tahoma"/>
      <w:spacing w:val="-20"/>
      <w:sz w:val="19"/>
      <w:szCs w:val="19"/>
      <w:u w:val="single"/>
      <w:shd w:val="clear" w:color="auto" w:fill="FFFFFF"/>
    </w:rPr>
  </w:style>
  <w:style w:type="character" w:customStyle="1" w:styleId="95">
    <w:name w:val="Подпись к картинке (9)_"/>
    <w:basedOn w:val="a0"/>
    <w:link w:val="96"/>
    <w:rsid w:val="00811C95"/>
    <w:rPr>
      <w:rFonts w:ascii="Arial Narrow" w:eastAsia="Arial Narrow" w:hAnsi="Arial Narrow" w:cs="Arial Narrow"/>
      <w:sz w:val="17"/>
      <w:szCs w:val="17"/>
      <w:shd w:val="clear" w:color="auto" w:fill="FFFFFF"/>
    </w:rPr>
  </w:style>
  <w:style w:type="paragraph" w:customStyle="1" w:styleId="96">
    <w:name w:val="Подпись к картинке (9)"/>
    <w:basedOn w:val="a"/>
    <w:link w:val="95"/>
    <w:rsid w:val="00811C95"/>
    <w:pPr>
      <w:shd w:val="clear" w:color="auto" w:fill="FFFFFF"/>
      <w:spacing w:after="0" w:line="0" w:lineRule="atLeast"/>
    </w:pPr>
    <w:rPr>
      <w:rFonts w:ascii="Arial Narrow" w:eastAsia="Arial Narrow" w:hAnsi="Arial Narrow" w:cs="Arial Narrow"/>
      <w:sz w:val="17"/>
      <w:szCs w:val="17"/>
      <w:lang w:eastAsia="ru-RU"/>
    </w:rPr>
  </w:style>
  <w:style w:type="character" w:customStyle="1" w:styleId="4e">
    <w:name w:val="Заголовок №4_"/>
    <w:basedOn w:val="a0"/>
    <w:rsid w:val="00811C95"/>
    <w:rPr>
      <w:rFonts w:ascii="Arial Narrow" w:eastAsia="Arial Narrow" w:hAnsi="Arial Narrow" w:cs="Arial Narrow"/>
      <w:b w:val="0"/>
      <w:bCs w:val="0"/>
      <w:i w:val="0"/>
      <w:iCs w:val="0"/>
      <w:smallCaps w:val="0"/>
      <w:strike w:val="0"/>
      <w:spacing w:val="0"/>
      <w:sz w:val="51"/>
      <w:szCs w:val="51"/>
    </w:rPr>
  </w:style>
  <w:style w:type="character" w:customStyle="1" w:styleId="4355pt">
    <w:name w:val="Заголовок №4 + 35;5 pt;Не малые прописные"/>
    <w:basedOn w:val="4e"/>
    <w:rsid w:val="00811C95"/>
    <w:rPr>
      <w:rFonts w:ascii="Arial Narrow" w:eastAsia="Arial Narrow" w:hAnsi="Arial Narrow" w:cs="Arial Narrow"/>
      <w:b w:val="0"/>
      <w:bCs w:val="0"/>
      <w:i w:val="0"/>
      <w:iCs w:val="0"/>
      <w:smallCaps/>
      <w:strike w:val="0"/>
      <w:color w:val="FFFFFF"/>
      <w:spacing w:val="0"/>
      <w:sz w:val="71"/>
      <w:szCs w:val="71"/>
    </w:rPr>
  </w:style>
  <w:style w:type="character" w:customStyle="1" w:styleId="4f">
    <w:name w:val="Заголовок №4"/>
    <w:basedOn w:val="4e"/>
    <w:rsid w:val="00811C95"/>
    <w:rPr>
      <w:rFonts w:ascii="Arial Narrow" w:eastAsia="Arial Narrow" w:hAnsi="Arial Narrow" w:cs="Arial Narrow"/>
      <w:b w:val="0"/>
      <w:bCs w:val="0"/>
      <w:i w:val="0"/>
      <w:iCs w:val="0"/>
      <w:smallCaps w:val="0"/>
      <w:strike w:val="0"/>
      <w:color w:val="FFFFFF"/>
      <w:spacing w:val="0"/>
      <w:sz w:val="51"/>
      <w:szCs w:val="51"/>
    </w:rPr>
  </w:style>
  <w:style w:type="character" w:customStyle="1" w:styleId="428pt">
    <w:name w:val="Заголовок №4 + 28 pt;Не малые прописные"/>
    <w:basedOn w:val="4e"/>
    <w:rsid w:val="00811C95"/>
    <w:rPr>
      <w:rFonts w:ascii="Arial Narrow" w:eastAsia="Arial Narrow" w:hAnsi="Arial Narrow" w:cs="Arial Narrow"/>
      <w:b w:val="0"/>
      <w:bCs w:val="0"/>
      <w:i w:val="0"/>
      <w:iCs w:val="0"/>
      <w:smallCaps/>
      <w:strike w:val="0"/>
      <w:color w:val="FFFFFF"/>
      <w:spacing w:val="0"/>
      <w:sz w:val="56"/>
      <w:szCs w:val="56"/>
    </w:rPr>
  </w:style>
  <w:style w:type="character" w:customStyle="1" w:styleId="SegoeUI39pt">
    <w:name w:val="Основной текст + Segoe UI;39 pt"/>
    <w:basedOn w:val="aff1"/>
    <w:rsid w:val="00811C95"/>
    <w:rPr>
      <w:rFonts w:ascii="Segoe UI" w:eastAsia="Segoe UI" w:hAnsi="Segoe UI" w:cs="Segoe UI"/>
      <w:b w:val="0"/>
      <w:bCs w:val="0"/>
      <w:i w:val="0"/>
      <w:iCs w:val="0"/>
      <w:smallCaps w:val="0"/>
      <w:strike w:val="0"/>
      <w:spacing w:val="0"/>
      <w:w w:val="100"/>
      <w:sz w:val="78"/>
      <w:szCs w:val="78"/>
      <w:shd w:val="clear" w:color="auto" w:fill="FFFFFF"/>
    </w:rPr>
  </w:style>
  <w:style w:type="paragraph" w:customStyle="1" w:styleId="233">
    <w:name w:val="Основной текст23"/>
    <w:basedOn w:val="a"/>
    <w:rsid w:val="00811C95"/>
    <w:pPr>
      <w:shd w:val="clear" w:color="auto" w:fill="FFFFFF"/>
      <w:spacing w:before="480" w:after="180" w:line="0" w:lineRule="atLeast"/>
      <w:ind w:hanging="200"/>
    </w:pPr>
    <w:rPr>
      <w:rFonts w:ascii="Arial Narrow" w:eastAsia="Arial Narrow" w:hAnsi="Arial Narrow" w:cs="Arial Narrow"/>
      <w:color w:val="000000"/>
      <w:sz w:val="18"/>
      <w:szCs w:val="18"/>
      <w:lang w:eastAsia="ru-RU"/>
    </w:rPr>
  </w:style>
  <w:style w:type="character" w:customStyle="1" w:styleId="3-1pt">
    <w:name w:val="Основной текст (3) + Интервал -1 pt"/>
    <w:basedOn w:val="35"/>
    <w:rsid w:val="00811C95"/>
    <w:rPr>
      <w:rFonts w:ascii="Arial Narrow" w:eastAsia="Arial Narrow" w:hAnsi="Arial Narrow" w:cs="Arial Narrow"/>
      <w:spacing w:val="-20"/>
      <w:sz w:val="20"/>
      <w:szCs w:val="20"/>
      <w:u w:val="single"/>
      <w:shd w:val="clear" w:color="auto" w:fill="FFFFFF"/>
    </w:rPr>
  </w:style>
  <w:style w:type="character" w:customStyle="1" w:styleId="2f5">
    <w:name w:val="Подпись к картинке (2)_"/>
    <w:basedOn w:val="a0"/>
    <w:rsid w:val="00811C95"/>
    <w:rPr>
      <w:rFonts w:ascii="Arial Narrow" w:eastAsia="Arial Narrow" w:hAnsi="Arial Narrow" w:cs="Arial Narrow"/>
      <w:b w:val="0"/>
      <w:bCs w:val="0"/>
      <w:i w:val="0"/>
      <w:iCs w:val="0"/>
      <w:smallCaps w:val="0"/>
      <w:strike w:val="0"/>
      <w:spacing w:val="0"/>
      <w:w w:val="100"/>
      <w:sz w:val="18"/>
      <w:szCs w:val="18"/>
      <w:lang w:val="en-US"/>
    </w:rPr>
  </w:style>
  <w:style w:type="character" w:customStyle="1" w:styleId="5c">
    <w:name w:val="Подпись к картинке (5)_"/>
    <w:basedOn w:val="a0"/>
    <w:rsid w:val="00811C95"/>
    <w:rPr>
      <w:rFonts w:ascii="Arial Narrow" w:eastAsia="Arial Narrow" w:hAnsi="Arial Narrow" w:cs="Arial Narrow"/>
      <w:b w:val="0"/>
      <w:bCs w:val="0"/>
      <w:i w:val="0"/>
      <w:iCs w:val="0"/>
      <w:smallCaps w:val="0"/>
      <w:strike w:val="0"/>
      <w:spacing w:val="0"/>
      <w:w w:val="100"/>
      <w:sz w:val="18"/>
      <w:szCs w:val="18"/>
    </w:rPr>
  </w:style>
  <w:style w:type="character" w:customStyle="1" w:styleId="5-1pt">
    <w:name w:val="Подпись к картинке (5) + Интервал -1 pt"/>
    <w:basedOn w:val="5c"/>
    <w:rsid w:val="00811C95"/>
    <w:rPr>
      <w:rFonts w:ascii="Arial Narrow" w:eastAsia="Arial Narrow" w:hAnsi="Arial Narrow" w:cs="Arial Narrow"/>
      <w:b w:val="0"/>
      <w:bCs w:val="0"/>
      <w:i w:val="0"/>
      <w:iCs w:val="0"/>
      <w:smallCaps w:val="0"/>
      <w:strike w:val="0"/>
      <w:color w:val="EBEBEB"/>
      <w:spacing w:val="-20"/>
      <w:w w:val="100"/>
      <w:sz w:val="18"/>
      <w:szCs w:val="18"/>
      <w:lang w:val="en-US"/>
    </w:rPr>
  </w:style>
  <w:style w:type="character" w:customStyle="1" w:styleId="5d">
    <w:name w:val="Подпись к картинке (5) + Курсив"/>
    <w:basedOn w:val="5c"/>
    <w:rsid w:val="00811C95"/>
    <w:rPr>
      <w:rFonts w:ascii="Arial Narrow" w:eastAsia="Arial Narrow" w:hAnsi="Arial Narrow" w:cs="Arial Narrow"/>
      <w:b w:val="0"/>
      <w:bCs w:val="0"/>
      <w:i/>
      <w:iCs/>
      <w:smallCaps w:val="0"/>
      <w:strike w:val="0"/>
      <w:color w:val="EBEBEB"/>
      <w:spacing w:val="0"/>
      <w:w w:val="100"/>
      <w:sz w:val="18"/>
      <w:szCs w:val="18"/>
    </w:rPr>
  </w:style>
  <w:style w:type="character" w:customStyle="1" w:styleId="5Batang5pt">
    <w:name w:val="Подпись к картинке (5) + Batang;5 pt;Курсив"/>
    <w:basedOn w:val="5c"/>
    <w:rsid w:val="00811C95"/>
    <w:rPr>
      <w:rFonts w:ascii="Batang" w:eastAsia="Batang" w:hAnsi="Batang" w:cs="Batang"/>
      <w:b w:val="0"/>
      <w:bCs w:val="0"/>
      <w:i/>
      <w:iCs/>
      <w:smallCaps w:val="0"/>
      <w:strike w:val="0"/>
      <w:color w:val="EBEBEB"/>
      <w:spacing w:val="0"/>
      <w:w w:val="100"/>
      <w:sz w:val="10"/>
      <w:szCs w:val="10"/>
    </w:rPr>
  </w:style>
  <w:style w:type="character" w:customStyle="1" w:styleId="6a">
    <w:name w:val="Подпись к картинке (6)_"/>
    <w:basedOn w:val="a0"/>
    <w:rsid w:val="00811C95"/>
    <w:rPr>
      <w:rFonts w:ascii="Arial Narrow" w:eastAsia="Arial Narrow" w:hAnsi="Arial Narrow" w:cs="Arial Narrow"/>
      <w:b w:val="0"/>
      <w:bCs w:val="0"/>
      <w:i w:val="0"/>
      <w:iCs w:val="0"/>
      <w:smallCaps w:val="0"/>
      <w:strike w:val="0"/>
      <w:spacing w:val="0"/>
      <w:sz w:val="20"/>
      <w:szCs w:val="20"/>
      <w:lang w:val="en-US"/>
    </w:rPr>
  </w:style>
  <w:style w:type="character" w:customStyle="1" w:styleId="2-1pt0">
    <w:name w:val="Подпись к картинке (2) + Интервал -1 pt"/>
    <w:basedOn w:val="2f5"/>
    <w:rsid w:val="00811C95"/>
    <w:rPr>
      <w:rFonts w:ascii="Arial Narrow" w:eastAsia="Arial Narrow" w:hAnsi="Arial Narrow" w:cs="Arial Narrow"/>
      <w:b w:val="0"/>
      <w:bCs w:val="0"/>
      <w:i w:val="0"/>
      <w:iCs w:val="0"/>
      <w:smallCaps w:val="0"/>
      <w:strike w:val="0"/>
      <w:color w:val="EBEBEB"/>
      <w:spacing w:val="-20"/>
      <w:w w:val="100"/>
      <w:sz w:val="18"/>
      <w:szCs w:val="18"/>
      <w:lang w:val="en-US"/>
    </w:rPr>
  </w:style>
  <w:style w:type="character" w:customStyle="1" w:styleId="78">
    <w:name w:val="Подпись к картинке (7)_"/>
    <w:basedOn w:val="a0"/>
    <w:rsid w:val="00811C95"/>
    <w:rPr>
      <w:rFonts w:ascii="Batang" w:eastAsia="Batang" w:hAnsi="Batang" w:cs="Batang"/>
      <w:b w:val="0"/>
      <w:bCs w:val="0"/>
      <w:i w:val="0"/>
      <w:iCs w:val="0"/>
      <w:smallCaps w:val="0"/>
      <w:strike w:val="0"/>
      <w:spacing w:val="0"/>
      <w:sz w:val="10"/>
      <w:szCs w:val="10"/>
      <w:lang w:val="en-US"/>
    </w:rPr>
  </w:style>
  <w:style w:type="character" w:customStyle="1" w:styleId="2Batang5pt">
    <w:name w:val="Подпись к картинке (2) + Batang;5 pt"/>
    <w:basedOn w:val="2f5"/>
    <w:rsid w:val="00811C95"/>
    <w:rPr>
      <w:rFonts w:ascii="Batang" w:eastAsia="Batang" w:hAnsi="Batang" w:cs="Batang"/>
      <w:b w:val="0"/>
      <w:bCs w:val="0"/>
      <w:i w:val="0"/>
      <w:iCs w:val="0"/>
      <w:smallCaps w:val="0"/>
      <w:strike w:val="0"/>
      <w:color w:val="EBEBEB"/>
      <w:spacing w:val="0"/>
      <w:w w:val="100"/>
      <w:sz w:val="10"/>
      <w:szCs w:val="10"/>
      <w:lang w:val="en-US"/>
    </w:rPr>
  </w:style>
  <w:style w:type="character" w:customStyle="1" w:styleId="7ArialNarrow9pt-1pt">
    <w:name w:val="Подпись к картинке (7) + Arial Narrow;9 pt;Интервал -1 pt"/>
    <w:basedOn w:val="78"/>
    <w:rsid w:val="00811C95"/>
    <w:rPr>
      <w:rFonts w:ascii="Arial Narrow" w:eastAsia="Arial Narrow" w:hAnsi="Arial Narrow" w:cs="Arial Narrow"/>
      <w:b w:val="0"/>
      <w:bCs w:val="0"/>
      <w:i w:val="0"/>
      <w:iCs w:val="0"/>
      <w:smallCaps w:val="0"/>
      <w:strike w:val="0"/>
      <w:color w:val="EBEBEB"/>
      <w:spacing w:val="-20"/>
      <w:w w:val="100"/>
      <w:sz w:val="18"/>
      <w:szCs w:val="18"/>
      <w:lang w:val="en-US"/>
    </w:rPr>
  </w:style>
  <w:style w:type="character" w:customStyle="1" w:styleId="6-1pt">
    <w:name w:val="Подпись к картинке (6) + Интервал -1 pt"/>
    <w:basedOn w:val="6a"/>
    <w:rsid w:val="00811C95"/>
    <w:rPr>
      <w:rFonts w:ascii="Arial Narrow" w:eastAsia="Arial Narrow" w:hAnsi="Arial Narrow" w:cs="Arial Narrow"/>
      <w:b w:val="0"/>
      <w:bCs w:val="0"/>
      <w:i w:val="0"/>
      <w:iCs w:val="0"/>
      <w:smallCaps w:val="0"/>
      <w:strike w:val="0"/>
      <w:color w:val="EBEBEB"/>
      <w:spacing w:val="-20"/>
      <w:sz w:val="20"/>
      <w:szCs w:val="20"/>
      <w:lang w:val="en-US"/>
    </w:rPr>
  </w:style>
  <w:style w:type="character" w:customStyle="1" w:styleId="7ArialNarrow9pt">
    <w:name w:val="Подпись к картинке (7) + Arial Narrow;9 pt"/>
    <w:basedOn w:val="78"/>
    <w:rsid w:val="00811C95"/>
    <w:rPr>
      <w:rFonts w:ascii="Arial Narrow" w:eastAsia="Arial Narrow" w:hAnsi="Arial Narrow" w:cs="Arial Narrow"/>
      <w:b w:val="0"/>
      <w:bCs w:val="0"/>
      <w:i w:val="0"/>
      <w:iCs w:val="0"/>
      <w:smallCaps w:val="0"/>
      <w:strike w:val="0"/>
      <w:color w:val="EBEBEB"/>
      <w:spacing w:val="0"/>
      <w:w w:val="100"/>
      <w:sz w:val="18"/>
      <w:szCs w:val="18"/>
      <w:lang w:val="en-US"/>
    </w:rPr>
  </w:style>
  <w:style w:type="character" w:customStyle="1" w:styleId="79">
    <w:name w:val="Основной текст7"/>
    <w:basedOn w:val="aff1"/>
    <w:rsid w:val="00811C95"/>
    <w:rPr>
      <w:rFonts w:ascii="Arial Narrow" w:eastAsia="Arial Narrow" w:hAnsi="Arial Narrow" w:cs="Arial Narrow"/>
      <w:b w:val="0"/>
      <w:bCs w:val="0"/>
      <w:i w:val="0"/>
      <w:iCs w:val="0"/>
      <w:smallCaps w:val="0"/>
      <w:strike w:val="0"/>
      <w:spacing w:val="0"/>
      <w:w w:val="100"/>
      <w:sz w:val="18"/>
      <w:szCs w:val="18"/>
      <w:u w:val="single"/>
      <w:shd w:val="clear" w:color="auto" w:fill="FFFFFF"/>
    </w:rPr>
  </w:style>
  <w:style w:type="character" w:customStyle="1" w:styleId="8-1pt">
    <w:name w:val="Основной текст (8) + Интервал -1 pt"/>
    <w:basedOn w:val="81"/>
    <w:rsid w:val="00811C95"/>
    <w:rPr>
      <w:rFonts w:ascii="Arial Narrow" w:eastAsia="Arial Narrow" w:hAnsi="Arial Narrow" w:cs="Arial Narrow"/>
      <w:b w:val="0"/>
      <w:bCs w:val="0"/>
      <w:i w:val="0"/>
      <w:iCs w:val="0"/>
      <w:smallCaps w:val="0"/>
      <w:strike w:val="0"/>
      <w:spacing w:val="-20"/>
      <w:w w:val="100"/>
      <w:sz w:val="18"/>
      <w:szCs w:val="18"/>
      <w:shd w:val="clear" w:color="auto" w:fill="FFFFFF"/>
    </w:rPr>
  </w:style>
  <w:style w:type="character" w:customStyle="1" w:styleId="16-1pt">
    <w:name w:val="Основной текст (16) + Интервал -1 pt"/>
    <w:basedOn w:val="162"/>
    <w:rsid w:val="00811C95"/>
    <w:rPr>
      <w:rFonts w:ascii="Arial Narrow" w:eastAsia="Arial Narrow" w:hAnsi="Arial Narrow" w:cs="Arial Narrow"/>
      <w:b w:val="0"/>
      <w:bCs w:val="0"/>
      <w:i w:val="0"/>
      <w:iCs w:val="0"/>
      <w:smallCaps w:val="0"/>
      <w:strike w:val="0"/>
      <w:spacing w:val="-20"/>
      <w:w w:val="100"/>
      <w:sz w:val="23"/>
      <w:szCs w:val="23"/>
      <w:u w:val="single"/>
    </w:rPr>
  </w:style>
  <w:style w:type="character" w:customStyle="1" w:styleId="7a">
    <w:name w:val="Заголовок №7_"/>
    <w:basedOn w:val="a0"/>
    <w:link w:val="7b"/>
    <w:rsid w:val="00811C95"/>
    <w:rPr>
      <w:rFonts w:ascii="Arial Narrow" w:eastAsia="Arial Narrow" w:hAnsi="Arial Narrow" w:cs="Arial Narrow"/>
      <w:shd w:val="clear" w:color="auto" w:fill="FFFFFF"/>
    </w:rPr>
  </w:style>
  <w:style w:type="paragraph" w:customStyle="1" w:styleId="7b">
    <w:name w:val="Заголовок №7"/>
    <w:basedOn w:val="a"/>
    <w:link w:val="7a"/>
    <w:rsid w:val="00811C95"/>
    <w:pPr>
      <w:shd w:val="clear" w:color="auto" w:fill="FFFFFF"/>
      <w:spacing w:after="0" w:line="0" w:lineRule="atLeast"/>
      <w:outlineLvl w:val="6"/>
    </w:pPr>
    <w:rPr>
      <w:rFonts w:ascii="Arial Narrow" w:eastAsia="Arial Narrow" w:hAnsi="Arial Narrow" w:cs="Arial Narrow"/>
      <w:sz w:val="20"/>
      <w:szCs w:val="20"/>
      <w:lang w:eastAsia="ru-RU"/>
    </w:rPr>
  </w:style>
  <w:style w:type="character" w:customStyle="1" w:styleId="7-1pt">
    <w:name w:val="Заголовок №7 + Интервал -1 pt"/>
    <w:basedOn w:val="7a"/>
    <w:rsid w:val="00811C95"/>
    <w:rPr>
      <w:rFonts w:ascii="Arial Narrow" w:eastAsia="Arial Narrow" w:hAnsi="Arial Narrow" w:cs="Arial Narrow"/>
      <w:color w:val="FFFFFF"/>
      <w:spacing w:val="-20"/>
      <w:shd w:val="clear" w:color="auto" w:fill="FFFFFF"/>
    </w:rPr>
  </w:style>
  <w:style w:type="character" w:customStyle="1" w:styleId="521">
    <w:name w:val="Заголовок №5 (2)_"/>
    <w:basedOn w:val="a0"/>
    <w:rsid w:val="00811C95"/>
    <w:rPr>
      <w:rFonts w:ascii="Arial" w:eastAsia="Arial" w:hAnsi="Arial" w:cs="Arial"/>
      <w:b w:val="0"/>
      <w:bCs w:val="0"/>
      <w:i w:val="0"/>
      <w:iCs w:val="0"/>
      <w:smallCaps w:val="0"/>
      <w:strike w:val="0"/>
      <w:spacing w:val="40"/>
      <w:sz w:val="26"/>
      <w:szCs w:val="26"/>
    </w:rPr>
  </w:style>
  <w:style w:type="character" w:customStyle="1" w:styleId="522">
    <w:name w:val="Заголовок №5 (2)"/>
    <w:basedOn w:val="521"/>
    <w:rsid w:val="00811C95"/>
    <w:rPr>
      <w:rFonts w:ascii="Arial" w:eastAsia="Arial" w:hAnsi="Arial" w:cs="Arial"/>
      <w:b w:val="0"/>
      <w:bCs w:val="0"/>
      <w:i w:val="0"/>
      <w:iCs w:val="0"/>
      <w:smallCaps w:val="0"/>
      <w:strike w:val="0"/>
      <w:color w:val="FFFFFF"/>
      <w:spacing w:val="40"/>
      <w:sz w:val="26"/>
      <w:szCs w:val="26"/>
    </w:rPr>
  </w:style>
  <w:style w:type="character" w:customStyle="1" w:styleId="205">
    <w:name w:val="Основной текст (20)"/>
    <w:basedOn w:val="200"/>
    <w:rsid w:val="00811C95"/>
    <w:rPr>
      <w:rFonts w:ascii="Arial Black" w:eastAsia="Arial Black" w:hAnsi="Arial Black" w:cs="Arial Black"/>
      <w:b w:val="0"/>
      <w:bCs w:val="0"/>
      <w:i w:val="0"/>
      <w:iCs w:val="0"/>
      <w:smallCaps w:val="0"/>
      <w:strike w:val="0"/>
      <w:color w:val="FFFFFF"/>
      <w:spacing w:val="-20"/>
      <w:sz w:val="26"/>
      <w:szCs w:val="26"/>
    </w:rPr>
  </w:style>
  <w:style w:type="character" w:customStyle="1" w:styleId="19Arial13pt2pt">
    <w:name w:val="Основной текст (19) + Arial;13 pt;Полужирный;Курсив;Интервал 2 pt"/>
    <w:basedOn w:val="191"/>
    <w:rsid w:val="00811C95"/>
    <w:rPr>
      <w:rFonts w:ascii="Arial" w:eastAsia="Arial" w:hAnsi="Arial" w:cs="Arial"/>
      <w:b/>
      <w:bCs/>
      <w:i/>
      <w:iCs/>
      <w:smallCaps w:val="0"/>
      <w:strike w:val="0"/>
      <w:color w:val="FFFFFF"/>
      <w:spacing w:val="40"/>
      <w:sz w:val="26"/>
      <w:szCs w:val="26"/>
      <w:shd w:val="clear" w:color="auto" w:fill="FFFFFF"/>
      <w:lang w:val="en-US" w:eastAsia="ru-RU"/>
    </w:rPr>
  </w:style>
  <w:style w:type="character" w:customStyle="1" w:styleId="118pt">
    <w:name w:val="Основной текст (11) + 8 pt;Полужирный;Курсив"/>
    <w:basedOn w:val="116"/>
    <w:rsid w:val="00811C95"/>
    <w:rPr>
      <w:rFonts w:ascii="Arial" w:eastAsia="Arial" w:hAnsi="Arial" w:cs="Arial"/>
      <w:b/>
      <w:bCs/>
      <w:i/>
      <w:iCs/>
      <w:smallCaps w:val="0"/>
      <w:strike w:val="0"/>
      <w:color w:val="FFFFFF"/>
      <w:spacing w:val="0"/>
      <w:sz w:val="16"/>
      <w:szCs w:val="16"/>
    </w:rPr>
  </w:style>
  <w:style w:type="character" w:customStyle="1" w:styleId="85pt">
    <w:name w:val="Подпись к таблице + 8;5 pt;Не курсив"/>
    <w:basedOn w:val="aff3"/>
    <w:rsid w:val="00811C95"/>
    <w:rPr>
      <w:rFonts w:ascii="Arial" w:eastAsia="Arial" w:hAnsi="Arial" w:cs="Arial"/>
      <w:i/>
      <w:iCs/>
      <w:noProof/>
      <w:sz w:val="17"/>
      <w:szCs w:val="17"/>
      <w:shd w:val="clear" w:color="auto" w:fill="FFFFFF"/>
      <w:lang w:val="en-US"/>
    </w:rPr>
  </w:style>
  <w:style w:type="character" w:customStyle="1" w:styleId="252">
    <w:name w:val="Основной текст (25)_"/>
    <w:basedOn w:val="a0"/>
    <w:link w:val="253"/>
    <w:rsid w:val="00811C95"/>
    <w:rPr>
      <w:rFonts w:ascii="MS Gothic" w:eastAsia="MS Gothic" w:hAnsi="MS Gothic" w:cs="MS Gothic"/>
      <w:sz w:val="8"/>
      <w:szCs w:val="8"/>
      <w:shd w:val="clear" w:color="auto" w:fill="FFFFFF"/>
    </w:rPr>
  </w:style>
  <w:style w:type="paragraph" w:customStyle="1" w:styleId="253">
    <w:name w:val="Основной текст (25)"/>
    <w:basedOn w:val="a"/>
    <w:link w:val="252"/>
    <w:rsid w:val="00811C95"/>
    <w:pPr>
      <w:shd w:val="clear" w:color="auto" w:fill="FFFFFF"/>
      <w:spacing w:after="0" w:line="0" w:lineRule="atLeast"/>
      <w:jc w:val="center"/>
    </w:pPr>
    <w:rPr>
      <w:rFonts w:ascii="MS Gothic" w:eastAsia="MS Gothic" w:hAnsi="MS Gothic" w:cs="MS Gothic"/>
      <w:sz w:val="8"/>
      <w:szCs w:val="8"/>
      <w:lang w:eastAsia="ru-RU"/>
    </w:rPr>
  </w:style>
  <w:style w:type="character" w:customStyle="1" w:styleId="260">
    <w:name w:val="Основной текст (26)_"/>
    <w:basedOn w:val="a0"/>
    <w:link w:val="261"/>
    <w:rsid w:val="00811C95"/>
    <w:rPr>
      <w:rFonts w:ascii="MS Gothic" w:eastAsia="MS Gothic" w:hAnsi="MS Gothic" w:cs="MS Gothic"/>
      <w:sz w:val="8"/>
      <w:szCs w:val="8"/>
      <w:shd w:val="clear" w:color="auto" w:fill="FFFFFF"/>
    </w:rPr>
  </w:style>
  <w:style w:type="paragraph" w:customStyle="1" w:styleId="261">
    <w:name w:val="Основной текст (26)"/>
    <w:basedOn w:val="a"/>
    <w:link w:val="260"/>
    <w:rsid w:val="00811C95"/>
    <w:pPr>
      <w:shd w:val="clear" w:color="auto" w:fill="FFFFFF"/>
      <w:spacing w:after="0" w:line="0" w:lineRule="atLeast"/>
      <w:jc w:val="center"/>
    </w:pPr>
    <w:rPr>
      <w:rFonts w:ascii="MS Gothic" w:eastAsia="MS Gothic" w:hAnsi="MS Gothic" w:cs="MS Gothic"/>
      <w:sz w:val="8"/>
      <w:szCs w:val="8"/>
      <w:lang w:eastAsia="ru-RU"/>
    </w:rPr>
  </w:style>
  <w:style w:type="character" w:customStyle="1" w:styleId="272">
    <w:name w:val="Основной текст (27)_"/>
    <w:basedOn w:val="a0"/>
    <w:rsid w:val="00811C95"/>
    <w:rPr>
      <w:rFonts w:ascii="Arial" w:eastAsia="Arial" w:hAnsi="Arial" w:cs="Arial"/>
      <w:sz w:val="8"/>
      <w:szCs w:val="8"/>
      <w:shd w:val="clear" w:color="auto" w:fill="FFFFFF"/>
    </w:rPr>
  </w:style>
  <w:style w:type="character" w:customStyle="1" w:styleId="SegoeUI435pt70">
    <w:name w:val="Основной текст + Segoe UI;43;5 pt;Полужирный;Масштаб 70%"/>
    <w:basedOn w:val="aff1"/>
    <w:rsid w:val="00811C95"/>
    <w:rPr>
      <w:rFonts w:ascii="Segoe UI" w:eastAsia="Segoe UI" w:hAnsi="Segoe UI" w:cs="Segoe UI"/>
      <w:b/>
      <w:bCs/>
      <w:i w:val="0"/>
      <w:iCs w:val="0"/>
      <w:smallCaps w:val="0"/>
      <w:strike w:val="0"/>
      <w:spacing w:val="0"/>
      <w:w w:val="70"/>
      <w:sz w:val="87"/>
      <w:szCs w:val="87"/>
      <w:shd w:val="clear" w:color="auto" w:fill="FFFFFF"/>
    </w:rPr>
  </w:style>
  <w:style w:type="character" w:customStyle="1" w:styleId="1211pt">
    <w:name w:val="Основной текст (12) + 11 pt;Полужирный"/>
    <w:basedOn w:val="122"/>
    <w:rsid w:val="00811C95"/>
    <w:rPr>
      <w:rFonts w:ascii="Arial Narrow" w:eastAsia="Arial Narrow" w:hAnsi="Arial Narrow" w:cs="Arial Narrow"/>
      <w:b/>
      <w:bCs/>
      <w:i w:val="0"/>
      <w:iCs w:val="0"/>
      <w:smallCaps w:val="0"/>
      <w:strike w:val="0"/>
      <w:spacing w:val="0"/>
      <w:sz w:val="22"/>
      <w:szCs w:val="22"/>
      <w:shd w:val="clear" w:color="auto" w:fill="FFFFFF"/>
      <w:lang w:val="en-US" w:eastAsia="en-US"/>
    </w:rPr>
  </w:style>
  <w:style w:type="character" w:customStyle="1" w:styleId="12-1pt">
    <w:name w:val="Основной текст (12) + Интервал -1 pt"/>
    <w:basedOn w:val="122"/>
    <w:rsid w:val="00811C95"/>
    <w:rPr>
      <w:rFonts w:ascii="Arial Narrow" w:eastAsia="Arial Narrow" w:hAnsi="Arial Narrow" w:cs="Arial Narrow"/>
      <w:b w:val="0"/>
      <w:bCs w:val="0"/>
      <w:i w:val="0"/>
      <w:iCs w:val="0"/>
      <w:smallCaps w:val="0"/>
      <w:strike w:val="0"/>
      <w:spacing w:val="-20"/>
      <w:sz w:val="16"/>
      <w:szCs w:val="16"/>
      <w:shd w:val="clear" w:color="auto" w:fill="FFFFFF"/>
      <w:lang w:eastAsia="en-US"/>
    </w:rPr>
  </w:style>
  <w:style w:type="character" w:customStyle="1" w:styleId="302">
    <w:name w:val="Основной текст (30)"/>
    <w:basedOn w:val="a0"/>
    <w:rsid w:val="00811C95"/>
    <w:rPr>
      <w:rFonts w:ascii="Trebuchet MS" w:eastAsia="Trebuchet MS" w:hAnsi="Trebuchet MS" w:cs="Trebuchet MS"/>
      <w:b w:val="0"/>
      <w:bCs w:val="0"/>
      <w:i w:val="0"/>
      <w:iCs w:val="0"/>
      <w:smallCaps w:val="0"/>
      <w:strike w:val="0"/>
      <w:color w:val="FFFFFF"/>
      <w:spacing w:val="0"/>
      <w:sz w:val="17"/>
      <w:szCs w:val="17"/>
    </w:rPr>
  </w:style>
  <w:style w:type="paragraph" w:customStyle="1" w:styleId="313">
    <w:name w:val="Основной текст31"/>
    <w:basedOn w:val="a"/>
    <w:rsid w:val="00811C95"/>
    <w:pPr>
      <w:shd w:val="clear" w:color="auto" w:fill="FFFFFF"/>
      <w:spacing w:after="480" w:line="0" w:lineRule="atLeast"/>
    </w:pPr>
    <w:rPr>
      <w:rFonts w:ascii="Arial Narrow" w:eastAsia="Arial Narrow" w:hAnsi="Arial Narrow" w:cs="Arial Narrow"/>
      <w:color w:val="000000"/>
      <w:sz w:val="18"/>
      <w:szCs w:val="18"/>
      <w:lang w:eastAsia="ru-RU"/>
    </w:rPr>
  </w:style>
  <w:style w:type="character" w:customStyle="1" w:styleId="86">
    <w:name w:val="Подпись к картинке (8)_"/>
    <w:basedOn w:val="a0"/>
    <w:link w:val="87"/>
    <w:rsid w:val="00811C95"/>
    <w:rPr>
      <w:rFonts w:ascii="Arial Narrow" w:eastAsia="Arial Narrow" w:hAnsi="Arial Narrow" w:cs="Arial Narrow"/>
      <w:sz w:val="18"/>
      <w:szCs w:val="18"/>
      <w:shd w:val="clear" w:color="auto" w:fill="FFFFFF"/>
      <w:lang w:val="en-US"/>
    </w:rPr>
  </w:style>
  <w:style w:type="paragraph" w:customStyle="1" w:styleId="87">
    <w:name w:val="Подпись к картинке (8)"/>
    <w:basedOn w:val="a"/>
    <w:link w:val="86"/>
    <w:rsid w:val="00811C95"/>
    <w:pPr>
      <w:shd w:val="clear" w:color="auto" w:fill="FFFFFF"/>
      <w:spacing w:after="0" w:line="0" w:lineRule="atLeast"/>
    </w:pPr>
    <w:rPr>
      <w:rFonts w:ascii="Arial Narrow" w:eastAsia="Arial Narrow" w:hAnsi="Arial Narrow" w:cs="Arial Narrow"/>
      <w:sz w:val="18"/>
      <w:szCs w:val="18"/>
      <w:lang w:val="en-US" w:eastAsia="ru-RU"/>
    </w:rPr>
  </w:style>
  <w:style w:type="character" w:customStyle="1" w:styleId="109">
    <w:name w:val="Основной текст (10) + Не курсив"/>
    <w:basedOn w:val="104"/>
    <w:rsid w:val="00811C95"/>
    <w:rPr>
      <w:rFonts w:ascii="Arial Narrow" w:eastAsia="Arial Narrow" w:hAnsi="Arial Narrow" w:cs="Arial Narrow"/>
      <w:b w:val="0"/>
      <w:bCs w:val="0"/>
      <w:i/>
      <w:iCs/>
      <w:smallCaps w:val="0"/>
      <w:strike w:val="0"/>
      <w:spacing w:val="0"/>
      <w:w w:val="100"/>
      <w:sz w:val="18"/>
      <w:szCs w:val="18"/>
      <w:shd w:val="clear" w:color="auto" w:fill="FFFFFF"/>
    </w:rPr>
  </w:style>
  <w:style w:type="character" w:customStyle="1" w:styleId="101pt">
    <w:name w:val="Основной текст (10) + Интервал 1 pt"/>
    <w:basedOn w:val="104"/>
    <w:rsid w:val="00811C95"/>
    <w:rPr>
      <w:rFonts w:ascii="Arial Narrow" w:eastAsia="Arial Narrow" w:hAnsi="Arial Narrow" w:cs="Arial Narrow"/>
      <w:b w:val="0"/>
      <w:bCs w:val="0"/>
      <w:i w:val="0"/>
      <w:iCs w:val="0"/>
      <w:smallCaps w:val="0"/>
      <w:strike w:val="0"/>
      <w:spacing w:val="30"/>
      <w:w w:val="100"/>
      <w:sz w:val="18"/>
      <w:szCs w:val="18"/>
      <w:shd w:val="clear" w:color="auto" w:fill="FFFFFF"/>
    </w:rPr>
  </w:style>
  <w:style w:type="character" w:customStyle="1" w:styleId="242">
    <w:name w:val="Основной текст (24)_"/>
    <w:basedOn w:val="a0"/>
    <w:link w:val="243"/>
    <w:rsid w:val="00811C95"/>
    <w:rPr>
      <w:rFonts w:ascii="Trebuchet MS" w:eastAsia="Trebuchet MS" w:hAnsi="Trebuchet MS" w:cs="Trebuchet MS"/>
      <w:sz w:val="24"/>
      <w:szCs w:val="24"/>
      <w:shd w:val="clear" w:color="auto" w:fill="FFFFFF"/>
    </w:rPr>
  </w:style>
  <w:style w:type="paragraph" w:customStyle="1" w:styleId="243">
    <w:name w:val="Основной текст (24)"/>
    <w:basedOn w:val="a"/>
    <w:link w:val="242"/>
    <w:rsid w:val="00811C95"/>
    <w:pPr>
      <w:shd w:val="clear" w:color="auto" w:fill="FFFFFF"/>
      <w:spacing w:after="0" w:line="0" w:lineRule="atLeast"/>
    </w:pPr>
    <w:rPr>
      <w:rFonts w:ascii="Trebuchet MS" w:eastAsia="Trebuchet MS" w:hAnsi="Trebuchet MS" w:cs="Trebuchet MS"/>
      <w:sz w:val="24"/>
      <w:szCs w:val="24"/>
      <w:lang w:eastAsia="ru-RU"/>
    </w:rPr>
  </w:style>
  <w:style w:type="character" w:customStyle="1" w:styleId="24-1pt">
    <w:name w:val="Основной текст (24) + Интервал -1 pt"/>
    <w:basedOn w:val="242"/>
    <w:rsid w:val="00811C95"/>
    <w:rPr>
      <w:rFonts w:ascii="Trebuchet MS" w:eastAsia="Trebuchet MS" w:hAnsi="Trebuchet MS" w:cs="Trebuchet MS"/>
      <w:spacing w:val="-20"/>
      <w:sz w:val="24"/>
      <w:szCs w:val="24"/>
      <w:u w:val="single"/>
      <w:shd w:val="clear" w:color="auto" w:fill="FFFFFF"/>
    </w:rPr>
  </w:style>
  <w:style w:type="character" w:customStyle="1" w:styleId="10-1pt">
    <w:name w:val="Основной текст (10) + Интервал -1 pt"/>
    <w:basedOn w:val="104"/>
    <w:rsid w:val="00811C95"/>
    <w:rPr>
      <w:rFonts w:ascii="Arial Narrow" w:eastAsia="Arial Narrow" w:hAnsi="Arial Narrow" w:cs="Arial Narrow"/>
      <w:b w:val="0"/>
      <w:bCs w:val="0"/>
      <w:i w:val="0"/>
      <w:iCs w:val="0"/>
      <w:smallCaps w:val="0"/>
      <w:strike w:val="0"/>
      <w:color w:val="FFFFFF"/>
      <w:spacing w:val="-20"/>
      <w:w w:val="100"/>
      <w:sz w:val="18"/>
      <w:szCs w:val="18"/>
      <w:shd w:val="clear" w:color="auto" w:fill="FFFFFF"/>
    </w:rPr>
  </w:style>
  <w:style w:type="character" w:customStyle="1" w:styleId="10105pt">
    <w:name w:val="Основной текст (10) + 10;5 pt;Не курсив"/>
    <w:basedOn w:val="104"/>
    <w:rsid w:val="00811C95"/>
    <w:rPr>
      <w:rFonts w:ascii="Arial Narrow" w:eastAsia="Arial Narrow" w:hAnsi="Arial Narrow" w:cs="Arial Narrow"/>
      <w:b w:val="0"/>
      <w:bCs w:val="0"/>
      <w:i/>
      <w:iCs/>
      <w:smallCaps w:val="0"/>
      <w:strike w:val="0"/>
      <w:spacing w:val="0"/>
      <w:w w:val="100"/>
      <w:sz w:val="21"/>
      <w:szCs w:val="21"/>
      <w:shd w:val="clear" w:color="auto" w:fill="FFFFFF"/>
    </w:rPr>
  </w:style>
  <w:style w:type="character" w:customStyle="1" w:styleId="143">
    <w:name w:val="Основной текст (14)_"/>
    <w:basedOn w:val="a0"/>
    <w:link w:val="144"/>
    <w:rsid w:val="00811C95"/>
    <w:rPr>
      <w:rFonts w:ascii="Trebuchet MS" w:eastAsia="Trebuchet MS" w:hAnsi="Trebuchet MS" w:cs="Trebuchet MS"/>
      <w:sz w:val="14"/>
      <w:szCs w:val="14"/>
      <w:shd w:val="clear" w:color="auto" w:fill="FFFFFF"/>
    </w:rPr>
  </w:style>
  <w:style w:type="paragraph" w:customStyle="1" w:styleId="144">
    <w:name w:val="Основной текст (14)"/>
    <w:basedOn w:val="a"/>
    <w:link w:val="143"/>
    <w:rsid w:val="00811C95"/>
    <w:pPr>
      <w:shd w:val="clear" w:color="auto" w:fill="FFFFFF"/>
      <w:spacing w:after="0" w:line="0" w:lineRule="atLeast"/>
    </w:pPr>
    <w:rPr>
      <w:rFonts w:ascii="Trebuchet MS" w:eastAsia="Trebuchet MS" w:hAnsi="Trebuchet MS" w:cs="Trebuchet MS"/>
      <w:sz w:val="14"/>
      <w:szCs w:val="14"/>
      <w:lang w:eastAsia="ru-RU"/>
    </w:rPr>
  </w:style>
  <w:style w:type="character" w:customStyle="1" w:styleId="Sylfaen">
    <w:name w:val="Колонтитул + Sylfaen;Полужирный"/>
    <w:basedOn w:val="aff9"/>
    <w:rsid w:val="00811C95"/>
    <w:rPr>
      <w:rFonts w:ascii="Sylfaen" w:eastAsia="Sylfaen" w:hAnsi="Sylfaen" w:cs="Sylfaen"/>
      <w:b/>
      <w:bCs/>
      <w:spacing w:val="0"/>
      <w:shd w:val="clear" w:color="auto" w:fill="FFFFFF"/>
      <w:lang w:eastAsia="en-US"/>
    </w:rPr>
  </w:style>
  <w:style w:type="character" w:customStyle="1" w:styleId="3f1">
    <w:name w:val="Основной текст (3) + Не курсив"/>
    <w:basedOn w:val="35"/>
    <w:rsid w:val="00811C95"/>
    <w:rPr>
      <w:rFonts w:ascii="Arial" w:eastAsia="Arial" w:hAnsi="Arial" w:cs="Arial"/>
      <w:i/>
      <w:iCs/>
      <w:spacing w:val="20"/>
      <w:sz w:val="15"/>
      <w:szCs w:val="15"/>
      <w:shd w:val="clear" w:color="auto" w:fill="FFFFFF"/>
    </w:rPr>
  </w:style>
  <w:style w:type="character" w:customStyle="1" w:styleId="ArialUnicodeMS105pt">
    <w:name w:val="Колонтитул + Arial Unicode MS;10;5 pt;Полужирный"/>
    <w:basedOn w:val="aff9"/>
    <w:rsid w:val="00811C95"/>
    <w:rPr>
      <w:rFonts w:ascii="Arial Unicode MS" w:eastAsia="Arial Unicode MS" w:hAnsi="Arial Unicode MS" w:cs="Arial Unicode MS"/>
      <w:b/>
      <w:bCs/>
      <w:spacing w:val="0"/>
      <w:sz w:val="21"/>
      <w:szCs w:val="21"/>
      <w:shd w:val="clear" w:color="auto" w:fill="FFFFFF"/>
      <w:lang w:eastAsia="en-US"/>
    </w:rPr>
  </w:style>
  <w:style w:type="character" w:customStyle="1" w:styleId="180pt">
    <w:name w:val="Основной текст (18) + Интервал 0 pt"/>
    <w:basedOn w:val="a0"/>
    <w:rsid w:val="00811C95"/>
    <w:rPr>
      <w:rFonts w:ascii="Arial" w:eastAsia="Arial" w:hAnsi="Arial" w:cs="Arial"/>
      <w:b w:val="0"/>
      <w:bCs w:val="0"/>
      <w:i w:val="0"/>
      <w:iCs w:val="0"/>
      <w:smallCaps w:val="0"/>
      <w:strike w:val="0"/>
      <w:spacing w:val="-10"/>
      <w:sz w:val="13"/>
      <w:szCs w:val="13"/>
    </w:rPr>
  </w:style>
  <w:style w:type="character" w:customStyle="1" w:styleId="65pt">
    <w:name w:val="Основной текст + 6;5 pt;Курсив"/>
    <w:basedOn w:val="aff1"/>
    <w:rsid w:val="00811C95"/>
    <w:rPr>
      <w:rFonts w:ascii="Arial" w:eastAsia="Arial" w:hAnsi="Arial" w:cs="Arial"/>
      <w:i/>
      <w:iCs/>
      <w:spacing w:val="-10"/>
      <w:sz w:val="13"/>
      <w:szCs w:val="13"/>
      <w:shd w:val="clear" w:color="auto" w:fill="FFFFFF"/>
      <w:lang w:val="en-US"/>
    </w:rPr>
  </w:style>
  <w:style w:type="character" w:customStyle="1" w:styleId="85pt0">
    <w:name w:val="Основной текст + 8;5 pt;Полужирный"/>
    <w:basedOn w:val="aff1"/>
    <w:rsid w:val="00811C95"/>
    <w:rPr>
      <w:rFonts w:ascii="Arial" w:eastAsia="Arial" w:hAnsi="Arial" w:cs="Arial"/>
      <w:b/>
      <w:bCs/>
      <w:spacing w:val="-10"/>
      <w:sz w:val="17"/>
      <w:szCs w:val="17"/>
      <w:shd w:val="clear" w:color="auto" w:fill="FFFFFF"/>
    </w:rPr>
  </w:style>
  <w:style w:type="character" w:customStyle="1" w:styleId="BookmanOldStyle95pt">
    <w:name w:val="Колонтитул + Bookman Old Style;9;5 pt"/>
    <w:basedOn w:val="aff9"/>
    <w:rsid w:val="00811C95"/>
    <w:rPr>
      <w:rFonts w:ascii="Bookman Old Style" w:eastAsia="Bookman Old Style" w:hAnsi="Bookman Old Style" w:cs="Bookman Old Style"/>
      <w:spacing w:val="0"/>
      <w:sz w:val="19"/>
      <w:szCs w:val="19"/>
      <w:shd w:val="clear" w:color="auto" w:fill="FFFFFF"/>
      <w:lang w:eastAsia="en-US"/>
    </w:rPr>
  </w:style>
  <w:style w:type="character" w:customStyle="1" w:styleId="118">
    <w:name w:val="Подпись к картинке (11)_"/>
    <w:basedOn w:val="a0"/>
    <w:link w:val="119"/>
    <w:rsid w:val="00811C95"/>
    <w:rPr>
      <w:rFonts w:ascii="Arial" w:eastAsia="Arial" w:hAnsi="Arial" w:cs="Arial"/>
      <w:sz w:val="13"/>
      <w:szCs w:val="13"/>
      <w:shd w:val="clear" w:color="auto" w:fill="FFFFFF"/>
    </w:rPr>
  </w:style>
  <w:style w:type="paragraph" w:customStyle="1" w:styleId="119">
    <w:name w:val="Подпись к картинке (11)"/>
    <w:basedOn w:val="a"/>
    <w:link w:val="118"/>
    <w:rsid w:val="00811C95"/>
    <w:pPr>
      <w:shd w:val="clear" w:color="auto" w:fill="FFFFFF"/>
      <w:spacing w:after="0" w:line="86" w:lineRule="exact"/>
      <w:jc w:val="both"/>
    </w:pPr>
    <w:rPr>
      <w:rFonts w:ascii="Arial" w:eastAsia="Arial" w:hAnsi="Arial" w:cs="Arial"/>
      <w:sz w:val="13"/>
      <w:szCs w:val="13"/>
      <w:lang w:eastAsia="ru-RU"/>
    </w:rPr>
  </w:style>
  <w:style w:type="character" w:customStyle="1" w:styleId="118pt0">
    <w:name w:val="Подпись к картинке (11) + 8 pt"/>
    <w:basedOn w:val="118"/>
    <w:rsid w:val="00811C95"/>
    <w:rPr>
      <w:rFonts w:ascii="Arial" w:eastAsia="Arial" w:hAnsi="Arial" w:cs="Arial"/>
      <w:sz w:val="16"/>
      <w:szCs w:val="16"/>
      <w:shd w:val="clear" w:color="auto" w:fill="FFFFFF"/>
    </w:rPr>
  </w:style>
  <w:style w:type="character" w:customStyle="1" w:styleId="Arial105pt">
    <w:name w:val="Колонтитул + Arial;10;5 pt;Полужирный"/>
    <w:basedOn w:val="aff9"/>
    <w:rsid w:val="00811C95"/>
    <w:rPr>
      <w:rFonts w:ascii="Arial" w:eastAsia="Arial" w:hAnsi="Arial" w:cs="Arial"/>
      <w:b/>
      <w:bCs/>
      <w:spacing w:val="0"/>
      <w:sz w:val="21"/>
      <w:szCs w:val="21"/>
      <w:shd w:val="clear" w:color="auto" w:fill="FFFFFF"/>
      <w:lang w:eastAsia="en-US"/>
    </w:rPr>
  </w:style>
  <w:style w:type="character" w:customStyle="1" w:styleId="1030">
    <w:name w:val="Заголовок №10 (3)_"/>
    <w:basedOn w:val="a0"/>
    <w:link w:val="1031"/>
    <w:rsid w:val="00811C95"/>
    <w:rPr>
      <w:rFonts w:ascii="Arial" w:eastAsia="Arial" w:hAnsi="Arial" w:cs="Arial"/>
      <w:sz w:val="15"/>
      <w:szCs w:val="15"/>
      <w:shd w:val="clear" w:color="auto" w:fill="FFFFFF"/>
    </w:rPr>
  </w:style>
  <w:style w:type="paragraph" w:customStyle="1" w:styleId="1031">
    <w:name w:val="Заголовок №10 (3)"/>
    <w:basedOn w:val="a"/>
    <w:link w:val="1030"/>
    <w:rsid w:val="00811C95"/>
    <w:pPr>
      <w:shd w:val="clear" w:color="auto" w:fill="FFFFFF"/>
      <w:spacing w:before="180" w:after="180" w:line="0" w:lineRule="atLeast"/>
    </w:pPr>
    <w:rPr>
      <w:rFonts w:ascii="Arial" w:eastAsia="Arial" w:hAnsi="Arial" w:cs="Arial"/>
      <w:sz w:val="15"/>
      <w:szCs w:val="15"/>
      <w:lang w:eastAsia="ru-RU"/>
    </w:rPr>
  </w:style>
  <w:style w:type="character" w:customStyle="1" w:styleId="132">
    <w:name w:val="Основной текст (13)_"/>
    <w:basedOn w:val="a0"/>
    <w:link w:val="133"/>
    <w:rsid w:val="00811C95"/>
    <w:rPr>
      <w:rFonts w:ascii="Arial" w:eastAsia="Arial" w:hAnsi="Arial" w:cs="Arial"/>
      <w:sz w:val="8"/>
      <w:szCs w:val="8"/>
      <w:shd w:val="clear" w:color="auto" w:fill="FFFFFF"/>
    </w:rPr>
  </w:style>
  <w:style w:type="paragraph" w:customStyle="1" w:styleId="133">
    <w:name w:val="Основной текст (13)"/>
    <w:basedOn w:val="a"/>
    <w:link w:val="132"/>
    <w:rsid w:val="00811C95"/>
    <w:pPr>
      <w:shd w:val="clear" w:color="auto" w:fill="FFFFFF"/>
      <w:spacing w:after="0" w:line="0" w:lineRule="atLeast"/>
    </w:pPr>
    <w:rPr>
      <w:rFonts w:ascii="Arial" w:eastAsia="Arial" w:hAnsi="Arial" w:cs="Arial"/>
      <w:sz w:val="8"/>
      <w:szCs w:val="8"/>
      <w:lang w:eastAsia="ru-RU"/>
    </w:rPr>
  </w:style>
  <w:style w:type="character" w:customStyle="1" w:styleId="125">
    <w:name w:val="Подпись к картинке (12)_"/>
    <w:basedOn w:val="a0"/>
    <w:link w:val="126"/>
    <w:rsid w:val="00811C95"/>
    <w:rPr>
      <w:rFonts w:ascii="Arial" w:eastAsia="Arial" w:hAnsi="Arial" w:cs="Arial"/>
      <w:shd w:val="clear" w:color="auto" w:fill="FFFFFF"/>
    </w:rPr>
  </w:style>
  <w:style w:type="paragraph" w:customStyle="1" w:styleId="126">
    <w:name w:val="Подпись к картинке (12)"/>
    <w:basedOn w:val="a"/>
    <w:link w:val="125"/>
    <w:rsid w:val="00811C95"/>
    <w:pPr>
      <w:shd w:val="clear" w:color="auto" w:fill="FFFFFF"/>
      <w:spacing w:after="0" w:line="0" w:lineRule="atLeast"/>
    </w:pPr>
    <w:rPr>
      <w:rFonts w:ascii="Arial" w:eastAsia="Arial" w:hAnsi="Arial" w:cs="Arial"/>
      <w:sz w:val="20"/>
      <w:szCs w:val="20"/>
      <w:lang w:eastAsia="ru-RU"/>
    </w:rPr>
  </w:style>
  <w:style w:type="character" w:customStyle="1" w:styleId="3f2">
    <w:name w:val="Основной текст (3) + Полужирный"/>
    <w:basedOn w:val="35"/>
    <w:rsid w:val="00811C95"/>
    <w:rPr>
      <w:rFonts w:ascii="Times New Roman" w:eastAsia="Times New Roman" w:hAnsi="Times New Roman" w:cs="Times New Roman"/>
      <w:b/>
      <w:bCs/>
      <w:i w:val="0"/>
      <w:iCs w:val="0"/>
      <w:smallCaps w:val="0"/>
      <w:strike w:val="0"/>
      <w:spacing w:val="0"/>
      <w:sz w:val="21"/>
      <w:szCs w:val="21"/>
      <w:shd w:val="clear" w:color="auto" w:fill="FFFFFF"/>
    </w:rPr>
  </w:style>
  <w:style w:type="character" w:customStyle="1" w:styleId="153">
    <w:name w:val="Основной текст (15)_"/>
    <w:basedOn w:val="a0"/>
    <w:rsid w:val="00811C95"/>
    <w:rPr>
      <w:rFonts w:ascii="Times New Roman" w:eastAsia="Times New Roman" w:hAnsi="Times New Roman" w:cs="Times New Roman"/>
      <w:b w:val="0"/>
      <w:bCs w:val="0"/>
      <w:i w:val="0"/>
      <w:iCs w:val="0"/>
      <w:smallCaps w:val="0"/>
      <w:strike w:val="0"/>
      <w:spacing w:val="0"/>
      <w:sz w:val="23"/>
      <w:szCs w:val="23"/>
    </w:rPr>
  </w:style>
  <w:style w:type="character" w:customStyle="1" w:styleId="12TimesNewRoman15pt60">
    <w:name w:val="Основной текст (12) + Times New Roman;15 pt;Полужирный;Масштаб 60%"/>
    <w:basedOn w:val="122"/>
    <w:rsid w:val="00811C95"/>
    <w:rPr>
      <w:rFonts w:ascii="Times New Roman" w:eastAsia="Times New Roman" w:hAnsi="Times New Roman" w:cs="Times New Roman"/>
      <w:b/>
      <w:bCs/>
      <w:i w:val="0"/>
      <w:iCs w:val="0"/>
      <w:smallCaps w:val="0"/>
      <w:strike w:val="0"/>
      <w:spacing w:val="0"/>
      <w:w w:val="60"/>
      <w:sz w:val="30"/>
      <w:szCs w:val="30"/>
      <w:shd w:val="clear" w:color="auto" w:fill="FFFFFF"/>
      <w:lang w:eastAsia="en-US"/>
    </w:rPr>
  </w:style>
  <w:style w:type="character" w:customStyle="1" w:styleId="4ArialNarrow4pt100">
    <w:name w:val="Основной текст (4) + Arial Narrow;4 pt;Не полужирный;Курсив;Масштаб 100%"/>
    <w:basedOn w:val="46"/>
    <w:rsid w:val="00811C95"/>
    <w:rPr>
      <w:rFonts w:ascii="Arial Narrow" w:eastAsia="Arial Narrow" w:hAnsi="Arial Narrow" w:cs="Arial Narrow"/>
      <w:b/>
      <w:bCs/>
      <w:i/>
      <w:iCs/>
      <w:smallCaps w:val="0"/>
      <w:strike w:val="0"/>
      <w:spacing w:val="0"/>
      <w:w w:val="100"/>
      <w:sz w:val="8"/>
      <w:szCs w:val="8"/>
      <w:shd w:val="clear" w:color="auto" w:fill="FFFFFF"/>
    </w:rPr>
  </w:style>
  <w:style w:type="character" w:customStyle="1" w:styleId="11pt">
    <w:name w:val="Колонтитул + 11 pt"/>
    <w:basedOn w:val="aff9"/>
    <w:rsid w:val="00811C95"/>
    <w:rPr>
      <w:rFonts w:ascii="Times New Roman" w:hAnsi="Times New Roman"/>
      <w:b w:val="0"/>
      <w:bCs w:val="0"/>
      <w:i w:val="0"/>
      <w:iCs w:val="0"/>
      <w:smallCaps w:val="0"/>
      <w:strike w:val="0"/>
      <w:spacing w:val="0"/>
      <w:sz w:val="22"/>
      <w:szCs w:val="22"/>
      <w:shd w:val="clear" w:color="auto" w:fill="FFFFFF"/>
      <w:lang w:eastAsia="en-US"/>
    </w:rPr>
  </w:style>
  <w:style w:type="character" w:customStyle="1" w:styleId="3115pt">
    <w:name w:val="Основной текст (3) + 11;5 pt;Полужирный;Не курсив"/>
    <w:basedOn w:val="35"/>
    <w:rsid w:val="00811C95"/>
    <w:rPr>
      <w:rFonts w:ascii="Times New Roman" w:eastAsia="Times New Roman" w:hAnsi="Times New Roman" w:cs="Times New Roman"/>
      <w:b/>
      <w:bCs/>
      <w:i/>
      <w:iCs/>
      <w:smallCaps w:val="0"/>
      <w:strike w:val="0"/>
      <w:spacing w:val="0"/>
      <w:sz w:val="23"/>
      <w:szCs w:val="23"/>
      <w:shd w:val="clear" w:color="auto" w:fill="FFFFFF"/>
    </w:rPr>
  </w:style>
  <w:style w:type="character" w:customStyle="1" w:styleId="127">
    <w:name w:val="Заголовок №1 (2)_"/>
    <w:basedOn w:val="a0"/>
    <w:link w:val="128"/>
    <w:rsid w:val="00811C95"/>
    <w:rPr>
      <w:rFonts w:ascii="Times New Roman" w:eastAsia="Times New Roman" w:hAnsi="Times New Roman"/>
      <w:sz w:val="23"/>
      <w:szCs w:val="23"/>
      <w:shd w:val="clear" w:color="auto" w:fill="FFFFFF"/>
    </w:rPr>
  </w:style>
  <w:style w:type="paragraph" w:customStyle="1" w:styleId="128">
    <w:name w:val="Заголовок №1 (2)"/>
    <w:basedOn w:val="a"/>
    <w:link w:val="127"/>
    <w:rsid w:val="00811C95"/>
    <w:pPr>
      <w:shd w:val="clear" w:color="auto" w:fill="FFFFFF"/>
      <w:spacing w:before="180" w:after="60" w:line="0" w:lineRule="atLeast"/>
      <w:outlineLvl w:val="0"/>
    </w:pPr>
    <w:rPr>
      <w:rFonts w:ascii="Times New Roman" w:eastAsia="Times New Roman" w:hAnsi="Times New Roman"/>
      <w:sz w:val="23"/>
      <w:szCs w:val="23"/>
      <w:lang w:eastAsia="ru-RU"/>
    </w:rPr>
  </w:style>
  <w:style w:type="character" w:customStyle="1" w:styleId="125pt">
    <w:name w:val="Колонтитул + 12;5 pt;Полужирный"/>
    <w:basedOn w:val="aff9"/>
    <w:rsid w:val="00811C95"/>
    <w:rPr>
      <w:rFonts w:ascii="Times New Roman" w:hAnsi="Times New Roman"/>
      <w:b/>
      <w:bCs/>
      <w:i w:val="0"/>
      <w:iCs w:val="0"/>
      <w:smallCaps w:val="0"/>
      <w:strike w:val="0"/>
      <w:spacing w:val="0"/>
      <w:sz w:val="25"/>
      <w:szCs w:val="25"/>
      <w:shd w:val="clear" w:color="auto" w:fill="FFFFFF"/>
      <w:lang w:eastAsia="en-US"/>
    </w:rPr>
  </w:style>
  <w:style w:type="character" w:customStyle="1" w:styleId="12125pt">
    <w:name w:val="Заголовок №1 (2) + 12;5 pt"/>
    <w:basedOn w:val="127"/>
    <w:rsid w:val="00811C95"/>
    <w:rPr>
      <w:rFonts w:ascii="Times New Roman" w:eastAsia="Times New Roman" w:hAnsi="Times New Roman"/>
      <w:sz w:val="25"/>
      <w:szCs w:val="25"/>
      <w:shd w:val="clear" w:color="auto" w:fill="FFFFFF"/>
    </w:rPr>
  </w:style>
  <w:style w:type="character" w:customStyle="1" w:styleId="154">
    <w:name w:val="Заголовок №1 (5)_"/>
    <w:basedOn w:val="a0"/>
    <w:link w:val="155"/>
    <w:rsid w:val="00811C95"/>
    <w:rPr>
      <w:rFonts w:ascii="Times New Roman" w:eastAsia="Times New Roman" w:hAnsi="Times New Roman"/>
      <w:sz w:val="25"/>
      <w:szCs w:val="25"/>
      <w:shd w:val="clear" w:color="auto" w:fill="FFFFFF"/>
    </w:rPr>
  </w:style>
  <w:style w:type="paragraph" w:customStyle="1" w:styleId="155">
    <w:name w:val="Заголовок №1 (5)"/>
    <w:basedOn w:val="a"/>
    <w:link w:val="154"/>
    <w:rsid w:val="00811C95"/>
    <w:pPr>
      <w:shd w:val="clear" w:color="auto" w:fill="FFFFFF"/>
      <w:spacing w:before="180" w:after="60" w:line="0" w:lineRule="atLeast"/>
      <w:outlineLvl w:val="0"/>
    </w:pPr>
    <w:rPr>
      <w:rFonts w:ascii="Times New Roman" w:eastAsia="Times New Roman" w:hAnsi="Times New Roman"/>
      <w:sz w:val="25"/>
      <w:szCs w:val="25"/>
      <w:lang w:eastAsia="ru-RU"/>
    </w:rPr>
  </w:style>
  <w:style w:type="character" w:customStyle="1" w:styleId="9pt0pt0">
    <w:name w:val="Основной текст + 9 pt;Интервал 0 pt"/>
    <w:basedOn w:val="aff1"/>
    <w:rsid w:val="00811C95"/>
    <w:rPr>
      <w:rFonts w:ascii="Times New Roman" w:eastAsia="Times New Roman" w:hAnsi="Times New Roman" w:cs="Times New Roman"/>
      <w:b w:val="0"/>
      <w:bCs w:val="0"/>
      <w:i w:val="0"/>
      <w:iCs w:val="0"/>
      <w:smallCaps w:val="0"/>
      <w:strike w:val="0"/>
      <w:spacing w:val="10"/>
      <w:sz w:val="18"/>
      <w:szCs w:val="18"/>
      <w:shd w:val="clear" w:color="auto" w:fill="FFFFFF"/>
    </w:rPr>
  </w:style>
  <w:style w:type="character" w:customStyle="1" w:styleId="291">
    <w:name w:val="Основной текст (29) + Не полужирный"/>
    <w:basedOn w:val="29"/>
    <w:rsid w:val="00811C95"/>
    <w:rPr>
      <w:rFonts w:ascii="Times New Roman" w:eastAsia="Times New Roman" w:hAnsi="Times New Roman" w:cs="Times New Roman"/>
      <w:b/>
      <w:bCs/>
      <w:i w:val="0"/>
      <w:iCs w:val="0"/>
      <w:smallCaps w:val="0"/>
      <w:strike w:val="0"/>
      <w:spacing w:val="0"/>
      <w:sz w:val="21"/>
      <w:szCs w:val="21"/>
      <w:shd w:val="clear" w:color="auto" w:fill="FFFFFF"/>
    </w:rPr>
  </w:style>
  <w:style w:type="paragraph" w:customStyle="1" w:styleId="215">
    <w:name w:val="Основной текст21"/>
    <w:basedOn w:val="a"/>
    <w:rsid w:val="00811C95"/>
    <w:pPr>
      <w:shd w:val="clear" w:color="auto" w:fill="FFFFFF"/>
      <w:spacing w:before="120" w:after="120" w:line="227" w:lineRule="exact"/>
      <w:ind w:hanging="280"/>
      <w:jc w:val="right"/>
    </w:pPr>
    <w:rPr>
      <w:rFonts w:ascii="Times New Roman" w:eastAsia="Times New Roman" w:hAnsi="Times New Roman"/>
      <w:color w:val="000000"/>
      <w:sz w:val="21"/>
      <w:szCs w:val="21"/>
      <w:lang w:eastAsia="ru-RU"/>
    </w:rPr>
  </w:style>
  <w:style w:type="character" w:customStyle="1" w:styleId="1pt1">
    <w:name w:val="Сноска + Интервал 1 pt"/>
    <w:basedOn w:val="aff5"/>
    <w:rsid w:val="00811C95"/>
    <w:rPr>
      <w:rFonts w:ascii="Times New Roman" w:eastAsia="Times New Roman" w:hAnsi="Times New Roman" w:cs="Times New Roman"/>
      <w:b w:val="0"/>
      <w:bCs w:val="0"/>
      <w:i w:val="0"/>
      <w:iCs w:val="0"/>
      <w:smallCaps w:val="0"/>
      <w:strike w:val="0"/>
      <w:noProof/>
      <w:spacing w:val="30"/>
      <w:sz w:val="23"/>
      <w:szCs w:val="23"/>
      <w:shd w:val="clear" w:color="auto" w:fill="FFFFFF"/>
      <w:lang w:val="en-US"/>
    </w:rPr>
  </w:style>
  <w:style w:type="character" w:customStyle="1" w:styleId="135pt">
    <w:name w:val="Сноска + 13;5 pt"/>
    <w:basedOn w:val="aff5"/>
    <w:rsid w:val="00811C95"/>
    <w:rPr>
      <w:rFonts w:ascii="Times New Roman" w:eastAsia="Times New Roman" w:hAnsi="Times New Roman" w:cs="Times New Roman"/>
      <w:b w:val="0"/>
      <w:bCs w:val="0"/>
      <w:i w:val="0"/>
      <w:iCs w:val="0"/>
      <w:smallCaps w:val="0"/>
      <w:strike w:val="0"/>
      <w:noProof/>
      <w:spacing w:val="0"/>
      <w:sz w:val="27"/>
      <w:szCs w:val="27"/>
      <w:shd w:val="clear" w:color="auto" w:fill="FFFFFF"/>
      <w:lang w:val="en-US"/>
    </w:rPr>
  </w:style>
  <w:style w:type="character" w:customStyle="1" w:styleId="22pt">
    <w:name w:val="Заголовок №2 + Интервал 2 pt"/>
    <w:basedOn w:val="2f0"/>
    <w:rsid w:val="00811C95"/>
    <w:rPr>
      <w:rFonts w:ascii="Times New Roman" w:eastAsia="Times New Roman" w:hAnsi="Times New Roman" w:cs="Times New Roman"/>
      <w:b w:val="0"/>
      <w:bCs w:val="0"/>
      <w:i w:val="0"/>
      <w:iCs w:val="0"/>
      <w:smallCaps w:val="0"/>
      <w:strike w:val="0"/>
      <w:spacing w:val="50"/>
      <w:sz w:val="31"/>
      <w:szCs w:val="31"/>
    </w:rPr>
  </w:style>
  <w:style w:type="character" w:customStyle="1" w:styleId="1f1">
    <w:name w:val="Заголовок №1_"/>
    <w:basedOn w:val="a0"/>
    <w:rsid w:val="00811C95"/>
    <w:rPr>
      <w:rFonts w:ascii="Times New Roman" w:eastAsia="Times New Roman" w:hAnsi="Times New Roman" w:cs="Times New Roman"/>
      <w:b w:val="0"/>
      <w:bCs w:val="0"/>
      <w:i w:val="0"/>
      <w:iCs w:val="0"/>
      <w:smallCaps w:val="0"/>
      <w:strike w:val="0"/>
      <w:spacing w:val="0"/>
      <w:sz w:val="34"/>
      <w:szCs w:val="34"/>
    </w:rPr>
  </w:style>
  <w:style w:type="character" w:customStyle="1" w:styleId="1f2">
    <w:name w:val="Оглавление 1 Знак"/>
    <w:basedOn w:val="a0"/>
    <w:link w:val="1f3"/>
    <w:rsid w:val="00811C95"/>
    <w:rPr>
      <w:rFonts w:ascii="Times New Roman" w:eastAsia="Times New Roman" w:hAnsi="Times New Roman"/>
      <w:sz w:val="27"/>
      <w:szCs w:val="27"/>
      <w:shd w:val="clear" w:color="auto" w:fill="FFFFFF"/>
    </w:rPr>
  </w:style>
  <w:style w:type="paragraph" w:styleId="1f3">
    <w:name w:val="toc 1"/>
    <w:basedOn w:val="a"/>
    <w:link w:val="1f2"/>
    <w:autoRedefine/>
    <w:rsid w:val="00811C95"/>
    <w:pPr>
      <w:shd w:val="clear" w:color="auto" w:fill="FFFFFF"/>
      <w:spacing w:before="1080" w:after="0" w:line="480" w:lineRule="exact"/>
    </w:pPr>
    <w:rPr>
      <w:rFonts w:ascii="Times New Roman" w:eastAsia="Times New Roman" w:hAnsi="Times New Roman"/>
      <w:sz w:val="27"/>
      <w:szCs w:val="27"/>
      <w:lang w:eastAsia="ru-RU"/>
    </w:rPr>
  </w:style>
  <w:style w:type="character" w:customStyle="1" w:styleId="2115pt">
    <w:name w:val="Оглавление (2) + 11;5 pt;Не полужирный"/>
    <w:basedOn w:val="1f2"/>
    <w:rsid w:val="00811C95"/>
    <w:rPr>
      <w:rFonts w:ascii="Times New Roman" w:eastAsia="Times New Roman" w:hAnsi="Times New Roman"/>
      <w:b/>
      <w:bCs/>
      <w:sz w:val="23"/>
      <w:szCs w:val="23"/>
      <w:shd w:val="clear" w:color="auto" w:fill="FFFFFF"/>
    </w:rPr>
  </w:style>
  <w:style w:type="character" w:customStyle="1" w:styleId="2f6">
    <w:name w:val="Оглавление 2 Знак"/>
    <w:basedOn w:val="a0"/>
    <w:link w:val="2f7"/>
    <w:rsid w:val="00811C95"/>
    <w:rPr>
      <w:rFonts w:ascii="Times New Roman" w:eastAsia="Times New Roman" w:hAnsi="Times New Roman"/>
      <w:sz w:val="27"/>
      <w:szCs w:val="27"/>
      <w:shd w:val="clear" w:color="auto" w:fill="FFFFFF"/>
    </w:rPr>
  </w:style>
  <w:style w:type="paragraph" w:styleId="2f7">
    <w:name w:val="toc 2"/>
    <w:basedOn w:val="a"/>
    <w:link w:val="2f6"/>
    <w:autoRedefine/>
    <w:rsid w:val="00811C95"/>
    <w:pPr>
      <w:shd w:val="clear" w:color="auto" w:fill="FFFFFF"/>
      <w:spacing w:after="0" w:line="480" w:lineRule="exact"/>
    </w:pPr>
    <w:rPr>
      <w:rFonts w:ascii="Times New Roman" w:eastAsia="Times New Roman" w:hAnsi="Times New Roman"/>
      <w:sz w:val="27"/>
      <w:szCs w:val="27"/>
      <w:lang w:eastAsia="ru-RU"/>
    </w:rPr>
  </w:style>
  <w:style w:type="character" w:customStyle="1" w:styleId="115pt">
    <w:name w:val="Оглавление + 11;5 pt"/>
    <w:basedOn w:val="2f6"/>
    <w:rsid w:val="00811C95"/>
    <w:rPr>
      <w:rFonts w:ascii="Times New Roman" w:eastAsia="Times New Roman" w:hAnsi="Times New Roman"/>
      <w:sz w:val="23"/>
      <w:szCs w:val="23"/>
      <w:shd w:val="clear" w:color="auto" w:fill="FFFFFF"/>
    </w:rPr>
  </w:style>
  <w:style w:type="character" w:customStyle="1" w:styleId="2f8">
    <w:name w:val="Основной текст (2) + Не полужирный"/>
    <w:basedOn w:val="2a"/>
    <w:rsid w:val="00811C95"/>
    <w:rPr>
      <w:rFonts w:ascii="Times New Roman" w:eastAsia="Times New Roman" w:hAnsi="Times New Roman" w:cs="Times New Roman"/>
      <w:b/>
      <w:bCs/>
      <w:i w:val="0"/>
      <w:iCs w:val="0"/>
      <w:smallCaps w:val="0"/>
      <w:strike w:val="0"/>
      <w:spacing w:val="0"/>
      <w:sz w:val="27"/>
      <w:szCs w:val="27"/>
      <w:shd w:val="clear" w:color="auto" w:fill="FFFFFF"/>
      <w:lang w:eastAsia="en-US"/>
    </w:rPr>
  </w:style>
  <w:style w:type="character" w:customStyle="1" w:styleId="317pt">
    <w:name w:val="Заголовок №3 + 17 pt"/>
    <w:basedOn w:val="3c"/>
    <w:rsid w:val="00811C95"/>
    <w:rPr>
      <w:rFonts w:ascii="Times New Roman" w:hAnsi="Times New Roman"/>
      <w:spacing w:val="40"/>
      <w:sz w:val="34"/>
      <w:szCs w:val="34"/>
      <w:shd w:val="clear" w:color="auto" w:fill="FFFFFF"/>
      <w:lang w:eastAsia="en-US"/>
    </w:rPr>
  </w:style>
  <w:style w:type="character" w:customStyle="1" w:styleId="85pt50pt">
    <w:name w:val="Основной текст + 8;5 pt;Интервал 50 pt"/>
    <w:basedOn w:val="aff1"/>
    <w:rsid w:val="00811C95"/>
    <w:rPr>
      <w:rFonts w:ascii="Times New Roman" w:eastAsia="Times New Roman" w:hAnsi="Times New Roman" w:cs="Times New Roman"/>
      <w:b w:val="0"/>
      <w:bCs w:val="0"/>
      <w:i w:val="0"/>
      <w:iCs w:val="0"/>
      <w:smallCaps w:val="0"/>
      <w:strike w:val="0"/>
      <w:spacing w:val="1000"/>
      <w:sz w:val="17"/>
      <w:szCs w:val="17"/>
      <w:shd w:val="clear" w:color="auto" w:fill="FFFFFF"/>
    </w:rPr>
  </w:style>
  <w:style w:type="character" w:customStyle="1" w:styleId="30pt">
    <w:name w:val="Основной текст (3) + Интервал 0 pt"/>
    <w:basedOn w:val="35"/>
    <w:rsid w:val="00811C95"/>
    <w:rPr>
      <w:rFonts w:ascii="Times New Roman" w:eastAsia="Times New Roman" w:hAnsi="Times New Roman" w:cs="Times New Roman"/>
      <w:b w:val="0"/>
      <w:bCs w:val="0"/>
      <w:i w:val="0"/>
      <w:iCs w:val="0"/>
      <w:smallCaps w:val="0"/>
      <w:strike w:val="0"/>
      <w:spacing w:val="0"/>
      <w:sz w:val="17"/>
      <w:szCs w:val="17"/>
      <w:shd w:val="clear" w:color="auto" w:fill="FFFFFF"/>
    </w:rPr>
  </w:style>
  <w:style w:type="character" w:customStyle="1" w:styleId="224">
    <w:name w:val="Заголовок №2 (2)_"/>
    <w:basedOn w:val="a0"/>
    <w:rsid w:val="00811C95"/>
    <w:rPr>
      <w:rFonts w:ascii="Times New Roman" w:eastAsia="Times New Roman" w:hAnsi="Times New Roman" w:cs="Times New Roman"/>
      <w:b w:val="0"/>
      <w:bCs w:val="0"/>
      <w:i w:val="0"/>
      <w:iCs w:val="0"/>
      <w:smallCaps w:val="0"/>
      <w:strike w:val="0"/>
      <w:spacing w:val="0"/>
      <w:sz w:val="27"/>
      <w:szCs w:val="27"/>
    </w:rPr>
  </w:style>
  <w:style w:type="character" w:customStyle="1" w:styleId="225">
    <w:name w:val="Заголовок №2 (2)"/>
    <w:basedOn w:val="224"/>
    <w:rsid w:val="00811C95"/>
    <w:rPr>
      <w:rFonts w:ascii="Times New Roman" w:eastAsia="Times New Roman" w:hAnsi="Times New Roman" w:cs="Times New Roman"/>
      <w:b w:val="0"/>
      <w:bCs w:val="0"/>
      <w:i w:val="0"/>
      <w:iCs w:val="0"/>
      <w:smallCaps w:val="0"/>
      <w:strike w:val="0"/>
      <w:spacing w:val="0"/>
      <w:sz w:val="27"/>
      <w:szCs w:val="27"/>
    </w:rPr>
  </w:style>
  <w:style w:type="character" w:customStyle="1" w:styleId="85pt1">
    <w:name w:val="Основной текст + 8;5 pt"/>
    <w:basedOn w:val="aff1"/>
    <w:rsid w:val="00811C95"/>
    <w:rPr>
      <w:rFonts w:ascii="Times New Roman" w:eastAsia="Times New Roman" w:hAnsi="Times New Roman" w:cs="Times New Roman"/>
      <w:b w:val="0"/>
      <w:bCs w:val="0"/>
      <w:i w:val="0"/>
      <w:iCs w:val="0"/>
      <w:smallCaps w:val="0"/>
      <w:strike w:val="0"/>
      <w:spacing w:val="0"/>
      <w:sz w:val="17"/>
      <w:szCs w:val="17"/>
      <w:shd w:val="clear" w:color="auto" w:fill="FFFFFF"/>
    </w:rPr>
  </w:style>
  <w:style w:type="character" w:customStyle="1" w:styleId="1217pt">
    <w:name w:val="Заголовок №1 (2) + 17 pt"/>
    <w:basedOn w:val="127"/>
    <w:rsid w:val="00811C95"/>
    <w:rPr>
      <w:rFonts w:ascii="Times New Roman" w:eastAsia="Times New Roman" w:hAnsi="Times New Roman"/>
      <w:b w:val="0"/>
      <w:bCs w:val="0"/>
      <w:i w:val="0"/>
      <w:iCs w:val="0"/>
      <w:smallCaps w:val="0"/>
      <w:strike w:val="0"/>
      <w:spacing w:val="0"/>
      <w:sz w:val="34"/>
      <w:szCs w:val="34"/>
      <w:shd w:val="clear" w:color="auto" w:fill="FFFFFF"/>
    </w:rPr>
  </w:style>
  <w:style w:type="character" w:customStyle="1" w:styleId="11pt0">
    <w:name w:val="Сноска + 11 pt"/>
    <w:basedOn w:val="aff5"/>
    <w:rsid w:val="00811C95"/>
    <w:rPr>
      <w:rFonts w:ascii="Times New Roman" w:eastAsia="Times New Roman" w:hAnsi="Times New Roman" w:cs="Times New Roman"/>
      <w:b w:val="0"/>
      <w:bCs w:val="0"/>
      <w:i w:val="0"/>
      <w:iCs w:val="0"/>
      <w:smallCaps w:val="0"/>
      <w:strike w:val="0"/>
      <w:noProof/>
      <w:spacing w:val="0"/>
      <w:sz w:val="22"/>
      <w:szCs w:val="22"/>
      <w:shd w:val="clear" w:color="auto" w:fill="FFFFFF"/>
      <w:lang w:val="en-US"/>
    </w:rPr>
  </w:style>
  <w:style w:type="character" w:customStyle="1" w:styleId="322">
    <w:name w:val="Заголовок №3 (2)_"/>
    <w:basedOn w:val="a0"/>
    <w:rsid w:val="00811C95"/>
    <w:rPr>
      <w:rFonts w:ascii="Times New Roman" w:eastAsia="Times New Roman" w:hAnsi="Times New Roman" w:cs="Times New Roman"/>
      <w:b w:val="0"/>
      <w:bCs w:val="0"/>
      <w:i w:val="0"/>
      <w:iCs w:val="0"/>
      <w:smallCaps w:val="0"/>
      <w:strike w:val="0"/>
      <w:spacing w:val="0"/>
      <w:sz w:val="27"/>
      <w:szCs w:val="27"/>
    </w:rPr>
  </w:style>
  <w:style w:type="character" w:customStyle="1" w:styleId="323">
    <w:name w:val="Заголовок №3 (2)"/>
    <w:basedOn w:val="322"/>
    <w:rsid w:val="00811C95"/>
    <w:rPr>
      <w:rFonts w:ascii="Times New Roman" w:eastAsia="Times New Roman" w:hAnsi="Times New Roman" w:cs="Times New Roman"/>
      <w:b w:val="0"/>
      <w:bCs w:val="0"/>
      <w:i w:val="0"/>
      <w:iCs w:val="0"/>
      <w:smallCaps w:val="0"/>
      <w:strike w:val="0"/>
      <w:spacing w:val="0"/>
      <w:sz w:val="27"/>
      <w:szCs w:val="27"/>
    </w:rPr>
  </w:style>
  <w:style w:type="character" w:customStyle="1" w:styleId="234">
    <w:name w:val="Заголовок №2 (3)_"/>
    <w:basedOn w:val="a0"/>
    <w:link w:val="235"/>
    <w:rsid w:val="00811C95"/>
    <w:rPr>
      <w:rFonts w:ascii="Times New Roman" w:eastAsia="Times New Roman" w:hAnsi="Times New Roman"/>
      <w:sz w:val="27"/>
      <w:szCs w:val="27"/>
      <w:shd w:val="clear" w:color="auto" w:fill="FFFFFF"/>
    </w:rPr>
  </w:style>
  <w:style w:type="paragraph" w:customStyle="1" w:styleId="235">
    <w:name w:val="Заголовок №2 (3)"/>
    <w:basedOn w:val="a"/>
    <w:link w:val="234"/>
    <w:rsid w:val="00811C95"/>
    <w:pPr>
      <w:shd w:val="clear" w:color="auto" w:fill="FFFFFF"/>
      <w:spacing w:after="0" w:line="466" w:lineRule="exact"/>
      <w:ind w:hanging="360"/>
      <w:jc w:val="both"/>
      <w:outlineLvl w:val="1"/>
    </w:pPr>
    <w:rPr>
      <w:rFonts w:ascii="Times New Roman" w:eastAsia="Times New Roman" w:hAnsi="Times New Roman"/>
      <w:sz w:val="27"/>
      <w:szCs w:val="27"/>
      <w:lang w:eastAsia="ru-RU"/>
    </w:rPr>
  </w:style>
  <w:style w:type="character" w:customStyle="1" w:styleId="17-1pt">
    <w:name w:val="Основной текст (17) + Интервал -1 pt"/>
    <w:basedOn w:val="173"/>
    <w:rsid w:val="00811C95"/>
    <w:rPr>
      <w:rFonts w:ascii="Arial Narrow" w:eastAsia="Arial Narrow" w:hAnsi="Arial Narrow" w:cs="Arial Narrow"/>
      <w:b w:val="0"/>
      <w:bCs w:val="0"/>
      <w:i w:val="0"/>
      <w:iCs w:val="0"/>
      <w:smallCaps w:val="0"/>
      <w:strike w:val="0"/>
      <w:spacing w:val="-20"/>
      <w:w w:val="100"/>
      <w:sz w:val="18"/>
      <w:szCs w:val="18"/>
      <w:u w:val="single"/>
    </w:rPr>
  </w:style>
  <w:style w:type="character" w:customStyle="1" w:styleId="4-2pt">
    <w:name w:val="Заголовок №4 + Интервал -2 pt"/>
    <w:basedOn w:val="4e"/>
    <w:rsid w:val="00811C95"/>
    <w:rPr>
      <w:rFonts w:ascii="Tahoma" w:eastAsia="Tahoma" w:hAnsi="Tahoma" w:cs="Tahoma"/>
      <w:b w:val="0"/>
      <w:bCs w:val="0"/>
      <w:i w:val="0"/>
      <w:iCs w:val="0"/>
      <w:smallCaps w:val="0"/>
      <w:strike w:val="0"/>
      <w:color w:val="EBEBEB"/>
      <w:spacing w:val="-40"/>
      <w:sz w:val="41"/>
      <w:szCs w:val="41"/>
    </w:rPr>
  </w:style>
  <w:style w:type="character" w:customStyle="1" w:styleId="175">
    <w:name w:val="Основной текст (17) + Не курсив"/>
    <w:basedOn w:val="173"/>
    <w:rsid w:val="00811C95"/>
    <w:rPr>
      <w:rFonts w:ascii="Arial Narrow" w:eastAsia="Arial Narrow" w:hAnsi="Arial Narrow" w:cs="Arial Narrow"/>
      <w:b w:val="0"/>
      <w:bCs w:val="0"/>
      <w:i/>
      <w:iCs/>
      <w:smallCaps w:val="0"/>
      <w:strike w:val="0"/>
      <w:spacing w:val="0"/>
      <w:w w:val="100"/>
      <w:sz w:val="18"/>
      <w:szCs w:val="18"/>
    </w:rPr>
  </w:style>
  <w:style w:type="character" w:customStyle="1" w:styleId="17SegoeUI7pt">
    <w:name w:val="Основной текст (17) + Segoe UI;7 pt;Полужирный;Не курсив;Малые прописные"/>
    <w:basedOn w:val="173"/>
    <w:rsid w:val="00811C95"/>
    <w:rPr>
      <w:rFonts w:ascii="Segoe UI" w:eastAsia="Segoe UI" w:hAnsi="Segoe UI" w:cs="Segoe UI"/>
      <w:b/>
      <w:bCs/>
      <w:i/>
      <w:iCs/>
      <w:smallCaps/>
      <w:strike w:val="0"/>
      <w:spacing w:val="0"/>
      <w:w w:val="100"/>
      <w:sz w:val="14"/>
      <w:szCs w:val="14"/>
      <w:lang w:val="en-US"/>
    </w:rPr>
  </w:style>
  <w:style w:type="character" w:customStyle="1" w:styleId="SegoeUI7pt">
    <w:name w:val="Основной текст + Segoe UI;7 pt;Полужирный;Малые прописные"/>
    <w:basedOn w:val="aff1"/>
    <w:rsid w:val="00811C95"/>
    <w:rPr>
      <w:rFonts w:ascii="Segoe UI" w:eastAsia="Segoe UI" w:hAnsi="Segoe UI" w:cs="Segoe UI"/>
      <w:b/>
      <w:bCs/>
      <w:i w:val="0"/>
      <w:iCs w:val="0"/>
      <w:smallCaps/>
      <w:strike w:val="0"/>
      <w:spacing w:val="0"/>
      <w:w w:val="100"/>
      <w:sz w:val="14"/>
      <w:szCs w:val="14"/>
      <w:shd w:val="clear" w:color="auto" w:fill="FFFFFF"/>
    </w:rPr>
  </w:style>
  <w:style w:type="character" w:customStyle="1" w:styleId="303">
    <w:name w:val="Основной текст (30)_"/>
    <w:basedOn w:val="a0"/>
    <w:rsid w:val="00811C95"/>
    <w:rPr>
      <w:rFonts w:ascii="Arial Narrow" w:eastAsia="Arial Narrow" w:hAnsi="Arial Narrow" w:cs="Arial Narrow"/>
      <w:b w:val="0"/>
      <w:bCs w:val="0"/>
      <w:i w:val="0"/>
      <w:iCs w:val="0"/>
      <w:smallCaps w:val="0"/>
      <w:strike w:val="0"/>
      <w:spacing w:val="0"/>
      <w:sz w:val="25"/>
      <w:szCs w:val="25"/>
    </w:rPr>
  </w:style>
  <w:style w:type="character" w:customStyle="1" w:styleId="314">
    <w:name w:val="Основной текст (31)_"/>
    <w:basedOn w:val="a0"/>
    <w:rsid w:val="00811C95"/>
    <w:rPr>
      <w:rFonts w:ascii="Arial Narrow" w:eastAsia="Arial Narrow" w:hAnsi="Arial Narrow" w:cs="Arial Narrow"/>
      <w:b w:val="0"/>
      <w:bCs w:val="0"/>
      <w:i w:val="0"/>
      <w:iCs w:val="0"/>
      <w:smallCaps w:val="0"/>
      <w:strike w:val="0"/>
      <w:spacing w:val="0"/>
      <w:sz w:val="20"/>
      <w:szCs w:val="20"/>
    </w:rPr>
  </w:style>
  <w:style w:type="character" w:customStyle="1" w:styleId="315">
    <w:name w:val="Основной текст (31)"/>
    <w:basedOn w:val="314"/>
    <w:rsid w:val="00811C95"/>
    <w:rPr>
      <w:rFonts w:ascii="Arial Narrow" w:eastAsia="Arial Narrow" w:hAnsi="Arial Narrow" w:cs="Arial Narrow"/>
      <w:b w:val="0"/>
      <w:bCs w:val="0"/>
      <w:i w:val="0"/>
      <w:iCs w:val="0"/>
      <w:smallCaps w:val="0"/>
      <w:strike w:val="0"/>
      <w:spacing w:val="0"/>
      <w:sz w:val="20"/>
      <w:szCs w:val="20"/>
    </w:rPr>
  </w:style>
  <w:style w:type="character" w:customStyle="1" w:styleId="380">
    <w:name w:val="Основной текст (38)_"/>
    <w:basedOn w:val="a0"/>
    <w:link w:val="381"/>
    <w:rsid w:val="00811C95"/>
    <w:rPr>
      <w:rFonts w:ascii="Microsoft Sans Serif" w:eastAsia="Microsoft Sans Serif" w:hAnsi="Microsoft Sans Serif" w:cs="Microsoft Sans Serif"/>
      <w:spacing w:val="10"/>
      <w:sz w:val="31"/>
      <w:szCs w:val="31"/>
      <w:shd w:val="clear" w:color="auto" w:fill="FFFFFF"/>
    </w:rPr>
  </w:style>
  <w:style w:type="paragraph" w:customStyle="1" w:styleId="381">
    <w:name w:val="Основной текст (38)"/>
    <w:basedOn w:val="a"/>
    <w:link w:val="380"/>
    <w:rsid w:val="00811C95"/>
    <w:pPr>
      <w:shd w:val="clear" w:color="auto" w:fill="FFFFFF"/>
      <w:spacing w:after="60" w:line="0" w:lineRule="atLeast"/>
    </w:pPr>
    <w:rPr>
      <w:rFonts w:ascii="Microsoft Sans Serif" w:eastAsia="Microsoft Sans Serif" w:hAnsi="Microsoft Sans Serif" w:cs="Microsoft Sans Serif"/>
      <w:spacing w:val="10"/>
      <w:sz w:val="31"/>
      <w:szCs w:val="31"/>
      <w:lang w:eastAsia="ru-RU"/>
    </w:rPr>
  </w:style>
  <w:style w:type="character" w:customStyle="1" w:styleId="14-1pt">
    <w:name w:val="Основной текст (14) + Интервал -1 pt"/>
    <w:basedOn w:val="143"/>
    <w:rsid w:val="00811C95"/>
    <w:rPr>
      <w:rFonts w:ascii="Franklin Gothic Medium Cond" w:eastAsia="Franklin Gothic Medium Cond" w:hAnsi="Franklin Gothic Medium Cond" w:cs="Franklin Gothic Medium Cond"/>
      <w:b w:val="0"/>
      <w:bCs w:val="0"/>
      <w:i w:val="0"/>
      <w:iCs w:val="0"/>
      <w:smallCaps w:val="0"/>
      <w:strike w:val="0"/>
      <w:spacing w:val="-20"/>
      <w:sz w:val="27"/>
      <w:szCs w:val="27"/>
      <w:u w:val="single"/>
      <w:shd w:val="clear" w:color="auto" w:fill="FFFFFF"/>
    </w:rPr>
  </w:style>
  <w:style w:type="character" w:customStyle="1" w:styleId="14ArialNarrow9pt">
    <w:name w:val="Основной текст (14) + Arial Narrow;9 pt;Не полужирный"/>
    <w:basedOn w:val="143"/>
    <w:rsid w:val="00811C95"/>
    <w:rPr>
      <w:rFonts w:ascii="Arial Narrow" w:eastAsia="Arial Narrow" w:hAnsi="Arial Narrow" w:cs="Arial Narrow"/>
      <w:b/>
      <w:bCs/>
      <w:i w:val="0"/>
      <w:iCs w:val="0"/>
      <w:smallCaps w:val="0"/>
      <w:strike w:val="0"/>
      <w:spacing w:val="0"/>
      <w:w w:val="100"/>
      <w:sz w:val="18"/>
      <w:szCs w:val="18"/>
      <w:u w:val="single"/>
      <w:shd w:val="clear" w:color="auto" w:fill="FFFFFF"/>
    </w:rPr>
  </w:style>
  <w:style w:type="character" w:customStyle="1" w:styleId="14ArialNarrow10pt">
    <w:name w:val="Основной текст (14) + Arial Narrow;10 pt;Не полужирный;Не курсив"/>
    <w:basedOn w:val="143"/>
    <w:rsid w:val="00811C95"/>
    <w:rPr>
      <w:rFonts w:ascii="Arial Narrow" w:eastAsia="Arial Narrow" w:hAnsi="Arial Narrow" w:cs="Arial Narrow"/>
      <w:b/>
      <w:bCs/>
      <w:i/>
      <w:iCs/>
      <w:smallCaps w:val="0"/>
      <w:strike w:val="0"/>
      <w:spacing w:val="0"/>
      <w:sz w:val="20"/>
      <w:szCs w:val="20"/>
      <w:shd w:val="clear" w:color="auto" w:fill="FFFFFF"/>
    </w:rPr>
  </w:style>
  <w:style w:type="character" w:customStyle="1" w:styleId="11pt1">
    <w:name w:val="Основной текст + 11 pt;Курсив"/>
    <w:basedOn w:val="aff1"/>
    <w:rsid w:val="00811C95"/>
    <w:rPr>
      <w:rFonts w:ascii="Arial Narrow" w:eastAsia="Arial Narrow" w:hAnsi="Arial Narrow" w:cs="Arial Narrow"/>
      <w:b w:val="0"/>
      <w:bCs w:val="0"/>
      <w:i/>
      <w:iCs/>
      <w:smallCaps w:val="0"/>
      <w:strike w:val="0"/>
      <w:spacing w:val="0"/>
      <w:w w:val="100"/>
      <w:sz w:val="22"/>
      <w:szCs w:val="22"/>
      <w:shd w:val="clear" w:color="auto" w:fill="FFFFFF"/>
    </w:rPr>
  </w:style>
  <w:style w:type="paragraph" w:styleId="afff9">
    <w:name w:val="footer"/>
    <w:basedOn w:val="a"/>
    <w:link w:val="afffa"/>
    <w:uiPriority w:val="99"/>
    <w:unhideWhenUsed/>
    <w:rsid w:val="00811C95"/>
    <w:pPr>
      <w:tabs>
        <w:tab w:val="center" w:pos="4677"/>
        <w:tab w:val="right" w:pos="9355"/>
      </w:tabs>
      <w:spacing w:after="0" w:line="240" w:lineRule="auto"/>
    </w:pPr>
    <w:rPr>
      <w:rFonts w:asciiTheme="minorHAnsi" w:eastAsiaTheme="minorHAnsi" w:hAnsiTheme="minorHAnsi" w:cstheme="minorBidi"/>
    </w:rPr>
  </w:style>
  <w:style w:type="character" w:customStyle="1" w:styleId="afffa">
    <w:name w:val="Нижний колонтитул Знак"/>
    <w:basedOn w:val="a0"/>
    <w:link w:val="afff9"/>
    <w:uiPriority w:val="99"/>
    <w:rsid w:val="00811C95"/>
    <w:rPr>
      <w:rFonts w:asciiTheme="minorHAnsi" w:eastAsiaTheme="minorHAnsi" w:hAnsiTheme="minorHAnsi" w:cstheme="minorBidi"/>
      <w:sz w:val="22"/>
      <w:szCs w:val="22"/>
      <w:lang w:eastAsia="en-US"/>
    </w:rPr>
  </w:style>
  <w:style w:type="character" w:customStyle="1" w:styleId="40pt">
    <w:name w:val="Основной текст (4) + Интервал 0 pt"/>
    <w:basedOn w:val="46"/>
    <w:rsid w:val="00811C95"/>
    <w:rPr>
      <w:rFonts w:ascii="Arial Narrow" w:eastAsia="Arial Narrow" w:hAnsi="Arial Narrow" w:cs="Arial Narrow"/>
      <w:b w:val="0"/>
      <w:bCs w:val="0"/>
      <w:i w:val="0"/>
      <w:iCs w:val="0"/>
      <w:smallCaps w:val="0"/>
      <w:strike w:val="0"/>
      <w:spacing w:val="0"/>
      <w:w w:val="60"/>
      <w:sz w:val="105"/>
      <w:szCs w:val="105"/>
      <w:shd w:val="clear" w:color="auto" w:fill="FFFFFF"/>
    </w:rPr>
  </w:style>
  <w:style w:type="character" w:customStyle="1" w:styleId="710pt0pt">
    <w:name w:val="Основной текст (7) + 10 pt;Не полужирный;Интервал 0 pt"/>
    <w:basedOn w:val="70"/>
    <w:rsid w:val="00811C95"/>
    <w:rPr>
      <w:rFonts w:ascii="Arial" w:eastAsia="Arial" w:hAnsi="Arial" w:cs="Arial"/>
      <w:b/>
      <w:bCs/>
      <w:i w:val="0"/>
      <w:iCs w:val="0"/>
      <w:smallCaps w:val="0"/>
      <w:strike w:val="0"/>
      <w:spacing w:val="0"/>
      <w:sz w:val="20"/>
      <w:szCs w:val="20"/>
      <w:shd w:val="clear" w:color="auto" w:fill="FFFFFF"/>
      <w:lang w:val="en-US" w:eastAsia="en-US"/>
    </w:rPr>
  </w:style>
  <w:style w:type="character" w:customStyle="1" w:styleId="70pt0">
    <w:name w:val="Основной текст (7) + Интервал 0 pt"/>
    <w:basedOn w:val="70"/>
    <w:rsid w:val="00811C95"/>
    <w:rPr>
      <w:rFonts w:ascii="Arial" w:eastAsia="Arial" w:hAnsi="Arial" w:cs="Arial"/>
      <w:b w:val="0"/>
      <w:bCs w:val="0"/>
      <w:i w:val="0"/>
      <w:iCs w:val="0"/>
      <w:smallCaps w:val="0"/>
      <w:strike w:val="0"/>
      <w:spacing w:val="0"/>
      <w:sz w:val="22"/>
      <w:szCs w:val="22"/>
      <w:shd w:val="clear" w:color="auto" w:fill="FFFFFF"/>
      <w:lang w:eastAsia="en-US"/>
    </w:rPr>
  </w:style>
  <w:style w:type="character" w:customStyle="1" w:styleId="afffb">
    <w:name w:val="Подпись к картинке + Не курсив"/>
    <w:basedOn w:val="affc"/>
    <w:rsid w:val="00811C95"/>
    <w:rPr>
      <w:rFonts w:ascii="Arial" w:eastAsia="Arial" w:hAnsi="Arial" w:cs="Arial"/>
      <w:b w:val="0"/>
      <w:bCs w:val="0"/>
      <w:i/>
      <w:iCs/>
      <w:smallCaps w:val="0"/>
      <w:strike w:val="0"/>
      <w:spacing w:val="0"/>
      <w:sz w:val="16"/>
      <w:szCs w:val="16"/>
      <w:shd w:val="clear" w:color="auto" w:fill="FFFFFF"/>
      <w:lang w:eastAsia="en-US"/>
    </w:rPr>
  </w:style>
  <w:style w:type="character" w:customStyle="1" w:styleId="156">
    <w:name w:val="Основной текст (15) + Не полужирный"/>
    <w:basedOn w:val="153"/>
    <w:rsid w:val="00811C95"/>
    <w:rPr>
      <w:rFonts w:ascii="Arial" w:eastAsia="Arial" w:hAnsi="Arial" w:cs="Arial"/>
      <w:b/>
      <w:bCs/>
      <w:i w:val="0"/>
      <w:iCs w:val="0"/>
      <w:smallCaps w:val="0"/>
      <w:strike w:val="0"/>
      <w:spacing w:val="0"/>
      <w:sz w:val="16"/>
      <w:szCs w:val="16"/>
      <w:lang w:val="en-US"/>
    </w:rPr>
  </w:style>
  <w:style w:type="character" w:customStyle="1" w:styleId="720">
    <w:name w:val="Заголовок №7 (2)_"/>
    <w:basedOn w:val="a0"/>
    <w:link w:val="721"/>
    <w:rsid w:val="00811C95"/>
    <w:rPr>
      <w:rFonts w:ascii="Arial" w:eastAsia="Arial" w:hAnsi="Arial" w:cs="Arial"/>
      <w:sz w:val="16"/>
      <w:szCs w:val="16"/>
      <w:shd w:val="clear" w:color="auto" w:fill="FFFFFF"/>
    </w:rPr>
  </w:style>
  <w:style w:type="paragraph" w:customStyle="1" w:styleId="721">
    <w:name w:val="Заголовок №7 (2)"/>
    <w:basedOn w:val="a"/>
    <w:link w:val="720"/>
    <w:rsid w:val="00811C95"/>
    <w:pPr>
      <w:shd w:val="clear" w:color="auto" w:fill="FFFFFF"/>
      <w:spacing w:before="180" w:after="0" w:line="0" w:lineRule="atLeast"/>
      <w:outlineLvl w:val="6"/>
    </w:pPr>
    <w:rPr>
      <w:rFonts w:ascii="Arial" w:eastAsia="Arial" w:hAnsi="Arial" w:cs="Arial"/>
      <w:sz w:val="16"/>
      <w:szCs w:val="16"/>
      <w:lang w:eastAsia="ru-RU"/>
    </w:rPr>
  </w:style>
  <w:style w:type="character" w:customStyle="1" w:styleId="15ArialNarrow525pt-2pt">
    <w:name w:val="Основной текст (15) + Arial Narrow;52;5 pt;Интервал -2 pt"/>
    <w:basedOn w:val="153"/>
    <w:rsid w:val="00811C95"/>
    <w:rPr>
      <w:rFonts w:ascii="Arial Narrow" w:eastAsia="Arial Narrow" w:hAnsi="Arial Narrow" w:cs="Arial Narrow"/>
      <w:b w:val="0"/>
      <w:bCs w:val="0"/>
      <w:i w:val="0"/>
      <w:iCs w:val="0"/>
      <w:smallCaps w:val="0"/>
      <w:strike w:val="0"/>
      <w:spacing w:val="-40"/>
      <w:sz w:val="105"/>
      <w:szCs w:val="105"/>
      <w:lang w:val="en-US"/>
    </w:rPr>
  </w:style>
  <w:style w:type="character" w:customStyle="1" w:styleId="18ArialNarrow525pt-2pt">
    <w:name w:val="Основной текст (18) + Arial Narrow;52;5 pt;Не курсив;Интервал -2 pt"/>
    <w:basedOn w:val="183"/>
    <w:rsid w:val="00811C95"/>
    <w:rPr>
      <w:rFonts w:ascii="Arial Narrow" w:eastAsia="Arial Narrow" w:hAnsi="Arial Narrow" w:cs="Arial Narrow"/>
      <w:i/>
      <w:iCs/>
      <w:spacing w:val="-40"/>
      <w:sz w:val="105"/>
      <w:szCs w:val="105"/>
      <w:shd w:val="clear" w:color="auto" w:fill="FFFFFF"/>
      <w:lang w:eastAsia="en-US"/>
    </w:rPr>
  </w:style>
  <w:style w:type="character" w:customStyle="1" w:styleId="15-1pt">
    <w:name w:val="Основной текст (15) + Интервал -1 pt"/>
    <w:basedOn w:val="153"/>
    <w:rsid w:val="00811C95"/>
    <w:rPr>
      <w:rFonts w:ascii="Arial" w:eastAsia="Arial" w:hAnsi="Arial" w:cs="Arial"/>
      <w:b w:val="0"/>
      <w:bCs w:val="0"/>
      <w:i w:val="0"/>
      <w:iCs w:val="0"/>
      <w:smallCaps w:val="0"/>
      <w:strike w:val="0"/>
      <w:color w:val="FFFFFF"/>
      <w:spacing w:val="-20"/>
      <w:sz w:val="16"/>
      <w:szCs w:val="16"/>
      <w:lang w:val="en-US"/>
    </w:rPr>
  </w:style>
  <w:style w:type="character" w:customStyle="1" w:styleId="65pt0">
    <w:name w:val="Основной текст + 6;5 pt"/>
    <w:basedOn w:val="aff1"/>
    <w:rsid w:val="00811C95"/>
    <w:rPr>
      <w:rFonts w:ascii="Arial" w:eastAsia="Arial" w:hAnsi="Arial" w:cs="Arial"/>
      <w:b w:val="0"/>
      <w:bCs w:val="0"/>
      <w:i w:val="0"/>
      <w:iCs w:val="0"/>
      <w:smallCaps w:val="0"/>
      <w:strike w:val="0"/>
      <w:spacing w:val="0"/>
      <w:sz w:val="13"/>
      <w:szCs w:val="13"/>
      <w:shd w:val="clear" w:color="auto" w:fill="FFFFFF"/>
    </w:rPr>
  </w:style>
  <w:style w:type="character" w:customStyle="1" w:styleId="3f3">
    <w:name w:val="Подпись к таблице (3)_"/>
    <w:basedOn w:val="a0"/>
    <w:link w:val="3f4"/>
    <w:rsid w:val="00811C95"/>
    <w:rPr>
      <w:rFonts w:ascii="Arial" w:eastAsia="Arial" w:hAnsi="Arial" w:cs="Arial"/>
      <w:sz w:val="18"/>
      <w:szCs w:val="18"/>
      <w:shd w:val="clear" w:color="auto" w:fill="FFFFFF"/>
    </w:rPr>
  </w:style>
  <w:style w:type="paragraph" w:customStyle="1" w:styleId="3f4">
    <w:name w:val="Подпись к таблице (3)"/>
    <w:basedOn w:val="a"/>
    <w:link w:val="3f3"/>
    <w:rsid w:val="00811C95"/>
    <w:pPr>
      <w:shd w:val="clear" w:color="auto" w:fill="FFFFFF"/>
      <w:spacing w:after="0" w:line="0" w:lineRule="atLeast"/>
    </w:pPr>
    <w:rPr>
      <w:rFonts w:ascii="Arial" w:eastAsia="Arial" w:hAnsi="Arial" w:cs="Arial"/>
      <w:sz w:val="18"/>
      <w:szCs w:val="18"/>
      <w:lang w:eastAsia="ru-RU"/>
    </w:rPr>
  </w:style>
  <w:style w:type="character" w:customStyle="1" w:styleId="34pt">
    <w:name w:val="Подпись к картинке (3) + 4 pt;Курсив"/>
    <w:basedOn w:val="38"/>
    <w:rsid w:val="00811C95"/>
    <w:rPr>
      <w:rFonts w:ascii="Arial" w:eastAsia="Arial" w:hAnsi="Arial" w:cs="Arial"/>
      <w:b w:val="0"/>
      <w:bCs w:val="0"/>
      <w:i/>
      <w:iCs/>
      <w:smallCaps w:val="0"/>
      <w:strike w:val="0"/>
      <w:spacing w:val="0"/>
      <w:sz w:val="8"/>
      <w:szCs w:val="8"/>
      <w:shd w:val="clear" w:color="auto" w:fill="FFFFFF"/>
      <w:lang w:eastAsia="en-US"/>
    </w:rPr>
  </w:style>
  <w:style w:type="character" w:customStyle="1" w:styleId="5-1pt0">
    <w:name w:val="Основной текст (5) + Интервал -1 pt"/>
    <w:basedOn w:val="5a"/>
    <w:rsid w:val="00811C95"/>
    <w:rPr>
      <w:rFonts w:ascii="Arial" w:eastAsia="Arial" w:hAnsi="Arial" w:cs="Arial"/>
      <w:b w:val="0"/>
      <w:bCs w:val="0"/>
      <w:i w:val="0"/>
      <w:iCs w:val="0"/>
      <w:smallCaps w:val="0"/>
      <w:strike w:val="0"/>
      <w:spacing w:val="-20"/>
      <w:sz w:val="16"/>
      <w:szCs w:val="16"/>
      <w:shd w:val="clear" w:color="auto" w:fill="FFFFFF"/>
      <w:lang w:val="en-US"/>
    </w:rPr>
  </w:style>
  <w:style w:type="character" w:customStyle="1" w:styleId="5e">
    <w:name w:val="Основной текст (5) + Не полужирный;Не курсив"/>
    <w:basedOn w:val="5a"/>
    <w:rsid w:val="00811C95"/>
    <w:rPr>
      <w:rFonts w:ascii="Arial" w:eastAsia="Arial" w:hAnsi="Arial" w:cs="Arial"/>
      <w:b/>
      <w:bCs/>
      <w:i/>
      <w:iCs/>
      <w:smallCaps w:val="0"/>
      <w:strike w:val="0"/>
      <w:spacing w:val="0"/>
      <w:sz w:val="16"/>
      <w:szCs w:val="16"/>
      <w:shd w:val="clear" w:color="auto" w:fill="FFFFFF"/>
    </w:rPr>
  </w:style>
  <w:style w:type="character" w:customStyle="1" w:styleId="511pt1pt">
    <w:name w:val="Основной текст (5) + 11 pt;Не курсив;Интервал 1 pt"/>
    <w:basedOn w:val="5a"/>
    <w:rsid w:val="00811C95"/>
    <w:rPr>
      <w:rFonts w:ascii="Arial" w:eastAsia="Arial" w:hAnsi="Arial" w:cs="Arial"/>
      <w:b w:val="0"/>
      <w:bCs w:val="0"/>
      <w:i/>
      <w:iCs/>
      <w:smallCaps w:val="0"/>
      <w:strike w:val="0"/>
      <w:spacing w:val="30"/>
      <w:sz w:val="22"/>
      <w:szCs w:val="22"/>
      <w:shd w:val="clear" w:color="auto" w:fill="FFFFFF"/>
    </w:rPr>
  </w:style>
  <w:style w:type="character" w:customStyle="1" w:styleId="4Arial485pt0pt">
    <w:name w:val="Основной текст (4) + Arial;48;5 pt;Не полужирный;Курсив;Интервал 0 pt"/>
    <w:basedOn w:val="46"/>
    <w:rsid w:val="00811C95"/>
    <w:rPr>
      <w:rFonts w:ascii="Arial" w:eastAsia="Arial" w:hAnsi="Arial" w:cs="Arial"/>
      <w:b/>
      <w:bCs/>
      <w:i/>
      <w:iCs/>
      <w:smallCaps w:val="0"/>
      <w:strike w:val="0"/>
      <w:color w:val="FFFFFF"/>
      <w:spacing w:val="0"/>
      <w:w w:val="60"/>
      <w:sz w:val="97"/>
      <w:szCs w:val="97"/>
      <w:shd w:val="clear" w:color="auto" w:fill="FFFFFF"/>
    </w:rPr>
  </w:style>
  <w:style w:type="character" w:customStyle="1" w:styleId="130pt">
    <w:name w:val="Основной текст (13) + Интервал 0 pt"/>
    <w:basedOn w:val="132"/>
    <w:rsid w:val="00811C95"/>
    <w:rPr>
      <w:rFonts w:ascii="Calibri" w:eastAsia="Calibri" w:hAnsi="Calibri" w:cs="Calibri"/>
      <w:b w:val="0"/>
      <w:bCs w:val="0"/>
      <w:i w:val="0"/>
      <w:iCs w:val="0"/>
      <w:smallCaps w:val="0"/>
      <w:strike w:val="0"/>
      <w:spacing w:val="0"/>
      <w:sz w:val="41"/>
      <w:szCs w:val="41"/>
      <w:shd w:val="clear" w:color="auto" w:fill="FFFFFF"/>
    </w:rPr>
  </w:style>
  <w:style w:type="character" w:customStyle="1" w:styleId="29pt">
    <w:name w:val="Основной текст (2) + 9 pt;Не курсив"/>
    <w:basedOn w:val="2a"/>
    <w:rsid w:val="00811C95"/>
    <w:rPr>
      <w:rFonts w:ascii="Arial Narrow" w:eastAsia="Arial Narrow" w:hAnsi="Arial Narrow" w:cs="Arial Narrow"/>
      <w:b w:val="0"/>
      <w:bCs w:val="0"/>
      <w:i/>
      <w:iCs/>
      <w:smallCaps w:val="0"/>
      <w:strike w:val="0"/>
      <w:color w:val="FFFFFF"/>
      <w:spacing w:val="0"/>
      <w:w w:val="100"/>
      <w:sz w:val="18"/>
      <w:szCs w:val="18"/>
      <w:shd w:val="clear" w:color="auto" w:fill="FFFFFF"/>
      <w:lang w:eastAsia="en-US"/>
    </w:rPr>
  </w:style>
  <w:style w:type="character" w:customStyle="1" w:styleId="885pt">
    <w:name w:val="Основной текст (8) + 8;5 pt"/>
    <w:basedOn w:val="81"/>
    <w:rsid w:val="00811C95"/>
    <w:rPr>
      <w:rFonts w:ascii="Arial Narrow" w:eastAsia="Arial Narrow" w:hAnsi="Arial Narrow" w:cs="Arial Narrow"/>
      <w:b w:val="0"/>
      <w:bCs w:val="0"/>
      <w:i w:val="0"/>
      <w:iCs w:val="0"/>
      <w:smallCaps w:val="0"/>
      <w:strike w:val="0"/>
      <w:spacing w:val="0"/>
      <w:w w:val="100"/>
      <w:sz w:val="17"/>
      <w:szCs w:val="17"/>
      <w:shd w:val="clear" w:color="auto" w:fill="FFFFFF"/>
    </w:rPr>
  </w:style>
  <w:style w:type="character" w:customStyle="1" w:styleId="Impact375pt">
    <w:name w:val="Основной текст + Impact;37;5 pt"/>
    <w:basedOn w:val="aff1"/>
    <w:rsid w:val="00811C95"/>
    <w:rPr>
      <w:rFonts w:ascii="Impact" w:eastAsia="Impact" w:hAnsi="Impact" w:cs="Impact"/>
      <w:b w:val="0"/>
      <w:bCs w:val="0"/>
      <w:i w:val="0"/>
      <w:iCs w:val="0"/>
      <w:smallCaps w:val="0"/>
      <w:strike w:val="0"/>
      <w:spacing w:val="0"/>
      <w:w w:val="100"/>
      <w:sz w:val="75"/>
      <w:szCs w:val="75"/>
      <w:shd w:val="clear" w:color="auto" w:fill="FFFFFF"/>
    </w:rPr>
  </w:style>
  <w:style w:type="character" w:customStyle="1" w:styleId="3ArialNarrow34pt0pt">
    <w:name w:val="Основной текст (3) + Arial Narrow;34 pt;Не курсив;Малые прописные;Интервал 0 pt"/>
    <w:basedOn w:val="35"/>
    <w:rsid w:val="00811C95"/>
    <w:rPr>
      <w:rFonts w:ascii="Arial Narrow" w:eastAsia="Arial Narrow" w:hAnsi="Arial Narrow" w:cs="Arial Narrow"/>
      <w:b w:val="0"/>
      <w:bCs w:val="0"/>
      <w:i/>
      <w:iCs/>
      <w:smallCaps/>
      <w:strike w:val="0"/>
      <w:spacing w:val="0"/>
      <w:sz w:val="68"/>
      <w:szCs w:val="68"/>
      <w:shd w:val="clear" w:color="auto" w:fill="FFFFFF"/>
    </w:rPr>
  </w:style>
  <w:style w:type="character" w:customStyle="1" w:styleId="85pt2">
    <w:name w:val="Основной текст + 8;5 pt;Курсив"/>
    <w:basedOn w:val="aff1"/>
    <w:rsid w:val="00811C95"/>
    <w:rPr>
      <w:rFonts w:ascii="Arial Narrow" w:eastAsia="Arial Narrow" w:hAnsi="Arial Narrow" w:cs="Arial Narrow"/>
      <w:b w:val="0"/>
      <w:bCs w:val="0"/>
      <w:i/>
      <w:iCs/>
      <w:smallCaps w:val="0"/>
      <w:strike w:val="0"/>
      <w:spacing w:val="0"/>
      <w:w w:val="100"/>
      <w:sz w:val="17"/>
      <w:szCs w:val="17"/>
      <w:shd w:val="clear" w:color="auto" w:fill="FFFFFF"/>
    </w:rPr>
  </w:style>
  <w:style w:type="paragraph" w:customStyle="1" w:styleId="blockquote0">
    <w:name w:val="blockquote"/>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form-required">
    <w:name w:val="form-required"/>
    <w:basedOn w:val="a0"/>
    <w:rsid w:val="00811C95"/>
  </w:style>
  <w:style w:type="character" w:customStyle="1" w:styleId="aft-postheadericon">
    <w:name w:val="aft-postheadericon"/>
    <w:basedOn w:val="a0"/>
    <w:rsid w:val="00811C95"/>
  </w:style>
  <w:style w:type="character" w:customStyle="1" w:styleId="aft-postcounter">
    <w:name w:val="aft-postcounter"/>
    <w:basedOn w:val="a0"/>
    <w:rsid w:val="00811C95"/>
  </w:style>
  <w:style w:type="character" w:customStyle="1" w:styleId="aft-postdateicon">
    <w:name w:val="aft-postdateicon"/>
    <w:basedOn w:val="a0"/>
    <w:rsid w:val="00811C95"/>
  </w:style>
  <w:style w:type="character" w:customStyle="1" w:styleId="aft-postauthoricon">
    <w:name w:val="aft-postauthoricon"/>
    <w:basedOn w:val="a0"/>
    <w:rsid w:val="00811C95"/>
  </w:style>
  <w:style w:type="character" w:customStyle="1" w:styleId="aft-commentauthorage">
    <w:name w:val="aft-commentauthorage"/>
    <w:basedOn w:val="a0"/>
    <w:rsid w:val="00811C95"/>
  </w:style>
  <w:style w:type="character" w:customStyle="1" w:styleId="badge">
    <w:name w:val="badge"/>
    <w:basedOn w:val="a0"/>
    <w:rsid w:val="00811C95"/>
  </w:style>
  <w:style w:type="character" w:customStyle="1" w:styleId="adminmeta">
    <w:name w:val="admin_meta"/>
    <w:basedOn w:val="a0"/>
    <w:rsid w:val="00811C95"/>
  </w:style>
  <w:style w:type="character" w:customStyle="1" w:styleId="datemeta">
    <w:name w:val="date_meta"/>
    <w:basedOn w:val="a0"/>
    <w:rsid w:val="00811C95"/>
  </w:style>
  <w:style w:type="character" w:customStyle="1" w:styleId="postviewmeta">
    <w:name w:val="postview_meta"/>
    <w:basedOn w:val="a0"/>
    <w:rsid w:val="00811C95"/>
  </w:style>
  <w:style w:type="character" w:customStyle="1" w:styleId="commcountmeta">
    <w:name w:val="comm_count_meta"/>
    <w:basedOn w:val="a0"/>
    <w:rsid w:val="00811C95"/>
  </w:style>
  <w:style w:type="character" w:customStyle="1" w:styleId="temperatur">
    <w:name w:val="temperatur"/>
    <w:basedOn w:val="a0"/>
    <w:rsid w:val="00811C95"/>
  </w:style>
  <w:style w:type="character" w:customStyle="1" w:styleId="ml5">
    <w:name w:val="ml5"/>
    <w:basedOn w:val="a0"/>
    <w:rsid w:val="00811C95"/>
  </w:style>
  <w:style w:type="character" w:customStyle="1" w:styleId="thumbscount">
    <w:name w:val="thumbscount"/>
    <w:basedOn w:val="a0"/>
    <w:rsid w:val="00811C95"/>
  </w:style>
  <w:style w:type="paragraph" w:customStyle="1" w:styleId="rteleft">
    <w:name w:val="rtelef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wbf885f96">
    <w:name w:val="wbf885f96"/>
    <w:basedOn w:val="a0"/>
    <w:rsid w:val="00811C95"/>
  </w:style>
  <w:style w:type="character" w:customStyle="1" w:styleId="21pt">
    <w:name w:val="Основной текст (2) + Интервал 1 pt"/>
    <w:basedOn w:val="2a"/>
    <w:rsid w:val="00811C95"/>
    <w:rPr>
      <w:rFonts w:ascii="Gungsuh" w:eastAsia="Gungsuh" w:hAnsi="Gungsuh" w:cs="Gungsuh"/>
      <w:b w:val="0"/>
      <w:bCs w:val="0"/>
      <w:i w:val="0"/>
      <w:iCs w:val="0"/>
      <w:smallCaps w:val="0"/>
      <w:strike w:val="0"/>
      <w:spacing w:val="30"/>
      <w:sz w:val="16"/>
      <w:szCs w:val="16"/>
      <w:shd w:val="clear" w:color="auto" w:fill="FFFFFF"/>
      <w:lang w:eastAsia="en-US"/>
    </w:rPr>
  </w:style>
  <w:style w:type="character" w:customStyle="1" w:styleId="27pt">
    <w:name w:val="Основной текст (2) + 7 pt;Не полужирный"/>
    <w:basedOn w:val="2a"/>
    <w:rsid w:val="00811C95"/>
    <w:rPr>
      <w:rFonts w:ascii="Gungsuh" w:eastAsia="Gungsuh" w:hAnsi="Gungsuh" w:cs="Gungsuh"/>
      <w:b/>
      <w:bCs/>
      <w:i w:val="0"/>
      <w:iCs w:val="0"/>
      <w:smallCaps w:val="0"/>
      <w:strike w:val="0"/>
      <w:spacing w:val="0"/>
      <w:sz w:val="14"/>
      <w:szCs w:val="14"/>
      <w:shd w:val="clear" w:color="auto" w:fill="FFFFFF"/>
      <w:lang w:eastAsia="en-US"/>
    </w:rPr>
  </w:style>
  <w:style w:type="character" w:customStyle="1" w:styleId="Gungsuh8pt1pt">
    <w:name w:val="Основной текст + Gungsuh;8 pt;Полужирный;Интервал 1 pt"/>
    <w:basedOn w:val="aff1"/>
    <w:rsid w:val="00811C95"/>
    <w:rPr>
      <w:rFonts w:ascii="Gungsuh" w:eastAsia="Gungsuh" w:hAnsi="Gungsuh" w:cs="Gungsuh"/>
      <w:b/>
      <w:bCs/>
      <w:i w:val="0"/>
      <w:iCs w:val="0"/>
      <w:smallCaps w:val="0"/>
      <w:strike w:val="0"/>
      <w:spacing w:val="30"/>
      <w:sz w:val="16"/>
      <w:szCs w:val="16"/>
      <w:shd w:val="clear" w:color="auto" w:fill="FFFFFF"/>
    </w:rPr>
  </w:style>
  <w:style w:type="character" w:customStyle="1" w:styleId="Gungsuh8pt0pt">
    <w:name w:val="Основной текст + Gungsuh;8 pt;Полужирный;Интервал 0 pt"/>
    <w:basedOn w:val="aff1"/>
    <w:rsid w:val="00811C95"/>
    <w:rPr>
      <w:rFonts w:ascii="Gungsuh" w:eastAsia="Gungsuh" w:hAnsi="Gungsuh" w:cs="Gungsuh"/>
      <w:b/>
      <w:bCs/>
      <w:i w:val="0"/>
      <w:iCs w:val="0"/>
      <w:smallCaps w:val="0"/>
      <w:strike w:val="0"/>
      <w:spacing w:val="0"/>
      <w:sz w:val="16"/>
      <w:szCs w:val="16"/>
      <w:shd w:val="clear" w:color="auto" w:fill="FFFFFF"/>
    </w:rPr>
  </w:style>
  <w:style w:type="character" w:customStyle="1" w:styleId="TrebuchetMS9pt0pt">
    <w:name w:val="Основной текст + Trebuchet MS;9 pt;Курсив;Интервал 0 pt"/>
    <w:basedOn w:val="aff1"/>
    <w:rsid w:val="00811C95"/>
    <w:rPr>
      <w:rFonts w:ascii="Trebuchet MS" w:eastAsia="Trebuchet MS" w:hAnsi="Trebuchet MS" w:cs="Trebuchet MS"/>
      <w:b w:val="0"/>
      <w:bCs w:val="0"/>
      <w:i/>
      <w:iCs/>
      <w:smallCaps w:val="0"/>
      <w:strike w:val="0"/>
      <w:spacing w:val="0"/>
      <w:sz w:val="18"/>
      <w:szCs w:val="18"/>
      <w:shd w:val="clear" w:color="auto" w:fill="FFFFFF"/>
    </w:rPr>
  </w:style>
  <w:style w:type="character" w:customStyle="1" w:styleId="0pt0">
    <w:name w:val="Оглавление + Интервал 0 pt"/>
    <w:basedOn w:val="afff8"/>
    <w:rsid w:val="00811C95"/>
    <w:rPr>
      <w:rFonts w:ascii="MS Gothic" w:eastAsia="MS Gothic" w:hAnsi="MS Gothic" w:cs="MS Gothic"/>
      <w:spacing w:val="-10"/>
      <w:sz w:val="19"/>
      <w:szCs w:val="19"/>
      <w:shd w:val="clear" w:color="auto" w:fill="FFFFFF"/>
    </w:rPr>
  </w:style>
  <w:style w:type="character" w:customStyle="1" w:styleId="9pt2">
    <w:name w:val="Основной текст + 9 pt;Малые прописные"/>
    <w:basedOn w:val="aff1"/>
    <w:rsid w:val="00811C95"/>
    <w:rPr>
      <w:rFonts w:ascii="Gungsuh" w:eastAsia="Gungsuh" w:hAnsi="Gungsuh" w:cs="Gungsuh"/>
      <w:b w:val="0"/>
      <w:bCs w:val="0"/>
      <w:i w:val="0"/>
      <w:iCs w:val="0"/>
      <w:smallCaps/>
      <w:strike w:val="0"/>
      <w:spacing w:val="0"/>
      <w:sz w:val="18"/>
      <w:szCs w:val="18"/>
      <w:shd w:val="clear" w:color="auto" w:fill="FFFFFF"/>
    </w:rPr>
  </w:style>
  <w:style w:type="character" w:customStyle="1" w:styleId="2Batang85pt">
    <w:name w:val="Заголовок №2 + Batang;8;5 pt"/>
    <w:basedOn w:val="a0"/>
    <w:rsid w:val="00811C95"/>
    <w:rPr>
      <w:rFonts w:ascii="Batang" w:eastAsia="Batang" w:hAnsi="Batang" w:cs="Batang"/>
      <w:b w:val="0"/>
      <w:bCs w:val="0"/>
      <w:i w:val="0"/>
      <w:iCs w:val="0"/>
      <w:smallCaps w:val="0"/>
      <w:strike w:val="0"/>
      <w:spacing w:val="0"/>
      <w:sz w:val="17"/>
      <w:szCs w:val="17"/>
    </w:rPr>
  </w:style>
  <w:style w:type="character" w:customStyle="1" w:styleId="Sylfaen9pt0pt">
    <w:name w:val="Основной текст + Sylfaen;9 pt;Интервал 0 pt"/>
    <w:basedOn w:val="aff1"/>
    <w:rsid w:val="00811C95"/>
    <w:rPr>
      <w:rFonts w:ascii="Sylfaen" w:eastAsia="Sylfaen" w:hAnsi="Sylfaen" w:cs="Sylfaen"/>
      <w:b w:val="0"/>
      <w:bCs w:val="0"/>
      <w:i w:val="0"/>
      <w:iCs w:val="0"/>
      <w:smallCaps w:val="0"/>
      <w:strike w:val="0"/>
      <w:spacing w:val="0"/>
      <w:sz w:val="18"/>
      <w:szCs w:val="18"/>
      <w:shd w:val="clear" w:color="auto" w:fill="FFFFFF"/>
    </w:rPr>
  </w:style>
  <w:style w:type="character" w:customStyle="1" w:styleId="CenturyGothic85pt-1pt">
    <w:name w:val="Основной текст + Century Gothic;8;5 pt;Интервал -1 pt"/>
    <w:basedOn w:val="aff1"/>
    <w:rsid w:val="00811C95"/>
    <w:rPr>
      <w:rFonts w:ascii="Century Gothic" w:eastAsia="Century Gothic" w:hAnsi="Century Gothic" w:cs="Century Gothic"/>
      <w:b w:val="0"/>
      <w:bCs w:val="0"/>
      <w:i w:val="0"/>
      <w:iCs w:val="0"/>
      <w:smallCaps w:val="0"/>
      <w:strike w:val="0"/>
      <w:spacing w:val="-20"/>
      <w:w w:val="100"/>
      <w:sz w:val="17"/>
      <w:szCs w:val="17"/>
      <w:shd w:val="clear" w:color="auto" w:fill="FFFFFF"/>
    </w:rPr>
  </w:style>
  <w:style w:type="character" w:customStyle="1" w:styleId="ArialUnicodeMS12pt0pt">
    <w:name w:val="Основной текст + Arial Unicode MS;12 pt;Курсив;Интервал 0 pt"/>
    <w:basedOn w:val="aff1"/>
    <w:rsid w:val="00811C95"/>
    <w:rPr>
      <w:rFonts w:ascii="Arial Unicode MS" w:eastAsia="Arial Unicode MS" w:hAnsi="Arial Unicode MS" w:cs="Arial Unicode MS"/>
      <w:b w:val="0"/>
      <w:bCs w:val="0"/>
      <w:i/>
      <w:iCs/>
      <w:smallCaps w:val="0"/>
      <w:strike w:val="0"/>
      <w:spacing w:val="0"/>
      <w:sz w:val="24"/>
      <w:szCs w:val="24"/>
      <w:shd w:val="clear" w:color="auto" w:fill="FFFFFF"/>
    </w:rPr>
  </w:style>
  <w:style w:type="character" w:customStyle="1" w:styleId="ArialUnicodeMS95pt0pt">
    <w:name w:val="Основной текст + Arial Unicode MS;9;5 pt;Курсив;Интервал 0 pt"/>
    <w:basedOn w:val="aff1"/>
    <w:rsid w:val="00811C95"/>
    <w:rPr>
      <w:rFonts w:ascii="Arial Unicode MS" w:eastAsia="Arial Unicode MS" w:hAnsi="Arial Unicode MS" w:cs="Arial Unicode MS"/>
      <w:b w:val="0"/>
      <w:bCs w:val="0"/>
      <w:i/>
      <w:iCs/>
      <w:smallCaps w:val="0"/>
      <w:strike w:val="0"/>
      <w:spacing w:val="0"/>
      <w:w w:val="100"/>
      <w:sz w:val="19"/>
      <w:szCs w:val="19"/>
      <w:shd w:val="clear" w:color="auto" w:fill="FFFFFF"/>
    </w:rPr>
  </w:style>
  <w:style w:type="character" w:customStyle="1" w:styleId="ArialUnicodeMS85pt0pt">
    <w:name w:val="Основной текст + Arial Unicode MS;8;5 pt;Интервал 0 pt"/>
    <w:basedOn w:val="aff1"/>
    <w:rsid w:val="00811C95"/>
    <w:rPr>
      <w:rFonts w:ascii="Arial Unicode MS" w:eastAsia="Arial Unicode MS" w:hAnsi="Arial Unicode MS" w:cs="Arial Unicode MS"/>
      <w:b w:val="0"/>
      <w:bCs w:val="0"/>
      <w:i w:val="0"/>
      <w:iCs w:val="0"/>
      <w:smallCaps w:val="0"/>
      <w:strike w:val="0"/>
      <w:spacing w:val="0"/>
      <w:w w:val="100"/>
      <w:sz w:val="17"/>
      <w:szCs w:val="17"/>
      <w:u w:val="single"/>
      <w:shd w:val="clear" w:color="auto" w:fill="FFFFFF"/>
    </w:rPr>
  </w:style>
  <w:style w:type="character" w:customStyle="1" w:styleId="Garamond115pt0pt">
    <w:name w:val="Основной текст + Garamond;11;5 pt;Курсив;Интервал 0 pt"/>
    <w:basedOn w:val="aff1"/>
    <w:rsid w:val="00811C95"/>
    <w:rPr>
      <w:rFonts w:ascii="Garamond" w:eastAsia="Garamond" w:hAnsi="Garamond" w:cs="Garamond"/>
      <w:i/>
      <w:iCs/>
      <w:spacing w:val="0"/>
      <w:sz w:val="23"/>
      <w:szCs w:val="23"/>
      <w:shd w:val="clear" w:color="auto" w:fill="FFFFFF"/>
    </w:rPr>
  </w:style>
  <w:style w:type="character" w:customStyle="1" w:styleId="MSReferenceSansSerif75pt0pt">
    <w:name w:val="Основной текст + MS Reference Sans Serif;7;5 pt;Интервал 0 pt"/>
    <w:basedOn w:val="aff1"/>
    <w:rsid w:val="00811C95"/>
    <w:rPr>
      <w:rFonts w:ascii="MS Reference Sans Serif" w:eastAsia="MS Reference Sans Serif" w:hAnsi="MS Reference Sans Serif" w:cs="MS Reference Sans Serif"/>
      <w:spacing w:val="0"/>
      <w:sz w:val="15"/>
      <w:szCs w:val="15"/>
      <w:shd w:val="clear" w:color="auto" w:fill="FFFFFF"/>
    </w:rPr>
  </w:style>
  <w:style w:type="character" w:customStyle="1" w:styleId="0pt1">
    <w:name w:val="Подпись к картинке + Интервал 0 pt"/>
    <w:basedOn w:val="affc"/>
    <w:rsid w:val="00811C95"/>
    <w:rPr>
      <w:rFonts w:ascii="SimHei" w:eastAsia="SimHei" w:hAnsi="SimHei" w:cs="SimHei"/>
      <w:b/>
      <w:bCs/>
      <w:spacing w:val="0"/>
      <w:sz w:val="20"/>
      <w:szCs w:val="20"/>
      <w:shd w:val="clear" w:color="auto" w:fill="FFFFFF"/>
      <w:lang w:eastAsia="en-US"/>
    </w:rPr>
  </w:style>
  <w:style w:type="character" w:customStyle="1" w:styleId="Consolas11pt">
    <w:name w:val="Основной текст + Consolas;11 pt;Полужирный"/>
    <w:basedOn w:val="aff1"/>
    <w:rsid w:val="00811C95"/>
    <w:rPr>
      <w:rFonts w:ascii="Consolas" w:eastAsia="Consolas" w:hAnsi="Consolas" w:cs="Consolas"/>
      <w:b/>
      <w:bCs/>
      <w:i w:val="0"/>
      <w:iCs w:val="0"/>
      <w:smallCaps w:val="0"/>
      <w:strike w:val="0"/>
      <w:spacing w:val="0"/>
      <w:sz w:val="22"/>
      <w:szCs w:val="22"/>
      <w:shd w:val="clear" w:color="auto" w:fill="FFFFFF"/>
    </w:rPr>
  </w:style>
  <w:style w:type="character" w:customStyle="1" w:styleId="Tahoma8pt1pt">
    <w:name w:val="Основной текст + Tahoma;8 pt;Интервал 1 pt"/>
    <w:basedOn w:val="aff1"/>
    <w:rsid w:val="00811C95"/>
    <w:rPr>
      <w:rFonts w:ascii="Tahoma" w:eastAsia="Tahoma" w:hAnsi="Tahoma" w:cs="Tahoma"/>
      <w:b w:val="0"/>
      <w:bCs w:val="0"/>
      <w:i w:val="0"/>
      <w:iCs w:val="0"/>
      <w:smallCaps w:val="0"/>
      <w:strike w:val="0"/>
      <w:spacing w:val="20"/>
      <w:w w:val="100"/>
      <w:sz w:val="16"/>
      <w:szCs w:val="16"/>
      <w:shd w:val="clear" w:color="auto" w:fill="FFFFFF"/>
    </w:rPr>
  </w:style>
  <w:style w:type="character" w:customStyle="1" w:styleId="Consolas105pt">
    <w:name w:val="Основной текст + Consolas;10;5 pt;Полужирный"/>
    <w:basedOn w:val="aff1"/>
    <w:rsid w:val="00811C95"/>
    <w:rPr>
      <w:rFonts w:ascii="Consolas" w:eastAsia="Consolas" w:hAnsi="Consolas" w:cs="Consolas"/>
      <w:b/>
      <w:bCs/>
      <w:i w:val="0"/>
      <w:iCs w:val="0"/>
      <w:smallCaps w:val="0"/>
      <w:strike w:val="0"/>
      <w:spacing w:val="0"/>
      <w:sz w:val="21"/>
      <w:szCs w:val="21"/>
      <w:shd w:val="clear" w:color="auto" w:fill="FFFFFF"/>
    </w:rPr>
  </w:style>
  <w:style w:type="character" w:customStyle="1" w:styleId="155pt0pt">
    <w:name w:val="Основной текст + 15;5 pt;Интервал 0 pt"/>
    <w:basedOn w:val="aff1"/>
    <w:rsid w:val="00811C95"/>
    <w:rPr>
      <w:rFonts w:ascii="Gungsuh" w:eastAsia="Gungsuh" w:hAnsi="Gungsuh" w:cs="Gungsuh"/>
      <w:b w:val="0"/>
      <w:bCs w:val="0"/>
      <w:i w:val="0"/>
      <w:iCs w:val="0"/>
      <w:smallCaps w:val="0"/>
      <w:strike w:val="0"/>
      <w:spacing w:val="-10"/>
      <w:sz w:val="31"/>
      <w:szCs w:val="31"/>
      <w:shd w:val="clear" w:color="auto" w:fill="FFFFFF"/>
    </w:rPr>
  </w:style>
  <w:style w:type="character" w:customStyle="1" w:styleId="MicrosoftSansSerif0pt">
    <w:name w:val="Основной текст + Microsoft Sans Serif;Интервал 0 pt"/>
    <w:basedOn w:val="aff1"/>
    <w:rsid w:val="00811C95"/>
    <w:rPr>
      <w:rFonts w:ascii="Microsoft Sans Serif" w:eastAsia="Microsoft Sans Serif" w:hAnsi="Microsoft Sans Serif" w:cs="Microsoft Sans Serif"/>
      <w:b w:val="0"/>
      <w:bCs w:val="0"/>
      <w:i w:val="0"/>
      <w:iCs w:val="0"/>
      <w:smallCaps w:val="0"/>
      <w:strike w:val="0"/>
      <w:spacing w:val="0"/>
      <w:w w:val="100"/>
      <w:sz w:val="20"/>
      <w:szCs w:val="20"/>
      <w:shd w:val="clear" w:color="auto" w:fill="FFFFFF"/>
    </w:rPr>
  </w:style>
  <w:style w:type="character" w:customStyle="1" w:styleId="Batang105pt0pt">
    <w:name w:val="Основной текст + Batang;10;5 pt;Малые прописные;Интервал 0 pt"/>
    <w:basedOn w:val="aff1"/>
    <w:rsid w:val="00811C95"/>
    <w:rPr>
      <w:rFonts w:ascii="Batang" w:eastAsia="Batang" w:hAnsi="Batang" w:cs="Batang"/>
      <w:b w:val="0"/>
      <w:bCs w:val="0"/>
      <w:i w:val="0"/>
      <w:iCs w:val="0"/>
      <w:smallCaps/>
      <w:strike w:val="0"/>
      <w:spacing w:val="0"/>
      <w:w w:val="100"/>
      <w:sz w:val="21"/>
      <w:szCs w:val="21"/>
      <w:shd w:val="clear" w:color="auto" w:fill="FFFFFF"/>
    </w:rPr>
  </w:style>
  <w:style w:type="character" w:customStyle="1" w:styleId="ArialUnicodeMS0pt">
    <w:name w:val="Основной текст + Arial Unicode MS;Интервал 0 pt"/>
    <w:basedOn w:val="aff1"/>
    <w:rsid w:val="00811C95"/>
    <w:rPr>
      <w:rFonts w:ascii="Arial Unicode MS" w:eastAsia="Arial Unicode MS" w:hAnsi="Arial Unicode MS" w:cs="Arial Unicode MS"/>
      <w:b w:val="0"/>
      <w:bCs w:val="0"/>
      <w:i w:val="0"/>
      <w:iCs w:val="0"/>
      <w:smallCaps w:val="0"/>
      <w:strike w:val="0"/>
      <w:spacing w:val="0"/>
      <w:w w:val="100"/>
      <w:sz w:val="19"/>
      <w:szCs w:val="19"/>
      <w:shd w:val="clear" w:color="auto" w:fill="FFFFFF"/>
    </w:rPr>
  </w:style>
  <w:style w:type="character" w:customStyle="1" w:styleId="SegoeUI85pt1pt">
    <w:name w:val="Основной текст + Segoe UI;8;5 pt;Курсив;Интервал 1 pt"/>
    <w:basedOn w:val="aff1"/>
    <w:rsid w:val="00811C95"/>
    <w:rPr>
      <w:rFonts w:ascii="Segoe UI" w:eastAsia="Segoe UI" w:hAnsi="Segoe UI" w:cs="Segoe UI"/>
      <w:b w:val="0"/>
      <w:bCs w:val="0"/>
      <w:i/>
      <w:iCs/>
      <w:smallCaps w:val="0"/>
      <w:strike w:val="0"/>
      <w:spacing w:val="20"/>
      <w:sz w:val="17"/>
      <w:szCs w:val="17"/>
      <w:shd w:val="clear" w:color="auto" w:fill="FFFFFF"/>
      <w:lang w:val="en-US"/>
    </w:rPr>
  </w:style>
  <w:style w:type="character" w:customStyle="1" w:styleId="SegoeUI9pt">
    <w:name w:val="Основной текст + Segoe UI;9 pt"/>
    <w:basedOn w:val="aff1"/>
    <w:rsid w:val="00811C95"/>
    <w:rPr>
      <w:rFonts w:ascii="Segoe UI" w:eastAsia="Segoe UI" w:hAnsi="Segoe UI" w:cs="Segoe UI"/>
      <w:b w:val="0"/>
      <w:bCs w:val="0"/>
      <w:i w:val="0"/>
      <w:iCs w:val="0"/>
      <w:smallCaps w:val="0"/>
      <w:strike w:val="0"/>
      <w:spacing w:val="0"/>
      <w:sz w:val="18"/>
      <w:szCs w:val="18"/>
      <w:shd w:val="clear" w:color="auto" w:fill="FFFFFF"/>
    </w:rPr>
  </w:style>
  <w:style w:type="character" w:customStyle="1" w:styleId="Consolas10pt">
    <w:name w:val="Основной текст + Consolas;10 pt;Курсив"/>
    <w:basedOn w:val="aff1"/>
    <w:rsid w:val="00811C95"/>
    <w:rPr>
      <w:rFonts w:ascii="Consolas" w:eastAsia="Consolas" w:hAnsi="Consolas" w:cs="Consolas"/>
      <w:b w:val="0"/>
      <w:bCs w:val="0"/>
      <w:i/>
      <w:iCs/>
      <w:smallCaps w:val="0"/>
      <w:strike w:val="0"/>
      <w:spacing w:val="0"/>
      <w:sz w:val="20"/>
      <w:szCs w:val="20"/>
      <w:shd w:val="clear" w:color="auto" w:fill="FFFFFF"/>
    </w:rPr>
  </w:style>
  <w:style w:type="character" w:customStyle="1" w:styleId="13pt0">
    <w:name w:val="Основной текст + 13 pt;Курсив"/>
    <w:basedOn w:val="aff1"/>
    <w:rsid w:val="00811C95"/>
    <w:rPr>
      <w:rFonts w:ascii="MS Mincho" w:eastAsia="MS Mincho" w:hAnsi="MS Mincho" w:cs="MS Mincho"/>
      <w:b w:val="0"/>
      <w:bCs w:val="0"/>
      <w:i/>
      <w:iCs/>
      <w:smallCaps w:val="0"/>
      <w:strike w:val="0"/>
      <w:spacing w:val="-20"/>
      <w:w w:val="100"/>
      <w:sz w:val="26"/>
      <w:szCs w:val="26"/>
      <w:shd w:val="clear" w:color="auto" w:fill="FFFFFF"/>
    </w:rPr>
  </w:style>
  <w:style w:type="character" w:customStyle="1" w:styleId="10pt1">
    <w:name w:val="Заголовок №1 + Интервал 0 pt"/>
    <w:basedOn w:val="1f1"/>
    <w:rsid w:val="00811C95"/>
    <w:rPr>
      <w:rFonts w:ascii="Batang" w:eastAsia="Batang" w:hAnsi="Batang" w:cs="Batang"/>
      <w:b w:val="0"/>
      <w:bCs w:val="0"/>
      <w:i w:val="0"/>
      <w:iCs w:val="0"/>
      <w:smallCaps w:val="0"/>
      <w:strike w:val="0"/>
      <w:spacing w:val="-10"/>
      <w:sz w:val="18"/>
      <w:szCs w:val="18"/>
      <w:shd w:val="clear" w:color="auto" w:fill="FFFFFF"/>
      <w:lang w:val="en-US"/>
    </w:rPr>
  </w:style>
  <w:style w:type="character" w:customStyle="1" w:styleId="MicrosoftSansSerif85pt0pt">
    <w:name w:val="Основной текст + Microsoft Sans Serif;8;5 pt;Интервал 0 pt"/>
    <w:basedOn w:val="aff1"/>
    <w:rsid w:val="00811C95"/>
    <w:rPr>
      <w:rFonts w:ascii="Microsoft Sans Serif" w:eastAsia="Microsoft Sans Serif" w:hAnsi="Microsoft Sans Serif" w:cs="Microsoft Sans Serif"/>
      <w:b w:val="0"/>
      <w:bCs w:val="0"/>
      <w:i w:val="0"/>
      <w:iCs w:val="0"/>
      <w:smallCaps w:val="0"/>
      <w:strike w:val="0"/>
      <w:spacing w:val="10"/>
      <w:w w:val="100"/>
      <w:sz w:val="17"/>
      <w:szCs w:val="17"/>
      <w:shd w:val="clear" w:color="auto" w:fill="FFFFFF"/>
    </w:rPr>
  </w:style>
  <w:style w:type="character" w:customStyle="1" w:styleId="MicrosoftSansSerif9pt1pt">
    <w:name w:val="Основной текст + Microsoft Sans Serif;9 pt;Интервал 1 pt"/>
    <w:basedOn w:val="aff1"/>
    <w:rsid w:val="00811C95"/>
    <w:rPr>
      <w:rFonts w:ascii="Microsoft Sans Serif" w:eastAsia="Microsoft Sans Serif" w:hAnsi="Microsoft Sans Serif" w:cs="Microsoft Sans Serif"/>
      <w:b w:val="0"/>
      <w:bCs w:val="0"/>
      <w:i w:val="0"/>
      <w:iCs w:val="0"/>
      <w:smallCaps w:val="0"/>
      <w:strike w:val="0"/>
      <w:spacing w:val="20"/>
      <w:w w:val="100"/>
      <w:sz w:val="18"/>
      <w:szCs w:val="18"/>
      <w:shd w:val="clear" w:color="auto" w:fill="FFFFFF"/>
      <w:lang w:val="en-US"/>
    </w:rPr>
  </w:style>
  <w:style w:type="character" w:customStyle="1" w:styleId="FranklinGothicBook95pt">
    <w:name w:val="Основной текст + Franklin Gothic Book;9;5 pt;Полужирный"/>
    <w:basedOn w:val="aff1"/>
    <w:rsid w:val="00811C95"/>
    <w:rPr>
      <w:rFonts w:ascii="Franklin Gothic Book" w:eastAsia="Franklin Gothic Book" w:hAnsi="Franklin Gothic Book" w:cs="Franklin Gothic Book"/>
      <w:b/>
      <w:bCs/>
      <w:i w:val="0"/>
      <w:iCs w:val="0"/>
      <w:smallCaps w:val="0"/>
      <w:strike w:val="0"/>
      <w:spacing w:val="0"/>
      <w:sz w:val="19"/>
      <w:szCs w:val="19"/>
      <w:shd w:val="clear" w:color="auto" w:fill="FFFFFF"/>
    </w:rPr>
  </w:style>
  <w:style w:type="character" w:customStyle="1" w:styleId="8pt0pt0">
    <w:name w:val="Основной текст + 8 pt;Интервал 0 pt"/>
    <w:basedOn w:val="aff1"/>
    <w:rsid w:val="00811C95"/>
    <w:rPr>
      <w:rFonts w:ascii="MS Mincho" w:eastAsia="MS Mincho" w:hAnsi="MS Mincho" w:cs="MS Mincho"/>
      <w:b w:val="0"/>
      <w:bCs w:val="0"/>
      <w:i w:val="0"/>
      <w:iCs w:val="0"/>
      <w:smallCaps w:val="0"/>
      <w:strike w:val="0"/>
      <w:spacing w:val="-10"/>
      <w:w w:val="100"/>
      <w:sz w:val="16"/>
      <w:szCs w:val="16"/>
      <w:shd w:val="clear" w:color="auto" w:fill="FFFFFF"/>
      <w:lang w:val="en-US"/>
    </w:rPr>
  </w:style>
  <w:style w:type="character" w:customStyle="1" w:styleId="Gulim9pt0pt">
    <w:name w:val="Основной текст + Gulim;9 pt;Интервал 0 pt"/>
    <w:basedOn w:val="aff1"/>
    <w:rsid w:val="00811C95"/>
    <w:rPr>
      <w:rFonts w:ascii="Gulim" w:eastAsia="Gulim" w:hAnsi="Gulim" w:cs="Gulim"/>
      <w:b w:val="0"/>
      <w:bCs w:val="0"/>
      <w:i w:val="0"/>
      <w:iCs w:val="0"/>
      <w:smallCaps w:val="0"/>
      <w:strike w:val="0"/>
      <w:spacing w:val="0"/>
      <w:w w:val="100"/>
      <w:sz w:val="18"/>
      <w:szCs w:val="18"/>
      <w:shd w:val="clear" w:color="auto" w:fill="FFFFFF"/>
    </w:rPr>
  </w:style>
  <w:style w:type="character" w:customStyle="1" w:styleId="FranklinGothicBook9pt1pt">
    <w:name w:val="Сноска + Franklin Gothic Book;9 pt;Курсив;Интервал 1 pt"/>
    <w:basedOn w:val="aff5"/>
    <w:rsid w:val="00811C95"/>
    <w:rPr>
      <w:rFonts w:ascii="Franklin Gothic Book" w:eastAsia="Franklin Gothic Book" w:hAnsi="Franklin Gothic Book" w:cs="Franklin Gothic Book"/>
      <w:i/>
      <w:iCs/>
      <w:noProof/>
      <w:spacing w:val="20"/>
      <w:sz w:val="18"/>
      <w:szCs w:val="18"/>
      <w:shd w:val="clear" w:color="auto" w:fill="FFFFFF"/>
      <w:lang w:val="en-US" w:eastAsia="en-US"/>
    </w:rPr>
  </w:style>
  <w:style w:type="paragraph" w:customStyle="1" w:styleId="1f4">
    <w:name w:val="çàãîëîâîê 1"/>
    <w:basedOn w:val="Iauiue"/>
    <w:next w:val="Iauiue"/>
    <w:uiPriority w:val="99"/>
    <w:rsid w:val="00811C95"/>
    <w:pPr>
      <w:keepNext/>
      <w:jc w:val="both"/>
    </w:pPr>
    <w:rPr>
      <w:i/>
      <w:iCs/>
      <w:sz w:val="16"/>
      <w:szCs w:val="16"/>
      <w:lang w:val="en-US"/>
    </w:rPr>
  </w:style>
  <w:style w:type="paragraph" w:styleId="afffc">
    <w:name w:val="header"/>
    <w:basedOn w:val="a"/>
    <w:link w:val="afffd"/>
    <w:uiPriority w:val="99"/>
    <w:rsid w:val="00811C95"/>
    <w:pPr>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character" w:customStyle="1" w:styleId="afffd">
    <w:name w:val="Верхний колонтитул Знак"/>
    <w:basedOn w:val="a0"/>
    <w:link w:val="afffc"/>
    <w:uiPriority w:val="99"/>
    <w:rsid w:val="00811C95"/>
    <w:rPr>
      <w:rFonts w:ascii="Times New Roman" w:hAnsi="Times New Roman"/>
      <w:lang w:val="en-US" w:eastAsia="en-US"/>
    </w:rPr>
  </w:style>
  <w:style w:type="character" w:customStyle="1" w:styleId="afffe">
    <w:name w:val="Ã"/>
    <w:uiPriority w:val="99"/>
    <w:rsid w:val="00811C95"/>
    <w:rPr>
      <w:color w:val="0000FF"/>
      <w:u w:val="single"/>
    </w:rPr>
  </w:style>
  <w:style w:type="paragraph" w:customStyle="1" w:styleId="affff">
    <w:name w:val="Ö"/>
    <w:basedOn w:val="a"/>
    <w:uiPriority w:val="99"/>
    <w:rsid w:val="00811C95"/>
    <w:pPr>
      <w:autoSpaceDE w:val="0"/>
      <w:autoSpaceDN w:val="0"/>
      <w:adjustRightInd w:val="0"/>
      <w:spacing w:before="100" w:after="100" w:line="240" w:lineRule="auto"/>
      <w:ind w:left="360" w:right="360"/>
    </w:pPr>
    <w:rPr>
      <w:rFonts w:ascii="Times New Roman" w:hAnsi="Times New Roman"/>
      <w:sz w:val="24"/>
      <w:szCs w:val="24"/>
    </w:rPr>
  </w:style>
  <w:style w:type="paragraph" w:customStyle="1" w:styleId="2f9">
    <w:name w:val="Îñíîâíîé òåêñò 2"/>
    <w:basedOn w:val="a"/>
    <w:uiPriority w:val="99"/>
    <w:rsid w:val="00811C95"/>
    <w:pPr>
      <w:widowControl w:val="0"/>
      <w:autoSpaceDE w:val="0"/>
      <w:autoSpaceDN w:val="0"/>
      <w:adjustRightInd w:val="0"/>
      <w:spacing w:after="0" w:line="240" w:lineRule="auto"/>
      <w:jc w:val="both"/>
    </w:pPr>
    <w:rPr>
      <w:rFonts w:ascii="Times New Roman" w:hAnsi="Times New Roman"/>
      <w:sz w:val="16"/>
      <w:szCs w:val="16"/>
    </w:rPr>
  </w:style>
  <w:style w:type="paragraph" w:customStyle="1" w:styleId="affff0">
    <w:name w:val="Òåêñò"/>
    <w:basedOn w:val="a"/>
    <w:uiPriority w:val="99"/>
    <w:rsid w:val="00811C95"/>
    <w:pPr>
      <w:widowControl w:val="0"/>
      <w:autoSpaceDE w:val="0"/>
      <w:autoSpaceDN w:val="0"/>
      <w:adjustRightInd w:val="0"/>
      <w:spacing w:after="0" w:line="240" w:lineRule="auto"/>
    </w:pPr>
    <w:rPr>
      <w:rFonts w:ascii="Courier New" w:hAnsi="Courier New" w:cs="Courier New"/>
      <w:sz w:val="20"/>
      <w:szCs w:val="20"/>
    </w:rPr>
  </w:style>
  <w:style w:type="paragraph" w:customStyle="1" w:styleId="3f5">
    <w:name w:val="Îñíîâíîé òåêñò 3"/>
    <w:basedOn w:val="a"/>
    <w:uiPriority w:val="99"/>
    <w:rsid w:val="00811C95"/>
    <w:pPr>
      <w:widowControl w:val="0"/>
      <w:autoSpaceDE w:val="0"/>
      <w:autoSpaceDN w:val="0"/>
      <w:adjustRightInd w:val="0"/>
      <w:spacing w:after="0" w:line="240" w:lineRule="auto"/>
      <w:jc w:val="center"/>
    </w:pPr>
    <w:rPr>
      <w:rFonts w:ascii="Times New Roman" w:hAnsi="Times New Roman"/>
      <w:sz w:val="16"/>
      <w:szCs w:val="16"/>
    </w:rPr>
  </w:style>
  <w:style w:type="paragraph" w:customStyle="1" w:styleId="affff1">
    <w:name w:val="À"/>
    <w:basedOn w:val="a"/>
    <w:next w:val="a"/>
    <w:uiPriority w:val="99"/>
    <w:rsid w:val="00811C95"/>
    <w:pPr>
      <w:autoSpaceDE w:val="0"/>
      <w:autoSpaceDN w:val="0"/>
      <w:adjustRightInd w:val="0"/>
      <w:spacing w:after="0" w:line="240" w:lineRule="auto"/>
    </w:pPr>
    <w:rPr>
      <w:rFonts w:ascii="Times New Roman" w:hAnsi="Times New Roman"/>
      <w:i/>
      <w:iCs/>
      <w:sz w:val="24"/>
      <w:szCs w:val="24"/>
    </w:rPr>
  </w:style>
  <w:style w:type="paragraph" w:customStyle="1" w:styleId="affff2">
    <w:name w:val="ï"/>
    <w:uiPriority w:val="99"/>
    <w:rsid w:val="00811C95"/>
    <w:pPr>
      <w:autoSpaceDE w:val="0"/>
      <w:autoSpaceDN w:val="0"/>
      <w:adjustRightInd w:val="0"/>
    </w:pPr>
    <w:rPr>
      <w:rFonts w:ascii="Times New Roman" w:hAnsi="Times New Roman"/>
      <w:i/>
      <w:iCs/>
      <w:spacing w:val="-1"/>
      <w:kern w:val="65535"/>
      <w:position w:val="-1"/>
      <w:sz w:val="24"/>
      <w:szCs w:val="24"/>
      <w:lang w:eastAsia="en-US"/>
    </w:rPr>
  </w:style>
  <w:style w:type="paragraph" w:customStyle="1" w:styleId="affff3">
    <w:name w:val="Çàãîëîâîê"/>
    <w:basedOn w:val="a"/>
    <w:uiPriority w:val="99"/>
    <w:rsid w:val="00811C95"/>
    <w:pPr>
      <w:widowControl w:val="0"/>
      <w:autoSpaceDE w:val="0"/>
      <w:autoSpaceDN w:val="0"/>
      <w:adjustRightInd w:val="0"/>
      <w:spacing w:after="0" w:line="360" w:lineRule="auto"/>
      <w:ind w:firstLine="709"/>
      <w:jc w:val="center"/>
    </w:pPr>
    <w:rPr>
      <w:rFonts w:ascii="Arial" w:hAnsi="Arial" w:cs="Arial"/>
      <w:b/>
      <w:bCs/>
      <w:caps/>
      <w:sz w:val="26"/>
      <w:szCs w:val="26"/>
    </w:rPr>
  </w:style>
  <w:style w:type="paragraph" w:customStyle="1" w:styleId="affff4">
    <w:name w:val="Ñíîñêè"/>
    <w:basedOn w:val="a"/>
    <w:uiPriority w:val="99"/>
    <w:rsid w:val="00811C95"/>
    <w:pPr>
      <w:widowControl w:val="0"/>
      <w:autoSpaceDE w:val="0"/>
      <w:autoSpaceDN w:val="0"/>
      <w:adjustRightInd w:val="0"/>
      <w:spacing w:after="0" w:line="360" w:lineRule="auto"/>
      <w:ind w:firstLine="709"/>
      <w:jc w:val="both"/>
    </w:pPr>
    <w:rPr>
      <w:rFonts w:ascii="Arial" w:hAnsi="Arial" w:cs="Arial"/>
      <w:sz w:val="26"/>
      <w:szCs w:val="26"/>
    </w:rPr>
  </w:style>
  <w:style w:type="paragraph" w:customStyle="1" w:styleId="affff5">
    <w:name w:val="Ðóáðèêà"/>
    <w:basedOn w:val="a"/>
    <w:uiPriority w:val="99"/>
    <w:rsid w:val="00811C95"/>
    <w:pPr>
      <w:widowControl w:val="0"/>
      <w:autoSpaceDE w:val="0"/>
      <w:autoSpaceDN w:val="0"/>
      <w:adjustRightInd w:val="0"/>
      <w:spacing w:after="0" w:line="360" w:lineRule="auto"/>
      <w:ind w:firstLine="709"/>
      <w:jc w:val="right"/>
    </w:pPr>
    <w:rPr>
      <w:rFonts w:ascii="Arial" w:hAnsi="Arial" w:cs="Arial"/>
      <w:caps/>
      <w:sz w:val="26"/>
      <w:szCs w:val="26"/>
    </w:rPr>
  </w:style>
  <w:style w:type="character" w:customStyle="1" w:styleId="affff6">
    <w:name w:val="Çíàê êîíöåâîé ñíîñêè"/>
    <w:uiPriority w:val="99"/>
    <w:rsid w:val="00811C95"/>
    <w:rPr>
      <w:sz w:val="20"/>
      <w:szCs w:val="20"/>
      <w:vertAlign w:val="superscript"/>
    </w:rPr>
  </w:style>
  <w:style w:type="paragraph" w:customStyle="1" w:styleId="affff7">
    <w:name w:val="Ñ"/>
    <w:basedOn w:val="a"/>
    <w:next w:val="a"/>
    <w:uiPriority w:val="99"/>
    <w:rsid w:val="00811C95"/>
    <w:pPr>
      <w:autoSpaceDE w:val="0"/>
      <w:autoSpaceDN w:val="0"/>
      <w:adjustRightInd w:val="0"/>
      <w:spacing w:after="0" w:line="240" w:lineRule="auto"/>
      <w:ind w:left="360"/>
    </w:pPr>
    <w:rPr>
      <w:rFonts w:ascii="Times New Roman" w:hAnsi="Times New Roman"/>
      <w:sz w:val="24"/>
      <w:szCs w:val="24"/>
    </w:rPr>
  </w:style>
  <w:style w:type="character" w:customStyle="1" w:styleId="1f5">
    <w:name w:val="Ñ1"/>
    <w:uiPriority w:val="99"/>
    <w:rsid w:val="00811C95"/>
    <w:rPr>
      <w:b/>
      <w:bCs/>
    </w:rPr>
  </w:style>
  <w:style w:type="character" w:customStyle="1" w:styleId="affff8">
    <w:name w:val="Ê"/>
    <w:uiPriority w:val="99"/>
    <w:rsid w:val="00811C95"/>
    <w:rPr>
      <w:rFonts w:ascii="Courier New" w:hAnsi="Courier New" w:cs="Courier New"/>
      <w:sz w:val="20"/>
      <w:szCs w:val="20"/>
    </w:rPr>
  </w:style>
  <w:style w:type="paragraph" w:customStyle="1" w:styleId="affff9">
    <w:name w:val="Ô"/>
    <w:basedOn w:val="affffa"/>
    <w:uiPriority w:val="99"/>
    <w:rsid w:val="00811C95"/>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fffa">
    <w:name w:val="Î"/>
    <w:uiPriority w:val="99"/>
    <w:rsid w:val="00811C95"/>
    <w:pPr>
      <w:autoSpaceDE w:val="0"/>
      <w:autoSpaceDN w:val="0"/>
      <w:adjustRightInd w:val="0"/>
      <w:spacing w:before="100" w:after="100"/>
    </w:pPr>
    <w:rPr>
      <w:rFonts w:ascii="Times New Roman" w:hAnsi="Times New Roman"/>
      <w:sz w:val="24"/>
      <w:szCs w:val="24"/>
      <w:lang w:eastAsia="en-US"/>
    </w:rPr>
  </w:style>
  <w:style w:type="character" w:customStyle="1" w:styleId="affffb">
    <w:name w:val="Ð"/>
    <w:uiPriority w:val="99"/>
    <w:rsid w:val="00811C95"/>
    <w:rPr>
      <w:vanish/>
      <w:color w:val="FF0000"/>
    </w:rPr>
  </w:style>
  <w:style w:type="character" w:customStyle="1" w:styleId="affffc">
    <w:name w:val="Â"/>
    <w:uiPriority w:val="99"/>
    <w:rsid w:val="00811C95"/>
    <w:rPr>
      <w:i/>
      <w:iCs/>
    </w:rPr>
  </w:style>
  <w:style w:type="paragraph" w:customStyle="1" w:styleId="affffd">
    <w:name w:val="Ò"/>
    <w:basedOn w:val="affffa"/>
    <w:next w:val="affff7"/>
    <w:uiPriority w:val="99"/>
    <w:rsid w:val="00811C95"/>
    <w:pPr>
      <w:spacing w:before="0" w:after="0"/>
    </w:pPr>
  </w:style>
  <w:style w:type="character" w:customStyle="1" w:styleId="1f6">
    <w:name w:val="Î1"/>
    <w:uiPriority w:val="99"/>
    <w:rsid w:val="00811C95"/>
    <w:rPr>
      <w:i/>
      <w:iCs/>
    </w:rPr>
  </w:style>
  <w:style w:type="character" w:customStyle="1" w:styleId="affffe">
    <w:name w:val="Ó"/>
    <w:uiPriority w:val="99"/>
    <w:rsid w:val="00811C95"/>
    <w:rPr>
      <w:i/>
      <w:iCs/>
    </w:rPr>
  </w:style>
  <w:style w:type="character" w:customStyle="1" w:styleId="afffff">
    <w:name w:val="Ï"/>
    <w:uiPriority w:val="99"/>
    <w:rsid w:val="00811C95"/>
    <w:rPr>
      <w:color w:val="800080"/>
      <w:u w:val="single"/>
    </w:rPr>
  </w:style>
  <w:style w:type="character" w:customStyle="1" w:styleId="1f7">
    <w:name w:val="Ê1"/>
    <w:uiPriority w:val="99"/>
    <w:rsid w:val="00811C95"/>
    <w:rPr>
      <w:rFonts w:ascii="Courier New" w:hAnsi="Courier New" w:cs="Courier New"/>
      <w:b/>
      <w:bCs/>
      <w:sz w:val="20"/>
      <w:szCs w:val="20"/>
    </w:rPr>
  </w:style>
  <w:style w:type="character" w:customStyle="1" w:styleId="4f0">
    <w:name w:val="Ï4"/>
    <w:uiPriority w:val="99"/>
    <w:rsid w:val="00811C95"/>
    <w:rPr>
      <w:rFonts w:ascii="Courier New" w:hAnsi="Courier New" w:cs="Courier New"/>
    </w:rPr>
  </w:style>
  <w:style w:type="character" w:customStyle="1" w:styleId="3f6">
    <w:name w:val="Ï3"/>
    <w:uiPriority w:val="99"/>
    <w:rsid w:val="00811C95"/>
    <w:rPr>
      <w:rFonts w:ascii="Courier New" w:hAnsi="Courier New" w:cs="Courier New"/>
      <w:sz w:val="20"/>
      <w:szCs w:val="20"/>
    </w:rPr>
  </w:style>
  <w:style w:type="character" w:customStyle="1" w:styleId="2fa">
    <w:name w:val="Ï2"/>
    <w:uiPriority w:val="99"/>
    <w:rsid w:val="00811C95"/>
    <w:rPr>
      <w:i/>
      <w:iCs/>
    </w:rPr>
  </w:style>
  <w:style w:type="character" w:customStyle="1" w:styleId="1f8">
    <w:name w:val="Ï1"/>
    <w:uiPriority w:val="99"/>
    <w:rsid w:val="00811C95"/>
    <w:rPr>
      <w:vanish/>
    </w:rPr>
  </w:style>
  <w:style w:type="character" w:customStyle="1" w:styleId="afffff0">
    <w:name w:val="è"/>
    <w:uiPriority w:val="99"/>
    <w:rsid w:val="00811C95"/>
    <w:rPr>
      <w:color w:val="0000FF"/>
      <w:u w:val="single"/>
    </w:rPr>
  </w:style>
  <w:style w:type="paragraph" w:styleId="3f7">
    <w:name w:val="Body Text Indent 3"/>
    <w:basedOn w:val="a"/>
    <w:link w:val="3f8"/>
    <w:uiPriority w:val="99"/>
    <w:rsid w:val="00811C95"/>
    <w:pPr>
      <w:autoSpaceDE w:val="0"/>
      <w:autoSpaceDN w:val="0"/>
      <w:adjustRightInd w:val="0"/>
      <w:spacing w:after="0" w:line="240" w:lineRule="auto"/>
      <w:ind w:firstLine="709"/>
      <w:jc w:val="center"/>
    </w:pPr>
    <w:rPr>
      <w:rFonts w:ascii="Times New Roman" w:hAnsi="Times New Roman"/>
      <w:sz w:val="24"/>
      <w:szCs w:val="24"/>
    </w:rPr>
  </w:style>
  <w:style w:type="character" w:customStyle="1" w:styleId="3f8">
    <w:name w:val="Основной текст с отступом 3 Знак"/>
    <w:basedOn w:val="a0"/>
    <w:link w:val="3f7"/>
    <w:uiPriority w:val="99"/>
    <w:rsid w:val="00811C95"/>
    <w:rPr>
      <w:rFonts w:ascii="Times New Roman" w:hAnsi="Times New Roman"/>
      <w:sz w:val="24"/>
      <w:szCs w:val="24"/>
      <w:lang w:eastAsia="en-US"/>
    </w:rPr>
  </w:style>
  <w:style w:type="paragraph" w:customStyle="1" w:styleId="Pa6">
    <w:name w:val="Pa6"/>
    <w:basedOn w:val="Default"/>
    <w:next w:val="Default"/>
    <w:uiPriority w:val="99"/>
    <w:rsid w:val="00811C95"/>
    <w:pPr>
      <w:spacing w:line="241" w:lineRule="atLeast"/>
    </w:pPr>
    <w:rPr>
      <w:color w:val="auto"/>
    </w:rPr>
  </w:style>
  <w:style w:type="character" w:customStyle="1" w:styleId="A51">
    <w:name w:val="A5"/>
    <w:uiPriority w:val="99"/>
    <w:rsid w:val="00811C95"/>
    <w:rPr>
      <w:color w:val="000000"/>
      <w:sz w:val="12"/>
      <w:szCs w:val="12"/>
    </w:rPr>
  </w:style>
  <w:style w:type="paragraph" w:customStyle="1" w:styleId="1112">
    <w:name w:val="Îñíîâíîé òåêñò (11)1"/>
    <w:basedOn w:val="a"/>
    <w:uiPriority w:val="99"/>
    <w:rsid w:val="00811C95"/>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paragraph" w:customStyle="1" w:styleId="5f">
    <w:name w:val="Îñíîâíîé òåêñò (5)"/>
    <w:basedOn w:val="a"/>
    <w:uiPriority w:val="99"/>
    <w:rsid w:val="00811C95"/>
    <w:pPr>
      <w:shd w:val="clear" w:color="auto" w:fill="FFFFFF"/>
      <w:autoSpaceDE w:val="0"/>
      <w:autoSpaceDN w:val="0"/>
      <w:adjustRightInd w:val="0"/>
      <w:spacing w:after="0" w:line="240" w:lineRule="atLeast"/>
    </w:pPr>
    <w:rPr>
      <w:rFonts w:ascii="Trebuchet MS" w:hAnsi="Trebuchet MS" w:cs="Trebuchet MS"/>
      <w:noProof/>
      <w:sz w:val="11"/>
      <w:szCs w:val="11"/>
      <w:lang w:val="en-US"/>
    </w:rPr>
  </w:style>
  <w:style w:type="character" w:customStyle="1" w:styleId="480">
    <w:name w:val="Îñíîâíîé òåêñò (4) + Íå êóðñèâ8"/>
    <w:uiPriority w:val="99"/>
    <w:rsid w:val="00811C95"/>
    <w:rPr>
      <w:rFonts w:ascii="Arial" w:hAnsi="Arial" w:cs="Arial"/>
      <w:i/>
      <w:iCs/>
      <w:sz w:val="16"/>
      <w:szCs w:val="16"/>
    </w:rPr>
  </w:style>
  <w:style w:type="paragraph" w:customStyle="1" w:styleId="4f1">
    <w:name w:val="Îñíîâíîé òåêñò (4)"/>
    <w:basedOn w:val="a"/>
    <w:uiPriority w:val="99"/>
    <w:rsid w:val="00811C95"/>
    <w:pPr>
      <w:shd w:val="clear" w:color="auto" w:fill="FFFFFF"/>
      <w:autoSpaceDE w:val="0"/>
      <w:autoSpaceDN w:val="0"/>
      <w:adjustRightInd w:val="0"/>
      <w:spacing w:after="120" w:line="191" w:lineRule="exact"/>
      <w:jc w:val="both"/>
    </w:pPr>
    <w:rPr>
      <w:rFonts w:ascii="Arial" w:hAnsi="Arial" w:cs="Arial"/>
      <w:i/>
      <w:iCs/>
      <w:noProof/>
      <w:sz w:val="16"/>
      <w:szCs w:val="16"/>
      <w:lang w:val="en-US"/>
    </w:rPr>
  </w:style>
  <w:style w:type="character" w:customStyle="1" w:styleId="7c">
    <w:name w:val="Îñíîâíîé òåêñò + Êóðñèâ7"/>
    <w:uiPriority w:val="99"/>
    <w:rsid w:val="00811C95"/>
    <w:rPr>
      <w:rFonts w:ascii="Arial" w:hAnsi="Arial" w:cs="Arial"/>
      <w:i/>
      <w:iCs/>
      <w:spacing w:val="-10"/>
      <w:sz w:val="17"/>
      <w:szCs w:val="17"/>
    </w:rPr>
  </w:style>
  <w:style w:type="character" w:customStyle="1" w:styleId="6b">
    <w:name w:val="Îñíîâíîé òåêñò + Êóðñèâ6"/>
    <w:uiPriority w:val="99"/>
    <w:rsid w:val="00811C95"/>
    <w:rPr>
      <w:rFonts w:ascii="Arial" w:hAnsi="Arial" w:cs="Arial"/>
      <w:i/>
      <w:iCs/>
      <w:spacing w:val="-10"/>
      <w:sz w:val="16"/>
      <w:szCs w:val="16"/>
    </w:rPr>
  </w:style>
  <w:style w:type="character" w:customStyle="1" w:styleId="470">
    <w:name w:val="Îñíîâíîé òåêñò (4) + Íå êóðñèâ7"/>
    <w:uiPriority w:val="99"/>
    <w:rsid w:val="00811C95"/>
    <w:rPr>
      <w:rFonts w:ascii="Arial" w:hAnsi="Arial" w:cs="Arial"/>
      <w:i/>
      <w:iCs/>
      <w:sz w:val="16"/>
      <w:szCs w:val="16"/>
    </w:rPr>
  </w:style>
  <w:style w:type="paragraph" w:customStyle="1" w:styleId="316">
    <w:name w:val="Îñíîâíîé òåêñò (31)"/>
    <w:basedOn w:val="a"/>
    <w:uiPriority w:val="99"/>
    <w:rsid w:val="00811C95"/>
    <w:pPr>
      <w:shd w:val="clear" w:color="auto" w:fill="FFFFFF"/>
      <w:autoSpaceDE w:val="0"/>
      <w:autoSpaceDN w:val="0"/>
      <w:adjustRightInd w:val="0"/>
      <w:spacing w:after="0" w:line="518" w:lineRule="exact"/>
      <w:jc w:val="both"/>
    </w:pPr>
    <w:rPr>
      <w:rFonts w:ascii="Microsoft Sans Serif" w:hAnsi="Microsoft Sans Serif" w:cs="Microsoft Sans Serif"/>
      <w:i/>
      <w:iCs/>
      <w:noProof/>
      <w:spacing w:val="10"/>
      <w:sz w:val="35"/>
      <w:szCs w:val="35"/>
      <w:lang w:val="en-US"/>
    </w:rPr>
  </w:style>
  <w:style w:type="paragraph" w:customStyle="1" w:styleId="11a">
    <w:name w:val="çàãîëîâîê 11"/>
    <w:basedOn w:val="a"/>
    <w:next w:val="a"/>
    <w:uiPriority w:val="99"/>
    <w:rsid w:val="00811C95"/>
    <w:pPr>
      <w:keepNext/>
      <w:autoSpaceDE w:val="0"/>
      <w:autoSpaceDN w:val="0"/>
      <w:adjustRightInd w:val="0"/>
      <w:spacing w:after="0" w:line="240" w:lineRule="auto"/>
      <w:jc w:val="both"/>
    </w:pPr>
    <w:rPr>
      <w:rFonts w:ascii="Times New Roman" w:hAnsi="Times New Roman"/>
      <w:b/>
      <w:bCs/>
      <w:color w:val="0000FF"/>
      <w:sz w:val="16"/>
      <w:szCs w:val="16"/>
    </w:rPr>
  </w:style>
  <w:style w:type="character" w:customStyle="1" w:styleId="afffff1">
    <w:name w:val="Îñíîâíîé òåêñò_"/>
    <w:uiPriority w:val="99"/>
    <w:rsid w:val="00811C95"/>
    <w:rPr>
      <w:rFonts w:ascii="Microsoft Sans Serif" w:hAnsi="Microsoft Sans Serif" w:cs="Microsoft Sans Serif"/>
      <w:spacing w:val="-10"/>
      <w:sz w:val="29"/>
      <w:szCs w:val="29"/>
    </w:rPr>
  </w:style>
  <w:style w:type="character" w:customStyle="1" w:styleId="324">
    <w:name w:val="Îñíîâíîé òåêñò (32)_"/>
    <w:uiPriority w:val="99"/>
    <w:rsid w:val="00811C95"/>
    <w:rPr>
      <w:rFonts w:ascii="Arial Narrow" w:hAnsi="Arial Narrow" w:cs="Arial Narrow"/>
      <w:b/>
      <w:bCs/>
      <w:spacing w:val="-20"/>
      <w:sz w:val="67"/>
      <w:szCs w:val="67"/>
    </w:rPr>
  </w:style>
  <w:style w:type="character" w:customStyle="1" w:styleId="292">
    <w:name w:val="Îñíîâíîé òåêñò (29)_"/>
    <w:uiPriority w:val="99"/>
    <w:rsid w:val="00811C95"/>
    <w:rPr>
      <w:rFonts w:ascii="Arial Narrow" w:hAnsi="Arial Narrow" w:cs="Arial Narrow"/>
      <w:i/>
      <w:iCs/>
      <w:sz w:val="15"/>
      <w:szCs w:val="15"/>
    </w:rPr>
  </w:style>
  <w:style w:type="character" w:customStyle="1" w:styleId="317">
    <w:name w:val="Îñíîâíîé òåêñò (31)_"/>
    <w:uiPriority w:val="99"/>
    <w:rsid w:val="00811C95"/>
    <w:rPr>
      <w:rFonts w:ascii="Microsoft Sans Serif" w:hAnsi="Microsoft Sans Serif" w:cs="Microsoft Sans Serif"/>
      <w:i/>
      <w:iCs/>
      <w:spacing w:val="10"/>
      <w:sz w:val="35"/>
      <w:szCs w:val="35"/>
    </w:rPr>
  </w:style>
  <w:style w:type="character" w:customStyle="1" w:styleId="304">
    <w:name w:val="Îñíîâíîé òåêñò (30)_"/>
    <w:uiPriority w:val="99"/>
    <w:rsid w:val="00811C95"/>
    <w:rPr>
      <w:rFonts w:ascii="Arial" w:hAnsi="Arial" w:cs="Arial"/>
      <w:i/>
      <w:iCs/>
      <w:sz w:val="11"/>
      <w:szCs w:val="11"/>
    </w:rPr>
  </w:style>
  <w:style w:type="paragraph" w:customStyle="1" w:styleId="325">
    <w:name w:val="Îñíîâíîé òåêñò (32)"/>
    <w:basedOn w:val="a"/>
    <w:uiPriority w:val="99"/>
    <w:rsid w:val="00811C95"/>
    <w:pPr>
      <w:shd w:val="clear" w:color="auto" w:fill="FFFFFF"/>
      <w:autoSpaceDE w:val="0"/>
      <w:autoSpaceDN w:val="0"/>
      <w:adjustRightInd w:val="0"/>
      <w:spacing w:after="240" w:line="240" w:lineRule="atLeast"/>
    </w:pPr>
    <w:rPr>
      <w:rFonts w:ascii="Arial Narrow" w:hAnsi="Arial Narrow" w:cs="Arial Narrow"/>
      <w:b/>
      <w:bCs/>
      <w:noProof/>
      <w:spacing w:val="-20"/>
      <w:sz w:val="67"/>
      <w:szCs w:val="67"/>
      <w:lang w:val="en-US"/>
    </w:rPr>
  </w:style>
  <w:style w:type="paragraph" w:customStyle="1" w:styleId="293">
    <w:name w:val="Îñíîâíîé òåêñò (29)"/>
    <w:basedOn w:val="a"/>
    <w:uiPriority w:val="99"/>
    <w:rsid w:val="00811C95"/>
    <w:pPr>
      <w:shd w:val="clear" w:color="auto" w:fill="FFFFFF"/>
      <w:autoSpaceDE w:val="0"/>
      <w:autoSpaceDN w:val="0"/>
      <w:adjustRightInd w:val="0"/>
      <w:spacing w:after="0" w:line="240" w:lineRule="atLeast"/>
      <w:jc w:val="both"/>
    </w:pPr>
    <w:rPr>
      <w:rFonts w:ascii="Arial Narrow" w:hAnsi="Arial Narrow" w:cs="Arial Narrow"/>
      <w:i/>
      <w:iCs/>
      <w:noProof/>
      <w:sz w:val="15"/>
      <w:szCs w:val="15"/>
      <w:lang w:val="en-US"/>
    </w:rPr>
  </w:style>
  <w:style w:type="paragraph" w:customStyle="1" w:styleId="305">
    <w:name w:val="Îñíîâíîé òåêñò (30)"/>
    <w:basedOn w:val="a"/>
    <w:uiPriority w:val="99"/>
    <w:rsid w:val="00811C95"/>
    <w:pPr>
      <w:shd w:val="clear" w:color="auto" w:fill="FFFFFF"/>
      <w:autoSpaceDE w:val="0"/>
      <w:autoSpaceDN w:val="0"/>
      <w:adjustRightInd w:val="0"/>
      <w:spacing w:after="0" w:line="240" w:lineRule="atLeast"/>
      <w:jc w:val="both"/>
    </w:pPr>
    <w:rPr>
      <w:rFonts w:ascii="Arial" w:hAnsi="Arial" w:cs="Arial"/>
      <w:i/>
      <w:iCs/>
      <w:noProof/>
      <w:sz w:val="11"/>
      <w:szCs w:val="11"/>
      <w:lang w:val="en-US"/>
    </w:rPr>
  </w:style>
  <w:style w:type="character" w:customStyle="1" w:styleId="11b">
    <w:name w:val="Îñíîâíîé òåêñò (11)"/>
    <w:uiPriority w:val="99"/>
    <w:rsid w:val="00811C95"/>
    <w:rPr>
      <w:rFonts w:ascii="Microsoft Sans Serif" w:hAnsi="Microsoft Sans Serif" w:cs="Microsoft Sans Serif"/>
      <w:i/>
      <w:iCs/>
      <w:sz w:val="28"/>
      <w:szCs w:val="28"/>
      <w:u w:val="single"/>
    </w:rPr>
  </w:style>
  <w:style w:type="character" w:customStyle="1" w:styleId="11c">
    <w:name w:val="Îñíîâíîé òåêñò (11)_"/>
    <w:uiPriority w:val="99"/>
    <w:rsid w:val="00811C95"/>
    <w:rPr>
      <w:rFonts w:ascii="Microsoft Sans Serif" w:hAnsi="Microsoft Sans Serif" w:cs="Microsoft Sans Serif"/>
      <w:i/>
      <w:iCs/>
      <w:sz w:val="28"/>
      <w:szCs w:val="28"/>
    </w:rPr>
  </w:style>
  <w:style w:type="character" w:customStyle="1" w:styleId="111475pt42210pt56">
    <w:name w:val="Îñíîâíîé òåêñò (11) + 147.5 pt42.Íå êóðñèâ21.Èíòåðâàë 0 pt56"/>
    <w:uiPriority w:val="99"/>
    <w:rsid w:val="00811C95"/>
    <w:rPr>
      <w:rFonts w:ascii="Microsoft Sans Serif" w:hAnsi="Microsoft Sans Serif" w:cs="Microsoft Sans Serif"/>
      <w:i/>
      <w:iCs/>
      <w:spacing w:val="-10"/>
      <w:sz w:val="29"/>
      <w:szCs w:val="29"/>
    </w:rPr>
  </w:style>
  <w:style w:type="character" w:customStyle="1" w:styleId="14pt11260pt55">
    <w:name w:val="Îñíîâíîé òåêñò + 14 pt11.Êóðñèâ26.Èíòåðâàë 0 pt55"/>
    <w:uiPriority w:val="99"/>
    <w:rsid w:val="00811C95"/>
    <w:rPr>
      <w:rFonts w:ascii="Microsoft Sans Serif" w:hAnsi="Microsoft Sans Serif" w:cs="Microsoft Sans Serif"/>
      <w:i/>
      <w:iCs/>
      <w:spacing w:val="0"/>
      <w:sz w:val="28"/>
      <w:szCs w:val="28"/>
    </w:rPr>
  </w:style>
  <w:style w:type="character" w:customStyle="1" w:styleId="111465pt41200pt54">
    <w:name w:val="Îñíîâíîé òåêñò (11) + 146.5 pt41.Íå êóðñèâ20.Èíòåðâàë 0 pt54"/>
    <w:uiPriority w:val="99"/>
    <w:rsid w:val="00811C95"/>
    <w:rPr>
      <w:rFonts w:ascii="Microsoft Sans Serif" w:hAnsi="Microsoft Sans Serif" w:cs="Microsoft Sans Serif"/>
      <w:i/>
      <w:iCs/>
      <w:spacing w:val="-10"/>
      <w:sz w:val="29"/>
      <w:szCs w:val="29"/>
    </w:rPr>
  </w:style>
  <w:style w:type="character" w:customStyle="1" w:styleId="111455pt40190pt53">
    <w:name w:val="Îñíîâíîé òåêñò (11) + 145.5 pt40.Íå êóðñèâ19.Èíòåðâàë 0 pt53"/>
    <w:uiPriority w:val="99"/>
    <w:rsid w:val="00811C95"/>
    <w:rPr>
      <w:rFonts w:ascii="Microsoft Sans Serif" w:hAnsi="Microsoft Sans Serif" w:cs="Microsoft Sans Serif"/>
      <w:i/>
      <w:iCs/>
      <w:spacing w:val="-10"/>
      <w:sz w:val="29"/>
      <w:szCs w:val="29"/>
    </w:rPr>
  </w:style>
  <w:style w:type="character" w:customStyle="1" w:styleId="11110">
    <w:name w:val="Îñíîâíîé òåêñò (11)11"/>
    <w:uiPriority w:val="99"/>
    <w:rsid w:val="00811C95"/>
    <w:rPr>
      <w:rFonts w:ascii="Microsoft Sans Serif" w:hAnsi="Microsoft Sans Serif" w:cs="Microsoft Sans Serif"/>
      <w:i/>
      <w:iCs/>
      <w:sz w:val="28"/>
      <w:szCs w:val="28"/>
      <w:u w:val="single"/>
    </w:rPr>
  </w:style>
  <w:style w:type="character" w:customStyle="1" w:styleId="11SimHei1465pt39180pt52">
    <w:name w:val="Îñíîâíîé òåêñò (11) + SimHei.146.5 pt39.Íå êóðñèâ18.Èíòåðâàë 0 pt52"/>
    <w:uiPriority w:val="99"/>
    <w:rsid w:val="00811C95"/>
    <w:rPr>
      <w:rFonts w:ascii="SimHei" w:eastAsia="SimHei" w:hAnsi="Microsoft Sans Serif" w:cs="SimHei"/>
      <w:i/>
      <w:iCs/>
      <w:spacing w:val="-10"/>
      <w:sz w:val="29"/>
      <w:szCs w:val="29"/>
    </w:rPr>
  </w:style>
  <w:style w:type="character" w:customStyle="1" w:styleId="111435pt36120pt48">
    <w:name w:val="Îñíîâíîé òåêñò (11) + 143.5 pt36.Íå êóðñèâ12.Èíòåðâàë 0 pt48"/>
    <w:uiPriority w:val="99"/>
    <w:rsid w:val="00811C95"/>
    <w:rPr>
      <w:rFonts w:ascii="Microsoft Sans Serif" w:hAnsi="Microsoft Sans Serif" w:cs="Microsoft Sans Serif"/>
      <w:i/>
      <w:iCs/>
      <w:spacing w:val="-10"/>
      <w:sz w:val="29"/>
      <w:szCs w:val="29"/>
    </w:rPr>
  </w:style>
  <w:style w:type="character" w:customStyle="1" w:styleId="11SimHei21455pt35110pt47">
    <w:name w:val="Îñíîâíîé òåêñò (11) + SimHei2.145.5 pt35.Íå êóðñèâ11.Èíòåðâàë 0 pt47"/>
    <w:uiPriority w:val="99"/>
    <w:rsid w:val="00811C95"/>
    <w:rPr>
      <w:rFonts w:ascii="SimHei" w:eastAsia="SimHei" w:hAnsi="Microsoft Sans Serif" w:cs="SimHei"/>
      <w:i/>
      <w:iCs/>
      <w:spacing w:val="-10"/>
      <w:sz w:val="29"/>
      <w:szCs w:val="29"/>
    </w:rPr>
  </w:style>
  <w:style w:type="character" w:customStyle="1" w:styleId="14pt10240pt46">
    <w:name w:val="Îñíîâíîé òåêñò + 14 pt10.Êóðñèâ24.Èíòåðâàë 0 pt46"/>
    <w:uiPriority w:val="99"/>
    <w:rsid w:val="00811C95"/>
    <w:rPr>
      <w:rFonts w:ascii="Microsoft Sans Serif" w:hAnsi="Microsoft Sans Serif" w:cs="Microsoft Sans Serif"/>
      <w:i/>
      <w:iCs/>
      <w:spacing w:val="0"/>
      <w:sz w:val="28"/>
      <w:szCs w:val="28"/>
    </w:rPr>
  </w:style>
  <w:style w:type="character" w:customStyle="1" w:styleId="111425pt34100pt45">
    <w:name w:val="Îñíîâíîé òåêñò (11) + 142.5 pt34.Íå êóðñèâ10.Èíòåðâàë 0 pt45"/>
    <w:uiPriority w:val="99"/>
    <w:rsid w:val="00811C95"/>
    <w:rPr>
      <w:rFonts w:ascii="Microsoft Sans Serif" w:hAnsi="Microsoft Sans Serif" w:cs="Microsoft Sans Serif"/>
      <w:i/>
      <w:iCs/>
      <w:spacing w:val="-10"/>
      <w:sz w:val="29"/>
      <w:szCs w:val="29"/>
    </w:rPr>
  </w:style>
  <w:style w:type="character" w:customStyle="1" w:styleId="114pt4">
    <w:name w:val="Îñíîâíîé òåêñò (11) + Èíòåðâàë 4 pt4"/>
    <w:uiPriority w:val="99"/>
    <w:rsid w:val="00811C95"/>
    <w:rPr>
      <w:rFonts w:ascii="Microsoft Sans Serif" w:hAnsi="Microsoft Sans Serif" w:cs="Microsoft Sans Serif"/>
      <w:i/>
      <w:iCs/>
      <w:spacing w:val="80"/>
      <w:sz w:val="28"/>
      <w:szCs w:val="28"/>
    </w:rPr>
  </w:style>
  <w:style w:type="character" w:customStyle="1" w:styleId="1180">
    <w:name w:val="Îñíîâíîé òåêñò (11)8"/>
    <w:uiPriority w:val="99"/>
    <w:rsid w:val="00811C95"/>
    <w:rPr>
      <w:rFonts w:ascii="Microsoft Sans Serif" w:hAnsi="Microsoft Sans Serif" w:cs="Microsoft Sans Serif"/>
      <w:i/>
      <w:iCs/>
      <w:sz w:val="28"/>
      <w:szCs w:val="28"/>
    </w:rPr>
  </w:style>
  <w:style w:type="character" w:customStyle="1" w:styleId="114pt3">
    <w:name w:val="Îñíîâíîé òåêñò (11) + Èíòåðâàë 4 pt3"/>
    <w:uiPriority w:val="99"/>
    <w:rsid w:val="00811C95"/>
    <w:rPr>
      <w:rFonts w:ascii="Microsoft Sans Serif" w:hAnsi="Microsoft Sans Serif" w:cs="Microsoft Sans Serif"/>
      <w:i/>
      <w:iCs/>
      <w:spacing w:val="80"/>
      <w:sz w:val="28"/>
      <w:szCs w:val="28"/>
    </w:rPr>
  </w:style>
  <w:style w:type="character" w:customStyle="1" w:styleId="1170">
    <w:name w:val="Îñíîâíîé òåêñò (11)7"/>
    <w:uiPriority w:val="99"/>
    <w:rsid w:val="00811C95"/>
    <w:rPr>
      <w:rFonts w:ascii="Microsoft Sans Serif" w:hAnsi="Microsoft Sans Serif" w:cs="Microsoft Sans Serif"/>
      <w:i/>
      <w:iCs/>
      <w:sz w:val="28"/>
      <w:szCs w:val="28"/>
      <w:u w:val="single"/>
    </w:rPr>
  </w:style>
  <w:style w:type="character" w:customStyle="1" w:styleId="111pt7">
    <w:name w:val="Îñíîâíîé òåêñò (11) + Èíòåðâàë 1 pt7"/>
    <w:uiPriority w:val="99"/>
    <w:rsid w:val="00811C95"/>
    <w:rPr>
      <w:rFonts w:ascii="Microsoft Sans Serif" w:hAnsi="Microsoft Sans Serif" w:cs="Microsoft Sans Serif"/>
      <w:i/>
      <w:iCs/>
      <w:spacing w:val="30"/>
      <w:sz w:val="28"/>
      <w:szCs w:val="28"/>
    </w:rPr>
  </w:style>
  <w:style w:type="character" w:customStyle="1" w:styleId="1160">
    <w:name w:val="Îñíîâíîé òåêñò (11)6"/>
    <w:uiPriority w:val="99"/>
    <w:rsid w:val="00811C95"/>
    <w:rPr>
      <w:rFonts w:ascii="Microsoft Sans Serif" w:hAnsi="Microsoft Sans Serif" w:cs="Microsoft Sans Serif"/>
      <w:i/>
      <w:iCs/>
      <w:sz w:val="28"/>
      <w:szCs w:val="28"/>
      <w:u w:val="single"/>
    </w:rPr>
  </w:style>
  <w:style w:type="character" w:customStyle="1" w:styleId="1150">
    <w:name w:val="Îñíîâíîé òåêñò (11)5"/>
    <w:uiPriority w:val="99"/>
    <w:rsid w:val="00811C95"/>
    <w:rPr>
      <w:rFonts w:ascii="Microsoft Sans Serif" w:hAnsi="Microsoft Sans Serif" w:cs="Microsoft Sans Serif"/>
      <w:i/>
      <w:iCs/>
      <w:sz w:val="28"/>
      <w:szCs w:val="28"/>
    </w:rPr>
  </w:style>
  <w:style w:type="character" w:customStyle="1" w:styleId="114pt2">
    <w:name w:val="Îñíîâíîé òåêñò (11) + Èíòåðâàë 4 pt2"/>
    <w:uiPriority w:val="99"/>
    <w:rsid w:val="00811C95"/>
    <w:rPr>
      <w:rFonts w:ascii="Microsoft Sans Serif" w:hAnsi="Microsoft Sans Serif" w:cs="Microsoft Sans Serif"/>
      <w:i/>
      <w:iCs/>
      <w:spacing w:val="80"/>
      <w:sz w:val="28"/>
      <w:szCs w:val="28"/>
    </w:rPr>
  </w:style>
  <w:style w:type="character" w:customStyle="1" w:styleId="111pt6">
    <w:name w:val="Îñíîâíîé òåêñò (11) + Èíòåðâàë 1 pt6"/>
    <w:uiPriority w:val="99"/>
    <w:rsid w:val="00811C95"/>
    <w:rPr>
      <w:rFonts w:ascii="Microsoft Sans Serif" w:hAnsi="Microsoft Sans Serif" w:cs="Microsoft Sans Serif"/>
      <w:i/>
      <w:iCs/>
      <w:spacing w:val="30"/>
      <w:sz w:val="28"/>
      <w:szCs w:val="28"/>
    </w:rPr>
  </w:style>
  <w:style w:type="character" w:customStyle="1" w:styleId="111pt5">
    <w:name w:val="Îñíîâíîé òåêñò (11) + Èíòåðâàë 1 pt5"/>
    <w:uiPriority w:val="99"/>
    <w:rsid w:val="00811C95"/>
    <w:rPr>
      <w:rFonts w:ascii="Microsoft Sans Serif" w:hAnsi="Microsoft Sans Serif" w:cs="Microsoft Sans Serif"/>
      <w:i/>
      <w:iCs/>
      <w:spacing w:val="30"/>
      <w:sz w:val="28"/>
      <w:szCs w:val="28"/>
    </w:rPr>
  </w:style>
  <w:style w:type="character" w:customStyle="1" w:styleId="14pt9230pt44">
    <w:name w:val="Îñíîâíîé òåêñò + 14 pt9.Êóðñèâ23.Èíòåðâàë 0 pt44"/>
    <w:uiPriority w:val="99"/>
    <w:rsid w:val="00811C95"/>
    <w:rPr>
      <w:rFonts w:ascii="Microsoft Sans Serif" w:hAnsi="Microsoft Sans Serif" w:cs="Microsoft Sans Serif"/>
      <w:i/>
      <w:iCs/>
      <w:spacing w:val="0"/>
      <w:sz w:val="28"/>
      <w:szCs w:val="28"/>
    </w:rPr>
  </w:style>
  <w:style w:type="character" w:customStyle="1" w:styleId="114pt1">
    <w:name w:val="Îñíîâíîé òåêñò (11) + Èíòåðâàë 4 pt1"/>
    <w:uiPriority w:val="99"/>
    <w:rsid w:val="00811C95"/>
    <w:rPr>
      <w:rFonts w:ascii="Microsoft Sans Serif" w:hAnsi="Microsoft Sans Serif" w:cs="Microsoft Sans Serif"/>
      <w:i/>
      <w:iCs/>
      <w:spacing w:val="80"/>
      <w:sz w:val="28"/>
      <w:szCs w:val="28"/>
    </w:rPr>
  </w:style>
  <w:style w:type="character" w:customStyle="1" w:styleId="111pt4">
    <w:name w:val="Îñíîâíîé òåêñò (11) + Èíòåðâàë 1 pt4"/>
    <w:uiPriority w:val="99"/>
    <w:rsid w:val="00811C95"/>
    <w:rPr>
      <w:rFonts w:ascii="Microsoft Sans Serif" w:hAnsi="Microsoft Sans Serif" w:cs="Microsoft Sans Serif"/>
      <w:i/>
      <w:iCs/>
      <w:spacing w:val="30"/>
      <w:sz w:val="28"/>
      <w:szCs w:val="28"/>
    </w:rPr>
  </w:style>
  <w:style w:type="character" w:customStyle="1" w:styleId="1140">
    <w:name w:val="Îñíîâíîé òåêñò (11)4"/>
    <w:uiPriority w:val="99"/>
    <w:rsid w:val="00811C95"/>
    <w:rPr>
      <w:rFonts w:ascii="Microsoft Sans Serif" w:hAnsi="Microsoft Sans Serif" w:cs="Microsoft Sans Serif"/>
      <w:i/>
      <w:iCs/>
      <w:sz w:val="28"/>
      <w:szCs w:val="28"/>
    </w:rPr>
  </w:style>
  <w:style w:type="character" w:customStyle="1" w:styleId="111pt3">
    <w:name w:val="Îñíîâíîé òåêñò (11) + Èíòåðâàë 1 pt3"/>
    <w:uiPriority w:val="99"/>
    <w:rsid w:val="00811C95"/>
    <w:rPr>
      <w:rFonts w:ascii="Microsoft Sans Serif" w:hAnsi="Microsoft Sans Serif" w:cs="Microsoft Sans Serif"/>
      <w:i/>
      <w:iCs/>
      <w:spacing w:val="30"/>
      <w:sz w:val="28"/>
      <w:szCs w:val="28"/>
    </w:rPr>
  </w:style>
  <w:style w:type="character" w:customStyle="1" w:styleId="11SimHei1175pt339-2pt">
    <w:name w:val="Îñíîâíîé òåêñò (11) + SimHei1.17.5 pt33.Íå êóðñèâ9.Èíòåðâàë -2 pt"/>
    <w:uiPriority w:val="99"/>
    <w:rsid w:val="00811C95"/>
    <w:rPr>
      <w:rFonts w:ascii="SimHei" w:eastAsia="SimHei" w:hAnsi="Microsoft Sans Serif" w:cs="SimHei"/>
      <w:i/>
      <w:iCs/>
      <w:spacing w:val="-40"/>
      <w:sz w:val="35"/>
      <w:szCs w:val="35"/>
    </w:rPr>
  </w:style>
  <w:style w:type="character" w:customStyle="1" w:styleId="111415pt3180pt43">
    <w:name w:val="Îñíîâíîé òåêñò (11) + 141.5 pt31.Íå êóðñèâ8.Èíòåðâàë 0 pt43"/>
    <w:uiPriority w:val="99"/>
    <w:rsid w:val="00811C95"/>
    <w:rPr>
      <w:rFonts w:ascii="Microsoft Sans Serif" w:hAnsi="Microsoft Sans Serif" w:cs="Microsoft Sans Serif"/>
      <w:i/>
      <w:iCs/>
      <w:spacing w:val="-10"/>
      <w:sz w:val="29"/>
      <w:szCs w:val="29"/>
    </w:rPr>
  </w:style>
  <w:style w:type="character" w:customStyle="1" w:styleId="1130">
    <w:name w:val="Îñíîâíîé òåêñò (11)3"/>
    <w:uiPriority w:val="99"/>
    <w:rsid w:val="00811C95"/>
    <w:rPr>
      <w:rFonts w:ascii="Microsoft Sans Serif" w:hAnsi="Microsoft Sans Serif" w:cs="Microsoft Sans Serif"/>
      <w:i/>
      <w:iCs/>
      <w:sz w:val="28"/>
      <w:szCs w:val="28"/>
    </w:rPr>
  </w:style>
  <w:style w:type="character" w:customStyle="1" w:styleId="320pt">
    <w:name w:val="Îñíîâíîé òåêñò (32) + Èíòåðâàë 0 pt"/>
    <w:uiPriority w:val="99"/>
    <w:rsid w:val="00811C95"/>
    <w:rPr>
      <w:rFonts w:ascii="Arial Narrow" w:hAnsi="Arial Narrow" w:cs="Arial Narrow"/>
      <w:b/>
      <w:bCs/>
      <w:spacing w:val="0"/>
      <w:sz w:val="67"/>
      <w:szCs w:val="67"/>
    </w:rPr>
  </w:style>
  <w:style w:type="character" w:customStyle="1" w:styleId="1425pt220pt33">
    <w:name w:val="Çàãîëîâîê ¹1 + 42.5 pt22.Èíòåðâàë 0 pt33"/>
    <w:uiPriority w:val="99"/>
    <w:rsid w:val="00811C95"/>
    <w:rPr>
      <w:rFonts w:ascii="Arial Narrow" w:hAnsi="Arial Narrow" w:cs="Arial Narrow"/>
      <w:b/>
      <w:bCs/>
      <w:spacing w:val="0"/>
      <w:sz w:val="85"/>
      <w:szCs w:val="85"/>
    </w:rPr>
  </w:style>
  <w:style w:type="character" w:customStyle="1" w:styleId="1f9">
    <w:name w:val="Çàãîëîâîê ¹1_"/>
    <w:uiPriority w:val="99"/>
    <w:rsid w:val="00811C95"/>
    <w:rPr>
      <w:rFonts w:ascii="Arial Narrow" w:hAnsi="Arial Narrow" w:cs="Arial Narrow"/>
      <w:b/>
      <w:bCs/>
      <w:spacing w:val="-10"/>
      <w:sz w:val="104"/>
      <w:szCs w:val="104"/>
    </w:rPr>
  </w:style>
  <w:style w:type="character" w:customStyle="1" w:styleId="14pt7110pt32">
    <w:name w:val="Îñíîâíîé òåêñò + 14 pt7.Êóðñèâ11.Èíòåðâàë 0 pt32"/>
    <w:uiPriority w:val="99"/>
    <w:rsid w:val="00811C95"/>
    <w:rPr>
      <w:rFonts w:ascii="Microsoft Sans Serif" w:hAnsi="Microsoft Sans Serif" w:cs="Microsoft Sans Serif"/>
      <w:i/>
      <w:iCs/>
      <w:spacing w:val="0"/>
      <w:sz w:val="28"/>
      <w:szCs w:val="28"/>
    </w:rPr>
  </w:style>
  <w:style w:type="character" w:customStyle="1" w:styleId="14pt6101pt4">
    <w:name w:val="Îñíîâíîé òåêñò + 14 pt6.Êóðñèâ10.Èíòåðâàë 1 pt4"/>
    <w:uiPriority w:val="99"/>
    <w:rsid w:val="00811C95"/>
    <w:rPr>
      <w:rFonts w:ascii="Microsoft Sans Serif" w:hAnsi="Microsoft Sans Serif" w:cs="Microsoft Sans Serif"/>
      <w:i/>
      <w:iCs/>
      <w:spacing w:val="30"/>
      <w:sz w:val="28"/>
      <w:szCs w:val="28"/>
    </w:rPr>
  </w:style>
  <w:style w:type="character" w:customStyle="1" w:styleId="16pt-1pt4">
    <w:name w:val="Îñíîâíîé òåêñò + 16 pt.Èíòåðâàë -1 pt4"/>
    <w:uiPriority w:val="99"/>
    <w:rsid w:val="00811C95"/>
    <w:rPr>
      <w:rFonts w:ascii="Microsoft Sans Serif" w:hAnsi="Microsoft Sans Serif" w:cs="Microsoft Sans Serif"/>
      <w:spacing w:val="-20"/>
      <w:sz w:val="32"/>
      <w:szCs w:val="32"/>
    </w:rPr>
  </w:style>
  <w:style w:type="character" w:customStyle="1" w:styleId="14pt590pt31">
    <w:name w:val="Îñíîâíîé òåêñò + 14 pt5.Êóðñèâ9.Èíòåðâàë 0 pt31"/>
    <w:uiPriority w:val="99"/>
    <w:rsid w:val="00811C95"/>
    <w:rPr>
      <w:rFonts w:ascii="Microsoft Sans Serif" w:hAnsi="Microsoft Sans Serif" w:cs="Microsoft Sans Serif"/>
      <w:i/>
      <w:iCs/>
      <w:spacing w:val="0"/>
      <w:sz w:val="28"/>
      <w:szCs w:val="28"/>
    </w:rPr>
  </w:style>
  <w:style w:type="character" w:customStyle="1" w:styleId="145">
    <w:name w:val="Îñíîâíîé òåêñò (14)_"/>
    <w:uiPriority w:val="99"/>
    <w:rsid w:val="00811C95"/>
    <w:rPr>
      <w:rFonts w:ascii="Franklin Gothic Demi" w:hAnsi="Franklin Gothic Demi" w:cs="Franklin Gothic Demi"/>
      <w:sz w:val="26"/>
      <w:szCs w:val="26"/>
    </w:rPr>
  </w:style>
  <w:style w:type="character" w:customStyle="1" w:styleId="111pt2">
    <w:name w:val="Îñíîâíîé òåêñò (11) + Èíòåðâàë 1 pt2"/>
    <w:uiPriority w:val="99"/>
    <w:rsid w:val="00811C95"/>
    <w:rPr>
      <w:rFonts w:ascii="Microsoft Sans Serif" w:hAnsi="Microsoft Sans Serif" w:cs="Microsoft Sans Serif"/>
      <w:i/>
      <w:iCs/>
      <w:spacing w:val="30"/>
      <w:sz w:val="28"/>
      <w:szCs w:val="28"/>
    </w:rPr>
  </w:style>
  <w:style w:type="character" w:customStyle="1" w:styleId="1120">
    <w:name w:val="Îñíîâíîé òåêñò (11)2"/>
    <w:uiPriority w:val="99"/>
    <w:rsid w:val="00811C95"/>
    <w:rPr>
      <w:rFonts w:ascii="Microsoft Sans Serif" w:hAnsi="Microsoft Sans Serif" w:cs="Microsoft Sans Serif"/>
      <w:i/>
      <w:iCs/>
      <w:spacing w:val="0"/>
      <w:sz w:val="28"/>
      <w:szCs w:val="28"/>
    </w:rPr>
  </w:style>
  <w:style w:type="character" w:customStyle="1" w:styleId="15pt880pt30">
    <w:name w:val="Îñíîâíîé òåêñò + 15 pt.Ïîëóæèðíûé8.Êóðñèâ8.Èíòåðâàë 0 pt30"/>
    <w:uiPriority w:val="99"/>
    <w:rsid w:val="00811C95"/>
    <w:rPr>
      <w:rFonts w:ascii="Microsoft Sans Serif" w:hAnsi="Microsoft Sans Serif" w:cs="Microsoft Sans Serif"/>
      <w:b/>
      <w:bCs/>
      <w:i/>
      <w:iCs/>
      <w:spacing w:val="10"/>
      <w:sz w:val="30"/>
      <w:szCs w:val="30"/>
    </w:rPr>
  </w:style>
  <w:style w:type="character" w:customStyle="1" w:styleId="15pt2771pt3">
    <w:name w:val="Îñíîâíîé òåêñò + 15 pt2.Ïîëóæèðíûé7.Êóðñèâ7.Èíòåðâàë 1 pt3"/>
    <w:uiPriority w:val="99"/>
    <w:rsid w:val="00811C95"/>
    <w:rPr>
      <w:rFonts w:ascii="Microsoft Sans Serif" w:hAnsi="Microsoft Sans Serif" w:cs="Microsoft Sans Serif"/>
      <w:b/>
      <w:bCs/>
      <w:i/>
      <w:iCs/>
      <w:spacing w:val="30"/>
      <w:sz w:val="30"/>
      <w:szCs w:val="30"/>
    </w:rPr>
  </w:style>
  <w:style w:type="character" w:customStyle="1" w:styleId="14pt460pt29">
    <w:name w:val="Îñíîâíîé òåêñò + 14 pt4.Êóðñèâ6.Èíòåðâàë 0 pt29"/>
    <w:uiPriority w:val="99"/>
    <w:rsid w:val="00811C95"/>
    <w:rPr>
      <w:rFonts w:ascii="Microsoft Sans Serif" w:hAnsi="Microsoft Sans Serif" w:cs="Microsoft Sans Serif"/>
      <w:i/>
      <w:iCs/>
      <w:spacing w:val="0"/>
      <w:sz w:val="28"/>
      <w:szCs w:val="28"/>
    </w:rPr>
  </w:style>
  <w:style w:type="character" w:customStyle="1" w:styleId="0pt18">
    <w:name w:val="Îñíîâíîé òåêñò + Êóðñèâ.Èíòåðâàë 0 pt18"/>
    <w:uiPriority w:val="99"/>
    <w:rsid w:val="00811C95"/>
    <w:rPr>
      <w:rFonts w:ascii="Arial" w:hAnsi="Arial" w:cs="Arial"/>
      <w:i/>
      <w:iCs/>
      <w:spacing w:val="-10"/>
      <w:sz w:val="16"/>
      <w:szCs w:val="16"/>
    </w:rPr>
  </w:style>
  <w:style w:type="character" w:customStyle="1" w:styleId="2fb">
    <w:name w:val="Ïîäïèñü ê òàáëèöå (2)"/>
    <w:uiPriority w:val="99"/>
    <w:rsid w:val="00811C95"/>
    <w:rPr>
      <w:rFonts w:ascii="Arial" w:hAnsi="Arial" w:cs="Arial"/>
      <w:sz w:val="14"/>
      <w:szCs w:val="14"/>
      <w:u w:val="single"/>
    </w:rPr>
  </w:style>
  <w:style w:type="character" w:customStyle="1" w:styleId="2fc">
    <w:name w:val="Ïîäïèñü ê òàáëèöå (2)_"/>
    <w:uiPriority w:val="99"/>
    <w:rsid w:val="00811C95"/>
    <w:rPr>
      <w:rFonts w:ascii="Arial" w:hAnsi="Arial" w:cs="Arial"/>
      <w:sz w:val="14"/>
      <w:szCs w:val="14"/>
    </w:rPr>
  </w:style>
  <w:style w:type="character" w:customStyle="1" w:styleId="710">
    <w:name w:val="Îñíîâíîé òåêñò (7)10"/>
    <w:uiPriority w:val="99"/>
    <w:rsid w:val="00811C95"/>
    <w:rPr>
      <w:rFonts w:ascii="Arial" w:hAnsi="Arial" w:cs="Arial"/>
      <w:i/>
      <w:iCs/>
      <w:spacing w:val="-10"/>
      <w:sz w:val="16"/>
      <w:szCs w:val="16"/>
      <w:u w:val="single"/>
    </w:rPr>
  </w:style>
  <w:style w:type="character" w:customStyle="1" w:styleId="7d">
    <w:name w:val="Îñíîâíîé òåêñò (7)_"/>
    <w:uiPriority w:val="99"/>
    <w:rsid w:val="00811C95"/>
    <w:rPr>
      <w:rFonts w:ascii="Arial" w:hAnsi="Arial" w:cs="Arial"/>
      <w:i/>
      <w:iCs/>
      <w:spacing w:val="-10"/>
      <w:sz w:val="16"/>
      <w:szCs w:val="16"/>
    </w:rPr>
  </w:style>
  <w:style w:type="character" w:customStyle="1" w:styleId="15ArialNarrow18">
    <w:name w:val="Îñíîâíîé òåêñò (15) + Arial Narrow.Êóðñèâ18"/>
    <w:uiPriority w:val="99"/>
    <w:rsid w:val="00811C95"/>
    <w:rPr>
      <w:rFonts w:ascii="Arial Narrow" w:hAnsi="Arial Narrow" w:cs="Arial Narrow"/>
      <w:i/>
      <w:iCs/>
      <w:spacing w:val="0"/>
      <w:sz w:val="15"/>
      <w:szCs w:val="15"/>
    </w:rPr>
  </w:style>
  <w:style w:type="character" w:customStyle="1" w:styleId="157">
    <w:name w:val="Îñíîâíîé òåêñò (15)_"/>
    <w:uiPriority w:val="99"/>
    <w:rsid w:val="00811C95"/>
    <w:rPr>
      <w:rFonts w:ascii="Garamond" w:hAnsi="Garamond" w:cs="Garamond"/>
      <w:sz w:val="13"/>
      <w:szCs w:val="13"/>
    </w:rPr>
  </w:style>
  <w:style w:type="character" w:customStyle="1" w:styleId="29Arial">
    <w:name w:val="Îñíîâíîé òåêñò (29) + Arial.Íå êóðñèâ"/>
    <w:uiPriority w:val="99"/>
    <w:rsid w:val="00811C95"/>
    <w:rPr>
      <w:rFonts w:ascii="Arial" w:hAnsi="Arial" w:cs="Arial"/>
      <w:i/>
      <w:iCs/>
      <w:sz w:val="15"/>
      <w:szCs w:val="15"/>
    </w:rPr>
  </w:style>
  <w:style w:type="character" w:customStyle="1" w:styleId="3f9">
    <w:name w:val="Ïîäïèñü ê òàáëèöå (3)"/>
    <w:uiPriority w:val="99"/>
    <w:rsid w:val="00811C95"/>
    <w:rPr>
      <w:rFonts w:ascii="Arial" w:hAnsi="Arial" w:cs="Arial"/>
      <w:i/>
      <w:iCs/>
      <w:spacing w:val="-10"/>
      <w:sz w:val="16"/>
      <w:szCs w:val="16"/>
      <w:u w:val="single"/>
    </w:rPr>
  </w:style>
  <w:style w:type="character" w:customStyle="1" w:styleId="3fa">
    <w:name w:val="Ïîäïèñü ê òàáëèöå (3)_"/>
    <w:uiPriority w:val="99"/>
    <w:rsid w:val="00811C95"/>
    <w:rPr>
      <w:rFonts w:ascii="Arial" w:hAnsi="Arial" w:cs="Arial"/>
      <w:i/>
      <w:iCs/>
      <w:spacing w:val="-10"/>
      <w:sz w:val="16"/>
      <w:szCs w:val="16"/>
    </w:rPr>
  </w:style>
  <w:style w:type="character" w:customStyle="1" w:styleId="790">
    <w:name w:val="Îñíîâíîé òåêñò (7)9"/>
    <w:uiPriority w:val="99"/>
    <w:rsid w:val="00811C95"/>
    <w:rPr>
      <w:rFonts w:ascii="Arial" w:hAnsi="Arial" w:cs="Arial"/>
      <w:i/>
      <w:iCs/>
      <w:spacing w:val="-10"/>
      <w:sz w:val="16"/>
      <w:szCs w:val="16"/>
      <w:u w:val="single"/>
    </w:rPr>
  </w:style>
  <w:style w:type="character" w:customStyle="1" w:styleId="111425pt34100pt4529Arial37pt3">
    <w:name w:val="Îñíîâíîé òåêñò (11) + 142.5 pt34.Íå êóðñèâ10.Èíòåðâàë 0 pt45.Îñíîâíîé òåêñò (29) + Arial3.7 pt3"/>
    <w:uiPriority w:val="99"/>
    <w:rsid w:val="00811C95"/>
    <w:rPr>
      <w:rFonts w:ascii="Microsoft Sans Serif" w:hAnsi="Microsoft Sans Serif" w:cs="Microsoft Sans Serif"/>
      <w:i/>
      <w:iCs/>
      <w:spacing w:val="-10"/>
      <w:sz w:val="29"/>
      <w:szCs w:val="29"/>
    </w:rPr>
  </w:style>
  <w:style w:type="character" w:customStyle="1" w:styleId="28ArialNarrow75pt2617">
    <w:name w:val="Îñíîâíîé òåêñò (28) + Arial Narrow.7.5 pt26.Êóðñèâ17"/>
    <w:uiPriority w:val="99"/>
    <w:rsid w:val="00811C95"/>
    <w:rPr>
      <w:rFonts w:ascii="Arial Narrow" w:hAnsi="Arial Narrow" w:cs="Arial Narrow"/>
      <w:i/>
      <w:iCs/>
      <w:sz w:val="15"/>
      <w:szCs w:val="15"/>
    </w:rPr>
  </w:style>
  <w:style w:type="character" w:customStyle="1" w:styleId="283">
    <w:name w:val="Îñíîâíîé òåêñò (28)_"/>
    <w:uiPriority w:val="99"/>
    <w:rsid w:val="00811C95"/>
    <w:rPr>
      <w:rFonts w:ascii="Arial" w:hAnsi="Arial" w:cs="Arial"/>
      <w:sz w:val="14"/>
      <w:szCs w:val="14"/>
    </w:rPr>
  </w:style>
  <w:style w:type="character" w:customStyle="1" w:styleId="11SimHei1175pt339-2pt785pt250pt17">
    <w:name w:val="Îñíîâíîé òåêñò (11) + SimHei1.17.5 pt33.Íå êóðñèâ9.Èíòåðâàë -2 pt.Îñíîâíîé òåêñò (7) + 8.5 pt25.Èíòåðâàë 0 pt17"/>
    <w:uiPriority w:val="99"/>
    <w:rsid w:val="00811C95"/>
    <w:rPr>
      <w:rFonts w:ascii="SimHei" w:eastAsia="SimHei" w:cs="SimHei"/>
      <w:i/>
      <w:iCs/>
      <w:spacing w:val="-40"/>
      <w:sz w:val="35"/>
      <w:szCs w:val="35"/>
    </w:rPr>
  </w:style>
  <w:style w:type="character" w:customStyle="1" w:styleId="780">
    <w:name w:val="Îñíîâíîé òåêñò (7)8"/>
    <w:uiPriority w:val="99"/>
    <w:rsid w:val="00811C95"/>
    <w:rPr>
      <w:rFonts w:ascii="Arial" w:hAnsi="Arial" w:cs="Arial"/>
      <w:i/>
      <w:iCs/>
      <w:spacing w:val="-10"/>
      <w:sz w:val="16"/>
      <w:szCs w:val="16"/>
      <w:u w:val="single"/>
    </w:rPr>
  </w:style>
  <w:style w:type="character" w:customStyle="1" w:styleId="318">
    <w:name w:val="Îñíîâíîé òåêñò (31) + Êóðñèâ"/>
    <w:uiPriority w:val="99"/>
    <w:rsid w:val="00811C95"/>
    <w:rPr>
      <w:rFonts w:ascii="Arial" w:hAnsi="Arial" w:cs="Arial"/>
      <w:i/>
      <w:iCs/>
      <w:spacing w:val="0"/>
      <w:sz w:val="11"/>
      <w:szCs w:val="11"/>
    </w:rPr>
  </w:style>
  <w:style w:type="character" w:customStyle="1" w:styleId="306">
    <w:name w:val="Îñíîâíîé òåêñò (30) + Íå êóðñèâ"/>
    <w:uiPriority w:val="99"/>
    <w:rsid w:val="00811C95"/>
    <w:rPr>
      <w:rFonts w:ascii="Arial" w:hAnsi="Arial" w:cs="Arial"/>
      <w:i/>
      <w:iCs/>
      <w:sz w:val="11"/>
      <w:szCs w:val="11"/>
    </w:rPr>
  </w:style>
  <w:style w:type="character" w:customStyle="1" w:styleId="85pt2415">
    <w:name w:val="Îñíîâíîé òåêñò + 8.5 pt24.Ïîëóæèðíûé15"/>
    <w:uiPriority w:val="99"/>
    <w:rsid w:val="00811C95"/>
    <w:rPr>
      <w:rFonts w:ascii="Arial" w:hAnsi="Arial" w:cs="Arial"/>
      <w:b/>
      <w:bCs/>
      <w:spacing w:val="0"/>
      <w:sz w:val="17"/>
      <w:szCs w:val="17"/>
    </w:rPr>
  </w:style>
  <w:style w:type="character" w:customStyle="1" w:styleId="20pt15">
    <w:name w:val="Îñíîâíîé òåêñò + Êóðñèâ2.Èíòåðâàë 0 pt15"/>
    <w:uiPriority w:val="99"/>
    <w:rsid w:val="00811C95"/>
    <w:rPr>
      <w:rFonts w:ascii="Arial" w:hAnsi="Arial" w:cs="Arial"/>
      <w:i/>
      <w:iCs/>
      <w:spacing w:val="-10"/>
      <w:sz w:val="16"/>
      <w:szCs w:val="16"/>
    </w:rPr>
  </w:style>
  <w:style w:type="character" w:customStyle="1" w:styleId="3010">
    <w:name w:val="Îñíîâíîé òåêñò (30) + Íå êóðñèâ1"/>
    <w:uiPriority w:val="99"/>
    <w:rsid w:val="00811C95"/>
    <w:rPr>
      <w:rFonts w:ascii="Arial" w:hAnsi="Arial" w:cs="Arial"/>
      <w:i/>
      <w:iCs/>
      <w:sz w:val="11"/>
      <w:szCs w:val="11"/>
    </w:rPr>
  </w:style>
  <w:style w:type="character" w:customStyle="1" w:styleId="3110">
    <w:name w:val="Îñíîâíîé òåêñò (31) + Êóðñèâ1"/>
    <w:uiPriority w:val="99"/>
    <w:rsid w:val="00811C95"/>
    <w:rPr>
      <w:rFonts w:ascii="Arial" w:hAnsi="Arial" w:cs="Arial"/>
      <w:i/>
      <w:iCs/>
      <w:spacing w:val="0"/>
      <w:sz w:val="11"/>
      <w:szCs w:val="11"/>
    </w:rPr>
  </w:style>
  <w:style w:type="character" w:customStyle="1" w:styleId="295pt232-1pt67TimesNewRoman910pt14">
    <w:name w:val="Îñíîâíîé òåêñò (2) + 9.5 pt23.Íå êóðñèâ2.Èíòåðâàë -1 pt6.Îñíîâíîé òåêñò (7) + Times New Roman.91.Èíòåðâàë 0 pt14"/>
    <w:uiPriority w:val="99"/>
    <w:rsid w:val="00811C95"/>
    <w:rPr>
      <w:rFonts w:ascii="Microsoft Sans Serif" w:hAnsi="Microsoft Sans Serif" w:cs="Microsoft Sans Serif"/>
      <w:i/>
      <w:iCs/>
      <w:spacing w:val="-20"/>
      <w:sz w:val="19"/>
      <w:szCs w:val="19"/>
    </w:rPr>
  </w:style>
  <w:style w:type="character" w:customStyle="1" w:styleId="70pt13">
    <w:name w:val="Îñíîâíîé òåêñò (7) + Íå êóðñèâ.Èíòåðâàë 0 pt13"/>
    <w:uiPriority w:val="99"/>
    <w:rsid w:val="00811C95"/>
    <w:rPr>
      <w:rFonts w:ascii="Arial" w:hAnsi="Arial" w:cs="Arial"/>
      <w:i/>
      <w:iCs/>
      <w:spacing w:val="0"/>
      <w:sz w:val="16"/>
      <w:szCs w:val="16"/>
    </w:rPr>
  </w:style>
  <w:style w:type="character" w:customStyle="1" w:styleId="770">
    <w:name w:val="Îñíîâíîé òåêñò (7)7"/>
    <w:uiPriority w:val="99"/>
    <w:rsid w:val="00811C95"/>
    <w:rPr>
      <w:rFonts w:ascii="Arial" w:hAnsi="Arial" w:cs="Arial"/>
      <w:i/>
      <w:iCs/>
      <w:spacing w:val="-10"/>
      <w:sz w:val="16"/>
      <w:szCs w:val="16"/>
      <w:u w:val="single"/>
    </w:rPr>
  </w:style>
  <w:style w:type="character" w:customStyle="1" w:styleId="1425pt220pt337SimHei7100pt12">
    <w:name w:val="Çàãîëîâîê ¹1 + 42.5 pt22.Èíòåðâàë 0 pt33.Îñíîâíîé òåêñò (7) + SimHei.710.Èíòåðâàë 0 pt12"/>
    <w:uiPriority w:val="99"/>
    <w:rsid w:val="00811C95"/>
    <w:rPr>
      <w:rFonts w:ascii="Arial Narrow" w:hAnsi="Arial Narrow" w:cs="Arial Narrow"/>
      <w:b/>
      <w:bCs/>
      <w:spacing w:val="0"/>
      <w:sz w:val="85"/>
      <w:szCs w:val="85"/>
    </w:rPr>
  </w:style>
  <w:style w:type="character" w:customStyle="1" w:styleId="760">
    <w:name w:val="Îñíîâíîé òåêñò (7)6"/>
    <w:uiPriority w:val="99"/>
    <w:rsid w:val="00811C95"/>
    <w:rPr>
      <w:rFonts w:ascii="Arial" w:hAnsi="Arial" w:cs="Arial"/>
      <w:i/>
      <w:iCs/>
      <w:spacing w:val="-10"/>
      <w:sz w:val="16"/>
      <w:szCs w:val="16"/>
      <w:u w:val="single"/>
    </w:rPr>
  </w:style>
  <w:style w:type="character" w:customStyle="1" w:styleId="720pt11">
    <w:name w:val="Îñíîâíîé òåêñò (7) + Íå êóðñèâ2.Èíòåðâàë 0 pt11"/>
    <w:uiPriority w:val="99"/>
    <w:rsid w:val="00811C95"/>
    <w:rPr>
      <w:rFonts w:ascii="Arial" w:hAnsi="Arial" w:cs="Arial"/>
      <w:i/>
      <w:iCs/>
      <w:spacing w:val="0"/>
      <w:sz w:val="16"/>
      <w:szCs w:val="16"/>
    </w:rPr>
  </w:style>
  <w:style w:type="character" w:customStyle="1" w:styleId="750">
    <w:name w:val="Îñíîâíîé òåêñò (7)5"/>
    <w:uiPriority w:val="99"/>
    <w:rsid w:val="00811C95"/>
    <w:rPr>
      <w:rFonts w:ascii="Arial" w:hAnsi="Arial" w:cs="Arial"/>
      <w:i/>
      <w:iCs/>
      <w:spacing w:val="-10"/>
      <w:sz w:val="16"/>
      <w:szCs w:val="16"/>
      <w:u w:val="single"/>
    </w:rPr>
  </w:style>
  <w:style w:type="character" w:customStyle="1" w:styleId="740">
    <w:name w:val="Îñíîâíîé òåêñò (7)4"/>
    <w:uiPriority w:val="99"/>
    <w:rsid w:val="00811C95"/>
    <w:rPr>
      <w:rFonts w:ascii="Arial" w:hAnsi="Arial" w:cs="Arial"/>
      <w:i/>
      <w:iCs/>
      <w:spacing w:val="-10"/>
      <w:sz w:val="16"/>
      <w:szCs w:val="16"/>
      <w:u w:val="single"/>
    </w:rPr>
  </w:style>
  <w:style w:type="character" w:customStyle="1" w:styleId="730">
    <w:name w:val="Îñíîâíîé òåêñò (7)3"/>
    <w:uiPriority w:val="99"/>
    <w:rsid w:val="00811C95"/>
    <w:rPr>
      <w:rFonts w:ascii="Arial" w:hAnsi="Arial" w:cs="Arial"/>
      <w:i/>
      <w:iCs/>
      <w:spacing w:val="-10"/>
      <w:sz w:val="16"/>
      <w:szCs w:val="16"/>
      <w:u w:val="single"/>
    </w:rPr>
  </w:style>
  <w:style w:type="character" w:customStyle="1" w:styleId="722">
    <w:name w:val="Îñíîâíîé òåêñò (7)2"/>
    <w:uiPriority w:val="99"/>
    <w:rsid w:val="00811C95"/>
    <w:rPr>
      <w:rFonts w:ascii="Arial" w:hAnsi="Arial" w:cs="Arial"/>
      <w:i/>
      <w:iCs/>
      <w:spacing w:val="-10"/>
      <w:sz w:val="16"/>
      <w:szCs w:val="16"/>
      <w:u w:val="single"/>
    </w:rPr>
  </w:style>
  <w:style w:type="character" w:customStyle="1" w:styleId="2FranklinGothicDemi113pt760pt417SimHei17pt20pt10">
    <w:name w:val="Îñíîâíîé òåêñò (2) + Franklin Gothic Demi1.13 pt7.Íå êóðñèâ6.Èíòåðâàë 0 pt41.Îñíîâíîé òåêñò (7) + SimHei1.7 pt2.Èíòåðâàë 0 pt10"/>
    <w:uiPriority w:val="99"/>
    <w:rsid w:val="00811C95"/>
    <w:rPr>
      <w:rFonts w:ascii="Franklin Gothic Demi" w:hAnsi="Franklin Gothic Demi" w:cs="Franklin Gothic Demi"/>
      <w:i/>
      <w:iCs/>
      <w:spacing w:val="0"/>
      <w:sz w:val="26"/>
      <w:szCs w:val="26"/>
    </w:rPr>
  </w:style>
  <w:style w:type="character" w:customStyle="1" w:styleId="226">
    <w:name w:val="Îñíîâíîé òåêñò (22)"/>
    <w:uiPriority w:val="99"/>
    <w:rsid w:val="00811C95"/>
    <w:rPr>
      <w:rFonts w:ascii="Arial" w:hAnsi="Arial" w:cs="Arial"/>
      <w:i/>
      <w:iCs/>
      <w:spacing w:val="-10"/>
      <w:sz w:val="17"/>
      <w:szCs w:val="17"/>
      <w:u w:val="single"/>
    </w:rPr>
  </w:style>
  <w:style w:type="character" w:customStyle="1" w:styleId="227">
    <w:name w:val="Îñíîâíîé òåêñò (22)_"/>
    <w:uiPriority w:val="99"/>
    <w:rsid w:val="00811C95"/>
    <w:rPr>
      <w:rFonts w:ascii="Arial" w:hAnsi="Arial" w:cs="Arial"/>
      <w:i/>
      <w:iCs/>
      <w:spacing w:val="-10"/>
      <w:sz w:val="17"/>
      <w:szCs w:val="17"/>
    </w:rPr>
  </w:style>
  <w:style w:type="character" w:customStyle="1" w:styleId="2260pt23">
    <w:name w:val="Îñíîâíîé òåêñò (22) + Íå êóðñèâ6.Èíòåðâàë 0 pt23"/>
    <w:uiPriority w:val="99"/>
    <w:rsid w:val="00811C95"/>
    <w:rPr>
      <w:rFonts w:ascii="Arial" w:hAnsi="Arial" w:cs="Arial"/>
      <w:i/>
      <w:iCs/>
      <w:spacing w:val="0"/>
      <w:sz w:val="17"/>
      <w:szCs w:val="17"/>
    </w:rPr>
  </w:style>
  <w:style w:type="character" w:customStyle="1" w:styleId="2250">
    <w:name w:val="Îñíîâíîé òåêñò (22)5"/>
    <w:uiPriority w:val="99"/>
    <w:rsid w:val="00811C95"/>
    <w:rPr>
      <w:rFonts w:ascii="Arial" w:hAnsi="Arial" w:cs="Arial"/>
      <w:i/>
      <w:iCs/>
      <w:spacing w:val="-10"/>
      <w:sz w:val="17"/>
      <w:szCs w:val="17"/>
      <w:u w:val="single"/>
    </w:rPr>
  </w:style>
  <w:style w:type="character" w:customStyle="1" w:styleId="111415pt3180pt43294pt">
    <w:name w:val="Îñíîâíîé òåêñò (11) + 141.5 pt31.Íå êóðñèâ8.Èíòåðâàë 0 pt43.Îñíîâíîé òåêñò (29) + 4 pt"/>
    <w:uiPriority w:val="99"/>
    <w:rsid w:val="00811C95"/>
    <w:rPr>
      <w:rFonts w:ascii="Microsoft Sans Serif" w:hAnsi="Microsoft Sans Serif" w:cs="Microsoft Sans Serif"/>
      <w:i/>
      <w:iCs/>
      <w:spacing w:val="-10"/>
      <w:sz w:val="29"/>
      <w:szCs w:val="29"/>
    </w:rPr>
  </w:style>
  <w:style w:type="character" w:customStyle="1" w:styleId="80pt22">
    <w:name w:val="Îñíîâíîé òåêñò + Êóðñèâ8.Èíòåðâàë 0 pt22"/>
    <w:uiPriority w:val="99"/>
    <w:rsid w:val="00811C95"/>
    <w:rPr>
      <w:rFonts w:ascii="Arial" w:hAnsi="Arial" w:cs="Arial"/>
      <w:i/>
      <w:iCs/>
      <w:spacing w:val="-10"/>
      <w:sz w:val="17"/>
      <w:szCs w:val="17"/>
    </w:rPr>
  </w:style>
  <w:style w:type="character" w:customStyle="1" w:styleId="2250pt21">
    <w:name w:val="Îñíîâíîé òåêñò (22) + Íå êóðñèâ5.Èíòåðâàë 0 pt21"/>
    <w:uiPriority w:val="99"/>
    <w:rsid w:val="00811C95"/>
    <w:rPr>
      <w:rFonts w:ascii="Arial" w:hAnsi="Arial" w:cs="Arial"/>
      <w:i/>
      <w:iCs/>
      <w:spacing w:val="0"/>
      <w:sz w:val="17"/>
      <w:szCs w:val="17"/>
    </w:rPr>
  </w:style>
  <w:style w:type="character" w:customStyle="1" w:styleId="2240">
    <w:name w:val="Îñíîâíîé òåêñò (22)4"/>
    <w:uiPriority w:val="99"/>
    <w:rsid w:val="00811C95"/>
    <w:rPr>
      <w:rFonts w:ascii="Arial" w:hAnsi="Arial" w:cs="Arial"/>
      <w:i/>
      <w:iCs/>
      <w:spacing w:val="-10"/>
      <w:sz w:val="17"/>
      <w:szCs w:val="17"/>
      <w:u w:val="single"/>
    </w:rPr>
  </w:style>
  <w:style w:type="character" w:customStyle="1" w:styleId="7Tahoma925pt20">
    <w:name w:val="Çàãîëîâîê ¹7 + Tahoma.92.5 pt20"/>
    <w:uiPriority w:val="99"/>
    <w:rsid w:val="00811C95"/>
    <w:rPr>
      <w:rFonts w:ascii="Tahoma" w:hAnsi="Tahoma" w:cs="Tahoma"/>
      <w:sz w:val="19"/>
      <w:szCs w:val="19"/>
    </w:rPr>
  </w:style>
  <w:style w:type="character" w:customStyle="1" w:styleId="7e">
    <w:name w:val="Çàãîëîâîê ¹7_"/>
    <w:uiPriority w:val="99"/>
    <w:rsid w:val="00811C95"/>
    <w:rPr>
      <w:rFonts w:ascii="Arial" w:hAnsi="Arial" w:cs="Arial"/>
      <w:sz w:val="16"/>
      <w:szCs w:val="16"/>
    </w:rPr>
  </w:style>
  <w:style w:type="character" w:customStyle="1" w:styleId="2230">
    <w:name w:val="Îñíîâíîé òåêñò (22)3"/>
    <w:uiPriority w:val="99"/>
    <w:rsid w:val="00811C95"/>
    <w:rPr>
      <w:rFonts w:ascii="Arial" w:hAnsi="Arial" w:cs="Arial"/>
      <w:i/>
      <w:iCs/>
      <w:spacing w:val="-10"/>
      <w:sz w:val="17"/>
      <w:szCs w:val="17"/>
      <w:u w:val="single"/>
    </w:rPr>
  </w:style>
  <w:style w:type="character" w:customStyle="1" w:styleId="70pt20">
    <w:name w:val="Îñíîâíîé òåêñò + Êóðñèâ7.Èíòåðâàë 0 pt20"/>
    <w:uiPriority w:val="99"/>
    <w:rsid w:val="00811C95"/>
    <w:rPr>
      <w:rFonts w:ascii="Arial" w:hAnsi="Arial" w:cs="Arial"/>
      <w:i/>
      <w:iCs/>
      <w:spacing w:val="-10"/>
      <w:sz w:val="17"/>
      <w:szCs w:val="17"/>
    </w:rPr>
  </w:style>
  <w:style w:type="character" w:customStyle="1" w:styleId="2240pt19">
    <w:name w:val="Îñíîâíîé òåêñò (22) + Íå êóðñèâ4.Èíòåðâàë 0 pt19"/>
    <w:uiPriority w:val="99"/>
    <w:rsid w:val="00811C95"/>
    <w:rPr>
      <w:rFonts w:ascii="Arial" w:hAnsi="Arial" w:cs="Arial"/>
      <w:i/>
      <w:iCs/>
      <w:spacing w:val="0"/>
      <w:sz w:val="17"/>
      <w:szCs w:val="17"/>
    </w:rPr>
  </w:style>
  <w:style w:type="character" w:customStyle="1" w:styleId="0pt186">
    <w:name w:val="Îñíîâíîé òåêñò + Êóðñèâ.Èíòåðâàë 0 pt18.Îñíîâíîé òåêñò + Êóðñèâ6"/>
    <w:uiPriority w:val="99"/>
    <w:rsid w:val="00811C95"/>
    <w:rPr>
      <w:rFonts w:ascii="Arial" w:hAnsi="Arial" w:cs="Arial"/>
      <w:i/>
      <w:iCs/>
      <w:spacing w:val="-10"/>
      <w:sz w:val="16"/>
      <w:szCs w:val="16"/>
    </w:rPr>
  </w:style>
  <w:style w:type="character" w:customStyle="1" w:styleId="SimHei735pt19">
    <w:name w:val="Îñíîâíîé òåêñò + SimHei.73.5 pt19"/>
    <w:uiPriority w:val="99"/>
    <w:rsid w:val="00811C95"/>
    <w:rPr>
      <w:rFonts w:ascii="SimHei" w:eastAsia="SimHei" w:hAnsi="Microsoft Sans Serif" w:cs="SimHei"/>
      <w:spacing w:val="0"/>
      <w:sz w:val="15"/>
      <w:szCs w:val="15"/>
    </w:rPr>
  </w:style>
  <w:style w:type="character" w:customStyle="1" w:styleId="2220">
    <w:name w:val="Îñíîâíîé òåêñò (22)2"/>
    <w:uiPriority w:val="99"/>
    <w:rsid w:val="00811C95"/>
    <w:rPr>
      <w:rFonts w:ascii="Arial" w:hAnsi="Arial" w:cs="Arial"/>
      <w:i/>
      <w:iCs/>
      <w:spacing w:val="-10"/>
      <w:sz w:val="17"/>
      <w:szCs w:val="17"/>
      <w:u w:val="single"/>
    </w:rPr>
  </w:style>
  <w:style w:type="character" w:customStyle="1" w:styleId="295pt232-1pt67TimesNewRoman910pt1422322SimHei725pt13">
    <w:name w:val="Îñíîâíîé òåêñò (2) + 9.5 pt23.Íå êóðñèâ2.Èíòåðâàë -1 pt6.Îñíîâíîé òåêñò (7) + Times New Roman.91.Èíòåðâàë 0 pt14.Îñíîâíîé òåêñò (22) + Íå êóðñèâ3.Îñíîâíîé òåêñò (22) + SimHei.72.5 pt13"/>
    <w:uiPriority w:val="99"/>
    <w:rsid w:val="00811C95"/>
    <w:rPr>
      <w:rFonts w:ascii="Microsoft Sans Serif" w:hAnsi="Microsoft Sans Serif" w:cs="Microsoft Sans Serif"/>
      <w:i/>
      <w:iCs/>
      <w:spacing w:val="-20"/>
      <w:sz w:val="19"/>
      <w:szCs w:val="19"/>
    </w:rPr>
  </w:style>
  <w:style w:type="character" w:customStyle="1" w:styleId="70pt13222">
    <w:name w:val="Îñíîâíîé òåêñò (7) + Íå êóðñèâ.Èíòåðâàë 0 pt13.Îñíîâíîé òåêñò (22) + Íå êóðñèâ2"/>
    <w:uiPriority w:val="99"/>
    <w:rsid w:val="00811C95"/>
    <w:rPr>
      <w:rFonts w:ascii="Arial" w:hAnsi="Arial" w:cs="Arial"/>
      <w:i/>
      <w:iCs/>
      <w:spacing w:val="0"/>
      <w:sz w:val="16"/>
      <w:szCs w:val="16"/>
    </w:rPr>
  </w:style>
  <w:style w:type="paragraph" w:customStyle="1" w:styleId="3fb">
    <w:name w:val="Çàãîëîâîê ¹3"/>
    <w:basedOn w:val="a"/>
    <w:uiPriority w:val="99"/>
    <w:rsid w:val="00811C95"/>
    <w:pPr>
      <w:shd w:val="clear" w:color="auto" w:fill="FFFFFF"/>
      <w:autoSpaceDE w:val="0"/>
      <w:autoSpaceDN w:val="0"/>
      <w:adjustRightInd w:val="0"/>
      <w:spacing w:before="5460" w:after="0" w:line="240" w:lineRule="atLeast"/>
    </w:pPr>
    <w:rPr>
      <w:rFonts w:ascii="Arial Narrow" w:hAnsi="Arial Narrow" w:cs="Arial Narrow"/>
      <w:b/>
      <w:bCs/>
      <w:noProof/>
      <w:spacing w:val="-10"/>
      <w:sz w:val="104"/>
      <w:szCs w:val="104"/>
      <w:lang w:val="en-US"/>
    </w:rPr>
  </w:style>
  <w:style w:type="paragraph" w:customStyle="1" w:styleId="1410">
    <w:name w:val="Îñíîâíîé òåêñò (14)1"/>
    <w:basedOn w:val="a"/>
    <w:uiPriority w:val="99"/>
    <w:rsid w:val="00811C95"/>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164">
    <w:name w:val="Îñíîâíîé òåêñò (16)"/>
    <w:basedOn w:val="a"/>
    <w:uiPriority w:val="99"/>
    <w:rsid w:val="00811C95"/>
    <w:pPr>
      <w:shd w:val="clear" w:color="auto" w:fill="FFFFFF"/>
      <w:autoSpaceDE w:val="0"/>
      <w:autoSpaceDN w:val="0"/>
      <w:adjustRightInd w:val="0"/>
      <w:spacing w:after="0" w:line="240" w:lineRule="atLeast"/>
      <w:ind w:hanging="280"/>
    </w:pPr>
    <w:rPr>
      <w:rFonts w:ascii="Microsoft Sans Serif" w:hAnsi="Microsoft Sans Serif" w:cs="Microsoft Sans Serif"/>
      <w:noProof/>
      <w:sz w:val="19"/>
      <w:szCs w:val="19"/>
      <w:lang w:val="en-US"/>
    </w:rPr>
  </w:style>
  <w:style w:type="paragraph" w:customStyle="1" w:styleId="afffff2">
    <w:name w:val="Ïîäïèñü ê òàáëèöå"/>
    <w:basedOn w:val="a"/>
    <w:uiPriority w:val="99"/>
    <w:rsid w:val="00811C95"/>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paragraph" w:customStyle="1" w:styleId="193">
    <w:name w:val="Îñíîâíîé òåêñò (19)"/>
    <w:basedOn w:val="a"/>
    <w:uiPriority w:val="99"/>
    <w:rsid w:val="00811C95"/>
    <w:pPr>
      <w:shd w:val="clear" w:color="auto" w:fill="FFFFFF"/>
      <w:autoSpaceDE w:val="0"/>
      <w:autoSpaceDN w:val="0"/>
      <w:adjustRightInd w:val="0"/>
      <w:spacing w:after="120" w:line="240" w:lineRule="atLeast"/>
    </w:pPr>
    <w:rPr>
      <w:rFonts w:ascii="Microsoft Sans Serif" w:hAnsi="Microsoft Sans Serif" w:cs="Microsoft Sans Serif"/>
      <w:i/>
      <w:iCs/>
      <w:noProof/>
      <w:sz w:val="24"/>
      <w:szCs w:val="24"/>
      <w:lang w:val="en-US"/>
    </w:rPr>
  </w:style>
  <w:style w:type="paragraph" w:customStyle="1" w:styleId="216">
    <w:name w:val="Îñíîâíîé òåêñò (2)1"/>
    <w:basedOn w:val="a"/>
    <w:uiPriority w:val="99"/>
    <w:rsid w:val="00811C95"/>
    <w:pPr>
      <w:shd w:val="clear" w:color="auto" w:fill="FFFFFF"/>
      <w:autoSpaceDE w:val="0"/>
      <w:autoSpaceDN w:val="0"/>
      <w:adjustRightInd w:val="0"/>
      <w:spacing w:after="0" w:line="240" w:lineRule="atLeast"/>
    </w:pPr>
    <w:rPr>
      <w:rFonts w:ascii="Microsoft Sans Serif" w:hAnsi="Microsoft Sans Serif" w:cs="Microsoft Sans Serif"/>
      <w:i/>
      <w:iCs/>
      <w:noProof/>
      <w:spacing w:val="20"/>
      <w:sz w:val="23"/>
      <w:szCs w:val="23"/>
      <w:lang w:val="en-US"/>
    </w:rPr>
  </w:style>
  <w:style w:type="paragraph" w:customStyle="1" w:styleId="1fa">
    <w:name w:val="Çàãîëîâîê ¹1"/>
    <w:basedOn w:val="a"/>
    <w:uiPriority w:val="99"/>
    <w:rsid w:val="00811C95"/>
    <w:pPr>
      <w:shd w:val="clear" w:color="auto" w:fill="FFFFFF"/>
      <w:autoSpaceDE w:val="0"/>
      <w:autoSpaceDN w:val="0"/>
      <w:adjustRightInd w:val="0"/>
      <w:spacing w:after="720" w:line="240" w:lineRule="atLeast"/>
      <w:ind w:firstLine="540"/>
      <w:jc w:val="both"/>
    </w:pPr>
    <w:rPr>
      <w:rFonts w:ascii="Arial Narrow" w:hAnsi="Arial Narrow" w:cs="Arial Narrow"/>
      <w:b/>
      <w:bCs/>
      <w:noProof/>
      <w:spacing w:val="-10"/>
      <w:sz w:val="104"/>
      <w:szCs w:val="104"/>
      <w:lang w:val="en-US"/>
    </w:rPr>
  </w:style>
  <w:style w:type="paragraph" w:customStyle="1" w:styleId="158">
    <w:name w:val="Çàãîëîâîê ¹15"/>
    <w:basedOn w:val="a"/>
    <w:uiPriority w:val="99"/>
    <w:rsid w:val="00811C95"/>
    <w:pPr>
      <w:shd w:val="clear" w:color="auto" w:fill="FFFFFF"/>
      <w:autoSpaceDE w:val="0"/>
      <w:autoSpaceDN w:val="0"/>
      <w:adjustRightInd w:val="0"/>
      <w:spacing w:before="360" w:after="120" w:line="240" w:lineRule="atLeast"/>
    </w:pPr>
    <w:rPr>
      <w:rFonts w:ascii="Microsoft Sans Serif" w:hAnsi="Microsoft Sans Serif" w:cs="Microsoft Sans Serif"/>
      <w:b/>
      <w:bCs/>
      <w:noProof/>
      <w:sz w:val="32"/>
      <w:szCs w:val="32"/>
      <w:lang w:val="en-US"/>
    </w:rPr>
  </w:style>
  <w:style w:type="paragraph" w:customStyle="1" w:styleId="1fb">
    <w:name w:val="Ïîäïèñü ê êàðòèíêå1"/>
    <w:basedOn w:val="a"/>
    <w:uiPriority w:val="99"/>
    <w:rsid w:val="00811C95"/>
    <w:pPr>
      <w:shd w:val="clear" w:color="auto" w:fill="FFFFFF"/>
      <w:autoSpaceDE w:val="0"/>
      <w:autoSpaceDN w:val="0"/>
      <w:adjustRightInd w:val="0"/>
      <w:spacing w:after="0" w:line="240" w:lineRule="atLeast"/>
    </w:pPr>
    <w:rPr>
      <w:rFonts w:ascii="Franklin Gothic Demi" w:hAnsi="Franklin Gothic Demi" w:cs="Franklin Gothic Demi"/>
      <w:noProof/>
      <w:sz w:val="26"/>
      <w:szCs w:val="26"/>
      <w:lang w:val="en-US"/>
    </w:rPr>
  </w:style>
  <w:style w:type="paragraph" w:customStyle="1" w:styleId="129">
    <w:name w:val="Ïîäïèñü ê êàðòèíêå (12)"/>
    <w:basedOn w:val="a"/>
    <w:uiPriority w:val="99"/>
    <w:rsid w:val="00811C95"/>
    <w:pPr>
      <w:shd w:val="clear" w:color="auto" w:fill="FFFFFF"/>
      <w:autoSpaceDE w:val="0"/>
      <w:autoSpaceDN w:val="0"/>
      <w:adjustRightInd w:val="0"/>
      <w:spacing w:after="0" w:line="330" w:lineRule="exact"/>
    </w:pPr>
    <w:rPr>
      <w:rFonts w:ascii="Microsoft Sans Serif" w:hAnsi="Microsoft Sans Serif" w:cs="Microsoft Sans Serif"/>
      <w:i/>
      <w:iCs/>
      <w:noProof/>
      <w:sz w:val="26"/>
      <w:szCs w:val="26"/>
      <w:lang w:val="en-US"/>
    </w:rPr>
  </w:style>
  <w:style w:type="paragraph" w:customStyle="1" w:styleId="7f">
    <w:name w:val="Ïîäïèñü ê êàðòèíêå (7)"/>
    <w:basedOn w:val="a"/>
    <w:uiPriority w:val="99"/>
    <w:rsid w:val="00811C95"/>
    <w:pPr>
      <w:shd w:val="clear" w:color="auto" w:fill="FFFFFF"/>
      <w:autoSpaceDE w:val="0"/>
      <w:autoSpaceDN w:val="0"/>
      <w:adjustRightInd w:val="0"/>
      <w:spacing w:after="0" w:line="330" w:lineRule="exact"/>
      <w:jc w:val="both"/>
    </w:pPr>
    <w:rPr>
      <w:rFonts w:ascii="Arial Narrow" w:hAnsi="Arial Narrow" w:cs="Arial Narrow"/>
      <w:i/>
      <w:iCs/>
      <w:noProof/>
      <w:spacing w:val="-10"/>
      <w:sz w:val="28"/>
      <w:szCs w:val="28"/>
      <w:lang w:val="en-US"/>
    </w:rPr>
  </w:style>
  <w:style w:type="paragraph" w:customStyle="1" w:styleId="262">
    <w:name w:val="Îñíîâíîé òåêñò (26)"/>
    <w:basedOn w:val="a"/>
    <w:uiPriority w:val="99"/>
    <w:rsid w:val="00811C95"/>
    <w:pPr>
      <w:shd w:val="clear" w:color="auto" w:fill="FFFFFF"/>
      <w:autoSpaceDE w:val="0"/>
      <w:autoSpaceDN w:val="0"/>
      <w:adjustRightInd w:val="0"/>
      <w:spacing w:after="0" w:line="240" w:lineRule="atLeast"/>
    </w:pPr>
    <w:rPr>
      <w:rFonts w:ascii="Microsoft Sans Serif" w:hAnsi="Microsoft Sans Serif" w:cs="Microsoft Sans Serif"/>
      <w:b/>
      <w:bCs/>
      <w:noProof/>
      <w:sz w:val="26"/>
      <w:szCs w:val="26"/>
      <w:lang w:val="en-US"/>
    </w:rPr>
  </w:style>
  <w:style w:type="paragraph" w:customStyle="1" w:styleId="811">
    <w:name w:val="Îñíîâíîé òåêñò (8)1"/>
    <w:basedOn w:val="a"/>
    <w:uiPriority w:val="99"/>
    <w:rsid w:val="00811C95"/>
    <w:pPr>
      <w:shd w:val="clear" w:color="auto" w:fill="FFFFFF"/>
      <w:autoSpaceDE w:val="0"/>
      <w:autoSpaceDN w:val="0"/>
      <w:adjustRightInd w:val="0"/>
      <w:spacing w:before="60" w:after="0" w:line="293" w:lineRule="exact"/>
      <w:jc w:val="both"/>
    </w:pPr>
    <w:rPr>
      <w:rFonts w:ascii="Arial Narrow" w:hAnsi="Arial Narrow" w:cs="Arial Narrow"/>
      <w:i/>
      <w:iCs/>
      <w:noProof/>
      <w:spacing w:val="-10"/>
      <w:sz w:val="28"/>
      <w:szCs w:val="28"/>
      <w:lang w:val="en-US"/>
    </w:rPr>
  </w:style>
  <w:style w:type="paragraph" w:customStyle="1" w:styleId="afffff3">
    <w:name w:val="Îãëàâëåíèå"/>
    <w:basedOn w:val="a"/>
    <w:uiPriority w:val="99"/>
    <w:rsid w:val="00811C95"/>
    <w:pPr>
      <w:shd w:val="clear" w:color="auto" w:fill="FFFFFF"/>
      <w:autoSpaceDE w:val="0"/>
      <w:autoSpaceDN w:val="0"/>
      <w:adjustRightInd w:val="0"/>
      <w:spacing w:after="0" w:line="353" w:lineRule="exact"/>
      <w:jc w:val="both"/>
    </w:pPr>
    <w:rPr>
      <w:rFonts w:ascii="Microsoft Sans Serif" w:hAnsi="Microsoft Sans Serif" w:cs="Microsoft Sans Serif"/>
      <w:noProof/>
      <w:spacing w:val="-10"/>
      <w:sz w:val="24"/>
      <w:szCs w:val="24"/>
      <w:lang w:val="en-US"/>
    </w:rPr>
  </w:style>
  <w:style w:type="paragraph" w:customStyle="1" w:styleId="2fd">
    <w:name w:val="Çàãîëîâîê ¹2"/>
    <w:basedOn w:val="a"/>
    <w:uiPriority w:val="99"/>
    <w:rsid w:val="00811C95"/>
    <w:pPr>
      <w:shd w:val="clear" w:color="auto" w:fill="FFFFFF"/>
      <w:autoSpaceDE w:val="0"/>
      <w:autoSpaceDN w:val="0"/>
      <w:adjustRightInd w:val="0"/>
      <w:spacing w:before="120" w:after="0" w:line="240" w:lineRule="atLeast"/>
    </w:pPr>
    <w:rPr>
      <w:rFonts w:ascii="Arial Narrow" w:hAnsi="Arial Narrow" w:cs="Arial Narrow"/>
      <w:b/>
      <w:bCs/>
      <w:noProof/>
      <w:sz w:val="56"/>
      <w:szCs w:val="56"/>
      <w:lang w:val="en-US"/>
    </w:rPr>
  </w:style>
  <w:style w:type="paragraph" w:customStyle="1" w:styleId="217">
    <w:name w:val="Ïîäïèñü ê òàáëèöå (2)1"/>
    <w:basedOn w:val="a"/>
    <w:uiPriority w:val="99"/>
    <w:rsid w:val="00811C95"/>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284">
    <w:name w:val="Îñíîâíîé òåêñò (28)"/>
    <w:basedOn w:val="a"/>
    <w:uiPriority w:val="99"/>
    <w:rsid w:val="00811C95"/>
    <w:pPr>
      <w:shd w:val="clear" w:color="auto" w:fill="FFFFFF"/>
      <w:autoSpaceDE w:val="0"/>
      <w:autoSpaceDN w:val="0"/>
      <w:adjustRightInd w:val="0"/>
      <w:spacing w:after="0" w:line="182" w:lineRule="exact"/>
    </w:pPr>
    <w:rPr>
      <w:rFonts w:ascii="Arial" w:hAnsi="Arial" w:cs="Arial"/>
      <w:noProof/>
      <w:sz w:val="14"/>
      <w:szCs w:val="14"/>
      <w:lang w:val="en-US"/>
    </w:rPr>
  </w:style>
  <w:style w:type="paragraph" w:customStyle="1" w:styleId="711">
    <w:name w:val="Îñíîâíîé òåêñò (7)1"/>
    <w:basedOn w:val="a"/>
    <w:uiPriority w:val="99"/>
    <w:rsid w:val="00811C95"/>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paragraph" w:customStyle="1" w:styleId="1510">
    <w:name w:val="Îñíîâíîé òåêñò (15)1"/>
    <w:basedOn w:val="a"/>
    <w:uiPriority w:val="99"/>
    <w:rsid w:val="00811C95"/>
    <w:pPr>
      <w:shd w:val="clear" w:color="auto" w:fill="FFFFFF"/>
      <w:autoSpaceDE w:val="0"/>
      <w:autoSpaceDN w:val="0"/>
      <w:adjustRightInd w:val="0"/>
      <w:spacing w:after="480" w:line="240" w:lineRule="atLeast"/>
    </w:pPr>
    <w:rPr>
      <w:rFonts w:ascii="Garamond" w:hAnsi="Garamond" w:cs="Garamond"/>
      <w:noProof/>
      <w:sz w:val="13"/>
      <w:szCs w:val="13"/>
      <w:lang w:val="en-US"/>
    </w:rPr>
  </w:style>
  <w:style w:type="paragraph" w:customStyle="1" w:styleId="319">
    <w:name w:val="Ïîäïèñü ê òàáëèöå (3)1"/>
    <w:basedOn w:val="a"/>
    <w:uiPriority w:val="99"/>
    <w:rsid w:val="00811C95"/>
    <w:pPr>
      <w:shd w:val="clear" w:color="auto" w:fill="FFFFFF"/>
      <w:autoSpaceDE w:val="0"/>
      <w:autoSpaceDN w:val="0"/>
      <w:adjustRightInd w:val="0"/>
      <w:spacing w:after="0" w:line="240" w:lineRule="atLeast"/>
    </w:pPr>
    <w:rPr>
      <w:rFonts w:ascii="Arial" w:hAnsi="Arial" w:cs="Arial"/>
      <w:i/>
      <w:iCs/>
      <w:noProof/>
      <w:spacing w:val="-10"/>
      <w:sz w:val="16"/>
      <w:szCs w:val="16"/>
      <w:lang w:val="en-US"/>
    </w:rPr>
  </w:style>
  <w:style w:type="paragraph" w:customStyle="1" w:styleId="411">
    <w:name w:val="Îñíîâíîé òåêñò (4)1"/>
    <w:basedOn w:val="a"/>
    <w:uiPriority w:val="99"/>
    <w:rsid w:val="00811C95"/>
    <w:pPr>
      <w:shd w:val="clear" w:color="auto" w:fill="FFFFFF"/>
      <w:autoSpaceDE w:val="0"/>
      <w:autoSpaceDN w:val="0"/>
      <w:adjustRightInd w:val="0"/>
      <w:spacing w:after="0" w:line="149" w:lineRule="exact"/>
      <w:ind w:hanging="480"/>
    </w:pPr>
    <w:rPr>
      <w:rFonts w:ascii="Arial" w:hAnsi="Arial" w:cs="Arial"/>
      <w:b/>
      <w:bCs/>
      <w:noProof/>
      <w:sz w:val="13"/>
      <w:szCs w:val="13"/>
      <w:lang w:val="en-US"/>
    </w:rPr>
  </w:style>
  <w:style w:type="paragraph" w:customStyle="1" w:styleId="4f2">
    <w:name w:val="Çàãîëîâîê ¹4"/>
    <w:basedOn w:val="a"/>
    <w:uiPriority w:val="99"/>
    <w:rsid w:val="00811C95"/>
    <w:pPr>
      <w:shd w:val="clear" w:color="auto" w:fill="FFFFFF"/>
      <w:autoSpaceDE w:val="0"/>
      <w:autoSpaceDN w:val="0"/>
      <w:adjustRightInd w:val="0"/>
      <w:spacing w:before="300" w:after="300" w:line="240" w:lineRule="atLeast"/>
      <w:jc w:val="right"/>
    </w:pPr>
    <w:rPr>
      <w:rFonts w:ascii="Tahoma" w:hAnsi="Tahoma" w:cs="Tahoma"/>
      <w:noProof/>
      <w:sz w:val="50"/>
      <w:szCs w:val="50"/>
      <w:lang w:val="en-US"/>
    </w:rPr>
  </w:style>
  <w:style w:type="paragraph" w:customStyle="1" w:styleId="2210">
    <w:name w:val="Îñíîâíîé òåêñò (22)1"/>
    <w:basedOn w:val="a"/>
    <w:uiPriority w:val="99"/>
    <w:rsid w:val="00811C95"/>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1fc">
    <w:name w:val="Ïîäïèñü ê òàáëèöå1"/>
    <w:basedOn w:val="a"/>
    <w:uiPriority w:val="99"/>
    <w:rsid w:val="00811C95"/>
    <w:pPr>
      <w:shd w:val="clear" w:color="auto" w:fill="FFFFFF"/>
      <w:autoSpaceDE w:val="0"/>
      <w:autoSpaceDN w:val="0"/>
      <w:adjustRightInd w:val="0"/>
      <w:spacing w:after="0" w:line="240" w:lineRule="atLeast"/>
    </w:pPr>
    <w:rPr>
      <w:rFonts w:ascii="Arial" w:hAnsi="Arial" w:cs="Arial"/>
      <w:i/>
      <w:iCs/>
      <w:spacing w:val="-10"/>
      <w:sz w:val="17"/>
      <w:szCs w:val="17"/>
    </w:rPr>
  </w:style>
  <w:style w:type="paragraph" w:customStyle="1" w:styleId="7f0">
    <w:name w:val="Çàãîëîâîê ¹7"/>
    <w:basedOn w:val="a"/>
    <w:uiPriority w:val="99"/>
    <w:rsid w:val="00811C95"/>
    <w:pPr>
      <w:shd w:val="clear" w:color="auto" w:fill="FFFFFF"/>
      <w:autoSpaceDE w:val="0"/>
      <w:autoSpaceDN w:val="0"/>
      <w:adjustRightInd w:val="0"/>
      <w:spacing w:after="120" w:line="240" w:lineRule="atLeast"/>
    </w:pPr>
    <w:rPr>
      <w:rFonts w:ascii="Arial" w:hAnsi="Arial" w:cs="Arial"/>
      <w:noProof/>
      <w:sz w:val="16"/>
      <w:szCs w:val="16"/>
      <w:lang w:val="en-US"/>
    </w:rPr>
  </w:style>
  <w:style w:type="paragraph" w:customStyle="1" w:styleId="332">
    <w:name w:val="Îñíîâíîé òåêñò (33)"/>
    <w:basedOn w:val="a"/>
    <w:uiPriority w:val="99"/>
    <w:rsid w:val="00811C95"/>
    <w:pPr>
      <w:shd w:val="clear" w:color="auto" w:fill="FFFFFF"/>
      <w:autoSpaceDE w:val="0"/>
      <w:autoSpaceDN w:val="0"/>
      <w:adjustRightInd w:val="0"/>
      <w:spacing w:before="240" w:after="0" w:line="240" w:lineRule="atLeast"/>
    </w:pPr>
    <w:rPr>
      <w:rFonts w:ascii="Arial Narrow" w:hAnsi="Arial Narrow" w:cs="Arial Narrow"/>
      <w:b/>
      <w:bCs/>
      <w:noProof/>
      <w:sz w:val="57"/>
      <w:szCs w:val="57"/>
      <w:lang w:val="en-US"/>
    </w:rPr>
  </w:style>
  <w:style w:type="paragraph" w:customStyle="1" w:styleId="342">
    <w:name w:val="Îñíîâíîé òåêñò (34)"/>
    <w:basedOn w:val="a"/>
    <w:uiPriority w:val="99"/>
    <w:rsid w:val="00811C95"/>
    <w:pPr>
      <w:shd w:val="clear" w:color="auto" w:fill="FFFFFF"/>
      <w:autoSpaceDE w:val="0"/>
      <w:autoSpaceDN w:val="0"/>
      <w:adjustRightInd w:val="0"/>
      <w:spacing w:after="0" w:line="240" w:lineRule="atLeast"/>
    </w:pPr>
    <w:rPr>
      <w:rFonts w:ascii="Arial" w:hAnsi="Arial" w:cs="Arial"/>
      <w:i/>
      <w:iCs/>
      <w:noProof/>
      <w:sz w:val="8"/>
      <w:szCs w:val="8"/>
      <w:lang w:val="en-US"/>
    </w:rPr>
  </w:style>
  <w:style w:type="paragraph" w:customStyle="1" w:styleId="352">
    <w:name w:val="Îñíîâíîé òåêñò (35)"/>
    <w:basedOn w:val="a"/>
    <w:uiPriority w:val="99"/>
    <w:rsid w:val="00811C95"/>
    <w:pPr>
      <w:shd w:val="clear" w:color="auto" w:fill="FFFFFF"/>
      <w:autoSpaceDE w:val="0"/>
      <w:autoSpaceDN w:val="0"/>
      <w:adjustRightInd w:val="0"/>
      <w:spacing w:after="0" w:line="240" w:lineRule="atLeast"/>
    </w:pPr>
    <w:rPr>
      <w:rFonts w:ascii="Arial" w:hAnsi="Arial" w:cs="Arial"/>
      <w:noProof/>
      <w:sz w:val="8"/>
      <w:szCs w:val="8"/>
      <w:lang w:val="en-US"/>
    </w:rPr>
  </w:style>
  <w:style w:type="paragraph" w:customStyle="1" w:styleId="2510">
    <w:name w:val="Îñíîâíîé òåêñò (25)1"/>
    <w:basedOn w:val="a"/>
    <w:uiPriority w:val="99"/>
    <w:rsid w:val="00811C95"/>
    <w:pPr>
      <w:shd w:val="clear" w:color="auto" w:fill="FFFFFF"/>
      <w:autoSpaceDE w:val="0"/>
      <w:autoSpaceDN w:val="0"/>
      <w:adjustRightInd w:val="0"/>
      <w:spacing w:after="0" w:line="101" w:lineRule="exact"/>
      <w:jc w:val="both"/>
    </w:pPr>
    <w:rPr>
      <w:rFonts w:ascii="Arial" w:hAnsi="Arial" w:cs="Arial"/>
      <w:i/>
      <w:iCs/>
      <w:noProof/>
      <w:sz w:val="13"/>
      <w:szCs w:val="13"/>
      <w:lang w:val="en-US"/>
    </w:rPr>
  </w:style>
  <w:style w:type="paragraph" w:customStyle="1" w:styleId="97">
    <w:name w:val="Çàãîëîâîê ¹9"/>
    <w:basedOn w:val="a"/>
    <w:uiPriority w:val="99"/>
    <w:rsid w:val="00811C95"/>
    <w:pPr>
      <w:shd w:val="clear" w:color="auto" w:fill="FFFFFF"/>
      <w:autoSpaceDE w:val="0"/>
      <w:autoSpaceDN w:val="0"/>
      <w:adjustRightInd w:val="0"/>
      <w:spacing w:before="180" w:after="0" w:line="216" w:lineRule="exact"/>
      <w:ind w:firstLine="280"/>
      <w:jc w:val="both"/>
    </w:pPr>
    <w:rPr>
      <w:rFonts w:ascii="Tahoma" w:hAnsi="Tahoma" w:cs="Tahoma"/>
      <w:b/>
      <w:bCs/>
      <w:i/>
      <w:iCs/>
      <w:noProof/>
      <w:sz w:val="15"/>
      <w:szCs w:val="15"/>
      <w:lang w:val="en-US"/>
    </w:rPr>
  </w:style>
  <w:style w:type="character" w:customStyle="1" w:styleId="2fe">
    <w:name w:val="Îñíîâíîé òåêñò (2)_"/>
    <w:uiPriority w:val="99"/>
    <w:rsid w:val="00811C95"/>
    <w:rPr>
      <w:rFonts w:ascii="Arial" w:hAnsi="Arial" w:cs="Arial"/>
      <w:i/>
      <w:iCs/>
      <w:spacing w:val="-10"/>
      <w:sz w:val="16"/>
      <w:szCs w:val="16"/>
    </w:rPr>
  </w:style>
  <w:style w:type="character" w:customStyle="1" w:styleId="20pt29">
    <w:name w:val="Îñíîâíîé òåêñò (2) + Íå êóðñèâ.Èíòåðâàë 0 pt29"/>
    <w:uiPriority w:val="99"/>
    <w:rsid w:val="00811C95"/>
    <w:rPr>
      <w:rFonts w:ascii="Arial" w:hAnsi="Arial" w:cs="Arial"/>
      <w:i/>
      <w:iCs/>
      <w:spacing w:val="0"/>
      <w:sz w:val="16"/>
      <w:szCs w:val="16"/>
    </w:rPr>
  </w:style>
  <w:style w:type="character" w:customStyle="1" w:styleId="285">
    <w:name w:val="Îñíîâíîé òåêñò (2)8"/>
    <w:uiPriority w:val="99"/>
    <w:rsid w:val="00811C95"/>
    <w:rPr>
      <w:rFonts w:ascii="Arial" w:hAnsi="Arial" w:cs="Arial"/>
      <w:i/>
      <w:iCs/>
      <w:spacing w:val="-10"/>
      <w:sz w:val="16"/>
      <w:szCs w:val="16"/>
      <w:u w:val="single"/>
    </w:rPr>
  </w:style>
  <w:style w:type="character" w:customStyle="1" w:styleId="2SimHei75pt790pt28">
    <w:name w:val="Îñíîâíîé òåêñò (2) + SimHei.7.5 pt7.Íå êóðñèâ9.Èíòåðâàë 0 pt28"/>
    <w:uiPriority w:val="99"/>
    <w:rsid w:val="00811C95"/>
    <w:rPr>
      <w:rFonts w:ascii="SimHei" w:eastAsia="SimHei" w:hAnsi="Arial" w:cs="SimHei"/>
      <w:i/>
      <w:iCs/>
      <w:spacing w:val="0"/>
      <w:sz w:val="15"/>
      <w:szCs w:val="15"/>
    </w:rPr>
  </w:style>
  <w:style w:type="character" w:customStyle="1" w:styleId="273">
    <w:name w:val="Îñíîâíîé òåêñò (2)7"/>
    <w:uiPriority w:val="99"/>
    <w:rsid w:val="00811C95"/>
    <w:rPr>
      <w:rFonts w:ascii="Arial" w:hAnsi="Arial" w:cs="Arial"/>
      <w:i/>
      <w:iCs/>
      <w:spacing w:val="-10"/>
      <w:sz w:val="16"/>
      <w:szCs w:val="16"/>
      <w:u w:val="single"/>
    </w:rPr>
  </w:style>
  <w:style w:type="character" w:customStyle="1" w:styleId="263">
    <w:name w:val="Îñíîâíîé òåêñò (2)6"/>
    <w:uiPriority w:val="99"/>
    <w:rsid w:val="00811C95"/>
    <w:rPr>
      <w:rFonts w:ascii="Arial" w:hAnsi="Arial" w:cs="Arial"/>
      <w:i/>
      <w:iCs/>
      <w:spacing w:val="-10"/>
      <w:sz w:val="16"/>
      <w:szCs w:val="16"/>
      <w:u w:val="single"/>
    </w:rPr>
  </w:style>
  <w:style w:type="character" w:customStyle="1" w:styleId="110pt26">
    <w:name w:val="Îñíîâíîé òåêñò + Êóðñèâ11.Èíòåðâàë 0 pt26"/>
    <w:uiPriority w:val="99"/>
    <w:rsid w:val="00811C95"/>
    <w:rPr>
      <w:rFonts w:ascii="Arial" w:hAnsi="Arial" w:cs="Arial"/>
      <w:i/>
      <w:iCs/>
      <w:spacing w:val="-10"/>
      <w:sz w:val="16"/>
      <w:szCs w:val="16"/>
      <w:u w:val="single"/>
    </w:rPr>
  </w:style>
  <w:style w:type="character" w:customStyle="1" w:styleId="2BookmanOldStyle825pt680pt25">
    <w:name w:val="Îñíîâíîé òåêñò (2) + Bookman Old Style.82.5 pt6.Íå êóðñèâ8.Èíòåðâàë 0 pt25"/>
    <w:uiPriority w:val="99"/>
    <w:rsid w:val="00811C95"/>
    <w:rPr>
      <w:rFonts w:ascii="Bookman Old Style" w:hAnsi="Bookman Old Style" w:cs="Bookman Old Style"/>
      <w:i/>
      <w:iCs/>
      <w:spacing w:val="0"/>
      <w:sz w:val="17"/>
      <w:szCs w:val="17"/>
    </w:rPr>
  </w:style>
  <w:style w:type="character" w:customStyle="1" w:styleId="3fc">
    <w:name w:val="Çàãîëîâîê ¹3_"/>
    <w:uiPriority w:val="99"/>
    <w:rsid w:val="00811C95"/>
    <w:rPr>
      <w:rFonts w:ascii="Arial Narrow" w:hAnsi="Arial Narrow" w:cs="Arial Narrow"/>
      <w:b/>
      <w:bCs/>
      <w:i/>
      <w:iCs/>
      <w:spacing w:val="-50"/>
      <w:sz w:val="51"/>
      <w:szCs w:val="51"/>
    </w:rPr>
  </w:style>
  <w:style w:type="character" w:customStyle="1" w:styleId="3-1pt0">
    <w:name w:val="Çàãîëîâîê ¹3 + Èíòåðâàë -1 pt"/>
    <w:uiPriority w:val="99"/>
    <w:rsid w:val="00811C95"/>
    <w:rPr>
      <w:rFonts w:ascii="Arial Narrow" w:hAnsi="Arial Narrow" w:cs="Arial Narrow"/>
      <w:b/>
      <w:bCs/>
      <w:i/>
      <w:iCs/>
      <w:spacing w:val="-30"/>
      <w:sz w:val="51"/>
      <w:szCs w:val="51"/>
    </w:rPr>
  </w:style>
  <w:style w:type="character" w:customStyle="1" w:styleId="6c">
    <w:name w:val="Çàãîëîâîê ¹6_"/>
    <w:uiPriority w:val="99"/>
    <w:rsid w:val="00811C95"/>
    <w:rPr>
      <w:rFonts w:ascii="Tahoma" w:hAnsi="Tahoma" w:cs="Tahoma"/>
      <w:sz w:val="31"/>
      <w:szCs w:val="31"/>
    </w:rPr>
  </w:style>
  <w:style w:type="paragraph" w:customStyle="1" w:styleId="6d">
    <w:name w:val="Çàãîëîâîê ¹6"/>
    <w:basedOn w:val="a"/>
    <w:uiPriority w:val="99"/>
    <w:rsid w:val="00811C95"/>
    <w:pPr>
      <w:shd w:val="clear" w:color="auto" w:fill="FFFFFF"/>
      <w:autoSpaceDE w:val="0"/>
      <w:autoSpaceDN w:val="0"/>
      <w:adjustRightInd w:val="0"/>
      <w:spacing w:after="60" w:line="302" w:lineRule="exact"/>
      <w:jc w:val="center"/>
    </w:pPr>
    <w:rPr>
      <w:rFonts w:ascii="Tahoma" w:hAnsi="Tahoma" w:cs="Tahoma"/>
      <w:noProof/>
      <w:sz w:val="31"/>
      <w:szCs w:val="31"/>
      <w:lang w:val="en-US"/>
    </w:rPr>
  </w:style>
  <w:style w:type="character" w:customStyle="1" w:styleId="264">
    <w:name w:val="Îñíîâíîé òåêñò (26)_"/>
    <w:uiPriority w:val="99"/>
    <w:rsid w:val="00811C95"/>
    <w:rPr>
      <w:rFonts w:ascii="Bookman Old Style" w:hAnsi="Bookman Old Style" w:cs="Bookman Old Style"/>
      <w:sz w:val="9"/>
      <w:szCs w:val="9"/>
    </w:rPr>
  </w:style>
  <w:style w:type="character" w:customStyle="1" w:styleId="280pt24">
    <w:name w:val="Îñíîâíîé òåêñò (2) + Íå êóðñèâ8.Èíòåðâàë 0 pt24"/>
    <w:uiPriority w:val="99"/>
    <w:rsid w:val="00811C95"/>
    <w:rPr>
      <w:rFonts w:ascii="Arial" w:hAnsi="Arial" w:cs="Arial"/>
      <w:i/>
      <w:iCs/>
      <w:spacing w:val="0"/>
      <w:sz w:val="16"/>
      <w:szCs w:val="16"/>
    </w:rPr>
  </w:style>
  <w:style w:type="character" w:customStyle="1" w:styleId="2SimHei2715pt350pt23">
    <w:name w:val="Îñíîâíîé òåêñò (2) + SimHei2.71.5 pt3.Íå êóðñèâ5.Èíòåðâàë 0 pt23"/>
    <w:uiPriority w:val="99"/>
    <w:rsid w:val="00811C95"/>
    <w:rPr>
      <w:rFonts w:ascii="SimHei" w:eastAsia="SimHei" w:hAnsi="Arial" w:cs="SimHei"/>
      <w:i/>
      <w:iCs/>
      <w:spacing w:val="0"/>
      <w:sz w:val="15"/>
      <w:szCs w:val="15"/>
    </w:rPr>
  </w:style>
  <w:style w:type="character" w:customStyle="1" w:styleId="254">
    <w:name w:val="Îñíîâíîé òåêñò (2)5"/>
    <w:uiPriority w:val="99"/>
    <w:rsid w:val="00811C95"/>
    <w:rPr>
      <w:rFonts w:ascii="Arial" w:hAnsi="Arial" w:cs="Arial"/>
      <w:i/>
      <w:iCs/>
      <w:spacing w:val="-10"/>
      <w:sz w:val="16"/>
      <w:szCs w:val="16"/>
      <w:u w:val="single"/>
    </w:rPr>
  </w:style>
  <w:style w:type="character" w:customStyle="1" w:styleId="270pt22">
    <w:name w:val="Îñíîâíîé òåêñò (2) + Íå êóðñèâ7.Èíòåðâàë 0 pt22"/>
    <w:uiPriority w:val="99"/>
    <w:rsid w:val="00811C95"/>
    <w:rPr>
      <w:rFonts w:ascii="Arial" w:hAnsi="Arial" w:cs="Arial"/>
      <w:i/>
      <w:iCs/>
      <w:spacing w:val="0"/>
      <w:sz w:val="16"/>
      <w:szCs w:val="16"/>
    </w:rPr>
  </w:style>
  <w:style w:type="character" w:customStyle="1" w:styleId="2SimHei17pt40pt21">
    <w:name w:val="Îñíîâíîé òåêñò (2) + SimHei1.7 pt.Íå êóðñèâ4.Èíòåðâàë 0 pt21"/>
    <w:uiPriority w:val="99"/>
    <w:rsid w:val="00811C95"/>
    <w:rPr>
      <w:rFonts w:ascii="SimHei" w:eastAsia="SimHei" w:hAnsi="Arial" w:cs="SimHei"/>
      <w:i/>
      <w:iCs/>
      <w:spacing w:val="0"/>
      <w:sz w:val="14"/>
      <w:szCs w:val="14"/>
    </w:rPr>
  </w:style>
  <w:style w:type="character" w:customStyle="1" w:styleId="244">
    <w:name w:val="Îñíîâíîé òåêñò (2)4"/>
    <w:uiPriority w:val="99"/>
    <w:rsid w:val="00811C95"/>
    <w:rPr>
      <w:rFonts w:ascii="Arial" w:hAnsi="Arial" w:cs="Arial"/>
      <w:i/>
      <w:iCs/>
      <w:spacing w:val="-10"/>
      <w:sz w:val="16"/>
      <w:szCs w:val="16"/>
      <w:u w:val="single"/>
    </w:rPr>
  </w:style>
  <w:style w:type="character" w:customStyle="1" w:styleId="236">
    <w:name w:val="Îñíîâíîé òåêñò (2)3"/>
    <w:uiPriority w:val="99"/>
    <w:rsid w:val="00811C95"/>
    <w:rPr>
      <w:rFonts w:ascii="Arial" w:hAnsi="Arial" w:cs="Arial"/>
      <w:i/>
      <w:iCs/>
      <w:spacing w:val="-10"/>
      <w:sz w:val="16"/>
      <w:szCs w:val="16"/>
      <w:u w:val="single"/>
    </w:rPr>
  </w:style>
  <w:style w:type="character" w:customStyle="1" w:styleId="260pt20">
    <w:name w:val="Îñíîâíîé òåêñò (2) + Íå êóðñèâ6.Èíòåðâàë 0 pt20"/>
    <w:uiPriority w:val="99"/>
    <w:rsid w:val="00811C95"/>
    <w:rPr>
      <w:rFonts w:ascii="Arial" w:hAnsi="Arial" w:cs="Arial"/>
      <w:i/>
      <w:iCs/>
      <w:spacing w:val="0"/>
      <w:sz w:val="16"/>
      <w:szCs w:val="16"/>
    </w:rPr>
  </w:style>
  <w:style w:type="character" w:customStyle="1" w:styleId="228">
    <w:name w:val="Îñíîâíîé òåêñò (2)2"/>
    <w:uiPriority w:val="99"/>
    <w:rsid w:val="00811C95"/>
    <w:rPr>
      <w:rFonts w:ascii="Arial" w:hAnsi="Arial" w:cs="Arial"/>
      <w:i/>
      <w:iCs/>
      <w:spacing w:val="-10"/>
      <w:sz w:val="16"/>
      <w:szCs w:val="16"/>
      <w:u w:val="single"/>
    </w:rPr>
  </w:style>
  <w:style w:type="character" w:customStyle="1" w:styleId="9a">
    <w:name w:val="Îñíîâíîé òåêñò (9)_"/>
    <w:uiPriority w:val="99"/>
    <w:rsid w:val="00811C95"/>
    <w:rPr>
      <w:rFonts w:ascii="Arial" w:hAnsi="Arial" w:cs="Arial"/>
      <w:i/>
      <w:iCs/>
      <w:sz w:val="14"/>
      <w:szCs w:val="14"/>
    </w:rPr>
  </w:style>
  <w:style w:type="paragraph" w:customStyle="1" w:styleId="912">
    <w:name w:val="Îñíîâíîé òåêñò (9)1"/>
    <w:basedOn w:val="a"/>
    <w:uiPriority w:val="99"/>
    <w:rsid w:val="00811C95"/>
    <w:pPr>
      <w:shd w:val="clear" w:color="auto" w:fill="FFFFFF"/>
      <w:autoSpaceDE w:val="0"/>
      <w:autoSpaceDN w:val="0"/>
      <w:adjustRightInd w:val="0"/>
      <w:spacing w:after="0" w:line="148" w:lineRule="exact"/>
      <w:ind w:hanging="2020"/>
    </w:pPr>
    <w:rPr>
      <w:rFonts w:ascii="Arial" w:hAnsi="Arial" w:cs="Arial"/>
      <w:i/>
      <w:iCs/>
      <w:noProof/>
      <w:sz w:val="14"/>
      <w:szCs w:val="14"/>
      <w:lang w:val="en-US"/>
    </w:rPr>
  </w:style>
  <w:style w:type="character" w:customStyle="1" w:styleId="5f0">
    <w:name w:val="Çàãîëîâîê ¹5_"/>
    <w:uiPriority w:val="99"/>
    <w:rsid w:val="00811C95"/>
    <w:rPr>
      <w:rFonts w:ascii="Tahoma" w:hAnsi="Tahoma" w:cs="Tahoma"/>
      <w:sz w:val="31"/>
      <w:szCs w:val="31"/>
    </w:rPr>
  </w:style>
  <w:style w:type="character" w:customStyle="1" w:styleId="100pt19">
    <w:name w:val="Îñíîâíîé òåêñò + Êóðñèâ10.Èíòåðâàë 0 pt19"/>
    <w:uiPriority w:val="99"/>
    <w:rsid w:val="00811C95"/>
    <w:rPr>
      <w:rFonts w:ascii="Arial" w:hAnsi="Arial" w:cs="Arial"/>
      <w:i/>
      <w:iCs/>
      <w:spacing w:val="-10"/>
      <w:sz w:val="16"/>
      <w:szCs w:val="16"/>
    </w:rPr>
  </w:style>
  <w:style w:type="paragraph" w:customStyle="1" w:styleId="5f1">
    <w:name w:val="Çàãîëîâîê ¹5"/>
    <w:basedOn w:val="a"/>
    <w:uiPriority w:val="99"/>
    <w:rsid w:val="00811C95"/>
    <w:pPr>
      <w:shd w:val="clear" w:color="auto" w:fill="FFFFFF"/>
      <w:autoSpaceDE w:val="0"/>
      <w:autoSpaceDN w:val="0"/>
      <w:adjustRightInd w:val="0"/>
      <w:spacing w:after="60" w:line="240" w:lineRule="atLeast"/>
    </w:pPr>
    <w:rPr>
      <w:rFonts w:ascii="Tahoma" w:hAnsi="Tahoma" w:cs="Tahoma"/>
      <w:noProof/>
      <w:sz w:val="31"/>
      <w:szCs w:val="31"/>
      <w:lang w:val="en-US"/>
    </w:rPr>
  </w:style>
  <w:style w:type="character" w:customStyle="1" w:styleId="5f2">
    <w:name w:val="Îñíîâíîé òåêñò (5)_"/>
    <w:uiPriority w:val="99"/>
    <w:rsid w:val="00811C95"/>
    <w:rPr>
      <w:i/>
      <w:iCs/>
      <w:sz w:val="16"/>
      <w:szCs w:val="16"/>
    </w:rPr>
  </w:style>
  <w:style w:type="character" w:customStyle="1" w:styleId="5136">
    <w:name w:val="Îñíîâíîé òåêñò (5)136"/>
    <w:uiPriority w:val="99"/>
    <w:rsid w:val="00811C95"/>
    <w:rPr>
      <w:i/>
      <w:iCs/>
      <w:sz w:val="16"/>
      <w:szCs w:val="16"/>
    </w:rPr>
  </w:style>
  <w:style w:type="character" w:customStyle="1" w:styleId="58545pt75630pt128">
    <w:name w:val="Îñíîâíîé òåêñò (5) + 854.5 pt75.Íå êóðñèâ63.Èíòåðâàë 0 pt128"/>
    <w:uiPriority w:val="99"/>
    <w:rsid w:val="00811C95"/>
    <w:rPr>
      <w:i/>
      <w:iCs/>
      <w:spacing w:val="-10"/>
      <w:sz w:val="17"/>
      <w:szCs w:val="17"/>
    </w:rPr>
  </w:style>
  <w:style w:type="character" w:customStyle="1" w:styleId="5133">
    <w:name w:val="Îñíîâíîé òåêñò (5)133"/>
    <w:uiPriority w:val="99"/>
    <w:rsid w:val="00811C95"/>
    <w:rPr>
      <w:rFonts w:ascii="Arial Unicode MS" w:eastAsia="Arial Unicode MS" w:cs="Arial Unicode MS"/>
      <w:i/>
      <w:iCs/>
      <w:noProof/>
      <w:sz w:val="16"/>
      <w:szCs w:val="16"/>
    </w:rPr>
  </w:style>
  <w:style w:type="character" w:customStyle="1" w:styleId="5132">
    <w:name w:val="Îñíîâíîé òåêñò (5)132"/>
    <w:uiPriority w:val="99"/>
    <w:rsid w:val="00811C95"/>
    <w:rPr>
      <w:rFonts w:ascii="Arial Unicode MS" w:eastAsia="Arial Unicode MS" w:cs="Arial Unicode MS"/>
      <w:i/>
      <w:iCs/>
      <w:noProof/>
      <w:sz w:val="16"/>
      <w:szCs w:val="16"/>
    </w:rPr>
  </w:style>
  <w:style w:type="character" w:customStyle="1" w:styleId="5131">
    <w:name w:val="Îñíîâíîé òåêñò (5)131"/>
    <w:uiPriority w:val="99"/>
    <w:rsid w:val="00811C95"/>
    <w:rPr>
      <w:i/>
      <w:iCs/>
      <w:sz w:val="16"/>
      <w:szCs w:val="16"/>
    </w:rPr>
  </w:style>
  <w:style w:type="character" w:customStyle="1" w:styleId="5130">
    <w:name w:val="Îñíîâíîé òåêñò (5)130"/>
    <w:uiPriority w:val="99"/>
    <w:rsid w:val="00811C95"/>
    <w:rPr>
      <w:rFonts w:ascii="Arial Unicode MS" w:eastAsia="Arial Unicode MS" w:cs="Arial Unicode MS"/>
      <w:i/>
      <w:iCs/>
      <w:noProof/>
      <w:sz w:val="16"/>
      <w:szCs w:val="16"/>
    </w:rPr>
  </w:style>
  <w:style w:type="paragraph" w:customStyle="1" w:styleId="513">
    <w:name w:val="Îñíîâíîé òåêñò (5)1"/>
    <w:basedOn w:val="a"/>
    <w:uiPriority w:val="99"/>
    <w:rsid w:val="00811C95"/>
    <w:pPr>
      <w:shd w:val="clear" w:color="auto" w:fill="FFFFFF"/>
      <w:autoSpaceDE w:val="0"/>
      <w:autoSpaceDN w:val="0"/>
      <w:adjustRightInd w:val="0"/>
      <w:spacing w:after="0" w:line="186" w:lineRule="exact"/>
      <w:ind w:hanging="500"/>
    </w:pPr>
    <w:rPr>
      <w:rFonts w:ascii="Times New Roman" w:hAnsi="Times New Roman"/>
      <w:i/>
      <w:iCs/>
      <w:noProof/>
      <w:sz w:val="16"/>
      <w:szCs w:val="16"/>
      <w:lang w:val="en-US"/>
    </w:rPr>
  </w:style>
  <w:style w:type="character" w:customStyle="1" w:styleId="5117">
    <w:name w:val="Îñíîâíîé òåêñò (5)117"/>
    <w:uiPriority w:val="99"/>
    <w:rsid w:val="00811C95"/>
    <w:rPr>
      <w:i/>
      <w:iCs/>
      <w:spacing w:val="0"/>
      <w:sz w:val="16"/>
      <w:szCs w:val="16"/>
    </w:rPr>
  </w:style>
  <w:style w:type="character" w:customStyle="1" w:styleId="5116">
    <w:name w:val="Îñíîâíîé òåêñò (5)116"/>
    <w:uiPriority w:val="99"/>
    <w:rsid w:val="00811C95"/>
    <w:rPr>
      <w:i/>
      <w:iCs/>
      <w:spacing w:val="0"/>
      <w:sz w:val="16"/>
      <w:szCs w:val="16"/>
    </w:rPr>
  </w:style>
  <w:style w:type="character" w:customStyle="1" w:styleId="5113">
    <w:name w:val="Îñíîâíîé òåêñò (5)113"/>
    <w:uiPriority w:val="99"/>
    <w:rsid w:val="00811C95"/>
    <w:rPr>
      <w:i/>
      <w:iCs/>
      <w:spacing w:val="0"/>
      <w:sz w:val="16"/>
      <w:szCs w:val="16"/>
      <w:u w:val="single"/>
    </w:rPr>
  </w:style>
  <w:style w:type="character" w:customStyle="1" w:styleId="5106">
    <w:name w:val="Îñíîâíîé òåêñò (5)106"/>
    <w:uiPriority w:val="99"/>
    <w:rsid w:val="00811C95"/>
    <w:rPr>
      <w:i/>
      <w:iCs/>
      <w:spacing w:val="0"/>
      <w:sz w:val="16"/>
      <w:szCs w:val="16"/>
    </w:rPr>
  </w:style>
  <w:style w:type="character" w:customStyle="1" w:styleId="5105">
    <w:name w:val="Îñíîâíîé òåêñò (5)105"/>
    <w:uiPriority w:val="99"/>
    <w:rsid w:val="00811C95"/>
    <w:rPr>
      <w:rFonts w:ascii="Arial Unicode MS" w:eastAsia="Arial Unicode MS" w:cs="Arial Unicode MS"/>
      <w:i/>
      <w:iCs/>
      <w:noProof/>
      <w:spacing w:val="0"/>
      <w:sz w:val="16"/>
      <w:szCs w:val="16"/>
    </w:rPr>
  </w:style>
  <w:style w:type="character" w:customStyle="1" w:styleId="5104">
    <w:name w:val="Îñíîâíîé òåêñò (5)104"/>
    <w:uiPriority w:val="99"/>
    <w:rsid w:val="00811C95"/>
    <w:rPr>
      <w:i/>
      <w:iCs/>
      <w:spacing w:val="0"/>
      <w:sz w:val="16"/>
      <w:szCs w:val="16"/>
      <w:u w:val="single"/>
    </w:rPr>
  </w:style>
  <w:style w:type="character" w:customStyle="1" w:styleId="5103">
    <w:name w:val="Îñíîâíîé òåêñò (5)103"/>
    <w:uiPriority w:val="99"/>
    <w:rsid w:val="00811C95"/>
    <w:rPr>
      <w:rFonts w:ascii="Arial Unicode MS" w:eastAsia="Arial Unicode MS" w:cs="Arial Unicode MS"/>
      <w:i/>
      <w:iCs/>
      <w:noProof/>
      <w:spacing w:val="0"/>
      <w:sz w:val="16"/>
      <w:szCs w:val="16"/>
    </w:rPr>
  </w:style>
  <w:style w:type="character" w:customStyle="1" w:styleId="5102">
    <w:name w:val="Îñíîâíîé òåêñò (5)102"/>
    <w:uiPriority w:val="99"/>
    <w:rsid w:val="00811C95"/>
    <w:rPr>
      <w:rFonts w:ascii="Arial Unicode MS" w:eastAsia="Arial Unicode MS" w:cs="Arial Unicode MS"/>
      <w:i/>
      <w:iCs/>
      <w:noProof/>
      <w:spacing w:val="0"/>
      <w:sz w:val="16"/>
      <w:szCs w:val="16"/>
    </w:rPr>
  </w:style>
  <w:style w:type="character" w:customStyle="1" w:styleId="531">
    <w:name w:val="Çàãîëîâîê ¹53"/>
    <w:uiPriority w:val="99"/>
    <w:rsid w:val="00811C95"/>
    <w:rPr>
      <w:rFonts w:ascii="Arial Unicode MS" w:eastAsia="Arial Unicode MS" w:hAnsi="Tahoma" w:cs="Arial Unicode MS"/>
      <w:i/>
      <w:iCs/>
      <w:noProof/>
      <w:sz w:val="16"/>
      <w:szCs w:val="16"/>
    </w:rPr>
  </w:style>
  <w:style w:type="character" w:customStyle="1" w:styleId="58485pt69580pt120">
    <w:name w:val="Îñíîâíîé òåêñò (5) + 848.5 pt69.Íå êóðñèâ58.Èíòåðâàë 0 pt120"/>
    <w:uiPriority w:val="99"/>
    <w:rsid w:val="00811C95"/>
    <w:rPr>
      <w:i/>
      <w:iCs/>
      <w:spacing w:val="-10"/>
      <w:sz w:val="17"/>
      <w:szCs w:val="17"/>
    </w:rPr>
  </w:style>
  <w:style w:type="character" w:customStyle="1" w:styleId="523">
    <w:name w:val="Çàãîëîâîê ¹52"/>
    <w:uiPriority w:val="99"/>
    <w:rsid w:val="00811C95"/>
    <w:rPr>
      <w:rFonts w:ascii="Tahoma" w:hAnsi="Tahoma" w:cs="Tahoma"/>
      <w:i/>
      <w:iCs/>
      <w:sz w:val="16"/>
      <w:szCs w:val="16"/>
      <w:u w:val="single"/>
    </w:rPr>
  </w:style>
  <w:style w:type="paragraph" w:customStyle="1" w:styleId="514">
    <w:name w:val="Çàãîëîâîê ¹51"/>
    <w:basedOn w:val="a"/>
    <w:uiPriority w:val="99"/>
    <w:rsid w:val="00811C95"/>
    <w:pPr>
      <w:shd w:val="clear" w:color="auto" w:fill="FFFFFF"/>
      <w:autoSpaceDE w:val="0"/>
      <w:autoSpaceDN w:val="0"/>
      <w:adjustRightInd w:val="0"/>
      <w:spacing w:after="0" w:line="211" w:lineRule="exact"/>
      <w:jc w:val="both"/>
    </w:pPr>
    <w:rPr>
      <w:rFonts w:ascii="Times New Roman" w:hAnsi="Times New Roman"/>
      <w:i/>
      <w:iCs/>
      <w:noProof/>
      <w:sz w:val="16"/>
      <w:szCs w:val="16"/>
      <w:lang w:val="en-US"/>
    </w:rPr>
  </w:style>
  <w:style w:type="character" w:customStyle="1" w:styleId="5101">
    <w:name w:val="Îñíîâíîé òåêñò (5)101"/>
    <w:uiPriority w:val="99"/>
    <w:rsid w:val="00811C95"/>
    <w:rPr>
      <w:i/>
      <w:iCs/>
      <w:spacing w:val="0"/>
      <w:sz w:val="16"/>
      <w:szCs w:val="16"/>
    </w:rPr>
  </w:style>
  <w:style w:type="character" w:customStyle="1" w:styleId="5100">
    <w:name w:val="Îñíîâíîé òåêñò (5)100"/>
    <w:uiPriority w:val="99"/>
    <w:rsid w:val="00811C95"/>
    <w:rPr>
      <w:rFonts w:ascii="Arial Unicode MS" w:eastAsia="Arial Unicode MS" w:cs="Arial Unicode MS"/>
      <w:i/>
      <w:iCs/>
      <w:noProof/>
      <w:spacing w:val="0"/>
      <w:sz w:val="16"/>
      <w:szCs w:val="16"/>
    </w:rPr>
  </w:style>
  <w:style w:type="character" w:customStyle="1" w:styleId="599">
    <w:name w:val="Îñíîâíîé òåêñò (5)99"/>
    <w:uiPriority w:val="99"/>
    <w:rsid w:val="00811C95"/>
    <w:rPr>
      <w:rFonts w:ascii="Arial Unicode MS" w:eastAsia="Arial Unicode MS" w:cs="Arial Unicode MS"/>
      <w:i/>
      <w:iCs/>
      <w:noProof/>
      <w:spacing w:val="0"/>
      <w:sz w:val="16"/>
      <w:szCs w:val="16"/>
    </w:rPr>
  </w:style>
  <w:style w:type="character" w:customStyle="1" w:styleId="58475pt68570pt119">
    <w:name w:val="Îñíîâíîé òåêñò (5) + 847.5 pt68.Íå êóðñèâ57.Èíòåðâàë 0 pt119"/>
    <w:uiPriority w:val="99"/>
    <w:rsid w:val="00811C95"/>
    <w:rPr>
      <w:i/>
      <w:iCs/>
      <w:spacing w:val="-10"/>
      <w:sz w:val="17"/>
      <w:szCs w:val="17"/>
    </w:rPr>
  </w:style>
  <w:style w:type="character" w:customStyle="1" w:styleId="598">
    <w:name w:val="Îñíîâíîé òåêñò (5)98"/>
    <w:uiPriority w:val="99"/>
    <w:rsid w:val="00811C95"/>
    <w:rPr>
      <w:i/>
      <w:iCs/>
      <w:spacing w:val="0"/>
      <w:sz w:val="16"/>
      <w:szCs w:val="16"/>
      <w:u w:val="single"/>
    </w:rPr>
  </w:style>
  <w:style w:type="character" w:customStyle="1" w:styleId="597">
    <w:name w:val="Îñíîâíîé òåêñò (5)97"/>
    <w:uiPriority w:val="99"/>
    <w:rsid w:val="00811C95"/>
    <w:rPr>
      <w:rFonts w:ascii="Arial Unicode MS" w:eastAsia="Arial Unicode MS" w:cs="Arial Unicode MS"/>
      <w:i/>
      <w:iCs/>
      <w:noProof/>
      <w:spacing w:val="0"/>
      <w:sz w:val="16"/>
      <w:szCs w:val="16"/>
      <w:u w:val="single"/>
    </w:rPr>
  </w:style>
  <w:style w:type="character" w:customStyle="1" w:styleId="194">
    <w:name w:val="Îñíîâíîé òåêñò (19)_"/>
    <w:uiPriority w:val="99"/>
    <w:rsid w:val="00811C95"/>
    <w:rPr>
      <w:rFonts w:ascii="Arial Narrow" w:hAnsi="Arial Narrow" w:cs="Arial Narrow"/>
      <w:b/>
      <w:bCs/>
      <w:sz w:val="47"/>
      <w:szCs w:val="47"/>
    </w:rPr>
  </w:style>
  <w:style w:type="character" w:customStyle="1" w:styleId="4f3">
    <w:name w:val="Ïîäïèñü ê êàðòèíêå (4)_"/>
    <w:uiPriority w:val="99"/>
    <w:rsid w:val="00811C95"/>
    <w:rPr>
      <w:b/>
      <w:bCs/>
      <w:i/>
      <w:iCs/>
      <w:sz w:val="17"/>
      <w:szCs w:val="17"/>
    </w:rPr>
  </w:style>
  <w:style w:type="character" w:customStyle="1" w:styleId="4f4">
    <w:name w:val="Ïîäïèñü ê êàðòèíêå (4)"/>
    <w:uiPriority w:val="99"/>
    <w:rsid w:val="00811C95"/>
    <w:rPr>
      <w:b/>
      <w:bCs/>
      <w:i/>
      <w:iCs/>
      <w:sz w:val="17"/>
      <w:szCs w:val="17"/>
    </w:rPr>
  </w:style>
  <w:style w:type="character" w:customStyle="1" w:styleId="8pt35450pt1150">
    <w:name w:val="Îñíîâíîé òåêñò + 8 pt35.Êóðñèâ45.Èíòåðâàë 0 pt115"/>
    <w:uiPriority w:val="99"/>
    <w:rsid w:val="00811C95"/>
    <w:rPr>
      <w:rFonts w:ascii="Microsoft Sans Serif" w:hAnsi="Microsoft Sans Serif" w:cs="Microsoft Sans Serif"/>
      <w:i/>
      <w:iCs/>
      <w:spacing w:val="0"/>
      <w:sz w:val="16"/>
      <w:szCs w:val="16"/>
    </w:rPr>
  </w:style>
  <w:style w:type="paragraph" w:customStyle="1" w:styleId="412">
    <w:name w:val="Ïîäïèñü ê êàðòèíêå (4)1"/>
    <w:basedOn w:val="a"/>
    <w:uiPriority w:val="99"/>
    <w:rsid w:val="00811C95"/>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3430pt1130">
    <w:name w:val="Îñíîâíîé òåêñò + 8 pt33.Êóðñèâ43.Èíòåðâàë 0 pt113"/>
    <w:uiPriority w:val="99"/>
    <w:rsid w:val="00811C95"/>
    <w:rPr>
      <w:rFonts w:ascii="Microsoft Sans Serif" w:hAnsi="Microsoft Sans Serif" w:cs="Microsoft Sans Serif"/>
      <w:i/>
      <w:iCs/>
      <w:spacing w:val="0"/>
      <w:sz w:val="16"/>
      <w:szCs w:val="16"/>
    </w:rPr>
  </w:style>
  <w:style w:type="character" w:customStyle="1" w:styleId="8pt32420pt1120">
    <w:name w:val="Îñíîâíîé òåêñò + 8 pt32.Êóðñèâ42.Èíòåðâàë 0 pt112"/>
    <w:uiPriority w:val="99"/>
    <w:rsid w:val="00811C95"/>
    <w:rPr>
      <w:rFonts w:ascii="Arial Unicode MS" w:eastAsia="Arial Unicode MS" w:hAnsi="Microsoft Sans Serif" w:cs="Arial Unicode MS"/>
      <w:i/>
      <w:iCs/>
      <w:noProof/>
      <w:spacing w:val="0"/>
      <w:sz w:val="16"/>
      <w:szCs w:val="16"/>
    </w:rPr>
  </w:style>
  <w:style w:type="character" w:customStyle="1" w:styleId="8pt31410pt1110">
    <w:name w:val="Îñíîâíîé òåêñò + 8 pt31.Êóðñèâ41.Èíòåðâàë 0 pt111"/>
    <w:uiPriority w:val="99"/>
    <w:rsid w:val="00811C95"/>
    <w:rPr>
      <w:rFonts w:ascii="Arial Unicode MS" w:eastAsia="Arial Unicode MS" w:hAnsi="Microsoft Sans Serif" w:cs="Arial Unicode MS"/>
      <w:i/>
      <w:iCs/>
      <w:noProof/>
      <w:spacing w:val="0"/>
      <w:sz w:val="16"/>
      <w:szCs w:val="16"/>
    </w:rPr>
  </w:style>
  <w:style w:type="character" w:customStyle="1" w:styleId="400pt1100">
    <w:name w:val="Îñíîâíîé òåêñò + Ïîëóæèðíûé.Êóðñèâ40.Èíòåðâàë 0 pt110"/>
    <w:uiPriority w:val="99"/>
    <w:rsid w:val="00811C95"/>
    <w:rPr>
      <w:rFonts w:ascii="Microsoft Sans Serif" w:hAnsi="Microsoft Sans Serif" w:cs="Microsoft Sans Serif"/>
      <w:b/>
      <w:bCs/>
      <w:i/>
      <w:iCs/>
      <w:spacing w:val="0"/>
      <w:sz w:val="17"/>
      <w:szCs w:val="17"/>
    </w:rPr>
  </w:style>
  <w:style w:type="character" w:customStyle="1" w:styleId="3fd">
    <w:name w:val="Îñíîâíîé òåêñò (3)_"/>
    <w:uiPriority w:val="99"/>
    <w:rsid w:val="00811C95"/>
    <w:rPr>
      <w:b/>
      <w:bCs/>
      <w:i/>
      <w:iCs/>
      <w:sz w:val="17"/>
      <w:szCs w:val="17"/>
    </w:rPr>
  </w:style>
  <w:style w:type="character" w:customStyle="1" w:styleId="391">
    <w:name w:val="Îñíîâíîé òåêñò (3)9"/>
    <w:uiPriority w:val="99"/>
    <w:rsid w:val="00811C95"/>
    <w:rPr>
      <w:b/>
      <w:bCs/>
      <w:i/>
      <w:iCs/>
      <w:sz w:val="17"/>
      <w:szCs w:val="17"/>
    </w:rPr>
  </w:style>
  <w:style w:type="character" w:customStyle="1" w:styleId="8pt30390pt1090">
    <w:name w:val="Îñíîâíîé òåêñò + 8 pt30.Êóðñèâ39.Èíòåðâàë 0 pt109"/>
    <w:uiPriority w:val="99"/>
    <w:rsid w:val="00811C95"/>
    <w:rPr>
      <w:rFonts w:ascii="Microsoft Sans Serif" w:hAnsi="Microsoft Sans Serif" w:cs="Microsoft Sans Serif"/>
      <w:i/>
      <w:iCs/>
      <w:spacing w:val="0"/>
      <w:sz w:val="16"/>
      <w:szCs w:val="16"/>
    </w:rPr>
  </w:style>
  <w:style w:type="character" w:customStyle="1" w:styleId="8pt29380pt1080">
    <w:name w:val="Îñíîâíîé òåêñò + 8 pt29.Êóðñèâ38.Èíòåðâàë 0 pt108"/>
    <w:uiPriority w:val="99"/>
    <w:rsid w:val="00811C95"/>
    <w:rPr>
      <w:rFonts w:ascii="Arial Unicode MS" w:eastAsia="Arial Unicode MS" w:hAnsi="Microsoft Sans Serif" w:cs="Arial Unicode MS"/>
      <w:i/>
      <w:iCs/>
      <w:noProof/>
      <w:spacing w:val="0"/>
      <w:sz w:val="16"/>
      <w:szCs w:val="16"/>
    </w:rPr>
  </w:style>
  <w:style w:type="character" w:customStyle="1" w:styleId="8pt28370pt1070">
    <w:name w:val="Îñíîâíîé òåêñò + 8 pt28.Êóðñèâ37.Èíòåðâàë 0 pt107"/>
    <w:uiPriority w:val="99"/>
    <w:rsid w:val="00811C95"/>
    <w:rPr>
      <w:rFonts w:ascii="Arial Unicode MS" w:eastAsia="Arial Unicode MS" w:hAnsi="Microsoft Sans Serif" w:cs="Arial Unicode MS"/>
      <w:i/>
      <w:iCs/>
      <w:noProof/>
      <w:spacing w:val="0"/>
      <w:sz w:val="16"/>
      <w:szCs w:val="16"/>
    </w:rPr>
  </w:style>
  <w:style w:type="paragraph" w:customStyle="1" w:styleId="31a">
    <w:name w:val="Îñíîâíîé òåêñò (3)1"/>
    <w:basedOn w:val="a"/>
    <w:uiPriority w:val="99"/>
    <w:rsid w:val="00811C95"/>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27360pt1060">
    <w:name w:val="Îñíîâíîé òåêñò + 8 pt27.Êóðñèâ36.Èíòåðâàë 0 pt106"/>
    <w:uiPriority w:val="99"/>
    <w:rsid w:val="00811C95"/>
    <w:rPr>
      <w:rFonts w:ascii="Microsoft Sans Serif" w:hAnsi="Microsoft Sans Serif" w:cs="Microsoft Sans Serif"/>
      <w:i/>
      <w:iCs/>
      <w:spacing w:val="0"/>
      <w:sz w:val="16"/>
      <w:szCs w:val="16"/>
    </w:rPr>
  </w:style>
  <w:style w:type="character" w:customStyle="1" w:styleId="5790">
    <w:name w:val="Îñíîâíîé òåêñò (5)79"/>
    <w:uiPriority w:val="99"/>
    <w:rsid w:val="00811C95"/>
    <w:rPr>
      <w:i/>
      <w:iCs/>
      <w:spacing w:val="0"/>
      <w:sz w:val="16"/>
      <w:szCs w:val="16"/>
    </w:rPr>
  </w:style>
  <w:style w:type="character" w:customStyle="1" w:styleId="5780">
    <w:name w:val="Îñíîâíîé òåêñò (5)78"/>
    <w:uiPriority w:val="99"/>
    <w:rsid w:val="00811C95"/>
    <w:rPr>
      <w:rFonts w:ascii="Arial Unicode MS" w:eastAsia="Arial Unicode MS" w:cs="Arial Unicode MS"/>
      <w:i/>
      <w:iCs/>
      <w:noProof/>
      <w:spacing w:val="0"/>
      <w:sz w:val="16"/>
      <w:szCs w:val="16"/>
    </w:rPr>
  </w:style>
  <w:style w:type="character" w:customStyle="1" w:styleId="57pt250">
    <w:name w:val="Îñíîâíîé òåêñò (5) + 7 pt.Ïîëóæèðíûé25"/>
    <w:uiPriority w:val="99"/>
    <w:rsid w:val="00811C95"/>
    <w:rPr>
      <w:b/>
      <w:bCs/>
      <w:i/>
      <w:iCs/>
      <w:spacing w:val="0"/>
      <w:sz w:val="14"/>
      <w:szCs w:val="14"/>
    </w:rPr>
  </w:style>
  <w:style w:type="character" w:customStyle="1" w:styleId="57pt1240">
    <w:name w:val="Îñíîâíîé òåêñò (5) + 7 pt1.Ïîëóæèðíûé24"/>
    <w:uiPriority w:val="99"/>
    <w:rsid w:val="00811C95"/>
    <w:rPr>
      <w:b/>
      <w:bCs/>
      <w:i/>
      <w:iCs/>
      <w:spacing w:val="0"/>
      <w:sz w:val="14"/>
      <w:szCs w:val="14"/>
    </w:rPr>
  </w:style>
  <w:style w:type="character" w:customStyle="1" w:styleId="afffff4">
    <w:name w:val="Ñíîñêà_"/>
    <w:uiPriority w:val="99"/>
    <w:rsid w:val="00811C95"/>
    <w:rPr>
      <w:i/>
      <w:iCs/>
      <w:sz w:val="13"/>
      <w:szCs w:val="13"/>
    </w:rPr>
  </w:style>
  <w:style w:type="character" w:customStyle="1" w:styleId="134">
    <w:name w:val="Ñíîñêà13"/>
    <w:uiPriority w:val="99"/>
    <w:rsid w:val="00811C95"/>
    <w:rPr>
      <w:i/>
      <w:iCs/>
      <w:sz w:val="13"/>
      <w:szCs w:val="13"/>
    </w:rPr>
  </w:style>
  <w:style w:type="character" w:customStyle="1" w:styleId="8pt25340pt1040">
    <w:name w:val="Îñíîâíîé òåêñò + 8 pt25.Êóðñèâ34.Èíòåðâàë 0 pt104"/>
    <w:uiPriority w:val="99"/>
    <w:rsid w:val="00811C95"/>
    <w:rPr>
      <w:rFonts w:ascii="Microsoft Sans Serif" w:hAnsi="Microsoft Sans Serif" w:cs="Microsoft Sans Serif"/>
      <w:i/>
      <w:iCs/>
      <w:spacing w:val="0"/>
      <w:sz w:val="16"/>
      <w:szCs w:val="16"/>
    </w:rPr>
  </w:style>
  <w:style w:type="character" w:customStyle="1" w:styleId="8pt22310pt1010">
    <w:name w:val="Îñíîâíîé òåêñò + 8 pt22.Êóðñèâ31.Èíòåðâàë 0 pt101"/>
    <w:uiPriority w:val="99"/>
    <w:rsid w:val="00811C95"/>
    <w:rPr>
      <w:rFonts w:ascii="Arial Unicode MS" w:eastAsia="Arial Unicode MS" w:hAnsi="Microsoft Sans Serif" w:cs="Arial Unicode MS"/>
      <w:i/>
      <w:iCs/>
      <w:noProof/>
      <w:spacing w:val="0"/>
      <w:sz w:val="16"/>
      <w:szCs w:val="16"/>
    </w:rPr>
  </w:style>
  <w:style w:type="character" w:customStyle="1" w:styleId="5770">
    <w:name w:val="Îñíîâíîé òåêñò (5)77"/>
    <w:uiPriority w:val="99"/>
    <w:rsid w:val="00811C95"/>
    <w:rPr>
      <w:i/>
      <w:iCs/>
      <w:spacing w:val="0"/>
      <w:sz w:val="16"/>
      <w:szCs w:val="16"/>
    </w:rPr>
  </w:style>
  <w:style w:type="character" w:customStyle="1" w:styleId="5760">
    <w:name w:val="Îñíîâíîé òåêñò (5)76"/>
    <w:uiPriority w:val="99"/>
    <w:rsid w:val="00811C95"/>
    <w:rPr>
      <w:rFonts w:ascii="Arial Unicode MS" w:eastAsia="Arial Unicode MS" w:cs="Arial Unicode MS"/>
      <w:i/>
      <w:iCs/>
      <w:noProof/>
      <w:spacing w:val="0"/>
      <w:sz w:val="16"/>
      <w:szCs w:val="16"/>
    </w:rPr>
  </w:style>
  <w:style w:type="paragraph" w:customStyle="1" w:styleId="1fd">
    <w:name w:val="Ñíîñêà1"/>
    <w:basedOn w:val="a"/>
    <w:uiPriority w:val="99"/>
    <w:rsid w:val="00811C95"/>
    <w:pPr>
      <w:shd w:val="clear" w:color="auto" w:fill="FFFFFF"/>
      <w:autoSpaceDE w:val="0"/>
      <w:autoSpaceDN w:val="0"/>
      <w:adjustRightInd w:val="0"/>
      <w:spacing w:after="0" w:line="168" w:lineRule="exact"/>
      <w:jc w:val="both"/>
    </w:pPr>
    <w:rPr>
      <w:rFonts w:ascii="Times New Roman" w:hAnsi="Times New Roman"/>
      <w:i/>
      <w:iCs/>
      <w:noProof/>
      <w:sz w:val="13"/>
      <w:szCs w:val="13"/>
      <w:lang w:val="en-US"/>
    </w:rPr>
  </w:style>
  <w:style w:type="paragraph" w:customStyle="1" w:styleId="610">
    <w:name w:val="Çàãîëîâîê ¹61"/>
    <w:basedOn w:val="a"/>
    <w:uiPriority w:val="99"/>
    <w:rsid w:val="00811C95"/>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0">
    <w:name w:val="Îñíîâíîé òåêñò + 8 pt21.Êóðñèâ30.Èíòåðâàë 0 pt98"/>
    <w:uiPriority w:val="99"/>
    <w:rsid w:val="00811C95"/>
    <w:rPr>
      <w:rFonts w:ascii="Microsoft Sans Serif" w:hAnsi="Microsoft Sans Serif" w:cs="Microsoft Sans Serif"/>
      <w:i/>
      <w:iCs/>
      <w:spacing w:val="0"/>
      <w:sz w:val="16"/>
      <w:szCs w:val="16"/>
    </w:rPr>
  </w:style>
  <w:style w:type="character" w:customStyle="1" w:styleId="8pt20290pt970">
    <w:name w:val="Îñíîâíîé òåêñò + 8 pt20.Êóðñèâ29.Èíòåðâàë 0 pt97"/>
    <w:uiPriority w:val="99"/>
    <w:rsid w:val="00811C95"/>
    <w:rPr>
      <w:rFonts w:ascii="Microsoft Sans Serif" w:hAnsi="Microsoft Sans Serif" w:cs="Microsoft Sans Serif"/>
      <w:i/>
      <w:iCs/>
      <w:spacing w:val="0"/>
      <w:sz w:val="16"/>
      <w:szCs w:val="16"/>
    </w:rPr>
  </w:style>
  <w:style w:type="character" w:customStyle="1" w:styleId="8pt19280pt96">
    <w:name w:val="Îñíîâíîé òåêñò + 8 pt19.Êóðñèâ28.Èíòåðâàë 0 pt96"/>
    <w:uiPriority w:val="99"/>
    <w:rsid w:val="00811C95"/>
    <w:rPr>
      <w:rFonts w:ascii="Arial Unicode MS" w:eastAsia="Arial Unicode MS" w:hAnsi="Microsoft Sans Serif" w:cs="Arial Unicode MS"/>
      <w:i/>
      <w:iCs/>
      <w:noProof/>
      <w:spacing w:val="0"/>
      <w:sz w:val="16"/>
      <w:szCs w:val="16"/>
    </w:rPr>
  </w:style>
  <w:style w:type="character" w:customStyle="1" w:styleId="8pt18270pt950">
    <w:name w:val="Îñíîâíîé òåêñò + 8 pt18.Êóðñèâ27.Èíòåðâàë 0 pt95"/>
    <w:uiPriority w:val="99"/>
    <w:rsid w:val="00811C95"/>
    <w:rPr>
      <w:rFonts w:ascii="Arial Unicode MS" w:eastAsia="Arial Unicode MS" w:hAnsi="Microsoft Sans Serif" w:cs="Arial Unicode MS"/>
      <w:i/>
      <w:iCs/>
      <w:noProof/>
      <w:spacing w:val="0"/>
      <w:sz w:val="16"/>
      <w:szCs w:val="16"/>
    </w:rPr>
  </w:style>
  <w:style w:type="character" w:customStyle="1" w:styleId="8pt17260pt94">
    <w:name w:val="Îñíîâíîé òåêñò + 8 pt17.Êóðñèâ26.Èíòåðâàë 0 pt94"/>
    <w:uiPriority w:val="99"/>
    <w:rsid w:val="00811C95"/>
    <w:rPr>
      <w:rFonts w:ascii="Microsoft Sans Serif" w:hAnsi="Microsoft Sans Serif" w:cs="Microsoft Sans Serif"/>
      <w:i/>
      <w:iCs/>
      <w:spacing w:val="0"/>
      <w:sz w:val="16"/>
      <w:szCs w:val="16"/>
    </w:rPr>
  </w:style>
  <w:style w:type="character" w:customStyle="1" w:styleId="8pt16250pt93">
    <w:name w:val="Îñíîâíîé òåêñò + 8 pt16.Êóðñèâ25.Èíòåðâàë 0 pt93"/>
    <w:uiPriority w:val="99"/>
    <w:rsid w:val="00811C95"/>
    <w:rPr>
      <w:rFonts w:ascii="Arial Unicode MS" w:eastAsia="Arial Unicode MS" w:hAnsi="Microsoft Sans Serif" w:cs="Arial Unicode MS"/>
      <w:i/>
      <w:iCs/>
      <w:noProof/>
      <w:spacing w:val="0"/>
      <w:sz w:val="16"/>
      <w:szCs w:val="16"/>
    </w:rPr>
  </w:style>
  <w:style w:type="character" w:customStyle="1" w:styleId="7pt230pt92">
    <w:name w:val="Îñíîâíîé òåêñò + 7 pt.Ïîëóæèðíûé23.Èíòåðâàë 0 pt92"/>
    <w:uiPriority w:val="99"/>
    <w:rsid w:val="00811C95"/>
    <w:rPr>
      <w:rFonts w:ascii="Arial Unicode MS" w:eastAsia="Arial Unicode MS" w:hAnsi="Microsoft Sans Serif" w:cs="Arial Unicode MS"/>
      <w:b/>
      <w:bCs/>
      <w:spacing w:val="0"/>
      <w:sz w:val="14"/>
      <w:szCs w:val="14"/>
      <w:lang w:val="en-US"/>
    </w:rPr>
  </w:style>
  <w:style w:type="character" w:customStyle="1" w:styleId="135">
    <w:name w:val="Îñíîâíîé òåêñò (13)_"/>
    <w:uiPriority w:val="99"/>
    <w:rsid w:val="00811C95"/>
    <w:rPr>
      <w:b/>
      <w:bCs/>
      <w:sz w:val="13"/>
      <w:szCs w:val="13"/>
    </w:rPr>
  </w:style>
  <w:style w:type="character" w:customStyle="1" w:styleId="1322">
    <w:name w:val="Îñíîâíîé òåêñò (13)22"/>
    <w:uiPriority w:val="99"/>
    <w:rsid w:val="00811C95"/>
    <w:rPr>
      <w:b/>
      <w:bCs/>
      <w:sz w:val="13"/>
      <w:szCs w:val="13"/>
    </w:rPr>
  </w:style>
  <w:style w:type="character" w:customStyle="1" w:styleId="575">
    <w:name w:val="Îñíîâíîé òåêñò (5)75"/>
    <w:uiPriority w:val="99"/>
    <w:rsid w:val="00811C95"/>
    <w:rPr>
      <w:i/>
      <w:iCs/>
      <w:spacing w:val="0"/>
      <w:sz w:val="16"/>
      <w:szCs w:val="16"/>
    </w:rPr>
  </w:style>
  <w:style w:type="character" w:customStyle="1" w:styleId="574">
    <w:name w:val="Îñíîâíîé òåêñò (5)74"/>
    <w:uiPriority w:val="99"/>
    <w:rsid w:val="00811C95"/>
    <w:rPr>
      <w:rFonts w:ascii="Arial Unicode MS" w:eastAsia="Arial Unicode MS" w:cs="Arial Unicode MS"/>
      <w:i/>
      <w:iCs/>
      <w:noProof/>
      <w:spacing w:val="0"/>
      <w:sz w:val="16"/>
      <w:szCs w:val="16"/>
    </w:rPr>
  </w:style>
  <w:style w:type="character" w:customStyle="1" w:styleId="58455pt61520pt91">
    <w:name w:val="Îñíîâíîé òåêñò (5) + 845.5 pt61.Íå êóðñèâ52.Èíòåðâàë 0 pt91"/>
    <w:uiPriority w:val="99"/>
    <w:rsid w:val="00811C95"/>
    <w:rPr>
      <w:i/>
      <w:iCs/>
      <w:spacing w:val="-10"/>
      <w:sz w:val="17"/>
      <w:szCs w:val="17"/>
    </w:rPr>
  </w:style>
  <w:style w:type="character" w:customStyle="1" w:styleId="58445pt60510pt90">
    <w:name w:val="Îñíîâíîé òåêñò (5) + 844.5 pt60.Íå êóðñèâ51.Èíòåðâàë 0 pt90"/>
    <w:uiPriority w:val="99"/>
    <w:rsid w:val="00811C95"/>
    <w:rPr>
      <w:rFonts w:ascii="Arial Unicode MS" w:eastAsia="Arial Unicode MS" w:cs="Arial Unicode MS"/>
      <w:i/>
      <w:iCs/>
      <w:noProof/>
      <w:spacing w:val="-10"/>
      <w:sz w:val="17"/>
      <w:szCs w:val="17"/>
    </w:rPr>
  </w:style>
  <w:style w:type="paragraph" w:customStyle="1" w:styleId="1310">
    <w:name w:val="Îñíîâíîé òåêñò (13)1"/>
    <w:basedOn w:val="a"/>
    <w:uiPriority w:val="99"/>
    <w:rsid w:val="00811C95"/>
    <w:pPr>
      <w:shd w:val="clear" w:color="auto" w:fill="FFFFFF"/>
      <w:autoSpaceDE w:val="0"/>
      <w:autoSpaceDN w:val="0"/>
      <w:adjustRightInd w:val="0"/>
      <w:spacing w:before="120" w:after="0" w:line="168" w:lineRule="exact"/>
    </w:pPr>
    <w:rPr>
      <w:rFonts w:ascii="Times New Roman" w:hAnsi="Times New Roman"/>
      <w:b/>
      <w:bCs/>
      <w:noProof/>
      <w:sz w:val="13"/>
      <w:szCs w:val="13"/>
      <w:lang w:val="en-US"/>
    </w:rPr>
  </w:style>
  <w:style w:type="character" w:customStyle="1" w:styleId="58435pt59500pt89">
    <w:name w:val="Îñíîâíîé òåêñò (5) + 843.5 pt59.Íå êóðñèâ50.Èíòåðâàë 0 pt89"/>
    <w:uiPriority w:val="99"/>
    <w:rsid w:val="00811C95"/>
    <w:rPr>
      <w:i/>
      <w:iCs/>
      <w:spacing w:val="-10"/>
      <w:sz w:val="17"/>
      <w:szCs w:val="17"/>
    </w:rPr>
  </w:style>
  <w:style w:type="character" w:customStyle="1" w:styleId="573">
    <w:name w:val="Îñíîâíîé òåêñò (5)73"/>
    <w:uiPriority w:val="99"/>
    <w:rsid w:val="00811C95"/>
    <w:rPr>
      <w:i/>
      <w:iCs/>
      <w:spacing w:val="0"/>
      <w:sz w:val="16"/>
      <w:szCs w:val="16"/>
    </w:rPr>
  </w:style>
  <w:style w:type="character" w:customStyle="1" w:styleId="572">
    <w:name w:val="Îñíîâíîé òåêñò (5)72"/>
    <w:uiPriority w:val="99"/>
    <w:rsid w:val="00811C95"/>
    <w:rPr>
      <w:rFonts w:ascii="Arial Unicode MS" w:eastAsia="Arial Unicode MS" w:cs="Arial Unicode MS"/>
      <w:i/>
      <w:iCs/>
      <w:noProof/>
      <w:spacing w:val="0"/>
      <w:sz w:val="16"/>
      <w:szCs w:val="16"/>
    </w:rPr>
  </w:style>
  <w:style w:type="character" w:customStyle="1" w:styleId="58425pt58490pt88">
    <w:name w:val="Îñíîâíîé òåêñò (5) + 842.5 pt58.Íå êóðñèâ49.Èíòåðâàë 0 pt88"/>
    <w:uiPriority w:val="99"/>
    <w:rsid w:val="00811C95"/>
    <w:rPr>
      <w:rFonts w:ascii="Arial Unicode MS" w:eastAsia="Arial Unicode MS" w:cs="Arial Unicode MS"/>
      <w:i/>
      <w:iCs/>
      <w:noProof/>
      <w:spacing w:val="-10"/>
      <w:sz w:val="17"/>
      <w:szCs w:val="17"/>
    </w:rPr>
  </w:style>
  <w:style w:type="character" w:customStyle="1" w:styleId="571">
    <w:name w:val="Îñíîâíîé òåêñò (5)71"/>
    <w:uiPriority w:val="99"/>
    <w:rsid w:val="00811C95"/>
    <w:rPr>
      <w:i/>
      <w:iCs/>
      <w:spacing w:val="0"/>
      <w:sz w:val="16"/>
      <w:szCs w:val="16"/>
    </w:rPr>
  </w:style>
  <w:style w:type="character" w:customStyle="1" w:styleId="570">
    <w:name w:val="Îñíîâíîé òåêñò (5)70"/>
    <w:uiPriority w:val="99"/>
    <w:rsid w:val="00811C95"/>
    <w:rPr>
      <w:rFonts w:ascii="Arial Unicode MS" w:eastAsia="Arial Unicode MS" w:cs="Arial Unicode MS"/>
      <w:i/>
      <w:iCs/>
      <w:noProof/>
      <w:spacing w:val="0"/>
      <w:sz w:val="16"/>
      <w:szCs w:val="16"/>
    </w:rPr>
  </w:style>
  <w:style w:type="character" w:customStyle="1" w:styleId="58415pt5722">
    <w:name w:val="Îñíîâíîé òåêñò (5) + 841.5 pt57.Ïîëóæèðíûé22"/>
    <w:uiPriority w:val="99"/>
    <w:rsid w:val="00811C95"/>
    <w:rPr>
      <w:b/>
      <w:bCs/>
      <w:i/>
      <w:iCs/>
      <w:spacing w:val="0"/>
      <w:sz w:val="17"/>
      <w:szCs w:val="17"/>
    </w:rPr>
  </w:style>
  <w:style w:type="character" w:customStyle="1" w:styleId="206">
    <w:name w:val="Îñíîâíîé òåêñò (20)_"/>
    <w:uiPriority w:val="99"/>
    <w:rsid w:val="00811C95"/>
    <w:rPr>
      <w:b/>
      <w:bCs/>
      <w:i/>
      <w:iCs/>
      <w:sz w:val="15"/>
      <w:szCs w:val="15"/>
    </w:rPr>
  </w:style>
  <w:style w:type="character" w:customStyle="1" w:styleId="207">
    <w:name w:val="Îñíîâíîé òåêñò (20)"/>
    <w:uiPriority w:val="99"/>
    <w:rsid w:val="00811C95"/>
    <w:rPr>
      <w:b/>
      <w:bCs/>
      <w:i/>
      <w:iCs/>
      <w:sz w:val="15"/>
      <w:szCs w:val="15"/>
    </w:rPr>
  </w:style>
  <w:style w:type="character" w:customStyle="1" w:styleId="2030">
    <w:name w:val="Îñíîâíîé òåêñò (20)3"/>
    <w:uiPriority w:val="99"/>
    <w:rsid w:val="00811C95"/>
    <w:rPr>
      <w:rFonts w:ascii="Arial Unicode MS" w:eastAsia="Arial Unicode MS" w:cs="Arial Unicode MS"/>
      <w:b/>
      <w:bCs/>
      <w:i/>
      <w:iCs/>
      <w:noProof/>
      <w:sz w:val="15"/>
      <w:szCs w:val="15"/>
    </w:rPr>
  </w:style>
  <w:style w:type="character" w:customStyle="1" w:styleId="208pt4">
    <w:name w:val="Îñíîâíîé òåêñò (20) + 8 pt.Íå ïîëóæèðíûé4"/>
    <w:uiPriority w:val="99"/>
    <w:rsid w:val="00811C95"/>
    <w:rPr>
      <w:rFonts w:ascii="Arial Unicode MS" w:eastAsia="Arial Unicode MS" w:cs="Arial Unicode MS"/>
      <w:b/>
      <w:bCs/>
      <w:i/>
      <w:iCs/>
      <w:noProof/>
      <w:sz w:val="16"/>
      <w:szCs w:val="16"/>
    </w:rPr>
  </w:style>
  <w:style w:type="character" w:customStyle="1" w:styleId="2020">
    <w:name w:val="Îñíîâíîé òåêñò (20)2"/>
    <w:uiPriority w:val="99"/>
    <w:rsid w:val="00811C95"/>
    <w:rPr>
      <w:b/>
      <w:bCs/>
      <w:i/>
      <w:iCs/>
      <w:sz w:val="15"/>
      <w:szCs w:val="15"/>
    </w:rPr>
  </w:style>
  <w:style w:type="character" w:customStyle="1" w:styleId="2040">
    <w:name w:val="Îñíîâíîé òåêñò (20) + Íå ïîëóæèðíûé.Ìàëûå ïðîïèñíûå4"/>
    <w:uiPriority w:val="99"/>
    <w:rsid w:val="00811C95"/>
    <w:rPr>
      <w:b/>
      <w:bCs/>
      <w:i/>
      <w:iCs/>
      <w:smallCaps/>
      <w:sz w:val="15"/>
      <w:szCs w:val="15"/>
    </w:rPr>
  </w:style>
  <w:style w:type="paragraph" w:customStyle="1" w:styleId="2011">
    <w:name w:val="Îñíîâíîé òåêñò (20)1"/>
    <w:basedOn w:val="a"/>
    <w:uiPriority w:val="99"/>
    <w:rsid w:val="00811C95"/>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431">
    <w:name w:val="Îñíîâíîé òåêñò (4) + Íå êóðñèâ3"/>
    <w:uiPriority w:val="99"/>
    <w:rsid w:val="00811C95"/>
    <w:rPr>
      <w:rFonts w:ascii="Microsoft Sans Serif" w:hAnsi="Microsoft Sans Serif" w:cs="Microsoft Sans Serif"/>
      <w:i/>
      <w:iCs/>
      <w:sz w:val="15"/>
      <w:szCs w:val="15"/>
    </w:rPr>
  </w:style>
  <w:style w:type="character" w:customStyle="1" w:styleId="490">
    <w:name w:val="Îñíîâíîé òåêñò (4)9"/>
    <w:uiPriority w:val="99"/>
    <w:rsid w:val="00811C95"/>
    <w:rPr>
      <w:rFonts w:ascii="Microsoft Sans Serif" w:hAnsi="Microsoft Sans Serif" w:cs="Microsoft Sans Serif"/>
      <w:i/>
      <w:iCs/>
      <w:sz w:val="15"/>
      <w:szCs w:val="15"/>
      <w:u w:val="single"/>
    </w:rPr>
  </w:style>
  <w:style w:type="character" w:customStyle="1" w:styleId="481">
    <w:name w:val="Îñíîâíîé òåêñò (4)8"/>
    <w:uiPriority w:val="99"/>
    <w:rsid w:val="00811C95"/>
    <w:rPr>
      <w:rFonts w:ascii="Microsoft Sans Serif" w:hAnsi="Microsoft Sans Serif" w:cs="Microsoft Sans Serif"/>
      <w:i/>
      <w:iCs/>
      <w:sz w:val="15"/>
      <w:szCs w:val="15"/>
      <w:u w:val="single"/>
    </w:rPr>
  </w:style>
  <w:style w:type="character" w:customStyle="1" w:styleId="440">
    <w:name w:val="Îñíîâíîé òåêñò (4) + Íå êóðñèâ4"/>
    <w:uiPriority w:val="99"/>
    <w:rsid w:val="00811C95"/>
    <w:rPr>
      <w:rFonts w:ascii="Microsoft Sans Serif" w:hAnsi="Microsoft Sans Serif" w:cs="Microsoft Sans Serif"/>
      <w:i/>
      <w:iCs/>
      <w:sz w:val="15"/>
      <w:szCs w:val="15"/>
    </w:rPr>
  </w:style>
  <w:style w:type="character" w:customStyle="1" w:styleId="471">
    <w:name w:val="Îñíîâíîé òåêñò (4)7"/>
    <w:uiPriority w:val="99"/>
    <w:rsid w:val="00811C95"/>
    <w:rPr>
      <w:rFonts w:ascii="Microsoft Sans Serif" w:hAnsi="Microsoft Sans Serif" w:cs="Microsoft Sans Serif"/>
      <w:i/>
      <w:iCs/>
      <w:sz w:val="15"/>
      <w:szCs w:val="15"/>
      <w:u w:val="single"/>
    </w:rPr>
  </w:style>
  <w:style w:type="character" w:customStyle="1" w:styleId="460">
    <w:name w:val="Îñíîâíîé òåêñò (4)6"/>
    <w:uiPriority w:val="99"/>
    <w:rsid w:val="00811C95"/>
    <w:rPr>
      <w:rFonts w:ascii="Microsoft Sans Serif" w:hAnsi="Microsoft Sans Serif" w:cs="Microsoft Sans Serif"/>
      <w:i/>
      <w:iCs/>
      <w:sz w:val="15"/>
      <w:szCs w:val="15"/>
      <w:u w:val="single"/>
    </w:rPr>
  </w:style>
  <w:style w:type="character" w:customStyle="1" w:styleId="420">
    <w:name w:val="Îñíîâíîé òåêñò (4) + Íå êóðñèâ2"/>
    <w:uiPriority w:val="99"/>
    <w:rsid w:val="00811C95"/>
    <w:rPr>
      <w:rFonts w:ascii="Microsoft Sans Serif" w:hAnsi="Microsoft Sans Serif" w:cs="Microsoft Sans Serif"/>
      <w:i/>
      <w:iCs/>
      <w:sz w:val="15"/>
      <w:szCs w:val="15"/>
    </w:rPr>
  </w:style>
  <w:style w:type="character" w:customStyle="1" w:styleId="450">
    <w:name w:val="Îñíîâíîé òåêñò (4)5"/>
    <w:uiPriority w:val="99"/>
    <w:rsid w:val="00811C95"/>
    <w:rPr>
      <w:rFonts w:ascii="Microsoft Sans Serif" w:hAnsi="Microsoft Sans Serif" w:cs="Microsoft Sans Serif"/>
      <w:i/>
      <w:iCs/>
      <w:sz w:val="15"/>
      <w:szCs w:val="15"/>
      <w:u w:val="single"/>
    </w:rPr>
  </w:style>
  <w:style w:type="character" w:customStyle="1" w:styleId="465pt15122">
    <w:name w:val="Îñíîâíîé òåêñò (4) + 6.5 pt15.Ïîëóæèðíûé12.Íå êóðñèâ2"/>
    <w:uiPriority w:val="99"/>
    <w:rsid w:val="00811C95"/>
    <w:rPr>
      <w:rFonts w:ascii="Microsoft Sans Serif" w:hAnsi="Microsoft Sans Serif" w:cs="Microsoft Sans Serif"/>
      <w:b/>
      <w:bCs/>
      <w:i/>
      <w:iCs/>
      <w:sz w:val="13"/>
      <w:szCs w:val="13"/>
    </w:rPr>
  </w:style>
  <w:style w:type="character" w:customStyle="1" w:styleId="441">
    <w:name w:val="Îñíîâíîé òåêñò (4)4"/>
    <w:uiPriority w:val="99"/>
    <w:rsid w:val="00811C95"/>
    <w:rPr>
      <w:rFonts w:ascii="Microsoft Sans Serif" w:hAnsi="Microsoft Sans Serif" w:cs="Microsoft Sans Serif"/>
      <w:i/>
      <w:iCs/>
      <w:sz w:val="15"/>
      <w:szCs w:val="15"/>
      <w:u w:val="single"/>
    </w:rPr>
  </w:style>
  <w:style w:type="character" w:customStyle="1" w:styleId="432">
    <w:name w:val="Îñíîâíîé òåêñò (4)3"/>
    <w:uiPriority w:val="99"/>
    <w:rsid w:val="00811C95"/>
    <w:rPr>
      <w:rFonts w:ascii="Microsoft Sans Serif" w:hAnsi="Microsoft Sans Serif" w:cs="Microsoft Sans Serif"/>
      <w:i/>
      <w:iCs/>
      <w:sz w:val="15"/>
      <w:szCs w:val="15"/>
      <w:u w:val="single"/>
    </w:rPr>
  </w:style>
  <w:style w:type="character" w:customStyle="1" w:styleId="413">
    <w:name w:val="Îñíîâíîé òåêñò (4) + Íå êóðñèâ1"/>
    <w:uiPriority w:val="99"/>
    <w:rsid w:val="00811C95"/>
    <w:rPr>
      <w:rFonts w:ascii="Microsoft Sans Serif" w:hAnsi="Microsoft Sans Serif" w:cs="Microsoft Sans Serif"/>
      <w:i/>
      <w:iCs/>
      <w:sz w:val="15"/>
      <w:szCs w:val="15"/>
    </w:rPr>
  </w:style>
  <w:style w:type="character" w:customStyle="1" w:styleId="4-1pt">
    <w:name w:val="Îñíîâíîé òåêñò (4) + Èíòåðâàë -1 pt"/>
    <w:uiPriority w:val="99"/>
    <w:rsid w:val="00811C95"/>
    <w:rPr>
      <w:rFonts w:ascii="Microsoft Sans Serif" w:hAnsi="Microsoft Sans Serif" w:cs="Microsoft Sans Serif"/>
      <w:i/>
      <w:iCs/>
      <w:spacing w:val="-20"/>
      <w:sz w:val="15"/>
      <w:szCs w:val="15"/>
    </w:rPr>
  </w:style>
  <w:style w:type="character" w:customStyle="1" w:styleId="3fe">
    <w:name w:val="Îñíîâíîé òåêñò + Êóðñèâ3"/>
    <w:uiPriority w:val="99"/>
    <w:rsid w:val="00811C95"/>
    <w:rPr>
      <w:rFonts w:ascii="Microsoft Sans Serif" w:hAnsi="Microsoft Sans Serif" w:cs="Microsoft Sans Serif"/>
      <w:i/>
      <w:iCs/>
      <w:sz w:val="15"/>
      <w:szCs w:val="15"/>
    </w:rPr>
  </w:style>
  <w:style w:type="character" w:customStyle="1" w:styleId="2ff">
    <w:name w:val="Îñíîâíîé òåêñò + Êóðñèâ2"/>
    <w:uiPriority w:val="99"/>
    <w:rsid w:val="00811C95"/>
    <w:rPr>
      <w:rFonts w:ascii="Microsoft Sans Serif" w:hAnsi="Microsoft Sans Serif" w:cs="Microsoft Sans Serif"/>
      <w:i/>
      <w:iCs/>
      <w:sz w:val="15"/>
      <w:szCs w:val="15"/>
    </w:rPr>
  </w:style>
  <w:style w:type="paragraph" w:customStyle="1" w:styleId="89">
    <w:name w:val="Çàãîëîâîê ¹8"/>
    <w:basedOn w:val="a"/>
    <w:uiPriority w:val="99"/>
    <w:rsid w:val="00811C95"/>
    <w:pPr>
      <w:shd w:val="clear" w:color="auto" w:fill="FFFFFF"/>
      <w:autoSpaceDE w:val="0"/>
      <w:autoSpaceDN w:val="0"/>
      <w:adjustRightInd w:val="0"/>
      <w:spacing w:before="180" w:after="0" w:line="211" w:lineRule="exact"/>
    </w:pPr>
    <w:rPr>
      <w:rFonts w:ascii="Microsoft Sans Serif" w:hAnsi="Microsoft Sans Serif" w:cs="Microsoft Sans Serif"/>
      <w:b/>
      <w:bCs/>
      <w:noProof/>
      <w:sz w:val="17"/>
      <w:szCs w:val="17"/>
      <w:lang w:val="en-US"/>
    </w:rPr>
  </w:style>
  <w:style w:type="paragraph" w:customStyle="1" w:styleId="218">
    <w:name w:val="Îñíîâíîé òåêñò (21)"/>
    <w:basedOn w:val="a"/>
    <w:uiPriority w:val="99"/>
    <w:rsid w:val="00811C95"/>
    <w:pPr>
      <w:shd w:val="clear" w:color="auto" w:fill="FFFFFF"/>
      <w:autoSpaceDE w:val="0"/>
      <w:autoSpaceDN w:val="0"/>
      <w:adjustRightInd w:val="0"/>
      <w:spacing w:after="120" w:line="211" w:lineRule="exact"/>
      <w:ind w:firstLine="280"/>
      <w:jc w:val="both"/>
    </w:pPr>
    <w:rPr>
      <w:rFonts w:ascii="Microsoft Sans Serif" w:hAnsi="Microsoft Sans Serif" w:cs="Microsoft Sans Serif"/>
      <w:b/>
      <w:bCs/>
      <w:i/>
      <w:iCs/>
      <w:noProof/>
      <w:sz w:val="16"/>
      <w:szCs w:val="16"/>
      <w:lang w:val="en-US"/>
    </w:rPr>
  </w:style>
  <w:style w:type="paragraph" w:customStyle="1" w:styleId="1210">
    <w:name w:val="Îñíîâíîé òåêñò (12)1"/>
    <w:basedOn w:val="a"/>
    <w:uiPriority w:val="99"/>
    <w:rsid w:val="00811C95"/>
    <w:pPr>
      <w:shd w:val="clear" w:color="auto" w:fill="FFFFFF"/>
      <w:autoSpaceDE w:val="0"/>
      <w:autoSpaceDN w:val="0"/>
      <w:adjustRightInd w:val="0"/>
      <w:spacing w:before="420" w:after="0" w:line="206" w:lineRule="exact"/>
      <w:jc w:val="both"/>
    </w:pPr>
    <w:rPr>
      <w:rFonts w:ascii="Microsoft Sans Serif" w:hAnsi="Microsoft Sans Serif" w:cs="Microsoft Sans Serif"/>
      <w:i/>
      <w:iCs/>
      <w:noProof/>
      <w:sz w:val="16"/>
      <w:szCs w:val="16"/>
      <w:lang w:val="en-US"/>
    </w:rPr>
  </w:style>
  <w:style w:type="character" w:customStyle="1" w:styleId="200pt65">
    <w:name w:val="Îñíîâíîé òåêñò (20) + Íå êóðñèâ.Èíòåðâàë 0 pt65"/>
    <w:uiPriority w:val="99"/>
    <w:rsid w:val="00811C95"/>
    <w:rPr>
      <w:rFonts w:ascii="Lucida Sans Unicode" w:hAnsi="Lucida Sans Unicode" w:cs="Lucida Sans Unicode"/>
      <w:i/>
      <w:iCs/>
      <w:spacing w:val="-10"/>
      <w:sz w:val="16"/>
      <w:szCs w:val="16"/>
    </w:rPr>
  </w:style>
  <w:style w:type="character" w:customStyle="1" w:styleId="160pt64">
    <w:name w:val="Îñíîâíîé òåêñò + Êóðñèâ16.Èíòåðâàë 0 pt64"/>
    <w:uiPriority w:val="99"/>
    <w:rsid w:val="00811C95"/>
    <w:rPr>
      <w:rFonts w:ascii="Lucida Sans Unicode" w:hAnsi="Lucida Sans Unicode" w:cs="Lucida Sans Unicode"/>
      <w:i/>
      <w:iCs/>
      <w:spacing w:val="0"/>
      <w:sz w:val="16"/>
      <w:szCs w:val="16"/>
    </w:rPr>
  </w:style>
  <w:style w:type="character" w:customStyle="1" w:styleId="20160pt63">
    <w:name w:val="Îñíîâíîé òåêñò (20) + Íå êóðñèâ16.Èíòåðâàë 0 pt63"/>
    <w:uiPriority w:val="99"/>
    <w:rsid w:val="00811C95"/>
    <w:rPr>
      <w:rFonts w:ascii="Lucida Sans Unicode" w:hAnsi="Lucida Sans Unicode" w:cs="Lucida Sans Unicode"/>
      <w:i/>
      <w:iCs/>
      <w:spacing w:val="-10"/>
      <w:sz w:val="16"/>
      <w:szCs w:val="16"/>
    </w:rPr>
  </w:style>
  <w:style w:type="character" w:customStyle="1" w:styleId="2060">
    <w:name w:val="Îñíîâíîé òåêñò (20)6"/>
    <w:uiPriority w:val="99"/>
    <w:rsid w:val="00811C95"/>
    <w:rPr>
      <w:rFonts w:ascii="Lucida Sans Unicode" w:hAnsi="Lucida Sans Unicode" w:cs="Lucida Sans Unicode"/>
      <w:b/>
      <w:bCs/>
      <w:i/>
      <w:iCs/>
      <w:sz w:val="16"/>
      <w:szCs w:val="16"/>
      <w:u w:val="single"/>
    </w:rPr>
  </w:style>
  <w:style w:type="character" w:customStyle="1" w:styleId="20140pt59">
    <w:name w:val="Îñíîâíîé òåêñò (20) + Íå êóðñèâ14.Èíòåðâàë 0 pt59"/>
    <w:uiPriority w:val="99"/>
    <w:rsid w:val="00811C95"/>
    <w:rPr>
      <w:rFonts w:ascii="Lucida Sans Unicode" w:hAnsi="Lucida Sans Unicode" w:cs="Lucida Sans Unicode"/>
      <w:b/>
      <w:bCs/>
      <w:i/>
      <w:iCs/>
      <w:spacing w:val="-10"/>
      <w:sz w:val="16"/>
      <w:szCs w:val="16"/>
    </w:rPr>
  </w:style>
  <w:style w:type="character" w:customStyle="1" w:styleId="140pt58">
    <w:name w:val="Îñíîâíîé òåêñò + Êóðñèâ14.Èíòåðâàë 0 pt58"/>
    <w:uiPriority w:val="99"/>
    <w:rsid w:val="00811C95"/>
    <w:rPr>
      <w:rFonts w:ascii="Lucida Sans Unicode" w:hAnsi="Lucida Sans Unicode" w:cs="Lucida Sans Unicode"/>
      <w:i/>
      <w:iCs/>
      <w:spacing w:val="0"/>
      <w:sz w:val="16"/>
      <w:szCs w:val="16"/>
    </w:rPr>
  </w:style>
  <w:style w:type="character" w:customStyle="1" w:styleId="MSMincho">
    <w:name w:val="Îñíîâíîé òåêñò + MS Mincho"/>
    <w:uiPriority w:val="99"/>
    <w:rsid w:val="00811C95"/>
    <w:rPr>
      <w:rFonts w:ascii="MS Mincho" w:eastAsia="MS Mincho" w:hAnsi="Microsoft Sans Serif" w:cs="MS Mincho"/>
      <w:spacing w:val="-10"/>
      <w:sz w:val="16"/>
      <w:szCs w:val="16"/>
    </w:rPr>
  </w:style>
  <w:style w:type="character" w:customStyle="1" w:styleId="20130pt57">
    <w:name w:val="Îñíîâíîé òåêñò (20) + Íå êóðñèâ13.Èíòåðâàë 0 pt57"/>
    <w:uiPriority w:val="99"/>
    <w:rsid w:val="00811C95"/>
    <w:rPr>
      <w:rFonts w:ascii="Lucida Sans Unicode" w:hAnsi="Lucida Sans Unicode" w:cs="Lucida Sans Unicode"/>
      <w:b/>
      <w:bCs/>
      <w:i/>
      <w:iCs/>
      <w:spacing w:val="-10"/>
      <w:sz w:val="16"/>
      <w:szCs w:val="16"/>
    </w:rPr>
  </w:style>
  <w:style w:type="character" w:customStyle="1" w:styleId="2050">
    <w:name w:val="Îñíîâíîé òåêñò (20)5"/>
    <w:uiPriority w:val="99"/>
    <w:rsid w:val="00811C95"/>
    <w:rPr>
      <w:rFonts w:ascii="Lucida Sans Unicode" w:hAnsi="Lucida Sans Unicode" w:cs="Lucida Sans Unicode"/>
      <w:b/>
      <w:bCs/>
      <w:i/>
      <w:iCs/>
      <w:sz w:val="16"/>
      <w:szCs w:val="16"/>
      <w:u w:val="single"/>
    </w:rPr>
  </w:style>
  <w:style w:type="character" w:customStyle="1" w:styleId="2041">
    <w:name w:val="Îñíîâíîé òåêñò (20)4"/>
    <w:uiPriority w:val="99"/>
    <w:rsid w:val="00811C95"/>
    <w:rPr>
      <w:rFonts w:ascii="Lucida Sans Unicode" w:hAnsi="Lucida Sans Unicode" w:cs="Lucida Sans Unicode"/>
      <w:b/>
      <w:bCs/>
      <w:i/>
      <w:iCs/>
      <w:sz w:val="16"/>
      <w:szCs w:val="16"/>
      <w:u w:val="single"/>
    </w:rPr>
  </w:style>
  <w:style w:type="character" w:customStyle="1" w:styleId="20120pt56">
    <w:name w:val="Îñíîâíîé òåêñò (20) + Íå êóðñèâ12.Èíòåðâàë 0 pt56"/>
    <w:uiPriority w:val="99"/>
    <w:rsid w:val="00811C95"/>
    <w:rPr>
      <w:rFonts w:ascii="Lucida Sans Unicode" w:hAnsi="Lucida Sans Unicode" w:cs="Lucida Sans Unicode"/>
      <w:b/>
      <w:bCs/>
      <w:i/>
      <w:iCs/>
      <w:spacing w:val="-10"/>
      <w:sz w:val="16"/>
      <w:szCs w:val="16"/>
    </w:rPr>
  </w:style>
  <w:style w:type="character" w:customStyle="1" w:styleId="20MSMincho30pt55">
    <w:name w:val="Îñíîâíîé òåêñò (20) + MS Mincho.Íå êóðñèâ3.Èíòåðâàë 0 pt55"/>
    <w:uiPriority w:val="99"/>
    <w:rsid w:val="00811C95"/>
    <w:rPr>
      <w:rFonts w:ascii="MS Mincho" w:eastAsia="MS Mincho" w:cs="MS Mincho"/>
      <w:b/>
      <w:bCs/>
      <w:i/>
      <w:iCs/>
      <w:spacing w:val="-10"/>
      <w:sz w:val="16"/>
      <w:szCs w:val="16"/>
    </w:rPr>
  </w:style>
  <w:style w:type="character" w:customStyle="1" w:styleId="1420">
    <w:name w:val="Îñíîâíîé òåêñò (14)2"/>
    <w:uiPriority w:val="99"/>
    <w:rsid w:val="00811C95"/>
    <w:rPr>
      <w:rFonts w:ascii="Lucida Sans Unicode" w:hAnsi="Lucida Sans Unicode" w:cs="Lucida Sans Unicode"/>
      <w:spacing w:val="-10"/>
      <w:sz w:val="13"/>
      <w:szCs w:val="13"/>
      <w:u w:val="single"/>
    </w:rPr>
  </w:style>
  <w:style w:type="character" w:customStyle="1" w:styleId="20110pt54">
    <w:name w:val="Îñíîâíîé òåêñò (20) + Íå êóðñèâ11.Èíòåðâàë 0 pt54"/>
    <w:uiPriority w:val="99"/>
    <w:rsid w:val="00811C95"/>
    <w:rPr>
      <w:rFonts w:ascii="Lucida Sans Unicode" w:hAnsi="Lucida Sans Unicode" w:cs="Lucida Sans Unicode"/>
      <w:b/>
      <w:bCs/>
      <w:i/>
      <w:iCs/>
      <w:spacing w:val="-10"/>
      <w:sz w:val="16"/>
      <w:szCs w:val="16"/>
    </w:rPr>
  </w:style>
  <w:style w:type="character" w:customStyle="1" w:styleId="720pt41">
    <w:name w:val="Îñíîâíîé òåêñò (7) + Íå êóðñèâ2.Èíòåðâàë 0 pt41"/>
    <w:uiPriority w:val="99"/>
    <w:rsid w:val="00811C95"/>
    <w:rPr>
      <w:rFonts w:ascii="Lucida Sans Unicode" w:hAnsi="Lucida Sans Unicode" w:cs="Lucida Sans Unicode"/>
      <w:i/>
      <w:iCs/>
      <w:spacing w:val="-10"/>
      <w:sz w:val="13"/>
      <w:szCs w:val="13"/>
    </w:rPr>
  </w:style>
  <w:style w:type="character" w:customStyle="1" w:styleId="2090pt380">
    <w:name w:val="Îñíîâíîé òåêñò (20) + Íå êóðñèâ9.Èíòåðâàë 0 pt38"/>
    <w:uiPriority w:val="99"/>
    <w:rsid w:val="00811C95"/>
    <w:rPr>
      <w:rFonts w:ascii="Lucida Sans Unicode" w:hAnsi="Lucida Sans Unicode" w:cs="Lucida Sans Unicode"/>
      <w:b/>
      <w:bCs/>
      <w:i/>
      <w:iCs/>
      <w:spacing w:val="-10"/>
      <w:sz w:val="16"/>
      <w:szCs w:val="16"/>
    </w:rPr>
  </w:style>
  <w:style w:type="character" w:customStyle="1" w:styleId="6pt20">
    <w:name w:val="Îñíîâíîé òåêñò + 6 pt2"/>
    <w:uiPriority w:val="99"/>
    <w:rsid w:val="00811C95"/>
    <w:rPr>
      <w:rFonts w:ascii="Lucida Sans Unicode" w:hAnsi="Lucida Sans Unicode" w:cs="Lucida Sans Unicode"/>
      <w:spacing w:val="-10"/>
      <w:sz w:val="12"/>
      <w:szCs w:val="12"/>
    </w:rPr>
  </w:style>
  <w:style w:type="character" w:customStyle="1" w:styleId="70pt370">
    <w:name w:val="Îñíîâíîé òåêñò + Êóðñèâ7.Èíòåðâàë 0 pt37"/>
    <w:uiPriority w:val="99"/>
    <w:rsid w:val="00811C95"/>
    <w:rPr>
      <w:rFonts w:ascii="Lucida Sans Unicode" w:hAnsi="Lucida Sans Unicode" w:cs="Lucida Sans Unicode"/>
      <w:i/>
      <w:iCs/>
      <w:spacing w:val="0"/>
      <w:sz w:val="16"/>
      <w:szCs w:val="16"/>
    </w:rPr>
  </w:style>
  <w:style w:type="character" w:customStyle="1" w:styleId="60pt360">
    <w:name w:val="Îñíîâíîé òåêñò + Êóðñèâ6.Èíòåðâàë 0 pt36"/>
    <w:uiPriority w:val="99"/>
    <w:rsid w:val="00811C95"/>
    <w:rPr>
      <w:rFonts w:ascii="Lucida Sans Unicode" w:hAnsi="Lucida Sans Unicode" w:cs="Lucida Sans Unicode"/>
      <w:i/>
      <w:iCs/>
      <w:spacing w:val="0"/>
      <w:sz w:val="16"/>
      <w:szCs w:val="16"/>
    </w:rPr>
  </w:style>
  <w:style w:type="character" w:customStyle="1" w:styleId="2080pt350">
    <w:name w:val="Îñíîâíîé òåêñò (20) + Íå êóðñèâ8.Èíòåðâàë 0 pt35"/>
    <w:uiPriority w:val="99"/>
    <w:rsid w:val="00811C95"/>
    <w:rPr>
      <w:rFonts w:ascii="Lucida Sans Unicode" w:hAnsi="Lucida Sans Unicode" w:cs="Lucida Sans Unicode"/>
      <w:b/>
      <w:bCs/>
      <w:i/>
      <w:iCs/>
      <w:spacing w:val="-10"/>
      <w:sz w:val="16"/>
      <w:szCs w:val="16"/>
    </w:rPr>
  </w:style>
  <w:style w:type="character" w:customStyle="1" w:styleId="50pt340">
    <w:name w:val="Îñíîâíîé òåêñò + Êóðñèâ5.Èíòåðâàë 0 pt34"/>
    <w:uiPriority w:val="99"/>
    <w:rsid w:val="00811C95"/>
    <w:rPr>
      <w:rFonts w:ascii="Lucida Sans Unicode" w:hAnsi="Lucida Sans Unicode" w:cs="Lucida Sans Unicode"/>
      <w:i/>
      <w:iCs/>
      <w:spacing w:val="0"/>
      <w:sz w:val="16"/>
      <w:szCs w:val="16"/>
    </w:rPr>
  </w:style>
  <w:style w:type="character" w:customStyle="1" w:styleId="14ArialNarrow10pt390">
    <w:name w:val="Îñíîâíîé òåêñò (14) + Arial Narrow1.Ìàëûå ïðîïèñíûå.Èíòåðâàë 0 pt39"/>
    <w:uiPriority w:val="99"/>
    <w:rsid w:val="00811C95"/>
    <w:rPr>
      <w:rFonts w:ascii="Arial Narrow" w:hAnsi="Arial Narrow" w:cs="Arial Narrow"/>
      <w:smallCaps/>
      <w:spacing w:val="0"/>
      <w:sz w:val="13"/>
      <w:szCs w:val="13"/>
    </w:rPr>
  </w:style>
  <w:style w:type="character" w:customStyle="1" w:styleId="2070pt330">
    <w:name w:val="Îñíîâíîé òåêñò (20) + Íå êóðñèâ7.Èíòåðâàë 0 pt33"/>
    <w:uiPriority w:val="99"/>
    <w:rsid w:val="00811C95"/>
    <w:rPr>
      <w:rFonts w:ascii="Lucida Sans Unicode" w:hAnsi="Lucida Sans Unicode" w:cs="Lucida Sans Unicode"/>
      <w:b/>
      <w:bCs/>
      <w:i/>
      <w:iCs/>
      <w:spacing w:val="-10"/>
      <w:sz w:val="16"/>
      <w:szCs w:val="16"/>
    </w:rPr>
  </w:style>
  <w:style w:type="character" w:customStyle="1" w:styleId="40pt320">
    <w:name w:val="Îñíîâíîé òåêñò + Êóðñèâ4.Èíòåðâàë 0 pt32"/>
    <w:uiPriority w:val="99"/>
    <w:rsid w:val="00811C95"/>
    <w:rPr>
      <w:rFonts w:ascii="Lucida Sans Unicode" w:hAnsi="Lucida Sans Unicode" w:cs="Lucida Sans Unicode"/>
      <w:i/>
      <w:iCs/>
      <w:spacing w:val="0"/>
      <w:sz w:val="16"/>
      <w:szCs w:val="16"/>
    </w:rPr>
  </w:style>
  <w:style w:type="character" w:customStyle="1" w:styleId="2060pt31">
    <w:name w:val="Îñíîâíîé òåêñò (20) + Íå êóðñèâ6.Èíòåðâàë 0 pt31"/>
    <w:uiPriority w:val="99"/>
    <w:rsid w:val="00811C95"/>
    <w:rPr>
      <w:rFonts w:ascii="Lucida Sans Unicode" w:hAnsi="Lucida Sans Unicode" w:cs="Lucida Sans Unicode"/>
      <w:b/>
      <w:bCs/>
      <w:i/>
      <w:iCs/>
      <w:spacing w:val="-10"/>
      <w:sz w:val="16"/>
      <w:szCs w:val="16"/>
    </w:rPr>
  </w:style>
  <w:style w:type="character" w:customStyle="1" w:styleId="2050pt300">
    <w:name w:val="Îñíîâíîé òåêñò (20) + Íå êóðñèâ5.Èíòåðâàë 0 pt30"/>
    <w:uiPriority w:val="99"/>
    <w:rsid w:val="00811C95"/>
    <w:rPr>
      <w:rFonts w:ascii="Lucida Sans Unicode" w:hAnsi="Lucida Sans Unicode" w:cs="Lucida Sans Unicode"/>
      <w:b/>
      <w:bCs/>
      <w:i/>
      <w:iCs/>
      <w:spacing w:val="-10"/>
      <w:sz w:val="16"/>
      <w:szCs w:val="16"/>
    </w:rPr>
  </w:style>
  <w:style w:type="character" w:customStyle="1" w:styleId="30pt290">
    <w:name w:val="Îñíîâíîé òåêñò + Êóðñèâ3.Èíòåðâàë 0 pt29"/>
    <w:uiPriority w:val="99"/>
    <w:rsid w:val="00811C95"/>
    <w:rPr>
      <w:rFonts w:ascii="Lucida Sans Unicode" w:hAnsi="Lucida Sans Unicode" w:cs="Lucida Sans Unicode"/>
      <w:i/>
      <w:iCs/>
      <w:spacing w:val="0"/>
      <w:sz w:val="16"/>
      <w:szCs w:val="16"/>
    </w:rPr>
  </w:style>
  <w:style w:type="character" w:customStyle="1" w:styleId="20pt280">
    <w:name w:val="Îñíîâíîé òåêñò + Êóðñèâ2.Èíòåðâàë 0 pt28"/>
    <w:uiPriority w:val="99"/>
    <w:rsid w:val="00811C95"/>
    <w:rPr>
      <w:rFonts w:ascii="Lucida Sans Unicode" w:hAnsi="Lucida Sans Unicode" w:cs="Lucida Sans Unicode"/>
      <w:i/>
      <w:iCs/>
      <w:spacing w:val="0"/>
      <w:sz w:val="16"/>
      <w:szCs w:val="16"/>
    </w:rPr>
  </w:style>
  <w:style w:type="character" w:customStyle="1" w:styleId="8ArialNarrow211pt215">
    <w:name w:val="Çàãîëîâîê ¹8 + Arial Narrow2.11 pt2.Ïîëóæèðíûé15"/>
    <w:uiPriority w:val="99"/>
    <w:rsid w:val="00811C95"/>
    <w:rPr>
      <w:rFonts w:ascii="Arial Narrow" w:hAnsi="Arial Narrow" w:cs="Arial Narrow"/>
      <w:b/>
      <w:bCs/>
      <w:sz w:val="22"/>
      <w:szCs w:val="22"/>
    </w:rPr>
  </w:style>
  <w:style w:type="character" w:customStyle="1" w:styleId="8ArialNarrow19pt">
    <w:name w:val="Çàãîëîâîê ¹8 + Arial Narrow1.9 pt"/>
    <w:uiPriority w:val="99"/>
    <w:rsid w:val="00811C95"/>
    <w:rPr>
      <w:rFonts w:ascii="Arial Narrow" w:hAnsi="Arial Narrow" w:cs="Arial Narrow"/>
      <w:sz w:val="18"/>
      <w:szCs w:val="18"/>
    </w:rPr>
  </w:style>
  <w:style w:type="paragraph" w:customStyle="1" w:styleId="237">
    <w:name w:val="Îñíîâíîé òåêñò (23)"/>
    <w:basedOn w:val="a"/>
    <w:uiPriority w:val="99"/>
    <w:rsid w:val="00811C95"/>
    <w:pPr>
      <w:shd w:val="clear" w:color="auto" w:fill="FFFFFF"/>
      <w:autoSpaceDE w:val="0"/>
      <w:autoSpaceDN w:val="0"/>
      <w:adjustRightInd w:val="0"/>
      <w:spacing w:after="0" w:line="240" w:lineRule="atLeast"/>
    </w:pPr>
    <w:rPr>
      <w:rFonts w:ascii="Bookman Old Style" w:hAnsi="Bookman Old Style" w:cs="Bookman Old Style"/>
      <w:noProof/>
      <w:sz w:val="8"/>
      <w:szCs w:val="8"/>
      <w:lang w:val="en-US"/>
    </w:rPr>
  </w:style>
  <w:style w:type="paragraph" w:customStyle="1" w:styleId="277">
    <w:name w:val="Îñíîâíîé òåêñò (27)"/>
    <w:basedOn w:val="a"/>
    <w:uiPriority w:val="99"/>
    <w:rsid w:val="00811C95"/>
    <w:pPr>
      <w:shd w:val="clear" w:color="auto" w:fill="FFFFFF"/>
      <w:autoSpaceDE w:val="0"/>
      <w:autoSpaceDN w:val="0"/>
      <w:adjustRightInd w:val="0"/>
      <w:spacing w:before="300" w:after="0" w:line="168" w:lineRule="exact"/>
    </w:pPr>
    <w:rPr>
      <w:rFonts w:ascii="Lucida Sans Unicode" w:hAnsi="Lucida Sans Unicode" w:cs="Lucida Sans Unicode"/>
      <w:i/>
      <w:iCs/>
      <w:noProof/>
      <w:sz w:val="13"/>
      <w:szCs w:val="13"/>
      <w:lang w:val="en-US"/>
    </w:rPr>
  </w:style>
  <w:style w:type="paragraph" w:customStyle="1" w:styleId="414">
    <w:name w:val="Îñíîâíîé òåêñò (41)"/>
    <w:basedOn w:val="a"/>
    <w:uiPriority w:val="99"/>
    <w:rsid w:val="00811C95"/>
    <w:pPr>
      <w:shd w:val="clear" w:color="auto" w:fill="FFFFFF"/>
      <w:autoSpaceDE w:val="0"/>
      <w:autoSpaceDN w:val="0"/>
      <w:adjustRightInd w:val="0"/>
      <w:spacing w:after="60" w:line="240" w:lineRule="atLeast"/>
    </w:pPr>
    <w:rPr>
      <w:rFonts w:ascii="Arial Narrow" w:hAnsi="Arial Narrow" w:cs="Arial Narrow"/>
      <w:b/>
      <w:bCs/>
      <w:noProof/>
      <w:sz w:val="34"/>
      <w:szCs w:val="34"/>
      <w:lang w:val="en-US"/>
    </w:rPr>
  </w:style>
  <w:style w:type="paragraph" w:customStyle="1" w:styleId="1020">
    <w:name w:val="Çàãîëîâîê ¹10 (2)"/>
    <w:basedOn w:val="a"/>
    <w:uiPriority w:val="99"/>
    <w:rsid w:val="00811C95"/>
    <w:pPr>
      <w:shd w:val="clear" w:color="auto" w:fill="FFFFFF"/>
      <w:autoSpaceDE w:val="0"/>
      <w:autoSpaceDN w:val="0"/>
      <w:adjustRightInd w:val="0"/>
      <w:spacing w:before="180" w:after="0" w:line="216" w:lineRule="exact"/>
      <w:jc w:val="center"/>
    </w:pPr>
    <w:rPr>
      <w:rFonts w:ascii="Lucida Sans Unicode" w:hAnsi="Lucida Sans Unicode" w:cs="Lucida Sans Unicode"/>
      <w:b/>
      <w:bCs/>
      <w:noProof/>
      <w:spacing w:val="-10"/>
      <w:sz w:val="17"/>
      <w:szCs w:val="17"/>
      <w:lang w:val="en-US"/>
    </w:rPr>
  </w:style>
  <w:style w:type="paragraph" w:customStyle="1" w:styleId="10a">
    <w:name w:val="Çàãîëîâîê ¹10"/>
    <w:basedOn w:val="a"/>
    <w:uiPriority w:val="99"/>
    <w:rsid w:val="00811C95"/>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1032">
    <w:name w:val="Çàãîëîâîê ¹10 (3)"/>
    <w:basedOn w:val="a"/>
    <w:uiPriority w:val="99"/>
    <w:rsid w:val="00811C95"/>
    <w:pPr>
      <w:shd w:val="clear" w:color="auto" w:fill="FFFFFF"/>
      <w:autoSpaceDE w:val="0"/>
      <w:autoSpaceDN w:val="0"/>
      <w:adjustRightInd w:val="0"/>
      <w:spacing w:before="180" w:after="0" w:line="216" w:lineRule="exact"/>
      <w:ind w:firstLine="280"/>
      <w:jc w:val="both"/>
    </w:pPr>
    <w:rPr>
      <w:rFonts w:ascii="Tahoma" w:hAnsi="Tahoma" w:cs="Tahoma"/>
      <w:b/>
      <w:bCs/>
      <w:noProof/>
      <w:sz w:val="17"/>
      <w:szCs w:val="17"/>
      <w:lang w:val="en-US"/>
    </w:rPr>
  </w:style>
  <w:style w:type="paragraph" w:customStyle="1" w:styleId="31b">
    <w:name w:val="Ïîäïèñü ê êàðòèíêå (3)1"/>
    <w:basedOn w:val="a"/>
    <w:uiPriority w:val="99"/>
    <w:rsid w:val="00811C95"/>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421">
    <w:name w:val="Îñíîâíîé òåêñò (42)"/>
    <w:basedOn w:val="a"/>
    <w:uiPriority w:val="99"/>
    <w:rsid w:val="00811C95"/>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3">
    <w:name w:val="Îñíîâíîé òåêñò (43)"/>
    <w:basedOn w:val="a"/>
    <w:uiPriority w:val="99"/>
    <w:rsid w:val="00811C95"/>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2">
    <w:name w:val="Îñíîâíîé òåêñò (44)"/>
    <w:basedOn w:val="a"/>
    <w:uiPriority w:val="99"/>
    <w:rsid w:val="00811C95"/>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fff5">
    <w:name w:val="Ñíîñêà"/>
    <w:basedOn w:val="a"/>
    <w:uiPriority w:val="99"/>
    <w:rsid w:val="00811C95"/>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paragraph" w:customStyle="1" w:styleId="afffff6">
    <w:name w:val="Ïîäïèñü ê êàðòèíêå"/>
    <w:basedOn w:val="a"/>
    <w:uiPriority w:val="99"/>
    <w:rsid w:val="00811C95"/>
    <w:pPr>
      <w:shd w:val="clear" w:color="auto" w:fill="FFFFFF"/>
      <w:autoSpaceDE w:val="0"/>
      <w:autoSpaceDN w:val="0"/>
      <w:adjustRightInd w:val="0"/>
      <w:spacing w:after="0" w:line="240" w:lineRule="atLeast"/>
      <w:ind w:hanging="820"/>
    </w:pPr>
    <w:rPr>
      <w:rFonts w:ascii="Arial" w:hAnsi="Arial" w:cs="Arial"/>
      <w:b/>
      <w:bCs/>
      <w:noProof/>
      <w:sz w:val="13"/>
      <w:szCs w:val="13"/>
      <w:lang w:val="en-US"/>
    </w:rPr>
  </w:style>
  <w:style w:type="character" w:customStyle="1" w:styleId="14-1pt0">
    <w:name w:val="Îñíîâíîé òåêñò (14) + Èíòåðâàë -1 pt"/>
    <w:uiPriority w:val="99"/>
    <w:rsid w:val="00811C95"/>
    <w:rPr>
      <w:rFonts w:ascii="Microsoft Sans Serif" w:hAnsi="Microsoft Sans Serif" w:cs="Microsoft Sans Serif"/>
      <w:spacing w:val="-20"/>
      <w:sz w:val="17"/>
      <w:szCs w:val="17"/>
      <w:u w:val="single"/>
    </w:rPr>
  </w:style>
  <w:style w:type="character" w:customStyle="1" w:styleId="7-1pt5">
    <w:name w:val="Îñíîâíîé òåêñò (7) + Èíòåðâàë -1 pt5"/>
    <w:uiPriority w:val="99"/>
    <w:rsid w:val="00811C95"/>
    <w:rPr>
      <w:rFonts w:ascii="Century Gothic" w:hAnsi="Century Gothic" w:cs="Century Gothic"/>
      <w:b/>
      <w:bCs/>
      <w:i/>
      <w:iCs/>
      <w:spacing w:val="-20"/>
      <w:sz w:val="17"/>
      <w:szCs w:val="17"/>
      <w:u w:val="single"/>
    </w:rPr>
  </w:style>
  <w:style w:type="character" w:customStyle="1" w:styleId="7pt1214">
    <w:name w:val="Îñíîâíîé òåêñò + 7 pt.Ïîëóæèðíûé12.Êóðñèâ14"/>
    <w:uiPriority w:val="99"/>
    <w:rsid w:val="00811C95"/>
    <w:rPr>
      <w:rFonts w:ascii="Century Gothic" w:hAnsi="Century Gothic" w:cs="Century Gothic"/>
      <w:b/>
      <w:bCs/>
      <w:i/>
      <w:iCs/>
      <w:spacing w:val="-10"/>
      <w:sz w:val="14"/>
      <w:szCs w:val="14"/>
    </w:rPr>
  </w:style>
  <w:style w:type="character" w:customStyle="1" w:styleId="afffff7">
    <w:name w:val="Îñíîâíîé òåêñò + Êóðñèâ"/>
    <w:uiPriority w:val="99"/>
    <w:rsid w:val="00811C95"/>
    <w:rPr>
      <w:rFonts w:ascii="Century Gothic" w:hAnsi="Century Gothic" w:cs="Century Gothic"/>
      <w:i/>
      <w:iCs/>
      <w:spacing w:val="-10"/>
      <w:sz w:val="17"/>
      <w:szCs w:val="17"/>
    </w:rPr>
  </w:style>
  <w:style w:type="character" w:customStyle="1" w:styleId="6e">
    <w:name w:val="Îñíîâíîé òåêñò (6) + Íå êóðñèâ"/>
    <w:uiPriority w:val="99"/>
    <w:rsid w:val="00811C95"/>
    <w:rPr>
      <w:rFonts w:ascii="Century Gothic" w:hAnsi="Century Gothic" w:cs="Century Gothic"/>
      <w:i/>
      <w:iCs/>
      <w:sz w:val="17"/>
      <w:szCs w:val="17"/>
    </w:rPr>
  </w:style>
  <w:style w:type="character" w:customStyle="1" w:styleId="622">
    <w:name w:val="Îñíîâíîé òåêñò (6) + Íå êóðñèâ2"/>
    <w:uiPriority w:val="99"/>
    <w:rsid w:val="00811C95"/>
    <w:rPr>
      <w:rFonts w:ascii="Century Gothic" w:hAnsi="Century Gothic" w:cs="Century Gothic"/>
      <w:i/>
      <w:iCs/>
      <w:sz w:val="17"/>
      <w:szCs w:val="17"/>
    </w:rPr>
  </w:style>
  <w:style w:type="character" w:customStyle="1" w:styleId="5f3">
    <w:name w:val="Îñíîâíîé òåêñò + Êóðñèâ5"/>
    <w:uiPriority w:val="99"/>
    <w:rsid w:val="00811C95"/>
    <w:rPr>
      <w:rFonts w:ascii="Century Gothic" w:hAnsi="Century Gothic" w:cs="Century Gothic"/>
      <w:i/>
      <w:iCs/>
      <w:spacing w:val="-10"/>
      <w:sz w:val="17"/>
      <w:szCs w:val="17"/>
    </w:rPr>
  </w:style>
  <w:style w:type="character" w:customStyle="1" w:styleId="4f5">
    <w:name w:val="Îñíîâíîé òåêñò + Êóðñèâ4"/>
    <w:uiPriority w:val="99"/>
    <w:rsid w:val="00811C95"/>
    <w:rPr>
      <w:rFonts w:ascii="Century Gothic" w:hAnsi="Century Gothic" w:cs="Century Gothic"/>
      <w:i/>
      <w:iCs/>
      <w:spacing w:val="-10"/>
      <w:sz w:val="17"/>
      <w:szCs w:val="17"/>
    </w:rPr>
  </w:style>
  <w:style w:type="paragraph" w:customStyle="1" w:styleId="6f">
    <w:name w:val="Îñíîâíîé òåêñò (6)"/>
    <w:basedOn w:val="a"/>
    <w:uiPriority w:val="99"/>
    <w:rsid w:val="00811C95"/>
    <w:pPr>
      <w:shd w:val="clear" w:color="auto" w:fill="FFFFFF"/>
      <w:autoSpaceDE w:val="0"/>
      <w:autoSpaceDN w:val="0"/>
      <w:adjustRightInd w:val="0"/>
      <w:spacing w:after="0" w:line="178" w:lineRule="exact"/>
    </w:pPr>
    <w:rPr>
      <w:rFonts w:ascii="Century Gothic" w:hAnsi="Century Gothic" w:cs="Century Gothic"/>
      <w:i/>
      <w:iCs/>
      <w:noProof/>
      <w:sz w:val="17"/>
      <w:szCs w:val="17"/>
      <w:lang w:val="en-US"/>
    </w:rPr>
  </w:style>
  <w:style w:type="paragraph" w:customStyle="1" w:styleId="136">
    <w:name w:val="Îñíîâíîé òåêñò (13)"/>
    <w:basedOn w:val="a"/>
    <w:uiPriority w:val="99"/>
    <w:rsid w:val="00811C95"/>
    <w:pPr>
      <w:shd w:val="clear" w:color="auto" w:fill="FFFFFF"/>
      <w:autoSpaceDE w:val="0"/>
      <w:autoSpaceDN w:val="0"/>
      <w:adjustRightInd w:val="0"/>
      <w:spacing w:after="0" w:line="240" w:lineRule="atLeast"/>
    </w:pPr>
    <w:rPr>
      <w:rFonts w:ascii="Segoe UI" w:hAnsi="Segoe UI" w:cs="Segoe UI"/>
      <w:b/>
      <w:bCs/>
      <w:noProof/>
      <w:sz w:val="24"/>
      <w:szCs w:val="24"/>
      <w:lang w:val="en-US"/>
    </w:rPr>
  </w:style>
  <w:style w:type="paragraph" w:customStyle="1" w:styleId="146">
    <w:name w:val="Îñíîâíîé òåêñò (14)"/>
    <w:basedOn w:val="a"/>
    <w:uiPriority w:val="99"/>
    <w:rsid w:val="00811C95"/>
    <w:pPr>
      <w:shd w:val="clear" w:color="auto" w:fill="FFFFFF"/>
      <w:autoSpaceDE w:val="0"/>
      <w:autoSpaceDN w:val="0"/>
      <w:adjustRightInd w:val="0"/>
      <w:spacing w:after="0" w:line="240" w:lineRule="atLeast"/>
    </w:pPr>
    <w:rPr>
      <w:rFonts w:ascii="Microsoft Sans Serif" w:hAnsi="Microsoft Sans Serif" w:cs="Microsoft Sans Serif"/>
      <w:noProof/>
      <w:sz w:val="17"/>
      <w:szCs w:val="17"/>
      <w:lang w:val="en-US"/>
    </w:rPr>
  </w:style>
  <w:style w:type="character" w:customStyle="1" w:styleId="650">
    <w:name w:val="Îñíîâíîé òåêñò (6)5"/>
    <w:uiPriority w:val="99"/>
    <w:rsid w:val="00811C95"/>
    <w:rPr>
      <w:rFonts w:ascii="Microsoft Sans Serif" w:hAnsi="Microsoft Sans Serif" w:cs="Microsoft Sans Serif"/>
      <w:i/>
      <w:iCs/>
      <w:sz w:val="23"/>
      <w:szCs w:val="23"/>
    </w:rPr>
  </w:style>
  <w:style w:type="character" w:customStyle="1" w:styleId="640">
    <w:name w:val="Îñíîâíîé òåêñò (6)4"/>
    <w:uiPriority w:val="99"/>
    <w:rsid w:val="00811C95"/>
    <w:rPr>
      <w:rFonts w:ascii="Microsoft Sans Serif" w:hAnsi="Microsoft Sans Serif" w:cs="Microsoft Sans Serif"/>
      <w:i/>
      <w:iCs/>
      <w:sz w:val="23"/>
      <w:szCs w:val="23"/>
      <w:lang w:val="en-US"/>
    </w:rPr>
  </w:style>
  <w:style w:type="character" w:customStyle="1" w:styleId="630">
    <w:name w:val="Îñíîâíîé òåêñò (6)3"/>
    <w:uiPriority w:val="99"/>
    <w:rsid w:val="00811C95"/>
    <w:rPr>
      <w:rFonts w:ascii="Microsoft Sans Serif" w:hAnsi="Microsoft Sans Serif" w:cs="Microsoft Sans Serif"/>
      <w:i/>
      <w:iCs/>
      <w:sz w:val="23"/>
      <w:szCs w:val="23"/>
      <w:u w:val="single"/>
    </w:rPr>
  </w:style>
  <w:style w:type="character" w:customStyle="1" w:styleId="50pt11">
    <w:name w:val="Îñíîâíîé òåêñò + Êóðñèâ5.Èíòåðâàë 0 pt11"/>
    <w:uiPriority w:val="99"/>
    <w:rsid w:val="00811C95"/>
    <w:rPr>
      <w:rFonts w:ascii="Microsoft Sans Serif" w:hAnsi="Microsoft Sans Serif" w:cs="Microsoft Sans Serif"/>
      <w:i/>
      <w:iCs/>
      <w:spacing w:val="10"/>
      <w:sz w:val="16"/>
      <w:szCs w:val="16"/>
    </w:rPr>
  </w:style>
  <w:style w:type="character" w:customStyle="1" w:styleId="830pt10">
    <w:name w:val="Îñíîâíîé òåêñò (8) + Íå êóðñèâ3.Èíòåðâàë 0 pt10"/>
    <w:uiPriority w:val="99"/>
    <w:rsid w:val="00811C95"/>
    <w:rPr>
      <w:i/>
      <w:iCs/>
      <w:spacing w:val="0"/>
      <w:sz w:val="16"/>
      <w:szCs w:val="16"/>
    </w:rPr>
  </w:style>
  <w:style w:type="character" w:customStyle="1" w:styleId="40pt9">
    <w:name w:val="Îñíîâíîé òåêñò + Êóðñèâ4.Èíòåðâàë 0 pt9"/>
    <w:uiPriority w:val="99"/>
    <w:rsid w:val="00811C95"/>
    <w:rPr>
      <w:rFonts w:ascii="Microsoft Sans Serif" w:hAnsi="Microsoft Sans Serif" w:cs="Microsoft Sans Serif"/>
      <w:i/>
      <w:iCs/>
      <w:spacing w:val="10"/>
      <w:sz w:val="16"/>
      <w:szCs w:val="16"/>
    </w:rPr>
  </w:style>
  <w:style w:type="character" w:customStyle="1" w:styleId="8BookmanOldStyle310pt330pt8">
    <w:name w:val="Îñíîâíîé òåêñò (8) + Bookman Old Style3.10 pt3.Íå êóðñèâ3.Èíòåðâàë 0 pt8"/>
    <w:uiPriority w:val="99"/>
    <w:rsid w:val="00811C95"/>
    <w:rPr>
      <w:rFonts w:ascii="Bookman Old Style" w:hAnsi="Bookman Old Style" w:cs="Bookman Old Style"/>
      <w:i/>
      <w:iCs/>
      <w:noProof/>
      <w:spacing w:val="0"/>
      <w:sz w:val="20"/>
      <w:szCs w:val="20"/>
    </w:rPr>
  </w:style>
  <w:style w:type="character" w:customStyle="1" w:styleId="840">
    <w:name w:val="Îñíîâíîé òåêñò (8)4"/>
    <w:uiPriority w:val="99"/>
    <w:rsid w:val="00811C95"/>
    <w:rPr>
      <w:rFonts w:ascii="Arial Unicode MS" w:eastAsia="Arial Unicode MS" w:cs="Arial Unicode MS"/>
      <w:i/>
      <w:iCs/>
      <w:spacing w:val="10"/>
      <w:sz w:val="16"/>
      <w:szCs w:val="16"/>
      <w:u w:val="single"/>
      <w:lang w:val="en-US"/>
    </w:rPr>
  </w:style>
  <w:style w:type="character" w:customStyle="1" w:styleId="30pt7">
    <w:name w:val="Îñíîâíîé òåêñò + Êóðñèâ3.Èíòåðâàë 0 pt7"/>
    <w:uiPriority w:val="99"/>
    <w:rsid w:val="00811C95"/>
    <w:rPr>
      <w:rFonts w:ascii="Microsoft Sans Serif" w:hAnsi="Microsoft Sans Serif" w:cs="Microsoft Sans Serif"/>
      <w:i/>
      <w:iCs/>
      <w:spacing w:val="10"/>
      <w:sz w:val="16"/>
      <w:szCs w:val="16"/>
    </w:rPr>
  </w:style>
  <w:style w:type="character" w:customStyle="1" w:styleId="820pt6">
    <w:name w:val="Îñíîâíîé òåêñò (8) + Íå êóðñèâ2.Èíòåðâàë 0 pt6"/>
    <w:uiPriority w:val="99"/>
    <w:rsid w:val="00811C95"/>
    <w:rPr>
      <w:i/>
      <w:iCs/>
      <w:spacing w:val="0"/>
      <w:sz w:val="16"/>
      <w:szCs w:val="16"/>
    </w:rPr>
  </w:style>
  <w:style w:type="character" w:customStyle="1" w:styleId="810pt5">
    <w:name w:val="Îñíîâíîé òåêñò (8) + Íå êóðñèâ1.Èíòåðâàë 0 pt5"/>
    <w:uiPriority w:val="99"/>
    <w:rsid w:val="00811C95"/>
    <w:rPr>
      <w:i/>
      <w:iCs/>
      <w:spacing w:val="0"/>
      <w:sz w:val="16"/>
      <w:szCs w:val="16"/>
    </w:rPr>
  </w:style>
  <w:style w:type="character" w:customStyle="1" w:styleId="20pt4">
    <w:name w:val="Îñíîâíîé òåêñò + Êóðñèâ2.Èíòåðâàë 0 pt4"/>
    <w:uiPriority w:val="99"/>
    <w:rsid w:val="00811C95"/>
    <w:rPr>
      <w:rFonts w:ascii="Microsoft Sans Serif" w:hAnsi="Microsoft Sans Serif" w:cs="Microsoft Sans Serif"/>
      <w:i/>
      <w:iCs/>
      <w:spacing w:val="10"/>
      <w:sz w:val="16"/>
      <w:szCs w:val="16"/>
    </w:rPr>
  </w:style>
  <w:style w:type="paragraph" w:customStyle="1" w:styleId="611">
    <w:name w:val="Îñíîâíîé òåêñò (6)1"/>
    <w:basedOn w:val="a"/>
    <w:uiPriority w:val="99"/>
    <w:rsid w:val="00811C95"/>
    <w:pPr>
      <w:shd w:val="clear" w:color="auto" w:fill="FFFFFF"/>
      <w:autoSpaceDE w:val="0"/>
      <w:autoSpaceDN w:val="0"/>
      <w:adjustRightInd w:val="0"/>
      <w:spacing w:after="0" w:line="202" w:lineRule="exact"/>
    </w:pPr>
    <w:rPr>
      <w:rFonts w:ascii="Microsoft Sans Serif" w:hAnsi="Microsoft Sans Serif" w:cs="Microsoft Sans Serif"/>
      <w:i/>
      <w:iCs/>
      <w:noProof/>
      <w:sz w:val="23"/>
      <w:szCs w:val="23"/>
      <w:lang w:val="en-US"/>
    </w:rPr>
  </w:style>
  <w:style w:type="paragraph" w:customStyle="1" w:styleId="9b">
    <w:name w:val="Îñíîâíîé òåêñò (9)"/>
    <w:basedOn w:val="a"/>
    <w:uiPriority w:val="99"/>
    <w:rsid w:val="00811C95"/>
    <w:pPr>
      <w:shd w:val="clear" w:color="auto" w:fill="FFFFFF"/>
      <w:autoSpaceDE w:val="0"/>
      <w:autoSpaceDN w:val="0"/>
      <w:adjustRightInd w:val="0"/>
      <w:spacing w:after="0" w:line="173" w:lineRule="exact"/>
      <w:ind w:hanging="200"/>
      <w:jc w:val="right"/>
    </w:pPr>
    <w:rPr>
      <w:rFonts w:ascii="Times New Roman" w:hAnsi="Times New Roman"/>
      <w:i/>
      <w:iCs/>
      <w:noProof/>
      <w:sz w:val="13"/>
      <w:szCs w:val="13"/>
      <w:lang w:val="en-US"/>
    </w:rPr>
  </w:style>
  <w:style w:type="character" w:customStyle="1" w:styleId="11111">
    <w:name w:val="Îñíîâíîé òåêñò (11) + Íå êóðñèâ11"/>
    <w:uiPriority w:val="99"/>
    <w:rsid w:val="00811C95"/>
    <w:rPr>
      <w:rFonts w:ascii="Arial" w:hAnsi="Arial" w:cs="Arial"/>
      <w:i/>
      <w:iCs/>
      <w:spacing w:val="-10"/>
      <w:sz w:val="17"/>
      <w:szCs w:val="17"/>
    </w:rPr>
  </w:style>
  <w:style w:type="character" w:customStyle="1" w:styleId="11100">
    <w:name w:val="Îñíîâíîé òåêñò (11) + Íå êóðñèâ10"/>
    <w:uiPriority w:val="99"/>
    <w:rsid w:val="00811C95"/>
    <w:rPr>
      <w:rFonts w:ascii="Arial" w:hAnsi="Arial" w:cs="Arial"/>
      <w:i/>
      <w:iCs/>
      <w:spacing w:val="-10"/>
      <w:sz w:val="17"/>
      <w:szCs w:val="17"/>
    </w:rPr>
  </w:style>
  <w:style w:type="character" w:customStyle="1" w:styleId="11d">
    <w:name w:val="Îñíîâíîé òåêñò + Êóðñèâ11"/>
    <w:uiPriority w:val="99"/>
    <w:rsid w:val="00811C95"/>
    <w:rPr>
      <w:rFonts w:ascii="Arial" w:hAnsi="Arial" w:cs="Arial"/>
      <w:i/>
      <w:iCs/>
      <w:spacing w:val="-10"/>
      <w:sz w:val="17"/>
      <w:szCs w:val="17"/>
    </w:rPr>
  </w:style>
  <w:style w:type="character" w:customStyle="1" w:styleId="4835pt2911">
    <w:name w:val="Îñíîâíîé òåêñò (4) + 83.5 pt29.Íå ïîëóæèðíûé11"/>
    <w:uiPriority w:val="99"/>
    <w:rsid w:val="00811C95"/>
    <w:rPr>
      <w:rFonts w:ascii="Arial" w:hAnsi="Arial" w:cs="Arial"/>
      <w:b/>
      <w:bCs/>
      <w:i/>
      <w:iCs/>
      <w:spacing w:val="-10"/>
      <w:sz w:val="17"/>
      <w:szCs w:val="17"/>
    </w:rPr>
  </w:style>
  <w:style w:type="character" w:customStyle="1" w:styleId="10b">
    <w:name w:val="Îñíîâíîé òåêñò + Êóðñèâ10"/>
    <w:uiPriority w:val="99"/>
    <w:rsid w:val="00811C95"/>
    <w:rPr>
      <w:rFonts w:ascii="Arial" w:hAnsi="Arial" w:cs="Arial"/>
      <w:i/>
      <w:iCs/>
      <w:spacing w:val="-10"/>
      <w:sz w:val="17"/>
      <w:szCs w:val="17"/>
    </w:rPr>
  </w:style>
  <w:style w:type="character" w:customStyle="1" w:styleId="78pt7">
    <w:name w:val="Îñíîâíîé òåêñò (7) + 8 pt.Íå êóðñèâ7"/>
    <w:uiPriority w:val="99"/>
    <w:rsid w:val="00811C95"/>
    <w:rPr>
      <w:rFonts w:ascii="Arial" w:hAnsi="Arial" w:cs="Arial"/>
      <w:i/>
      <w:iCs/>
      <w:spacing w:val="-10"/>
      <w:sz w:val="16"/>
      <w:szCs w:val="16"/>
    </w:rPr>
  </w:style>
  <w:style w:type="character" w:customStyle="1" w:styleId="9c">
    <w:name w:val="Îñíîâíîé òåêñò + Êóðñèâ9"/>
    <w:uiPriority w:val="99"/>
    <w:rsid w:val="00811C95"/>
    <w:rPr>
      <w:rFonts w:ascii="Arial" w:hAnsi="Arial" w:cs="Arial"/>
      <w:i/>
      <w:iCs/>
      <w:spacing w:val="-10"/>
      <w:sz w:val="17"/>
      <w:szCs w:val="17"/>
    </w:rPr>
  </w:style>
  <w:style w:type="character" w:customStyle="1" w:styleId="1161">
    <w:name w:val="Îñíîâíîé òåêñò (11) + Íå êóðñèâ6"/>
    <w:uiPriority w:val="99"/>
    <w:rsid w:val="00811C95"/>
    <w:rPr>
      <w:rFonts w:ascii="Arial" w:hAnsi="Arial" w:cs="Arial"/>
      <w:i/>
      <w:iCs/>
      <w:spacing w:val="-10"/>
      <w:sz w:val="17"/>
      <w:szCs w:val="17"/>
    </w:rPr>
  </w:style>
  <w:style w:type="character" w:customStyle="1" w:styleId="8a">
    <w:name w:val="Îñíîâíîé òåêñò + Êóðñèâ8"/>
    <w:uiPriority w:val="99"/>
    <w:rsid w:val="00811C95"/>
    <w:rPr>
      <w:rFonts w:ascii="Arial" w:hAnsi="Arial" w:cs="Arial"/>
      <w:i/>
      <w:iCs/>
      <w:spacing w:val="-10"/>
      <w:sz w:val="17"/>
      <w:szCs w:val="17"/>
    </w:rPr>
  </w:style>
  <w:style w:type="paragraph" w:customStyle="1" w:styleId="5f4">
    <w:name w:val="Ïîäïèñü ê êàðòèíêå (5)"/>
    <w:basedOn w:val="a"/>
    <w:uiPriority w:val="99"/>
    <w:rsid w:val="00811C95"/>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2610">
    <w:name w:val="Îñíîâíîé òåêñò (26)1"/>
    <w:basedOn w:val="a"/>
    <w:uiPriority w:val="99"/>
    <w:rsid w:val="00811C95"/>
    <w:pPr>
      <w:shd w:val="clear" w:color="auto" w:fill="FFFFFF"/>
      <w:autoSpaceDE w:val="0"/>
      <w:autoSpaceDN w:val="0"/>
      <w:adjustRightInd w:val="0"/>
      <w:spacing w:after="120" w:line="240" w:lineRule="atLeast"/>
    </w:pPr>
    <w:rPr>
      <w:rFonts w:ascii="Gulim" w:eastAsia="Gulim" w:hAnsi="Times New Roman" w:cs="Gulim"/>
      <w:noProof/>
      <w:spacing w:val="-10"/>
      <w:sz w:val="20"/>
      <w:szCs w:val="20"/>
      <w:lang w:val="en-US"/>
    </w:rPr>
  </w:style>
  <w:style w:type="paragraph" w:customStyle="1" w:styleId="3ff">
    <w:name w:val="Ïîäïèñü ê êàðòèíêå (3)"/>
    <w:basedOn w:val="a"/>
    <w:uiPriority w:val="99"/>
    <w:rsid w:val="00811C95"/>
    <w:pPr>
      <w:shd w:val="clear" w:color="auto" w:fill="FFFFFF"/>
      <w:autoSpaceDE w:val="0"/>
      <w:autoSpaceDN w:val="0"/>
      <w:adjustRightInd w:val="0"/>
      <w:spacing w:after="0" w:line="168" w:lineRule="exact"/>
      <w:jc w:val="both"/>
    </w:pPr>
    <w:rPr>
      <w:rFonts w:ascii="Arial" w:hAnsi="Arial" w:cs="Arial"/>
      <w:b/>
      <w:bCs/>
      <w:i/>
      <w:iCs/>
      <w:noProof/>
      <w:spacing w:val="-10"/>
      <w:sz w:val="13"/>
      <w:szCs w:val="13"/>
      <w:lang w:val="en-US"/>
    </w:rPr>
  </w:style>
  <w:style w:type="character" w:customStyle="1" w:styleId="100pt30">
    <w:name w:val="Îñíîâíîé òåêñò + Êóðñèâ10.Èíòåðâàë 0 pt30"/>
    <w:uiPriority w:val="99"/>
    <w:rsid w:val="00811C95"/>
    <w:rPr>
      <w:rFonts w:ascii="Microsoft Sans Serif" w:hAnsi="Microsoft Sans Serif" w:cs="Microsoft Sans Serif"/>
      <w:i/>
      <w:iCs/>
      <w:spacing w:val="0"/>
      <w:sz w:val="16"/>
      <w:szCs w:val="16"/>
    </w:rPr>
  </w:style>
  <w:style w:type="character" w:customStyle="1" w:styleId="120pt29">
    <w:name w:val="Îñíîâíîé òåêñò (12) + Íå êóðñèâ.Èíòåðâàë 0 pt29"/>
    <w:uiPriority w:val="99"/>
    <w:rsid w:val="00811C95"/>
    <w:rPr>
      <w:rFonts w:ascii="Microsoft Sans Serif" w:hAnsi="Microsoft Sans Serif" w:cs="Microsoft Sans Serif"/>
      <w:i/>
      <w:iCs/>
      <w:spacing w:val="-10"/>
      <w:sz w:val="16"/>
      <w:szCs w:val="16"/>
    </w:rPr>
  </w:style>
  <w:style w:type="character" w:customStyle="1" w:styleId="12a">
    <w:name w:val="Îñíîâíîé òåêñò (12)_"/>
    <w:uiPriority w:val="99"/>
    <w:rsid w:val="00811C95"/>
    <w:rPr>
      <w:rFonts w:ascii="Microsoft Sans Serif" w:hAnsi="Microsoft Sans Serif" w:cs="Microsoft Sans Serif"/>
      <w:i/>
      <w:iCs/>
      <w:sz w:val="16"/>
      <w:szCs w:val="16"/>
    </w:rPr>
  </w:style>
  <w:style w:type="character" w:customStyle="1" w:styleId="1260pt28">
    <w:name w:val="Îñíîâíîé òåêñò (12) + Íå êóðñèâ6.Èíòåðâàë 0 pt28"/>
    <w:uiPriority w:val="99"/>
    <w:rsid w:val="00811C95"/>
    <w:rPr>
      <w:rFonts w:ascii="Microsoft Sans Serif" w:hAnsi="Microsoft Sans Serif" w:cs="Microsoft Sans Serif"/>
      <w:i/>
      <w:iCs/>
      <w:spacing w:val="-10"/>
      <w:sz w:val="16"/>
      <w:szCs w:val="16"/>
    </w:rPr>
  </w:style>
  <w:style w:type="character" w:customStyle="1" w:styleId="90pt27">
    <w:name w:val="Îñíîâíîé òåêñò + Êóðñèâ9.Èíòåðâàë 0 pt27"/>
    <w:uiPriority w:val="99"/>
    <w:rsid w:val="00811C95"/>
    <w:rPr>
      <w:rFonts w:ascii="Microsoft Sans Serif" w:hAnsi="Microsoft Sans Serif" w:cs="Microsoft Sans Serif"/>
      <w:i/>
      <w:iCs/>
      <w:spacing w:val="0"/>
      <w:sz w:val="16"/>
      <w:szCs w:val="16"/>
    </w:rPr>
  </w:style>
  <w:style w:type="character" w:customStyle="1" w:styleId="1260">
    <w:name w:val="Îñíîâíîé òåêñò (12)6"/>
    <w:uiPriority w:val="99"/>
    <w:rsid w:val="00811C95"/>
    <w:rPr>
      <w:rFonts w:ascii="Microsoft Sans Serif" w:hAnsi="Microsoft Sans Serif" w:cs="Microsoft Sans Serif"/>
      <w:i/>
      <w:iCs/>
      <w:spacing w:val="0"/>
      <w:sz w:val="16"/>
      <w:szCs w:val="16"/>
      <w:u w:val="single"/>
    </w:rPr>
  </w:style>
  <w:style w:type="character" w:customStyle="1" w:styleId="80pt26">
    <w:name w:val="Îñíîâíîé òåêñò + Êóðñèâ8.Èíòåðâàë 0 pt26"/>
    <w:uiPriority w:val="99"/>
    <w:rsid w:val="00811C95"/>
    <w:rPr>
      <w:rFonts w:ascii="Microsoft Sans Serif" w:hAnsi="Microsoft Sans Serif" w:cs="Microsoft Sans Serif"/>
      <w:i/>
      <w:iCs/>
      <w:spacing w:val="0"/>
      <w:sz w:val="16"/>
      <w:szCs w:val="16"/>
    </w:rPr>
  </w:style>
  <w:style w:type="character" w:customStyle="1" w:styleId="1250pt25">
    <w:name w:val="Îñíîâíîé òåêñò (12) + Íå êóðñèâ5.Èíòåðâàë 0 pt25"/>
    <w:uiPriority w:val="99"/>
    <w:rsid w:val="00811C95"/>
    <w:rPr>
      <w:rFonts w:ascii="Microsoft Sans Serif" w:hAnsi="Microsoft Sans Serif" w:cs="Microsoft Sans Serif"/>
      <w:i/>
      <w:iCs/>
      <w:spacing w:val="-10"/>
      <w:sz w:val="16"/>
      <w:szCs w:val="16"/>
    </w:rPr>
  </w:style>
  <w:style w:type="character" w:customStyle="1" w:styleId="20BookmanOldStyle875pt19">
    <w:name w:val="Îñíîâíîé òåêñò (20) + Bookman Old Style.87.5 pt19"/>
    <w:uiPriority w:val="99"/>
    <w:rsid w:val="00811C95"/>
    <w:rPr>
      <w:rFonts w:ascii="Bookman Old Style" w:hAnsi="Bookman Old Style" w:cs="Bookman Old Style"/>
      <w:b/>
      <w:bCs/>
      <w:i/>
      <w:iCs/>
      <w:sz w:val="17"/>
      <w:szCs w:val="17"/>
    </w:rPr>
  </w:style>
  <w:style w:type="character" w:customStyle="1" w:styleId="1250">
    <w:name w:val="Îñíîâíîé òåêñò (12)5"/>
    <w:uiPriority w:val="99"/>
    <w:rsid w:val="00811C95"/>
    <w:rPr>
      <w:rFonts w:ascii="Microsoft Sans Serif" w:hAnsi="Microsoft Sans Serif" w:cs="Microsoft Sans Serif"/>
      <w:i/>
      <w:iCs/>
      <w:spacing w:val="0"/>
      <w:sz w:val="16"/>
      <w:szCs w:val="16"/>
      <w:u w:val="single"/>
    </w:rPr>
  </w:style>
  <w:style w:type="character" w:customStyle="1" w:styleId="1240">
    <w:name w:val="Îñíîâíîé òåêñò (12)4"/>
    <w:uiPriority w:val="99"/>
    <w:rsid w:val="00811C95"/>
    <w:rPr>
      <w:rFonts w:ascii="Microsoft Sans Serif" w:hAnsi="Microsoft Sans Serif" w:cs="Microsoft Sans Serif"/>
      <w:i/>
      <w:iCs/>
      <w:spacing w:val="0"/>
      <w:sz w:val="16"/>
      <w:szCs w:val="16"/>
      <w:u w:val="single"/>
    </w:rPr>
  </w:style>
  <w:style w:type="character" w:customStyle="1" w:styleId="12SimHei7pt12">
    <w:name w:val="Îñíîâíîé òåêñò (12) + SimHei.7 pt.Íå êóðñèâ12"/>
    <w:uiPriority w:val="99"/>
    <w:rsid w:val="00811C95"/>
    <w:rPr>
      <w:rFonts w:ascii="SimHei" w:eastAsia="SimHei" w:hAnsi="Microsoft Sans Serif" w:cs="SimHei"/>
      <w:i/>
      <w:iCs/>
      <w:spacing w:val="0"/>
      <w:sz w:val="14"/>
      <w:szCs w:val="14"/>
    </w:rPr>
  </w:style>
  <w:style w:type="character" w:customStyle="1" w:styleId="1240pt24">
    <w:name w:val="Îñíîâíîé òåêñò (12) + Íå êóðñèâ4.Èíòåðâàë 0 pt24"/>
    <w:uiPriority w:val="99"/>
    <w:rsid w:val="00811C95"/>
    <w:rPr>
      <w:rFonts w:ascii="Microsoft Sans Serif" w:hAnsi="Microsoft Sans Serif" w:cs="Microsoft Sans Serif"/>
      <w:i/>
      <w:iCs/>
      <w:spacing w:val="-10"/>
      <w:sz w:val="16"/>
      <w:szCs w:val="16"/>
    </w:rPr>
  </w:style>
  <w:style w:type="character" w:customStyle="1" w:styleId="70pt23">
    <w:name w:val="Îñíîâíîé òåêñò + Êóðñèâ7.Èíòåðâàë 0 pt23"/>
    <w:uiPriority w:val="99"/>
    <w:rsid w:val="00811C95"/>
    <w:rPr>
      <w:rFonts w:ascii="Microsoft Sans Serif" w:hAnsi="Microsoft Sans Serif" w:cs="Microsoft Sans Serif"/>
      <w:i/>
      <w:iCs/>
      <w:spacing w:val="0"/>
      <w:sz w:val="16"/>
      <w:szCs w:val="16"/>
    </w:rPr>
  </w:style>
  <w:style w:type="character" w:customStyle="1" w:styleId="12BookmanOldStyle6865pt1710">
    <w:name w:val="Îñíîâíîé òåêñò (12) + Bookman Old Style6.86.5 pt17.Íå êóðñèâ10"/>
    <w:uiPriority w:val="99"/>
    <w:rsid w:val="00811C95"/>
    <w:rPr>
      <w:rFonts w:ascii="Bookman Old Style" w:hAnsi="Bookman Old Style" w:cs="Bookman Old Style"/>
      <w:i/>
      <w:iCs/>
      <w:spacing w:val="0"/>
      <w:sz w:val="17"/>
      <w:szCs w:val="17"/>
    </w:rPr>
  </w:style>
  <w:style w:type="character" w:customStyle="1" w:styleId="60pt22">
    <w:name w:val="Îñíîâíîé òåêñò + Êóðñèâ6.Èíòåðâàë 0 pt22"/>
    <w:uiPriority w:val="99"/>
    <w:rsid w:val="00811C95"/>
    <w:rPr>
      <w:rFonts w:ascii="Microsoft Sans Serif" w:hAnsi="Microsoft Sans Serif" w:cs="Microsoft Sans Serif"/>
      <w:i/>
      <w:iCs/>
      <w:spacing w:val="0"/>
      <w:sz w:val="16"/>
      <w:szCs w:val="16"/>
    </w:rPr>
  </w:style>
  <w:style w:type="character" w:customStyle="1" w:styleId="1230">
    <w:name w:val="Îñíîâíîé òåêñò (12)3"/>
    <w:uiPriority w:val="99"/>
    <w:rsid w:val="00811C95"/>
    <w:rPr>
      <w:rFonts w:ascii="Microsoft Sans Serif" w:hAnsi="Microsoft Sans Serif" w:cs="Microsoft Sans Serif"/>
      <w:i/>
      <w:iCs/>
      <w:spacing w:val="0"/>
      <w:sz w:val="16"/>
      <w:szCs w:val="16"/>
      <w:u w:val="single"/>
    </w:rPr>
  </w:style>
  <w:style w:type="character" w:customStyle="1" w:styleId="1230pt21">
    <w:name w:val="Îñíîâíîé òåêñò (12) + Íå êóðñèâ3.Èíòåðâàë 0 pt21"/>
    <w:uiPriority w:val="99"/>
    <w:rsid w:val="00811C95"/>
    <w:rPr>
      <w:rFonts w:ascii="Microsoft Sans Serif" w:hAnsi="Microsoft Sans Serif" w:cs="Microsoft Sans Serif"/>
      <w:i/>
      <w:iCs/>
      <w:spacing w:val="-10"/>
      <w:sz w:val="16"/>
      <w:szCs w:val="16"/>
    </w:rPr>
  </w:style>
  <w:style w:type="character" w:customStyle="1" w:styleId="0pt20">
    <w:name w:val="Îñíîâíîé òåêñò + Ìàëûå ïðîïèñíûå.Èíòåðâàë 0 pt20"/>
    <w:uiPriority w:val="99"/>
    <w:rsid w:val="00811C95"/>
    <w:rPr>
      <w:rFonts w:ascii="Microsoft Sans Serif" w:hAnsi="Microsoft Sans Serif" w:cs="Microsoft Sans Serif"/>
      <w:smallCaps/>
      <w:spacing w:val="0"/>
      <w:sz w:val="16"/>
      <w:szCs w:val="16"/>
    </w:rPr>
  </w:style>
  <w:style w:type="character" w:customStyle="1" w:styleId="1265pt160pt19">
    <w:name w:val="Îñíîâíîé òåêñò (12) + 6.5 pt16.Ìàëûå ïðîïèñíûå.Èíòåðâàë 0 pt19"/>
    <w:uiPriority w:val="99"/>
    <w:rsid w:val="00811C95"/>
    <w:rPr>
      <w:rFonts w:ascii="Microsoft Sans Serif" w:hAnsi="Microsoft Sans Serif" w:cs="Microsoft Sans Serif"/>
      <w:i/>
      <w:iCs/>
      <w:smallCaps/>
      <w:spacing w:val="10"/>
      <w:sz w:val="13"/>
      <w:szCs w:val="13"/>
      <w:lang w:val="en-US"/>
    </w:rPr>
  </w:style>
  <w:style w:type="character" w:customStyle="1" w:styleId="1220pt18">
    <w:name w:val="Îñíîâíîé òåêñò (12) + Íå êóðñèâ2.Èíòåðâàë 0 pt18"/>
    <w:uiPriority w:val="99"/>
    <w:rsid w:val="00811C95"/>
    <w:rPr>
      <w:rFonts w:ascii="Microsoft Sans Serif" w:hAnsi="Microsoft Sans Serif" w:cs="Microsoft Sans Serif"/>
      <w:i/>
      <w:iCs/>
      <w:spacing w:val="-10"/>
      <w:sz w:val="16"/>
      <w:szCs w:val="16"/>
    </w:rPr>
  </w:style>
  <w:style w:type="character" w:customStyle="1" w:styleId="50pt17">
    <w:name w:val="Îñíîâíîé òåêñò + Êóðñèâ5.Èíòåðâàë 0 pt17"/>
    <w:uiPriority w:val="99"/>
    <w:rsid w:val="00811C95"/>
    <w:rPr>
      <w:rFonts w:ascii="Microsoft Sans Serif" w:hAnsi="Microsoft Sans Serif" w:cs="Microsoft Sans Serif"/>
      <w:i/>
      <w:iCs/>
      <w:spacing w:val="0"/>
      <w:sz w:val="16"/>
      <w:szCs w:val="16"/>
    </w:rPr>
  </w:style>
  <w:style w:type="character" w:customStyle="1" w:styleId="150pt62">
    <w:name w:val="Îñíîâíîé òåêñò + Êóðñèâ15.Èíòåðâàë 0 pt62"/>
    <w:uiPriority w:val="99"/>
    <w:rsid w:val="00811C95"/>
    <w:rPr>
      <w:rFonts w:ascii="Lucida Sans Unicode" w:hAnsi="Lucida Sans Unicode" w:cs="Lucida Sans Unicode"/>
      <w:i/>
      <w:iCs/>
      <w:spacing w:val="0"/>
      <w:sz w:val="16"/>
      <w:szCs w:val="16"/>
    </w:rPr>
  </w:style>
  <w:style w:type="character" w:customStyle="1" w:styleId="20150pt61">
    <w:name w:val="Îñíîâíîé òåêñò (20) + Íå êóðñèâ15.Èíòåðâàë 0 pt61"/>
    <w:uiPriority w:val="99"/>
    <w:rsid w:val="00811C95"/>
    <w:rPr>
      <w:rFonts w:ascii="Lucida Sans Unicode" w:hAnsi="Lucida Sans Unicode" w:cs="Lucida Sans Unicode"/>
      <w:b/>
      <w:bCs/>
      <w:i/>
      <w:iCs/>
      <w:spacing w:val="-10"/>
      <w:sz w:val="16"/>
      <w:szCs w:val="16"/>
    </w:rPr>
  </w:style>
  <w:style w:type="character" w:customStyle="1" w:styleId="159">
    <w:name w:val="Îñíîâíîé òåêñò + Êóðñèâ15"/>
    <w:uiPriority w:val="99"/>
    <w:rsid w:val="00811C95"/>
    <w:rPr>
      <w:rFonts w:ascii="Arial" w:hAnsi="Arial" w:cs="Arial"/>
      <w:i/>
      <w:iCs/>
      <w:spacing w:val="-10"/>
      <w:sz w:val="17"/>
      <w:szCs w:val="17"/>
      <w:u w:val="single"/>
    </w:rPr>
  </w:style>
  <w:style w:type="character" w:customStyle="1" w:styleId="1190">
    <w:name w:val="Îñíîâíîé òåêñò (11) + Íå êóðñèâ9"/>
    <w:uiPriority w:val="99"/>
    <w:rsid w:val="00811C95"/>
    <w:rPr>
      <w:rFonts w:ascii="Arial" w:hAnsi="Arial" w:cs="Arial"/>
      <w:i/>
      <w:iCs/>
      <w:spacing w:val="-10"/>
      <w:sz w:val="17"/>
      <w:szCs w:val="17"/>
    </w:rPr>
  </w:style>
  <w:style w:type="character" w:customStyle="1" w:styleId="148">
    <w:name w:val="Îñíîâíîé òåêñò + Êóðñèâ14"/>
    <w:uiPriority w:val="99"/>
    <w:rsid w:val="00811C95"/>
    <w:rPr>
      <w:rFonts w:ascii="Arial" w:hAnsi="Arial" w:cs="Arial"/>
      <w:i/>
      <w:iCs/>
      <w:spacing w:val="-10"/>
      <w:sz w:val="17"/>
      <w:szCs w:val="17"/>
    </w:rPr>
  </w:style>
  <w:style w:type="character" w:customStyle="1" w:styleId="1181">
    <w:name w:val="Îñíîâíîé òåêñò (11) + Íå êóðñèâ8"/>
    <w:uiPriority w:val="99"/>
    <w:rsid w:val="00811C95"/>
    <w:rPr>
      <w:rFonts w:ascii="Arial" w:hAnsi="Arial" w:cs="Arial"/>
      <w:i/>
      <w:iCs/>
      <w:spacing w:val="-10"/>
      <w:sz w:val="17"/>
      <w:szCs w:val="17"/>
    </w:rPr>
  </w:style>
  <w:style w:type="character" w:customStyle="1" w:styleId="137">
    <w:name w:val="Îñíîâíîé òåêñò + Êóðñèâ13"/>
    <w:uiPriority w:val="99"/>
    <w:rsid w:val="00811C95"/>
    <w:rPr>
      <w:rFonts w:ascii="Arial" w:hAnsi="Arial" w:cs="Arial"/>
      <w:i/>
      <w:iCs/>
      <w:spacing w:val="-10"/>
      <w:sz w:val="17"/>
      <w:szCs w:val="17"/>
      <w:lang w:val="en-US"/>
    </w:rPr>
  </w:style>
  <w:style w:type="character" w:customStyle="1" w:styleId="8pt3100pt23">
    <w:name w:val="Îñíîâíîé òåêñò + 8 pt3.Êóðñèâ10.Ìàëûå ïðîïèñíûå.Èíòåðâàë 0 pt23"/>
    <w:uiPriority w:val="99"/>
    <w:rsid w:val="00811C95"/>
    <w:rPr>
      <w:rFonts w:ascii="Arial" w:hAnsi="Arial" w:cs="Arial"/>
      <w:i/>
      <w:iCs/>
      <w:smallCaps/>
      <w:spacing w:val="0"/>
      <w:sz w:val="16"/>
      <w:szCs w:val="16"/>
      <w:lang w:val="en-US"/>
    </w:rPr>
  </w:style>
  <w:style w:type="character" w:customStyle="1" w:styleId="11SimHei75pt3080pt22">
    <w:name w:val="Îñíîâíîé òåêñò (11) + SimHei.7.5 pt30.Íå êóðñèâ8.Èíòåðâàë 0 pt22"/>
    <w:uiPriority w:val="99"/>
    <w:rsid w:val="00811C95"/>
    <w:rPr>
      <w:rFonts w:ascii="SimHei" w:eastAsia="SimHei" w:hAnsi="Microsoft Sans Serif" w:cs="SimHei"/>
      <w:i/>
      <w:iCs/>
      <w:spacing w:val="0"/>
      <w:sz w:val="15"/>
      <w:szCs w:val="15"/>
    </w:rPr>
  </w:style>
  <w:style w:type="character" w:customStyle="1" w:styleId="12b">
    <w:name w:val="Îñíîâíîé òåêñò + Êóðñèâ12"/>
    <w:uiPriority w:val="99"/>
    <w:rsid w:val="00811C95"/>
    <w:rPr>
      <w:rFonts w:ascii="Arial" w:hAnsi="Arial" w:cs="Arial"/>
      <w:i/>
      <w:iCs/>
      <w:spacing w:val="-10"/>
      <w:sz w:val="17"/>
      <w:szCs w:val="17"/>
    </w:rPr>
  </w:style>
  <w:style w:type="character" w:customStyle="1" w:styleId="1171">
    <w:name w:val="Îñíîâíîé òåêñò (11) + Íå êóðñèâ7"/>
    <w:uiPriority w:val="99"/>
    <w:rsid w:val="00811C95"/>
    <w:rPr>
      <w:rFonts w:ascii="Arial" w:hAnsi="Arial" w:cs="Arial"/>
      <w:i/>
      <w:iCs/>
      <w:spacing w:val="-10"/>
      <w:sz w:val="17"/>
      <w:szCs w:val="17"/>
    </w:rPr>
  </w:style>
  <w:style w:type="paragraph" w:customStyle="1" w:styleId="11e">
    <w:name w:val="Çàãîëîâîê ¹11"/>
    <w:basedOn w:val="a"/>
    <w:uiPriority w:val="99"/>
    <w:rsid w:val="00811C95"/>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character" w:customStyle="1" w:styleId="635pt54">
    <w:name w:val="Îñíîâíîé òåêñò + 63.5 pt5.Ïîëóæèðíûé4"/>
    <w:uiPriority w:val="99"/>
    <w:rsid w:val="00811C95"/>
    <w:rPr>
      <w:rFonts w:ascii="Arial" w:hAnsi="Arial" w:cs="Arial"/>
      <w:b/>
      <w:bCs/>
      <w:sz w:val="13"/>
      <w:szCs w:val="13"/>
    </w:rPr>
  </w:style>
  <w:style w:type="character" w:customStyle="1" w:styleId="1012">
    <w:name w:val="Îñíîâíîé òåêñò (10) + Íå êóðñèâ1"/>
    <w:uiPriority w:val="99"/>
    <w:rsid w:val="00811C95"/>
    <w:rPr>
      <w:rFonts w:ascii="Arial" w:hAnsi="Arial" w:cs="Arial"/>
      <w:i/>
      <w:iCs/>
      <w:sz w:val="15"/>
      <w:szCs w:val="15"/>
    </w:rPr>
  </w:style>
  <w:style w:type="paragraph" w:customStyle="1" w:styleId="10c">
    <w:name w:val="Îñíîâíîé òåêñò (10)"/>
    <w:basedOn w:val="a"/>
    <w:uiPriority w:val="99"/>
    <w:rsid w:val="00811C95"/>
    <w:pPr>
      <w:shd w:val="clear" w:color="auto" w:fill="FFFFFF"/>
      <w:autoSpaceDE w:val="0"/>
      <w:autoSpaceDN w:val="0"/>
      <w:adjustRightInd w:val="0"/>
      <w:spacing w:before="120" w:after="120" w:line="174" w:lineRule="exact"/>
      <w:jc w:val="both"/>
    </w:pPr>
    <w:rPr>
      <w:rFonts w:ascii="Arial" w:hAnsi="Arial" w:cs="Arial"/>
      <w:i/>
      <w:iCs/>
      <w:noProof/>
      <w:sz w:val="15"/>
      <w:szCs w:val="15"/>
      <w:lang w:val="en-US"/>
    </w:rPr>
  </w:style>
  <w:style w:type="character" w:customStyle="1" w:styleId="3ff0">
    <w:name w:val="Îñíîâíîé òåêñò + Ïîëóæèðíûé3"/>
    <w:uiPriority w:val="99"/>
    <w:rsid w:val="00811C95"/>
    <w:rPr>
      <w:rFonts w:ascii="Arial" w:hAnsi="Arial" w:cs="Arial"/>
      <w:b/>
      <w:bCs/>
      <w:sz w:val="16"/>
      <w:szCs w:val="16"/>
    </w:rPr>
  </w:style>
  <w:style w:type="character" w:customStyle="1" w:styleId="2ff0">
    <w:name w:val="Îñíîâíîé òåêñò + Ïîëóæèðíûé2"/>
    <w:uiPriority w:val="99"/>
    <w:rsid w:val="00811C95"/>
    <w:rPr>
      <w:rFonts w:ascii="Arial" w:hAnsi="Arial" w:cs="Arial"/>
      <w:b/>
      <w:bCs/>
      <w:sz w:val="16"/>
      <w:szCs w:val="16"/>
    </w:rPr>
  </w:style>
  <w:style w:type="character" w:customStyle="1" w:styleId="465pt7">
    <w:name w:val="Îñíîâíîé òåêñò (4) + 6.5 pt7"/>
    <w:uiPriority w:val="99"/>
    <w:rsid w:val="00811C95"/>
    <w:rPr>
      <w:rFonts w:ascii="Arial" w:hAnsi="Arial" w:cs="Arial"/>
      <w:i/>
      <w:iCs/>
      <w:noProof/>
      <w:sz w:val="13"/>
      <w:szCs w:val="13"/>
    </w:rPr>
  </w:style>
  <w:style w:type="character" w:customStyle="1" w:styleId="27Arial8pt12">
    <w:name w:val="Îñíîâíîé òåêñò (27) + Arial.8 pt1.Íå êóðñèâ2"/>
    <w:uiPriority w:val="99"/>
    <w:rsid w:val="00811C95"/>
    <w:rPr>
      <w:rFonts w:ascii="Arial" w:hAnsi="Arial" w:cs="Arial"/>
      <w:i/>
      <w:iCs/>
      <w:sz w:val="16"/>
      <w:szCs w:val="16"/>
    </w:rPr>
  </w:style>
  <w:style w:type="character" w:customStyle="1" w:styleId="278">
    <w:name w:val="Îñíîâíîé òåêñò (27) + Ïîëóæèðíûé"/>
    <w:uiPriority w:val="99"/>
    <w:rsid w:val="00811C95"/>
    <w:rPr>
      <w:rFonts w:ascii="Bookman Old Style" w:hAnsi="Bookman Old Style" w:cs="Bookman Old Style"/>
      <w:b/>
      <w:bCs/>
      <w:i/>
      <w:iCs/>
      <w:sz w:val="17"/>
      <w:szCs w:val="17"/>
    </w:rPr>
  </w:style>
  <w:style w:type="character" w:customStyle="1" w:styleId="TimesNewRoman440pt44">
    <w:name w:val="Îñíîâíîé òåêñò + Times New Roman4.40 pt4.Ïîëóæèðíûé4"/>
    <w:uiPriority w:val="99"/>
    <w:rsid w:val="00811C95"/>
    <w:rPr>
      <w:rFonts w:ascii="Times New Roman" w:hAnsi="Times New Roman" w:cs="Times New Roman"/>
      <w:b/>
      <w:bCs/>
      <w:noProof/>
      <w:sz w:val="80"/>
      <w:szCs w:val="80"/>
    </w:rPr>
  </w:style>
  <w:style w:type="character" w:customStyle="1" w:styleId="326">
    <w:name w:val="Çàãîëîâîê ¹32"/>
    <w:uiPriority w:val="99"/>
    <w:rsid w:val="00811C95"/>
    <w:rPr>
      <w:b/>
      <w:bCs/>
      <w:sz w:val="36"/>
      <w:szCs w:val="36"/>
    </w:rPr>
  </w:style>
  <w:style w:type="character" w:customStyle="1" w:styleId="TimesNewRoman140pt11">
    <w:name w:val="Îñíîâíîé òåêñò + Times New Roman1.40 pt1.Ïîëóæèðíûé1"/>
    <w:uiPriority w:val="99"/>
    <w:rsid w:val="00811C95"/>
    <w:rPr>
      <w:rFonts w:ascii="Times New Roman" w:hAnsi="Times New Roman" w:cs="Times New Roman"/>
      <w:b/>
      <w:bCs/>
      <w:noProof/>
      <w:sz w:val="80"/>
      <w:szCs w:val="80"/>
    </w:rPr>
  </w:style>
  <w:style w:type="character" w:customStyle="1" w:styleId="229">
    <w:name w:val="Ïîäïèñü ê òàáëèöå (2)2"/>
    <w:uiPriority w:val="99"/>
    <w:rsid w:val="00811C95"/>
    <w:rPr>
      <w:rFonts w:ascii="Franklin Gothic Book" w:hAnsi="Franklin Gothic Book" w:cs="Franklin Gothic Book"/>
      <w:b/>
      <w:bCs/>
      <w:color w:val="FFFFFF"/>
      <w:sz w:val="15"/>
      <w:szCs w:val="15"/>
    </w:rPr>
  </w:style>
  <w:style w:type="character" w:customStyle="1" w:styleId="422">
    <w:name w:val="Çàãîëîâîê ¹42"/>
    <w:uiPriority w:val="99"/>
    <w:rsid w:val="00811C95"/>
    <w:rPr>
      <w:b/>
      <w:bCs/>
      <w:sz w:val="22"/>
      <w:szCs w:val="22"/>
      <w:u w:val="single"/>
    </w:rPr>
  </w:style>
  <w:style w:type="paragraph" w:customStyle="1" w:styleId="31c">
    <w:name w:val="Çàãîëîâîê ¹31"/>
    <w:basedOn w:val="a"/>
    <w:uiPriority w:val="99"/>
    <w:rsid w:val="00811C95"/>
    <w:pPr>
      <w:shd w:val="clear" w:color="auto" w:fill="FFFFFF"/>
      <w:autoSpaceDE w:val="0"/>
      <w:autoSpaceDN w:val="0"/>
      <w:adjustRightInd w:val="0"/>
      <w:spacing w:after="0" w:line="240" w:lineRule="atLeast"/>
    </w:pPr>
    <w:rPr>
      <w:rFonts w:ascii="Times New Roman" w:hAnsi="Times New Roman"/>
      <w:b/>
      <w:bCs/>
      <w:noProof/>
      <w:sz w:val="36"/>
      <w:szCs w:val="36"/>
      <w:lang w:val="en-US"/>
    </w:rPr>
  </w:style>
  <w:style w:type="paragraph" w:customStyle="1" w:styleId="1710">
    <w:name w:val="Îñíîâíîé òåêñò (17)1"/>
    <w:basedOn w:val="a"/>
    <w:uiPriority w:val="99"/>
    <w:rsid w:val="00811C95"/>
    <w:pPr>
      <w:shd w:val="clear" w:color="auto" w:fill="FFFFFF"/>
      <w:autoSpaceDE w:val="0"/>
      <w:autoSpaceDN w:val="0"/>
      <w:adjustRightInd w:val="0"/>
      <w:spacing w:after="0" w:line="202" w:lineRule="exact"/>
      <w:jc w:val="center"/>
    </w:pPr>
    <w:rPr>
      <w:rFonts w:ascii="Franklin Gothic Book" w:hAnsi="Franklin Gothic Book" w:cs="Franklin Gothic Book"/>
      <w:b/>
      <w:bCs/>
      <w:noProof/>
      <w:sz w:val="15"/>
      <w:szCs w:val="15"/>
      <w:lang w:val="en-US"/>
    </w:rPr>
  </w:style>
  <w:style w:type="paragraph" w:customStyle="1" w:styleId="415">
    <w:name w:val="Çàãîëîâîê ¹41"/>
    <w:basedOn w:val="a"/>
    <w:uiPriority w:val="99"/>
    <w:rsid w:val="00811C95"/>
    <w:pPr>
      <w:shd w:val="clear" w:color="auto" w:fill="FFFFFF"/>
      <w:autoSpaceDE w:val="0"/>
      <w:autoSpaceDN w:val="0"/>
      <w:adjustRightInd w:val="0"/>
      <w:spacing w:before="180" w:after="180" w:line="240" w:lineRule="atLeast"/>
    </w:pPr>
    <w:rPr>
      <w:rFonts w:ascii="Times New Roman" w:hAnsi="Times New Roman"/>
      <w:b/>
      <w:bCs/>
      <w:noProof/>
      <w:lang w:val="en-US"/>
    </w:rPr>
  </w:style>
  <w:style w:type="paragraph" w:customStyle="1" w:styleId="afffff8">
    <w:name w:val="Êîëîíòèòóë"/>
    <w:basedOn w:val="a"/>
    <w:uiPriority w:val="99"/>
    <w:rsid w:val="00811C95"/>
    <w:pPr>
      <w:shd w:val="clear" w:color="auto" w:fill="FFFFFF"/>
      <w:autoSpaceDE w:val="0"/>
      <w:autoSpaceDN w:val="0"/>
      <w:adjustRightInd w:val="0"/>
      <w:spacing w:after="0" w:line="240" w:lineRule="auto"/>
    </w:pPr>
    <w:rPr>
      <w:rFonts w:ascii="Times New Roman" w:hAnsi="Times New Roman"/>
      <w:noProof/>
      <w:sz w:val="20"/>
      <w:szCs w:val="20"/>
      <w:lang w:val="en-US"/>
    </w:rPr>
  </w:style>
  <w:style w:type="character" w:customStyle="1" w:styleId="ArialNarrow115pt16">
    <w:name w:val="Êîëîíòèòóë + Arial Narrow.11.5 pt16.Ïîëóæèðíûé"/>
    <w:uiPriority w:val="99"/>
    <w:rsid w:val="00811C95"/>
    <w:rPr>
      <w:rFonts w:ascii="Arial Narrow" w:hAnsi="Arial Narrow" w:cs="Arial Narrow"/>
      <w:b/>
      <w:bCs/>
      <w:color w:val="FFFFFF"/>
      <w:spacing w:val="0"/>
      <w:sz w:val="23"/>
      <w:szCs w:val="23"/>
    </w:rPr>
  </w:style>
  <w:style w:type="character" w:customStyle="1" w:styleId="MicrosoftSansSerif1515pt13">
    <w:name w:val="Êîëîíòèòóë + Microsoft Sans Serif1.51.5 pt13"/>
    <w:uiPriority w:val="99"/>
    <w:rsid w:val="00811C95"/>
    <w:rPr>
      <w:rFonts w:ascii="Microsoft Sans Serif" w:hAnsi="Microsoft Sans Serif" w:cs="Microsoft Sans Serif"/>
      <w:spacing w:val="0"/>
      <w:sz w:val="11"/>
      <w:szCs w:val="11"/>
    </w:rPr>
  </w:style>
  <w:style w:type="character" w:customStyle="1" w:styleId="TimesNewRoman138pt4">
    <w:name w:val="Îñíîâíîé òåêñò + Times New Roman1.38 pt.Ïîëóæèðíûé4"/>
    <w:uiPriority w:val="99"/>
    <w:rsid w:val="00811C95"/>
    <w:rPr>
      <w:rFonts w:ascii="Times New Roman" w:hAnsi="Times New Roman" w:cs="Times New Roman"/>
      <w:b/>
      <w:bCs/>
      <w:noProof/>
      <w:sz w:val="76"/>
      <w:szCs w:val="76"/>
    </w:rPr>
  </w:style>
  <w:style w:type="character" w:customStyle="1" w:styleId="2121">
    <w:name w:val="Îñíîâíîé òåêñò (21)2"/>
    <w:uiPriority w:val="99"/>
    <w:rsid w:val="00811C95"/>
    <w:rPr>
      <w:rFonts w:ascii="MS Reference Sans Serif" w:hAnsi="MS Reference Sans Serif" w:cs="MS Reference Sans Serif"/>
      <w:color w:val="FFFFFF"/>
      <w:sz w:val="16"/>
      <w:szCs w:val="16"/>
    </w:rPr>
  </w:style>
  <w:style w:type="character" w:customStyle="1" w:styleId="MSReferenceSansSerif20">
    <w:name w:val="Îñíîâíîé òåêñò + MS Reference Sans Serif2"/>
    <w:uiPriority w:val="99"/>
    <w:rsid w:val="00811C95"/>
    <w:rPr>
      <w:rFonts w:ascii="MS Reference Sans Serif" w:hAnsi="MS Reference Sans Serif" w:cs="MS Reference Sans Serif"/>
      <w:sz w:val="13"/>
      <w:szCs w:val="13"/>
    </w:rPr>
  </w:style>
  <w:style w:type="character" w:customStyle="1" w:styleId="1113">
    <w:name w:val="Îñíîâíîé òåêñò (11)13"/>
    <w:uiPriority w:val="99"/>
    <w:rsid w:val="00811C95"/>
    <w:rPr>
      <w:rFonts w:ascii="Arial" w:hAnsi="Arial" w:cs="Arial"/>
      <w:sz w:val="12"/>
      <w:szCs w:val="12"/>
    </w:rPr>
  </w:style>
  <w:style w:type="character" w:customStyle="1" w:styleId="11120">
    <w:name w:val="Îñíîâíîé òåêñò (11)12"/>
    <w:uiPriority w:val="99"/>
    <w:rsid w:val="00811C95"/>
    <w:rPr>
      <w:rFonts w:ascii="Arial" w:hAnsi="Arial" w:cs="Arial"/>
      <w:sz w:val="12"/>
      <w:szCs w:val="12"/>
    </w:rPr>
  </w:style>
  <w:style w:type="character" w:customStyle="1" w:styleId="MSReferenceSansSerif135pt13">
    <w:name w:val="Îñíîâíîé òåêñò + MS Reference Sans Serif1.35 pt1.Ïîëóæèðíûé3"/>
    <w:uiPriority w:val="99"/>
    <w:rsid w:val="00811C95"/>
    <w:rPr>
      <w:rFonts w:ascii="MS Reference Sans Serif" w:hAnsi="MS Reference Sans Serif" w:cs="MS Reference Sans Serif"/>
      <w:b/>
      <w:bCs/>
      <w:noProof/>
      <w:sz w:val="70"/>
      <w:szCs w:val="70"/>
    </w:rPr>
  </w:style>
  <w:style w:type="paragraph" w:customStyle="1" w:styleId="15a">
    <w:name w:val="Îñíîâíîé òåêñò (15)"/>
    <w:basedOn w:val="a"/>
    <w:uiPriority w:val="99"/>
    <w:rsid w:val="00811C95"/>
    <w:pPr>
      <w:shd w:val="clear" w:color="auto" w:fill="FFFFFF"/>
      <w:autoSpaceDE w:val="0"/>
      <w:autoSpaceDN w:val="0"/>
      <w:adjustRightInd w:val="0"/>
      <w:spacing w:after="240" w:line="240" w:lineRule="atLeast"/>
      <w:jc w:val="both"/>
    </w:pPr>
    <w:rPr>
      <w:rFonts w:cs="Calibri"/>
      <w:i/>
      <w:iCs/>
      <w:noProof/>
      <w:sz w:val="16"/>
      <w:szCs w:val="16"/>
      <w:lang w:val="en-US"/>
    </w:rPr>
  </w:style>
  <w:style w:type="paragraph" w:customStyle="1" w:styleId="2111">
    <w:name w:val="Îñíîâíîé òåêñò (21)1"/>
    <w:basedOn w:val="a"/>
    <w:uiPriority w:val="99"/>
    <w:rsid w:val="00811C95"/>
    <w:pPr>
      <w:shd w:val="clear" w:color="auto" w:fill="FFFFFF"/>
      <w:autoSpaceDE w:val="0"/>
      <w:autoSpaceDN w:val="0"/>
      <w:adjustRightInd w:val="0"/>
      <w:spacing w:after="0" w:line="240" w:lineRule="atLeast"/>
    </w:pPr>
    <w:rPr>
      <w:rFonts w:ascii="MS Reference Sans Serif" w:hAnsi="MS Reference Sans Serif" w:cs="MS Reference Sans Serif"/>
      <w:noProof/>
      <w:sz w:val="16"/>
      <w:szCs w:val="16"/>
      <w:lang w:val="en-US"/>
    </w:rPr>
  </w:style>
  <w:style w:type="paragraph" w:customStyle="1" w:styleId="3111">
    <w:name w:val="Îñíîâíîé òåêñò (31)1"/>
    <w:basedOn w:val="a"/>
    <w:uiPriority w:val="99"/>
    <w:rsid w:val="00811C95"/>
    <w:pPr>
      <w:shd w:val="clear" w:color="auto" w:fill="FFFFFF"/>
      <w:autoSpaceDE w:val="0"/>
      <w:autoSpaceDN w:val="0"/>
      <w:adjustRightInd w:val="0"/>
      <w:spacing w:after="0" w:line="240" w:lineRule="atLeast"/>
    </w:pPr>
    <w:rPr>
      <w:rFonts w:ascii="Times New Roman" w:hAnsi="Times New Roman"/>
      <w:b/>
      <w:bCs/>
      <w:noProof/>
      <w:sz w:val="88"/>
      <w:szCs w:val="88"/>
      <w:lang w:val="en-US"/>
    </w:rPr>
  </w:style>
  <w:style w:type="paragraph" w:customStyle="1" w:styleId="Pa2">
    <w:name w:val="Pa2"/>
    <w:basedOn w:val="Default"/>
    <w:next w:val="Default"/>
    <w:uiPriority w:val="99"/>
    <w:rsid w:val="00811C95"/>
    <w:pPr>
      <w:spacing w:line="241" w:lineRule="atLeast"/>
    </w:pPr>
    <w:rPr>
      <w:color w:val="auto"/>
    </w:rPr>
  </w:style>
  <w:style w:type="paragraph" w:customStyle="1" w:styleId="Pa8">
    <w:name w:val="Pa8"/>
    <w:basedOn w:val="Default"/>
    <w:next w:val="Default"/>
    <w:uiPriority w:val="99"/>
    <w:rsid w:val="00811C95"/>
    <w:pPr>
      <w:spacing w:line="201" w:lineRule="atLeast"/>
    </w:pPr>
    <w:rPr>
      <w:color w:val="auto"/>
    </w:rPr>
  </w:style>
  <w:style w:type="character" w:customStyle="1" w:styleId="2ff1">
    <w:name w:val="Îñíîâíîé òåêñò (2)"/>
    <w:uiPriority w:val="99"/>
    <w:rsid w:val="00811C95"/>
    <w:rPr>
      <w:rFonts w:ascii="MS Reference Sans Serif" w:hAnsi="MS Reference Sans Serif" w:cs="MS Reference Sans Serif"/>
      <w:i/>
      <w:iCs/>
      <w:spacing w:val="-10"/>
      <w:sz w:val="22"/>
      <w:szCs w:val="22"/>
    </w:rPr>
  </w:style>
  <w:style w:type="character" w:customStyle="1" w:styleId="2ff2">
    <w:name w:val="Îñíîâíîé òåêñò (2) + Êóðñèâ"/>
    <w:uiPriority w:val="99"/>
    <w:rsid w:val="00811C95"/>
    <w:rPr>
      <w:rFonts w:ascii="MS Reference Sans Serif" w:hAnsi="MS Reference Sans Serif" w:cs="MS Reference Sans Serif"/>
      <w:i/>
      <w:iCs/>
      <w:spacing w:val="-10"/>
      <w:sz w:val="22"/>
      <w:szCs w:val="22"/>
    </w:rPr>
  </w:style>
  <w:style w:type="paragraph" w:customStyle="1" w:styleId="2ff3">
    <w:name w:val="Ïîäïèñü ê êàðòèíêå (2)"/>
    <w:basedOn w:val="a"/>
    <w:uiPriority w:val="99"/>
    <w:rsid w:val="00811C95"/>
    <w:pPr>
      <w:shd w:val="clear" w:color="auto" w:fill="FFFFFF"/>
      <w:autoSpaceDE w:val="0"/>
      <w:autoSpaceDN w:val="0"/>
      <w:adjustRightInd w:val="0"/>
      <w:spacing w:after="0" w:line="240" w:lineRule="atLeast"/>
    </w:pPr>
    <w:rPr>
      <w:rFonts w:ascii="MS Reference Sans Serif" w:hAnsi="MS Reference Sans Serif" w:cs="MS Reference Sans Serif"/>
      <w:noProof/>
      <w:spacing w:val="-10"/>
      <w:lang w:val="en-US"/>
    </w:rPr>
  </w:style>
  <w:style w:type="character" w:customStyle="1" w:styleId="105pt0pt">
    <w:name w:val="Îñíîâíîé òåêñò + 10.5 pt.Êóðñèâ.Èíòåðâàë 0 pt"/>
    <w:uiPriority w:val="99"/>
    <w:rsid w:val="00811C95"/>
    <w:rPr>
      <w:rFonts w:ascii="Microsoft Sans Serif" w:hAnsi="Microsoft Sans Serif" w:cs="Microsoft Sans Serif"/>
      <w:i/>
      <w:iCs/>
      <w:spacing w:val="0"/>
      <w:sz w:val="21"/>
      <w:szCs w:val="21"/>
    </w:rPr>
  </w:style>
  <w:style w:type="character" w:customStyle="1" w:styleId="115pt29115pt8109112SimHei2Arial12pt11ptMSMincho12pt">
    <w:name w:val="Îñíîâíîé òåêñò + 11.5 pt2.Íå êóðñèâ.Îñíîâíîé òåêñò (9) + 11.5 pt8.Îñíîâíîé òåêñò (10) + 91.Íå ìàëûå ïðîïèñíûå1.Îñíîâíîé òåêñò (2) + SimHei.Îñíîâíîé òåêñò (2) + Arial.12 pt.11 pt.Îñíîâíîé òåêñò + MS Mincho.Îñíîâíîé òåêñò + 12 pt"/>
    <w:uiPriority w:val="99"/>
    <w:rsid w:val="00811C95"/>
    <w:rPr>
      <w:rFonts w:ascii="MS Reference Sans Serif" w:hAnsi="MS Reference Sans Serif" w:cs="MS Reference Sans Serif"/>
      <w:spacing w:val="-10"/>
      <w:sz w:val="23"/>
      <w:szCs w:val="23"/>
    </w:rPr>
  </w:style>
  <w:style w:type="paragraph" w:customStyle="1" w:styleId="3ff1">
    <w:name w:val="Îñíîâíîé òåêñò (3)"/>
    <w:basedOn w:val="a"/>
    <w:uiPriority w:val="99"/>
    <w:rsid w:val="00811C95"/>
    <w:pPr>
      <w:shd w:val="clear" w:color="auto" w:fill="FFFFFF"/>
      <w:autoSpaceDE w:val="0"/>
      <w:autoSpaceDN w:val="0"/>
      <w:adjustRightInd w:val="0"/>
      <w:spacing w:after="0" w:line="310" w:lineRule="exact"/>
      <w:jc w:val="both"/>
    </w:pPr>
    <w:rPr>
      <w:rFonts w:ascii="Times New Roman" w:hAnsi="Times New Roman"/>
      <w:noProof/>
      <w:spacing w:val="-10"/>
      <w:sz w:val="24"/>
      <w:szCs w:val="24"/>
      <w:lang w:val="en-US"/>
    </w:rPr>
  </w:style>
  <w:style w:type="character" w:customStyle="1" w:styleId="1-1pt">
    <w:name w:val="Çàãîëîâîê ¹1 + Èíòåðâàë -1 pt"/>
    <w:uiPriority w:val="99"/>
    <w:rsid w:val="00811C95"/>
    <w:rPr>
      <w:rFonts w:ascii="Arial Narrow" w:hAnsi="Arial Narrow" w:cs="Arial Narrow"/>
      <w:b/>
      <w:bCs/>
      <w:spacing w:val="-20"/>
      <w:sz w:val="27"/>
      <w:szCs w:val="27"/>
    </w:rPr>
  </w:style>
  <w:style w:type="character" w:customStyle="1" w:styleId="0pt2">
    <w:name w:val="Îñíîâíîé òåêñò + Èíòåðâàë 0 pt"/>
    <w:uiPriority w:val="99"/>
    <w:rsid w:val="00811C95"/>
    <w:rPr>
      <w:rFonts w:ascii="MS Reference Sans Serif" w:hAnsi="MS Reference Sans Serif" w:cs="MS Reference Sans Serif"/>
      <w:i/>
      <w:iCs/>
      <w:spacing w:val="10"/>
      <w:sz w:val="22"/>
      <w:szCs w:val="22"/>
    </w:rPr>
  </w:style>
  <w:style w:type="character" w:customStyle="1" w:styleId="21pt0">
    <w:name w:val="Îñíîâíîé òåêñò (2) + Èíòåðâàë 1 pt"/>
    <w:uiPriority w:val="99"/>
    <w:rsid w:val="00811C95"/>
    <w:rPr>
      <w:rFonts w:ascii="Tahoma" w:hAnsi="Tahoma" w:cs="Tahoma"/>
      <w:i/>
      <w:iCs/>
      <w:noProof/>
      <w:spacing w:val="30"/>
      <w:sz w:val="24"/>
      <w:szCs w:val="24"/>
    </w:rPr>
  </w:style>
  <w:style w:type="character" w:customStyle="1" w:styleId="2pt0">
    <w:name w:val="Îñíîâíîé òåêñò + Èíòåðâàë 2 pt"/>
    <w:uiPriority w:val="99"/>
    <w:rsid w:val="00811C95"/>
    <w:rPr>
      <w:rFonts w:ascii="Tahoma" w:hAnsi="Tahoma" w:cs="Tahoma"/>
      <w:i/>
      <w:iCs/>
      <w:spacing w:val="40"/>
      <w:sz w:val="21"/>
      <w:szCs w:val="21"/>
    </w:rPr>
  </w:style>
  <w:style w:type="character" w:customStyle="1" w:styleId="2pt1">
    <w:name w:val="Îñíîâíîé òåêñò + Èíòåðâàë 2 pt1"/>
    <w:uiPriority w:val="99"/>
    <w:rsid w:val="00811C95"/>
    <w:rPr>
      <w:rFonts w:ascii="Tahoma" w:hAnsi="Tahoma" w:cs="Tahoma"/>
      <w:i/>
      <w:iCs/>
      <w:spacing w:val="40"/>
      <w:sz w:val="21"/>
      <w:szCs w:val="21"/>
    </w:rPr>
  </w:style>
  <w:style w:type="character" w:customStyle="1" w:styleId="211pt">
    <w:name w:val="Îñíîâíîé òåêñò (2) + 11 pt.Êóðñèâ"/>
    <w:uiPriority w:val="99"/>
    <w:rsid w:val="00811C95"/>
    <w:rPr>
      <w:rFonts w:ascii="MS Reference Sans Serif" w:hAnsi="MS Reference Sans Serif" w:cs="MS Reference Sans Serif"/>
      <w:i/>
      <w:iCs/>
      <w:noProof/>
      <w:spacing w:val="-10"/>
      <w:sz w:val="22"/>
      <w:szCs w:val="22"/>
    </w:rPr>
  </w:style>
  <w:style w:type="character" w:customStyle="1" w:styleId="Batang16pt-1ptGulim125pt1111101Tahoma10pt">
    <w:name w:val="Êîëîíòèòóë + Batang.16 pt.Èíòåðâàë -1 pt.Îñíîâíîé òåêñò + Gulim.12.5 pt1.Íå êóðñèâ1.Îñíîâíîé òåêñò (11) + 10.Ìàëûå ïðîïèñíûå1.Îñíîâíîé òåêñò + Tahoma.10 pt"/>
    <w:uiPriority w:val="99"/>
    <w:rsid w:val="00811C95"/>
    <w:rPr>
      <w:rFonts w:ascii="Batang" w:eastAsia="Batang" w:cs="Batang"/>
      <w:noProof/>
      <w:spacing w:val="-30"/>
      <w:sz w:val="32"/>
      <w:szCs w:val="32"/>
    </w:rPr>
  </w:style>
  <w:style w:type="character" w:customStyle="1" w:styleId="afffff9">
    <w:name w:val="Êîëîíòèòóë_"/>
    <w:uiPriority w:val="99"/>
    <w:rsid w:val="00811C95"/>
    <w:rPr>
      <w:noProof/>
    </w:rPr>
  </w:style>
  <w:style w:type="character" w:customStyle="1" w:styleId="1095pt4">
    <w:name w:val="Îñíîâíîé òåêñò (10) + 9.5 pt4.Íå ìàëûå ïðîïèñíûå"/>
    <w:uiPriority w:val="99"/>
    <w:rsid w:val="00811C95"/>
    <w:rPr>
      <w:rFonts w:ascii="Microsoft Sans Serif" w:hAnsi="Microsoft Sans Serif" w:cs="Microsoft Sans Serif"/>
      <w:smallCaps/>
      <w:noProof/>
      <w:spacing w:val="0"/>
      <w:sz w:val="19"/>
      <w:szCs w:val="19"/>
    </w:rPr>
  </w:style>
  <w:style w:type="character" w:customStyle="1" w:styleId="10d">
    <w:name w:val="Îñíîâíîé òåêñò (10)_"/>
    <w:uiPriority w:val="99"/>
    <w:rsid w:val="00811C95"/>
    <w:rPr>
      <w:rFonts w:ascii="Microsoft Sans Serif" w:hAnsi="Microsoft Sans Serif" w:cs="Microsoft Sans Serif"/>
      <w:smallCaps/>
      <w:sz w:val="17"/>
      <w:szCs w:val="17"/>
    </w:rPr>
  </w:style>
  <w:style w:type="character" w:customStyle="1" w:styleId="1185pt32">
    <w:name w:val="Îñíîâíîé òåêñò (11) + 8.5 pt3.Ìàëûå ïðîïèñíûå2"/>
    <w:uiPriority w:val="99"/>
    <w:rsid w:val="00811C95"/>
    <w:rPr>
      <w:rFonts w:ascii="Microsoft Sans Serif" w:hAnsi="Microsoft Sans Serif" w:cs="Microsoft Sans Serif"/>
      <w:i/>
      <w:iCs/>
      <w:smallCaps/>
      <w:sz w:val="17"/>
      <w:szCs w:val="17"/>
    </w:rPr>
  </w:style>
  <w:style w:type="character" w:customStyle="1" w:styleId="21pt1">
    <w:name w:val="Îñíîâíîé òåêñò (2) + Èíòåðâàë 1 pt1"/>
    <w:uiPriority w:val="99"/>
    <w:rsid w:val="00811C95"/>
    <w:rPr>
      <w:rFonts w:ascii="Microsoft Sans Serif" w:hAnsi="Microsoft Sans Serif" w:cs="Microsoft Sans Serif"/>
      <w:i/>
      <w:iCs/>
      <w:noProof/>
      <w:spacing w:val="30"/>
      <w:sz w:val="21"/>
      <w:szCs w:val="21"/>
    </w:rPr>
  </w:style>
  <w:style w:type="character" w:customStyle="1" w:styleId="2-1pt1">
    <w:name w:val="Îñíîâíîé òåêñò (2) + Èíòåðâàë -1 pt"/>
    <w:uiPriority w:val="99"/>
    <w:rsid w:val="00811C95"/>
    <w:rPr>
      <w:rFonts w:ascii="Microsoft Sans Serif" w:hAnsi="Microsoft Sans Serif" w:cs="Microsoft Sans Serif"/>
      <w:i/>
      <w:iCs/>
      <w:noProof/>
      <w:spacing w:val="-20"/>
      <w:sz w:val="21"/>
      <w:szCs w:val="21"/>
    </w:rPr>
  </w:style>
  <w:style w:type="character" w:customStyle="1" w:styleId="TrebuchetMS155ptArialNarrow17Tahoma0pt1211">
    <w:name w:val="Êîëîíòèòóë + Trebuchet MS.15.5 pt.Êîëîíòèòóë + Arial Narrow.17.Êîëîíòèòóë + Tahoma.Èíòåðâàë 0 pt1.Îñíîâíîé òåêñò (2) + 11"/>
    <w:uiPriority w:val="99"/>
    <w:rsid w:val="00811C95"/>
    <w:rPr>
      <w:rFonts w:ascii="Trebuchet MS" w:hAnsi="Trebuchet MS" w:cs="Trebuchet MS"/>
      <w:noProof/>
      <w:sz w:val="31"/>
      <w:szCs w:val="31"/>
    </w:rPr>
  </w:style>
  <w:style w:type="character" w:customStyle="1" w:styleId="22pt0">
    <w:name w:val="Îñíîâíîé òåêñò (2) + Èíòåðâàë 2 pt"/>
    <w:uiPriority w:val="99"/>
    <w:rsid w:val="00811C95"/>
    <w:rPr>
      <w:rFonts w:ascii="Tahoma" w:hAnsi="Tahoma" w:cs="Tahoma"/>
      <w:i/>
      <w:iCs/>
      <w:noProof/>
      <w:spacing w:val="40"/>
      <w:sz w:val="21"/>
      <w:szCs w:val="21"/>
    </w:rPr>
  </w:style>
  <w:style w:type="character" w:customStyle="1" w:styleId="1pt2">
    <w:name w:val="Îñíîâíîé òåêñò + Èíòåðâàë 1 pt"/>
    <w:uiPriority w:val="99"/>
    <w:rsid w:val="00811C95"/>
    <w:rPr>
      <w:rFonts w:ascii="Microsoft Sans Serif" w:hAnsi="Microsoft Sans Serif" w:cs="Microsoft Sans Serif"/>
      <w:i/>
      <w:iCs/>
      <w:spacing w:val="30"/>
      <w:sz w:val="21"/>
      <w:szCs w:val="21"/>
    </w:rPr>
  </w:style>
  <w:style w:type="character" w:customStyle="1" w:styleId="31pt">
    <w:name w:val="Îñíîâíîé òåêñò (3) + Èíòåðâàë 1 pt"/>
    <w:uiPriority w:val="99"/>
    <w:rsid w:val="00811C95"/>
    <w:rPr>
      <w:rFonts w:ascii="MS Reference Sans Serif" w:hAnsi="MS Reference Sans Serif" w:cs="MS Reference Sans Serif"/>
      <w:b/>
      <w:bCs/>
      <w:i/>
      <w:iCs/>
      <w:spacing w:val="20"/>
      <w:sz w:val="22"/>
      <w:szCs w:val="22"/>
    </w:rPr>
  </w:style>
  <w:style w:type="character" w:customStyle="1" w:styleId="3pt0">
    <w:name w:val="Îñíîâíîé òåêñò + Èíòåðâàë 3 pt"/>
    <w:uiPriority w:val="99"/>
    <w:rsid w:val="00811C95"/>
    <w:rPr>
      <w:rFonts w:ascii="Microsoft Sans Serif" w:hAnsi="Microsoft Sans Serif" w:cs="Microsoft Sans Serif"/>
      <w:i/>
      <w:iCs/>
      <w:spacing w:val="60"/>
      <w:sz w:val="21"/>
      <w:szCs w:val="21"/>
    </w:rPr>
  </w:style>
  <w:style w:type="character" w:customStyle="1" w:styleId="42pt">
    <w:name w:val="Îñíîâíîé òåêñò (4) + Èíòåðâàë 2 pt"/>
    <w:uiPriority w:val="99"/>
    <w:rsid w:val="00811C95"/>
    <w:rPr>
      <w:rFonts w:ascii="Tahoma" w:hAnsi="Tahoma" w:cs="Tahoma"/>
      <w:i/>
      <w:iCs/>
      <w:spacing w:val="50"/>
      <w:sz w:val="21"/>
      <w:szCs w:val="21"/>
    </w:rPr>
  </w:style>
  <w:style w:type="character" w:customStyle="1" w:styleId="4f6">
    <w:name w:val="Îñíîâíîé òåêñò (4)_"/>
    <w:uiPriority w:val="99"/>
    <w:rsid w:val="00811C95"/>
    <w:rPr>
      <w:rFonts w:ascii="Microsoft Sans Serif" w:hAnsi="Microsoft Sans Serif" w:cs="Microsoft Sans Serif"/>
      <w:i/>
      <w:iCs/>
      <w:sz w:val="21"/>
      <w:szCs w:val="21"/>
    </w:rPr>
  </w:style>
  <w:style w:type="character" w:customStyle="1" w:styleId="FranklinGothicHeavy">
    <w:name w:val="Îñíîâíîé òåêñò + Franklin Gothic Heavy"/>
    <w:uiPriority w:val="99"/>
    <w:rsid w:val="00811C95"/>
    <w:rPr>
      <w:rFonts w:ascii="Franklin Gothic Heavy" w:hAnsi="Franklin Gothic Heavy" w:cs="Franklin Gothic Heavy"/>
      <w:spacing w:val="-10"/>
      <w:sz w:val="12"/>
      <w:szCs w:val="12"/>
    </w:rPr>
  </w:style>
  <w:style w:type="character" w:customStyle="1" w:styleId="Tahoma0">
    <w:name w:val="Îñíîâíîé òåêñò + Tahoma.Ïîëóæèðíûé.Êóðñèâ"/>
    <w:uiPriority w:val="99"/>
    <w:rsid w:val="00811C95"/>
    <w:rPr>
      <w:rFonts w:ascii="Tahoma" w:hAnsi="Tahoma" w:cs="Tahoma"/>
      <w:b/>
      <w:bCs/>
      <w:i/>
      <w:iCs/>
      <w:spacing w:val="-10"/>
      <w:sz w:val="12"/>
      <w:szCs w:val="12"/>
      <w:lang w:val="en-US"/>
    </w:rPr>
  </w:style>
  <w:style w:type="character" w:customStyle="1" w:styleId="afffffa">
    <w:name w:val="Îñíîâíîé òåêñò + Ïîëóæèðíûé"/>
    <w:uiPriority w:val="99"/>
    <w:rsid w:val="00811C95"/>
    <w:rPr>
      <w:rFonts w:ascii="Trebuchet MS" w:hAnsi="Trebuchet MS" w:cs="Trebuchet MS"/>
      <w:b/>
      <w:bCs/>
      <w:spacing w:val="-10"/>
      <w:sz w:val="12"/>
      <w:szCs w:val="12"/>
    </w:rPr>
  </w:style>
  <w:style w:type="character" w:customStyle="1" w:styleId="CourierNew445pt">
    <w:name w:val="Îñíîâíîé òåêñò + Courier New.44.5 pt.Ïîëóæèðíûé"/>
    <w:uiPriority w:val="99"/>
    <w:rsid w:val="00811C95"/>
    <w:rPr>
      <w:rFonts w:ascii="Courier New" w:hAnsi="Courier New" w:cs="Courier New"/>
      <w:b/>
      <w:bCs/>
      <w:noProof/>
      <w:spacing w:val="-10"/>
      <w:sz w:val="89"/>
      <w:szCs w:val="89"/>
    </w:rPr>
  </w:style>
  <w:style w:type="character" w:customStyle="1" w:styleId="55pt21">
    <w:name w:val="Îñíîâíîé òåêñò + 5.5 pt2.Ïîëóæèðíûé1"/>
    <w:uiPriority w:val="99"/>
    <w:rsid w:val="00811C95"/>
    <w:rPr>
      <w:rFonts w:ascii="Tahoma" w:hAnsi="Tahoma" w:cs="Tahoma"/>
      <w:b/>
      <w:bCs/>
      <w:spacing w:val="-10"/>
      <w:sz w:val="11"/>
      <w:szCs w:val="11"/>
    </w:rPr>
  </w:style>
  <w:style w:type="character" w:customStyle="1" w:styleId="1fe">
    <w:name w:val="Îñíîâíîé òåêñò + Êóðñèâ1"/>
    <w:uiPriority w:val="99"/>
    <w:rsid w:val="00811C95"/>
    <w:rPr>
      <w:rFonts w:ascii="Arial" w:hAnsi="Arial" w:cs="Arial"/>
      <w:i/>
      <w:iCs/>
      <w:spacing w:val="-10"/>
      <w:sz w:val="17"/>
      <w:szCs w:val="17"/>
    </w:rPr>
  </w:style>
  <w:style w:type="character" w:customStyle="1" w:styleId="625pt720pt7">
    <w:name w:val="Îñíîâíîé òåêñò + 62.5 pt7.Ïîëóæèðíûé2.Èíòåðâàë 0 pt7"/>
    <w:uiPriority w:val="99"/>
    <w:rsid w:val="00811C95"/>
    <w:rPr>
      <w:rFonts w:ascii="Arial" w:hAnsi="Arial" w:cs="Arial"/>
      <w:b/>
      <w:bCs/>
      <w:spacing w:val="0"/>
      <w:sz w:val="13"/>
      <w:szCs w:val="13"/>
    </w:rPr>
  </w:style>
  <w:style w:type="character" w:customStyle="1" w:styleId="725pt6">
    <w:name w:val="Îñíîâíîé òåêñò + 72.5 pt6"/>
    <w:uiPriority w:val="99"/>
    <w:rsid w:val="00811C95"/>
    <w:rPr>
      <w:rFonts w:ascii="Arial" w:hAnsi="Arial" w:cs="Arial"/>
      <w:spacing w:val="-10"/>
      <w:sz w:val="15"/>
      <w:szCs w:val="15"/>
    </w:rPr>
  </w:style>
  <w:style w:type="character" w:customStyle="1" w:styleId="6pt0pt6">
    <w:name w:val="Îñíîâíîé òåêñò + 6 pt.Èíòåðâàë 0 pt6"/>
    <w:uiPriority w:val="99"/>
    <w:rsid w:val="00811C95"/>
    <w:rPr>
      <w:rFonts w:ascii="Arial" w:hAnsi="Arial" w:cs="Arial"/>
      <w:spacing w:val="0"/>
      <w:sz w:val="12"/>
      <w:szCs w:val="12"/>
    </w:rPr>
  </w:style>
  <w:style w:type="paragraph" w:customStyle="1" w:styleId="219">
    <w:name w:val="Ïîäïèñü ê êàðòèíêå (2)1"/>
    <w:basedOn w:val="a"/>
    <w:uiPriority w:val="99"/>
    <w:rsid w:val="00811C95"/>
    <w:pPr>
      <w:shd w:val="clear" w:color="auto" w:fill="FFFFFF"/>
      <w:autoSpaceDE w:val="0"/>
      <w:autoSpaceDN w:val="0"/>
      <w:adjustRightInd w:val="0"/>
      <w:spacing w:after="0" w:line="202" w:lineRule="exact"/>
    </w:pPr>
    <w:rPr>
      <w:rFonts w:ascii="Arial" w:hAnsi="Arial" w:cs="Arial"/>
      <w:i/>
      <w:iCs/>
      <w:noProof/>
      <w:spacing w:val="-10"/>
      <w:sz w:val="17"/>
      <w:szCs w:val="17"/>
      <w:lang w:val="en-US"/>
    </w:rPr>
  </w:style>
  <w:style w:type="paragraph" w:customStyle="1" w:styleId="1ff">
    <w:name w:val="Верхний колонтитул1"/>
    <w:basedOn w:val="a"/>
    <w:uiPriority w:val="99"/>
    <w:rsid w:val="00811C95"/>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paragraph" w:customStyle="1" w:styleId="1ff0">
    <w:name w:val="Нижний колонтитул1"/>
    <w:basedOn w:val="a"/>
    <w:uiPriority w:val="99"/>
    <w:rsid w:val="00811C95"/>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character" w:customStyle="1" w:styleId="afffffb">
    <w:name w:val="Îñíîâíîé øðèôò àáçàöà"/>
    <w:uiPriority w:val="99"/>
    <w:rsid w:val="00811C95"/>
    <w:rPr>
      <w:rFonts w:ascii="Times New Roman" w:hAnsi="Times New Roman" w:cs="Times New Roman"/>
      <w:sz w:val="20"/>
      <w:szCs w:val="20"/>
    </w:rPr>
  </w:style>
  <w:style w:type="paragraph" w:customStyle="1" w:styleId="afffffc">
    <w:name w:val="Ñîäåðæèìîå òàáëèöû"/>
    <w:basedOn w:val="a"/>
    <w:uiPriority w:val="99"/>
    <w:rsid w:val="00811C95"/>
    <w:pPr>
      <w:widowControl w:val="0"/>
      <w:suppressLineNumbers/>
      <w:suppressAutoHyphens/>
      <w:autoSpaceDE w:val="0"/>
      <w:autoSpaceDN w:val="0"/>
      <w:adjustRightInd w:val="0"/>
      <w:spacing w:after="0" w:line="240" w:lineRule="auto"/>
    </w:pPr>
    <w:rPr>
      <w:rFonts w:ascii="Arial" w:hAnsi="Arial" w:cs="Arial"/>
      <w:kern w:val="2"/>
      <w:sz w:val="20"/>
      <w:szCs w:val="20"/>
    </w:rPr>
  </w:style>
  <w:style w:type="character" w:customStyle="1" w:styleId="1ff1">
    <w:name w:val="Îñíîâíîé òåêñò + Ìàëûå ïðîïèñíûå1"/>
    <w:uiPriority w:val="99"/>
    <w:rsid w:val="00811C95"/>
    <w:rPr>
      <w:rFonts w:ascii="Microsoft Sans Serif" w:hAnsi="Microsoft Sans Serif" w:cs="Microsoft Sans Serif"/>
      <w:smallCaps/>
      <w:spacing w:val="-10"/>
      <w:sz w:val="28"/>
      <w:szCs w:val="28"/>
    </w:rPr>
  </w:style>
  <w:style w:type="character" w:customStyle="1" w:styleId="FranklinGothicBook111pt11">
    <w:name w:val="Îñíîâíîé òåêñò + Franklin Gothic Book1.11 pt1.Ìàëûå ïðîïèñíûå1"/>
    <w:uiPriority w:val="99"/>
    <w:rsid w:val="00811C95"/>
    <w:rPr>
      <w:rFonts w:ascii="Franklin Gothic Book" w:hAnsi="Franklin Gothic Book" w:cs="Franklin Gothic Book"/>
      <w:smallCaps/>
      <w:spacing w:val="-10"/>
      <w:sz w:val="22"/>
      <w:szCs w:val="22"/>
    </w:rPr>
  </w:style>
  <w:style w:type="paragraph" w:customStyle="1" w:styleId="12c">
    <w:name w:val="Çàãîëîâîê ¹12"/>
    <w:basedOn w:val="a"/>
    <w:uiPriority w:val="99"/>
    <w:rsid w:val="00811C95"/>
    <w:pPr>
      <w:shd w:val="clear" w:color="auto" w:fill="FFFFFF"/>
      <w:autoSpaceDE w:val="0"/>
      <w:autoSpaceDN w:val="0"/>
      <w:adjustRightInd w:val="0"/>
      <w:spacing w:after="0" w:line="240" w:lineRule="atLeast"/>
    </w:pPr>
    <w:rPr>
      <w:rFonts w:ascii="Microsoft Sans Serif" w:hAnsi="Microsoft Sans Serif" w:cs="Microsoft Sans Serif"/>
      <w:noProof/>
      <w:sz w:val="36"/>
      <w:szCs w:val="36"/>
      <w:lang w:val="en-US"/>
    </w:rPr>
  </w:style>
  <w:style w:type="character" w:customStyle="1" w:styleId="BookmanOldStyle">
    <w:name w:val="Основной текст + Bookman Old Style"/>
    <w:rsid w:val="00811C95"/>
    <w:rPr>
      <w:rFonts w:ascii="Bookman Old Style" w:hAnsi="Bookman Old Style"/>
      <w:spacing w:val="-10"/>
      <w:sz w:val="13"/>
    </w:rPr>
  </w:style>
  <w:style w:type="paragraph" w:customStyle="1" w:styleId="1ff2">
    <w:name w:val="Обычный (веб)1"/>
    <w:basedOn w:val="a"/>
    <w:rsid w:val="00811C95"/>
    <w:pPr>
      <w:overflowPunct w:val="0"/>
      <w:autoSpaceDE w:val="0"/>
      <w:autoSpaceDN w:val="0"/>
      <w:adjustRightInd w:val="0"/>
      <w:spacing w:before="100" w:after="100" w:line="240" w:lineRule="auto"/>
      <w:textAlignment w:val="baseline"/>
    </w:pPr>
    <w:rPr>
      <w:rFonts w:ascii="Times New Roman" w:eastAsia="Times New Roman" w:hAnsi="Times New Roman"/>
      <w:sz w:val="24"/>
      <w:szCs w:val="20"/>
      <w:lang w:eastAsia="ru-RU"/>
    </w:rPr>
  </w:style>
  <w:style w:type="character" w:customStyle="1" w:styleId="913">
    <w:name w:val="Основной текст + 913"/>
    <w:aliases w:val="5 pt59,Полужирный56,Интервал 0 pt38,Основной текст + 830"/>
    <w:uiPriority w:val="99"/>
    <w:rsid w:val="00811C95"/>
    <w:rPr>
      <w:rFonts w:ascii="Arial Narrow" w:hAnsi="Arial Narrow" w:cs="Arial Narrow"/>
      <w:b/>
      <w:bCs/>
      <w:spacing w:val="-10"/>
      <w:sz w:val="19"/>
      <w:szCs w:val="19"/>
      <w:shd w:val="clear" w:color="auto" w:fill="FFFFFF"/>
    </w:rPr>
  </w:style>
  <w:style w:type="character" w:customStyle="1" w:styleId="2pt10">
    <w:name w:val="Основной текст + Интервал 2 pt1"/>
    <w:uiPriority w:val="99"/>
    <w:rsid w:val="00811C95"/>
    <w:rPr>
      <w:rFonts w:ascii="Arial" w:hAnsi="Arial" w:cs="Arial"/>
      <w:spacing w:val="40"/>
      <w:sz w:val="18"/>
      <w:szCs w:val="18"/>
      <w:shd w:val="clear" w:color="auto" w:fill="FFFFFF"/>
    </w:rPr>
  </w:style>
  <w:style w:type="character" w:customStyle="1" w:styleId="401">
    <w:name w:val="Основной текст + Курсив40"/>
    <w:uiPriority w:val="99"/>
    <w:rsid w:val="00811C95"/>
    <w:rPr>
      <w:rFonts w:ascii="Century Gothic" w:hAnsi="Century Gothic" w:cs="Century Gothic"/>
      <w:i/>
      <w:iCs/>
      <w:spacing w:val="0"/>
      <w:sz w:val="16"/>
      <w:szCs w:val="16"/>
      <w:shd w:val="clear" w:color="auto" w:fill="FFFFFF"/>
    </w:rPr>
  </w:style>
  <w:style w:type="character" w:customStyle="1" w:styleId="2280">
    <w:name w:val="Основной текст (2) + Не курсив28"/>
    <w:uiPriority w:val="99"/>
    <w:rsid w:val="00811C95"/>
    <w:rPr>
      <w:rFonts w:ascii="Century Gothic" w:eastAsia="Times New Roman" w:hAnsi="Century Gothic" w:cs="Century Gothic"/>
      <w:b w:val="0"/>
      <w:bCs w:val="0"/>
      <w:i w:val="0"/>
      <w:iCs w:val="0"/>
      <w:smallCaps w:val="0"/>
      <w:strike w:val="0"/>
      <w:spacing w:val="0"/>
      <w:sz w:val="16"/>
      <w:szCs w:val="16"/>
      <w:shd w:val="clear" w:color="auto" w:fill="FFFFFF"/>
      <w:lang w:eastAsia="en-US"/>
    </w:rPr>
  </w:style>
  <w:style w:type="character" w:customStyle="1" w:styleId="138">
    <w:name w:val="Основной текст + Полужирный13"/>
    <w:uiPriority w:val="99"/>
    <w:rsid w:val="00811C95"/>
    <w:rPr>
      <w:rFonts w:ascii="Arial Narrow" w:hAnsi="Arial Narrow" w:cs="Arial Narrow"/>
      <w:b/>
      <w:bCs/>
      <w:spacing w:val="0"/>
      <w:sz w:val="18"/>
      <w:szCs w:val="18"/>
      <w:shd w:val="clear" w:color="auto" w:fill="FFFFFF"/>
    </w:rPr>
  </w:style>
  <w:style w:type="character" w:customStyle="1" w:styleId="95pt-1pt">
    <w:name w:val="Основной текст + 9;5 pt;Полужирный;Интервал -1 pt"/>
    <w:rsid w:val="00811C95"/>
    <w:rPr>
      <w:rFonts w:ascii="Arial Narrow" w:eastAsia="Arial Narrow" w:hAnsi="Arial Narrow" w:cs="Arial Narrow"/>
      <w:b/>
      <w:bCs/>
      <w:i w:val="0"/>
      <w:iCs w:val="0"/>
      <w:smallCaps w:val="0"/>
      <w:strike w:val="0"/>
      <w:spacing w:val="-20"/>
      <w:sz w:val="19"/>
      <w:szCs w:val="19"/>
      <w:shd w:val="clear" w:color="auto" w:fill="FFFFFF"/>
    </w:rPr>
  </w:style>
  <w:style w:type="character" w:customStyle="1" w:styleId="495pt0pt">
    <w:name w:val="Основной текст (4) + 9;5 pt;Полужирный;Интервал 0 pt"/>
    <w:rsid w:val="00811C95"/>
    <w:rPr>
      <w:rFonts w:ascii="Arial Narrow" w:eastAsia="Arial Narrow" w:hAnsi="Arial Narrow" w:cs="Arial Narrow"/>
      <w:b/>
      <w:bCs/>
      <w:i w:val="0"/>
      <w:iCs w:val="0"/>
      <w:smallCaps w:val="0"/>
      <w:strike w:val="0"/>
      <w:spacing w:val="-10"/>
      <w:sz w:val="19"/>
      <w:szCs w:val="19"/>
      <w:shd w:val="clear" w:color="auto" w:fill="FFFFFF"/>
      <w:lang w:eastAsia="en-US"/>
    </w:rPr>
  </w:style>
  <w:style w:type="character" w:customStyle="1" w:styleId="495pt">
    <w:name w:val="Основной текст (4) + 9;5 pt;Полужирный"/>
    <w:rsid w:val="00811C95"/>
    <w:rPr>
      <w:rFonts w:ascii="Arial Narrow" w:eastAsia="Arial Narrow" w:hAnsi="Arial Narrow" w:cs="Arial Narrow"/>
      <w:b/>
      <w:bCs/>
      <w:i w:val="0"/>
      <w:iCs w:val="0"/>
      <w:smallCaps w:val="0"/>
      <w:strike w:val="0"/>
      <w:spacing w:val="0"/>
      <w:sz w:val="19"/>
      <w:szCs w:val="19"/>
      <w:shd w:val="clear" w:color="auto" w:fill="FFFFFF"/>
      <w:lang w:eastAsia="en-US"/>
    </w:rPr>
  </w:style>
  <w:style w:type="character" w:customStyle="1" w:styleId="6pt0">
    <w:name w:val="Основной текст + 6 pt;Полужирный"/>
    <w:rsid w:val="00811C95"/>
    <w:rPr>
      <w:rFonts w:ascii="Arial Narrow" w:eastAsia="Arial Narrow" w:hAnsi="Arial Narrow" w:cs="Arial Narrow"/>
      <w:b/>
      <w:bCs/>
      <w:i w:val="0"/>
      <w:iCs w:val="0"/>
      <w:smallCaps w:val="0"/>
      <w:strike w:val="0"/>
      <w:spacing w:val="0"/>
      <w:sz w:val="12"/>
      <w:szCs w:val="12"/>
      <w:shd w:val="clear" w:color="auto" w:fill="FFFFFF"/>
    </w:rPr>
  </w:style>
  <w:style w:type="character" w:customStyle="1" w:styleId="524">
    <w:name w:val="Основной текст + Курсив52"/>
    <w:uiPriority w:val="99"/>
    <w:rsid w:val="00811C95"/>
    <w:rPr>
      <w:rFonts w:ascii="Century Gothic" w:hAnsi="Century Gothic" w:cs="Century Gothic"/>
      <w:i/>
      <w:iCs/>
      <w:spacing w:val="0"/>
      <w:sz w:val="16"/>
      <w:szCs w:val="16"/>
      <w:shd w:val="clear" w:color="auto" w:fill="FFFFFF"/>
    </w:rPr>
  </w:style>
  <w:style w:type="character" w:customStyle="1" w:styleId="2411">
    <w:name w:val="Основной текст (2) + Не курсив41"/>
    <w:uiPriority w:val="99"/>
    <w:rsid w:val="00811C95"/>
    <w:rPr>
      <w:rFonts w:ascii="Century Gothic" w:eastAsia="Times New Roman" w:hAnsi="Century Gothic" w:cs="Century Gothic"/>
      <w:b w:val="0"/>
      <w:bCs w:val="0"/>
      <w:i w:val="0"/>
      <w:iCs w:val="0"/>
      <w:smallCaps w:val="0"/>
      <w:strike w:val="0"/>
      <w:spacing w:val="0"/>
      <w:sz w:val="16"/>
      <w:szCs w:val="16"/>
      <w:shd w:val="clear" w:color="auto" w:fill="FFFFFF"/>
      <w:lang w:eastAsia="en-US"/>
    </w:rPr>
  </w:style>
  <w:style w:type="character" w:customStyle="1" w:styleId="2pt3">
    <w:name w:val="Основной текст + Интервал 2 pt3"/>
    <w:uiPriority w:val="99"/>
    <w:rsid w:val="00811C95"/>
    <w:rPr>
      <w:rFonts w:ascii="Century Gothic" w:hAnsi="Century Gothic" w:cs="Century Gothic"/>
      <w:spacing w:val="50"/>
      <w:sz w:val="16"/>
      <w:szCs w:val="16"/>
      <w:shd w:val="clear" w:color="auto" w:fill="FFFFFF"/>
    </w:rPr>
  </w:style>
  <w:style w:type="character" w:customStyle="1" w:styleId="Footnote2">
    <w:name w:val="Footnote (2)"/>
    <w:rsid w:val="00811C95"/>
    <w:rPr>
      <w:rFonts w:ascii="Times New Roman" w:eastAsia="Times New Roman" w:hAnsi="Times New Roman" w:cs="Times New Roman"/>
      <w:b w:val="0"/>
      <w:bCs w:val="0"/>
      <w:i w:val="0"/>
      <w:iCs w:val="0"/>
      <w:smallCaps w:val="0"/>
      <w:strike w:val="0"/>
      <w:spacing w:val="0"/>
      <w:sz w:val="22"/>
      <w:szCs w:val="22"/>
    </w:rPr>
  </w:style>
  <w:style w:type="character" w:customStyle="1" w:styleId="Bodytext9">
    <w:name w:val="Body text (9)"/>
    <w:rsid w:val="00811C95"/>
    <w:rPr>
      <w:rFonts w:ascii="Times New Roman" w:eastAsia="Times New Roman" w:hAnsi="Times New Roman" w:cs="Times New Roman"/>
      <w:b w:val="0"/>
      <w:bCs w:val="0"/>
      <w:i w:val="0"/>
      <w:iCs w:val="0"/>
      <w:smallCaps w:val="0"/>
      <w:strike w:val="0"/>
      <w:spacing w:val="0"/>
      <w:sz w:val="20"/>
      <w:szCs w:val="20"/>
    </w:rPr>
  </w:style>
  <w:style w:type="character" w:customStyle="1" w:styleId="Bodytext10ptBold">
    <w:name w:val="Body text + 10 pt;Bold"/>
    <w:rsid w:val="00811C95"/>
    <w:rPr>
      <w:rFonts w:ascii="Times New Roman" w:eastAsia="Times New Roman" w:hAnsi="Times New Roman" w:cs="Times New Roman"/>
      <w:b/>
      <w:bCs/>
      <w:sz w:val="20"/>
      <w:szCs w:val="20"/>
      <w:shd w:val="clear" w:color="auto" w:fill="FFFFFF"/>
    </w:rPr>
  </w:style>
  <w:style w:type="character" w:customStyle="1" w:styleId="Bodytext6">
    <w:name w:val="Body text (6)"/>
    <w:rsid w:val="00811C95"/>
    <w:rPr>
      <w:rFonts w:ascii="Times New Roman" w:eastAsia="Times New Roman" w:hAnsi="Times New Roman" w:cs="Times New Roman"/>
      <w:b w:val="0"/>
      <w:bCs w:val="0"/>
      <w:i w:val="0"/>
      <w:iCs w:val="0"/>
      <w:smallCaps w:val="0"/>
      <w:strike w:val="0"/>
      <w:spacing w:val="0"/>
      <w:sz w:val="17"/>
      <w:szCs w:val="17"/>
    </w:rPr>
  </w:style>
  <w:style w:type="character" w:customStyle="1" w:styleId="9d">
    <w:name w:val="Основной текст + Курсив9"/>
    <w:uiPriority w:val="99"/>
    <w:rsid w:val="00811C95"/>
    <w:rPr>
      <w:rFonts w:ascii="Arial Narrow" w:hAnsi="Arial Narrow" w:cs="Arial Narrow"/>
      <w:i/>
      <w:iCs/>
      <w:spacing w:val="0"/>
      <w:sz w:val="18"/>
      <w:szCs w:val="18"/>
      <w:shd w:val="clear" w:color="auto" w:fill="FFFFFF"/>
    </w:rPr>
  </w:style>
  <w:style w:type="character" w:customStyle="1" w:styleId="0pt3">
    <w:name w:val="Основной текст + Полужирный;Интервал 0 pt"/>
    <w:rsid w:val="00811C95"/>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10MicrosoftSansSerif2">
    <w:name w:val="Основной текст (10) + Microsoft Sans Serif2"/>
    <w:aliases w:val="84,5 pt52,Полужирный50,Основной текст + 11 pt4,Основной текст + Segoe UI4"/>
    <w:uiPriority w:val="99"/>
    <w:rsid w:val="00811C95"/>
    <w:rPr>
      <w:rFonts w:ascii="Microsoft Sans Serif" w:eastAsia="Times New Roman" w:hAnsi="Microsoft Sans Serif" w:cs="Microsoft Sans Serif"/>
      <w:b/>
      <w:bCs/>
      <w:i/>
      <w:iCs/>
      <w:smallCaps w:val="0"/>
      <w:strike w:val="0"/>
      <w:spacing w:val="0"/>
      <w:sz w:val="17"/>
      <w:szCs w:val="17"/>
      <w:shd w:val="clear" w:color="auto" w:fill="FFFFFF"/>
    </w:rPr>
  </w:style>
  <w:style w:type="character" w:customStyle="1" w:styleId="423">
    <w:name w:val="Основной текст + Курсив42"/>
    <w:uiPriority w:val="99"/>
    <w:rsid w:val="00811C95"/>
    <w:rPr>
      <w:rFonts w:ascii="Century Gothic" w:hAnsi="Century Gothic" w:cs="Century Gothic"/>
      <w:i/>
      <w:iCs/>
      <w:spacing w:val="0"/>
      <w:sz w:val="16"/>
      <w:szCs w:val="16"/>
      <w:shd w:val="clear" w:color="auto" w:fill="FFFFFF"/>
    </w:rPr>
  </w:style>
  <w:style w:type="paragraph" w:customStyle="1" w:styleId="Pa4">
    <w:name w:val="Pa4"/>
    <w:basedOn w:val="a"/>
    <w:next w:val="a"/>
    <w:uiPriority w:val="99"/>
    <w:rsid w:val="00811C95"/>
    <w:pPr>
      <w:autoSpaceDE w:val="0"/>
      <w:autoSpaceDN w:val="0"/>
      <w:adjustRightInd w:val="0"/>
      <w:spacing w:after="0" w:line="201" w:lineRule="atLeast"/>
    </w:pPr>
    <w:rPr>
      <w:rFonts w:ascii="Minion Pro" w:hAnsi="Minion Pro"/>
      <w:sz w:val="24"/>
      <w:szCs w:val="24"/>
    </w:rPr>
  </w:style>
  <w:style w:type="paragraph" w:customStyle="1" w:styleId="Pa11">
    <w:name w:val="Pa11"/>
    <w:basedOn w:val="a"/>
    <w:next w:val="a"/>
    <w:uiPriority w:val="99"/>
    <w:rsid w:val="00811C95"/>
    <w:pPr>
      <w:autoSpaceDE w:val="0"/>
      <w:autoSpaceDN w:val="0"/>
      <w:adjustRightInd w:val="0"/>
      <w:spacing w:after="0" w:line="141" w:lineRule="atLeast"/>
    </w:pPr>
    <w:rPr>
      <w:rFonts w:ascii="Minion Pro" w:hAnsi="Minion Pro"/>
      <w:sz w:val="24"/>
      <w:szCs w:val="24"/>
    </w:rPr>
  </w:style>
  <w:style w:type="paragraph" w:customStyle="1" w:styleId="Pa1">
    <w:name w:val="Pa1"/>
    <w:basedOn w:val="a"/>
    <w:next w:val="a"/>
    <w:uiPriority w:val="99"/>
    <w:rsid w:val="00811C95"/>
    <w:pPr>
      <w:autoSpaceDE w:val="0"/>
      <w:autoSpaceDN w:val="0"/>
      <w:adjustRightInd w:val="0"/>
      <w:spacing w:after="0" w:line="161" w:lineRule="atLeast"/>
    </w:pPr>
    <w:rPr>
      <w:rFonts w:ascii="Minion Pro" w:hAnsi="Minion Pro"/>
      <w:sz w:val="24"/>
      <w:szCs w:val="24"/>
    </w:rPr>
  </w:style>
  <w:style w:type="paragraph" w:customStyle="1" w:styleId="165">
    <w:name w:val="Основной текст16"/>
    <w:basedOn w:val="a"/>
    <w:rsid w:val="00811C95"/>
    <w:pPr>
      <w:shd w:val="clear" w:color="auto" w:fill="FFFFFF"/>
      <w:spacing w:after="0" w:line="0" w:lineRule="atLeast"/>
    </w:pPr>
    <w:rPr>
      <w:rFonts w:ascii="Times New Roman" w:eastAsia="Times New Roman" w:hAnsi="Times New Roman"/>
      <w:sz w:val="21"/>
      <w:szCs w:val="21"/>
    </w:rPr>
  </w:style>
  <w:style w:type="character" w:customStyle="1" w:styleId="Bodytext8ptSmallCaps">
    <w:name w:val="Body text + 8 pt;Small Caps"/>
    <w:rsid w:val="00811C95"/>
    <w:rPr>
      <w:rFonts w:ascii="Times New Roman" w:eastAsia="Times New Roman" w:hAnsi="Times New Roman" w:cs="Times New Roman"/>
      <w:b w:val="0"/>
      <w:bCs w:val="0"/>
      <w:i w:val="0"/>
      <w:iCs w:val="0"/>
      <w:smallCaps/>
      <w:strike w:val="0"/>
      <w:spacing w:val="0"/>
      <w:sz w:val="16"/>
      <w:szCs w:val="16"/>
      <w:shd w:val="clear" w:color="auto" w:fill="FFFFFF"/>
    </w:rPr>
  </w:style>
  <w:style w:type="character" w:customStyle="1" w:styleId="Bodytext5">
    <w:name w:val="Body text (5)"/>
    <w:rsid w:val="00811C95"/>
    <w:rPr>
      <w:rFonts w:ascii="Times New Roman" w:hAnsi="Times New Roman" w:cs="Times New Roman"/>
      <w:spacing w:val="0"/>
      <w:sz w:val="15"/>
      <w:szCs w:val="15"/>
      <w:shd w:val="clear" w:color="auto" w:fill="FFFFFF"/>
    </w:rPr>
  </w:style>
  <w:style w:type="character" w:customStyle="1" w:styleId="Bodytext3">
    <w:name w:val="Body text (3)"/>
    <w:rsid w:val="00811C95"/>
  </w:style>
  <w:style w:type="character" w:customStyle="1" w:styleId="Bodytext7">
    <w:name w:val="Body text (7)"/>
    <w:rsid w:val="00811C95"/>
    <w:rPr>
      <w:rFonts w:ascii="Times New Roman" w:eastAsia="Times New Roman" w:hAnsi="Times New Roman" w:cs="Times New Roman"/>
      <w:b w:val="0"/>
      <w:bCs w:val="0"/>
      <w:i w:val="0"/>
      <w:iCs w:val="0"/>
      <w:smallCaps w:val="0"/>
      <w:strike w:val="0"/>
      <w:spacing w:val="0"/>
      <w:sz w:val="15"/>
      <w:szCs w:val="15"/>
    </w:rPr>
  </w:style>
  <w:style w:type="character" w:customStyle="1" w:styleId="Bodytext14Tahoma3">
    <w:name w:val="Body text (14) + Tahoma3"/>
    <w:aliases w:val="8 pt15,Not Italic20"/>
    <w:uiPriority w:val="99"/>
    <w:rsid w:val="00811C95"/>
    <w:rPr>
      <w:rFonts w:ascii="Tahoma" w:hAnsi="Tahoma" w:cs="Tahoma"/>
      <w:i w:val="0"/>
      <w:iCs w:val="0"/>
      <w:spacing w:val="0"/>
      <w:sz w:val="16"/>
      <w:szCs w:val="16"/>
      <w:shd w:val="clear" w:color="auto" w:fill="FFFFFF"/>
    </w:rPr>
  </w:style>
  <w:style w:type="character" w:customStyle="1" w:styleId="BodytextItalic4">
    <w:name w:val="Body text + Italic4"/>
    <w:basedOn w:val="Bodytext"/>
    <w:uiPriority w:val="99"/>
    <w:rsid w:val="00811C95"/>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Bodytext20Bold2">
    <w:name w:val="Body text (20) + Bold2"/>
    <w:aliases w:val="Spacing 0 pt2"/>
    <w:basedOn w:val="a0"/>
    <w:uiPriority w:val="99"/>
    <w:rsid w:val="00811C95"/>
    <w:rPr>
      <w:rFonts w:ascii="Arial Narrow" w:hAnsi="Arial Narrow" w:cs="Arial Narrow"/>
      <w:b/>
      <w:bCs/>
      <w:i/>
      <w:iCs/>
      <w:spacing w:val="-10"/>
      <w:sz w:val="13"/>
      <w:szCs w:val="13"/>
      <w:shd w:val="clear" w:color="auto" w:fill="FFFFFF"/>
    </w:rPr>
  </w:style>
  <w:style w:type="character" w:customStyle="1" w:styleId="BodytextBold30">
    <w:name w:val="Body text + Bold30"/>
    <w:basedOn w:val="Bodytext"/>
    <w:uiPriority w:val="99"/>
    <w:rsid w:val="00811C95"/>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BodytextItalic8">
    <w:name w:val="Body text + Italic8"/>
    <w:basedOn w:val="Bodytext"/>
    <w:uiPriority w:val="99"/>
    <w:rsid w:val="00811C95"/>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95pt2pt">
    <w:name w:val="Основной текст + 9;5 pt;Курсив;Интервал 2 pt"/>
    <w:basedOn w:val="aff1"/>
    <w:rsid w:val="00811C95"/>
    <w:rPr>
      <w:rFonts w:ascii="Batang" w:eastAsia="Batang" w:hAnsi="Batang" w:cs="Batang"/>
      <w:b w:val="0"/>
      <w:bCs w:val="0"/>
      <w:i/>
      <w:iCs/>
      <w:smallCaps w:val="0"/>
      <w:strike w:val="0"/>
      <w:spacing w:val="40"/>
      <w:sz w:val="19"/>
      <w:szCs w:val="19"/>
      <w:shd w:val="clear" w:color="auto" w:fill="FFFFFF"/>
    </w:rPr>
  </w:style>
  <w:style w:type="character" w:customStyle="1" w:styleId="2MicrosoftSansSerif15pt">
    <w:name w:val="Заголовок №2 + Microsoft Sans Serif;15 pt"/>
    <w:basedOn w:val="a0"/>
    <w:rsid w:val="00811C95"/>
    <w:rPr>
      <w:rFonts w:ascii="Microsoft Sans Serif" w:eastAsia="Microsoft Sans Serif" w:hAnsi="Microsoft Sans Serif" w:cs="Microsoft Sans Serif"/>
      <w:b w:val="0"/>
      <w:bCs w:val="0"/>
      <w:i w:val="0"/>
      <w:iCs w:val="0"/>
      <w:smallCaps w:val="0"/>
      <w:strike w:val="0"/>
      <w:spacing w:val="-20"/>
      <w:w w:val="100"/>
      <w:sz w:val="30"/>
      <w:szCs w:val="30"/>
    </w:rPr>
  </w:style>
  <w:style w:type="character" w:customStyle="1" w:styleId="SimSun10pt-1pt">
    <w:name w:val="Подпись к картинке + SimSun;10 pt;Не курсив;Интервал -1 pt"/>
    <w:basedOn w:val="affc"/>
    <w:rsid w:val="00811C95"/>
    <w:rPr>
      <w:rFonts w:ascii="SimSun" w:eastAsia="SimSun" w:hAnsi="SimSun" w:cs="SimSun"/>
      <w:b w:val="0"/>
      <w:bCs w:val="0"/>
      <w:i/>
      <w:iCs/>
      <w:smallCaps w:val="0"/>
      <w:strike w:val="0"/>
      <w:w w:val="100"/>
      <w:sz w:val="13"/>
      <w:szCs w:val="13"/>
      <w:shd w:val="clear" w:color="auto" w:fill="FFFFFF"/>
      <w:lang w:eastAsia="en-US"/>
    </w:rPr>
  </w:style>
  <w:style w:type="character" w:customStyle="1" w:styleId="9pt0pt1">
    <w:name w:val="Оглавление + 9 pt;Интервал 0 pt"/>
    <w:basedOn w:val="afff8"/>
    <w:rsid w:val="00811C95"/>
    <w:rPr>
      <w:rFonts w:ascii="MS Mincho" w:eastAsia="MS Mincho" w:hAnsi="MS Mincho" w:cs="MS Mincho"/>
      <w:spacing w:val="0"/>
      <w:sz w:val="18"/>
      <w:szCs w:val="18"/>
      <w:shd w:val="clear" w:color="auto" w:fill="FFFFFF"/>
    </w:rPr>
  </w:style>
  <w:style w:type="character" w:customStyle="1" w:styleId="2ff4">
    <w:name w:val="Оглавление (2)_"/>
    <w:basedOn w:val="a0"/>
    <w:rsid w:val="00811C95"/>
    <w:rPr>
      <w:rFonts w:ascii="Garamond" w:eastAsia="Garamond" w:hAnsi="Garamond" w:cs="Garamond"/>
      <w:b w:val="0"/>
      <w:bCs w:val="0"/>
      <w:i w:val="0"/>
      <w:iCs w:val="0"/>
      <w:smallCaps w:val="0"/>
      <w:strike w:val="0"/>
      <w:spacing w:val="0"/>
      <w:sz w:val="18"/>
      <w:szCs w:val="18"/>
    </w:rPr>
  </w:style>
  <w:style w:type="character" w:customStyle="1" w:styleId="2ff5">
    <w:name w:val="Оглавление (2)"/>
    <w:basedOn w:val="2ff4"/>
    <w:rsid w:val="00811C95"/>
    <w:rPr>
      <w:rFonts w:ascii="Garamond" w:eastAsia="Garamond" w:hAnsi="Garamond" w:cs="Garamond"/>
      <w:b w:val="0"/>
      <w:bCs w:val="0"/>
      <w:i w:val="0"/>
      <w:iCs w:val="0"/>
      <w:smallCaps w:val="0"/>
      <w:strike w:val="0"/>
      <w:spacing w:val="0"/>
      <w:w w:val="100"/>
      <w:sz w:val="18"/>
      <w:szCs w:val="18"/>
    </w:rPr>
  </w:style>
  <w:style w:type="character" w:customStyle="1" w:styleId="Batang8pt0pt">
    <w:name w:val="Основной текст + Batang;8 pt;Интервал 0 pt"/>
    <w:basedOn w:val="aff1"/>
    <w:rsid w:val="00811C95"/>
    <w:rPr>
      <w:rFonts w:ascii="Batang" w:eastAsia="Batang" w:hAnsi="Batang" w:cs="Batang"/>
      <w:b w:val="0"/>
      <w:bCs w:val="0"/>
      <w:i w:val="0"/>
      <w:iCs w:val="0"/>
      <w:smallCaps w:val="0"/>
      <w:strike w:val="0"/>
      <w:spacing w:val="-10"/>
      <w:w w:val="100"/>
      <w:sz w:val="16"/>
      <w:szCs w:val="16"/>
      <w:shd w:val="clear" w:color="auto" w:fill="FFFFFF"/>
    </w:rPr>
  </w:style>
  <w:style w:type="character" w:customStyle="1" w:styleId="2195pt">
    <w:name w:val="Основной текст (2) + 19;5 pt;Курсив"/>
    <w:basedOn w:val="2a"/>
    <w:rsid w:val="00811C95"/>
    <w:rPr>
      <w:rFonts w:ascii="Consolas" w:eastAsia="Consolas" w:hAnsi="Consolas" w:cs="Consolas"/>
      <w:b w:val="0"/>
      <w:bCs w:val="0"/>
      <w:i/>
      <w:iCs/>
      <w:smallCaps w:val="0"/>
      <w:strike w:val="0"/>
      <w:spacing w:val="-20"/>
      <w:sz w:val="39"/>
      <w:szCs w:val="39"/>
      <w:shd w:val="clear" w:color="auto" w:fill="FFFFFF"/>
      <w:lang w:eastAsia="en-US"/>
    </w:rPr>
  </w:style>
  <w:style w:type="character" w:customStyle="1" w:styleId="10pt1pt">
    <w:name w:val="Основной текст + 10 pt;Малые прописные;Интервал 1 pt"/>
    <w:basedOn w:val="aff1"/>
    <w:rsid w:val="00811C95"/>
    <w:rPr>
      <w:rFonts w:ascii="MingLiU" w:eastAsia="MingLiU" w:hAnsi="MingLiU" w:cs="MingLiU"/>
      <w:b w:val="0"/>
      <w:bCs w:val="0"/>
      <w:i w:val="0"/>
      <w:iCs w:val="0"/>
      <w:smallCaps/>
      <w:strike w:val="0"/>
      <w:spacing w:val="30"/>
      <w:w w:val="100"/>
      <w:sz w:val="20"/>
      <w:szCs w:val="20"/>
      <w:shd w:val="clear" w:color="auto" w:fill="FFFFFF"/>
      <w:lang w:val="en-US"/>
    </w:rPr>
  </w:style>
  <w:style w:type="character" w:customStyle="1" w:styleId="Georgia">
    <w:name w:val="Основной текст + Georgia"/>
    <w:basedOn w:val="aff1"/>
    <w:rsid w:val="00811C95"/>
    <w:rPr>
      <w:rFonts w:ascii="Georgia" w:eastAsia="Georgia" w:hAnsi="Georgia" w:cs="Georgia"/>
      <w:b w:val="0"/>
      <w:bCs w:val="0"/>
      <w:i w:val="0"/>
      <w:iCs w:val="0"/>
      <w:smallCaps w:val="0"/>
      <w:strike w:val="0"/>
      <w:spacing w:val="0"/>
      <w:sz w:val="21"/>
      <w:szCs w:val="21"/>
      <w:shd w:val="clear" w:color="auto" w:fill="FFFFFF"/>
    </w:rPr>
  </w:style>
  <w:style w:type="character" w:customStyle="1" w:styleId="Georgia8pt">
    <w:name w:val="Сноска + Georgia;8 pt"/>
    <w:basedOn w:val="aff5"/>
    <w:rsid w:val="00811C95"/>
    <w:rPr>
      <w:rFonts w:ascii="Georgia" w:eastAsia="Georgia" w:hAnsi="Georgia" w:cs="Georgia"/>
      <w:i/>
      <w:iCs/>
      <w:noProof/>
      <w:sz w:val="16"/>
      <w:szCs w:val="16"/>
      <w:shd w:val="clear" w:color="auto" w:fill="FFFFFF"/>
      <w:lang w:val="en-US" w:eastAsia="en-US"/>
    </w:rPr>
  </w:style>
  <w:style w:type="character" w:customStyle="1" w:styleId="4-1pt0">
    <w:name w:val="Заголовок №4 + Интервал -1 pt"/>
    <w:basedOn w:val="4e"/>
    <w:rsid w:val="00811C95"/>
    <w:rPr>
      <w:rFonts w:ascii="Consolas" w:eastAsia="Consolas" w:hAnsi="Consolas" w:cs="Consolas"/>
      <w:b w:val="0"/>
      <w:bCs w:val="0"/>
      <w:i w:val="0"/>
      <w:iCs w:val="0"/>
      <w:smallCaps w:val="0"/>
      <w:strike w:val="0"/>
      <w:spacing w:val="-20"/>
      <w:sz w:val="21"/>
      <w:szCs w:val="21"/>
      <w:shd w:val="clear" w:color="auto" w:fill="FFFFFF"/>
    </w:rPr>
  </w:style>
  <w:style w:type="character" w:customStyle="1" w:styleId="2pt2">
    <w:name w:val="Оглавление + Интервал 2 pt"/>
    <w:basedOn w:val="afff8"/>
    <w:rsid w:val="00811C95"/>
    <w:rPr>
      <w:rFonts w:ascii="MingLiU" w:eastAsia="MingLiU" w:hAnsi="MingLiU" w:cs="MingLiU"/>
      <w:b w:val="0"/>
      <w:bCs w:val="0"/>
      <w:i w:val="0"/>
      <w:iCs w:val="0"/>
      <w:smallCaps w:val="0"/>
      <w:strike w:val="0"/>
      <w:spacing w:val="40"/>
      <w:w w:val="100"/>
      <w:sz w:val="19"/>
      <w:szCs w:val="19"/>
      <w:shd w:val="clear" w:color="auto" w:fill="FFFFFF"/>
    </w:rPr>
  </w:style>
  <w:style w:type="character" w:customStyle="1" w:styleId="Batang8pt0pt0">
    <w:name w:val="Основной текст + Batang;8 pt;Малые прописные;Интервал 0 pt"/>
    <w:basedOn w:val="aff1"/>
    <w:rsid w:val="00811C95"/>
    <w:rPr>
      <w:rFonts w:ascii="Batang" w:eastAsia="Batang" w:hAnsi="Batang" w:cs="Batang"/>
      <w:b w:val="0"/>
      <w:bCs w:val="0"/>
      <w:i w:val="0"/>
      <w:iCs w:val="0"/>
      <w:smallCaps/>
      <w:strike w:val="0"/>
      <w:spacing w:val="10"/>
      <w:sz w:val="16"/>
      <w:szCs w:val="16"/>
      <w:shd w:val="clear" w:color="auto" w:fill="FFFFFF"/>
    </w:rPr>
  </w:style>
  <w:style w:type="character" w:customStyle="1" w:styleId="9pt3">
    <w:name w:val="Основной текст + 9 pt;Полужирный"/>
    <w:rsid w:val="00811C95"/>
    <w:rPr>
      <w:rFonts w:ascii="Century Gothic" w:eastAsia="Century Gothic" w:hAnsi="Century Gothic" w:cs="Century Gothic"/>
      <w:b/>
      <w:bCs/>
      <w:i w:val="0"/>
      <w:iCs w:val="0"/>
      <w:smallCaps w:val="0"/>
      <w:strike w:val="0"/>
      <w:spacing w:val="0"/>
      <w:sz w:val="18"/>
      <w:szCs w:val="18"/>
      <w:shd w:val="clear" w:color="auto" w:fill="FFFFFF"/>
    </w:rPr>
  </w:style>
  <w:style w:type="character" w:customStyle="1" w:styleId="0pt4">
    <w:name w:val="Основной текст + Курсив;Интервал 0 pt"/>
    <w:rsid w:val="00811C95"/>
    <w:rPr>
      <w:rFonts w:ascii="Arial Narrow" w:eastAsia="Arial Narrow" w:hAnsi="Arial Narrow" w:cs="Arial Narrow"/>
      <w:b w:val="0"/>
      <w:bCs w:val="0"/>
      <w:i/>
      <w:iCs/>
      <w:smallCaps w:val="0"/>
      <w:strike w:val="0"/>
      <w:spacing w:val="-10"/>
      <w:sz w:val="18"/>
      <w:szCs w:val="18"/>
      <w:shd w:val="clear" w:color="auto" w:fill="FFFFFF"/>
    </w:rPr>
  </w:style>
  <w:style w:type="character" w:customStyle="1" w:styleId="TrebuchetMS95pt0pt">
    <w:name w:val="Основной текст + Trebuchet MS;9;5 pt;Курсив;Интервал 0 pt"/>
    <w:basedOn w:val="aff1"/>
    <w:rsid w:val="00811C95"/>
    <w:rPr>
      <w:rFonts w:ascii="Trebuchet MS" w:eastAsia="Trebuchet MS" w:hAnsi="Trebuchet MS" w:cs="Trebuchet MS"/>
      <w:b w:val="0"/>
      <w:bCs w:val="0"/>
      <w:i/>
      <w:iCs/>
      <w:smallCaps w:val="0"/>
      <w:strike w:val="0"/>
      <w:spacing w:val="10"/>
      <w:w w:val="100"/>
      <w:sz w:val="19"/>
      <w:szCs w:val="19"/>
      <w:shd w:val="clear" w:color="auto" w:fill="FFFFFF"/>
    </w:rPr>
  </w:style>
  <w:style w:type="character" w:customStyle="1" w:styleId="Gungsuh0pt">
    <w:name w:val="Основной текст + Gungsuh;Малые прописные;Интервал 0 pt"/>
    <w:basedOn w:val="aff1"/>
    <w:rsid w:val="00811C95"/>
    <w:rPr>
      <w:rFonts w:ascii="Gungsuh" w:eastAsia="Gungsuh" w:hAnsi="Gungsuh" w:cs="Gungsuh"/>
      <w:b w:val="0"/>
      <w:bCs w:val="0"/>
      <w:i w:val="0"/>
      <w:iCs w:val="0"/>
      <w:smallCaps/>
      <w:strike w:val="0"/>
      <w:spacing w:val="-10"/>
      <w:w w:val="100"/>
      <w:sz w:val="20"/>
      <w:szCs w:val="20"/>
      <w:shd w:val="clear" w:color="auto" w:fill="FFFFFF"/>
    </w:rPr>
  </w:style>
  <w:style w:type="character" w:customStyle="1" w:styleId="CenturySchoolbook85pt0pt">
    <w:name w:val="Основной текст + Century Schoolbook;8;5 pt;Малые прописные;Интервал 0 pt"/>
    <w:basedOn w:val="aff1"/>
    <w:rsid w:val="00811C95"/>
    <w:rPr>
      <w:rFonts w:ascii="Century Schoolbook" w:eastAsia="Century Schoolbook" w:hAnsi="Century Schoolbook" w:cs="Century Schoolbook"/>
      <w:b w:val="0"/>
      <w:bCs w:val="0"/>
      <w:i w:val="0"/>
      <w:iCs w:val="0"/>
      <w:smallCaps/>
      <w:strike w:val="0"/>
      <w:spacing w:val="10"/>
      <w:w w:val="100"/>
      <w:sz w:val="17"/>
      <w:szCs w:val="17"/>
      <w:shd w:val="clear" w:color="auto" w:fill="FFFFFF"/>
    </w:rPr>
  </w:style>
  <w:style w:type="character" w:customStyle="1" w:styleId="MSReferenceSansSerif9pt1pt">
    <w:name w:val="Основной текст + MS Reference Sans Serif;9 pt;Не полужирный;Интервал 1 pt"/>
    <w:basedOn w:val="aff1"/>
    <w:rsid w:val="00811C95"/>
    <w:rPr>
      <w:rFonts w:ascii="MS Reference Sans Serif" w:eastAsia="MS Reference Sans Serif" w:hAnsi="MS Reference Sans Serif" w:cs="MS Reference Sans Serif"/>
      <w:b/>
      <w:bCs/>
      <w:i w:val="0"/>
      <w:iCs w:val="0"/>
      <w:smallCaps w:val="0"/>
      <w:strike w:val="0"/>
      <w:spacing w:val="20"/>
      <w:sz w:val="18"/>
      <w:szCs w:val="18"/>
      <w:shd w:val="clear" w:color="auto" w:fill="FFFFFF"/>
    </w:rPr>
  </w:style>
  <w:style w:type="character" w:customStyle="1" w:styleId="Garamond11pt0pt">
    <w:name w:val="Основной текст + Garamond;11 pt;Курсив;Интервал 0 pt"/>
    <w:basedOn w:val="aff1"/>
    <w:rsid w:val="00811C95"/>
    <w:rPr>
      <w:rFonts w:ascii="Garamond" w:eastAsia="Garamond" w:hAnsi="Garamond" w:cs="Garamond"/>
      <w:b w:val="0"/>
      <w:bCs w:val="0"/>
      <w:i/>
      <w:iCs/>
      <w:smallCaps w:val="0"/>
      <w:strike w:val="0"/>
      <w:spacing w:val="-10"/>
      <w:sz w:val="22"/>
      <w:szCs w:val="22"/>
      <w:shd w:val="clear" w:color="auto" w:fill="FFFFFF"/>
      <w:lang w:val="en-US"/>
    </w:rPr>
  </w:style>
  <w:style w:type="character" w:customStyle="1" w:styleId="4195pt0pt">
    <w:name w:val="Основной текст (4) + 19;5 pt;Малые прописные;Интервал 0 pt"/>
    <w:basedOn w:val="46"/>
    <w:rsid w:val="00811C95"/>
    <w:rPr>
      <w:rFonts w:ascii="Franklin Gothic Book" w:eastAsia="Franklin Gothic Book" w:hAnsi="Franklin Gothic Book" w:cs="Franklin Gothic Book"/>
      <w:b w:val="0"/>
      <w:bCs w:val="0"/>
      <w:i w:val="0"/>
      <w:iCs w:val="0"/>
      <w:smallCaps/>
      <w:strike w:val="0"/>
      <w:spacing w:val="0"/>
      <w:w w:val="60"/>
      <w:sz w:val="39"/>
      <w:szCs w:val="39"/>
      <w:shd w:val="clear" w:color="auto" w:fill="FFFFFF"/>
    </w:rPr>
  </w:style>
  <w:style w:type="character" w:customStyle="1" w:styleId="6pt1">
    <w:name w:val="Основной текст + Интервал 6 pt"/>
    <w:basedOn w:val="aff1"/>
    <w:rsid w:val="00811C95"/>
    <w:rPr>
      <w:rFonts w:ascii="Gungsuh" w:eastAsia="Gungsuh" w:hAnsi="Gungsuh" w:cs="Gungsuh"/>
      <w:b w:val="0"/>
      <w:bCs w:val="0"/>
      <w:i w:val="0"/>
      <w:iCs w:val="0"/>
      <w:smallCaps w:val="0"/>
      <w:strike w:val="0"/>
      <w:spacing w:val="120"/>
      <w:sz w:val="16"/>
      <w:szCs w:val="16"/>
      <w:shd w:val="clear" w:color="auto" w:fill="FFFFFF"/>
    </w:rPr>
  </w:style>
  <w:style w:type="character" w:customStyle="1" w:styleId="MicrosoftSansSerif8pt1pt60">
    <w:name w:val="Основной текст + Microsoft Sans Serif;8 pt;Курсив;Интервал 1 pt;Масштаб 60%"/>
    <w:basedOn w:val="aff1"/>
    <w:rsid w:val="00811C95"/>
    <w:rPr>
      <w:rFonts w:ascii="Microsoft Sans Serif" w:eastAsia="Microsoft Sans Serif" w:hAnsi="Microsoft Sans Serif" w:cs="Microsoft Sans Serif"/>
      <w:b w:val="0"/>
      <w:bCs w:val="0"/>
      <w:i/>
      <w:iCs/>
      <w:smallCaps w:val="0"/>
      <w:strike w:val="0"/>
      <w:spacing w:val="20"/>
      <w:w w:val="60"/>
      <w:sz w:val="16"/>
      <w:szCs w:val="16"/>
      <w:shd w:val="clear" w:color="auto" w:fill="FFFFFF"/>
    </w:rPr>
  </w:style>
  <w:style w:type="character" w:customStyle="1" w:styleId="95pt">
    <w:name w:val="Основной текст + 9;5 pt"/>
    <w:basedOn w:val="aff1"/>
    <w:rsid w:val="00811C95"/>
    <w:rPr>
      <w:rFonts w:ascii="Consolas" w:eastAsia="Consolas" w:hAnsi="Consolas" w:cs="Consolas"/>
      <w:b w:val="0"/>
      <w:bCs w:val="0"/>
      <w:i w:val="0"/>
      <w:iCs w:val="0"/>
      <w:smallCaps w:val="0"/>
      <w:strike w:val="0"/>
      <w:spacing w:val="0"/>
      <w:sz w:val="19"/>
      <w:szCs w:val="19"/>
      <w:shd w:val="clear" w:color="auto" w:fill="FFFFFF"/>
    </w:rPr>
  </w:style>
  <w:style w:type="character" w:customStyle="1" w:styleId="0pt5">
    <w:name w:val="Основной текст + Не полужирный;Малые прописные;Интервал 0 pt"/>
    <w:basedOn w:val="aff1"/>
    <w:rsid w:val="00811C95"/>
    <w:rPr>
      <w:rFonts w:ascii="MS Mincho" w:eastAsia="MS Mincho" w:hAnsi="MS Mincho" w:cs="MS Mincho"/>
      <w:b/>
      <w:bCs/>
      <w:i w:val="0"/>
      <w:iCs w:val="0"/>
      <w:smallCaps/>
      <w:strike w:val="0"/>
      <w:spacing w:val="-10"/>
      <w:sz w:val="17"/>
      <w:szCs w:val="17"/>
      <w:shd w:val="clear" w:color="auto" w:fill="FFFFFF"/>
    </w:rPr>
  </w:style>
  <w:style w:type="character" w:customStyle="1" w:styleId="Gungsuh75pt0pt">
    <w:name w:val="Основной текст + Gungsuh;7;5 pt;Интервал 0 pt"/>
    <w:basedOn w:val="aff1"/>
    <w:rsid w:val="00811C95"/>
    <w:rPr>
      <w:rFonts w:ascii="Gungsuh" w:eastAsia="Gungsuh" w:hAnsi="Gungsuh" w:cs="Gungsuh"/>
      <w:spacing w:val="0"/>
      <w:sz w:val="15"/>
      <w:szCs w:val="15"/>
      <w:shd w:val="clear" w:color="auto" w:fill="FFFFFF"/>
    </w:rPr>
  </w:style>
  <w:style w:type="character" w:customStyle="1" w:styleId="9pt1pt">
    <w:name w:val="Основной текст + 9 pt;Курсив;Интервал 1 pt"/>
    <w:basedOn w:val="aff1"/>
    <w:rsid w:val="00811C95"/>
    <w:rPr>
      <w:rFonts w:ascii="Consolas" w:eastAsia="Consolas" w:hAnsi="Consolas" w:cs="Consolas"/>
      <w:b w:val="0"/>
      <w:bCs w:val="0"/>
      <w:i/>
      <w:iCs/>
      <w:smallCaps w:val="0"/>
      <w:strike w:val="0"/>
      <w:spacing w:val="30"/>
      <w:w w:val="100"/>
      <w:sz w:val="18"/>
      <w:szCs w:val="18"/>
      <w:shd w:val="clear" w:color="auto" w:fill="FFFFFF"/>
      <w:lang w:val="en-US"/>
    </w:rPr>
  </w:style>
  <w:style w:type="character" w:customStyle="1" w:styleId="TimesNewRoman85pt">
    <w:name w:val="Основной текст + Times New Roman;8;5 pt"/>
    <w:basedOn w:val="aff1"/>
    <w:rsid w:val="00811C95"/>
    <w:rPr>
      <w:rFonts w:ascii="Times New Roman" w:eastAsia="Times New Roman" w:hAnsi="Times New Roman" w:cs="Times New Roman"/>
      <w:b w:val="0"/>
      <w:bCs w:val="0"/>
      <w:i w:val="0"/>
      <w:iCs w:val="0"/>
      <w:smallCaps w:val="0"/>
      <w:strike w:val="0"/>
      <w:spacing w:val="0"/>
      <w:sz w:val="17"/>
      <w:szCs w:val="17"/>
      <w:shd w:val="clear" w:color="auto" w:fill="FFFFFF"/>
    </w:rPr>
  </w:style>
  <w:style w:type="character" w:customStyle="1" w:styleId="CenturyGothic85pt0pt">
    <w:name w:val="Основной текст + Century Gothic;8;5 pt;Малые прописные;Интервал 0 pt"/>
    <w:basedOn w:val="aff1"/>
    <w:rsid w:val="00811C95"/>
    <w:rPr>
      <w:rFonts w:ascii="Century Gothic" w:eastAsia="Century Gothic" w:hAnsi="Century Gothic" w:cs="Century Gothic"/>
      <w:b w:val="0"/>
      <w:bCs w:val="0"/>
      <w:i w:val="0"/>
      <w:iCs w:val="0"/>
      <w:smallCaps/>
      <w:strike w:val="0"/>
      <w:spacing w:val="10"/>
      <w:sz w:val="17"/>
      <w:szCs w:val="17"/>
      <w:shd w:val="clear" w:color="auto" w:fill="FFFFFF"/>
      <w:lang w:val="en-US"/>
    </w:rPr>
  </w:style>
  <w:style w:type="character" w:customStyle="1" w:styleId="TrebuchetMS0pt">
    <w:name w:val="Основной текст + Trebuchet MS;Курсив;Интервал 0 pt"/>
    <w:basedOn w:val="aff1"/>
    <w:rsid w:val="00811C95"/>
    <w:rPr>
      <w:rFonts w:ascii="Trebuchet MS" w:eastAsia="Trebuchet MS" w:hAnsi="Trebuchet MS" w:cs="Trebuchet MS"/>
      <w:b w:val="0"/>
      <w:bCs w:val="0"/>
      <w:i/>
      <w:iCs/>
      <w:smallCaps w:val="0"/>
      <w:strike w:val="0"/>
      <w:spacing w:val="0"/>
      <w:sz w:val="20"/>
      <w:szCs w:val="20"/>
      <w:shd w:val="clear" w:color="auto" w:fill="FFFFFF"/>
    </w:rPr>
  </w:style>
  <w:style w:type="character" w:customStyle="1" w:styleId="0pt66">
    <w:name w:val="Основной текст + Полужирный;Интервал 0 pt;Масштаб 66%"/>
    <w:basedOn w:val="aff1"/>
    <w:rsid w:val="00811C95"/>
    <w:rPr>
      <w:rFonts w:ascii="MS Mincho" w:eastAsia="MS Mincho" w:hAnsi="MS Mincho" w:cs="MS Mincho"/>
      <w:b/>
      <w:bCs/>
      <w:i w:val="0"/>
      <w:iCs w:val="0"/>
      <w:smallCaps w:val="0"/>
      <w:strike w:val="0"/>
      <w:spacing w:val="0"/>
      <w:w w:val="66"/>
      <w:sz w:val="20"/>
      <w:szCs w:val="20"/>
      <w:shd w:val="clear" w:color="auto" w:fill="FFFFFF"/>
    </w:rPr>
  </w:style>
  <w:style w:type="character" w:customStyle="1" w:styleId="CenturyGothic0pt">
    <w:name w:val="Основной текст + Century Gothic;Курсив;Интервал 0 pt"/>
    <w:basedOn w:val="aff1"/>
    <w:rsid w:val="00811C95"/>
    <w:rPr>
      <w:rFonts w:ascii="Century Gothic" w:eastAsia="Century Gothic" w:hAnsi="Century Gothic" w:cs="Century Gothic"/>
      <w:i/>
      <w:iCs/>
      <w:spacing w:val="-10"/>
      <w:w w:val="100"/>
      <w:sz w:val="16"/>
      <w:szCs w:val="16"/>
      <w:shd w:val="clear" w:color="auto" w:fill="FFFFFF"/>
    </w:rPr>
  </w:style>
  <w:style w:type="character" w:customStyle="1" w:styleId="TrebuchetMS105pt">
    <w:name w:val="Основной текст + Trebuchet MS;10;5 pt;Курсив"/>
    <w:basedOn w:val="aff1"/>
    <w:rsid w:val="00811C95"/>
    <w:rPr>
      <w:rFonts w:ascii="Trebuchet MS" w:eastAsia="Trebuchet MS" w:hAnsi="Trebuchet MS" w:cs="Trebuchet MS"/>
      <w:b w:val="0"/>
      <w:bCs w:val="0"/>
      <w:i/>
      <w:iCs/>
      <w:smallCaps w:val="0"/>
      <w:strike w:val="0"/>
      <w:spacing w:val="0"/>
      <w:sz w:val="21"/>
      <w:szCs w:val="21"/>
      <w:shd w:val="clear" w:color="auto" w:fill="FFFFFF"/>
    </w:rPr>
  </w:style>
  <w:style w:type="character" w:customStyle="1" w:styleId="FranklinGothicBook105pt-1pt">
    <w:name w:val="Основной текст + Franklin Gothic Book;10;5 pt;Курсив;Интервал -1 pt"/>
    <w:basedOn w:val="aff1"/>
    <w:rsid w:val="00811C95"/>
    <w:rPr>
      <w:rFonts w:ascii="Franklin Gothic Book" w:eastAsia="Franklin Gothic Book" w:hAnsi="Franklin Gothic Book" w:cs="Franklin Gothic Book"/>
      <w:b w:val="0"/>
      <w:bCs w:val="0"/>
      <w:i/>
      <w:iCs/>
      <w:smallCaps w:val="0"/>
      <w:strike w:val="0"/>
      <w:spacing w:val="-20"/>
      <w:sz w:val="21"/>
      <w:szCs w:val="21"/>
      <w:shd w:val="clear" w:color="auto" w:fill="FFFFFF"/>
    </w:rPr>
  </w:style>
  <w:style w:type="character" w:customStyle="1" w:styleId="385pt">
    <w:name w:val="Основной текст (3) + 8;5 pt"/>
    <w:basedOn w:val="35"/>
    <w:rsid w:val="00811C95"/>
    <w:rPr>
      <w:rFonts w:ascii="Gungsuh" w:eastAsia="Gungsuh" w:hAnsi="Gungsuh" w:cs="Gungsuh"/>
      <w:b w:val="0"/>
      <w:bCs w:val="0"/>
      <w:i w:val="0"/>
      <w:iCs w:val="0"/>
      <w:smallCaps w:val="0"/>
      <w:strike w:val="0"/>
      <w:spacing w:val="0"/>
      <w:w w:val="100"/>
      <w:sz w:val="17"/>
      <w:szCs w:val="17"/>
      <w:shd w:val="clear" w:color="auto" w:fill="FFFFFF"/>
    </w:rPr>
  </w:style>
  <w:style w:type="character" w:customStyle="1" w:styleId="95pt0">
    <w:name w:val="Основной текст + 9;5 pt;Малые прописные"/>
    <w:basedOn w:val="aff1"/>
    <w:rsid w:val="00811C95"/>
    <w:rPr>
      <w:rFonts w:ascii="Gungsuh" w:eastAsia="Gungsuh" w:hAnsi="Gungsuh" w:cs="Gungsuh"/>
      <w:b w:val="0"/>
      <w:bCs w:val="0"/>
      <w:i w:val="0"/>
      <w:iCs w:val="0"/>
      <w:smallCaps/>
      <w:strike w:val="0"/>
      <w:spacing w:val="0"/>
      <w:sz w:val="19"/>
      <w:szCs w:val="19"/>
      <w:shd w:val="clear" w:color="auto" w:fill="FFFFFF"/>
    </w:rPr>
  </w:style>
  <w:style w:type="character" w:customStyle="1" w:styleId="Candara12pt">
    <w:name w:val="Основной текст + Candara;12 pt"/>
    <w:basedOn w:val="aff1"/>
    <w:rsid w:val="00811C95"/>
    <w:rPr>
      <w:rFonts w:ascii="Candara" w:eastAsia="Candara" w:hAnsi="Candara" w:cs="Candara"/>
      <w:b w:val="0"/>
      <w:bCs w:val="0"/>
      <w:i w:val="0"/>
      <w:iCs w:val="0"/>
      <w:smallCaps w:val="0"/>
      <w:strike w:val="0"/>
      <w:spacing w:val="0"/>
      <w:sz w:val="24"/>
      <w:szCs w:val="24"/>
      <w:shd w:val="clear" w:color="auto" w:fill="FFFFFF"/>
    </w:rPr>
  </w:style>
  <w:style w:type="character" w:customStyle="1" w:styleId="TimesNewRoman105pt">
    <w:name w:val="Основной текст + Times New Roman;10;5 pt;Курсив"/>
    <w:basedOn w:val="aff1"/>
    <w:rsid w:val="00811C95"/>
    <w:rPr>
      <w:rFonts w:ascii="Times New Roman" w:eastAsia="Times New Roman" w:hAnsi="Times New Roman" w:cs="Times New Roman"/>
      <w:b w:val="0"/>
      <w:bCs w:val="0"/>
      <w:i/>
      <w:iCs/>
      <w:smallCaps w:val="0"/>
      <w:strike w:val="0"/>
      <w:spacing w:val="0"/>
      <w:sz w:val="21"/>
      <w:szCs w:val="21"/>
      <w:shd w:val="clear" w:color="auto" w:fill="FFFFFF"/>
    </w:rPr>
  </w:style>
  <w:style w:type="character" w:customStyle="1" w:styleId="75pt0pt">
    <w:name w:val="Основной текст + 7;5 pt;Полужирный;Интервал 0 pt"/>
    <w:basedOn w:val="aff1"/>
    <w:rsid w:val="00811C95"/>
    <w:rPr>
      <w:rFonts w:ascii="Gungsuh" w:eastAsia="Gungsuh" w:hAnsi="Gungsuh" w:cs="Gungsuh"/>
      <w:b/>
      <w:bCs/>
      <w:i w:val="0"/>
      <w:iCs w:val="0"/>
      <w:smallCaps w:val="0"/>
      <w:strike w:val="0"/>
      <w:spacing w:val="10"/>
      <w:sz w:val="15"/>
      <w:szCs w:val="15"/>
      <w:shd w:val="clear" w:color="auto" w:fill="FFFFFF"/>
    </w:rPr>
  </w:style>
  <w:style w:type="character" w:customStyle="1" w:styleId="20pt">
    <w:name w:val="Основной текст (2) + Интервал 0 pt"/>
    <w:basedOn w:val="2a"/>
    <w:rsid w:val="00811C95"/>
    <w:rPr>
      <w:rFonts w:ascii="MS Mincho" w:eastAsia="MS Mincho" w:hAnsi="MS Mincho" w:cs="MS Mincho"/>
      <w:spacing w:val="0"/>
      <w:sz w:val="19"/>
      <w:szCs w:val="19"/>
      <w:shd w:val="clear" w:color="auto" w:fill="FFFFFF"/>
      <w:lang w:eastAsia="en-US"/>
    </w:rPr>
  </w:style>
  <w:style w:type="character" w:customStyle="1" w:styleId="CourierNew105pt0pt">
    <w:name w:val="Основной текст + Courier New;10;5 pt;Малые прописные;Интервал 0 pt"/>
    <w:basedOn w:val="aff1"/>
    <w:rsid w:val="00811C95"/>
    <w:rPr>
      <w:rFonts w:ascii="Courier New" w:eastAsia="Courier New" w:hAnsi="Courier New" w:cs="Courier New"/>
      <w:b w:val="0"/>
      <w:bCs w:val="0"/>
      <w:i w:val="0"/>
      <w:iCs w:val="0"/>
      <w:smallCaps/>
      <w:strike w:val="0"/>
      <w:spacing w:val="0"/>
      <w:sz w:val="21"/>
      <w:szCs w:val="21"/>
      <w:shd w:val="clear" w:color="auto" w:fill="FFFFFF"/>
    </w:rPr>
  </w:style>
  <w:style w:type="character" w:customStyle="1" w:styleId="Tahoma95pt">
    <w:name w:val="Основной текст + Tahoma;9;5 pt;Малые прописные"/>
    <w:basedOn w:val="aff1"/>
    <w:rsid w:val="00811C95"/>
    <w:rPr>
      <w:rFonts w:ascii="Tahoma" w:eastAsia="Tahoma" w:hAnsi="Tahoma" w:cs="Tahoma"/>
      <w:b w:val="0"/>
      <w:bCs w:val="0"/>
      <w:i w:val="0"/>
      <w:iCs w:val="0"/>
      <w:smallCaps/>
      <w:strike w:val="0"/>
      <w:spacing w:val="0"/>
      <w:w w:val="100"/>
      <w:sz w:val="19"/>
      <w:szCs w:val="19"/>
      <w:shd w:val="clear" w:color="auto" w:fill="FFFFFF"/>
    </w:rPr>
  </w:style>
  <w:style w:type="character" w:customStyle="1" w:styleId="Tahoma9pt0pt">
    <w:name w:val="Основной текст + Tahoma;9 pt;Малые прописные;Интервал 0 pt"/>
    <w:basedOn w:val="aff1"/>
    <w:rsid w:val="00811C95"/>
    <w:rPr>
      <w:rFonts w:ascii="Tahoma" w:eastAsia="Tahoma" w:hAnsi="Tahoma" w:cs="Tahoma"/>
      <w:b w:val="0"/>
      <w:bCs w:val="0"/>
      <w:i w:val="0"/>
      <w:iCs w:val="0"/>
      <w:smallCaps/>
      <w:strike w:val="0"/>
      <w:spacing w:val="0"/>
      <w:sz w:val="18"/>
      <w:szCs w:val="18"/>
      <w:shd w:val="clear" w:color="auto" w:fill="FFFFFF"/>
    </w:rPr>
  </w:style>
  <w:style w:type="character" w:customStyle="1" w:styleId="10pt2">
    <w:name w:val="Основной текст + 10 pt;Малые прописные"/>
    <w:basedOn w:val="aff1"/>
    <w:rsid w:val="00811C95"/>
    <w:rPr>
      <w:rFonts w:ascii="Gungsuh" w:eastAsia="Gungsuh" w:hAnsi="Gungsuh" w:cs="Gungsuh"/>
      <w:b w:val="0"/>
      <w:bCs w:val="0"/>
      <w:i w:val="0"/>
      <w:iCs w:val="0"/>
      <w:smallCaps/>
      <w:strike w:val="0"/>
      <w:spacing w:val="0"/>
      <w:sz w:val="20"/>
      <w:szCs w:val="20"/>
      <w:shd w:val="clear" w:color="auto" w:fill="FFFFFF"/>
    </w:rPr>
  </w:style>
  <w:style w:type="character" w:customStyle="1" w:styleId="10pt3">
    <w:name w:val="Основной текст + 10 pt;Курсив"/>
    <w:basedOn w:val="aff1"/>
    <w:rsid w:val="00811C95"/>
    <w:rPr>
      <w:rFonts w:ascii="Batang" w:eastAsia="Batang" w:hAnsi="Batang" w:cs="Batang"/>
      <w:b w:val="0"/>
      <w:bCs w:val="0"/>
      <w:i/>
      <w:iCs/>
      <w:smallCaps w:val="0"/>
      <w:strike w:val="0"/>
      <w:spacing w:val="0"/>
      <w:sz w:val="20"/>
      <w:szCs w:val="20"/>
      <w:shd w:val="clear" w:color="auto" w:fill="FFFFFF"/>
    </w:rPr>
  </w:style>
  <w:style w:type="character" w:customStyle="1" w:styleId="MicrosoftSansSerif95pt">
    <w:name w:val="Оглавление + Microsoft Sans Serif;9;5 pt"/>
    <w:basedOn w:val="afff8"/>
    <w:rsid w:val="00811C95"/>
    <w:rPr>
      <w:rFonts w:ascii="Microsoft Sans Serif" w:eastAsia="Microsoft Sans Serif" w:hAnsi="Microsoft Sans Serif" w:cs="Microsoft Sans Serif"/>
      <w:spacing w:val="-20"/>
      <w:sz w:val="19"/>
      <w:szCs w:val="19"/>
      <w:shd w:val="clear" w:color="auto" w:fill="FFFFFF"/>
    </w:rPr>
  </w:style>
  <w:style w:type="character" w:customStyle="1" w:styleId="Candara12pt-1pt">
    <w:name w:val="Основной текст + Candara;12 pt;Интервал -1 pt"/>
    <w:basedOn w:val="aff1"/>
    <w:rsid w:val="00811C95"/>
    <w:rPr>
      <w:rFonts w:ascii="Candara" w:eastAsia="Candara" w:hAnsi="Candara" w:cs="Candara"/>
      <w:b w:val="0"/>
      <w:bCs w:val="0"/>
      <w:i w:val="0"/>
      <w:iCs w:val="0"/>
      <w:smallCaps w:val="0"/>
      <w:strike w:val="0"/>
      <w:spacing w:val="-20"/>
      <w:sz w:val="24"/>
      <w:szCs w:val="24"/>
      <w:shd w:val="clear" w:color="auto" w:fill="FFFFFF"/>
    </w:rPr>
  </w:style>
  <w:style w:type="character" w:customStyle="1" w:styleId="8pt1">
    <w:name w:val="Основной текст + Интервал 8 pt"/>
    <w:basedOn w:val="aff1"/>
    <w:rsid w:val="00811C95"/>
    <w:rPr>
      <w:rFonts w:ascii="Batang" w:eastAsia="Batang" w:hAnsi="Batang" w:cs="Batang"/>
      <w:b w:val="0"/>
      <w:bCs w:val="0"/>
      <w:i w:val="0"/>
      <w:iCs w:val="0"/>
      <w:smallCaps w:val="0"/>
      <w:strike w:val="0"/>
      <w:spacing w:val="170"/>
      <w:sz w:val="17"/>
      <w:szCs w:val="17"/>
      <w:shd w:val="clear" w:color="auto" w:fill="FFFFFF"/>
    </w:rPr>
  </w:style>
  <w:style w:type="character" w:customStyle="1" w:styleId="4Batang9pt">
    <w:name w:val="Основной текст (4) + Batang;9 pt;Не курсив"/>
    <w:basedOn w:val="46"/>
    <w:rsid w:val="00811C95"/>
    <w:rPr>
      <w:rFonts w:ascii="Batang" w:eastAsia="Batang" w:hAnsi="Batang" w:cs="Batang"/>
      <w:b w:val="0"/>
      <w:bCs w:val="0"/>
      <w:i/>
      <w:iCs/>
      <w:smallCaps w:val="0"/>
      <w:strike w:val="0"/>
      <w:spacing w:val="0"/>
      <w:w w:val="60"/>
      <w:sz w:val="18"/>
      <w:szCs w:val="18"/>
      <w:shd w:val="clear" w:color="auto" w:fill="FFFFFF"/>
    </w:rPr>
  </w:style>
  <w:style w:type="character" w:customStyle="1" w:styleId="TrebuchetMS8pt">
    <w:name w:val="Основной текст + Trebuchet MS;8 pt"/>
    <w:basedOn w:val="aff1"/>
    <w:rsid w:val="00811C95"/>
    <w:rPr>
      <w:rFonts w:ascii="Trebuchet MS" w:eastAsia="Trebuchet MS" w:hAnsi="Trebuchet MS" w:cs="Trebuchet MS"/>
      <w:b w:val="0"/>
      <w:bCs w:val="0"/>
      <w:i w:val="0"/>
      <w:iCs w:val="0"/>
      <w:smallCaps w:val="0"/>
      <w:strike w:val="0"/>
      <w:spacing w:val="0"/>
      <w:sz w:val="16"/>
      <w:szCs w:val="16"/>
      <w:shd w:val="clear" w:color="auto" w:fill="FFFFFF"/>
    </w:rPr>
  </w:style>
  <w:style w:type="character" w:customStyle="1" w:styleId="Garamond95pt">
    <w:name w:val="Основной текст + Garamond;9;5 pt;Курсив"/>
    <w:basedOn w:val="aff1"/>
    <w:rsid w:val="00811C95"/>
    <w:rPr>
      <w:rFonts w:ascii="Garamond" w:eastAsia="Garamond" w:hAnsi="Garamond" w:cs="Garamond"/>
      <w:b w:val="0"/>
      <w:bCs w:val="0"/>
      <w:i/>
      <w:iCs/>
      <w:smallCaps w:val="0"/>
      <w:strike w:val="0"/>
      <w:spacing w:val="0"/>
      <w:sz w:val="19"/>
      <w:szCs w:val="19"/>
      <w:shd w:val="clear" w:color="auto" w:fill="FFFFFF"/>
    </w:rPr>
  </w:style>
  <w:style w:type="character" w:customStyle="1" w:styleId="CordiaUPC165pt-1pt">
    <w:name w:val="Основной текст + CordiaUPC;16;5 pt;Курсив;Интервал -1 pt"/>
    <w:basedOn w:val="aff1"/>
    <w:rsid w:val="00811C95"/>
    <w:rPr>
      <w:rFonts w:ascii="CordiaUPC" w:eastAsia="CordiaUPC" w:hAnsi="CordiaUPC" w:cs="CordiaUPC"/>
      <w:b w:val="0"/>
      <w:bCs w:val="0"/>
      <w:i/>
      <w:iCs/>
      <w:smallCaps w:val="0"/>
      <w:strike w:val="0"/>
      <w:spacing w:val="-20"/>
      <w:sz w:val="33"/>
      <w:szCs w:val="33"/>
      <w:shd w:val="clear" w:color="auto" w:fill="FFFFFF"/>
    </w:rPr>
  </w:style>
  <w:style w:type="character" w:customStyle="1" w:styleId="115pt2pt">
    <w:name w:val="Основной текст + 11;5 pt;Полужирный;Интервал 2 pt"/>
    <w:basedOn w:val="aff1"/>
    <w:rsid w:val="00811C95"/>
    <w:rPr>
      <w:rFonts w:ascii="Times New Roman" w:eastAsia="Times New Roman" w:hAnsi="Times New Roman" w:cs="Times New Roman"/>
      <w:b/>
      <w:bCs/>
      <w:i w:val="0"/>
      <w:iCs w:val="0"/>
      <w:smallCaps w:val="0"/>
      <w:strike w:val="0"/>
      <w:spacing w:val="40"/>
      <w:sz w:val="23"/>
      <w:szCs w:val="23"/>
      <w:shd w:val="clear" w:color="auto" w:fill="FFFFFF"/>
    </w:rPr>
  </w:style>
  <w:style w:type="character" w:customStyle="1" w:styleId="Arial13pt-1pt">
    <w:name w:val="Основной текст + Arial;13 pt;Курсив;Интервал -1 pt"/>
    <w:basedOn w:val="aff1"/>
    <w:rsid w:val="00811C95"/>
    <w:rPr>
      <w:rFonts w:ascii="Arial" w:eastAsia="Arial" w:hAnsi="Arial" w:cs="Arial"/>
      <w:b w:val="0"/>
      <w:bCs w:val="0"/>
      <w:i/>
      <w:iCs/>
      <w:smallCaps w:val="0"/>
      <w:strike w:val="0"/>
      <w:spacing w:val="-30"/>
      <w:w w:val="100"/>
      <w:sz w:val="26"/>
      <w:szCs w:val="26"/>
      <w:shd w:val="clear" w:color="auto" w:fill="FFFFFF"/>
    </w:rPr>
  </w:style>
  <w:style w:type="character" w:customStyle="1" w:styleId="MSGothic95pt0pt">
    <w:name w:val="Основной текст + MS Gothic;9;5 pt;Курсив;Интервал 0 pt"/>
    <w:basedOn w:val="aff1"/>
    <w:rsid w:val="00811C95"/>
    <w:rPr>
      <w:rFonts w:ascii="MS Gothic" w:eastAsia="MS Gothic" w:hAnsi="MS Gothic" w:cs="MS Gothic"/>
      <w:b w:val="0"/>
      <w:bCs w:val="0"/>
      <w:i/>
      <w:iCs/>
      <w:smallCaps w:val="0"/>
      <w:strike w:val="0"/>
      <w:spacing w:val="10"/>
      <w:sz w:val="19"/>
      <w:szCs w:val="19"/>
      <w:shd w:val="clear" w:color="auto" w:fill="FFFFFF"/>
    </w:rPr>
  </w:style>
  <w:style w:type="character" w:customStyle="1" w:styleId="Tahoma115pt">
    <w:name w:val="Основной текст + Tahoma;11;5 pt;Малые прописные"/>
    <w:basedOn w:val="aff1"/>
    <w:rsid w:val="00811C95"/>
    <w:rPr>
      <w:rFonts w:ascii="Tahoma" w:eastAsia="Tahoma" w:hAnsi="Tahoma" w:cs="Tahoma"/>
      <w:b w:val="0"/>
      <w:bCs w:val="0"/>
      <w:i w:val="0"/>
      <w:iCs w:val="0"/>
      <w:smallCaps/>
      <w:strike w:val="0"/>
      <w:spacing w:val="0"/>
      <w:w w:val="100"/>
      <w:sz w:val="23"/>
      <w:szCs w:val="23"/>
      <w:shd w:val="clear" w:color="auto" w:fill="FFFFFF"/>
    </w:rPr>
  </w:style>
  <w:style w:type="character" w:customStyle="1" w:styleId="Consolas105pt0pt">
    <w:name w:val="Основной текст + Consolas;10;5 pt;Малые прописные;Интервал 0 pt"/>
    <w:basedOn w:val="aff1"/>
    <w:rsid w:val="00811C95"/>
    <w:rPr>
      <w:rFonts w:ascii="Consolas" w:eastAsia="Consolas" w:hAnsi="Consolas" w:cs="Consolas"/>
      <w:b w:val="0"/>
      <w:bCs w:val="0"/>
      <w:i w:val="0"/>
      <w:iCs w:val="0"/>
      <w:smallCaps/>
      <w:strike w:val="0"/>
      <w:spacing w:val="-10"/>
      <w:w w:val="100"/>
      <w:sz w:val="21"/>
      <w:szCs w:val="21"/>
      <w:shd w:val="clear" w:color="auto" w:fill="FFFFFF"/>
    </w:rPr>
  </w:style>
  <w:style w:type="character" w:customStyle="1" w:styleId="TimesNewRoman105pt0pt">
    <w:name w:val="Основной текст + Times New Roman;10;5 pt;Не полужирный;Интервал 0 pt"/>
    <w:basedOn w:val="aff1"/>
    <w:rsid w:val="00811C95"/>
    <w:rPr>
      <w:rFonts w:ascii="Times New Roman" w:eastAsia="Times New Roman" w:hAnsi="Times New Roman" w:cs="Times New Roman"/>
      <w:b/>
      <w:bCs/>
      <w:i w:val="0"/>
      <w:iCs w:val="0"/>
      <w:smallCaps w:val="0"/>
      <w:strike w:val="0"/>
      <w:spacing w:val="0"/>
      <w:w w:val="100"/>
      <w:sz w:val="21"/>
      <w:szCs w:val="21"/>
      <w:shd w:val="clear" w:color="auto" w:fill="FFFFFF"/>
    </w:rPr>
  </w:style>
  <w:style w:type="character" w:customStyle="1" w:styleId="95pt0pt">
    <w:name w:val="Основной текст + 9;5 pt;Полужирный;Интервал 0 pt"/>
    <w:basedOn w:val="aff1"/>
    <w:rsid w:val="00811C95"/>
    <w:rPr>
      <w:rFonts w:ascii="SimSun" w:eastAsia="SimSun" w:hAnsi="SimSun" w:cs="SimSun"/>
      <w:b/>
      <w:bCs/>
      <w:i w:val="0"/>
      <w:iCs w:val="0"/>
      <w:smallCaps w:val="0"/>
      <w:strike w:val="0"/>
      <w:spacing w:val="0"/>
      <w:w w:val="100"/>
      <w:sz w:val="19"/>
      <w:szCs w:val="19"/>
      <w:shd w:val="clear" w:color="auto" w:fill="FFFFFF"/>
    </w:rPr>
  </w:style>
  <w:style w:type="character" w:customStyle="1" w:styleId="11pt0pt">
    <w:name w:val="Основной текст + 11 pt;Курсив;Интервал 0 pt"/>
    <w:basedOn w:val="aff1"/>
    <w:rsid w:val="00811C95"/>
    <w:rPr>
      <w:rFonts w:ascii="SimSun" w:eastAsia="SimSun" w:hAnsi="SimSun" w:cs="SimSun"/>
      <w:b w:val="0"/>
      <w:bCs w:val="0"/>
      <w:i/>
      <w:iCs/>
      <w:smallCaps w:val="0"/>
      <w:strike w:val="0"/>
      <w:spacing w:val="-10"/>
      <w:sz w:val="22"/>
      <w:szCs w:val="22"/>
      <w:shd w:val="clear" w:color="auto" w:fill="FFFFFF"/>
    </w:rPr>
  </w:style>
  <w:style w:type="character" w:customStyle="1" w:styleId="MicrosoftSansSerif85pt0pt0">
    <w:name w:val="Основной текст + Microsoft Sans Serif;8;5 pt;Малые прописные;Интервал 0 pt"/>
    <w:basedOn w:val="aff1"/>
    <w:rsid w:val="00811C95"/>
    <w:rPr>
      <w:rFonts w:ascii="Microsoft Sans Serif" w:eastAsia="Microsoft Sans Serif" w:hAnsi="Microsoft Sans Serif" w:cs="Microsoft Sans Serif"/>
      <w:b w:val="0"/>
      <w:bCs w:val="0"/>
      <w:i w:val="0"/>
      <w:iCs w:val="0"/>
      <w:smallCaps/>
      <w:strike w:val="0"/>
      <w:spacing w:val="10"/>
      <w:sz w:val="17"/>
      <w:szCs w:val="17"/>
      <w:shd w:val="clear" w:color="auto" w:fill="FFFFFF"/>
    </w:rPr>
  </w:style>
  <w:style w:type="character" w:customStyle="1" w:styleId="95pt1">
    <w:name w:val="Основной текст + 9;5 pt;Не полужирный;Курсив"/>
    <w:basedOn w:val="aff1"/>
    <w:rsid w:val="00811C95"/>
    <w:rPr>
      <w:rFonts w:ascii="Batang" w:eastAsia="Batang" w:hAnsi="Batang" w:cs="Batang"/>
      <w:b/>
      <w:bCs/>
      <w:i/>
      <w:iCs/>
      <w:smallCaps w:val="0"/>
      <w:strike w:val="0"/>
      <w:spacing w:val="10"/>
      <w:sz w:val="19"/>
      <w:szCs w:val="19"/>
      <w:shd w:val="clear" w:color="auto" w:fill="FFFFFF"/>
      <w:lang w:val="en-US"/>
    </w:rPr>
  </w:style>
  <w:style w:type="character" w:customStyle="1" w:styleId="afffffd">
    <w:name w:val="Основной текст + Малые прописные"/>
    <w:basedOn w:val="aff1"/>
    <w:rsid w:val="00811C95"/>
    <w:rPr>
      <w:rFonts w:ascii="Gungsuh" w:eastAsia="Gungsuh" w:hAnsi="Gungsuh" w:cs="Gungsuh"/>
      <w:b w:val="0"/>
      <w:bCs w:val="0"/>
      <w:i w:val="0"/>
      <w:iCs w:val="0"/>
      <w:smallCaps/>
      <w:strike w:val="0"/>
      <w:spacing w:val="0"/>
      <w:sz w:val="16"/>
      <w:szCs w:val="16"/>
      <w:shd w:val="clear" w:color="auto" w:fill="FFFFFF"/>
    </w:rPr>
  </w:style>
  <w:style w:type="character" w:customStyle="1" w:styleId="12pt1pt">
    <w:name w:val="Основной текст + 12 pt;Интервал 1 pt"/>
    <w:basedOn w:val="aff1"/>
    <w:rsid w:val="00811C95"/>
    <w:rPr>
      <w:rFonts w:ascii="Gungsuh" w:eastAsia="Gungsuh" w:hAnsi="Gungsuh" w:cs="Gungsuh"/>
      <w:b w:val="0"/>
      <w:bCs w:val="0"/>
      <w:i w:val="0"/>
      <w:iCs w:val="0"/>
      <w:smallCaps w:val="0"/>
      <w:strike w:val="0"/>
      <w:spacing w:val="20"/>
      <w:sz w:val="24"/>
      <w:szCs w:val="24"/>
      <w:shd w:val="clear" w:color="auto" w:fill="FFFFFF"/>
    </w:rPr>
  </w:style>
  <w:style w:type="character" w:customStyle="1" w:styleId="Gungsuh9pt">
    <w:name w:val="Основной текст + Gungsuh;9 pt;Курсив"/>
    <w:basedOn w:val="aff1"/>
    <w:rsid w:val="00811C95"/>
    <w:rPr>
      <w:rFonts w:ascii="Gungsuh" w:eastAsia="Gungsuh" w:hAnsi="Gungsuh" w:cs="Gungsuh"/>
      <w:b w:val="0"/>
      <w:bCs w:val="0"/>
      <w:i/>
      <w:iCs/>
      <w:smallCaps w:val="0"/>
      <w:strike w:val="0"/>
      <w:spacing w:val="0"/>
      <w:sz w:val="18"/>
      <w:szCs w:val="18"/>
      <w:shd w:val="clear" w:color="auto" w:fill="FFFFFF"/>
    </w:rPr>
  </w:style>
  <w:style w:type="character" w:customStyle="1" w:styleId="2135pt-1pt">
    <w:name w:val="Основной текст (2) + 13;5 pt;Интервал -1 pt"/>
    <w:basedOn w:val="2a"/>
    <w:rsid w:val="00811C95"/>
    <w:rPr>
      <w:rFonts w:ascii="Gungsuh" w:eastAsia="Gungsuh" w:hAnsi="Gungsuh" w:cs="Gungsuh"/>
      <w:b w:val="0"/>
      <w:bCs w:val="0"/>
      <w:i w:val="0"/>
      <w:iCs w:val="0"/>
      <w:smallCaps w:val="0"/>
      <w:strike w:val="0"/>
      <w:spacing w:val="-30"/>
      <w:sz w:val="27"/>
      <w:szCs w:val="27"/>
      <w:shd w:val="clear" w:color="auto" w:fill="FFFFFF"/>
      <w:lang w:val="en-US" w:eastAsia="en-US"/>
    </w:rPr>
  </w:style>
  <w:style w:type="character" w:customStyle="1" w:styleId="1pt3">
    <w:name w:val="Основной текст + Малые прописные;Интервал 1 pt"/>
    <w:basedOn w:val="aff1"/>
    <w:rsid w:val="00811C95"/>
    <w:rPr>
      <w:rFonts w:ascii="Gungsuh" w:eastAsia="Gungsuh" w:hAnsi="Gungsuh" w:cs="Gungsuh"/>
      <w:b w:val="0"/>
      <w:bCs w:val="0"/>
      <w:i w:val="0"/>
      <w:iCs w:val="0"/>
      <w:smallCaps/>
      <w:strike w:val="0"/>
      <w:spacing w:val="20"/>
      <w:sz w:val="17"/>
      <w:szCs w:val="17"/>
      <w:shd w:val="clear" w:color="auto" w:fill="FFFFFF"/>
    </w:rPr>
  </w:style>
  <w:style w:type="character" w:customStyle="1" w:styleId="9pt1pt0">
    <w:name w:val="Основной текст + 9 pt;Малые прописные;Интервал 1 pt"/>
    <w:basedOn w:val="aff1"/>
    <w:rsid w:val="00811C95"/>
    <w:rPr>
      <w:rFonts w:ascii="MingLiU" w:eastAsia="MingLiU" w:hAnsi="MingLiU" w:cs="MingLiU"/>
      <w:b w:val="0"/>
      <w:bCs w:val="0"/>
      <w:i w:val="0"/>
      <w:iCs w:val="0"/>
      <w:smallCaps/>
      <w:strike w:val="0"/>
      <w:spacing w:val="20"/>
      <w:sz w:val="18"/>
      <w:szCs w:val="18"/>
      <w:shd w:val="clear" w:color="auto" w:fill="FFFFFF"/>
      <w:lang w:val="en-US"/>
    </w:rPr>
  </w:style>
  <w:style w:type="character" w:customStyle="1" w:styleId="95pt60">
    <w:name w:val="Основной текст + 9;5 pt;Курсив;Масштаб 60%"/>
    <w:basedOn w:val="aff1"/>
    <w:rsid w:val="00811C95"/>
    <w:rPr>
      <w:rFonts w:ascii="Gungsuh" w:eastAsia="Gungsuh" w:hAnsi="Gungsuh" w:cs="Gungsuh"/>
      <w:b w:val="0"/>
      <w:bCs w:val="0"/>
      <w:i/>
      <w:iCs/>
      <w:smallCaps w:val="0"/>
      <w:strike w:val="0"/>
      <w:spacing w:val="0"/>
      <w:w w:val="60"/>
      <w:sz w:val="19"/>
      <w:szCs w:val="19"/>
      <w:shd w:val="clear" w:color="auto" w:fill="FFFFFF"/>
    </w:rPr>
  </w:style>
  <w:style w:type="character" w:customStyle="1" w:styleId="0pt6">
    <w:name w:val="Основной текст + Малые прописные;Интервал 0 pt"/>
    <w:basedOn w:val="aff1"/>
    <w:rsid w:val="00811C95"/>
    <w:rPr>
      <w:rFonts w:ascii="Gungsuh" w:eastAsia="Gungsuh" w:hAnsi="Gungsuh" w:cs="Gungsuh"/>
      <w:b w:val="0"/>
      <w:bCs w:val="0"/>
      <w:i w:val="0"/>
      <w:iCs w:val="0"/>
      <w:smallCaps/>
      <w:strike w:val="0"/>
      <w:spacing w:val="-10"/>
      <w:sz w:val="16"/>
      <w:szCs w:val="16"/>
      <w:shd w:val="clear" w:color="auto" w:fill="FFFFFF"/>
    </w:rPr>
  </w:style>
  <w:style w:type="character" w:customStyle="1" w:styleId="TrebuchetMS95pt-1pt">
    <w:name w:val="Основной текст + Trebuchet MS;9;5 pt;Курсив;Интервал -1 pt"/>
    <w:basedOn w:val="aff1"/>
    <w:rsid w:val="00811C95"/>
    <w:rPr>
      <w:rFonts w:ascii="Trebuchet MS" w:eastAsia="Trebuchet MS" w:hAnsi="Trebuchet MS" w:cs="Trebuchet MS"/>
      <w:b w:val="0"/>
      <w:bCs w:val="0"/>
      <w:i/>
      <w:iCs/>
      <w:smallCaps w:val="0"/>
      <w:strike w:val="0"/>
      <w:spacing w:val="-20"/>
      <w:sz w:val="19"/>
      <w:szCs w:val="19"/>
      <w:shd w:val="clear" w:color="auto" w:fill="FFFFFF"/>
    </w:rPr>
  </w:style>
  <w:style w:type="character" w:customStyle="1" w:styleId="Garamond10pt">
    <w:name w:val="Основной текст + Garamond;10 pt;Малые прописные"/>
    <w:basedOn w:val="aff1"/>
    <w:rsid w:val="00811C95"/>
    <w:rPr>
      <w:rFonts w:ascii="Garamond" w:eastAsia="Garamond" w:hAnsi="Garamond" w:cs="Garamond"/>
      <w:b w:val="0"/>
      <w:bCs w:val="0"/>
      <w:i w:val="0"/>
      <w:iCs w:val="0"/>
      <w:smallCaps/>
      <w:strike w:val="0"/>
      <w:spacing w:val="0"/>
      <w:sz w:val="20"/>
      <w:szCs w:val="20"/>
      <w:shd w:val="clear" w:color="auto" w:fill="FFFFFF"/>
    </w:rPr>
  </w:style>
  <w:style w:type="character" w:customStyle="1" w:styleId="75pt-1pt50">
    <w:name w:val="Основной текст + 7;5 pt;Интервал -1 pt;Масштаб 50%"/>
    <w:basedOn w:val="aff1"/>
    <w:rsid w:val="00811C95"/>
    <w:rPr>
      <w:rFonts w:ascii="Batang" w:eastAsia="Batang" w:hAnsi="Batang" w:cs="Batang"/>
      <w:b w:val="0"/>
      <w:bCs w:val="0"/>
      <w:i w:val="0"/>
      <w:iCs w:val="0"/>
      <w:smallCaps w:val="0"/>
      <w:strike w:val="0"/>
      <w:spacing w:val="-20"/>
      <w:w w:val="50"/>
      <w:sz w:val="15"/>
      <w:szCs w:val="15"/>
      <w:shd w:val="clear" w:color="auto" w:fill="FFFFFF"/>
    </w:rPr>
  </w:style>
  <w:style w:type="character" w:customStyle="1" w:styleId="95pt0pt0">
    <w:name w:val="Основной текст + 9;5 pt;Малые прописные;Интервал 0 pt"/>
    <w:basedOn w:val="aff1"/>
    <w:rsid w:val="00811C95"/>
    <w:rPr>
      <w:rFonts w:ascii="Century Schoolbook" w:eastAsia="Century Schoolbook" w:hAnsi="Century Schoolbook" w:cs="Century Schoolbook"/>
      <w:b w:val="0"/>
      <w:bCs w:val="0"/>
      <w:i w:val="0"/>
      <w:iCs w:val="0"/>
      <w:smallCaps/>
      <w:strike w:val="0"/>
      <w:spacing w:val="0"/>
      <w:sz w:val="19"/>
      <w:szCs w:val="19"/>
      <w:shd w:val="clear" w:color="auto" w:fill="FFFFFF"/>
    </w:rPr>
  </w:style>
  <w:style w:type="character" w:customStyle="1" w:styleId="75pt0pt0">
    <w:name w:val="Основной текст + 7;5 pt;Малые прописные;Интервал 0 pt"/>
    <w:basedOn w:val="aff1"/>
    <w:rsid w:val="00811C95"/>
    <w:rPr>
      <w:rFonts w:ascii="Century Schoolbook" w:eastAsia="Century Schoolbook" w:hAnsi="Century Schoolbook" w:cs="Century Schoolbook"/>
      <w:b w:val="0"/>
      <w:bCs w:val="0"/>
      <w:i w:val="0"/>
      <w:iCs w:val="0"/>
      <w:smallCaps/>
      <w:strike w:val="0"/>
      <w:spacing w:val="0"/>
      <w:sz w:val="15"/>
      <w:szCs w:val="15"/>
      <w:shd w:val="clear" w:color="auto" w:fill="FFFFFF"/>
    </w:rPr>
  </w:style>
  <w:style w:type="character" w:customStyle="1" w:styleId="8pt0pt1">
    <w:name w:val="Основной текст + 8 pt;Малые прописные;Интервал 0 pt"/>
    <w:basedOn w:val="aff1"/>
    <w:rsid w:val="00811C95"/>
    <w:rPr>
      <w:rFonts w:ascii="Gungsuh" w:eastAsia="Gungsuh" w:hAnsi="Gungsuh" w:cs="Gungsuh"/>
      <w:b w:val="0"/>
      <w:bCs w:val="0"/>
      <w:i w:val="0"/>
      <w:iCs w:val="0"/>
      <w:smallCaps/>
      <w:strike w:val="0"/>
      <w:spacing w:val="10"/>
      <w:sz w:val="16"/>
      <w:szCs w:val="16"/>
      <w:shd w:val="clear" w:color="auto" w:fill="FFFFFF"/>
    </w:rPr>
  </w:style>
  <w:style w:type="character" w:customStyle="1" w:styleId="TrebuchetMS10pt">
    <w:name w:val="Основной текст + Trebuchet MS;10 pt;Курсив"/>
    <w:basedOn w:val="aff1"/>
    <w:rsid w:val="00811C95"/>
    <w:rPr>
      <w:rFonts w:ascii="Trebuchet MS" w:eastAsia="Trebuchet MS" w:hAnsi="Trebuchet MS" w:cs="Trebuchet MS"/>
      <w:b w:val="0"/>
      <w:bCs w:val="0"/>
      <w:i/>
      <w:iCs/>
      <w:smallCaps w:val="0"/>
      <w:strike w:val="0"/>
      <w:spacing w:val="0"/>
      <w:sz w:val="20"/>
      <w:szCs w:val="20"/>
      <w:shd w:val="clear" w:color="auto" w:fill="FFFFFF"/>
    </w:rPr>
  </w:style>
  <w:style w:type="character" w:customStyle="1" w:styleId="105pt0pt0">
    <w:name w:val="Основной текст + 10;5 pt;Интервал 0 pt"/>
    <w:basedOn w:val="aff1"/>
    <w:rsid w:val="00811C95"/>
    <w:rPr>
      <w:rFonts w:ascii="Gungsuh" w:eastAsia="Gungsuh" w:hAnsi="Gungsuh" w:cs="Gungsuh"/>
      <w:b w:val="0"/>
      <w:bCs w:val="0"/>
      <w:i w:val="0"/>
      <w:iCs w:val="0"/>
      <w:smallCaps w:val="0"/>
      <w:strike w:val="0"/>
      <w:spacing w:val="-10"/>
      <w:sz w:val="21"/>
      <w:szCs w:val="21"/>
      <w:shd w:val="clear" w:color="auto" w:fill="FFFFFF"/>
    </w:rPr>
  </w:style>
  <w:style w:type="character" w:customStyle="1" w:styleId="CenturyGothic95pt0pt">
    <w:name w:val="Основной текст + Century Gothic;9;5 pt;Курсив;Интервал 0 pt"/>
    <w:basedOn w:val="aff1"/>
    <w:rsid w:val="00811C95"/>
    <w:rPr>
      <w:rFonts w:ascii="Century Gothic" w:eastAsia="Century Gothic" w:hAnsi="Century Gothic" w:cs="Century Gothic"/>
      <w:b w:val="0"/>
      <w:bCs w:val="0"/>
      <w:i/>
      <w:iCs/>
      <w:smallCaps w:val="0"/>
      <w:strike w:val="0"/>
      <w:spacing w:val="0"/>
      <w:sz w:val="19"/>
      <w:szCs w:val="19"/>
      <w:shd w:val="clear" w:color="auto" w:fill="FFFFFF"/>
    </w:rPr>
  </w:style>
  <w:style w:type="character" w:customStyle="1" w:styleId="11pt2">
    <w:name w:val="Основной текст + 11 pt;Полужирный"/>
    <w:basedOn w:val="aff1"/>
    <w:rsid w:val="00811C95"/>
    <w:rPr>
      <w:rFonts w:ascii="Century Schoolbook" w:eastAsia="Century Schoolbook" w:hAnsi="Century Schoolbook" w:cs="Century Schoolbook"/>
      <w:b/>
      <w:bCs/>
      <w:i w:val="0"/>
      <w:iCs w:val="0"/>
      <w:smallCaps w:val="0"/>
      <w:strike w:val="0"/>
      <w:spacing w:val="0"/>
      <w:sz w:val="22"/>
      <w:szCs w:val="22"/>
      <w:shd w:val="clear" w:color="auto" w:fill="FFFFFF"/>
    </w:rPr>
  </w:style>
  <w:style w:type="character" w:customStyle="1" w:styleId="BookAntiqua75pt-1pt">
    <w:name w:val="Основной текст + Book Antiqua;7;5 pt;Курсив;Интервал -1 pt"/>
    <w:basedOn w:val="aff1"/>
    <w:rsid w:val="00811C95"/>
    <w:rPr>
      <w:rFonts w:ascii="Book Antiqua" w:eastAsia="Book Antiqua" w:hAnsi="Book Antiqua" w:cs="Book Antiqua"/>
      <w:i/>
      <w:iCs/>
      <w:spacing w:val="-20"/>
      <w:w w:val="100"/>
      <w:sz w:val="15"/>
      <w:szCs w:val="15"/>
      <w:shd w:val="clear" w:color="auto" w:fill="FFFFFF"/>
    </w:rPr>
  </w:style>
  <w:style w:type="character" w:customStyle="1" w:styleId="BookAntiqua105pt2pt">
    <w:name w:val="Основной текст + Book Antiqua;10;5 pt;Курсив;Интервал 2 pt"/>
    <w:basedOn w:val="aff1"/>
    <w:rsid w:val="00811C95"/>
    <w:rPr>
      <w:rFonts w:ascii="Book Antiqua" w:eastAsia="Book Antiqua" w:hAnsi="Book Antiqua" w:cs="Book Antiqua"/>
      <w:b w:val="0"/>
      <w:bCs w:val="0"/>
      <w:i/>
      <w:iCs/>
      <w:smallCaps w:val="0"/>
      <w:strike w:val="0"/>
      <w:spacing w:val="40"/>
      <w:sz w:val="21"/>
      <w:szCs w:val="21"/>
      <w:shd w:val="clear" w:color="auto" w:fill="FFFFFF"/>
    </w:rPr>
  </w:style>
  <w:style w:type="character" w:customStyle="1" w:styleId="afffffe">
    <w:name w:val="Основной текст + Полужирный;Малые прописные"/>
    <w:basedOn w:val="aff1"/>
    <w:rsid w:val="00811C95"/>
    <w:rPr>
      <w:rFonts w:ascii="Gungsuh" w:eastAsia="Gungsuh" w:hAnsi="Gungsuh" w:cs="Gungsuh"/>
      <w:b/>
      <w:bCs/>
      <w:i w:val="0"/>
      <w:iCs w:val="0"/>
      <w:smallCaps/>
      <w:strike w:val="0"/>
      <w:spacing w:val="0"/>
      <w:sz w:val="16"/>
      <w:szCs w:val="16"/>
      <w:shd w:val="clear" w:color="auto" w:fill="FFFFFF"/>
    </w:rPr>
  </w:style>
  <w:style w:type="character" w:customStyle="1" w:styleId="Candara10pt">
    <w:name w:val="Основной текст + Candara;10 pt"/>
    <w:basedOn w:val="aff1"/>
    <w:rsid w:val="00811C95"/>
    <w:rPr>
      <w:rFonts w:ascii="Candara" w:eastAsia="Candara" w:hAnsi="Candara" w:cs="Candara"/>
      <w:b w:val="0"/>
      <w:bCs w:val="0"/>
      <w:i w:val="0"/>
      <w:iCs w:val="0"/>
      <w:smallCaps w:val="0"/>
      <w:strike w:val="0"/>
      <w:spacing w:val="0"/>
      <w:sz w:val="20"/>
      <w:szCs w:val="20"/>
      <w:shd w:val="clear" w:color="auto" w:fill="FFFFFF"/>
    </w:rPr>
  </w:style>
  <w:style w:type="character" w:customStyle="1" w:styleId="Consolas10pt0">
    <w:name w:val="Основной текст + Consolas;10 pt"/>
    <w:basedOn w:val="aff1"/>
    <w:rsid w:val="00811C95"/>
    <w:rPr>
      <w:rFonts w:ascii="Consolas" w:eastAsia="Consolas" w:hAnsi="Consolas" w:cs="Consolas"/>
      <w:b w:val="0"/>
      <w:bCs w:val="0"/>
      <w:i w:val="0"/>
      <w:iCs w:val="0"/>
      <w:smallCaps w:val="0"/>
      <w:strike w:val="0"/>
      <w:spacing w:val="0"/>
      <w:sz w:val="20"/>
      <w:szCs w:val="20"/>
      <w:shd w:val="clear" w:color="auto" w:fill="FFFFFF"/>
    </w:rPr>
  </w:style>
  <w:style w:type="character" w:customStyle="1" w:styleId="295pt">
    <w:name w:val="Основной текст (2) + 9;5 pt"/>
    <w:basedOn w:val="2a"/>
    <w:rsid w:val="00811C95"/>
    <w:rPr>
      <w:rFonts w:ascii="MS Mincho" w:eastAsia="MS Mincho" w:hAnsi="MS Mincho" w:cs="MS Mincho"/>
      <w:spacing w:val="-20"/>
      <w:sz w:val="19"/>
      <w:szCs w:val="19"/>
      <w:shd w:val="clear" w:color="auto" w:fill="FFFFFF"/>
      <w:lang w:eastAsia="en-US"/>
    </w:rPr>
  </w:style>
  <w:style w:type="character" w:customStyle="1" w:styleId="295pt0pt">
    <w:name w:val="Основной текст (2) + 9;5 pt;Интервал 0 pt"/>
    <w:basedOn w:val="2a"/>
    <w:rsid w:val="00811C95"/>
    <w:rPr>
      <w:rFonts w:ascii="MS Mincho" w:eastAsia="MS Mincho" w:hAnsi="MS Mincho" w:cs="MS Mincho"/>
      <w:spacing w:val="0"/>
      <w:sz w:val="19"/>
      <w:szCs w:val="19"/>
      <w:shd w:val="clear" w:color="auto" w:fill="FFFFFF"/>
      <w:lang w:eastAsia="en-US"/>
    </w:rPr>
  </w:style>
  <w:style w:type="character" w:customStyle="1" w:styleId="SimHei95pt">
    <w:name w:val="Основной текст + SimHei;9;5 pt;Малые прописные"/>
    <w:basedOn w:val="aff1"/>
    <w:rsid w:val="00811C95"/>
    <w:rPr>
      <w:rFonts w:ascii="SimHei" w:eastAsia="SimHei" w:hAnsi="SimHei" w:cs="SimHei"/>
      <w:b w:val="0"/>
      <w:bCs w:val="0"/>
      <w:i w:val="0"/>
      <w:iCs w:val="0"/>
      <w:smallCaps/>
      <w:strike w:val="0"/>
      <w:spacing w:val="0"/>
      <w:sz w:val="19"/>
      <w:szCs w:val="19"/>
      <w:shd w:val="clear" w:color="auto" w:fill="FFFFFF"/>
    </w:rPr>
  </w:style>
  <w:style w:type="character" w:customStyle="1" w:styleId="Gungsuh0">
    <w:name w:val="Основной текст + Gungsuh;Малые прописные"/>
    <w:basedOn w:val="aff1"/>
    <w:rsid w:val="00811C95"/>
    <w:rPr>
      <w:rFonts w:ascii="Gungsuh" w:eastAsia="Gungsuh" w:hAnsi="Gungsuh" w:cs="Gungsuh"/>
      <w:b w:val="0"/>
      <w:bCs w:val="0"/>
      <w:i w:val="0"/>
      <w:iCs w:val="0"/>
      <w:smallCaps/>
      <w:strike w:val="0"/>
      <w:spacing w:val="0"/>
      <w:sz w:val="18"/>
      <w:szCs w:val="18"/>
      <w:shd w:val="clear" w:color="auto" w:fill="FFFFFF"/>
      <w:lang w:val="en-US"/>
    </w:rPr>
  </w:style>
  <w:style w:type="character" w:customStyle="1" w:styleId="Calibri12pt0pt">
    <w:name w:val="Основной текст + Calibri;12 pt;Полужирный;Интервал 0 pt"/>
    <w:basedOn w:val="aff1"/>
    <w:rsid w:val="00811C95"/>
    <w:rPr>
      <w:rFonts w:ascii="Calibri" w:eastAsia="Calibri" w:hAnsi="Calibri" w:cs="Calibri"/>
      <w:b/>
      <w:bCs/>
      <w:i w:val="0"/>
      <w:iCs w:val="0"/>
      <w:smallCaps w:val="0"/>
      <w:strike w:val="0"/>
      <w:spacing w:val="0"/>
      <w:sz w:val="24"/>
      <w:szCs w:val="24"/>
      <w:shd w:val="clear" w:color="auto" w:fill="FFFFFF"/>
    </w:rPr>
  </w:style>
  <w:style w:type="character" w:customStyle="1" w:styleId="TrebuchetMS9pt0pt0">
    <w:name w:val="Основной текст + Trebuchet MS;9 pt;Интервал 0 pt"/>
    <w:basedOn w:val="aff1"/>
    <w:rsid w:val="00811C95"/>
    <w:rPr>
      <w:rFonts w:ascii="Trebuchet MS" w:eastAsia="Trebuchet MS" w:hAnsi="Trebuchet MS" w:cs="Trebuchet MS"/>
      <w:b w:val="0"/>
      <w:bCs w:val="0"/>
      <w:i w:val="0"/>
      <w:iCs w:val="0"/>
      <w:smallCaps w:val="0"/>
      <w:strike w:val="0"/>
      <w:spacing w:val="10"/>
      <w:sz w:val="18"/>
      <w:szCs w:val="18"/>
      <w:shd w:val="clear" w:color="auto" w:fill="FFFFFF"/>
    </w:rPr>
  </w:style>
  <w:style w:type="character" w:customStyle="1" w:styleId="Garamond12pt">
    <w:name w:val="Основной текст + Garamond;12 pt;Курсив"/>
    <w:basedOn w:val="aff1"/>
    <w:rsid w:val="00811C95"/>
    <w:rPr>
      <w:rFonts w:ascii="Garamond" w:eastAsia="Garamond" w:hAnsi="Garamond" w:cs="Garamond"/>
      <w:b w:val="0"/>
      <w:bCs w:val="0"/>
      <w:i/>
      <w:iCs/>
      <w:smallCaps w:val="0"/>
      <w:strike w:val="0"/>
      <w:spacing w:val="0"/>
      <w:sz w:val="24"/>
      <w:szCs w:val="24"/>
      <w:shd w:val="clear" w:color="auto" w:fill="FFFFFF"/>
    </w:rPr>
  </w:style>
  <w:style w:type="character" w:customStyle="1" w:styleId="CenturySchoolbook105pt">
    <w:name w:val="Основной текст + Century Schoolbook;10;5 pt;Полужирный"/>
    <w:basedOn w:val="aff1"/>
    <w:rsid w:val="00811C95"/>
    <w:rPr>
      <w:rFonts w:ascii="Century Schoolbook" w:eastAsia="Century Schoolbook" w:hAnsi="Century Schoolbook" w:cs="Century Schoolbook"/>
      <w:b/>
      <w:bCs/>
      <w:i w:val="0"/>
      <w:iCs w:val="0"/>
      <w:smallCaps w:val="0"/>
      <w:strike w:val="0"/>
      <w:spacing w:val="0"/>
      <w:w w:val="100"/>
      <w:sz w:val="21"/>
      <w:szCs w:val="21"/>
      <w:shd w:val="clear" w:color="auto" w:fill="FFFFFF"/>
    </w:rPr>
  </w:style>
  <w:style w:type="character" w:customStyle="1" w:styleId="105pt80">
    <w:name w:val="Основной текст + 10;5 pt;Полужирный;Масштаб 80%"/>
    <w:basedOn w:val="aff1"/>
    <w:rsid w:val="00811C95"/>
    <w:rPr>
      <w:rFonts w:ascii="Gungsuh" w:eastAsia="Gungsuh" w:hAnsi="Gungsuh" w:cs="Gungsuh"/>
      <w:b/>
      <w:bCs/>
      <w:i w:val="0"/>
      <w:iCs w:val="0"/>
      <w:smallCaps w:val="0"/>
      <w:strike w:val="0"/>
      <w:spacing w:val="0"/>
      <w:w w:val="80"/>
      <w:sz w:val="21"/>
      <w:szCs w:val="21"/>
      <w:shd w:val="clear" w:color="auto" w:fill="FFFFFF"/>
    </w:rPr>
  </w:style>
  <w:style w:type="character" w:customStyle="1" w:styleId="8pt2">
    <w:name w:val="Основной текст + 8 pt;Полужирный"/>
    <w:basedOn w:val="aff1"/>
    <w:rsid w:val="00811C95"/>
    <w:rPr>
      <w:rFonts w:ascii="Batang" w:eastAsia="Batang" w:hAnsi="Batang" w:cs="Batang"/>
      <w:b/>
      <w:bCs/>
      <w:i w:val="0"/>
      <w:iCs w:val="0"/>
      <w:smallCaps w:val="0"/>
      <w:strike w:val="0"/>
      <w:spacing w:val="0"/>
      <w:sz w:val="16"/>
      <w:szCs w:val="16"/>
      <w:shd w:val="clear" w:color="auto" w:fill="FFFFFF"/>
    </w:rPr>
  </w:style>
  <w:style w:type="character" w:customStyle="1" w:styleId="CenturySchoolbook13pt75">
    <w:name w:val="Основной текст + Century Schoolbook;13 pt;Малые прописные;Масштаб 75%"/>
    <w:basedOn w:val="aff1"/>
    <w:rsid w:val="00811C95"/>
    <w:rPr>
      <w:rFonts w:ascii="Century Schoolbook" w:eastAsia="Century Schoolbook" w:hAnsi="Century Schoolbook" w:cs="Century Schoolbook"/>
      <w:b w:val="0"/>
      <w:bCs w:val="0"/>
      <w:i w:val="0"/>
      <w:iCs w:val="0"/>
      <w:smallCaps/>
      <w:strike w:val="0"/>
      <w:spacing w:val="0"/>
      <w:w w:val="75"/>
      <w:sz w:val="26"/>
      <w:szCs w:val="26"/>
      <w:shd w:val="clear" w:color="auto" w:fill="FFFFFF"/>
    </w:rPr>
  </w:style>
  <w:style w:type="character" w:customStyle="1" w:styleId="TimesNewRoman65pt0pt">
    <w:name w:val="Основной текст + Times New Roman;6;5 pt;Малые прописные;Интервал 0 pt"/>
    <w:basedOn w:val="aff1"/>
    <w:rsid w:val="00811C95"/>
    <w:rPr>
      <w:rFonts w:ascii="Times New Roman" w:eastAsia="Times New Roman" w:hAnsi="Times New Roman" w:cs="Times New Roman"/>
      <w:b w:val="0"/>
      <w:bCs w:val="0"/>
      <w:i w:val="0"/>
      <w:iCs w:val="0"/>
      <w:smallCaps/>
      <w:strike w:val="0"/>
      <w:spacing w:val="0"/>
      <w:w w:val="100"/>
      <w:sz w:val="13"/>
      <w:szCs w:val="13"/>
      <w:shd w:val="clear" w:color="auto" w:fill="FFFFFF"/>
      <w:lang w:val="en-US"/>
    </w:rPr>
  </w:style>
  <w:style w:type="character" w:customStyle="1" w:styleId="TimesNewRoman">
    <w:name w:val="Основной текст + Times New Roman;Малые прописные"/>
    <w:basedOn w:val="aff1"/>
    <w:rsid w:val="00811C95"/>
    <w:rPr>
      <w:rFonts w:ascii="Times New Roman" w:eastAsia="Times New Roman" w:hAnsi="Times New Roman" w:cs="Times New Roman"/>
      <w:b w:val="0"/>
      <w:bCs w:val="0"/>
      <w:i w:val="0"/>
      <w:iCs w:val="0"/>
      <w:smallCaps/>
      <w:strike w:val="0"/>
      <w:spacing w:val="0"/>
      <w:sz w:val="18"/>
      <w:szCs w:val="18"/>
      <w:shd w:val="clear" w:color="auto" w:fill="FFFFFF"/>
    </w:rPr>
  </w:style>
  <w:style w:type="character" w:customStyle="1" w:styleId="7pt0pt1">
    <w:name w:val="Основной текст + 7 pt;Малые прописные;Интервал 0 pt"/>
    <w:basedOn w:val="aff1"/>
    <w:rsid w:val="00811C95"/>
    <w:rPr>
      <w:rFonts w:ascii="MS Mincho" w:eastAsia="MS Mincho" w:hAnsi="MS Mincho" w:cs="MS Mincho"/>
      <w:b w:val="0"/>
      <w:bCs w:val="0"/>
      <w:i w:val="0"/>
      <w:iCs w:val="0"/>
      <w:smallCaps/>
      <w:strike w:val="0"/>
      <w:spacing w:val="0"/>
      <w:w w:val="100"/>
      <w:sz w:val="14"/>
      <w:szCs w:val="14"/>
      <w:shd w:val="clear" w:color="auto" w:fill="FFFFFF"/>
    </w:rPr>
  </w:style>
  <w:style w:type="character" w:customStyle="1" w:styleId="2TimesNewRoman9pt">
    <w:name w:val="Заголовок №2 + Times New Roman;9 pt;Не малые прописные"/>
    <w:basedOn w:val="2f0"/>
    <w:rsid w:val="00811C95"/>
    <w:rPr>
      <w:rFonts w:ascii="Times New Roman" w:eastAsia="Times New Roman" w:hAnsi="Times New Roman" w:cs="Times New Roman"/>
      <w:b w:val="0"/>
      <w:bCs w:val="0"/>
      <w:i w:val="0"/>
      <w:iCs w:val="0"/>
      <w:smallCaps/>
      <w:strike w:val="0"/>
      <w:spacing w:val="0"/>
      <w:sz w:val="18"/>
      <w:szCs w:val="18"/>
    </w:rPr>
  </w:style>
  <w:style w:type="character" w:customStyle="1" w:styleId="Consolas95pt0">
    <w:name w:val="Основной текст + Consolas;9;5 pt;Курсив"/>
    <w:basedOn w:val="aff1"/>
    <w:rsid w:val="00811C95"/>
    <w:rPr>
      <w:rFonts w:ascii="Consolas" w:eastAsia="Consolas" w:hAnsi="Consolas" w:cs="Consolas"/>
      <w:b w:val="0"/>
      <w:bCs w:val="0"/>
      <w:i/>
      <w:iCs/>
      <w:smallCaps w:val="0"/>
      <w:strike w:val="0"/>
      <w:spacing w:val="0"/>
      <w:w w:val="100"/>
      <w:sz w:val="19"/>
      <w:szCs w:val="19"/>
      <w:shd w:val="clear" w:color="auto" w:fill="FFFFFF"/>
    </w:rPr>
  </w:style>
  <w:style w:type="character" w:customStyle="1" w:styleId="MSReferenceSansSerif85pt-1pt">
    <w:name w:val="Основной текст + MS Reference Sans Serif;8;5 pt;Интервал -1 pt"/>
    <w:basedOn w:val="aff1"/>
    <w:rsid w:val="00811C95"/>
    <w:rPr>
      <w:rFonts w:ascii="MS Reference Sans Serif" w:eastAsia="MS Reference Sans Serif" w:hAnsi="MS Reference Sans Serif" w:cs="MS Reference Sans Serif"/>
      <w:b w:val="0"/>
      <w:bCs w:val="0"/>
      <w:i w:val="0"/>
      <w:iCs w:val="0"/>
      <w:smallCaps w:val="0"/>
      <w:strike w:val="0"/>
      <w:spacing w:val="-20"/>
      <w:sz w:val="17"/>
      <w:szCs w:val="17"/>
      <w:shd w:val="clear" w:color="auto" w:fill="FFFFFF"/>
    </w:rPr>
  </w:style>
  <w:style w:type="character" w:customStyle="1" w:styleId="Candara145pt">
    <w:name w:val="Основной текст + Candara;14;5 pt"/>
    <w:basedOn w:val="aff1"/>
    <w:rsid w:val="00811C95"/>
    <w:rPr>
      <w:rFonts w:ascii="Candara" w:eastAsia="Candara" w:hAnsi="Candara" w:cs="Candara"/>
      <w:b w:val="0"/>
      <w:bCs w:val="0"/>
      <w:i w:val="0"/>
      <w:iCs w:val="0"/>
      <w:smallCaps w:val="0"/>
      <w:strike w:val="0"/>
      <w:spacing w:val="0"/>
      <w:sz w:val="29"/>
      <w:szCs w:val="29"/>
      <w:shd w:val="clear" w:color="auto" w:fill="FFFFFF"/>
    </w:rPr>
  </w:style>
  <w:style w:type="character" w:customStyle="1" w:styleId="BookmanOldStyle-1pt60">
    <w:name w:val="Основной текст + Bookman Old Style;Полужирный;Курсив;Интервал -1 pt;Масштаб 60%"/>
    <w:basedOn w:val="aff1"/>
    <w:rsid w:val="00811C95"/>
    <w:rPr>
      <w:rFonts w:ascii="Bookman Old Style" w:eastAsia="Bookman Old Style" w:hAnsi="Bookman Old Style" w:cs="Bookman Old Style"/>
      <w:b/>
      <w:bCs/>
      <w:i/>
      <w:iCs/>
      <w:smallCaps w:val="0"/>
      <w:strike w:val="0"/>
      <w:spacing w:val="-20"/>
      <w:w w:val="60"/>
      <w:sz w:val="16"/>
      <w:szCs w:val="16"/>
      <w:shd w:val="clear" w:color="auto" w:fill="FFFFFF"/>
    </w:rPr>
  </w:style>
  <w:style w:type="character" w:customStyle="1" w:styleId="MSReferenceSansSerif85pt">
    <w:name w:val="Основной текст + MS Reference Sans Serif;8;5 pt"/>
    <w:basedOn w:val="aff1"/>
    <w:rsid w:val="00811C95"/>
    <w:rPr>
      <w:rFonts w:ascii="MS Reference Sans Serif" w:eastAsia="MS Reference Sans Serif" w:hAnsi="MS Reference Sans Serif" w:cs="MS Reference Sans Serif"/>
      <w:b w:val="0"/>
      <w:bCs w:val="0"/>
      <w:i w:val="0"/>
      <w:iCs w:val="0"/>
      <w:smallCaps w:val="0"/>
      <w:strike w:val="0"/>
      <w:spacing w:val="0"/>
      <w:sz w:val="17"/>
      <w:szCs w:val="17"/>
      <w:shd w:val="clear" w:color="auto" w:fill="FFFFFF"/>
    </w:rPr>
  </w:style>
  <w:style w:type="character" w:customStyle="1" w:styleId="0pt7">
    <w:name w:val="Основной текст + Не полужирный;Интервал 0 pt"/>
    <w:basedOn w:val="aff1"/>
    <w:rsid w:val="00811C95"/>
    <w:rPr>
      <w:rFonts w:ascii="Consolas" w:eastAsia="Consolas" w:hAnsi="Consolas" w:cs="Consolas"/>
      <w:b/>
      <w:bCs/>
      <w:i w:val="0"/>
      <w:iCs w:val="0"/>
      <w:smallCaps w:val="0"/>
      <w:strike w:val="0"/>
      <w:spacing w:val="-10"/>
      <w:w w:val="100"/>
      <w:sz w:val="18"/>
      <w:szCs w:val="18"/>
      <w:shd w:val="clear" w:color="auto" w:fill="FFFFFF"/>
    </w:rPr>
  </w:style>
  <w:style w:type="character" w:customStyle="1" w:styleId="Tahoma0pt">
    <w:name w:val="Основной текст + Tahoma;Интервал 0 pt"/>
    <w:basedOn w:val="aff1"/>
    <w:rsid w:val="00811C95"/>
    <w:rPr>
      <w:rFonts w:ascii="Tahoma" w:eastAsia="Tahoma" w:hAnsi="Tahoma" w:cs="Tahoma"/>
      <w:b w:val="0"/>
      <w:bCs w:val="0"/>
      <w:i w:val="0"/>
      <w:iCs w:val="0"/>
      <w:smallCaps w:val="0"/>
      <w:strike w:val="0"/>
      <w:spacing w:val="-10"/>
      <w:sz w:val="16"/>
      <w:szCs w:val="16"/>
      <w:shd w:val="clear" w:color="auto" w:fill="FFFFFF"/>
    </w:rPr>
  </w:style>
  <w:style w:type="character" w:customStyle="1" w:styleId="85pt3">
    <w:name w:val="Основной текст + 8;5 pt;Малые прописные"/>
    <w:basedOn w:val="aff1"/>
    <w:rsid w:val="00811C95"/>
    <w:rPr>
      <w:rFonts w:ascii="Gungsuh" w:eastAsia="Gungsuh" w:hAnsi="Gungsuh" w:cs="Gungsuh"/>
      <w:b w:val="0"/>
      <w:bCs w:val="0"/>
      <w:i w:val="0"/>
      <w:iCs w:val="0"/>
      <w:smallCaps/>
      <w:strike w:val="0"/>
      <w:spacing w:val="0"/>
      <w:sz w:val="17"/>
      <w:szCs w:val="17"/>
      <w:shd w:val="clear" w:color="auto" w:fill="FFFFFF"/>
    </w:rPr>
  </w:style>
  <w:style w:type="character" w:customStyle="1" w:styleId="9pt4">
    <w:name w:val="Основной текст + 9 pt;Курсив"/>
    <w:basedOn w:val="aff1"/>
    <w:rsid w:val="00811C95"/>
    <w:rPr>
      <w:rFonts w:ascii="Gungsuh" w:eastAsia="Gungsuh" w:hAnsi="Gungsuh" w:cs="Gungsuh"/>
      <w:b w:val="0"/>
      <w:bCs w:val="0"/>
      <w:i/>
      <w:iCs/>
      <w:smallCaps w:val="0"/>
      <w:strike w:val="0"/>
      <w:spacing w:val="0"/>
      <w:sz w:val="18"/>
      <w:szCs w:val="18"/>
      <w:shd w:val="clear" w:color="auto" w:fill="FFFFFF"/>
    </w:rPr>
  </w:style>
  <w:style w:type="character" w:customStyle="1" w:styleId="PalatinoLinotype11pt70">
    <w:name w:val="Основной текст + Palatino Linotype;11 pt;Курсив;Масштаб 70%"/>
    <w:basedOn w:val="aff1"/>
    <w:rsid w:val="00811C95"/>
    <w:rPr>
      <w:rFonts w:ascii="Palatino Linotype" w:eastAsia="Palatino Linotype" w:hAnsi="Palatino Linotype" w:cs="Palatino Linotype"/>
      <w:b w:val="0"/>
      <w:bCs w:val="0"/>
      <w:i/>
      <w:iCs/>
      <w:smallCaps w:val="0"/>
      <w:strike w:val="0"/>
      <w:spacing w:val="0"/>
      <w:w w:val="70"/>
      <w:sz w:val="22"/>
      <w:szCs w:val="22"/>
      <w:shd w:val="clear" w:color="auto" w:fill="FFFFFF"/>
    </w:rPr>
  </w:style>
  <w:style w:type="character" w:customStyle="1" w:styleId="ArialNarrow">
    <w:name w:val="Основной текст + Arial Narrow;Курсив"/>
    <w:basedOn w:val="aff1"/>
    <w:rsid w:val="00811C95"/>
    <w:rPr>
      <w:rFonts w:ascii="Arial Narrow" w:eastAsia="Arial Narrow" w:hAnsi="Arial Narrow" w:cs="Arial Narrow"/>
      <w:b w:val="0"/>
      <w:bCs w:val="0"/>
      <w:i/>
      <w:iCs/>
      <w:smallCaps w:val="0"/>
      <w:strike w:val="0"/>
      <w:spacing w:val="0"/>
      <w:sz w:val="20"/>
      <w:szCs w:val="20"/>
      <w:shd w:val="clear" w:color="auto" w:fill="FFFFFF"/>
    </w:rPr>
  </w:style>
  <w:style w:type="character" w:customStyle="1" w:styleId="Garamond7pt">
    <w:name w:val="Основной текст + Garamond;7 pt"/>
    <w:basedOn w:val="aff1"/>
    <w:rsid w:val="00811C95"/>
    <w:rPr>
      <w:rFonts w:ascii="Garamond" w:eastAsia="Garamond" w:hAnsi="Garamond" w:cs="Garamond"/>
      <w:spacing w:val="-10"/>
      <w:sz w:val="14"/>
      <w:szCs w:val="14"/>
      <w:shd w:val="clear" w:color="auto" w:fill="FFFFFF"/>
    </w:rPr>
  </w:style>
  <w:style w:type="character" w:customStyle="1" w:styleId="2Batang85pt0pt">
    <w:name w:val="Основной текст (2) + Batang;8;5 pt;Не курсив;Интервал 0 pt"/>
    <w:basedOn w:val="2a"/>
    <w:rsid w:val="00811C95"/>
    <w:rPr>
      <w:rFonts w:ascii="Batang" w:eastAsia="Batang" w:hAnsi="Batang" w:cs="Batang"/>
      <w:i/>
      <w:iCs/>
      <w:spacing w:val="0"/>
      <w:sz w:val="17"/>
      <w:szCs w:val="17"/>
      <w:shd w:val="clear" w:color="auto" w:fill="FFFFFF"/>
      <w:lang w:eastAsia="en-US"/>
    </w:rPr>
  </w:style>
  <w:style w:type="character" w:customStyle="1" w:styleId="FranklinGothicBook85pt0pt">
    <w:name w:val="Основной текст + Franklin Gothic Book;8;5 pt;Не полужирный;Интервал 0 pt"/>
    <w:basedOn w:val="aff1"/>
    <w:rsid w:val="00811C95"/>
    <w:rPr>
      <w:rFonts w:ascii="Franklin Gothic Book" w:eastAsia="Franklin Gothic Book" w:hAnsi="Franklin Gothic Book" w:cs="Franklin Gothic Book"/>
      <w:b/>
      <w:bCs/>
      <w:i w:val="0"/>
      <w:iCs w:val="0"/>
      <w:smallCaps w:val="0"/>
      <w:strike w:val="0"/>
      <w:spacing w:val="-10"/>
      <w:sz w:val="17"/>
      <w:szCs w:val="17"/>
      <w:shd w:val="clear" w:color="auto" w:fill="FFFFFF"/>
    </w:rPr>
  </w:style>
  <w:style w:type="character" w:customStyle="1" w:styleId="FranklinGothicBook85pt">
    <w:name w:val="Основной текст + Franklin Gothic Book;8;5 pt;Не полужирный"/>
    <w:basedOn w:val="aff1"/>
    <w:rsid w:val="00811C95"/>
    <w:rPr>
      <w:rFonts w:ascii="Franklin Gothic Book" w:eastAsia="Franklin Gothic Book" w:hAnsi="Franklin Gothic Book" w:cs="Franklin Gothic Book"/>
      <w:b/>
      <w:bCs/>
      <w:i w:val="0"/>
      <w:iCs w:val="0"/>
      <w:smallCaps w:val="0"/>
      <w:strike w:val="0"/>
      <w:spacing w:val="0"/>
      <w:sz w:val="17"/>
      <w:szCs w:val="17"/>
      <w:shd w:val="clear" w:color="auto" w:fill="FFFFFF"/>
    </w:rPr>
  </w:style>
  <w:style w:type="character" w:customStyle="1" w:styleId="copy-text">
    <w:name w:val="copy-text"/>
    <w:basedOn w:val="a0"/>
    <w:rsid w:val="00811C95"/>
  </w:style>
  <w:style w:type="character" w:customStyle="1" w:styleId="ya-share2badge">
    <w:name w:val="ya-share2__badge"/>
    <w:basedOn w:val="a0"/>
    <w:rsid w:val="00811C95"/>
  </w:style>
  <w:style w:type="character" w:customStyle="1" w:styleId="ya-share2icon">
    <w:name w:val="ya-share2__icon"/>
    <w:basedOn w:val="a0"/>
    <w:rsid w:val="00811C95"/>
  </w:style>
  <w:style w:type="paragraph" w:customStyle="1" w:styleId="s7">
    <w:name w:val="s7"/>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articletext">
    <w:name w:val="b-article__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885pt100">
    <w:name w:val="Основной текст (8) + 8;5 pt;Не курсив;Масштаб 100%"/>
    <w:basedOn w:val="81"/>
    <w:rsid w:val="00811C95"/>
    <w:rPr>
      <w:rFonts w:ascii="Segoe UI" w:eastAsia="Segoe UI" w:hAnsi="Segoe UI" w:cs="Segoe UI"/>
      <w:i/>
      <w:iCs/>
      <w:w w:val="100"/>
      <w:sz w:val="17"/>
      <w:szCs w:val="17"/>
      <w:shd w:val="clear" w:color="auto" w:fill="FFFFFF"/>
    </w:rPr>
  </w:style>
  <w:style w:type="character" w:customStyle="1" w:styleId="Impact7pt">
    <w:name w:val="Основной текст + Impact;7 pt"/>
    <w:basedOn w:val="aff1"/>
    <w:rsid w:val="00811C95"/>
    <w:rPr>
      <w:rFonts w:ascii="Impact" w:eastAsia="Impact" w:hAnsi="Impact" w:cs="Impact"/>
      <w:b w:val="0"/>
      <w:bCs w:val="0"/>
      <w:i w:val="0"/>
      <w:iCs w:val="0"/>
      <w:smallCaps w:val="0"/>
      <w:strike w:val="0"/>
      <w:spacing w:val="0"/>
      <w:w w:val="100"/>
      <w:sz w:val="14"/>
      <w:szCs w:val="14"/>
      <w:shd w:val="clear" w:color="auto" w:fill="FFFFFF"/>
    </w:rPr>
  </w:style>
  <w:style w:type="character" w:customStyle="1" w:styleId="affffff">
    <w:name w:val="Подпись к картинке + Не полужирный;Малые прописные"/>
    <w:basedOn w:val="affc"/>
    <w:rsid w:val="00811C95"/>
    <w:rPr>
      <w:rFonts w:ascii="Arial Narrow" w:eastAsia="Arial Narrow" w:hAnsi="Arial Narrow" w:cs="Arial Narrow"/>
      <w:b/>
      <w:bCs/>
      <w:i w:val="0"/>
      <w:iCs w:val="0"/>
      <w:smallCaps/>
      <w:strike w:val="0"/>
      <w:spacing w:val="0"/>
      <w:sz w:val="15"/>
      <w:szCs w:val="15"/>
      <w:shd w:val="clear" w:color="auto" w:fill="FFFFFF"/>
      <w:lang w:eastAsia="en-US"/>
    </w:rPr>
  </w:style>
  <w:style w:type="character" w:customStyle="1" w:styleId="1421">
    <w:name w:val="Заголовок №14 (2)_"/>
    <w:basedOn w:val="a0"/>
    <w:link w:val="1422"/>
    <w:rsid w:val="00811C95"/>
    <w:rPr>
      <w:rFonts w:ascii="Tahoma" w:eastAsia="Tahoma" w:hAnsi="Tahoma" w:cs="Tahoma"/>
      <w:sz w:val="23"/>
      <w:szCs w:val="23"/>
      <w:shd w:val="clear" w:color="auto" w:fill="FFFFFF"/>
    </w:rPr>
  </w:style>
  <w:style w:type="paragraph" w:customStyle="1" w:styleId="1422">
    <w:name w:val="Заголовок №14 (2)"/>
    <w:basedOn w:val="a"/>
    <w:link w:val="1421"/>
    <w:rsid w:val="00811C95"/>
    <w:pPr>
      <w:shd w:val="clear" w:color="auto" w:fill="FFFFFF"/>
      <w:spacing w:before="420" w:after="0" w:line="0" w:lineRule="atLeast"/>
      <w:ind w:firstLine="260"/>
    </w:pPr>
    <w:rPr>
      <w:rFonts w:ascii="Tahoma" w:eastAsia="Tahoma" w:hAnsi="Tahoma" w:cs="Tahoma"/>
      <w:sz w:val="23"/>
      <w:szCs w:val="23"/>
      <w:lang w:eastAsia="ru-RU"/>
    </w:rPr>
  </w:style>
  <w:style w:type="character" w:customStyle="1" w:styleId="1511pt">
    <w:name w:val="Заголовок №15 + 11 pt;Курсив"/>
    <w:basedOn w:val="a0"/>
    <w:rsid w:val="00811C95"/>
    <w:rPr>
      <w:rFonts w:ascii="Arial Narrow" w:eastAsia="Arial Narrow" w:hAnsi="Arial Narrow" w:cs="Arial Narrow"/>
      <w:b w:val="0"/>
      <w:bCs w:val="0"/>
      <w:i/>
      <w:iCs/>
      <w:smallCaps w:val="0"/>
      <w:strike w:val="0"/>
      <w:spacing w:val="0"/>
      <w:sz w:val="22"/>
      <w:szCs w:val="22"/>
    </w:rPr>
  </w:style>
  <w:style w:type="character" w:customStyle="1" w:styleId="3-1pt1">
    <w:name w:val="Подпись к картинке (3) + Интервал -1 pt"/>
    <w:basedOn w:val="38"/>
    <w:rsid w:val="00811C95"/>
    <w:rPr>
      <w:rFonts w:ascii="Arial Narrow" w:hAnsi="Arial Narrow" w:cs="Arial Narrow"/>
      <w:b w:val="0"/>
      <w:bCs w:val="0"/>
      <w:i w:val="0"/>
      <w:iCs w:val="0"/>
      <w:smallCaps w:val="0"/>
      <w:strike w:val="0"/>
      <w:spacing w:val="-20"/>
      <w:w w:val="100"/>
      <w:sz w:val="18"/>
      <w:szCs w:val="18"/>
      <w:shd w:val="clear" w:color="auto" w:fill="FFFFFF"/>
      <w:lang w:eastAsia="en-US"/>
    </w:rPr>
  </w:style>
  <w:style w:type="character" w:customStyle="1" w:styleId="palette-color2-3">
    <w:name w:val="palette-color2-3"/>
    <w:basedOn w:val="a0"/>
    <w:rsid w:val="00811C95"/>
  </w:style>
  <w:style w:type="paragraph" w:customStyle="1" w:styleId="name">
    <w:name w:val="name"/>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ommentscount">
    <w:name w:val="comments_count"/>
    <w:basedOn w:val="a0"/>
    <w:rsid w:val="00811C95"/>
  </w:style>
  <w:style w:type="character" w:customStyle="1" w:styleId="time">
    <w:name w:val="time"/>
    <w:basedOn w:val="a0"/>
    <w:rsid w:val="00811C95"/>
  </w:style>
  <w:style w:type="character" w:customStyle="1" w:styleId="copyright">
    <w:name w:val="copyright"/>
    <w:basedOn w:val="a0"/>
    <w:rsid w:val="00811C95"/>
  </w:style>
  <w:style w:type="character" w:customStyle="1" w:styleId="affffff0">
    <w:name w:val="Текст выноски Знак"/>
    <w:basedOn w:val="a0"/>
    <w:link w:val="affffff1"/>
    <w:uiPriority w:val="99"/>
    <w:semiHidden/>
    <w:rsid w:val="00811C95"/>
    <w:rPr>
      <w:rFonts w:ascii="Tahoma" w:eastAsiaTheme="minorHAnsi" w:hAnsi="Tahoma" w:cs="Tahoma"/>
      <w:sz w:val="16"/>
      <w:szCs w:val="16"/>
      <w:lang w:eastAsia="en-US"/>
    </w:rPr>
  </w:style>
  <w:style w:type="paragraph" w:styleId="affffff1">
    <w:name w:val="Balloon Text"/>
    <w:basedOn w:val="a"/>
    <w:link w:val="affffff0"/>
    <w:uiPriority w:val="99"/>
    <w:semiHidden/>
    <w:unhideWhenUsed/>
    <w:rsid w:val="00811C95"/>
    <w:pPr>
      <w:spacing w:after="0" w:line="240" w:lineRule="auto"/>
    </w:pPr>
    <w:rPr>
      <w:rFonts w:ascii="Tahoma" w:eastAsiaTheme="minorHAnsi" w:hAnsi="Tahoma" w:cs="Tahoma"/>
      <w:sz w:val="16"/>
      <w:szCs w:val="16"/>
    </w:rPr>
  </w:style>
  <w:style w:type="paragraph" w:customStyle="1" w:styleId="article-renderblock">
    <w:name w:val="article-render__block"/>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enter">
    <w:name w:val="center"/>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tgr">
    <w:name w:val="tgr"/>
    <w:basedOn w:val="a0"/>
    <w:rsid w:val="00811C95"/>
  </w:style>
  <w:style w:type="character" w:customStyle="1" w:styleId="tg">
    <w:name w:val="tg"/>
    <w:basedOn w:val="a0"/>
    <w:rsid w:val="00811C95"/>
  </w:style>
  <w:style w:type="character" w:customStyle="1" w:styleId="ljcut-brace">
    <w:name w:val="ljcut-brace"/>
    <w:basedOn w:val="a0"/>
    <w:rsid w:val="00811C95"/>
  </w:style>
  <w:style w:type="character" w:customStyle="1" w:styleId="ljcut-decor">
    <w:name w:val="ljcut-decor"/>
    <w:basedOn w:val="a0"/>
    <w:rsid w:val="00811C95"/>
  </w:style>
  <w:style w:type="character" w:customStyle="1" w:styleId="3Gungsuh115pt0pt">
    <w:name w:val="Основной текст (3) + Gungsuh;11;5 pt;Не курсив;Интервал 0 pt"/>
    <w:basedOn w:val="35"/>
    <w:rsid w:val="00811C95"/>
    <w:rPr>
      <w:rFonts w:ascii="Gungsuh" w:eastAsia="Gungsuh" w:hAnsi="Gungsuh" w:cs="Gungsuh"/>
      <w:b w:val="0"/>
      <w:bCs w:val="0"/>
      <w:i/>
      <w:iCs/>
      <w:smallCaps w:val="0"/>
      <w:strike w:val="0"/>
      <w:spacing w:val="10"/>
      <w:w w:val="100"/>
      <w:sz w:val="23"/>
      <w:szCs w:val="23"/>
      <w:shd w:val="clear" w:color="auto" w:fill="FFFFFF"/>
    </w:rPr>
  </w:style>
  <w:style w:type="character" w:customStyle="1" w:styleId="423pt1pt40">
    <w:name w:val="Основной текст (4) + 23 pt;Полужирный;Не малые прописные;Интервал 1 pt;Масштаб 40%"/>
    <w:basedOn w:val="46"/>
    <w:rsid w:val="00811C95"/>
    <w:rPr>
      <w:rFonts w:ascii="Gungsuh" w:eastAsia="Gungsuh" w:hAnsi="Gungsuh" w:cs="Gungsuh"/>
      <w:b/>
      <w:bCs/>
      <w:i w:val="0"/>
      <w:iCs w:val="0"/>
      <w:smallCaps/>
      <w:strike w:val="0"/>
      <w:spacing w:val="20"/>
      <w:w w:val="40"/>
      <w:sz w:val="46"/>
      <w:szCs w:val="46"/>
      <w:shd w:val="clear" w:color="auto" w:fill="FFFFFF"/>
    </w:rPr>
  </w:style>
  <w:style w:type="character" w:customStyle="1" w:styleId="5ArialNarrow135pt">
    <w:name w:val="Основной текст (5) + Arial Narrow;13;5 pt"/>
    <w:basedOn w:val="5a"/>
    <w:rsid w:val="00811C95"/>
    <w:rPr>
      <w:rFonts w:ascii="Arial Narrow" w:eastAsia="Arial Narrow" w:hAnsi="Arial Narrow" w:cs="Arial Narrow"/>
      <w:b w:val="0"/>
      <w:bCs w:val="0"/>
      <w:i w:val="0"/>
      <w:iCs w:val="0"/>
      <w:smallCaps w:val="0"/>
      <w:strike w:val="0"/>
      <w:spacing w:val="0"/>
      <w:sz w:val="27"/>
      <w:szCs w:val="27"/>
      <w:shd w:val="clear" w:color="auto" w:fill="FFFFFF"/>
    </w:rPr>
  </w:style>
  <w:style w:type="character" w:customStyle="1" w:styleId="36pt">
    <w:name w:val="Основной текст (3) + Интервал 6 pt"/>
    <w:basedOn w:val="35"/>
    <w:rsid w:val="00811C95"/>
    <w:rPr>
      <w:rFonts w:ascii="Arial Narrow" w:eastAsia="Arial Narrow" w:hAnsi="Arial Narrow" w:cs="Arial Narrow"/>
      <w:b w:val="0"/>
      <w:bCs w:val="0"/>
      <w:i w:val="0"/>
      <w:iCs w:val="0"/>
      <w:smallCaps w:val="0"/>
      <w:strike w:val="0"/>
      <w:spacing w:val="130"/>
      <w:w w:val="100"/>
      <w:sz w:val="27"/>
      <w:szCs w:val="27"/>
      <w:shd w:val="clear" w:color="auto" w:fill="FFFFFF"/>
      <w:lang w:val="en-US"/>
    </w:rPr>
  </w:style>
  <w:style w:type="character" w:customStyle="1" w:styleId="42pt0">
    <w:name w:val="Заголовок №4 + Интервал 2 pt"/>
    <w:basedOn w:val="4e"/>
    <w:rsid w:val="00811C95"/>
    <w:rPr>
      <w:rFonts w:ascii="Gungsuh" w:eastAsia="Gungsuh" w:hAnsi="Gungsuh" w:cs="Gungsuh"/>
      <w:b w:val="0"/>
      <w:bCs w:val="0"/>
      <w:i w:val="0"/>
      <w:iCs w:val="0"/>
      <w:smallCaps w:val="0"/>
      <w:strike w:val="0"/>
      <w:spacing w:val="40"/>
      <w:sz w:val="23"/>
      <w:szCs w:val="23"/>
    </w:rPr>
  </w:style>
  <w:style w:type="character" w:customStyle="1" w:styleId="ArialNarrow145pt0pt">
    <w:name w:val="Основной текст + Arial Narrow;14;5 pt;Курсив;Интервал 0 pt"/>
    <w:basedOn w:val="aff1"/>
    <w:rsid w:val="00811C95"/>
    <w:rPr>
      <w:rFonts w:ascii="Arial Narrow" w:eastAsia="Arial Narrow" w:hAnsi="Arial Narrow" w:cs="Arial Narrow"/>
      <w:b w:val="0"/>
      <w:bCs w:val="0"/>
      <w:i/>
      <w:iCs/>
      <w:smallCaps w:val="0"/>
      <w:strike w:val="0"/>
      <w:spacing w:val="0"/>
      <w:w w:val="100"/>
      <w:sz w:val="29"/>
      <w:szCs w:val="29"/>
      <w:shd w:val="clear" w:color="auto" w:fill="FFFFFF"/>
    </w:rPr>
  </w:style>
  <w:style w:type="character" w:customStyle="1" w:styleId="22pt1">
    <w:name w:val="Основной текст (2) + Интервал 2 pt"/>
    <w:basedOn w:val="2a"/>
    <w:rsid w:val="00811C95"/>
    <w:rPr>
      <w:rFonts w:ascii="Palatino Linotype" w:eastAsia="Palatino Linotype" w:hAnsi="Palatino Linotype" w:cs="Palatino Linotype"/>
      <w:b w:val="0"/>
      <w:bCs w:val="0"/>
      <w:i w:val="0"/>
      <w:iCs w:val="0"/>
      <w:smallCaps w:val="0"/>
      <w:strike w:val="0"/>
      <w:spacing w:val="40"/>
      <w:sz w:val="20"/>
      <w:szCs w:val="20"/>
      <w:shd w:val="clear" w:color="auto" w:fill="FFFFFF"/>
      <w:lang w:val="en-US" w:eastAsia="en-US"/>
    </w:rPr>
  </w:style>
  <w:style w:type="character" w:customStyle="1" w:styleId="13pt1">
    <w:name w:val="Основной текст + Интервал 13 pt"/>
    <w:basedOn w:val="aff1"/>
    <w:rsid w:val="00811C95"/>
    <w:rPr>
      <w:rFonts w:ascii="Gungsuh" w:eastAsia="Gungsuh" w:hAnsi="Gungsuh" w:cs="Gungsuh"/>
      <w:b w:val="0"/>
      <w:bCs w:val="0"/>
      <w:i w:val="0"/>
      <w:iCs w:val="0"/>
      <w:smallCaps w:val="0"/>
      <w:strike w:val="0"/>
      <w:spacing w:val="270"/>
      <w:sz w:val="23"/>
      <w:szCs w:val="23"/>
      <w:shd w:val="clear" w:color="auto" w:fill="FFFFFF"/>
    </w:rPr>
  </w:style>
  <w:style w:type="character" w:customStyle="1" w:styleId="125pt0pt">
    <w:name w:val="Основной текст + 12;5 pt;Малые прописные;Интервал 0 pt"/>
    <w:basedOn w:val="aff1"/>
    <w:rsid w:val="00811C95"/>
    <w:rPr>
      <w:rFonts w:ascii="Gungsuh" w:eastAsia="Gungsuh" w:hAnsi="Gungsuh" w:cs="Gungsuh"/>
      <w:b w:val="0"/>
      <w:bCs w:val="0"/>
      <w:i w:val="0"/>
      <w:iCs w:val="0"/>
      <w:smallCaps/>
      <w:strike w:val="0"/>
      <w:spacing w:val="0"/>
      <w:sz w:val="25"/>
      <w:szCs w:val="25"/>
      <w:shd w:val="clear" w:color="auto" w:fill="FFFFFF"/>
    </w:rPr>
  </w:style>
  <w:style w:type="character" w:customStyle="1" w:styleId="40pt0">
    <w:name w:val="Заголовок №4 + Интервал 0 pt"/>
    <w:basedOn w:val="4e"/>
    <w:rsid w:val="00811C95"/>
    <w:rPr>
      <w:rFonts w:ascii="Gungsuh" w:eastAsia="Gungsuh" w:hAnsi="Gungsuh" w:cs="Gungsuh"/>
      <w:b w:val="0"/>
      <w:bCs w:val="0"/>
      <w:i w:val="0"/>
      <w:iCs w:val="0"/>
      <w:smallCaps w:val="0"/>
      <w:strike w:val="0"/>
      <w:spacing w:val="-10"/>
      <w:sz w:val="23"/>
      <w:szCs w:val="23"/>
    </w:rPr>
  </w:style>
  <w:style w:type="character" w:customStyle="1" w:styleId="50pt">
    <w:name w:val="Заголовок №5 + Интервал 0 pt"/>
    <w:basedOn w:val="53"/>
    <w:rsid w:val="00811C95"/>
    <w:rPr>
      <w:rFonts w:ascii="Gungsuh" w:eastAsia="Gungsuh" w:hAnsi="Gungsuh" w:cs="Gungsuh"/>
      <w:b w:val="0"/>
      <w:bCs w:val="0"/>
      <w:i w:val="0"/>
      <w:iCs w:val="0"/>
      <w:smallCaps w:val="0"/>
      <w:strike w:val="0"/>
      <w:spacing w:val="-10"/>
      <w:sz w:val="23"/>
      <w:szCs w:val="23"/>
      <w:shd w:val="clear" w:color="auto" w:fill="FFFFFF"/>
      <w:lang w:eastAsia="en-US"/>
    </w:rPr>
  </w:style>
  <w:style w:type="character" w:customStyle="1" w:styleId="5ArialNarrow135pt0pt">
    <w:name w:val="Заголовок №5 + Arial Narrow;13;5 pt;Курсив;Интервал 0 pt"/>
    <w:basedOn w:val="53"/>
    <w:rsid w:val="00811C95"/>
    <w:rPr>
      <w:rFonts w:ascii="Arial Narrow" w:eastAsia="Arial Narrow" w:hAnsi="Arial Narrow" w:cs="Arial Narrow"/>
      <w:b w:val="0"/>
      <w:bCs w:val="0"/>
      <w:i/>
      <w:iCs/>
      <w:smallCaps w:val="0"/>
      <w:strike w:val="0"/>
      <w:spacing w:val="-10"/>
      <w:w w:val="100"/>
      <w:sz w:val="27"/>
      <w:szCs w:val="27"/>
      <w:shd w:val="clear" w:color="auto" w:fill="FFFFFF"/>
      <w:lang w:eastAsia="en-US"/>
    </w:rPr>
  </w:style>
  <w:style w:type="character" w:customStyle="1" w:styleId="12pt0pt">
    <w:name w:val="Основной текст + 12 pt;Малые прописные;Интервал 0 pt"/>
    <w:basedOn w:val="aff1"/>
    <w:rsid w:val="00811C95"/>
    <w:rPr>
      <w:rFonts w:ascii="Gungsuh" w:eastAsia="Gungsuh" w:hAnsi="Gungsuh" w:cs="Gungsuh"/>
      <w:b w:val="0"/>
      <w:bCs w:val="0"/>
      <w:i w:val="0"/>
      <w:iCs w:val="0"/>
      <w:smallCaps/>
      <w:strike w:val="0"/>
      <w:spacing w:val="0"/>
      <w:sz w:val="24"/>
      <w:szCs w:val="24"/>
      <w:shd w:val="clear" w:color="auto" w:fill="FFFFFF"/>
    </w:rPr>
  </w:style>
  <w:style w:type="character" w:customStyle="1" w:styleId="23pt1pt40">
    <w:name w:val="Основной текст + 23 pt;Полужирный;Интервал 1 pt;Масштаб 40%"/>
    <w:basedOn w:val="aff1"/>
    <w:rsid w:val="00811C95"/>
    <w:rPr>
      <w:rFonts w:ascii="Gungsuh" w:eastAsia="Gungsuh" w:hAnsi="Gungsuh" w:cs="Gungsuh"/>
      <w:b/>
      <w:bCs/>
      <w:i w:val="0"/>
      <w:iCs w:val="0"/>
      <w:smallCaps w:val="0"/>
      <w:strike w:val="0"/>
      <w:spacing w:val="20"/>
      <w:w w:val="40"/>
      <w:sz w:val="46"/>
      <w:szCs w:val="46"/>
      <w:shd w:val="clear" w:color="auto" w:fill="FFFFFF"/>
    </w:rPr>
  </w:style>
  <w:style w:type="character" w:customStyle="1" w:styleId="ArialNarrow135pt0pt">
    <w:name w:val="Основной текст + Arial Narrow;13;5 pt;Курсив;Интервал 0 pt"/>
    <w:basedOn w:val="aff1"/>
    <w:rsid w:val="00811C95"/>
    <w:rPr>
      <w:rFonts w:ascii="Arial Narrow" w:eastAsia="Arial Narrow" w:hAnsi="Arial Narrow" w:cs="Arial Narrow"/>
      <w:b w:val="0"/>
      <w:bCs w:val="0"/>
      <w:i/>
      <w:iCs/>
      <w:smallCaps w:val="0"/>
      <w:strike w:val="0"/>
      <w:spacing w:val="-10"/>
      <w:w w:val="100"/>
      <w:sz w:val="27"/>
      <w:szCs w:val="27"/>
      <w:shd w:val="clear" w:color="auto" w:fill="FFFFFF"/>
    </w:rPr>
  </w:style>
  <w:style w:type="character" w:customStyle="1" w:styleId="PalatinoLinotype18pt0pt">
    <w:name w:val="Основной текст + Palatino Linotype;18 pt;Интервал 0 pt"/>
    <w:basedOn w:val="aff1"/>
    <w:rsid w:val="00811C95"/>
    <w:rPr>
      <w:rFonts w:ascii="Palatino Linotype" w:eastAsia="Palatino Linotype" w:hAnsi="Palatino Linotype" w:cs="Palatino Linotype"/>
      <w:b w:val="0"/>
      <w:bCs w:val="0"/>
      <w:i w:val="0"/>
      <w:iCs w:val="0"/>
      <w:smallCaps w:val="0"/>
      <w:strike w:val="0"/>
      <w:spacing w:val="0"/>
      <w:sz w:val="36"/>
      <w:szCs w:val="36"/>
      <w:shd w:val="clear" w:color="auto" w:fill="FFFFFF"/>
    </w:rPr>
  </w:style>
  <w:style w:type="character" w:customStyle="1" w:styleId="PalatinoLinotype245pt-2pt">
    <w:name w:val="Колонтитул + Palatino Linotype;24;5 pt;Курсив;Интервал -2 pt"/>
    <w:basedOn w:val="aff9"/>
    <w:rsid w:val="00811C95"/>
    <w:rPr>
      <w:rFonts w:ascii="Palatino Linotype" w:eastAsia="Palatino Linotype" w:hAnsi="Palatino Linotype" w:cs="Palatino Linotype"/>
      <w:b w:val="0"/>
      <w:bCs w:val="0"/>
      <w:i/>
      <w:iCs/>
      <w:smallCaps w:val="0"/>
      <w:strike w:val="0"/>
      <w:spacing w:val="-50"/>
      <w:sz w:val="49"/>
      <w:szCs w:val="49"/>
      <w:shd w:val="clear" w:color="auto" w:fill="FFFFFF"/>
      <w:lang w:eastAsia="en-US"/>
    </w:rPr>
  </w:style>
  <w:style w:type="character" w:customStyle="1" w:styleId="TrebuchetMS18pt-1pt">
    <w:name w:val="Основной текст + Trebuchet MS;18 pt;Интервал -1 pt"/>
    <w:basedOn w:val="aff1"/>
    <w:rsid w:val="00811C95"/>
    <w:rPr>
      <w:rFonts w:ascii="Trebuchet MS" w:eastAsia="Trebuchet MS" w:hAnsi="Trebuchet MS" w:cs="Trebuchet MS"/>
      <w:b w:val="0"/>
      <w:bCs w:val="0"/>
      <w:i w:val="0"/>
      <w:iCs w:val="0"/>
      <w:smallCaps w:val="0"/>
      <w:strike w:val="0"/>
      <w:spacing w:val="-30"/>
      <w:sz w:val="36"/>
      <w:szCs w:val="36"/>
      <w:shd w:val="clear" w:color="auto" w:fill="FFFFFF"/>
    </w:rPr>
  </w:style>
  <w:style w:type="character" w:customStyle="1" w:styleId="PalatinoLinotype11pt0pt">
    <w:name w:val="Основной текст + Palatino Linotype;11 pt;Полужирный;Интервал 0 pt"/>
    <w:basedOn w:val="aff1"/>
    <w:rsid w:val="00811C95"/>
    <w:rPr>
      <w:rFonts w:ascii="Palatino Linotype" w:eastAsia="Palatino Linotype" w:hAnsi="Palatino Linotype" w:cs="Palatino Linotype"/>
      <w:b/>
      <w:bCs/>
      <w:i w:val="0"/>
      <w:iCs w:val="0"/>
      <w:smallCaps w:val="0"/>
      <w:strike w:val="0"/>
      <w:spacing w:val="0"/>
      <w:sz w:val="22"/>
      <w:szCs w:val="22"/>
      <w:shd w:val="clear" w:color="auto" w:fill="FFFFFF"/>
      <w:lang w:val="en-US"/>
    </w:rPr>
  </w:style>
  <w:style w:type="character" w:customStyle="1" w:styleId="139">
    <w:name w:val="Основной текст13"/>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149">
    <w:name w:val="Основной текст14"/>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15b">
    <w:name w:val="Основной текст15"/>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PalatinoLinotype10pt0pt">
    <w:name w:val="Основной текст + Palatino Linotype;10 pt;Полужирный;Курсив;Интервал 0 pt"/>
    <w:basedOn w:val="aff1"/>
    <w:rsid w:val="00811C95"/>
    <w:rPr>
      <w:rFonts w:ascii="Palatino Linotype" w:eastAsia="Palatino Linotype" w:hAnsi="Palatino Linotype" w:cs="Palatino Linotype"/>
      <w:b/>
      <w:bCs/>
      <w:i/>
      <w:iCs/>
      <w:smallCaps w:val="0"/>
      <w:strike w:val="0"/>
      <w:spacing w:val="0"/>
      <w:sz w:val="20"/>
      <w:szCs w:val="20"/>
      <w:shd w:val="clear" w:color="auto" w:fill="FFFFFF"/>
    </w:rPr>
  </w:style>
  <w:style w:type="character" w:customStyle="1" w:styleId="PalatinoLinotype13pt0pt">
    <w:name w:val="Основной текст + Palatino Linotype;13 pt;Интервал 0 pt"/>
    <w:basedOn w:val="aff1"/>
    <w:rsid w:val="00811C95"/>
    <w:rPr>
      <w:rFonts w:ascii="Palatino Linotype" w:eastAsia="Palatino Linotype" w:hAnsi="Palatino Linotype" w:cs="Palatino Linotype"/>
      <w:b w:val="0"/>
      <w:bCs w:val="0"/>
      <w:i w:val="0"/>
      <w:iCs w:val="0"/>
      <w:smallCaps w:val="0"/>
      <w:strike w:val="0"/>
      <w:spacing w:val="0"/>
      <w:sz w:val="26"/>
      <w:szCs w:val="26"/>
      <w:shd w:val="clear" w:color="auto" w:fill="FFFFFF"/>
    </w:rPr>
  </w:style>
  <w:style w:type="character" w:customStyle="1" w:styleId="8PalatinoLinotype10pt">
    <w:name w:val="Основной текст (8) + Palatino Linotype;10 pt;Полужирный;Курсив"/>
    <w:basedOn w:val="81"/>
    <w:rsid w:val="00811C95"/>
    <w:rPr>
      <w:rFonts w:ascii="Palatino Linotype" w:eastAsia="Palatino Linotype" w:hAnsi="Palatino Linotype" w:cs="Palatino Linotype"/>
      <w:b/>
      <w:bCs/>
      <w:i/>
      <w:iCs/>
      <w:smallCaps w:val="0"/>
      <w:strike w:val="0"/>
      <w:spacing w:val="0"/>
      <w:sz w:val="20"/>
      <w:szCs w:val="20"/>
      <w:shd w:val="clear" w:color="auto" w:fill="FFFFFF"/>
      <w:lang w:val="en-US"/>
    </w:rPr>
  </w:style>
  <w:style w:type="character" w:customStyle="1" w:styleId="22a">
    <w:name w:val="Основной текст22"/>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PalatinoLinotype21pt0pt">
    <w:name w:val="Колонтитул + Palatino Linotype;21 pt;Интервал 0 pt"/>
    <w:basedOn w:val="aff9"/>
    <w:rsid w:val="00811C95"/>
    <w:rPr>
      <w:rFonts w:ascii="Palatino Linotype" w:eastAsia="Palatino Linotype" w:hAnsi="Palatino Linotype" w:cs="Palatino Linotype"/>
      <w:b w:val="0"/>
      <w:bCs w:val="0"/>
      <w:i w:val="0"/>
      <w:iCs w:val="0"/>
      <w:smallCaps w:val="0"/>
      <w:strike w:val="0"/>
      <w:spacing w:val="-10"/>
      <w:sz w:val="42"/>
      <w:szCs w:val="42"/>
      <w:shd w:val="clear" w:color="auto" w:fill="FFFFFF"/>
      <w:lang w:eastAsia="en-US"/>
    </w:rPr>
  </w:style>
  <w:style w:type="character" w:customStyle="1" w:styleId="265">
    <w:name w:val="Основной текст26"/>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279">
    <w:name w:val="Основной текст27"/>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34pt0pt">
    <w:name w:val="Основной текст (3) + 4 pt;Не курсив;Интервал 0 pt"/>
    <w:basedOn w:val="35"/>
    <w:rsid w:val="00811C95"/>
    <w:rPr>
      <w:rFonts w:ascii="Arial Narrow" w:eastAsia="Arial Narrow" w:hAnsi="Arial Narrow" w:cs="Arial Narrow"/>
      <w:b w:val="0"/>
      <w:bCs w:val="0"/>
      <w:i/>
      <w:iCs/>
      <w:smallCaps w:val="0"/>
      <w:strike w:val="0"/>
      <w:spacing w:val="0"/>
      <w:w w:val="100"/>
      <w:sz w:val="8"/>
      <w:szCs w:val="8"/>
      <w:shd w:val="clear" w:color="auto" w:fill="FFFFFF"/>
    </w:rPr>
  </w:style>
  <w:style w:type="character" w:customStyle="1" w:styleId="286">
    <w:name w:val="Основной текст28"/>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ArialNarrow14pt0pt">
    <w:name w:val="Основной текст + Arial Narrow;14 pt;Полужирный;Интервал 0 pt"/>
    <w:basedOn w:val="aff1"/>
    <w:rsid w:val="00811C95"/>
    <w:rPr>
      <w:rFonts w:ascii="Arial Narrow" w:eastAsia="Arial Narrow" w:hAnsi="Arial Narrow" w:cs="Arial Narrow"/>
      <w:b/>
      <w:bCs/>
      <w:i w:val="0"/>
      <w:iCs w:val="0"/>
      <w:smallCaps w:val="0"/>
      <w:strike w:val="0"/>
      <w:spacing w:val="0"/>
      <w:sz w:val="28"/>
      <w:szCs w:val="28"/>
      <w:shd w:val="clear" w:color="auto" w:fill="FFFFFF"/>
    </w:rPr>
  </w:style>
  <w:style w:type="character" w:customStyle="1" w:styleId="294">
    <w:name w:val="Основной текст29"/>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3-1pt2">
    <w:name w:val="Заголовок №3 + Интервал -1 pt"/>
    <w:basedOn w:val="3c"/>
    <w:rsid w:val="00811C95"/>
    <w:rPr>
      <w:rFonts w:ascii="Arial Narrow" w:eastAsia="Arial Narrow" w:hAnsi="Arial Narrow" w:cs="Arial Narrow"/>
      <w:b w:val="0"/>
      <w:bCs w:val="0"/>
      <w:i w:val="0"/>
      <w:iCs w:val="0"/>
      <w:smallCaps w:val="0"/>
      <w:strike w:val="0"/>
      <w:spacing w:val="-30"/>
      <w:w w:val="100"/>
      <w:sz w:val="27"/>
      <w:szCs w:val="27"/>
      <w:shd w:val="clear" w:color="auto" w:fill="FFFFFF"/>
      <w:lang w:eastAsia="en-US"/>
    </w:rPr>
  </w:style>
  <w:style w:type="character" w:customStyle="1" w:styleId="15ArialNarrow14pt0pt">
    <w:name w:val="Основной текст (15) + Arial Narrow;14 pt;Полужирный;Интервал 0 pt"/>
    <w:basedOn w:val="153"/>
    <w:rsid w:val="00811C95"/>
    <w:rPr>
      <w:rFonts w:ascii="Arial Narrow" w:eastAsia="Arial Narrow" w:hAnsi="Arial Narrow" w:cs="Arial Narrow"/>
      <w:b/>
      <w:bCs/>
      <w:i w:val="0"/>
      <w:iCs w:val="0"/>
      <w:smallCaps w:val="0"/>
      <w:strike w:val="0"/>
      <w:spacing w:val="0"/>
      <w:sz w:val="28"/>
      <w:szCs w:val="28"/>
    </w:rPr>
  </w:style>
  <w:style w:type="character" w:customStyle="1" w:styleId="307">
    <w:name w:val="Основной текст30"/>
    <w:basedOn w:val="aff1"/>
    <w:rsid w:val="00811C95"/>
    <w:rPr>
      <w:rFonts w:ascii="Gungsuh" w:eastAsia="Gungsuh" w:hAnsi="Gungsuh" w:cs="Gungsuh"/>
      <w:b w:val="0"/>
      <w:bCs w:val="0"/>
      <w:i w:val="0"/>
      <w:iCs w:val="0"/>
      <w:smallCaps w:val="0"/>
      <w:strike w:val="0"/>
      <w:spacing w:val="10"/>
      <w:sz w:val="23"/>
      <w:szCs w:val="23"/>
      <w:shd w:val="clear" w:color="auto" w:fill="FFFFFF"/>
    </w:rPr>
  </w:style>
  <w:style w:type="character" w:customStyle="1" w:styleId="ArialNarrow0">
    <w:name w:val="Подпись к картинке + Arial Narrow;Не полужирный;Не курсив"/>
    <w:basedOn w:val="affc"/>
    <w:rsid w:val="00811C95"/>
    <w:rPr>
      <w:rFonts w:ascii="Arial Narrow" w:eastAsia="Arial Narrow" w:hAnsi="Arial Narrow" w:cs="Arial Narrow"/>
      <w:b/>
      <w:bCs/>
      <w:i/>
      <w:iCs/>
      <w:smallCaps w:val="0"/>
      <w:strike w:val="0"/>
      <w:spacing w:val="0"/>
      <w:sz w:val="20"/>
      <w:szCs w:val="20"/>
      <w:shd w:val="clear" w:color="auto" w:fill="FFFFFF"/>
      <w:lang w:val="en-US" w:eastAsia="en-US"/>
    </w:rPr>
  </w:style>
  <w:style w:type="character" w:customStyle="1" w:styleId="data">
    <w:name w:val="data"/>
    <w:basedOn w:val="a0"/>
    <w:rsid w:val="00811C95"/>
  </w:style>
  <w:style w:type="character" w:customStyle="1" w:styleId="b-articleintro">
    <w:name w:val="b-article__intro"/>
    <w:basedOn w:val="a0"/>
    <w:rsid w:val="00811C95"/>
  </w:style>
  <w:style w:type="paragraph" w:customStyle="1" w:styleId="b-incuttext">
    <w:name w:val="b-incut__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incutreadmore">
    <w:name w:val="b-incut__read_more"/>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incutphotogallerypicsrc">
    <w:name w:val="b-incut__photogallery__pic_src"/>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galleryphotodescriptiontext">
    <w:name w:val="gallery__photo_description_tex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galleryphotosrc">
    <w:name w:val="gallery__photo_src"/>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rticledecorationfirst">
    <w:name w:val="article_decoration_firs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i">
    <w:name w:val="ri"/>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ipsreputationcount">
    <w:name w:val="ipsreputation_count"/>
    <w:basedOn w:val="a0"/>
    <w:rsid w:val="00811C95"/>
  </w:style>
  <w:style w:type="character" w:customStyle="1" w:styleId="ipsrepbadge">
    <w:name w:val="ipsrepbadge"/>
    <w:basedOn w:val="a0"/>
    <w:rsid w:val="00811C95"/>
  </w:style>
  <w:style w:type="paragraph" w:customStyle="1" w:styleId="ipstypereset">
    <w:name w:val="ipstype_reset"/>
    <w:basedOn w:val="a"/>
    <w:rsid w:val="00811C9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a151">
    <w:name w:val="Pa15+1"/>
    <w:basedOn w:val="Default"/>
    <w:next w:val="Default"/>
    <w:uiPriority w:val="99"/>
    <w:rsid w:val="00811C95"/>
    <w:pPr>
      <w:spacing w:line="201" w:lineRule="atLeast"/>
    </w:pPr>
    <w:rPr>
      <w:rFonts w:ascii="OfficinaSansC" w:eastAsiaTheme="minorHAnsi" w:hAnsi="OfficinaSansC" w:cstheme="minorBidi"/>
      <w:color w:val="auto"/>
    </w:rPr>
  </w:style>
  <w:style w:type="paragraph" w:customStyle="1" w:styleId="Pa351">
    <w:name w:val="Pa35+1"/>
    <w:basedOn w:val="Default"/>
    <w:next w:val="Default"/>
    <w:uiPriority w:val="99"/>
    <w:rsid w:val="00811C95"/>
    <w:pPr>
      <w:spacing w:line="441" w:lineRule="atLeast"/>
    </w:pPr>
    <w:rPr>
      <w:rFonts w:ascii="NewtonXC" w:eastAsiaTheme="minorHAnsi" w:hAnsi="NewtonXC" w:cstheme="minorBidi"/>
      <w:color w:val="auto"/>
    </w:rPr>
  </w:style>
  <w:style w:type="character" w:customStyle="1" w:styleId="A191">
    <w:name w:val="A19+1"/>
    <w:uiPriority w:val="99"/>
    <w:rsid w:val="00811C95"/>
    <w:rPr>
      <w:rFonts w:cs="NewtonXC"/>
      <w:color w:val="000000"/>
      <w:sz w:val="26"/>
      <w:szCs w:val="26"/>
    </w:rPr>
  </w:style>
  <w:style w:type="paragraph" w:customStyle="1" w:styleId="Pa361">
    <w:name w:val="Pa36+1"/>
    <w:basedOn w:val="Default"/>
    <w:next w:val="Default"/>
    <w:uiPriority w:val="99"/>
    <w:rsid w:val="00811C95"/>
    <w:pPr>
      <w:spacing w:line="441" w:lineRule="atLeast"/>
    </w:pPr>
    <w:rPr>
      <w:rFonts w:ascii="NewtonXC" w:eastAsiaTheme="minorHAnsi" w:hAnsi="NewtonXC" w:cstheme="minorBidi"/>
      <w:color w:val="auto"/>
    </w:rPr>
  </w:style>
  <w:style w:type="character" w:customStyle="1" w:styleId="A181">
    <w:name w:val="A18+1"/>
    <w:uiPriority w:val="99"/>
    <w:rsid w:val="00811C95"/>
    <w:rPr>
      <w:rFonts w:cs="NewtonXC"/>
      <w:color w:val="000000"/>
      <w:sz w:val="48"/>
      <w:szCs w:val="48"/>
    </w:rPr>
  </w:style>
  <w:style w:type="character" w:customStyle="1" w:styleId="A21">
    <w:name w:val="A2+1"/>
    <w:uiPriority w:val="99"/>
    <w:rsid w:val="00811C95"/>
    <w:rPr>
      <w:rFonts w:cs="OfficinaSansC"/>
      <w:color w:val="000000"/>
      <w:sz w:val="19"/>
      <w:szCs w:val="19"/>
    </w:rPr>
  </w:style>
  <w:style w:type="character" w:customStyle="1" w:styleId="6pt3">
    <w:name w:val="Подпись к картинке + 6 pt;Не полужирный"/>
    <w:basedOn w:val="affc"/>
    <w:rsid w:val="00811C95"/>
    <w:rPr>
      <w:rFonts w:ascii="Arial Narrow" w:eastAsia="Arial Narrow" w:hAnsi="Arial Narrow" w:cs="Arial Narrow"/>
      <w:b/>
      <w:bCs/>
      <w:i w:val="0"/>
      <w:iCs w:val="0"/>
      <w:smallCaps w:val="0"/>
      <w:strike w:val="0"/>
      <w:spacing w:val="0"/>
      <w:sz w:val="12"/>
      <w:szCs w:val="12"/>
      <w:shd w:val="clear" w:color="auto" w:fill="FFFFFF"/>
      <w:lang w:eastAsia="en-US"/>
    </w:rPr>
  </w:style>
  <w:style w:type="character" w:customStyle="1" w:styleId="Tahoma10pt">
    <w:name w:val="Основной текст + Tahoma;10 pt;Полужирный"/>
    <w:basedOn w:val="aff1"/>
    <w:rsid w:val="00811C95"/>
    <w:rPr>
      <w:rFonts w:ascii="Tahoma" w:eastAsia="Tahoma" w:hAnsi="Tahoma" w:cs="Tahoma"/>
      <w:b/>
      <w:bCs/>
      <w:i w:val="0"/>
      <w:iCs w:val="0"/>
      <w:smallCaps w:val="0"/>
      <w:strike w:val="0"/>
      <w:spacing w:val="0"/>
      <w:w w:val="100"/>
      <w:sz w:val="20"/>
      <w:szCs w:val="20"/>
      <w:shd w:val="clear" w:color="auto" w:fill="FFFFFF"/>
    </w:rPr>
  </w:style>
  <w:style w:type="character" w:customStyle="1" w:styleId="210pt">
    <w:name w:val="Основной текст (2) + 10 pt;Полужирный"/>
    <w:basedOn w:val="2a"/>
    <w:rsid w:val="00811C95"/>
    <w:rPr>
      <w:rFonts w:ascii="Arial Narrow" w:eastAsia="Arial Narrow" w:hAnsi="Arial Narrow" w:cs="Arial Narrow"/>
      <w:b/>
      <w:bCs/>
      <w:i w:val="0"/>
      <w:iCs w:val="0"/>
      <w:smallCaps w:val="0"/>
      <w:strike w:val="0"/>
      <w:spacing w:val="0"/>
      <w:w w:val="100"/>
      <w:sz w:val="20"/>
      <w:szCs w:val="20"/>
      <w:shd w:val="clear" w:color="auto" w:fill="FFFFFF"/>
      <w:lang w:eastAsia="en-US"/>
    </w:rPr>
  </w:style>
  <w:style w:type="character" w:customStyle="1" w:styleId="29pt0">
    <w:name w:val="Основной текст (2) + 9 pt;Полужирный"/>
    <w:basedOn w:val="2a"/>
    <w:rsid w:val="00811C95"/>
    <w:rPr>
      <w:rFonts w:ascii="Arial Narrow" w:eastAsia="Arial Narrow" w:hAnsi="Arial Narrow" w:cs="Arial Narrow"/>
      <w:b/>
      <w:bCs/>
      <w:i w:val="0"/>
      <w:iCs w:val="0"/>
      <w:smallCaps w:val="0"/>
      <w:strike w:val="0"/>
      <w:spacing w:val="0"/>
      <w:w w:val="100"/>
      <w:sz w:val="18"/>
      <w:szCs w:val="18"/>
      <w:shd w:val="clear" w:color="auto" w:fill="FFFFFF"/>
      <w:lang w:eastAsia="en-US"/>
    </w:rPr>
  </w:style>
  <w:style w:type="character" w:customStyle="1" w:styleId="2ff6">
    <w:name w:val="Основной текст (2) + Полужирный"/>
    <w:basedOn w:val="2a"/>
    <w:rsid w:val="00811C95"/>
    <w:rPr>
      <w:rFonts w:ascii="Arial Narrow" w:eastAsia="Arial Narrow" w:hAnsi="Arial Narrow" w:cs="Arial Narrow"/>
      <w:b/>
      <w:bCs/>
      <w:i w:val="0"/>
      <w:iCs w:val="0"/>
      <w:smallCaps w:val="0"/>
      <w:strike w:val="0"/>
      <w:spacing w:val="0"/>
      <w:w w:val="100"/>
      <w:sz w:val="19"/>
      <w:szCs w:val="19"/>
      <w:shd w:val="clear" w:color="auto" w:fill="FFFFFF"/>
      <w:lang w:eastAsia="en-US"/>
    </w:rPr>
  </w:style>
  <w:style w:type="character" w:customStyle="1" w:styleId="13-1pt">
    <w:name w:val="Основной текст (13) + Интервал -1 pt"/>
    <w:basedOn w:val="132"/>
    <w:rsid w:val="00811C95"/>
    <w:rPr>
      <w:rFonts w:ascii="Franklin Gothic Book" w:eastAsia="Franklin Gothic Book" w:hAnsi="Franklin Gothic Book" w:cs="Franklin Gothic Book"/>
      <w:b w:val="0"/>
      <w:bCs w:val="0"/>
      <w:i w:val="0"/>
      <w:iCs w:val="0"/>
      <w:smallCaps w:val="0"/>
      <w:strike w:val="0"/>
      <w:spacing w:val="-30"/>
      <w:sz w:val="25"/>
      <w:szCs w:val="25"/>
      <w:u w:val="single"/>
      <w:shd w:val="clear" w:color="auto" w:fill="FFFFFF"/>
    </w:rPr>
  </w:style>
  <w:style w:type="character" w:customStyle="1" w:styleId="61pt">
    <w:name w:val="Основной текст (6) + Интервал 1 pt"/>
    <w:basedOn w:val="67"/>
    <w:rsid w:val="00811C95"/>
    <w:rPr>
      <w:rFonts w:ascii="Arial Narrow" w:eastAsia="Arial Narrow" w:hAnsi="Arial Narrow" w:cs="Arial Narrow"/>
      <w:b w:val="0"/>
      <w:bCs w:val="0"/>
      <w:i w:val="0"/>
      <w:iCs w:val="0"/>
      <w:smallCaps w:val="0"/>
      <w:strike w:val="0"/>
      <w:spacing w:val="20"/>
      <w:sz w:val="15"/>
      <w:szCs w:val="15"/>
      <w:shd w:val="clear" w:color="auto" w:fill="FFFFFF"/>
    </w:rPr>
  </w:style>
  <w:style w:type="character" w:customStyle="1" w:styleId="285pt">
    <w:name w:val="Основной текст (2) + 8;5 pt"/>
    <w:basedOn w:val="2a"/>
    <w:rsid w:val="00811C95"/>
    <w:rPr>
      <w:rFonts w:ascii="Arial Narrow" w:eastAsia="Arial Narrow" w:hAnsi="Arial Narrow" w:cs="Arial Narrow"/>
      <w:b w:val="0"/>
      <w:bCs w:val="0"/>
      <w:i w:val="0"/>
      <w:iCs w:val="0"/>
      <w:smallCaps w:val="0"/>
      <w:strike w:val="0"/>
      <w:spacing w:val="0"/>
      <w:w w:val="100"/>
      <w:sz w:val="17"/>
      <w:szCs w:val="17"/>
      <w:shd w:val="clear" w:color="auto" w:fill="FFFFFF"/>
      <w:lang w:eastAsia="en-US"/>
    </w:rPr>
  </w:style>
  <w:style w:type="character" w:customStyle="1" w:styleId="210pt0pt">
    <w:name w:val="Основной текст (2) + 10 pt;Полужирный;Интервал 0 pt"/>
    <w:basedOn w:val="2a"/>
    <w:rsid w:val="00811C95"/>
    <w:rPr>
      <w:rFonts w:ascii="Arial Narrow" w:eastAsia="Arial Narrow" w:hAnsi="Arial Narrow" w:cs="Arial Narrow"/>
      <w:b/>
      <w:bCs/>
      <w:i w:val="0"/>
      <w:iCs w:val="0"/>
      <w:smallCaps w:val="0"/>
      <w:strike w:val="0"/>
      <w:spacing w:val="-10"/>
      <w:w w:val="100"/>
      <w:sz w:val="20"/>
      <w:szCs w:val="20"/>
      <w:shd w:val="clear" w:color="auto" w:fill="FFFFFF"/>
      <w:lang w:eastAsia="en-US"/>
    </w:rPr>
  </w:style>
  <w:style w:type="character" w:customStyle="1" w:styleId="20pt0">
    <w:name w:val="Основной текст (2) + Полужирный;Интервал 0 pt"/>
    <w:basedOn w:val="2a"/>
    <w:rsid w:val="00811C95"/>
    <w:rPr>
      <w:rFonts w:ascii="Arial Narrow" w:eastAsia="Arial Narrow" w:hAnsi="Arial Narrow" w:cs="Arial Narrow"/>
      <w:b/>
      <w:bCs/>
      <w:i w:val="0"/>
      <w:iCs w:val="0"/>
      <w:smallCaps w:val="0"/>
      <w:strike w:val="0"/>
      <w:spacing w:val="-10"/>
      <w:w w:val="100"/>
      <w:sz w:val="19"/>
      <w:szCs w:val="19"/>
      <w:shd w:val="clear" w:color="auto" w:fill="FFFFFF"/>
      <w:lang w:eastAsia="en-US"/>
    </w:rPr>
  </w:style>
  <w:style w:type="character" w:customStyle="1" w:styleId="9pt5">
    <w:name w:val="Основной текст + 9 pt;Полужирный;Курсив"/>
    <w:basedOn w:val="aff1"/>
    <w:rsid w:val="00811C95"/>
    <w:rPr>
      <w:rFonts w:ascii="Arial Narrow" w:eastAsia="Arial Narrow" w:hAnsi="Arial Narrow" w:cs="Arial Narrow"/>
      <w:b/>
      <w:bCs/>
      <w:i/>
      <w:iCs/>
      <w:smallCaps w:val="0"/>
      <w:strike w:val="0"/>
      <w:spacing w:val="0"/>
      <w:w w:val="100"/>
      <w:sz w:val="18"/>
      <w:szCs w:val="18"/>
      <w:shd w:val="clear" w:color="auto" w:fill="FFFFFF"/>
    </w:rPr>
  </w:style>
  <w:style w:type="character" w:customStyle="1" w:styleId="95pt2">
    <w:name w:val="Основной текст + 9;5 pt;Полужирный"/>
    <w:basedOn w:val="aff1"/>
    <w:rsid w:val="00811C95"/>
    <w:rPr>
      <w:rFonts w:ascii="Arial Narrow" w:eastAsia="Arial Narrow" w:hAnsi="Arial Narrow" w:cs="Arial Narrow"/>
      <w:b/>
      <w:bCs/>
      <w:i w:val="0"/>
      <w:iCs w:val="0"/>
      <w:smallCaps w:val="0"/>
      <w:strike w:val="0"/>
      <w:spacing w:val="0"/>
      <w:w w:val="100"/>
      <w:sz w:val="19"/>
      <w:szCs w:val="19"/>
      <w:shd w:val="clear" w:color="auto" w:fill="FFFFFF"/>
    </w:rPr>
  </w:style>
  <w:style w:type="character" w:customStyle="1" w:styleId="SegoeUI145pt">
    <w:name w:val="Основной текст + Segoe UI;14;5 pt"/>
    <w:basedOn w:val="aff1"/>
    <w:rsid w:val="00811C95"/>
    <w:rPr>
      <w:rFonts w:ascii="Segoe UI" w:eastAsia="Segoe UI" w:hAnsi="Segoe UI" w:cs="Segoe UI"/>
      <w:b w:val="0"/>
      <w:bCs w:val="0"/>
      <w:i w:val="0"/>
      <w:iCs w:val="0"/>
      <w:smallCaps w:val="0"/>
      <w:strike w:val="0"/>
      <w:spacing w:val="0"/>
      <w:w w:val="100"/>
      <w:sz w:val="29"/>
      <w:szCs w:val="29"/>
      <w:shd w:val="clear" w:color="auto" w:fill="FFFFFF"/>
    </w:rPr>
  </w:style>
  <w:style w:type="character" w:customStyle="1" w:styleId="14pt0">
    <w:name w:val="Основной текст + 14 pt;Полужирный;Курсив"/>
    <w:basedOn w:val="aff1"/>
    <w:rsid w:val="00811C95"/>
    <w:rPr>
      <w:rFonts w:ascii="Arial Narrow" w:eastAsia="Arial Narrow" w:hAnsi="Arial Narrow" w:cs="Arial Narrow"/>
      <w:b/>
      <w:bCs/>
      <w:i/>
      <w:iCs/>
      <w:smallCaps w:val="0"/>
      <w:strike w:val="0"/>
      <w:spacing w:val="0"/>
      <w:w w:val="100"/>
      <w:sz w:val="28"/>
      <w:szCs w:val="28"/>
      <w:shd w:val="clear" w:color="auto" w:fill="FFFFFF"/>
      <w:lang w:val="en-US"/>
    </w:rPr>
  </w:style>
  <w:style w:type="character" w:customStyle="1" w:styleId="166">
    <w:name w:val="Основной текст (16) + Не курсив"/>
    <w:basedOn w:val="162"/>
    <w:rsid w:val="00811C95"/>
    <w:rPr>
      <w:rFonts w:ascii="Arial Narrow" w:eastAsia="Arial Narrow" w:hAnsi="Arial Narrow" w:cs="Arial Narrow"/>
      <w:b w:val="0"/>
      <w:bCs w:val="0"/>
      <w:i/>
      <w:iCs/>
      <w:smallCaps w:val="0"/>
      <w:strike w:val="0"/>
      <w:spacing w:val="0"/>
      <w:w w:val="100"/>
      <w:sz w:val="17"/>
      <w:szCs w:val="17"/>
    </w:rPr>
  </w:style>
  <w:style w:type="character" w:customStyle="1" w:styleId="167">
    <w:name w:val="Основной текст (16) + Малые прописные"/>
    <w:basedOn w:val="162"/>
    <w:rsid w:val="00811C95"/>
    <w:rPr>
      <w:rFonts w:ascii="Arial Narrow" w:eastAsia="Arial Narrow" w:hAnsi="Arial Narrow" w:cs="Arial Narrow"/>
      <w:b w:val="0"/>
      <w:bCs w:val="0"/>
      <w:i w:val="0"/>
      <w:iCs w:val="0"/>
      <w:smallCaps/>
      <w:strike w:val="0"/>
      <w:spacing w:val="0"/>
      <w:w w:val="100"/>
      <w:sz w:val="17"/>
      <w:szCs w:val="17"/>
    </w:rPr>
  </w:style>
  <w:style w:type="character" w:customStyle="1" w:styleId="161pt">
    <w:name w:val="Основной текст (16) + Малые прописные;Интервал 1 pt"/>
    <w:basedOn w:val="162"/>
    <w:rsid w:val="00811C95"/>
    <w:rPr>
      <w:rFonts w:ascii="Arial Narrow" w:eastAsia="Arial Narrow" w:hAnsi="Arial Narrow" w:cs="Arial Narrow"/>
      <w:b w:val="0"/>
      <w:bCs w:val="0"/>
      <w:i w:val="0"/>
      <w:iCs w:val="0"/>
      <w:smallCaps/>
      <w:strike w:val="0"/>
      <w:spacing w:val="20"/>
      <w:w w:val="100"/>
      <w:sz w:val="17"/>
      <w:szCs w:val="17"/>
    </w:rPr>
  </w:style>
  <w:style w:type="character" w:customStyle="1" w:styleId="Tahoma105pt">
    <w:name w:val="Основной текст + Tahoma;10;5 pt;Полужирный"/>
    <w:basedOn w:val="aff1"/>
    <w:rsid w:val="00811C95"/>
    <w:rPr>
      <w:rFonts w:ascii="Tahoma" w:eastAsia="Tahoma" w:hAnsi="Tahoma" w:cs="Tahoma"/>
      <w:b/>
      <w:bCs/>
      <w:i w:val="0"/>
      <w:iCs w:val="0"/>
      <w:smallCaps w:val="0"/>
      <w:strike w:val="0"/>
      <w:spacing w:val="0"/>
      <w:w w:val="100"/>
      <w:sz w:val="21"/>
      <w:szCs w:val="21"/>
      <w:shd w:val="clear" w:color="auto" w:fill="FFFFFF"/>
      <w:lang w:val="en-US"/>
    </w:rPr>
  </w:style>
  <w:style w:type="character" w:customStyle="1" w:styleId="1695pt-1pt">
    <w:name w:val="Основной текст (16) + 9;5 pt;Полужирный;Не курсив;Интервал -1 pt"/>
    <w:basedOn w:val="162"/>
    <w:rsid w:val="00811C95"/>
    <w:rPr>
      <w:rFonts w:ascii="Arial Narrow" w:eastAsia="Arial Narrow" w:hAnsi="Arial Narrow" w:cs="Arial Narrow"/>
      <w:b/>
      <w:bCs/>
      <w:i/>
      <w:iCs/>
      <w:smallCaps w:val="0"/>
      <w:strike w:val="0"/>
      <w:spacing w:val="-20"/>
      <w:w w:val="100"/>
      <w:sz w:val="19"/>
      <w:szCs w:val="19"/>
    </w:rPr>
  </w:style>
  <w:style w:type="character" w:customStyle="1" w:styleId="165pt">
    <w:name w:val="Основной текст (16) + Интервал 5 pt"/>
    <w:basedOn w:val="162"/>
    <w:rsid w:val="00811C95"/>
    <w:rPr>
      <w:rFonts w:ascii="Arial Narrow" w:eastAsia="Arial Narrow" w:hAnsi="Arial Narrow" w:cs="Arial Narrow"/>
      <w:b w:val="0"/>
      <w:bCs w:val="0"/>
      <w:i w:val="0"/>
      <w:iCs w:val="0"/>
      <w:smallCaps w:val="0"/>
      <w:strike w:val="0"/>
      <w:spacing w:val="110"/>
      <w:w w:val="100"/>
      <w:sz w:val="17"/>
      <w:szCs w:val="17"/>
    </w:rPr>
  </w:style>
  <w:style w:type="character" w:customStyle="1" w:styleId="1636pt">
    <w:name w:val="Основной текст (16) + 36 pt;Не курсив"/>
    <w:basedOn w:val="162"/>
    <w:rsid w:val="00811C95"/>
    <w:rPr>
      <w:rFonts w:ascii="Arial Narrow" w:eastAsia="Arial Narrow" w:hAnsi="Arial Narrow" w:cs="Arial Narrow"/>
      <w:b w:val="0"/>
      <w:bCs w:val="0"/>
      <w:i/>
      <w:iCs/>
      <w:smallCaps w:val="0"/>
      <w:strike w:val="0"/>
      <w:color w:val="FFFFFF"/>
      <w:spacing w:val="0"/>
      <w:w w:val="100"/>
      <w:sz w:val="72"/>
      <w:szCs w:val="72"/>
    </w:rPr>
  </w:style>
  <w:style w:type="character" w:customStyle="1" w:styleId="95pt-1pt0">
    <w:name w:val="Оглавление + 9;5 pt;Полужирный;Интервал -1 pt"/>
    <w:basedOn w:val="afff8"/>
    <w:rsid w:val="00811C95"/>
    <w:rPr>
      <w:rFonts w:ascii="Arial Narrow" w:eastAsia="Arial Narrow" w:hAnsi="Arial Narrow" w:cs="Arial Narrow"/>
      <w:b/>
      <w:bCs/>
      <w:i w:val="0"/>
      <w:iCs w:val="0"/>
      <w:smallCaps w:val="0"/>
      <w:strike w:val="0"/>
      <w:spacing w:val="-20"/>
      <w:w w:val="100"/>
      <w:sz w:val="19"/>
      <w:szCs w:val="19"/>
      <w:shd w:val="clear" w:color="auto" w:fill="FFFFFF"/>
    </w:rPr>
  </w:style>
  <w:style w:type="character" w:customStyle="1" w:styleId="16Tahoma105pt">
    <w:name w:val="Основной текст (16) + Tahoma;10;5 pt;Полужирный;Не курсив"/>
    <w:basedOn w:val="162"/>
    <w:rsid w:val="00811C95"/>
    <w:rPr>
      <w:rFonts w:ascii="Tahoma" w:eastAsia="Tahoma" w:hAnsi="Tahoma" w:cs="Tahoma"/>
      <w:b/>
      <w:bCs/>
      <w:i/>
      <w:iCs/>
      <w:smallCaps w:val="0"/>
      <w:strike w:val="0"/>
      <w:spacing w:val="0"/>
      <w:w w:val="100"/>
      <w:sz w:val="21"/>
      <w:szCs w:val="21"/>
      <w:lang w:val="en-US"/>
    </w:rPr>
  </w:style>
  <w:style w:type="character" w:customStyle="1" w:styleId="1612pt-1pt">
    <w:name w:val="Основной текст (16) + 12 pt;Не курсив;Интервал -1 pt"/>
    <w:basedOn w:val="162"/>
    <w:rsid w:val="00811C95"/>
    <w:rPr>
      <w:rFonts w:ascii="Arial Narrow" w:eastAsia="Arial Narrow" w:hAnsi="Arial Narrow" w:cs="Arial Narrow"/>
      <w:b w:val="0"/>
      <w:bCs w:val="0"/>
      <w:i/>
      <w:iCs/>
      <w:smallCaps w:val="0"/>
      <w:strike w:val="0"/>
      <w:spacing w:val="-20"/>
      <w:w w:val="100"/>
      <w:sz w:val="24"/>
      <w:szCs w:val="24"/>
    </w:rPr>
  </w:style>
  <w:style w:type="character" w:customStyle="1" w:styleId="Gungsuh65pt0pt">
    <w:name w:val="Основной текст + Gungsuh;6;5 pt;Полужирный;Интервал 0 pt"/>
    <w:basedOn w:val="aff1"/>
    <w:rsid w:val="00811C95"/>
    <w:rPr>
      <w:rFonts w:ascii="Gungsuh" w:eastAsia="Gungsuh" w:hAnsi="Gungsuh" w:cs="Gungsuh"/>
      <w:b/>
      <w:bCs/>
      <w:i w:val="0"/>
      <w:iCs w:val="0"/>
      <w:smallCaps w:val="0"/>
      <w:strike w:val="0"/>
      <w:spacing w:val="10"/>
      <w:w w:val="100"/>
      <w:sz w:val="13"/>
      <w:szCs w:val="13"/>
      <w:shd w:val="clear" w:color="auto" w:fill="FFFFFF"/>
    </w:rPr>
  </w:style>
  <w:style w:type="character" w:customStyle="1" w:styleId="8pt3">
    <w:name w:val="Основной текст + 8 pt;Курсив"/>
    <w:basedOn w:val="aff1"/>
    <w:rsid w:val="00811C95"/>
    <w:rPr>
      <w:rFonts w:ascii="Arial Narrow" w:eastAsia="Arial Narrow" w:hAnsi="Arial Narrow" w:cs="Arial Narrow"/>
      <w:b w:val="0"/>
      <w:bCs w:val="0"/>
      <w:i/>
      <w:iCs/>
      <w:smallCaps w:val="0"/>
      <w:strike w:val="0"/>
      <w:spacing w:val="0"/>
      <w:w w:val="100"/>
      <w:sz w:val="16"/>
      <w:szCs w:val="16"/>
      <w:shd w:val="clear" w:color="auto" w:fill="FFFFFF"/>
    </w:rPr>
  </w:style>
  <w:style w:type="character" w:customStyle="1" w:styleId="1695pt">
    <w:name w:val="Основной текст (16) + 9;5 pt;Полужирный"/>
    <w:basedOn w:val="162"/>
    <w:rsid w:val="00811C95"/>
    <w:rPr>
      <w:rFonts w:ascii="Arial Narrow" w:eastAsia="Arial Narrow" w:hAnsi="Arial Narrow" w:cs="Arial Narrow"/>
      <w:b/>
      <w:bCs/>
      <w:i w:val="0"/>
      <w:iCs w:val="0"/>
      <w:smallCaps w:val="0"/>
      <w:strike w:val="0"/>
      <w:spacing w:val="0"/>
      <w:w w:val="100"/>
      <w:sz w:val="19"/>
      <w:szCs w:val="19"/>
    </w:rPr>
  </w:style>
  <w:style w:type="character" w:customStyle="1" w:styleId="161pt0">
    <w:name w:val="Основной текст (16) + Интервал 1 pt"/>
    <w:basedOn w:val="162"/>
    <w:rsid w:val="00811C95"/>
    <w:rPr>
      <w:rFonts w:ascii="Arial Narrow" w:eastAsia="Arial Narrow" w:hAnsi="Arial Narrow" w:cs="Arial Narrow"/>
      <w:b w:val="0"/>
      <w:bCs w:val="0"/>
      <w:i w:val="0"/>
      <w:iCs w:val="0"/>
      <w:smallCaps w:val="0"/>
      <w:strike w:val="0"/>
      <w:spacing w:val="20"/>
      <w:w w:val="100"/>
      <w:sz w:val="17"/>
      <w:szCs w:val="17"/>
      <w:lang w:val="en-US"/>
    </w:rPr>
  </w:style>
  <w:style w:type="character" w:customStyle="1" w:styleId="295pt0">
    <w:name w:val="Основной текст + 29;5 pt;Полужирный"/>
    <w:basedOn w:val="aff1"/>
    <w:rsid w:val="00811C95"/>
    <w:rPr>
      <w:rFonts w:ascii="Arial Narrow" w:eastAsia="Arial Narrow" w:hAnsi="Arial Narrow" w:cs="Arial Narrow"/>
      <w:b/>
      <w:bCs/>
      <w:i w:val="0"/>
      <w:iCs w:val="0"/>
      <w:smallCaps w:val="0"/>
      <w:strike w:val="0"/>
      <w:spacing w:val="0"/>
      <w:w w:val="100"/>
      <w:sz w:val="59"/>
      <w:szCs w:val="59"/>
      <w:shd w:val="clear" w:color="auto" w:fill="FFFFFF"/>
    </w:rPr>
  </w:style>
  <w:style w:type="character" w:customStyle="1" w:styleId="affffff2">
    <w:name w:val="Подпись к картинке + Не полужирный"/>
    <w:basedOn w:val="affc"/>
    <w:rsid w:val="00811C95"/>
    <w:rPr>
      <w:rFonts w:ascii="Arial Narrow" w:eastAsia="Arial Narrow" w:hAnsi="Arial Narrow" w:cs="Arial Narrow"/>
      <w:b/>
      <w:bCs/>
      <w:i w:val="0"/>
      <w:iCs w:val="0"/>
      <w:smallCaps w:val="0"/>
      <w:strike w:val="0"/>
      <w:spacing w:val="0"/>
      <w:sz w:val="15"/>
      <w:szCs w:val="15"/>
      <w:shd w:val="clear" w:color="auto" w:fill="FFFFFF"/>
      <w:lang w:eastAsia="en-US"/>
    </w:rPr>
  </w:style>
  <w:style w:type="character" w:customStyle="1" w:styleId="95pt3">
    <w:name w:val="Основной текст + 9;5 pt;Курсив"/>
    <w:basedOn w:val="aff1"/>
    <w:rsid w:val="00811C95"/>
    <w:rPr>
      <w:rFonts w:ascii="Arial Narrow" w:eastAsia="Arial Narrow" w:hAnsi="Arial Narrow" w:cs="Arial Narrow"/>
      <w:b w:val="0"/>
      <w:bCs w:val="0"/>
      <w:i/>
      <w:iCs/>
      <w:smallCaps w:val="0"/>
      <w:strike w:val="0"/>
      <w:spacing w:val="0"/>
      <w:w w:val="100"/>
      <w:sz w:val="19"/>
      <w:szCs w:val="19"/>
      <w:shd w:val="clear" w:color="auto" w:fill="FFFFFF"/>
      <w:lang w:val="en-US"/>
    </w:rPr>
  </w:style>
  <w:style w:type="character" w:customStyle="1" w:styleId="26-1pt">
    <w:name w:val="Основной текст (26) + Интервал -1 pt"/>
    <w:basedOn w:val="260"/>
    <w:rsid w:val="00811C95"/>
    <w:rPr>
      <w:rFonts w:ascii="Arial Narrow" w:eastAsia="Arial Narrow" w:hAnsi="Arial Narrow" w:cs="Arial Narrow"/>
      <w:b w:val="0"/>
      <w:bCs w:val="0"/>
      <w:i w:val="0"/>
      <w:iCs w:val="0"/>
      <w:smallCaps w:val="0"/>
      <w:strike w:val="0"/>
      <w:spacing w:val="-20"/>
      <w:sz w:val="18"/>
      <w:szCs w:val="18"/>
      <w:u w:val="single"/>
      <w:shd w:val="clear" w:color="auto" w:fill="FFFFFF"/>
    </w:rPr>
  </w:style>
  <w:style w:type="character" w:customStyle="1" w:styleId="sr-only">
    <w:name w:val="sr-only"/>
    <w:basedOn w:val="a0"/>
    <w:rsid w:val="00811C95"/>
  </w:style>
  <w:style w:type="character" w:customStyle="1" w:styleId="responsive-hide">
    <w:name w:val="responsive-hide"/>
    <w:basedOn w:val="a0"/>
    <w:rsid w:val="00811C95"/>
  </w:style>
  <w:style w:type="character" w:customStyle="1" w:styleId="affffff3">
    <w:name w:val="Текст примечания Знак"/>
    <w:basedOn w:val="a0"/>
    <w:link w:val="affffff4"/>
    <w:uiPriority w:val="99"/>
    <w:semiHidden/>
    <w:rsid w:val="00811C95"/>
    <w:rPr>
      <w:rFonts w:asciiTheme="minorHAnsi" w:eastAsiaTheme="minorHAnsi" w:hAnsiTheme="minorHAnsi" w:cstheme="minorBidi"/>
      <w:lang w:eastAsia="en-US"/>
    </w:rPr>
  </w:style>
  <w:style w:type="paragraph" w:styleId="affffff4">
    <w:name w:val="annotation text"/>
    <w:basedOn w:val="a"/>
    <w:link w:val="affffff3"/>
    <w:uiPriority w:val="99"/>
    <w:semiHidden/>
    <w:unhideWhenUsed/>
    <w:rsid w:val="00811C95"/>
    <w:pPr>
      <w:spacing w:line="240" w:lineRule="auto"/>
    </w:pPr>
    <w:rPr>
      <w:rFonts w:asciiTheme="minorHAnsi" w:eastAsiaTheme="minorHAnsi" w:hAnsiTheme="minorHAnsi" w:cstheme="minorBidi"/>
      <w:sz w:val="20"/>
      <w:szCs w:val="20"/>
    </w:rPr>
  </w:style>
  <w:style w:type="character" w:customStyle="1" w:styleId="affffff5">
    <w:name w:val="Тема примечания Знак"/>
    <w:basedOn w:val="affffff3"/>
    <w:link w:val="affffff6"/>
    <w:uiPriority w:val="99"/>
    <w:semiHidden/>
    <w:rsid w:val="00811C95"/>
    <w:rPr>
      <w:rFonts w:asciiTheme="minorHAnsi" w:eastAsiaTheme="minorHAnsi" w:hAnsiTheme="minorHAnsi" w:cstheme="minorBidi"/>
      <w:b/>
      <w:bCs/>
      <w:lang w:eastAsia="en-US"/>
    </w:rPr>
  </w:style>
  <w:style w:type="paragraph" w:styleId="affffff6">
    <w:name w:val="annotation subject"/>
    <w:basedOn w:val="affffff4"/>
    <w:next w:val="affffff4"/>
    <w:link w:val="affffff5"/>
    <w:uiPriority w:val="99"/>
    <w:semiHidden/>
    <w:unhideWhenUsed/>
    <w:rsid w:val="00811C95"/>
    <w:rPr>
      <w:b/>
      <w:bCs/>
    </w:rPr>
  </w:style>
  <w:style w:type="character" w:customStyle="1" w:styleId="Consolas65pt">
    <w:name w:val="Основной текст + Consolas;6;5 pt;Полужирный"/>
    <w:basedOn w:val="aff1"/>
    <w:rsid w:val="00811C95"/>
    <w:rPr>
      <w:rFonts w:ascii="Consolas" w:eastAsia="Consolas" w:hAnsi="Consolas" w:cs="Consolas"/>
      <w:b/>
      <w:bCs/>
      <w:i w:val="0"/>
      <w:iCs w:val="0"/>
      <w:smallCaps w:val="0"/>
      <w:strike w:val="0"/>
      <w:spacing w:val="0"/>
      <w:sz w:val="13"/>
      <w:szCs w:val="13"/>
      <w:shd w:val="clear" w:color="auto" w:fill="FFFFFF"/>
    </w:rPr>
  </w:style>
  <w:style w:type="character" w:customStyle="1" w:styleId="8Gungsuh75pt">
    <w:name w:val="Основной текст (8) + Gungsuh;7;5 pt;Не полужирный"/>
    <w:basedOn w:val="81"/>
    <w:rsid w:val="00811C95"/>
    <w:rPr>
      <w:rFonts w:ascii="Gungsuh" w:eastAsia="Gungsuh" w:hAnsi="Gungsuh" w:cs="Gungsuh"/>
      <w:b/>
      <w:bCs/>
      <w:i w:val="0"/>
      <w:iCs w:val="0"/>
      <w:smallCaps w:val="0"/>
      <w:strike w:val="0"/>
      <w:spacing w:val="0"/>
      <w:sz w:val="15"/>
      <w:szCs w:val="15"/>
      <w:shd w:val="clear" w:color="auto" w:fill="FFFFFF"/>
    </w:rPr>
  </w:style>
  <w:style w:type="character" w:customStyle="1" w:styleId="Tahoma10pt1pt">
    <w:name w:val="Основной текст + Tahoma;10 pt;Курсив;Интервал 1 pt"/>
    <w:basedOn w:val="aff1"/>
    <w:rsid w:val="00811C95"/>
    <w:rPr>
      <w:rFonts w:ascii="Tahoma" w:eastAsia="Tahoma" w:hAnsi="Tahoma" w:cs="Tahoma"/>
      <w:b w:val="0"/>
      <w:bCs w:val="0"/>
      <w:i/>
      <w:iCs/>
      <w:smallCaps w:val="0"/>
      <w:strike w:val="0"/>
      <w:spacing w:val="20"/>
      <w:w w:val="100"/>
      <w:sz w:val="20"/>
      <w:szCs w:val="20"/>
      <w:shd w:val="clear" w:color="auto" w:fill="FFFFFF"/>
    </w:rPr>
  </w:style>
  <w:style w:type="character" w:customStyle="1" w:styleId="11pt3">
    <w:name w:val="Основной текст + Интервал 11 pt"/>
    <w:basedOn w:val="aff1"/>
    <w:rsid w:val="00811C95"/>
    <w:rPr>
      <w:rFonts w:ascii="Palatino Linotype" w:eastAsia="Palatino Linotype" w:hAnsi="Palatino Linotype" w:cs="Palatino Linotype"/>
      <w:b w:val="0"/>
      <w:bCs w:val="0"/>
      <w:i w:val="0"/>
      <w:iCs w:val="0"/>
      <w:smallCaps w:val="0"/>
      <w:strike w:val="0"/>
      <w:spacing w:val="220"/>
      <w:sz w:val="18"/>
      <w:szCs w:val="18"/>
      <w:shd w:val="clear" w:color="auto" w:fill="FFFFFF"/>
    </w:rPr>
  </w:style>
  <w:style w:type="character" w:customStyle="1" w:styleId="2ArialUnicodeMS95pt-1pt">
    <w:name w:val="Основной текст (2) + Arial Unicode MS;9;5 pt;Курсив;Интервал -1 pt"/>
    <w:basedOn w:val="2a"/>
    <w:rsid w:val="00811C95"/>
    <w:rPr>
      <w:rFonts w:ascii="Arial Unicode MS" w:eastAsia="Arial Unicode MS" w:hAnsi="Arial Unicode MS" w:cs="Arial Unicode MS"/>
      <w:b w:val="0"/>
      <w:bCs w:val="0"/>
      <w:i/>
      <w:iCs/>
      <w:smallCaps w:val="0"/>
      <w:strike w:val="0"/>
      <w:spacing w:val="-20"/>
      <w:sz w:val="19"/>
      <w:szCs w:val="19"/>
      <w:shd w:val="clear" w:color="auto" w:fill="FFFFFF"/>
      <w:lang w:eastAsia="en-US"/>
    </w:rPr>
  </w:style>
  <w:style w:type="character" w:customStyle="1" w:styleId="5pt0">
    <w:name w:val="Основной текст + 5 pt;Курсив"/>
    <w:basedOn w:val="aff1"/>
    <w:rsid w:val="00811C95"/>
    <w:rPr>
      <w:rFonts w:ascii="Palatino Linotype" w:eastAsia="Palatino Linotype" w:hAnsi="Palatino Linotype" w:cs="Palatino Linotype"/>
      <w:b w:val="0"/>
      <w:bCs w:val="0"/>
      <w:i/>
      <w:iCs/>
      <w:smallCaps w:val="0"/>
      <w:strike w:val="0"/>
      <w:spacing w:val="0"/>
      <w:sz w:val="10"/>
      <w:szCs w:val="10"/>
      <w:shd w:val="clear" w:color="auto" w:fill="FFFFFF"/>
    </w:rPr>
  </w:style>
  <w:style w:type="character" w:customStyle="1" w:styleId="7pt1pt">
    <w:name w:val="Основной текст + 7 pt;Малые прописные;Интервал 1 pt"/>
    <w:basedOn w:val="aff1"/>
    <w:rsid w:val="00811C95"/>
    <w:rPr>
      <w:rFonts w:ascii="Palatino Linotype" w:eastAsia="Palatino Linotype" w:hAnsi="Palatino Linotype" w:cs="Palatino Linotype"/>
      <w:b w:val="0"/>
      <w:bCs w:val="0"/>
      <w:i w:val="0"/>
      <w:iCs w:val="0"/>
      <w:smallCaps/>
      <w:strike w:val="0"/>
      <w:spacing w:val="20"/>
      <w:sz w:val="14"/>
      <w:szCs w:val="14"/>
      <w:shd w:val="clear" w:color="auto" w:fill="FFFFFF"/>
    </w:rPr>
  </w:style>
  <w:style w:type="character" w:customStyle="1" w:styleId="8Gungsuh105pt">
    <w:name w:val="Основной текст (8) + Gungsuh;10;5 pt;Не полужирный"/>
    <w:basedOn w:val="81"/>
    <w:rsid w:val="00811C95"/>
    <w:rPr>
      <w:rFonts w:ascii="Gungsuh" w:eastAsia="Gungsuh" w:hAnsi="Gungsuh" w:cs="Gungsuh"/>
      <w:b/>
      <w:bCs/>
      <w:i w:val="0"/>
      <w:iCs w:val="0"/>
      <w:smallCaps w:val="0"/>
      <w:strike w:val="0"/>
      <w:spacing w:val="0"/>
      <w:sz w:val="21"/>
      <w:szCs w:val="21"/>
      <w:shd w:val="clear" w:color="auto" w:fill="FFFFFF"/>
    </w:rPr>
  </w:style>
  <w:style w:type="character" w:customStyle="1" w:styleId="8Gungsuh">
    <w:name w:val="Основной текст (8) + Gungsuh;Не полужирный"/>
    <w:basedOn w:val="81"/>
    <w:rsid w:val="00811C95"/>
    <w:rPr>
      <w:rFonts w:ascii="Gungsuh" w:eastAsia="Gungsuh" w:hAnsi="Gungsuh" w:cs="Gungsuh"/>
      <w:b/>
      <w:bCs/>
      <w:i w:val="0"/>
      <w:iCs w:val="0"/>
      <w:smallCaps w:val="0"/>
      <w:strike w:val="0"/>
      <w:spacing w:val="0"/>
      <w:sz w:val="13"/>
      <w:szCs w:val="13"/>
      <w:u w:val="single"/>
      <w:shd w:val="clear" w:color="auto" w:fill="FFFFFF"/>
    </w:rPr>
  </w:style>
  <w:style w:type="character" w:customStyle="1" w:styleId="2Gungsuh75pt">
    <w:name w:val="Оглавление (2) + Gungsuh;7;5 pt;Не полужирный"/>
    <w:basedOn w:val="2ff4"/>
    <w:rsid w:val="00811C95"/>
    <w:rPr>
      <w:rFonts w:ascii="Gungsuh" w:eastAsia="Gungsuh" w:hAnsi="Gungsuh" w:cs="Gungsuh"/>
      <w:b/>
      <w:bCs/>
      <w:i w:val="0"/>
      <w:iCs w:val="0"/>
      <w:smallCaps w:val="0"/>
      <w:strike w:val="0"/>
      <w:spacing w:val="0"/>
      <w:sz w:val="15"/>
      <w:szCs w:val="15"/>
    </w:rPr>
  </w:style>
  <w:style w:type="character" w:customStyle="1" w:styleId="TimesNewRoman11pt">
    <w:name w:val="Оглавление + Times New Roman;11 pt;Курсив"/>
    <w:basedOn w:val="afff8"/>
    <w:rsid w:val="00811C95"/>
    <w:rPr>
      <w:rFonts w:ascii="Times New Roman" w:eastAsia="Times New Roman" w:hAnsi="Times New Roman" w:cs="Times New Roman"/>
      <w:b w:val="0"/>
      <w:bCs w:val="0"/>
      <w:i/>
      <w:iCs/>
      <w:smallCaps w:val="0"/>
      <w:strike w:val="0"/>
      <w:spacing w:val="0"/>
      <w:sz w:val="22"/>
      <w:szCs w:val="22"/>
      <w:shd w:val="clear" w:color="auto" w:fill="FFFFFF"/>
    </w:rPr>
  </w:style>
  <w:style w:type="character" w:customStyle="1" w:styleId="21pt2">
    <w:name w:val="Оглавление (2) + Интервал 1 pt"/>
    <w:basedOn w:val="2ff4"/>
    <w:rsid w:val="00811C95"/>
    <w:rPr>
      <w:rFonts w:ascii="Consolas" w:eastAsia="Consolas" w:hAnsi="Consolas" w:cs="Consolas"/>
      <w:b w:val="0"/>
      <w:bCs w:val="0"/>
      <w:i w:val="0"/>
      <w:iCs w:val="0"/>
      <w:smallCaps w:val="0"/>
      <w:strike w:val="0"/>
      <w:spacing w:val="20"/>
      <w:sz w:val="13"/>
      <w:szCs w:val="13"/>
    </w:rPr>
  </w:style>
  <w:style w:type="character" w:customStyle="1" w:styleId="2Gungsuh0pt">
    <w:name w:val="Оглавление (2) + Gungsuh;Не полужирный;Интервал 0 pt"/>
    <w:basedOn w:val="2ff4"/>
    <w:rsid w:val="00811C95"/>
    <w:rPr>
      <w:rFonts w:ascii="Gungsuh" w:eastAsia="Gungsuh" w:hAnsi="Gungsuh" w:cs="Gungsuh"/>
      <w:b/>
      <w:bCs/>
      <w:i w:val="0"/>
      <w:iCs w:val="0"/>
      <w:smallCaps w:val="0"/>
      <w:strike w:val="0"/>
      <w:spacing w:val="10"/>
      <w:sz w:val="13"/>
      <w:szCs w:val="13"/>
    </w:rPr>
  </w:style>
  <w:style w:type="character" w:customStyle="1" w:styleId="2Gungsuh">
    <w:name w:val="Оглавление (2) + Gungsuh;Не полужирный"/>
    <w:basedOn w:val="2ff4"/>
    <w:rsid w:val="00811C95"/>
    <w:rPr>
      <w:rFonts w:ascii="Gungsuh" w:eastAsia="Gungsuh" w:hAnsi="Gungsuh" w:cs="Gungsuh"/>
      <w:b/>
      <w:bCs/>
      <w:i w:val="0"/>
      <w:iCs w:val="0"/>
      <w:smallCaps w:val="0"/>
      <w:strike w:val="0"/>
      <w:spacing w:val="0"/>
      <w:sz w:val="13"/>
      <w:szCs w:val="13"/>
    </w:rPr>
  </w:style>
  <w:style w:type="character" w:customStyle="1" w:styleId="1pt4">
    <w:name w:val="Оглавление + Интервал 1 pt"/>
    <w:basedOn w:val="afff8"/>
    <w:rsid w:val="00811C95"/>
    <w:rPr>
      <w:rFonts w:ascii="Gungsuh" w:eastAsia="Gungsuh" w:hAnsi="Gungsuh" w:cs="Gungsuh"/>
      <w:b w:val="0"/>
      <w:bCs w:val="0"/>
      <w:i w:val="0"/>
      <w:iCs w:val="0"/>
      <w:smallCaps w:val="0"/>
      <w:strike w:val="0"/>
      <w:spacing w:val="20"/>
      <w:sz w:val="15"/>
      <w:szCs w:val="15"/>
      <w:shd w:val="clear" w:color="auto" w:fill="FFFFFF"/>
    </w:rPr>
  </w:style>
  <w:style w:type="character" w:customStyle="1" w:styleId="3PalatinoLinotype165pt0pt">
    <w:name w:val="Основной текст (3) + Palatino Linotype;16;5 pt;Не курсив;Интервал 0 pt"/>
    <w:basedOn w:val="35"/>
    <w:rsid w:val="00811C95"/>
    <w:rPr>
      <w:rFonts w:ascii="Palatino Linotype" w:eastAsia="Palatino Linotype" w:hAnsi="Palatino Linotype" w:cs="Palatino Linotype"/>
      <w:b w:val="0"/>
      <w:bCs w:val="0"/>
      <w:i/>
      <w:iCs/>
      <w:smallCaps w:val="0"/>
      <w:strike w:val="0"/>
      <w:spacing w:val="0"/>
      <w:sz w:val="33"/>
      <w:szCs w:val="33"/>
      <w:shd w:val="clear" w:color="auto" w:fill="FFFFFF"/>
      <w:lang w:val="en-US"/>
    </w:rPr>
  </w:style>
  <w:style w:type="character" w:customStyle="1" w:styleId="2ArialUnicodeMS95pt">
    <w:name w:val="Основной текст (2) + Arial Unicode MS;9;5 pt;Курсив"/>
    <w:basedOn w:val="2a"/>
    <w:rsid w:val="00811C95"/>
    <w:rPr>
      <w:rFonts w:ascii="Arial Unicode MS" w:eastAsia="Arial Unicode MS" w:hAnsi="Arial Unicode MS" w:cs="Arial Unicode MS"/>
      <w:b w:val="0"/>
      <w:bCs w:val="0"/>
      <w:i/>
      <w:iCs/>
      <w:smallCaps w:val="0"/>
      <w:strike w:val="0"/>
      <w:spacing w:val="0"/>
      <w:sz w:val="19"/>
      <w:szCs w:val="19"/>
      <w:shd w:val="clear" w:color="auto" w:fill="FFFFFF"/>
      <w:lang w:eastAsia="en-US"/>
    </w:rPr>
  </w:style>
  <w:style w:type="character" w:customStyle="1" w:styleId="Candara95pt">
    <w:name w:val="Основной текст + Candara;9;5 pt;Полужирный"/>
    <w:basedOn w:val="aff1"/>
    <w:rsid w:val="00811C95"/>
    <w:rPr>
      <w:rFonts w:ascii="Candara" w:eastAsia="Candara" w:hAnsi="Candara" w:cs="Candara"/>
      <w:b/>
      <w:bCs/>
      <w:i w:val="0"/>
      <w:iCs w:val="0"/>
      <w:smallCaps w:val="0"/>
      <w:strike w:val="0"/>
      <w:spacing w:val="0"/>
      <w:sz w:val="19"/>
      <w:szCs w:val="19"/>
      <w:shd w:val="clear" w:color="auto" w:fill="FFFFFF"/>
    </w:rPr>
  </w:style>
  <w:style w:type="character" w:customStyle="1" w:styleId="Candara4pt">
    <w:name w:val="Основной текст + Candara;4 pt;Курсив"/>
    <w:basedOn w:val="aff1"/>
    <w:rsid w:val="00811C95"/>
    <w:rPr>
      <w:rFonts w:ascii="Candara" w:eastAsia="Candara" w:hAnsi="Candara" w:cs="Candara"/>
      <w:b w:val="0"/>
      <w:bCs w:val="0"/>
      <w:i/>
      <w:iCs/>
      <w:smallCaps w:val="0"/>
      <w:strike w:val="0"/>
      <w:spacing w:val="0"/>
      <w:sz w:val="8"/>
      <w:szCs w:val="8"/>
      <w:shd w:val="clear" w:color="auto" w:fill="FFFFFF"/>
    </w:rPr>
  </w:style>
  <w:style w:type="character" w:customStyle="1" w:styleId="7pt1">
    <w:name w:val="Основной текст + 7 pt;Курсив"/>
    <w:basedOn w:val="aff1"/>
    <w:rsid w:val="00811C95"/>
    <w:rPr>
      <w:rFonts w:ascii="Bookman Old Style" w:eastAsia="Bookman Old Style" w:hAnsi="Bookman Old Style" w:cs="Bookman Old Style"/>
      <w:b w:val="0"/>
      <w:bCs w:val="0"/>
      <w:i/>
      <w:iCs/>
      <w:smallCaps w:val="0"/>
      <w:strike w:val="0"/>
      <w:spacing w:val="0"/>
      <w:sz w:val="14"/>
      <w:szCs w:val="14"/>
      <w:shd w:val="clear" w:color="auto" w:fill="FFFFFF"/>
    </w:rPr>
  </w:style>
  <w:style w:type="character" w:customStyle="1" w:styleId="7pt0pt2">
    <w:name w:val="Основной текст + 7 pt;Курсив;Интервал 0 pt"/>
    <w:basedOn w:val="aff1"/>
    <w:rsid w:val="00811C95"/>
    <w:rPr>
      <w:rFonts w:ascii="Bookman Old Style" w:eastAsia="Bookman Old Style" w:hAnsi="Bookman Old Style" w:cs="Bookman Old Style"/>
      <w:b w:val="0"/>
      <w:bCs w:val="0"/>
      <w:i/>
      <w:iCs/>
      <w:smallCaps w:val="0"/>
      <w:strike w:val="0"/>
      <w:spacing w:val="-10"/>
      <w:sz w:val="14"/>
      <w:szCs w:val="14"/>
      <w:shd w:val="clear" w:color="auto" w:fill="FFFFFF"/>
    </w:rPr>
  </w:style>
  <w:style w:type="character" w:customStyle="1" w:styleId="12pt">
    <w:name w:val="Основной текст + 12 pt"/>
    <w:basedOn w:val="aff1"/>
    <w:rsid w:val="00811C95"/>
    <w:rPr>
      <w:rFonts w:ascii="Bookman Old Style" w:eastAsia="Bookman Old Style" w:hAnsi="Bookman Old Style" w:cs="Bookman Old Style"/>
      <w:b w:val="0"/>
      <w:bCs w:val="0"/>
      <w:i w:val="0"/>
      <w:iCs w:val="0"/>
      <w:smallCaps w:val="0"/>
      <w:strike w:val="0"/>
      <w:spacing w:val="0"/>
      <w:sz w:val="24"/>
      <w:szCs w:val="24"/>
      <w:shd w:val="clear" w:color="auto" w:fill="FFFFFF"/>
    </w:rPr>
  </w:style>
  <w:style w:type="character" w:customStyle="1" w:styleId="Sylfaen11pt">
    <w:name w:val="Основной текст + Sylfaen;11 pt;Полужирный"/>
    <w:basedOn w:val="aff1"/>
    <w:rsid w:val="00811C95"/>
    <w:rPr>
      <w:rFonts w:ascii="Sylfaen" w:eastAsia="Sylfaen" w:hAnsi="Sylfaen" w:cs="Sylfaen"/>
      <w:b/>
      <w:bCs/>
      <w:i w:val="0"/>
      <w:iCs w:val="0"/>
      <w:smallCaps w:val="0"/>
      <w:strike w:val="0"/>
      <w:spacing w:val="0"/>
      <w:w w:val="100"/>
      <w:sz w:val="22"/>
      <w:szCs w:val="22"/>
      <w:shd w:val="clear" w:color="auto" w:fill="FFFFFF"/>
    </w:rPr>
  </w:style>
  <w:style w:type="character" w:customStyle="1" w:styleId="55pt">
    <w:name w:val="Основной текст + 5;5 pt;Малые прописные"/>
    <w:basedOn w:val="aff1"/>
    <w:rsid w:val="00811C95"/>
    <w:rPr>
      <w:rFonts w:ascii="Bookman Old Style" w:eastAsia="Bookman Old Style" w:hAnsi="Bookman Old Style" w:cs="Bookman Old Style"/>
      <w:b w:val="0"/>
      <w:bCs w:val="0"/>
      <w:i w:val="0"/>
      <w:iCs w:val="0"/>
      <w:smallCaps/>
      <w:strike w:val="0"/>
      <w:spacing w:val="0"/>
      <w:sz w:val="11"/>
      <w:szCs w:val="11"/>
      <w:shd w:val="clear" w:color="auto" w:fill="FFFFFF"/>
    </w:rPr>
  </w:style>
  <w:style w:type="character" w:customStyle="1" w:styleId="2-1pt2">
    <w:name w:val="Оглавление (2) + Интервал -1 pt"/>
    <w:basedOn w:val="2ff4"/>
    <w:rsid w:val="00811C95"/>
    <w:rPr>
      <w:rFonts w:ascii="Bookman Old Style" w:eastAsia="Bookman Old Style" w:hAnsi="Bookman Old Style" w:cs="Bookman Old Style"/>
      <w:b w:val="0"/>
      <w:bCs w:val="0"/>
      <w:i w:val="0"/>
      <w:iCs w:val="0"/>
      <w:smallCaps w:val="0"/>
      <w:strike w:val="0"/>
      <w:spacing w:val="-20"/>
      <w:sz w:val="15"/>
      <w:szCs w:val="15"/>
    </w:rPr>
  </w:style>
  <w:style w:type="character" w:customStyle="1" w:styleId="Consolas9pt0pt">
    <w:name w:val="Колонтитул + Consolas;9 pt;Интервал 0 pt"/>
    <w:basedOn w:val="aff9"/>
    <w:rsid w:val="00811C95"/>
    <w:rPr>
      <w:rFonts w:ascii="Consolas" w:eastAsia="Consolas" w:hAnsi="Consolas" w:cs="Consolas"/>
      <w:b w:val="0"/>
      <w:bCs w:val="0"/>
      <w:i w:val="0"/>
      <w:iCs w:val="0"/>
      <w:smallCaps w:val="0"/>
      <w:strike w:val="0"/>
      <w:spacing w:val="-10"/>
      <w:sz w:val="18"/>
      <w:szCs w:val="18"/>
      <w:shd w:val="clear" w:color="auto" w:fill="FFFFFF"/>
      <w:lang w:eastAsia="en-US"/>
    </w:rPr>
  </w:style>
  <w:style w:type="character" w:customStyle="1" w:styleId="Consolas4pt0pt">
    <w:name w:val="Оглавление + Consolas;4 pt;Курсив;Интервал 0 pt"/>
    <w:basedOn w:val="afff8"/>
    <w:rsid w:val="00811C95"/>
    <w:rPr>
      <w:rFonts w:ascii="Consolas" w:eastAsia="Consolas" w:hAnsi="Consolas" w:cs="Consolas"/>
      <w:b w:val="0"/>
      <w:bCs w:val="0"/>
      <w:i/>
      <w:iCs/>
      <w:smallCaps w:val="0"/>
      <w:strike w:val="0"/>
      <w:spacing w:val="-10"/>
      <w:w w:val="100"/>
      <w:sz w:val="8"/>
      <w:szCs w:val="8"/>
      <w:shd w:val="clear" w:color="auto" w:fill="FFFFFF"/>
    </w:rPr>
  </w:style>
  <w:style w:type="character" w:customStyle="1" w:styleId="Consolas5pt">
    <w:name w:val="Основной текст + Consolas;5 pt;Курсив"/>
    <w:basedOn w:val="aff1"/>
    <w:rsid w:val="00811C95"/>
    <w:rPr>
      <w:rFonts w:ascii="Consolas" w:eastAsia="Consolas" w:hAnsi="Consolas" w:cs="Consolas"/>
      <w:b w:val="0"/>
      <w:bCs w:val="0"/>
      <w:i/>
      <w:iCs/>
      <w:smallCaps w:val="0"/>
      <w:strike w:val="0"/>
      <w:spacing w:val="0"/>
      <w:w w:val="100"/>
      <w:sz w:val="10"/>
      <w:szCs w:val="10"/>
      <w:shd w:val="clear" w:color="auto" w:fill="FFFFFF"/>
    </w:rPr>
  </w:style>
  <w:style w:type="character" w:customStyle="1" w:styleId="2Consolas5pt">
    <w:name w:val="Заголовок №2 + Consolas;5 pt;Курсив"/>
    <w:basedOn w:val="2f0"/>
    <w:rsid w:val="00811C95"/>
    <w:rPr>
      <w:rFonts w:ascii="Consolas" w:eastAsia="Consolas" w:hAnsi="Consolas" w:cs="Consolas"/>
      <w:b w:val="0"/>
      <w:bCs w:val="0"/>
      <w:i/>
      <w:iCs/>
      <w:smallCaps w:val="0"/>
      <w:strike w:val="0"/>
      <w:spacing w:val="0"/>
      <w:w w:val="100"/>
      <w:sz w:val="10"/>
      <w:szCs w:val="10"/>
    </w:rPr>
  </w:style>
  <w:style w:type="character" w:customStyle="1" w:styleId="2ArialNarrow6pt">
    <w:name w:val="Основной текст (2) + Arial Narrow;6 pt;Не курсив"/>
    <w:basedOn w:val="2a"/>
    <w:rsid w:val="00811C95"/>
    <w:rPr>
      <w:rFonts w:ascii="Arial Narrow" w:eastAsia="Arial Narrow" w:hAnsi="Arial Narrow" w:cs="Arial Narrow"/>
      <w:b w:val="0"/>
      <w:bCs w:val="0"/>
      <w:i/>
      <w:iCs/>
      <w:smallCaps w:val="0"/>
      <w:strike w:val="0"/>
      <w:spacing w:val="0"/>
      <w:w w:val="100"/>
      <w:sz w:val="12"/>
      <w:szCs w:val="12"/>
      <w:shd w:val="clear" w:color="auto" w:fill="FFFFFF"/>
      <w:lang w:eastAsia="en-US"/>
    </w:rPr>
  </w:style>
  <w:style w:type="character" w:customStyle="1" w:styleId="Tahoma10pt0pt">
    <w:name w:val="Основной текст + Tahoma;10 pt;Курсив;Интервал 0 pt"/>
    <w:basedOn w:val="aff1"/>
    <w:rsid w:val="00811C95"/>
    <w:rPr>
      <w:rFonts w:ascii="Tahoma" w:eastAsia="Tahoma" w:hAnsi="Tahoma" w:cs="Tahoma"/>
      <w:b w:val="0"/>
      <w:bCs w:val="0"/>
      <w:i/>
      <w:iCs/>
      <w:smallCaps w:val="0"/>
      <w:strike w:val="0"/>
      <w:spacing w:val="0"/>
      <w:w w:val="100"/>
      <w:sz w:val="20"/>
      <w:szCs w:val="20"/>
      <w:shd w:val="clear" w:color="auto" w:fill="FFFFFF"/>
    </w:rPr>
  </w:style>
  <w:style w:type="character" w:customStyle="1" w:styleId="comments-number">
    <w:name w:val="comments-number"/>
    <w:basedOn w:val="a0"/>
    <w:rsid w:val="00811C95"/>
  </w:style>
  <w:style w:type="character" w:customStyle="1" w:styleId="act-rehub-login-popup">
    <w:name w:val="act-rehub-login-popup"/>
    <w:basedOn w:val="a0"/>
    <w:rsid w:val="00811C95"/>
  </w:style>
  <w:style w:type="character" w:customStyle="1" w:styleId="current">
    <w:name w:val="current"/>
    <w:basedOn w:val="a0"/>
    <w:rsid w:val="00811C95"/>
  </w:style>
  <w:style w:type="character" w:customStyle="1" w:styleId="tablecellhot">
    <w:name w:val="table_cell_hot"/>
    <w:basedOn w:val="a0"/>
    <w:rsid w:val="00811C95"/>
  </w:style>
  <w:style w:type="character" w:customStyle="1" w:styleId="gradusicon">
    <w:name w:val="gradus_icon"/>
    <w:basedOn w:val="a0"/>
    <w:rsid w:val="00811C95"/>
  </w:style>
  <w:style w:type="character" w:customStyle="1" w:styleId="textinfo">
    <w:name w:val="textinfo"/>
    <w:basedOn w:val="a0"/>
    <w:rsid w:val="00811C95"/>
  </w:style>
  <w:style w:type="character" w:customStyle="1" w:styleId="flowhidden">
    <w:name w:val="flowhidden"/>
    <w:basedOn w:val="a0"/>
    <w:rsid w:val="00811C95"/>
  </w:style>
  <w:style w:type="character" w:customStyle="1" w:styleId="heartplus">
    <w:name w:val="heartplus"/>
    <w:basedOn w:val="a0"/>
    <w:rsid w:val="00811C95"/>
  </w:style>
  <w:style w:type="character" w:customStyle="1" w:styleId="tags-title-post">
    <w:name w:val="tags-title-post"/>
    <w:basedOn w:val="a0"/>
    <w:rsid w:val="00811C95"/>
  </w:style>
  <w:style w:type="character" w:customStyle="1" w:styleId="wpd-stat-threads-count">
    <w:name w:val="wpd-stat-threads-count"/>
    <w:basedOn w:val="a0"/>
    <w:rsid w:val="00811C95"/>
  </w:style>
  <w:style w:type="character" w:customStyle="1" w:styleId="wpd-stat-replies-count">
    <w:name w:val="wpd-stat-replies-count"/>
    <w:basedOn w:val="a0"/>
    <w:rsid w:val="00811C95"/>
  </w:style>
  <w:style w:type="character" w:customStyle="1" w:styleId="wpd-stat-authors-count">
    <w:name w:val="wpd-stat-authors-count"/>
    <w:basedOn w:val="a0"/>
    <w:rsid w:val="00811C95"/>
  </w:style>
  <w:style w:type="character" w:customStyle="1" w:styleId="wpdiscuz-sort-button">
    <w:name w:val="wpdiscuz-sort-button"/>
    <w:basedOn w:val="a0"/>
    <w:rsid w:val="00811C95"/>
  </w:style>
  <w:style w:type="character" w:customStyle="1" w:styleId="wc-comment-img-link-wrap">
    <w:name w:val="wc-comment-img-link-wrap"/>
    <w:basedOn w:val="a0"/>
    <w:rsid w:val="00811C95"/>
  </w:style>
  <w:style w:type="character" w:customStyle="1" w:styleId="wc-vote-link">
    <w:name w:val="wc-vote-link"/>
    <w:basedOn w:val="a0"/>
    <w:rsid w:val="00811C95"/>
  </w:style>
  <w:style w:type="character" w:customStyle="1" w:styleId="wc-vote-result">
    <w:name w:val="wc-vote-result"/>
    <w:basedOn w:val="a0"/>
    <w:rsid w:val="00811C95"/>
  </w:style>
  <w:style w:type="character" w:customStyle="1" w:styleId="wpdiscuz-hellip">
    <w:name w:val="wpdiscuz-hellip"/>
    <w:basedOn w:val="a0"/>
    <w:rsid w:val="00811C95"/>
  </w:style>
  <w:style w:type="character" w:customStyle="1" w:styleId="wpdiscuz-readmore">
    <w:name w:val="wpdiscuz-readmore"/>
    <w:basedOn w:val="a0"/>
    <w:rsid w:val="00811C95"/>
  </w:style>
  <w:style w:type="character" w:customStyle="1" w:styleId="tag-link-count">
    <w:name w:val="tag-link-count"/>
    <w:basedOn w:val="a0"/>
    <w:rsid w:val="00811C95"/>
  </w:style>
  <w:style w:type="character" w:customStyle="1" w:styleId="ftextspan">
    <w:name w:val="f_text_span"/>
    <w:basedOn w:val="a0"/>
    <w:rsid w:val="00811C95"/>
  </w:style>
  <w:style w:type="character" w:customStyle="1" w:styleId="rehubscroll">
    <w:name w:val="rehub_scroll"/>
    <w:basedOn w:val="a0"/>
    <w:rsid w:val="00811C95"/>
  </w:style>
  <w:style w:type="character" w:customStyle="1" w:styleId="advads-close-button">
    <w:name w:val="advads-close-button"/>
    <w:basedOn w:val="a0"/>
    <w:rsid w:val="00811C95"/>
  </w:style>
  <w:style w:type="character" w:customStyle="1" w:styleId="re-compare-destin">
    <w:name w:val="re-compare-destin"/>
    <w:basedOn w:val="a0"/>
    <w:rsid w:val="00811C95"/>
  </w:style>
  <w:style w:type="character" w:customStyle="1" w:styleId="at4-visually-hidden">
    <w:name w:val="at4-visually-hidden"/>
    <w:basedOn w:val="a0"/>
    <w:rsid w:val="00811C95"/>
  </w:style>
  <w:style w:type="character" w:customStyle="1" w:styleId="at-icon-wrapper">
    <w:name w:val="at-icon-wrapper"/>
    <w:basedOn w:val="a0"/>
    <w:rsid w:val="00811C95"/>
  </w:style>
  <w:style w:type="character" w:customStyle="1" w:styleId="at4-share-count">
    <w:name w:val="at4-share-count"/>
    <w:basedOn w:val="a0"/>
    <w:rsid w:val="00811C95"/>
  </w:style>
  <w:style w:type="character" w:customStyle="1" w:styleId="at4-counter">
    <w:name w:val="at4-counter"/>
    <w:basedOn w:val="a0"/>
    <w:rsid w:val="00811C95"/>
  </w:style>
  <w:style w:type="character" w:customStyle="1" w:styleId="at4-share-label">
    <w:name w:val="at4-share-label"/>
    <w:basedOn w:val="a0"/>
    <w:rsid w:val="00811C95"/>
  </w:style>
  <w:style w:type="character" w:customStyle="1" w:styleId="2TimesNewRoman0">
    <w:name w:val="Основной текст (2) + Times New Roman;Полужирный"/>
    <w:basedOn w:val="2a"/>
    <w:rsid w:val="00811C95"/>
    <w:rPr>
      <w:rFonts w:ascii="Times New Roman" w:eastAsia="Times New Roman" w:hAnsi="Times New Roman" w:cs="Times New Roman"/>
      <w:b/>
      <w:bCs/>
      <w:i w:val="0"/>
      <w:iCs w:val="0"/>
      <w:smallCaps w:val="0"/>
      <w:strike w:val="0"/>
      <w:spacing w:val="0"/>
      <w:sz w:val="27"/>
      <w:szCs w:val="27"/>
      <w:shd w:val="clear" w:color="auto" w:fill="FFFFFF"/>
      <w:lang w:eastAsia="en-US"/>
    </w:rPr>
  </w:style>
  <w:style w:type="character" w:customStyle="1" w:styleId="3ff2">
    <w:name w:val="Основной текст (3) + Курсив"/>
    <w:basedOn w:val="35"/>
    <w:rsid w:val="00811C95"/>
    <w:rPr>
      <w:rFonts w:ascii="Times New Roman" w:eastAsia="Times New Roman" w:hAnsi="Times New Roman" w:cs="Times New Roman"/>
      <w:b w:val="0"/>
      <w:bCs w:val="0"/>
      <w:i/>
      <w:iCs/>
      <w:smallCaps w:val="0"/>
      <w:strike w:val="0"/>
      <w:spacing w:val="0"/>
      <w:sz w:val="23"/>
      <w:szCs w:val="23"/>
      <w:shd w:val="clear" w:color="auto" w:fill="FFFFFF"/>
    </w:rPr>
  </w:style>
  <w:style w:type="character" w:customStyle="1" w:styleId="bbccolor">
    <w:name w:val="bbc_color"/>
    <w:basedOn w:val="a0"/>
    <w:rsid w:val="00811C95"/>
  </w:style>
  <w:style w:type="character" w:customStyle="1" w:styleId="selected1">
    <w:name w:val="selected1"/>
    <w:basedOn w:val="a0"/>
    <w:rsid w:val="00811C95"/>
    <w:rPr>
      <w:color w:val="05A505"/>
    </w:rPr>
  </w:style>
  <w:style w:type="character" w:customStyle="1" w:styleId="491">
    <w:name w:val="Основной текст + Полужирный49"/>
    <w:basedOn w:val="1c"/>
    <w:uiPriority w:val="99"/>
    <w:rsid w:val="00811C95"/>
    <w:rPr>
      <w:rFonts w:ascii="Arial Narrow" w:hAnsi="Arial Narrow" w:cs="Arial Narrow"/>
      <w:b/>
      <w:bCs/>
      <w:sz w:val="18"/>
      <w:szCs w:val="18"/>
      <w:shd w:val="clear" w:color="auto" w:fill="FFFFFF"/>
    </w:rPr>
  </w:style>
  <w:style w:type="character" w:customStyle="1" w:styleId="915">
    <w:name w:val="Основной текст + 915"/>
    <w:aliases w:val="5 pt66,Полужирный68,Интервал 0 pt46,Основной текст + 832"/>
    <w:basedOn w:val="1c"/>
    <w:uiPriority w:val="99"/>
    <w:rsid w:val="00811C95"/>
    <w:rPr>
      <w:rFonts w:ascii="Arial Narrow" w:hAnsi="Arial Narrow" w:cs="Arial Narrow"/>
      <w:b/>
      <w:bCs/>
      <w:spacing w:val="-10"/>
      <w:sz w:val="19"/>
      <w:szCs w:val="19"/>
      <w:shd w:val="clear" w:color="auto" w:fill="FFFFFF"/>
    </w:rPr>
  </w:style>
  <w:style w:type="character" w:customStyle="1" w:styleId="40pt1">
    <w:name w:val="Основной текст (4) + Полужирный;Не курсив;Интервал 0 pt"/>
    <w:basedOn w:val="46"/>
    <w:rsid w:val="00811C95"/>
    <w:rPr>
      <w:rFonts w:ascii="Arial Narrow" w:eastAsia="Arial Narrow" w:hAnsi="Arial Narrow" w:cs="Arial Narrow"/>
      <w:b/>
      <w:bCs/>
      <w:i/>
      <w:iCs/>
      <w:smallCaps w:val="0"/>
      <w:strike w:val="0"/>
      <w:spacing w:val="-10"/>
      <w:w w:val="60"/>
      <w:sz w:val="18"/>
      <w:szCs w:val="18"/>
      <w:shd w:val="clear" w:color="auto" w:fill="FFFFFF"/>
    </w:rPr>
  </w:style>
  <w:style w:type="character" w:customStyle="1" w:styleId="4f7">
    <w:name w:val="Основной текст (4) + Полужирный"/>
    <w:basedOn w:val="46"/>
    <w:rsid w:val="00811C95"/>
    <w:rPr>
      <w:rFonts w:ascii="Arial Narrow" w:eastAsia="Arial Narrow" w:hAnsi="Arial Narrow" w:cs="Arial Narrow"/>
      <w:b/>
      <w:bCs/>
      <w:i w:val="0"/>
      <w:iCs w:val="0"/>
      <w:smallCaps w:val="0"/>
      <w:strike w:val="0"/>
      <w:spacing w:val="0"/>
      <w:w w:val="60"/>
      <w:sz w:val="18"/>
      <w:szCs w:val="18"/>
      <w:shd w:val="clear" w:color="auto" w:fill="FFFFFF"/>
    </w:rPr>
  </w:style>
  <w:style w:type="character" w:customStyle="1" w:styleId="4-1pt1">
    <w:name w:val="Основной текст (4) + Полужирный;Интервал -1 pt"/>
    <w:basedOn w:val="46"/>
    <w:rsid w:val="00811C95"/>
    <w:rPr>
      <w:rFonts w:ascii="Arial Narrow" w:eastAsia="Arial Narrow" w:hAnsi="Arial Narrow" w:cs="Arial Narrow"/>
      <w:b/>
      <w:bCs/>
      <w:i w:val="0"/>
      <w:iCs w:val="0"/>
      <w:smallCaps w:val="0"/>
      <w:strike w:val="0"/>
      <w:spacing w:val="-20"/>
      <w:w w:val="60"/>
      <w:sz w:val="18"/>
      <w:szCs w:val="18"/>
      <w:shd w:val="clear" w:color="auto" w:fill="FFFFFF"/>
    </w:rPr>
  </w:style>
  <w:style w:type="character" w:customStyle="1" w:styleId="4Tahoma85pt">
    <w:name w:val="Основной текст (4) + Tahoma;8;5 pt"/>
    <w:basedOn w:val="46"/>
    <w:rsid w:val="00811C95"/>
    <w:rPr>
      <w:rFonts w:ascii="Tahoma" w:eastAsia="Tahoma" w:hAnsi="Tahoma" w:cs="Tahoma"/>
      <w:b w:val="0"/>
      <w:bCs w:val="0"/>
      <w:i w:val="0"/>
      <w:iCs w:val="0"/>
      <w:smallCaps w:val="0"/>
      <w:strike w:val="0"/>
      <w:spacing w:val="0"/>
      <w:w w:val="60"/>
      <w:sz w:val="17"/>
      <w:szCs w:val="17"/>
      <w:shd w:val="clear" w:color="auto" w:fill="FFFFFF"/>
    </w:rPr>
  </w:style>
  <w:style w:type="character" w:customStyle="1" w:styleId="75pt-1pt">
    <w:name w:val="Основной текст + 7;5 pt;Полужирный;Интервал -1 pt"/>
    <w:basedOn w:val="aff1"/>
    <w:rsid w:val="00811C95"/>
    <w:rPr>
      <w:rFonts w:ascii="Arial Narrow" w:eastAsia="Arial Narrow" w:hAnsi="Arial Narrow" w:cs="Arial Narrow"/>
      <w:b/>
      <w:bCs/>
      <w:i w:val="0"/>
      <w:iCs w:val="0"/>
      <w:smallCaps w:val="0"/>
      <w:strike w:val="0"/>
      <w:spacing w:val="-20"/>
      <w:sz w:val="15"/>
      <w:szCs w:val="15"/>
      <w:shd w:val="clear" w:color="auto" w:fill="FFFFFF"/>
    </w:rPr>
  </w:style>
  <w:style w:type="character" w:customStyle="1" w:styleId="10pt4">
    <w:name w:val="Основной текст + 10 pt;Полужирный"/>
    <w:basedOn w:val="aff1"/>
    <w:rsid w:val="00811C95"/>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115pt0pt">
    <w:name w:val="Основной текст + 11;5 pt;Полужирный;Интервал 0 pt"/>
    <w:basedOn w:val="aff1"/>
    <w:rsid w:val="00811C95"/>
    <w:rPr>
      <w:rFonts w:ascii="Arial Narrow" w:eastAsia="Arial Narrow" w:hAnsi="Arial Narrow" w:cs="Arial Narrow"/>
      <w:b/>
      <w:bCs/>
      <w:i w:val="0"/>
      <w:iCs w:val="0"/>
      <w:smallCaps w:val="0"/>
      <w:strike w:val="0"/>
      <w:spacing w:val="-10"/>
      <w:sz w:val="23"/>
      <w:szCs w:val="23"/>
      <w:shd w:val="clear" w:color="auto" w:fill="FFFFFF"/>
    </w:rPr>
  </w:style>
  <w:style w:type="character" w:customStyle="1" w:styleId="34pt0">
    <w:name w:val="Основной текст + 34 pt"/>
    <w:basedOn w:val="aff1"/>
    <w:rsid w:val="00811C95"/>
    <w:rPr>
      <w:rFonts w:ascii="Arial Narrow" w:eastAsia="Arial Narrow" w:hAnsi="Arial Narrow" w:cs="Arial Narrow"/>
      <w:b w:val="0"/>
      <w:bCs w:val="0"/>
      <w:i w:val="0"/>
      <w:iCs w:val="0"/>
      <w:smallCaps w:val="0"/>
      <w:strike w:val="0"/>
      <w:spacing w:val="0"/>
      <w:sz w:val="68"/>
      <w:szCs w:val="68"/>
      <w:shd w:val="clear" w:color="auto" w:fill="FFFFFF"/>
    </w:rPr>
  </w:style>
  <w:style w:type="character" w:customStyle="1" w:styleId="Tahoma65pt">
    <w:name w:val="Основной текст + Tahoma;6;5 pt;Полужирный"/>
    <w:basedOn w:val="aff1"/>
    <w:rsid w:val="00811C95"/>
    <w:rPr>
      <w:rFonts w:ascii="Tahoma" w:eastAsia="Tahoma" w:hAnsi="Tahoma" w:cs="Tahoma"/>
      <w:b/>
      <w:bCs/>
      <w:i w:val="0"/>
      <w:iCs w:val="0"/>
      <w:smallCaps w:val="0"/>
      <w:strike w:val="0"/>
      <w:spacing w:val="0"/>
      <w:sz w:val="13"/>
      <w:szCs w:val="13"/>
      <w:shd w:val="clear" w:color="auto" w:fill="FFFFFF"/>
    </w:rPr>
  </w:style>
  <w:style w:type="character" w:customStyle="1" w:styleId="12pt0">
    <w:name w:val="Основной текст + 12 pt;Полужирный"/>
    <w:basedOn w:val="aff1"/>
    <w:rsid w:val="00811C95"/>
    <w:rPr>
      <w:rFonts w:ascii="Arial Narrow" w:eastAsia="Arial Narrow" w:hAnsi="Arial Narrow" w:cs="Arial Narrow"/>
      <w:b/>
      <w:bCs/>
      <w:i w:val="0"/>
      <w:iCs w:val="0"/>
      <w:smallCaps w:val="0"/>
      <w:strike w:val="0"/>
      <w:spacing w:val="0"/>
      <w:w w:val="100"/>
      <w:sz w:val="24"/>
      <w:szCs w:val="24"/>
      <w:shd w:val="clear" w:color="auto" w:fill="FFFFFF"/>
    </w:rPr>
  </w:style>
  <w:style w:type="character" w:customStyle="1" w:styleId="15115pt0pt">
    <w:name w:val="Основной текст (15) + 11;5 pt;Интервал 0 pt"/>
    <w:basedOn w:val="153"/>
    <w:rsid w:val="00811C95"/>
    <w:rPr>
      <w:rFonts w:ascii="Arial Narrow" w:eastAsia="Arial Narrow" w:hAnsi="Arial Narrow" w:cs="Arial Narrow"/>
      <w:b w:val="0"/>
      <w:bCs w:val="0"/>
      <w:i w:val="0"/>
      <w:iCs w:val="0"/>
      <w:smallCaps w:val="0"/>
      <w:strike w:val="0"/>
      <w:spacing w:val="-10"/>
      <w:sz w:val="23"/>
      <w:szCs w:val="23"/>
      <w:shd w:val="clear" w:color="auto" w:fill="FFFFFF"/>
    </w:rPr>
  </w:style>
  <w:style w:type="character" w:customStyle="1" w:styleId="1575pt">
    <w:name w:val="Основной текст (15) + 7;5 pt"/>
    <w:basedOn w:val="153"/>
    <w:rsid w:val="00811C95"/>
    <w:rPr>
      <w:rFonts w:ascii="Arial Narrow" w:eastAsia="Arial Narrow" w:hAnsi="Arial Narrow" w:cs="Arial Narrow"/>
      <w:b w:val="0"/>
      <w:bCs w:val="0"/>
      <w:i w:val="0"/>
      <w:iCs w:val="0"/>
      <w:smallCaps w:val="0"/>
      <w:strike w:val="0"/>
      <w:spacing w:val="0"/>
      <w:sz w:val="15"/>
      <w:szCs w:val="15"/>
      <w:shd w:val="clear" w:color="auto" w:fill="FFFFFF"/>
    </w:rPr>
  </w:style>
  <w:style w:type="character" w:customStyle="1" w:styleId="159pt">
    <w:name w:val="Основной текст (15) + 9 pt;Не полужирный"/>
    <w:basedOn w:val="153"/>
    <w:rsid w:val="00811C95"/>
    <w:rPr>
      <w:rFonts w:ascii="Arial Narrow" w:eastAsia="Arial Narrow" w:hAnsi="Arial Narrow" w:cs="Arial Narrow"/>
      <w:b/>
      <w:bCs/>
      <w:i w:val="0"/>
      <w:iCs w:val="0"/>
      <w:smallCaps w:val="0"/>
      <w:strike/>
      <w:spacing w:val="0"/>
      <w:sz w:val="18"/>
      <w:szCs w:val="18"/>
      <w:shd w:val="clear" w:color="auto" w:fill="FFFFFF"/>
    </w:rPr>
  </w:style>
  <w:style w:type="character" w:customStyle="1" w:styleId="-1pt2">
    <w:name w:val="Основной текст + Полужирный;Интервал -1 pt"/>
    <w:basedOn w:val="aff1"/>
    <w:rsid w:val="00811C95"/>
    <w:rPr>
      <w:rFonts w:ascii="Arial" w:eastAsia="Arial" w:hAnsi="Arial" w:cs="Arial"/>
      <w:b/>
      <w:bCs/>
      <w:i w:val="0"/>
      <w:iCs w:val="0"/>
      <w:smallCaps w:val="0"/>
      <w:strike w:val="0"/>
      <w:spacing w:val="-20"/>
      <w:sz w:val="18"/>
      <w:szCs w:val="18"/>
      <w:shd w:val="clear" w:color="auto" w:fill="FFFFFF"/>
    </w:rPr>
  </w:style>
  <w:style w:type="character" w:customStyle="1" w:styleId="LucidaSansUnicode95pt">
    <w:name w:val="Основной текст + Lucida Sans Unicode;9;5 pt;Полужирный"/>
    <w:basedOn w:val="aff1"/>
    <w:rsid w:val="00811C95"/>
    <w:rPr>
      <w:rFonts w:ascii="Lucida Sans Unicode" w:eastAsia="Lucida Sans Unicode" w:hAnsi="Lucida Sans Unicode" w:cs="Lucida Sans Unicode"/>
      <w:b/>
      <w:bCs/>
      <w:i w:val="0"/>
      <w:iCs w:val="0"/>
      <w:smallCaps w:val="0"/>
      <w:strike w:val="0"/>
      <w:spacing w:val="0"/>
      <w:sz w:val="19"/>
      <w:szCs w:val="19"/>
      <w:shd w:val="clear" w:color="auto" w:fill="FFFFFF"/>
    </w:rPr>
  </w:style>
  <w:style w:type="character" w:customStyle="1" w:styleId="914">
    <w:name w:val="Основной текст + 91"/>
    <w:aliases w:val="5 pt3,Полужирный8,Интервал 0 pt6,Основной текст + 10 pt3,Интервал -1 pt15,Основной текст (5) + Не курсив1,Основной текст + 20,Основной текст (2) + 71"/>
    <w:basedOn w:val="1c"/>
    <w:uiPriority w:val="99"/>
    <w:rsid w:val="00811C95"/>
    <w:rPr>
      <w:rFonts w:ascii="Arial Narrow" w:hAnsi="Arial Narrow" w:cs="Arial Narrow"/>
      <w:b/>
      <w:bCs/>
      <w:spacing w:val="-10"/>
      <w:sz w:val="19"/>
      <w:szCs w:val="19"/>
      <w:shd w:val="clear" w:color="auto" w:fill="FFFFFF"/>
    </w:rPr>
  </w:style>
  <w:style w:type="character" w:customStyle="1" w:styleId="88pt4">
    <w:name w:val="Основной текст (8) + 8 pt4"/>
    <w:aliases w:val="Полужирный4,Основной текст + 10 pt2"/>
    <w:basedOn w:val="a0"/>
    <w:uiPriority w:val="99"/>
    <w:rsid w:val="00811C95"/>
    <w:rPr>
      <w:rFonts w:ascii="Arial Narrow" w:eastAsia="Times New Roman" w:hAnsi="Arial Narrow" w:cs="Arial Narrow"/>
      <w:b/>
      <w:bCs/>
      <w:i w:val="0"/>
      <w:iCs w:val="0"/>
      <w:smallCaps w:val="0"/>
      <w:strike w:val="0"/>
      <w:spacing w:val="0"/>
      <w:sz w:val="16"/>
      <w:szCs w:val="16"/>
    </w:rPr>
  </w:style>
  <w:style w:type="character" w:customStyle="1" w:styleId="372">
    <w:name w:val="Основной текст + Полужирный37"/>
    <w:basedOn w:val="1c"/>
    <w:uiPriority w:val="99"/>
    <w:rsid w:val="00811C95"/>
    <w:rPr>
      <w:rFonts w:ascii="Arial Narrow" w:hAnsi="Arial Narrow" w:cs="Arial Narrow"/>
      <w:b/>
      <w:bCs/>
      <w:spacing w:val="0"/>
      <w:sz w:val="18"/>
      <w:szCs w:val="18"/>
      <w:shd w:val="clear" w:color="auto" w:fill="FFFFFF"/>
    </w:rPr>
  </w:style>
  <w:style w:type="character" w:customStyle="1" w:styleId="245">
    <w:name w:val="Основной текст + 24"/>
    <w:aliases w:val="5 pt55,Полужирный53,Основной текст + 916"/>
    <w:basedOn w:val="1c"/>
    <w:uiPriority w:val="99"/>
    <w:rsid w:val="00811C95"/>
    <w:rPr>
      <w:rFonts w:ascii="Arial Narrow" w:hAnsi="Arial Narrow" w:cs="Arial Narrow"/>
      <w:b/>
      <w:bCs/>
      <w:noProof/>
      <w:spacing w:val="0"/>
      <w:sz w:val="49"/>
      <w:szCs w:val="49"/>
      <w:shd w:val="clear" w:color="auto" w:fill="FFFFFF"/>
    </w:rPr>
  </w:style>
  <w:style w:type="character" w:customStyle="1" w:styleId="362">
    <w:name w:val="Основной текст + Полужирный36"/>
    <w:basedOn w:val="1c"/>
    <w:uiPriority w:val="99"/>
    <w:rsid w:val="00811C95"/>
    <w:rPr>
      <w:rFonts w:ascii="Arial Narrow" w:hAnsi="Arial Narrow" w:cs="Arial Narrow"/>
      <w:b/>
      <w:bCs/>
      <w:spacing w:val="0"/>
      <w:sz w:val="18"/>
      <w:szCs w:val="18"/>
      <w:shd w:val="clear" w:color="auto" w:fill="FFFFFF"/>
    </w:rPr>
  </w:style>
  <w:style w:type="character" w:customStyle="1" w:styleId="1pt9">
    <w:name w:val="Основной текст + Интервал 1 pt9"/>
    <w:basedOn w:val="1c"/>
    <w:uiPriority w:val="99"/>
    <w:rsid w:val="00811C95"/>
    <w:rPr>
      <w:rFonts w:ascii="Arial" w:hAnsi="Arial" w:cs="Arial"/>
      <w:spacing w:val="20"/>
      <w:sz w:val="18"/>
      <w:szCs w:val="18"/>
      <w:shd w:val="clear" w:color="auto" w:fill="FFFFFF"/>
    </w:rPr>
  </w:style>
  <w:style w:type="character" w:customStyle="1" w:styleId="353">
    <w:name w:val="Основной текст + Полужирный35"/>
    <w:basedOn w:val="1c"/>
    <w:uiPriority w:val="99"/>
    <w:rsid w:val="00811C95"/>
    <w:rPr>
      <w:rFonts w:ascii="Arial Narrow" w:hAnsi="Arial Narrow" w:cs="Arial Narrow"/>
      <w:b/>
      <w:bCs/>
      <w:spacing w:val="0"/>
      <w:sz w:val="18"/>
      <w:szCs w:val="18"/>
      <w:shd w:val="clear" w:color="auto" w:fill="FFFFFF"/>
    </w:rPr>
  </w:style>
  <w:style w:type="character" w:customStyle="1" w:styleId="343">
    <w:name w:val="Основной текст + Полужирный34"/>
    <w:basedOn w:val="1c"/>
    <w:uiPriority w:val="99"/>
    <w:rsid w:val="00811C95"/>
    <w:rPr>
      <w:rFonts w:ascii="Arial Narrow" w:hAnsi="Arial Narrow" w:cs="Arial Narrow"/>
      <w:b/>
      <w:bCs/>
      <w:spacing w:val="0"/>
      <w:sz w:val="18"/>
      <w:szCs w:val="18"/>
      <w:shd w:val="clear" w:color="auto" w:fill="FFFFFF"/>
    </w:rPr>
  </w:style>
  <w:style w:type="character" w:customStyle="1" w:styleId="333">
    <w:name w:val="Основной текст + Полужирный33"/>
    <w:basedOn w:val="1c"/>
    <w:uiPriority w:val="99"/>
    <w:rsid w:val="00811C95"/>
    <w:rPr>
      <w:rFonts w:ascii="Arial Narrow" w:hAnsi="Arial Narrow" w:cs="Arial Narrow"/>
      <w:b/>
      <w:bCs/>
      <w:spacing w:val="0"/>
      <w:sz w:val="18"/>
      <w:szCs w:val="18"/>
      <w:shd w:val="clear" w:color="auto" w:fill="FFFFFF"/>
    </w:rPr>
  </w:style>
  <w:style w:type="character" w:customStyle="1" w:styleId="382">
    <w:name w:val="Основной текст + Полужирный38"/>
    <w:basedOn w:val="1c"/>
    <w:uiPriority w:val="99"/>
    <w:rsid w:val="00811C95"/>
    <w:rPr>
      <w:rFonts w:ascii="Arial Narrow" w:hAnsi="Arial Narrow" w:cs="Arial Narrow"/>
      <w:b/>
      <w:bCs/>
      <w:spacing w:val="0"/>
      <w:sz w:val="18"/>
      <w:szCs w:val="18"/>
      <w:shd w:val="clear" w:color="auto" w:fill="FFFFFF"/>
    </w:rPr>
  </w:style>
  <w:style w:type="character" w:customStyle="1" w:styleId="327">
    <w:name w:val="Основной текст + Полужирный32"/>
    <w:basedOn w:val="1c"/>
    <w:uiPriority w:val="99"/>
    <w:rsid w:val="00811C95"/>
    <w:rPr>
      <w:rFonts w:ascii="Arial Narrow" w:hAnsi="Arial Narrow" w:cs="Arial Narrow"/>
      <w:b/>
      <w:bCs/>
      <w:spacing w:val="0"/>
      <w:sz w:val="18"/>
      <w:szCs w:val="18"/>
      <w:shd w:val="clear" w:color="auto" w:fill="FFFFFF"/>
    </w:rPr>
  </w:style>
  <w:style w:type="character" w:customStyle="1" w:styleId="308">
    <w:name w:val="Основной текст + Полужирный30"/>
    <w:basedOn w:val="1c"/>
    <w:uiPriority w:val="99"/>
    <w:rsid w:val="00811C95"/>
    <w:rPr>
      <w:rFonts w:ascii="Arial Narrow" w:hAnsi="Arial Narrow" w:cs="Arial Narrow"/>
      <w:b/>
      <w:bCs/>
      <w:spacing w:val="0"/>
      <w:sz w:val="18"/>
      <w:szCs w:val="18"/>
      <w:shd w:val="clear" w:color="auto" w:fill="FFFFFF"/>
    </w:rPr>
  </w:style>
  <w:style w:type="character" w:customStyle="1" w:styleId="940">
    <w:name w:val="Основной текст + 94"/>
    <w:aliases w:val="5 pt28,Полужирный23,Интервал 0 pt16,5 pt14,Основной текст (5) + 91,Интервал -1 pt29,Интервал -1 pt8,Основной текст (5) + Не курсив3"/>
    <w:basedOn w:val="1c"/>
    <w:uiPriority w:val="99"/>
    <w:rsid w:val="00811C95"/>
    <w:rPr>
      <w:rFonts w:ascii="Arial Narrow" w:hAnsi="Arial Narrow" w:cs="Arial Narrow"/>
      <w:b/>
      <w:bCs/>
      <w:spacing w:val="-10"/>
      <w:sz w:val="19"/>
      <w:szCs w:val="19"/>
      <w:shd w:val="clear" w:color="auto" w:fill="FFFFFF"/>
    </w:rPr>
  </w:style>
  <w:style w:type="character" w:customStyle="1" w:styleId="50pt0">
    <w:name w:val="Основной текст (5) + Интервал 0 pt"/>
    <w:basedOn w:val="a0"/>
    <w:uiPriority w:val="99"/>
    <w:rsid w:val="00811C95"/>
    <w:rPr>
      <w:rFonts w:ascii="Arial" w:eastAsia="Times New Roman" w:hAnsi="Arial" w:cs="Arial"/>
      <w:b/>
      <w:bCs/>
      <w:i w:val="0"/>
      <w:iCs w:val="0"/>
      <w:smallCaps w:val="0"/>
      <w:strike w:val="0"/>
      <w:spacing w:val="-10"/>
      <w:sz w:val="18"/>
      <w:szCs w:val="18"/>
    </w:rPr>
  </w:style>
  <w:style w:type="character" w:customStyle="1" w:styleId="FranklinGothicBook">
    <w:name w:val="Основной текст + Franklin Gothic Book"/>
    <w:aliases w:val="8 pt6,Полужирный44,Основной текст + MS Reference Sans Serif5,Интервал -1 pt28"/>
    <w:basedOn w:val="1c"/>
    <w:uiPriority w:val="99"/>
    <w:rsid w:val="00811C95"/>
    <w:rPr>
      <w:rFonts w:ascii="Franklin Gothic Book" w:hAnsi="Franklin Gothic Book" w:cs="Franklin Gothic Book"/>
      <w:b/>
      <w:bCs/>
      <w:spacing w:val="0"/>
      <w:sz w:val="16"/>
      <w:szCs w:val="16"/>
      <w:shd w:val="clear" w:color="auto" w:fill="FFFFFF"/>
    </w:rPr>
  </w:style>
  <w:style w:type="character" w:customStyle="1" w:styleId="295">
    <w:name w:val="Основной текст + Полужирный29"/>
    <w:basedOn w:val="1c"/>
    <w:uiPriority w:val="99"/>
    <w:rsid w:val="00811C95"/>
    <w:rPr>
      <w:rFonts w:ascii="Arial Narrow" w:hAnsi="Arial Narrow" w:cs="Arial Narrow"/>
      <w:b/>
      <w:bCs/>
      <w:spacing w:val="0"/>
      <w:sz w:val="18"/>
      <w:szCs w:val="18"/>
      <w:shd w:val="clear" w:color="auto" w:fill="FFFFFF"/>
    </w:rPr>
  </w:style>
  <w:style w:type="character" w:customStyle="1" w:styleId="27a">
    <w:name w:val="Основной текст + Полужирный27"/>
    <w:basedOn w:val="1c"/>
    <w:uiPriority w:val="99"/>
    <w:rsid w:val="00811C95"/>
    <w:rPr>
      <w:rFonts w:ascii="Arial Narrow" w:hAnsi="Arial Narrow" w:cs="Arial Narrow"/>
      <w:b/>
      <w:bCs/>
      <w:spacing w:val="0"/>
      <w:sz w:val="18"/>
      <w:szCs w:val="18"/>
      <w:shd w:val="clear" w:color="auto" w:fill="FFFFFF"/>
    </w:rPr>
  </w:style>
  <w:style w:type="character" w:customStyle="1" w:styleId="266">
    <w:name w:val="Основной текст + Полужирный26"/>
    <w:aliases w:val="Курсив14"/>
    <w:basedOn w:val="1c"/>
    <w:uiPriority w:val="99"/>
    <w:rsid w:val="00811C95"/>
    <w:rPr>
      <w:rFonts w:ascii="Arial Narrow" w:hAnsi="Arial Narrow" w:cs="Arial Narrow"/>
      <w:b/>
      <w:bCs/>
      <w:i/>
      <w:iCs/>
      <w:spacing w:val="0"/>
      <w:sz w:val="18"/>
      <w:szCs w:val="18"/>
      <w:shd w:val="clear" w:color="auto" w:fill="FFFFFF"/>
    </w:rPr>
  </w:style>
  <w:style w:type="character" w:customStyle="1" w:styleId="5Arial">
    <w:name w:val="Основной текст (5) + Arial;Не полужирный;Не курсив"/>
    <w:basedOn w:val="5a"/>
    <w:rsid w:val="00811C95"/>
    <w:rPr>
      <w:rFonts w:ascii="Arial" w:eastAsia="Arial" w:hAnsi="Arial" w:cs="Arial"/>
      <w:b/>
      <w:bCs/>
      <w:i/>
      <w:iCs/>
      <w:sz w:val="15"/>
      <w:szCs w:val="15"/>
      <w:shd w:val="clear" w:color="auto" w:fill="FFFFFF"/>
    </w:rPr>
  </w:style>
  <w:style w:type="character" w:customStyle="1" w:styleId="LucidaSansUnicode8pt0pt">
    <w:name w:val="Основной текст + Lucida Sans Unicode;8 pt;Полужирный;Интервал 0 pt"/>
    <w:basedOn w:val="aff1"/>
    <w:rsid w:val="00811C95"/>
    <w:rPr>
      <w:rFonts w:ascii="Lucida Sans Unicode" w:eastAsia="Lucida Sans Unicode" w:hAnsi="Lucida Sans Unicode" w:cs="Lucida Sans Unicode"/>
      <w:b/>
      <w:bCs/>
      <w:i w:val="0"/>
      <w:iCs w:val="0"/>
      <w:smallCaps w:val="0"/>
      <w:strike w:val="0"/>
      <w:spacing w:val="-10"/>
      <w:sz w:val="16"/>
      <w:szCs w:val="16"/>
      <w:shd w:val="clear" w:color="auto" w:fill="FFFFFF"/>
    </w:rPr>
  </w:style>
  <w:style w:type="character" w:customStyle="1" w:styleId="6f0">
    <w:name w:val="Основной текст (6) + Не полужирный"/>
    <w:aliases w:val="Не курсив20"/>
    <w:basedOn w:val="67"/>
    <w:uiPriority w:val="99"/>
    <w:rsid w:val="00811C95"/>
    <w:rPr>
      <w:rFonts w:ascii="Arial Narrow" w:eastAsia="Times New Roman" w:hAnsi="Arial Narrow" w:cs="Arial Narrow"/>
      <w:sz w:val="18"/>
      <w:szCs w:val="18"/>
      <w:shd w:val="clear" w:color="auto" w:fill="FFFFFF"/>
    </w:rPr>
  </w:style>
  <w:style w:type="character" w:customStyle="1" w:styleId="8Arial85pt">
    <w:name w:val="Основной текст (8) + Arial;8;5 pt;Полужирный;Не курсив"/>
    <w:basedOn w:val="81"/>
    <w:rsid w:val="00811C95"/>
    <w:rPr>
      <w:rFonts w:ascii="Arial" w:eastAsia="Arial" w:hAnsi="Arial" w:cs="Arial"/>
      <w:b/>
      <w:bCs/>
      <w:i/>
      <w:iCs/>
      <w:sz w:val="17"/>
      <w:szCs w:val="17"/>
      <w:shd w:val="clear" w:color="auto" w:fill="FFFFFF"/>
    </w:rPr>
  </w:style>
  <w:style w:type="character" w:customStyle="1" w:styleId="3BookAntiqua8pt0pt">
    <w:name w:val="Основной текст (3) + Book Antiqua;8 pt;Полужирный;Не курсив;Интервал 0 pt"/>
    <w:basedOn w:val="35"/>
    <w:rsid w:val="00811C95"/>
    <w:rPr>
      <w:rFonts w:ascii="Book Antiqua" w:eastAsia="Book Antiqua" w:hAnsi="Book Antiqua" w:cs="Book Antiqua"/>
      <w:b/>
      <w:bCs/>
      <w:i/>
      <w:iCs/>
      <w:smallCaps w:val="0"/>
      <w:strike w:val="0"/>
      <w:spacing w:val="0"/>
      <w:sz w:val="16"/>
      <w:szCs w:val="16"/>
      <w:shd w:val="clear" w:color="auto" w:fill="FFFFFF"/>
    </w:rPr>
  </w:style>
  <w:style w:type="character" w:customStyle="1" w:styleId="30pt0">
    <w:name w:val="Основной текст (3) + Не курсив;Интервал 0 pt"/>
    <w:basedOn w:val="35"/>
    <w:rsid w:val="00811C95"/>
    <w:rPr>
      <w:rFonts w:ascii="Century Gothic" w:eastAsia="Century Gothic" w:hAnsi="Century Gothic" w:cs="Century Gothic"/>
      <w:b w:val="0"/>
      <w:bCs w:val="0"/>
      <w:i/>
      <w:iCs/>
      <w:smallCaps w:val="0"/>
      <w:strike w:val="0"/>
      <w:spacing w:val="0"/>
      <w:sz w:val="17"/>
      <w:szCs w:val="17"/>
      <w:shd w:val="clear" w:color="auto" w:fill="FFFFFF"/>
    </w:rPr>
  </w:style>
  <w:style w:type="character" w:customStyle="1" w:styleId="1ff3">
    <w:name w:val="Строгий1"/>
    <w:rsid w:val="00811C95"/>
    <w:rPr>
      <w:b/>
    </w:rPr>
  </w:style>
  <w:style w:type="character" w:customStyle="1" w:styleId="1ff4">
    <w:name w:val="Выделение1"/>
    <w:rsid w:val="00811C95"/>
    <w:rPr>
      <w:i/>
    </w:rPr>
  </w:style>
  <w:style w:type="paragraph" w:styleId="affffff7">
    <w:name w:val="No Spacing"/>
    <w:basedOn w:val="a"/>
    <w:uiPriority w:val="1"/>
    <w:qFormat/>
    <w:rsid w:val="00811C9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nav-link">
    <w:name w:val="nav-link"/>
    <w:basedOn w:val="a0"/>
    <w:rsid w:val="00811C95"/>
  </w:style>
  <w:style w:type="character" w:customStyle="1" w:styleId="right-column-postslistitemtitle">
    <w:name w:val="right-column-posts_list_item__title"/>
    <w:basedOn w:val="a0"/>
    <w:rsid w:val="00811C95"/>
  </w:style>
  <w:style w:type="character" w:customStyle="1" w:styleId="right-column-postslistitemdate">
    <w:name w:val="right-column-posts_list_item__date"/>
    <w:basedOn w:val="a0"/>
    <w:rsid w:val="00811C95"/>
  </w:style>
  <w:style w:type="character" w:customStyle="1" w:styleId="right-column-comments-itempostmessage">
    <w:name w:val="right-column-comments-item__post__message"/>
    <w:basedOn w:val="a0"/>
    <w:rsid w:val="00811C95"/>
  </w:style>
  <w:style w:type="character" w:customStyle="1" w:styleId="right-column-comments-itemposttitle">
    <w:name w:val="right-column-comments-item__post__title"/>
    <w:basedOn w:val="a0"/>
    <w:rsid w:val="00811C95"/>
  </w:style>
  <w:style w:type="character" w:customStyle="1" w:styleId="neutra">
    <w:name w:val="neutra"/>
    <w:basedOn w:val="a0"/>
    <w:rsid w:val="00811C95"/>
  </w:style>
  <w:style w:type="character" w:customStyle="1" w:styleId="useroffline">
    <w:name w:val="user_offline"/>
    <w:basedOn w:val="a0"/>
    <w:rsid w:val="00811C95"/>
  </w:style>
  <w:style w:type="character" w:customStyle="1" w:styleId="680">
    <w:name w:val="Основной текст68"/>
    <w:basedOn w:val="aff1"/>
    <w:rsid w:val="00D549F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31">
    <w:name w:val="Основной текст63"/>
    <w:basedOn w:val="aff1"/>
    <w:rsid w:val="004D3DA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1">
    <w:name w:val="Основной текст64"/>
    <w:basedOn w:val="aff1"/>
    <w:rsid w:val="00986ACA"/>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28">
    <w:name w:val="Основной текст32"/>
    <w:basedOn w:val="aff1"/>
    <w:rsid w:val="00A22EF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34">
    <w:name w:val="Основной текст33"/>
    <w:basedOn w:val="aff1"/>
    <w:rsid w:val="00A22EF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09">
    <w:name w:val="Подпись к картинке (30)_"/>
    <w:basedOn w:val="a0"/>
    <w:link w:val="30a"/>
    <w:rsid w:val="000227A2"/>
    <w:rPr>
      <w:rFonts w:ascii="Arial" w:eastAsia="Arial" w:hAnsi="Arial" w:cs="Arial"/>
      <w:sz w:val="16"/>
      <w:szCs w:val="16"/>
      <w:shd w:val="clear" w:color="auto" w:fill="FFFFFF"/>
    </w:rPr>
  </w:style>
  <w:style w:type="paragraph" w:customStyle="1" w:styleId="30a">
    <w:name w:val="Подпись к картинке (30)"/>
    <w:basedOn w:val="a"/>
    <w:link w:val="309"/>
    <w:rsid w:val="000227A2"/>
    <w:pPr>
      <w:shd w:val="clear" w:color="auto" w:fill="FFFFFF"/>
      <w:spacing w:after="0" w:line="0" w:lineRule="atLeast"/>
    </w:pPr>
    <w:rPr>
      <w:rFonts w:ascii="Arial" w:eastAsia="Arial" w:hAnsi="Arial" w:cs="Arial"/>
      <w:sz w:val="16"/>
      <w:szCs w:val="16"/>
      <w:lang w:eastAsia="ru-RU"/>
    </w:rPr>
  </w:style>
  <w:style w:type="character" w:customStyle="1" w:styleId="690">
    <w:name w:val="Основной текст69"/>
    <w:basedOn w:val="aff1"/>
    <w:rsid w:val="00D1380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60">
    <w:name w:val="Основной текст66"/>
    <w:basedOn w:val="aff1"/>
    <w:rsid w:val="00D13803"/>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70">
    <w:name w:val="Основной текст67"/>
    <w:basedOn w:val="aff1"/>
    <w:rsid w:val="00A01DE5"/>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2">
    <w:name w:val="Основной текст71"/>
    <w:basedOn w:val="aff1"/>
    <w:rsid w:val="00A01DE5"/>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41">
    <w:name w:val="Основной текст84"/>
    <w:basedOn w:val="aff1"/>
    <w:rsid w:val="007249B9"/>
    <w:rPr>
      <w:rFonts w:ascii="Segoe UI" w:eastAsia="Segoe UI" w:hAnsi="Segoe UI" w:cs="Segoe UI"/>
      <w:b w:val="0"/>
      <w:bCs w:val="0"/>
      <w:i w:val="0"/>
      <w:iCs w:val="0"/>
      <w:smallCaps w:val="0"/>
      <w:strike w:val="0"/>
      <w:spacing w:val="0"/>
      <w:sz w:val="14"/>
      <w:szCs w:val="14"/>
      <w:shd w:val="clear" w:color="auto" w:fill="FFFFFF"/>
    </w:rPr>
  </w:style>
  <w:style w:type="character" w:customStyle="1" w:styleId="600">
    <w:name w:val="Основной текст60"/>
    <w:basedOn w:val="aff1"/>
    <w:rsid w:val="008B5CA2"/>
    <w:rPr>
      <w:rFonts w:ascii="Arial" w:eastAsia="Arial" w:hAnsi="Arial" w:cs="Arial"/>
      <w:b w:val="0"/>
      <w:bCs w:val="0"/>
      <w:i w:val="0"/>
      <w:iCs w:val="0"/>
      <w:smallCaps w:val="0"/>
      <w:strike w:val="0"/>
      <w:spacing w:val="0"/>
      <w:sz w:val="14"/>
      <w:szCs w:val="14"/>
      <w:shd w:val="clear" w:color="auto" w:fill="FFFFFF"/>
    </w:rPr>
  </w:style>
  <w:style w:type="paragraph" w:customStyle="1" w:styleId="1131">
    <w:name w:val="Основной текст113"/>
    <w:basedOn w:val="a"/>
    <w:rsid w:val="008B5CA2"/>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128pt100">
    <w:name w:val="Основной текст (12) + 8 pt;Не курсив;Масштаб 100%"/>
    <w:basedOn w:val="a0"/>
    <w:rsid w:val="00315AAD"/>
    <w:rPr>
      <w:rFonts w:ascii="Segoe UI" w:eastAsia="Segoe UI" w:hAnsi="Segoe UI" w:cs="Segoe UI"/>
      <w:b w:val="0"/>
      <w:bCs w:val="0"/>
      <w:i/>
      <w:iCs/>
      <w:smallCaps w:val="0"/>
      <w:strike w:val="0"/>
      <w:spacing w:val="0"/>
      <w:w w:val="100"/>
      <w:sz w:val="16"/>
      <w:szCs w:val="16"/>
    </w:rPr>
  </w:style>
  <w:style w:type="paragraph" w:customStyle="1" w:styleId="1151">
    <w:name w:val="Основной текст115"/>
    <w:basedOn w:val="a"/>
    <w:rsid w:val="00B05D39"/>
    <w:pPr>
      <w:shd w:val="clear" w:color="auto" w:fill="FFFFFF"/>
      <w:spacing w:before="120" w:after="0" w:line="139" w:lineRule="exact"/>
      <w:jc w:val="both"/>
    </w:pPr>
    <w:rPr>
      <w:rFonts w:ascii="Trebuchet MS" w:eastAsia="Trebuchet MS" w:hAnsi="Trebuchet MS" w:cs="Trebuchet MS"/>
      <w:color w:val="000000"/>
      <w:sz w:val="13"/>
      <w:szCs w:val="13"/>
      <w:lang w:val="ru" w:eastAsia="ru-RU"/>
    </w:rPr>
  </w:style>
  <w:style w:type="character" w:customStyle="1" w:styleId="612">
    <w:name w:val="Основной текст61"/>
    <w:basedOn w:val="aff1"/>
    <w:rsid w:val="00B05D39"/>
    <w:rPr>
      <w:rFonts w:ascii="Arial" w:eastAsia="Arial" w:hAnsi="Arial" w:cs="Arial"/>
      <w:b w:val="0"/>
      <w:bCs w:val="0"/>
      <w:i w:val="0"/>
      <w:iCs w:val="0"/>
      <w:smallCaps w:val="0"/>
      <w:strike w:val="0"/>
      <w:spacing w:val="0"/>
      <w:sz w:val="14"/>
      <w:szCs w:val="14"/>
      <w:shd w:val="clear" w:color="auto" w:fill="FFFFFF"/>
    </w:rPr>
  </w:style>
  <w:style w:type="character" w:customStyle="1" w:styleId="120pt">
    <w:name w:val="Основной текст (12) + Не курсив;Интервал 0 pt"/>
    <w:basedOn w:val="122"/>
    <w:rsid w:val="002867AB"/>
    <w:rPr>
      <w:rFonts w:ascii="Microsoft Sans Serif" w:eastAsia="Microsoft Sans Serif" w:hAnsi="Microsoft Sans Serif" w:cs="Microsoft Sans Serif"/>
      <w:b w:val="0"/>
      <w:bCs w:val="0"/>
      <w:i/>
      <w:iCs/>
      <w:smallCaps w:val="0"/>
      <w:strike w:val="0"/>
      <w:spacing w:val="0"/>
      <w:w w:val="80"/>
      <w:sz w:val="15"/>
      <w:szCs w:val="15"/>
      <w:shd w:val="clear" w:color="auto" w:fill="FFFFFF"/>
      <w:lang w:eastAsia="en-US"/>
    </w:rPr>
  </w:style>
  <w:style w:type="character" w:customStyle="1" w:styleId="723">
    <w:name w:val="Основной текст72"/>
    <w:basedOn w:val="aff1"/>
    <w:rsid w:val="007874A2"/>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2">
    <w:name w:val="Основной текст116"/>
    <w:basedOn w:val="a"/>
    <w:rsid w:val="00411A0B"/>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900">
    <w:name w:val="Основной текст90"/>
    <w:basedOn w:val="aff1"/>
    <w:rsid w:val="00411A0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44">
    <w:name w:val="Основной текст34"/>
    <w:basedOn w:val="aff1"/>
    <w:rsid w:val="00741660"/>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ffffff8">
    <w:name w:val="Другое_"/>
    <w:basedOn w:val="a0"/>
    <w:link w:val="affffff9"/>
    <w:rsid w:val="00C76DF2"/>
    <w:rPr>
      <w:rFonts w:ascii="Arial" w:eastAsia="Arial" w:hAnsi="Arial" w:cs="Arial"/>
      <w:sz w:val="17"/>
      <w:szCs w:val="17"/>
    </w:rPr>
  </w:style>
  <w:style w:type="paragraph" w:customStyle="1" w:styleId="affffff9">
    <w:name w:val="Другое"/>
    <w:basedOn w:val="a"/>
    <w:link w:val="affffff8"/>
    <w:rsid w:val="00C76DF2"/>
    <w:pPr>
      <w:widowControl w:val="0"/>
      <w:spacing w:after="0" w:line="240" w:lineRule="auto"/>
      <w:ind w:firstLine="180"/>
    </w:pPr>
    <w:rPr>
      <w:rFonts w:ascii="Arial" w:eastAsia="Arial" w:hAnsi="Arial" w:cs="Arial"/>
      <w:sz w:val="17"/>
      <w:szCs w:val="17"/>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1954006">
      <w:bodyDiv w:val="1"/>
      <w:marLeft w:val="0"/>
      <w:marRight w:val="0"/>
      <w:marTop w:val="0"/>
      <w:marBottom w:val="0"/>
      <w:divBdr>
        <w:top w:val="none" w:sz="0" w:space="0" w:color="auto"/>
        <w:left w:val="none" w:sz="0" w:space="0" w:color="auto"/>
        <w:bottom w:val="none" w:sz="0" w:space="0" w:color="auto"/>
        <w:right w:val="none" w:sz="0" w:space="0" w:color="auto"/>
      </w:divBdr>
    </w:div>
    <w:div w:id="720716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voenoboz.ru/index.php?option=com_content...emid=2&amp;limitstart=19" TargetMode="External"/><Relationship Id="rId21" Type="http://schemas.openxmlformats.org/officeDocument/2006/relationships/hyperlink" Target="http://www.airwar.ru/enc/fighter/fbrand.html" TargetMode="External"/><Relationship Id="rId42" Type="http://schemas.openxmlformats.org/officeDocument/2006/relationships/hyperlink" Target="http://www.airpages.ru/ru/la5fn.shtml" TargetMode="External"/><Relationship Id="rId63" Type="http://schemas.openxmlformats.org/officeDocument/2006/relationships/hyperlink" Target="https://warspot.ru/5000-t-34-85-zvuki-snaruzhi-i-iznutri" TargetMode="External"/><Relationship Id="rId84" Type="http://schemas.openxmlformats.org/officeDocument/2006/relationships/hyperlink" Target="http://www.airwar.ru/enc/fww2/f4u.html" TargetMode="External"/><Relationship Id="rId138" Type="http://schemas.openxmlformats.org/officeDocument/2006/relationships/hyperlink" Target="http://www.airwar.ru/enc/cww2/er2on.html" TargetMode="External"/><Relationship Id="rId159" Type="http://schemas.openxmlformats.org/officeDocument/2006/relationships/hyperlink" Target="https://warspot.ru/10487-is-kotoryy-poluchilsya" TargetMode="External"/><Relationship Id="rId170" Type="http://schemas.openxmlformats.org/officeDocument/2006/relationships/hyperlink" Target="http://arsenal-info.ru/b/book/842018072/7" TargetMode="External"/><Relationship Id="rId191" Type="http://schemas.openxmlformats.org/officeDocument/2006/relationships/hyperlink" Target="https://warspot.ru/11413-dolgozhdannyy-istrebitel" TargetMode="External"/><Relationship Id="rId107" Type="http://schemas.openxmlformats.org/officeDocument/2006/relationships/hyperlink" Target="https://warspot.ru/14237-glavnyy-konstruktor" TargetMode="External"/><Relationship Id="rId11" Type="http://schemas.openxmlformats.org/officeDocument/2006/relationships/hyperlink" Target="http://warspot.ru/6287-foto-dnya-chetvyortyy-stalinskiy-udar" TargetMode="External"/><Relationship Id="rId32" Type="http://schemas.openxmlformats.org/officeDocument/2006/relationships/hyperlink" Target="http://www.airwar.ru/enc/fww2/p72.html" TargetMode="External"/><Relationship Id="rId53" Type="http://schemas.openxmlformats.org/officeDocument/2006/relationships/hyperlink" Target="https://warspot.ru/10672-tyazhyolyy-trofey-s-kurskoy-dugi" TargetMode="External"/><Relationship Id="rId74" Type="http://schemas.openxmlformats.org/officeDocument/2006/relationships/hyperlink" Target="http://crimso.msk.ru/Site/Crafts/Craft20142.htm" TargetMode="External"/><Relationship Id="rId128" Type="http://schemas.openxmlformats.org/officeDocument/2006/relationships/hyperlink" Target="http://www.airwar.ru/enc/heli/uh44.html" TargetMode="External"/><Relationship Id="rId149" Type="http://schemas.openxmlformats.org/officeDocument/2006/relationships/hyperlink" Target="http://www.airwar.ru/enc/bww2/sdb.html" TargetMode="External"/><Relationship Id="rId5" Type="http://schemas.openxmlformats.org/officeDocument/2006/relationships/webSettings" Target="webSettings.xml"/><Relationship Id="rId95" Type="http://schemas.openxmlformats.org/officeDocument/2006/relationships/hyperlink" Target="https://warspot.ru/11233-is-s-tyazhyolym-vooruzheniem" TargetMode="External"/><Relationship Id="rId160" Type="http://schemas.openxmlformats.org/officeDocument/2006/relationships/hyperlink" Target="http://warspot.ru/10682-posledniy-lyogkiy-tank-krasnoy-armii" TargetMode="External"/><Relationship Id="rId181" Type="http://schemas.openxmlformats.org/officeDocument/2006/relationships/hyperlink" Target="http://www.airwar.ru/enc/fww2/p61b.html" TargetMode="External"/><Relationship Id="rId22" Type="http://schemas.openxmlformats.org/officeDocument/2006/relationships/hyperlink" Target="http://www.airwar.ru/enc/fww2/la5fn.html" TargetMode="External"/><Relationship Id="rId43" Type="http://schemas.openxmlformats.org/officeDocument/2006/relationships/hyperlink" Target="http://www.airwar.ru/enc/cww2/nud38.html" TargetMode="External"/><Relationship Id="rId64" Type="http://schemas.openxmlformats.org/officeDocument/2006/relationships/hyperlink" Target="https://warspot.ru/11210-glavnyy-vrag-tridtsatchetvyorki" TargetMode="External"/><Relationship Id="rId118" Type="http://schemas.openxmlformats.org/officeDocument/2006/relationships/hyperlink" Target="http://www.airwar.ru/enc/aww2/xa38.html" TargetMode="External"/><Relationship Id="rId139" Type="http://schemas.openxmlformats.org/officeDocument/2006/relationships/hyperlink" Target="http://www.airwar.ru/enc/fww2/mb5.html" TargetMode="External"/><Relationship Id="rId85" Type="http://schemas.openxmlformats.org/officeDocument/2006/relationships/hyperlink" Target="http://www.airwar.ru/enc/bww2/windsor.html" TargetMode="External"/><Relationship Id="rId150" Type="http://schemas.openxmlformats.org/officeDocument/2006/relationships/image" Target="media/image2.jpeg"/><Relationship Id="rId171" Type="http://schemas.openxmlformats.org/officeDocument/2006/relationships/hyperlink" Target="http://www.cartalana.ru/aircraft-04.php" TargetMode="External"/><Relationship Id="rId192" Type="http://schemas.openxmlformats.org/officeDocument/2006/relationships/hyperlink" Target="https://warspot.ru/15335-promezhutochnyy-tank" TargetMode="External"/><Relationship Id="rId12" Type="http://schemas.openxmlformats.org/officeDocument/2006/relationships/hyperlink" Target="http://armedman.ru/samoletyi/1937-1945/bombardirovshhik-b-24-libereytor.html" TargetMode="External"/><Relationship Id="rId33" Type="http://schemas.openxmlformats.org/officeDocument/2006/relationships/hyperlink" Target="http://airspot.ru/catalogue/item/messerschmitt-me-410b" TargetMode="External"/><Relationship Id="rId108" Type="http://schemas.openxmlformats.org/officeDocument/2006/relationships/hyperlink" Target="https://warspot.ru/14237-glavnyy-konstruktor" TargetMode="External"/><Relationship Id="rId129" Type="http://schemas.openxmlformats.org/officeDocument/2006/relationships/hyperlink" Target="http://airspot.ru/catalogue/item/yakovlev-yak-7r" TargetMode="External"/><Relationship Id="rId54" Type="http://schemas.openxmlformats.org/officeDocument/2006/relationships/hyperlink" Target="https://warspot.ru/11021-protivotankovyy-shershen-on-zhe-nosorog" TargetMode="External"/><Relationship Id="rId75" Type="http://schemas.openxmlformats.org/officeDocument/2006/relationships/hyperlink" Target="http://www.airwar.ru/enc/cw1/s22.html" TargetMode="External"/><Relationship Id="rId96" Type="http://schemas.openxmlformats.org/officeDocument/2006/relationships/hyperlink" Target="http://forum-ru.worldofwarplanes.com/index.php?...BB%D1%8C-bell-xp-77/" TargetMode="External"/><Relationship Id="rId140" Type="http://schemas.openxmlformats.org/officeDocument/2006/relationships/hyperlink" Target="http://www.testpilot.ru/germany/messer/163/s/me163s.htm" TargetMode="External"/><Relationship Id="rId161" Type="http://schemas.openxmlformats.org/officeDocument/2006/relationships/hyperlink" Target="http://www.airwar.ru/enc/fww2/tis.html" TargetMode="External"/><Relationship Id="rId182" Type="http://schemas.openxmlformats.org/officeDocument/2006/relationships/hyperlink" Target="http://www.airwar.ru/enc/fww2/fr.html" TargetMode="External"/><Relationship Id="rId6" Type="http://schemas.openxmlformats.org/officeDocument/2006/relationships/footnotes" Target="footnotes.xml"/><Relationship Id="rId23" Type="http://schemas.openxmlformats.org/officeDocument/2006/relationships/hyperlink" Target="http://airspot.ru/catalogue/item/savoia-marchetti-sm-93" TargetMode="External"/><Relationship Id="rId119" Type="http://schemas.openxmlformats.org/officeDocument/2006/relationships/hyperlink" Target="http://airspot.ru/catalogue/item/douglas-b-42-mixmaster" TargetMode="External"/><Relationship Id="rId44" Type="http://schemas.openxmlformats.org/officeDocument/2006/relationships/hyperlink" Target="http://airspot.ru/catalogue/item/bristol-buckingham" TargetMode="External"/><Relationship Id="rId65" Type="http://schemas.openxmlformats.org/officeDocument/2006/relationships/hyperlink" Target="https://warspot.ru/8934-ternistyy-put-k-su-122" TargetMode="External"/><Relationship Id="rId86" Type="http://schemas.openxmlformats.org/officeDocument/2006/relationships/hyperlink" Target="http://www.airwar.ru/enc/fww2/p67.html" TargetMode="External"/><Relationship Id="rId130" Type="http://schemas.openxmlformats.org/officeDocument/2006/relationships/hyperlink" Target="http://airspot.ru/catalogue/item/fma-iae-22-dl" TargetMode="External"/><Relationship Id="rId151" Type="http://schemas.openxmlformats.org/officeDocument/2006/relationships/hyperlink" Target="https://warspot.ru/4972-foto-dnya-spasitelnaya-iskra" TargetMode="External"/><Relationship Id="rId172" Type="http://schemas.openxmlformats.org/officeDocument/2006/relationships/hyperlink" Target="http://www.airwar.ru/enc/aww2/il10.html" TargetMode="External"/><Relationship Id="rId193" Type="http://schemas.openxmlformats.org/officeDocument/2006/relationships/hyperlink" Target="https://frontline.su/history/operatsiya-bagration/" TargetMode="External"/><Relationship Id="rId13" Type="http://schemas.openxmlformats.org/officeDocument/2006/relationships/hyperlink" Target="http://armedman.ru/samoletyi/1919-1936/bombardirovshhik-boing-b-17-letayushhaya-krepost.html" TargetMode="External"/><Relationship Id="rId109" Type="http://schemas.openxmlformats.org/officeDocument/2006/relationships/hyperlink" Target="https://warspot.ru/13258-finalnaya-versiya" TargetMode="External"/><Relationship Id="rId34" Type="http://schemas.openxmlformats.org/officeDocument/2006/relationships/hyperlink" Target="http://airspot.ru/catalogue/item/focke-wulf-ta-154" TargetMode="External"/><Relationship Id="rId50" Type="http://schemas.openxmlformats.org/officeDocument/2006/relationships/hyperlink" Target="http://armedman.ru/samoletyi/1937-1945/bombardirovshhik-b-24-libereytor.html" TargetMode="External"/><Relationship Id="rId55" Type="http://schemas.openxmlformats.org/officeDocument/2006/relationships/hyperlink" Target="http://warspot.ru/9797-tyazhyolyy-trofey" TargetMode="External"/><Relationship Id="rId76" Type="http://schemas.openxmlformats.org/officeDocument/2006/relationships/hyperlink" Target="http://www.airpages.ru/ru/la5_3.shtml" TargetMode="External"/><Relationship Id="rId97" Type="http://schemas.openxmlformats.org/officeDocument/2006/relationships/hyperlink" Target="http://www.airwar.ru/enc/bww2/sdb.html" TargetMode="External"/><Relationship Id="rId104" Type="http://schemas.openxmlformats.org/officeDocument/2006/relationships/hyperlink" Target="http://www.airwar.ru/enc/fww2/ta154.html" TargetMode="External"/><Relationship Id="rId120" Type="http://schemas.openxmlformats.org/officeDocument/2006/relationships/hyperlink" Target="http://airspot.ru/catalogue/item/mitsubishi-a7m-reppu" TargetMode="External"/><Relationship Id="rId125" Type="http://schemas.openxmlformats.org/officeDocument/2006/relationships/hyperlink" Target="https://warspot.ru/3889-rozhdyonnyy-voynoy-kak-sozdavalsya-narkomat-tankovoy-promyshlennosti" TargetMode="External"/><Relationship Id="rId141" Type="http://schemas.openxmlformats.org/officeDocument/2006/relationships/hyperlink" Target="http://www.airwar.ru/enc/fww2/p54.html" TargetMode="External"/><Relationship Id="rId146" Type="http://schemas.openxmlformats.org/officeDocument/2006/relationships/hyperlink" Target="http://airspot.ru/catalogue/item/tupolev-sdb" TargetMode="External"/><Relationship Id="rId167" Type="http://schemas.openxmlformats.org/officeDocument/2006/relationships/hyperlink" Target="http://www.airwar.ru/enc/fww2/p58.html" TargetMode="External"/><Relationship Id="rId188" Type="http://schemas.openxmlformats.org/officeDocument/2006/relationships/hyperlink" Target="https://warspot.ru/15111-vsyo-eschyo-s-budkoy" TargetMode="External"/><Relationship Id="rId7" Type="http://schemas.openxmlformats.org/officeDocument/2006/relationships/endnotes" Target="endnotes.xml"/><Relationship Id="rId71" Type="http://schemas.openxmlformats.org/officeDocument/2006/relationships/hyperlink" Target="http://airspot.ru/catalogue/item/mavag-hejja-ii" TargetMode="External"/><Relationship Id="rId92" Type="http://schemas.openxmlformats.org/officeDocument/2006/relationships/hyperlink" Target="http://www.airwar.ru/enc/bww2/g4m.html" TargetMode="External"/><Relationship Id="rId162" Type="http://schemas.openxmlformats.org/officeDocument/2006/relationships/hyperlink" Target="http://www.airwiki.org/enc/fww2/i222.html" TargetMode="External"/><Relationship Id="rId183" Type="http://schemas.openxmlformats.org/officeDocument/2006/relationships/hyperlink" Target="http://www.airwar.ru/enc/fww2/p72.html" TargetMode="External"/><Relationship Id="rId2" Type="http://schemas.openxmlformats.org/officeDocument/2006/relationships/numbering" Target="numbering.xml"/><Relationship Id="rId29" Type="http://schemas.openxmlformats.org/officeDocument/2006/relationships/hyperlink" Target="http://airspot.ru/catalogue/item/lavochkin-la-7" TargetMode="External"/><Relationship Id="rId24" Type="http://schemas.openxmlformats.org/officeDocument/2006/relationships/hyperlink" Target="https://warspot.ru/9911-pervoe-prishestvie-is-2" TargetMode="External"/><Relationship Id="rId40" Type="http://schemas.openxmlformats.org/officeDocument/2006/relationships/hyperlink" Target="http://avia-il.ru/il_2_ns_45/" TargetMode="External"/><Relationship Id="rId45" Type="http://schemas.openxmlformats.org/officeDocument/2006/relationships/hyperlink" Target="http://www.airwar.ru/enc/fww2/p51f.html" TargetMode="External"/><Relationship Id="rId66" Type="http://schemas.openxmlformats.org/officeDocument/2006/relationships/hyperlink" Target="https://warspot.ru/11457-borba-za-mesto-na-konveyere" TargetMode="External"/><Relationship Id="rId87" Type="http://schemas.openxmlformats.org/officeDocument/2006/relationships/hyperlink" Target="http://airspot.ru/catalogue/item/yakovlev-yak-7r" TargetMode="External"/><Relationship Id="rId110" Type="http://schemas.openxmlformats.org/officeDocument/2006/relationships/hyperlink" Target="https://warspot.ru/13151-samaya-massovaya-tyazhyolaya-samohodka-v-istorii" TargetMode="External"/><Relationship Id="rId115" Type="http://schemas.openxmlformats.org/officeDocument/2006/relationships/hyperlink" Target="http://www.airpages.ru/ru/ns23.shtml" TargetMode="External"/><Relationship Id="rId131" Type="http://schemas.openxmlformats.org/officeDocument/2006/relationships/hyperlink" Target="http://avia-museum.narod.ru/russia/il-1.html" TargetMode="External"/><Relationship Id="rId136" Type="http://schemas.openxmlformats.org/officeDocument/2006/relationships/hyperlink" Target="http://www.archive.gov.tatarstan.ru/res/FCKeditor/fckeditor.php?FieldName=data_html" TargetMode="External"/><Relationship Id="rId157" Type="http://schemas.openxmlformats.org/officeDocument/2006/relationships/hyperlink" Target="https://warspot.ru/9911-pervoe-prishestvie-is-2" TargetMode="External"/><Relationship Id="rId178" Type="http://schemas.openxmlformats.org/officeDocument/2006/relationships/hyperlink" Target="http://www.airwar.ru/enc/sww2/tbf.html" TargetMode="External"/><Relationship Id="rId61" Type="http://schemas.openxmlformats.org/officeDocument/2006/relationships/hyperlink" Target="http://airspot.ru/catalogue/item/heinkel-he-277b-5" TargetMode="External"/><Relationship Id="rId82" Type="http://schemas.openxmlformats.org/officeDocument/2006/relationships/hyperlink" Target="http://armedman.ru/samoletyi/1937-1945/bombardirovshhik-b-24-libereytor.html" TargetMode="External"/><Relationship Id="rId152" Type="http://schemas.openxmlformats.org/officeDocument/2006/relationships/hyperlink" Target="https://warspot.ru/9483-predposledniy-shag" TargetMode="External"/><Relationship Id="rId173" Type="http://schemas.openxmlformats.org/officeDocument/2006/relationships/hyperlink" Target="http://www.airwar.ru/enc/bww2/lincoln.html" TargetMode="External"/><Relationship Id="rId194" Type="http://schemas.openxmlformats.org/officeDocument/2006/relationships/fontTable" Target="fontTable.xml"/><Relationship Id="rId19" Type="http://schemas.openxmlformats.org/officeDocument/2006/relationships/hyperlink" Target="http://www.archive.gov.tatarstan.ru/res/FCKeditor/fckeditor.php?FieldName=data_html" TargetMode="External"/><Relationship Id="rId14" Type="http://schemas.openxmlformats.org/officeDocument/2006/relationships/hyperlink" Target="http://armedman.ru/samoletyi/1937-1945/bombardirovshhik-b-24-libereytor.html" TargetMode="External"/><Relationship Id="rId30" Type="http://schemas.openxmlformats.org/officeDocument/2006/relationships/hyperlink" Target="http://www.airwar.ru/enc/fww2/me163.html" TargetMode="External"/><Relationship Id="rId35" Type="http://schemas.openxmlformats.org/officeDocument/2006/relationships/image" Target="media/image1.jpeg"/><Relationship Id="rId56" Type="http://schemas.openxmlformats.org/officeDocument/2006/relationships/hyperlink" Target="http://warspot.ru/6814-vokrug-konicheskogo-stvola" TargetMode="External"/><Relationship Id="rId77" Type="http://schemas.openxmlformats.org/officeDocument/2006/relationships/hyperlink" Target="http://www.airwar.ru/enc/fww2/la7tk.html" TargetMode="External"/><Relationship Id="rId100" Type="http://schemas.openxmlformats.org/officeDocument/2006/relationships/hyperlink" Target="http://www.airwar.ru/enc/other2/m30.html" TargetMode="External"/><Relationship Id="rId105" Type="http://schemas.openxmlformats.org/officeDocument/2006/relationships/hyperlink" Target="https://warspot.ru/5000-t-34-85-zvuki-snaruzhi-i-iznutri" TargetMode="External"/><Relationship Id="rId126" Type="http://schemas.openxmlformats.org/officeDocument/2006/relationships/hyperlink" Target="http://airspot.ru/catalogue/item/mikoyan-gurevich-i-231" TargetMode="External"/><Relationship Id="rId147" Type="http://schemas.openxmlformats.org/officeDocument/2006/relationships/hyperlink" Target="http://www.airwar.ru/enc/cww2/kz4.html" TargetMode="External"/><Relationship Id="rId168" Type="http://schemas.openxmlformats.org/officeDocument/2006/relationships/hyperlink" Target="https://warspot.ru/5354-tyazhyolaya-sudba-lyogkogo-tanka" TargetMode="External"/><Relationship Id="rId8" Type="http://schemas.openxmlformats.org/officeDocument/2006/relationships/hyperlink" Target="https://warspot.ru/10800-kutsak-kotina" TargetMode="External"/><Relationship Id="rId51" Type="http://schemas.openxmlformats.org/officeDocument/2006/relationships/hyperlink" Target="https://warspot.ru/8934-ternistyy-put-k-su-122" TargetMode="External"/><Relationship Id="rId72" Type="http://schemas.openxmlformats.org/officeDocument/2006/relationships/hyperlink" Target="http://koya899.narod.ru/stati/yak3.html" TargetMode="External"/><Relationship Id="rId93" Type="http://schemas.openxmlformats.org/officeDocument/2006/relationships/hyperlink" Target="http://airspot.ru/catalogue/item/north-american-na-98x" TargetMode="External"/><Relationship Id="rId98" Type="http://schemas.openxmlformats.org/officeDocument/2006/relationships/hyperlink" Target="http://airspot.ru/catalogue/item/junkers-ju-87d-stuka" TargetMode="External"/><Relationship Id="rId121" Type="http://schemas.openxmlformats.org/officeDocument/2006/relationships/hyperlink" Target="http://translate.yandex.net/tr-url/pl-ru.ru/men...211;ta;254,1278.html" TargetMode="External"/><Relationship Id="rId142" Type="http://schemas.openxmlformats.org/officeDocument/2006/relationships/hyperlink" Target="http://wunderwaffe.narod.ru/HistoryBook/LuftAces/Bomb/07.htm" TargetMode="External"/><Relationship Id="rId163" Type="http://schemas.openxmlformats.org/officeDocument/2006/relationships/hyperlink" Target="http://www.airwar.ru/enc/glider/bv40.html" TargetMode="External"/><Relationship Id="rId184" Type="http://schemas.openxmlformats.org/officeDocument/2006/relationships/hyperlink" Target="http://www.airwar.ru/enc/fww2/i220.html" TargetMode="External"/><Relationship Id="rId189" Type="http://schemas.openxmlformats.org/officeDocument/2006/relationships/hyperlink" Target="https://warspot.ru/11907-strashnee-koshki-zverya-net" TargetMode="External"/><Relationship Id="rId3" Type="http://schemas.openxmlformats.org/officeDocument/2006/relationships/styles" Target="styles.xml"/><Relationship Id="rId25" Type="http://schemas.openxmlformats.org/officeDocument/2006/relationships/hyperlink" Target="https://warspot.ru/11413-dolgozhdannyy-istrebitel" TargetMode="External"/><Relationship Id="rId46" Type="http://schemas.openxmlformats.org/officeDocument/2006/relationships/hyperlink" Target="http://wunderwaffe.narod.ru/Magazine/AirWar/70/03.htm" TargetMode="External"/><Relationship Id="rId67" Type="http://schemas.openxmlformats.org/officeDocument/2006/relationships/hyperlink" Target="https://warspot.ru/11074-promezhutochnyy-is" TargetMode="External"/><Relationship Id="rId116" Type="http://schemas.openxmlformats.org/officeDocument/2006/relationships/hyperlink" Target="http://www.airwar.ru/enc/fww2/i222.html" TargetMode="External"/><Relationship Id="rId137" Type="http://schemas.openxmlformats.org/officeDocument/2006/relationships/hyperlink" Target="http://avia-rest.przd.ru/p/po_nb.php" TargetMode="External"/><Relationship Id="rId158" Type="http://schemas.openxmlformats.org/officeDocument/2006/relationships/hyperlink" Target="https://warspot.ru/10762-sluchaynyy-raritet" TargetMode="External"/><Relationship Id="rId20" Type="http://schemas.openxmlformats.org/officeDocument/2006/relationships/hyperlink" Target="http://wunderwaffe.narod.ru/Magazine/AirWar/111/01.htm" TargetMode="External"/><Relationship Id="rId41" Type="http://schemas.openxmlformats.org/officeDocument/2006/relationships/hyperlink" Target="http://airspot.ru/catalogue/item/lavochkin-la-5-206" TargetMode="External"/><Relationship Id="rId62" Type="http://schemas.openxmlformats.org/officeDocument/2006/relationships/hyperlink" Target="https://warspot.ru/10691-kurskiy-ferdinand" TargetMode="External"/><Relationship Id="rId83" Type="http://schemas.openxmlformats.org/officeDocument/2006/relationships/hyperlink" Target="http://www.airwar.ru/enc/fww2/yak9b.html" TargetMode="External"/><Relationship Id="rId88" Type="http://schemas.openxmlformats.org/officeDocument/2006/relationships/hyperlink" Target="http://www.airwar.ru/enc/fww2/do335.html" TargetMode="External"/><Relationship Id="rId111" Type="http://schemas.openxmlformats.org/officeDocument/2006/relationships/hyperlink" Target="https://warspot.ru/6240-tyaglovaya-sila" TargetMode="External"/><Relationship Id="rId132" Type="http://schemas.openxmlformats.org/officeDocument/2006/relationships/hyperlink" Target="http://www.airpages.ru/mt/do335_01.shtml" TargetMode="External"/><Relationship Id="rId153" Type="http://schemas.openxmlformats.org/officeDocument/2006/relationships/hyperlink" Target="https://warspot.ru/900-igry-s-tigrami" TargetMode="External"/><Relationship Id="rId174" Type="http://schemas.openxmlformats.org/officeDocument/2006/relationships/hyperlink" Target="http://www.airwiki.org/enc/fighter/f80.html" TargetMode="External"/><Relationship Id="rId179" Type="http://schemas.openxmlformats.org/officeDocument/2006/relationships/hyperlink" Target="http://www.airpages.ru/uk/p47su.shtml" TargetMode="External"/><Relationship Id="rId195" Type="http://schemas.openxmlformats.org/officeDocument/2006/relationships/theme" Target="theme/theme1.xml"/><Relationship Id="rId190" Type="http://schemas.openxmlformats.org/officeDocument/2006/relationships/hyperlink" Target="https://warspot.ru/12623-lyogkie-sau-s-bolshimi-pushkami" TargetMode="External"/><Relationship Id="rId15" Type="http://schemas.openxmlformats.org/officeDocument/2006/relationships/hyperlink" Target="http://teatrskazka.com/Raznoe/PostanovGKO/194401/gko_4891.html" TargetMode="External"/><Relationship Id="rId36" Type="http://schemas.openxmlformats.org/officeDocument/2006/relationships/hyperlink" Target="http://www.airwar.ru/enc/fww2/yak3vk107.html" TargetMode="External"/><Relationship Id="rId57" Type="http://schemas.openxmlformats.org/officeDocument/2006/relationships/hyperlink" Target="http://www.airwar.ru/enc/fww2/ta154.html" TargetMode="External"/><Relationship Id="rId106" Type="http://schemas.openxmlformats.org/officeDocument/2006/relationships/hyperlink" Target="https://warspot.ru/9483-predposledniy-shag" TargetMode="External"/><Relationship Id="rId127" Type="http://schemas.openxmlformats.org/officeDocument/2006/relationships/hyperlink" Target="http://www.airwar.ru/weapon/guns/bk5.html" TargetMode="External"/><Relationship Id="rId10" Type="http://schemas.openxmlformats.org/officeDocument/2006/relationships/hyperlink" Target="http://warspot.ru/6610-malyy-tank-bolshoy-voyny" TargetMode="External"/><Relationship Id="rId31" Type="http://schemas.openxmlformats.org/officeDocument/2006/relationships/hyperlink" Target="http://www.liveinternet.ru/pro-samolet.ru/samolety-germany-ww2/reaktiv/210-me-163-kometa" TargetMode="External"/><Relationship Id="rId52" Type="http://schemas.openxmlformats.org/officeDocument/2006/relationships/hyperlink" Target="https://warspot.ru/11907-strashnee-koshki-zverya-net" TargetMode="External"/><Relationship Id="rId73" Type="http://schemas.openxmlformats.org/officeDocument/2006/relationships/hyperlink" Target="http://airspot.ru/catalogue/item/gloster-e-28-39-pioneer" TargetMode="External"/><Relationship Id="rId78" Type="http://schemas.openxmlformats.org/officeDocument/2006/relationships/hyperlink" Target="https://warspot.ru/6557-k-zapadu-ot-prohorovki-kak-eto-bylo" TargetMode="External"/><Relationship Id="rId94" Type="http://schemas.openxmlformats.org/officeDocument/2006/relationships/hyperlink" Target="https://warspot.ru/11074-promezhutochnyy-is" TargetMode="External"/><Relationship Id="rId99" Type="http://schemas.openxmlformats.org/officeDocument/2006/relationships/hyperlink" Target="http://www.airwar.ru/enc/sea/p2.html" TargetMode="External"/><Relationship Id="rId101" Type="http://schemas.openxmlformats.org/officeDocument/2006/relationships/hyperlink" Target="http://www.airwar.ru/enc/fww2/pe2i.html" TargetMode="External"/><Relationship Id="rId122" Type="http://schemas.openxmlformats.org/officeDocument/2006/relationships/hyperlink" Target="http://airspot.ru/catalogue/item/mikoyan-gurevich-i-222" TargetMode="External"/><Relationship Id="rId143" Type="http://schemas.openxmlformats.org/officeDocument/2006/relationships/hyperlink" Target="http://www.airwar.ru/enc/bww2/he277.html" TargetMode="External"/><Relationship Id="rId148" Type="http://schemas.openxmlformats.org/officeDocument/2006/relationships/hyperlink" Target="http://www.airwar.ru/enc/bww2/sdb.html" TargetMode="External"/><Relationship Id="rId164" Type="http://schemas.openxmlformats.org/officeDocument/2006/relationships/hyperlink" Target="http://www.airwar.ru/enc/fighter/f80.html" TargetMode="External"/><Relationship Id="rId169" Type="http://schemas.openxmlformats.org/officeDocument/2006/relationships/hyperlink" Target="https://warspot.ru/5045-stalnaya-sarancha" TargetMode="External"/><Relationship Id="rId185" Type="http://schemas.openxmlformats.org/officeDocument/2006/relationships/hyperlink" Target="http://www.airwar.ru/enc/fww2/do335.html" TargetMode="External"/><Relationship Id="rId4" Type="http://schemas.openxmlformats.org/officeDocument/2006/relationships/settings" Target="settings.xml"/><Relationship Id="rId9" Type="http://schemas.openxmlformats.org/officeDocument/2006/relationships/hyperlink" Target="https://warspot.ru/11457-borba-za-mesto-na-konveyere" TargetMode="External"/><Relationship Id="rId180" Type="http://schemas.openxmlformats.org/officeDocument/2006/relationships/hyperlink" Target="http://www.airwar.ru/enc/bww2/me328.html" TargetMode="External"/><Relationship Id="rId26" Type="http://schemas.openxmlformats.org/officeDocument/2006/relationships/hyperlink" Target="https://warspot.ru/1837-tommi-gan-polveka-v-stroyu" TargetMode="External"/><Relationship Id="rId47" Type="http://schemas.openxmlformats.org/officeDocument/2006/relationships/hyperlink" Target="http://www.airwar.ru/enc/bww2/windsor.html" TargetMode="External"/><Relationship Id="rId68" Type="http://schemas.openxmlformats.org/officeDocument/2006/relationships/hyperlink" Target="https://warspot.ru/11907-strashnee-koshki-zverya-net" TargetMode="External"/><Relationship Id="rId89" Type="http://schemas.openxmlformats.org/officeDocument/2006/relationships/hyperlink" Target="http://airspot.ru/catalogue/item/de-havilland-mosquito-tf-tr" TargetMode="External"/><Relationship Id="rId112" Type="http://schemas.openxmlformats.org/officeDocument/2006/relationships/hyperlink" Target="https://dzen.ru/a/YOlbmg8eGyqMNEVY" TargetMode="External"/><Relationship Id="rId133" Type="http://schemas.openxmlformats.org/officeDocument/2006/relationships/hyperlink" Target="http://www.airwar.ru/enc/bww2/sdb.html" TargetMode="External"/><Relationship Id="rId154" Type="http://schemas.openxmlformats.org/officeDocument/2006/relationships/hyperlink" Target="https://warspot.ru/9829-oni-osvobozhdali-belorussiyu-hronika-bagrationa-v-proekte-frontovoy-albom" TargetMode="External"/><Relationship Id="rId175" Type="http://schemas.openxmlformats.org/officeDocument/2006/relationships/hyperlink" Target="http://www.airwar.ru/enc/bww2/saab18.html" TargetMode="External"/><Relationship Id="rId16" Type="http://schemas.openxmlformats.org/officeDocument/2006/relationships/hyperlink" Target="https://warspot.ru/10917-modernizatsiya-po-angliyski" TargetMode="External"/><Relationship Id="rId37" Type="http://schemas.openxmlformats.org/officeDocument/2006/relationships/hyperlink" Target="http://www.airwar.ru/enc/fww2/i221.html" TargetMode="External"/><Relationship Id="rId58" Type="http://schemas.openxmlformats.org/officeDocument/2006/relationships/hyperlink" Target="http://www.airwar.ru/enc/fww2/ta154.html" TargetMode="External"/><Relationship Id="rId79" Type="http://schemas.openxmlformats.org/officeDocument/2006/relationships/hyperlink" Target="https://warspot.ru/11907-strashnee-koshki-zverya-net" TargetMode="External"/><Relationship Id="rId102" Type="http://schemas.openxmlformats.org/officeDocument/2006/relationships/hyperlink" Target="https://warspot.ru/13258-finalnaya-versiya" TargetMode="External"/><Relationship Id="rId123" Type="http://schemas.openxmlformats.org/officeDocument/2006/relationships/hyperlink" Target="http://www.airpages.ru/ru/ns23.shtml" TargetMode="External"/><Relationship Id="rId144" Type="http://schemas.openxmlformats.org/officeDocument/2006/relationships/hyperlink" Target="http://www.brazd.ru/il10.html" TargetMode="External"/><Relationship Id="rId90" Type="http://schemas.openxmlformats.org/officeDocument/2006/relationships/hyperlink" Target="http://airspot.ru/catalogue/item/fiat-g-56" TargetMode="External"/><Relationship Id="rId165" Type="http://schemas.openxmlformats.org/officeDocument/2006/relationships/hyperlink" Target="http://www.airwar.ru/enc/cww2/c47.html" TargetMode="External"/><Relationship Id="rId186" Type="http://schemas.openxmlformats.org/officeDocument/2006/relationships/hyperlink" Target="http://www.airwar.ru/enc/fww2/spitful.html" TargetMode="External"/><Relationship Id="rId27" Type="http://schemas.openxmlformats.org/officeDocument/2006/relationships/hyperlink" Target="https://warspot.ru/9911-pervoe-prishestvie-is-2" TargetMode="External"/><Relationship Id="rId48" Type="http://schemas.openxmlformats.org/officeDocument/2006/relationships/hyperlink" Target="http://armedman.ru/samoletyi/1937-1945/bombardirovshhik-b-24-libereytor.html" TargetMode="External"/><Relationship Id="rId69" Type="http://schemas.openxmlformats.org/officeDocument/2006/relationships/hyperlink" Target="https://warspot.ru/12111-modernizatsiya-na-bumage" TargetMode="External"/><Relationship Id="rId113" Type="http://schemas.openxmlformats.org/officeDocument/2006/relationships/hyperlink" Target="http://www.airwar.ru/enc/fww2/yak7gk.html" TargetMode="External"/><Relationship Id="rId134" Type="http://schemas.openxmlformats.org/officeDocument/2006/relationships/hyperlink" Target="http://www.archive.gov.tatarstan.ru/res/FCKeditor/fckeditor.php?FieldName=data_html" TargetMode="External"/><Relationship Id="rId80" Type="http://schemas.openxmlformats.org/officeDocument/2006/relationships/hyperlink" Target="http://armedman.ru/samoletyi/1937-1945/bombardirovshhik-b-24-libereytor.html" TargetMode="External"/><Relationship Id="rId155" Type="http://schemas.openxmlformats.org/officeDocument/2006/relationships/hyperlink" Target="https://warspot.ru/11413-dolgozhdannyy-istrebitel" TargetMode="External"/><Relationship Id="rId176" Type="http://schemas.openxmlformats.org/officeDocument/2006/relationships/hyperlink" Target="http://airspot.ru/catalogue/item/polikarpov-tis" TargetMode="External"/><Relationship Id="rId17" Type="http://schemas.openxmlformats.org/officeDocument/2006/relationships/hyperlink" Target="https://warspot.ru/8537-nemetskie-koshki-pri-dvore-korolya-georga" TargetMode="External"/><Relationship Id="rId38" Type="http://schemas.openxmlformats.org/officeDocument/2006/relationships/hyperlink" Target="http://militera.lib.ru/h/shirokorad1/10_15.html" TargetMode="External"/><Relationship Id="rId59" Type="http://schemas.openxmlformats.org/officeDocument/2006/relationships/hyperlink" Target="http://www.asisbiz.com/il2/Do-217/Dornier-Do-217.html" TargetMode="External"/><Relationship Id="rId103" Type="http://schemas.openxmlformats.org/officeDocument/2006/relationships/hyperlink" Target="https://warspot.ru/13151-samaya-massovaya-tyazhyolaya-samohodka-v-istorii" TargetMode="External"/><Relationship Id="rId124" Type="http://schemas.openxmlformats.org/officeDocument/2006/relationships/hyperlink" Target="http://www.airwar.ru/enc/fww2/i220.html" TargetMode="External"/><Relationship Id="rId70" Type="http://schemas.openxmlformats.org/officeDocument/2006/relationships/hyperlink" Target="http://www.airwar.ru/enc/fww2/f7f2.html" TargetMode="External"/><Relationship Id="rId91" Type="http://schemas.openxmlformats.org/officeDocument/2006/relationships/hyperlink" Target="http://www.airwar.ru/enc/aww2/il8.html" TargetMode="External"/><Relationship Id="rId145" Type="http://schemas.openxmlformats.org/officeDocument/2006/relationships/hyperlink" Target="http://www.brazd.ru/il10.html" TargetMode="External"/><Relationship Id="rId166" Type="http://schemas.openxmlformats.org/officeDocument/2006/relationships/hyperlink" Target="http://www.airwar.ru/enc/fww2/la7tk.html" TargetMode="External"/><Relationship Id="rId187" Type="http://schemas.openxmlformats.org/officeDocument/2006/relationships/hyperlink" Target="http://www.airwar.ru/enc/fww2/ta154.html" TargetMode="External"/><Relationship Id="rId1" Type="http://schemas.openxmlformats.org/officeDocument/2006/relationships/customXml" Target="../customXml/item1.xml"/><Relationship Id="rId28" Type="http://schemas.openxmlformats.org/officeDocument/2006/relationships/hyperlink" Target="https://warspot.ru/8621-ogon-ochey-zverinyh" TargetMode="External"/><Relationship Id="rId49" Type="http://schemas.openxmlformats.org/officeDocument/2006/relationships/hyperlink" Target="http://armedman.ru/samoletyi/1919-1936/bombardirovshhik-boing-b-17-letayushhaya-krepost.html" TargetMode="External"/><Relationship Id="rId114" Type="http://schemas.openxmlformats.org/officeDocument/2006/relationships/hyperlink" Target="http://www.airwar.ru/enc/fww2/f7f.html" TargetMode="External"/><Relationship Id="rId60" Type="http://schemas.openxmlformats.org/officeDocument/2006/relationships/hyperlink" Target="http://militera.lib.ru/h/shirokorad1/10_15.html" TargetMode="External"/><Relationship Id="rId81" Type="http://schemas.openxmlformats.org/officeDocument/2006/relationships/hyperlink" Target="http://armedman.ru/samoletyi/1919-1936/bombardirovshhik-boing-b-17-letayushhaya-krepost.html" TargetMode="External"/><Relationship Id="rId135" Type="http://schemas.openxmlformats.org/officeDocument/2006/relationships/hyperlink" Target="http://www.archive.gov.tatarstan.ru/res/FCKeditor/fckeditor.php?FieldName=data_html" TargetMode="External"/><Relationship Id="rId156" Type="http://schemas.openxmlformats.org/officeDocument/2006/relationships/hyperlink" Target="https://warspot.ru/12034-ruchka-druzhby-dlya-korolevskogo-tigra" TargetMode="External"/><Relationship Id="rId177" Type="http://schemas.openxmlformats.org/officeDocument/2006/relationships/hyperlink" Target="http://www.airpages.ru/lw/ju88g.shtml" TargetMode="External"/><Relationship Id="rId18" Type="http://schemas.openxmlformats.org/officeDocument/2006/relationships/hyperlink" Target="http://www.liveinternet.ru/www.airwar.ru/enc/fighter/f80.html" TargetMode="External"/><Relationship Id="rId39" Type="http://schemas.openxmlformats.org/officeDocument/2006/relationships/hyperlink" Target="http://www.airwar.ru/enc/aww2/il2-ns45.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E35E4F-C663-469D-978D-2E9225DC91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2762</TotalTime>
  <Pages>995</Pages>
  <Words>1219249</Words>
  <Characters>6949725</Characters>
  <Application>Microsoft Office Word</Application>
  <DocSecurity>0</DocSecurity>
  <Lines>57914</Lines>
  <Paragraphs>16305</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8152669</CharactersWithSpaces>
  <SharedDoc>false</SharedDoc>
  <HLinks>
    <vt:vector size="6" baseType="variant">
      <vt:variant>
        <vt:i4>3276915</vt:i4>
      </vt:variant>
      <vt:variant>
        <vt:i4>0</vt:i4>
      </vt:variant>
      <vt:variant>
        <vt:i4>0</vt:i4>
      </vt:variant>
      <vt:variant>
        <vt:i4>5</vt:i4>
      </vt:variant>
      <vt:variant>
        <vt:lpwstr>http://teatrskazka.com/Raznoe/PostanovGKO/194401/gko_4891.html</vt:lpwstr>
      </vt:variant>
      <vt:variant>
        <vt:lpwstr>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269</cp:revision>
  <dcterms:created xsi:type="dcterms:W3CDTF">2022-05-03T06:11:00Z</dcterms:created>
  <dcterms:modified xsi:type="dcterms:W3CDTF">2026-07-13T15:37:00Z</dcterms:modified>
</cp:coreProperties>
</file>